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1.xml" ContentType="application/vnd.openxmlformats-officedocument.wordprocessingml.footer+xml"/>
  <Override PartName="/word/header26.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4.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16.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51.xml" ContentType="application/vnd.openxmlformats-officedocument.wordprocessingml.header+xml"/>
  <Override PartName="/word/footer19.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54.xml" ContentType="application/vnd.openxmlformats-officedocument.wordprocessingml.header+xml"/>
  <Override PartName="/word/footer22.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23.xml" ContentType="application/vnd.openxmlformats-officedocument.wordprocessingml.footer+xml"/>
  <Override PartName="/word/header57.xml" ContentType="application/vnd.openxmlformats-officedocument.wordprocessingml.header+xml"/>
  <Override PartName="/word/footer24.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60.xml" ContentType="application/vnd.openxmlformats-officedocument.wordprocessingml.header+xml"/>
  <Override PartName="/word/footer27.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63.xml" ContentType="application/vnd.openxmlformats-officedocument.wordprocessingml.header+xml"/>
  <Override PartName="/word/footer30.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66.xml" ContentType="application/vnd.openxmlformats-officedocument.wordprocessingml.header+xml"/>
  <Override PartName="/word/footer33.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69.xml" ContentType="application/vnd.openxmlformats-officedocument.wordprocessingml.header+xml"/>
  <Override PartName="/word/footer36.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37.xml" ContentType="application/vnd.openxmlformats-officedocument.wordprocessingml.footer+xml"/>
  <Override PartName="/word/header72.xml" ContentType="application/vnd.openxmlformats-officedocument.wordprocessingml.header+xml"/>
  <Override PartName="/word/footer38.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75.xml" ContentType="application/vnd.openxmlformats-officedocument.wordprocessingml.header+xml"/>
  <Override PartName="/word/footer41.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78.xml" ContentType="application/vnd.openxmlformats-officedocument.wordprocessingml.header+xml"/>
  <Override PartName="/word/footer44.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81.xml" ContentType="application/vnd.openxmlformats-officedocument.wordprocessingml.header+xml"/>
  <Override PartName="/word/footer47.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87.xml" ContentType="application/vnd.openxmlformats-officedocument.wordprocessingml.header+xml"/>
  <Override PartName="/word/footer50.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90.xml" ContentType="application/vnd.openxmlformats-officedocument.wordprocessingml.header+xml"/>
  <Override PartName="/word/footer53.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54.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7983C" w14:textId="77777777" w:rsidR="009E1BA3" w:rsidRPr="00A92C17" w:rsidRDefault="009E1BA3" w:rsidP="00B64353">
      <w:pPr>
        <w:pStyle w:val="Heading"/>
        <w:spacing w:before="960" w:line="400" w:lineRule="exact"/>
        <w:rPr>
          <w:rFonts w:hint="eastAsia"/>
          <w:sz w:val="44"/>
          <w:lang w:val="en-US" w:eastAsia="zh-CN"/>
        </w:rPr>
      </w:pPr>
      <w:bookmarkStart w:id="0" w:name="_top"/>
      <w:bookmarkEnd w:id="0"/>
    </w:p>
    <w:p w14:paraId="4827983D" w14:textId="77777777" w:rsidR="00AC3B70" w:rsidRPr="00D178C4" w:rsidRDefault="00716378" w:rsidP="00B64353">
      <w:pPr>
        <w:pStyle w:val="Heading"/>
        <w:spacing w:before="720"/>
        <w:rPr>
          <w:rFonts w:ascii="STZhongsong" w:eastAsia="STZhongsong" w:hAnsi="STZhongsong" w:cs="Arial"/>
          <w:sz w:val="44"/>
          <w:lang w:eastAsia="zh-CN"/>
        </w:rPr>
      </w:pPr>
      <w:r w:rsidRPr="00D178C4">
        <w:rPr>
          <w:rFonts w:ascii="STZhongsong" w:eastAsia="STZhongsong" w:hAnsi="STZhongsong" w:cs="Arial" w:hint="eastAsia"/>
          <w:sz w:val="44"/>
          <w:lang w:eastAsia="zh-CN"/>
        </w:rPr>
        <w:t>国际电信联盟</w:t>
      </w:r>
      <w:r w:rsidR="00AC3B70" w:rsidRPr="00D178C4">
        <w:rPr>
          <w:rFonts w:ascii="STZhongsong" w:eastAsia="STZhongsong" w:hAnsi="STZhongsong" w:cs="Arial"/>
          <w:sz w:val="44"/>
          <w:lang w:eastAsia="zh-CN"/>
        </w:rPr>
        <w:br/>
      </w:r>
      <w:r w:rsidR="00AC3B70" w:rsidRPr="00D178C4">
        <w:rPr>
          <w:rFonts w:ascii="STZhongsong" w:eastAsia="STZhongsong" w:hAnsi="STZhongsong" w:cs="Arial"/>
          <w:sz w:val="44"/>
          <w:lang w:eastAsia="zh-CN"/>
        </w:rPr>
        <w:br/>
      </w:r>
      <w:r w:rsidRPr="00D178C4">
        <w:rPr>
          <w:rFonts w:ascii="STZhongsong" w:eastAsia="STZhongsong" w:hAnsi="STZhongsong" w:cs="Arial" w:hint="eastAsia"/>
          <w:sz w:val="44"/>
          <w:lang w:eastAsia="zh-CN"/>
        </w:rPr>
        <w:t>理事会</w:t>
      </w:r>
      <w:r w:rsidR="00AC3B70" w:rsidRPr="00D178C4">
        <w:rPr>
          <w:rFonts w:ascii="STZhongsong" w:eastAsia="STZhongsong" w:hAnsi="STZhongsong" w:cs="Arial"/>
          <w:sz w:val="44"/>
          <w:lang w:eastAsia="zh-CN"/>
        </w:rPr>
        <w:br/>
      </w:r>
      <w:r w:rsidR="00AC3B70" w:rsidRPr="00D178C4">
        <w:rPr>
          <w:rFonts w:ascii="STZhongsong" w:eastAsia="STZhongsong" w:hAnsi="STZhongsong" w:cs="Arial"/>
          <w:sz w:val="44"/>
          <w:lang w:eastAsia="zh-CN"/>
        </w:rPr>
        <w:br/>
      </w:r>
      <w:r w:rsidRPr="00D178C4">
        <w:rPr>
          <w:rFonts w:ascii="STZhongsong" w:eastAsia="STZhongsong" w:hAnsi="STZhongsong" w:cs="Arial" w:hint="eastAsia"/>
          <w:sz w:val="44"/>
          <w:lang w:eastAsia="zh-CN"/>
        </w:rPr>
        <w:t>决议和决定</w:t>
      </w:r>
    </w:p>
    <w:p w14:paraId="4827983E" w14:textId="77777777" w:rsidR="009E1BA3" w:rsidRPr="00A92C17" w:rsidRDefault="009E1BA3" w:rsidP="00B64353">
      <w:pPr>
        <w:rPr>
          <w:lang w:val="en-US" w:eastAsia="zh-CN"/>
        </w:rPr>
      </w:pPr>
    </w:p>
    <w:p w14:paraId="4827983F" w14:textId="77777777" w:rsidR="009E1BA3" w:rsidRPr="00A92C17" w:rsidRDefault="009E1BA3" w:rsidP="00B64353">
      <w:pPr>
        <w:rPr>
          <w:lang w:val="en-US" w:eastAsia="zh-CN"/>
        </w:rPr>
      </w:pPr>
    </w:p>
    <w:p w14:paraId="48279840" w14:textId="77777777" w:rsidR="009E1BA3" w:rsidRDefault="009E1BA3" w:rsidP="00B64353">
      <w:pPr>
        <w:rPr>
          <w:lang w:val="en-US" w:eastAsia="zh-CN"/>
        </w:rPr>
      </w:pPr>
    </w:p>
    <w:p w14:paraId="48279841" w14:textId="77777777" w:rsidR="007449E2" w:rsidRPr="00A92C17" w:rsidRDefault="007449E2" w:rsidP="00B64353">
      <w:pPr>
        <w:rPr>
          <w:lang w:val="en-US" w:eastAsia="zh-CN"/>
        </w:rPr>
      </w:pPr>
    </w:p>
    <w:p w14:paraId="48279842" w14:textId="77777777" w:rsidR="006C4A6E" w:rsidRDefault="006C4A6E" w:rsidP="00B64353">
      <w:pPr>
        <w:rPr>
          <w:lang w:val="en-US" w:eastAsia="zh-CN"/>
        </w:rPr>
      </w:pPr>
    </w:p>
    <w:p w14:paraId="48279843" w14:textId="77777777" w:rsidR="009E1BA3" w:rsidRPr="00A92C17" w:rsidRDefault="009E1BA3" w:rsidP="00B64353">
      <w:pPr>
        <w:rPr>
          <w:lang w:val="en-US" w:eastAsia="zh-CN"/>
        </w:rPr>
      </w:pPr>
    </w:p>
    <w:p w14:paraId="48279844" w14:textId="77777777" w:rsidR="0078700B" w:rsidRPr="00D178C4" w:rsidRDefault="0078700B" w:rsidP="00B64353">
      <w:pPr>
        <w:jc w:val="center"/>
        <w:rPr>
          <w:rFonts w:ascii="STZhongsong" w:eastAsia="STZhongsong" w:hAnsi="STZhongsong"/>
          <w:lang w:eastAsia="zh-CN"/>
        </w:rPr>
      </w:pPr>
      <w:r w:rsidRPr="00D178C4">
        <w:rPr>
          <w:rFonts w:ascii="STZhongsong" w:eastAsia="STZhongsong" w:hAnsi="STZhongsong" w:hint="eastAsia"/>
          <w:lang w:eastAsia="zh-CN"/>
        </w:rPr>
        <w:t>由国际电信联盟</w:t>
      </w:r>
      <w:r w:rsidRPr="00D178C4">
        <w:rPr>
          <w:rFonts w:ascii="STZhongsong" w:eastAsia="STZhongsong" w:hAnsi="STZhongsong"/>
          <w:lang w:eastAsia="zh-CN"/>
        </w:rPr>
        <w:br/>
      </w:r>
      <w:r w:rsidRPr="00D178C4">
        <w:rPr>
          <w:rFonts w:ascii="STZhongsong" w:eastAsia="STZhongsong" w:hAnsi="STZhongsong" w:hint="eastAsia"/>
          <w:lang w:eastAsia="zh-CN"/>
        </w:rPr>
        <w:t>总秘书处出版</w:t>
      </w:r>
      <w:r w:rsidRPr="00D178C4">
        <w:rPr>
          <w:rFonts w:ascii="STZhongsong" w:eastAsia="STZhongsong" w:hAnsi="STZhongsong"/>
          <w:lang w:eastAsia="zh-CN"/>
        </w:rPr>
        <w:br/>
      </w:r>
      <w:r w:rsidRPr="00D178C4">
        <w:rPr>
          <w:rFonts w:ascii="STZhongsong" w:eastAsia="STZhongsong" w:hAnsi="STZhongsong" w:hint="eastAsia"/>
          <w:lang w:eastAsia="zh-CN"/>
        </w:rPr>
        <w:t>日内瓦</w:t>
      </w:r>
    </w:p>
    <w:p w14:paraId="48279845" w14:textId="77777777" w:rsidR="00CB6D67" w:rsidRDefault="00CB6D67" w:rsidP="00B64353">
      <w:pPr>
        <w:jc w:val="center"/>
        <w:rPr>
          <w:lang w:eastAsia="zh-CN"/>
        </w:rPr>
      </w:pPr>
    </w:p>
    <w:p w14:paraId="48279846" w14:textId="77777777" w:rsidR="003A1C4B" w:rsidRPr="00A92C17" w:rsidRDefault="003A1C4B" w:rsidP="003A1C4B">
      <w:pPr>
        <w:spacing w:before="2400"/>
        <w:jc w:val="right"/>
        <w:rPr>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9"/>
        <w:gridCol w:w="1446"/>
      </w:tblGrid>
      <w:tr w:rsidR="003A1C4B" w14:paraId="48279849" w14:textId="77777777" w:rsidTr="003A1C4B">
        <w:tc>
          <w:tcPr>
            <w:tcW w:w="7899" w:type="dxa"/>
            <w:vAlign w:val="center"/>
          </w:tcPr>
          <w:p w14:paraId="48279847" w14:textId="39F9B5D9" w:rsidR="003A1C4B" w:rsidRDefault="003A1C4B" w:rsidP="003A1C4B">
            <w:r>
              <w:rPr>
                <w:b/>
                <w:bCs/>
              </w:rPr>
              <w:t>20</w:t>
            </w:r>
            <w:r w:rsidR="00245570">
              <w:rPr>
                <w:rFonts w:hint="eastAsia"/>
                <w:b/>
                <w:bCs/>
                <w:lang w:eastAsia="zh-CN"/>
              </w:rPr>
              <w:t>2</w:t>
            </w:r>
            <w:r w:rsidR="00B1347D">
              <w:rPr>
                <w:rFonts w:hint="eastAsia"/>
                <w:b/>
                <w:bCs/>
                <w:lang w:eastAsia="zh-CN"/>
              </w:rPr>
              <w:t>1</w:t>
            </w:r>
            <w:r w:rsidRPr="00D178C4">
              <w:rPr>
                <w:rFonts w:ascii="STZhongsong" w:eastAsia="STZhongsong" w:hAnsi="STZhongsong"/>
                <w:b/>
                <w:bCs/>
                <w:lang w:eastAsia="zh-CN"/>
              </w:rPr>
              <w:t>年版</w:t>
            </w:r>
          </w:p>
        </w:tc>
        <w:tc>
          <w:tcPr>
            <w:tcW w:w="1446" w:type="dxa"/>
          </w:tcPr>
          <w:p w14:paraId="48279848" w14:textId="3D77D658" w:rsidR="003A1C4B" w:rsidRDefault="00AB1B71" w:rsidP="003A1C4B">
            <w:r>
              <w:rPr>
                <w:rFonts w:ascii="Univers BoldExt" w:hAnsi="Univers BoldExt"/>
                <w:noProof/>
                <w:color w:val="999999"/>
                <w:spacing w:val="100"/>
                <w:lang w:eastAsia="en-GB"/>
              </w:rPr>
              <w:drawing>
                <wp:inline distT="0" distB="0" distL="0" distR="0" wp14:anchorId="3966C410" wp14:editId="367C6857">
                  <wp:extent cx="612000" cy="674603"/>
                  <wp:effectExtent l="0" t="0" r="0" b="0"/>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00" cy="674603"/>
                          </a:xfrm>
                          <a:prstGeom prst="rect">
                            <a:avLst/>
                          </a:prstGeom>
                        </pic:spPr>
                      </pic:pic>
                    </a:graphicData>
                  </a:graphic>
                </wp:inline>
              </w:drawing>
            </w:r>
          </w:p>
        </w:tc>
      </w:tr>
    </w:tbl>
    <w:p w14:paraId="4827984A" w14:textId="77777777" w:rsidR="007449E2" w:rsidRDefault="007449E2" w:rsidP="00567832">
      <w:pPr>
        <w:tabs>
          <w:tab w:val="clear" w:pos="794"/>
          <w:tab w:val="clear" w:pos="1191"/>
          <w:tab w:val="clear" w:pos="1588"/>
          <w:tab w:val="clear" w:pos="1985"/>
          <w:tab w:val="left" w:pos="5245"/>
        </w:tabs>
        <w:rPr>
          <w:lang w:eastAsia="zh-CN"/>
        </w:rPr>
      </w:pPr>
    </w:p>
    <w:p w14:paraId="4827984B" w14:textId="77777777" w:rsidR="00CD1443" w:rsidRDefault="00CD1443" w:rsidP="00B64353">
      <w:pPr>
        <w:tabs>
          <w:tab w:val="clear" w:pos="794"/>
          <w:tab w:val="clear" w:pos="1191"/>
          <w:tab w:val="clear" w:pos="1588"/>
          <w:tab w:val="clear" w:pos="1985"/>
          <w:tab w:val="left" w:pos="5245"/>
        </w:tabs>
        <w:rPr>
          <w:lang w:eastAsia="zh-CN"/>
        </w:rPr>
        <w:sectPr w:rsidR="00CD1443" w:rsidSect="003A1C4B">
          <w:headerReference w:type="default" r:id="rId9"/>
          <w:footerReference w:type="even" r:id="rId10"/>
          <w:footerReference w:type="default" r:id="rId11"/>
          <w:headerReference w:type="first" r:id="rId12"/>
          <w:footnotePr>
            <w:pos w:val="beneathText"/>
          </w:footnotePr>
          <w:endnotePr>
            <w:numFmt w:val="decimal"/>
          </w:endnotePr>
          <w:type w:val="nextColumn"/>
          <w:pgSz w:w="11907" w:h="16840" w:code="9"/>
          <w:pgMar w:top="1418" w:right="1134" w:bottom="1134" w:left="1134" w:header="737" w:footer="567" w:gutter="284"/>
          <w:cols w:space="720"/>
          <w:titlePg/>
        </w:sectPr>
      </w:pPr>
    </w:p>
    <w:p w14:paraId="4827984C" w14:textId="77777777" w:rsidR="00CD1443" w:rsidRDefault="00CD1443" w:rsidP="00B64353">
      <w:pPr>
        <w:tabs>
          <w:tab w:val="clear" w:pos="794"/>
          <w:tab w:val="clear" w:pos="1191"/>
          <w:tab w:val="clear" w:pos="1588"/>
          <w:tab w:val="clear" w:pos="1985"/>
          <w:tab w:val="left" w:pos="5245"/>
        </w:tabs>
        <w:rPr>
          <w:lang w:eastAsia="zh-CN"/>
        </w:rPr>
      </w:pPr>
    </w:p>
    <w:p w14:paraId="4827984D" w14:textId="77777777" w:rsidR="00AC3B70" w:rsidRDefault="00AC3B70" w:rsidP="00B64353">
      <w:pPr>
        <w:tabs>
          <w:tab w:val="clear" w:pos="794"/>
          <w:tab w:val="clear" w:pos="1191"/>
          <w:tab w:val="clear" w:pos="1588"/>
          <w:tab w:val="clear" w:pos="1985"/>
          <w:tab w:val="left" w:pos="5245"/>
        </w:tabs>
        <w:rPr>
          <w:sz w:val="18"/>
          <w:szCs w:val="18"/>
          <w:lang w:eastAsia="zh-CN"/>
        </w:rPr>
      </w:pPr>
    </w:p>
    <w:p w14:paraId="4827984E" w14:textId="77777777" w:rsidR="00AE7C1F" w:rsidRDefault="00AE7C1F" w:rsidP="00B64353">
      <w:pPr>
        <w:tabs>
          <w:tab w:val="clear" w:pos="794"/>
          <w:tab w:val="clear" w:pos="1191"/>
          <w:tab w:val="clear" w:pos="1588"/>
          <w:tab w:val="clear" w:pos="1985"/>
        </w:tabs>
        <w:rPr>
          <w:sz w:val="18"/>
          <w:szCs w:val="18"/>
          <w:lang w:eastAsia="zh-CN"/>
        </w:rPr>
      </w:pPr>
    </w:p>
    <w:p w14:paraId="4827984F" w14:textId="77777777" w:rsidR="00AE7C1F" w:rsidRDefault="00AE7C1F" w:rsidP="00B64353">
      <w:pPr>
        <w:tabs>
          <w:tab w:val="clear" w:pos="794"/>
          <w:tab w:val="clear" w:pos="1191"/>
          <w:tab w:val="clear" w:pos="1588"/>
          <w:tab w:val="clear" w:pos="1985"/>
        </w:tabs>
        <w:rPr>
          <w:sz w:val="18"/>
          <w:szCs w:val="18"/>
          <w:lang w:eastAsia="zh-CN"/>
        </w:rPr>
      </w:pPr>
    </w:p>
    <w:p w14:paraId="48279850" w14:textId="77777777" w:rsidR="00AE7C1F" w:rsidRDefault="00AE7C1F" w:rsidP="00B64353">
      <w:pPr>
        <w:tabs>
          <w:tab w:val="clear" w:pos="794"/>
          <w:tab w:val="clear" w:pos="1191"/>
          <w:tab w:val="clear" w:pos="1588"/>
          <w:tab w:val="clear" w:pos="1985"/>
        </w:tabs>
        <w:rPr>
          <w:sz w:val="18"/>
          <w:szCs w:val="18"/>
          <w:lang w:eastAsia="zh-CN"/>
        </w:rPr>
      </w:pPr>
    </w:p>
    <w:p w14:paraId="48279851" w14:textId="77777777" w:rsidR="00AE7C1F" w:rsidRDefault="00AE7C1F" w:rsidP="00B64353">
      <w:pPr>
        <w:tabs>
          <w:tab w:val="clear" w:pos="794"/>
          <w:tab w:val="clear" w:pos="1191"/>
          <w:tab w:val="clear" w:pos="1588"/>
          <w:tab w:val="clear" w:pos="1985"/>
        </w:tabs>
        <w:rPr>
          <w:sz w:val="18"/>
          <w:szCs w:val="18"/>
          <w:lang w:eastAsia="zh-CN"/>
        </w:rPr>
      </w:pPr>
    </w:p>
    <w:p w14:paraId="48279852" w14:textId="77777777" w:rsidR="00AE7C1F" w:rsidRDefault="00AE7C1F" w:rsidP="00B64353">
      <w:pPr>
        <w:tabs>
          <w:tab w:val="clear" w:pos="794"/>
          <w:tab w:val="clear" w:pos="1191"/>
          <w:tab w:val="clear" w:pos="1588"/>
          <w:tab w:val="clear" w:pos="1985"/>
        </w:tabs>
        <w:rPr>
          <w:sz w:val="18"/>
          <w:szCs w:val="18"/>
          <w:lang w:eastAsia="zh-CN"/>
        </w:rPr>
      </w:pPr>
    </w:p>
    <w:p w14:paraId="48279853" w14:textId="77777777" w:rsidR="00AE7C1F" w:rsidRDefault="00AE7C1F" w:rsidP="00B64353">
      <w:pPr>
        <w:tabs>
          <w:tab w:val="clear" w:pos="794"/>
          <w:tab w:val="clear" w:pos="1191"/>
          <w:tab w:val="clear" w:pos="1588"/>
          <w:tab w:val="clear" w:pos="1985"/>
        </w:tabs>
        <w:rPr>
          <w:sz w:val="18"/>
          <w:szCs w:val="18"/>
          <w:lang w:eastAsia="zh-CN"/>
        </w:rPr>
      </w:pPr>
    </w:p>
    <w:p w14:paraId="48279854" w14:textId="77777777" w:rsidR="00AE7C1F" w:rsidRDefault="00AE7C1F" w:rsidP="00B64353">
      <w:pPr>
        <w:tabs>
          <w:tab w:val="clear" w:pos="794"/>
          <w:tab w:val="clear" w:pos="1191"/>
          <w:tab w:val="clear" w:pos="1588"/>
          <w:tab w:val="clear" w:pos="1985"/>
        </w:tabs>
        <w:rPr>
          <w:sz w:val="18"/>
          <w:szCs w:val="18"/>
          <w:lang w:eastAsia="zh-CN"/>
        </w:rPr>
      </w:pPr>
    </w:p>
    <w:p w14:paraId="48279855" w14:textId="77777777" w:rsidR="00AE7C1F" w:rsidRDefault="00AE7C1F" w:rsidP="00B64353">
      <w:pPr>
        <w:tabs>
          <w:tab w:val="clear" w:pos="794"/>
          <w:tab w:val="clear" w:pos="1191"/>
          <w:tab w:val="clear" w:pos="1588"/>
          <w:tab w:val="clear" w:pos="1985"/>
        </w:tabs>
        <w:rPr>
          <w:sz w:val="18"/>
          <w:szCs w:val="18"/>
          <w:lang w:eastAsia="zh-CN"/>
        </w:rPr>
      </w:pPr>
    </w:p>
    <w:p w14:paraId="48279856" w14:textId="77777777" w:rsidR="00AE7C1F" w:rsidRDefault="00AE7C1F" w:rsidP="00B64353">
      <w:pPr>
        <w:tabs>
          <w:tab w:val="clear" w:pos="794"/>
          <w:tab w:val="clear" w:pos="1191"/>
          <w:tab w:val="clear" w:pos="1588"/>
          <w:tab w:val="clear" w:pos="1985"/>
        </w:tabs>
        <w:rPr>
          <w:sz w:val="18"/>
          <w:szCs w:val="18"/>
          <w:lang w:eastAsia="zh-CN"/>
        </w:rPr>
      </w:pPr>
    </w:p>
    <w:p w14:paraId="48279857" w14:textId="77777777" w:rsidR="00AE7C1F" w:rsidRDefault="00AE7C1F" w:rsidP="00B64353">
      <w:pPr>
        <w:tabs>
          <w:tab w:val="clear" w:pos="794"/>
          <w:tab w:val="clear" w:pos="1191"/>
          <w:tab w:val="clear" w:pos="1588"/>
          <w:tab w:val="clear" w:pos="1985"/>
        </w:tabs>
        <w:rPr>
          <w:sz w:val="18"/>
          <w:szCs w:val="18"/>
          <w:lang w:eastAsia="zh-CN"/>
        </w:rPr>
      </w:pPr>
    </w:p>
    <w:p w14:paraId="48279858" w14:textId="77777777" w:rsidR="00AE7C1F" w:rsidRDefault="00AE7C1F" w:rsidP="00B64353">
      <w:pPr>
        <w:tabs>
          <w:tab w:val="clear" w:pos="794"/>
          <w:tab w:val="clear" w:pos="1191"/>
          <w:tab w:val="clear" w:pos="1588"/>
          <w:tab w:val="clear" w:pos="1985"/>
        </w:tabs>
        <w:rPr>
          <w:sz w:val="18"/>
          <w:szCs w:val="18"/>
          <w:lang w:eastAsia="zh-CN"/>
        </w:rPr>
      </w:pPr>
    </w:p>
    <w:p w14:paraId="48279859" w14:textId="77777777" w:rsidR="00AE7C1F" w:rsidRDefault="00AE7C1F" w:rsidP="00B64353">
      <w:pPr>
        <w:tabs>
          <w:tab w:val="clear" w:pos="794"/>
          <w:tab w:val="clear" w:pos="1191"/>
          <w:tab w:val="clear" w:pos="1588"/>
          <w:tab w:val="clear" w:pos="1985"/>
        </w:tabs>
        <w:rPr>
          <w:sz w:val="18"/>
          <w:szCs w:val="18"/>
          <w:lang w:eastAsia="zh-CN"/>
        </w:rPr>
      </w:pPr>
    </w:p>
    <w:p w14:paraId="4827985A" w14:textId="77777777" w:rsidR="00AE7C1F" w:rsidRDefault="00AE7C1F" w:rsidP="00B64353">
      <w:pPr>
        <w:tabs>
          <w:tab w:val="clear" w:pos="794"/>
          <w:tab w:val="clear" w:pos="1191"/>
          <w:tab w:val="clear" w:pos="1588"/>
          <w:tab w:val="clear" w:pos="1985"/>
        </w:tabs>
        <w:rPr>
          <w:sz w:val="18"/>
          <w:szCs w:val="18"/>
          <w:lang w:eastAsia="zh-CN"/>
        </w:rPr>
      </w:pPr>
    </w:p>
    <w:p w14:paraId="4827985B" w14:textId="77777777" w:rsidR="00AE7C1F" w:rsidRDefault="00AE7C1F" w:rsidP="00B64353">
      <w:pPr>
        <w:tabs>
          <w:tab w:val="clear" w:pos="794"/>
          <w:tab w:val="clear" w:pos="1191"/>
          <w:tab w:val="clear" w:pos="1588"/>
          <w:tab w:val="clear" w:pos="1985"/>
        </w:tabs>
        <w:rPr>
          <w:sz w:val="18"/>
          <w:szCs w:val="18"/>
          <w:lang w:eastAsia="zh-CN"/>
        </w:rPr>
      </w:pPr>
    </w:p>
    <w:p w14:paraId="4827985C" w14:textId="77777777" w:rsidR="00AE7C1F" w:rsidRDefault="00AE7C1F" w:rsidP="00B64353">
      <w:pPr>
        <w:tabs>
          <w:tab w:val="clear" w:pos="794"/>
          <w:tab w:val="clear" w:pos="1191"/>
          <w:tab w:val="clear" w:pos="1588"/>
          <w:tab w:val="clear" w:pos="1985"/>
        </w:tabs>
        <w:rPr>
          <w:sz w:val="18"/>
          <w:szCs w:val="18"/>
          <w:lang w:eastAsia="zh-CN"/>
        </w:rPr>
      </w:pPr>
    </w:p>
    <w:p w14:paraId="4827985D" w14:textId="77777777" w:rsidR="00AE7C1F" w:rsidRDefault="00AE7C1F" w:rsidP="00B64353">
      <w:pPr>
        <w:tabs>
          <w:tab w:val="clear" w:pos="794"/>
          <w:tab w:val="clear" w:pos="1191"/>
          <w:tab w:val="clear" w:pos="1588"/>
          <w:tab w:val="clear" w:pos="1985"/>
        </w:tabs>
        <w:rPr>
          <w:sz w:val="18"/>
          <w:szCs w:val="18"/>
          <w:lang w:eastAsia="zh-CN"/>
        </w:rPr>
      </w:pPr>
    </w:p>
    <w:p w14:paraId="4827985E" w14:textId="77777777" w:rsidR="00AE7C1F" w:rsidRDefault="00AE7C1F" w:rsidP="00B64353">
      <w:pPr>
        <w:tabs>
          <w:tab w:val="clear" w:pos="794"/>
          <w:tab w:val="clear" w:pos="1191"/>
          <w:tab w:val="clear" w:pos="1588"/>
          <w:tab w:val="clear" w:pos="1985"/>
        </w:tabs>
        <w:rPr>
          <w:sz w:val="18"/>
          <w:szCs w:val="18"/>
          <w:lang w:eastAsia="zh-CN"/>
        </w:rPr>
      </w:pPr>
    </w:p>
    <w:p w14:paraId="4827985F" w14:textId="77777777" w:rsidR="00AE7C1F" w:rsidRDefault="00AE7C1F" w:rsidP="00B64353">
      <w:pPr>
        <w:tabs>
          <w:tab w:val="clear" w:pos="794"/>
          <w:tab w:val="clear" w:pos="1191"/>
          <w:tab w:val="clear" w:pos="1588"/>
          <w:tab w:val="clear" w:pos="1985"/>
        </w:tabs>
        <w:rPr>
          <w:sz w:val="18"/>
          <w:szCs w:val="18"/>
          <w:lang w:eastAsia="zh-CN"/>
        </w:rPr>
      </w:pPr>
    </w:p>
    <w:p w14:paraId="48279860" w14:textId="77777777" w:rsidR="00AE7C1F" w:rsidRDefault="00AE7C1F" w:rsidP="00B64353">
      <w:pPr>
        <w:tabs>
          <w:tab w:val="clear" w:pos="794"/>
          <w:tab w:val="clear" w:pos="1191"/>
          <w:tab w:val="clear" w:pos="1588"/>
          <w:tab w:val="clear" w:pos="1985"/>
        </w:tabs>
        <w:rPr>
          <w:sz w:val="18"/>
          <w:szCs w:val="18"/>
          <w:lang w:eastAsia="zh-CN"/>
        </w:rPr>
      </w:pPr>
    </w:p>
    <w:p w14:paraId="48279861" w14:textId="77777777" w:rsidR="00AE7C1F" w:rsidRDefault="00AE7C1F" w:rsidP="00B64353">
      <w:pPr>
        <w:tabs>
          <w:tab w:val="clear" w:pos="794"/>
          <w:tab w:val="clear" w:pos="1191"/>
          <w:tab w:val="clear" w:pos="1588"/>
          <w:tab w:val="clear" w:pos="1985"/>
        </w:tabs>
        <w:rPr>
          <w:sz w:val="18"/>
          <w:szCs w:val="18"/>
          <w:lang w:eastAsia="zh-CN"/>
        </w:rPr>
      </w:pPr>
    </w:p>
    <w:p w14:paraId="48279862" w14:textId="77777777" w:rsidR="00AE7C1F" w:rsidRDefault="00AE7C1F" w:rsidP="00B64353">
      <w:pPr>
        <w:tabs>
          <w:tab w:val="clear" w:pos="794"/>
          <w:tab w:val="clear" w:pos="1191"/>
          <w:tab w:val="clear" w:pos="1588"/>
          <w:tab w:val="clear" w:pos="1985"/>
        </w:tabs>
        <w:rPr>
          <w:sz w:val="18"/>
          <w:szCs w:val="18"/>
          <w:lang w:eastAsia="zh-CN"/>
        </w:rPr>
      </w:pPr>
    </w:p>
    <w:p w14:paraId="48279863" w14:textId="77777777" w:rsidR="00AE7C1F" w:rsidRDefault="00AE7C1F" w:rsidP="00B64353">
      <w:pPr>
        <w:tabs>
          <w:tab w:val="clear" w:pos="794"/>
          <w:tab w:val="clear" w:pos="1191"/>
          <w:tab w:val="clear" w:pos="1588"/>
          <w:tab w:val="clear" w:pos="1985"/>
        </w:tabs>
        <w:rPr>
          <w:sz w:val="18"/>
          <w:szCs w:val="18"/>
          <w:lang w:eastAsia="zh-CN"/>
        </w:rPr>
      </w:pPr>
    </w:p>
    <w:p w14:paraId="48279864" w14:textId="77777777" w:rsidR="00AE7C1F" w:rsidRDefault="00AE7C1F" w:rsidP="00B64353">
      <w:pPr>
        <w:tabs>
          <w:tab w:val="clear" w:pos="794"/>
          <w:tab w:val="clear" w:pos="1191"/>
          <w:tab w:val="clear" w:pos="1588"/>
          <w:tab w:val="clear" w:pos="1985"/>
        </w:tabs>
        <w:rPr>
          <w:sz w:val="18"/>
          <w:szCs w:val="18"/>
          <w:lang w:eastAsia="zh-CN"/>
        </w:rPr>
      </w:pPr>
    </w:p>
    <w:p w14:paraId="48279865" w14:textId="77777777" w:rsidR="00AE7C1F" w:rsidRDefault="00AE7C1F" w:rsidP="00B64353">
      <w:pPr>
        <w:tabs>
          <w:tab w:val="clear" w:pos="794"/>
          <w:tab w:val="clear" w:pos="1191"/>
          <w:tab w:val="clear" w:pos="1588"/>
          <w:tab w:val="clear" w:pos="1985"/>
        </w:tabs>
        <w:rPr>
          <w:sz w:val="18"/>
          <w:szCs w:val="18"/>
          <w:lang w:eastAsia="zh-CN"/>
        </w:rPr>
      </w:pPr>
    </w:p>
    <w:p w14:paraId="48279866" w14:textId="1CC25A5D" w:rsidR="00781F81" w:rsidRPr="00C80979" w:rsidRDefault="00781F81" w:rsidP="002A2851">
      <w:pPr>
        <w:jc w:val="left"/>
        <w:rPr>
          <w:rtl/>
          <w:lang w:val="en-US"/>
        </w:rPr>
      </w:pPr>
      <w:r>
        <w:rPr>
          <w:lang w:val="en-US" w:eastAsia="zh-CN"/>
        </w:rPr>
        <w:t>ISBN</w:t>
      </w:r>
      <w:r w:rsidR="00B843E7">
        <w:rPr>
          <w:rFonts w:hint="eastAsia"/>
          <w:lang w:val="en-US" w:eastAsia="zh-CN"/>
        </w:rPr>
        <w:t>：</w:t>
      </w:r>
      <w:r>
        <w:rPr>
          <w:lang w:val="en-US" w:eastAsia="zh-CN"/>
        </w:rPr>
        <w:br/>
      </w:r>
      <w:r w:rsidRPr="006560E9">
        <w:rPr>
          <w:sz w:val="22"/>
          <w:szCs w:val="22"/>
          <w:lang w:eastAsia="zh-CN"/>
        </w:rPr>
        <w:t>978-92-61-</w:t>
      </w:r>
      <w:r w:rsidR="00DF4592">
        <w:rPr>
          <w:sz w:val="22"/>
          <w:szCs w:val="22"/>
          <w:lang w:eastAsia="zh-CN"/>
        </w:rPr>
        <w:t>3</w:t>
      </w:r>
      <w:r w:rsidR="00CF4B8F">
        <w:rPr>
          <w:sz w:val="22"/>
          <w:szCs w:val="22"/>
          <w:lang w:eastAsia="zh-CN"/>
        </w:rPr>
        <w:t>5505</w:t>
      </w:r>
      <w:r w:rsidRPr="006560E9">
        <w:rPr>
          <w:sz w:val="22"/>
          <w:szCs w:val="22"/>
          <w:lang w:eastAsia="zh-CN"/>
        </w:rPr>
        <w:t>-</w:t>
      </w:r>
      <w:r w:rsidR="00CF4B8F">
        <w:rPr>
          <w:sz w:val="22"/>
          <w:szCs w:val="22"/>
          <w:lang w:eastAsia="zh-CN"/>
        </w:rPr>
        <w:t>0</w:t>
      </w:r>
      <w:r w:rsidR="006560E9" w:rsidRPr="006560E9">
        <w:rPr>
          <w:rFonts w:hint="eastAsia"/>
          <w:sz w:val="21"/>
          <w:szCs w:val="21"/>
          <w:lang w:val="en-US" w:eastAsia="zh-CN"/>
        </w:rPr>
        <w:t>（纸</w:t>
      </w:r>
      <w:r w:rsidR="006560E9" w:rsidRPr="006560E9">
        <w:rPr>
          <w:sz w:val="21"/>
          <w:szCs w:val="21"/>
          <w:lang w:val="en-US" w:eastAsia="zh-CN"/>
        </w:rPr>
        <w:t>页版本）</w:t>
      </w:r>
      <w:r>
        <w:rPr>
          <w:lang w:val="en-US" w:eastAsia="zh-CN"/>
        </w:rPr>
        <w:br/>
      </w:r>
      <w:r w:rsidRPr="006560E9">
        <w:rPr>
          <w:sz w:val="22"/>
          <w:szCs w:val="22"/>
          <w:lang w:eastAsia="zh-CN"/>
        </w:rPr>
        <w:t>978-92-61-</w:t>
      </w:r>
      <w:r w:rsidR="00DF4592">
        <w:rPr>
          <w:sz w:val="22"/>
          <w:szCs w:val="22"/>
          <w:lang w:eastAsia="zh-CN"/>
        </w:rPr>
        <w:t>3</w:t>
      </w:r>
      <w:r w:rsidR="00CF4B8F">
        <w:rPr>
          <w:sz w:val="22"/>
          <w:szCs w:val="22"/>
          <w:lang w:eastAsia="zh-CN"/>
        </w:rPr>
        <w:t>551</w:t>
      </w:r>
      <w:r w:rsidR="00DF4592">
        <w:rPr>
          <w:sz w:val="22"/>
          <w:szCs w:val="22"/>
          <w:lang w:eastAsia="zh-CN"/>
        </w:rPr>
        <w:t>5</w:t>
      </w:r>
      <w:r w:rsidRPr="006560E9">
        <w:rPr>
          <w:sz w:val="22"/>
          <w:szCs w:val="22"/>
          <w:lang w:eastAsia="zh-CN"/>
        </w:rPr>
        <w:t>-</w:t>
      </w:r>
      <w:r w:rsidR="00CF4B8F">
        <w:rPr>
          <w:sz w:val="22"/>
          <w:szCs w:val="22"/>
          <w:lang w:eastAsia="zh-CN"/>
        </w:rPr>
        <w:t>9</w:t>
      </w:r>
      <w:r w:rsidR="006560E9">
        <w:rPr>
          <w:rFonts w:hint="eastAsia"/>
          <w:sz w:val="21"/>
          <w:szCs w:val="21"/>
          <w:lang w:eastAsia="zh-CN"/>
        </w:rPr>
        <w:t>（电子</w:t>
      </w:r>
      <w:r w:rsidR="006560E9">
        <w:rPr>
          <w:sz w:val="21"/>
          <w:szCs w:val="21"/>
          <w:lang w:eastAsia="zh-CN"/>
        </w:rPr>
        <w:t>版本）</w:t>
      </w:r>
    </w:p>
    <w:p w14:paraId="48279867" w14:textId="77777777" w:rsidR="00AE7C1F" w:rsidRDefault="00AE7C1F" w:rsidP="00B64353">
      <w:pPr>
        <w:tabs>
          <w:tab w:val="clear" w:pos="794"/>
          <w:tab w:val="clear" w:pos="1191"/>
          <w:tab w:val="clear" w:pos="1588"/>
          <w:tab w:val="clear" w:pos="1985"/>
        </w:tabs>
        <w:rPr>
          <w:sz w:val="18"/>
          <w:szCs w:val="18"/>
          <w:lang w:eastAsia="zh-CN"/>
        </w:rPr>
      </w:pPr>
    </w:p>
    <w:p w14:paraId="48279868" w14:textId="77777777" w:rsidR="00AE7C1F" w:rsidRDefault="00AE7C1F" w:rsidP="00B64353">
      <w:pPr>
        <w:tabs>
          <w:tab w:val="clear" w:pos="794"/>
          <w:tab w:val="clear" w:pos="1191"/>
          <w:tab w:val="clear" w:pos="1588"/>
          <w:tab w:val="clear" w:pos="1985"/>
        </w:tabs>
        <w:rPr>
          <w:sz w:val="18"/>
          <w:szCs w:val="18"/>
          <w:lang w:eastAsia="zh-CN"/>
        </w:rPr>
      </w:pPr>
    </w:p>
    <w:p w14:paraId="48279869" w14:textId="77777777" w:rsidR="00AE7C1F" w:rsidRDefault="00AE7C1F" w:rsidP="00B64353">
      <w:pPr>
        <w:tabs>
          <w:tab w:val="clear" w:pos="794"/>
          <w:tab w:val="clear" w:pos="1191"/>
          <w:tab w:val="clear" w:pos="1588"/>
          <w:tab w:val="clear" w:pos="1985"/>
        </w:tabs>
        <w:rPr>
          <w:sz w:val="18"/>
          <w:szCs w:val="18"/>
          <w:lang w:eastAsia="zh-CN"/>
        </w:rPr>
      </w:pPr>
    </w:p>
    <w:p w14:paraId="4827986A" w14:textId="77777777" w:rsidR="00AE7C1F" w:rsidRDefault="00AE7C1F" w:rsidP="00B64353">
      <w:pPr>
        <w:tabs>
          <w:tab w:val="clear" w:pos="794"/>
          <w:tab w:val="clear" w:pos="1191"/>
          <w:tab w:val="clear" w:pos="1588"/>
          <w:tab w:val="clear" w:pos="1985"/>
        </w:tabs>
        <w:rPr>
          <w:sz w:val="18"/>
          <w:szCs w:val="18"/>
          <w:lang w:eastAsia="zh-CN"/>
        </w:rPr>
      </w:pPr>
    </w:p>
    <w:p w14:paraId="4827986B" w14:textId="77777777" w:rsidR="00AE7C1F" w:rsidRDefault="00AE7C1F" w:rsidP="00B64353">
      <w:pPr>
        <w:tabs>
          <w:tab w:val="clear" w:pos="794"/>
          <w:tab w:val="clear" w:pos="1191"/>
          <w:tab w:val="clear" w:pos="1588"/>
          <w:tab w:val="clear" w:pos="1985"/>
        </w:tabs>
        <w:rPr>
          <w:sz w:val="18"/>
          <w:szCs w:val="18"/>
          <w:lang w:eastAsia="zh-CN"/>
        </w:rPr>
      </w:pPr>
    </w:p>
    <w:p w14:paraId="4827986C" w14:textId="77777777" w:rsidR="002E3E6B" w:rsidRDefault="002E3E6B" w:rsidP="00B64353">
      <w:pPr>
        <w:tabs>
          <w:tab w:val="clear" w:pos="794"/>
          <w:tab w:val="clear" w:pos="1191"/>
          <w:tab w:val="clear" w:pos="1588"/>
          <w:tab w:val="clear" w:pos="1985"/>
        </w:tabs>
        <w:rPr>
          <w:sz w:val="18"/>
          <w:szCs w:val="18"/>
          <w:lang w:eastAsia="zh-CN"/>
        </w:rPr>
      </w:pPr>
    </w:p>
    <w:p w14:paraId="4827986D" w14:textId="77777777" w:rsidR="00567832" w:rsidRDefault="00567832" w:rsidP="00B64353">
      <w:pPr>
        <w:tabs>
          <w:tab w:val="clear" w:pos="794"/>
          <w:tab w:val="clear" w:pos="1191"/>
          <w:tab w:val="clear" w:pos="1588"/>
          <w:tab w:val="clear" w:pos="1985"/>
        </w:tabs>
        <w:rPr>
          <w:sz w:val="18"/>
          <w:szCs w:val="18"/>
          <w:lang w:eastAsia="zh-CN"/>
        </w:rPr>
      </w:pPr>
    </w:p>
    <w:p w14:paraId="4827986E" w14:textId="77777777" w:rsidR="00567832" w:rsidRDefault="00567832" w:rsidP="00B64353">
      <w:pPr>
        <w:tabs>
          <w:tab w:val="clear" w:pos="794"/>
          <w:tab w:val="clear" w:pos="1191"/>
          <w:tab w:val="clear" w:pos="1588"/>
          <w:tab w:val="clear" w:pos="1985"/>
        </w:tabs>
        <w:rPr>
          <w:sz w:val="18"/>
          <w:szCs w:val="18"/>
          <w:lang w:eastAsia="zh-CN"/>
        </w:rPr>
      </w:pPr>
    </w:p>
    <w:p w14:paraId="4827986F" w14:textId="77777777" w:rsidR="002E3E6B" w:rsidRPr="00D746C3" w:rsidRDefault="002E3E6B" w:rsidP="00B64353">
      <w:pPr>
        <w:tabs>
          <w:tab w:val="clear" w:pos="794"/>
          <w:tab w:val="clear" w:pos="1191"/>
          <w:tab w:val="clear" w:pos="1588"/>
          <w:tab w:val="clear" w:pos="1985"/>
        </w:tabs>
        <w:rPr>
          <w:sz w:val="18"/>
          <w:szCs w:val="18"/>
          <w:lang w:eastAsia="zh-CN"/>
        </w:rPr>
      </w:pPr>
    </w:p>
    <w:p w14:paraId="48279870" w14:textId="0C4C80F5" w:rsidR="0065195F" w:rsidRPr="00D566E0" w:rsidRDefault="0065195F" w:rsidP="0087464A">
      <w:pPr>
        <w:jc w:val="center"/>
        <w:rPr>
          <w:szCs w:val="22"/>
          <w:lang w:val="en-US" w:eastAsia="zh-CN"/>
        </w:rPr>
      </w:pPr>
      <w:r w:rsidRPr="00D566E0">
        <w:rPr>
          <w:szCs w:val="22"/>
        </w:rPr>
        <w:sym w:font="Symbol" w:char="F0D3"/>
      </w:r>
      <w:r w:rsidRPr="00D566E0">
        <w:rPr>
          <w:szCs w:val="22"/>
          <w:lang w:eastAsia="zh-CN"/>
        </w:rPr>
        <w:t>  </w:t>
      </w:r>
      <w:r w:rsidR="00F06C58" w:rsidRPr="00D566E0">
        <w:rPr>
          <w:szCs w:val="22"/>
          <w:lang w:val="en-US" w:eastAsia="zh-CN"/>
        </w:rPr>
        <w:t>ITU</w:t>
      </w:r>
      <w:r w:rsidR="00EC6F2C" w:rsidRPr="00D566E0">
        <w:rPr>
          <w:szCs w:val="22"/>
          <w:lang w:eastAsia="zh-CN"/>
        </w:rPr>
        <w:t> 20</w:t>
      </w:r>
      <w:r w:rsidR="00DF4592">
        <w:rPr>
          <w:szCs w:val="22"/>
          <w:lang w:eastAsia="zh-CN"/>
        </w:rPr>
        <w:t>2</w:t>
      </w:r>
      <w:r w:rsidR="001326A9">
        <w:rPr>
          <w:rFonts w:hint="eastAsia"/>
          <w:szCs w:val="22"/>
          <w:lang w:eastAsia="zh-CN"/>
        </w:rPr>
        <w:t>1</w:t>
      </w:r>
    </w:p>
    <w:p w14:paraId="48279871" w14:textId="77777777" w:rsidR="00F7210C" w:rsidRDefault="00C444B2" w:rsidP="002E3E6B">
      <w:pPr>
        <w:rPr>
          <w:lang w:eastAsia="zh-CN"/>
        </w:rPr>
      </w:pPr>
      <w:r>
        <w:rPr>
          <w:rFonts w:hint="eastAsia"/>
          <w:lang w:eastAsia="zh-CN"/>
        </w:rPr>
        <w:t>版权所有。未经国际电联事先书面许可，不得以任何手段复制本出版物的任何部分。</w:t>
      </w:r>
    </w:p>
    <w:p w14:paraId="48279872" w14:textId="77777777" w:rsidR="00567832" w:rsidRDefault="00567832" w:rsidP="002E3E6B">
      <w:pPr>
        <w:rPr>
          <w:lang w:eastAsia="zh-CN"/>
        </w:rPr>
      </w:pPr>
    </w:p>
    <w:p w14:paraId="48279873" w14:textId="77777777" w:rsidR="00567832" w:rsidRDefault="00567832" w:rsidP="002E3E6B">
      <w:pPr>
        <w:rPr>
          <w:lang w:eastAsia="zh-CN"/>
        </w:rPr>
        <w:sectPr w:rsidR="00567832" w:rsidSect="003A1C4B">
          <w:headerReference w:type="even" r:id="rId13"/>
          <w:headerReference w:type="default" r:id="rId14"/>
          <w:footerReference w:type="even" r:id="rId15"/>
          <w:headerReference w:type="first" r:id="rId16"/>
          <w:footnotePr>
            <w:pos w:val="beneathText"/>
          </w:footnotePr>
          <w:endnotePr>
            <w:numFmt w:val="decimal"/>
          </w:endnotePr>
          <w:type w:val="nextColumn"/>
          <w:pgSz w:w="11907" w:h="16840" w:code="9"/>
          <w:pgMar w:top="1418" w:right="1134" w:bottom="1134" w:left="1134" w:header="737" w:footer="567" w:gutter="284"/>
          <w:pgNumType w:fmt="lowerRoman"/>
          <w:cols w:space="720"/>
          <w:titlePg/>
        </w:sectPr>
      </w:pPr>
    </w:p>
    <w:p w14:paraId="48279874" w14:textId="77777777" w:rsidR="00AC3B70" w:rsidRPr="00D746C3" w:rsidRDefault="00F06C58" w:rsidP="00B64353">
      <w:pPr>
        <w:jc w:val="center"/>
        <w:rPr>
          <w:b/>
          <w:bCs/>
          <w:sz w:val="28"/>
          <w:lang w:eastAsia="zh-CN"/>
        </w:rPr>
      </w:pPr>
      <w:r>
        <w:rPr>
          <w:rFonts w:hint="eastAsia"/>
          <w:b/>
          <w:bCs/>
          <w:sz w:val="28"/>
          <w:lang w:val="en-US" w:eastAsia="zh-CN"/>
        </w:rPr>
        <w:lastRenderedPageBreak/>
        <w:t>总</w:t>
      </w:r>
      <w:r w:rsidR="00B043F3">
        <w:rPr>
          <w:rFonts w:hint="eastAsia"/>
          <w:b/>
          <w:bCs/>
          <w:sz w:val="28"/>
          <w:lang w:eastAsia="zh-CN"/>
        </w:rPr>
        <w:t>目录</w:t>
      </w:r>
    </w:p>
    <w:p w14:paraId="48279875" w14:textId="77777777" w:rsidR="00AC3B70" w:rsidRPr="00D14EA2" w:rsidRDefault="00B043F3" w:rsidP="00B64353">
      <w:pPr>
        <w:jc w:val="right"/>
        <w:rPr>
          <w:rFonts w:eastAsia="STKaiti"/>
          <w:b/>
          <w:bCs/>
          <w:szCs w:val="24"/>
          <w:lang w:eastAsia="zh-CN"/>
        </w:rPr>
      </w:pPr>
      <w:r w:rsidRPr="00D14EA2">
        <w:rPr>
          <w:rFonts w:eastAsia="STKaiti" w:hint="eastAsia"/>
          <w:b/>
          <w:bCs/>
          <w:szCs w:val="24"/>
          <w:lang w:eastAsia="zh-CN"/>
        </w:rPr>
        <w:t>页</w:t>
      </w:r>
      <w:r w:rsidR="00C444B2" w:rsidRPr="00D14EA2">
        <w:rPr>
          <w:rFonts w:eastAsia="STKaiti" w:hint="eastAsia"/>
          <w:b/>
          <w:bCs/>
          <w:szCs w:val="24"/>
          <w:lang w:eastAsia="zh-CN"/>
        </w:rPr>
        <w:t>码</w:t>
      </w:r>
    </w:p>
    <w:p w14:paraId="48279876" w14:textId="441E3C34" w:rsidR="005443B2" w:rsidRPr="005443B2" w:rsidRDefault="005443B2" w:rsidP="00D110A3">
      <w:pPr>
        <w:pStyle w:val="TOC10"/>
        <w:tabs>
          <w:tab w:val="clear" w:pos="1701"/>
          <w:tab w:val="left" w:pos="993"/>
        </w:tabs>
        <w:spacing w:before="240"/>
        <w:ind w:left="567" w:hanging="567"/>
        <w:rPr>
          <w:rStyle w:val="Hyperlink"/>
          <w:bCs/>
          <w:noProof/>
          <w:color w:val="000000" w:themeColor="text1"/>
          <w:szCs w:val="24"/>
        </w:rPr>
      </w:pPr>
      <w:r>
        <w:rPr>
          <w:rStyle w:val="Hyperlink"/>
          <w:b w:val="0"/>
          <w:bCs/>
          <w:noProof/>
          <w:color w:val="000000" w:themeColor="text1"/>
          <w:szCs w:val="24"/>
          <w:lang w:eastAsia="zh-CN"/>
        </w:rPr>
        <w:fldChar w:fldCharType="begin"/>
      </w:r>
      <w:r>
        <w:rPr>
          <w:rStyle w:val="Hyperlink"/>
          <w:b w:val="0"/>
          <w:bCs/>
          <w:noProof/>
          <w:color w:val="000000" w:themeColor="text1"/>
          <w:szCs w:val="24"/>
          <w:lang w:eastAsia="zh-CN"/>
        </w:rPr>
        <w:instrText xml:space="preserve"> TOC \h \z \t "Chap_No,1,Appendix_No,1" </w:instrText>
      </w:r>
      <w:r>
        <w:rPr>
          <w:rStyle w:val="Hyperlink"/>
          <w:b w:val="0"/>
          <w:bCs/>
          <w:noProof/>
          <w:color w:val="000000" w:themeColor="text1"/>
          <w:szCs w:val="24"/>
          <w:lang w:eastAsia="zh-CN"/>
        </w:rPr>
        <w:fldChar w:fldCharType="separate"/>
      </w:r>
      <w:hyperlink w:anchor="_Toc16173756" w:history="1">
        <w:r w:rsidRPr="005443B2">
          <w:rPr>
            <w:rStyle w:val="Hyperlink"/>
            <w:b w:val="0"/>
            <w:bCs/>
            <w:noProof/>
            <w:szCs w:val="24"/>
            <w:lang w:eastAsia="zh-CN"/>
          </w:rPr>
          <w:t>1</w:t>
        </w:r>
        <w:r w:rsidRPr="005443B2">
          <w:rPr>
            <w:rStyle w:val="Hyperlink"/>
            <w:bCs/>
            <w:noProof/>
            <w:szCs w:val="24"/>
          </w:rPr>
          <w:tab/>
        </w:r>
        <w:r w:rsidRPr="005443B2">
          <w:rPr>
            <w:rStyle w:val="Hyperlink"/>
            <w:rFonts w:hint="eastAsia"/>
            <w:b w:val="0"/>
            <w:bCs/>
            <w:noProof/>
            <w:szCs w:val="24"/>
            <w:lang w:eastAsia="zh-CN"/>
          </w:rPr>
          <w:t>财务</w:t>
        </w:r>
        <w:r w:rsidRPr="005443B2">
          <w:rPr>
            <w:rStyle w:val="Hyperlink"/>
            <w:b w:val="0"/>
            <w:bCs/>
            <w:noProof/>
            <w:webHidden/>
            <w:szCs w:val="24"/>
            <w:lang w:eastAsia="zh-CN"/>
          </w:rPr>
          <w:tab/>
        </w:r>
        <w:r>
          <w:rPr>
            <w:rStyle w:val="Hyperlink"/>
            <w:b w:val="0"/>
            <w:bCs/>
            <w:noProof/>
            <w:webHidden/>
            <w:szCs w:val="24"/>
            <w:lang w:eastAsia="zh-CN"/>
          </w:rPr>
          <w:tab/>
        </w:r>
        <w:r w:rsidRPr="005443B2">
          <w:rPr>
            <w:rStyle w:val="Hyperlink"/>
            <w:b w:val="0"/>
            <w:bCs/>
            <w:noProof/>
            <w:webHidden/>
            <w:szCs w:val="24"/>
            <w:lang w:eastAsia="zh-CN"/>
          </w:rPr>
          <w:fldChar w:fldCharType="begin"/>
        </w:r>
        <w:r w:rsidRPr="005443B2">
          <w:rPr>
            <w:rStyle w:val="Hyperlink"/>
            <w:b w:val="0"/>
            <w:bCs/>
            <w:noProof/>
            <w:webHidden/>
            <w:szCs w:val="24"/>
            <w:lang w:eastAsia="zh-CN"/>
          </w:rPr>
          <w:instrText xml:space="preserve"> PAGEREF _Toc16173756 \h </w:instrText>
        </w:r>
        <w:r w:rsidRPr="005443B2">
          <w:rPr>
            <w:rStyle w:val="Hyperlink"/>
            <w:b w:val="0"/>
            <w:bCs/>
            <w:noProof/>
            <w:webHidden/>
            <w:szCs w:val="24"/>
            <w:lang w:eastAsia="zh-CN"/>
          </w:rPr>
        </w:r>
        <w:r w:rsidRPr="005443B2">
          <w:rPr>
            <w:rStyle w:val="Hyperlink"/>
            <w:b w:val="0"/>
            <w:bCs/>
            <w:noProof/>
            <w:webHidden/>
            <w:szCs w:val="24"/>
            <w:lang w:eastAsia="zh-CN"/>
          </w:rPr>
          <w:fldChar w:fldCharType="separate"/>
        </w:r>
        <w:r w:rsidR="00E305D2">
          <w:rPr>
            <w:rStyle w:val="Hyperlink"/>
            <w:b w:val="0"/>
            <w:bCs/>
            <w:noProof/>
            <w:webHidden/>
            <w:szCs w:val="24"/>
            <w:lang w:eastAsia="zh-CN"/>
          </w:rPr>
          <w:t>1</w:t>
        </w:r>
        <w:r w:rsidRPr="005443B2">
          <w:rPr>
            <w:rStyle w:val="Hyperlink"/>
            <w:b w:val="0"/>
            <w:bCs/>
            <w:noProof/>
            <w:webHidden/>
            <w:szCs w:val="24"/>
            <w:lang w:eastAsia="zh-CN"/>
          </w:rPr>
          <w:fldChar w:fldCharType="end"/>
        </w:r>
      </w:hyperlink>
    </w:p>
    <w:p w14:paraId="48279877" w14:textId="27096612" w:rsidR="005443B2" w:rsidRPr="005443B2" w:rsidRDefault="00F71B18" w:rsidP="00D110A3">
      <w:pPr>
        <w:pStyle w:val="TOC10"/>
        <w:tabs>
          <w:tab w:val="clear" w:pos="1701"/>
          <w:tab w:val="left" w:pos="993"/>
        </w:tabs>
        <w:spacing w:before="240"/>
        <w:ind w:left="567" w:hanging="567"/>
        <w:rPr>
          <w:rStyle w:val="Hyperlink"/>
          <w:bCs/>
          <w:noProof/>
          <w:color w:val="000000" w:themeColor="text1"/>
          <w:szCs w:val="24"/>
        </w:rPr>
      </w:pPr>
      <w:hyperlink w:anchor="_Toc16173757" w:history="1">
        <w:r w:rsidR="005443B2" w:rsidRPr="005443B2">
          <w:rPr>
            <w:rStyle w:val="Hyperlink"/>
            <w:b w:val="0"/>
            <w:bCs/>
            <w:noProof/>
            <w:szCs w:val="24"/>
            <w:lang w:eastAsia="zh-CN"/>
          </w:rPr>
          <w:t>2</w:t>
        </w:r>
        <w:r w:rsidR="005443B2" w:rsidRPr="005443B2">
          <w:rPr>
            <w:rStyle w:val="Hyperlink"/>
            <w:bCs/>
            <w:noProof/>
            <w:szCs w:val="24"/>
          </w:rPr>
          <w:tab/>
        </w:r>
        <w:r w:rsidR="005443B2" w:rsidRPr="005443B2">
          <w:rPr>
            <w:rStyle w:val="Hyperlink"/>
            <w:rFonts w:hint="eastAsia"/>
            <w:b w:val="0"/>
            <w:bCs/>
            <w:noProof/>
            <w:szCs w:val="24"/>
            <w:lang w:eastAsia="zh-CN"/>
          </w:rPr>
          <w:t>人事</w:t>
        </w:r>
        <w:r w:rsidR="005443B2" w:rsidRPr="005443B2">
          <w:rPr>
            <w:rStyle w:val="Hyperlink"/>
            <w:b w:val="0"/>
            <w:bCs/>
            <w:noProof/>
            <w:webHidden/>
            <w:szCs w:val="24"/>
            <w:lang w:eastAsia="zh-CN"/>
          </w:rPr>
          <w:tab/>
        </w:r>
        <w:r w:rsidR="005443B2">
          <w:rPr>
            <w:rStyle w:val="Hyperlink"/>
            <w:b w:val="0"/>
            <w:bCs/>
            <w:noProof/>
            <w:webHidden/>
            <w:szCs w:val="24"/>
            <w:lang w:eastAsia="zh-CN"/>
          </w:rPr>
          <w:tab/>
        </w:r>
        <w:r w:rsidR="005443B2" w:rsidRPr="005443B2">
          <w:rPr>
            <w:rStyle w:val="Hyperlink"/>
            <w:b w:val="0"/>
            <w:bCs/>
            <w:noProof/>
            <w:webHidden/>
            <w:szCs w:val="24"/>
            <w:lang w:eastAsia="zh-CN"/>
          </w:rPr>
          <w:fldChar w:fldCharType="begin"/>
        </w:r>
        <w:r w:rsidR="005443B2" w:rsidRPr="005443B2">
          <w:rPr>
            <w:rStyle w:val="Hyperlink"/>
            <w:b w:val="0"/>
            <w:bCs/>
            <w:noProof/>
            <w:webHidden/>
            <w:szCs w:val="24"/>
            <w:lang w:eastAsia="zh-CN"/>
          </w:rPr>
          <w:instrText xml:space="preserve"> PAGEREF _Toc16173757 \h </w:instrText>
        </w:r>
        <w:r w:rsidR="005443B2" w:rsidRPr="005443B2">
          <w:rPr>
            <w:rStyle w:val="Hyperlink"/>
            <w:b w:val="0"/>
            <w:bCs/>
            <w:noProof/>
            <w:webHidden/>
            <w:szCs w:val="24"/>
            <w:lang w:eastAsia="zh-CN"/>
          </w:rPr>
        </w:r>
        <w:r w:rsidR="005443B2" w:rsidRPr="005443B2">
          <w:rPr>
            <w:rStyle w:val="Hyperlink"/>
            <w:b w:val="0"/>
            <w:bCs/>
            <w:noProof/>
            <w:webHidden/>
            <w:szCs w:val="24"/>
            <w:lang w:eastAsia="zh-CN"/>
          </w:rPr>
          <w:fldChar w:fldCharType="separate"/>
        </w:r>
        <w:r w:rsidR="00E305D2">
          <w:rPr>
            <w:rStyle w:val="Hyperlink"/>
            <w:b w:val="0"/>
            <w:bCs/>
            <w:noProof/>
            <w:webHidden/>
            <w:szCs w:val="24"/>
            <w:lang w:eastAsia="zh-CN"/>
          </w:rPr>
          <w:t>65</w:t>
        </w:r>
        <w:r w:rsidR="005443B2" w:rsidRPr="005443B2">
          <w:rPr>
            <w:rStyle w:val="Hyperlink"/>
            <w:b w:val="0"/>
            <w:bCs/>
            <w:noProof/>
            <w:webHidden/>
            <w:szCs w:val="24"/>
            <w:lang w:eastAsia="zh-CN"/>
          </w:rPr>
          <w:fldChar w:fldCharType="end"/>
        </w:r>
      </w:hyperlink>
    </w:p>
    <w:p w14:paraId="48279878" w14:textId="6AF3FE0D" w:rsidR="005443B2" w:rsidRPr="005443B2" w:rsidRDefault="00F71B18" w:rsidP="00D110A3">
      <w:pPr>
        <w:pStyle w:val="TOC10"/>
        <w:tabs>
          <w:tab w:val="clear" w:pos="1701"/>
          <w:tab w:val="left" w:pos="993"/>
        </w:tabs>
        <w:spacing w:before="240"/>
        <w:ind w:left="567" w:hanging="567"/>
        <w:rPr>
          <w:rStyle w:val="Hyperlink"/>
          <w:bCs/>
          <w:noProof/>
          <w:color w:val="000000" w:themeColor="text1"/>
          <w:szCs w:val="24"/>
        </w:rPr>
      </w:pPr>
      <w:hyperlink w:anchor="_Toc16173758" w:history="1">
        <w:r w:rsidR="005443B2" w:rsidRPr="005443B2">
          <w:rPr>
            <w:rStyle w:val="Hyperlink"/>
            <w:b w:val="0"/>
            <w:bCs/>
            <w:noProof/>
            <w:szCs w:val="24"/>
            <w:lang w:eastAsia="zh-CN"/>
          </w:rPr>
          <w:t>3</w:t>
        </w:r>
        <w:r w:rsidR="005443B2" w:rsidRPr="005443B2">
          <w:rPr>
            <w:rStyle w:val="Hyperlink"/>
            <w:bCs/>
            <w:noProof/>
            <w:szCs w:val="24"/>
          </w:rPr>
          <w:tab/>
        </w:r>
        <w:r w:rsidR="005443B2" w:rsidRPr="005443B2">
          <w:rPr>
            <w:rStyle w:val="Hyperlink"/>
            <w:rFonts w:hint="eastAsia"/>
            <w:b w:val="0"/>
            <w:bCs/>
            <w:noProof/>
            <w:szCs w:val="24"/>
            <w:lang w:eastAsia="zh-CN"/>
          </w:rPr>
          <w:t>大会和会议</w:t>
        </w:r>
        <w:r w:rsidR="005443B2" w:rsidRPr="005443B2">
          <w:rPr>
            <w:rStyle w:val="Hyperlink"/>
            <w:b w:val="0"/>
            <w:bCs/>
            <w:noProof/>
            <w:webHidden/>
            <w:szCs w:val="24"/>
            <w:lang w:eastAsia="zh-CN"/>
          </w:rPr>
          <w:tab/>
        </w:r>
        <w:r w:rsidR="005443B2">
          <w:rPr>
            <w:rStyle w:val="Hyperlink"/>
            <w:b w:val="0"/>
            <w:bCs/>
            <w:noProof/>
            <w:webHidden/>
            <w:szCs w:val="24"/>
            <w:lang w:eastAsia="zh-CN"/>
          </w:rPr>
          <w:tab/>
        </w:r>
        <w:r w:rsidR="005443B2" w:rsidRPr="005443B2">
          <w:rPr>
            <w:rStyle w:val="Hyperlink"/>
            <w:b w:val="0"/>
            <w:bCs/>
            <w:noProof/>
            <w:webHidden/>
            <w:szCs w:val="24"/>
            <w:lang w:eastAsia="zh-CN"/>
          </w:rPr>
          <w:fldChar w:fldCharType="begin"/>
        </w:r>
        <w:r w:rsidR="005443B2" w:rsidRPr="005443B2">
          <w:rPr>
            <w:rStyle w:val="Hyperlink"/>
            <w:b w:val="0"/>
            <w:bCs/>
            <w:noProof/>
            <w:webHidden/>
            <w:szCs w:val="24"/>
            <w:lang w:eastAsia="zh-CN"/>
          </w:rPr>
          <w:instrText xml:space="preserve"> PAGEREF _Toc16173758 \h </w:instrText>
        </w:r>
        <w:r w:rsidR="005443B2" w:rsidRPr="005443B2">
          <w:rPr>
            <w:rStyle w:val="Hyperlink"/>
            <w:b w:val="0"/>
            <w:bCs/>
            <w:noProof/>
            <w:webHidden/>
            <w:szCs w:val="24"/>
            <w:lang w:eastAsia="zh-CN"/>
          </w:rPr>
        </w:r>
        <w:r w:rsidR="005443B2" w:rsidRPr="005443B2">
          <w:rPr>
            <w:rStyle w:val="Hyperlink"/>
            <w:b w:val="0"/>
            <w:bCs/>
            <w:noProof/>
            <w:webHidden/>
            <w:szCs w:val="24"/>
            <w:lang w:eastAsia="zh-CN"/>
          </w:rPr>
          <w:fldChar w:fldCharType="separate"/>
        </w:r>
        <w:r w:rsidR="00E305D2">
          <w:rPr>
            <w:rStyle w:val="Hyperlink"/>
            <w:b w:val="0"/>
            <w:bCs/>
            <w:noProof/>
            <w:webHidden/>
            <w:szCs w:val="24"/>
            <w:lang w:eastAsia="zh-CN"/>
          </w:rPr>
          <w:t>103</w:t>
        </w:r>
        <w:r w:rsidR="005443B2" w:rsidRPr="005443B2">
          <w:rPr>
            <w:rStyle w:val="Hyperlink"/>
            <w:b w:val="0"/>
            <w:bCs/>
            <w:noProof/>
            <w:webHidden/>
            <w:szCs w:val="24"/>
            <w:lang w:eastAsia="zh-CN"/>
          </w:rPr>
          <w:fldChar w:fldCharType="end"/>
        </w:r>
      </w:hyperlink>
    </w:p>
    <w:p w14:paraId="48279879" w14:textId="4488FA85" w:rsidR="005443B2" w:rsidRPr="005443B2" w:rsidRDefault="00F71B18" w:rsidP="00D110A3">
      <w:pPr>
        <w:pStyle w:val="TOC10"/>
        <w:tabs>
          <w:tab w:val="clear" w:pos="1701"/>
          <w:tab w:val="left" w:pos="993"/>
        </w:tabs>
        <w:spacing w:before="240"/>
        <w:ind w:left="567" w:hanging="567"/>
        <w:rPr>
          <w:rStyle w:val="Hyperlink"/>
          <w:bCs/>
          <w:noProof/>
          <w:color w:val="000000" w:themeColor="text1"/>
          <w:szCs w:val="24"/>
        </w:rPr>
      </w:pPr>
      <w:hyperlink w:anchor="_Toc16173759" w:history="1">
        <w:r w:rsidR="005443B2" w:rsidRPr="005443B2">
          <w:rPr>
            <w:rStyle w:val="Hyperlink"/>
            <w:b w:val="0"/>
            <w:bCs/>
            <w:noProof/>
            <w:szCs w:val="24"/>
            <w:lang w:eastAsia="zh-CN"/>
          </w:rPr>
          <w:t>4</w:t>
        </w:r>
        <w:r w:rsidR="005443B2" w:rsidRPr="005443B2">
          <w:rPr>
            <w:rStyle w:val="Hyperlink"/>
            <w:bCs/>
            <w:noProof/>
            <w:szCs w:val="24"/>
          </w:rPr>
          <w:tab/>
        </w:r>
        <w:r w:rsidR="005443B2" w:rsidRPr="005443B2">
          <w:rPr>
            <w:rStyle w:val="Hyperlink"/>
            <w:rFonts w:hint="eastAsia"/>
            <w:b w:val="0"/>
            <w:bCs/>
            <w:noProof/>
            <w:szCs w:val="24"/>
            <w:lang w:eastAsia="zh-CN"/>
          </w:rPr>
          <w:t>总秘书处</w:t>
        </w:r>
        <w:r w:rsidR="005443B2" w:rsidRPr="005443B2">
          <w:rPr>
            <w:rStyle w:val="Hyperlink"/>
            <w:b w:val="0"/>
            <w:bCs/>
            <w:noProof/>
            <w:webHidden/>
            <w:szCs w:val="24"/>
            <w:lang w:eastAsia="zh-CN"/>
          </w:rPr>
          <w:tab/>
        </w:r>
        <w:r w:rsidR="005443B2">
          <w:rPr>
            <w:rStyle w:val="Hyperlink"/>
            <w:b w:val="0"/>
            <w:bCs/>
            <w:noProof/>
            <w:webHidden/>
            <w:szCs w:val="24"/>
            <w:lang w:eastAsia="zh-CN"/>
          </w:rPr>
          <w:tab/>
        </w:r>
        <w:r w:rsidR="005443B2" w:rsidRPr="005443B2">
          <w:rPr>
            <w:rStyle w:val="Hyperlink"/>
            <w:b w:val="0"/>
            <w:bCs/>
            <w:noProof/>
            <w:webHidden/>
            <w:szCs w:val="24"/>
            <w:lang w:eastAsia="zh-CN"/>
          </w:rPr>
          <w:fldChar w:fldCharType="begin"/>
        </w:r>
        <w:r w:rsidR="005443B2" w:rsidRPr="005443B2">
          <w:rPr>
            <w:rStyle w:val="Hyperlink"/>
            <w:b w:val="0"/>
            <w:bCs/>
            <w:noProof/>
            <w:webHidden/>
            <w:szCs w:val="24"/>
            <w:lang w:eastAsia="zh-CN"/>
          </w:rPr>
          <w:instrText xml:space="preserve"> PAGEREF _Toc16173759 \h </w:instrText>
        </w:r>
        <w:r w:rsidR="005443B2" w:rsidRPr="005443B2">
          <w:rPr>
            <w:rStyle w:val="Hyperlink"/>
            <w:b w:val="0"/>
            <w:bCs/>
            <w:noProof/>
            <w:webHidden/>
            <w:szCs w:val="24"/>
            <w:lang w:eastAsia="zh-CN"/>
          </w:rPr>
        </w:r>
        <w:r w:rsidR="005443B2" w:rsidRPr="005443B2">
          <w:rPr>
            <w:rStyle w:val="Hyperlink"/>
            <w:b w:val="0"/>
            <w:bCs/>
            <w:noProof/>
            <w:webHidden/>
            <w:szCs w:val="24"/>
            <w:lang w:eastAsia="zh-CN"/>
          </w:rPr>
          <w:fldChar w:fldCharType="separate"/>
        </w:r>
        <w:r w:rsidR="00E305D2">
          <w:rPr>
            <w:rStyle w:val="Hyperlink"/>
            <w:b w:val="0"/>
            <w:bCs/>
            <w:noProof/>
            <w:webHidden/>
            <w:szCs w:val="24"/>
            <w:lang w:eastAsia="zh-CN"/>
          </w:rPr>
          <w:t>167</w:t>
        </w:r>
        <w:r w:rsidR="005443B2" w:rsidRPr="005443B2">
          <w:rPr>
            <w:rStyle w:val="Hyperlink"/>
            <w:b w:val="0"/>
            <w:bCs/>
            <w:noProof/>
            <w:webHidden/>
            <w:szCs w:val="24"/>
            <w:lang w:eastAsia="zh-CN"/>
          </w:rPr>
          <w:fldChar w:fldCharType="end"/>
        </w:r>
      </w:hyperlink>
    </w:p>
    <w:p w14:paraId="4827987A" w14:textId="480C3640" w:rsidR="005443B2" w:rsidRPr="005443B2" w:rsidRDefault="00F71B18" w:rsidP="00D110A3">
      <w:pPr>
        <w:pStyle w:val="TOC10"/>
        <w:tabs>
          <w:tab w:val="clear" w:pos="1701"/>
          <w:tab w:val="left" w:pos="993"/>
        </w:tabs>
        <w:spacing w:before="240"/>
        <w:ind w:left="567" w:hanging="567"/>
        <w:rPr>
          <w:rStyle w:val="Hyperlink"/>
          <w:bCs/>
          <w:noProof/>
          <w:color w:val="000000" w:themeColor="text1"/>
          <w:szCs w:val="24"/>
        </w:rPr>
      </w:pPr>
      <w:hyperlink w:anchor="_Toc16173760" w:history="1">
        <w:r w:rsidR="005443B2" w:rsidRPr="005443B2">
          <w:rPr>
            <w:rStyle w:val="Hyperlink"/>
            <w:b w:val="0"/>
            <w:bCs/>
            <w:noProof/>
            <w:szCs w:val="24"/>
            <w:lang w:eastAsia="zh-CN"/>
          </w:rPr>
          <w:t>5</w:t>
        </w:r>
        <w:r w:rsidR="005443B2" w:rsidRPr="005443B2">
          <w:rPr>
            <w:rStyle w:val="Hyperlink"/>
            <w:bCs/>
            <w:noProof/>
            <w:szCs w:val="24"/>
          </w:rPr>
          <w:tab/>
        </w:r>
        <w:r w:rsidR="005443B2" w:rsidRPr="005443B2">
          <w:rPr>
            <w:rStyle w:val="Hyperlink"/>
            <w:rFonts w:hint="eastAsia"/>
            <w:b w:val="0"/>
            <w:bCs/>
            <w:noProof/>
            <w:szCs w:val="24"/>
            <w:lang w:eastAsia="zh-CN"/>
          </w:rPr>
          <w:t>国际电联各部门</w:t>
        </w:r>
        <w:r w:rsidR="005443B2" w:rsidRPr="005443B2">
          <w:rPr>
            <w:rStyle w:val="Hyperlink"/>
            <w:b w:val="0"/>
            <w:bCs/>
            <w:noProof/>
            <w:webHidden/>
            <w:szCs w:val="24"/>
            <w:lang w:eastAsia="zh-CN"/>
          </w:rPr>
          <w:tab/>
        </w:r>
        <w:r w:rsidR="005443B2">
          <w:rPr>
            <w:rStyle w:val="Hyperlink"/>
            <w:b w:val="0"/>
            <w:bCs/>
            <w:noProof/>
            <w:webHidden/>
            <w:szCs w:val="24"/>
            <w:lang w:eastAsia="zh-CN"/>
          </w:rPr>
          <w:tab/>
        </w:r>
        <w:r w:rsidR="005443B2" w:rsidRPr="005443B2">
          <w:rPr>
            <w:rStyle w:val="Hyperlink"/>
            <w:b w:val="0"/>
            <w:bCs/>
            <w:noProof/>
            <w:webHidden/>
            <w:szCs w:val="24"/>
            <w:lang w:eastAsia="zh-CN"/>
          </w:rPr>
          <w:fldChar w:fldCharType="begin"/>
        </w:r>
        <w:r w:rsidR="005443B2" w:rsidRPr="005443B2">
          <w:rPr>
            <w:rStyle w:val="Hyperlink"/>
            <w:b w:val="0"/>
            <w:bCs/>
            <w:noProof/>
            <w:webHidden/>
            <w:szCs w:val="24"/>
            <w:lang w:eastAsia="zh-CN"/>
          </w:rPr>
          <w:instrText xml:space="preserve"> PAGEREF _Toc16173760 \h </w:instrText>
        </w:r>
        <w:r w:rsidR="005443B2" w:rsidRPr="005443B2">
          <w:rPr>
            <w:rStyle w:val="Hyperlink"/>
            <w:b w:val="0"/>
            <w:bCs/>
            <w:noProof/>
            <w:webHidden/>
            <w:szCs w:val="24"/>
            <w:lang w:eastAsia="zh-CN"/>
          </w:rPr>
        </w:r>
        <w:r w:rsidR="005443B2" w:rsidRPr="005443B2">
          <w:rPr>
            <w:rStyle w:val="Hyperlink"/>
            <w:b w:val="0"/>
            <w:bCs/>
            <w:noProof/>
            <w:webHidden/>
            <w:szCs w:val="24"/>
            <w:lang w:eastAsia="zh-CN"/>
          </w:rPr>
          <w:fldChar w:fldCharType="separate"/>
        </w:r>
        <w:r w:rsidR="00E305D2">
          <w:rPr>
            <w:rStyle w:val="Hyperlink"/>
            <w:b w:val="0"/>
            <w:bCs/>
            <w:noProof/>
            <w:webHidden/>
            <w:szCs w:val="24"/>
            <w:lang w:eastAsia="zh-CN"/>
          </w:rPr>
          <w:t>171</w:t>
        </w:r>
        <w:r w:rsidR="005443B2" w:rsidRPr="005443B2">
          <w:rPr>
            <w:rStyle w:val="Hyperlink"/>
            <w:b w:val="0"/>
            <w:bCs/>
            <w:noProof/>
            <w:webHidden/>
            <w:szCs w:val="24"/>
            <w:lang w:eastAsia="zh-CN"/>
          </w:rPr>
          <w:fldChar w:fldCharType="end"/>
        </w:r>
      </w:hyperlink>
    </w:p>
    <w:p w14:paraId="4827987B" w14:textId="245DEEF4" w:rsidR="005443B2" w:rsidRPr="005443B2" w:rsidRDefault="00F71B18" w:rsidP="00D110A3">
      <w:pPr>
        <w:pStyle w:val="TOC10"/>
        <w:tabs>
          <w:tab w:val="clear" w:pos="1701"/>
          <w:tab w:val="left" w:pos="993"/>
        </w:tabs>
        <w:spacing w:before="240"/>
        <w:ind w:left="567" w:hanging="567"/>
        <w:rPr>
          <w:rStyle w:val="Hyperlink"/>
          <w:bCs/>
          <w:noProof/>
          <w:color w:val="000000" w:themeColor="text1"/>
          <w:szCs w:val="24"/>
        </w:rPr>
      </w:pPr>
      <w:hyperlink w:anchor="_Toc16173761" w:history="1">
        <w:r w:rsidR="005443B2" w:rsidRPr="005443B2">
          <w:rPr>
            <w:rStyle w:val="Hyperlink"/>
            <w:b w:val="0"/>
            <w:bCs/>
            <w:noProof/>
            <w:szCs w:val="24"/>
            <w:lang w:eastAsia="zh-CN"/>
          </w:rPr>
          <w:t>6</w:t>
        </w:r>
        <w:r w:rsidR="005443B2" w:rsidRPr="005443B2">
          <w:rPr>
            <w:rStyle w:val="Hyperlink"/>
            <w:bCs/>
            <w:noProof/>
            <w:szCs w:val="24"/>
          </w:rPr>
          <w:tab/>
        </w:r>
        <w:r w:rsidR="005443B2" w:rsidRPr="005443B2">
          <w:rPr>
            <w:rStyle w:val="Hyperlink"/>
            <w:rFonts w:hint="eastAsia"/>
            <w:b w:val="0"/>
            <w:bCs/>
            <w:noProof/>
            <w:szCs w:val="24"/>
            <w:lang w:eastAsia="zh-CN"/>
          </w:rPr>
          <w:t>对外关系</w:t>
        </w:r>
        <w:r w:rsidR="005443B2" w:rsidRPr="005443B2">
          <w:rPr>
            <w:rStyle w:val="Hyperlink"/>
            <w:b w:val="0"/>
            <w:bCs/>
            <w:noProof/>
            <w:webHidden/>
            <w:szCs w:val="24"/>
            <w:lang w:eastAsia="zh-CN"/>
          </w:rPr>
          <w:tab/>
        </w:r>
        <w:r w:rsidR="005443B2">
          <w:rPr>
            <w:rStyle w:val="Hyperlink"/>
            <w:b w:val="0"/>
            <w:bCs/>
            <w:noProof/>
            <w:webHidden/>
            <w:szCs w:val="24"/>
            <w:lang w:eastAsia="zh-CN"/>
          </w:rPr>
          <w:tab/>
        </w:r>
        <w:r w:rsidR="005443B2" w:rsidRPr="005443B2">
          <w:rPr>
            <w:rStyle w:val="Hyperlink"/>
            <w:b w:val="0"/>
            <w:bCs/>
            <w:noProof/>
            <w:webHidden/>
            <w:szCs w:val="24"/>
            <w:lang w:eastAsia="zh-CN"/>
          </w:rPr>
          <w:fldChar w:fldCharType="begin"/>
        </w:r>
        <w:r w:rsidR="005443B2" w:rsidRPr="005443B2">
          <w:rPr>
            <w:rStyle w:val="Hyperlink"/>
            <w:b w:val="0"/>
            <w:bCs/>
            <w:noProof/>
            <w:webHidden/>
            <w:szCs w:val="24"/>
            <w:lang w:eastAsia="zh-CN"/>
          </w:rPr>
          <w:instrText xml:space="preserve"> PAGEREF _Toc16173761 \h </w:instrText>
        </w:r>
        <w:r w:rsidR="005443B2" w:rsidRPr="005443B2">
          <w:rPr>
            <w:rStyle w:val="Hyperlink"/>
            <w:b w:val="0"/>
            <w:bCs/>
            <w:noProof/>
            <w:webHidden/>
            <w:szCs w:val="24"/>
            <w:lang w:eastAsia="zh-CN"/>
          </w:rPr>
        </w:r>
        <w:r w:rsidR="005443B2" w:rsidRPr="005443B2">
          <w:rPr>
            <w:rStyle w:val="Hyperlink"/>
            <w:b w:val="0"/>
            <w:bCs/>
            <w:noProof/>
            <w:webHidden/>
            <w:szCs w:val="24"/>
            <w:lang w:eastAsia="zh-CN"/>
          </w:rPr>
          <w:fldChar w:fldCharType="separate"/>
        </w:r>
        <w:r w:rsidR="00E305D2">
          <w:rPr>
            <w:rStyle w:val="Hyperlink"/>
            <w:b w:val="0"/>
            <w:bCs/>
            <w:noProof/>
            <w:webHidden/>
            <w:szCs w:val="24"/>
            <w:lang w:eastAsia="zh-CN"/>
          </w:rPr>
          <w:t>191</w:t>
        </w:r>
        <w:r w:rsidR="005443B2" w:rsidRPr="005443B2">
          <w:rPr>
            <w:rStyle w:val="Hyperlink"/>
            <w:b w:val="0"/>
            <w:bCs/>
            <w:noProof/>
            <w:webHidden/>
            <w:szCs w:val="24"/>
            <w:lang w:eastAsia="zh-CN"/>
          </w:rPr>
          <w:fldChar w:fldCharType="end"/>
        </w:r>
      </w:hyperlink>
    </w:p>
    <w:p w14:paraId="4827987C" w14:textId="4978898A" w:rsidR="005443B2" w:rsidRPr="005443B2" w:rsidRDefault="00F71B18" w:rsidP="00D110A3">
      <w:pPr>
        <w:pStyle w:val="TOC10"/>
        <w:tabs>
          <w:tab w:val="clear" w:pos="1701"/>
          <w:tab w:val="left" w:pos="993"/>
        </w:tabs>
        <w:spacing w:before="240"/>
        <w:ind w:left="567" w:hanging="567"/>
        <w:rPr>
          <w:rStyle w:val="Hyperlink"/>
          <w:bCs/>
          <w:noProof/>
          <w:color w:val="000000" w:themeColor="text1"/>
          <w:szCs w:val="24"/>
        </w:rPr>
      </w:pPr>
      <w:hyperlink w:anchor="_Toc16173762" w:history="1">
        <w:r w:rsidR="005443B2" w:rsidRPr="005443B2">
          <w:rPr>
            <w:rStyle w:val="Hyperlink"/>
            <w:b w:val="0"/>
            <w:bCs/>
            <w:noProof/>
            <w:szCs w:val="24"/>
            <w:lang w:eastAsia="zh-CN"/>
          </w:rPr>
          <w:t>7</w:t>
        </w:r>
        <w:r w:rsidR="005443B2" w:rsidRPr="005443B2">
          <w:rPr>
            <w:rStyle w:val="Hyperlink"/>
            <w:bCs/>
            <w:noProof/>
            <w:szCs w:val="24"/>
          </w:rPr>
          <w:tab/>
        </w:r>
        <w:r w:rsidR="005443B2" w:rsidRPr="005443B2">
          <w:rPr>
            <w:rStyle w:val="Hyperlink"/>
            <w:rFonts w:hint="eastAsia"/>
            <w:b w:val="0"/>
            <w:bCs/>
            <w:noProof/>
            <w:szCs w:val="24"/>
            <w:lang w:eastAsia="zh-CN"/>
          </w:rPr>
          <w:t>其它事宜</w:t>
        </w:r>
        <w:r w:rsidR="005443B2" w:rsidRPr="005443B2">
          <w:rPr>
            <w:rStyle w:val="Hyperlink"/>
            <w:b w:val="0"/>
            <w:bCs/>
            <w:noProof/>
            <w:webHidden/>
            <w:szCs w:val="24"/>
            <w:lang w:eastAsia="zh-CN"/>
          </w:rPr>
          <w:tab/>
        </w:r>
        <w:r w:rsidR="005443B2">
          <w:rPr>
            <w:rStyle w:val="Hyperlink"/>
            <w:b w:val="0"/>
            <w:bCs/>
            <w:noProof/>
            <w:webHidden/>
            <w:szCs w:val="24"/>
            <w:lang w:eastAsia="zh-CN"/>
          </w:rPr>
          <w:tab/>
        </w:r>
        <w:r w:rsidR="005443B2" w:rsidRPr="005443B2">
          <w:rPr>
            <w:rStyle w:val="Hyperlink"/>
            <w:b w:val="0"/>
            <w:bCs/>
            <w:noProof/>
            <w:webHidden/>
            <w:szCs w:val="24"/>
            <w:lang w:eastAsia="zh-CN"/>
          </w:rPr>
          <w:fldChar w:fldCharType="begin"/>
        </w:r>
        <w:r w:rsidR="005443B2" w:rsidRPr="005443B2">
          <w:rPr>
            <w:rStyle w:val="Hyperlink"/>
            <w:b w:val="0"/>
            <w:bCs/>
            <w:noProof/>
            <w:webHidden/>
            <w:szCs w:val="24"/>
            <w:lang w:eastAsia="zh-CN"/>
          </w:rPr>
          <w:instrText xml:space="preserve"> PAGEREF _Toc16173762 \h </w:instrText>
        </w:r>
        <w:r w:rsidR="005443B2" w:rsidRPr="005443B2">
          <w:rPr>
            <w:rStyle w:val="Hyperlink"/>
            <w:b w:val="0"/>
            <w:bCs/>
            <w:noProof/>
            <w:webHidden/>
            <w:szCs w:val="24"/>
            <w:lang w:eastAsia="zh-CN"/>
          </w:rPr>
        </w:r>
        <w:r w:rsidR="005443B2" w:rsidRPr="005443B2">
          <w:rPr>
            <w:rStyle w:val="Hyperlink"/>
            <w:b w:val="0"/>
            <w:bCs/>
            <w:noProof/>
            <w:webHidden/>
            <w:szCs w:val="24"/>
            <w:lang w:eastAsia="zh-CN"/>
          </w:rPr>
          <w:fldChar w:fldCharType="separate"/>
        </w:r>
        <w:r w:rsidR="00E305D2">
          <w:rPr>
            <w:rStyle w:val="Hyperlink"/>
            <w:b w:val="0"/>
            <w:bCs/>
            <w:noProof/>
            <w:webHidden/>
            <w:szCs w:val="24"/>
            <w:lang w:eastAsia="zh-CN"/>
          </w:rPr>
          <w:t>215</w:t>
        </w:r>
        <w:r w:rsidR="005443B2" w:rsidRPr="005443B2">
          <w:rPr>
            <w:rStyle w:val="Hyperlink"/>
            <w:b w:val="0"/>
            <w:bCs/>
            <w:noProof/>
            <w:webHidden/>
            <w:szCs w:val="24"/>
            <w:lang w:eastAsia="zh-CN"/>
          </w:rPr>
          <w:fldChar w:fldCharType="end"/>
        </w:r>
      </w:hyperlink>
    </w:p>
    <w:p w14:paraId="4827987D" w14:textId="51FC779B" w:rsidR="005443B2" w:rsidRPr="005443B2" w:rsidRDefault="00F71B18" w:rsidP="00D110A3">
      <w:pPr>
        <w:pStyle w:val="TOC10"/>
        <w:tabs>
          <w:tab w:val="clear" w:pos="1701"/>
        </w:tabs>
        <w:spacing w:before="240"/>
        <w:ind w:left="0" w:firstLine="0"/>
        <w:rPr>
          <w:bCs/>
          <w:noProof/>
          <w:color w:val="000000" w:themeColor="text1"/>
          <w:szCs w:val="24"/>
          <w:u w:val="single"/>
        </w:rPr>
      </w:pPr>
      <w:hyperlink w:anchor="_Toc16173763" w:history="1">
        <w:r w:rsidR="005443B2" w:rsidRPr="005443B2">
          <w:rPr>
            <w:rStyle w:val="Hyperlink"/>
            <w:rFonts w:hint="eastAsia"/>
            <w:b w:val="0"/>
            <w:bCs/>
            <w:noProof/>
            <w:szCs w:val="24"/>
            <w:lang w:eastAsia="zh-CN"/>
          </w:rPr>
          <w:t>附录</w:t>
        </w:r>
        <w:r w:rsidR="00D110A3">
          <w:rPr>
            <w:rStyle w:val="Hyperlink"/>
            <w:b w:val="0"/>
            <w:bCs/>
            <w:noProof/>
            <w:webHidden/>
            <w:szCs w:val="24"/>
            <w:lang w:eastAsia="zh-CN"/>
          </w:rPr>
          <w:tab/>
        </w:r>
        <w:r w:rsidR="00D110A3">
          <w:rPr>
            <w:rStyle w:val="Hyperlink"/>
            <w:b w:val="0"/>
            <w:bCs/>
            <w:noProof/>
            <w:webHidden/>
            <w:szCs w:val="24"/>
            <w:lang w:eastAsia="zh-CN"/>
          </w:rPr>
          <w:tab/>
        </w:r>
        <w:r w:rsidR="005443B2" w:rsidRPr="005443B2">
          <w:rPr>
            <w:rStyle w:val="Hyperlink"/>
            <w:b w:val="0"/>
            <w:bCs/>
            <w:noProof/>
            <w:webHidden/>
            <w:szCs w:val="24"/>
            <w:lang w:eastAsia="zh-CN"/>
          </w:rPr>
          <w:fldChar w:fldCharType="begin"/>
        </w:r>
        <w:r w:rsidR="005443B2" w:rsidRPr="005443B2">
          <w:rPr>
            <w:rStyle w:val="Hyperlink"/>
            <w:b w:val="0"/>
            <w:bCs/>
            <w:noProof/>
            <w:webHidden/>
            <w:szCs w:val="24"/>
            <w:lang w:eastAsia="zh-CN"/>
          </w:rPr>
          <w:instrText xml:space="preserve"> PAGEREF _Toc16173763 \h </w:instrText>
        </w:r>
        <w:r w:rsidR="005443B2" w:rsidRPr="005443B2">
          <w:rPr>
            <w:rStyle w:val="Hyperlink"/>
            <w:b w:val="0"/>
            <w:bCs/>
            <w:noProof/>
            <w:webHidden/>
            <w:szCs w:val="24"/>
            <w:lang w:eastAsia="zh-CN"/>
          </w:rPr>
        </w:r>
        <w:r w:rsidR="005443B2" w:rsidRPr="005443B2">
          <w:rPr>
            <w:rStyle w:val="Hyperlink"/>
            <w:b w:val="0"/>
            <w:bCs/>
            <w:noProof/>
            <w:webHidden/>
            <w:szCs w:val="24"/>
            <w:lang w:eastAsia="zh-CN"/>
          </w:rPr>
          <w:fldChar w:fldCharType="separate"/>
        </w:r>
        <w:r w:rsidR="00E305D2">
          <w:rPr>
            <w:rStyle w:val="Hyperlink"/>
            <w:b w:val="0"/>
            <w:bCs/>
            <w:noProof/>
            <w:webHidden/>
            <w:szCs w:val="24"/>
            <w:lang w:eastAsia="zh-CN"/>
          </w:rPr>
          <w:t>233</w:t>
        </w:r>
        <w:r w:rsidR="005443B2" w:rsidRPr="005443B2">
          <w:rPr>
            <w:rStyle w:val="Hyperlink"/>
            <w:b w:val="0"/>
            <w:bCs/>
            <w:noProof/>
            <w:webHidden/>
            <w:szCs w:val="24"/>
            <w:lang w:eastAsia="zh-CN"/>
          </w:rPr>
          <w:fldChar w:fldCharType="end"/>
        </w:r>
      </w:hyperlink>
    </w:p>
    <w:p w14:paraId="4827987E" w14:textId="77777777" w:rsidR="005443B2" w:rsidRDefault="005443B2">
      <w:pPr>
        <w:pStyle w:val="TOC10"/>
        <w:rPr>
          <w:rFonts w:eastAsiaTheme="minorEastAsia" w:cstheme="minorBidi"/>
          <w:b w:val="0"/>
          <w:noProof/>
          <w:sz w:val="22"/>
          <w:szCs w:val="22"/>
          <w:lang w:eastAsia="zh-CN"/>
        </w:rPr>
      </w:pPr>
    </w:p>
    <w:p w14:paraId="4827987F" w14:textId="77777777" w:rsidR="005443B2" w:rsidRDefault="005443B2" w:rsidP="005443B2">
      <w:pPr>
        <w:pStyle w:val="TOC10"/>
        <w:tabs>
          <w:tab w:val="clear" w:pos="1701"/>
          <w:tab w:val="left" w:pos="588"/>
        </w:tabs>
        <w:spacing w:before="240"/>
        <w:ind w:left="567" w:hanging="567"/>
        <w:rPr>
          <w:b w:val="0"/>
          <w:bCs/>
          <w:szCs w:val="24"/>
          <w:lang w:eastAsia="zh-CN"/>
        </w:rPr>
      </w:pPr>
      <w:r>
        <w:rPr>
          <w:rStyle w:val="Hyperlink"/>
          <w:b w:val="0"/>
          <w:bCs/>
          <w:noProof/>
          <w:color w:val="000000" w:themeColor="text1"/>
          <w:szCs w:val="24"/>
          <w:lang w:eastAsia="zh-CN"/>
        </w:rPr>
        <w:fldChar w:fldCharType="end"/>
      </w:r>
    </w:p>
    <w:p w14:paraId="48279880" w14:textId="77777777" w:rsidR="004D082F" w:rsidRDefault="004D082F" w:rsidP="004D082F">
      <w:pPr>
        <w:pStyle w:val="TOC10"/>
        <w:tabs>
          <w:tab w:val="clear" w:pos="1701"/>
          <w:tab w:val="left" w:pos="588"/>
        </w:tabs>
        <w:spacing w:before="240"/>
        <w:ind w:left="567" w:hanging="567"/>
        <w:rPr>
          <w:b w:val="0"/>
          <w:bCs/>
          <w:szCs w:val="24"/>
          <w:lang w:eastAsia="zh-CN"/>
        </w:rPr>
      </w:pPr>
    </w:p>
    <w:p w14:paraId="48279881" w14:textId="77777777" w:rsidR="00AC3B70" w:rsidRDefault="00AC3B70" w:rsidP="00567832">
      <w:pPr>
        <w:pStyle w:val="TOC1"/>
        <w:tabs>
          <w:tab w:val="left" w:pos="567"/>
        </w:tabs>
        <w:ind w:left="567" w:hanging="567"/>
        <w:rPr>
          <w:bCs/>
          <w:sz w:val="24"/>
          <w:szCs w:val="24"/>
          <w:lang w:eastAsia="zh-CN"/>
        </w:rPr>
      </w:pPr>
    </w:p>
    <w:p w14:paraId="48279882" w14:textId="77777777" w:rsidR="003A1C4B" w:rsidRDefault="003A1C4B" w:rsidP="003A1C4B"/>
    <w:p w14:paraId="48279883" w14:textId="77777777" w:rsidR="003A1C4B" w:rsidRDefault="003A1C4B" w:rsidP="003A1C4B">
      <w:pPr>
        <w:rPr>
          <w:rtl/>
        </w:rPr>
        <w:sectPr w:rsidR="003A1C4B" w:rsidSect="003A1C4B">
          <w:headerReference w:type="even" r:id="rId17"/>
          <w:headerReference w:type="default" r:id="rId18"/>
          <w:footerReference w:type="even" r:id="rId19"/>
          <w:footerReference w:type="default" r:id="rId20"/>
          <w:headerReference w:type="first" r:id="rId21"/>
          <w:footnotePr>
            <w:pos w:val="beneathText"/>
            <w:numStart w:val="2"/>
          </w:footnotePr>
          <w:endnotePr>
            <w:numFmt w:val="decimal"/>
          </w:endnotePr>
          <w:type w:val="nextColumn"/>
          <w:pgSz w:w="11907" w:h="16840" w:code="9"/>
          <w:pgMar w:top="1418" w:right="1134" w:bottom="1134" w:left="1134" w:header="737" w:footer="567" w:gutter="284"/>
          <w:pgNumType w:fmt="lowerRoman" w:start="3"/>
          <w:cols w:space="720"/>
        </w:sectPr>
      </w:pPr>
    </w:p>
    <w:p w14:paraId="48279884" w14:textId="77777777" w:rsidR="00A70F6F" w:rsidRPr="00C444B2" w:rsidRDefault="00A70F6F" w:rsidP="00D31F89">
      <w:pPr>
        <w:spacing w:before="240" w:after="360"/>
        <w:jc w:val="center"/>
        <w:rPr>
          <w:b/>
          <w:sz w:val="28"/>
          <w:lang w:eastAsia="zh-CN"/>
        </w:rPr>
      </w:pPr>
      <w:r w:rsidRPr="00C444B2">
        <w:rPr>
          <w:rFonts w:hint="eastAsia"/>
          <w:b/>
          <w:sz w:val="28"/>
          <w:lang w:eastAsia="zh-CN"/>
        </w:rPr>
        <w:lastRenderedPageBreak/>
        <w:t>目录</w:t>
      </w:r>
    </w:p>
    <w:p w14:paraId="48279885" w14:textId="18451B5E" w:rsidR="00A70F6F" w:rsidRDefault="00A70F6F" w:rsidP="007630B3">
      <w:pPr>
        <w:pStyle w:val="TOC1"/>
        <w:spacing w:after="120"/>
        <w:jc w:val="right"/>
        <w:rPr>
          <w:rFonts w:eastAsia="STKaiti"/>
          <w:bCs/>
          <w:sz w:val="24"/>
          <w:szCs w:val="24"/>
          <w:lang w:val="en-US" w:eastAsia="zh-CN"/>
        </w:rPr>
      </w:pPr>
      <w:r w:rsidRPr="00E33AA5">
        <w:rPr>
          <w:rFonts w:eastAsia="STKaiti" w:hint="eastAsia"/>
          <w:bCs/>
          <w:sz w:val="24"/>
          <w:szCs w:val="24"/>
          <w:lang w:eastAsia="zh-CN"/>
        </w:rPr>
        <w:t>页</w:t>
      </w:r>
      <w:r w:rsidR="00C444B2" w:rsidRPr="00E33AA5">
        <w:rPr>
          <w:rFonts w:eastAsia="STKaiti" w:hint="eastAsia"/>
          <w:bCs/>
          <w:sz w:val="24"/>
          <w:szCs w:val="24"/>
          <w:lang w:val="en-US" w:eastAsia="zh-CN"/>
        </w:rPr>
        <w:t>码</w:t>
      </w:r>
    </w:p>
    <w:p w14:paraId="3B70D99C" w14:textId="6603689A" w:rsidR="005C6E35" w:rsidRDefault="00F731E3">
      <w:pPr>
        <w:pStyle w:val="TOC10"/>
        <w:rPr>
          <w:rFonts w:eastAsiaTheme="minorEastAsia" w:cstheme="minorBidi"/>
          <w:b w:val="0"/>
          <w:noProof/>
          <w:sz w:val="22"/>
          <w:szCs w:val="22"/>
          <w:lang w:val="en-US" w:eastAsia="zh-CN"/>
        </w:rPr>
      </w:pPr>
      <w:r w:rsidRPr="0032112B">
        <w:rPr>
          <w:b w:val="0"/>
          <w:lang w:val="en-US" w:eastAsia="zh-CN"/>
        </w:rPr>
        <w:fldChar w:fldCharType="begin"/>
      </w:r>
      <w:r w:rsidRPr="0032112B">
        <w:rPr>
          <w:b w:val="0"/>
          <w:lang w:val="en-US" w:eastAsia="zh-CN"/>
        </w:rPr>
        <w:instrText xml:space="preserve"> TOC \h \z \t "Chap_No,1,Chap_title,1,Res_No,1,Res_title,1,Appendix_No,1,Dec_No,1,Dec_title,1" </w:instrText>
      </w:r>
      <w:r w:rsidRPr="0032112B">
        <w:rPr>
          <w:b w:val="0"/>
          <w:lang w:val="en-US" w:eastAsia="zh-CN"/>
        </w:rPr>
        <w:fldChar w:fldCharType="separate"/>
      </w:r>
      <w:hyperlink w:anchor="_Toc86395459" w:history="1">
        <w:r w:rsidR="005C6E35" w:rsidRPr="00747397">
          <w:rPr>
            <w:rStyle w:val="Hyperlink"/>
            <w:bCs/>
            <w:noProof/>
            <w:lang w:eastAsia="zh-CN"/>
          </w:rPr>
          <w:t>1</w:t>
        </w:r>
        <w:r w:rsidR="005C6E35">
          <w:rPr>
            <w:rFonts w:eastAsiaTheme="minorEastAsia" w:cstheme="minorBidi"/>
            <w:b w:val="0"/>
            <w:noProof/>
            <w:sz w:val="22"/>
            <w:szCs w:val="22"/>
            <w:lang w:val="en-US" w:eastAsia="zh-CN"/>
          </w:rPr>
          <w:tab/>
        </w:r>
        <w:r w:rsidR="005C6E35" w:rsidRPr="00747397">
          <w:rPr>
            <w:rStyle w:val="Hyperlink"/>
            <w:rFonts w:ascii="SimSun" w:hAnsi="SimSun" w:cs="SimSun" w:hint="eastAsia"/>
            <w:bCs/>
            <w:noProof/>
            <w:lang w:eastAsia="zh-CN"/>
          </w:rPr>
          <w:t>财务</w:t>
        </w:r>
        <w:r w:rsidR="005C6E35">
          <w:rPr>
            <w:noProof/>
            <w:webHidden/>
          </w:rPr>
          <w:tab/>
        </w:r>
        <w:r w:rsidR="005C6E35">
          <w:rPr>
            <w:noProof/>
            <w:webHidden/>
          </w:rPr>
          <w:tab/>
        </w:r>
        <w:r w:rsidR="005C6E35">
          <w:rPr>
            <w:noProof/>
            <w:webHidden/>
          </w:rPr>
          <w:fldChar w:fldCharType="begin"/>
        </w:r>
        <w:r w:rsidR="005C6E35">
          <w:rPr>
            <w:noProof/>
            <w:webHidden/>
          </w:rPr>
          <w:instrText xml:space="preserve"> PAGEREF _Toc86395459 \h </w:instrText>
        </w:r>
        <w:r w:rsidR="005C6E35">
          <w:rPr>
            <w:noProof/>
            <w:webHidden/>
          </w:rPr>
        </w:r>
        <w:r w:rsidR="005C6E35">
          <w:rPr>
            <w:noProof/>
            <w:webHidden/>
          </w:rPr>
          <w:fldChar w:fldCharType="separate"/>
        </w:r>
        <w:r w:rsidR="00E305D2">
          <w:rPr>
            <w:noProof/>
            <w:webHidden/>
          </w:rPr>
          <w:t>1</w:t>
        </w:r>
        <w:r w:rsidR="005C6E35">
          <w:rPr>
            <w:noProof/>
            <w:webHidden/>
          </w:rPr>
          <w:fldChar w:fldCharType="end"/>
        </w:r>
      </w:hyperlink>
    </w:p>
    <w:p w14:paraId="73590F95" w14:textId="01730AD7" w:rsidR="005C6E35" w:rsidRDefault="00F71B18">
      <w:pPr>
        <w:pStyle w:val="TOC10"/>
        <w:rPr>
          <w:rFonts w:eastAsiaTheme="minorEastAsia" w:cstheme="minorBidi"/>
          <w:b w:val="0"/>
          <w:noProof/>
          <w:sz w:val="22"/>
          <w:szCs w:val="22"/>
          <w:lang w:val="en-US" w:eastAsia="zh-CN"/>
        </w:rPr>
      </w:pPr>
      <w:hyperlink w:anchor="_Toc86395460" w:history="1">
        <w:r w:rsidR="005C6E35" w:rsidRPr="00747397">
          <w:rPr>
            <w:rStyle w:val="Hyperlink"/>
            <w:noProof/>
            <w:lang w:eastAsia="zh-CN"/>
          </w:rPr>
          <w:t>1.1</w:t>
        </w:r>
        <w:r w:rsidR="005C6E35">
          <w:rPr>
            <w:rFonts w:eastAsiaTheme="minorEastAsia" w:cstheme="minorBidi"/>
            <w:b w:val="0"/>
            <w:noProof/>
            <w:sz w:val="22"/>
            <w:szCs w:val="22"/>
            <w:lang w:val="en-US" w:eastAsia="zh-CN"/>
          </w:rPr>
          <w:tab/>
        </w:r>
        <w:r w:rsidR="005C6E35" w:rsidRPr="00747397">
          <w:rPr>
            <w:rStyle w:val="Hyperlink"/>
            <w:rFonts w:ascii="SimSun" w:hAnsi="SimSun" w:cs="SimSun" w:hint="eastAsia"/>
            <w:noProof/>
            <w:lang w:eastAsia="zh-CN"/>
          </w:rPr>
          <w:t>预算</w:t>
        </w:r>
        <w:r w:rsidR="005C6E35">
          <w:rPr>
            <w:noProof/>
            <w:webHidden/>
          </w:rPr>
          <w:tab/>
        </w:r>
        <w:r w:rsidR="005C6E35">
          <w:rPr>
            <w:noProof/>
            <w:webHidden/>
          </w:rPr>
          <w:tab/>
        </w:r>
        <w:r w:rsidR="005C6E35">
          <w:rPr>
            <w:noProof/>
            <w:webHidden/>
          </w:rPr>
          <w:fldChar w:fldCharType="begin"/>
        </w:r>
        <w:r w:rsidR="005C6E35">
          <w:rPr>
            <w:noProof/>
            <w:webHidden/>
          </w:rPr>
          <w:instrText xml:space="preserve"> PAGEREF _Toc86395460 \h </w:instrText>
        </w:r>
        <w:r w:rsidR="005C6E35">
          <w:rPr>
            <w:noProof/>
            <w:webHidden/>
          </w:rPr>
        </w:r>
        <w:r w:rsidR="005C6E35">
          <w:rPr>
            <w:noProof/>
            <w:webHidden/>
          </w:rPr>
          <w:fldChar w:fldCharType="separate"/>
        </w:r>
        <w:r w:rsidR="00E305D2">
          <w:rPr>
            <w:noProof/>
            <w:webHidden/>
          </w:rPr>
          <w:t>1</w:t>
        </w:r>
        <w:r w:rsidR="005C6E35">
          <w:rPr>
            <w:noProof/>
            <w:webHidden/>
          </w:rPr>
          <w:fldChar w:fldCharType="end"/>
        </w:r>
      </w:hyperlink>
    </w:p>
    <w:p w14:paraId="3738DBB2" w14:textId="2EBD6B46" w:rsidR="005C6E35" w:rsidRPr="00D93502" w:rsidRDefault="00F71B18">
      <w:pPr>
        <w:pStyle w:val="TOC10"/>
        <w:rPr>
          <w:rFonts w:eastAsiaTheme="minorEastAsia" w:cstheme="minorBidi"/>
          <w:b w:val="0"/>
          <w:bCs/>
          <w:noProof/>
          <w:sz w:val="22"/>
          <w:szCs w:val="22"/>
          <w:lang w:val="en-US" w:eastAsia="zh-CN"/>
        </w:rPr>
      </w:pPr>
      <w:hyperlink w:anchor="_Toc86395461" w:history="1">
        <w:r w:rsidR="005C6E35" w:rsidRPr="00D93502">
          <w:rPr>
            <w:rStyle w:val="Hyperlink"/>
            <w:rFonts w:hint="eastAsia"/>
            <w:b w:val="0"/>
            <w:bCs/>
            <w:noProof/>
            <w:lang w:val="en-US" w:eastAsia="zh-CN"/>
          </w:rPr>
          <w:t>第</w:t>
        </w:r>
        <w:r w:rsidR="005C6E35" w:rsidRPr="00D93502">
          <w:rPr>
            <w:rStyle w:val="Hyperlink"/>
            <w:b w:val="0"/>
            <w:bCs/>
            <w:noProof/>
            <w:lang w:eastAsia="zh-CN"/>
          </w:rPr>
          <w:t>1396</w:t>
        </w:r>
        <w:r w:rsidR="005C6E35" w:rsidRPr="00D93502">
          <w:rPr>
            <w:rStyle w:val="Hyperlink"/>
            <w:rFonts w:hint="eastAsia"/>
            <w:b w:val="0"/>
            <w:bCs/>
            <w:noProof/>
            <w:lang w:val="en-US" w:eastAsia="zh-CN"/>
          </w:rPr>
          <w:t>号决议</w:t>
        </w:r>
        <w:r w:rsidR="005C6E35" w:rsidRPr="00D93502">
          <w:rPr>
            <w:rStyle w:val="Hyperlink"/>
            <w:b w:val="0"/>
            <w:bCs/>
            <w:noProof/>
            <w:lang w:val="fr-FR" w:eastAsia="zh-CN"/>
          </w:rPr>
          <w:tab/>
        </w:r>
      </w:hyperlink>
      <w:hyperlink w:anchor="_Toc86395462" w:history="1">
        <w:r w:rsidR="005C6E35" w:rsidRPr="00D93502">
          <w:rPr>
            <w:rStyle w:val="Hyperlink"/>
            <w:rFonts w:hint="eastAsia"/>
            <w:b w:val="0"/>
            <w:bCs/>
            <w:noProof/>
            <w:lang w:eastAsia="zh-CN"/>
          </w:rPr>
          <w:t>国际电信联盟</w:t>
        </w:r>
        <w:r w:rsidR="005C6E35" w:rsidRPr="00D93502">
          <w:rPr>
            <w:rStyle w:val="Hyperlink"/>
            <w:b w:val="0"/>
            <w:bCs/>
            <w:noProof/>
            <w:lang w:eastAsia="zh-CN"/>
          </w:rPr>
          <w:t>2020-2021</w:t>
        </w:r>
        <w:r w:rsidR="005C6E35" w:rsidRPr="00D93502">
          <w:rPr>
            <w:rStyle w:val="Hyperlink"/>
            <w:rFonts w:hint="eastAsia"/>
            <w:b w:val="0"/>
            <w:bCs/>
            <w:noProof/>
            <w:lang w:eastAsia="zh-CN"/>
          </w:rPr>
          <w:t>双年度预算</w:t>
        </w:r>
        <w:r w:rsidR="005C6E35" w:rsidRPr="00D93502">
          <w:rPr>
            <w:b w:val="0"/>
            <w:bCs/>
            <w:noProof/>
            <w:webHidden/>
          </w:rPr>
          <w:tab/>
        </w:r>
        <w:r w:rsidR="005C6E35" w:rsidRP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_Toc86395462 \h </w:instrText>
        </w:r>
        <w:r w:rsidR="005C6E35" w:rsidRPr="00D93502">
          <w:rPr>
            <w:b w:val="0"/>
            <w:bCs/>
            <w:noProof/>
            <w:webHidden/>
          </w:rPr>
        </w:r>
        <w:r w:rsidR="005C6E35" w:rsidRPr="00D93502">
          <w:rPr>
            <w:b w:val="0"/>
            <w:bCs/>
            <w:noProof/>
            <w:webHidden/>
          </w:rPr>
          <w:fldChar w:fldCharType="separate"/>
        </w:r>
        <w:r w:rsidR="00E305D2">
          <w:rPr>
            <w:b w:val="0"/>
            <w:bCs/>
            <w:noProof/>
            <w:webHidden/>
          </w:rPr>
          <w:t>1</w:t>
        </w:r>
        <w:r w:rsidR="005C6E35" w:rsidRPr="00D93502">
          <w:rPr>
            <w:b w:val="0"/>
            <w:bCs/>
            <w:noProof/>
            <w:webHidden/>
          </w:rPr>
          <w:fldChar w:fldCharType="end"/>
        </w:r>
      </w:hyperlink>
    </w:p>
    <w:p w14:paraId="100EEEE9" w14:textId="49958257" w:rsidR="005C6E35" w:rsidRDefault="00F71B18">
      <w:pPr>
        <w:pStyle w:val="TOC10"/>
        <w:rPr>
          <w:rFonts w:eastAsiaTheme="minorEastAsia" w:cstheme="minorBidi"/>
          <w:b w:val="0"/>
          <w:noProof/>
          <w:sz w:val="22"/>
          <w:szCs w:val="22"/>
          <w:lang w:val="en-US" w:eastAsia="zh-CN"/>
        </w:rPr>
      </w:pPr>
      <w:hyperlink w:anchor="_Toc86395463" w:history="1">
        <w:r w:rsidR="005C6E35" w:rsidRPr="00D93502">
          <w:rPr>
            <w:rStyle w:val="Hyperlink"/>
            <w:rFonts w:ascii="Calibri" w:hAnsi="Calibri" w:hint="eastAsia"/>
            <w:b w:val="0"/>
            <w:bCs/>
            <w:noProof/>
            <w:lang w:eastAsia="zh-CN"/>
          </w:rPr>
          <w:t>第</w:t>
        </w:r>
        <w:r w:rsidR="005C6E35" w:rsidRPr="00D93502">
          <w:rPr>
            <w:rStyle w:val="Hyperlink"/>
            <w:rFonts w:ascii="Calibri" w:hAnsi="Calibri"/>
            <w:b w:val="0"/>
            <w:bCs/>
            <w:noProof/>
            <w:lang w:eastAsia="zh-CN"/>
          </w:rPr>
          <w:t>1405</w:t>
        </w:r>
        <w:r w:rsidR="005C6E35" w:rsidRPr="00D93502">
          <w:rPr>
            <w:rStyle w:val="Hyperlink"/>
            <w:rFonts w:ascii="Calibri" w:hAnsi="Calibri" w:hint="eastAsia"/>
            <w:b w:val="0"/>
            <w:bCs/>
            <w:noProof/>
            <w:lang w:eastAsia="zh-CN"/>
          </w:rPr>
          <w:t>号</w:t>
        </w:r>
        <w:r w:rsidR="005C6E35" w:rsidRPr="00D93502">
          <w:rPr>
            <w:rStyle w:val="Hyperlink"/>
            <w:rFonts w:ascii="Calibri" w:hAnsi="Calibri" w:cstheme="minorHAnsi" w:hint="eastAsia"/>
            <w:b w:val="0"/>
            <w:bCs/>
            <w:noProof/>
            <w:lang w:eastAsia="zh-CN"/>
          </w:rPr>
          <w:t>决议</w:t>
        </w:r>
        <w:r w:rsidR="005C6E35" w:rsidRPr="00D93502">
          <w:rPr>
            <w:b w:val="0"/>
            <w:bCs/>
            <w:noProof/>
            <w:webHidden/>
          </w:rPr>
          <w:tab/>
        </w:r>
      </w:hyperlink>
      <w:hyperlink w:anchor="_Toc86395464" w:history="1">
        <w:r w:rsidR="005C6E35" w:rsidRPr="00D93502">
          <w:rPr>
            <w:rStyle w:val="Hyperlink"/>
            <w:rFonts w:cstheme="majorBidi" w:hint="eastAsia"/>
            <w:b w:val="0"/>
            <w:bCs/>
            <w:smallCaps/>
            <w:noProof/>
            <w:lang w:eastAsia="zh-CN"/>
          </w:rPr>
          <w:t>国际电信联盟</w:t>
        </w:r>
        <w:r w:rsidR="005C6E35" w:rsidRPr="00D93502">
          <w:rPr>
            <w:rStyle w:val="Hyperlink"/>
            <w:rFonts w:cstheme="majorBidi"/>
            <w:b w:val="0"/>
            <w:bCs/>
            <w:smallCaps/>
            <w:noProof/>
            <w:lang w:eastAsia="zh-CN"/>
          </w:rPr>
          <w:t xml:space="preserve"> 2022-2023</w:t>
        </w:r>
        <w:r w:rsidR="005C6E35" w:rsidRPr="00D93502">
          <w:rPr>
            <w:rStyle w:val="Hyperlink"/>
            <w:rFonts w:cstheme="majorBidi" w:hint="eastAsia"/>
            <w:b w:val="0"/>
            <w:bCs/>
            <w:smallCaps/>
            <w:noProof/>
            <w:lang w:eastAsia="zh-CN"/>
          </w:rPr>
          <w:t>双年度预算</w:t>
        </w:r>
        <w:r w:rsidR="005C6E35" w:rsidRPr="00D93502">
          <w:rPr>
            <w:b w:val="0"/>
            <w:bCs/>
            <w:noProof/>
            <w:webHidden/>
          </w:rPr>
          <w:tab/>
        </w:r>
        <w:r w:rsidR="005C6E35" w:rsidRP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_Toc86395464 \h </w:instrText>
        </w:r>
        <w:r w:rsidR="005C6E35" w:rsidRPr="00D93502">
          <w:rPr>
            <w:b w:val="0"/>
            <w:bCs/>
            <w:noProof/>
            <w:webHidden/>
          </w:rPr>
        </w:r>
        <w:r w:rsidR="005C6E35" w:rsidRPr="00D93502">
          <w:rPr>
            <w:b w:val="0"/>
            <w:bCs/>
            <w:noProof/>
            <w:webHidden/>
          </w:rPr>
          <w:fldChar w:fldCharType="separate"/>
        </w:r>
        <w:r w:rsidR="00E305D2">
          <w:rPr>
            <w:b w:val="0"/>
            <w:bCs/>
            <w:noProof/>
            <w:webHidden/>
          </w:rPr>
          <w:t>15</w:t>
        </w:r>
        <w:r w:rsidR="005C6E35" w:rsidRPr="00D93502">
          <w:rPr>
            <w:b w:val="0"/>
            <w:bCs/>
            <w:noProof/>
            <w:webHidden/>
          </w:rPr>
          <w:fldChar w:fldCharType="end"/>
        </w:r>
      </w:hyperlink>
    </w:p>
    <w:p w14:paraId="27F01865" w14:textId="7282D9D7" w:rsidR="005C6E35" w:rsidRDefault="00F71B18">
      <w:pPr>
        <w:pStyle w:val="TOC10"/>
        <w:rPr>
          <w:rFonts w:eastAsiaTheme="minorEastAsia" w:cstheme="minorBidi"/>
          <w:b w:val="0"/>
          <w:noProof/>
          <w:sz w:val="22"/>
          <w:szCs w:val="22"/>
          <w:lang w:val="en-US" w:eastAsia="zh-CN"/>
        </w:rPr>
      </w:pPr>
      <w:hyperlink w:anchor="_Toc86395465" w:history="1">
        <w:r w:rsidR="005C6E35" w:rsidRPr="00747397">
          <w:rPr>
            <w:rStyle w:val="Hyperlink"/>
            <w:noProof/>
            <w:lang w:eastAsia="zh-CN"/>
          </w:rPr>
          <w:t>1.2</w:t>
        </w:r>
        <w:r w:rsidR="005C6E35">
          <w:rPr>
            <w:rFonts w:eastAsiaTheme="minorEastAsia" w:cstheme="minorBidi"/>
            <w:b w:val="0"/>
            <w:noProof/>
            <w:sz w:val="22"/>
            <w:szCs w:val="22"/>
            <w:lang w:val="en-US" w:eastAsia="zh-CN"/>
          </w:rPr>
          <w:tab/>
        </w:r>
        <w:r w:rsidR="005C6E35" w:rsidRPr="00747397">
          <w:rPr>
            <w:rStyle w:val="Hyperlink"/>
            <w:rFonts w:hint="eastAsia"/>
            <w:noProof/>
            <w:lang w:eastAsia="zh-CN"/>
          </w:rPr>
          <w:t>其它财务事宜</w:t>
        </w:r>
        <w:r w:rsidR="005C6E35">
          <w:rPr>
            <w:noProof/>
            <w:webHidden/>
          </w:rPr>
          <w:tab/>
        </w:r>
        <w:r w:rsidR="005C6E35">
          <w:rPr>
            <w:noProof/>
            <w:webHidden/>
          </w:rPr>
          <w:tab/>
        </w:r>
        <w:r w:rsidR="005C6E35">
          <w:rPr>
            <w:noProof/>
            <w:webHidden/>
          </w:rPr>
          <w:fldChar w:fldCharType="begin"/>
        </w:r>
        <w:r w:rsidR="005C6E35">
          <w:rPr>
            <w:noProof/>
            <w:webHidden/>
          </w:rPr>
          <w:instrText xml:space="preserve"> PAGEREF _Toc86395465 \h </w:instrText>
        </w:r>
        <w:r w:rsidR="005C6E35">
          <w:rPr>
            <w:noProof/>
            <w:webHidden/>
          </w:rPr>
        </w:r>
        <w:r w:rsidR="005C6E35">
          <w:rPr>
            <w:noProof/>
            <w:webHidden/>
          </w:rPr>
          <w:fldChar w:fldCharType="separate"/>
        </w:r>
        <w:r w:rsidR="00E305D2">
          <w:rPr>
            <w:noProof/>
            <w:webHidden/>
          </w:rPr>
          <w:t>40</w:t>
        </w:r>
        <w:r w:rsidR="005C6E35">
          <w:rPr>
            <w:noProof/>
            <w:webHidden/>
          </w:rPr>
          <w:fldChar w:fldCharType="end"/>
        </w:r>
      </w:hyperlink>
    </w:p>
    <w:p w14:paraId="1BFDCFFC" w14:textId="17F8C1C8" w:rsidR="005C6E35" w:rsidRPr="00D93502" w:rsidRDefault="00F71B18">
      <w:pPr>
        <w:pStyle w:val="TOC10"/>
        <w:rPr>
          <w:rFonts w:eastAsiaTheme="minorEastAsia" w:cstheme="minorBidi"/>
          <w:b w:val="0"/>
          <w:bCs/>
          <w:noProof/>
          <w:sz w:val="22"/>
          <w:szCs w:val="22"/>
          <w:lang w:val="en-US" w:eastAsia="zh-CN"/>
        </w:rPr>
      </w:pPr>
      <w:hyperlink w:anchor="_Toc86395466" w:history="1">
        <w:r w:rsidR="005C6E35" w:rsidRPr="00D93502">
          <w:rPr>
            <w:rStyle w:val="Hyperlink"/>
            <w:rFonts w:hint="eastAsia"/>
            <w:b w:val="0"/>
            <w:bCs/>
            <w:noProof/>
            <w:lang w:eastAsia="zh-CN"/>
          </w:rPr>
          <w:t>第</w:t>
        </w:r>
        <w:r w:rsidR="005C6E35" w:rsidRPr="00D93502">
          <w:rPr>
            <w:rStyle w:val="Hyperlink"/>
            <w:b w:val="0"/>
            <w:bCs/>
            <w:noProof/>
            <w:lang w:eastAsia="zh-CN"/>
          </w:rPr>
          <w:t>925</w:t>
        </w:r>
        <w:r w:rsidR="005C6E35" w:rsidRPr="00D93502">
          <w:rPr>
            <w:rStyle w:val="Hyperlink"/>
            <w:rFonts w:hint="eastAsia"/>
            <w:b w:val="0"/>
            <w:bCs/>
            <w:noProof/>
            <w:lang w:eastAsia="zh-CN"/>
          </w:rPr>
          <w:t>号决议</w:t>
        </w:r>
      </w:hyperlink>
      <w:r w:rsidR="005C6E35" w:rsidRPr="00D93502">
        <w:rPr>
          <w:rFonts w:eastAsiaTheme="minorEastAsia" w:cstheme="minorBidi"/>
          <w:b w:val="0"/>
          <w:bCs/>
          <w:noProof/>
          <w:sz w:val="22"/>
          <w:szCs w:val="22"/>
          <w:lang w:val="en-US" w:eastAsia="zh-CN"/>
        </w:rPr>
        <w:tab/>
      </w:r>
      <w:hyperlink w:anchor="_Toc86395467" w:history="1">
        <w:r w:rsidR="005C6E35" w:rsidRPr="00D93502">
          <w:rPr>
            <w:rStyle w:val="Hyperlink"/>
            <w:rFonts w:hint="eastAsia"/>
            <w:b w:val="0"/>
            <w:bCs/>
            <w:noProof/>
            <w:lang w:eastAsia="zh-CN"/>
          </w:rPr>
          <w:t>联合国、专门机构及其它国际组织参加国际电联大会、全会和会议的财务条件</w:t>
        </w:r>
        <w:r w:rsidR="005C6E35" w:rsidRPr="00D93502">
          <w:rPr>
            <w:b w:val="0"/>
            <w:bCs/>
            <w:noProof/>
            <w:webHidden/>
          </w:rPr>
          <w:tab/>
        </w:r>
        <w:r w:rsidR="005C6E35" w:rsidRP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_Toc86395467 \h </w:instrText>
        </w:r>
        <w:r w:rsidR="005C6E35" w:rsidRPr="00D93502">
          <w:rPr>
            <w:b w:val="0"/>
            <w:bCs/>
            <w:noProof/>
            <w:webHidden/>
          </w:rPr>
        </w:r>
        <w:r w:rsidR="005C6E35" w:rsidRPr="00D93502">
          <w:rPr>
            <w:b w:val="0"/>
            <w:bCs/>
            <w:noProof/>
            <w:webHidden/>
          </w:rPr>
          <w:fldChar w:fldCharType="separate"/>
        </w:r>
        <w:r w:rsidR="00E305D2">
          <w:rPr>
            <w:b w:val="0"/>
            <w:bCs/>
            <w:noProof/>
            <w:webHidden/>
          </w:rPr>
          <w:t>40</w:t>
        </w:r>
        <w:r w:rsidR="005C6E35" w:rsidRPr="00D93502">
          <w:rPr>
            <w:b w:val="0"/>
            <w:bCs/>
            <w:noProof/>
            <w:webHidden/>
          </w:rPr>
          <w:fldChar w:fldCharType="end"/>
        </w:r>
      </w:hyperlink>
    </w:p>
    <w:p w14:paraId="489D290A" w14:textId="470C4D58" w:rsidR="005C6E35" w:rsidRPr="00D93502" w:rsidRDefault="00F71B18">
      <w:pPr>
        <w:pStyle w:val="TOC10"/>
        <w:rPr>
          <w:rFonts w:eastAsiaTheme="minorEastAsia" w:cstheme="minorBidi"/>
          <w:b w:val="0"/>
          <w:bCs/>
          <w:noProof/>
          <w:sz w:val="22"/>
          <w:szCs w:val="22"/>
          <w:lang w:val="en-US" w:eastAsia="zh-CN"/>
        </w:rPr>
      </w:pPr>
      <w:hyperlink w:anchor="_Toc86395468" w:history="1">
        <w:r w:rsidR="005C6E35" w:rsidRPr="00D93502">
          <w:rPr>
            <w:rStyle w:val="Hyperlink"/>
            <w:rFonts w:hint="eastAsia"/>
            <w:b w:val="0"/>
            <w:bCs/>
            <w:noProof/>
            <w:lang w:eastAsia="zh-CN"/>
          </w:rPr>
          <w:t>第</w:t>
        </w:r>
        <w:r w:rsidR="005C6E35" w:rsidRPr="00D93502">
          <w:rPr>
            <w:rStyle w:val="Hyperlink"/>
            <w:b w:val="0"/>
            <w:bCs/>
            <w:noProof/>
            <w:lang w:eastAsia="zh-CN"/>
          </w:rPr>
          <w:t>1111</w:t>
        </w:r>
        <w:r w:rsidR="005C6E35" w:rsidRPr="00D93502">
          <w:rPr>
            <w:rStyle w:val="Hyperlink"/>
            <w:rFonts w:hint="eastAsia"/>
            <w:b w:val="0"/>
            <w:bCs/>
            <w:noProof/>
            <w:lang w:eastAsia="zh-CN"/>
          </w:rPr>
          <w:t>号决议</w:t>
        </w:r>
      </w:hyperlink>
      <w:r w:rsidR="005C6E35" w:rsidRPr="00D93502">
        <w:rPr>
          <w:rFonts w:eastAsiaTheme="minorEastAsia" w:cstheme="minorBidi"/>
          <w:b w:val="0"/>
          <w:bCs/>
          <w:noProof/>
          <w:sz w:val="22"/>
          <w:szCs w:val="22"/>
          <w:lang w:val="en-US" w:eastAsia="zh-CN"/>
        </w:rPr>
        <w:tab/>
      </w:r>
      <w:hyperlink w:anchor="_Toc86395469" w:history="1">
        <w:r w:rsidR="005C6E35" w:rsidRPr="00D93502">
          <w:rPr>
            <w:rStyle w:val="Hyperlink"/>
            <w:rFonts w:hint="eastAsia"/>
            <w:b w:val="0"/>
            <w:bCs/>
            <w:noProof/>
            <w:lang w:eastAsia="zh-CN"/>
          </w:rPr>
          <w:t>电信展盈余基金</w:t>
        </w:r>
        <w:r w:rsidR="005C6E35" w:rsidRPr="00D93502">
          <w:rPr>
            <w:b w:val="0"/>
            <w:bCs/>
            <w:noProof/>
            <w:webHidden/>
          </w:rPr>
          <w:tab/>
        </w:r>
        <w:r w:rsidR="005C6E35" w:rsidRP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_Toc86395469 \h </w:instrText>
        </w:r>
        <w:r w:rsidR="005C6E35" w:rsidRPr="00D93502">
          <w:rPr>
            <w:b w:val="0"/>
            <w:bCs/>
            <w:noProof/>
            <w:webHidden/>
          </w:rPr>
        </w:r>
        <w:r w:rsidR="005C6E35" w:rsidRPr="00D93502">
          <w:rPr>
            <w:b w:val="0"/>
            <w:bCs/>
            <w:noProof/>
            <w:webHidden/>
          </w:rPr>
          <w:fldChar w:fldCharType="separate"/>
        </w:r>
        <w:r w:rsidR="00E305D2">
          <w:rPr>
            <w:b w:val="0"/>
            <w:bCs/>
            <w:noProof/>
            <w:webHidden/>
          </w:rPr>
          <w:t>42</w:t>
        </w:r>
        <w:r w:rsidR="005C6E35" w:rsidRPr="00D93502">
          <w:rPr>
            <w:b w:val="0"/>
            <w:bCs/>
            <w:noProof/>
            <w:webHidden/>
          </w:rPr>
          <w:fldChar w:fldCharType="end"/>
        </w:r>
      </w:hyperlink>
    </w:p>
    <w:p w14:paraId="3257F814" w14:textId="1F1FCBE7" w:rsidR="005C6E35" w:rsidRPr="00D93502" w:rsidRDefault="00F71B18">
      <w:pPr>
        <w:pStyle w:val="TOC10"/>
        <w:rPr>
          <w:rFonts w:eastAsiaTheme="minorEastAsia" w:cstheme="minorBidi"/>
          <w:b w:val="0"/>
          <w:bCs/>
          <w:noProof/>
          <w:sz w:val="22"/>
          <w:szCs w:val="22"/>
          <w:lang w:val="en-US" w:eastAsia="zh-CN"/>
        </w:rPr>
      </w:pPr>
      <w:hyperlink w:anchor="_Toc86395470" w:history="1">
        <w:r w:rsidR="005C6E35" w:rsidRPr="00D93502">
          <w:rPr>
            <w:rStyle w:val="Hyperlink"/>
            <w:rFonts w:hint="eastAsia"/>
            <w:b w:val="0"/>
            <w:bCs/>
            <w:noProof/>
            <w:lang w:eastAsia="zh-CN"/>
          </w:rPr>
          <w:t>第</w:t>
        </w:r>
        <w:r w:rsidR="005C6E35" w:rsidRPr="00D93502">
          <w:rPr>
            <w:rStyle w:val="Hyperlink"/>
            <w:b w:val="0"/>
            <w:bCs/>
            <w:noProof/>
            <w:lang w:eastAsia="zh-CN"/>
          </w:rPr>
          <w:t>1338</w:t>
        </w:r>
        <w:r w:rsidR="005C6E35" w:rsidRPr="00D93502">
          <w:rPr>
            <w:rStyle w:val="Hyperlink"/>
            <w:rFonts w:hint="eastAsia"/>
            <w:b w:val="0"/>
            <w:bCs/>
            <w:noProof/>
            <w:lang w:eastAsia="zh-CN"/>
          </w:rPr>
          <w:t>号决议</w:t>
        </w:r>
      </w:hyperlink>
      <w:r w:rsidR="005C6E35" w:rsidRPr="00D93502">
        <w:rPr>
          <w:rFonts w:eastAsiaTheme="minorEastAsia" w:cstheme="minorBidi"/>
          <w:b w:val="0"/>
          <w:bCs/>
          <w:noProof/>
          <w:sz w:val="22"/>
          <w:szCs w:val="22"/>
          <w:lang w:val="en-US" w:eastAsia="zh-CN"/>
        </w:rPr>
        <w:tab/>
      </w:r>
      <w:hyperlink w:anchor="_Toc86395471" w:history="1">
        <w:r w:rsidR="005C6E35" w:rsidRPr="00D93502">
          <w:rPr>
            <w:rStyle w:val="Hyperlink"/>
            <w:rFonts w:hint="eastAsia"/>
            <w:b w:val="0"/>
            <w:bCs/>
            <w:noProof/>
            <w:lang w:eastAsia="zh-CN"/>
          </w:rPr>
          <w:t>信息通信技术发展基金（</w:t>
        </w:r>
        <w:r w:rsidR="005C6E35" w:rsidRPr="00D93502">
          <w:rPr>
            <w:rStyle w:val="Hyperlink"/>
            <w:b w:val="0"/>
            <w:bCs/>
            <w:noProof/>
            <w:lang w:eastAsia="zh-CN"/>
          </w:rPr>
          <w:t>ICT-DF</w:t>
        </w:r>
        <w:r w:rsidR="005C6E35" w:rsidRPr="00D93502">
          <w:rPr>
            <w:rStyle w:val="Hyperlink"/>
            <w:rFonts w:hint="eastAsia"/>
            <w:b w:val="0"/>
            <w:bCs/>
            <w:noProof/>
            <w:lang w:eastAsia="zh-CN"/>
          </w:rPr>
          <w:t>）</w:t>
        </w:r>
        <w:r w:rsidR="005C6E35" w:rsidRPr="00D93502">
          <w:rPr>
            <w:b w:val="0"/>
            <w:bCs/>
            <w:noProof/>
            <w:webHidden/>
          </w:rPr>
          <w:tab/>
        </w:r>
        <w:r w:rsidR="005C6E35" w:rsidRP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_Toc86395471 \h </w:instrText>
        </w:r>
        <w:r w:rsidR="005C6E35" w:rsidRPr="00D93502">
          <w:rPr>
            <w:b w:val="0"/>
            <w:bCs/>
            <w:noProof/>
            <w:webHidden/>
          </w:rPr>
        </w:r>
        <w:r w:rsidR="005C6E35" w:rsidRPr="00D93502">
          <w:rPr>
            <w:b w:val="0"/>
            <w:bCs/>
            <w:noProof/>
            <w:webHidden/>
          </w:rPr>
          <w:fldChar w:fldCharType="separate"/>
        </w:r>
        <w:r w:rsidR="00E305D2">
          <w:rPr>
            <w:b w:val="0"/>
            <w:bCs/>
            <w:noProof/>
            <w:webHidden/>
          </w:rPr>
          <w:t>43</w:t>
        </w:r>
        <w:r w:rsidR="005C6E35" w:rsidRPr="00D93502">
          <w:rPr>
            <w:b w:val="0"/>
            <w:bCs/>
            <w:noProof/>
            <w:webHidden/>
          </w:rPr>
          <w:fldChar w:fldCharType="end"/>
        </w:r>
      </w:hyperlink>
    </w:p>
    <w:p w14:paraId="4977BE65" w14:textId="61AE8743" w:rsidR="005C6E35" w:rsidRPr="00D93502" w:rsidRDefault="00F71B18">
      <w:pPr>
        <w:pStyle w:val="TOC10"/>
        <w:rPr>
          <w:rFonts w:eastAsiaTheme="minorEastAsia" w:cstheme="minorBidi"/>
          <w:b w:val="0"/>
          <w:bCs/>
          <w:noProof/>
          <w:sz w:val="22"/>
          <w:szCs w:val="22"/>
          <w:lang w:val="en-US" w:eastAsia="zh-CN"/>
        </w:rPr>
      </w:pPr>
      <w:hyperlink w:anchor="_Toc86395472" w:history="1">
        <w:r w:rsidR="005C6E35" w:rsidRPr="00D93502">
          <w:rPr>
            <w:rStyle w:val="Hyperlink"/>
            <w:rFonts w:hint="eastAsia"/>
            <w:b w:val="0"/>
            <w:bCs/>
            <w:noProof/>
            <w:lang w:eastAsia="zh-CN"/>
          </w:rPr>
          <w:t>第</w:t>
        </w:r>
        <w:r w:rsidR="005C6E35" w:rsidRPr="00D93502">
          <w:rPr>
            <w:rStyle w:val="Hyperlink"/>
            <w:b w:val="0"/>
            <w:bCs/>
            <w:noProof/>
            <w:lang w:eastAsia="zh-CN"/>
          </w:rPr>
          <w:t>1397</w:t>
        </w:r>
        <w:r w:rsidR="005C6E35" w:rsidRPr="00D93502">
          <w:rPr>
            <w:rStyle w:val="Hyperlink"/>
            <w:rFonts w:hint="eastAsia"/>
            <w:b w:val="0"/>
            <w:bCs/>
            <w:noProof/>
            <w:lang w:eastAsia="zh-CN"/>
          </w:rPr>
          <w:t>号决议</w:t>
        </w:r>
      </w:hyperlink>
      <w:r w:rsidR="005C6E35" w:rsidRPr="00D93502">
        <w:rPr>
          <w:rFonts w:eastAsiaTheme="minorEastAsia" w:cstheme="minorBidi"/>
          <w:b w:val="0"/>
          <w:bCs/>
          <w:noProof/>
          <w:sz w:val="22"/>
          <w:szCs w:val="22"/>
          <w:lang w:val="en-US" w:eastAsia="zh-CN"/>
        </w:rPr>
        <w:tab/>
      </w:r>
      <w:hyperlink w:anchor="_Toc86395473" w:history="1">
        <w:r w:rsidR="005C6E35" w:rsidRPr="00D93502">
          <w:rPr>
            <w:rStyle w:val="Hyperlink"/>
            <w:b w:val="0"/>
            <w:bCs/>
            <w:noProof/>
            <w:lang w:eastAsia="zh-CN"/>
          </w:rPr>
          <w:t>2018</w:t>
        </w:r>
        <w:r w:rsidR="005C6E35" w:rsidRPr="00D93502">
          <w:rPr>
            <w:rStyle w:val="Hyperlink"/>
            <w:rFonts w:hint="eastAsia"/>
            <w:b w:val="0"/>
            <w:bCs/>
            <w:noProof/>
            <w:lang w:eastAsia="zh-CN"/>
          </w:rPr>
          <w:t>财务年度的财务工作报告</w:t>
        </w:r>
        <w:r w:rsidR="005C6E35" w:rsidRPr="00D93502">
          <w:rPr>
            <w:b w:val="0"/>
            <w:bCs/>
            <w:noProof/>
            <w:webHidden/>
          </w:rPr>
          <w:tab/>
        </w:r>
        <w:r w:rsidR="005C6E35" w:rsidRP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_Toc86395473 \h </w:instrText>
        </w:r>
        <w:r w:rsidR="005C6E35" w:rsidRPr="00D93502">
          <w:rPr>
            <w:b w:val="0"/>
            <w:bCs/>
            <w:noProof/>
            <w:webHidden/>
          </w:rPr>
        </w:r>
        <w:r w:rsidR="005C6E35" w:rsidRPr="00D93502">
          <w:rPr>
            <w:b w:val="0"/>
            <w:bCs/>
            <w:noProof/>
            <w:webHidden/>
          </w:rPr>
          <w:fldChar w:fldCharType="separate"/>
        </w:r>
        <w:r w:rsidR="00E305D2">
          <w:rPr>
            <w:b w:val="0"/>
            <w:bCs/>
            <w:noProof/>
            <w:webHidden/>
          </w:rPr>
          <w:t>44</w:t>
        </w:r>
        <w:r w:rsidR="005C6E35" w:rsidRPr="00D93502">
          <w:rPr>
            <w:b w:val="0"/>
            <w:bCs/>
            <w:noProof/>
            <w:webHidden/>
          </w:rPr>
          <w:fldChar w:fldCharType="end"/>
        </w:r>
      </w:hyperlink>
    </w:p>
    <w:p w14:paraId="770BC9E6" w14:textId="21A3F333" w:rsidR="005C6E35" w:rsidRPr="00D93502" w:rsidRDefault="00F71B18">
      <w:pPr>
        <w:pStyle w:val="TOC10"/>
        <w:rPr>
          <w:rFonts w:eastAsiaTheme="minorEastAsia" w:cstheme="minorBidi"/>
          <w:b w:val="0"/>
          <w:bCs/>
          <w:noProof/>
          <w:sz w:val="22"/>
          <w:szCs w:val="22"/>
          <w:lang w:val="en-US" w:eastAsia="zh-CN"/>
        </w:rPr>
      </w:pPr>
      <w:hyperlink w:anchor="_Toc86395474" w:history="1">
        <w:r w:rsidR="005C6E35" w:rsidRPr="00D93502">
          <w:rPr>
            <w:rStyle w:val="Hyperlink"/>
            <w:rFonts w:hint="eastAsia"/>
            <w:b w:val="0"/>
            <w:bCs/>
            <w:noProof/>
            <w:lang w:eastAsia="zh-CN"/>
          </w:rPr>
          <w:t>第</w:t>
        </w:r>
        <w:r w:rsidR="005C6E35" w:rsidRPr="00D93502">
          <w:rPr>
            <w:rStyle w:val="Hyperlink"/>
            <w:b w:val="0"/>
            <w:bCs/>
            <w:noProof/>
            <w:lang w:eastAsia="zh-CN"/>
          </w:rPr>
          <w:t>1400</w:t>
        </w:r>
        <w:r w:rsidR="005C6E35" w:rsidRPr="00D93502">
          <w:rPr>
            <w:rStyle w:val="Hyperlink"/>
            <w:rFonts w:hint="eastAsia"/>
            <w:b w:val="0"/>
            <w:bCs/>
            <w:noProof/>
            <w:lang w:eastAsia="zh-CN"/>
          </w:rPr>
          <w:t>号决议</w:t>
        </w:r>
      </w:hyperlink>
      <w:r w:rsidR="005C6E35" w:rsidRPr="00D93502">
        <w:rPr>
          <w:rFonts w:eastAsiaTheme="minorEastAsia" w:cstheme="minorBidi"/>
          <w:b w:val="0"/>
          <w:bCs/>
          <w:noProof/>
          <w:sz w:val="22"/>
          <w:szCs w:val="22"/>
          <w:lang w:val="en-US" w:eastAsia="zh-CN"/>
        </w:rPr>
        <w:tab/>
      </w:r>
      <w:hyperlink w:anchor="_Toc86395475" w:history="1">
        <w:r w:rsidR="005C6E35" w:rsidRPr="00D93502">
          <w:rPr>
            <w:rStyle w:val="Hyperlink"/>
            <w:b w:val="0"/>
            <w:bCs/>
            <w:noProof/>
            <w:lang w:eastAsia="zh-CN"/>
          </w:rPr>
          <w:t>2019</w:t>
        </w:r>
        <w:r w:rsidR="005C6E35" w:rsidRPr="00D93502">
          <w:rPr>
            <w:rStyle w:val="Hyperlink"/>
            <w:rFonts w:hint="eastAsia"/>
            <w:b w:val="0"/>
            <w:bCs/>
            <w:noProof/>
            <w:lang w:eastAsia="zh-CN"/>
          </w:rPr>
          <w:t>财务年度的财务工作报告</w:t>
        </w:r>
        <w:r w:rsidR="005C6E35" w:rsidRPr="00D93502">
          <w:rPr>
            <w:b w:val="0"/>
            <w:bCs/>
            <w:noProof/>
            <w:webHidden/>
          </w:rPr>
          <w:tab/>
        </w:r>
        <w:r w:rsidR="005C6E35" w:rsidRP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_Toc86395475 \h </w:instrText>
        </w:r>
        <w:r w:rsidR="005C6E35" w:rsidRPr="00D93502">
          <w:rPr>
            <w:b w:val="0"/>
            <w:bCs/>
            <w:noProof/>
            <w:webHidden/>
          </w:rPr>
        </w:r>
        <w:r w:rsidR="005C6E35" w:rsidRPr="00D93502">
          <w:rPr>
            <w:b w:val="0"/>
            <w:bCs/>
            <w:noProof/>
            <w:webHidden/>
          </w:rPr>
          <w:fldChar w:fldCharType="separate"/>
        </w:r>
        <w:r w:rsidR="00E305D2">
          <w:rPr>
            <w:b w:val="0"/>
            <w:bCs/>
            <w:noProof/>
            <w:webHidden/>
          </w:rPr>
          <w:t>44</w:t>
        </w:r>
        <w:r w:rsidR="005C6E35" w:rsidRPr="00D93502">
          <w:rPr>
            <w:b w:val="0"/>
            <w:bCs/>
            <w:noProof/>
            <w:webHidden/>
          </w:rPr>
          <w:fldChar w:fldCharType="end"/>
        </w:r>
      </w:hyperlink>
    </w:p>
    <w:p w14:paraId="2864BF7C" w14:textId="3784FC54" w:rsidR="005C6E35" w:rsidRPr="00D93502" w:rsidRDefault="00F71B18">
      <w:pPr>
        <w:pStyle w:val="TOC10"/>
        <w:rPr>
          <w:rFonts w:eastAsiaTheme="minorEastAsia" w:cstheme="minorBidi"/>
          <w:b w:val="0"/>
          <w:bCs/>
          <w:noProof/>
          <w:sz w:val="22"/>
          <w:szCs w:val="22"/>
          <w:lang w:val="en-US" w:eastAsia="zh-CN"/>
        </w:rPr>
      </w:pPr>
      <w:hyperlink w:anchor="_Toc86395476" w:history="1">
        <w:r w:rsidR="005C6E35" w:rsidRPr="00D93502">
          <w:rPr>
            <w:rStyle w:val="Hyperlink"/>
            <w:rFonts w:hint="eastAsia"/>
            <w:b w:val="0"/>
            <w:bCs/>
            <w:noProof/>
            <w:lang w:eastAsia="zh-CN"/>
          </w:rPr>
          <w:t>第</w:t>
        </w:r>
        <w:r w:rsidR="005C6E35" w:rsidRPr="00D93502">
          <w:rPr>
            <w:rStyle w:val="Hyperlink"/>
            <w:b w:val="0"/>
            <w:bCs/>
            <w:noProof/>
            <w:lang w:eastAsia="zh-CN"/>
          </w:rPr>
          <w:t>1402</w:t>
        </w:r>
        <w:r w:rsidR="005C6E35" w:rsidRPr="00D93502">
          <w:rPr>
            <w:rStyle w:val="Hyperlink"/>
            <w:rFonts w:hint="eastAsia"/>
            <w:b w:val="0"/>
            <w:bCs/>
            <w:noProof/>
            <w:lang w:eastAsia="zh-CN"/>
          </w:rPr>
          <w:t>号决议</w:t>
        </w:r>
      </w:hyperlink>
      <w:r w:rsidR="005C6E35" w:rsidRPr="00D93502">
        <w:rPr>
          <w:rFonts w:eastAsiaTheme="minorEastAsia" w:cstheme="minorBidi"/>
          <w:b w:val="0"/>
          <w:bCs/>
          <w:noProof/>
          <w:sz w:val="22"/>
          <w:szCs w:val="22"/>
          <w:lang w:val="en-US" w:eastAsia="zh-CN"/>
        </w:rPr>
        <w:tab/>
      </w:r>
      <w:hyperlink w:anchor="_Toc86395477" w:history="1">
        <w:r w:rsidR="005C6E35" w:rsidRPr="00D93502">
          <w:rPr>
            <w:rStyle w:val="Hyperlink"/>
            <w:rFonts w:hint="eastAsia"/>
            <w:b w:val="0"/>
            <w:bCs/>
            <w:noProof/>
            <w:lang w:eastAsia="zh-CN"/>
          </w:rPr>
          <w:t>分摊国际电联费用的会费份额</w:t>
        </w:r>
        <w:r w:rsidR="005C6E35" w:rsidRPr="00D93502">
          <w:rPr>
            <w:b w:val="0"/>
            <w:bCs/>
            <w:noProof/>
            <w:webHidden/>
          </w:rPr>
          <w:tab/>
        </w:r>
        <w:r w:rsidR="005C6E35" w:rsidRP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_Toc86395477 \h </w:instrText>
        </w:r>
        <w:r w:rsidR="005C6E35" w:rsidRPr="00D93502">
          <w:rPr>
            <w:b w:val="0"/>
            <w:bCs/>
            <w:noProof/>
            <w:webHidden/>
          </w:rPr>
        </w:r>
        <w:r w:rsidR="005C6E35" w:rsidRPr="00D93502">
          <w:rPr>
            <w:b w:val="0"/>
            <w:bCs/>
            <w:noProof/>
            <w:webHidden/>
          </w:rPr>
          <w:fldChar w:fldCharType="separate"/>
        </w:r>
        <w:r w:rsidR="00E305D2">
          <w:rPr>
            <w:b w:val="0"/>
            <w:bCs/>
            <w:noProof/>
            <w:webHidden/>
          </w:rPr>
          <w:t>45</w:t>
        </w:r>
        <w:r w:rsidR="005C6E35" w:rsidRPr="00D93502">
          <w:rPr>
            <w:b w:val="0"/>
            <w:bCs/>
            <w:noProof/>
            <w:webHidden/>
          </w:rPr>
          <w:fldChar w:fldCharType="end"/>
        </w:r>
      </w:hyperlink>
    </w:p>
    <w:p w14:paraId="3827AD5B" w14:textId="03C9FC99" w:rsidR="005C6E35" w:rsidRPr="00D93502" w:rsidRDefault="00F71B18">
      <w:pPr>
        <w:pStyle w:val="TOC10"/>
        <w:rPr>
          <w:rFonts w:eastAsiaTheme="minorEastAsia" w:cstheme="minorBidi"/>
          <w:b w:val="0"/>
          <w:bCs/>
          <w:noProof/>
          <w:sz w:val="22"/>
          <w:szCs w:val="22"/>
          <w:lang w:val="en-US" w:eastAsia="zh-CN"/>
        </w:rPr>
      </w:pPr>
      <w:hyperlink w:anchor="_Toc86395478" w:history="1">
        <w:r w:rsidR="005C6E35" w:rsidRPr="00D93502">
          <w:rPr>
            <w:rStyle w:val="Hyperlink"/>
            <w:rFonts w:hint="eastAsia"/>
            <w:b w:val="0"/>
            <w:bCs/>
            <w:noProof/>
          </w:rPr>
          <w:t>第</w:t>
        </w:r>
        <w:r w:rsidR="005C6E35" w:rsidRPr="00D93502">
          <w:rPr>
            <w:rStyle w:val="Hyperlink"/>
            <w:b w:val="0"/>
            <w:bCs/>
            <w:noProof/>
          </w:rPr>
          <w:t>387</w:t>
        </w:r>
        <w:r w:rsidR="005C6E35" w:rsidRPr="00D93502">
          <w:rPr>
            <w:rStyle w:val="Hyperlink"/>
            <w:rFonts w:hint="eastAsia"/>
            <w:b w:val="0"/>
            <w:bCs/>
            <w:noProof/>
          </w:rPr>
          <w:t>号决定</w:t>
        </w:r>
      </w:hyperlink>
      <w:r w:rsidR="005C6E35" w:rsidRPr="00D93502">
        <w:rPr>
          <w:rFonts w:eastAsiaTheme="minorEastAsia" w:cstheme="minorBidi"/>
          <w:b w:val="0"/>
          <w:bCs/>
          <w:noProof/>
          <w:sz w:val="22"/>
          <w:szCs w:val="22"/>
          <w:lang w:val="en-US" w:eastAsia="zh-CN"/>
        </w:rPr>
        <w:tab/>
      </w:r>
      <w:hyperlink w:anchor="_Toc86395479" w:history="1">
        <w:r w:rsidR="005C6E35" w:rsidRPr="00D93502">
          <w:rPr>
            <w:rStyle w:val="Hyperlink"/>
            <w:rFonts w:hint="eastAsia"/>
            <w:b w:val="0"/>
            <w:bCs/>
            <w:noProof/>
          </w:rPr>
          <w:t>国际电联出版物的付款</w:t>
        </w:r>
        <w:r w:rsidR="005C6E35" w:rsidRPr="00D93502">
          <w:rPr>
            <w:b w:val="0"/>
            <w:bCs/>
            <w:noProof/>
            <w:webHidden/>
          </w:rPr>
          <w:tab/>
        </w:r>
        <w:r w:rsidR="005C6E35" w:rsidRP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_Toc86395479 \h </w:instrText>
        </w:r>
        <w:r w:rsidR="005C6E35" w:rsidRPr="00D93502">
          <w:rPr>
            <w:b w:val="0"/>
            <w:bCs/>
            <w:noProof/>
            <w:webHidden/>
          </w:rPr>
        </w:r>
        <w:r w:rsidR="005C6E35" w:rsidRPr="00D93502">
          <w:rPr>
            <w:b w:val="0"/>
            <w:bCs/>
            <w:noProof/>
            <w:webHidden/>
          </w:rPr>
          <w:fldChar w:fldCharType="separate"/>
        </w:r>
        <w:r w:rsidR="00E305D2">
          <w:rPr>
            <w:b w:val="0"/>
            <w:bCs/>
            <w:noProof/>
            <w:webHidden/>
          </w:rPr>
          <w:t>46</w:t>
        </w:r>
        <w:r w:rsidR="005C6E35" w:rsidRPr="00D93502">
          <w:rPr>
            <w:b w:val="0"/>
            <w:bCs/>
            <w:noProof/>
            <w:webHidden/>
          </w:rPr>
          <w:fldChar w:fldCharType="end"/>
        </w:r>
      </w:hyperlink>
    </w:p>
    <w:p w14:paraId="5410ED04" w14:textId="5AF447DD" w:rsidR="005C6E35" w:rsidRPr="00D93502" w:rsidRDefault="00F71B18">
      <w:pPr>
        <w:pStyle w:val="TOC10"/>
        <w:rPr>
          <w:rFonts w:eastAsiaTheme="minorEastAsia" w:cstheme="minorBidi"/>
          <w:b w:val="0"/>
          <w:bCs/>
          <w:noProof/>
          <w:sz w:val="22"/>
          <w:szCs w:val="22"/>
          <w:lang w:val="en-US" w:eastAsia="zh-CN"/>
        </w:rPr>
      </w:pPr>
      <w:hyperlink w:anchor="_Toc86395480" w:history="1">
        <w:r w:rsidR="005C6E35" w:rsidRPr="00D93502">
          <w:rPr>
            <w:rStyle w:val="Hyperlink"/>
            <w:rFonts w:hint="eastAsia"/>
            <w:b w:val="0"/>
            <w:bCs/>
            <w:noProof/>
            <w:lang w:val="en-US" w:eastAsia="zh-CN"/>
          </w:rPr>
          <w:t>第</w:t>
        </w:r>
        <w:r w:rsidR="005C6E35" w:rsidRPr="00D93502">
          <w:rPr>
            <w:rStyle w:val="Hyperlink"/>
            <w:b w:val="0"/>
            <w:bCs/>
            <w:noProof/>
            <w:lang w:val="en-US" w:eastAsia="zh-CN"/>
          </w:rPr>
          <w:t>482</w:t>
        </w:r>
        <w:r w:rsidR="005C6E35" w:rsidRPr="00D93502">
          <w:rPr>
            <w:rStyle w:val="Hyperlink"/>
            <w:rFonts w:hint="eastAsia"/>
            <w:b w:val="0"/>
            <w:bCs/>
            <w:noProof/>
            <w:lang w:val="en-US" w:eastAsia="zh-CN"/>
          </w:rPr>
          <w:t>号决定</w:t>
        </w:r>
      </w:hyperlink>
      <w:r w:rsidR="005C6E35" w:rsidRPr="00D93502">
        <w:rPr>
          <w:rFonts w:eastAsiaTheme="minorEastAsia" w:cstheme="minorBidi"/>
          <w:b w:val="0"/>
          <w:bCs/>
          <w:noProof/>
          <w:sz w:val="22"/>
          <w:szCs w:val="22"/>
          <w:lang w:val="en-US" w:eastAsia="zh-CN"/>
        </w:rPr>
        <w:tab/>
      </w:r>
      <w:hyperlink w:anchor="_Toc86395481" w:history="1">
        <w:r w:rsidR="005C6E35" w:rsidRPr="00D93502">
          <w:rPr>
            <w:rStyle w:val="Hyperlink"/>
            <w:rFonts w:hint="eastAsia"/>
            <w:b w:val="0"/>
            <w:bCs/>
            <w:noProof/>
            <w:lang w:eastAsia="zh-CN"/>
          </w:rPr>
          <w:t>对卫星网络申报实行成本回收</w:t>
        </w:r>
        <w:r w:rsidR="005C6E35" w:rsidRPr="00D93502">
          <w:rPr>
            <w:b w:val="0"/>
            <w:bCs/>
            <w:noProof/>
            <w:webHidden/>
          </w:rPr>
          <w:tab/>
        </w:r>
        <w:r w:rsidR="005C6E35" w:rsidRP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_Toc86395481 \h </w:instrText>
        </w:r>
        <w:r w:rsidR="005C6E35" w:rsidRPr="00D93502">
          <w:rPr>
            <w:b w:val="0"/>
            <w:bCs/>
            <w:noProof/>
            <w:webHidden/>
          </w:rPr>
        </w:r>
        <w:r w:rsidR="005C6E35" w:rsidRPr="00D93502">
          <w:rPr>
            <w:b w:val="0"/>
            <w:bCs/>
            <w:noProof/>
            <w:webHidden/>
          </w:rPr>
          <w:fldChar w:fldCharType="separate"/>
        </w:r>
        <w:r w:rsidR="00E305D2">
          <w:rPr>
            <w:b w:val="0"/>
            <w:bCs/>
            <w:noProof/>
            <w:webHidden/>
          </w:rPr>
          <w:t>46</w:t>
        </w:r>
        <w:r w:rsidR="005C6E35" w:rsidRPr="00D93502">
          <w:rPr>
            <w:b w:val="0"/>
            <w:bCs/>
            <w:noProof/>
            <w:webHidden/>
          </w:rPr>
          <w:fldChar w:fldCharType="end"/>
        </w:r>
      </w:hyperlink>
    </w:p>
    <w:p w14:paraId="40A6528C" w14:textId="0CCAC643" w:rsidR="005C6E35" w:rsidRPr="00D93502" w:rsidRDefault="00F71B18">
      <w:pPr>
        <w:pStyle w:val="TOC10"/>
        <w:rPr>
          <w:rFonts w:eastAsiaTheme="minorEastAsia" w:cstheme="minorBidi"/>
          <w:b w:val="0"/>
          <w:bCs/>
          <w:noProof/>
          <w:sz w:val="22"/>
          <w:szCs w:val="22"/>
          <w:lang w:val="en-US" w:eastAsia="zh-CN"/>
        </w:rPr>
      </w:pPr>
      <w:hyperlink w:anchor="_Toc86395482" w:history="1">
        <w:r w:rsidR="005C6E35" w:rsidRPr="00D93502">
          <w:rPr>
            <w:rStyle w:val="Hyperlink"/>
            <w:rFonts w:hint="eastAsia"/>
            <w:b w:val="0"/>
            <w:bCs/>
            <w:noProof/>
          </w:rPr>
          <w:t>第</w:t>
        </w:r>
        <w:r w:rsidR="005C6E35" w:rsidRPr="00D93502">
          <w:rPr>
            <w:rStyle w:val="Hyperlink"/>
            <w:b w:val="0"/>
            <w:bCs/>
            <w:noProof/>
          </w:rPr>
          <w:t>545</w:t>
        </w:r>
        <w:r w:rsidR="005C6E35" w:rsidRPr="00D93502">
          <w:rPr>
            <w:rStyle w:val="Hyperlink"/>
            <w:rFonts w:hint="eastAsia"/>
            <w:b w:val="0"/>
            <w:bCs/>
            <w:noProof/>
          </w:rPr>
          <w:t>号决定</w:t>
        </w:r>
      </w:hyperlink>
      <w:r w:rsidR="005C6E35" w:rsidRPr="00D93502">
        <w:rPr>
          <w:rFonts w:eastAsiaTheme="minorEastAsia" w:cstheme="minorBidi"/>
          <w:b w:val="0"/>
          <w:bCs/>
          <w:noProof/>
          <w:sz w:val="22"/>
          <w:szCs w:val="22"/>
          <w:lang w:val="en-US" w:eastAsia="zh-CN"/>
        </w:rPr>
        <w:tab/>
      </w:r>
      <w:hyperlink w:anchor="_Toc86395483" w:history="1">
        <w:r w:rsidR="005C6E35" w:rsidRPr="00D93502">
          <w:rPr>
            <w:rStyle w:val="Hyperlink"/>
            <w:rFonts w:hint="eastAsia"/>
            <w:b w:val="0"/>
            <w:bCs/>
            <w:noProof/>
          </w:rPr>
          <w:t>不支付卫星网络申报成本回收费用的问题</w:t>
        </w:r>
        <w:r w:rsidR="005C6E35" w:rsidRPr="00D93502">
          <w:rPr>
            <w:b w:val="0"/>
            <w:bCs/>
            <w:noProof/>
            <w:webHidden/>
          </w:rPr>
          <w:tab/>
        </w:r>
        <w:r w:rsidR="005C6E35" w:rsidRP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_Toc86395483 \h </w:instrText>
        </w:r>
        <w:r w:rsidR="005C6E35" w:rsidRPr="00D93502">
          <w:rPr>
            <w:b w:val="0"/>
            <w:bCs/>
            <w:noProof/>
            <w:webHidden/>
          </w:rPr>
        </w:r>
        <w:r w:rsidR="005C6E35" w:rsidRPr="00D93502">
          <w:rPr>
            <w:b w:val="0"/>
            <w:bCs/>
            <w:noProof/>
            <w:webHidden/>
          </w:rPr>
          <w:fldChar w:fldCharType="separate"/>
        </w:r>
        <w:r w:rsidR="00E305D2">
          <w:rPr>
            <w:b w:val="0"/>
            <w:bCs/>
            <w:noProof/>
            <w:webHidden/>
          </w:rPr>
          <w:t>54</w:t>
        </w:r>
        <w:r w:rsidR="005C6E35" w:rsidRPr="00D93502">
          <w:rPr>
            <w:b w:val="0"/>
            <w:bCs/>
            <w:noProof/>
            <w:webHidden/>
          </w:rPr>
          <w:fldChar w:fldCharType="end"/>
        </w:r>
      </w:hyperlink>
    </w:p>
    <w:p w14:paraId="38EA151A" w14:textId="4A6A9369" w:rsidR="005C6E35" w:rsidRPr="00D93502" w:rsidRDefault="00F71B18">
      <w:pPr>
        <w:pStyle w:val="TOC10"/>
        <w:rPr>
          <w:rFonts w:eastAsiaTheme="minorEastAsia" w:cstheme="minorBidi"/>
          <w:b w:val="0"/>
          <w:bCs/>
          <w:noProof/>
          <w:sz w:val="22"/>
          <w:szCs w:val="22"/>
          <w:lang w:val="en-US" w:eastAsia="zh-CN"/>
        </w:rPr>
      </w:pPr>
      <w:hyperlink w:anchor="_Toc86395484" w:history="1">
        <w:r w:rsidR="005C6E35" w:rsidRPr="00D93502">
          <w:rPr>
            <w:rStyle w:val="Hyperlink"/>
            <w:rFonts w:asciiTheme="minorEastAsia" w:hAnsiTheme="minorEastAsia" w:hint="eastAsia"/>
            <w:b w:val="0"/>
            <w:bCs/>
            <w:noProof/>
            <w:lang w:eastAsia="zh-CN"/>
          </w:rPr>
          <w:t>第</w:t>
        </w:r>
        <w:r w:rsidR="005C6E35" w:rsidRPr="00D93502">
          <w:rPr>
            <w:rStyle w:val="Hyperlink"/>
            <w:rFonts w:eastAsia="Times New Roman"/>
            <w:b w:val="0"/>
            <w:bCs/>
            <w:noProof/>
            <w:lang w:eastAsia="zh-CN"/>
          </w:rPr>
          <w:t>603</w:t>
        </w:r>
        <w:r w:rsidR="005C6E35" w:rsidRPr="00D93502">
          <w:rPr>
            <w:rStyle w:val="Hyperlink"/>
            <w:rFonts w:asciiTheme="minorEastAsia" w:hAnsiTheme="minorEastAsia" w:hint="eastAsia"/>
            <w:b w:val="0"/>
            <w:bCs/>
            <w:noProof/>
            <w:lang w:eastAsia="zh-CN"/>
          </w:rPr>
          <w:t>号决定</w:t>
        </w:r>
      </w:hyperlink>
      <w:r w:rsidR="005C6E35" w:rsidRPr="00D93502">
        <w:rPr>
          <w:rFonts w:eastAsiaTheme="minorEastAsia" w:cstheme="minorBidi"/>
          <w:b w:val="0"/>
          <w:bCs/>
          <w:noProof/>
          <w:sz w:val="22"/>
          <w:szCs w:val="22"/>
          <w:lang w:val="en-US" w:eastAsia="zh-CN"/>
        </w:rPr>
        <w:tab/>
      </w:r>
      <w:hyperlink w:anchor="_Toc86395485" w:history="1">
        <w:r w:rsidR="005C6E35" w:rsidRPr="00D93502">
          <w:rPr>
            <w:rStyle w:val="Hyperlink"/>
            <w:rFonts w:hint="eastAsia"/>
            <w:b w:val="0"/>
            <w:bCs/>
            <w:noProof/>
            <w:lang w:eastAsia="zh-CN"/>
          </w:rPr>
          <w:t>外部审计员（意大利审计院）的授权续期两年</w:t>
        </w:r>
        <w:r w:rsidR="005C6E35" w:rsidRPr="00D93502">
          <w:rPr>
            <w:b w:val="0"/>
            <w:bCs/>
            <w:noProof/>
            <w:webHidden/>
          </w:rPr>
          <w:tab/>
        </w:r>
        <w:r w:rsidR="005C6E35" w:rsidRP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_Toc86395485 \h </w:instrText>
        </w:r>
        <w:r w:rsidR="005C6E35" w:rsidRPr="00D93502">
          <w:rPr>
            <w:b w:val="0"/>
            <w:bCs/>
            <w:noProof/>
            <w:webHidden/>
          </w:rPr>
        </w:r>
        <w:r w:rsidR="005C6E35" w:rsidRPr="00D93502">
          <w:rPr>
            <w:b w:val="0"/>
            <w:bCs/>
            <w:noProof/>
            <w:webHidden/>
          </w:rPr>
          <w:fldChar w:fldCharType="separate"/>
        </w:r>
        <w:r w:rsidR="00E305D2">
          <w:rPr>
            <w:b w:val="0"/>
            <w:bCs/>
            <w:noProof/>
            <w:webHidden/>
          </w:rPr>
          <w:t>57</w:t>
        </w:r>
        <w:r w:rsidR="005C6E35" w:rsidRPr="00D93502">
          <w:rPr>
            <w:b w:val="0"/>
            <w:bCs/>
            <w:noProof/>
            <w:webHidden/>
          </w:rPr>
          <w:fldChar w:fldCharType="end"/>
        </w:r>
      </w:hyperlink>
    </w:p>
    <w:p w14:paraId="191A7EF6" w14:textId="7BA22452" w:rsidR="005C6E35" w:rsidRPr="00D93502" w:rsidRDefault="00F71B18">
      <w:pPr>
        <w:pStyle w:val="TOC10"/>
        <w:rPr>
          <w:rFonts w:eastAsiaTheme="minorEastAsia" w:cstheme="minorBidi"/>
          <w:b w:val="0"/>
          <w:bCs/>
          <w:noProof/>
          <w:sz w:val="22"/>
          <w:szCs w:val="22"/>
          <w:lang w:val="en-US" w:eastAsia="zh-CN"/>
        </w:rPr>
      </w:pPr>
      <w:hyperlink w:anchor="_Toc86395486" w:history="1">
        <w:r w:rsidR="005C6E35" w:rsidRPr="00D93502">
          <w:rPr>
            <w:rStyle w:val="Hyperlink"/>
            <w:rFonts w:hint="eastAsia"/>
            <w:b w:val="0"/>
            <w:bCs/>
            <w:noProof/>
            <w:lang w:eastAsia="zh-CN"/>
          </w:rPr>
          <w:t>第</w:t>
        </w:r>
        <w:r w:rsidR="005C6E35" w:rsidRPr="00D93502">
          <w:rPr>
            <w:rStyle w:val="Hyperlink"/>
            <w:b w:val="0"/>
            <w:bCs/>
            <w:noProof/>
            <w:lang w:eastAsia="zh-CN"/>
          </w:rPr>
          <w:t>613</w:t>
        </w:r>
        <w:r w:rsidR="005C6E35" w:rsidRPr="00D93502">
          <w:rPr>
            <w:rStyle w:val="Hyperlink"/>
            <w:rFonts w:hint="eastAsia"/>
            <w:b w:val="0"/>
            <w:bCs/>
            <w:noProof/>
            <w:lang w:eastAsia="zh-CN"/>
          </w:rPr>
          <w:t>号决定</w:t>
        </w:r>
      </w:hyperlink>
      <w:r w:rsidR="005C6E35" w:rsidRPr="00D93502">
        <w:rPr>
          <w:rFonts w:eastAsiaTheme="minorEastAsia" w:cstheme="minorBidi"/>
          <w:b w:val="0"/>
          <w:bCs/>
          <w:noProof/>
          <w:sz w:val="22"/>
          <w:szCs w:val="22"/>
          <w:lang w:val="en-US" w:eastAsia="zh-CN"/>
        </w:rPr>
        <w:tab/>
      </w:r>
      <w:hyperlink w:anchor="_Toc86395487" w:history="1">
        <w:r w:rsidR="005C6E35" w:rsidRPr="00D93502">
          <w:rPr>
            <w:rStyle w:val="Hyperlink"/>
            <w:rFonts w:hint="eastAsia"/>
            <w:b w:val="0"/>
            <w:bCs/>
            <w:noProof/>
            <w:lang w:eastAsia="zh-CN"/>
          </w:rPr>
          <w:t>在一家区域代表处发生欺诈案之后进行的普通审计</w:t>
        </w:r>
        <w:r w:rsidR="005C6E35" w:rsidRPr="00D93502">
          <w:rPr>
            <w:b w:val="0"/>
            <w:bCs/>
            <w:noProof/>
            <w:webHidden/>
          </w:rPr>
          <w:tab/>
        </w:r>
        <w:r w:rsidR="005C6E35" w:rsidRP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_Toc86395487 \h </w:instrText>
        </w:r>
        <w:r w:rsidR="005C6E35" w:rsidRPr="00D93502">
          <w:rPr>
            <w:b w:val="0"/>
            <w:bCs/>
            <w:noProof/>
            <w:webHidden/>
          </w:rPr>
        </w:r>
        <w:r w:rsidR="005C6E35" w:rsidRPr="00D93502">
          <w:rPr>
            <w:b w:val="0"/>
            <w:bCs/>
            <w:noProof/>
            <w:webHidden/>
          </w:rPr>
          <w:fldChar w:fldCharType="separate"/>
        </w:r>
        <w:r w:rsidR="00E305D2">
          <w:rPr>
            <w:b w:val="0"/>
            <w:bCs/>
            <w:noProof/>
            <w:webHidden/>
          </w:rPr>
          <w:t>57</w:t>
        </w:r>
        <w:r w:rsidR="005C6E35" w:rsidRPr="00D93502">
          <w:rPr>
            <w:b w:val="0"/>
            <w:bCs/>
            <w:noProof/>
            <w:webHidden/>
          </w:rPr>
          <w:fldChar w:fldCharType="end"/>
        </w:r>
      </w:hyperlink>
    </w:p>
    <w:p w14:paraId="201EFA19" w14:textId="54A24779" w:rsidR="005C6E35" w:rsidRPr="00D93502" w:rsidRDefault="00F71B18">
      <w:pPr>
        <w:pStyle w:val="TOC10"/>
        <w:rPr>
          <w:rFonts w:eastAsiaTheme="minorEastAsia" w:cstheme="minorBidi"/>
          <w:b w:val="0"/>
          <w:bCs/>
          <w:noProof/>
          <w:sz w:val="22"/>
          <w:szCs w:val="22"/>
          <w:lang w:val="en-US" w:eastAsia="zh-CN"/>
        </w:rPr>
      </w:pPr>
      <w:hyperlink w:anchor="_Toc86395488" w:history="1">
        <w:r w:rsidR="005C6E35" w:rsidRPr="00D93502">
          <w:rPr>
            <w:rStyle w:val="Hyperlink"/>
            <w:rFonts w:hint="eastAsia"/>
            <w:b w:val="0"/>
            <w:bCs/>
            <w:noProof/>
            <w:lang w:eastAsia="zh-CN"/>
          </w:rPr>
          <w:t>第</w:t>
        </w:r>
        <w:r w:rsidR="005C6E35" w:rsidRPr="00D93502">
          <w:rPr>
            <w:rStyle w:val="Hyperlink"/>
            <w:b w:val="0"/>
            <w:bCs/>
            <w:noProof/>
            <w:lang w:eastAsia="zh-CN"/>
          </w:rPr>
          <w:t>614</w:t>
        </w:r>
        <w:r w:rsidR="005C6E35" w:rsidRPr="00D93502">
          <w:rPr>
            <w:rStyle w:val="Hyperlink"/>
            <w:rFonts w:hint="eastAsia"/>
            <w:b w:val="0"/>
            <w:bCs/>
            <w:noProof/>
            <w:lang w:eastAsia="zh-CN"/>
          </w:rPr>
          <w:t>号决定</w:t>
        </w:r>
      </w:hyperlink>
      <w:r w:rsidR="005C6E35" w:rsidRPr="00D93502">
        <w:rPr>
          <w:rFonts w:eastAsiaTheme="minorEastAsia" w:cstheme="minorBidi"/>
          <w:b w:val="0"/>
          <w:bCs/>
          <w:noProof/>
          <w:sz w:val="22"/>
          <w:szCs w:val="22"/>
          <w:lang w:val="en-US" w:eastAsia="zh-CN"/>
        </w:rPr>
        <w:tab/>
      </w:r>
      <w:hyperlink w:anchor="_Toc86395489" w:history="1">
        <w:r w:rsidR="005C6E35" w:rsidRPr="00D93502">
          <w:rPr>
            <w:rStyle w:val="Hyperlink"/>
            <w:rFonts w:cs="Calibri" w:hint="eastAsia"/>
            <w:b w:val="0"/>
            <w:bCs/>
            <w:noProof/>
            <w:lang w:eastAsia="zh-CN"/>
          </w:rPr>
          <w:t>对国际电联账目的审计</w:t>
        </w:r>
        <w:r w:rsidR="005C6E35" w:rsidRPr="00D93502">
          <w:rPr>
            <w:b w:val="0"/>
            <w:bCs/>
            <w:noProof/>
            <w:webHidden/>
          </w:rPr>
          <w:tab/>
        </w:r>
        <w:r w:rsidR="005C6E35" w:rsidRP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_Toc86395489 \h </w:instrText>
        </w:r>
        <w:r w:rsidR="005C6E35" w:rsidRPr="00D93502">
          <w:rPr>
            <w:b w:val="0"/>
            <w:bCs/>
            <w:noProof/>
            <w:webHidden/>
          </w:rPr>
        </w:r>
        <w:r w:rsidR="005C6E35" w:rsidRPr="00D93502">
          <w:rPr>
            <w:b w:val="0"/>
            <w:bCs/>
            <w:noProof/>
            <w:webHidden/>
          </w:rPr>
          <w:fldChar w:fldCharType="separate"/>
        </w:r>
        <w:r w:rsidR="00E305D2">
          <w:rPr>
            <w:b w:val="0"/>
            <w:bCs/>
            <w:noProof/>
            <w:webHidden/>
          </w:rPr>
          <w:t>59</w:t>
        </w:r>
        <w:r w:rsidR="005C6E35" w:rsidRPr="00D93502">
          <w:rPr>
            <w:b w:val="0"/>
            <w:bCs/>
            <w:noProof/>
            <w:webHidden/>
          </w:rPr>
          <w:fldChar w:fldCharType="end"/>
        </w:r>
      </w:hyperlink>
    </w:p>
    <w:p w14:paraId="7FDD3D3E" w14:textId="4860FED8" w:rsidR="005C6E35" w:rsidRPr="00D93502" w:rsidRDefault="00F71B18">
      <w:pPr>
        <w:pStyle w:val="TOC10"/>
        <w:rPr>
          <w:rFonts w:eastAsiaTheme="minorEastAsia" w:cstheme="minorBidi"/>
          <w:b w:val="0"/>
          <w:bCs/>
          <w:noProof/>
          <w:sz w:val="22"/>
          <w:szCs w:val="22"/>
          <w:lang w:val="en-US" w:eastAsia="zh-CN"/>
        </w:rPr>
      </w:pPr>
      <w:hyperlink w:anchor="_Toc86395490" w:history="1">
        <w:r w:rsidR="005C6E35" w:rsidRPr="00D93502">
          <w:rPr>
            <w:rStyle w:val="Hyperlink"/>
            <w:rFonts w:hint="eastAsia"/>
            <w:b w:val="0"/>
            <w:bCs/>
            <w:noProof/>
            <w:lang w:eastAsia="zh-CN"/>
          </w:rPr>
          <w:t>第</w:t>
        </w:r>
        <w:r w:rsidR="005C6E35" w:rsidRPr="00D93502">
          <w:rPr>
            <w:rStyle w:val="Hyperlink"/>
            <w:b w:val="0"/>
            <w:bCs/>
            <w:noProof/>
            <w:lang w:eastAsia="zh-CN"/>
          </w:rPr>
          <w:t>615</w:t>
        </w:r>
        <w:r w:rsidR="005C6E35" w:rsidRPr="00D93502">
          <w:rPr>
            <w:rStyle w:val="Hyperlink"/>
            <w:rFonts w:hint="eastAsia"/>
            <w:b w:val="0"/>
            <w:bCs/>
            <w:noProof/>
            <w:lang w:eastAsia="zh-CN"/>
          </w:rPr>
          <w:t>号决定</w:t>
        </w:r>
      </w:hyperlink>
      <w:r w:rsidR="005C6E35" w:rsidRPr="00D93502">
        <w:rPr>
          <w:rFonts w:eastAsiaTheme="minorEastAsia" w:cstheme="minorBidi"/>
          <w:b w:val="0"/>
          <w:bCs/>
          <w:noProof/>
          <w:sz w:val="22"/>
          <w:szCs w:val="22"/>
          <w:lang w:val="en-US" w:eastAsia="zh-CN"/>
        </w:rPr>
        <w:tab/>
      </w:r>
      <w:hyperlink w:anchor="_Toc86395491" w:history="1">
        <w:r w:rsidR="005C6E35" w:rsidRPr="00D93502">
          <w:rPr>
            <w:rStyle w:val="Hyperlink"/>
            <w:rFonts w:hint="eastAsia"/>
            <w:b w:val="0"/>
            <w:bCs/>
            <w:noProof/>
            <w:lang w:eastAsia="zh-CN"/>
          </w:rPr>
          <w:t>独立管理顾问委员会（</w:t>
        </w:r>
        <w:r w:rsidR="005C6E35" w:rsidRPr="00D93502">
          <w:rPr>
            <w:rStyle w:val="Hyperlink"/>
            <w:b w:val="0"/>
            <w:bCs/>
            <w:noProof/>
            <w:lang w:eastAsia="zh-CN"/>
          </w:rPr>
          <w:t>IMAC</w:t>
        </w:r>
        <w:r w:rsidR="005C6E35" w:rsidRPr="00D93502">
          <w:rPr>
            <w:rStyle w:val="Hyperlink"/>
            <w:rFonts w:hint="eastAsia"/>
            <w:b w:val="0"/>
            <w:bCs/>
            <w:noProof/>
            <w:lang w:eastAsia="zh-CN"/>
          </w:rPr>
          <w:t>）委员的任命</w:t>
        </w:r>
        <w:r w:rsidR="005C6E35" w:rsidRPr="00D93502">
          <w:rPr>
            <w:b w:val="0"/>
            <w:bCs/>
            <w:noProof/>
            <w:webHidden/>
          </w:rPr>
          <w:tab/>
        </w:r>
        <w:r w:rsidR="005C6E35" w:rsidRP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_Toc86395491 \h </w:instrText>
        </w:r>
        <w:r w:rsidR="005C6E35" w:rsidRPr="00D93502">
          <w:rPr>
            <w:b w:val="0"/>
            <w:bCs/>
            <w:noProof/>
            <w:webHidden/>
          </w:rPr>
        </w:r>
        <w:r w:rsidR="005C6E35" w:rsidRPr="00D93502">
          <w:rPr>
            <w:b w:val="0"/>
            <w:bCs/>
            <w:noProof/>
            <w:webHidden/>
          </w:rPr>
          <w:fldChar w:fldCharType="separate"/>
        </w:r>
        <w:r w:rsidR="00E305D2">
          <w:rPr>
            <w:b w:val="0"/>
            <w:bCs/>
            <w:noProof/>
            <w:webHidden/>
          </w:rPr>
          <w:t>60</w:t>
        </w:r>
        <w:r w:rsidR="005C6E35" w:rsidRPr="00D93502">
          <w:rPr>
            <w:b w:val="0"/>
            <w:bCs/>
            <w:noProof/>
            <w:webHidden/>
          </w:rPr>
          <w:fldChar w:fldCharType="end"/>
        </w:r>
      </w:hyperlink>
    </w:p>
    <w:p w14:paraId="014E7DA0" w14:textId="2197B8FA" w:rsidR="005C6E35" w:rsidRPr="00D93502" w:rsidRDefault="00F71B18">
      <w:pPr>
        <w:pStyle w:val="TOC10"/>
        <w:rPr>
          <w:rFonts w:eastAsiaTheme="minorEastAsia" w:cstheme="minorBidi"/>
          <w:b w:val="0"/>
          <w:bCs/>
          <w:noProof/>
          <w:sz w:val="22"/>
          <w:szCs w:val="22"/>
          <w:lang w:val="en-US" w:eastAsia="zh-CN"/>
        </w:rPr>
      </w:pPr>
      <w:hyperlink w:anchor="_Toc86395492" w:history="1">
        <w:r w:rsidR="005C6E35" w:rsidRPr="00D93502">
          <w:rPr>
            <w:rStyle w:val="Hyperlink"/>
            <w:rFonts w:hint="eastAsia"/>
            <w:b w:val="0"/>
            <w:bCs/>
            <w:noProof/>
          </w:rPr>
          <w:t>第</w:t>
        </w:r>
        <w:r w:rsidR="005C6E35" w:rsidRPr="00D93502">
          <w:rPr>
            <w:rStyle w:val="Hyperlink"/>
            <w:b w:val="0"/>
            <w:bCs/>
            <w:noProof/>
          </w:rPr>
          <w:t>621</w:t>
        </w:r>
        <w:r w:rsidR="005C6E35" w:rsidRPr="00D93502">
          <w:rPr>
            <w:rStyle w:val="Hyperlink"/>
            <w:rFonts w:hint="eastAsia"/>
            <w:b w:val="0"/>
            <w:bCs/>
            <w:noProof/>
          </w:rPr>
          <w:t>号决定</w:t>
        </w:r>
      </w:hyperlink>
      <w:r w:rsidR="005C6E35" w:rsidRPr="00D93502">
        <w:rPr>
          <w:rFonts w:eastAsiaTheme="minorEastAsia" w:cstheme="minorBidi"/>
          <w:b w:val="0"/>
          <w:bCs/>
          <w:noProof/>
          <w:sz w:val="22"/>
          <w:szCs w:val="22"/>
          <w:lang w:val="en-US" w:eastAsia="zh-CN"/>
        </w:rPr>
        <w:tab/>
      </w:r>
      <w:hyperlink w:anchor="_Toc86395493" w:history="1">
        <w:r w:rsidR="005C6E35" w:rsidRPr="00D93502">
          <w:rPr>
            <w:rStyle w:val="Hyperlink"/>
            <w:rFonts w:hint="eastAsia"/>
            <w:b w:val="0"/>
            <w:bCs/>
            <w:noProof/>
          </w:rPr>
          <w:t>新外部审计员的任命</w:t>
        </w:r>
        <w:r w:rsidR="005C6E35" w:rsidRPr="00D93502">
          <w:rPr>
            <w:b w:val="0"/>
            <w:bCs/>
            <w:noProof/>
            <w:webHidden/>
          </w:rPr>
          <w:tab/>
        </w:r>
        <w:r w:rsidR="005C6E35" w:rsidRP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_Toc86395493 \h </w:instrText>
        </w:r>
        <w:r w:rsidR="005C6E35" w:rsidRPr="00D93502">
          <w:rPr>
            <w:b w:val="0"/>
            <w:bCs/>
            <w:noProof/>
            <w:webHidden/>
          </w:rPr>
        </w:r>
        <w:r w:rsidR="005C6E35" w:rsidRPr="00D93502">
          <w:rPr>
            <w:b w:val="0"/>
            <w:bCs/>
            <w:noProof/>
            <w:webHidden/>
          </w:rPr>
          <w:fldChar w:fldCharType="separate"/>
        </w:r>
        <w:r w:rsidR="00E305D2">
          <w:rPr>
            <w:b w:val="0"/>
            <w:bCs/>
            <w:noProof/>
            <w:webHidden/>
          </w:rPr>
          <w:t>61</w:t>
        </w:r>
        <w:r w:rsidR="005C6E35" w:rsidRPr="00D93502">
          <w:rPr>
            <w:b w:val="0"/>
            <w:bCs/>
            <w:noProof/>
            <w:webHidden/>
          </w:rPr>
          <w:fldChar w:fldCharType="end"/>
        </w:r>
      </w:hyperlink>
    </w:p>
    <w:p w14:paraId="25B77BFD" w14:textId="1E19BA85" w:rsidR="005C6E35" w:rsidRPr="00D93502" w:rsidRDefault="00F71B18">
      <w:pPr>
        <w:pStyle w:val="TOC10"/>
        <w:rPr>
          <w:rFonts w:eastAsiaTheme="minorEastAsia" w:cstheme="minorBidi"/>
          <w:b w:val="0"/>
          <w:bCs/>
          <w:noProof/>
          <w:sz w:val="22"/>
          <w:szCs w:val="22"/>
          <w:lang w:val="en-US" w:eastAsia="zh-CN"/>
        </w:rPr>
      </w:pPr>
      <w:hyperlink w:anchor="_Toc86395494" w:history="1">
        <w:r w:rsidR="005C6E35" w:rsidRPr="00D93502">
          <w:rPr>
            <w:rStyle w:val="Hyperlink"/>
            <w:rFonts w:hint="eastAsia"/>
            <w:b w:val="0"/>
            <w:bCs/>
            <w:noProof/>
          </w:rPr>
          <w:t>第</w:t>
        </w:r>
        <w:r w:rsidR="005C6E35" w:rsidRPr="00D93502">
          <w:rPr>
            <w:rStyle w:val="Hyperlink"/>
            <w:b w:val="0"/>
            <w:bCs/>
            <w:noProof/>
          </w:rPr>
          <w:t>622</w:t>
        </w:r>
        <w:r w:rsidR="005C6E35" w:rsidRPr="00D93502">
          <w:rPr>
            <w:rStyle w:val="Hyperlink"/>
            <w:rFonts w:hint="eastAsia"/>
            <w:b w:val="0"/>
            <w:bCs/>
            <w:noProof/>
          </w:rPr>
          <w:t>号决定</w:t>
        </w:r>
      </w:hyperlink>
      <w:r w:rsidR="005C6E35" w:rsidRPr="00D93502">
        <w:rPr>
          <w:rFonts w:eastAsiaTheme="minorEastAsia" w:cstheme="minorBidi"/>
          <w:b w:val="0"/>
          <w:bCs/>
          <w:noProof/>
          <w:sz w:val="22"/>
          <w:szCs w:val="22"/>
          <w:lang w:val="en-US" w:eastAsia="zh-CN"/>
        </w:rPr>
        <w:tab/>
      </w:r>
      <w:hyperlink w:anchor="_Toc86395495" w:history="1">
        <w:r w:rsidR="005C6E35" w:rsidRPr="00D93502">
          <w:rPr>
            <w:rStyle w:val="Hyperlink"/>
            <w:rFonts w:hint="eastAsia"/>
            <w:b w:val="0"/>
            <w:bCs/>
            <w:noProof/>
          </w:rPr>
          <w:t>欠款利息和不可回收债务的注销</w:t>
        </w:r>
        <w:r w:rsidR="005C6E35" w:rsidRPr="00D93502">
          <w:rPr>
            <w:b w:val="0"/>
            <w:bCs/>
            <w:noProof/>
            <w:webHidden/>
          </w:rPr>
          <w:tab/>
        </w:r>
        <w:r w:rsidR="005C6E35" w:rsidRP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_Toc86395495 \h </w:instrText>
        </w:r>
        <w:r w:rsidR="005C6E35" w:rsidRPr="00D93502">
          <w:rPr>
            <w:b w:val="0"/>
            <w:bCs/>
            <w:noProof/>
            <w:webHidden/>
          </w:rPr>
        </w:r>
        <w:r w:rsidR="005C6E35" w:rsidRPr="00D93502">
          <w:rPr>
            <w:b w:val="0"/>
            <w:bCs/>
            <w:noProof/>
            <w:webHidden/>
          </w:rPr>
          <w:fldChar w:fldCharType="separate"/>
        </w:r>
        <w:r w:rsidR="00E305D2">
          <w:rPr>
            <w:b w:val="0"/>
            <w:bCs/>
            <w:noProof/>
            <w:webHidden/>
          </w:rPr>
          <w:t>61</w:t>
        </w:r>
        <w:r w:rsidR="005C6E35" w:rsidRPr="00D93502">
          <w:rPr>
            <w:b w:val="0"/>
            <w:bCs/>
            <w:noProof/>
            <w:webHidden/>
          </w:rPr>
          <w:fldChar w:fldCharType="end"/>
        </w:r>
      </w:hyperlink>
    </w:p>
    <w:p w14:paraId="470952B8" w14:textId="355C79D0" w:rsidR="005C6E35" w:rsidRPr="00D93502" w:rsidRDefault="00F71B18" w:rsidP="005C6E35">
      <w:pPr>
        <w:pStyle w:val="TOC10"/>
        <w:rPr>
          <w:b w:val="0"/>
          <w:bCs/>
          <w:noProof/>
          <w:u w:val="single"/>
        </w:rPr>
      </w:pPr>
      <w:hyperlink w:anchor="_Toc86395496" w:history="1">
        <w:r w:rsidR="005C6E35" w:rsidRPr="00D93502">
          <w:rPr>
            <w:rStyle w:val="Hyperlink"/>
            <w:rFonts w:hint="eastAsia"/>
            <w:b w:val="0"/>
            <w:bCs/>
            <w:noProof/>
            <w:lang w:val="fr-CH"/>
          </w:rPr>
          <w:t>第</w:t>
        </w:r>
        <w:r w:rsidR="005C6E35" w:rsidRPr="00D93502">
          <w:rPr>
            <w:rStyle w:val="Hyperlink"/>
            <w:b w:val="0"/>
            <w:bCs/>
            <w:noProof/>
            <w:lang w:val="en-US"/>
          </w:rPr>
          <w:t>624</w:t>
        </w:r>
        <w:r w:rsidR="005C6E35" w:rsidRPr="00D93502">
          <w:rPr>
            <w:rStyle w:val="Hyperlink"/>
            <w:rFonts w:hint="eastAsia"/>
            <w:b w:val="0"/>
            <w:bCs/>
            <w:noProof/>
            <w:lang w:val="fr-CH"/>
          </w:rPr>
          <w:t>号决定</w:t>
        </w:r>
      </w:hyperlink>
      <w:r w:rsidR="005C6E35" w:rsidRPr="00D93502">
        <w:rPr>
          <w:rFonts w:eastAsiaTheme="minorEastAsia" w:cstheme="minorBidi"/>
          <w:b w:val="0"/>
          <w:bCs/>
          <w:noProof/>
          <w:sz w:val="22"/>
          <w:szCs w:val="22"/>
          <w:lang w:val="en-US" w:eastAsia="zh-CN"/>
        </w:rPr>
        <w:tab/>
      </w:r>
      <w:hyperlink w:anchor="_Toc86395497" w:history="1">
        <w:r w:rsidR="005C6E35" w:rsidRPr="00D93502">
          <w:rPr>
            <w:rStyle w:val="Hyperlink"/>
            <w:rFonts w:hint="eastAsia"/>
            <w:b w:val="0"/>
            <w:bCs/>
            <w:noProof/>
            <w:lang w:val="en-US"/>
          </w:rPr>
          <w:t>欠款利息和不可回收债务的注销</w:t>
        </w:r>
        <w:r w:rsidR="005C6E35" w:rsidRPr="00D93502">
          <w:rPr>
            <w:b w:val="0"/>
            <w:bCs/>
            <w:noProof/>
            <w:webHidden/>
          </w:rPr>
          <w:tab/>
        </w:r>
        <w:r w:rsidR="005C6E35" w:rsidRP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_Toc86395497 \h </w:instrText>
        </w:r>
        <w:r w:rsidR="005C6E35" w:rsidRPr="00D93502">
          <w:rPr>
            <w:b w:val="0"/>
            <w:bCs/>
            <w:noProof/>
            <w:webHidden/>
          </w:rPr>
        </w:r>
        <w:r w:rsidR="005C6E35" w:rsidRPr="00D93502">
          <w:rPr>
            <w:b w:val="0"/>
            <w:bCs/>
            <w:noProof/>
            <w:webHidden/>
          </w:rPr>
          <w:fldChar w:fldCharType="separate"/>
        </w:r>
        <w:r w:rsidR="00E305D2">
          <w:rPr>
            <w:b w:val="0"/>
            <w:bCs/>
            <w:noProof/>
            <w:webHidden/>
          </w:rPr>
          <w:t>63</w:t>
        </w:r>
        <w:r w:rsidR="005C6E35" w:rsidRPr="00D93502">
          <w:rPr>
            <w:b w:val="0"/>
            <w:bCs/>
            <w:noProof/>
            <w:webHidden/>
          </w:rPr>
          <w:fldChar w:fldCharType="end"/>
        </w:r>
      </w:hyperlink>
    </w:p>
    <w:p w14:paraId="096FBB45" w14:textId="68DC2B91" w:rsidR="005C6E35" w:rsidRPr="00D93502" w:rsidRDefault="005C6E35">
      <w:pPr>
        <w:pStyle w:val="TOC10"/>
        <w:rPr>
          <w:rStyle w:val="Hyperlink"/>
          <w:b w:val="0"/>
          <w:bCs/>
          <w:noProof/>
          <w:color w:val="auto"/>
        </w:rPr>
      </w:pPr>
      <w:r w:rsidRPr="00D93502">
        <w:rPr>
          <w:rStyle w:val="Hyperlink"/>
          <w:b w:val="0"/>
          <w:bCs/>
          <w:noProof/>
          <w:color w:val="auto"/>
        </w:rPr>
        <w:br w:type="page"/>
      </w:r>
    </w:p>
    <w:p w14:paraId="618041C0" w14:textId="2830CD5B" w:rsidR="00D93502" w:rsidRPr="00D93502" w:rsidRDefault="00D93502" w:rsidP="00D93502">
      <w:pPr>
        <w:pStyle w:val="toc0"/>
        <w:keepNext/>
        <w:keepLines/>
        <w:tabs>
          <w:tab w:val="clear" w:pos="8789"/>
          <w:tab w:val="left" w:pos="1191"/>
          <w:tab w:val="left" w:pos="1588"/>
          <w:tab w:val="left" w:pos="1985"/>
        </w:tabs>
        <w:ind w:right="-1"/>
        <w:jc w:val="right"/>
        <w:rPr>
          <w:rStyle w:val="Hyperlink"/>
          <w:rFonts w:ascii="STKaiti" w:eastAsia="STKaiti" w:hAnsi="STKaiti"/>
          <w:b w:val="0"/>
          <w:bCs/>
          <w:noProof/>
          <w:color w:val="auto"/>
        </w:rPr>
      </w:pPr>
      <w:r w:rsidRPr="00D93502">
        <w:rPr>
          <w:rFonts w:ascii="STKaiti" w:eastAsia="STKaiti" w:hAnsi="STKaiti" w:cs="Microsoft YaHei" w:hint="eastAsia"/>
          <w:b w:val="0"/>
          <w:bCs/>
          <w:noProof/>
          <w:sz w:val="22"/>
        </w:rPr>
        <w:lastRenderedPageBreak/>
        <w:t>页码</w:t>
      </w:r>
    </w:p>
    <w:p w14:paraId="39FBA478" w14:textId="75D08730" w:rsidR="005C6E35" w:rsidRPr="00F3168F" w:rsidRDefault="00F71B18">
      <w:pPr>
        <w:pStyle w:val="TOC10"/>
        <w:rPr>
          <w:rFonts w:eastAsiaTheme="minorEastAsia" w:cstheme="minorBidi"/>
          <w:noProof/>
          <w:sz w:val="22"/>
          <w:szCs w:val="22"/>
          <w:lang w:val="en-US" w:eastAsia="zh-CN"/>
        </w:rPr>
      </w:pPr>
      <w:hyperlink w:anchor="_Toc86395498" w:history="1">
        <w:r w:rsidR="005C6E35" w:rsidRPr="00F3168F">
          <w:rPr>
            <w:rStyle w:val="Hyperlink"/>
            <w:noProof/>
            <w:lang w:eastAsia="zh-CN"/>
          </w:rPr>
          <w:t>2</w:t>
        </w:r>
        <w:r w:rsidR="005C6E35" w:rsidRPr="00F3168F">
          <w:rPr>
            <w:rFonts w:eastAsiaTheme="minorEastAsia" w:cstheme="minorBidi"/>
            <w:noProof/>
            <w:sz w:val="22"/>
            <w:szCs w:val="22"/>
            <w:lang w:val="en-US" w:eastAsia="zh-CN"/>
          </w:rPr>
          <w:tab/>
        </w:r>
        <w:r w:rsidR="005C6E35" w:rsidRPr="00F3168F">
          <w:rPr>
            <w:rStyle w:val="Hyperlink"/>
            <w:rFonts w:hint="eastAsia"/>
            <w:noProof/>
            <w:lang w:eastAsia="zh-CN"/>
          </w:rPr>
          <w:t>人事</w:t>
        </w:r>
        <w:r w:rsidR="005C6E35" w:rsidRPr="00F3168F">
          <w:rPr>
            <w:noProof/>
            <w:webHidden/>
          </w:rPr>
          <w:tab/>
        </w:r>
        <w:r w:rsidR="00D93502" w:rsidRPr="00F3168F">
          <w:rPr>
            <w:noProof/>
            <w:webHidden/>
          </w:rPr>
          <w:tab/>
        </w:r>
        <w:r w:rsidR="005C6E35" w:rsidRPr="00F3168F">
          <w:rPr>
            <w:noProof/>
            <w:webHidden/>
          </w:rPr>
          <w:fldChar w:fldCharType="begin"/>
        </w:r>
        <w:r w:rsidR="005C6E35" w:rsidRPr="00F3168F">
          <w:rPr>
            <w:noProof/>
            <w:webHidden/>
          </w:rPr>
          <w:instrText xml:space="preserve"> PAGEREF _Toc86395498 \h </w:instrText>
        </w:r>
        <w:r w:rsidR="005C6E35" w:rsidRPr="00F3168F">
          <w:rPr>
            <w:noProof/>
            <w:webHidden/>
          </w:rPr>
        </w:r>
        <w:r w:rsidR="005C6E35" w:rsidRPr="00F3168F">
          <w:rPr>
            <w:noProof/>
            <w:webHidden/>
          </w:rPr>
          <w:fldChar w:fldCharType="separate"/>
        </w:r>
        <w:r w:rsidR="00E305D2">
          <w:rPr>
            <w:noProof/>
            <w:webHidden/>
          </w:rPr>
          <w:t>65</w:t>
        </w:r>
        <w:r w:rsidR="005C6E35" w:rsidRPr="00F3168F">
          <w:rPr>
            <w:noProof/>
            <w:webHidden/>
          </w:rPr>
          <w:fldChar w:fldCharType="end"/>
        </w:r>
      </w:hyperlink>
    </w:p>
    <w:p w14:paraId="05E15415" w14:textId="1EC16A58" w:rsidR="005C6E35" w:rsidRPr="00F3168F" w:rsidRDefault="00F71B18">
      <w:pPr>
        <w:pStyle w:val="TOC10"/>
        <w:rPr>
          <w:rFonts w:eastAsiaTheme="minorEastAsia" w:cstheme="minorBidi"/>
          <w:noProof/>
          <w:sz w:val="22"/>
          <w:szCs w:val="22"/>
          <w:lang w:val="en-US" w:eastAsia="zh-CN"/>
        </w:rPr>
      </w:pPr>
      <w:hyperlink w:anchor="_Toc86395499" w:history="1">
        <w:r w:rsidR="005C6E35" w:rsidRPr="00F3168F">
          <w:rPr>
            <w:rStyle w:val="Hyperlink"/>
            <w:noProof/>
            <w:lang w:eastAsia="zh-CN"/>
          </w:rPr>
          <w:t>2.1</w:t>
        </w:r>
        <w:r w:rsidR="005C6E35" w:rsidRPr="00F3168F">
          <w:rPr>
            <w:rFonts w:eastAsiaTheme="minorEastAsia" w:cstheme="minorBidi"/>
            <w:noProof/>
            <w:sz w:val="22"/>
            <w:szCs w:val="22"/>
            <w:lang w:val="en-US" w:eastAsia="zh-CN"/>
          </w:rPr>
          <w:tab/>
        </w:r>
        <w:r w:rsidR="005C6E35" w:rsidRPr="00F3168F">
          <w:rPr>
            <w:rStyle w:val="Hyperlink"/>
            <w:rFonts w:hint="eastAsia"/>
            <w:noProof/>
            <w:lang w:eastAsia="zh-CN"/>
          </w:rPr>
          <w:t>就业条件</w:t>
        </w:r>
        <w:r w:rsidR="005C6E35" w:rsidRPr="00F3168F">
          <w:rPr>
            <w:noProof/>
            <w:webHidden/>
          </w:rPr>
          <w:tab/>
        </w:r>
        <w:r w:rsidR="00D93502" w:rsidRPr="00F3168F">
          <w:rPr>
            <w:noProof/>
            <w:webHidden/>
          </w:rPr>
          <w:tab/>
        </w:r>
        <w:r w:rsidR="005C6E35" w:rsidRPr="00F3168F">
          <w:rPr>
            <w:noProof/>
            <w:webHidden/>
          </w:rPr>
          <w:fldChar w:fldCharType="begin"/>
        </w:r>
        <w:r w:rsidR="005C6E35" w:rsidRPr="00F3168F">
          <w:rPr>
            <w:noProof/>
            <w:webHidden/>
          </w:rPr>
          <w:instrText xml:space="preserve"> PAGEREF _Toc86395499 \h </w:instrText>
        </w:r>
        <w:r w:rsidR="005C6E35" w:rsidRPr="00F3168F">
          <w:rPr>
            <w:noProof/>
            <w:webHidden/>
          </w:rPr>
        </w:r>
        <w:r w:rsidR="005C6E35" w:rsidRPr="00F3168F">
          <w:rPr>
            <w:noProof/>
            <w:webHidden/>
          </w:rPr>
          <w:fldChar w:fldCharType="separate"/>
        </w:r>
        <w:r w:rsidR="00E305D2">
          <w:rPr>
            <w:noProof/>
            <w:webHidden/>
          </w:rPr>
          <w:t>65</w:t>
        </w:r>
        <w:r w:rsidR="005C6E35" w:rsidRPr="00F3168F">
          <w:rPr>
            <w:noProof/>
            <w:webHidden/>
          </w:rPr>
          <w:fldChar w:fldCharType="end"/>
        </w:r>
      </w:hyperlink>
    </w:p>
    <w:p w14:paraId="6F14652F" w14:textId="5474DFA4" w:rsidR="005C6E35" w:rsidRPr="00D93502" w:rsidRDefault="00F71B18">
      <w:pPr>
        <w:pStyle w:val="TOC10"/>
        <w:rPr>
          <w:rFonts w:eastAsiaTheme="minorEastAsia" w:cstheme="minorBidi"/>
          <w:b w:val="0"/>
          <w:bCs/>
          <w:noProof/>
          <w:sz w:val="22"/>
          <w:szCs w:val="22"/>
          <w:lang w:val="en-US" w:eastAsia="zh-CN"/>
        </w:rPr>
      </w:pPr>
      <w:hyperlink w:anchor="_Toc86395500" w:history="1">
        <w:r w:rsidR="005C6E35" w:rsidRPr="00D93502">
          <w:rPr>
            <w:rStyle w:val="Hyperlink"/>
            <w:rFonts w:hint="eastAsia"/>
            <w:b w:val="0"/>
            <w:bCs/>
            <w:noProof/>
            <w:lang w:eastAsia="zh-CN"/>
          </w:rPr>
          <w:t>第</w:t>
        </w:r>
        <w:r w:rsidR="005C6E35" w:rsidRPr="00D93502">
          <w:rPr>
            <w:rStyle w:val="Hyperlink"/>
            <w:b w:val="0"/>
            <w:bCs/>
            <w:noProof/>
            <w:lang w:eastAsia="zh-CN"/>
          </w:rPr>
          <w:t>260</w:t>
        </w:r>
        <w:r w:rsidR="005C6E35" w:rsidRPr="00D93502">
          <w:rPr>
            <w:rStyle w:val="Hyperlink"/>
            <w:rFonts w:hint="eastAsia"/>
            <w:b w:val="0"/>
            <w:bCs/>
            <w:noProof/>
            <w:lang w:eastAsia="zh-CN"/>
          </w:rPr>
          <w:t>号决议</w:t>
        </w:r>
      </w:hyperlink>
      <w:r w:rsidR="00D93502" w:rsidRPr="00D93502">
        <w:rPr>
          <w:rFonts w:eastAsiaTheme="minorEastAsia" w:cstheme="minorBidi"/>
          <w:b w:val="0"/>
          <w:bCs/>
          <w:noProof/>
          <w:sz w:val="22"/>
          <w:szCs w:val="22"/>
          <w:lang w:val="en-US" w:eastAsia="zh-CN"/>
        </w:rPr>
        <w:tab/>
      </w:r>
      <w:hyperlink w:anchor="_Toc86395501" w:history="1">
        <w:r w:rsidR="005C6E35" w:rsidRPr="00D93502">
          <w:rPr>
            <w:rStyle w:val="Hyperlink"/>
            <w:rFonts w:hint="eastAsia"/>
            <w:b w:val="0"/>
            <w:bCs/>
            <w:noProof/>
            <w:lang w:eastAsia="zh-CN"/>
          </w:rPr>
          <w:t>兵役假</w:t>
        </w:r>
        <w:r w:rsidR="005C6E35" w:rsidRPr="00D93502">
          <w:rPr>
            <w:b w:val="0"/>
            <w:bCs/>
            <w:noProof/>
            <w:webHidden/>
          </w:rPr>
          <w:tab/>
        </w:r>
        <w:r w:rsidR="00D93502" w:rsidRP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_Toc86395501 \h </w:instrText>
        </w:r>
        <w:r w:rsidR="005C6E35" w:rsidRPr="00D93502">
          <w:rPr>
            <w:b w:val="0"/>
            <w:bCs/>
            <w:noProof/>
            <w:webHidden/>
          </w:rPr>
        </w:r>
        <w:r w:rsidR="005C6E35" w:rsidRPr="00D93502">
          <w:rPr>
            <w:b w:val="0"/>
            <w:bCs/>
            <w:noProof/>
            <w:webHidden/>
          </w:rPr>
          <w:fldChar w:fldCharType="separate"/>
        </w:r>
        <w:r w:rsidR="00E305D2">
          <w:rPr>
            <w:b w:val="0"/>
            <w:bCs/>
            <w:noProof/>
            <w:webHidden/>
          </w:rPr>
          <w:t>65</w:t>
        </w:r>
        <w:r w:rsidR="005C6E35" w:rsidRPr="00D93502">
          <w:rPr>
            <w:b w:val="0"/>
            <w:bCs/>
            <w:noProof/>
            <w:webHidden/>
          </w:rPr>
          <w:fldChar w:fldCharType="end"/>
        </w:r>
      </w:hyperlink>
    </w:p>
    <w:p w14:paraId="0B17473C" w14:textId="033D5D06" w:rsidR="005C6E35" w:rsidRPr="00D93502" w:rsidRDefault="00F71B18">
      <w:pPr>
        <w:pStyle w:val="TOC10"/>
        <w:rPr>
          <w:rFonts w:eastAsiaTheme="minorEastAsia" w:cstheme="minorBidi"/>
          <w:b w:val="0"/>
          <w:bCs/>
          <w:noProof/>
          <w:sz w:val="22"/>
          <w:szCs w:val="22"/>
          <w:lang w:val="en-US" w:eastAsia="zh-CN"/>
        </w:rPr>
      </w:pPr>
      <w:hyperlink w:anchor="_Toc86395502" w:history="1">
        <w:r w:rsidR="005C6E35" w:rsidRPr="00D93502">
          <w:rPr>
            <w:rStyle w:val="Hyperlink"/>
            <w:rFonts w:hint="eastAsia"/>
            <w:b w:val="0"/>
            <w:bCs/>
            <w:noProof/>
            <w:lang w:eastAsia="zh-CN"/>
          </w:rPr>
          <w:t>第</w:t>
        </w:r>
        <w:r w:rsidR="005C6E35" w:rsidRPr="00D93502">
          <w:rPr>
            <w:rStyle w:val="Hyperlink"/>
            <w:b w:val="0"/>
            <w:bCs/>
            <w:noProof/>
            <w:lang w:eastAsia="zh-CN"/>
          </w:rPr>
          <w:t>261</w:t>
        </w:r>
        <w:r w:rsidR="005C6E35" w:rsidRPr="00D93502">
          <w:rPr>
            <w:rStyle w:val="Hyperlink"/>
            <w:rFonts w:hint="eastAsia"/>
            <w:b w:val="0"/>
            <w:bCs/>
            <w:noProof/>
            <w:lang w:eastAsia="zh-CN"/>
          </w:rPr>
          <w:t>号决议</w:t>
        </w:r>
      </w:hyperlink>
      <w:r w:rsidR="00D93502" w:rsidRPr="00D93502">
        <w:rPr>
          <w:rFonts w:eastAsiaTheme="minorEastAsia" w:cstheme="minorBidi"/>
          <w:b w:val="0"/>
          <w:bCs/>
          <w:noProof/>
          <w:sz w:val="22"/>
          <w:szCs w:val="22"/>
          <w:lang w:val="en-US" w:eastAsia="zh-CN"/>
        </w:rPr>
        <w:tab/>
      </w:r>
      <w:hyperlink w:anchor="_Toc86395503" w:history="1">
        <w:r w:rsidR="005C6E35" w:rsidRPr="00D93502">
          <w:rPr>
            <w:rStyle w:val="Hyperlink"/>
            <w:rFonts w:hint="eastAsia"/>
            <w:b w:val="0"/>
            <w:bCs/>
            <w:noProof/>
            <w:lang w:eastAsia="zh-CN"/>
          </w:rPr>
          <w:t>易于调动的国际电联官员的家属的地位</w:t>
        </w:r>
        <w:r w:rsidR="005C6E35" w:rsidRPr="00D93502">
          <w:rPr>
            <w:b w:val="0"/>
            <w:bCs/>
            <w:noProof/>
            <w:webHidden/>
          </w:rPr>
          <w:tab/>
        </w:r>
        <w:r w:rsidR="00D93502" w:rsidRP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_Toc86395503 \h </w:instrText>
        </w:r>
        <w:r w:rsidR="005C6E35" w:rsidRPr="00D93502">
          <w:rPr>
            <w:b w:val="0"/>
            <w:bCs/>
            <w:noProof/>
            <w:webHidden/>
          </w:rPr>
        </w:r>
        <w:r w:rsidR="005C6E35" w:rsidRPr="00D93502">
          <w:rPr>
            <w:b w:val="0"/>
            <w:bCs/>
            <w:noProof/>
            <w:webHidden/>
          </w:rPr>
          <w:fldChar w:fldCharType="separate"/>
        </w:r>
        <w:r w:rsidR="00E305D2">
          <w:rPr>
            <w:b w:val="0"/>
            <w:bCs/>
            <w:noProof/>
            <w:webHidden/>
          </w:rPr>
          <w:t>65</w:t>
        </w:r>
        <w:r w:rsidR="005C6E35" w:rsidRPr="00D93502">
          <w:rPr>
            <w:b w:val="0"/>
            <w:bCs/>
            <w:noProof/>
            <w:webHidden/>
          </w:rPr>
          <w:fldChar w:fldCharType="end"/>
        </w:r>
      </w:hyperlink>
    </w:p>
    <w:p w14:paraId="075AE1D5" w14:textId="30A64D11" w:rsidR="005C6E35" w:rsidRPr="00D93502" w:rsidRDefault="00F71B18">
      <w:pPr>
        <w:pStyle w:val="TOC10"/>
        <w:rPr>
          <w:rFonts w:eastAsiaTheme="minorEastAsia" w:cstheme="minorBidi"/>
          <w:b w:val="0"/>
          <w:bCs/>
          <w:noProof/>
          <w:sz w:val="22"/>
          <w:szCs w:val="22"/>
          <w:lang w:val="en-US" w:eastAsia="zh-CN"/>
        </w:rPr>
      </w:pPr>
      <w:hyperlink w:anchor="_Toc86395504" w:history="1">
        <w:r w:rsidR="005C6E35" w:rsidRPr="00D93502">
          <w:rPr>
            <w:rStyle w:val="Hyperlink"/>
            <w:rFonts w:hint="eastAsia"/>
            <w:b w:val="0"/>
            <w:bCs/>
            <w:noProof/>
            <w:lang w:eastAsia="zh-CN"/>
          </w:rPr>
          <w:t>第</w:t>
        </w:r>
        <w:r w:rsidR="005C6E35" w:rsidRPr="00D93502">
          <w:rPr>
            <w:rStyle w:val="Hyperlink"/>
            <w:b w:val="0"/>
            <w:bCs/>
            <w:noProof/>
            <w:lang w:eastAsia="zh-CN"/>
          </w:rPr>
          <w:t>626</w:t>
        </w:r>
        <w:r w:rsidR="005C6E35" w:rsidRPr="00D93502">
          <w:rPr>
            <w:rStyle w:val="Hyperlink"/>
            <w:rFonts w:hint="eastAsia"/>
            <w:b w:val="0"/>
            <w:bCs/>
            <w:noProof/>
            <w:lang w:eastAsia="zh-CN"/>
          </w:rPr>
          <w:t>号决议</w:t>
        </w:r>
      </w:hyperlink>
      <w:r w:rsidR="00D93502" w:rsidRPr="00D93502">
        <w:rPr>
          <w:rFonts w:eastAsiaTheme="minorEastAsia" w:cstheme="minorBidi"/>
          <w:b w:val="0"/>
          <w:bCs/>
          <w:noProof/>
          <w:sz w:val="22"/>
          <w:szCs w:val="22"/>
          <w:lang w:val="en-US" w:eastAsia="zh-CN"/>
        </w:rPr>
        <w:tab/>
      </w:r>
      <w:hyperlink w:anchor="_Toc86395505" w:history="1">
        <w:r w:rsidR="005C6E35" w:rsidRPr="00D93502">
          <w:rPr>
            <w:rStyle w:val="Hyperlink"/>
            <w:rFonts w:hint="eastAsia"/>
            <w:b w:val="0"/>
            <w:bCs/>
            <w:noProof/>
            <w:lang w:eastAsia="zh-CN"/>
          </w:rPr>
          <w:t>职位空缺的公布</w:t>
        </w:r>
        <w:r w:rsidR="005C6E35" w:rsidRPr="00D93502">
          <w:rPr>
            <w:b w:val="0"/>
            <w:bCs/>
            <w:noProof/>
            <w:webHidden/>
          </w:rPr>
          <w:tab/>
        </w:r>
        <w:r w:rsidR="00D93502" w:rsidRP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_Toc86395505 \h </w:instrText>
        </w:r>
        <w:r w:rsidR="005C6E35" w:rsidRPr="00D93502">
          <w:rPr>
            <w:b w:val="0"/>
            <w:bCs/>
            <w:noProof/>
            <w:webHidden/>
          </w:rPr>
        </w:r>
        <w:r w:rsidR="005C6E35" w:rsidRPr="00D93502">
          <w:rPr>
            <w:b w:val="0"/>
            <w:bCs/>
            <w:noProof/>
            <w:webHidden/>
          </w:rPr>
          <w:fldChar w:fldCharType="separate"/>
        </w:r>
        <w:r w:rsidR="00E305D2">
          <w:rPr>
            <w:b w:val="0"/>
            <w:bCs/>
            <w:noProof/>
            <w:webHidden/>
          </w:rPr>
          <w:t>66</w:t>
        </w:r>
        <w:r w:rsidR="005C6E35" w:rsidRPr="00D93502">
          <w:rPr>
            <w:b w:val="0"/>
            <w:bCs/>
            <w:noProof/>
            <w:webHidden/>
          </w:rPr>
          <w:fldChar w:fldCharType="end"/>
        </w:r>
      </w:hyperlink>
    </w:p>
    <w:p w14:paraId="54DC0E6C" w14:textId="24BF136E" w:rsidR="005C6E35" w:rsidRPr="00D93502" w:rsidRDefault="00F71B18">
      <w:pPr>
        <w:pStyle w:val="TOC10"/>
        <w:rPr>
          <w:rFonts w:eastAsiaTheme="minorEastAsia" w:cstheme="minorBidi"/>
          <w:b w:val="0"/>
          <w:bCs/>
          <w:noProof/>
          <w:sz w:val="22"/>
          <w:szCs w:val="22"/>
          <w:lang w:val="en-US" w:eastAsia="zh-CN"/>
        </w:rPr>
      </w:pPr>
      <w:hyperlink w:anchor="_Toc86395506" w:history="1">
        <w:r w:rsidR="005C6E35" w:rsidRPr="00D93502">
          <w:rPr>
            <w:rStyle w:val="Hyperlink"/>
            <w:rFonts w:hint="eastAsia"/>
            <w:b w:val="0"/>
            <w:bCs/>
            <w:noProof/>
            <w:lang w:eastAsia="zh-CN"/>
          </w:rPr>
          <w:t>第</w:t>
        </w:r>
        <w:r w:rsidR="005C6E35" w:rsidRPr="00D93502">
          <w:rPr>
            <w:rStyle w:val="Hyperlink"/>
            <w:b w:val="0"/>
            <w:bCs/>
            <w:noProof/>
            <w:lang w:eastAsia="zh-CN"/>
          </w:rPr>
          <w:t>647</w:t>
        </w:r>
        <w:r w:rsidR="005C6E35" w:rsidRPr="00D93502">
          <w:rPr>
            <w:rStyle w:val="Hyperlink"/>
            <w:rFonts w:hint="eastAsia"/>
            <w:b w:val="0"/>
            <w:bCs/>
            <w:noProof/>
            <w:lang w:eastAsia="zh-CN"/>
          </w:rPr>
          <w:t>号决议</w:t>
        </w:r>
      </w:hyperlink>
      <w:r w:rsidR="00D93502" w:rsidRPr="00D93502">
        <w:rPr>
          <w:rFonts w:eastAsiaTheme="minorEastAsia" w:cstheme="minorBidi"/>
          <w:b w:val="0"/>
          <w:bCs/>
          <w:noProof/>
          <w:sz w:val="22"/>
          <w:szCs w:val="22"/>
          <w:lang w:val="en-US" w:eastAsia="zh-CN"/>
        </w:rPr>
        <w:tab/>
      </w:r>
      <w:hyperlink w:anchor="_Toc86395507" w:history="1">
        <w:r w:rsidR="005C6E35" w:rsidRPr="00D93502">
          <w:rPr>
            <w:rStyle w:val="Hyperlink"/>
            <w:rFonts w:hint="eastAsia"/>
            <w:b w:val="0"/>
            <w:bCs/>
            <w:noProof/>
            <w:lang w:eastAsia="zh-CN"/>
          </w:rPr>
          <w:t>联合国共同制度薪酬条件的变更</w:t>
        </w:r>
        <w:r w:rsidR="005C6E35" w:rsidRPr="00D93502">
          <w:rPr>
            <w:b w:val="0"/>
            <w:bCs/>
            <w:noProof/>
            <w:webHidden/>
          </w:rPr>
          <w:tab/>
        </w:r>
        <w:r w:rsidR="00D93502" w:rsidRP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_Toc86395507 \h </w:instrText>
        </w:r>
        <w:r w:rsidR="005C6E35" w:rsidRPr="00D93502">
          <w:rPr>
            <w:b w:val="0"/>
            <w:bCs/>
            <w:noProof/>
            <w:webHidden/>
          </w:rPr>
        </w:r>
        <w:r w:rsidR="005C6E35" w:rsidRPr="00D93502">
          <w:rPr>
            <w:b w:val="0"/>
            <w:bCs/>
            <w:noProof/>
            <w:webHidden/>
          </w:rPr>
          <w:fldChar w:fldCharType="separate"/>
        </w:r>
        <w:r w:rsidR="00E305D2">
          <w:rPr>
            <w:b w:val="0"/>
            <w:bCs/>
            <w:noProof/>
            <w:webHidden/>
          </w:rPr>
          <w:t>67</w:t>
        </w:r>
        <w:r w:rsidR="005C6E35" w:rsidRPr="00D93502">
          <w:rPr>
            <w:b w:val="0"/>
            <w:bCs/>
            <w:noProof/>
            <w:webHidden/>
          </w:rPr>
          <w:fldChar w:fldCharType="end"/>
        </w:r>
      </w:hyperlink>
    </w:p>
    <w:p w14:paraId="4F64D2AC" w14:textId="64033E3C" w:rsidR="005C6E35" w:rsidRPr="00D93502" w:rsidRDefault="00F71B18">
      <w:pPr>
        <w:pStyle w:val="TOC10"/>
        <w:rPr>
          <w:rFonts w:eastAsiaTheme="minorEastAsia" w:cstheme="minorBidi"/>
          <w:b w:val="0"/>
          <w:bCs/>
          <w:noProof/>
          <w:sz w:val="22"/>
          <w:szCs w:val="22"/>
          <w:lang w:val="en-US" w:eastAsia="zh-CN"/>
        </w:rPr>
      </w:pPr>
      <w:hyperlink w:anchor="_Toc86395508" w:history="1">
        <w:r w:rsidR="005C6E35" w:rsidRPr="00D93502">
          <w:rPr>
            <w:rStyle w:val="Hyperlink"/>
            <w:rFonts w:hint="eastAsia"/>
            <w:b w:val="0"/>
            <w:bCs/>
            <w:noProof/>
            <w:lang w:eastAsia="zh-CN"/>
          </w:rPr>
          <w:t>第</w:t>
        </w:r>
        <w:r w:rsidR="005C6E35" w:rsidRPr="00D93502">
          <w:rPr>
            <w:rStyle w:val="Hyperlink"/>
            <w:b w:val="0"/>
            <w:bCs/>
            <w:noProof/>
            <w:lang w:eastAsia="zh-CN"/>
          </w:rPr>
          <w:t>685</w:t>
        </w:r>
        <w:r w:rsidR="005C6E35" w:rsidRPr="00D93502">
          <w:rPr>
            <w:rStyle w:val="Hyperlink"/>
            <w:rFonts w:hint="eastAsia"/>
            <w:b w:val="0"/>
            <w:bCs/>
            <w:noProof/>
            <w:lang w:eastAsia="zh-CN"/>
          </w:rPr>
          <w:t>号决议</w:t>
        </w:r>
      </w:hyperlink>
      <w:r w:rsidR="00D93502" w:rsidRPr="00D93502">
        <w:rPr>
          <w:rFonts w:eastAsiaTheme="minorEastAsia" w:cstheme="minorBidi"/>
          <w:b w:val="0"/>
          <w:bCs/>
          <w:noProof/>
          <w:sz w:val="22"/>
          <w:szCs w:val="22"/>
          <w:lang w:val="en-US" w:eastAsia="zh-CN"/>
        </w:rPr>
        <w:tab/>
      </w:r>
      <w:hyperlink w:anchor="_Toc86395509" w:history="1">
        <w:r w:rsidR="005C6E35" w:rsidRPr="00D93502">
          <w:rPr>
            <w:rStyle w:val="Hyperlink"/>
            <w:rFonts w:hint="eastAsia"/>
            <w:b w:val="0"/>
            <w:bCs/>
            <w:noProof/>
            <w:lang w:eastAsia="zh-CN"/>
          </w:rPr>
          <w:t>国际招聘程序</w:t>
        </w:r>
        <w:r w:rsidR="005C6E35" w:rsidRPr="00D93502">
          <w:rPr>
            <w:b w:val="0"/>
            <w:bCs/>
            <w:noProof/>
            <w:webHidden/>
          </w:rPr>
          <w:tab/>
        </w:r>
        <w:r w:rsidR="00D93502" w:rsidRP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_Toc86395509 \h </w:instrText>
        </w:r>
        <w:r w:rsidR="005C6E35" w:rsidRPr="00D93502">
          <w:rPr>
            <w:b w:val="0"/>
            <w:bCs/>
            <w:noProof/>
            <w:webHidden/>
          </w:rPr>
        </w:r>
        <w:r w:rsidR="005C6E35" w:rsidRPr="00D93502">
          <w:rPr>
            <w:b w:val="0"/>
            <w:bCs/>
            <w:noProof/>
            <w:webHidden/>
          </w:rPr>
          <w:fldChar w:fldCharType="separate"/>
        </w:r>
        <w:r w:rsidR="00E305D2">
          <w:rPr>
            <w:b w:val="0"/>
            <w:bCs/>
            <w:noProof/>
            <w:webHidden/>
          </w:rPr>
          <w:t>67</w:t>
        </w:r>
        <w:r w:rsidR="005C6E35" w:rsidRPr="00D93502">
          <w:rPr>
            <w:b w:val="0"/>
            <w:bCs/>
            <w:noProof/>
            <w:webHidden/>
          </w:rPr>
          <w:fldChar w:fldCharType="end"/>
        </w:r>
      </w:hyperlink>
    </w:p>
    <w:p w14:paraId="2AC8D926" w14:textId="5EF974BF" w:rsidR="005C6E35" w:rsidRPr="00D93502" w:rsidRDefault="00F71B18">
      <w:pPr>
        <w:pStyle w:val="TOC10"/>
        <w:rPr>
          <w:rFonts w:eastAsiaTheme="minorEastAsia" w:cstheme="minorBidi"/>
          <w:b w:val="0"/>
          <w:bCs/>
          <w:noProof/>
          <w:sz w:val="22"/>
          <w:szCs w:val="22"/>
          <w:lang w:val="en-US" w:eastAsia="zh-CN"/>
        </w:rPr>
      </w:pPr>
      <w:hyperlink w:anchor="_Toc86395510" w:history="1">
        <w:r w:rsidR="005C6E35" w:rsidRPr="00D93502">
          <w:rPr>
            <w:rStyle w:val="Hyperlink"/>
            <w:rFonts w:hint="eastAsia"/>
            <w:b w:val="0"/>
            <w:bCs/>
            <w:noProof/>
            <w:lang w:eastAsia="zh-CN"/>
          </w:rPr>
          <w:t>第</w:t>
        </w:r>
        <w:r w:rsidR="005C6E35" w:rsidRPr="00D93502">
          <w:rPr>
            <w:rStyle w:val="Hyperlink"/>
            <w:b w:val="0"/>
            <w:bCs/>
            <w:noProof/>
            <w:lang w:eastAsia="zh-CN"/>
          </w:rPr>
          <w:t>792</w:t>
        </w:r>
        <w:r w:rsidR="005C6E35" w:rsidRPr="00D93502">
          <w:rPr>
            <w:rStyle w:val="Hyperlink"/>
            <w:rFonts w:hint="eastAsia"/>
            <w:b w:val="0"/>
            <w:bCs/>
            <w:noProof/>
            <w:lang w:eastAsia="zh-CN"/>
          </w:rPr>
          <w:t>号决议</w:t>
        </w:r>
      </w:hyperlink>
      <w:r w:rsidR="00D93502" w:rsidRPr="00D93502">
        <w:rPr>
          <w:rFonts w:eastAsiaTheme="minorEastAsia" w:cstheme="minorBidi"/>
          <w:b w:val="0"/>
          <w:bCs/>
          <w:noProof/>
          <w:sz w:val="22"/>
          <w:szCs w:val="22"/>
          <w:lang w:val="en-US" w:eastAsia="zh-CN"/>
        </w:rPr>
        <w:tab/>
      </w:r>
      <w:hyperlink w:anchor="_Toc86395511" w:history="1">
        <w:r w:rsidR="005C6E35" w:rsidRPr="00D93502">
          <w:rPr>
            <w:rStyle w:val="Hyperlink"/>
            <w:rFonts w:hint="eastAsia"/>
            <w:b w:val="0"/>
            <w:bCs/>
            <w:noProof/>
            <w:lang w:eastAsia="zh-CN"/>
          </w:rPr>
          <w:t>《人事规则和人事细则》的建议修正案</w:t>
        </w:r>
        <w:r w:rsidR="005C6E35" w:rsidRPr="00D93502">
          <w:rPr>
            <w:b w:val="0"/>
            <w:bCs/>
            <w:noProof/>
            <w:webHidden/>
          </w:rPr>
          <w:tab/>
        </w:r>
        <w:r w:rsidR="00D93502" w:rsidRP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_Toc86395511 \h </w:instrText>
        </w:r>
        <w:r w:rsidR="005C6E35" w:rsidRPr="00D93502">
          <w:rPr>
            <w:b w:val="0"/>
            <w:bCs/>
            <w:noProof/>
            <w:webHidden/>
          </w:rPr>
        </w:r>
        <w:r w:rsidR="005C6E35" w:rsidRPr="00D93502">
          <w:rPr>
            <w:b w:val="0"/>
            <w:bCs/>
            <w:noProof/>
            <w:webHidden/>
          </w:rPr>
          <w:fldChar w:fldCharType="separate"/>
        </w:r>
        <w:r w:rsidR="00E305D2">
          <w:rPr>
            <w:b w:val="0"/>
            <w:bCs/>
            <w:noProof/>
            <w:webHidden/>
          </w:rPr>
          <w:t>68</w:t>
        </w:r>
        <w:r w:rsidR="005C6E35" w:rsidRPr="00D93502">
          <w:rPr>
            <w:b w:val="0"/>
            <w:bCs/>
            <w:noProof/>
            <w:webHidden/>
          </w:rPr>
          <w:fldChar w:fldCharType="end"/>
        </w:r>
      </w:hyperlink>
    </w:p>
    <w:p w14:paraId="75C50A22" w14:textId="6A268588" w:rsidR="005C6E35" w:rsidRPr="00D93502" w:rsidRDefault="00F71B18">
      <w:pPr>
        <w:pStyle w:val="TOC10"/>
        <w:rPr>
          <w:rFonts w:eastAsiaTheme="minorEastAsia" w:cstheme="minorBidi"/>
          <w:b w:val="0"/>
          <w:bCs/>
          <w:noProof/>
          <w:sz w:val="22"/>
          <w:szCs w:val="22"/>
          <w:lang w:val="en-US" w:eastAsia="zh-CN"/>
        </w:rPr>
      </w:pPr>
      <w:hyperlink w:anchor="_Toc86395512" w:history="1">
        <w:r w:rsidR="005C6E35" w:rsidRPr="00D93502">
          <w:rPr>
            <w:rStyle w:val="Hyperlink"/>
            <w:rFonts w:hint="eastAsia"/>
            <w:b w:val="0"/>
            <w:bCs/>
            <w:noProof/>
            <w:lang w:eastAsia="zh-CN"/>
          </w:rPr>
          <w:t>第</w:t>
        </w:r>
        <w:r w:rsidR="005C6E35" w:rsidRPr="00D93502">
          <w:rPr>
            <w:rStyle w:val="Hyperlink"/>
            <w:b w:val="0"/>
            <w:bCs/>
            <w:noProof/>
            <w:lang w:eastAsia="zh-CN"/>
          </w:rPr>
          <w:t>1004</w:t>
        </w:r>
        <w:r w:rsidR="005C6E35" w:rsidRPr="00D93502">
          <w:rPr>
            <w:rStyle w:val="Hyperlink"/>
            <w:rFonts w:hint="eastAsia"/>
            <w:b w:val="0"/>
            <w:bCs/>
            <w:noProof/>
            <w:lang w:eastAsia="zh-CN"/>
          </w:rPr>
          <w:t>号决议</w:t>
        </w:r>
      </w:hyperlink>
      <w:r w:rsidR="00D93502" w:rsidRPr="00D93502">
        <w:rPr>
          <w:rFonts w:eastAsiaTheme="minorEastAsia" w:cstheme="minorBidi"/>
          <w:b w:val="0"/>
          <w:bCs/>
          <w:noProof/>
          <w:sz w:val="22"/>
          <w:szCs w:val="22"/>
          <w:lang w:val="en-US" w:eastAsia="zh-CN"/>
        </w:rPr>
        <w:tab/>
      </w:r>
      <w:hyperlink w:anchor="_Toc86395513" w:history="1">
        <w:r w:rsidR="005C6E35" w:rsidRPr="00D93502">
          <w:rPr>
            <w:rStyle w:val="Hyperlink"/>
            <w:rFonts w:hint="eastAsia"/>
            <w:b w:val="0"/>
            <w:bCs/>
            <w:noProof/>
            <w:lang w:eastAsia="zh-CN"/>
          </w:rPr>
          <w:t>与国际电联活动有关的特权、豁免和便利</w:t>
        </w:r>
        <w:r w:rsidR="005C6E35" w:rsidRPr="00D93502">
          <w:rPr>
            <w:b w:val="0"/>
            <w:bCs/>
            <w:noProof/>
            <w:webHidden/>
          </w:rPr>
          <w:tab/>
        </w:r>
        <w:r w:rsidR="00D93502" w:rsidRP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_Toc86395513 \h </w:instrText>
        </w:r>
        <w:r w:rsidR="005C6E35" w:rsidRPr="00D93502">
          <w:rPr>
            <w:b w:val="0"/>
            <w:bCs/>
            <w:noProof/>
            <w:webHidden/>
          </w:rPr>
        </w:r>
        <w:r w:rsidR="005C6E35" w:rsidRPr="00D93502">
          <w:rPr>
            <w:b w:val="0"/>
            <w:bCs/>
            <w:noProof/>
            <w:webHidden/>
          </w:rPr>
          <w:fldChar w:fldCharType="separate"/>
        </w:r>
        <w:r w:rsidR="00E305D2">
          <w:rPr>
            <w:b w:val="0"/>
            <w:bCs/>
            <w:noProof/>
            <w:webHidden/>
          </w:rPr>
          <w:t>68</w:t>
        </w:r>
        <w:r w:rsidR="005C6E35" w:rsidRPr="00D93502">
          <w:rPr>
            <w:b w:val="0"/>
            <w:bCs/>
            <w:noProof/>
            <w:webHidden/>
          </w:rPr>
          <w:fldChar w:fldCharType="end"/>
        </w:r>
      </w:hyperlink>
    </w:p>
    <w:p w14:paraId="0295D6CA" w14:textId="6D22A777" w:rsidR="005C6E35" w:rsidRPr="00D93502" w:rsidRDefault="00F71B18">
      <w:pPr>
        <w:pStyle w:val="TOC10"/>
        <w:rPr>
          <w:rFonts w:eastAsiaTheme="minorEastAsia" w:cstheme="minorBidi"/>
          <w:b w:val="0"/>
          <w:bCs/>
          <w:noProof/>
          <w:sz w:val="22"/>
          <w:szCs w:val="22"/>
          <w:lang w:val="en-US" w:eastAsia="zh-CN"/>
        </w:rPr>
      </w:pPr>
      <w:hyperlink w:anchor="_Toc86395514" w:history="1">
        <w:r w:rsidR="005C6E35" w:rsidRPr="00D93502">
          <w:rPr>
            <w:rStyle w:val="Hyperlink"/>
            <w:rFonts w:hint="eastAsia"/>
            <w:b w:val="0"/>
            <w:bCs/>
            <w:noProof/>
            <w:lang w:eastAsia="zh-CN"/>
          </w:rPr>
          <w:t>第</w:t>
        </w:r>
        <w:r w:rsidR="005C6E35" w:rsidRPr="00D93502">
          <w:rPr>
            <w:rStyle w:val="Hyperlink"/>
            <w:b w:val="0"/>
            <w:bCs/>
            <w:noProof/>
            <w:lang w:eastAsia="zh-CN"/>
          </w:rPr>
          <w:t>1142</w:t>
        </w:r>
        <w:r w:rsidR="005C6E35" w:rsidRPr="00D93502">
          <w:rPr>
            <w:rStyle w:val="Hyperlink"/>
            <w:rFonts w:hint="eastAsia"/>
            <w:b w:val="0"/>
            <w:bCs/>
            <w:noProof/>
            <w:lang w:eastAsia="zh-CN"/>
          </w:rPr>
          <w:t>号决议</w:t>
        </w:r>
      </w:hyperlink>
      <w:r w:rsidR="00D93502" w:rsidRPr="00D93502">
        <w:rPr>
          <w:rFonts w:eastAsiaTheme="minorEastAsia" w:cstheme="minorBidi"/>
          <w:b w:val="0"/>
          <w:bCs/>
          <w:noProof/>
          <w:sz w:val="22"/>
          <w:szCs w:val="22"/>
          <w:lang w:val="en-US" w:eastAsia="zh-CN"/>
        </w:rPr>
        <w:tab/>
      </w:r>
      <w:hyperlink w:anchor="_Toc86395515" w:history="1">
        <w:r w:rsidR="005C6E35" w:rsidRPr="00D93502">
          <w:rPr>
            <w:rStyle w:val="Hyperlink"/>
            <w:rFonts w:hint="eastAsia"/>
            <w:b w:val="0"/>
            <w:bCs/>
            <w:noProof/>
            <w:lang w:eastAsia="zh-CN"/>
          </w:rPr>
          <w:t>职业病</w:t>
        </w:r>
        <w:r w:rsidR="005C6E35" w:rsidRPr="00D93502">
          <w:rPr>
            <w:b w:val="0"/>
            <w:bCs/>
            <w:noProof/>
            <w:webHidden/>
          </w:rPr>
          <w:tab/>
        </w:r>
        <w:r w:rsidR="00D93502" w:rsidRP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_Toc86395515 \h </w:instrText>
        </w:r>
        <w:r w:rsidR="005C6E35" w:rsidRPr="00D93502">
          <w:rPr>
            <w:b w:val="0"/>
            <w:bCs/>
            <w:noProof/>
            <w:webHidden/>
          </w:rPr>
        </w:r>
        <w:r w:rsidR="005C6E35" w:rsidRPr="00D93502">
          <w:rPr>
            <w:b w:val="0"/>
            <w:bCs/>
            <w:noProof/>
            <w:webHidden/>
          </w:rPr>
          <w:fldChar w:fldCharType="separate"/>
        </w:r>
        <w:r w:rsidR="00E305D2">
          <w:rPr>
            <w:b w:val="0"/>
            <w:bCs/>
            <w:noProof/>
            <w:webHidden/>
          </w:rPr>
          <w:t>70</w:t>
        </w:r>
        <w:r w:rsidR="005C6E35" w:rsidRPr="00D93502">
          <w:rPr>
            <w:b w:val="0"/>
            <w:bCs/>
            <w:noProof/>
            <w:webHidden/>
          </w:rPr>
          <w:fldChar w:fldCharType="end"/>
        </w:r>
      </w:hyperlink>
    </w:p>
    <w:p w14:paraId="2CC0F623" w14:textId="62FCA748" w:rsidR="005C6E35" w:rsidRPr="00D93502" w:rsidRDefault="00F71B18">
      <w:pPr>
        <w:pStyle w:val="TOC10"/>
        <w:rPr>
          <w:rFonts w:eastAsiaTheme="minorEastAsia" w:cstheme="minorBidi"/>
          <w:b w:val="0"/>
          <w:bCs/>
          <w:noProof/>
          <w:sz w:val="22"/>
          <w:szCs w:val="22"/>
          <w:lang w:val="en-US" w:eastAsia="zh-CN"/>
        </w:rPr>
      </w:pPr>
      <w:hyperlink w:anchor="_Toc86395516" w:history="1">
        <w:r w:rsidR="005C6E35" w:rsidRPr="00D93502">
          <w:rPr>
            <w:rStyle w:val="Hyperlink"/>
            <w:rFonts w:hint="eastAsia"/>
            <w:b w:val="0"/>
            <w:bCs/>
            <w:noProof/>
            <w:lang w:eastAsia="zh-CN"/>
          </w:rPr>
          <w:t>第</w:t>
        </w:r>
        <w:r w:rsidR="005C6E35" w:rsidRPr="00D93502">
          <w:rPr>
            <w:rStyle w:val="Hyperlink"/>
            <w:b w:val="0"/>
            <w:bCs/>
            <w:noProof/>
            <w:lang w:eastAsia="zh-CN"/>
          </w:rPr>
          <w:t>1369</w:t>
        </w:r>
        <w:r w:rsidR="005C6E35" w:rsidRPr="00D93502">
          <w:rPr>
            <w:rStyle w:val="Hyperlink"/>
            <w:rFonts w:hint="eastAsia"/>
            <w:b w:val="0"/>
            <w:bCs/>
            <w:noProof/>
            <w:lang w:eastAsia="zh-CN"/>
          </w:rPr>
          <w:t>号决议</w:t>
        </w:r>
      </w:hyperlink>
      <w:r w:rsidR="00D93502" w:rsidRPr="00D93502">
        <w:rPr>
          <w:rFonts w:eastAsiaTheme="minorEastAsia" w:cstheme="minorBidi"/>
          <w:b w:val="0"/>
          <w:bCs/>
          <w:noProof/>
          <w:sz w:val="22"/>
          <w:szCs w:val="22"/>
          <w:lang w:val="en-US" w:eastAsia="zh-CN"/>
        </w:rPr>
        <w:tab/>
      </w:r>
      <w:hyperlink w:anchor="_Toc86395517" w:history="1">
        <w:r w:rsidR="005C6E35" w:rsidRPr="00D93502">
          <w:rPr>
            <w:rStyle w:val="Hyperlink"/>
            <w:rFonts w:hint="eastAsia"/>
            <w:b w:val="0"/>
            <w:bCs/>
            <w:noProof/>
            <w:lang w:eastAsia="zh-CN"/>
          </w:rPr>
          <w:t>对适用于委任职员的《人事规则》的修正</w:t>
        </w:r>
        <w:r w:rsidR="005C6E35" w:rsidRPr="00D93502">
          <w:rPr>
            <w:b w:val="0"/>
            <w:bCs/>
            <w:noProof/>
            <w:webHidden/>
          </w:rPr>
          <w:tab/>
        </w:r>
        <w:r w:rsidR="00D93502" w:rsidRP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_Toc86395517 \h </w:instrText>
        </w:r>
        <w:r w:rsidR="005C6E35" w:rsidRPr="00D93502">
          <w:rPr>
            <w:b w:val="0"/>
            <w:bCs/>
            <w:noProof/>
            <w:webHidden/>
          </w:rPr>
        </w:r>
        <w:r w:rsidR="005C6E35" w:rsidRPr="00D93502">
          <w:rPr>
            <w:b w:val="0"/>
            <w:bCs/>
            <w:noProof/>
            <w:webHidden/>
          </w:rPr>
          <w:fldChar w:fldCharType="separate"/>
        </w:r>
        <w:r w:rsidR="00E305D2">
          <w:rPr>
            <w:b w:val="0"/>
            <w:bCs/>
            <w:noProof/>
            <w:webHidden/>
          </w:rPr>
          <w:t>70</w:t>
        </w:r>
        <w:r w:rsidR="005C6E35" w:rsidRPr="00D93502">
          <w:rPr>
            <w:b w:val="0"/>
            <w:bCs/>
            <w:noProof/>
            <w:webHidden/>
          </w:rPr>
          <w:fldChar w:fldCharType="end"/>
        </w:r>
      </w:hyperlink>
    </w:p>
    <w:p w14:paraId="43E27191" w14:textId="51B8CF5D" w:rsidR="005C6E35" w:rsidRPr="00D93502" w:rsidRDefault="00F71B18">
      <w:pPr>
        <w:pStyle w:val="TOC10"/>
        <w:rPr>
          <w:rFonts w:eastAsiaTheme="minorEastAsia" w:cstheme="minorBidi"/>
          <w:b w:val="0"/>
          <w:bCs/>
          <w:noProof/>
          <w:sz w:val="22"/>
          <w:szCs w:val="22"/>
          <w:lang w:val="en-US" w:eastAsia="zh-CN"/>
        </w:rPr>
      </w:pPr>
      <w:hyperlink w:anchor="_Toc86395518" w:history="1">
        <w:r w:rsidR="005C6E35" w:rsidRPr="00D93502">
          <w:rPr>
            <w:rStyle w:val="Hyperlink"/>
            <w:rFonts w:hint="eastAsia"/>
            <w:b w:val="0"/>
            <w:bCs/>
            <w:noProof/>
            <w:lang w:eastAsia="zh-CN"/>
          </w:rPr>
          <w:t>第</w:t>
        </w:r>
        <w:r w:rsidR="005C6E35" w:rsidRPr="00D93502">
          <w:rPr>
            <w:rStyle w:val="Hyperlink"/>
            <w:b w:val="0"/>
            <w:bCs/>
            <w:noProof/>
            <w:lang w:eastAsia="zh-CN"/>
          </w:rPr>
          <w:t>1392</w:t>
        </w:r>
        <w:r w:rsidR="005C6E35" w:rsidRPr="00D93502">
          <w:rPr>
            <w:rStyle w:val="Hyperlink"/>
            <w:rFonts w:hint="eastAsia"/>
            <w:b w:val="0"/>
            <w:bCs/>
            <w:noProof/>
            <w:lang w:eastAsia="zh-CN"/>
          </w:rPr>
          <w:t>号决议</w:t>
        </w:r>
      </w:hyperlink>
      <w:r w:rsidR="00D93502" w:rsidRPr="00D93502">
        <w:rPr>
          <w:rFonts w:eastAsiaTheme="minorEastAsia" w:cstheme="minorBidi"/>
          <w:b w:val="0"/>
          <w:bCs/>
          <w:noProof/>
          <w:sz w:val="22"/>
          <w:szCs w:val="22"/>
          <w:lang w:val="en-US" w:eastAsia="zh-CN"/>
        </w:rPr>
        <w:tab/>
      </w:r>
      <w:hyperlink w:anchor="_Toc86395519" w:history="1">
        <w:r w:rsidR="005C6E35" w:rsidRPr="00D93502">
          <w:rPr>
            <w:rStyle w:val="Hyperlink"/>
            <w:rFonts w:hint="eastAsia"/>
            <w:b w:val="0"/>
            <w:bCs/>
            <w:noProof/>
            <w:lang w:eastAsia="zh-CN"/>
          </w:rPr>
          <w:t>适用于选任官员的《人事规则》</w:t>
        </w:r>
        <w:r w:rsidR="005C6E35" w:rsidRPr="00D93502">
          <w:rPr>
            <w:b w:val="0"/>
            <w:bCs/>
            <w:noProof/>
            <w:webHidden/>
          </w:rPr>
          <w:tab/>
        </w:r>
        <w:r w:rsidR="00D93502" w:rsidRP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_Toc86395519 \h </w:instrText>
        </w:r>
        <w:r w:rsidR="005C6E35" w:rsidRPr="00D93502">
          <w:rPr>
            <w:b w:val="0"/>
            <w:bCs/>
            <w:noProof/>
            <w:webHidden/>
          </w:rPr>
        </w:r>
        <w:r w:rsidR="005C6E35" w:rsidRPr="00D93502">
          <w:rPr>
            <w:b w:val="0"/>
            <w:bCs/>
            <w:noProof/>
            <w:webHidden/>
          </w:rPr>
          <w:fldChar w:fldCharType="separate"/>
        </w:r>
        <w:r w:rsidR="00E305D2">
          <w:rPr>
            <w:b w:val="0"/>
            <w:bCs/>
            <w:noProof/>
            <w:webHidden/>
          </w:rPr>
          <w:t>72</w:t>
        </w:r>
        <w:r w:rsidR="005C6E35" w:rsidRPr="00D93502">
          <w:rPr>
            <w:b w:val="0"/>
            <w:bCs/>
            <w:noProof/>
            <w:webHidden/>
          </w:rPr>
          <w:fldChar w:fldCharType="end"/>
        </w:r>
      </w:hyperlink>
    </w:p>
    <w:p w14:paraId="63615C4C" w14:textId="799AB82E" w:rsidR="005C6E35" w:rsidRPr="00D93502" w:rsidRDefault="00F71B18">
      <w:pPr>
        <w:pStyle w:val="TOC10"/>
        <w:rPr>
          <w:rFonts w:eastAsiaTheme="minorEastAsia" w:cstheme="minorBidi"/>
          <w:b w:val="0"/>
          <w:bCs/>
          <w:noProof/>
          <w:sz w:val="22"/>
          <w:szCs w:val="22"/>
          <w:lang w:val="en-US" w:eastAsia="zh-CN"/>
        </w:rPr>
      </w:pPr>
      <w:hyperlink w:anchor="_Toc86395520" w:history="1">
        <w:r w:rsidR="005C6E35" w:rsidRPr="00D93502">
          <w:rPr>
            <w:rStyle w:val="Hyperlink"/>
            <w:rFonts w:hint="eastAsia"/>
            <w:b w:val="0"/>
            <w:bCs/>
            <w:noProof/>
            <w:lang w:eastAsia="zh-CN"/>
          </w:rPr>
          <w:t>第</w:t>
        </w:r>
        <w:r w:rsidR="005C6E35" w:rsidRPr="00D93502">
          <w:rPr>
            <w:rStyle w:val="Hyperlink"/>
            <w:b w:val="0"/>
            <w:bCs/>
            <w:noProof/>
            <w:lang w:eastAsia="zh-CN"/>
          </w:rPr>
          <w:t>1406</w:t>
        </w:r>
        <w:r w:rsidR="005C6E35" w:rsidRPr="00D93502">
          <w:rPr>
            <w:rStyle w:val="Hyperlink"/>
            <w:rFonts w:hint="eastAsia"/>
            <w:b w:val="0"/>
            <w:bCs/>
            <w:noProof/>
            <w:lang w:eastAsia="zh-CN"/>
          </w:rPr>
          <w:t>号决议</w:t>
        </w:r>
      </w:hyperlink>
      <w:r w:rsidR="00D93502" w:rsidRPr="00D93502">
        <w:rPr>
          <w:rFonts w:eastAsiaTheme="minorEastAsia" w:cstheme="minorBidi"/>
          <w:b w:val="0"/>
          <w:bCs/>
          <w:noProof/>
          <w:sz w:val="22"/>
          <w:szCs w:val="22"/>
          <w:lang w:val="en-US" w:eastAsia="zh-CN"/>
        </w:rPr>
        <w:tab/>
      </w:r>
      <w:hyperlink w:anchor="_Toc86395521" w:history="1">
        <w:r w:rsidR="005C6E35" w:rsidRPr="00D93502">
          <w:rPr>
            <w:rStyle w:val="Hyperlink"/>
            <w:rFonts w:hint="eastAsia"/>
            <w:b w:val="0"/>
            <w:bCs/>
            <w:noProof/>
            <w:lang w:eastAsia="zh-CN"/>
          </w:rPr>
          <w:t>国际电联选任官员的服务条件</w:t>
        </w:r>
        <w:r w:rsidR="005C6E35" w:rsidRPr="00D93502">
          <w:rPr>
            <w:b w:val="0"/>
            <w:bCs/>
            <w:noProof/>
            <w:webHidden/>
          </w:rPr>
          <w:tab/>
        </w:r>
        <w:r w:rsidR="00D93502" w:rsidRP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_Toc86395521 \h </w:instrText>
        </w:r>
        <w:r w:rsidR="005C6E35" w:rsidRPr="00D93502">
          <w:rPr>
            <w:b w:val="0"/>
            <w:bCs/>
            <w:noProof/>
            <w:webHidden/>
          </w:rPr>
        </w:r>
        <w:r w:rsidR="005C6E35" w:rsidRPr="00D93502">
          <w:rPr>
            <w:b w:val="0"/>
            <w:bCs/>
            <w:noProof/>
            <w:webHidden/>
          </w:rPr>
          <w:fldChar w:fldCharType="separate"/>
        </w:r>
        <w:r w:rsidR="00E305D2">
          <w:rPr>
            <w:b w:val="0"/>
            <w:bCs/>
            <w:noProof/>
            <w:webHidden/>
          </w:rPr>
          <w:t>83</w:t>
        </w:r>
        <w:r w:rsidR="005C6E35" w:rsidRPr="00D93502">
          <w:rPr>
            <w:b w:val="0"/>
            <w:bCs/>
            <w:noProof/>
            <w:webHidden/>
          </w:rPr>
          <w:fldChar w:fldCharType="end"/>
        </w:r>
      </w:hyperlink>
    </w:p>
    <w:p w14:paraId="1A657AC9" w14:textId="635D3A44" w:rsidR="005C6E35" w:rsidRPr="00D93502" w:rsidRDefault="00F71B18">
      <w:pPr>
        <w:pStyle w:val="TOC10"/>
        <w:rPr>
          <w:rFonts w:eastAsiaTheme="minorEastAsia" w:cstheme="minorBidi"/>
          <w:b w:val="0"/>
          <w:bCs/>
          <w:noProof/>
          <w:sz w:val="22"/>
          <w:szCs w:val="22"/>
          <w:lang w:val="en-US" w:eastAsia="zh-CN"/>
        </w:rPr>
      </w:pPr>
      <w:hyperlink w:anchor="_Toc86395522" w:history="1">
        <w:r w:rsidR="005C6E35" w:rsidRPr="00D93502">
          <w:rPr>
            <w:rStyle w:val="Hyperlink"/>
            <w:rFonts w:hint="eastAsia"/>
            <w:b w:val="0"/>
            <w:bCs/>
            <w:noProof/>
          </w:rPr>
          <w:t>第</w:t>
        </w:r>
        <w:r w:rsidR="005C6E35" w:rsidRPr="00D93502">
          <w:rPr>
            <w:rStyle w:val="Hyperlink"/>
            <w:b w:val="0"/>
            <w:bCs/>
            <w:noProof/>
          </w:rPr>
          <w:t>548</w:t>
        </w:r>
        <w:r w:rsidR="005C6E35" w:rsidRPr="00D93502">
          <w:rPr>
            <w:rStyle w:val="Hyperlink"/>
            <w:rFonts w:hint="eastAsia"/>
            <w:b w:val="0"/>
            <w:bCs/>
            <w:noProof/>
          </w:rPr>
          <w:t>号决定</w:t>
        </w:r>
      </w:hyperlink>
      <w:r w:rsidR="00D93502" w:rsidRPr="00D93502">
        <w:rPr>
          <w:rFonts w:eastAsiaTheme="minorEastAsia" w:cstheme="minorBidi"/>
          <w:b w:val="0"/>
          <w:bCs/>
          <w:noProof/>
          <w:sz w:val="22"/>
          <w:szCs w:val="22"/>
          <w:lang w:val="en-US" w:eastAsia="zh-CN"/>
        </w:rPr>
        <w:tab/>
      </w:r>
      <w:hyperlink w:anchor="_Toc86395523" w:history="1">
        <w:r w:rsidR="005C6E35" w:rsidRPr="00D93502">
          <w:rPr>
            <w:rStyle w:val="Hyperlink"/>
            <w:rFonts w:hint="eastAsia"/>
            <w:b w:val="0"/>
            <w:bCs/>
            <w:noProof/>
          </w:rPr>
          <w:t>选任官员的服务条件</w:t>
        </w:r>
        <w:r w:rsidR="005C6E35" w:rsidRPr="00D93502">
          <w:rPr>
            <w:rStyle w:val="Hyperlink"/>
            <w:rFonts w:hint="eastAsia"/>
            <w:b w:val="0"/>
            <w:bCs/>
            <w:noProof/>
            <w:lang w:val="zh-CN"/>
          </w:rPr>
          <w:t>专项住房补贴</w:t>
        </w:r>
        <w:r w:rsidR="005C6E35" w:rsidRPr="00D93502">
          <w:rPr>
            <w:b w:val="0"/>
            <w:bCs/>
            <w:noProof/>
            <w:webHidden/>
          </w:rPr>
          <w:tab/>
        </w:r>
        <w:r w:rsidR="00D93502" w:rsidRP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_Toc86395523 \h </w:instrText>
        </w:r>
        <w:r w:rsidR="005C6E35" w:rsidRPr="00D93502">
          <w:rPr>
            <w:b w:val="0"/>
            <w:bCs/>
            <w:noProof/>
            <w:webHidden/>
          </w:rPr>
        </w:r>
        <w:r w:rsidR="005C6E35" w:rsidRPr="00D93502">
          <w:rPr>
            <w:b w:val="0"/>
            <w:bCs/>
            <w:noProof/>
            <w:webHidden/>
          </w:rPr>
          <w:fldChar w:fldCharType="separate"/>
        </w:r>
        <w:r w:rsidR="00E305D2">
          <w:rPr>
            <w:b w:val="0"/>
            <w:bCs/>
            <w:noProof/>
            <w:webHidden/>
          </w:rPr>
          <w:t>84</w:t>
        </w:r>
        <w:r w:rsidR="005C6E35" w:rsidRPr="00D93502">
          <w:rPr>
            <w:b w:val="0"/>
            <w:bCs/>
            <w:noProof/>
            <w:webHidden/>
          </w:rPr>
          <w:fldChar w:fldCharType="end"/>
        </w:r>
      </w:hyperlink>
    </w:p>
    <w:p w14:paraId="017EB7F5" w14:textId="7D906030" w:rsidR="005C6E35" w:rsidRPr="00D93502" w:rsidRDefault="00F71B18">
      <w:pPr>
        <w:pStyle w:val="TOC10"/>
        <w:rPr>
          <w:rFonts w:eastAsiaTheme="minorEastAsia" w:cstheme="minorBidi"/>
          <w:b w:val="0"/>
          <w:bCs/>
          <w:noProof/>
          <w:sz w:val="22"/>
          <w:szCs w:val="22"/>
          <w:lang w:val="en-US" w:eastAsia="zh-CN"/>
        </w:rPr>
      </w:pPr>
      <w:hyperlink w:anchor="_Toc86395524" w:history="1">
        <w:r w:rsidR="005C6E35" w:rsidRPr="00D93502">
          <w:rPr>
            <w:rStyle w:val="Hyperlink"/>
            <w:rFonts w:hint="eastAsia"/>
            <w:b w:val="0"/>
            <w:bCs/>
            <w:noProof/>
          </w:rPr>
          <w:t>第</w:t>
        </w:r>
        <w:r w:rsidR="005C6E35" w:rsidRPr="00D93502">
          <w:rPr>
            <w:rStyle w:val="Hyperlink"/>
            <w:b w:val="0"/>
            <w:bCs/>
            <w:noProof/>
          </w:rPr>
          <w:t>593</w:t>
        </w:r>
        <w:r w:rsidR="005C6E35" w:rsidRPr="00D93502">
          <w:rPr>
            <w:rStyle w:val="Hyperlink"/>
            <w:rFonts w:hint="eastAsia"/>
            <w:b w:val="0"/>
            <w:bCs/>
            <w:noProof/>
          </w:rPr>
          <w:t>号决定</w:t>
        </w:r>
      </w:hyperlink>
      <w:r w:rsidR="00D93502" w:rsidRPr="00D93502">
        <w:rPr>
          <w:rFonts w:eastAsiaTheme="minorEastAsia" w:cstheme="minorBidi"/>
          <w:b w:val="0"/>
          <w:bCs/>
          <w:noProof/>
          <w:sz w:val="22"/>
          <w:szCs w:val="22"/>
          <w:lang w:val="en-US" w:eastAsia="zh-CN"/>
        </w:rPr>
        <w:tab/>
      </w:r>
      <w:hyperlink w:anchor="_Toc86395525" w:history="1">
        <w:r w:rsidR="005C6E35" w:rsidRPr="00D93502">
          <w:rPr>
            <w:rStyle w:val="Hyperlink"/>
            <w:rFonts w:hint="eastAsia"/>
            <w:b w:val="0"/>
            <w:bCs/>
            <w:noProof/>
            <w:lang w:eastAsia="zh-CN"/>
          </w:rPr>
          <w:t>适用于委任工作人员的《人事规则》修正案</w:t>
        </w:r>
        <w:r w:rsidR="005C6E35" w:rsidRPr="00D93502">
          <w:rPr>
            <w:b w:val="0"/>
            <w:bCs/>
            <w:noProof/>
            <w:webHidden/>
          </w:rPr>
          <w:tab/>
        </w:r>
        <w:r w:rsidR="00D93502" w:rsidRP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_Toc86395525 \h </w:instrText>
        </w:r>
        <w:r w:rsidR="005C6E35" w:rsidRPr="00D93502">
          <w:rPr>
            <w:b w:val="0"/>
            <w:bCs/>
            <w:noProof/>
            <w:webHidden/>
          </w:rPr>
        </w:r>
        <w:r w:rsidR="005C6E35" w:rsidRPr="00D93502">
          <w:rPr>
            <w:b w:val="0"/>
            <w:bCs/>
            <w:noProof/>
            <w:webHidden/>
          </w:rPr>
          <w:fldChar w:fldCharType="separate"/>
        </w:r>
        <w:r w:rsidR="00E305D2">
          <w:rPr>
            <w:b w:val="0"/>
            <w:bCs/>
            <w:noProof/>
            <w:webHidden/>
          </w:rPr>
          <w:t>85</w:t>
        </w:r>
        <w:r w:rsidR="005C6E35" w:rsidRPr="00D93502">
          <w:rPr>
            <w:b w:val="0"/>
            <w:bCs/>
            <w:noProof/>
            <w:webHidden/>
          </w:rPr>
          <w:fldChar w:fldCharType="end"/>
        </w:r>
      </w:hyperlink>
    </w:p>
    <w:p w14:paraId="13731C5A" w14:textId="3E4FEE80" w:rsidR="005C6E35" w:rsidRPr="00D93502" w:rsidRDefault="00F71B18">
      <w:pPr>
        <w:pStyle w:val="TOC10"/>
        <w:rPr>
          <w:rFonts w:eastAsiaTheme="minorEastAsia" w:cstheme="minorBidi"/>
          <w:b w:val="0"/>
          <w:bCs/>
          <w:noProof/>
          <w:sz w:val="22"/>
          <w:szCs w:val="22"/>
          <w:lang w:val="en-US" w:eastAsia="zh-CN"/>
        </w:rPr>
      </w:pPr>
      <w:hyperlink w:anchor="_Toc86395526" w:history="1">
        <w:r w:rsidR="005C6E35" w:rsidRPr="00D93502">
          <w:rPr>
            <w:rStyle w:val="Hyperlink"/>
            <w:rFonts w:hint="eastAsia"/>
            <w:b w:val="0"/>
            <w:bCs/>
            <w:noProof/>
          </w:rPr>
          <w:t>第</w:t>
        </w:r>
        <w:r w:rsidR="005C6E35" w:rsidRPr="00D93502">
          <w:rPr>
            <w:rStyle w:val="Hyperlink"/>
            <w:b w:val="0"/>
            <w:bCs/>
            <w:noProof/>
          </w:rPr>
          <w:t>597</w:t>
        </w:r>
        <w:r w:rsidR="005C6E35" w:rsidRPr="00D93502">
          <w:rPr>
            <w:rStyle w:val="Hyperlink"/>
            <w:rFonts w:hint="eastAsia"/>
            <w:b w:val="0"/>
            <w:bCs/>
            <w:noProof/>
          </w:rPr>
          <w:t>号决定</w:t>
        </w:r>
      </w:hyperlink>
      <w:r w:rsidR="00D93502" w:rsidRPr="00D93502">
        <w:rPr>
          <w:rFonts w:eastAsiaTheme="minorEastAsia" w:cstheme="minorBidi"/>
          <w:b w:val="0"/>
          <w:bCs/>
          <w:noProof/>
          <w:sz w:val="22"/>
          <w:szCs w:val="22"/>
          <w:lang w:val="en-US" w:eastAsia="zh-CN"/>
        </w:rPr>
        <w:tab/>
      </w:r>
      <w:hyperlink w:anchor="_Toc86395527" w:history="1">
        <w:r w:rsidR="005C6E35" w:rsidRPr="00D93502">
          <w:rPr>
            <w:rStyle w:val="Hyperlink"/>
            <w:rFonts w:hint="eastAsia"/>
            <w:b w:val="0"/>
            <w:bCs/>
            <w:noProof/>
            <w:lang w:eastAsia="zh-CN"/>
          </w:rPr>
          <w:t>适用于委任工作人员的《人事规则》修正案</w:t>
        </w:r>
        <w:r w:rsidR="005C6E35" w:rsidRPr="00D93502">
          <w:rPr>
            <w:b w:val="0"/>
            <w:bCs/>
            <w:noProof/>
            <w:webHidden/>
          </w:rPr>
          <w:tab/>
        </w:r>
        <w:r w:rsidR="00D93502" w:rsidRP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_Toc86395527 \h </w:instrText>
        </w:r>
        <w:r w:rsidR="005C6E35" w:rsidRPr="00D93502">
          <w:rPr>
            <w:b w:val="0"/>
            <w:bCs/>
            <w:noProof/>
            <w:webHidden/>
          </w:rPr>
        </w:r>
        <w:r w:rsidR="005C6E35" w:rsidRPr="00D93502">
          <w:rPr>
            <w:b w:val="0"/>
            <w:bCs/>
            <w:noProof/>
            <w:webHidden/>
          </w:rPr>
          <w:fldChar w:fldCharType="separate"/>
        </w:r>
        <w:r w:rsidR="00E305D2">
          <w:rPr>
            <w:b w:val="0"/>
            <w:bCs/>
            <w:noProof/>
            <w:webHidden/>
          </w:rPr>
          <w:t>86</w:t>
        </w:r>
        <w:r w:rsidR="005C6E35" w:rsidRPr="00D93502">
          <w:rPr>
            <w:b w:val="0"/>
            <w:bCs/>
            <w:noProof/>
            <w:webHidden/>
          </w:rPr>
          <w:fldChar w:fldCharType="end"/>
        </w:r>
      </w:hyperlink>
    </w:p>
    <w:p w14:paraId="42136C5B" w14:textId="37A9C9AF" w:rsidR="005C6E35" w:rsidRPr="00F3168F" w:rsidRDefault="00F71B18">
      <w:pPr>
        <w:pStyle w:val="TOC10"/>
        <w:rPr>
          <w:rFonts w:eastAsiaTheme="minorEastAsia" w:cstheme="minorBidi"/>
          <w:noProof/>
          <w:sz w:val="22"/>
          <w:szCs w:val="22"/>
          <w:lang w:val="en-US" w:eastAsia="zh-CN"/>
        </w:rPr>
      </w:pPr>
      <w:hyperlink w:anchor="_Toc86395528" w:history="1">
        <w:r w:rsidR="005C6E35" w:rsidRPr="00F3168F">
          <w:rPr>
            <w:rStyle w:val="Hyperlink"/>
            <w:noProof/>
            <w:lang w:eastAsia="zh-CN"/>
          </w:rPr>
          <w:t>2.2</w:t>
        </w:r>
        <w:r w:rsidR="005C6E35" w:rsidRPr="00F3168F">
          <w:rPr>
            <w:rFonts w:eastAsiaTheme="minorEastAsia" w:cstheme="minorBidi"/>
            <w:noProof/>
            <w:sz w:val="22"/>
            <w:szCs w:val="22"/>
            <w:lang w:val="en-US" w:eastAsia="zh-CN"/>
          </w:rPr>
          <w:tab/>
        </w:r>
        <w:r w:rsidR="005C6E35" w:rsidRPr="00F3168F">
          <w:rPr>
            <w:rStyle w:val="Hyperlink"/>
            <w:rFonts w:hint="eastAsia"/>
            <w:noProof/>
            <w:lang w:eastAsia="zh-CN"/>
          </w:rPr>
          <w:t>人力资源管理</w:t>
        </w:r>
        <w:r w:rsidR="005C6E35" w:rsidRPr="00F3168F">
          <w:rPr>
            <w:noProof/>
            <w:webHidden/>
          </w:rPr>
          <w:tab/>
        </w:r>
        <w:r w:rsidR="00D93502" w:rsidRPr="00F3168F">
          <w:rPr>
            <w:noProof/>
            <w:webHidden/>
          </w:rPr>
          <w:tab/>
        </w:r>
        <w:r w:rsidR="005C6E35" w:rsidRPr="00F3168F">
          <w:rPr>
            <w:noProof/>
            <w:webHidden/>
          </w:rPr>
          <w:fldChar w:fldCharType="begin"/>
        </w:r>
        <w:r w:rsidR="005C6E35" w:rsidRPr="00F3168F">
          <w:rPr>
            <w:noProof/>
            <w:webHidden/>
          </w:rPr>
          <w:instrText xml:space="preserve"> PAGEREF _Toc86395528 \h </w:instrText>
        </w:r>
        <w:r w:rsidR="005C6E35" w:rsidRPr="00F3168F">
          <w:rPr>
            <w:noProof/>
            <w:webHidden/>
          </w:rPr>
        </w:r>
        <w:r w:rsidR="005C6E35" w:rsidRPr="00F3168F">
          <w:rPr>
            <w:noProof/>
            <w:webHidden/>
          </w:rPr>
          <w:fldChar w:fldCharType="separate"/>
        </w:r>
        <w:r w:rsidR="00E305D2">
          <w:rPr>
            <w:noProof/>
            <w:webHidden/>
          </w:rPr>
          <w:t>87</w:t>
        </w:r>
        <w:r w:rsidR="005C6E35" w:rsidRPr="00F3168F">
          <w:rPr>
            <w:noProof/>
            <w:webHidden/>
          </w:rPr>
          <w:fldChar w:fldCharType="end"/>
        </w:r>
      </w:hyperlink>
    </w:p>
    <w:p w14:paraId="2E51BFCE" w14:textId="49A94E1F" w:rsidR="005C6E35" w:rsidRPr="00D93502" w:rsidRDefault="00F71B18">
      <w:pPr>
        <w:pStyle w:val="TOC10"/>
        <w:rPr>
          <w:rFonts w:eastAsiaTheme="minorEastAsia" w:cstheme="minorBidi"/>
          <w:b w:val="0"/>
          <w:bCs/>
          <w:noProof/>
          <w:sz w:val="22"/>
          <w:szCs w:val="22"/>
          <w:lang w:val="en-US" w:eastAsia="zh-CN"/>
        </w:rPr>
      </w:pPr>
      <w:hyperlink w:anchor="_Toc86395529" w:history="1">
        <w:r w:rsidR="005C6E35" w:rsidRPr="00D93502">
          <w:rPr>
            <w:rStyle w:val="Hyperlink"/>
            <w:rFonts w:hint="eastAsia"/>
            <w:b w:val="0"/>
            <w:bCs/>
            <w:noProof/>
            <w:lang w:eastAsia="zh-CN"/>
          </w:rPr>
          <w:t>第</w:t>
        </w:r>
        <w:r w:rsidR="005C6E35" w:rsidRPr="00D93502">
          <w:rPr>
            <w:rStyle w:val="Hyperlink"/>
            <w:b w:val="0"/>
            <w:bCs/>
            <w:noProof/>
            <w:lang w:eastAsia="zh-CN"/>
          </w:rPr>
          <w:t>1106</w:t>
        </w:r>
        <w:r w:rsidR="005C6E35" w:rsidRPr="00D93502">
          <w:rPr>
            <w:rStyle w:val="Hyperlink"/>
            <w:rFonts w:hint="eastAsia"/>
            <w:b w:val="0"/>
            <w:bCs/>
            <w:noProof/>
            <w:lang w:eastAsia="zh-CN"/>
          </w:rPr>
          <w:t>号决议</w:t>
        </w:r>
      </w:hyperlink>
      <w:r w:rsidR="00D93502" w:rsidRPr="00D93502">
        <w:rPr>
          <w:rFonts w:eastAsiaTheme="minorEastAsia" w:cstheme="minorBidi"/>
          <w:b w:val="0"/>
          <w:bCs/>
          <w:noProof/>
          <w:sz w:val="22"/>
          <w:szCs w:val="22"/>
          <w:lang w:val="en-US" w:eastAsia="zh-CN"/>
        </w:rPr>
        <w:tab/>
      </w:r>
      <w:hyperlink w:anchor="_Toc86395530" w:history="1">
        <w:r w:rsidR="005C6E35" w:rsidRPr="00D93502">
          <w:rPr>
            <w:rStyle w:val="Hyperlink"/>
            <w:rFonts w:hint="eastAsia"/>
            <w:b w:val="0"/>
            <w:bCs/>
            <w:noProof/>
            <w:lang w:eastAsia="zh-CN"/>
          </w:rPr>
          <w:t>人力资源管理三方顾问组建议的实施</w:t>
        </w:r>
        <w:r w:rsidR="005C6E35" w:rsidRPr="00D93502">
          <w:rPr>
            <w:b w:val="0"/>
            <w:bCs/>
            <w:noProof/>
            <w:webHidden/>
          </w:rPr>
          <w:tab/>
        </w:r>
        <w:r w:rsidR="00D93502" w:rsidRP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_Toc86395530 \h </w:instrText>
        </w:r>
        <w:r w:rsidR="005C6E35" w:rsidRPr="00D93502">
          <w:rPr>
            <w:b w:val="0"/>
            <w:bCs/>
            <w:noProof/>
            <w:webHidden/>
          </w:rPr>
        </w:r>
        <w:r w:rsidR="005C6E35" w:rsidRPr="00D93502">
          <w:rPr>
            <w:b w:val="0"/>
            <w:bCs/>
            <w:noProof/>
            <w:webHidden/>
          </w:rPr>
          <w:fldChar w:fldCharType="separate"/>
        </w:r>
        <w:r w:rsidR="00E305D2">
          <w:rPr>
            <w:b w:val="0"/>
            <w:bCs/>
            <w:noProof/>
            <w:webHidden/>
          </w:rPr>
          <w:t>87</w:t>
        </w:r>
        <w:r w:rsidR="005C6E35" w:rsidRPr="00D93502">
          <w:rPr>
            <w:b w:val="0"/>
            <w:bCs/>
            <w:noProof/>
            <w:webHidden/>
          </w:rPr>
          <w:fldChar w:fldCharType="end"/>
        </w:r>
      </w:hyperlink>
    </w:p>
    <w:p w14:paraId="2F70DA32" w14:textId="0D7CD2A2" w:rsidR="005C6E35" w:rsidRPr="00D93502" w:rsidRDefault="00F71B18">
      <w:pPr>
        <w:pStyle w:val="TOC10"/>
        <w:rPr>
          <w:rFonts w:eastAsiaTheme="minorEastAsia" w:cstheme="minorBidi"/>
          <w:b w:val="0"/>
          <w:bCs/>
          <w:noProof/>
          <w:sz w:val="22"/>
          <w:szCs w:val="22"/>
          <w:lang w:val="en-US" w:eastAsia="zh-CN"/>
        </w:rPr>
      </w:pPr>
      <w:hyperlink w:anchor="_Toc86395531" w:history="1">
        <w:r w:rsidR="005C6E35" w:rsidRPr="00D93502">
          <w:rPr>
            <w:rStyle w:val="Hyperlink"/>
            <w:rFonts w:hint="eastAsia"/>
            <w:b w:val="0"/>
            <w:bCs/>
            <w:noProof/>
            <w:lang w:eastAsia="zh-CN"/>
          </w:rPr>
          <w:t>第</w:t>
        </w:r>
        <w:r w:rsidR="005C6E35" w:rsidRPr="00D93502">
          <w:rPr>
            <w:rStyle w:val="Hyperlink"/>
            <w:b w:val="0"/>
            <w:bCs/>
            <w:noProof/>
            <w:lang w:eastAsia="zh-CN"/>
          </w:rPr>
          <w:t>1107</w:t>
        </w:r>
        <w:r w:rsidR="005C6E35" w:rsidRPr="00D93502">
          <w:rPr>
            <w:rStyle w:val="Hyperlink"/>
            <w:rFonts w:hint="eastAsia"/>
            <w:b w:val="0"/>
            <w:bCs/>
            <w:noProof/>
            <w:lang w:eastAsia="zh-CN"/>
          </w:rPr>
          <w:t>号决议</w:t>
        </w:r>
      </w:hyperlink>
      <w:r w:rsidR="00D93502" w:rsidRPr="00D93502">
        <w:rPr>
          <w:rFonts w:eastAsiaTheme="minorEastAsia" w:cstheme="minorBidi"/>
          <w:b w:val="0"/>
          <w:bCs/>
          <w:noProof/>
          <w:sz w:val="22"/>
          <w:szCs w:val="22"/>
          <w:lang w:val="en-US" w:eastAsia="zh-CN"/>
        </w:rPr>
        <w:tab/>
      </w:r>
      <w:hyperlink w:anchor="_Toc86395532" w:history="1">
        <w:r w:rsidR="005C6E35" w:rsidRPr="00D93502">
          <w:rPr>
            <w:rStyle w:val="Hyperlink"/>
            <w:rFonts w:hint="eastAsia"/>
            <w:b w:val="0"/>
            <w:bCs/>
            <w:noProof/>
            <w:lang w:eastAsia="zh-CN"/>
          </w:rPr>
          <w:t>职位叙级</w:t>
        </w:r>
        <w:r w:rsidR="005C6E35" w:rsidRPr="00D93502">
          <w:rPr>
            <w:b w:val="0"/>
            <w:bCs/>
            <w:noProof/>
            <w:webHidden/>
          </w:rPr>
          <w:tab/>
        </w:r>
        <w:r w:rsidR="00D93502" w:rsidRP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_Toc86395532 \h </w:instrText>
        </w:r>
        <w:r w:rsidR="005C6E35" w:rsidRPr="00D93502">
          <w:rPr>
            <w:b w:val="0"/>
            <w:bCs/>
            <w:noProof/>
            <w:webHidden/>
          </w:rPr>
        </w:r>
        <w:r w:rsidR="005C6E35" w:rsidRPr="00D93502">
          <w:rPr>
            <w:b w:val="0"/>
            <w:bCs/>
            <w:noProof/>
            <w:webHidden/>
          </w:rPr>
          <w:fldChar w:fldCharType="separate"/>
        </w:r>
        <w:r w:rsidR="00E305D2">
          <w:rPr>
            <w:b w:val="0"/>
            <w:bCs/>
            <w:noProof/>
            <w:webHidden/>
          </w:rPr>
          <w:t>88</w:t>
        </w:r>
        <w:r w:rsidR="005C6E35" w:rsidRPr="00D93502">
          <w:rPr>
            <w:b w:val="0"/>
            <w:bCs/>
            <w:noProof/>
            <w:webHidden/>
          </w:rPr>
          <w:fldChar w:fldCharType="end"/>
        </w:r>
      </w:hyperlink>
    </w:p>
    <w:p w14:paraId="2A453A1C" w14:textId="60C05B69" w:rsidR="005C6E35" w:rsidRPr="00D93502" w:rsidRDefault="00F71B18">
      <w:pPr>
        <w:pStyle w:val="TOC10"/>
        <w:rPr>
          <w:rFonts w:eastAsiaTheme="minorEastAsia" w:cstheme="minorBidi"/>
          <w:b w:val="0"/>
          <w:bCs/>
          <w:noProof/>
          <w:sz w:val="22"/>
          <w:szCs w:val="22"/>
          <w:lang w:val="en-US" w:eastAsia="zh-CN"/>
        </w:rPr>
      </w:pPr>
      <w:hyperlink w:anchor="_Toc86395533" w:history="1">
        <w:r w:rsidR="005C6E35" w:rsidRPr="00D93502">
          <w:rPr>
            <w:rStyle w:val="Hyperlink"/>
            <w:rFonts w:hint="eastAsia"/>
            <w:b w:val="0"/>
            <w:bCs/>
            <w:noProof/>
            <w:lang w:eastAsia="zh-CN"/>
          </w:rPr>
          <w:t>第</w:t>
        </w:r>
        <w:r w:rsidR="005C6E35" w:rsidRPr="00D93502">
          <w:rPr>
            <w:rStyle w:val="Hyperlink"/>
            <w:b w:val="0"/>
            <w:bCs/>
            <w:noProof/>
            <w:lang w:eastAsia="zh-CN"/>
          </w:rPr>
          <w:t>1108</w:t>
        </w:r>
        <w:r w:rsidR="005C6E35" w:rsidRPr="00D93502">
          <w:rPr>
            <w:rStyle w:val="Hyperlink"/>
            <w:rFonts w:hint="eastAsia"/>
            <w:b w:val="0"/>
            <w:bCs/>
            <w:noProof/>
            <w:lang w:eastAsia="zh-CN"/>
          </w:rPr>
          <w:t>号决议</w:t>
        </w:r>
      </w:hyperlink>
      <w:r w:rsidR="00D93502" w:rsidRPr="00D93502">
        <w:rPr>
          <w:rFonts w:eastAsiaTheme="minorEastAsia" w:cstheme="minorBidi"/>
          <w:b w:val="0"/>
          <w:bCs/>
          <w:noProof/>
          <w:sz w:val="22"/>
          <w:szCs w:val="22"/>
          <w:lang w:val="en-US" w:eastAsia="zh-CN"/>
        </w:rPr>
        <w:tab/>
      </w:r>
      <w:hyperlink w:anchor="_Toc86395534" w:history="1">
        <w:r w:rsidR="005C6E35" w:rsidRPr="00D93502">
          <w:rPr>
            <w:rStyle w:val="Hyperlink"/>
            <w:rFonts w:hint="eastAsia"/>
            <w:b w:val="0"/>
            <w:bCs/>
            <w:noProof/>
            <w:lang w:eastAsia="zh-CN"/>
          </w:rPr>
          <w:t>职位管理</w:t>
        </w:r>
        <w:r w:rsidR="005C6E35" w:rsidRPr="00D93502">
          <w:rPr>
            <w:b w:val="0"/>
            <w:bCs/>
            <w:noProof/>
            <w:webHidden/>
          </w:rPr>
          <w:tab/>
        </w:r>
        <w:r w:rsidR="00D93502" w:rsidRP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_Toc86395534 \h </w:instrText>
        </w:r>
        <w:r w:rsidR="005C6E35" w:rsidRPr="00D93502">
          <w:rPr>
            <w:b w:val="0"/>
            <w:bCs/>
            <w:noProof/>
            <w:webHidden/>
          </w:rPr>
        </w:r>
        <w:r w:rsidR="005C6E35" w:rsidRPr="00D93502">
          <w:rPr>
            <w:b w:val="0"/>
            <w:bCs/>
            <w:noProof/>
            <w:webHidden/>
          </w:rPr>
          <w:fldChar w:fldCharType="separate"/>
        </w:r>
        <w:r w:rsidR="00E305D2">
          <w:rPr>
            <w:b w:val="0"/>
            <w:bCs/>
            <w:noProof/>
            <w:webHidden/>
          </w:rPr>
          <w:t>89</w:t>
        </w:r>
        <w:r w:rsidR="005C6E35" w:rsidRPr="00D93502">
          <w:rPr>
            <w:b w:val="0"/>
            <w:bCs/>
            <w:noProof/>
            <w:webHidden/>
          </w:rPr>
          <w:fldChar w:fldCharType="end"/>
        </w:r>
      </w:hyperlink>
    </w:p>
    <w:p w14:paraId="08110356" w14:textId="13E31276" w:rsidR="005C6E35" w:rsidRPr="00D93502" w:rsidRDefault="00F71B18">
      <w:pPr>
        <w:pStyle w:val="TOC10"/>
        <w:rPr>
          <w:rFonts w:eastAsiaTheme="minorEastAsia" w:cstheme="minorBidi"/>
          <w:b w:val="0"/>
          <w:bCs/>
          <w:noProof/>
          <w:sz w:val="22"/>
          <w:szCs w:val="22"/>
          <w:lang w:val="en-US" w:eastAsia="zh-CN"/>
        </w:rPr>
      </w:pPr>
      <w:hyperlink w:anchor="_Toc86395535" w:history="1">
        <w:r w:rsidR="005C6E35" w:rsidRPr="00D93502">
          <w:rPr>
            <w:rStyle w:val="Hyperlink"/>
            <w:rFonts w:hint="eastAsia"/>
            <w:b w:val="0"/>
            <w:bCs/>
            <w:noProof/>
            <w:lang w:eastAsia="zh-CN"/>
          </w:rPr>
          <w:t>第</w:t>
        </w:r>
        <w:r w:rsidR="005C6E35" w:rsidRPr="00D93502">
          <w:rPr>
            <w:rStyle w:val="Hyperlink"/>
            <w:b w:val="0"/>
            <w:bCs/>
            <w:noProof/>
            <w:lang w:eastAsia="zh-CN"/>
          </w:rPr>
          <w:t>1187</w:t>
        </w:r>
        <w:r w:rsidR="005C6E35" w:rsidRPr="00D93502">
          <w:rPr>
            <w:rStyle w:val="Hyperlink"/>
            <w:rFonts w:hint="eastAsia"/>
            <w:b w:val="0"/>
            <w:bCs/>
            <w:noProof/>
            <w:lang w:eastAsia="zh-CN"/>
          </w:rPr>
          <w:t>号决议</w:t>
        </w:r>
      </w:hyperlink>
      <w:r w:rsidR="00D93502" w:rsidRPr="00D93502">
        <w:rPr>
          <w:rFonts w:eastAsiaTheme="minorEastAsia" w:cstheme="minorBidi"/>
          <w:b w:val="0"/>
          <w:bCs/>
          <w:noProof/>
          <w:sz w:val="22"/>
          <w:szCs w:val="22"/>
          <w:lang w:val="en-US" w:eastAsia="zh-CN"/>
        </w:rPr>
        <w:tab/>
      </w:r>
      <w:hyperlink w:anchor="_Toc86395536" w:history="1">
        <w:r w:rsidR="005C6E35" w:rsidRPr="00D93502">
          <w:rPr>
            <w:rStyle w:val="Hyperlink"/>
            <w:rFonts w:hint="eastAsia"/>
            <w:b w:val="0"/>
            <w:bCs/>
            <w:noProof/>
            <w:lang w:eastAsia="zh-CN"/>
          </w:rPr>
          <w:t>国际电联人力资源管理、政策与实践方面的性别问题</w:t>
        </w:r>
        <w:r w:rsidR="005C6E35" w:rsidRPr="00D93502">
          <w:rPr>
            <w:b w:val="0"/>
            <w:bCs/>
            <w:noProof/>
            <w:webHidden/>
          </w:rPr>
          <w:tab/>
        </w:r>
        <w:r w:rsidR="00D93502" w:rsidRP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_Toc86395536 \h </w:instrText>
        </w:r>
        <w:r w:rsidR="005C6E35" w:rsidRPr="00D93502">
          <w:rPr>
            <w:b w:val="0"/>
            <w:bCs/>
            <w:noProof/>
            <w:webHidden/>
          </w:rPr>
        </w:r>
        <w:r w:rsidR="005C6E35" w:rsidRPr="00D93502">
          <w:rPr>
            <w:b w:val="0"/>
            <w:bCs/>
            <w:noProof/>
            <w:webHidden/>
          </w:rPr>
          <w:fldChar w:fldCharType="separate"/>
        </w:r>
        <w:r w:rsidR="00E305D2">
          <w:rPr>
            <w:b w:val="0"/>
            <w:bCs/>
            <w:noProof/>
            <w:webHidden/>
          </w:rPr>
          <w:t>89</w:t>
        </w:r>
        <w:r w:rsidR="005C6E35" w:rsidRPr="00D93502">
          <w:rPr>
            <w:b w:val="0"/>
            <w:bCs/>
            <w:noProof/>
            <w:webHidden/>
          </w:rPr>
          <w:fldChar w:fldCharType="end"/>
        </w:r>
      </w:hyperlink>
    </w:p>
    <w:p w14:paraId="6394A322" w14:textId="27BB7836" w:rsidR="005C6E35" w:rsidRPr="00D93502" w:rsidRDefault="00F71B18">
      <w:pPr>
        <w:pStyle w:val="TOC10"/>
        <w:rPr>
          <w:rFonts w:eastAsiaTheme="minorEastAsia" w:cstheme="minorBidi"/>
          <w:b w:val="0"/>
          <w:bCs/>
          <w:noProof/>
          <w:sz w:val="22"/>
          <w:szCs w:val="22"/>
          <w:lang w:val="en-US" w:eastAsia="zh-CN"/>
        </w:rPr>
      </w:pPr>
      <w:hyperlink w:anchor="_Toc86395537" w:history="1">
        <w:r w:rsidR="005C6E35" w:rsidRPr="00D93502">
          <w:rPr>
            <w:rStyle w:val="Hyperlink"/>
            <w:rFonts w:hint="eastAsia"/>
            <w:b w:val="0"/>
            <w:bCs/>
            <w:noProof/>
            <w:lang w:eastAsia="zh-CN"/>
          </w:rPr>
          <w:t>第</w:t>
        </w:r>
        <w:r w:rsidR="005C6E35" w:rsidRPr="00D93502">
          <w:rPr>
            <w:rStyle w:val="Hyperlink"/>
            <w:b w:val="0"/>
            <w:bCs/>
            <w:noProof/>
            <w:lang w:eastAsia="zh-CN"/>
          </w:rPr>
          <w:t>1299</w:t>
        </w:r>
        <w:r w:rsidR="005C6E35" w:rsidRPr="00D93502">
          <w:rPr>
            <w:rStyle w:val="Hyperlink"/>
            <w:rFonts w:hint="eastAsia"/>
            <w:b w:val="0"/>
            <w:bCs/>
            <w:noProof/>
            <w:lang w:eastAsia="zh-CN"/>
          </w:rPr>
          <w:t>号决议</w:t>
        </w:r>
      </w:hyperlink>
      <w:r w:rsidR="00D93502" w:rsidRPr="00D93502">
        <w:rPr>
          <w:rFonts w:eastAsiaTheme="minorEastAsia" w:cstheme="minorBidi"/>
          <w:b w:val="0"/>
          <w:bCs/>
          <w:noProof/>
          <w:sz w:val="22"/>
          <w:szCs w:val="22"/>
          <w:lang w:val="en-US" w:eastAsia="zh-CN"/>
        </w:rPr>
        <w:tab/>
      </w:r>
      <w:hyperlink w:anchor="_Toc86395538" w:history="1">
        <w:r w:rsidR="005C6E35" w:rsidRPr="00D93502">
          <w:rPr>
            <w:rStyle w:val="Hyperlink"/>
            <w:rFonts w:hint="eastAsia"/>
            <w:b w:val="0"/>
            <w:bCs/>
            <w:noProof/>
            <w:lang w:eastAsia="zh-CN"/>
          </w:rPr>
          <w:t>国际电联人力资源战略规划</w:t>
        </w:r>
        <w:r w:rsidR="005C6E35" w:rsidRPr="00D93502">
          <w:rPr>
            <w:b w:val="0"/>
            <w:bCs/>
            <w:noProof/>
            <w:webHidden/>
          </w:rPr>
          <w:tab/>
        </w:r>
        <w:r w:rsidR="00D93502" w:rsidRP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_Toc86395538 \h </w:instrText>
        </w:r>
        <w:r w:rsidR="005C6E35" w:rsidRPr="00D93502">
          <w:rPr>
            <w:b w:val="0"/>
            <w:bCs/>
            <w:noProof/>
            <w:webHidden/>
          </w:rPr>
        </w:r>
        <w:r w:rsidR="005C6E35" w:rsidRPr="00D93502">
          <w:rPr>
            <w:b w:val="0"/>
            <w:bCs/>
            <w:noProof/>
            <w:webHidden/>
          </w:rPr>
          <w:fldChar w:fldCharType="separate"/>
        </w:r>
        <w:r w:rsidR="00E305D2">
          <w:rPr>
            <w:b w:val="0"/>
            <w:bCs/>
            <w:noProof/>
            <w:webHidden/>
          </w:rPr>
          <w:t>91</w:t>
        </w:r>
        <w:r w:rsidR="005C6E35" w:rsidRPr="00D93502">
          <w:rPr>
            <w:b w:val="0"/>
            <w:bCs/>
            <w:noProof/>
            <w:webHidden/>
          </w:rPr>
          <w:fldChar w:fldCharType="end"/>
        </w:r>
      </w:hyperlink>
    </w:p>
    <w:p w14:paraId="23FD498F" w14:textId="2C46C1D6" w:rsidR="005C6E35" w:rsidRPr="00D93502" w:rsidRDefault="00F71B18">
      <w:pPr>
        <w:pStyle w:val="TOC10"/>
        <w:rPr>
          <w:rFonts w:eastAsiaTheme="minorEastAsia" w:cstheme="minorBidi"/>
          <w:b w:val="0"/>
          <w:bCs/>
          <w:noProof/>
          <w:sz w:val="22"/>
          <w:szCs w:val="22"/>
          <w:lang w:val="en-US" w:eastAsia="zh-CN"/>
        </w:rPr>
      </w:pPr>
      <w:hyperlink w:anchor="_Toc86395539" w:history="1">
        <w:r w:rsidR="005C6E35" w:rsidRPr="00D93502">
          <w:rPr>
            <w:rStyle w:val="Hyperlink"/>
            <w:rFonts w:hint="eastAsia"/>
            <w:b w:val="0"/>
            <w:bCs/>
            <w:noProof/>
          </w:rPr>
          <w:t>第</w:t>
        </w:r>
        <w:r w:rsidR="005C6E35" w:rsidRPr="00D93502">
          <w:rPr>
            <w:rStyle w:val="Hyperlink"/>
            <w:b w:val="0"/>
            <w:bCs/>
            <w:noProof/>
          </w:rPr>
          <w:t>2</w:t>
        </w:r>
        <w:r w:rsidR="005C6E35" w:rsidRPr="00D93502">
          <w:rPr>
            <w:rStyle w:val="Hyperlink"/>
            <w:rFonts w:hint="eastAsia"/>
            <w:b w:val="0"/>
            <w:bCs/>
            <w:noProof/>
          </w:rPr>
          <w:t>号决定</w:t>
        </w:r>
      </w:hyperlink>
      <w:r w:rsidR="00D93502" w:rsidRPr="00D93502">
        <w:rPr>
          <w:rFonts w:eastAsiaTheme="minorEastAsia" w:cstheme="minorBidi"/>
          <w:b w:val="0"/>
          <w:bCs/>
          <w:noProof/>
          <w:sz w:val="22"/>
          <w:szCs w:val="22"/>
          <w:lang w:val="en-US" w:eastAsia="zh-CN"/>
        </w:rPr>
        <w:tab/>
      </w:r>
      <w:hyperlink w:anchor="_Toc86395540" w:history="1">
        <w:r w:rsidR="005C6E35" w:rsidRPr="00D93502">
          <w:rPr>
            <w:rStyle w:val="Hyperlink"/>
            <w:rFonts w:hint="eastAsia"/>
            <w:b w:val="0"/>
            <w:bCs/>
            <w:noProof/>
          </w:rPr>
          <w:t>长期和临时职位及任职人员名单</w:t>
        </w:r>
        <w:r w:rsidR="005C6E35" w:rsidRPr="00D93502">
          <w:rPr>
            <w:b w:val="0"/>
            <w:bCs/>
            <w:noProof/>
            <w:webHidden/>
          </w:rPr>
          <w:tab/>
        </w:r>
        <w:r w:rsidR="00D93502" w:rsidRP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_Toc86395540 \h </w:instrText>
        </w:r>
        <w:r w:rsidR="005C6E35" w:rsidRPr="00D93502">
          <w:rPr>
            <w:b w:val="0"/>
            <w:bCs/>
            <w:noProof/>
            <w:webHidden/>
          </w:rPr>
        </w:r>
        <w:r w:rsidR="005C6E35" w:rsidRPr="00D93502">
          <w:rPr>
            <w:b w:val="0"/>
            <w:bCs/>
            <w:noProof/>
            <w:webHidden/>
          </w:rPr>
          <w:fldChar w:fldCharType="separate"/>
        </w:r>
        <w:r w:rsidR="00E305D2">
          <w:rPr>
            <w:b w:val="0"/>
            <w:bCs/>
            <w:noProof/>
            <w:webHidden/>
          </w:rPr>
          <w:t>92</w:t>
        </w:r>
        <w:r w:rsidR="005C6E35" w:rsidRPr="00D93502">
          <w:rPr>
            <w:b w:val="0"/>
            <w:bCs/>
            <w:noProof/>
            <w:webHidden/>
          </w:rPr>
          <w:fldChar w:fldCharType="end"/>
        </w:r>
      </w:hyperlink>
    </w:p>
    <w:p w14:paraId="44623943" w14:textId="23195C8C" w:rsidR="005C6E35" w:rsidRPr="00D93502" w:rsidRDefault="00F71B18">
      <w:pPr>
        <w:pStyle w:val="TOC10"/>
        <w:rPr>
          <w:rFonts w:eastAsiaTheme="minorEastAsia" w:cstheme="minorBidi"/>
          <w:b w:val="0"/>
          <w:bCs/>
          <w:noProof/>
          <w:sz w:val="22"/>
          <w:szCs w:val="22"/>
          <w:lang w:val="en-US" w:eastAsia="zh-CN"/>
        </w:rPr>
      </w:pPr>
      <w:hyperlink w:anchor="_Toc86395541" w:history="1">
        <w:r w:rsidR="005C6E35" w:rsidRPr="00D93502">
          <w:rPr>
            <w:rStyle w:val="Hyperlink"/>
            <w:rFonts w:hint="eastAsia"/>
            <w:b w:val="0"/>
            <w:bCs/>
            <w:noProof/>
          </w:rPr>
          <w:t>第</w:t>
        </w:r>
        <w:r w:rsidR="005C6E35" w:rsidRPr="00D93502">
          <w:rPr>
            <w:rStyle w:val="Hyperlink"/>
            <w:b w:val="0"/>
            <w:bCs/>
            <w:noProof/>
          </w:rPr>
          <w:t>517</w:t>
        </w:r>
        <w:r w:rsidR="005C6E35" w:rsidRPr="00D93502">
          <w:rPr>
            <w:rStyle w:val="Hyperlink"/>
            <w:rFonts w:hint="eastAsia"/>
            <w:b w:val="0"/>
            <w:bCs/>
            <w:noProof/>
          </w:rPr>
          <w:t>号决定</w:t>
        </w:r>
      </w:hyperlink>
      <w:r w:rsidR="00D93502" w:rsidRPr="00D93502">
        <w:rPr>
          <w:rFonts w:eastAsiaTheme="minorEastAsia" w:cstheme="minorBidi"/>
          <w:b w:val="0"/>
          <w:bCs/>
          <w:noProof/>
          <w:sz w:val="22"/>
          <w:szCs w:val="22"/>
          <w:lang w:val="en-US" w:eastAsia="zh-CN"/>
        </w:rPr>
        <w:tab/>
      </w:r>
      <w:hyperlink w:anchor="_Toc86395542" w:history="1">
        <w:r w:rsidR="005C6E35" w:rsidRPr="00D93502">
          <w:rPr>
            <w:rStyle w:val="Hyperlink"/>
            <w:rFonts w:hint="eastAsia"/>
            <w:b w:val="0"/>
            <w:bCs/>
            <w:noProof/>
          </w:rPr>
          <w:t>加强国际电联管理层与国际电联职工委员会之间的对话</w:t>
        </w:r>
        <w:r w:rsidR="005C6E35" w:rsidRPr="00D93502">
          <w:rPr>
            <w:b w:val="0"/>
            <w:bCs/>
            <w:noProof/>
            <w:webHidden/>
          </w:rPr>
          <w:tab/>
        </w:r>
        <w:r w:rsidR="00D93502" w:rsidRP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_Toc86395542 \h </w:instrText>
        </w:r>
        <w:r w:rsidR="005C6E35" w:rsidRPr="00D93502">
          <w:rPr>
            <w:b w:val="0"/>
            <w:bCs/>
            <w:noProof/>
            <w:webHidden/>
          </w:rPr>
        </w:r>
        <w:r w:rsidR="005C6E35" w:rsidRPr="00D93502">
          <w:rPr>
            <w:b w:val="0"/>
            <w:bCs/>
            <w:noProof/>
            <w:webHidden/>
          </w:rPr>
          <w:fldChar w:fldCharType="separate"/>
        </w:r>
        <w:r w:rsidR="00E305D2">
          <w:rPr>
            <w:b w:val="0"/>
            <w:bCs/>
            <w:noProof/>
            <w:webHidden/>
          </w:rPr>
          <w:t>93</w:t>
        </w:r>
        <w:r w:rsidR="005C6E35" w:rsidRPr="00D93502">
          <w:rPr>
            <w:b w:val="0"/>
            <w:bCs/>
            <w:noProof/>
            <w:webHidden/>
          </w:rPr>
          <w:fldChar w:fldCharType="end"/>
        </w:r>
      </w:hyperlink>
    </w:p>
    <w:p w14:paraId="154501D1" w14:textId="63581765" w:rsidR="005C6E35" w:rsidRPr="00D93502" w:rsidRDefault="00F71B18">
      <w:pPr>
        <w:pStyle w:val="TOC10"/>
        <w:rPr>
          <w:rFonts w:eastAsiaTheme="minorEastAsia" w:cstheme="minorBidi"/>
          <w:b w:val="0"/>
          <w:bCs/>
          <w:noProof/>
          <w:sz w:val="22"/>
          <w:szCs w:val="22"/>
          <w:lang w:val="en-US" w:eastAsia="zh-CN"/>
        </w:rPr>
      </w:pPr>
      <w:hyperlink w:anchor="_Toc86395543" w:history="1">
        <w:r w:rsidR="005C6E35" w:rsidRPr="00D93502">
          <w:rPr>
            <w:rStyle w:val="Hyperlink"/>
            <w:rFonts w:hint="eastAsia"/>
            <w:b w:val="0"/>
            <w:bCs/>
            <w:noProof/>
          </w:rPr>
          <w:t>第</w:t>
        </w:r>
        <w:r w:rsidR="005C6E35" w:rsidRPr="00D93502">
          <w:rPr>
            <w:rStyle w:val="Hyperlink"/>
            <w:b w:val="0"/>
            <w:bCs/>
            <w:noProof/>
          </w:rPr>
          <w:t>582</w:t>
        </w:r>
        <w:r w:rsidR="005C6E35" w:rsidRPr="00D93502">
          <w:rPr>
            <w:rStyle w:val="Hyperlink"/>
            <w:rFonts w:hint="eastAsia"/>
            <w:b w:val="0"/>
            <w:bCs/>
            <w:noProof/>
          </w:rPr>
          <w:t>号决定</w:t>
        </w:r>
      </w:hyperlink>
      <w:r w:rsidR="00D93502" w:rsidRPr="00D93502">
        <w:rPr>
          <w:rFonts w:eastAsiaTheme="minorEastAsia" w:cstheme="minorBidi"/>
          <w:b w:val="0"/>
          <w:bCs/>
          <w:noProof/>
          <w:sz w:val="22"/>
          <w:szCs w:val="22"/>
          <w:lang w:val="en-US" w:eastAsia="zh-CN"/>
        </w:rPr>
        <w:tab/>
      </w:r>
      <w:hyperlink w:anchor="_Toc86395544" w:history="1">
        <w:r w:rsidR="005C6E35" w:rsidRPr="00D93502">
          <w:rPr>
            <w:rStyle w:val="Hyperlink"/>
            <w:rFonts w:hint="eastAsia"/>
            <w:b w:val="0"/>
            <w:bCs/>
            <w:noProof/>
          </w:rPr>
          <w:t>自愿离职和提前退休计划</w:t>
        </w:r>
        <w:r w:rsidR="005C6E35" w:rsidRPr="00D93502">
          <w:rPr>
            <w:b w:val="0"/>
            <w:bCs/>
            <w:noProof/>
            <w:webHidden/>
          </w:rPr>
          <w:tab/>
        </w:r>
        <w:r w:rsidR="00D93502" w:rsidRP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_Toc86395544 \h </w:instrText>
        </w:r>
        <w:r w:rsidR="005C6E35" w:rsidRPr="00D93502">
          <w:rPr>
            <w:b w:val="0"/>
            <w:bCs/>
            <w:noProof/>
            <w:webHidden/>
          </w:rPr>
        </w:r>
        <w:r w:rsidR="005C6E35" w:rsidRPr="00D93502">
          <w:rPr>
            <w:b w:val="0"/>
            <w:bCs/>
            <w:noProof/>
            <w:webHidden/>
          </w:rPr>
          <w:fldChar w:fldCharType="separate"/>
        </w:r>
        <w:r w:rsidR="00E305D2">
          <w:rPr>
            <w:b w:val="0"/>
            <w:bCs/>
            <w:noProof/>
            <w:webHidden/>
          </w:rPr>
          <w:t>94</w:t>
        </w:r>
        <w:r w:rsidR="005C6E35" w:rsidRPr="00D93502">
          <w:rPr>
            <w:b w:val="0"/>
            <w:bCs/>
            <w:noProof/>
            <w:webHidden/>
          </w:rPr>
          <w:fldChar w:fldCharType="end"/>
        </w:r>
      </w:hyperlink>
    </w:p>
    <w:p w14:paraId="66FC5880" w14:textId="4E68879C" w:rsidR="005C6E35" w:rsidRPr="00D93502" w:rsidRDefault="00F71B18">
      <w:pPr>
        <w:pStyle w:val="TOC10"/>
        <w:rPr>
          <w:rFonts w:eastAsiaTheme="minorEastAsia" w:cstheme="minorBidi"/>
          <w:b w:val="0"/>
          <w:bCs/>
          <w:noProof/>
          <w:sz w:val="22"/>
          <w:szCs w:val="22"/>
          <w:lang w:val="en-US" w:eastAsia="zh-CN"/>
        </w:rPr>
      </w:pPr>
      <w:hyperlink w:anchor="_Toc86395545" w:history="1">
        <w:r w:rsidR="005C6E35" w:rsidRPr="00D93502">
          <w:rPr>
            <w:rStyle w:val="Hyperlink"/>
            <w:rFonts w:hint="eastAsia"/>
            <w:b w:val="0"/>
            <w:bCs/>
            <w:noProof/>
            <w:lang w:val="en-US" w:eastAsia="zh-CN"/>
          </w:rPr>
          <w:t>第</w:t>
        </w:r>
        <w:r w:rsidR="005C6E35" w:rsidRPr="00D93502">
          <w:rPr>
            <w:rStyle w:val="Hyperlink"/>
            <w:b w:val="0"/>
            <w:bCs/>
            <w:noProof/>
            <w:lang w:val="en-US" w:eastAsia="zh-CN"/>
          </w:rPr>
          <w:t>605</w:t>
        </w:r>
        <w:r w:rsidR="005C6E35" w:rsidRPr="00D93502">
          <w:rPr>
            <w:rStyle w:val="Hyperlink"/>
            <w:rFonts w:hint="eastAsia"/>
            <w:b w:val="0"/>
            <w:bCs/>
            <w:noProof/>
            <w:lang w:val="en-US" w:eastAsia="zh-CN"/>
          </w:rPr>
          <w:t>号决定</w:t>
        </w:r>
      </w:hyperlink>
      <w:r w:rsidR="00D93502" w:rsidRPr="00D93502">
        <w:rPr>
          <w:rFonts w:eastAsiaTheme="minorEastAsia" w:cstheme="minorBidi"/>
          <w:b w:val="0"/>
          <w:bCs/>
          <w:noProof/>
          <w:sz w:val="22"/>
          <w:szCs w:val="22"/>
          <w:lang w:val="en-US" w:eastAsia="zh-CN"/>
        </w:rPr>
        <w:tab/>
      </w:r>
      <w:hyperlink w:anchor="_Toc86395546" w:history="1">
        <w:r w:rsidR="005C6E35" w:rsidRPr="00D93502">
          <w:rPr>
            <w:rStyle w:val="Hyperlink"/>
            <w:rFonts w:hint="eastAsia"/>
            <w:b w:val="0"/>
            <w:bCs/>
            <w:noProof/>
            <w:lang w:val="en-US" w:eastAsia="zh-CN"/>
          </w:rPr>
          <w:t>设立国际电联独联体区域的区域代表处主任的</w:t>
        </w:r>
        <w:r w:rsidR="005C6E35" w:rsidRPr="00D93502">
          <w:rPr>
            <w:rStyle w:val="Hyperlink"/>
            <w:b w:val="0"/>
            <w:bCs/>
            <w:noProof/>
            <w:lang w:val="en-US" w:eastAsia="zh-CN"/>
          </w:rPr>
          <w:t>D1</w:t>
        </w:r>
        <w:r w:rsidR="005C6E35" w:rsidRPr="00D93502">
          <w:rPr>
            <w:rStyle w:val="Hyperlink"/>
            <w:rFonts w:hint="eastAsia"/>
            <w:b w:val="0"/>
            <w:bCs/>
            <w:noProof/>
            <w:lang w:val="en-US" w:eastAsia="zh-CN"/>
          </w:rPr>
          <w:t>级职位</w:t>
        </w:r>
        <w:r w:rsidR="005C6E35" w:rsidRPr="00D93502">
          <w:rPr>
            <w:b w:val="0"/>
            <w:bCs/>
            <w:noProof/>
            <w:webHidden/>
          </w:rPr>
          <w:tab/>
        </w:r>
        <w:r w:rsidR="00D93502" w:rsidRP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_Toc86395546 \h </w:instrText>
        </w:r>
        <w:r w:rsidR="005C6E35" w:rsidRPr="00D93502">
          <w:rPr>
            <w:b w:val="0"/>
            <w:bCs/>
            <w:noProof/>
            <w:webHidden/>
          </w:rPr>
        </w:r>
        <w:r w:rsidR="005C6E35" w:rsidRPr="00D93502">
          <w:rPr>
            <w:b w:val="0"/>
            <w:bCs/>
            <w:noProof/>
            <w:webHidden/>
          </w:rPr>
          <w:fldChar w:fldCharType="separate"/>
        </w:r>
        <w:r w:rsidR="00E305D2">
          <w:rPr>
            <w:b w:val="0"/>
            <w:bCs/>
            <w:noProof/>
            <w:webHidden/>
          </w:rPr>
          <w:t>94</w:t>
        </w:r>
        <w:r w:rsidR="005C6E35" w:rsidRPr="00D93502">
          <w:rPr>
            <w:b w:val="0"/>
            <w:bCs/>
            <w:noProof/>
            <w:webHidden/>
          </w:rPr>
          <w:fldChar w:fldCharType="end"/>
        </w:r>
      </w:hyperlink>
    </w:p>
    <w:p w14:paraId="0922D317" w14:textId="331D9F9A" w:rsidR="00D93502" w:rsidRPr="00D93502" w:rsidRDefault="00D93502" w:rsidP="00D93502">
      <w:pPr>
        <w:pStyle w:val="TOC10"/>
        <w:keepLines w:val="0"/>
        <w:tabs>
          <w:tab w:val="clear" w:pos="1701"/>
          <w:tab w:val="left" w:pos="964"/>
          <w:tab w:val="left" w:leader="dot" w:pos="8789"/>
        </w:tabs>
        <w:spacing w:before="240"/>
        <w:ind w:left="964" w:hanging="964"/>
        <w:rPr>
          <w:rFonts w:eastAsia="Times New Roman"/>
          <w:noProof/>
          <w:sz w:val="22"/>
        </w:rPr>
      </w:pPr>
      <w:r w:rsidRPr="00D93502">
        <w:rPr>
          <w:rStyle w:val="Hyperlink"/>
          <w:b w:val="0"/>
          <w:bCs/>
          <w:noProof/>
        </w:rPr>
        <w:br w:type="page"/>
      </w:r>
    </w:p>
    <w:p w14:paraId="1280B7FB" w14:textId="3988FAE8" w:rsidR="00D93502" w:rsidRPr="00D93502" w:rsidRDefault="00D93502" w:rsidP="00D93502">
      <w:pPr>
        <w:pStyle w:val="toc0"/>
        <w:keepNext/>
        <w:keepLines/>
        <w:tabs>
          <w:tab w:val="clear" w:pos="8789"/>
          <w:tab w:val="left" w:pos="1191"/>
          <w:tab w:val="left" w:pos="1588"/>
          <w:tab w:val="left" w:pos="1985"/>
        </w:tabs>
        <w:ind w:right="-1"/>
        <w:jc w:val="right"/>
        <w:rPr>
          <w:rStyle w:val="Hyperlink"/>
          <w:b w:val="0"/>
          <w:bCs/>
          <w:noProof/>
          <w:color w:val="auto"/>
        </w:rPr>
      </w:pPr>
      <w:r w:rsidRPr="00D93502">
        <w:rPr>
          <w:rFonts w:ascii="STKaiti" w:eastAsia="STKaiti" w:hAnsi="STKaiti" w:cs="Microsoft YaHei"/>
          <w:b w:val="0"/>
          <w:bCs/>
          <w:noProof/>
          <w:sz w:val="22"/>
        </w:rPr>
        <w:lastRenderedPageBreak/>
        <w:t>页码</w:t>
      </w:r>
    </w:p>
    <w:p w14:paraId="79DC208E" w14:textId="502EDB65" w:rsidR="005C6E35" w:rsidRPr="00D93502" w:rsidRDefault="00F71B18">
      <w:pPr>
        <w:pStyle w:val="TOC10"/>
        <w:rPr>
          <w:rFonts w:eastAsiaTheme="minorEastAsia" w:cstheme="minorBidi"/>
          <w:noProof/>
          <w:sz w:val="22"/>
          <w:szCs w:val="22"/>
          <w:lang w:val="en-US" w:eastAsia="zh-CN"/>
        </w:rPr>
      </w:pPr>
      <w:hyperlink w:anchor="_Toc86395547" w:history="1">
        <w:r w:rsidR="005C6E35" w:rsidRPr="00D93502">
          <w:rPr>
            <w:rStyle w:val="Hyperlink"/>
            <w:noProof/>
            <w:lang w:eastAsia="zh-CN"/>
          </w:rPr>
          <w:t>2.3</w:t>
        </w:r>
        <w:r w:rsidR="005C6E35" w:rsidRPr="00D93502">
          <w:rPr>
            <w:rFonts w:eastAsiaTheme="minorEastAsia" w:cstheme="minorBidi"/>
            <w:noProof/>
            <w:sz w:val="22"/>
            <w:szCs w:val="22"/>
            <w:lang w:val="en-US" w:eastAsia="zh-CN"/>
          </w:rPr>
          <w:tab/>
        </w:r>
        <w:r w:rsidR="005C6E35" w:rsidRPr="00D93502">
          <w:rPr>
            <w:rStyle w:val="Hyperlink"/>
            <w:rFonts w:ascii="SimSun" w:hAnsi="SimSun" w:cs="SimSun" w:hint="eastAsia"/>
            <w:noProof/>
            <w:lang w:eastAsia="zh-CN"/>
          </w:rPr>
          <w:t>养恤金</w:t>
        </w:r>
        <w:r w:rsidR="005C6E35" w:rsidRPr="00D93502">
          <w:rPr>
            <w:noProof/>
            <w:webHidden/>
          </w:rPr>
          <w:tab/>
        </w:r>
        <w:r w:rsidR="00D93502">
          <w:rPr>
            <w:noProof/>
            <w:webHidden/>
          </w:rPr>
          <w:tab/>
        </w:r>
        <w:r w:rsidR="005C6E35" w:rsidRPr="00D93502">
          <w:rPr>
            <w:noProof/>
            <w:webHidden/>
          </w:rPr>
          <w:fldChar w:fldCharType="begin"/>
        </w:r>
        <w:r w:rsidR="005C6E35" w:rsidRPr="00D93502">
          <w:rPr>
            <w:noProof/>
            <w:webHidden/>
          </w:rPr>
          <w:instrText xml:space="preserve"> PAGEREF _Toc86395547 \h </w:instrText>
        </w:r>
        <w:r w:rsidR="005C6E35" w:rsidRPr="00D93502">
          <w:rPr>
            <w:noProof/>
            <w:webHidden/>
          </w:rPr>
        </w:r>
        <w:r w:rsidR="005C6E35" w:rsidRPr="00D93502">
          <w:rPr>
            <w:noProof/>
            <w:webHidden/>
          </w:rPr>
          <w:fldChar w:fldCharType="separate"/>
        </w:r>
        <w:r w:rsidR="00E305D2">
          <w:rPr>
            <w:noProof/>
            <w:webHidden/>
          </w:rPr>
          <w:t>95</w:t>
        </w:r>
        <w:r w:rsidR="005C6E35" w:rsidRPr="00D93502">
          <w:rPr>
            <w:noProof/>
            <w:webHidden/>
          </w:rPr>
          <w:fldChar w:fldCharType="end"/>
        </w:r>
      </w:hyperlink>
    </w:p>
    <w:p w14:paraId="1DFFE92C" w14:textId="0D6BEF3D" w:rsidR="005C6E35" w:rsidRPr="00D93502" w:rsidRDefault="00F71B18">
      <w:pPr>
        <w:pStyle w:val="TOC10"/>
        <w:rPr>
          <w:rFonts w:eastAsiaTheme="minorEastAsia" w:cstheme="minorBidi"/>
          <w:b w:val="0"/>
          <w:bCs/>
          <w:noProof/>
          <w:sz w:val="22"/>
          <w:szCs w:val="22"/>
          <w:lang w:val="en-US" w:eastAsia="zh-CN"/>
        </w:rPr>
      </w:pPr>
      <w:hyperlink w:anchor="_Toc86395548" w:history="1">
        <w:r w:rsidR="005C6E35" w:rsidRPr="00D93502">
          <w:rPr>
            <w:rStyle w:val="Hyperlink"/>
            <w:rFonts w:hint="eastAsia"/>
            <w:b w:val="0"/>
            <w:bCs/>
            <w:noProof/>
            <w:lang w:eastAsia="zh-CN"/>
          </w:rPr>
          <w:t>第</w:t>
        </w:r>
        <w:r w:rsidR="005C6E35" w:rsidRPr="00D93502">
          <w:rPr>
            <w:rStyle w:val="Hyperlink"/>
            <w:b w:val="0"/>
            <w:bCs/>
            <w:noProof/>
            <w:lang w:eastAsia="zh-CN"/>
          </w:rPr>
          <w:t>440</w:t>
        </w:r>
        <w:r w:rsidR="005C6E35" w:rsidRPr="00D93502">
          <w:rPr>
            <w:rStyle w:val="Hyperlink"/>
            <w:rFonts w:hint="eastAsia"/>
            <w:b w:val="0"/>
            <w:bCs/>
            <w:noProof/>
            <w:lang w:eastAsia="zh-CN"/>
          </w:rPr>
          <w:t>号决议</w:t>
        </w:r>
      </w:hyperlink>
      <w:r w:rsidR="00D93502">
        <w:rPr>
          <w:rFonts w:eastAsiaTheme="minorEastAsia" w:cstheme="minorBidi"/>
          <w:b w:val="0"/>
          <w:bCs/>
          <w:noProof/>
          <w:sz w:val="22"/>
          <w:szCs w:val="22"/>
          <w:lang w:val="en-US" w:eastAsia="zh-CN"/>
        </w:rPr>
        <w:tab/>
      </w:r>
      <w:hyperlink w:anchor="_Toc86395549" w:history="1">
        <w:r w:rsidR="005C6E35" w:rsidRPr="00D93502">
          <w:rPr>
            <w:rStyle w:val="Hyperlink"/>
            <w:rFonts w:hint="eastAsia"/>
            <w:b w:val="0"/>
            <w:bCs/>
            <w:noProof/>
            <w:lang w:eastAsia="zh-CN"/>
          </w:rPr>
          <w:t>国际电联职员退休和福利基金资金的投资</w:t>
        </w:r>
        <w:r w:rsidR="005C6E35" w:rsidRPr="00D93502">
          <w:rPr>
            <w:b w:val="0"/>
            <w:bCs/>
            <w:noProof/>
            <w:webHidden/>
          </w:rPr>
          <w:tab/>
        </w:r>
        <w:r w:rsid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_Toc86395549 \h </w:instrText>
        </w:r>
        <w:r w:rsidR="005C6E35" w:rsidRPr="00D93502">
          <w:rPr>
            <w:b w:val="0"/>
            <w:bCs/>
            <w:noProof/>
            <w:webHidden/>
          </w:rPr>
        </w:r>
        <w:r w:rsidR="005C6E35" w:rsidRPr="00D93502">
          <w:rPr>
            <w:b w:val="0"/>
            <w:bCs/>
            <w:noProof/>
            <w:webHidden/>
          </w:rPr>
          <w:fldChar w:fldCharType="separate"/>
        </w:r>
        <w:r w:rsidR="00E305D2">
          <w:rPr>
            <w:b w:val="0"/>
            <w:bCs/>
            <w:noProof/>
            <w:webHidden/>
          </w:rPr>
          <w:t>95</w:t>
        </w:r>
        <w:r w:rsidR="005C6E35" w:rsidRPr="00D93502">
          <w:rPr>
            <w:b w:val="0"/>
            <w:bCs/>
            <w:noProof/>
            <w:webHidden/>
          </w:rPr>
          <w:fldChar w:fldCharType="end"/>
        </w:r>
      </w:hyperlink>
    </w:p>
    <w:p w14:paraId="219D5765" w14:textId="380819B8" w:rsidR="005C6E35" w:rsidRPr="00D93502" w:rsidRDefault="00F71B18">
      <w:pPr>
        <w:pStyle w:val="TOC10"/>
        <w:rPr>
          <w:rFonts w:eastAsiaTheme="minorEastAsia" w:cstheme="minorBidi"/>
          <w:b w:val="0"/>
          <w:bCs/>
          <w:noProof/>
          <w:sz w:val="22"/>
          <w:szCs w:val="22"/>
          <w:lang w:val="en-US" w:eastAsia="zh-CN"/>
        </w:rPr>
      </w:pPr>
      <w:hyperlink w:anchor="_Toc86395550" w:history="1">
        <w:r w:rsidR="005C6E35" w:rsidRPr="00D93502">
          <w:rPr>
            <w:rStyle w:val="Hyperlink"/>
            <w:rFonts w:hint="eastAsia"/>
            <w:b w:val="0"/>
            <w:bCs/>
            <w:noProof/>
            <w:lang w:eastAsia="zh-CN"/>
          </w:rPr>
          <w:t>第</w:t>
        </w:r>
        <w:r w:rsidR="005C6E35" w:rsidRPr="00D93502">
          <w:rPr>
            <w:rStyle w:val="Hyperlink"/>
            <w:b w:val="0"/>
            <w:bCs/>
            <w:noProof/>
            <w:lang w:eastAsia="zh-CN"/>
          </w:rPr>
          <w:t>463</w:t>
        </w:r>
        <w:r w:rsidR="005C6E35" w:rsidRPr="00D93502">
          <w:rPr>
            <w:rStyle w:val="Hyperlink"/>
            <w:rFonts w:hint="eastAsia"/>
            <w:b w:val="0"/>
            <w:bCs/>
            <w:noProof/>
            <w:lang w:eastAsia="zh-CN"/>
          </w:rPr>
          <w:t>号决议</w:t>
        </w:r>
      </w:hyperlink>
      <w:r w:rsidR="00D93502">
        <w:rPr>
          <w:rFonts w:eastAsiaTheme="minorEastAsia" w:cstheme="minorBidi"/>
          <w:b w:val="0"/>
          <w:bCs/>
          <w:noProof/>
          <w:sz w:val="22"/>
          <w:szCs w:val="22"/>
          <w:lang w:val="en-US" w:eastAsia="zh-CN"/>
        </w:rPr>
        <w:tab/>
      </w:r>
      <w:hyperlink w:anchor="_Toc86395551" w:history="1">
        <w:r w:rsidR="005C6E35" w:rsidRPr="00D93502">
          <w:rPr>
            <w:rStyle w:val="Hyperlink"/>
            <w:rFonts w:hint="eastAsia"/>
            <w:b w:val="0"/>
            <w:bCs/>
            <w:noProof/>
            <w:lang w:eastAsia="zh-CN"/>
          </w:rPr>
          <w:t>国际电联职员退休和福利基金的精算基础</w:t>
        </w:r>
        <w:r w:rsidR="005C6E35" w:rsidRPr="00D93502">
          <w:rPr>
            <w:b w:val="0"/>
            <w:bCs/>
            <w:noProof/>
            <w:webHidden/>
          </w:rPr>
          <w:tab/>
        </w:r>
        <w:r w:rsid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_Toc86395551 \h </w:instrText>
        </w:r>
        <w:r w:rsidR="005C6E35" w:rsidRPr="00D93502">
          <w:rPr>
            <w:b w:val="0"/>
            <w:bCs/>
            <w:noProof/>
            <w:webHidden/>
          </w:rPr>
        </w:r>
        <w:r w:rsidR="005C6E35" w:rsidRPr="00D93502">
          <w:rPr>
            <w:b w:val="0"/>
            <w:bCs/>
            <w:noProof/>
            <w:webHidden/>
          </w:rPr>
          <w:fldChar w:fldCharType="separate"/>
        </w:r>
        <w:r w:rsidR="00E305D2">
          <w:rPr>
            <w:b w:val="0"/>
            <w:bCs/>
            <w:noProof/>
            <w:webHidden/>
          </w:rPr>
          <w:t>95</w:t>
        </w:r>
        <w:r w:rsidR="005C6E35" w:rsidRPr="00D93502">
          <w:rPr>
            <w:b w:val="0"/>
            <w:bCs/>
            <w:noProof/>
            <w:webHidden/>
          </w:rPr>
          <w:fldChar w:fldCharType="end"/>
        </w:r>
      </w:hyperlink>
    </w:p>
    <w:p w14:paraId="10A66308" w14:textId="1675CD52" w:rsidR="005C6E35" w:rsidRPr="00D93502" w:rsidRDefault="00F71B18">
      <w:pPr>
        <w:pStyle w:val="TOC10"/>
        <w:rPr>
          <w:rFonts w:eastAsiaTheme="minorEastAsia" w:cstheme="minorBidi"/>
          <w:b w:val="0"/>
          <w:bCs/>
          <w:noProof/>
          <w:sz w:val="22"/>
          <w:szCs w:val="22"/>
          <w:lang w:val="en-US" w:eastAsia="zh-CN"/>
        </w:rPr>
      </w:pPr>
      <w:hyperlink w:anchor="_Toc86395552" w:history="1">
        <w:r w:rsidR="005C6E35" w:rsidRPr="00D93502">
          <w:rPr>
            <w:rStyle w:val="Hyperlink"/>
            <w:rFonts w:hint="eastAsia"/>
            <w:b w:val="0"/>
            <w:bCs/>
            <w:noProof/>
            <w:lang w:eastAsia="zh-CN"/>
          </w:rPr>
          <w:t>第</w:t>
        </w:r>
        <w:r w:rsidR="005C6E35" w:rsidRPr="00D93502">
          <w:rPr>
            <w:rStyle w:val="Hyperlink"/>
            <w:b w:val="0"/>
            <w:bCs/>
            <w:noProof/>
            <w:lang w:eastAsia="zh-CN"/>
          </w:rPr>
          <w:t>559</w:t>
        </w:r>
        <w:r w:rsidR="005C6E35" w:rsidRPr="00D93502">
          <w:rPr>
            <w:rStyle w:val="Hyperlink"/>
            <w:rFonts w:hint="eastAsia"/>
            <w:b w:val="0"/>
            <w:bCs/>
            <w:noProof/>
            <w:lang w:eastAsia="zh-CN"/>
          </w:rPr>
          <w:t>号决议</w:t>
        </w:r>
      </w:hyperlink>
      <w:r w:rsidR="00D93502">
        <w:rPr>
          <w:rFonts w:eastAsiaTheme="minorEastAsia" w:cstheme="minorBidi"/>
          <w:b w:val="0"/>
          <w:bCs/>
          <w:noProof/>
          <w:sz w:val="22"/>
          <w:szCs w:val="22"/>
          <w:lang w:val="en-US" w:eastAsia="zh-CN"/>
        </w:rPr>
        <w:tab/>
      </w:r>
      <w:hyperlink w:anchor="_Toc86395553" w:history="1">
        <w:r w:rsidR="005C6E35" w:rsidRPr="00D93502">
          <w:rPr>
            <w:rStyle w:val="Hyperlink"/>
            <w:rFonts w:hint="eastAsia"/>
            <w:b w:val="0"/>
            <w:bCs/>
            <w:noProof/>
            <w:lang w:eastAsia="zh-CN"/>
          </w:rPr>
          <w:t>职员退休和福利基金受益人的生活费津贴</w:t>
        </w:r>
        <w:r w:rsidR="005C6E35" w:rsidRPr="00D93502">
          <w:rPr>
            <w:b w:val="0"/>
            <w:bCs/>
            <w:noProof/>
            <w:webHidden/>
          </w:rPr>
          <w:tab/>
        </w:r>
        <w:r w:rsid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_Toc86395553 \h </w:instrText>
        </w:r>
        <w:r w:rsidR="005C6E35" w:rsidRPr="00D93502">
          <w:rPr>
            <w:b w:val="0"/>
            <w:bCs/>
            <w:noProof/>
            <w:webHidden/>
          </w:rPr>
        </w:r>
        <w:r w:rsidR="005C6E35" w:rsidRPr="00D93502">
          <w:rPr>
            <w:b w:val="0"/>
            <w:bCs/>
            <w:noProof/>
            <w:webHidden/>
          </w:rPr>
          <w:fldChar w:fldCharType="separate"/>
        </w:r>
        <w:r w:rsidR="00E305D2">
          <w:rPr>
            <w:b w:val="0"/>
            <w:bCs/>
            <w:noProof/>
            <w:webHidden/>
          </w:rPr>
          <w:t>96</w:t>
        </w:r>
        <w:r w:rsidR="005C6E35" w:rsidRPr="00D93502">
          <w:rPr>
            <w:b w:val="0"/>
            <w:bCs/>
            <w:noProof/>
            <w:webHidden/>
          </w:rPr>
          <w:fldChar w:fldCharType="end"/>
        </w:r>
      </w:hyperlink>
    </w:p>
    <w:p w14:paraId="4845B068" w14:textId="36D7BD25" w:rsidR="005C6E35" w:rsidRPr="00D93502" w:rsidRDefault="00F71B18">
      <w:pPr>
        <w:pStyle w:val="TOC10"/>
        <w:rPr>
          <w:rFonts w:eastAsiaTheme="minorEastAsia" w:cstheme="minorBidi"/>
          <w:b w:val="0"/>
          <w:bCs/>
          <w:noProof/>
          <w:sz w:val="22"/>
          <w:szCs w:val="22"/>
          <w:lang w:val="en-US" w:eastAsia="zh-CN"/>
        </w:rPr>
      </w:pPr>
      <w:hyperlink w:anchor="_Toc86395554" w:history="1">
        <w:r w:rsidR="005C6E35" w:rsidRPr="00D93502">
          <w:rPr>
            <w:rStyle w:val="Hyperlink"/>
            <w:rFonts w:hint="eastAsia"/>
            <w:b w:val="0"/>
            <w:bCs/>
            <w:noProof/>
            <w:lang w:eastAsia="zh-CN"/>
          </w:rPr>
          <w:t>第</w:t>
        </w:r>
        <w:r w:rsidR="005C6E35" w:rsidRPr="00D93502">
          <w:rPr>
            <w:rStyle w:val="Hyperlink"/>
            <w:b w:val="0"/>
            <w:bCs/>
            <w:noProof/>
            <w:lang w:eastAsia="zh-CN"/>
          </w:rPr>
          <w:t>589</w:t>
        </w:r>
        <w:r w:rsidR="005C6E35" w:rsidRPr="00D93502">
          <w:rPr>
            <w:rStyle w:val="Hyperlink"/>
            <w:rFonts w:hint="eastAsia"/>
            <w:b w:val="0"/>
            <w:bCs/>
            <w:noProof/>
            <w:lang w:eastAsia="zh-CN"/>
          </w:rPr>
          <w:t>号决议</w:t>
        </w:r>
      </w:hyperlink>
      <w:r w:rsidR="00D93502">
        <w:rPr>
          <w:rFonts w:eastAsiaTheme="minorEastAsia" w:cstheme="minorBidi"/>
          <w:b w:val="0"/>
          <w:bCs/>
          <w:noProof/>
          <w:sz w:val="22"/>
          <w:szCs w:val="22"/>
          <w:lang w:val="en-US" w:eastAsia="zh-CN"/>
        </w:rPr>
        <w:tab/>
      </w:r>
      <w:hyperlink w:anchor="_Toc86395555" w:history="1">
        <w:r w:rsidR="005C6E35" w:rsidRPr="00D93502">
          <w:rPr>
            <w:rStyle w:val="Hyperlink"/>
            <w:rFonts w:hint="eastAsia"/>
            <w:b w:val="0"/>
            <w:bCs/>
            <w:noProof/>
            <w:lang w:eastAsia="zh-CN"/>
          </w:rPr>
          <w:t>支付给国际电联职员退休和福利基金受益人的生活费津贴</w:t>
        </w:r>
        <w:r w:rsidR="005C6E35" w:rsidRPr="00D93502">
          <w:rPr>
            <w:b w:val="0"/>
            <w:bCs/>
            <w:noProof/>
            <w:webHidden/>
          </w:rPr>
          <w:tab/>
        </w:r>
        <w:r w:rsid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_Toc86395555 \h </w:instrText>
        </w:r>
        <w:r w:rsidR="005C6E35" w:rsidRPr="00D93502">
          <w:rPr>
            <w:b w:val="0"/>
            <w:bCs/>
            <w:noProof/>
            <w:webHidden/>
          </w:rPr>
        </w:r>
        <w:r w:rsidR="005C6E35" w:rsidRPr="00D93502">
          <w:rPr>
            <w:b w:val="0"/>
            <w:bCs/>
            <w:noProof/>
            <w:webHidden/>
          </w:rPr>
          <w:fldChar w:fldCharType="separate"/>
        </w:r>
        <w:r w:rsidR="00E305D2">
          <w:rPr>
            <w:b w:val="0"/>
            <w:bCs/>
            <w:noProof/>
            <w:webHidden/>
          </w:rPr>
          <w:t>96</w:t>
        </w:r>
        <w:r w:rsidR="005C6E35" w:rsidRPr="00D93502">
          <w:rPr>
            <w:b w:val="0"/>
            <w:bCs/>
            <w:noProof/>
            <w:webHidden/>
          </w:rPr>
          <w:fldChar w:fldCharType="end"/>
        </w:r>
      </w:hyperlink>
    </w:p>
    <w:p w14:paraId="317FC712" w14:textId="00AE8000" w:rsidR="005C6E35" w:rsidRPr="00D93502" w:rsidRDefault="00F71B18">
      <w:pPr>
        <w:pStyle w:val="TOC10"/>
        <w:rPr>
          <w:rFonts w:eastAsiaTheme="minorEastAsia" w:cstheme="minorBidi"/>
          <w:b w:val="0"/>
          <w:bCs/>
          <w:noProof/>
          <w:sz w:val="22"/>
          <w:szCs w:val="22"/>
          <w:lang w:val="en-US" w:eastAsia="zh-CN"/>
        </w:rPr>
      </w:pPr>
      <w:hyperlink w:anchor="_Toc86395556" w:history="1">
        <w:r w:rsidR="005C6E35" w:rsidRPr="00D93502">
          <w:rPr>
            <w:rStyle w:val="Hyperlink"/>
            <w:rFonts w:hint="eastAsia"/>
            <w:b w:val="0"/>
            <w:bCs/>
            <w:noProof/>
            <w:lang w:eastAsia="zh-CN"/>
          </w:rPr>
          <w:t>第</w:t>
        </w:r>
        <w:r w:rsidR="005C6E35" w:rsidRPr="00D93502">
          <w:rPr>
            <w:rStyle w:val="Hyperlink"/>
            <w:b w:val="0"/>
            <w:bCs/>
            <w:noProof/>
            <w:lang w:eastAsia="zh-CN"/>
          </w:rPr>
          <w:t>1211</w:t>
        </w:r>
        <w:r w:rsidR="005C6E35" w:rsidRPr="00D93502">
          <w:rPr>
            <w:rStyle w:val="Hyperlink"/>
            <w:rFonts w:hint="eastAsia"/>
            <w:b w:val="0"/>
            <w:bCs/>
            <w:noProof/>
            <w:lang w:eastAsia="zh-CN"/>
          </w:rPr>
          <w:t>号决议</w:t>
        </w:r>
      </w:hyperlink>
      <w:r w:rsidR="00D93502">
        <w:rPr>
          <w:rFonts w:eastAsiaTheme="minorEastAsia" w:cstheme="minorBidi"/>
          <w:b w:val="0"/>
          <w:bCs/>
          <w:noProof/>
          <w:sz w:val="22"/>
          <w:szCs w:val="22"/>
          <w:lang w:val="en-US" w:eastAsia="zh-CN"/>
        </w:rPr>
        <w:tab/>
      </w:r>
      <w:hyperlink w:anchor="_Toc86395557" w:history="1">
        <w:r w:rsidR="005C6E35" w:rsidRPr="00D93502">
          <w:rPr>
            <w:rStyle w:val="Hyperlink"/>
            <w:rFonts w:hint="eastAsia"/>
            <w:b w:val="0"/>
            <w:bCs/>
            <w:noProof/>
            <w:lang w:eastAsia="zh-CN"/>
          </w:rPr>
          <w:t>国际电联职员退休和福利基金的法定利率</w:t>
        </w:r>
        <w:r w:rsidR="005C6E35" w:rsidRPr="00D93502">
          <w:rPr>
            <w:b w:val="0"/>
            <w:bCs/>
            <w:noProof/>
            <w:webHidden/>
          </w:rPr>
          <w:tab/>
        </w:r>
        <w:r w:rsid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_Toc86395557 \h </w:instrText>
        </w:r>
        <w:r w:rsidR="005C6E35" w:rsidRPr="00D93502">
          <w:rPr>
            <w:b w:val="0"/>
            <w:bCs/>
            <w:noProof/>
            <w:webHidden/>
          </w:rPr>
        </w:r>
        <w:r w:rsidR="005C6E35" w:rsidRPr="00D93502">
          <w:rPr>
            <w:b w:val="0"/>
            <w:bCs/>
            <w:noProof/>
            <w:webHidden/>
          </w:rPr>
          <w:fldChar w:fldCharType="separate"/>
        </w:r>
        <w:r w:rsidR="00E305D2">
          <w:rPr>
            <w:b w:val="0"/>
            <w:bCs/>
            <w:noProof/>
            <w:webHidden/>
          </w:rPr>
          <w:t>97</w:t>
        </w:r>
        <w:r w:rsidR="005C6E35" w:rsidRPr="00D93502">
          <w:rPr>
            <w:b w:val="0"/>
            <w:bCs/>
            <w:noProof/>
            <w:webHidden/>
          </w:rPr>
          <w:fldChar w:fldCharType="end"/>
        </w:r>
      </w:hyperlink>
    </w:p>
    <w:p w14:paraId="669A2604" w14:textId="30C1EA9F" w:rsidR="005C6E35" w:rsidRPr="00D93502" w:rsidRDefault="00F71B18">
      <w:pPr>
        <w:pStyle w:val="TOC10"/>
        <w:rPr>
          <w:rFonts w:eastAsiaTheme="minorEastAsia" w:cstheme="minorBidi"/>
          <w:b w:val="0"/>
          <w:bCs/>
          <w:noProof/>
          <w:sz w:val="22"/>
          <w:szCs w:val="22"/>
          <w:lang w:val="en-US" w:eastAsia="zh-CN"/>
        </w:rPr>
      </w:pPr>
      <w:hyperlink w:anchor="_Toc86395558" w:history="1">
        <w:r w:rsidR="005C6E35" w:rsidRPr="00D93502">
          <w:rPr>
            <w:rStyle w:val="Hyperlink"/>
            <w:rFonts w:hint="eastAsia"/>
            <w:b w:val="0"/>
            <w:bCs/>
            <w:noProof/>
            <w:lang w:eastAsia="zh-CN"/>
          </w:rPr>
          <w:t>第</w:t>
        </w:r>
        <w:r w:rsidR="005C6E35" w:rsidRPr="00D93502">
          <w:rPr>
            <w:rStyle w:val="Hyperlink"/>
            <w:rFonts w:ascii="Calibri" w:hAnsi="Calibri"/>
            <w:b w:val="0"/>
            <w:bCs/>
            <w:noProof/>
            <w:lang w:eastAsia="zh-CN"/>
          </w:rPr>
          <w:t>1394</w:t>
        </w:r>
        <w:r w:rsidR="005C6E35" w:rsidRPr="00D93502">
          <w:rPr>
            <w:rStyle w:val="Hyperlink"/>
            <w:rFonts w:ascii="Calibri" w:hAnsi="Calibri" w:hint="eastAsia"/>
            <w:b w:val="0"/>
            <w:bCs/>
            <w:noProof/>
            <w:lang w:eastAsia="zh-CN"/>
          </w:rPr>
          <w:t>号决议</w:t>
        </w:r>
      </w:hyperlink>
      <w:r w:rsidR="00D93502">
        <w:rPr>
          <w:rFonts w:eastAsiaTheme="minorEastAsia" w:cstheme="minorBidi"/>
          <w:b w:val="0"/>
          <w:bCs/>
          <w:noProof/>
          <w:sz w:val="22"/>
          <w:szCs w:val="22"/>
          <w:lang w:val="en-US" w:eastAsia="zh-CN"/>
        </w:rPr>
        <w:tab/>
      </w:r>
      <w:hyperlink w:anchor="_Toc86395559" w:history="1">
        <w:r w:rsidR="005C6E35" w:rsidRPr="00D93502">
          <w:rPr>
            <w:rStyle w:val="Hyperlink"/>
            <w:rFonts w:hint="eastAsia"/>
            <w:b w:val="0"/>
            <w:bCs/>
            <w:noProof/>
            <w:lang w:eastAsia="zh-CN"/>
          </w:rPr>
          <w:t>国际电联职员养恤金委员会的成员结构</w:t>
        </w:r>
        <w:r w:rsidR="005C6E35" w:rsidRPr="00D93502">
          <w:rPr>
            <w:b w:val="0"/>
            <w:bCs/>
            <w:noProof/>
            <w:webHidden/>
          </w:rPr>
          <w:tab/>
        </w:r>
        <w:r w:rsid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_Toc86395559 \h </w:instrText>
        </w:r>
        <w:r w:rsidR="005C6E35" w:rsidRPr="00D93502">
          <w:rPr>
            <w:b w:val="0"/>
            <w:bCs/>
            <w:noProof/>
            <w:webHidden/>
          </w:rPr>
        </w:r>
        <w:r w:rsidR="005C6E35" w:rsidRPr="00D93502">
          <w:rPr>
            <w:b w:val="0"/>
            <w:bCs/>
            <w:noProof/>
            <w:webHidden/>
          </w:rPr>
          <w:fldChar w:fldCharType="separate"/>
        </w:r>
        <w:r w:rsidR="00E305D2">
          <w:rPr>
            <w:b w:val="0"/>
            <w:bCs/>
            <w:noProof/>
            <w:webHidden/>
          </w:rPr>
          <w:t>98</w:t>
        </w:r>
        <w:r w:rsidR="005C6E35" w:rsidRPr="00D93502">
          <w:rPr>
            <w:b w:val="0"/>
            <w:bCs/>
            <w:noProof/>
            <w:webHidden/>
          </w:rPr>
          <w:fldChar w:fldCharType="end"/>
        </w:r>
      </w:hyperlink>
    </w:p>
    <w:p w14:paraId="2A97AD11" w14:textId="6F728C46" w:rsidR="005C6E35" w:rsidRPr="00D93502" w:rsidRDefault="00F71B18">
      <w:pPr>
        <w:pStyle w:val="TOC10"/>
        <w:rPr>
          <w:rFonts w:eastAsiaTheme="minorEastAsia" w:cstheme="minorBidi"/>
          <w:b w:val="0"/>
          <w:bCs/>
          <w:noProof/>
          <w:sz w:val="22"/>
          <w:szCs w:val="22"/>
          <w:lang w:val="en-US" w:eastAsia="zh-CN"/>
        </w:rPr>
      </w:pPr>
      <w:hyperlink w:anchor="_Toc86395560" w:history="1">
        <w:r w:rsidR="005C6E35" w:rsidRPr="00D93502">
          <w:rPr>
            <w:rStyle w:val="Hyperlink"/>
            <w:rFonts w:hint="eastAsia"/>
            <w:b w:val="0"/>
            <w:bCs/>
            <w:noProof/>
          </w:rPr>
          <w:t>第</w:t>
        </w:r>
        <w:r w:rsidR="005C6E35" w:rsidRPr="00D93502">
          <w:rPr>
            <w:rStyle w:val="Hyperlink"/>
            <w:b w:val="0"/>
            <w:bCs/>
            <w:noProof/>
          </w:rPr>
          <w:t>595</w:t>
        </w:r>
        <w:r w:rsidR="005C6E35" w:rsidRPr="00D93502">
          <w:rPr>
            <w:rStyle w:val="Hyperlink"/>
            <w:rFonts w:hint="eastAsia"/>
            <w:b w:val="0"/>
            <w:bCs/>
            <w:noProof/>
          </w:rPr>
          <w:t>号决定</w:t>
        </w:r>
      </w:hyperlink>
      <w:r w:rsidR="00D93502">
        <w:rPr>
          <w:rFonts w:eastAsiaTheme="minorEastAsia" w:cstheme="minorBidi"/>
          <w:b w:val="0"/>
          <w:bCs/>
          <w:noProof/>
          <w:sz w:val="22"/>
          <w:szCs w:val="22"/>
          <w:lang w:val="en-US" w:eastAsia="zh-CN"/>
        </w:rPr>
        <w:tab/>
      </w:r>
      <w:hyperlink w:anchor="_Toc86395561" w:history="1">
        <w:r w:rsidR="005C6E35" w:rsidRPr="00D93502">
          <w:rPr>
            <w:rStyle w:val="Hyperlink"/>
            <w:rFonts w:hint="eastAsia"/>
            <w:b w:val="0"/>
            <w:bCs/>
            <w:noProof/>
            <w:lang w:eastAsia="zh-CN"/>
          </w:rPr>
          <w:t>《国际电信联盟职员退休和福利基金规则》第</w:t>
        </w:r>
        <w:r w:rsidR="005C6E35" w:rsidRPr="00D93502">
          <w:rPr>
            <w:rStyle w:val="Hyperlink"/>
            <w:rFonts w:eastAsia="Times New Roman"/>
            <w:b w:val="0"/>
            <w:bCs/>
            <w:noProof/>
            <w:lang w:eastAsia="zh-CN"/>
          </w:rPr>
          <w:t>5</w:t>
        </w:r>
        <w:r w:rsidR="005C6E35" w:rsidRPr="00D93502">
          <w:rPr>
            <w:rStyle w:val="Hyperlink"/>
            <w:rFonts w:hint="eastAsia"/>
            <w:b w:val="0"/>
            <w:bCs/>
            <w:noProof/>
            <w:lang w:val="en-US" w:eastAsia="zh-CN"/>
          </w:rPr>
          <w:t>条修正案</w:t>
        </w:r>
        <w:r w:rsidR="005C6E35" w:rsidRPr="00D93502">
          <w:rPr>
            <w:b w:val="0"/>
            <w:bCs/>
            <w:noProof/>
            <w:webHidden/>
          </w:rPr>
          <w:tab/>
        </w:r>
        <w:r w:rsid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_Toc86395561 \h </w:instrText>
        </w:r>
        <w:r w:rsidR="005C6E35" w:rsidRPr="00D93502">
          <w:rPr>
            <w:b w:val="0"/>
            <w:bCs/>
            <w:noProof/>
            <w:webHidden/>
          </w:rPr>
        </w:r>
        <w:r w:rsidR="005C6E35" w:rsidRPr="00D93502">
          <w:rPr>
            <w:b w:val="0"/>
            <w:bCs/>
            <w:noProof/>
            <w:webHidden/>
          </w:rPr>
          <w:fldChar w:fldCharType="separate"/>
        </w:r>
        <w:r w:rsidR="00E305D2">
          <w:rPr>
            <w:b w:val="0"/>
            <w:bCs/>
            <w:noProof/>
            <w:webHidden/>
          </w:rPr>
          <w:t>99</w:t>
        </w:r>
        <w:r w:rsidR="005C6E35" w:rsidRPr="00D93502">
          <w:rPr>
            <w:b w:val="0"/>
            <w:bCs/>
            <w:noProof/>
            <w:webHidden/>
          </w:rPr>
          <w:fldChar w:fldCharType="end"/>
        </w:r>
      </w:hyperlink>
    </w:p>
    <w:p w14:paraId="36575C9C" w14:textId="71995ADC" w:rsidR="005C6E35" w:rsidRPr="00D93502" w:rsidRDefault="00F71B18">
      <w:pPr>
        <w:pStyle w:val="TOC10"/>
        <w:rPr>
          <w:rFonts w:eastAsiaTheme="minorEastAsia" w:cstheme="minorBidi"/>
          <w:b w:val="0"/>
          <w:bCs/>
          <w:noProof/>
          <w:sz w:val="22"/>
          <w:szCs w:val="22"/>
          <w:lang w:val="en-US" w:eastAsia="zh-CN"/>
        </w:rPr>
      </w:pPr>
      <w:hyperlink w:anchor="_Toc86395562" w:history="1">
        <w:r w:rsidR="005C6E35" w:rsidRPr="00D93502">
          <w:rPr>
            <w:rStyle w:val="Hyperlink"/>
            <w:rFonts w:hint="eastAsia"/>
            <w:b w:val="0"/>
            <w:bCs/>
            <w:noProof/>
            <w:lang w:eastAsia="zh-CN"/>
          </w:rPr>
          <w:t>第</w:t>
        </w:r>
        <w:r w:rsidR="005C6E35" w:rsidRPr="00D93502">
          <w:rPr>
            <w:rStyle w:val="Hyperlink"/>
            <w:rFonts w:eastAsia="Times New Roman"/>
            <w:b w:val="0"/>
            <w:bCs/>
            <w:noProof/>
            <w:lang w:eastAsia="zh-CN"/>
          </w:rPr>
          <w:t>596</w:t>
        </w:r>
        <w:r w:rsidR="005C6E35" w:rsidRPr="00D93502">
          <w:rPr>
            <w:rStyle w:val="Hyperlink"/>
            <w:rFonts w:hint="eastAsia"/>
            <w:b w:val="0"/>
            <w:bCs/>
            <w:noProof/>
            <w:lang w:eastAsia="zh-CN"/>
          </w:rPr>
          <w:t>号决定</w:t>
        </w:r>
      </w:hyperlink>
      <w:r w:rsidR="00D93502">
        <w:rPr>
          <w:rFonts w:eastAsiaTheme="minorEastAsia" w:cstheme="minorBidi"/>
          <w:b w:val="0"/>
          <w:bCs/>
          <w:noProof/>
          <w:sz w:val="22"/>
          <w:szCs w:val="22"/>
          <w:lang w:val="en-US" w:eastAsia="zh-CN"/>
        </w:rPr>
        <w:tab/>
      </w:r>
      <w:hyperlink w:anchor="_Toc86395563" w:history="1">
        <w:r w:rsidR="005C6E35" w:rsidRPr="00D93502">
          <w:rPr>
            <w:rStyle w:val="Hyperlink"/>
            <w:rFonts w:hint="eastAsia"/>
            <w:b w:val="0"/>
            <w:bCs/>
            <w:noProof/>
            <w:lang w:eastAsia="zh-CN"/>
          </w:rPr>
          <w:t>国际电信联盟职员退休和福利基金资产的最终处置</w:t>
        </w:r>
        <w:r w:rsidR="005C6E35" w:rsidRPr="00D93502">
          <w:rPr>
            <w:b w:val="0"/>
            <w:bCs/>
            <w:noProof/>
            <w:webHidden/>
          </w:rPr>
          <w:tab/>
        </w:r>
        <w:r w:rsid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_Toc86395563 \h </w:instrText>
        </w:r>
        <w:r w:rsidR="005C6E35" w:rsidRPr="00D93502">
          <w:rPr>
            <w:b w:val="0"/>
            <w:bCs/>
            <w:noProof/>
            <w:webHidden/>
          </w:rPr>
        </w:r>
        <w:r w:rsidR="005C6E35" w:rsidRPr="00D93502">
          <w:rPr>
            <w:b w:val="0"/>
            <w:bCs/>
            <w:noProof/>
            <w:webHidden/>
          </w:rPr>
          <w:fldChar w:fldCharType="separate"/>
        </w:r>
        <w:r w:rsidR="00E305D2">
          <w:rPr>
            <w:b w:val="0"/>
            <w:bCs/>
            <w:noProof/>
            <w:webHidden/>
          </w:rPr>
          <w:t>99</w:t>
        </w:r>
        <w:r w:rsidR="005C6E35" w:rsidRPr="00D93502">
          <w:rPr>
            <w:b w:val="0"/>
            <w:bCs/>
            <w:noProof/>
            <w:webHidden/>
          </w:rPr>
          <w:fldChar w:fldCharType="end"/>
        </w:r>
      </w:hyperlink>
    </w:p>
    <w:p w14:paraId="5088A742" w14:textId="5B184EAF" w:rsidR="005C6E35" w:rsidRPr="00D93502" w:rsidRDefault="00F71B18">
      <w:pPr>
        <w:pStyle w:val="TOC10"/>
        <w:rPr>
          <w:rFonts w:eastAsiaTheme="minorEastAsia" w:cstheme="minorBidi"/>
          <w:noProof/>
          <w:sz w:val="22"/>
          <w:szCs w:val="22"/>
          <w:lang w:val="en-US" w:eastAsia="zh-CN"/>
        </w:rPr>
      </w:pPr>
      <w:hyperlink w:anchor="_Toc86395564" w:history="1">
        <w:r w:rsidR="005C6E35" w:rsidRPr="00D93502">
          <w:rPr>
            <w:rStyle w:val="Hyperlink"/>
            <w:noProof/>
            <w:lang w:eastAsia="zh-CN"/>
          </w:rPr>
          <w:t>2.4</w:t>
        </w:r>
        <w:r w:rsidR="005C6E35" w:rsidRPr="00D93502">
          <w:rPr>
            <w:rFonts w:eastAsiaTheme="minorEastAsia" w:cstheme="minorBidi"/>
            <w:noProof/>
            <w:sz w:val="22"/>
            <w:szCs w:val="22"/>
            <w:lang w:val="en-US" w:eastAsia="zh-CN"/>
          </w:rPr>
          <w:tab/>
        </w:r>
        <w:r w:rsidR="005C6E35" w:rsidRPr="00D93502">
          <w:rPr>
            <w:rStyle w:val="Hyperlink"/>
            <w:rFonts w:hint="eastAsia"/>
            <w:noProof/>
            <w:lang w:eastAsia="zh-CN"/>
          </w:rPr>
          <w:t>其它人事事宜</w:t>
        </w:r>
        <w:r w:rsidR="005C6E35" w:rsidRPr="00D93502">
          <w:rPr>
            <w:noProof/>
            <w:webHidden/>
          </w:rPr>
          <w:tab/>
        </w:r>
        <w:r w:rsidR="00D93502">
          <w:rPr>
            <w:noProof/>
            <w:webHidden/>
          </w:rPr>
          <w:tab/>
        </w:r>
        <w:r w:rsidR="005C6E35" w:rsidRPr="00D93502">
          <w:rPr>
            <w:noProof/>
            <w:webHidden/>
          </w:rPr>
          <w:fldChar w:fldCharType="begin"/>
        </w:r>
        <w:r w:rsidR="005C6E35" w:rsidRPr="00D93502">
          <w:rPr>
            <w:noProof/>
            <w:webHidden/>
          </w:rPr>
          <w:instrText xml:space="preserve"> PAGEREF _Toc86395564 \h </w:instrText>
        </w:r>
        <w:r w:rsidR="005C6E35" w:rsidRPr="00D93502">
          <w:rPr>
            <w:noProof/>
            <w:webHidden/>
          </w:rPr>
        </w:r>
        <w:r w:rsidR="005C6E35" w:rsidRPr="00D93502">
          <w:rPr>
            <w:noProof/>
            <w:webHidden/>
          </w:rPr>
          <w:fldChar w:fldCharType="separate"/>
        </w:r>
        <w:r w:rsidR="00E305D2">
          <w:rPr>
            <w:noProof/>
            <w:webHidden/>
          </w:rPr>
          <w:t>100</w:t>
        </w:r>
        <w:r w:rsidR="005C6E35" w:rsidRPr="00D93502">
          <w:rPr>
            <w:noProof/>
            <w:webHidden/>
          </w:rPr>
          <w:fldChar w:fldCharType="end"/>
        </w:r>
      </w:hyperlink>
    </w:p>
    <w:p w14:paraId="0D8B23A4" w14:textId="733B4618" w:rsidR="005C6E35" w:rsidRPr="00D93502" w:rsidRDefault="00F71B18">
      <w:pPr>
        <w:pStyle w:val="TOC10"/>
        <w:rPr>
          <w:rFonts w:eastAsiaTheme="minorEastAsia" w:cstheme="minorBidi"/>
          <w:b w:val="0"/>
          <w:bCs/>
          <w:noProof/>
          <w:sz w:val="22"/>
          <w:szCs w:val="22"/>
          <w:lang w:val="en-US" w:eastAsia="zh-CN"/>
        </w:rPr>
      </w:pPr>
      <w:hyperlink w:anchor="_Toc86395565" w:history="1">
        <w:r w:rsidR="005C6E35" w:rsidRPr="00D93502">
          <w:rPr>
            <w:rStyle w:val="Hyperlink"/>
            <w:rFonts w:hint="eastAsia"/>
            <w:b w:val="0"/>
            <w:bCs/>
            <w:noProof/>
            <w:lang w:eastAsia="zh-CN"/>
          </w:rPr>
          <w:t>第</w:t>
        </w:r>
        <w:r w:rsidR="005C6E35" w:rsidRPr="00D93502">
          <w:rPr>
            <w:rStyle w:val="Hyperlink"/>
            <w:b w:val="0"/>
            <w:bCs/>
            <w:noProof/>
            <w:lang w:eastAsia="zh-CN"/>
          </w:rPr>
          <w:t>105</w:t>
        </w:r>
        <w:r w:rsidR="005C6E35" w:rsidRPr="00D93502">
          <w:rPr>
            <w:rStyle w:val="Hyperlink"/>
            <w:rFonts w:hint="eastAsia"/>
            <w:b w:val="0"/>
            <w:bCs/>
            <w:noProof/>
            <w:lang w:eastAsia="zh-CN"/>
          </w:rPr>
          <w:t>号决议</w:t>
        </w:r>
      </w:hyperlink>
      <w:r w:rsidR="00D93502">
        <w:rPr>
          <w:rFonts w:eastAsiaTheme="minorEastAsia" w:cstheme="minorBidi"/>
          <w:b w:val="0"/>
          <w:bCs/>
          <w:noProof/>
          <w:sz w:val="22"/>
          <w:szCs w:val="22"/>
          <w:lang w:val="en-US" w:eastAsia="zh-CN"/>
        </w:rPr>
        <w:tab/>
      </w:r>
      <w:hyperlink w:anchor="_Toc86395566" w:history="1">
        <w:r w:rsidR="005C6E35" w:rsidRPr="00D93502">
          <w:rPr>
            <w:rStyle w:val="Hyperlink"/>
            <w:rFonts w:hint="eastAsia"/>
            <w:b w:val="0"/>
            <w:bCs/>
            <w:noProof/>
            <w:lang w:eastAsia="zh-CN"/>
          </w:rPr>
          <w:t>向国际电联官员发放联合国通行证</w:t>
        </w:r>
        <w:r w:rsidR="005C6E35" w:rsidRPr="00D93502">
          <w:rPr>
            <w:b w:val="0"/>
            <w:bCs/>
            <w:noProof/>
            <w:webHidden/>
          </w:rPr>
          <w:tab/>
        </w:r>
        <w:r w:rsid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_Toc86395566 \h </w:instrText>
        </w:r>
        <w:r w:rsidR="005C6E35" w:rsidRPr="00D93502">
          <w:rPr>
            <w:b w:val="0"/>
            <w:bCs/>
            <w:noProof/>
            <w:webHidden/>
          </w:rPr>
        </w:r>
        <w:r w:rsidR="005C6E35" w:rsidRPr="00D93502">
          <w:rPr>
            <w:b w:val="0"/>
            <w:bCs/>
            <w:noProof/>
            <w:webHidden/>
          </w:rPr>
          <w:fldChar w:fldCharType="separate"/>
        </w:r>
        <w:r w:rsidR="00E305D2">
          <w:rPr>
            <w:b w:val="0"/>
            <w:bCs/>
            <w:noProof/>
            <w:webHidden/>
          </w:rPr>
          <w:t>100</w:t>
        </w:r>
        <w:r w:rsidR="005C6E35" w:rsidRPr="00D93502">
          <w:rPr>
            <w:b w:val="0"/>
            <w:bCs/>
            <w:noProof/>
            <w:webHidden/>
          </w:rPr>
          <w:fldChar w:fldCharType="end"/>
        </w:r>
      </w:hyperlink>
    </w:p>
    <w:p w14:paraId="770B5E55" w14:textId="5A72DAC3" w:rsidR="005C6E35" w:rsidRPr="00D93502" w:rsidRDefault="00F71B18">
      <w:pPr>
        <w:pStyle w:val="TOC10"/>
        <w:rPr>
          <w:rFonts w:eastAsiaTheme="minorEastAsia" w:cstheme="minorBidi"/>
          <w:b w:val="0"/>
          <w:bCs/>
          <w:noProof/>
          <w:sz w:val="22"/>
          <w:szCs w:val="22"/>
          <w:lang w:val="en-US" w:eastAsia="zh-CN"/>
        </w:rPr>
      </w:pPr>
      <w:hyperlink w:anchor="_Toc86395567" w:history="1">
        <w:r w:rsidR="005C6E35" w:rsidRPr="00D93502">
          <w:rPr>
            <w:rStyle w:val="Hyperlink"/>
            <w:rFonts w:hint="eastAsia"/>
            <w:b w:val="0"/>
            <w:bCs/>
            <w:noProof/>
            <w:lang w:eastAsia="zh-CN"/>
          </w:rPr>
          <w:t>第</w:t>
        </w:r>
        <w:r w:rsidR="005C6E35" w:rsidRPr="00D93502">
          <w:rPr>
            <w:rStyle w:val="Hyperlink"/>
            <w:b w:val="0"/>
            <w:bCs/>
            <w:noProof/>
            <w:lang w:eastAsia="zh-CN"/>
          </w:rPr>
          <w:t>747</w:t>
        </w:r>
        <w:r w:rsidR="005C6E35" w:rsidRPr="00D93502">
          <w:rPr>
            <w:rStyle w:val="Hyperlink"/>
            <w:rFonts w:hint="eastAsia"/>
            <w:b w:val="0"/>
            <w:bCs/>
            <w:noProof/>
            <w:lang w:eastAsia="zh-CN"/>
          </w:rPr>
          <w:t>号决议</w:t>
        </w:r>
      </w:hyperlink>
      <w:r w:rsidR="00D93502">
        <w:rPr>
          <w:rFonts w:eastAsiaTheme="minorEastAsia" w:cstheme="minorBidi"/>
          <w:b w:val="0"/>
          <w:bCs/>
          <w:noProof/>
          <w:sz w:val="22"/>
          <w:szCs w:val="22"/>
          <w:lang w:val="en-US" w:eastAsia="zh-CN"/>
        </w:rPr>
        <w:tab/>
      </w:r>
      <w:hyperlink w:anchor="_Toc86395568" w:history="1">
        <w:r w:rsidR="005C6E35" w:rsidRPr="00D93502">
          <w:rPr>
            <w:rStyle w:val="Hyperlink"/>
            <w:rFonts w:hint="eastAsia"/>
            <w:b w:val="0"/>
            <w:bCs/>
            <w:noProof/>
            <w:lang w:eastAsia="zh-CN"/>
          </w:rPr>
          <w:t>国际公务员制度委员会</w:t>
        </w:r>
        <w:r w:rsidR="005C6E35" w:rsidRPr="00D93502">
          <w:rPr>
            <w:b w:val="0"/>
            <w:bCs/>
            <w:noProof/>
            <w:webHidden/>
          </w:rPr>
          <w:tab/>
        </w:r>
        <w:r w:rsid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_Toc86395568 \h </w:instrText>
        </w:r>
        <w:r w:rsidR="005C6E35" w:rsidRPr="00D93502">
          <w:rPr>
            <w:b w:val="0"/>
            <w:bCs/>
            <w:noProof/>
            <w:webHidden/>
          </w:rPr>
        </w:r>
        <w:r w:rsidR="005C6E35" w:rsidRPr="00D93502">
          <w:rPr>
            <w:b w:val="0"/>
            <w:bCs/>
            <w:noProof/>
            <w:webHidden/>
          </w:rPr>
          <w:fldChar w:fldCharType="separate"/>
        </w:r>
        <w:r w:rsidR="00E305D2">
          <w:rPr>
            <w:b w:val="0"/>
            <w:bCs/>
            <w:noProof/>
            <w:webHidden/>
          </w:rPr>
          <w:t>102</w:t>
        </w:r>
        <w:r w:rsidR="005C6E35" w:rsidRPr="00D93502">
          <w:rPr>
            <w:b w:val="0"/>
            <w:bCs/>
            <w:noProof/>
            <w:webHidden/>
          </w:rPr>
          <w:fldChar w:fldCharType="end"/>
        </w:r>
      </w:hyperlink>
    </w:p>
    <w:p w14:paraId="45543C95" w14:textId="2F5FA02F" w:rsidR="005C6E35" w:rsidRPr="00D93502" w:rsidRDefault="00F71B18">
      <w:pPr>
        <w:pStyle w:val="TOC10"/>
        <w:rPr>
          <w:rFonts w:eastAsiaTheme="minorEastAsia" w:cstheme="minorBidi"/>
          <w:b w:val="0"/>
          <w:bCs/>
          <w:noProof/>
          <w:sz w:val="22"/>
          <w:szCs w:val="22"/>
          <w:lang w:val="en-US" w:eastAsia="zh-CN"/>
        </w:rPr>
      </w:pPr>
      <w:hyperlink w:anchor="_Toc86395569" w:history="1">
        <w:r w:rsidR="005C6E35" w:rsidRPr="00D93502">
          <w:rPr>
            <w:rStyle w:val="Hyperlink"/>
            <w:rFonts w:hint="eastAsia"/>
            <w:b w:val="0"/>
            <w:bCs/>
            <w:noProof/>
            <w:lang w:eastAsia="zh-CN"/>
          </w:rPr>
          <w:t>第</w:t>
        </w:r>
        <w:r w:rsidR="005C6E35" w:rsidRPr="00D93502">
          <w:rPr>
            <w:rStyle w:val="Hyperlink"/>
            <w:b w:val="0"/>
            <w:bCs/>
            <w:noProof/>
            <w:lang w:eastAsia="zh-CN"/>
          </w:rPr>
          <w:t>399</w:t>
        </w:r>
        <w:r w:rsidR="005C6E35" w:rsidRPr="00D93502">
          <w:rPr>
            <w:rStyle w:val="Hyperlink"/>
            <w:rFonts w:hint="eastAsia"/>
            <w:b w:val="0"/>
            <w:bCs/>
            <w:noProof/>
            <w:lang w:eastAsia="zh-CN"/>
          </w:rPr>
          <w:t>号决定</w:t>
        </w:r>
      </w:hyperlink>
      <w:r w:rsidR="00D93502">
        <w:rPr>
          <w:rFonts w:eastAsiaTheme="minorEastAsia" w:cstheme="minorBidi"/>
          <w:b w:val="0"/>
          <w:bCs/>
          <w:noProof/>
          <w:sz w:val="22"/>
          <w:szCs w:val="22"/>
          <w:lang w:val="en-US" w:eastAsia="zh-CN"/>
        </w:rPr>
        <w:tab/>
      </w:r>
      <w:hyperlink w:anchor="_Toc86395570" w:history="1">
        <w:r w:rsidR="005C6E35" w:rsidRPr="00D93502">
          <w:rPr>
            <w:rStyle w:val="Hyperlink"/>
            <w:rFonts w:hint="eastAsia"/>
            <w:b w:val="0"/>
            <w:bCs/>
            <w:noProof/>
          </w:rPr>
          <w:t>职工代表</w:t>
        </w:r>
        <w:r w:rsidR="005C6E35" w:rsidRPr="00D93502">
          <w:rPr>
            <w:b w:val="0"/>
            <w:bCs/>
            <w:noProof/>
            <w:webHidden/>
          </w:rPr>
          <w:tab/>
        </w:r>
        <w:r w:rsid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_Toc86395570 \h </w:instrText>
        </w:r>
        <w:r w:rsidR="005C6E35" w:rsidRPr="00D93502">
          <w:rPr>
            <w:b w:val="0"/>
            <w:bCs/>
            <w:noProof/>
            <w:webHidden/>
          </w:rPr>
        </w:r>
        <w:r w:rsidR="005C6E35" w:rsidRPr="00D93502">
          <w:rPr>
            <w:b w:val="0"/>
            <w:bCs/>
            <w:noProof/>
            <w:webHidden/>
          </w:rPr>
          <w:fldChar w:fldCharType="separate"/>
        </w:r>
        <w:r w:rsidR="00E305D2">
          <w:rPr>
            <w:b w:val="0"/>
            <w:bCs/>
            <w:noProof/>
            <w:webHidden/>
          </w:rPr>
          <w:t>102</w:t>
        </w:r>
        <w:r w:rsidR="005C6E35" w:rsidRPr="00D93502">
          <w:rPr>
            <w:b w:val="0"/>
            <w:bCs/>
            <w:noProof/>
            <w:webHidden/>
          </w:rPr>
          <w:fldChar w:fldCharType="end"/>
        </w:r>
      </w:hyperlink>
    </w:p>
    <w:p w14:paraId="4BA50462" w14:textId="0D6B70BC" w:rsidR="005C6E35" w:rsidRPr="00D93502" w:rsidRDefault="00F71B18">
      <w:pPr>
        <w:pStyle w:val="TOC10"/>
        <w:rPr>
          <w:rFonts w:eastAsiaTheme="minorEastAsia" w:cstheme="minorBidi"/>
          <w:noProof/>
          <w:sz w:val="22"/>
          <w:szCs w:val="22"/>
          <w:lang w:val="en-US" w:eastAsia="zh-CN"/>
        </w:rPr>
      </w:pPr>
      <w:hyperlink w:anchor="_Toc86395571" w:history="1">
        <w:r w:rsidR="005C6E35" w:rsidRPr="00D93502">
          <w:rPr>
            <w:rStyle w:val="Hyperlink"/>
            <w:noProof/>
            <w:lang w:eastAsia="zh-CN"/>
          </w:rPr>
          <w:t>3</w:t>
        </w:r>
        <w:r w:rsidR="005C6E35" w:rsidRPr="00D93502">
          <w:rPr>
            <w:rFonts w:eastAsiaTheme="minorEastAsia" w:cstheme="minorBidi"/>
            <w:noProof/>
            <w:sz w:val="22"/>
            <w:szCs w:val="22"/>
            <w:lang w:val="en-US" w:eastAsia="zh-CN"/>
          </w:rPr>
          <w:tab/>
        </w:r>
        <w:r w:rsidR="005C6E35" w:rsidRPr="00D93502">
          <w:rPr>
            <w:rStyle w:val="Hyperlink"/>
            <w:rFonts w:hint="eastAsia"/>
            <w:noProof/>
            <w:lang w:eastAsia="zh-CN"/>
          </w:rPr>
          <w:t>大会和会议</w:t>
        </w:r>
        <w:r w:rsidR="005C6E35" w:rsidRPr="00D93502">
          <w:rPr>
            <w:noProof/>
            <w:webHidden/>
          </w:rPr>
          <w:tab/>
        </w:r>
        <w:r w:rsidR="00D93502">
          <w:rPr>
            <w:noProof/>
            <w:webHidden/>
          </w:rPr>
          <w:tab/>
        </w:r>
        <w:r w:rsidR="005C6E35" w:rsidRPr="00D93502">
          <w:rPr>
            <w:noProof/>
            <w:webHidden/>
          </w:rPr>
          <w:fldChar w:fldCharType="begin"/>
        </w:r>
        <w:r w:rsidR="005C6E35" w:rsidRPr="00D93502">
          <w:rPr>
            <w:noProof/>
            <w:webHidden/>
          </w:rPr>
          <w:instrText xml:space="preserve"> PAGEREF _Toc86395571 \h </w:instrText>
        </w:r>
        <w:r w:rsidR="005C6E35" w:rsidRPr="00D93502">
          <w:rPr>
            <w:noProof/>
            <w:webHidden/>
          </w:rPr>
        </w:r>
        <w:r w:rsidR="005C6E35" w:rsidRPr="00D93502">
          <w:rPr>
            <w:noProof/>
            <w:webHidden/>
          </w:rPr>
          <w:fldChar w:fldCharType="separate"/>
        </w:r>
        <w:r w:rsidR="00E305D2">
          <w:rPr>
            <w:noProof/>
            <w:webHidden/>
          </w:rPr>
          <w:t>103</w:t>
        </w:r>
        <w:r w:rsidR="005C6E35" w:rsidRPr="00D93502">
          <w:rPr>
            <w:noProof/>
            <w:webHidden/>
          </w:rPr>
          <w:fldChar w:fldCharType="end"/>
        </w:r>
      </w:hyperlink>
    </w:p>
    <w:p w14:paraId="14A5FECB" w14:textId="745F50A8" w:rsidR="005C6E35" w:rsidRPr="00D93502" w:rsidRDefault="00F71B18">
      <w:pPr>
        <w:pStyle w:val="TOC10"/>
        <w:rPr>
          <w:rFonts w:eastAsiaTheme="minorEastAsia" w:cstheme="minorBidi"/>
          <w:b w:val="0"/>
          <w:bCs/>
          <w:noProof/>
          <w:sz w:val="22"/>
          <w:szCs w:val="22"/>
          <w:lang w:val="en-US" w:eastAsia="zh-CN"/>
        </w:rPr>
      </w:pPr>
      <w:hyperlink w:anchor="_Toc86395572" w:history="1">
        <w:r w:rsidR="005C6E35" w:rsidRPr="00D93502">
          <w:rPr>
            <w:rStyle w:val="Hyperlink"/>
            <w:noProof/>
            <w:lang w:eastAsia="zh-CN"/>
          </w:rPr>
          <w:t>3.1</w:t>
        </w:r>
        <w:r w:rsidR="005C6E35" w:rsidRPr="00D93502">
          <w:rPr>
            <w:rFonts w:eastAsiaTheme="minorEastAsia" w:cstheme="minorBidi"/>
            <w:noProof/>
            <w:sz w:val="22"/>
            <w:szCs w:val="22"/>
            <w:lang w:val="en-US" w:eastAsia="zh-CN"/>
          </w:rPr>
          <w:tab/>
        </w:r>
        <w:r w:rsidR="005C6E35" w:rsidRPr="00D93502">
          <w:rPr>
            <w:rStyle w:val="Hyperlink"/>
            <w:rFonts w:hint="eastAsia"/>
            <w:noProof/>
            <w:lang w:eastAsia="zh-CN"/>
          </w:rPr>
          <w:t>总则</w:t>
        </w:r>
        <w:r w:rsidR="005C6E35" w:rsidRPr="00D93502">
          <w:rPr>
            <w:noProof/>
            <w:webHidden/>
          </w:rPr>
          <w:tab/>
        </w:r>
        <w:r w:rsidR="00D93502">
          <w:rPr>
            <w:noProof/>
            <w:webHidden/>
          </w:rPr>
          <w:tab/>
        </w:r>
        <w:r w:rsidR="005C6E35" w:rsidRPr="00D93502">
          <w:rPr>
            <w:noProof/>
            <w:webHidden/>
          </w:rPr>
          <w:fldChar w:fldCharType="begin"/>
        </w:r>
        <w:r w:rsidR="005C6E35" w:rsidRPr="00D93502">
          <w:rPr>
            <w:noProof/>
            <w:webHidden/>
          </w:rPr>
          <w:instrText xml:space="preserve"> PAGEREF _Toc86395572 \h </w:instrText>
        </w:r>
        <w:r w:rsidR="005C6E35" w:rsidRPr="00D93502">
          <w:rPr>
            <w:noProof/>
            <w:webHidden/>
          </w:rPr>
        </w:r>
        <w:r w:rsidR="005C6E35" w:rsidRPr="00D93502">
          <w:rPr>
            <w:noProof/>
            <w:webHidden/>
          </w:rPr>
          <w:fldChar w:fldCharType="separate"/>
        </w:r>
        <w:r w:rsidR="00E305D2">
          <w:rPr>
            <w:noProof/>
            <w:webHidden/>
          </w:rPr>
          <w:t>103</w:t>
        </w:r>
        <w:r w:rsidR="005C6E35" w:rsidRPr="00D93502">
          <w:rPr>
            <w:noProof/>
            <w:webHidden/>
          </w:rPr>
          <w:fldChar w:fldCharType="end"/>
        </w:r>
      </w:hyperlink>
    </w:p>
    <w:p w14:paraId="258769A1" w14:textId="0B5AA8A8" w:rsidR="005C6E35" w:rsidRPr="00D93502" w:rsidRDefault="00F71B18">
      <w:pPr>
        <w:pStyle w:val="TOC10"/>
        <w:rPr>
          <w:rFonts w:eastAsiaTheme="minorEastAsia" w:cstheme="minorBidi"/>
          <w:b w:val="0"/>
          <w:bCs/>
          <w:noProof/>
          <w:sz w:val="22"/>
          <w:szCs w:val="22"/>
          <w:lang w:val="en-US" w:eastAsia="zh-CN"/>
        </w:rPr>
      </w:pPr>
      <w:hyperlink w:anchor="_Toc86395573" w:history="1">
        <w:r w:rsidR="005C6E35" w:rsidRPr="00D93502">
          <w:rPr>
            <w:rStyle w:val="Hyperlink"/>
            <w:rFonts w:hint="eastAsia"/>
            <w:b w:val="0"/>
            <w:bCs/>
            <w:noProof/>
            <w:lang w:eastAsia="zh-CN"/>
          </w:rPr>
          <w:t>第</w:t>
        </w:r>
        <w:r w:rsidR="005C6E35" w:rsidRPr="00D93502">
          <w:rPr>
            <w:rStyle w:val="Hyperlink"/>
            <w:b w:val="0"/>
            <w:bCs/>
            <w:noProof/>
            <w:lang w:eastAsia="zh-CN"/>
          </w:rPr>
          <w:t>83</w:t>
        </w:r>
        <w:r w:rsidR="005C6E35" w:rsidRPr="00D93502">
          <w:rPr>
            <w:rStyle w:val="Hyperlink"/>
            <w:rFonts w:hint="eastAsia"/>
            <w:b w:val="0"/>
            <w:bCs/>
            <w:noProof/>
            <w:lang w:eastAsia="zh-CN"/>
          </w:rPr>
          <w:t>号决议</w:t>
        </w:r>
      </w:hyperlink>
      <w:r w:rsidR="00D93502">
        <w:rPr>
          <w:rFonts w:eastAsiaTheme="minorEastAsia" w:cstheme="minorBidi"/>
          <w:b w:val="0"/>
          <w:bCs/>
          <w:noProof/>
          <w:sz w:val="22"/>
          <w:szCs w:val="22"/>
          <w:lang w:val="en-US" w:eastAsia="zh-CN"/>
        </w:rPr>
        <w:tab/>
      </w:r>
      <w:hyperlink w:anchor="_Toc86395574" w:history="1">
        <w:r w:rsidR="005C6E35" w:rsidRPr="00D93502">
          <w:rPr>
            <w:rStyle w:val="Hyperlink"/>
            <w:rFonts w:hint="eastAsia"/>
            <w:b w:val="0"/>
            <w:bCs/>
            <w:noProof/>
            <w:lang w:eastAsia="zh-CN"/>
          </w:rPr>
          <w:t>大会和会议的组织、资金来源和账目的清算</w:t>
        </w:r>
        <w:r w:rsidR="005C6E35" w:rsidRPr="00D93502">
          <w:rPr>
            <w:b w:val="0"/>
            <w:bCs/>
            <w:noProof/>
            <w:webHidden/>
          </w:rPr>
          <w:tab/>
        </w:r>
        <w:r w:rsid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_Toc86395574 \h </w:instrText>
        </w:r>
        <w:r w:rsidR="005C6E35" w:rsidRPr="00D93502">
          <w:rPr>
            <w:b w:val="0"/>
            <w:bCs/>
            <w:noProof/>
            <w:webHidden/>
          </w:rPr>
        </w:r>
        <w:r w:rsidR="005C6E35" w:rsidRPr="00D93502">
          <w:rPr>
            <w:b w:val="0"/>
            <w:bCs/>
            <w:noProof/>
            <w:webHidden/>
          </w:rPr>
          <w:fldChar w:fldCharType="separate"/>
        </w:r>
        <w:r w:rsidR="00E305D2">
          <w:rPr>
            <w:b w:val="0"/>
            <w:bCs/>
            <w:noProof/>
            <w:webHidden/>
          </w:rPr>
          <w:t>103</w:t>
        </w:r>
        <w:r w:rsidR="005C6E35" w:rsidRPr="00D93502">
          <w:rPr>
            <w:b w:val="0"/>
            <w:bCs/>
            <w:noProof/>
            <w:webHidden/>
          </w:rPr>
          <w:fldChar w:fldCharType="end"/>
        </w:r>
      </w:hyperlink>
    </w:p>
    <w:p w14:paraId="3ABFD398" w14:textId="48192C3C" w:rsidR="005C6E35" w:rsidRPr="00D93502" w:rsidRDefault="00F71B18">
      <w:pPr>
        <w:pStyle w:val="TOC10"/>
        <w:rPr>
          <w:rFonts w:eastAsiaTheme="minorEastAsia" w:cstheme="minorBidi"/>
          <w:b w:val="0"/>
          <w:bCs/>
          <w:noProof/>
          <w:sz w:val="22"/>
          <w:szCs w:val="22"/>
          <w:lang w:val="en-US" w:eastAsia="zh-CN"/>
        </w:rPr>
      </w:pPr>
      <w:hyperlink w:anchor="_Toc86395575" w:history="1">
        <w:r w:rsidR="005C6E35" w:rsidRPr="00D93502">
          <w:rPr>
            <w:rStyle w:val="Hyperlink"/>
            <w:rFonts w:hint="eastAsia"/>
            <w:b w:val="0"/>
            <w:bCs/>
            <w:noProof/>
            <w:lang w:eastAsia="zh-CN"/>
          </w:rPr>
          <w:t>第</w:t>
        </w:r>
        <w:r w:rsidR="005C6E35" w:rsidRPr="00D93502">
          <w:rPr>
            <w:rStyle w:val="Hyperlink"/>
            <w:b w:val="0"/>
            <w:bCs/>
            <w:noProof/>
            <w:lang w:eastAsia="zh-CN"/>
          </w:rPr>
          <w:t>741</w:t>
        </w:r>
        <w:r w:rsidR="005C6E35" w:rsidRPr="00D93502">
          <w:rPr>
            <w:rStyle w:val="Hyperlink"/>
            <w:rFonts w:hint="eastAsia"/>
            <w:b w:val="0"/>
            <w:bCs/>
            <w:noProof/>
            <w:lang w:eastAsia="zh-CN"/>
          </w:rPr>
          <w:t>号决议</w:t>
        </w:r>
      </w:hyperlink>
      <w:r w:rsidR="00D93502">
        <w:rPr>
          <w:rFonts w:eastAsiaTheme="minorEastAsia" w:cstheme="minorBidi"/>
          <w:b w:val="0"/>
          <w:bCs/>
          <w:noProof/>
          <w:sz w:val="22"/>
          <w:szCs w:val="22"/>
          <w:lang w:val="en-US" w:eastAsia="zh-CN"/>
        </w:rPr>
        <w:tab/>
      </w:r>
      <w:hyperlink w:anchor="_Toc86395576" w:history="1">
        <w:r w:rsidR="005C6E35" w:rsidRPr="00D93502">
          <w:rPr>
            <w:rStyle w:val="Hyperlink"/>
            <w:rFonts w:hint="eastAsia"/>
            <w:b w:val="0"/>
            <w:bCs/>
            <w:noProof/>
            <w:lang w:eastAsia="zh-CN"/>
          </w:rPr>
          <w:t>有关解放组织参加国际电联会议的条件</w:t>
        </w:r>
        <w:r w:rsidR="005C6E35" w:rsidRPr="00D93502">
          <w:rPr>
            <w:b w:val="0"/>
            <w:bCs/>
            <w:noProof/>
            <w:webHidden/>
          </w:rPr>
          <w:tab/>
        </w:r>
        <w:r w:rsid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_Toc86395576 \h </w:instrText>
        </w:r>
        <w:r w:rsidR="005C6E35" w:rsidRPr="00D93502">
          <w:rPr>
            <w:b w:val="0"/>
            <w:bCs/>
            <w:noProof/>
            <w:webHidden/>
          </w:rPr>
        </w:r>
        <w:r w:rsidR="005C6E35" w:rsidRPr="00D93502">
          <w:rPr>
            <w:b w:val="0"/>
            <w:bCs/>
            <w:noProof/>
            <w:webHidden/>
          </w:rPr>
          <w:fldChar w:fldCharType="separate"/>
        </w:r>
        <w:r w:rsidR="00E305D2">
          <w:rPr>
            <w:b w:val="0"/>
            <w:bCs/>
            <w:noProof/>
            <w:webHidden/>
          </w:rPr>
          <w:t>106</w:t>
        </w:r>
        <w:r w:rsidR="005C6E35" w:rsidRPr="00D93502">
          <w:rPr>
            <w:b w:val="0"/>
            <w:bCs/>
            <w:noProof/>
            <w:webHidden/>
          </w:rPr>
          <w:fldChar w:fldCharType="end"/>
        </w:r>
      </w:hyperlink>
    </w:p>
    <w:p w14:paraId="6D1F1B0F" w14:textId="340A53BA" w:rsidR="005C6E35" w:rsidRPr="00D93502" w:rsidRDefault="00F71B18">
      <w:pPr>
        <w:pStyle w:val="TOC10"/>
        <w:rPr>
          <w:rFonts w:eastAsiaTheme="minorEastAsia" w:cstheme="minorBidi"/>
          <w:b w:val="0"/>
          <w:bCs/>
          <w:noProof/>
          <w:sz w:val="22"/>
          <w:szCs w:val="22"/>
          <w:lang w:val="en-US" w:eastAsia="zh-CN"/>
        </w:rPr>
      </w:pPr>
      <w:hyperlink w:anchor="_Toc86395577" w:history="1">
        <w:r w:rsidR="005C6E35" w:rsidRPr="00D93502">
          <w:rPr>
            <w:rStyle w:val="Hyperlink"/>
            <w:rFonts w:hint="eastAsia"/>
            <w:b w:val="0"/>
            <w:bCs/>
            <w:noProof/>
            <w:lang w:eastAsia="zh-CN"/>
          </w:rPr>
          <w:t>第</w:t>
        </w:r>
        <w:r w:rsidR="005C6E35" w:rsidRPr="00D93502">
          <w:rPr>
            <w:rStyle w:val="Hyperlink"/>
            <w:b w:val="0"/>
            <w:bCs/>
            <w:noProof/>
            <w:lang w:eastAsia="zh-CN"/>
          </w:rPr>
          <w:t>1141</w:t>
        </w:r>
        <w:r w:rsidR="005C6E35" w:rsidRPr="00D93502">
          <w:rPr>
            <w:rStyle w:val="Hyperlink"/>
            <w:rFonts w:hint="eastAsia"/>
            <w:b w:val="0"/>
            <w:bCs/>
            <w:noProof/>
            <w:lang w:eastAsia="zh-CN"/>
          </w:rPr>
          <w:t>号决议</w:t>
        </w:r>
      </w:hyperlink>
      <w:r w:rsidR="00D93502">
        <w:rPr>
          <w:rFonts w:eastAsiaTheme="minorEastAsia" w:cstheme="minorBidi"/>
          <w:b w:val="0"/>
          <w:bCs/>
          <w:noProof/>
          <w:sz w:val="22"/>
          <w:szCs w:val="22"/>
          <w:lang w:val="en-US" w:eastAsia="zh-CN"/>
        </w:rPr>
        <w:tab/>
      </w:r>
      <w:hyperlink w:anchor="_Toc86395578" w:history="1">
        <w:r w:rsidR="005C6E35" w:rsidRPr="00D93502">
          <w:rPr>
            <w:rStyle w:val="Hyperlink"/>
            <w:rFonts w:hint="eastAsia"/>
            <w:b w:val="0"/>
            <w:bCs/>
            <w:noProof/>
            <w:lang w:eastAsia="zh-CN"/>
          </w:rPr>
          <w:t>降低国际电联大会、全会和理事会文件制作的成本、减少数量</w:t>
        </w:r>
        <w:r w:rsidR="005C6E35" w:rsidRPr="00D93502">
          <w:rPr>
            <w:b w:val="0"/>
            <w:bCs/>
            <w:noProof/>
            <w:webHidden/>
          </w:rPr>
          <w:tab/>
        </w:r>
        <w:r w:rsid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_Toc86395578 \h </w:instrText>
        </w:r>
        <w:r w:rsidR="005C6E35" w:rsidRPr="00D93502">
          <w:rPr>
            <w:b w:val="0"/>
            <w:bCs/>
            <w:noProof/>
            <w:webHidden/>
          </w:rPr>
        </w:r>
        <w:r w:rsidR="005C6E35" w:rsidRPr="00D93502">
          <w:rPr>
            <w:b w:val="0"/>
            <w:bCs/>
            <w:noProof/>
            <w:webHidden/>
          </w:rPr>
          <w:fldChar w:fldCharType="separate"/>
        </w:r>
        <w:r w:rsidR="00E305D2">
          <w:rPr>
            <w:b w:val="0"/>
            <w:bCs/>
            <w:noProof/>
            <w:webHidden/>
          </w:rPr>
          <w:t>107</w:t>
        </w:r>
        <w:r w:rsidR="005C6E35" w:rsidRPr="00D93502">
          <w:rPr>
            <w:b w:val="0"/>
            <w:bCs/>
            <w:noProof/>
            <w:webHidden/>
          </w:rPr>
          <w:fldChar w:fldCharType="end"/>
        </w:r>
      </w:hyperlink>
    </w:p>
    <w:p w14:paraId="7A1A88CB" w14:textId="69C63016" w:rsidR="005C6E35" w:rsidRPr="00D93502" w:rsidRDefault="00F71B18">
      <w:pPr>
        <w:pStyle w:val="TOC10"/>
        <w:rPr>
          <w:rFonts w:eastAsiaTheme="minorEastAsia" w:cstheme="minorBidi"/>
          <w:b w:val="0"/>
          <w:bCs/>
          <w:noProof/>
          <w:sz w:val="22"/>
          <w:szCs w:val="22"/>
          <w:lang w:val="en-US" w:eastAsia="zh-CN"/>
        </w:rPr>
      </w:pPr>
      <w:hyperlink w:anchor="_Toc86395579" w:history="1">
        <w:r w:rsidR="005C6E35" w:rsidRPr="00D93502">
          <w:rPr>
            <w:rStyle w:val="Hyperlink"/>
            <w:rFonts w:hint="eastAsia"/>
            <w:b w:val="0"/>
            <w:bCs/>
            <w:noProof/>
          </w:rPr>
          <w:t>第</w:t>
        </w:r>
        <w:r w:rsidR="005C6E35" w:rsidRPr="00D93502">
          <w:rPr>
            <w:rStyle w:val="Hyperlink"/>
            <w:b w:val="0"/>
            <w:bCs/>
            <w:noProof/>
          </w:rPr>
          <w:t>304</w:t>
        </w:r>
        <w:r w:rsidR="005C6E35" w:rsidRPr="00D93502">
          <w:rPr>
            <w:rStyle w:val="Hyperlink"/>
            <w:rFonts w:hint="eastAsia"/>
            <w:b w:val="0"/>
            <w:bCs/>
            <w:noProof/>
          </w:rPr>
          <w:t>号决定</w:t>
        </w:r>
      </w:hyperlink>
      <w:r w:rsidR="00D93502">
        <w:rPr>
          <w:rFonts w:eastAsiaTheme="minorEastAsia" w:cstheme="minorBidi"/>
          <w:b w:val="0"/>
          <w:bCs/>
          <w:noProof/>
          <w:sz w:val="22"/>
          <w:szCs w:val="22"/>
          <w:lang w:val="en-US" w:eastAsia="zh-CN"/>
        </w:rPr>
        <w:tab/>
      </w:r>
      <w:hyperlink w:anchor="_Toc86395580" w:history="1">
        <w:r w:rsidR="005C6E35" w:rsidRPr="00D93502">
          <w:rPr>
            <w:rStyle w:val="Hyperlink"/>
            <w:rFonts w:hint="eastAsia"/>
            <w:b w:val="0"/>
            <w:bCs/>
            <w:noProof/>
          </w:rPr>
          <w:t>国际电联成员国代表团参加国际电联的大会或会议</w:t>
        </w:r>
        <w:r w:rsidR="005C6E35" w:rsidRPr="00D93502">
          <w:rPr>
            <w:b w:val="0"/>
            <w:bCs/>
            <w:noProof/>
            <w:webHidden/>
          </w:rPr>
          <w:tab/>
        </w:r>
        <w:r w:rsid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_Toc86395580 \h </w:instrText>
        </w:r>
        <w:r w:rsidR="005C6E35" w:rsidRPr="00D93502">
          <w:rPr>
            <w:b w:val="0"/>
            <w:bCs/>
            <w:noProof/>
            <w:webHidden/>
          </w:rPr>
        </w:r>
        <w:r w:rsidR="005C6E35" w:rsidRPr="00D93502">
          <w:rPr>
            <w:b w:val="0"/>
            <w:bCs/>
            <w:noProof/>
            <w:webHidden/>
          </w:rPr>
          <w:fldChar w:fldCharType="separate"/>
        </w:r>
        <w:r w:rsidR="00E305D2">
          <w:rPr>
            <w:b w:val="0"/>
            <w:bCs/>
            <w:noProof/>
            <w:webHidden/>
          </w:rPr>
          <w:t>109</w:t>
        </w:r>
        <w:r w:rsidR="005C6E35" w:rsidRPr="00D93502">
          <w:rPr>
            <w:b w:val="0"/>
            <w:bCs/>
            <w:noProof/>
            <w:webHidden/>
          </w:rPr>
          <w:fldChar w:fldCharType="end"/>
        </w:r>
      </w:hyperlink>
    </w:p>
    <w:p w14:paraId="59917D89" w14:textId="06319FEC" w:rsidR="005C6E35" w:rsidRPr="00D93502" w:rsidRDefault="00F71B18">
      <w:pPr>
        <w:pStyle w:val="TOC10"/>
        <w:rPr>
          <w:rFonts w:eastAsiaTheme="minorEastAsia" w:cstheme="minorBidi"/>
          <w:b w:val="0"/>
          <w:bCs/>
          <w:noProof/>
          <w:sz w:val="22"/>
          <w:szCs w:val="22"/>
          <w:lang w:val="en-US" w:eastAsia="zh-CN"/>
        </w:rPr>
      </w:pPr>
      <w:hyperlink w:anchor="_Toc86395581" w:history="1">
        <w:r w:rsidR="005C6E35" w:rsidRPr="00D93502">
          <w:rPr>
            <w:rStyle w:val="Hyperlink"/>
            <w:rFonts w:hint="eastAsia"/>
            <w:b w:val="0"/>
            <w:bCs/>
            <w:noProof/>
          </w:rPr>
          <w:t>第</w:t>
        </w:r>
        <w:r w:rsidR="005C6E35" w:rsidRPr="00D93502">
          <w:rPr>
            <w:rStyle w:val="Hyperlink"/>
            <w:b w:val="0"/>
            <w:bCs/>
            <w:noProof/>
          </w:rPr>
          <w:t>307</w:t>
        </w:r>
        <w:r w:rsidR="005C6E35" w:rsidRPr="00D93502">
          <w:rPr>
            <w:rStyle w:val="Hyperlink"/>
            <w:rFonts w:hint="eastAsia"/>
            <w:b w:val="0"/>
            <w:bCs/>
            <w:noProof/>
          </w:rPr>
          <w:t>号决定</w:t>
        </w:r>
      </w:hyperlink>
      <w:r w:rsidR="00D93502">
        <w:rPr>
          <w:rFonts w:eastAsiaTheme="minorEastAsia" w:cstheme="minorBidi"/>
          <w:b w:val="0"/>
          <w:bCs/>
          <w:noProof/>
          <w:sz w:val="22"/>
          <w:szCs w:val="22"/>
          <w:lang w:val="en-US" w:eastAsia="zh-CN"/>
        </w:rPr>
        <w:tab/>
      </w:r>
      <w:hyperlink w:anchor="_Toc86395582" w:history="1">
        <w:r w:rsidR="005C6E35" w:rsidRPr="00D93502">
          <w:rPr>
            <w:rStyle w:val="Hyperlink"/>
            <w:rFonts w:hint="eastAsia"/>
            <w:b w:val="0"/>
            <w:bCs/>
            <w:noProof/>
          </w:rPr>
          <w:t>区域性大会</w:t>
        </w:r>
        <w:r w:rsidR="005C6E35" w:rsidRPr="00D93502">
          <w:rPr>
            <w:b w:val="0"/>
            <w:bCs/>
            <w:noProof/>
            <w:webHidden/>
          </w:rPr>
          <w:tab/>
        </w:r>
        <w:r w:rsid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_Toc86395582 \h </w:instrText>
        </w:r>
        <w:r w:rsidR="005C6E35" w:rsidRPr="00D93502">
          <w:rPr>
            <w:b w:val="0"/>
            <w:bCs/>
            <w:noProof/>
            <w:webHidden/>
          </w:rPr>
        </w:r>
        <w:r w:rsidR="005C6E35" w:rsidRPr="00D93502">
          <w:rPr>
            <w:b w:val="0"/>
            <w:bCs/>
            <w:noProof/>
            <w:webHidden/>
          </w:rPr>
          <w:fldChar w:fldCharType="separate"/>
        </w:r>
        <w:r w:rsidR="00E305D2">
          <w:rPr>
            <w:b w:val="0"/>
            <w:bCs/>
            <w:noProof/>
            <w:webHidden/>
          </w:rPr>
          <w:t>110</w:t>
        </w:r>
        <w:r w:rsidR="005C6E35" w:rsidRPr="00D93502">
          <w:rPr>
            <w:b w:val="0"/>
            <w:bCs/>
            <w:noProof/>
            <w:webHidden/>
          </w:rPr>
          <w:fldChar w:fldCharType="end"/>
        </w:r>
      </w:hyperlink>
    </w:p>
    <w:p w14:paraId="3D89E6B5" w14:textId="3E306FE0" w:rsidR="005C6E35" w:rsidRPr="00D93502" w:rsidRDefault="00F71B18">
      <w:pPr>
        <w:pStyle w:val="TOC10"/>
        <w:rPr>
          <w:rFonts w:eastAsiaTheme="minorEastAsia" w:cstheme="minorBidi"/>
          <w:noProof/>
          <w:sz w:val="22"/>
          <w:szCs w:val="22"/>
          <w:lang w:val="en-US" w:eastAsia="zh-CN"/>
        </w:rPr>
      </w:pPr>
      <w:hyperlink w:anchor="_Toc86395583" w:history="1">
        <w:r w:rsidR="005C6E35" w:rsidRPr="00D93502">
          <w:rPr>
            <w:rStyle w:val="Hyperlink"/>
            <w:noProof/>
            <w:lang w:eastAsia="zh-CN"/>
          </w:rPr>
          <w:t>3.2</w:t>
        </w:r>
        <w:r w:rsidR="005C6E35" w:rsidRPr="00D93502">
          <w:rPr>
            <w:rFonts w:eastAsiaTheme="minorEastAsia" w:cstheme="minorBidi"/>
            <w:noProof/>
            <w:sz w:val="22"/>
            <w:szCs w:val="22"/>
            <w:lang w:val="en-US" w:eastAsia="zh-CN"/>
          </w:rPr>
          <w:tab/>
        </w:r>
        <w:r w:rsidR="005C6E35" w:rsidRPr="00D93502">
          <w:rPr>
            <w:rStyle w:val="Hyperlink"/>
            <w:rFonts w:hint="eastAsia"/>
            <w:noProof/>
            <w:lang w:eastAsia="zh-CN"/>
          </w:rPr>
          <w:t>理事会</w:t>
        </w:r>
        <w:r w:rsidR="005C6E35" w:rsidRPr="00D93502">
          <w:rPr>
            <w:noProof/>
            <w:webHidden/>
          </w:rPr>
          <w:tab/>
        </w:r>
        <w:r w:rsidR="00D93502">
          <w:rPr>
            <w:noProof/>
            <w:webHidden/>
          </w:rPr>
          <w:tab/>
        </w:r>
        <w:r w:rsidR="005C6E35" w:rsidRPr="00D93502">
          <w:rPr>
            <w:noProof/>
            <w:webHidden/>
          </w:rPr>
          <w:fldChar w:fldCharType="begin"/>
        </w:r>
        <w:r w:rsidR="005C6E35" w:rsidRPr="00D93502">
          <w:rPr>
            <w:noProof/>
            <w:webHidden/>
          </w:rPr>
          <w:instrText xml:space="preserve"> PAGEREF _Toc86395583 \h </w:instrText>
        </w:r>
        <w:r w:rsidR="005C6E35" w:rsidRPr="00D93502">
          <w:rPr>
            <w:noProof/>
            <w:webHidden/>
          </w:rPr>
        </w:r>
        <w:r w:rsidR="005C6E35" w:rsidRPr="00D93502">
          <w:rPr>
            <w:noProof/>
            <w:webHidden/>
          </w:rPr>
          <w:fldChar w:fldCharType="separate"/>
        </w:r>
        <w:r w:rsidR="00E305D2">
          <w:rPr>
            <w:noProof/>
            <w:webHidden/>
          </w:rPr>
          <w:t>111</w:t>
        </w:r>
        <w:r w:rsidR="005C6E35" w:rsidRPr="00D93502">
          <w:rPr>
            <w:noProof/>
            <w:webHidden/>
          </w:rPr>
          <w:fldChar w:fldCharType="end"/>
        </w:r>
      </w:hyperlink>
    </w:p>
    <w:p w14:paraId="2122EA5C" w14:textId="46974C99" w:rsidR="005C6E35" w:rsidRPr="00D93502" w:rsidRDefault="00F71B18">
      <w:pPr>
        <w:pStyle w:val="TOC10"/>
        <w:rPr>
          <w:rFonts w:eastAsiaTheme="minorEastAsia" w:cstheme="minorBidi"/>
          <w:b w:val="0"/>
          <w:bCs/>
          <w:noProof/>
          <w:sz w:val="22"/>
          <w:szCs w:val="22"/>
          <w:lang w:val="en-US" w:eastAsia="zh-CN"/>
        </w:rPr>
      </w:pPr>
      <w:hyperlink w:anchor="_Toc86395584" w:history="1">
        <w:r w:rsidR="005C6E35" w:rsidRPr="00D93502">
          <w:rPr>
            <w:rStyle w:val="Hyperlink"/>
            <w:rFonts w:hint="eastAsia"/>
            <w:b w:val="0"/>
            <w:bCs/>
            <w:noProof/>
            <w:lang w:eastAsia="zh-CN"/>
          </w:rPr>
          <w:t>第</w:t>
        </w:r>
        <w:r w:rsidR="005C6E35" w:rsidRPr="00D93502">
          <w:rPr>
            <w:rStyle w:val="Hyperlink"/>
            <w:b w:val="0"/>
            <w:bCs/>
            <w:noProof/>
            <w:lang w:eastAsia="zh-CN"/>
          </w:rPr>
          <w:t>2</w:t>
        </w:r>
        <w:r w:rsidR="005C6E35" w:rsidRPr="00D93502">
          <w:rPr>
            <w:rStyle w:val="Hyperlink"/>
            <w:rFonts w:hint="eastAsia"/>
            <w:b w:val="0"/>
            <w:bCs/>
            <w:noProof/>
            <w:lang w:eastAsia="zh-CN"/>
          </w:rPr>
          <w:t>号决议</w:t>
        </w:r>
      </w:hyperlink>
      <w:r w:rsidR="00D93502">
        <w:rPr>
          <w:rFonts w:eastAsiaTheme="minorEastAsia" w:cstheme="minorBidi"/>
          <w:b w:val="0"/>
          <w:bCs/>
          <w:noProof/>
          <w:sz w:val="22"/>
          <w:szCs w:val="22"/>
          <w:lang w:val="en-US" w:eastAsia="zh-CN"/>
        </w:rPr>
        <w:tab/>
      </w:r>
      <w:hyperlink w:anchor="_Toc86395585" w:history="1">
        <w:r w:rsidR="005C6E35" w:rsidRPr="00D93502">
          <w:rPr>
            <w:rStyle w:val="Hyperlink"/>
            <w:rFonts w:hint="eastAsia"/>
            <w:b w:val="0"/>
            <w:bCs/>
            <w:noProof/>
            <w:lang w:eastAsia="zh-CN"/>
          </w:rPr>
          <w:t>理事国参加理事会会议</w:t>
        </w:r>
        <w:r w:rsidR="005C6E35" w:rsidRPr="00D93502">
          <w:rPr>
            <w:b w:val="0"/>
            <w:bCs/>
            <w:noProof/>
            <w:webHidden/>
          </w:rPr>
          <w:tab/>
        </w:r>
        <w:r w:rsid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_Toc86395585 \h </w:instrText>
        </w:r>
        <w:r w:rsidR="005C6E35" w:rsidRPr="00D93502">
          <w:rPr>
            <w:b w:val="0"/>
            <w:bCs/>
            <w:noProof/>
            <w:webHidden/>
          </w:rPr>
        </w:r>
        <w:r w:rsidR="005C6E35" w:rsidRPr="00D93502">
          <w:rPr>
            <w:b w:val="0"/>
            <w:bCs/>
            <w:noProof/>
            <w:webHidden/>
          </w:rPr>
          <w:fldChar w:fldCharType="separate"/>
        </w:r>
        <w:r w:rsidR="00E305D2">
          <w:rPr>
            <w:b w:val="0"/>
            <w:bCs/>
            <w:noProof/>
            <w:webHidden/>
          </w:rPr>
          <w:t>111</w:t>
        </w:r>
        <w:r w:rsidR="005C6E35" w:rsidRPr="00D93502">
          <w:rPr>
            <w:b w:val="0"/>
            <w:bCs/>
            <w:noProof/>
            <w:webHidden/>
          </w:rPr>
          <w:fldChar w:fldCharType="end"/>
        </w:r>
      </w:hyperlink>
    </w:p>
    <w:p w14:paraId="4572F76E" w14:textId="1D3ED8DF" w:rsidR="005C6E35" w:rsidRPr="00F3168F" w:rsidRDefault="00F71B18">
      <w:pPr>
        <w:pStyle w:val="TOC10"/>
        <w:rPr>
          <w:rFonts w:eastAsiaTheme="minorEastAsia" w:cstheme="minorBidi"/>
          <w:b w:val="0"/>
          <w:bCs/>
          <w:noProof/>
          <w:sz w:val="22"/>
          <w:szCs w:val="22"/>
          <w:lang w:val="en-US" w:eastAsia="zh-CN"/>
        </w:rPr>
      </w:pPr>
      <w:hyperlink w:anchor="_Toc86395586" w:history="1">
        <w:r w:rsidR="005C6E35" w:rsidRPr="00D93502">
          <w:rPr>
            <w:rStyle w:val="Hyperlink"/>
            <w:rFonts w:ascii="SimSun" w:hAnsi="SimSun" w:hint="eastAsia"/>
            <w:b w:val="0"/>
            <w:bCs/>
            <w:noProof/>
            <w:lang w:eastAsia="zh-CN"/>
          </w:rPr>
          <w:t>第</w:t>
        </w:r>
        <w:r w:rsidR="005C6E35" w:rsidRPr="00D93502">
          <w:rPr>
            <w:rStyle w:val="Hyperlink"/>
            <w:b w:val="0"/>
            <w:bCs/>
            <w:noProof/>
            <w:lang w:eastAsia="zh-CN"/>
          </w:rPr>
          <w:t>687</w:t>
        </w:r>
        <w:r w:rsidR="005C6E35" w:rsidRPr="00D93502">
          <w:rPr>
            <w:rStyle w:val="Hyperlink"/>
            <w:rFonts w:ascii="SimSun" w:hAnsi="SimSun" w:hint="eastAsia"/>
            <w:b w:val="0"/>
            <w:bCs/>
            <w:noProof/>
            <w:lang w:eastAsia="zh-CN"/>
          </w:rPr>
          <w:t>号决议</w:t>
        </w:r>
      </w:hyperlink>
      <w:r w:rsidR="00D93502">
        <w:rPr>
          <w:rFonts w:eastAsiaTheme="minorEastAsia" w:cstheme="minorBidi"/>
          <w:b w:val="0"/>
          <w:bCs/>
          <w:noProof/>
          <w:sz w:val="22"/>
          <w:szCs w:val="22"/>
          <w:lang w:val="en-US" w:eastAsia="zh-CN"/>
        </w:rPr>
        <w:tab/>
      </w:r>
      <w:hyperlink w:anchor="_Toc86395587" w:history="1">
        <w:r w:rsidR="005C6E35" w:rsidRPr="00F3168F">
          <w:rPr>
            <w:rStyle w:val="Hyperlink"/>
            <w:rFonts w:hint="eastAsia"/>
            <w:b w:val="0"/>
            <w:bCs/>
            <w:noProof/>
            <w:color w:val="auto"/>
            <w:lang w:eastAsia="zh-CN"/>
          </w:rPr>
          <w:t>理事国代表的差旅费和每日生活津贴</w:t>
        </w:r>
        <w:r w:rsidR="005C6E35" w:rsidRPr="00F3168F">
          <w:rPr>
            <w:b w:val="0"/>
            <w:bCs/>
            <w:noProof/>
            <w:webHidden/>
          </w:rPr>
          <w:tab/>
        </w:r>
        <w:r w:rsidR="00D93502" w:rsidRPr="00F3168F">
          <w:rPr>
            <w:b w:val="0"/>
            <w:bCs/>
            <w:noProof/>
            <w:webHidden/>
          </w:rPr>
          <w:tab/>
        </w:r>
        <w:r w:rsidR="005C6E35" w:rsidRPr="00F3168F">
          <w:rPr>
            <w:b w:val="0"/>
            <w:bCs/>
            <w:noProof/>
            <w:webHidden/>
          </w:rPr>
          <w:fldChar w:fldCharType="begin"/>
        </w:r>
        <w:r w:rsidR="005C6E35" w:rsidRPr="00F3168F">
          <w:rPr>
            <w:b w:val="0"/>
            <w:bCs/>
            <w:noProof/>
            <w:webHidden/>
          </w:rPr>
          <w:instrText xml:space="preserve"> PAGEREF _Toc86395587 \h </w:instrText>
        </w:r>
        <w:r w:rsidR="005C6E35" w:rsidRPr="00F3168F">
          <w:rPr>
            <w:b w:val="0"/>
            <w:bCs/>
            <w:noProof/>
            <w:webHidden/>
          </w:rPr>
        </w:r>
        <w:r w:rsidR="005C6E35" w:rsidRPr="00F3168F">
          <w:rPr>
            <w:b w:val="0"/>
            <w:bCs/>
            <w:noProof/>
            <w:webHidden/>
          </w:rPr>
          <w:fldChar w:fldCharType="separate"/>
        </w:r>
        <w:r w:rsidR="00E305D2">
          <w:rPr>
            <w:b w:val="0"/>
            <w:bCs/>
            <w:noProof/>
            <w:webHidden/>
          </w:rPr>
          <w:t>111</w:t>
        </w:r>
        <w:r w:rsidR="005C6E35" w:rsidRPr="00F3168F">
          <w:rPr>
            <w:b w:val="0"/>
            <w:bCs/>
            <w:noProof/>
            <w:webHidden/>
          </w:rPr>
          <w:fldChar w:fldCharType="end"/>
        </w:r>
      </w:hyperlink>
    </w:p>
    <w:p w14:paraId="0FEC8B3B" w14:textId="11C3C870" w:rsidR="00D93502" w:rsidRPr="00F3168F" w:rsidRDefault="00D93502" w:rsidP="00D93502">
      <w:pPr>
        <w:pStyle w:val="TOC10"/>
        <w:keepLines w:val="0"/>
        <w:tabs>
          <w:tab w:val="clear" w:pos="1701"/>
          <w:tab w:val="left" w:pos="964"/>
          <w:tab w:val="left" w:leader="dot" w:pos="8789"/>
        </w:tabs>
        <w:spacing w:before="240"/>
        <w:ind w:left="964" w:hanging="964"/>
        <w:rPr>
          <w:rStyle w:val="Hyperlink"/>
          <w:b w:val="0"/>
          <w:bCs/>
          <w:noProof/>
          <w:color w:val="auto"/>
        </w:rPr>
      </w:pPr>
      <w:r w:rsidRPr="00F3168F">
        <w:rPr>
          <w:rStyle w:val="Hyperlink"/>
          <w:b w:val="0"/>
          <w:bCs/>
          <w:noProof/>
          <w:color w:val="auto"/>
        </w:rPr>
        <w:br w:type="page"/>
      </w:r>
    </w:p>
    <w:p w14:paraId="1EED28D0" w14:textId="2164231E" w:rsidR="00AE3990" w:rsidRPr="00AE3990" w:rsidRDefault="00AE3990" w:rsidP="00AE3990">
      <w:pPr>
        <w:pStyle w:val="toc0"/>
        <w:keepNext/>
        <w:keepLines/>
        <w:tabs>
          <w:tab w:val="clear" w:pos="8789"/>
          <w:tab w:val="left" w:pos="1191"/>
          <w:tab w:val="left" w:pos="1588"/>
          <w:tab w:val="left" w:pos="1985"/>
        </w:tabs>
        <w:ind w:right="-1"/>
        <w:jc w:val="right"/>
        <w:rPr>
          <w:rFonts w:eastAsia="Times New Roman"/>
          <w:b w:val="0"/>
          <w:bCs/>
          <w:noProof/>
          <w:sz w:val="22"/>
        </w:rPr>
      </w:pPr>
      <w:r w:rsidRPr="00AE3990">
        <w:rPr>
          <w:rFonts w:ascii="STKaiti" w:eastAsia="STKaiti" w:hAnsi="STKaiti" w:cs="Microsoft YaHei"/>
          <w:b w:val="0"/>
          <w:bCs/>
          <w:noProof/>
          <w:sz w:val="22"/>
        </w:rPr>
        <w:lastRenderedPageBreak/>
        <w:t>页码</w:t>
      </w:r>
    </w:p>
    <w:p w14:paraId="01580B68" w14:textId="5854BD5F" w:rsidR="005C6E35" w:rsidRPr="00D93502" w:rsidRDefault="00F71B18">
      <w:pPr>
        <w:pStyle w:val="TOC10"/>
        <w:rPr>
          <w:rFonts w:eastAsiaTheme="minorEastAsia" w:cstheme="minorBidi"/>
          <w:b w:val="0"/>
          <w:bCs/>
          <w:noProof/>
          <w:sz w:val="22"/>
          <w:szCs w:val="22"/>
          <w:lang w:val="en-US" w:eastAsia="zh-CN"/>
        </w:rPr>
      </w:pPr>
      <w:hyperlink w:anchor="_Toc86395588" w:history="1">
        <w:r w:rsidR="005C6E35" w:rsidRPr="00D93502">
          <w:rPr>
            <w:rStyle w:val="Hyperlink"/>
            <w:rFonts w:hint="eastAsia"/>
            <w:b w:val="0"/>
            <w:bCs/>
            <w:noProof/>
            <w:lang w:eastAsia="zh-CN"/>
          </w:rPr>
          <w:t>第</w:t>
        </w:r>
        <w:r w:rsidR="005C6E35" w:rsidRPr="00D93502">
          <w:rPr>
            <w:rStyle w:val="Hyperlink"/>
            <w:b w:val="0"/>
            <w:bCs/>
            <w:noProof/>
            <w:lang w:eastAsia="zh-CN"/>
          </w:rPr>
          <w:t>1305</w:t>
        </w:r>
        <w:r w:rsidR="005C6E35" w:rsidRPr="00D93502">
          <w:rPr>
            <w:rStyle w:val="Hyperlink"/>
            <w:rFonts w:hint="eastAsia"/>
            <w:b w:val="0"/>
            <w:bCs/>
            <w:noProof/>
            <w:lang w:eastAsia="zh-CN"/>
          </w:rPr>
          <w:t>号决议</w:t>
        </w:r>
      </w:hyperlink>
      <w:r w:rsidR="00D93502">
        <w:rPr>
          <w:rFonts w:eastAsiaTheme="minorEastAsia" w:cstheme="minorBidi"/>
          <w:b w:val="0"/>
          <w:bCs/>
          <w:noProof/>
          <w:sz w:val="22"/>
          <w:szCs w:val="22"/>
          <w:lang w:val="en-US" w:eastAsia="zh-CN"/>
        </w:rPr>
        <w:tab/>
      </w:r>
      <w:hyperlink w:anchor="_Toc86395589" w:history="1">
        <w:r w:rsidR="005C6E35" w:rsidRPr="00D93502">
          <w:rPr>
            <w:rStyle w:val="Hyperlink"/>
            <w:rFonts w:hint="eastAsia"/>
            <w:b w:val="0"/>
            <w:bCs/>
            <w:noProof/>
            <w:lang w:val="en-US" w:eastAsia="zh-CN"/>
          </w:rPr>
          <w:t>确定互联网相关公共政策问题专门组的职责</w:t>
        </w:r>
        <w:r w:rsidR="005C6E35" w:rsidRPr="00D93502">
          <w:rPr>
            <w:b w:val="0"/>
            <w:bCs/>
            <w:noProof/>
            <w:webHidden/>
          </w:rPr>
          <w:tab/>
        </w:r>
        <w:r w:rsid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_Toc86395589 \h </w:instrText>
        </w:r>
        <w:r w:rsidR="005C6E35" w:rsidRPr="00D93502">
          <w:rPr>
            <w:b w:val="0"/>
            <w:bCs/>
            <w:noProof/>
            <w:webHidden/>
          </w:rPr>
        </w:r>
        <w:r w:rsidR="005C6E35" w:rsidRPr="00D93502">
          <w:rPr>
            <w:b w:val="0"/>
            <w:bCs/>
            <w:noProof/>
            <w:webHidden/>
          </w:rPr>
          <w:fldChar w:fldCharType="separate"/>
        </w:r>
        <w:r w:rsidR="00E305D2">
          <w:rPr>
            <w:b w:val="0"/>
            <w:bCs/>
            <w:noProof/>
            <w:webHidden/>
          </w:rPr>
          <w:t>112</w:t>
        </w:r>
        <w:r w:rsidR="005C6E35" w:rsidRPr="00D93502">
          <w:rPr>
            <w:b w:val="0"/>
            <w:bCs/>
            <w:noProof/>
            <w:webHidden/>
          </w:rPr>
          <w:fldChar w:fldCharType="end"/>
        </w:r>
      </w:hyperlink>
    </w:p>
    <w:p w14:paraId="68F76EB8" w14:textId="69BC0988" w:rsidR="005C6E35" w:rsidRPr="00D93502" w:rsidRDefault="00F71B18">
      <w:pPr>
        <w:pStyle w:val="TOC10"/>
        <w:rPr>
          <w:rFonts w:eastAsiaTheme="minorEastAsia" w:cstheme="minorBidi"/>
          <w:b w:val="0"/>
          <w:bCs/>
          <w:noProof/>
          <w:sz w:val="22"/>
          <w:szCs w:val="22"/>
          <w:lang w:val="en-US" w:eastAsia="zh-CN"/>
        </w:rPr>
      </w:pPr>
      <w:hyperlink w:anchor="_Toc86395590" w:history="1">
        <w:r w:rsidR="005C6E35" w:rsidRPr="00D93502">
          <w:rPr>
            <w:rStyle w:val="Hyperlink"/>
            <w:rFonts w:hint="eastAsia"/>
            <w:b w:val="0"/>
            <w:bCs/>
            <w:noProof/>
            <w:lang w:eastAsia="zh-CN"/>
          </w:rPr>
          <w:t>第</w:t>
        </w:r>
        <w:r w:rsidR="005C6E35" w:rsidRPr="00D93502">
          <w:rPr>
            <w:rStyle w:val="Hyperlink"/>
            <w:b w:val="0"/>
            <w:bCs/>
            <w:noProof/>
            <w:lang w:eastAsia="zh-CN"/>
          </w:rPr>
          <w:t>1306</w:t>
        </w:r>
        <w:r w:rsidR="005C6E35" w:rsidRPr="00D93502">
          <w:rPr>
            <w:rStyle w:val="Hyperlink"/>
            <w:rFonts w:hint="eastAsia"/>
            <w:b w:val="0"/>
            <w:bCs/>
            <w:noProof/>
            <w:lang w:eastAsia="zh-CN"/>
          </w:rPr>
          <w:t>号决议</w:t>
        </w:r>
      </w:hyperlink>
      <w:r w:rsidR="00D93502">
        <w:rPr>
          <w:rFonts w:eastAsiaTheme="minorEastAsia" w:cstheme="minorBidi"/>
          <w:b w:val="0"/>
          <w:bCs/>
          <w:noProof/>
          <w:sz w:val="22"/>
          <w:szCs w:val="22"/>
          <w:lang w:val="en-US" w:eastAsia="zh-CN"/>
        </w:rPr>
        <w:tab/>
      </w:r>
      <w:hyperlink w:anchor="_Toc86395591" w:history="1">
        <w:r w:rsidR="005C6E35" w:rsidRPr="00D93502">
          <w:rPr>
            <w:rStyle w:val="Hyperlink"/>
            <w:rFonts w:hint="eastAsia"/>
            <w:b w:val="0"/>
            <w:bCs/>
            <w:noProof/>
            <w:lang w:val="fr-CH" w:eastAsia="zh-CN"/>
          </w:rPr>
          <w:t>理事会保护上网儿童工作组</w:t>
        </w:r>
        <w:r w:rsidR="005C6E35" w:rsidRPr="00D93502">
          <w:rPr>
            <w:b w:val="0"/>
            <w:bCs/>
            <w:noProof/>
            <w:webHidden/>
          </w:rPr>
          <w:tab/>
        </w:r>
        <w:r w:rsid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_Toc86395591 \h </w:instrText>
        </w:r>
        <w:r w:rsidR="005C6E35" w:rsidRPr="00D93502">
          <w:rPr>
            <w:b w:val="0"/>
            <w:bCs/>
            <w:noProof/>
            <w:webHidden/>
          </w:rPr>
        </w:r>
        <w:r w:rsidR="005C6E35" w:rsidRPr="00D93502">
          <w:rPr>
            <w:b w:val="0"/>
            <w:bCs/>
            <w:noProof/>
            <w:webHidden/>
          </w:rPr>
          <w:fldChar w:fldCharType="separate"/>
        </w:r>
        <w:r w:rsidR="00E305D2">
          <w:rPr>
            <w:b w:val="0"/>
            <w:bCs/>
            <w:noProof/>
            <w:webHidden/>
          </w:rPr>
          <w:t>115</w:t>
        </w:r>
        <w:r w:rsidR="005C6E35" w:rsidRPr="00D93502">
          <w:rPr>
            <w:b w:val="0"/>
            <w:bCs/>
            <w:noProof/>
            <w:webHidden/>
          </w:rPr>
          <w:fldChar w:fldCharType="end"/>
        </w:r>
      </w:hyperlink>
    </w:p>
    <w:p w14:paraId="240A1650" w14:textId="7862C6CF" w:rsidR="005C6E35" w:rsidRPr="00D93502" w:rsidRDefault="00F71B18">
      <w:pPr>
        <w:pStyle w:val="TOC10"/>
        <w:rPr>
          <w:rFonts w:eastAsiaTheme="minorEastAsia" w:cstheme="minorBidi"/>
          <w:b w:val="0"/>
          <w:bCs/>
          <w:noProof/>
          <w:sz w:val="22"/>
          <w:szCs w:val="22"/>
          <w:lang w:val="en-US" w:eastAsia="zh-CN"/>
        </w:rPr>
      </w:pPr>
      <w:hyperlink w:anchor="_Toc86395592" w:history="1">
        <w:r w:rsidR="005C6E35" w:rsidRPr="00D93502">
          <w:rPr>
            <w:rStyle w:val="Hyperlink"/>
            <w:rFonts w:hint="eastAsia"/>
            <w:b w:val="0"/>
            <w:bCs/>
            <w:noProof/>
            <w:lang w:eastAsia="zh-CN"/>
          </w:rPr>
          <w:t>第</w:t>
        </w:r>
        <w:r w:rsidR="005C6E35" w:rsidRPr="00D93502">
          <w:rPr>
            <w:rStyle w:val="Hyperlink"/>
            <w:b w:val="0"/>
            <w:bCs/>
            <w:noProof/>
            <w:lang w:eastAsia="zh-CN"/>
          </w:rPr>
          <w:t>1332</w:t>
        </w:r>
        <w:r w:rsidR="005C6E35" w:rsidRPr="00D93502">
          <w:rPr>
            <w:rStyle w:val="Hyperlink"/>
            <w:rFonts w:hint="eastAsia"/>
            <w:b w:val="0"/>
            <w:bCs/>
            <w:noProof/>
            <w:lang w:eastAsia="zh-CN"/>
          </w:rPr>
          <w:t>号决议</w:t>
        </w:r>
      </w:hyperlink>
      <w:r w:rsidR="00D93502">
        <w:rPr>
          <w:rFonts w:eastAsiaTheme="minorEastAsia" w:cstheme="minorBidi"/>
          <w:b w:val="0"/>
          <w:bCs/>
          <w:noProof/>
          <w:sz w:val="22"/>
          <w:szCs w:val="22"/>
          <w:lang w:val="en-US" w:eastAsia="zh-CN"/>
        </w:rPr>
        <w:tab/>
      </w:r>
      <w:hyperlink w:anchor="_Toc86395593" w:history="1">
        <w:r w:rsidR="005C6E35" w:rsidRPr="00D93502">
          <w:rPr>
            <w:rStyle w:val="Hyperlink"/>
            <w:rFonts w:hint="eastAsia"/>
            <w:b w:val="0"/>
            <w:bCs/>
            <w:noProof/>
            <w:lang w:eastAsia="zh-CN"/>
          </w:rPr>
          <w:t>国际电联在落实信息社会世界峰会（</w:t>
        </w:r>
        <w:r w:rsidR="005C6E35" w:rsidRPr="00D93502">
          <w:rPr>
            <w:rStyle w:val="Hyperlink"/>
            <w:b w:val="0"/>
            <w:bCs/>
            <w:noProof/>
            <w:lang w:eastAsia="zh-CN"/>
          </w:rPr>
          <w:t>WSIS</w:t>
        </w:r>
        <w:r w:rsidR="005C6E35" w:rsidRPr="00D93502">
          <w:rPr>
            <w:rStyle w:val="Hyperlink"/>
            <w:rFonts w:hint="eastAsia"/>
            <w:b w:val="0"/>
            <w:bCs/>
            <w:noProof/>
            <w:lang w:eastAsia="zh-CN"/>
          </w:rPr>
          <w:t>）成果和《</w:t>
        </w:r>
        <w:r w:rsidR="005C6E35" w:rsidRPr="00D93502">
          <w:rPr>
            <w:rStyle w:val="Hyperlink"/>
            <w:b w:val="0"/>
            <w:bCs/>
            <w:noProof/>
            <w:lang w:eastAsia="zh-CN"/>
          </w:rPr>
          <w:t>2030</w:t>
        </w:r>
        <w:r w:rsidR="005C6E35" w:rsidRPr="00D93502">
          <w:rPr>
            <w:rStyle w:val="Hyperlink"/>
            <w:rFonts w:hint="eastAsia"/>
            <w:b w:val="0"/>
            <w:bCs/>
            <w:noProof/>
            <w:lang w:eastAsia="zh-CN"/>
          </w:rPr>
          <w:t>年可持续发展议程》方面的作用</w:t>
        </w:r>
        <w:r w:rsidR="005C6E35" w:rsidRPr="00D93502">
          <w:rPr>
            <w:b w:val="0"/>
            <w:bCs/>
            <w:noProof/>
            <w:webHidden/>
          </w:rPr>
          <w:tab/>
        </w:r>
        <w:r w:rsid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_Toc86395593 \h </w:instrText>
        </w:r>
        <w:r w:rsidR="005C6E35" w:rsidRPr="00D93502">
          <w:rPr>
            <w:b w:val="0"/>
            <w:bCs/>
            <w:noProof/>
            <w:webHidden/>
          </w:rPr>
        </w:r>
        <w:r w:rsidR="005C6E35" w:rsidRPr="00D93502">
          <w:rPr>
            <w:b w:val="0"/>
            <w:bCs/>
            <w:noProof/>
            <w:webHidden/>
          </w:rPr>
          <w:fldChar w:fldCharType="separate"/>
        </w:r>
        <w:r w:rsidR="00E305D2">
          <w:rPr>
            <w:b w:val="0"/>
            <w:bCs/>
            <w:noProof/>
            <w:webHidden/>
          </w:rPr>
          <w:t>117</w:t>
        </w:r>
        <w:r w:rsidR="005C6E35" w:rsidRPr="00D93502">
          <w:rPr>
            <w:b w:val="0"/>
            <w:bCs/>
            <w:noProof/>
            <w:webHidden/>
          </w:rPr>
          <w:fldChar w:fldCharType="end"/>
        </w:r>
      </w:hyperlink>
    </w:p>
    <w:p w14:paraId="47681E87" w14:textId="2AE4B296" w:rsidR="005C6E35" w:rsidRPr="00D93502" w:rsidRDefault="00F71B18">
      <w:pPr>
        <w:pStyle w:val="TOC10"/>
        <w:rPr>
          <w:rFonts w:eastAsiaTheme="minorEastAsia" w:cstheme="minorBidi"/>
          <w:b w:val="0"/>
          <w:bCs/>
          <w:noProof/>
          <w:sz w:val="22"/>
          <w:szCs w:val="22"/>
          <w:lang w:val="en-US" w:eastAsia="zh-CN"/>
        </w:rPr>
      </w:pPr>
      <w:hyperlink w:anchor="_Toc86395594" w:history="1">
        <w:r w:rsidR="005C6E35" w:rsidRPr="00D93502">
          <w:rPr>
            <w:rStyle w:val="Hyperlink"/>
            <w:rFonts w:hint="eastAsia"/>
            <w:b w:val="0"/>
            <w:bCs/>
            <w:noProof/>
            <w:lang w:eastAsia="zh-CN"/>
          </w:rPr>
          <w:t>第</w:t>
        </w:r>
        <w:r w:rsidR="005C6E35" w:rsidRPr="00D93502">
          <w:rPr>
            <w:rStyle w:val="Hyperlink"/>
            <w:b w:val="0"/>
            <w:bCs/>
            <w:noProof/>
            <w:lang w:eastAsia="zh-CN"/>
          </w:rPr>
          <w:t>1333</w:t>
        </w:r>
        <w:r w:rsidR="005C6E35" w:rsidRPr="00D93502">
          <w:rPr>
            <w:rStyle w:val="Hyperlink"/>
            <w:rFonts w:hint="eastAsia"/>
            <w:b w:val="0"/>
            <w:bCs/>
            <w:noProof/>
            <w:lang w:eastAsia="zh-CN"/>
          </w:rPr>
          <w:t>号决议</w:t>
        </w:r>
      </w:hyperlink>
      <w:r w:rsidR="00D93502">
        <w:rPr>
          <w:rFonts w:eastAsiaTheme="minorEastAsia" w:cstheme="minorBidi"/>
          <w:b w:val="0"/>
          <w:bCs/>
          <w:noProof/>
          <w:sz w:val="22"/>
          <w:szCs w:val="22"/>
          <w:lang w:val="en-US" w:eastAsia="zh-CN"/>
        </w:rPr>
        <w:tab/>
      </w:r>
      <w:hyperlink w:anchor="_Toc86395595" w:history="1">
        <w:r w:rsidR="005C6E35" w:rsidRPr="00D93502">
          <w:rPr>
            <w:rStyle w:val="Hyperlink"/>
            <w:rFonts w:hint="eastAsia"/>
            <w:b w:val="0"/>
            <w:bCs/>
            <w:noProof/>
            <w:lang w:eastAsia="zh-CN"/>
          </w:rPr>
          <w:t>成立、管理和终止理事会工作组的指导原则</w:t>
        </w:r>
        <w:r w:rsidR="005C6E35" w:rsidRPr="00D93502">
          <w:rPr>
            <w:b w:val="0"/>
            <w:bCs/>
            <w:noProof/>
            <w:webHidden/>
          </w:rPr>
          <w:tab/>
        </w:r>
        <w:r w:rsid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_Toc86395595 \h </w:instrText>
        </w:r>
        <w:r w:rsidR="005C6E35" w:rsidRPr="00D93502">
          <w:rPr>
            <w:b w:val="0"/>
            <w:bCs/>
            <w:noProof/>
            <w:webHidden/>
          </w:rPr>
        </w:r>
        <w:r w:rsidR="005C6E35" w:rsidRPr="00D93502">
          <w:rPr>
            <w:b w:val="0"/>
            <w:bCs/>
            <w:noProof/>
            <w:webHidden/>
          </w:rPr>
          <w:fldChar w:fldCharType="separate"/>
        </w:r>
        <w:r w:rsidR="00E305D2">
          <w:rPr>
            <w:b w:val="0"/>
            <w:bCs/>
            <w:noProof/>
            <w:webHidden/>
          </w:rPr>
          <w:t>123</w:t>
        </w:r>
        <w:r w:rsidR="005C6E35" w:rsidRPr="00D93502">
          <w:rPr>
            <w:b w:val="0"/>
            <w:bCs/>
            <w:noProof/>
            <w:webHidden/>
          </w:rPr>
          <w:fldChar w:fldCharType="end"/>
        </w:r>
      </w:hyperlink>
    </w:p>
    <w:p w14:paraId="2E10D8CB" w14:textId="04F42780" w:rsidR="005C6E35" w:rsidRPr="00D93502" w:rsidRDefault="00F71B18">
      <w:pPr>
        <w:pStyle w:val="TOC10"/>
        <w:rPr>
          <w:rFonts w:eastAsiaTheme="minorEastAsia" w:cstheme="minorBidi"/>
          <w:b w:val="0"/>
          <w:bCs/>
          <w:noProof/>
          <w:sz w:val="22"/>
          <w:szCs w:val="22"/>
          <w:lang w:val="en-US" w:eastAsia="zh-CN"/>
        </w:rPr>
      </w:pPr>
      <w:hyperlink w:anchor="_Toc86395596" w:history="1">
        <w:r w:rsidR="005C6E35" w:rsidRPr="00D93502">
          <w:rPr>
            <w:rStyle w:val="Hyperlink"/>
            <w:rFonts w:hint="eastAsia"/>
            <w:b w:val="0"/>
            <w:bCs/>
            <w:noProof/>
            <w:lang w:eastAsia="zh-CN"/>
          </w:rPr>
          <w:t>第</w:t>
        </w:r>
        <w:r w:rsidR="005C6E35" w:rsidRPr="00D93502">
          <w:rPr>
            <w:rStyle w:val="Hyperlink"/>
            <w:b w:val="0"/>
            <w:bCs/>
            <w:noProof/>
            <w:lang w:eastAsia="zh-CN"/>
          </w:rPr>
          <w:t>1334</w:t>
        </w:r>
        <w:r w:rsidR="005C6E35" w:rsidRPr="00D93502">
          <w:rPr>
            <w:rStyle w:val="Hyperlink"/>
            <w:rFonts w:hint="eastAsia"/>
            <w:b w:val="0"/>
            <w:bCs/>
            <w:noProof/>
            <w:lang w:eastAsia="zh-CN"/>
          </w:rPr>
          <w:t>号决议</w:t>
        </w:r>
      </w:hyperlink>
      <w:r w:rsidR="00D93502">
        <w:rPr>
          <w:rFonts w:eastAsiaTheme="minorEastAsia" w:cstheme="minorBidi"/>
          <w:noProof/>
          <w:sz w:val="22"/>
          <w:szCs w:val="22"/>
          <w:lang w:val="en-US" w:eastAsia="zh-CN"/>
        </w:rPr>
        <w:tab/>
      </w:r>
      <w:hyperlink w:anchor="_Toc86395597" w:history="1">
        <w:r w:rsidR="005C6E35" w:rsidRPr="00D93502">
          <w:rPr>
            <w:rStyle w:val="Hyperlink"/>
            <w:rFonts w:hint="eastAsia"/>
            <w:b w:val="0"/>
            <w:bCs/>
            <w:noProof/>
            <w:lang w:eastAsia="zh-CN"/>
          </w:rPr>
          <w:t>国际电联在全面审查信息社会世界高峰会议成果落实工作中的作用</w:t>
        </w:r>
        <w:r w:rsidR="005C6E35" w:rsidRPr="00D93502">
          <w:rPr>
            <w:b w:val="0"/>
            <w:bCs/>
            <w:noProof/>
            <w:webHidden/>
          </w:rPr>
          <w:tab/>
        </w:r>
        <w:r w:rsid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_Toc86395597 \h </w:instrText>
        </w:r>
        <w:r w:rsidR="005C6E35" w:rsidRPr="00D93502">
          <w:rPr>
            <w:b w:val="0"/>
            <w:bCs/>
            <w:noProof/>
            <w:webHidden/>
          </w:rPr>
        </w:r>
        <w:r w:rsidR="005C6E35" w:rsidRPr="00D93502">
          <w:rPr>
            <w:b w:val="0"/>
            <w:bCs/>
            <w:noProof/>
            <w:webHidden/>
          </w:rPr>
          <w:fldChar w:fldCharType="separate"/>
        </w:r>
        <w:r w:rsidR="00E305D2">
          <w:rPr>
            <w:b w:val="0"/>
            <w:bCs/>
            <w:noProof/>
            <w:webHidden/>
          </w:rPr>
          <w:t>125</w:t>
        </w:r>
        <w:r w:rsidR="005C6E35" w:rsidRPr="00D93502">
          <w:rPr>
            <w:b w:val="0"/>
            <w:bCs/>
            <w:noProof/>
            <w:webHidden/>
          </w:rPr>
          <w:fldChar w:fldCharType="end"/>
        </w:r>
      </w:hyperlink>
    </w:p>
    <w:p w14:paraId="296BFC4F" w14:textId="6F6F8BA1" w:rsidR="005C6E35" w:rsidRPr="00D93502" w:rsidRDefault="00F71B18">
      <w:pPr>
        <w:pStyle w:val="TOC10"/>
        <w:rPr>
          <w:rFonts w:eastAsiaTheme="minorEastAsia" w:cstheme="minorBidi"/>
          <w:b w:val="0"/>
          <w:bCs/>
          <w:noProof/>
          <w:sz w:val="22"/>
          <w:szCs w:val="22"/>
          <w:lang w:val="en-US" w:eastAsia="zh-CN"/>
        </w:rPr>
      </w:pPr>
      <w:hyperlink w:anchor="_Toc86395598" w:history="1">
        <w:r w:rsidR="005C6E35" w:rsidRPr="00D93502">
          <w:rPr>
            <w:rStyle w:val="Hyperlink"/>
            <w:rFonts w:hint="eastAsia"/>
            <w:b w:val="0"/>
            <w:bCs/>
            <w:noProof/>
            <w:lang w:eastAsia="zh-CN"/>
          </w:rPr>
          <w:t>第</w:t>
        </w:r>
        <w:r w:rsidR="005C6E35" w:rsidRPr="00D93502">
          <w:rPr>
            <w:rStyle w:val="Hyperlink"/>
            <w:b w:val="0"/>
            <w:bCs/>
            <w:noProof/>
            <w:lang w:eastAsia="zh-CN"/>
          </w:rPr>
          <w:t>1336</w:t>
        </w:r>
        <w:r w:rsidR="005C6E35" w:rsidRPr="00D93502">
          <w:rPr>
            <w:rStyle w:val="Hyperlink"/>
            <w:rFonts w:hint="eastAsia"/>
            <w:b w:val="0"/>
            <w:bCs/>
            <w:noProof/>
            <w:lang w:eastAsia="zh-CN"/>
          </w:rPr>
          <w:t>号决议</w:t>
        </w:r>
      </w:hyperlink>
      <w:r w:rsidR="00D93502">
        <w:rPr>
          <w:rFonts w:eastAsiaTheme="minorEastAsia" w:cstheme="minorBidi"/>
          <w:b w:val="0"/>
          <w:bCs/>
          <w:noProof/>
          <w:sz w:val="22"/>
          <w:szCs w:val="22"/>
          <w:lang w:val="en-US" w:eastAsia="zh-CN"/>
        </w:rPr>
        <w:tab/>
      </w:r>
      <w:hyperlink w:anchor="_Toc86395599" w:history="1">
        <w:r w:rsidR="005C6E35" w:rsidRPr="00D93502">
          <w:rPr>
            <w:rStyle w:val="Hyperlink"/>
            <w:rFonts w:hint="eastAsia"/>
            <w:b w:val="0"/>
            <w:bCs/>
            <w:noProof/>
            <w:lang w:eastAsia="zh-CN"/>
          </w:rPr>
          <w:t>理事会国际互联网相关公共政策问题工作组（</w:t>
        </w:r>
        <w:r w:rsidR="005C6E35" w:rsidRPr="00D93502">
          <w:rPr>
            <w:rStyle w:val="Hyperlink"/>
            <w:b w:val="0"/>
            <w:bCs/>
            <w:noProof/>
            <w:lang w:eastAsia="zh-CN"/>
          </w:rPr>
          <w:t>CWG-Internet</w:t>
        </w:r>
        <w:r w:rsidR="005C6E35" w:rsidRPr="00D93502">
          <w:rPr>
            <w:rStyle w:val="Hyperlink"/>
            <w:rFonts w:hint="eastAsia"/>
            <w:b w:val="0"/>
            <w:bCs/>
            <w:noProof/>
            <w:lang w:eastAsia="zh-CN"/>
          </w:rPr>
          <w:t>）</w:t>
        </w:r>
        <w:r w:rsidR="005C6E35" w:rsidRPr="00D93502">
          <w:rPr>
            <w:b w:val="0"/>
            <w:bCs/>
            <w:noProof/>
            <w:webHidden/>
          </w:rPr>
          <w:tab/>
        </w:r>
        <w:r w:rsid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_Toc86395599 \h </w:instrText>
        </w:r>
        <w:r w:rsidR="005C6E35" w:rsidRPr="00D93502">
          <w:rPr>
            <w:b w:val="0"/>
            <w:bCs/>
            <w:noProof/>
            <w:webHidden/>
          </w:rPr>
        </w:r>
        <w:r w:rsidR="005C6E35" w:rsidRPr="00D93502">
          <w:rPr>
            <w:b w:val="0"/>
            <w:bCs/>
            <w:noProof/>
            <w:webHidden/>
          </w:rPr>
          <w:fldChar w:fldCharType="separate"/>
        </w:r>
        <w:r w:rsidR="00E305D2">
          <w:rPr>
            <w:b w:val="0"/>
            <w:bCs/>
            <w:noProof/>
            <w:webHidden/>
          </w:rPr>
          <w:t>131</w:t>
        </w:r>
        <w:r w:rsidR="005C6E35" w:rsidRPr="00D93502">
          <w:rPr>
            <w:b w:val="0"/>
            <w:bCs/>
            <w:noProof/>
            <w:webHidden/>
          </w:rPr>
          <w:fldChar w:fldCharType="end"/>
        </w:r>
      </w:hyperlink>
    </w:p>
    <w:p w14:paraId="5F2E15E4" w14:textId="0856426A" w:rsidR="005C6E35" w:rsidRPr="00D93502" w:rsidRDefault="00F71B18">
      <w:pPr>
        <w:pStyle w:val="TOC10"/>
        <w:rPr>
          <w:rFonts w:eastAsiaTheme="minorEastAsia" w:cstheme="minorBidi"/>
          <w:b w:val="0"/>
          <w:bCs/>
          <w:noProof/>
          <w:sz w:val="22"/>
          <w:szCs w:val="22"/>
          <w:lang w:val="en-US" w:eastAsia="zh-CN"/>
        </w:rPr>
      </w:pPr>
      <w:hyperlink w:anchor="_Toc86395600" w:history="1">
        <w:r w:rsidR="005C6E35" w:rsidRPr="00D93502">
          <w:rPr>
            <w:rStyle w:val="Hyperlink"/>
            <w:rFonts w:hint="eastAsia"/>
            <w:b w:val="0"/>
            <w:bCs/>
            <w:noProof/>
            <w:lang w:eastAsia="zh-CN"/>
          </w:rPr>
          <w:t>第</w:t>
        </w:r>
        <w:r w:rsidR="005C6E35" w:rsidRPr="00D93502">
          <w:rPr>
            <w:rStyle w:val="Hyperlink"/>
            <w:b w:val="0"/>
            <w:bCs/>
            <w:noProof/>
            <w:lang w:eastAsia="zh-CN"/>
          </w:rPr>
          <w:t>1372</w:t>
        </w:r>
        <w:r w:rsidR="005C6E35" w:rsidRPr="00D93502">
          <w:rPr>
            <w:rStyle w:val="Hyperlink"/>
            <w:rFonts w:hint="eastAsia"/>
            <w:b w:val="0"/>
            <w:bCs/>
            <w:noProof/>
            <w:lang w:eastAsia="zh-CN"/>
          </w:rPr>
          <w:t>号决议</w:t>
        </w:r>
      </w:hyperlink>
      <w:r w:rsidR="00D93502">
        <w:rPr>
          <w:rFonts w:eastAsiaTheme="minorEastAsia" w:cstheme="minorBidi"/>
          <w:b w:val="0"/>
          <w:bCs/>
          <w:noProof/>
          <w:sz w:val="22"/>
          <w:szCs w:val="22"/>
          <w:lang w:val="en-US" w:eastAsia="zh-CN"/>
        </w:rPr>
        <w:tab/>
      </w:r>
      <w:hyperlink w:anchor="_Toc86395601" w:history="1">
        <w:r w:rsidR="005C6E35" w:rsidRPr="00D93502">
          <w:rPr>
            <w:rStyle w:val="Hyperlink"/>
            <w:rFonts w:hint="eastAsia"/>
            <w:b w:val="0"/>
            <w:bCs/>
            <w:noProof/>
            <w:lang w:eastAsia="zh-CN"/>
          </w:rPr>
          <w:t>理事会语文工作组（</w:t>
        </w:r>
        <w:r w:rsidR="005C6E35" w:rsidRPr="00D93502">
          <w:rPr>
            <w:rStyle w:val="Hyperlink"/>
            <w:b w:val="0"/>
            <w:bCs/>
            <w:noProof/>
            <w:lang w:eastAsia="zh-CN"/>
          </w:rPr>
          <w:t>CWG-LANG</w:t>
        </w:r>
        <w:r w:rsidR="005C6E35" w:rsidRPr="00D93502">
          <w:rPr>
            <w:rStyle w:val="Hyperlink"/>
            <w:rFonts w:hint="eastAsia"/>
            <w:b w:val="0"/>
            <w:bCs/>
            <w:noProof/>
            <w:lang w:eastAsia="zh-CN"/>
          </w:rPr>
          <w:t>）</w:t>
        </w:r>
        <w:r w:rsidR="005C6E35" w:rsidRPr="00D93502">
          <w:rPr>
            <w:b w:val="0"/>
            <w:bCs/>
            <w:noProof/>
            <w:webHidden/>
          </w:rPr>
          <w:tab/>
        </w:r>
        <w:r w:rsid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_Toc86395601 \h </w:instrText>
        </w:r>
        <w:r w:rsidR="005C6E35" w:rsidRPr="00D93502">
          <w:rPr>
            <w:b w:val="0"/>
            <w:bCs/>
            <w:noProof/>
            <w:webHidden/>
          </w:rPr>
        </w:r>
        <w:r w:rsidR="005C6E35" w:rsidRPr="00D93502">
          <w:rPr>
            <w:b w:val="0"/>
            <w:bCs/>
            <w:noProof/>
            <w:webHidden/>
          </w:rPr>
          <w:fldChar w:fldCharType="separate"/>
        </w:r>
        <w:r w:rsidR="00E305D2">
          <w:rPr>
            <w:b w:val="0"/>
            <w:bCs/>
            <w:noProof/>
            <w:webHidden/>
          </w:rPr>
          <w:t>134</w:t>
        </w:r>
        <w:r w:rsidR="005C6E35" w:rsidRPr="00D93502">
          <w:rPr>
            <w:b w:val="0"/>
            <w:bCs/>
            <w:noProof/>
            <w:webHidden/>
          </w:rPr>
          <w:fldChar w:fldCharType="end"/>
        </w:r>
      </w:hyperlink>
    </w:p>
    <w:p w14:paraId="639ECA7A" w14:textId="2AC7AC7D" w:rsidR="005C6E35" w:rsidRPr="00D93502" w:rsidRDefault="00F71B18">
      <w:pPr>
        <w:pStyle w:val="TOC10"/>
        <w:rPr>
          <w:rFonts w:eastAsiaTheme="minorEastAsia" w:cstheme="minorBidi"/>
          <w:b w:val="0"/>
          <w:bCs/>
          <w:noProof/>
          <w:sz w:val="22"/>
          <w:szCs w:val="22"/>
          <w:lang w:val="en-US" w:eastAsia="zh-CN"/>
        </w:rPr>
      </w:pPr>
      <w:hyperlink w:anchor="_Toc86395602" w:history="1">
        <w:r w:rsidR="005C6E35" w:rsidRPr="00D93502">
          <w:rPr>
            <w:rStyle w:val="Hyperlink"/>
            <w:rFonts w:hint="eastAsia"/>
            <w:b w:val="0"/>
            <w:bCs/>
            <w:noProof/>
            <w:lang w:val="en-US" w:eastAsia="zh-CN"/>
          </w:rPr>
          <w:t>第</w:t>
        </w:r>
        <w:r w:rsidR="005C6E35" w:rsidRPr="00D93502">
          <w:rPr>
            <w:rStyle w:val="Hyperlink"/>
            <w:b w:val="0"/>
            <w:bCs/>
            <w:noProof/>
            <w:lang w:val="en-US" w:eastAsia="zh-CN"/>
          </w:rPr>
          <w:t>1404</w:t>
        </w:r>
        <w:r w:rsidR="005C6E35" w:rsidRPr="00D93502">
          <w:rPr>
            <w:rStyle w:val="Hyperlink"/>
            <w:rFonts w:hint="eastAsia"/>
            <w:b w:val="0"/>
            <w:bCs/>
            <w:noProof/>
            <w:lang w:val="en-US" w:eastAsia="zh-CN"/>
          </w:rPr>
          <w:t>号</w:t>
        </w:r>
        <w:r w:rsidR="005C6E35" w:rsidRPr="00D93502">
          <w:rPr>
            <w:rStyle w:val="Hyperlink"/>
            <w:rFonts w:cs="Calibri" w:hint="eastAsia"/>
            <w:b w:val="0"/>
            <w:bCs/>
            <w:noProof/>
            <w:lang w:val="en-US" w:eastAsia="zh-CN"/>
          </w:rPr>
          <w:t>决议</w:t>
        </w:r>
      </w:hyperlink>
      <w:r w:rsidR="00D93502">
        <w:rPr>
          <w:rFonts w:eastAsiaTheme="minorEastAsia" w:cstheme="minorBidi"/>
          <w:b w:val="0"/>
          <w:bCs/>
          <w:noProof/>
          <w:sz w:val="22"/>
          <w:szCs w:val="22"/>
          <w:lang w:val="en-US" w:eastAsia="zh-CN"/>
        </w:rPr>
        <w:tab/>
      </w:r>
      <w:hyperlink w:anchor="_Toc86395603" w:history="1">
        <w:r w:rsidR="005C6E35" w:rsidRPr="00D93502">
          <w:rPr>
            <w:rStyle w:val="Hyperlink"/>
            <w:rFonts w:hint="eastAsia"/>
            <w:b w:val="0"/>
            <w:bCs/>
            <w:noProof/>
            <w:lang w:val="en-US" w:eastAsia="zh-CN"/>
          </w:rPr>
          <w:t>设立制定</w:t>
        </w:r>
        <w:r w:rsidR="005C6E35" w:rsidRPr="00D93502">
          <w:rPr>
            <w:rStyle w:val="Hyperlink"/>
            <w:rFonts w:eastAsia="'宋体"/>
            <w:b w:val="0"/>
            <w:bCs/>
            <w:noProof/>
            <w:lang w:val="en-US" w:eastAsia="zh-CN"/>
          </w:rPr>
          <w:t>2024-2027</w:t>
        </w:r>
        <w:r w:rsidR="005C6E35" w:rsidRPr="00D93502">
          <w:rPr>
            <w:rStyle w:val="Hyperlink"/>
            <w:rFonts w:hint="eastAsia"/>
            <w:b w:val="0"/>
            <w:bCs/>
            <w:noProof/>
            <w:lang w:val="en-US" w:eastAsia="zh-CN"/>
          </w:rPr>
          <w:t>年国际电联《战略规划》和《财务规划》的理事会工作组</w:t>
        </w:r>
        <w:r w:rsidR="005C6E35" w:rsidRPr="00D93502">
          <w:rPr>
            <w:b w:val="0"/>
            <w:bCs/>
            <w:noProof/>
            <w:webHidden/>
          </w:rPr>
          <w:tab/>
        </w:r>
        <w:r w:rsidR="00AE3990">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_Toc86395603 \h </w:instrText>
        </w:r>
        <w:r w:rsidR="005C6E35" w:rsidRPr="00D93502">
          <w:rPr>
            <w:b w:val="0"/>
            <w:bCs/>
            <w:noProof/>
            <w:webHidden/>
          </w:rPr>
        </w:r>
        <w:r w:rsidR="005C6E35" w:rsidRPr="00D93502">
          <w:rPr>
            <w:b w:val="0"/>
            <w:bCs/>
            <w:noProof/>
            <w:webHidden/>
          </w:rPr>
          <w:fldChar w:fldCharType="separate"/>
        </w:r>
        <w:r w:rsidR="00E305D2">
          <w:rPr>
            <w:b w:val="0"/>
            <w:bCs/>
            <w:noProof/>
            <w:webHidden/>
          </w:rPr>
          <w:t>137</w:t>
        </w:r>
        <w:r w:rsidR="005C6E35" w:rsidRPr="00D93502">
          <w:rPr>
            <w:b w:val="0"/>
            <w:bCs/>
            <w:noProof/>
            <w:webHidden/>
          </w:rPr>
          <w:fldChar w:fldCharType="end"/>
        </w:r>
      </w:hyperlink>
    </w:p>
    <w:p w14:paraId="41CBF60F" w14:textId="77C374B3" w:rsidR="005C6E35" w:rsidRPr="00D93502" w:rsidRDefault="00F71B18">
      <w:pPr>
        <w:pStyle w:val="TOC10"/>
        <w:rPr>
          <w:rFonts w:eastAsiaTheme="minorEastAsia" w:cstheme="minorBidi"/>
          <w:b w:val="0"/>
          <w:bCs/>
          <w:noProof/>
          <w:sz w:val="22"/>
          <w:szCs w:val="22"/>
          <w:lang w:val="en-US" w:eastAsia="zh-CN"/>
        </w:rPr>
      </w:pPr>
      <w:hyperlink w:anchor="_Toc86395604" w:history="1">
        <w:r w:rsidR="005C6E35" w:rsidRPr="00D93502">
          <w:rPr>
            <w:rStyle w:val="Hyperlink"/>
            <w:rFonts w:ascii="SimSun" w:hAnsi="SimSun" w:hint="eastAsia"/>
            <w:b w:val="0"/>
            <w:bCs/>
            <w:noProof/>
          </w:rPr>
          <w:t>第</w:t>
        </w:r>
        <w:r w:rsidR="005C6E35" w:rsidRPr="00D93502">
          <w:rPr>
            <w:rStyle w:val="Hyperlink"/>
            <w:b w:val="0"/>
            <w:bCs/>
            <w:noProof/>
          </w:rPr>
          <w:t>8</w:t>
        </w:r>
        <w:r w:rsidR="005C6E35" w:rsidRPr="00D93502">
          <w:rPr>
            <w:rStyle w:val="Hyperlink"/>
            <w:rFonts w:ascii="SimSun" w:hAnsi="SimSun" w:hint="eastAsia"/>
            <w:b w:val="0"/>
            <w:bCs/>
            <w:noProof/>
          </w:rPr>
          <w:t>号决定</w:t>
        </w:r>
      </w:hyperlink>
      <w:r w:rsidR="00D93502">
        <w:rPr>
          <w:rFonts w:eastAsiaTheme="minorEastAsia" w:cstheme="minorBidi"/>
          <w:b w:val="0"/>
          <w:bCs/>
          <w:noProof/>
          <w:sz w:val="22"/>
          <w:szCs w:val="22"/>
          <w:lang w:val="en-US" w:eastAsia="zh-CN"/>
        </w:rPr>
        <w:tab/>
      </w:r>
      <w:hyperlink w:anchor="_Toc86395605" w:history="1">
        <w:r w:rsidR="005C6E35" w:rsidRPr="00D93502">
          <w:rPr>
            <w:rStyle w:val="Hyperlink"/>
            <w:rFonts w:hint="eastAsia"/>
            <w:b w:val="0"/>
            <w:bCs/>
            <w:noProof/>
          </w:rPr>
          <w:t>应发至国际电联成员国的与理事会决定相关的文件</w:t>
        </w:r>
        <w:r w:rsidR="005C6E35" w:rsidRPr="00D93502">
          <w:rPr>
            <w:b w:val="0"/>
            <w:bCs/>
            <w:noProof/>
            <w:webHidden/>
          </w:rPr>
          <w:tab/>
        </w:r>
        <w:r w:rsidR="00AE3990">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_Toc86395605 \h </w:instrText>
        </w:r>
        <w:r w:rsidR="005C6E35" w:rsidRPr="00D93502">
          <w:rPr>
            <w:b w:val="0"/>
            <w:bCs/>
            <w:noProof/>
            <w:webHidden/>
          </w:rPr>
        </w:r>
        <w:r w:rsidR="005C6E35" w:rsidRPr="00D93502">
          <w:rPr>
            <w:b w:val="0"/>
            <w:bCs/>
            <w:noProof/>
            <w:webHidden/>
          </w:rPr>
          <w:fldChar w:fldCharType="separate"/>
        </w:r>
        <w:r w:rsidR="00E305D2">
          <w:rPr>
            <w:b w:val="0"/>
            <w:bCs/>
            <w:noProof/>
            <w:webHidden/>
          </w:rPr>
          <w:t>138</w:t>
        </w:r>
        <w:r w:rsidR="005C6E35" w:rsidRPr="00D93502">
          <w:rPr>
            <w:b w:val="0"/>
            <w:bCs/>
            <w:noProof/>
            <w:webHidden/>
          </w:rPr>
          <w:fldChar w:fldCharType="end"/>
        </w:r>
      </w:hyperlink>
    </w:p>
    <w:p w14:paraId="77340AB9" w14:textId="406A01AB" w:rsidR="005C6E35" w:rsidRPr="00D93502" w:rsidRDefault="00F71B18">
      <w:pPr>
        <w:pStyle w:val="TOC10"/>
        <w:rPr>
          <w:rFonts w:eastAsiaTheme="minorEastAsia" w:cstheme="minorBidi"/>
          <w:b w:val="0"/>
          <w:bCs/>
          <w:noProof/>
          <w:sz w:val="22"/>
          <w:szCs w:val="22"/>
          <w:lang w:val="en-US" w:eastAsia="zh-CN"/>
        </w:rPr>
      </w:pPr>
      <w:hyperlink w:anchor="_Toc86395606" w:history="1">
        <w:r w:rsidR="005C6E35" w:rsidRPr="00D93502">
          <w:rPr>
            <w:rStyle w:val="Hyperlink"/>
            <w:rFonts w:hint="eastAsia"/>
            <w:b w:val="0"/>
            <w:bCs/>
            <w:noProof/>
          </w:rPr>
          <w:t>第</w:t>
        </w:r>
        <w:r w:rsidR="005C6E35" w:rsidRPr="00D93502">
          <w:rPr>
            <w:rStyle w:val="Hyperlink"/>
            <w:b w:val="0"/>
            <w:bCs/>
            <w:noProof/>
          </w:rPr>
          <w:t>375</w:t>
        </w:r>
        <w:r w:rsidR="005C6E35" w:rsidRPr="00D93502">
          <w:rPr>
            <w:rStyle w:val="Hyperlink"/>
            <w:rFonts w:hint="eastAsia"/>
            <w:b w:val="0"/>
            <w:bCs/>
            <w:noProof/>
          </w:rPr>
          <w:t>号决定</w:t>
        </w:r>
      </w:hyperlink>
      <w:r w:rsidR="00D93502">
        <w:rPr>
          <w:rFonts w:eastAsiaTheme="minorEastAsia" w:cstheme="minorBidi"/>
          <w:b w:val="0"/>
          <w:bCs/>
          <w:noProof/>
          <w:sz w:val="22"/>
          <w:szCs w:val="22"/>
          <w:lang w:val="en-US" w:eastAsia="zh-CN"/>
        </w:rPr>
        <w:tab/>
      </w:r>
      <w:hyperlink w:anchor="_Toc86395607" w:history="1">
        <w:r w:rsidR="005C6E35" w:rsidRPr="00D93502">
          <w:rPr>
            <w:rStyle w:val="Hyperlink"/>
            <w:rFonts w:hint="eastAsia"/>
            <w:b w:val="0"/>
            <w:bCs/>
            <w:noProof/>
          </w:rPr>
          <w:t>理事国的差旅费</w:t>
        </w:r>
        <w:r w:rsidR="005C6E35" w:rsidRPr="00D93502">
          <w:rPr>
            <w:b w:val="0"/>
            <w:bCs/>
            <w:noProof/>
            <w:webHidden/>
          </w:rPr>
          <w:tab/>
        </w:r>
        <w:r w:rsidR="00AE3990">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_Toc86395607 \h </w:instrText>
        </w:r>
        <w:r w:rsidR="005C6E35" w:rsidRPr="00D93502">
          <w:rPr>
            <w:b w:val="0"/>
            <w:bCs/>
            <w:noProof/>
            <w:webHidden/>
          </w:rPr>
        </w:r>
        <w:r w:rsidR="005C6E35" w:rsidRPr="00D93502">
          <w:rPr>
            <w:b w:val="0"/>
            <w:bCs/>
            <w:noProof/>
            <w:webHidden/>
          </w:rPr>
          <w:fldChar w:fldCharType="separate"/>
        </w:r>
        <w:r w:rsidR="00E305D2">
          <w:rPr>
            <w:b w:val="0"/>
            <w:bCs/>
            <w:noProof/>
            <w:webHidden/>
          </w:rPr>
          <w:t>138</w:t>
        </w:r>
        <w:r w:rsidR="005C6E35" w:rsidRPr="00D93502">
          <w:rPr>
            <w:b w:val="0"/>
            <w:bCs/>
            <w:noProof/>
            <w:webHidden/>
          </w:rPr>
          <w:fldChar w:fldCharType="end"/>
        </w:r>
      </w:hyperlink>
    </w:p>
    <w:p w14:paraId="79F2870C" w14:textId="4128236A" w:rsidR="005C6E35" w:rsidRPr="00D93502" w:rsidRDefault="00F71B18">
      <w:pPr>
        <w:pStyle w:val="TOC10"/>
        <w:rPr>
          <w:rFonts w:eastAsiaTheme="minorEastAsia" w:cstheme="minorBidi"/>
          <w:b w:val="0"/>
          <w:bCs/>
          <w:noProof/>
          <w:sz w:val="22"/>
          <w:szCs w:val="22"/>
          <w:lang w:val="en-US" w:eastAsia="zh-CN"/>
        </w:rPr>
      </w:pPr>
      <w:hyperlink w:anchor="_Toc86395608" w:history="1">
        <w:r w:rsidR="005C6E35" w:rsidRPr="00D93502">
          <w:rPr>
            <w:rStyle w:val="Hyperlink"/>
            <w:rFonts w:hint="eastAsia"/>
            <w:b w:val="0"/>
            <w:bCs/>
            <w:noProof/>
          </w:rPr>
          <w:t>第</w:t>
        </w:r>
        <w:r w:rsidR="005C6E35" w:rsidRPr="00D93502">
          <w:rPr>
            <w:rStyle w:val="Hyperlink"/>
            <w:b w:val="0"/>
            <w:bCs/>
            <w:noProof/>
          </w:rPr>
          <w:t>495</w:t>
        </w:r>
        <w:r w:rsidR="005C6E35" w:rsidRPr="00D93502">
          <w:rPr>
            <w:rStyle w:val="Hyperlink"/>
            <w:rFonts w:hint="eastAsia"/>
            <w:b w:val="0"/>
            <w:bCs/>
            <w:noProof/>
          </w:rPr>
          <w:t>号决定</w:t>
        </w:r>
      </w:hyperlink>
      <w:r w:rsidR="00D93502">
        <w:rPr>
          <w:rFonts w:eastAsiaTheme="minorEastAsia" w:cstheme="minorBidi"/>
          <w:noProof/>
          <w:sz w:val="22"/>
          <w:szCs w:val="22"/>
          <w:lang w:val="en-US" w:eastAsia="zh-CN"/>
        </w:rPr>
        <w:tab/>
      </w:r>
      <w:hyperlink w:anchor="_Toc86395609" w:history="1">
        <w:r w:rsidR="005C6E35" w:rsidRPr="00D93502">
          <w:rPr>
            <w:rStyle w:val="Hyperlink"/>
            <w:rFonts w:hint="eastAsia"/>
            <w:b w:val="0"/>
            <w:bCs/>
            <w:noProof/>
          </w:rPr>
          <w:t>理事会的情况通报文件</w:t>
        </w:r>
        <w:r w:rsidR="005C6E35" w:rsidRPr="00D93502">
          <w:rPr>
            <w:b w:val="0"/>
            <w:bCs/>
            <w:noProof/>
            <w:webHidden/>
          </w:rPr>
          <w:tab/>
        </w:r>
        <w:r w:rsidR="00AE3990">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_Toc86395609 \h </w:instrText>
        </w:r>
        <w:r w:rsidR="005C6E35" w:rsidRPr="00D93502">
          <w:rPr>
            <w:b w:val="0"/>
            <w:bCs/>
            <w:noProof/>
            <w:webHidden/>
          </w:rPr>
        </w:r>
        <w:r w:rsidR="005C6E35" w:rsidRPr="00D93502">
          <w:rPr>
            <w:b w:val="0"/>
            <w:bCs/>
            <w:noProof/>
            <w:webHidden/>
          </w:rPr>
          <w:fldChar w:fldCharType="separate"/>
        </w:r>
        <w:r w:rsidR="00E305D2">
          <w:rPr>
            <w:b w:val="0"/>
            <w:bCs/>
            <w:noProof/>
            <w:webHidden/>
          </w:rPr>
          <w:t>139</w:t>
        </w:r>
        <w:r w:rsidR="005C6E35" w:rsidRPr="00D93502">
          <w:rPr>
            <w:b w:val="0"/>
            <w:bCs/>
            <w:noProof/>
            <w:webHidden/>
          </w:rPr>
          <w:fldChar w:fldCharType="end"/>
        </w:r>
      </w:hyperlink>
    </w:p>
    <w:p w14:paraId="28F85471" w14:textId="1D576B54" w:rsidR="005C6E35" w:rsidRPr="00D93502" w:rsidRDefault="00F71B18">
      <w:pPr>
        <w:pStyle w:val="TOC10"/>
        <w:rPr>
          <w:rFonts w:eastAsiaTheme="minorEastAsia" w:cstheme="minorBidi"/>
          <w:b w:val="0"/>
          <w:bCs/>
          <w:noProof/>
          <w:sz w:val="22"/>
          <w:szCs w:val="22"/>
          <w:lang w:val="en-US" w:eastAsia="zh-CN"/>
        </w:rPr>
      </w:pPr>
      <w:hyperlink w:anchor="_Toc86395610" w:history="1">
        <w:r w:rsidR="005C6E35" w:rsidRPr="00D93502">
          <w:rPr>
            <w:rStyle w:val="Hyperlink"/>
            <w:rFonts w:hint="eastAsia"/>
            <w:b w:val="0"/>
            <w:bCs/>
            <w:noProof/>
            <w:lang w:val="zh-CN"/>
          </w:rPr>
          <w:t>第</w:t>
        </w:r>
        <w:r w:rsidR="005C6E35" w:rsidRPr="00D93502">
          <w:rPr>
            <w:rStyle w:val="Hyperlink"/>
            <w:b w:val="0"/>
            <w:bCs/>
            <w:noProof/>
            <w:lang w:val="zh-CN"/>
          </w:rPr>
          <w:t>519</w:t>
        </w:r>
        <w:r w:rsidR="005C6E35" w:rsidRPr="00D93502">
          <w:rPr>
            <w:rStyle w:val="Hyperlink"/>
            <w:rFonts w:hint="eastAsia"/>
            <w:b w:val="0"/>
            <w:bCs/>
            <w:noProof/>
            <w:lang w:val="zh-CN"/>
          </w:rPr>
          <w:t>号决定</w:t>
        </w:r>
      </w:hyperlink>
      <w:r w:rsidR="00D93502">
        <w:rPr>
          <w:rFonts w:eastAsiaTheme="minorEastAsia" w:cstheme="minorBidi"/>
          <w:noProof/>
          <w:sz w:val="22"/>
          <w:szCs w:val="22"/>
          <w:lang w:val="en-US" w:eastAsia="zh-CN"/>
        </w:rPr>
        <w:tab/>
      </w:r>
      <w:hyperlink w:anchor="_Toc86395611" w:history="1">
        <w:r w:rsidR="005C6E35" w:rsidRPr="00D93502">
          <w:rPr>
            <w:rStyle w:val="Hyperlink"/>
            <w:rFonts w:hint="eastAsia"/>
            <w:b w:val="0"/>
            <w:bCs/>
            <w:noProof/>
            <w:lang w:val="zh-CN"/>
          </w:rPr>
          <w:t>部门成员作为观察员出席理事会会议</w:t>
        </w:r>
        <w:r w:rsidR="005C6E35" w:rsidRPr="00D93502">
          <w:rPr>
            <w:b w:val="0"/>
            <w:bCs/>
            <w:noProof/>
            <w:webHidden/>
          </w:rPr>
          <w:tab/>
        </w:r>
        <w:r w:rsidR="00AE3990">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_Toc86395611 \h </w:instrText>
        </w:r>
        <w:r w:rsidR="005C6E35" w:rsidRPr="00D93502">
          <w:rPr>
            <w:b w:val="0"/>
            <w:bCs/>
            <w:noProof/>
            <w:webHidden/>
          </w:rPr>
        </w:r>
        <w:r w:rsidR="005C6E35" w:rsidRPr="00D93502">
          <w:rPr>
            <w:b w:val="0"/>
            <w:bCs/>
            <w:noProof/>
            <w:webHidden/>
          </w:rPr>
          <w:fldChar w:fldCharType="separate"/>
        </w:r>
        <w:r w:rsidR="00E305D2">
          <w:rPr>
            <w:b w:val="0"/>
            <w:bCs/>
            <w:noProof/>
            <w:webHidden/>
          </w:rPr>
          <w:t>140</w:t>
        </w:r>
        <w:r w:rsidR="005C6E35" w:rsidRPr="00D93502">
          <w:rPr>
            <w:b w:val="0"/>
            <w:bCs/>
            <w:noProof/>
            <w:webHidden/>
          </w:rPr>
          <w:fldChar w:fldCharType="end"/>
        </w:r>
      </w:hyperlink>
    </w:p>
    <w:p w14:paraId="0B335516" w14:textId="1FCE67EF" w:rsidR="005C6E35" w:rsidRPr="00D93502" w:rsidRDefault="00F71B18">
      <w:pPr>
        <w:pStyle w:val="TOC10"/>
        <w:rPr>
          <w:rFonts w:eastAsiaTheme="minorEastAsia" w:cstheme="minorBidi"/>
          <w:b w:val="0"/>
          <w:bCs/>
          <w:noProof/>
          <w:sz w:val="22"/>
          <w:szCs w:val="22"/>
          <w:lang w:val="en-US" w:eastAsia="zh-CN"/>
        </w:rPr>
      </w:pPr>
      <w:hyperlink w:anchor="_Toc86395612" w:history="1">
        <w:r w:rsidR="005C6E35" w:rsidRPr="00D93502">
          <w:rPr>
            <w:rStyle w:val="Hyperlink"/>
            <w:rFonts w:hint="eastAsia"/>
            <w:b w:val="0"/>
            <w:bCs/>
            <w:noProof/>
          </w:rPr>
          <w:t>第</w:t>
        </w:r>
        <w:r w:rsidR="005C6E35" w:rsidRPr="00D93502">
          <w:rPr>
            <w:rStyle w:val="Hyperlink"/>
            <w:b w:val="0"/>
            <w:bCs/>
            <w:noProof/>
          </w:rPr>
          <w:t>524</w:t>
        </w:r>
        <w:r w:rsidR="005C6E35" w:rsidRPr="00D93502">
          <w:rPr>
            <w:rStyle w:val="Hyperlink"/>
            <w:rFonts w:hint="eastAsia"/>
            <w:b w:val="0"/>
            <w:bCs/>
            <w:noProof/>
          </w:rPr>
          <w:t>号决定</w:t>
        </w:r>
      </w:hyperlink>
      <w:r w:rsidR="00D93502">
        <w:rPr>
          <w:rFonts w:eastAsiaTheme="minorEastAsia" w:cstheme="minorBidi"/>
          <w:b w:val="0"/>
          <w:bCs/>
          <w:noProof/>
          <w:sz w:val="22"/>
          <w:szCs w:val="22"/>
          <w:lang w:val="en-US" w:eastAsia="zh-CN"/>
        </w:rPr>
        <w:tab/>
      </w:r>
      <w:hyperlink w:anchor="_Toc86395613" w:history="1">
        <w:r w:rsidR="005C6E35" w:rsidRPr="00D93502">
          <w:rPr>
            <w:rStyle w:val="Hyperlink"/>
            <w:rFonts w:hint="eastAsia"/>
            <w:b w:val="0"/>
            <w:bCs/>
            <w:noProof/>
          </w:rPr>
          <w:t>成员国观察员出席国际电联理事会的会议</w:t>
        </w:r>
        <w:r w:rsidR="005C6E35" w:rsidRPr="00D93502">
          <w:rPr>
            <w:b w:val="0"/>
            <w:bCs/>
            <w:noProof/>
            <w:webHidden/>
          </w:rPr>
          <w:tab/>
        </w:r>
        <w:r w:rsidR="00AE3990">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_Toc86395613 \h </w:instrText>
        </w:r>
        <w:r w:rsidR="005C6E35" w:rsidRPr="00D93502">
          <w:rPr>
            <w:b w:val="0"/>
            <w:bCs/>
            <w:noProof/>
            <w:webHidden/>
          </w:rPr>
        </w:r>
        <w:r w:rsidR="005C6E35" w:rsidRPr="00D93502">
          <w:rPr>
            <w:b w:val="0"/>
            <w:bCs/>
            <w:noProof/>
            <w:webHidden/>
          </w:rPr>
          <w:fldChar w:fldCharType="separate"/>
        </w:r>
        <w:r w:rsidR="00E305D2">
          <w:rPr>
            <w:b w:val="0"/>
            <w:bCs/>
            <w:noProof/>
            <w:webHidden/>
          </w:rPr>
          <w:t>142</w:t>
        </w:r>
        <w:r w:rsidR="005C6E35" w:rsidRPr="00D93502">
          <w:rPr>
            <w:b w:val="0"/>
            <w:bCs/>
            <w:noProof/>
            <w:webHidden/>
          </w:rPr>
          <w:fldChar w:fldCharType="end"/>
        </w:r>
      </w:hyperlink>
    </w:p>
    <w:p w14:paraId="6A479F3D" w14:textId="67A5DDE3" w:rsidR="005C6E35" w:rsidRPr="00D93502" w:rsidRDefault="00F71B18">
      <w:pPr>
        <w:pStyle w:val="TOC10"/>
        <w:rPr>
          <w:rFonts w:eastAsiaTheme="minorEastAsia" w:cstheme="minorBidi"/>
          <w:b w:val="0"/>
          <w:bCs/>
          <w:noProof/>
          <w:sz w:val="22"/>
          <w:szCs w:val="22"/>
          <w:lang w:val="en-US" w:eastAsia="zh-CN"/>
        </w:rPr>
      </w:pPr>
      <w:hyperlink w:anchor="_Toc86395614" w:history="1">
        <w:r w:rsidR="005C6E35" w:rsidRPr="00D93502">
          <w:rPr>
            <w:rStyle w:val="Hyperlink"/>
            <w:rFonts w:hint="eastAsia"/>
            <w:b w:val="0"/>
            <w:bCs/>
            <w:noProof/>
          </w:rPr>
          <w:t>第</w:t>
        </w:r>
        <w:r w:rsidR="005C6E35" w:rsidRPr="00D93502">
          <w:rPr>
            <w:rStyle w:val="Hyperlink"/>
            <w:b w:val="0"/>
            <w:bCs/>
            <w:noProof/>
          </w:rPr>
          <w:t>540</w:t>
        </w:r>
        <w:r w:rsidR="005C6E35" w:rsidRPr="00D93502">
          <w:rPr>
            <w:rStyle w:val="Hyperlink"/>
            <w:rFonts w:hint="eastAsia"/>
            <w:b w:val="0"/>
            <w:bCs/>
            <w:noProof/>
          </w:rPr>
          <w:t>号决定</w:t>
        </w:r>
      </w:hyperlink>
      <w:r w:rsidR="00D93502">
        <w:rPr>
          <w:rFonts w:eastAsiaTheme="minorEastAsia" w:cstheme="minorBidi"/>
          <w:b w:val="0"/>
          <w:bCs/>
          <w:noProof/>
          <w:sz w:val="22"/>
          <w:szCs w:val="22"/>
          <w:lang w:val="en-US" w:eastAsia="zh-CN"/>
        </w:rPr>
        <w:tab/>
      </w:r>
      <w:hyperlink w:anchor="_Toc86395615" w:history="1">
        <w:r w:rsidR="005C6E35" w:rsidRPr="00D93502">
          <w:rPr>
            <w:rStyle w:val="Hyperlink"/>
            <w:rFonts w:hint="eastAsia"/>
            <w:b w:val="0"/>
            <w:bCs/>
            <w:noProof/>
          </w:rPr>
          <w:t>成立一个单一的行政管理常设委员会</w:t>
        </w:r>
        <w:r w:rsidR="005C6E35" w:rsidRPr="00D93502">
          <w:rPr>
            <w:b w:val="0"/>
            <w:bCs/>
            <w:noProof/>
            <w:webHidden/>
          </w:rPr>
          <w:tab/>
        </w:r>
        <w:r w:rsidR="00AE3990">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_Toc86395615 \h </w:instrText>
        </w:r>
        <w:r w:rsidR="005C6E35" w:rsidRPr="00D93502">
          <w:rPr>
            <w:b w:val="0"/>
            <w:bCs/>
            <w:noProof/>
            <w:webHidden/>
          </w:rPr>
        </w:r>
        <w:r w:rsidR="005C6E35" w:rsidRPr="00D93502">
          <w:rPr>
            <w:b w:val="0"/>
            <w:bCs/>
            <w:noProof/>
            <w:webHidden/>
          </w:rPr>
          <w:fldChar w:fldCharType="separate"/>
        </w:r>
        <w:r w:rsidR="00E305D2">
          <w:rPr>
            <w:b w:val="0"/>
            <w:bCs/>
            <w:noProof/>
            <w:webHidden/>
          </w:rPr>
          <w:t>143</w:t>
        </w:r>
        <w:r w:rsidR="005C6E35" w:rsidRPr="00D93502">
          <w:rPr>
            <w:b w:val="0"/>
            <w:bCs/>
            <w:noProof/>
            <w:webHidden/>
          </w:rPr>
          <w:fldChar w:fldCharType="end"/>
        </w:r>
      </w:hyperlink>
    </w:p>
    <w:p w14:paraId="2EA6D1C3" w14:textId="2B482C8C" w:rsidR="005C6E35" w:rsidRPr="00D93502" w:rsidRDefault="00F71B18">
      <w:pPr>
        <w:pStyle w:val="TOC10"/>
        <w:rPr>
          <w:rFonts w:eastAsiaTheme="minorEastAsia" w:cstheme="minorBidi"/>
          <w:b w:val="0"/>
          <w:bCs/>
          <w:noProof/>
          <w:sz w:val="22"/>
          <w:szCs w:val="22"/>
          <w:lang w:val="en-US" w:eastAsia="zh-CN"/>
        </w:rPr>
      </w:pPr>
      <w:hyperlink w:anchor="_Toc86395616" w:history="1">
        <w:r w:rsidR="005C6E35" w:rsidRPr="00D93502">
          <w:rPr>
            <w:rStyle w:val="Hyperlink"/>
            <w:rFonts w:hint="eastAsia"/>
            <w:b w:val="0"/>
            <w:bCs/>
            <w:noProof/>
          </w:rPr>
          <w:t>第</w:t>
        </w:r>
        <w:r w:rsidR="005C6E35" w:rsidRPr="00D93502">
          <w:rPr>
            <w:rStyle w:val="Hyperlink"/>
            <w:b w:val="0"/>
            <w:bCs/>
            <w:noProof/>
          </w:rPr>
          <w:t>556</w:t>
        </w:r>
        <w:r w:rsidR="005C6E35" w:rsidRPr="00D93502">
          <w:rPr>
            <w:rStyle w:val="Hyperlink"/>
            <w:rFonts w:hint="eastAsia"/>
            <w:b w:val="0"/>
            <w:bCs/>
            <w:noProof/>
          </w:rPr>
          <w:t>号决定</w:t>
        </w:r>
      </w:hyperlink>
      <w:r w:rsidR="00D93502">
        <w:rPr>
          <w:rFonts w:eastAsiaTheme="minorEastAsia" w:cstheme="minorBidi"/>
          <w:b w:val="0"/>
          <w:bCs/>
          <w:noProof/>
          <w:sz w:val="22"/>
          <w:szCs w:val="22"/>
          <w:lang w:val="en-US" w:eastAsia="zh-CN"/>
        </w:rPr>
        <w:tab/>
      </w:r>
      <w:hyperlink w:anchor="_Toc86395617" w:history="1">
        <w:r w:rsidR="005C6E35" w:rsidRPr="00D93502">
          <w:rPr>
            <w:rStyle w:val="Hyperlink"/>
            <w:rFonts w:hint="eastAsia"/>
            <w:b w:val="0"/>
            <w:bCs/>
            <w:noProof/>
          </w:rPr>
          <w:t>理事会会议和理事会工作组会议文件的提交和出版</w:t>
        </w:r>
        <w:r w:rsidR="005C6E35" w:rsidRPr="00D93502">
          <w:rPr>
            <w:b w:val="0"/>
            <w:bCs/>
            <w:noProof/>
            <w:webHidden/>
          </w:rPr>
          <w:tab/>
        </w:r>
        <w:r w:rsidR="00AE3990">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_Toc86395617 \h </w:instrText>
        </w:r>
        <w:r w:rsidR="005C6E35" w:rsidRPr="00D93502">
          <w:rPr>
            <w:b w:val="0"/>
            <w:bCs/>
            <w:noProof/>
            <w:webHidden/>
          </w:rPr>
        </w:r>
        <w:r w:rsidR="005C6E35" w:rsidRPr="00D93502">
          <w:rPr>
            <w:b w:val="0"/>
            <w:bCs/>
            <w:noProof/>
            <w:webHidden/>
          </w:rPr>
          <w:fldChar w:fldCharType="separate"/>
        </w:r>
        <w:r w:rsidR="00E305D2">
          <w:rPr>
            <w:b w:val="0"/>
            <w:bCs/>
            <w:noProof/>
            <w:webHidden/>
          </w:rPr>
          <w:t>145</w:t>
        </w:r>
        <w:r w:rsidR="005C6E35" w:rsidRPr="00D93502">
          <w:rPr>
            <w:b w:val="0"/>
            <w:bCs/>
            <w:noProof/>
            <w:webHidden/>
          </w:rPr>
          <w:fldChar w:fldCharType="end"/>
        </w:r>
      </w:hyperlink>
    </w:p>
    <w:p w14:paraId="6CE4901A" w14:textId="14359305" w:rsidR="005C6E35" w:rsidRPr="00D93502" w:rsidRDefault="00F71B18">
      <w:pPr>
        <w:pStyle w:val="TOC10"/>
        <w:rPr>
          <w:rFonts w:eastAsiaTheme="minorEastAsia" w:cstheme="minorBidi"/>
          <w:b w:val="0"/>
          <w:bCs/>
          <w:noProof/>
          <w:sz w:val="22"/>
          <w:szCs w:val="22"/>
          <w:lang w:val="en-US" w:eastAsia="zh-CN"/>
        </w:rPr>
      </w:pPr>
      <w:hyperlink w:anchor="_Toc86395618" w:history="1">
        <w:r w:rsidR="005C6E35" w:rsidRPr="00D93502">
          <w:rPr>
            <w:rStyle w:val="Hyperlink"/>
            <w:rFonts w:hint="eastAsia"/>
            <w:b w:val="0"/>
            <w:bCs/>
            <w:noProof/>
          </w:rPr>
          <w:t>第</w:t>
        </w:r>
        <w:r w:rsidR="005C6E35" w:rsidRPr="00D93502">
          <w:rPr>
            <w:rStyle w:val="Hyperlink"/>
            <w:b w:val="0"/>
            <w:bCs/>
            <w:noProof/>
          </w:rPr>
          <w:t>563</w:t>
        </w:r>
        <w:r w:rsidR="005C6E35" w:rsidRPr="00D93502">
          <w:rPr>
            <w:rStyle w:val="Hyperlink"/>
            <w:rFonts w:hint="eastAsia"/>
            <w:b w:val="0"/>
            <w:bCs/>
            <w:noProof/>
          </w:rPr>
          <w:t>号决定</w:t>
        </w:r>
      </w:hyperlink>
      <w:r w:rsidR="00D93502">
        <w:rPr>
          <w:rFonts w:eastAsiaTheme="minorEastAsia" w:cstheme="minorBidi"/>
          <w:b w:val="0"/>
          <w:bCs/>
          <w:noProof/>
          <w:sz w:val="22"/>
          <w:szCs w:val="22"/>
          <w:lang w:val="en-US" w:eastAsia="zh-CN"/>
        </w:rPr>
        <w:tab/>
      </w:r>
      <w:hyperlink w:anchor="_Toc86395619" w:history="1">
        <w:r w:rsidR="005C6E35" w:rsidRPr="00D93502">
          <w:rPr>
            <w:rStyle w:val="Hyperlink"/>
            <w:rFonts w:hint="eastAsia"/>
            <w:b w:val="0"/>
            <w:bCs/>
            <w:noProof/>
          </w:rPr>
          <w:t>理事会财务和人力资源工作组</w:t>
        </w:r>
        <w:r w:rsidR="005C6E35" w:rsidRPr="00D93502">
          <w:rPr>
            <w:b w:val="0"/>
            <w:bCs/>
            <w:noProof/>
            <w:webHidden/>
          </w:rPr>
          <w:tab/>
        </w:r>
        <w:r w:rsidR="00AE3990">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_Toc86395619 \h </w:instrText>
        </w:r>
        <w:r w:rsidR="005C6E35" w:rsidRPr="00D93502">
          <w:rPr>
            <w:b w:val="0"/>
            <w:bCs/>
            <w:noProof/>
            <w:webHidden/>
          </w:rPr>
        </w:r>
        <w:r w:rsidR="005C6E35" w:rsidRPr="00D93502">
          <w:rPr>
            <w:b w:val="0"/>
            <w:bCs/>
            <w:noProof/>
            <w:webHidden/>
          </w:rPr>
          <w:fldChar w:fldCharType="separate"/>
        </w:r>
        <w:r w:rsidR="00E305D2">
          <w:rPr>
            <w:b w:val="0"/>
            <w:bCs/>
            <w:noProof/>
            <w:webHidden/>
          </w:rPr>
          <w:t>146</w:t>
        </w:r>
        <w:r w:rsidR="005C6E35" w:rsidRPr="00D93502">
          <w:rPr>
            <w:b w:val="0"/>
            <w:bCs/>
            <w:noProof/>
            <w:webHidden/>
          </w:rPr>
          <w:fldChar w:fldCharType="end"/>
        </w:r>
      </w:hyperlink>
    </w:p>
    <w:p w14:paraId="1C93BB17" w14:textId="0A0B39BC" w:rsidR="005C6E35" w:rsidRPr="00D93502" w:rsidRDefault="00F71B18">
      <w:pPr>
        <w:pStyle w:val="TOC10"/>
        <w:rPr>
          <w:rFonts w:eastAsiaTheme="minorEastAsia" w:cstheme="minorBidi"/>
          <w:b w:val="0"/>
          <w:bCs/>
          <w:noProof/>
          <w:sz w:val="22"/>
          <w:szCs w:val="22"/>
          <w:lang w:val="en-US" w:eastAsia="zh-CN"/>
        </w:rPr>
      </w:pPr>
      <w:hyperlink w:anchor="_Toc86395620" w:history="1">
        <w:r w:rsidR="005C6E35" w:rsidRPr="00D93502">
          <w:rPr>
            <w:rStyle w:val="Hyperlink"/>
            <w:rFonts w:hint="eastAsia"/>
            <w:b w:val="0"/>
            <w:bCs/>
            <w:noProof/>
          </w:rPr>
          <w:t>第</w:t>
        </w:r>
        <w:r w:rsidR="005C6E35" w:rsidRPr="00D93502">
          <w:rPr>
            <w:rStyle w:val="Hyperlink"/>
            <w:b w:val="0"/>
            <w:bCs/>
            <w:noProof/>
          </w:rPr>
          <w:t>584</w:t>
        </w:r>
        <w:r w:rsidR="005C6E35" w:rsidRPr="00D93502">
          <w:rPr>
            <w:rStyle w:val="Hyperlink"/>
            <w:rFonts w:hint="eastAsia"/>
            <w:b w:val="0"/>
            <w:bCs/>
            <w:noProof/>
          </w:rPr>
          <w:t>号决定</w:t>
        </w:r>
      </w:hyperlink>
      <w:r w:rsidR="00D93502">
        <w:rPr>
          <w:rFonts w:eastAsiaTheme="minorEastAsia" w:cstheme="minorBidi"/>
          <w:b w:val="0"/>
          <w:bCs/>
          <w:noProof/>
          <w:sz w:val="22"/>
          <w:szCs w:val="22"/>
          <w:lang w:val="en-US" w:eastAsia="zh-CN"/>
        </w:rPr>
        <w:tab/>
      </w:r>
      <w:hyperlink w:anchor="_Toc86395621" w:history="1">
        <w:r w:rsidR="005C6E35" w:rsidRPr="00D93502">
          <w:rPr>
            <w:rStyle w:val="Hyperlink"/>
            <w:rFonts w:hint="eastAsia"/>
            <w:b w:val="0"/>
            <w:bCs/>
            <w:noProof/>
          </w:rPr>
          <w:t>理事会工作组的成立和管理</w:t>
        </w:r>
        <w:r w:rsidR="005C6E35" w:rsidRPr="00D93502">
          <w:rPr>
            <w:b w:val="0"/>
            <w:bCs/>
            <w:noProof/>
            <w:webHidden/>
          </w:rPr>
          <w:tab/>
        </w:r>
        <w:r w:rsidR="00AE3990">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_Toc86395621 \h </w:instrText>
        </w:r>
        <w:r w:rsidR="005C6E35" w:rsidRPr="00D93502">
          <w:rPr>
            <w:b w:val="0"/>
            <w:bCs/>
            <w:noProof/>
            <w:webHidden/>
          </w:rPr>
        </w:r>
        <w:r w:rsidR="005C6E35" w:rsidRPr="00D93502">
          <w:rPr>
            <w:b w:val="0"/>
            <w:bCs/>
            <w:noProof/>
            <w:webHidden/>
          </w:rPr>
          <w:fldChar w:fldCharType="separate"/>
        </w:r>
        <w:r w:rsidR="00E305D2">
          <w:rPr>
            <w:b w:val="0"/>
            <w:bCs/>
            <w:noProof/>
            <w:webHidden/>
          </w:rPr>
          <w:t>149</w:t>
        </w:r>
        <w:r w:rsidR="005C6E35" w:rsidRPr="00D93502">
          <w:rPr>
            <w:b w:val="0"/>
            <w:bCs/>
            <w:noProof/>
            <w:webHidden/>
          </w:rPr>
          <w:fldChar w:fldCharType="end"/>
        </w:r>
      </w:hyperlink>
    </w:p>
    <w:p w14:paraId="6A7D29BC" w14:textId="3F890481" w:rsidR="005C6E35" w:rsidRPr="00AE3990" w:rsidRDefault="00F71B18" w:rsidP="00AE3990">
      <w:pPr>
        <w:pStyle w:val="TOC10"/>
        <w:rPr>
          <w:b w:val="0"/>
          <w:bCs/>
          <w:noProof/>
          <w:u w:val="single"/>
        </w:rPr>
      </w:pPr>
      <w:hyperlink w:anchor="_Toc86395622" w:history="1">
        <w:r w:rsidR="005C6E35" w:rsidRPr="00AE3990">
          <w:rPr>
            <w:rStyle w:val="Hyperlink"/>
            <w:rFonts w:hint="eastAsia"/>
            <w:b w:val="0"/>
            <w:bCs/>
            <w:noProof/>
            <w:color w:val="auto"/>
          </w:rPr>
          <w:t>第</w:t>
        </w:r>
        <w:r w:rsidR="005C6E35" w:rsidRPr="00AE3990">
          <w:rPr>
            <w:rStyle w:val="Hyperlink"/>
            <w:b w:val="0"/>
            <w:bCs/>
            <w:noProof/>
            <w:color w:val="auto"/>
            <w:lang w:val="en-US"/>
          </w:rPr>
          <w:t>625</w:t>
        </w:r>
        <w:r w:rsidR="005C6E35" w:rsidRPr="00AE3990">
          <w:rPr>
            <w:rStyle w:val="Hyperlink"/>
            <w:rFonts w:hint="eastAsia"/>
            <w:b w:val="0"/>
            <w:bCs/>
            <w:noProof/>
            <w:color w:val="auto"/>
          </w:rPr>
          <w:t>号决定</w:t>
        </w:r>
        <w:r w:rsidR="00AE3990" w:rsidRPr="00AE3990">
          <w:rPr>
            <w:rStyle w:val="Hyperlink"/>
            <w:b w:val="0"/>
            <w:bCs/>
            <w:noProof/>
            <w:color w:val="auto"/>
          </w:rPr>
          <w:tab/>
        </w:r>
        <w:r w:rsidR="00AE3990" w:rsidRPr="00AE3990">
          <w:rPr>
            <w:rStyle w:val="Hyperlink"/>
            <w:rFonts w:hint="eastAsia"/>
            <w:b w:val="0"/>
            <w:bCs/>
            <w:noProof/>
            <w:color w:val="auto"/>
          </w:rPr>
          <w:t>理事会</w:t>
        </w:r>
        <w:r w:rsidR="00AE3990" w:rsidRPr="00AE3990">
          <w:rPr>
            <w:rStyle w:val="Hyperlink"/>
            <w:rFonts w:hint="eastAsia"/>
            <w:b w:val="0"/>
            <w:bCs/>
            <w:noProof/>
            <w:color w:val="auto"/>
          </w:rPr>
          <w:t>2022</w:t>
        </w:r>
        <w:r w:rsidR="00AE3990" w:rsidRPr="00AE3990">
          <w:rPr>
            <w:rStyle w:val="Hyperlink"/>
            <w:rFonts w:hint="eastAsia"/>
            <w:b w:val="0"/>
            <w:bCs/>
            <w:noProof/>
            <w:color w:val="auto"/>
          </w:rPr>
          <w:t>、</w:t>
        </w:r>
        <w:r w:rsidR="00AE3990" w:rsidRPr="00AE3990">
          <w:rPr>
            <w:rStyle w:val="Hyperlink"/>
            <w:rFonts w:hint="eastAsia"/>
            <w:b w:val="0"/>
            <w:bCs/>
            <w:noProof/>
            <w:color w:val="auto"/>
          </w:rPr>
          <w:t>2023</w:t>
        </w:r>
        <w:r w:rsidR="00AE3990" w:rsidRPr="00AE3990">
          <w:rPr>
            <w:rStyle w:val="Hyperlink"/>
            <w:rFonts w:hint="eastAsia"/>
            <w:b w:val="0"/>
            <w:bCs/>
            <w:noProof/>
            <w:color w:val="auto"/>
          </w:rPr>
          <w:t>、</w:t>
        </w:r>
        <w:r w:rsidR="00AE3990" w:rsidRPr="00AE3990">
          <w:rPr>
            <w:rStyle w:val="Hyperlink"/>
            <w:rFonts w:hint="eastAsia"/>
            <w:b w:val="0"/>
            <w:bCs/>
            <w:noProof/>
            <w:color w:val="auto"/>
          </w:rPr>
          <w:t>2024</w:t>
        </w:r>
        <w:r w:rsidR="00AE3990" w:rsidRPr="00AE3990">
          <w:rPr>
            <w:rStyle w:val="Hyperlink"/>
            <w:rFonts w:hint="eastAsia"/>
            <w:b w:val="0"/>
            <w:bCs/>
            <w:noProof/>
            <w:color w:val="auto"/>
          </w:rPr>
          <w:t>、</w:t>
        </w:r>
        <w:r w:rsidR="00AE3990" w:rsidRPr="00AE3990">
          <w:rPr>
            <w:rStyle w:val="Hyperlink"/>
            <w:rFonts w:hint="eastAsia"/>
            <w:b w:val="0"/>
            <w:bCs/>
            <w:noProof/>
            <w:color w:val="auto"/>
          </w:rPr>
          <w:t>2025</w:t>
        </w:r>
        <w:r w:rsidR="00AE3990" w:rsidRPr="00AE3990">
          <w:rPr>
            <w:rStyle w:val="Hyperlink"/>
            <w:rFonts w:hint="eastAsia"/>
            <w:b w:val="0"/>
            <w:bCs/>
            <w:noProof/>
            <w:color w:val="auto"/>
          </w:rPr>
          <w:t>和</w:t>
        </w:r>
        <w:r w:rsidR="00AE3990" w:rsidRPr="00AE3990">
          <w:rPr>
            <w:rStyle w:val="Hyperlink"/>
            <w:rFonts w:hint="eastAsia"/>
            <w:b w:val="0"/>
            <w:bCs/>
            <w:noProof/>
            <w:color w:val="auto"/>
          </w:rPr>
          <w:t>2026</w:t>
        </w:r>
        <w:r w:rsidR="00AE3990" w:rsidRPr="00AE3990">
          <w:rPr>
            <w:rStyle w:val="Hyperlink"/>
            <w:rFonts w:hint="eastAsia"/>
            <w:b w:val="0"/>
            <w:bCs/>
            <w:noProof/>
            <w:color w:val="auto"/>
          </w:rPr>
          <w:t>年会议以及理事会工作组和专家组</w:t>
        </w:r>
        <w:r w:rsidR="00AE3990" w:rsidRPr="00AE3990">
          <w:rPr>
            <w:rStyle w:val="Hyperlink"/>
            <w:rFonts w:hint="eastAsia"/>
            <w:b w:val="0"/>
            <w:bCs/>
            <w:noProof/>
            <w:color w:val="auto"/>
          </w:rPr>
          <w:t>2022</w:t>
        </w:r>
        <w:r w:rsidR="00AE3990" w:rsidRPr="00AE3990">
          <w:rPr>
            <w:rStyle w:val="Hyperlink"/>
            <w:rFonts w:hint="eastAsia"/>
            <w:b w:val="0"/>
            <w:bCs/>
            <w:noProof/>
            <w:color w:val="auto"/>
          </w:rPr>
          <w:t>、</w:t>
        </w:r>
        <w:r w:rsidR="00AE3990" w:rsidRPr="00AE3990">
          <w:rPr>
            <w:rStyle w:val="Hyperlink"/>
            <w:rFonts w:hint="eastAsia"/>
            <w:b w:val="0"/>
            <w:bCs/>
            <w:noProof/>
            <w:color w:val="auto"/>
          </w:rPr>
          <w:t>2023</w:t>
        </w:r>
        <w:r w:rsidR="00AE3990" w:rsidRPr="00AE3990">
          <w:rPr>
            <w:rStyle w:val="Hyperlink"/>
            <w:rFonts w:hint="eastAsia"/>
            <w:b w:val="0"/>
            <w:bCs/>
            <w:noProof/>
            <w:color w:val="auto"/>
          </w:rPr>
          <w:t>和</w:t>
        </w:r>
        <w:r w:rsidR="00AE3990" w:rsidRPr="00AE3990">
          <w:rPr>
            <w:rStyle w:val="Hyperlink"/>
            <w:rFonts w:hint="eastAsia"/>
            <w:b w:val="0"/>
            <w:bCs/>
            <w:noProof/>
            <w:color w:val="auto"/>
          </w:rPr>
          <w:t>2024</w:t>
        </w:r>
        <w:r w:rsidR="00AE3990" w:rsidRPr="00AE3990">
          <w:rPr>
            <w:rStyle w:val="Hyperlink"/>
            <w:rFonts w:hint="eastAsia"/>
            <w:b w:val="0"/>
            <w:bCs/>
            <w:noProof/>
            <w:color w:val="auto"/>
          </w:rPr>
          <w:t>年集中开会的日期和会期</w:t>
        </w:r>
        <w:r w:rsidR="005C6E35" w:rsidRPr="00AE3990">
          <w:rPr>
            <w:b w:val="0"/>
            <w:bCs/>
            <w:noProof/>
            <w:webHidden/>
          </w:rPr>
          <w:tab/>
        </w:r>
        <w:r w:rsidR="00AE3990" w:rsidRPr="00AE3990">
          <w:rPr>
            <w:b w:val="0"/>
            <w:bCs/>
            <w:noProof/>
            <w:webHidden/>
          </w:rPr>
          <w:tab/>
        </w:r>
        <w:r w:rsidR="005C6E35" w:rsidRPr="00AE3990">
          <w:rPr>
            <w:b w:val="0"/>
            <w:bCs/>
            <w:noProof/>
            <w:webHidden/>
          </w:rPr>
          <w:fldChar w:fldCharType="begin"/>
        </w:r>
        <w:r w:rsidR="005C6E35" w:rsidRPr="00AE3990">
          <w:rPr>
            <w:b w:val="0"/>
            <w:bCs/>
            <w:noProof/>
            <w:webHidden/>
          </w:rPr>
          <w:instrText xml:space="preserve"> PAGEREF _Toc86395622 \h </w:instrText>
        </w:r>
        <w:r w:rsidR="005C6E35" w:rsidRPr="00AE3990">
          <w:rPr>
            <w:b w:val="0"/>
            <w:bCs/>
            <w:noProof/>
            <w:webHidden/>
          </w:rPr>
        </w:r>
        <w:r w:rsidR="005C6E35" w:rsidRPr="00AE3990">
          <w:rPr>
            <w:b w:val="0"/>
            <w:bCs/>
            <w:noProof/>
            <w:webHidden/>
          </w:rPr>
          <w:fldChar w:fldCharType="separate"/>
        </w:r>
        <w:r w:rsidR="00E305D2">
          <w:rPr>
            <w:b w:val="0"/>
            <w:bCs/>
            <w:noProof/>
            <w:webHidden/>
          </w:rPr>
          <w:t>150</w:t>
        </w:r>
        <w:r w:rsidR="005C6E35" w:rsidRPr="00AE3990">
          <w:rPr>
            <w:b w:val="0"/>
            <w:bCs/>
            <w:noProof/>
            <w:webHidden/>
          </w:rPr>
          <w:fldChar w:fldCharType="end"/>
        </w:r>
      </w:hyperlink>
    </w:p>
    <w:p w14:paraId="5EB6FCF8" w14:textId="422C30F6" w:rsidR="005C6E35" w:rsidRPr="00AE3990" w:rsidRDefault="00F71B18">
      <w:pPr>
        <w:pStyle w:val="TOC10"/>
        <w:rPr>
          <w:rFonts w:eastAsiaTheme="minorEastAsia" w:cstheme="minorBidi"/>
          <w:noProof/>
          <w:sz w:val="22"/>
          <w:szCs w:val="22"/>
          <w:lang w:val="en-US" w:eastAsia="zh-CN"/>
        </w:rPr>
      </w:pPr>
      <w:hyperlink w:anchor="_Toc86395623" w:history="1">
        <w:r w:rsidR="005C6E35" w:rsidRPr="00AE3990">
          <w:rPr>
            <w:rStyle w:val="Hyperlink"/>
            <w:noProof/>
            <w:color w:val="auto"/>
            <w:lang w:eastAsia="zh-CN"/>
          </w:rPr>
          <w:t>3.3</w:t>
        </w:r>
        <w:r w:rsidR="005C6E35" w:rsidRPr="00AE3990">
          <w:rPr>
            <w:rFonts w:eastAsiaTheme="minorEastAsia" w:cstheme="minorBidi"/>
            <w:noProof/>
            <w:sz w:val="22"/>
            <w:szCs w:val="22"/>
            <w:lang w:val="en-US" w:eastAsia="zh-CN"/>
          </w:rPr>
          <w:tab/>
        </w:r>
        <w:r w:rsidR="005C6E35" w:rsidRPr="00AE3990">
          <w:rPr>
            <w:rStyle w:val="Hyperlink"/>
            <w:rFonts w:hint="eastAsia"/>
            <w:noProof/>
            <w:color w:val="auto"/>
            <w:lang w:eastAsia="zh-CN"/>
          </w:rPr>
          <w:t>全权代表大会</w:t>
        </w:r>
        <w:r w:rsidR="005C6E35" w:rsidRPr="00AE3990">
          <w:rPr>
            <w:noProof/>
            <w:webHidden/>
          </w:rPr>
          <w:tab/>
        </w:r>
        <w:r w:rsidR="00AE3990" w:rsidRPr="00AE3990">
          <w:rPr>
            <w:noProof/>
            <w:webHidden/>
          </w:rPr>
          <w:tab/>
        </w:r>
        <w:r w:rsidR="005C6E35" w:rsidRPr="00AE3990">
          <w:rPr>
            <w:noProof/>
            <w:webHidden/>
          </w:rPr>
          <w:fldChar w:fldCharType="begin"/>
        </w:r>
        <w:r w:rsidR="005C6E35" w:rsidRPr="00AE3990">
          <w:rPr>
            <w:noProof/>
            <w:webHidden/>
          </w:rPr>
          <w:instrText xml:space="preserve"> PAGEREF _Toc86395623 \h </w:instrText>
        </w:r>
        <w:r w:rsidR="005C6E35" w:rsidRPr="00AE3990">
          <w:rPr>
            <w:noProof/>
            <w:webHidden/>
          </w:rPr>
        </w:r>
        <w:r w:rsidR="005C6E35" w:rsidRPr="00AE3990">
          <w:rPr>
            <w:noProof/>
            <w:webHidden/>
          </w:rPr>
          <w:fldChar w:fldCharType="separate"/>
        </w:r>
        <w:r w:rsidR="00E305D2">
          <w:rPr>
            <w:noProof/>
            <w:webHidden/>
          </w:rPr>
          <w:t>152</w:t>
        </w:r>
        <w:r w:rsidR="005C6E35" w:rsidRPr="00AE3990">
          <w:rPr>
            <w:noProof/>
            <w:webHidden/>
          </w:rPr>
          <w:fldChar w:fldCharType="end"/>
        </w:r>
      </w:hyperlink>
    </w:p>
    <w:p w14:paraId="629F7455" w14:textId="40B23676" w:rsidR="005C6E35" w:rsidRPr="00AE3990" w:rsidRDefault="00F71B18">
      <w:pPr>
        <w:pStyle w:val="TOC10"/>
        <w:rPr>
          <w:rStyle w:val="Hyperlink"/>
          <w:b w:val="0"/>
          <w:bCs/>
          <w:noProof/>
          <w:color w:val="auto"/>
        </w:rPr>
      </w:pPr>
      <w:hyperlink w:anchor="_Toc86395624" w:history="1">
        <w:r w:rsidR="005C6E35" w:rsidRPr="00AE3990">
          <w:rPr>
            <w:rStyle w:val="Hyperlink"/>
            <w:rFonts w:hint="eastAsia"/>
            <w:b w:val="0"/>
            <w:bCs/>
            <w:noProof/>
            <w:color w:val="auto"/>
          </w:rPr>
          <w:t>第</w:t>
        </w:r>
        <w:r w:rsidR="005C6E35" w:rsidRPr="00AE3990">
          <w:rPr>
            <w:rStyle w:val="Hyperlink"/>
            <w:b w:val="0"/>
            <w:bCs/>
            <w:noProof/>
            <w:color w:val="auto"/>
            <w:lang w:val="fr-CH"/>
          </w:rPr>
          <w:t>610</w:t>
        </w:r>
        <w:r w:rsidR="005C6E35" w:rsidRPr="00AE3990">
          <w:rPr>
            <w:rStyle w:val="Hyperlink"/>
            <w:rFonts w:hint="eastAsia"/>
            <w:b w:val="0"/>
            <w:bCs/>
            <w:noProof/>
            <w:color w:val="auto"/>
          </w:rPr>
          <w:t>号决定</w:t>
        </w:r>
      </w:hyperlink>
      <w:r w:rsidR="00AE3990" w:rsidRPr="00AE3990">
        <w:rPr>
          <w:rFonts w:eastAsiaTheme="minorEastAsia" w:cstheme="minorBidi"/>
          <w:b w:val="0"/>
          <w:bCs/>
          <w:noProof/>
          <w:sz w:val="22"/>
          <w:szCs w:val="22"/>
          <w:lang w:val="en-US" w:eastAsia="zh-CN"/>
        </w:rPr>
        <w:tab/>
      </w:r>
      <w:hyperlink w:anchor="_Toc86395625" w:history="1">
        <w:r w:rsidR="005C6E35" w:rsidRPr="00AE3990">
          <w:rPr>
            <w:rStyle w:val="Hyperlink"/>
            <w:rFonts w:hint="eastAsia"/>
            <w:b w:val="0"/>
            <w:bCs/>
            <w:noProof/>
            <w:color w:val="auto"/>
          </w:rPr>
          <w:t>下届例行的全权代表大会的召开</w:t>
        </w:r>
        <w:r w:rsidR="005C6E35" w:rsidRPr="00AE3990">
          <w:rPr>
            <w:b w:val="0"/>
            <w:bCs/>
            <w:noProof/>
            <w:webHidden/>
          </w:rPr>
          <w:tab/>
        </w:r>
        <w:r w:rsidR="00AE3990" w:rsidRPr="00AE3990">
          <w:rPr>
            <w:b w:val="0"/>
            <w:bCs/>
            <w:noProof/>
            <w:webHidden/>
          </w:rPr>
          <w:tab/>
        </w:r>
        <w:r w:rsidR="005C6E35" w:rsidRPr="00AE3990">
          <w:rPr>
            <w:b w:val="0"/>
            <w:bCs/>
            <w:noProof/>
            <w:webHidden/>
          </w:rPr>
          <w:fldChar w:fldCharType="begin"/>
        </w:r>
        <w:r w:rsidR="005C6E35" w:rsidRPr="00AE3990">
          <w:rPr>
            <w:b w:val="0"/>
            <w:bCs/>
            <w:noProof/>
            <w:webHidden/>
          </w:rPr>
          <w:instrText xml:space="preserve"> PAGEREF _Toc86395625 \h </w:instrText>
        </w:r>
        <w:r w:rsidR="005C6E35" w:rsidRPr="00AE3990">
          <w:rPr>
            <w:b w:val="0"/>
            <w:bCs/>
            <w:noProof/>
            <w:webHidden/>
          </w:rPr>
        </w:r>
        <w:r w:rsidR="005C6E35" w:rsidRPr="00AE3990">
          <w:rPr>
            <w:b w:val="0"/>
            <w:bCs/>
            <w:noProof/>
            <w:webHidden/>
          </w:rPr>
          <w:fldChar w:fldCharType="separate"/>
        </w:r>
        <w:r w:rsidR="00E305D2">
          <w:rPr>
            <w:b w:val="0"/>
            <w:bCs/>
            <w:noProof/>
            <w:webHidden/>
          </w:rPr>
          <w:t>152</w:t>
        </w:r>
        <w:r w:rsidR="005C6E35" w:rsidRPr="00AE3990">
          <w:rPr>
            <w:b w:val="0"/>
            <w:bCs/>
            <w:noProof/>
            <w:webHidden/>
          </w:rPr>
          <w:fldChar w:fldCharType="end"/>
        </w:r>
      </w:hyperlink>
    </w:p>
    <w:p w14:paraId="623843B8" w14:textId="667BA588" w:rsidR="00AE3990" w:rsidRPr="00AE3990" w:rsidRDefault="00AE3990">
      <w:pPr>
        <w:pStyle w:val="TOC10"/>
        <w:rPr>
          <w:rStyle w:val="Hyperlink"/>
          <w:b w:val="0"/>
          <w:bCs/>
          <w:noProof/>
          <w:color w:val="auto"/>
        </w:rPr>
      </w:pPr>
      <w:r w:rsidRPr="00AE3990">
        <w:rPr>
          <w:rStyle w:val="Hyperlink"/>
          <w:b w:val="0"/>
          <w:bCs/>
          <w:noProof/>
          <w:color w:val="auto"/>
        </w:rPr>
        <w:br w:type="page"/>
      </w:r>
    </w:p>
    <w:p w14:paraId="308A3BFB" w14:textId="55052AD5" w:rsidR="00AE3990" w:rsidRPr="00AE3990" w:rsidRDefault="00AE3990" w:rsidP="00AE3990">
      <w:pPr>
        <w:pStyle w:val="toc0"/>
        <w:keepNext/>
        <w:keepLines/>
        <w:tabs>
          <w:tab w:val="clear" w:pos="8789"/>
          <w:tab w:val="left" w:pos="1191"/>
          <w:tab w:val="left" w:pos="1588"/>
          <w:tab w:val="left" w:pos="1985"/>
        </w:tabs>
        <w:ind w:right="-1"/>
        <w:jc w:val="right"/>
        <w:rPr>
          <w:rStyle w:val="Hyperlink"/>
          <w:b w:val="0"/>
          <w:bCs/>
          <w:noProof/>
          <w:color w:val="auto"/>
        </w:rPr>
      </w:pPr>
      <w:r w:rsidRPr="00AE3990">
        <w:rPr>
          <w:rFonts w:ascii="STKaiti" w:eastAsia="STKaiti" w:hAnsi="STKaiti" w:cs="Microsoft YaHei"/>
          <w:b w:val="0"/>
          <w:bCs/>
          <w:noProof/>
          <w:sz w:val="22"/>
        </w:rPr>
        <w:lastRenderedPageBreak/>
        <w:t>页码</w:t>
      </w:r>
    </w:p>
    <w:p w14:paraId="1A3EBB8B" w14:textId="25ACBA41" w:rsidR="005C6E35" w:rsidRPr="00AE3990" w:rsidRDefault="00F71B18">
      <w:pPr>
        <w:pStyle w:val="TOC10"/>
        <w:rPr>
          <w:rFonts w:eastAsiaTheme="minorEastAsia" w:cstheme="minorBidi"/>
          <w:noProof/>
          <w:sz w:val="22"/>
          <w:szCs w:val="22"/>
          <w:lang w:val="en-US" w:eastAsia="zh-CN"/>
        </w:rPr>
      </w:pPr>
      <w:hyperlink w:anchor="_Toc86395626" w:history="1">
        <w:r w:rsidR="005C6E35" w:rsidRPr="00AE3990">
          <w:rPr>
            <w:rStyle w:val="Hyperlink"/>
            <w:noProof/>
            <w:color w:val="auto"/>
            <w:lang w:eastAsia="zh-CN"/>
          </w:rPr>
          <w:t>3.4</w:t>
        </w:r>
        <w:r w:rsidR="005C6E35" w:rsidRPr="00AE3990">
          <w:rPr>
            <w:rFonts w:eastAsiaTheme="minorEastAsia" w:cstheme="minorBidi"/>
            <w:noProof/>
            <w:sz w:val="22"/>
            <w:szCs w:val="22"/>
            <w:lang w:val="en-US" w:eastAsia="zh-CN"/>
          </w:rPr>
          <w:tab/>
        </w:r>
        <w:r w:rsidR="005C6E35" w:rsidRPr="00AE3990">
          <w:rPr>
            <w:rStyle w:val="Hyperlink"/>
            <w:rFonts w:hint="eastAsia"/>
            <w:noProof/>
            <w:color w:val="auto"/>
            <w:lang w:eastAsia="zh-CN"/>
          </w:rPr>
          <w:t>其它大会和相关事宜</w:t>
        </w:r>
        <w:r w:rsidR="005C6E35" w:rsidRPr="00AE3990">
          <w:rPr>
            <w:noProof/>
            <w:webHidden/>
          </w:rPr>
          <w:tab/>
        </w:r>
        <w:r w:rsidR="00AE3990">
          <w:rPr>
            <w:noProof/>
            <w:webHidden/>
          </w:rPr>
          <w:tab/>
        </w:r>
        <w:r w:rsidR="005C6E35" w:rsidRPr="00AE3990">
          <w:rPr>
            <w:noProof/>
            <w:webHidden/>
          </w:rPr>
          <w:fldChar w:fldCharType="begin"/>
        </w:r>
        <w:r w:rsidR="005C6E35" w:rsidRPr="00AE3990">
          <w:rPr>
            <w:noProof/>
            <w:webHidden/>
          </w:rPr>
          <w:instrText xml:space="preserve"> PAGEREF _Toc86395626 \h </w:instrText>
        </w:r>
        <w:r w:rsidR="005C6E35" w:rsidRPr="00AE3990">
          <w:rPr>
            <w:noProof/>
            <w:webHidden/>
          </w:rPr>
        </w:r>
        <w:r w:rsidR="005C6E35" w:rsidRPr="00AE3990">
          <w:rPr>
            <w:noProof/>
            <w:webHidden/>
          </w:rPr>
          <w:fldChar w:fldCharType="separate"/>
        </w:r>
        <w:r w:rsidR="00E305D2">
          <w:rPr>
            <w:noProof/>
            <w:webHidden/>
          </w:rPr>
          <w:t>153</w:t>
        </w:r>
        <w:r w:rsidR="005C6E35" w:rsidRPr="00AE3990">
          <w:rPr>
            <w:noProof/>
            <w:webHidden/>
          </w:rPr>
          <w:fldChar w:fldCharType="end"/>
        </w:r>
      </w:hyperlink>
    </w:p>
    <w:p w14:paraId="653D8C23" w14:textId="2AE6ED3F" w:rsidR="005C6E35" w:rsidRPr="00D93502" w:rsidRDefault="00F71B18">
      <w:pPr>
        <w:pStyle w:val="TOC10"/>
        <w:rPr>
          <w:rFonts w:eastAsiaTheme="minorEastAsia" w:cstheme="minorBidi"/>
          <w:b w:val="0"/>
          <w:bCs/>
          <w:noProof/>
          <w:sz w:val="22"/>
          <w:szCs w:val="22"/>
          <w:lang w:val="en-US" w:eastAsia="zh-CN"/>
        </w:rPr>
      </w:pPr>
      <w:hyperlink w:anchor="_Toc86395627" w:history="1">
        <w:r w:rsidR="005C6E35" w:rsidRPr="00AE3990">
          <w:rPr>
            <w:rStyle w:val="Hyperlink"/>
            <w:rFonts w:hint="eastAsia"/>
            <w:b w:val="0"/>
            <w:bCs/>
            <w:noProof/>
            <w:color w:val="auto"/>
            <w:lang w:eastAsia="zh-CN"/>
          </w:rPr>
          <w:t>第</w:t>
        </w:r>
        <w:r w:rsidR="005C6E35" w:rsidRPr="00AE3990">
          <w:rPr>
            <w:rStyle w:val="Hyperlink"/>
            <w:b w:val="0"/>
            <w:bCs/>
            <w:noProof/>
            <w:color w:val="auto"/>
            <w:lang w:eastAsia="zh-CN"/>
          </w:rPr>
          <w:t>1292</w:t>
        </w:r>
        <w:r w:rsidR="005C6E35" w:rsidRPr="00AE3990">
          <w:rPr>
            <w:rStyle w:val="Hyperlink"/>
            <w:rFonts w:hint="eastAsia"/>
            <w:b w:val="0"/>
            <w:bCs/>
            <w:noProof/>
            <w:color w:val="auto"/>
            <w:lang w:eastAsia="zh-CN"/>
          </w:rPr>
          <w:t>号决议</w:t>
        </w:r>
      </w:hyperlink>
      <w:r w:rsidR="00AE3990">
        <w:rPr>
          <w:rFonts w:eastAsiaTheme="minorEastAsia" w:cstheme="minorBidi"/>
          <w:b w:val="0"/>
          <w:bCs/>
          <w:noProof/>
          <w:sz w:val="22"/>
          <w:szCs w:val="22"/>
          <w:lang w:val="en-US" w:eastAsia="zh-CN"/>
        </w:rPr>
        <w:tab/>
      </w:r>
      <w:hyperlink w:anchor="_Toc86395628" w:history="1">
        <w:r w:rsidR="005C6E35" w:rsidRPr="00D93502">
          <w:rPr>
            <w:rStyle w:val="Hyperlink"/>
            <w:rFonts w:hint="eastAsia"/>
            <w:b w:val="0"/>
            <w:bCs/>
            <w:noProof/>
            <w:lang w:eastAsia="zh-CN"/>
          </w:rPr>
          <w:t>世界和区域性电信</w:t>
        </w:r>
        <w:r w:rsidR="005C6E35" w:rsidRPr="00D93502">
          <w:rPr>
            <w:rStyle w:val="Hyperlink"/>
            <w:b w:val="0"/>
            <w:bCs/>
            <w:noProof/>
            <w:lang w:eastAsia="zh-CN"/>
          </w:rPr>
          <w:t>/</w:t>
        </w:r>
        <w:r w:rsidR="005C6E35" w:rsidRPr="00D93502">
          <w:rPr>
            <w:rStyle w:val="Hyperlink"/>
            <w:rFonts w:hint="eastAsia"/>
            <w:b w:val="0"/>
            <w:bCs/>
            <w:noProof/>
            <w:lang w:eastAsia="zh-CN"/>
          </w:rPr>
          <w:t>信息通信技术展览和论坛</w:t>
        </w:r>
        <w:r w:rsidR="005C6E35" w:rsidRPr="00D93502">
          <w:rPr>
            <w:b w:val="0"/>
            <w:bCs/>
            <w:noProof/>
            <w:webHidden/>
          </w:rPr>
          <w:tab/>
        </w:r>
        <w:r w:rsidR="00AE3990">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_Toc86395628 \h </w:instrText>
        </w:r>
        <w:r w:rsidR="005C6E35" w:rsidRPr="00D93502">
          <w:rPr>
            <w:b w:val="0"/>
            <w:bCs/>
            <w:noProof/>
            <w:webHidden/>
          </w:rPr>
        </w:r>
        <w:r w:rsidR="005C6E35" w:rsidRPr="00D93502">
          <w:rPr>
            <w:b w:val="0"/>
            <w:bCs/>
            <w:noProof/>
            <w:webHidden/>
          </w:rPr>
          <w:fldChar w:fldCharType="separate"/>
        </w:r>
        <w:r w:rsidR="00E305D2">
          <w:rPr>
            <w:b w:val="0"/>
            <w:bCs/>
            <w:noProof/>
            <w:webHidden/>
          </w:rPr>
          <w:t>153</w:t>
        </w:r>
        <w:r w:rsidR="005C6E35" w:rsidRPr="00D93502">
          <w:rPr>
            <w:b w:val="0"/>
            <w:bCs/>
            <w:noProof/>
            <w:webHidden/>
          </w:rPr>
          <w:fldChar w:fldCharType="end"/>
        </w:r>
      </w:hyperlink>
    </w:p>
    <w:p w14:paraId="069407FB" w14:textId="404D2AD4" w:rsidR="005C6E35" w:rsidRPr="00D93502" w:rsidRDefault="00F71B18">
      <w:pPr>
        <w:pStyle w:val="TOC10"/>
        <w:rPr>
          <w:rFonts w:eastAsiaTheme="minorEastAsia" w:cstheme="minorBidi"/>
          <w:b w:val="0"/>
          <w:bCs/>
          <w:noProof/>
          <w:sz w:val="22"/>
          <w:szCs w:val="22"/>
          <w:lang w:val="en-US" w:eastAsia="zh-CN"/>
        </w:rPr>
      </w:pPr>
      <w:hyperlink w:anchor="_Toc86395629" w:history="1">
        <w:r w:rsidR="005C6E35" w:rsidRPr="00D93502">
          <w:rPr>
            <w:rStyle w:val="Hyperlink"/>
            <w:rFonts w:hint="eastAsia"/>
            <w:b w:val="0"/>
            <w:bCs/>
            <w:noProof/>
            <w:lang w:eastAsia="zh-CN"/>
          </w:rPr>
          <w:t>第</w:t>
        </w:r>
        <w:r w:rsidR="005C6E35" w:rsidRPr="00D93502">
          <w:rPr>
            <w:rStyle w:val="Hyperlink"/>
            <w:b w:val="0"/>
            <w:bCs/>
            <w:noProof/>
            <w:lang w:eastAsia="zh-CN"/>
          </w:rPr>
          <w:t>1399</w:t>
        </w:r>
        <w:r w:rsidR="005C6E35" w:rsidRPr="00D93502">
          <w:rPr>
            <w:rStyle w:val="Hyperlink"/>
            <w:rFonts w:hint="eastAsia"/>
            <w:b w:val="0"/>
            <w:bCs/>
            <w:noProof/>
            <w:lang w:eastAsia="zh-CN"/>
          </w:rPr>
          <w:t>号决议</w:t>
        </w:r>
      </w:hyperlink>
      <w:r w:rsidR="00AE3990">
        <w:rPr>
          <w:rFonts w:eastAsiaTheme="minorEastAsia" w:cstheme="minorBidi"/>
          <w:b w:val="0"/>
          <w:bCs/>
          <w:noProof/>
          <w:sz w:val="22"/>
          <w:szCs w:val="22"/>
          <w:lang w:val="en-US" w:eastAsia="zh-CN"/>
        </w:rPr>
        <w:tab/>
      </w:r>
      <w:hyperlink w:anchor="_Toc86395630" w:history="1">
        <w:r w:rsidR="005C6E35" w:rsidRPr="00D93502">
          <w:rPr>
            <w:rStyle w:val="Hyperlink"/>
            <w:rFonts w:hint="eastAsia"/>
            <w:b w:val="0"/>
            <w:bCs/>
            <w:noProof/>
            <w:lang w:eastAsia="zh-CN"/>
          </w:rPr>
          <w:t>世界无线电通信大会（</w:t>
        </w:r>
        <w:r w:rsidR="005C6E35" w:rsidRPr="00D93502">
          <w:rPr>
            <w:rStyle w:val="Hyperlink"/>
            <w:b w:val="0"/>
            <w:bCs/>
            <w:noProof/>
            <w:lang w:eastAsia="zh-CN"/>
          </w:rPr>
          <w:t>WRC-23</w:t>
        </w:r>
        <w:r w:rsidR="005C6E35" w:rsidRPr="00D93502">
          <w:rPr>
            <w:rStyle w:val="Hyperlink"/>
            <w:rFonts w:hint="eastAsia"/>
            <w:b w:val="0"/>
            <w:bCs/>
            <w:noProof/>
            <w:lang w:eastAsia="zh-CN"/>
          </w:rPr>
          <w:t>）的议程</w:t>
        </w:r>
        <w:r w:rsidR="005C6E35" w:rsidRPr="00D93502">
          <w:rPr>
            <w:b w:val="0"/>
            <w:bCs/>
            <w:noProof/>
            <w:webHidden/>
          </w:rPr>
          <w:tab/>
        </w:r>
        <w:r w:rsidR="00AE3990">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_Toc86395630 \h </w:instrText>
        </w:r>
        <w:r w:rsidR="005C6E35" w:rsidRPr="00D93502">
          <w:rPr>
            <w:b w:val="0"/>
            <w:bCs/>
            <w:noProof/>
            <w:webHidden/>
          </w:rPr>
        </w:r>
        <w:r w:rsidR="005C6E35" w:rsidRPr="00D93502">
          <w:rPr>
            <w:b w:val="0"/>
            <w:bCs/>
            <w:noProof/>
            <w:webHidden/>
          </w:rPr>
          <w:fldChar w:fldCharType="separate"/>
        </w:r>
        <w:r w:rsidR="00E305D2">
          <w:rPr>
            <w:b w:val="0"/>
            <w:bCs/>
            <w:noProof/>
            <w:webHidden/>
          </w:rPr>
          <w:t>155</w:t>
        </w:r>
        <w:r w:rsidR="005C6E35" w:rsidRPr="00D93502">
          <w:rPr>
            <w:b w:val="0"/>
            <w:bCs/>
            <w:noProof/>
            <w:webHidden/>
          </w:rPr>
          <w:fldChar w:fldCharType="end"/>
        </w:r>
      </w:hyperlink>
    </w:p>
    <w:p w14:paraId="1F2505EA" w14:textId="653DF9EB" w:rsidR="005C6E35" w:rsidRPr="00D93502" w:rsidRDefault="00F71B18">
      <w:pPr>
        <w:pStyle w:val="TOC10"/>
        <w:rPr>
          <w:rFonts w:eastAsiaTheme="minorEastAsia" w:cstheme="minorBidi"/>
          <w:b w:val="0"/>
          <w:bCs/>
          <w:noProof/>
          <w:sz w:val="22"/>
          <w:szCs w:val="22"/>
          <w:lang w:val="en-US" w:eastAsia="zh-CN"/>
        </w:rPr>
      </w:pPr>
      <w:hyperlink w:anchor="_Toc86395631" w:history="1">
        <w:r w:rsidR="005C6E35" w:rsidRPr="00D93502">
          <w:rPr>
            <w:rStyle w:val="Hyperlink"/>
            <w:rFonts w:hint="eastAsia"/>
            <w:b w:val="0"/>
            <w:bCs/>
            <w:noProof/>
          </w:rPr>
          <w:t>第</w:t>
        </w:r>
        <w:r w:rsidR="005C6E35" w:rsidRPr="00D93502">
          <w:rPr>
            <w:rStyle w:val="Hyperlink"/>
            <w:b w:val="0"/>
            <w:bCs/>
            <w:noProof/>
            <w:lang w:val="fr-CH"/>
          </w:rPr>
          <w:t>608</w:t>
        </w:r>
        <w:r w:rsidR="005C6E35" w:rsidRPr="00D93502">
          <w:rPr>
            <w:rStyle w:val="Hyperlink"/>
            <w:rFonts w:hint="eastAsia"/>
            <w:b w:val="0"/>
            <w:bCs/>
            <w:noProof/>
          </w:rPr>
          <w:t>号决定</w:t>
        </w:r>
      </w:hyperlink>
      <w:r w:rsidR="00AE3990">
        <w:rPr>
          <w:rFonts w:eastAsiaTheme="minorEastAsia" w:cstheme="minorBidi"/>
          <w:b w:val="0"/>
          <w:bCs/>
          <w:noProof/>
          <w:sz w:val="22"/>
          <w:szCs w:val="22"/>
          <w:lang w:val="en-US" w:eastAsia="zh-CN"/>
        </w:rPr>
        <w:tab/>
      </w:r>
      <w:hyperlink w:anchor="_Toc86395632" w:history="1">
        <w:r w:rsidR="005C6E35" w:rsidRPr="00D93502">
          <w:rPr>
            <w:rStyle w:val="Hyperlink"/>
            <w:rFonts w:hint="eastAsia"/>
            <w:b w:val="0"/>
            <w:bCs/>
            <w:noProof/>
          </w:rPr>
          <w:t>下届世界电信标准化全会（</w:t>
        </w:r>
        <w:r w:rsidR="005C6E35" w:rsidRPr="00D93502">
          <w:rPr>
            <w:rStyle w:val="Hyperlink"/>
            <w:rFonts w:cstheme="minorHAnsi"/>
            <w:b w:val="0"/>
            <w:bCs/>
            <w:noProof/>
          </w:rPr>
          <w:t>WTSA-20</w:t>
        </w:r>
        <w:r w:rsidR="005C6E35" w:rsidRPr="00D93502">
          <w:rPr>
            <w:rStyle w:val="Hyperlink"/>
            <w:rFonts w:hint="eastAsia"/>
            <w:b w:val="0"/>
            <w:bCs/>
            <w:noProof/>
          </w:rPr>
          <w:t>）的召开</w:t>
        </w:r>
        <w:r w:rsidR="005C6E35" w:rsidRPr="00D93502">
          <w:rPr>
            <w:b w:val="0"/>
            <w:bCs/>
            <w:noProof/>
            <w:webHidden/>
          </w:rPr>
          <w:tab/>
        </w:r>
        <w:r w:rsidR="00AE3990">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_Toc86395632 \h </w:instrText>
        </w:r>
        <w:r w:rsidR="005C6E35" w:rsidRPr="00D93502">
          <w:rPr>
            <w:b w:val="0"/>
            <w:bCs/>
            <w:noProof/>
            <w:webHidden/>
          </w:rPr>
        </w:r>
        <w:r w:rsidR="005C6E35" w:rsidRPr="00D93502">
          <w:rPr>
            <w:b w:val="0"/>
            <w:bCs/>
            <w:noProof/>
            <w:webHidden/>
          </w:rPr>
          <w:fldChar w:fldCharType="separate"/>
        </w:r>
        <w:r w:rsidR="00E305D2">
          <w:rPr>
            <w:b w:val="0"/>
            <w:bCs/>
            <w:noProof/>
            <w:webHidden/>
          </w:rPr>
          <w:t>159</w:t>
        </w:r>
        <w:r w:rsidR="005C6E35" w:rsidRPr="00D93502">
          <w:rPr>
            <w:b w:val="0"/>
            <w:bCs/>
            <w:noProof/>
            <w:webHidden/>
          </w:rPr>
          <w:fldChar w:fldCharType="end"/>
        </w:r>
      </w:hyperlink>
    </w:p>
    <w:p w14:paraId="1AFF51EC" w14:textId="250A0638" w:rsidR="005C6E35" w:rsidRPr="00D93502" w:rsidRDefault="00F71B18">
      <w:pPr>
        <w:pStyle w:val="TOC10"/>
        <w:rPr>
          <w:rFonts w:eastAsiaTheme="minorEastAsia" w:cstheme="minorBidi"/>
          <w:b w:val="0"/>
          <w:bCs/>
          <w:noProof/>
          <w:sz w:val="22"/>
          <w:szCs w:val="22"/>
          <w:lang w:val="en-US" w:eastAsia="zh-CN"/>
        </w:rPr>
      </w:pPr>
      <w:hyperlink w:anchor="_Toc86395633" w:history="1">
        <w:r w:rsidR="005C6E35" w:rsidRPr="00D93502">
          <w:rPr>
            <w:rStyle w:val="Hyperlink"/>
            <w:rFonts w:hint="eastAsia"/>
            <w:b w:val="0"/>
            <w:bCs/>
            <w:noProof/>
          </w:rPr>
          <w:t>第</w:t>
        </w:r>
        <w:r w:rsidR="005C6E35" w:rsidRPr="00D93502">
          <w:rPr>
            <w:rStyle w:val="Hyperlink"/>
            <w:b w:val="0"/>
            <w:bCs/>
            <w:noProof/>
            <w:lang w:val="fr-CH"/>
          </w:rPr>
          <w:t>609</w:t>
        </w:r>
        <w:r w:rsidR="005C6E35" w:rsidRPr="00D93502">
          <w:rPr>
            <w:rStyle w:val="Hyperlink"/>
            <w:rFonts w:hint="eastAsia"/>
            <w:b w:val="0"/>
            <w:bCs/>
            <w:noProof/>
          </w:rPr>
          <w:t>号决定</w:t>
        </w:r>
      </w:hyperlink>
      <w:r w:rsidR="00AE3990">
        <w:rPr>
          <w:rFonts w:eastAsiaTheme="minorEastAsia" w:cstheme="minorBidi"/>
          <w:b w:val="0"/>
          <w:bCs/>
          <w:noProof/>
          <w:sz w:val="22"/>
          <w:szCs w:val="22"/>
          <w:lang w:val="en-US" w:eastAsia="zh-CN"/>
        </w:rPr>
        <w:tab/>
      </w:r>
      <w:hyperlink w:anchor="_Toc86395634" w:history="1">
        <w:r w:rsidR="005C6E35" w:rsidRPr="00D93502">
          <w:rPr>
            <w:rStyle w:val="Hyperlink"/>
            <w:rFonts w:hint="eastAsia"/>
            <w:b w:val="0"/>
            <w:bCs/>
            <w:noProof/>
          </w:rPr>
          <w:t>下届世界电信发展大会（</w:t>
        </w:r>
        <w:r w:rsidR="005C6E35" w:rsidRPr="00D93502">
          <w:rPr>
            <w:rStyle w:val="Hyperlink"/>
            <w:b w:val="0"/>
            <w:bCs/>
            <w:noProof/>
          </w:rPr>
          <w:t>WTDC-21</w:t>
        </w:r>
        <w:r w:rsidR="005C6E35" w:rsidRPr="00D93502">
          <w:rPr>
            <w:rStyle w:val="Hyperlink"/>
            <w:rFonts w:hint="eastAsia"/>
            <w:b w:val="0"/>
            <w:bCs/>
            <w:noProof/>
          </w:rPr>
          <w:t>）的召开</w:t>
        </w:r>
        <w:r w:rsidR="005C6E35" w:rsidRPr="00D93502">
          <w:rPr>
            <w:b w:val="0"/>
            <w:bCs/>
            <w:noProof/>
            <w:webHidden/>
          </w:rPr>
          <w:tab/>
        </w:r>
        <w:r w:rsidR="00AE3990">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_Toc86395634 \h </w:instrText>
        </w:r>
        <w:r w:rsidR="005C6E35" w:rsidRPr="00D93502">
          <w:rPr>
            <w:b w:val="0"/>
            <w:bCs/>
            <w:noProof/>
            <w:webHidden/>
          </w:rPr>
        </w:r>
        <w:r w:rsidR="005C6E35" w:rsidRPr="00D93502">
          <w:rPr>
            <w:b w:val="0"/>
            <w:bCs/>
            <w:noProof/>
            <w:webHidden/>
          </w:rPr>
          <w:fldChar w:fldCharType="separate"/>
        </w:r>
        <w:r w:rsidR="00E305D2">
          <w:rPr>
            <w:b w:val="0"/>
            <w:bCs/>
            <w:noProof/>
            <w:webHidden/>
          </w:rPr>
          <w:t>160</w:t>
        </w:r>
        <w:r w:rsidR="005C6E35" w:rsidRPr="00D93502">
          <w:rPr>
            <w:b w:val="0"/>
            <w:bCs/>
            <w:noProof/>
            <w:webHidden/>
          </w:rPr>
          <w:fldChar w:fldCharType="end"/>
        </w:r>
      </w:hyperlink>
    </w:p>
    <w:p w14:paraId="400F5B60" w14:textId="0D32656C" w:rsidR="005C6E35" w:rsidRPr="00D93502" w:rsidRDefault="00F71B18">
      <w:pPr>
        <w:pStyle w:val="TOC10"/>
        <w:rPr>
          <w:rFonts w:eastAsiaTheme="minorEastAsia" w:cstheme="minorBidi"/>
          <w:b w:val="0"/>
          <w:bCs/>
          <w:noProof/>
          <w:sz w:val="22"/>
          <w:szCs w:val="22"/>
          <w:lang w:val="en-US" w:eastAsia="zh-CN"/>
        </w:rPr>
      </w:pPr>
      <w:hyperlink w:anchor="_Toc86395635" w:history="1">
        <w:r w:rsidR="005C6E35" w:rsidRPr="00D93502">
          <w:rPr>
            <w:rStyle w:val="Hyperlink"/>
            <w:rFonts w:hint="eastAsia"/>
            <w:b w:val="0"/>
            <w:bCs/>
            <w:noProof/>
          </w:rPr>
          <w:t>第</w:t>
        </w:r>
        <w:r w:rsidR="005C6E35" w:rsidRPr="00D93502">
          <w:rPr>
            <w:rStyle w:val="Hyperlink"/>
            <w:b w:val="0"/>
            <w:bCs/>
            <w:noProof/>
            <w:lang w:val="fr-CH"/>
          </w:rPr>
          <w:t>611</w:t>
        </w:r>
        <w:r w:rsidR="005C6E35" w:rsidRPr="00D93502">
          <w:rPr>
            <w:rStyle w:val="Hyperlink"/>
            <w:rFonts w:hint="eastAsia"/>
            <w:b w:val="0"/>
            <w:bCs/>
            <w:noProof/>
          </w:rPr>
          <w:t>号决定</w:t>
        </w:r>
      </w:hyperlink>
      <w:r w:rsidR="00AE3990">
        <w:rPr>
          <w:rFonts w:eastAsiaTheme="minorEastAsia" w:cstheme="minorBidi"/>
          <w:b w:val="0"/>
          <w:bCs/>
          <w:noProof/>
          <w:sz w:val="22"/>
          <w:szCs w:val="22"/>
          <w:lang w:val="en-US" w:eastAsia="zh-CN"/>
        </w:rPr>
        <w:tab/>
      </w:r>
      <w:hyperlink w:anchor="_Toc86395636" w:history="1">
        <w:r w:rsidR="005C6E35" w:rsidRPr="00D93502">
          <w:rPr>
            <w:rStyle w:val="Hyperlink"/>
            <w:rFonts w:hint="eastAsia"/>
            <w:b w:val="0"/>
            <w:bCs/>
            <w:noProof/>
          </w:rPr>
          <w:t>第六届世界电信</w:t>
        </w:r>
        <w:r w:rsidR="005C6E35" w:rsidRPr="00D93502">
          <w:rPr>
            <w:rStyle w:val="Hyperlink"/>
            <w:b w:val="0"/>
            <w:bCs/>
            <w:noProof/>
          </w:rPr>
          <w:t>/</w:t>
        </w:r>
        <w:r w:rsidR="005C6E35" w:rsidRPr="00D93502">
          <w:rPr>
            <w:rStyle w:val="Hyperlink"/>
            <w:rFonts w:hint="eastAsia"/>
            <w:b w:val="0"/>
            <w:bCs/>
            <w:noProof/>
          </w:rPr>
          <w:t>信息通信技术政策论坛</w:t>
        </w:r>
        <w:r w:rsidR="005C6E35" w:rsidRPr="00D93502">
          <w:rPr>
            <w:b w:val="0"/>
            <w:bCs/>
            <w:noProof/>
            <w:webHidden/>
          </w:rPr>
          <w:tab/>
        </w:r>
        <w:r w:rsidR="00AE3990">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_Toc86395636 \h </w:instrText>
        </w:r>
        <w:r w:rsidR="005C6E35" w:rsidRPr="00D93502">
          <w:rPr>
            <w:b w:val="0"/>
            <w:bCs/>
            <w:noProof/>
            <w:webHidden/>
          </w:rPr>
        </w:r>
        <w:r w:rsidR="005C6E35" w:rsidRPr="00D93502">
          <w:rPr>
            <w:b w:val="0"/>
            <w:bCs/>
            <w:noProof/>
            <w:webHidden/>
          </w:rPr>
          <w:fldChar w:fldCharType="separate"/>
        </w:r>
        <w:r w:rsidR="00E305D2">
          <w:rPr>
            <w:b w:val="0"/>
            <w:bCs/>
            <w:noProof/>
            <w:webHidden/>
          </w:rPr>
          <w:t>161</w:t>
        </w:r>
        <w:r w:rsidR="005C6E35" w:rsidRPr="00D93502">
          <w:rPr>
            <w:b w:val="0"/>
            <w:bCs/>
            <w:noProof/>
            <w:webHidden/>
          </w:rPr>
          <w:fldChar w:fldCharType="end"/>
        </w:r>
      </w:hyperlink>
    </w:p>
    <w:p w14:paraId="030221E3" w14:textId="2D4B5CA6" w:rsidR="005C6E35" w:rsidRPr="00D93502" w:rsidRDefault="00F71B18">
      <w:pPr>
        <w:pStyle w:val="TOC10"/>
        <w:rPr>
          <w:rFonts w:eastAsiaTheme="minorEastAsia" w:cstheme="minorBidi"/>
          <w:b w:val="0"/>
          <w:bCs/>
          <w:noProof/>
          <w:sz w:val="22"/>
          <w:szCs w:val="22"/>
          <w:lang w:val="en-US" w:eastAsia="zh-CN"/>
        </w:rPr>
      </w:pPr>
      <w:hyperlink w:anchor="_Toc86395637" w:history="1">
        <w:r w:rsidR="005C6E35" w:rsidRPr="00D93502">
          <w:rPr>
            <w:rStyle w:val="Hyperlink"/>
            <w:rFonts w:hint="eastAsia"/>
            <w:b w:val="0"/>
            <w:bCs/>
            <w:noProof/>
            <w:lang w:val="en-US"/>
          </w:rPr>
          <w:t>第</w:t>
        </w:r>
        <w:r w:rsidR="005C6E35" w:rsidRPr="00D93502">
          <w:rPr>
            <w:rStyle w:val="Hyperlink"/>
            <w:b w:val="0"/>
            <w:bCs/>
            <w:noProof/>
            <w:lang w:val="en-US"/>
          </w:rPr>
          <w:t>623</w:t>
        </w:r>
        <w:r w:rsidR="005C6E35" w:rsidRPr="00D93502">
          <w:rPr>
            <w:rStyle w:val="Hyperlink"/>
            <w:rFonts w:hint="eastAsia"/>
            <w:b w:val="0"/>
            <w:bCs/>
            <w:noProof/>
            <w:lang w:val="en-US"/>
          </w:rPr>
          <w:t>号</w:t>
        </w:r>
        <w:r w:rsidR="005C6E35" w:rsidRPr="00D93502">
          <w:rPr>
            <w:rStyle w:val="Hyperlink"/>
            <w:rFonts w:cs="Calibri" w:hint="eastAsia"/>
            <w:b w:val="0"/>
            <w:bCs/>
            <w:noProof/>
            <w:lang w:val="en-US"/>
          </w:rPr>
          <w:t>决定</w:t>
        </w:r>
      </w:hyperlink>
      <w:r w:rsidR="00AE3990">
        <w:rPr>
          <w:rFonts w:eastAsiaTheme="minorEastAsia" w:cstheme="minorBidi"/>
          <w:b w:val="0"/>
          <w:bCs/>
          <w:noProof/>
          <w:sz w:val="22"/>
          <w:szCs w:val="22"/>
          <w:lang w:val="en-US" w:eastAsia="zh-CN"/>
        </w:rPr>
        <w:tab/>
      </w:r>
      <w:hyperlink w:anchor="_Toc86395638" w:history="1">
        <w:r w:rsidR="005C6E35" w:rsidRPr="00D93502">
          <w:rPr>
            <w:rStyle w:val="Hyperlink"/>
            <w:rFonts w:hint="eastAsia"/>
            <w:b w:val="0"/>
            <w:bCs/>
            <w:noProof/>
            <w:lang w:val="en-US" w:eastAsia="zh-CN"/>
          </w:rPr>
          <w:t>世界无线电通信大会（</w:t>
        </w:r>
        <w:r w:rsidR="005C6E35" w:rsidRPr="00D93502">
          <w:rPr>
            <w:rStyle w:val="Hyperlink"/>
            <w:b w:val="0"/>
            <w:bCs/>
            <w:noProof/>
            <w:lang w:val="en-US" w:eastAsia="zh-CN"/>
          </w:rPr>
          <w:t>WRC-23</w:t>
        </w:r>
        <w:r w:rsidR="005C6E35" w:rsidRPr="00D93502">
          <w:rPr>
            <w:rStyle w:val="Hyperlink"/>
            <w:rFonts w:hint="eastAsia"/>
            <w:b w:val="0"/>
            <w:bCs/>
            <w:noProof/>
            <w:lang w:val="en-US" w:eastAsia="zh-CN"/>
          </w:rPr>
          <w:t>）和无线电通信全会（</w:t>
        </w:r>
        <w:r w:rsidR="005C6E35" w:rsidRPr="00D93502">
          <w:rPr>
            <w:rStyle w:val="Hyperlink"/>
            <w:b w:val="0"/>
            <w:bCs/>
            <w:noProof/>
            <w:lang w:val="en-US" w:eastAsia="zh-CN"/>
          </w:rPr>
          <w:t>RA-23</w:t>
        </w:r>
        <w:r w:rsidR="005C6E35" w:rsidRPr="00D93502">
          <w:rPr>
            <w:rStyle w:val="Hyperlink"/>
            <w:rFonts w:hint="eastAsia"/>
            <w:b w:val="0"/>
            <w:bCs/>
            <w:noProof/>
            <w:lang w:val="en-US" w:eastAsia="zh-CN"/>
          </w:rPr>
          <w:t>）的地点和日期</w:t>
        </w:r>
        <w:r w:rsidR="005C6E35" w:rsidRPr="00D93502">
          <w:rPr>
            <w:b w:val="0"/>
            <w:bCs/>
            <w:noProof/>
            <w:webHidden/>
          </w:rPr>
          <w:tab/>
        </w:r>
        <w:r w:rsidR="00AE3990">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_Toc86395638 \h </w:instrText>
        </w:r>
        <w:r w:rsidR="005C6E35" w:rsidRPr="00D93502">
          <w:rPr>
            <w:b w:val="0"/>
            <w:bCs/>
            <w:noProof/>
            <w:webHidden/>
          </w:rPr>
        </w:r>
        <w:r w:rsidR="005C6E35" w:rsidRPr="00D93502">
          <w:rPr>
            <w:b w:val="0"/>
            <w:bCs/>
            <w:noProof/>
            <w:webHidden/>
          </w:rPr>
          <w:fldChar w:fldCharType="separate"/>
        </w:r>
        <w:r w:rsidR="00E305D2">
          <w:rPr>
            <w:b w:val="0"/>
            <w:bCs/>
            <w:noProof/>
            <w:webHidden/>
          </w:rPr>
          <w:t>166</w:t>
        </w:r>
        <w:r w:rsidR="005C6E35" w:rsidRPr="00D93502">
          <w:rPr>
            <w:b w:val="0"/>
            <w:bCs/>
            <w:noProof/>
            <w:webHidden/>
          </w:rPr>
          <w:fldChar w:fldCharType="end"/>
        </w:r>
      </w:hyperlink>
    </w:p>
    <w:p w14:paraId="03DAA19D" w14:textId="665803AF" w:rsidR="005C6E35" w:rsidRPr="00AE3990" w:rsidRDefault="00F71B18">
      <w:pPr>
        <w:pStyle w:val="TOC10"/>
        <w:rPr>
          <w:rFonts w:eastAsiaTheme="minorEastAsia" w:cstheme="minorBidi"/>
          <w:noProof/>
          <w:sz w:val="22"/>
          <w:szCs w:val="22"/>
          <w:lang w:val="en-US" w:eastAsia="zh-CN"/>
        </w:rPr>
      </w:pPr>
      <w:hyperlink w:anchor="_Toc86395639" w:history="1">
        <w:r w:rsidR="005C6E35" w:rsidRPr="00AE3990">
          <w:rPr>
            <w:rStyle w:val="Hyperlink"/>
            <w:noProof/>
            <w:lang w:eastAsia="zh-CN"/>
          </w:rPr>
          <w:t>4</w:t>
        </w:r>
        <w:r w:rsidR="005C6E35" w:rsidRPr="00AE3990">
          <w:rPr>
            <w:rFonts w:eastAsiaTheme="minorEastAsia" w:cstheme="minorBidi"/>
            <w:noProof/>
            <w:sz w:val="22"/>
            <w:szCs w:val="22"/>
            <w:lang w:val="en-US" w:eastAsia="zh-CN"/>
          </w:rPr>
          <w:tab/>
        </w:r>
        <w:r w:rsidR="005C6E35" w:rsidRPr="00AE3990">
          <w:rPr>
            <w:rStyle w:val="Hyperlink"/>
            <w:rFonts w:hint="eastAsia"/>
            <w:noProof/>
            <w:lang w:eastAsia="zh-CN"/>
          </w:rPr>
          <w:t>总秘书处</w:t>
        </w:r>
        <w:r w:rsidR="005C6E35" w:rsidRPr="00AE3990">
          <w:rPr>
            <w:noProof/>
            <w:webHidden/>
          </w:rPr>
          <w:tab/>
        </w:r>
        <w:r w:rsidR="00AE3990">
          <w:rPr>
            <w:noProof/>
            <w:webHidden/>
          </w:rPr>
          <w:tab/>
        </w:r>
        <w:r w:rsidR="005C6E35" w:rsidRPr="00AE3990">
          <w:rPr>
            <w:noProof/>
            <w:webHidden/>
          </w:rPr>
          <w:fldChar w:fldCharType="begin"/>
        </w:r>
        <w:r w:rsidR="005C6E35" w:rsidRPr="00AE3990">
          <w:rPr>
            <w:noProof/>
            <w:webHidden/>
          </w:rPr>
          <w:instrText xml:space="preserve"> PAGEREF _Toc86395639 \h </w:instrText>
        </w:r>
        <w:r w:rsidR="005C6E35" w:rsidRPr="00AE3990">
          <w:rPr>
            <w:noProof/>
            <w:webHidden/>
          </w:rPr>
        </w:r>
        <w:r w:rsidR="005C6E35" w:rsidRPr="00AE3990">
          <w:rPr>
            <w:noProof/>
            <w:webHidden/>
          </w:rPr>
          <w:fldChar w:fldCharType="separate"/>
        </w:r>
        <w:r w:rsidR="00E305D2">
          <w:rPr>
            <w:noProof/>
            <w:webHidden/>
          </w:rPr>
          <w:t>167</w:t>
        </w:r>
        <w:r w:rsidR="005C6E35" w:rsidRPr="00AE3990">
          <w:rPr>
            <w:noProof/>
            <w:webHidden/>
          </w:rPr>
          <w:fldChar w:fldCharType="end"/>
        </w:r>
      </w:hyperlink>
    </w:p>
    <w:p w14:paraId="65FAEA4C" w14:textId="59BC5BCC" w:rsidR="005C6E35" w:rsidRPr="00D93502" w:rsidRDefault="00F71B18">
      <w:pPr>
        <w:pStyle w:val="TOC10"/>
        <w:rPr>
          <w:rFonts w:eastAsiaTheme="minorEastAsia" w:cstheme="minorBidi"/>
          <w:b w:val="0"/>
          <w:bCs/>
          <w:noProof/>
          <w:sz w:val="22"/>
          <w:szCs w:val="22"/>
          <w:lang w:val="en-US" w:eastAsia="zh-CN"/>
        </w:rPr>
      </w:pPr>
      <w:hyperlink w:anchor="_Toc86395640" w:history="1">
        <w:r w:rsidR="005C6E35" w:rsidRPr="00D93502">
          <w:rPr>
            <w:rStyle w:val="Hyperlink"/>
            <w:rFonts w:hint="eastAsia"/>
            <w:b w:val="0"/>
            <w:bCs/>
            <w:noProof/>
            <w:lang w:eastAsia="zh-CN"/>
          </w:rPr>
          <w:t>第</w:t>
        </w:r>
        <w:r w:rsidR="005C6E35" w:rsidRPr="00D93502">
          <w:rPr>
            <w:rStyle w:val="Hyperlink"/>
            <w:b w:val="0"/>
            <w:bCs/>
            <w:noProof/>
            <w:lang w:eastAsia="zh-CN"/>
          </w:rPr>
          <w:t>1110</w:t>
        </w:r>
        <w:r w:rsidR="005C6E35" w:rsidRPr="00D93502">
          <w:rPr>
            <w:rStyle w:val="Hyperlink"/>
            <w:rFonts w:hint="eastAsia"/>
            <w:b w:val="0"/>
            <w:bCs/>
            <w:noProof/>
            <w:lang w:eastAsia="zh-CN"/>
          </w:rPr>
          <w:t>号决议</w:t>
        </w:r>
      </w:hyperlink>
      <w:r w:rsidR="00AE3990">
        <w:rPr>
          <w:rFonts w:eastAsiaTheme="minorEastAsia" w:cstheme="minorBidi"/>
          <w:b w:val="0"/>
          <w:bCs/>
          <w:noProof/>
          <w:sz w:val="22"/>
          <w:szCs w:val="22"/>
          <w:lang w:val="en-US" w:eastAsia="zh-CN"/>
        </w:rPr>
        <w:tab/>
      </w:r>
      <w:hyperlink w:anchor="_Toc86395641" w:history="1">
        <w:r w:rsidR="005C6E35" w:rsidRPr="00D93502">
          <w:rPr>
            <w:rStyle w:val="Hyperlink"/>
            <w:rFonts w:ascii="SimSun" w:hAnsi="SimSun" w:hint="eastAsia"/>
            <w:b w:val="0"/>
            <w:bCs/>
            <w:noProof/>
            <w:lang w:eastAsia="zh-CN"/>
          </w:rPr>
          <w:t>国际电联在</w:t>
        </w:r>
        <w:r w:rsidR="005C6E35" w:rsidRPr="00D93502">
          <w:rPr>
            <w:rStyle w:val="Hyperlink"/>
            <w:b w:val="0"/>
            <w:bCs/>
            <w:noProof/>
            <w:lang w:eastAsia="zh-CN"/>
          </w:rPr>
          <w:t>GMPCS-MoU</w:t>
        </w:r>
        <w:r w:rsidR="005C6E35" w:rsidRPr="00D93502">
          <w:rPr>
            <w:rStyle w:val="Hyperlink"/>
            <w:rFonts w:ascii="SimSun" w:hAnsi="SimSun" w:hint="eastAsia"/>
            <w:b w:val="0"/>
            <w:bCs/>
            <w:noProof/>
            <w:lang w:eastAsia="zh-CN"/>
          </w:rPr>
          <w:t>中的作用</w:t>
        </w:r>
        <w:r w:rsidR="005C6E35" w:rsidRPr="00D93502">
          <w:rPr>
            <w:b w:val="0"/>
            <w:bCs/>
            <w:noProof/>
            <w:webHidden/>
          </w:rPr>
          <w:tab/>
        </w:r>
        <w:r w:rsidR="00AE3990">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_Toc86395641 \h </w:instrText>
        </w:r>
        <w:r w:rsidR="005C6E35" w:rsidRPr="00D93502">
          <w:rPr>
            <w:b w:val="0"/>
            <w:bCs/>
            <w:noProof/>
            <w:webHidden/>
          </w:rPr>
        </w:r>
        <w:r w:rsidR="005C6E35" w:rsidRPr="00D93502">
          <w:rPr>
            <w:b w:val="0"/>
            <w:bCs/>
            <w:noProof/>
            <w:webHidden/>
          </w:rPr>
          <w:fldChar w:fldCharType="separate"/>
        </w:r>
        <w:r w:rsidR="00E305D2">
          <w:rPr>
            <w:b w:val="0"/>
            <w:bCs/>
            <w:noProof/>
            <w:webHidden/>
          </w:rPr>
          <w:t>167</w:t>
        </w:r>
        <w:r w:rsidR="005C6E35" w:rsidRPr="00D93502">
          <w:rPr>
            <w:b w:val="0"/>
            <w:bCs/>
            <w:noProof/>
            <w:webHidden/>
          </w:rPr>
          <w:fldChar w:fldCharType="end"/>
        </w:r>
      </w:hyperlink>
    </w:p>
    <w:p w14:paraId="75E2CC3C" w14:textId="5558C909" w:rsidR="005C6E35" w:rsidRPr="00D93502" w:rsidRDefault="00F71B18">
      <w:pPr>
        <w:pStyle w:val="TOC10"/>
        <w:rPr>
          <w:rFonts w:eastAsiaTheme="minorEastAsia" w:cstheme="minorBidi"/>
          <w:b w:val="0"/>
          <w:bCs/>
          <w:noProof/>
          <w:sz w:val="22"/>
          <w:szCs w:val="22"/>
          <w:lang w:val="en-US" w:eastAsia="zh-CN"/>
        </w:rPr>
      </w:pPr>
      <w:hyperlink w:anchor="_Toc86395642" w:history="1">
        <w:r w:rsidR="005C6E35" w:rsidRPr="00D93502">
          <w:rPr>
            <w:rStyle w:val="Hyperlink"/>
            <w:rFonts w:hint="eastAsia"/>
            <w:b w:val="0"/>
            <w:bCs/>
            <w:noProof/>
            <w:lang w:eastAsia="zh-CN"/>
          </w:rPr>
          <w:t>第</w:t>
        </w:r>
        <w:r w:rsidR="005C6E35" w:rsidRPr="00D93502">
          <w:rPr>
            <w:rStyle w:val="Hyperlink"/>
            <w:b w:val="0"/>
            <w:bCs/>
            <w:noProof/>
            <w:lang w:eastAsia="zh-CN"/>
          </w:rPr>
          <w:t>1116</w:t>
        </w:r>
        <w:r w:rsidR="005C6E35" w:rsidRPr="00D93502">
          <w:rPr>
            <w:rStyle w:val="Hyperlink"/>
            <w:rFonts w:hint="eastAsia"/>
            <w:b w:val="0"/>
            <w:bCs/>
            <w:noProof/>
            <w:lang w:eastAsia="zh-CN"/>
          </w:rPr>
          <w:t>号决议</w:t>
        </w:r>
      </w:hyperlink>
      <w:r w:rsidR="00AE3990">
        <w:rPr>
          <w:rFonts w:eastAsiaTheme="minorEastAsia" w:cstheme="minorBidi"/>
          <w:b w:val="0"/>
          <w:bCs/>
          <w:noProof/>
          <w:sz w:val="22"/>
          <w:szCs w:val="22"/>
          <w:lang w:val="en-US" w:eastAsia="zh-CN"/>
        </w:rPr>
        <w:tab/>
      </w:r>
      <w:hyperlink w:anchor="_Toc86395643" w:history="1">
        <w:r w:rsidR="005C6E35" w:rsidRPr="00D93502">
          <w:rPr>
            <w:rStyle w:val="Hyperlink"/>
            <w:b w:val="0"/>
            <w:bCs/>
            <w:noProof/>
            <w:lang w:eastAsia="zh-CN"/>
          </w:rPr>
          <w:t>GMPCS-MoU</w:t>
        </w:r>
        <w:r w:rsidR="005C6E35" w:rsidRPr="00D93502">
          <w:rPr>
            <w:rStyle w:val="Hyperlink"/>
            <w:rFonts w:hint="eastAsia"/>
            <w:b w:val="0"/>
            <w:bCs/>
            <w:noProof/>
            <w:lang w:eastAsia="zh-CN"/>
          </w:rPr>
          <w:t>安排的实施</w:t>
        </w:r>
        <w:r w:rsidR="005C6E35" w:rsidRPr="00D93502">
          <w:rPr>
            <w:b w:val="0"/>
            <w:bCs/>
            <w:noProof/>
            <w:webHidden/>
          </w:rPr>
          <w:tab/>
        </w:r>
        <w:r w:rsidR="00AE3990">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_Toc86395643 \h </w:instrText>
        </w:r>
        <w:r w:rsidR="005C6E35" w:rsidRPr="00D93502">
          <w:rPr>
            <w:b w:val="0"/>
            <w:bCs/>
            <w:noProof/>
            <w:webHidden/>
          </w:rPr>
        </w:r>
        <w:r w:rsidR="005C6E35" w:rsidRPr="00D93502">
          <w:rPr>
            <w:b w:val="0"/>
            <w:bCs/>
            <w:noProof/>
            <w:webHidden/>
          </w:rPr>
          <w:fldChar w:fldCharType="separate"/>
        </w:r>
        <w:r w:rsidR="00E305D2">
          <w:rPr>
            <w:b w:val="0"/>
            <w:bCs/>
            <w:noProof/>
            <w:webHidden/>
          </w:rPr>
          <w:t>168</w:t>
        </w:r>
        <w:r w:rsidR="005C6E35" w:rsidRPr="00D93502">
          <w:rPr>
            <w:b w:val="0"/>
            <w:bCs/>
            <w:noProof/>
            <w:webHidden/>
          </w:rPr>
          <w:fldChar w:fldCharType="end"/>
        </w:r>
      </w:hyperlink>
    </w:p>
    <w:p w14:paraId="68E809B2" w14:textId="105C620E" w:rsidR="005C6E35" w:rsidRPr="00D93502" w:rsidRDefault="00F71B18">
      <w:pPr>
        <w:pStyle w:val="TOC10"/>
        <w:rPr>
          <w:rFonts w:eastAsiaTheme="minorEastAsia" w:cstheme="minorBidi"/>
          <w:b w:val="0"/>
          <w:bCs/>
          <w:noProof/>
          <w:sz w:val="22"/>
          <w:szCs w:val="22"/>
          <w:lang w:val="en-US" w:eastAsia="zh-CN"/>
        </w:rPr>
      </w:pPr>
      <w:hyperlink w:anchor="_Toc86395644" w:history="1">
        <w:r w:rsidR="005C6E35" w:rsidRPr="00D93502">
          <w:rPr>
            <w:rStyle w:val="Hyperlink"/>
            <w:rFonts w:hint="eastAsia"/>
            <w:b w:val="0"/>
            <w:bCs/>
            <w:noProof/>
            <w:lang w:eastAsia="zh-CN"/>
          </w:rPr>
          <w:t>第</w:t>
        </w:r>
        <w:r w:rsidR="005C6E35" w:rsidRPr="00D93502">
          <w:rPr>
            <w:rStyle w:val="Hyperlink"/>
            <w:b w:val="0"/>
            <w:bCs/>
            <w:noProof/>
            <w:lang w:eastAsia="zh-CN"/>
          </w:rPr>
          <w:t>1403</w:t>
        </w:r>
        <w:r w:rsidR="005C6E35" w:rsidRPr="00D93502">
          <w:rPr>
            <w:rStyle w:val="Hyperlink"/>
            <w:rFonts w:hint="eastAsia"/>
            <w:b w:val="0"/>
            <w:bCs/>
            <w:noProof/>
            <w:lang w:eastAsia="zh-CN"/>
          </w:rPr>
          <w:t>号决议</w:t>
        </w:r>
      </w:hyperlink>
      <w:r w:rsidR="00AE3990">
        <w:rPr>
          <w:rFonts w:eastAsiaTheme="minorEastAsia" w:cstheme="minorBidi"/>
          <w:b w:val="0"/>
          <w:bCs/>
          <w:noProof/>
          <w:sz w:val="22"/>
          <w:szCs w:val="22"/>
          <w:lang w:val="en-US" w:eastAsia="zh-CN"/>
        </w:rPr>
        <w:tab/>
      </w:r>
      <w:hyperlink w:anchor="_Toc86395645" w:history="1">
        <w:r w:rsidR="005C6E35" w:rsidRPr="00D93502">
          <w:rPr>
            <w:rStyle w:val="Hyperlink"/>
            <w:rFonts w:hint="eastAsia"/>
            <w:b w:val="0"/>
            <w:bCs/>
            <w:noProof/>
            <w:lang w:eastAsia="zh-CN"/>
          </w:rPr>
          <w:t>国际电联</w:t>
        </w:r>
        <w:r w:rsidR="005C6E35" w:rsidRPr="00D93502">
          <w:rPr>
            <w:rStyle w:val="Hyperlink"/>
            <w:b w:val="0"/>
            <w:bCs/>
            <w:noProof/>
            <w:lang w:eastAsia="zh-CN"/>
          </w:rPr>
          <w:t>2022-2025</w:t>
        </w:r>
        <w:r w:rsidR="005C6E35" w:rsidRPr="00D93502">
          <w:rPr>
            <w:rStyle w:val="Hyperlink"/>
            <w:rFonts w:hint="eastAsia"/>
            <w:b w:val="0"/>
            <w:bCs/>
            <w:noProof/>
            <w:lang w:eastAsia="zh-CN"/>
          </w:rPr>
          <w:t>年四年期滚动式运作规划</w:t>
        </w:r>
        <w:r w:rsidR="005C6E35" w:rsidRPr="00D93502">
          <w:rPr>
            <w:b w:val="0"/>
            <w:bCs/>
            <w:noProof/>
            <w:webHidden/>
          </w:rPr>
          <w:tab/>
        </w:r>
        <w:r w:rsidR="00AE3990">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_Toc86395645 \h </w:instrText>
        </w:r>
        <w:r w:rsidR="005C6E35" w:rsidRPr="00D93502">
          <w:rPr>
            <w:b w:val="0"/>
            <w:bCs/>
            <w:noProof/>
            <w:webHidden/>
          </w:rPr>
        </w:r>
        <w:r w:rsidR="005C6E35" w:rsidRPr="00D93502">
          <w:rPr>
            <w:b w:val="0"/>
            <w:bCs/>
            <w:noProof/>
            <w:webHidden/>
          </w:rPr>
          <w:fldChar w:fldCharType="separate"/>
        </w:r>
        <w:r w:rsidR="00E305D2">
          <w:rPr>
            <w:b w:val="0"/>
            <w:bCs/>
            <w:noProof/>
            <w:webHidden/>
          </w:rPr>
          <w:t>169</w:t>
        </w:r>
        <w:r w:rsidR="005C6E35" w:rsidRPr="00D93502">
          <w:rPr>
            <w:b w:val="0"/>
            <w:bCs/>
            <w:noProof/>
            <w:webHidden/>
          </w:rPr>
          <w:fldChar w:fldCharType="end"/>
        </w:r>
      </w:hyperlink>
    </w:p>
    <w:p w14:paraId="28C8CFC7" w14:textId="4D822A6A" w:rsidR="005C6E35" w:rsidRPr="00AE3990" w:rsidRDefault="00F71B18">
      <w:pPr>
        <w:pStyle w:val="TOC10"/>
        <w:rPr>
          <w:rFonts w:eastAsiaTheme="minorEastAsia" w:cstheme="minorBidi"/>
          <w:noProof/>
          <w:sz w:val="22"/>
          <w:szCs w:val="22"/>
          <w:lang w:val="en-US" w:eastAsia="zh-CN"/>
        </w:rPr>
      </w:pPr>
      <w:hyperlink w:anchor="_Toc86395646" w:history="1">
        <w:r w:rsidR="005C6E35" w:rsidRPr="00AE3990">
          <w:rPr>
            <w:rStyle w:val="Hyperlink"/>
            <w:noProof/>
            <w:lang w:eastAsia="zh-CN"/>
          </w:rPr>
          <w:t>5</w:t>
        </w:r>
        <w:r w:rsidR="005C6E35" w:rsidRPr="00AE3990">
          <w:rPr>
            <w:rFonts w:eastAsiaTheme="minorEastAsia" w:cstheme="minorBidi"/>
            <w:noProof/>
            <w:sz w:val="22"/>
            <w:szCs w:val="22"/>
            <w:lang w:val="en-US" w:eastAsia="zh-CN"/>
          </w:rPr>
          <w:tab/>
        </w:r>
        <w:r w:rsidR="005C6E35" w:rsidRPr="00AE3990">
          <w:rPr>
            <w:rStyle w:val="Hyperlink"/>
            <w:rFonts w:hint="eastAsia"/>
            <w:noProof/>
            <w:lang w:eastAsia="zh-CN"/>
          </w:rPr>
          <w:t>国际电联各部门</w:t>
        </w:r>
        <w:r w:rsidR="005C6E35" w:rsidRPr="00AE3990">
          <w:rPr>
            <w:noProof/>
            <w:webHidden/>
          </w:rPr>
          <w:tab/>
        </w:r>
        <w:r w:rsidR="00AE3990">
          <w:rPr>
            <w:noProof/>
            <w:webHidden/>
          </w:rPr>
          <w:tab/>
        </w:r>
        <w:r w:rsidR="005C6E35" w:rsidRPr="00AE3990">
          <w:rPr>
            <w:noProof/>
            <w:webHidden/>
          </w:rPr>
          <w:fldChar w:fldCharType="begin"/>
        </w:r>
        <w:r w:rsidR="005C6E35" w:rsidRPr="00AE3990">
          <w:rPr>
            <w:noProof/>
            <w:webHidden/>
          </w:rPr>
          <w:instrText xml:space="preserve"> PAGEREF _Toc86395646 \h </w:instrText>
        </w:r>
        <w:r w:rsidR="005C6E35" w:rsidRPr="00AE3990">
          <w:rPr>
            <w:noProof/>
            <w:webHidden/>
          </w:rPr>
        </w:r>
        <w:r w:rsidR="005C6E35" w:rsidRPr="00AE3990">
          <w:rPr>
            <w:noProof/>
            <w:webHidden/>
          </w:rPr>
          <w:fldChar w:fldCharType="separate"/>
        </w:r>
        <w:r w:rsidR="00E305D2">
          <w:rPr>
            <w:noProof/>
            <w:webHidden/>
          </w:rPr>
          <w:t>171</w:t>
        </w:r>
        <w:r w:rsidR="005C6E35" w:rsidRPr="00AE3990">
          <w:rPr>
            <w:noProof/>
            <w:webHidden/>
          </w:rPr>
          <w:fldChar w:fldCharType="end"/>
        </w:r>
      </w:hyperlink>
    </w:p>
    <w:p w14:paraId="3AD7BE2A" w14:textId="02E0EB6C" w:rsidR="005C6E35" w:rsidRPr="00D93502" w:rsidRDefault="00F71B18">
      <w:pPr>
        <w:pStyle w:val="TOC10"/>
        <w:rPr>
          <w:rFonts w:eastAsiaTheme="minorEastAsia" w:cstheme="minorBidi"/>
          <w:b w:val="0"/>
          <w:bCs/>
          <w:noProof/>
          <w:sz w:val="22"/>
          <w:szCs w:val="22"/>
          <w:lang w:val="en-US" w:eastAsia="zh-CN"/>
        </w:rPr>
      </w:pPr>
      <w:hyperlink w:anchor="_Toc86395647" w:history="1">
        <w:r w:rsidR="005C6E35" w:rsidRPr="00AE3990">
          <w:rPr>
            <w:rStyle w:val="Hyperlink"/>
            <w:noProof/>
            <w:lang w:eastAsia="zh-CN"/>
          </w:rPr>
          <w:t>5.1</w:t>
        </w:r>
        <w:r w:rsidR="005C6E35" w:rsidRPr="00AE3990">
          <w:rPr>
            <w:rFonts w:eastAsiaTheme="minorEastAsia" w:cstheme="minorBidi"/>
            <w:noProof/>
            <w:sz w:val="22"/>
            <w:szCs w:val="22"/>
            <w:lang w:val="en-US" w:eastAsia="zh-CN"/>
          </w:rPr>
          <w:tab/>
        </w:r>
        <w:r w:rsidR="005C6E35" w:rsidRPr="00AE3990">
          <w:rPr>
            <w:rStyle w:val="Hyperlink"/>
            <w:rFonts w:hint="eastAsia"/>
            <w:noProof/>
            <w:lang w:eastAsia="zh-CN"/>
          </w:rPr>
          <w:t>总则</w:t>
        </w:r>
        <w:r w:rsidR="005C6E35" w:rsidRPr="00AE3990">
          <w:rPr>
            <w:noProof/>
            <w:webHidden/>
          </w:rPr>
          <w:tab/>
        </w:r>
        <w:r w:rsidR="00AE3990">
          <w:rPr>
            <w:noProof/>
            <w:webHidden/>
          </w:rPr>
          <w:tab/>
        </w:r>
        <w:r w:rsidR="005C6E35" w:rsidRPr="00AE3990">
          <w:rPr>
            <w:noProof/>
            <w:webHidden/>
          </w:rPr>
          <w:fldChar w:fldCharType="begin"/>
        </w:r>
        <w:r w:rsidR="005C6E35" w:rsidRPr="00AE3990">
          <w:rPr>
            <w:noProof/>
            <w:webHidden/>
          </w:rPr>
          <w:instrText xml:space="preserve"> PAGEREF _Toc86395647 \h </w:instrText>
        </w:r>
        <w:r w:rsidR="005C6E35" w:rsidRPr="00AE3990">
          <w:rPr>
            <w:noProof/>
            <w:webHidden/>
          </w:rPr>
        </w:r>
        <w:r w:rsidR="005C6E35" w:rsidRPr="00AE3990">
          <w:rPr>
            <w:noProof/>
            <w:webHidden/>
          </w:rPr>
          <w:fldChar w:fldCharType="separate"/>
        </w:r>
        <w:r w:rsidR="00E305D2">
          <w:rPr>
            <w:noProof/>
            <w:webHidden/>
          </w:rPr>
          <w:t>171</w:t>
        </w:r>
        <w:r w:rsidR="005C6E35" w:rsidRPr="00AE3990">
          <w:rPr>
            <w:noProof/>
            <w:webHidden/>
          </w:rPr>
          <w:fldChar w:fldCharType="end"/>
        </w:r>
      </w:hyperlink>
    </w:p>
    <w:p w14:paraId="0466D8AE" w14:textId="625DFF65" w:rsidR="005C6E35" w:rsidRPr="00D93502" w:rsidRDefault="00F71B18">
      <w:pPr>
        <w:pStyle w:val="TOC10"/>
        <w:rPr>
          <w:rFonts w:eastAsiaTheme="minorEastAsia" w:cstheme="minorBidi"/>
          <w:b w:val="0"/>
          <w:bCs/>
          <w:noProof/>
          <w:sz w:val="22"/>
          <w:szCs w:val="22"/>
          <w:lang w:val="en-US" w:eastAsia="zh-CN"/>
        </w:rPr>
      </w:pPr>
      <w:hyperlink w:anchor="_Toc86395648" w:history="1">
        <w:r w:rsidR="005C6E35" w:rsidRPr="00D93502">
          <w:rPr>
            <w:rStyle w:val="Hyperlink"/>
            <w:rFonts w:hint="eastAsia"/>
            <w:b w:val="0"/>
            <w:bCs/>
            <w:noProof/>
            <w:lang w:eastAsia="zh-CN"/>
          </w:rPr>
          <w:t>第</w:t>
        </w:r>
        <w:r w:rsidR="005C6E35" w:rsidRPr="00D93502">
          <w:rPr>
            <w:rStyle w:val="Hyperlink"/>
            <w:b w:val="0"/>
            <w:bCs/>
            <w:noProof/>
            <w:lang w:eastAsia="zh-CN"/>
          </w:rPr>
          <w:t>1115</w:t>
        </w:r>
        <w:r w:rsidR="005C6E35" w:rsidRPr="00D93502">
          <w:rPr>
            <w:rStyle w:val="Hyperlink"/>
            <w:rFonts w:hint="eastAsia"/>
            <w:b w:val="0"/>
            <w:bCs/>
            <w:noProof/>
            <w:lang w:eastAsia="zh-CN"/>
          </w:rPr>
          <w:t>号决议</w:t>
        </w:r>
      </w:hyperlink>
      <w:r w:rsidR="00AE3990">
        <w:rPr>
          <w:rFonts w:eastAsiaTheme="minorEastAsia" w:cstheme="minorBidi"/>
          <w:b w:val="0"/>
          <w:bCs/>
          <w:noProof/>
          <w:sz w:val="22"/>
          <w:szCs w:val="22"/>
          <w:lang w:val="en-US" w:eastAsia="zh-CN"/>
        </w:rPr>
        <w:tab/>
      </w:r>
      <w:hyperlink w:anchor="_Toc86395649" w:history="1">
        <w:r w:rsidR="005C6E35" w:rsidRPr="00D93502">
          <w:rPr>
            <w:rStyle w:val="Hyperlink"/>
            <w:rFonts w:hint="eastAsia"/>
            <w:b w:val="0"/>
            <w:bCs/>
            <w:noProof/>
            <w:lang w:eastAsia="zh-CN"/>
          </w:rPr>
          <w:t>关于合法截收电信的技术要求的国际协调</w:t>
        </w:r>
        <w:r w:rsidR="005C6E35" w:rsidRPr="00D93502">
          <w:rPr>
            <w:b w:val="0"/>
            <w:bCs/>
            <w:noProof/>
            <w:webHidden/>
          </w:rPr>
          <w:tab/>
        </w:r>
        <w:r w:rsidR="00AE3990">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_Toc86395649 \h </w:instrText>
        </w:r>
        <w:r w:rsidR="005C6E35" w:rsidRPr="00D93502">
          <w:rPr>
            <w:b w:val="0"/>
            <w:bCs/>
            <w:noProof/>
            <w:webHidden/>
          </w:rPr>
        </w:r>
        <w:r w:rsidR="005C6E35" w:rsidRPr="00D93502">
          <w:rPr>
            <w:b w:val="0"/>
            <w:bCs/>
            <w:noProof/>
            <w:webHidden/>
          </w:rPr>
          <w:fldChar w:fldCharType="separate"/>
        </w:r>
        <w:r w:rsidR="00E305D2">
          <w:rPr>
            <w:b w:val="0"/>
            <w:bCs/>
            <w:noProof/>
            <w:webHidden/>
          </w:rPr>
          <w:t>171</w:t>
        </w:r>
        <w:r w:rsidR="005C6E35" w:rsidRPr="00D93502">
          <w:rPr>
            <w:b w:val="0"/>
            <w:bCs/>
            <w:noProof/>
            <w:webHidden/>
          </w:rPr>
          <w:fldChar w:fldCharType="end"/>
        </w:r>
      </w:hyperlink>
    </w:p>
    <w:p w14:paraId="78934E0C" w14:textId="000B1FD1" w:rsidR="005C6E35" w:rsidRPr="00AE3990" w:rsidRDefault="00F71B18">
      <w:pPr>
        <w:pStyle w:val="TOC10"/>
        <w:rPr>
          <w:rFonts w:eastAsiaTheme="minorEastAsia" w:cstheme="minorBidi"/>
          <w:noProof/>
          <w:sz w:val="22"/>
          <w:szCs w:val="22"/>
          <w:lang w:val="en-US" w:eastAsia="zh-CN"/>
        </w:rPr>
      </w:pPr>
      <w:hyperlink w:anchor="_Toc86395650" w:history="1">
        <w:r w:rsidR="005C6E35" w:rsidRPr="00AE3990">
          <w:rPr>
            <w:rStyle w:val="Hyperlink"/>
            <w:noProof/>
            <w:lang w:eastAsia="zh-CN"/>
          </w:rPr>
          <w:t>5.2</w:t>
        </w:r>
        <w:r w:rsidR="005C6E35" w:rsidRPr="00AE3990">
          <w:rPr>
            <w:rFonts w:eastAsiaTheme="minorEastAsia" w:cstheme="minorBidi"/>
            <w:noProof/>
            <w:sz w:val="22"/>
            <w:szCs w:val="22"/>
            <w:lang w:val="en-US" w:eastAsia="zh-CN"/>
          </w:rPr>
          <w:tab/>
        </w:r>
        <w:r w:rsidR="005C6E35" w:rsidRPr="00AE3990">
          <w:rPr>
            <w:rStyle w:val="Hyperlink"/>
            <w:rFonts w:hint="eastAsia"/>
            <w:noProof/>
            <w:lang w:eastAsia="zh-CN"/>
          </w:rPr>
          <w:t>无线电通信部门（</w:t>
        </w:r>
        <w:r w:rsidR="005C6E35" w:rsidRPr="00AE3990">
          <w:rPr>
            <w:rStyle w:val="Hyperlink"/>
            <w:noProof/>
            <w:lang w:eastAsia="zh-CN"/>
          </w:rPr>
          <w:t>ITU-R</w:t>
        </w:r>
        <w:r w:rsidR="005C6E35" w:rsidRPr="00AE3990">
          <w:rPr>
            <w:rStyle w:val="Hyperlink"/>
            <w:rFonts w:hint="eastAsia"/>
            <w:noProof/>
            <w:lang w:eastAsia="zh-CN"/>
          </w:rPr>
          <w:t>）</w:t>
        </w:r>
        <w:r w:rsidR="005C6E35" w:rsidRPr="00AE3990">
          <w:rPr>
            <w:noProof/>
            <w:webHidden/>
          </w:rPr>
          <w:tab/>
        </w:r>
        <w:r w:rsidR="00AE3990">
          <w:rPr>
            <w:noProof/>
            <w:webHidden/>
          </w:rPr>
          <w:tab/>
        </w:r>
        <w:r w:rsidR="005C6E35" w:rsidRPr="00AE3990">
          <w:rPr>
            <w:noProof/>
            <w:webHidden/>
          </w:rPr>
          <w:fldChar w:fldCharType="begin"/>
        </w:r>
        <w:r w:rsidR="005C6E35" w:rsidRPr="00AE3990">
          <w:rPr>
            <w:noProof/>
            <w:webHidden/>
          </w:rPr>
          <w:instrText xml:space="preserve"> PAGEREF _Toc86395650 \h </w:instrText>
        </w:r>
        <w:r w:rsidR="005C6E35" w:rsidRPr="00AE3990">
          <w:rPr>
            <w:noProof/>
            <w:webHidden/>
          </w:rPr>
        </w:r>
        <w:r w:rsidR="005C6E35" w:rsidRPr="00AE3990">
          <w:rPr>
            <w:noProof/>
            <w:webHidden/>
          </w:rPr>
          <w:fldChar w:fldCharType="separate"/>
        </w:r>
        <w:r w:rsidR="00E305D2">
          <w:rPr>
            <w:noProof/>
            <w:webHidden/>
          </w:rPr>
          <w:t>172</w:t>
        </w:r>
        <w:r w:rsidR="005C6E35" w:rsidRPr="00AE3990">
          <w:rPr>
            <w:noProof/>
            <w:webHidden/>
          </w:rPr>
          <w:fldChar w:fldCharType="end"/>
        </w:r>
      </w:hyperlink>
    </w:p>
    <w:p w14:paraId="3C248EE7" w14:textId="633140AF" w:rsidR="005C6E35" w:rsidRPr="00D93502" w:rsidRDefault="00F71B18">
      <w:pPr>
        <w:pStyle w:val="TOC10"/>
        <w:rPr>
          <w:rFonts w:eastAsiaTheme="minorEastAsia" w:cstheme="minorBidi"/>
          <w:b w:val="0"/>
          <w:bCs/>
          <w:noProof/>
          <w:sz w:val="22"/>
          <w:szCs w:val="22"/>
          <w:lang w:val="en-US" w:eastAsia="zh-CN"/>
        </w:rPr>
      </w:pPr>
      <w:hyperlink w:anchor="_Toc86395651" w:history="1">
        <w:r w:rsidR="005C6E35" w:rsidRPr="00D93502">
          <w:rPr>
            <w:rStyle w:val="Hyperlink"/>
            <w:rFonts w:hint="eastAsia"/>
            <w:b w:val="0"/>
            <w:bCs/>
            <w:noProof/>
            <w:lang w:eastAsia="zh-CN"/>
          </w:rPr>
          <w:t>第</w:t>
        </w:r>
        <w:r w:rsidR="005C6E35" w:rsidRPr="00D93502">
          <w:rPr>
            <w:rStyle w:val="Hyperlink"/>
            <w:b w:val="0"/>
            <w:bCs/>
            <w:noProof/>
            <w:lang w:eastAsia="zh-CN"/>
          </w:rPr>
          <w:t>1148</w:t>
        </w:r>
        <w:r w:rsidR="005C6E35" w:rsidRPr="00D93502">
          <w:rPr>
            <w:rStyle w:val="Hyperlink"/>
            <w:rFonts w:hint="eastAsia"/>
            <w:b w:val="0"/>
            <w:bCs/>
            <w:noProof/>
            <w:lang w:eastAsia="zh-CN"/>
          </w:rPr>
          <w:t>号决议</w:t>
        </w:r>
      </w:hyperlink>
      <w:r w:rsidR="00AE3990">
        <w:rPr>
          <w:rFonts w:eastAsiaTheme="minorEastAsia" w:cstheme="minorBidi"/>
          <w:b w:val="0"/>
          <w:bCs/>
          <w:noProof/>
          <w:sz w:val="22"/>
          <w:szCs w:val="22"/>
          <w:lang w:val="en-US" w:eastAsia="zh-CN"/>
        </w:rPr>
        <w:tab/>
      </w:r>
      <w:hyperlink w:anchor="_Toc86395652" w:history="1">
        <w:r w:rsidR="005C6E35" w:rsidRPr="00D93502">
          <w:rPr>
            <w:rStyle w:val="Hyperlink"/>
            <w:rFonts w:hint="eastAsia"/>
            <w:b w:val="0"/>
            <w:bCs/>
            <w:noProof/>
            <w:lang w:eastAsia="zh-CN"/>
          </w:rPr>
          <w:t>无线电规则委员会委员的地位</w:t>
        </w:r>
        <w:r w:rsidR="005C6E35" w:rsidRPr="00D93502">
          <w:rPr>
            <w:b w:val="0"/>
            <w:bCs/>
            <w:noProof/>
            <w:webHidden/>
          </w:rPr>
          <w:tab/>
        </w:r>
        <w:r w:rsidR="00AE3990">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_Toc86395652 \h </w:instrText>
        </w:r>
        <w:r w:rsidR="005C6E35" w:rsidRPr="00D93502">
          <w:rPr>
            <w:b w:val="0"/>
            <w:bCs/>
            <w:noProof/>
            <w:webHidden/>
          </w:rPr>
        </w:r>
        <w:r w:rsidR="005C6E35" w:rsidRPr="00D93502">
          <w:rPr>
            <w:b w:val="0"/>
            <w:bCs/>
            <w:noProof/>
            <w:webHidden/>
          </w:rPr>
          <w:fldChar w:fldCharType="separate"/>
        </w:r>
        <w:r w:rsidR="00E305D2">
          <w:rPr>
            <w:b w:val="0"/>
            <w:bCs/>
            <w:noProof/>
            <w:webHidden/>
          </w:rPr>
          <w:t>172</w:t>
        </w:r>
        <w:r w:rsidR="005C6E35" w:rsidRPr="00D93502">
          <w:rPr>
            <w:b w:val="0"/>
            <w:bCs/>
            <w:noProof/>
            <w:webHidden/>
          </w:rPr>
          <w:fldChar w:fldCharType="end"/>
        </w:r>
      </w:hyperlink>
    </w:p>
    <w:p w14:paraId="2E598020" w14:textId="451FA341" w:rsidR="005C6E35" w:rsidRPr="00D93502" w:rsidRDefault="00F71B18">
      <w:pPr>
        <w:pStyle w:val="TOC10"/>
        <w:rPr>
          <w:rFonts w:eastAsiaTheme="minorEastAsia" w:cstheme="minorBidi"/>
          <w:b w:val="0"/>
          <w:bCs/>
          <w:noProof/>
          <w:sz w:val="22"/>
          <w:szCs w:val="22"/>
          <w:lang w:val="en-US" w:eastAsia="zh-CN"/>
        </w:rPr>
      </w:pPr>
      <w:hyperlink w:anchor="_Toc86395653" w:history="1">
        <w:r w:rsidR="005C6E35" w:rsidRPr="00D93502">
          <w:rPr>
            <w:rStyle w:val="Hyperlink"/>
            <w:rFonts w:hint="eastAsia"/>
            <w:b w:val="0"/>
            <w:bCs/>
            <w:noProof/>
            <w:lang w:eastAsia="zh-CN"/>
          </w:rPr>
          <w:t>第</w:t>
        </w:r>
        <w:r w:rsidR="005C6E35" w:rsidRPr="00D93502">
          <w:rPr>
            <w:rStyle w:val="Hyperlink"/>
            <w:b w:val="0"/>
            <w:bCs/>
            <w:noProof/>
            <w:lang w:eastAsia="zh-CN"/>
          </w:rPr>
          <w:t>1403</w:t>
        </w:r>
        <w:r w:rsidR="005C6E35" w:rsidRPr="00D93502">
          <w:rPr>
            <w:rStyle w:val="Hyperlink"/>
            <w:rFonts w:hint="eastAsia"/>
            <w:b w:val="0"/>
            <w:bCs/>
            <w:noProof/>
            <w:lang w:eastAsia="zh-CN"/>
          </w:rPr>
          <w:t>号决议</w:t>
        </w:r>
      </w:hyperlink>
      <w:r w:rsidR="00AE3990">
        <w:rPr>
          <w:rFonts w:eastAsiaTheme="minorEastAsia" w:cstheme="minorBidi"/>
          <w:b w:val="0"/>
          <w:bCs/>
          <w:noProof/>
          <w:sz w:val="22"/>
          <w:szCs w:val="22"/>
          <w:lang w:val="en-US" w:eastAsia="zh-CN"/>
        </w:rPr>
        <w:tab/>
      </w:r>
      <w:hyperlink w:anchor="_Toc86395654" w:history="1">
        <w:r w:rsidR="005C6E35" w:rsidRPr="00D93502">
          <w:rPr>
            <w:rStyle w:val="Hyperlink"/>
            <w:rFonts w:hint="eastAsia"/>
            <w:b w:val="0"/>
            <w:bCs/>
            <w:noProof/>
            <w:lang w:eastAsia="zh-CN"/>
          </w:rPr>
          <w:t>国际电联</w:t>
        </w:r>
        <w:r w:rsidR="005C6E35" w:rsidRPr="00D93502">
          <w:rPr>
            <w:rStyle w:val="Hyperlink"/>
            <w:b w:val="0"/>
            <w:bCs/>
            <w:noProof/>
            <w:lang w:eastAsia="zh-CN"/>
          </w:rPr>
          <w:t>2022-2025</w:t>
        </w:r>
        <w:r w:rsidR="005C6E35" w:rsidRPr="00D93502">
          <w:rPr>
            <w:rStyle w:val="Hyperlink"/>
            <w:rFonts w:hint="eastAsia"/>
            <w:b w:val="0"/>
            <w:bCs/>
            <w:noProof/>
            <w:lang w:eastAsia="zh-CN"/>
          </w:rPr>
          <w:t>年四年期滚动式运作规划</w:t>
        </w:r>
        <w:r w:rsidR="005C6E35" w:rsidRPr="00D93502">
          <w:rPr>
            <w:b w:val="0"/>
            <w:bCs/>
            <w:noProof/>
            <w:webHidden/>
          </w:rPr>
          <w:tab/>
        </w:r>
        <w:r w:rsidR="00AE3990">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_Toc86395654 \h </w:instrText>
        </w:r>
        <w:r w:rsidR="005C6E35" w:rsidRPr="00D93502">
          <w:rPr>
            <w:b w:val="0"/>
            <w:bCs/>
            <w:noProof/>
            <w:webHidden/>
          </w:rPr>
        </w:r>
        <w:r w:rsidR="005C6E35" w:rsidRPr="00D93502">
          <w:rPr>
            <w:b w:val="0"/>
            <w:bCs/>
            <w:noProof/>
            <w:webHidden/>
          </w:rPr>
          <w:fldChar w:fldCharType="separate"/>
        </w:r>
        <w:r w:rsidR="00E305D2">
          <w:rPr>
            <w:b w:val="0"/>
            <w:bCs/>
            <w:noProof/>
            <w:webHidden/>
          </w:rPr>
          <w:t>173</w:t>
        </w:r>
        <w:r w:rsidR="005C6E35" w:rsidRPr="00D93502">
          <w:rPr>
            <w:b w:val="0"/>
            <w:bCs/>
            <w:noProof/>
            <w:webHidden/>
          </w:rPr>
          <w:fldChar w:fldCharType="end"/>
        </w:r>
      </w:hyperlink>
    </w:p>
    <w:p w14:paraId="03AEDBBB" w14:textId="0B97820E" w:rsidR="005C6E35" w:rsidRPr="00D93502" w:rsidRDefault="00F71B18">
      <w:pPr>
        <w:pStyle w:val="TOC10"/>
        <w:rPr>
          <w:rFonts w:eastAsiaTheme="minorEastAsia" w:cstheme="minorBidi"/>
          <w:b w:val="0"/>
          <w:bCs/>
          <w:noProof/>
          <w:sz w:val="22"/>
          <w:szCs w:val="22"/>
          <w:lang w:val="en-US" w:eastAsia="zh-CN"/>
        </w:rPr>
      </w:pPr>
      <w:hyperlink w:anchor="_Toc86395655" w:history="1">
        <w:r w:rsidR="005C6E35" w:rsidRPr="00D93502">
          <w:rPr>
            <w:rStyle w:val="Hyperlink"/>
            <w:rFonts w:hint="eastAsia"/>
            <w:b w:val="0"/>
            <w:bCs/>
            <w:noProof/>
          </w:rPr>
          <w:t>第</w:t>
        </w:r>
        <w:r w:rsidR="005C6E35" w:rsidRPr="00D93502">
          <w:rPr>
            <w:rStyle w:val="Hyperlink"/>
            <w:b w:val="0"/>
            <w:bCs/>
            <w:noProof/>
          </w:rPr>
          <w:t>535</w:t>
        </w:r>
        <w:r w:rsidR="005C6E35" w:rsidRPr="00D93502">
          <w:rPr>
            <w:rStyle w:val="Hyperlink"/>
            <w:rFonts w:hint="eastAsia"/>
            <w:b w:val="0"/>
            <w:bCs/>
            <w:noProof/>
          </w:rPr>
          <w:t>号决定</w:t>
        </w:r>
      </w:hyperlink>
      <w:r w:rsidR="00AE3990">
        <w:rPr>
          <w:rFonts w:eastAsiaTheme="minorEastAsia" w:cstheme="minorBidi"/>
          <w:b w:val="0"/>
          <w:bCs/>
          <w:noProof/>
          <w:sz w:val="22"/>
          <w:szCs w:val="22"/>
          <w:lang w:val="en-US" w:eastAsia="zh-CN"/>
        </w:rPr>
        <w:tab/>
      </w:r>
      <w:hyperlink w:anchor="_Toc86395656" w:history="1">
        <w:r w:rsidR="005C6E35" w:rsidRPr="00D93502">
          <w:rPr>
            <w:rStyle w:val="Hyperlink"/>
            <w:rFonts w:hint="eastAsia"/>
            <w:b w:val="0"/>
            <w:bCs/>
            <w:noProof/>
          </w:rPr>
          <w:t>成本分配方法</w:t>
        </w:r>
        <w:r w:rsidR="005C6E35" w:rsidRPr="00D93502">
          <w:rPr>
            <w:b w:val="0"/>
            <w:bCs/>
            <w:noProof/>
            <w:webHidden/>
          </w:rPr>
          <w:tab/>
        </w:r>
        <w:r w:rsidR="00AE3990">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_Toc86395656 \h </w:instrText>
        </w:r>
        <w:r w:rsidR="005C6E35" w:rsidRPr="00D93502">
          <w:rPr>
            <w:b w:val="0"/>
            <w:bCs/>
            <w:noProof/>
            <w:webHidden/>
          </w:rPr>
        </w:r>
        <w:r w:rsidR="005C6E35" w:rsidRPr="00D93502">
          <w:rPr>
            <w:b w:val="0"/>
            <w:bCs/>
            <w:noProof/>
            <w:webHidden/>
          </w:rPr>
          <w:fldChar w:fldCharType="separate"/>
        </w:r>
        <w:r w:rsidR="00E305D2">
          <w:rPr>
            <w:b w:val="0"/>
            <w:bCs/>
            <w:noProof/>
            <w:webHidden/>
          </w:rPr>
          <w:t>173</w:t>
        </w:r>
        <w:r w:rsidR="005C6E35" w:rsidRPr="00D93502">
          <w:rPr>
            <w:b w:val="0"/>
            <w:bCs/>
            <w:noProof/>
            <w:webHidden/>
          </w:rPr>
          <w:fldChar w:fldCharType="end"/>
        </w:r>
      </w:hyperlink>
    </w:p>
    <w:p w14:paraId="66303E97" w14:textId="17D8B009" w:rsidR="005C6E35" w:rsidRPr="00AE3990" w:rsidRDefault="00F71B18">
      <w:pPr>
        <w:pStyle w:val="TOC10"/>
        <w:rPr>
          <w:rFonts w:eastAsiaTheme="minorEastAsia" w:cstheme="minorBidi"/>
          <w:noProof/>
          <w:sz w:val="22"/>
          <w:szCs w:val="22"/>
          <w:lang w:val="en-US" w:eastAsia="zh-CN"/>
        </w:rPr>
      </w:pPr>
      <w:hyperlink w:anchor="_Toc86395657" w:history="1">
        <w:r w:rsidR="005C6E35" w:rsidRPr="00AE3990">
          <w:rPr>
            <w:rStyle w:val="Hyperlink"/>
            <w:noProof/>
            <w:lang w:eastAsia="zh-CN"/>
          </w:rPr>
          <w:t>5.3</w:t>
        </w:r>
        <w:r w:rsidR="005C6E35" w:rsidRPr="00AE3990">
          <w:rPr>
            <w:rFonts w:eastAsiaTheme="minorEastAsia" w:cstheme="minorBidi"/>
            <w:noProof/>
            <w:sz w:val="22"/>
            <w:szCs w:val="22"/>
            <w:lang w:val="en-US" w:eastAsia="zh-CN"/>
          </w:rPr>
          <w:tab/>
        </w:r>
        <w:r w:rsidR="005C6E35" w:rsidRPr="00AE3990">
          <w:rPr>
            <w:rStyle w:val="Hyperlink"/>
            <w:rFonts w:hint="eastAsia"/>
            <w:noProof/>
            <w:lang w:eastAsia="zh-CN"/>
          </w:rPr>
          <w:t>电信标准化部门（</w:t>
        </w:r>
        <w:r w:rsidR="005C6E35" w:rsidRPr="00AE3990">
          <w:rPr>
            <w:rStyle w:val="Hyperlink"/>
            <w:noProof/>
            <w:lang w:eastAsia="zh-CN"/>
          </w:rPr>
          <w:t>ITU-T</w:t>
        </w:r>
        <w:r w:rsidR="005C6E35" w:rsidRPr="00AE3990">
          <w:rPr>
            <w:rStyle w:val="Hyperlink"/>
            <w:rFonts w:hint="eastAsia"/>
            <w:noProof/>
            <w:lang w:eastAsia="zh-CN"/>
          </w:rPr>
          <w:t>）</w:t>
        </w:r>
        <w:r w:rsidR="005C6E35" w:rsidRPr="00AE3990">
          <w:rPr>
            <w:noProof/>
            <w:webHidden/>
          </w:rPr>
          <w:tab/>
        </w:r>
        <w:r w:rsidR="00AE3990">
          <w:rPr>
            <w:noProof/>
            <w:webHidden/>
          </w:rPr>
          <w:tab/>
        </w:r>
        <w:r w:rsidR="005C6E35" w:rsidRPr="00AE3990">
          <w:rPr>
            <w:noProof/>
            <w:webHidden/>
          </w:rPr>
          <w:fldChar w:fldCharType="begin"/>
        </w:r>
        <w:r w:rsidR="005C6E35" w:rsidRPr="00AE3990">
          <w:rPr>
            <w:noProof/>
            <w:webHidden/>
          </w:rPr>
          <w:instrText xml:space="preserve"> PAGEREF _Toc86395657 \h </w:instrText>
        </w:r>
        <w:r w:rsidR="005C6E35" w:rsidRPr="00AE3990">
          <w:rPr>
            <w:noProof/>
            <w:webHidden/>
          </w:rPr>
        </w:r>
        <w:r w:rsidR="005C6E35" w:rsidRPr="00AE3990">
          <w:rPr>
            <w:noProof/>
            <w:webHidden/>
          </w:rPr>
          <w:fldChar w:fldCharType="separate"/>
        </w:r>
        <w:r w:rsidR="00E305D2">
          <w:rPr>
            <w:noProof/>
            <w:webHidden/>
          </w:rPr>
          <w:t>176</w:t>
        </w:r>
        <w:r w:rsidR="005C6E35" w:rsidRPr="00AE3990">
          <w:rPr>
            <w:noProof/>
            <w:webHidden/>
          </w:rPr>
          <w:fldChar w:fldCharType="end"/>
        </w:r>
      </w:hyperlink>
    </w:p>
    <w:p w14:paraId="5C81BCA3" w14:textId="08D5F4C9" w:rsidR="005C6E35" w:rsidRPr="00D93502" w:rsidRDefault="00F71B18">
      <w:pPr>
        <w:pStyle w:val="TOC10"/>
        <w:rPr>
          <w:rFonts w:eastAsiaTheme="minorEastAsia" w:cstheme="minorBidi"/>
          <w:b w:val="0"/>
          <w:bCs/>
          <w:noProof/>
          <w:sz w:val="22"/>
          <w:szCs w:val="22"/>
          <w:lang w:val="en-US" w:eastAsia="zh-CN"/>
        </w:rPr>
      </w:pPr>
      <w:hyperlink w:anchor="_Toc86395658" w:history="1">
        <w:r w:rsidR="005C6E35" w:rsidRPr="00D93502">
          <w:rPr>
            <w:rStyle w:val="Hyperlink"/>
            <w:rFonts w:hint="eastAsia"/>
            <w:b w:val="0"/>
            <w:bCs/>
            <w:noProof/>
            <w:lang w:eastAsia="zh-CN"/>
          </w:rPr>
          <w:t>第</w:t>
        </w:r>
        <w:r w:rsidR="005C6E35" w:rsidRPr="00D93502">
          <w:rPr>
            <w:rStyle w:val="Hyperlink"/>
            <w:b w:val="0"/>
            <w:bCs/>
            <w:noProof/>
            <w:lang w:eastAsia="zh-CN"/>
          </w:rPr>
          <w:t>1155</w:t>
        </w:r>
        <w:r w:rsidR="005C6E35" w:rsidRPr="00D93502">
          <w:rPr>
            <w:rStyle w:val="Hyperlink"/>
            <w:rFonts w:hint="eastAsia"/>
            <w:b w:val="0"/>
            <w:bCs/>
            <w:noProof/>
            <w:lang w:eastAsia="zh-CN"/>
          </w:rPr>
          <w:t>号决议</w:t>
        </w:r>
      </w:hyperlink>
      <w:r w:rsidR="00AE3990">
        <w:rPr>
          <w:rFonts w:eastAsiaTheme="minorEastAsia" w:cstheme="minorBidi"/>
          <w:b w:val="0"/>
          <w:bCs/>
          <w:noProof/>
          <w:sz w:val="22"/>
          <w:szCs w:val="22"/>
          <w:lang w:val="en-US" w:eastAsia="zh-CN"/>
        </w:rPr>
        <w:tab/>
      </w:r>
      <w:hyperlink w:anchor="_Toc86395659" w:history="1">
        <w:r w:rsidR="005C6E35" w:rsidRPr="00D93502">
          <w:rPr>
            <w:rStyle w:val="Hyperlink"/>
            <w:rFonts w:hint="eastAsia"/>
            <w:b w:val="0"/>
            <w:bCs/>
            <w:noProof/>
            <w:lang w:eastAsia="zh-CN"/>
          </w:rPr>
          <w:t>对国际加价特种服务费号码和国际通用成本分摊号码登记处职能实行成本回收</w:t>
        </w:r>
        <w:r w:rsidR="005C6E35" w:rsidRPr="00D93502">
          <w:rPr>
            <w:b w:val="0"/>
            <w:bCs/>
            <w:noProof/>
            <w:webHidden/>
          </w:rPr>
          <w:tab/>
        </w:r>
        <w:r w:rsidR="00AE3990">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_Toc86395659 \h </w:instrText>
        </w:r>
        <w:r w:rsidR="005C6E35" w:rsidRPr="00D93502">
          <w:rPr>
            <w:b w:val="0"/>
            <w:bCs/>
            <w:noProof/>
            <w:webHidden/>
          </w:rPr>
        </w:r>
        <w:r w:rsidR="005C6E35" w:rsidRPr="00D93502">
          <w:rPr>
            <w:b w:val="0"/>
            <w:bCs/>
            <w:noProof/>
            <w:webHidden/>
          </w:rPr>
          <w:fldChar w:fldCharType="separate"/>
        </w:r>
        <w:r w:rsidR="00E305D2">
          <w:rPr>
            <w:b w:val="0"/>
            <w:bCs/>
            <w:noProof/>
            <w:webHidden/>
          </w:rPr>
          <w:t>176</w:t>
        </w:r>
        <w:r w:rsidR="005C6E35" w:rsidRPr="00D93502">
          <w:rPr>
            <w:b w:val="0"/>
            <w:bCs/>
            <w:noProof/>
            <w:webHidden/>
          </w:rPr>
          <w:fldChar w:fldCharType="end"/>
        </w:r>
      </w:hyperlink>
    </w:p>
    <w:p w14:paraId="30337615" w14:textId="46A7300D" w:rsidR="005C6E35" w:rsidRPr="00D93502" w:rsidRDefault="00F71B18">
      <w:pPr>
        <w:pStyle w:val="TOC10"/>
        <w:rPr>
          <w:rFonts w:eastAsiaTheme="minorEastAsia" w:cstheme="minorBidi"/>
          <w:b w:val="0"/>
          <w:bCs/>
          <w:noProof/>
          <w:sz w:val="22"/>
          <w:szCs w:val="22"/>
          <w:lang w:val="en-US" w:eastAsia="zh-CN"/>
        </w:rPr>
      </w:pPr>
      <w:hyperlink w:anchor="_Toc86395660" w:history="1">
        <w:r w:rsidR="005C6E35" w:rsidRPr="00D93502">
          <w:rPr>
            <w:rStyle w:val="Hyperlink"/>
            <w:rFonts w:hint="eastAsia"/>
            <w:b w:val="0"/>
            <w:bCs/>
            <w:noProof/>
            <w:lang w:eastAsia="zh-CN"/>
          </w:rPr>
          <w:t>第</w:t>
        </w:r>
        <w:r w:rsidR="005C6E35" w:rsidRPr="00D93502">
          <w:rPr>
            <w:rStyle w:val="Hyperlink"/>
            <w:b w:val="0"/>
            <w:bCs/>
            <w:noProof/>
            <w:lang w:eastAsia="zh-CN"/>
          </w:rPr>
          <w:t>1168</w:t>
        </w:r>
        <w:r w:rsidR="005C6E35" w:rsidRPr="00D93502">
          <w:rPr>
            <w:rStyle w:val="Hyperlink"/>
            <w:rFonts w:hint="eastAsia"/>
            <w:b w:val="0"/>
            <w:bCs/>
            <w:noProof/>
            <w:lang w:eastAsia="zh-CN"/>
          </w:rPr>
          <w:t>号决议</w:t>
        </w:r>
      </w:hyperlink>
      <w:r w:rsidR="00AE3990">
        <w:rPr>
          <w:rFonts w:eastAsiaTheme="minorEastAsia" w:cstheme="minorBidi"/>
          <w:b w:val="0"/>
          <w:bCs/>
          <w:noProof/>
          <w:sz w:val="22"/>
          <w:szCs w:val="22"/>
          <w:lang w:val="en-US" w:eastAsia="zh-CN"/>
        </w:rPr>
        <w:tab/>
      </w:r>
      <w:hyperlink w:anchor="_Toc86395661" w:history="1">
        <w:r w:rsidR="005C6E35" w:rsidRPr="00D93502">
          <w:rPr>
            <w:rStyle w:val="Hyperlink"/>
            <w:rFonts w:hint="eastAsia"/>
            <w:b w:val="0"/>
            <w:bCs/>
            <w:noProof/>
            <w:lang w:val="fr-CH" w:eastAsia="zh-CN"/>
          </w:rPr>
          <w:t>对</w:t>
        </w:r>
        <w:r w:rsidR="005C6E35" w:rsidRPr="00D93502">
          <w:rPr>
            <w:rStyle w:val="Hyperlink"/>
            <w:b w:val="0"/>
            <w:bCs/>
            <w:noProof/>
            <w:lang w:val="fr-CH" w:eastAsia="zh-CN"/>
          </w:rPr>
          <w:t>ATM</w:t>
        </w:r>
        <w:r w:rsidR="005C6E35" w:rsidRPr="00D93502">
          <w:rPr>
            <w:rStyle w:val="Hyperlink"/>
            <w:rFonts w:hint="eastAsia"/>
            <w:b w:val="0"/>
            <w:bCs/>
            <w:noProof/>
            <w:lang w:val="fr-CH" w:eastAsia="zh-CN"/>
          </w:rPr>
          <w:t>末端系统地址</w:t>
        </w:r>
        <w:r w:rsidR="005C6E35" w:rsidRPr="00D93502">
          <w:rPr>
            <w:rStyle w:val="Hyperlink"/>
            <w:rFonts w:hint="eastAsia"/>
            <w:b w:val="0"/>
            <w:bCs/>
            <w:noProof/>
            <w:lang w:eastAsia="zh-CN"/>
          </w:rPr>
          <w:t>登记处职能实行成本回收</w:t>
        </w:r>
        <w:r w:rsidR="005C6E35" w:rsidRPr="00D93502">
          <w:rPr>
            <w:b w:val="0"/>
            <w:bCs/>
            <w:noProof/>
            <w:webHidden/>
          </w:rPr>
          <w:tab/>
        </w:r>
        <w:r w:rsidR="00AE3990">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_Toc86395661 \h </w:instrText>
        </w:r>
        <w:r w:rsidR="005C6E35" w:rsidRPr="00D93502">
          <w:rPr>
            <w:b w:val="0"/>
            <w:bCs/>
            <w:noProof/>
            <w:webHidden/>
          </w:rPr>
        </w:r>
        <w:r w:rsidR="005C6E35" w:rsidRPr="00D93502">
          <w:rPr>
            <w:b w:val="0"/>
            <w:bCs/>
            <w:noProof/>
            <w:webHidden/>
          </w:rPr>
          <w:fldChar w:fldCharType="separate"/>
        </w:r>
        <w:r w:rsidR="00E305D2">
          <w:rPr>
            <w:b w:val="0"/>
            <w:bCs/>
            <w:noProof/>
            <w:webHidden/>
          </w:rPr>
          <w:t>176</w:t>
        </w:r>
        <w:r w:rsidR="005C6E35" w:rsidRPr="00D93502">
          <w:rPr>
            <w:b w:val="0"/>
            <w:bCs/>
            <w:noProof/>
            <w:webHidden/>
          </w:rPr>
          <w:fldChar w:fldCharType="end"/>
        </w:r>
      </w:hyperlink>
    </w:p>
    <w:p w14:paraId="304E1644" w14:textId="56DE903F" w:rsidR="005C6E35" w:rsidRPr="00D93502" w:rsidRDefault="00F71B18">
      <w:pPr>
        <w:pStyle w:val="TOC10"/>
        <w:rPr>
          <w:rFonts w:eastAsiaTheme="minorEastAsia" w:cstheme="minorBidi"/>
          <w:b w:val="0"/>
          <w:bCs/>
          <w:noProof/>
          <w:sz w:val="22"/>
          <w:szCs w:val="22"/>
          <w:lang w:val="en-US" w:eastAsia="zh-CN"/>
        </w:rPr>
      </w:pPr>
      <w:hyperlink w:anchor="_Toc86395662" w:history="1">
        <w:r w:rsidR="005C6E35" w:rsidRPr="00D93502">
          <w:rPr>
            <w:rStyle w:val="Hyperlink"/>
            <w:rFonts w:hint="eastAsia"/>
            <w:b w:val="0"/>
            <w:bCs/>
            <w:noProof/>
            <w:lang w:eastAsia="zh-CN"/>
          </w:rPr>
          <w:t>第</w:t>
        </w:r>
        <w:r w:rsidR="005C6E35" w:rsidRPr="00D93502">
          <w:rPr>
            <w:rStyle w:val="Hyperlink"/>
            <w:b w:val="0"/>
            <w:bCs/>
            <w:noProof/>
            <w:lang w:eastAsia="zh-CN"/>
          </w:rPr>
          <w:t>1403</w:t>
        </w:r>
        <w:r w:rsidR="005C6E35" w:rsidRPr="00D93502">
          <w:rPr>
            <w:rStyle w:val="Hyperlink"/>
            <w:rFonts w:hint="eastAsia"/>
            <w:b w:val="0"/>
            <w:bCs/>
            <w:noProof/>
            <w:lang w:eastAsia="zh-CN"/>
          </w:rPr>
          <w:t>号决议</w:t>
        </w:r>
      </w:hyperlink>
      <w:r w:rsidR="00AE3990">
        <w:rPr>
          <w:rFonts w:eastAsiaTheme="minorEastAsia" w:cstheme="minorBidi"/>
          <w:b w:val="0"/>
          <w:bCs/>
          <w:noProof/>
          <w:sz w:val="22"/>
          <w:szCs w:val="22"/>
          <w:lang w:val="en-US" w:eastAsia="zh-CN"/>
        </w:rPr>
        <w:tab/>
      </w:r>
      <w:hyperlink w:anchor="_Toc86395663" w:history="1">
        <w:r w:rsidR="005C6E35" w:rsidRPr="00D93502">
          <w:rPr>
            <w:rStyle w:val="Hyperlink"/>
            <w:rFonts w:hint="eastAsia"/>
            <w:b w:val="0"/>
            <w:bCs/>
            <w:noProof/>
            <w:lang w:eastAsia="zh-CN"/>
          </w:rPr>
          <w:t>国际电联</w:t>
        </w:r>
        <w:r w:rsidR="005C6E35" w:rsidRPr="00D93502">
          <w:rPr>
            <w:rStyle w:val="Hyperlink"/>
            <w:b w:val="0"/>
            <w:bCs/>
            <w:noProof/>
            <w:lang w:eastAsia="zh-CN"/>
          </w:rPr>
          <w:t>2022-2025</w:t>
        </w:r>
        <w:r w:rsidR="005C6E35" w:rsidRPr="00D93502">
          <w:rPr>
            <w:rStyle w:val="Hyperlink"/>
            <w:rFonts w:hint="eastAsia"/>
            <w:b w:val="0"/>
            <w:bCs/>
            <w:noProof/>
            <w:lang w:eastAsia="zh-CN"/>
          </w:rPr>
          <w:t>年四年期滚动式运作规划</w:t>
        </w:r>
        <w:r w:rsidR="005C6E35" w:rsidRPr="00D93502">
          <w:rPr>
            <w:b w:val="0"/>
            <w:bCs/>
            <w:noProof/>
            <w:webHidden/>
          </w:rPr>
          <w:tab/>
        </w:r>
        <w:r w:rsidR="00AE3990">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_Toc86395663 \h </w:instrText>
        </w:r>
        <w:r w:rsidR="005C6E35" w:rsidRPr="00D93502">
          <w:rPr>
            <w:b w:val="0"/>
            <w:bCs/>
            <w:noProof/>
            <w:webHidden/>
          </w:rPr>
        </w:r>
        <w:r w:rsidR="005C6E35" w:rsidRPr="00D93502">
          <w:rPr>
            <w:b w:val="0"/>
            <w:bCs/>
            <w:noProof/>
            <w:webHidden/>
          </w:rPr>
          <w:fldChar w:fldCharType="separate"/>
        </w:r>
        <w:r w:rsidR="00E305D2">
          <w:rPr>
            <w:b w:val="0"/>
            <w:bCs/>
            <w:noProof/>
            <w:webHidden/>
          </w:rPr>
          <w:t>177</w:t>
        </w:r>
        <w:r w:rsidR="005C6E35" w:rsidRPr="00D93502">
          <w:rPr>
            <w:b w:val="0"/>
            <w:bCs/>
            <w:noProof/>
            <w:webHidden/>
          </w:rPr>
          <w:fldChar w:fldCharType="end"/>
        </w:r>
      </w:hyperlink>
    </w:p>
    <w:p w14:paraId="5B784EF1" w14:textId="37049AF7" w:rsidR="005C6E35" w:rsidRPr="00D93502" w:rsidRDefault="00F71B18">
      <w:pPr>
        <w:pStyle w:val="TOC10"/>
        <w:rPr>
          <w:rFonts w:eastAsiaTheme="minorEastAsia" w:cstheme="minorBidi"/>
          <w:b w:val="0"/>
          <w:bCs/>
          <w:noProof/>
          <w:sz w:val="22"/>
          <w:szCs w:val="22"/>
          <w:lang w:val="en-US" w:eastAsia="zh-CN"/>
        </w:rPr>
      </w:pPr>
      <w:hyperlink w:anchor="_Toc86395664" w:history="1">
        <w:r w:rsidR="005C6E35" w:rsidRPr="00D93502">
          <w:rPr>
            <w:rStyle w:val="Hyperlink"/>
            <w:rFonts w:hint="eastAsia"/>
            <w:b w:val="0"/>
            <w:bCs/>
            <w:noProof/>
          </w:rPr>
          <w:t>第</w:t>
        </w:r>
        <w:r w:rsidR="005C6E35" w:rsidRPr="00D93502">
          <w:rPr>
            <w:rStyle w:val="Hyperlink"/>
            <w:b w:val="0"/>
            <w:bCs/>
            <w:noProof/>
          </w:rPr>
          <w:t>600</w:t>
        </w:r>
        <w:r w:rsidR="005C6E35" w:rsidRPr="00D93502">
          <w:rPr>
            <w:rStyle w:val="Hyperlink"/>
            <w:rFonts w:hint="eastAsia"/>
            <w:b w:val="0"/>
            <w:bCs/>
            <w:noProof/>
          </w:rPr>
          <w:t>号决定</w:t>
        </w:r>
      </w:hyperlink>
      <w:r w:rsidR="00AE3990">
        <w:rPr>
          <w:rFonts w:eastAsiaTheme="minorEastAsia" w:cstheme="minorBidi"/>
          <w:b w:val="0"/>
          <w:bCs/>
          <w:noProof/>
          <w:sz w:val="22"/>
          <w:szCs w:val="22"/>
          <w:lang w:val="en-US" w:eastAsia="zh-CN"/>
        </w:rPr>
        <w:tab/>
      </w:r>
      <w:hyperlink w:anchor="_Toc86395665" w:history="1">
        <w:r w:rsidR="005C6E35" w:rsidRPr="00D93502">
          <w:rPr>
            <w:rStyle w:val="Hyperlink"/>
            <w:rFonts w:hint="eastAsia"/>
            <w:b w:val="0"/>
            <w:bCs/>
            <w:noProof/>
          </w:rPr>
          <w:t>国际通用免费电话号码（</w:t>
        </w:r>
        <w:r w:rsidR="005C6E35" w:rsidRPr="00D93502">
          <w:rPr>
            <w:rStyle w:val="Hyperlink"/>
            <w:b w:val="0"/>
            <w:bCs/>
            <w:noProof/>
          </w:rPr>
          <w:t>UIFN</w:t>
        </w:r>
        <w:r w:rsidR="005C6E35" w:rsidRPr="00D93502">
          <w:rPr>
            <w:rStyle w:val="Hyperlink"/>
            <w:rFonts w:hint="eastAsia"/>
            <w:b w:val="0"/>
            <w:bCs/>
            <w:noProof/>
          </w:rPr>
          <w:t>）登记</w:t>
        </w:r>
        <w:r w:rsidR="005C6E35" w:rsidRPr="00D93502">
          <w:rPr>
            <w:b w:val="0"/>
            <w:bCs/>
            <w:noProof/>
            <w:webHidden/>
          </w:rPr>
          <w:tab/>
        </w:r>
        <w:r w:rsidR="00AE3990">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_Toc86395665 \h </w:instrText>
        </w:r>
        <w:r w:rsidR="005C6E35" w:rsidRPr="00D93502">
          <w:rPr>
            <w:b w:val="0"/>
            <w:bCs/>
            <w:noProof/>
            <w:webHidden/>
          </w:rPr>
        </w:r>
        <w:r w:rsidR="005C6E35" w:rsidRPr="00D93502">
          <w:rPr>
            <w:b w:val="0"/>
            <w:bCs/>
            <w:noProof/>
            <w:webHidden/>
          </w:rPr>
          <w:fldChar w:fldCharType="separate"/>
        </w:r>
        <w:r w:rsidR="00E305D2">
          <w:rPr>
            <w:b w:val="0"/>
            <w:bCs/>
            <w:noProof/>
            <w:webHidden/>
          </w:rPr>
          <w:t>177</w:t>
        </w:r>
        <w:r w:rsidR="005C6E35" w:rsidRPr="00D93502">
          <w:rPr>
            <w:b w:val="0"/>
            <w:bCs/>
            <w:noProof/>
            <w:webHidden/>
          </w:rPr>
          <w:fldChar w:fldCharType="end"/>
        </w:r>
      </w:hyperlink>
    </w:p>
    <w:p w14:paraId="193E1D1A" w14:textId="62039E35" w:rsidR="005C6E35" w:rsidRPr="00D93502" w:rsidRDefault="00F71B18">
      <w:pPr>
        <w:pStyle w:val="TOC10"/>
        <w:rPr>
          <w:rFonts w:eastAsiaTheme="minorEastAsia" w:cstheme="minorBidi"/>
          <w:b w:val="0"/>
          <w:bCs/>
          <w:noProof/>
          <w:sz w:val="22"/>
          <w:szCs w:val="22"/>
          <w:lang w:val="en-US" w:eastAsia="zh-CN"/>
        </w:rPr>
      </w:pPr>
      <w:hyperlink w:anchor="_Toc86395666" w:history="1">
        <w:r w:rsidR="005C6E35" w:rsidRPr="00D93502">
          <w:rPr>
            <w:rStyle w:val="Hyperlink"/>
            <w:rFonts w:hint="eastAsia"/>
            <w:b w:val="0"/>
            <w:bCs/>
            <w:noProof/>
          </w:rPr>
          <w:t>第</w:t>
        </w:r>
        <w:r w:rsidR="005C6E35" w:rsidRPr="00D93502">
          <w:rPr>
            <w:rStyle w:val="Hyperlink"/>
            <w:b w:val="0"/>
            <w:bCs/>
            <w:noProof/>
          </w:rPr>
          <w:t>601</w:t>
        </w:r>
        <w:r w:rsidR="005C6E35" w:rsidRPr="00D93502">
          <w:rPr>
            <w:rStyle w:val="Hyperlink"/>
            <w:rFonts w:hint="eastAsia"/>
            <w:b w:val="0"/>
            <w:bCs/>
            <w:noProof/>
          </w:rPr>
          <w:t>号决定</w:t>
        </w:r>
      </w:hyperlink>
      <w:r w:rsidR="00AE3990">
        <w:rPr>
          <w:rFonts w:eastAsiaTheme="minorEastAsia" w:cstheme="minorBidi"/>
          <w:b w:val="0"/>
          <w:bCs/>
          <w:noProof/>
          <w:sz w:val="22"/>
          <w:szCs w:val="22"/>
          <w:lang w:val="en-US" w:eastAsia="zh-CN"/>
        </w:rPr>
        <w:tab/>
      </w:r>
      <w:hyperlink w:anchor="_Toc86395667" w:history="1">
        <w:r w:rsidR="005C6E35" w:rsidRPr="00D93502">
          <w:rPr>
            <w:rStyle w:val="Hyperlink"/>
            <w:rFonts w:hint="eastAsia"/>
            <w:b w:val="0"/>
            <w:bCs/>
            <w:noProof/>
          </w:rPr>
          <w:t>发行方标识号（</w:t>
        </w:r>
        <w:r w:rsidR="005C6E35" w:rsidRPr="00D93502">
          <w:rPr>
            <w:rStyle w:val="Hyperlink"/>
            <w:b w:val="0"/>
            <w:bCs/>
            <w:noProof/>
          </w:rPr>
          <w:t>IIN</w:t>
        </w:r>
        <w:r w:rsidR="005C6E35" w:rsidRPr="00D93502">
          <w:rPr>
            <w:rStyle w:val="Hyperlink"/>
            <w:rFonts w:hint="eastAsia"/>
            <w:b w:val="0"/>
            <w:bCs/>
            <w:noProof/>
          </w:rPr>
          <w:t>）登记</w:t>
        </w:r>
        <w:r w:rsidR="005C6E35" w:rsidRPr="00D93502">
          <w:rPr>
            <w:b w:val="0"/>
            <w:bCs/>
            <w:noProof/>
            <w:webHidden/>
          </w:rPr>
          <w:tab/>
        </w:r>
        <w:r w:rsidR="00AE3990">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_Toc86395667 \h </w:instrText>
        </w:r>
        <w:r w:rsidR="005C6E35" w:rsidRPr="00D93502">
          <w:rPr>
            <w:b w:val="0"/>
            <w:bCs/>
            <w:noProof/>
            <w:webHidden/>
          </w:rPr>
        </w:r>
        <w:r w:rsidR="005C6E35" w:rsidRPr="00D93502">
          <w:rPr>
            <w:b w:val="0"/>
            <w:bCs/>
            <w:noProof/>
            <w:webHidden/>
          </w:rPr>
          <w:fldChar w:fldCharType="separate"/>
        </w:r>
        <w:r w:rsidR="00E305D2">
          <w:rPr>
            <w:b w:val="0"/>
            <w:bCs/>
            <w:noProof/>
            <w:webHidden/>
          </w:rPr>
          <w:t>178</w:t>
        </w:r>
        <w:r w:rsidR="005C6E35" w:rsidRPr="00D93502">
          <w:rPr>
            <w:b w:val="0"/>
            <w:bCs/>
            <w:noProof/>
            <w:webHidden/>
          </w:rPr>
          <w:fldChar w:fldCharType="end"/>
        </w:r>
      </w:hyperlink>
    </w:p>
    <w:p w14:paraId="66371883" w14:textId="3502AE58" w:rsidR="00AE3990" w:rsidRPr="00F3168F" w:rsidRDefault="00AE3990">
      <w:pPr>
        <w:pStyle w:val="TOC10"/>
        <w:rPr>
          <w:rStyle w:val="Hyperlink"/>
          <w:b w:val="0"/>
          <w:bCs/>
          <w:noProof/>
          <w:color w:val="auto"/>
        </w:rPr>
      </w:pPr>
      <w:r>
        <w:rPr>
          <w:rStyle w:val="Hyperlink"/>
          <w:b w:val="0"/>
          <w:bCs/>
          <w:noProof/>
        </w:rPr>
        <w:br w:type="page"/>
      </w:r>
    </w:p>
    <w:p w14:paraId="42E72E6D" w14:textId="27FD4FA1" w:rsidR="00AE3990" w:rsidRPr="00F3168F" w:rsidRDefault="00AE3990" w:rsidP="00AE3990">
      <w:pPr>
        <w:pStyle w:val="toc0"/>
        <w:keepNext/>
        <w:keepLines/>
        <w:tabs>
          <w:tab w:val="clear" w:pos="8789"/>
          <w:tab w:val="left" w:pos="1191"/>
          <w:tab w:val="left" w:pos="1588"/>
          <w:tab w:val="left" w:pos="1985"/>
        </w:tabs>
        <w:ind w:right="-1"/>
        <w:jc w:val="right"/>
        <w:rPr>
          <w:rStyle w:val="Hyperlink"/>
          <w:b w:val="0"/>
          <w:bCs/>
          <w:noProof/>
          <w:color w:val="auto"/>
        </w:rPr>
      </w:pPr>
      <w:r w:rsidRPr="00F3168F">
        <w:rPr>
          <w:rFonts w:ascii="STKaiti" w:eastAsia="STKaiti" w:hAnsi="STKaiti" w:cs="Microsoft YaHei"/>
          <w:b w:val="0"/>
          <w:bCs/>
          <w:noProof/>
          <w:sz w:val="22"/>
        </w:rPr>
        <w:lastRenderedPageBreak/>
        <w:t>页码</w:t>
      </w:r>
    </w:p>
    <w:p w14:paraId="7EEF28F6" w14:textId="0E988537" w:rsidR="005C6E35" w:rsidRPr="00F3168F" w:rsidRDefault="00F71B18">
      <w:pPr>
        <w:pStyle w:val="TOC10"/>
        <w:rPr>
          <w:rFonts w:eastAsiaTheme="minorEastAsia" w:cstheme="minorBidi"/>
          <w:noProof/>
          <w:sz w:val="22"/>
          <w:szCs w:val="22"/>
          <w:lang w:val="en-US" w:eastAsia="zh-CN"/>
        </w:rPr>
      </w:pPr>
      <w:hyperlink w:anchor="_Toc86395668" w:history="1">
        <w:r w:rsidR="005C6E35" w:rsidRPr="00F3168F">
          <w:rPr>
            <w:rStyle w:val="Hyperlink"/>
            <w:noProof/>
            <w:color w:val="auto"/>
            <w:lang w:eastAsia="zh-CN"/>
          </w:rPr>
          <w:t>5.4</w:t>
        </w:r>
        <w:r w:rsidR="005C6E35" w:rsidRPr="00F3168F">
          <w:rPr>
            <w:rFonts w:eastAsiaTheme="minorEastAsia" w:cstheme="minorBidi"/>
            <w:noProof/>
            <w:sz w:val="22"/>
            <w:szCs w:val="22"/>
            <w:lang w:val="en-US" w:eastAsia="zh-CN"/>
          </w:rPr>
          <w:tab/>
        </w:r>
        <w:r w:rsidR="005C6E35" w:rsidRPr="00F3168F">
          <w:rPr>
            <w:rStyle w:val="Hyperlink"/>
            <w:rFonts w:hint="eastAsia"/>
            <w:noProof/>
            <w:color w:val="auto"/>
            <w:lang w:eastAsia="zh-CN"/>
          </w:rPr>
          <w:t>电信发展部门（</w:t>
        </w:r>
        <w:r w:rsidR="005C6E35" w:rsidRPr="00F3168F">
          <w:rPr>
            <w:rStyle w:val="Hyperlink"/>
            <w:noProof/>
            <w:color w:val="auto"/>
            <w:lang w:eastAsia="zh-CN"/>
          </w:rPr>
          <w:t>ITU-D</w:t>
        </w:r>
        <w:r w:rsidR="005C6E35" w:rsidRPr="00F3168F">
          <w:rPr>
            <w:rStyle w:val="Hyperlink"/>
            <w:rFonts w:hint="eastAsia"/>
            <w:noProof/>
            <w:color w:val="auto"/>
            <w:lang w:eastAsia="zh-CN"/>
          </w:rPr>
          <w:t>）</w:t>
        </w:r>
        <w:r w:rsidR="005C6E35" w:rsidRPr="00F3168F">
          <w:rPr>
            <w:noProof/>
            <w:webHidden/>
          </w:rPr>
          <w:tab/>
        </w:r>
        <w:r w:rsidR="00F3168F" w:rsidRPr="00F3168F">
          <w:rPr>
            <w:noProof/>
            <w:webHidden/>
          </w:rPr>
          <w:tab/>
        </w:r>
        <w:r w:rsidR="005C6E35" w:rsidRPr="00F3168F">
          <w:rPr>
            <w:noProof/>
            <w:webHidden/>
          </w:rPr>
          <w:fldChar w:fldCharType="begin"/>
        </w:r>
        <w:r w:rsidR="005C6E35" w:rsidRPr="00F3168F">
          <w:rPr>
            <w:noProof/>
            <w:webHidden/>
          </w:rPr>
          <w:instrText xml:space="preserve"> PAGEREF _Toc86395668 \h </w:instrText>
        </w:r>
        <w:r w:rsidR="005C6E35" w:rsidRPr="00F3168F">
          <w:rPr>
            <w:noProof/>
            <w:webHidden/>
          </w:rPr>
        </w:r>
        <w:r w:rsidR="005C6E35" w:rsidRPr="00F3168F">
          <w:rPr>
            <w:noProof/>
            <w:webHidden/>
          </w:rPr>
          <w:fldChar w:fldCharType="separate"/>
        </w:r>
        <w:r w:rsidR="00E305D2">
          <w:rPr>
            <w:noProof/>
            <w:webHidden/>
          </w:rPr>
          <w:t>179</w:t>
        </w:r>
        <w:r w:rsidR="005C6E35" w:rsidRPr="00F3168F">
          <w:rPr>
            <w:noProof/>
            <w:webHidden/>
          </w:rPr>
          <w:fldChar w:fldCharType="end"/>
        </w:r>
      </w:hyperlink>
    </w:p>
    <w:p w14:paraId="74904CE4" w14:textId="5A377FBE" w:rsidR="005C6E35" w:rsidRPr="00D93502" w:rsidRDefault="00F71B18">
      <w:pPr>
        <w:pStyle w:val="TOC10"/>
        <w:rPr>
          <w:rFonts w:eastAsiaTheme="minorEastAsia" w:cstheme="minorBidi"/>
          <w:b w:val="0"/>
          <w:bCs/>
          <w:noProof/>
          <w:sz w:val="22"/>
          <w:szCs w:val="22"/>
          <w:lang w:val="en-US" w:eastAsia="zh-CN"/>
        </w:rPr>
      </w:pPr>
      <w:hyperlink w:anchor="_Toc86395669" w:history="1">
        <w:r w:rsidR="005C6E35" w:rsidRPr="00D93502">
          <w:rPr>
            <w:rStyle w:val="Hyperlink"/>
            <w:rFonts w:hint="eastAsia"/>
            <w:b w:val="0"/>
            <w:bCs/>
            <w:noProof/>
            <w:lang w:eastAsia="zh-CN"/>
          </w:rPr>
          <w:t>第</w:t>
        </w:r>
        <w:r w:rsidR="005C6E35" w:rsidRPr="00D93502">
          <w:rPr>
            <w:rStyle w:val="Hyperlink"/>
            <w:b w:val="0"/>
            <w:bCs/>
            <w:noProof/>
            <w:lang w:eastAsia="zh-CN"/>
          </w:rPr>
          <w:t>1114</w:t>
        </w:r>
        <w:r w:rsidR="005C6E35" w:rsidRPr="00D93502">
          <w:rPr>
            <w:rStyle w:val="Hyperlink"/>
            <w:rFonts w:hint="eastAsia"/>
            <w:b w:val="0"/>
            <w:bCs/>
            <w:noProof/>
            <w:lang w:eastAsia="zh-CN"/>
          </w:rPr>
          <w:t>号决议</w:t>
        </w:r>
      </w:hyperlink>
      <w:r w:rsidR="00AE3990">
        <w:rPr>
          <w:rFonts w:eastAsiaTheme="minorEastAsia" w:cstheme="minorBidi"/>
          <w:b w:val="0"/>
          <w:bCs/>
          <w:noProof/>
          <w:sz w:val="22"/>
          <w:szCs w:val="22"/>
          <w:lang w:val="en-US" w:eastAsia="zh-CN"/>
        </w:rPr>
        <w:tab/>
      </w:r>
      <w:hyperlink w:anchor="_Toc86395670" w:history="1">
        <w:r w:rsidR="005C6E35" w:rsidRPr="00D93502">
          <w:rPr>
            <w:rStyle w:val="Hyperlink"/>
            <w:rFonts w:hint="eastAsia"/>
            <w:b w:val="0"/>
            <w:bCs/>
            <w:noProof/>
            <w:lang w:eastAsia="zh-CN"/>
          </w:rPr>
          <w:t>区域代表处</w:t>
        </w:r>
        <w:r w:rsidR="005C6E35" w:rsidRPr="00D93502">
          <w:rPr>
            <w:b w:val="0"/>
            <w:bCs/>
            <w:noProof/>
            <w:webHidden/>
          </w:rPr>
          <w:tab/>
        </w:r>
        <w:r w:rsidR="00F3168F">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_Toc86395670 \h </w:instrText>
        </w:r>
        <w:r w:rsidR="005C6E35" w:rsidRPr="00D93502">
          <w:rPr>
            <w:b w:val="0"/>
            <w:bCs/>
            <w:noProof/>
            <w:webHidden/>
          </w:rPr>
        </w:r>
        <w:r w:rsidR="005C6E35" w:rsidRPr="00D93502">
          <w:rPr>
            <w:b w:val="0"/>
            <w:bCs/>
            <w:noProof/>
            <w:webHidden/>
          </w:rPr>
          <w:fldChar w:fldCharType="separate"/>
        </w:r>
        <w:r w:rsidR="00E305D2">
          <w:rPr>
            <w:b w:val="0"/>
            <w:bCs/>
            <w:noProof/>
            <w:webHidden/>
          </w:rPr>
          <w:t>179</w:t>
        </w:r>
        <w:r w:rsidR="005C6E35" w:rsidRPr="00D93502">
          <w:rPr>
            <w:b w:val="0"/>
            <w:bCs/>
            <w:noProof/>
            <w:webHidden/>
          </w:rPr>
          <w:fldChar w:fldCharType="end"/>
        </w:r>
      </w:hyperlink>
    </w:p>
    <w:p w14:paraId="3AC40935" w14:textId="2AC96FED" w:rsidR="005C6E35" w:rsidRPr="00D93502" w:rsidRDefault="00F71B18">
      <w:pPr>
        <w:pStyle w:val="TOC10"/>
        <w:rPr>
          <w:rFonts w:eastAsiaTheme="minorEastAsia" w:cstheme="minorBidi"/>
          <w:b w:val="0"/>
          <w:bCs/>
          <w:noProof/>
          <w:sz w:val="22"/>
          <w:szCs w:val="22"/>
          <w:lang w:val="en-US" w:eastAsia="zh-CN"/>
        </w:rPr>
      </w:pPr>
      <w:hyperlink w:anchor="_Toc86395671" w:history="1">
        <w:r w:rsidR="005C6E35" w:rsidRPr="00D93502">
          <w:rPr>
            <w:rStyle w:val="Hyperlink"/>
            <w:rFonts w:hint="eastAsia"/>
            <w:b w:val="0"/>
            <w:bCs/>
            <w:noProof/>
            <w:lang w:eastAsia="zh-CN"/>
          </w:rPr>
          <w:t>第</w:t>
        </w:r>
        <w:r w:rsidR="005C6E35" w:rsidRPr="00D93502">
          <w:rPr>
            <w:rStyle w:val="Hyperlink"/>
            <w:b w:val="0"/>
            <w:bCs/>
            <w:noProof/>
            <w:lang w:eastAsia="zh-CN"/>
          </w:rPr>
          <w:t>1143</w:t>
        </w:r>
        <w:r w:rsidR="005C6E35" w:rsidRPr="00D93502">
          <w:rPr>
            <w:rStyle w:val="Hyperlink"/>
            <w:rFonts w:hint="eastAsia"/>
            <w:b w:val="0"/>
            <w:bCs/>
            <w:noProof/>
            <w:lang w:eastAsia="zh-CN"/>
          </w:rPr>
          <w:t>号决议</w:t>
        </w:r>
      </w:hyperlink>
      <w:r w:rsidR="00AE3990">
        <w:rPr>
          <w:rFonts w:eastAsiaTheme="minorEastAsia" w:cstheme="minorBidi"/>
          <w:b w:val="0"/>
          <w:bCs/>
          <w:noProof/>
          <w:sz w:val="22"/>
          <w:szCs w:val="22"/>
          <w:lang w:val="en-US" w:eastAsia="zh-CN"/>
        </w:rPr>
        <w:tab/>
      </w:r>
      <w:hyperlink w:anchor="_Toc86395672" w:history="1">
        <w:r w:rsidR="005C6E35" w:rsidRPr="00D93502">
          <w:rPr>
            <w:rStyle w:val="Hyperlink"/>
            <w:rFonts w:hint="eastAsia"/>
            <w:b w:val="0"/>
            <w:bCs/>
            <w:noProof/>
            <w:lang w:eastAsia="zh-CN"/>
          </w:rPr>
          <w:t>加强区域代表处的作用</w:t>
        </w:r>
        <w:r w:rsidR="005C6E35" w:rsidRPr="00D93502">
          <w:rPr>
            <w:b w:val="0"/>
            <w:bCs/>
            <w:noProof/>
            <w:webHidden/>
          </w:rPr>
          <w:tab/>
        </w:r>
        <w:r w:rsidR="00F3168F">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_Toc86395672 \h </w:instrText>
        </w:r>
        <w:r w:rsidR="005C6E35" w:rsidRPr="00D93502">
          <w:rPr>
            <w:b w:val="0"/>
            <w:bCs/>
            <w:noProof/>
            <w:webHidden/>
          </w:rPr>
        </w:r>
        <w:r w:rsidR="005C6E35" w:rsidRPr="00D93502">
          <w:rPr>
            <w:b w:val="0"/>
            <w:bCs/>
            <w:noProof/>
            <w:webHidden/>
          </w:rPr>
          <w:fldChar w:fldCharType="separate"/>
        </w:r>
        <w:r w:rsidR="00E305D2">
          <w:rPr>
            <w:b w:val="0"/>
            <w:bCs/>
            <w:noProof/>
            <w:webHidden/>
          </w:rPr>
          <w:t>181</w:t>
        </w:r>
        <w:r w:rsidR="005C6E35" w:rsidRPr="00D93502">
          <w:rPr>
            <w:b w:val="0"/>
            <w:bCs/>
            <w:noProof/>
            <w:webHidden/>
          </w:rPr>
          <w:fldChar w:fldCharType="end"/>
        </w:r>
      </w:hyperlink>
    </w:p>
    <w:p w14:paraId="1A847A98" w14:textId="44A9B28A" w:rsidR="005C6E35" w:rsidRPr="00D93502" w:rsidRDefault="00F71B18">
      <w:pPr>
        <w:pStyle w:val="TOC10"/>
        <w:rPr>
          <w:rFonts w:eastAsiaTheme="minorEastAsia" w:cstheme="minorBidi"/>
          <w:b w:val="0"/>
          <w:bCs/>
          <w:noProof/>
          <w:sz w:val="22"/>
          <w:szCs w:val="22"/>
          <w:lang w:val="en-US" w:eastAsia="zh-CN"/>
        </w:rPr>
      </w:pPr>
      <w:hyperlink w:anchor="_Toc86395673" w:history="1">
        <w:r w:rsidR="005C6E35" w:rsidRPr="00D93502">
          <w:rPr>
            <w:rStyle w:val="Hyperlink"/>
            <w:rFonts w:hint="eastAsia"/>
            <w:b w:val="0"/>
            <w:bCs/>
            <w:noProof/>
            <w:lang w:eastAsia="zh-CN"/>
          </w:rPr>
          <w:t>第</w:t>
        </w:r>
        <w:r w:rsidR="005C6E35" w:rsidRPr="00D93502">
          <w:rPr>
            <w:rStyle w:val="Hyperlink"/>
            <w:b w:val="0"/>
            <w:bCs/>
            <w:noProof/>
            <w:lang w:eastAsia="zh-CN"/>
          </w:rPr>
          <w:t>1183</w:t>
        </w:r>
        <w:r w:rsidR="005C6E35" w:rsidRPr="00D93502">
          <w:rPr>
            <w:rStyle w:val="Hyperlink"/>
            <w:rFonts w:hint="eastAsia"/>
            <w:b w:val="0"/>
            <w:bCs/>
            <w:noProof/>
            <w:lang w:eastAsia="zh-CN"/>
          </w:rPr>
          <w:t>号决议</w:t>
        </w:r>
      </w:hyperlink>
      <w:r w:rsidR="00AE3990">
        <w:rPr>
          <w:rFonts w:eastAsiaTheme="minorEastAsia" w:cstheme="minorBidi"/>
          <w:b w:val="0"/>
          <w:bCs/>
          <w:noProof/>
          <w:sz w:val="22"/>
          <w:szCs w:val="22"/>
          <w:lang w:val="en-US" w:eastAsia="zh-CN"/>
        </w:rPr>
        <w:tab/>
      </w:r>
      <w:hyperlink w:anchor="_Toc86395674" w:history="1">
        <w:r w:rsidR="005C6E35" w:rsidRPr="00D93502">
          <w:rPr>
            <w:rStyle w:val="Hyperlink"/>
            <w:rFonts w:hint="eastAsia"/>
            <w:b w:val="0"/>
            <w:bCs/>
            <w:noProof/>
            <w:lang w:eastAsia="zh-CN"/>
          </w:rPr>
          <w:t>国际电联的区域代表处</w:t>
        </w:r>
        <w:r w:rsidR="005C6E35" w:rsidRPr="00D93502">
          <w:rPr>
            <w:b w:val="0"/>
            <w:bCs/>
            <w:noProof/>
            <w:webHidden/>
          </w:rPr>
          <w:tab/>
        </w:r>
        <w:r w:rsidR="00F3168F">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_Toc86395674 \h </w:instrText>
        </w:r>
        <w:r w:rsidR="005C6E35" w:rsidRPr="00D93502">
          <w:rPr>
            <w:b w:val="0"/>
            <w:bCs/>
            <w:noProof/>
            <w:webHidden/>
          </w:rPr>
        </w:r>
        <w:r w:rsidR="005C6E35" w:rsidRPr="00D93502">
          <w:rPr>
            <w:b w:val="0"/>
            <w:bCs/>
            <w:noProof/>
            <w:webHidden/>
          </w:rPr>
          <w:fldChar w:fldCharType="separate"/>
        </w:r>
        <w:r w:rsidR="00E305D2">
          <w:rPr>
            <w:b w:val="0"/>
            <w:bCs/>
            <w:noProof/>
            <w:webHidden/>
          </w:rPr>
          <w:t>185</w:t>
        </w:r>
        <w:r w:rsidR="005C6E35" w:rsidRPr="00D93502">
          <w:rPr>
            <w:b w:val="0"/>
            <w:bCs/>
            <w:noProof/>
            <w:webHidden/>
          </w:rPr>
          <w:fldChar w:fldCharType="end"/>
        </w:r>
      </w:hyperlink>
    </w:p>
    <w:p w14:paraId="65784994" w14:textId="6F7B75DA" w:rsidR="005C6E35" w:rsidRPr="00D93502" w:rsidRDefault="00F71B18">
      <w:pPr>
        <w:pStyle w:val="TOC10"/>
        <w:rPr>
          <w:rFonts w:eastAsiaTheme="minorEastAsia" w:cstheme="minorBidi"/>
          <w:b w:val="0"/>
          <w:bCs/>
          <w:noProof/>
          <w:sz w:val="22"/>
          <w:szCs w:val="22"/>
          <w:lang w:val="en-US" w:eastAsia="zh-CN"/>
        </w:rPr>
      </w:pPr>
      <w:hyperlink w:anchor="_Toc86395675" w:history="1">
        <w:r w:rsidR="005C6E35" w:rsidRPr="00D93502">
          <w:rPr>
            <w:rStyle w:val="Hyperlink"/>
            <w:rFonts w:hint="eastAsia"/>
            <w:b w:val="0"/>
            <w:bCs/>
            <w:noProof/>
            <w:lang w:eastAsia="zh-CN"/>
          </w:rPr>
          <w:t>第</w:t>
        </w:r>
        <w:r w:rsidR="005C6E35" w:rsidRPr="00D93502">
          <w:rPr>
            <w:rStyle w:val="Hyperlink"/>
            <w:b w:val="0"/>
            <w:bCs/>
            <w:noProof/>
            <w:lang w:eastAsia="zh-CN"/>
          </w:rPr>
          <w:t>1403</w:t>
        </w:r>
        <w:r w:rsidR="005C6E35" w:rsidRPr="00D93502">
          <w:rPr>
            <w:rStyle w:val="Hyperlink"/>
            <w:rFonts w:hint="eastAsia"/>
            <w:b w:val="0"/>
            <w:bCs/>
            <w:noProof/>
            <w:lang w:eastAsia="zh-CN"/>
          </w:rPr>
          <w:t>号决议</w:t>
        </w:r>
      </w:hyperlink>
      <w:r w:rsidR="00AE3990">
        <w:rPr>
          <w:rFonts w:eastAsiaTheme="minorEastAsia" w:cstheme="minorBidi"/>
          <w:b w:val="0"/>
          <w:bCs/>
          <w:noProof/>
          <w:sz w:val="22"/>
          <w:szCs w:val="22"/>
          <w:lang w:val="en-US" w:eastAsia="zh-CN"/>
        </w:rPr>
        <w:tab/>
      </w:r>
      <w:hyperlink w:anchor="_Toc86395676" w:history="1">
        <w:r w:rsidR="005C6E35" w:rsidRPr="00D93502">
          <w:rPr>
            <w:rStyle w:val="Hyperlink"/>
            <w:rFonts w:hint="eastAsia"/>
            <w:b w:val="0"/>
            <w:bCs/>
            <w:noProof/>
            <w:lang w:eastAsia="zh-CN"/>
          </w:rPr>
          <w:t>国际电联</w:t>
        </w:r>
        <w:r w:rsidR="005C6E35" w:rsidRPr="00D93502">
          <w:rPr>
            <w:rStyle w:val="Hyperlink"/>
            <w:b w:val="0"/>
            <w:bCs/>
            <w:noProof/>
            <w:lang w:eastAsia="zh-CN"/>
          </w:rPr>
          <w:t>2022-2025</w:t>
        </w:r>
        <w:r w:rsidR="005C6E35" w:rsidRPr="00D93502">
          <w:rPr>
            <w:rStyle w:val="Hyperlink"/>
            <w:rFonts w:hint="eastAsia"/>
            <w:b w:val="0"/>
            <w:bCs/>
            <w:noProof/>
            <w:lang w:eastAsia="zh-CN"/>
          </w:rPr>
          <w:t>年四年期滚动式运作规划</w:t>
        </w:r>
        <w:r w:rsidR="005C6E35" w:rsidRPr="00D93502">
          <w:rPr>
            <w:b w:val="0"/>
            <w:bCs/>
            <w:noProof/>
            <w:webHidden/>
          </w:rPr>
          <w:tab/>
        </w:r>
        <w:r w:rsidR="00F3168F">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_Toc86395676 \h </w:instrText>
        </w:r>
        <w:r w:rsidR="005C6E35" w:rsidRPr="00D93502">
          <w:rPr>
            <w:b w:val="0"/>
            <w:bCs/>
            <w:noProof/>
            <w:webHidden/>
          </w:rPr>
        </w:r>
        <w:r w:rsidR="005C6E35" w:rsidRPr="00D93502">
          <w:rPr>
            <w:b w:val="0"/>
            <w:bCs/>
            <w:noProof/>
            <w:webHidden/>
          </w:rPr>
          <w:fldChar w:fldCharType="separate"/>
        </w:r>
        <w:r w:rsidR="00E305D2">
          <w:rPr>
            <w:b w:val="0"/>
            <w:bCs/>
            <w:noProof/>
            <w:webHidden/>
          </w:rPr>
          <w:t>186</w:t>
        </w:r>
        <w:r w:rsidR="005C6E35" w:rsidRPr="00D93502">
          <w:rPr>
            <w:b w:val="0"/>
            <w:bCs/>
            <w:noProof/>
            <w:webHidden/>
          </w:rPr>
          <w:fldChar w:fldCharType="end"/>
        </w:r>
      </w:hyperlink>
    </w:p>
    <w:p w14:paraId="1D0F6786" w14:textId="37F272FF" w:rsidR="005C6E35" w:rsidRPr="00D93502" w:rsidRDefault="00F71B18">
      <w:pPr>
        <w:pStyle w:val="TOC10"/>
        <w:rPr>
          <w:rFonts w:eastAsiaTheme="minorEastAsia" w:cstheme="minorBidi"/>
          <w:b w:val="0"/>
          <w:bCs/>
          <w:noProof/>
          <w:sz w:val="22"/>
          <w:szCs w:val="22"/>
          <w:lang w:val="en-US" w:eastAsia="zh-CN"/>
        </w:rPr>
      </w:pPr>
      <w:hyperlink w:anchor="_Toc86395677" w:history="1">
        <w:r w:rsidR="005C6E35" w:rsidRPr="00D93502">
          <w:rPr>
            <w:rStyle w:val="Hyperlink"/>
            <w:rFonts w:hint="eastAsia"/>
            <w:b w:val="0"/>
            <w:bCs/>
            <w:noProof/>
            <w:lang w:eastAsia="zh-CN"/>
          </w:rPr>
          <w:t>第</w:t>
        </w:r>
        <w:r w:rsidR="005C6E35" w:rsidRPr="00D93502">
          <w:rPr>
            <w:rStyle w:val="Hyperlink"/>
            <w:b w:val="0"/>
            <w:bCs/>
            <w:noProof/>
            <w:lang w:eastAsia="zh-CN"/>
          </w:rPr>
          <w:t>616</w:t>
        </w:r>
        <w:r w:rsidR="005C6E35" w:rsidRPr="00D93502">
          <w:rPr>
            <w:rStyle w:val="Hyperlink"/>
            <w:rFonts w:hint="eastAsia"/>
            <w:b w:val="0"/>
            <w:bCs/>
            <w:noProof/>
            <w:lang w:eastAsia="zh-CN"/>
          </w:rPr>
          <w:t>号决定</w:t>
        </w:r>
      </w:hyperlink>
      <w:r w:rsidR="00AE3990">
        <w:rPr>
          <w:rFonts w:eastAsiaTheme="minorEastAsia" w:cstheme="minorBidi"/>
          <w:b w:val="0"/>
          <w:bCs/>
          <w:noProof/>
          <w:sz w:val="22"/>
          <w:szCs w:val="22"/>
          <w:lang w:val="en-US" w:eastAsia="zh-CN"/>
        </w:rPr>
        <w:tab/>
      </w:r>
      <w:hyperlink w:anchor="_Toc86395678" w:history="1">
        <w:r w:rsidR="005C6E35" w:rsidRPr="00D93502">
          <w:rPr>
            <w:rStyle w:val="Hyperlink"/>
            <w:rFonts w:hint="eastAsia"/>
            <w:b w:val="0"/>
            <w:bCs/>
            <w:noProof/>
            <w:lang w:eastAsia="zh-CN"/>
          </w:rPr>
          <w:t>区域代表处</w:t>
        </w:r>
        <w:r w:rsidR="005C6E35" w:rsidRPr="00D93502">
          <w:rPr>
            <w:b w:val="0"/>
            <w:bCs/>
            <w:noProof/>
            <w:webHidden/>
          </w:rPr>
          <w:tab/>
        </w:r>
        <w:r w:rsidR="00F3168F">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_Toc86395678 \h </w:instrText>
        </w:r>
        <w:r w:rsidR="005C6E35" w:rsidRPr="00D93502">
          <w:rPr>
            <w:b w:val="0"/>
            <w:bCs/>
            <w:noProof/>
            <w:webHidden/>
          </w:rPr>
        </w:r>
        <w:r w:rsidR="005C6E35" w:rsidRPr="00D93502">
          <w:rPr>
            <w:b w:val="0"/>
            <w:bCs/>
            <w:noProof/>
            <w:webHidden/>
          </w:rPr>
          <w:fldChar w:fldCharType="separate"/>
        </w:r>
        <w:r w:rsidR="00E305D2">
          <w:rPr>
            <w:b w:val="0"/>
            <w:bCs/>
            <w:noProof/>
            <w:webHidden/>
          </w:rPr>
          <w:t>186</w:t>
        </w:r>
        <w:r w:rsidR="005C6E35" w:rsidRPr="00D93502">
          <w:rPr>
            <w:b w:val="0"/>
            <w:bCs/>
            <w:noProof/>
            <w:webHidden/>
          </w:rPr>
          <w:fldChar w:fldCharType="end"/>
        </w:r>
      </w:hyperlink>
    </w:p>
    <w:p w14:paraId="73033420" w14:textId="0835C728" w:rsidR="005C6E35" w:rsidRPr="00F3168F" w:rsidRDefault="00F71B18">
      <w:pPr>
        <w:pStyle w:val="TOC10"/>
        <w:rPr>
          <w:rFonts w:eastAsiaTheme="minorEastAsia" w:cstheme="minorBidi"/>
          <w:noProof/>
          <w:sz w:val="22"/>
          <w:szCs w:val="22"/>
          <w:lang w:val="en-US" w:eastAsia="zh-CN"/>
        </w:rPr>
      </w:pPr>
      <w:hyperlink w:anchor="_Toc86395679" w:history="1">
        <w:r w:rsidR="005C6E35" w:rsidRPr="00F3168F">
          <w:rPr>
            <w:rStyle w:val="Hyperlink"/>
            <w:noProof/>
            <w:lang w:eastAsia="zh-CN"/>
          </w:rPr>
          <w:t>6</w:t>
        </w:r>
        <w:r w:rsidR="005C6E35" w:rsidRPr="00F3168F">
          <w:rPr>
            <w:rFonts w:eastAsiaTheme="minorEastAsia" w:cstheme="minorBidi"/>
            <w:noProof/>
            <w:sz w:val="22"/>
            <w:szCs w:val="22"/>
            <w:lang w:val="en-US" w:eastAsia="zh-CN"/>
          </w:rPr>
          <w:tab/>
        </w:r>
        <w:r w:rsidR="005C6E35" w:rsidRPr="00F3168F">
          <w:rPr>
            <w:rStyle w:val="Hyperlink"/>
            <w:rFonts w:hint="eastAsia"/>
            <w:noProof/>
            <w:lang w:eastAsia="zh-CN"/>
          </w:rPr>
          <w:t>对外关系</w:t>
        </w:r>
        <w:r w:rsidR="005C6E35" w:rsidRPr="00F3168F">
          <w:rPr>
            <w:noProof/>
            <w:webHidden/>
          </w:rPr>
          <w:tab/>
        </w:r>
        <w:r w:rsidR="00F3168F" w:rsidRPr="00F3168F">
          <w:rPr>
            <w:noProof/>
            <w:webHidden/>
          </w:rPr>
          <w:tab/>
        </w:r>
        <w:r w:rsidR="005C6E35" w:rsidRPr="00F3168F">
          <w:rPr>
            <w:noProof/>
            <w:webHidden/>
          </w:rPr>
          <w:fldChar w:fldCharType="begin"/>
        </w:r>
        <w:r w:rsidR="005C6E35" w:rsidRPr="00F3168F">
          <w:rPr>
            <w:noProof/>
            <w:webHidden/>
          </w:rPr>
          <w:instrText xml:space="preserve"> PAGEREF _Toc86395679 \h </w:instrText>
        </w:r>
        <w:r w:rsidR="005C6E35" w:rsidRPr="00F3168F">
          <w:rPr>
            <w:noProof/>
            <w:webHidden/>
          </w:rPr>
        </w:r>
        <w:r w:rsidR="005C6E35" w:rsidRPr="00F3168F">
          <w:rPr>
            <w:noProof/>
            <w:webHidden/>
          </w:rPr>
          <w:fldChar w:fldCharType="separate"/>
        </w:r>
        <w:r w:rsidR="00E305D2">
          <w:rPr>
            <w:noProof/>
            <w:webHidden/>
          </w:rPr>
          <w:t>191</w:t>
        </w:r>
        <w:r w:rsidR="005C6E35" w:rsidRPr="00F3168F">
          <w:rPr>
            <w:noProof/>
            <w:webHidden/>
          </w:rPr>
          <w:fldChar w:fldCharType="end"/>
        </w:r>
      </w:hyperlink>
    </w:p>
    <w:p w14:paraId="5CF3B585" w14:textId="53CD2567" w:rsidR="005C6E35" w:rsidRPr="00D93502" w:rsidRDefault="00F71B18">
      <w:pPr>
        <w:pStyle w:val="TOC10"/>
        <w:rPr>
          <w:rFonts w:eastAsiaTheme="minorEastAsia" w:cstheme="minorBidi"/>
          <w:b w:val="0"/>
          <w:bCs/>
          <w:noProof/>
          <w:sz w:val="22"/>
          <w:szCs w:val="22"/>
          <w:lang w:val="en-US" w:eastAsia="zh-CN"/>
        </w:rPr>
      </w:pPr>
      <w:hyperlink w:anchor="_Toc86395680" w:history="1">
        <w:r w:rsidR="005C6E35" w:rsidRPr="00F3168F">
          <w:rPr>
            <w:rStyle w:val="Hyperlink"/>
            <w:noProof/>
            <w:lang w:eastAsia="zh-CN"/>
          </w:rPr>
          <w:t>6.1</w:t>
        </w:r>
        <w:r w:rsidR="005C6E35" w:rsidRPr="00F3168F">
          <w:rPr>
            <w:rFonts w:eastAsiaTheme="minorEastAsia" w:cstheme="minorBidi"/>
            <w:noProof/>
            <w:sz w:val="22"/>
            <w:szCs w:val="22"/>
            <w:lang w:val="en-US" w:eastAsia="zh-CN"/>
          </w:rPr>
          <w:tab/>
        </w:r>
        <w:r w:rsidR="005C6E35" w:rsidRPr="00F3168F">
          <w:rPr>
            <w:rStyle w:val="Hyperlink"/>
            <w:rFonts w:hint="eastAsia"/>
            <w:noProof/>
            <w:lang w:eastAsia="zh-CN"/>
          </w:rPr>
          <w:t>国际电联成员</w:t>
        </w:r>
        <w:r w:rsidR="005C6E35" w:rsidRPr="00F3168F">
          <w:rPr>
            <w:noProof/>
            <w:webHidden/>
          </w:rPr>
          <w:tab/>
        </w:r>
        <w:r w:rsidR="00F3168F" w:rsidRPr="00F3168F">
          <w:rPr>
            <w:noProof/>
            <w:webHidden/>
          </w:rPr>
          <w:tab/>
        </w:r>
        <w:r w:rsidR="005C6E35" w:rsidRPr="00F3168F">
          <w:rPr>
            <w:noProof/>
            <w:webHidden/>
          </w:rPr>
          <w:fldChar w:fldCharType="begin"/>
        </w:r>
        <w:r w:rsidR="005C6E35" w:rsidRPr="00F3168F">
          <w:rPr>
            <w:noProof/>
            <w:webHidden/>
          </w:rPr>
          <w:instrText xml:space="preserve"> PAGEREF _Toc86395680 \h </w:instrText>
        </w:r>
        <w:r w:rsidR="005C6E35" w:rsidRPr="00F3168F">
          <w:rPr>
            <w:noProof/>
            <w:webHidden/>
          </w:rPr>
        </w:r>
        <w:r w:rsidR="005C6E35" w:rsidRPr="00F3168F">
          <w:rPr>
            <w:noProof/>
            <w:webHidden/>
          </w:rPr>
          <w:fldChar w:fldCharType="separate"/>
        </w:r>
        <w:r w:rsidR="00E305D2">
          <w:rPr>
            <w:noProof/>
            <w:webHidden/>
          </w:rPr>
          <w:t>191</w:t>
        </w:r>
        <w:r w:rsidR="005C6E35" w:rsidRPr="00F3168F">
          <w:rPr>
            <w:noProof/>
            <w:webHidden/>
          </w:rPr>
          <w:fldChar w:fldCharType="end"/>
        </w:r>
      </w:hyperlink>
    </w:p>
    <w:p w14:paraId="4A0F6DE3" w14:textId="02120D9A" w:rsidR="005C6E35" w:rsidRPr="00D93502" w:rsidRDefault="00F71B18">
      <w:pPr>
        <w:pStyle w:val="TOC10"/>
        <w:rPr>
          <w:rFonts w:eastAsiaTheme="minorEastAsia" w:cstheme="minorBidi"/>
          <w:b w:val="0"/>
          <w:bCs/>
          <w:noProof/>
          <w:sz w:val="22"/>
          <w:szCs w:val="22"/>
          <w:lang w:val="en-US" w:eastAsia="zh-CN"/>
        </w:rPr>
      </w:pPr>
      <w:hyperlink w:anchor="_Toc86395681" w:history="1">
        <w:r w:rsidR="005C6E35" w:rsidRPr="00D93502">
          <w:rPr>
            <w:rStyle w:val="Hyperlink"/>
            <w:rFonts w:hint="eastAsia"/>
            <w:b w:val="0"/>
            <w:bCs/>
            <w:noProof/>
            <w:lang w:eastAsia="zh-CN"/>
          </w:rPr>
          <w:t>第</w:t>
        </w:r>
        <w:r w:rsidR="005C6E35" w:rsidRPr="00D93502">
          <w:rPr>
            <w:rStyle w:val="Hyperlink"/>
            <w:b w:val="0"/>
            <w:bCs/>
            <w:noProof/>
            <w:lang w:eastAsia="zh-CN"/>
          </w:rPr>
          <w:t>88</w:t>
        </w:r>
        <w:r w:rsidR="005C6E35" w:rsidRPr="00D93502">
          <w:rPr>
            <w:rStyle w:val="Hyperlink"/>
            <w:rFonts w:hint="eastAsia"/>
            <w:b w:val="0"/>
            <w:bCs/>
            <w:noProof/>
            <w:lang w:eastAsia="zh-CN"/>
          </w:rPr>
          <w:t>号决议</w:t>
        </w:r>
      </w:hyperlink>
      <w:r w:rsidR="00F3168F">
        <w:rPr>
          <w:rFonts w:eastAsiaTheme="minorEastAsia" w:cstheme="minorBidi"/>
          <w:b w:val="0"/>
          <w:bCs/>
          <w:noProof/>
          <w:sz w:val="22"/>
          <w:szCs w:val="22"/>
          <w:lang w:val="en-US" w:eastAsia="zh-CN"/>
        </w:rPr>
        <w:tab/>
      </w:r>
      <w:hyperlink w:anchor="_Toc86395682" w:history="1">
        <w:r w:rsidR="005C6E35" w:rsidRPr="00D93502">
          <w:rPr>
            <w:rStyle w:val="Hyperlink"/>
            <w:rFonts w:hint="eastAsia"/>
            <w:b w:val="0"/>
            <w:bCs/>
            <w:noProof/>
            <w:lang w:eastAsia="zh-CN"/>
          </w:rPr>
          <w:t>国际电联总秘书处与非国际电联成员国的国家或主管部门的关系</w:t>
        </w:r>
        <w:r w:rsidR="005C6E35" w:rsidRPr="00D93502">
          <w:rPr>
            <w:b w:val="0"/>
            <w:bCs/>
            <w:noProof/>
            <w:webHidden/>
          </w:rPr>
          <w:tab/>
        </w:r>
        <w:r w:rsidR="00F3168F">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_Toc86395682 \h </w:instrText>
        </w:r>
        <w:r w:rsidR="005C6E35" w:rsidRPr="00D93502">
          <w:rPr>
            <w:b w:val="0"/>
            <w:bCs/>
            <w:noProof/>
            <w:webHidden/>
          </w:rPr>
        </w:r>
        <w:r w:rsidR="005C6E35" w:rsidRPr="00D93502">
          <w:rPr>
            <w:b w:val="0"/>
            <w:bCs/>
            <w:noProof/>
            <w:webHidden/>
          </w:rPr>
          <w:fldChar w:fldCharType="separate"/>
        </w:r>
        <w:r w:rsidR="00E305D2">
          <w:rPr>
            <w:b w:val="0"/>
            <w:bCs/>
            <w:noProof/>
            <w:webHidden/>
          </w:rPr>
          <w:t>191</w:t>
        </w:r>
        <w:r w:rsidR="005C6E35" w:rsidRPr="00D93502">
          <w:rPr>
            <w:b w:val="0"/>
            <w:bCs/>
            <w:noProof/>
            <w:webHidden/>
          </w:rPr>
          <w:fldChar w:fldCharType="end"/>
        </w:r>
      </w:hyperlink>
    </w:p>
    <w:p w14:paraId="4E916706" w14:textId="6D0413EF" w:rsidR="005C6E35" w:rsidRPr="00D93502" w:rsidRDefault="00F71B18">
      <w:pPr>
        <w:pStyle w:val="TOC10"/>
        <w:rPr>
          <w:rFonts w:eastAsiaTheme="minorEastAsia" w:cstheme="minorBidi"/>
          <w:b w:val="0"/>
          <w:bCs/>
          <w:noProof/>
          <w:sz w:val="22"/>
          <w:szCs w:val="22"/>
          <w:lang w:val="en-US" w:eastAsia="zh-CN"/>
        </w:rPr>
      </w:pPr>
      <w:hyperlink w:anchor="_Toc86395683" w:history="1">
        <w:r w:rsidR="005C6E35" w:rsidRPr="00D93502">
          <w:rPr>
            <w:rStyle w:val="Hyperlink"/>
            <w:rFonts w:hint="eastAsia"/>
            <w:b w:val="0"/>
            <w:bCs/>
            <w:noProof/>
            <w:lang w:eastAsia="zh-CN"/>
          </w:rPr>
          <w:t>第</w:t>
        </w:r>
        <w:r w:rsidR="005C6E35" w:rsidRPr="00D93502">
          <w:rPr>
            <w:rStyle w:val="Hyperlink"/>
            <w:b w:val="0"/>
            <w:bCs/>
            <w:noProof/>
            <w:lang w:eastAsia="zh-CN"/>
          </w:rPr>
          <w:t>177</w:t>
        </w:r>
        <w:r w:rsidR="005C6E35" w:rsidRPr="00D93502">
          <w:rPr>
            <w:rStyle w:val="Hyperlink"/>
            <w:rFonts w:hint="eastAsia"/>
            <w:b w:val="0"/>
            <w:bCs/>
            <w:noProof/>
            <w:lang w:eastAsia="zh-CN"/>
          </w:rPr>
          <w:t>号决议</w:t>
        </w:r>
      </w:hyperlink>
      <w:r w:rsidR="00F3168F">
        <w:rPr>
          <w:rFonts w:eastAsiaTheme="minorEastAsia" w:cstheme="minorBidi"/>
          <w:b w:val="0"/>
          <w:bCs/>
          <w:noProof/>
          <w:sz w:val="22"/>
          <w:szCs w:val="22"/>
          <w:lang w:val="en-US" w:eastAsia="zh-CN"/>
        </w:rPr>
        <w:tab/>
      </w:r>
      <w:hyperlink w:anchor="_Toc86395684" w:history="1">
        <w:r w:rsidR="005C6E35" w:rsidRPr="00D93502">
          <w:rPr>
            <w:rStyle w:val="Hyperlink"/>
            <w:rFonts w:hint="eastAsia"/>
            <w:b w:val="0"/>
            <w:bCs/>
            <w:noProof/>
            <w:lang w:eastAsia="zh-CN"/>
          </w:rPr>
          <w:t>致各主管部门的通函电报</w:t>
        </w:r>
        <w:r w:rsidR="005C6E35" w:rsidRPr="00D93502">
          <w:rPr>
            <w:b w:val="0"/>
            <w:bCs/>
            <w:noProof/>
            <w:webHidden/>
          </w:rPr>
          <w:tab/>
        </w:r>
        <w:r w:rsidR="00F3168F">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_Toc86395684 \h </w:instrText>
        </w:r>
        <w:r w:rsidR="005C6E35" w:rsidRPr="00D93502">
          <w:rPr>
            <w:b w:val="0"/>
            <w:bCs/>
            <w:noProof/>
            <w:webHidden/>
          </w:rPr>
        </w:r>
        <w:r w:rsidR="005C6E35" w:rsidRPr="00D93502">
          <w:rPr>
            <w:b w:val="0"/>
            <w:bCs/>
            <w:noProof/>
            <w:webHidden/>
          </w:rPr>
          <w:fldChar w:fldCharType="separate"/>
        </w:r>
        <w:r w:rsidR="00E305D2">
          <w:rPr>
            <w:b w:val="0"/>
            <w:bCs/>
            <w:noProof/>
            <w:webHidden/>
          </w:rPr>
          <w:t>192</w:t>
        </w:r>
        <w:r w:rsidR="005C6E35" w:rsidRPr="00D93502">
          <w:rPr>
            <w:b w:val="0"/>
            <w:bCs/>
            <w:noProof/>
            <w:webHidden/>
          </w:rPr>
          <w:fldChar w:fldCharType="end"/>
        </w:r>
      </w:hyperlink>
    </w:p>
    <w:p w14:paraId="5A2EC298" w14:textId="008157FC" w:rsidR="005C6E35" w:rsidRPr="00D93502" w:rsidRDefault="00F71B18">
      <w:pPr>
        <w:pStyle w:val="TOC10"/>
        <w:rPr>
          <w:rFonts w:eastAsiaTheme="minorEastAsia" w:cstheme="minorBidi"/>
          <w:b w:val="0"/>
          <w:bCs/>
          <w:noProof/>
          <w:sz w:val="22"/>
          <w:szCs w:val="22"/>
          <w:lang w:val="en-US" w:eastAsia="zh-CN"/>
        </w:rPr>
      </w:pPr>
      <w:hyperlink w:anchor="_Toc86395685" w:history="1">
        <w:r w:rsidR="005C6E35" w:rsidRPr="00D93502">
          <w:rPr>
            <w:rStyle w:val="Hyperlink"/>
            <w:rFonts w:hint="eastAsia"/>
            <w:b w:val="0"/>
            <w:bCs/>
            <w:noProof/>
            <w:lang w:eastAsia="zh-CN"/>
          </w:rPr>
          <w:t>第</w:t>
        </w:r>
        <w:r w:rsidR="005C6E35" w:rsidRPr="00D93502">
          <w:rPr>
            <w:rStyle w:val="Hyperlink"/>
            <w:b w:val="0"/>
            <w:bCs/>
            <w:noProof/>
            <w:lang w:eastAsia="zh-CN"/>
          </w:rPr>
          <w:t>216</w:t>
        </w:r>
        <w:r w:rsidR="005C6E35" w:rsidRPr="00D93502">
          <w:rPr>
            <w:rStyle w:val="Hyperlink"/>
            <w:rFonts w:hint="eastAsia"/>
            <w:b w:val="0"/>
            <w:bCs/>
            <w:noProof/>
            <w:lang w:eastAsia="zh-CN"/>
          </w:rPr>
          <w:t>号决议</w:t>
        </w:r>
      </w:hyperlink>
      <w:r w:rsidR="00F3168F">
        <w:rPr>
          <w:rFonts w:eastAsiaTheme="minorEastAsia" w:cstheme="minorBidi"/>
          <w:b w:val="0"/>
          <w:bCs/>
          <w:noProof/>
          <w:sz w:val="22"/>
          <w:szCs w:val="22"/>
          <w:lang w:val="en-US" w:eastAsia="zh-CN"/>
        </w:rPr>
        <w:tab/>
      </w:r>
      <w:hyperlink w:anchor="_Toc86395686" w:history="1">
        <w:r w:rsidR="005C6E35" w:rsidRPr="00D93502">
          <w:rPr>
            <w:rStyle w:val="Hyperlink"/>
            <w:rFonts w:hint="eastAsia"/>
            <w:b w:val="0"/>
            <w:bCs/>
            <w:noProof/>
            <w:lang w:eastAsia="zh-CN"/>
          </w:rPr>
          <w:t>要求成为国际电联成员国的申请</w:t>
        </w:r>
        <w:r w:rsidR="005C6E35" w:rsidRPr="00D93502">
          <w:rPr>
            <w:b w:val="0"/>
            <w:bCs/>
            <w:noProof/>
            <w:webHidden/>
          </w:rPr>
          <w:tab/>
        </w:r>
        <w:r w:rsidR="00F3168F">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_Toc86395686 \h </w:instrText>
        </w:r>
        <w:r w:rsidR="005C6E35" w:rsidRPr="00D93502">
          <w:rPr>
            <w:b w:val="0"/>
            <w:bCs/>
            <w:noProof/>
            <w:webHidden/>
          </w:rPr>
        </w:r>
        <w:r w:rsidR="005C6E35" w:rsidRPr="00D93502">
          <w:rPr>
            <w:b w:val="0"/>
            <w:bCs/>
            <w:noProof/>
            <w:webHidden/>
          </w:rPr>
          <w:fldChar w:fldCharType="separate"/>
        </w:r>
        <w:r w:rsidR="00E305D2">
          <w:rPr>
            <w:b w:val="0"/>
            <w:bCs/>
            <w:noProof/>
            <w:webHidden/>
          </w:rPr>
          <w:t>193</w:t>
        </w:r>
        <w:r w:rsidR="005C6E35" w:rsidRPr="00D93502">
          <w:rPr>
            <w:b w:val="0"/>
            <w:bCs/>
            <w:noProof/>
            <w:webHidden/>
          </w:rPr>
          <w:fldChar w:fldCharType="end"/>
        </w:r>
      </w:hyperlink>
    </w:p>
    <w:p w14:paraId="52FF1E4F" w14:textId="456526E5" w:rsidR="005C6E35" w:rsidRPr="00D93502" w:rsidRDefault="00F71B18">
      <w:pPr>
        <w:pStyle w:val="TOC10"/>
        <w:rPr>
          <w:rFonts w:eastAsiaTheme="minorEastAsia" w:cstheme="minorBidi"/>
          <w:b w:val="0"/>
          <w:bCs/>
          <w:noProof/>
          <w:sz w:val="22"/>
          <w:szCs w:val="22"/>
          <w:lang w:val="en-US" w:eastAsia="zh-CN"/>
        </w:rPr>
      </w:pPr>
      <w:hyperlink w:anchor="_Toc86395687" w:history="1">
        <w:r w:rsidR="005C6E35" w:rsidRPr="00D93502">
          <w:rPr>
            <w:rStyle w:val="Hyperlink"/>
            <w:rFonts w:hint="eastAsia"/>
            <w:b w:val="0"/>
            <w:bCs/>
            <w:noProof/>
            <w:lang w:eastAsia="zh-CN"/>
          </w:rPr>
          <w:t>第</w:t>
        </w:r>
        <w:r w:rsidR="005C6E35" w:rsidRPr="00D93502">
          <w:rPr>
            <w:rStyle w:val="Hyperlink"/>
            <w:b w:val="0"/>
            <w:bCs/>
            <w:noProof/>
            <w:lang w:eastAsia="zh-CN"/>
          </w:rPr>
          <w:t>262</w:t>
        </w:r>
        <w:r w:rsidR="005C6E35" w:rsidRPr="00D93502">
          <w:rPr>
            <w:rStyle w:val="Hyperlink"/>
            <w:rFonts w:hint="eastAsia"/>
            <w:b w:val="0"/>
            <w:bCs/>
            <w:noProof/>
            <w:lang w:eastAsia="zh-CN"/>
          </w:rPr>
          <w:t>号决议</w:t>
        </w:r>
      </w:hyperlink>
      <w:r w:rsidR="00F3168F">
        <w:rPr>
          <w:rFonts w:eastAsiaTheme="minorEastAsia" w:cstheme="minorBidi"/>
          <w:b w:val="0"/>
          <w:bCs/>
          <w:noProof/>
          <w:sz w:val="22"/>
          <w:szCs w:val="22"/>
          <w:lang w:val="en-US" w:eastAsia="zh-CN"/>
        </w:rPr>
        <w:tab/>
      </w:r>
      <w:hyperlink w:anchor="_Toc86395688" w:history="1">
        <w:r w:rsidR="005C6E35" w:rsidRPr="00D93502">
          <w:rPr>
            <w:rStyle w:val="Hyperlink"/>
            <w:rFonts w:hint="eastAsia"/>
            <w:b w:val="0"/>
            <w:bCs/>
            <w:noProof/>
            <w:lang w:eastAsia="zh-CN"/>
          </w:rPr>
          <w:t>国际电联成员国对国际电联其它成员国的投诉</w:t>
        </w:r>
        <w:r w:rsidR="005C6E35" w:rsidRPr="00D93502">
          <w:rPr>
            <w:b w:val="0"/>
            <w:bCs/>
            <w:noProof/>
            <w:webHidden/>
          </w:rPr>
          <w:tab/>
        </w:r>
        <w:r w:rsidR="00F3168F">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_Toc86395688 \h </w:instrText>
        </w:r>
        <w:r w:rsidR="005C6E35" w:rsidRPr="00D93502">
          <w:rPr>
            <w:b w:val="0"/>
            <w:bCs/>
            <w:noProof/>
            <w:webHidden/>
          </w:rPr>
        </w:r>
        <w:r w:rsidR="005C6E35" w:rsidRPr="00D93502">
          <w:rPr>
            <w:b w:val="0"/>
            <w:bCs/>
            <w:noProof/>
            <w:webHidden/>
          </w:rPr>
          <w:fldChar w:fldCharType="separate"/>
        </w:r>
        <w:r w:rsidR="00E305D2">
          <w:rPr>
            <w:b w:val="0"/>
            <w:bCs/>
            <w:noProof/>
            <w:webHidden/>
          </w:rPr>
          <w:t>194</w:t>
        </w:r>
        <w:r w:rsidR="005C6E35" w:rsidRPr="00D93502">
          <w:rPr>
            <w:b w:val="0"/>
            <w:bCs/>
            <w:noProof/>
            <w:webHidden/>
          </w:rPr>
          <w:fldChar w:fldCharType="end"/>
        </w:r>
      </w:hyperlink>
    </w:p>
    <w:p w14:paraId="0576DDBC" w14:textId="01CE99C5" w:rsidR="005C6E35" w:rsidRPr="00D93502" w:rsidRDefault="00F71B18">
      <w:pPr>
        <w:pStyle w:val="TOC10"/>
        <w:rPr>
          <w:rFonts w:eastAsiaTheme="minorEastAsia" w:cstheme="minorBidi"/>
          <w:b w:val="0"/>
          <w:bCs/>
          <w:noProof/>
          <w:sz w:val="22"/>
          <w:szCs w:val="22"/>
          <w:lang w:val="en-US" w:eastAsia="zh-CN"/>
        </w:rPr>
      </w:pPr>
      <w:hyperlink w:anchor="_Toc86395689" w:history="1">
        <w:r w:rsidR="005C6E35" w:rsidRPr="00D93502">
          <w:rPr>
            <w:rStyle w:val="Hyperlink"/>
            <w:rFonts w:hint="eastAsia"/>
            <w:b w:val="0"/>
            <w:bCs/>
            <w:noProof/>
            <w:lang w:eastAsia="zh-CN"/>
          </w:rPr>
          <w:t>第</w:t>
        </w:r>
        <w:r w:rsidR="005C6E35" w:rsidRPr="00D93502">
          <w:rPr>
            <w:rStyle w:val="Hyperlink"/>
            <w:b w:val="0"/>
            <w:bCs/>
            <w:noProof/>
            <w:lang w:eastAsia="zh-CN"/>
          </w:rPr>
          <w:t>1008</w:t>
        </w:r>
        <w:r w:rsidR="005C6E35" w:rsidRPr="00D93502">
          <w:rPr>
            <w:rStyle w:val="Hyperlink"/>
            <w:rFonts w:hint="eastAsia"/>
            <w:b w:val="0"/>
            <w:bCs/>
            <w:noProof/>
            <w:lang w:eastAsia="zh-CN"/>
          </w:rPr>
          <w:t>号决议</w:t>
        </w:r>
      </w:hyperlink>
      <w:r w:rsidR="00F3168F">
        <w:rPr>
          <w:rFonts w:eastAsiaTheme="minorEastAsia" w:cstheme="minorBidi"/>
          <w:b w:val="0"/>
          <w:bCs/>
          <w:noProof/>
          <w:sz w:val="22"/>
          <w:szCs w:val="22"/>
          <w:lang w:val="en-US" w:eastAsia="zh-CN"/>
        </w:rPr>
        <w:tab/>
      </w:r>
      <w:hyperlink w:anchor="_Toc86395690" w:history="1">
        <w:r w:rsidR="005C6E35" w:rsidRPr="00D93502">
          <w:rPr>
            <w:rStyle w:val="Hyperlink"/>
            <w:rFonts w:hint="eastAsia"/>
            <w:b w:val="0"/>
            <w:bCs/>
            <w:noProof/>
            <w:lang w:eastAsia="zh-CN"/>
          </w:rPr>
          <w:t>查明有关以色列违反《国际电信公约》的事实的委员会</w:t>
        </w:r>
        <w:r w:rsidR="005C6E35" w:rsidRPr="00D93502">
          <w:rPr>
            <w:b w:val="0"/>
            <w:bCs/>
            <w:noProof/>
            <w:webHidden/>
          </w:rPr>
          <w:tab/>
        </w:r>
        <w:r w:rsidR="00F3168F">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_Toc86395690 \h </w:instrText>
        </w:r>
        <w:r w:rsidR="005C6E35" w:rsidRPr="00D93502">
          <w:rPr>
            <w:b w:val="0"/>
            <w:bCs/>
            <w:noProof/>
            <w:webHidden/>
          </w:rPr>
        </w:r>
        <w:r w:rsidR="005C6E35" w:rsidRPr="00D93502">
          <w:rPr>
            <w:b w:val="0"/>
            <w:bCs/>
            <w:noProof/>
            <w:webHidden/>
          </w:rPr>
          <w:fldChar w:fldCharType="separate"/>
        </w:r>
        <w:r w:rsidR="00E305D2">
          <w:rPr>
            <w:b w:val="0"/>
            <w:bCs/>
            <w:noProof/>
            <w:webHidden/>
          </w:rPr>
          <w:t>194</w:t>
        </w:r>
        <w:r w:rsidR="005C6E35" w:rsidRPr="00D93502">
          <w:rPr>
            <w:b w:val="0"/>
            <w:bCs/>
            <w:noProof/>
            <w:webHidden/>
          </w:rPr>
          <w:fldChar w:fldCharType="end"/>
        </w:r>
      </w:hyperlink>
    </w:p>
    <w:p w14:paraId="7A99AE94" w14:textId="54826AA3" w:rsidR="005C6E35" w:rsidRPr="00D93502" w:rsidRDefault="00F71B18">
      <w:pPr>
        <w:pStyle w:val="TOC10"/>
        <w:rPr>
          <w:rFonts w:eastAsiaTheme="minorEastAsia" w:cstheme="minorBidi"/>
          <w:b w:val="0"/>
          <w:bCs/>
          <w:noProof/>
          <w:sz w:val="22"/>
          <w:szCs w:val="22"/>
          <w:lang w:val="en-US" w:eastAsia="zh-CN"/>
        </w:rPr>
      </w:pPr>
      <w:hyperlink w:anchor="_Toc86395691" w:history="1">
        <w:r w:rsidR="005C6E35" w:rsidRPr="00D93502">
          <w:rPr>
            <w:rStyle w:val="Hyperlink"/>
            <w:rFonts w:hint="eastAsia"/>
            <w:b w:val="0"/>
            <w:bCs/>
            <w:noProof/>
            <w:lang w:eastAsia="zh-CN"/>
          </w:rPr>
          <w:t>第</w:t>
        </w:r>
        <w:r w:rsidR="005C6E35" w:rsidRPr="00D93502">
          <w:rPr>
            <w:rStyle w:val="Hyperlink"/>
            <w:b w:val="0"/>
            <w:bCs/>
            <w:noProof/>
            <w:lang w:eastAsia="zh-CN"/>
          </w:rPr>
          <w:t>1097</w:t>
        </w:r>
        <w:r w:rsidR="005C6E35" w:rsidRPr="00D93502">
          <w:rPr>
            <w:rStyle w:val="Hyperlink"/>
            <w:rFonts w:hint="eastAsia"/>
            <w:b w:val="0"/>
            <w:bCs/>
            <w:noProof/>
            <w:lang w:eastAsia="zh-CN"/>
          </w:rPr>
          <w:t>号决议</w:t>
        </w:r>
      </w:hyperlink>
      <w:r w:rsidR="00F3168F">
        <w:rPr>
          <w:rFonts w:eastAsiaTheme="minorEastAsia" w:cstheme="minorBidi"/>
          <w:b w:val="0"/>
          <w:bCs/>
          <w:noProof/>
          <w:sz w:val="22"/>
          <w:szCs w:val="22"/>
          <w:lang w:val="en-US" w:eastAsia="zh-CN"/>
        </w:rPr>
        <w:tab/>
      </w:r>
      <w:hyperlink w:anchor="_Toc86395692" w:history="1">
        <w:r w:rsidR="005C6E35" w:rsidRPr="00D93502">
          <w:rPr>
            <w:rStyle w:val="Hyperlink"/>
            <w:rFonts w:hint="eastAsia"/>
            <w:b w:val="0"/>
            <w:bCs/>
            <w:noProof/>
            <w:lang w:eastAsia="zh-CN"/>
          </w:rPr>
          <w:t>国际电联成员国的投票表决权</w:t>
        </w:r>
        <w:r w:rsidR="005C6E35" w:rsidRPr="00D93502">
          <w:rPr>
            <w:b w:val="0"/>
            <w:bCs/>
            <w:noProof/>
            <w:webHidden/>
          </w:rPr>
          <w:tab/>
        </w:r>
        <w:r w:rsidR="00F3168F">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_Toc86395692 \h </w:instrText>
        </w:r>
        <w:r w:rsidR="005C6E35" w:rsidRPr="00D93502">
          <w:rPr>
            <w:b w:val="0"/>
            <w:bCs/>
            <w:noProof/>
            <w:webHidden/>
          </w:rPr>
        </w:r>
        <w:r w:rsidR="005C6E35" w:rsidRPr="00D93502">
          <w:rPr>
            <w:b w:val="0"/>
            <w:bCs/>
            <w:noProof/>
            <w:webHidden/>
          </w:rPr>
          <w:fldChar w:fldCharType="separate"/>
        </w:r>
        <w:r w:rsidR="00E305D2">
          <w:rPr>
            <w:b w:val="0"/>
            <w:bCs/>
            <w:noProof/>
            <w:webHidden/>
          </w:rPr>
          <w:t>195</w:t>
        </w:r>
        <w:r w:rsidR="005C6E35" w:rsidRPr="00D93502">
          <w:rPr>
            <w:b w:val="0"/>
            <w:bCs/>
            <w:noProof/>
            <w:webHidden/>
          </w:rPr>
          <w:fldChar w:fldCharType="end"/>
        </w:r>
      </w:hyperlink>
    </w:p>
    <w:p w14:paraId="39037BA3" w14:textId="3C8B0490" w:rsidR="005C6E35" w:rsidRPr="00D93502" w:rsidRDefault="00F71B18">
      <w:pPr>
        <w:pStyle w:val="TOC10"/>
        <w:rPr>
          <w:rFonts w:eastAsiaTheme="minorEastAsia" w:cstheme="minorBidi"/>
          <w:b w:val="0"/>
          <w:bCs/>
          <w:noProof/>
          <w:sz w:val="22"/>
          <w:szCs w:val="22"/>
          <w:lang w:val="en-US" w:eastAsia="zh-CN"/>
        </w:rPr>
      </w:pPr>
      <w:hyperlink w:anchor="_Toc86395693" w:history="1">
        <w:r w:rsidR="005C6E35" w:rsidRPr="00D93502">
          <w:rPr>
            <w:rStyle w:val="Hyperlink"/>
            <w:rFonts w:hint="eastAsia"/>
            <w:b w:val="0"/>
            <w:bCs/>
            <w:noProof/>
          </w:rPr>
          <w:t>第</w:t>
        </w:r>
        <w:r w:rsidR="005C6E35" w:rsidRPr="00D93502">
          <w:rPr>
            <w:rStyle w:val="Hyperlink"/>
            <w:b w:val="0"/>
            <w:bCs/>
            <w:noProof/>
          </w:rPr>
          <w:t>185</w:t>
        </w:r>
        <w:r w:rsidR="005C6E35" w:rsidRPr="00D93502">
          <w:rPr>
            <w:rStyle w:val="Hyperlink"/>
            <w:rFonts w:hint="eastAsia"/>
            <w:b w:val="0"/>
            <w:bCs/>
            <w:noProof/>
          </w:rPr>
          <w:t>号决定</w:t>
        </w:r>
      </w:hyperlink>
      <w:r w:rsidR="00F3168F">
        <w:rPr>
          <w:rFonts w:eastAsiaTheme="minorEastAsia" w:cstheme="minorBidi"/>
          <w:b w:val="0"/>
          <w:bCs/>
          <w:noProof/>
          <w:sz w:val="22"/>
          <w:szCs w:val="22"/>
          <w:lang w:val="en-US" w:eastAsia="zh-CN"/>
        </w:rPr>
        <w:tab/>
      </w:r>
      <w:hyperlink w:anchor="_Toc86395694" w:history="1">
        <w:r w:rsidR="005C6E35" w:rsidRPr="00D93502">
          <w:rPr>
            <w:rStyle w:val="Hyperlink"/>
            <w:rFonts w:hint="eastAsia"/>
            <w:b w:val="0"/>
            <w:bCs/>
            <w:noProof/>
          </w:rPr>
          <w:t>与电报磋商有关的对“多数”一词的释义</w:t>
        </w:r>
        <w:r w:rsidR="005C6E35" w:rsidRPr="00D93502">
          <w:rPr>
            <w:b w:val="0"/>
            <w:bCs/>
            <w:noProof/>
            <w:webHidden/>
          </w:rPr>
          <w:tab/>
        </w:r>
        <w:r w:rsidR="00F3168F">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_Toc86395694 \h </w:instrText>
        </w:r>
        <w:r w:rsidR="005C6E35" w:rsidRPr="00D93502">
          <w:rPr>
            <w:b w:val="0"/>
            <w:bCs/>
            <w:noProof/>
            <w:webHidden/>
          </w:rPr>
        </w:r>
        <w:r w:rsidR="005C6E35" w:rsidRPr="00D93502">
          <w:rPr>
            <w:b w:val="0"/>
            <w:bCs/>
            <w:noProof/>
            <w:webHidden/>
          </w:rPr>
          <w:fldChar w:fldCharType="separate"/>
        </w:r>
        <w:r w:rsidR="00E305D2">
          <w:rPr>
            <w:b w:val="0"/>
            <w:bCs/>
            <w:noProof/>
            <w:webHidden/>
          </w:rPr>
          <w:t>196</w:t>
        </w:r>
        <w:r w:rsidR="005C6E35" w:rsidRPr="00D93502">
          <w:rPr>
            <w:b w:val="0"/>
            <w:bCs/>
            <w:noProof/>
            <w:webHidden/>
          </w:rPr>
          <w:fldChar w:fldCharType="end"/>
        </w:r>
      </w:hyperlink>
    </w:p>
    <w:p w14:paraId="55AAE1F9" w14:textId="3AA3BC99" w:rsidR="005C6E35" w:rsidRPr="00F3168F" w:rsidRDefault="00F71B18">
      <w:pPr>
        <w:pStyle w:val="TOC10"/>
        <w:rPr>
          <w:rFonts w:eastAsiaTheme="minorEastAsia" w:cstheme="minorBidi"/>
          <w:noProof/>
          <w:sz w:val="22"/>
          <w:szCs w:val="22"/>
          <w:lang w:val="en-US" w:eastAsia="zh-CN"/>
        </w:rPr>
      </w:pPr>
      <w:hyperlink w:anchor="_Toc86395695" w:history="1">
        <w:r w:rsidR="005C6E35" w:rsidRPr="00F3168F">
          <w:rPr>
            <w:rStyle w:val="Hyperlink"/>
            <w:noProof/>
            <w:lang w:eastAsia="zh-CN"/>
          </w:rPr>
          <w:t>6.2</w:t>
        </w:r>
        <w:r w:rsidR="005C6E35" w:rsidRPr="00F3168F">
          <w:rPr>
            <w:rFonts w:eastAsiaTheme="minorEastAsia" w:cstheme="minorBidi"/>
            <w:noProof/>
            <w:sz w:val="22"/>
            <w:szCs w:val="22"/>
            <w:lang w:val="en-US" w:eastAsia="zh-CN"/>
          </w:rPr>
          <w:tab/>
        </w:r>
        <w:r w:rsidR="005C6E35" w:rsidRPr="00F3168F">
          <w:rPr>
            <w:rStyle w:val="Hyperlink"/>
            <w:rFonts w:hint="eastAsia"/>
            <w:noProof/>
            <w:lang w:eastAsia="zh-CN"/>
          </w:rPr>
          <w:t>联合国和其它组织</w:t>
        </w:r>
        <w:r w:rsidR="005C6E35" w:rsidRPr="00F3168F">
          <w:rPr>
            <w:noProof/>
            <w:webHidden/>
          </w:rPr>
          <w:tab/>
        </w:r>
        <w:r w:rsidR="00F3168F">
          <w:rPr>
            <w:noProof/>
            <w:webHidden/>
          </w:rPr>
          <w:tab/>
        </w:r>
        <w:r w:rsidR="005C6E35" w:rsidRPr="00F3168F">
          <w:rPr>
            <w:noProof/>
            <w:webHidden/>
          </w:rPr>
          <w:fldChar w:fldCharType="begin"/>
        </w:r>
        <w:r w:rsidR="005C6E35" w:rsidRPr="00F3168F">
          <w:rPr>
            <w:noProof/>
            <w:webHidden/>
          </w:rPr>
          <w:instrText xml:space="preserve"> PAGEREF _Toc86395695 \h </w:instrText>
        </w:r>
        <w:r w:rsidR="005C6E35" w:rsidRPr="00F3168F">
          <w:rPr>
            <w:noProof/>
            <w:webHidden/>
          </w:rPr>
        </w:r>
        <w:r w:rsidR="005C6E35" w:rsidRPr="00F3168F">
          <w:rPr>
            <w:noProof/>
            <w:webHidden/>
          </w:rPr>
          <w:fldChar w:fldCharType="separate"/>
        </w:r>
        <w:r w:rsidR="00E305D2">
          <w:rPr>
            <w:noProof/>
            <w:webHidden/>
          </w:rPr>
          <w:t>197</w:t>
        </w:r>
        <w:r w:rsidR="005C6E35" w:rsidRPr="00F3168F">
          <w:rPr>
            <w:noProof/>
            <w:webHidden/>
          </w:rPr>
          <w:fldChar w:fldCharType="end"/>
        </w:r>
      </w:hyperlink>
    </w:p>
    <w:p w14:paraId="3973392B" w14:textId="76D8A9B7" w:rsidR="005C6E35" w:rsidRPr="00D93502" w:rsidRDefault="00F71B18">
      <w:pPr>
        <w:pStyle w:val="TOC10"/>
        <w:rPr>
          <w:rFonts w:eastAsiaTheme="minorEastAsia" w:cstheme="minorBidi"/>
          <w:b w:val="0"/>
          <w:bCs/>
          <w:noProof/>
          <w:sz w:val="22"/>
          <w:szCs w:val="22"/>
          <w:lang w:val="en-US" w:eastAsia="zh-CN"/>
        </w:rPr>
      </w:pPr>
      <w:hyperlink w:anchor="_Toc86395696" w:history="1">
        <w:r w:rsidR="005C6E35" w:rsidRPr="00D93502">
          <w:rPr>
            <w:rStyle w:val="Hyperlink"/>
            <w:rFonts w:hint="eastAsia"/>
            <w:b w:val="0"/>
            <w:bCs/>
            <w:noProof/>
            <w:lang w:eastAsia="zh-CN"/>
          </w:rPr>
          <w:t>第</w:t>
        </w:r>
        <w:r w:rsidR="005C6E35" w:rsidRPr="00D93502">
          <w:rPr>
            <w:rStyle w:val="Hyperlink"/>
            <w:b w:val="0"/>
            <w:bCs/>
            <w:noProof/>
            <w:lang w:eastAsia="zh-CN"/>
          </w:rPr>
          <w:t>101</w:t>
        </w:r>
        <w:r w:rsidR="005C6E35" w:rsidRPr="00D93502">
          <w:rPr>
            <w:rStyle w:val="Hyperlink"/>
            <w:rFonts w:hint="eastAsia"/>
            <w:b w:val="0"/>
            <w:bCs/>
            <w:noProof/>
            <w:lang w:eastAsia="zh-CN"/>
          </w:rPr>
          <w:t>号决议</w:t>
        </w:r>
      </w:hyperlink>
      <w:r w:rsidR="00F3168F">
        <w:rPr>
          <w:rFonts w:eastAsiaTheme="minorEastAsia" w:cstheme="minorBidi"/>
          <w:b w:val="0"/>
          <w:bCs/>
          <w:noProof/>
          <w:sz w:val="22"/>
          <w:szCs w:val="22"/>
          <w:lang w:val="en-US" w:eastAsia="zh-CN"/>
        </w:rPr>
        <w:tab/>
      </w:r>
      <w:hyperlink w:anchor="_Toc86395697" w:history="1">
        <w:r w:rsidR="005C6E35" w:rsidRPr="00D93502">
          <w:rPr>
            <w:rStyle w:val="Hyperlink"/>
            <w:rFonts w:hint="eastAsia"/>
            <w:b w:val="0"/>
            <w:bCs/>
            <w:noProof/>
            <w:lang w:val="fr-FR" w:eastAsia="zh-CN"/>
          </w:rPr>
          <w:t>国际电联与联合国之间的文件交换</w:t>
        </w:r>
        <w:r w:rsidR="005C6E35" w:rsidRPr="00D93502">
          <w:rPr>
            <w:b w:val="0"/>
            <w:bCs/>
            <w:noProof/>
            <w:webHidden/>
          </w:rPr>
          <w:tab/>
        </w:r>
        <w:r w:rsidR="00F3168F">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_Toc86395697 \h </w:instrText>
        </w:r>
        <w:r w:rsidR="005C6E35" w:rsidRPr="00D93502">
          <w:rPr>
            <w:b w:val="0"/>
            <w:bCs/>
            <w:noProof/>
            <w:webHidden/>
          </w:rPr>
        </w:r>
        <w:r w:rsidR="005C6E35" w:rsidRPr="00D93502">
          <w:rPr>
            <w:b w:val="0"/>
            <w:bCs/>
            <w:noProof/>
            <w:webHidden/>
          </w:rPr>
          <w:fldChar w:fldCharType="separate"/>
        </w:r>
        <w:r w:rsidR="00E305D2">
          <w:rPr>
            <w:b w:val="0"/>
            <w:bCs/>
            <w:noProof/>
            <w:webHidden/>
          </w:rPr>
          <w:t>197</w:t>
        </w:r>
        <w:r w:rsidR="005C6E35" w:rsidRPr="00D93502">
          <w:rPr>
            <w:b w:val="0"/>
            <w:bCs/>
            <w:noProof/>
            <w:webHidden/>
          </w:rPr>
          <w:fldChar w:fldCharType="end"/>
        </w:r>
      </w:hyperlink>
    </w:p>
    <w:p w14:paraId="02455B3E" w14:textId="51D499F2" w:rsidR="005C6E35" w:rsidRPr="00D93502" w:rsidRDefault="00F71B18">
      <w:pPr>
        <w:pStyle w:val="TOC10"/>
        <w:rPr>
          <w:rFonts w:eastAsiaTheme="minorEastAsia" w:cstheme="minorBidi"/>
          <w:b w:val="0"/>
          <w:bCs/>
          <w:noProof/>
          <w:sz w:val="22"/>
          <w:szCs w:val="22"/>
          <w:lang w:val="en-US" w:eastAsia="zh-CN"/>
        </w:rPr>
      </w:pPr>
      <w:hyperlink w:anchor="_Toc86395698" w:history="1">
        <w:r w:rsidR="005C6E35" w:rsidRPr="00D93502">
          <w:rPr>
            <w:rStyle w:val="Hyperlink"/>
            <w:rFonts w:hint="eastAsia"/>
            <w:b w:val="0"/>
            <w:bCs/>
            <w:noProof/>
            <w:lang w:eastAsia="zh-CN"/>
          </w:rPr>
          <w:t>第</w:t>
        </w:r>
        <w:r w:rsidR="005C6E35" w:rsidRPr="00D93502">
          <w:rPr>
            <w:rStyle w:val="Hyperlink"/>
            <w:b w:val="0"/>
            <w:bCs/>
            <w:noProof/>
            <w:lang w:eastAsia="zh-CN"/>
          </w:rPr>
          <w:t>102</w:t>
        </w:r>
        <w:r w:rsidR="005C6E35" w:rsidRPr="00D93502">
          <w:rPr>
            <w:rStyle w:val="Hyperlink"/>
            <w:rFonts w:hint="eastAsia"/>
            <w:b w:val="0"/>
            <w:bCs/>
            <w:noProof/>
            <w:lang w:eastAsia="zh-CN"/>
          </w:rPr>
          <w:t>号决议</w:t>
        </w:r>
      </w:hyperlink>
      <w:r w:rsidR="00F3168F">
        <w:rPr>
          <w:rFonts w:eastAsiaTheme="minorEastAsia" w:cstheme="minorBidi"/>
          <w:b w:val="0"/>
          <w:bCs/>
          <w:noProof/>
          <w:sz w:val="22"/>
          <w:szCs w:val="22"/>
          <w:lang w:val="en-US" w:eastAsia="zh-CN"/>
        </w:rPr>
        <w:tab/>
      </w:r>
      <w:hyperlink w:anchor="_Toc86395699" w:history="1">
        <w:r w:rsidR="005C6E35" w:rsidRPr="00D93502">
          <w:rPr>
            <w:rStyle w:val="Hyperlink"/>
            <w:rFonts w:hint="eastAsia"/>
            <w:b w:val="0"/>
            <w:bCs/>
            <w:noProof/>
            <w:lang w:eastAsia="zh-CN"/>
          </w:rPr>
          <w:t>与联合国交换统计资料</w:t>
        </w:r>
        <w:r w:rsidR="005C6E35" w:rsidRPr="00D93502">
          <w:rPr>
            <w:b w:val="0"/>
            <w:bCs/>
            <w:noProof/>
            <w:webHidden/>
          </w:rPr>
          <w:tab/>
        </w:r>
        <w:r w:rsidR="00F3168F">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_Toc86395699 \h </w:instrText>
        </w:r>
        <w:r w:rsidR="005C6E35" w:rsidRPr="00D93502">
          <w:rPr>
            <w:b w:val="0"/>
            <w:bCs/>
            <w:noProof/>
            <w:webHidden/>
          </w:rPr>
        </w:r>
        <w:r w:rsidR="005C6E35" w:rsidRPr="00D93502">
          <w:rPr>
            <w:b w:val="0"/>
            <w:bCs/>
            <w:noProof/>
            <w:webHidden/>
          </w:rPr>
          <w:fldChar w:fldCharType="separate"/>
        </w:r>
        <w:r w:rsidR="00E305D2">
          <w:rPr>
            <w:b w:val="0"/>
            <w:bCs/>
            <w:noProof/>
            <w:webHidden/>
          </w:rPr>
          <w:t>197</w:t>
        </w:r>
        <w:r w:rsidR="005C6E35" w:rsidRPr="00D93502">
          <w:rPr>
            <w:b w:val="0"/>
            <w:bCs/>
            <w:noProof/>
            <w:webHidden/>
          </w:rPr>
          <w:fldChar w:fldCharType="end"/>
        </w:r>
      </w:hyperlink>
    </w:p>
    <w:p w14:paraId="14FD4639" w14:textId="22C5E110" w:rsidR="005C6E35" w:rsidRPr="00D93502" w:rsidRDefault="00F71B18">
      <w:pPr>
        <w:pStyle w:val="TOC10"/>
        <w:rPr>
          <w:rFonts w:eastAsiaTheme="minorEastAsia" w:cstheme="minorBidi"/>
          <w:b w:val="0"/>
          <w:bCs/>
          <w:noProof/>
          <w:sz w:val="22"/>
          <w:szCs w:val="22"/>
          <w:lang w:val="en-US" w:eastAsia="zh-CN"/>
        </w:rPr>
      </w:pPr>
      <w:hyperlink w:anchor="_Toc86395700" w:history="1">
        <w:r w:rsidR="005C6E35" w:rsidRPr="00D93502">
          <w:rPr>
            <w:rStyle w:val="Hyperlink"/>
            <w:rFonts w:hint="eastAsia"/>
            <w:b w:val="0"/>
            <w:bCs/>
            <w:noProof/>
            <w:lang w:eastAsia="zh-CN"/>
          </w:rPr>
          <w:t>第</w:t>
        </w:r>
        <w:r w:rsidR="005C6E35" w:rsidRPr="00D93502">
          <w:rPr>
            <w:rStyle w:val="Hyperlink"/>
            <w:b w:val="0"/>
            <w:bCs/>
            <w:noProof/>
            <w:lang w:eastAsia="zh-CN"/>
          </w:rPr>
          <w:t>126</w:t>
        </w:r>
        <w:r w:rsidR="005C6E35" w:rsidRPr="00D93502">
          <w:rPr>
            <w:rStyle w:val="Hyperlink"/>
            <w:rFonts w:hint="eastAsia"/>
            <w:b w:val="0"/>
            <w:bCs/>
            <w:noProof/>
            <w:lang w:eastAsia="zh-CN"/>
          </w:rPr>
          <w:t>号决议</w:t>
        </w:r>
      </w:hyperlink>
      <w:r w:rsidR="00F3168F">
        <w:rPr>
          <w:rFonts w:eastAsiaTheme="minorEastAsia" w:cstheme="minorBidi"/>
          <w:b w:val="0"/>
          <w:bCs/>
          <w:noProof/>
          <w:sz w:val="22"/>
          <w:szCs w:val="22"/>
          <w:lang w:val="en-US" w:eastAsia="zh-CN"/>
        </w:rPr>
        <w:tab/>
      </w:r>
      <w:hyperlink w:anchor="_Toc86395701" w:history="1">
        <w:r w:rsidR="005C6E35" w:rsidRPr="00D93502">
          <w:rPr>
            <w:rStyle w:val="Hyperlink"/>
            <w:rFonts w:hint="eastAsia"/>
            <w:b w:val="0"/>
            <w:bCs/>
            <w:noProof/>
            <w:lang w:eastAsia="zh-CN"/>
          </w:rPr>
          <w:t>国家授权与国际授权间的关系</w:t>
        </w:r>
        <w:r w:rsidR="005C6E35" w:rsidRPr="00D93502">
          <w:rPr>
            <w:b w:val="0"/>
            <w:bCs/>
            <w:noProof/>
            <w:webHidden/>
          </w:rPr>
          <w:tab/>
        </w:r>
        <w:r w:rsidR="00F3168F">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_Toc86395701 \h </w:instrText>
        </w:r>
        <w:r w:rsidR="005C6E35" w:rsidRPr="00D93502">
          <w:rPr>
            <w:b w:val="0"/>
            <w:bCs/>
            <w:noProof/>
            <w:webHidden/>
          </w:rPr>
        </w:r>
        <w:r w:rsidR="005C6E35" w:rsidRPr="00D93502">
          <w:rPr>
            <w:b w:val="0"/>
            <w:bCs/>
            <w:noProof/>
            <w:webHidden/>
          </w:rPr>
          <w:fldChar w:fldCharType="separate"/>
        </w:r>
        <w:r w:rsidR="00E305D2">
          <w:rPr>
            <w:b w:val="0"/>
            <w:bCs/>
            <w:noProof/>
            <w:webHidden/>
          </w:rPr>
          <w:t>198</w:t>
        </w:r>
        <w:r w:rsidR="005C6E35" w:rsidRPr="00D93502">
          <w:rPr>
            <w:b w:val="0"/>
            <w:bCs/>
            <w:noProof/>
            <w:webHidden/>
          </w:rPr>
          <w:fldChar w:fldCharType="end"/>
        </w:r>
      </w:hyperlink>
    </w:p>
    <w:p w14:paraId="4D3B39B5" w14:textId="7314CBE9" w:rsidR="005C6E35" w:rsidRPr="00D93502" w:rsidRDefault="00F71B18">
      <w:pPr>
        <w:pStyle w:val="TOC10"/>
        <w:rPr>
          <w:rFonts w:eastAsiaTheme="minorEastAsia" w:cstheme="minorBidi"/>
          <w:b w:val="0"/>
          <w:bCs/>
          <w:noProof/>
          <w:sz w:val="22"/>
          <w:szCs w:val="22"/>
          <w:lang w:val="en-US" w:eastAsia="zh-CN"/>
        </w:rPr>
      </w:pPr>
      <w:hyperlink w:anchor="_Toc86395702" w:history="1">
        <w:r w:rsidR="005C6E35" w:rsidRPr="00D93502">
          <w:rPr>
            <w:rStyle w:val="Hyperlink"/>
            <w:rFonts w:hint="eastAsia"/>
            <w:b w:val="0"/>
            <w:bCs/>
            <w:noProof/>
            <w:lang w:eastAsia="zh-CN"/>
          </w:rPr>
          <w:t>第</w:t>
        </w:r>
        <w:r w:rsidR="005C6E35" w:rsidRPr="00D93502">
          <w:rPr>
            <w:rStyle w:val="Hyperlink"/>
            <w:b w:val="0"/>
            <w:bCs/>
            <w:noProof/>
            <w:lang w:eastAsia="zh-CN"/>
          </w:rPr>
          <w:t>193</w:t>
        </w:r>
        <w:r w:rsidR="005C6E35" w:rsidRPr="00D93502">
          <w:rPr>
            <w:rStyle w:val="Hyperlink"/>
            <w:rFonts w:hint="eastAsia"/>
            <w:b w:val="0"/>
            <w:bCs/>
            <w:noProof/>
            <w:lang w:eastAsia="zh-CN"/>
          </w:rPr>
          <w:t>号决议</w:t>
        </w:r>
      </w:hyperlink>
      <w:r w:rsidR="00F3168F">
        <w:rPr>
          <w:rFonts w:eastAsiaTheme="minorEastAsia" w:cstheme="minorBidi"/>
          <w:b w:val="0"/>
          <w:bCs/>
          <w:noProof/>
          <w:sz w:val="22"/>
          <w:szCs w:val="22"/>
          <w:lang w:val="en-US" w:eastAsia="zh-CN"/>
        </w:rPr>
        <w:tab/>
      </w:r>
      <w:hyperlink w:anchor="_Toc86395703" w:history="1">
        <w:r w:rsidR="005C6E35" w:rsidRPr="00D93502">
          <w:rPr>
            <w:rStyle w:val="Hyperlink"/>
            <w:rFonts w:hint="eastAsia"/>
            <w:b w:val="0"/>
            <w:bCs/>
            <w:noProof/>
            <w:lang w:eastAsia="zh-CN"/>
          </w:rPr>
          <w:t>《专门机构特权与豁免公约》</w:t>
        </w:r>
        <w:r w:rsidR="005C6E35" w:rsidRPr="00D93502">
          <w:rPr>
            <w:b w:val="0"/>
            <w:bCs/>
            <w:noProof/>
            <w:webHidden/>
          </w:rPr>
          <w:tab/>
        </w:r>
        <w:r w:rsidR="00F3168F">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_Toc86395703 \h </w:instrText>
        </w:r>
        <w:r w:rsidR="005C6E35" w:rsidRPr="00D93502">
          <w:rPr>
            <w:b w:val="0"/>
            <w:bCs/>
            <w:noProof/>
            <w:webHidden/>
          </w:rPr>
        </w:r>
        <w:r w:rsidR="005C6E35" w:rsidRPr="00D93502">
          <w:rPr>
            <w:b w:val="0"/>
            <w:bCs/>
            <w:noProof/>
            <w:webHidden/>
          </w:rPr>
          <w:fldChar w:fldCharType="separate"/>
        </w:r>
        <w:r w:rsidR="00E305D2">
          <w:rPr>
            <w:b w:val="0"/>
            <w:bCs/>
            <w:noProof/>
            <w:webHidden/>
          </w:rPr>
          <w:t>198</w:t>
        </w:r>
        <w:r w:rsidR="005C6E35" w:rsidRPr="00D93502">
          <w:rPr>
            <w:b w:val="0"/>
            <w:bCs/>
            <w:noProof/>
            <w:webHidden/>
          </w:rPr>
          <w:fldChar w:fldCharType="end"/>
        </w:r>
      </w:hyperlink>
    </w:p>
    <w:p w14:paraId="4C64812E" w14:textId="41B4C4E4" w:rsidR="005C6E35" w:rsidRPr="00D93502" w:rsidRDefault="00F71B18">
      <w:pPr>
        <w:pStyle w:val="TOC10"/>
        <w:rPr>
          <w:rFonts w:eastAsiaTheme="minorEastAsia" w:cstheme="minorBidi"/>
          <w:b w:val="0"/>
          <w:bCs/>
          <w:noProof/>
          <w:sz w:val="22"/>
          <w:szCs w:val="22"/>
          <w:lang w:val="en-US" w:eastAsia="zh-CN"/>
        </w:rPr>
      </w:pPr>
      <w:hyperlink w:anchor="_Toc86395704" w:history="1">
        <w:r w:rsidR="005C6E35" w:rsidRPr="00D93502">
          <w:rPr>
            <w:rStyle w:val="Hyperlink"/>
            <w:rFonts w:hint="eastAsia"/>
            <w:b w:val="0"/>
            <w:bCs/>
            <w:noProof/>
            <w:lang w:eastAsia="zh-CN"/>
          </w:rPr>
          <w:t>第</w:t>
        </w:r>
        <w:r w:rsidR="005C6E35" w:rsidRPr="00D93502">
          <w:rPr>
            <w:rStyle w:val="Hyperlink"/>
            <w:b w:val="0"/>
            <w:bCs/>
            <w:noProof/>
            <w:lang w:eastAsia="zh-CN"/>
          </w:rPr>
          <w:t>659</w:t>
        </w:r>
        <w:r w:rsidR="005C6E35" w:rsidRPr="00D93502">
          <w:rPr>
            <w:rStyle w:val="Hyperlink"/>
            <w:rFonts w:hint="eastAsia"/>
            <w:b w:val="0"/>
            <w:bCs/>
            <w:noProof/>
            <w:lang w:eastAsia="zh-CN"/>
          </w:rPr>
          <w:t>号决议</w:t>
        </w:r>
      </w:hyperlink>
      <w:r w:rsidR="00F3168F" w:rsidRPr="00F3168F">
        <w:rPr>
          <w:rFonts w:eastAsiaTheme="minorEastAsia" w:cstheme="minorBidi"/>
          <w:noProof/>
          <w:sz w:val="22"/>
          <w:szCs w:val="22"/>
          <w:lang w:val="en-US" w:eastAsia="zh-CN"/>
        </w:rPr>
        <w:tab/>
      </w:r>
      <w:hyperlink w:anchor="_Toc86395705" w:history="1">
        <w:r w:rsidR="005C6E35" w:rsidRPr="00D93502">
          <w:rPr>
            <w:rStyle w:val="Hyperlink"/>
            <w:rFonts w:hint="eastAsia"/>
            <w:b w:val="0"/>
            <w:bCs/>
            <w:noProof/>
            <w:lang w:eastAsia="zh-CN"/>
          </w:rPr>
          <w:t>就联合国大会第</w:t>
        </w:r>
        <w:r w:rsidR="005C6E35" w:rsidRPr="00D93502">
          <w:rPr>
            <w:rStyle w:val="Hyperlink"/>
            <w:b w:val="0"/>
            <w:bCs/>
            <w:noProof/>
            <w:lang w:eastAsia="zh-CN"/>
          </w:rPr>
          <w:t>2395</w:t>
        </w:r>
        <w:r w:rsidR="005C6E35" w:rsidRPr="00D93502">
          <w:rPr>
            <w:rStyle w:val="Hyperlink"/>
            <w:rFonts w:hint="eastAsia"/>
            <w:b w:val="0"/>
            <w:bCs/>
            <w:noProof/>
            <w:lang w:eastAsia="zh-CN"/>
          </w:rPr>
          <w:t>、</w:t>
        </w:r>
        <w:r w:rsidR="005C6E35" w:rsidRPr="00D93502">
          <w:rPr>
            <w:rStyle w:val="Hyperlink"/>
            <w:b w:val="0"/>
            <w:bCs/>
            <w:noProof/>
            <w:lang w:eastAsia="zh-CN"/>
          </w:rPr>
          <w:t>2396</w:t>
        </w:r>
        <w:r w:rsidR="005C6E35" w:rsidRPr="00D93502">
          <w:rPr>
            <w:rStyle w:val="Hyperlink"/>
            <w:rFonts w:hint="eastAsia"/>
            <w:b w:val="0"/>
            <w:bCs/>
            <w:noProof/>
            <w:lang w:eastAsia="zh-CN"/>
          </w:rPr>
          <w:t>、</w:t>
        </w:r>
        <w:r w:rsidR="005C6E35" w:rsidRPr="00D93502">
          <w:rPr>
            <w:rStyle w:val="Hyperlink"/>
            <w:b w:val="0"/>
            <w:bCs/>
            <w:noProof/>
            <w:lang w:eastAsia="zh-CN"/>
          </w:rPr>
          <w:t>2426</w:t>
        </w:r>
        <w:r w:rsidR="005C6E35" w:rsidRPr="00D93502">
          <w:rPr>
            <w:rStyle w:val="Hyperlink"/>
            <w:rFonts w:hint="eastAsia"/>
            <w:b w:val="0"/>
            <w:bCs/>
            <w:noProof/>
            <w:lang w:eastAsia="zh-CN"/>
          </w:rPr>
          <w:t>和</w:t>
        </w:r>
        <w:r w:rsidR="005C6E35" w:rsidRPr="00D93502">
          <w:rPr>
            <w:rStyle w:val="Hyperlink"/>
            <w:b w:val="0"/>
            <w:bCs/>
            <w:noProof/>
            <w:lang w:eastAsia="zh-CN"/>
          </w:rPr>
          <w:t>2465</w:t>
        </w:r>
        <w:r w:rsidR="005C6E35" w:rsidRPr="00D93502">
          <w:rPr>
            <w:rStyle w:val="Hyperlink"/>
            <w:rFonts w:hint="eastAsia"/>
            <w:b w:val="0"/>
            <w:bCs/>
            <w:noProof/>
            <w:lang w:eastAsia="zh-CN"/>
          </w:rPr>
          <w:t>（</w:t>
        </w:r>
        <w:r w:rsidR="005C6E35" w:rsidRPr="00D93502">
          <w:rPr>
            <w:rStyle w:val="Hyperlink"/>
            <w:b w:val="0"/>
            <w:bCs/>
            <w:noProof/>
            <w:lang w:eastAsia="zh-CN"/>
          </w:rPr>
          <w:t>XXIII</w:t>
        </w:r>
        <w:r w:rsidR="005C6E35" w:rsidRPr="00D93502">
          <w:rPr>
            <w:rStyle w:val="Hyperlink"/>
            <w:rFonts w:hint="eastAsia"/>
            <w:b w:val="0"/>
            <w:bCs/>
            <w:noProof/>
            <w:lang w:eastAsia="zh-CN"/>
          </w:rPr>
          <w:t>）号决议采取的行动</w:t>
        </w:r>
        <w:r w:rsidR="005C6E35" w:rsidRPr="00D93502">
          <w:rPr>
            <w:b w:val="0"/>
            <w:bCs/>
            <w:noProof/>
            <w:webHidden/>
          </w:rPr>
          <w:tab/>
        </w:r>
        <w:r w:rsidR="00F3168F">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_Toc86395705 \h </w:instrText>
        </w:r>
        <w:r w:rsidR="005C6E35" w:rsidRPr="00D93502">
          <w:rPr>
            <w:b w:val="0"/>
            <w:bCs/>
            <w:noProof/>
            <w:webHidden/>
          </w:rPr>
        </w:r>
        <w:r w:rsidR="005C6E35" w:rsidRPr="00D93502">
          <w:rPr>
            <w:b w:val="0"/>
            <w:bCs/>
            <w:noProof/>
            <w:webHidden/>
          </w:rPr>
          <w:fldChar w:fldCharType="separate"/>
        </w:r>
        <w:r w:rsidR="00E305D2">
          <w:rPr>
            <w:b w:val="0"/>
            <w:bCs/>
            <w:noProof/>
            <w:webHidden/>
          </w:rPr>
          <w:t>199</w:t>
        </w:r>
        <w:r w:rsidR="005C6E35" w:rsidRPr="00D93502">
          <w:rPr>
            <w:b w:val="0"/>
            <w:bCs/>
            <w:noProof/>
            <w:webHidden/>
          </w:rPr>
          <w:fldChar w:fldCharType="end"/>
        </w:r>
      </w:hyperlink>
    </w:p>
    <w:p w14:paraId="501D9A10" w14:textId="3CEAD000" w:rsidR="005C6E35" w:rsidRPr="00D93502" w:rsidRDefault="00F71B18">
      <w:pPr>
        <w:pStyle w:val="TOC10"/>
        <w:rPr>
          <w:rFonts w:eastAsiaTheme="minorEastAsia" w:cstheme="minorBidi"/>
          <w:b w:val="0"/>
          <w:bCs/>
          <w:noProof/>
          <w:sz w:val="22"/>
          <w:szCs w:val="22"/>
          <w:lang w:val="en-US" w:eastAsia="zh-CN"/>
        </w:rPr>
      </w:pPr>
      <w:hyperlink w:anchor="_Toc86395706" w:history="1">
        <w:r w:rsidR="005C6E35" w:rsidRPr="00D93502">
          <w:rPr>
            <w:rStyle w:val="Hyperlink"/>
            <w:rFonts w:hint="eastAsia"/>
            <w:b w:val="0"/>
            <w:bCs/>
            <w:noProof/>
            <w:lang w:eastAsia="zh-CN"/>
          </w:rPr>
          <w:t>第</w:t>
        </w:r>
        <w:r w:rsidR="005C6E35" w:rsidRPr="00D93502">
          <w:rPr>
            <w:rStyle w:val="Hyperlink"/>
            <w:b w:val="0"/>
            <w:bCs/>
            <w:noProof/>
            <w:lang w:eastAsia="zh-CN"/>
          </w:rPr>
          <w:t>708</w:t>
        </w:r>
        <w:r w:rsidR="005C6E35" w:rsidRPr="00D93502">
          <w:rPr>
            <w:rStyle w:val="Hyperlink"/>
            <w:rFonts w:hint="eastAsia"/>
            <w:b w:val="0"/>
            <w:bCs/>
            <w:noProof/>
            <w:lang w:eastAsia="zh-CN"/>
          </w:rPr>
          <w:t>号决议</w:t>
        </w:r>
      </w:hyperlink>
      <w:r w:rsidR="00F3168F">
        <w:rPr>
          <w:rFonts w:eastAsiaTheme="minorEastAsia" w:cstheme="minorBidi"/>
          <w:b w:val="0"/>
          <w:bCs/>
          <w:noProof/>
          <w:sz w:val="22"/>
          <w:szCs w:val="22"/>
          <w:lang w:val="en-US" w:eastAsia="zh-CN"/>
        </w:rPr>
        <w:tab/>
      </w:r>
      <w:hyperlink w:anchor="_Toc86395707" w:history="1">
        <w:r w:rsidR="005C6E35" w:rsidRPr="00D93502">
          <w:rPr>
            <w:rStyle w:val="Hyperlink"/>
            <w:rFonts w:hint="eastAsia"/>
            <w:b w:val="0"/>
            <w:bCs/>
            <w:noProof/>
            <w:lang w:eastAsia="zh-CN"/>
          </w:rPr>
          <w:t>联合国大会的决议</w:t>
        </w:r>
        <w:r w:rsidR="005C6E35" w:rsidRPr="00D93502">
          <w:rPr>
            <w:b w:val="0"/>
            <w:bCs/>
            <w:noProof/>
            <w:webHidden/>
          </w:rPr>
          <w:tab/>
        </w:r>
        <w:r w:rsidR="00F3168F">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_Toc86395707 \h </w:instrText>
        </w:r>
        <w:r w:rsidR="005C6E35" w:rsidRPr="00D93502">
          <w:rPr>
            <w:b w:val="0"/>
            <w:bCs/>
            <w:noProof/>
            <w:webHidden/>
          </w:rPr>
        </w:r>
        <w:r w:rsidR="005C6E35" w:rsidRPr="00D93502">
          <w:rPr>
            <w:b w:val="0"/>
            <w:bCs/>
            <w:noProof/>
            <w:webHidden/>
          </w:rPr>
          <w:fldChar w:fldCharType="separate"/>
        </w:r>
        <w:r w:rsidR="00E305D2">
          <w:rPr>
            <w:b w:val="0"/>
            <w:bCs/>
            <w:noProof/>
            <w:webHidden/>
          </w:rPr>
          <w:t>208</w:t>
        </w:r>
        <w:r w:rsidR="005C6E35" w:rsidRPr="00D93502">
          <w:rPr>
            <w:b w:val="0"/>
            <w:bCs/>
            <w:noProof/>
            <w:webHidden/>
          </w:rPr>
          <w:fldChar w:fldCharType="end"/>
        </w:r>
      </w:hyperlink>
    </w:p>
    <w:p w14:paraId="5A69EBCE" w14:textId="37CFE535" w:rsidR="005C6E35" w:rsidRPr="00F3168F" w:rsidRDefault="00F71B18">
      <w:pPr>
        <w:pStyle w:val="TOC10"/>
        <w:rPr>
          <w:rFonts w:eastAsiaTheme="minorEastAsia" w:cstheme="minorBidi"/>
          <w:b w:val="0"/>
          <w:bCs/>
          <w:noProof/>
          <w:sz w:val="22"/>
          <w:szCs w:val="22"/>
          <w:lang w:val="en-US" w:eastAsia="zh-CN"/>
        </w:rPr>
      </w:pPr>
      <w:hyperlink w:anchor="_Toc86395708" w:history="1">
        <w:r w:rsidR="005C6E35" w:rsidRPr="00D93502">
          <w:rPr>
            <w:rStyle w:val="Hyperlink"/>
            <w:rFonts w:hint="eastAsia"/>
            <w:b w:val="0"/>
            <w:bCs/>
            <w:noProof/>
            <w:lang w:eastAsia="zh-CN"/>
          </w:rPr>
          <w:t>第</w:t>
        </w:r>
        <w:r w:rsidR="005C6E35" w:rsidRPr="00D93502">
          <w:rPr>
            <w:rStyle w:val="Hyperlink"/>
            <w:b w:val="0"/>
            <w:bCs/>
            <w:noProof/>
            <w:lang w:eastAsia="zh-CN"/>
          </w:rPr>
          <w:t>800</w:t>
        </w:r>
        <w:r w:rsidR="005C6E35" w:rsidRPr="00D93502">
          <w:rPr>
            <w:rStyle w:val="Hyperlink"/>
            <w:rFonts w:hint="eastAsia"/>
            <w:b w:val="0"/>
            <w:bCs/>
            <w:noProof/>
            <w:lang w:eastAsia="zh-CN"/>
          </w:rPr>
          <w:t>号决议</w:t>
        </w:r>
      </w:hyperlink>
      <w:r w:rsidR="00F3168F">
        <w:rPr>
          <w:rFonts w:eastAsiaTheme="minorEastAsia" w:cstheme="minorBidi"/>
          <w:b w:val="0"/>
          <w:bCs/>
          <w:noProof/>
          <w:sz w:val="22"/>
          <w:szCs w:val="22"/>
          <w:lang w:val="en-US" w:eastAsia="zh-CN"/>
        </w:rPr>
        <w:tab/>
      </w:r>
      <w:hyperlink w:anchor="_Toc86395709" w:history="1">
        <w:r w:rsidR="005C6E35" w:rsidRPr="00F3168F">
          <w:rPr>
            <w:rStyle w:val="Hyperlink"/>
            <w:rFonts w:hint="eastAsia"/>
            <w:b w:val="0"/>
            <w:bCs/>
            <w:noProof/>
            <w:color w:val="auto"/>
            <w:lang w:eastAsia="zh-CN"/>
          </w:rPr>
          <w:t>电信，经济社会发展的一个重要因素：国际电联在此领域的作用</w:t>
        </w:r>
        <w:r w:rsidR="005C6E35" w:rsidRPr="00F3168F">
          <w:rPr>
            <w:b w:val="0"/>
            <w:bCs/>
            <w:noProof/>
            <w:webHidden/>
          </w:rPr>
          <w:tab/>
        </w:r>
        <w:r w:rsidR="00F3168F" w:rsidRPr="00F3168F">
          <w:rPr>
            <w:b w:val="0"/>
            <w:bCs/>
            <w:noProof/>
            <w:webHidden/>
          </w:rPr>
          <w:tab/>
        </w:r>
        <w:r w:rsidR="005C6E35" w:rsidRPr="00F3168F">
          <w:rPr>
            <w:b w:val="0"/>
            <w:bCs/>
            <w:noProof/>
            <w:webHidden/>
          </w:rPr>
          <w:fldChar w:fldCharType="begin"/>
        </w:r>
        <w:r w:rsidR="005C6E35" w:rsidRPr="00F3168F">
          <w:rPr>
            <w:b w:val="0"/>
            <w:bCs/>
            <w:noProof/>
            <w:webHidden/>
          </w:rPr>
          <w:instrText xml:space="preserve"> PAGEREF _Toc86395709 \h </w:instrText>
        </w:r>
        <w:r w:rsidR="005C6E35" w:rsidRPr="00F3168F">
          <w:rPr>
            <w:b w:val="0"/>
            <w:bCs/>
            <w:noProof/>
            <w:webHidden/>
          </w:rPr>
        </w:r>
        <w:r w:rsidR="005C6E35" w:rsidRPr="00F3168F">
          <w:rPr>
            <w:b w:val="0"/>
            <w:bCs/>
            <w:noProof/>
            <w:webHidden/>
          </w:rPr>
          <w:fldChar w:fldCharType="separate"/>
        </w:r>
        <w:r w:rsidR="00E305D2">
          <w:rPr>
            <w:b w:val="0"/>
            <w:bCs/>
            <w:noProof/>
            <w:webHidden/>
          </w:rPr>
          <w:t>209</w:t>
        </w:r>
        <w:r w:rsidR="005C6E35" w:rsidRPr="00F3168F">
          <w:rPr>
            <w:b w:val="0"/>
            <w:bCs/>
            <w:noProof/>
            <w:webHidden/>
          </w:rPr>
          <w:fldChar w:fldCharType="end"/>
        </w:r>
      </w:hyperlink>
    </w:p>
    <w:p w14:paraId="429A02C0" w14:textId="5F916044" w:rsidR="00F3168F" w:rsidRPr="00F3168F" w:rsidRDefault="00F3168F">
      <w:pPr>
        <w:pStyle w:val="TOC10"/>
        <w:rPr>
          <w:rStyle w:val="Hyperlink"/>
          <w:b w:val="0"/>
          <w:bCs/>
          <w:noProof/>
          <w:color w:val="auto"/>
        </w:rPr>
      </w:pPr>
      <w:r w:rsidRPr="00F3168F">
        <w:rPr>
          <w:rStyle w:val="Hyperlink"/>
          <w:b w:val="0"/>
          <w:bCs/>
          <w:noProof/>
          <w:color w:val="auto"/>
        </w:rPr>
        <w:br w:type="page"/>
      </w:r>
    </w:p>
    <w:p w14:paraId="67270810" w14:textId="7C2A4FA1" w:rsidR="00F3168F" w:rsidRPr="00F3168F" w:rsidRDefault="00F3168F" w:rsidP="00F3168F">
      <w:pPr>
        <w:pStyle w:val="toc0"/>
        <w:keepNext/>
        <w:keepLines/>
        <w:tabs>
          <w:tab w:val="clear" w:pos="8789"/>
          <w:tab w:val="left" w:pos="1191"/>
          <w:tab w:val="left" w:pos="1588"/>
          <w:tab w:val="left" w:pos="1985"/>
        </w:tabs>
        <w:ind w:right="-1"/>
        <w:jc w:val="right"/>
        <w:rPr>
          <w:rStyle w:val="Hyperlink"/>
          <w:b w:val="0"/>
          <w:bCs/>
          <w:noProof/>
          <w:color w:val="auto"/>
        </w:rPr>
      </w:pPr>
      <w:r w:rsidRPr="00F3168F">
        <w:rPr>
          <w:rFonts w:ascii="STKaiti" w:eastAsia="STKaiti" w:hAnsi="STKaiti" w:cs="Microsoft YaHei"/>
          <w:b w:val="0"/>
          <w:bCs/>
          <w:noProof/>
          <w:sz w:val="22"/>
        </w:rPr>
        <w:lastRenderedPageBreak/>
        <w:t>页码</w:t>
      </w:r>
    </w:p>
    <w:p w14:paraId="7E1201B8" w14:textId="314573CE" w:rsidR="005C6E35" w:rsidRPr="00D93502" w:rsidRDefault="00F71B18">
      <w:pPr>
        <w:pStyle w:val="TOC10"/>
        <w:rPr>
          <w:rFonts w:eastAsiaTheme="minorEastAsia" w:cstheme="minorBidi"/>
          <w:b w:val="0"/>
          <w:bCs/>
          <w:noProof/>
          <w:sz w:val="22"/>
          <w:szCs w:val="22"/>
          <w:lang w:val="en-US" w:eastAsia="zh-CN"/>
        </w:rPr>
      </w:pPr>
      <w:hyperlink w:anchor="_Toc86395710" w:history="1">
        <w:r w:rsidR="005C6E35" w:rsidRPr="00D93502">
          <w:rPr>
            <w:rStyle w:val="Hyperlink"/>
            <w:rFonts w:hint="eastAsia"/>
            <w:b w:val="0"/>
            <w:bCs/>
            <w:noProof/>
            <w:lang w:eastAsia="zh-CN"/>
          </w:rPr>
          <w:t>第</w:t>
        </w:r>
        <w:r w:rsidR="005C6E35" w:rsidRPr="00D93502">
          <w:rPr>
            <w:rStyle w:val="Hyperlink"/>
            <w:b w:val="0"/>
            <w:bCs/>
            <w:noProof/>
            <w:lang w:eastAsia="zh-CN"/>
          </w:rPr>
          <w:t>1027</w:t>
        </w:r>
        <w:r w:rsidR="005C6E35" w:rsidRPr="00D93502">
          <w:rPr>
            <w:rStyle w:val="Hyperlink"/>
            <w:rFonts w:hint="eastAsia"/>
            <w:b w:val="0"/>
            <w:bCs/>
            <w:noProof/>
            <w:lang w:eastAsia="zh-CN"/>
          </w:rPr>
          <w:t>号决议</w:t>
        </w:r>
      </w:hyperlink>
      <w:r w:rsidR="00F3168F">
        <w:rPr>
          <w:rFonts w:eastAsiaTheme="minorEastAsia" w:cstheme="minorBidi"/>
          <w:b w:val="0"/>
          <w:bCs/>
          <w:noProof/>
          <w:sz w:val="22"/>
          <w:szCs w:val="22"/>
          <w:lang w:val="en-US" w:eastAsia="zh-CN"/>
        </w:rPr>
        <w:tab/>
      </w:r>
      <w:hyperlink w:anchor="_Toc86395711" w:history="1">
        <w:r w:rsidR="005C6E35" w:rsidRPr="00D93502">
          <w:rPr>
            <w:rStyle w:val="Hyperlink"/>
            <w:rFonts w:hint="eastAsia"/>
            <w:b w:val="0"/>
            <w:bCs/>
            <w:noProof/>
            <w:lang w:eastAsia="zh-CN"/>
          </w:rPr>
          <w:t>国际电联一百周年大奖基金</w:t>
        </w:r>
        <w:r w:rsidR="005C6E35" w:rsidRPr="00D93502">
          <w:rPr>
            <w:b w:val="0"/>
            <w:bCs/>
            <w:noProof/>
            <w:webHidden/>
          </w:rPr>
          <w:tab/>
        </w:r>
        <w:r w:rsidR="00F3168F">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_Toc86395711 \h </w:instrText>
        </w:r>
        <w:r w:rsidR="005C6E35" w:rsidRPr="00D93502">
          <w:rPr>
            <w:b w:val="0"/>
            <w:bCs/>
            <w:noProof/>
            <w:webHidden/>
          </w:rPr>
        </w:r>
        <w:r w:rsidR="005C6E35" w:rsidRPr="00D93502">
          <w:rPr>
            <w:b w:val="0"/>
            <w:bCs/>
            <w:noProof/>
            <w:webHidden/>
          </w:rPr>
          <w:fldChar w:fldCharType="separate"/>
        </w:r>
        <w:r w:rsidR="00E305D2">
          <w:rPr>
            <w:b w:val="0"/>
            <w:bCs/>
            <w:noProof/>
            <w:webHidden/>
          </w:rPr>
          <w:t>210</w:t>
        </w:r>
        <w:r w:rsidR="005C6E35" w:rsidRPr="00D93502">
          <w:rPr>
            <w:b w:val="0"/>
            <w:bCs/>
            <w:noProof/>
            <w:webHidden/>
          </w:rPr>
          <w:fldChar w:fldCharType="end"/>
        </w:r>
      </w:hyperlink>
    </w:p>
    <w:p w14:paraId="05C57F5E" w14:textId="38DB2C20" w:rsidR="005C6E35" w:rsidRPr="00D93502" w:rsidRDefault="00F71B18">
      <w:pPr>
        <w:pStyle w:val="TOC10"/>
        <w:rPr>
          <w:rFonts w:eastAsiaTheme="minorEastAsia" w:cstheme="minorBidi"/>
          <w:b w:val="0"/>
          <w:bCs/>
          <w:noProof/>
          <w:sz w:val="22"/>
          <w:szCs w:val="22"/>
          <w:lang w:val="en-US" w:eastAsia="zh-CN"/>
        </w:rPr>
      </w:pPr>
      <w:hyperlink w:anchor="_Toc86395712" w:history="1">
        <w:r w:rsidR="005C6E35" w:rsidRPr="00D93502">
          <w:rPr>
            <w:rStyle w:val="Hyperlink"/>
            <w:rFonts w:hint="eastAsia"/>
            <w:b w:val="0"/>
            <w:bCs/>
            <w:noProof/>
            <w:lang w:eastAsia="zh-CN"/>
          </w:rPr>
          <w:t>第</w:t>
        </w:r>
        <w:r w:rsidR="005C6E35" w:rsidRPr="00D93502">
          <w:rPr>
            <w:rStyle w:val="Hyperlink"/>
            <w:b w:val="0"/>
            <w:bCs/>
            <w:noProof/>
            <w:lang w:eastAsia="zh-CN"/>
          </w:rPr>
          <w:t>1353</w:t>
        </w:r>
        <w:r w:rsidR="005C6E35" w:rsidRPr="00D93502">
          <w:rPr>
            <w:rStyle w:val="Hyperlink"/>
            <w:rFonts w:hint="eastAsia"/>
            <w:b w:val="0"/>
            <w:bCs/>
            <w:noProof/>
            <w:lang w:eastAsia="zh-CN"/>
          </w:rPr>
          <w:t>号决议</w:t>
        </w:r>
      </w:hyperlink>
      <w:r w:rsidR="00F3168F">
        <w:rPr>
          <w:rFonts w:eastAsiaTheme="minorEastAsia" w:cstheme="minorBidi"/>
          <w:b w:val="0"/>
          <w:bCs/>
          <w:noProof/>
          <w:sz w:val="22"/>
          <w:szCs w:val="22"/>
          <w:lang w:val="en-US" w:eastAsia="zh-CN"/>
        </w:rPr>
        <w:tab/>
      </w:r>
      <w:hyperlink w:anchor="_Toc86395713" w:history="1">
        <w:r w:rsidR="005C6E35" w:rsidRPr="00D93502">
          <w:rPr>
            <w:rStyle w:val="Hyperlink"/>
            <w:rFonts w:hint="eastAsia"/>
            <w:b w:val="0"/>
            <w:bCs/>
            <w:noProof/>
            <w:lang w:eastAsia="zh-CN"/>
          </w:rPr>
          <w:t>国际电联在落实</w:t>
        </w:r>
        <w:r w:rsidR="005C6E35" w:rsidRPr="00D93502">
          <w:rPr>
            <w:rStyle w:val="Hyperlink"/>
            <w:b w:val="0"/>
            <w:bCs/>
            <w:noProof/>
            <w:lang w:eastAsia="zh-CN"/>
          </w:rPr>
          <w:t>2012</w:t>
        </w:r>
        <w:r w:rsidR="005C6E35" w:rsidRPr="00D93502">
          <w:rPr>
            <w:rStyle w:val="Hyperlink"/>
            <w:rFonts w:hint="eastAsia"/>
            <w:b w:val="0"/>
            <w:bCs/>
            <w:noProof/>
            <w:lang w:eastAsia="zh-CN"/>
          </w:rPr>
          <w:t>年联合国可持续发展会议（</w:t>
        </w:r>
        <w:r w:rsidR="005C6E35" w:rsidRPr="00D93502">
          <w:rPr>
            <w:rStyle w:val="Hyperlink"/>
            <w:b w:val="0"/>
            <w:bCs/>
            <w:noProof/>
            <w:lang w:eastAsia="zh-CN"/>
          </w:rPr>
          <w:t>Rio+20</w:t>
        </w:r>
        <w:r w:rsidR="005C6E35" w:rsidRPr="00D93502">
          <w:rPr>
            <w:rStyle w:val="Hyperlink"/>
            <w:rFonts w:hint="eastAsia"/>
            <w:b w:val="0"/>
            <w:bCs/>
            <w:noProof/>
            <w:lang w:eastAsia="zh-CN"/>
          </w:rPr>
          <w:t>）成果方面的作用</w:t>
        </w:r>
        <w:r w:rsidR="005C6E35" w:rsidRPr="00D93502">
          <w:rPr>
            <w:b w:val="0"/>
            <w:bCs/>
            <w:noProof/>
            <w:webHidden/>
          </w:rPr>
          <w:tab/>
        </w:r>
        <w:r w:rsidR="00F3168F">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_Toc86395713 \h </w:instrText>
        </w:r>
        <w:r w:rsidR="005C6E35" w:rsidRPr="00D93502">
          <w:rPr>
            <w:b w:val="0"/>
            <w:bCs/>
            <w:noProof/>
            <w:webHidden/>
          </w:rPr>
        </w:r>
        <w:r w:rsidR="005C6E35" w:rsidRPr="00D93502">
          <w:rPr>
            <w:b w:val="0"/>
            <w:bCs/>
            <w:noProof/>
            <w:webHidden/>
          </w:rPr>
          <w:fldChar w:fldCharType="separate"/>
        </w:r>
        <w:r w:rsidR="00E305D2">
          <w:rPr>
            <w:b w:val="0"/>
            <w:bCs/>
            <w:noProof/>
            <w:webHidden/>
          </w:rPr>
          <w:t>211</w:t>
        </w:r>
        <w:r w:rsidR="005C6E35" w:rsidRPr="00D93502">
          <w:rPr>
            <w:b w:val="0"/>
            <w:bCs/>
            <w:noProof/>
            <w:webHidden/>
          </w:rPr>
          <w:fldChar w:fldCharType="end"/>
        </w:r>
      </w:hyperlink>
    </w:p>
    <w:p w14:paraId="05196CD8" w14:textId="556C315A" w:rsidR="005C6E35" w:rsidRPr="00D93502" w:rsidRDefault="00F71B18">
      <w:pPr>
        <w:pStyle w:val="TOC10"/>
        <w:rPr>
          <w:rFonts w:eastAsiaTheme="minorEastAsia" w:cstheme="minorBidi"/>
          <w:b w:val="0"/>
          <w:bCs/>
          <w:noProof/>
          <w:sz w:val="22"/>
          <w:szCs w:val="22"/>
          <w:lang w:val="en-US" w:eastAsia="zh-CN"/>
        </w:rPr>
      </w:pPr>
      <w:hyperlink w:anchor="_Toc86395714" w:history="1">
        <w:r w:rsidR="005C6E35" w:rsidRPr="00D93502">
          <w:rPr>
            <w:rStyle w:val="Hyperlink"/>
            <w:rFonts w:hint="eastAsia"/>
            <w:b w:val="0"/>
            <w:bCs/>
            <w:noProof/>
          </w:rPr>
          <w:t>第</w:t>
        </w:r>
        <w:r w:rsidR="005C6E35" w:rsidRPr="00D93502">
          <w:rPr>
            <w:rStyle w:val="Hyperlink"/>
            <w:b w:val="0"/>
            <w:bCs/>
            <w:noProof/>
          </w:rPr>
          <w:t>43</w:t>
        </w:r>
        <w:r w:rsidR="005C6E35" w:rsidRPr="00D93502">
          <w:rPr>
            <w:rStyle w:val="Hyperlink"/>
            <w:rFonts w:hint="eastAsia"/>
            <w:b w:val="0"/>
            <w:bCs/>
            <w:noProof/>
          </w:rPr>
          <w:t>号决定</w:t>
        </w:r>
      </w:hyperlink>
      <w:r w:rsidR="00F3168F">
        <w:rPr>
          <w:rFonts w:eastAsiaTheme="minorEastAsia" w:cstheme="minorBidi"/>
          <w:b w:val="0"/>
          <w:bCs/>
          <w:noProof/>
          <w:sz w:val="22"/>
          <w:szCs w:val="22"/>
          <w:lang w:val="en-US" w:eastAsia="zh-CN"/>
        </w:rPr>
        <w:tab/>
      </w:r>
      <w:hyperlink w:anchor="_Toc86395715" w:history="1">
        <w:r w:rsidR="005C6E35" w:rsidRPr="00D93502">
          <w:rPr>
            <w:rStyle w:val="Hyperlink"/>
            <w:rFonts w:hint="eastAsia"/>
            <w:b w:val="0"/>
            <w:bCs/>
            <w:noProof/>
          </w:rPr>
          <w:t>联合国大会有关专门机构行政预算的第</w:t>
        </w:r>
        <w:r w:rsidR="005C6E35" w:rsidRPr="00D93502">
          <w:rPr>
            <w:rStyle w:val="Hyperlink"/>
            <w:b w:val="0"/>
            <w:bCs/>
            <w:noProof/>
          </w:rPr>
          <w:t xml:space="preserve">411 </w:t>
        </w:r>
        <w:r w:rsidR="005C6E35" w:rsidRPr="00D93502">
          <w:rPr>
            <w:rStyle w:val="Hyperlink"/>
            <w:b w:val="0"/>
            <w:bCs/>
            <w:noProof/>
            <w:lang w:val="en-US"/>
          </w:rPr>
          <w:t>(</w:t>
        </w:r>
        <w:r w:rsidR="005C6E35" w:rsidRPr="00D93502">
          <w:rPr>
            <w:rStyle w:val="Hyperlink"/>
            <w:b w:val="0"/>
            <w:bCs/>
            <w:noProof/>
          </w:rPr>
          <w:t xml:space="preserve">V) </w:t>
        </w:r>
        <w:r w:rsidR="005C6E35" w:rsidRPr="00D93502">
          <w:rPr>
            <w:rStyle w:val="Hyperlink"/>
            <w:rFonts w:ascii="SimSun" w:hAnsi="SimSun" w:hint="eastAsia"/>
            <w:b w:val="0"/>
            <w:bCs/>
            <w:noProof/>
          </w:rPr>
          <w:t>号决议</w:t>
        </w:r>
        <w:r w:rsidR="005C6E35" w:rsidRPr="00D93502">
          <w:rPr>
            <w:b w:val="0"/>
            <w:bCs/>
            <w:noProof/>
            <w:webHidden/>
          </w:rPr>
          <w:tab/>
        </w:r>
        <w:r w:rsidR="00F3168F">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_Toc86395715 \h </w:instrText>
        </w:r>
        <w:r w:rsidR="005C6E35" w:rsidRPr="00D93502">
          <w:rPr>
            <w:b w:val="0"/>
            <w:bCs/>
            <w:noProof/>
            <w:webHidden/>
          </w:rPr>
        </w:r>
        <w:r w:rsidR="005C6E35" w:rsidRPr="00D93502">
          <w:rPr>
            <w:b w:val="0"/>
            <w:bCs/>
            <w:noProof/>
            <w:webHidden/>
          </w:rPr>
          <w:fldChar w:fldCharType="separate"/>
        </w:r>
        <w:r w:rsidR="00E305D2">
          <w:rPr>
            <w:b w:val="0"/>
            <w:bCs/>
            <w:noProof/>
            <w:webHidden/>
          </w:rPr>
          <w:t>214</w:t>
        </w:r>
        <w:r w:rsidR="005C6E35" w:rsidRPr="00D93502">
          <w:rPr>
            <w:b w:val="0"/>
            <w:bCs/>
            <w:noProof/>
            <w:webHidden/>
          </w:rPr>
          <w:fldChar w:fldCharType="end"/>
        </w:r>
      </w:hyperlink>
    </w:p>
    <w:p w14:paraId="05CDA2D2" w14:textId="5E81C5D6" w:rsidR="005C6E35" w:rsidRPr="00D93502" w:rsidRDefault="00F71B18">
      <w:pPr>
        <w:pStyle w:val="TOC10"/>
        <w:rPr>
          <w:rFonts w:eastAsiaTheme="minorEastAsia" w:cstheme="minorBidi"/>
          <w:b w:val="0"/>
          <w:bCs/>
          <w:noProof/>
          <w:sz w:val="22"/>
          <w:szCs w:val="22"/>
          <w:lang w:val="en-US" w:eastAsia="zh-CN"/>
        </w:rPr>
      </w:pPr>
      <w:hyperlink w:anchor="_Toc86395716" w:history="1">
        <w:r w:rsidR="005C6E35" w:rsidRPr="00D93502">
          <w:rPr>
            <w:rStyle w:val="Hyperlink"/>
            <w:rFonts w:hint="eastAsia"/>
            <w:b w:val="0"/>
            <w:bCs/>
            <w:noProof/>
          </w:rPr>
          <w:t>第</w:t>
        </w:r>
        <w:r w:rsidR="005C6E35" w:rsidRPr="00D93502">
          <w:rPr>
            <w:rStyle w:val="Hyperlink"/>
            <w:b w:val="0"/>
            <w:bCs/>
            <w:noProof/>
          </w:rPr>
          <w:t>45</w:t>
        </w:r>
        <w:r w:rsidR="005C6E35" w:rsidRPr="00D93502">
          <w:rPr>
            <w:rStyle w:val="Hyperlink"/>
            <w:rFonts w:hint="eastAsia"/>
            <w:b w:val="0"/>
            <w:bCs/>
            <w:noProof/>
          </w:rPr>
          <w:t>号决定</w:t>
        </w:r>
      </w:hyperlink>
      <w:r w:rsidR="00F3168F">
        <w:rPr>
          <w:rFonts w:eastAsiaTheme="minorEastAsia" w:cstheme="minorBidi"/>
          <w:b w:val="0"/>
          <w:bCs/>
          <w:noProof/>
          <w:sz w:val="22"/>
          <w:szCs w:val="22"/>
          <w:lang w:val="en-US" w:eastAsia="zh-CN"/>
        </w:rPr>
        <w:tab/>
      </w:r>
      <w:hyperlink w:anchor="_Toc86395717" w:history="1">
        <w:r w:rsidR="005C6E35" w:rsidRPr="00D93502">
          <w:rPr>
            <w:rStyle w:val="Hyperlink"/>
            <w:rFonts w:hint="eastAsia"/>
            <w:b w:val="0"/>
            <w:bCs/>
            <w:noProof/>
          </w:rPr>
          <w:t>就联合国的会议议程问题与联合国进行合作</w:t>
        </w:r>
        <w:r w:rsidR="005C6E35" w:rsidRPr="00D93502">
          <w:rPr>
            <w:b w:val="0"/>
            <w:bCs/>
            <w:noProof/>
            <w:webHidden/>
          </w:rPr>
          <w:tab/>
        </w:r>
        <w:r w:rsidR="00F3168F">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_Toc86395717 \h </w:instrText>
        </w:r>
        <w:r w:rsidR="005C6E35" w:rsidRPr="00D93502">
          <w:rPr>
            <w:b w:val="0"/>
            <w:bCs/>
            <w:noProof/>
            <w:webHidden/>
          </w:rPr>
        </w:r>
        <w:r w:rsidR="005C6E35" w:rsidRPr="00D93502">
          <w:rPr>
            <w:b w:val="0"/>
            <w:bCs/>
            <w:noProof/>
            <w:webHidden/>
          </w:rPr>
          <w:fldChar w:fldCharType="separate"/>
        </w:r>
        <w:r w:rsidR="00E305D2">
          <w:rPr>
            <w:b w:val="0"/>
            <w:bCs/>
            <w:noProof/>
            <w:webHidden/>
          </w:rPr>
          <w:t>214</w:t>
        </w:r>
        <w:r w:rsidR="005C6E35" w:rsidRPr="00D93502">
          <w:rPr>
            <w:b w:val="0"/>
            <w:bCs/>
            <w:noProof/>
            <w:webHidden/>
          </w:rPr>
          <w:fldChar w:fldCharType="end"/>
        </w:r>
      </w:hyperlink>
    </w:p>
    <w:p w14:paraId="3CEC0DEF" w14:textId="23B3A5E8" w:rsidR="005C6E35" w:rsidRPr="00F3168F" w:rsidRDefault="00F71B18">
      <w:pPr>
        <w:pStyle w:val="TOC10"/>
        <w:rPr>
          <w:rFonts w:eastAsiaTheme="minorEastAsia" w:cstheme="minorBidi"/>
          <w:noProof/>
          <w:sz w:val="22"/>
          <w:szCs w:val="22"/>
          <w:lang w:val="en-US" w:eastAsia="zh-CN"/>
        </w:rPr>
      </w:pPr>
      <w:hyperlink w:anchor="_Toc86395718" w:history="1">
        <w:r w:rsidR="005C6E35" w:rsidRPr="00F3168F">
          <w:rPr>
            <w:rStyle w:val="Hyperlink"/>
            <w:noProof/>
            <w:lang w:eastAsia="zh-CN"/>
          </w:rPr>
          <w:t>7</w:t>
        </w:r>
        <w:r w:rsidR="005C6E35" w:rsidRPr="00F3168F">
          <w:rPr>
            <w:rFonts w:eastAsiaTheme="minorEastAsia" w:cstheme="minorBidi"/>
            <w:noProof/>
            <w:sz w:val="22"/>
            <w:szCs w:val="22"/>
            <w:lang w:val="en-US" w:eastAsia="zh-CN"/>
          </w:rPr>
          <w:tab/>
        </w:r>
        <w:r w:rsidR="005C6E35" w:rsidRPr="00F3168F">
          <w:rPr>
            <w:rStyle w:val="Hyperlink"/>
            <w:rFonts w:hint="eastAsia"/>
            <w:noProof/>
            <w:lang w:eastAsia="zh-CN"/>
          </w:rPr>
          <w:t>其它事宜</w:t>
        </w:r>
        <w:r w:rsidR="005C6E35" w:rsidRPr="00F3168F">
          <w:rPr>
            <w:noProof/>
            <w:webHidden/>
          </w:rPr>
          <w:tab/>
        </w:r>
        <w:r w:rsidR="00F3168F" w:rsidRPr="00F3168F">
          <w:rPr>
            <w:noProof/>
            <w:webHidden/>
          </w:rPr>
          <w:tab/>
        </w:r>
        <w:r w:rsidR="005C6E35" w:rsidRPr="00F3168F">
          <w:rPr>
            <w:noProof/>
            <w:webHidden/>
          </w:rPr>
          <w:fldChar w:fldCharType="begin"/>
        </w:r>
        <w:r w:rsidR="005C6E35" w:rsidRPr="00F3168F">
          <w:rPr>
            <w:noProof/>
            <w:webHidden/>
          </w:rPr>
          <w:instrText xml:space="preserve"> PAGEREF _Toc86395718 \h </w:instrText>
        </w:r>
        <w:r w:rsidR="005C6E35" w:rsidRPr="00F3168F">
          <w:rPr>
            <w:noProof/>
            <w:webHidden/>
          </w:rPr>
        </w:r>
        <w:r w:rsidR="005C6E35" w:rsidRPr="00F3168F">
          <w:rPr>
            <w:noProof/>
            <w:webHidden/>
          </w:rPr>
          <w:fldChar w:fldCharType="separate"/>
        </w:r>
        <w:r w:rsidR="00E305D2">
          <w:rPr>
            <w:noProof/>
            <w:webHidden/>
          </w:rPr>
          <w:t>215</w:t>
        </w:r>
        <w:r w:rsidR="005C6E35" w:rsidRPr="00F3168F">
          <w:rPr>
            <w:noProof/>
            <w:webHidden/>
          </w:rPr>
          <w:fldChar w:fldCharType="end"/>
        </w:r>
      </w:hyperlink>
    </w:p>
    <w:p w14:paraId="46DF53C7" w14:textId="4B8AE52A" w:rsidR="005C6E35" w:rsidRPr="00D93502" w:rsidRDefault="00F71B18">
      <w:pPr>
        <w:pStyle w:val="TOC10"/>
        <w:rPr>
          <w:rFonts w:eastAsiaTheme="minorEastAsia" w:cstheme="minorBidi"/>
          <w:b w:val="0"/>
          <w:bCs/>
          <w:noProof/>
          <w:sz w:val="22"/>
          <w:szCs w:val="22"/>
          <w:lang w:val="en-US" w:eastAsia="zh-CN"/>
        </w:rPr>
      </w:pPr>
      <w:hyperlink w:anchor="_Toc86395719" w:history="1">
        <w:r w:rsidR="005C6E35" w:rsidRPr="00F3168F">
          <w:rPr>
            <w:rStyle w:val="Hyperlink"/>
            <w:noProof/>
            <w:lang w:eastAsia="zh-CN"/>
          </w:rPr>
          <w:t>7.1</w:t>
        </w:r>
        <w:r w:rsidR="005C6E35" w:rsidRPr="00F3168F">
          <w:rPr>
            <w:rFonts w:eastAsiaTheme="minorEastAsia" w:cstheme="minorBidi"/>
            <w:noProof/>
            <w:sz w:val="22"/>
            <w:szCs w:val="22"/>
            <w:lang w:val="en-US" w:eastAsia="zh-CN"/>
          </w:rPr>
          <w:tab/>
        </w:r>
        <w:r w:rsidR="005C6E35" w:rsidRPr="00F3168F">
          <w:rPr>
            <w:rStyle w:val="Hyperlink"/>
            <w:rFonts w:hint="eastAsia"/>
            <w:noProof/>
            <w:lang w:eastAsia="zh-CN"/>
          </w:rPr>
          <w:t>建筑物、房屋、设备</w:t>
        </w:r>
        <w:r w:rsidR="005C6E35" w:rsidRPr="00F3168F">
          <w:rPr>
            <w:noProof/>
            <w:webHidden/>
          </w:rPr>
          <w:tab/>
        </w:r>
        <w:r w:rsidR="00F3168F" w:rsidRPr="00F3168F">
          <w:rPr>
            <w:noProof/>
            <w:webHidden/>
          </w:rPr>
          <w:tab/>
        </w:r>
        <w:r w:rsidR="005C6E35" w:rsidRPr="00F3168F">
          <w:rPr>
            <w:noProof/>
            <w:webHidden/>
          </w:rPr>
          <w:fldChar w:fldCharType="begin"/>
        </w:r>
        <w:r w:rsidR="005C6E35" w:rsidRPr="00F3168F">
          <w:rPr>
            <w:noProof/>
            <w:webHidden/>
          </w:rPr>
          <w:instrText xml:space="preserve"> PAGEREF _Toc86395719 \h </w:instrText>
        </w:r>
        <w:r w:rsidR="005C6E35" w:rsidRPr="00F3168F">
          <w:rPr>
            <w:noProof/>
            <w:webHidden/>
          </w:rPr>
        </w:r>
        <w:r w:rsidR="005C6E35" w:rsidRPr="00F3168F">
          <w:rPr>
            <w:noProof/>
            <w:webHidden/>
          </w:rPr>
          <w:fldChar w:fldCharType="separate"/>
        </w:r>
        <w:r w:rsidR="00E305D2">
          <w:rPr>
            <w:noProof/>
            <w:webHidden/>
          </w:rPr>
          <w:t>215</w:t>
        </w:r>
        <w:r w:rsidR="005C6E35" w:rsidRPr="00F3168F">
          <w:rPr>
            <w:noProof/>
            <w:webHidden/>
          </w:rPr>
          <w:fldChar w:fldCharType="end"/>
        </w:r>
      </w:hyperlink>
    </w:p>
    <w:p w14:paraId="43549E88" w14:textId="7FB5C256" w:rsidR="005C6E35" w:rsidRPr="00D93502" w:rsidRDefault="00F71B18">
      <w:pPr>
        <w:pStyle w:val="TOC10"/>
        <w:rPr>
          <w:rFonts w:eastAsiaTheme="minorEastAsia" w:cstheme="minorBidi"/>
          <w:b w:val="0"/>
          <w:bCs/>
          <w:noProof/>
          <w:sz w:val="22"/>
          <w:szCs w:val="22"/>
          <w:lang w:val="en-US" w:eastAsia="zh-CN"/>
        </w:rPr>
      </w:pPr>
      <w:hyperlink w:anchor="_Toc86395720" w:history="1">
        <w:r w:rsidR="005C6E35" w:rsidRPr="00D93502">
          <w:rPr>
            <w:rStyle w:val="Hyperlink"/>
            <w:rFonts w:hint="eastAsia"/>
            <w:b w:val="0"/>
            <w:bCs/>
            <w:noProof/>
          </w:rPr>
          <w:t>第</w:t>
        </w:r>
        <w:r w:rsidR="005C6E35" w:rsidRPr="00D93502">
          <w:rPr>
            <w:rStyle w:val="Hyperlink"/>
            <w:b w:val="0"/>
            <w:bCs/>
            <w:noProof/>
          </w:rPr>
          <w:t>588</w:t>
        </w:r>
        <w:r w:rsidR="005C6E35" w:rsidRPr="00D93502">
          <w:rPr>
            <w:rStyle w:val="Hyperlink"/>
            <w:rFonts w:hint="eastAsia"/>
            <w:b w:val="0"/>
            <w:bCs/>
            <w:noProof/>
          </w:rPr>
          <w:t>号决定</w:t>
        </w:r>
      </w:hyperlink>
      <w:r w:rsidR="00F3168F">
        <w:rPr>
          <w:rFonts w:eastAsiaTheme="minorEastAsia" w:cstheme="minorBidi"/>
          <w:b w:val="0"/>
          <w:bCs/>
          <w:noProof/>
          <w:sz w:val="22"/>
          <w:szCs w:val="22"/>
          <w:lang w:val="en-US" w:eastAsia="zh-CN"/>
        </w:rPr>
        <w:tab/>
      </w:r>
      <w:hyperlink w:anchor="_Toc86395721" w:history="1">
        <w:r w:rsidR="005C6E35" w:rsidRPr="00D93502">
          <w:rPr>
            <w:rStyle w:val="Hyperlink"/>
            <w:rFonts w:hint="eastAsia"/>
            <w:b w:val="0"/>
            <w:bCs/>
            <w:noProof/>
          </w:rPr>
          <w:t>总部办公场所</w:t>
        </w:r>
        <w:r w:rsidR="005C6E35" w:rsidRPr="00D93502">
          <w:rPr>
            <w:b w:val="0"/>
            <w:bCs/>
            <w:noProof/>
            <w:webHidden/>
          </w:rPr>
          <w:tab/>
        </w:r>
        <w:r w:rsidR="00F3168F">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_Toc86395721 \h </w:instrText>
        </w:r>
        <w:r w:rsidR="005C6E35" w:rsidRPr="00D93502">
          <w:rPr>
            <w:b w:val="0"/>
            <w:bCs/>
            <w:noProof/>
            <w:webHidden/>
          </w:rPr>
        </w:r>
        <w:r w:rsidR="005C6E35" w:rsidRPr="00D93502">
          <w:rPr>
            <w:b w:val="0"/>
            <w:bCs/>
            <w:noProof/>
            <w:webHidden/>
          </w:rPr>
          <w:fldChar w:fldCharType="separate"/>
        </w:r>
        <w:r w:rsidR="00E305D2">
          <w:rPr>
            <w:b w:val="0"/>
            <w:bCs/>
            <w:noProof/>
            <w:webHidden/>
          </w:rPr>
          <w:t>215</w:t>
        </w:r>
        <w:r w:rsidR="005C6E35" w:rsidRPr="00D93502">
          <w:rPr>
            <w:b w:val="0"/>
            <w:bCs/>
            <w:noProof/>
            <w:webHidden/>
          </w:rPr>
          <w:fldChar w:fldCharType="end"/>
        </w:r>
      </w:hyperlink>
    </w:p>
    <w:p w14:paraId="1ADBC3BA" w14:textId="7D4985A0" w:rsidR="005C6E35" w:rsidRPr="00D93502" w:rsidRDefault="00F71B18">
      <w:pPr>
        <w:pStyle w:val="TOC10"/>
        <w:rPr>
          <w:rFonts w:eastAsiaTheme="minorEastAsia" w:cstheme="minorBidi"/>
          <w:b w:val="0"/>
          <w:bCs/>
          <w:noProof/>
          <w:sz w:val="22"/>
          <w:szCs w:val="22"/>
          <w:lang w:val="en-US" w:eastAsia="zh-CN"/>
        </w:rPr>
      </w:pPr>
      <w:hyperlink w:anchor="_Toc86395722" w:history="1">
        <w:r w:rsidR="005C6E35" w:rsidRPr="00D93502">
          <w:rPr>
            <w:rStyle w:val="Hyperlink"/>
            <w:rFonts w:hint="eastAsia"/>
            <w:b w:val="0"/>
            <w:bCs/>
            <w:noProof/>
          </w:rPr>
          <w:t>第</w:t>
        </w:r>
        <w:r w:rsidR="005C6E35" w:rsidRPr="00D93502">
          <w:rPr>
            <w:rStyle w:val="Hyperlink"/>
            <w:b w:val="0"/>
            <w:bCs/>
            <w:noProof/>
          </w:rPr>
          <w:t>619</w:t>
        </w:r>
        <w:r w:rsidR="005C6E35" w:rsidRPr="00D93502">
          <w:rPr>
            <w:rStyle w:val="Hyperlink"/>
            <w:rFonts w:hint="eastAsia"/>
            <w:b w:val="0"/>
            <w:bCs/>
            <w:noProof/>
          </w:rPr>
          <w:t>号决定</w:t>
        </w:r>
      </w:hyperlink>
      <w:r w:rsidR="00F3168F">
        <w:rPr>
          <w:rFonts w:eastAsiaTheme="minorEastAsia" w:cstheme="minorBidi"/>
          <w:b w:val="0"/>
          <w:bCs/>
          <w:noProof/>
          <w:sz w:val="22"/>
          <w:szCs w:val="22"/>
          <w:lang w:val="en-US" w:eastAsia="zh-CN"/>
        </w:rPr>
        <w:tab/>
      </w:r>
      <w:hyperlink w:anchor="_Toc86395723" w:history="1">
        <w:r w:rsidR="005C6E35" w:rsidRPr="00D93502">
          <w:rPr>
            <w:rStyle w:val="Hyperlink"/>
            <w:rFonts w:hint="eastAsia"/>
            <w:b w:val="0"/>
            <w:bCs/>
            <w:noProof/>
          </w:rPr>
          <w:t>总部办公场所</w:t>
        </w:r>
        <w:r w:rsidR="005C6E35" w:rsidRPr="00D93502">
          <w:rPr>
            <w:b w:val="0"/>
            <w:bCs/>
            <w:noProof/>
            <w:webHidden/>
          </w:rPr>
          <w:tab/>
        </w:r>
        <w:r w:rsidR="00F3168F">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_Toc86395723 \h </w:instrText>
        </w:r>
        <w:r w:rsidR="005C6E35" w:rsidRPr="00D93502">
          <w:rPr>
            <w:b w:val="0"/>
            <w:bCs/>
            <w:noProof/>
            <w:webHidden/>
          </w:rPr>
        </w:r>
        <w:r w:rsidR="005C6E35" w:rsidRPr="00D93502">
          <w:rPr>
            <w:b w:val="0"/>
            <w:bCs/>
            <w:noProof/>
            <w:webHidden/>
          </w:rPr>
          <w:fldChar w:fldCharType="separate"/>
        </w:r>
        <w:r w:rsidR="00E305D2">
          <w:rPr>
            <w:b w:val="0"/>
            <w:bCs/>
            <w:noProof/>
            <w:webHidden/>
          </w:rPr>
          <w:t>217</w:t>
        </w:r>
        <w:r w:rsidR="005C6E35" w:rsidRPr="00D93502">
          <w:rPr>
            <w:b w:val="0"/>
            <w:bCs/>
            <w:noProof/>
            <w:webHidden/>
          </w:rPr>
          <w:fldChar w:fldCharType="end"/>
        </w:r>
      </w:hyperlink>
    </w:p>
    <w:p w14:paraId="7BF0756F" w14:textId="55946701" w:rsidR="005C6E35" w:rsidRPr="00F3168F" w:rsidRDefault="00F71B18">
      <w:pPr>
        <w:pStyle w:val="TOC10"/>
        <w:rPr>
          <w:rFonts w:eastAsiaTheme="minorEastAsia" w:cstheme="minorBidi"/>
          <w:noProof/>
          <w:sz w:val="22"/>
          <w:szCs w:val="22"/>
          <w:lang w:val="en-US" w:eastAsia="zh-CN"/>
        </w:rPr>
      </w:pPr>
      <w:hyperlink w:anchor="_Toc86395724" w:history="1">
        <w:r w:rsidR="005C6E35" w:rsidRPr="00F3168F">
          <w:rPr>
            <w:rStyle w:val="Hyperlink"/>
            <w:noProof/>
            <w:lang w:eastAsia="zh-CN"/>
          </w:rPr>
          <w:t>7.2</w:t>
        </w:r>
        <w:r w:rsidR="005C6E35" w:rsidRPr="00F3168F">
          <w:rPr>
            <w:rFonts w:eastAsiaTheme="minorEastAsia" w:cstheme="minorBidi"/>
            <w:noProof/>
            <w:sz w:val="22"/>
            <w:szCs w:val="22"/>
            <w:lang w:val="en-US" w:eastAsia="zh-CN"/>
          </w:rPr>
          <w:tab/>
        </w:r>
        <w:r w:rsidR="005C6E35" w:rsidRPr="00F3168F">
          <w:rPr>
            <w:rStyle w:val="Hyperlink"/>
            <w:rFonts w:hint="eastAsia"/>
            <w:noProof/>
            <w:lang w:eastAsia="zh-CN"/>
          </w:rPr>
          <w:t>其它杂项事宜</w:t>
        </w:r>
        <w:r w:rsidR="005C6E35" w:rsidRPr="00F3168F">
          <w:rPr>
            <w:noProof/>
            <w:webHidden/>
          </w:rPr>
          <w:tab/>
        </w:r>
        <w:r w:rsidR="00F3168F" w:rsidRPr="00F3168F">
          <w:rPr>
            <w:noProof/>
            <w:webHidden/>
          </w:rPr>
          <w:tab/>
        </w:r>
        <w:r w:rsidR="005C6E35" w:rsidRPr="00F3168F">
          <w:rPr>
            <w:noProof/>
            <w:webHidden/>
          </w:rPr>
          <w:fldChar w:fldCharType="begin"/>
        </w:r>
        <w:r w:rsidR="005C6E35" w:rsidRPr="00F3168F">
          <w:rPr>
            <w:noProof/>
            <w:webHidden/>
          </w:rPr>
          <w:instrText xml:space="preserve"> PAGEREF _Toc86395724 \h </w:instrText>
        </w:r>
        <w:r w:rsidR="005C6E35" w:rsidRPr="00F3168F">
          <w:rPr>
            <w:noProof/>
            <w:webHidden/>
          </w:rPr>
        </w:r>
        <w:r w:rsidR="005C6E35" w:rsidRPr="00F3168F">
          <w:rPr>
            <w:noProof/>
            <w:webHidden/>
          </w:rPr>
          <w:fldChar w:fldCharType="separate"/>
        </w:r>
        <w:r w:rsidR="00E305D2">
          <w:rPr>
            <w:noProof/>
            <w:webHidden/>
          </w:rPr>
          <w:t>220</w:t>
        </w:r>
        <w:r w:rsidR="005C6E35" w:rsidRPr="00F3168F">
          <w:rPr>
            <w:noProof/>
            <w:webHidden/>
          </w:rPr>
          <w:fldChar w:fldCharType="end"/>
        </w:r>
      </w:hyperlink>
    </w:p>
    <w:p w14:paraId="78A58BD3" w14:textId="771B5E89" w:rsidR="005C6E35" w:rsidRPr="00D93502" w:rsidRDefault="00F71B18">
      <w:pPr>
        <w:pStyle w:val="TOC10"/>
        <w:rPr>
          <w:rFonts w:eastAsiaTheme="minorEastAsia" w:cstheme="minorBidi"/>
          <w:b w:val="0"/>
          <w:bCs/>
          <w:noProof/>
          <w:sz w:val="22"/>
          <w:szCs w:val="22"/>
          <w:lang w:val="en-US" w:eastAsia="zh-CN"/>
        </w:rPr>
      </w:pPr>
      <w:hyperlink w:anchor="_Toc86395725" w:history="1">
        <w:r w:rsidR="005C6E35" w:rsidRPr="00D93502">
          <w:rPr>
            <w:rStyle w:val="Hyperlink"/>
            <w:rFonts w:hint="eastAsia"/>
            <w:b w:val="0"/>
            <w:bCs/>
            <w:noProof/>
            <w:lang w:eastAsia="zh-CN"/>
          </w:rPr>
          <w:t>第</w:t>
        </w:r>
        <w:r w:rsidR="005C6E35" w:rsidRPr="00D93502">
          <w:rPr>
            <w:rStyle w:val="Hyperlink"/>
            <w:b w:val="0"/>
            <w:bCs/>
            <w:noProof/>
            <w:lang w:eastAsia="zh-CN"/>
          </w:rPr>
          <w:t>1327</w:t>
        </w:r>
        <w:r w:rsidR="005C6E35" w:rsidRPr="00D93502">
          <w:rPr>
            <w:rStyle w:val="Hyperlink"/>
            <w:rFonts w:hint="eastAsia"/>
            <w:b w:val="0"/>
            <w:bCs/>
            <w:noProof/>
            <w:lang w:eastAsia="zh-CN"/>
          </w:rPr>
          <w:t>号决议</w:t>
        </w:r>
      </w:hyperlink>
      <w:r w:rsidR="00F3168F">
        <w:rPr>
          <w:rFonts w:eastAsiaTheme="minorEastAsia" w:cstheme="minorBidi"/>
          <w:b w:val="0"/>
          <w:bCs/>
          <w:noProof/>
          <w:sz w:val="22"/>
          <w:szCs w:val="22"/>
          <w:lang w:val="en-US" w:eastAsia="zh-CN"/>
        </w:rPr>
        <w:tab/>
      </w:r>
      <w:hyperlink w:anchor="_Toc86395726" w:history="1">
        <w:r w:rsidR="005C6E35" w:rsidRPr="00D93502">
          <w:rPr>
            <w:rStyle w:val="Hyperlink"/>
            <w:rFonts w:hint="eastAsia"/>
            <w:b w:val="0"/>
            <w:bCs/>
            <w:noProof/>
            <w:lang w:eastAsia="zh-CN"/>
          </w:rPr>
          <w:t>国际电联在信息通信技术和赋予妇女和年轻女性权力方面的作用</w:t>
        </w:r>
        <w:r w:rsidR="00F3168F">
          <w:rPr>
            <w:rStyle w:val="Hyperlink"/>
            <w:b w:val="0"/>
            <w:bCs/>
            <w:noProof/>
            <w:lang w:eastAsia="zh-CN"/>
          </w:rPr>
          <w:tab/>
        </w:r>
        <w:r w:rsidR="005C6E35" w:rsidRPr="00D93502">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_Toc86395726 \h </w:instrText>
        </w:r>
        <w:r w:rsidR="005C6E35" w:rsidRPr="00D93502">
          <w:rPr>
            <w:b w:val="0"/>
            <w:bCs/>
            <w:noProof/>
            <w:webHidden/>
          </w:rPr>
        </w:r>
        <w:r w:rsidR="005C6E35" w:rsidRPr="00D93502">
          <w:rPr>
            <w:b w:val="0"/>
            <w:bCs/>
            <w:noProof/>
            <w:webHidden/>
          </w:rPr>
          <w:fldChar w:fldCharType="separate"/>
        </w:r>
        <w:r w:rsidR="00E305D2">
          <w:rPr>
            <w:b w:val="0"/>
            <w:bCs/>
            <w:noProof/>
            <w:webHidden/>
          </w:rPr>
          <w:t>220</w:t>
        </w:r>
        <w:r w:rsidR="005C6E35" w:rsidRPr="00D93502">
          <w:rPr>
            <w:b w:val="0"/>
            <w:bCs/>
            <w:noProof/>
            <w:webHidden/>
          </w:rPr>
          <w:fldChar w:fldCharType="end"/>
        </w:r>
      </w:hyperlink>
    </w:p>
    <w:p w14:paraId="3DD26A84" w14:textId="4830BF1A" w:rsidR="005C6E35" w:rsidRPr="00D93502" w:rsidRDefault="00F71B18">
      <w:pPr>
        <w:pStyle w:val="TOC10"/>
        <w:rPr>
          <w:rFonts w:eastAsiaTheme="minorEastAsia" w:cstheme="minorBidi"/>
          <w:b w:val="0"/>
          <w:bCs/>
          <w:noProof/>
          <w:sz w:val="22"/>
          <w:szCs w:val="22"/>
          <w:lang w:val="en-US" w:eastAsia="zh-CN"/>
        </w:rPr>
      </w:pPr>
      <w:hyperlink w:anchor="_Toc86395727" w:history="1">
        <w:r w:rsidR="005C6E35" w:rsidRPr="00D93502">
          <w:rPr>
            <w:rStyle w:val="Hyperlink"/>
            <w:rFonts w:hint="eastAsia"/>
            <w:b w:val="0"/>
            <w:bCs/>
            <w:noProof/>
            <w:lang w:eastAsia="zh-CN"/>
          </w:rPr>
          <w:t>第</w:t>
        </w:r>
        <w:r w:rsidR="005C6E35" w:rsidRPr="00D93502">
          <w:rPr>
            <w:rStyle w:val="Hyperlink"/>
            <w:b w:val="0"/>
            <w:bCs/>
            <w:noProof/>
            <w:lang w:eastAsia="zh-CN"/>
          </w:rPr>
          <w:t>1374</w:t>
        </w:r>
        <w:r w:rsidR="005C6E35" w:rsidRPr="00D93502">
          <w:rPr>
            <w:rStyle w:val="Hyperlink"/>
            <w:rFonts w:hint="eastAsia"/>
            <w:b w:val="0"/>
            <w:bCs/>
            <w:noProof/>
            <w:lang w:eastAsia="zh-CN"/>
          </w:rPr>
          <w:t>号决议</w:t>
        </w:r>
      </w:hyperlink>
      <w:r w:rsidR="00F3168F">
        <w:rPr>
          <w:rFonts w:eastAsiaTheme="minorEastAsia" w:cstheme="minorBidi"/>
          <w:b w:val="0"/>
          <w:bCs/>
          <w:noProof/>
          <w:sz w:val="22"/>
          <w:szCs w:val="22"/>
          <w:lang w:val="en-US" w:eastAsia="zh-CN"/>
        </w:rPr>
        <w:tab/>
      </w:r>
      <w:hyperlink w:anchor="_Toc86395728" w:history="1">
        <w:r w:rsidR="005C6E35" w:rsidRPr="00D93502">
          <w:rPr>
            <w:rStyle w:val="Hyperlink"/>
            <w:rFonts w:hint="eastAsia"/>
            <w:b w:val="0"/>
            <w:bCs/>
            <w:noProof/>
            <w:lang w:eastAsia="zh-CN"/>
          </w:rPr>
          <w:t>加快通过电信</w:t>
        </w:r>
        <w:r w:rsidR="005C6E35" w:rsidRPr="00D93502">
          <w:rPr>
            <w:rStyle w:val="Hyperlink"/>
            <w:b w:val="0"/>
            <w:bCs/>
            <w:noProof/>
            <w:lang w:eastAsia="zh-CN"/>
          </w:rPr>
          <w:t>/</w:t>
        </w:r>
        <w:r w:rsidR="005C6E35" w:rsidRPr="00D93502">
          <w:rPr>
            <w:rStyle w:val="Hyperlink"/>
            <w:rFonts w:hint="eastAsia"/>
            <w:b w:val="0"/>
            <w:bCs/>
            <w:noProof/>
            <w:lang w:eastAsia="zh-CN"/>
          </w:rPr>
          <w:t>信息通信技术（</w:t>
        </w:r>
        <w:r w:rsidR="005C6E35" w:rsidRPr="00D93502">
          <w:rPr>
            <w:rStyle w:val="Hyperlink"/>
            <w:b w:val="0"/>
            <w:bCs/>
            <w:noProof/>
            <w:lang w:eastAsia="zh-CN"/>
          </w:rPr>
          <w:t>ICT</w:t>
        </w:r>
        <w:r w:rsidR="005C6E35" w:rsidRPr="00D93502">
          <w:rPr>
            <w:rStyle w:val="Hyperlink"/>
            <w:rFonts w:hint="eastAsia"/>
            <w:b w:val="0"/>
            <w:bCs/>
            <w:noProof/>
            <w:lang w:eastAsia="zh-CN"/>
          </w:rPr>
          <w:t>）增强青年的权能</w:t>
        </w:r>
        <w:r w:rsidR="005C6E35" w:rsidRPr="00D93502">
          <w:rPr>
            <w:b w:val="0"/>
            <w:bCs/>
            <w:noProof/>
            <w:webHidden/>
          </w:rPr>
          <w:tab/>
        </w:r>
        <w:r w:rsidR="00F3168F">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_Toc86395728 \h </w:instrText>
        </w:r>
        <w:r w:rsidR="005C6E35" w:rsidRPr="00D93502">
          <w:rPr>
            <w:b w:val="0"/>
            <w:bCs/>
            <w:noProof/>
            <w:webHidden/>
          </w:rPr>
        </w:r>
        <w:r w:rsidR="005C6E35" w:rsidRPr="00D93502">
          <w:rPr>
            <w:b w:val="0"/>
            <w:bCs/>
            <w:noProof/>
            <w:webHidden/>
          </w:rPr>
          <w:fldChar w:fldCharType="separate"/>
        </w:r>
        <w:r w:rsidR="00E305D2">
          <w:rPr>
            <w:b w:val="0"/>
            <w:bCs/>
            <w:noProof/>
            <w:webHidden/>
          </w:rPr>
          <w:t>222</w:t>
        </w:r>
        <w:r w:rsidR="005C6E35" w:rsidRPr="00D93502">
          <w:rPr>
            <w:b w:val="0"/>
            <w:bCs/>
            <w:noProof/>
            <w:webHidden/>
          </w:rPr>
          <w:fldChar w:fldCharType="end"/>
        </w:r>
      </w:hyperlink>
    </w:p>
    <w:p w14:paraId="42D3D46B" w14:textId="197114F4" w:rsidR="005C6E35" w:rsidRPr="00D93502" w:rsidRDefault="00F71B18">
      <w:pPr>
        <w:pStyle w:val="TOC10"/>
        <w:rPr>
          <w:rFonts w:eastAsiaTheme="minorEastAsia" w:cstheme="minorBidi"/>
          <w:b w:val="0"/>
          <w:bCs/>
          <w:noProof/>
          <w:sz w:val="22"/>
          <w:szCs w:val="22"/>
          <w:lang w:val="en-US" w:eastAsia="zh-CN"/>
        </w:rPr>
      </w:pPr>
      <w:hyperlink w:anchor="_Toc86395729" w:history="1">
        <w:r w:rsidR="005C6E35" w:rsidRPr="00D93502">
          <w:rPr>
            <w:rStyle w:val="Hyperlink"/>
            <w:rFonts w:hint="eastAsia"/>
            <w:b w:val="0"/>
            <w:bCs/>
            <w:noProof/>
            <w:lang w:eastAsia="zh-CN"/>
          </w:rPr>
          <w:t>第</w:t>
        </w:r>
        <w:r w:rsidR="005C6E35" w:rsidRPr="00D93502">
          <w:rPr>
            <w:rStyle w:val="Hyperlink"/>
            <w:b w:val="0"/>
            <w:bCs/>
            <w:noProof/>
            <w:lang w:val="fr-CH" w:eastAsia="zh-CN"/>
          </w:rPr>
          <w:t>1379</w:t>
        </w:r>
        <w:r w:rsidR="005C6E35" w:rsidRPr="00D93502">
          <w:rPr>
            <w:rStyle w:val="Hyperlink"/>
            <w:rFonts w:hint="eastAsia"/>
            <w:b w:val="0"/>
            <w:bCs/>
            <w:noProof/>
            <w:lang w:eastAsia="zh-CN"/>
          </w:rPr>
          <w:t>号决议</w:t>
        </w:r>
      </w:hyperlink>
      <w:r w:rsidR="00F3168F">
        <w:rPr>
          <w:rFonts w:eastAsiaTheme="minorEastAsia" w:cstheme="minorBidi"/>
          <w:b w:val="0"/>
          <w:bCs/>
          <w:noProof/>
          <w:sz w:val="22"/>
          <w:szCs w:val="22"/>
          <w:lang w:val="en-US" w:eastAsia="zh-CN"/>
        </w:rPr>
        <w:tab/>
      </w:r>
      <w:hyperlink w:anchor="_Toc86395730" w:history="1">
        <w:r w:rsidR="005C6E35" w:rsidRPr="00D93502">
          <w:rPr>
            <w:rStyle w:val="Hyperlink"/>
            <w:rFonts w:hint="eastAsia"/>
            <w:b w:val="0"/>
            <w:bCs/>
            <w:noProof/>
            <w:lang w:eastAsia="zh-CN"/>
          </w:rPr>
          <w:t>《国际电信规则》专家组（</w:t>
        </w:r>
        <w:r w:rsidR="005C6E35" w:rsidRPr="00D93502">
          <w:rPr>
            <w:rStyle w:val="Hyperlink"/>
            <w:b w:val="0"/>
            <w:bCs/>
            <w:noProof/>
            <w:lang w:eastAsia="zh-CN"/>
          </w:rPr>
          <w:t>EG-ITRs</w:t>
        </w:r>
        <w:r w:rsidR="005C6E35" w:rsidRPr="00D93502">
          <w:rPr>
            <w:rStyle w:val="Hyperlink"/>
            <w:rFonts w:hint="eastAsia"/>
            <w:b w:val="0"/>
            <w:bCs/>
            <w:noProof/>
            <w:lang w:eastAsia="zh-CN"/>
          </w:rPr>
          <w:t>）</w:t>
        </w:r>
        <w:r w:rsidR="005C6E35" w:rsidRPr="00D93502">
          <w:rPr>
            <w:b w:val="0"/>
            <w:bCs/>
            <w:noProof/>
            <w:webHidden/>
          </w:rPr>
          <w:tab/>
        </w:r>
        <w:r w:rsidR="00F3168F">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_Toc86395730 \h </w:instrText>
        </w:r>
        <w:r w:rsidR="005C6E35" w:rsidRPr="00D93502">
          <w:rPr>
            <w:b w:val="0"/>
            <w:bCs/>
            <w:noProof/>
            <w:webHidden/>
          </w:rPr>
        </w:r>
        <w:r w:rsidR="005C6E35" w:rsidRPr="00D93502">
          <w:rPr>
            <w:b w:val="0"/>
            <w:bCs/>
            <w:noProof/>
            <w:webHidden/>
          </w:rPr>
          <w:fldChar w:fldCharType="separate"/>
        </w:r>
        <w:r w:rsidR="00E305D2">
          <w:rPr>
            <w:b w:val="0"/>
            <w:bCs/>
            <w:noProof/>
            <w:webHidden/>
          </w:rPr>
          <w:t>226</w:t>
        </w:r>
        <w:r w:rsidR="005C6E35" w:rsidRPr="00D93502">
          <w:rPr>
            <w:b w:val="0"/>
            <w:bCs/>
            <w:noProof/>
            <w:webHidden/>
          </w:rPr>
          <w:fldChar w:fldCharType="end"/>
        </w:r>
      </w:hyperlink>
    </w:p>
    <w:p w14:paraId="44E832B9" w14:textId="2D737A62" w:rsidR="005C6E35" w:rsidRPr="00D93502" w:rsidRDefault="00F71B18">
      <w:pPr>
        <w:pStyle w:val="TOC10"/>
        <w:rPr>
          <w:rFonts w:eastAsiaTheme="minorEastAsia" w:cstheme="minorBidi"/>
          <w:b w:val="0"/>
          <w:bCs/>
          <w:noProof/>
          <w:sz w:val="22"/>
          <w:szCs w:val="22"/>
          <w:lang w:val="en-US" w:eastAsia="zh-CN"/>
        </w:rPr>
      </w:pPr>
      <w:hyperlink w:anchor="_Toc86395731" w:history="1">
        <w:r w:rsidR="005C6E35" w:rsidRPr="00D93502">
          <w:rPr>
            <w:rStyle w:val="Hyperlink"/>
            <w:rFonts w:hint="eastAsia"/>
            <w:b w:val="0"/>
            <w:bCs/>
            <w:noProof/>
            <w:lang w:eastAsia="zh-CN"/>
          </w:rPr>
          <w:t>第</w:t>
        </w:r>
        <w:r w:rsidR="005C6E35" w:rsidRPr="00D93502">
          <w:rPr>
            <w:rStyle w:val="Hyperlink"/>
            <w:b w:val="0"/>
            <w:bCs/>
            <w:noProof/>
            <w:lang w:eastAsia="zh-CN"/>
          </w:rPr>
          <w:t>1386</w:t>
        </w:r>
        <w:r w:rsidR="005C6E35" w:rsidRPr="00D93502">
          <w:rPr>
            <w:rStyle w:val="Hyperlink"/>
            <w:rFonts w:hint="eastAsia"/>
            <w:b w:val="0"/>
            <w:bCs/>
            <w:noProof/>
            <w:lang w:eastAsia="zh-CN"/>
          </w:rPr>
          <w:t>号决议</w:t>
        </w:r>
      </w:hyperlink>
      <w:r w:rsidR="00F3168F">
        <w:rPr>
          <w:rFonts w:eastAsiaTheme="minorEastAsia" w:cstheme="minorBidi"/>
          <w:b w:val="0"/>
          <w:bCs/>
          <w:noProof/>
          <w:sz w:val="22"/>
          <w:szCs w:val="22"/>
          <w:lang w:val="en-US" w:eastAsia="zh-CN"/>
        </w:rPr>
        <w:tab/>
      </w:r>
      <w:hyperlink w:anchor="_Toc86395732" w:history="1">
        <w:r w:rsidR="005C6E35" w:rsidRPr="00D93502">
          <w:rPr>
            <w:rStyle w:val="Hyperlink"/>
            <w:rFonts w:hint="eastAsia"/>
            <w:b w:val="0"/>
            <w:bCs/>
            <w:noProof/>
            <w:lang w:val="en-US" w:eastAsia="zh-CN"/>
          </w:rPr>
          <w:t>国际电联术语协调委员会（</w:t>
        </w:r>
        <w:r w:rsidR="005C6E35" w:rsidRPr="00D93502">
          <w:rPr>
            <w:rStyle w:val="Hyperlink"/>
            <w:b w:val="0"/>
            <w:bCs/>
            <w:noProof/>
            <w:lang w:val="en-US" w:eastAsia="zh-CN"/>
          </w:rPr>
          <w:t>ITU CCT</w:t>
        </w:r>
        <w:r w:rsidR="005C6E35" w:rsidRPr="00D93502">
          <w:rPr>
            <w:rStyle w:val="Hyperlink"/>
            <w:rFonts w:hint="eastAsia"/>
            <w:b w:val="0"/>
            <w:bCs/>
            <w:noProof/>
            <w:lang w:val="en-US" w:eastAsia="zh-CN"/>
          </w:rPr>
          <w:t>）</w:t>
        </w:r>
        <w:r w:rsidR="005C6E35" w:rsidRPr="00D93502">
          <w:rPr>
            <w:b w:val="0"/>
            <w:bCs/>
            <w:noProof/>
            <w:webHidden/>
          </w:rPr>
          <w:tab/>
        </w:r>
        <w:r w:rsidR="00F3168F">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_Toc86395732 \h </w:instrText>
        </w:r>
        <w:r w:rsidR="005C6E35" w:rsidRPr="00D93502">
          <w:rPr>
            <w:b w:val="0"/>
            <w:bCs/>
            <w:noProof/>
            <w:webHidden/>
          </w:rPr>
        </w:r>
        <w:r w:rsidR="005C6E35" w:rsidRPr="00D93502">
          <w:rPr>
            <w:b w:val="0"/>
            <w:bCs/>
            <w:noProof/>
            <w:webHidden/>
          </w:rPr>
          <w:fldChar w:fldCharType="separate"/>
        </w:r>
        <w:r w:rsidR="00E305D2">
          <w:rPr>
            <w:b w:val="0"/>
            <w:bCs/>
            <w:noProof/>
            <w:webHidden/>
          </w:rPr>
          <w:t>228</w:t>
        </w:r>
        <w:r w:rsidR="005C6E35" w:rsidRPr="00D93502">
          <w:rPr>
            <w:b w:val="0"/>
            <w:bCs/>
            <w:noProof/>
            <w:webHidden/>
          </w:rPr>
          <w:fldChar w:fldCharType="end"/>
        </w:r>
      </w:hyperlink>
    </w:p>
    <w:p w14:paraId="524A98E1" w14:textId="7E45F158" w:rsidR="005C6E35" w:rsidRPr="00D93502" w:rsidRDefault="00F71B18">
      <w:pPr>
        <w:pStyle w:val="TOC10"/>
        <w:rPr>
          <w:rFonts w:eastAsiaTheme="minorEastAsia" w:cstheme="minorBidi"/>
          <w:b w:val="0"/>
          <w:bCs/>
          <w:noProof/>
          <w:sz w:val="22"/>
          <w:szCs w:val="22"/>
          <w:lang w:val="en-US" w:eastAsia="zh-CN"/>
        </w:rPr>
      </w:pPr>
      <w:hyperlink w:anchor="_Toc86395733" w:history="1">
        <w:r w:rsidR="005C6E35" w:rsidRPr="00D93502">
          <w:rPr>
            <w:rStyle w:val="Hyperlink"/>
            <w:rFonts w:hint="eastAsia"/>
            <w:b w:val="0"/>
            <w:bCs/>
            <w:noProof/>
          </w:rPr>
          <w:t>第</w:t>
        </w:r>
        <w:r w:rsidR="005C6E35" w:rsidRPr="00D93502">
          <w:rPr>
            <w:rStyle w:val="Hyperlink"/>
            <w:b w:val="0"/>
            <w:bCs/>
            <w:noProof/>
          </w:rPr>
          <w:t>500</w:t>
        </w:r>
        <w:r w:rsidR="005C6E35" w:rsidRPr="00D93502">
          <w:rPr>
            <w:rStyle w:val="Hyperlink"/>
            <w:rFonts w:hint="eastAsia"/>
            <w:b w:val="0"/>
            <w:bCs/>
            <w:noProof/>
          </w:rPr>
          <w:t>号决定</w:t>
        </w:r>
      </w:hyperlink>
      <w:r w:rsidR="00F3168F">
        <w:rPr>
          <w:rFonts w:eastAsiaTheme="minorEastAsia" w:cstheme="minorBidi"/>
          <w:b w:val="0"/>
          <w:bCs/>
          <w:noProof/>
          <w:sz w:val="22"/>
          <w:szCs w:val="22"/>
          <w:lang w:val="en-US" w:eastAsia="zh-CN"/>
        </w:rPr>
        <w:tab/>
      </w:r>
      <w:hyperlink w:anchor="_Toc86395734" w:history="1">
        <w:r w:rsidR="005C6E35" w:rsidRPr="00D93502">
          <w:rPr>
            <w:rStyle w:val="Hyperlink"/>
            <w:rFonts w:hint="eastAsia"/>
            <w:b w:val="0"/>
            <w:bCs/>
            <w:noProof/>
          </w:rPr>
          <w:t>“主席”（</w:t>
        </w:r>
        <w:r w:rsidR="005C6E35" w:rsidRPr="00D93502">
          <w:rPr>
            <w:rStyle w:val="Hyperlink"/>
            <w:b w:val="0"/>
            <w:bCs/>
            <w:noProof/>
          </w:rPr>
          <w:t>Chairman</w:t>
        </w:r>
        <w:r w:rsidR="005C6E35" w:rsidRPr="00D93502">
          <w:rPr>
            <w:rStyle w:val="Hyperlink"/>
            <w:rFonts w:hint="eastAsia"/>
            <w:b w:val="0"/>
            <w:bCs/>
            <w:noProof/>
          </w:rPr>
          <w:t>）一词的使用</w:t>
        </w:r>
        <w:r w:rsidR="005C6E35" w:rsidRPr="00D93502">
          <w:rPr>
            <w:b w:val="0"/>
            <w:bCs/>
            <w:noProof/>
            <w:webHidden/>
          </w:rPr>
          <w:tab/>
        </w:r>
        <w:r w:rsidR="00F3168F">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_Toc86395734 \h </w:instrText>
        </w:r>
        <w:r w:rsidR="005C6E35" w:rsidRPr="00D93502">
          <w:rPr>
            <w:b w:val="0"/>
            <w:bCs/>
            <w:noProof/>
            <w:webHidden/>
          </w:rPr>
        </w:r>
        <w:r w:rsidR="005C6E35" w:rsidRPr="00D93502">
          <w:rPr>
            <w:b w:val="0"/>
            <w:bCs/>
            <w:noProof/>
            <w:webHidden/>
          </w:rPr>
          <w:fldChar w:fldCharType="separate"/>
        </w:r>
        <w:r w:rsidR="00E305D2">
          <w:rPr>
            <w:b w:val="0"/>
            <w:bCs/>
            <w:noProof/>
            <w:webHidden/>
          </w:rPr>
          <w:t>231</w:t>
        </w:r>
        <w:r w:rsidR="005C6E35" w:rsidRPr="00D93502">
          <w:rPr>
            <w:b w:val="0"/>
            <w:bCs/>
            <w:noProof/>
            <w:webHidden/>
          </w:rPr>
          <w:fldChar w:fldCharType="end"/>
        </w:r>
      </w:hyperlink>
    </w:p>
    <w:p w14:paraId="7A4910D9" w14:textId="6D155829" w:rsidR="005C6E35" w:rsidRPr="00D93502" w:rsidRDefault="00F71B18">
      <w:pPr>
        <w:pStyle w:val="TOC10"/>
        <w:rPr>
          <w:rFonts w:eastAsiaTheme="minorEastAsia" w:cstheme="minorBidi"/>
          <w:b w:val="0"/>
          <w:bCs/>
          <w:noProof/>
          <w:sz w:val="22"/>
          <w:szCs w:val="22"/>
          <w:lang w:val="en-US" w:eastAsia="zh-CN"/>
        </w:rPr>
      </w:pPr>
      <w:hyperlink w:anchor="_Toc86395735" w:history="1">
        <w:r w:rsidR="005C6E35" w:rsidRPr="00D93502">
          <w:rPr>
            <w:rStyle w:val="Hyperlink"/>
            <w:rFonts w:hint="eastAsia"/>
            <w:b w:val="0"/>
            <w:bCs/>
            <w:noProof/>
          </w:rPr>
          <w:t>第</w:t>
        </w:r>
        <w:r w:rsidR="005C6E35" w:rsidRPr="00D93502">
          <w:rPr>
            <w:rStyle w:val="Hyperlink"/>
            <w:b w:val="0"/>
            <w:bCs/>
            <w:noProof/>
          </w:rPr>
          <w:t>576</w:t>
        </w:r>
        <w:r w:rsidR="005C6E35" w:rsidRPr="00D93502">
          <w:rPr>
            <w:rStyle w:val="Hyperlink"/>
            <w:rFonts w:hint="eastAsia"/>
            <w:b w:val="0"/>
            <w:bCs/>
            <w:noProof/>
          </w:rPr>
          <w:t>号决定</w:t>
        </w:r>
      </w:hyperlink>
      <w:r w:rsidR="00F3168F">
        <w:rPr>
          <w:rFonts w:eastAsiaTheme="minorEastAsia" w:cstheme="minorBidi"/>
          <w:b w:val="0"/>
          <w:bCs/>
          <w:noProof/>
          <w:sz w:val="22"/>
          <w:szCs w:val="22"/>
          <w:lang w:val="en-US" w:eastAsia="zh-CN"/>
        </w:rPr>
        <w:tab/>
      </w:r>
      <w:hyperlink w:anchor="_Toc86395736" w:history="1">
        <w:r w:rsidR="005C6E35" w:rsidRPr="00D93502">
          <w:rPr>
            <w:rStyle w:val="Hyperlink"/>
            <w:rFonts w:hint="eastAsia"/>
            <w:b w:val="0"/>
            <w:bCs/>
            <w:noProof/>
          </w:rPr>
          <w:t>对国际电联按照《空间议定书》作为空间资产国际登记系统监督机构可能发挥作用的审议</w:t>
        </w:r>
        <w:r w:rsidR="005C6E35" w:rsidRPr="00D93502">
          <w:rPr>
            <w:b w:val="0"/>
            <w:bCs/>
            <w:noProof/>
            <w:webHidden/>
          </w:rPr>
          <w:tab/>
        </w:r>
        <w:r w:rsidR="00F3168F">
          <w:rPr>
            <w:b w:val="0"/>
            <w:bCs/>
            <w:noProof/>
            <w:webHidden/>
          </w:rPr>
          <w:tab/>
        </w:r>
        <w:r w:rsidR="005C6E35" w:rsidRPr="00D93502">
          <w:rPr>
            <w:b w:val="0"/>
            <w:bCs/>
            <w:noProof/>
            <w:webHidden/>
          </w:rPr>
          <w:fldChar w:fldCharType="begin"/>
        </w:r>
        <w:r w:rsidR="005C6E35" w:rsidRPr="00D93502">
          <w:rPr>
            <w:b w:val="0"/>
            <w:bCs/>
            <w:noProof/>
            <w:webHidden/>
          </w:rPr>
          <w:instrText xml:space="preserve"> PAGEREF _Toc86395736 \h </w:instrText>
        </w:r>
        <w:r w:rsidR="005C6E35" w:rsidRPr="00D93502">
          <w:rPr>
            <w:b w:val="0"/>
            <w:bCs/>
            <w:noProof/>
            <w:webHidden/>
          </w:rPr>
        </w:r>
        <w:r w:rsidR="005C6E35" w:rsidRPr="00D93502">
          <w:rPr>
            <w:b w:val="0"/>
            <w:bCs/>
            <w:noProof/>
            <w:webHidden/>
          </w:rPr>
          <w:fldChar w:fldCharType="separate"/>
        </w:r>
        <w:r w:rsidR="00E305D2">
          <w:rPr>
            <w:b w:val="0"/>
            <w:bCs/>
            <w:noProof/>
            <w:webHidden/>
          </w:rPr>
          <w:t>231</w:t>
        </w:r>
        <w:r w:rsidR="005C6E35" w:rsidRPr="00D93502">
          <w:rPr>
            <w:b w:val="0"/>
            <w:bCs/>
            <w:noProof/>
            <w:webHidden/>
          </w:rPr>
          <w:fldChar w:fldCharType="end"/>
        </w:r>
      </w:hyperlink>
    </w:p>
    <w:p w14:paraId="60186092" w14:textId="56688ED5" w:rsidR="005C6E35" w:rsidRPr="00F3168F" w:rsidRDefault="00F71B18">
      <w:pPr>
        <w:pStyle w:val="TOC10"/>
        <w:rPr>
          <w:rFonts w:eastAsiaTheme="minorEastAsia" w:cstheme="minorBidi"/>
          <w:noProof/>
          <w:sz w:val="22"/>
          <w:szCs w:val="22"/>
          <w:lang w:val="en-US" w:eastAsia="zh-CN"/>
        </w:rPr>
      </w:pPr>
      <w:hyperlink w:anchor="_Toc86395737" w:history="1">
        <w:r w:rsidR="005C6E35" w:rsidRPr="00F3168F">
          <w:rPr>
            <w:rStyle w:val="Hyperlink"/>
            <w:rFonts w:hAnsi="SimSun" w:hint="eastAsia"/>
            <w:noProof/>
            <w:lang w:val="en-US" w:eastAsia="zh-CN"/>
          </w:rPr>
          <w:t>附录</w:t>
        </w:r>
        <w:r w:rsidR="005C6E35" w:rsidRPr="00F3168F">
          <w:rPr>
            <w:rStyle w:val="Hyperlink"/>
            <w:noProof/>
            <w:lang w:val="en-US" w:eastAsia="zh-CN"/>
          </w:rPr>
          <w:t>A</w:t>
        </w:r>
        <w:r w:rsidR="005C6E35" w:rsidRPr="00F3168F">
          <w:rPr>
            <w:noProof/>
            <w:webHidden/>
          </w:rPr>
          <w:tab/>
        </w:r>
        <w:r w:rsidR="00F3168F" w:rsidRPr="00F3168F">
          <w:rPr>
            <w:noProof/>
            <w:webHidden/>
          </w:rPr>
          <w:tab/>
        </w:r>
        <w:r w:rsidR="00F3168F" w:rsidRPr="00F3168F">
          <w:rPr>
            <w:noProof/>
            <w:webHidden/>
          </w:rPr>
          <w:tab/>
        </w:r>
        <w:r w:rsidR="005C6E35" w:rsidRPr="00F3168F">
          <w:rPr>
            <w:noProof/>
            <w:webHidden/>
          </w:rPr>
          <w:fldChar w:fldCharType="begin"/>
        </w:r>
        <w:r w:rsidR="005C6E35" w:rsidRPr="00F3168F">
          <w:rPr>
            <w:noProof/>
            <w:webHidden/>
          </w:rPr>
          <w:instrText xml:space="preserve"> PAGEREF _Toc86395737 \h </w:instrText>
        </w:r>
        <w:r w:rsidR="005C6E35" w:rsidRPr="00F3168F">
          <w:rPr>
            <w:noProof/>
            <w:webHidden/>
          </w:rPr>
        </w:r>
        <w:r w:rsidR="005C6E35" w:rsidRPr="00F3168F">
          <w:rPr>
            <w:noProof/>
            <w:webHidden/>
          </w:rPr>
          <w:fldChar w:fldCharType="separate"/>
        </w:r>
        <w:r w:rsidR="00E305D2">
          <w:rPr>
            <w:noProof/>
            <w:webHidden/>
          </w:rPr>
          <w:t>233</w:t>
        </w:r>
        <w:r w:rsidR="005C6E35" w:rsidRPr="00F3168F">
          <w:rPr>
            <w:noProof/>
            <w:webHidden/>
          </w:rPr>
          <w:fldChar w:fldCharType="end"/>
        </w:r>
      </w:hyperlink>
    </w:p>
    <w:p w14:paraId="223DB81A" w14:textId="1D61440A" w:rsidR="005C6E35" w:rsidRPr="00F3168F" w:rsidRDefault="00F71B18">
      <w:pPr>
        <w:pStyle w:val="TOC10"/>
        <w:rPr>
          <w:rFonts w:eastAsiaTheme="minorEastAsia" w:cstheme="minorBidi"/>
          <w:noProof/>
          <w:sz w:val="22"/>
          <w:szCs w:val="22"/>
          <w:lang w:val="en-US" w:eastAsia="zh-CN"/>
        </w:rPr>
      </w:pPr>
      <w:hyperlink w:anchor="_Toc86395738" w:history="1">
        <w:r w:rsidR="005C6E35" w:rsidRPr="00F3168F">
          <w:rPr>
            <w:rStyle w:val="Hyperlink"/>
            <w:rFonts w:hint="eastAsia"/>
            <w:noProof/>
            <w:lang w:val="en-US" w:eastAsia="zh-CN"/>
          </w:rPr>
          <w:t>附录</w:t>
        </w:r>
        <w:r w:rsidR="005C6E35" w:rsidRPr="00F3168F">
          <w:rPr>
            <w:rStyle w:val="Hyperlink"/>
            <w:noProof/>
            <w:lang w:val="en-US" w:eastAsia="zh-CN"/>
          </w:rPr>
          <w:t>B</w:t>
        </w:r>
        <w:r w:rsidR="005C6E35" w:rsidRPr="00F3168F">
          <w:rPr>
            <w:noProof/>
            <w:webHidden/>
          </w:rPr>
          <w:tab/>
        </w:r>
        <w:r w:rsidR="00F3168F" w:rsidRPr="00F3168F">
          <w:rPr>
            <w:noProof/>
            <w:webHidden/>
          </w:rPr>
          <w:tab/>
        </w:r>
        <w:r w:rsidR="00F3168F" w:rsidRPr="00F3168F">
          <w:rPr>
            <w:noProof/>
            <w:webHidden/>
          </w:rPr>
          <w:tab/>
        </w:r>
        <w:r w:rsidR="005C6E35" w:rsidRPr="00F3168F">
          <w:rPr>
            <w:noProof/>
            <w:webHidden/>
          </w:rPr>
          <w:fldChar w:fldCharType="begin"/>
        </w:r>
        <w:r w:rsidR="005C6E35" w:rsidRPr="00F3168F">
          <w:rPr>
            <w:noProof/>
            <w:webHidden/>
          </w:rPr>
          <w:instrText xml:space="preserve"> PAGEREF _Toc86395738 \h </w:instrText>
        </w:r>
        <w:r w:rsidR="005C6E35" w:rsidRPr="00F3168F">
          <w:rPr>
            <w:noProof/>
            <w:webHidden/>
          </w:rPr>
        </w:r>
        <w:r w:rsidR="005C6E35" w:rsidRPr="00F3168F">
          <w:rPr>
            <w:noProof/>
            <w:webHidden/>
          </w:rPr>
          <w:fldChar w:fldCharType="separate"/>
        </w:r>
        <w:r w:rsidR="00E305D2">
          <w:rPr>
            <w:noProof/>
            <w:webHidden/>
          </w:rPr>
          <w:t>275</w:t>
        </w:r>
        <w:r w:rsidR="005C6E35" w:rsidRPr="00F3168F">
          <w:rPr>
            <w:noProof/>
            <w:webHidden/>
          </w:rPr>
          <w:fldChar w:fldCharType="end"/>
        </w:r>
      </w:hyperlink>
    </w:p>
    <w:p w14:paraId="34CC88F9" w14:textId="2ACAA767" w:rsidR="005C6E35" w:rsidRPr="00F3168F" w:rsidRDefault="00F71B18">
      <w:pPr>
        <w:pStyle w:val="TOC10"/>
        <w:rPr>
          <w:rFonts w:eastAsiaTheme="minorEastAsia" w:cstheme="minorBidi"/>
          <w:noProof/>
          <w:sz w:val="22"/>
          <w:szCs w:val="22"/>
          <w:lang w:val="en-US" w:eastAsia="zh-CN"/>
        </w:rPr>
      </w:pPr>
      <w:hyperlink w:anchor="_Toc86395739" w:history="1">
        <w:r w:rsidR="005C6E35" w:rsidRPr="00F3168F">
          <w:rPr>
            <w:rStyle w:val="Hyperlink"/>
            <w:rFonts w:hint="eastAsia"/>
            <w:noProof/>
            <w:lang w:val="en-US" w:eastAsia="zh-CN"/>
          </w:rPr>
          <w:t>附录</w:t>
        </w:r>
        <w:r w:rsidR="005C6E35" w:rsidRPr="00F3168F">
          <w:rPr>
            <w:rStyle w:val="Hyperlink"/>
            <w:noProof/>
            <w:lang w:val="en-US" w:eastAsia="zh-CN"/>
          </w:rPr>
          <w:t>C</w:t>
        </w:r>
        <w:r w:rsidR="005C6E35" w:rsidRPr="00F3168F">
          <w:rPr>
            <w:noProof/>
            <w:webHidden/>
          </w:rPr>
          <w:tab/>
        </w:r>
        <w:r w:rsidR="00F3168F" w:rsidRPr="00F3168F">
          <w:rPr>
            <w:noProof/>
            <w:webHidden/>
          </w:rPr>
          <w:tab/>
        </w:r>
        <w:r w:rsidR="00F3168F" w:rsidRPr="00F3168F">
          <w:rPr>
            <w:noProof/>
            <w:webHidden/>
          </w:rPr>
          <w:tab/>
        </w:r>
        <w:r w:rsidR="005C6E35" w:rsidRPr="00F3168F">
          <w:rPr>
            <w:noProof/>
            <w:webHidden/>
          </w:rPr>
          <w:fldChar w:fldCharType="begin"/>
        </w:r>
        <w:r w:rsidR="005C6E35" w:rsidRPr="00F3168F">
          <w:rPr>
            <w:noProof/>
            <w:webHidden/>
          </w:rPr>
          <w:instrText xml:space="preserve"> PAGEREF _Toc86395739 \h </w:instrText>
        </w:r>
        <w:r w:rsidR="005C6E35" w:rsidRPr="00F3168F">
          <w:rPr>
            <w:noProof/>
            <w:webHidden/>
          </w:rPr>
        </w:r>
        <w:r w:rsidR="005C6E35" w:rsidRPr="00F3168F">
          <w:rPr>
            <w:noProof/>
            <w:webHidden/>
          </w:rPr>
          <w:fldChar w:fldCharType="separate"/>
        </w:r>
        <w:r w:rsidR="00E305D2">
          <w:rPr>
            <w:noProof/>
            <w:webHidden/>
          </w:rPr>
          <w:t>295</w:t>
        </w:r>
        <w:r w:rsidR="005C6E35" w:rsidRPr="00F3168F">
          <w:rPr>
            <w:noProof/>
            <w:webHidden/>
          </w:rPr>
          <w:fldChar w:fldCharType="end"/>
        </w:r>
      </w:hyperlink>
    </w:p>
    <w:p w14:paraId="211D440D" w14:textId="25AF95E5" w:rsidR="00577AA5" w:rsidRDefault="00F731E3" w:rsidP="006C64F7">
      <w:pPr>
        <w:rPr>
          <w:lang w:val="en-US" w:eastAsia="zh-CN"/>
        </w:rPr>
      </w:pPr>
      <w:r w:rsidRPr="0032112B">
        <w:rPr>
          <w:lang w:val="en-US" w:eastAsia="zh-CN"/>
        </w:rPr>
        <w:fldChar w:fldCharType="end"/>
      </w:r>
    </w:p>
    <w:p w14:paraId="0A123FCF" w14:textId="256847EB" w:rsidR="006C64F7" w:rsidRDefault="006C64F7" w:rsidP="006C64F7">
      <w:pPr>
        <w:rPr>
          <w:lang w:val="en-US" w:eastAsia="zh-CN"/>
        </w:rPr>
      </w:pPr>
    </w:p>
    <w:p w14:paraId="6A594811" w14:textId="77777777" w:rsidR="006C64F7" w:rsidRDefault="006C64F7" w:rsidP="006C64F7">
      <w:pPr>
        <w:rPr>
          <w:lang w:val="en-US" w:eastAsia="zh-CN"/>
        </w:rPr>
      </w:pPr>
    </w:p>
    <w:p w14:paraId="7B84817B" w14:textId="77777777" w:rsidR="006C64F7" w:rsidRDefault="006C64F7" w:rsidP="006C64F7">
      <w:pPr>
        <w:rPr>
          <w:lang w:val="en-US" w:eastAsia="zh-CN"/>
        </w:rPr>
      </w:pPr>
    </w:p>
    <w:p w14:paraId="5B56F4B0" w14:textId="77777777" w:rsidR="006C64F7" w:rsidRPr="006C64F7" w:rsidRDefault="006C64F7" w:rsidP="006C64F7"/>
    <w:p w14:paraId="5D417AC1" w14:textId="3D7591C3" w:rsidR="00620584" w:rsidRPr="006C64F7" w:rsidRDefault="00620584" w:rsidP="006C64F7"/>
    <w:p w14:paraId="7E5DA67E" w14:textId="77777777" w:rsidR="00620584" w:rsidRPr="006C64F7" w:rsidRDefault="00620584" w:rsidP="006C64F7"/>
    <w:p w14:paraId="4827993A" w14:textId="77777777" w:rsidR="00B058BA" w:rsidRPr="006C64F7" w:rsidRDefault="00B058BA" w:rsidP="006C64F7"/>
    <w:p w14:paraId="4827993B" w14:textId="77777777" w:rsidR="005579C4" w:rsidRDefault="005579C4" w:rsidP="00A572D2">
      <w:pPr>
        <w:rPr>
          <w:rStyle w:val="Hyperlink"/>
          <w:noProof/>
          <w:color w:val="auto"/>
          <w:u w:val="none"/>
          <w:lang w:eastAsia="zh-CN"/>
        </w:rPr>
        <w:sectPr w:rsidR="005579C4" w:rsidSect="00EB6078">
          <w:headerReference w:type="even" r:id="rId22"/>
          <w:headerReference w:type="default" r:id="rId23"/>
          <w:headerReference w:type="first" r:id="rId24"/>
          <w:footnotePr>
            <w:pos w:val="beneathText"/>
          </w:footnotePr>
          <w:endnotePr>
            <w:numFmt w:val="decimal"/>
          </w:endnotePr>
          <w:type w:val="nextColumn"/>
          <w:pgSz w:w="11907" w:h="16840" w:code="9"/>
          <w:pgMar w:top="1418" w:right="1134" w:bottom="1134" w:left="1134" w:header="737" w:footer="567" w:gutter="284"/>
          <w:pgNumType w:fmt="lowerRoman" w:start="5"/>
          <w:cols w:space="720"/>
          <w:vAlign w:val="both"/>
          <w:titlePg/>
        </w:sectPr>
      </w:pPr>
    </w:p>
    <w:p w14:paraId="4827993C" w14:textId="77777777" w:rsidR="00AC3B70" w:rsidRPr="00BE7F32" w:rsidRDefault="00AC3B70" w:rsidP="00BE7F32">
      <w:pPr>
        <w:pStyle w:val="ChapNo"/>
        <w:spacing w:before="240"/>
        <w:rPr>
          <w:b w:val="0"/>
          <w:bCs/>
          <w:lang w:eastAsia="zh-CN"/>
        </w:rPr>
      </w:pPr>
      <w:bookmarkStart w:id="1" w:name="_Toc81879991"/>
      <w:bookmarkStart w:id="2" w:name="_Toc161223971"/>
      <w:bookmarkStart w:id="3" w:name="_Toc161732017"/>
      <w:bookmarkStart w:id="4" w:name="_Toc161740944"/>
      <w:bookmarkStart w:id="5" w:name="_Toc185237614"/>
      <w:bookmarkStart w:id="6" w:name="_Toc311469538"/>
      <w:bookmarkStart w:id="7" w:name="_Toc424115672"/>
      <w:bookmarkStart w:id="8" w:name="_Toc424116193"/>
      <w:bookmarkStart w:id="9" w:name="_Toc424116904"/>
      <w:bookmarkStart w:id="10" w:name="_Toc531706841"/>
      <w:bookmarkStart w:id="11" w:name="_Toc531707146"/>
      <w:bookmarkStart w:id="12" w:name="_Toc531768334"/>
      <w:bookmarkStart w:id="13" w:name="_Toc16085655"/>
      <w:bookmarkStart w:id="14" w:name="_Toc16173299"/>
      <w:bookmarkStart w:id="15" w:name="_Toc16173756"/>
      <w:bookmarkStart w:id="16" w:name="_Toc86395459"/>
      <w:r w:rsidRPr="00BE7F32">
        <w:rPr>
          <w:b w:val="0"/>
          <w:bCs/>
          <w:lang w:eastAsia="zh-CN"/>
        </w:rPr>
        <w:lastRenderedPageBreak/>
        <w:t>1</w:t>
      </w:r>
      <w:r w:rsidRPr="00BE7F32">
        <w:rPr>
          <w:b w:val="0"/>
          <w:bCs/>
          <w:lang w:eastAsia="zh-CN"/>
        </w:rPr>
        <w:tab/>
      </w:r>
      <w:bookmarkEnd w:id="1"/>
      <w:r w:rsidR="001B2C7F" w:rsidRPr="00BE7F32">
        <w:rPr>
          <w:rFonts w:ascii="SimSun" w:hAnsi="SimSun" w:cs="SimSun" w:hint="eastAsia"/>
          <w:b w:val="0"/>
          <w:bCs/>
          <w:lang w:eastAsia="zh-CN"/>
        </w:rPr>
        <w:t>财务</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4827993D" w14:textId="77777777" w:rsidR="00AC3B70" w:rsidRPr="00C93627" w:rsidRDefault="00AC3B70" w:rsidP="00BE7F32">
      <w:pPr>
        <w:pStyle w:val="Chaptitle"/>
        <w:rPr>
          <w:lang w:eastAsia="zh-CN"/>
        </w:rPr>
      </w:pPr>
      <w:bookmarkStart w:id="17" w:name="_Toc81879992"/>
      <w:bookmarkStart w:id="18" w:name="_Toc161223972"/>
      <w:bookmarkStart w:id="19" w:name="_Toc161732018"/>
      <w:bookmarkStart w:id="20" w:name="_Toc161740945"/>
      <w:bookmarkStart w:id="21" w:name="_Toc185237615"/>
      <w:bookmarkStart w:id="22" w:name="_Toc311469539"/>
      <w:bookmarkStart w:id="23" w:name="_Toc405194267"/>
      <w:bookmarkStart w:id="24" w:name="_Toc424116905"/>
      <w:bookmarkStart w:id="25" w:name="_Toc531706248"/>
      <w:bookmarkStart w:id="26" w:name="_Toc531706842"/>
      <w:bookmarkStart w:id="27" w:name="_Toc531768335"/>
      <w:bookmarkStart w:id="28" w:name="_Toc16085656"/>
      <w:bookmarkStart w:id="29" w:name="_Toc86395460"/>
      <w:r w:rsidRPr="00C93627">
        <w:rPr>
          <w:lang w:eastAsia="zh-CN"/>
        </w:rPr>
        <w:t>1.1</w:t>
      </w:r>
      <w:r w:rsidRPr="00C93627">
        <w:rPr>
          <w:lang w:eastAsia="zh-CN"/>
        </w:rPr>
        <w:tab/>
      </w:r>
      <w:bookmarkEnd w:id="17"/>
      <w:r w:rsidR="001B2C7F" w:rsidRPr="00C93627">
        <w:rPr>
          <w:rFonts w:ascii="SimSun" w:hAnsi="SimSun" w:cs="SimSun" w:hint="eastAsia"/>
          <w:lang w:eastAsia="zh-CN"/>
        </w:rPr>
        <w:t>预算</w:t>
      </w:r>
      <w:bookmarkEnd w:id="18"/>
      <w:bookmarkEnd w:id="19"/>
      <w:bookmarkEnd w:id="20"/>
      <w:bookmarkEnd w:id="21"/>
      <w:bookmarkEnd w:id="22"/>
      <w:bookmarkEnd w:id="23"/>
      <w:bookmarkEnd w:id="24"/>
      <w:bookmarkEnd w:id="25"/>
      <w:bookmarkEnd w:id="26"/>
      <w:bookmarkEnd w:id="27"/>
      <w:bookmarkEnd w:id="28"/>
      <w:bookmarkEnd w:id="29"/>
    </w:p>
    <w:p w14:paraId="4827AA06" w14:textId="77777777" w:rsidR="00C07381" w:rsidRPr="00D30DF7" w:rsidRDefault="00C07381" w:rsidP="00CD1C3A">
      <w:pPr>
        <w:pStyle w:val="ResNo"/>
        <w:outlineLvl w:val="0"/>
        <w:rPr>
          <w:lang w:val="fr-FR" w:eastAsia="zh-CN"/>
        </w:rPr>
      </w:pPr>
      <w:bookmarkStart w:id="30" w:name="_Toc16085659"/>
      <w:bookmarkStart w:id="31" w:name="_Toc86395461"/>
      <w:bookmarkStart w:id="32" w:name="_Toc81880000"/>
      <w:bookmarkStart w:id="33" w:name="_Toc161223980"/>
      <w:bookmarkStart w:id="34" w:name="_Toc161732026"/>
      <w:bookmarkStart w:id="35" w:name="_Toc161740953"/>
      <w:bookmarkStart w:id="36" w:name="_Toc185237620"/>
      <w:bookmarkStart w:id="37" w:name="_Toc311469542"/>
      <w:bookmarkStart w:id="38" w:name="_Toc424116910"/>
      <w:bookmarkStart w:id="39" w:name="_Toc531706253"/>
      <w:bookmarkStart w:id="40" w:name="_Toc531706847"/>
      <w:bookmarkStart w:id="41" w:name="_Toc531768340"/>
      <w:r>
        <w:rPr>
          <w:rFonts w:hint="eastAsia"/>
          <w:lang w:val="en-US" w:eastAsia="zh-CN"/>
        </w:rPr>
        <w:t>第</w:t>
      </w:r>
      <w:r w:rsidRPr="00FB3A05">
        <w:rPr>
          <w:lang w:eastAsia="zh-CN"/>
        </w:rPr>
        <w:t>1396</w:t>
      </w:r>
      <w:r>
        <w:rPr>
          <w:rFonts w:hint="eastAsia"/>
          <w:lang w:val="en-US" w:eastAsia="zh-CN"/>
        </w:rPr>
        <w:t>号决议</w:t>
      </w:r>
      <w:r w:rsidR="00D30DF7">
        <w:rPr>
          <w:rFonts w:hint="eastAsia"/>
          <w:lang w:val="fr-FR" w:eastAsia="zh-CN"/>
        </w:rPr>
        <w:t>（</w:t>
      </w:r>
      <w:r w:rsidR="00D30DF7">
        <w:rPr>
          <w:rFonts w:hint="eastAsia"/>
          <w:lang w:val="fr-FR" w:eastAsia="zh-CN"/>
        </w:rPr>
        <w:t>C19</w:t>
      </w:r>
      <w:r w:rsidR="00D30DF7">
        <w:rPr>
          <w:rFonts w:hint="eastAsia"/>
          <w:lang w:val="fr-FR" w:eastAsia="zh-CN"/>
        </w:rPr>
        <w:t>）</w:t>
      </w:r>
      <w:bookmarkEnd w:id="30"/>
      <w:bookmarkEnd w:id="31"/>
    </w:p>
    <w:p w14:paraId="4827AA07" w14:textId="77777777" w:rsidR="00C07381" w:rsidRPr="00FB3A05" w:rsidRDefault="00C07381" w:rsidP="00C07381">
      <w:pPr>
        <w:pStyle w:val="Restitle"/>
        <w:rPr>
          <w:lang w:eastAsia="zh-CN"/>
        </w:rPr>
      </w:pPr>
      <w:bookmarkStart w:id="42" w:name="_Toc16085660"/>
      <w:bookmarkStart w:id="43" w:name="_Toc86395462"/>
      <w:r w:rsidRPr="007215E7">
        <w:rPr>
          <w:rFonts w:hint="eastAsia"/>
          <w:lang w:eastAsia="zh-CN"/>
        </w:rPr>
        <w:t>国际电信联盟</w:t>
      </w:r>
      <w:r w:rsidRPr="007215E7">
        <w:rPr>
          <w:lang w:eastAsia="zh-CN"/>
        </w:rPr>
        <w:t>2020-2021</w:t>
      </w:r>
      <w:r w:rsidRPr="007215E7">
        <w:rPr>
          <w:rFonts w:hint="eastAsia"/>
          <w:lang w:eastAsia="zh-CN"/>
        </w:rPr>
        <w:t>双年度预算</w:t>
      </w:r>
      <w:bookmarkEnd w:id="42"/>
      <w:bookmarkEnd w:id="43"/>
    </w:p>
    <w:p w14:paraId="4827AA08" w14:textId="77777777" w:rsidR="00C07381" w:rsidRPr="00EE181E" w:rsidRDefault="00C07381" w:rsidP="00E51375">
      <w:pPr>
        <w:pStyle w:val="Normalaftertitle0"/>
      </w:pPr>
      <w:r w:rsidRPr="00EE181E">
        <w:rPr>
          <w:rFonts w:hint="eastAsia"/>
        </w:rPr>
        <w:t>理事会，</w:t>
      </w:r>
    </w:p>
    <w:p w14:paraId="4827AA09" w14:textId="77777777" w:rsidR="00C07381" w:rsidRPr="0018745A" w:rsidRDefault="00C07381" w:rsidP="00C07381">
      <w:pPr>
        <w:pStyle w:val="Call"/>
        <w:rPr>
          <w:lang w:eastAsia="zh-CN"/>
        </w:rPr>
      </w:pPr>
      <w:r w:rsidRPr="0018745A">
        <w:rPr>
          <w:rFonts w:hint="eastAsia"/>
          <w:lang w:eastAsia="zh-CN"/>
        </w:rPr>
        <w:t>鉴于</w:t>
      </w:r>
    </w:p>
    <w:p w14:paraId="4827AA0A" w14:textId="77777777" w:rsidR="00C07381" w:rsidRPr="00EE181E" w:rsidRDefault="00C07381" w:rsidP="00C07381">
      <w:pPr>
        <w:ind w:firstLineChars="200" w:firstLine="480"/>
        <w:rPr>
          <w:szCs w:val="24"/>
          <w:lang w:eastAsia="zh-CN"/>
        </w:rPr>
      </w:pPr>
      <w:r w:rsidRPr="00EE181E">
        <w:rPr>
          <w:szCs w:val="24"/>
          <w:lang w:eastAsia="zh-CN"/>
        </w:rPr>
        <w:t>国际电信联盟《公约》的相关条款，</w:t>
      </w:r>
    </w:p>
    <w:p w14:paraId="4827AA0B" w14:textId="77777777" w:rsidR="00C07381" w:rsidRPr="0018745A" w:rsidRDefault="00C07381" w:rsidP="00C07381">
      <w:pPr>
        <w:pStyle w:val="Call"/>
        <w:rPr>
          <w:lang w:eastAsia="zh-CN"/>
        </w:rPr>
      </w:pPr>
      <w:r w:rsidRPr="0018745A">
        <w:rPr>
          <w:lang w:eastAsia="zh-CN"/>
        </w:rPr>
        <w:t>铭记</w:t>
      </w:r>
    </w:p>
    <w:p w14:paraId="4827AA0C" w14:textId="77777777" w:rsidR="00C07381" w:rsidRDefault="00C07381" w:rsidP="00C07381">
      <w:pPr>
        <w:rPr>
          <w:szCs w:val="24"/>
          <w:lang w:eastAsia="zh-CN"/>
        </w:rPr>
      </w:pPr>
      <w:r w:rsidRPr="007B009E">
        <w:rPr>
          <w:rFonts w:hint="eastAsia"/>
          <w:i/>
          <w:iCs/>
          <w:szCs w:val="24"/>
          <w:lang w:eastAsia="zh-CN"/>
        </w:rPr>
        <w:t>a)</w:t>
      </w:r>
      <w:r>
        <w:rPr>
          <w:rFonts w:hint="eastAsia"/>
          <w:szCs w:val="24"/>
          <w:lang w:eastAsia="zh-CN"/>
        </w:rPr>
        <w:tab/>
      </w:r>
      <w:r>
        <w:rPr>
          <w:rFonts w:hint="eastAsia"/>
          <w:szCs w:val="24"/>
          <w:lang w:eastAsia="zh-CN"/>
        </w:rPr>
        <w:t>有关国际电联</w:t>
      </w:r>
      <w:r>
        <w:rPr>
          <w:rFonts w:hint="eastAsia"/>
          <w:szCs w:val="24"/>
          <w:lang w:eastAsia="zh-CN"/>
        </w:rPr>
        <w:t>20</w:t>
      </w:r>
      <w:r>
        <w:rPr>
          <w:szCs w:val="24"/>
          <w:lang w:eastAsia="zh-CN"/>
        </w:rPr>
        <w:t>20</w:t>
      </w:r>
      <w:r>
        <w:rPr>
          <w:rFonts w:hint="eastAsia"/>
          <w:szCs w:val="24"/>
          <w:lang w:eastAsia="zh-CN"/>
        </w:rPr>
        <w:t>-20</w:t>
      </w:r>
      <w:r>
        <w:rPr>
          <w:szCs w:val="24"/>
          <w:lang w:eastAsia="zh-CN"/>
        </w:rPr>
        <w:t>23</w:t>
      </w:r>
      <w:r>
        <w:rPr>
          <w:rFonts w:hint="eastAsia"/>
          <w:szCs w:val="24"/>
          <w:lang w:eastAsia="zh-CN"/>
        </w:rPr>
        <w:t>年阶段收支的</w:t>
      </w:r>
      <w:r w:rsidRPr="00C70206">
        <w:rPr>
          <w:szCs w:val="24"/>
          <w:lang w:eastAsia="zh-CN"/>
        </w:rPr>
        <w:t>全权代表大会第</w:t>
      </w:r>
      <w:r w:rsidRPr="00C70206">
        <w:rPr>
          <w:szCs w:val="24"/>
          <w:lang w:eastAsia="zh-CN"/>
        </w:rPr>
        <w:t>5</w:t>
      </w:r>
      <w:r w:rsidRPr="00C70206">
        <w:rPr>
          <w:szCs w:val="24"/>
          <w:lang w:eastAsia="zh-CN"/>
        </w:rPr>
        <w:t>号决定（</w:t>
      </w:r>
      <w:r w:rsidRPr="00C70206">
        <w:rPr>
          <w:szCs w:val="24"/>
          <w:lang w:eastAsia="zh-CN"/>
        </w:rPr>
        <w:t>20</w:t>
      </w:r>
      <w:r>
        <w:rPr>
          <w:rFonts w:hint="eastAsia"/>
          <w:szCs w:val="24"/>
          <w:lang w:eastAsia="zh-CN"/>
        </w:rPr>
        <w:t>1</w:t>
      </w:r>
      <w:r>
        <w:rPr>
          <w:szCs w:val="24"/>
          <w:lang w:eastAsia="zh-CN"/>
        </w:rPr>
        <w:t>8</w:t>
      </w:r>
      <w:r w:rsidRPr="00C70206">
        <w:rPr>
          <w:szCs w:val="24"/>
          <w:lang w:eastAsia="zh-CN"/>
        </w:rPr>
        <w:t>年，</w:t>
      </w:r>
      <w:r>
        <w:rPr>
          <w:rFonts w:hint="eastAsia"/>
          <w:szCs w:val="24"/>
          <w:lang w:eastAsia="zh-CN"/>
        </w:rPr>
        <w:t>迪拜，修订版）</w:t>
      </w:r>
      <w:r w:rsidRPr="00C70206">
        <w:rPr>
          <w:szCs w:val="24"/>
          <w:lang w:eastAsia="zh-CN"/>
        </w:rPr>
        <w:t>的条款，</w:t>
      </w:r>
      <w:r>
        <w:rPr>
          <w:rFonts w:hint="eastAsia"/>
          <w:szCs w:val="24"/>
          <w:lang w:eastAsia="zh-CN"/>
        </w:rPr>
        <w:t>这些条款</w:t>
      </w:r>
      <w:r w:rsidRPr="00C70206">
        <w:rPr>
          <w:szCs w:val="24"/>
          <w:lang w:eastAsia="zh-CN"/>
        </w:rPr>
        <w:t>规定</w:t>
      </w:r>
      <w:r w:rsidRPr="00C70206">
        <w:rPr>
          <w:szCs w:val="24"/>
          <w:lang w:eastAsia="zh-CN"/>
        </w:rPr>
        <w:t>20</w:t>
      </w:r>
      <w:r>
        <w:rPr>
          <w:szCs w:val="24"/>
          <w:lang w:eastAsia="zh-CN"/>
        </w:rPr>
        <w:t>20</w:t>
      </w:r>
      <w:r w:rsidRPr="00C70206">
        <w:rPr>
          <w:szCs w:val="24"/>
          <w:lang w:eastAsia="zh-CN"/>
        </w:rPr>
        <w:t>-20</w:t>
      </w:r>
      <w:r>
        <w:rPr>
          <w:szCs w:val="24"/>
          <w:lang w:eastAsia="zh-CN"/>
        </w:rPr>
        <w:t>21</w:t>
      </w:r>
      <w:r w:rsidRPr="00C70206">
        <w:rPr>
          <w:szCs w:val="24"/>
          <w:lang w:eastAsia="zh-CN"/>
        </w:rPr>
        <w:t>年</w:t>
      </w:r>
      <w:r>
        <w:rPr>
          <w:rFonts w:hint="eastAsia"/>
          <w:szCs w:val="24"/>
          <w:lang w:eastAsia="zh-CN"/>
        </w:rPr>
        <w:t>的成员国</w:t>
      </w:r>
      <w:r w:rsidRPr="00C70206">
        <w:rPr>
          <w:szCs w:val="24"/>
          <w:lang w:eastAsia="zh-CN"/>
        </w:rPr>
        <w:t>会费单位金额不得超</w:t>
      </w:r>
      <w:r>
        <w:rPr>
          <w:rFonts w:hint="eastAsia"/>
          <w:szCs w:val="24"/>
          <w:lang w:eastAsia="zh-CN"/>
        </w:rPr>
        <w:t>出</w:t>
      </w:r>
      <w:r w:rsidRPr="00C70206">
        <w:rPr>
          <w:szCs w:val="24"/>
          <w:lang w:eastAsia="zh-CN"/>
        </w:rPr>
        <w:t>3</w:t>
      </w:r>
      <w:r>
        <w:rPr>
          <w:rFonts w:hint="eastAsia"/>
          <w:szCs w:val="24"/>
          <w:lang w:eastAsia="zh-CN"/>
        </w:rPr>
        <w:t>18</w:t>
      </w:r>
      <w:r>
        <w:rPr>
          <w:szCs w:val="24"/>
          <w:lang w:val="en-US" w:eastAsia="zh-CN"/>
        </w:rPr>
        <w:t> </w:t>
      </w:r>
      <w:r w:rsidRPr="00C70206">
        <w:rPr>
          <w:szCs w:val="24"/>
          <w:lang w:eastAsia="zh-CN"/>
        </w:rPr>
        <w:t>000</w:t>
      </w:r>
      <w:r>
        <w:rPr>
          <w:szCs w:val="24"/>
          <w:lang w:eastAsia="zh-CN"/>
        </w:rPr>
        <w:t>瑞郎</w:t>
      </w:r>
      <w:r>
        <w:rPr>
          <w:rFonts w:hint="eastAsia"/>
          <w:szCs w:val="24"/>
          <w:lang w:eastAsia="zh-CN"/>
        </w:rPr>
        <w:t>；</w:t>
      </w:r>
    </w:p>
    <w:p w14:paraId="4827AA0D" w14:textId="77777777" w:rsidR="00C07381" w:rsidRPr="00BF60D2" w:rsidRDefault="00C07381" w:rsidP="00C07381">
      <w:pPr>
        <w:rPr>
          <w:szCs w:val="24"/>
          <w:lang w:eastAsia="zh-CN"/>
        </w:rPr>
      </w:pPr>
      <w:r w:rsidRPr="007B009E">
        <w:rPr>
          <w:rFonts w:hint="eastAsia"/>
          <w:i/>
          <w:iCs/>
          <w:szCs w:val="24"/>
          <w:lang w:eastAsia="zh-CN"/>
        </w:rPr>
        <w:t>b)</w:t>
      </w:r>
      <w:r>
        <w:rPr>
          <w:rFonts w:hint="eastAsia"/>
          <w:szCs w:val="24"/>
          <w:lang w:eastAsia="zh-CN"/>
        </w:rPr>
        <w:tab/>
      </w:r>
      <w:r>
        <w:rPr>
          <w:rFonts w:hint="eastAsia"/>
          <w:lang w:eastAsia="zh-CN"/>
        </w:rPr>
        <w:t>与拨款转账相关的《财务规则和财务细则》第</w:t>
      </w:r>
      <w:r>
        <w:rPr>
          <w:lang w:eastAsia="zh-CN"/>
        </w:rPr>
        <w:t>11</w:t>
      </w:r>
      <w:r>
        <w:rPr>
          <w:rFonts w:hint="eastAsia"/>
          <w:lang w:eastAsia="zh-CN"/>
        </w:rPr>
        <w:t>条的规定，</w:t>
      </w:r>
    </w:p>
    <w:p w14:paraId="4827AA0E" w14:textId="77777777" w:rsidR="00C07381" w:rsidRPr="0018745A" w:rsidRDefault="00C07381" w:rsidP="00C07381">
      <w:pPr>
        <w:pStyle w:val="Call"/>
        <w:rPr>
          <w:lang w:eastAsia="zh-CN"/>
        </w:rPr>
      </w:pPr>
      <w:r w:rsidRPr="0018745A">
        <w:rPr>
          <w:lang w:eastAsia="zh-CN"/>
        </w:rPr>
        <w:t>做出决议，批准</w:t>
      </w:r>
    </w:p>
    <w:p w14:paraId="4827AA0F" w14:textId="77777777" w:rsidR="00C07381" w:rsidRDefault="00C07381" w:rsidP="00C07381">
      <w:pPr>
        <w:ind w:firstLineChars="200" w:firstLine="480"/>
        <w:rPr>
          <w:rFonts w:hAnsi="Verdana"/>
          <w:lang w:eastAsia="zh-CN"/>
        </w:rPr>
      </w:pPr>
      <w:r w:rsidRPr="00EE181E">
        <w:rPr>
          <w:rFonts w:hAnsi="Verdana"/>
          <w:lang w:eastAsia="zh-CN"/>
        </w:rPr>
        <w:t>国际电联</w:t>
      </w:r>
      <w:r w:rsidRPr="00C70206">
        <w:rPr>
          <w:szCs w:val="24"/>
          <w:lang w:eastAsia="zh-CN"/>
        </w:rPr>
        <w:t>20</w:t>
      </w:r>
      <w:r>
        <w:rPr>
          <w:szCs w:val="24"/>
          <w:lang w:eastAsia="zh-CN"/>
        </w:rPr>
        <w:t>20</w:t>
      </w:r>
      <w:r w:rsidRPr="00C70206">
        <w:rPr>
          <w:szCs w:val="24"/>
          <w:lang w:eastAsia="zh-CN"/>
        </w:rPr>
        <w:t>-20</w:t>
      </w:r>
      <w:r>
        <w:rPr>
          <w:szCs w:val="24"/>
          <w:lang w:eastAsia="zh-CN"/>
        </w:rPr>
        <w:t>21</w:t>
      </w:r>
      <w:r w:rsidRPr="00EE181E">
        <w:rPr>
          <w:rFonts w:hAnsi="Verdana"/>
          <w:lang w:eastAsia="zh-CN"/>
        </w:rPr>
        <w:t>双年度预算</w:t>
      </w:r>
      <w:r>
        <w:rPr>
          <w:rFonts w:hAnsi="Verdana" w:hint="eastAsia"/>
          <w:lang w:eastAsia="zh-CN"/>
        </w:rPr>
        <w:t>，</w:t>
      </w:r>
      <w:r w:rsidRPr="00EE181E">
        <w:rPr>
          <w:lang w:eastAsia="zh-CN"/>
        </w:rPr>
        <w:t>20</w:t>
      </w:r>
      <w:r>
        <w:rPr>
          <w:lang w:eastAsia="zh-CN"/>
        </w:rPr>
        <w:t>20</w:t>
      </w:r>
      <w:r>
        <w:rPr>
          <w:rFonts w:hAnsi="Verdana"/>
          <w:lang w:eastAsia="zh-CN"/>
        </w:rPr>
        <w:t>预算年的</w:t>
      </w:r>
      <w:r>
        <w:rPr>
          <w:rFonts w:hAnsi="Verdana" w:hint="eastAsia"/>
          <w:lang w:eastAsia="zh-CN"/>
        </w:rPr>
        <w:t>金</w:t>
      </w:r>
      <w:r w:rsidRPr="00EE181E">
        <w:rPr>
          <w:rFonts w:hAnsi="Verdana"/>
          <w:lang w:eastAsia="zh-CN"/>
        </w:rPr>
        <w:t>额为</w:t>
      </w:r>
      <w:r>
        <w:rPr>
          <w:lang w:eastAsia="zh-CN"/>
        </w:rPr>
        <w:t>167 478 </w:t>
      </w:r>
      <w:r w:rsidRPr="00F227E2">
        <w:rPr>
          <w:lang w:eastAsia="zh-CN"/>
        </w:rPr>
        <w:t>000</w:t>
      </w:r>
      <w:r>
        <w:rPr>
          <w:rFonts w:hAnsi="Verdana"/>
          <w:lang w:eastAsia="zh-CN"/>
        </w:rPr>
        <w:t>瑞郎</w:t>
      </w:r>
      <w:r w:rsidRPr="00EE181E">
        <w:rPr>
          <w:rFonts w:hAnsi="Verdana"/>
          <w:lang w:eastAsia="zh-CN"/>
        </w:rPr>
        <w:t>，</w:t>
      </w:r>
      <w:r w:rsidRPr="00EE181E">
        <w:rPr>
          <w:lang w:eastAsia="zh-CN"/>
        </w:rPr>
        <w:t>20</w:t>
      </w:r>
      <w:r>
        <w:rPr>
          <w:lang w:eastAsia="zh-CN"/>
        </w:rPr>
        <w:t>21</w:t>
      </w:r>
      <w:r>
        <w:rPr>
          <w:rFonts w:hAnsi="Verdana"/>
          <w:lang w:eastAsia="zh-CN"/>
        </w:rPr>
        <w:t>预算年的</w:t>
      </w:r>
      <w:r>
        <w:rPr>
          <w:rFonts w:hAnsi="Verdana" w:hint="eastAsia"/>
          <w:lang w:eastAsia="zh-CN"/>
        </w:rPr>
        <w:t>金</w:t>
      </w:r>
      <w:r w:rsidRPr="00EE181E">
        <w:rPr>
          <w:rFonts w:hAnsi="Verdana"/>
          <w:lang w:eastAsia="zh-CN"/>
        </w:rPr>
        <w:t>额为</w:t>
      </w:r>
      <w:r>
        <w:rPr>
          <w:szCs w:val="24"/>
          <w:lang w:eastAsia="zh-CN"/>
        </w:rPr>
        <w:t>164</w:t>
      </w:r>
      <w:r>
        <w:rPr>
          <w:szCs w:val="24"/>
          <w:lang w:val="en-US" w:eastAsia="zh-CN"/>
        </w:rPr>
        <w:t> </w:t>
      </w:r>
      <w:r>
        <w:rPr>
          <w:szCs w:val="24"/>
          <w:lang w:eastAsia="zh-CN"/>
        </w:rPr>
        <w:t>535</w:t>
      </w:r>
      <w:r>
        <w:rPr>
          <w:szCs w:val="24"/>
          <w:lang w:val="en-US" w:eastAsia="zh-CN"/>
        </w:rPr>
        <w:t> </w:t>
      </w:r>
      <w:r>
        <w:rPr>
          <w:szCs w:val="24"/>
          <w:lang w:eastAsia="zh-CN"/>
        </w:rPr>
        <w:t>000</w:t>
      </w:r>
      <w:r>
        <w:rPr>
          <w:rFonts w:hAnsi="Verdana"/>
          <w:lang w:eastAsia="zh-CN"/>
        </w:rPr>
        <w:t>瑞郎</w:t>
      </w:r>
      <w:r w:rsidRPr="00EE181E">
        <w:rPr>
          <w:rFonts w:hAnsi="Verdana"/>
          <w:lang w:eastAsia="zh-CN"/>
        </w:rPr>
        <w:t>，或</w:t>
      </w:r>
      <w:r w:rsidRPr="00C70206">
        <w:rPr>
          <w:szCs w:val="24"/>
          <w:lang w:eastAsia="zh-CN"/>
        </w:rPr>
        <w:t>20</w:t>
      </w:r>
      <w:r>
        <w:rPr>
          <w:szCs w:val="24"/>
          <w:lang w:eastAsia="zh-CN"/>
        </w:rPr>
        <w:t>20</w:t>
      </w:r>
      <w:r w:rsidRPr="00C70206">
        <w:rPr>
          <w:szCs w:val="24"/>
          <w:lang w:eastAsia="zh-CN"/>
        </w:rPr>
        <w:t>-20</w:t>
      </w:r>
      <w:r>
        <w:rPr>
          <w:szCs w:val="24"/>
          <w:lang w:eastAsia="zh-CN"/>
        </w:rPr>
        <w:t>21</w:t>
      </w:r>
      <w:r w:rsidRPr="00EE181E">
        <w:rPr>
          <w:lang w:eastAsia="zh-CN"/>
        </w:rPr>
        <w:t>双年度总额为</w:t>
      </w:r>
      <w:r>
        <w:rPr>
          <w:szCs w:val="24"/>
          <w:lang w:eastAsia="zh-CN"/>
        </w:rPr>
        <w:t>332</w:t>
      </w:r>
      <w:r>
        <w:rPr>
          <w:szCs w:val="24"/>
          <w:lang w:val="en-US" w:eastAsia="zh-CN"/>
        </w:rPr>
        <w:t> </w:t>
      </w:r>
      <w:r>
        <w:rPr>
          <w:szCs w:val="24"/>
          <w:lang w:eastAsia="zh-CN"/>
        </w:rPr>
        <w:t>013</w:t>
      </w:r>
      <w:r>
        <w:rPr>
          <w:szCs w:val="24"/>
          <w:lang w:val="en-US" w:eastAsia="zh-CN"/>
        </w:rPr>
        <w:t> </w:t>
      </w:r>
      <w:r>
        <w:rPr>
          <w:szCs w:val="24"/>
          <w:lang w:eastAsia="zh-CN"/>
        </w:rPr>
        <w:t>000</w:t>
      </w:r>
      <w:r>
        <w:rPr>
          <w:rFonts w:hAnsi="Verdana"/>
          <w:lang w:eastAsia="zh-CN"/>
        </w:rPr>
        <w:t>瑞郎</w:t>
      </w:r>
      <w:r>
        <w:rPr>
          <w:rFonts w:hAnsi="Verdana" w:hint="eastAsia"/>
          <w:lang w:eastAsia="zh-CN"/>
        </w:rPr>
        <w:t>，具体</w:t>
      </w:r>
      <w:r w:rsidRPr="00EE181E">
        <w:rPr>
          <w:rFonts w:hAnsi="Verdana"/>
          <w:lang w:eastAsia="zh-CN"/>
        </w:rPr>
        <w:t>拨款如下：</w:t>
      </w:r>
    </w:p>
    <w:p w14:paraId="4827AA10" w14:textId="77777777" w:rsidR="00C07381" w:rsidRDefault="00C07381" w:rsidP="00C07381">
      <w:pPr>
        <w:ind w:firstLineChars="200" w:firstLine="480"/>
        <w:rPr>
          <w:rFonts w:hAnsi="Verdana"/>
          <w:lang w:eastAsia="zh-CN"/>
        </w:rPr>
      </w:pPr>
    </w:p>
    <w:bookmarkStart w:id="44" w:name="_MON_1624349950"/>
    <w:bookmarkEnd w:id="44"/>
    <w:p w14:paraId="4827AA11" w14:textId="77777777" w:rsidR="00C07381" w:rsidRDefault="00C07381" w:rsidP="00C07381">
      <w:pPr>
        <w:snapToGrid w:val="0"/>
        <w:spacing w:before="0"/>
        <w:jc w:val="numTab"/>
      </w:pPr>
      <w:r>
        <w:object w:dxaOrig="8726" w:dyaOrig="4073" w14:anchorId="4827C8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25pt;height:234pt" o:ole="" o:preferrelative="f">
            <v:imagedata r:id="rId25" o:title=""/>
            <o:lock v:ext="edit" aspectratio="f"/>
          </v:shape>
          <o:OLEObject Type="Embed" ProgID="Excel.Sheet.12" ShapeID="_x0000_i1025" DrawAspect="Content" ObjectID="_1698212981" r:id="rId26"/>
        </w:object>
      </w:r>
    </w:p>
    <w:p w14:paraId="1D576D0D" w14:textId="77777777" w:rsidR="00845AFF" w:rsidRDefault="00845AFF">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lang w:eastAsia="zh-CN"/>
        </w:rPr>
        <w:br w:type="page"/>
      </w:r>
    </w:p>
    <w:p w14:paraId="4827AA12" w14:textId="0AFCBFD1" w:rsidR="00C07381" w:rsidRPr="0018745A" w:rsidRDefault="00C07381" w:rsidP="00C07381">
      <w:pPr>
        <w:pStyle w:val="Call"/>
        <w:rPr>
          <w:i/>
          <w:iCs/>
          <w:szCs w:val="24"/>
          <w:lang w:eastAsia="zh-CN"/>
        </w:rPr>
      </w:pPr>
      <w:r w:rsidRPr="0018745A">
        <w:rPr>
          <w:rFonts w:hint="eastAsia"/>
          <w:lang w:eastAsia="zh-CN"/>
        </w:rPr>
        <w:lastRenderedPageBreak/>
        <w:t>进一步做出决议</w:t>
      </w:r>
    </w:p>
    <w:p w14:paraId="4827AA13" w14:textId="77777777" w:rsidR="00C07381" w:rsidRPr="00D4560C" w:rsidRDefault="00C07381" w:rsidP="00C07381">
      <w:pPr>
        <w:rPr>
          <w:lang w:eastAsia="zh-CN"/>
        </w:rPr>
      </w:pPr>
      <w:r>
        <w:rPr>
          <w:lang w:eastAsia="zh-CN"/>
        </w:rPr>
        <w:t>1</w:t>
      </w:r>
      <w:r w:rsidRPr="00D4560C">
        <w:rPr>
          <w:lang w:eastAsia="zh-CN"/>
        </w:rPr>
        <w:tab/>
      </w:r>
      <w:r w:rsidRPr="00EE181E">
        <w:rPr>
          <w:rFonts w:hint="eastAsia"/>
          <w:lang w:eastAsia="zh-CN"/>
        </w:rPr>
        <w:t>根据成员国依照国际电信联盟《组织法》第</w:t>
      </w:r>
      <w:r w:rsidRPr="00EE181E">
        <w:rPr>
          <w:lang w:eastAsia="zh-CN"/>
        </w:rPr>
        <w:t>160</w:t>
      </w:r>
      <w:r w:rsidRPr="00EE181E">
        <w:rPr>
          <w:rFonts w:hint="eastAsia"/>
          <w:lang w:eastAsia="zh-CN"/>
        </w:rPr>
        <w:t>款和《公约》第</w:t>
      </w:r>
      <w:r w:rsidRPr="00EE181E">
        <w:rPr>
          <w:lang w:eastAsia="zh-CN"/>
        </w:rPr>
        <w:t>468</w:t>
      </w:r>
      <w:r w:rsidRPr="00EE181E">
        <w:rPr>
          <w:rFonts w:hint="eastAsia"/>
          <w:lang w:eastAsia="zh-CN"/>
        </w:rPr>
        <w:t>款所选会费等级，即，在总数为</w:t>
      </w:r>
      <w:r>
        <w:rPr>
          <w:rFonts w:hint="eastAsia"/>
          <w:lang w:eastAsia="zh-CN"/>
        </w:rPr>
        <w:t>3</w:t>
      </w:r>
      <w:r>
        <w:rPr>
          <w:lang w:eastAsia="zh-CN"/>
        </w:rPr>
        <w:t>43 11</w:t>
      </w:r>
      <w:r>
        <w:rPr>
          <w:rFonts w:hint="eastAsia"/>
          <w:lang w:eastAsia="zh-CN"/>
        </w:rPr>
        <w:t>/</w:t>
      </w:r>
      <w:r>
        <w:rPr>
          <w:lang w:eastAsia="zh-CN"/>
        </w:rPr>
        <w:t>6</w:t>
      </w:r>
      <w:r w:rsidRPr="00EE181E">
        <w:rPr>
          <w:rFonts w:hint="eastAsia"/>
          <w:lang w:eastAsia="zh-CN"/>
        </w:rPr>
        <w:t>个会费单位的基础上，确定</w:t>
      </w:r>
      <w:r w:rsidRPr="00EE181E">
        <w:rPr>
          <w:lang w:eastAsia="zh-CN"/>
        </w:rPr>
        <w:t>20</w:t>
      </w:r>
      <w:r>
        <w:rPr>
          <w:lang w:eastAsia="zh-CN"/>
        </w:rPr>
        <w:t>20</w:t>
      </w:r>
      <w:r w:rsidRPr="00EE181E">
        <w:rPr>
          <w:rFonts w:hint="eastAsia"/>
          <w:lang w:eastAsia="zh-CN"/>
        </w:rPr>
        <w:t>和</w:t>
      </w:r>
      <w:r w:rsidRPr="00EE181E">
        <w:rPr>
          <w:lang w:eastAsia="zh-CN"/>
        </w:rPr>
        <w:t>20</w:t>
      </w:r>
      <w:r>
        <w:rPr>
          <w:lang w:eastAsia="zh-CN"/>
        </w:rPr>
        <w:t>21</w:t>
      </w:r>
      <w:r w:rsidRPr="00EE181E">
        <w:rPr>
          <w:rFonts w:hint="eastAsia"/>
          <w:lang w:eastAsia="zh-CN"/>
        </w:rPr>
        <w:t>年</w:t>
      </w:r>
      <w:r>
        <w:rPr>
          <w:rFonts w:hint="eastAsia"/>
          <w:lang w:eastAsia="zh-CN"/>
        </w:rPr>
        <w:t>的</w:t>
      </w:r>
      <w:r w:rsidRPr="00EE181E">
        <w:rPr>
          <w:rFonts w:hint="eastAsia"/>
          <w:lang w:eastAsia="zh-CN"/>
        </w:rPr>
        <w:t>年度会费单位金额为</w:t>
      </w:r>
      <w:r w:rsidRPr="00A72126">
        <w:rPr>
          <w:lang w:eastAsia="zh-CN"/>
        </w:rPr>
        <w:t>318</w:t>
      </w:r>
      <w:r>
        <w:rPr>
          <w:lang w:val="en-US" w:eastAsia="zh-CN"/>
        </w:rPr>
        <w:t> </w:t>
      </w:r>
      <w:r w:rsidRPr="00A72126">
        <w:rPr>
          <w:lang w:eastAsia="zh-CN"/>
        </w:rPr>
        <w:t>000</w:t>
      </w:r>
      <w:r>
        <w:rPr>
          <w:rFonts w:hint="eastAsia"/>
          <w:lang w:eastAsia="zh-CN"/>
        </w:rPr>
        <w:t>瑞郎</w:t>
      </w:r>
      <w:r w:rsidRPr="00A72126">
        <w:rPr>
          <w:rFonts w:hint="eastAsia"/>
          <w:lang w:eastAsia="zh-CN"/>
        </w:rPr>
        <w:t>；</w:t>
      </w:r>
    </w:p>
    <w:p w14:paraId="4827AA14" w14:textId="77777777" w:rsidR="00C07381" w:rsidRPr="00D4560C" w:rsidRDefault="00C07381" w:rsidP="00C07381">
      <w:pPr>
        <w:rPr>
          <w:lang w:eastAsia="zh-CN"/>
        </w:rPr>
      </w:pPr>
      <w:r>
        <w:rPr>
          <w:lang w:eastAsia="zh-CN"/>
        </w:rPr>
        <w:t>2</w:t>
      </w:r>
      <w:r w:rsidRPr="00D4560C">
        <w:rPr>
          <w:lang w:eastAsia="zh-CN"/>
        </w:rPr>
        <w:tab/>
      </w:r>
      <w:r w:rsidRPr="00C70206">
        <w:rPr>
          <w:lang w:eastAsia="zh-CN"/>
        </w:rPr>
        <w:t>根据国际电信联盟《公约》第</w:t>
      </w:r>
      <w:r w:rsidRPr="00C70206">
        <w:rPr>
          <w:lang w:eastAsia="zh-CN"/>
        </w:rPr>
        <w:t>480</w:t>
      </w:r>
      <w:r w:rsidRPr="00C70206">
        <w:rPr>
          <w:lang w:eastAsia="zh-CN"/>
        </w:rPr>
        <w:t>款，</w:t>
      </w:r>
      <w:r>
        <w:rPr>
          <w:rFonts w:hint="eastAsia"/>
          <w:lang w:eastAsia="zh-CN"/>
        </w:rPr>
        <w:t>将</w:t>
      </w:r>
      <w:r w:rsidRPr="00C70206">
        <w:rPr>
          <w:lang w:eastAsia="zh-CN"/>
        </w:rPr>
        <w:t>部门成员在</w:t>
      </w:r>
      <w:r w:rsidRPr="00C70206">
        <w:rPr>
          <w:lang w:eastAsia="zh-CN"/>
        </w:rPr>
        <w:t>20</w:t>
      </w:r>
      <w:r>
        <w:rPr>
          <w:lang w:eastAsia="zh-CN"/>
        </w:rPr>
        <w:t>20</w:t>
      </w:r>
      <w:r w:rsidRPr="00C70206">
        <w:rPr>
          <w:lang w:eastAsia="zh-CN"/>
        </w:rPr>
        <w:t>和</w:t>
      </w:r>
      <w:r w:rsidRPr="00C70206">
        <w:rPr>
          <w:lang w:eastAsia="zh-CN"/>
        </w:rPr>
        <w:t>20</w:t>
      </w:r>
      <w:r>
        <w:rPr>
          <w:lang w:eastAsia="zh-CN"/>
        </w:rPr>
        <w:t>21</w:t>
      </w:r>
      <w:r w:rsidRPr="00C70206">
        <w:rPr>
          <w:lang w:eastAsia="zh-CN"/>
        </w:rPr>
        <w:t>年摊付无线电通信部门（</w:t>
      </w:r>
      <w:r w:rsidRPr="00C70206">
        <w:rPr>
          <w:lang w:eastAsia="zh-CN"/>
        </w:rPr>
        <w:t>ITU-R</w:t>
      </w:r>
      <w:r w:rsidRPr="00C70206">
        <w:rPr>
          <w:lang w:eastAsia="zh-CN"/>
        </w:rPr>
        <w:t>）、电信标准化部门（</w:t>
      </w:r>
      <w:r w:rsidRPr="00C70206">
        <w:rPr>
          <w:lang w:eastAsia="zh-CN"/>
        </w:rPr>
        <w:t>ITU-T</w:t>
      </w:r>
      <w:r w:rsidRPr="00C70206">
        <w:rPr>
          <w:lang w:eastAsia="zh-CN"/>
        </w:rPr>
        <w:t>）和电信发展部门（</w:t>
      </w:r>
      <w:r w:rsidRPr="00C70206">
        <w:rPr>
          <w:lang w:eastAsia="zh-CN"/>
        </w:rPr>
        <w:t>ITU-D</w:t>
      </w:r>
      <w:r>
        <w:rPr>
          <w:lang w:eastAsia="zh-CN"/>
        </w:rPr>
        <w:t>）会议</w:t>
      </w:r>
      <w:r>
        <w:rPr>
          <w:rFonts w:hint="eastAsia"/>
          <w:lang w:eastAsia="zh-CN"/>
        </w:rPr>
        <w:t>支出</w:t>
      </w:r>
      <w:r w:rsidRPr="00C70206">
        <w:rPr>
          <w:lang w:eastAsia="zh-CN"/>
        </w:rPr>
        <w:t>的年度会费单位金额确定为</w:t>
      </w:r>
      <w:r w:rsidRPr="00C70206">
        <w:rPr>
          <w:lang w:eastAsia="zh-CN"/>
        </w:rPr>
        <w:t>63</w:t>
      </w:r>
      <w:r>
        <w:rPr>
          <w:lang w:val="en-US" w:eastAsia="zh-CN"/>
        </w:rPr>
        <w:t> </w:t>
      </w:r>
      <w:r>
        <w:rPr>
          <w:lang w:eastAsia="zh-CN"/>
        </w:rPr>
        <w:t>600</w:t>
      </w:r>
      <w:r>
        <w:rPr>
          <w:lang w:eastAsia="zh-CN"/>
        </w:rPr>
        <w:t>瑞郎</w:t>
      </w:r>
      <w:r w:rsidRPr="00C70206">
        <w:rPr>
          <w:lang w:eastAsia="zh-CN"/>
        </w:rPr>
        <w:t>；</w:t>
      </w:r>
    </w:p>
    <w:p w14:paraId="4827AA15" w14:textId="3DFF4112" w:rsidR="00C07381" w:rsidRDefault="00C07381">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A16" w14:textId="77777777" w:rsidR="00C07381" w:rsidRPr="00EE181E" w:rsidRDefault="00C07381" w:rsidP="00C07381">
      <w:pPr>
        <w:rPr>
          <w:lang w:eastAsia="zh-CN"/>
        </w:rPr>
      </w:pPr>
      <w:r>
        <w:rPr>
          <w:lang w:eastAsia="zh-CN"/>
        </w:rPr>
        <w:t>3</w:t>
      </w:r>
      <w:r w:rsidRPr="00D4560C">
        <w:rPr>
          <w:lang w:eastAsia="zh-CN"/>
        </w:rPr>
        <w:tab/>
      </w:r>
      <w:r>
        <w:rPr>
          <w:rFonts w:hint="eastAsia"/>
          <w:lang w:eastAsia="zh-CN"/>
        </w:rPr>
        <w:t>将</w:t>
      </w:r>
      <w:r w:rsidRPr="00C70206">
        <w:rPr>
          <w:lang w:eastAsia="zh-CN"/>
        </w:rPr>
        <w:t>部门准成员</w:t>
      </w:r>
      <w:r>
        <w:rPr>
          <w:rFonts w:hint="eastAsia"/>
          <w:lang w:eastAsia="zh-CN"/>
        </w:rPr>
        <w:t>缴</w:t>
      </w:r>
      <w:r w:rsidRPr="00C70206">
        <w:rPr>
          <w:lang w:eastAsia="zh-CN"/>
        </w:rPr>
        <w:t>纳的会费确定如下：</w:t>
      </w:r>
    </w:p>
    <w:p w14:paraId="4827AA17" w14:textId="77777777" w:rsidR="00C07381" w:rsidRPr="00413396" w:rsidRDefault="00C07381" w:rsidP="00C07381">
      <w:pPr>
        <w:pStyle w:val="enumlev1"/>
        <w:rPr>
          <w:lang w:eastAsia="zh-CN"/>
        </w:rPr>
      </w:pPr>
      <w:r>
        <w:rPr>
          <w:lang w:val="en-US" w:eastAsia="zh-CN"/>
        </w:rPr>
        <w:t>a)</w:t>
      </w:r>
      <w:r>
        <w:rPr>
          <w:lang w:val="en-US" w:eastAsia="zh-CN"/>
        </w:rPr>
        <w:tab/>
      </w:r>
      <w:r w:rsidRPr="00D4560C">
        <w:rPr>
          <w:szCs w:val="24"/>
          <w:lang w:eastAsia="zh-CN"/>
        </w:rPr>
        <w:t>10</w:t>
      </w:r>
      <w:r>
        <w:rPr>
          <w:szCs w:val="24"/>
          <w:lang w:eastAsia="zh-CN"/>
        </w:rPr>
        <w:t> </w:t>
      </w:r>
      <w:r w:rsidRPr="00D4560C">
        <w:rPr>
          <w:szCs w:val="24"/>
          <w:lang w:eastAsia="zh-CN"/>
        </w:rPr>
        <w:t>600</w:t>
      </w:r>
      <w:r>
        <w:rPr>
          <w:lang w:eastAsia="zh-CN"/>
        </w:rPr>
        <w:t>瑞郎</w:t>
      </w:r>
      <w:r>
        <w:rPr>
          <w:rFonts w:hint="eastAsia"/>
          <w:lang w:eastAsia="zh-CN"/>
        </w:rPr>
        <w:tab/>
      </w:r>
      <w:r>
        <w:rPr>
          <w:lang w:eastAsia="zh-CN"/>
        </w:rPr>
        <w:tab/>
      </w:r>
      <w:r w:rsidRPr="00A2057C">
        <w:rPr>
          <w:rFonts w:cstheme="minorHAnsi"/>
          <w:szCs w:val="24"/>
          <w:lang w:eastAsia="zh-CN"/>
        </w:rPr>
        <w:t>适用于参加</w:t>
      </w:r>
      <w:r w:rsidRPr="00413396">
        <w:rPr>
          <w:lang w:eastAsia="zh-CN"/>
        </w:rPr>
        <w:t>ITU-T</w:t>
      </w:r>
      <w:r w:rsidRPr="00413396">
        <w:rPr>
          <w:lang w:eastAsia="zh-CN"/>
        </w:rPr>
        <w:t>和</w:t>
      </w:r>
      <w:r w:rsidRPr="00413396">
        <w:rPr>
          <w:lang w:eastAsia="zh-CN"/>
        </w:rPr>
        <w:t>ITU-R</w:t>
      </w:r>
      <w:r w:rsidRPr="00413396">
        <w:rPr>
          <w:lang w:eastAsia="zh-CN"/>
        </w:rPr>
        <w:t>工作的部门准成员；</w:t>
      </w:r>
    </w:p>
    <w:p w14:paraId="4827AA18" w14:textId="77777777" w:rsidR="00C07381" w:rsidRPr="00413396" w:rsidRDefault="00C07381" w:rsidP="00C07381">
      <w:pPr>
        <w:pStyle w:val="enumlev1"/>
        <w:rPr>
          <w:lang w:eastAsia="zh-CN"/>
        </w:rPr>
      </w:pPr>
      <w:r>
        <w:rPr>
          <w:lang w:eastAsia="zh-CN"/>
        </w:rPr>
        <w:t>b)</w:t>
      </w:r>
      <w:r w:rsidRPr="00413396">
        <w:rPr>
          <w:rFonts w:hint="eastAsia"/>
          <w:lang w:eastAsia="zh-CN"/>
        </w:rPr>
        <w:tab/>
      </w:r>
      <w:r w:rsidRPr="00D4560C">
        <w:rPr>
          <w:szCs w:val="24"/>
          <w:lang w:eastAsia="zh-CN"/>
        </w:rPr>
        <w:t>3</w:t>
      </w:r>
      <w:r>
        <w:rPr>
          <w:szCs w:val="24"/>
          <w:lang w:eastAsia="zh-CN"/>
        </w:rPr>
        <w:t> </w:t>
      </w:r>
      <w:r w:rsidRPr="00D4560C">
        <w:rPr>
          <w:szCs w:val="24"/>
          <w:lang w:eastAsia="zh-CN"/>
        </w:rPr>
        <w:t>975</w:t>
      </w:r>
      <w:r>
        <w:rPr>
          <w:lang w:eastAsia="zh-CN"/>
        </w:rPr>
        <w:t>瑞郎</w:t>
      </w:r>
      <w:r w:rsidRPr="00413396">
        <w:rPr>
          <w:lang w:eastAsia="zh-CN"/>
        </w:rPr>
        <w:tab/>
      </w:r>
      <w:r>
        <w:rPr>
          <w:rFonts w:hint="eastAsia"/>
          <w:lang w:eastAsia="zh-CN"/>
        </w:rPr>
        <w:tab/>
      </w:r>
      <w:r w:rsidRPr="000A489E">
        <w:rPr>
          <w:lang w:eastAsia="zh-CN"/>
        </w:rPr>
        <w:t>适用于参加</w:t>
      </w:r>
      <w:r>
        <w:rPr>
          <w:lang w:eastAsia="zh-CN"/>
        </w:rPr>
        <w:t>ITU-D</w:t>
      </w:r>
      <w:r w:rsidRPr="00413396">
        <w:rPr>
          <w:lang w:eastAsia="zh-CN"/>
        </w:rPr>
        <w:t>工作的部门准成员；</w:t>
      </w:r>
    </w:p>
    <w:p w14:paraId="4827AA19" w14:textId="77777777" w:rsidR="00C07381" w:rsidRDefault="00C07381" w:rsidP="00C07381">
      <w:pPr>
        <w:pStyle w:val="enumlev1"/>
        <w:rPr>
          <w:lang w:eastAsia="zh-CN"/>
        </w:rPr>
      </w:pPr>
      <w:r>
        <w:rPr>
          <w:lang w:eastAsia="zh-CN"/>
        </w:rPr>
        <w:t>c)</w:t>
      </w:r>
      <w:r w:rsidRPr="00413396">
        <w:rPr>
          <w:rFonts w:hint="eastAsia"/>
          <w:lang w:eastAsia="zh-CN"/>
        </w:rPr>
        <w:tab/>
      </w:r>
      <w:r w:rsidRPr="00D4560C">
        <w:rPr>
          <w:szCs w:val="24"/>
          <w:lang w:eastAsia="zh-CN"/>
        </w:rPr>
        <w:t>1</w:t>
      </w:r>
      <w:r>
        <w:rPr>
          <w:szCs w:val="24"/>
          <w:lang w:eastAsia="zh-CN"/>
        </w:rPr>
        <w:t> </w:t>
      </w:r>
      <w:r w:rsidRPr="00D4560C">
        <w:rPr>
          <w:szCs w:val="24"/>
          <w:lang w:eastAsia="zh-CN"/>
        </w:rPr>
        <w:t>987</w:t>
      </w:r>
      <w:r>
        <w:rPr>
          <w:szCs w:val="24"/>
          <w:lang w:eastAsia="zh-CN"/>
        </w:rPr>
        <w:t>.</w:t>
      </w:r>
      <w:r w:rsidRPr="00D4560C">
        <w:rPr>
          <w:szCs w:val="24"/>
          <w:lang w:eastAsia="zh-CN"/>
        </w:rPr>
        <w:t>50</w:t>
      </w:r>
      <w:r>
        <w:rPr>
          <w:lang w:eastAsia="zh-CN"/>
        </w:rPr>
        <w:t>瑞郎</w:t>
      </w:r>
      <w:r w:rsidRPr="00413396">
        <w:rPr>
          <w:rFonts w:hint="eastAsia"/>
          <w:lang w:eastAsia="zh-CN"/>
        </w:rPr>
        <w:tab/>
      </w:r>
      <w:r w:rsidRPr="000A489E">
        <w:rPr>
          <w:lang w:eastAsia="zh-CN"/>
        </w:rPr>
        <w:t>适用于参加</w:t>
      </w:r>
      <w:r w:rsidRPr="00413396">
        <w:rPr>
          <w:lang w:eastAsia="zh-CN"/>
        </w:rPr>
        <w:t>ITU-D</w:t>
      </w:r>
      <w:r w:rsidRPr="00413396">
        <w:rPr>
          <w:lang w:eastAsia="zh-CN"/>
        </w:rPr>
        <w:t>工作的来自发展中国家的部门准成员</w:t>
      </w:r>
      <w:r>
        <w:rPr>
          <w:rFonts w:hint="eastAsia"/>
          <w:lang w:eastAsia="zh-CN"/>
        </w:rPr>
        <w:t>；</w:t>
      </w:r>
    </w:p>
    <w:p w14:paraId="4827AA1A" w14:textId="77777777" w:rsidR="00C07381" w:rsidRPr="00D4560C" w:rsidRDefault="00C07381" w:rsidP="00C07381">
      <w:pPr>
        <w:rPr>
          <w:szCs w:val="24"/>
          <w:lang w:eastAsia="zh-CN"/>
        </w:rPr>
      </w:pPr>
      <w:r>
        <w:rPr>
          <w:rFonts w:hint="eastAsia"/>
          <w:lang w:eastAsia="zh-CN"/>
        </w:rPr>
        <w:t>4</w:t>
      </w:r>
      <w:r>
        <w:rPr>
          <w:rFonts w:hint="eastAsia"/>
          <w:lang w:eastAsia="zh-CN"/>
        </w:rPr>
        <w:tab/>
      </w:r>
      <w:r>
        <w:rPr>
          <w:rFonts w:hint="eastAsia"/>
          <w:lang w:eastAsia="zh-CN"/>
        </w:rPr>
        <w:t>将学术成员、大学及其相关研究机构的年费确定为：</w:t>
      </w:r>
    </w:p>
    <w:p w14:paraId="4827AA1B" w14:textId="77777777" w:rsidR="00C07381" w:rsidRPr="00D4560C" w:rsidRDefault="00C07381" w:rsidP="00C07381">
      <w:pPr>
        <w:pStyle w:val="enumlev1"/>
        <w:rPr>
          <w:szCs w:val="24"/>
          <w:lang w:eastAsia="zh-CN"/>
        </w:rPr>
      </w:pPr>
      <w:r>
        <w:rPr>
          <w:rFonts w:cstheme="minorHAnsi"/>
          <w:szCs w:val="24"/>
          <w:lang w:eastAsia="zh-CN"/>
        </w:rPr>
        <w:t>a)</w:t>
      </w:r>
      <w:r>
        <w:rPr>
          <w:rFonts w:cstheme="minorHAnsi"/>
          <w:szCs w:val="24"/>
          <w:lang w:eastAsia="zh-CN"/>
        </w:rPr>
        <w:tab/>
      </w:r>
      <w:r w:rsidRPr="00D4560C">
        <w:rPr>
          <w:szCs w:val="24"/>
          <w:lang w:eastAsia="zh-CN"/>
        </w:rPr>
        <w:t>3</w:t>
      </w:r>
      <w:r>
        <w:rPr>
          <w:szCs w:val="24"/>
          <w:lang w:eastAsia="zh-CN"/>
        </w:rPr>
        <w:t> </w:t>
      </w:r>
      <w:r w:rsidRPr="00D4560C">
        <w:rPr>
          <w:szCs w:val="24"/>
          <w:lang w:eastAsia="zh-CN"/>
        </w:rPr>
        <w:t>975</w:t>
      </w:r>
      <w:r>
        <w:rPr>
          <w:lang w:eastAsia="zh-CN"/>
        </w:rPr>
        <w:t>瑞郎</w:t>
      </w:r>
      <w:r w:rsidRPr="00D4560C">
        <w:rPr>
          <w:szCs w:val="24"/>
          <w:lang w:eastAsia="zh-CN"/>
        </w:rPr>
        <w:tab/>
      </w:r>
      <w:r>
        <w:rPr>
          <w:szCs w:val="24"/>
          <w:lang w:eastAsia="zh-CN"/>
        </w:rPr>
        <w:tab/>
      </w:r>
      <w:r w:rsidRPr="000A489E">
        <w:rPr>
          <w:rFonts w:hint="eastAsia"/>
          <w:lang w:eastAsia="zh-CN"/>
        </w:rPr>
        <w:t>适用于参加三个部门工作的来自发达国家的组织</w:t>
      </w:r>
      <w:r w:rsidRPr="00846A9F">
        <w:rPr>
          <w:rFonts w:hint="eastAsia"/>
          <w:lang w:eastAsia="zh-CN"/>
        </w:rPr>
        <w:t>；</w:t>
      </w:r>
    </w:p>
    <w:p w14:paraId="4827AA1C" w14:textId="77777777" w:rsidR="00C07381" w:rsidRDefault="00C07381" w:rsidP="00C07381">
      <w:pPr>
        <w:pStyle w:val="enumlev1"/>
        <w:rPr>
          <w:lang w:eastAsia="zh-CN"/>
        </w:rPr>
      </w:pPr>
      <w:r>
        <w:rPr>
          <w:rFonts w:cstheme="minorHAnsi"/>
          <w:szCs w:val="24"/>
          <w:lang w:eastAsia="zh-CN"/>
        </w:rPr>
        <w:t>b)</w:t>
      </w:r>
      <w:r>
        <w:rPr>
          <w:rFonts w:cstheme="minorHAnsi"/>
          <w:szCs w:val="24"/>
          <w:lang w:eastAsia="zh-CN"/>
        </w:rPr>
        <w:tab/>
      </w:r>
      <w:r w:rsidRPr="00D4560C">
        <w:rPr>
          <w:szCs w:val="24"/>
          <w:lang w:eastAsia="zh-CN"/>
        </w:rPr>
        <w:t>1</w:t>
      </w:r>
      <w:r>
        <w:rPr>
          <w:szCs w:val="24"/>
          <w:lang w:eastAsia="zh-CN"/>
        </w:rPr>
        <w:t> </w:t>
      </w:r>
      <w:r w:rsidRPr="00D4560C">
        <w:rPr>
          <w:szCs w:val="24"/>
          <w:lang w:eastAsia="zh-CN"/>
        </w:rPr>
        <w:t>987</w:t>
      </w:r>
      <w:r>
        <w:rPr>
          <w:szCs w:val="24"/>
          <w:lang w:eastAsia="zh-CN"/>
        </w:rPr>
        <w:t>.</w:t>
      </w:r>
      <w:r w:rsidRPr="00D4560C">
        <w:rPr>
          <w:szCs w:val="24"/>
          <w:lang w:eastAsia="zh-CN"/>
        </w:rPr>
        <w:t>50</w:t>
      </w:r>
      <w:r>
        <w:rPr>
          <w:lang w:eastAsia="zh-CN"/>
        </w:rPr>
        <w:t>瑞郎</w:t>
      </w:r>
      <w:r w:rsidRPr="00D4560C">
        <w:rPr>
          <w:szCs w:val="24"/>
          <w:lang w:eastAsia="zh-CN"/>
        </w:rPr>
        <w:tab/>
      </w:r>
      <w:r>
        <w:rPr>
          <w:rFonts w:hint="eastAsia"/>
          <w:lang w:eastAsia="zh-CN"/>
        </w:rPr>
        <w:t>适用于参加三个部门工作的来自发展中国家的组织；</w:t>
      </w:r>
    </w:p>
    <w:p w14:paraId="4827AA1D" w14:textId="77777777" w:rsidR="00C07381" w:rsidRPr="00D4560C" w:rsidRDefault="00C07381" w:rsidP="00C07381">
      <w:pPr>
        <w:rPr>
          <w:lang w:eastAsia="zh-CN"/>
        </w:rPr>
      </w:pPr>
      <w:r>
        <w:rPr>
          <w:rFonts w:hint="eastAsia"/>
          <w:lang w:eastAsia="zh-CN"/>
        </w:rPr>
        <w:t>5</w:t>
      </w:r>
      <w:r>
        <w:rPr>
          <w:lang w:eastAsia="zh-CN"/>
        </w:rPr>
        <w:tab/>
      </w:r>
      <w:r w:rsidRPr="00C70206">
        <w:rPr>
          <w:lang w:eastAsia="zh-CN"/>
        </w:rPr>
        <w:t>授权秘书长，根据发生的变化</w:t>
      </w:r>
      <w:r>
        <w:rPr>
          <w:rFonts w:hint="eastAsia"/>
          <w:lang w:eastAsia="zh-CN"/>
        </w:rPr>
        <w:t>，</w:t>
      </w:r>
      <w:r w:rsidRPr="00C70206">
        <w:rPr>
          <w:lang w:eastAsia="zh-CN"/>
        </w:rPr>
        <w:t>通过使用储备金账目，</w:t>
      </w:r>
      <w:r>
        <w:rPr>
          <w:rFonts w:hint="eastAsia"/>
          <w:lang w:eastAsia="zh-CN"/>
        </w:rPr>
        <w:t>调整</w:t>
      </w:r>
      <w:r w:rsidRPr="00C70206">
        <w:rPr>
          <w:lang w:eastAsia="zh-CN"/>
        </w:rPr>
        <w:t>对下述</w:t>
      </w:r>
      <w:r w:rsidRPr="00C70206">
        <w:rPr>
          <w:lang w:eastAsia="zh-CN"/>
        </w:rPr>
        <w:t>a</w:t>
      </w:r>
      <w:r>
        <w:rPr>
          <w:rFonts w:hint="eastAsia"/>
          <w:lang w:eastAsia="zh-CN"/>
        </w:rPr>
        <w:t>)</w:t>
      </w:r>
      <w:r w:rsidRPr="00C70206">
        <w:rPr>
          <w:lang w:eastAsia="zh-CN"/>
        </w:rPr>
        <w:t>和</w:t>
      </w:r>
      <w:r w:rsidRPr="00C70206">
        <w:rPr>
          <w:lang w:eastAsia="zh-CN"/>
        </w:rPr>
        <w:t>b</w:t>
      </w:r>
      <w:r>
        <w:rPr>
          <w:rFonts w:hint="eastAsia"/>
          <w:lang w:eastAsia="zh-CN"/>
        </w:rPr>
        <w:t>)</w:t>
      </w:r>
      <w:r>
        <w:rPr>
          <w:lang w:eastAsia="zh-CN"/>
        </w:rPr>
        <w:t>项</w:t>
      </w:r>
      <w:r w:rsidRPr="00C70206">
        <w:rPr>
          <w:lang w:eastAsia="zh-CN"/>
        </w:rPr>
        <w:t>支出</w:t>
      </w:r>
      <w:r>
        <w:rPr>
          <w:rFonts w:hint="eastAsia"/>
          <w:lang w:eastAsia="zh-CN"/>
        </w:rPr>
        <w:t>的</w:t>
      </w:r>
      <w:r>
        <w:rPr>
          <w:lang w:eastAsia="zh-CN"/>
        </w:rPr>
        <w:t>拨款，</w:t>
      </w:r>
      <w:r>
        <w:rPr>
          <w:rFonts w:hint="eastAsia"/>
          <w:lang w:eastAsia="zh-CN"/>
        </w:rPr>
        <w:t>并且前提是</w:t>
      </w:r>
      <w:r w:rsidRPr="00C70206">
        <w:rPr>
          <w:lang w:eastAsia="zh-CN"/>
        </w:rPr>
        <w:t>储备金账目保持在第</w:t>
      </w:r>
      <w:r w:rsidRPr="00C70206">
        <w:rPr>
          <w:lang w:eastAsia="zh-CN"/>
        </w:rPr>
        <w:t>5</w:t>
      </w:r>
      <w:r w:rsidRPr="00C70206">
        <w:rPr>
          <w:lang w:eastAsia="zh-CN"/>
        </w:rPr>
        <w:t>号决定（</w:t>
      </w:r>
      <w:r w:rsidRPr="00C70206">
        <w:rPr>
          <w:lang w:eastAsia="zh-CN"/>
        </w:rPr>
        <w:t>20</w:t>
      </w:r>
      <w:r>
        <w:rPr>
          <w:rFonts w:hint="eastAsia"/>
          <w:lang w:eastAsia="zh-CN"/>
        </w:rPr>
        <w:t>1</w:t>
      </w:r>
      <w:r>
        <w:rPr>
          <w:lang w:eastAsia="zh-CN"/>
        </w:rPr>
        <w:t>8</w:t>
      </w:r>
      <w:r w:rsidRPr="00C70206">
        <w:rPr>
          <w:lang w:eastAsia="zh-CN"/>
        </w:rPr>
        <w:t>年，</w:t>
      </w:r>
      <w:r>
        <w:rPr>
          <w:rFonts w:hint="eastAsia"/>
          <w:lang w:eastAsia="zh-CN"/>
        </w:rPr>
        <w:t>迪拜</w:t>
      </w:r>
      <w:r>
        <w:rPr>
          <w:lang w:eastAsia="zh-CN"/>
        </w:rPr>
        <w:t>，修订版）</w:t>
      </w:r>
      <w:r>
        <w:rPr>
          <w:rFonts w:hint="eastAsia"/>
          <w:lang w:eastAsia="zh-CN"/>
        </w:rPr>
        <w:t>规定</w:t>
      </w:r>
      <w:r w:rsidRPr="00C70206">
        <w:rPr>
          <w:lang w:eastAsia="zh-CN"/>
        </w:rPr>
        <w:t>的水平</w:t>
      </w:r>
      <w:r>
        <w:rPr>
          <w:rFonts w:hint="eastAsia"/>
          <w:lang w:eastAsia="zh-CN"/>
        </w:rPr>
        <w:t>上</w:t>
      </w:r>
      <w:r w:rsidRPr="00C70206">
        <w:rPr>
          <w:lang w:eastAsia="zh-CN"/>
        </w:rPr>
        <w:t>：</w:t>
      </w:r>
    </w:p>
    <w:p w14:paraId="4827AA1E" w14:textId="77777777" w:rsidR="00C07381" w:rsidRPr="00D4560C" w:rsidRDefault="00C07381" w:rsidP="00C07381">
      <w:pPr>
        <w:pStyle w:val="enumlev1"/>
        <w:rPr>
          <w:lang w:val="en-US" w:eastAsia="zh-CN"/>
        </w:rPr>
      </w:pPr>
      <w:r w:rsidRPr="00D4560C">
        <w:rPr>
          <w:lang w:val="en-US" w:eastAsia="zh-CN"/>
        </w:rPr>
        <w:t>a)</w:t>
      </w:r>
      <w:r w:rsidRPr="00D4560C">
        <w:rPr>
          <w:lang w:val="en-US" w:eastAsia="zh-CN"/>
        </w:rPr>
        <w:tab/>
      </w:r>
      <w:r>
        <w:rPr>
          <w:rFonts w:hint="eastAsia"/>
          <w:lang w:eastAsia="zh-CN"/>
        </w:rPr>
        <w:t>提高对</w:t>
      </w:r>
      <w:r w:rsidRPr="00C70206">
        <w:rPr>
          <w:lang w:eastAsia="zh-CN"/>
        </w:rPr>
        <w:t>薪金表</w:t>
      </w:r>
      <w:r>
        <w:rPr>
          <w:rFonts w:hint="eastAsia"/>
          <w:lang w:eastAsia="zh-CN"/>
        </w:rPr>
        <w:t>、</w:t>
      </w:r>
      <w:r w:rsidRPr="00C70206">
        <w:rPr>
          <w:lang w:eastAsia="zh-CN"/>
        </w:rPr>
        <w:t>养恤金的</w:t>
      </w:r>
      <w:r>
        <w:rPr>
          <w:rFonts w:hint="eastAsia"/>
          <w:lang w:eastAsia="zh-CN"/>
        </w:rPr>
        <w:t>缴</w:t>
      </w:r>
      <w:r w:rsidRPr="00C70206">
        <w:rPr>
          <w:lang w:eastAsia="zh-CN"/>
        </w:rPr>
        <w:t>款部分和津贴</w:t>
      </w:r>
      <w:r>
        <w:rPr>
          <w:rFonts w:hint="eastAsia"/>
          <w:lang w:eastAsia="zh-CN"/>
        </w:rPr>
        <w:t>的拨款</w:t>
      </w:r>
      <w:r w:rsidRPr="00C70206">
        <w:rPr>
          <w:lang w:eastAsia="zh-CN"/>
        </w:rPr>
        <w:t>，其中包括联合国共同</w:t>
      </w:r>
      <w:r>
        <w:rPr>
          <w:rFonts w:hint="eastAsia"/>
          <w:lang w:eastAsia="zh-CN"/>
        </w:rPr>
        <w:t>制度</w:t>
      </w:r>
      <w:r w:rsidRPr="00C70206">
        <w:rPr>
          <w:lang w:eastAsia="zh-CN"/>
        </w:rPr>
        <w:t>通过的、适用于日内瓦地区的任职地点补贴调整数</w:t>
      </w:r>
      <w:r>
        <w:rPr>
          <w:rFonts w:hint="eastAsia"/>
          <w:lang w:eastAsia="zh-CN"/>
        </w:rPr>
        <w:t>；</w:t>
      </w:r>
    </w:p>
    <w:p w14:paraId="4827AA1F" w14:textId="77777777" w:rsidR="00C07381" w:rsidRDefault="00C07381" w:rsidP="00C07381">
      <w:pPr>
        <w:pStyle w:val="enumlev1"/>
        <w:rPr>
          <w:lang w:eastAsia="zh-CN"/>
        </w:rPr>
      </w:pPr>
      <w:r w:rsidRPr="00D4560C">
        <w:rPr>
          <w:lang w:val="en-US" w:eastAsia="zh-CN"/>
        </w:rPr>
        <w:t>b)</w:t>
      </w:r>
      <w:r w:rsidRPr="00D4560C">
        <w:rPr>
          <w:lang w:val="en-US" w:eastAsia="zh-CN"/>
        </w:rPr>
        <w:tab/>
      </w:r>
      <w:r>
        <w:rPr>
          <w:rFonts w:hint="eastAsia"/>
          <w:lang w:eastAsia="zh-CN"/>
        </w:rPr>
        <w:t>当</w:t>
      </w:r>
      <w:r w:rsidRPr="00C70206">
        <w:rPr>
          <w:lang w:eastAsia="zh-CN"/>
        </w:rPr>
        <w:t>美元和</w:t>
      </w:r>
      <w:r>
        <w:rPr>
          <w:lang w:eastAsia="zh-CN"/>
        </w:rPr>
        <w:t>瑞郎</w:t>
      </w:r>
      <w:r w:rsidRPr="00C70206">
        <w:rPr>
          <w:lang w:eastAsia="zh-CN"/>
        </w:rPr>
        <w:t>的兑换率浮动</w:t>
      </w:r>
      <w:r>
        <w:rPr>
          <w:rFonts w:hint="eastAsia"/>
          <w:lang w:eastAsia="zh-CN"/>
        </w:rPr>
        <w:t>影响到</w:t>
      </w:r>
      <w:r w:rsidRPr="00C70206">
        <w:rPr>
          <w:lang w:eastAsia="zh-CN"/>
        </w:rPr>
        <w:t>联合国薪金表上职员</w:t>
      </w:r>
      <w:r w:rsidRPr="00EE181E">
        <w:rPr>
          <w:lang w:eastAsia="zh-CN"/>
        </w:rPr>
        <w:t>相关</w:t>
      </w:r>
      <w:r w:rsidRPr="00C70206">
        <w:rPr>
          <w:lang w:eastAsia="zh-CN"/>
        </w:rPr>
        <w:t>人员费用</w:t>
      </w:r>
      <w:r>
        <w:rPr>
          <w:rFonts w:hint="eastAsia"/>
          <w:lang w:eastAsia="zh-CN"/>
        </w:rPr>
        <w:t>时，调整拨款；</w:t>
      </w:r>
    </w:p>
    <w:p w14:paraId="4827AA20" w14:textId="77777777" w:rsidR="00C07381" w:rsidRPr="00D4560C" w:rsidRDefault="00C07381" w:rsidP="00C07381">
      <w:pPr>
        <w:pStyle w:val="enumlev1"/>
        <w:rPr>
          <w:rFonts w:cs="Calibri"/>
          <w:szCs w:val="24"/>
          <w:lang w:val="en-US" w:eastAsia="zh-CN"/>
        </w:rPr>
      </w:pPr>
      <w:r>
        <w:rPr>
          <w:rFonts w:cs="Calibri"/>
          <w:szCs w:val="24"/>
          <w:lang w:val="en-US" w:eastAsia="zh-CN"/>
        </w:rPr>
        <w:t>c)</w:t>
      </w:r>
      <w:r w:rsidRPr="00D4560C">
        <w:rPr>
          <w:rFonts w:cs="Calibri"/>
          <w:szCs w:val="24"/>
          <w:lang w:val="en-US" w:eastAsia="zh-CN"/>
        </w:rPr>
        <w:tab/>
      </w:r>
      <w:r>
        <w:rPr>
          <w:rFonts w:hint="eastAsia"/>
          <w:lang w:eastAsia="zh-CN"/>
        </w:rPr>
        <w:t>在</w:t>
      </w:r>
      <w:r>
        <w:rPr>
          <w:rFonts w:hint="eastAsia"/>
          <w:lang w:eastAsia="zh-CN"/>
        </w:rPr>
        <w:t>20</w:t>
      </w:r>
      <w:r>
        <w:rPr>
          <w:lang w:eastAsia="zh-CN"/>
        </w:rPr>
        <w:t>20</w:t>
      </w:r>
      <w:r>
        <w:rPr>
          <w:rFonts w:hint="eastAsia"/>
          <w:lang w:eastAsia="zh-CN"/>
        </w:rPr>
        <w:t>-20</w:t>
      </w:r>
      <w:r>
        <w:rPr>
          <w:lang w:eastAsia="zh-CN"/>
        </w:rPr>
        <w:t>21</w:t>
      </w:r>
      <w:r>
        <w:rPr>
          <w:rFonts w:hint="eastAsia"/>
          <w:lang w:eastAsia="zh-CN"/>
        </w:rPr>
        <w:t>双年度，根据《财务规则和财务细则》</w:t>
      </w:r>
      <w:r w:rsidRPr="005E431F">
        <w:rPr>
          <w:rFonts w:eastAsia="STKaiti"/>
          <w:lang w:eastAsia="zh-CN"/>
        </w:rPr>
        <w:t>规则</w:t>
      </w:r>
      <w:r w:rsidRPr="005E431F">
        <w:rPr>
          <w:rFonts w:eastAsia="STKaiti"/>
          <w:lang w:eastAsia="zh-CN"/>
        </w:rPr>
        <w:t>6.1</w:t>
      </w:r>
      <w:r>
        <w:rPr>
          <w:rFonts w:hint="eastAsia"/>
          <w:lang w:eastAsia="zh-CN"/>
        </w:rPr>
        <w:t>给予秘书长必要的灵活性，利用第</w:t>
      </w:r>
      <w:r>
        <w:rPr>
          <w:rFonts w:hint="eastAsia"/>
          <w:lang w:eastAsia="zh-CN"/>
        </w:rPr>
        <w:t>3</w:t>
      </w:r>
      <w:r>
        <w:rPr>
          <w:rFonts w:hint="eastAsia"/>
          <w:lang w:eastAsia="zh-CN"/>
        </w:rPr>
        <w:t>至第</w:t>
      </w:r>
      <w:r>
        <w:rPr>
          <w:rFonts w:hint="eastAsia"/>
          <w:lang w:eastAsia="zh-CN"/>
        </w:rPr>
        <w:t>9</w:t>
      </w:r>
      <w:r>
        <w:rPr>
          <w:rFonts w:hint="eastAsia"/>
          <w:lang w:eastAsia="zh-CN"/>
        </w:rPr>
        <w:t>类（非人员费用）节余补偿第</w:t>
      </w:r>
      <w:r>
        <w:rPr>
          <w:rFonts w:hint="eastAsia"/>
          <w:lang w:eastAsia="zh-CN"/>
        </w:rPr>
        <w:t>1</w:t>
      </w:r>
      <w:r>
        <w:rPr>
          <w:rFonts w:hint="eastAsia"/>
          <w:lang w:eastAsia="zh-CN"/>
        </w:rPr>
        <w:t>和第</w:t>
      </w:r>
      <w:r>
        <w:rPr>
          <w:rFonts w:hint="eastAsia"/>
          <w:lang w:eastAsia="zh-CN"/>
        </w:rPr>
        <w:t>2</w:t>
      </w:r>
      <w:r>
        <w:rPr>
          <w:rFonts w:hint="eastAsia"/>
          <w:lang w:eastAsia="zh-CN"/>
        </w:rPr>
        <w:t>类（人员费用）的超支，并在需要时进行必要的转账；</w:t>
      </w:r>
    </w:p>
    <w:p w14:paraId="4827AA21" w14:textId="77777777" w:rsidR="00C07381" w:rsidRDefault="00C07381" w:rsidP="00C07381">
      <w:pPr>
        <w:keepNext/>
        <w:keepLines/>
        <w:rPr>
          <w:rFonts w:cs="Calibri"/>
          <w:szCs w:val="24"/>
          <w:lang w:val="en-US" w:eastAsia="zh-CN"/>
        </w:rPr>
      </w:pPr>
      <w:r>
        <w:rPr>
          <w:rFonts w:cs="Calibri"/>
          <w:szCs w:val="24"/>
          <w:lang w:val="en-US" w:eastAsia="zh-CN"/>
        </w:rPr>
        <w:t>6</w:t>
      </w:r>
      <w:r w:rsidRPr="00D4560C">
        <w:rPr>
          <w:rFonts w:cs="Calibri"/>
          <w:szCs w:val="24"/>
          <w:lang w:val="en-US" w:eastAsia="zh-CN"/>
        </w:rPr>
        <w:tab/>
      </w:r>
      <w:r>
        <w:rPr>
          <w:rFonts w:hint="eastAsia"/>
          <w:lang w:eastAsia="zh-CN"/>
        </w:rPr>
        <w:t>授权在必要时使用收入节余平衡</w:t>
      </w:r>
      <w:r>
        <w:rPr>
          <w:rFonts w:hint="eastAsia"/>
          <w:lang w:eastAsia="zh-CN"/>
        </w:rPr>
        <w:t>20</w:t>
      </w:r>
      <w:r>
        <w:rPr>
          <w:lang w:eastAsia="zh-CN"/>
        </w:rPr>
        <w:t>20</w:t>
      </w:r>
      <w:r>
        <w:rPr>
          <w:rFonts w:hint="eastAsia"/>
          <w:lang w:eastAsia="zh-CN"/>
        </w:rPr>
        <w:t>-20</w:t>
      </w:r>
      <w:r>
        <w:rPr>
          <w:lang w:eastAsia="zh-CN"/>
        </w:rPr>
        <w:t>21</w:t>
      </w:r>
      <w:r>
        <w:rPr>
          <w:rFonts w:hint="eastAsia"/>
          <w:lang w:eastAsia="zh-CN"/>
        </w:rPr>
        <w:t>年账目；</w:t>
      </w:r>
    </w:p>
    <w:p w14:paraId="4827AA22" w14:textId="77777777" w:rsidR="00C07381" w:rsidRPr="00E30B7B" w:rsidRDefault="00C07381" w:rsidP="00C07381">
      <w:pPr>
        <w:rPr>
          <w:rFonts w:cs="Calibri"/>
          <w:szCs w:val="24"/>
          <w:lang w:val="en-US" w:eastAsia="zh-CN"/>
        </w:rPr>
      </w:pPr>
      <w:r>
        <w:rPr>
          <w:rFonts w:cs="Calibri"/>
          <w:szCs w:val="24"/>
          <w:lang w:val="en-US" w:eastAsia="zh-CN"/>
        </w:rPr>
        <w:t>7</w:t>
      </w:r>
      <w:r>
        <w:rPr>
          <w:rFonts w:cs="Calibri"/>
          <w:szCs w:val="24"/>
          <w:lang w:val="en-US" w:eastAsia="zh-CN"/>
        </w:rPr>
        <w:tab/>
      </w:r>
      <w:r>
        <w:rPr>
          <w:rFonts w:cs="Calibri" w:hint="eastAsia"/>
          <w:szCs w:val="24"/>
          <w:lang w:eastAsia="zh-CN"/>
        </w:rPr>
        <w:t>责</w:t>
      </w:r>
      <w:r>
        <w:rPr>
          <w:rFonts w:cs="Calibri"/>
          <w:szCs w:val="24"/>
          <w:lang w:eastAsia="zh-CN"/>
        </w:rPr>
        <w:t>成秘书长于</w:t>
      </w:r>
      <w:r>
        <w:rPr>
          <w:rFonts w:cs="Calibri"/>
          <w:szCs w:val="24"/>
          <w:lang w:eastAsia="zh-CN"/>
        </w:rPr>
        <w:t>2020</w:t>
      </w:r>
      <w:r>
        <w:rPr>
          <w:rFonts w:cs="Calibri"/>
          <w:szCs w:val="24"/>
          <w:lang w:eastAsia="zh-CN"/>
        </w:rPr>
        <w:t>年</w:t>
      </w:r>
      <w:r>
        <w:rPr>
          <w:rFonts w:cs="Calibri"/>
          <w:szCs w:val="24"/>
          <w:lang w:eastAsia="zh-CN"/>
        </w:rPr>
        <w:t>1</w:t>
      </w:r>
      <w:r>
        <w:rPr>
          <w:rFonts w:cs="Calibri"/>
          <w:szCs w:val="24"/>
          <w:lang w:eastAsia="zh-CN"/>
        </w:rPr>
        <w:t>月从储备金账目转账</w:t>
      </w:r>
      <w:r>
        <w:rPr>
          <w:rFonts w:cs="Calibri" w:hint="eastAsia"/>
          <w:szCs w:val="24"/>
          <w:lang w:val="en-US" w:eastAsia="zh-CN"/>
        </w:rPr>
        <w:t>1</w:t>
      </w:r>
      <w:r>
        <w:rPr>
          <w:rFonts w:cs="Calibri"/>
          <w:szCs w:val="24"/>
          <w:lang w:val="en-US" w:eastAsia="zh-CN"/>
        </w:rPr>
        <w:t>,000,000</w:t>
      </w:r>
      <w:r>
        <w:rPr>
          <w:rFonts w:cs="Calibri"/>
          <w:szCs w:val="24"/>
          <w:lang w:val="en-US" w:eastAsia="zh-CN"/>
        </w:rPr>
        <w:t>瑞郎至</w:t>
      </w:r>
      <w:r>
        <w:rPr>
          <w:rFonts w:cs="Calibri"/>
          <w:szCs w:val="24"/>
          <w:lang w:val="en-US" w:eastAsia="zh-CN"/>
        </w:rPr>
        <w:t>ASHI</w:t>
      </w:r>
      <w:r>
        <w:rPr>
          <w:rFonts w:cs="Calibri"/>
          <w:szCs w:val="24"/>
          <w:lang w:val="en-US" w:eastAsia="zh-CN"/>
        </w:rPr>
        <w:t>基</w:t>
      </w:r>
      <w:r>
        <w:rPr>
          <w:rFonts w:cs="Calibri" w:hint="eastAsia"/>
          <w:szCs w:val="24"/>
          <w:lang w:val="en-US" w:eastAsia="zh-CN"/>
        </w:rPr>
        <w:t>金</w:t>
      </w:r>
      <w:r>
        <w:rPr>
          <w:rFonts w:cs="Calibri"/>
          <w:szCs w:val="24"/>
          <w:lang w:val="en-US" w:eastAsia="zh-CN"/>
        </w:rPr>
        <w:t>，以解决无资金准备的长期负债问题。</w:t>
      </w:r>
    </w:p>
    <w:p w14:paraId="4827AA23" w14:textId="77777777" w:rsidR="00C07381" w:rsidRDefault="00C07381" w:rsidP="00C07381">
      <w:pPr>
        <w:tabs>
          <w:tab w:val="left" w:pos="567"/>
        </w:tabs>
        <w:snapToGrid w:val="0"/>
        <w:spacing w:before="1080" w:after="120"/>
        <w:rPr>
          <w:szCs w:val="24"/>
        </w:rPr>
      </w:pPr>
      <w:r>
        <w:rPr>
          <w:rFonts w:hint="eastAsia"/>
          <w:b/>
          <w:bCs/>
          <w:szCs w:val="24"/>
          <w:lang w:eastAsia="zh-CN"/>
        </w:rPr>
        <w:t>附件：</w:t>
      </w:r>
      <w:r>
        <w:rPr>
          <w:rFonts w:hint="eastAsia"/>
          <w:szCs w:val="24"/>
          <w:lang w:eastAsia="zh-CN"/>
        </w:rPr>
        <w:t>表</w:t>
      </w:r>
      <w:r w:rsidRPr="00D4560C">
        <w:rPr>
          <w:szCs w:val="24"/>
        </w:rPr>
        <w:t>1-1</w:t>
      </w:r>
      <w:r>
        <w:rPr>
          <w:szCs w:val="24"/>
        </w:rPr>
        <w:t>2</w:t>
      </w:r>
    </w:p>
    <w:p w14:paraId="4827AA24" w14:textId="77777777" w:rsidR="00CD064A" w:rsidRDefault="00CD064A" w:rsidP="00873418"/>
    <w:p w14:paraId="4827AA2B" w14:textId="77777777" w:rsidR="00873418" w:rsidRDefault="00873418" w:rsidP="00873418"/>
    <w:p w14:paraId="4827AA2C" w14:textId="77777777" w:rsidR="00CD064A" w:rsidRPr="0087447C" w:rsidRDefault="00CD064A" w:rsidP="00873418"/>
    <w:p w14:paraId="4827AA2D" w14:textId="77777777" w:rsidR="00C07381" w:rsidRDefault="00C07381" w:rsidP="00C07381">
      <w:pPr>
        <w:snapToGrid w:val="0"/>
        <w:spacing w:after="120"/>
      </w:pPr>
    </w:p>
    <w:p w14:paraId="4827AA2E" w14:textId="77777777" w:rsidR="00C07381" w:rsidRPr="00826354" w:rsidRDefault="00C07381" w:rsidP="00C07381">
      <w:pPr>
        <w:snapToGrid w:val="0"/>
        <w:spacing w:after="120"/>
        <w:sectPr w:rsidR="00C07381" w:rsidRPr="00826354" w:rsidSect="0050427F">
          <w:headerReference w:type="even" r:id="rId27"/>
          <w:headerReference w:type="default" r:id="rId28"/>
          <w:footerReference w:type="even" r:id="rId29"/>
          <w:footerReference w:type="default" r:id="rId30"/>
          <w:headerReference w:type="first" r:id="rId31"/>
          <w:footerReference w:type="first" r:id="rId32"/>
          <w:pgSz w:w="11906" w:h="16838" w:code="9"/>
          <w:pgMar w:top="1418" w:right="1134" w:bottom="1134" w:left="1134" w:header="737" w:footer="567" w:gutter="0"/>
          <w:pgNumType w:start="1"/>
          <w:cols w:space="708"/>
          <w:vAlign w:val="both"/>
          <w:titlePg/>
          <w:docGrid w:linePitch="360"/>
        </w:sectPr>
      </w:pPr>
    </w:p>
    <w:bookmarkStart w:id="45" w:name="part3_table1"/>
    <w:bookmarkEnd w:id="45"/>
    <w:p w14:paraId="4827AA2F" w14:textId="77777777" w:rsidR="00C07381" w:rsidRDefault="00C07381" w:rsidP="00C07381">
      <w:pPr>
        <w:tabs>
          <w:tab w:val="left" w:pos="2797"/>
        </w:tabs>
        <w:snapToGrid w:val="0"/>
        <w:spacing w:before="480"/>
        <w:jc w:val="center"/>
        <w:rPr>
          <w:noProof/>
          <w:sz w:val="22"/>
          <w:szCs w:val="22"/>
          <w:lang w:eastAsia="zh-CN"/>
        </w:rPr>
      </w:pPr>
      <w:r>
        <w:rPr>
          <w:noProof/>
          <w:sz w:val="22"/>
          <w:szCs w:val="22"/>
          <w:lang w:eastAsia="zh-CN"/>
        </w:rPr>
        <w:object w:dxaOrig="11216" w:dyaOrig="4102" w14:anchorId="4827C8BB">
          <v:shape id="_x0000_i1026" type="#_x0000_t75" style="width:642pt;height:258.75pt;mso-position-horizontal:absolute" o:ole="" o:preferrelative="f">
            <v:imagedata r:id="rId33" o:title=""/>
            <o:lock v:ext="edit" aspectratio="f"/>
          </v:shape>
          <o:OLEObject Type="Embed" ProgID="Excel.Sheet.12" ShapeID="_x0000_i1026" DrawAspect="Content" ObjectID="_1698212982" r:id="rId34"/>
        </w:object>
      </w:r>
    </w:p>
    <w:p w14:paraId="4827AA30" w14:textId="77777777" w:rsidR="00C07381" w:rsidRDefault="00C07381" w:rsidP="00181DF0">
      <w:pPr>
        <w:tabs>
          <w:tab w:val="clear" w:pos="794"/>
          <w:tab w:val="clear" w:pos="1191"/>
          <w:tab w:val="clear" w:pos="1588"/>
          <w:tab w:val="clear" w:pos="1985"/>
        </w:tabs>
        <w:overflowPunct/>
        <w:autoSpaceDE/>
        <w:autoSpaceDN/>
        <w:adjustRightInd/>
        <w:spacing w:before="0"/>
        <w:jc w:val="center"/>
        <w:textAlignment w:val="auto"/>
        <w:rPr>
          <w:rFonts w:cs="Calibri"/>
          <w:b/>
          <w:color w:val="800000"/>
          <w:sz w:val="22"/>
          <w:szCs w:val="22"/>
        </w:rPr>
      </w:pPr>
      <w:r>
        <w:br w:type="page"/>
      </w:r>
      <w:bookmarkStart w:id="46" w:name="_MON_1624350602"/>
      <w:bookmarkEnd w:id="46"/>
      <w:r>
        <w:rPr>
          <w:rFonts w:cs="Calibri"/>
          <w:b/>
          <w:noProof/>
          <w:color w:val="800000"/>
          <w:sz w:val="22"/>
          <w:szCs w:val="22"/>
          <w:lang w:eastAsia="zh-CN"/>
        </w:rPr>
        <w:object w:dxaOrig="12086" w:dyaOrig="9689" w14:anchorId="4827C8BC">
          <v:shape id="_x0000_i1027" type="#_x0000_t75" style="width:570pt;height:492pt;mso-position-horizontal:absolute" o:ole="" o:preferrelative="f">
            <v:imagedata r:id="rId35" o:title=""/>
          </v:shape>
          <o:OLEObject Type="Embed" ProgID="Excel.Sheet.12" ShapeID="_x0000_i1027" DrawAspect="Content" ObjectID="_1698212983" r:id="rId36"/>
        </w:object>
      </w:r>
    </w:p>
    <w:p w14:paraId="4827AA31" w14:textId="77777777" w:rsidR="00C07381" w:rsidRDefault="00C07381" w:rsidP="00C07381">
      <w:pPr>
        <w:tabs>
          <w:tab w:val="left" w:pos="2797"/>
        </w:tabs>
        <w:snapToGrid w:val="0"/>
        <w:jc w:val="center"/>
        <w:rPr>
          <w:sz w:val="22"/>
          <w:szCs w:val="22"/>
        </w:rPr>
      </w:pPr>
      <w:r>
        <w:rPr>
          <w:noProof/>
          <w:sz w:val="22"/>
          <w:szCs w:val="22"/>
          <w:lang w:eastAsia="zh-CN"/>
        </w:rPr>
        <w:object w:dxaOrig="13383" w:dyaOrig="9490" w14:anchorId="4827C8BD">
          <v:shape id="_x0000_i1028" type="#_x0000_t75" style="width:636pt;height:486pt;mso-position-horizontal:absolute" o:ole="" o:preferrelative="f">
            <v:imagedata r:id="rId37" o:title=""/>
            <o:lock v:ext="edit" aspectratio="f"/>
          </v:shape>
          <o:OLEObject Type="Embed" ProgID="Excel.Sheet.12" ShapeID="_x0000_i1028" DrawAspect="Content" ObjectID="_1698212984" r:id="rId38"/>
        </w:object>
      </w:r>
    </w:p>
    <w:bookmarkStart w:id="47" w:name="_MON_1624351144"/>
    <w:bookmarkEnd w:id="47"/>
    <w:p w14:paraId="4827AA32" w14:textId="77777777" w:rsidR="00C07381" w:rsidRDefault="00C07381" w:rsidP="00C07381">
      <w:pPr>
        <w:spacing w:after="160" w:line="259" w:lineRule="auto"/>
        <w:jc w:val="center"/>
        <w:rPr>
          <w:sz w:val="22"/>
          <w:szCs w:val="22"/>
        </w:rPr>
      </w:pPr>
      <w:r>
        <w:rPr>
          <w:sz w:val="22"/>
          <w:szCs w:val="22"/>
        </w:rPr>
        <w:object w:dxaOrig="16502" w:dyaOrig="9341" w14:anchorId="4827C8BE">
          <v:shape id="_x0000_i1029" type="#_x0000_t75" style="width:732pt;height:450pt" o:ole="" o:preferrelative="f">
            <v:imagedata r:id="rId39" o:title=""/>
            <o:lock v:ext="edit" aspectratio="f"/>
          </v:shape>
          <o:OLEObject Type="Embed" ProgID="Excel.Sheet.12" ShapeID="_x0000_i1029" DrawAspect="Content" ObjectID="_1698212985" r:id="rId40"/>
        </w:object>
      </w:r>
      <w:r>
        <w:rPr>
          <w:sz w:val="22"/>
          <w:szCs w:val="22"/>
        </w:rPr>
        <w:br w:type="page"/>
      </w:r>
    </w:p>
    <w:p w14:paraId="4827AA33" w14:textId="77777777" w:rsidR="00C07381" w:rsidRDefault="00C07381" w:rsidP="00C07381">
      <w:pPr>
        <w:spacing w:after="160" w:line="259" w:lineRule="auto"/>
        <w:jc w:val="center"/>
        <w:rPr>
          <w:sz w:val="22"/>
          <w:szCs w:val="22"/>
        </w:rPr>
      </w:pPr>
      <w:r>
        <w:rPr>
          <w:noProof/>
          <w:sz w:val="22"/>
          <w:szCs w:val="22"/>
          <w:lang w:eastAsia="zh-CN"/>
        </w:rPr>
        <w:object w:dxaOrig="12967" w:dyaOrig="7086" w14:anchorId="4827C8BF">
          <v:shape id="_x0000_i1030" type="#_x0000_t75" style="width:9in;height:390.75pt" o:ole="" o:preferrelative="f">
            <v:imagedata r:id="rId41" o:title=""/>
            <o:lock v:ext="edit" aspectratio="f"/>
          </v:shape>
          <o:OLEObject Type="Embed" ProgID="Excel.Sheet.12" ShapeID="_x0000_i1030" DrawAspect="Content" ObjectID="_1698212986" r:id="rId42"/>
        </w:object>
      </w:r>
    </w:p>
    <w:p w14:paraId="4827AA34" w14:textId="77777777" w:rsidR="00C07381" w:rsidRDefault="00C07381" w:rsidP="00C07381">
      <w:pPr>
        <w:tabs>
          <w:tab w:val="clear" w:pos="794"/>
          <w:tab w:val="clear" w:pos="1191"/>
          <w:tab w:val="clear" w:pos="1588"/>
          <w:tab w:val="clear" w:pos="1985"/>
        </w:tabs>
        <w:overflowPunct/>
        <w:autoSpaceDE/>
        <w:autoSpaceDN/>
        <w:adjustRightInd/>
        <w:spacing w:before="0"/>
        <w:textAlignment w:val="auto"/>
        <w:rPr>
          <w:sz w:val="22"/>
          <w:szCs w:val="22"/>
        </w:rPr>
      </w:pPr>
      <w:r>
        <w:rPr>
          <w:sz w:val="22"/>
          <w:szCs w:val="22"/>
        </w:rPr>
        <w:br w:type="page"/>
      </w:r>
    </w:p>
    <w:bookmarkStart w:id="48" w:name="_MON_1624361896"/>
    <w:bookmarkEnd w:id="48"/>
    <w:p w14:paraId="4827AA35" w14:textId="77777777" w:rsidR="00C07381" w:rsidRDefault="00C07381" w:rsidP="00C07381">
      <w:pPr>
        <w:spacing w:after="160" w:line="259" w:lineRule="auto"/>
        <w:jc w:val="center"/>
      </w:pPr>
      <w:r>
        <w:object w:dxaOrig="16531" w:dyaOrig="8205" w14:anchorId="4827C8C0">
          <v:shape id="_x0000_i1031" type="#_x0000_t75" style="width:731.25pt;height:402.75pt" o:ole="" o:preferrelative="f">
            <v:imagedata r:id="rId43" o:title=""/>
            <o:lock v:ext="edit" aspectratio="f"/>
          </v:shape>
          <o:OLEObject Type="Embed" ProgID="Excel.Sheet.12" ShapeID="_x0000_i1031" DrawAspect="Content" ObjectID="_1698212987" r:id="rId44"/>
        </w:object>
      </w:r>
    </w:p>
    <w:p w14:paraId="4827AA36" w14:textId="77777777" w:rsidR="00C07381" w:rsidRDefault="00C07381" w:rsidP="00C07381">
      <w:pPr>
        <w:tabs>
          <w:tab w:val="clear" w:pos="794"/>
          <w:tab w:val="clear" w:pos="1191"/>
          <w:tab w:val="clear" w:pos="1588"/>
          <w:tab w:val="clear" w:pos="1985"/>
        </w:tabs>
        <w:overflowPunct/>
        <w:autoSpaceDE/>
        <w:autoSpaceDN/>
        <w:adjustRightInd/>
        <w:spacing w:before="0"/>
        <w:textAlignment w:val="auto"/>
        <w:rPr>
          <w:sz w:val="22"/>
          <w:szCs w:val="22"/>
        </w:rPr>
      </w:pPr>
      <w:r>
        <w:rPr>
          <w:sz w:val="22"/>
          <w:szCs w:val="22"/>
        </w:rPr>
        <w:br w:type="page"/>
      </w:r>
    </w:p>
    <w:p w14:paraId="4827AA37" w14:textId="77777777" w:rsidR="00C07381" w:rsidRDefault="00C07381" w:rsidP="00C07381">
      <w:pPr>
        <w:spacing w:after="160" w:line="259" w:lineRule="auto"/>
        <w:jc w:val="center"/>
        <w:rPr>
          <w:sz w:val="22"/>
          <w:szCs w:val="22"/>
        </w:rPr>
      </w:pPr>
      <w:r>
        <w:rPr>
          <w:sz w:val="22"/>
          <w:szCs w:val="22"/>
        </w:rPr>
        <w:object w:dxaOrig="14112" w:dyaOrig="6282" w14:anchorId="4827C8C1">
          <v:shape id="_x0000_i1032" type="#_x0000_t75" style="width:708.75pt;height:342pt" o:ole="" o:preferrelative="f">
            <v:imagedata r:id="rId45" o:title=""/>
            <o:lock v:ext="edit" aspectratio="f"/>
          </v:shape>
          <o:OLEObject Type="Embed" ProgID="Excel.Sheet.12" ShapeID="_x0000_i1032" DrawAspect="Content" ObjectID="_1698212988" r:id="rId46"/>
        </w:object>
      </w:r>
    </w:p>
    <w:p w14:paraId="4827AA38" w14:textId="77777777" w:rsidR="00C07381" w:rsidRDefault="00C07381" w:rsidP="00C07381">
      <w:r>
        <w:br w:type="page"/>
      </w:r>
    </w:p>
    <w:bookmarkStart w:id="49" w:name="_MON_1624361793"/>
    <w:bookmarkEnd w:id="49"/>
    <w:p w14:paraId="4827AA39" w14:textId="77777777" w:rsidR="00C07381" w:rsidRDefault="00C07381" w:rsidP="00C07381">
      <w:pPr>
        <w:spacing w:after="160" w:line="259" w:lineRule="auto"/>
        <w:rPr>
          <w:sz w:val="22"/>
          <w:szCs w:val="22"/>
        </w:rPr>
      </w:pPr>
      <w:r>
        <w:rPr>
          <w:sz w:val="22"/>
          <w:szCs w:val="22"/>
        </w:rPr>
        <w:object w:dxaOrig="16184" w:dyaOrig="8812" w14:anchorId="4827C8C2">
          <v:shape id="_x0000_i1033" type="#_x0000_t75" style="width:726pt;height:414.75pt;mso-position-vertical:absolute" o:ole="" o:preferrelative="f">
            <v:imagedata r:id="rId47" o:title=""/>
            <o:lock v:ext="edit" aspectratio="f"/>
          </v:shape>
          <o:OLEObject Type="Embed" ProgID="Excel.Sheet.12" ShapeID="_x0000_i1033" DrawAspect="Content" ObjectID="_1698212989" r:id="rId48"/>
        </w:object>
      </w:r>
    </w:p>
    <w:p w14:paraId="4827AA3A" w14:textId="77777777" w:rsidR="00C07381" w:rsidRDefault="00C07381" w:rsidP="00C07381">
      <w:pPr>
        <w:spacing w:after="160" w:line="259" w:lineRule="auto"/>
        <w:jc w:val="center"/>
        <w:rPr>
          <w:sz w:val="22"/>
          <w:szCs w:val="22"/>
        </w:rPr>
      </w:pPr>
      <w:r>
        <w:rPr>
          <w:sz w:val="22"/>
          <w:szCs w:val="22"/>
        </w:rPr>
        <w:object w:dxaOrig="13041" w:dyaOrig="6160" w14:anchorId="4827C8C3">
          <v:shape id="_x0000_i1034" type="#_x0000_t75" style="width:684.75pt;height:354pt" o:ole="" o:preferrelative="f">
            <v:imagedata r:id="rId49" o:title=""/>
            <o:lock v:ext="edit" aspectratio="f"/>
          </v:shape>
          <o:OLEObject Type="Embed" ProgID="Excel.Sheet.12" ShapeID="_x0000_i1034" DrawAspect="Content" ObjectID="_1698212990" r:id="rId50"/>
        </w:object>
      </w:r>
    </w:p>
    <w:p w14:paraId="4827AA3B" w14:textId="77777777" w:rsidR="00C07381" w:rsidRDefault="00C07381" w:rsidP="00C07381">
      <w:r>
        <w:br w:type="page"/>
      </w:r>
    </w:p>
    <w:p w14:paraId="4827AA3C" w14:textId="77777777" w:rsidR="00C07381" w:rsidRDefault="00C07381" w:rsidP="00C07381">
      <w:pPr>
        <w:spacing w:after="160" w:line="259" w:lineRule="auto"/>
        <w:jc w:val="center"/>
        <w:rPr>
          <w:sz w:val="22"/>
          <w:szCs w:val="22"/>
        </w:rPr>
      </w:pPr>
      <w:r>
        <w:rPr>
          <w:sz w:val="22"/>
          <w:szCs w:val="22"/>
        </w:rPr>
        <w:object w:dxaOrig="16598" w:dyaOrig="8366" w14:anchorId="4827C8C4">
          <v:shape id="_x0000_i1035" type="#_x0000_t75" style="width:743.25pt;height:414pt;mso-position-vertical:absolute" o:ole="" o:preferrelative="f">
            <v:imagedata r:id="rId51" o:title=""/>
            <o:lock v:ext="edit" aspectratio="f"/>
          </v:shape>
          <o:OLEObject Type="Embed" ProgID="Excel.Sheet.12" ShapeID="_x0000_i1035" DrawAspect="Content" ObjectID="_1698212991" r:id="rId52"/>
        </w:object>
      </w:r>
    </w:p>
    <w:p w14:paraId="4827AA3D" w14:textId="77777777" w:rsidR="00C07381" w:rsidRDefault="00C07381" w:rsidP="00C07381">
      <w:pPr>
        <w:tabs>
          <w:tab w:val="clear" w:pos="794"/>
          <w:tab w:val="clear" w:pos="1191"/>
          <w:tab w:val="clear" w:pos="1588"/>
          <w:tab w:val="clear" w:pos="1985"/>
        </w:tabs>
        <w:overflowPunct/>
        <w:autoSpaceDE/>
        <w:autoSpaceDN/>
        <w:adjustRightInd/>
        <w:spacing w:before="0"/>
        <w:textAlignment w:val="auto"/>
        <w:rPr>
          <w:sz w:val="22"/>
          <w:szCs w:val="22"/>
        </w:rPr>
      </w:pPr>
      <w:r>
        <w:rPr>
          <w:sz w:val="22"/>
          <w:szCs w:val="22"/>
        </w:rPr>
        <w:br w:type="page"/>
      </w:r>
    </w:p>
    <w:bookmarkStart w:id="50" w:name="_MON_1624362949"/>
    <w:bookmarkEnd w:id="50"/>
    <w:p w14:paraId="4827AA3E" w14:textId="77777777" w:rsidR="00C07381" w:rsidRDefault="00C07381" w:rsidP="00C07381">
      <w:pPr>
        <w:jc w:val="center"/>
        <w:rPr>
          <w:sz w:val="22"/>
          <w:szCs w:val="22"/>
        </w:rPr>
      </w:pPr>
      <w:r>
        <w:rPr>
          <w:sz w:val="22"/>
          <w:szCs w:val="22"/>
        </w:rPr>
        <w:object w:dxaOrig="13886" w:dyaOrig="7908" w14:anchorId="4827C8C5">
          <v:shape id="_x0000_i1036" type="#_x0000_t75" style="width:696pt;height:426pt" o:ole="" o:preferrelative="f">
            <v:imagedata r:id="rId53" o:title=""/>
            <o:lock v:ext="edit" aspectratio="f"/>
          </v:shape>
          <o:OLEObject Type="Embed" ProgID="Excel.Sheet.12" ShapeID="_x0000_i1036" DrawAspect="Content" ObjectID="_1698212992" r:id="rId54"/>
        </w:object>
      </w:r>
    </w:p>
    <w:p w14:paraId="4827AA3F" w14:textId="77777777" w:rsidR="00C07381" w:rsidRDefault="00C07381" w:rsidP="00C07381">
      <w:pPr>
        <w:rPr>
          <w:lang w:eastAsia="zh-CN"/>
        </w:rPr>
      </w:pPr>
    </w:p>
    <w:p w14:paraId="4827AA40" w14:textId="77777777" w:rsidR="00C07381" w:rsidRDefault="00C07381" w:rsidP="00C07381">
      <w:pPr>
        <w:jc w:val="center"/>
        <w:rPr>
          <w:lang w:eastAsia="zh-CN"/>
        </w:rPr>
      </w:pPr>
      <w:r>
        <w:rPr>
          <w:lang w:eastAsia="zh-CN"/>
        </w:rPr>
        <w:object w:dxaOrig="11187" w:dyaOrig="4349" w14:anchorId="4827C8C6">
          <v:shape id="_x0000_i1037" type="#_x0000_t75" style="width:618.75pt;height:270pt;mso-position-horizontal:absolute" o:ole="" o:preferrelative="f">
            <v:imagedata r:id="rId55" o:title=""/>
            <o:lock v:ext="edit" aspectratio="f"/>
          </v:shape>
          <o:OLEObject Type="Embed" ProgID="Excel.Sheet.12" ShapeID="_x0000_i1037" DrawAspect="Content" ObjectID="_1698212993" r:id="rId56"/>
        </w:object>
      </w:r>
    </w:p>
    <w:p w14:paraId="4827AA41" w14:textId="77777777" w:rsidR="00B906B3" w:rsidRDefault="00B906B3" w:rsidP="00B906B3">
      <w:pPr>
        <w:pStyle w:val="Endtext"/>
        <w:rPr>
          <w:lang w:eastAsia="zh-CN"/>
        </w:rPr>
      </w:pPr>
      <w:r>
        <w:rPr>
          <w:rFonts w:hint="eastAsia"/>
          <w:lang w:eastAsia="zh-CN"/>
        </w:rPr>
        <w:t>参阅</w:t>
      </w:r>
      <w:r>
        <w:rPr>
          <w:lang w:eastAsia="zh-CN"/>
        </w:rPr>
        <w:t>:</w:t>
      </w:r>
      <w:r w:rsidRPr="001B690C">
        <w:rPr>
          <w:lang w:eastAsia="zh-CN"/>
        </w:rPr>
        <w:t xml:space="preserve"> </w:t>
      </w:r>
      <w:r>
        <w:rPr>
          <w:lang w:eastAsia="zh-CN"/>
        </w:rPr>
        <w:tab/>
      </w:r>
      <w:hyperlink r:id="rId57" w:history="1">
        <w:r w:rsidRPr="00101A54">
          <w:rPr>
            <w:rStyle w:val="Hyperlink"/>
            <w:lang w:eastAsia="zh-CN"/>
          </w:rPr>
          <w:t>C1</w:t>
        </w:r>
        <w:r>
          <w:rPr>
            <w:rStyle w:val="Hyperlink"/>
            <w:lang w:eastAsia="zh-CN"/>
          </w:rPr>
          <w:t>9</w:t>
        </w:r>
        <w:r w:rsidRPr="00101A54">
          <w:rPr>
            <w:rStyle w:val="Hyperlink"/>
            <w:lang w:eastAsia="zh-CN"/>
          </w:rPr>
          <w:t>/1</w:t>
        </w:r>
        <w:r>
          <w:rPr>
            <w:rStyle w:val="Hyperlink"/>
            <w:lang w:eastAsia="zh-CN"/>
          </w:rPr>
          <w:t>22</w:t>
        </w:r>
      </w:hyperlink>
      <w:r>
        <w:rPr>
          <w:rFonts w:hint="eastAsia"/>
          <w:lang w:eastAsia="zh-CN"/>
        </w:rPr>
        <w:t>和</w:t>
      </w:r>
      <w:hyperlink r:id="rId58" w:history="1">
        <w:r w:rsidRPr="003D0791">
          <w:rPr>
            <w:rStyle w:val="Hyperlink"/>
            <w:lang w:eastAsia="zh-CN"/>
          </w:rPr>
          <w:t>C1</w:t>
        </w:r>
        <w:r>
          <w:rPr>
            <w:rStyle w:val="Hyperlink"/>
            <w:lang w:eastAsia="zh-CN"/>
          </w:rPr>
          <w:t>9</w:t>
        </w:r>
        <w:r w:rsidRPr="003D0791">
          <w:rPr>
            <w:rStyle w:val="Hyperlink"/>
            <w:lang w:eastAsia="zh-CN"/>
          </w:rPr>
          <w:t>/1</w:t>
        </w:r>
        <w:r>
          <w:rPr>
            <w:rStyle w:val="Hyperlink"/>
            <w:lang w:eastAsia="zh-CN"/>
          </w:rPr>
          <w:t>2</w:t>
        </w:r>
        <w:r w:rsidRPr="003D0791">
          <w:rPr>
            <w:rStyle w:val="Hyperlink"/>
            <w:lang w:eastAsia="zh-CN"/>
          </w:rPr>
          <w:t>0</w:t>
        </w:r>
      </w:hyperlink>
      <w:r>
        <w:rPr>
          <w:rFonts w:hint="eastAsia"/>
          <w:lang w:eastAsia="zh-CN"/>
        </w:rPr>
        <w:t>号</w:t>
      </w:r>
      <w:r>
        <w:rPr>
          <w:lang w:eastAsia="zh-CN"/>
        </w:rPr>
        <w:t>文件。</w:t>
      </w:r>
    </w:p>
    <w:p w14:paraId="4827AA42" w14:textId="77777777" w:rsidR="00B906B3" w:rsidRPr="00B906B3" w:rsidRDefault="00B906B3" w:rsidP="00B906B3">
      <w:pPr>
        <w:spacing w:before="240"/>
        <w:jc w:val="center"/>
        <w:rPr>
          <w:rFonts w:eastAsia="Times New Roman"/>
          <w:sz w:val="22"/>
          <w:lang w:eastAsia="zh-CN"/>
        </w:rPr>
      </w:pPr>
      <w:r w:rsidRPr="00B906B3">
        <w:rPr>
          <w:rFonts w:eastAsia="Times New Roman"/>
          <w:sz w:val="22"/>
          <w:lang w:eastAsia="zh-CN"/>
        </w:rPr>
        <w:t>______________</w:t>
      </w:r>
    </w:p>
    <w:p w14:paraId="4827AA43" w14:textId="77777777" w:rsidR="00B906B3" w:rsidRDefault="00B906B3" w:rsidP="00B906B3">
      <w:pPr>
        <w:pStyle w:val="ListParagraph"/>
        <w:rPr>
          <w:lang w:eastAsia="zh-CN"/>
        </w:rPr>
      </w:pPr>
    </w:p>
    <w:p w14:paraId="4827AA44" w14:textId="77777777" w:rsidR="00B906B3" w:rsidRDefault="00B906B3" w:rsidP="00C41121">
      <w:pPr>
        <w:pStyle w:val="Chaptitle"/>
        <w:rPr>
          <w:lang w:eastAsia="zh-CN"/>
        </w:rPr>
        <w:sectPr w:rsidR="00B906B3" w:rsidSect="00C07381">
          <w:headerReference w:type="default" r:id="rId59"/>
          <w:footerReference w:type="default" r:id="rId60"/>
          <w:headerReference w:type="first" r:id="rId61"/>
          <w:footerReference w:type="first" r:id="rId62"/>
          <w:pgSz w:w="16834" w:h="11907" w:orient="landscape" w:code="9"/>
          <w:pgMar w:top="1134" w:right="1418" w:bottom="1134" w:left="1134" w:header="737" w:footer="567" w:gutter="0"/>
          <w:paperSrc w:first="15" w:other="15"/>
          <w:cols w:space="720"/>
          <w:titlePg/>
          <w:docGrid w:linePitch="326"/>
        </w:sectPr>
      </w:pPr>
    </w:p>
    <w:p w14:paraId="353316D6" w14:textId="00AEF36D" w:rsidR="0090191E" w:rsidRPr="0090191E" w:rsidRDefault="0090191E" w:rsidP="0090191E">
      <w:pPr>
        <w:pStyle w:val="ResNo"/>
        <w:keepNext w:val="0"/>
        <w:keepLines w:val="0"/>
        <w:outlineLvl w:val="0"/>
        <w:rPr>
          <w:rFonts w:ascii="Calibri" w:hAnsi="Calibri"/>
          <w:b/>
          <w:lang w:eastAsia="zh-CN"/>
        </w:rPr>
      </w:pPr>
      <w:bookmarkStart w:id="51" w:name="_Toc86395463"/>
      <w:bookmarkStart w:id="52" w:name="_Toc16085661"/>
      <w:r w:rsidRPr="0090191E">
        <w:rPr>
          <w:rFonts w:ascii="Calibri" w:hAnsi="Calibri" w:hint="eastAsia"/>
          <w:bCs/>
          <w:lang w:eastAsia="zh-CN"/>
        </w:rPr>
        <w:lastRenderedPageBreak/>
        <w:t>第</w:t>
      </w:r>
      <w:r w:rsidRPr="0090191E">
        <w:rPr>
          <w:rFonts w:ascii="Calibri" w:hAnsi="Calibri"/>
          <w:bCs/>
          <w:lang w:eastAsia="zh-CN"/>
        </w:rPr>
        <w:t>1405</w:t>
      </w:r>
      <w:r w:rsidRPr="0090191E">
        <w:rPr>
          <w:rFonts w:ascii="Calibri" w:hAnsi="Calibri" w:hint="eastAsia"/>
          <w:bCs/>
          <w:lang w:eastAsia="zh-CN"/>
        </w:rPr>
        <w:t>号</w:t>
      </w:r>
      <w:r w:rsidRPr="0090191E">
        <w:rPr>
          <w:rFonts w:ascii="Calibri" w:hAnsi="Calibri" w:cstheme="minorHAnsi" w:hint="eastAsia"/>
          <w:bCs/>
          <w:lang w:eastAsia="zh-CN"/>
        </w:rPr>
        <w:t>决议</w:t>
      </w:r>
      <w:r>
        <w:rPr>
          <w:rFonts w:ascii="Calibri" w:hAnsi="Calibri" w:cstheme="minorHAnsi" w:hint="eastAsia"/>
          <w:bCs/>
          <w:lang w:eastAsia="zh-CN"/>
        </w:rPr>
        <w:t>（</w:t>
      </w:r>
      <w:r>
        <w:rPr>
          <w:rFonts w:ascii="Calibri" w:hAnsi="Calibri" w:cstheme="minorHAnsi" w:hint="eastAsia"/>
          <w:bCs/>
          <w:lang w:eastAsia="zh-CN"/>
        </w:rPr>
        <w:t>C</w:t>
      </w:r>
      <w:r>
        <w:rPr>
          <w:rFonts w:ascii="Calibri" w:hAnsi="Calibri" w:cstheme="minorHAnsi"/>
          <w:bCs/>
          <w:lang w:eastAsia="zh-CN"/>
        </w:rPr>
        <w:t>21</w:t>
      </w:r>
      <w:r>
        <w:rPr>
          <w:rFonts w:ascii="Calibri" w:hAnsi="Calibri" w:cstheme="minorHAnsi" w:hint="eastAsia"/>
          <w:bCs/>
          <w:lang w:eastAsia="zh-CN"/>
        </w:rPr>
        <w:t>）</w:t>
      </w:r>
      <w:bookmarkEnd w:id="51"/>
    </w:p>
    <w:p w14:paraId="0A5D9A11" w14:textId="77777777" w:rsidR="0090191E" w:rsidRPr="0090191E" w:rsidRDefault="0090191E" w:rsidP="0090191E">
      <w:pPr>
        <w:pStyle w:val="Restitle"/>
        <w:keepNext w:val="0"/>
        <w:keepLines w:val="0"/>
        <w:tabs>
          <w:tab w:val="left" w:pos="794"/>
          <w:tab w:val="left" w:pos="1191"/>
          <w:tab w:val="left" w:pos="1588"/>
        </w:tabs>
        <w:rPr>
          <w:rFonts w:cstheme="majorBidi"/>
          <w:bCs/>
          <w:smallCaps/>
          <w:lang w:eastAsia="zh-CN"/>
        </w:rPr>
      </w:pPr>
      <w:bookmarkStart w:id="53" w:name="_Toc86395464"/>
      <w:r w:rsidRPr="0090191E">
        <w:rPr>
          <w:rFonts w:cstheme="majorBidi" w:hint="eastAsia"/>
          <w:bCs/>
          <w:smallCaps/>
          <w:lang w:eastAsia="zh-CN"/>
        </w:rPr>
        <w:t>国际电信联盟</w:t>
      </w:r>
      <w:r w:rsidRPr="0090191E">
        <w:rPr>
          <w:rFonts w:cstheme="majorBidi"/>
          <w:bCs/>
          <w:smallCaps/>
          <w:lang w:eastAsia="zh-CN"/>
        </w:rPr>
        <w:br/>
      </w:r>
      <w:r w:rsidRPr="0090191E">
        <w:rPr>
          <w:rFonts w:cstheme="majorBidi" w:hint="eastAsia"/>
          <w:bCs/>
          <w:smallCaps/>
          <w:lang w:eastAsia="zh-CN"/>
        </w:rPr>
        <w:t>20</w:t>
      </w:r>
      <w:r w:rsidRPr="0090191E">
        <w:rPr>
          <w:rFonts w:cstheme="majorBidi"/>
          <w:bCs/>
          <w:smallCaps/>
          <w:lang w:eastAsia="zh-CN"/>
        </w:rPr>
        <w:t>22</w:t>
      </w:r>
      <w:r w:rsidRPr="0090191E">
        <w:rPr>
          <w:rFonts w:cstheme="majorBidi" w:hint="eastAsia"/>
          <w:bCs/>
          <w:smallCaps/>
          <w:lang w:eastAsia="zh-CN"/>
        </w:rPr>
        <w:t>-20</w:t>
      </w:r>
      <w:r w:rsidRPr="0090191E">
        <w:rPr>
          <w:rFonts w:cstheme="majorBidi"/>
          <w:bCs/>
          <w:smallCaps/>
          <w:lang w:eastAsia="zh-CN"/>
        </w:rPr>
        <w:t>23</w:t>
      </w:r>
      <w:r w:rsidRPr="0090191E">
        <w:rPr>
          <w:rFonts w:cstheme="majorBidi" w:hint="eastAsia"/>
          <w:bCs/>
          <w:smallCaps/>
          <w:lang w:eastAsia="zh-CN"/>
        </w:rPr>
        <w:t>双年度预算</w:t>
      </w:r>
      <w:bookmarkEnd w:id="53"/>
    </w:p>
    <w:p w14:paraId="2432BA33" w14:textId="77777777" w:rsidR="006C2C5E" w:rsidRPr="00EE181E" w:rsidRDefault="006C2C5E" w:rsidP="006C2C5E">
      <w:pPr>
        <w:pStyle w:val="Normalaftertitle0"/>
      </w:pPr>
      <w:r w:rsidRPr="00EE181E">
        <w:rPr>
          <w:rFonts w:ascii="SimSun" w:hAnsi="SimSun" w:cs="SimSun" w:hint="eastAsia"/>
        </w:rPr>
        <w:t>国际电信理事会，</w:t>
      </w:r>
    </w:p>
    <w:p w14:paraId="491DEAAD" w14:textId="77777777" w:rsidR="006C2C5E" w:rsidRPr="0018745A" w:rsidRDefault="006C2C5E" w:rsidP="006C2C5E">
      <w:pPr>
        <w:pStyle w:val="Call"/>
        <w:rPr>
          <w:lang w:eastAsia="zh-CN"/>
        </w:rPr>
      </w:pPr>
      <w:r w:rsidRPr="0018745A">
        <w:rPr>
          <w:rFonts w:hint="eastAsia"/>
          <w:lang w:eastAsia="zh-CN"/>
        </w:rPr>
        <w:t>鉴于</w:t>
      </w:r>
    </w:p>
    <w:p w14:paraId="1BC0D8E0" w14:textId="77777777" w:rsidR="006C2C5E" w:rsidRPr="00EE181E" w:rsidRDefault="006C2C5E" w:rsidP="006C2C5E">
      <w:pPr>
        <w:ind w:firstLineChars="200" w:firstLine="480"/>
        <w:rPr>
          <w:szCs w:val="24"/>
          <w:lang w:eastAsia="zh-CN"/>
        </w:rPr>
      </w:pPr>
      <w:r w:rsidRPr="00EE181E">
        <w:rPr>
          <w:szCs w:val="24"/>
          <w:lang w:eastAsia="zh-CN"/>
        </w:rPr>
        <w:t>国际电信联盟《公约》的相关条款，</w:t>
      </w:r>
    </w:p>
    <w:p w14:paraId="504CBDAD" w14:textId="77777777" w:rsidR="006C2C5E" w:rsidRPr="0018745A" w:rsidRDefault="006C2C5E" w:rsidP="006C2C5E">
      <w:pPr>
        <w:pStyle w:val="Call"/>
        <w:rPr>
          <w:lang w:eastAsia="zh-CN"/>
        </w:rPr>
      </w:pPr>
      <w:r w:rsidRPr="0018745A">
        <w:rPr>
          <w:lang w:eastAsia="zh-CN"/>
        </w:rPr>
        <w:t>铭记</w:t>
      </w:r>
    </w:p>
    <w:p w14:paraId="2B156772" w14:textId="77777777" w:rsidR="006C2C5E" w:rsidRDefault="006C2C5E" w:rsidP="006C2C5E">
      <w:pPr>
        <w:rPr>
          <w:szCs w:val="24"/>
          <w:lang w:eastAsia="zh-CN"/>
        </w:rPr>
      </w:pPr>
      <w:r w:rsidRPr="007B009E">
        <w:rPr>
          <w:rFonts w:hint="eastAsia"/>
          <w:i/>
          <w:iCs/>
          <w:szCs w:val="24"/>
          <w:lang w:eastAsia="zh-CN"/>
        </w:rPr>
        <w:t>a)</w:t>
      </w:r>
      <w:r>
        <w:rPr>
          <w:rFonts w:hint="eastAsia"/>
          <w:szCs w:val="24"/>
          <w:lang w:eastAsia="zh-CN"/>
        </w:rPr>
        <w:tab/>
      </w:r>
      <w:r>
        <w:rPr>
          <w:rFonts w:hint="eastAsia"/>
          <w:szCs w:val="24"/>
          <w:lang w:eastAsia="zh-CN"/>
        </w:rPr>
        <w:t>有关国际电联</w:t>
      </w:r>
      <w:r>
        <w:rPr>
          <w:rFonts w:hint="eastAsia"/>
          <w:szCs w:val="24"/>
          <w:lang w:eastAsia="zh-CN"/>
        </w:rPr>
        <w:t>20</w:t>
      </w:r>
      <w:r>
        <w:rPr>
          <w:szCs w:val="24"/>
          <w:lang w:eastAsia="zh-CN"/>
        </w:rPr>
        <w:t>20</w:t>
      </w:r>
      <w:r>
        <w:rPr>
          <w:rFonts w:hint="eastAsia"/>
          <w:szCs w:val="24"/>
          <w:lang w:eastAsia="zh-CN"/>
        </w:rPr>
        <w:t>-20</w:t>
      </w:r>
      <w:r>
        <w:rPr>
          <w:szCs w:val="24"/>
          <w:lang w:eastAsia="zh-CN"/>
        </w:rPr>
        <w:t>23</w:t>
      </w:r>
      <w:r>
        <w:rPr>
          <w:rFonts w:hint="eastAsia"/>
          <w:szCs w:val="24"/>
          <w:lang w:eastAsia="zh-CN"/>
        </w:rPr>
        <w:t>年阶段收支的</w:t>
      </w:r>
      <w:r w:rsidRPr="00C70206">
        <w:rPr>
          <w:szCs w:val="24"/>
          <w:lang w:eastAsia="zh-CN"/>
        </w:rPr>
        <w:t>全权代表大会第</w:t>
      </w:r>
      <w:r w:rsidRPr="00C70206">
        <w:rPr>
          <w:szCs w:val="24"/>
          <w:lang w:eastAsia="zh-CN"/>
        </w:rPr>
        <w:t>5</w:t>
      </w:r>
      <w:r w:rsidRPr="00C70206">
        <w:rPr>
          <w:szCs w:val="24"/>
          <w:lang w:eastAsia="zh-CN"/>
        </w:rPr>
        <w:t>号决定（</w:t>
      </w:r>
      <w:r w:rsidRPr="00C70206">
        <w:rPr>
          <w:szCs w:val="24"/>
          <w:lang w:eastAsia="zh-CN"/>
        </w:rPr>
        <w:t>20</w:t>
      </w:r>
      <w:r>
        <w:rPr>
          <w:rFonts w:hint="eastAsia"/>
          <w:szCs w:val="24"/>
          <w:lang w:eastAsia="zh-CN"/>
        </w:rPr>
        <w:t>1</w:t>
      </w:r>
      <w:r>
        <w:rPr>
          <w:szCs w:val="24"/>
          <w:lang w:eastAsia="zh-CN"/>
        </w:rPr>
        <w:t>8</w:t>
      </w:r>
      <w:r w:rsidRPr="00C70206">
        <w:rPr>
          <w:szCs w:val="24"/>
          <w:lang w:eastAsia="zh-CN"/>
        </w:rPr>
        <w:t>年，</w:t>
      </w:r>
      <w:r>
        <w:rPr>
          <w:rFonts w:hint="eastAsia"/>
          <w:szCs w:val="24"/>
          <w:lang w:eastAsia="zh-CN"/>
        </w:rPr>
        <w:t>迪拜，修订版）</w:t>
      </w:r>
      <w:r w:rsidRPr="00C70206">
        <w:rPr>
          <w:szCs w:val="24"/>
          <w:lang w:eastAsia="zh-CN"/>
        </w:rPr>
        <w:t>的条款，</w:t>
      </w:r>
      <w:r>
        <w:rPr>
          <w:rFonts w:hint="eastAsia"/>
          <w:szCs w:val="24"/>
          <w:lang w:eastAsia="zh-CN"/>
        </w:rPr>
        <w:t>这些条款</w:t>
      </w:r>
      <w:r w:rsidRPr="00C70206">
        <w:rPr>
          <w:szCs w:val="24"/>
          <w:lang w:eastAsia="zh-CN"/>
        </w:rPr>
        <w:t>规定</w:t>
      </w:r>
      <w:r w:rsidRPr="00826354">
        <w:rPr>
          <w:snapToGrid w:val="0"/>
          <w:spacing w:val="-4"/>
          <w:lang w:eastAsia="zh-CN"/>
        </w:rPr>
        <w:t>202</w:t>
      </w:r>
      <w:r>
        <w:rPr>
          <w:snapToGrid w:val="0"/>
          <w:spacing w:val="-4"/>
          <w:lang w:eastAsia="zh-CN"/>
        </w:rPr>
        <w:t>2</w:t>
      </w:r>
      <w:r w:rsidRPr="00826354">
        <w:rPr>
          <w:snapToGrid w:val="0"/>
          <w:spacing w:val="-4"/>
          <w:lang w:eastAsia="zh-CN"/>
        </w:rPr>
        <w:t>-202</w:t>
      </w:r>
      <w:r>
        <w:rPr>
          <w:snapToGrid w:val="0"/>
          <w:spacing w:val="-4"/>
          <w:lang w:eastAsia="zh-CN"/>
        </w:rPr>
        <w:t>3</w:t>
      </w:r>
      <w:r w:rsidRPr="00C70206">
        <w:rPr>
          <w:szCs w:val="24"/>
          <w:lang w:eastAsia="zh-CN"/>
        </w:rPr>
        <w:t>年</w:t>
      </w:r>
      <w:r>
        <w:rPr>
          <w:rFonts w:hint="eastAsia"/>
          <w:szCs w:val="24"/>
          <w:lang w:eastAsia="zh-CN"/>
        </w:rPr>
        <w:t>的成员国</w:t>
      </w:r>
      <w:r w:rsidRPr="00C70206">
        <w:rPr>
          <w:szCs w:val="24"/>
          <w:lang w:eastAsia="zh-CN"/>
        </w:rPr>
        <w:t>会费单位金额不得超</w:t>
      </w:r>
      <w:r>
        <w:rPr>
          <w:rFonts w:hint="eastAsia"/>
          <w:szCs w:val="24"/>
          <w:lang w:eastAsia="zh-CN"/>
        </w:rPr>
        <w:t>出</w:t>
      </w:r>
      <w:r w:rsidRPr="00C70206">
        <w:rPr>
          <w:szCs w:val="24"/>
          <w:lang w:eastAsia="zh-CN"/>
        </w:rPr>
        <w:t>3</w:t>
      </w:r>
      <w:r>
        <w:rPr>
          <w:rFonts w:hint="eastAsia"/>
          <w:szCs w:val="24"/>
          <w:lang w:eastAsia="zh-CN"/>
        </w:rPr>
        <w:t>18</w:t>
      </w:r>
      <w:r>
        <w:rPr>
          <w:szCs w:val="24"/>
          <w:lang w:eastAsia="zh-CN"/>
        </w:rPr>
        <w:t> </w:t>
      </w:r>
      <w:r w:rsidRPr="00C70206">
        <w:rPr>
          <w:szCs w:val="24"/>
          <w:lang w:eastAsia="zh-CN"/>
        </w:rPr>
        <w:t>000</w:t>
      </w:r>
      <w:r>
        <w:rPr>
          <w:szCs w:val="24"/>
          <w:lang w:eastAsia="zh-CN"/>
        </w:rPr>
        <w:t>瑞郎</w:t>
      </w:r>
      <w:r>
        <w:rPr>
          <w:rFonts w:hint="eastAsia"/>
          <w:szCs w:val="24"/>
          <w:lang w:eastAsia="zh-CN"/>
        </w:rPr>
        <w:t>；</w:t>
      </w:r>
    </w:p>
    <w:p w14:paraId="6F2E52D5" w14:textId="77777777" w:rsidR="006C2C5E" w:rsidRPr="00BF60D2" w:rsidRDefault="006C2C5E" w:rsidP="006C2C5E">
      <w:pPr>
        <w:rPr>
          <w:szCs w:val="24"/>
          <w:lang w:eastAsia="zh-CN"/>
        </w:rPr>
      </w:pPr>
      <w:r w:rsidRPr="007B009E">
        <w:rPr>
          <w:rFonts w:hint="eastAsia"/>
          <w:i/>
          <w:iCs/>
          <w:szCs w:val="24"/>
          <w:lang w:eastAsia="zh-CN"/>
        </w:rPr>
        <w:t>b)</w:t>
      </w:r>
      <w:r>
        <w:rPr>
          <w:rFonts w:hint="eastAsia"/>
          <w:szCs w:val="24"/>
          <w:lang w:eastAsia="zh-CN"/>
        </w:rPr>
        <w:tab/>
      </w:r>
      <w:r>
        <w:rPr>
          <w:rFonts w:hint="eastAsia"/>
          <w:lang w:eastAsia="zh-CN"/>
        </w:rPr>
        <w:t>与拨款转账相关的《财务规则和财务细则》第</w:t>
      </w:r>
      <w:r>
        <w:rPr>
          <w:lang w:eastAsia="zh-CN"/>
        </w:rPr>
        <w:t>11</w:t>
      </w:r>
      <w:r>
        <w:rPr>
          <w:rFonts w:hint="eastAsia"/>
          <w:lang w:eastAsia="zh-CN"/>
        </w:rPr>
        <w:t>条的规定，</w:t>
      </w:r>
    </w:p>
    <w:p w14:paraId="5F2CAE16" w14:textId="77777777" w:rsidR="006C2C5E" w:rsidRPr="0018745A" w:rsidRDefault="006C2C5E" w:rsidP="006C2C5E">
      <w:pPr>
        <w:pStyle w:val="Call"/>
        <w:rPr>
          <w:lang w:eastAsia="zh-CN"/>
        </w:rPr>
      </w:pPr>
      <w:r w:rsidRPr="0018745A">
        <w:rPr>
          <w:lang w:eastAsia="zh-CN"/>
        </w:rPr>
        <w:t>做出决议，批准</w:t>
      </w:r>
    </w:p>
    <w:p w14:paraId="501F73CF" w14:textId="77777777" w:rsidR="006C2C5E" w:rsidRDefault="006C2C5E" w:rsidP="006C2C5E">
      <w:pPr>
        <w:ind w:firstLineChars="200" w:firstLine="480"/>
        <w:rPr>
          <w:rFonts w:hAnsi="Verdana"/>
          <w:lang w:eastAsia="zh-CN"/>
        </w:rPr>
      </w:pPr>
      <w:r w:rsidRPr="00EE181E">
        <w:rPr>
          <w:rFonts w:hAnsi="Verdana"/>
          <w:lang w:eastAsia="zh-CN"/>
        </w:rPr>
        <w:t>国际电联</w:t>
      </w:r>
      <w:r w:rsidRPr="00C70206">
        <w:rPr>
          <w:szCs w:val="24"/>
          <w:lang w:eastAsia="zh-CN"/>
        </w:rPr>
        <w:t>20</w:t>
      </w:r>
      <w:r>
        <w:rPr>
          <w:szCs w:val="24"/>
          <w:lang w:eastAsia="zh-CN"/>
        </w:rPr>
        <w:t>2</w:t>
      </w:r>
      <w:r>
        <w:rPr>
          <w:rFonts w:hint="eastAsia"/>
          <w:szCs w:val="24"/>
          <w:lang w:eastAsia="zh-CN"/>
        </w:rPr>
        <w:t>2</w:t>
      </w:r>
      <w:r w:rsidRPr="00C70206">
        <w:rPr>
          <w:szCs w:val="24"/>
          <w:lang w:eastAsia="zh-CN"/>
        </w:rPr>
        <w:t>-20</w:t>
      </w:r>
      <w:r>
        <w:rPr>
          <w:szCs w:val="24"/>
          <w:lang w:eastAsia="zh-CN"/>
        </w:rPr>
        <w:t>2</w:t>
      </w:r>
      <w:r>
        <w:rPr>
          <w:rFonts w:hint="eastAsia"/>
          <w:szCs w:val="24"/>
          <w:lang w:eastAsia="zh-CN"/>
        </w:rPr>
        <w:t>3</w:t>
      </w:r>
      <w:r w:rsidRPr="00EE181E">
        <w:rPr>
          <w:rFonts w:hAnsi="Verdana"/>
          <w:lang w:eastAsia="zh-CN"/>
        </w:rPr>
        <w:t>双年度预算</w:t>
      </w:r>
      <w:r>
        <w:rPr>
          <w:rFonts w:hAnsi="Verdana" w:hint="eastAsia"/>
          <w:lang w:eastAsia="zh-CN"/>
        </w:rPr>
        <w:t>，</w:t>
      </w:r>
      <w:r w:rsidRPr="00EE181E">
        <w:rPr>
          <w:lang w:eastAsia="zh-CN"/>
        </w:rPr>
        <w:t>20</w:t>
      </w:r>
      <w:r>
        <w:rPr>
          <w:lang w:eastAsia="zh-CN"/>
        </w:rPr>
        <w:t>2</w:t>
      </w:r>
      <w:r>
        <w:rPr>
          <w:rFonts w:hint="eastAsia"/>
          <w:lang w:eastAsia="zh-CN"/>
        </w:rPr>
        <w:t>2</w:t>
      </w:r>
      <w:r>
        <w:rPr>
          <w:rFonts w:hAnsi="Verdana"/>
          <w:lang w:eastAsia="zh-CN"/>
        </w:rPr>
        <w:t>年的</w:t>
      </w:r>
      <w:r>
        <w:rPr>
          <w:rFonts w:hAnsi="Verdana" w:hint="eastAsia"/>
          <w:lang w:eastAsia="zh-CN"/>
        </w:rPr>
        <w:t>金</w:t>
      </w:r>
      <w:r w:rsidRPr="00EE181E">
        <w:rPr>
          <w:rFonts w:hAnsi="Verdana"/>
          <w:lang w:eastAsia="zh-CN"/>
        </w:rPr>
        <w:t>额为</w:t>
      </w:r>
      <w:r>
        <w:rPr>
          <w:lang w:eastAsia="zh-CN"/>
        </w:rPr>
        <w:t>16</w:t>
      </w:r>
      <w:r>
        <w:rPr>
          <w:rFonts w:hint="eastAsia"/>
          <w:lang w:eastAsia="zh-CN"/>
        </w:rPr>
        <w:t>1</w:t>
      </w:r>
      <w:r>
        <w:rPr>
          <w:lang w:eastAsia="zh-CN"/>
        </w:rPr>
        <w:t> 9</w:t>
      </w:r>
      <w:r>
        <w:rPr>
          <w:rFonts w:hint="eastAsia"/>
          <w:lang w:eastAsia="zh-CN"/>
        </w:rPr>
        <w:t>61</w:t>
      </w:r>
      <w:r>
        <w:rPr>
          <w:lang w:eastAsia="zh-CN"/>
        </w:rPr>
        <w:t> </w:t>
      </w:r>
      <w:r w:rsidRPr="00F227E2">
        <w:rPr>
          <w:lang w:eastAsia="zh-CN"/>
        </w:rPr>
        <w:t>000</w:t>
      </w:r>
      <w:r>
        <w:rPr>
          <w:rFonts w:hAnsi="Verdana"/>
          <w:lang w:eastAsia="zh-CN"/>
        </w:rPr>
        <w:t>瑞郎</w:t>
      </w:r>
      <w:r w:rsidRPr="00EE181E">
        <w:rPr>
          <w:rFonts w:hAnsi="Verdana"/>
          <w:lang w:eastAsia="zh-CN"/>
        </w:rPr>
        <w:t>，</w:t>
      </w:r>
      <w:r w:rsidRPr="00EE181E">
        <w:rPr>
          <w:lang w:eastAsia="zh-CN"/>
        </w:rPr>
        <w:t>20</w:t>
      </w:r>
      <w:r>
        <w:rPr>
          <w:lang w:eastAsia="zh-CN"/>
        </w:rPr>
        <w:t>2</w:t>
      </w:r>
      <w:r>
        <w:rPr>
          <w:rFonts w:hint="eastAsia"/>
          <w:lang w:eastAsia="zh-CN"/>
        </w:rPr>
        <w:t>3</w:t>
      </w:r>
      <w:r>
        <w:rPr>
          <w:rFonts w:hAnsi="Verdana"/>
          <w:lang w:eastAsia="zh-CN"/>
        </w:rPr>
        <w:t>年的</w:t>
      </w:r>
      <w:r>
        <w:rPr>
          <w:rFonts w:hAnsi="Verdana" w:hint="eastAsia"/>
          <w:lang w:eastAsia="zh-CN"/>
        </w:rPr>
        <w:t>金</w:t>
      </w:r>
      <w:r w:rsidRPr="00EE181E">
        <w:rPr>
          <w:rFonts w:hAnsi="Verdana"/>
          <w:lang w:eastAsia="zh-CN"/>
        </w:rPr>
        <w:t>额为</w:t>
      </w:r>
      <w:r>
        <w:rPr>
          <w:szCs w:val="24"/>
          <w:lang w:eastAsia="zh-CN"/>
        </w:rPr>
        <w:t>16</w:t>
      </w:r>
      <w:r>
        <w:rPr>
          <w:rFonts w:hint="eastAsia"/>
          <w:szCs w:val="24"/>
          <w:lang w:eastAsia="zh-CN"/>
        </w:rPr>
        <w:t>3</w:t>
      </w:r>
      <w:r>
        <w:rPr>
          <w:szCs w:val="24"/>
          <w:lang w:eastAsia="zh-CN"/>
        </w:rPr>
        <w:t> </w:t>
      </w:r>
      <w:r>
        <w:rPr>
          <w:rFonts w:hint="eastAsia"/>
          <w:szCs w:val="24"/>
          <w:lang w:eastAsia="zh-CN"/>
        </w:rPr>
        <w:t>194</w:t>
      </w:r>
      <w:r>
        <w:rPr>
          <w:szCs w:val="24"/>
          <w:lang w:eastAsia="zh-CN"/>
        </w:rPr>
        <w:t> 000</w:t>
      </w:r>
      <w:r>
        <w:rPr>
          <w:rFonts w:hAnsi="Verdana"/>
          <w:lang w:eastAsia="zh-CN"/>
        </w:rPr>
        <w:t>瑞郎</w:t>
      </w:r>
      <w:r w:rsidRPr="00EE181E">
        <w:rPr>
          <w:rFonts w:hAnsi="Verdana"/>
          <w:lang w:eastAsia="zh-CN"/>
        </w:rPr>
        <w:t>，或</w:t>
      </w:r>
      <w:r w:rsidRPr="00C70206">
        <w:rPr>
          <w:szCs w:val="24"/>
          <w:lang w:eastAsia="zh-CN"/>
        </w:rPr>
        <w:t>20</w:t>
      </w:r>
      <w:r>
        <w:rPr>
          <w:szCs w:val="24"/>
          <w:lang w:eastAsia="zh-CN"/>
        </w:rPr>
        <w:t>20</w:t>
      </w:r>
      <w:r w:rsidRPr="00C70206">
        <w:rPr>
          <w:szCs w:val="24"/>
          <w:lang w:eastAsia="zh-CN"/>
        </w:rPr>
        <w:t>-20</w:t>
      </w:r>
      <w:r>
        <w:rPr>
          <w:szCs w:val="24"/>
          <w:lang w:eastAsia="zh-CN"/>
        </w:rPr>
        <w:t>21</w:t>
      </w:r>
      <w:r w:rsidRPr="00EE181E">
        <w:rPr>
          <w:lang w:eastAsia="zh-CN"/>
        </w:rPr>
        <w:t>双年度总额为</w:t>
      </w:r>
      <w:r>
        <w:rPr>
          <w:szCs w:val="24"/>
          <w:lang w:eastAsia="zh-CN"/>
        </w:rPr>
        <w:t>3</w:t>
      </w:r>
      <w:r>
        <w:rPr>
          <w:rFonts w:hint="eastAsia"/>
          <w:szCs w:val="24"/>
          <w:lang w:eastAsia="zh-CN"/>
        </w:rPr>
        <w:t>25</w:t>
      </w:r>
      <w:r>
        <w:rPr>
          <w:szCs w:val="24"/>
          <w:lang w:eastAsia="zh-CN"/>
        </w:rPr>
        <w:t> </w:t>
      </w:r>
      <w:r>
        <w:rPr>
          <w:rFonts w:hint="eastAsia"/>
          <w:szCs w:val="24"/>
          <w:lang w:eastAsia="zh-CN"/>
        </w:rPr>
        <w:t>155</w:t>
      </w:r>
      <w:r>
        <w:rPr>
          <w:szCs w:val="24"/>
          <w:lang w:eastAsia="zh-CN"/>
        </w:rPr>
        <w:t> 000</w:t>
      </w:r>
      <w:r>
        <w:rPr>
          <w:rFonts w:hAnsi="Verdana"/>
          <w:lang w:eastAsia="zh-CN"/>
        </w:rPr>
        <w:t>瑞郎</w:t>
      </w:r>
      <w:r>
        <w:rPr>
          <w:rFonts w:hAnsi="Verdana" w:hint="eastAsia"/>
          <w:lang w:eastAsia="zh-CN"/>
        </w:rPr>
        <w:t>，具体</w:t>
      </w:r>
      <w:r w:rsidRPr="00EE181E">
        <w:rPr>
          <w:rFonts w:hAnsi="Verdana"/>
          <w:lang w:eastAsia="zh-CN"/>
        </w:rPr>
        <w:t>拨款如下：</w:t>
      </w:r>
    </w:p>
    <w:p w14:paraId="61AAA2AA" w14:textId="77777777" w:rsidR="006C2C5E" w:rsidRPr="005D554F" w:rsidRDefault="006C2C5E" w:rsidP="006C2C5E">
      <w:pPr>
        <w:rPr>
          <w:lang w:eastAsia="zh-CN"/>
        </w:rPr>
      </w:pPr>
      <w:r w:rsidRPr="00216EB8">
        <w:rPr>
          <w:rFonts w:ascii="Helv" w:eastAsia="Times New Roman" w:hAnsi="Helv"/>
          <w:noProof/>
          <w:sz w:val="20"/>
        </w:rPr>
        <mc:AlternateContent>
          <mc:Choice Requires="wps">
            <w:drawing>
              <wp:anchor distT="0" distB="0" distL="114300" distR="114300" simplePos="0" relativeHeight="251659264" behindDoc="0" locked="0" layoutInCell="1" allowOverlap="1" wp14:anchorId="2FA937ED" wp14:editId="09D33E6A">
                <wp:simplePos x="0" y="0"/>
                <wp:positionH relativeFrom="column">
                  <wp:posOffset>4925060</wp:posOffset>
                </wp:positionH>
                <wp:positionV relativeFrom="paragraph">
                  <wp:posOffset>490855</wp:posOffset>
                </wp:positionV>
                <wp:extent cx="863600" cy="2457450"/>
                <wp:effectExtent l="0" t="0" r="12700" b="19050"/>
                <wp:wrapNone/>
                <wp:docPr id="16" name="圆角矩形 16">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2457450"/>
                        </a:xfrm>
                        <a:prstGeom prst="roundRect">
                          <a:avLst>
                            <a:gd name="adj" fmla="val 50000"/>
                          </a:avLst>
                        </a:prstGeom>
                        <a:noFill/>
                        <a:ln w="12700">
                          <a:solidFill>
                            <a:schemeClr val="accent1">
                              <a:lumMod val="75000"/>
                            </a:schemeClr>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023EC99B" id="圆角矩形 16" o:spid="_x0000_s1026" style="position:absolute;margin-left:387.8pt;margin-top:38.65pt;width:68pt;height:1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" filled="f" strokecolor="#365f91 [2404]" strokeweight="1pt"/>
            </w:pict>
          </mc:Fallback>
        </mc:AlternateContent>
      </w:r>
    </w:p>
    <w:tbl>
      <w:tblPr>
        <w:tblW w:w="8544" w:type="dxa"/>
        <w:jc w:val="center"/>
        <w:tblLook w:val="04A0" w:firstRow="1" w:lastRow="0" w:firstColumn="1" w:lastColumn="0" w:noHBand="0" w:noVBand="1"/>
      </w:tblPr>
      <w:tblGrid>
        <w:gridCol w:w="4856"/>
        <w:gridCol w:w="1196"/>
        <w:gridCol w:w="1036"/>
        <w:gridCol w:w="1456"/>
      </w:tblGrid>
      <w:tr w:rsidR="006C2C5E" w:rsidRPr="00216EB8" w14:paraId="4E0E30AC" w14:textId="77777777" w:rsidTr="002F7131">
        <w:trPr>
          <w:trHeight w:val="240"/>
          <w:jc w:val="center"/>
        </w:trPr>
        <w:tc>
          <w:tcPr>
            <w:tcW w:w="4856" w:type="dxa"/>
            <w:tcBorders>
              <w:top w:val="nil"/>
              <w:left w:val="nil"/>
              <w:bottom w:val="nil"/>
              <w:right w:val="nil"/>
            </w:tcBorders>
            <w:shd w:val="clear" w:color="auto" w:fill="auto"/>
            <w:noWrap/>
            <w:vAlign w:val="center"/>
            <w:hideMark/>
          </w:tcPr>
          <w:p w14:paraId="6A2F451F"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lang w:eastAsia="zh-CN"/>
              </w:rPr>
            </w:pPr>
          </w:p>
        </w:tc>
        <w:tc>
          <w:tcPr>
            <w:tcW w:w="3688" w:type="dxa"/>
            <w:gridSpan w:val="3"/>
            <w:tcBorders>
              <w:top w:val="nil"/>
              <w:left w:val="nil"/>
              <w:bottom w:val="nil"/>
              <w:right w:val="nil"/>
            </w:tcBorders>
            <w:shd w:val="clear" w:color="auto" w:fill="auto"/>
            <w:noWrap/>
            <w:vAlign w:val="center"/>
            <w:hideMark/>
          </w:tcPr>
          <w:p w14:paraId="327BAFA6"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r w:rsidRPr="00216EB8">
              <w:rPr>
                <w:rFonts w:ascii="STKaiti" w:eastAsia="STKaiti" w:hAnsi="STKaiti" w:hint="eastAsia"/>
                <w:b/>
                <w:bCs/>
                <w:color w:val="002060"/>
                <w:sz w:val="20"/>
              </w:rPr>
              <w:t>单位：千瑞郎</w:t>
            </w:r>
          </w:p>
        </w:tc>
      </w:tr>
      <w:tr w:rsidR="006C2C5E" w:rsidRPr="00216EB8" w14:paraId="7D9B3BE2" w14:textId="77777777" w:rsidTr="002F7131">
        <w:trPr>
          <w:trHeight w:val="240"/>
          <w:jc w:val="center"/>
        </w:trPr>
        <w:tc>
          <w:tcPr>
            <w:tcW w:w="4856" w:type="dxa"/>
            <w:tcBorders>
              <w:top w:val="nil"/>
              <w:left w:val="nil"/>
              <w:bottom w:val="nil"/>
              <w:right w:val="nil"/>
            </w:tcBorders>
            <w:shd w:val="clear" w:color="auto" w:fill="auto"/>
            <w:noWrap/>
            <w:vAlign w:val="center"/>
            <w:hideMark/>
          </w:tcPr>
          <w:p w14:paraId="116E0743"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196" w:type="dxa"/>
            <w:tcBorders>
              <w:top w:val="nil"/>
              <w:left w:val="nil"/>
              <w:bottom w:val="nil"/>
              <w:right w:val="nil"/>
            </w:tcBorders>
            <w:shd w:val="clear" w:color="auto" w:fill="auto"/>
            <w:noWrap/>
            <w:vAlign w:val="center"/>
            <w:hideMark/>
          </w:tcPr>
          <w:p w14:paraId="45194179" w14:textId="77777777" w:rsidR="006C2C5E" w:rsidRPr="00216EB8"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36" w:type="dxa"/>
            <w:tcBorders>
              <w:top w:val="nil"/>
              <w:left w:val="nil"/>
              <w:bottom w:val="nil"/>
              <w:right w:val="nil"/>
            </w:tcBorders>
            <w:shd w:val="clear" w:color="auto" w:fill="auto"/>
            <w:noWrap/>
            <w:vAlign w:val="center"/>
            <w:hideMark/>
          </w:tcPr>
          <w:p w14:paraId="74F19845"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736B7CAF" w14:textId="77777777" w:rsidR="006C2C5E" w:rsidRPr="00216EB8" w:rsidRDefault="006C2C5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tc>
      </w:tr>
      <w:tr w:rsidR="006C2C5E" w:rsidRPr="00216EB8" w14:paraId="56CE5A28" w14:textId="77777777" w:rsidTr="002F7131">
        <w:trPr>
          <w:trHeight w:val="255"/>
          <w:jc w:val="center"/>
        </w:trPr>
        <w:tc>
          <w:tcPr>
            <w:tcW w:w="4856" w:type="dxa"/>
            <w:tcBorders>
              <w:top w:val="nil"/>
              <w:left w:val="nil"/>
              <w:bottom w:val="nil"/>
              <w:right w:val="nil"/>
            </w:tcBorders>
            <w:shd w:val="clear" w:color="auto" w:fill="auto"/>
            <w:noWrap/>
            <w:vAlign w:val="center"/>
            <w:hideMark/>
          </w:tcPr>
          <w:p w14:paraId="4755461C" w14:textId="77777777" w:rsidR="006C2C5E" w:rsidRPr="00216EB8"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96" w:type="dxa"/>
            <w:tcBorders>
              <w:top w:val="nil"/>
              <w:left w:val="nil"/>
              <w:bottom w:val="nil"/>
              <w:right w:val="nil"/>
            </w:tcBorders>
            <w:shd w:val="clear" w:color="auto" w:fill="auto"/>
            <w:noWrap/>
            <w:vAlign w:val="center"/>
            <w:hideMark/>
          </w:tcPr>
          <w:p w14:paraId="2D6F8780"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20"/>
              </w:rPr>
            </w:pPr>
            <w:r w:rsidRPr="00216EB8">
              <w:rPr>
                <w:rFonts w:ascii="SimSun" w:hAnsi="SimSun" w:hint="eastAsia"/>
                <w:b/>
                <w:bCs/>
                <w:color w:val="002060"/>
                <w:sz w:val="20"/>
              </w:rPr>
              <w:t>估算</w:t>
            </w:r>
          </w:p>
        </w:tc>
        <w:tc>
          <w:tcPr>
            <w:tcW w:w="1036" w:type="dxa"/>
            <w:tcBorders>
              <w:top w:val="nil"/>
              <w:left w:val="nil"/>
              <w:bottom w:val="nil"/>
              <w:right w:val="nil"/>
            </w:tcBorders>
            <w:shd w:val="clear" w:color="auto" w:fill="auto"/>
            <w:noWrap/>
            <w:vAlign w:val="center"/>
            <w:hideMark/>
          </w:tcPr>
          <w:p w14:paraId="2AADFF7C"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20"/>
              </w:rPr>
            </w:pPr>
            <w:r w:rsidRPr="00216EB8">
              <w:rPr>
                <w:rFonts w:ascii="SimSun" w:hAnsi="SimSun" w:hint="eastAsia"/>
                <w:b/>
                <w:bCs/>
                <w:color w:val="002060"/>
                <w:sz w:val="20"/>
              </w:rPr>
              <w:t>估算</w:t>
            </w:r>
          </w:p>
        </w:tc>
        <w:tc>
          <w:tcPr>
            <w:tcW w:w="1456" w:type="dxa"/>
            <w:tcBorders>
              <w:top w:val="nil"/>
              <w:left w:val="nil"/>
              <w:bottom w:val="nil"/>
              <w:right w:val="nil"/>
            </w:tcBorders>
            <w:shd w:val="clear" w:color="auto" w:fill="auto"/>
            <w:noWrap/>
            <w:vAlign w:val="center"/>
            <w:hideMark/>
          </w:tcPr>
          <w:p w14:paraId="702F048C"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20"/>
              </w:rPr>
            </w:pPr>
            <w:r w:rsidRPr="00216EB8">
              <w:rPr>
                <w:rFonts w:ascii="SimSun" w:hAnsi="SimSun" w:hint="eastAsia"/>
                <w:b/>
                <w:bCs/>
                <w:color w:val="002060"/>
                <w:sz w:val="20"/>
              </w:rPr>
              <w:t>合计</w:t>
            </w:r>
          </w:p>
        </w:tc>
      </w:tr>
      <w:tr w:rsidR="006C2C5E" w:rsidRPr="00216EB8" w14:paraId="79759BEB" w14:textId="77777777" w:rsidTr="002F7131">
        <w:trPr>
          <w:trHeight w:val="510"/>
          <w:jc w:val="center"/>
        </w:trPr>
        <w:tc>
          <w:tcPr>
            <w:tcW w:w="4856" w:type="dxa"/>
            <w:tcBorders>
              <w:top w:val="nil"/>
              <w:left w:val="nil"/>
              <w:bottom w:val="single" w:sz="4" w:space="0" w:color="auto"/>
              <w:right w:val="nil"/>
            </w:tcBorders>
            <w:shd w:val="clear" w:color="auto" w:fill="auto"/>
            <w:noWrap/>
            <w:vAlign w:val="center"/>
            <w:hideMark/>
          </w:tcPr>
          <w:p w14:paraId="45658E91"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33CC"/>
                <w:sz w:val="20"/>
              </w:rPr>
            </w:pPr>
            <w:r w:rsidRPr="00216EB8">
              <w:rPr>
                <w:rFonts w:eastAsia="Times New Roman" w:cs="Calibri"/>
                <w:b/>
                <w:bCs/>
                <w:color w:val="0033CC"/>
                <w:sz w:val="20"/>
              </w:rPr>
              <w:t> </w:t>
            </w:r>
          </w:p>
        </w:tc>
        <w:tc>
          <w:tcPr>
            <w:tcW w:w="1196" w:type="dxa"/>
            <w:tcBorders>
              <w:top w:val="nil"/>
              <w:left w:val="nil"/>
              <w:bottom w:val="single" w:sz="4" w:space="0" w:color="auto"/>
              <w:right w:val="nil"/>
            </w:tcBorders>
            <w:shd w:val="clear" w:color="auto" w:fill="auto"/>
            <w:vAlign w:val="center"/>
            <w:hideMark/>
          </w:tcPr>
          <w:p w14:paraId="641B28F0"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216EB8">
              <w:rPr>
                <w:rFonts w:eastAsia="Times New Roman" w:cs="Calibri"/>
                <w:b/>
                <w:bCs/>
                <w:color w:val="002060"/>
                <w:sz w:val="20"/>
              </w:rPr>
              <w:t>2022</w:t>
            </w:r>
            <w:r w:rsidRPr="00216EB8">
              <w:rPr>
                <w:rFonts w:ascii="SimSun" w:hAnsi="SimSun" w:cs="Calibri" w:hint="eastAsia"/>
                <w:b/>
                <w:bCs/>
                <w:color w:val="002060"/>
                <w:sz w:val="20"/>
              </w:rPr>
              <w:t>年</w:t>
            </w:r>
          </w:p>
        </w:tc>
        <w:tc>
          <w:tcPr>
            <w:tcW w:w="1036" w:type="dxa"/>
            <w:tcBorders>
              <w:top w:val="nil"/>
              <w:left w:val="nil"/>
              <w:bottom w:val="single" w:sz="4" w:space="0" w:color="auto"/>
              <w:right w:val="nil"/>
            </w:tcBorders>
            <w:shd w:val="clear" w:color="auto" w:fill="auto"/>
            <w:vAlign w:val="center"/>
            <w:hideMark/>
          </w:tcPr>
          <w:p w14:paraId="00FE7E58"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216EB8">
              <w:rPr>
                <w:rFonts w:eastAsia="Times New Roman" w:cs="Calibri"/>
                <w:b/>
                <w:bCs/>
                <w:color w:val="002060"/>
                <w:sz w:val="20"/>
              </w:rPr>
              <w:t>2023</w:t>
            </w:r>
            <w:r w:rsidRPr="00216EB8">
              <w:rPr>
                <w:rFonts w:ascii="SimSun" w:hAnsi="SimSun" w:cs="Calibri" w:hint="eastAsia"/>
                <w:b/>
                <w:bCs/>
                <w:color w:val="002060"/>
                <w:sz w:val="20"/>
              </w:rPr>
              <w:t>年</w:t>
            </w:r>
          </w:p>
        </w:tc>
        <w:tc>
          <w:tcPr>
            <w:tcW w:w="1456" w:type="dxa"/>
            <w:tcBorders>
              <w:top w:val="nil"/>
              <w:left w:val="nil"/>
              <w:bottom w:val="single" w:sz="4" w:space="0" w:color="auto"/>
              <w:right w:val="nil"/>
            </w:tcBorders>
            <w:shd w:val="clear" w:color="auto" w:fill="auto"/>
            <w:vAlign w:val="center"/>
            <w:hideMark/>
          </w:tcPr>
          <w:p w14:paraId="3E41B2D0"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216EB8">
              <w:rPr>
                <w:rFonts w:eastAsia="Times New Roman" w:cs="Calibri"/>
                <w:b/>
                <w:bCs/>
                <w:color w:val="002060"/>
                <w:sz w:val="20"/>
              </w:rPr>
              <w:t>2022-2023</w:t>
            </w:r>
            <w:r w:rsidRPr="00216EB8">
              <w:rPr>
                <w:rFonts w:ascii="SimSun" w:hAnsi="SimSun" w:cs="Calibri" w:hint="eastAsia"/>
                <w:b/>
                <w:bCs/>
                <w:color w:val="002060"/>
                <w:sz w:val="20"/>
              </w:rPr>
              <w:t>年</w:t>
            </w:r>
          </w:p>
        </w:tc>
      </w:tr>
      <w:tr w:rsidR="006C2C5E" w:rsidRPr="00216EB8" w14:paraId="0CB7CF17" w14:textId="77777777" w:rsidTr="002F7131">
        <w:trPr>
          <w:trHeight w:val="240"/>
          <w:jc w:val="center"/>
        </w:trPr>
        <w:tc>
          <w:tcPr>
            <w:tcW w:w="4856" w:type="dxa"/>
            <w:tcBorders>
              <w:top w:val="nil"/>
              <w:left w:val="nil"/>
              <w:bottom w:val="nil"/>
              <w:right w:val="nil"/>
            </w:tcBorders>
            <w:shd w:val="clear" w:color="auto" w:fill="auto"/>
            <w:noWrap/>
            <w:vAlign w:val="center"/>
            <w:hideMark/>
          </w:tcPr>
          <w:p w14:paraId="2FEB812E"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96" w:type="dxa"/>
            <w:tcBorders>
              <w:top w:val="nil"/>
              <w:left w:val="nil"/>
              <w:bottom w:val="nil"/>
              <w:right w:val="nil"/>
            </w:tcBorders>
            <w:shd w:val="clear" w:color="auto" w:fill="auto"/>
            <w:noWrap/>
            <w:vAlign w:val="center"/>
            <w:hideMark/>
          </w:tcPr>
          <w:p w14:paraId="78C79075" w14:textId="77777777" w:rsidR="006C2C5E" w:rsidRPr="00216EB8"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36" w:type="dxa"/>
            <w:tcBorders>
              <w:top w:val="nil"/>
              <w:left w:val="nil"/>
              <w:bottom w:val="nil"/>
              <w:right w:val="nil"/>
            </w:tcBorders>
            <w:shd w:val="clear" w:color="auto" w:fill="auto"/>
            <w:noWrap/>
            <w:vAlign w:val="center"/>
            <w:hideMark/>
          </w:tcPr>
          <w:p w14:paraId="1AFDD50A"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16E28FEA"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216EB8" w14:paraId="59BEAEA0" w14:textId="77777777" w:rsidTr="002F7131">
        <w:trPr>
          <w:trHeight w:val="327"/>
          <w:jc w:val="center"/>
        </w:trPr>
        <w:tc>
          <w:tcPr>
            <w:tcW w:w="4856" w:type="dxa"/>
            <w:tcBorders>
              <w:top w:val="nil"/>
              <w:left w:val="nil"/>
              <w:bottom w:val="nil"/>
              <w:right w:val="nil"/>
            </w:tcBorders>
            <w:shd w:val="clear" w:color="auto" w:fill="auto"/>
            <w:noWrap/>
            <w:vAlign w:val="center"/>
            <w:hideMark/>
          </w:tcPr>
          <w:p w14:paraId="029058FC" w14:textId="77777777" w:rsidR="006C2C5E" w:rsidRPr="00216EB8"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216EB8">
              <w:rPr>
                <w:rFonts w:eastAsia="Times New Roman" w:cs="Calibri"/>
                <w:sz w:val="20"/>
              </w:rPr>
              <w:t xml:space="preserve">1 - </w:t>
            </w:r>
            <w:r w:rsidRPr="00216EB8">
              <w:rPr>
                <w:rFonts w:ascii="SimSun" w:hAnsi="SimSun" w:cs="Calibri" w:hint="eastAsia"/>
                <w:sz w:val="20"/>
              </w:rPr>
              <w:t>总秘书处</w:t>
            </w:r>
          </w:p>
        </w:tc>
        <w:tc>
          <w:tcPr>
            <w:tcW w:w="1196" w:type="dxa"/>
            <w:tcBorders>
              <w:top w:val="nil"/>
              <w:left w:val="nil"/>
              <w:bottom w:val="nil"/>
              <w:right w:val="nil"/>
            </w:tcBorders>
            <w:shd w:val="clear" w:color="auto" w:fill="auto"/>
            <w:noWrap/>
            <w:vAlign w:val="center"/>
            <w:hideMark/>
          </w:tcPr>
          <w:p w14:paraId="76B274CA"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16EB8">
              <w:rPr>
                <w:rFonts w:eastAsia="Times New Roman" w:cs="Calibri"/>
                <w:color w:val="002060"/>
                <w:sz w:val="20"/>
              </w:rPr>
              <w:t>91,396</w:t>
            </w:r>
          </w:p>
        </w:tc>
        <w:tc>
          <w:tcPr>
            <w:tcW w:w="1036" w:type="dxa"/>
            <w:tcBorders>
              <w:top w:val="nil"/>
              <w:left w:val="nil"/>
              <w:bottom w:val="nil"/>
              <w:right w:val="nil"/>
            </w:tcBorders>
            <w:shd w:val="clear" w:color="auto" w:fill="auto"/>
            <w:noWrap/>
            <w:vAlign w:val="center"/>
            <w:hideMark/>
          </w:tcPr>
          <w:p w14:paraId="373760E6"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16EB8">
              <w:rPr>
                <w:rFonts w:eastAsia="Times New Roman" w:cs="Calibri"/>
                <w:color w:val="002060"/>
                <w:sz w:val="20"/>
              </w:rPr>
              <w:t>89,887</w:t>
            </w:r>
          </w:p>
        </w:tc>
        <w:tc>
          <w:tcPr>
            <w:tcW w:w="1456" w:type="dxa"/>
            <w:tcBorders>
              <w:top w:val="nil"/>
              <w:left w:val="nil"/>
              <w:bottom w:val="nil"/>
              <w:right w:val="nil"/>
            </w:tcBorders>
            <w:shd w:val="clear" w:color="auto" w:fill="auto"/>
            <w:noWrap/>
            <w:vAlign w:val="center"/>
            <w:hideMark/>
          </w:tcPr>
          <w:p w14:paraId="628D172B"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16EB8">
              <w:rPr>
                <w:rFonts w:eastAsia="Times New Roman" w:cs="Calibri"/>
                <w:color w:val="002060"/>
                <w:sz w:val="20"/>
              </w:rPr>
              <w:t>181,283</w:t>
            </w:r>
          </w:p>
        </w:tc>
      </w:tr>
      <w:tr w:rsidR="006C2C5E" w:rsidRPr="00216EB8" w14:paraId="664B73D6" w14:textId="77777777" w:rsidTr="002F7131">
        <w:trPr>
          <w:trHeight w:val="327"/>
          <w:jc w:val="center"/>
        </w:trPr>
        <w:tc>
          <w:tcPr>
            <w:tcW w:w="4856" w:type="dxa"/>
            <w:tcBorders>
              <w:top w:val="nil"/>
              <w:left w:val="nil"/>
              <w:bottom w:val="nil"/>
              <w:right w:val="nil"/>
            </w:tcBorders>
            <w:shd w:val="clear" w:color="auto" w:fill="auto"/>
            <w:noWrap/>
            <w:vAlign w:val="center"/>
            <w:hideMark/>
          </w:tcPr>
          <w:p w14:paraId="033E2072" w14:textId="77777777" w:rsidR="006C2C5E" w:rsidRPr="00216EB8"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216EB8">
              <w:rPr>
                <w:rFonts w:eastAsia="Times New Roman" w:cs="Calibri"/>
                <w:sz w:val="20"/>
              </w:rPr>
              <w:t xml:space="preserve">2 - </w:t>
            </w:r>
            <w:r w:rsidRPr="00216EB8">
              <w:rPr>
                <w:rFonts w:ascii="SimSun" w:hAnsi="SimSun" w:cs="Calibri" w:hint="eastAsia"/>
                <w:sz w:val="20"/>
              </w:rPr>
              <w:t>无线电通信部门</w:t>
            </w:r>
          </w:p>
        </w:tc>
        <w:tc>
          <w:tcPr>
            <w:tcW w:w="1196" w:type="dxa"/>
            <w:tcBorders>
              <w:top w:val="nil"/>
              <w:left w:val="nil"/>
              <w:bottom w:val="nil"/>
              <w:right w:val="nil"/>
            </w:tcBorders>
            <w:shd w:val="clear" w:color="auto" w:fill="auto"/>
            <w:noWrap/>
            <w:vAlign w:val="center"/>
            <w:hideMark/>
          </w:tcPr>
          <w:p w14:paraId="016F739C"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bookmarkStart w:id="54" w:name="RANGE!B11:D17"/>
            <w:r w:rsidRPr="00216EB8">
              <w:rPr>
                <w:rFonts w:eastAsia="Times New Roman" w:cs="Calibri"/>
                <w:color w:val="002060"/>
                <w:sz w:val="20"/>
              </w:rPr>
              <w:t>28,883</w:t>
            </w:r>
            <w:bookmarkEnd w:id="54"/>
          </w:p>
        </w:tc>
        <w:tc>
          <w:tcPr>
            <w:tcW w:w="1036" w:type="dxa"/>
            <w:tcBorders>
              <w:top w:val="nil"/>
              <w:left w:val="nil"/>
              <w:bottom w:val="nil"/>
              <w:right w:val="nil"/>
            </w:tcBorders>
            <w:shd w:val="clear" w:color="auto" w:fill="auto"/>
            <w:noWrap/>
            <w:vAlign w:val="center"/>
            <w:hideMark/>
          </w:tcPr>
          <w:p w14:paraId="2BB2D203"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16EB8">
              <w:rPr>
                <w:rFonts w:eastAsia="Times New Roman" w:cs="Calibri"/>
                <w:color w:val="002060"/>
                <w:sz w:val="20"/>
              </w:rPr>
              <w:t>32,455</w:t>
            </w:r>
          </w:p>
        </w:tc>
        <w:tc>
          <w:tcPr>
            <w:tcW w:w="1456" w:type="dxa"/>
            <w:tcBorders>
              <w:top w:val="nil"/>
              <w:left w:val="nil"/>
              <w:bottom w:val="nil"/>
              <w:right w:val="nil"/>
            </w:tcBorders>
            <w:shd w:val="clear" w:color="auto" w:fill="auto"/>
            <w:noWrap/>
            <w:vAlign w:val="center"/>
            <w:hideMark/>
          </w:tcPr>
          <w:p w14:paraId="062F7941"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16EB8">
              <w:rPr>
                <w:rFonts w:eastAsia="Times New Roman" w:cs="Calibri"/>
                <w:color w:val="002060"/>
                <w:sz w:val="20"/>
              </w:rPr>
              <w:t>61,338</w:t>
            </w:r>
          </w:p>
        </w:tc>
      </w:tr>
      <w:tr w:rsidR="006C2C5E" w:rsidRPr="00216EB8" w14:paraId="4E6E0966" w14:textId="77777777" w:rsidTr="002F7131">
        <w:trPr>
          <w:trHeight w:val="327"/>
          <w:jc w:val="center"/>
        </w:trPr>
        <w:tc>
          <w:tcPr>
            <w:tcW w:w="4856" w:type="dxa"/>
            <w:tcBorders>
              <w:top w:val="nil"/>
              <w:left w:val="nil"/>
              <w:bottom w:val="nil"/>
              <w:right w:val="nil"/>
            </w:tcBorders>
            <w:shd w:val="clear" w:color="auto" w:fill="auto"/>
            <w:noWrap/>
            <w:vAlign w:val="center"/>
            <w:hideMark/>
          </w:tcPr>
          <w:p w14:paraId="77A7CA4B" w14:textId="77777777" w:rsidR="006C2C5E" w:rsidRPr="00216EB8"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216EB8">
              <w:rPr>
                <w:rFonts w:eastAsia="Times New Roman" w:cs="Calibri"/>
                <w:sz w:val="20"/>
              </w:rPr>
              <w:t xml:space="preserve">3 - </w:t>
            </w:r>
            <w:r w:rsidRPr="00216EB8">
              <w:rPr>
                <w:rFonts w:ascii="SimSun" w:hAnsi="SimSun" w:cs="Calibri" w:hint="eastAsia"/>
                <w:sz w:val="20"/>
              </w:rPr>
              <w:t>电信标准化部门</w:t>
            </w:r>
          </w:p>
        </w:tc>
        <w:tc>
          <w:tcPr>
            <w:tcW w:w="1196" w:type="dxa"/>
            <w:tcBorders>
              <w:top w:val="nil"/>
              <w:left w:val="nil"/>
              <w:bottom w:val="nil"/>
              <w:right w:val="nil"/>
            </w:tcBorders>
            <w:shd w:val="clear" w:color="auto" w:fill="auto"/>
            <w:noWrap/>
            <w:vAlign w:val="center"/>
            <w:hideMark/>
          </w:tcPr>
          <w:p w14:paraId="7B0896D4"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16EB8">
              <w:rPr>
                <w:rFonts w:eastAsia="Times New Roman" w:cs="Calibri"/>
                <w:color w:val="002060"/>
                <w:sz w:val="20"/>
              </w:rPr>
              <w:t>13,894</w:t>
            </w:r>
          </w:p>
        </w:tc>
        <w:tc>
          <w:tcPr>
            <w:tcW w:w="1036" w:type="dxa"/>
            <w:tcBorders>
              <w:top w:val="nil"/>
              <w:left w:val="nil"/>
              <w:bottom w:val="nil"/>
              <w:right w:val="nil"/>
            </w:tcBorders>
            <w:shd w:val="clear" w:color="auto" w:fill="auto"/>
            <w:noWrap/>
            <w:vAlign w:val="center"/>
            <w:hideMark/>
          </w:tcPr>
          <w:p w14:paraId="138F3F53"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16EB8">
              <w:rPr>
                <w:rFonts w:eastAsia="Times New Roman" w:cs="Calibri"/>
                <w:color w:val="002060"/>
                <w:sz w:val="20"/>
              </w:rPr>
              <w:t>13,195</w:t>
            </w:r>
          </w:p>
        </w:tc>
        <w:tc>
          <w:tcPr>
            <w:tcW w:w="1456" w:type="dxa"/>
            <w:tcBorders>
              <w:top w:val="nil"/>
              <w:left w:val="nil"/>
              <w:bottom w:val="nil"/>
              <w:right w:val="nil"/>
            </w:tcBorders>
            <w:shd w:val="clear" w:color="auto" w:fill="auto"/>
            <w:noWrap/>
            <w:vAlign w:val="center"/>
            <w:hideMark/>
          </w:tcPr>
          <w:p w14:paraId="797D13D0"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16EB8">
              <w:rPr>
                <w:rFonts w:eastAsia="Times New Roman" w:cs="Calibri"/>
                <w:color w:val="002060"/>
                <w:sz w:val="20"/>
              </w:rPr>
              <w:t>27,089</w:t>
            </w:r>
          </w:p>
        </w:tc>
      </w:tr>
      <w:tr w:rsidR="006C2C5E" w:rsidRPr="00216EB8" w14:paraId="64231BAC" w14:textId="77777777" w:rsidTr="002F7131">
        <w:trPr>
          <w:trHeight w:val="327"/>
          <w:jc w:val="center"/>
        </w:trPr>
        <w:tc>
          <w:tcPr>
            <w:tcW w:w="4856" w:type="dxa"/>
            <w:tcBorders>
              <w:top w:val="nil"/>
              <w:left w:val="nil"/>
              <w:bottom w:val="nil"/>
              <w:right w:val="nil"/>
            </w:tcBorders>
            <w:shd w:val="clear" w:color="auto" w:fill="auto"/>
            <w:noWrap/>
            <w:vAlign w:val="center"/>
            <w:hideMark/>
          </w:tcPr>
          <w:p w14:paraId="6E6B6B30" w14:textId="77777777" w:rsidR="006C2C5E" w:rsidRPr="00216EB8"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216EB8">
              <w:rPr>
                <w:rFonts w:eastAsia="Times New Roman" w:cs="Calibri"/>
                <w:sz w:val="20"/>
              </w:rPr>
              <w:t xml:space="preserve">4 - </w:t>
            </w:r>
            <w:r w:rsidRPr="00216EB8">
              <w:rPr>
                <w:rFonts w:ascii="SimSun" w:hAnsi="SimSun" w:cs="Calibri" w:hint="eastAsia"/>
                <w:sz w:val="20"/>
              </w:rPr>
              <w:t>电信发展部门</w:t>
            </w:r>
          </w:p>
        </w:tc>
        <w:tc>
          <w:tcPr>
            <w:tcW w:w="1196" w:type="dxa"/>
            <w:tcBorders>
              <w:top w:val="nil"/>
              <w:left w:val="nil"/>
              <w:bottom w:val="nil"/>
              <w:right w:val="nil"/>
            </w:tcBorders>
            <w:shd w:val="clear" w:color="auto" w:fill="auto"/>
            <w:noWrap/>
            <w:vAlign w:val="center"/>
            <w:hideMark/>
          </w:tcPr>
          <w:p w14:paraId="29FC082D"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16EB8">
              <w:rPr>
                <w:rFonts w:eastAsia="Times New Roman" w:cs="Calibri"/>
                <w:color w:val="002060"/>
                <w:sz w:val="20"/>
              </w:rPr>
              <w:t>27,368</w:t>
            </w:r>
          </w:p>
        </w:tc>
        <w:tc>
          <w:tcPr>
            <w:tcW w:w="1036" w:type="dxa"/>
            <w:tcBorders>
              <w:top w:val="nil"/>
              <w:left w:val="nil"/>
              <w:bottom w:val="nil"/>
              <w:right w:val="nil"/>
            </w:tcBorders>
            <w:shd w:val="clear" w:color="auto" w:fill="auto"/>
            <w:noWrap/>
            <w:vAlign w:val="center"/>
            <w:hideMark/>
          </w:tcPr>
          <w:p w14:paraId="44D26404"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16EB8">
              <w:rPr>
                <w:rFonts w:eastAsia="Times New Roman" w:cs="Calibri"/>
                <w:color w:val="002060"/>
                <w:sz w:val="20"/>
              </w:rPr>
              <w:t>27,237</w:t>
            </w:r>
          </w:p>
        </w:tc>
        <w:tc>
          <w:tcPr>
            <w:tcW w:w="1456" w:type="dxa"/>
            <w:tcBorders>
              <w:top w:val="nil"/>
              <w:left w:val="nil"/>
              <w:bottom w:val="nil"/>
              <w:right w:val="nil"/>
            </w:tcBorders>
            <w:shd w:val="clear" w:color="auto" w:fill="auto"/>
            <w:noWrap/>
            <w:vAlign w:val="center"/>
            <w:hideMark/>
          </w:tcPr>
          <w:p w14:paraId="5653B3BC"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16EB8">
              <w:rPr>
                <w:rFonts w:eastAsia="Times New Roman" w:cs="Calibri"/>
                <w:color w:val="002060"/>
                <w:sz w:val="20"/>
              </w:rPr>
              <w:t>54,605</w:t>
            </w:r>
          </w:p>
        </w:tc>
      </w:tr>
      <w:tr w:rsidR="006C2C5E" w:rsidRPr="00216EB8" w14:paraId="7DBD8641" w14:textId="77777777" w:rsidTr="002F7131">
        <w:trPr>
          <w:trHeight w:val="327"/>
          <w:jc w:val="center"/>
        </w:trPr>
        <w:tc>
          <w:tcPr>
            <w:tcW w:w="4856" w:type="dxa"/>
            <w:tcBorders>
              <w:top w:val="nil"/>
              <w:left w:val="nil"/>
              <w:bottom w:val="nil"/>
              <w:right w:val="nil"/>
            </w:tcBorders>
            <w:shd w:val="clear" w:color="auto" w:fill="auto"/>
            <w:noWrap/>
            <w:vAlign w:val="center"/>
            <w:hideMark/>
          </w:tcPr>
          <w:p w14:paraId="31E9704C" w14:textId="77777777" w:rsidR="006C2C5E" w:rsidRPr="00216EB8"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216EB8">
              <w:rPr>
                <w:rFonts w:eastAsia="Times New Roman" w:cs="Calibri"/>
                <w:sz w:val="20"/>
              </w:rPr>
              <w:t>5 - COVID-19</w:t>
            </w:r>
            <w:r>
              <w:rPr>
                <w:rFonts w:ascii="SimSun" w:hAnsi="SimSun" w:cs="SimSun" w:hint="eastAsia"/>
                <w:sz w:val="20"/>
              </w:rPr>
              <w:t>危机管理</w:t>
            </w:r>
          </w:p>
        </w:tc>
        <w:tc>
          <w:tcPr>
            <w:tcW w:w="1196" w:type="dxa"/>
            <w:tcBorders>
              <w:top w:val="nil"/>
              <w:left w:val="nil"/>
              <w:bottom w:val="nil"/>
              <w:right w:val="nil"/>
            </w:tcBorders>
            <w:shd w:val="clear" w:color="auto" w:fill="auto"/>
            <w:noWrap/>
            <w:vAlign w:val="center"/>
            <w:hideMark/>
          </w:tcPr>
          <w:p w14:paraId="6385F324"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16EB8">
              <w:rPr>
                <w:rFonts w:eastAsia="Times New Roman" w:cs="Calibri"/>
                <w:color w:val="002060"/>
                <w:sz w:val="20"/>
              </w:rPr>
              <w:t>420</w:t>
            </w:r>
          </w:p>
        </w:tc>
        <w:tc>
          <w:tcPr>
            <w:tcW w:w="1036" w:type="dxa"/>
            <w:tcBorders>
              <w:top w:val="nil"/>
              <w:left w:val="nil"/>
              <w:bottom w:val="nil"/>
              <w:right w:val="nil"/>
            </w:tcBorders>
            <w:shd w:val="clear" w:color="auto" w:fill="auto"/>
            <w:noWrap/>
            <w:vAlign w:val="center"/>
            <w:hideMark/>
          </w:tcPr>
          <w:p w14:paraId="24CD9C9F"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16EB8">
              <w:rPr>
                <w:rFonts w:eastAsia="Times New Roman" w:cs="Calibri"/>
                <w:color w:val="002060"/>
                <w:sz w:val="20"/>
              </w:rPr>
              <w:t>420</w:t>
            </w:r>
          </w:p>
        </w:tc>
        <w:tc>
          <w:tcPr>
            <w:tcW w:w="1456" w:type="dxa"/>
            <w:tcBorders>
              <w:top w:val="nil"/>
              <w:left w:val="nil"/>
              <w:bottom w:val="nil"/>
              <w:right w:val="nil"/>
            </w:tcBorders>
            <w:shd w:val="clear" w:color="auto" w:fill="auto"/>
            <w:noWrap/>
            <w:vAlign w:val="center"/>
            <w:hideMark/>
          </w:tcPr>
          <w:p w14:paraId="7EFE52DB"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16EB8">
              <w:rPr>
                <w:rFonts w:eastAsia="Times New Roman" w:cs="Calibri"/>
                <w:color w:val="002060"/>
                <w:sz w:val="20"/>
              </w:rPr>
              <w:t>840</w:t>
            </w:r>
          </w:p>
        </w:tc>
      </w:tr>
      <w:tr w:rsidR="006C2C5E" w:rsidRPr="00216EB8" w14:paraId="2CC2F459" w14:textId="77777777" w:rsidTr="002F7131">
        <w:trPr>
          <w:trHeight w:val="240"/>
          <w:jc w:val="center"/>
        </w:trPr>
        <w:tc>
          <w:tcPr>
            <w:tcW w:w="4856" w:type="dxa"/>
            <w:tcBorders>
              <w:top w:val="nil"/>
              <w:left w:val="nil"/>
              <w:bottom w:val="single" w:sz="4" w:space="0" w:color="auto"/>
              <w:right w:val="nil"/>
            </w:tcBorders>
            <w:shd w:val="clear" w:color="auto" w:fill="auto"/>
            <w:noWrap/>
            <w:vAlign w:val="center"/>
            <w:hideMark/>
          </w:tcPr>
          <w:p w14:paraId="6AD45EA0" w14:textId="77777777" w:rsidR="006C2C5E" w:rsidRPr="00216EB8"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33CC"/>
                <w:sz w:val="20"/>
              </w:rPr>
            </w:pPr>
            <w:r w:rsidRPr="00216EB8">
              <w:rPr>
                <w:rFonts w:eastAsia="Times New Roman" w:cs="Calibri"/>
                <w:b/>
                <w:bCs/>
                <w:color w:val="0033CC"/>
                <w:sz w:val="20"/>
              </w:rPr>
              <w:t> </w:t>
            </w:r>
          </w:p>
        </w:tc>
        <w:tc>
          <w:tcPr>
            <w:tcW w:w="1196" w:type="dxa"/>
            <w:tcBorders>
              <w:top w:val="nil"/>
              <w:left w:val="nil"/>
              <w:bottom w:val="single" w:sz="4" w:space="0" w:color="auto"/>
              <w:right w:val="nil"/>
            </w:tcBorders>
            <w:shd w:val="clear" w:color="auto" w:fill="auto"/>
            <w:noWrap/>
            <w:vAlign w:val="center"/>
            <w:hideMark/>
          </w:tcPr>
          <w:p w14:paraId="703F196E"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216EB8">
              <w:rPr>
                <w:rFonts w:eastAsia="Times New Roman" w:cs="Calibri"/>
                <w:b/>
                <w:bCs/>
                <w:color w:val="002060"/>
                <w:sz w:val="20"/>
              </w:rPr>
              <w:t> </w:t>
            </w:r>
          </w:p>
        </w:tc>
        <w:tc>
          <w:tcPr>
            <w:tcW w:w="1036" w:type="dxa"/>
            <w:tcBorders>
              <w:top w:val="nil"/>
              <w:left w:val="nil"/>
              <w:bottom w:val="single" w:sz="4" w:space="0" w:color="auto"/>
              <w:right w:val="nil"/>
            </w:tcBorders>
            <w:shd w:val="clear" w:color="auto" w:fill="auto"/>
            <w:noWrap/>
            <w:vAlign w:val="center"/>
            <w:hideMark/>
          </w:tcPr>
          <w:p w14:paraId="3FBF9429"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216EB8">
              <w:rPr>
                <w:rFonts w:eastAsia="Times New Roman" w:cs="Calibri"/>
                <w:b/>
                <w:bCs/>
                <w:color w:val="002060"/>
                <w:sz w:val="20"/>
              </w:rPr>
              <w:t> </w:t>
            </w:r>
          </w:p>
        </w:tc>
        <w:tc>
          <w:tcPr>
            <w:tcW w:w="1456" w:type="dxa"/>
            <w:tcBorders>
              <w:top w:val="nil"/>
              <w:left w:val="nil"/>
              <w:bottom w:val="single" w:sz="4" w:space="0" w:color="auto"/>
              <w:right w:val="nil"/>
            </w:tcBorders>
            <w:shd w:val="clear" w:color="auto" w:fill="auto"/>
            <w:noWrap/>
            <w:vAlign w:val="center"/>
            <w:hideMark/>
          </w:tcPr>
          <w:p w14:paraId="33A3C4D5"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216EB8">
              <w:rPr>
                <w:rFonts w:eastAsia="Times New Roman" w:cs="Calibri"/>
                <w:b/>
                <w:bCs/>
                <w:color w:val="002060"/>
                <w:sz w:val="20"/>
              </w:rPr>
              <w:t> </w:t>
            </w:r>
          </w:p>
        </w:tc>
      </w:tr>
      <w:tr w:rsidR="006C2C5E" w:rsidRPr="00216EB8" w14:paraId="36FDB0CD" w14:textId="77777777" w:rsidTr="002F7131">
        <w:trPr>
          <w:trHeight w:val="120"/>
          <w:jc w:val="center"/>
        </w:trPr>
        <w:tc>
          <w:tcPr>
            <w:tcW w:w="4856" w:type="dxa"/>
            <w:tcBorders>
              <w:top w:val="nil"/>
              <w:left w:val="nil"/>
              <w:bottom w:val="nil"/>
              <w:right w:val="nil"/>
            </w:tcBorders>
            <w:shd w:val="clear" w:color="auto" w:fill="auto"/>
            <w:noWrap/>
            <w:vAlign w:val="center"/>
            <w:hideMark/>
          </w:tcPr>
          <w:p w14:paraId="4E24D36C"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96" w:type="dxa"/>
            <w:tcBorders>
              <w:top w:val="nil"/>
              <w:left w:val="nil"/>
              <w:bottom w:val="nil"/>
              <w:right w:val="nil"/>
            </w:tcBorders>
            <w:shd w:val="clear" w:color="auto" w:fill="auto"/>
            <w:noWrap/>
            <w:vAlign w:val="center"/>
            <w:hideMark/>
          </w:tcPr>
          <w:p w14:paraId="75CFAEF2" w14:textId="77777777" w:rsidR="006C2C5E" w:rsidRPr="00216EB8"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36" w:type="dxa"/>
            <w:tcBorders>
              <w:top w:val="nil"/>
              <w:left w:val="nil"/>
              <w:bottom w:val="nil"/>
              <w:right w:val="nil"/>
            </w:tcBorders>
            <w:shd w:val="clear" w:color="auto" w:fill="auto"/>
            <w:noWrap/>
            <w:vAlign w:val="center"/>
            <w:hideMark/>
          </w:tcPr>
          <w:p w14:paraId="3B777C84"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71F09E81"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216EB8" w14:paraId="60B8804C" w14:textId="77777777" w:rsidTr="002F7131">
        <w:trPr>
          <w:trHeight w:val="240"/>
          <w:jc w:val="center"/>
        </w:trPr>
        <w:tc>
          <w:tcPr>
            <w:tcW w:w="4856" w:type="dxa"/>
            <w:tcBorders>
              <w:top w:val="nil"/>
              <w:left w:val="nil"/>
              <w:bottom w:val="nil"/>
              <w:right w:val="nil"/>
            </w:tcBorders>
            <w:shd w:val="clear" w:color="auto" w:fill="auto"/>
            <w:noWrap/>
            <w:vAlign w:val="center"/>
            <w:hideMark/>
          </w:tcPr>
          <w:p w14:paraId="3D747EB7" w14:textId="77777777" w:rsidR="006C2C5E" w:rsidRPr="00216EB8" w:rsidRDefault="006C2C5E" w:rsidP="002F7131">
            <w:pPr>
              <w:tabs>
                <w:tab w:val="clear" w:pos="794"/>
                <w:tab w:val="clear" w:pos="1191"/>
                <w:tab w:val="clear" w:pos="1588"/>
                <w:tab w:val="clear" w:pos="1985"/>
              </w:tabs>
              <w:overflowPunct/>
              <w:autoSpaceDE/>
              <w:autoSpaceDN/>
              <w:adjustRightInd/>
              <w:spacing w:before="0"/>
              <w:textAlignment w:val="auto"/>
              <w:rPr>
                <w:rFonts w:ascii="SimSun" w:hAnsi="SimSun"/>
                <w:b/>
                <w:bCs/>
                <w:sz w:val="20"/>
              </w:rPr>
            </w:pPr>
            <w:r w:rsidRPr="00216EB8">
              <w:rPr>
                <w:rFonts w:ascii="SimSun" w:hAnsi="SimSun" w:hint="eastAsia"/>
                <w:b/>
                <w:bCs/>
                <w:sz w:val="20"/>
              </w:rPr>
              <w:t>合计</w:t>
            </w:r>
          </w:p>
        </w:tc>
        <w:tc>
          <w:tcPr>
            <w:tcW w:w="1196" w:type="dxa"/>
            <w:tcBorders>
              <w:top w:val="nil"/>
              <w:left w:val="nil"/>
              <w:bottom w:val="nil"/>
              <w:right w:val="nil"/>
            </w:tcBorders>
            <w:shd w:val="clear" w:color="auto" w:fill="auto"/>
            <w:noWrap/>
            <w:vAlign w:val="center"/>
            <w:hideMark/>
          </w:tcPr>
          <w:p w14:paraId="392E0EF1"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216EB8">
              <w:rPr>
                <w:rFonts w:eastAsia="Times New Roman" w:cs="Calibri"/>
                <w:b/>
                <w:bCs/>
                <w:color w:val="002060"/>
                <w:sz w:val="20"/>
              </w:rPr>
              <w:t>161,961</w:t>
            </w:r>
          </w:p>
        </w:tc>
        <w:tc>
          <w:tcPr>
            <w:tcW w:w="1036" w:type="dxa"/>
            <w:tcBorders>
              <w:top w:val="nil"/>
              <w:left w:val="nil"/>
              <w:bottom w:val="nil"/>
              <w:right w:val="nil"/>
            </w:tcBorders>
            <w:shd w:val="clear" w:color="auto" w:fill="auto"/>
            <w:noWrap/>
            <w:vAlign w:val="center"/>
            <w:hideMark/>
          </w:tcPr>
          <w:p w14:paraId="370012EF"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216EB8">
              <w:rPr>
                <w:rFonts w:eastAsia="Times New Roman" w:cs="Calibri"/>
                <w:b/>
                <w:bCs/>
                <w:color w:val="002060"/>
                <w:sz w:val="20"/>
              </w:rPr>
              <w:t>163,194</w:t>
            </w:r>
          </w:p>
        </w:tc>
        <w:tc>
          <w:tcPr>
            <w:tcW w:w="1456" w:type="dxa"/>
            <w:tcBorders>
              <w:top w:val="nil"/>
              <w:left w:val="nil"/>
              <w:bottom w:val="nil"/>
              <w:right w:val="nil"/>
            </w:tcBorders>
            <w:shd w:val="clear" w:color="auto" w:fill="auto"/>
            <w:noWrap/>
            <w:vAlign w:val="center"/>
            <w:hideMark/>
          </w:tcPr>
          <w:p w14:paraId="18E33D6F"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216EB8">
              <w:rPr>
                <w:rFonts w:eastAsia="Times New Roman" w:cs="Calibri"/>
                <w:b/>
                <w:bCs/>
                <w:color w:val="002060"/>
                <w:sz w:val="20"/>
              </w:rPr>
              <w:t>325,155</w:t>
            </w:r>
          </w:p>
        </w:tc>
      </w:tr>
      <w:tr w:rsidR="006C2C5E" w:rsidRPr="00216EB8" w14:paraId="499B1EEB" w14:textId="77777777" w:rsidTr="002F7131">
        <w:trPr>
          <w:trHeight w:val="300"/>
          <w:jc w:val="center"/>
        </w:trPr>
        <w:tc>
          <w:tcPr>
            <w:tcW w:w="4856" w:type="dxa"/>
            <w:tcBorders>
              <w:top w:val="nil"/>
              <w:left w:val="nil"/>
              <w:bottom w:val="nil"/>
              <w:right w:val="nil"/>
            </w:tcBorders>
            <w:shd w:val="clear" w:color="auto" w:fill="auto"/>
            <w:noWrap/>
            <w:vAlign w:val="center"/>
            <w:hideMark/>
          </w:tcPr>
          <w:p w14:paraId="211ECD8F"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96" w:type="dxa"/>
            <w:tcBorders>
              <w:top w:val="nil"/>
              <w:left w:val="nil"/>
              <w:bottom w:val="nil"/>
              <w:right w:val="nil"/>
            </w:tcBorders>
            <w:shd w:val="clear" w:color="auto" w:fill="auto"/>
            <w:noWrap/>
            <w:vAlign w:val="center"/>
            <w:hideMark/>
          </w:tcPr>
          <w:p w14:paraId="35C0BAA5" w14:textId="77777777" w:rsidR="006C2C5E" w:rsidRPr="00216EB8"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36" w:type="dxa"/>
            <w:tcBorders>
              <w:top w:val="nil"/>
              <w:left w:val="nil"/>
              <w:bottom w:val="nil"/>
              <w:right w:val="nil"/>
            </w:tcBorders>
            <w:shd w:val="clear" w:color="auto" w:fill="auto"/>
            <w:noWrap/>
            <w:vAlign w:val="center"/>
            <w:hideMark/>
          </w:tcPr>
          <w:p w14:paraId="3DC521A9" w14:textId="77777777" w:rsidR="006C2C5E" w:rsidRPr="00216EB8"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4EA92271" w14:textId="77777777" w:rsidR="006C2C5E" w:rsidRPr="00216EB8"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bl>
    <w:p w14:paraId="5EFDFD5A" w14:textId="77777777" w:rsidR="006C2C5E" w:rsidRPr="0018745A" w:rsidRDefault="006C2C5E" w:rsidP="006C2C5E">
      <w:pPr>
        <w:pStyle w:val="Call"/>
        <w:rPr>
          <w:i/>
          <w:iCs/>
          <w:szCs w:val="24"/>
        </w:rPr>
      </w:pPr>
      <w:r w:rsidRPr="0018745A">
        <w:rPr>
          <w:rFonts w:hint="eastAsia"/>
        </w:rPr>
        <w:t>进一步做出决议</w:t>
      </w:r>
    </w:p>
    <w:p w14:paraId="50ED59AF" w14:textId="77777777" w:rsidR="006C2C5E" w:rsidRPr="00D4560C" w:rsidRDefault="006C2C5E" w:rsidP="006C2C5E">
      <w:pPr>
        <w:rPr>
          <w:lang w:eastAsia="zh-CN"/>
        </w:rPr>
      </w:pPr>
      <w:r>
        <w:rPr>
          <w:lang w:eastAsia="zh-CN"/>
        </w:rPr>
        <w:t>1</w:t>
      </w:r>
      <w:r w:rsidRPr="00D4560C">
        <w:rPr>
          <w:lang w:eastAsia="zh-CN"/>
        </w:rPr>
        <w:tab/>
      </w:r>
      <w:r w:rsidRPr="00EE181E">
        <w:rPr>
          <w:rFonts w:hint="eastAsia"/>
          <w:lang w:eastAsia="zh-CN"/>
        </w:rPr>
        <w:t>根据成员国依照国际电信联盟《组织法》第</w:t>
      </w:r>
      <w:r w:rsidRPr="00EE181E">
        <w:rPr>
          <w:lang w:eastAsia="zh-CN"/>
        </w:rPr>
        <w:t>160</w:t>
      </w:r>
      <w:r w:rsidRPr="00EE181E">
        <w:rPr>
          <w:rFonts w:hint="eastAsia"/>
          <w:lang w:eastAsia="zh-CN"/>
        </w:rPr>
        <w:t>款和《公约》第</w:t>
      </w:r>
      <w:r w:rsidRPr="00EE181E">
        <w:rPr>
          <w:lang w:eastAsia="zh-CN"/>
        </w:rPr>
        <w:t>468</w:t>
      </w:r>
      <w:r w:rsidRPr="00EE181E">
        <w:rPr>
          <w:rFonts w:hint="eastAsia"/>
          <w:lang w:eastAsia="zh-CN"/>
        </w:rPr>
        <w:t>款所选会费等级，即，在总数为</w:t>
      </w:r>
      <w:r>
        <w:rPr>
          <w:rFonts w:hint="eastAsia"/>
          <w:lang w:eastAsia="zh-CN"/>
        </w:rPr>
        <w:t>3</w:t>
      </w:r>
      <w:r>
        <w:rPr>
          <w:lang w:eastAsia="zh-CN"/>
        </w:rPr>
        <w:t>43 11</w:t>
      </w:r>
      <w:r>
        <w:rPr>
          <w:rFonts w:hint="eastAsia"/>
          <w:lang w:eastAsia="zh-CN"/>
        </w:rPr>
        <w:t>/1</w:t>
      </w:r>
      <w:r>
        <w:rPr>
          <w:lang w:eastAsia="zh-CN"/>
        </w:rPr>
        <w:t>6</w:t>
      </w:r>
      <w:r w:rsidRPr="00EE181E">
        <w:rPr>
          <w:rFonts w:hint="eastAsia"/>
          <w:lang w:eastAsia="zh-CN"/>
        </w:rPr>
        <w:t>个会费单位的基础上，确定</w:t>
      </w:r>
      <w:r w:rsidRPr="00EE181E">
        <w:rPr>
          <w:lang w:eastAsia="zh-CN"/>
        </w:rPr>
        <w:t>20</w:t>
      </w:r>
      <w:r>
        <w:rPr>
          <w:lang w:eastAsia="zh-CN"/>
        </w:rPr>
        <w:t>2</w:t>
      </w:r>
      <w:r>
        <w:rPr>
          <w:rFonts w:hint="eastAsia"/>
          <w:lang w:eastAsia="zh-CN"/>
        </w:rPr>
        <w:t>2</w:t>
      </w:r>
      <w:r w:rsidRPr="00EE181E">
        <w:rPr>
          <w:rFonts w:hint="eastAsia"/>
          <w:lang w:eastAsia="zh-CN"/>
        </w:rPr>
        <w:t>和</w:t>
      </w:r>
      <w:r w:rsidRPr="00EE181E">
        <w:rPr>
          <w:lang w:eastAsia="zh-CN"/>
        </w:rPr>
        <w:t>20</w:t>
      </w:r>
      <w:r>
        <w:rPr>
          <w:lang w:eastAsia="zh-CN"/>
        </w:rPr>
        <w:t>2</w:t>
      </w:r>
      <w:r>
        <w:rPr>
          <w:rFonts w:hint="eastAsia"/>
          <w:lang w:eastAsia="zh-CN"/>
        </w:rPr>
        <w:t>3</w:t>
      </w:r>
      <w:r w:rsidRPr="00EE181E">
        <w:rPr>
          <w:rFonts w:hint="eastAsia"/>
          <w:lang w:eastAsia="zh-CN"/>
        </w:rPr>
        <w:t>年</w:t>
      </w:r>
      <w:r>
        <w:rPr>
          <w:rFonts w:hint="eastAsia"/>
          <w:lang w:eastAsia="zh-CN"/>
        </w:rPr>
        <w:t>的</w:t>
      </w:r>
      <w:r w:rsidRPr="00EE181E">
        <w:rPr>
          <w:rFonts w:hint="eastAsia"/>
          <w:lang w:eastAsia="zh-CN"/>
        </w:rPr>
        <w:t>年度会费单位金额为</w:t>
      </w:r>
      <w:r w:rsidRPr="00A72126">
        <w:rPr>
          <w:lang w:eastAsia="zh-CN"/>
        </w:rPr>
        <w:t>318</w:t>
      </w:r>
      <w:r>
        <w:rPr>
          <w:lang w:eastAsia="zh-CN"/>
        </w:rPr>
        <w:t> </w:t>
      </w:r>
      <w:r w:rsidRPr="00A72126">
        <w:rPr>
          <w:lang w:eastAsia="zh-CN"/>
        </w:rPr>
        <w:t>000</w:t>
      </w:r>
      <w:r>
        <w:rPr>
          <w:rFonts w:hint="eastAsia"/>
          <w:lang w:eastAsia="zh-CN"/>
        </w:rPr>
        <w:t>瑞郎</w:t>
      </w:r>
      <w:r w:rsidRPr="00A72126">
        <w:rPr>
          <w:rFonts w:hint="eastAsia"/>
          <w:lang w:eastAsia="zh-CN"/>
        </w:rPr>
        <w:t>；</w:t>
      </w:r>
    </w:p>
    <w:p w14:paraId="3C966F4F" w14:textId="77777777" w:rsidR="006C2C5E" w:rsidRPr="00F82B51" w:rsidRDefault="006C2C5E" w:rsidP="006C2C5E">
      <w:pPr>
        <w:rPr>
          <w:lang w:eastAsia="zh-CN"/>
        </w:rPr>
      </w:pPr>
      <w:r>
        <w:rPr>
          <w:lang w:eastAsia="zh-CN"/>
        </w:rPr>
        <w:t>2</w:t>
      </w:r>
      <w:r w:rsidRPr="00D4560C">
        <w:rPr>
          <w:lang w:eastAsia="zh-CN"/>
        </w:rPr>
        <w:tab/>
      </w:r>
      <w:r w:rsidRPr="00C70206">
        <w:rPr>
          <w:lang w:eastAsia="zh-CN"/>
        </w:rPr>
        <w:t>根据国际电信联盟《公约》第</w:t>
      </w:r>
      <w:r w:rsidRPr="00C70206">
        <w:rPr>
          <w:lang w:eastAsia="zh-CN"/>
        </w:rPr>
        <w:t>480</w:t>
      </w:r>
      <w:r w:rsidRPr="00C70206">
        <w:rPr>
          <w:lang w:eastAsia="zh-CN"/>
        </w:rPr>
        <w:t>款，</w:t>
      </w:r>
      <w:r>
        <w:rPr>
          <w:rFonts w:hint="eastAsia"/>
          <w:lang w:eastAsia="zh-CN"/>
        </w:rPr>
        <w:t>将</w:t>
      </w:r>
      <w:r w:rsidRPr="00C70206">
        <w:rPr>
          <w:lang w:eastAsia="zh-CN"/>
        </w:rPr>
        <w:t>部门成员在</w:t>
      </w:r>
      <w:r w:rsidRPr="00C70206">
        <w:rPr>
          <w:lang w:eastAsia="zh-CN"/>
        </w:rPr>
        <w:t>20</w:t>
      </w:r>
      <w:r>
        <w:rPr>
          <w:lang w:eastAsia="zh-CN"/>
        </w:rPr>
        <w:t>2</w:t>
      </w:r>
      <w:r>
        <w:rPr>
          <w:rFonts w:hint="eastAsia"/>
          <w:lang w:eastAsia="zh-CN"/>
        </w:rPr>
        <w:t>2</w:t>
      </w:r>
      <w:r w:rsidRPr="00C70206">
        <w:rPr>
          <w:lang w:eastAsia="zh-CN"/>
        </w:rPr>
        <w:t>和</w:t>
      </w:r>
      <w:r w:rsidRPr="00C70206">
        <w:rPr>
          <w:lang w:eastAsia="zh-CN"/>
        </w:rPr>
        <w:t>20</w:t>
      </w:r>
      <w:r>
        <w:rPr>
          <w:lang w:eastAsia="zh-CN"/>
        </w:rPr>
        <w:t>2</w:t>
      </w:r>
      <w:r>
        <w:rPr>
          <w:rFonts w:hint="eastAsia"/>
          <w:lang w:eastAsia="zh-CN"/>
        </w:rPr>
        <w:t>3</w:t>
      </w:r>
      <w:r w:rsidRPr="00C70206">
        <w:rPr>
          <w:lang w:eastAsia="zh-CN"/>
        </w:rPr>
        <w:t>年摊付无线电通信部门（</w:t>
      </w:r>
      <w:r w:rsidRPr="00C70206">
        <w:rPr>
          <w:lang w:eastAsia="zh-CN"/>
        </w:rPr>
        <w:t>ITU-R</w:t>
      </w:r>
      <w:r w:rsidRPr="00C70206">
        <w:rPr>
          <w:lang w:eastAsia="zh-CN"/>
        </w:rPr>
        <w:t>）、电信标准化部门（</w:t>
      </w:r>
      <w:r w:rsidRPr="00C70206">
        <w:rPr>
          <w:lang w:eastAsia="zh-CN"/>
        </w:rPr>
        <w:t>ITU-T</w:t>
      </w:r>
      <w:r w:rsidRPr="00C70206">
        <w:rPr>
          <w:lang w:eastAsia="zh-CN"/>
        </w:rPr>
        <w:t>）和电信发展部门（</w:t>
      </w:r>
      <w:r w:rsidRPr="00C70206">
        <w:rPr>
          <w:lang w:eastAsia="zh-CN"/>
        </w:rPr>
        <w:t>ITU-D</w:t>
      </w:r>
      <w:r>
        <w:rPr>
          <w:lang w:eastAsia="zh-CN"/>
        </w:rPr>
        <w:t>）会议</w:t>
      </w:r>
      <w:r>
        <w:rPr>
          <w:rFonts w:hint="eastAsia"/>
          <w:lang w:eastAsia="zh-CN"/>
        </w:rPr>
        <w:t>支出</w:t>
      </w:r>
      <w:r w:rsidRPr="00C70206">
        <w:rPr>
          <w:lang w:eastAsia="zh-CN"/>
        </w:rPr>
        <w:t>的年度会费单位金额确定为</w:t>
      </w:r>
      <w:r w:rsidRPr="00C70206">
        <w:rPr>
          <w:lang w:eastAsia="zh-CN"/>
        </w:rPr>
        <w:t>63</w:t>
      </w:r>
      <w:r>
        <w:rPr>
          <w:lang w:eastAsia="zh-CN"/>
        </w:rPr>
        <w:t> 600</w:t>
      </w:r>
      <w:r>
        <w:rPr>
          <w:lang w:eastAsia="zh-CN"/>
        </w:rPr>
        <w:t>瑞郎</w:t>
      </w:r>
      <w:r w:rsidRPr="00C70206">
        <w:rPr>
          <w:lang w:eastAsia="zh-CN"/>
        </w:rPr>
        <w:t>；</w:t>
      </w:r>
    </w:p>
    <w:p w14:paraId="1A3EAA03" w14:textId="77777777" w:rsidR="006C2C5E" w:rsidRDefault="006C2C5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7238F047" w14:textId="23129083" w:rsidR="006C2C5E" w:rsidRPr="00EE181E" w:rsidRDefault="006C2C5E" w:rsidP="006C2C5E">
      <w:pPr>
        <w:rPr>
          <w:lang w:eastAsia="zh-CN"/>
        </w:rPr>
      </w:pPr>
      <w:r>
        <w:rPr>
          <w:lang w:eastAsia="zh-CN"/>
        </w:rPr>
        <w:lastRenderedPageBreak/>
        <w:t>3</w:t>
      </w:r>
      <w:r w:rsidRPr="00D4560C">
        <w:rPr>
          <w:lang w:eastAsia="zh-CN"/>
        </w:rPr>
        <w:tab/>
      </w:r>
      <w:r>
        <w:rPr>
          <w:rFonts w:hint="eastAsia"/>
          <w:lang w:eastAsia="zh-CN"/>
        </w:rPr>
        <w:t>将</w:t>
      </w:r>
      <w:r w:rsidRPr="00C70206">
        <w:rPr>
          <w:lang w:eastAsia="zh-CN"/>
        </w:rPr>
        <w:t>部门准成员</w:t>
      </w:r>
      <w:r>
        <w:rPr>
          <w:rFonts w:hint="eastAsia"/>
          <w:lang w:eastAsia="zh-CN"/>
        </w:rPr>
        <w:t>缴</w:t>
      </w:r>
      <w:r w:rsidRPr="00C70206">
        <w:rPr>
          <w:lang w:eastAsia="zh-CN"/>
        </w:rPr>
        <w:t>纳的会费确定如下：</w:t>
      </w:r>
    </w:p>
    <w:p w14:paraId="0D66D80B" w14:textId="77777777" w:rsidR="006C2C5E" w:rsidRPr="00413396" w:rsidRDefault="006C2C5E" w:rsidP="006C2C5E">
      <w:pPr>
        <w:pStyle w:val="enumlev1"/>
        <w:rPr>
          <w:lang w:eastAsia="zh-CN"/>
        </w:rPr>
      </w:pPr>
      <w:r>
        <w:rPr>
          <w:lang w:eastAsia="zh-CN"/>
        </w:rPr>
        <w:t>a)</w:t>
      </w:r>
      <w:r>
        <w:rPr>
          <w:lang w:eastAsia="zh-CN"/>
        </w:rPr>
        <w:tab/>
      </w:r>
      <w:r w:rsidRPr="00D4560C">
        <w:rPr>
          <w:szCs w:val="24"/>
          <w:lang w:eastAsia="zh-CN"/>
        </w:rPr>
        <w:t>10</w:t>
      </w:r>
      <w:r>
        <w:rPr>
          <w:szCs w:val="24"/>
          <w:lang w:eastAsia="zh-CN"/>
        </w:rPr>
        <w:t> </w:t>
      </w:r>
      <w:r w:rsidRPr="00D4560C">
        <w:rPr>
          <w:szCs w:val="24"/>
          <w:lang w:eastAsia="zh-CN"/>
        </w:rPr>
        <w:t>600</w:t>
      </w:r>
      <w:r>
        <w:rPr>
          <w:lang w:eastAsia="zh-CN"/>
        </w:rPr>
        <w:t>瑞郎</w:t>
      </w:r>
      <w:r w:rsidRPr="00A2057C">
        <w:rPr>
          <w:rFonts w:cstheme="minorHAnsi"/>
          <w:szCs w:val="24"/>
          <w:lang w:eastAsia="zh-CN"/>
        </w:rPr>
        <w:t>适用于参加</w:t>
      </w:r>
      <w:r w:rsidRPr="00413396">
        <w:rPr>
          <w:lang w:eastAsia="zh-CN"/>
        </w:rPr>
        <w:t>ITU-T</w:t>
      </w:r>
      <w:r w:rsidRPr="00413396">
        <w:rPr>
          <w:lang w:eastAsia="zh-CN"/>
        </w:rPr>
        <w:t>和</w:t>
      </w:r>
      <w:r w:rsidRPr="00413396">
        <w:rPr>
          <w:lang w:eastAsia="zh-CN"/>
        </w:rPr>
        <w:t>ITU-R</w:t>
      </w:r>
      <w:r w:rsidRPr="00413396">
        <w:rPr>
          <w:lang w:eastAsia="zh-CN"/>
        </w:rPr>
        <w:t>工作的部门准成员；</w:t>
      </w:r>
    </w:p>
    <w:p w14:paraId="3D7AE866" w14:textId="77777777" w:rsidR="006C2C5E" w:rsidRPr="00413396" w:rsidRDefault="006C2C5E" w:rsidP="006C2C5E">
      <w:pPr>
        <w:pStyle w:val="enumlev1"/>
        <w:rPr>
          <w:lang w:eastAsia="zh-CN"/>
        </w:rPr>
      </w:pPr>
      <w:r>
        <w:rPr>
          <w:lang w:eastAsia="zh-CN"/>
        </w:rPr>
        <w:t>b)</w:t>
      </w:r>
      <w:r w:rsidRPr="00413396">
        <w:rPr>
          <w:rFonts w:hint="eastAsia"/>
          <w:lang w:eastAsia="zh-CN"/>
        </w:rPr>
        <w:tab/>
      </w:r>
      <w:r w:rsidRPr="00D4560C">
        <w:rPr>
          <w:szCs w:val="24"/>
          <w:lang w:eastAsia="zh-CN"/>
        </w:rPr>
        <w:t>3</w:t>
      </w:r>
      <w:r>
        <w:rPr>
          <w:szCs w:val="24"/>
          <w:lang w:eastAsia="zh-CN"/>
        </w:rPr>
        <w:t> </w:t>
      </w:r>
      <w:r w:rsidRPr="00D4560C">
        <w:rPr>
          <w:szCs w:val="24"/>
          <w:lang w:eastAsia="zh-CN"/>
        </w:rPr>
        <w:t>975</w:t>
      </w:r>
      <w:r>
        <w:rPr>
          <w:lang w:eastAsia="zh-CN"/>
        </w:rPr>
        <w:t>瑞郎</w:t>
      </w:r>
      <w:r w:rsidRPr="000A489E">
        <w:rPr>
          <w:lang w:eastAsia="zh-CN"/>
        </w:rPr>
        <w:t>适用于参加</w:t>
      </w:r>
      <w:r>
        <w:rPr>
          <w:lang w:eastAsia="zh-CN"/>
        </w:rPr>
        <w:t>ITU-D</w:t>
      </w:r>
      <w:r w:rsidRPr="00413396">
        <w:rPr>
          <w:lang w:eastAsia="zh-CN"/>
        </w:rPr>
        <w:t>工作的部门准成员；</w:t>
      </w:r>
    </w:p>
    <w:p w14:paraId="2F32790E" w14:textId="77777777" w:rsidR="006C2C5E" w:rsidRDefault="006C2C5E" w:rsidP="006C2C5E">
      <w:pPr>
        <w:pStyle w:val="enumlev1"/>
        <w:rPr>
          <w:lang w:eastAsia="zh-CN"/>
        </w:rPr>
      </w:pPr>
      <w:r>
        <w:rPr>
          <w:lang w:eastAsia="zh-CN"/>
        </w:rPr>
        <w:t>c)</w:t>
      </w:r>
      <w:r w:rsidRPr="00413396">
        <w:rPr>
          <w:rFonts w:hint="eastAsia"/>
          <w:lang w:eastAsia="zh-CN"/>
        </w:rPr>
        <w:tab/>
      </w:r>
      <w:r w:rsidRPr="00D4560C">
        <w:rPr>
          <w:szCs w:val="24"/>
          <w:lang w:eastAsia="zh-CN"/>
        </w:rPr>
        <w:t>1</w:t>
      </w:r>
      <w:r>
        <w:rPr>
          <w:szCs w:val="24"/>
          <w:lang w:eastAsia="zh-CN"/>
        </w:rPr>
        <w:t> </w:t>
      </w:r>
      <w:r w:rsidRPr="00D4560C">
        <w:rPr>
          <w:szCs w:val="24"/>
          <w:lang w:eastAsia="zh-CN"/>
        </w:rPr>
        <w:t>987</w:t>
      </w:r>
      <w:r>
        <w:rPr>
          <w:szCs w:val="24"/>
          <w:lang w:eastAsia="zh-CN"/>
        </w:rPr>
        <w:t>.</w:t>
      </w:r>
      <w:r w:rsidRPr="00D4560C">
        <w:rPr>
          <w:szCs w:val="24"/>
          <w:lang w:eastAsia="zh-CN"/>
        </w:rPr>
        <w:t>50</w:t>
      </w:r>
      <w:r>
        <w:rPr>
          <w:lang w:eastAsia="zh-CN"/>
        </w:rPr>
        <w:t>瑞郎</w:t>
      </w:r>
      <w:r w:rsidRPr="000A489E">
        <w:rPr>
          <w:lang w:eastAsia="zh-CN"/>
        </w:rPr>
        <w:t>适用于参加</w:t>
      </w:r>
      <w:r w:rsidRPr="00413396">
        <w:rPr>
          <w:lang w:eastAsia="zh-CN"/>
        </w:rPr>
        <w:t>ITU-D</w:t>
      </w:r>
      <w:r w:rsidRPr="00413396">
        <w:rPr>
          <w:lang w:eastAsia="zh-CN"/>
        </w:rPr>
        <w:t>工作的来自发展中国家的部门准成员</w:t>
      </w:r>
      <w:r>
        <w:rPr>
          <w:rFonts w:hint="eastAsia"/>
          <w:lang w:eastAsia="zh-CN"/>
        </w:rPr>
        <w:t>；</w:t>
      </w:r>
    </w:p>
    <w:p w14:paraId="3E5AEC6C" w14:textId="77777777" w:rsidR="006C2C5E" w:rsidRPr="00D4560C" w:rsidRDefault="006C2C5E" w:rsidP="006C2C5E">
      <w:pPr>
        <w:rPr>
          <w:szCs w:val="24"/>
          <w:lang w:eastAsia="zh-CN"/>
        </w:rPr>
      </w:pPr>
      <w:r>
        <w:rPr>
          <w:rFonts w:hint="eastAsia"/>
          <w:lang w:eastAsia="zh-CN"/>
        </w:rPr>
        <w:t>4</w:t>
      </w:r>
      <w:r>
        <w:rPr>
          <w:rFonts w:hint="eastAsia"/>
          <w:lang w:eastAsia="zh-CN"/>
        </w:rPr>
        <w:tab/>
      </w:r>
      <w:r>
        <w:rPr>
          <w:rFonts w:hint="eastAsia"/>
          <w:lang w:eastAsia="zh-CN"/>
        </w:rPr>
        <w:t>将学术成员、大学及其相关研究机构的年费确定为：</w:t>
      </w:r>
    </w:p>
    <w:p w14:paraId="412CB903" w14:textId="77777777" w:rsidR="006C2C5E" w:rsidRPr="00D4560C" w:rsidRDefault="006C2C5E" w:rsidP="006C2C5E">
      <w:pPr>
        <w:pStyle w:val="enumlev1"/>
        <w:rPr>
          <w:szCs w:val="24"/>
          <w:lang w:eastAsia="zh-CN"/>
        </w:rPr>
      </w:pPr>
      <w:r>
        <w:rPr>
          <w:rFonts w:cstheme="minorHAnsi"/>
          <w:szCs w:val="24"/>
          <w:lang w:eastAsia="zh-CN"/>
        </w:rPr>
        <w:t>a)</w:t>
      </w:r>
      <w:r>
        <w:rPr>
          <w:rFonts w:cstheme="minorHAnsi"/>
          <w:szCs w:val="24"/>
          <w:lang w:eastAsia="zh-CN"/>
        </w:rPr>
        <w:tab/>
      </w:r>
      <w:r w:rsidRPr="00D4560C">
        <w:rPr>
          <w:szCs w:val="24"/>
          <w:lang w:eastAsia="zh-CN"/>
        </w:rPr>
        <w:t>3</w:t>
      </w:r>
      <w:r>
        <w:rPr>
          <w:szCs w:val="24"/>
          <w:lang w:eastAsia="zh-CN"/>
        </w:rPr>
        <w:t> </w:t>
      </w:r>
      <w:r w:rsidRPr="00D4560C">
        <w:rPr>
          <w:szCs w:val="24"/>
          <w:lang w:eastAsia="zh-CN"/>
        </w:rPr>
        <w:t>975</w:t>
      </w:r>
      <w:r>
        <w:rPr>
          <w:lang w:eastAsia="zh-CN"/>
        </w:rPr>
        <w:t>瑞郎</w:t>
      </w:r>
      <w:r w:rsidRPr="000A489E">
        <w:rPr>
          <w:rFonts w:hint="eastAsia"/>
          <w:lang w:eastAsia="zh-CN"/>
        </w:rPr>
        <w:t>适用于参加三个部门工作的来自发达国家的组织</w:t>
      </w:r>
      <w:r w:rsidRPr="00846A9F">
        <w:rPr>
          <w:rFonts w:hint="eastAsia"/>
          <w:lang w:eastAsia="zh-CN"/>
        </w:rPr>
        <w:t>；</w:t>
      </w:r>
    </w:p>
    <w:p w14:paraId="6BC27065" w14:textId="77777777" w:rsidR="006C2C5E" w:rsidRDefault="006C2C5E" w:rsidP="006C2C5E">
      <w:pPr>
        <w:pStyle w:val="enumlev1"/>
        <w:rPr>
          <w:lang w:eastAsia="zh-CN"/>
        </w:rPr>
      </w:pPr>
      <w:r>
        <w:rPr>
          <w:rFonts w:cstheme="minorHAnsi"/>
          <w:szCs w:val="24"/>
          <w:lang w:eastAsia="zh-CN"/>
        </w:rPr>
        <w:t>b)</w:t>
      </w:r>
      <w:r>
        <w:rPr>
          <w:rFonts w:cstheme="minorHAnsi"/>
          <w:szCs w:val="24"/>
          <w:lang w:eastAsia="zh-CN"/>
        </w:rPr>
        <w:tab/>
      </w:r>
      <w:r w:rsidRPr="00D4560C">
        <w:rPr>
          <w:szCs w:val="24"/>
          <w:lang w:eastAsia="zh-CN"/>
        </w:rPr>
        <w:t>1</w:t>
      </w:r>
      <w:r>
        <w:rPr>
          <w:szCs w:val="24"/>
          <w:lang w:eastAsia="zh-CN"/>
        </w:rPr>
        <w:t> </w:t>
      </w:r>
      <w:r w:rsidRPr="00D4560C">
        <w:rPr>
          <w:szCs w:val="24"/>
          <w:lang w:eastAsia="zh-CN"/>
        </w:rPr>
        <w:t>987</w:t>
      </w:r>
      <w:r>
        <w:rPr>
          <w:szCs w:val="24"/>
          <w:lang w:eastAsia="zh-CN"/>
        </w:rPr>
        <w:t>.</w:t>
      </w:r>
      <w:r w:rsidRPr="00D4560C">
        <w:rPr>
          <w:szCs w:val="24"/>
          <w:lang w:eastAsia="zh-CN"/>
        </w:rPr>
        <w:t>50</w:t>
      </w:r>
      <w:r>
        <w:rPr>
          <w:lang w:eastAsia="zh-CN"/>
        </w:rPr>
        <w:t>瑞郎</w:t>
      </w:r>
      <w:r>
        <w:rPr>
          <w:rFonts w:hint="eastAsia"/>
          <w:lang w:eastAsia="zh-CN"/>
        </w:rPr>
        <w:t>适用于参加三个部门工作的来自发展中国家的组织；</w:t>
      </w:r>
    </w:p>
    <w:p w14:paraId="1D5EB766" w14:textId="77777777" w:rsidR="006C2C5E" w:rsidRPr="00D4560C" w:rsidRDefault="006C2C5E" w:rsidP="006C2C5E">
      <w:pPr>
        <w:rPr>
          <w:lang w:eastAsia="zh-CN"/>
        </w:rPr>
      </w:pPr>
      <w:r>
        <w:rPr>
          <w:rFonts w:hint="eastAsia"/>
          <w:lang w:eastAsia="zh-CN"/>
        </w:rPr>
        <w:t>5</w:t>
      </w:r>
      <w:r>
        <w:rPr>
          <w:lang w:eastAsia="zh-CN"/>
        </w:rPr>
        <w:tab/>
      </w:r>
      <w:r w:rsidRPr="00C70206">
        <w:rPr>
          <w:lang w:eastAsia="zh-CN"/>
        </w:rPr>
        <w:t>授权秘书长，根据发生的变化</w:t>
      </w:r>
      <w:r>
        <w:rPr>
          <w:rFonts w:hint="eastAsia"/>
          <w:lang w:eastAsia="zh-CN"/>
        </w:rPr>
        <w:t>，</w:t>
      </w:r>
      <w:r w:rsidRPr="00C70206">
        <w:rPr>
          <w:lang w:eastAsia="zh-CN"/>
        </w:rPr>
        <w:t>通过使用储备金账目，</w:t>
      </w:r>
      <w:r>
        <w:rPr>
          <w:rFonts w:hint="eastAsia"/>
          <w:lang w:eastAsia="zh-CN"/>
        </w:rPr>
        <w:t>调整</w:t>
      </w:r>
      <w:r w:rsidRPr="00C70206">
        <w:rPr>
          <w:lang w:eastAsia="zh-CN"/>
        </w:rPr>
        <w:t>对下述</w:t>
      </w:r>
      <w:r w:rsidRPr="00C70206">
        <w:rPr>
          <w:lang w:eastAsia="zh-CN"/>
        </w:rPr>
        <w:t>a</w:t>
      </w:r>
      <w:r>
        <w:rPr>
          <w:rFonts w:hint="eastAsia"/>
          <w:lang w:eastAsia="zh-CN"/>
        </w:rPr>
        <w:t>)</w:t>
      </w:r>
      <w:r w:rsidRPr="00C70206">
        <w:rPr>
          <w:lang w:eastAsia="zh-CN"/>
        </w:rPr>
        <w:t>和</w:t>
      </w:r>
      <w:r w:rsidRPr="00C70206">
        <w:rPr>
          <w:lang w:eastAsia="zh-CN"/>
        </w:rPr>
        <w:t>b</w:t>
      </w:r>
      <w:r>
        <w:rPr>
          <w:rFonts w:hint="eastAsia"/>
          <w:lang w:eastAsia="zh-CN"/>
        </w:rPr>
        <w:t>)</w:t>
      </w:r>
      <w:r>
        <w:rPr>
          <w:lang w:eastAsia="zh-CN"/>
        </w:rPr>
        <w:t>项</w:t>
      </w:r>
      <w:r w:rsidRPr="00C70206">
        <w:rPr>
          <w:lang w:eastAsia="zh-CN"/>
        </w:rPr>
        <w:t>支出</w:t>
      </w:r>
      <w:r>
        <w:rPr>
          <w:rFonts w:hint="eastAsia"/>
          <w:lang w:eastAsia="zh-CN"/>
        </w:rPr>
        <w:t>的</w:t>
      </w:r>
      <w:r>
        <w:rPr>
          <w:lang w:eastAsia="zh-CN"/>
        </w:rPr>
        <w:t>拨款，</w:t>
      </w:r>
      <w:r>
        <w:rPr>
          <w:rFonts w:hint="eastAsia"/>
          <w:lang w:eastAsia="zh-CN"/>
        </w:rPr>
        <w:t>并且前提是</w:t>
      </w:r>
      <w:r w:rsidRPr="00C70206">
        <w:rPr>
          <w:lang w:eastAsia="zh-CN"/>
        </w:rPr>
        <w:t>储备金账目保持在第</w:t>
      </w:r>
      <w:r w:rsidRPr="00C70206">
        <w:rPr>
          <w:lang w:eastAsia="zh-CN"/>
        </w:rPr>
        <w:t>5</w:t>
      </w:r>
      <w:r w:rsidRPr="00C70206">
        <w:rPr>
          <w:lang w:eastAsia="zh-CN"/>
        </w:rPr>
        <w:t>号决定（</w:t>
      </w:r>
      <w:r w:rsidRPr="00C70206">
        <w:rPr>
          <w:lang w:eastAsia="zh-CN"/>
        </w:rPr>
        <w:t>20</w:t>
      </w:r>
      <w:r>
        <w:rPr>
          <w:rFonts w:hint="eastAsia"/>
          <w:lang w:eastAsia="zh-CN"/>
        </w:rPr>
        <w:t>1</w:t>
      </w:r>
      <w:r>
        <w:rPr>
          <w:lang w:eastAsia="zh-CN"/>
        </w:rPr>
        <w:t>8</w:t>
      </w:r>
      <w:r w:rsidRPr="00C70206">
        <w:rPr>
          <w:lang w:eastAsia="zh-CN"/>
        </w:rPr>
        <w:t>年，</w:t>
      </w:r>
      <w:r>
        <w:rPr>
          <w:rFonts w:hint="eastAsia"/>
          <w:lang w:eastAsia="zh-CN"/>
        </w:rPr>
        <w:t>迪拜</w:t>
      </w:r>
      <w:r>
        <w:rPr>
          <w:lang w:eastAsia="zh-CN"/>
        </w:rPr>
        <w:t>，修订版）</w:t>
      </w:r>
      <w:r>
        <w:rPr>
          <w:rFonts w:hint="eastAsia"/>
          <w:lang w:eastAsia="zh-CN"/>
        </w:rPr>
        <w:t>规定</w:t>
      </w:r>
      <w:r w:rsidRPr="00C70206">
        <w:rPr>
          <w:lang w:eastAsia="zh-CN"/>
        </w:rPr>
        <w:t>的水平</w:t>
      </w:r>
      <w:r>
        <w:rPr>
          <w:rFonts w:hint="eastAsia"/>
          <w:lang w:eastAsia="zh-CN"/>
        </w:rPr>
        <w:t>上</w:t>
      </w:r>
      <w:r w:rsidRPr="00C70206">
        <w:rPr>
          <w:lang w:eastAsia="zh-CN"/>
        </w:rPr>
        <w:t>：</w:t>
      </w:r>
    </w:p>
    <w:p w14:paraId="55AE7C53" w14:textId="77777777" w:rsidR="006C2C5E" w:rsidRPr="00D4560C" w:rsidRDefault="006C2C5E" w:rsidP="006C2C5E">
      <w:pPr>
        <w:pStyle w:val="enumlev1"/>
        <w:rPr>
          <w:lang w:eastAsia="zh-CN"/>
        </w:rPr>
      </w:pPr>
      <w:r w:rsidRPr="00D4560C">
        <w:rPr>
          <w:lang w:eastAsia="zh-CN"/>
        </w:rPr>
        <w:t>a)</w:t>
      </w:r>
      <w:r w:rsidRPr="00D4560C">
        <w:rPr>
          <w:lang w:eastAsia="zh-CN"/>
        </w:rPr>
        <w:tab/>
      </w:r>
      <w:r>
        <w:rPr>
          <w:rFonts w:hint="eastAsia"/>
          <w:lang w:eastAsia="zh-CN"/>
        </w:rPr>
        <w:t>提高对</w:t>
      </w:r>
      <w:r w:rsidRPr="00C70206">
        <w:rPr>
          <w:lang w:eastAsia="zh-CN"/>
        </w:rPr>
        <w:t>薪金表</w:t>
      </w:r>
      <w:r>
        <w:rPr>
          <w:rFonts w:hint="eastAsia"/>
          <w:lang w:eastAsia="zh-CN"/>
        </w:rPr>
        <w:t>、</w:t>
      </w:r>
      <w:r w:rsidRPr="00C70206">
        <w:rPr>
          <w:lang w:eastAsia="zh-CN"/>
        </w:rPr>
        <w:t>养恤金的</w:t>
      </w:r>
      <w:r>
        <w:rPr>
          <w:rFonts w:hint="eastAsia"/>
          <w:lang w:eastAsia="zh-CN"/>
        </w:rPr>
        <w:t>缴</w:t>
      </w:r>
      <w:r w:rsidRPr="00C70206">
        <w:rPr>
          <w:lang w:eastAsia="zh-CN"/>
        </w:rPr>
        <w:t>款部分和津贴</w:t>
      </w:r>
      <w:r>
        <w:rPr>
          <w:rFonts w:hint="eastAsia"/>
          <w:lang w:eastAsia="zh-CN"/>
        </w:rPr>
        <w:t>的拨款</w:t>
      </w:r>
      <w:r w:rsidRPr="00C70206">
        <w:rPr>
          <w:lang w:eastAsia="zh-CN"/>
        </w:rPr>
        <w:t>，其中包括联合国共同</w:t>
      </w:r>
      <w:r>
        <w:rPr>
          <w:rFonts w:hint="eastAsia"/>
          <w:lang w:eastAsia="zh-CN"/>
        </w:rPr>
        <w:t>制度</w:t>
      </w:r>
      <w:r w:rsidRPr="00C70206">
        <w:rPr>
          <w:lang w:eastAsia="zh-CN"/>
        </w:rPr>
        <w:t>通过的、适用于日内瓦地区的任职地点补贴调整数</w:t>
      </w:r>
      <w:r>
        <w:rPr>
          <w:rFonts w:hint="eastAsia"/>
          <w:lang w:eastAsia="zh-CN"/>
        </w:rPr>
        <w:t>；</w:t>
      </w:r>
    </w:p>
    <w:p w14:paraId="21E465CE" w14:textId="77777777" w:rsidR="006C2C5E" w:rsidRDefault="006C2C5E" w:rsidP="006C2C5E">
      <w:pPr>
        <w:pStyle w:val="enumlev1"/>
        <w:rPr>
          <w:lang w:eastAsia="zh-CN"/>
        </w:rPr>
      </w:pPr>
      <w:r w:rsidRPr="00D4560C">
        <w:rPr>
          <w:lang w:eastAsia="zh-CN"/>
        </w:rPr>
        <w:t>b)</w:t>
      </w:r>
      <w:r w:rsidRPr="00D4560C">
        <w:rPr>
          <w:lang w:eastAsia="zh-CN"/>
        </w:rPr>
        <w:tab/>
      </w:r>
      <w:r>
        <w:rPr>
          <w:rFonts w:hint="eastAsia"/>
          <w:lang w:eastAsia="zh-CN"/>
        </w:rPr>
        <w:t>当</w:t>
      </w:r>
      <w:r w:rsidRPr="00C70206">
        <w:rPr>
          <w:lang w:eastAsia="zh-CN"/>
        </w:rPr>
        <w:t>美元和</w:t>
      </w:r>
      <w:r>
        <w:rPr>
          <w:lang w:eastAsia="zh-CN"/>
        </w:rPr>
        <w:t>瑞郎</w:t>
      </w:r>
      <w:r w:rsidRPr="00C70206">
        <w:rPr>
          <w:lang w:eastAsia="zh-CN"/>
        </w:rPr>
        <w:t>的兑换率浮动</w:t>
      </w:r>
      <w:r>
        <w:rPr>
          <w:rFonts w:hint="eastAsia"/>
          <w:lang w:eastAsia="zh-CN"/>
        </w:rPr>
        <w:t>影响到</w:t>
      </w:r>
      <w:r w:rsidRPr="00C70206">
        <w:rPr>
          <w:lang w:eastAsia="zh-CN"/>
        </w:rPr>
        <w:t>联合国薪金表上职员</w:t>
      </w:r>
      <w:r w:rsidRPr="00EE181E">
        <w:rPr>
          <w:lang w:eastAsia="zh-CN"/>
        </w:rPr>
        <w:t>相关</w:t>
      </w:r>
      <w:r w:rsidRPr="00C70206">
        <w:rPr>
          <w:lang w:eastAsia="zh-CN"/>
        </w:rPr>
        <w:t>人员费用</w:t>
      </w:r>
      <w:r>
        <w:rPr>
          <w:rFonts w:hint="eastAsia"/>
          <w:lang w:eastAsia="zh-CN"/>
        </w:rPr>
        <w:t>时，调整拨款。</w:t>
      </w:r>
    </w:p>
    <w:p w14:paraId="522247A8" w14:textId="77777777" w:rsidR="006C2C5E" w:rsidRPr="00D4560C" w:rsidRDefault="006C2C5E" w:rsidP="006C2C5E">
      <w:pPr>
        <w:pStyle w:val="enumlev1"/>
        <w:rPr>
          <w:rFonts w:cs="Calibri"/>
          <w:szCs w:val="24"/>
          <w:lang w:eastAsia="zh-CN"/>
        </w:rPr>
      </w:pPr>
      <w:r>
        <w:rPr>
          <w:rFonts w:cs="Calibri"/>
          <w:szCs w:val="24"/>
          <w:lang w:eastAsia="zh-CN"/>
        </w:rPr>
        <w:t>c)</w:t>
      </w:r>
      <w:r w:rsidRPr="00D4560C">
        <w:rPr>
          <w:rFonts w:cs="Calibri"/>
          <w:szCs w:val="24"/>
          <w:lang w:eastAsia="zh-CN"/>
        </w:rPr>
        <w:tab/>
      </w:r>
      <w:r>
        <w:rPr>
          <w:rFonts w:hint="eastAsia"/>
          <w:lang w:eastAsia="zh-CN"/>
        </w:rPr>
        <w:t>在</w:t>
      </w:r>
      <w:r w:rsidRPr="00826354">
        <w:rPr>
          <w:rFonts w:cs="Calibri"/>
          <w:lang w:eastAsia="zh-CN"/>
        </w:rPr>
        <w:t>202</w:t>
      </w:r>
      <w:r>
        <w:rPr>
          <w:rFonts w:cs="Calibri"/>
          <w:lang w:eastAsia="zh-CN"/>
        </w:rPr>
        <w:t>2</w:t>
      </w:r>
      <w:r w:rsidRPr="00826354">
        <w:rPr>
          <w:rFonts w:cs="Calibri"/>
          <w:lang w:eastAsia="zh-CN"/>
        </w:rPr>
        <w:t>-202</w:t>
      </w:r>
      <w:r>
        <w:rPr>
          <w:rFonts w:cs="Calibri"/>
          <w:lang w:eastAsia="zh-CN"/>
        </w:rPr>
        <w:t>3</w:t>
      </w:r>
      <w:r>
        <w:rPr>
          <w:rFonts w:hint="eastAsia"/>
          <w:lang w:eastAsia="zh-CN"/>
        </w:rPr>
        <w:t>双年度，根据《财务规则和财务细则》</w:t>
      </w:r>
      <w:r w:rsidRPr="005E431F">
        <w:rPr>
          <w:rFonts w:eastAsia="STKaiti"/>
          <w:lang w:eastAsia="zh-CN"/>
        </w:rPr>
        <w:t>规则</w:t>
      </w:r>
      <w:r w:rsidRPr="005E431F">
        <w:rPr>
          <w:rFonts w:eastAsia="STKaiti"/>
          <w:lang w:eastAsia="zh-CN"/>
        </w:rPr>
        <w:t>6.1</w:t>
      </w:r>
      <w:r>
        <w:rPr>
          <w:rFonts w:hint="eastAsia"/>
          <w:lang w:eastAsia="zh-CN"/>
        </w:rPr>
        <w:t>给予秘书长必要的灵活性，利用第</w:t>
      </w:r>
      <w:r>
        <w:rPr>
          <w:rFonts w:hint="eastAsia"/>
          <w:lang w:eastAsia="zh-CN"/>
        </w:rPr>
        <w:t>3</w:t>
      </w:r>
      <w:r>
        <w:rPr>
          <w:rFonts w:hint="eastAsia"/>
          <w:lang w:eastAsia="zh-CN"/>
        </w:rPr>
        <w:t>至第</w:t>
      </w:r>
      <w:r>
        <w:rPr>
          <w:rFonts w:hint="eastAsia"/>
          <w:lang w:eastAsia="zh-CN"/>
        </w:rPr>
        <w:t>9</w:t>
      </w:r>
      <w:r>
        <w:rPr>
          <w:rFonts w:hint="eastAsia"/>
          <w:lang w:eastAsia="zh-CN"/>
        </w:rPr>
        <w:t>类（非人员费用）节余补偿第</w:t>
      </w:r>
      <w:r>
        <w:rPr>
          <w:rFonts w:hint="eastAsia"/>
          <w:lang w:eastAsia="zh-CN"/>
        </w:rPr>
        <w:t>1</w:t>
      </w:r>
      <w:r>
        <w:rPr>
          <w:rFonts w:hint="eastAsia"/>
          <w:lang w:eastAsia="zh-CN"/>
        </w:rPr>
        <w:t>和第</w:t>
      </w:r>
      <w:r>
        <w:rPr>
          <w:rFonts w:hint="eastAsia"/>
          <w:lang w:eastAsia="zh-CN"/>
        </w:rPr>
        <w:t>2</w:t>
      </w:r>
      <w:r>
        <w:rPr>
          <w:rFonts w:hint="eastAsia"/>
          <w:lang w:eastAsia="zh-CN"/>
        </w:rPr>
        <w:t>类（人员费用）的超支，并在需要时进行必要的转账；</w:t>
      </w:r>
    </w:p>
    <w:p w14:paraId="0823DE3D" w14:textId="77777777" w:rsidR="006C2C5E" w:rsidRDefault="006C2C5E" w:rsidP="006C2C5E">
      <w:pPr>
        <w:rPr>
          <w:rFonts w:cs="Calibri"/>
          <w:szCs w:val="24"/>
          <w:lang w:eastAsia="zh-CN"/>
        </w:rPr>
      </w:pPr>
      <w:r>
        <w:rPr>
          <w:rFonts w:cs="Calibri"/>
          <w:szCs w:val="24"/>
          <w:lang w:eastAsia="zh-CN"/>
        </w:rPr>
        <w:t>6</w:t>
      </w:r>
      <w:r w:rsidRPr="00D4560C">
        <w:rPr>
          <w:rFonts w:cs="Calibri"/>
          <w:szCs w:val="24"/>
          <w:lang w:eastAsia="zh-CN"/>
        </w:rPr>
        <w:tab/>
      </w:r>
      <w:r>
        <w:rPr>
          <w:rFonts w:hint="eastAsia"/>
          <w:lang w:eastAsia="zh-CN"/>
        </w:rPr>
        <w:t>授权在必要时使用收入节余平衡</w:t>
      </w:r>
      <w:r w:rsidRPr="00826354">
        <w:rPr>
          <w:rFonts w:cs="Calibri"/>
          <w:lang w:eastAsia="zh-CN"/>
        </w:rPr>
        <w:t>202</w:t>
      </w:r>
      <w:r>
        <w:rPr>
          <w:rFonts w:cs="Calibri"/>
          <w:lang w:eastAsia="zh-CN"/>
        </w:rPr>
        <w:t>2</w:t>
      </w:r>
      <w:r w:rsidRPr="00826354">
        <w:rPr>
          <w:rFonts w:cs="Calibri"/>
          <w:lang w:eastAsia="zh-CN"/>
        </w:rPr>
        <w:t>-202</w:t>
      </w:r>
      <w:r>
        <w:rPr>
          <w:rFonts w:cs="Calibri"/>
          <w:lang w:eastAsia="zh-CN"/>
        </w:rPr>
        <w:t>3</w:t>
      </w:r>
      <w:r>
        <w:rPr>
          <w:rFonts w:hint="eastAsia"/>
          <w:lang w:eastAsia="zh-CN"/>
        </w:rPr>
        <w:t>年账目；</w:t>
      </w:r>
    </w:p>
    <w:p w14:paraId="63117458" w14:textId="77777777" w:rsidR="006C2C5E" w:rsidRDefault="006C2C5E" w:rsidP="006C2C5E">
      <w:pPr>
        <w:rPr>
          <w:rFonts w:cs="Calibri"/>
          <w:szCs w:val="24"/>
          <w:lang w:eastAsia="zh-CN"/>
        </w:rPr>
      </w:pPr>
      <w:r>
        <w:rPr>
          <w:rFonts w:cs="Calibri"/>
          <w:szCs w:val="24"/>
          <w:lang w:eastAsia="zh-CN"/>
        </w:rPr>
        <w:t>7</w:t>
      </w:r>
      <w:r>
        <w:rPr>
          <w:rFonts w:cs="Calibri"/>
          <w:szCs w:val="24"/>
          <w:lang w:eastAsia="zh-CN"/>
        </w:rPr>
        <w:tab/>
      </w:r>
      <w:r>
        <w:rPr>
          <w:rFonts w:cs="Calibri" w:hint="eastAsia"/>
          <w:szCs w:val="24"/>
          <w:lang w:eastAsia="zh-CN"/>
        </w:rPr>
        <w:t>责</w:t>
      </w:r>
      <w:r>
        <w:rPr>
          <w:rFonts w:cs="Calibri"/>
          <w:szCs w:val="24"/>
          <w:lang w:eastAsia="zh-CN"/>
        </w:rPr>
        <w:t>成秘书长于</w:t>
      </w:r>
      <w:r>
        <w:rPr>
          <w:rFonts w:cs="Calibri"/>
          <w:szCs w:val="24"/>
          <w:lang w:eastAsia="zh-CN"/>
        </w:rPr>
        <w:t>202</w:t>
      </w:r>
      <w:r>
        <w:rPr>
          <w:rFonts w:cs="Calibri"/>
          <w:lang w:eastAsia="zh-CN"/>
        </w:rPr>
        <w:t>2</w:t>
      </w:r>
      <w:r>
        <w:rPr>
          <w:rFonts w:cs="Calibri"/>
          <w:szCs w:val="24"/>
          <w:lang w:eastAsia="zh-CN"/>
        </w:rPr>
        <w:t>年</w:t>
      </w:r>
      <w:r>
        <w:rPr>
          <w:rFonts w:cs="Calibri"/>
          <w:szCs w:val="24"/>
          <w:lang w:eastAsia="zh-CN"/>
        </w:rPr>
        <w:t>1</w:t>
      </w:r>
      <w:r>
        <w:rPr>
          <w:rFonts w:cs="Calibri"/>
          <w:szCs w:val="24"/>
          <w:lang w:eastAsia="zh-CN"/>
        </w:rPr>
        <w:t>月从储备金账目转账</w:t>
      </w:r>
      <w:r>
        <w:rPr>
          <w:rFonts w:cs="Calibri" w:hint="eastAsia"/>
          <w:szCs w:val="24"/>
          <w:lang w:eastAsia="zh-CN"/>
        </w:rPr>
        <w:t>1</w:t>
      </w:r>
      <w:r>
        <w:rPr>
          <w:rFonts w:cs="Calibri"/>
          <w:szCs w:val="24"/>
          <w:lang w:eastAsia="zh-CN"/>
        </w:rPr>
        <w:t>,000,000</w:t>
      </w:r>
      <w:r>
        <w:rPr>
          <w:rFonts w:cs="Calibri"/>
          <w:szCs w:val="24"/>
          <w:lang w:eastAsia="zh-CN"/>
        </w:rPr>
        <w:t>瑞郎至</w:t>
      </w:r>
      <w:r>
        <w:rPr>
          <w:rFonts w:cs="Calibri"/>
          <w:szCs w:val="24"/>
          <w:lang w:eastAsia="zh-CN"/>
        </w:rPr>
        <w:t>ASHI</w:t>
      </w:r>
      <w:r>
        <w:rPr>
          <w:rFonts w:cs="Calibri"/>
          <w:szCs w:val="24"/>
          <w:lang w:eastAsia="zh-CN"/>
        </w:rPr>
        <w:t>基</w:t>
      </w:r>
      <w:r>
        <w:rPr>
          <w:rFonts w:cs="Calibri" w:hint="eastAsia"/>
          <w:szCs w:val="24"/>
          <w:lang w:eastAsia="zh-CN"/>
        </w:rPr>
        <w:t>金</w:t>
      </w:r>
      <w:r>
        <w:rPr>
          <w:rFonts w:cs="Calibri"/>
          <w:szCs w:val="24"/>
          <w:lang w:eastAsia="zh-CN"/>
        </w:rPr>
        <w:t>，以解决无资金准备的长期负债问题。</w:t>
      </w:r>
    </w:p>
    <w:p w14:paraId="0F3E960A" w14:textId="03F087B9" w:rsidR="0090191E" w:rsidRDefault="0090191E" w:rsidP="006C2C5E">
      <w:pPr>
        <w:overflowPunct/>
        <w:autoSpaceDE/>
        <w:autoSpaceDN/>
        <w:adjustRightInd/>
        <w:snapToGrid w:val="0"/>
        <w:spacing w:before="1560"/>
        <w:textAlignment w:val="auto"/>
        <w:rPr>
          <w:lang w:eastAsia="zh-CN"/>
        </w:rPr>
      </w:pPr>
      <w:r w:rsidRPr="006C2C5E">
        <w:rPr>
          <w:rFonts w:ascii="STKaiti" w:eastAsia="STKaiti" w:hAnsi="STKaiti" w:hint="eastAsia"/>
          <w:b/>
          <w:lang w:eastAsia="zh-CN"/>
        </w:rPr>
        <w:t>附件</w:t>
      </w:r>
      <w:r w:rsidRPr="0090191E">
        <w:rPr>
          <w:rFonts w:hint="eastAsia"/>
          <w:bCs/>
          <w:lang w:eastAsia="zh-CN"/>
        </w:rPr>
        <w:t>：</w:t>
      </w:r>
      <w:r w:rsidRPr="0090191E">
        <w:rPr>
          <w:rFonts w:hint="eastAsia"/>
          <w:lang w:eastAsia="zh-CN"/>
        </w:rPr>
        <w:t>表</w:t>
      </w:r>
      <w:r w:rsidRPr="0090191E">
        <w:rPr>
          <w:lang w:eastAsia="zh-CN"/>
        </w:rPr>
        <w:t>1-13</w:t>
      </w:r>
    </w:p>
    <w:p w14:paraId="3D9369BF" w14:textId="77777777" w:rsidR="000D2389" w:rsidRDefault="000D2389" w:rsidP="006C2C5E">
      <w:pPr>
        <w:overflowPunct/>
        <w:autoSpaceDE/>
        <w:autoSpaceDN/>
        <w:adjustRightInd/>
        <w:snapToGrid w:val="0"/>
        <w:spacing w:before="1560"/>
        <w:textAlignment w:val="auto"/>
        <w:rPr>
          <w:lang w:eastAsia="zh-CN"/>
        </w:rPr>
      </w:pPr>
    </w:p>
    <w:p w14:paraId="21242D74" w14:textId="77777777" w:rsidR="006C2C5E" w:rsidRDefault="006C2C5E" w:rsidP="0090191E">
      <w:pPr>
        <w:pStyle w:val="Normalaftertitle"/>
        <w:rPr>
          <w:lang w:eastAsia="zh-CN"/>
        </w:rPr>
      </w:pPr>
    </w:p>
    <w:p w14:paraId="7D9044BA" w14:textId="045A8EC7" w:rsidR="000D2389" w:rsidRPr="000D2389" w:rsidRDefault="000D2389" w:rsidP="000D2389">
      <w:pPr>
        <w:rPr>
          <w:lang w:eastAsia="zh-CN"/>
        </w:rPr>
        <w:sectPr w:rsidR="000D2389" w:rsidRPr="000D2389" w:rsidSect="00B906B3">
          <w:headerReference w:type="even" r:id="rId63"/>
          <w:headerReference w:type="default" r:id="rId64"/>
          <w:headerReference w:type="first" r:id="rId65"/>
          <w:pgSz w:w="11907" w:h="16834" w:code="9"/>
          <w:pgMar w:top="1418" w:right="1134" w:bottom="1134" w:left="1134" w:header="737" w:footer="567" w:gutter="0"/>
          <w:paperSrc w:first="15" w:other="15"/>
          <w:cols w:space="720"/>
          <w:vAlign w:val="both"/>
          <w:titlePg/>
          <w:docGrid w:linePitch="326"/>
        </w:sectPr>
      </w:pPr>
    </w:p>
    <w:p w14:paraId="4E9FD7A7" w14:textId="77777777" w:rsidR="006C2C5E" w:rsidRDefault="006C2C5E" w:rsidP="006C2C5E">
      <w:pPr>
        <w:tabs>
          <w:tab w:val="left" w:pos="2797"/>
        </w:tabs>
        <w:snapToGrid w:val="0"/>
        <w:jc w:val="center"/>
      </w:pPr>
    </w:p>
    <w:tbl>
      <w:tblPr>
        <w:tblW w:w="9853" w:type="dxa"/>
        <w:jc w:val="center"/>
        <w:tblLook w:val="04A0" w:firstRow="1" w:lastRow="0" w:firstColumn="1" w:lastColumn="0" w:noHBand="0" w:noVBand="1"/>
      </w:tblPr>
      <w:tblGrid>
        <w:gridCol w:w="3049"/>
        <w:gridCol w:w="1374"/>
        <w:gridCol w:w="1396"/>
        <w:gridCol w:w="1196"/>
        <w:gridCol w:w="1396"/>
        <w:gridCol w:w="1442"/>
      </w:tblGrid>
      <w:tr w:rsidR="006C2C5E" w:rsidRPr="00652925" w14:paraId="2A7193AA" w14:textId="77777777" w:rsidTr="002F7131">
        <w:trPr>
          <w:trHeight w:val="465"/>
          <w:jc w:val="center"/>
        </w:trPr>
        <w:tc>
          <w:tcPr>
            <w:tcW w:w="3049" w:type="dxa"/>
            <w:tcBorders>
              <w:top w:val="nil"/>
              <w:left w:val="nil"/>
              <w:bottom w:val="nil"/>
              <w:right w:val="nil"/>
            </w:tcBorders>
            <w:shd w:val="clear" w:color="auto" w:fill="auto"/>
            <w:noWrap/>
            <w:vAlign w:val="center"/>
            <w:hideMark/>
          </w:tcPr>
          <w:p w14:paraId="652108EB"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652925">
              <w:rPr>
                <w:rFonts w:ascii="SimSun" w:hAnsi="SimSun" w:cs="Calibri" w:hint="eastAsia"/>
                <w:b/>
                <w:bCs/>
                <w:color w:val="002060"/>
                <w:sz w:val="40"/>
                <w:szCs w:val="40"/>
              </w:rPr>
              <w:t>表</w:t>
            </w:r>
            <w:r w:rsidRPr="00652925">
              <w:rPr>
                <w:rFonts w:eastAsia="Times New Roman" w:cs="Calibri"/>
                <w:b/>
                <w:bCs/>
                <w:color w:val="002060"/>
                <w:sz w:val="40"/>
                <w:szCs w:val="40"/>
              </w:rPr>
              <w:t>1</w:t>
            </w:r>
          </w:p>
        </w:tc>
        <w:tc>
          <w:tcPr>
            <w:tcW w:w="1374" w:type="dxa"/>
            <w:tcBorders>
              <w:top w:val="nil"/>
              <w:left w:val="nil"/>
              <w:bottom w:val="nil"/>
              <w:right w:val="nil"/>
            </w:tcBorders>
            <w:shd w:val="clear" w:color="auto" w:fill="auto"/>
            <w:noWrap/>
            <w:vAlign w:val="center"/>
            <w:hideMark/>
          </w:tcPr>
          <w:p w14:paraId="3F6004C0"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1396" w:type="dxa"/>
            <w:tcBorders>
              <w:top w:val="nil"/>
              <w:left w:val="nil"/>
              <w:bottom w:val="nil"/>
              <w:right w:val="nil"/>
            </w:tcBorders>
            <w:shd w:val="clear" w:color="auto" w:fill="auto"/>
            <w:noWrap/>
            <w:vAlign w:val="center"/>
            <w:hideMark/>
          </w:tcPr>
          <w:p w14:paraId="61A30A5F"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96" w:type="dxa"/>
            <w:tcBorders>
              <w:top w:val="nil"/>
              <w:left w:val="nil"/>
              <w:bottom w:val="nil"/>
              <w:right w:val="nil"/>
            </w:tcBorders>
            <w:shd w:val="clear" w:color="auto" w:fill="auto"/>
            <w:noWrap/>
            <w:vAlign w:val="center"/>
            <w:hideMark/>
          </w:tcPr>
          <w:p w14:paraId="46D1C96F"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792988E1"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42" w:type="dxa"/>
            <w:tcBorders>
              <w:top w:val="nil"/>
              <w:left w:val="nil"/>
              <w:bottom w:val="nil"/>
              <w:right w:val="nil"/>
            </w:tcBorders>
            <w:shd w:val="clear" w:color="auto" w:fill="auto"/>
            <w:noWrap/>
            <w:vAlign w:val="center"/>
            <w:hideMark/>
          </w:tcPr>
          <w:p w14:paraId="49750C9C"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6C2C5E" w:rsidRPr="00652925" w14:paraId="1CA09C75" w14:textId="77777777" w:rsidTr="002F7131">
        <w:trPr>
          <w:trHeight w:val="405"/>
          <w:jc w:val="center"/>
        </w:trPr>
        <w:tc>
          <w:tcPr>
            <w:tcW w:w="3049" w:type="dxa"/>
            <w:tcBorders>
              <w:top w:val="nil"/>
              <w:left w:val="nil"/>
              <w:bottom w:val="nil"/>
              <w:right w:val="nil"/>
            </w:tcBorders>
            <w:shd w:val="clear" w:color="auto" w:fill="auto"/>
            <w:noWrap/>
            <w:vAlign w:val="center"/>
            <w:hideMark/>
          </w:tcPr>
          <w:p w14:paraId="623AB62D"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lang w:eastAsia="zh-CN"/>
              </w:rPr>
            </w:pPr>
            <w:r w:rsidRPr="00652925">
              <w:rPr>
                <w:rFonts w:ascii="STKaiti" w:eastAsia="STKaiti" w:hAnsi="STKaiti" w:hint="eastAsia"/>
                <w:b/>
                <w:bCs/>
                <w:color w:val="002060"/>
                <w:sz w:val="28"/>
                <w:szCs w:val="28"/>
                <w:lang w:eastAsia="zh-CN"/>
              </w:rPr>
              <w:t>按部门列出的计划支出</w:t>
            </w:r>
          </w:p>
        </w:tc>
        <w:tc>
          <w:tcPr>
            <w:tcW w:w="6804" w:type="dxa"/>
            <w:gridSpan w:val="5"/>
            <w:tcBorders>
              <w:top w:val="nil"/>
              <w:left w:val="nil"/>
              <w:bottom w:val="nil"/>
              <w:right w:val="nil"/>
            </w:tcBorders>
            <w:shd w:val="clear" w:color="auto" w:fill="auto"/>
            <w:noWrap/>
            <w:vAlign w:val="center"/>
            <w:hideMark/>
          </w:tcPr>
          <w:p w14:paraId="016BB8E3"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652925">
              <w:rPr>
                <w:rFonts w:ascii="STKaiti" w:eastAsia="STKaiti" w:hAnsi="STKaiti" w:hint="eastAsia"/>
                <w:color w:val="002060"/>
                <w:sz w:val="18"/>
                <w:szCs w:val="18"/>
              </w:rPr>
              <w:t>单位：千瑞郎</w:t>
            </w:r>
          </w:p>
        </w:tc>
      </w:tr>
      <w:tr w:rsidR="006C2C5E" w:rsidRPr="00652925" w14:paraId="1C8845AE" w14:textId="77777777" w:rsidTr="002F7131">
        <w:trPr>
          <w:trHeight w:val="240"/>
          <w:jc w:val="center"/>
        </w:trPr>
        <w:tc>
          <w:tcPr>
            <w:tcW w:w="3049" w:type="dxa"/>
            <w:tcBorders>
              <w:top w:val="nil"/>
              <w:left w:val="nil"/>
              <w:bottom w:val="nil"/>
              <w:right w:val="nil"/>
            </w:tcBorders>
            <w:shd w:val="clear" w:color="auto" w:fill="auto"/>
            <w:noWrap/>
            <w:vAlign w:val="center"/>
            <w:hideMark/>
          </w:tcPr>
          <w:p w14:paraId="589EECA0"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74" w:type="dxa"/>
            <w:tcBorders>
              <w:top w:val="nil"/>
              <w:left w:val="nil"/>
              <w:bottom w:val="nil"/>
              <w:right w:val="nil"/>
            </w:tcBorders>
            <w:shd w:val="clear" w:color="auto" w:fill="auto"/>
            <w:noWrap/>
            <w:vAlign w:val="center"/>
            <w:hideMark/>
          </w:tcPr>
          <w:p w14:paraId="63E89D56"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bottom"/>
            <w:hideMark/>
          </w:tcPr>
          <w:p w14:paraId="6DE8E147"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tc>
        <w:tc>
          <w:tcPr>
            <w:tcW w:w="1196" w:type="dxa"/>
            <w:tcBorders>
              <w:top w:val="nil"/>
              <w:left w:val="nil"/>
              <w:bottom w:val="nil"/>
              <w:right w:val="nil"/>
            </w:tcBorders>
            <w:shd w:val="clear" w:color="auto" w:fill="auto"/>
            <w:noWrap/>
            <w:vAlign w:val="center"/>
            <w:hideMark/>
          </w:tcPr>
          <w:p w14:paraId="1A17565C"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bottom"/>
            <w:hideMark/>
          </w:tcPr>
          <w:p w14:paraId="0C58BAC0"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tc>
        <w:tc>
          <w:tcPr>
            <w:tcW w:w="1442" w:type="dxa"/>
            <w:tcBorders>
              <w:top w:val="nil"/>
              <w:left w:val="nil"/>
              <w:bottom w:val="nil"/>
              <w:right w:val="nil"/>
            </w:tcBorders>
            <w:shd w:val="clear" w:color="auto" w:fill="auto"/>
            <w:noWrap/>
            <w:vAlign w:val="center"/>
            <w:hideMark/>
          </w:tcPr>
          <w:p w14:paraId="43011B7C"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r w:rsidRPr="00652925">
              <w:rPr>
                <w:rFonts w:ascii="Helv" w:eastAsia="Times New Roman" w:hAnsi="Helv"/>
                <w:noProof/>
                <w:sz w:val="20"/>
              </w:rPr>
              <mc:AlternateContent>
                <mc:Choice Requires="wps">
                  <w:drawing>
                    <wp:anchor distT="0" distB="0" distL="114300" distR="114300" simplePos="0" relativeHeight="251661312" behindDoc="0" locked="0" layoutInCell="1" allowOverlap="1" wp14:anchorId="2C814944" wp14:editId="76E489B2">
                      <wp:simplePos x="0" y="0"/>
                      <wp:positionH relativeFrom="column">
                        <wp:posOffset>-24130</wp:posOffset>
                      </wp:positionH>
                      <wp:positionV relativeFrom="paragraph">
                        <wp:posOffset>90805</wp:posOffset>
                      </wp:positionV>
                      <wp:extent cx="906145" cy="3098800"/>
                      <wp:effectExtent l="0" t="0" r="27305" b="25400"/>
                      <wp:wrapNone/>
                      <wp:docPr id="1025" name="圆角矩形 1025">
                        <a:extLst xmlns:a="http://schemas.openxmlformats.org/drawingml/2006/main">
                          <a:ext uri="{FF2B5EF4-FFF2-40B4-BE49-F238E27FC236}">
                            <a16:creationId xmlns:a16="http://schemas.microsoft.com/office/drawing/2014/main" id="{00000000-0008-0000-0100-00000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145" cy="3098800"/>
                              </a:xfrm>
                              <a:prstGeom prst="roundRect">
                                <a:avLst>
                                  <a:gd name="adj" fmla="val 50000"/>
                                </a:avLst>
                              </a:prstGeom>
                              <a:noFill/>
                              <a:ln w="12700">
                                <a:solidFill>
                                  <a:schemeClr val="accent1">
                                    <a:lumMod val="75000"/>
                                  </a:schemeClr>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2F83073B" id="圆角矩形 1025" o:spid="_x0000_s1026" style="position:absolute;margin-left:-1.9pt;margin-top:7.15pt;width:71.35pt;height:2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" filled="f" strokecolor="#365f91 [2404]" strokeweight="1pt"/>
                  </w:pict>
                </mc:Fallback>
              </mc:AlternateContent>
            </w:r>
          </w:p>
        </w:tc>
      </w:tr>
      <w:tr w:rsidR="006C2C5E" w:rsidRPr="00652925" w14:paraId="07148E1C" w14:textId="77777777" w:rsidTr="002F7131">
        <w:trPr>
          <w:trHeight w:val="255"/>
          <w:jc w:val="center"/>
        </w:trPr>
        <w:tc>
          <w:tcPr>
            <w:tcW w:w="3049" w:type="dxa"/>
            <w:tcBorders>
              <w:top w:val="nil"/>
              <w:left w:val="nil"/>
              <w:bottom w:val="nil"/>
              <w:right w:val="nil"/>
            </w:tcBorders>
            <w:shd w:val="clear" w:color="auto" w:fill="auto"/>
            <w:noWrap/>
            <w:vAlign w:val="center"/>
            <w:hideMark/>
          </w:tcPr>
          <w:p w14:paraId="32E5F1B0"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74" w:type="dxa"/>
            <w:tcBorders>
              <w:top w:val="nil"/>
              <w:left w:val="single" w:sz="4" w:space="0" w:color="0070C0"/>
              <w:bottom w:val="nil"/>
              <w:right w:val="nil"/>
            </w:tcBorders>
            <w:shd w:val="clear" w:color="auto" w:fill="auto"/>
            <w:noWrap/>
            <w:vAlign w:val="center"/>
            <w:hideMark/>
          </w:tcPr>
          <w:p w14:paraId="3A75BFBC"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sz w:val="20"/>
              </w:rPr>
            </w:pPr>
            <w:r w:rsidRPr="00652925">
              <w:rPr>
                <w:rFonts w:ascii="SimSun" w:hAnsi="SimSun" w:hint="eastAsia"/>
                <w:b/>
                <w:bCs/>
                <w:sz w:val="20"/>
              </w:rPr>
              <w:t>实际</w:t>
            </w:r>
          </w:p>
        </w:tc>
        <w:tc>
          <w:tcPr>
            <w:tcW w:w="1396" w:type="dxa"/>
            <w:tcBorders>
              <w:top w:val="nil"/>
              <w:left w:val="nil"/>
              <w:bottom w:val="nil"/>
              <w:right w:val="nil"/>
            </w:tcBorders>
            <w:shd w:val="clear" w:color="auto" w:fill="auto"/>
            <w:noWrap/>
            <w:vAlign w:val="center"/>
            <w:hideMark/>
          </w:tcPr>
          <w:p w14:paraId="52495E1F"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sz w:val="20"/>
              </w:rPr>
            </w:pPr>
            <w:r w:rsidRPr="00652925">
              <w:rPr>
                <w:rFonts w:ascii="SimSun" w:hAnsi="SimSun" w:hint="eastAsia"/>
                <w:b/>
                <w:bCs/>
                <w:sz w:val="20"/>
              </w:rPr>
              <w:t>预算</w:t>
            </w:r>
          </w:p>
        </w:tc>
        <w:tc>
          <w:tcPr>
            <w:tcW w:w="1196" w:type="dxa"/>
            <w:tcBorders>
              <w:top w:val="nil"/>
              <w:left w:val="nil"/>
              <w:bottom w:val="nil"/>
              <w:right w:val="nil"/>
            </w:tcBorders>
            <w:shd w:val="clear" w:color="auto" w:fill="auto"/>
            <w:noWrap/>
            <w:vAlign w:val="center"/>
            <w:hideMark/>
          </w:tcPr>
          <w:p w14:paraId="63ACA865"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20"/>
              </w:rPr>
            </w:pPr>
            <w:r w:rsidRPr="00652925">
              <w:rPr>
                <w:rFonts w:ascii="SimSun" w:hAnsi="SimSun" w:hint="eastAsia"/>
                <w:b/>
                <w:bCs/>
                <w:color w:val="002060"/>
                <w:sz w:val="20"/>
              </w:rPr>
              <w:t>估算</w:t>
            </w:r>
          </w:p>
        </w:tc>
        <w:tc>
          <w:tcPr>
            <w:tcW w:w="1396" w:type="dxa"/>
            <w:tcBorders>
              <w:top w:val="nil"/>
              <w:left w:val="nil"/>
              <w:bottom w:val="nil"/>
              <w:right w:val="nil"/>
            </w:tcBorders>
            <w:shd w:val="clear" w:color="auto" w:fill="auto"/>
            <w:noWrap/>
            <w:vAlign w:val="center"/>
            <w:hideMark/>
          </w:tcPr>
          <w:p w14:paraId="71C5226D"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20"/>
              </w:rPr>
            </w:pPr>
            <w:r w:rsidRPr="00652925">
              <w:rPr>
                <w:rFonts w:ascii="SimSun" w:hAnsi="SimSun" w:hint="eastAsia"/>
                <w:b/>
                <w:bCs/>
                <w:color w:val="002060"/>
                <w:sz w:val="20"/>
              </w:rPr>
              <w:t>估算</w:t>
            </w:r>
          </w:p>
        </w:tc>
        <w:tc>
          <w:tcPr>
            <w:tcW w:w="1442" w:type="dxa"/>
            <w:tcBorders>
              <w:top w:val="nil"/>
              <w:left w:val="nil"/>
              <w:bottom w:val="nil"/>
              <w:right w:val="nil"/>
            </w:tcBorders>
            <w:shd w:val="clear" w:color="auto" w:fill="auto"/>
            <w:noWrap/>
            <w:vAlign w:val="center"/>
            <w:hideMark/>
          </w:tcPr>
          <w:p w14:paraId="32C6937A"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20"/>
              </w:rPr>
            </w:pPr>
            <w:r w:rsidRPr="00652925">
              <w:rPr>
                <w:rFonts w:ascii="SimSun" w:hAnsi="SimSun" w:hint="eastAsia"/>
                <w:b/>
                <w:bCs/>
                <w:color w:val="002060"/>
                <w:sz w:val="20"/>
              </w:rPr>
              <w:t>合计</w:t>
            </w:r>
          </w:p>
        </w:tc>
      </w:tr>
      <w:tr w:rsidR="006C2C5E" w:rsidRPr="00652925" w14:paraId="447DA9B2" w14:textId="77777777" w:rsidTr="002F7131">
        <w:trPr>
          <w:trHeight w:val="510"/>
          <w:jc w:val="center"/>
        </w:trPr>
        <w:tc>
          <w:tcPr>
            <w:tcW w:w="3049" w:type="dxa"/>
            <w:tcBorders>
              <w:top w:val="nil"/>
              <w:left w:val="nil"/>
              <w:bottom w:val="single" w:sz="4" w:space="0" w:color="auto"/>
              <w:right w:val="nil"/>
            </w:tcBorders>
            <w:shd w:val="clear" w:color="auto" w:fill="auto"/>
            <w:noWrap/>
            <w:vAlign w:val="center"/>
            <w:hideMark/>
          </w:tcPr>
          <w:p w14:paraId="3A9C7308"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33CC"/>
                <w:sz w:val="20"/>
              </w:rPr>
            </w:pPr>
            <w:r w:rsidRPr="00652925">
              <w:rPr>
                <w:rFonts w:eastAsia="Times New Roman" w:cs="Calibri"/>
                <w:b/>
                <w:bCs/>
                <w:color w:val="0033CC"/>
                <w:sz w:val="20"/>
              </w:rPr>
              <w:t> </w:t>
            </w:r>
          </w:p>
        </w:tc>
        <w:tc>
          <w:tcPr>
            <w:tcW w:w="1374" w:type="dxa"/>
            <w:tcBorders>
              <w:top w:val="nil"/>
              <w:left w:val="single" w:sz="4" w:space="0" w:color="0070C0"/>
              <w:bottom w:val="single" w:sz="4" w:space="0" w:color="auto"/>
              <w:right w:val="nil"/>
            </w:tcBorders>
            <w:shd w:val="clear" w:color="auto" w:fill="auto"/>
            <w:vAlign w:val="center"/>
            <w:hideMark/>
          </w:tcPr>
          <w:p w14:paraId="1EF5CFDA"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sz w:val="20"/>
              </w:rPr>
            </w:pPr>
            <w:r w:rsidRPr="00652925">
              <w:rPr>
                <w:rFonts w:eastAsia="Times New Roman" w:cs="Calibri"/>
                <w:b/>
                <w:bCs/>
                <w:sz w:val="20"/>
              </w:rPr>
              <w:t>2018-2019</w:t>
            </w:r>
            <w:r w:rsidRPr="00652925">
              <w:rPr>
                <w:rFonts w:ascii="SimSun" w:hAnsi="SimSun" w:cs="Calibri" w:hint="eastAsia"/>
                <w:b/>
                <w:bCs/>
                <w:sz w:val="20"/>
              </w:rPr>
              <w:t>年</w:t>
            </w:r>
          </w:p>
        </w:tc>
        <w:tc>
          <w:tcPr>
            <w:tcW w:w="1396" w:type="dxa"/>
            <w:tcBorders>
              <w:top w:val="nil"/>
              <w:left w:val="nil"/>
              <w:bottom w:val="single" w:sz="4" w:space="0" w:color="auto"/>
              <w:right w:val="nil"/>
            </w:tcBorders>
            <w:shd w:val="clear" w:color="auto" w:fill="auto"/>
            <w:vAlign w:val="center"/>
            <w:hideMark/>
          </w:tcPr>
          <w:p w14:paraId="57339EC8" w14:textId="77777777" w:rsidR="006C2C5E" w:rsidRPr="00652925" w:rsidRDefault="006C2C5E" w:rsidP="002F7131">
            <w:pPr>
              <w:tabs>
                <w:tab w:val="clear" w:pos="794"/>
                <w:tab w:val="clear" w:pos="1191"/>
                <w:tab w:val="clear" w:pos="1588"/>
                <w:tab w:val="clear" w:pos="1985"/>
              </w:tabs>
              <w:overflowPunct/>
              <w:autoSpaceDE/>
              <w:autoSpaceDN/>
              <w:adjustRightInd/>
              <w:jc w:val="center"/>
              <w:textAlignment w:val="auto"/>
              <w:rPr>
                <w:rFonts w:eastAsia="Times New Roman" w:cs="Calibri"/>
                <w:b/>
                <w:bCs/>
                <w:sz w:val="20"/>
              </w:rPr>
            </w:pPr>
            <w:r w:rsidRPr="00652925">
              <w:rPr>
                <w:rFonts w:ascii="Helv" w:eastAsia="Times New Roman" w:hAnsi="Helv"/>
                <w:noProof/>
                <w:sz w:val="20"/>
              </w:rPr>
              <mc:AlternateContent>
                <mc:Choice Requires="wps">
                  <w:drawing>
                    <wp:anchor distT="0" distB="0" distL="114300" distR="114300" simplePos="0" relativeHeight="251662336" behindDoc="0" locked="0" layoutInCell="1" allowOverlap="1" wp14:anchorId="38836342" wp14:editId="23839C8A">
                      <wp:simplePos x="0" y="0"/>
                      <wp:positionH relativeFrom="column">
                        <wp:posOffset>-53975</wp:posOffset>
                      </wp:positionH>
                      <wp:positionV relativeFrom="paragraph">
                        <wp:posOffset>-219075</wp:posOffset>
                      </wp:positionV>
                      <wp:extent cx="892810" cy="3092450"/>
                      <wp:effectExtent l="0" t="0" r="21590" b="12700"/>
                      <wp:wrapNone/>
                      <wp:docPr id="1026" name="圆角矩形 1026">
                        <a:extLst xmlns:a="http://schemas.openxmlformats.org/drawingml/2006/main">
                          <a:ext uri="{FF2B5EF4-FFF2-40B4-BE49-F238E27FC236}">
                            <a16:creationId xmlns:a16="http://schemas.microsoft.com/office/drawing/2014/main" id="{00000000-0008-0000-0100-000002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810" cy="3092450"/>
                              </a:xfrm>
                              <a:prstGeom prst="roundRect">
                                <a:avLst>
                                  <a:gd name="adj" fmla="val 50000"/>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6D7FDA06" id="圆角矩形 1026" o:spid="_x0000_s1026" style="position:absolute;margin-left:-4.25pt;margin-top:-17.25pt;width:70.3pt;height:2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" filled="f"/>
                  </w:pict>
                </mc:Fallback>
              </mc:AlternateContent>
            </w:r>
            <w:r w:rsidRPr="00652925">
              <w:rPr>
                <w:rFonts w:eastAsia="Times New Roman" w:cs="Calibri"/>
                <w:b/>
                <w:bCs/>
                <w:sz w:val="20"/>
              </w:rPr>
              <w:t>2020-2021</w:t>
            </w:r>
            <w:r w:rsidRPr="00652925">
              <w:rPr>
                <w:rFonts w:ascii="SimSun" w:hAnsi="SimSun" w:cs="Calibri" w:hint="eastAsia"/>
                <w:b/>
                <w:bCs/>
                <w:sz w:val="20"/>
              </w:rPr>
              <w:t>年</w:t>
            </w:r>
          </w:p>
        </w:tc>
        <w:tc>
          <w:tcPr>
            <w:tcW w:w="1196" w:type="dxa"/>
            <w:tcBorders>
              <w:top w:val="nil"/>
              <w:left w:val="nil"/>
              <w:bottom w:val="single" w:sz="4" w:space="0" w:color="auto"/>
              <w:right w:val="nil"/>
            </w:tcBorders>
            <w:shd w:val="clear" w:color="auto" w:fill="auto"/>
            <w:vAlign w:val="center"/>
            <w:hideMark/>
          </w:tcPr>
          <w:p w14:paraId="725F4E85"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652925">
              <w:rPr>
                <w:rFonts w:eastAsia="Times New Roman" w:cs="Calibri"/>
                <w:b/>
                <w:bCs/>
                <w:color w:val="002060"/>
                <w:sz w:val="20"/>
              </w:rPr>
              <w:t>2022</w:t>
            </w:r>
            <w:r w:rsidRPr="00652925">
              <w:rPr>
                <w:rFonts w:ascii="SimSun" w:hAnsi="SimSun" w:cs="Calibri" w:hint="eastAsia"/>
                <w:b/>
                <w:bCs/>
                <w:color w:val="002060"/>
                <w:sz w:val="20"/>
              </w:rPr>
              <w:t>年</w:t>
            </w:r>
          </w:p>
        </w:tc>
        <w:tc>
          <w:tcPr>
            <w:tcW w:w="1396" w:type="dxa"/>
            <w:tcBorders>
              <w:top w:val="nil"/>
              <w:left w:val="nil"/>
              <w:bottom w:val="single" w:sz="4" w:space="0" w:color="auto"/>
              <w:right w:val="nil"/>
            </w:tcBorders>
            <w:shd w:val="clear" w:color="auto" w:fill="auto"/>
            <w:vAlign w:val="center"/>
            <w:hideMark/>
          </w:tcPr>
          <w:p w14:paraId="4D544BC9"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652925">
              <w:rPr>
                <w:rFonts w:eastAsia="Times New Roman" w:cs="Calibri"/>
                <w:b/>
                <w:bCs/>
                <w:color w:val="002060"/>
                <w:sz w:val="20"/>
              </w:rPr>
              <w:t>2023</w:t>
            </w:r>
            <w:r w:rsidRPr="00652925">
              <w:rPr>
                <w:rFonts w:ascii="SimSun" w:hAnsi="SimSun" w:cs="Calibri" w:hint="eastAsia"/>
                <w:b/>
                <w:bCs/>
                <w:color w:val="002060"/>
                <w:sz w:val="20"/>
              </w:rPr>
              <w:t>年</w:t>
            </w:r>
          </w:p>
        </w:tc>
        <w:tc>
          <w:tcPr>
            <w:tcW w:w="1442" w:type="dxa"/>
            <w:tcBorders>
              <w:top w:val="nil"/>
              <w:left w:val="nil"/>
              <w:bottom w:val="single" w:sz="4" w:space="0" w:color="auto"/>
              <w:right w:val="nil"/>
            </w:tcBorders>
            <w:shd w:val="clear" w:color="auto" w:fill="auto"/>
            <w:vAlign w:val="center"/>
            <w:hideMark/>
          </w:tcPr>
          <w:p w14:paraId="35EC4772"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652925">
              <w:rPr>
                <w:rFonts w:eastAsia="Times New Roman" w:cs="Calibri"/>
                <w:b/>
                <w:bCs/>
                <w:color w:val="002060"/>
                <w:sz w:val="20"/>
              </w:rPr>
              <w:t>2022-2023</w:t>
            </w:r>
            <w:r w:rsidRPr="00652925">
              <w:rPr>
                <w:rFonts w:ascii="SimSun" w:hAnsi="SimSun" w:cs="Calibri" w:hint="eastAsia"/>
                <w:b/>
                <w:bCs/>
                <w:color w:val="002060"/>
                <w:sz w:val="20"/>
              </w:rPr>
              <w:t>年</w:t>
            </w:r>
          </w:p>
        </w:tc>
      </w:tr>
      <w:tr w:rsidR="006C2C5E" w:rsidRPr="00652925" w14:paraId="04FE8BF0" w14:textId="77777777" w:rsidTr="002F7131">
        <w:trPr>
          <w:trHeight w:val="240"/>
          <w:jc w:val="center"/>
        </w:trPr>
        <w:tc>
          <w:tcPr>
            <w:tcW w:w="3049" w:type="dxa"/>
            <w:tcBorders>
              <w:top w:val="nil"/>
              <w:left w:val="nil"/>
              <w:bottom w:val="nil"/>
              <w:right w:val="nil"/>
            </w:tcBorders>
            <w:shd w:val="clear" w:color="auto" w:fill="auto"/>
            <w:noWrap/>
            <w:vAlign w:val="center"/>
            <w:hideMark/>
          </w:tcPr>
          <w:p w14:paraId="23E3DDDE"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74" w:type="dxa"/>
            <w:tcBorders>
              <w:top w:val="nil"/>
              <w:left w:val="single" w:sz="4" w:space="0" w:color="0070C0"/>
              <w:bottom w:val="nil"/>
              <w:right w:val="nil"/>
            </w:tcBorders>
            <w:shd w:val="clear" w:color="auto" w:fill="auto"/>
            <w:noWrap/>
            <w:vAlign w:val="center"/>
            <w:hideMark/>
          </w:tcPr>
          <w:p w14:paraId="77C35D12"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652925">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1CD66A10"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96" w:type="dxa"/>
            <w:tcBorders>
              <w:top w:val="nil"/>
              <w:left w:val="nil"/>
              <w:bottom w:val="nil"/>
              <w:right w:val="nil"/>
            </w:tcBorders>
            <w:shd w:val="clear" w:color="auto" w:fill="auto"/>
            <w:noWrap/>
            <w:vAlign w:val="center"/>
            <w:hideMark/>
          </w:tcPr>
          <w:p w14:paraId="68AF984A"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33723CBB"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42" w:type="dxa"/>
            <w:tcBorders>
              <w:top w:val="nil"/>
              <w:left w:val="nil"/>
              <w:bottom w:val="nil"/>
              <w:right w:val="nil"/>
            </w:tcBorders>
            <w:shd w:val="clear" w:color="auto" w:fill="auto"/>
            <w:noWrap/>
            <w:vAlign w:val="center"/>
            <w:hideMark/>
          </w:tcPr>
          <w:p w14:paraId="40909059"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652925" w14:paraId="76FB51F0" w14:textId="77777777" w:rsidTr="002F7131">
        <w:trPr>
          <w:trHeight w:val="240"/>
          <w:jc w:val="center"/>
        </w:trPr>
        <w:tc>
          <w:tcPr>
            <w:tcW w:w="3049" w:type="dxa"/>
            <w:tcBorders>
              <w:top w:val="nil"/>
              <w:left w:val="nil"/>
              <w:bottom w:val="nil"/>
              <w:right w:val="nil"/>
            </w:tcBorders>
            <w:shd w:val="clear" w:color="auto" w:fill="auto"/>
            <w:noWrap/>
            <w:vAlign w:val="center"/>
            <w:hideMark/>
          </w:tcPr>
          <w:p w14:paraId="344B355A"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652925">
              <w:rPr>
                <w:rFonts w:eastAsia="Times New Roman" w:cs="Calibri"/>
                <w:sz w:val="20"/>
              </w:rPr>
              <w:t xml:space="preserve">1 - </w:t>
            </w:r>
            <w:r w:rsidRPr="00652925">
              <w:rPr>
                <w:rFonts w:ascii="SimSun" w:hAnsi="SimSun" w:cs="Calibri" w:hint="eastAsia"/>
                <w:sz w:val="20"/>
              </w:rPr>
              <w:t>总秘书处</w:t>
            </w:r>
          </w:p>
        </w:tc>
        <w:tc>
          <w:tcPr>
            <w:tcW w:w="1374" w:type="dxa"/>
            <w:tcBorders>
              <w:top w:val="nil"/>
              <w:left w:val="single" w:sz="4" w:space="0" w:color="0070C0"/>
              <w:bottom w:val="nil"/>
              <w:right w:val="nil"/>
            </w:tcBorders>
            <w:shd w:val="clear" w:color="auto" w:fill="auto"/>
            <w:noWrap/>
            <w:vAlign w:val="center"/>
            <w:hideMark/>
          </w:tcPr>
          <w:p w14:paraId="444A9C41"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652925">
              <w:rPr>
                <w:rFonts w:eastAsia="Times New Roman" w:cs="Calibri"/>
                <w:sz w:val="20"/>
              </w:rPr>
              <w:t>166,050</w:t>
            </w:r>
          </w:p>
        </w:tc>
        <w:tc>
          <w:tcPr>
            <w:tcW w:w="1396" w:type="dxa"/>
            <w:tcBorders>
              <w:top w:val="nil"/>
              <w:left w:val="nil"/>
              <w:bottom w:val="nil"/>
              <w:right w:val="nil"/>
            </w:tcBorders>
            <w:shd w:val="clear" w:color="auto" w:fill="auto"/>
            <w:noWrap/>
            <w:vAlign w:val="center"/>
            <w:hideMark/>
          </w:tcPr>
          <w:p w14:paraId="7D594C4A"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652925">
              <w:rPr>
                <w:rFonts w:eastAsia="Times New Roman" w:cs="Calibri"/>
                <w:sz w:val="20"/>
              </w:rPr>
              <w:t>183,074</w:t>
            </w:r>
          </w:p>
        </w:tc>
        <w:tc>
          <w:tcPr>
            <w:tcW w:w="1196" w:type="dxa"/>
            <w:tcBorders>
              <w:top w:val="nil"/>
              <w:left w:val="nil"/>
              <w:bottom w:val="nil"/>
              <w:right w:val="nil"/>
            </w:tcBorders>
            <w:shd w:val="clear" w:color="auto" w:fill="auto"/>
            <w:noWrap/>
            <w:vAlign w:val="center"/>
            <w:hideMark/>
          </w:tcPr>
          <w:p w14:paraId="65D0BB8D"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652925">
              <w:rPr>
                <w:rFonts w:eastAsia="Times New Roman" w:cs="Calibri"/>
                <w:color w:val="002060"/>
                <w:sz w:val="20"/>
              </w:rPr>
              <w:t>91,396</w:t>
            </w:r>
          </w:p>
        </w:tc>
        <w:tc>
          <w:tcPr>
            <w:tcW w:w="1396" w:type="dxa"/>
            <w:tcBorders>
              <w:top w:val="nil"/>
              <w:left w:val="nil"/>
              <w:bottom w:val="nil"/>
              <w:right w:val="nil"/>
            </w:tcBorders>
            <w:shd w:val="clear" w:color="auto" w:fill="auto"/>
            <w:noWrap/>
            <w:vAlign w:val="center"/>
            <w:hideMark/>
          </w:tcPr>
          <w:p w14:paraId="13B7F60E"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652925">
              <w:rPr>
                <w:rFonts w:eastAsia="Times New Roman" w:cs="Calibri"/>
                <w:color w:val="002060"/>
                <w:sz w:val="20"/>
              </w:rPr>
              <w:t>89,887</w:t>
            </w:r>
          </w:p>
        </w:tc>
        <w:tc>
          <w:tcPr>
            <w:tcW w:w="1442" w:type="dxa"/>
            <w:tcBorders>
              <w:top w:val="nil"/>
              <w:left w:val="nil"/>
              <w:bottom w:val="nil"/>
              <w:right w:val="nil"/>
            </w:tcBorders>
            <w:shd w:val="clear" w:color="auto" w:fill="auto"/>
            <w:noWrap/>
            <w:vAlign w:val="center"/>
            <w:hideMark/>
          </w:tcPr>
          <w:p w14:paraId="136724CC"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652925">
              <w:rPr>
                <w:rFonts w:eastAsia="Times New Roman" w:cs="Calibri"/>
                <w:color w:val="002060"/>
                <w:sz w:val="20"/>
              </w:rPr>
              <w:t>181,283</w:t>
            </w:r>
          </w:p>
        </w:tc>
      </w:tr>
      <w:tr w:rsidR="006C2C5E" w:rsidRPr="00652925" w14:paraId="15F4EA8F" w14:textId="77777777" w:rsidTr="002F7131">
        <w:trPr>
          <w:trHeight w:val="120"/>
          <w:jc w:val="center"/>
        </w:trPr>
        <w:tc>
          <w:tcPr>
            <w:tcW w:w="3049" w:type="dxa"/>
            <w:tcBorders>
              <w:top w:val="nil"/>
              <w:left w:val="nil"/>
              <w:bottom w:val="nil"/>
              <w:right w:val="nil"/>
            </w:tcBorders>
            <w:shd w:val="clear" w:color="auto" w:fill="auto"/>
            <w:noWrap/>
            <w:vAlign w:val="center"/>
            <w:hideMark/>
          </w:tcPr>
          <w:p w14:paraId="22836E5B"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74" w:type="dxa"/>
            <w:tcBorders>
              <w:top w:val="nil"/>
              <w:left w:val="single" w:sz="4" w:space="0" w:color="0070C0"/>
              <w:bottom w:val="nil"/>
              <w:right w:val="nil"/>
            </w:tcBorders>
            <w:shd w:val="clear" w:color="auto" w:fill="auto"/>
            <w:noWrap/>
            <w:vAlign w:val="center"/>
            <w:hideMark/>
          </w:tcPr>
          <w:p w14:paraId="272D70CD"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bookmarkStart w:id="55" w:name="RANGE!B10:F22"/>
            <w:r w:rsidRPr="00652925">
              <w:rPr>
                <w:rFonts w:eastAsia="Times New Roman" w:cs="Calibri"/>
                <w:sz w:val="20"/>
              </w:rPr>
              <w:t> </w:t>
            </w:r>
            <w:bookmarkEnd w:id="55"/>
          </w:p>
        </w:tc>
        <w:tc>
          <w:tcPr>
            <w:tcW w:w="1396" w:type="dxa"/>
            <w:tcBorders>
              <w:top w:val="nil"/>
              <w:left w:val="nil"/>
              <w:bottom w:val="nil"/>
              <w:right w:val="nil"/>
            </w:tcBorders>
            <w:shd w:val="clear" w:color="auto" w:fill="auto"/>
            <w:noWrap/>
            <w:vAlign w:val="center"/>
            <w:hideMark/>
          </w:tcPr>
          <w:p w14:paraId="154D36DA"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96" w:type="dxa"/>
            <w:tcBorders>
              <w:top w:val="nil"/>
              <w:left w:val="nil"/>
              <w:bottom w:val="nil"/>
              <w:right w:val="nil"/>
            </w:tcBorders>
            <w:shd w:val="clear" w:color="auto" w:fill="auto"/>
            <w:noWrap/>
            <w:vAlign w:val="center"/>
            <w:hideMark/>
          </w:tcPr>
          <w:p w14:paraId="4E3DFC85"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3B0D646A"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42" w:type="dxa"/>
            <w:tcBorders>
              <w:top w:val="nil"/>
              <w:left w:val="nil"/>
              <w:bottom w:val="nil"/>
              <w:right w:val="nil"/>
            </w:tcBorders>
            <w:shd w:val="clear" w:color="auto" w:fill="auto"/>
            <w:noWrap/>
            <w:vAlign w:val="center"/>
            <w:hideMark/>
          </w:tcPr>
          <w:p w14:paraId="0BD21825"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652925" w14:paraId="76A07F5E" w14:textId="77777777" w:rsidTr="002F7131">
        <w:trPr>
          <w:trHeight w:val="240"/>
          <w:jc w:val="center"/>
        </w:trPr>
        <w:tc>
          <w:tcPr>
            <w:tcW w:w="3049" w:type="dxa"/>
            <w:tcBorders>
              <w:top w:val="nil"/>
              <w:left w:val="nil"/>
              <w:bottom w:val="nil"/>
              <w:right w:val="nil"/>
            </w:tcBorders>
            <w:shd w:val="clear" w:color="auto" w:fill="auto"/>
            <w:noWrap/>
            <w:vAlign w:val="center"/>
            <w:hideMark/>
          </w:tcPr>
          <w:p w14:paraId="6FD71C61"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652925">
              <w:rPr>
                <w:rFonts w:eastAsia="Times New Roman" w:cs="Calibri"/>
                <w:sz w:val="20"/>
              </w:rPr>
              <w:t xml:space="preserve">2 - </w:t>
            </w:r>
            <w:r w:rsidRPr="00652925">
              <w:rPr>
                <w:rFonts w:ascii="SimSun" w:hAnsi="SimSun" w:cs="Calibri" w:hint="eastAsia"/>
                <w:sz w:val="20"/>
              </w:rPr>
              <w:t>无线电通信部门</w:t>
            </w:r>
          </w:p>
        </w:tc>
        <w:tc>
          <w:tcPr>
            <w:tcW w:w="1374" w:type="dxa"/>
            <w:tcBorders>
              <w:top w:val="nil"/>
              <w:left w:val="single" w:sz="4" w:space="0" w:color="0070C0"/>
              <w:bottom w:val="nil"/>
              <w:right w:val="nil"/>
            </w:tcBorders>
            <w:shd w:val="clear" w:color="auto" w:fill="auto"/>
            <w:noWrap/>
            <w:vAlign w:val="center"/>
            <w:hideMark/>
          </w:tcPr>
          <w:p w14:paraId="2A68AA6E"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652925">
              <w:rPr>
                <w:rFonts w:eastAsia="Times New Roman" w:cs="Calibri"/>
                <w:sz w:val="20"/>
              </w:rPr>
              <w:t>53,092</w:t>
            </w:r>
          </w:p>
        </w:tc>
        <w:tc>
          <w:tcPr>
            <w:tcW w:w="1396" w:type="dxa"/>
            <w:tcBorders>
              <w:top w:val="nil"/>
              <w:left w:val="nil"/>
              <w:bottom w:val="nil"/>
              <w:right w:val="nil"/>
            </w:tcBorders>
            <w:shd w:val="clear" w:color="auto" w:fill="auto"/>
            <w:noWrap/>
            <w:vAlign w:val="center"/>
            <w:hideMark/>
          </w:tcPr>
          <w:p w14:paraId="0C5EF4BD"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652925">
              <w:rPr>
                <w:rFonts w:eastAsia="Times New Roman" w:cs="Calibri"/>
                <w:sz w:val="20"/>
              </w:rPr>
              <w:t>59,527</w:t>
            </w:r>
          </w:p>
        </w:tc>
        <w:tc>
          <w:tcPr>
            <w:tcW w:w="1196" w:type="dxa"/>
            <w:tcBorders>
              <w:top w:val="nil"/>
              <w:left w:val="nil"/>
              <w:bottom w:val="nil"/>
              <w:right w:val="nil"/>
            </w:tcBorders>
            <w:shd w:val="clear" w:color="auto" w:fill="auto"/>
            <w:noWrap/>
            <w:vAlign w:val="center"/>
            <w:hideMark/>
          </w:tcPr>
          <w:p w14:paraId="31DFA1AC"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652925">
              <w:rPr>
                <w:rFonts w:eastAsia="Times New Roman" w:cs="Calibri"/>
                <w:color w:val="002060"/>
                <w:sz w:val="20"/>
              </w:rPr>
              <w:t>28,883</w:t>
            </w:r>
          </w:p>
        </w:tc>
        <w:tc>
          <w:tcPr>
            <w:tcW w:w="1396" w:type="dxa"/>
            <w:tcBorders>
              <w:top w:val="nil"/>
              <w:left w:val="nil"/>
              <w:bottom w:val="nil"/>
              <w:right w:val="nil"/>
            </w:tcBorders>
            <w:shd w:val="clear" w:color="auto" w:fill="auto"/>
            <w:noWrap/>
            <w:vAlign w:val="center"/>
            <w:hideMark/>
          </w:tcPr>
          <w:p w14:paraId="6B4A0100"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652925">
              <w:rPr>
                <w:rFonts w:eastAsia="Times New Roman" w:cs="Calibri"/>
                <w:color w:val="002060"/>
                <w:sz w:val="20"/>
              </w:rPr>
              <w:t>32,455</w:t>
            </w:r>
          </w:p>
        </w:tc>
        <w:tc>
          <w:tcPr>
            <w:tcW w:w="1442" w:type="dxa"/>
            <w:tcBorders>
              <w:top w:val="nil"/>
              <w:left w:val="nil"/>
              <w:bottom w:val="nil"/>
              <w:right w:val="nil"/>
            </w:tcBorders>
            <w:shd w:val="clear" w:color="auto" w:fill="auto"/>
            <w:noWrap/>
            <w:vAlign w:val="center"/>
            <w:hideMark/>
          </w:tcPr>
          <w:p w14:paraId="11153BB6"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652925">
              <w:rPr>
                <w:rFonts w:eastAsia="Times New Roman" w:cs="Calibri"/>
                <w:color w:val="002060"/>
                <w:sz w:val="20"/>
              </w:rPr>
              <w:t>61,338</w:t>
            </w:r>
          </w:p>
        </w:tc>
      </w:tr>
      <w:tr w:rsidR="006C2C5E" w:rsidRPr="00652925" w14:paraId="6CC9884F" w14:textId="77777777" w:rsidTr="002F7131">
        <w:trPr>
          <w:trHeight w:val="120"/>
          <w:jc w:val="center"/>
        </w:trPr>
        <w:tc>
          <w:tcPr>
            <w:tcW w:w="3049" w:type="dxa"/>
            <w:tcBorders>
              <w:top w:val="nil"/>
              <w:left w:val="nil"/>
              <w:bottom w:val="nil"/>
              <w:right w:val="nil"/>
            </w:tcBorders>
            <w:shd w:val="clear" w:color="auto" w:fill="auto"/>
            <w:noWrap/>
            <w:vAlign w:val="center"/>
            <w:hideMark/>
          </w:tcPr>
          <w:p w14:paraId="06433994"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74" w:type="dxa"/>
            <w:tcBorders>
              <w:top w:val="nil"/>
              <w:left w:val="single" w:sz="4" w:space="0" w:color="0070C0"/>
              <w:bottom w:val="nil"/>
              <w:right w:val="nil"/>
            </w:tcBorders>
            <w:shd w:val="clear" w:color="auto" w:fill="auto"/>
            <w:noWrap/>
            <w:vAlign w:val="center"/>
            <w:hideMark/>
          </w:tcPr>
          <w:p w14:paraId="5C04A321"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652925">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38F303F4"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96" w:type="dxa"/>
            <w:tcBorders>
              <w:top w:val="nil"/>
              <w:left w:val="nil"/>
              <w:bottom w:val="nil"/>
              <w:right w:val="nil"/>
            </w:tcBorders>
            <w:shd w:val="clear" w:color="auto" w:fill="auto"/>
            <w:noWrap/>
            <w:vAlign w:val="center"/>
            <w:hideMark/>
          </w:tcPr>
          <w:p w14:paraId="5DEB6EBF"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2C047DB0"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42" w:type="dxa"/>
            <w:tcBorders>
              <w:top w:val="nil"/>
              <w:left w:val="nil"/>
              <w:bottom w:val="nil"/>
              <w:right w:val="nil"/>
            </w:tcBorders>
            <w:shd w:val="clear" w:color="auto" w:fill="auto"/>
            <w:noWrap/>
            <w:vAlign w:val="center"/>
            <w:hideMark/>
          </w:tcPr>
          <w:p w14:paraId="43569CC8"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652925" w14:paraId="3C6C7EA8" w14:textId="77777777" w:rsidTr="002F7131">
        <w:trPr>
          <w:trHeight w:val="240"/>
          <w:jc w:val="center"/>
        </w:trPr>
        <w:tc>
          <w:tcPr>
            <w:tcW w:w="3049" w:type="dxa"/>
            <w:tcBorders>
              <w:top w:val="nil"/>
              <w:left w:val="nil"/>
              <w:bottom w:val="nil"/>
              <w:right w:val="nil"/>
            </w:tcBorders>
            <w:shd w:val="clear" w:color="auto" w:fill="auto"/>
            <w:noWrap/>
            <w:vAlign w:val="center"/>
            <w:hideMark/>
          </w:tcPr>
          <w:p w14:paraId="0A7F2EDF"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652925">
              <w:rPr>
                <w:rFonts w:eastAsia="Times New Roman" w:cs="Calibri"/>
                <w:sz w:val="20"/>
              </w:rPr>
              <w:t xml:space="preserve">3 - </w:t>
            </w:r>
            <w:r w:rsidRPr="00652925">
              <w:rPr>
                <w:rFonts w:ascii="SimSun" w:hAnsi="SimSun" w:cs="Calibri" w:hint="eastAsia"/>
                <w:sz w:val="20"/>
              </w:rPr>
              <w:t>电信标准化部门</w:t>
            </w:r>
          </w:p>
        </w:tc>
        <w:tc>
          <w:tcPr>
            <w:tcW w:w="1374" w:type="dxa"/>
            <w:tcBorders>
              <w:top w:val="nil"/>
              <w:left w:val="single" w:sz="4" w:space="0" w:color="0070C0"/>
              <w:bottom w:val="nil"/>
              <w:right w:val="nil"/>
            </w:tcBorders>
            <w:shd w:val="clear" w:color="auto" w:fill="auto"/>
            <w:noWrap/>
            <w:vAlign w:val="center"/>
            <w:hideMark/>
          </w:tcPr>
          <w:p w14:paraId="4C35D157"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652925">
              <w:rPr>
                <w:rFonts w:eastAsia="Times New Roman" w:cs="Calibri"/>
                <w:sz w:val="20"/>
              </w:rPr>
              <w:t>26,699</w:t>
            </w:r>
          </w:p>
        </w:tc>
        <w:tc>
          <w:tcPr>
            <w:tcW w:w="1396" w:type="dxa"/>
            <w:tcBorders>
              <w:top w:val="nil"/>
              <w:left w:val="nil"/>
              <w:bottom w:val="nil"/>
              <w:right w:val="nil"/>
            </w:tcBorders>
            <w:shd w:val="clear" w:color="auto" w:fill="auto"/>
            <w:noWrap/>
            <w:vAlign w:val="center"/>
            <w:hideMark/>
          </w:tcPr>
          <w:p w14:paraId="47ACD683"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652925">
              <w:rPr>
                <w:rFonts w:eastAsia="Times New Roman" w:cs="Calibri"/>
                <w:sz w:val="20"/>
              </w:rPr>
              <w:t>26,983</w:t>
            </w:r>
          </w:p>
        </w:tc>
        <w:tc>
          <w:tcPr>
            <w:tcW w:w="1196" w:type="dxa"/>
            <w:tcBorders>
              <w:top w:val="nil"/>
              <w:left w:val="nil"/>
              <w:bottom w:val="nil"/>
              <w:right w:val="nil"/>
            </w:tcBorders>
            <w:shd w:val="clear" w:color="auto" w:fill="auto"/>
            <w:noWrap/>
            <w:vAlign w:val="center"/>
            <w:hideMark/>
          </w:tcPr>
          <w:p w14:paraId="4CAE4C9C"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652925">
              <w:rPr>
                <w:rFonts w:eastAsia="Times New Roman" w:cs="Calibri"/>
                <w:color w:val="002060"/>
                <w:sz w:val="20"/>
              </w:rPr>
              <w:t>13,894</w:t>
            </w:r>
          </w:p>
        </w:tc>
        <w:tc>
          <w:tcPr>
            <w:tcW w:w="1396" w:type="dxa"/>
            <w:tcBorders>
              <w:top w:val="nil"/>
              <w:left w:val="nil"/>
              <w:bottom w:val="nil"/>
              <w:right w:val="nil"/>
            </w:tcBorders>
            <w:shd w:val="clear" w:color="auto" w:fill="auto"/>
            <w:noWrap/>
            <w:vAlign w:val="center"/>
            <w:hideMark/>
          </w:tcPr>
          <w:p w14:paraId="55BDE186"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652925">
              <w:rPr>
                <w:rFonts w:eastAsia="Times New Roman" w:cs="Calibri"/>
                <w:color w:val="002060"/>
                <w:sz w:val="20"/>
              </w:rPr>
              <w:t>13,195</w:t>
            </w:r>
          </w:p>
        </w:tc>
        <w:tc>
          <w:tcPr>
            <w:tcW w:w="1442" w:type="dxa"/>
            <w:tcBorders>
              <w:top w:val="nil"/>
              <w:left w:val="nil"/>
              <w:bottom w:val="nil"/>
              <w:right w:val="nil"/>
            </w:tcBorders>
            <w:shd w:val="clear" w:color="auto" w:fill="auto"/>
            <w:noWrap/>
            <w:vAlign w:val="center"/>
            <w:hideMark/>
          </w:tcPr>
          <w:p w14:paraId="7081BE40"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652925">
              <w:rPr>
                <w:rFonts w:eastAsia="Times New Roman" w:cs="Calibri"/>
                <w:color w:val="002060"/>
                <w:sz w:val="20"/>
              </w:rPr>
              <w:t>27,089</w:t>
            </w:r>
          </w:p>
        </w:tc>
      </w:tr>
      <w:tr w:rsidR="006C2C5E" w:rsidRPr="00652925" w14:paraId="1F454487" w14:textId="77777777" w:rsidTr="002F7131">
        <w:trPr>
          <w:trHeight w:val="120"/>
          <w:jc w:val="center"/>
        </w:trPr>
        <w:tc>
          <w:tcPr>
            <w:tcW w:w="3049" w:type="dxa"/>
            <w:tcBorders>
              <w:top w:val="nil"/>
              <w:left w:val="nil"/>
              <w:bottom w:val="nil"/>
              <w:right w:val="nil"/>
            </w:tcBorders>
            <w:shd w:val="clear" w:color="auto" w:fill="auto"/>
            <w:noWrap/>
            <w:vAlign w:val="center"/>
            <w:hideMark/>
          </w:tcPr>
          <w:p w14:paraId="2943D1F8"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74" w:type="dxa"/>
            <w:tcBorders>
              <w:top w:val="nil"/>
              <w:left w:val="single" w:sz="4" w:space="0" w:color="0070C0"/>
              <w:bottom w:val="nil"/>
              <w:right w:val="nil"/>
            </w:tcBorders>
            <w:shd w:val="clear" w:color="auto" w:fill="auto"/>
            <w:noWrap/>
            <w:vAlign w:val="center"/>
            <w:hideMark/>
          </w:tcPr>
          <w:p w14:paraId="29DACFE4"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652925">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4A662B87"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96" w:type="dxa"/>
            <w:tcBorders>
              <w:top w:val="nil"/>
              <w:left w:val="nil"/>
              <w:bottom w:val="nil"/>
              <w:right w:val="nil"/>
            </w:tcBorders>
            <w:shd w:val="clear" w:color="auto" w:fill="auto"/>
            <w:noWrap/>
            <w:vAlign w:val="center"/>
            <w:hideMark/>
          </w:tcPr>
          <w:p w14:paraId="4CA0C1BE"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4E357ED9"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42" w:type="dxa"/>
            <w:tcBorders>
              <w:top w:val="nil"/>
              <w:left w:val="nil"/>
              <w:bottom w:val="nil"/>
              <w:right w:val="nil"/>
            </w:tcBorders>
            <w:shd w:val="clear" w:color="auto" w:fill="auto"/>
            <w:noWrap/>
            <w:vAlign w:val="center"/>
            <w:hideMark/>
          </w:tcPr>
          <w:p w14:paraId="75502917"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652925" w14:paraId="00ACAAD4" w14:textId="77777777" w:rsidTr="002F7131">
        <w:trPr>
          <w:trHeight w:val="240"/>
          <w:jc w:val="center"/>
        </w:trPr>
        <w:tc>
          <w:tcPr>
            <w:tcW w:w="3049" w:type="dxa"/>
            <w:tcBorders>
              <w:top w:val="nil"/>
              <w:left w:val="nil"/>
              <w:bottom w:val="nil"/>
              <w:right w:val="nil"/>
            </w:tcBorders>
            <w:shd w:val="clear" w:color="auto" w:fill="auto"/>
            <w:noWrap/>
            <w:vAlign w:val="center"/>
            <w:hideMark/>
          </w:tcPr>
          <w:p w14:paraId="3F62BB8C"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652925">
              <w:rPr>
                <w:rFonts w:eastAsia="Times New Roman" w:cs="Calibri"/>
                <w:sz w:val="20"/>
              </w:rPr>
              <w:t xml:space="preserve">4 - </w:t>
            </w:r>
            <w:r w:rsidRPr="00652925">
              <w:rPr>
                <w:rFonts w:ascii="SimSun" w:hAnsi="SimSun" w:cs="Calibri" w:hint="eastAsia"/>
                <w:sz w:val="20"/>
              </w:rPr>
              <w:t>电信发展部门</w:t>
            </w:r>
          </w:p>
        </w:tc>
        <w:tc>
          <w:tcPr>
            <w:tcW w:w="1374" w:type="dxa"/>
            <w:tcBorders>
              <w:top w:val="nil"/>
              <w:left w:val="single" w:sz="4" w:space="0" w:color="0070C0"/>
              <w:bottom w:val="nil"/>
              <w:right w:val="nil"/>
            </w:tcBorders>
            <w:shd w:val="clear" w:color="auto" w:fill="auto"/>
            <w:noWrap/>
            <w:vAlign w:val="center"/>
            <w:hideMark/>
          </w:tcPr>
          <w:p w14:paraId="49C1AECB"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652925">
              <w:rPr>
                <w:rFonts w:eastAsia="Times New Roman" w:cs="Calibri"/>
                <w:sz w:val="20"/>
              </w:rPr>
              <w:t>54,030</w:t>
            </w:r>
          </w:p>
        </w:tc>
        <w:tc>
          <w:tcPr>
            <w:tcW w:w="1396" w:type="dxa"/>
            <w:tcBorders>
              <w:top w:val="nil"/>
              <w:left w:val="nil"/>
              <w:bottom w:val="nil"/>
              <w:right w:val="nil"/>
            </w:tcBorders>
            <w:shd w:val="clear" w:color="auto" w:fill="auto"/>
            <w:noWrap/>
            <w:vAlign w:val="center"/>
            <w:hideMark/>
          </w:tcPr>
          <w:p w14:paraId="265B7FC8"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652925">
              <w:rPr>
                <w:rFonts w:eastAsia="Times New Roman" w:cs="Calibri"/>
                <w:sz w:val="20"/>
              </w:rPr>
              <w:t>60,960</w:t>
            </w:r>
          </w:p>
        </w:tc>
        <w:tc>
          <w:tcPr>
            <w:tcW w:w="1196" w:type="dxa"/>
            <w:tcBorders>
              <w:top w:val="nil"/>
              <w:left w:val="nil"/>
              <w:bottom w:val="nil"/>
              <w:right w:val="nil"/>
            </w:tcBorders>
            <w:shd w:val="clear" w:color="auto" w:fill="auto"/>
            <w:noWrap/>
            <w:vAlign w:val="center"/>
            <w:hideMark/>
          </w:tcPr>
          <w:p w14:paraId="1F41F3ED"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652925">
              <w:rPr>
                <w:rFonts w:eastAsia="Times New Roman" w:cs="Calibri"/>
                <w:color w:val="002060"/>
                <w:sz w:val="20"/>
              </w:rPr>
              <w:t>27,368</w:t>
            </w:r>
          </w:p>
        </w:tc>
        <w:tc>
          <w:tcPr>
            <w:tcW w:w="1396" w:type="dxa"/>
            <w:tcBorders>
              <w:top w:val="nil"/>
              <w:left w:val="nil"/>
              <w:bottom w:val="nil"/>
              <w:right w:val="nil"/>
            </w:tcBorders>
            <w:shd w:val="clear" w:color="auto" w:fill="auto"/>
            <w:noWrap/>
            <w:vAlign w:val="center"/>
            <w:hideMark/>
          </w:tcPr>
          <w:p w14:paraId="40377D86"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652925">
              <w:rPr>
                <w:rFonts w:eastAsia="Times New Roman" w:cs="Calibri"/>
                <w:color w:val="002060"/>
                <w:sz w:val="20"/>
              </w:rPr>
              <w:t>27,237</w:t>
            </w:r>
          </w:p>
        </w:tc>
        <w:tc>
          <w:tcPr>
            <w:tcW w:w="1442" w:type="dxa"/>
            <w:tcBorders>
              <w:top w:val="nil"/>
              <w:left w:val="nil"/>
              <w:bottom w:val="nil"/>
              <w:right w:val="nil"/>
            </w:tcBorders>
            <w:shd w:val="clear" w:color="auto" w:fill="auto"/>
            <w:noWrap/>
            <w:vAlign w:val="center"/>
            <w:hideMark/>
          </w:tcPr>
          <w:p w14:paraId="2BD760E3"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652925">
              <w:rPr>
                <w:rFonts w:eastAsia="Times New Roman" w:cs="Calibri"/>
                <w:color w:val="002060"/>
                <w:sz w:val="20"/>
              </w:rPr>
              <w:t>54,605</w:t>
            </w:r>
          </w:p>
        </w:tc>
      </w:tr>
      <w:tr w:rsidR="006C2C5E" w:rsidRPr="00652925" w14:paraId="7FD975C5" w14:textId="77777777" w:rsidTr="002F7131">
        <w:trPr>
          <w:trHeight w:val="102"/>
          <w:jc w:val="center"/>
        </w:trPr>
        <w:tc>
          <w:tcPr>
            <w:tcW w:w="3049" w:type="dxa"/>
            <w:tcBorders>
              <w:top w:val="nil"/>
              <w:left w:val="nil"/>
              <w:bottom w:val="nil"/>
              <w:right w:val="nil"/>
            </w:tcBorders>
            <w:shd w:val="clear" w:color="auto" w:fill="auto"/>
            <w:noWrap/>
            <w:vAlign w:val="center"/>
            <w:hideMark/>
          </w:tcPr>
          <w:p w14:paraId="7B2229A1"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74" w:type="dxa"/>
            <w:tcBorders>
              <w:top w:val="nil"/>
              <w:left w:val="single" w:sz="4" w:space="0" w:color="0070C0"/>
              <w:bottom w:val="nil"/>
              <w:right w:val="nil"/>
            </w:tcBorders>
            <w:shd w:val="clear" w:color="auto" w:fill="auto"/>
            <w:noWrap/>
            <w:vAlign w:val="center"/>
            <w:hideMark/>
          </w:tcPr>
          <w:p w14:paraId="68A4028B"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652925">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77027A04"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96" w:type="dxa"/>
            <w:tcBorders>
              <w:top w:val="nil"/>
              <w:left w:val="nil"/>
              <w:bottom w:val="nil"/>
              <w:right w:val="nil"/>
            </w:tcBorders>
            <w:shd w:val="clear" w:color="auto" w:fill="auto"/>
            <w:noWrap/>
            <w:vAlign w:val="center"/>
            <w:hideMark/>
          </w:tcPr>
          <w:p w14:paraId="350FDE65"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3CD394BF"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42" w:type="dxa"/>
            <w:tcBorders>
              <w:top w:val="nil"/>
              <w:left w:val="nil"/>
              <w:bottom w:val="nil"/>
              <w:right w:val="nil"/>
            </w:tcBorders>
            <w:shd w:val="clear" w:color="auto" w:fill="auto"/>
            <w:noWrap/>
            <w:vAlign w:val="center"/>
            <w:hideMark/>
          </w:tcPr>
          <w:p w14:paraId="1BFE24E0"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652925" w14:paraId="0D0987E4" w14:textId="77777777" w:rsidTr="002F7131">
        <w:trPr>
          <w:trHeight w:val="240"/>
          <w:jc w:val="center"/>
        </w:trPr>
        <w:tc>
          <w:tcPr>
            <w:tcW w:w="3049" w:type="dxa"/>
            <w:tcBorders>
              <w:top w:val="nil"/>
              <w:left w:val="nil"/>
              <w:bottom w:val="nil"/>
              <w:right w:val="nil"/>
            </w:tcBorders>
            <w:shd w:val="clear" w:color="auto" w:fill="auto"/>
            <w:noWrap/>
            <w:vAlign w:val="center"/>
            <w:hideMark/>
          </w:tcPr>
          <w:p w14:paraId="548802F2"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652925">
              <w:rPr>
                <w:rFonts w:eastAsia="Times New Roman" w:cs="Calibri"/>
                <w:sz w:val="20"/>
              </w:rPr>
              <w:t>5 - COVID-19</w:t>
            </w:r>
            <w:r>
              <w:rPr>
                <w:rFonts w:ascii="SimSun" w:hAnsi="SimSun" w:cs="SimSun" w:hint="eastAsia"/>
                <w:sz w:val="20"/>
              </w:rPr>
              <w:t>危机管理</w:t>
            </w:r>
          </w:p>
        </w:tc>
        <w:tc>
          <w:tcPr>
            <w:tcW w:w="1374" w:type="dxa"/>
            <w:tcBorders>
              <w:top w:val="nil"/>
              <w:left w:val="single" w:sz="4" w:space="0" w:color="0070C0"/>
              <w:bottom w:val="nil"/>
              <w:right w:val="nil"/>
            </w:tcBorders>
            <w:shd w:val="clear" w:color="auto" w:fill="auto"/>
            <w:noWrap/>
            <w:vAlign w:val="center"/>
            <w:hideMark/>
          </w:tcPr>
          <w:p w14:paraId="00E5EBD7"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652925">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0F953621"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96" w:type="dxa"/>
            <w:tcBorders>
              <w:top w:val="nil"/>
              <w:left w:val="nil"/>
              <w:bottom w:val="nil"/>
              <w:right w:val="nil"/>
            </w:tcBorders>
            <w:shd w:val="clear" w:color="auto" w:fill="auto"/>
            <w:noWrap/>
            <w:vAlign w:val="center"/>
            <w:hideMark/>
          </w:tcPr>
          <w:p w14:paraId="6A4A4B1B"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652925">
              <w:rPr>
                <w:rFonts w:eastAsia="Times New Roman" w:cs="Calibri"/>
                <w:color w:val="002060"/>
                <w:sz w:val="20"/>
              </w:rPr>
              <w:t>420</w:t>
            </w:r>
          </w:p>
        </w:tc>
        <w:tc>
          <w:tcPr>
            <w:tcW w:w="1396" w:type="dxa"/>
            <w:tcBorders>
              <w:top w:val="nil"/>
              <w:left w:val="nil"/>
              <w:bottom w:val="nil"/>
              <w:right w:val="nil"/>
            </w:tcBorders>
            <w:shd w:val="clear" w:color="auto" w:fill="auto"/>
            <w:noWrap/>
            <w:vAlign w:val="center"/>
            <w:hideMark/>
          </w:tcPr>
          <w:p w14:paraId="3F303C37"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652925">
              <w:rPr>
                <w:rFonts w:eastAsia="Times New Roman" w:cs="Calibri"/>
                <w:color w:val="002060"/>
                <w:sz w:val="20"/>
              </w:rPr>
              <w:t>420</w:t>
            </w:r>
          </w:p>
        </w:tc>
        <w:tc>
          <w:tcPr>
            <w:tcW w:w="1442" w:type="dxa"/>
            <w:tcBorders>
              <w:top w:val="nil"/>
              <w:left w:val="nil"/>
              <w:bottom w:val="nil"/>
              <w:right w:val="nil"/>
            </w:tcBorders>
            <w:shd w:val="clear" w:color="auto" w:fill="auto"/>
            <w:noWrap/>
            <w:vAlign w:val="center"/>
            <w:hideMark/>
          </w:tcPr>
          <w:p w14:paraId="3882CD44"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652925">
              <w:rPr>
                <w:rFonts w:eastAsia="Times New Roman" w:cs="Calibri"/>
                <w:color w:val="002060"/>
                <w:sz w:val="20"/>
              </w:rPr>
              <w:t>840</w:t>
            </w:r>
          </w:p>
        </w:tc>
      </w:tr>
      <w:tr w:rsidR="006C2C5E" w:rsidRPr="00652925" w14:paraId="6BF5AAC0" w14:textId="77777777" w:rsidTr="002F7131">
        <w:trPr>
          <w:trHeight w:val="102"/>
          <w:jc w:val="center"/>
        </w:trPr>
        <w:tc>
          <w:tcPr>
            <w:tcW w:w="3049" w:type="dxa"/>
            <w:tcBorders>
              <w:top w:val="nil"/>
              <w:left w:val="nil"/>
              <w:bottom w:val="nil"/>
              <w:right w:val="nil"/>
            </w:tcBorders>
            <w:shd w:val="clear" w:color="auto" w:fill="auto"/>
            <w:noWrap/>
            <w:vAlign w:val="center"/>
            <w:hideMark/>
          </w:tcPr>
          <w:p w14:paraId="41AEF5AB"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74" w:type="dxa"/>
            <w:tcBorders>
              <w:top w:val="nil"/>
              <w:left w:val="single" w:sz="4" w:space="0" w:color="0070C0"/>
              <w:bottom w:val="nil"/>
              <w:right w:val="nil"/>
            </w:tcBorders>
            <w:shd w:val="clear" w:color="auto" w:fill="auto"/>
            <w:noWrap/>
            <w:vAlign w:val="center"/>
            <w:hideMark/>
          </w:tcPr>
          <w:p w14:paraId="701371AB"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652925">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34FC9114"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96" w:type="dxa"/>
            <w:tcBorders>
              <w:top w:val="nil"/>
              <w:left w:val="nil"/>
              <w:bottom w:val="nil"/>
              <w:right w:val="nil"/>
            </w:tcBorders>
            <w:shd w:val="clear" w:color="auto" w:fill="auto"/>
            <w:noWrap/>
            <w:vAlign w:val="center"/>
            <w:hideMark/>
          </w:tcPr>
          <w:p w14:paraId="58566BBB"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066FB902"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42" w:type="dxa"/>
            <w:tcBorders>
              <w:top w:val="nil"/>
              <w:left w:val="nil"/>
              <w:bottom w:val="nil"/>
              <w:right w:val="nil"/>
            </w:tcBorders>
            <w:shd w:val="clear" w:color="auto" w:fill="auto"/>
            <w:noWrap/>
            <w:vAlign w:val="center"/>
            <w:hideMark/>
          </w:tcPr>
          <w:p w14:paraId="07192D90"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652925" w14:paraId="083FCDA9" w14:textId="77777777" w:rsidTr="002F7131">
        <w:trPr>
          <w:trHeight w:val="240"/>
          <w:jc w:val="center"/>
        </w:trPr>
        <w:tc>
          <w:tcPr>
            <w:tcW w:w="3049" w:type="dxa"/>
            <w:tcBorders>
              <w:top w:val="nil"/>
              <w:left w:val="nil"/>
              <w:bottom w:val="nil"/>
              <w:right w:val="nil"/>
            </w:tcBorders>
            <w:shd w:val="clear" w:color="auto" w:fill="auto"/>
            <w:noWrap/>
            <w:vAlign w:val="center"/>
            <w:hideMark/>
          </w:tcPr>
          <w:p w14:paraId="4AA485DB"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652925">
              <w:rPr>
                <w:rFonts w:eastAsia="Times New Roman" w:cs="Calibri"/>
                <w:sz w:val="20"/>
              </w:rPr>
              <w:t xml:space="preserve">6 - </w:t>
            </w:r>
            <w:r>
              <w:rPr>
                <w:rFonts w:ascii="SimSun" w:hAnsi="SimSun" w:cs="SimSun" w:hint="eastAsia"/>
                <w:sz w:val="20"/>
              </w:rPr>
              <w:t>预算中未预见的费用</w:t>
            </w:r>
          </w:p>
        </w:tc>
        <w:tc>
          <w:tcPr>
            <w:tcW w:w="1374" w:type="dxa"/>
            <w:tcBorders>
              <w:top w:val="nil"/>
              <w:left w:val="single" w:sz="4" w:space="0" w:color="0070C0"/>
              <w:bottom w:val="nil"/>
              <w:right w:val="nil"/>
            </w:tcBorders>
            <w:shd w:val="clear" w:color="auto" w:fill="auto"/>
            <w:noWrap/>
            <w:vAlign w:val="center"/>
            <w:hideMark/>
          </w:tcPr>
          <w:p w14:paraId="24AFF103"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652925">
              <w:rPr>
                <w:rFonts w:eastAsia="Times New Roman" w:cs="Calibri"/>
                <w:sz w:val="20"/>
              </w:rPr>
              <w:t>4,882</w:t>
            </w:r>
          </w:p>
        </w:tc>
        <w:tc>
          <w:tcPr>
            <w:tcW w:w="1396" w:type="dxa"/>
            <w:tcBorders>
              <w:top w:val="nil"/>
              <w:left w:val="nil"/>
              <w:bottom w:val="nil"/>
              <w:right w:val="nil"/>
            </w:tcBorders>
            <w:shd w:val="clear" w:color="auto" w:fill="auto"/>
            <w:noWrap/>
            <w:vAlign w:val="center"/>
            <w:hideMark/>
          </w:tcPr>
          <w:p w14:paraId="0CBDBA63"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96" w:type="dxa"/>
            <w:tcBorders>
              <w:top w:val="nil"/>
              <w:left w:val="nil"/>
              <w:bottom w:val="nil"/>
              <w:right w:val="nil"/>
            </w:tcBorders>
            <w:shd w:val="clear" w:color="auto" w:fill="auto"/>
            <w:noWrap/>
            <w:vAlign w:val="center"/>
            <w:hideMark/>
          </w:tcPr>
          <w:p w14:paraId="65A42794"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658F3AC5"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42" w:type="dxa"/>
            <w:tcBorders>
              <w:top w:val="nil"/>
              <w:left w:val="nil"/>
              <w:bottom w:val="nil"/>
              <w:right w:val="nil"/>
            </w:tcBorders>
            <w:shd w:val="clear" w:color="auto" w:fill="auto"/>
            <w:noWrap/>
            <w:vAlign w:val="center"/>
            <w:hideMark/>
          </w:tcPr>
          <w:p w14:paraId="42CE87E2"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652925">
              <w:rPr>
                <w:rFonts w:eastAsia="Times New Roman" w:cs="Calibri"/>
                <w:color w:val="002060"/>
                <w:sz w:val="20"/>
              </w:rPr>
              <w:t>0</w:t>
            </w:r>
          </w:p>
        </w:tc>
      </w:tr>
      <w:tr w:rsidR="006C2C5E" w:rsidRPr="00652925" w14:paraId="3395222E" w14:textId="77777777" w:rsidTr="002F7131">
        <w:trPr>
          <w:trHeight w:val="240"/>
          <w:jc w:val="center"/>
        </w:trPr>
        <w:tc>
          <w:tcPr>
            <w:tcW w:w="3049" w:type="dxa"/>
            <w:tcBorders>
              <w:top w:val="nil"/>
              <w:left w:val="nil"/>
              <w:bottom w:val="single" w:sz="4" w:space="0" w:color="auto"/>
              <w:right w:val="nil"/>
            </w:tcBorders>
            <w:shd w:val="clear" w:color="auto" w:fill="auto"/>
            <w:noWrap/>
            <w:vAlign w:val="center"/>
            <w:hideMark/>
          </w:tcPr>
          <w:p w14:paraId="12C176BB"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33CC"/>
                <w:sz w:val="20"/>
              </w:rPr>
            </w:pPr>
            <w:r w:rsidRPr="00652925">
              <w:rPr>
                <w:rFonts w:eastAsia="Times New Roman" w:cs="Calibri"/>
                <w:b/>
                <w:bCs/>
                <w:color w:val="0033CC"/>
                <w:sz w:val="20"/>
              </w:rPr>
              <w:t> </w:t>
            </w:r>
          </w:p>
        </w:tc>
        <w:tc>
          <w:tcPr>
            <w:tcW w:w="1374" w:type="dxa"/>
            <w:tcBorders>
              <w:top w:val="nil"/>
              <w:left w:val="single" w:sz="4" w:space="0" w:color="0070C0"/>
              <w:bottom w:val="single" w:sz="4" w:space="0" w:color="auto"/>
              <w:right w:val="nil"/>
            </w:tcBorders>
            <w:shd w:val="clear" w:color="auto" w:fill="auto"/>
            <w:noWrap/>
            <w:vAlign w:val="center"/>
            <w:hideMark/>
          </w:tcPr>
          <w:p w14:paraId="22F4AF77"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33CC"/>
                <w:sz w:val="20"/>
              </w:rPr>
            </w:pPr>
            <w:r w:rsidRPr="00652925">
              <w:rPr>
                <w:rFonts w:eastAsia="Times New Roman" w:cs="Calibri"/>
                <w:b/>
                <w:bCs/>
                <w:color w:val="0033CC"/>
                <w:sz w:val="20"/>
              </w:rPr>
              <w:t> </w:t>
            </w:r>
          </w:p>
        </w:tc>
        <w:tc>
          <w:tcPr>
            <w:tcW w:w="1396" w:type="dxa"/>
            <w:tcBorders>
              <w:top w:val="nil"/>
              <w:left w:val="nil"/>
              <w:bottom w:val="single" w:sz="4" w:space="0" w:color="auto"/>
              <w:right w:val="nil"/>
            </w:tcBorders>
            <w:shd w:val="clear" w:color="auto" w:fill="auto"/>
            <w:noWrap/>
            <w:vAlign w:val="center"/>
            <w:hideMark/>
          </w:tcPr>
          <w:p w14:paraId="1FFC1F4E"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33CC"/>
                <w:sz w:val="20"/>
              </w:rPr>
            </w:pPr>
            <w:r w:rsidRPr="00652925">
              <w:rPr>
                <w:rFonts w:eastAsia="Times New Roman" w:cs="Calibri"/>
                <w:b/>
                <w:bCs/>
                <w:color w:val="0033CC"/>
                <w:sz w:val="20"/>
              </w:rPr>
              <w:t> </w:t>
            </w:r>
          </w:p>
        </w:tc>
        <w:tc>
          <w:tcPr>
            <w:tcW w:w="1196" w:type="dxa"/>
            <w:tcBorders>
              <w:top w:val="nil"/>
              <w:left w:val="nil"/>
              <w:bottom w:val="single" w:sz="4" w:space="0" w:color="auto"/>
              <w:right w:val="nil"/>
            </w:tcBorders>
            <w:shd w:val="clear" w:color="auto" w:fill="auto"/>
            <w:noWrap/>
            <w:vAlign w:val="center"/>
            <w:hideMark/>
          </w:tcPr>
          <w:p w14:paraId="2649BA38"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652925">
              <w:rPr>
                <w:rFonts w:eastAsia="Times New Roman" w:cs="Calibri"/>
                <w:b/>
                <w:bCs/>
                <w:color w:val="002060"/>
                <w:sz w:val="20"/>
              </w:rPr>
              <w:t> </w:t>
            </w:r>
          </w:p>
        </w:tc>
        <w:tc>
          <w:tcPr>
            <w:tcW w:w="1396" w:type="dxa"/>
            <w:tcBorders>
              <w:top w:val="nil"/>
              <w:left w:val="nil"/>
              <w:bottom w:val="single" w:sz="4" w:space="0" w:color="auto"/>
              <w:right w:val="nil"/>
            </w:tcBorders>
            <w:shd w:val="clear" w:color="auto" w:fill="auto"/>
            <w:noWrap/>
            <w:vAlign w:val="center"/>
            <w:hideMark/>
          </w:tcPr>
          <w:p w14:paraId="7579C9BC"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652925">
              <w:rPr>
                <w:rFonts w:eastAsia="Times New Roman" w:cs="Calibri"/>
                <w:b/>
                <w:bCs/>
                <w:color w:val="002060"/>
                <w:sz w:val="20"/>
              </w:rPr>
              <w:t> </w:t>
            </w:r>
          </w:p>
        </w:tc>
        <w:tc>
          <w:tcPr>
            <w:tcW w:w="1442" w:type="dxa"/>
            <w:tcBorders>
              <w:top w:val="nil"/>
              <w:left w:val="nil"/>
              <w:bottom w:val="single" w:sz="4" w:space="0" w:color="auto"/>
              <w:right w:val="nil"/>
            </w:tcBorders>
            <w:shd w:val="clear" w:color="auto" w:fill="auto"/>
            <w:noWrap/>
            <w:vAlign w:val="center"/>
            <w:hideMark/>
          </w:tcPr>
          <w:p w14:paraId="5C3D37DE"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652925">
              <w:rPr>
                <w:rFonts w:eastAsia="Times New Roman" w:cs="Calibri"/>
                <w:b/>
                <w:bCs/>
                <w:color w:val="002060"/>
                <w:sz w:val="20"/>
              </w:rPr>
              <w:t> </w:t>
            </w:r>
          </w:p>
        </w:tc>
      </w:tr>
      <w:tr w:rsidR="006C2C5E" w:rsidRPr="00652925" w14:paraId="65440A1B" w14:textId="77777777" w:rsidTr="002F7131">
        <w:trPr>
          <w:trHeight w:val="120"/>
          <w:jc w:val="center"/>
        </w:trPr>
        <w:tc>
          <w:tcPr>
            <w:tcW w:w="3049" w:type="dxa"/>
            <w:tcBorders>
              <w:top w:val="nil"/>
              <w:left w:val="nil"/>
              <w:bottom w:val="nil"/>
              <w:right w:val="nil"/>
            </w:tcBorders>
            <w:shd w:val="clear" w:color="auto" w:fill="auto"/>
            <w:noWrap/>
            <w:vAlign w:val="center"/>
            <w:hideMark/>
          </w:tcPr>
          <w:p w14:paraId="7B4D1314"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74" w:type="dxa"/>
            <w:tcBorders>
              <w:top w:val="nil"/>
              <w:left w:val="single" w:sz="4" w:space="0" w:color="0070C0"/>
              <w:bottom w:val="nil"/>
              <w:right w:val="nil"/>
            </w:tcBorders>
            <w:shd w:val="clear" w:color="auto" w:fill="auto"/>
            <w:noWrap/>
            <w:vAlign w:val="center"/>
            <w:hideMark/>
          </w:tcPr>
          <w:p w14:paraId="56E1D456"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33CC"/>
                <w:sz w:val="20"/>
              </w:rPr>
            </w:pPr>
            <w:r w:rsidRPr="00652925">
              <w:rPr>
                <w:rFonts w:eastAsia="Times New Roman" w:cs="Calibri"/>
                <w:b/>
                <w:bCs/>
                <w:color w:val="0033CC"/>
                <w:sz w:val="20"/>
              </w:rPr>
              <w:t> </w:t>
            </w:r>
          </w:p>
        </w:tc>
        <w:tc>
          <w:tcPr>
            <w:tcW w:w="1396" w:type="dxa"/>
            <w:tcBorders>
              <w:top w:val="nil"/>
              <w:left w:val="nil"/>
              <w:bottom w:val="nil"/>
              <w:right w:val="nil"/>
            </w:tcBorders>
            <w:shd w:val="clear" w:color="auto" w:fill="auto"/>
            <w:noWrap/>
            <w:vAlign w:val="center"/>
            <w:hideMark/>
          </w:tcPr>
          <w:p w14:paraId="309BBAA3"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33CC"/>
                <w:sz w:val="20"/>
              </w:rPr>
            </w:pPr>
          </w:p>
        </w:tc>
        <w:tc>
          <w:tcPr>
            <w:tcW w:w="1196" w:type="dxa"/>
            <w:tcBorders>
              <w:top w:val="nil"/>
              <w:left w:val="nil"/>
              <w:bottom w:val="nil"/>
              <w:right w:val="nil"/>
            </w:tcBorders>
            <w:shd w:val="clear" w:color="auto" w:fill="auto"/>
            <w:noWrap/>
            <w:vAlign w:val="center"/>
            <w:hideMark/>
          </w:tcPr>
          <w:p w14:paraId="6153DF6C"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69AF14C3"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42" w:type="dxa"/>
            <w:tcBorders>
              <w:top w:val="nil"/>
              <w:left w:val="nil"/>
              <w:bottom w:val="nil"/>
              <w:right w:val="nil"/>
            </w:tcBorders>
            <w:shd w:val="clear" w:color="auto" w:fill="auto"/>
            <w:noWrap/>
            <w:vAlign w:val="center"/>
            <w:hideMark/>
          </w:tcPr>
          <w:p w14:paraId="7CBC7792"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652925" w14:paraId="4080E941" w14:textId="77777777" w:rsidTr="002F7131">
        <w:trPr>
          <w:trHeight w:val="240"/>
          <w:jc w:val="center"/>
        </w:trPr>
        <w:tc>
          <w:tcPr>
            <w:tcW w:w="3049" w:type="dxa"/>
            <w:tcBorders>
              <w:top w:val="nil"/>
              <w:left w:val="nil"/>
              <w:bottom w:val="nil"/>
              <w:right w:val="nil"/>
            </w:tcBorders>
            <w:shd w:val="clear" w:color="auto" w:fill="auto"/>
            <w:noWrap/>
            <w:vAlign w:val="center"/>
            <w:hideMark/>
          </w:tcPr>
          <w:p w14:paraId="7E44A790"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ascii="SimSun" w:hAnsi="SimSun"/>
                <w:b/>
                <w:bCs/>
                <w:sz w:val="20"/>
              </w:rPr>
            </w:pPr>
            <w:r w:rsidRPr="00652925">
              <w:rPr>
                <w:rFonts w:ascii="SimSun" w:hAnsi="SimSun" w:hint="eastAsia"/>
                <w:b/>
                <w:bCs/>
                <w:sz w:val="20"/>
              </w:rPr>
              <w:t>合计</w:t>
            </w:r>
          </w:p>
        </w:tc>
        <w:tc>
          <w:tcPr>
            <w:tcW w:w="1374" w:type="dxa"/>
            <w:tcBorders>
              <w:top w:val="nil"/>
              <w:left w:val="single" w:sz="4" w:space="0" w:color="0070C0"/>
              <w:bottom w:val="nil"/>
              <w:right w:val="nil"/>
            </w:tcBorders>
            <w:shd w:val="clear" w:color="auto" w:fill="auto"/>
            <w:noWrap/>
            <w:vAlign w:val="center"/>
            <w:hideMark/>
          </w:tcPr>
          <w:p w14:paraId="2ADD45E3"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652925">
              <w:rPr>
                <w:rFonts w:eastAsia="Times New Roman" w:cs="Calibri"/>
                <w:b/>
                <w:bCs/>
                <w:sz w:val="20"/>
              </w:rPr>
              <w:t>304,753</w:t>
            </w:r>
          </w:p>
        </w:tc>
        <w:tc>
          <w:tcPr>
            <w:tcW w:w="1396" w:type="dxa"/>
            <w:tcBorders>
              <w:top w:val="nil"/>
              <w:left w:val="nil"/>
              <w:bottom w:val="nil"/>
              <w:right w:val="nil"/>
            </w:tcBorders>
            <w:shd w:val="clear" w:color="auto" w:fill="auto"/>
            <w:noWrap/>
            <w:vAlign w:val="center"/>
            <w:hideMark/>
          </w:tcPr>
          <w:p w14:paraId="05CED1A3"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652925">
              <w:rPr>
                <w:rFonts w:eastAsia="Times New Roman" w:cs="Calibri"/>
                <w:b/>
                <w:bCs/>
                <w:sz w:val="20"/>
              </w:rPr>
              <w:t>330,544</w:t>
            </w:r>
          </w:p>
        </w:tc>
        <w:tc>
          <w:tcPr>
            <w:tcW w:w="1196" w:type="dxa"/>
            <w:tcBorders>
              <w:top w:val="nil"/>
              <w:left w:val="nil"/>
              <w:bottom w:val="nil"/>
              <w:right w:val="nil"/>
            </w:tcBorders>
            <w:shd w:val="clear" w:color="auto" w:fill="auto"/>
            <w:noWrap/>
            <w:vAlign w:val="center"/>
            <w:hideMark/>
          </w:tcPr>
          <w:p w14:paraId="6A4D0838"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652925">
              <w:rPr>
                <w:rFonts w:eastAsia="Times New Roman" w:cs="Calibri"/>
                <w:b/>
                <w:bCs/>
                <w:color w:val="002060"/>
                <w:sz w:val="20"/>
              </w:rPr>
              <w:t>161,961</w:t>
            </w:r>
          </w:p>
        </w:tc>
        <w:tc>
          <w:tcPr>
            <w:tcW w:w="1396" w:type="dxa"/>
            <w:tcBorders>
              <w:top w:val="nil"/>
              <w:left w:val="nil"/>
              <w:bottom w:val="nil"/>
              <w:right w:val="nil"/>
            </w:tcBorders>
            <w:shd w:val="clear" w:color="auto" w:fill="auto"/>
            <w:noWrap/>
            <w:vAlign w:val="center"/>
            <w:hideMark/>
          </w:tcPr>
          <w:p w14:paraId="28413A6A"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652925">
              <w:rPr>
                <w:rFonts w:eastAsia="Times New Roman" w:cs="Calibri"/>
                <w:b/>
                <w:bCs/>
                <w:color w:val="002060"/>
                <w:sz w:val="20"/>
              </w:rPr>
              <w:t>163,194</w:t>
            </w:r>
          </w:p>
        </w:tc>
        <w:tc>
          <w:tcPr>
            <w:tcW w:w="1442" w:type="dxa"/>
            <w:tcBorders>
              <w:top w:val="nil"/>
              <w:left w:val="nil"/>
              <w:bottom w:val="nil"/>
              <w:right w:val="nil"/>
            </w:tcBorders>
            <w:shd w:val="clear" w:color="auto" w:fill="auto"/>
            <w:noWrap/>
            <w:vAlign w:val="center"/>
            <w:hideMark/>
          </w:tcPr>
          <w:p w14:paraId="696AC7D3"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652925">
              <w:rPr>
                <w:rFonts w:eastAsia="Times New Roman" w:cs="Calibri"/>
                <w:b/>
                <w:bCs/>
                <w:color w:val="002060"/>
                <w:sz w:val="20"/>
              </w:rPr>
              <w:t>325,155</w:t>
            </w:r>
          </w:p>
        </w:tc>
      </w:tr>
    </w:tbl>
    <w:p w14:paraId="72A94B81" w14:textId="5CEB4E9C" w:rsidR="006C2C5E" w:rsidRDefault="006C2C5E" w:rsidP="0090191E">
      <w:pPr>
        <w:pStyle w:val="Normalaftertitle"/>
        <w:rPr>
          <w:lang w:eastAsia="zh-CN"/>
        </w:rPr>
      </w:pPr>
      <w:r>
        <w:rPr>
          <w:lang w:eastAsia="zh-CN"/>
        </w:rPr>
        <w:br w:type="page"/>
      </w:r>
    </w:p>
    <w:tbl>
      <w:tblPr>
        <w:tblW w:w="4874" w:type="pct"/>
        <w:tblLook w:val="04A0" w:firstRow="1" w:lastRow="0" w:firstColumn="1" w:lastColumn="0" w:noHBand="0" w:noVBand="1"/>
      </w:tblPr>
      <w:tblGrid>
        <w:gridCol w:w="5941"/>
        <w:gridCol w:w="1609"/>
        <w:gridCol w:w="1758"/>
        <w:gridCol w:w="1758"/>
        <w:gridCol w:w="1607"/>
        <w:gridCol w:w="1249"/>
      </w:tblGrid>
      <w:tr w:rsidR="006C2C5E" w:rsidRPr="00197E94" w14:paraId="20214F00" w14:textId="77777777" w:rsidTr="002F7131">
        <w:trPr>
          <w:trHeight w:val="170"/>
        </w:trPr>
        <w:tc>
          <w:tcPr>
            <w:tcW w:w="5807" w:type="dxa"/>
            <w:tcBorders>
              <w:top w:val="nil"/>
              <w:left w:val="nil"/>
              <w:bottom w:val="nil"/>
              <w:right w:val="nil"/>
            </w:tcBorders>
            <w:shd w:val="clear" w:color="auto" w:fill="auto"/>
            <w:noWrap/>
            <w:vAlign w:val="center"/>
            <w:hideMark/>
          </w:tcPr>
          <w:p w14:paraId="5D70087A" w14:textId="77777777" w:rsidR="006C2C5E" w:rsidRPr="004B0134"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34"/>
                <w:szCs w:val="34"/>
              </w:rPr>
            </w:pPr>
            <w:r w:rsidRPr="004B0134">
              <w:rPr>
                <w:rFonts w:ascii="SimSun" w:hAnsi="SimSun" w:cs="Calibri" w:hint="eastAsia"/>
                <w:b/>
                <w:bCs/>
                <w:color w:val="002060"/>
                <w:sz w:val="34"/>
                <w:szCs w:val="34"/>
              </w:rPr>
              <w:lastRenderedPageBreak/>
              <w:t>表</w:t>
            </w:r>
            <w:r w:rsidRPr="004B0134">
              <w:rPr>
                <w:rFonts w:eastAsia="Times New Roman" w:cs="Calibri"/>
                <w:b/>
                <w:bCs/>
                <w:color w:val="002060"/>
                <w:sz w:val="34"/>
                <w:szCs w:val="34"/>
              </w:rPr>
              <w:t>2</w:t>
            </w:r>
          </w:p>
        </w:tc>
        <w:tc>
          <w:tcPr>
            <w:tcW w:w="7801" w:type="dxa"/>
            <w:gridSpan w:val="5"/>
            <w:tcBorders>
              <w:top w:val="nil"/>
              <w:left w:val="nil"/>
              <w:bottom w:val="nil"/>
              <w:right w:val="nil"/>
            </w:tcBorders>
            <w:shd w:val="clear" w:color="auto" w:fill="auto"/>
            <w:noWrap/>
            <w:vAlign w:val="center"/>
            <w:hideMark/>
          </w:tcPr>
          <w:p w14:paraId="2E020FB5" w14:textId="77777777" w:rsidR="006C2C5E" w:rsidRPr="00197E94"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197E94">
              <w:rPr>
                <w:rFonts w:ascii="STKaiti" w:eastAsia="STKaiti" w:hAnsi="STKaiti" w:hint="eastAsia"/>
                <w:color w:val="002060"/>
                <w:sz w:val="18"/>
                <w:szCs w:val="18"/>
              </w:rPr>
              <w:t>单位：千瑞郎</w:t>
            </w:r>
          </w:p>
        </w:tc>
      </w:tr>
      <w:tr w:rsidR="006C2C5E" w:rsidRPr="00197E94" w14:paraId="20012D40" w14:textId="77777777" w:rsidTr="002F7131">
        <w:trPr>
          <w:trHeight w:val="170"/>
        </w:trPr>
        <w:tc>
          <w:tcPr>
            <w:tcW w:w="5807" w:type="dxa"/>
            <w:tcBorders>
              <w:top w:val="nil"/>
              <w:left w:val="nil"/>
              <w:bottom w:val="nil"/>
              <w:right w:val="nil"/>
            </w:tcBorders>
            <w:shd w:val="clear" w:color="auto" w:fill="auto"/>
            <w:noWrap/>
            <w:vAlign w:val="center"/>
            <w:hideMark/>
          </w:tcPr>
          <w:p w14:paraId="38E067FA" w14:textId="77777777" w:rsidR="006C2C5E" w:rsidRPr="004B0134"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lang w:eastAsia="zh-CN"/>
              </w:rPr>
            </w:pPr>
            <w:r w:rsidRPr="004B0134">
              <w:rPr>
                <w:rFonts w:ascii="STKaiti" w:eastAsia="STKaiti" w:hAnsi="STKaiti" w:hint="eastAsia"/>
                <w:b/>
                <w:bCs/>
                <w:color w:val="002060"/>
                <w:lang w:eastAsia="zh-CN"/>
              </w:rPr>
              <w:t>按来源列出的计划收入</w:t>
            </w:r>
          </w:p>
        </w:tc>
        <w:tc>
          <w:tcPr>
            <w:tcW w:w="1573" w:type="dxa"/>
            <w:tcBorders>
              <w:top w:val="nil"/>
              <w:left w:val="nil"/>
              <w:bottom w:val="nil"/>
              <w:right w:val="nil"/>
            </w:tcBorders>
            <w:shd w:val="clear" w:color="auto" w:fill="auto"/>
            <w:noWrap/>
            <w:vAlign w:val="center"/>
            <w:hideMark/>
          </w:tcPr>
          <w:p w14:paraId="1401A569" w14:textId="77777777" w:rsidR="006C2C5E" w:rsidRPr="00197E94"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p>
        </w:tc>
        <w:tc>
          <w:tcPr>
            <w:tcW w:w="1718" w:type="dxa"/>
            <w:tcBorders>
              <w:top w:val="nil"/>
              <w:left w:val="nil"/>
              <w:bottom w:val="nil"/>
              <w:right w:val="nil"/>
            </w:tcBorders>
            <w:shd w:val="clear" w:color="auto" w:fill="auto"/>
            <w:noWrap/>
            <w:vAlign w:val="bottom"/>
            <w:hideMark/>
          </w:tcPr>
          <w:p w14:paraId="1E335A7B" w14:textId="77777777" w:rsidR="006C2C5E" w:rsidRPr="00197E94" w:rsidRDefault="006C2C5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lang w:eastAsia="zh-CN"/>
              </w:rPr>
            </w:pPr>
          </w:p>
        </w:tc>
        <w:tc>
          <w:tcPr>
            <w:tcW w:w="1718" w:type="dxa"/>
            <w:tcBorders>
              <w:top w:val="nil"/>
              <w:left w:val="nil"/>
              <w:bottom w:val="nil"/>
              <w:right w:val="nil"/>
            </w:tcBorders>
            <w:shd w:val="clear" w:color="auto" w:fill="auto"/>
            <w:noWrap/>
            <w:vAlign w:val="center"/>
            <w:hideMark/>
          </w:tcPr>
          <w:p w14:paraId="3322D00A" w14:textId="77777777" w:rsidR="006C2C5E" w:rsidRPr="00197E94"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571" w:type="dxa"/>
            <w:tcBorders>
              <w:top w:val="nil"/>
              <w:left w:val="nil"/>
              <w:bottom w:val="nil"/>
              <w:right w:val="nil"/>
            </w:tcBorders>
            <w:shd w:val="clear" w:color="auto" w:fill="auto"/>
            <w:noWrap/>
            <w:vAlign w:val="bottom"/>
            <w:hideMark/>
          </w:tcPr>
          <w:p w14:paraId="5993E1AE" w14:textId="77777777" w:rsidR="006C2C5E" w:rsidRPr="00197E94" w:rsidRDefault="006C2C5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lang w:eastAsia="zh-CN"/>
              </w:rPr>
            </w:pPr>
          </w:p>
        </w:tc>
        <w:tc>
          <w:tcPr>
            <w:tcW w:w="1221" w:type="dxa"/>
            <w:tcBorders>
              <w:top w:val="nil"/>
              <w:left w:val="nil"/>
              <w:bottom w:val="nil"/>
              <w:right w:val="nil"/>
            </w:tcBorders>
            <w:shd w:val="clear" w:color="auto" w:fill="auto"/>
            <w:noWrap/>
            <w:vAlign w:val="center"/>
            <w:hideMark/>
          </w:tcPr>
          <w:p w14:paraId="1945A615" w14:textId="77777777" w:rsidR="006C2C5E" w:rsidRPr="00197E94"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6C2C5E" w:rsidRPr="00197E94" w14:paraId="409F1B64" w14:textId="77777777" w:rsidTr="002F7131">
        <w:trPr>
          <w:trHeight w:val="20"/>
        </w:trPr>
        <w:tc>
          <w:tcPr>
            <w:tcW w:w="5807" w:type="dxa"/>
            <w:tcBorders>
              <w:top w:val="nil"/>
              <w:left w:val="nil"/>
              <w:bottom w:val="nil"/>
              <w:right w:val="nil"/>
            </w:tcBorders>
            <w:shd w:val="clear" w:color="auto" w:fill="auto"/>
            <w:noWrap/>
            <w:vAlign w:val="center"/>
            <w:hideMark/>
          </w:tcPr>
          <w:p w14:paraId="6831BDE0"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6"/>
                <w:lang w:eastAsia="zh-CN"/>
              </w:rPr>
            </w:pPr>
          </w:p>
        </w:tc>
        <w:tc>
          <w:tcPr>
            <w:tcW w:w="1573" w:type="dxa"/>
            <w:tcBorders>
              <w:top w:val="nil"/>
              <w:left w:val="single" w:sz="4" w:space="0" w:color="0070C0"/>
              <w:bottom w:val="nil"/>
              <w:right w:val="nil"/>
            </w:tcBorders>
            <w:shd w:val="clear" w:color="auto" w:fill="auto"/>
            <w:noWrap/>
            <w:vAlign w:val="center"/>
            <w:hideMark/>
          </w:tcPr>
          <w:p w14:paraId="574E1B1B"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sz w:val="16"/>
                <w:szCs w:val="18"/>
              </w:rPr>
            </w:pPr>
            <w:r w:rsidRPr="00665B81">
              <w:rPr>
                <w:rFonts w:ascii="SimSun" w:hAnsi="SimSun" w:hint="eastAsia"/>
                <w:b/>
                <w:bCs/>
                <w:sz w:val="16"/>
                <w:szCs w:val="18"/>
              </w:rPr>
              <w:t>实际</w:t>
            </w:r>
          </w:p>
        </w:tc>
        <w:tc>
          <w:tcPr>
            <w:tcW w:w="1718" w:type="dxa"/>
            <w:tcBorders>
              <w:top w:val="nil"/>
              <w:left w:val="nil"/>
              <w:bottom w:val="nil"/>
              <w:right w:val="nil"/>
            </w:tcBorders>
            <w:shd w:val="clear" w:color="auto" w:fill="auto"/>
            <w:noWrap/>
            <w:vAlign w:val="center"/>
            <w:hideMark/>
          </w:tcPr>
          <w:p w14:paraId="6A72C7C1"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sz w:val="16"/>
                <w:szCs w:val="18"/>
              </w:rPr>
            </w:pPr>
            <w:r w:rsidRPr="00665B81">
              <w:rPr>
                <w:rFonts w:ascii="SimSun" w:hAnsi="SimSun" w:hint="eastAsia"/>
                <w:b/>
                <w:bCs/>
                <w:sz w:val="16"/>
                <w:szCs w:val="18"/>
              </w:rPr>
              <w:t>预算</w:t>
            </w:r>
          </w:p>
        </w:tc>
        <w:tc>
          <w:tcPr>
            <w:tcW w:w="1718" w:type="dxa"/>
            <w:tcBorders>
              <w:top w:val="nil"/>
              <w:left w:val="nil"/>
              <w:bottom w:val="nil"/>
              <w:right w:val="nil"/>
            </w:tcBorders>
            <w:shd w:val="clear" w:color="auto" w:fill="auto"/>
            <w:noWrap/>
            <w:vAlign w:val="center"/>
            <w:hideMark/>
          </w:tcPr>
          <w:p w14:paraId="506614FF"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16"/>
                <w:szCs w:val="18"/>
              </w:rPr>
            </w:pPr>
            <w:r w:rsidRPr="00665B81">
              <w:rPr>
                <w:rFonts w:ascii="SimSun" w:hAnsi="SimSun" w:hint="eastAsia"/>
                <w:b/>
                <w:bCs/>
                <w:color w:val="002060"/>
                <w:sz w:val="16"/>
                <w:szCs w:val="18"/>
              </w:rPr>
              <w:t>估算</w:t>
            </w:r>
          </w:p>
        </w:tc>
        <w:tc>
          <w:tcPr>
            <w:tcW w:w="1571" w:type="dxa"/>
            <w:tcBorders>
              <w:top w:val="nil"/>
              <w:left w:val="nil"/>
              <w:bottom w:val="nil"/>
              <w:right w:val="nil"/>
            </w:tcBorders>
            <w:shd w:val="clear" w:color="auto" w:fill="auto"/>
            <w:noWrap/>
            <w:vAlign w:val="center"/>
            <w:hideMark/>
          </w:tcPr>
          <w:p w14:paraId="77406B53"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16"/>
                <w:szCs w:val="18"/>
              </w:rPr>
            </w:pPr>
            <w:r w:rsidRPr="00665B81">
              <w:rPr>
                <w:rFonts w:ascii="SimSun" w:hAnsi="SimSun" w:hint="eastAsia"/>
                <w:b/>
                <w:bCs/>
                <w:color w:val="002060"/>
                <w:sz w:val="16"/>
                <w:szCs w:val="18"/>
              </w:rPr>
              <w:t>估算</w:t>
            </w:r>
          </w:p>
        </w:tc>
        <w:tc>
          <w:tcPr>
            <w:tcW w:w="1221" w:type="dxa"/>
            <w:tcBorders>
              <w:top w:val="nil"/>
              <w:left w:val="nil"/>
              <w:bottom w:val="nil"/>
              <w:right w:val="nil"/>
            </w:tcBorders>
            <w:shd w:val="clear" w:color="auto" w:fill="auto"/>
            <w:noWrap/>
            <w:vAlign w:val="center"/>
            <w:hideMark/>
          </w:tcPr>
          <w:p w14:paraId="7D62568B"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16"/>
                <w:szCs w:val="18"/>
              </w:rPr>
            </w:pPr>
            <w:r w:rsidRPr="00665B81">
              <w:rPr>
                <w:rFonts w:ascii="SimSun" w:hAnsi="SimSun" w:hint="eastAsia"/>
                <w:b/>
                <w:bCs/>
                <w:color w:val="002060"/>
                <w:sz w:val="16"/>
                <w:szCs w:val="18"/>
              </w:rPr>
              <w:t>合计</w:t>
            </w:r>
          </w:p>
        </w:tc>
      </w:tr>
      <w:tr w:rsidR="006C2C5E" w:rsidRPr="00197E94" w14:paraId="43BD5E9A" w14:textId="77777777" w:rsidTr="002F7131">
        <w:trPr>
          <w:trHeight w:val="20"/>
        </w:trPr>
        <w:tc>
          <w:tcPr>
            <w:tcW w:w="5807" w:type="dxa"/>
            <w:tcBorders>
              <w:top w:val="nil"/>
              <w:left w:val="nil"/>
              <w:bottom w:val="single" w:sz="4" w:space="0" w:color="auto"/>
              <w:right w:val="nil"/>
            </w:tcBorders>
            <w:shd w:val="clear" w:color="auto" w:fill="auto"/>
            <w:noWrap/>
            <w:vAlign w:val="center"/>
            <w:hideMark/>
          </w:tcPr>
          <w:p w14:paraId="32EA9FC6"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6"/>
                <w:szCs w:val="18"/>
              </w:rPr>
            </w:pPr>
            <w:r w:rsidRPr="00665B81">
              <w:rPr>
                <w:rFonts w:eastAsia="Times New Roman" w:cs="Calibri"/>
                <w:b/>
                <w:bCs/>
                <w:sz w:val="16"/>
                <w:szCs w:val="18"/>
              </w:rPr>
              <w:t> </w:t>
            </w:r>
          </w:p>
        </w:tc>
        <w:tc>
          <w:tcPr>
            <w:tcW w:w="1573" w:type="dxa"/>
            <w:tcBorders>
              <w:top w:val="nil"/>
              <w:left w:val="single" w:sz="4" w:space="0" w:color="0070C0"/>
              <w:bottom w:val="single" w:sz="4" w:space="0" w:color="auto"/>
              <w:right w:val="nil"/>
            </w:tcBorders>
            <w:shd w:val="clear" w:color="auto" w:fill="auto"/>
            <w:vAlign w:val="center"/>
            <w:hideMark/>
          </w:tcPr>
          <w:p w14:paraId="6E003D9A"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sz w:val="16"/>
                <w:szCs w:val="18"/>
              </w:rPr>
            </w:pPr>
            <w:r w:rsidRPr="00665B81">
              <w:rPr>
                <w:rFonts w:eastAsia="Times New Roman" w:cs="Calibri"/>
                <w:b/>
                <w:bCs/>
                <w:sz w:val="16"/>
                <w:szCs w:val="18"/>
              </w:rPr>
              <w:t>2018-2019</w:t>
            </w:r>
            <w:r w:rsidRPr="00665B81">
              <w:rPr>
                <w:rFonts w:ascii="SimSun" w:hAnsi="SimSun" w:cs="Calibri" w:hint="eastAsia"/>
                <w:b/>
                <w:bCs/>
                <w:sz w:val="16"/>
                <w:szCs w:val="18"/>
              </w:rPr>
              <w:t>年</w:t>
            </w:r>
          </w:p>
        </w:tc>
        <w:tc>
          <w:tcPr>
            <w:tcW w:w="1718" w:type="dxa"/>
            <w:tcBorders>
              <w:top w:val="nil"/>
              <w:left w:val="nil"/>
              <w:bottom w:val="single" w:sz="4" w:space="0" w:color="auto"/>
              <w:right w:val="nil"/>
            </w:tcBorders>
            <w:shd w:val="clear" w:color="auto" w:fill="auto"/>
            <w:vAlign w:val="center"/>
            <w:hideMark/>
          </w:tcPr>
          <w:p w14:paraId="1A483283"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sz w:val="16"/>
                <w:szCs w:val="18"/>
              </w:rPr>
            </w:pPr>
            <w:r w:rsidRPr="00665B81">
              <w:rPr>
                <w:rFonts w:eastAsia="Times New Roman" w:cs="Calibri"/>
                <w:b/>
                <w:bCs/>
                <w:sz w:val="16"/>
                <w:szCs w:val="18"/>
              </w:rPr>
              <w:t>2020-2021</w:t>
            </w:r>
            <w:r w:rsidRPr="00665B81">
              <w:rPr>
                <w:rFonts w:ascii="SimSun" w:hAnsi="SimSun" w:cs="Calibri" w:hint="eastAsia"/>
                <w:b/>
                <w:bCs/>
                <w:sz w:val="16"/>
                <w:szCs w:val="18"/>
              </w:rPr>
              <w:t>年</w:t>
            </w:r>
          </w:p>
        </w:tc>
        <w:tc>
          <w:tcPr>
            <w:tcW w:w="1718" w:type="dxa"/>
            <w:tcBorders>
              <w:top w:val="nil"/>
              <w:left w:val="nil"/>
              <w:bottom w:val="single" w:sz="4" w:space="0" w:color="auto"/>
              <w:right w:val="nil"/>
            </w:tcBorders>
            <w:shd w:val="clear" w:color="auto" w:fill="auto"/>
            <w:vAlign w:val="center"/>
            <w:hideMark/>
          </w:tcPr>
          <w:p w14:paraId="5EC67EEA"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16"/>
                <w:szCs w:val="18"/>
              </w:rPr>
            </w:pPr>
            <w:r w:rsidRPr="00197E94">
              <w:rPr>
                <w:rFonts w:ascii="Helv" w:eastAsia="Times New Roman" w:hAnsi="Helv"/>
                <w:noProof/>
                <w:sz w:val="20"/>
              </w:rPr>
              <mc:AlternateContent>
                <mc:Choice Requires="wps">
                  <w:drawing>
                    <wp:anchor distT="0" distB="0" distL="114300" distR="114300" simplePos="0" relativeHeight="251664384" behindDoc="0" locked="0" layoutInCell="1" allowOverlap="1" wp14:anchorId="0D8407AF" wp14:editId="1D2777C1">
                      <wp:simplePos x="0" y="0"/>
                      <wp:positionH relativeFrom="column">
                        <wp:posOffset>-963930</wp:posOffset>
                      </wp:positionH>
                      <wp:positionV relativeFrom="paragraph">
                        <wp:posOffset>-222885</wp:posOffset>
                      </wp:positionV>
                      <wp:extent cx="914400" cy="5124450"/>
                      <wp:effectExtent l="0" t="0" r="19050" b="19050"/>
                      <wp:wrapNone/>
                      <wp:docPr id="1109" name="圆角矩形 1109">
                        <a:extLst xmlns:a="http://schemas.openxmlformats.org/drawingml/2006/main">
                          <a:ext uri="{FF2B5EF4-FFF2-40B4-BE49-F238E27FC236}">
                            <a16:creationId xmlns:a16="http://schemas.microsoft.com/office/drawing/2014/main" id="{00000000-0008-0000-0200-00000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124450"/>
                              </a:xfrm>
                              <a:prstGeom prst="roundRect">
                                <a:avLst>
                                  <a:gd name="adj" fmla="val 48039"/>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rap="square">
                              <a:noAutofit/>
                            </wps:bodyPr>
                          </wps:wsp>
                        </a:graphicData>
                      </a:graphic>
                      <wp14:sizeRelH relativeFrom="page">
                        <wp14:pctWidth>0</wp14:pctWidth>
                      </wp14:sizeRelH>
                      <wp14:sizeRelV relativeFrom="page">
                        <wp14:pctHeight>0</wp14:pctHeight>
                      </wp14:sizeRelV>
                    </wp:anchor>
                  </w:drawing>
                </mc:Choice>
                <mc:Fallback>
                  <w:pict>
                    <v:roundrect w14:anchorId="45209F59" id="圆角矩形 1109" o:spid="_x0000_s1026" style="position:absolute;margin-left:-75.9pt;margin-top:-17.55pt;width:1in;height:40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4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" filled="f"/>
                  </w:pict>
                </mc:Fallback>
              </mc:AlternateContent>
            </w:r>
            <w:r w:rsidRPr="00665B81">
              <w:rPr>
                <w:rFonts w:eastAsia="Times New Roman" w:cs="Calibri"/>
                <w:b/>
                <w:bCs/>
                <w:color w:val="002060"/>
                <w:sz w:val="16"/>
                <w:szCs w:val="18"/>
              </w:rPr>
              <w:t>2022</w:t>
            </w:r>
            <w:r w:rsidRPr="00665B81">
              <w:rPr>
                <w:rFonts w:ascii="SimSun" w:hAnsi="SimSun" w:cs="Calibri" w:hint="eastAsia"/>
                <w:b/>
                <w:bCs/>
                <w:color w:val="002060"/>
                <w:sz w:val="16"/>
                <w:szCs w:val="18"/>
              </w:rPr>
              <w:t>年</w:t>
            </w:r>
          </w:p>
        </w:tc>
        <w:tc>
          <w:tcPr>
            <w:tcW w:w="1571" w:type="dxa"/>
            <w:tcBorders>
              <w:top w:val="nil"/>
              <w:left w:val="nil"/>
              <w:bottom w:val="single" w:sz="4" w:space="0" w:color="auto"/>
              <w:right w:val="nil"/>
            </w:tcBorders>
            <w:shd w:val="clear" w:color="auto" w:fill="auto"/>
            <w:vAlign w:val="center"/>
            <w:hideMark/>
          </w:tcPr>
          <w:p w14:paraId="7FFFC11A"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16"/>
                <w:szCs w:val="18"/>
              </w:rPr>
            </w:pPr>
            <w:r w:rsidRPr="00665B81">
              <w:rPr>
                <w:rFonts w:eastAsia="Times New Roman" w:cs="Calibri"/>
                <w:b/>
                <w:bCs/>
                <w:color w:val="002060"/>
                <w:sz w:val="16"/>
                <w:szCs w:val="18"/>
              </w:rPr>
              <w:t>2023</w:t>
            </w:r>
            <w:r w:rsidRPr="00665B81">
              <w:rPr>
                <w:rFonts w:ascii="SimSun" w:hAnsi="SimSun" w:cs="Calibri" w:hint="eastAsia"/>
                <w:b/>
                <w:bCs/>
                <w:color w:val="002060"/>
                <w:sz w:val="16"/>
                <w:szCs w:val="18"/>
              </w:rPr>
              <w:t>年</w:t>
            </w:r>
          </w:p>
        </w:tc>
        <w:tc>
          <w:tcPr>
            <w:tcW w:w="1221" w:type="dxa"/>
            <w:tcBorders>
              <w:top w:val="nil"/>
              <w:left w:val="nil"/>
              <w:bottom w:val="single" w:sz="4" w:space="0" w:color="auto"/>
              <w:right w:val="nil"/>
            </w:tcBorders>
            <w:shd w:val="clear" w:color="auto" w:fill="auto"/>
            <w:vAlign w:val="center"/>
            <w:hideMark/>
          </w:tcPr>
          <w:p w14:paraId="11A00A71"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16"/>
                <w:szCs w:val="18"/>
              </w:rPr>
            </w:pPr>
            <w:r w:rsidRPr="00665B81">
              <w:rPr>
                <w:rFonts w:eastAsia="Times New Roman" w:cs="Calibri"/>
                <w:b/>
                <w:bCs/>
                <w:color w:val="002060"/>
                <w:sz w:val="16"/>
                <w:szCs w:val="18"/>
              </w:rPr>
              <w:t>2022-2023</w:t>
            </w:r>
            <w:r w:rsidRPr="00665B81">
              <w:rPr>
                <w:rFonts w:ascii="SimSun" w:hAnsi="SimSun" w:cs="Calibri" w:hint="eastAsia"/>
                <w:b/>
                <w:bCs/>
                <w:color w:val="002060"/>
                <w:sz w:val="16"/>
                <w:szCs w:val="18"/>
              </w:rPr>
              <w:t>年</w:t>
            </w:r>
          </w:p>
        </w:tc>
      </w:tr>
      <w:tr w:rsidR="006C2C5E" w:rsidRPr="00197E94" w14:paraId="3C6B86B8" w14:textId="77777777" w:rsidTr="002F7131">
        <w:trPr>
          <w:trHeight w:val="20"/>
        </w:trPr>
        <w:tc>
          <w:tcPr>
            <w:tcW w:w="5807" w:type="dxa"/>
            <w:tcBorders>
              <w:top w:val="nil"/>
              <w:left w:val="nil"/>
              <w:bottom w:val="nil"/>
              <w:right w:val="nil"/>
            </w:tcBorders>
            <w:shd w:val="clear" w:color="auto" w:fill="auto"/>
            <w:noWrap/>
            <w:vAlign w:val="center"/>
            <w:hideMark/>
          </w:tcPr>
          <w:p w14:paraId="52E313B5"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6"/>
                <w:szCs w:val="16"/>
              </w:rPr>
            </w:pPr>
            <w:r w:rsidRPr="00665B81">
              <w:rPr>
                <w:rFonts w:cstheme="minorHAnsi"/>
                <w:sz w:val="16"/>
                <w:szCs w:val="16"/>
              </w:rPr>
              <w:t>A.</w:t>
            </w:r>
            <w:r w:rsidRPr="00665B81">
              <w:rPr>
                <w:rFonts w:cstheme="minorHAnsi"/>
                <w:sz w:val="16"/>
                <w:szCs w:val="16"/>
              </w:rPr>
              <w:tab/>
            </w:r>
            <w:r w:rsidRPr="00665B81">
              <w:rPr>
                <w:rFonts w:cstheme="minorHAnsi"/>
                <w:sz w:val="16"/>
                <w:szCs w:val="16"/>
              </w:rPr>
              <w:t>分摊会费</w:t>
            </w:r>
          </w:p>
        </w:tc>
        <w:tc>
          <w:tcPr>
            <w:tcW w:w="1573" w:type="dxa"/>
            <w:tcBorders>
              <w:top w:val="nil"/>
              <w:left w:val="single" w:sz="4" w:space="0" w:color="0070C0"/>
              <w:bottom w:val="nil"/>
              <w:right w:val="nil"/>
            </w:tcBorders>
            <w:shd w:val="clear" w:color="auto" w:fill="auto"/>
            <w:noWrap/>
            <w:vAlign w:val="center"/>
            <w:hideMark/>
          </w:tcPr>
          <w:p w14:paraId="6C77F7D1" w14:textId="77777777" w:rsidR="006C2C5E" w:rsidRPr="00197E94"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197E94">
              <w:rPr>
                <w:rFonts w:eastAsia="Times New Roman" w:cs="Calibri"/>
                <w:sz w:val="18"/>
                <w:szCs w:val="18"/>
              </w:rPr>
              <w:t> </w:t>
            </w:r>
          </w:p>
        </w:tc>
        <w:tc>
          <w:tcPr>
            <w:tcW w:w="1718" w:type="dxa"/>
            <w:tcBorders>
              <w:top w:val="nil"/>
              <w:left w:val="nil"/>
              <w:bottom w:val="nil"/>
              <w:right w:val="nil"/>
            </w:tcBorders>
            <w:shd w:val="clear" w:color="auto" w:fill="auto"/>
            <w:noWrap/>
            <w:vAlign w:val="center"/>
            <w:hideMark/>
          </w:tcPr>
          <w:p w14:paraId="516B10CD" w14:textId="77777777" w:rsidR="006C2C5E" w:rsidRPr="00197E94"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1718" w:type="dxa"/>
            <w:tcBorders>
              <w:top w:val="nil"/>
              <w:left w:val="nil"/>
              <w:bottom w:val="nil"/>
              <w:right w:val="nil"/>
            </w:tcBorders>
            <w:shd w:val="clear" w:color="auto" w:fill="auto"/>
            <w:noWrap/>
            <w:vAlign w:val="center"/>
            <w:hideMark/>
          </w:tcPr>
          <w:p w14:paraId="13705654" w14:textId="77777777" w:rsidR="006C2C5E" w:rsidRPr="00197E94"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71" w:type="dxa"/>
            <w:tcBorders>
              <w:top w:val="nil"/>
              <w:left w:val="nil"/>
              <w:bottom w:val="nil"/>
              <w:right w:val="nil"/>
            </w:tcBorders>
            <w:shd w:val="clear" w:color="auto" w:fill="auto"/>
            <w:noWrap/>
            <w:vAlign w:val="center"/>
            <w:hideMark/>
          </w:tcPr>
          <w:p w14:paraId="57AC7D6D" w14:textId="77777777" w:rsidR="006C2C5E" w:rsidRPr="00197E94"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21" w:type="dxa"/>
            <w:tcBorders>
              <w:top w:val="nil"/>
              <w:left w:val="nil"/>
              <w:bottom w:val="nil"/>
              <w:right w:val="nil"/>
            </w:tcBorders>
            <w:shd w:val="clear" w:color="auto" w:fill="auto"/>
            <w:noWrap/>
            <w:vAlign w:val="center"/>
            <w:hideMark/>
          </w:tcPr>
          <w:p w14:paraId="0F549F2F" w14:textId="77777777" w:rsidR="006C2C5E" w:rsidRPr="00197E94"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197E94" w14:paraId="1275ECAB" w14:textId="77777777" w:rsidTr="002F7131">
        <w:trPr>
          <w:trHeight w:val="20"/>
        </w:trPr>
        <w:tc>
          <w:tcPr>
            <w:tcW w:w="5807" w:type="dxa"/>
            <w:tcBorders>
              <w:top w:val="nil"/>
              <w:left w:val="nil"/>
              <w:bottom w:val="nil"/>
              <w:right w:val="nil"/>
            </w:tcBorders>
            <w:shd w:val="clear" w:color="auto" w:fill="auto"/>
            <w:noWrap/>
            <w:vAlign w:val="center"/>
            <w:hideMark/>
          </w:tcPr>
          <w:p w14:paraId="041C26FA"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6"/>
                <w:szCs w:val="16"/>
              </w:rPr>
            </w:pPr>
            <w:r w:rsidRPr="00665B81">
              <w:rPr>
                <w:rFonts w:cstheme="minorHAnsi"/>
                <w:sz w:val="16"/>
                <w:szCs w:val="16"/>
              </w:rPr>
              <w:tab/>
              <w:t>A.1</w:t>
            </w:r>
            <w:r w:rsidRPr="00665B81">
              <w:rPr>
                <w:rFonts w:cstheme="minorHAnsi"/>
                <w:sz w:val="16"/>
                <w:szCs w:val="16"/>
              </w:rPr>
              <w:tab/>
            </w:r>
            <w:r w:rsidRPr="00665B81">
              <w:rPr>
                <w:rFonts w:cstheme="minorHAnsi"/>
                <w:sz w:val="16"/>
                <w:szCs w:val="16"/>
              </w:rPr>
              <w:t>成员国会费</w:t>
            </w:r>
          </w:p>
        </w:tc>
        <w:tc>
          <w:tcPr>
            <w:tcW w:w="1573" w:type="dxa"/>
            <w:tcBorders>
              <w:top w:val="nil"/>
              <w:left w:val="single" w:sz="4" w:space="0" w:color="0070C0"/>
              <w:bottom w:val="nil"/>
              <w:right w:val="nil"/>
            </w:tcBorders>
            <w:shd w:val="clear" w:color="auto" w:fill="auto"/>
            <w:noWrap/>
            <w:vAlign w:val="center"/>
            <w:hideMark/>
          </w:tcPr>
          <w:p w14:paraId="470FE809"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bookmarkStart w:id="56" w:name="RANGE!B8:F53"/>
            <w:r w:rsidRPr="00665B81">
              <w:rPr>
                <w:rFonts w:eastAsia="Times New Roman" w:cs="Calibri"/>
                <w:sz w:val="16"/>
                <w:szCs w:val="18"/>
              </w:rPr>
              <w:t>218,466</w:t>
            </w:r>
            <w:bookmarkEnd w:id="56"/>
          </w:p>
        </w:tc>
        <w:tc>
          <w:tcPr>
            <w:tcW w:w="1718" w:type="dxa"/>
            <w:tcBorders>
              <w:top w:val="nil"/>
              <w:left w:val="nil"/>
              <w:bottom w:val="nil"/>
              <w:right w:val="nil"/>
            </w:tcBorders>
            <w:shd w:val="clear" w:color="auto" w:fill="auto"/>
            <w:noWrap/>
            <w:vAlign w:val="center"/>
            <w:hideMark/>
          </w:tcPr>
          <w:p w14:paraId="48458958"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218,586</w:t>
            </w:r>
          </w:p>
        </w:tc>
        <w:tc>
          <w:tcPr>
            <w:tcW w:w="1718" w:type="dxa"/>
            <w:tcBorders>
              <w:top w:val="nil"/>
              <w:left w:val="nil"/>
              <w:bottom w:val="nil"/>
              <w:right w:val="nil"/>
            </w:tcBorders>
            <w:shd w:val="clear" w:color="auto" w:fill="auto"/>
            <w:noWrap/>
            <w:vAlign w:val="center"/>
            <w:hideMark/>
          </w:tcPr>
          <w:p w14:paraId="2EB2DA46"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109,293</w:t>
            </w:r>
          </w:p>
        </w:tc>
        <w:tc>
          <w:tcPr>
            <w:tcW w:w="1571" w:type="dxa"/>
            <w:tcBorders>
              <w:top w:val="nil"/>
              <w:left w:val="nil"/>
              <w:bottom w:val="nil"/>
              <w:right w:val="nil"/>
            </w:tcBorders>
            <w:shd w:val="clear" w:color="auto" w:fill="auto"/>
            <w:noWrap/>
            <w:vAlign w:val="center"/>
            <w:hideMark/>
          </w:tcPr>
          <w:p w14:paraId="1E6C7916"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109,293</w:t>
            </w:r>
          </w:p>
        </w:tc>
        <w:tc>
          <w:tcPr>
            <w:tcW w:w="1221" w:type="dxa"/>
            <w:tcBorders>
              <w:top w:val="nil"/>
              <w:left w:val="nil"/>
              <w:bottom w:val="nil"/>
              <w:right w:val="nil"/>
            </w:tcBorders>
            <w:shd w:val="clear" w:color="auto" w:fill="auto"/>
            <w:noWrap/>
            <w:vAlign w:val="center"/>
            <w:hideMark/>
          </w:tcPr>
          <w:p w14:paraId="426E09AC"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218,586</w:t>
            </w:r>
          </w:p>
        </w:tc>
      </w:tr>
      <w:tr w:rsidR="006C2C5E" w:rsidRPr="00197E94" w14:paraId="5E273691" w14:textId="77777777" w:rsidTr="002F7131">
        <w:trPr>
          <w:trHeight w:val="20"/>
        </w:trPr>
        <w:tc>
          <w:tcPr>
            <w:tcW w:w="5807" w:type="dxa"/>
            <w:tcBorders>
              <w:top w:val="nil"/>
              <w:left w:val="nil"/>
              <w:bottom w:val="nil"/>
              <w:right w:val="nil"/>
            </w:tcBorders>
            <w:shd w:val="clear" w:color="auto" w:fill="auto"/>
            <w:noWrap/>
            <w:vAlign w:val="center"/>
            <w:hideMark/>
          </w:tcPr>
          <w:p w14:paraId="51052626"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6"/>
                <w:szCs w:val="16"/>
              </w:rPr>
            </w:pPr>
            <w:r w:rsidRPr="00665B81">
              <w:rPr>
                <w:rFonts w:cstheme="minorHAnsi"/>
                <w:sz w:val="16"/>
                <w:szCs w:val="16"/>
              </w:rPr>
              <w:tab/>
              <w:t>A.2</w:t>
            </w:r>
            <w:r w:rsidRPr="00665B81">
              <w:rPr>
                <w:rFonts w:cstheme="minorHAnsi"/>
                <w:sz w:val="16"/>
                <w:szCs w:val="16"/>
              </w:rPr>
              <w:tab/>
            </w:r>
            <w:r w:rsidRPr="00665B81">
              <w:rPr>
                <w:rFonts w:cstheme="minorHAnsi"/>
                <w:sz w:val="16"/>
                <w:szCs w:val="16"/>
              </w:rPr>
              <w:t>部门成员会费</w:t>
            </w:r>
          </w:p>
        </w:tc>
        <w:tc>
          <w:tcPr>
            <w:tcW w:w="1573" w:type="dxa"/>
            <w:tcBorders>
              <w:top w:val="nil"/>
              <w:left w:val="single" w:sz="4" w:space="0" w:color="0070C0"/>
              <w:bottom w:val="nil"/>
              <w:right w:val="nil"/>
            </w:tcBorders>
            <w:shd w:val="clear" w:color="auto" w:fill="auto"/>
            <w:noWrap/>
            <w:vAlign w:val="center"/>
            <w:hideMark/>
          </w:tcPr>
          <w:p w14:paraId="4D956B54"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 </w:t>
            </w:r>
          </w:p>
        </w:tc>
        <w:tc>
          <w:tcPr>
            <w:tcW w:w="1718" w:type="dxa"/>
            <w:tcBorders>
              <w:top w:val="nil"/>
              <w:left w:val="nil"/>
              <w:bottom w:val="nil"/>
              <w:right w:val="nil"/>
            </w:tcBorders>
            <w:shd w:val="clear" w:color="auto" w:fill="auto"/>
            <w:noWrap/>
            <w:vAlign w:val="center"/>
            <w:hideMark/>
          </w:tcPr>
          <w:p w14:paraId="78434217"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p>
        </w:tc>
        <w:tc>
          <w:tcPr>
            <w:tcW w:w="1718" w:type="dxa"/>
            <w:tcBorders>
              <w:top w:val="nil"/>
              <w:left w:val="nil"/>
              <w:bottom w:val="nil"/>
              <w:right w:val="nil"/>
            </w:tcBorders>
            <w:shd w:val="clear" w:color="auto" w:fill="auto"/>
            <w:noWrap/>
            <w:vAlign w:val="center"/>
            <w:hideMark/>
          </w:tcPr>
          <w:p w14:paraId="474B5E9F"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6"/>
              </w:rPr>
            </w:pPr>
          </w:p>
        </w:tc>
        <w:tc>
          <w:tcPr>
            <w:tcW w:w="1571" w:type="dxa"/>
            <w:tcBorders>
              <w:top w:val="nil"/>
              <w:left w:val="nil"/>
              <w:bottom w:val="nil"/>
              <w:right w:val="nil"/>
            </w:tcBorders>
            <w:shd w:val="clear" w:color="auto" w:fill="auto"/>
            <w:noWrap/>
            <w:vAlign w:val="center"/>
            <w:hideMark/>
          </w:tcPr>
          <w:p w14:paraId="3179D3C0"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6"/>
              </w:rPr>
            </w:pPr>
          </w:p>
        </w:tc>
        <w:tc>
          <w:tcPr>
            <w:tcW w:w="1221" w:type="dxa"/>
            <w:tcBorders>
              <w:top w:val="nil"/>
              <w:left w:val="nil"/>
              <w:bottom w:val="nil"/>
              <w:right w:val="nil"/>
            </w:tcBorders>
            <w:shd w:val="clear" w:color="auto" w:fill="auto"/>
            <w:noWrap/>
            <w:vAlign w:val="center"/>
            <w:hideMark/>
          </w:tcPr>
          <w:p w14:paraId="29BD4C5C"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6"/>
              </w:rPr>
            </w:pPr>
          </w:p>
        </w:tc>
      </w:tr>
      <w:tr w:rsidR="006C2C5E" w:rsidRPr="00197E94" w14:paraId="0913AFD3" w14:textId="77777777" w:rsidTr="002F7131">
        <w:trPr>
          <w:trHeight w:val="20"/>
        </w:trPr>
        <w:tc>
          <w:tcPr>
            <w:tcW w:w="5807" w:type="dxa"/>
            <w:tcBorders>
              <w:top w:val="nil"/>
              <w:left w:val="nil"/>
              <w:bottom w:val="nil"/>
              <w:right w:val="nil"/>
            </w:tcBorders>
            <w:shd w:val="clear" w:color="auto" w:fill="auto"/>
            <w:noWrap/>
            <w:vAlign w:val="center"/>
            <w:hideMark/>
          </w:tcPr>
          <w:p w14:paraId="21654E04"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16"/>
                <w:szCs w:val="16"/>
              </w:rPr>
            </w:pPr>
            <w:r w:rsidRPr="00665B81">
              <w:rPr>
                <w:rFonts w:ascii="STKaiti" w:eastAsia="STKaiti" w:hAnsi="STKaiti"/>
                <w:sz w:val="16"/>
                <w:szCs w:val="16"/>
              </w:rPr>
              <w:tab/>
            </w:r>
            <w:r w:rsidRPr="00665B81">
              <w:rPr>
                <w:rFonts w:ascii="STKaiti" w:eastAsia="STKaiti" w:hAnsi="STKaiti"/>
                <w:sz w:val="16"/>
                <w:szCs w:val="16"/>
              </w:rPr>
              <w:tab/>
              <w:t>–</w:t>
            </w:r>
            <w:r w:rsidRPr="00665B81">
              <w:rPr>
                <w:rFonts w:ascii="STKaiti" w:eastAsia="STKaiti" w:hAnsi="STKaiti" w:hint="eastAsia"/>
                <w:sz w:val="16"/>
                <w:szCs w:val="16"/>
              </w:rPr>
              <w:t>无线电通信部门</w:t>
            </w:r>
          </w:p>
        </w:tc>
        <w:tc>
          <w:tcPr>
            <w:tcW w:w="1573" w:type="dxa"/>
            <w:tcBorders>
              <w:top w:val="nil"/>
              <w:left w:val="single" w:sz="4" w:space="0" w:color="0070C0"/>
              <w:bottom w:val="nil"/>
              <w:right w:val="nil"/>
            </w:tcBorders>
            <w:shd w:val="clear" w:color="auto" w:fill="auto"/>
            <w:noWrap/>
            <w:vAlign w:val="center"/>
            <w:hideMark/>
          </w:tcPr>
          <w:p w14:paraId="466EB42A"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12,815</w:t>
            </w:r>
          </w:p>
        </w:tc>
        <w:tc>
          <w:tcPr>
            <w:tcW w:w="1718" w:type="dxa"/>
            <w:tcBorders>
              <w:top w:val="nil"/>
              <w:left w:val="nil"/>
              <w:bottom w:val="nil"/>
              <w:right w:val="nil"/>
            </w:tcBorders>
            <w:shd w:val="clear" w:color="auto" w:fill="auto"/>
            <w:noWrap/>
            <w:vAlign w:val="center"/>
            <w:hideMark/>
          </w:tcPr>
          <w:p w14:paraId="20027864"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12,624</w:t>
            </w:r>
          </w:p>
        </w:tc>
        <w:tc>
          <w:tcPr>
            <w:tcW w:w="1718" w:type="dxa"/>
            <w:tcBorders>
              <w:top w:val="nil"/>
              <w:left w:val="nil"/>
              <w:bottom w:val="nil"/>
              <w:right w:val="nil"/>
            </w:tcBorders>
            <w:shd w:val="clear" w:color="auto" w:fill="auto"/>
            <w:noWrap/>
            <w:vAlign w:val="center"/>
            <w:hideMark/>
          </w:tcPr>
          <w:p w14:paraId="19D15299"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6,314</w:t>
            </w:r>
          </w:p>
        </w:tc>
        <w:tc>
          <w:tcPr>
            <w:tcW w:w="1571" w:type="dxa"/>
            <w:tcBorders>
              <w:top w:val="nil"/>
              <w:left w:val="nil"/>
              <w:bottom w:val="nil"/>
              <w:right w:val="nil"/>
            </w:tcBorders>
            <w:shd w:val="clear" w:color="auto" w:fill="auto"/>
            <w:noWrap/>
            <w:vAlign w:val="center"/>
            <w:hideMark/>
          </w:tcPr>
          <w:p w14:paraId="0E5A68E3"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6,314</w:t>
            </w:r>
          </w:p>
        </w:tc>
        <w:tc>
          <w:tcPr>
            <w:tcW w:w="1221" w:type="dxa"/>
            <w:tcBorders>
              <w:top w:val="nil"/>
              <w:left w:val="nil"/>
              <w:bottom w:val="nil"/>
              <w:right w:val="nil"/>
            </w:tcBorders>
            <w:shd w:val="clear" w:color="auto" w:fill="auto"/>
            <w:noWrap/>
            <w:vAlign w:val="center"/>
            <w:hideMark/>
          </w:tcPr>
          <w:p w14:paraId="3D7693DF"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12,628</w:t>
            </w:r>
          </w:p>
        </w:tc>
      </w:tr>
      <w:tr w:rsidR="006C2C5E" w:rsidRPr="00197E94" w14:paraId="0BD45937" w14:textId="77777777" w:rsidTr="002F7131">
        <w:trPr>
          <w:trHeight w:val="20"/>
        </w:trPr>
        <w:tc>
          <w:tcPr>
            <w:tcW w:w="5807" w:type="dxa"/>
            <w:tcBorders>
              <w:top w:val="nil"/>
              <w:left w:val="nil"/>
              <w:bottom w:val="nil"/>
              <w:right w:val="nil"/>
            </w:tcBorders>
            <w:shd w:val="clear" w:color="auto" w:fill="auto"/>
            <w:noWrap/>
            <w:vAlign w:val="center"/>
            <w:hideMark/>
          </w:tcPr>
          <w:p w14:paraId="534CF503"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16"/>
                <w:szCs w:val="16"/>
              </w:rPr>
            </w:pPr>
            <w:r w:rsidRPr="00665B81">
              <w:rPr>
                <w:rFonts w:ascii="STKaiti" w:eastAsia="STKaiti" w:hAnsi="STKaiti"/>
                <w:sz w:val="16"/>
                <w:szCs w:val="16"/>
              </w:rPr>
              <w:tab/>
            </w:r>
            <w:r w:rsidRPr="00665B81">
              <w:rPr>
                <w:rFonts w:ascii="STKaiti" w:eastAsia="STKaiti" w:hAnsi="STKaiti"/>
                <w:sz w:val="16"/>
                <w:szCs w:val="16"/>
              </w:rPr>
              <w:tab/>
              <w:t>–</w:t>
            </w:r>
            <w:r w:rsidRPr="00665B81">
              <w:rPr>
                <w:rFonts w:ascii="STKaiti" w:eastAsia="STKaiti" w:hAnsi="STKaiti" w:hint="eastAsia"/>
                <w:sz w:val="16"/>
                <w:szCs w:val="16"/>
              </w:rPr>
              <w:t>电信标准化部门</w:t>
            </w:r>
          </w:p>
        </w:tc>
        <w:tc>
          <w:tcPr>
            <w:tcW w:w="1573" w:type="dxa"/>
            <w:tcBorders>
              <w:top w:val="nil"/>
              <w:left w:val="single" w:sz="4" w:space="0" w:color="0070C0"/>
              <w:bottom w:val="nil"/>
              <w:right w:val="nil"/>
            </w:tcBorders>
            <w:shd w:val="clear" w:color="auto" w:fill="auto"/>
            <w:noWrap/>
            <w:vAlign w:val="center"/>
            <w:hideMark/>
          </w:tcPr>
          <w:p w14:paraId="4A60593E"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12,594</w:t>
            </w:r>
          </w:p>
        </w:tc>
        <w:tc>
          <w:tcPr>
            <w:tcW w:w="1718" w:type="dxa"/>
            <w:tcBorders>
              <w:top w:val="nil"/>
              <w:left w:val="nil"/>
              <w:bottom w:val="nil"/>
              <w:right w:val="nil"/>
            </w:tcBorders>
            <w:shd w:val="clear" w:color="auto" w:fill="auto"/>
            <w:noWrap/>
            <w:vAlign w:val="center"/>
            <w:hideMark/>
          </w:tcPr>
          <w:p w14:paraId="6D4C819A"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12,394</w:t>
            </w:r>
          </w:p>
        </w:tc>
        <w:tc>
          <w:tcPr>
            <w:tcW w:w="1718" w:type="dxa"/>
            <w:tcBorders>
              <w:top w:val="nil"/>
              <w:left w:val="nil"/>
              <w:bottom w:val="nil"/>
              <w:right w:val="nil"/>
            </w:tcBorders>
            <w:shd w:val="clear" w:color="auto" w:fill="auto"/>
            <w:noWrap/>
            <w:vAlign w:val="center"/>
            <w:hideMark/>
          </w:tcPr>
          <w:p w14:paraId="2B14E83C"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6,157</w:t>
            </w:r>
          </w:p>
        </w:tc>
        <w:tc>
          <w:tcPr>
            <w:tcW w:w="1571" w:type="dxa"/>
            <w:tcBorders>
              <w:top w:val="nil"/>
              <w:left w:val="nil"/>
              <w:bottom w:val="nil"/>
              <w:right w:val="nil"/>
            </w:tcBorders>
            <w:shd w:val="clear" w:color="auto" w:fill="auto"/>
            <w:noWrap/>
            <w:vAlign w:val="center"/>
            <w:hideMark/>
          </w:tcPr>
          <w:p w14:paraId="5C1DFFDD"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6,157</w:t>
            </w:r>
          </w:p>
        </w:tc>
        <w:tc>
          <w:tcPr>
            <w:tcW w:w="1221" w:type="dxa"/>
            <w:tcBorders>
              <w:top w:val="nil"/>
              <w:left w:val="nil"/>
              <w:bottom w:val="nil"/>
              <w:right w:val="nil"/>
            </w:tcBorders>
            <w:shd w:val="clear" w:color="auto" w:fill="auto"/>
            <w:noWrap/>
            <w:vAlign w:val="center"/>
            <w:hideMark/>
          </w:tcPr>
          <w:p w14:paraId="05EDB8BA"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12,314</w:t>
            </w:r>
          </w:p>
        </w:tc>
      </w:tr>
      <w:tr w:rsidR="006C2C5E" w:rsidRPr="00197E94" w14:paraId="0F73BD10" w14:textId="77777777" w:rsidTr="002F7131">
        <w:trPr>
          <w:trHeight w:val="20"/>
        </w:trPr>
        <w:tc>
          <w:tcPr>
            <w:tcW w:w="5807" w:type="dxa"/>
            <w:tcBorders>
              <w:top w:val="nil"/>
              <w:left w:val="nil"/>
              <w:bottom w:val="nil"/>
              <w:right w:val="nil"/>
            </w:tcBorders>
            <w:shd w:val="clear" w:color="auto" w:fill="auto"/>
            <w:noWrap/>
            <w:vAlign w:val="center"/>
            <w:hideMark/>
          </w:tcPr>
          <w:p w14:paraId="6C6F5BCF"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16"/>
                <w:szCs w:val="16"/>
              </w:rPr>
            </w:pPr>
            <w:r w:rsidRPr="00665B81">
              <w:rPr>
                <w:rFonts w:ascii="STKaiti" w:eastAsia="STKaiti" w:hAnsi="STKaiti"/>
                <w:sz w:val="16"/>
                <w:szCs w:val="16"/>
              </w:rPr>
              <w:tab/>
            </w:r>
            <w:r w:rsidRPr="00665B81">
              <w:rPr>
                <w:rFonts w:ascii="STKaiti" w:eastAsia="STKaiti" w:hAnsi="STKaiti"/>
                <w:sz w:val="16"/>
                <w:szCs w:val="16"/>
              </w:rPr>
              <w:tab/>
              <w:t>–</w:t>
            </w:r>
            <w:r w:rsidRPr="00665B81">
              <w:rPr>
                <w:rFonts w:ascii="STKaiti" w:eastAsia="STKaiti" w:hAnsi="STKaiti" w:hint="eastAsia"/>
                <w:sz w:val="16"/>
                <w:szCs w:val="16"/>
              </w:rPr>
              <w:t>电信发展部门</w:t>
            </w:r>
          </w:p>
        </w:tc>
        <w:tc>
          <w:tcPr>
            <w:tcW w:w="1573" w:type="dxa"/>
            <w:tcBorders>
              <w:top w:val="nil"/>
              <w:left w:val="single" w:sz="4" w:space="0" w:color="0070C0"/>
              <w:bottom w:val="nil"/>
              <w:right w:val="nil"/>
            </w:tcBorders>
            <w:shd w:val="clear" w:color="auto" w:fill="auto"/>
            <w:noWrap/>
            <w:vAlign w:val="center"/>
            <w:hideMark/>
          </w:tcPr>
          <w:p w14:paraId="07220352"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2,983</w:t>
            </w:r>
          </w:p>
        </w:tc>
        <w:tc>
          <w:tcPr>
            <w:tcW w:w="1718" w:type="dxa"/>
            <w:tcBorders>
              <w:top w:val="nil"/>
              <w:left w:val="nil"/>
              <w:bottom w:val="nil"/>
              <w:right w:val="nil"/>
            </w:tcBorders>
            <w:shd w:val="clear" w:color="auto" w:fill="auto"/>
            <w:noWrap/>
            <w:vAlign w:val="center"/>
            <w:hideMark/>
          </w:tcPr>
          <w:p w14:paraId="3EE622A7"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2,910</w:t>
            </w:r>
          </w:p>
        </w:tc>
        <w:tc>
          <w:tcPr>
            <w:tcW w:w="1718" w:type="dxa"/>
            <w:tcBorders>
              <w:top w:val="nil"/>
              <w:left w:val="nil"/>
              <w:bottom w:val="nil"/>
              <w:right w:val="nil"/>
            </w:tcBorders>
            <w:shd w:val="clear" w:color="auto" w:fill="auto"/>
            <w:noWrap/>
            <w:vAlign w:val="center"/>
            <w:hideMark/>
          </w:tcPr>
          <w:p w14:paraId="1DCC2D8C"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1,352</w:t>
            </w:r>
          </w:p>
        </w:tc>
        <w:tc>
          <w:tcPr>
            <w:tcW w:w="1571" w:type="dxa"/>
            <w:tcBorders>
              <w:top w:val="nil"/>
              <w:left w:val="nil"/>
              <w:bottom w:val="nil"/>
              <w:right w:val="nil"/>
            </w:tcBorders>
            <w:shd w:val="clear" w:color="auto" w:fill="auto"/>
            <w:noWrap/>
            <w:vAlign w:val="center"/>
            <w:hideMark/>
          </w:tcPr>
          <w:p w14:paraId="3CFC1546"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1,352</w:t>
            </w:r>
          </w:p>
        </w:tc>
        <w:tc>
          <w:tcPr>
            <w:tcW w:w="1221" w:type="dxa"/>
            <w:tcBorders>
              <w:top w:val="nil"/>
              <w:left w:val="nil"/>
              <w:bottom w:val="nil"/>
              <w:right w:val="nil"/>
            </w:tcBorders>
            <w:shd w:val="clear" w:color="auto" w:fill="auto"/>
            <w:noWrap/>
            <w:vAlign w:val="center"/>
            <w:hideMark/>
          </w:tcPr>
          <w:p w14:paraId="2DC8E7DC"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2,704</w:t>
            </w:r>
          </w:p>
        </w:tc>
      </w:tr>
      <w:tr w:rsidR="006C2C5E" w:rsidRPr="00197E94" w14:paraId="1E6D8A19" w14:textId="77777777" w:rsidTr="002F7131">
        <w:trPr>
          <w:trHeight w:val="20"/>
        </w:trPr>
        <w:tc>
          <w:tcPr>
            <w:tcW w:w="5807" w:type="dxa"/>
            <w:tcBorders>
              <w:top w:val="nil"/>
              <w:left w:val="nil"/>
              <w:bottom w:val="nil"/>
              <w:right w:val="nil"/>
            </w:tcBorders>
            <w:shd w:val="clear" w:color="auto" w:fill="auto"/>
            <w:noWrap/>
            <w:vAlign w:val="center"/>
            <w:hideMark/>
          </w:tcPr>
          <w:p w14:paraId="6628D5FE"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16"/>
                <w:szCs w:val="16"/>
              </w:rPr>
            </w:pPr>
            <w:r w:rsidRPr="00665B81">
              <w:rPr>
                <w:rFonts w:ascii="STKaiti" w:eastAsia="STKaiti" w:hAnsi="STKaiti"/>
                <w:sz w:val="16"/>
                <w:szCs w:val="16"/>
              </w:rPr>
              <w:tab/>
            </w:r>
            <w:r w:rsidRPr="00665B81">
              <w:rPr>
                <w:rFonts w:ascii="STKaiti" w:eastAsia="STKaiti" w:hAnsi="STKaiti"/>
                <w:sz w:val="16"/>
                <w:szCs w:val="16"/>
              </w:rPr>
              <w:tab/>
            </w:r>
            <w:r w:rsidRPr="00665B81">
              <w:rPr>
                <w:rFonts w:ascii="STKaiti" w:eastAsia="STKaiti" w:hAnsi="STKaiti" w:hint="eastAsia"/>
                <w:sz w:val="16"/>
                <w:szCs w:val="16"/>
              </w:rPr>
              <w:t>部门成员合计</w:t>
            </w:r>
          </w:p>
        </w:tc>
        <w:tc>
          <w:tcPr>
            <w:tcW w:w="1573" w:type="dxa"/>
            <w:tcBorders>
              <w:top w:val="nil"/>
              <w:left w:val="single" w:sz="4" w:space="0" w:color="0070C0"/>
              <w:bottom w:val="nil"/>
              <w:right w:val="nil"/>
            </w:tcBorders>
            <w:shd w:val="clear" w:color="auto" w:fill="auto"/>
            <w:noWrap/>
            <w:vAlign w:val="center"/>
            <w:hideMark/>
          </w:tcPr>
          <w:p w14:paraId="47A6608B"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28,392</w:t>
            </w:r>
          </w:p>
        </w:tc>
        <w:tc>
          <w:tcPr>
            <w:tcW w:w="1718" w:type="dxa"/>
            <w:tcBorders>
              <w:top w:val="nil"/>
              <w:left w:val="nil"/>
              <w:bottom w:val="nil"/>
              <w:right w:val="nil"/>
            </w:tcBorders>
            <w:shd w:val="clear" w:color="auto" w:fill="auto"/>
            <w:noWrap/>
            <w:vAlign w:val="center"/>
            <w:hideMark/>
          </w:tcPr>
          <w:p w14:paraId="54D28438"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27,928</w:t>
            </w:r>
          </w:p>
        </w:tc>
        <w:tc>
          <w:tcPr>
            <w:tcW w:w="1718" w:type="dxa"/>
            <w:tcBorders>
              <w:top w:val="nil"/>
              <w:left w:val="nil"/>
              <w:bottom w:val="nil"/>
              <w:right w:val="nil"/>
            </w:tcBorders>
            <w:shd w:val="clear" w:color="auto" w:fill="auto"/>
            <w:noWrap/>
            <w:vAlign w:val="center"/>
            <w:hideMark/>
          </w:tcPr>
          <w:p w14:paraId="2B273C60"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13,823</w:t>
            </w:r>
          </w:p>
        </w:tc>
        <w:tc>
          <w:tcPr>
            <w:tcW w:w="1571" w:type="dxa"/>
            <w:tcBorders>
              <w:top w:val="nil"/>
              <w:left w:val="nil"/>
              <w:bottom w:val="nil"/>
              <w:right w:val="nil"/>
            </w:tcBorders>
            <w:shd w:val="clear" w:color="auto" w:fill="auto"/>
            <w:noWrap/>
            <w:vAlign w:val="center"/>
            <w:hideMark/>
          </w:tcPr>
          <w:p w14:paraId="1B43F529"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13,823</w:t>
            </w:r>
          </w:p>
        </w:tc>
        <w:tc>
          <w:tcPr>
            <w:tcW w:w="1221" w:type="dxa"/>
            <w:tcBorders>
              <w:top w:val="nil"/>
              <w:left w:val="nil"/>
              <w:bottom w:val="nil"/>
              <w:right w:val="nil"/>
            </w:tcBorders>
            <w:shd w:val="clear" w:color="auto" w:fill="auto"/>
            <w:noWrap/>
            <w:vAlign w:val="center"/>
            <w:hideMark/>
          </w:tcPr>
          <w:p w14:paraId="1920E7E9"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27,646</w:t>
            </w:r>
          </w:p>
        </w:tc>
      </w:tr>
      <w:tr w:rsidR="006C2C5E" w:rsidRPr="00197E94" w14:paraId="09CD5490" w14:textId="77777777" w:rsidTr="002F7131">
        <w:trPr>
          <w:trHeight w:val="20"/>
        </w:trPr>
        <w:tc>
          <w:tcPr>
            <w:tcW w:w="5807" w:type="dxa"/>
            <w:tcBorders>
              <w:top w:val="nil"/>
              <w:left w:val="nil"/>
              <w:bottom w:val="nil"/>
              <w:right w:val="nil"/>
            </w:tcBorders>
            <w:shd w:val="clear" w:color="auto" w:fill="auto"/>
            <w:noWrap/>
            <w:vAlign w:val="center"/>
            <w:hideMark/>
          </w:tcPr>
          <w:p w14:paraId="6B579A40"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6"/>
                <w:szCs w:val="16"/>
              </w:rPr>
            </w:pPr>
            <w:r w:rsidRPr="00665B81">
              <w:rPr>
                <w:rFonts w:cstheme="minorHAnsi"/>
                <w:sz w:val="16"/>
                <w:szCs w:val="16"/>
              </w:rPr>
              <w:tab/>
              <w:t>A.3</w:t>
            </w:r>
            <w:r w:rsidRPr="00665B81">
              <w:rPr>
                <w:rFonts w:cstheme="minorHAnsi"/>
                <w:sz w:val="16"/>
                <w:szCs w:val="16"/>
              </w:rPr>
              <w:tab/>
            </w:r>
            <w:r w:rsidRPr="00665B81">
              <w:rPr>
                <w:rFonts w:cstheme="minorHAnsi"/>
                <w:sz w:val="16"/>
                <w:szCs w:val="16"/>
              </w:rPr>
              <w:t>部门准成员</w:t>
            </w:r>
          </w:p>
        </w:tc>
        <w:tc>
          <w:tcPr>
            <w:tcW w:w="1573" w:type="dxa"/>
            <w:tcBorders>
              <w:top w:val="nil"/>
              <w:left w:val="single" w:sz="4" w:space="0" w:color="0070C0"/>
              <w:bottom w:val="nil"/>
              <w:right w:val="nil"/>
            </w:tcBorders>
            <w:shd w:val="clear" w:color="auto" w:fill="auto"/>
            <w:noWrap/>
            <w:vAlign w:val="center"/>
            <w:hideMark/>
          </w:tcPr>
          <w:p w14:paraId="1AC579CB"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 </w:t>
            </w:r>
          </w:p>
        </w:tc>
        <w:tc>
          <w:tcPr>
            <w:tcW w:w="1718" w:type="dxa"/>
            <w:tcBorders>
              <w:top w:val="nil"/>
              <w:left w:val="nil"/>
              <w:bottom w:val="nil"/>
              <w:right w:val="nil"/>
            </w:tcBorders>
            <w:shd w:val="clear" w:color="auto" w:fill="auto"/>
            <w:noWrap/>
            <w:vAlign w:val="center"/>
            <w:hideMark/>
          </w:tcPr>
          <w:p w14:paraId="24DE33FE"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p>
        </w:tc>
        <w:tc>
          <w:tcPr>
            <w:tcW w:w="1718" w:type="dxa"/>
            <w:tcBorders>
              <w:top w:val="nil"/>
              <w:left w:val="nil"/>
              <w:bottom w:val="nil"/>
              <w:right w:val="nil"/>
            </w:tcBorders>
            <w:shd w:val="clear" w:color="auto" w:fill="auto"/>
            <w:noWrap/>
            <w:vAlign w:val="center"/>
            <w:hideMark/>
          </w:tcPr>
          <w:p w14:paraId="7B7D698B"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6"/>
              </w:rPr>
            </w:pPr>
          </w:p>
        </w:tc>
        <w:tc>
          <w:tcPr>
            <w:tcW w:w="1571" w:type="dxa"/>
            <w:tcBorders>
              <w:top w:val="nil"/>
              <w:left w:val="nil"/>
              <w:bottom w:val="nil"/>
              <w:right w:val="nil"/>
            </w:tcBorders>
            <w:shd w:val="clear" w:color="auto" w:fill="auto"/>
            <w:noWrap/>
            <w:vAlign w:val="center"/>
            <w:hideMark/>
          </w:tcPr>
          <w:p w14:paraId="1546E446"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6"/>
              </w:rPr>
            </w:pPr>
          </w:p>
        </w:tc>
        <w:tc>
          <w:tcPr>
            <w:tcW w:w="1221" w:type="dxa"/>
            <w:tcBorders>
              <w:top w:val="nil"/>
              <w:left w:val="nil"/>
              <w:bottom w:val="nil"/>
              <w:right w:val="nil"/>
            </w:tcBorders>
            <w:shd w:val="clear" w:color="auto" w:fill="auto"/>
            <w:noWrap/>
            <w:vAlign w:val="center"/>
            <w:hideMark/>
          </w:tcPr>
          <w:p w14:paraId="5BAFFEC3"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6"/>
              </w:rPr>
            </w:pPr>
          </w:p>
        </w:tc>
      </w:tr>
      <w:tr w:rsidR="006C2C5E" w:rsidRPr="00197E94" w14:paraId="7123B211" w14:textId="77777777" w:rsidTr="002F7131">
        <w:trPr>
          <w:trHeight w:val="20"/>
        </w:trPr>
        <w:tc>
          <w:tcPr>
            <w:tcW w:w="5807" w:type="dxa"/>
            <w:tcBorders>
              <w:top w:val="nil"/>
              <w:left w:val="nil"/>
              <w:bottom w:val="nil"/>
              <w:right w:val="nil"/>
            </w:tcBorders>
            <w:shd w:val="clear" w:color="auto" w:fill="auto"/>
            <w:noWrap/>
            <w:vAlign w:val="center"/>
            <w:hideMark/>
          </w:tcPr>
          <w:p w14:paraId="2531C3FF"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16"/>
                <w:szCs w:val="16"/>
              </w:rPr>
            </w:pPr>
            <w:r w:rsidRPr="00665B81">
              <w:rPr>
                <w:rFonts w:ascii="STKaiti" w:eastAsia="STKaiti" w:hAnsi="STKaiti"/>
                <w:sz w:val="16"/>
                <w:szCs w:val="16"/>
              </w:rPr>
              <w:tab/>
            </w:r>
            <w:r w:rsidRPr="00665B81">
              <w:rPr>
                <w:rFonts w:ascii="STKaiti" w:eastAsia="STKaiti" w:hAnsi="STKaiti"/>
                <w:sz w:val="16"/>
                <w:szCs w:val="16"/>
              </w:rPr>
              <w:tab/>
              <w:t>–</w:t>
            </w:r>
            <w:r w:rsidRPr="00665B81">
              <w:rPr>
                <w:rFonts w:ascii="STKaiti" w:eastAsia="STKaiti" w:hAnsi="STKaiti" w:hint="eastAsia"/>
                <w:sz w:val="16"/>
                <w:szCs w:val="16"/>
              </w:rPr>
              <w:t>无线电通信部门</w:t>
            </w:r>
          </w:p>
        </w:tc>
        <w:tc>
          <w:tcPr>
            <w:tcW w:w="1573" w:type="dxa"/>
            <w:tcBorders>
              <w:top w:val="nil"/>
              <w:left w:val="single" w:sz="4" w:space="0" w:color="0070C0"/>
              <w:bottom w:val="nil"/>
              <w:right w:val="nil"/>
            </w:tcBorders>
            <w:shd w:val="clear" w:color="auto" w:fill="auto"/>
            <w:noWrap/>
            <w:vAlign w:val="center"/>
            <w:hideMark/>
          </w:tcPr>
          <w:p w14:paraId="0138E382"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456</w:t>
            </w:r>
          </w:p>
        </w:tc>
        <w:tc>
          <w:tcPr>
            <w:tcW w:w="1718" w:type="dxa"/>
            <w:tcBorders>
              <w:top w:val="nil"/>
              <w:left w:val="nil"/>
              <w:bottom w:val="nil"/>
              <w:right w:val="nil"/>
            </w:tcBorders>
            <w:shd w:val="clear" w:color="auto" w:fill="auto"/>
            <w:noWrap/>
            <w:vAlign w:val="center"/>
            <w:hideMark/>
          </w:tcPr>
          <w:p w14:paraId="7E7CABD8"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446</w:t>
            </w:r>
          </w:p>
        </w:tc>
        <w:tc>
          <w:tcPr>
            <w:tcW w:w="1718" w:type="dxa"/>
            <w:tcBorders>
              <w:top w:val="nil"/>
              <w:left w:val="nil"/>
              <w:bottom w:val="nil"/>
              <w:right w:val="nil"/>
            </w:tcBorders>
            <w:shd w:val="clear" w:color="auto" w:fill="auto"/>
            <w:noWrap/>
            <w:vAlign w:val="center"/>
            <w:hideMark/>
          </w:tcPr>
          <w:p w14:paraId="0FD97176"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220</w:t>
            </w:r>
          </w:p>
        </w:tc>
        <w:tc>
          <w:tcPr>
            <w:tcW w:w="1571" w:type="dxa"/>
            <w:tcBorders>
              <w:top w:val="nil"/>
              <w:left w:val="nil"/>
              <w:bottom w:val="nil"/>
              <w:right w:val="nil"/>
            </w:tcBorders>
            <w:shd w:val="clear" w:color="auto" w:fill="auto"/>
            <w:noWrap/>
            <w:vAlign w:val="center"/>
            <w:hideMark/>
          </w:tcPr>
          <w:p w14:paraId="23E281C7"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220</w:t>
            </w:r>
          </w:p>
        </w:tc>
        <w:tc>
          <w:tcPr>
            <w:tcW w:w="1221" w:type="dxa"/>
            <w:tcBorders>
              <w:top w:val="nil"/>
              <w:left w:val="nil"/>
              <w:bottom w:val="nil"/>
              <w:right w:val="nil"/>
            </w:tcBorders>
            <w:shd w:val="clear" w:color="auto" w:fill="auto"/>
            <w:noWrap/>
            <w:vAlign w:val="center"/>
            <w:hideMark/>
          </w:tcPr>
          <w:p w14:paraId="439974D4"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440</w:t>
            </w:r>
          </w:p>
        </w:tc>
      </w:tr>
      <w:tr w:rsidR="006C2C5E" w:rsidRPr="00197E94" w14:paraId="63BEB836" w14:textId="77777777" w:rsidTr="002F7131">
        <w:trPr>
          <w:trHeight w:val="20"/>
        </w:trPr>
        <w:tc>
          <w:tcPr>
            <w:tcW w:w="5807" w:type="dxa"/>
            <w:tcBorders>
              <w:top w:val="nil"/>
              <w:left w:val="nil"/>
              <w:bottom w:val="nil"/>
              <w:right w:val="nil"/>
            </w:tcBorders>
            <w:shd w:val="clear" w:color="auto" w:fill="auto"/>
            <w:noWrap/>
            <w:vAlign w:val="center"/>
            <w:hideMark/>
          </w:tcPr>
          <w:p w14:paraId="01733A34"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16"/>
                <w:szCs w:val="16"/>
              </w:rPr>
            </w:pPr>
            <w:r w:rsidRPr="00665B81">
              <w:rPr>
                <w:rFonts w:ascii="STKaiti" w:eastAsia="STKaiti" w:hAnsi="STKaiti"/>
                <w:sz w:val="16"/>
                <w:szCs w:val="16"/>
              </w:rPr>
              <w:tab/>
            </w:r>
            <w:r w:rsidRPr="00665B81">
              <w:rPr>
                <w:rFonts w:ascii="STKaiti" w:eastAsia="STKaiti" w:hAnsi="STKaiti"/>
                <w:sz w:val="16"/>
                <w:szCs w:val="16"/>
              </w:rPr>
              <w:tab/>
              <w:t>–</w:t>
            </w:r>
            <w:r w:rsidRPr="00665B81">
              <w:rPr>
                <w:rFonts w:ascii="STKaiti" w:eastAsia="STKaiti" w:hAnsi="STKaiti" w:hint="eastAsia"/>
                <w:sz w:val="16"/>
                <w:szCs w:val="16"/>
              </w:rPr>
              <w:t>电信标准化部门</w:t>
            </w:r>
          </w:p>
        </w:tc>
        <w:tc>
          <w:tcPr>
            <w:tcW w:w="1573" w:type="dxa"/>
            <w:tcBorders>
              <w:top w:val="nil"/>
              <w:left w:val="single" w:sz="4" w:space="0" w:color="0070C0"/>
              <w:bottom w:val="nil"/>
              <w:right w:val="nil"/>
            </w:tcBorders>
            <w:shd w:val="clear" w:color="auto" w:fill="auto"/>
            <w:noWrap/>
            <w:vAlign w:val="center"/>
            <w:hideMark/>
          </w:tcPr>
          <w:p w14:paraId="3C8C9277"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3,314</w:t>
            </w:r>
          </w:p>
        </w:tc>
        <w:tc>
          <w:tcPr>
            <w:tcW w:w="1718" w:type="dxa"/>
            <w:tcBorders>
              <w:top w:val="nil"/>
              <w:left w:val="nil"/>
              <w:bottom w:val="nil"/>
              <w:right w:val="nil"/>
            </w:tcBorders>
            <w:shd w:val="clear" w:color="auto" w:fill="auto"/>
            <w:noWrap/>
            <w:vAlign w:val="center"/>
            <w:hideMark/>
          </w:tcPr>
          <w:p w14:paraId="77DBB432"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3,328</w:t>
            </w:r>
          </w:p>
        </w:tc>
        <w:tc>
          <w:tcPr>
            <w:tcW w:w="1718" w:type="dxa"/>
            <w:tcBorders>
              <w:top w:val="nil"/>
              <w:left w:val="nil"/>
              <w:bottom w:val="nil"/>
              <w:right w:val="nil"/>
            </w:tcBorders>
            <w:shd w:val="clear" w:color="auto" w:fill="auto"/>
            <w:noWrap/>
            <w:vAlign w:val="center"/>
            <w:hideMark/>
          </w:tcPr>
          <w:p w14:paraId="429CED15"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1,932</w:t>
            </w:r>
          </w:p>
        </w:tc>
        <w:tc>
          <w:tcPr>
            <w:tcW w:w="1571" w:type="dxa"/>
            <w:tcBorders>
              <w:top w:val="nil"/>
              <w:left w:val="nil"/>
              <w:bottom w:val="nil"/>
              <w:right w:val="nil"/>
            </w:tcBorders>
            <w:shd w:val="clear" w:color="auto" w:fill="auto"/>
            <w:noWrap/>
            <w:vAlign w:val="center"/>
            <w:hideMark/>
          </w:tcPr>
          <w:p w14:paraId="19400F7B"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1,932</w:t>
            </w:r>
          </w:p>
        </w:tc>
        <w:tc>
          <w:tcPr>
            <w:tcW w:w="1221" w:type="dxa"/>
            <w:tcBorders>
              <w:top w:val="nil"/>
              <w:left w:val="nil"/>
              <w:bottom w:val="nil"/>
              <w:right w:val="nil"/>
            </w:tcBorders>
            <w:shd w:val="clear" w:color="auto" w:fill="auto"/>
            <w:noWrap/>
            <w:vAlign w:val="center"/>
            <w:hideMark/>
          </w:tcPr>
          <w:p w14:paraId="499E94C9"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3,864</w:t>
            </w:r>
          </w:p>
        </w:tc>
      </w:tr>
      <w:tr w:rsidR="006C2C5E" w:rsidRPr="00197E94" w14:paraId="55F0B8AA" w14:textId="77777777" w:rsidTr="002F7131">
        <w:trPr>
          <w:trHeight w:val="20"/>
        </w:trPr>
        <w:tc>
          <w:tcPr>
            <w:tcW w:w="5807" w:type="dxa"/>
            <w:tcBorders>
              <w:top w:val="nil"/>
              <w:left w:val="nil"/>
              <w:bottom w:val="nil"/>
              <w:right w:val="nil"/>
            </w:tcBorders>
            <w:shd w:val="clear" w:color="auto" w:fill="auto"/>
            <w:noWrap/>
            <w:vAlign w:val="center"/>
            <w:hideMark/>
          </w:tcPr>
          <w:p w14:paraId="26ADDD9D"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16"/>
                <w:szCs w:val="16"/>
              </w:rPr>
            </w:pPr>
            <w:r w:rsidRPr="00665B81">
              <w:rPr>
                <w:rFonts w:ascii="STKaiti" w:eastAsia="STKaiti" w:hAnsi="STKaiti"/>
                <w:sz w:val="16"/>
                <w:szCs w:val="16"/>
              </w:rPr>
              <w:tab/>
            </w:r>
            <w:r w:rsidRPr="00665B81">
              <w:rPr>
                <w:rFonts w:ascii="STKaiti" w:eastAsia="STKaiti" w:hAnsi="STKaiti"/>
                <w:sz w:val="16"/>
                <w:szCs w:val="16"/>
              </w:rPr>
              <w:tab/>
              <w:t>–</w:t>
            </w:r>
            <w:r w:rsidRPr="00665B81">
              <w:rPr>
                <w:rFonts w:ascii="STKaiti" w:eastAsia="STKaiti" w:hAnsi="STKaiti" w:hint="eastAsia"/>
                <w:sz w:val="16"/>
                <w:szCs w:val="16"/>
              </w:rPr>
              <w:t>电信发展部门</w:t>
            </w:r>
          </w:p>
        </w:tc>
        <w:tc>
          <w:tcPr>
            <w:tcW w:w="1573" w:type="dxa"/>
            <w:tcBorders>
              <w:top w:val="nil"/>
              <w:left w:val="single" w:sz="4" w:space="0" w:color="0070C0"/>
              <w:bottom w:val="nil"/>
              <w:right w:val="nil"/>
            </w:tcBorders>
            <w:shd w:val="clear" w:color="auto" w:fill="auto"/>
            <w:noWrap/>
            <w:vAlign w:val="center"/>
            <w:hideMark/>
          </w:tcPr>
          <w:p w14:paraId="771B9C62"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71</w:t>
            </w:r>
          </w:p>
        </w:tc>
        <w:tc>
          <w:tcPr>
            <w:tcW w:w="1718" w:type="dxa"/>
            <w:tcBorders>
              <w:top w:val="nil"/>
              <w:left w:val="nil"/>
              <w:bottom w:val="nil"/>
              <w:right w:val="nil"/>
            </w:tcBorders>
            <w:shd w:val="clear" w:color="auto" w:fill="auto"/>
            <w:noWrap/>
            <w:vAlign w:val="center"/>
            <w:hideMark/>
          </w:tcPr>
          <w:p w14:paraId="794B5F53"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64</w:t>
            </w:r>
          </w:p>
        </w:tc>
        <w:tc>
          <w:tcPr>
            <w:tcW w:w="1718" w:type="dxa"/>
            <w:tcBorders>
              <w:top w:val="nil"/>
              <w:left w:val="nil"/>
              <w:bottom w:val="nil"/>
              <w:right w:val="nil"/>
            </w:tcBorders>
            <w:shd w:val="clear" w:color="auto" w:fill="auto"/>
            <w:noWrap/>
            <w:vAlign w:val="center"/>
            <w:hideMark/>
          </w:tcPr>
          <w:p w14:paraId="5B94D994"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44</w:t>
            </w:r>
          </w:p>
        </w:tc>
        <w:tc>
          <w:tcPr>
            <w:tcW w:w="1571" w:type="dxa"/>
            <w:tcBorders>
              <w:top w:val="nil"/>
              <w:left w:val="nil"/>
              <w:bottom w:val="nil"/>
              <w:right w:val="nil"/>
            </w:tcBorders>
            <w:shd w:val="clear" w:color="auto" w:fill="auto"/>
            <w:noWrap/>
            <w:vAlign w:val="center"/>
            <w:hideMark/>
          </w:tcPr>
          <w:p w14:paraId="786BE84A"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44</w:t>
            </w:r>
          </w:p>
        </w:tc>
        <w:tc>
          <w:tcPr>
            <w:tcW w:w="1221" w:type="dxa"/>
            <w:tcBorders>
              <w:top w:val="nil"/>
              <w:left w:val="nil"/>
              <w:bottom w:val="nil"/>
              <w:right w:val="nil"/>
            </w:tcBorders>
            <w:shd w:val="clear" w:color="auto" w:fill="auto"/>
            <w:noWrap/>
            <w:vAlign w:val="center"/>
            <w:hideMark/>
          </w:tcPr>
          <w:p w14:paraId="5EBB63CE"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88</w:t>
            </w:r>
          </w:p>
        </w:tc>
      </w:tr>
      <w:tr w:rsidR="006C2C5E" w:rsidRPr="00197E94" w14:paraId="6975D4BB" w14:textId="77777777" w:rsidTr="002F7131">
        <w:trPr>
          <w:trHeight w:val="20"/>
        </w:trPr>
        <w:tc>
          <w:tcPr>
            <w:tcW w:w="5807" w:type="dxa"/>
            <w:tcBorders>
              <w:top w:val="nil"/>
              <w:left w:val="nil"/>
              <w:bottom w:val="nil"/>
              <w:right w:val="nil"/>
            </w:tcBorders>
            <w:shd w:val="clear" w:color="auto" w:fill="auto"/>
            <w:noWrap/>
            <w:vAlign w:val="center"/>
            <w:hideMark/>
          </w:tcPr>
          <w:p w14:paraId="0EE94201"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16"/>
                <w:szCs w:val="16"/>
              </w:rPr>
            </w:pPr>
            <w:r w:rsidRPr="00665B81">
              <w:rPr>
                <w:rFonts w:ascii="STKaiti" w:eastAsia="STKaiti" w:hAnsi="STKaiti"/>
                <w:sz w:val="16"/>
                <w:szCs w:val="16"/>
              </w:rPr>
              <w:tab/>
            </w:r>
            <w:r w:rsidRPr="00665B81">
              <w:rPr>
                <w:rFonts w:ascii="STKaiti" w:eastAsia="STKaiti" w:hAnsi="STKaiti"/>
                <w:sz w:val="16"/>
                <w:szCs w:val="16"/>
              </w:rPr>
              <w:tab/>
            </w:r>
            <w:r w:rsidRPr="00665B81">
              <w:rPr>
                <w:rFonts w:ascii="STKaiti" w:eastAsia="STKaiti" w:hAnsi="STKaiti" w:hint="eastAsia"/>
                <w:sz w:val="16"/>
                <w:szCs w:val="16"/>
              </w:rPr>
              <w:t>部门准成员合计</w:t>
            </w:r>
          </w:p>
        </w:tc>
        <w:tc>
          <w:tcPr>
            <w:tcW w:w="1573" w:type="dxa"/>
            <w:tcBorders>
              <w:top w:val="nil"/>
              <w:left w:val="single" w:sz="4" w:space="0" w:color="0070C0"/>
              <w:bottom w:val="nil"/>
              <w:right w:val="nil"/>
            </w:tcBorders>
            <w:shd w:val="clear" w:color="auto" w:fill="auto"/>
            <w:noWrap/>
            <w:vAlign w:val="center"/>
            <w:hideMark/>
          </w:tcPr>
          <w:p w14:paraId="2595D796"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3,841</w:t>
            </w:r>
          </w:p>
        </w:tc>
        <w:tc>
          <w:tcPr>
            <w:tcW w:w="1718" w:type="dxa"/>
            <w:tcBorders>
              <w:top w:val="nil"/>
              <w:left w:val="nil"/>
              <w:bottom w:val="nil"/>
              <w:right w:val="nil"/>
            </w:tcBorders>
            <w:shd w:val="clear" w:color="auto" w:fill="auto"/>
            <w:noWrap/>
            <w:vAlign w:val="center"/>
            <w:hideMark/>
          </w:tcPr>
          <w:p w14:paraId="007C6A51"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3,838</w:t>
            </w:r>
          </w:p>
        </w:tc>
        <w:tc>
          <w:tcPr>
            <w:tcW w:w="1718" w:type="dxa"/>
            <w:tcBorders>
              <w:top w:val="nil"/>
              <w:left w:val="nil"/>
              <w:bottom w:val="nil"/>
              <w:right w:val="nil"/>
            </w:tcBorders>
            <w:shd w:val="clear" w:color="auto" w:fill="auto"/>
            <w:noWrap/>
            <w:vAlign w:val="center"/>
            <w:hideMark/>
          </w:tcPr>
          <w:p w14:paraId="40074A37"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2,196</w:t>
            </w:r>
          </w:p>
        </w:tc>
        <w:tc>
          <w:tcPr>
            <w:tcW w:w="1571" w:type="dxa"/>
            <w:tcBorders>
              <w:top w:val="nil"/>
              <w:left w:val="nil"/>
              <w:bottom w:val="nil"/>
              <w:right w:val="nil"/>
            </w:tcBorders>
            <w:shd w:val="clear" w:color="auto" w:fill="auto"/>
            <w:noWrap/>
            <w:vAlign w:val="center"/>
            <w:hideMark/>
          </w:tcPr>
          <w:p w14:paraId="72B700F0" w14:textId="36AECF9E"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2,196</w:t>
            </w:r>
          </w:p>
        </w:tc>
        <w:tc>
          <w:tcPr>
            <w:tcW w:w="1221" w:type="dxa"/>
            <w:tcBorders>
              <w:top w:val="nil"/>
              <w:left w:val="nil"/>
              <w:bottom w:val="nil"/>
              <w:right w:val="nil"/>
            </w:tcBorders>
            <w:shd w:val="clear" w:color="auto" w:fill="auto"/>
            <w:noWrap/>
            <w:vAlign w:val="center"/>
            <w:hideMark/>
          </w:tcPr>
          <w:p w14:paraId="71ABDE23"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4,392</w:t>
            </w:r>
          </w:p>
        </w:tc>
      </w:tr>
      <w:tr w:rsidR="006C2C5E" w:rsidRPr="00197E94" w14:paraId="209B5273" w14:textId="77777777" w:rsidTr="002F7131">
        <w:trPr>
          <w:trHeight w:val="20"/>
        </w:trPr>
        <w:tc>
          <w:tcPr>
            <w:tcW w:w="5807" w:type="dxa"/>
            <w:tcBorders>
              <w:top w:val="nil"/>
              <w:left w:val="nil"/>
              <w:bottom w:val="nil"/>
              <w:right w:val="nil"/>
            </w:tcBorders>
            <w:shd w:val="clear" w:color="auto" w:fill="auto"/>
            <w:noWrap/>
            <w:vAlign w:val="center"/>
            <w:hideMark/>
          </w:tcPr>
          <w:p w14:paraId="686EF90D"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6"/>
                <w:szCs w:val="16"/>
              </w:rPr>
            </w:pPr>
            <w:r w:rsidRPr="00665B81">
              <w:rPr>
                <w:rFonts w:cstheme="minorHAnsi"/>
                <w:sz w:val="16"/>
                <w:szCs w:val="16"/>
              </w:rPr>
              <w:tab/>
              <w:t>A.4</w:t>
            </w:r>
            <w:r w:rsidRPr="00665B81">
              <w:rPr>
                <w:rFonts w:cstheme="minorHAnsi"/>
                <w:sz w:val="16"/>
                <w:szCs w:val="16"/>
              </w:rPr>
              <w:tab/>
            </w:r>
            <w:r w:rsidRPr="00665B81">
              <w:rPr>
                <w:rFonts w:cstheme="minorHAnsi"/>
                <w:sz w:val="16"/>
                <w:szCs w:val="16"/>
              </w:rPr>
              <w:t>学术成员</w:t>
            </w:r>
          </w:p>
        </w:tc>
        <w:tc>
          <w:tcPr>
            <w:tcW w:w="1573" w:type="dxa"/>
            <w:tcBorders>
              <w:top w:val="nil"/>
              <w:left w:val="single" w:sz="4" w:space="0" w:color="0070C0"/>
              <w:bottom w:val="nil"/>
              <w:right w:val="nil"/>
            </w:tcBorders>
            <w:shd w:val="clear" w:color="auto" w:fill="auto"/>
            <w:noWrap/>
            <w:vAlign w:val="center"/>
            <w:hideMark/>
          </w:tcPr>
          <w:p w14:paraId="04554FE0"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748</w:t>
            </w:r>
          </w:p>
        </w:tc>
        <w:tc>
          <w:tcPr>
            <w:tcW w:w="1718" w:type="dxa"/>
            <w:tcBorders>
              <w:top w:val="nil"/>
              <w:left w:val="nil"/>
              <w:bottom w:val="nil"/>
              <w:right w:val="nil"/>
            </w:tcBorders>
            <w:shd w:val="clear" w:color="auto" w:fill="auto"/>
            <w:noWrap/>
            <w:vAlign w:val="center"/>
            <w:hideMark/>
          </w:tcPr>
          <w:p w14:paraId="57E60A48"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752</w:t>
            </w:r>
          </w:p>
        </w:tc>
        <w:tc>
          <w:tcPr>
            <w:tcW w:w="1718" w:type="dxa"/>
            <w:tcBorders>
              <w:top w:val="nil"/>
              <w:left w:val="nil"/>
              <w:bottom w:val="nil"/>
              <w:right w:val="nil"/>
            </w:tcBorders>
            <w:shd w:val="clear" w:color="auto" w:fill="auto"/>
            <w:noWrap/>
            <w:vAlign w:val="center"/>
            <w:hideMark/>
          </w:tcPr>
          <w:p w14:paraId="2F25580E"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398</w:t>
            </w:r>
          </w:p>
        </w:tc>
        <w:tc>
          <w:tcPr>
            <w:tcW w:w="1571" w:type="dxa"/>
            <w:tcBorders>
              <w:top w:val="nil"/>
              <w:left w:val="nil"/>
              <w:bottom w:val="nil"/>
              <w:right w:val="nil"/>
            </w:tcBorders>
            <w:shd w:val="clear" w:color="auto" w:fill="auto"/>
            <w:noWrap/>
            <w:vAlign w:val="center"/>
            <w:hideMark/>
          </w:tcPr>
          <w:p w14:paraId="46AFDA24" w14:textId="2D118FAE"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398</w:t>
            </w:r>
          </w:p>
        </w:tc>
        <w:tc>
          <w:tcPr>
            <w:tcW w:w="1221" w:type="dxa"/>
            <w:tcBorders>
              <w:top w:val="nil"/>
              <w:left w:val="nil"/>
              <w:bottom w:val="nil"/>
              <w:right w:val="nil"/>
            </w:tcBorders>
            <w:shd w:val="clear" w:color="auto" w:fill="auto"/>
            <w:noWrap/>
            <w:vAlign w:val="center"/>
            <w:hideMark/>
          </w:tcPr>
          <w:p w14:paraId="635074BD" w14:textId="7E8D982A" w:rsidR="006C2C5E" w:rsidRPr="00665B81" w:rsidRDefault="00181DF0"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52925">
              <w:rPr>
                <w:rFonts w:ascii="Helv" w:eastAsia="Times New Roman" w:hAnsi="Helv"/>
                <w:noProof/>
                <w:sz w:val="20"/>
              </w:rPr>
              <mc:AlternateContent>
                <mc:Choice Requires="wps">
                  <w:drawing>
                    <wp:anchor distT="0" distB="0" distL="114300" distR="114300" simplePos="0" relativeHeight="251729920" behindDoc="0" locked="0" layoutInCell="1" allowOverlap="1" wp14:anchorId="3B70A538" wp14:editId="3E277882">
                      <wp:simplePos x="0" y="0"/>
                      <wp:positionH relativeFrom="column">
                        <wp:posOffset>-26670</wp:posOffset>
                      </wp:positionH>
                      <wp:positionV relativeFrom="paragraph">
                        <wp:posOffset>-2088515</wp:posOffset>
                      </wp:positionV>
                      <wp:extent cx="809625" cy="5172075"/>
                      <wp:effectExtent l="0" t="0" r="28575" b="28575"/>
                      <wp:wrapNone/>
                      <wp:docPr id="1" name="圆角矩形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5172075"/>
                              </a:xfrm>
                              <a:prstGeom prst="roundRect">
                                <a:avLst>
                                  <a:gd name="adj" fmla="val 50000"/>
                                </a:avLst>
                              </a:prstGeom>
                              <a:noFill/>
                              <a:ln w="12700">
                                <a:solidFill>
                                  <a:schemeClr val="accent1">
                                    <a:lumMod val="75000"/>
                                  </a:schemeClr>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0208EEDB" id="圆角矩形 1025" o:spid="_x0000_s1026" style="position:absolute;margin-left:-2.1pt;margin-top:-164.45pt;width:63.75pt;height:407.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" filled="f" strokecolor="#365f91 [2404]" strokeweight="1pt"/>
                  </w:pict>
                </mc:Fallback>
              </mc:AlternateContent>
            </w:r>
            <w:r w:rsidR="006C2C5E" w:rsidRPr="00665B81">
              <w:rPr>
                <w:rFonts w:eastAsia="Times New Roman" w:cs="Calibri"/>
                <w:i/>
                <w:iCs/>
                <w:color w:val="002060"/>
                <w:sz w:val="16"/>
                <w:szCs w:val="18"/>
              </w:rPr>
              <w:t>796</w:t>
            </w:r>
          </w:p>
        </w:tc>
      </w:tr>
      <w:tr w:rsidR="006C2C5E" w:rsidRPr="00197E94" w14:paraId="48A10628" w14:textId="77777777" w:rsidTr="002F7131">
        <w:trPr>
          <w:trHeight w:val="20"/>
        </w:trPr>
        <w:tc>
          <w:tcPr>
            <w:tcW w:w="5807" w:type="dxa"/>
            <w:tcBorders>
              <w:top w:val="nil"/>
              <w:left w:val="nil"/>
              <w:bottom w:val="nil"/>
              <w:right w:val="nil"/>
            </w:tcBorders>
            <w:shd w:val="clear" w:color="auto" w:fill="auto"/>
            <w:noWrap/>
            <w:vAlign w:val="center"/>
            <w:hideMark/>
          </w:tcPr>
          <w:p w14:paraId="01B6CCD0"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6"/>
                <w:szCs w:val="16"/>
              </w:rPr>
            </w:pPr>
            <w:r w:rsidRPr="00665B81">
              <w:rPr>
                <w:rFonts w:cstheme="minorHAnsi"/>
                <w:sz w:val="16"/>
                <w:szCs w:val="16"/>
              </w:rPr>
              <w:tab/>
              <w:t>A.5</w:t>
            </w:r>
            <w:r w:rsidRPr="00665B81">
              <w:rPr>
                <w:rFonts w:cstheme="minorHAnsi"/>
                <w:sz w:val="16"/>
                <w:szCs w:val="16"/>
              </w:rPr>
              <w:tab/>
            </w:r>
            <w:r w:rsidRPr="00665B81">
              <w:rPr>
                <w:rFonts w:cstheme="minorHAnsi"/>
                <w:sz w:val="16"/>
                <w:szCs w:val="16"/>
              </w:rPr>
              <w:t>成员国的大会会费</w:t>
            </w:r>
          </w:p>
        </w:tc>
        <w:tc>
          <w:tcPr>
            <w:tcW w:w="1573" w:type="dxa"/>
            <w:tcBorders>
              <w:top w:val="nil"/>
              <w:left w:val="single" w:sz="4" w:space="0" w:color="0070C0"/>
              <w:bottom w:val="nil"/>
              <w:right w:val="nil"/>
            </w:tcBorders>
            <w:shd w:val="clear" w:color="auto" w:fill="auto"/>
            <w:noWrap/>
            <w:vAlign w:val="center"/>
            <w:hideMark/>
          </w:tcPr>
          <w:p w14:paraId="5CDC0288"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230</w:t>
            </w:r>
          </w:p>
        </w:tc>
        <w:tc>
          <w:tcPr>
            <w:tcW w:w="1718" w:type="dxa"/>
            <w:tcBorders>
              <w:top w:val="nil"/>
              <w:left w:val="nil"/>
              <w:bottom w:val="nil"/>
              <w:right w:val="nil"/>
            </w:tcBorders>
            <w:shd w:val="clear" w:color="auto" w:fill="auto"/>
            <w:noWrap/>
            <w:vAlign w:val="center"/>
            <w:hideMark/>
          </w:tcPr>
          <w:p w14:paraId="7F59F35F"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p>
        </w:tc>
        <w:tc>
          <w:tcPr>
            <w:tcW w:w="1718" w:type="dxa"/>
            <w:tcBorders>
              <w:top w:val="nil"/>
              <w:left w:val="nil"/>
              <w:bottom w:val="nil"/>
              <w:right w:val="nil"/>
            </w:tcBorders>
            <w:shd w:val="clear" w:color="auto" w:fill="auto"/>
            <w:noWrap/>
            <w:vAlign w:val="center"/>
            <w:hideMark/>
          </w:tcPr>
          <w:p w14:paraId="38DA7DCC"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6"/>
              </w:rPr>
            </w:pPr>
          </w:p>
        </w:tc>
        <w:tc>
          <w:tcPr>
            <w:tcW w:w="1571" w:type="dxa"/>
            <w:tcBorders>
              <w:top w:val="nil"/>
              <w:left w:val="nil"/>
              <w:bottom w:val="nil"/>
              <w:right w:val="nil"/>
            </w:tcBorders>
            <w:shd w:val="clear" w:color="auto" w:fill="auto"/>
            <w:noWrap/>
            <w:vAlign w:val="center"/>
            <w:hideMark/>
          </w:tcPr>
          <w:p w14:paraId="3118BF5F" w14:textId="164E7C4C"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6"/>
              </w:rPr>
            </w:pPr>
          </w:p>
        </w:tc>
        <w:tc>
          <w:tcPr>
            <w:tcW w:w="1221" w:type="dxa"/>
            <w:tcBorders>
              <w:top w:val="nil"/>
              <w:left w:val="nil"/>
              <w:bottom w:val="nil"/>
              <w:right w:val="nil"/>
            </w:tcBorders>
            <w:shd w:val="clear" w:color="auto" w:fill="auto"/>
            <w:noWrap/>
            <w:vAlign w:val="center"/>
            <w:hideMark/>
          </w:tcPr>
          <w:p w14:paraId="1D726533"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6"/>
              </w:rPr>
            </w:pPr>
          </w:p>
        </w:tc>
      </w:tr>
      <w:tr w:rsidR="006C2C5E" w:rsidRPr="00197E94" w14:paraId="06198E7D" w14:textId="77777777" w:rsidTr="002F7131">
        <w:trPr>
          <w:trHeight w:val="20"/>
        </w:trPr>
        <w:tc>
          <w:tcPr>
            <w:tcW w:w="5807" w:type="dxa"/>
            <w:tcBorders>
              <w:top w:val="nil"/>
              <w:left w:val="nil"/>
              <w:bottom w:val="nil"/>
              <w:right w:val="nil"/>
            </w:tcBorders>
            <w:shd w:val="clear" w:color="auto" w:fill="auto"/>
            <w:noWrap/>
            <w:vAlign w:val="center"/>
            <w:hideMark/>
          </w:tcPr>
          <w:p w14:paraId="647601F3"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6"/>
                <w:szCs w:val="16"/>
              </w:rPr>
            </w:pPr>
            <w:r w:rsidRPr="00665B81">
              <w:rPr>
                <w:rFonts w:cstheme="minorHAnsi"/>
                <w:sz w:val="16"/>
                <w:szCs w:val="16"/>
              </w:rPr>
              <w:tab/>
            </w:r>
            <w:r w:rsidRPr="00665B81">
              <w:rPr>
                <w:rFonts w:cstheme="minorHAnsi"/>
                <w:sz w:val="16"/>
                <w:szCs w:val="16"/>
              </w:rPr>
              <w:t>分摊会费合计</w:t>
            </w:r>
          </w:p>
        </w:tc>
        <w:tc>
          <w:tcPr>
            <w:tcW w:w="1573" w:type="dxa"/>
            <w:tcBorders>
              <w:top w:val="nil"/>
              <w:left w:val="single" w:sz="4" w:space="0" w:color="0070C0"/>
              <w:bottom w:val="single" w:sz="4" w:space="0" w:color="auto"/>
              <w:right w:val="nil"/>
            </w:tcBorders>
            <w:shd w:val="clear" w:color="auto" w:fill="auto"/>
            <w:noWrap/>
            <w:vAlign w:val="center"/>
            <w:hideMark/>
          </w:tcPr>
          <w:p w14:paraId="1E35A3D1"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251,677</w:t>
            </w:r>
          </w:p>
        </w:tc>
        <w:tc>
          <w:tcPr>
            <w:tcW w:w="1718" w:type="dxa"/>
            <w:tcBorders>
              <w:top w:val="nil"/>
              <w:left w:val="nil"/>
              <w:bottom w:val="single" w:sz="4" w:space="0" w:color="auto"/>
              <w:right w:val="nil"/>
            </w:tcBorders>
            <w:shd w:val="clear" w:color="auto" w:fill="auto"/>
            <w:noWrap/>
            <w:vAlign w:val="center"/>
            <w:hideMark/>
          </w:tcPr>
          <w:p w14:paraId="0ADA48EB"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251,104</w:t>
            </w:r>
          </w:p>
        </w:tc>
        <w:tc>
          <w:tcPr>
            <w:tcW w:w="1718" w:type="dxa"/>
            <w:tcBorders>
              <w:top w:val="nil"/>
              <w:left w:val="nil"/>
              <w:bottom w:val="single" w:sz="4" w:space="0" w:color="auto"/>
              <w:right w:val="nil"/>
            </w:tcBorders>
            <w:shd w:val="clear" w:color="auto" w:fill="auto"/>
            <w:noWrap/>
            <w:vAlign w:val="center"/>
            <w:hideMark/>
          </w:tcPr>
          <w:p w14:paraId="732C177D"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125,710</w:t>
            </w:r>
          </w:p>
        </w:tc>
        <w:tc>
          <w:tcPr>
            <w:tcW w:w="1571" w:type="dxa"/>
            <w:tcBorders>
              <w:top w:val="nil"/>
              <w:left w:val="nil"/>
              <w:bottom w:val="single" w:sz="4" w:space="0" w:color="auto"/>
              <w:right w:val="nil"/>
            </w:tcBorders>
            <w:shd w:val="clear" w:color="auto" w:fill="auto"/>
            <w:noWrap/>
            <w:vAlign w:val="center"/>
            <w:hideMark/>
          </w:tcPr>
          <w:p w14:paraId="7D8E187B" w14:textId="6F04B8EF"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125,710</w:t>
            </w:r>
          </w:p>
        </w:tc>
        <w:tc>
          <w:tcPr>
            <w:tcW w:w="1221" w:type="dxa"/>
            <w:tcBorders>
              <w:top w:val="nil"/>
              <w:left w:val="nil"/>
              <w:bottom w:val="single" w:sz="4" w:space="0" w:color="auto"/>
              <w:right w:val="nil"/>
            </w:tcBorders>
            <w:shd w:val="clear" w:color="auto" w:fill="auto"/>
            <w:noWrap/>
            <w:vAlign w:val="center"/>
            <w:hideMark/>
          </w:tcPr>
          <w:p w14:paraId="4F4E3379"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251,420</w:t>
            </w:r>
          </w:p>
        </w:tc>
      </w:tr>
      <w:tr w:rsidR="006C2C5E" w:rsidRPr="00197E94" w14:paraId="08F23C26" w14:textId="77777777" w:rsidTr="002F7131">
        <w:trPr>
          <w:trHeight w:val="20"/>
        </w:trPr>
        <w:tc>
          <w:tcPr>
            <w:tcW w:w="5807" w:type="dxa"/>
            <w:tcBorders>
              <w:top w:val="nil"/>
              <w:left w:val="nil"/>
              <w:bottom w:val="nil"/>
              <w:right w:val="nil"/>
            </w:tcBorders>
            <w:shd w:val="clear" w:color="auto" w:fill="auto"/>
            <w:noWrap/>
            <w:vAlign w:val="center"/>
            <w:hideMark/>
          </w:tcPr>
          <w:p w14:paraId="1D7C099C"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6"/>
                <w:szCs w:val="16"/>
              </w:rPr>
            </w:pPr>
            <w:r w:rsidRPr="00665B81">
              <w:rPr>
                <w:rFonts w:cstheme="minorHAnsi"/>
                <w:sz w:val="16"/>
                <w:szCs w:val="16"/>
              </w:rPr>
              <w:t>B.</w:t>
            </w:r>
            <w:r w:rsidRPr="00665B81">
              <w:rPr>
                <w:rFonts w:cstheme="minorHAnsi"/>
                <w:sz w:val="16"/>
                <w:szCs w:val="16"/>
              </w:rPr>
              <w:tab/>
            </w:r>
            <w:r w:rsidRPr="00665B81">
              <w:rPr>
                <w:rFonts w:cstheme="minorHAnsi"/>
                <w:sz w:val="16"/>
                <w:szCs w:val="16"/>
              </w:rPr>
              <w:t>成本回收</w:t>
            </w:r>
          </w:p>
        </w:tc>
        <w:tc>
          <w:tcPr>
            <w:tcW w:w="1573" w:type="dxa"/>
            <w:tcBorders>
              <w:top w:val="nil"/>
              <w:left w:val="single" w:sz="4" w:space="0" w:color="0070C0"/>
              <w:bottom w:val="nil"/>
              <w:right w:val="nil"/>
            </w:tcBorders>
            <w:shd w:val="clear" w:color="auto" w:fill="auto"/>
            <w:noWrap/>
            <w:vAlign w:val="center"/>
            <w:hideMark/>
          </w:tcPr>
          <w:p w14:paraId="3A8961FD" w14:textId="77777777" w:rsidR="006C2C5E" w:rsidRPr="00197E94"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197E94">
              <w:rPr>
                <w:rFonts w:eastAsia="Times New Roman" w:cs="Calibri"/>
                <w:sz w:val="18"/>
                <w:szCs w:val="18"/>
              </w:rPr>
              <w:t> </w:t>
            </w:r>
          </w:p>
        </w:tc>
        <w:tc>
          <w:tcPr>
            <w:tcW w:w="1718" w:type="dxa"/>
            <w:tcBorders>
              <w:top w:val="nil"/>
              <w:left w:val="nil"/>
              <w:bottom w:val="nil"/>
              <w:right w:val="nil"/>
            </w:tcBorders>
            <w:shd w:val="clear" w:color="auto" w:fill="auto"/>
            <w:noWrap/>
            <w:vAlign w:val="center"/>
            <w:hideMark/>
          </w:tcPr>
          <w:p w14:paraId="43810937" w14:textId="77777777" w:rsidR="006C2C5E" w:rsidRPr="00197E94"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p>
        </w:tc>
        <w:tc>
          <w:tcPr>
            <w:tcW w:w="1718" w:type="dxa"/>
            <w:tcBorders>
              <w:top w:val="nil"/>
              <w:left w:val="nil"/>
              <w:bottom w:val="nil"/>
              <w:right w:val="nil"/>
            </w:tcBorders>
            <w:shd w:val="clear" w:color="auto" w:fill="auto"/>
            <w:noWrap/>
            <w:vAlign w:val="center"/>
            <w:hideMark/>
          </w:tcPr>
          <w:p w14:paraId="484B68CF" w14:textId="77777777" w:rsidR="006C2C5E" w:rsidRPr="00197E94"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71" w:type="dxa"/>
            <w:tcBorders>
              <w:top w:val="nil"/>
              <w:left w:val="nil"/>
              <w:bottom w:val="nil"/>
              <w:right w:val="nil"/>
            </w:tcBorders>
            <w:shd w:val="clear" w:color="auto" w:fill="auto"/>
            <w:noWrap/>
            <w:vAlign w:val="center"/>
            <w:hideMark/>
          </w:tcPr>
          <w:p w14:paraId="1000A146" w14:textId="77777777" w:rsidR="006C2C5E" w:rsidRPr="00197E94"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21" w:type="dxa"/>
            <w:tcBorders>
              <w:top w:val="nil"/>
              <w:left w:val="nil"/>
              <w:bottom w:val="nil"/>
              <w:right w:val="nil"/>
            </w:tcBorders>
            <w:shd w:val="clear" w:color="auto" w:fill="auto"/>
            <w:noWrap/>
            <w:vAlign w:val="center"/>
            <w:hideMark/>
          </w:tcPr>
          <w:p w14:paraId="0337A644" w14:textId="77777777" w:rsidR="006C2C5E" w:rsidRPr="00197E94"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197E94" w14:paraId="3CCEE0FE" w14:textId="77777777" w:rsidTr="002F7131">
        <w:trPr>
          <w:trHeight w:val="20"/>
        </w:trPr>
        <w:tc>
          <w:tcPr>
            <w:tcW w:w="5807" w:type="dxa"/>
            <w:tcBorders>
              <w:top w:val="nil"/>
              <w:left w:val="nil"/>
              <w:bottom w:val="nil"/>
              <w:right w:val="nil"/>
            </w:tcBorders>
            <w:shd w:val="clear" w:color="auto" w:fill="auto"/>
            <w:noWrap/>
            <w:vAlign w:val="center"/>
            <w:hideMark/>
          </w:tcPr>
          <w:p w14:paraId="4FFA2F2F"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6"/>
                <w:szCs w:val="16"/>
              </w:rPr>
            </w:pPr>
            <w:r w:rsidRPr="00665B81">
              <w:rPr>
                <w:rFonts w:cstheme="minorHAnsi"/>
                <w:sz w:val="16"/>
                <w:szCs w:val="16"/>
              </w:rPr>
              <w:tab/>
              <w:t>B.1</w:t>
            </w:r>
            <w:r w:rsidRPr="00665B81">
              <w:rPr>
                <w:rFonts w:cstheme="minorHAnsi"/>
                <w:sz w:val="16"/>
                <w:szCs w:val="16"/>
              </w:rPr>
              <w:tab/>
            </w:r>
            <w:r w:rsidRPr="00665B81">
              <w:rPr>
                <w:rFonts w:cstheme="minorHAnsi"/>
                <w:sz w:val="16"/>
                <w:szCs w:val="16"/>
              </w:rPr>
              <w:t>项目支持成本收入</w:t>
            </w:r>
          </w:p>
        </w:tc>
        <w:tc>
          <w:tcPr>
            <w:tcW w:w="1573" w:type="dxa"/>
            <w:tcBorders>
              <w:top w:val="nil"/>
              <w:left w:val="single" w:sz="4" w:space="0" w:color="0070C0"/>
              <w:bottom w:val="nil"/>
              <w:right w:val="nil"/>
            </w:tcBorders>
            <w:shd w:val="clear" w:color="auto" w:fill="auto"/>
            <w:noWrap/>
            <w:vAlign w:val="center"/>
            <w:hideMark/>
          </w:tcPr>
          <w:p w14:paraId="4BF10371"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841</w:t>
            </w:r>
          </w:p>
        </w:tc>
        <w:tc>
          <w:tcPr>
            <w:tcW w:w="1718" w:type="dxa"/>
            <w:tcBorders>
              <w:top w:val="nil"/>
              <w:left w:val="nil"/>
              <w:bottom w:val="nil"/>
              <w:right w:val="nil"/>
            </w:tcBorders>
            <w:shd w:val="clear" w:color="auto" w:fill="auto"/>
            <w:noWrap/>
            <w:vAlign w:val="center"/>
            <w:hideMark/>
          </w:tcPr>
          <w:p w14:paraId="781DEDC0"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2,750</w:t>
            </w:r>
          </w:p>
        </w:tc>
        <w:tc>
          <w:tcPr>
            <w:tcW w:w="1718" w:type="dxa"/>
            <w:tcBorders>
              <w:top w:val="nil"/>
              <w:left w:val="nil"/>
              <w:bottom w:val="nil"/>
              <w:right w:val="nil"/>
            </w:tcBorders>
            <w:shd w:val="clear" w:color="auto" w:fill="auto"/>
            <w:noWrap/>
            <w:vAlign w:val="center"/>
            <w:hideMark/>
          </w:tcPr>
          <w:p w14:paraId="2F36C793"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1,000</w:t>
            </w:r>
          </w:p>
        </w:tc>
        <w:tc>
          <w:tcPr>
            <w:tcW w:w="1571" w:type="dxa"/>
            <w:tcBorders>
              <w:top w:val="nil"/>
              <w:left w:val="nil"/>
              <w:bottom w:val="nil"/>
              <w:right w:val="nil"/>
            </w:tcBorders>
            <w:shd w:val="clear" w:color="auto" w:fill="auto"/>
            <w:noWrap/>
            <w:vAlign w:val="center"/>
            <w:hideMark/>
          </w:tcPr>
          <w:p w14:paraId="639330BC"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1,000</w:t>
            </w:r>
          </w:p>
        </w:tc>
        <w:tc>
          <w:tcPr>
            <w:tcW w:w="1221" w:type="dxa"/>
            <w:tcBorders>
              <w:top w:val="nil"/>
              <w:left w:val="nil"/>
              <w:bottom w:val="nil"/>
              <w:right w:val="nil"/>
            </w:tcBorders>
            <w:shd w:val="clear" w:color="auto" w:fill="auto"/>
            <w:noWrap/>
            <w:vAlign w:val="center"/>
            <w:hideMark/>
          </w:tcPr>
          <w:p w14:paraId="20C19070"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2,000</w:t>
            </w:r>
          </w:p>
        </w:tc>
      </w:tr>
      <w:tr w:rsidR="006C2C5E" w:rsidRPr="00197E94" w14:paraId="79EDAB78" w14:textId="77777777" w:rsidTr="002F7131">
        <w:trPr>
          <w:trHeight w:val="20"/>
        </w:trPr>
        <w:tc>
          <w:tcPr>
            <w:tcW w:w="5807" w:type="dxa"/>
            <w:tcBorders>
              <w:top w:val="nil"/>
              <w:left w:val="nil"/>
              <w:bottom w:val="nil"/>
              <w:right w:val="nil"/>
            </w:tcBorders>
            <w:shd w:val="clear" w:color="auto" w:fill="auto"/>
            <w:noWrap/>
            <w:vAlign w:val="center"/>
            <w:hideMark/>
          </w:tcPr>
          <w:p w14:paraId="679A54FA" w14:textId="77777777" w:rsidR="006C2C5E" w:rsidRPr="003542E8"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rPr>
            </w:pPr>
            <w:r w:rsidRPr="00665B81">
              <w:rPr>
                <w:rFonts w:cstheme="minorHAnsi"/>
                <w:sz w:val="16"/>
                <w:szCs w:val="18"/>
              </w:rPr>
              <w:tab/>
              <w:t>B.2</w:t>
            </w:r>
            <w:r w:rsidRPr="00665B81">
              <w:rPr>
                <w:rFonts w:cstheme="minorHAnsi"/>
                <w:sz w:val="16"/>
                <w:szCs w:val="18"/>
              </w:rPr>
              <w:tab/>
            </w:r>
            <w:r w:rsidRPr="00665B81">
              <w:rPr>
                <w:rFonts w:cstheme="minorHAnsi"/>
                <w:sz w:val="16"/>
                <w:szCs w:val="18"/>
              </w:rPr>
              <w:t>出版物销售</w:t>
            </w:r>
          </w:p>
        </w:tc>
        <w:tc>
          <w:tcPr>
            <w:tcW w:w="1573" w:type="dxa"/>
            <w:tcBorders>
              <w:top w:val="nil"/>
              <w:left w:val="single" w:sz="4" w:space="0" w:color="0070C0"/>
              <w:bottom w:val="nil"/>
              <w:right w:val="nil"/>
            </w:tcBorders>
            <w:shd w:val="clear" w:color="auto" w:fill="auto"/>
            <w:noWrap/>
            <w:vAlign w:val="center"/>
            <w:hideMark/>
          </w:tcPr>
          <w:p w14:paraId="26BAD975"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29,479</w:t>
            </w:r>
          </w:p>
        </w:tc>
        <w:tc>
          <w:tcPr>
            <w:tcW w:w="1718" w:type="dxa"/>
            <w:tcBorders>
              <w:top w:val="nil"/>
              <w:left w:val="nil"/>
              <w:bottom w:val="nil"/>
              <w:right w:val="nil"/>
            </w:tcBorders>
            <w:shd w:val="clear" w:color="auto" w:fill="auto"/>
            <w:noWrap/>
            <w:vAlign w:val="center"/>
            <w:hideMark/>
          </w:tcPr>
          <w:p w14:paraId="693520CA"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38,000</w:t>
            </w:r>
          </w:p>
        </w:tc>
        <w:tc>
          <w:tcPr>
            <w:tcW w:w="1718" w:type="dxa"/>
            <w:tcBorders>
              <w:top w:val="nil"/>
              <w:left w:val="nil"/>
              <w:bottom w:val="nil"/>
              <w:right w:val="nil"/>
            </w:tcBorders>
            <w:shd w:val="clear" w:color="auto" w:fill="auto"/>
            <w:noWrap/>
            <w:vAlign w:val="center"/>
            <w:hideMark/>
          </w:tcPr>
          <w:p w14:paraId="3637C392" w14:textId="671C205B"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15,500</w:t>
            </w:r>
          </w:p>
        </w:tc>
        <w:tc>
          <w:tcPr>
            <w:tcW w:w="1571" w:type="dxa"/>
            <w:tcBorders>
              <w:top w:val="nil"/>
              <w:left w:val="nil"/>
              <w:bottom w:val="nil"/>
              <w:right w:val="nil"/>
            </w:tcBorders>
            <w:shd w:val="clear" w:color="auto" w:fill="auto"/>
            <w:noWrap/>
            <w:vAlign w:val="center"/>
            <w:hideMark/>
          </w:tcPr>
          <w:p w14:paraId="145677E2"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15,500</w:t>
            </w:r>
          </w:p>
        </w:tc>
        <w:tc>
          <w:tcPr>
            <w:tcW w:w="1221" w:type="dxa"/>
            <w:tcBorders>
              <w:top w:val="nil"/>
              <w:left w:val="nil"/>
              <w:bottom w:val="nil"/>
              <w:right w:val="nil"/>
            </w:tcBorders>
            <w:shd w:val="clear" w:color="auto" w:fill="auto"/>
            <w:noWrap/>
            <w:vAlign w:val="center"/>
            <w:hideMark/>
          </w:tcPr>
          <w:p w14:paraId="5441C349"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31,000</w:t>
            </w:r>
          </w:p>
        </w:tc>
      </w:tr>
      <w:tr w:rsidR="006C2C5E" w:rsidRPr="00197E94" w14:paraId="76E4418D" w14:textId="77777777" w:rsidTr="002F7131">
        <w:trPr>
          <w:trHeight w:val="20"/>
        </w:trPr>
        <w:tc>
          <w:tcPr>
            <w:tcW w:w="5807" w:type="dxa"/>
            <w:tcBorders>
              <w:top w:val="nil"/>
              <w:left w:val="nil"/>
              <w:bottom w:val="nil"/>
              <w:right w:val="nil"/>
            </w:tcBorders>
            <w:shd w:val="clear" w:color="auto" w:fill="auto"/>
            <w:noWrap/>
            <w:vAlign w:val="center"/>
            <w:hideMark/>
          </w:tcPr>
          <w:p w14:paraId="2DD826A3"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6"/>
                <w:szCs w:val="18"/>
                <w:lang w:eastAsia="zh-CN"/>
              </w:rPr>
            </w:pPr>
            <w:r w:rsidRPr="00665B81">
              <w:rPr>
                <w:rFonts w:cstheme="minorHAnsi"/>
                <w:sz w:val="16"/>
                <w:szCs w:val="18"/>
                <w:lang w:eastAsia="zh-CN"/>
              </w:rPr>
              <w:tab/>
              <w:t>B.3</w:t>
            </w:r>
            <w:r w:rsidRPr="00665B81">
              <w:rPr>
                <w:rFonts w:cstheme="minorHAnsi"/>
                <w:sz w:val="16"/>
                <w:szCs w:val="18"/>
                <w:lang w:eastAsia="zh-CN"/>
              </w:rPr>
              <w:tab/>
            </w:r>
            <w:r w:rsidRPr="00665B81">
              <w:rPr>
                <w:rFonts w:cstheme="minorHAnsi"/>
                <w:sz w:val="16"/>
                <w:szCs w:val="18"/>
                <w:lang w:eastAsia="zh-CN"/>
              </w:rPr>
              <w:t>实行成本回收的产品和服务</w:t>
            </w:r>
          </w:p>
        </w:tc>
        <w:tc>
          <w:tcPr>
            <w:tcW w:w="1573" w:type="dxa"/>
            <w:tcBorders>
              <w:top w:val="nil"/>
              <w:left w:val="single" w:sz="4" w:space="0" w:color="0070C0"/>
              <w:bottom w:val="nil"/>
              <w:right w:val="nil"/>
            </w:tcBorders>
            <w:shd w:val="clear" w:color="auto" w:fill="auto"/>
            <w:noWrap/>
            <w:vAlign w:val="center"/>
            <w:hideMark/>
          </w:tcPr>
          <w:p w14:paraId="584F016C"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lang w:eastAsia="zh-CN"/>
              </w:rPr>
            </w:pPr>
            <w:r w:rsidRPr="00665B81">
              <w:rPr>
                <w:rFonts w:eastAsia="Times New Roman" w:cs="Calibri"/>
                <w:sz w:val="16"/>
                <w:szCs w:val="18"/>
                <w:lang w:eastAsia="zh-CN"/>
              </w:rPr>
              <w:t> </w:t>
            </w:r>
          </w:p>
        </w:tc>
        <w:tc>
          <w:tcPr>
            <w:tcW w:w="1718" w:type="dxa"/>
            <w:tcBorders>
              <w:top w:val="nil"/>
              <w:left w:val="nil"/>
              <w:bottom w:val="nil"/>
              <w:right w:val="nil"/>
            </w:tcBorders>
            <w:shd w:val="clear" w:color="auto" w:fill="auto"/>
            <w:noWrap/>
            <w:vAlign w:val="center"/>
            <w:hideMark/>
          </w:tcPr>
          <w:p w14:paraId="69F66DA4"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lang w:eastAsia="zh-CN"/>
              </w:rPr>
            </w:pPr>
          </w:p>
        </w:tc>
        <w:tc>
          <w:tcPr>
            <w:tcW w:w="1718" w:type="dxa"/>
            <w:tcBorders>
              <w:top w:val="nil"/>
              <w:left w:val="nil"/>
              <w:bottom w:val="nil"/>
              <w:right w:val="nil"/>
            </w:tcBorders>
            <w:shd w:val="clear" w:color="auto" w:fill="auto"/>
            <w:noWrap/>
            <w:vAlign w:val="center"/>
            <w:hideMark/>
          </w:tcPr>
          <w:p w14:paraId="2DD90B84"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6"/>
                <w:lang w:eastAsia="zh-CN"/>
              </w:rPr>
            </w:pPr>
          </w:p>
        </w:tc>
        <w:tc>
          <w:tcPr>
            <w:tcW w:w="1571" w:type="dxa"/>
            <w:tcBorders>
              <w:top w:val="nil"/>
              <w:left w:val="nil"/>
              <w:bottom w:val="nil"/>
              <w:right w:val="nil"/>
            </w:tcBorders>
            <w:shd w:val="clear" w:color="auto" w:fill="auto"/>
            <w:noWrap/>
            <w:vAlign w:val="center"/>
            <w:hideMark/>
          </w:tcPr>
          <w:p w14:paraId="7A9B7FBF"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6"/>
                <w:lang w:eastAsia="zh-CN"/>
              </w:rPr>
            </w:pPr>
          </w:p>
        </w:tc>
        <w:tc>
          <w:tcPr>
            <w:tcW w:w="1221" w:type="dxa"/>
            <w:tcBorders>
              <w:top w:val="nil"/>
              <w:left w:val="nil"/>
              <w:bottom w:val="nil"/>
              <w:right w:val="nil"/>
            </w:tcBorders>
            <w:shd w:val="clear" w:color="auto" w:fill="auto"/>
            <w:noWrap/>
            <w:vAlign w:val="center"/>
            <w:hideMark/>
          </w:tcPr>
          <w:p w14:paraId="3A80B674"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6"/>
                <w:lang w:eastAsia="zh-CN"/>
              </w:rPr>
            </w:pPr>
          </w:p>
        </w:tc>
      </w:tr>
      <w:tr w:rsidR="006C2C5E" w:rsidRPr="00197E94" w14:paraId="2CF9CF11" w14:textId="77777777" w:rsidTr="002F7131">
        <w:trPr>
          <w:trHeight w:val="20"/>
        </w:trPr>
        <w:tc>
          <w:tcPr>
            <w:tcW w:w="5807" w:type="dxa"/>
            <w:tcBorders>
              <w:top w:val="nil"/>
              <w:left w:val="nil"/>
              <w:bottom w:val="nil"/>
              <w:right w:val="nil"/>
            </w:tcBorders>
            <w:shd w:val="clear" w:color="auto" w:fill="auto"/>
            <w:noWrap/>
            <w:vAlign w:val="center"/>
            <w:hideMark/>
          </w:tcPr>
          <w:p w14:paraId="2DB3AE04"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16"/>
                <w:szCs w:val="18"/>
                <w:lang w:eastAsia="zh-CN"/>
              </w:rPr>
            </w:pPr>
            <w:r w:rsidRPr="00665B81">
              <w:rPr>
                <w:rFonts w:ascii="STKaiti" w:eastAsia="STKaiti" w:hAnsi="STKaiti"/>
                <w:sz w:val="16"/>
                <w:szCs w:val="18"/>
                <w:lang w:eastAsia="zh-CN"/>
              </w:rPr>
              <w:tab/>
              <w:t>–</w:t>
            </w:r>
            <w:r w:rsidRPr="00665B81">
              <w:rPr>
                <w:rFonts w:ascii="STKaiti" w:eastAsia="STKaiti" w:hAnsi="STKaiti" w:hint="eastAsia"/>
                <w:sz w:val="16"/>
                <w:szCs w:val="18"/>
                <w:lang w:eastAsia="zh-CN"/>
              </w:rPr>
              <w:t>国际通用免费电话号码（UIFN）</w:t>
            </w:r>
          </w:p>
        </w:tc>
        <w:tc>
          <w:tcPr>
            <w:tcW w:w="1573" w:type="dxa"/>
            <w:tcBorders>
              <w:top w:val="nil"/>
              <w:left w:val="single" w:sz="4" w:space="0" w:color="0070C0"/>
              <w:bottom w:val="nil"/>
              <w:right w:val="nil"/>
            </w:tcBorders>
            <w:shd w:val="clear" w:color="auto" w:fill="auto"/>
            <w:noWrap/>
            <w:vAlign w:val="center"/>
            <w:hideMark/>
          </w:tcPr>
          <w:p w14:paraId="6127A997"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1,036</w:t>
            </w:r>
          </w:p>
        </w:tc>
        <w:tc>
          <w:tcPr>
            <w:tcW w:w="1718" w:type="dxa"/>
            <w:tcBorders>
              <w:top w:val="nil"/>
              <w:left w:val="nil"/>
              <w:bottom w:val="nil"/>
              <w:right w:val="nil"/>
            </w:tcBorders>
            <w:shd w:val="clear" w:color="auto" w:fill="auto"/>
            <w:noWrap/>
            <w:vAlign w:val="center"/>
            <w:hideMark/>
          </w:tcPr>
          <w:p w14:paraId="49A1F366"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1,000</w:t>
            </w:r>
          </w:p>
        </w:tc>
        <w:tc>
          <w:tcPr>
            <w:tcW w:w="1718" w:type="dxa"/>
            <w:tcBorders>
              <w:top w:val="nil"/>
              <w:left w:val="nil"/>
              <w:bottom w:val="nil"/>
              <w:right w:val="nil"/>
            </w:tcBorders>
            <w:shd w:val="clear" w:color="auto" w:fill="auto"/>
            <w:noWrap/>
            <w:vAlign w:val="center"/>
            <w:hideMark/>
          </w:tcPr>
          <w:p w14:paraId="65037F52" w14:textId="5A80FC19"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500</w:t>
            </w:r>
          </w:p>
        </w:tc>
        <w:tc>
          <w:tcPr>
            <w:tcW w:w="1571" w:type="dxa"/>
            <w:tcBorders>
              <w:top w:val="nil"/>
              <w:left w:val="nil"/>
              <w:bottom w:val="nil"/>
              <w:right w:val="nil"/>
            </w:tcBorders>
            <w:shd w:val="clear" w:color="auto" w:fill="auto"/>
            <w:noWrap/>
            <w:vAlign w:val="center"/>
            <w:hideMark/>
          </w:tcPr>
          <w:p w14:paraId="523862E0"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500</w:t>
            </w:r>
          </w:p>
        </w:tc>
        <w:tc>
          <w:tcPr>
            <w:tcW w:w="1221" w:type="dxa"/>
            <w:tcBorders>
              <w:top w:val="nil"/>
              <w:left w:val="nil"/>
              <w:bottom w:val="nil"/>
              <w:right w:val="nil"/>
            </w:tcBorders>
            <w:shd w:val="clear" w:color="auto" w:fill="auto"/>
            <w:noWrap/>
            <w:vAlign w:val="center"/>
            <w:hideMark/>
          </w:tcPr>
          <w:p w14:paraId="58360F67"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1,000</w:t>
            </w:r>
          </w:p>
        </w:tc>
      </w:tr>
      <w:tr w:rsidR="006C2C5E" w:rsidRPr="00197E94" w14:paraId="66E38884" w14:textId="77777777" w:rsidTr="002F7131">
        <w:trPr>
          <w:trHeight w:val="20"/>
        </w:trPr>
        <w:tc>
          <w:tcPr>
            <w:tcW w:w="5807" w:type="dxa"/>
            <w:tcBorders>
              <w:top w:val="nil"/>
              <w:left w:val="nil"/>
              <w:bottom w:val="nil"/>
              <w:right w:val="nil"/>
            </w:tcBorders>
            <w:shd w:val="clear" w:color="auto" w:fill="auto"/>
            <w:noWrap/>
            <w:vAlign w:val="center"/>
            <w:hideMark/>
          </w:tcPr>
          <w:p w14:paraId="06898131"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16"/>
                <w:szCs w:val="18"/>
              </w:rPr>
            </w:pPr>
            <w:r w:rsidRPr="00665B81">
              <w:rPr>
                <w:rFonts w:ascii="STKaiti" w:eastAsia="STKaiti" w:hAnsi="STKaiti"/>
                <w:sz w:val="16"/>
                <w:szCs w:val="18"/>
              </w:rPr>
              <w:tab/>
              <w:t>–</w:t>
            </w:r>
            <w:r w:rsidRPr="00665B81">
              <w:rPr>
                <w:rFonts w:ascii="STKaiti" w:eastAsia="STKaiti" w:hAnsi="STKaiti" w:hint="eastAsia"/>
                <w:sz w:val="16"/>
                <w:szCs w:val="18"/>
              </w:rPr>
              <w:t>电信展</w:t>
            </w:r>
          </w:p>
        </w:tc>
        <w:tc>
          <w:tcPr>
            <w:tcW w:w="1573" w:type="dxa"/>
            <w:tcBorders>
              <w:top w:val="nil"/>
              <w:left w:val="single" w:sz="4" w:space="0" w:color="0070C0"/>
              <w:bottom w:val="nil"/>
              <w:right w:val="nil"/>
            </w:tcBorders>
            <w:shd w:val="clear" w:color="auto" w:fill="auto"/>
            <w:noWrap/>
            <w:vAlign w:val="center"/>
            <w:hideMark/>
          </w:tcPr>
          <w:p w14:paraId="642DE940"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2,500</w:t>
            </w:r>
          </w:p>
        </w:tc>
        <w:tc>
          <w:tcPr>
            <w:tcW w:w="1718" w:type="dxa"/>
            <w:tcBorders>
              <w:top w:val="nil"/>
              <w:left w:val="nil"/>
              <w:bottom w:val="nil"/>
              <w:right w:val="nil"/>
            </w:tcBorders>
            <w:shd w:val="clear" w:color="auto" w:fill="auto"/>
            <w:noWrap/>
            <w:vAlign w:val="center"/>
            <w:hideMark/>
          </w:tcPr>
          <w:p w14:paraId="505A1BC8"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3,000</w:t>
            </w:r>
          </w:p>
        </w:tc>
        <w:tc>
          <w:tcPr>
            <w:tcW w:w="1718" w:type="dxa"/>
            <w:tcBorders>
              <w:top w:val="nil"/>
              <w:left w:val="nil"/>
              <w:bottom w:val="nil"/>
              <w:right w:val="nil"/>
            </w:tcBorders>
            <w:shd w:val="clear" w:color="auto" w:fill="auto"/>
            <w:noWrap/>
            <w:vAlign w:val="center"/>
            <w:hideMark/>
          </w:tcPr>
          <w:p w14:paraId="2BE8B833"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1,500</w:t>
            </w:r>
          </w:p>
        </w:tc>
        <w:tc>
          <w:tcPr>
            <w:tcW w:w="1571" w:type="dxa"/>
            <w:tcBorders>
              <w:top w:val="nil"/>
              <w:left w:val="nil"/>
              <w:bottom w:val="nil"/>
              <w:right w:val="nil"/>
            </w:tcBorders>
            <w:shd w:val="clear" w:color="auto" w:fill="auto"/>
            <w:noWrap/>
            <w:vAlign w:val="center"/>
            <w:hideMark/>
          </w:tcPr>
          <w:p w14:paraId="19EF4FA0"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1,500</w:t>
            </w:r>
          </w:p>
        </w:tc>
        <w:tc>
          <w:tcPr>
            <w:tcW w:w="1221" w:type="dxa"/>
            <w:tcBorders>
              <w:top w:val="nil"/>
              <w:left w:val="nil"/>
              <w:bottom w:val="nil"/>
              <w:right w:val="nil"/>
            </w:tcBorders>
            <w:shd w:val="clear" w:color="auto" w:fill="auto"/>
            <w:noWrap/>
            <w:vAlign w:val="center"/>
            <w:hideMark/>
          </w:tcPr>
          <w:p w14:paraId="0CCE7177"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3,000</w:t>
            </w:r>
          </w:p>
        </w:tc>
      </w:tr>
      <w:tr w:rsidR="006C2C5E" w:rsidRPr="00197E94" w14:paraId="42876DCA" w14:textId="77777777" w:rsidTr="002F7131">
        <w:trPr>
          <w:trHeight w:val="20"/>
        </w:trPr>
        <w:tc>
          <w:tcPr>
            <w:tcW w:w="5807" w:type="dxa"/>
            <w:tcBorders>
              <w:top w:val="nil"/>
              <w:left w:val="nil"/>
              <w:bottom w:val="nil"/>
              <w:right w:val="nil"/>
            </w:tcBorders>
            <w:shd w:val="clear" w:color="auto" w:fill="auto"/>
            <w:noWrap/>
            <w:vAlign w:val="center"/>
            <w:hideMark/>
          </w:tcPr>
          <w:p w14:paraId="41F92930"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16"/>
                <w:szCs w:val="18"/>
              </w:rPr>
            </w:pPr>
            <w:r w:rsidRPr="00665B81">
              <w:rPr>
                <w:rFonts w:ascii="STKaiti" w:eastAsia="STKaiti" w:hAnsi="STKaiti"/>
                <w:sz w:val="16"/>
                <w:szCs w:val="18"/>
              </w:rPr>
              <w:tab/>
              <w:t>–</w:t>
            </w:r>
            <w:r w:rsidRPr="00665B81">
              <w:rPr>
                <w:rFonts w:ascii="STKaiti" w:eastAsia="STKaiti" w:hAnsi="STKaiti" w:hint="eastAsia"/>
                <w:sz w:val="16"/>
                <w:szCs w:val="18"/>
              </w:rPr>
              <w:t>卫星网络申报</w:t>
            </w:r>
          </w:p>
        </w:tc>
        <w:tc>
          <w:tcPr>
            <w:tcW w:w="1573" w:type="dxa"/>
            <w:tcBorders>
              <w:top w:val="nil"/>
              <w:left w:val="single" w:sz="4" w:space="0" w:color="0070C0"/>
              <w:bottom w:val="nil"/>
              <w:right w:val="nil"/>
            </w:tcBorders>
            <w:shd w:val="clear" w:color="auto" w:fill="auto"/>
            <w:noWrap/>
            <w:vAlign w:val="center"/>
            <w:hideMark/>
          </w:tcPr>
          <w:p w14:paraId="0EADEC3C"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31,153</w:t>
            </w:r>
          </w:p>
        </w:tc>
        <w:tc>
          <w:tcPr>
            <w:tcW w:w="1718" w:type="dxa"/>
            <w:tcBorders>
              <w:top w:val="nil"/>
              <w:left w:val="nil"/>
              <w:bottom w:val="nil"/>
              <w:right w:val="nil"/>
            </w:tcBorders>
            <w:shd w:val="clear" w:color="auto" w:fill="auto"/>
            <w:noWrap/>
            <w:vAlign w:val="center"/>
            <w:hideMark/>
          </w:tcPr>
          <w:p w14:paraId="414C6C73"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31,000</w:t>
            </w:r>
          </w:p>
        </w:tc>
        <w:tc>
          <w:tcPr>
            <w:tcW w:w="1718" w:type="dxa"/>
            <w:tcBorders>
              <w:top w:val="nil"/>
              <w:left w:val="nil"/>
              <w:bottom w:val="nil"/>
              <w:right w:val="nil"/>
            </w:tcBorders>
            <w:shd w:val="clear" w:color="auto" w:fill="auto"/>
            <w:noWrap/>
            <w:vAlign w:val="center"/>
            <w:hideMark/>
          </w:tcPr>
          <w:p w14:paraId="2BE94987"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15,000</w:t>
            </w:r>
          </w:p>
        </w:tc>
        <w:tc>
          <w:tcPr>
            <w:tcW w:w="1571" w:type="dxa"/>
            <w:tcBorders>
              <w:top w:val="nil"/>
              <w:left w:val="nil"/>
              <w:bottom w:val="nil"/>
              <w:right w:val="nil"/>
            </w:tcBorders>
            <w:shd w:val="clear" w:color="auto" w:fill="auto"/>
            <w:noWrap/>
            <w:vAlign w:val="center"/>
            <w:hideMark/>
          </w:tcPr>
          <w:p w14:paraId="2FB67A0A"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18,000</w:t>
            </w:r>
          </w:p>
        </w:tc>
        <w:tc>
          <w:tcPr>
            <w:tcW w:w="1221" w:type="dxa"/>
            <w:tcBorders>
              <w:top w:val="nil"/>
              <w:left w:val="nil"/>
              <w:bottom w:val="nil"/>
              <w:right w:val="nil"/>
            </w:tcBorders>
            <w:shd w:val="clear" w:color="auto" w:fill="auto"/>
            <w:noWrap/>
            <w:vAlign w:val="center"/>
            <w:hideMark/>
          </w:tcPr>
          <w:p w14:paraId="06749BBE"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33,000</w:t>
            </w:r>
          </w:p>
        </w:tc>
      </w:tr>
      <w:tr w:rsidR="006C2C5E" w:rsidRPr="00197E94" w14:paraId="35F531FB" w14:textId="77777777" w:rsidTr="002F7131">
        <w:trPr>
          <w:trHeight w:val="20"/>
        </w:trPr>
        <w:tc>
          <w:tcPr>
            <w:tcW w:w="5807" w:type="dxa"/>
            <w:tcBorders>
              <w:top w:val="nil"/>
              <w:left w:val="nil"/>
              <w:bottom w:val="nil"/>
              <w:right w:val="nil"/>
            </w:tcBorders>
            <w:shd w:val="clear" w:color="auto" w:fill="auto"/>
            <w:noWrap/>
            <w:vAlign w:val="center"/>
            <w:hideMark/>
          </w:tcPr>
          <w:p w14:paraId="608BA6D6"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16"/>
                <w:szCs w:val="18"/>
              </w:rPr>
            </w:pPr>
            <w:r w:rsidRPr="00665B81">
              <w:rPr>
                <w:rFonts w:ascii="STKaiti" w:eastAsia="STKaiti" w:hAnsi="STKaiti"/>
                <w:sz w:val="16"/>
                <w:szCs w:val="18"/>
              </w:rPr>
              <w:tab/>
              <w:t>–</w:t>
            </w:r>
            <w:r w:rsidRPr="00665B81">
              <w:rPr>
                <w:rFonts w:ascii="STKaiti" w:eastAsia="STKaiti" w:hAnsi="STKaiti" w:hint="eastAsia"/>
                <w:sz w:val="16"/>
                <w:szCs w:val="18"/>
              </w:rPr>
              <w:t>其他成本回收收入</w:t>
            </w:r>
          </w:p>
        </w:tc>
        <w:tc>
          <w:tcPr>
            <w:tcW w:w="1573" w:type="dxa"/>
            <w:tcBorders>
              <w:top w:val="nil"/>
              <w:left w:val="single" w:sz="4" w:space="0" w:color="0070C0"/>
              <w:bottom w:val="nil"/>
              <w:right w:val="nil"/>
            </w:tcBorders>
            <w:shd w:val="clear" w:color="auto" w:fill="auto"/>
            <w:noWrap/>
            <w:vAlign w:val="center"/>
            <w:hideMark/>
          </w:tcPr>
          <w:p w14:paraId="688C5261"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33</w:t>
            </w:r>
          </w:p>
        </w:tc>
        <w:tc>
          <w:tcPr>
            <w:tcW w:w="1718" w:type="dxa"/>
            <w:tcBorders>
              <w:top w:val="nil"/>
              <w:left w:val="nil"/>
              <w:bottom w:val="nil"/>
              <w:right w:val="nil"/>
            </w:tcBorders>
            <w:shd w:val="clear" w:color="auto" w:fill="auto"/>
            <w:noWrap/>
            <w:vAlign w:val="center"/>
            <w:hideMark/>
          </w:tcPr>
          <w:p w14:paraId="6A414FFE"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p>
        </w:tc>
        <w:tc>
          <w:tcPr>
            <w:tcW w:w="1718" w:type="dxa"/>
            <w:tcBorders>
              <w:top w:val="nil"/>
              <w:left w:val="nil"/>
              <w:bottom w:val="nil"/>
              <w:right w:val="nil"/>
            </w:tcBorders>
            <w:shd w:val="clear" w:color="auto" w:fill="auto"/>
            <w:noWrap/>
            <w:vAlign w:val="center"/>
            <w:hideMark/>
          </w:tcPr>
          <w:p w14:paraId="66A6ADAB"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6"/>
              </w:rPr>
            </w:pPr>
          </w:p>
        </w:tc>
        <w:tc>
          <w:tcPr>
            <w:tcW w:w="1571" w:type="dxa"/>
            <w:tcBorders>
              <w:top w:val="nil"/>
              <w:left w:val="nil"/>
              <w:bottom w:val="nil"/>
              <w:right w:val="nil"/>
            </w:tcBorders>
            <w:shd w:val="clear" w:color="auto" w:fill="auto"/>
            <w:noWrap/>
            <w:vAlign w:val="center"/>
            <w:hideMark/>
          </w:tcPr>
          <w:p w14:paraId="236176A1"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6"/>
              </w:rPr>
            </w:pPr>
          </w:p>
        </w:tc>
        <w:tc>
          <w:tcPr>
            <w:tcW w:w="1221" w:type="dxa"/>
            <w:tcBorders>
              <w:top w:val="nil"/>
              <w:left w:val="nil"/>
              <w:bottom w:val="nil"/>
              <w:right w:val="nil"/>
            </w:tcBorders>
            <w:shd w:val="clear" w:color="auto" w:fill="auto"/>
            <w:noWrap/>
            <w:vAlign w:val="center"/>
            <w:hideMark/>
          </w:tcPr>
          <w:p w14:paraId="6D10BB7A"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6"/>
              </w:rPr>
            </w:pPr>
          </w:p>
        </w:tc>
      </w:tr>
      <w:tr w:rsidR="006C2C5E" w:rsidRPr="00197E94" w14:paraId="5149AD06" w14:textId="77777777" w:rsidTr="002F7131">
        <w:trPr>
          <w:trHeight w:val="20"/>
        </w:trPr>
        <w:tc>
          <w:tcPr>
            <w:tcW w:w="5807" w:type="dxa"/>
            <w:tcBorders>
              <w:top w:val="nil"/>
              <w:left w:val="nil"/>
              <w:bottom w:val="nil"/>
              <w:right w:val="nil"/>
            </w:tcBorders>
            <w:shd w:val="clear" w:color="auto" w:fill="auto"/>
            <w:noWrap/>
            <w:vAlign w:val="center"/>
            <w:hideMark/>
          </w:tcPr>
          <w:p w14:paraId="1A8B2B00" w14:textId="77777777" w:rsidR="006C2C5E" w:rsidRPr="00197E94"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18"/>
                <w:szCs w:val="18"/>
                <w:lang w:eastAsia="zh-CN"/>
              </w:rPr>
            </w:pPr>
            <w:r w:rsidRPr="00665B81">
              <w:rPr>
                <w:rFonts w:ascii="STKaiti" w:eastAsia="STKaiti" w:hAnsi="STKaiti"/>
                <w:sz w:val="16"/>
                <w:szCs w:val="18"/>
                <w:lang w:eastAsia="zh-CN"/>
              </w:rPr>
              <w:tab/>
              <w:t>–</w:t>
            </w:r>
            <w:r w:rsidRPr="00665B81">
              <w:rPr>
                <w:rFonts w:ascii="STKaiti" w:eastAsia="STKaiti" w:hAnsi="STKaiti" w:hint="eastAsia"/>
                <w:sz w:val="16"/>
                <w:szCs w:val="18"/>
                <w:lang w:eastAsia="zh-CN"/>
              </w:rPr>
              <w:t>实行成本回收的产品和服务合计</w:t>
            </w:r>
          </w:p>
        </w:tc>
        <w:tc>
          <w:tcPr>
            <w:tcW w:w="1573" w:type="dxa"/>
            <w:tcBorders>
              <w:top w:val="nil"/>
              <w:left w:val="single" w:sz="4" w:space="0" w:color="0070C0"/>
              <w:bottom w:val="nil"/>
              <w:right w:val="nil"/>
            </w:tcBorders>
            <w:shd w:val="clear" w:color="auto" w:fill="auto"/>
            <w:noWrap/>
            <w:vAlign w:val="center"/>
            <w:hideMark/>
          </w:tcPr>
          <w:p w14:paraId="67FD570B"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34,722</w:t>
            </w:r>
          </w:p>
        </w:tc>
        <w:tc>
          <w:tcPr>
            <w:tcW w:w="1718" w:type="dxa"/>
            <w:tcBorders>
              <w:top w:val="nil"/>
              <w:left w:val="nil"/>
              <w:bottom w:val="nil"/>
              <w:right w:val="nil"/>
            </w:tcBorders>
            <w:shd w:val="clear" w:color="auto" w:fill="auto"/>
            <w:noWrap/>
            <w:vAlign w:val="center"/>
            <w:hideMark/>
          </w:tcPr>
          <w:p w14:paraId="7D013C1A"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35,000</w:t>
            </w:r>
          </w:p>
        </w:tc>
        <w:tc>
          <w:tcPr>
            <w:tcW w:w="1718" w:type="dxa"/>
            <w:tcBorders>
              <w:top w:val="nil"/>
              <w:left w:val="nil"/>
              <w:bottom w:val="nil"/>
              <w:right w:val="nil"/>
            </w:tcBorders>
            <w:shd w:val="clear" w:color="auto" w:fill="auto"/>
            <w:noWrap/>
            <w:vAlign w:val="center"/>
            <w:hideMark/>
          </w:tcPr>
          <w:p w14:paraId="336B9BFF" w14:textId="52D59705"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17,000</w:t>
            </w:r>
          </w:p>
        </w:tc>
        <w:tc>
          <w:tcPr>
            <w:tcW w:w="1571" w:type="dxa"/>
            <w:tcBorders>
              <w:top w:val="nil"/>
              <w:left w:val="nil"/>
              <w:bottom w:val="nil"/>
              <w:right w:val="nil"/>
            </w:tcBorders>
            <w:shd w:val="clear" w:color="auto" w:fill="auto"/>
            <w:noWrap/>
            <w:vAlign w:val="center"/>
            <w:hideMark/>
          </w:tcPr>
          <w:p w14:paraId="424C4480"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20,000</w:t>
            </w:r>
          </w:p>
        </w:tc>
        <w:tc>
          <w:tcPr>
            <w:tcW w:w="1221" w:type="dxa"/>
            <w:tcBorders>
              <w:top w:val="nil"/>
              <w:left w:val="nil"/>
              <w:bottom w:val="nil"/>
              <w:right w:val="nil"/>
            </w:tcBorders>
            <w:shd w:val="clear" w:color="auto" w:fill="auto"/>
            <w:noWrap/>
            <w:vAlign w:val="center"/>
            <w:hideMark/>
          </w:tcPr>
          <w:p w14:paraId="02ECCB8E"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37,000</w:t>
            </w:r>
          </w:p>
        </w:tc>
      </w:tr>
      <w:tr w:rsidR="006C2C5E" w:rsidRPr="00197E94" w14:paraId="2B621461" w14:textId="77777777" w:rsidTr="002F7131">
        <w:trPr>
          <w:trHeight w:val="20"/>
        </w:trPr>
        <w:tc>
          <w:tcPr>
            <w:tcW w:w="5807" w:type="dxa"/>
            <w:tcBorders>
              <w:top w:val="nil"/>
              <w:left w:val="nil"/>
              <w:bottom w:val="nil"/>
              <w:right w:val="nil"/>
            </w:tcBorders>
            <w:shd w:val="clear" w:color="auto" w:fill="auto"/>
            <w:noWrap/>
            <w:vAlign w:val="center"/>
            <w:hideMark/>
          </w:tcPr>
          <w:p w14:paraId="127F9FFE" w14:textId="77777777" w:rsidR="006C2C5E" w:rsidRPr="003542E8"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rPr>
            </w:pPr>
            <w:r w:rsidRPr="00665B81">
              <w:rPr>
                <w:rFonts w:cstheme="minorHAnsi"/>
                <w:sz w:val="16"/>
                <w:szCs w:val="18"/>
              </w:rPr>
              <w:tab/>
            </w:r>
            <w:r w:rsidRPr="00665B81">
              <w:rPr>
                <w:rFonts w:cstheme="minorHAnsi"/>
                <w:sz w:val="16"/>
                <w:szCs w:val="18"/>
              </w:rPr>
              <w:t>成本回收合计</w:t>
            </w:r>
          </w:p>
        </w:tc>
        <w:tc>
          <w:tcPr>
            <w:tcW w:w="1573" w:type="dxa"/>
            <w:tcBorders>
              <w:top w:val="nil"/>
              <w:left w:val="single" w:sz="4" w:space="0" w:color="0070C0"/>
              <w:bottom w:val="single" w:sz="4" w:space="0" w:color="auto"/>
              <w:right w:val="nil"/>
            </w:tcBorders>
            <w:shd w:val="clear" w:color="auto" w:fill="auto"/>
            <w:noWrap/>
            <w:vAlign w:val="center"/>
            <w:hideMark/>
          </w:tcPr>
          <w:p w14:paraId="45299177"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65,042</w:t>
            </w:r>
          </w:p>
        </w:tc>
        <w:tc>
          <w:tcPr>
            <w:tcW w:w="1718" w:type="dxa"/>
            <w:tcBorders>
              <w:top w:val="nil"/>
              <w:left w:val="nil"/>
              <w:bottom w:val="single" w:sz="4" w:space="0" w:color="auto"/>
              <w:right w:val="nil"/>
            </w:tcBorders>
            <w:shd w:val="clear" w:color="auto" w:fill="auto"/>
            <w:noWrap/>
            <w:vAlign w:val="center"/>
            <w:hideMark/>
          </w:tcPr>
          <w:p w14:paraId="66BE52ED"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75,750</w:t>
            </w:r>
          </w:p>
        </w:tc>
        <w:tc>
          <w:tcPr>
            <w:tcW w:w="1718" w:type="dxa"/>
            <w:tcBorders>
              <w:top w:val="nil"/>
              <w:left w:val="nil"/>
              <w:bottom w:val="single" w:sz="4" w:space="0" w:color="auto"/>
              <w:right w:val="nil"/>
            </w:tcBorders>
            <w:shd w:val="clear" w:color="auto" w:fill="auto"/>
            <w:noWrap/>
            <w:vAlign w:val="center"/>
            <w:hideMark/>
          </w:tcPr>
          <w:p w14:paraId="2E803FFD" w14:textId="6EBFD320"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33,500</w:t>
            </w:r>
          </w:p>
        </w:tc>
        <w:tc>
          <w:tcPr>
            <w:tcW w:w="1571" w:type="dxa"/>
            <w:tcBorders>
              <w:top w:val="nil"/>
              <w:left w:val="nil"/>
              <w:bottom w:val="single" w:sz="4" w:space="0" w:color="auto"/>
              <w:right w:val="nil"/>
            </w:tcBorders>
            <w:shd w:val="clear" w:color="auto" w:fill="auto"/>
            <w:noWrap/>
            <w:vAlign w:val="center"/>
            <w:hideMark/>
          </w:tcPr>
          <w:p w14:paraId="0923AA59"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36,500</w:t>
            </w:r>
          </w:p>
        </w:tc>
        <w:tc>
          <w:tcPr>
            <w:tcW w:w="1221" w:type="dxa"/>
            <w:tcBorders>
              <w:top w:val="nil"/>
              <w:left w:val="nil"/>
              <w:bottom w:val="single" w:sz="4" w:space="0" w:color="auto"/>
              <w:right w:val="nil"/>
            </w:tcBorders>
            <w:shd w:val="clear" w:color="auto" w:fill="auto"/>
            <w:noWrap/>
            <w:vAlign w:val="center"/>
            <w:hideMark/>
          </w:tcPr>
          <w:p w14:paraId="384ADF37"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70,000</w:t>
            </w:r>
          </w:p>
        </w:tc>
      </w:tr>
      <w:tr w:rsidR="006C2C5E" w:rsidRPr="00197E94" w14:paraId="099FEE9E" w14:textId="77777777" w:rsidTr="002F7131">
        <w:trPr>
          <w:trHeight w:val="20"/>
        </w:trPr>
        <w:tc>
          <w:tcPr>
            <w:tcW w:w="5807" w:type="dxa"/>
            <w:tcBorders>
              <w:top w:val="nil"/>
              <w:left w:val="nil"/>
              <w:bottom w:val="nil"/>
              <w:right w:val="nil"/>
            </w:tcBorders>
            <w:shd w:val="clear" w:color="auto" w:fill="auto"/>
            <w:noWrap/>
            <w:vAlign w:val="center"/>
            <w:hideMark/>
          </w:tcPr>
          <w:p w14:paraId="6CB48715" w14:textId="77777777" w:rsidR="006C2C5E" w:rsidRPr="003542E8"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rPr>
            </w:pPr>
            <w:r w:rsidRPr="00665B81">
              <w:rPr>
                <w:rFonts w:cstheme="minorHAnsi"/>
                <w:sz w:val="16"/>
                <w:szCs w:val="18"/>
              </w:rPr>
              <w:t>C.</w:t>
            </w:r>
            <w:r w:rsidRPr="00665B81">
              <w:rPr>
                <w:rFonts w:cstheme="minorHAnsi"/>
                <w:sz w:val="16"/>
                <w:szCs w:val="18"/>
              </w:rPr>
              <w:tab/>
            </w:r>
            <w:r w:rsidRPr="00665B81">
              <w:rPr>
                <w:rFonts w:cstheme="minorHAnsi"/>
                <w:sz w:val="16"/>
                <w:szCs w:val="18"/>
              </w:rPr>
              <w:t>利息收益</w:t>
            </w:r>
          </w:p>
        </w:tc>
        <w:tc>
          <w:tcPr>
            <w:tcW w:w="1573" w:type="dxa"/>
            <w:tcBorders>
              <w:top w:val="nil"/>
              <w:left w:val="single" w:sz="4" w:space="0" w:color="0070C0"/>
              <w:bottom w:val="single" w:sz="4" w:space="0" w:color="auto"/>
              <w:right w:val="nil"/>
            </w:tcBorders>
            <w:shd w:val="clear" w:color="auto" w:fill="auto"/>
            <w:noWrap/>
            <w:vAlign w:val="center"/>
            <w:hideMark/>
          </w:tcPr>
          <w:p w14:paraId="64AF1328"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785</w:t>
            </w:r>
          </w:p>
        </w:tc>
        <w:tc>
          <w:tcPr>
            <w:tcW w:w="1718" w:type="dxa"/>
            <w:tcBorders>
              <w:top w:val="nil"/>
              <w:left w:val="nil"/>
              <w:bottom w:val="single" w:sz="4" w:space="0" w:color="auto"/>
              <w:right w:val="nil"/>
            </w:tcBorders>
            <w:shd w:val="clear" w:color="auto" w:fill="auto"/>
            <w:noWrap/>
            <w:vAlign w:val="center"/>
            <w:hideMark/>
          </w:tcPr>
          <w:p w14:paraId="2B7EE057" w14:textId="793C46BE"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600</w:t>
            </w:r>
          </w:p>
        </w:tc>
        <w:tc>
          <w:tcPr>
            <w:tcW w:w="1718" w:type="dxa"/>
            <w:tcBorders>
              <w:top w:val="nil"/>
              <w:left w:val="nil"/>
              <w:bottom w:val="single" w:sz="4" w:space="0" w:color="auto"/>
              <w:right w:val="nil"/>
            </w:tcBorders>
            <w:shd w:val="clear" w:color="auto" w:fill="auto"/>
            <w:noWrap/>
            <w:vAlign w:val="center"/>
            <w:hideMark/>
          </w:tcPr>
          <w:p w14:paraId="3D713848"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300</w:t>
            </w:r>
          </w:p>
        </w:tc>
        <w:tc>
          <w:tcPr>
            <w:tcW w:w="1571" w:type="dxa"/>
            <w:tcBorders>
              <w:top w:val="nil"/>
              <w:left w:val="nil"/>
              <w:bottom w:val="single" w:sz="4" w:space="0" w:color="auto"/>
              <w:right w:val="nil"/>
            </w:tcBorders>
            <w:shd w:val="clear" w:color="auto" w:fill="auto"/>
            <w:noWrap/>
            <w:vAlign w:val="center"/>
            <w:hideMark/>
          </w:tcPr>
          <w:p w14:paraId="3B88F15B"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300</w:t>
            </w:r>
          </w:p>
        </w:tc>
        <w:tc>
          <w:tcPr>
            <w:tcW w:w="1221" w:type="dxa"/>
            <w:tcBorders>
              <w:top w:val="nil"/>
              <w:left w:val="nil"/>
              <w:bottom w:val="single" w:sz="4" w:space="0" w:color="auto"/>
              <w:right w:val="nil"/>
            </w:tcBorders>
            <w:shd w:val="clear" w:color="auto" w:fill="auto"/>
            <w:noWrap/>
            <w:vAlign w:val="center"/>
            <w:hideMark/>
          </w:tcPr>
          <w:p w14:paraId="0FA009AD"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600</w:t>
            </w:r>
          </w:p>
        </w:tc>
      </w:tr>
      <w:tr w:rsidR="006C2C5E" w:rsidRPr="00197E94" w14:paraId="3A30C692" w14:textId="77777777" w:rsidTr="002F7131">
        <w:trPr>
          <w:trHeight w:val="20"/>
        </w:trPr>
        <w:tc>
          <w:tcPr>
            <w:tcW w:w="5807" w:type="dxa"/>
            <w:tcBorders>
              <w:top w:val="nil"/>
              <w:left w:val="nil"/>
              <w:bottom w:val="nil"/>
              <w:right w:val="nil"/>
            </w:tcBorders>
            <w:shd w:val="clear" w:color="auto" w:fill="auto"/>
            <w:noWrap/>
            <w:vAlign w:val="center"/>
            <w:hideMark/>
          </w:tcPr>
          <w:p w14:paraId="5791E2C9" w14:textId="77777777" w:rsidR="006C2C5E" w:rsidRPr="003542E8"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rPr>
            </w:pPr>
            <w:r w:rsidRPr="00665B81">
              <w:rPr>
                <w:rFonts w:cstheme="minorHAnsi"/>
                <w:sz w:val="16"/>
                <w:szCs w:val="18"/>
              </w:rPr>
              <w:t>D.</w:t>
            </w:r>
            <w:r w:rsidRPr="00665B81">
              <w:rPr>
                <w:rFonts w:cstheme="minorHAnsi"/>
                <w:sz w:val="16"/>
                <w:szCs w:val="18"/>
              </w:rPr>
              <w:tab/>
            </w:r>
            <w:r w:rsidRPr="00665B81">
              <w:rPr>
                <w:rFonts w:cstheme="minorHAnsi"/>
                <w:sz w:val="16"/>
                <w:szCs w:val="18"/>
              </w:rPr>
              <w:t>其他收入</w:t>
            </w:r>
          </w:p>
        </w:tc>
        <w:tc>
          <w:tcPr>
            <w:tcW w:w="1573" w:type="dxa"/>
            <w:tcBorders>
              <w:top w:val="nil"/>
              <w:left w:val="single" w:sz="4" w:space="0" w:color="0070C0"/>
              <w:bottom w:val="single" w:sz="4" w:space="0" w:color="auto"/>
              <w:right w:val="nil"/>
            </w:tcBorders>
            <w:shd w:val="clear" w:color="auto" w:fill="auto"/>
            <w:noWrap/>
            <w:vAlign w:val="center"/>
            <w:hideMark/>
          </w:tcPr>
          <w:p w14:paraId="12B62C7D"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3,104</w:t>
            </w:r>
          </w:p>
        </w:tc>
        <w:tc>
          <w:tcPr>
            <w:tcW w:w="1718" w:type="dxa"/>
            <w:tcBorders>
              <w:top w:val="nil"/>
              <w:left w:val="nil"/>
              <w:bottom w:val="single" w:sz="4" w:space="0" w:color="auto"/>
              <w:right w:val="nil"/>
            </w:tcBorders>
            <w:shd w:val="clear" w:color="auto" w:fill="auto"/>
            <w:noWrap/>
            <w:vAlign w:val="center"/>
            <w:hideMark/>
          </w:tcPr>
          <w:p w14:paraId="71D5675D"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200</w:t>
            </w:r>
          </w:p>
        </w:tc>
        <w:tc>
          <w:tcPr>
            <w:tcW w:w="1718" w:type="dxa"/>
            <w:tcBorders>
              <w:top w:val="nil"/>
              <w:left w:val="nil"/>
              <w:bottom w:val="single" w:sz="4" w:space="0" w:color="auto"/>
              <w:right w:val="nil"/>
            </w:tcBorders>
            <w:shd w:val="clear" w:color="auto" w:fill="auto"/>
            <w:noWrap/>
            <w:vAlign w:val="center"/>
            <w:hideMark/>
          </w:tcPr>
          <w:p w14:paraId="22EB3E38"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200</w:t>
            </w:r>
          </w:p>
        </w:tc>
        <w:tc>
          <w:tcPr>
            <w:tcW w:w="1571" w:type="dxa"/>
            <w:tcBorders>
              <w:top w:val="nil"/>
              <w:left w:val="nil"/>
              <w:bottom w:val="single" w:sz="4" w:space="0" w:color="auto"/>
              <w:right w:val="nil"/>
            </w:tcBorders>
            <w:shd w:val="clear" w:color="auto" w:fill="auto"/>
            <w:noWrap/>
            <w:vAlign w:val="center"/>
            <w:hideMark/>
          </w:tcPr>
          <w:p w14:paraId="35BE9F52"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200</w:t>
            </w:r>
          </w:p>
        </w:tc>
        <w:tc>
          <w:tcPr>
            <w:tcW w:w="1221" w:type="dxa"/>
            <w:tcBorders>
              <w:top w:val="nil"/>
              <w:left w:val="nil"/>
              <w:bottom w:val="single" w:sz="4" w:space="0" w:color="auto"/>
              <w:right w:val="nil"/>
            </w:tcBorders>
            <w:shd w:val="clear" w:color="auto" w:fill="auto"/>
            <w:noWrap/>
            <w:vAlign w:val="center"/>
            <w:hideMark/>
          </w:tcPr>
          <w:p w14:paraId="6CF2D05F"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400</w:t>
            </w:r>
          </w:p>
        </w:tc>
      </w:tr>
      <w:tr w:rsidR="006C2C5E" w:rsidRPr="00197E94" w14:paraId="49ACCDE1" w14:textId="77777777" w:rsidTr="002F7131">
        <w:trPr>
          <w:trHeight w:val="20"/>
        </w:trPr>
        <w:tc>
          <w:tcPr>
            <w:tcW w:w="5807" w:type="dxa"/>
            <w:tcBorders>
              <w:top w:val="nil"/>
              <w:left w:val="nil"/>
              <w:bottom w:val="single" w:sz="4" w:space="0" w:color="auto"/>
              <w:right w:val="nil"/>
            </w:tcBorders>
            <w:shd w:val="clear" w:color="auto" w:fill="auto"/>
            <w:noWrap/>
            <w:vAlign w:val="center"/>
            <w:hideMark/>
          </w:tcPr>
          <w:p w14:paraId="7C3EA4D4" w14:textId="77777777" w:rsidR="006C2C5E" w:rsidRPr="003542E8"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rPr>
            </w:pPr>
            <w:r w:rsidRPr="00665B81">
              <w:rPr>
                <w:rFonts w:cstheme="minorHAnsi"/>
                <w:sz w:val="16"/>
                <w:szCs w:val="18"/>
              </w:rPr>
              <w:t>分计</w:t>
            </w:r>
          </w:p>
        </w:tc>
        <w:tc>
          <w:tcPr>
            <w:tcW w:w="1573" w:type="dxa"/>
            <w:tcBorders>
              <w:top w:val="nil"/>
              <w:left w:val="single" w:sz="4" w:space="0" w:color="0070C0"/>
              <w:bottom w:val="single" w:sz="4" w:space="0" w:color="auto"/>
              <w:right w:val="nil"/>
            </w:tcBorders>
            <w:shd w:val="clear" w:color="auto" w:fill="auto"/>
            <w:noWrap/>
            <w:vAlign w:val="center"/>
            <w:hideMark/>
          </w:tcPr>
          <w:p w14:paraId="0A465866"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320,608</w:t>
            </w:r>
          </w:p>
        </w:tc>
        <w:tc>
          <w:tcPr>
            <w:tcW w:w="1718" w:type="dxa"/>
            <w:tcBorders>
              <w:top w:val="nil"/>
              <w:left w:val="nil"/>
              <w:bottom w:val="single" w:sz="4" w:space="0" w:color="auto"/>
              <w:right w:val="nil"/>
            </w:tcBorders>
            <w:shd w:val="clear" w:color="auto" w:fill="auto"/>
            <w:noWrap/>
            <w:vAlign w:val="center"/>
            <w:hideMark/>
          </w:tcPr>
          <w:p w14:paraId="47B9EC70" w14:textId="136C97BB"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327,654</w:t>
            </w:r>
          </w:p>
        </w:tc>
        <w:tc>
          <w:tcPr>
            <w:tcW w:w="1718" w:type="dxa"/>
            <w:tcBorders>
              <w:top w:val="nil"/>
              <w:left w:val="nil"/>
              <w:bottom w:val="single" w:sz="4" w:space="0" w:color="auto"/>
              <w:right w:val="nil"/>
            </w:tcBorders>
            <w:shd w:val="clear" w:color="auto" w:fill="auto"/>
            <w:noWrap/>
            <w:vAlign w:val="center"/>
            <w:hideMark/>
          </w:tcPr>
          <w:p w14:paraId="42B0650C"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159,710</w:t>
            </w:r>
          </w:p>
        </w:tc>
        <w:tc>
          <w:tcPr>
            <w:tcW w:w="1571" w:type="dxa"/>
            <w:tcBorders>
              <w:top w:val="nil"/>
              <w:left w:val="nil"/>
              <w:bottom w:val="single" w:sz="4" w:space="0" w:color="auto"/>
              <w:right w:val="nil"/>
            </w:tcBorders>
            <w:shd w:val="clear" w:color="auto" w:fill="auto"/>
            <w:noWrap/>
            <w:vAlign w:val="center"/>
            <w:hideMark/>
          </w:tcPr>
          <w:p w14:paraId="04214778"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162,710</w:t>
            </w:r>
          </w:p>
        </w:tc>
        <w:tc>
          <w:tcPr>
            <w:tcW w:w="1221" w:type="dxa"/>
            <w:tcBorders>
              <w:top w:val="nil"/>
              <w:left w:val="nil"/>
              <w:bottom w:val="single" w:sz="4" w:space="0" w:color="auto"/>
              <w:right w:val="nil"/>
            </w:tcBorders>
            <w:shd w:val="clear" w:color="auto" w:fill="auto"/>
            <w:noWrap/>
            <w:vAlign w:val="center"/>
            <w:hideMark/>
          </w:tcPr>
          <w:p w14:paraId="0BBF6C5C"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322,420</w:t>
            </w:r>
          </w:p>
        </w:tc>
      </w:tr>
      <w:tr w:rsidR="006C2C5E" w:rsidRPr="00197E94" w14:paraId="165A9D35" w14:textId="77777777" w:rsidTr="002F7131">
        <w:trPr>
          <w:trHeight w:val="20"/>
        </w:trPr>
        <w:tc>
          <w:tcPr>
            <w:tcW w:w="5807" w:type="dxa"/>
            <w:tcBorders>
              <w:top w:val="nil"/>
              <w:left w:val="nil"/>
              <w:bottom w:val="nil"/>
              <w:right w:val="nil"/>
            </w:tcBorders>
            <w:shd w:val="clear" w:color="auto" w:fill="auto"/>
            <w:noWrap/>
            <w:vAlign w:val="center"/>
            <w:hideMark/>
          </w:tcPr>
          <w:p w14:paraId="0562FD05"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6"/>
                <w:szCs w:val="18"/>
                <w:lang w:eastAsia="zh-CN"/>
              </w:rPr>
            </w:pPr>
            <w:r w:rsidRPr="00665B81">
              <w:rPr>
                <w:rFonts w:cstheme="minorHAnsi"/>
                <w:sz w:val="16"/>
                <w:szCs w:val="18"/>
                <w:lang w:eastAsia="zh-CN"/>
              </w:rPr>
              <w:t>E.</w:t>
            </w:r>
            <w:r w:rsidRPr="00665B81">
              <w:rPr>
                <w:rFonts w:cstheme="minorHAnsi"/>
                <w:sz w:val="16"/>
                <w:szCs w:val="18"/>
                <w:lang w:eastAsia="zh-CN"/>
              </w:rPr>
              <w:tab/>
            </w:r>
            <w:r w:rsidRPr="00665B81">
              <w:rPr>
                <w:rFonts w:cstheme="minorHAnsi"/>
                <w:sz w:val="16"/>
                <w:szCs w:val="18"/>
                <w:lang w:eastAsia="zh-CN"/>
              </w:rPr>
              <w:t>储备金账目提款</w:t>
            </w:r>
            <w:r w:rsidRPr="00665B81">
              <w:rPr>
                <w:rFonts w:cstheme="minorHAnsi"/>
                <w:sz w:val="16"/>
                <w:szCs w:val="18"/>
                <w:lang w:eastAsia="zh-CN"/>
              </w:rPr>
              <w:t>/</w:t>
            </w:r>
            <w:r w:rsidRPr="00665B81">
              <w:rPr>
                <w:rFonts w:cstheme="minorHAnsi"/>
                <w:sz w:val="16"/>
                <w:szCs w:val="18"/>
                <w:lang w:eastAsia="zh-CN"/>
              </w:rPr>
              <w:t>存款</w:t>
            </w:r>
            <w:r w:rsidRPr="00665B81">
              <w:rPr>
                <w:rFonts w:cstheme="minorHAnsi"/>
                <w:sz w:val="16"/>
                <w:szCs w:val="18"/>
                <w:lang w:eastAsia="zh-CN"/>
              </w:rPr>
              <w:t>*</w:t>
            </w:r>
          </w:p>
        </w:tc>
        <w:tc>
          <w:tcPr>
            <w:tcW w:w="1573" w:type="dxa"/>
            <w:tcBorders>
              <w:top w:val="nil"/>
              <w:left w:val="single" w:sz="4" w:space="0" w:color="0070C0"/>
              <w:bottom w:val="nil"/>
              <w:right w:val="nil"/>
            </w:tcBorders>
            <w:shd w:val="clear" w:color="auto" w:fill="auto"/>
            <w:noWrap/>
            <w:vAlign w:val="center"/>
            <w:hideMark/>
          </w:tcPr>
          <w:p w14:paraId="419158D8"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lang w:eastAsia="zh-CN"/>
              </w:rPr>
            </w:pPr>
            <w:r w:rsidRPr="00665B81">
              <w:rPr>
                <w:rFonts w:eastAsia="Times New Roman" w:cs="Calibri"/>
                <w:sz w:val="16"/>
                <w:szCs w:val="18"/>
                <w:lang w:eastAsia="zh-CN"/>
              </w:rPr>
              <w:t> </w:t>
            </w:r>
          </w:p>
        </w:tc>
        <w:tc>
          <w:tcPr>
            <w:tcW w:w="1718" w:type="dxa"/>
            <w:tcBorders>
              <w:top w:val="nil"/>
              <w:left w:val="nil"/>
              <w:bottom w:val="nil"/>
              <w:right w:val="nil"/>
            </w:tcBorders>
            <w:shd w:val="clear" w:color="auto" w:fill="auto"/>
            <w:noWrap/>
            <w:vAlign w:val="center"/>
            <w:hideMark/>
          </w:tcPr>
          <w:p w14:paraId="000A40DF"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-1,469</w:t>
            </w:r>
          </w:p>
        </w:tc>
        <w:tc>
          <w:tcPr>
            <w:tcW w:w="1718" w:type="dxa"/>
            <w:tcBorders>
              <w:top w:val="nil"/>
              <w:left w:val="nil"/>
              <w:bottom w:val="nil"/>
              <w:right w:val="nil"/>
            </w:tcBorders>
            <w:shd w:val="clear" w:color="auto" w:fill="auto"/>
            <w:noWrap/>
            <w:vAlign w:val="center"/>
            <w:hideMark/>
          </w:tcPr>
          <w:p w14:paraId="24675BCB"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1,469</w:t>
            </w:r>
          </w:p>
        </w:tc>
        <w:tc>
          <w:tcPr>
            <w:tcW w:w="1571" w:type="dxa"/>
            <w:tcBorders>
              <w:top w:val="nil"/>
              <w:left w:val="nil"/>
              <w:bottom w:val="nil"/>
              <w:right w:val="nil"/>
            </w:tcBorders>
            <w:shd w:val="clear" w:color="auto" w:fill="auto"/>
            <w:noWrap/>
            <w:vAlign w:val="center"/>
            <w:hideMark/>
          </w:tcPr>
          <w:p w14:paraId="2C3937BE"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p>
        </w:tc>
        <w:tc>
          <w:tcPr>
            <w:tcW w:w="1221" w:type="dxa"/>
            <w:tcBorders>
              <w:top w:val="nil"/>
              <w:left w:val="nil"/>
              <w:bottom w:val="nil"/>
              <w:right w:val="nil"/>
            </w:tcBorders>
            <w:shd w:val="clear" w:color="auto" w:fill="auto"/>
            <w:noWrap/>
            <w:vAlign w:val="center"/>
            <w:hideMark/>
          </w:tcPr>
          <w:p w14:paraId="2A1C2F98"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6"/>
                <w:szCs w:val="18"/>
              </w:rPr>
            </w:pPr>
            <w:r w:rsidRPr="00665B81">
              <w:rPr>
                <w:rFonts w:eastAsia="Times New Roman" w:cs="Calibri"/>
                <w:b/>
                <w:bCs/>
                <w:color w:val="002060"/>
                <w:sz w:val="16"/>
                <w:szCs w:val="18"/>
              </w:rPr>
              <w:t>1,469</w:t>
            </w:r>
          </w:p>
        </w:tc>
      </w:tr>
      <w:tr w:rsidR="006C2C5E" w:rsidRPr="00197E94" w14:paraId="2DC48E17" w14:textId="77777777" w:rsidTr="002F7131">
        <w:trPr>
          <w:trHeight w:val="20"/>
        </w:trPr>
        <w:tc>
          <w:tcPr>
            <w:tcW w:w="5807" w:type="dxa"/>
            <w:tcBorders>
              <w:top w:val="nil"/>
              <w:left w:val="nil"/>
              <w:bottom w:val="nil"/>
              <w:right w:val="nil"/>
            </w:tcBorders>
            <w:shd w:val="clear" w:color="auto" w:fill="auto"/>
            <w:vAlign w:val="center"/>
            <w:hideMark/>
          </w:tcPr>
          <w:p w14:paraId="2D4DBC91"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6"/>
                <w:szCs w:val="18"/>
              </w:rPr>
            </w:pPr>
            <w:r w:rsidRPr="00665B81">
              <w:rPr>
                <w:rFonts w:cstheme="minorHAnsi"/>
                <w:sz w:val="16"/>
                <w:szCs w:val="18"/>
              </w:rPr>
              <w:t>F.</w:t>
            </w:r>
            <w:r w:rsidRPr="00665B81">
              <w:rPr>
                <w:rFonts w:cstheme="minorHAnsi"/>
                <w:sz w:val="16"/>
                <w:szCs w:val="18"/>
              </w:rPr>
              <w:tab/>
            </w:r>
            <w:r w:rsidRPr="00665B81">
              <w:rPr>
                <w:rFonts w:cstheme="minorHAnsi"/>
                <w:sz w:val="16"/>
                <w:szCs w:val="18"/>
              </w:rPr>
              <w:t>向</w:t>
            </w:r>
            <w:r w:rsidRPr="00665B81">
              <w:rPr>
                <w:rFonts w:cstheme="minorHAnsi"/>
                <w:sz w:val="16"/>
                <w:szCs w:val="18"/>
              </w:rPr>
              <w:t>ICT</w:t>
            </w:r>
            <w:r w:rsidRPr="00665B81">
              <w:rPr>
                <w:rFonts w:cstheme="minorHAnsi"/>
                <w:sz w:val="16"/>
                <w:szCs w:val="18"/>
              </w:rPr>
              <w:t>基金的付款</w:t>
            </w:r>
          </w:p>
        </w:tc>
        <w:tc>
          <w:tcPr>
            <w:tcW w:w="1573" w:type="dxa"/>
            <w:tcBorders>
              <w:top w:val="nil"/>
              <w:left w:val="single" w:sz="4" w:space="0" w:color="0070C0"/>
              <w:bottom w:val="nil"/>
              <w:right w:val="nil"/>
            </w:tcBorders>
            <w:shd w:val="clear" w:color="auto" w:fill="auto"/>
            <w:noWrap/>
            <w:vAlign w:val="center"/>
            <w:hideMark/>
          </w:tcPr>
          <w:p w14:paraId="1A47D700"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 </w:t>
            </w:r>
          </w:p>
        </w:tc>
        <w:tc>
          <w:tcPr>
            <w:tcW w:w="1718" w:type="dxa"/>
            <w:tcBorders>
              <w:top w:val="nil"/>
              <w:left w:val="nil"/>
              <w:bottom w:val="nil"/>
              <w:right w:val="nil"/>
            </w:tcBorders>
            <w:shd w:val="clear" w:color="auto" w:fill="auto"/>
            <w:noWrap/>
            <w:vAlign w:val="center"/>
            <w:hideMark/>
          </w:tcPr>
          <w:p w14:paraId="510FEA0C"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p>
        </w:tc>
        <w:tc>
          <w:tcPr>
            <w:tcW w:w="1718" w:type="dxa"/>
            <w:tcBorders>
              <w:top w:val="nil"/>
              <w:left w:val="nil"/>
              <w:bottom w:val="nil"/>
              <w:right w:val="nil"/>
            </w:tcBorders>
            <w:shd w:val="clear" w:color="auto" w:fill="auto"/>
            <w:noWrap/>
            <w:vAlign w:val="center"/>
            <w:hideMark/>
          </w:tcPr>
          <w:p w14:paraId="6A92C066"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-500</w:t>
            </w:r>
          </w:p>
        </w:tc>
        <w:tc>
          <w:tcPr>
            <w:tcW w:w="1571" w:type="dxa"/>
            <w:tcBorders>
              <w:top w:val="nil"/>
              <w:left w:val="nil"/>
              <w:bottom w:val="nil"/>
              <w:right w:val="nil"/>
            </w:tcBorders>
            <w:shd w:val="clear" w:color="auto" w:fill="auto"/>
            <w:noWrap/>
            <w:vAlign w:val="center"/>
            <w:hideMark/>
          </w:tcPr>
          <w:p w14:paraId="1AEBF46E"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-500</w:t>
            </w:r>
          </w:p>
        </w:tc>
        <w:tc>
          <w:tcPr>
            <w:tcW w:w="1221" w:type="dxa"/>
            <w:tcBorders>
              <w:top w:val="nil"/>
              <w:left w:val="nil"/>
              <w:bottom w:val="nil"/>
              <w:right w:val="nil"/>
            </w:tcBorders>
            <w:shd w:val="clear" w:color="auto" w:fill="auto"/>
            <w:noWrap/>
            <w:vAlign w:val="center"/>
            <w:hideMark/>
          </w:tcPr>
          <w:p w14:paraId="690CDE99"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6"/>
                <w:szCs w:val="18"/>
              </w:rPr>
            </w:pPr>
            <w:r w:rsidRPr="00665B81">
              <w:rPr>
                <w:rFonts w:eastAsia="Times New Roman" w:cs="Calibri"/>
                <w:b/>
                <w:bCs/>
                <w:color w:val="002060"/>
                <w:sz w:val="16"/>
                <w:szCs w:val="18"/>
              </w:rPr>
              <w:t>-1,000</w:t>
            </w:r>
          </w:p>
        </w:tc>
      </w:tr>
      <w:tr w:rsidR="006C2C5E" w:rsidRPr="00197E94" w14:paraId="1183FDBE" w14:textId="77777777" w:rsidTr="002F7131">
        <w:trPr>
          <w:trHeight w:val="20"/>
        </w:trPr>
        <w:tc>
          <w:tcPr>
            <w:tcW w:w="5807" w:type="dxa"/>
            <w:tcBorders>
              <w:top w:val="nil"/>
              <w:left w:val="nil"/>
              <w:bottom w:val="nil"/>
              <w:right w:val="nil"/>
            </w:tcBorders>
            <w:shd w:val="clear" w:color="auto" w:fill="auto"/>
            <w:vAlign w:val="center"/>
            <w:hideMark/>
          </w:tcPr>
          <w:p w14:paraId="688BE185"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6"/>
                <w:szCs w:val="18"/>
                <w:lang w:eastAsia="zh-CN"/>
              </w:rPr>
            </w:pPr>
            <w:r w:rsidRPr="00665B81">
              <w:rPr>
                <w:rFonts w:cstheme="minorHAnsi"/>
                <w:sz w:val="16"/>
                <w:szCs w:val="18"/>
                <w:lang w:eastAsia="zh-CN"/>
              </w:rPr>
              <w:t>G.</w:t>
            </w:r>
            <w:r w:rsidRPr="00665B81">
              <w:rPr>
                <w:rFonts w:cstheme="minorHAnsi"/>
                <w:sz w:val="16"/>
                <w:szCs w:val="18"/>
                <w:lang w:eastAsia="zh-CN"/>
              </w:rPr>
              <w:tab/>
            </w:r>
            <w:r w:rsidRPr="00665B81">
              <w:rPr>
                <w:rFonts w:cstheme="minorHAnsi"/>
                <w:sz w:val="16"/>
                <w:szCs w:val="18"/>
                <w:lang w:eastAsia="zh-CN"/>
              </w:rPr>
              <w:t>向办公楼基金的付款</w:t>
            </w:r>
          </w:p>
        </w:tc>
        <w:tc>
          <w:tcPr>
            <w:tcW w:w="1573" w:type="dxa"/>
            <w:tcBorders>
              <w:top w:val="nil"/>
              <w:left w:val="single" w:sz="4" w:space="0" w:color="0070C0"/>
              <w:bottom w:val="nil"/>
              <w:right w:val="nil"/>
            </w:tcBorders>
            <w:shd w:val="clear" w:color="auto" w:fill="auto"/>
            <w:noWrap/>
            <w:vAlign w:val="center"/>
            <w:hideMark/>
          </w:tcPr>
          <w:p w14:paraId="59578B00" w14:textId="56877569"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lang w:eastAsia="zh-CN"/>
              </w:rPr>
            </w:pPr>
            <w:r w:rsidRPr="00665B81">
              <w:rPr>
                <w:rFonts w:eastAsia="Times New Roman" w:cs="Calibri"/>
                <w:sz w:val="16"/>
                <w:szCs w:val="18"/>
                <w:lang w:eastAsia="zh-CN"/>
              </w:rPr>
              <w:t> </w:t>
            </w:r>
          </w:p>
        </w:tc>
        <w:tc>
          <w:tcPr>
            <w:tcW w:w="1718" w:type="dxa"/>
            <w:tcBorders>
              <w:top w:val="nil"/>
              <w:left w:val="nil"/>
              <w:bottom w:val="nil"/>
              <w:right w:val="nil"/>
            </w:tcBorders>
            <w:shd w:val="clear" w:color="auto" w:fill="auto"/>
            <w:noWrap/>
            <w:vAlign w:val="center"/>
            <w:hideMark/>
          </w:tcPr>
          <w:p w14:paraId="0E7C571E"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lang w:eastAsia="zh-CN"/>
              </w:rPr>
            </w:pPr>
          </w:p>
        </w:tc>
        <w:tc>
          <w:tcPr>
            <w:tcW w:w="1718" w:type="dxa"/>
            <w:tcBorders>
              <w:top w:val="nil"/>
              <w:left w:val="nil"/>
              <w:bottom w:val="nil"/>
              <w:right w:val="nil"/>
            </w:tcBorders>
            <w:shd w:val="clear" w:color="auto" w:fill="auto"/>
            <w:noWrap/>
            <w:vAlign w:val="center"/>
            <w:hideMark/>
          </w:tcPr>
          <w:p w14:paraId="5326E4C0"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-750</w:t>
            </w:r>
          </w:p>
        </w:tc>
        <w:tc>
          <w:tcPr>
            <w:tcW w:w="1571" w:type="dxa"/>
            <w:tcBorders>
              <w:top w:val="nil"/>
              <w:left w:val="nil"/>
              <w:bottom w:val="nil"/>
              <w:right w:val="nil"/>
            </w:tcBorders>
            <w:shd w:val="clear" w:color="auto" w:fill="auto"/>
            <w:noWrap/>
            <w:vAlign w:val="center"/>
            <w:hideMark/>
          </w:tcPr>
          <w:p w14:paraId="16228533"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-750</w:t>
            </w:r>
          </w:p>
        </w:tc>
        <w:tc>
          <w:tcPr>
            <w:tcW w:w="1221" w:type="dxa"/>
            <w:tcBorders>
              <w:top w:val="nil"/>
              <w:left w:val="nil"/>
              <w:bottom w:val="nil"/>
              <w:right w:val="nil"/>
            </w:tcBorders>
            <w:shd w:val="clear" w:color="auto" w:fill="auto"/>
            <w:noWrap/>
            <w:vAlign w:val="center"/>
            <w:hideMark/>
          </w:tcPr>
          <w:p w14:paraId="455CBB23"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6"/>
                <w:szCs w:val="18"/>
              </w:rPr>
            </w:pPr>
            <w:r w:rsidRPr="00665B81">
              <w:rPr>
                <w:rFonts w:eastAsia="Times New Roman" w:cs="Calibri"/>
                <w:b/>
                <w:bCs/>
                <w:color w:val="002060"/>
                <w:sz w:val="16"/>
                <w:szCs w:val="18"/>
              </w:rPr>
              <w:t>-1,500</w:t>
            </w:r>
          </w:p>
        </w:tc>
      </w:tr>
      <w:tr w:rsidR="006C2C5E" w:rsidRPr="00197E94" w14:paraId="24142121" w14:textId="77777777" w:rsidTr="002F7131">
        <w:trPr>
          <w:trHeight w:val="20"/>
        </w:trPr>
        <w:tc>
          <w:tcPr>
            <w:tcW w:w="5807" w:type="dxa"/>
            <w:tcBorders>
              <w:top w:val="nil"/>
              <w:left w:val="nil"/>
              <w:bottom w:val="single" w:sz="4" w:space="0" w:color="auto"/>
              <w:right w:val="nil"/>
            </w:tcBorders>
            <w:shd w:val="clear" w:color="auto" w:fill="auto"/>
            <w:vAlign w:val="center"/>
            <w:hideMark/>
          </w:tcPr>
          <w:p w14:paraId="0FAA1534"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6"/>
                <w:szCs w:val="18"/>
              </w:rPr>
            </w:pPr>
            <w:r w:rsidRPr="00665B81">
              <w:rPr>
                <w:rFonts w:cstheme="minorHAnsi"/>
                <w:sz w:val="16"/>
                <w:szCs w:val="18"/>
              </w:rPr>
              <w:t>H.</w:t>
            </w:r>
            <w:r w:rsidRPr="00665B81">
              <w:rPr>
                <w:rFonts w:cstheme="minorHAnsi"/>
                <w:sz w:val="16"/>
                <w:szCs w:val="18"/>
              </w:rPr>
              <w:tab/>
            </w:r>
            <w:r w:rsidRPr="00665B81">
              <w:rPr>
                <w:rFonts w:cstheme="minorHAnsi"/>
                <w:sz w:val="16"/>
                <w:szCs w:val="18"/>
              </w:rPr>
              <w:t>预算实施结余</w:t>
            </w:r>
          </w:p>
        </w:tc>
        <w:tc>
          <w:tcPr>
            <w:tcW w:w="1573" w:type="dxa"/>
            <w:tcBorders>
              <w:top w:val="nil"/>
              <w:left w:val="single" w:sz="4" w:space="0" w:color="0070C0"/>
              <w:bottom w:val="single" w:sz="4" w:space="0" w:color="auto"/>
              <w:right w:val="nil"/>
            </w:tcBorders>
            <w:shd w:val="clear" w:color="auto" w:fill="auto"/>
            <w:noWrap/>
            <w:vAlign w:val="center"/>
            <w:hideMark/>
          </w:tcPr>
          <w:p w14:paraId="0AFC21B1"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 </w:t>
            </w:r>
          </w:p>
        </w:tc>
        <w:tc>
          <w:tcPr>
            <w:tcW w:w="1718" w:type="dxa"/>
            <w:tcBorders>
              <w:top w:val="nil"/>
              <w:left w:val="nil"/>
              <w:bottom w:val="single" w:sz="4" w:space="0" w:color="auto"/>
              <w:right w:val="nil"/>
            </w:tcBorders>
            <w:shd w:val="clear" w:color="auto" w:fill="auto"/>
            <w:noWrap/>
            <w:vAlign w:val="center"/>
            <w:hideMark/>
          </w:tcPr>
          <w:p w14:paraId="05A546D1"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4,359</w:t>
            </w:r>
          </w:p>
        </w:tc>
        <w:tc>
          <w:tcPr>
            <w:tcW w:w="1718" w:type="dxa"/>
            <w:tcBorders>
              <w:top w:val="nil"/>
              <w:left w:val="nil"/>
              <w:bottom w:val="single" w:sz="4" w:space="0" w:color="auto"/>
              <w:right w:val="nil"/>
            </w:tcBorders>
            <w:shd w:val="clear" w:color="auto" w:fill="auto"/>
            <w:noWrap/>
            <w:vAlign w:val="center"/>
            <w:hideMark/>
          </w:tcPr>
          <w:p w14:paraId="309A664A"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2,032</w:t>
            </w:r>
          </w:p>
        </w:tc>
        <w:tc>
          <w:tcPr>
            <w:tcW w:w="1571" w:type="dxa"/>
            <w:tcBorders>
              <w:top w:val="nil"/>
              <w:left w:val="nil"/>
              <w:bottom w:val="single" w:sz="4" w:space="0" w:color="auto"/>
              <w:right w:val="nil"/>
            </w:tcBorders>
            <w:shd w:val="clear" w:color="auto" w:fill="auto"/>
            <w:noWrap/>
            <w:vAlign w:val="center"/>
            <w:hideMark/>
          </w:tcPr>
          <w:p w14:paraId="2E52FEB9"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1,734</w:t>
            </w:r>
          </w:p>
        </w:tc>
        <w:tc>
          <w:tcPr>
            <w:tcW w:w="1221" w:type="dxa"/>
            <w:tcBorders>
              <w:top w:val="nil"/>
              <w:left w:val="nil"/>
              <w:bottom w:val="single" w:sz="4" w:space="0" w:color="auto"/>
              <w:right w:val="nil"/>
            </w:tcBorders>
            <w:shd w:val="clear" w:color="auto" w:fill="auto"/>
            <w:noWrap/>
            <w:vAlign w:val="center"/>
            <w:hideMark/>
          </w:tcPr>
          <w:p w14:paraId="4102D0E1"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6"/>
                <w:szCs w:val="18"/>
              </w:rPr>
            </w:pPr>
            <w:r w:rsidRPr="00665B81">
              <w:rPr>
                <w:rFonts w:eastAsia="Times New Roman" w:cs="Calibri"/>
                <w:b/>
                <w:bCs/>
                <w:color w:val="002060"/>
                <w:sz w:val="16"/>
                <w:szCs w:val="18"/>
              </w:rPr>
              <w:t>3,766</w:t>
            </w:r>
          </w:p>
        </w:tc>
      </w:tr>
      <w:tr w:rsidR="006C2C5E" w:rsidRPr="00197E94" w14:paraId="41958D02" w14:textId="77777777" w:rsidTr="002F7131">
        <w:trPr>
          <w:trHeight w:val="20"/>
        </w:trPr>
        <w:tc>
          <w:tcPr>
            <w:tcW w:w="5807" w:type="dxa"/>
            <w:tcBorders>
              <w:top w:val="single" w:sz="4" w:space="0" w:color="auto"/>
              <w:left w:val="nil"/>
              <w:bottom w:val="nil"/>
              <w:right w:val="nil"/>
            </w:tcBorders>
            <w:shd w:val="clear" w:color="auto" w:fill="auto"/>
            <w:noWrap/>
            <w:vAlign w:val="center"/>
            <w:hideMark/>
          </w:tcPr>
          <w:p w14:paraId="3347BD37" w14:textId="1EE3BEBD" w:rsidR="006C2C5E" w:rsidRPr="003542E8"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b/>
                <w:bCs/>
                <w:sz w:val="18"/>
                <w:szCs w:val="18"/>
              </w:rPr>
            </w:pPr>
            <w:r w:rsidRPr="00665B81">
              <w:rPr>
                <w:rFonts w:cstheme="minorHAnsi"/>
                <w:b/>
                <w:bCs/>
                <w:sz w:val="16"/>
                <w:szCs w:val="18"/>
              </w:rPr>
              <w:t>合计</w:t>
            </w:r>
          </w:p>
        </w:tc>
        <w:tc>
          <w:tcPr>
            <w:tcW w:w="1573" w:type="dxa"/>
            <w:tcBorders>
              <w:top w:val="single" w:sz="4" w:space="0" w:color="auto"/>
              <w:left w:val="single" w:sz="4" w:space="0" w:color="0070C0"/>
              <w:bottom w:val="nil"/>
              <w:right w:val="nil"/>
            </w:tcBorders>
            <w:shd w:val="clear" w:color="auto" w:fill="auto"/>
            <w:noWrap/>
            <w:vAlign w:val="center"/>
            <w:hideMark/>
          </w:tcPr>
          <w:p w14:paraId="6232B2BB"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r w:rsidRPr="00665B81">
              <w:rPr>
                <w:rFonts w:eastAsia="Times New Roman" w:cs="Calibri"/>
                <w:b/>
                <w:bCs/>
                <w:sz w:val="18"/>
              </w:rPr>
              <w:t>320,608</w:t>
            </w:r>
          </w:p>
        </w:tc>
        <w:tc>
          <w:tcPr>
            <w:tcW w:w="1718" w:type="dxa"/>
            <w:tcBorders>
              <w:top w:val="single" w:sz="4" w:space="0" w:color="auto"/>
              <w:left w:val="nil"/>
              <w:bottom w:val="nil"/>
              <w:right w:val="nil"/>
            </w:tcBorders>
            <w:shd w:val="clear" w:color="auto" w:fill="auto"/>
            <w:noWrap/>
            <w:vAlign w:val="center"/>
            <w:hideMark/>
          </w:tcPr>
          <w:p w14:paraId="4DFFA246"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r w:rsidRPr="00665B81">
              <w:rPr>
                <w:rFonts w:eastAsia="Times New Roman" w:cs="Calibri"/>
                <w:b/>
                <w:bCs/>
                <w:sz w:val="18"/>
              </w:rPr>
              <w:t>330,544</w:t>
            </w:r>
          </w:p>
        </w:tc>
        <w:tc>
          <w:tcPr>
            <w:tcW w:w="1718" w:type="dxa"/>
            <w:tcBorders>
              <w:top w:val="single" w:sz="4" w:space="0" w:color="auto"/>
              <w:left w:val="nil"/>
              <w:bottom w:val="nil"/>
              <w:right w:val="nil"/>
            </w:tcBorders>
            <w:shd w:val="clear" w:color="auto" w:fill="auto"/>
            <w:noWrap/>
            <w:vAlign w:val="center"/>
            <w:hideMark/>
          </w:tcPr>
          <w:p w14:paraId="6301384F"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8"/>
              </w:rPr>
            </w:pPr>
            <w:r w:rsidRPr="00665B81">
              <w:rPr>
                <w:rFonts w:eastAsia="Times New Roman" w:cs="Calibri"/>
                <w:b/>
                <w:bCs/>
                <w:color w:val="002060"/>
                <w:sz w:val="18"/>
              </w:rPr>
              <w:t>161,961</w:t>
            </w:r>
          </w:p>
        </w:tc>
        <w:tc>
          <w:tcPr>
            <w:tcW w:w="1571" w:type="dxa"/>
            <w:tcBorders>
              <w:top w:val="single" w:sz="4" w:space="0" w:color="auto"/>
              <w:left w:val="nil"/>
              <w:bottom w:val="nil"/>
              <w:right w:val="nil"/>
            </w:tcBorders>
            <w:shd w:val="clear" w:color="auto" w:fill="auto"/>
            <w:noWrap/>
            <w:vAlign w:val="center"/>
            <w:hideMark/>
          </w:tcPr>
          <w:p w14:paraId="40DA2995"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8"/>
              </w:rPr>
            </w:pPr>
            <w:r w:rsidRPr="00665B81">
              <w:rPr>
                <w:rFonts w:eastAsia="Times New Roman" w:cs="Calibri"/>
                <w:b/>
                <w:bCs/>
                <w:color w:val="002060"/>
                <w:sz w:val="18"/>
              </w:rPr>
              <w:t>163,194</w:t>
            </w:r>
          </w:p>
        </w:tc>
        <w:tc>
          <w:tcPr>
            <w:tcW w:w="1221" w:type="dxa"/>
            <w:tcBorders>
              <w:top w:val="single" w:sz="4" w:space="0" w:color="auto"/>
              <w:left w:val="nil"/>
              <w:bottom w:val="nil"/>
              <w:right w:val="nil"/>
            </w:tcBorders>
            <w:shd w:val="clear" w:color="auto" w:fill="auto"/>
            <w:noWrap/>
            <w:vAlign w:val="center"/>
            <w:hideMark/>
          </w:tcPr>
          <w:p w14:paraId="0C7A0EC7"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8"/>
              </w:rPr>
            </w:pPr>
            <w:r w:rsidRPr="00665B81">
              <w:rPr>
                <w:rFonts w:eastAsia="Times New Roman" w:cs="Calibri"/>
                <w:b/>
                <w:bCs/>
                <w:color w:val="002060"/>
                <w:sz w:val="18"/>
              </w:rPr>
              <w:t>325,155</w:t>
            </w:r>
          </w:p>
        </w:tc>
      </w:tr>
      <w:tr w:rsidR="006C2C5E" w:rsidRPr="00197E94" w14:paraId="1603FDEC" w14:textId="77777777" w:rsidTr="002F7131">
        <w:trPr>
          <w:trHeight w:val="20"/>
        </w:trPr>
        <w:tc>
          <w:tcPr>
            <w:tcW w:w="5807" w:type="dxa"/>
            <w:tcBorders>
              <w:top w:val="single" w:sz="4" w:space="0" w:color="auto"/>
              <w:left w:val="nil"/>
              <w:bottom w:val="nil"/>
              <w:right w:val="nil"/>
            </w:tcBorders>
            <w:shd w:val="clear" w:color="auto" w:fill="auto"/>
            <w:noWrap/>
            <w:vAlign w:val="center"/>
          </w:tcPr>
          <w:p w14:paraId="214F5FB8"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b/>
                <w:bCs/>
                <w:sz w:val="16"/>
                <w:szCs w:val="18"/>
              </w:rPr>
            </w:pPr>
          </w:p>
        </w:tc>
        <w:tc>
          <w:tcPr>
            <w:tcW w:w="1573" w:type="dxa"/>
            <w:tcBorders>
              <w:top w:val="single" w:sz="4" w:space="0" w:color="auto"/>
              <w:left w:val="single" w:sz="4" w:space="0" w:color="0070C0"/>
              <w:bottom w:val="nil"/>
              <w:right w:val="nil"/>
            </w:tcBorders>
            <w:shd w:val="clear" w:color="auto" w:fill="auto"/>
            <w:noWrap/>
            <w:vAlign w:val="center"/>
          </w:tcPr>
          <w:p w14:paraId="7D17CF16"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p>
        </w:tc>
        <w:tc>
          <w:tcPr>
            <w:tcW w:w="1718" w:type="dxa"/>
            <w:tcBorders>
              <w:top w:val="single" w:sz="4" w:space="0" w:color="auto"/>
              <w:left w:val="nil"/>
              <w:bottom w:val="nil"/>
              <w:right w:val="nil"/>
            </w:tcBorders>
            <w:shd w:val="clear" w:color="auto" w:fill="auto"/>
            <w:noWrap/>
            <w:vAlign w:val="center"/>
          </w:tcPr>
          <w:p w14:paraId="15707681"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p>
        </w:tc>
        <w:tc>
          <w:tcPr>
            <w:tcW w:w="1718" w:type="dxa"/>
            <w:tcBorders>
              <w:top w:val="single" w:sz="4" w:space="0" w:color="auto"/>
              <w:left w:val="nil"/>
              <w:bottom w:val="nil"/>
              <w:right w:val="nil"/>
            </w:tcBorders>
            <w:shd w:val="clear" w:color="auto" w:fill="auto"/>
            <w:noWrap/>
            <w:vAlign w:val="center"/>
          </w:tcPr>
          <w:p w14:paraId="167F01EA"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8"/>
              </w:rPr>
            </w:pPr>
          </w:p>
        </w:tc>
        <w:tc>
          <w:tcPr>
            <w:tcW w:w="1571" w:type="dxa"/>
            <w:tcBorders>
              <w:top w:val="single" w:sz="4" w:space="0" w:color="auto"/>
              <w:left w:val="nil"/>
              <w:bottom w:val="nil"/>
              <w:right w:val="nil"/>
            </w:tcBorders>
            <w:shd w:val="clear" w:color="auto" w:fill="auto"/>
            <w:noWrap/>
            <w:vAlign w:val="center"/>
          </w:tcPr>
          <w:p w14:paraId="217939B0"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8"/>
              </w:rPr>
            </w:pPr>
          </w:p>
        </w:tc>
        <w:tc>
          <w:tcPr>
            <w:tcW w:w="1221" w:type="dxa"/>
            <w:tcBorders>
              <w:top w:val="single" w:sz="4" w:space="0" w:color="auto"/>
              <w:left w:val="nil"/>
              <w:bottom w:val="nil"/>
              <w:right w:val="nil"/>
            </w:tcBorders>
            <w:shd w:val="clear" w:color="auto" w:fill="auto"/>
            <w:noWrap/>
            <w:vAlign w:val="center"/>
          </w:tcPr>
          <w:p w14:paraId="42A6D9F2"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8"/>
              </w:rPr>
            </w:pPr>
          </w:p>
        </w:tc>
      </w:tr>
      <w:tr w:rsidR="006C2C5E" w:rsidRPr="00197E94" w14:paraId="59CC4BC7" w14:textId="77777777" w:rsidTr="002F7131">
        <w:trPr>
          <w:trHeight w:val="20"/>
        </w:trPr>
        <w:tc>
          <w:tcPr>
            <w:tcW w:w="5807" w:type="dxa"/>
            <w:tcBorders>
              <w:top w:val="nil"/>
              <w:left w:val="nil"/>
              <w:bottom w:val="nil"/>
              <w:right w:val="nil"/>
            </w:tcBorders>
            <w:shd w:val="clear" w:color="auto" w:fill="auto"/>
            <w:noWrap/>
            <w:vAlign w:val="center"/>
            <w:hideMark/>
          </w:tcPr>
          <w:p w14:paraId="3230F484" w14:textId="77777777" w:rsidR="006C2C5E" w:rsidRPr="00271080" w:rsidRDefault="006C2C5E" w:rsidP="002F7131">
            <w:pPr>
              <w:tabs>
                <w:tab w:val="clear" w:pos="794"/>
                <w:tab w:val="clear" w:pos="1191"/>
                <w:tab w:val="clear" w:pos="1588"/>
                <w:tab w:val="clear" w:pos="1985"/>
              </w:tabs>
              <w:overflowPunct/>
              <w:autoSpaceDE/>
              <w:autoSpaceDN/>
              <w:adjustRightInd/>
              <w:spacing w:before="0"/>
              <w:textAlignment w:val="auto"/>
              <w:rPr>
                <w:rFonts w:eastAsia="STKaiti" w:cstheme="minorHAnsi"/>
                <w:sz w:val="18"/>
                <w:szCs w:val="18"/>
                <w:lang w:eastAsia="zh-CN"/>
              </w:rPr>
            </w:pPr>
            <w:r w:rsidRPr="00271080">
              <w:rPr>
                <w:rFonts w:eastAsia="STKaiti" w:cstheme="minorHAnsi"/>
                <w:sz w:val="16"/>
                <w:szCs w:val="18"/>
                <w:lang w:eastAsia="zh-CN"/>
              </w:rPr>
              <w:t>*) WTSA</w:t>
            </w:r>
            <w:r w:rsidRPr="00271080">
              <w:rPr>
                <w:rFonts w:eastAsia="STKaiti" w:cstheme="minorHAnsi"/>
                <w:sz w:val="16"/>
                <w:szCs w:val="18"/>
                <w:lang w:eastAsia="zh-CN"/>
              </w:rPr>
              <w:t>从</w:t>
            </w:r>
            <w:r w:rsidRPr="00271080">
              <w:rPr>
                <w:rFonts w:eastAsia="STKaiti" w:cstheme="minorHAnsi"/>
                <w:sz w:val="16"/>
                <w:szCs w:val="18"/>
                <w:lang w:eastAsia="zh-CN"/>
              </w:rPr>
              <w:t>2020</w:t>
            </w:r>
            <w:r w:rsidRPr="00271080">
              <w:rPr>
                <w:rFonts w:eastAsia="STKaiti" w:cstheme="minorHAnsi"/>
                <w:sz w:val="16"/>
                <w:szCs w:val="18"/>
                <w:lang w:eastAsia="zh-CN"/>
              </w:rPr>
              <w:t>年推迟至</w:t>
            </w:r>
            <w:r w:rsidRPr="00271080">
              <w:rPr>
                <w:rFonts w:eastAsia="STKaiti" w:cstheme="minorHAnsi"/>
                <w:sz w:val="16"/>
                <w:szCs w:val="18"/>
                <w:lang w:eastAsia="zh-CN"/>
              </w:rPr>
              <w:t>2022</w:t>
            </w:r>
            <w:r w:rsidRPr="00271080">
              <w:rPr>
                <w:rFonts w:eastAsia="STKaiti" w:cstheme="minorHAnsi"/>
                <w:sz w:val="16"/>
                <w:szCs w:val="18"/>
                <w:lang w:eastAsia="zh-CN"/>
              </w:rPr>
              <w:t>年</w:t>
            </w:r>
          </w:p>
        </w:tc>
        <w:tc>
          <w:tcPr>
            <w:tcW w:w="1573" w:type="dxa"/>
            <w:tcBorders>
              <w:top w:val="nil"/>
              <w:left w:val="nil"/>
              <w:bottom w:val="nil"/>
              <w:right w:val="nil"/>
            </w:tcBorders>
            <w:shd w:val="clear" w:color="auto" w:fill="auto"/>
            <w:noWrap/>
            <w:vAlign w:val="center"/>
            <w:hideMark/>
          </w:tcPr>
          <w:p w14:paraId="1B21451F" w14:textId="77777777" w:rsidR="006C2C5E" w:rsidRPr="00197E94"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18"/>
                <w:szCs w:val="18"/>
                <w:lang w:eastAsia="zh-CN"/>
              </w:rPr>
            </w:pPr>
          </w:p>
        </w:tc>
        <w:tc>
          <w:tcPr>
            <w:tcW w:w="1718" w:type="dxa"/>
            <w:tcBorders>
              <w:top w:val="nil"/>
              <w:left w:val="nil"/>
              <w:bottom w:val="nil"/>
              <w:right w:val="nil"/>
            </w:tcBorders>
            <w:shd w:val="clear" w:color="auto" w:fill="auto"/>
            <w:noWrap/>
            <w:vAlign w:val="center"/>
            <w:hideMark/>
          </w:tcPr>
          <w:p w14:paraId="66656F94" w14:textId="77777777" w:rsidR="006C2C5E" w:rsidRPr="00197E94"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718" w:type="dxa"/>
            <w:tcBorders>
              <w:top w:val="nil"/>
              <w:left w:val="nil"/>
              <w:bottom w:val="nil"/>
              <w:right w:val="nil"/>
            </w:tcBorders>
            <w:shd w:val="clear" w:color="auto" w:fill="auto"/>
            <w:noWrap/>
            <w:vAlign w:val="center"/>
            <w:hideMark/>
          </w:tcPr>
          <w:p w14:paraId="5C767F3E" w14:textId="77777777" w:rsidR="006C2C5E" w:rsidRPr="00197E94"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571" w:type="dxa"/>
            <w:tcBorders>
              <w:top w:val="nil"/>
              <w:left w:val="nil"/>
              <w:bottom w:val="nil"/>
              <w:right w:val="nil"/>
            </w:tcBorders>
            <w:shd w:val="clear" w:color="auto" w:fill="auto"/>
            <w:noWrap/>
            <w:vAlign w:val="center"/>
            <w:hideMark/>
          </w:tcPr>
          <w:p w14:paraId="48FC5EBD" w14:textId="77777777" w:rsidR="006C2C5E" w:rsidRPr="00197E94"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21" w:type="dxa"/>
            <w:tcBorders>
              <w:top w:val="nil"/>
              <w:left w:val="nil"/>
              <w:bottom w:val="nil"/>
              <w:right w:val="nil"/>
            </w:tcBorders>
            <w:shd w:val="clear" w:color="auto" w:fill="auto"/>
            <w:noWrap/>
            <w:vAlign w:val="center"/>
            <w:hideMark/>
          </w:tcPr>
          <w:p w14:paraId="14CB641C" w14:textId="77777777" w:rsidR="006C2C5E" w:rsidRPr="00197E94"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bl>
    <w:p w14:paraId="4A33A677" w14:textId="5B058A0A" w:rsidR="006C2C5E" w:rsidRDefault="006C2C5E" w:rsidP="0090191E">
      <w:pPr>
        <w:pStyle w:val="Normalaftertitle"/>
        <w:rPr>
          <w:lang w:eastAsia="zh-CN"/>
        </w:rPr>
      </w:pPr>
      <w:r>
        <w:rPr>
          <w:lang w:eastAsia="zh-CN"/>
        </w:rPr>
        <w:br w:type="page"/>
      </w:r>
    </w:p>
    <w:tbl>
      <w:tblPr>
        <w:tblW w:w="5000" w:type="pct"/>
        <w:tblLook w:val="04A0" w:firstRow="1" w:lastRow="0" w:firstColumn="1" w:lastColumn="0" w:noHBand="0" w:noVBand="1"/>
      </w:tblPr>
      <w:tblGrid>
        <w:gridCol w:w="1413"/>
        <w:gridCol w:w="5678"/>
        <w:gridCol w:w="1587"/>
        <w:gridCol w:w="1518"/>
        <w:gridCol w:w="1284"/>
        <w:gridCol w:w="1284"/>
        <w:gridCol w:w="1518"/>
      </w:tblGrid>
      <w:tr w:rsidR="006C2C5E" w:rsidRPr="00732DCC" w14:paraId="7B38471C" w14:textId="77777777" w:rsidTr="002F7131">
        <w:trPr>
          <w:trHeight w:val="372"/>
        </w:trPr>
        <w:tc>
          <w:tcPr>
            <w:tcW w:w="1386" w:type="dxa"/>
            <w:tcBorders>
              <w:top w:val="nil"/>
              <w:left w:val="nil"/>
              <w:bottom w:val="nil"/>
              <w:right w:val="nil"/>
            </w:tcBorders>
            <w:shd w:val="clear" w:color="auto" w:fill="auto"/>
            <w:noWrap/>
            <w:vAlign w:val="center"/>
            <w:hideMark/>
          </w:tcPr>
          <w:p w14:paraId="6B1AC098"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732DCC">
              <w:rPr>
                <w:rFonts w:ascii="SimSun" w:hAnsi="SimSun" w:cs="Calibri" w:hint="eastAsia"/>
                <w:b/>
                <w:bCs/>
                <w:color w:val="002060"/>
                <w:sz w:val="40"/>
                <w:szCs w:val="40"/>
              </w:rPr>
              <w:lastRenderedPageBreak/>
              <w:t>表</w:t>
            </w:r>
            <w:r w:rsidRPr="00732DCC">
              <w:rPr>
                <w:rFonts w:eastAsia="Times New Roman" w:cs="Calibri"/>
                <w:b/>
                <w:bCs/>
                <w:color w:val="002060"/>
                <w:sz w:val="40"/>
                <w:szCs w:val="40"/>
              </w:rPr>
              <w:t>3</w:t>
            </w:r>
          </w:p>
        </w:tc>
        <w:tc>
          <w:tcPr>
            <w:tcW w:w="5565" w:type="dxa"/>
            <w:tcBorders>
              <w:top w:val="nil"/>
              <w:left w:val="nil"/>
              <w:bottom w:val="nil"/>
              <w:right w:val="nil"/>
            </w:tcBorders>
            <w:shd w:val="clear" w:color="auto" w:fill="auto"/>
            <w:noWrap/>
            <w:vAlign w:val="center"/>
            <w:hideMark/>
          </w:tcPr>
          <w:p w14:paraId="7C5B6DCB"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1555" w:type="dxa"/>
            <w:tcBorders>
              <w:top w:val="nil"/>
              <w:left w:val="nil"/>
              <w:bottom w:val="nil"/>
              <w:right w:val="nil"/>
            </w:tcBorders>
            <w:shd w:val="clear" w:color="auto" w:fill="auto"/>
            <w:noWrap/>
            <w:vAlign w:val="center"/>
            <w:hideMark/>
          </w:tcPr>
          <w:p w14:paraId="5A8FF836"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88" w:type="dxa"/>
            <w:tcBorders>
              <w:top w:val="nil"/>
              <w:left w:val="nil"/>
              <w:bottom w:val="nil"/>
              <w:right w:val="nil"/>
            </w:tcBorders>
            <w:shd w:val="clear" w:color="auto" w:fill="auto"/>
            <w:noWrap/>
            <w:vAlign w:val="center"/>
            <w:hideMark/>
          </w:tcPr>
          <w:p w14:paraId="60320602"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58" w:type="dxa"/>
            <w:tcBorders>
              <w:top w:val="nil"/>
              <w:left w:val="nil"/>
              <w:bottom w:val="nil"/>
              <w:right w:val="nil"/>
            </w:tcBorders>
            <w:shd w:val="clear" w:color="auto" w:fill="auto"/>
            <w:noWrap/>
            <w:vAlign w:val="center"/>
            <w:hideMark/>
          </w:tcPr>
          <w:p w14:paraId="7A1D651F"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58" w:type="dxa"/>
            <w:tcBorders>
              <w:top w:val="nil"/>
              <w:left w:val="nil"/>
              <w:bottom w:val="nil"/>
              <w:right w:val="nil"/>
            </w:tcBorders>
            <w:shd w:val="clear" w:color="auto" w:fill="auto"/>
            <w:noWrap/>
            <w:vAlign w:val="center"/>
            <w:hideMark/>
          </w:tcPr>
          <w:p w14:paraId="54BD53C4"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88" w:type="dxa"/>
            <w:tcBorders>
              <w:top w:val="nil"/>
              <w:left w:val="nil"/>
              <w:bottom w:val="nil"/>
              <w:right w:val="nil"/>
            </w:tcBorders>
            <w:shd w:val="clear" w:color="auto" w:fill="auto"/>
            <w:noWrap/>
            <w:vAlign w:val="center"/>
            <w:hideMark/>
          </w:tcPr>
          <w:p w14:paraId="7E4369A1"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6C2C5E" w:rsidRPr="00732DCC" w14:paraId="55491CAE" w14:textId="77777777" w:rsidTr="002F7131">
        <w:trPr>
          <w:trHeight w:val="372"/>
        </w:trPr>
        <w:tc>
          <w:tcPr>
            <w:tcW w:w="6951" w:type="dxa"/>
            <w:gridSpan w:val="2"/>
            <w:tcBorders>
              <w:top w:val="nil"/>
              <w:left w:val="nil"/>
              <w:bottom w:val="nil"/>
              <w:right w:val="nil"/>
            </w:tcBorders>
            <w:shd w:val="clear" w:color="auto" w:fill="auto"/>
            <w:noWrap/>
            <w:vAlign w:val="center"/>
            <w:hideMark/>
          </w:tcPr>
          <w:p w14:paraId="390D06AB"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r w:rsidRPr="00732DCC">
              <w:rPr>
                <w:rFonts w:ascii="STKaiti" w:eastAsia="STKaiti" w:hAnsi="STKaiti" w:hint="eastAsia"/>
                <w:b/>
                <w:bCs/>
                <w:color w:val="002060"/>
                <w:sz w:val="28"/>
                <w:szCs w:val="28"/>
              </w:rPr>
              <w:t>总秘书处</w:t>
            </w:r>
          </w:p>
        </w:tc>
        <w:tc>
          <w:tcPr>
            <w:tcW w:w="1555" w:type="dxa"/>
            <w:tcBorders>
              <w:top w:val="nil"/>
              <w:left w:val="nil"/>
              <w:bottom w:val="nil"/>
              <w:right w:val="nil"/>
            </w:tcBorders>
            <w:shd w:val="clear" w:color="auto" w:fill="auto"/>
            <w:noWrap/>
            <w:vAlign w:val="center"/>
            <w:hideMark/>
          </w:tcPr>
          <w:p w14:paraId="43C58D96"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88" w:type="dxa"/>
            <w:tcBorders>
              <w:top w:val="nil"/>
              <w:left w:val="nil"/>
              <w:bottom w:val="nil"/>
              <w:right w:val="nil"/>
            </w:tcBorders>
            <w:shd w:val="clear" w:color="auto" w:fill="auto"/>
            <w:noWrap/>
            <w:vAlign w:val="center"/>
            <w:hideMark/>
          </w:tcPr>
          <w:p w14:paraId="0CD58791"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58" w:type="dxa"/>
            <w:tcBorders>
              <w:top w:val="nil"/>
              <w:left w:val="nil"/>
              <w:bottom w:val="nil"/>
              <w:right w:val="nil"/>
            </w:tcBorders>
            <w:shd w:val="clear" w:color="auto" w:fill="auto"/>
            <w:noWrap/>
            <w:vAlign w:val="center"/>
            <w:hideMark/>
          </w:tcPr>
          <w:p w14:paraId="76BE7181"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58" w:type="dxa"/>
            <w:tcBorders>
              <w:top w:val="nil"/>
              <w:left w:val="nil"/>
              <w:bottom w:val="nil"/>
              <w:right w:val="nil"/>
            </w:tcBorders>
            <w:shd w:val="clear" w:color="auto" w:fill="auto"/>
            <w:noWrap/>
            <w:vAlign w:val="center"/>
            <w:hideMark/>
          </w:tcPr>
          <w:p w14:paraId="03156C09"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88" w:type="dxa"/>
            <w:tcBorders>
              <w:top w:val="nil"/>
              <w:left w:val="nil"/>
              <w:bottom w:val="nil"/>
              <w:right w:val="nil"/>
            </w:tcBorders>
            <w:shd w:val="clear" w:color="auto" w:fill="auto"/>
            <w:noWrap/>
            <w:vAlign w:val="center"/>
            <w:hideMark/>
          </w:tcPr>
          <w:p w14:paraId="67DE46A5"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6C2C5E" w:rsidRPr="00732DCC" w14:paraId="404BF9CF" w14:textId="77777777" w:rsidTr="002F7131">
        <w:trPr>
          <w:trHeight w:val="372"/>
        </w:trPr>
        <w:tc>
          <w:tcPr>
            <w:tcW w:w="6951" w:type="dxa"/>
            <w:gridSpan w:val="2"/>
            <w:tcBorders>
              <w:top w:val="nil"/>
              <w:left w:val="nil"/>
              <w:bottom w:val="nil"/>
              <w:right w:val="nil"/>
            </w:tcBorders>
            <w:shd w:val="clear" w:color="auto" w:fill="auto"/>
            <w:noWrap/>
            <w:vAlign w:val="center"/>
            <w:hideMark/>
          </w:tcPr>
          <w:p w14:paraId="70DE2FE7"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rPr>
            </w:pPr>
            <w:r w:rsidRPr="00732DCC">
              <w:rPr>
                <w:rFonts w:ascii="STKaiti" w:eastAsia="STKaiti" w:hAnsi="STKaiti" w:hint="eastAsia"/>
                <w:b/>
                <w:bCs/>
                <w:color w:val="002060"/>
                <w:szCs w:val="24"/>
              </w:rPr>
              <w:t>按项列出的计划支出</w:t>
            </w:r>
          </w:p>
        </w:tc>
        <w:tc>
          <w:tcPr>
            <w:tcW w:w="7047" w:type="dxa"/>
            <w:gridSpan w:val="5"/>
            <w:tcBorders>
              <w:top w:val="nil"/>
              <w:left w:val="nil"/>
              <w:bottom w:val="nil"/>
              <w:right w:val="nil"/>
            </w:tcBorders>
            <w:shd w:val="clear" w:color="auto" w:fill="auto"/>
            <w:noWrap/>
            <w:vAlign w:val="center"/>
            <w:hideMark/>
          </w:tcPr>
          <w:p w14:paraId="16E091F4"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732DCC">
              <w:rPr>
                <w:rFonts w:ascii="STKaiti" w:eastAsia="STKaiti" w:hAnsi="STKaiti" w:hint="eastAsia"/>
                <w:color w:val="002060"/>
                <w:sz w:val="18"/>
                <w:szCs w:val="18"/>
              </w:rPr>
              <w:t>单位：千瑞郎</w:t>
            </w:r>
          </w:p>
        </w:tc>
      </w:tr>
      <w:tr w:rsidR="006C2C5E" w:rsidRPr="00732DCC" w14:paraId="70C7B8B5" w14:textId="77777777" w:rsidTr="002F7131">
        <w:trPr>
          <w:trHeight w:val="20"/>
        </w:trPr>
        <w:tc>
          <w:tcPr>
            <w:tcW w:w="1386" w:type="dxa"/>
            <w:tcBorders>
              <w:top w:val="nil"/>
              <w:left w:val="nil"/>
              <w:bottom w:val="nil"/>
              <w:right w:val="nil"/>
            </w:tcBorders>
            <w:shd w:val="clear" w:color="auto" w:fill="auto"/>
            <w:noWrap/>
            <w:vAlign w:val="center"/>
            <w:hideMark/>
          </w:tcPr>
          <w:p w14:paraId="3DBB4E92"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p>
        </w:tc>
        <w:tc>
          <w:tcPr>
            <w:tcW w:w="5565" w:type="dxa"/>
            <w:tcBorders>
              <w:top w:val="nil"/>
              <w:left w:val="nil"/>
              <w:bottom w:val="nil"/>
              <w:right w:val="nil"/>
            </w:tcBorders>
            <w:shd w:val="clear" w:color="auto" w:fill="auto"/>
            <w:noWrap/>
            <w:vAlign w:val="center"/>
            <w:hideMark/>
          </w:tcPr>
          <w:p w14:paraId="55C1FEBF"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55" w:type="dxa"/>
            <w:tcBorders>
              <w:top w:val="nil"/>
              <w:left w:val="nil"/>
              <w:bottom w:val="nil"/>
              <w:right w:val="nil"/>
            </w:tcBorders>
            <w:shd w:val="clear" w:color="auto" w:fill="auto"/>
            <w:noWrap/>
            <w:vAlign w:val="center"/>
            <w:hideMark/>
          </w:tcPr>
          <w:p w14:paraId="0E56B8B6"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88" w:type="dxa"/>
            <w:tcBorders>
              <w:top w:val="nil"/>
              <w:left w:val="nil"/>
              <w:bottom w:val="nil"/>
              <w:right w:val="nil"/>
            </w:tcBorders>
            <w:shd w:val="clear" w:color="auto" w:fill="auto"/>
            <w:noWrap/>
            <w:vAlign w:val="bottom"/>
            <w:hideMark/>
          </w:tcPr>
          <w:p w14:paraId="2FF8D0FF"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tc>
        <w:tc>
          <w:tcPr>
            <w:tcW w:w="1258" w:type="dxa"/>
            <w:tcBorders>
              <w:top w:val="nil"/>
              <w:left w:val="nil"/>
              <w:bottom w:val="nil"/>
              <w:right w:val="nil"/>
            </w:tcBorders>
            <w:shd w:val="clear" w:color="auto" w:fill="auto"/>
            <w:noWrap/>
            <w:vAlign w:val="center"/>
            <w:hideMark/>
          </w:tcPr>
          <w:p w14:paraId="777686EC"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58" w:type="dxa"/>
            <w:tcBorders>
              <w:top w:val="nil"/>
              <w:left w:val="nil"/>
              <w:bottom w:val="nil"/>
              <w:right w:val="nil"/>
            </w:tcBorders>
            <w:shd w:val="clear" w:color="auto" w:fill="auto"/>
            <w:noWrap/>
            <w:vAlign w:val="center"/>
            <w:hideMark/>
          </w:tcPr>
          <w:p w14:paraId="19230618"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88" w:type="dxa"/>
            <w:tcBorders>
              <w:top w:val="nil"/>
              <w:left w:val="nil"/>
              <w:bottom w:val="nil"/>
              <w:right w:val="nil"/>
            </w:tcBorders>
            <w:shd w:val="clear" w:color="auto" w:fill="auto"/>
            <w:noWrap/>
            <w:vAlign w:val="bottom"/>
            <w:hideMark/>
          </w:tcPr>
          <w:p w14:paraId="6FAD9205"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r w:rsidRPr="00732DCC">
              <w:rPr>
                <w:rFonts w:ascii="Helv" w:eastAsia="Times New Roman" w:hAnsi="Helv"/>
                <w:noProof/>
                <w:sz w:val="20"/>
              </w:rPr>
              <mc:AlternateContent>
                <mc:Choice Requires="wps">
                  <w:drawing>
                    <wp:anchor distT="0" distB="0" distL="114300" distR="114300" simplePos="0" relativeHeight="251666432" behindDoc="0" locked="0" layoutInCell="1" allowOverlap="1" wp14:anchorId="28BA974A" wp14:editId="194ABF5B">
                      <wp:simplePos x="0" y="0"/>
                      <wp:positionH relativeFrom="column">
                        <wp:posOffset>1270</wp:posOffset>
                      </wp:positionH>
                      <wp:positionV relativeFrom="paragraph">
                        <wp:posOffset>-25400</wp:posOffset>
                      </wp:positionV>
                      <wp:extent cx="885825" cy="4394200"/>
                      <wp:effectExtent l="0" t="0" r="28575" b="25400"/>
                      <wp:wrapNone/>
                      <wp:docPr id="1042" name="圆角矩形 1042">
                        <a:extLst xmlns:a="http://schemas.openxmlformats.org/drawingml/2006/main">
                          <a:ext uri="{FF2B5EF4-FFF2-40B4-BE49-F238E27FC236}">
                            <a16:creationId xmlns:a16="http://schemas.microsoft.com/office/drawing/2014/main" id="{00000000-0008-0000-03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439420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6A5BCC27" id="圆角矩形 1042" o:spid="_x0000_s1026" style="position:absolute;margin-left:.1pt;margin-top:-2pt;width:69.75pt;height:34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" filled="f" strokecolor="#0070c0" strokeweight="1pt"/>
                  </w:pict>
                </mc:Fallback>
              </mc:AlternateContent>
            </w:r>
          </w:p>
        </w:tc>
      </w:tr>
      <w:tr w:rsidR="006C2C5E" w:rsidRPr="00732DCC" w14:paraId="44236E93" w14:textId="77777777" w:rsidTr="002F7131">
        <w:trPr>
          <w:trHeight w:val="372"/>
        </w:trPr>
        <w:tc>
          <w:tcPr>
            <w:tcW w:w="1386" w:type="dxa"/>
            <w:tcBorders>
              <w:top w:val="nil"/>
              <w:left w:val="nil"/>
              <w:bottom w:val="nil"/>
              <w:right w:val="nil"/>
            </w:tcBorders>
            <w:shd w:val="clear" w:color="auto" w:fill="auto"/>
            <w:noWrap/>
            <w:vAlign w:val="center"/>
            <w:hideMark/>
          </w:tcPr>
          <w:p w14:paraId="3905F15D"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5565" w:type="dxa"/>
            <w:tcBorders>
              <w:top w:val="nil"/>
              <w:left w:val="nil"/>
              <w:bottom w:val="nil"/>
              <w:right w:val="nil"/>
            </w:tcBorders>
            <w:shd w:val="clear" w:color="auto" w:fill="auto"/>
            <w:noWrap/>
            <w:vAlign w:val="center"/>
            <w:hideMark/>
          </w:tcPr>
          <w:p w14:paraId="34094F22"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55" w:type="dxa"/>
            <w:tcBorders>
              <w:top w:val="nil"/>
              <w:left w:val="single" w:sz="4" w:space="0" w:color="0070C0"/>
              <w:bottom w:val="nil"/>
              <w:right w:val="nil"/>
            </w:tcBorders>
            <w:shd w:val="clear" w:color="auto" w:fill="auto"/>
            <w:noWrap/>
            <w:vAlign w:val="center"/>
            <w:hideMark/>
          </w:tcPr>
          <w:p w14:paraId="642D96BA"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sz w:val="20"/>
              </w:rPr>
            </w:pPr>
            <w:r w:rsidRPr="00732DCC">
              <w:rPr>
                <w:rFonts w:ascii="SimSun" w:hAnsi="SimSun" w:hint="eastAsia"/>
                <w:b/>
                <w:bCs/>
                <w:sz w:val="20"/>
              </w:rPr>
              <w:t>实际</w:t>
            </w:r>
          </w:p>
        </w:tc>
        <w:tc>
          <w:tcPr>
            <w:tcW w:w="1488" w:type="dxa"/>
            <w:tcBorders>
              <w:top w:val="nil"/>
              <w:left w:val="nil"/>
              <w:bottom w:val="nil"/>
              <w:right w:val="nil"/>
            </w:tcBorders>
            <w:shd w:val="clear" w:color="auto" w:fill="auto"/>
            <w:noWrap/>
            <w:vAlign w:val="center"/>
            <w:hideMark/>
          </w:tcPr>
          <w:p w14:paraId="43FC536F"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sz w:val="20"/>
              </w:rPr>
            </w:pPr>
            <w:r w:rsidRPr="00732DCC">
              <w:rPr>
                <w:rFonts w:ascii="SimSun" w:hAnsi="SimSun" w:hint="eastAsia"/>
                <w:b/>
                <w:bCs/>
                <w:sz w:val="20"/>
              </w:rPr>
              <w:t>预算</w:t>
            </w:r>
          </w:p>
        </w:tc>
        <w:tc>
          <w:tcPr>
            <w:tcW w:w="1258" w:type="dxa"/>
            <w:tcBorders>
              <w:top w:val="nil"/>
              <w:left w:val="nil"/>
              <w:bottom w:val="nil"/>
              <w:right w:val="nil"/>
            </w:tcBorders>
            <w:shd w:val="clear" w:color="auto" w:fill="auto"/>
            <w:noWrap/>
            <w:vAlign w:val="center"/>
            <w:hideMark/>
          </w:tcPr>
          <w:p w14:paraId="42199873"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20"/>
              </w:rPr>
            </w:pPr>
            <w:r w:rsidRPr="00732DCC">
              <w:rPr>
                <w:rFonts w:ascii="Helv" w:eastAsia="Times New Roman" w:hAnsi="Helv"/>
                <w:noProof/>
                <w:sz w:val="20"/>
              </w:rPr>
              <mc:AlternateContent>
                <mc:Choice Requires="wps">
                  <w:drawing>
                    <wp:anchor distT="0" distB="0" distL="114300" distR="114300" simplePos="0" relativeHeight="251667456" behindDoc="0" locked="0" layoutInCell="1" allowOverlap="1" wp14:anchorId="639BD136" wp14:editId="6BB5E592">
                      <wp:simplePos x="0" y="0"/>
                      <wp:positionH relativeFrom="column">
                        <wp:posOffset>-925830</wp:posOffset>
                      </wp:positionH>
                      <wp:positionV relativeFrom="paragraph">
                        <wp:posOffset>-196850</wp:posOffset>
                      </wp:positionV>
                      <wp:extent cx="892810" cy="4387850"/>
                      <wp:effectExtent l="0" t="0" r="21590" b="12700"/>
                      <wp:wrapNone/>
                      <wp:docPr id="1043" name="圆角矩形 1043">
                        <a:extLst xmlns:a="http://schemas.openxmlformats.org/drawingml/2006/main">
                          <a:ext uri="{FF2B5EF4-FFF2-40B4-BE49-F238E27FC236}">
                            <a16:creationId xmlns:a16="http://schemas.microsoft.com/office/drawing/2014/main" id="{00000000-0008-0000-0300-00000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810" cy="4387850"/>
                              </a:xfrm>
                              <a:prstGeom prst="roundRect">
                                <a:avLst>
                                  <a:gd name="adj" fmla="val 50000"/>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1CDB60F8" id="圆角矩形 1043" o:spid="_x0000_s1026" style="position:absolute;margin-left:-72.9pt;margin-top:-15.5pt;width:70.3pt;height:3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" filled="f"/>
                  </w:pict>
                </mc:Fallback>
              </mc:AlternateContent>
            </w:r>
            <w:r w:rsidRPr="00732DCC">
              <w:rPr>
                <w:rFonts w:ascii="SimSun" w:hAnsi="SimSun" w:hint="eastAsia"/>
                <w:b/>
                <w:bCs/>
                <w:color w:val="002060"/>
                <w:sz w:val="20"/>
              </w:rPr>
              <w:t>估算</w:t>
            </w:r>
          </w:p>
        </w:tc>
        <w:tc>
          <w:tcPr>
            <w:tcW w:w="1258" w:type="dxa"/>
            <w:tcBorders>
              <w:top w:val="nil"/>
              <w:left w:val="nil"/>
              <w:bottom w:val="nil"/>
              <w:right w:val="nil"/>
            </w:tcBorders>
            <w:shd w:val="clear" w:color="auto" w:fill="auto"/>
            <w:noWrap/>
            <w:vAlign w:val="center"/>
            <w:hideMark/>
          </w:tcPr>
          <w:p w14:paraId="6AFA466C"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20"/>
              </w:rPr>
            </w:pPr>
            <w:r w:rsidRPr="00732DCC">
              <w:rPr>
                <w:rFonts w:ascii="SimSun" w:hAnsi="SimSun" w:hint="eastAsia"/>
                <w:b/>
                <w:bCs/>
                <w:color w:val="002060"/>
                <w:sz w:val="20"/>
              </w:rPr>
              <w:t>估算</w:t>
            </w:r>
          </w:p>
        </w:tc>
        <w:tc>
          <w:tcPr>
            <w:tcW w:w="1488" w:type="dxa"/>
            <w:tcBorders>
              <w:top w:val="nil"/>
              <w:left w:val="nil"/>
              <w:bottom w:val="nil"/>
              <w:right w:val="nil"/>
            </w:tcBorders>
            <w:shd w:val="clear" w:color="auto" w:fill="auto"/>
            <w:noWrap/>
            <w:vAlign w:val="center"/>
            <w:hideMark/>
          </w:tcPr>
          <w:p w14:paraId="1E6C847D"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20"/>
              </w:rPr>
            </w:pPr>
            <w:r w:rsidRPr="00732DCC">
              <w:rPr>
                <w:rFonts w:ascii="SimSun" w:hAnsi="SimSun" w:hint="eastAsia"/>
                <w:b/>
                <w:bCs/>
                <w:color w:val="002060"/>
                <w:sz w:val="20"/>
              </w:rPr>
              <w:t>合计</w:t>
            </w:r>
          </w:p>
        </w:tc>
      </w:tr>
      <w:tr w:rsidR="006C2C5E" w:rsidRPr="00732DCC" w14:paraId="5D8ED5D9" w14:textId="77777777" w:rsidTr="002F7131">
        <w:trPr>
          <w:trHeight w:val="372"/>
        </w:trPr>
        <w:tc>
          <w:tcPr>
            <w:tcW w:w="1386" w:type="dxa"/>
            <w:tcBorders>
              <w:top w:val="nil"/>
              <w:left w:val="nil"/>
              <w:bottom w:val="single" w:sz="4" w:space="0" w:color="auto"/>
              <w:right w:val="nil"/>
            </w:tcBorders>
            <w:shd w:val="clear" w:color="auto" w:fill="auto"/>
            <w:noWrap/>
            <w:vAlign w:val="center"/>
            <w:hideMark/>
          </w:tcPr>
          <w:p w14:paraId="1E55DBF7"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732DCC">
              <w:rPr>
                <w:rFonts w:eastAsia="Times New Roman" w:cs="Calibri"/>
                <w:b/>
                <w:bCs/>
                <w:sz w:val="20"/>
              </w:rPr>
              <w:t> </w:t>
            </w:r>
          </w:p>
        </w:tc>
        <w:tc>
          <w:tcPr>
            <w:tcW w:w="5565" w:type="dxa"/>
            <w:tcBorders>
              <w:top w:val="nil"/>
              <w:left w:val="nil"/>
              <w:bottom w:val="single" w:sz="4" w:space="0" w:color="auto"/>
              <w:right w:val="nil"/>
            </w:tcBorders>
            <w:shd w:val="clear" w:color="auto" w:fill="auto"/>
            <w:noWrap/>
            <w:vAlign w:val="center"/>
            <w:hideMark/>
          </w:tcPr>
          <w:p w14:paraId="5EE44F0C"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732DCC">
              <w:rPr>
                <w:rFonts w:eastAsia="Times New Roman" w:cs="Calibri"/>
                <w:b/>
                <w:bCs/>
                <w:sz w:val="20"/>
              </w:rPr>
              <w:t> </w:t>
            </w:r>
          </w:p>
        </w:tc>
        <w:tc>
          <w:tcPr>
            <w:tcW w:w="1555" w:type="dxa"/>
            <w:tcBorders>
              <w:top w:val="nil"/>
              <w:left w:val="single" w:sz="4" w:space="0" w:color="0070C0"/>
              <w:bottom w:val="single" w:sz="4" w:space="0" w:color="auto"/>
              <w:right w:val="nil"/>
            </w:tcBorders>
            <w:shd w:val="clear" w:color="auto" w:fill="auto"/>
            <w:vAlign w:val="center"/>
            <w:hideMark/>
          </w:tcPr>
          <w:p w14:paraId="77B961AA"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sz w:val="20"/>
              </w:rPr>
            </w:pPr>
            <w:r w:rsidRPr="00732DCC">
              <w:rPr>
                <w:rFonts w:eastAsia="Times New Roman" w:cs="Calibri"/>
                <w:b/>
                <w:bCs/>
                <w:sz w:val="20"/>
              </w:rPr>
              <w:t>2018-2019</w:t>
            </w:r>
            <w:r w:rsidRPr="00732DCC">
              <w:rPr>
                <w:rFonts w:ascii="SimSun" w:hAnsi="SimSun" w:cs="Calibri" w:hint="eastAsia"/>
                <w:b/>
                <w:bCs/>
                <w:sz w:val="20"/>
              </w:rPr>
              <w:t>年</w:t>
            </w:r>
          </w:p>
        </w:tc>
        <w:tc>
          <w:tcPr>
            <w:tcW w:w="1488" w:type="dxa"/>
            <w:tcBorders>
              <w:top w:val="nil"/>
              <w:left w:val="nil"/>
              <w:bottom w:val="single" w:sz="4" w:space="0" w:color="auto"/>
              <w:right w:val="nil"/>
            </w:tcBorders>
            <w:shd w:val="clear" w:color="auto" w:fill="auto"/>
            <w:vAlign w:val="center"/>
            <w:hideMark/>
          </w:tcPr>
          <w:p w14:paraId="1DE49C96"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sz w:val="20"/>
              </w:rPr>
            </w:pPr>
            <w:r w:rsidRPr="00732DCC">
              <w:rPr>
                <w:rFonts w:eastAsia="Times New Roman" w:cs="Calibri"/>
                <w:b/>
                <w:bCs/>
                <w:sz w:val="20"/>
              </w:rPr>
              <w:t>2020-2021</w:t>
            </w:r>
            <w:r w:rsidRPr="00732DCC">
              <w:rPr>
                <w:rFonts w:ascii="SimSun" w:hAnsi="SimSun" w:cs="Calibri" w:hint="eastAsia"/>
                <w:b/>
                <w:bCs/>
                <w:sz w:val="20"/>
              </w:rPr>
              <w:t>年</w:t>
            </w:r>
          </w:p>
        </w:tc>
        <w:tc>
          <w:tcPr>
            <w:tcW w:w="1258" w:type="dxa"/>
            <w:tcBorders>
              <w:top w:val="nil"/>
              <w:left w:val="nil"/>
              <w:bottom w:val="single" w:sz="4" w:space="0" w:color="auto"/>
              <w:right w:val="nil"/>
            </w:tcBorders>
            <w:shd w:val="clear" w:color="auto" w:fill="auto"/>
            <w:vAlign w:val="center"/>
            <w:hideMark/>
          </w:tcPr>
          <w:p w14:paraId="6657FAA2"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732DCC">
              <w:rPr>
                <w:rFonts w:eastAsia="Times New Roman" w:cs="Calibri"/>
                <w:b/>
                <w:bCs/>
                <w:color w:val="002060"/>
                <w:sz w:val="20"/>
              </w:rPr>
              <w:t>2022</w:t>
            </w:r>
            <w:r w:rsidRPr="00732DCC">
              <w:rPr>
                <w:rFonts w:ascii="SimSun" w:hAnsi="SimSun" w:cs="Calibri" w:hint="eastAsia"/>
                <w:b/>
                <w:bCs/>
                <w:color w:val="002060"/>
                <w:sz w:val="20"/>
              </w:rPr>
              <w:t>年</w:t>
            </w:r>
          </w:p>
        </w:tc>
        <w:tc>
          <w:tcPr>
            <w:tcW w:w="1258" w:type="dxa"/>
            <w:tcBorders>
              <w:top w:val="nil"/>
              <w:left w:val="nil"/>
              <w:bottom w:val="single" w:sz="4" w:space="0" w:color="auto"/>
              <w:right w:val="nil"/>
            </w:tcBorders>
            <w:shd w:val="clear" w:color="auto" w:fill="auto"/>
            <w:vAlign w:val="center"/>
            <w:hideMark/>
          </w:tcPr>
          <w:p w14:paraId="58371861"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732DCC">
              <w:rPr>
                <w:rFonts w:eastAsia="Times New Roman" w:cs="Calibri"/>
                <w:b/>
                <w:bCs/>
                <w:color w:val="002060"/>
                <w:sz w:val="20"/>
              </w:rPr>
              <w:t>2023</w:t>
            </w:r>
            <w:r w:rsidRPr="00732DCC">
              <w:rPr>
                <w:rFonts w:ascii="SimSun" w:hAnsi="SimSun" w:cs="Calibri" w:hint="eastAsia"/>
                <w:b/>
                <w:bCs/>
                <w:color w:val="002060"/>
                <w:sz w:val="20"/>
              </w:rPr>
              <w:t>年</w:t>
            </w:r>
          </w:p>
        </w:tc>
        <w:tc>
          <w:tcPr>
            <w:tcW w:w="1488" w:type="dxa"/>
            <w:tcBorders>
              <w:top w:val="nil"/>
              <w:left w:val="nil"/>
              <w:bottom w:val="single" w:sz="4" w:space="0" w:color="auto"/>
              <w:right w:val="nil"/>
            </w:tcBorders>
            <w:shd w:val="clear" w:color="auto" w:fill="auto"/>
            <w:vAlign w:val="center"/>
            <w:hideMark/>
          </w:tcPr>
          <w:p w14:paraId="54AF20EC"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732DCC">
              <w:rPr>
                <w:rFonts w:eastAsia="Times New Roman" w:cs="Calibri"/>
                <w:b/>
                <w:bCs/>
                <w:color w:val="002060"/>
                <w:sz w:val="20"/>
              </w:rPr>
              <w:t>2022-2023</w:t>
            </w:r>
            <w:r w:rsidRPr="00732DCC">
              <w:rPr>
                <w:rFonts w:ascii="SimSun" w:hAnsi="SimSun" w:cs="Calibri" w:hint="eastAsia"/>
                <w:b/>
                <w:bCs/>
                <w:color w:val="002060"/>
                <w:sz w:val="20"/>
              </w:rPr>
              <w:t>年</w:t>
            </w:r>
          </w:p>
        </w:tc>
      </w:tr>
      <w:tr w:rsidR="006C2C5E" w:rsidRPr="00732DCC" w14:paraId="5986BA99" w14:textId="77777777" w:rsidTr="002F7131">
        <w:trPr>
          <w:trHeight w:val="255"/>
        </w:trPr>
        <w:tc>
          <w:tcPr>
            <w:tcW w:w="1386" w:type="dxa"/>
            <w:tcBorders>
              <w:top w:val="nil"/>
              <w:left w:val="nil"/>
              <w:bottom w:val="nil"/>
              <w:right w:val="nil"/>
            </w:tcBorders>
            <w:shd w:val="clear" w:color="auto" w:fill="auto"/>
            <w:noWrap/>
            <w:vAlign w:val="center"/>
            <w:hideMark/>
          </w:tcPr>
          <w:p w14:paraId="4BAED70C"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p>
        </w:tc>
        <w:tc>
          <w:tcPr>
            <w:tcW w:w="5565" w:type="dxa"/>
            <w:tcBorders>
              <w:top w:val="nil"/>
              <w:left w:val="nil"/>
              <w:bottom w:val="nil"/>
              <w:right w:val="nil"/>
            </w:tcBorders>
            <w:shd w:val="clear" w:color="auto" w:fill="auto"/>
            <w:noWrap/>
            <w:vAlign w:val="center"/>
            <w:hideMark/>
          </w:tcPr>
          <w:p w14:paraId="0D7CD2CF"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55" w:type="dxa"/>
            <w:tcBorders>
              <w:top w:val="nil"/>
              <w:left w:val="single" w:sz="4" w:space="0" w:color="0070C0"/>
              <w:bottom w:val="nil"/>
              <w:right w:val="nil"/>
            </w:tcBorders>
            <w:shd w:val="clear" w:color="auto" w:fill="auto"/>
            <w:noWrap/>
            <w:vAlign w:val="center"/>
            <w:hideMark/>
          </w:tcPr>
          <w:p w14:paraId="08B014D0"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 </w:t>
            </w:r>
          </w:p>
        </w:tc>
        <w:tc>
          <w:tcPr>
            <w:tcW w:w="1488" w:type="dxa"/>
            <w:tcBorders>
              <w:top w:val="nil"/>
              <w:left w:val="nil"/>
              <w:bottom w:val="nil"/>
              <w:right w:val="nil"/>
            </w:tcBorders>
            <w:shd w:val="clear" w:color="auto" w:fill="auto"/>
            <w:noWrap/>
            <w:vAlign w:val="center"/>
            <w:hideMark/>
          </w:tcPr>
          <w:p w14:paraId="661B1938"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58" w:type="dxa"/>
            <w:tcBorders>
              <w:top w:val="nil"/>
              <w:left w:val="nil"/>
              <w:bottom w:val="nil"/>
              <w:right w:val="nil"/>
            </w:tcBorders>
            <w:shd w:val="clear" w:color="auto" w:fill="auto"/>
            <w:noWrap/>
            <w:vAlign w:val="center"/>
            <w:hideMark/>
          </w:tcPr>
          <w:p w14:paraId="38A3793F"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8" w:type="dxa"/>
            <w:tcBorders>
              <w:top w:val="nil"/>
              <w:left w:val="nil"/>
              <w:bottom w:val="nil"/>
              <w:right w:val="nil"/>
            </w:tcBorders>
            <w:shd w:val="clear" w:color="auto" w:fill="auto"/>
            <w:noWrap/>
            <w:vAlign w:val="center"/>
            <w:hideMark/>
          </w:tcPr>
          <w:p w14:paraId="726F420C"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88" w:type="dxa"/>
            <w:tcBorders>
              <w:top w:val="nil"/>
              <w:left w:val="nil"/>
              <w:bottom w:val="nil"/>
              <w:right w:val="nil"/>
            </w:tcBorders>
            <w:shd w:val="clear" w:color="auto" w:fill="auto"/>
            <w:noWrap/>
            <w:vAlign w:val="center"/>
            <w:hideMark/>
          </w:tcPr>
          <w:p w14:paraId="3145B03C"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732DCC" w14:paraId="09C6A91E" w14:textId="77777777" w:rsidTr="002F7131">
        <w:trPr>
          <w:trHeight w:val="255"/>
        </w:trPr>
        <w:tc>
          <w:tcPr>
            <w:tcW w:w="1386" w:type="dxa"/>
            <w:tcBorders>
              <w:top w:val="nil"/>
              <w:left w:val="nil"/>
              <w:bottom w:val="nil"/>
              <w:right w:val="nil"/>
            </w:tcBorders>
            <w:shd w:val="clear" w:color="auto" w:fill="auto"/>
            <w:noWrap/>
            <w:vAlign w:val="bottom"/>
            <w:hideMark/>
          </w:tcPr>
          <w:p w14:paraId="20B16064"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732DCC">
              <w:rPr>
                <w:rFonts w:ascii="SimSun" w:hAnsi="SimSun" w:hint="eastAsia"/>
                <w:sz w:val="20"/>
              </w:rPr>
              <w:t>第</w:t>
            </w:r>
            <w:r w:rsidRPr="00732DCC">
              <w:rPr>
                <w:rFonts w:cs="Calibri"/>
                <w:sz w:val="20"/>
              </w:rPr>
              <w:t>1.1</w:t>
            </w:r>
            <w:r w:rsidRPr="00732DCC">
              <w:rPr>
                <w:rFonts w:ascii="SimSun" w:hAnsi="SimSun" w:hint="eastAsia"/>
                <w:sz w:val="20"/>
              </w:rPr>
              <w:t>项</w:t>
            </w:r>
          </w:p>
        </w:tc>
        <w:tc>
          <w:tcPr>
            <w:tcW w:w="5565" w:type="dxa"/>
            <w:tcBorders>
              <w:top w:val="nil"/>
              <w:left w:val="nil"/>
              <w:bottom w:val="nil"/>
              <w:right w:val="nil"/>
            </w:tcBorders>
            <w:shd w:val="clear" w:color="auto" w:fill="auto"/>
            <w:noWrap/>
            <w:vAlign w:val="bottom"/>
            <w:hideMark/>
          </w:tcPr>
          <w:p w14:paraId="4FCBA9E1"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732DCC">
              <w:rPr>
                <w:rFonts w:ascii="SimSun" w:hAnsi="SimSun" w:hint="eastAsia"/>
                <w:sz w:val="20"/>
              </w:rPr>
              <w:t>全权代表大会</w:t>
            </w:r>
          </w:p>
        </w:tc>
        <w:tc>
          <w:tcPr>
            <w:tcW w:w="1555" w:type="dxa"/>
            <w:tcBorders>
              <w:top w:val="nil"/>
              <w:left w:val="single" w:sz="4" w:space="0" w:color="0070C0"/>
              <w:bottom w:val="nil"/>
              <w:right w:val="nil"/>
            </w:tcBorders>
            <w:shd w:val="clear" w:color="auto" w:fill="auto"/>
            <w:noWrap/>
            <w:vAlign w:val="center"/>
            <w:hideMark/>
          </w:tcPr>
          <w:p w14:paraId="5340F680"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1,303</w:t>
            </w:r>
          </w:p>
        </w:tc>
        <w:tc>
          <w:tcPr>
            <w:tcW w:w="1488" w:type="dxa"/>
            <w:tcBorders>
              <w:top w:val="nil"/>
              <w:left w:val="nil"/>
              <w:bottom w:val="nil"/>
              <w:right w:val="nil"/>
            </w:tcBorders>
            <w:shd w:val="clear" w:color="auto" w:fill="auto"/>
            <w:noWrap/>
            <w:vAlign w:val="center"/>
            <w:hideMark/>
          </w:tcPr>
          <w:p w14:paraId="7E3D7D90"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58" w:type="dxa"/>
            <w:tcBorders>
              <w:top w:val="nil"/>
              <w:left w:val="nil"/>
              <w:bottom w:val="nil"/>
              <w:right w:val="nil"/>
            </w:tcBorders>
            <w:shd w:val="clear" w:color="auto" w:fill="auto"/>
            <w:noWrap/>
            <w:vAlign w:val="center"/>
            <w:hideMark/>
          </w:tcPr>
          <w:p w14:paraId="18070130"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1,411</w:t>
            </w:r>
          </w:p>
        </w:tc>
        <w:tc>
          <w:tcPr>
            <w:tcW w:w="1258" w:type="dxa"/>
            <w:tcBorders>
              <w:top w:val="nil"/>
              <w:left w:val="nil"/>
              <w:bottom w:val="nil"/>
              <w:right w:val="nil"/>
            </w:tcBorders>
            <w:shd w:val="clear" w:color="auto" w:fill="auto"/>
            <w:noWrap/>
            <w:vAlign w:val="center"/>
            <w:hideMark/>
          </w:tcPr>
          <w:p w14:paraId="5FC55C49"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488" w:type="dxa"/>
            <w:tcBorders>
              <w:top w:val="nil"/>
              <w:left w:val="nil"/>
              <w:bottom w:val="nil"/>
              <w:right w:val="nil"/>
            </w:tcBorders>
            <w:shd w:val="clear" w:color="auto" w:fill="auto"/>
            <w:noWrap/>
            <w:vAlign w:val="center"/>
            <w:hideMark/>
          </w:tcPr>
          <w:p w14:paraId="31725228"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1,411</w:t>
            </w:r>
          </w:p>
        </w:tc>
      </w:tr>
      <w:tr w:rsidR="006C2C5E" w:rsidRPr="00732DCC" w14:paraId="3EE882B7" w14:textId="77777777" w:rsidTr="002F7131">
        <w:trPr>
          <w:trHeight w:val="255"/>
        </w:trPr>
        <w:tc>
          <w:tcPr>
            <w:tcW w:w="1386" w:type="dxa"/>
            <w:tcBorders>
              <w:top w:val="nil"/>
              <w:left w:val="nil"/>
              <w:bottom w:val="nil"/>
              <w:right w:val="nil"/>
            </w:tcBorders>
            <w:shd w:val="clear" w:color="auto" w:fill="auto"/>
            <w:noWrap/>
            <w:vAlign w:val="center"/>
            <w:hideMark/>
          </w:tcPr>
          <w:p w14:paraId="25529C8C"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5565" w:type="dxa"/>
            <w:tcBorders>
              <w:top w:val="nil"/>
              <w:left w:val="nil"/>
              <w:bottom w:val="nil"/>
              <w:right w:val="nil"/>
            </w:tcBorders>
            <w:shd w:val="clear" w:color="auto" w:fill="auto"/>
            <w:noWrap/>
            <w:vAlign w:val="center"/>
            <w:hideMark/>
          </w:tcPr>
          <w:p w14:paraId="6D4C669F"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55" w:type="dxa"/>
            <w:tcBorders>
              <w:top w:val="nil"/>
              <w:left w:val="single" w:sz="4" w:space="0" w:color="0070C0"/>
              <w:bottom w:val="nil"/>
              <w:right w:val="nil"/>
            </w:tcBorders>
            <w:shd w:val="clear" w:color="auto" w:fill="auto"/>
            <w:noWrap/>
            <w:vAlign w:val="center"/>
            <w:hideMark/>
          </w:tcPr>
          <w:p w14:paraId="2709D1B5"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bookmarkStart w:id="57" w:name="RANGE!C10:G28"/>
            <w:r w:rsidRPr="00732DCC">
              <w:rPr>
                <w:rFonts w:eastAsia="Times New Roman" w:cs="Calibri"/>
                <w:sz w:val="20"/>
              </w:rPr>
              <w:t> </w:t>
            </w:r>
            <w:bookmarkEnd w:id="57"/>
          </w:p>
        </w:tc>
        <w:tc>
          <w:tcPr>
            <w:tcW w:w="1488" w:type="dxa"/>
            <w:tcBorders>
              <w:top w:val="nil"/>
              <w:left w:val="nil"/>
              <w:bottom w:val="nil"/>
              <w:right w:val="nil"/>
            </w:tcBorders>
            <w:shd w:val="clear" w:color="auto" w:fill="auto"/>
            <w:noWrap/>
            <w:vAlign w:val="center"/>
            <w:hideMark/>
          </w:tcPr>
          <w:p w14:paraId="3EBECE9E"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58" w:type="dxa"/>
            <w:tcBorders>
              <w:top w:val="nil"/>
              <w:left w:val="nil"/>
              <w:bottom w:val="nil"/>
              <w:right w:val="nil"/>
            </w:tcBorders>
            <w:shd w:val="clear" w:color="auto" w:fill="auto"/>
            <w:noWrap/>
            <w:vAlign w:val="center"/>
            <w:hideMark/>
          </w:tcPr>
          <w:p w14:paraId="39095047"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8" w:type="dxa"/>
            <w:tcBorders>
              <w:top w:val="nil"/>
              <w:left w:val="nil"/>
              <w:bottom w:val="nil"/>
              <w:right w:val="nil"/>
            </w:tcBorders>
            <w:shd w:val="clear" w:color="auto" w:fill="auto"/>
            <w:noWrap/>
            <w:vAlign w:val="center"/>
            <w:hideMark/>
          </w:tcPr>
          <w:p w14:paraId="35597535"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88" w:type="dxa"/>
            <w:tcBorders>
              <w:top w:val="nil"/>
              <w:left w:val="nil"/>
              <w:bottom w:val="nil"/>
              <w:right w:val="nil"/>
            </w:tcBorders>
            <w:shd w:val="clear" w:color="auto" w:fill="auto"/>
            <w:noWrap/>
            <w:vAlign w:val="center"/>
            <w:hideMark/>
          </w:tcPr>
          <w:p w14:paraId="43F23BAF"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732DCC" w14:paraId="09A5CA6E" w14:textId="77777777" w:rsidTr="002F7131">
        <w:trPr>
          <w:trHeight w:val="255"/>
        </w:trPr>
        <w:tc>
          <w:tcPr>
            <w:tcW w:w="1386" w:type="dxa"/>
            <w:tcBorders>
              <w:top w:val="nil"/>
              <w:left w:val="nil"/>
              <w:bottom w:val="nil"/>
              <w:right w:val="nil"/>
            </w:tcBorders>
            <w:shd w:val="clear" w:color="auto" w:fill="auto"/>
            <w:noWrap/>
            <w:vAlign w:val="bottom"/>
            <w:hideMark/>
          </w:tcPr>
          <w:p w14:paraId="78EB6DA9"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732DCC">
              <w:rPr>
                <w:rFonts w:ascii="SimSun" w:hAnsi="SimSun" w:hint="eastAsia"/>
                <w:sz w:val="20"/>
              </w:rPr>
              <w:t>第</w:t>
            </w:r>
            <w:r w:rsidRPr="00732DCC">
              <w:rPr>
                <w:rFonts w:cs="Calibri"/>
                <w:sz w:val="20"/>
              </w:rPr>
              <w:t>1.2</w:t>
            </w:r>
            <w:r w:rsidRPr="00732DCC">
              <w:rPr>
                <w:rFonts w:ascii="SimSun" w:hAnsi="SimSun" w:hint="eastAsia"/>
                <w:sz w:val="20"/>
              </w:rPr>
              <w:t>项</w:t>
            </w:r>
          </w:p>
        </w:tc>
        <w:tc>
          <w:tcPr>
            <w:tcW w:w="5565" w:type="dxa"/>
            <w:tcBorders>
              <w:top w:val="nil"/>
              <w:left w:val="nil"/>
              <w:bottom w:val="nil"/>
              <w:right w:val="nil"/>
            </w:tcBorders>
            <w:shd w:val="clear" w:color="auto" w:fill="auto"/>
            <w:noWrap/>
            <w:vAlign w:val="bottom"/>
            <w:hideMark/>
          </w:tcPr>
          <w:p w14:paraId="7ADADBA9"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732DCC">
              <w:rPr>
                <w:rFonts w:ascii="SimSun" w:hAnsi="SimSun" w:hint="eastAsia"/>
                <w:sz w:val="20"/>
              </w:rPr>
              <w:t>世界电信政策论坛</w:t>
            </w:r>
          </w:p>
        </w:tc>
        <w:tc>
          <w:tcPr>
            <w:tcW w:w="1555" w:type="dxa"/>
            <w:tcBorders>
              <w:top w:val="nil"/>
              <w:left w:val="single" w:sz="4" w:space="0" w:color="0070C0"/>
              <w:bottom w:val="nil"/>
              <w:right w:val="nil"/>
            </w:tcBorders>
            <w:shd w:val="clear" w:color="auto" w:fill="auto"/>
            <w:noWrap/>
            <w:vAlign w:val="center"/>
            <w:hideMark/>
          </w:tcPr>
          <w:p w14:paraId="3929D88F"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49</w:t>
            </w:r>
          </w:p>
        </w:tc>
        <w:tc>
          <w:tcPr>
            <w:tcW w:w="1488" w:type="dxa"/>
            <w:tcBorders>
              <w:top w:val="nil"/>
              <w:left w:val="nil"/>
              <w:bottom w:val="nil"/>
              <w:right w:val="nil"/>
            </w:tcBorders>
            <w:shd w:val="clear" w:color="auto" w:fill="auto"/>
            <w:noWrap/>
            <w:vAlign w:val="center"/>
            <w:hideMark/>
          </w:tcPr>
          <w:p w14:paraId="1565AAA9"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306</w:t>
            </w:r>
          </w:p>
        </w:tc>
        <w:tc>
          <w:tcPr>
            <w:tcW w:w="1258" w:type="dxa"/>
            <w:tcBorders>
              <w:top w:val="nil"/>
              <w:left w:val="nil"/>
              <w:bottom w:val="nil"/>
              <w:right w:val="nil"/>
            </w:tcBorders>
            <w:shd w:val="clear" w:color="auto" w:fill="auto"/>
            <w:noWrap/>
            <w:vAlign w:val="center"/>
            <w:hideMark/>
          </w:tcPr>
          <w:p w14:paraId="7850DE85"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58" w:type="dxa"/>
            <w:tcBorders>
              <w:top w:val="nil"/>
              <w:left w:val="nil"/>
              <w:bottom w:val="nil"/>
              <w:right w:val="nil"/>
            </w:tcBorders>
            <w:shd w:val="clear" w:color="auto" w:fill="auto"/>
            <w:noWrap/>
            <w:vAlign w:val="center"/>
            <w:hideMark/>
          </w:tcPr>
          <w:p w14:paraId="51759F4F"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88" w:type="dxa"/>
            <w:tcBorders>
              <w:top w:val="nil"/>
              <w:left w:val="nil"/>
              <w:bottom w:val="nil"/>
              <w:right w:val="nil"/>
            </w:tcBorders>
            <w:shd w:val="clear" w:color="auto" w:fill="auto"/>
            <w:noWrap/>
            <w:vAlign w:val="center"/>
            <w:hideMark/>
          </w:tcPr>
          <w:p w14:paraId="286D7171"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732DCC" w14:paraId="5B2E291D" w14:textId="77777777" w:rsidTr="002F7131">
        <w:trPr>
          <w:trHeight w:val="255"/>
        </w:trPr>
        <w:tc>
          <w:tcPr>
            <w:tcW w:w="1386" w:type="dxa"/>
            <w:tcBorders>
              <w:top w:val="nil"/>
              <w:left w:val="nil"/>
              <w:bottom w:val="nil"/>
              <w:right w:val="nil"/>
            </w:tcBorders>
            <w:shd w:val="clear" w:color="auto" w:fill="auto"/>
            <w:noWrap/>
            <w:vAlign w:val="center"/>
            <w:hideMark/>
          </w:tcPr>
          <w:p w14:paraId="3853914A"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5565" w:type="dxa"/>
            <w:tcBorders>
              <w:top w:val="nil"/>
              <w:left w:val="nil"/>
              <w:bottom w:val="nil"/>
              <w:right w:val="nil"/>
            </w:tcBorders>
            <w:shd w:val="clear" w:color="auto" w:fill="auto"/>
            <w:noWrap/>
            <w:vAlign w:val="center"/>
            <w:hideMark/>
          </w:tcPr>
          <w:p w14:paraId="78F9879D"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55" w:type="dxa"/>
            <w:tcBorders>
              <w:top w:val="nil"/>
              <w:left w:val="single" w:sz="4" w:space="0" w:color="0070C0"/>
              <w:bottom w:val="nil"/>
              <w:right w:val="nil"/>
            </w:tcBorders>
            <w:shd w:val="clear" w:color="auto" w:fill="auto"/>
            <w:noWrap/>
            <w:vAlign w:val="center"/>
            <w:hideMark/>
          </w:tcPr>
          <w:p w14:paraId="17D49A08"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 </w:t>
            </w:r>
          </w:p>
        </w:tc>
        <w:tc>
          <w:tcPr>
            <w:tcW w:w="1488" w:type="dxa"/>
            <w:tcBorders>
              <w:top w:val="nil"/>
              <w:left w:val="nil"/>
              <w:bottom w:val="nil"/>
              <w:right w:val="nil"/>
            </w:tcBorders>
            <w:shd w:val="clear" w:color="auto" w:fill="auto"/>
            <w:noWrap/>
            <w:vAlign w:val="center"/>
            <w:hideMark/>
          </w:tcPr>
          <w:p w14:paraId="5225F275"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58" w:type="dxa"/>
            <w:tcBorders>
              <w:top w:val="nil"/>
              <w:left w:val="nil"/>
              <w:bottom w:val="nil"/>
              <w:right w:val="nil"/>
            </w:tcBorders>
            <w:shd w:val="clear" w:color="auto" w:fill="auto"/>
            <w:noWrap/>
            <w:vAlign w:val="center"/>
            <w:hideMark/>
          </w:tcPr>
          <w:p w14:paraId="14D34C45"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8" w:type="dxa"/>
            <w:tcBorders>
              <w:top w:val="nil"/>
              <w:left w:val="nil"/>
              <w:bottom w:val="nil"/>
              <w:right w:val="nil"/>
            </w:tcBorders>
            <w:shd w:val="clear" w:color="auto" w:fill="auto"/>
            <w:noWrap/>
            <w:vAlign w:val="center"/>
            <w:hideMark/>
          </w:tcPr>
          <w:p w14:paraId="0921BDC6"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88" w:type="dxa"/>
            <w:tcBorders>
              <w:top w:val="nil"/>
              <w:left w:val="nil"/>
              <w:bottom w:val="nil"/>
              <w:right w:val="nil"/>
            </w:tcBorders>
            <w:shd w:val="clear" w:color="auto" w:fill="auto"/>
            <w:noWrap/>
            <w:vAlign w:val="center"/>
            <w:hideMark/>
          </w:tcPr>
          <w:p w14:paraId="6E7A0C13"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732DCC" w14:paraId="0F51BF6B" w14:textId="77777777" w:rsidTr="002F7131">
        <w:trPr>
          <w:trHeight w:val="255"/>
        </w:trPr>
        <w:tc>
          <w:tcPr>
            <w:tcW w:w="1386" w:type="dxa"/>
            <w:tcBorders>
              <w:top w:val="nil"/>
              <w:left w:val="nil"/>
              <w:bottom w:val="nil"/>
              <w:right w:val="nil"/>
            </w:tcBorders>
            <w:shd w:val="clear" w:color="auto" w:fill="auto"/>
            <w:noWrap/>
            <w:vAlign w:val="bottom"/>
            <w:hideMark/>
          </w:tcPr>
          <w:p w14:paraId="14EC3340"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732DCC">
              <w:rPr>
                <w:rFonts w:ascii="SimSun" w:hAnsi="SimSun" w:hint="eastAsia"/>
                <w:sz w:val="20"/>
              </w:rPr>
              <w:t>第</w:t>
            </w:r>
            <w:r w:rsidRPr="00732DCC">
              <w:rPr>
                <w:rFonts w:cs="Calibri"/>
                <w:sz w:val="20"/>
              </w:rPr>
              <w:t>1.3</w:t>
            </w:r>
            <w:r w:rsidRPr="00732DCC">
              <w:rPr>
                <w:rFonts w:ascii="SimSun" w:hAnsi="SimSun" w:hint="eastAsia"/>
                <w:sz w:val="20"/>
              </w:rPr>
              <w:t>项</w:t>
            </w:r>
          </w:p>
        </w:tc>
        <w:tc>
          <w:tcPr>
            <w:tcW w:w="5565" w:type="dxa"/>
            <w:tcBorders>
              <w:top w:val="nil"/>
              <w:left w:val="nil"/>
              <w:bottom w:val="nil"/>
              <w:right w:val="nil"/>
            </w:tcBorders>
            <w:shd w:val="clear" w:color="auto" w:fill="auto"/>
            <w:noWrap/>
            <w:vAlign w:val="bottom"/>
            <w:hideMark/>
          </w:tcPr>
          <w:p w14:paraId="4476DF70"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imSun" w:hAnsi="SimSun"/>
                <w:sz w:val="20"/>
                <w:lang w:eastAsia="zh-CN"/>
              </w:rPr>
            </w:pPr>
            <w:r w:rsidRPr="00732DCC">
              <w:rPr>
                <w:rFonts w:ascii="SimSun" w:hAnsi="SimSun" w:hint="eastAsia"/>
                <w:sz w:val="20"/>
                <w:lang w:eastAsia="zh-CN"/>
              </w:rPr>
              <w:t>信息社会世界高峰会议</w:t>
            </w:r>
          </w:p>
        </w:tc>
        <w:tc>
          <w:tcPr>
            <w:tcW w:w="1555" w:type="dxa"/>
            <w:tcBorders>
              <w:top w:val="nil"/>
              <w:left w:val="single" w:sz="4" w:space="0" w:color="0070C0"/>
              <w:bottom w:val="nil"/>
              <w:right w:val="nil"/>
            </w:tcBorders>
            <w:shd w:val="clear" w:color="auto" w:fill="auto"/>
            <w:noWrap/>
            <w:vAlign w:val="center"/>
            <w:hideMark/>
          </w:tcPr>
          <w:p w14:paraId="1F66A694"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105</w:t>
            </w:r>
          </w:p>
        </w:tc>
        <w:tc>
          <w:tcPr>
            <w:tcW w:w="1488" w:type="dxa"/>
            <w:tcBorders>
              <w:top w:val="nil"/>
              <w:left w:val="nil"/>
              <w:bottom w:val="nil"/>
              <w:right w:val="nil"/>
            </w:tcBorders>
            <w:shd w:val="clear" w:color="auto" w:fill="auto"/>
            <w:noWrap/>
            <w:vAlign w:val="center"/>
            <w:hideMark/>
          </w:tcPr>
          <w:p w14:paraId="40113BE8"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150</w:t>
            </w:r>
          </w:p>
        </w:tc>
        <w:tc>
          <w:tcPr>
            <w:tcW w:w="1258" w:type="dxa"/>
            <w:tcBorders>
              <w:top w:val="nil"/>
              <w:left w:val="nil"/>
              <w:bottom w:val="nil"/>
              <w:right w:val="nil"/>
            </w:tcBorders>
            <w:shd w:val="clear" w:color="auto" w:fill="auto"/>
            <w:noWrap/>
            <w:vAlign w:val="center"/>
            <w:hideMark/>
          </w:tcPr>
          <w:p w14:paraId="7033F956"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50</w:t>
            </w:r>
          </w:p>
        </w:tc>
        <w:tc>
          <w:tcPr>
            <w:tcW w:w="1258" w:type="dxa"/>
            <w:tcBorders>
              <w:top w:val="nil"/>
              <w:left w:val="nil"/>
              <w:bottom w:val="nil"/>
              <w:right w:val="nil"/>
            </w:tcBorders>
            <w:shd w:val="clear" w:color="auto" w:fill="auto"/>
            <w:noWrap/>
            <w:vAlign w:val="center"/>
            <w:hideMark/>
          </w:tcPr>
          <w:p w14:paraId="14F15214"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50</w:t>
            </w:r>
          </w:p>
        </w:tc>
        <w:tc>
          <w:tcPr>
            <w:tcW w:w="1488" w:type="dxa"/>
            <w:tcBorders>
              <w:top w:val="nil"/>
              <w:left w:val="nil"/>
              <w:bottom w:val="nil"/>
              <w:right w:val="nil"/>
            </w:tcBorders>
            <w:shd w:val="clear" w:color="auto" w:fill="auto"/>
            <w:noWrap/>
            <w:vAlign w:val="center"/>
            <w:hideMark/>
          </w:tcPr>
          <w:p w14:paraId="08E68A3B"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100</w:t>
            </w:r>
          </w:p>
        </w:tc>
      </w:tr>
      <w:tr w:rsidR="006C2C5E" w:rsidRPr="00732DCC" w14:paraId="4FEFD306" w14:textId="77777777" w:rsidTr="002F7131">
        <w:trPr>
          <w:trHeight w:val="255"/>
        </w:trPr>
        <w:tc>
          <w:tcPr>
            <w:tcW w:w="1386" w:type="dxa"/>
            <w:tcBorders>
              <w:top w:val="nil"/>
              <w:left w:val="nil"/>
              <w:bottom w:val="nil"/>
              <w:right w:val="nil"/>
            </w:tcBorders>
            <w:shd w:val="clear" w:color="auto" w:fill="auto"/>
            <w:noWrap/>
            <w:vAlign w:val="center"/>
            <w:hideMark/>
          </w:tcPr>
          <w:p w14:paraId="4E29385F"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5565" w:type="dxa"/>
            <w:tcBorders>
              <w:top w:val="nil"/>
              <w:left w:val="nil"/>
              <w:bottom w:val="nil"/>
              <w:right w:val="nil"/>
            </w:tcBorders>
            <w:shd w:val="clear" w:color="auto" w:fill="auto"/>
            <w:noWrap/>
            <w:vAlign w:val="center"/>
            <w:hideMark/>
          </w:tcPr>
          <w:p w14:paraId="1E647FD0"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55" w:type="dxa"/>
            <w:tcBorders>
              <w:top w:val="nil"/>
              <w:left w:val="single" w:sz="4" w:space="0" w:color="0070C0"/>
              <w:bottom w:val="nil"/>
              <w:right w:val="nil"/>
            </w:tcBorders>
            <w:shd w:val="clear" w:color="auto" w:fill="auto"/>
            <w:noWrap/>
            <w:vAlign w:val="center"/>
            <w:hideMark/>
          </w:tcPr>
          <w:p w14:paraId="1088063D"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 </w:t>
            </w:r>
          </w:p>
        </w:tc>
        <w:tc>
          <w:tcPr>
            <w:tcW w:w="1488" w:type="dxa"/>
            <w:tcBorders>
              <w:top w:val="nil"/>
              <w:left w:val="nil"/>
              <w:bottom w:val="nil"/>
              <w:right w:val="nil"/>
            </w:tcBorders>
            <w:shd w:val="clear" w:color="auto" w:fill="auto"/>
            <w:noWrap/>
            <w:vAlign w:val="center"/>
            <w:hideMark/>
          </w:tcPr>
          <w:p w14:paraId="4D640410"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58" w:type="dxa"/>
            <w:tcBorders>
              <w:top w:val="nil"/>
              <w:left w:val="nil"/>
              <w:bottom w:val="nil"/>
              <w:right w:val="nil"/>
            </w:tcBorders>
            <w:shd w:val="clear" w:color="auto" w:fill="auto"/>
            <w:noWrap/>
            <w:vAlign w:val="center"/>
            <w:hideMark/>
          </w:tcPr>
          <w:p w14:paraId="10FCB29B"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8" w:type="dxa"/>
            <w:tcBorders>
              <w:top w:val="nil"/>
              <w:left w:val="nil"/>
              <w:bottom w:val="nil"/>
              <w:right w:val="nil"/>
            </w:tcBorders>
            <w:shd w:val="clear" w:color="auto" w:fill="auto"/>
            <w:noWrap/>
            <w:vAlign w:val="center"/>
            <w:hideMark/>
          </w:tcPr>
          <w:p w14:paraId="495CA126"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88" w:type="dxa"/>
            <w:tcBorders>
              <w:top w:val="nil"/>
              <w:left w:val="nil"/>
              <w:bottom w:val="nil"/>
              <w:right w:val="nil"/>
            </w:tcBorders>
            <w:shd w:val="clear" w:color="auto" w:fill="auto"/>
            <w:noWrap/>
            <w:vAlign w:val="center"/>
            <w:hideMark/>
          </w:tcPr>
          <w:p w14:paraId="019F1B88"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732DCC" w14:paraId="5982A4AD" w14:textId="77777777" w:rsidTr="002F7131">
        <w:trPr>
          <w:trHeight w:val="255"/>
        </w:trPr>
        <w:tc>
          <w:tcPr>
            <w:tcW w:w="1386" w:type="dxa"/>
            <w:tcBorders>
              <w:top w:val="nil"/>
              <w:left w:val="nil"/>
              <w:bottom w:val="nil"/>
              <w:right w:val="nil"/>
            </w:tcBorders>
            <w:shd w:val="clear" w:color="auto" w:fill="auto"/>
            <w:noWrap/>
            <w:vAlign w:val="bottom"/>
            <w:hideMark/>
          </w:tcPr>
          <w:p w14:paraId="3E7F63E0"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732DCC">
              <w:rPr>
                <w:rFonts w:ascii="SimSun" w:hAnsi="SimSun" w:hint="eastAsia"/>
                <w:sz w:val="20"/>
              </w:rPr>
              <w:t>第</w:t>
            </w:r>
            <w:r w:rsidRPr="00732DCC">
              <w:rPr>
                <w:rFonts w:cs="Calibri"/>
                <w:sz w:val="20"/>
              </w:rPr>
              <w:t>2.1</w:t>
            </w:r>
            <w:r w:rsidRPr="00732DCC">
              <w:rPr>
                <w:rFonts w:ascii="SimSun" w:hAnsi="SimSun" w:hint="eastAsia"/>
                <w:sz w:val="20"/>
              </w:rPr>
              <w:t>项</w:t>
            </w:r>
          </w:p>
        </w:tc>
        <w:tc>
          <w:tcPr>
            <w:tcW w:w="5565" w:type="dxa"/>
            <w:tcBorders>
              <w:top w:val="nil"/>
              <w:left w:val="nil"/>
              <w:bottom w:val="nil"/>
              <w:right w:val="nil"/>
            </w:tcBorders>
            <w:shd w:val="clear" w:color="auto" w:fill="auto"/>
            <w:noWrap/>
            <w:vAlign w:val="bottom"/>
            <w:hideMark/>
          </w:tcPr>
          <w:p w14:paraId="38274D62"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imSun" w:hAnsi="SimSun"/>
                <w:sz w:val="20"/>
                <w:lang w:eastAsia="zh-CN"/>
              </w:rPr>
            </w:pPr>
            <w:r w:rsidRPr="00732DCC">
              <w:rPr>
                <w:rFonts w:ascii="SimSun" w:hAnsi="SimSun" w:hint="eastAsia"/>
                <w:sz w:val="20"/>
                <w:lang w:eastAsia="zh-CN"/>
              </w:rPr>
              <w:t>理事会、工作组和专家组</w:t>
            </w:r>
          </w:p>
        </w:tc>
        <w:tc>
          <w:tcPr>
            <w:tcW w:w="1555" w:type="dxa"/>
            <w:tcBorders>
              <w:top w:val="nil"/>
              <w:left w:val="single" w:sz="4" w:space="0" w:color="0070C0"/>
              <w:bottom w:val="nil"/>
              <w:right w:val="nil"/>
            </w:tcBorders>
            <w:shd w:val="clear" w:color="auto" w:fill="auto"/>
            <w:noWrap/>
            <w:vAlign w:val="center"/>
            <w:hideMark/>
          </w:tcPr>
          <w:p w14:paraId="56D08D9B"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1,064</w:t>
            </w:r>
          </w:p>
        </w:tc>
        <w:tc>
          <w:tcPr>
            <w:tcW w:w="1488" w:type="dxa"/>
            <w:tcBorders>
              <w:top w:val="nil"/>
              <w:left w:val="nil"/>
              <w:bottom w:val="nil"/>
              <w:right w:val="nil"/>
            </w:tcBorders>
            <w:shd w:val="clear" w:color="auto" w:fill="auto"/>
            <w:noWrap/>
            <w:vAlign w:val="center"/>
            <w:hideMark/>
          </w:tcPr>
          <w:p w14:paraId="19D54775"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1,655</w:t>
            </w:r>
          </w:p>
        </w:tc>
        <w:tc>
          <w:tcPr>
            <w:tcW w:w="1258" w:type="dxa"/>
            <w:tcBorders>
              <w:top w:val="nil"/>
              <w:left w:val="nil"/>
              <w:bottom w:val="nil"/>
              <w:right w:val="nil"/>
            </w:tcBorders>
            <w:shd w:val="clear" w:color="auto" w:fill="auto"/>
            <w:noWrap/>
            <w:vAlign w:val="center"/>
            <w:hideMark/>
          </w:tcPr>
          <w:p w14:paraId="2623064F"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689</w:t>
            </w:r>
          </w:p>
        </w:tc>
        <w:tc>
          <w:tcPr>
            <w:tcW w:w="1258" w:type="dxa"/>
            <w:tcBorders>
              <w:top w:val="nil"/>
              <w:left w:val="nil"/>
              <w:bottom w:val="nil"/>
              <w:right w:val="nil"/>
            </w:tcBorders>
            <w:shd w:val="clear" w:color="auto" w:fill="auto"/>
            <w:noWrap/>
            <w:vAlign w:val="center"/>
            <w:hideMark/>
          </w:tcPr>
          <w:p w14:paraId="28B5BE05"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676</w:t>
            </w:r>
          </w:p>
        </w:tc>
        <w:tc>
          <w:tcPr>
            <w:tcW w:w="1488" w:type="dxa"/>
            <w:tcBorders>
              <w:top w:val="nil"/>
              <w:left w:val="nil"/>
              <w:bottom w:val="nil"/>
              <w:right w:val="nil"/>
            </w:tcBorders>
            <w:shd w:val="clear" w:color="auto" w:fill="auto"/>
            <w:noWrap/>
            <w:vAlign w:val="center"/>
            <w:hideMark/>
          </w:tcPr>
          <w:p w14:paraId="5F479DEE"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1,365</w:t>
            </w:r>
          </w:p>
        </w:tc>
      </w:tr>
      <w:tr w:rsidR="006C2C5E" w:rsidRPr="00732DCC" w14:paraId="045E8AA6" w14:textId="77777777" w:rsidTr="002F7131">
        <w:trPr>
          <w:trHeight w:val="255"/>
        </w:trPr>
        <w:tc>
          <w:tcPr>
            <w:tcW w:w="1386" w:type="dxa"/>
            <w:tcBorders>
              <w:top w:val="nil"/>
              <w:left w:val="nil"/>
              <w:bottom w:val="nil"/>
              <w:right w:val="nil"/>
            </w:tcBorders>
            <w:shd w:val="clear" w:color="auto" w:fill="auto"/>
            <w:noWrap/>
            <w:vAlign w:val="center"/>
            <w:hideMark/>
          </w:tcPr>
          <w:p w14:paraId="03F46C4C"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5565" w:type="dxa"/>
            <w:tcBorders>
              <w:top w:val="nil"/>
              <w:left w:val="nil"/>
              <w:bottom w:val="nil"/>
              <w:right w:val="nil"/>
            </w:tcBorders>
            <w:shd w:val="clear" w:color="auto" w:fill="auto"/>
            <w:noWrap/>
            <w:vAlign w:val="center"/>
            <w:hideMark/>
          </w:tcPr>
          <w:p w14:paraId="52EB6538"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55" w:type="dxa"/>
            <w:tcBorders>
              <w:top w:val="nil"/>
              <w:left w:val="single" w:sz="4" w:space="0" w:color="0070C0"/>
              <w:bottom w:val="nil"/>
              <w:right w:val="nil"/>
            </w:tcBorders>
            <w:shd w:val="clear" w:color="auto" w:fill="auto"/>
            <w:noWrap/>
            <w:vAlign w:val="center"/>
            <w:hideMark/>
          </w:tcPr>
          <w:p w14:paraId="2B96E55E"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 </w:t>
            </w:r>
          </w:p>
        </w:tc>
        <w:tc>
          <w:tcPr>
            <w:tcW w:w="1488" w:type="dxa"/>
            <w:tcBorders>
              <w:top w:val="nil"/>
              <w:left w:val="nil"/>
              <w:bottom w:val="nil"/>
              <w:right w:val="nil"/>
            </w:tcBorders>
            <w:shd w:val="clear" w:color="auto" w:fill="auto"/>
            <w:noWrap/>
            <w:vAlign w:val="center"/>
            <w:hideMark/>
          </w:tcPr>
          <w:p w14:paraId="56EA20B0"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58" w:type="dxa"/>
            <w:tcBorders>
              <w:top w:val="nil"/>
              <w:left w:val="nil"/>
              <w:bottom w:val="nil"/>
              <w:right w:val="nil"/>
            </w:tcBorders>
            <w:shd w:val="clear" w:color="auto" w:fill="auto"/>
            <w:noWrap/>
            <w:vAlign w:val="center"/>
            <w:hideMark/>
          </w:tcPr>
          <w:p w14:paraId="6EF4DC19"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8" w:type="dxa"/>
            <w:tcBorders>
              <w:top w:val="nil"/>
              <w:left w:val="nil"/>
              <w:bottom w:val="nil"/>
              <w:right w:val="nil"/>
            </w:tcBorders>
            <w:shd w:val="clear" w:color="auto" w:fill="auto"/>
            <w:noWrap/>
            <w:vAlign w:val="center"/>
            <w:hideMark/>
          </w:tcPr>
          <w:p w14:paraId="42AC94F5"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88" w:type="dxa"/>
            <w:tcBorders>
              <w:top w:val="nil"/>
              <w:left w:val="nil"/>
              <w:bottom w:val="nil"/>
              <w:right w:val="nil"/>
            </w:tcBorders>
            <w:shd w:val="clear" w:color="auto" w:fill="auto"/>
            <w:noWrap/>
            <w:vAlign w:val="center"/>
            <w:hideMark/>
          </w:tcPr>
          <w:p w14:paraId="71DB47CD"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732DCC" w14:paraId="007A076D" w14:textId="77777777" w:rsidTr="002F7131">
        <w:trPr>
          <w:trHeight w:val="255"/>
        </w:trPr>
        <w:tc>
          <w:tcPr>
            <w:tcW w:w="1386" w:type="dxa"/>
            <w:tcBorders>
              <w:top w:val="nil"/>
              <w:left w:val="nil"/>
              <w:bottom w:val="nil"/>
              <w:right w:val="nil"/>
            </w:tcBorders>
            <w:shd w:val="clear" w:color="auto" w:fill="auto"/>
            <w:noWrap/>
            <w:vAlign w:val="bottom"/>
            <w:hideMark/>
          </w:tcPr>
          <w:p w14:paraId="39F9A97E"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732DCC">
              <w:rPr>
                <w:rFonts w:ascii="SimSun" w:hAnsi="SimSun" w:hint="eastAsia"/>
                <w:sz w:val="20"/>
              </w:rPr>
              <w:t>第</w:t>
            </w:r>
            <w:r w:rsidRPr="00732DCC">
              <w:rPr>
                <w:rFonts w:cs="Calibri"/>
                <w:sz w:val="20"/>
              </w:rPr>
              <w:t>7</w:t>
            </w:r>
            <w:r w:rsidRPr="00732DCC">
              <w:rPr>
                <w:rFonts w:ascii="SimSun" w:hAnsi="SimSun" w:hint="eastAsia"/>
                <w:sz w:val="20"/>
              </w:rPr>
              <w:t>项</w:t>
            </w:r>
          </w:p>
        </w:tc>
        <w:tc>
          <w:tcPr>
            <w:tcW w:w="5565" w:type="dxa"/>
            <w:tcBorders>
              <w:top w:val="nil"/>
              <w:left w:val="nil"/>
              <w:bottom w:val="nil"/>
              <w:right w:val="nil"/>
            </w:tcBorders>
            <w:shd w:val="clear" w:color="auto" w:fill="auto"/>
            <w:noWrap/>
            <w:vAlign w:val="bottom"/>
            <w:hideMark/>
          </w:tcPr>
          <w:p w14:paraId="39E8208A"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732DCC">
              <w:rPr>
                <w:rFonts w:ascii="SimSun" w:hAnsi="SimSun" w:hint="eastAsia"/>
                <w:sz w:val="20"/>
              </w:rPr>
              <w:t>活动和项目</w:t>
            </w:r>
          </w:p>
        </w:tc>
        <w:tc>
          <w:tcPr>
            <w:tcW w:w="1555" w:type="dxa"/>
            <w:tcBorders>
              <w:top w:val="nil"/>
              <w:left w:val="single" w:sz="4" w:space="0" w:color="0070C0"/>
              <w:bottom w:val="nil"/>
              <w:right w:val="nil"/>
            </w:tcBorders>
            <w:shd w:val="clear" w:color="auto" w:fill="auto"/>
            <w:noWrap/>
            <w:vAlign w:val="center"/>
            <w:hideMark/>
          </w:tcPr>
          <w:p w14:paraId="193518D7"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18,748</w:t>
            </w:r>
          </w:p>
        </w:tc>
        <w:tc>
          <w:tcPr>
            <w:tcW w:w="1488" w:type="dxa"/>
            <w:tcBorders>
              <w:top w:val="nil"/>
              <w:left w:val="nil"/>
              <w:bottom w:val="nil"/>
              <w:right w:val="nil"/>
            </w:tcBorders>
            <w:shd w:val="clear" w:color="auto" w:fill="auto"/>
            <w:noWrap/>
            <w:vAlign w:val="center"/>
            <w:hideMark/>
          </w:tcPr>
          <w:p w14:paraId="2506A741"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1,130</w:t>
            </w:r>
          </w:p>
        </w:tc>
        <w:tc>
          <w:tcPr>
            <w:tcW w:w="1258" w:type="dxa"/>
            <w:tcBorders>
              <w:top w:val="nil"/>
              <w:left w:val="nil"/>
              <w:bottom w:val="nil"/>
              <w:right w:val="nil"/>
            </w:tcBorders>
            <w:shd w:val="clear" w:color="auto" w:fill="auto"/>
            <w:noWrap/>
            <w:vAlign w:val="center"/>
            <w:hideMark/>
          </w:tcPr>
          <w:p w14:paraId="0B4B3678"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565</w:t>
            </w:r>
          </w:p>
        </w:tc>
        <w:tc>
          <w:tcPr>
            <w:tcW w:w="1258" w:type="dxa"/>
            <w:tcBorders>
              <w:top w:val="nil"/>
              <w:left w:val="nil"/>
              <w:bottom w:val="nil"/>
              <w:right w:val="nil"/>
            </w:tcBorders>
            <w:shd w:val="clear" w:color="auto" w:fill="auto"/>
            <w:noWrap/>
            <w:vAlign w:val="center"/>
            <w:hideMark/>
          </w:tcPr>
          <w:p w14:paraId="5F754281"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565</w:t>
            </w:r>
          </w:p>
        </w:tc>
        <w:tc>
          <w:tcPr>
            <w:tcW w:w="1488" w:type="dxa"/>
            <w:tcBorders>
              <w:top w:val="nil"/>
              <w:left w:val="nil"/>
              <w:bottom w:val="nil"/>
              <w:right w:val="nil"/>
            </w:tcBorders>
            <w:shd w:val="clear" w:color="auto" w:fill="auto"/>
            <w:noWrap/>
            <w:vAlign w:val="center"/>
            <w:hideMark/>
          </w:tcPr>
          <w:p w14:paraId="30852F72"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1,130</w:t>
            </w:r>
          </w:p>
        </w:tc>
      </w:tr>
      <w:tr w:rsidR="006C2C5E" w:rsidRPr="00732DCC" w14:paraId="3AFBF2FB" w14:textId="77777777" w:rsidTr="002F7131">
        <w:trPr>
          <w:trHeight w:val="255"/>
        </w:trPr>
        <w:tc>
          <w:tcPr>
            <w:tcW w:w="1386" w:type="dxa"/>
            <w:tcBorders>
              <w:top w:val="nil"/>
              <w:left w:val="nil"/>
              <w:bottom w:val="nil"/>
              <w:right w:val="nil"/>
            </w:tcBorders>
            <w:shd w:val="clear" w:color="auto" w:fill="auto"/>
            <w:noWrap/>
            <w:vAlign w:val="center"/>
            <w:hideMark/>
          </w:tcPr>
          <w:p w14:paraId="647BA05C"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5565" w:type="dxa"/>
            <w:tcBorders>
              <w:top w:val="nil"/>
              <w:left w:val="nil"/>
              <w:bottom w:val="nil"/>
              <w:right w:val="nil"/>
            </w:tcBorders>
            <w:shd w:val="clear" w:color="auto" w:fill="auto"/>
            <w:noWrap/>
            <w:vAlign w:val="center"/>
            <w:hideMark/>
          </w:tcPr>
          <w:p w14:paraId="75C3D95D"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55" w:type="dxa"/>
            <w:tcBorders>
              <w:top w:val="nil"/>
              <w:left w:val="single" w:sz="4" w:space="0" w:color="0070C0"/>
              <w:bottom w:val="nil"/>
              <w:right w:val="nil"/>
            </w:tcBorders>
            <w:shd w:val="clear" w:color="auto" w:fill="auto"/>
            <w:noWrap/>
            <w:vAlign w:val="center"/>
            <w:hideMark/>
          </w:tcPr>
          <w:p w14:paraId="7576B852"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732DCC">
              <w:rPr>
                <w:rFonts w:eastAsia="Times New Roman" w:cs="Calibri"/>
                <w:b/>
                <w:bCs/>
                <w:sz w:val="20"/>
              </w:rPr>
              <w:t> </w:t>
            </w:r>
          </w:p>
        </w:tc>
        <w:tc>
          <w:tcPr>
            <w:tcW w:w="1488" w:type="dxa"/>
            <w:tcBorders>
              <w:top w:val="nil"/>
              <w:left w:val="nil"/>
              <w:bottom w:val="nil"/>
              <w:right w:val="nil"/>
            </w:tcBorders>
            <w:shd w:val="clear" w:color="auto" w:fill="auto"/>
            <w:noWrap/>
            <w:vAlign w:val="center"/>
            <w:hideMark/>
          </w:tcPr>
          <w:p w14:paraId="668A2596"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p>
        </w:tc>
        <w:tc>
          <w:tcPr>
            <w:tcW w:w="1258" w:type="dxa"/>
            <w:tcBorders>
              <w:top w:val="nil"/>
              <w:left w:val="nil"/>
              <w:bottom w:val="nil"/>
              <w:right w:val="nil"/>
            </w:tcBorders>
            <w:shd w:val="clear" w:color="auto" w:fill="auto"/>
            <w:noWrap/>
            <w:vAlign w:val="center"/>
            <w:hideMark/>
          </w:tcPr>
          <w:p w14:paraId="5CD0D8D0"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8" w:type="dxa"/>
            <w:tcBorders>
              <w:top w:val="nil"/>
              <w:left w:val="nil"/>
              <w:bottom w:val="nil"/>
              <w:right w:val="nil"/>
            </w:tcBorders>
            <w:shd w:val="clear" w:color="auto" w:fill="auto"/>
            <w:noWrap/>
            <w:vAlign w:val="center"/>
            <w:hideMark/>
          </w:tcPr>
          <w:p w14:paraId="531A7DED"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88" w:type="dxa"/>
            <w:tcBorders>
              <w:top w:val="nil"/>
              <w:left w:val="nil"/>
              <w:bottom w:val="nil"/>
              <w:right w:val="nil"/>
            </w:tcBorders>
            <w:shd w:val="clear" w:color="auto" w:fill="auto"/>
            <w:noWrap/>
            <w:vAlign w:val="center"/>
            <w:hideMark/>
          </w:tcPr>
          <w:p w14:paraId="3A5DC92F"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732DCC" w14:paraId="50E573F0" w14:textId="77777777" w:rsidTr="002F7131">
        <w:trPr>
          <w:trHeight w:val="255"/>
        </w:trPr>
        <w:tc>
          <w:tcPr>
            <w:tcW w:w="1386" w:type="dxa"/>
            <w:tcBorders>
              <w:top w:val="nil"/>
              <w:left w:val="nil"/>
              <w:bottom w:val="nil"/>
              <w:right w:val="nil"/>
            </w:tcBorders>
            <w:shd w:val="clear" w:color="auto" w:fill="auto"/>
            <w:noWrap/>
            <w:vAlign w:val="bottom"/>
            <w:hideMark/>
          </w:tcPr>
          <w:p w14:paraId="6EA55807"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732DCC">
              <w:rPr>
                <w:rFonts w:ascii="SimSun" w:hAnsi="SimSun" w:hint="eastAsia"/>
                <w:sz w:val="20"/>
              </w:rPr>
              <w:t>第</w:t>
            </w:r>
            <w:r w:rsidRPr="00732DCC">
              <w:rPr>
                <w:rFonts w:cs="Calibri"/>
                <w:sz w:val="20"/>
              </w:rPr>
              <w:t>9</w:t>
            </w:r>
            <w:r w:rsidRPr="00732DCC">
              <w:rPr>
                <w:rFonts w:ascii="SimSun" w:hAnsi="SimSun" w:hint="eastAsia"/>
                <w:sz w:val="20"/>
              </w:rPr>
              <w:t>项</w:t>
            </w:r>
          </w:p>
        </w:tc>
        <w:tc>
          <w:tcPr>
            <w:tcW w:w="5565" w:type="dxa"/>
            <w:tcBorders>
              <w:top w:val="nil"/>
              <w:left w:val="nil"/>
              <w:bottom w:val="nil"/>
              <w:right w:val="nil"/>
            </w:tcBorders>
            <w:shd w:val="clear" w:color="auto" w:fill="auto"/>
            <w:noWrap/>
            <w:vAlign w:val="bottom"/>
            <w:hideMark/>
          </w:tcPr>
          <w:p w14:paraId="582F045F"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732DCC">
              <w:rPr>
                <w:rFonts w:ascii="SimSun" w:hAnsi="SimSun" w:hint="eastAsia"/>
                <w:sz w:val="20"/>
              </w:rPr>
              <w:t>秘书长办公室和各部</w:t>
            </w:r>
          </w:p>
        </w:tc>
        <w:tc>
          <w:tcPr>
            <w:tcW w:w="1555" w:type="dxa"/>
            <w:tcBorders>
              <w:top w:val="nil"/>
              <w:left w:val="single" w:sz="4" w:space="0" w:color="0070C0"/>
              <w:bottom w:val="nil"/>
              <w:right w:val="nil"/>
            </w:tcBorders>
            <w:shd w:val="clear" w:color="auto" w:fill="auto"/>
            <w:noWrap/>
            <w:vAlign w:val="center"/>
            <w:hideMark/>
          </w:tcPr>
          <w:p w14:paraId="1EC785DB"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144,781</w:t>
            </w:r>
          </w:p>
        </w:tc>
        <w:tc>
          <w:tcPr>
            <w:tcW w:w="1488" w:type="dxa"/>
            <w:tcBorders>
              <w:top w:val="nil"/>
              <w:left w:val="nil"/>
              <w:bottom w:val="nil"/>
              <w:right w:val="nil"/>
            </w:tcBorders>
            <w:shd w:val="clear" w:color="auto" w:fill="auto"/>
            <w:noWrap/>
            <w:vAlign w:val="center"/>
            <w:hideMark/>
          </w:tcPr>
          <w:p w14:paraId="6766F820"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179,833</w:t>
            </w:r>
          </w:p>
        </w:tc>
        <w:tc>
          <w:tcPr>
            <w:tcW w:w="1258" w:type="dxa"/>
            <w:tcBorders>
              <w:top w:val="nil"/>
              <w:left w:val="nil"/>
              <w:bottom w:val="nil"/>
              <w:right w:val="nil"/>
            </w:tcBorders>
            <w:shd w:val="clear" w:color="auto" w:fill="auto"/>
            <w:noWrap/>
            <w:vAlign w:val="center"/>
            <w:hideMark/>
          </w:tcPr>
          <w:p w14:paraId="7449CE18"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88,681</w:t>
            </w:r>
          </w:p>
        </w:tc>
        <w:tc>
          <w:tcPr>
            <w:tcW w:w="1258" w:type="dxa"/>
            <w:tcBorders>
              <w:top w:val="nil"/>
              <w:left w:val="nil"/>
              <w:bottom w:val="nil"/>
              <w:right w:val="nil"/>
            </w:tcBorders>
            <w:shd w:val="clear" w:color="auto" w:fill="auto"/>
            <w:noWrap/>
            <w:vAlign w:val="center"/>
            <w:hideMark/>
          </w:tcPr>
          <w:p w14:paraId="4E747331"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88,596</w:t>
            </w:r>
          </w:p>
        </w:tc>
        <w:tc>
          <w:tcPr>
            <w:tcW w:w="1488" w:type="dxa"/>
            <w:tcBorders>
              <w:top w:val="nil"/>
              <w:left w:val="nil"/>
              <w:bottom w:val="nil"/>
              <w:right w:val="nil"/>
            </w:tcBorders>
            <w:shd w:val="clear" w:color="auto" w:fill="auto"/>
            <w:noWrap/>
            <w:vAlign w:val="center"/>
            <w:hideMark/>
          </w:tcPr>
          <w:p w14:paraId="6473FE08"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177,277</w:t>
            </w:r>
          </w:p>
        </w:tc>
      </w:tr>
      <w:tr w:rsidR="006C2C5E" w:rsidRPr="00732DCC" w14:paraId="642AC68E" w14:textId="77777777" w:rsidTr="002F7131">
        <w:trPr>
          <w:trHeight w:val="255"/>
        </w:trPr>
        <w:tc>
          <w:tcPr>
            <w:tcW w:w="1386" w:type="dxa"/>
            <w:tcBorders>
              <w:top w:val="nil"/>
              <w:left w:val="nil"/>
              <w:bottom w:val="nil"/>
              <w:right w:val="nil"/>
            </w:tcBorders>
            <w:shd w:val="clear" w:color="auto" w:fill="auto"/>
            <w:noWrap/>
            <w:vAlign w:val="center"/>
            <w:hideMark/>
          </w:tcPr>
          <w:p w14:paraId="0D9DA1C5"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5565" w:type="dxa"/>
            <w:tcBorders>
              <w:top w:val="nil"/>
              <w:left w:val="nil"/>
              <w:bottom w:val="nil"/>
              <w:right w:val="nil"/>
            </w:tcBorders>
            <w:shd w:val="clear" w:color="auto" w:fill="auto"/>
            <w:noWrap/>
            <w:vAlign w:val="center"/>
            <w:hideMark/>
          </w:tcPr>
          <w:p w14:paraId="7353C566"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20"/>
              </w:rPr>
            </w:pPr>
            <w:r w:rsidRPr="00732DCC">
              <w:rPr>
                <w:rFonts w:ascii="STKaiti" w:eastAsia="STKaiti" w:hAnsi="STKaiti" w:hint="eastAsia"/>
                <w:sz w:val="20"/>
              </w:rPr>
              <w:t>- 国际电联共同支出</w:t>
            </w:r>
          </w:p>
        </w:tc>
        <w:tc>
          <w:tcPr>
            <w:tcW w:w="1555" w:type="dxa"/>
            <w:tcBorders>
              <w:top w:val="nil"/>
              <w:left w:val="single" w:sz="4" w:space="0" w:color="0070C0"/>
              <w:bottom w:val="nil"/>
              <w:right w:val="nil"/>
            </w:tcBorders>
            <w:shd w:val="clear" w:color="auto" w:fill="auto"/>
            <w:noWrap/>
            <w:vAlign w:val="center"/>
            <w:hideMark/>
          </w:tcPr>
          <w:p w14:paraId="6FC8DB27"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 </w:t>
            </w:r>
          </w:p>
        </w:tc>
        <w:tc>
          <w:tcPr>
            <w:tcW w:w="1488" w:type="dxa"/>
            <w:tcBorders>
              <w:top w:val="nil"/>
              <w:left w:val="nil"/>
              <w:bottom w:val="nil"/>
              <w:right w:val="nil"/>
            </w:tcBorders>
            <w:shd w:val="clear" w:color="auto" w:fill="auto"/>
            <w:noWrap/>
            <w:vAlign w:val="center"/>
            <w:hideMark/>
          </w:tcPr>
          <w:p w14:paraId="078C662D"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27,162</w:t>
            </w:r>
          </w:p>
        </w:tc>
        <w:tc>
          <w:tcPr>
            <w:tcW w:w="1258" w:type="dxa"/>
            <w:tcBorders>
              <w:top w:val="nil"/>
              <w:left w:val="nil"/>
              <w:bottom w:val="nil"/>
              <w:right w:val="nil"/>
            </w:tcBorders>
            <w:shd w:val="clear" w:color="auto" w:fill="auto"/>
            <w:noWrap/>
            <w:vAlign w:val="center"/>
            <w:hideMark/>
          </w:tcPr>
          <w:p w14:paraId="30387B54"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11,291</w:t>
            </w:r>
          </w:p>
        </w:tc>
        <w:tc>
          <w:tcPr>
            <w:tcW w:w="1258" w:type="dxa"/>
            <w:tcBorders>
              <w:top w:val="nil"/>
              <w:left w:val="nil"/>
              <w:bottom w:val="nil"/>
              <w:right w:val="nil"/>
            </w:tcBorders>
            <w:shd w:val="clear" w:color="auto" w:fill="auto"/>
            <w:noWrap/>
            <w:vAlign w:val="center"/>
            <w:hideMark/>
          </w:tcPr>
          <w:p w14:paraId="01E01B16"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11,261</w:t>
            </w:r>
          </w:p>
        </w:tc>
        <w:tc>
          <w:tcPr>
            <w:tcW w:w="1488" w:type="dxa"/>
            <w:tcBorders>
              <w:top w:val="nil"/>
              <w:left w:val="nil"/>
              <w:bottom w:val="nil"/>
              <w:right w:val="nil"/>
            </w:tcBorders>
            <w:shd w:val="clear" w:color="auto" w:fill="auto"/>
            <w:noWrap/>
            <w:vAlign w:val="center"/>
            <w:hideMark/>
          </w:tcPr>
          <w:p w14:paraId="0D7BDF1B"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22,552</w:t>
            </w:r>
          </w:p>
        </w:tc>
      </w:tr>
      <w:tr w:rsidR="006C2C5E" w:rsidRPr="00732DCC" w14:paraId="53B91634" w14:textId="77777777" w:rsidTr="002F7131">
        <w:trPr>
          <w:trHeight w:val="255"/>
        </w:trPr>
        <w:tc>
          <w:tcPr>
            <w:tcW w:w="1386" w:type="dxa"/>
            <w:tcBorders>
              <w:top w:val="nil"/>
              <w:left w:val="nil"/>
              <w:bottom w:val="nil"/>
              <w:right w:val="nil"/>
            </w:tcBorders>
            <w:shd w:val="clear" w:color="auto" w:fill="auto"/>
            <w:noWrap/>
            <w:vAlign w:val="center"/>
            <w:hideMark/>
          </w:tcPr>
          <w:p w14:paraId="58102BD2"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p>
        </w:tc>
        <w:tc>
          <w:tcPr>
            <w:tcW w:w="5565" w:type="dxa"/>
            <w:tcBorders>
              <w:top w:val="nil"/>
              <w:left w:val="nil"/>
              <w:bottom w:val="nil"/>
              <w:right w:val="nil"/>
            </w:tcBorders>
            <w:shd w:val="clear" w:color="auto" w:fill="auto"/>
            <w:noWrap/>
            <w:vAlign w:val="center"/>
            <w:hideMark/>
          </w:tcPr>
          <w:p w14:paraId="7F6E0940"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20"/>
                <w:lang w:eastAsia="zh-CN"/>
              </w:rPr>
            </w:pPr>
            <w:r w:rsidRPr="00732DCC">
              <w:rPr>
                <w:rFonts w:ascii="STKaiti" w:eastAsia="STKaiti" w:hAnsi="STKaiti" w:hint="eastAsia"/>
                <w:sz w:val="20"/>
                <w:lang w:eastAsia="zh-CN"/>
              </w:rPr>
              <w:t>- 秘书长和副秘书长办公室*</w:t>
            </w:r>
          </w:p>
        </w:tc>
        <w:tc>
          <w:tcPr>
            <w:tcW w:w="1555" w:type="dxa"/>
            <w:tcBorders>
              <w:top w:val="nil"/>
              <w:left w:val="single" w:sz="4" w:space="0" w:color="0070C0"/>
              <w:bottom w:val="nil"/>
              <w:right w:val="nil"/>
            </w:tcBorders>
            <w:shd w:val="clear" w:color="auto" w:fill="auto"/>
            <w:noWrap/>
            <w:vAlign w:val="center"/>
            <w:hideMark/>
          </w:tcPr>
          <w:p w14:paraId="3B65E705"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20,331</w:t>
            </w:r>
          </w:p>
        </w:tc>
        <w:tc>
          <w:tcPr>
            <w:tcW w:w="1488" w:type="dxa"/>
            <w:tcBorders>
              <w:top w:val="nil"/>
              <w:left w:val="nil"/>
              <w:bottom w:val="nil"/>
              <w:right w:val="nil"/>
            </w:tcBorders>
            <w:shd w:val="clear" w:color="auto" w:fill="auto"/>
            <w:noWrap/>
            <w:vAlign w:val="center"/>
            <w:hideMark/>
          </w:tcPr>
          <w:p w14:paraId="4F5C6D94"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20,320</w:t>
            </w:r>
          </w:p>
        </w:tc>
        <w:tc>
          <w:tcPr>
            <w:tcW w:w="1258" w:type="dxa"/>
            <w:tcBorders>
              <w:top w:val="nil"/>
              <w:left w:val="nil"/>
              <w:bottom w:val="nil"/>
              <w:right w:val="nil"/>
            </w:tcBorders>
            <w:shd w:val="clear" w:color="auto" w:fill="auto"/>
            <w:noWrap/>
            <w:vAlign w:val="center"/>
            <w:hideMark/>
          </w:tcPr>
          <w:p w14:paraId="27E49A8A"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10,748</w:t>
            </w:r>
          </w:p>
        </w:tc>
        <w:tc>
          <w:tcPr>
            <w:tcW w:w="1258" w:type="dxa"/>
            <w:tcBorders>
              <w:top w:val="nil"/>
              <w:left w:val="nil"/>
              <w:bottom w:val="nil"/>
              <w:right w:val="nil"/>
            </w:tcBorders>
            <w:shd w:val="clear" w:color="auto" w:fill="auto"/>
            <w:noWrap/>
            <w:vAlign w:val="center"/>
            <w:hideMark/>
          </w:tcPr>
          <w:p w14:paraId="08095676"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10,748</w:t>
            </w:r>
          </w:p>
        </w:tc>
        <w:tc>
          <w:tcPr>
            <w:tcW w:w="1488" w:type="dxa"/>
            <w:tcBorders>
              <w:top w:val="nil"/>
              <w:left w:val="nil"/>
              <w:bottom w:val="nil"/>
              <w:right w:val="nil"/>
            </w:tcBorders>
            <w:shd w:val="clear" w:color="auto" w:fill="auto"/>
            <w:noWrap/>
            <w:vAlign w:val="center"/>
            <w:hideMark/>
          </w:tcPr>
          <w:p w14:paraId="6946946D"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21,496</w:t>
            </w:r>
          </w:p>
        </w:tc>
      </w:tr>
      <w:tr w:rsidR="006C2C5E" w:rsidRPr="00732DCC" w14:paraId="45792309" w14:textId="77777777" w:rsidTr="002F7131">
        <w:trPr>
          <w:trHeight w:val="255"/>
        </w:trPr>
        <w:tc>
          <w:tcPr>
            <w:tcW w:w="1386" w:type="dxa"/>
            <w:tcBorders>
              <w:top w:val="nil"/>
              <w:left w:val="nil"/>
              <w:bottom w:val="nil"/>
              <w:right w:val="nil"/>
            </w:tcBorders>
            <w:shd w:val="clear" w:color="auto" w:fill="auto"/>
            <w:noWrap/>
            <w:vAlign w:val="center"/>
            <w:hideMark/>
          </w:tcPr>
          <w:p w14:paraId="7E95A559"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p>
        </w:tc>
        <w:tc>
          <w:tcPr>
            <w:tcW w:w="5565" w:type="dxa"/>
            <w:tcBorders>
              <w:top w:val="nil"/>
              <w:left w:val="nil"/>
              <w:bottom w:val="nil"/>
              <w:right w:val="nil"/>
            </w:tcBorders>
            <w:shd w:val="clear" w:color="auto" w:fill="auto"/>
            <w:noWrap/>
            <w:vAlign w:val="center"/>
            <w:hideMark/>
          </w:tcPr>
          <w:p w14:paraId="4DF54D14"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i/>
                <w:iCs/>
                <w:sz w:val="20"/>
              </w:rPr>
            </w:pPr>
            <w:r w:rsidRPr="00732DCC">
              <w:rPr>
                <w:rFonts w:ascii="STKaiti" w:eastAsia="STKaiti" w:hAnsi="STKaiti" w:hint="eastAsia"/>
                <w:i/>
                <w:iCs/>
                <w:sz w:val="20"/>
              </w:rPr>
              <w:t xml:space="preserve">- </w:t>
            </w:r>
            <w:r w:rsidRPr="00732DCC">
              <w:rPr>
                <w:rFonts w:ascii="STKaiti" w:eastAsia="STKaiti" w:hAnsi="STKaiti" w:hint="eastAsia"/>
                <w:sz w:val="20"/>
              </w:rPr>
              <w:t>战略规划和成员部</w:t>
            </w:r>
          </w:p>
        </w:tc>
        <w:tc>
          <w:tcPr>
            <w:tcW w:w="1555" w:type="dxa"/>
            <w:tcBorders>
              <w:top w:val="nil"/>
              <w:left w:val="single" w:sz="4" w:space="0" w:color="0070C0"/>
              <w:bottom w:val="nil"/>
              <w:right w:val="nil"/>
            </w:tcBorders>
            <w:shd w:val="clear" w:color="auto" w:fill="auto"/>
            <w:noWrap/>
            <w:vAlign w:val="center"/>
            <w:hideMark/>
          </w:tcPr>
          <w:p w14:paraId="569ADAF2"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16,003</w:t>
            </w:r>
          </w:p>
        </w:tc>
        <w:tc>
          <w:tcPr>
            <w:tcW w:w="1488" w:type="dxa"/>
            <w:tcBorders>
              <w:top w:val="nil"/>
              <w:left w:val="nil"/>
              <w:bottom w:val="nil"/>
              <w:right w:val="nil"/>
            </w:tcBorders>
            <w:shd w:val="clear" w:color="auto" w:fill="auto"/>
            <w:noWrap/>
            <w:vAlign w:val="center"/>
            <w:hideMark/>
          </w:tcPr>
          <w:p w14:paraId="0DCE5839"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16,524</w:t>
            </w:r>
          </w:p>
        </w:tc>
        <w:tc>
          <w:tcPr>
            <w:tcW w:w="1258" w:type="dxa"/>
            <w:tcBorders>
              <w:top w:val="nil"/>
              <w:left w:val="nil"/>
              <w:bottom w:val="nil"/>
              <w:right w:val="nil"/>
            </w:tcBorders>
            <w:shd w:val="clear" w:color="auto" w:fill="auto"/>
            <w:noWrap/>
            <w:vAlign w:val="center"/>
            <w:hideMark/>
          </w:tcPr>
          <w:p w14:paraId="401B422C"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8,514</w:t>
            </w:r>
          </w:p>
        </w:tc>
        <w:tc>
          <w:tcPr>
            <w:tcW w:w="1258" w:type="dxa"/>
            <w:tcBorders>
              <w:top w:val="nil"/>
              <w:left w:val="nil"/>
              <w:bottom w:val="nil"/>
              <w:right w:val="nil"/>
            </w:tcBorders>
            <w:shd w:val="clear" w:color="auto" w:fill="auto"/>
            <w:noWrap/>
            <w:vAlign w:val="center"/>
            <w:hideMark/>
          </w:tcPr>
          <w:p w14:paraId="70C6660D"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8,514</w:t>
            </w:r>
          </w:p>
        </w:tc>
        <w:tc>
          <w:tcPr>
            <w:tcW w:w="1488" w:type="dxa"/>
            <w:tcBorders>
              <w:top w:val="nil"/>
              <w:left w:val="nil"/>
              <w:bottom w:val="nil"/>
              <w:right w:val="nil"/>
            </w:tcBorders>
            <w:shd w:val="clear" w:color="auto" w:fill="auto"/>
            <w:noWrap/>
            <w:vAlign w:val="center"/>
            <w:hideMark/>
          </w:tcPr>
          <w:p w14:paraId="0645F949"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17,028</w:t>
            </w:r>
          </w:p>
        </w:tc>
      </w:tr>
      <w:tr w:rsidR="006C2C5E" w:rsidRPr="00732DCC" w14:paraId="1E91EDDB" w14:textId="77777777" w:rsidTr="002F7131">
        <w:trPr>
          <w:trHeight w:val="255"/>
        </w:trPr>
        <w:tc>
          <w:tcPr>
            <w:tcW w:w="1386" w:type="dxa"/>
            <w:tcBorders>
              <w:top w:val="nil"/>
              <w:left w:val="nil"/>
              <w:bottom w:val="nil"/>
              <w:right w:val="nil"/>
            </w:tcBorders>
            <w:shd w:val="clear" w:color="auto" w:fill="auto"/>
            <w:noWrap/>
            <w:vAlign w:val="center"/>
            <w:hideMark/>
          </w:tcPr>
          <w:p w14:paraId="5341EEFA"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p>
        </w:tc>
        <w:tc>
          <w:tcPr>
            <w:tcW w:w="5565" w:type="dxa"/>
            <w:tcBorders>
              <w:top w:val="nil"/>
              <w:left w:val="nil"/>
              <w:bottom w:val="nil"/>
              <w:right w:val="nil"/>
            </w:tcBorders>
            <w:shd w:val="clear" w:color="auto" w:fill="auto"/>
            <w:noWrap/>
            <w:vAlign w:val="bottom"/>
            <w:hideMark/>
          </w:tcPr>
          <w:p w14:paraId="2379DD71"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20"/>
              </w:rPr>
            </w:pPr>
            <w:r w:rsidRPr="00732DCC">
              <w:rPr>
                <w:rFonts w:ascii="STKaiti" w:eastAsia="STKaiti" w:hAnsi="STKaiti" w:hint="eastAsia"/>
                <w:sz w:val="20"/>
              </w:rPr>
              <w:t>- 大会和出版部</w:t>
            </w:r>
          </w:p>
        </w:tc>
        <w:tc>
          <w:tcPr>
            <w:tcW w:w="1555" w:type="dxa"/>
            <w:tcBorders>
              <w:top w:val="nil"/>
              <w:left w:val="single" w:sz="4" w:space="0" w:color="0070C0"/>
              <w:bottom w:val="nil"/>
              <w:right w:val="nil"/>
            </w:tcBorders>
            <w:shd w:val="clear" w:color="auto" w:fill="auto"/>
            <w:noWrap/>
            <w:vAlign w:val="center"/>
            <w:hideMark/>
          </w:tcPr>
          <w:p w14:paraId="1530EBC1"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42,741</w:t>
            </w:r>
          </w:p>
        </w:tc>
        <w:tc>
          <w:tcPr>
            <w:tcW w:w="1488" w:type="dxa"/>
            <w:tcBorders>
              <w:top w:val="nil"/>
              <w:left w:val="nil"/>
              <w:bottom w:val="nil"/>
              <w:right w:val="nil"/>
            </w:tcBorders>
            <w:shd w:val="clear" w:color="auto" w:fill="auto"/>
            <w:noWrap/>
            <w:vAlign w:val="center"/>
            <w:hideMark/>
          </w:tcPr>
          <w:p w14:paraId="10D10B54"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47,017</w:t>
            </w:r>
          </w:p>
        </w:tc>
        <w:tc>
          <w:tcPr>
            <w:tcW w:w="1258" w:type="dxa"/>
            <w:tcBorders>
              <w:top w:val="nil"/>
              <w:left w:val="nil"/>
              <w:bottom w:val="nil"/>
              <w:right w:val="nil"/>
            </w:tcBorders>
            <w:shd w:val="clear" w:color="auto" w:fill="auto"/>
            <w:noWrap/>
            <w:vAlign w:val="center"/>
            <w:hideMark/>
          </w:tcPr>
          <w:p w14:paraId="3EAC628B"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23,469</w:t>
            </w:r>
          </w:p>
        </w:tc>
        <w:tc>
          <w:tcPr>
            <w:tcW w:w="1258" w:type="dxa"/>
            <w:tcBorders>
              <w:top w:val="nil"/>
              <w:left w:val="nil"/>
              <w:bottom w:val="nil"/>
              <w:right w:val="nil"/>
            </w:tcBorders>
            <w:shd w:val="clear" w:color="auto" w:fill="auto"/>
            <w:noWrap/>
            <w:vAlign w:val="center"/>
            <w:hideMark/>
          </w:tcPr>
          <w:p w14:paraId="764D3DD8"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23,443</w:t>
            </w:r>
          </w:p>
        </w:tc>
        <w:tc>
          <w:tcPr>
            <w:tcW w:w="1488" w:type="dxa"/>
            <w:tcBorders>
              <w:top w:val="nil"/>
              <w:left w:val="nil"/>
              <w:bottom w:val="nil"/>
              <w:right w:val="nil"/>
            </w:tcBorders>
            <w:shd w:val="clear" w:color="auto" w:fill="auto"/>
            <w:noWrap/>
            <w:vAlign w:val="center"/>
            <w:hideMark/>
          </w:tcPr>
          <w:p w14:paraId="0C4A6F06"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46,912</w:t>
            </w:r>
          </w:p>
        </w:tc>
      </w:tr>
      <w:tr w:rsidR="006C2C5E" w:rsidRPr="00732DCC" w14:paraId="6BB4B6D8" w14:textId="77777777" w:rsidTr="002F7131">
        <w:trPr>
          <w:trHeight w:val="255"/>
        </w:trPr>
        <w:tc>
          <w:tcPr>
            <w:tcW w:w="1386" w:type="dxa"/>
            <w:tcBorders>
              <w:top w:val="nil"/>
              <w:left w:val="nil"/>
              <w:bottom w:val="nil"/>
              <w:right w:val="nil"/>
            </w:tcBorders>
            <w:shd w:val="clear" w:color="auto" w:fill="auto"/>
            <w:noWrap/>
            <w:vAlign w:val="center"/>
            <w:hideMark/>
          </w:tcPr>
          <w:p w14:paraId="5F5EB8A2"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p>
        </w:tc>
        <w:tc>
          <w:tcPr>
            <w:tcW w:w="5565" w:type="dxa"/>
            <w:tcBorders>
              <w:top w:val="nil"/>
              <w:left w:val="nil"/>
              <w:bottom w:val="nil"/>
              <w:right w:val="nil"/>
            </w:tcBorders>
            <w:shd w:val="clear" w:color="auto" w:fill="auto"/>
            <w:noWrap/>
            <w:vAlign w:val="bottom"/>
            <w:hideMark/>
          </w:tcPr>
          <w:p w14:paraId="4FDE0308"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20"/>
              </w:rPr>
            </w:pPr>
            <w:r w:rsidRPr="00732DCC">
              <w:rPr>
                <w:rFonts w:ascii="STKaiti" w:eastAsia="STKaiti" w:hAnsi="STKaiti" w:hint="eastAsia"/>
                <w:sz w:val="20"/>
              </w:rPr>
              <w:t>- 人力资源管理部</w:t>
            </w:r>
          </w:p>
        </w:tc>
        <w:tc>
          <w:tcPr>
            <w:tcW w:w="1555" w:type="dxa"/>
            <w:tcBorders>
              <w:top w:val="nil"/>
              <w:left w:val="single" w:sz="4" w:space="0" w:color="0070C0"/>
              <w:bottom w:val="nil"/>
              <w:right w:val="nil"/>
            </w:tcBorders>
            <w:shd w:val="clear" w:color="auto" w:fill="auto"/>
            <w:noWrap/>
            <w:vAlign w:val="center"/>
            <w:hideMark/>
          </w:tcPr>
          <w:p w14:paraId="13271E21"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11,823</w:t>
            </w:r>
          </w:p>
        </w:tc>
        <w:tc>
          <w:tcPr>
            <w:tcW w:w="1488" w:type="dxa"/>
            <w:tcBorders>
              <w:top w:val="nil"/>
              <w:left w:val="nil"/>
              <w:bottom w:val="nil"/>
              <w:right w:val="nil"/>
            </w:tcBorders>
            <w:shd w:val="clear" w:color="auto" w:fill="auto"/>
            <w:noWrap/>
            <w:vAlign w:val="center"/>
            <w:hideMark/>
          </w:tcPr>
          <w:p w14:paraId="5EBB91C2"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11,070</w:t>
            </w:r>
          </w:p>
        </w:tc>
        <w:tc>
          <w:tcPr>
            <w:tcW w:w="1258" w:type="dxa"/>
            <w:tcBorders>
              <w:top w:val="nil"/>
              <w:left w:val="nil"/>
              <w:bottom w:val="nil"/>
              <w:right w:val="nil"/>
            </w:tcBorders>
            <w:shd w:val="clear" w:color="auto" w:fill="auto"/>
            <w:noWrap/>
            <w:vAlign w:val="center"/>
            <w:hideMark/>
          </w:tcPr>
          <w:p w14:paraId="5CD39B0A"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5,801</w:t>
            </w:r>
          </w:p>
        </w:tc>
        <w:tc>
          <w:tcPr>
            <w:tcW w:w="1258" w:type="dxa"/>
            <w:tcBorders>
              <w:top w:val="nil"/>
              <w:left w:val="nil"/>
              <w:bottom w:val="nil"/>
              <w:right w:val="nil"/>
            </w:tcBorders>
            <w:shd w:val="clear" w:color="auto" w:fill="auto"/>
            <w:noWrap/>
            <w:vAlign w:val="center"/>
            <w:hideMark/>
          </w:tcPr>
          <w:p w14:paraId="3CEFA720"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5,801</w:t>
            </w:r>
          </w:p>
        </w:tc>
        <w:tc>
          <w:tcPr>
            <w:tcW w:w="1488" w:type="dxa"/>
            <w:tcBorders>
              <w:top w:val="nil"/>
              <w:left w:val="nil"/>
              <w:bottom w:val="nil"/>
              <w:right w:val="nil"/>
            </w:tcBorders>
            <w:shd w:val="clear" w:color="auto" w:fill="auto"/>
            <w:noWrap/>
            <w:vAlign w:val="center"/>
            <w:hideMark/>
          </w:tcPr>
          <w:p w14:paraId="50EB3DF5"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11,602</w:t>
            </w:r>
          </w:p>
        </w:tc>
      </w:tr>
      <w:tr w:rsidR="006C2C5E" w:rsidRPr="00732DCC" w14:paraId="25D8A512" w14:textId="77777777" w:rsidTr="002F7131">
        <w:trPr>
          <w:trHeight w:val="255"/>
        </w:trPr>
        <w:tc>
          <w:tcPr>
            <w:tcW w:w="1386" w:type="dxa"/>
            <w:tcBorders>
              <w:top w:val="nil"/>
              <w:left w:val="nil"/>
              <w:bottom w:val="nil"/>
              <w:right w:val="nil"/>
            </w:tcBorders>
            <w:shd w:val="clear" w:color="auto" w:fill="auto"/>
            <w:noWrap/>
            <w:vAlign w:val="center"/>
            <w:hideMark/>
          </w:tcPr>
          <w:p w14:paraId="0ED76A51"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p>
        </w:tc>
        <w:tc>
          <w:tcPr>
            <w:tcW w:w="5565" w:type="dxa"/>
            <w:tcBorders>
              <w:top w:val="nil"/>
              <w:left w:val="nil"/>
              <w:bottom w:val="nil"/>
              <w:right w:val="nil"/>
            </w:tcBorders>
            <w:shd w:val="clear" w:color="auto" w:fill="auto"/>
            <w:noWrap/>
            <w:vAlign w:val="bottom"/>
            <w:hideMark/>
          </w:tcPr>
          <w:p w14:paraId="791663FD"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20"/>
              </w:rPr>
            </w:pPr>
            <w:r w:rsidRPr="00732DCC">
              <w:rPr>
                <w:rFonts w:ascii="STKaiti" w:eastAsia="STKaiti" w:hAnsi="STKaiti" w:hint="eastAsia"/>
                <w:sz w:val="20"/>
              </w:rPr>
              <w:t>- 财务资源管理部</w:t>
            </w:r>
          </w:p>
        </w:tc>
        <w:tc>
          <w:tcPr>
            <w:tcW w:w="1555" w:type="dxa"/>
            <w:tcBorders>
              <w:top w:val="nil"/>
              <w:left w:val="single" w:sz="4" w:space="0" w:color="0070C0"/>
              <w:bottom w:val="nil"/>
              <w:right w:val="nil"/>
            </w:tcBorders>
            <w:shd w:val="clear" w:color="auto" w:fill="auto"/>
            <w:noWrap/>
            <w:vAlign w:val="center"/>
            <w:hideMark/>
          </w:tcPr>
          <w:p w14:paraId="6B06D473"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16,651</w:t>
            </w:r>
          </w:p>
        </w:tc>
        <w:tc>
          <w:tcPr>
            <w:tcW w:w="1488" w:type="dxa"/>
            <w:tcBorders>
              <w:top w:val="nil"/>
              <w:left w:val="nil"/>
              <w:bottom w:val="nil"/>
              <w:right w:val="nil"/>
            </w:tcBorders>
            <w:shd w:val="clear" w:color="auto" w:fill="auto"/>
            <w:noWrap/>
            <w:vAlign w:val="center"/>
            <w:hideMark/>
          </w:tcPr>
          <w:p w14:paraId="00111D38"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18,112</w:t>
            </w:r>
          </w:p>
        </w:tc>
        <w:tc>
          <w:tcPr>
            <w:tcW w:w="1258" w:type="dxa"/>
            <w:tcBorders>
              <w:top w:val="nil"/>
              <w:left w:val="nil"/>
              <w:bottom w:val="nil"/>
              <w:right w:val="nil"/>
            </w:tcBorders>
            <w:shd w:val="clear" w:color="auto" w:fill="auto"/>
            <w:noWrap/>
            <w:vAlign w:val="center"/>
            <w:hideMark/>
          </w:tcPr>
          <w:p w14:paraId="2B9A8DF0"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8,879</w:t>
            </w:r>
          </w:p>
        </w:tc>
        <w:tc>
          <w:tcPr>
            <w:tcW w:w="1258" w:type="dxa"/>
            <w:tcBorders>
              <w:top w:val="nil"/>
              <w:left w:val="nil"/>
              <w:bottom w:val="nil"/>
              <w:right w:val="nil"/>
            </w:tcBorders>
            <w:shd w:val="clear" w:color="auto" w:fill="auto"/>
            <w:noWrap/>
            <w:vAlign w:val="center"/>
            <w:hideMark/>
          </w:tcPr>
          <w:p w14:paraId="63440A8D"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8,879</w:t>
            </w:r>
          </w:p>
        </w:tc>
        <w:tc>
          <w:tcPr>
            <w:tcW w:w="1488" w:type="dxa"/>
            <w:tcBorders>
              <w:top w:val="nil"/>
              <w:left w:val="nil"/>
              <w:bottom w:val="nil"/>
              <w:right w:val="nil"/>
            </w:tcBorders>
            <w:shd w:val="clear" w:color="auto" w:fill="auto"/>
            <w:noWrap/>
            <w:vAlign w:val="center"/>
            <w:hideMark/>
          </w:tcPr>
          <w:p w14:paraId="4455ACF2"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17,758</w:t>
            </w:r>
          </w:p>
        </w:tc>
      </w:tr>
      <w:tr w:rsidR="006C2C5E" w:rsidRPr="00732DCC" w14:paraId="21C5208F" w14:textId="77777777" w:rsidTr="002F7131">
        <w:trPr>
          <w:trHeight w:val="255"/>
        </w:trPr>
        <w:tc>
          <w:tcPr>
            <w:tcW w:w="1386" w:type="dxa"/>
            <w:tcBorders>
              <w:top w:val="nil"/>
              <w:left w:val="nil"/>
              <w:bottom w:val="nil"/>
              <w:right w:val="nil"/>
            </w:tcBorders>
            <w:shd w:val="clear" w:color="auto" w:fill="auto"/>
            <w:noWrap/>
            <w:vAlign w:val="center"/>
            <w:hideMark/>
          </w:tcPr>
          <w:p w14:paraId="03415F43"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p>
        </w:tc>
        <w:tc>
          <w:tcPr>
            <w:tcW w:w="5565" w:type="dxa"/>
            <w:tcBorders>
              <w:top w:val="nil"/>
              <w:left w:val="nil"/>
              <w:bottom w:val="nil"/>
              <w:right w:val="nil"/>
            </w:tcBorders>
            <w:shd w:val="clear" w:color="auto" w:fill="auto"/>
            <w:noWrap/>
            <w:vAlign w:val="bottom"/>
            <w:hideMark/>
          </w:tcPr>
          <w:p w14:paraId="7DF037E5"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20"/>
              </w:rPr>
            </w:pPr>
            <w:r w:rsidRPr="00732DCC">
              <w:rPr>
                <w:rFonts w:ascii="STKaiti" w:eastAsia="STKaiti" w:hAnsi="STKaiti" w:hint="eastAsia"/>
                <w:sz w:val="20"/>
              </w:rPr>
              <w:t>- 信息服务部</w:t>
            </w:r>
          </w:p>
        </w:tc>
        <w:tc>
          <w:tcPr>
            <w:tcW w:w="1555" w:type="dxa"/>
            <w:tcBorders>
              <w:top w:val="nil"/>
              <w:left w:val="single" w:sz="4" w:space="0" w:color="0070C0"/>
              <w:bottom w:val="nil"/>
              <w:right w:val="nil"/>
            </w:tcBorders>
            <w:shd w:val="clear" w:color="auto" w:fill="auto"/>
            <w:noWrap/>
            <w:vAlign w:val="center"/>
            <w:hideMark/>
          </w:tcPr>
          <w:p w14:paraId="039D52FE"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37,232</w:t>
            </w:r>
          </w:p>
        </w:tc>
        <w:tc>
          <w:tcPr>
            <w:tcW w:w="1488" w:type="dxa"/>
            <w:tcBorders>
              <w:top w:val="nil"/>
              <w:left w:val="nil"/>
              <w:bottom w:val="nil"/>
              <w:right w:val="nil"/>
            </w:tcBorders>
            <w:shd w:val="clear" w:color="auto" w:fill="auto"/>
            <w:noWrap/>
            <w:vAlign w:val="center"/>
            <w:hideMark/>
          </w:tcPr>
          <w:p w14:paraId="45859BFC"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39,628</w:t>
            </w:r>
          </w:p>
        </w:tc>
        <w:tc>
          <w:tcPr>
            <w:tcW w:w="1258" w:type="dxa"/>
            <w:tcBorders>
              <w:top w:val="nil"/>
              <w:left w:val="nil"/>
              <w:bottom w:val="nil"/>
              <w:right w:val="nil"/>
            </w:tcBorders>
            <w:shd w:val="clear" w:color="auto" w:fill="auto"/>
            <w:noWrap/>
            <w:vAlign w:val="center"/>
            <w:hideMark/>
          </w:tcPr>
          <w:p w14:paraId="31BDF7DA"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19,979</w:t>
            </w:r>
          </w:p>
        </w:tc>
        <w:tc>
          <w:tcPr>
            <w:tcW w:w="1258" w:type="dxa"/>
            <w:tcBorders>
              <w:top w:val="nil"/>
              <w:left w:val="nil"/>
              <w:bottom w:val="nil"/>
              <w:right w:val="nil"/>
            </w:tcBorders>
            <w:shd w:val="clear" w:color="auto" w:fill="auto"/>
            <w:noWrap/>
            <w:vAlign w:val="center"/>
            <w:hideMark/>
          </w:tcPr>
          <w:p w14:paraId="5FDA2FD9"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19,950</w:t>
            </w:r>
          </w:p>
        </w:tc>
        <w:tc>
          <w:tcPr>
            <w:tcW w:w="1488" w:type="dxa"/>
            <w:tcBorders>
              <w:top w:val="nil"/>
              <w:left w:val="nil"/>
              <w:bottom w:val="nil"/>
              <w:right w:val="nil"/>
            </w:tcBorders>
            <w:shd w:val="clear" w:color="auto" w:fill="auto"/>
            <w:noWrap/>
            <w:vAlign w:val="center"/>
            <w:hideMark/>
          </w:tcPr>
          <w:p w14:paraId="506A86E0"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39,929</w:t>
            </w:r>
          </w:p>
        </w:tc>
      </w:tr>
      <w:tr w:rsidR="006C2C5E" w:rsidRPr="00732DCC" w14:paraId="22C382B9" w14:textId="77777777" w:rsidTr="002F7131">
        <w:trPr>
          <w:trHeight w:val="255"/>
        </w:trPr>
        <w:tc>
          <w:tcPr>
            <w:tcW w:w="1386" w:type="dxa"/>
            <w:tcBorders>
              <w:top w:val="nil"/>
              <w:left w:val="nil"/>
              <w:bottom w:val="single" w:sz="4" w:space="0" w:color="auto"/>
              <w:right w:val="nil"/>
            </w:tcBorders>
            <w:shd w:val="clear" w:color="auto" w:fill="auto"/>
            <w:noWrap/>
            <w:vAlign w:val="center"/>
            <w:hideMark/>
          </w:tcPr>
          <w:p w14:paraId="227ED7FB"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732DCC">
              <w:rPr>
                <w:rFonts w:eastAsia="Times New Roman" w:cs="Calibri"/>
                <w:sz w:val="20"/>
              </w:rPr>
              <w:t> </w:t>
            </w:r>
          </w:p>
        </w:tc>
        <w:tc>
          <w:tcPr>
            <w:tcW w:w="5565" w:type="dxa"/>
            <w:tcBorders>
              <w:top w:val="nil"/>
              <w:left w:val="nil"/>
              <w:bottom w:val="single" w:sz="4" w:space="0" w:color="auto"/>
              <w:right w:val="nil"/>
            </w:tcBorders>
            <w:shd w:val="clear" w:color="auto" w:fill="auto"/>
            <w:noWrap/>
            <w:vAlign w:val="center"/>
            <w:hideMark/>
          </w:tcPr>
          <w:p w14:paraId="77307D57"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732DCC">
              <w:rPr>
                <w:rFonts w:eastAsia="Times New Roman" w:cs="Calibri"/>
                <w:sz w:val="20"/>
              </w:rPr>
              <w:t> </w:t>
            </w:r>
          </w:p>
        </w:tc>
        <w:tc>
          <w:tcPr>
            <w:tcW w:w="1555" w:type="dxa"/>
            <w:tcBorders>
              <w:top w:val="nil"/>
              <w:left w:val="single" w:sz="4" w:space="0" w:color="0070C0"/>
              <w:bottom w:val="single" w:sz="4" w:space="0" w:color="auto"/>
              <w:right w:val="nil"/>
            </w:tcBorders>
            <w:shd w:val="clear" w:color="auto" w:fill="auto"/>
            <w:noWrap/>
            <w:vAlign w:val="center"/>
            <w:hideMark/>
          </w:tcPr>
          <w:p w14:paraId="1A45658C"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 </w:t>
            </w:r>
          </w:p>
        </w:tc>
        <w:tc>
          <w:tcPr>
            <w:tcW w:w="1488" w:type="dxa"/>
            <w:tcBorders>
              <w:top w:val="nil"/>
              <w:left w:val="nil"/>
              <w:bottom w:val="single" w:sz="4" w:space="0" w:color="auto"/>
              <w:right w:val="nil"/>
            </w:tcBorders>
            <w:shd w:val="clear" w:color="auto" w:fill="auto"/>
            <w:noWrap/>
            <w:vAlign w:val="center"/>
            <w:hideMark/>
          </w:tcPr>
          <w:p w14:paraId="735577E9"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 </w:t>
            </w:r>
          </w:p>
        </w:tc>
        <w:tc>
          <w:tcPr>
            <w:tcW w:w="1258" w:type="dxa"/>
            <w:tcBorders>
              <w:top w:val="nil"/>
              <w:left w:val="nil"/>
              <w:bottom w:val="single" w:sz="4" w:space="0" w:color="auto"/>
              <w:right w:val="nil"/>
            </w:tcBorders>
            <w:shd w:val="clear" w:color="auto" w:fill="auto"/>
            <w:noWrap/>
            <w:vAlign w:val="center"/>
            <w:hideMark/>
          </w:tcPr>
          <w:p w14:paraId="30E60D7F"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 </w:t>
            </w:r>
          </w:p>
        </w:tc>
        <w:tc>
          <w:tcPr>
            <w:tcW w:w="1258" w:type="dxa"/>
            <w:tcBorders>
              <w:top w:val="nil"/>
              <w:left w:val="nil"/>
              <w:bottom w:val="single" w:sz="4" w:space="0" w:color="auto"/>
              <w:right w:val="nil"/>
            </w:tcBorders>
            <w:shd w:val="clear" w:color="auto" w:fill="auto"/>
            <w:noWrap/>
            <w:vAlign w:val="center"/>
            <w:hideMark/>
          </w:tcPr>
          <w:p w14:paraId="04A091B0"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 </w:t>
            </w:r>
          </w:p>
        </w:tc>
        <w:tc>
          <w:tcPr>
            <w:tcW w:w="1488" w:type="dxa"/>
            <w:tcBorders>
              <w:top w:val="nil"/>
              <w:left w:val="nil"/>
              <w:bottom w:val="single" w:sz="4" w:space="0" w:color="auto"/>
              <w:right w:val="nil"/>
            </w:tcBorders>
            <w:shd w:val="clear" w:color="auto" w:fill="auto"/>
            <w:noWrap/>
            <w:vAlign w:val="center"/>
            <w:hideMark/>
          </w:tcPr>
          <w:p w14:paraId="1F01CA88"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 </w:t>
            </w:r>
          </w:p>
        </w:tc>
      </w:tr>
      <w:tr w:rsidR="006C2C5E" w:rsidRPr="00732DCC" w14:paraId="7331EC7B" w14:textId="77777777" w:rsidTr="002F7131">
        <w:trPr>
          <w:trHeight w:val="255"/>
        </w:trPr>
        <w:tc>
          <w:tcPr>
            <w:tcW w:w="1386" w:type="dxa"/>
            <w:tcBorders>
              <w:top w:val="nil"/>
              <w:left w:val="nil"/>
              <w:bottom w:val="nil"/>
              <w:right w:val="nil"/>
            </w:tcBorders>
            <w:shd w:val="clear" w:color="auto" w:fill="auto"/>
            <w:noWrap/>
            <w:vAlign w:val="center"/>
            <w:hideMark/>
          </w:tcPr>
          <w:p w14:paraId="417AB957"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imSun" w:hAnsi="SimSun"/>
                <w:b/>
                <w:bCs/>
                <w:sz w:val="20"/>
              </w:rPr>
            </w:pPr>
            <w:r w:rsidRPr="00732DCC">
              <w:rPr>
                <w:rFonts w:ascii="SimSun" w:hAnsi="SimSun" w:hint="eastAsia"/>
                <w:b/>
                <w:bCs/>
                <w:sz w:val="20"/>
              </w:rPr>
              <w:t>合计</w:t>
            </w:r>
          </w:p>
        </w:tc>
        <w:tc>
          <w:tcPr>
            <w:tcW w:w="5565" w:type="dxa"/>
            <w:tcBorders>
              <w:top w:val="nil"/>
              <w:left w:val="nil"/>
              <w:bottom w:val="nil"/>
              <w:right w:val="nil"/>
            </w:tcBorders>
            <w:shd w:val="clear" w:color="auto" w:fill="auto"/>
            <w:noWrap/>
            <w:vAlign w:val="center"/>
            <w:hideMark/>
          </w:tcPr>
          <w:p w14:paraId="1C25190C"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imSun" w:hAnsi="SimSun"/>
                <w:b/>
                <w:bCs/>
                <w:sz w:val="20"/>
              </w:rPr>
            </w:pPr>
          </w:p>
        </w:tc>
        <w:tc>
          <w:tcPr>
            <w:tcW w:w="1555" w:type="dxa"/>
            <w:tcBorders>
              <w:top w:val="nil"/>
              <w:left w:val="single" w:sz="4" w:space="0" w:color="0070C0"/>
              <w:bottom w:val="nil"/>
              <w:right w:val="nil"/>
            </w:tcBorders>
            <w:shd w:val="clear" w:color="auto" w:fill="auto"/>
            <w:noWrap/>
            <w:vAlign w:val="center"/>
            <w:hideMark/>
          </w:tcPr>
          <w:p w14:paraId="563E9E0D"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732DCC">
              <w:rPr>
                <w:rFonts w:eastAsia="Times New Roman" w:cs="Calibri"/>
                <w:b/>
                <w:bCs/>
                <w:sz w:val="20"/>
              </w:rPr>
              <w:t>166,050</w:t>
            </w:r>
          </w:p>
        </w:tc>
        <w:tc>
          <w:tcPr>
            <w:tcW w:w="1488" w:type="dxa"/>
            <w:tcBorders>
              <w:top w:val="nil"/>
              <w:left w:val="nil"/>
              <w:bottom w:val="nil"/>
              <w:right w:val="nil"/>
            </w:tcBorders>
            <w:shd w:val="clear" w:color="auto" w:fill="auto"/>
            <w:noWrap/>
            <w:vAlign w:val="center"/>
            <w:hideMark/>
          </w:tcPr>
          <w:p w14:paraId="3B423782"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732DCC">
              <w:rPr>
                <w:rFonts w:eastAsia="Times New Roman" w:cs="Calibri"/>
                <w:b/>
                <w:bCs/>
                <w:sz w:val="20"/>
              </w:rPr>
              <w:t>183,074</w:t>
            </w:r>
          </w:p>
        </w:tc>
        <w:tc>
          <w:tcPr>
            <w:tcW w:w="1258" w:type="dxa"/>
            <w:tcBorders>
              <w:top w:val="nil"/>
              <w:left w:val="nil"/>
              <w:bottom w:val="nil"/>
              <w:right w:val="nil"/>
            </w:tcBorders>
            <w:shd w:val="clear" w:color="auto" w:fill="auto"/>
            <w:noWrap/>
            <w:vAlign w:val="center"/>
            <w:hideMark/>
          </w:tcPr>
          <w:p w14:paraId="76584772"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732DCC">
              <w:rPr>
                <w:rFonts w:eastAsia="Times New Roman" w:cs="Calibri"/>
                <w:b/>
                <w:bCs/>
                <w:sz w:val="20"/>
              </w:rPr>
              <w:t>91,396</w:t>
            </w:r>
          </w:p>
        </w:tc>
        <w:tc>
          <w:tcPr>
            <w:tcW w:w="1258" w:type="dxa"/>
            <w:tcBorders>
              <w:top w:val="nil"/>
              <w:left w:val="nil"/>
              <w:bottom w:val="nil"/>
              <w:right w:val="nil"/>
            </w:tcBorders>
            <w:shd w:val="clear" w:color="auto" w:fill="auto"/>
            <w:noWrap/>
            <w:vAlign w:val="center"/>
            <w:hideMark/>
          </w:tcPr>
          <w:p w14:paraId="33B9DCB9"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732DCC">
              <w:rPr>
                <w:rFonts w:eastAsia="Times New Roman" w:cs="Calibri"/>
                <w:b/>
                <w:bCs/>
                <w:sz w:val="20"/>
              </w:rPr>
              <w:t>89,887</w:t>
            </w:r>
          </w:p>
        </w:tc>
        <w:tc>
          <w:tcPr>
            <w:tcW w:w="1488" w:type="dxa"/>
            <w:tcBorders>
              <w:top w:val="nil"/>
              <w:left w:val="nil"/>
              <w:bottom w:val="nil"/>
              <w:right w:val="nil"/>
            </w:tcBorders>
            <w:shd w:val="clear" w:color="auto" w:fill="auto"/>
            <w:noWrap/>
            <w:vAlign w:val="center"/>
            <w:hideMark/>
          </w:tcPr>
          <w:p w14:paraId="7C5565DE"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732DCC">
              <w:rPr>
                <w:rFonts w:eastAsia="Times New Roman" w:cs="Calibri"/>
                <w:b/>
                <w:bCs/>
                <w:sz w:val="20"/>
              </w:rPr>
              <w:t>181,283</w:t>
            </w:r>
          </w:p>
        </w:tc>
      </w:tr>
      <w:tr w:rsidR="006C2C5E" w:rsidRPr="00732DCC" w14:paraId="070C6620" w14:textId="77777777" w:rsidTr="002F7131">
        <w:trPr>
          <w:trHeight w:val="255"/>
        </w:trPr>
        <w:tc>
          <w:tcPr>
            <w:tcW w:w="1386" w:type="dxa"/>
            <w:tcBorders>
              <w:top w:val="nil"/>
              <w:left w:val="nil"/>
              <w:bottom w:val="nil"/>
              <w:right w:val="nil"/>
            </w:tcBorders>
            <w:shd w:val="clear" w:color="auto" w:fill="auto"/>
            <w:noWrap/>
            <w:vAlign w:val="center"/>
            <w:hideMark/>
          </w:tcPr>
          <w:p w14:paraId="5D4A2E2E"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p>
        </w:tc>
        <w:tc>
          <w:tcPr>
            <w:tcW w:w="5565" w:type="dxa"/>
            <w:tcBorders>
              <w:top w:val="nil"/>
              <w:left w:val="nil"/>
              <w:bottom w:val="nil"/>
              <w:right w:val="nil"/>
            </w:tcBorders>
            <w:shd w:val="clear" w:color="auto" w:fill="auto"/>
            <w:noWrap/>
            <w:vAlign w:val="center"/>
            <w:hideMark/>
          </w:tcPr>
          <w:p w14:paraId="01DA9287"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55" w:type="dxa"/>
            <w:tcBorders>
              <w:top w:val="nil"/>
              <w:left w:val="nil"/>
              <w:bottom w:val="nil"/>
              <w:right w:val="nil"/>
            </w:tcBorders>
            <w:shd w:val="clear" w:color="auto" w:fill="auto"/>
            <w:noWrap/>
            <w:vAlign w:val="center"/>
            <w:hideMark/>
          </w:tcPr>
          <w:p w14:paraId="3933E32A"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88" w:type="dxa"/>
            <w:tcBorders>
              <w:top w:val="nil"/>
              <w:left w:val="nil"/>
              <w:bottom w:val="nil"/>
              <w:right w:val="nil"/>
            </w:tcBorders>
            <w:shd w:val="clear" w:color="auto" w:fill="auto"/>
            <w:noWrap/>
            <w:vAlign w:val="center"/>
            <w:hideMark/>
          </w:tcPr>
          <w:p w14:paraId="169E9CDA"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58" w:type="dxa"/>
            <w:tcBorders>
              <w:top w:val="nil"/>
              <w:left w:val="nil"/>
              <w:bottom w:val="nil"/>
              <w:right w:val="nil"/>
            </w:tcBorders>
            <w:shd w:val="clear" w:color="auto" w:fill="auto"/>
            <w:noWrap/>
            <w:vAlign w:val="center"/>
            <w:hideMark/>
          </w:tcPr>
          <w:p w14:paraId="5DF41276"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58" w:type="dxa"/>
            <w:tcBorders>
              <w:top w:val="nil"/>
              <w:left w:val="nil"/>
              <w:bottom w:val="nil"/>
              <w:right w:val="nil"/>
            </w:tcBorders>
            <w:shd w:val="clear" w:color="auto" w:fill="auto"/>
            <w:noWrap/>
            <w:vAlign w:val="center"/>
            <w:hideMark/>
          </w:tcPr>
          <w:p w14:paraId="77752CB4"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88" w:type="dxa"/>
            <w:tcBorders>
              <w:top w:val="nil"/>
              <w:left w:val="nil"/>
              <w:bottom w:val="nil"/>
              <w:right w:val="nil"/>
            </w:tcBorders>
            <w:shd w:val="clear" w:color="auto" w:fill="auto"/>
            <w:noWrap/>
            <w:vAlign w:val="center"/>
            <w:hideMark/>
          </w:tcPr>
          <w:p w14:paraId="6540EE8C"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6C2C5E" w:rsidRPr="00732DCC" w14:paraId="026CF333" w14:textId="77777777" w:rsidTr="002F7131">
        <w:trPr>
          <w:trHeight w:val="255"/>
        </w:trPr>
        <w:tc>
          <w:tcPr>
            <w:tcW w:w="6951" w:type="dxa"/>
            <w:gridSpan w:val="2"/>
            <w:tcBorders>
              <w:top w:val="nil"/>
              <w:left w:val="nil"/>
              <w:bottom w:val="nil"/>
              <w:right w:val="nil"/>
            </w:tcBorders>
            <w:shd w:val="clear" w:color="000000" w:fill="FFFFFF"/>
            <w:noWrap/>
            <w:vAlign w:val="center"/>
            <w:hideMark/>
          </w:tcPr>
          <w:p w14:paraId="01B6975F"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lang w:eastAsia="zh-CN"/>
              </w:rPr>
            </w:pPr>
            <w:r w:rsidRPr="00732DCC">
              <w:rPr>
                <w:rFonts w:eastAsia="Times New Roman" w:cs="Calibri"/>
                <w:sz w:val="20"/>
                <w:lang w:eastAsia="zh-CN"/>
              </w:rPr>
              <w:t xml:space="preserve">*) </w:t>
            </w:r>
            <w:r w:rsidRPr="00732DCC">
              <w:rPr>
                <w:rFonts w:ascii="SimSun" w:hAnsi="SimSun" w:cs="Calibri" w:hint="eastAsia"/>
                <w:sz w:val="20"/>
                <w:lang w:eastAsia="zh-CN"/>
              </w:rPr>
              <w:t>包括设施管理处、法律事务处和内部审计员</w:t>
            </w:r>
          </w:p>
        </w:tc>
        <w:tc>
          <w:tcPr>
            <w:tcW w:w="1555" w:type="dxa"/>
            <w:tcBorders>
              <w:top w:val="nil"/>
              <w:left w:val="nil"/>
              <w:bottom w:val="nil"/>
              <w:right w:val="nil"/>
            </w:tcBorders>
            <w:shd w:val="clear" w:color="auto" w:fill="auto"/>
            <w:noWrap/>
            <w:vAlign w:val="center"/>
            <w:hideMark/>
          </w:tcPr>
          <w:p w14:paraId="54D9BE66"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88" w:type="dxa"/>
            <w:tcBorders>
              <w:top w:val="nil"/>
              <w:left w:val="nil"/>
              <w:bottom w:val="nil"/>
              <w:right w:val="nil"/>
            </w:tcBorders>
            <w:shd w:val="clear" w:color="auto" w:fill="auto"/>
            <w:noWrap/>
            <w:vAlign w:val="center"/>
            <w:hideMark/>
          </w:tcPr>
          <w:p w14:paraId="406A3350"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58" w:type="dxa"/>
            <w:tcBorders>
              <w:top w:val="nil"/>
              <w:left w:val="nil"/>
              <w:bottom w:val="nil"/>
              <w:right w:val="nil"/>
            </w:tcBorders>
            <w:shd w:val="clear" w:color="auto" w:fill="auto"/>
            <w:noWrap/>
            <w:vAlign w:val="center"/>
            <w:hideMark/>
          </w:tcPr>
          <w:p w14:paraId="453F4FE4"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58" w:type="dxa"/>
            <w:tcBorders>
              <w:top w:val="nil"/>
              <w:left w:val="nil"/>
              <w:bottom w:val="nil"/>
              <w:right w:val="nil"/>
            </w:tcBorders>
            <w:shd w:val="clear" w:color="auto" w:fill="auto"/>
            <w:noWrap/>
            <w:vAlign w:val="center"/>
            <w:hideMark/>
          </w:tcPr>
          <w:p w14:paraId="28E8B0C7"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88" w:type="dxa"/>
            <w:tcBorders>
              <w:top w:val="nil"/>
              <w:left w:val="nil"/>
              <w:bottom w:val="nil"/>
              <w:right w:val="nil"/>
            </w:tcBorders>
            <w:shd w:val="clear" w:color="auto" w:fill="auto"/>
            <w:noWrap/>
            <w:vAlign w:val="center"/>
            <w:hideMark/>
          </w:tcPr>
          <w:p w14:paraId="01D278B2"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bl>
    <w:p w14:paraId="1B4C996B" w14:textId="2166552A" w:rsidR="006C2C5E" w:rsidRDefault="006C2C5E" w:rsidP="0090191E">
      <w:pPr>
        <w:pStyle w:val="Normalaftertitle"/>
        <w:rPr>
          <w:lang w:eastAsia="zh-CN"/>
        </w:rPr>
      </w:pPr>
      <w:r>
        <w:rPr>
          <w:lang w:eastAsia="zh-CN"/>
        </w:rPr>
        <w:br w:type="page"/>
      </w:r>
    </w:p>
    <w:tbl>
      <w:tblPr>
        <w:tblW w:w="5000" w:type="pct"/>
        <w:jc w:val="center"/>
        <w:tblLayout w:type="fixed"/>
        <w:tblLook w:val="04A0" w:firstRow="1" w:lastRow="0" w:firstColumn="1" w:lastColumn="0" w:noHBand="0" w:noVBand="1"/>
      </w:tblPr>
      <w:tblGrid>
        <w:gridCol w:w="1647"/>
        <w:gridCol w:w="1072"/>
        <w:gridCol w:w="757"/>
        <w:gridCol w:w="301"/>
        <w:gridCol w:w="1058"/>
        <w:gridCol w:w="753"/>
        <w:gridCol w:w="1059"/>
        <w:gridCol w:w="1058"/>
        <w:gridCol w:w="907"/>
        <w:gridCol w:w="907"/>
        <w:gridCol w:w="1401"/>
        <w:gridCol w:w="1402"/>
        <w:gridCol w:w="821"/>
        <w:gridCol w:w="1139"/>
      </w:tblGrid>
      <w:tr w:rsidR="006C2C5E" w:rsidRPr="00C7456C" w14:paraId="78F4CA27" w14:textId="77777777" w:rsidTr="002F7131">
        <w:trPr>
          <w:trHeight w:val="20"/>
          <w:jc w:val="center"/>
        </w:trPr>
        <w:tc>
          <w:tcPr>
            <w:tcW w:w="1545" w:type="dxa"/>
            <w:tcBorders>
              <w:top w:val="nil"/>
              <w:left w:val="nil"/>
              <w:bottom w:val="nil"/>
              <w:right w:val="nil"/>
            </w:tcBorders>
            <w:shd w:val="clear" w:color="auto" w:fill="auto"/>
            <w:noWrap/>
            <w:vAlign w:val="center"/>
            <w:hideMark/>
          </w:tcPr>
          <w:p w14:paraId="748998AC"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C7456C">
              <w:rPr>
                <w:rFonts w:ascii="SimSun" w:hAnsi="SimSun" w:cs="Calibri" w:hint="eastAsia"/>
                <w:b/>
                <w:bCs/>
                <w:color w:val="002060"/>
                <w:sz w:val="40"/>
                <w:szCs w:val="40"/>
              </w:rPr>
              <w:lastRenderedPageBreak/>
              <w:t>表</w:t>
            </w:r>
            <w:r w:rsidRPr="00C7456C">
              <w:rPr>
                <w:rFonts w:eastAsia="Times New Roman" w:cs="Calibri"/>
                <w:b/>
                <w:bCs/>
                <w:color w:val="002060"/>
                <w:sz w:val="40"/>
                <w:szCs w:val="40"/>
              </w:rPr>
              <w:t>4</w:t>
            </w:r>
          </w:p>
        </w:tc>
        <w:tc>
          <w:tcPr>
            <w:tcW w:w="1716" w:type="dxa"/>
            <w:gridSpan w:val="2"/>
            <w:tcBorders>
              <w:top w:val="nil"/>
              <w:left w:val="nil"/>
              <w:bottom w:val="nil"/>
              <w:right w:val="nil"/>
            </w:tcBorders>
            <w:shd w:val="clear" w:color="auto" w:fill="auto"/>
            <w:noWrap/>
            <w:vAlign w:val="center"/>
            <w:hideMark/>
          </w:tcPr>
          <w:p w14:paraId="5DB30295"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282" w:type="dxa"/>
            <w:tcBorders>
              <w:top w:val="nil"/>
              <w:left w:val="nil"/>
              <w:bottom w:val="nil"/>
              <w:right w:val="nil"/>
            </w:tcBorders>
            <w:shd w:val="clear" w:color="auto" w:fill="auto"/>
            <w:noWrap/>
            <w:vAlign w:val="center"/>
            <w:hideMark/>
          </w:tcPr>
          <w:p w14:paraId="3776F0F6"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93" w:type="dxa"/>
            <w:tcBorders>
              <w:top w:val="nil"/>
              <w:left w:val="nil"/>
              <w:bottom w:val="nil"/>
              <w:right w:val="nil"/>
            </w:tcBorders>
            <w:shd w:val="clear" w:color="auto" w:fill="auto"/>
            <w:noWrap/>
            <w:vAlign w:val="center"/>
            <w:hideMark/>
          </w:tcPr>
          <w:p w14:paraId="6906D73F"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707" w:type="dxa"/>
            <w:tcBorders>
              <w:top w:val="nil"/>
              <w:left w:val="nil"/>
              <w:bottom w:val="nil"/>
              <w:right w:val="nil"/>
            </w:tcBorders>
            <w:shd w:val="clear" w:color="auto" w:fill="auto"/>
            <w:noWrap/>
            <w:vAlign w:val="center"/>
            <w:hideMark/>
          </w:tcPr>
          <w:p w14:paraId="467C6979"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94" w:type="dxa"/>
            <w:tcBorders>
              <w:top w:val="nil"/>
              <w:left w:val="nil"/>
              <w:bottom w:val="nil"/>
              <w:right w:val="nil"/>
            </w:tcBorders>
            <w:shd w:val="clear" w:color="auto" w:fill="auto"/>
            <w:noWrap/>
            <w:vAlign w:val="center"/>
            <w:hideMark/>
          </w:tcPr>
          <w:p w14:paraId="2DE71BC7"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93" w:type="dxa"/>
            <w:tcBorders>
              <w:top w:val="nil"/>
              <w:left w:val="nil"/>
              <w:bottom w:val="nil"/>
              <w:right w:val="nil"/>
            </w:tcBorders>
            <w:shd w:val="clear" w:color="auto" w:fill="auto"/>
            <w:noWrap/>
            <w:vAlign w:val="center"/>
            <w:hideMark/>
          </w:tcPr>
          <w:p w14:paraId="16216C73"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851" w:type="dxa"/>
            <w:tcBorders>
              <w:top w:val="nil"/>
              <w:left w:val="nil"/>
              <w:bottom w:val="nil"/>
              <w:right w:val="nil"/>
            </w:tcBorders>
            <w:shd w:val="clear" w:color="auto" w:fill="auto"/>
            <w:noWrap/>
            <w:vAlign w:val="center"/>
            <w:hideMark/>
          </w:tcPr>
          <w:p w14:paraId="1B4A3260"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851" w:type="dxa"/>
            <w:tcBorders>
              <w:top w:val="nil"/>
              <w:left w:val="nil"/>
              <w:bottom w:val="nil"/>
              <w:right w:val="nil"/>
            </w:tcBorders>
            <w:shd w:val="clear" w:color="auto" w:fill="auto"/>
            <w:noWrap/>
            <w:vAlign w:val="center"/>
            <w:hideMark/>
          </w:tcPr>
          <w:p w14:paraId="087B4201"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5" w:type="dxa"/>
            <w:tcBorders>
              <w:top w:val="nil"/>
              <w:left w:val="nil"/>
              <w:bottom w:val="nil"/>
              <w:right w:val="nil"/>
            </w:tcBorders>
            <w:shd w:val="clear" w:color="auto" w:fill="auto"/>
            <w:noWrap/>
            <w:vAlign w:val="center"/>
            <w:hideMark/>
          </w:tcPr>
          <w:p w14:paraId="7B9FCB85"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6" w:type="dxa"/>
            <w:tcBorders>
              <w:top w:val="nil"/>
              <w:left w:val="nil"/>
              <w:bottom w:val="nil"/>
              <w:right w:val="nil"/>
            </w:tcBorders>
            <w:shd w:val="clear" w:color="auto" w:fill="auto"/>
            <w:noWrap/>
            <w:vAlign w:val="center"/>
            <w:hideMark/>
          </w:tcPr>
          <w:p w14:paraId="3C4F9F22"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770" w:type="dxa"/>
            <w:tcBorders>
              <w:top w:val="nil"/>
              <w:left w:val="nil"/>
              <w:bottom w:val="nil"/>
              <w:right w:val="nil"/>
            </w:tcBorders>
            <w:shd w:val="clear" w:color="auto" w:fill="auto"/>
            <w:noWrap/>
            <w:vAlign w:val="center"/>
            <w:hideMark/>
          </w:tcPr>
          <w:p w14:paraId="5598B1E5"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69" w:type="dxa"/>
            <w:tcBorders>
              <w:top w:val="nil"/>
              <w:left w:val="nil"/>
              <w:bottom w:val="nil"/>
              <w:right w:val="nil"/>
            </w:tcBorders>
            <w:shd w:val="clear" w:color="auto" w:fill="auto"/>
            <w:noWrap/>
            <w:vAlign w:val="center"/>
            <w:hideMark/>
          </w:tcPr>
          <w:p w14:paraId="5DED7029"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6C2C5E" w:rsidRPr="00C7456C" w14:paraId="5169E913" w14:textId="77777777" w:rsidTr="002F7131">
        <w:trPr>
          <w:trHeight w:val="20"/>
          <w:jc w:val="center"/>
        </w:trPr>
        <w:tc>
          <w:tcPr>
            <w:tcW w:w="3261" w:type="dxa"/>
            <w:gridSpan w:val="3"/>
            <w:tcBorders>
              <w:top w:val="nil"/>
              <w:left w:val="nil"/>
              <w:bottom w:val="nil"/>
              <w:right w:val="nil"/>
            </w:tcBorders>
            <w:shd w:val="clear" w:color="auto" w:fill="auto"/>
            <w:noWrap/>
            <w:vAlign w:val="center"/>
            <w:hideMark/>
          </w:tcPr>
          <w:p w14:paraId="61FC44A2"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r w:rsidRPr="00C7456C">
              <w:rPr>
                <w:rFonts w:ascii="STKaiti" w:eastAsia="STKaiti" w:hAnsi="STKaiti" w:hint="eastAsia"/>
                <w:b/>
                <w:bCs/>
                <w:color w:val="002060"/>
                <w:sz w:val="28"/>
                <w:szCs w:val="28"/>
              </w:rPr>
              <w:t>总秘书处</w:t>
            </w:r>
            <w:r w:rsidRPr="00C7456C">
              <w:rPr>
                <w:rFonts w:eastAsia="STKaiti" w:cs="Calibri"/>
                <w:b/>
                <w:bCs/>
                <w:color w:val="002060"/>
                <w:sz w:val="28"/>
                <w:szCs w:val="28"/>
              </w:rPr>
              <w:t>2022-2023</w:t>
            </w:r>
            <w:r w:rsidRPr="00C7456C">
              <w:rPr>
                <w:rFonts w:ascii="STKaiti" w:eastAsia="STKaiti" w:hAnsi="STKaiti" w:hint="eastAsia"/>
                <w:b/>
                <w:bCs/>
                <w:color w:val="002060"/>
                <w:sz w:val="28"/>
                <w:szCs w:val="28"/>
              </w:rPr>
              <w:t>年</w:t>
            </w:r>
          </w:p>
        </w:tc>
        <w:tc>
          <w:tcPr>
            <w:tcW w:w="282" w:type="dxa"/>
            <w:tcBorders>
              <w:top w:val="nil"/>
              <w:left w:val="nil"/>
              <w:bottom w:val="nil"/>
              <w:right w:val="nil"/>
            </w:tcBorders>
            <w:shd w:val="clear" w:color="auto" w:fill="auto"/>
            <w:noWrap/>
            <w:vAlign w:val="center"/>
            <w:hideMark/>
          </w:tcPr>
          <w:p w14:paraId="25E1EE78"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93" w:type="dxa"/>
            <w:tcBorders>
              <w:top w:val="nil"/>
              <w:left w:val="nil"/>
              <w:bottom w:val="nil"/>
              <w:right w:val="nil"/>
            </w:tcBorders>
            <w:shd w:val="clear" w:color="auto" w:fill="auto"/>
            <w:noWrap/>
            <w:vAlign w:val="center"/>
            <w:hideMark/>
          </w:tcPr>
          <w:p w14:paraId="67862F7C"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707" w:type="dxa"/>
            <w:tcBorders>
              <w:top w:val="nil"/>
              <w:left w:val="nil"/>
              <w:bottom w:val="nil"/>
              <w:right w:val="nil"/>
            </w:tcBorders>
            <w:shd w:val="clear" w:color="auto" w:fill="auto"/>
            <w:noWrap/>
            <w:vAlign w:val="center"/>
            <w:hideMark/>
          </w:tcPr>
          <w:p w14:paraId="21D8833D"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94" w:type="dxa"/>
            <w:tcBorders>
              <w:top w:val="nil"/>
              <w:left w:val="nil"/>
              <w:bottom w:val="nil"/>
              <w:right w:val="nil"/>
            </w:tcBorders>
            <w:shd w:val="clear" w:color="auto" w:fill="auto"/>
            <w:noWrap/>
            <w:vAlign w:val="center"/>
            <w:hideMark/>
          </w:tcPr>
          <w:p w14:paraId="0A2F70D0"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93" w:type="dxa"/>
            <w:tcBorders>
              <w:top w:val="nil"/>
              <w:left w:val="nil"/>
              <w:bottom w:val="nil"/>
              <w:right w:val="nil"/>
            </w:tcBorders>
            <w:shd w:val="clear" w:color="auto" w:fill="auto"/>
            <w:noWrap/>
            <w:vAlign w:val="center"/>
            <w:hideMark/>
          </w:tcPr>
          <w:p w14:paraId="59079123"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851" w:type="dxa"/>
            <w:tcBorders>
              <w:top w:val="nil"/>
              <w:left w:val="nil"/>
              <w:bottom w:val="nil"/>
              <w:right w:val="nil"/>
            </w:tcBorders>
            <w:shd w:val="clear" w:color="auto" w:fill="auto"/>
            <w:noWrap/>
            <w:vAlign w:val="center"/>
            <w:hideMark/>
          </w:tcPr>
          <w:p w14:paraId="1257C0B0"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851" w:type="dxa"/>
            <w:tcBorders>
              <w:top w:val="nil"/>
              <w:left w:val="nil"/>
              <w:bottom w:val="nil"/>
              <w:right w:val="nil"/>
            </w:tcBorders>
            <w:shd w:val="clear" w:color="auto" w:fill="auto"/>
            <w:noWrap/>
            <w:vAlign w:val="center"/>
            <w:hideMark/>
          </w:tcPr>
          <w:p w14:paraId="4B87D2AA"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5" w:type="dxa"/>
            <w:tcBorders>
              <w:top w:val="nil"/>
              <w:left w:val="nil"/>
              <w:bottom w:val="nil"/>
              <w:right w:val="nil"/>
            </w:tcBorders>
            <w:shd w:val="clear" w:color="auto" w:fill="auto"/>
            <w:noWrap/>
            <w:vAlign w:val="center"/>
            <w:hideMark/>
          </w:tcPr>
          <w:p w14:paraId="34A99C79"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6" w:type="dxa"/>
            <w:tcBorders>
              <w:top w:val="nil"/>
              <w:left w:val="nil"/>
              <w:bottom w:val="nil"/>
              <w:right w:val="nil"/>
            </w:tcBorders>
            <w:shd w:val="clear" w:color="auto" w:fill="auto"/>
            <w:noWrap/>
            <w:vAlign w:val="center"/>
            <w:hideMark/>
          </w:tcPr>
          <w:p w14:paraId="69E4AA31"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770" w:type="dxa"/>
            <w:tcBorders>
              <w:top w:val="nil"/>
              <w:left w:val="nil"/>
              <w:bottom w:val="nil"/>
              <w:right w:val="nil"/>
            </w:tcBorders>
            <w:shd w:val="clear" w:color="auto" w:fill="auto"/>
            <w:noWrap/>
            <w:vAlign w:val="center"/>
            <w:hideMark/>
          </w:tcPr>
          <w:p w14:paraId="04620AA6"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69" w:type="dxa"/>
            <w:tcBorders>
              <w:top w:val="nil"/>
              <w:left w:val="nil"/>
              <w:bottom w:val="nil"/>
              <w:right w:val="nil"/>
            </w:tcBorders>
            <w:shd w:val="clear" w:color="auto" w:fill="auto"/>
            <w:noWrap/>
            <w:vAlign w:val="center"/>
            <w:hideMark/>
          </w:tcPr>
          <w:p w14:paraId="403F248C"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6C2C5E" w:rsidRPr="00C7456C" w14:paraId="704D64CE" w14:textId="77777777" w:rsidTr="002F7131">
        <w:trPr>
          <w:trHeight w:val="20"/>
          <w:jc w:val="center"/>
        </w:trPr>
        <w:tc>
          <w:tcPr>
            <w:tcW w:w="4536" w:type="dxa"/>
            <w:gridSpan w:val="5"/>
            <w:tcBorders>
              <w:top w:val="nil"/>
              <w:left w:val="nil"/>
              <w:bottom w:val="nil"/>
              <w:right w:val="nil"/>
            </w:tcBorders>
            <w:shd w:val="clear" w:color="auto" w:fill="auto"/>
            <w:noWrap/>
            <w:vAlign w:val="center"/>
            <w:hideMark/>
          </w:tcPr>
          <w:p w14:paraId="671F4C0D"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r w:rsidRPr="00C7456C">
              <w:rPr>
                <w:rFonts w:ascii="STKaiti" w:eastAsia="STKaiti" w:hAnsi="STKaiti" w:hint="eastAsia"/>
                <w:b/>
                <w:bCs/>
                <w:color w:val="002060"/>
                <w:szCs w:val="24"/>
                <w:lang w:eastAsia="zh-CN"/>
              </w:rPr>
              <w:t>按项和支出类别列出的计划支出</w:t>
            </w:r>
          </w:p>
        </w:tc>
        <w:tc>
          <w:tcPr>
            <w:tcW w:w="707" w:type="dxa"/>
            <w:tcBorders>
              <w:top w:val="nil"/>
              <w:left w:val="nil"/>
              <w:bottom w:val="nil"/>
              <w:right w:val="nil"/>
            </w:tcBorders>
            <w:shd w:val="clear" w:color="auto" w:fill="auto"/>
            <w:noWrap/>
            <w:vAlign w:val="center"/>
            <w:hideMark/>
          </w:tcPr>
          <w:p w14:paraId="36B579DF"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994" w:type="dxa"/>
            <w:tcBorders>
              <w:top w:val="nil"/>
              <w:left w:val="nil"/>
              <w:bottom w:val="nil"/>
              <w:right w:val="nil"/>
            </w:tcBorders>
            <w:shd w:val="clear" w:color="auto" w:fill="auto"/>
            <w:noWrap/>
            <w:vAlign w:val="center"/>
            <w:hideMark/>
          </w:tcPr>
          <w:p w14:paraId="6B11301C"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993" w:type="dxa"/>
            <w:tcBorders>
              <w:top w:val="nil"/>
              <w:left w:val="nil"/>
              <w:bottom w:val="nil"/>
              <w:right w:val="nil"/>
            </w:tcBorders>
            <w:shd w:val="clear" w:color="auto" w:fill="auto"/>
            <w:noWrap/>
            <w:vAlign w:val="center"/>
            <w:hideMark/>
          </w:tcPr>
          <w:p w14:paraId="0D6F82AF"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851" w:type="dxa"/>
            <w:tcBorders>
              <w:top w:val="nil"/>
              <w:left w:val="nil"/>
              <w:bottom w:val="nil"/>
              <w:right w:val="nil"/>
            </w:tcBorders>
            <w:shd w:val="clear" w:color="auto" w:fill="auto"/>
            <w:noWrap/>
            <w:vAlign w:val="center"/>
            <w:hideMark/>
          </w:tcPr>
          <w:p w14:paraId="09F52541"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851" w:type="dxa"/>
            <w:tcBorders>
              <w:top w:val="nil"/>
              <w:left w:val="nil"/>
              <w:bottom w:val="nil"/>
              <w:right w:val="nil"/>
            </w:tcBorders>
            <w:shd w:val="clear" w:color="auto" w:fill="auto"/>
            <w:noWrap/>
            <w:vAlign w:val="center"/>
            <w:hideMark/>
          </w:tcPr>
          <w:p w14:paraId="1CA2F280"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315" w:type="dxa"/>
            <w:tcBorders>
              <w:top w:val="nil"/>
              <w:left w:val="nil"/>
              <w:bottom w:val="nil"/>
              <w:right w:val="nil"/>
            </w:tcBorders>
            <w:shd w:val="clear" w:color="auto" w:fill="auto"/>
            <w:noWrap/>
            <w:vAlign w:val="center"/>
            <w:hideMark/>
          </w:tcPr>
          <w:p w14:paraId="323DE1B5"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316" w:type="dxa"/>
            <w:tcBorders>
              <w:top w:val="nil"/>
              <w:left w:val="nil"/>
              <w:bottom w:val="nil"/>
              <w:right w:val="nil"/>
            </w:tcBorders>
            <w:shd w:val="clear" w:color="auto" w:fill="auto"/>
            <w:noWrap/>
            <w:vAlign w:val="center"/>
            <w:hideMark/>
          </w:tcPr>
          <w:p w14:paraId="0B08A1FE"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770" w:type="dxa"/>
            <w:tcBorders>
              <w:top w:val="nil"/>
              <w:left w:val="nil"/>
              <w:bottom w:val="nil"/>
              <w:right w:val="nil"/>
            </w:tcBorders>
            <w:shd w:val="clear" w:color="auto" w:fill="auto"/>
            <w:noWrap/>
            <w:vAlign w:val="center"/>
            <w:hideMark/>
          </w:tcPr>
          <w:p w14:paraId="653B3A74"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069" w:type="dxa"/>
            <w:tcBorders>
              <w:top w:val="nil"/>
              <w:left w:val="nil"/>
              <w:bottom w:val="nil"/>
              <w:right w:val="nil"/>
            </w:tcBorders>
            <w:shd w:val="clear" w:color="auto" w:fill="auto"/>
            <w:noWrap/>
            <w:vAlign w:val="center"/>
            <w:hideMark/>
          </w:tcPr>
          <w:p w14:paraId="2C3E6249"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6C2C5E" w:rsidRPr="00C7456C" w14:paraId="19B5F29E" w14:textId="77777777" w:rsidTr="002F7131">
        <w:trPr>
          <w:trHeight w:val="20"/>
          <w:jc w:val="center"/>
        </w:trPr>
        <w:tc>
          <w:tcPr>
            <w:tcW w:w="1545" w:type="dxa"/>
            <w:tcBorders>
              <w:top w:val="nil"/>
              <w:left w:val="nil"/>
              <w:bottom w:val="nil"/>
              <w:right w:val="nil"/>
            </w:tcBorders>
            <w:shd w:val="clear" w:color="auto" w:fill="auto"/>
            <w:noWrap/>
            <w:vAlign w:val="center"/>
            <w:hideMark/>
          </w:tcPr>
          <w:p w14:paraId="64212E51"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1857" w:type="dxa"/>
            <w:gridSpan w:val="13"/>
            <w:tcBorders>
              <w:top w:val="nil"/>
              <w:left w:val="nil"/>
              <w:bottom w:val="nil"/>
              <w:right w:val="nil"/>
            </w:tcBorders>
            <w:shd w:val="clear" w:color="auto" w:fill="auto"/>
            <w:noWrap/>
            <w:vAlign w:val="center"/>
            <w:hideMark/>
          </w:tcPr>
          <w:p w14:paraId="67FAC07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C7456C">
              <w:rPr>
                <w:rFonts w:ascii="STKaiti" w:eastAsia="STKaiti" w:hAnsi="STKaiti" w:hint="eastAsia"/>
                <w:color w:val="002060"/>
                <w:sz w:val="18"/>
                <w:szCs w:val="18"/>
              </w:rPr>
              <w:t>单位：千瑞郎</w:t>
            </w:r>
          </w:p>
        </w:tc>
      </w:tr>
      <w:tr w:rsidR="006C2C5E" w:rsidRPr="00C7456C" w14:paraId="1E9FDA92" w14:textId="77777777" w:rsidTr="002F7131">
        <w:trPr>
          <w:trHeight w:val="20"/>
          <w:jc w:val="center"/>
        </w:trPr>
        <w:tc>
          <w:tcPr>
            <w:tcW w:w="5243" w:type="dxa"/>
            <w:gridSpan w:val="6"/>
            <w:tcBorders>
              <w:top w:val="nil"/>
              <w:left w:val="nil"/>
              <w:bottom w:val="nil"/>
              <w:right w:val="nil"/>
            </w:tcBorders>
            <w:shd w:val="clear" w:color="auto" w:fill="auto"/>
            <w:noWrap/>
            <w:vAlign w:val="center"/>
            <w:hideMark/>
          </w:tcPr>
          <w:p w14:paraId="74294E0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rPr>
            </w:pPr>
            <w:r w:rsidRPr="00C7456C">
              <w:rPr>
                <w:rFonts w:eastAsia="Times New Roman" w:cs="Calibri"/>
                <w:sz w:val="18"/>
              </w:rPr>
              <w:t xml:space="preserve"> </w:t>
            </w:r>
          </w:p>
        </w:tc>
        <w:tc>
          <w:tcPr>
            <w:tcW w:w="7090" w:type="dxa"/>
            <w:gridSpan w:val="7"/>
            <w:tcBorders>
              <w:top w:val="nil"/>
              <w:left w:val="nil"/>
              <w:bottom w:val="nil"/>
              <w:right w:val="nil"/>
            </w:tcBorders>
            <w:shd w:val="clear" w:color="auto" w:fill="auto"/>
            <w:noWrap/>
            <w:vAlign w:val="center"/>
            <w:hideMark/>
          </w:tcPr>
          <w:p w14:paraId="6FA2FF9D" w14:textId="113AB2D0" w:rsidR="006C2C5E" w:rsidRPr="00C7456C" w:rsidRDefault="006C2C5E" w:rsidP="002F668F">
            <w:pPr>
              <w:tabs>
                <w:tab w:val="clear" w:pos="794"/>
                <w:tab w:val="clear" w:pos="1191"/>
                <w:tab w:val="clear" w:pos="1588"/>
                <w:tab w:val="clear" w:pos="1985"/>
              </w:tabs>
              <w:overflowPunct/>
              <w:autoSpaceDE/>
              <w:autoSpaceDN/>
              <w:adjustRightInd/>
              <w:spacing w:before="0" w:after="40"/>
              <w:jc w:val="center"/>
              <w:textAlignment w:val="auto"/>
              <w:rPr>
                <w:rFonts w:ascii="STKaiti" w:eastAsia="STKaiti" w:hAnsi="STKaiti"/>
                <w:b/>
                <w:bCs/>
                <w:color w:val="002060"/>
                <w:sz w:val="18"/>
              </w:rPr>
            </w:pPr>
            <w:r w:rsidRPr="00C7456C">
              <w:rPr>
                <w:rFonts w:ascii="STKaiti" w:eastAsia="STKaiti" w:hAnsi="STKaiti" w:hint="eastAsia"/>
                <w:b/>
                <w:bCs/>
                <w:color w:val="002060"/>
                <w:sz w:val="18"/>
              </w:rPr>
              <w:t>秘书长办公室和各部</w:t>
            </w:r>
          </w:p>
        </w:tc>
        <w:tc>
          <w:tcPr>
            <w:tcW w:w="1069" w:type="dxa"/>
            <w:tcBorders>
              <w:top w:val="nil"/>
              <w:left w:val="nil"/>
              <w:bottom w:val="nil"/>
              <w:right w:val="nil"/>
            </w:tcBorders>
            <w:shd w:val="clear" w:color="auto" w:fill="auto"/>
            <w:noWrap/>
            <w:vAlign w:val="center"/>
            <w:hideMark/>
          </w:tcPr>
          <w:p w14:paraId="5B351628" w14:textId="555C164C"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18"/>
              </w:rPr>
            </w:pPr>
          </w:p>
        </w:tc>
      </w:tr>
      <w:tr w:rsidR="006C2C5E" w:rsidRPr="00C7456C" w14:paraId="6BF3970E" w14:textId="77777777" w:rsidTr="002F7131">
        <w:trPr>
          <w:trHeight w:val="20"/>
          <w:jc w:val="center"/>
        </w:trPr>
        <w:tc>
          <w:tcPr>
            <w:tcW w:w="1545" w:type="dxa"/>
            <w:tcBorders>
              <w:top w:val="nil"/>
              <w:left w:val="nil"/>
              <w:bottom w:val="nil"/>
              <w:right w:val="nil"/>
            </w:tcBorders>
            <w:shd w:val="clear" w:color="auto" w:fill="auto"/>
            <w:noWrap/>
            <w:vAlign w:val="center"/>
            <w:hideMark/>
          </w:tcPr>
          <w:p w14:paraId="7590C4F0"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rPr>
            </w:pPr>
          </w:p>
        </w:tc>
        <w:tc>
          <w:tcPr>
            <w:tcW w:w="1006" w:type="dxa"/>
            <w:tcBorders>
              <w:top w:val="nil"/>
              <w:left w:val="nil"/>
              <w:bottom w:val="nil"/>
              <w:right w:val="nil"/>
            </w:tcBorders>
            <w:shd w:val="clear" w:color="auto" w:fill="auto"/>
            <w:noWrap/>
            <w:vAlign w:val="center"/>
            <w:hideMark/>
          </w:tcPr>
          <w:p w14:paraId="4DE02A57"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rPr>
            </w:pPr>
          </w:p>
        </w:tc>
        <w:tc>
          <w:tcPr>
            <w:tcW w:w="992" w:type="dxa"/>
            <w:gridSpan w:val="2"/>
            <w:tcBorders>
              <w:top w:val="nil"/>
              <w:left w:val="nil"/>
              <w:bottom w:val="nil"/>
              <w:right w:val="nil"/>
            </w:tcBorders>
            <w:shd w:val="clear" w:color="auto" w:fill="auto"/>
            <w:noWrap/>
            <w:vAlign w:val="center"/>
            <w:hideMark/>
          </w:tcPr>
          <w:p w14:paraId="2BC52EE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18"/>
              </w:rPr>
            </w:pPr>
          </w:p>
        </w:tc>
        <w:tc>
          <w:tcPr>
            <w:tcW w:w="993" w:type="dxa"/>
            <w:tcBorders>
              <w:top w:val="nil"/>
              <w:left w:val="nil"/>
              <w:bottom w:val="nil"/>
              <w:right w:val="nil"/>
            </w:tcBorders>
            <w:shd w:val="clear" w:color="auto" w:fill="auto"/>
            <w:noWrap/>
            <w:vAlign w:val="center"/>
            <w:hideMark/>
          </w:tcPr>
          <w:p w14:paraId="46A487C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18"/>
              </w:rPr>
            </w:pPr>
          </w:p>
        </w:tc>
        <w:tc>
          <w:tcPr>
            <w:tcW w:w="707" w:type="dxa"/>
            <w:tcBorders>
              <w:top w:val="nil"/>
              <w:left w:val="nil"/>
              <w:bottom w:val="nil"/>
              <w:right w:val="nil"/>
            </w:tcBorders>
            <w:shd w:val="clear" w:color="auto" w:fill="auto"/>
            <w:noWrap/>
            <w:vAlign w:val="center"/>
            <w:hideMark/>
          </w:tcPr>
          <w:p w14:paraId="30FA3B9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18"/>
              </w:rPr>
            </w:pPr>
          </w:p>
        </w:tc>
        <w:tc>
          <w:tcPr>
            <w:tcW w:w="994" w:type="dxa"/>
            <w:tcBorders>
              <w:top w:val="nil"/>
              <w:left w:val="nil"/>
              <w:bottom w:val="nil"/>
              <w:right w:val="nil"/>
            </w:tcBorders>
            <w:shd w:val="clear" w:color="auto" w:fill="auto"/>
            <w:noWrap/>
            <w:vAlign w:val="bottom"/>
            <w:hideMark/>
          </w:tcPr>
          <w:p w14:paraId="0ACD8061"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18"/>
              </w:rPr>
            </w:pPr>
          </w:p>
        </w:tc>
        <w:tc>
          <w:tcPr>
            <w:tcW w:w="993" w:type="dxa"/>
            <w:tcBorders>
              <w:top w:val="nil"/>
              <w:left w:val="nil"/>
              <w:bottom w:val="nil"/>
              <w:right w:val="nil"/>
            </w:tcBorders>
            <w:shd w:val="clear" w:color="auto" w:fill="auto"/>
            <w:noWrap/>
            <w:vAlign w:val="center"/>
            <w:hideMark/>
          </w:tcPr>
          <w:p w14:paraId="08C2BF44"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center"/>
            <w:hideMark/>
          </w:tcPr>
          <w:p w14:paraId="323045C2"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center"/>
            <w:hideMark/>
          </w:tcPr>
          <w:p w14:paraId="00F0E3D8" w14:textId="4C17913E"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rPr>
            </w:pPr>
          </w:p>
        </w:tc>
        <w:tc>
          <w:tcPr>
            <w:tcW w:w="1315" w:type="dxa"/>
            <w:tcBorders>
              <w:top w:val="nil"/>
              <w:left w:val="nil"/>
              <w:bottom w:val="nil"/>
              <w:right w:val="nil"/>
            </w:tcBorders>
            <w:shd w:val="clear" w:color="auto" w:fill="auto"/>
            <w:noWrap/>
            <w:vAlign w:val="center"/>
            <w:hideMark/>
          </w:tcPr>
          <w:p w14:paraId="34618A12" w14:textId="3F2BE2BF" w:rsidR="006C2C5E" w:rsidRPr="00C7456C" w:rsidRDefault="00BB17A9"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rPr>
            </w:pPr>
            <w:r w:rsidRPr="00703BDF">
              <w:rPr>
                <w:rFonts w:ascii="Times New Roman" w:eastAsia="Times New Roman" w:hAnsi="Times New Roman"/>
                <w:noProof/>
                <w:sz w:val="18"/>
              </w:rPr>
              <mc:AlternateContent>
                <mc:Choice Requires="wps">
                  <w:drawing>
                    <wp:anchor distT="0" distB="0" distL="114300" distR="114300" simplePos="0" relativeHeight="251669504" behindDoc="0" locked="0" layoutInCell="1" allowOverlap="1" wp14:anchorId="3E899E0D" wp14:editId="276CE00A">
                      <wp:simplePos x="0" y="0"/>
                      <wp:positionH relativeFrom="column">
                        <wp:posOffset>-200025</wp:posOffset>
                      </wp:positionH>
                      <wp:positionV relativeFrom="paragraph">
                        <wp:posOffset>-2304415</wp:posOffset>
                      </wp:positionV>
                      <wp:extent cx="45085" cy="4604385"/>
                      <wp:effectExtent l="6350" t="0" r="18415" b="18415"/>
                      <wp:wrapNone/>
                      <wp:docPr id="105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5085" cy="4604385"/>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77723963"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5" o:spid="_x0000_s1026" type="#_x0000_t85" style="position:absolute;margin-left:-15.75pt;margin-top:-181.45pt;width:3.55pt;height:362.5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" adj="241" strokecolor="#0070c0" strokeweight="1pt"/>
                  </w:pict>
                </mc:Fallback>
              </mc:AlternateContent>
            </w:r>
          </w:p>
        </w:tc>
        <w:tc>
          <w:tcPr>
            <w:tcW w:w="1316" w:type="dxa"/>
            <w:tcBorders>
              <w:top w:val="nil"/>
              <w:left w:val="nil"/>
              <w:bottom w:val="nil"/>
              <w:right w:val="nil"/>
            </w:tcBorders>
            <w:shd w:val="clear" w:color="auto" w:fill="auto"/>
            <w:noWrap/>
            <w:vAlign w:val="center"/>
            <w:hideMark/>
          </w:tcPr>
          <w:p w14:paraId="1CFA9BA6" w14:textId="3EB794BA"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rPr>
            </w:pPr>
          </w:p>
        </w:tc>
        <w:tc>
          <w:tcPr>
            <w:tcW w:w="770" w:type="dxa"/>
            <w:tcBorders>
              <w:top w:val="nil"/>
              <w:left w:val="nil"/>
              <w:bottom w:val="nil"/>
              <w:right w:val="nil"/>
            </w:tcBorders>
            <w:shd w:val="clear" w:color="auto" w:fill="auto"/>
            <w:noWrap/>
            <w:vAlign w:val="center"/>
            <w:hideMark/>
          </w:tcPr>
          <w:p w14:paraId="5531FCBE"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rPr>
            </w:pPr>
          </w:p>
        </w:tc>
        <w:tc>
          <w:tcPr>
            <w:tcW w:w="1069" w:type="dxa"/>
            <w:tcBorders>
              <w:top w:val="nil"/>
              <w:left w:val="nil"/>
              <w:bottom w:val="nil"/>
              <w:right w:val="nil"/>
            </w:tcBorders>
            <w:shd w:val="clear" w:color="auto" w:fill="auto"/>
            <w:noWrap/>
            <w:vAlign w:val="center"/>
            <w:hideMark/>
          </w:tcPr>
          <w:p w14:paraId="79B9E783" w14:textId="0DDAF15C" w:rsidR="006C2C5E" w:rsidRPr="00C7456C" w:rsidRDefault="00744A4D"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rPr>
            </w:pPr>
            <w:r w:rsidRPr="00C7456C">
              <w:rPr>
                <w:rFonts w:ascii="Helv" w:eastAsia="Times New Roman" w:hAnsi="Helv"/>
                <w:noProof/>
                <w:sz w:val="18"/>
              </w:rPr>
              <mc:AlternateContent>
                <mc:Choice Requires="wps">
                  <w:drawing>
                    <wp:anchor distT="0" distB="0" distL="114300" distR="114300" simplePos="0" relativeHeight="251727872" behindDoc="0" locked="0" layoutInCell="1" allowOverlap="1" wp14:anchorId="62E22DEF" wp14:editId="15A7D5E3">
                      <wp:simplePos x="0" y="0"/>
                      <wp:positionH relativeFrom="margin">
                        <wp:posOffset>50800</wp:posOffset>
                      </wp:positionH>
                      <wp:positionV relativeFrom="paragraph">
                        <wp:posOffset>31750</wp:posOffset>
                      </wp:positionV>
                      <wp:extent cx="675640" cy="4318000"/>
                      <wp:effectExtent l="0" t="0" r="10160" b="25400"/>
                      <wp:wrapNone/>
                      <wp:docPr id="1049" name="圆角矩形 1049">
                        <a:extLst xmlns:a="http://schemas.openxmlformats.org/drawingml/2006/main">
                          <a:ext uri="{FF2B5EF4-FFF2-40B4-BE49-F238E27FC236}">
                            <a16:creationId xmlns:a16="http://schemas.microsoft.com/office/drawing/2014/main" id="{00000000-0008-0000-04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640" cy="431800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49FCC800" id="圆角矩形 1049" o:spid="_x0000_s1026" style="position:absolute;margin-left:4pt;margin-top:2.5pt;width:53.2pt;height:340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" filled="f" strokecolor="#0070c0" strokeweight="1pt">
                      <w10:wrap anchorx="margin"/>
                    </v:roundrect>
                  </w:pict>
                </mc:Fallback>
              </mc:AlternateContent>
            </w:r>
          </w:p>
        </w:tc>
      </w:tr>
      <w:tr w:rsidR="006C2C5E" w:rsidRPr="00C7456C" w14:paraId="3B15E114" w14:textId="77777777" w:rsidTr="002F7131">
        <w:trPr>
          <w:trHeight w:val="782"/>
          <w:jc w:val="center"/>
        </w:trPr>
        <w:tc>
          <w:tcPr>
            <w:tcW w:w="1545" w:type="dxa"/>
            <w:tcBorders>
              <w:top w:val="nil"/>
              <w:left w:val="nil"/>
              <w:bottom w:val="nil"/>
              <w:right w:val="nil"/>
            </w:tcBorders>
            <w:shd w:val="clear" w:color="auto" w:fill="auto"/>
            <w:noWrap/>
            <w:vAlign w:val="center"/>
            <w:hideMark/>
          </w:tcPr>
          <w:p w14:paraId="7AF6E7B2"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18"/>
              </w:rPr>
            </w:pPr>
          </w:p>
        </w:tc>
        <w:tc>
          <w:tcPr>
            <w:tcW w:w="1006" w:type="dxa"/>
            <w:tcBorders>
              <w:top w:val="nil"/>
              <w:left w:val="nil"/>
              <w:bottom w:val="nil"/>
              <w:right w:val="nil"/>
            </w:tcBorders>
            <w:shd w:val="clear" w:color="auto" w:fill="auto"/>
            <w:hideMark/>
          </w:tcPr>
          <w:p w14:paraId="6D23A25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C7456C">
              <w:rPr>
                <w:rFonts w:ascii="SimSun" w:hAnsi="SimSun" w:hint="eastAsia"/>
                <w:sz w:val="18"/>
                <w:szCs w:val="18"/>
              </w:rPr>
              <w:t>世界电信政策论坛</w:t>
            </w:r>
          </w:p>
        </w:tc>
        <w:tc>
          <w:tcPr>
            <w:tcW w:w="992" w:type="dxa"/>
            <w:gridSpan w:val="2"/>
            <w:tcBorders>
              <w:top w:val="nil"/>
              <w:left w:val="nil"/>
              <w:bottom w:val="nil"/>
              <w:right w:val="nil"/>
            </w:tcBorders>
            <w:shd w:val="clear" w:color="auto" w:fill="auto"/>
            <w:hideMark/>
          </w:tcPr>
          <w:p w14:paraId="0B185F4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lang w:eastAsia="zh-CN"/>
              </w:rPr>
            </w:pPr>
            <w:r w:rsidRPr="00C7456C">
              <w:rPr>
                <w:rFonts w:ascii="SimSun" w:hAnsi="SimSun" w:hint="eastAsia"/>
                <w:sz w:val="18"/>
                <w:szCs w:val="18"/>
                <w:lang w:eastAsia="zh-CN"/>
              </w:rPr>
              <w:t>信息社会世界高峰会议</w:t>
            </w:r>
          </w:p>
        </w:tc>
        <w:tc>
          <w:tcPr>
            <w:tcW w:w="993" w:type="dxa"/>
            <w:tcBorders>
              <w:top w:val="nil"/>
              <w:left w:val="nil"/>
              <w:bottom w:val="nil"/>
              <w:right w:val="nil"/>
            </w:tcBorders>
            <w:shd w:val="clear" w:color="auto" w:fill="auto"/>
            <w:hideMark/>
          </w:tcPr>
          <w:p w14:paraId="410C78D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lang w:eastAsia="zh-CN"/>
              </w:rPr>
            </w:pPr>
            <w:r w:rsidRPr="00C7456C">
              <w:rPr>
                <w:rFonts w:ascii="SimSun" w:hAnsi="SimSun" w:hint="eastAsia"/>
                <w:sz w:val="18"/>
                <w:lang w:eastAsia="zh-CN"/>
              </w:rPr>
              <w:t>理事会、工作组和专家组</w:t>
            </w:r>
          </w:p>
        </w:tc>
        <w:tc>
          <w:tcPr>
            <w:tcW w:w="707" w:type="dxa"/>
            <w:tcBorders>
              <w:top w:val="nil"/>
              <w:left w:val="nil"/>
              <w:bottom w:val="nil"/>
              <w:right w:val="nil"/>
            </w:tcBorders>
            <w:shd w:val="clear" w:color="auto" w:fill="auto"/>
            <w:hideMark/>
          </w:tcPr>
          <w:p w14:paraId="1683C916"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C7456C">
              <w:rPr>
                <w:rFonts w:ascii="SimSun" w:hAnsi="SimSun" w:hint="eastAsia"/>
                <w:sz w:val="18"/>
                <w:szCs w:val="18"/>
              </w:rPr>
              <w:t>活动和</w:t>
            </w:r>
            <w:r>
              <w:rPr>
                <w:rFonts w:ascii="SimSun" w:hAnsi="SimSun"/>
                <w:sz w:val="18"/>
                <w:szCs w:val="18"/>
              </w:rPr>
              <w:br/>
            </w:r>
            <w:r w:rsidRPr="00C7456C">
              <w:rPr>
                <w:rFonts w:ascii="SimSun" w:hAnsi="SimSun" w:hint="eastAsia"/>
                <w:sz w:val="18"/>
                <w:szCs w:val="18"/>
              </w:rPr>
              <w:t>项目</w:t>
            </w:r>
          </w:p>
        </w:tc>
        <w:tc>
          <w:tcPr>
            <w:tcW w:w="994" w:type="dxa"/>
            <w:tcBorders>
              <w:top w:val="nil"/>
              <w:left w:val="nil"/>
              <w:bottom w:val="nil"/>
              <w:right w:val="nil"/>
            </w:tcBorders>
            <w:shd w:val="clear" w:color="auto" w:fill="auto"/>
            <w:hideMark/>
          </w:tcPr>
          <w:p w14:paraId="58C61EB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rPr>
            </w:pPr>
            <w:r w:rsidRPr="00C7456C">
              <w:rPr>
                <w:rFonts w:ascii="SimSun" w:hAnsi="SimSun" w:hint="eastAsia"/>
                <w:sz w:val="18"/>
              </w:rPr>
              <w:t>国际电联共同支出</w:t>
            </w:r>
          </w:p>
        </w:tc>
        <w:tc>
          <w:tcPr>
            <w:tcW w:w="993" w:type="dxa"/>
            <w:tcBorders>
              <w:top w:val="nil"/>
              <w:left w:val="nil"/>
              <w:bottom w:val="nil"/>
              <w:right w:val="nil"/>
            </w:tcBorders>
            <w:shd w:val="clear" w:color="auto" w:fill="auto"/>
            <w:hideMark/>
          </w:tcPr>
          <w:p w14:paraId="4394540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lang w:eastAsia="zh-CN"/>
              </w:rPr>
            </w:pPr>
            <w:r w:rsidRPr="00C7456C">
              <w:rPr>
                <w:rFonts w:ascii="SimSun" w:hAnsi="SimSun" w:hint="eastAsia"/>
                <w:sz w:val="18"/>
                <w:lang w:eastAsia="zh-CN"/>
              </w:rPr>
              <w:t>秘书长和副秘书长办公室*</w:t>
            </w:r>
          </w:p>
        </w:tc>
        <w:tc>
          <w:tcPr>
            <w:tcW w:w="851" w:type="dxa"/>
            <w:tcBorders>
              <w:top w:val="nil"/>
              <w:left w:val="nil"/>
              <w:bottom w:val="nil"/>
              <w:right w:val="nil"/>
            </w:tcBorders>
            <w:shd w:val="clear" w:color="auto" w:fill="auto"/>
            <w:hideMark/>
          </w:tcPr>
          <w:p w14:paraId="2C676CD4"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rPr>
            </w:pPr>
            <w:r w:rsidRPr="00C7456C">
              <w:rPr>
                <w:rFonts w:ascii="SimSun" w:hAnsi="SimSun" w:hint="eastAsia"/>
                <w:sz w:val="18"/>
              </w:rPr>
              <w:t>战略规划和成员部</w:t>
            </w:r>
          </w:p>
        </w:tc>
        <w:tc>
          <w:tcPr>
            <w:tcW w:w="851" w:type="dxa"/>
            <w:tcBorders>
              <w:top w:val="nil"/>
              <w:left w:val="nil"/>
              <w:bottom w:val="nil"/>
              <w:right w:val="nil"/>
            </w:tcBorders>
            <w:shd w:val="clear" w:color="auto" w:fill="auto"/>
            <w:hideMark/>
          </w:tcPr>
          <w:p w14:paraId="16C6B8E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rPr>
            </w:pPr>
            <w:r w:rsidRPr="00C7456C">
              <w:rPr>
                <w:rFonts w:ascii="SimSun" w:hAnsi="SimSun" w:hint="eastAsia"/>
                <w:sz w:val="18"/>
              </w:rPr>
              <w:t>大会和出版部</w:t>
            </w:r>
          </w:p>
        </w:tc>
        <w:tc>
          <w:tcPr>
            <w:tcW w:w="1315" w:type="dxa"/>
            <w:tcBorders>
              <w:top w:val="nil"/>
              <w:left w:val="nil"/>
              <w:bottom w:val="nil"/>
              <w:right w:val="nil"/>
            </w:tcBorders>
            <w:shd w:val="clear" w:color="auto" w:fill="auto"/>
            <w:hideMark/>
          </w:tcPr>
          <w:p w14:paraId="60B0AFD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rPr>
            </w:pPr>
            <w:r w:rsidRPr="00C7456C">
              <w:rPr>
                <w:rFonts w:ascii="SimSun" w:hAnsi="SimSun" w:hint="eastAsia"/>
                <w:sz w:val="18"/>
              </w:rPr>
              <w:t>人力资源</w:t>
            </w:r>
            <w:r>
              <w:rPr>
                <w:rFonts w:ascii="SimSun" w:hAnsi="SimSun"/>
                <w:sz w:val="18"/>
              </w:rPr>
              <w:br/>
            </w:r>
            <w:r w:rsidRPr="00C7456C">
              <w:rPr>
                <w:rFonts w:ascii="SimSun" w:hAnsi="SimSun" w:hint="eastAsia"/>
                <w:sz w:val="18"/>
              </w:rPr>
              <w:t>管理部</w:t>
            </w:r>
          </w:p>
        </w:tc>
        <w:tc>
          <w:tcPr>
            <w:tcW w:w="1316" w:type="dxa"/>
            <w:tcBorders>
              <w:top w:val="nil"/>
              <w:left w:val="nil"/>
              <w:bottom w:val="nil"/>
              <w:right w:val="nil"/>
            </w:tcBorders>
            <w:shd w:val="clear" w:color="auto" w:fill="auto"/>
            <w:hideMark/>
          </w:tcPr>
          <w:p w14:paraId="7555B15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rPr>
            </w:pPr>
            <w:r w:rsidRPr="00C7456C">
              <w:rPr>
                <w:rFonts w:ascii="SimSun" w:hAnsi="SimSun" w:hint="eastAsia"/>
                <w:sz w:val="18"/>
              </w:rPr>
              <w:t>财务资源</w:t>
            </w:r>
            <w:r>
              <w:rPr>
                <w:rFonts w:ascii="SimSun" w:hAnsi="SimSun"/>
                <w:sz w:val="18"/>
              </w:rPr>
              <w:br/>
            </w:r>
            <w:r w:rsidRPr="00C7456C">
              <w:rPr>
                <w:rFonts w:ascii="SimSun" w:hAnsi="SimSun" w:hint="eastAsia"/>
                <w:sz w:val="18"/>
              </w:rPr>
              <w:t>管理部</w:t>
            </w:r>
          </w:p>
        </w:tc>
        <w:tc>
          <w:tcPr>
            <w:tcW w:w="770" w:type="dxa"/>
            <w:tcBorders>
              <w:top w:val="nil"/>
              <w:left w:val="nil"/>
              <w:bottom w:val="nil"/>
              <w:right w:val="nil"/>
            </w:tcBorders>
            <w:shd w:val="clear" w:color="auto" w:fill="auto"/>
            <w:hideMark/>
          </w:tcPr>
          <w:p w14:paraId="7381AE0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rPr>
            </w:pPr>
            <w:r w:rsidRPr="00C7456C">
              <w:rPr>
                <w:rFonts w:ascii="SimSun" w:hAnsi="SimSun" w:hint="eastAsia"/>
                <w:sz w:val="18"/>
              </w:rPr>
              <w:t>信息</w:t>
            </w:r>
            <w:r>
              <w:rPr>
                <w:rFonts w:ascii="SimSun" w:hAnsi="SimSun"/>
                <w:sz w:val="18"/>
              </w:rPr>
              <w:br/>
            </w:r>
            <w:r w:rsidRPr="00C7456C">
              <w:rPr>
                <w:rFonts w:ascii="SimSun" w:hAnsi="SimSun" w:hint="eastAsia"/>
                <w:sz w:val="18"/>
              </w:rPr>
              <w:t>服务部</w:t>
            </w:r>
          </w:p>
        </w:tc>
        <w:tc>
          <w:tcPr>
            <w:tcW w:w="1069" w:type="dxa"/>
            <w:tcBorders>
              <w:top w:val="nil"/>
              <w:left w:val="nil"/>
              <w:bottom w:val="nil"/>
              <w:right w:val="nil"/>
            </w:tcBorders>
            <w:shd w:val="clear" w:color="auto" w:fill="auto"/>
            <w:noWrap/>
            <w:vAlign w:val="center"/>
            <w:hideMark/>
          </w:tcPr>
          <w:p w14:paraId="50FDFE69" w14:textId="2949FA5B"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18"/>
              </w:rPr>
            </w:pPr>
            <w:r w:rsidRPr="00C7456C">
              <w:rPr>
                <w:rFonts w:ascii="SimSun" w:hAnsi="SimSun" w:hint="eastAsia"/>
                <w:b/>
                <w:bCs/>
                <w:color w:val="002060"/>
                <w:sz w:val="18"/>
              </w:rPr>
              <w:t>合计</w:t>
            </w:r>
          </w:p>
        </w:tc>
      </w:tr>
      <w:tr w:rsidR="006C2C5E" w:rsidRPr="00C7456C" w14:paraId="650F1267" w14:textId="77777777" w:rsidTr="002F7131">
        <w:trPr>
          <w:trHeight w:val="20"/>
          <w:jc w:val="center"/>
        </w:trPr>
        <w:tc>
          <w:tcPr>
            <w:tcW w:w="1545" w:type="dxa"/>
            <w:tcBorders>
              <w:top w:val="nil"/>
              <w:left w:val="nil"/>
              <w:bottom w:val="nil"/>
              <w:right w:val="nil"/>
            </w:tcBorders>
            <w:shd w:val="clear" w:color="auto" w:fill="auto"/>
            <w:noWrap/>
            <w:vAlign w:val="center"/>
            <w:hideMark/>
          </w:tcPr>
          <w:p w14:paraId="51689B6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18"/>
              </w:rPr>
            </w:pPr>
          </w:p>
        </w:tc>
        <w:tc>
          <w:tcPr>
            <w:tcW w:w="1006" w:type="dxa"/>
            <w:tcBorders>
              <w:top w:val="nil"/>
              <w:left w:val="single" w:sz="4" w:space="0" w:color="0070C0"/>
              <w:bottom w:val="nil"/>
              <w:right w:val="nil"/>
            </w:tcBorders>
            <w:shd w:val="clear" w:color="auto" w:fill="auto"/>
            <w:noWrap/>
            <w:vAlign w:val="bottom"/>
            <w:hideMark/>
          </w:tcPr>
          <w:p w14:paraId="351F724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 </w:t>
            </w:r>
          </w:p>
        </w:tc>
        <w:tc>
          <w:tcPr>
            <w:tcW w:w="992" w:type="dxa"/>
            <w:gridSpan w:val="2"/>
            <w:tcBorders>
              <w:top w:val="nil"/>
              <w:left w:val="nil"/>
              <w:bottom w:val="nil"/>
              <w:right w:val="nil"/>
            </w:tcBorders>
            <w:shd w:val="clear" w:color="auto" w:fill="auto"/>
            <w:noWrap/>
            <w:vAlign w:val="bottom"/>
            <w:hideMark/>
          </w:tcPr>
          <w:p w14:paraId="1270B55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p>
        </w:tc>
        <w:tc>
          <w:tcPr>
            <w:tcW w:w="993" w:type="dxa"/>
            <w:tcBorders>
              <w:top w:val="nil"/>
              <w:left w:val="nil"/>
              <w:bottom w:val="nil"/>
              <w:right w:val="nil"/>
            </w:tcBorders>
            <w:shd w:val="clear" w:color="auto" w:fill="auto"/>
            <w:noWrap/>
            <w:vAlign w:val="bottom"/>
            <w:hideMark/>
          </w:tcPr>
          <w:p w14:paraId="08E8808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07" w:type="dxa"/>
            <w:tcBorders>
              <w:top w:val="nil"/>
              <w:left w:val="nil"/>
              <w:bottom w:val="nil"/>
              <w:right w:val="nil"/>
            </w:tcBorders>
            <w:shd w:val="clear" w:color="auto" w:fill="auto"/>
            <w:noWrap/>
            <w:vAlign w:val="bottom"/>
            <w:hideMark/>
          </w:tcPr>
          <w:p w14:paraId="5A9772F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4" w:type="dxa"/>
            <w:tcBorders>
              <w:top w:val="nil"/>
              <w:left w:val="nil"/>
              <w:bottom w:val="nil"/>
              <w:right w:val="nil"/>
            </w:tcBorders>
            <w:shd w:val="clear" w:color="auto" w:fill="auto"/>
            <w:noWrap/>
            <w:vAlign w:val="bottom"/>
            <w:hideMark/>
          </w:tcPr>
          <w:p w14:paraId="7F214E5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3" w:type="dxa"/>
            <w:tcBorders>
              <w:top w:val="nil"/>
              <w:left w:val="nil"/>
              <w:bottom w:val="nil"/>
              <w:right w:val="nil"/>
            </w:tcBorders>
            <w:shd w:val="clear" w:color="auto" w:fill="auto"/>
            <w:noWrap/>
            <w:vAlign w:val="bottom"/>
            <w:hideMark/>
          </w:tcPr>
          <w:p w14:paraId="3BC7EBD9"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7FAFC828"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159EAF0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5" w:type="dxa"/>
            <w:tcBorders>
              <w:top w:val="nil"/>
              <w:left w:val="nil"/>
              <w:bottom w:val="nil"/>
              <w:right w:val="nil"/>
            </w:tcBorders>
            <w:shd w:val="clear" w:color="auto" w:fill="auto"/>
            <w:noWrap/>
            <w:vAlign w:val="bottom"/>
            <w:hideMark/>
          </w:tcPr>
          <w:p w14:paraId="03AE5DC4"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6" w:type="dxa"/>
            <w:tcBorders>
              <w:top w:val="nil"/>
              <w:left w:val="nil"/>
              <w:bottom w:val="nil"/>
              <w:right w:val="nil"/>
            </w:tcBorders>
            <w:shd w:val="clear" w:color="auto" w:fill="auto"/>
            <w:noWrap/>
            <w:vAlign w:val="bottom"/>
            <w:hideMark/>
          </w:tcPr>
          <w:p w14:paraId="534FEC16"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70" w:type="dxa"/>
            <w:tcBorders>
              <w:top w:val="nil"/>
              <w:left w:val="nil"/>
              <w:bottom w:val="nil"/>
              <w:right w:val="nil"/>
            </w:tcBorders>
            <w:shd w:val="clear" w:color="auto" w:fill="auto"/>
            <w:noWrap/>
            <w:vAlign w:val="bottom"/>
            <w:hideMark/>
          </w:tcPr>
          <w:p w14:paraId="3C20F79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069" w:type="dxa"/>
            <w:tcBorders>
              <w:top w:val="nil"/>
              <w:left w:val="nil"/>
              <w:bottom w:val="nil"/>
              <w:right w:val="nil"/>
            </w:tcBorders>
            <w:shd w:val="clear" w:color="auto" w:fill="auto"/>
            <w:noWrap/>
            <w:vAlign w:val="bottom"/>
            <w:hideMark/>
          </w:tcPr>
          <w:p w14:paraId="57C6148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r>
      <w:tr w:rsidR="006C2C5E" w:rsidRPr="00C7456C" w14:paraId="48E796B5" w14:textId="77777777" w:rsidTr="002F7131">
        <w:trPr>
          <w:trHeight w:val="20"/>
          <w:jc w:val="center"/>
        </w:trPr>
        <w:tc>
          <w:tcPr>
            <w:tcW w:w="1545" w:type="dxa"/>
            <w:tcBorders>
              <w:top w:val="nil"/>
              <w:left w:val="nil"/>
              <w:bottom w:val="nil"/>
              <w:right w:val="nil"/>
            </w:tcBorders>
            <w:shd w:val="clear" w:color="auto" w:fill="auto"/>
            <w:noWrap/>
            <w:vAlign w:val="bottom"/>
            <w:hideMark/>
          </w:tcPr>
          <w:p w14:paraId="0E41E791"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8"/>
              </w:rPr>
            </w:pPr>
            <w:r w:rsidRPr="00C7456C">
              <w:rPr>
                <w:rFonts w:cstheme="minorHAnsi"/>
                <w:sz w:val="18"/>
              </w:rPr>
              <w:t xml:space="preserve">1 - </w:t>
            </w:r>
            <w:r w:rsidRPr="00C7456C">
              <w:rPr>
                <w:rFonts w:cstheme="minorHAnsi"/>
                <w:sz w:val="18"/>
              </w:rPr>
              <w:t>人员费用</w:t>
            </w:r>
          </w:p>
        </w:tc>
        <w:tc>
          <w:tcPr>
            <w:tcW w:w="1006" w:type="dxa"/>
            <w:tcBorders>
              <w:top w:val="nil"/>
              <w:left w:val="single" w:sz="4" w:space="0" w:color="0070C0"/>
              <w:bottom w:val="nil"/>
              <w:right w:val="nil"/>
            </w:tcBorders>
            <w:shd w:val="clear" w:color="auto" w:fill="auto"/>
            <w:noWrap/>
            <w:vAlign w:val="bottom"/>
            <w:hideMark/>
          </w:tcPr>
          <w:p w14:paraId="115D599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1,112</w:t>
            </w:r>
          </w:p>
        </w:tc>
        <w:tc>
          <w:tcPr>
            <w:tcW w:w="992" w:type="dxa"/>
            <w:gridSpan w:val="2"/>
            <w:tcBorders>
              <w:top w:val="nil"/>
              <w:left w:val="nil"/>
              <w:bottom w:val="nil"/>
              <w:right w:val="nil"/>
            </w:tcBorders>
            <w:shd w:val="clear" w:color="auto" w:fill="auto"/>
            <w:noWrap/>
            <w:vAlign w:val="bottom"/>
            <w:hideMark/>
          </w:tcPr>
          <w:p w14:paraId="45433E1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3" w:type="dxa"/>
            <w:tcBorders>
              <w:top w:val="nil"/>
              <w:left w:val="nil"/>
              <w:bottom w:val="nil"/>
              <w:right w:val="nil"/>
            </w:tcBorders>
            <w:shd w:val="clear" w:color="auto" w:fill="auto"/>
            <w:noWrap/>
            <w:vAlign w:val="bottom"/>
            <w:hideMark/>
          </w:tcPr>
          <w:p w14:paraId="3FB0D2D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692</w:t>
            </w:r>
          </w:p>
        </w:tc>
        <w:tc>
          <w:tcPr>
            <w:tcW w:w="707" w:type="dxa"/>
            <w:tcBorders>
              <w:top w:val="nil"/>
              <w:left w:val="nil"/>
              <w:bottom w:val="nil"/>
              <w:right w:val="nil"/>
            </w:tcBorders>
            <w:shd w:val="clear" w:color="auto" w:fill="auto"/>
            <w:noWrap/>
            <w:vAlign w:val="bottom"/>
            <w:hideMark/>
          </w:tcPr>
          <w:p w14:paraId="7D95529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4" w:type="dxa"/>
            <w:tcBorders>
              <w:top w:val="nil"/>
              <w:left w:val="nil"/>
              <w:bottom w:val="nil"/>
              <w:right w:val="nil"/>
            </w:tcBorders>
            <w:shd w:val="clear" w:color="auto" w:fill="auto"/>
            <w:noWrap/>
            <w:vAlign w:val="bottom"/>
            <w:hideMark/>
          </w:tcPr>
          <w:p w14:paraId="648DD4C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500</w:t>
            </w:r>
          </w:p>
        </w:tc>
        <w:tc>
          <w:tcPr>
            <w:tcW w:w="993" w:type="dxa"/>
            <w:tcBorders>
              <w:top w:val="nil"/>
              <w:left w:val="nil"/>
              <w:bottom w:val="nil"/>
              <w:right w:val="nil"/>
            </w:tcBorders>
            <w:shd w:val="clear" w:color="auto" w:fill="auto"/>
            <w:noWrap/>
            <w:vAlign w:val="bottom"/>
            <w:hideMark/>
          </w:tcPr>
          <w:p w14:paraId="3027B3A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10,166</w:t>
            </w:r>
          </w:p>
        </w:tc>
        <w:tc>
          <w:tcPr>
            <w:tcW w:w="851" w:type="dxa"/>
            <w:tcBorders>
              <w:top w:val="nil"/>
              <w:left w:val="nil"/>
              <w:bottom w:val="nil"/>
              <w:right w:val="nil"/>
            </w:tcBorders>
            <w:shd w:val="clear" w:color="auto" w:fill="auto"/>
            <w:noWrap/>
            <w:vAlign w:val="bottom"/>
            <w:hideMark/>
          </w:tcPr>
          <w:p w14:paraId="7E22CDD9"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12,660</w:t>
            </w:r>
          </w:p>
        </w:tc>
        <w:tc>
          <w:tcPr>
            <w:tcW w:w="851" w:type="dxa"/>
            <w:tcBorders>
              <w:top w:val="nil"/>
              <w:left w:val="nil"/>
              <w:bottom w:val="nil"/>
              <w:right w:val="nil"/>
            </w:tcBorders>
            <w:shd w:val="clear" w:color="auto" w:fill="auto"/>
            <w:noWrap/>
            <w:vAlign w:val="bottom"/>
            <w:hideMark/>
          </w:tcPr>
          <w:p w14:paraId="183FFE09"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34,921</w:t>
            </w:r>
          </w:p>
        </w:tc>
        <w:tc>
          <w:tcPr>
            <w:tcW w:w="1315" w:type="dxa"/>
            <w:tcBorders>
              <w:top w:val="nil"/>
              <w:left w:val="nil"/>
              <w:bottom w:val="nil"/>
              <w:right w:val="nil"/>
            </w:tcBorders>
            <w:shd w:val="clear" w:color="auto" w:fill="auto"/>
            <w:noWrap/>
            <w:vAlign w:val="bottom"/>
            <w:hideMark/>
          </w:tcPr>
          <w:p w14:paraId="6A017104"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8,088</w:t>
            </w:r>
          </w:p>
        </w:tc>
        <w:tc>
          <w:tcPr>
            <w:tcW w:w="1316" w:type="dxa"/>
            <w:tcBorders>
              <w:top w:val="nil"/>
              <w:left w:val="nil"/>
              <w:bottom w:val="nil"/>
              <w:right w:val="nil"/>
            </w:tcBorders>
            <w:shd w:val="clear" w:color="auto" w:fill="auto"/>
            <w:noWrap/>
            <w:vAlign w:val="bottom"/>
            <w:hideMark/>
          </w:tcPr>
          <w:p w14:paraId="545986CF"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13,394</w:t>
            </w:r>
          </w:p>
        </w:tc>
        <w:tc>
          <w:tcPr>
            <w:tcW w:w="770" w:type="dxa"/>
            <w:tcBorders>
              <w:top w:val="nil"/>
              <w:left w:val="nil"/>
              <w:bottom w:val="nil"/>
              <w:right w:val="nil"/>
            </w:tcBorders>
            <w:shd w:val="clear" w:color="auto" w:fill="auto"/>
            <w:noWrap/>
            <w:vAlign w:val="bottom"/>
            <w:hideMark/>
          </w:tcPr>
          <w:p w14:paraId="0995A3A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20,317</w:t>
            </w:r>
          </w:p>
        </w:tc>
        <w:tc>
          <w:tcPr>
            <w:tcW w:w="1069" w:type="dxa"/>
            <w:tcBorders>
              <w:top w:val="nil"/>
              <w:left w:val="nil"/>
              <w:bottom w:val="nil"/>
              <w:right w:val="nil"/>
            </w:tcBorders>
            <w:shd w:val="clear" w:color="auto" w:fill="auto"/>
            <w:noWrap/>
            <w:vAlign w:val="bottom"/>
            <w:hideMark/>
          </w:tcPr>
          <w:p w14:paraId="4CB4A33F"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rPr>
            </w:pPr>
            <w:r w:rsidRPr="00C7456C">
              <w:rPr>
                <w:rFonts w:eastAsia="Times New Roman" w:cs="Calibri"/>
                <w:color w:val="002060"/>
                <w:sz w:val="18"/>
              </w:rPr>
              <w:t>101,850</w:t>
            </w:r>
          </w:p>
        </w:tc>
      </w:tr>
      <w:tr w:rsidR="006C2C5E" w:rsidRPr="00C7456C" w14:paraId="301A6D68" w14:textId="77777777" w:rsidTr="002F7131">
        <w:trPr>
          <w:trHeight w:val="20"/>
          <w:jc w:val="center"/>
        </w:trPr>
        <w:tc>
          <w:tcPr>
            <w:tcW w:w="1545" w:type="dxa"/>
            <w:tcBorders>
              <w:top w:val="nil"/>
              <w:left w:val="nil"/>
              <w:bottom w:val="nil"/>
              <w:right w:val="nil"/>
            </w:tcBorders>
            <w:shd w:val="clear" w:color="auto" w:fill="auto"/>
            <w:noWrap/>
            <w:vAlign w:val="bottom"/>
            <w:hideMark/>
          </w:tcPr>
          <w:p w14:paraId="778D6A0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rPr>
            </w:pPr>
          </w:p>
        </w:tc>
        <w:tc>
          <w:tcPr>
            <w:tcW w:w="1006" w:type="dxa"/>
            <w:tcBorders>
              <w:top w:val="nil"/>
              <w:left w:val="single" w:sz="4" w:space="0" w:color="0070C0"/>
              <w:bottom w:val="nil"/>
              <w:right w:val="nil"/>
            </w:tcBorders>
            <w:shd w:val="clear" w:color="auto" w:fill="auto"/>
            <w:noWrap/>
            <w:vAlign w:val="bottom"/>
            <w:hideMark/>
          </w:tcPr>
          <w:p w14:paraId="07298B4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bookmarkStart w:id="58" w:name="RANGE!B12:M32"/>
            <w:r w:rsidRPr="00C7456C">
              <w:rPr>
                <w:rFonts w:eastAsia="Times New Roman" w:cs="Calibri"/>
                <w:sz w:val="18"/>
              </w:rPr>
              <w:t> </w:t>
            </w:r>
            <w:bookmarkEnd w:id="58"/>
          </w:p>
        </w:tc>
        <w:tc>
          <w:tcPr>
            <w:tcW w:w="992" w:type="dxa"/>
            <w:gridSpan w:val="2"/>
            <w:tcBorders>
              <w:top w:val="nil"/>
              <w:left w:val="nil"/>
              <w:bottom w:val="nil"/>
              <w:right w:val="nil"/>
            </w:tcBorders>
            <w:shd w:val="clear" w:color="auto" w:fill="auto"/>
            <w:noWrap/>
            <w:vAlign w:val="bottom"/>
            <w:hideMark/>
          </w:tcPr>
          <w:p w14:paraId="5FD1CD1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p>
        </w:tc>
        <w:tc>
          <w:tcPr>
            <w:tcW w:w="993" w:type="dxa"/>
            <w:tcBorders>
              <w:top w:val="nil"/>
              <w:left w:val="nil"/>
              <w:bottom w:val="nil"/>
              <w:right w:val="nil"/>
            </w:tcBorders>
            <w:shd w:val="clear" w:color="auto" w:fill="auto"/>
            <w:noWrap/>
            <w:vAlign w:val="bottom"/>
            <w:hideMark/>
          </w:tcPr>
          <w:p w14:paraId="0EB57CB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07" w:type="dxa"/>
            <w:tcBorders>
              <w:top w:val="nil"/>
              <w:left w:val="nil"/>
              <w:bottom w:val="nil"/>
              <w:right w:val="nil"/>
            </w:tcBorders>
            <w:shd w:val="clear" w:color="auto" w:fill="auto"/>
            <w:noWrap/>
            <w:vAlign w:val="bottom"/>
            <w:hideMark/>
          </w:tcPr>
          <w:p w14:paraId="637F3DE4"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4" w:type="dxa"/>
            <w:tcBorders>
              <w:top w:val="nil"/>
              <w:left w:val="nil"/>
              <w:bottom w:val="nil"/>
              <w:right w:val="nil"/>
            </w:tcBorders>
            <w:shd w:val="clear" w:color="auto" w:fill="auto"/>
            <w:noWrap/>
            <w:vAlign w:val="bottom"/>
            <w:hideMark/>
          </w:tcPr>
          <w:p w14:paraId="23764ED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3" w:type="dxa"/>
            <w:tcBorders>
              <w:top w:val="nil"/>
              <w:left w:val="nil"/>
              <w:bottom w:val="nil"/>
              <w:right w:val="nil"/>
            </w:tcBorders>
            <w:shd w:val="clear" w:color="auto" w:fill="auto"/>
            <w:noWrap/>
            <w:vAlign w:val="bottom"/>
            <w:hideMark/>
          </w:tcPr>
          <w:p w14:paraId="0CBC318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2AC3E4B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382981C4"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5" w:type="dxa"/>
            <w:tcBorders>
              <w:top w:val="nil"/>
              <w:left w:val="nil"/>
              <w:bottom w:val="nil"/>
              <w:right w:val="nil"/>
            </w:tcBorders>
            <w:shd w:val="clear" w:color="auto" w:fill="auto"/>
            <w:noWrap/>
            <w:vAlign w:val="bottom"/>
            <w:hideMark/>
          </w:tcPr>
          <w:p w14:paraId="2B6414C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6" w:type="dxa"/>
            <w:tcBorders>
              <w:top w:val="nil"/>
              <w:left w:val="nil"/>
              <w:bottom w:val="nil"/>
              <w:right w:val="nil"/>
            </w:tcBorders>
            <w:shd w:val="clear" w:color="auto" w:fill="auto"/>
            <w:noWrap/>
            <w:vAlign w:val="bottom"/>
            <w:hideMark/>
          </w:tcPr>
          <w:p w14:paraId="397D97D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70" w:type="dxa"/>
            <w:tcBorders>
              <w:top w:val="nil"/>
              <w:left w:val="nil"/>
              <w:bottom w:val="nil"/>
              <w:right w:val="nil"/>
            </w:tcBorders>
            <w:shd w:val="clear" w:color="auto" w:fill="auto"/>
            <w:noWrap/>
            <w:vAlign w:val="bottom"/>
            <w:hideMark/>
          </w:tcPr>
          <w:p w14:paraId="2237F25F"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069" w:type="dxa"/>
            <w:tcBorders>
              <w:top w:val="nil"/>
              <w:left w:val="nil"/>
              <w:bottom w:val="nil"/>
              <w:right w:val="nil"/>
            </w:tcBorders>
            <w:shd w:val="clear" w:color="auto" w:fill="auto"/>
            <w:noWrap/>
            <w:vAlign w:val="bottom"/>
            <w:hideMark/>
          </w:tcPr>
          <w:p w14:paraId="5759EE5E" w14:textId="546A3B1F"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r>
      <w:tr w:rsidR="006C2C5E" w:rsidRPr="00C7456C" w14:paraId="1D090CA5" w14:textId="77777777" w:rsidTr="002F7131">
        <w:trPr>
          <w:trHeight w:val="20"/>
          <w:jc w:val="center"/>
        </w:trPr>
        <w:tc>
          <w:tcPr>
            <w:tcW w:w="1545" w:type="dxa"/>
            <w:tcBorders>
              <w:top w:val="nil"/>
              <w:left w:val="nil"/>
              <w:bottom w:val="nil"/>
              <w:right w:val="nil"/>
            </w:tcBorders>
            <w:shd w:val="clear" w:color="auto" w:fill="auto"/>
            <w:noWrap/>
            <w:vAlign w:val="bottom"/>
            <w:hideMark/>
          </w:tcPr>
          <w:p w14:paraId="00E3FFC8"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8"/>
              </w:rPr>
            </w:pPr>
            <w:r w:rsidRPr="00C7456C">
              <w:rPr>
                <w:rFonts w:cstheme="minorHAnsi"/>
                <w:sz w:val="18"/>
              </w:rPr>
              <w:t xml:space="preserve">2 - </w:t>
            </w:r>
            <w:r w:rsidRPr="00C7456C">
              <w:rPr>
                <w:rFonts w:cstheme="minorHAnsi"/>
                <w:sz w:val="18"/>
              </w:rPr>
              <w:t>其他人员费用</w:t>
            </w:r>
          </w:p>
        </w:tc>
        <w:tc>
          <w:tcPr>
            <w:tcW w:w="1006" w:type="dxa"/>
            <w:tcBorders>
              <w:top w:val="nil"/>
              <w:left w:val="single" w:sz="4" w:space="0" w:color="0070C0"/>
              <w:bottom w:val="nil"/>
              <w:right w:val="nil"/>
            </w:tcBorders>
            <w:shd w:val="clear" w:color="auto" w:fill="auto"/>
            <w:noWrap/>
            <w:vAlign w:val="bottom"/>
            <w:hideMark/>
          </w:tcPr>
          <w:p w14:paraId="45D85CB2"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18</w:t>
            </w:r>
          </w:p>
        </w:tc>
        <w:tc>
          <w:tcPr>
            <w:tcW w:w="992" w:type="dxa"/>
            <w:gridSpan w:val="2"/>
            <w:tcBorders>
              <w:top w:val="nil"/>
              <w:left w:val="nil"/>
              <w:bottom w:val="nil"/>
              <w:right w:val="nil"/>
            </w:tcBorders>
            <w:shd w:val="clear" w:color="auto" w:fill="auto"/>
            <w:noWrap/>
            <w:vAlign w:val="bottom"/>
            <w:hideMark/>
          </w:tcPr>
          <w:p w14:paraId="1868E59F"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3" w:type="dxa"/>
            <w:tcBorders>
              <w:top w:val="nil"/>
              <w:left w:val="nil"/>
              <w:bottom w:val="nil"/>
              <w:right w:val="nil"/>
            </w:tcBorders>
            <w:shd w:val="clear" w:color="auto" w:fill="auto"/>
            <w:noWrap/>
            <w:vAlign w:val="bottom"/>
            <w:hideMark/>
          </w:tcPr>
          <w:p w14:paraId="0B3DB23F"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16</w:t>
            </w:r>
          </w:p>
        </w:tc>
        <w:tc>
          <w:tcPr>
            <w:tcW w:w="707" w:type="dxa"/>
            <w:tcBorders>
              <w:top w:val="nil"/>
              <w:left w:val="nil"/>
              <w:bottom w:val="nil"/>
              <w:right w:val="nil"/>
            </w:tcBorders>
            <w:shd w:val="clear" w:color="auto" w:fill="auto"/>
            <w:noWrap/>
            <w:vAlign w:val="bottom"/>
            <w:hideMark/>
          </w:tcPr>
          <w:p w14:paraId="58EBD82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4" w:type="dxa"/>
            <w:tcBorders>
              <w:top w:val="nil"/>
              <w:left w:val="nil"/>
              <w:bottom w:val="nil"/>
              <w:right w:val="nil"/>
            </w:tcBorders>
            <w:shd w:val="clear" w:color="auto" w:fill="auto"/>
            <w:noWrap/>
            <w:vAlign w:val="bottom"/>
            <w:hideMark/>
          </w:tcPr>
          <w:p w14:paraId="6AD1268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12,700</w:t>
            </w:r>
          </w:p>
        </w:tc>
        <w:tc>
          <w:tcPr>
            <w:tcW w:w="993" w:type="dxa"/>
            <w:tcBorders>
              <w:top w:val="nil"/>
              <w:left w:val="nil"/>
              <w:bottom w:val="nil"/>
              <w:right w:val="nil"/>
            </w:tcBorders>
            <w:shd w:val="clear" w:color="auto" w:fill="auto"/>
            <w:noWrap/>
            <w:vAlign w:val="bottom"/>
            <w:hideMark/>
          </w:tcPr>
          <w:p w14:paraId="74BF6C9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2,808</w:t>
            </w:r>
          </w:p>
        </w:tc>
        <w:tc>
          <w:tcPr>
            <w:tcW w:w="851" w:type="dxa"/>
            <w:tcBorders>
              <w:top w:val="nil"/>
              <w:left w:val="nil"/>
              <w:bottom w:val="nil"/>
              <w:right w:val="nil"/>
            </w:tcBorders>
            <w:shd w:val="clear" w:color="auto" w:fill="auto"/>
            <w:noWrap/>
            <w:vAlign w:val="bottom"/>
            <w:hideMark/>
          </w:tcPr>
          <w:p w14:paraId="6EB4F5F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3,686</w:t>
            </w:r>
          </w:p>
        </w:tc>
        <w:tc>
          <w:tcPr>
            <w:tcW w:w="851" w:type="dxa"/>
            <w:tcBorders>
              <w:top w:val="nil"/>
              <w:left w:val="nil"/>
              <w:bottom w:val="nil"/>
              <w:right w:val="nil"/>
            </w:tcBorders>
            <w:shd w:val="clear" w:color="auto" w:fill="auto"/>
            <w:noWrap/>
            <w:vAlign w:val="bottom"/>
            <w:hideMark/>
          </w:tcPr>
          <w:p w14:paraId="2F4D690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8,917</w:t>
            </w:r>
          </w:p>
        </w:tc>
        <w:tc>
          <w:tcPr>
            <w:tcW w:w="1315" w:type="dxa"/>
            <w:tcBorders>
              <w:top w:val="nil"/>
              <w:left w:val="nil"/>
              <w:bottom w:val="nil"/>
              <w:right w:val="nil"/>
            </w:tcBorders>
            <w:shd w:val="clear" w:color="auto" w:fill="auto"/>
            <w:noWrap/>
            <w:vAlign w:val="bottom"/>
            <w:hideMark/>
          </w:tcPr>
          <w:p w14:paraId="47C369C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2,248</w:t>
            </w:r>
          </w:p>
        </w:tc>
        <w:tc>
          <w:tcPr>
            <w:tcW w:w="1316" w:type="dxa"/>
            <w:tcBorders>
              <w:top w:val="nil"/>
              <w:left w:val="nil"/>
              <w:bottom w:val="nil"/>
              <w:right w:val="nil"/>
            </w:tcBorders>
            <w:shd w:val="clear" w:color="auto" w:fill="auto"/>
            <w:noWrap/>
            <w:vAlign w:val="bottom"/>
            <w:hideMark/>
          </w:tcPr>
          <w:p w14:paraId="2EBE5D5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3,782</w:t>
            </w:r>
          </w:p>
        </w:tc>
        <w:tc>
          <w:tcPr>
            <w:tcW w:w="770" w:type="dxa"/>
            <w:tcBorders>
              <w:top w:val="nil"/>
              <w:left w:val="nil"/>
              <w:bottom w:val="nil"/>
              <w:right w:val="nil"/>
            </w:tcBorders>
            <w:shd w:val="clear" w:color="auto" w:fill="auto"/>
            <w:noWrap/>
            <w:vAlign w:val="bottom"/>
            <w:hideMark/>
          </w:tcPr>
          <w:p w14:paraId="580F050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5,896</w:t>
            </w:r>
          </w:p>
        </w:tc>
        <w:tc>
          <w:tcPr>
            <w:tcW w:w="1069" w:type="dxa"/>
            <w:tcBorders>
              <w:top w:val="nil"/>
              <w:left w:val="nil"/>
              <w:bottom w:val="nil"/>
              <w:right w:val="nil"/>
            </w:tcBorders>
            <w:shd w:val="clear" w:color="auto" w:fill="auto"/>
            <w:noWrap/>
            <w:vAlign w:val="bottom"/>
            <w:hideMark/>
          </w:tcPr>
          <w:p w14:paraId="5341C40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rPr>
            </w:pPr>
            <w:r w:rsidRPr="00C7456C">
              <w:rPr>
                <w:rFonts w:eastAsia="Times New Roman" w:cs="Calibri"/>
                <w:color w:val="002060"/>
                <w:sz w:val="18"/>
              </w:rPr>
              <w:t>40,071</w:t>
            </w:r>
          </w:p>
        </w:tc>
      </w:tr>
      <w:tr w:rsidR="006C2C5E" w:rsidRPr="00C7456C" w14:paraId="46465F30" w14:textId="77777777" w:rsidTr="002F7131">
        <w:trPr>
          <w:trHeight w:val="20"/>
          <w:jc w:val="center"/>
        </w:trPr>
        <w:tc>
          <w:tcPr>
            <w:tcW w:w="1545" w:type="dxa"/>
            <w:tcBorders>
              <w:top w:val="nil"/>
              <w:left w:val="nil"/>
              <w:bottom w:val="nil"/>
              <w:right w:val="nil"/>
            </w:tcBorders>
            <w:shd w:val="clear" w:color="auto" w:fill="auto"/>
            <w:noWrap/>
            <w:vAlign w:val="bottom"/>
            <w:hideMark/>
          </w:tcPr>
          <w:p w14:paraId="7F36C4D8"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rPr>
            </w:pPr>
          </w:p>
        </w:tc>
        <w:tc>
          <w:tcPr>
            <w:tcW w:w="1006" w:type="dxa"/>
            <w:tcBorders>
              <w:top w:val="nil"/>
              <w:left w:val="single" w:sz="4" w:space="0" w:color="0070C0"/>
              <w:bottom w:val="nil"/>
              <w:right w:val="nil"/>
            </w:tcBorders>
            <w:shd w:val="clear" w:color="auto" w:fill="auto"/>
            <w:noWrap/>
            <w:vAlign w:val="bottom"/>
            <w:hideMark/>
          </w:tcPr>
          <w:p w14:paraId="732A876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 </w:t>
            </w:r>
          </w:p>
        </w:tc>
        <w:tc>
          <w:tcPr>
            <w:tcW w:w="992" w:type="dxa"/>
            <w:gridSpan w:val="2"/>
            <w:tcBorders>
              <w:top w:val="nil"/>
              <w:left w:val="nil"/>
              <w:bottom w:val="nil"/>
              <w:right w:val="nil"/>
            </w:tcBorders>
            <w:shd w:val="clear" w:color="auto" w:fill="auto"/>
            <w:noWrap/>
            <w:vAlign w:val="bottom"/>
            <w:hideMark/>
          </w:tcPr>
          <w:p w14:paraId="419A75A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p>
        </w:tc>
        <w:tc>
          <w:tcPr>
            <w:tcW w:w="993" w:type="dxa"/>
            <w:tcBorders>
              <w:top w:val="nil"/>
              <w:left w:val="nil"/>
              <w:bottom w:val="nil"/>
              <w:right w:val="nil"/>
            </w:tcBorders>
            <w:shd w:val="clear" w:color="auto" w:fill="auto"/>
            <w:noWrap/>
            <w:vAlign w:val="bottom"/>
            <w:hideMark/>
          </w:tcPr>
          <w:p w14:paraId="5D9F8644"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07" w:type="dxa"/>
            <w:tcBorders>
              <w:top w:val="nil"/>
              <w:left w:val="nil"/>
              <w:bottom w:val="nil"/>
              <w:right w:val="nil"/>
            </w:tcBorders>
            <w:shd w:val="clear" w:color="auto" w:fill="auto"/>
            <w:noWrap/>
            <w:vAlign w:val="bottom"/>
            <w:hideMark/>
          </w:tcPr>
          <w:p w14:paraId="4BEEC44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4" w:type="dxa"/>
            <w:tcBorders>
              <w:top w:val="nil"/>
              <w:left w:val="nil"/>
              <w:bottom w:val="nil"/>
              <w:right w:val="nil"/>
            </w:tcBorders>
            <w:shd w:val="clear" w:color="auto" w:fill="auto"/>
            <w:noWrap/>
            <w:vAlign w:val="bottom"/>
            <w:hideMark/>
          </w:tcPr>
          <w:p w14:paraId="21EDC9D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3" w:type="dxa"/>
            <w:tcBorders>
              <w:top w:val="nil"/>
              <w:left w:val="nil"/>
              <w:bottom w:val="nil"/>
              <w:right w:val="nil"/>
            </w:tcBorders>
            <w:shd w:val="clear" w:color="auto" w:fill="auto"/>
            <w:noWrap/>
            <w:vAlign w:val="bottom"/>
            <w:hideMark/>
          </w:tcPr>
          <w:p w14:paraId="3A6601D8"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76619E2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19FCFA1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5" w:type="dxa"/>
            <w:tcBorders>
              <w:top w:val="nil"/>
              <w:left w:val="nil"/>
              <w:bottom w:val="nil"/>
              <w:right w:val="nil"/>
            </w:tcBorders>
            <w:shd w:val="clear" w:color="auto" w:fill="auto"/>
            <w:noWrap/>
            <w:vAlign w:val="bottom"/>
            <w:hideMark/>
          </w:tcPr>
          <w:p w14:paraId="1913EA0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6" w:type="dxa"/>
            <w:tcBorders>
              <w:top w:val="nil"/>
              <w:left w:val="nil"/>
              <w:bottom w:val="nil"/>
              <w:right w:val="nil"/>
            </w:tcBorders>
            <w:shd w:val="clear" w:color="auto" w:fill="auto"/>
            <w:noWrap/>
            <w:vAlign w:val="bottom"/>
            <w:hideMark/>
          </w:tcPr>
          <w:p w14:paraId="2C04D612"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70" w:type="dxa"/>
            <w:tcBorders>
              <w:top w:val="nil"/>
              <w:left w:val="nil"/>
              <w:bottom w:val="nil"/>
              <w:right w:val="nil"/>
            </w:tcBorders>
            <w:shd w:val="clear" w:color="auto" w:fill="auto"/>
            <w:noWrap/>
            <w:vAlign w:val="bottom"/>
            <w:hideMark/>
          </w:tcPr>
          <w:p w14:paraId="509542B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069" w:type="dxa"/>
            <w:tcBorders>
              <w:top w:val="nil"/>
              <w:left w:val="nil"/>
              <w:bottom w:val="nil"/>
              <w:right w:val="nil"/>
            </w:tcBorders>
            <w:shd w:val="clear" w:color="auto" w:fill="auto"/>
            <w:noWrap/>
            <w:vAlign w:val="bottom"/>
            <w:hideMark/>
          </w:tcPr>
          <w:p w14:paraId="092E0A1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r>
      <w:tr w:rsidR="006C2C5E" w:rsidRPr="00C7456C" w14:paraId="5721FA27" w14:textId="77777777" w:rsidTr="002F7131">
        <w:trPr>
          <w:trHeight w:val="20"/>
          <w:jc w:val="center"/>
        </w:trPr>
        <w:tc>
          <w:tcPr>
            <w:tcW w:w="1545" w:type="dxa"/>
            <w:tcBorders>
              <w:top w:val="nil"/>
              <w:left w:val="nil"/>
              <w:bottom w:val="nil"/>
              <w:right w:val="nil"/>
            </w:tcBorders>
            <w:shd w:val="clear" w:color="auto" w:fill="auto"/>
            <w:noWrap/>
            <w:vAlign w:val="bottom"/>
            <w:hideMark/>
          </w:tcPr>
          <w:p w14:paraId="14BE82D1"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8"/>
              </w:rPr>
            </w:pPr>
            <w:r w:rsidRPr="00C7456C">
              <w:rPr>
                <w:rFonts w:cstheme="minorHAnsi"/>
                <w:sz w:val="18"/>
              </w:rPr>
              <w:t xml:space="preserve">3 - </w:t>
            </w:r>
            <w:r w:rsidRPr="00C7456C">
              <w:rPr>
                <w:rFonts w:cstheme="minorHAnsi"/>
                <w:sz w:val="18"/>
              </w:rPr>
              <w:t>公务差旅</w:t>
            </w:r>
          </w:p>
        </w:tc>
        <w:tc>
          <w:tcPr>
            <w:tcW w:w="1006" w:type="dxa"/>
            <w:tcBorders>
              <w:top w:val="nil"/>
              <w:left w:val="single" w:sz="4" w:space="0" w:color="0070C0"/>
              <w:bottom w:val="nil"/>
              <w:right w:val="nil"/>
            </w:tcBorders>
            <w:shd w:val="clear" w:color="auto" w:fill="auto"/>
            <w:noWrap/>
            <w:vAlign w:val="bottom"/>
            <w:hideMark/>
          </w:tcPr>
          <w:p w14:paraId="6BAD3F4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123</w:t>
            </w:r>
          </w:p>
        </w:tc>
        <w:tc>
          <w:tcPr>
            <w:tcW w:w="992" w:type="dxa"/>
            <w:gridSpan w:val="2"/>
            <w:tcBorders>
              <w:top w:val="nil"/>
              <w:left w:val="nil"/>
              <w:bottom w:val="nil"/>
              <w:right w:val="nil"/>
            </w:tcBorders>
            <w:shd w:val="clear" w:color="auto" w:fill="auto"/>
            <w:noWrap/>
            <w:vAlign w:val="bottom"/>
            <w:hideMark/>
          </w:tcPr>
          <w:p w14:paraId="70606459"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3" w:type="dxa"/>
            <w:tcBorders>
              <w:top w:val="nil"/>
              <w:left w:val="nil"/>
              <w:bottom w:val="nil"/>
              <w:right w:val="nil"/>
            </w:tcBorders>
            <w:shd w:val="clear" w:color="auto" w:fill="auto"/>
            <w:noWrap/>
            <w:vAlign w:val="bottom"/>
            <w:hideMark/>
          </w:tcPr>
          <w:p w14:paraId="3CF68BF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582</w:t>
            </w:r>
          </w:p>
        </w:tc>
        <w:tc>
          <w:tcPr>
            <w:tcW w:w="707" w:type="dxa"/>
            <w:tcBorders>
              <w:top w:val="nil"/>
              <w:left w:val="nil"/>
              <w:bottom w:val="nil"/>
              <w:right w:val="nil"/>
            </w:tcBorders>
            <w:shd w:val="clear" w:color="auto" w:fill="auto"/>
            <w:noWrap/>
            <w:vAlign w:val="bottom"/>
            <w:hideMark/>
          </w:tcPr>
          <w:p w14:paraId="59645048"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4" w:type="dxa"/>
            <w:tcBorders>
              <w:top w:val="nil"/>
              <w:left w:val="nil"/>
              <w:bottom w:val="nil"/>
              <w:right w:val="nil"/>
            </w:tcBorders>
            <w:shd w:val="clear" w:color="auto" w:fill="auto"/>
            <w:noWrap/>
            <w:vAlign w:val="bottom"/>
            <w:hideMark/>
          </w:tcPr>
          <w:p w14:paraId="7868B3E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3" w:type="dxa"/>
            <w:tcBorders>
              <w:top w:val="nil"/>
              <w:left w:val="nil"/>
              <w:bottom w:val="nil"/>
              <w:right w:val="nil"/>
            </w:tcBorders>
            <w:shd w:val="clear" w:color="auto" w:fill="auto"/>
            <w:noWrap/>
            <w:vAlign w:val="bottom"/>
            <w:hideMark/>
          </w:tcPr>
          <w:p w14:paraId="63CB2F7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564</w:t>
            </w:r>
          </w:p>
        </w:tc>
        <w:tc>
          <w:tcPr>
            <w:tcW w:w="851" w:type="dxa"/>
            <w:tcBorders>
              <w:top w:val="nil"/>
              <w:left w:val="nil"/>
              <w:bottom w:val="nil"/>
              <w:right w:val="nil"/>
            </w:tcBorders>
            <w:shd w:val="clear" w:color="auto" w:fill="auto"/>
            <w:noWrap/>
            <w:vAlign w:val="bottom"/>
            <w:hideMark/>
          </w:tcPr>
          <w:p w14:paraId="04E7B94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300</w:t>
            </w:r>
          </w:p>
        </w:tc>
        <w:tc>
          <w:tcPr>
            <w:tcW w:w="851" w:type="dxa"/>
            <w:tcBorders>
              <w:top w:val="nil"/>
              <w:left w:val="nil"/>
              <w:bottom w:val="nil"/>
              <w:right w:val="nil"/>
            </w:tcBorders>
            <w:shd w:val="clear" w:color="auto" w:fill="auto"/>
            <w:noWrap/>
            <w:vAlign w:val="bottom"/>
            <w:hideMark/>
          </w:tcPr>
          <w:p w14:paraId="48BB874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70</w:t>
            </w:r>
          </w:p>
        </w:tc>
        <w:tc>
          <w:tcPr>
            <w:tcW w:w="1315" w:type="dxa"/>
            <w:tcBorders>
              <w:top w:val="nil"/>
              <w:left w:val="nil"/>
              <w:bottom w:val="nil"/>
              <w:right w:val="nil"/>
            </w:tcBorders>
            <w:shd w:val="clear" w:color="auto" w:fill="auto"/>
            <w:noWrap/>
            <w:vAlign w:val="bottom"/>
            <w:hideMark/>
          </w:tcPr>
          <w:p w14:paraId="5D406D6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128</w:t>
            </w:r>
          </w:p>
        </w:tc>
        <w:tc>
          <w:tcPr>
            <w:tcW w:w="1316" w:type="dxa"/>
            <w:tcBorders>
              <w:top w:val="nil"/>
              <w:left w:val="nil"/>
              <w:bottom w:val="nil"/>
              <w:right w:val="nil"/>
            </w:tcBorders>
            <w:shd w:val="clear" w:color="auto" w:fill="auto"/>
            <w:noWrap/>
            <w:vAlign w:val="bottom"/>
            <w:hideMark/>
          </w:tcPr>
          <w:p w14:paraId="0BB1E96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260</w:t>
            </w:r>
          </w:p>
        </w:tc>
        <w:tc>
          <w:tcPr>
            <w:tcW w:w="770" w:type="dxa"/>
            <w:tcBorders>
              <w:top w:val="nil"/>
              <w:left w:val="nil"/>
              <w:bottom w:val="nil"/>
              <w:right w:val="nil"/>
            </w:tcBorders>
            <w:shd w:val="clear" w:color="auto" w:fill="auto"/>
            <w:noWrap/>
            <w:vAlign w:val="bottom"/>
            <w:hideMark/>
          </w:tcPr>
          <w:p w14:paraId="4352E35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96</w:t>
            </w:r>
          </w:p>
        </w:tc>
        <w:tc>
          <w:tcPr>
            <w:tcW w:w="1069" w:type="dxa"/>
            <w:tcBorders>
              <w:top w:val="nil"/>
              <w:left w:val="nil"/>
              <w:bottom w:val="nil"/>
              <w:right w:val="nil"/>
            </w:tcBorders>
            <w:shd w:val="clear" w:color="auto" w:fill="auto"/>
            <w:noWrap/>
            <w:vAlign w:val="bottom"/>
            <w:hideMark/>
          </w:tcPr>
          <w:p w14:paraId="5DE9384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rPr>
            </w:pPr>
            <w:r w:rsidRPr="00C7456C">
              <w:rPr>
                <w:rFonts w:eastAsia="Times New Roman" w:cs="Calibri"/>
                <w:color w:val="002060"/>
                <w:sz w:val="18"/>
              </w:rPr>
              <w:t>2,123</w:t>
            </w:r>
          </w:p>
        </w:tc>
      </w:tr>
      <w:tr w:rsidR="006C2C5E" w:rsidRPr="00C7456C" w14:paraId="2064ED46" w14:textId="77777777" w:rsidTr="002F7131">
        <w:trPr>
          <w:trHeight w:val="20"/>
          <w:jc w:val="center"/>
        </w:trPr>
        <w:tc>
          <w:tcPr>
            <w:tcW w:w="1545" w:type="dxa"/>
            <w:tcBorders>
              <w:top w:val="nil"/>
              <w:left w:val="nil"/>
              <w:bottom w:val="nil"/>
              <w:right w:val="nil"/>
            </w:tcBorders>
            <w:shd w:val="clear" w:color="auto" w:fill="auto"/>
            <w:noWrap/>
            <w:vAlign w:val="bottom"/>
            <w:hideMark/>
          </w:tcPr>
          <w:p w14:paraId="4D8680A2"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rPr>
            </w:pPr>
          </w:p>
        </w:tc>
        <w:tc>
          <w:tcPr>
            <w:tcW w:w="1006" w:type="dxa"/>
            <w:tcBorders>
              <w:top w:val="nil"/>
              <w:left w:val="single" w:sz="4" w:space="0" w:color="0070C0"/>
              <w:bottom w:val="nil"/>
              <w:right w:val="nil"/>
            </w:tcBorders>
            <w:shd w:val="clear" w:color="auto" w:fill="auto"/>
            <w:noWrap/>
            <w:vAlign w:val="bottom"/>
            <w:hideMark/>
          </w:tcPr>
          <w:p w14:paraId="3C01B838"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 </w:t>
            </w:r>
          </w:p>
        </w:tc>
        <w:tc>
          <w:tcPr>
            <w:tcW w:w="992" w:type="dxa"/>
            <w:gridSpan w:val="2"/>
            <w:tcBorders>
              <w:top w:val="nil"/>
              <w:left w:val="nil"/>
              <w:bottom w:val="nil"/>
              <w:right w:val="nil"/>
            </w:tcBorders>
            <w:shd w:val="clear" w:color="auto" w:fill="auto"/>
            <w:noWrap/>
            <w:vAlign w:val="bottom"/>
            <w:hideMark/>
          </w:tcPr>
          <w:p w14:paraId="29050F5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p>
        </w:tc>
        <w:tc>
          <w:tcPr>
            <w:tcW w:w="993" w:type="dxa"/>
            <w:tcBorders>
              <w:top w:val="nil"/>
              <w:left w:val="nil"/>
              <w:bottom w:val="nil"/>
              <w:right w:val="nil"/>
            </w:tcBorders>
            <w:shd w:val="clear" w:color="auto" w:fill="auto"/>
            <w:noWrap/>
            <w:vAlign w:val="bottom"/>
            <w:hideMark/>
          </w:tcPr>
          <w:p w14:paraId="422B4684"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07" w:type="dxa"/>
            <w:tcBorders>
              <w:top w:val="nil"/>
              <w:left w:val="nil"/>
              <w:bottom w:val="nil"/>
              <w:right w:val="nil"/>
            </w:tcBorders>
            <w:shd w:val="clear" w:color="auto" w:fill="auto"/>
            <w:noWrap/>
            <w:vAlign w:val="bottom"/>
            <w:hideMark/>
          </w:tcPr>
          <w:p w14:paraId="113D06B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4" w:type="dxa"/>
            <w:tcBorders>
              <w:top w:val="nil"/>
              <w:left w:val="nil"/>
              <w:bottom w:val="nil"/>
              <w:right w:val="nil"/>
            </w:tcBorders>
            <w:shd w:val="clear" w:color="auto" w:fill="auto"/>
            <w:noWrap/>
            <w:vAlign w:val="bottom"/>
            <w:hideMark/>
          </w:tcPr>
          <w:p w14:paraId="6D37E01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3" w:type="dxa"/>
            <w:tcBorders>
              <w:top w:val="nil"/>
              <w:left w:val="nil"/>
              <w:bottom w:val="nil"/>
              <w:right w:val="nil"/>
            </w:tcBorders>
            <w:shd w:val="clear" w:color="auto" w:fill="auto"/>
            <w:noWrap/>
            <w:vAlign w:val="bottom"/>
            <w:hideMark/>
          </w:tcPr>
          <w:p w14:paraId="139BC57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59F43A0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096314C9"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5" w:type="dxa"/>
            <w:tcBorders>
              <w:top w:val="nil"/>
              <w:left w:val="nil"/>
              <w:bottom w:val="nil"/>
              <w:right w:val="nil"/>
            </w:tcBorders>
            <w:shd w:val="clear" w:color="auto" w:fill="auto"/>
            <w:noWrap/>
            <w:vAlign w:val="bottom"/>
            <w:hideMark/>
          </w:tcPr>
          <w:p w14:paraId="39210842"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6" w:type="dxa"/>
            <w:tcBorders>
              <w:top w:val="nil"/>
              <w:left w:val="nil"/>
              <w:bottom w:val="nil"/>
              <w:right w:val="nil"/>
            </w:tcBorders>
            <w:shd w:val="clear" w:color="auto" w:fill="auto"/>
            <w:noWrap/>
            <w:vAlign w:val="bottom"/>
            <w:hideMark/>
          </w:tcPr>
          <w:p w14:paraId="4346B06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70" w:type="dxa"/>
            <w:tcBorders>
              <w:top w:val="nil"/>
              <w:left w:val="nil"/>
              <w:bottom w:val="nil"/>
              <w:right w:val="nil"/>
            </w:tcBorders>
            <w:shd w:val="clear" w:color="auto" w:fill="auto"/>
            <w:noWrap/>
            <w:vAlign w:val="bottom"/>
            <w:hideMark/>
          </w:tcPr>
          <w:p w14:paraId="09E9625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069" w:type="dxa"/>
            <w:tcBorders>
              <w:top w:val="nil"/>
              <w:left w:val="nil"/>
              <w:bottom w:val="nil"/>
              <w:right w:val="nil"/>
            </w:tcBorders>
            <w:shd w:val="clear" w:color="auto" w:fill="auto"/>
            <w:noWrap/>
            <w:vAlign w:val="bottom"/>
            <w:hideMark/>
          </w:tcPr>
          <w:p w14:paraId="596F5D8E" w14:textId="32DDE70E"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r>
      <w:tr w:rsidR="006C2C5E" w:rsidRPr="00C7456C" w14:paraId="756B656D" w14:textId="77777777" w:rsidTr="002F7131">
        <w:trPr>
          <w:trHeight w:val="20"/>
          <w:jc w:val="center"/>
        </w:trPr>
        <w:tc>
          <w:tcPr>
            <w:tcW w:w="1545" w:type="dxa"/>
            <w:tcBorders>
              <w:top w:val="nil"/>
              <w:left w:val="nil"/>
              <w:bottom w:val="nil"/>
              <w:right w:val="nil"/>
            </w:tcBorders>
            <w:shd w:val="clear" w:color="auto" w:fill="auto"/>
            <w:noWrap/>
            <w:vAlign w:val="bottom"/>
            <w:hideMark/>
          </w:tcPr>
          <w:p w14:paraId="5AEF645B"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8"/>
              </w:rPr>
            </w:pPr>
            <w:r w:rsidRPr="00C7456C">
              <w:rPr>
                <w:rFonts w:cstheme="minorHAnsi"/>
                <w:sz w:val="18"/>
              </w:rPr>
              <w:t xml:space="preserve">4 - </w:t>
            </w:r>
            <w:r w:rsidRPr="00C7456C">
              <w:rPr>
                <w:rFonts w:cstheme="minorHAnsi"/>
                <w:sz w:val="18"/>
              </w:rPr>
              <w:t>合同服务</w:t>
            </w:r>
          </w:p>
        </w:tc>
        <w:tc>
          <w:tcPr>
            <w:tcW w:w="1006" w:type="dxa"/>
            <w:tcBorders>
              <w:top w:val="nil"/>
              <w:left w:val="single" w:sz="4" w:space="0" w:color="0070C0"/>
              <w:bottom w:val="nil"/>
              <w:right w:val="nil"/>
            </w:tcBorders>
            <w:shd w:val="clear" w:color="auto" w:fill="auto"/>
            <w:noWrap/>
            <w:vAlign w:val="bottom"/>
            <w:hideMark/>
          </w:tcPr>
          <w:p w14:paraId="2CE9CD4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147</w:t>
            </w:r>
          </w:p>
        </w:tc>
        <w:tc>
          <w:tcPr>
            <w:tcW w:w="992" w:type="dxa"/>
            <w:gridSpan w:val="2"/>
            <w:tcBorders>
              <w:top w:val="nil"/>
              <w:left w:val="nil"/>
              <w:bottom w:val="nil"/>
              <w:right w:val="nil"/>
            </w:tcBorders>
            <w:shd w:val="clear" w:color="auto" w:fill="auto"/>
            <w:noWrap/>
            <w:vAlign w:val="bottom"/>
            <w:hideMark/>
          </w:tcPr>
          <w:p w14:paraId="2075DF7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100</w:t>
            </w:r>
          </w:p>
        </w:tc>
        <w:tc>
          <w:tcPr>
            <w:tcW w:w="993" w:type="dxa"/>
            <w:tcBorders>
              <w:top w:val="nil"/>
              <w:left w:val="nil"/>
              <w:bottom w:val="nil"/>
              <w:right w:val="nil"/>
            </w:tcBorders>
            <w:shd w:val="clear" w:color="auto" w:fill="auto"/>
            <w:noWrap/>
            <w:vAlign w:val="bottom"/>
            <w:hideMark/>
          </w:tcPr>
          <w:p w14:paraId="650984B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24</w:t>
            </w:r>
          </w:p>
        </w:tc>
        <w:tc>
          <w:tcPr>
            <w:tcW w:w="707" w:type="dxa"/>
            <w:tcBorders>
              <w:top w:val="nil"/>
              <w:left w:val="nil"/>
              <w:bottom w:val="nil"/>
              <w:right w:val="nil"/>
            </w:tcBorders>
            <w:shd w:val="clear" w:color="auto" w:fill="auto"/>
            <w:noWrap/>
            <w:vAlign w:val="bottom"/>
            <w:hideMark/>
          </w:tcPr>
          <w:p w14:paraId="3934F65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1,050</w:t>
            </w:r>
          </w:p>
        </w:tc>
        <w:tc>
          <w:tcPr>
            <w:tcW w:w="994" w:type="dxa"/>
            <w:tcBorders>
              <w:top w:val="nil"/>
              <w:left w:val="nil"/>
              <w:bottom w:val="nil"/>
              <w:right w:val="nil"/>
            </w:tcBorders>
            <w:shd w:val="clear" w:color="auto" w:fill="auto"/>
            <w:noWrap/>
            <w:vAlign w:val="bottom"/>
            <w:hideMark/>
          </w:tcPr>
          <w:p w14:paraId="3FDC02C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1,700</w:t>
            </w:r>
          </w:p>
        </w:tc>
        <w:tc>
          <w:tcPr>
            <w:tcW w:w="993" w:type="dxa"/>
            <w:tcBorders>
              <w:top w:val="nil"/>
              <w:left w:val="nil"/>
              <w:bottom w:val="nil"/>
              <w:right w:val="nil"/>
            </w:tcBorders>
            <w:shd w:val="clear" w:color="auto" w:fill="auto"/>
            <w:noWrap/>
            <w:vAlign w:val="bottom"/>
            <w:hideMark/>
          </w:tcPr>
          <w:p w14:paraId="7662B66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500</w:t>
            </w:r>
          </w:p>
        </w:tc>
        <w:tc>
          <w:tcPr>
            <w:tcW w:w="851" w:type="dxa"/>
            <w:tcBorders>
              <w:top w:val="nil"/>
              <w:left w:val="nil"/>
              <w:bottom w:val="nil"/>
              <w:right w:val="nil"/>
            </w:tcBorders>
            <w:shd w:val="clear" w:color="auto" w:fill="auto"/>
            <w:noWrap/>
            <w:vAlign w:val="bottom"/>
            <w:hideMark/>
          </w:tcPr>
          <w:p w14:paraId="43FD474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218</w:t>
            </w:r>
          </w:p>
        </w:tc>
        <w:tc>
          <w:tcPr>
            <w:tcW w:w="851" w:type="dxa"/>
            <w:tcBorders>
              <w:top w:val="nil"/>
              <w:left w:val="nil"/>
              <w:bottom w:val="nil"/>
              <w:right w:val="nil"/>
            </w:tcBorders>
            <w:shd w:val="clear" w:color="auto" w:fill="auto"/>
            <w:noWrap/>
            <w:vAlign w:val="bottom"/>
            <w:hideMark/>
          </w:tcPr>
          <w:p w14:paraId="66A4DE09"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1,802</w:t>
            </w:r>
          </w:p>
        </w:tc>
        <w:tc>
          <w:tcPr>
            <w:tcW w:w="1315" w:type="dxa"/>
            <w:tcBorders>
              <w:top w:val="nil"/>
              <w:left w:val="nil"/>
              <w:bottom w:val="nil"/>
              <w:right w:val="nil"/>
            </w:tcBorders>
            <w:shd w:val="clear" w:color="auto" w:fill="auto"/>
            <w:noWrap/>
            <w:vAlign w:val="bottom"/>
            <w:hideMark/>
          </w:tcPr>
          <w:p w14:paraId="5DE6FEA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870</w:t>
            </w:r>
          </w:p>
        </w:tc>
        <w:tc>
          <w:tcPr>
            <w:tcW w:w="1316" w:type="dxa"/>
            <w:tcBorders>
              <w:top w:val="nil"/>
              <w:left w:val="nil"/>
              <w:bottom w:val="nil"/>
              <w:right w:val="nil"/>
            </w:tcBorders>
            <w:shd w:val="clear" w:color="auto" w:fill="auto"/>
            <w:noWrap/>
            <w:vAlign w:val="bottom"/>
            <w:hideMark/>
          </w:tcPr>
          <w:p w14:paraId="01C3F80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126</w:t>
            </w:r>
          </w:p>
        </w:tc>
        <w:tc>
          <w:tcPr>
            <w:tcW w:w="770" w:type="dxa"/>
            <w:tcBorders>
              <w:top w:val="nil"/>
              <w:left w:val="nil"/>
              <w:bottom w:val="nil"/>
              <w:right w:val="nil"/>
            </w:tcBorders>
            <w:shd w:val="clear" w:color="auto" w:fill="auto"/>
            <w:noWrap/>
            <w:vAlign w:val="bottom"/>
            <w:hideMark/>
          </w:tcPr>
          <w:p w14:paraId="560FEB14" w14:textId="44BE5866"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7,102</w:t>
            </w:r>
          </w:p>
        </w:tc>
        <w:tc>
          <w:tcPr>
            <w:tcW w:w="1069" w:type="dxa"/>
            <w:tcBorders>
              <w:top w:val="nil"/>
              <w:left w:val="nil"/>
              <w:bottom w:val="nil"/>
              <w:right w:val="nil"/>
            </w:tcBorders>
            <w:shd w:val="clear" w:color="auto" w:fill="auto"/>
            <w:noWrap/>
            <w:vAlign w:val="bottom"/>
            <w:hideMark/>
          </w:tcPr>
          <w:p w14:paraId="3BBA4EBC" w14:textId="029A21D1"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rPr>
            </w:pPr>
            <w:r w:rsidRPr="00C7456C">
              <w:rPr>
                <w:rFonts w:eastAsia="Times New Roman" w:cs="Calibri"/>
                <w:color w:val="002060"/>
                <w:sz w:val="18"/>
              </w:rPr>
              <w:t>13,639</w:t>
            </w:r>
          </w:p>
        </w:tc>
      </w:tr>
      <w:tr w:rsidR="006C2C5E" w:rsidRPr="00C7456C" w14:paraId="671A5F37" w14:textId="77777777" w:rsidTr="002F7131">
        <w:trPr>
          <w:trHeight w:val="20"/>
          <w:jc w:val="center"/>
        </w:trPr>
        <w:tc>
          <w:tcPr>
            <w:tcW w:w="1545" w:type="dxa"/>
            <w:tcBorders>
              <w:top w:val="nil"/>
              <w:left w:val="nil"/>
              <w:bottom w:val="nil"/>
              <w:right w:val="nil"/>
            </w:tcBorders>
            <w:shd w:val="clear" w:color="auto" w:fill="auto"/>
            <w:noWrap/>
            <w:vAlign w:val="bottom"/>
            <w:hideMark/>
          </w:tcPr>
          <w:p w14:paraId="341EEC5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rPr>
            </w:pPr>
          </w:p>
        </w:tc>
        <w:tc>
          <w:tcPr>
            <w:tcW w:w="1006" w:type="dxa"/>
            <w:tcBorders>
              <w:top w:val="nil"/>
              <w:left w:val="single" w:sz="4" w:space="0" w:color="0070C0"/>
              <w:bottom w:val="nil"/>
              <w:right w:val="nil"/>
            </w:tcBorders>
            <w:shd w:val="clear" w:color="auto" w:fill="auto"/>
            <w:noWrap/>
            <w:vAlign w:val="bottom"/>
            <w:hideMark/>
          </w:tcPr>
          <w:p w14:paraId="215E05F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 </w:t>
            </w:r>
          </w:p>
        </w:tc>
        <w:tc>
          <w:tcPr>
            <w:tcW w:w="992" w:type="dxa"/>
            <w:gridSpan w:val="2"/>
            <w:tcBorders>
              <w:top w:val="nil"/>
              <w:left w:val="nil"/>
              <w:bottom w:val="nil"/>
              <w:right w:val="nil"/>
            </w:tcBorders>
            <w:shd w:val="clear" w:color="auto" w:fill="auto"/>
            <w:noWrap/>
            <w:vAlign w:val="bottom"/>
            <w:hideMark/>
          </w:tcPr>
          <w:p w14:paraId="2F16F92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p>
        </w:tc>
        <w:tc>
          <w:tcPr>
            <w:tcW w:w="993" w:type="dxa"/>
            <w:tcBorders>
              <w:top w:val="nil"/>
              <w:left w:val="nil"/>
              <w:bottom w:val="nil"/>
              <w:right w:val="nil"/>
            </w:tcBorders>
            <w:shd w:val="clear" w:color="auto" w:fill="auto"/>
            <w:noWrap/>
            <w:vAlign w:val="bottom"/>
            <w:hideMark/>
          </w:tcPr>
          <w:p w14:paraId="1F61C1D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07" w:type="dxa"/>
            <w:tcBorders>
              <w:top w:val="nil"/>
              <w:left w:val="nil"/>
              <w:bottom w:val="nil"/>
              <w:right w:val="nil"/>
            </w:tcBorders>
            <w:shd w:val="clear" w:color="auto" w:fill="auto"/>
            <w:noWrap/>
            <w:vAlign w:val="bottom"/>
            <w:hideMark/>
          </w:tcPr>
          <w:p w14:paraId="0454FE3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4" w:type="dxa"/>
            <w:tcBorders>
              <w:top w:val="nil"/>
              <w:left w:val="nil"/>
              <w:bottom w:val="nil"/>
              <w:right w:val="nil"/>
            </w:tcBorders>
            <w:shd w:val="clear" w:color="auto" w:fill="auto"/>
            <w:noWrap/>
            <w:vAlign w:val="bottom"/>
            <w:hideMark/>
          </w:tcPr>
          <w:p w14:paraId="4BA9398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3" w:type="dxa"/>
            <w:tcBorders>
              <w:top w:val="nil"/>
              <w:left w:val="nil"/>
              <w:bottom w:val="nil"/>
              <w:right w:val="nil"/>
            </w:tcBorders>
            <w:shd w:val="clear" w:color="auto" w:fill="auto"/>
            <w:noWrap/>
            <w:vAlign w:val="bottom"/>
            <w:hideMark/>
          </w:tcPr>
          <w:p w14:paraId="3611D18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64A10DA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11967E9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5" w:type="dxa"/>
            <w:tcBorders>
              <w:top w:val="nil"/>
              <w:left w:val="nil"/>
              <w:bottom w:val="nil"/>
              <w:right w:val="nil"/>
            </w:tcBorders>
            <w:shd w:val="clear" w:color="auto" w:fill="auto"/>
            <w:noWrap/>
            <w:vAlign w:val="bottom"/>
            <w:hideMark/>
          </w:tcPr>
          <w:p w14:paraId="5582368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6" w:type="dxa"/>
            <w:tcBorders>
              <w:top w:val="nil"/>
              <w:left w:val="nil"/>
              <w:bottom w:val="nil"/>
              <w:right w:val="nil"/>
            </w:tcBorders>
            <w:shd w:val="clear" w:color="auto" w:fill="auto"/>
            <w:noWrap/>
            <w:vAlign w:val="bottom"/>
            <w:hideMark/>
          </w:tcPr>
          <w:p w14:paraId="7F7389B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70" w:type="dxa"/>
            <w:tcBorders>
              <w:top w:val="nil"/>
              <w:left w:val="nil"/>
              <w:bottom w:val="nil"/>
              <w:right w:val="nil"/>
            </w:tcBorders>
            <w:shd w:val="clear" w:color="auto" w:fill="auto"/>
            <w:noWrap/>
            <w:vAlign w:val="bottom"/>
            <w:hideMark/>
          </w:tcPr>
          <w:p w14:paraId="0E76870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069" w:type="dxa"/>
            <w:tcBorders>
              <w:top w:val="nil"/>
              <w:left w:val="nil"/>
              <w:bottom w:val="nil"/>
              <w:right w:val="nil"/>
            </w:tcBorders>
            <w:shd w:val="clear" w:color="auto" w:fill="auto"/>
            <w:noWrap/>
            <w:vAlign w:val="bottom"/>
            <w:hideMark/>
          </w:tcPr>
          <w:p w14:paraId="7425BEE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r>
      <w:tr w:rsidR="006C2C5E" w:rsidRPr="00C7456C" w14:paraId="0C2505B6" w14:textId="77777777" w:rsidTr="002F7131">
        <w:trPr>
          <w:trHeight w:val="20"/>
          <w:jc w:val="center"/>
        </w:trPr>
        <w:tc>
          <w:tcPr>
            <w:tcW w:w="1545" w:type="dxa"/>
            <w:tcBorders>
              <w:top w:val="nil"/>
              <w:left w:val="nil"/>
              <w:bottom w:val="nil"/>
              <w:right w:val="nil"/>
            </w:tcBorders>
            <w:shd w:val="clear" w:color="auto" w:fill="auto"/>
            <w:vAlign w:val="bottom"/>
            <w:hideMark/>
          </w:tcPr>
          <w:p w14:paraId="79C3A801"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8"/>
                <w:lang w:eastAsia="zh-CN"/>
              </w:rPr>
            </w:pPr>
            <w:r w:rsidRPr="00C7456C">
              <w:rPr>
                <w:rFonts w:cstheme="minorHAnsi"/>
                <w:sz w:val="18"/>
                <w:lang w:eastAsia="zh-CN"/>
              </w:rPr>
              <w:t xml:space="preserve">5 - </w:t>
            </w:r>
            <w:r w:rsidRPr="00C7456C">
              <w:rPr>
                <w:rFonts w:cstheme="minorHAnsi"/>
                <w:sz w:val="18"/>
                <w:lang w:eastAsia="zh-CN"/>
              </w:rPr>
              <w:t>房屋设施和设备的租用与维护</w:t>
            </w:r>
          </w:p>
        </w:tc>
        <w:tc>
          <w:tcPr>
            <w:tcW w:w="1006" w:type="dxa"/>
            <w:tcBorders>
              <w:top w:val="nil"/>
              <w:left w:val="single" w:sz="4" w:space="0" w:color="0070C0"/>
              <w:bottom w:val="nil"/>
              <w:right w:val="nil"/>
            </w:tcBorders>
            <w:shd w:val="clear" w:color="auto" w:fill="auto"/>
            <w:noWrap/>
            <w:vAlign w:val="bottom"/>
            <w:hideMark/>
          </w:tcPr>
          <w:p w14:paraId="6211253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lang w:eastAsia="zh-CN"/>
              </w:rPr>
            </w:pPr>
            <w:r w:rsidRPr="00C7456C">
              <w:rPr>
                <w:rFonts w:eastAsia="Times New Roman" w:cs="Calibri"/>
                <w:sz w:val="18"/>
                <w:lang w:eastAsia="zh-CN"/>
              </w:rPr>
              <w:t> </w:t>
            </w:r>
          </w:p>
        </w:tc>
        <w:tc>
          <w:tcPr>
            <w:tcW w:w="992" w:type="dxa"/>
            <w:gridSpan w:val="2"/>
            <w:tcBorders>
              <w:top w:val="nil"/>
              <w:left w:val="nil"/>
              <w:bottom w:val="nil"/>
              <w:right w:val="nil"/>
            </w:tcBorders>
            <w:shd w:val="clear" w:color="auto" w:fill="auto"/>
            <w:noWrap/>
            <w:vAlign w:val="bottom"/>
            <w:hideMark/>
          </w:tcPr>
          <w:p w14:paraId="46CCF2A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3" w:type="dxa"/>
            <w:tcBorders>
              <w:top w:val="nil"/>
              <w:left w:val="nil"/>
              <w:bottom w:val="nil"/>
              <w:right w:val="nil"/>
            </w:tcBorders>
            <w:shd w:val="clear" w:color="auto" w:fill="auto"/>
            <w:noWrap/>
            <w:vAlign w:val="bottom"/>
            <w:hideMark/>
          </w:tcPr>
          <w:p w14:paraId="3F86352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25</w:t>
            </w:r>
          </w:p>
        </w:tc>
        <w:tc>
          <w:tcPr>
            <w:tcW w:w="707" w:type="dxa"/>
            <w:tcBorders>
              <w:top w:val="nil"/>
              <w:left w:val="nil"/>
              <w:bottom w:val="nil"/>
              <w:right w:val="nil"/>
            </w:tcBorders>
            <w:shd w:val="clear" w:color="auto" w:fill="auto"/>
            <w:noWrap/>
            <w:vAlign w:val="bottom"/>
            <w:hideMark/>
          </w:tcPr>
          <w:p w14:paraId="1AB116DF"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4" w:type="dxa"/>
            <w:tcBorders>
              <w:top w:val="nil"/>
              <w:left w:val="nil"/>
              <w:bottom w:val="nil"/>
              <w:right w:val="nil"/>
            </w:tcBorders>
            <w:shd w:val="clear" w:color="auto" w:fill="auto"/>
            <w:noWrap/>
            <w:vAlign w:val="bottom"/>
            <w:hideMark/>
          </w:tcPr>
          <w:p w14:paraId="16C7215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200</w:t>
            </w:r>
          </w:p>
        </w:tc>
        <w:tc>
          <w:tcPr>
            <w:tcW w:w="993" w:type="dxa"/>
            <w:tcBorders>
              <w:top w:val="nil"/>
              <w:left w:val="nil"/>
              <w:bottom w:val="nil"/>
              <w:right w:val="nil"/>
            </w:tcBorders>
            <w:shd w:val="clear" w:color="auto" w:fill="auto"/>
            <w:noWrap/>
            <w:vAlign w:val="bottom"/>
            <w:hideMark/>
          </w:tcPr>
          <w:p w14:paraId="705790A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4,142</w:t>
            </w:r>
          </w:p>
        </w:tc>
        <w:tc>
          <w:tcPr>
            <w:tcW w:w="851" w:type="dxa"/>
            <w:tcBorders>
              <w:top w:val="nil"/>
              <w:left w:val="nil"/>
              <w:bottom w:val="nil"/>
              <w:right w:val="nil"/>
            </w:tcBorders>
            <w:shd w:val="clear" w:color="auto" w:fill="auto"/>
            <w:noWrap/>
            <w:vAlign w:val="bottom"/>
            <w:hideMark/>
          </w:tcPr>
          <w:p w14:paraId="6A5616E9"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20</w:t>
            </w:r>
          </w:p>
        </w:tc>
        <w:tc>
          <w:tcPr>
            <w:tcW w:w="851" w:type="dxa"/>
            <w:tcBorders>
              <w:top w:val="nil"/>
              <w:left w:val="nil"/>
              <w:bottom w:val="nil"/>
              <w:right w:val="nil"/>
            </w:tcBorders>
            <w:shd w:val="clear" w:color="auto" w:fill="auto"/>
            <w:noWrap/>
            <w:vAlign w:val="bottom"/>
            <w:hideMark/>
          </w:tcPr>
          <w:p w14:paraId="03B9CF6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444</w:t>
            </w:r>
          </w:p>
        </w:tc>
        <w:tc>
          <w:tcPr>
            <w:tcW w:w="1315" w:type="dxa"/>
            <w:tcBorders>
              <w:top w:val="nil"/>
              <w:left w:val="nil"/>
              <w:bottom w:val="nil"/>
              <w:right w:val="nil"/>
            </w:tcBorders>
            <w:shd w:val="clear" w:color="auto" w:fill="auto"/>
            <w:noWrap/>
            <w:vAlign w:val="bottom"/>
            <w:hideMark/>
          </w:tcPr>
          <w:p w14:paraId="0A554A7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2</w:t>
            </w:r>
          </w:p>
        </w:tc>
        <w:tc>
          <w:tcPr>
            <w:tcW w:w="1316" w:type="dxa"/>
            <w:tcBorders>
              <w:top w:val="nil"/>
              <w:left w:val="nil"/>
              <w:bottom w:val="nil"/>
              <w:right w:val="nil"/>
            </w:tcBorders>
            <w:shd w:val="clear" w:color="auto" w:fill="auto"/>
            <w:noWrap/>
            <w:vAlign w:val="bottom"/>
            <w:hideMark/>
          </w:tcPr>
          <w:p w14:paraId="0516F16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770" w:type="dxa"/>
            <w:tcBorders>
              <w:top w:val="nil"/>
              <w:left w:val="nil"/>
              <w:bottom w:val="nil"/>
              <w:right w:val="nil"/>
            </w:tcBorders>
            <w:shd w:val="clear" w:color="auto" w:fill="auto"/>
            <w:noWrap/>
            <w:vAlign w:val="bottom"/>
            <w:hideMark/>
          </w:tcPr>
          <w:p w14:paraId="5C38CAE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5,014</w:t>
            </w:r>
          </w:p>
        </w:tc>
        <w:tc>
          <w:tcPr>
            <w:tcW w:w="1069" w:type="dxa"/>
            <w:tcBorders>
              <w:top w:val="nil"/>
              <w:left w:val="nil"/>
              <w:bottom w:val="nil"/>
              <w:right w:val="nil"/>
            </w:tcBorders>
            <w:shd w:val="clear" w:color="auto" w:fill="auto"/>
            <w:noWrap/>
            <w:vAlign w:val="bottom"/>
            <w:hideMark/>
          </w:tcPr>
          <w:p w14:paraId="09CCAD6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rPr>
            </w:pPr>
            <w:r w:rsidRPr="00C7456C">
              <w:rPr>
                <w:rFonts w:eastAsia="Times New Roman" w:cs="Calibri"/>
                <w:color w:val="002060"/>
                <w:sz w:val="18"/>
              </w:rPr>
              <w:t>9,847</w:t>
            </w:r>
          </w:p>
        </w:tc>
      </w:tr>
      <w:tr w:rsidR="006C2C5E" w:rsidRPr="00C7456C" w14:paraId="79857A26" w14:textId="77777777" w:rsidTr="002F7131">
        <w:trPr>
          <w:trHeight w:val="20"/>
          <w:jc w:val="center"/>
        </w:trPr>
        <w:tc>
          <w:tcPr>
            <w:tcW w:w="1545" w:type="dxa"/>
            <w:tcBorders>
              <w:top w:val="nil"/>
              <w:left w:val="nil"/>
              <w:bottom w:val="nil"/>
              <w:right w:val="nil"/>
            </w:tcBorders>
            <w:shd w:val="clear" w:color="auto" w:fill="auto"/>
            <w:noWrap/>
            <w:vAlign w:val="bottom"/>
            <w:hideMark/>
          </w:tcPr>
          <w:p w14:paraId="0358E0E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rPr>
            </w:pPr>
          </w:p>
        </w:tc>
        <w:tc>
          <w:tcPr>
            <w:tcW w:w="1006" w:type="dxa"/>
            <w:tcBorders>
              <w:top w:val="nil"/>
              <w:left w:val="single" w:sz="4" w:space="0" w:color="0070C0"/>
              <w:bottom w:val="nil"/>
              <w:right w:val="nil"/>
            </w:tcBorders>
            <w:shd w:val="clear" w:color="auto" w:fill="auto"/>
            <w:noWrap/>
            <w:vAlign w:val="bottom"/>
            <w:hideMark/>
          </w:tcPr>
          <w:p w14:paraId="03B9945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 </w:t>
            </w:r>
          </w:p>
        </w:tc>
        <w:tc>
          <w:tcPr>
            <w:tcW w:w="992" w:type="dxa"/>
            <w:gridSpan w:val="2"/>
            <w:tcBorders>
              <w:top w:val="nil"/>
              <w:left w:val="nil"/>
              <w:bottom w:val="nil"/>
              <w:right w:val="nil"/>
            </w:tcBorders>
            <w:shd w:val="clear" w:color="auto" w:fill="auto"/>
            <w:noWrap/>
            <w:vAlign w:val="bottom"/>
            <w:hideMark/>
          </w:tcPr>
          <w:p w14:paraId="017D19A4"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p>
        </w:tc>
        <w:tc>
          <w:tcPr>
            <w:tcW w:w="993" w:type="dxa"/>
            <w:tcBorders>
              <w:top w:val="nil"/>
              <w:left w:val="nil"/>
              <w:bottom w:val="nil"/>
              <w:right w:val="nil"/>
            </w:tcBorders>
            <w:shd w:val="clear" w:color="auto" w:fill="auto"/>
            <w:noWrap/>
            <w:vAlign w:val="bottom"/>
            <w:hideMark/>
          </w:tcPr>
          <w:p w14:paraId="374D4CF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07" w:type="dxa"/>
            <w:tcBorders>
              <w:top w:val="nil"/>
              <w:left w:val="nil"/>
              <w:bottom w:val="nil"/>
              <w:right w:val="nil"/>
            </w:tcBorders>
            <w:shd w:val="clear" w:color="auto" w:fill="auto"/>
            <w:noWrap/>
            <w:vAlign w:val="bottom"/>
            <w:hideMark/>
          </w:tcPr>
          <w:p w14:paraId="2B8F90C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4" w:type="dxa"/>
            <w:tcBorders>
              <w:top w:val="nil"/>
              <w:left w:val="nil"/>
              <w:bottom w:val="nil"/>
              <w:right w:val="nil"/>
            </w:tcBorders>
            <w:shd w:val="clear" w:color="auto" w:fill="auto"/>
            <w:noWrap/>
            <w:vAlign w:val="bottom"/>
            <w:hideMark/>
          </w:tcPr>
          <w:p w14:paraId="3DB1114F"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3" w:type="dxa"/>
            <w:tcBorders>
              <w:top w:val="nil"/>
              <w:left w:val="nil"/>
              <w:bottom w:val="nil"/>
              <w:right w:val="nil"/>
            </w:tcBorders>
            <w:shd w:val="clear" w:color="auto" w:fill="auto"/>
            <w:noWrap/>
            <w:vAlign w:val="bottom"/>
            <w:hideMark/>
          </w:tcPr>
          <w:p w14:paraId="4CF1CB5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7312483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1F69DCC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5" w:type="dxa"/>
            <w:tcBorders>
              <w:top w:val="nil"/>
              <w:left w:val="nil"/>
              <w:bottom w:val="nil"/>
              <w:right w:val="nil"/>
            </w:tcBorders>
            <w:shd w:val="clear" w:color="auto" w:fill="auto"/>
            <w:noWrap/>
            <w:vAlign w:val="bottom"/>
            <w:hideMark/>
          </w:tcPr>
          <w:p w14:paraId="3B483E2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6" w:type="dxa"/>
            <w:tcBorders>
              <w:top w:val="nil"/>
              <w:left w:val="nil"/>
              <w:bottom w:val="nil"/>
              <w:right w:val="nil"/>
            </w:tcBorders>
            <w:shd w:val="clear" w:color="auto" w:fill="auto"/>
            <w:noWrap/>
            <w:vAlign w:val="bottom"/>
            <w:hideMark/>
          </w:tcPr>
          <w:p w14:paraId="5D86037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70" w:type="dxa"/>
            <w:tcBorders>
              <w:top w:val="nil"/>
              <w:left w:val="nil"/>
              <w:bottom w:val="nil"/>
              <w:right w:val="nil"/>
            </w:tcBorders>
            <w:shd w:val="clear" w:color="auto" w:fill="auto"/>
            <w:noWrap/>
            <w:vAlign w:val="bottom"/>
            <w:hideMark/>
          </w:tcPr>
          <w:p w14:paraId="793EB74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069" w:type="dxa"/>
            <w:tcBorders>
              <w:top w:val="nil"/>
              <w:left w:val="nil"/>
              <w:bottom w:val="nil"/>
              <w:right w:val="nil"/>
            </w:tcBorders>
            <w:shd w:val="clear" w:color="auto" w:fill="auto"/>
            <w:noWrap/>
            <w:vAlign w:val="bottom"/>
            <w:hideMark/>
          </w:tcPr>
          <w:p w14:paraId="760A059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r>
      <w:tr w:rsidR="006C2C5E" w:rsidRPr="00C7456C" w14:paraId="6382D7A0" w14:textId="77777777" w:rsidTr="002F7131">
        <w:trPr>
          <w:trHeight w:val="20"/>
          <w:jc w:val="center"/>
        </w:trPr>
        <w:tc>
          <w:tcPr>
            <w:tcW w:w="1545" w:type="dxa"/>
            <w:tcBorders>
              <w:top w:val="nil"/>
              <w:left w:val="nil"/>
              <w:bottom w:val="nil"/>
              <w:right w:val="nil"/>
            </w:tcBorders>
            <w:shd w:val="clear" w:color="auto" w:fill="auto"/>
            <w:noWrap/>
            <w:vAlign w:val="bottom"/>
            <w:hideMark/>
          </w:tcPr>
          <w:p w14:paraId="10ABED3B"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8"/>
              </w:rPr>
            </w:pPr>
            <w:r w:rsidRPr="00C7456C">
              <w:rPr>
                <w:rFonts w:cstheme="minorHAnsi"/>
                <w:sz w:val="18"/>
              </w:rPr>
              <w:t xml:space="preserve">6 - </w:t>
            </w:r>
            <w:r w:rsidRPr="00C7456C">
              <w:rPr>
                <w:rFonts w:cstheme="minorHAnsi"/>
                <w:sz w:val="18"/>
              </w:rPr>
              <w:t>材料和办公用品</w:t>
            </w:r>
          </w:p>
        </w:tc>
        <w:tc>
          <w:tcPr>
            <w:tcW w:w="1006" w:type="dxa"/>
            <w:tcBorders>
              <w:top w:val="nil"/>
              <w:left w:val="single" w:sz="4" w:space="0" w:color="0070C0"/>
              <w:bottom w:val="nil"/>
              <w:right w:val="nil"/>
            </w:tcBorders>
            <w:shd w:val="clear" w:color="auto" w:fill="auto"/>
            <w:noWrap/>
            <w:vAlign w:val="bottom"/>
            <w:hideMark/>
          </w:tcPr>
          <w:p w14:paraId="2EB8B9C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6</w:t>
            </w:r>
          </w:p>
        </w:tc>
        <w:tc>
          <w:tcPr>
            <w:tcW w:w="992" w:type="dxa"/>
            <w:gridSpan w:val="2"/>
            <w:tcBorders>
              <w:top w:val="nil"/>
              <w:left w:val="nil"/>
              <w:bottom w:val="nil"/>
              <w:right w:val="nil"/>
            </w:tcBorders>
            <w:shd w:val="clear" w:color="auto" w:fill="auto"/>
            <w:noWrap/>
            <w:vAlign w:val="bottom"/>
            <w:hideMark/>
          </w:tcPr>
          <w:p w14:paraId="7FBC4D8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3" w:type="dxa"/>
            <w:tcBorders>
              <w:top w:val="nil"/>
              <w:left w:val="nil"/>
              <w:bottom w:val="nil"/>
              <w:right w:val="nil"/>
            </w:tcBorders>
            <w:shd w:val="clear" w:color="auto" w:fill="auto"/>
            <w:noWrap/>
            <w:vAlign w:val="bottom"/>
            <w:hideMark/>
          </w:tcPr>
          <w:p w14:paraId="75F80BE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3</w:t>
            </w:r>
          </w:p>
        </w:tc>
        <w:tc>
          <w:tcPr>
            <w:tcW w:w="707" w:type="dxa"/>
            <w:tcBorders>
              <w:top w:val="nil"/>
              <w:left w:val="nil"/>
              <w:bottom w:val="nil"/>
              <w:right w:val="nil"/>
            </w:tcBorders>
            <w:shd w:val="clear" w:color="auto" w:fill="auto"/>
            <w:noWrap/>
            <w:vAlign w:val="bottom"/>
            <w:hideMark/>
          </w:tcPr>
          <w:p w14:paraId="47ECF26F"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80</w:t>
            </w:r>
          </w:p>
        </w:tc>
        <w:tc>
          <w:tcPr>
            <w:tcW w:w="994" w:type="dxa"/>
            <w:tcBorders>
              <w:top w:val="nil"/>
              <w:left w:val="nil"/>
              <w:bottom w:val="nil"/>
              <w:right w:val="nil"/>
            </w:tcBorders>
            <w:shd w:val="clear" w:color="auto" w:fill="auto"/>
            <w:noWrap/>
            <w:vAlign w:val="bottom"/>
            <w:hideMark/>
          </w:tcPr>
          <w:p w14:paraId="681D669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3" w:type="dxa"/>
            <w:tcBorders>
              <w:top w:val="nil"/>
              <w:left w:val="nil"/>
              <w:bottom w:val="nil"/>
              <w:right w:val="nil"/>
            </w:tcBorders>
            <w:shd w:val="clear" w:color="auto" w:fill="auto"/>
            <w:noWrap/>
            <w:vAlign w:val="bottom"/>
            <w:hideMark/>
          </w:tcPr>
          <w:p w14:paraId="4AF66A2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398</w:t>
            </w:r>
          </w:p>
        </w:tc>
        <w:tc>
          <w:tcPr>
            <w:tcW w:w="851" w:type="dxa"/>
            <w:tcBorders>
              <w:top w:val="nil"/>
              <w:left w:val="nil"/>
              <w:bottom w:val="nil"/>
              <w:right w:val="nil"/>
            </w:tcBorders>
            <w:shd w:val="clear" w:color="auto" w:fill="auto"/>
            <w:noWrap/>
            <w:vAlign w:val="bottom"/>
            <w:hideMark/>
          </w:tcPr>
          <w:p w14:paraId="6A53413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52</w:t>
            </w:r>
          </w:p>
        </w:tc>
        <w:tc>
          <w:tcPr>
            <w:tcW w:w="851" w:type="dxa"/>
            <w:tcBorders>
              <w:top w:val="nil"/>
              <w:left w:val="nil"/>
              <w:bottom w:val="nil"/>
              <w:right w:val="nil"/>
            </w:tcBorders>
            <w:shd w:val="clear" w:color="auto" w:fill="auto"/>
            <w:noWrap/>
            <w:vAlign w:val="bottom"/>
            <w:hideMark/>
          </w:tcPr>
          <w:p w14:paraId="16F8EBA4"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362</w:t>
            </w:r>
          </w:p>
        </w:tc>
        <w:tc>
          <w:tcPr>
            <w:tcW w:w="1315" w:type="dxa"/>
            <w:tcBorders>
              <w:top w:val="nil"/>
              <w:left w:val="nil"/>
              <w:bottom w:val="nil"/>
              <w:right w:val="nil"/>
            </w:tcBorders>
            <w:shd w:val="clear" w:color="auto" w:fill="auto"/>
            <w:noWrap/>
            <w:vAlign w:val="bottom"/>
            <w:hideMark/>
          </w:tcPr>
          <w:p w14:paraId="6674A93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70</w:t>
            </w:r>
          </w:p>
        </w:tc>
        <w:tc>
          <w:tcPr>
            <w:tcW w:w="1316" w:type="dxa"/>
            <w:tcBorders>
              <w:top w:val="nil"/>
              <w:left w:val="nil"/>
              <w:bottom w:val="nil"/>
              <w:right w:val="nil"/>
            </w:tcBorders>
            <w:shd w:val="clear" w:color="auto" w:fill="auto"/>
            <w:noWrap/>
            <w:vAlign w:val="bottom"/>
            <w:hideMark/>
          </w:tcPr>
          <w:p w14:paraId="248BF354"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92</w:t>
            </w:r>
          </w:p>
        </w:tc>
        <w:tc>
          <w:tcPr>
            <w:tcW w:w="770" w:type="dxa"/>
            <w:tcBorders>
              <w:top w:val="nil"/>
              <w:left w:val="nil"/>
              <w:bottom w:val="nil"/>
              <w:right w:val="nil"/>
            </w:tcBorders>
            <w:shd w:val="clear" w:color="auto" w:fill="auto"/>
            <w:noWrap/>
            <w:vAlign w:val="bottom"/>
            <w:hideMark/>
          </w:tcPr>
          <w:p w14:paraId="2802A34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846</w:t>
            </w:r>
          </w:p>
        </w:tc>
        <w:tc>
          <w:tcPr>
            <w:tcW w:w="1069" w:type="dxa"/>
            <w:tcBorders>
              <w:top w:val="nil"/>
              <w:left w:val="nil"/>
              <w:bottom w:val="nil"/>
              <w:right w:val="nil"/>
            </w:tcBorders>
            <w:shd w:val="clear" w:color="auto" w:fill="auto"/>
            <w:noWrap/>
            <w:vAlign w:val="bottom"/>
            <w:hideMark/>
          </w:tcPr>
          <w:p w14:paraId="083E926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rPr>
            </w:pPr>
            <w:r w:rsidRPr="00C7456C">
              <w:rPr>
                <w:rFonts w:eastAsia="Times New Roman" w:cs="Calibri"/>
                <w:color w:val="002060"/>
                <w:sz w:val="18"/>
              </w:rPr>
              <w:t>1,909</w:t>
            </w:r>
          </w:p>
        </w:tc>
      </w:tr>
      <w:tr w:rsidR="006C2C5E" w:rsidRPr="00C7456C" w14:paraId="47E533F9" w14:textId="77777777" w:rsidTr="002F7131">
        <w:trPr>
          <w:trHeight w:val="20"/>
          <w:jc w:val="center"/>
        </w:trPr>
        <w:tc>
          <w:tcPr>
            <w:tcW w:w="1545" w:type="dxa"/>
            <w:tcBorders>
              <w:top w:val="nil"/>
              <w:left w:val="nil"/>
              <w:bottom w:val="nil"/>
              <w:right w:val="nil"/>
            </w:tcBorders>
            <w:shd w:val="clear" w:color="auto" w:fill="auto"/>
            <w:noWrap/>
            <w:vAlign w:val="bottom"/>
            <w:hideMark/>
          </w:tcPr>
          <w:p w14:paraId="2D96F20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rPr>
            </w:pPr>
          </w:p>
        </w:tc>
        <w:tc>
          <w:tcPr>
            <w:tcW w:w="1006" w:type="dxa"/>
            <w:tcBorders>
              <w:top w:val="nil"/>
              <w:left w:val="single" w:sz="4" w:space="0" w:color="0070C0"/>
              <w:bottom w:val="nil"/>
              <w:right w:val="nil"/>
            </w:tcBorders>
            <w:shd w:val="clear" w:color="auto" w:fill="auto"/>
            <w:noWrap/>
            <w:vAlign w:val="bottom"/>
            <w:hideMark/>
          </w:tcPr>
          <w:p w14:paraId="12D0261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 </w:t>
            </w:r>
          </w:p>
        </w:tc>
        <w:tc>
          <w:tcPr>
            <w:tcW w:w="992" w:type="dxa"/>
            <w:gridSpan w:val="2"/>
            <w:tcBorders>
              <w:top w:val="nil"/>
              <w:left w:val="nil"/>
              <w:bottom w:val="nil"/>
              <w:right w:val="nil"/>
            </w:tcBorders>
            <w:shd w:val="clear" w:color="auto" w:fill="auto"/>
            <w:noWrap/>
            <w:vAlign w:val="bottom"/>
            <w:hideMark/>
          </w:tcPr>
          <w:p w14:paraId="56527D5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p>
        </w:tc>
        <w:tc>
          <w:tcPr>
            <w:tcW w:w="993" w:type="dxa"/>
            <w:tcBorders>
              <w:top w:val="nil"/>
              <w:left w:val="nil"/>
              <w:bottom w:val="nil"/>
              <w:right w:val="nil"/>
            </w:tcBorders>
            <w:shd w:val="clear" w:color="auto" w:fill="auto"/>
            <w:noWrap/>
            <w:vAlign w:val="bottom"/>
            <w:hideMark/>
          </w:tcPr>
          <w:p w14:paraId="359EB6B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07" w:type="dxa"/>
            <w:tcBorders>
              <w:top w:val="nil"/>
              <w:left w:val="nil"/>
              <w:bottom w:val="nil"/>
              <w:right w:val="nil"/>
            </w:tcBorders>
            <w:shd w:val="clear" w:color="auto" w:fill="auto"/>
            <w:noWrap/>
            <w:vAlign w:val="bottom"/>
            <w:hideMark/>
          </w:tcPr>
          <w:p w14:paraId="24D5457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4" w:type="dxa"/>
            <w:tcBorders>
              <w:top w:val="nil"/>
              <w:left w:val="nil"/>
              <w:bottom w:val="nil"/>
              <w:right w:val="nil"/>
            </w:tcBorders>
            <w:shd w:val="clear" w:color="auto" w:fill="auto"/>
            <w:noWrap/>
            <w:vAlign w:val="bottom"/>
            <w:hideMark/>
          </w:tcPr>
          <w:p w14:paraId="24D74AD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3" w:type="dxa"/>
            <w:tcBorders>
              <w:top w:val="nil"/>
              <w:left w:val="nil"/>
              <w:bottom w:val="nil"/>
              <w:right w:val="nil"/>
            </w:tcBorders>
            <w:shd w:val="clear" w:color="auto" w:fill="auto"/>
            <w:noWrap/>
            <w:vAlign w:val="bottom"/>
            <w:hideMark/>
          </w:tcPr>
          <w:p w14:paraId="725ED4B2"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3B12B284"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5757438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5" w:type="dxa"/>
            <w:tcBorders>
              <w:top w:val="nil"/>
              <w:left w:val="nil"/>
              <w:bottom w:val="nil"/>
              <w:right w:val="nil"/>
            </w:tcBorders>
            <w:shd w:val="clear" w:color="auto" w:fill="auto"/>
            <w:noWrap/>
            <w:vAlign w:val="bottom"/>
            <w:hideMark/>
          </w:tcPr>
          <w:p w14:paraId="49C74AA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6" w:type="dxa"/>
            <w:tcBorders>
              <w:top w:val="nil"/>
              <w:left w:val="nil"/>
              <w:bottom w:val="nil"/>
              <w:right w:val="nil"/>
            </w:tcBorders>
            <w:shd w:val="clear" w:color="auto" w:fill="auto"/>
            <w:noWrap/>
            <w:vAlign w:val="bottom"/>
            <w:hideMark/>
          </w:tcPr>
          <w:p w14:paraId="7D876E49"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70" w:type="dxa"/>
            <w:tcBorders>
              <w:top w:val="nil"/>
              <w:left w:val="nil"/>
              <w:bottom w:val="nil"/>
              <w:right w:val="nil"/>
            </w:tcBorders>
            <w:shd w:val="clear" w:color="auto" w:fill="auto"/>
            <w:noWrap/>
            <w:vAlign w:val="bottom"/>
            <w:hideMark/>
          </w:tcPr>
          <w:p w14:paraId="4F9ED84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069" w:type="dxa"/>
            <w:tcBorders>
              <w:top w:val="nil"/>
              <w:left w:val="nil"/>
              <w:bottom w:val="nil"/>
              <w:right w:val="nil"/>
            </w:tcBorders>
            <w:shd w:val="clear" w:color="auto" w:fill="auto"/>
            <w:noWrap/>
            <w:vAlign w:val="bottom"/>
            <w:hideMark/>
          </w:tcPr>
          <w:p w14:paraId="1BDB51F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r>
      <w:tr w:rsidR="006C2C5E" w:rsidRPr="00C7456C" w14:paraId="1E673FA3" w14:textId="77777777" w:rsidTr="002F7131">
        <w:trPr>
          <w:trHeight w:val="20"/>
          <w:jc w:val="center"/>
        </w:trPr>
        <w:tc>
          <w:tcPr>
            <w:tcW w:w="1545" w:type="dxa"/>
            <w:tcBorders>
              <w:top w:val="nil"/>
              <w:left w:val="nil"/>
              <w:bottom w:val="nil"/>
              <w:right w:val="nil"/>
            </w:tcBorders>
            <w:shd w:val="clear" w:color="auto" w:fill="auto"/>
            <w:vAlign w:val="bottom"/>
            <w:hideMark/>
          </w:tcPr>
          <w:p w14:paraId="3F07A1DC"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8"/>
                <w:lang w:eastAsia="zh-CN"/>
              </w:rPr>
            </w:pPr>
            <w:r w:rsidRPr="00C7456C">
              <w:rPr>
                <w:rFonts w:cstheme="minorHAnsi"/>
                <w:sz w:val="18"/>
                <w:lang w:eastAsia="zh-CN"/>
              </w:rPr>
              <w:t xml:space="preserve">7 -  </w:t>
            </w:r>
            <w:r w:rsidRPr="00C7456C">
              <w:rPr>
                <w:rFonts w:cstheme="minorHAnsi"/>
                <w:sz w:val="18"/>
                <w:lang w:eastAsia="zh-CN"/>
              </w:rPr>
              <w:t>房屋设施、家具和设备的采购</w:t>
            </w:r>
          </w:p>
        </w:tc>
        <w:tc>
          <w:tcPr>
            <w:tcW w:w="1006" w:type="dxa"/>
            <w:tcBorders>
              <w:top w:val="nil"/>
              <w:left w:val="single" w:sz="4" w:space="0" w:color="0070C0"/>
              <w:bottom w:val="nil"/>
              <w:right w:val="nil"/>
            </w:tcBorders>
            <w:shd w:val="clear" w:color="auto" w:fill="auto"/>
            <w:noWrap/>
            <w:vAlign w:val="bottom"/>
            <w:hideMark/>
          </w:tcPr>
          <w:p w14:paraId="22D95CE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lang w:eastAsia="zh-CN"/>
              </w:rPr>
            </w:pPr>
            <w:r w:rsidRPr="00C7456C">
              <w:rPr>
                <w:rFonts w:eastAsia="Times New Roman" w:cs="Calibri"/>
                <w:sz w:val="18"/>
                <w:lang w:eastAsia="zh-CN"/>
              </w:rPr>
              <w:t> </w:t>
            </w:r>
          </w:p>
        </w:tc>
        <w:tc>
          <w:tcPr>
            <w:tcW w:w="992" w:type="dxa"/>
            <w:gridSpan w:val="2"/>
            <w:tcBorders>
              <w:top w:val="nil"/>
              <w:left w:val="nil"/>
              <w:bottom w:val="nil"/>
              <w:right w:val="nil"/>
            </w:tcBorders>
            <w:shd w:val="clear" w:color="auto" w:fill="auto"/>
            <w:noWrap/>
            <w:vAlign w:val="bottom"/>
            <w:hideMark/>
          </w:tcPr>
          <w:p w14:paraId="07CEA81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3" w:type="dxa"/>
            <w:tcBorders>
              <w:top w:val="nil"/>
              <w:left w:val="nil"/>
              <w:bottom w:val="nil"/>
              <w:right w:val="nil"/>
            </w:tcBorders>
            <w:shd w:val="clear" w:color="auto" w:fill="auto"/>
            <w:noWrap/>
            <w:vAlign w:val="bottom"/>
            <w:hideMark/>
          </w:tcPr>
          <w:p w14:paraId="1E12885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3</w:t>
            </w:r>
          </w:p>
        </w:tc>
        <w:tc>
          <w:tcPr>
            <w:tcW w:w="707" w:type="dxa"/>
            <w:tcBorders>
              <w:top w:val="nil"/>
              <w:left w:val="nil"/>
              <w:bottom w:val="nil"/>
              <w:right w:val="nil"/>
            </w:tcBorders>
            <w:shd w:val="clear" w:color="auto" w:fill="auto"/>
            <w:noWrap/>
            <w:vAlign w:val="bottom"/>
            <w:hideMark/>
          </w:tcPr>
          <w:p w14:paraId="480453B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4" w:type="dxa"/>
            <w:tcBorders>
              <w:top w:val="nil"/>
              <w:left w:val="nil"/>
              <w:bottom w:val="nil"/>
              <w:right w:val="nil"/>
            </w:tcBorders>
            <w:shd w:val="clear" w:color="auto" w:fill="auto"/>
            <w:noWrap/>
            <w:vAlign w:val="bottom"/>
            <w:hideMark/>
          </w:tcPr>
          <w:p w14:paraId="690D11A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3" w:type="dxa"/>
            <w:tcBorders>
              <w:top w:val="nil"/>
              <w:left w:val="nil"/>
              <w:bottom w:val="nil"/>
              <w:right w:val="nil"/>
            </w:tcBorders>
            <w:shd w:val="clear" w:color="auto" w:fill="auto"/>
            <w:noWrap/>
            <w:vAlign w:val="bottom"/>
            <w:hideMark/>
          </w:tcPr>
          <w:p w14:paraId="356A78D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416</w:t>
            </w:r>
          </w:p>
        </w:tc>
        <w:tc>
          <w:tcPr>
            <w:tcW w:w="851" w:type="dxa"/>
            <w:tcBorders>
              <w:top w:val="nil"/>
              <w:left w:val="nil"/>
              <w:bottom w:val="nil"/>
              <w:right w:val="nil"/>
            </w:tcBorders>
            <w:shd w:val="clear" w:color="auto" w:fill="auto"/>
            <w:noWrap/>
            <w:vAlign w:val="bottom"/>
            <w:hideMark/>
          </w:tcPr>
          <w:p w14:paraId="50AB067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90</w:t>
            </w:r>
          </w:p>
        </w:tc>
        <w:tc>
          <w:tcPr>
            <w:tcW w:w="851" w:type="dxa"/>
            <w:tcBorders>
              <w:top w:val="nil"/>
              <w:left w:val="nil"/>
              <w:bottom w:val="nil"/>
              <w:right w:val="nil"/>
            </w:tcBorders>
            <w:shd w:val="clear" w:color="auto" w:fill="auto"/>
            <w:noWrap/>
            <w:vAlign w:val="bottom"/>
            <w:hideMark/>
          </w:tcPr>
          <w:p w14:paraId="4C247AD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296</w:t>
            </w:r>
          </w:p>
        </w:tc>
        <w:tc>
          <w:tcPr>
            <w:tcW w:w="1315" w:type="dxa"/>
            <w:tcBorders>
              <w:top w:val="nil"/>
              <w:left w:val="nil"/>
              <w:bottom w:val="nil"/>
              <w:right w:val="nil"/>
            </w:tcBorders>
            <w:shd w:val="clear" w:color="auto" w:fill="auto"/>
            <w:noWrap/>
            <w:vAlign w:val="bottom"/>
            <w:hideMark/>
          </w:tcPr>
          <w:p w14:paraId="2E8A7CD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56</w:t>
            </w:r>
          </w:p>
        </w:tc>
        <w:tc>
          <w:tcPr>
            <w:tcW w:w="1316" w:type="dxa"/>
            <w:tcBorders>
              <w:top w:val="nil"/>
              <w:left w:val="nil"/>
              <w:bottom w:val="nil"/>
              <w:right w:val="nil"/>
            </w:tcBorders>
            <w:shd w:val="clear" w:color="auto" w:fill="auto"/>
            <w:noWrap/>
            <w:vAlign w:val="bottom"/>
            <w:hideMark/>
          </w:tcPr>
          <w:p w14:paraId="11E487BF"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102</w:t>
            </w:r>
          </w:p>
        </w:tc>
        <w:tc>
          <w:tcPr>
            <w:tcW w:w="770" w:type="dxa"/>
            <w:tcBorders>
              <w:top w:val="nil"/>
              <w:left w:val="nil"/>
              <w:bottom w:val="nil"/>
              <w:right w:val="nil"/>
            </w:tcBorders>
            <w:shd w:val="clear" w:color="auto" w:fill="auto"/>
            <w:noWrap/>
            <w:vAlign w:val="bottom"/>
            <w:hideMark/>
          </w:tcPr>
          <w:p w14:paraId="073867F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654</w:t>
            </w:r>
          </w:p>
        </w:tc>
        <w:tc>
          <w:tcPr>
            <w:tcW w:w="1069" w:type="dxa"/>
            <w:tcBorders>
              <w:top w:val="nil"/>
              <w:left w:val="nil"/>
              <w:bottom w:val="nil"/>
              <w:right w:val="nil"/>
            </w:tcBorders>
            <w:shd w:val="clear" w:color="auto" w:fill="auto"/>
            <w:noWrap/>
            <w:vAlign w:val="bottom"/>
            <w:hideMark/>
          </w:tcPr>
          <w:p w14:paraId="19F9C78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rPr>
            </w:pPr>
            <w:r w:rsidRPr="00C7456C">
              <w:rPr>
                <w:rFonts w:eastAsia="Times New Roman" w:cs="Calibri"/>
                <w:color w:val="002060"/>
                <w:sz w:val="18"/>
              </w:rPr>
              <w:t>1,617</w:t>
            </w:r>
          </w:p>
        </w:tc>
      </w:tr>
      <w:tr w:rsidR="006C2C5E" w:rsidRPr="00C7456C" w14:paraId="4AFC74D4" w14:textId="77777777" w:rsidTr="002F7131">
        <w:trPr>
          <w:trHeight w:val="20"/>
          <w:jc w:val="center"/>
        </w:trPr>
        <w:tc>
          <w:tcPr>
            <w:tcW w:w="1545" w:type="dxa"/>
            <w:tcBorders>
              <w:top w:val="nil"/>
              <w:left w:val="nil"/>
              <w:bottom w:val="nil"/>
              <w:right w:val="nil"/>
            </w:tcBorders>
            <w:shd w:val="clear" w:color="auto" w:fill="auto"/>
            <w:noWrap/>
            <w:vAlign w:val="bottom"/>
            <w:hideMark/>
          </w:tcPr>
          <w:p w14:paraId="7A010449"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rPr>
            </w:pPr>
          </w:p>
        </w:tc>
        <w:tc>
          <w:tcPr>
            <w:tcW w:w="1006" w:type="dxa"/>
            <w:tcBorders>
              <w:top w:val="nil"/>
              <w:left w:val="single" w:sz="4" w:space="0" w:color="0070C0"/>
              <w:bottom w:val="nil"/>
              <w:right w:val="nil"/>
            </w:tcBorders>
            <w:shd w:val="clear" w:color="auto" w:fill="auto"/>
            <w:noWrap/>
            <w:vAlign w:val="bottom"/>
            <w:hideMark/>
          </w:tcPr>
          <w:p w14:paraId="140E6DF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 </w:t>
            </w:r>
          </w:p>
        </w:tc>
        <w:tc>
          <w:tcPr>
            <w:tcW w:w="992" w:type="dxa"/>
            <w:gridSpan w:val="2"/>
            <w:tcBorders>
              <w:top w:val="nil"/>
              <w:left w:val="nil"/>
              <w:bottom w:val="nil"/>
              <w:right w:val="nil"/>
            </w:tcBorders>
            <w:shd w:val="clear" w:color="auto" w:fill="auto"/>
            <w:noWrap/>
            <w:vAlign w:val="bottom"/>
            <w:hideMark/>
          </w:tcPr>
          <w:p w14:paraId="089C6F2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p>
        </w:tc>
        <w:tc>
          <w:tcPr>
            <w:tcW w:w="993" w:type="dxa"/>
            <w:tcBorders>
              <w:top w:val="nil"/>
              <w:left w:val="nil"/>
              <w:bottom w:val="nil"/>
              <w:right w:val="nil"/>
            </w:tcBorders>
            <w:shd w:val="clear" w:color="auto" w:fill="auto"/>
            <w:noWrap/>
            <w:vAlign w:val="bottom"/>
            <w:hideMark/>
          </w:tcPr>
          <w:p w14:paraId="745FD76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07" w:type="dxa"/>
            <w:tcBorders>
              <w:top w:val="nil"/>
              <w:left w:val="nil"/>
              <w:bottom w:val="nil"/>
              <w:right w:val="nil"/>
            </w:tcBorders>
            <w:shd w:val="clear" w:color="auto" w:fill="auto"/>
            <w:noWrap/>
            <w:vAlign w:val="bottom"/>
            <w:hideMark/>
          </w:tcPr>
          <w:p w14:paraId="1BD817F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4" w:type="dxa"/>
            <w:tcBorders>
              <w:top w:val="nil"/>
              <w:left w:val="nil"/>
              <w:bottom w:val="nil"/>
              <w:right w:val="nil"/>
            </w:tcBorders>
            <w:shd w:val="clear" w:color="auto" w:fill="auto"/>
            <w:noWrap/>
            <w:vAlign w:val="bottom"/>
            <w:hideMark/>
          </w:tcPr>
          <w:p w14:paraId="4C1B1399"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3" w:type="dxa"/>
            <w:tcBorders>
              <w:top w:val="nil"/>
              <w:left w:val="nil"/>
              <w:bottom w:val="nil"/>
              <w:right w:val="nil"/>
            </w:tcBorders>
            <w:shd w:val="clear" w:color="auto" w:fill="auto"/>
            <w:noWrap/>
            <w:vAlign w:val="bottom"/>
            <w:hideMark/>
          </w:tcPr>
          <w:p w14:paraId="45CBC46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35397104"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77B16DA2"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5" w:type="dxa"/>
            <w:tcBorders>
              <w:top w:val="nil"/>
              <w:left w:val="nil"/>
              <w:bottom w:val="nil"/>
              <w:right w:val="nil"/>
            </w:tcBorders>
            <w:shd w:val="clear" w:color="auto" w:fill="auto"/>
            <w:noWrap/>
            <w:vAlign w:val="bottom"/>
            <w:hideMark/>
          </w:tcPr>
          <w:p w14:paraId="6CC7CF1E" w14:textId="1BC168AB"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6" w:type="dxa"/>
            <w:tcBorders>
              <w:top w:val="nil"/>
              <w:left w:val="nil"/>
              <w:bottom w:val="nil"/>
              <w:right w:val="nil"/>
            </w:tcBorders>
            <w:shd w:val="clear" w:color="auto" w:fill="auto"/>
            <w:noWrap/>
            <w:vAlign w:val="bottom"/>
            <w:hideMark/>
          </w:tcPr>
          <w:p w14:paraId="4861A80F" w14:textId="52CFED99"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70" w:type="dxa"/>
            <w:tcBorders>
              <w:top w:val="nil"/>
              <w:left w:val="nil"/>
              <w:bottom w:val="nil"/>
              <w:right w:val="nil"/>
            </w:tcBorders>
            <w:shd w:val="clear" w:color="auto" w:fill="auto"/>
            <w:noWrap/>
            <w:vAlign w:val="bottom"/>
            <w:hideMark/>
          </w:tcPr>
          <w:p w14:paraId="6579328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069" w:type="dxa"/>
            <w:tcBorders>
              <w:top w:val="nil"/>
              <w:left w:val="nil"/>
              <w:bottom w:val="nil"/>
              <w:right w:val="nil"/>
            </w:tcBorders>
            <w:shd w:val="clear" w:color="auto" w:fill="auto"/>
            <w:noWrap/>
            <w:vAlign w:val="bottom"/>
            <w:hideMark/>
          </w:tcPr>
          <w:p w14:paraId="759407CF"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r>
      <w:tr w:rsidR="006C2C5E" w:rsidRPr="00C7456C" w14:paraId="7B7CA603" w14:textId="77777777" w:rsidTr="002F7131">
        <w:trPr>
          <w:trHeight w:val="20"/>
          <w:jc w:val="center"/>
        </w:trPr>
        <w:tc>
          <w:tcPr>
            <w:tcW w:w="1545" w:type="dxa"/>
            <w:tcBorders>
              <w:top w:val="nil"/>
              <w:left w:val="nil"/>
              <w:bottom w:val="nil"/>
              <w:right w:val="nil"/>
            </w:tcBorders>
            <w:shd w:val="clear" w:color="auto" w:fill="auto"/>
            <w:vAlign w:val="bottom"/>
            <w:hideMark/>
          </w:tcPr>
          <w:p w14:paraId="521AC0C2"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8"/>
              </w:rPr>
            </w:pPr>
            <w:r w:rsidRPr="00C7456C">
              <w:rPr>
                <w:rFonts w:cstheme="minorHAnsi"/>
                <w:sz w:val="18"/>
              </w:rPr>
              <w:t xml:space="preserve">8 - </w:t>
            </w:r>
            <w:r w:rsidRPr="00C7456C">
              <w:rPr>
                <w:rFonts w:cstheme="minorHAnsi"/>
                <w:sz w:val="18"/>
              </w:rPr>
              <w:t>公共和内部服务设施</w:t>
            </w:r>
          </w:p>
        </w:tc>
        <w:tc>
          <w:tcPr>
            <w:tcW w:w="1006" w:type="dxa"/>
            <w:tcBorders>
              <w:top w:val="nil"/>
              <w:left w:val="single" w:sz="4" w:space="0" w:color="0070C0"/>
              <w:bottom w:val="nil"/>
              <w:right w:val="nil"/>
            </w:tcBorders>
            <w:shd w:val="clear" w:color="auto" w:fill="auto"/>
            <w:noWrap/>
            <w:vAlign w:val="bottom"/>
            <w:hideMark/>
          </w:tcPr>
          <w:p w14:paraId="6761A0D9"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 </w:t>
            </w:r>
          </w:p>
        </w:tc>
        <w:tc>
          <w:tcPr>
            <w:tcW w:w="992" w:type="dxa"/>
            <w:gridSpan w:val="2"/>
            <w:tcBorders>
              <w:top w:val="nil"/>
              <w:left w:val="nil"/>
              <w:bottom w:val="nil"/>
              <w:right w:val="nil"/>
            </w:tcBorders>
            <w:shd w:val="clear" w:color="auto" w:fill="auto"/>
            <w:noWrap/>
            <w:vAlign w:val="bottom"/>
            <w:hideMark/>
          </w:tcPr>
          <w:p w14:paraId="2764A4E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3" w:type="dxa"/>
            <w:tcBorders>
              <w:top w:val="nil"/>
              <w:left w:val="nil"/>
              <w:bottom w:val="nil"/>
              <w:right w:val="nil"/>
            </w:tcBorders>
            <w:shd w:val="clear" w:color="auto" w:fill="auto"/>
            <w:noWrap/>
            <w:vAlign w:val="bottom"/>
            <w:hideMark/>
          </w:tcPr>
          <w:p w14:paraId="5B165C3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707" w:type="dxa"/>
            <w:tcBorders>
              <w:top w:val="nil"/>
              <w:left w:val="nil"/>
              <w:bottom w:val="nil"/>
              <w:right w:val="nil"/>
            </w:tcBorders>
            <w:shd w:val="clear" w:color="auto" w:fill="auto"/>
            <w:noWrap/>
            <w:vAlign w:val="bottom"/>
            <w:hideMark/>
          </w:tcPr>
          <w:p w14:paraId="03DBF22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4" w:type="dxa"/>
            <w:tcBorders>
              <w:top w:val="nil"/>
              <w:left w:val="nil"/>
              <w:bottom w:val="nil"/>
              <w:right w:val="nil"/>
            </w:tcBorders>
            <w:shd w:val="clear" w:color="auto" w:fill="auto"/>
            <w:noWrap/>
            <w:vAlign w:val="bottom"/>
            <w:hideMark/>
          </w:tcPr>
          <w:p w14:paraId="27E5DC5F"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1,490</w:t>
            </w:r>
          </w:p>
        </w:tc>
        <w:tc>
          <w:tcPr>
            <w:tcW w:w="993" w:type="dxa"/>
            <w:tcBorders>
              <w:top w:val="nil"/>
              <w:left w:val="nil"/>
              <w:bottom w:val="nil"/>
              <w:right w:val="nil"/>
            </w:tcBorders>
            <w:shd w:val="clear" w:color="auto" w:fill="auto"/>
            <w:noWrap/>
            <w:vAlign w:val="bottom"/>
            <w:hideMark/>
          </w:tcPr>
          <w:p w14:paraId="3843FB4F"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2,480</w:t>
            </w:r>
          </w:p>
        </w:tc>
        <w:tc>
          <w:tcPr>
            <w:tcW w:w="851" w:type="dxa"/>
            <w:tcBorders>
              <w:top w:val="nil"/>
              <w:left w:val="nil"/>
              <w:bottom w:val="nil"/>
              <w:right w:val="nil"/>
            </w:tcBorders>
            <w:shd w:val="clear" w:color="auto" w:fill="auto"/>
            <w:noWrap/>
            <w:vAlign w:val="bottom"/>
            <w:hideMark/>
          </w:tcPr>
          <w:p w14:paraId="230CD48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851" w:type="dxa"/>
            <w:tcBorders>
              <w:top w:val="nil"/>
              <w:left w:val="nil"/>
              <w:bottom w:val="nil"/>
              <w:right w:val="nil"/>
            </w:tcBorders>
            <w:shd w:val="clear" w:color="auto" w:fill="auto"/>
            <w:noWrap/>
            <w:vAlign w:val="bottom"/>
            <w:hideMark/>
          </w:tcPr>
          <w:p w14:paraId="3E41F5D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70</w:t>
            </w:r>
          </w:p>
        </w:tc>
        <w:tc>
          <w:tcPr>
            <w:tcW w:w="1315" w:type="dxa"/>
            <w:tcBorders>
              <w:top w:val="nil"/>
              <w:left w:val="nil"/>
              <w:bottom w:val="nil"/>
              <w:right w:val="nil"/>
            </w:tcBorders>
            <w:shd w:val="clear" w:color="auto" w:fill="auto"/>
            <w:noWrap/>
            <w:vAlign w:val="bottom"/>
            <w:hideMark/>
          </w:tcPr>
          <w:p w14:paraId="0380244D" w14:textId="39D7641E"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1316" w:type="dxa"/>
            <w:tcBorders>
              <w:top w:val="nil"/>
              <w:left w:val="nil"/>
              <w:bottom w:val="nil"/>
              <w:right w:val="nil"/>
            </w:tcBorders>
            <w:shd w:val="clear" w:color="auto" w:fill="auto"/>
            <w:noWrap/>
            <w:vAlign w:val="bottom"/>
            <w:hideMark/>
          </w:tcPr>
          <w:p w14:paraId="65FD5B7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770" w:type="dxa"/>
            <w:tcBorders>
              <w:top w:val="nil"/>
              <w:left w:val="nil"/>
              <w:bottom w:val="nil"/>
              <w:right w:val="nil"/>
            </w:tcBorders>
            <w:shd w:val="clear" w:color="auto" w:fill="auto"/>
            <w:noWrap/>
            <w:vAlign w:val="bottom"/>
            <w:hideMark/>
          </w:tcPr>
          <w:p w14:paraId="43ABA91F"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1069" w:type="dxa"/>
            <w:tcBorders>
              <w:top w:val="nil"/>
              <w:left w:val="nil"/>
              <w:bottom w:val="nil"/>
              <w:right w:val="nil"/>
            </w:tcBorders>
            <w:shd w:val="clear" w:color="auto" w:fill="auto"/>
            <w:noWrap/>
            <w:vAlign w:val="bottom"/>
            <w:hideMark/>
          </w:tcPr>
          <w:p w14:paraId="2B83D484"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rPr>
            </w:pPr>
            <w:r w:rsidRPr="00C7456C">
              <w:rPr>
                <w:rFonts w:eastAsia="Times New Roman" w:cs="Calibri"/>
                <w:color w:val="002060"/>
                <w:sz w:val="18"/>
              </w:rPr>
              <w:t>4,040</w:t>
            </w:r>
          </w:p>
        </w:tc>
      </w:tr>
      <w:tr w:rsidR="006C2C5E" w:rsidRPr="00C7456C" w14:paraId="6C7272B7" w14:textId="77777777" w:rsidTr="002F7131">
        <w:trPr>
          <w:trHeight w:val="20"/>
          <w:jc w:val="center"/>
        </w:trPr>
        <w:tc>
          <w:tcPr>
            <w:tcW w:w="1545" w:type="dxa"/>
            <w:tcBorders>
              <w:top w:val="nil"/>
              <w:left w:val="nil"/>
              <w:bottom w:val="nil"/>
              <w:right w:val="nil"/>
            </w:tcBorders>
            <w:shd w:val="clear" w:color="auto" w:fill="auto"/>
            <w:noWrap/>
            <w:vAlign w:val="bottom"/>
            <w:hideMark/>
          </w:tcPr>
          <w:p w14:paraId="77F9CE0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rPr>
            </w:pPr>
          </w:p>
        </w:tc>
        <w:tc>
          <w:tcPr>
            <w:tcW w:w="1006" w:type="dxa"/>
            <w:tcBorders>
              <w:top w:val="nil"/>
              <w:left w:val="single" w:sz="4" w:space="0" w:color="0070C0"/>
              <w:bottom w:val="nil"/>
              <w:right w:val="nil"/>
            </w:tcBorders>
            <w:shd w:val="clear" w:color="auto" w:fill="auto"/>
            <w:noWrap/>
            <w:vAlign w:val="bottom"/>
            <w:hideMark/>
          </w:tcPr>
          <w:p w14:paraId="4561D602"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 </w:t>
            </w:r>
          </w:p>
        </w:tc>
        <w:tc>
          <w:tcPr>
            <w:tcW w:w="992" w:type="dxa"/>
            <w:gridSpan w:val="2"/>
            <w:tcBorders>
              <w:top w:val="nil"/>
              <w:left w:val="nil"/>
              <w:bottom w:val="nil"/>
              <w:right w:val="nil"/>
            </w:tcBorders>
            <w:shd w:val="clear" w:color="auto" w:fill="auto"/>
            <w:noWrap/>
            <w:vAlign w:val="bottom"/>
            <w:hideMark/>
          </w:tcPr>
          <w:p w14:paraId="555BE11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p>
        </w:tc>
        <w:tc>
          <w:tcPr>
            <w:tcW w:w="993" w:type="dxa"/>
            <w:tcBorders>
              <w:top w:val="nil"/>
              <w:left w:val="nil"/>
              <w:bottom w:val="nil"/>
              <w:right w:val="nil"/>
            </w:tcBorders>
            <w:shd w:val="clear" w:color="auto" w:fill="auto"/>
            <w:noWrap/>
            <w:vAlign w:val="bottom"/>
            <w:hideMark/>
          </w:tcPr>
          <w:p w14:paraId="40D8264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07" w:type="dxa"/>
            <w:tcBorders>
              <w:top w:val="nil"/>
              <w:left w:val="nil"/>
              <w:bottom w:val="nil"/>
              <w:right w:val="nil"/>
            </w:tcBorders>
            <w:shd w:val="clear" w:color="auto" w:fill="auto"/>
            <w:noWrap/>
            <w:vAlign w:val="bottom"/>
            <w:hideMark/>
          </w:tcPr>
          <w:p w14:paraId="3F4208C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4" w:type="dxa"/>
            <w:tcBorders>
              <w:top w:val="nil"/>
              <w:left w:val="nil"/>
              <w:bottom w:val="nil"/>
              <w:right w:val="nil"/>
            </w:tcBorders>
            <w:shd w:val="clear" w:color="auto" w:fill="auto"/>
            <w:noWrap/>
            <w:vAlign w:val="bottom"/>
            <w:hideMark/>
          </w:tcPr>
          <w:p w14:paraId="6356911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3" w:type="dxa"/>
            <w:tcBorders>
              <w:top w:val="nil"/>
              <w:left w:val="nil"/>
              <w:bottom w:val="nil"/>
              <w:right w:val="nil"/>
            </w:tcBorders>
            <w:shd w:val="clear" w:color="auto" w:fill="auto"/>
            <w:noWrap/>
            <w:vAlign w:val="bottom"/>
            <w:hideMark/>
          </w:tcPr>
          <w:p w14:paraId="0B098D1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0877058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591CA34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5" w:type="dxa"/>
            <w:tcBorders>
              <w:top w:val="nil"/>
              <w:left w:val="nil"/>
              <w:bottom w:val="nil"/>
              <w:right w:val="nil"/>
            </w:tcBorders>
            <w:shd w:val="clear" w:color="auto" w:fill="auto"/>
            <w:noWrap/>
            <w:vAlign w:val="bottom"/>
            <w:hideMark/>
          </w:tcPr>
          <w:p w14:paraId="3AB199D7" w14:textId="00005518"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6" w:type="dxa"/>
            <w:tcBorders>
              <w:top w:val="nil"/>
              <w:left w:val="nil"/>
              <w:bottom w:val="nil"/>
              <w:right w:val="nil"/>
            </w:tcBorders>
            <w:shd w:val="clear" w:color="auto" w:fill="auto"/>
            <w:noWrap/>
            <w:vAlign w:val="bottom"/>
            <w:hideMark/>
          </w:tcPr>
          <w:p w14:paraId="4A6790E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70" w:type="dxa"/>
            <w:tcBorders>
              <w:top w:val="nil"/>
              <w:left w:val="nil"/>
              <w:bottom w:val="nil"/>
              <w:right w:val="nil"/>
            </w:tcBorders>
            <w:shd w:val="clear" w:color="auto" w:fill="auto"/>
            <w:noWrap/>
            <w:vAlign w:val="bottom"/>
            <w:hideMark/>
          </w:tcPr>
          <w:p w14:paraId="022F499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069" w:type="dxa"/>
            <w:tcBorders>
              <w:top w:val="nil"/>
              <w:left w:val="nil"/>
              <w:bottom w:val="nil"/>
              <w:right w:val="nil"/>
            </w:tcBorders>
            <w:shd w:val="clear" w:color="auto" w:fill="auto"/>
            <w:noWrap/>
            <w:vAlign w:val="bottom"/>
            <w:hideMark/>
          </w:tcPr>
          <w:p w14:paraId="6B27AF06"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r>
      <w:tr w:rsidR="006C2C5E" w:rsidRPr="00C7456C" w14:paraId="7C9A67D1" w14:textId="77777777" w:rsidTr="002F7131">
        <w:trPr>
          <w:trHeight w:val="20"/>
          <w:jc w:val="center"/>
        </w:trPr>
        <w:tc>
          <w:tcPr>
            <w:tcW w:w="1545" w:type="dxa"/>
            <w:tcBorders>
              <w:top w:val="nil"/>
              <w:left w:val="nil"/>
              <w:bottom w:val="nil"/>
              <w:right w:val="nil"/>
            </w:tcBorders>
            <w:shd w:val="clear" w:color="auto" w:fill="auto"/>
            <w:vAlign w:val="bottom"/>
            <w:hideMark/>
          </w:tcPr>
          <w:p w14:paraId="7DA7B8DC"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8"/>
                <w:lang w:eastAsia="zh-CN"/>
              </w:rPr>
            </w:pPr>
            <w:r w:rsidRPr="00C7456C">
              <w:rPr>
                <w:rFonts w:cstheme="minorHAnsi"/>
                <w:sz w:val="18"/>
                <w:lang w:eastAsia="zh-CN"/>
              </w:rPr>
              <w:t xml:space="preserve">9 - </w:t>
            </w:r>
            <w:r w:rsidRPr="00C7456C">
              <w:rPr>
                <w:rFonts w:cstheme="minorHAnsi"/>
                <w:sz w:val="18"/>
                <w:lang w:eastAsia="zh-CN"/>
              </w:rPr>
              <w:t>审计和机构间的费用及其他</w:t>
            </w:r>
          </w:p>
        </w:tc>
        <w:tc>
          <w:tcPr>
            <w:tcW w:w="1006" w:type="dxa"/>
            <w:tcBorders>
              <w:top w:val="nil"/>
              <w:left w:val="single" w:sz="4" w:space="0" w:color="0070C0"/>
              <w:bottom w:val="nil"/>
              <w:right w:val="nil"/>
            </w:tcBorders>
            <w:shd w:val="clear" w:color="auto" w:fill="auto"/>
            <w:noWrap/>
            <w:vAlign w:val="bottom"/>
            <w:hideMark/>
          </w:tcPr>
          <w:p w14:paraId="266BBCC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5</w:t>
            </w:r>
          </w:p>
        </w:tc>
        <w:tc>
          <w:tcPr>
            <w:tcW w:w="992" w:type="dxa"/>
            <w:gridSpan w:val="2"/>
            <w:tcBorders>
              <w:top w:val="nil"/>
              <w:left w:val="nil"/>
              <w:bottom w:val="nil"/>
              <w:right w:val="nil"/>
            </w:tcBorders>
            <w:shd w:val="clear" w:color="auto" w:fill="auto"/>
            <w:noWrap/>
            <w:vAlign w:val="bottom"/>
            <w:hideMark/>
          </w:tcPr>
          <w:p w14:paraId="0E368EB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3" w:type="dxa"/>
            <w:tcBorders>
              <w:top w:val="nil"/>
              <w:left w:val="nil"/>
              <w:bottom w:val="nil"/>
              <w:right w:val="nil"/>
            </w:tcBorders>
            <w:shd w:val="clear" w:color="auto" w:fill="auto"/>
            <w:noWrap/>
            <w:vAlign w:val="bottom"/>
            <w:hideMark/>
          </w:tcPr>
          <w:p w14:paraId="5E0EBE14"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20</w:t>
            </w:r>
          </w:p>
        </w:tc>
        <w:tc>
          <w:tcPr>
            <w:tcW w:w="707" w:type="dxa"/>
            <w:tcBorders>
              <w:top w:val="nil"/>
              <w:left w:val="nil"/>
              <w:bottom w:val="nil"/>
              <w:right w:val="nil"/>
            </w:tcBorders>
            <w:shd w:val="clear" w:color="auto" w:fill="auto"/>
            <w:noWrap/>
            <w:vAlign w:val="bottom"/>
            <w:hideMark/>
          </w:tcPr>
          <w:p w14:paraId="769EE1C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4" w:type="dxa"/>
            <w:tcBorders>
              <w:top w:val="nil"/>
              <w:left w:val="nil"/>
              <w:bottom w:val="nil"/>
              <w:right w:val="nil"/>
            </w:tcBorders>
            <w:shd w:val="clear" w:color="auto" w:fill="auto"/>
            <w:noWrap/>
            <w:vAlign w:val="bottom"/>
            <w:hideMark/>
          </w:tcPr>
          <w:p w14:paraId="48495BD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5,962</w:t>
            </w:r>
          </w:p>
        </w:tc>
        <w:tc>
          <w:tcPr>
            <w:tcW w:w="993" w:type="dxa"/>
            <w:tcBorders>
              <w:top w:val="nil"/>
              <w:left w:val="nil"/>
              <w:bottom w:val="nil"/>
              <w:right w:val="nil"/>
            </w:tcBorders>
            <w:shd w:val="clear" w:color="auto" w:fill="auto"/>
            <w:noWrap/>
            <w:vAlign w:val="bottom"/>
            <w:hideMark/>
          </w:tcPr>
          <w:p w14:paraId="41548C49"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22</w:t>
            </w:r>
          </w:p>
        </w:tc>
        <w:tc>
          <w:tcPr>
            <w:tcW w:w="851" w:type="dxa"/>
            <w:tcBorders>
              <w:top w:val="nil"/>
              <w:left w:val="nil"/>
              <w:bottom w:val="nil"/>
              <w:right w:val="nil"/>
            </w:tcBorders>
            <w:shd w:val="clear" w:color="auto" w:fill="auto"/>
            <w:noWrap/>
            <w:vAlign w:val="bottom"/>
            <w:hideMark/>
          </w:tcPr>
          <w:p w14:paraId="6396B62B" w14:textId="725B918E"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2</w:t>
            </w:r>
          </w:p>
        </w:tc>
        <w:tc>
          <w:tcPr>
            <w:tcW w:w="851" w:type="dxa"/>
            <w:tcBorders>
              <w:top w:val="nil"/>
              <w:left w:val="nil"/>
              <w:bottom w:val="nil"/>
              <w:right w:val="nil"/>
            </w:tcBorders>
            <w:shd w:val="clear" w:color="auto" w:fill="auto"/>
            <w:noWrap/>
            <w:vAlign w:val="bottom"/>
            <w:hideMark/>
          </w:tcPr>
          <w:p w14:paraId="27D76DCF" w14:textId="4915BD9A"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30</w:t>
            </w:r>
          </w:p>
        </w:tc>
        <w:tc>
          <w:tcPr>
            <w:tcW w:w="1315" w:type="dxa"/>
            <w:tcBorders>
              <w:top w:val="nil"/>
              <w:left w:val="nil"/>
              <w:bottom w:val="nil"/>
              <w:right w:val="nil"/>
            </w:tcBorders>
            <w:shd w:val="clear" w:color="auto" w:fill="auto"/>
            <w:noWrap/>
            <w:vAlign w:val="bottom"/>
            <w:hideMark/>
          </w:tcPr>
          <w:p w14:paraId="0E9C5E0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140</w:t>
            </w:r>
          </w:p>
        </w:tc>
        <w:tc>
          <w:tcPr>
            <w:tcW w:w="1316" w:type="dxa"/>
            <w:tcBorders>
              <w:top w:val="nil"/>
              <w:left w:val="nil"/>
              <w:bottom w:val="nil"/>
              <w:right w:val="nil"/>
            </w:tcBorders>
            <w:shd w:val="clear" w:color="auto" w:fill="auto"/>
            <w:noWrap/>
            <w:vAlign w:val="bottom"/>
            <w:hideMark/>
          </w:tcPr>
          <w:p w14:paraId="1FD0762F"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2</w:t>
            </w:r>
          </w:p>
        </w:tc>
        <w:tc>
          <w:tcPr>
            <w:tcW w:w="770" w:type="dxa"/>
            <w:tcBorders>
              <w:top w:val="nil"/>
              <w:left w:val="nil"/>
              <w:bottom w:val="nil"/>
              <w:right w:val="nil"/>
            </w:tcBorders>
            <w:shd w:val="clear" w:color="auto" w:fill="auto"/>
            <w:noWrap/>
            <w:vAlign w:val="bottom"/>
            <w:hideMark/>
          </w:tcPr>
          <w:p w14:paraId="1B52A6A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4</w:t>
            </w:r>
          </w:p>
        </w:tc>
        <w:tc>
          <w:tcPr>
            <w:tcW w:w="1069" w:type="dxa"/>
            <w:tcBorders>
              <w:top w:val="nil"/>
              <w:left w:val="nil"/>
              <w:bottom w:val="nil"/>
              <w:right w:val="nil"/>
            </w:tcBorders>
            <w:shd w:val="clear" w:color="auto" w:fill="auto"/>
            <w:noWrap/>
            <w:vAlign w:val="bottom"/>
            <w:hideMark/>
          </w:tcPr>
          <w:p w14:paraId="4CD0AD6F"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rPr>
            </w:pPr>
            <w:r w:rsidRPr="00C7456C">
              <w:rPr>
                <w:rFonts w:eastAsia="Times New Roman" w:cs="Calibri"/>
                <w:color w:val="002060"/>
                <w:sz w:val="18"/>
              </w:rPr>
              <w:t>6,187</w:t>
            </w:r>
          </w:p>
        </w:tc>
      </w:tr>
      <w:tr w:rsidR="006C2C5E" w:rsidRPr="00C7456C" w14:paraId="028FE5E3" w14:textId="77777777" w:rsidTr="002F7131">
        <w:trPr>
          <w:trHeight w:val="20"/>
          <w:jc w:val="center"/>
        </w:trPr>
        <w:tc>
          <w:tcPr>
            <w:tcW w:w="1545" w:type="dxa"/>
            <w:tcBorders>
              <w:top w:val="nil"/>
              <w:left w:val="nil"/>
              <w:bottom w:val="single" w:sz="4" w:space="0" w:color="auto"/>
              <w:right w:val="nil"/>
            </w:tcBorders>
            <w:shd w:val="clear" w:color="auto" w:fill="auto"/>
            <w:noWrap/>
            <w:vAlign w:val="center"/>
            <w:hideMark/>
          </w:tcPr>
          <w:p w14:paraId="4A8DBDBA"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b/>
                <w:bCs/>
                <w:sz w:val="18"/>
              </w:rPr>
            </w:pPr>
            <w:r w:rsidRPr="00C7456C">
              <w:rPr>
                <w:rFonts w:cstheme="minorHAnsi"/>
                <w:b/>
                <w:bCs/>
                <w:sz w:val="18"/>
              </w:rPr>
              <w:t> </w:t>
            </w:r>
          </w:p>
        </w:tc>
        <w:tc>
          <w:tcPr>
            <w:tcW w:w="1006" w:type="dxa"/>
            <w:tcBorders>
              <w:top w:val="nil"/>
              <w:left w:val="single" w:sz="4" w:space="0" w:color="0070C0"/>
              <w:bottom w:val="single" w:sz="4" w:space="0" w:color="auto"/>
              <w:right w:val="nil"/>
            </w:tcBorders>
            <w:shd w:val="clear" w:color="auto" w:fill="auto"/>
            <w:noWrap/>
            <w:vAlign w:val="bottom"/>
            <w:hideMark/>
          </w:tcPr>
          <w:p w14:paraId="3AB46BB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r w:rsidRPr="00C7456C">
              <w:rPr>
                <w:rFonts w:eastAsia="Times New Roman" w:cs="Calibri"/>
                <w:b/>
                <w:bCs/>
                <w:sz w:val="18"/>
              </w:rPr>
              <w:t> </w:t>
            </w:r>
          </w:p>
        </w:tc>
        <w:tc>
          <w:tcPr>
            <w:tcW w:w="992" w:type="dxa"/>
            <w:gridSpan w:val="2"/>
            <w:tcBorders>
              <w:top w:val="nil"/>
              <w:left w:val="nil"/>
              <w:bottom w:val="single" w:sz="4" w:space="0" w:color="auto"/>
              <w:right w:val="nil"/>
            </w:tcBorders>
            <w:shd w:val="clear" w:color="auto" w:fill="auto"/>
            <w:noWrap/>
            <w:vAlign w:val="bottom"/>
            <w:hideMark/>
          </w:tcPr>
          <w:p w14:paraId="369497C8"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r w:rsidRPr="00C7456C">
              <w:rPr>
                <w:rFonts w:eastAsia="Times New Roman" w:cs="Calibri"/>
                <w:b/>
                <w:bCs/>
                <w:sz w:val="18"/>
              </w:rPr>
              <w:t> </w:t>
            </w:r>
          </w:p>
        </w:tc>
        <w:tc>
          <w:tcPr>
            <w:tcW w:w="993" w:type="dxa"/>
            <w:tcBorders>
              <w:top w:val="nil"/>
              <w:left w:val="nil"/>
              <w:bottom w:val="single" w:sz="4" w:space="0" w:color="auto"/>
              <w:right w:val="nil"/>
            </w:tcBorders>
            <w:shd w:val="clear" w:color="auto" w:fill="auto"/>
            <w:noWrap/>
            <w:vAlign w:val="bottom"/>
            <w:hideMark/>
          </w:tcPr>
          <w:p w14:paraId="7D8FA0C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r w:rsidRPr="00C7456C">
              <w:rPr>
                <w:rFonts w:eastAsia="Times New Roman" w:cs="Calibri"/>
                <w:b/>
                <w:bCs/>
                <w:sz w:val="18"/>
              </w:rPr>
              <w:t> </w:t>
            </w:r>
          </w:p>
        </w:tc>
        <w:tc>
          <w:tcPr>
            <w:tcW w:w="707" w:type="dxa"/>
            <w:tcBorders>
              <w:top w:val="nil"/>
              <w:left w:val="nil"/>
              <w:bottom w:val="single" w:sz="4" w:space="0" w:color="auto"/>
              <w:right w:val="nil"/>
            </w:tcBorders>
            <w:shd w:val="clear" w:color="auto" w:fill="auto"/>
            <w:noWrap/>
            <w:vAlign w:val="bottom"/>
            <w:hideMark/>
          </w:tcPr>
          <w:p w14:paraId="0A1708C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r w:rsidRPr="00C7456C">
              <w:rPr>
                <w:rFonts w:eastAsia="Times New Roman" w:cs="Calibri"/>
                <w:b/>
                <w:bCs/>
                <w:sz w:val="18"/>
              </w:rPr>
              <w:t> </w:t>
            </w:r>
          </w:p>
        </w:tc>
        <w:tc>
          <w:tcPr>
            <w:tcW w:w="994" w:type="dxa"/>
            <w:tcBorders>
              <w:top w:val="nil"/>
              <w:left w:val="nil"/>
              <w:bottom w:val="single" w:sz="4" w:space="0" w:color="auto"/>
              <w:right w:val="nil"/>
            </w:tcBorders>
            <w:shd w:val="clear" w:color="auto" w:fill="auto"/>
            <w:noWrap/>
            <w:vAlign w:val="bottom"/>
            <w:hideMark/>
          </w:tcPr>
          <w:p w14:paraId="30B9372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r w:rsidRPr="00C7456C">
              <w:rPr>
                <w:rFonts w:eastAsia="Times New Roman" w:cs="Calibri"/>
                <w:b/>
                <w:bCs/>
                <w:sz w:val="18"/>
              </w:rPr>
              <w:t> </w:t>
            </w:r>
          </w:p>
        </w:tc>
        <w:tc>
          <w:tcPr>
            <w:tcW w:w="993" w:type="dxa"/>
            <w:tcBorders>
              <w:top w:val="nil"/>
              <w:left w:val="nil"/>
              <w:bottom w:val="single" w:sz="4" w:space="0" w:color="auto"/>
              <w:right w:val="nil"/>
            </w:tcBorders>
            <w:shd w:val="clear" w:color="auto" w:fill="auto"/>
            <w:noWrap/>
            <w:vAlign w:val="bottom"/>
            <w:hideMark/>
          </w:tcPr>
          <w:p w14:paraId="4C86949C" w14:textId="1C21005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r w:rsidRPr="00C7456C">
              <w:rPr>
                <w:rFonts w:eastAsia="Times New Roman" w:cs="Calibri"/>
                <w:b/>
                <w:bCs/>
                <w:sz w:val="18"/>
              </w:rPr>
              <w:t> </w:t>
            </w:r>
          </w:p>
        </w:tc>
        <w:tc>
          <w:tcPr>
            <w:tcW w:w="851" w:type="dxa"/>
            <w:tcBorders>
              <w:top w:val="nil"/>
              <w:left w:val="nil"/>
              <w:bottom w:val="single" w:sz="4" w:space="0" w:color="auto"/>
              <w:right w:val="nil"/>
            </w:tcBorders>
            <w:shd w:val="clear" w:color="auto" w:fill="auto"/>
            <w:noWrap/>
            <w:vAlign w:val="bottom"/>
            <w:hideMark/>
          </w:tcPr>
          <w:p w14:paraId="620007A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r w:rsidRPr="00C7456C">
              <w:rPr>
                <w:rFonts w:eastAsia="Times New Roman" w:cs="Calibri"/>
                <w:b/>
                <w:bCs/>
                <w:sz w:val="18"/>
              </w:rPr>
              <w:t> </w:t>
            </w:r>
          </w:p>
        </w:tc>
        <w:tc>
          <w:tcPr>
            <w:tcW w:w="851" w:type="dxa"/>
            <w:tcBorders>
              <w:top w:val="nil"/>
              <w:left w:val="nil"/>
              <w:bottom w:val="single" w:sz="4" w:space="0" w:color="auto"/>
              <w:right w:val="nil"/>
            </w:tcBorders>
            <w:shd w:val="clear" w:color="auto" w:fill="auto"/>
            <w:noWrap/>
            <w:vAlign w:val="bottom"/>
            <w:hideMark/>
          </w:tcPr>
          <w:p w14:paraId="3632697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r w:rsidRPr="00C7456C">
              <w:rPr>
                <w:rFonts w:eastAsia="Times New Roman" w:cs="Calibri"/>
                <w:b/>
                <w:bCs/>
                <w:sz w:val="18"/>
              </w:rPr>
              <w:t> </w:t>
            </w:r>
          </w:p>
        </w:tc>
        <w:tc>
          <w:tcPr>
            <w:tcW w:w="1315" w:type="dxa"/>
            <w:tcBorders>
              <w:top w:val="nil"/>
              <w:left w:val="nil"/>
              <w:bottom w:val="single" w:sz="4" w:space="0" w:color="auto"/>
              <w:right w:val="nil"/>
            </w:tcBorders>
            <w:shd w:val="clear" w:color="auto" w:fill="auto"/>
            <w:noWrap/>
            <w:vAlign w:val="bottom"/>
            <w:hideMark/>
          </w:tcPr>
          <w:p w14:paraId="47058F64"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r w:rsidRPr="00C7456C">
              <w:rPr>
                <w:rFonts w:eastAsia="Times New Roman" w:cs="Calibri"/>
                <w:b/>
                <w:bCs/>
                <w:sz w:val="18"/>
              </w:rPr>
              <w:t> </w:t>
            </w:r>
          </w:p>
        </w:tc>
        <w:tc>
          <w:tcPr>
            <w:tcW w:w="1316" w:type="dxa"/>
            <w:tcBorders>
              <w:top w:val="nil"/>
              <w:left w:val="nil"/>
              <w:bottom w:val="single" w:sz="4" w:space="0" w:color="auto"/>
              <w:right w:val="nil"/>
            </w:tcBorders>
            <w:shd w:val="clear" w:color="auto" w:fill="auto"/>
            <w:noWrap/>
            <w:vAlign w:val="bottom"/>
            <w:hideMark/>
          </w:tcPr>
          <w:p w14:paraId="3B5AC4E6"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r w:rsidRPr="00C7456C">
              <w:rPr>
                <w:rFonts w:eastAsia="Times New Roman" w:cs="Calibri"/>
                <w:b/>
                <w:bCs/>
                <w:sz w:val="18"/>
              </w:rPr>
              <w:t> </w:t>
            </w:r>
          </w:p>
        </w:tc>
        <w:tc>
          <w:tcPr>
            <w:tcW w:w="770" w:type="dxa"/>
            <w:tcBorders>
              <w:top w:val="nil"/>
              <w:left w:val="nil"/>
              <w:bottom w:val="single" w:sz="4" w:space="0" w:color="auto"/>
              <w:right w:val="nil"/>
            </w:tcBorders>
            <w:shd w:val="clear" w:color="auto" w:fill="auto"/>
            <w:noWrap/>
            <w:vAlign w:val="bottom"/>
            <w:hideMark/>
          </w:tcPr>
          <w:p w14:paraId="24406FA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r w:rsidRPr="00C7456C">
              <w:rPr>
                <w:rFonts w:eastAsia="Times New Roman" w:cs="Calibri"/>
                <w:b/>
                <w:bCs/>
                <w:sz w:val="18"/>
              </w:rPr>
              <w:t> </w:t>
            </w:r>
          </w:p>
        </w:tc>
        <w:tc>
          <w:tcPr>
            <w:tcW w:w="1069" w:type="dxa"/>
            <w:tcBorders>
              <w:top w:val="nil"/>
              <w:left w:val="nil"/>
              <w:bottom w:val="single" w:sz="4" w:space="0" w:color="auto"/>
              <w:right w:val="nil"/>
            </w:tcBorders>
            <w:shd w:val="clear" w:color="auto" w:fill="auto"/>
            <w:noWrap/>
            <w:vAlign w:val="bottom"/>
            <w:hideMark/>
          </w:tcPr>
          <w:p w14:paraId="5708AAD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8"/>
              </w:rPr>
            </w:pPr>
            <w:r w:rsidRPr="00C7456C">
              <w:rPr>
                <w:rFonts w:eastAsia="Times New Roman" w:cs="Calibri"/>
                <w:b/>
                <w:bCs/>
                <w:color w:val="002060"/>
                <w:sz w:val="18"/>
              </w:rPr>
              <w:t> </w:t>
            </w:r>
          </w:p>
        </w:tc>
      </w:tr>
      <w:tr w:rsidR="006C2C5E" w:rsidRPr="00C7456C" w14:paraId="0F8D3098" w14:textId="77777777" w:rsidTr="002F7131">
        <w:trPr>
          <w:trHeight w:val="20"/>
          <w:jc w:val="center"/>
        </w:trPr>
        <w:tc>
          <w:tcPr>
            <w:tcW w:w="1545" w:type="dxa"/>
            <w:tcBorders>
              <w:top w:val="nil"/>
              <w:left w:val="nil"/>
              <w:bottom w:val="nil"/>
              <w:right w:val="nil"/>
            </w:tcBorders>
            <w:shd w:val="clear" w:color="auto" w:fill="auto"/>
            <w:noWrap/>
            <w:vAlign w:val="center"/>
            <w:hideMark/>
          </w:tcPr>
          <w:p w14:paraId="6572E3C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cstheme="minorHAnsi"/>
                <w:b/>
                <w:bCs/>
                <w:color w:val="002060"/>
                <w:sz w:val="18"/>
              </w:rPr>
            </w:pPr>
            <w:r w:rsidRPr="00C7456C">
              <w:rPr>
                <w:rFonts w:cstheme="minorHAnsi"/>
                <w:b/>
                <w:bCs/>
                <w:sz w:val="18"/>
              </w:rPr>
              <w:t>合计</w:t>
            </w:r>
          </w:p>
        </w:tc>
        <w:tc>
          <w:tcPr>
            <w:tcW w:w="1006" w:type="dxa"/>
            <w:tcBorders>
              <w:top w:val="nil"/>
              <w:left w:val="single" w:sz="4" w:space="0" w:color="0070C0"/>
              <w:bottom w:val="nil"/>
              <w:right w:val="nil"/>
            </w:tcBorders>
            <w:shd w:val="clear" w:color="auto" w:fill="auto"/>
            <w:noWrap/>
            <w:vAlign w:val="bottom"/>
            <w:hideMark/>
          </w:tcPr>
          <w:p w14:paraId="0398E02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b/>
                <w:bCs/>
                <w:sz w:val="18"/>
              </w:rPr>
              <w:t>1,411</w:t>
            </w:r>
          </w:p>
        </w:tc>
        <w:tc>
          <w:tcPr>
            <w:tcW w:w="992" w:type="dxa"/>
            <w:gridSpan w:val="2"/>
            <w:tcBorders>
              <w:top w:val="nil"/>
              <w:left w:val="nil"/>
              <w:bottom w:val="nil"/>
              <w:right w:val="nil"/>
            </w:tcBorders>
            <w:shd w:val="clear" w:color="auto" w:fill="auto"/>
            <w:noWrap/>
            <w:vAlign w:val="bottom"/>
            <w:hideMark/>
          </w:tcPr>
          <w:p w14:paraId="1ADBEBA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b/>
                <w:bCs/>
                <w:sz w:val="18"/>
              </w:rPr>
              <w:t>100</w:t>
            </w:r>
          </w:p>
        </w:tc>
        <w:tc>
          <w:tcPr>
            <w:tcW w:w="993" w:type="dxa"/>
            <w:tcBorders>
              <w:top w:val="nil"/>
              <w:left w:val="nil"/>
              <w:bottom w:val="nil"/>
              <w:right w:val="nil"/>
            </w:tcBorders>
            <w:shd w:val="clear" w:color="auto" w:fill="auto"/>
            <w:noWrap/>
            <w:vAlign w:val="bottom"/>
            <w:hideMark/>
          </w:tcPr>
          <w:p w14:paraId="01EBEA9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r w:rsidRPr="00C7456C">
              <w:rPr>
                <w:rFonts w:eastAsia="Times New Roman" w:cs="Calibri"/>
                <w:b/>
                <w:bCs/>
                <w:sz w:val="18"/>
              </w:rPr>
              <w:t>1,365</w:t>
            </w:r>
          </w:p>
        </w:tc>
        <w:tc>
          <w:tcPr>
            <w:tcW w:w="707" w:type="dxa"/>
            <w:tcBorders>
              <w:top w:val="nil"/>
              <w:left w:val="nil"/>
              <w:bottom w:val="nil"/>
              <w:right w:val="nil"/>
            </w:tcBorders>
            <w:shd w:val="clear" w:color="auto" w:fill="auto"/>
            <w:noWrap/>
            <w:vAlign w:val="bottom"/>
            <w:hideMark/>
          </w:tcPr>
          <w:p w14:paraId="5294626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r w:rsidRPr="00C7456C">
              <w:rPr>
                <w:rFonts w:eastAsia="Times New Roman" w:cs="Calibri"/>
                <w:b/>
                <w:bCs/>
                <w:sz w:val="18"/>
              </w:rPr>
              <w:t>1,130</w:t>
            </w:r>
          </w:p>
        </w:tc>
        <w:tc>
          <w:tcPr>
            <w:tcW w:w="994" w:type="dxa"/>
            <w:tcBorders>
              <w:top w:val="nil"/>
              <w:left w:val="nil"/>
              <w:bottom w:val="nil"/>
              <w:right w:val="nil"/>
            </w:tcBorders>
            <w:shd w:val="clear" w:color="auto" w:fill="auto"/>
            <w:noWrap/>
            <w:vAlign w:val="bottom"/>
            <w:hideMark/>
          </w:tcPr>
          <w:p w14:paraId="2190BDD4"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r w:rsidRPr="00C7456C">
              <w:rPr>
                <w:rFonts w:eastAsia="Times New Roman" w:cs="Calibri"/>
                <w:b/>
                <w:bCs/>
                <w:sz w:val="18"/>
              </w:rPr>
              <w:t>22,552</w:t>
            </w:r>
          </w:p>
        </w:tc>
        <w:tc>
          <w:tcPr>
            <w:tcW w:w="993" w:type="dxa"/>
            <w:tcBorders>
              <w:top w:val="nil"/>
              <w:left w:val="nil"/>
              <w:bottom w:val="nil"/>
              <w:right w:val="nil"/>
            </w:tcBorders>
            <w:shd w:val="clear" w:color="auto" w:fill="auto"/>
            <w:noWrap/>
            <w:vAlign w:val="bottom"/>
            <w:hideMark/>
          </w:tcPr>
          <w:p w14:paraId="48CF2A68"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r w:rsidRPr="00C7456C">
              <w:rPr>
                <w:rFonts w:eastAsia="Times New Roman" w:cs="Calibri"/>
                <w:b/>
                <w:bCs/>
                <w:sz w:val="18"/>
              </w:rPr>
              <w:t>21,496</w:t>
            </w:r>
          </w:p>
        </w:tc>
        <w:tc>
          <w:tcPr>
            <w:tcW w:w="851" w:type="dxa"/>
            <w:tcBorders>
              <w:top w:val="nil"/>
              <w:left w:val="nil"/>
              <w:bottom w:val="nil"/>
              <w:right w:val="nil"/>
            </w:tcBorders>
            <w:shd w:val="clear" w:color="auto" w:fill="auto"/>
            <w:noWrap/>
            <w:vAlign w:val="bottom"/>
            <w:hideMark/>
          </w:tcPr>
          <w:p w14:paraId="4E9AC10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r w:rsidRPr="00C7456C">
              <w:rPr>
                <w:rFonts w:eastAsia="Times New Roman" w:cs="Calibri"/>
                <w:b/>
                <w:bCs/>
                <w:sz w:val="18"/>
              </w:rPr>
              <w:t>17,028</w:t>
            </w:r>
          </w:p>
        </w:tc>
        <w:tc>
          <w:tcPr>
            <w:tcW w:w="851" w:type="dxa"/>
            <w:tcBorders>
              <w:top w:val="nil"/>
              <w:left w:val="nil"/>
              <w:bottom w:val="nil"/>
              <w:right w:val="nil"/>
            </w:tcBorders>
            <w:shd w:val="clear" w:color="auto" w:fill="auto"/>
            <w:noWrap/>
            <w:vAlign w:val="bottom"/>
            <w:hideMark/>
          </w:tcPr>
          <w:p w14:paraId="21ED17C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r w:rsidRPr="00C7456C">
              <w:rPr>
                <w:rFonts w:eastAsia="Times New Roman" w:cs="Calibri"/>
                <w:b/>
                <w:bCs/>
                <w:sz w:val="18"/>
              </w:rPr>
              <w:t>46,912</w:t>
            </w:r>
          </w:p>
        </w:tc>
        <w:tc>
          <w:tcPr>
            <w:tcW w:w="1315" w:type="dxa"/>
            <w:tcBorders>
              <w:top w:val="nil"/>
              <w:left w:val="nil"/>
              <w:bottom w:val="nil"/>
              <w:right w:val="nil"/>
            </w:tcBorders>
            <w:shd w:val="clear" w:color="auto" w:fill="auto"/>
            <w:noWrap/>
            <w:vAlign w:val="bottom"/>
            <w:hideMark/>
          </w:tcPr>
          <w:p w14:paraId="1FB69B3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r w:rsidRPr="00C7456C">
              <w:rPr>
                <w:rFonts w:eastAsia="Times New Roman" w:cs="Calibri"/>
                <w:b/>
                <w:bCs/>
                <w:sz w:val="18"/>
              </w:rPr>
              <w:t>11,602</w:t>
            </w:r>
          </w:p>
        </w:tc>
        <w:tc>
          <w:tcPr>
            <w:tcW w:w="1316" w:type="dxa"/>
            <w:tcBorders>
              <w:top w:val="nil"/>
              <w:left w:val="nil"/>
              <w:bottom w:val="nil"/>
              <w:right w:val="nil"/>
            </w:tcBorders>
            <w:shd w:val="clear" w:color="auto" w:fill="auto"/>
            <w:noWrap/>
            <w:vAlign w:val="bottom"/>
            <w:hideMark/>
          </w:tcPr>
          <w:p w14:paraId="3B6C757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r w:rsidRPr="00C7456C">
              <w:rPr>
                <w:rFonts w:eastAsia="Times New Roman" w:cs="Calibri"/>
                <w:b/>
                <w:bCs/>
                <w:sz w:val="18"/>
              </w:rPr>
              <w:t>17,758</w:t>
            </w:r>
          </w:p>
        </w:tc>
        <w:tc>
          <w:tcPr>
            <w:tcW w:w="770" w:type="dxa"/>
            <w:tcBorders>
              <w:top w:val="nil"/>
              <w:left w:val="nil"/>
              <w:bottom w:val="nil"/>
              <w:right w:val="nil"/>
            </w:tcBorders>
            <w:shd w:val="clear" w:color="auto" w:fill="auto"/>
            <w:noWrap/>
            <w:vAlign w:val="bottom"/>
            <w:hideMark/>
          </w:tcPr>
          <w:p w14:paraId="4AE3988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r w:rsidRPr="00C7456C">
              <w:rPr>
                <w:rFonts w:eastAsia="Times New Roman" w:cs="Calibri"/>
                <w:b/>
                <w:bCs/>
                <w:sz w:val="18"/>
              </w:rPr>
              <w:t>39,929</w:t>
            </w:r>
          </w:p>
        </w:tc>
        <w:tc>
          <w:tcPr>
            <w:tcW w:w="1069" w:type="dxa"/>
            <w:tcBorders>
              <w:top w:val="nil"/>
              <w:left w:val="nil"/>
              <w:bottom w:val="nil"/>
              <w:right w:val="nil"/>
            </w:tcBorders>
            <w:shd w:val="clear" w:color="auto" w:fill="auto"/>
            <w:noWrap/>
            <w:vAlign w:val="bottom"/>
            <w:hideMark/>
          </w:tcPr>
          <w:p w14:paraId="185EFFEF"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r w:rsidRPr="00C7456C">
              <w:rPr>
                <w:rFonts w:eastAsia="Times New Roman" w:cs="Calibri"/>
                <w:b/>
                <w:bCs/>
                <w:color w:val="002060"/>
                <w:sz w:val="18"/>
              </w:rPr>
              <w:t>181,283</w:t>
            </w:r>
          </w:p>
        </w:tc>
      </w:tr>
      <w:tr w:rsidR="006C2C5E" w:rsidRPr="00C7456C" w14:paraId="0B4B24EA" w14:textId="77777777" w:rsidTr="002F7131">
        <w:trPr>
          <w:trHeight w:val="20"/>
          <w:jc w:val="center"/>
        </w:trPr>
        <w:tc>
          <w:tcPr>
            <w:tcW w:w="1545" w:type="dxa"/>
            <w:tcBorders>
              <w:top w:val="nil"/>
              <w:left w:val="nil"/>
              <w:bottom w:val="nil"/>
              <w:right w:val="nil"/>
            </w:tcBorders>
            <w:shd w:val="clear" w:color="auto" w:fill="auto"/>
            <w:noWrap/>
            <w:vAlign w:val="center"/>
          </w:tcPr>
          <w:p w14:paraId="368DF69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cstheme="minorHAnsi"/>
                <w:b/>
                <w:bCs/>
                <w:sz w:val="18"/>
              </w:rPr>
            </w:pPr>
          </w:p>
        </w:tc>
        <w:tc>
          <w:tcPr>
            <w:tcW w:w="1006" w:type="dxa"/>
            <w:tcBorders>
              <w:top w:val="nil"/>
              <w:left w:val="single" w:sz="4" w:space="0" w:color="0070C0"/>
              <w:bottom w:val="nil"/>
              <w:right w:val="nil"/>
            </w:tcBorders>
            <w:shd w:val="clear" w:color="auto" w:fill="auto"/>
            <w:noWrap/>
            <w:vAlign w:val="bottom"/>
          </w:tcPr>
          <w:p w14:paraId="7F3A8BC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p>
        </w:tc>
        <w:tc>
          <w:tcPr>
            <w:tcW w:w="992" w:type="dxa"/>
            <w:gridSpan w:val="2"/>
            <w:tcBorders>
              <w:top w:val="nil"/>
              <w:left w:val="nil"/>
              <w:bottom w:val="nil"/>
              <w:right w:val="nil"/>
            </w:tcBorders>
            <w:shd w:val="clear" w:color="auto" w:fill="auto"/>
            <w:noWrap/>
            <w:vAlign w:val="bottom"/>
          </w:tcPr>
          <w:p w14:paraId="0411014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p>
        </w:tc>
        <w:tc>
          <w:tcPr>
            <w:tcW w:w="993" w:type="dxa"/>
            <w:tcBorders>
              <w:top w:val="nil"/>
              <w:left w:val="nil"/>
              <w:bottom w:val="nil"/>
              <w:right w:val="nil"/>
            </w:tcBorders>
            <w:shd w:val="clear" w:color="auto" w:fill="auto"/>
            <w:noWrap/>
            <w:vAlign w:val="bottom"/>
          </w:tcPr>
          <w:p w14:paraId="1B69B152"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p>
        </w:tc>
        <w:tc>
          <w:tcPr>
            <w:tcW w:w="707" w:type="dxa"/>
            <w:tcBorders>
              <w:top w:val="nil"/>
              <w:left w:val="nil"/>
              <w:bottom w:val="nil"/>
              <w:right w:val="nil"/>
            </w:tcBorders>
            <w:shd w:val="clear" w:color="auto" w:fill="auto"/>
            <w:noWrap/>
            <w:vAlign w:val="bottom"/>
          </w:tcPr>
          <w:p w14:paraId="40C44BB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p>
        </w:tc>
        <w:tc>
          <w:tcPr>
            <w:tcW w:w="994" w:type="dxa"/>
            <w:tcBorders>
              <w:top w:val="nil"/>
              <w:left w:val="nil"/>
              <w:bottom w:val="nil"/>
              <w:right w:val="nil"/>
            </w:tcBorders>
            <w:shd w:val="clear" w:color="auto" w:fill="auto"/>
            <w:noWrap/>
            <w:vAlign w:val="bottom"/>
          </w:tcPr>
          <w:p w14:paraId="459881E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p>
        </w:tc>
        <w:tc>
          <w:tcPr>
            <w:tcW w:w="993" w:type="dxa"/>
            <w:tcBorders>
              <w:top w:val="nil"/>
              <w:left w:val="nil"/>
              <w:bottom w:val="nil"/>
              <w:right w:val="nil"/>
            </w:tcBorders>
            <w:shd w:val="clear" w:color="auto" w:fill="auto"/>
            <w:noWrap/>
            <w:vAlign w:val="bottom"/>
          </w:tcPr>
          <w:p w14:paraId="06BCEC3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p>
        </w:tc>
        <w:tc>
          <w:tcPr>
            <w:tcW w:w="851" w:type="dxa"/>
            <w:tcBorders>
              <w:top w:val="nil"/>
              <w:left w:val="nil"/>
              <w:bottom w:val="nil"/>
              <w:right w:val="nil"/>
            </w:tcBorders>
            <w:shd w:val="clear" w:color="auto" w:fill="auto"/>
            <w:noWrap/>
            <w:vAlign w:val="bottom"/>
          </w:tcPr>
          <w:p w14:paraId="18BDC2C9"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p>
        </w:tc>
        <w:tc>
          <w:tcPr>
            <w:tcW w:w="851" w:type="dxa"/>
            <w:tcBorders>
              <w:top w:val="nil"/>
              <w:left w:val="nil"/>
              <w:bottom w:val="nil"/>
              <w:right w:val="nil"/>
            </w:tcBorders>
            <w:shd w:val="clear" w:color="auto" w:fill="auto"/>
            <w:noWrap/>
            <w:vAlign w:val="bottom"/>
          </w:tcPr>
          <w:p w14:paraId="42E64839"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p>
        </w:tc>
        <w:tc>
          <w:tcPr>
            <w:tcW w:w="1315" w:type="dxa"/>
            <w:tcBorders>
              <w:top w:val="nil"/>
              <w:left w:val="nil"/>
              <w:bottom w:val="nil"/>
              <w:right w:val="nil"/>
            </w:tcBorders>
            <w:shd w:val="clear" w:color="auto" w:fill="auto"/>
            <w:noWrap/>
            <w:vAlign w:val="bottom"/>
          </w:tcPr>
          <w:p w14:paraId="176D9D2F"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p>
        </w:tc>
        <w:tc>
          <w:tcPr>
            <w:tcW w:w="1316" w:type="dxa"/>
            <w:tcBorders>
              <w:top w:val="nil"/>
              <w:left w:val="nil"/>
              <w:bottom w:val="nil"/>
              <w:right w:val="nil"/>
            </w:tcBorders>
            <w:shd w:val="clear" w:color="auto" w:fill="auto"/>
            <w:noWrap/>
            <w:vAlign w:val="bottom"/>
          </w:tcPr>
          <w:p w14:paraId="6333CBD2"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p>
        </w:tc>
        <w:tc>
          <w:tcPr>
            <w:tcW w:w="770" w:type="dxa"/>
            <w:tcBorders>
              <w:top w:val="nil"/>
              <w:left w:val="nil"/>
              <w:bottom w:val="nil"/>
              <w:right w:val="nil"/>
            </w:tcBorders>
            <w:shd w:val="clear" w:color="auto" w:fill="auto"/>
            <w:noWrap/>
            <w:vAlign w:val="bottom"/>
          </w:tcPr>
          <w:p w14:paraId="551F1686"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p>
        </w:tc>
        <w:tc>
          <w:tcPr>
            <w:tcW w:w="1069" w:type="dxa"/>
            <w:tcBorders>
              <w:top w:val="nil"/>
              <w:left w:val="nil"/>
              <w:bottom w:val="nil"/>
              <w:right w:val="nil"/>
            </w:tcBorders>
            <w:shd w:val="clear" w:color="auto" w:fill="auto"/>
            <w:noWrap/>
            <w:vAlign w:val="bottom"/>
          </w:tcPr>
          <w:p w14:paraId="24AFE75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8"/>
              </w:rPr>
            </w:pPr>
          </w:p>
        </w:tc>
      </w:tr>
      <w:tr w:rsidR="006C2C5E" w:rsidRPr="00C7456C" w14:paraId="1E5BB05D" w14:textId="77777777" w:rsidTr="002F7131">
        <w:trPr>
          <w:trHeight w:val="20"/>
          <w:jc w:val="center"/>
        </w:trPr>
        <w:tc>
          <w:tcPr>
            <w:tcW w:w="4536" w:type="dxa"/>
            <w:gridSpan w:val="5"/>
            <w:tcBorders>
              <w:top w:val="nil"/>
              <w:left w:val="nil"/>
              <w:bottom w:val="nil"/>
              <w:right w:val="nil"/>
            </w:tcBorders>
            <w:shd w:val="clear" w:color="000000" w:fill="FFFFFF"/>
            <w:noWrap/>
            <w:vAlign w:val="center"/>
            <w:hideMark/>
          </w:tcPr>
          <w:p w14:paraId="5CD3E7D8" w14:textId="07CB38C5"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sz w:val="18"/>
                <w:lang w:eastAsia="zh-CN"/>
              </w:rPr>
            </w:pPr>
            <w:r w:rsidRPr="00C7456C">
              <w:rPr>
                <w:rFonts w:eastAsia="Times New Roman" w:cs="Calibri"/>
                <w:sz w:val="18"/>
                <w:lang w:eastAsia="zh-CN"/>
              </w:rPr>
              <w:t xml:space="preserve">*) </w:t>
            </w:r>
            <w:r w:rsidRPr="00C7456C">
              <w:rPr>
                <w:rFonts w:ascii="SimSun" w:hAnsi="SimSun" w:cs="Calibri" w:hint="eastAsia"/>
                <w:sz w:val="18"/>
                <w:lang w:eastAsia="zh-CN"/>
              </w:rPr>
              <w:t>包括设施管理处、法律事务处和内部审计员</w:t>
            </w:r>
          </w:p>
        </w:tc>
        <w:tc>
          <w:tcPr>
            <w:tcW w:w="707" w:type="dxa"/>
            <w:tcBorders>
              <w:top w:val="nil"/>
              <w:left w:val="nil"/>
              <w:bottom w:val="nil"/>
              <w:right w:val="nil"/>
            </w:tcBorders>
            <w:shd w:val="clear" w:color="auto" w:fill="auto"/>
            <w:noWrap/>
            <w:vAlign w:val="center"/>
            <w:hideMark/>
          </w:tcPr>
          <w:p w14:paraId="4872243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lang w:eastAsia="zh-CN"/>
              </w:rPr>
            </w:pPr>
          </w:p>
        </w:tc>
        <w:tc>
          <w:tcPr>
            <w:tcW w:w="994" w:type="dxa"/>
            <w:tcBorders>
              <w:top w:val="nil"/>
              <w:left w:val="nil"/>
              <w:bottom w:val="nil"/>
              <w:right w:val="nil"/>
            </w:tcBorders>
            <w:shd w:val="clear" w:color="auto" w:fill="auto"/>
            <w:noWrap/>
            <w:vAlign w:val="center"/>
            <w:hideMark/>
          </w:tcPr>
          <w:p w14:paraId="5DE3DDD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lang w:eastAsia="zh-CN"/>
              </w:rPr>
            </w:pPr>
          </w:p>
        </w:tc>
        <w:tc>
          <w:tcPr>
            <w:tcW w:w="993" w:type="dxa"/>
            <w:tcBorders>
              <w:top w:val="nil"/>
              <w:left w:val="nil"/>
              <w:bottom w:val="nil"/>
              <w:right w:val="nil"/>
            </w:tcBorders>
            <w:shd w:val="clear" w:color="auto" w:fill="auto"/>
            <w:noWrap/>
            <w:vAlign w:val="center"/>
            <w:hideMark/>
          </w:tcPr>
          <w:p w14:paraId="09C18F98"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lang w:eastAsia="zh-CN"/>
              </w:rPr>
            </w:pPr>
          </w:p>
        </w:tc>
        <w:tc>
          <w:tcPr>
            <w:tcW w:w="851" w:type="dxa"/>
            <w:tcBorders>
              <w:top w:val="nil"/>
              <w:left w:val="nil"/>
              <w:bottom w:val="nil"/>
              <w:right w:val="nil"/>
            </w:tcBorders>
            <w:shd w:val="clear" w:color="auto" w:fill="auto"/>
            <w:noWrap/>
            <w:vAlign w:val="center"/>
            <w:hideMark/>
          </w:tcPr>
          <w:p w14:paraId="61AE669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lang w:eastAsia="zh-CN"/>
              </w:rPr>
            </w:pPr>
          </w:p>
        </w:tc>
        <w:tc>
          <w:tcPr>
            <w:tcW w:w="851" w:type="dxa"/>
            <w:tcBorders>
              <w:top w:val="nil"/>
              <w:left w:val="nil"/>
              <w:bottom w:val="nil"/>
              <w:right w:val="nil"/>
            </w:tcBorders>
            <w:shd w:val="clear" w:color="auto" w:fill="auto"/>
            <w:noWrap/>
            <w:vAlign w:val="center"/>
            <w:hideMark/>
          </w:tcPr>
          <w:p w14:paraId="7AA2039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lang w:eastAsia="zh-CN"/>
              </w:rPr>
            </w:pPr>
          </w:p>
        </w:tc>
        <w:tc>
          <w:tcPr>
            <w:tcW w:w="1315" w:type="dxa"/>
            <w:tcBorders>
              <w:top w:val="nil"/>
              <w:left w:val="nil"/>
              <w:bottom w:val="nil"/>
              <w:right w:val="nil"/>
            </w:tcBorders>
            <w:shd w:val="clear" w:color="auto" w:fill="auto"/>
            <w:noWrap/>
            <w:vAlign w:val="center"/>
            <w:hideMark/>
          </w:tcPr>
          <w:p w14:paraId="3471CC0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lang w:eastAsia="zh-CN"/>
              </w:rPr>
            </w:pPr>
          </w:p>
        </w:tc>
        <w:tc>
          <w:tcPr>
            <w:tcW w:w="1316" w:type="dxa"/>
            <w:noWrap/>
            <w:hideMark/>
          </w:tcPr>
          <w:p w14:paraId="0CACACF8"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lang w:eastAsia="zh-CN"/>
              </w:rPr>
            </w:pPr>
          </w:p>
        </w:tc>
        <w:tc>
          <w:tcPr>
            <w:tcW w:w="770" w:type="dxa"/>
            <w:tcBorders>
              <w:top w:val="nil"/>
              <w:left w:val="nil"/>
              <w:bottom w:val="nil"/>
              <w:right w:val="nil"/>
            </w:tcBorders>
            <w:shd w:val="clear" w:color="auto" w:fill="auto"/>
            <w:noWrap/>
            <w:vAlign w:val="center"/>
            <w:hideMark/>
          </w:tcPr>
          <w:p w14:paraId="57744EB4"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lang w:eastAsia="zh-CN"/>
              </w:rPr>
            </w:pPr>
          </w:p>
        </w:tc>
        <w:tc>
          <w:tcPr>
            <w:tcW w:w="1069" w:type="dxa"/>
            <w:tcBorders>
              <w:top w:val="nil"/>
              <w:left w:val="nil"/>
              <w:bottom w:val="nil"/>
              <w:right w:val="nil"/>
            </w:tcBorders>
            <w:shd w:val="clear" w:color="auto" w:fill="auto"/>
            <w:noWrap/>
            <w:vAlign w:val="center"/>
            <w:hideMark/>
          </w:tcPr>
          <w:p w14:paraId="23FC3A7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8"/>
                <w:lang w:eastAsia="zh-CN"/>
              </w:rPr>
            </w:pPr>
          </w:p>
        </w:tc>
      </w:tr>
    </w:tbl>
    <w:p w14:paraId="6DDDF7A2" w14:textId="50C9665B" w:rsidR="005C437E" w:rsidRDefault="005C437E" w:rsidP="0090191E">
      <w:pPr>
        <w:pStyle w:val="Normalaftertitle"/>
        <w:rPr>
          <w:lang w:eastAsia="zh-CN"/>
        </w:rPr>
      </w:pPr>
      <w:r>
        <w:rPr>
          <w:lang w:eastAsia="zh-CN"/>
        </w:rPr>
        <w:br w:type="page"/>
      </w:r>
    </w:p>
    <w:tbl>
      <w:tblPr>
        <w:tblW w:w="14444" w:type="dxa"/>
        <w:tblLook w:val="04A0" w:firstRow="1" w:lastRow="0" w:firstColumn="1" w:lastColumn="0" w:noHBand="0" w:noVBand="1"/>
      </w:tblPr>
      <w:tblGrid>
        <w:gridCol w:w="2835"/>
        <w:gridCol w:w="823"/>
        <w:gridCol w:w="973"/>
        <w:gridCol w:w="962"/>
        <w:gridCol w:w="1008"/>
        <w:gridCol w:w="786"/>
        <w:gridCol w:w="1129"/>
        <w:gridCol w:w="1008"/>
        <w:gridCol w:w="973"/>
        <w:gridCol w:w="973"/>
        <w:gridCol w:w="973"/>
        <w:gridCol w:w="922"/>
        <w:gridCol w:w="35"/>
        <w:gridCol w:w="1009"/>
        <w:gridCol w:w="35"/>
      </w:tblGrid>
      <w:tr w:rsidR="005C437E" w:rsidRPr="00C7456C" w14:paraId="2843C069" w14:textId="77777777" w:rsidTr="005C437E">
        <w:trPr>
          <w:trHeight w:val="19"/>
        </w:trPr>
        <w:tc>
          <w:tcPr>
            <w:tcW w:w="2835" w:type="dxa"/>
            <w:tcBorders>
              <w:top w:val="nil"/>
              <w:left w:val="nil"/>
              <w:bottom w:val="nil"/>
              <w:right w:val="nil"/>
            </w:tcBorders>
            <w:shd w:val="clear" w:color="auto" w:fill="auto"/>
            <w:noWrap/>
            <w:vAlign w:val="center"/>
            <w:hideMark/>
          </w:tcPr>
          <w:p w14:paraId="6841E86F"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C7456C">
              <w:rPr>
                <w:rFonts w:ascii="SimSun" w:hAnsi="SimSun" w:cs="Calibri" w:hint="eastAsia"/>
                <w:b/>
                <w:bCs/>
                <w:color w:val="002060"/>
                <w:sz w:val="40"/>
                <w:szCs w:val="40"/>
              </w:rPr>
              <w:lastRenderedPageBreak/>
              <w:t>表</w:t>
            </w:r>
            <w:r w:rsidRPr="00C7456C">
              <w:rPr>
                <w:rFonts w:eastAsia="Times New Roman" w:cs="Calibri"/>
                <w:b/>
                <w:bCs/>
                <w:color w:val="002060"/>
                <w:sz w:val="40"/>
                <w:szCs w:val="40"/>
              </w:rPr>
              <w:t>4-1</w:t>
            </w:r>
          </w:p>
        </w:tc>
        <w:tc>
          <w:tcPr>
            <w:tcW w:w="823" w:type="dxa"/>
            <w:tcBorders>
              <w:top w:val="nil"/>
              <w:left w:val="nil"/>
              <w:bottom w:val="nil"/>
              <w:right w:val="nil"/>
            </w:tcBorders>
            <w:shd w:val="clear" w:color="auto" w:fill="auto"/>
            <w:noWrap/>
            <w:vAlign w:val="center"/>
            <w:hideMark/>
          </w:tcPr>
          <w:p w14:paraId="437EEA87"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973" w:type="dxa"/>
            <w:tcBorders>
              <w:top w:val="nil"/>
              <w:left w:val="nil"/>
              <w:bottom w:val="nil"/>
              <w:right w:val="nil"/>
            </w:tcBorders>
            <w:shd w:val="clear" w:color="auto" w:fill="auto"/>
            <w:noWrap/>
            <w:vAlign w:val="center"/>
            <w:hideMark/>
          </w:tcPr>
          <w:p w14:paraId="76F80EB6"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62" w:type="dxa"/>
            <w:tcBorders>
              <w:top w:val="nil"/>
              <w:left w:val="nil"/>
              <w:bottom w:val="nil"/>
              <w:right w:val="nil"/>
            </w:tcBorders>
            <w:shd w:val="clear" w:color="auto" w:fill="auto"/>
            <w:noWrap/>
            <w:vAlign w:val="center"/>
            <w:hideMark/>
          </w:tcPr>
          <w:p w14:paraId="25595BDF"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08" w:type="dxa"/>
            <w:tcBorders>
              <w:top w:val="nil"/>
              <w:left w:val="nil"/>
              <w:bottom w:val="nil"/>
              <w:right w:val="nil"/>
            </w:tcBorders>
            <w:shd w:val="clear" w:color="auto" w:fill="auto"/>
            <w:noWrap/>
            <w:vAlign w:val="center"/>
            <w:hideMark/>
          </w:tcPr>
          <w:p w14:paraId="7026484F"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786" w:type="dxa"/>
            <w:tcBorders>
              <w:top w:val="nil"/>
              <w:left w:val="nil"/>
              <w:bottom w:val="nil"/>
              <w:right w:val="nil"/>
            </w:tcBorders>
            <w:shd w:val="clear" w:color="auto" w:fill="auto"/>
            <w:noWrap/>
            <w:vAlign w:val="center"/>
            <w:hideMark/>
          </w:tcPr>
          <w:p w14:paraId="07B0F7C9"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29" w:type="dxa"/>
            <w:tcBorders>
              <w:top w:val="nil"/>
              <w:left w:val="nil"/>
              <w:bottom w:val="nil"/>
              <w:right w:val="nil"/>
            </w:tcBorders>
            <w:shd w:val="clear" w:color="auto" w:fill="auto"/>
            <w:noWrap/>
            <w:vAlign w:val="center"/>
            <w:hideMark/>
          </w:tcPr>
          <w:p w14:paraId="2B1EA1E1"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08" w:type="dxa"/>
            <w:tcBorders>
              <w:top w:val="nil"/>
              <w:left w:val="nil"/>
              <w:bottom w:val="nil"/>
              <w:right w:val="nil"/>
            </w:tcBorders>
            <w:shd w:val="clear" w:color="auto" w:fill="auto"/>
            <w:noWrap/>
            <w:vAlign w:val="center"/>
            <w:hideMark/>
          </w:tcPr>
          <w:p w14:paraId="5134EFA2"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73" w:type="dxa"/>
            <w:tcBorders>
              <w:top w:val="nil"/>
              <w:left w:val="nil"/>
              <w:bottom w:val="nil"/>
              <w:right w:val="nil"/>
            </w:tcBorders>
            <w:shd w:val="clear" w:color="auto" w:fill="auto"/>
            <w:noWrap/>
            <w:vAlign w:val="center"/>
            <w:hideMark/>
          </w:tcPr>
          <w:p w14:paraId="76D9EAD9"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73" w:type="dxa"/>
            <w:tcBorders>
              <w:top w:val="nil"/>
              <w:left w:val="nil"/>
              <w:bottom w:val="nil"/>
              <w:right w:val="nil"/>
            </w:tcBorders>
            <w:shd w:val="clear" w:color="auto" w:fill="auto"/>
            <w:noWrap/>
            <w:vAlign w:val="center"/>
            <w:hideMark/>
          </w:tcPr>
          <w:p w14:paraId="21136E3C"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73" w:type="dxa"/>
            <w:tcBorders>
              <w:top w:val="nil"/>
              <w:left w:val="nil"/>
              <w:bottom w:val="nil"/>
              <w:right w:val="nil"/>
            </w:tcBorders>
            <w:shd w:val="clear" w:color="auto" w:fill="auto"/>
            <w:noWrap/>
            <w:vAlign w:val="center"/>
            <w:hideMark/>
          </w:tcPr>
          <w:p w14:paraId="0178C0C1"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57" w:type="dxa"/>
            <w:gridSpan w:val="2"/>
            <w:tcBorders>
              <w:top w:val="nil"/>
              <w:left w:val="nil"/>
              <w:bottom w:val="nil"/>
              <w:right w:val="nil"/>
            </w:tcBorders>
            <w:shd w:val="clear" w:color="auto" w:fill="auto"/>
            <w:noWrap/>
            <w:vAlign w:val="center"/>
            <w:hideMark/>
          </w:tcPr>
          <w:p w14:paraId="10874E22"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44" w:type="dxa"/>
            <w:gridSpan w:val="2"/>
            <w:tcBorders>
              <w:top w:val="nil"/>
              <w:left w:val="nil"/>
              <w:bottom w:val="nil"/>
              <w:right w:val="nil"/>
            </w:tcBorders>
            <w:shd w:val="clear" w:color="auto" w:fill="auto"/>
            <w:noWrap/>
            <w:vAlign w:val="center"/>
            <w:hideMark/>
          </w:tcPr>
          <w:p w14:paraId="31CD33AA"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C7456C" w14:paraId="646ECC93" w14:textId="77777777" w:rsidTr="005C437E">
        <w:trPr>
          <w:trHeight w:val="19"/>
        </w:trPr>
        <w:tc>
          <w:tcPr>
            <w:tcW w:w="2835" w:type="dxa"/>
            <w:tcBorders>
              <w:top w:val="nil"/>
              <w:left w:val="nil"/>
              <w:bottom w:val="nil"/>
              <w:right w:val="nil"/>
            </w:tcBorders>
            <w:shd w:val="clear" w:color="auto" w:fill="auto"/>
            <w:noWrap/>
            <w:vAlign w:val="center"/>
            <w:hideMark/>
          </w:tcPr>
          <w:p w14:paraId="4A394E74"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r w:rsidRPr="00C7456C">
              <w:rPr>
                <w:rFonts w:ascii="STKaiti" w:eastAsia="STKaiti" w:hAnsi="STKaiti" w:hint="eastAsia"/>
                <w:b/>
                <w:bCs/>
                <w:color w:val="002060"/>
                <w:sz w:val="28"/>
                <w:szCs w:val="28"/>
              </w:rPr>
              <w:t>总秘书处</w:t>
            </w:r>
            <w:r w:rsidRPr="00C7456C">
              <w:rPr>
                <w:rFonts w:eastAsia="STKaiti" w:cs="Calibri"/>
                <w:b/>
                <w:bCs/>
                <w:color w:val="002060"/>
                <w:sz w:val="28"/>
                <w:szCs w:val="28"/>
              </w:rPr>
              <w:t>2022</w:t>
            </w:r>
            <w:r w:rsidRPr="00C7456C">
              <w:rPr>
                <w:rFonts w:ascii="STKaiti" w:eastAsia="STKaiti" w:hAnsi="STKaiti" w:hint="eastAsia"/>
                <w:b/>
                <w:bCs/>
                <w:color w:val="002060"/>
                <w:sz w:val="28"/>
                <w:szCs w:val="28"/>
              </w:rPr>
              <w:t>年</w:t>
            </w:r>
          </w:p>
        </w:tc>
        <w:tc>
          <w:tcPr>
            <w:tcW w:w="823" w:type="dxa"/>
            <w:tcBorders>
              <w:top w:val="nil"/>
              <w:left w:val="nil"/>
              <w:bottom w:val="nil"/>
              <w:right w:val="nil"/>
            </w:tcBorders>
            <w:shd w:val="clear" w:color="auto" w:fill="auto"/>
            <w:noWrap/>
            <w:vAlign w:val="center"/>
            <w:hideMark/>
          </w:tcPr>
          <w:p w14:paraId="13839338"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p>
        </w:tc>
        <w:tc>
          <w:tcPr>
            <w:tcW w:w="973" w:type="dxa"/>
            <w:tcBorders>
              <w:top w:val="nil"/>
              <w:left w:val="nil"/>
              <w:bottom w:val="nil"/>
              <w:right w:val="nil"/>
            </w:tcBorders>
            <w:shd w:val="clear" w:color="auto" w:fill="auto"/>
            <w:noWrap/>
            <w:vAlign w:val="center"/>
            <w:hideMark/>
          </w:tcPr>
          <w:p w14:paraId="39B389AF"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62" w:type="dxa"/>
            <w:tcBorders>
              <w:top w:val="nil"/>
              <w:left w:val="nil"/>
              <w:bottom w:val="nil"/>
              <w:right w:val="nil"/>
            </w:tcBorders>
            <w:shd w:val="clear" w:color="auto" w:fill="auto"/>
            <w:noWrap/>
            <w:vAlign w:val="center"/>
            <w:hideMark/>
          </w:tcPr>
          <w:p w14:paraId="37B5DD36"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08" w:type="dxa"/>
            <w:tcBorders>
              <w:top w:val="nil"/>
              <w:left w:val="nil"/>
              <w:bottom w:val="nil"/>
              <w:right w:val="nil"/>
            </w:tcBorders>
            <w:shd w:val="clear" w:color="auto" w:fill="auto"/>
            <w:noWrap/>
            <w:vAlign w:val="center"/>
            <w:hideMark/>
          </w:tcPr>
          <w:p w14:paraId="56F423E7"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786" w:type="dxa"/>
            <w:tcBorders>
              <w:top w:val="nil"/>
              <w:left w:val="nil"/>
              <w:bottom w:val="nil"/>
              <w:right w:val="nil"/>
            </w:tcBorders>
            <w:shd w:val="clear" w:color="auto" w:fill="auto"/>
            <w:noWrap/>
            <w:vAlign w:val="center"/>
            <w:hideMark/>
          </w:tcPr>
          <w:p w14:paraId="6F12331A"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29" w:type="dxa"/>
            <w:tcBorders>
              <w:top w:val="nil"/>
              <w:left w:val="nil"/>
              <w:bottom w:val="nil"/>
              <w:right w:val="nil"/>
            </w:tcBorders>
            <w:shd w:val="clear" w:color="auto" w:fill="auto"/>
            <w:noWrap/>
            <w:vAlign w:val="center"/>
            <w:hideMark/>
          </w:tcPr>
          <w:p w14:paraId="283F52A6"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08" w:type="dxa"/>
            <w:tcBorders>
              <w:top w:val="nil"/>
              <w:left w:val="nil"/>
              <w:bottom w:val="nil"/>
              <w:right w:val="nil"/>
            </w:tcBorders>
            <w:shd w:val="clear" w:color="auto" w:fill="auto"/>
            <w:noWrap/>
            <w:vAlign w:val="center"/>
            <w:hideMark/>
          </w:tcPr>
          <w:p w14:paraId="20527ADB"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73" w:type="dxa"/>
            <w:tcBorders>
              <w:top w:val="nil"/>
              <w:left w:val="nil"/>
              <w:bottom w:val="nil"/>
              <w:right w:val="nil"/>
            </w:tcBorders>
            <w:shd w:val="clear" w:color="auto" w:fill="auto"/>
            <w:noWrap/>
            <w:vAlign w:val="center"/>
            <w:hideMark/>
          </w:tcPr>
          <w:p w14:paraId="173FE127"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73" w:type="dxa"/>
            <w:tcBorders>
              <w:top w:val="nil"/>
              <w:left w:val="nil"/>
              <w:bottom w:val="nil"/>
              <w:right w:val="nil"/>
            </w:tcBorders>
            <w:shd w:val="clear" w:color="auto" w:fill="auto"/>
            <w:noWrap/>
            <w:vAlign w:val="center"/>
            <w:hideMark/>
          </w:tcPr>
          <w:p w14:paraId="08AD547C"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73" w:type="dxa"/>
            <w:tcBorders>
              <w:top w:val="nil"/>
              <w:left w:val="nil"/>
              <w:bottom w:val="nil"/>
              <w:right w:val="nil"/>
            </w:tcBorders>
            <w:shd w:val="clear" w:color="auto" w:fill="auto"/>
            <w:noWrap/>
            <w:vAlign w:val="center"/>
            <w:hideMark/>
          </w:tcPr>
          <w:p w14:paraId="7C8EDF2D"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57" w:type="dxa"/>
            <w:gridSpan w:val="2"/>
            <w:tcBorders>
              <w:top w:val="nil"/>
              <w:left w:val="nil"/>
              <w:bottom w:val="nil"/>
              <w:right w:val="nil"/>
            </w:tcBorders>
            <w:shd w:val="clear" w:color="auto" w:fill="auto"/>
            <w:noWrap/>
            <w:vAlign w:val="center"/>
            <w:hideMark/>
          </w:tcPr>
          <w:p w14:paraId="1014C227"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44" w:type="dxa"/>
            <w:gridSpan w:val="2"/>
            <w:tcBorders>
              <w:top w:val="nil"/>
              <w:left w:val="nil"/>
              <w:bottom w:val="nil"/>
              <w:right w:val="nil"/>
            </w:tcBorders>
            <w:shd w:val="clear" w:color="auto" w:fill="auto"/>
            <w:noWrap/>
            <w:vAlign w:val="center"/>
            <w:hideMark/>
          </w:tcPr>
          <w:p w14:paraId="07690EF0"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C7456C" w14:paraId="2122A576" w14:textId="77777777" w:rsidTr="005C437E">
        <w:trPr>
          <w:trHeight w:val="19"/>
        </w:trPr>
        <w:tc>
          <w:tcPr>
            <w:tcW w:w="5593" w:type="dxa"/>
            <w:gridSpan w:val="4"/>
            <w:tcBorders>
              <w:top w:val="nil"/>
              <w:left w:val="nil"/>
              <w:bottom w:val="nil"/>
              <w:right w:val="nil"/>
            </w:tcBorders>
            <w:shd w:val="clear" w:color="auto" w:fill="auto"/>
            <w:noWrap/>
            <w:vAlign w:val="center"/>
            <w:hideMark/>
          </w:tcPr>
          <w:p w14:paraId="09AB16DF"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r w:rsidRPr="00C7456C">
              <w:rPr>
                <w:rFonts w:ascii="STKaiti" w:eastAsia="STKaiti" w:hAnsi="STKaiti" w:hint="eastAsia"/>
                <w:b/>
                <w:bCs/>
                <w:color w:val="002060"/>
                <w:szCs w:val="24"/>
                <w:lang w:eastAsia="zh-CN"/>
              </w:rPr>
              <w:t>按项和支出类别列出的计划支出</w:t>
            </w:r>
          </w:p>
        </w:tc>
        <w:tc>
          <w:tcPr>
            <w:tcW w:w="1008" w:type="dxa"/>
            <w:tcBorders>
              <w:top w:val="nil"/>
              <w:left w:val="nil"/>
              <w:bottom w:val="nil"/>
              <w:right w:val="nil"/>
            </w:tcBorders>
            <w:shd w:val="clear" w:color="auto" w:fill="auto"/>
            <w:noWrap/>
            <w:vAlign w:val="center"/>
            <w:hideMark/>
          </w:tcPr>
          <w:p w14:paraId="039918F8"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786" w:type="dxa"/>
            <w:tcBorders>
              <w:top w:val="nil"/>
              <w:left w:val="nil"/>
              <w:bottom w:val="nil"/>
              <w:right w:val="nil"/>
            </w:tcBorders>
            <w:shd w:val="clear" w:color="auto" w:fill="auto"/>
            <w:noWrap/>
            <w:vAlign w:val="center"/>
            <w:hideMark/>
          </w:tcPr>
          <w:p w14:paraId="235F9F2A"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129" w:type="dxa"/>
            <w:tcBorders>
              <w:top w:val="nil"/>
              <w:left w:val="nil"/>
              <w:bottom w:val="nil"/>
              <w:right w:val="nil"/>
            </w:tcBorders>
            <w:shd w:val="clear" w:color="auto" w:fill="auto"/>
            <w:noWrap/>
            <w:vAlign w:val="center"/>
            <w:hideMark/>
          </w:tcPr>
          <w:p w14:paraId="2669C329"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008" w:type="dxa"/>
            <w:tcBorders>
              <w:top w:val="nil"/>
              <w:left w:val="nil"/>
              <w:bottom w:val="nil"/>
              <w:right w:val="nil"/>
            </w:tcBorders>
            <w:shd w:val="clear" w:color="auto" w:fill="auto"/>
            <w:noWrap/>
            <w:vAlign w:val="center"/>
            <w:hideMark/>
          </w:tcPr>
          <w:p w14:paraId="4270B883"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973" w:type="dxa"/>
            <w:tcBorders>
              <w:top w:val="nil"/>
              <w:left w:val="nil"/>
              <w:bottom w:val="nil"/>
              <w:right w:val="nil"/>
            </w:tcBorders>
            <w:shd w:val="clear" w:color="auto" w:fill="auto"/>
            <w:noWrap/>
            <w:vAlign w:val="center"/>
            <w:hideMark/>
          </w:tcPr>
          <w:p w14:paraId="79635167"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973" w:type="dxa"/>
            <w:tcBorders>
              <w:top w:val="nil"/>
              <w:left w:val="nil"/>
              <w:bottom w:val="nil"/>
              <w:right w:val="nil"/>
            </w:tcBorders>
            <w:shd w:val="clear" w:color="auto" w:fill="auto"/>
            <w:noWrap/>
            <w:vAlign w:val="center"/>
            <w:hideMark/>
          </w:tcPr>
          <w:p w14:paraId="7236D81F"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973" w:type="dxa"/>
            <w:tcBorders>
              <w:top w:val="nil"/>
              <w:left w:val="nil"/>
              <w:bottom w:val="nil"/>
              <w:right w:val="nil"/>
            </w:tcBorders>
            <w:shd w:val="clear" w:color="auto" w:fill="auto"/>
            <w:noWrap/>
            <w:vAlign w:val="center"/>
            <w:hideMark/>
          </w:tcPr>
          <w:p w14:paraId="3D0E1945"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957" w:type="dxa"/>
            <w:gridSpan w:val="2"/>
            <w:tcBorders>
              <w:top w:val="nil"/>
              <w:left w:val="nil"/>
              <w:bottom w:val="nil"/>
              <w:right w:val="nil"/>
            </w:tcBorders>
            <w:shd w:val="clear" w:color="auto" w:fill="auto"/>
            <w:noWrap/>
            <w:vAlign w:val="center"/>
            <w:hideMark/>
          </w:tcPr>
          <w:p w14:paraId="60EC3738"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044" w:type="dxa"/>
            <w:gridSpan w:val="2"/>
            <w:tcBorders>
              <w:top w:val="nil"/>
              <w:left w:val="nil"/>
              <w:bottom w:val="nil"/>
              <w:right w:val="nil"/>
            </w:tcBorders>
            <w:shd w:val="clear" w:color="auto" w:fill="auto"/>
            <w:noWrap/>
            <w:vAlign w:val="center"/>
            <w:hideMark/>
          </w:tcPr>
          <w:p w14:paraId="610F404D"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5C437E" w:rsidRPr="00C7456C" w14:paraId="18D3D320" w14:textId="77777777" w:rsidTr="005C437E">
        <w:trPr>
          <w:gridAfter w:val="1"/>
          <w:wAfter w:w="35" w:type="dxa"/>
          <w:trHeight w:val="19"/>
        </w:trPr>
        <w:tc>
          <w:tcPr>
            <w:tcW w:w="2835" w:type="dxa"/>
            <w:tcBorders>
              <w:top w:val="nil"/>
              <w:left w:val="nil"/>
              <w:bottom w:val="nil"/>
              <w:right w:val="nil"/>
            </w:tcBorders>
            <w:shd w:val="clear" w:color="auto" w:fill="auto"/>
            <w:noWrap/>
            <w:vAlign w:val="center"/>
            <w:hideMark/>
          </w:tcPr>
          <w:p w14:paraId="49327164"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1574" w:type="dxa"/>
            <w:gridSpan w:val="13"/>
            <w:tcBorders>
              <w:top w:val="nil"/>
              <w:left w:val="nil"/>
              <w:bottom w:val="nil"/>
              <w:right w:val="nil"/>
            </w:tcBorders>
            <w:shd w:val="clear" w:color="auto" w:fill="auto"/>
            <w:noWrap/>
            <w:vAlign w:val="center"/>
            <w:hideMark/>
          </w:tcPr>
          <w:p w14:paraId="2F34D4C8" w14:textId="77777777" w:rsidR="005C437E" w:rsidRPr="00C7456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C7456C">
              <w:rPr>
                <w:rFonts w:ascii="STKaiti" w:eastAsia="STKaiti" w:hAnsi="STKaiti" w:hint="eastAsia"/>
                <w:color w:val="002060"/>
                <w:sz w:val="18"/>
                <w:szCs w:val="18"/>
              </w:rPr>
              <w:t>单位：千瑞郎</w:t>
            </w:r>
          </w:p>
        </w:tc>
      </w:tr>
      <w:tr w:rsidR="005C437E" w:rsidRPr="00C7456C" w14:paraId="6DADA9C6" w14:textId="77777777" w:rsidTr="005C437E">
        <w:trPr>
          <w:gridAfter w:val="1"/>
          <w:wAfter w:w="35" w:type="dxa"/>
          <w:trHeight w:val="19"/>
        </w:trPr>
        <w:tc>
          <w:tcPr>
            <w:tcW w:w="6601" w:type="dxa"/>
            <w:gridSpan w:val="5"/>
            <w:tcBorders>
              <w:top w:val="nil"/>
              <w:left w:val="nil"/>
              <w:bottom w:val="nil"/>
              <w:right w:val="nil"/>
            </w:tcBorders>
            <w:shd w:val="clear" w:color="auto" w:fill="auto"/>
            <w:noWrap/>
            <w:vAlign w:val="center"/>
            <w:hideMark/>
          </w:tcPr>
          <w:p w14:paraId="11573DA2" w14:textId="77777777" w:rsidR="005C437E" w:rsidRPr="00C7456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p>
        </w:tc>
        <w:tc>
          <w:tcPr>
            <w:tcW w:w="6764" w:type="dxa"/>
            <w:gridSpan w:val="7"/>
            <w:tcBorders>
              <w:top w:val="nil"/>
              <w:left w:val="nil"/>
              <w:bottom w:val="nil"/>
              <w:right w:val="nil"/>
            </w:tcBorders>
            <w:shd w:val="clear" w:color="auto" w:fill="auto"/>
            <w:noWrap/>
            <w:vAlign w:val="center"/>
            <w:hideMark/>
          </w:tcPr>
          <w:p w14:paraId="5AE41C82" w14:textId="77777777" w:rsidR="005C437E" w:rsidRPr="00C7456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r w:rsidRPr="00703BDF">
              <w:rPr>
                <w:rFonts w:ascii="Times New Roman" w:eastAsia="Times New Roman" w:hAnsi="Times New Roman"/>
                <w:noProof/>
                <w:sz w:val="18"/>
              </w:rPr>
              <mc:AlternateContent>
                <mc:Choice Requires="wps">
                  <w:drawing>
                    <wp:anchor distT="0" distB="0" distL="114300" distR="114300" simplePos="0" relativeHeight="251672576" behindDoc="0" locked="0" layoutInCell="1" allowOverlap="1" wp14:anchorId="7BF4F225" wp14:editId="7EFA5D70">
                      <wp:simplePos x="0" y="0"/>
                      <wp:positionH relativeFrom="column">
                        <wp:posOffset>2079625</wp:posOffset>
                      </wp:positionH>
                      <wp:positionV relativeFrom="paragraph">
                        <wp:posOffset>-1889760</wp:posOffset>
                      </wp:positionV>
                      <wp:extent cx="45085" cy="4162425"/>
                      <wp:effectExtent l="0" t="1270" r="10795" b="10795"/>
                      <wp:wrapNone/>
                      <wp:docPr id="105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5085" cy="4162425"/>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4934492" id="AutoShape 15" o:spid="_x0000_s1026" type="#_x0000_t85" style="position:absolute;margin-left:163.75pt;margin-top:-148.8pt;width:3.55pt;height:327.7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" adj="267" strokecolor="#0070c0" strokeweight="1pt"/>
                  </w:pict>
                </mc:Fallback>
              </mc:AlternateContent>
            </w:r>
            <w:r w:rsidRPr="00C7456C">
              <w:rPr>
                <w:rFonts w:ascii="STKaiti" w:eastAsia="STKaiti" w:hAnsi="STKaiti" w:hint="eastAsia"/>
                <w:b/>
                <w:bCs/>
                <w:color w:val="002060"/>
                <w:sz w:val="20"/>
              </w:rPr>
              <w:t>秘书长办公室和各部</w:t>
            </w:r>
          </w:p>
        </w:tc>
        <w:tc>
          <w:tcPr>
            <w:tcW w:w="1044" w:type="dxa"/>
            <w:gridSpan w:val="2"/>
            <w:tcBorders>
              <w:top w:val="nil"/>
              <w:left w:val="nil"/>
              <w:bottom w:val="nil"/>
              <w:right w:val="nil"/>
            </w:tcBorders>
            <w:shd w:val="clear" w:color="auto" w:fill="auto"/>
            <w:noWrap/>
            <w:vAlign w:val="center"/>
            <w:hideMark/>
          </w:tcPr>
          <w:p w14:paraId="7C268AF4" w14:textId="77777777" w:rsidR="005C437E" w:rsidRPr="00C7456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p>
        </w:tc>
      </w:tr>
      <w:tr w:rsidR="005C437E" w:rsidRPr="00C7456C" w14:paraId="71961CEC" w14:textId="77777777" w:rsidTr="005C437E">
        <w:trPr>
          <w:trHeight w:val="19"/>
        </w:trPr>
        <w:tc>
          <w:tcPr>
            <w:tcW w:w="2835" w:type="dxa"/>
            <w:tcBorders>
              <w:top w:val="nil"/>
              <w:left w:val="nil"/>
              <w:bottom w:val="nil"/>
              <w:right w:val="nil"/>
            </w:tcBorders>
            <w:shd w:val="clear" w:color="auto" w:fill="auto"/>
            <w:noWrap/>
            <w:vAlign w:val="center"/>
            <w:hideMark/>
          </w:tcPr>
          <w:p w14:paraId="3A5709F1"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823" w:type="dxa"/>
            <w:tcBorders>
              <w:top w:val="nil"/>
              <w:left w:val="nil"/>
              <w:bottom w:val="nil"/>
              <w:right w:val="nil"/>
            </w:tcBorders>
            <w:shd w:val="clear" w:color="auto" w:fill="auto"/>
            <w:noWrap/>
            <w:vAlign w:val="center"/>
            <w:hideMark/>
          </w:tcPr>
          <w:p w14:paraId="38252384"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73" w:type="dxa"/>
            <w:tcBorders>
              <w:top w:val="nil"/>
              <w:left w:val="nil"/>
              <w:bottom w:val="nil"/>
              <w:right w:val="nil"/>
            </w:tcBorders>
            <w:shd w:val="clear" w:color="auto" w:fill="auto"/>
            <w:noWrap/>
            <w:vAlign w:val="center"/>
            <w:hideMark/>
          </w:tcPr>
          <w:p w14:paraId="03D044F1" w14:textId="77777777" w:rsidR="005C437E" w:rsidRPr="00C7456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962" w:type="dxa"/>
            <w:tcBorders>
              <w:top w:val="nil"/>
              <w:left w:val="nil"/>
              <w:bottom w:val="nil"/>
              <w:right w:val="nil"/>
            </w:tcBorders>
            <w:shd w:val="clear" w:color="auto" w:fill="auto"/>
            <w:noWrap/>
            <w:vAlign w:val="center"/>
            <w:hideMark/>
          </w:tcPr>
          <w:p w14:paraId="67F177B0" w14:textId="77777777" w:rsidR="005C437E" w:rsidRPr="00C7456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008" w:type="dxa"/>
            <w:tcBorders>
              <w:top w:val="nil"/>
              <w:left w:val="nil"/>
              <w:bottom w:val="nil"/>
              <w:right w:val="nil"/>
            </w:tcBorders>
            <w:shd w:val="clear" w:color="auto" w:fill="auto"/>
            <w:noWrap/>
            <w:vAlign w:val="center"/>
            <w:hideMark/>
          </w:tcPr>
          <w:p w14:paraId="3589863C" w14:textId="77777777" w:rsidR="005C437E" w:rsidRPr="00C7456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786" w:type="dxa"/>
            <w:tcBorders>
              <w:top w:val="nil"/>
              <w:left w:val="nil"/>
              <w:bottom w:val="nil"/>
              <w:right w:val="nil"/>
            </w:tcBorders>
            <w:shd w:val="clear" w:color="auto" w:fill="auto"/>
            <w:noWrap/>
            <w:vAlign w:val="bottom"/>
            <w:hideMark/>
          </w:tcPr>
          <w:p w14:paraId="77EF89D4"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tc>
        <w:tc>
          <w:tcPr>
            <w:tcW w:w="1129" w:type="dxa"/>
            <w:tcBorders>
              <w:top w:val="nil"/>
              <w:left w:val="nil"/>
              <w:bottom w:val="nil"/>
              <w:right w:val="nil"/>
            </w:tcBorders>
            <w:shd w:val="clear" w:color="auto" w:fill="auto"/>
            <w:noWrap/>
            <w:vAlign w:val="center"/>
            <w:hideMark/>
          </w:tcPr>
          <w:p w14:paraId="3B8788A5"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08" w:type="dxa"/>
            <w:tcBorders>
              <w:top w:val="nil"/>
              <w:left w:val="nil"/>
              <w:bottom w:val="nil"/>
              <w:right w:val="nil"/>
            </w:tcBorders>
            <w:shd w:val="clear" w:color="auto" w:fill="auto"/>
            <w:noWrap/>
            <w:vAlign w:val="center"/>
            <w:hideMark/>
          </w:tcPr>
          <w:p w14:paraId="5991FAE1"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73" w:type="dxa"/>
            <w:tcBorders>
              <w:top w:val="nil"/>
              <w:left w:val="nil"/>
              <w:bottom w:val="nil"/>
              <w:right w:val="nil"/>
            </w:tcBorders>
            <w:shd w:val="clear" w:color="auto" w:fill="auto"/>
            <w:noWrap/>
            <w:vAlign w:val="center"/>
            <w:hideMark/>
          </w:tcPr>
          <w:p w14:paraId="50527AE1"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73" w:type="dxa"/>
            <w:tcBorders>
              <w:top w:val="nil"/>
              <w:left w:val="nil"/>
              <w:bottom w:val="nil"/>
              <w:right w:val="nil"/>
            </w:tcBorders>
            <w:shd w:val="clear" w:color="auto" w:fill="auto"/>
            <w:noWrap/>
            <w:vAlign w:val="center"/>
            <w:hideMark/>
          </w:tcPr>
          <w:p w14:paraId="0740EE39"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73" w:type="dxa"/>
            <w:tcBorders>
              <w:top w:val="nil"/>
              <w:left w:val="nil"/>
              <w:bottom w:val="nil"/>
              <w:right w:val="nil"/>
            </w:tcBorders>
            <w:shd w:val="clear" w:color="auto" w:fill="auto"/>
            <w:noWrap/>
            <w:vAlign w:val="center"/>
            <w:hideMark/>
          </w:tcPr>
          <w:p w14:paraId="60FFA412"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57" w:type="dxa"/>
            <w:gridSpan w:val="2"/>
            <w:tcBorders>
              <w:top w:val="nil"/>
              <w:left w:val="nil"/>
              <w:bottom w:val="nil"/>
              <w:right w:val="nil"/>
            </w:tcBorders>
            <w:shd w:val="clear" w:color="auto" w:fill="auto"/>
            <w:noWrap/>
            <w:vAlign w:val="center"/>
            <w:hideMark/>
          </w:tcPr>
          <w:p w14:paraId="4A463C8D"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44" w:type="dxa"/>
            <w:gridSpan w:val="2"/>
            <w:tcBorders>
              <w:top w:val="nil"/>
              <w:left w:val="nil"/>
              <w:bottom w:val="nil"/>
              <w:right w:val="nil"/>
            </w:tcBorders>
            <w:shd w:val="clear" w:color="auto" w:fill="auto"/>
            <w:noWrap/>
            <w:vAlign w:val="center"/>
            <w:hideMark/>
          </w:tcPr>
          <w:p w14:paraId="038DCA4A"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C7456C" w14:paraId="518742B9" w14:textId="77777777" w:rsidTr="005C437E">
        <w:trPr>
          <w:trHeight w:val="19"/>
        </w:trPr>
        <w:tc>
          <w:tcPr>
            <w:tcW w:w="2835" w:type="dxa"/>
            <w:tcBorders>
              <w:top w:val="nil"/>
              <w:left w:val="nil"/>
              <w:bottom w:val="nil"/>
              <w:right w:val="nil"/>
            </w:tcBorders>
            <w:shd w:val="clear" w:color="auto" w:fill="auto"/>
            <w:noWrap/>
            <w:vAlign w:val="center"/>
            <w:hideMark/>
          </w:tcPr>
          <w:p w14:paraId="26E071BD" w14:textId="77777777" w:rsidR="005C437E" w:rsidRPr="00C7456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823" w:type="dxa"/>
            <w:tcBorders>
              <w:top w:val="nil"/>
              <w:left w:val="nil"/>
              <w:bottom w:val="nil"/>
              <w:right w:val="nil"/>
            </w:tcBorders>
            <w:shd w:val="clear" w:color="auto" w:fill="auto"/>
            <w:hideMark/>
          </w:tcPr>
          <w:p w14:paraId="0B7817A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703BDF">
              <w:rPr>
                <w:rFonts w:ascii="SimSun" w:hAnsi="SimSun" w:hint="eastAsia"/>
                <w:sz w:val="18"/>
                <w:szCs w:val="18"/>
              </w:rPr>
              <w:t>世界电信政策论坛</w:t>
            </w:r>
          </w:p>
        </w:tc>
        <w:tc>
          <w:tcPr>
            <w:tcW w:w="973" w:type="dxa"/>
            <w:tcBorders>
              <w:top w:val="nil"/>
              <w:left w:val="nil"/>
              <w:bottom w:val="nil"/>
              <w:right w:val="nil"/>
            </w:tcBorders>
            <w:shd w:val="clear" w:color="auto" w:fill="auto"/>
            <w:hideMark/>
          </w:tcPr>
          <w:p w14:paraId="192F6FA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lang w:eastAsia="zh-CN"/>
              </w:rPr>
            </w:pPr>
            <w:r w:rsidRPr="00703BDF">
              <w:rPr>
                <w:rFonts w:ascii="SimSun" w:hAnsi="SimSun" w:hint="eastAsia"/>
                <w:sz w:val="18"/>
                <w:szCs w:val="18"/>
                <w:lang w:eastAsia="zh-CN"/>
              </w:rPr>
              <w:t>信息社会世界高峰会议</w:t>
            </w:r>
          </w:p>
        </w:tc>
        <w:tc>
          <w:tcPr>
            <w:tcW w:w="962" w:type="dxa"/>
            <w:tcBorders>
              <w:top w:val="nil"/>
              <w:left w:val="nil"/>
              <w:bottom w:val="nil"/>
              <w:right w:val="nil"/>
            </w:tcBorders>
            <w:shd w:val="clear" w:color="auto" w:fill="auto"/>
            <w:hideMark/>
          </w:tcPr>
          <w:p w14:paraId="4BDA3BCB"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lang w:eastAsia="zh-CN"/>
              </w:rPr>
            </w:pPr>
            <w:r w:rsidRPr="00703BDF">
              <w:rPr>
                <w:rFonts w:ascii="SimSun" w:hAnsi="SimSun" w:hint="eastAsia"/>
                <w:sz w:val="18"/>
                <w:szCs w:val="18"/>
                <w:lang w:eastAsia="zh-CN"/>
              </w:rPr>
              <w:t>理事会、工作组和专家组</w:t>
            </w:r>
          </w:p>
        </w:tc>
        <w:tc>
          <w:tcPr>
            <w:tcW w:w="1008" w:type="dxa"/>
            <w:tcBorders>
              <w:top w:val="nil"/>
              <w:left w:val="nil"/>
              <w:bottom w:val="nil"/>
              <w:right w:val="nil"/>
            </w:tcBorders>
            <w:shd w:val="clear" w:color="auto" w:fill="auto"/>
            <w:hideMark/>
          </w:tcPr>
          <w:p w14:paraId="0E34BF74"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703BDF">
              <w:rPr>
                <w:rFonts w:ascii="SimSun" w:hAnsi="SimSun" w:hint="eastAsia"/>
                <w:sz w:val="18"/>
                <w:szCs w:val="18"/>
              </w:rPr>
              <w:t>活动和</w:t>
            </w:r>
            <w:r>
              <w:rPr>
                <w:rFonts w:ascii="SimSun" w:hAnsi="SimSun"/>
                <w:sz w:val="18"/>
                <w:szCs w:val="18"/>
              </w:rPr>
              <w:br/>
            </w:r>
            <w:r w:rsidRPr="00703BDF">
              <w:rPr>
                <w:rFonts w:ascii="SimSun" w:hAnsi="SimSun" w:hint="eastAsia"/>
                <w:sz w:val="18"/>
                <w:szCs w:val="18"/>
              </w:rPr>
              <w:t>项目</w:t>
            </w:r>
          </w:p>
        </w:tc>
        <w:tc>
          <w:tcPr>
            <w:tcW w:w="786" w:type="dxa"/>
            <w:tcBorders>
              <w:top w:val="nil"/>
              <w:left w:val="nil"/>
              <w:bottom w:val="nil"/>
              <w:right w:val="nil"/>
            </w:tcBorders>
            <w:shd w:val="clear" w:color="auto" w:fill="auto"/>
            <w:hideMark/>
          </w:tcPr>
          <w:p w14:paraId="18A17D6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703BDF">
              <w:rPr>
                <w:rFonts w:ascii="SimSun" w:hAnsi="SimSun" w:hint="eastAsia"/>
                <w:sz w:val="18"/>
                <w:szCs w:val="18"/>
              </w:rPr>
              <w:t>国际电联共同支出</w:t>
            </w:r>
          </w:p>
        </w:tc>
        <w:tc>
          <w:tcPr>
            <w:tcW w:w="1129" w:type="dxa"/>
            <w:tcBorders>
              <w:top w:val="nil"/>
              <w:left w:val="nil"/>
              <w:bottom w:val="nil"/>
              <w:right w:val="nil"/>
            </w:tcBorders>
            <w:shd w:val="clear" w:color="auto" w:fill="auto"/>
            <w:hideMark/>
          </w:tcPr>
          <w:p w14:paraId="06550EC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lang w:eastAsia="zh-CN"/>
              </w:rPr>
            </w:pPr>
            <w:r w:rsidRPr="00703BDF">
              <w:rPr>
                <w:rFonts w:ascii="SimSun" w:hAnsi="SimSun" w:hint="eastAsia"/>
                <w:sz w:val="18"/>
                <w:szCs w:val="18"/>
                <w:lang w:eastAsia="zh-CN"/>
              </w:rPr>
              <w:t>秘书长和</w:t>
            </w:r>
            <w:r>
              <w:rPr>
                <w:rFonts w:ascii="SimSun" w:hAnsi="SimSun"/>
                <w:sz w:val="18"/>
                <w:szCs w:val="18"/>
                <w:lang w:eastAsia="zh-CN"/>
              </w:rPr>
              <w:br/>
            </w:r>
            <w:r w:rsidRPr="00703BDF">
              <w:rPr>
                <w:rFonts w:ascii="SimSun" w:hAnsi="SimSun" w:hint="eastAsia"/>
                <w:sz w:val="18"/>
                <w:szCs w:val="18"/>
                <w:lang w:eastAsia="zh-CN"/>
              </w:rPr>
              <w:t>副秘书长</w:t>
            </w:r>
            <w:r>
              <w:rPr>
                <w:rFonts w:ascii="SimSun" w:hAnsi="SimSun"/>
                <w:sz w:val="18"/>
                <w:szCs w:val="18"/>
                <w:lang w:eastAsia="zh-CN"/>
              </w:rPr>
              <w:br/>
            </w:r>
            <w:r w:rsidRPr="00703BDF">
              <w:rPr>
                <w:rFonts w:ascii="SimSun" w:hAnsi="SimSun" w:hint="eastAsia"/>
                <w:sz w:val="18"/>
                <w:szCs w:val="18"/>
                <w:lang w:eastAsia="zh-CN"/>
              </w:rPr>
              <w:t>办公室*</w:t>
            </w:r>
          </w:p>
        </w:tc>
        <w:tc>
          <w:tcPr>
            <w:tcW w:w="1008" w:type="dxa"/>
            <w:tcBorders>
              <w:top w:val="nil"/>
              <w:left w:val="nil"/>
              <w:bottom w:val="nil"/>
              <w:right w:val="nil"/>
            </w:tcBorders>
            <w:shd w:val="clear" w:color="auto" w:fill="auto"/>
            <w:hideMark/>
          </w:tcPr>
          <w:p w14:paraId="08255FE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703BDF">
              <w:rPr>
                <w:rFonts w:ascii="SimSun" w:hAnsi="SimSun" w:hint="eastAsia"/>
                <w:sz w:val="18"/>
                <w:szCs w:val="18"/>
              </w:rPr>
              <w:t>战略规划和成员部</w:t>
            </w:r>
          </w:p>
        </w:tc>
        <w:tc>
          <w:tcPr>
            <w:tcW w:w="973" w:type="dxa"/>
            <w:tcBorders>
              <w:top w:val="nil"/>
              <w:left w:val="nil"/>
              <w:bottom w:val="nil"/>
              <w:right w:val="nil"/>
            </w:tcBorders>
            <w:shd w:val="clear" w:color="auto" w:fill="auto"/>
            <w:hideMark/>
          </w:tcPr>
          <w:p w14:paraId="1CDE13A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703BDF">
              <w:rPr>
                <w:rFonts w:ascii="SimSun" w:hAnsi="SimSun" w:hint="eastAsia"/>
                <w:sz w:val="18"/>
                <w:szCs w:val="18"/>
              </w:rPr>
              <w:t>大会和</w:t>
            </w:r>
            <w:r>
              <w:rPr>
                <w:rFonts w:ascii="SimSun" w:hAnsi="SimSun"/>
                <w:sz w:val="18"/>
                <w:szCs w:val="18"/>
              </w:rPr>
              <w:br/>
            </w:r>
            <w:r w:rsidRPr="00703BDF">
              <w:rPr>
                <w:rFonts w:ascii="SimSun" w:hAnsi="SimSun" w:hint="eastAsia"/>
                <w:sz w:val="18"/>
                <w:szCs w:val="18"/>
              </w:rPr>
              <w:t>出版部</w:t>
            </w:r>
          </w:p>
        </w:tc>
        <w:tc>
          <w:tcPr>
            <w:tcW w:w="973" w:type="dxa"/>
            <w:tcBorders>
              <w:top w:val="nil"/>
              <w:left w:val="nil"/>
              <w:bottom w:val="nil"/>
              <w:right w:val="nil"/>
            </w:tcBorders>
            <w:shd w:val="clear" w:color="auto" w:fill="auto"/>
            <w:hideMark/>
          </w:tcPr>
          <w:p w14:paraId="0EA5314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703BDF">
              <w:rPr>
                <w:rFonts w:ascii="SimSun" w:hAnsi="SimSun" w:hint="eastAsia"/>
                <w:sz w:val="18"/>
                <w:szCs w:val="18"/>
              </w:rPr>
              <w:t>人力资源管理部</w:t>
            </w:r>
          </w:p>
        </w:tc>
        <w:tc>
          <w:tcPr>
            <w:tcW w:w="973" w:type="dxa"/>
            <w:tcBorders>
              <w:top w:val="nil"/>
              <w:left w:val="nil"/>
              <w:bottom w:val="nil"/>
              <w:right w:val="nil"/>
            </w:tcBorders>
            <w:shd w:val="clear" w:color="auto" w:fill="auto"/>
            <w:hideMark/>
          </w:tcPr>
          <w:p w14:paraId="7261614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703BDF">
              <w:rPr>
                <w:rFonts w:ascii="SimSun" w:hAnsi="SimSun" w:hint="eastAsia"/>
                <w:sz w:val="18"/>
                <w:szCs w:val="18"/>
              </w:rPr>
              <w:t>财务资源管理部</w:t>
            </w:r>
          </w:p>
        </w:tc>
        <w:tc>
          <w:tcPr>
            <w:tcW w:w="957" w:type="dxa"/>
            <w:gridSpan w:val="2"/>
            <w:tcBorders>
              <w:top w:val="nil"/>
              <w:left w:val="nil"/>
              <w:bottom w:val="nil"/>
              <w:right w:val="nil"/>
            </w:tcBorders>
            <w:shd w:val="clear" w:color="auto" w:fill="auto"/>
            <w:hideMark/>
          </w:tcPr>
          <w:p w14:paraId="1CDE3990"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703BDF">
              <w:rPr>
                <w:rFonts w:ascii="SimSun" w:hAnsi="SimSun" w:hint="eastAsia"/>
                <w:sz w:val="18"/>
                <w:szCs w:val="18"/>
              </w:rPr>
              <w:t>信息</w:t>
            </w:r>
            <w:r>
              <w:rPr>
                <w:rFonts w:ascii="SimSun" w:hAnsi="SimSun"/>
                <w:sz w:val="18"/>
                <w:szCs w:val="18"/>
              </w:rPr>
              <w:br/>
            </w:r>
            <w:r w:rsidRPr="00703BDF">
              <w:rPr>
                <w:rFonts w:ascii="SimSun" w:hAnsi="SimSun" w:hint="eastAsia"/>
                <w:sz w:val="18"/>
                <w:szCs w:val="18"/>
              </w:rPr>
              <w:t>服务部</w:t>
            </w:r>
          </w:p>
        </w:tc>
        <w:tc>
          <w:tcPr>
            <w:tcW w:w="1044" w:type="dxa"/>
            <w:gridSpan w:val="2"/>
            <w:tcBorders>
              <w:top w:val="nil"/>
              <w:left w:val="nil"/>
              <w:bottom w:val="nil"/>
              <w:right w:val="nil"/>
            </w:tcBorders>
            <w:shd w:val="clear" w:color="auto" w:fill="auto"/>
            <w:noWrap/>
            <w:vAlign w:val="center"/>
            <w:hideMark/>
          </w:tcPr>
          <w:p w14:paraId="14530F86"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18"/>
                <w:szCs w:val="18"/>
              </w:rPr>
            </w:pPr>
            <w:r w:rsidRPr="00C7456C">
              <w:rPr>
                <w:rFonts w:ascii="Helv" w:eastAsia="Times New Roman" w:hAnsi="Helv"/>
                <w:noProof/>
                <w:sz w:val="20"/>
              </w:rPr>
              <mc:AlternateContent>
                <mc:Choice Requires="wps">
                  <w:drawing>
                    <wp:anchor distT="0" distB="0" distL="114300" distR="114300" simplePos="0" relativeHeight="251671552" behindDoc="0" locked="0" layoutInCell="1" allowOverlap="1" wp14:anchorId="65DF9662" wp14:editId="4D9921D1">
                      <wp:simplePos x="0" y="0"/>
                      <wp:positionH relativeFrom="column">
                        <wp:posOffset>-48260</wp:posOffset>
                      </wp:positionH>
                      <wp:positionV relativeFrom="paragraph">
                        <wp:posOffset>-142240</wp:posOffset>
                      </wp:positionV>
                      <wp:extent cx="699135" cy="3556000"/>
                      <wp:effectExtent l="0" t="0" r="24765" b="25400"/>
                      <wp:wrapNone/>
                      <wp:docPr id="1053" name="圆角矩形 1053">
                        <a:extLst xmlns:a="http://schemas.openxmlformats.org/drawingml/2006/main">
                          <a:ext uri="{FF2B5EF4-FFF2-40B4-BE49-F238E27FC236}">
                            <a16:creationId xmlns:a16="http://schemas.microsoft.com/office/drawing/2014/main" id="{C93FF6EF-6B4F-1240-88B4-15B7ED85FC5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 cy="355600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5DFBAD2C" id="圆角矩形 1053" o:spid="_x0000_s1026" style="position:absolute;margin-left:-3.8pt;margin-top:-11.2pt;width:55.05pt;height:28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" filled="f" strokecolor="#0070c0" strokeweight="1pt"/>
                  </w:pict>
                </mc:Fallback>
              </mc:AlternateContent>
            </w:r>
            <w:r w:rsidRPr="00703BDF">
              <w:rPr>
                <w:rFonts w:ascii="SimSun" w:hAnsi="SimSun" w:hint="eastAsia"/>
                <w:b/>
                <w:bCs/>
                <w:color w:val="002060"/>
                <w:sz w:val="18"/>
                <w:szCs w:val="18"/>
              </w:rPr>
              <w:t>合计</w:t>
            </w:r>
          </w:p>
        </w:tc>
      </w:tr>
      <w:tr w:rsidR="005C437E" w:rsidRPr="00C7456C" w14:paraId="22C095E4" w14:textId="77777777" w:rsidTr="005C437E">
        <w:trPr>
          <w:trHeight w:val="19"/>
        </w:trPr>
        <w:tc>
          <w:tcPr>
            <w:tcW w:w="2835" w:type="dxa"/>
            <w:tcBorders>
              <w:top w:val="nil"/>
              <w:left w:val="nil"/>
              <w:bottom w:val="single" w:sz="4" w:space="0" w:color="auto"/>
              <w:right w:val="nil"/>
            </w:tcBorders>
            <w:shd w:val="clear" w:color="auto" w:fill="auto"/>
            <w:noWrap/>
            <w:vAlign w:val="center"/>
            <w:hideMark/>
          </w:tcPr>
          <w:p w14:paraId="4D179224"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sz w:val="18"/>
                <w:szCs w:val="18"/>
              </w:rPr>
            </w:pPr>
            <w:r w:rsidRPr="00703BDF">
              <w:rPr>
                <w:rFonts w:eastAsia="Times New Roman" w:cs="Calibri"/>
                <w:b/>
                <w:bCs/>
                <w:i/>
                <w:iCs/>
                <w:sz w:val="18"/>
                <w:szCs w:val="18"/>
              </w:rPr>
              <w:t> </w:t>
            </w:r>
          </w:p>
        </w:tc>
        <w:tc>
          <w:tcPr>
            <w:tcW w:w="823" w:type="dxa"/>
            <w:tcBorders>
              <w:top w:val="nil"/>
              <w:left w:val="single" w:sz="4" w:space="0" w:color="0070C0"/>
              <w:bottom w:val="single" w:sz="4" w:space="0" w:color="auto"/>
              <w:right w:val="nil"/>
            </w:tcBorders>
            <w:shd w:val="clear" w:color="auto" w:fill="auto"/>
            <w:vAlign w:val="center"/>
            <w:hideMark/>
          </w:tcPr>
          <w:p w14:paraId="1C4E4E3D"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703BDF">
              <w:rPr>
                <w:rFonts w:eastAsia="Times New Roman" w:cs="Calibri"/>
                <w:sz w:val="18"/>
                <w:szCs w:val="18"/>
              </w:rPr>
              <w:t> </w:t>
            </w:r>
          </w:p>
        </w:tc>
        <w:tc>
          <w:tcPr>
            <w:tcW w:w="973" w:type="dxa"/>
            <w:tcBorders>
              <w:top w:val="nil"/>
              <w:left w:val="nil"/>
              <w:bottom w:val="single" w:sz="4" w:space="0" w:color="auto"/>
              <w:right w:val="nil"/>
            </w:tcBorders>
            <w:shd w:val="clear" w:color="auto" w:fill="auto"/>
            <w:noWrap/>
            <w:vAlign w:val="center"/>
            <w:hideMark/>
          </w:tcPr>
          <w:p w14:paraId="031C47DD"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703BDF">
              <w:rPr>
                <w:rFonts w:eastAsia="Times New Roman" w:cs="Calibri"/>
                <w:sz w:val="18"/>
                <w:szCs w:val="18"/>
              </w:rPr>
              <w:t> </w:t>
            </w:r>
          </w:p>
        </w:tc>
        <w:tc>
          <w:tcPr>
            <w:tcW w:w="962" w:type="dxa"/>
            <w:tcBorders>
              <w:top w:val="nil"/>
              <w:left w:val="nil"/>
              <w:bottom w:val="single" w:sz="4" w:space="0" w:color="auto"/>
              <w:right w:val="nil"/>
            </w:tcBorders>
            <w:shd w:val="clear" w:color="auto" w:fill="auto"/>
            <w:noWrap/>
            <w:vAlign w:val="center"/>
            <w:hideMark/>
          </w:tcPr>
          <w:p w14:paraId="6EFDAA9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703BDF">
              <w:rPr>
                <w:rFonts w:eastAsia="Times New Roman" w:cs="Calibri"/>
                <w:sz w:val="18"/>
                <w:szCs w:val="18"/>
              </w:rPr>
              <w:t> </w:t>
            </w:r>
          </w:p>
        </w:tc>
        <w:tc>
          <w:tcPr>
            <w:tcW w:w="1008" w:type="dxa"/>
            <w:tcBorders>
              <w:top w:val="nil"/>
              <w:left w:val="nil"/>
              <w:bottom w:val="single" w:sz="4" w:space="0" w:color="auto"/>
              <w:right w:val="nil"/>
            </w:tcBorders>
            <w:shd w:val="clear" w:color="auto" w:fill="auto"/>
            <w:noWrap/>
            <w:vAlign w:val="center"/>
            <w:hideMark/>
          </w:tcPr>
          <w:p w14:paraId="14877E97"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703BDF">
              <w:rPr>
                <w:rFonts w:eastAsia="Times New Roman" w:cs="Calibri"/>
                <w:sz w:val="18"/>
                <w:szCs w:val="18"/>
              </w:rPr>
              <w:t> </w:t>
            </w:r>
          </w:p>
        </w:tc>
        <w:tc>
          <w:tcPr>
            <w:tcW w:w="786" w:type="dxa"/>
            <w:tcBorders>
              <w:top w:val="nil"/>
              <w:left w:val="nil"/>
              <w:bottom w:val="single" w:sz="4" w:space="0" w:color="auto"/>
              <w:right w:val="nil"/>
            </w:tcBorders>
            <w:shd w:val="clear" w:color="auto" w:fill="auto"/>
            <w:noWrap/>
            <w:vAlign w:val="center"/>
            <w:hideMark/>
          </w:tcPr>
          <w:p w14:paraId="2D1035C2"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703BDF">
              <w:rPr>
                <w:rFonts w:eastAsia="Times New Roman" w:cs="Calibri"/>
                <w:sz w:val="18"/>
                <w:szCs w:val="18"/>
              </w:rPr>
              <w:t> </w:t>
            </w:r>
          </w:p>
        </w:tc>
        <w:tc>
          <w:tcPr>
            <w:tcW w:w="1129" w:type="dxa"/>
            <w:tcBorders>
              <w:top w:val="nil"/>
              <w:left w:val="nil"/>
              <w:bottom w:val="single" w:sz="4" w:space="0" w:color="auto"/>
              <w:right w:val="nil"/>
            </w:tcBorders>
            <w:shd w:val="clear" w:color="auto" w:fill="auto"/>
            <w:noWrap/>
            <w:vAlign w:val="center"/>
            <w:hideMark/>
          </w:tcPr>
          <w:p w14:paraId="61EB1137"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703BDF">
              <w:rPr>
                <w:rFonts w:eastAsia="Times New Roman" w:cs="Calibri"/>
                <w:sz w:val="18"/>
                <w:szCs w:val="18"/>
              </w:rPr>
              <w:t> </w:t>
            </w:r>
          </w:p>
        </w:tc>
        <w:tc>
          <w:tcPr>
            <w:tcW w:w="1008" w:type="dxa"/>
            <w:tcBorders>
              <w:top w:val="nil"/>
              <w:left w:val="nil"/>
              <w:bottom w:val="single" w:sz="4" w:space="0" w:color="auto"/>
              <w:right w:val="nil"/>
            </w:tcBorders>
            <w:shd w:val="clear" w:color="auto" w:fill="auto"/>
            <w:noWrap/>
            <w:vAlign w:val="center"/>
            <w:hideMark/>
          </w:tcPr>
          <w:p w14:paraId="12005E9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703BDF">
              <w:rPr>
                <w:rFonts w:eastAsia="Times New Roman" w:cs="Calibri"/>
                <w:sz w:val="18"/>
                <w:szCs w:val="18"/>
              </w:rPr>
              <w:t> </w:t>
            </w:r>
          </w:p>
        </w:tc>
        <w:tc>
          <w:tcPr>
            <w:tcW w:w="973" w:type="dxa"/>
            <w:tcBorders>
              <w:top w:val="nil"/>
              <w:left w:val="nil"/>
              <w:bottom w:val="single" w:sz="4" w:space="0" w:color="auto"/>
              <w:right w:val="nil"/>
            </w:tcBorders>
            <w:shd w:val="clear" w:color="auto" w:fill="auto"/>
            <w:noWrap/>
            <w:vAlign w:val="center"/>
            <w:hideMark/>
          </w:tcPr>
          <w:p w14:paraId="3339D17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703BDF">
              <w:rPr>
                <w:rFonts w:eastAsia="Times New Roman" w:cs="Calibri"/>
                <w:sz w:val="18"/>
                <w:szCs w:val="18"/>
              </w:rPr>
              <w:t> </w:t>
            </w:r>
          </w:p>
        </w:tc>
        <w:tc>
          <w:tcPr>
            <w:tcW w:w="973" w:type="dxa"/>
            <w:tcBorders>
              <w:top w:val="nil"/>
              <w:left w:val="nil"/>
              <w:bottom w:val="single" w:sz="4" w:space="0" w:color="auto"/>
              <w:right w:val="nil"/>
            </w:tcBorders>
            <w:shd w:val="clear" w:color="auto" w:fill="auto"/>
            <w:noWrap/>
            <w:vAlign w:val="center"/>
            <w:hideMark/>
          </w:tcPr>
          <w:p w14:paraId="4C25EA2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703BDF">
              <w:rPr>
                <w:rFonts w:eastAsia="Times New Roman" w:cs="Calibri"/>
                <w:sz w:val="18"/>
                <w:szCs w:val="18"/>
              </w:rPr>
              <w:t> </w:t>
            </w:r>
          </w:p>
        </w:tc>
        <w:tc>
          <w:tcPr>
            <w:tcW w:w="973" w:type="dxa"/>
            <w:tcBorders>
              <w:top w:val="nil"/>
              <w:left w:val="nil"/>
              <w:bottom w:val="single" w:sz="4" w:space="0" w:color="auto"/>
              <w:right w:val="nil"/>
            </w:tcBorders>
            <w:shd w:val="clear" w:color="auto" w:fill="auto"/>
            <w:noWrap/>
            <w:vAlign w:val="center"/>
            <w:hideMark/>
          </w:tcPr>
          <w:p w14:paraId="65946974"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703BDF">
              <w:rPr>
                <w:rFonts w:eastAsia="Times New Roman" w:cs="Calibri"/>
                <w:sz w:val="18"/>
                <w:szCs w:val="18"/>
              </w:rPr>
              <w:t> </w:t>
            </w:r>
          </w:p>
        </w:tc>
        <w:tc>
          <w:tcPr>
            <w:tcW w:w="957" w:type="dxa"/>
            <w:gridSpan w:val="2"/>
            <w:tcBorders>
              <w:top w:val="nil"/>
              <w:left w:val="nil"/>
              <w:bottom w:val="single" w:sz="4" w:space="0" w:color="auto"/>
              <w:right w:val="nil"/>
            </w:tcBorders>
            <w:shd w:val="clear" w:color="auto" w:fill="auto"/>
            <w:noWrap/>
            <w:vAlign w:val="center"/>
            <w:hideMark/>
          </w:tcPr>
          <w:p w14:paraId="099E631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703BDF">
              <w:rPr>
                <w:rFonts w:eastAsia="Times New Roman" w:cs="Calibri"/>
                <w:sz w:val="18"/>
                <w:szCs w:val="18"/>
              </w:rPr>
              <w:t> </w:t>
            </w:r>
          </w:p>
        </w:tc>
        <w:tc>
          <w:tcPr>
            <w:tcW w:w="1044" w:type="dxa"/>
            <w:gridSpan w:val="2"/>
            <w:tcBorders>
              <w:top w:val="nil"/>
              <w:left w:val="nil"/>
              <w:bottom w:val="single" w:sz="4" w:space="0" w:color="auto"/>
              <w:right w:val="nil"/>
            </w:tcBorders>
            <w:shd w:val="clear" w:color="auto" w:fill="auto"/>
            <w:noWrap/>
            <w:vAlign w:val="center"/>
            <w:hideMark/>
          </w:tcPr>
          <w:p w14:paraId="1C4BCB3D"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18"/>
                <w:szCs w:val="18"/>
              </w:rPr>
            </w:pPr>
            <w:r w:rsidRPr="00703BDF">
              <w:rPr>
                <w:rFonts w:eastAsia="Times New Roman" w:cs="Calibri"/>
                <w:b/>
                <w:bCs/>
                <w:color w:val="002060"/>
                <w:sz w:val="18"/>
                <w:szCs w:val="18"/>
              </w:rPr>
              <w:t> </w:t>
            </w:r>
          </w:p>
        </w:tc>
      </w:tr>
      <w:tr w:rsidR="005C437E" w:rsidRPr="00C7456C" w14:paraId="3FE14DA6" w14:textId="77777777" w:rsidTr="005C437E">
        <w:trPr>
          <w:trHeight w:val="19"/>
        </w:trPr>
        <w:tc>
          <w:tcPr>
            <w:tcW w:w="2835" w:type="dxa"/>
            <w:tcBorders>
              <w:top w:val="nil"/>
              <w:left w:val="nil"/>
              <w:bottom w:val="nil"/>
              <w:right w:val="nil"/>
            </w:tcBorders>
            <w:shd w:val="clear" w:color="auto" w:fill="auto"/>
            <w:noWrap/>
            <w:vAlign w:val="bottom"/>
            <w:hideMark/>
          </w:tcPr>
          <w:p w14:paraId="5142FE2E"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rPr>
            </w:pPr>
            <w:r w:rsidRPr="00703BDF">
              <w:rPr>
                <w:rFonts w:cstheme="minorHAnsi"/>
                <w:sz w:val="18"/>
                <w:szCs w:val="18"/>
              </w:rPr>
              <w:t xml:space="preserve">1 - </w:t>
            </w:r>
            <w:r w:rsidRPr="00703BDF">
              <w:rPr>
                <w:rFonts w:cstheme="minorHAnsi"/>
                <w:sz w:val="18"/>
                <w:szCs w:val="18"/>
              </w:rPr>
              <w:t>人员费用</w:t>
            </w:r>
          </w:p>
        </w:tc>
        <w:tc>
          <w:tcPr>
            <w:tcW w:w="823" w:type="dxa"/>
            <w:tcBorders>
              <w:top w:val="nil"/>
              <w:left w:val="single" w:sz="4" w:space="0" w:color="0070C0"/>
              <w:bottom w:val="nil"/>
              <w:right w:val="nil"/>
            </w:tcBorders>
            <w:shd w:val="clear" w:color="auto" w:fill="auto"/>
            <w:noWrap/>
            <w:vAlign w:val="bottom"/>
            <w:hideMark/>
          </w:tcPr>
          <w:p w14:paraId="121E06F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1,112</w:t>
            </w:r>
          </w:p>
        </w:tc>
        <w:tc>
          <w:tcPr>
            <w:tcW w:w="973" w:type="dxa"/>
            <w:tcBorders>
              <w:top w:val="nil"/>
              <w:left w:val="nil"/>
              <w:bottom w:val="nil"/>
              <w:right w:val="nil"/>
            </w:tcBorders>
            <w:shd w:val="clear" w:color="auto" w:fill="auto"/>
            <w:noWrap/>
            <w:vAlign w:val="bottom"/>
            <w:hideMark/>
          </w:tcPr>
          <w:p w14:paraId="24FD62C2"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62" w:type="dxa"/>
            <w:tcBorders>
              <w:top w:val="nil"/>
              <w:left w:val="nil"/>
              <w:bottom w:val="nil"/>
              <w:right w:val="nil"/>
            </w:tcBorders>
            <w:shd w:val="clear" w:color="auto" w:fill="auto"/>
            <w:noWrap/>
            <w:vAlign w:val="bottom"/>
            <w:hideMark/>
          </w:tcPr>
          <w:p w14:paraId="27C2751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353</w:t>
            </w:r>
          </w:p>
        </w:tc>
        <w:tc>
          <w:tcPr>
            <w:tcW w:w="1008" w:type="dxa"/>
            <w:tcBorders>
              <w:top w:val="nil"/>
              <w:left w:val="nil"/>
              <w:bottom w:val="nil"/>
              <w:right w:val="nil"/>
            </w:tcBorders>
            <w:shd w:val="clear" w:color="auto" w:fill="auto"/>
            <w:noWrap/>
            <w:vAlign w:val="bottom"/>
            <w:hideMark/>
          </w:tcPr>
          <w:p w14:paraId="6A1280D7"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786" w:type="dxa"/>
            <w:tcBorders>
              <w:top w:val="nil"/>
              <w:left w:val="nil"/>
              <w:bottom w:val="nil"/>
              <w:right w:val="nil"/>
            </w:tcBorders>
            <w:shd w:val="clear" w:color="auto" w:fill="auto"/>
            <w:noWrap/>
            <w:vAlign w:val="bottom"/>
            <w:hideMark/>
          </w:tcPr>
          <w:p w14:paraId="62E5AC9E"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250</w:t>
            </w:r>
          </w:p>
        </w:tc>
        <w:tc>
          <w:tcPr>
            <w:tcW w:w="1129" w:type="dxa"/>
            <w:tcBorders>
              <w:top w:val="nil"/>
              <w:left w:val="nil"/>
              <w:bottom w:val="nil"/>
              <w:right w:val="nil"/>
            </w:tcBorders>
            <w:shd w:val="clear" w:color="auto" w:fill="auto"/>
            <w:noWrap/>
            <w:vAlign w:val="bottom"/>
            <w:hideMark/>
          </w:tcPr>
          <w:p w14:paraId="201C148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5,083</w:t>
            </w:r>
          </w:p>
        </w:tc>
        <w:tc>
          <w:tcPr>
            <w:tcW w:w="1008" w:type="dxa"/>
            <w:tcBorders>
              <w:top w:val="nil"/>
              <w:left w:val="nil"/>
              <w:bottom w:val="nil"/>
              <w:right w:val="nil"/>
            </w:tcBorders>
            <w:shd w:val="clear" w:color="auto" w:fill="auto"/>
            <w:noWrap/>
            <w:vAlign w:val="bottom"/>
            <w:hideMark/>
          </w:tcPr>
          <w:p w14:paraId="704D0EF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6,331</w:t>
            </w:r>
          </w:p>
        </w:tc>
        <w:tc>
          <w:tcPr>
            <w:tcW w:w="973" w:type="dxa"/>
            <w:tcBorders>
              <w:top w:val="nil"/>
              <w:left w:val="nil"/>
              <w:bottom w:val="nil"/>
              <w:right w:val="nil"/>
            </w:tcBorders>
            <w:shd w:val="clear" w:color="auto" w:fill="auto"/>
            <w:noWrap/>
            <w:vAlign w:val="bottom"/>
            <w:hideMark/>
          </w:tcPr>
          <w:p w14:paraId="5743AD8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17,502</w:t>
            </w:r>
          </w:p>
        </w:tc>
        <w:tc>
          <w:tcPr>
            <w:tcW w:w="973" w:type="dxa"/>
            <w:tcBorders>
              <w:top w:val="nil"/>
              <w:left w:val="nil"/>
              <w:bottom w:val="nil"/>
              <w:right w:val="nil"/>
            </w:tcBorders>
            <w:shd w:val="clear" w:color="auto" w:fill="auto"/>
            <w:noWrap/>
            <w:vAlign w:val="bottom"/>
            <w:hideMark/>
          </w:tcPr>
          <w:p w14:paraId="5A6452A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4,044</w:t>
            </w:r>
          </w:p>
        </w:tc>
        <w:tc>
          <w:tcPr>
            <w:tcW w:w="973" w:type="dxa"/>
            <w:tcBorders>
              <w:top w:val="nil"/>
              <w:left w:val="nil"/>
              <w:bottom w:val="nil"/>
              <w:right w:val="nil"/>
            </w:tcBorders>
            <w:shd w:val="clear" w:color="auto" w:fill="auto"/>
            <w:noWrap/>
            <w:vAlign w:val="bottom"/>
            <w:hideMark/>
          </w:tcPr>
          <w:p w14:paraId="55C2D4B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6,697</w:t>
            </w:r>
          </w:p>
        </w:tc>
        <w:tc>
          <w:tcPr>
            <w:tcW w:w="957" w:type="dxa"/>
            <w:gridSpan w:val="2"/>
            <w:tcBorders>
              <w:top w:val="nil"/>
              <w:left w:val="nil"/>
              <w:bottom w:val="nil"/>
              <w:right w:val="nil"/>
            </w:tcBorders>
            <w:shd w:val="clear" w:color="auto" w:fill="auto"/>
            <w:noWrap/>
            <w:vAlign w:val="bottom"/>
            <w:hideMark/>
          </w:tcPr>
          <w:p w14:paraId="2E681FDE"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10,170</w:t>
            </w:r>
          </w:p>
        </w:tc>
        <w:tc>
          <w:tcPr>
            <w:tcW w:w="1044" w:type="dxa"/>
            <w:gridSpan w:val="2"/>
            <w:tcBorders>
              <w:top w:val="nil"/>
              <w:left w:val="nil"/>
              <w:bottom w:val="nil"/>
              <w:right w:val="nil"/>
            </w:tcBorders>
            <w:shd w:val="clear" w:color="auto" w:fill="auto"/>
            <w:noWrap/>
            <w:vAlign w:val="bottom"/>
            <w:hideMark/>
          </w:tcPr>
          <w:p w14:paraId="6B9B4CE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703BDF">
              <w:rPr>
                <w:rFonts w:eastAsia="Times New Roman" w:cs="Calibri"/>
                <w:color w:val="002060"/>
                <w:sz w:val="18"/>
                <w:szCs w:val="18"/>
              </w:rPr>
              <w:t>51,542</w:t>
            </w:r>
          </w:p>
        </w:tc>
      </w:tr>
      <w:tr w:rsidR="005C437E" w:rsidRPr="00C7456C" w14:paraId="30D16B1D" w14:textId="77777777" w:rsidTr="005C437E">
        <w:trPr>
          <w:trHeight w:val="19"/>
        </w:trPr>
        <w:tc>
          <w:tcPr>
            <w:tcW w:w="2835" w:type="dxa"/>
            <w:tcBorders>
              <w:top w:val="nil"/>
              <w:left w:val="nil"/>
              <w:bottom w:val="nil"/>
              <w:right w:val="nil"/>
            </w:tcBorders>
            <w:shd w:val="clear" w:color="auto" w:fill="auto"/>
            <w:noWrap/>
            <w:vAlign w:val="bottom"/>
            <w:hideMark/>
          </w:tcPr>
          <w:p w14:paraId="416CA12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szCs w:val="18"/>
              </w:rPr>
            </w:pPr>
          </w:p>
        </w:tc>
        <w:tc>
          <w:tcPr>
            <w:tcW w:w="823" w:type="dxa"/>
            <w:tcBorders>
              <w:top w:val="nil"/>
              <w:left w:val="single" w:sz="4" w:space="0" w:color="0070C0"/>
              <w:bottom w:val="nil"/>
              <w:right w:val="nil"/>
            </w:tcBorders>
            <w:shd w:val="clear" w:color="auto" w:fill="auto"/>
            <w:noWrap/>
            <w:vAlign w:val="bottom"/>
            <w:hideMark/>
          </w:tcPr>
          <w:p w14:paraId="7F6F8326"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 </w:t>
            </w:r>
          </w:p>
        </w:tc>
        <w:tc>
          <w:tcPr>
            <w:tcW w:w="973" w:type="dxa"/>
            <w:tcBorders>
              <w:top w:val="nil"/>
              <w:left w:val="nil"/>
              <w:bottom w:val="nil"/>
              <w:right w:val="nil"/>
            </w:tcBorders>
            <w:shd w:val="clear" w:color="auto" w:fill="auto"/>
            <w:noWrap/>
            <w:vAlign w:val="bottom"/>
            <w:hideMark/>
          </w:tcPr>
          <w:p w14:paraId="7407402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62" w:type="dxa"/>
            <w:tcBorders>
              <w:top w:val="nil"/>
              <w:left w:val="nil"/>
              <w:bottom w:val="nil"/>
              <w:right w:val="nil"/>
            </w:tcBorders>
            <w:shd w:val="clear" w:color="auto" w:fill="auto"/>
            <w:noWrap/>
            <w:vAlign w:val="bottom"/>
            <w:hideMark/>
          </w:tcPr>
          <w:p w14:paraId="553572B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bottom"/>
            <w:hideMark/>
          </w:tcPr>
          <w:p w14:paraId="7E7F6A4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86" w:type="dxa"/>
            <w:tcBorders>
              <w:top w:val="nil"/>
              <w:left w:val="nil"/>
              <w:bottom w:val="nil"/>
              <w:right w:val="nil"/>
            </w:tcBorders>
            <w:shd w:val="clear" w:color="auto" w:fill="auto"/>
            <w:noWrap/>
            <w:vAlign w:val="bottom"/>
            <w:hideMark/>
          </w:tcPr>
          <w:p w14:paraId="791D8A7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129" w:type="dxa"/>
            <w:tcBorders>
              <w:top w:val="nil"/>
              <w:left w:val="nil"/>
              <w:bottom w:val="nil"/>
              <w:right w:val="nil"/>
            </w:tcBorders>
            <w:shd w:val="clear" w:color="auto" w:fill="auto"/>
            <w:noWrap/>
            <w:vAlign w:val="bottom"/>
            <w:hideMark/>
          </w:tcPr>
          <w:p w14:paraId="7D562BE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bottom"/>
            <w:hideMark/>
          </w:tcPr>
          <w:p w14:paraId="6DDE548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055E317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099B608B"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28D3799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7" w:type="dxa"/>
            <w:gridSpan w:val="2"/>
            <w:tcBorders>
              <w:top w:val="nil"/>
              <w:left w:val="nil"/>
              <w:bottom w:val="nil"/>
              <w:right w:val="nil"/>
            </w:tcBorders>
            <w:shd w:val="clear" w:color="auto" w:fill="auto"/>
            <w:noWrap/>
            <w:vAlign w:val="bottom"/>
            <w:hideMark/>
          </w:tcPr>
          <w:p w14:paraId="53EC0EBD"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44" w:type="dxa"/>
            <w:gridSpan w:val="2"/>
            <w:tcBorders>
              <w:top w:val="nil"/>
              <w:left w:val="nil"/>
              <w:bottom w:val="nil"/>
              <w:right w:val="nil"/>
            </w:tcBorders>
            <w:shd w:val="clear" w:color="auto" w:fill="auto"/>
            <w:noWrap/>
            <w:vAlign w:val="bottom"/>
            <w:hideMark/>
          </w:tcPr>
          <w:p w14:paraId="21FE38B0"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C7456C" w14:paraId="1D358D4B" w14:textId="77777777" w:rsidTr="005C437E">
        <w:trPr>
          <w:trHeight w:val="19"/>
        </w:trPr>
        <w:tc>
          <w:tcPr>
            <w:tcW w:w="2835" w:type="dxa"/>
            <w:tcBorders>
              <w:top w:val="nil"/>
              <w:left w:val="nil"/>
              <w:bottom w:val="nil"/>
              <w:right w:val="nil"/>
            </w:tcBorders>
            <w:shd w:val="clear" w:color="auto" w:fill="auto"/>
            <w:noWrap/>
            <w:vAlign w:val="bottom"/>
            <w:hideMark/>
          </w:tcPr>
          <w:p w14:paraId="6D0713B2"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rPr>
            </w:pPr>
            <w:r w:rsidRPr="00703BDF">
              <w:rPr>
                <w:rFonts w:cstheme="minorHAnsi"/>
                <w:sz w:val="18"/>
                <w:szCs w:val="18"/>
              </w:rPr>
              <w:t xml:space="preserve">2 - </w:t>
            </w:r>
            <w:r w:rsidRPr="00703BDF">
              <w:rPr>
                <w:rFonts w:cstheme="minorHAnsi"/>
                <w:sz w:val="18"/>
                <w:szCs w:val="18"/>
              </w:rPr>
              <w:t>其他人员费用</w:t>
            </w:r>
          </w:p>
        </w:tc>
        <w:tc>
          <w:tcPr>
            <w:tcW w:w="823" w:type="dxa"/>
            <w:tcBorders>
              <w:top w:val="nil"/>
              <w:left w:val="single" w:sz="4" w:space="0" w:color="0070C0"/>
              <w:bottom w:val="nil"/>
              <w:right w:val="nil"/>
            </w:tcBorders>
            <w:shd w:val="clear" w:color="auto" w:fill="auto"/>
            <w:noWrap/>
            <w:vAlign w:val="bottom"/>
            <w:hideMark/>
          </w:tcPr>
          <w:p w14:paraId="438B7D8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18</w:t>
            </w:r>
          </w:p>
        </w:tc>
        <w:tc>
          <w:tcPr>
            <w:tcW w:w="973" w:type="dxa"/>
            <w:tcBorders>
              <w:top w:val="nil"/>
              <w:left w:val="nil"/>
              <w:bottom w:val="nil"/>
              <w:right w:val="nil"/>
            </w:tcBorders>
            <w:shd w:val="clear" w:color="auto" w:fill="auto"/>
            <w:noWrap/>
            <w:vAlign w:val="bottom"/>
            <w:hideMark/>
          </w:tcPr>
          <w:p w14:paraId="595BE3E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62" w:type="dxa"/>
            <w:tcBorders>
              <w:top w:val="nil"/>
              <w:left w:val="nil"/>
              <w:bottom w:val="nil"/>
              <w:right w:val="nil"/>
            </w:tcBorders>
            <w:shd w:val="clear" w:color="auto" w:fill="auto"/>
            <w:noWrap/>
            <w:vAlign w:val="bottom"/>
            <w:hideMark/>
          </w:tcPr>
          <w:p w14:paraId="354428A2"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8</w:t>
            </w:r>
          </w:p>
        </w:tc>
        <w:tc>
          <w:tcPr>
            <w:tcW w:w="1008" w:type="dxa"/>
            <w:tcBorders>
              <w:top w:val="nil"/>
              <w:left w:val="nil"/>
              <w:bottom w:val="nil"/>
              <w:right w:val="nil"/>
            </w:tcBorders>
            <w:shd w:val="clear" w:color="auto" w:fill="auto"/>
            <w:noWrap/>
            <w:vAlign w:val="bottom"/>
            <w:hideMark/>
          </w:tcPr>
          <w:p w14:paraId="12D79C68"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786" w:type="dxa"/>
            <w:tcBorders>
              <w:top w:val="nil"/>
              <w:left w:val="nil"/>
              <w:bottom w:val="nil"/>
              <w:right w:val="nil"/>
            </w:tcBorders>
            <w:shd w:val="clear" w:color="auto" w:fill="auto"/>
            <w:noWrap/>
            <w:vAlign w:val="bottom"/>
            <w:hideMark/>
          </w:tcPr>
          <w:p w14:paraId="7497F52E"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6,350</w:t>
            </w:r>
          </w:p>
        </w:tc>
        <w:tc>
          <w:tcPr>
            <w:tcW w:w="1129" w:type="dxa"/>
            <w:tcBorders>
              <w:top w:val="nil"/>
              <w:left w:val="nil"/>
              <w:bottom w:val="nil"/>
              <w:right w:val="nil"/>
            </w:tcBorders>
            <w:shd w:val="clear" w:color="auto" w:fill="auto"/>
            <w:noWrap/>
            <w:vAlign w:val="bottom"/>
            <w:hideMark/>
          </w:tcPr>
          <w:p w14:paraId="04A5D6C8"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1,404</w:t>
            </w:r>
          </w:p>
        </w:tc>
        <w:tc>
          <w:tcPr>
            <w:tcW w:w="1008" w:type="dxa"/>
            <w:tcBorders>
              <w:top w:val="nil"/>
              <w:left w:val="nil"/>
              <w:bottom w:val="nil"/>
              <w:right w:val="nil"/>
            </w:tcBorders>
            <w:shd w:val="clear" w:color="auto" w:fill="auto"/>
            <w:noWrap/>
            <w:vAlign w:val="bottom"/>
            <w:hideMark/>
          </w:tcPr>
          <w:p w14:paraId="692D6DE0"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1,842</w:t>
            </w:r>
          </w:p>
        </w:tc>
        <w:tc>
          <w:tcPr>
            <w:tcW w:w="973" w:type="dxa"/>
            <w:tcBorders>
              <w:top w:val="nil"/>
              <w:left w:val="nil"/>
              <w:bottom w:val="nil"/>
              <w:right w:val="nil"/>
            </w:tcBorders>
            <w:shd w:val="clear" w:color="auto" w:fill="auto"/>
            <w:noWrap/>
            <w:vAlign w:val="bottom"/>
            <w:hideMark/>
          </w:tcPr>
          <w:p w14:paraId="0EDD258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4,469</w:t>
            </w:r>
          </w:p>
        </w:tc>
        <w:tc>
          <w:tcPr>
            <w:tcW w:w="973" w:type="dxa"/>
            <w:tcBorders>
              <w:top w:val="nil"/>
              <w:left w:val="nil"/>
              <w:bottom w:val="nil"/>
              <w:right w:val="nil"/>
            </w:tcBorders>
            <w:shd w:val="clear" w:color="auto" w:fill="auto"/>
            <w:noWrap/>
            <w:vAlign w:val="bottom"/>
            <w:hideMark/>
          </w:tcPr>
          <w:p w14:paraId="54F6AA1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1,124</w:t>
            </w:r>
          </w:p>
        </w:tc>
        <w:tc>
          <w:tcPr>
            <w:tcW w:w="973" w:type="dxa"/>
            <w:tcBorders>
              <w:top w:val="nil"/>
              <w:left w:val="nil"/>
              <w:bottom w:val="nil"/>
              <w:right w:val="nil"/>
            </w:tcBorders>
            <w:shd w:val="clear" w:color="auto" w:fill="auto"/>
            <w:noWrap/>
            <w:vAlign w:val="bottom"/>
            <w:hideMark/>
          </w:tcPr>
          <w:p w14:paraId="15E88868"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1,891</w:t>
            </w:r>
          </w:p>
        </w:tc>
        <w:tc>
          <w:tcPr>
            <w:tcW w:w="957" w:type="dxa"/>
            <w:gridSpan w:val="2"/>
            <w:tcBorders>
              <w:top w:val="nil"/>
              <w:left w:val="nil"/>
              <w:bottom w:val="nil"/>
              <w:right w:val="nil"/>
            </w:tcBorders>
            <w:shd w:val="clear" w:color="auto" w:fill="auto"/>
            <w:noWrap/>
            <w:vAlign w:val="bottom"/>
            <w:hideMark/>
          </w:tcPr>
          <w:p w14:paraId="14C5B2E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2,951</w:t>
            </w:r>
          </w:p>
        </w:tc>
        <w:tc>
          <w:tcPr>
            <w:tcW w:w="1044" w:type="dxa"/>
            <w:gridSpan w:val="2"/>
            <w:tcBorders>
              <w:top w:val="nil"/>
              <w:left w:val="nil"/>
              <w:bottom w:val="nil"/>
              <w:right w:val="nil"/>
            </w:tcBorders>
            <w:shd w:val="clear" w:color="auto" w:fill="auto"/>
            <w:noWrap/>
            <w:vAlign w:val="bottom"/>
            <w:hideMark/>
          </w:tcPr>
          <w:p w14:paraId="7F6D3FCD"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703BDF">
              <w:rPr>
                <w:rFonts w:eastAsia="Times New Roman" w:cs="Calibri"/>
                <w:color w:val="002060"/>
                <w:sz w:val="18"/>
                <w:szCs w:val="18"/>
              </w:rPr>
              <w:t>20,057</w:t>
            </w:r>
          </w:p>
        </w:tc>
      </w:tr>
      <w:tr w:rsidR="005C437E" w:rsidRPr="00C7456C" w14:paraId="68F45DF4" w14:textId="77777777" w:rsidTr="005C437E">
        <w:trPr>
          <w:trHeight w:val="19"/>
        </w:trPr>
        <w:tc>
          <w:tcPr>
            <w:tcW w:w="2835" w:type="dxa"/>
            <w:tcBorders>
              <w:top w:val="nil"/>
              <w:left w:val="nil"/>
              <w:bottom w:val="nil"/>
              <w:right w:val="nil"/>
            </w:tcBorders>
            <w:shd w:val="clear" w:color="auto" w:fill="auto"/>
            <w:noWrap/>
            <w:vAlign w:val="bottom"/>
            <w:hideMark/>
          </w:tcPr>
          <w:p w14:paraId="2A7A266D"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szCs w:val="18"/>
              </w:rPr>
            </w:pPr>
          </w:p>
        </w:tc>
        <w:tc>
          <w:tcPr>
            <w:tcW w:w="823" w:type="dxa"/>
            <w:tcBorders>
              <w:top w:val="nil"/>
              <w:left w:val="single" w:sz="4" w:space="0" w:color="0070C0"/>
              <w:bottom w:val="nil"/>
              <w:right w:val="nil"/>
            </w:tcBorders>
            <w:shd w:val="clear" w:color="auto" w:fill="auto"/>
            <w:noWrap/>
            <w:vAlign w:val="bottom"/>
            <w:hideMark/>
          </w:tcPr>
          <w:p w14:paraId="2B20F592"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 </w:t>
            </w:r>
          </w:p>
        </w:tc>
        <w:tc>
          <w:tcPr>
            <w:tcW w:w="973" w:type="dxa"/>
            <w:tcBorders>
              <w:top w:val="nil"/>
              <w:left w:val="nil"/>
              <w:bottom w:val="nil"/>
              <w:right w:val="nil"/>
            </w:tcBorders>
            <w:shd w:val="clear" w:color="auto" w:fill="auto"/>
            <w:noWrap/>
            <w:vAlign w:val="bottom"/>
            <w:hideMark/>
          </w:tcPr>
          <w:p w14:paraId="2A79B0F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62" w:type="dxa"/>
            <w:tcBorders>
              <w:top w:val="nil"/>
              <w:left w:val="nil"/>
              <w:bottom w:val="nil"/>
              <w:right w:val="nil"/>
            </w:tcBorders>
            <w:shd w:val="clear" w:color="auto" w:fill="auto"/>
            <w:noWrap/>
            <w:vAlign w:val="bottom"/>
            <w:hideMark/>
          </w:tcPr>
          <w:p w14:paraId="1985CB4B"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bottom"/>
            <w:hideMark/>
          </w:tcPr>
          <w:p w14:paraId="3CD4C97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86" w:type="dxa"/>
            <w:tcBorders>
              <w:top w:val="nil"/>
              <w:left w:val="nil"/>
              <w:bottom w:val="nil"/>
              <w:right w:val="nil"/>
            </w:tcBorders>
            <w:shd w:val="clear" w:color="auto" w:fill="auto"/>
            <w:noWrap/>
            <w:vAlign w:val="bottom"/>
            <w:hideMark/>
          </w:tcPr>
          <w:p w14:paraId="4A42F164"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129" w:type="dxa"/>
            <w:tcBorders>
              <w:top w:val="nil"/>
              <w:left w:val="nil"/>
              <w:bottom w:val="nil"/>
              <w:right w:val="nil"/>
            </w:tcBorders>
            <w:shd w:val="clear" w:color="auto" w:fill="auto"/>
            <w:noWrap/>
            <w:vAlign w:val="bottom"/>
            <w:hideMark/>
          </w:tcPr>
          <w:p w14:paraId="0533648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bottom"/>
            <w:hideMark/>
          </w:tcPr>
          <w:p w14:paraId="1FA3F7F8"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706C9AA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11766718"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065DB69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7" w:type="dxa"/>
            <w:gridSpan w:val="2"/>
            <w:tcBorders>
              <w:top w:val="nil"/>
              <w:left w:val="nil"/>
              <w:bottom w:val="nil"/>
              <w:right w:val="nil"/>
            </w:tcBorders>
            <w:shd w:val="clear" w:color="auto" w:fill="auto"/>
            <w:noWrap/>
            <w:vAlign w:val="bottom"/>
            <w:hideMark/>
          </w:tcPr>
          <w:p w14:paraId="5432CBD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44" w:type="dxa"/>
            <w:gridSpan w:val="2"/>
            <w:tcBorders>
              <w:top w:val="nil"/>
              <w:left w:val="nil"/>
              <w:bottom w:val="nil"/>
              <w:right w:val="nil"/>
            </w:tcBorders>
            <w:shd w:val="clear" w:color="auto" w:fill="auto"/>
            <w:noWrap/>
            <w:vAlign w:val="bottom"/>
            <w:hideMark/>
          </w:tcPr>
          <w:p w14:paraId="3BC3FE02"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C7456C" w14:paraId="0CEE65AF" w14:textId="77777777" w:rsidTr="005C437E">
        <w:trPr>
          <w:trHeight w:val="19"/>
        </w:trPr>
        <w:tc>
          <w:tcPr>
            <w:tcW w:w="2835" w:type="dxa"/>
            <w:tcBorders>
              <w:top w:val="nil"/>
              <w:left w:val="nil"/>
              <w:bottom w:val="nil"/>
              <w:right w:val="nil"/>
            </w:tcBorders>
            <w:shd w:val="clear" w:color="auto" w:fill="auto"/>
            <w:noWrap/>
            <w:vAlign w:val="bottom"/>
            <w:hideMark/>
          </w:tcPr>
          <w:p w14:paraId="01C54192"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rPr>
            </w:pPr>
            <w:r w:rsidRPr="00703BDF">
              <w:rPr>
                <w:rFonts w:cstheme="minorHAnsi"/>
                <w:sz w:val="18"/>
                <w:szCs w:val="18"/>
              </w:rPr>
              <w:t xml:space="preserve">3 - </w:t>
            </w:r>
            <w:r w:rsidRPr="00703BDF">
              <w:rPr>
                <w:rFonts w:cstheme="minorHAnsi"/>
                <w:sz w:val="18"/>
                <w:szCs w:val="18"/>
              </w:rPr>
              <w:t>公务差旅</w:t>
            </w:r>
          </w:p>
        </w:tc>
        <w:tc>
          <w:tcPr>
            <w:tcW w:w="823" w:type="dxa"/>
            <w:tcBorders>
              <w:top w:val="nil"/>
              <w:left w:val="single" w:sz="4" w:space="0" w:color="0070C0"/>
              <w:bottom w:val="nil"/>
              <w:right w:val="nil"/>
            </w:tcBorders>
            <w:shd w:val="clear" w:color="auto" w:fill="auto"/>
            <w:noWrap/>
            <w:vAlign w:val="bottom"/>
            <w:hideMark/>
          </w:tcPr>
          <w:p w14:paraId="07712F0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123</w:t>
            </w:r>
          </w:p>
        </w:tc>
        <w:tc>
          <w:tcPr>
            <w:tcW w:w="973" w:type="dxa"/>
            <w:tcBorders>
              <w:top w:val="nil"/>
              <w:left w:val="nil"/>
              <w:bottom w:val="nil"/>
              <w:right w:val="nil"/>
            </w:tcBorders>
            <w:shd w:val="clear" w:color="auto" w:fill="auto"/>
            <w:noWrap/>
            <w:vAlign w:val="bottom"/>
            <w:hideMark/>
          </w:tcPr>
          <w:p w14:paraId="1C268AE6"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62" w:type="dxa"/>
            <w:tcBorders>
              <w:top w:val="nil"/>
              <w:left w:val="nil"/>
              <w:bottom w:val="nil"/>
              <w:right w:val="nil"/>
            </w:tcBorders>
            <w:shd w:val="clear" w:color="auto" w:fill="auto"/>
            <w:noWrap/>
            <w:vAlign w:val="bottom"/>
            <w:hideMark/>
          </w:tcPr>
          <w:p w14:paraId="0DAB521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291</w:t>
            </w:r>
          </w:p>
        </w:tc>
        <w:tc>
          <w:tcPr>
            <w:tcW w:w="1008" w:type="dxa"/>
            <w:tcBorders>
              <w:top w:val="nil"/>
              <w:left w:val="nil"/>
              <w:bottom w:val="nil"/>
              <w:right w:val="nil"/>
            </w:tcBorders>
            <w:shd w:val="clear" w:color="auto" w:fill="auto"/>
            <w:noWrap/>
            <w:vAlign w:val="bottom"/>
            <w:hideMark/>
          </w:tcPr>
          <w:p w14:paraId="007A18D0"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786" w:type="dxa"/>
            <w:tcBorders>
              <w:top w:val="nil"/>
              <w:left w:val="nil"/>
              <w:bottom w:val="nil"/>
              <w:right w:val="nil"/>
            </w:tcBorders>
            <w:shd w:val="clear" w:color="auto" w:fill="auto"/>
            <w:noWrap/>
            <w:vAlign w:val="bottom"/>
            <w:hideMark/>
          </w:tcPr>
          <w:p w14:paraId="67169F77"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129" w:type="dxa"/>
            <w:tcBorders>
              <w:top w:val="nil"/>
              <w:left w:val="nil"/>
              <w:bottom w:val="nil"/>
              <w:right w:val="nil"/>
            </w:tcBorders>
            <w:shd w:val="clear" w:color="auto" w:fill="auto"/>
            <w:noWrap/>
            <w:vAlign w:val="bottom"/>
            <w:hideMark/>
          </w:tcPr>
          <w:p w14:paraId="69F08DC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282</w:t>
            </w:r>
          </w:p>
        </w:tc>
        <w:tc>
          <w:tcPr>
            <w:tcW w:w="1008" w:type="dxa"/>
            <w:tcBorders>
              <w:top w:val="nil"/>
              <w:left w:val="nil"/>
              <w:bottom w:val="nil"/>
              <w:right w:val="nil"/>
            </w:tcBorders>
            <w:shd w:val="clear" w:color="auto" w:fill="auto"/>
            <w:noWrap/>
            <w:vAlign w:val="bottom"/>
            <w:hideMark/>
          </w:tcPr>
          <w:p w14:paraId="4C7B19ED"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150</w:t>
            </w:r>
          </w:p>
        </w:tc>
        <w:tc>
          <w:tcPr>
            <w:tcW w:w="973" w:type="dxa"/>
            <w:tcBorders>
              <w:top w:val="nil"/>
              <w:left w:val="nil"/>
              <w:bottom w:val="nil"/>
              <w:right w:val="nil"/>
            </w:tcBorders>
            <w:shd w:val="clear" w:color="auto" w:fill="auto"/>
            <w:noWrap/>
            <w:vAlign w:val="bottom"/>
            <w:hideMark/>
          </w:tcPr>
          <w:p w14:paraId="299E79C2"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35</w:t>
            </w:r>
          </w:p>
        </w:tc>
        <w:tc>
          <w:tcPr>
            <w:tcW w:w="973" w:type="dxa"/>
            <w:tcBorders>
              <w:top w:val="nil"/>
              <w:left w:val="nil"/>
              <w:bottom w:val="nil"/>
              <w:right w:val="nil"/>
            </w:tcBorders>
            <w:shd w:val="clear" w:color="auto" w:fill="auto"/>
            <w:noWrap/>
            <w:vAlign w:val="bottom"/>
            <w:hideMark/>
          </w:tcPr>
          <w:p w14:paraId="3FB1C717"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64</w:t>
            </w:r>
          </w:p>
        </w:tc>
        <w:tc>
          <w:tcPr>
            <w:tcW w:w="973" w:type="dxa"/>
            <w:tcBorders>
              <w:top w:val="nil"/>
              <w:left w:val="nil"/>
              <w:bottom w:val="nil"/>
              <w:right w:val="nil"/>
            </w:tcBorders>
            <w:shd w:val="clear" w:color="auto" w:fill="auto"/>
            <w:noWrap/>
            <w:vAlign w:val="bottom"/>
            <w:hideMark/>
          </w:tcPr>
          <w:p w14:paraId="222F9F5D"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130</w:t>
            </w:r>
          </w:p>
        </w:tc>
        <w:tc>
          <w:tcPr>
            <w:tcW w:w="957" w:type="dxa"/>
            <w:gridSpan w:val="2"/>
            <w:tcBorders>
              <w:top w:val="nil"/>
              <w:left w:val="nil"/>
              <w:bottom w:val="nil"/>
              <w:right w:val="nil"/>
            </w:tcBorders>
            <w:shd w:val="clear" w:color="auto" w:fill="auto"/>
            <w:noWrap/>
            <w:vAlign w:val="bottom"/>
            <w:hideMark/>
          </w:tcPr>
          <w:p w14:paraId="18017CBE"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48</w:t>
            </w:r>
          </w:p>
        </w:tc>
        <w:tc>
          <w:tcPr>
            <w:tcW w:w="1044" w:type="dxa"/>
            <w:gridSpan w:val="2"/>
            <w:tcBorders>
              <w:top w:val="nil"/>
              <w:left w:val="nil"/>
              <w:bottom w:val="nil"/>
              <w:right w:val="nil"/>
            </w:tcBorders>
            <w:shd w:val="clear" w:color="auto" w:fill="auto"/>
            <w:noWrap/>
            <w:vAlign w:val="bottom"/>
            <w:hideMark/>
          </w:tcPr>
          <w:p w14:paraId="0C1B4338"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703BDF">
              <w:rPr>
                <w:rFonts w:eastAsia="Times New Roman" w:cs="Calibri"/>
                <w:color w:val="002060"/>
                <w:sz w:val="18"/>
                <w:szCs w:val="18"/>
              </w:rPr>
              <w:t>1,123</w:t>
            </w:r>
          </w:p>
        </w:tc>
      </w:tr>
      <w:tr w:rsidR="005C437E" w:rsidRPr="00C7456C" w14:paraId="7C4B13D1" w14:textId="77777777" w:rsidTr="005C437E">
        <w:trPr>
          <w:trHeight w:val="19"/>
        </w:trPr>
        <w:tc>
          <w:tcPr>
            <w:tcW w:w="2835" w:type="dxa"/>
            <w:tcBorders>
              <w:top w:val="nil"/>
              <w:left w:val="nil"/>
              <w:bottom w:val="nil"/>
              <w:right w:val="nil"/>
            </w:tcBorders>
            <w:shd w:val="clear" w:color="auto" w:fill="auto"/>
            <w:noWrap/>
            <w:vAlign w:val="bottom"/>
            <w:hideMark/>
          </w:tcPr>
          <w:p w14:paraId="30BF8FBD"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szCs w:val="18"/>
              </w:rPr>
            </w:pPr>
          </w:p>
        </w:tc>
        <w:tc>
          <w:tcPr>
            <w:tcW w:w="823" w:type="dxa"/>
            <w:tcBorders>
              <w:top w:val="nil"/>
              <w:left w:val="single" w:sz="4" w:space="0" w:color="0070C0"/>
              <w:bottom w:val="nil"/>
              <w:right w:val="nil"/>
            </w:tcBorders>
            <w:shd w:val="clear" w:color="auto" w:fill="auto"/>
            <w:noWrap/>
            <w:vAlign w:val="bottom"/>
            <w:hideMark/>
          </w:tcPr>
          <w:p w14:paraId="3FFA231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 </w:t>
            </w:r>
          </w:p>
        </w:tc>
        <w:tc>
          <w:tcPr>
            <w:tcW w:w="973" w:type="dxa"/>
            <w:tcBorders>
              <w:top w:val="nil"/>
              <w:left w:val="nil"/>
              <w:bottom w:val="nil"/>
              <w:right w:val="nil"/>
            </w:tcBorders>
            <w:shd w:val="clear" w:color="auto" w:fill="auto"/>
            <w:noWrap/>
            <w:vAlign w:val="bottom"/>
            <w:hideMark/>
          </w:tcPr>
          <w:p w14:paraId="7A213CF6"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62" w:type="dxa"/>
            <w:tcBorders>
              <w:top w:val="nil"/>
              <w:left w:val="nil"/>
              <w:bottom w:val="nil"/>
              <w:right w:val="nil"/>
            </w:tcBorders>
            <w:shd w:val="clear" w:color="auto" w:fill="auto"/>
            <w:noWrap/>
            <w:vAlign w:val="bottom"/>
            <w:hideMark/>
          </w:tcPr>
          <w:p w14:paraId="682CA320"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bottom"/>
            <w:hideMark/>
          </w:tcPr>
          <w:p w14:paraId="137AE2E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86" w:type="dxa"/>
            <w:tcBorders>
              <w:top w:val="nil"/>
              <w:left w:val="nil"/>
              <w:bottom w:val="nil"/>
              <w:right w:val="nil"/>
            </w:tcBorders>
            <w:shd w:val="clear" w:color="auto" w:fill="auto"/>
            <w:noWrap/>
            <w:vAlign w:val="bottom"/>
            <w:hideMark/>
          </w:tcPr>
          <w:p w14:paraId="6C5FC7C7"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129" w:type="dxa"/>
            <w:tcBorders>
              <w:top w:val="nil"/>
              <w:left w:val="nil"/>
              <w:bottom w:val="nil"/>
              <w:right w:val="nil"/>
            </w:tcBorders>
            <w:shd w:val="clear" w:color="auto" w:fill="auto"/>
            <w:noWrap/>
            <w:vAlign w:val="bottom"/>
            <w:hideMark/>
          </w:tcPr>
          <w:p w14:paraId="318013E8"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bottom"/>
            <w:hideMark/>
          </w:tcPr>
          <w:p w14:paraId="1988737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22C1667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70845704"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200B1D5B"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7" w:type="dxa"/>
            <w:gridSpan w:val="2"/>
            <w:tcBorders>
              <w:top w:val="nil"/>
              <w:left w:val="nil"/>
              <w:bottom w:val="nil"/>
              <w:right w:val="nil"/>
            </w:tcBorders>
            <w:shd w:val="clear" w:color="auto" w:fill="auto"/>
            <w:noWrap/>
            <w:vAlign w:val="bottom"/>
            <w:hideMark/>
          </w:tcPr>
          <w:p w14:paraId="6571EAE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44" w:type="dxa"/>
            <w:gridSpan w:val="2"/>
            <w:tcBorders>
              <w:top w:val="nil"/>
              <w:left w:val="nil"/>
              <w:bottom w:val="nil"/>
              <w:right w:val="nil"/>
            </w:tcBorders>
            <w:shd w:val="clear" w:color="auto" w:fill="auto"/>
            <w:noWrap/>
            <w:vAlign w:val="bottom"/>
            <w:hideMark/>
          </w:tcPr>
          <w:p w14:paraId="5E4E48C8"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C7456C" w14:paraId="570C1A9D" w14:textId="77777777" w:rsidTr="005C437E">
        <w:trPr>
          <w:trHeight w:val="19"/>
        </w:trPr>
        <w:tc>
          <w:tcPr>
            <w:tcW w:w="2835" w:type="dxa"/>
            <w:tcBorders>
              <w:top w:val="nil"/>
              <w:left w:val="nil"/>
              <w:bottom w:val="nil"/>
              <w:right w:val="nil"/>
            </w:tcBorders>
            <w:shd w:val="clear" w:color="auto" w:fill="auto"/>
            <w:noWrap/>
            <w:vAlign w:val="bottom"/>
            <w:hideMark/>
          </w:tcPr>
          <w:p w14:paraId="67444018"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rPr>
            </w:pPr>
            <w:r w:rsidRPr="00703BDF">
              <w:rPr>
                <w:rFonts w:cstheme="minorHAnsi"/>
                <w:sz w:val="18"/>
                <w:szCs w:val="18"/>
              </w:rPr>
              <w:t xml:space="preserve">4 - </w:t>
            </w:r>
            <w:r w:rsidRPr="00703BDF">
              <w:rPr>
                <w:rFonts w:cstheme="minorHAnsi"/>
                <w:sz w:val="18"/>
                <w:szCs w:val="18"/>
              </w:rPr>
              <w:t>合同服务</w:t>
            </w:r>
          </w:p>
        </w:tc>
        <w:tc>
          <w:tcPr>
            <w:tcW w:w="823" w:type="dxa"/>
            <w:tcBorders>
              <w:top w:val="nil"/>
              <w:left w:val="single" w:sz="4" w:space="0" w:color="0070C0"/>
              <w:bottom w:val="nil"/>
              <w:right w:val="nil"/>
            </w:tcBorders>
            <w:shd w:val="clear" w:color="auto" w:fill="auto"/>
            <w:noWrap/>
            <w:vAlign w:val="bottom"/>
            <w:hideMark/>
          </w:tcPr>
          <w:p w14:paraId="405BCCA2"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147</w:t>
            </w:r>
          </w:p>
        </w:tc>
        <w:tc>
          <w:tcPr>
            <w:tcW w:w="973" w:type="dxa"/>
            <w:tcBorders>
              <w:top w:val="nil"/>
              <w:left w:val="nil"/>
              <w:bottom w:val="nil"/>
              <w:right w:val="nil"/>
            </w:tcBorders>
            <w:shd w:val="clear" w:color="auto" w:fill="auto"/>
            <w:noWrap/>
            <w:vAlign w:val="bottom"/>
            <w:hideMark/>
          </w:tcPr>
          <w:p w14:paraId="1CC63C9E"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50</w:t>
            </w:r>
          </w:p>
        </w:tc>
        <w:tc>
          <w:tcPr>
            <w:tcW w:w="962" w:type="dxa"/>
            <w:tcBorders>
              <w:top w:val="nil"/>
              <w:left w:val="nil"/>
              <w:bottom w:val="nil"/>
              <w:right w:val="nil"/>
            </w:tcBorders>
            <w:shd w:val="clear" w:color="auto" w:fill="auto"/>
            <w:noWrap/>
            <w:vAlign w:val="bottom"/>
            <w:hideMark/>
          </w:tcPr>
          <w:p w14:paraId="7C10441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24</w:t>
            </w:r>
          </w:p>
        </w:tc>
        <w:tc>
          <w:tcPr>
            <w:tcW w:w="1008" w:type="dxa"/>
            <w:tcBorders>
              <w:top w:val="nil"/>
              <w:left w:val="nil"/>
              <w:bottom w:val="nil"/>
              <w:right w:val="nil"/>
            </w:tcBorders>
            <w:shd w:val="clear" w:color="auto" w:fill="auto"/>
            <w:noWrap/>
            <w:vAlign w:val="bottom"/>
            <w:hideMark/>
          </w:tcPr>
          <w:p w14:paraId="171176F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525</w:t>
            </w:r>
          </w:p>
        </w:tc>
        <w:tc>
          <w:tcPr>
            <w:tcW w:w="786" w:type="dxa"/>
            <w:tcBorders>
              <w:top w:val="nil"/>
              <w:left w:val="nil"/>
              <w:bottom w:val="nil"/>
              <w:right w:val="nil"/>
            </w:tcBorders>
            <w:shd w:val="clear" w:color="auto" w:fill="auto"/>
            <w:noWrap/>
            <w:vAlign w:val="bottom"/>
            <w:hideMark/>
          </w:tcPr>
          <w:p w14:paraId="140D62DB"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850</w:t>
            </w:r>
          </w:p>
        </w:tc>
        <w:tc>
          <w:tcPr>
            <w:tcW w:w="1129" w:type="dxa"/>
            <w:tcBorders>
              <w:top w:val="nil"/>
              <w:left w:val="nil"/>
              <w:bottom w:val="nil"/>
              <w:right w:val="nil"/>
            </w:tcBorders>
            <w:shd w:val="clear" w:color="auto" w:fill="auto"/>
            <w:noWrap/>
            <w:vAlign w:val="bottom"/>
            <w:hideMark/>
          </w:tcPr>
          <w:p w14:paraId="60963AD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250</w:t>
            </w:r>
          </w:p>
        </w:tc>
        <w:tc>
          <w:tcPr>
            <w:tcW w:w="1008" w:type="dxa"/>
            <w:tcBorders>
              <w:top w:val="nil"/>
              <w:left w:val="nil"/>
              <w:bottom w:val="nil"/>
              <w:right w:val="nil"/>
            </w:tcBorders>
            <w:shd w:val="clear" w:color="auto" w:fill="auto"/>
            <w:noWrap/>
            <w:vAlign w:val="bottom"/>
            <w:hideMark/>
          </w:tcPr>
          <w:p w14:paraId="7E5BDDF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109</w:t>
            </w:r>
          </w:p>
        </w:tc>
        <w:tc>
          <w:tcPr>
            <w:tcW w:w="973" w:type="dxa"/>
            <w:tcBorders>
              <w:top w:val="nil"/>
              <w:left w:val="nil"/>
              <w:bottom w:val="nil"/>
              <w:right w:val="nil"/>
            </w:tcBorders>
            <w:shd w:val="clear" w:color="auto" w:fill="auto"/>
            <w:noWrap/>
            <w:vAlign w:val="bottom"/>
            <w:hideMark/>
          </w:tcPr>
          <w:p w14:paraId="255F056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862</w:t>
            </w:r>
          </w:p>
        </w:tc>
        <w:tc>
          <w:tcPr>
            <w:tcW w:w="973" w:type="dxa"/>
            <w:tcBorders>
              <w:top w:val="nil"/>
              <w:left w:val="nil"/>
              <w:bottom w:val="nil"/>
              <w:right w:val="nil"/>
            </w:tcBorders>
            <w:shd w:val="clear" w:color="auto" w:fill="auto"/>
            <w:noWrap/>
            <w:vAlign w:val="bottom"/>
            <w:hideMark/>
          </w:tcPr>
          <w:p w14:paraId="495E1A0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435</w:t>
            </w:r>
          </w:p>
        </w:tc>
        <w:tc>
          <w:tcPr>
            <w:tcW w:w="973" w:type="dxa"/>
            <w:tcBorders>
              <w:top w:val="nil"/>
              <w:left w:val="nil"/>
              <w:bottom w:val="nil"/>
              <w:right w:val="nil"/>
            </w:tcBorders>
            <w:shd w:val="clear" w:color="auto" w:fill="auto"/>
            <w:noWrap/>
            <w:vAlign w:val="bottom"/>
            <w:hideMark/>
          </w:tcPr>
          <w:p w14:paraId="3A1861F2"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63</w:t>
            </w:r>
          </w:p>
        </w:tc>
        <w:tc>
          <w:tcPr>
            <w:tcW w:w="957" w:type="dxa"/>
            <w:gridSpan w:val="2"/>
            <w:tcBorders>
              <w:top w:val="nil"/>
              <w:left w:val="nil"/>
              <w:bottom w:val="nil"/>
              <w:right w:val="nil"/>
            </w:tcBorders>
            <w:shd w:val="clear" w:color="auto" w:fill="auto"/>
            <w:noWrap/>
            <w:vAlign w:val="bottom"/>
            <w:hideMark/>
          </w:tcPr>
          <w:p w14:paraId="547242A0"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3,551</w:t>
            </w:r>
          </w:p>
        </w:tc>
        <w:tc>
          <w:tcPr>
            <w:tcW w:w="1044" w:type="dxa"/>
            <w:gridSpan w:val="2"/>
            <w:tcBorders>
              <w:top w:val="nil"/>
              <w:left w:val="nil"/>
              <w:bottom w:val="nil"/>
              <w:right w:val="nil"/>
            </w:tcBorders>
            <w:shd w:val="clear" w:color="auto" w:fill="auto"/>
            <w:noWrap/>
            <w:vAlign w:val="bottom"/>
            <w:hideMark/>
          </w:tcPr>
          <w:p w14:paraId="3E72D96E"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703BDF">
              <w:rPr>
                <w:rFonts w:eastAsia="Times New Roman" w:cs="Calibri"/>
                <w:color w:val="002060"/>
                <w:sz w:val="18"/>
                <w:szCs w:val="18"/>
              </w:rPr>
              <w:t>6,866</w:t>
            </w:r>
          </w:p>
        </w:tc>
      </w:tr>
      <w:tr w:rsidR="005C437E" w:rsidRPr="00C7456C" w14:paraId="34D2FF22" w14:textId="77777777" w:rsidTr="005C437E">
        <w:trPr>
          <w:trHeight w:val="19"/>
        </w:trPr>
        <w:tc>
          <w:tcPr>
            <w:tcW w:w="2835" w:type="dxa"/>
            <w:tcBorders>
              <w:top w:val="nil"/>
              <w:left w:val="nil"/>
              <w:bottom w:val="nil"/>
              <w:right w:val="nil"/>
            </w:tcBorders>
            <w:shd w:val="clear" w:color="auto" w:fill="auto"/>
            <w:noWrap/>
            <w:vAlign w:val="bottom"/>
            <w:hideMark/>
          </w:tcPr>
          <w:p w14:paraId="0665E81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szCs w:val="18"/>
              </w:rPr>
            </w:pPr>
          </w:p>
        </w:tc>
        <w:tc>
          <w:tcPr>
            <w:tcW w:w="823" w:type="dxa"/>
            <w:tcBorders>
              <w:top w:val="nil"/>
              <w:left w:val="single" w:sz="4" w:space="0" w:color="0070C0"/>
              <w:bottom w:val="nil"/>
              <w:right w:val="nil"/>
            </w:tcBorders>
            <w:shd w:val="clear" w:color="auto" w:fill="auto"/>
            <w:noWrap/>
            <w:vAlign w:val="bottom"/>
            <w:hideMark/>
          </w:tcPr>
          <w:p w14:paraId="0E85287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 </w:t>
            </w:r>
          </w:p>
        </w:tc>
        <w:tc>
          <w:tcPr>
            <w:tcW w:w="973" w:type="dxa"/>
            <w:tcBorders>
              <w:top w:val="nil"/>
              <w:left w:val="nil"/>
              <w:bottom w:val="nil"/>
              <w:right w:val="nil"/>
            </w:tcBorders>
            <w:shd w:val="clear" w:color="auto" w:fill="auto"/>
            <w:noWrap/>
            <w:vAlign w:val="bottom"/>
            <w:hideMark/>
          </w:tcPr>
          <w:p w14:paraId="256D8DC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62" w:type="dxa"/>
            <w:tcBorders>
              <w:top w:val="nil"/>
              <w:left w:val="nil"/>
              <w:bottom w:val="nil"/>
              <w:right w:val="nil"/>
            </w:tcBorders>
            <w:shd w:val="clear" w:color="auto" w:fill="auto"/>
            <w:noWrap/>
            <w:vAlign w:val="bottom"/>
            <w:hideMark/>
          </w:tcPr>
          <w:p w14:paraId="76E6035B"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bottom"/>
            <w:hideMark/>
          </w:tcPr>
          <w:p w14:paraId="711BACF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86" w:type="dxa"/>
            <w:tcBorders>
              <w:top w:val="nil"/>
              <w:left w:val="nil"/>
              <w:bottom w:val="nil"/>
              <w:right w:val="nil"/>
            </w:tcBorders>
            <w:shd w:val="clear" w:color="auto" w:fill="auto"/>
            <w:noWrap/>
            <w:vAlign w:val="bottom"/>
            <w:hideMark/>
          </w:tcPr>
          <w:p w14:paraId="4DC8A50D"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129" w:type="dxa"/>
            <w:tcBorders>
              <w:top w:val="nil"/>
              <w:left w:val="nil"/>
              <w:bottom w:val="nil"/>
              <w:right w:val="nil"/>
            </w:tcBorders>
            <w:shd w:val="clear" w:color="auto" w:fill="auto"/>
            <w:noWrap/>
            <w:vAlign w:val="bottom"/>
            <w:hideMark/>
          </w:tcPr>
          <w:p w14:paraId="2570CBA6"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bottom"/>
            <w:hideMark/>
          </w:tcPr>
          <w:p w14:paraId="734176AB"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31727662"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0F34559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65C50A80"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7" w:type="dxa"/>
            <w:gridSpan w:val="2"/>
            <w:tcBorders>
              <w:top w:val="nil"/>
              <w:left w:val="nil"/>
              <w:bottom w:val="nil"/>
              <w:right w:val="nil"/>
            </w:tcBorders>
            <w:shd w:val="clear" w:color="auto" w:fill="auto"/>
            <w:noWrap/>
            <w:vAlign w:val="bottom"/>
            <w:hideMark/>
          </w:tcPr>
          <w:p w14:paraId="5330BF9E"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44" w:type="dxa"/>
            <w:gridSpan w:val="2"/>
            <w:tcBorders>
              <w:top w:val="nil"/>
              <w:left w:val="nil"/>
              <w:bottom w:val="nil"/>
              <w:right w:val="nil"/>
            </w:tcBorders>
            <w:shd w:val="clear" w:color="auto" w:fill="auto"/>
            <w:noWrap/>
            <w:vAlign w:val="bottom"/>
            <w:hideMark/>
          </w:tcPr>
          <w:p w14:paraId="1033F88D"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C7456C" w14:paraId="16DE4397" w14:textId="77777777" w:rsidTr="005C437E">
        <w:trPr>
          <w:trHeight w:val="19"/>
        </w:trPr>
        <w:tc>
          <w:tcPr>
            <w:tcW w:w="2835" w:type="dxa"/>
            <w:tcBorders>
              <w:top w:val="nil"/>
              <w:left w:val="nil"/>
              <w:bottom w:val="nil"/>
              <w:right w:val="nil"/>
            </w:tcBorders>
            <w:shd w:val="clear" w:color="auto" w:fill="auto"/>
            <w:vAlign w:val="bottom"/>
            <w:hideMark/>
          </w:tcPr>
          <w:p w14:paraId="1D9280E3"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lang w:eastAsia="zh-CN"/>
              </w:rPr>
            </w:pPr>
            <w:r w:rsidRPr="00703BDF">
              <w:rPr>
                <w:rFonts w:cstheme="minorHAnsi"/>
                <w:sz w:val="18"/>
                <w:szCs w:val="18"/>
                <w:lang w:eastAsia="zh-CN"/>
              </w:rPr>
              <w:t xml:space="preserve">5 - </w:t>
            </w:r>
            <w:r w:rsidRPr="00703BDF">
              <w:rPr>
                <w:rFonts w:cstheme="minorHAnsi"/>
                <w:sz w:val="18"/>
                <w:szCs w:val="18"/>
                <w:lang w:eastAsia="zh-CN"/>
              </w:rPr>
              <w:t>房屋设施和设备的租用与维护</w:t>
            </w:r>
          </w:p>
        </w:tc>
        <w:tc>
          <w:tcPr>
            <w:tcW w:w="823" w:type="dxa"/>
            <w:tcBorders>
              <w:top w:val="nil"/>
              <w:left w:val="single" w:sz="4" w:space="0" w:color="0070C0"/>
              <w:bottom w:val="nil"/>
              <w:right w:val="nil"/>
            </w:tcBorders>
            <w:shd w:val="clear" w:color="auto" w:fill="auto"/>
            <w:noWrap/>
            <w:vAlign w:val="bottom"/>
            <w:hideMark/>
          </w:tcPr>
          <w:p w14:paraId="18674D86"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lang w:eastAsia="zh-CN"/>
              </w:rPr>
            </w:pPr>
            <w:r w:rsidRPr="00703BDF">
              <w:rPr>
                <w:rFonts w:eastAsia="Times New Roman" w:cs="Calibri"/>
                <w:sz w:val="18"/>
                <w:szCs w:val="18"/>
                <w:lang w:eastAsia="zh-CN"/>
              </w:rPr>
              <w:t> </w:t>
            </w:r>
          </w:p>
        </w:tc>
        <w:tc>
          <w:tcPr>
            <w:tcW w:w="973" w:type="dxa"/>
            <w:tcBorders>
              <w:top w:val="nil"/>
              <w:left w:val="nil"/>
              <w:bottom w:val="nil"/>
              <w:right w:val="nil"/>
            </w:tcBorders>
            <w:shd w:val="clear" w:color="auto" w:fill="auto"/>
            <w:noWrap/>
            <w:vAlign w:val="bottom"/>
            <w:hideMark/>
          </w:tcPr>
          <w:p w14:paraId="4E15C4F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lang w:eastAsia="zh-CN"/>
              </w:rPr>
            </w:pPr>
          </w:p>
        </w:tc>
        <w:tc>
          <w:tcPr>
            <w:tcW w:w="962" w:type="dxa"/>
            <w:tcBorders>
              <w:top w:val="nil"/>
              <w:left w:val="nil"/>
              <w:bottom w:val="nil"/>
              <w:right w:val="nil"/>
            </w:tcBorders>
            <w:shd w:val="clear" w:color="auto" w:fill="auto"/>
            <w:noWrap/>
            <w:vAlign w:val="bottom"/>
            <w:hideMark/>
          </w:tcPr>
          <w:p w14:paraId="3432869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lang w:eastAsia="zh-CN"/>
              </w:rPr>
            </w:pPr>
          </w:p>
        </w:tc>
        <w:tc>
          <w:tcPr>
            <w:tcW w:w="1008" w:type="dxa"/>
            <w:tcBorders>
              <w:top w:val="nil"/>
              <w:left w:val="nil"/>
              <w:bottom w:val="nil"/>
              <w:right w:val="nil"/>
            </w:tcBorders>
            <w:shd w:val="clear" w:color="auto" w:fill="auto"/>
            <w:noWrap/>
            <w:vAlign w:val="bottom"/>
            <w:hideMark/>
          </w:tcPr>
          <w:p w14:paraId="1162D5B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lang w:eastAsia="zh-CN"/>
              </w:rPr>
            </w:pPr>
          </w:p>
        </w:tc>
        <w:tc>
          <w:tcPr>
            <w:tcW w:w="786" w:type="dxa"/>
            <w:tcBorders>
              <w:top w:val="nil"/>
              <w:left w:val="nil"/>
              <w:bottom w:val="nil"/>
              <w:right w:val="nil"/>
            </w:tcBorders>
            <w:shd w:val="clear" w:color="auto" w:fill="auto"/>
            <w:noWrap/>
            <w:vAlign w:val="bottom"/>
            <w:hideMark/>
          </w:tcPr>
          <w:p w14:paraId="17AD3BB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100</w:t>
            </w:r>
          </w:p>
        </w:tc>
        <w:tc>
          <w:tcPr>
            <w:tcW w:w="1129" w:type="dxa"/>
            <w:tcBorders>
              <w:top w:val="nil"/>
              <w:left w:val="nil"/>
              <w:bottom w:val="nil"/>
              <w:right w:val="nil"/>
            </w:tcBorders>
            <w:shd w:val="clear" w:color="auto" w:fill="auto"/>
            <w:noWrap/>
            <w:vAlign w:val="bottom"/>
            <w:hideMark/>
          </w:tcPr>
          <w:p w14:paraId="6BD9002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2,071</w:t>
            </w:r>
          </w:p>
        </w:tc>
        <w:tc>
          <w:tcPr>
            <w:tcW w:w="1008" w:type="dxa"/>
            <w:tcBorders>
              <w:top w:val="nil"/>
              <w:left w:val="nil"/>
              <w:bottom w:val="nil"/>
              <w:right w:val="nil"/>
            </w:tcBorders>
            <w:shd w:val="clear" w:color="auto" w:fill="auto"/>
            <w:noWrap/>
            <w:vAlign w:val="bottom"/>
            <w:hideMark/>
          </w:tcPr>
          <w:p w14:paraId="7EE87B4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10</w:t>
            </w:r>
          </w:p>
        </w:tc>
        <w:tc>
          <w:tcPr>
            <w:tcW w:w="973" w:type="dxa"/>
            <w:tcBorders>
              <w:top w:val="nil"/>
              <w:left w:val="nil"/>
              <w:bottom w:val="nil"/>
              <w:right w:val="nil"/>
            </w:tcBorders>
            <w:shd w:val="clear" w:color="auto" w:fill="auto"/>
            <w:noWrap/>
            <w:vAlign w:val="bottom"/>
            <w:hideMark/>
          </w:tcPr>
          <w:p w14:paraId="37CDAD1B"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222</w:t>
            </w:r>
          </w:p>
        </w:tc>
        <w:tc>
          <w:tcPr>
            <w:tcW w:w="973" w:type="dxa"/>
            <w:tcBorders>
              <w:top w:val="nil"/>
              <w:left w:val="nil"/>
              <w:bottom w:val="nil"/>
              <w:right w:val="nil"/>
            </w:tcBorders>
            <w:shd w:val="clear" w:color="auto" w:fill="auto"/>
            <w:noWrap/>
            <w:vAlign w:val="bottom"/>
            <w:hideMark/>
          </w:tcPr>
          <w:p w14:paraId="6876B0B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w:t>
            </w:r>
          </w:p>
        </w:tc>
        <w:tc>
          <w:tcPr>
            <w:tcW w:w="973" w:type="dxa"/>
            <w:tcBorders>
              <w:top w:val="nil"/>
              <w:left w:val="nil"/>
              <w:bottom w:val="nil"/>
              <w:right w:val="nil"/>
            </w:tcBorders>
            <w:shd w:val="clear" w:color="auto" w:fill="auto"/>
            <w:noWrap/>
            <w:vAlign w:val="bottom"/>
            <w:hideMark/>
          </w:tcPr>
          <w:p w14:paraId="2C661008"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57" w:type="dxa"/>
            <w:gridSpan w:val="2"/>
            <w:tcBorders>
              <w:top w:val="nil"/>
              <w:left w:val="nil"/>
              <w:bottom w:val="nil"/>
              <w:right w:val="nil"/>
            </w:tcBorders>
            <w:shd w:val="clear" w:color="auto" w:fill="auto"/>
            <w:noWrap/>
            <w:vAlign w:val="bottom"/>
            <w:hideMark/>
          </w:tcPr>
          <w:p w14:paraId="6281DB8B"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2,507</w:t>
            </w:r>
          </w:p>
        </w:tc>
        <w:tc>
          <w:tcPr>
            <w:tcW w:w="1044" w:type="dxa"/>
            <w:gridSpan w:val="2"/>
            <w:tcBorders>
              <w:top w:val="nil"/>
              <w:left w:val="nil"/>
              <w:bottom w:val="nil"/>
              <w:right w:val="nil"/>
            </w:tcBorders>
            <w:shd w:val="clear" w:color="auto" w:fill="auto"/>
            <w:noWrap/>
            <w:vAlign w:val="bottom"/>
            <w:hideMark/>
          </w:tcPr>
          <w:p w14:paraId="2AD05F2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703BDF">
              <w:rPr>
                <w:rFonts w:eastAsia="Times New Roman" w:cs="Calibri"/>
                <w:color w:val="002060"/>
                <w:sz w:val="18"/>
                <w:szCs w:val="18"/>
              </w:rPr>
              <w:t>4,911</w:t>
            </w:r>
          </w:p>
        </w:tc>
      </w:tr>
      <w:tr w:rsidR="005C437E" w:rsidRPr="00C7456C" w14:paraId="7457F28D" w14:textId="77777777" w:rsidTr="005C437E">
        <w:trPr>
          <w:trHeight w:val="19"/>
        </w:trPr>
        <w:tc>
          <w:tcPr>
            <w:tcW w:w="2835" w:type="dxa"/>
            <w:tcBorders>
              <w:top w:val="nil"/>
              <w:left w:val="nil"/>
              <w:bottom w:val="nil"/>
              <w:right w:val="nil"/>
            </w:tcBorders>
            <w:shd w:val="clear" w:color="auto" w:fill="auto"/>
            <w:noWrap/>
            <w:vAlign w:val="bottom"/>
            <w:hideMark/>
          </w:tcPr>
          <w:p w14:paraId="67D3C016"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szCs w:val="18"/>
              </w:rPr>
            </w:pPr>
          </w:p>
        </w:tc>
        <w:tc>
          <w:tcPr>
            <w:tcW w:w="823" w:type="dxa"/>
            <w:tcBorders>
              <w:top w:val="nil"/>
              <w:left w:val="single" w:sz="4" w:space="0" w:color="0070C0"/>
              <w:bottom w:val="nil"/>
              <w:right w:val="nil"/>
            </w:tcBorders>
            <w:shd w:val="clear" w:color="auto" w:fill="auto"/>
            <w:noWrap/>
            <w:vAlign w:val="bottom"/>
            <w:hideMark/>
          </w:tcPr>
          <w:p w14:paraId="417CE9B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 </w:t>
            </w:r>
          </w:p>
        </w:tc>
        <w:tc>
          <w:tcPr>
            <w:tcW w:w="973" w:type="dxa"/>
            <w:tcBorders>
              <w:top w:val="nil"/>
              <w:left w:val="nil"/>
              <w:bottom w:val="nil"/>
              <w:right w:val="nil"/>
            </w:tcBorders>
            <w:shd w:val="clear" w:color="auto" w:fill="auto"/>
            <w:noWrap/>
            <w:vAlign w:val="bottom"/>
            <w:hideMark/>
          </w:tcPr>
          <w:p w14:paraId="701F675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62" w:type="dxa"/>
            <w:tcBorders>
              <w:top w:val="nil"/>
              <w:left w:val="nil"/>
              <w:bottom w:val="nil"/>
              <w:right w:val="nil"/>
            </w:tcBorders>
            <w:shd w:val="clear" w:color="auto" w:fill="auto"/>
            <w:noWrap/>
            <w:vAlign w:val="bottom"/>
            <w:hideMark/>
          </w:tcPr>
          <w:p w14:paraId="7FCBC46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bottom"/>
            <w:hideMark/>
          </w:tcPr>
          <w:p w14:paraId="473B6B6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86" w:type="dxa"/>
            <w:tcBorders>
              <w:top w:val="nil"/>
              <w:left w:val="nil"/>
              <w:bottom w:val="nil"/>
              <w:right w:val="nil"/>
            </w:tcBorders>
            <w:shd w:val="clear" w:color="auto" w:fill="auto"/>
            <w:noWrap/>
            <w:vAlign w:val="bottom"/>
            <w:hideMark/>
          </w:tcPr>
          <w:p w14:paraId="4D9343B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129" w:type="dxa"/>
            <w:tcBorders>
              <w:top w:val="nil"/>
              <w:left w:val="nil"/>
              <w:bottom w:val="nil"/>
              <w:right w:val="nil"/>
            </w:tcBorders>
            <w:shd w:val="clear" w:color="auto" w:fill="auto"/>
            <w:noWrap/>
            <w:vAlign w:val="bottom"/>
            <w:hideMark/>
          </w:tcPr>
          <w:p w14:paraId="259A0818"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bottom"/>
            <w:hideMark/>
          </w:tcPr>
          <w:p w14:paraId="21354C2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14B80A74"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7375CF24"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09989177"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7" w:type="dxa"/>
            <w:gridSpan w:val="2"/>
            <w:tcBorders>
              <w:top w:val="nil"/>
              <w:left w:val="nil"/>
              <w:bottom w:val="nil"/>
              <w:right w:val="nil"/>
            </w:tcBorders>
            <w:shd w:val="clear" w:color="auto" w:fill="auto"/>
            <w:noWrap/>
            <w:vAlign w:val="bottom"/>
            <w:hideMark/>
          </w:tcPr>
          <w:p w14:paraId="3D113F9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44" w:type="dxa"/>
            <w:gridSpan w:val="2"/>
            <w:tcBorders>
              <w:top w:val="nil"/>
              <w:left w:val="nil"/>
              <w:bottom w:val="nil"/>
              <w:right w:val="nil"/>
            </w:tcBorders>
            <w:shd w:val="clear" w:color="auto" w:fill="auto"/>
            <w:noWrap/>
            <w:vAlign w:val="bottom"/>
            <w:hideMark/>
          </w:tcPr>
          <w:p w14:paraId="59C1A15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C7456C" w14:paraId="5EF68B68" w14:textId="77777777" w:rsidTr="005C437E">
        <w:trPr>
          <w:trHeight w:val="19"/>
        </w:trPr>
        <w:tc>
          <w:tcPr>
            <w:tcW w:w="2835" w:type="dxa"/>
            <w:tcBorders>
              <w:top w:val="nil"/>
              <w:left w:val="nil"/>
              <w:bottom w:val="nil"/>
              <w:right w:val="nil"/>
            </w:tcBorders>
            <w:shd w:val="clear" w:color="auto" w:fill="auto"/>
            <w:noWrap/>
            <w:vAlign w:val="bottom"/>
            <w:hideMark/>
          </w:tcPr>
          <w:p w14:paraId="6D010AE6"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rPr>
            </w:pPr>
            <w:r w:rsidRPr="00703BDF">
              <w:rPr>
                <w:rFonts w:cstheme="minorHAnsi"/>
                <w:sz w:val="18"/>
                <w:szCs w:val="18"/>
              </w:rPr>
              <w:t xml:space="preserve">6 - </w:t>
            </w:r>
            <w:r w:rsidRPr="00703BDF">
              <w:rPr>
                <w:rFonts w:cstheme="minorHAnsi"/>
                <w:sz w:val="18"/>
                <w:szCs w:val="18"/>
              </w:rPr>
              <w:t>材料和办公用品</w:t>
            </w:r>
          </w:p>
        </w:tc>
        <w:tc>
          <w:tcPr>
            <w:tcW w:w="823" w:type="dxa"/>
            <w:tcBorders>
              <w:top w:val="nil"/>
              <w:left w:val="single" w:sz="4" w:space="0" w:color="0070C0"/>
              <w:bottom w:val="nil"/>
              <w:right w:val="nil"/>
            </w:tcBorders>
            <w:shd w:val="clear" w:color="auto" w:fill="auto"/>
            <w:noWrap/>
            <w:vAlign w:val="bottom"/>
            <w:hideMark/>
          </w:tcPr>
          <w:p w14:paraId="5C0C072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6</w:t>
            </w:r>
          </w:p>
        </w:tc>
        <w:tc>
          <w:tcPr>
            <w:tcW w:w="973" w:type="dxa"/>
            <w:tcBorders>
              <w:top w:val="nil"/>
              <w:left w:val="nil"/>
              <w:bottom w:val="nil"/>
              <w:right w:val="nil"/>
            </w:tcBorders>
            <w:shd w:val="clear" w:color="auto" w:fill="auto"/>
            <w:noWrap/>
            <w:vAlign w:val="bottom"/>
            <w:hideMark/>
          </w:tcPr>
          <w:p w14:paraId="547C194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62" w:type="dxa"/>
            <w:tcBorders>
              <w:top w:val="nil"/>
              <w:left w:val="nil"/>
              <w:bottom w:val="nil"/>
              <w:right w:val="nil"/>
            </w:tcBorders>
            <w:shd w:val="clear" w:color="auto" w:fill="auto"/>
            <w:noWrap/>
            <w:vAlign w:val="bottom"/>
            <w:hideMark/>
          </w:tcPr>
          <w:p w14:paraId="37E34B2E"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3</w:t>
            </w:r>
          </w:p>
        </w:tc>
        <w:tc>
          <w:tcPr>
            <w:tcW w:w="1008" w:type="dxa"/>
            <w:tcBorders>
              <w:top w:val="nil"/>
              <w:left w:val="nil"/>
              <w:bottom w:val="nil"/>
              <w:right w:val="nil"/>
            </w:tcBorders>
            <w:shd w:val="clear" w:color="auto" w:fill="auto"/>
            <w:noWrap/>
            <w:vAlign w:val="bottom"/>
            <w:hideMark/>
          </w:tcPr>
          <w:p w14:paraId="25C803F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40</w:t>
            </w:r>
          </w:p>
        </w:tc>
        <w:tc>
          <w:tcPr>
            <w:tcW w:w="786" w:type="dxa"/>
            <w:tcBorders>
              <w:top w:val="nil"/>
              <w:left w:val="nil"/>
              <w:bottom w:val="nil"/>
              <w:right w:val="nil"/>
            </w:tcBorders>
            <w:shd w:val="clear" w:color="auto" w:fill="auto"/>
            <w:noWrap/>
            <w:vAlign w:val="bottom"/>
            <w:hideMark/>
          </w:tcPr>
          <w:p w14:paraId="054E10C7"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1129" w:type="dxa"/>
            <w:tcBorders>
              <w:top w:val="nil"/>
              <w:left w:val="nil"/>
              <w:bottom w:val="nil"/>
              <w:right w:val="nil"/>
            </w:tcBorders>
            <w:shd w:val="clear" w:color="auto" w:fill="auto"/>
            <w:noWrap/>
            <w:vAlign w:val="bottom"/>
            <w:hideMark/>
          </w:tcPr>
          <w:p w14:paraId="1EE64C2E"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199</w:t>
            </w:r>
          </w:p>
        </w:tc>
        <w:tc>
          <w:tcPr>
            <w:tcW w:w="1008" w:type="dxa"/>
            <w:tcBorders>
              <w:top w:val="nil"/>
              <w:left w:val="nil"/>
              <w:bottom w:val="nil"/>
              <w:right w:val="nil"/>
            </w:tcBorders>
            <w:shd w:val="clear" w:color="auto" w:fill="auto"/>
            <w:noWrap/>
            <w:vAlign w:val="bottom"/>
            <w:hideMark/>
          </w:tcPr>
          <w:p w14:paraId="040548C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26</w:t>
            </w:r>
          </w:p>
        </w:tc>
        <w:tc>
          <w:tcPr>
            <w:tcW w:w="973" w:type="dxa"/>
            <w:tcBorders>
              <w:top w:val="nil"/>
              <w:left w:val="nil"/>
              <w:bottom w:val="nil"/>
              <w:right w:val="nil"/>
            </w:tcBorders>
            <w:shd w:val="clear" w:color="auto" w:fill="auto"/>
            <w:noWrap/>
            <w:vAlign w:val="bottom"/>
            <w:hideMark/>
          </w:tcPr>
          <w:p w14:paraId="59C6638B"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181</w:t>
            </w:r>
          </w:p>
        </w:tc>
        <w:tc>
          <w:tcPr>
            <w:tcW w:w="973" w:type="dxa"/>
            <w:tcBorders>
              <w:top w:val="nil"/>
              <w:left w:val="nil"/>
              <w:bottom w:val="nil"/>
              <w:right w:val="nil"/>
            </w:tcBorders>
            <w:shd w:val="clear" w:color="auto" w:fill="auto"/>
            <w:noWrap/>
            <w:vAlign w:val="bottom"/>
            <w:hideMark/>
          </w:tcPr>
          <w:p w14:paraId="2AE5B67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35</w:t>
            </w:r>
          </w:p>
        </w:tc>
        <w:tc>
          <w:tcPr>
            <w:tcW w:w="973" w:type="dxa"/>
            <w:tcBorders>
              <w:top w:val="nil"/>
              <w:left w:val="nil"/>
              <w:bottom w:val="nil"/>
              <w:right w:val="nil"/>
            </w:tcBorders>
            <w:shd w:val="clear" w:color="auto" w:fill="auto"/>
            <w:noWrap/>
            <w:vAlign w:val="bottom"/>
            <w:hideMark/>
          </w:tcPr>
          <w:p w14:paraId="4996E84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46</w:t>
            </w:r>
          </w:p>
        </w:tc>
        <w:tc>
          <w:tcPr>
            <w:tcW w:w="957" w:type="dxa"/>
            <w:gridSpan w:val="2"/>
            <w:tcBorders>
              <w:top w:val="nil"/>
              <w:left w:val="nil"/>
              <w:bottom w:val="nil"/>
              <w:right w:val="nil"/>
            </w:tcBorders>
            <w:shd w:val="clear" w:color="auto" w:fill="auto"/>
            <w:noWrap/>
            <w:vAlign w:val="bottom"/>
            <w:hideMark/>
          </w:tcPr>
          <w:p w14:paraId="3D5A945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423</w:t>
            </w:r>
          </w:p>
        </w:tc>
        <w:tc>
          <w:tcPr>
            <w:tcW w:w="1044" w:type="dxa"/>
            <w:gridSpan w:val="2"/>
            <w:tcBorders>
              <w:top w:val="nil"/>
              <w:left w:val="nil"/>
              <w:bottom w:val="nil"/>
              <w:right w:val="nil"/>
            </w:tcBorders>
            <w:shd w:val="clear" w:color="auto" w:fill="auto"/>
            <w:noWrap/>
            <w:vAlign w:val="bottom"/>
            <w:hideMark/>
          </w:tcPr>
          <w:p w14:paraId="56FA64B6"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703BDF">
              <w:rPr>
                <w:rFonts w:eastAsia="Times New Roman" w:cs="Calibri"/>
                <w:color w:val="002060"/>
                <w:sz w:val="18"/>
                <w:szCs w:val="18"/>
              </w:rPr>
              <w:t>959</w:t>
            </w:r>
          </w:p>
        </w:tc>
      </w:tr>
      <w:tr w:rsidR="005C437E" w:rsidRPr="00C7456C" w14:paraId="34928EA8" w14:textId="77777777" w:rsidTr="005C437E">
        <w:trPr>
          <w:trHeight w:val="19"/>
        </w:trPr>
        <w:tc>
          <w:tcPr>
            <w:tcW w:w="2835" w:type="dxa"/>
            <w:tcBorders>
              <w:top w:val="nil"/>
              <w:left w:val="nil"/>
              <w:bottom w:val="nil"/>
              <w:right w:val="nil"/>
            </w:tcBorders>
            <w:shd w:val="clear" w:color="auto" w:fill="auto"/>
            <w:noWrap/>
            <w:vAlign w:val="bottom"/>
            <w:hideMark/>
          </w:tcPr>
          <w:p w14:paraId="334F073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szCs w:val="18"/>
              </w:rPr>
            </w:pPr>
          </w:p>
        </w:tc>
        <w:tc>
          <w:tcPr>
            <w:tcW w:w="823" w:type="dxa"/>
            <w:tcBorders>
              <w:top w:val="nil"/>
              <w:left w:val="single" w:sz="4" w:space="0" w:color="0070C0"/>
              <w:bottom w:val="nil"/>
              <w:right w:val="nil"/>
            </w:tcBorders>
            <w:shd w:val="clear" w:color="auto" w:fill="auto"/>
            <w:noWrap/>
            <w:vAlign w:val="bottom"/>
            <w:hideMark/>
          </w:tcPr>
          <w:p w14:paraId="79D3F10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 </w:t>
            </w:r>
          </w:p>
        </w:tc>
        <w:tc>
          <w:tcPr>
            <w:tcW w:w="973" w:type="dxa"/>
            <w:tcBorders>
              <w:top w:val="nil"/>
              <w:left w:val="nil"/>
              <w:bottom w:val="nil"/>
              <w:right w:val="nil"/>
            </w:tcBorders>
            <w:shd w:val="clear" w:color="auto" w:fill="auto"/>
            <w:noWrap/>
            <w:vAlign w:val="bottom"/>
            <w:hideMark/>
          </w:tcPr>
          <w:p w14:paraId="52D1F6D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62" w:type="dxa"/>
            <w:tcBorders>
              <w:top w:val="nil"/>
              <w:left w:val="nil"/>
              <w:bottom w:val="nil"/>
              <w:right w:val="nil"/>
            </w:tcBorders>
            <w:shd w:val="clear" w:color="auto" w:fill="auto"/>
            <w:noWrap/>
            <w:vAlign w:val="bottom"/>
            <w:hideMark/>
          </w:tcPr>
          <w:p w14:paraId="5BF7DF4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bottom"/>
            <w:hideMark/>
          </w:tcPr>
          <w:p w14:paraId="4F3DE868"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86" w:type="dxa"/>
            <w:tcBorders>
              <w:top w:val="nil"/>
              <w:left w:val="nil"/>
              <w:bottom w:val="nil"/>
              <w:right w:val="nil"/>
            </w:tcBorders>
            <w:shd w:val="clear" w:color="auto" w:fill="auto"/>
            <w:noWrap/>
            <w:vAlign w:val="bottom"/>
            <w:hideMark/>
          </w:tcPr>
          <w:p w14:paraId="1509C56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129" w:type="dxa"/>
            <w:tcBorders>
              <w:top w:val="nil"/>
              <w:left w:val="nil"/>
              <w:bottom w:val="nil"/>
              <w:right w:val="nil"/>
            </w:tcBorders>
            <w:shd w:val="clear" w:color="auto" w:fill="auto"/>
            <w:noWrap/>
            <w:vAlign w:val="bottom"/>
            <w:hideMark/>
          </w:tcPr>
          <w:p w14:paraId="32E708A4"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bottom"/>
            <w:hideMark/>
          </w:tcPr>
          <w:p w14:paraId="64433798"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01B8AF0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251EFC67"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30C5CDFE"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7" w:type="dxa"/>
            <w:gridSpan w:val="2"/>
            <w:tcBorders>
              <w:top w:val="nil"/>
              <w:left w:val="nil"/>
              <w:bottom w:val="nil"/>
              <w:right w:val="nil"/>
            </w:tcBorders>
            <w:shd w:val="clear" w:color="auto" w:fill="auto"/>
            <w:noWrap/>
            <w:vAlign w:val="bottom"/>
            <w:hideMark/>
          </w:tcPr>
          <w:p w14:paraId="2F7C5A3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44" w:type="dxa"/>
            <w:gridSpan w:val="2"/>
            <w:tcBorders>
              <w:top w:val="nil"/>
              <w:left w:val="nil"/>
              <w:bottom w:val="nil"/>
              <w:right w:val="nil"/>
            </w:tcBorders>
            <w:shd w:val="clear" w:color="auto" w:fill="auto"/>
            <w:noWrap/>
            <w:vAlign w:val="bottom"/>
            <w:hideMark/>
          </w:tcPr>
          <w:p w14:paraId="509D109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C7456C" w14:paraId="7138C1B0" w14:textId="77777777" w:rsidTr="005C437E">
        <w:trPr>
          <w:trHeight w:val="19"/>
        </w:trPr>
        <w:tc>
          <w:tcPr>
            <w:tcW w:w="2835" w:type="dxa"/>
            <w:tcBorders>
              <w:top w:val="nil"/>
              <w:left w:val="nil"/>
              <w:bottom w:val="nil"/>
              <w:right w:val="nil"/>
            </w:tcBorders>
            <w:shd w:val="clear" w:color="auto" w:fill="auto"/>
            <w:vAlign w:val="bottom"/>
            <w:hideMark/>
          </w:tcPr>
          <w:p w14:paraId="75778B09"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lang w:eastAsia="zh-CN"/>
              </w:rPr>
            </w:pPr>
            <w:r w:rsidRPr="00703BDF">
              <w:rPr>
                <w:rFonts w:cstheme="minorHAnsi"/>
                <w:sz w:val="18"/>
                <w:szCs w:val="18"/>
                <w:lang w:eastAsia="zh-CN"/>
              </w:rPr>
              <w:t xml:space="preserve">7 - </w:t>
            </w:r>
            <w:r w:rsidRPr="00703BDF">
              <w:rPr>
                <w:rFonts w:cstheme="minorHAnsi"/>
                <w:sz w:val="18"/>
                <w:szCs w:val="18"/>
                <w:lang w:eastAsia="zh-CN"/>
              </w:rPr>
              <w:t>房屋设施、家具和设备的采购</w:t>
            </w:r>
          </w:p>
        </w:tc>
        <w:tc>
          <w:tcPr>
            <w:tcW w:w="823" w:type="dxa"/>
            <w:tcBorders>
              <w:top w:val="nil"/>
              <w:left w:val="single" w:sz="4" w:space="0" w:color="0070C0"/>
              <w:bottom w:val="nil"/>
              <w:right w:val="nil"/>
            </w:tcBorders>
            <w:shd w:val="clear" w:color="auto" w:fill="auto"/>
            <w:noWrap/>
            <w:vAlign w:val="bottom"/>
            <w:hideMark/>
          </w:tcPr>
          <w:p w14:paraId="061DC778"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lang w:eastAsia="zh-CN"/>
              </w:rPr>
            </w:pPr>
            <w:r w:rsidRPr="00703BDF">
              <w:rPr>
                <w:rFonts w:eastAsia="Times New Roman" w:cs="Calibri"/>
                <w:sz w:val="18"/>
                <w:szCs w:val="18"/>
                <w:lang w:eastAsia="zh-CN"/>
              </w:rPr>
              <w:t> </w:t>
            </w:r>
          </w:p>
        </w:tc>
        <w:tc>
          <w:tcPr>
            <w:tcW w:w="973" w:type="dxa"/>
            <w:tcBorders>
              <w:top w:val="nil"/>
              <w:left w:val="nil"/>
              <w:bottom w:val="nil"/>
              <w:right w:val="nil"/>
            </w:tcBorders>
            <w:shd w:val="clear" w:color="auto" w:fill="auto"/>
            <w:noWrap/>
            <w:vAlign w:val="bottom"/>
            <w:hideMark/>
          </w:tcPr>
          <w:p w14:paraId="3F79E8F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lang w:eastAsia="zh-CN"/>
              </w:rPr>
            </w:pPr>
          </w:p>
        </w:tc>
        <w:tc>
          <w:tcPr>
            <w:tcW w:w="962" w:type="dxa"/>
            <w:tcBorders>
              <w:top w:val="nil"/>
              <w:left w:val="nil"/>
              <w:bottom w:val="nil"/>
              <w:right w:val="nil"/>
            </w:tcBorders>
            <w:shd w:val="clear" w:color="auto" w:fill="auto"/>
            <w:noWrap/>
            <w:vAlign w:val="bottom"/>
            <w:hideMark/>
          </w:tcPr>
          <w:p w14:paraId="42EBF3B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lang w:eastAsia="zh-CN"/>
              </w:rPr>
            </w:pPr>
          </w:p>
        </w:tc>
        <w:tc>
          <w:tcPr>
            <w:tcW w:w="1008" w:type="dxa"/>
            <w:tcBorders>
              <w:top w:val="nil"/>
              <w:left w:val="nil"/>
              <w:bottom w:val="nil"/>
              <w:right w:val="nil"/>
            </w:tcBorders>
            <w:shd w:val="clear" w:color="auto" w:fill="auto"/>
            <w:noWrap/>
            <w:vAlign w:val="bottom"/>
            <w:hideMark/>
          </w:tcPr>
          <w:p w14:paraId="70F0DFE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lang w:eastAsia="zh-CN"/>
              </w:rPr>
            </w:pPr>
          </w:p>
        </w:tc>
        <w:tc>
          <w:tcPr>
            <w:tcW w:w="786" w:type="dxa"/>
            <w:tcBorders>
              <w:top w:val="nil"/>
              <w:left w:val="nil"/>
              <w:bottom w:val="nil"/>
              <w:right w:val="nil"/>
            </w:tcBorders>
            <w:shd w:val="clear" w:color="auto" w:fill="auto"/>
            <w:noWrap/>
            <w:vAlign w:val="bottom"/>
            <w:hideMark/>
          </w:tcPr>
          <w:p w14:paraId="63CBBFB8"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lang w:eastAsia="zh-CN"/>
              </w:rPr>
            </w:pPr>
          </w:p>
        </w:tc>
        <w:tc>
          <w:tcPr>
            <w:tcW w:w="1129" w:type="dxa"/>
            <w:tcBorders>
              <w:top w:val="nil"/>
              <w:left w:val="nil"/>
              <w:bottom w:val="nil"/>
              <w:right w:val="nil"/>
            </w:tcBorders>
            <w:shd w:val="clear" w:color="auto" w:fill="auto"/>
            <w:noWrap/>
            <w:vAlign w:val="bottom"/>
            <w:hideMark/>
          </w:tcPr>
          <w:p w14:paraId="1A86E544"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208</w:t>
            </w:r>
          </w:p>
        </w:tc>
        <w:tc>
          <w:tcPr>
            <w:tcW w:w="1008" w:type="dxa"/>
            <w:tcBorders>
              <w:top w:val="nil"/>
              <w:left w:val="nil"/>
              <w:bottom w:val="nil"/>
              <w:right w:val="nil"/>
            </w:tcBorders>
            <w:shd w:val="clear" w:color="auto" w:fill="auto"/>
            <w:noWrap/>
            <w:vAlign w:val="bottom"/>
            <w:hideMark/>
          </w:tcPr>
          <w:p w14:paraId="44161900"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45</w:t>
            </w:r>
          </w:p>
        </w:tc>
        <w:tc>
          <w:tcPr>
            <w:tcW w:w="973" w:type="dxa"/>
            <w:tcBorders>
              <w:top w:val="nil"/>
              <w:left w:val="nil"/>
              <w:bottom w:val="nil"/>
              <w:right w:val="nil"/>
            </w:tcBorders>
            <w:shd w:val="clear" w:color="auto" w:fill="auto"/>
            <w:noWrap/>
            <w:vAlign w:val="bottom"/>
            <w:hideMark/>
          </w:tcPr>
          <w:p w14:paraId="1EC9F0C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148</w:t>
            </w:r>
          </w:p>
        </w:tc>
        <w:tc>
          <w:tcPr>
            <w:tcW w:w="973" w:type="dxa"/>
            <w:tcBorders>
              <w:top w:val="nil"/>
              <w:left w:val="nil"/>
              <w:bottom w:val="nil"/>
              <w:right w:val="nil"/>
            </w:tcBorders>
            <w:shd w:val="clear" w:color="auto" w:fill="auto"/>
            <w:noWrap/>
            <w:vAlign w:val="bottom"/>
            <w:hideMark/>
          </w:tcPr>
          <w:p w14:paraId="44273C6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28</w:t>
            </w:r>
          </w:p>
        </w:tc>
        <w:tc>
          <w:tcPr>
            <w:tcW w:w="973" w:type="dxa"/>
            <w:tcBorders>
              <w:top w:val="nil"/>
              <w:left w:val="nil"/>
              <w:bottom w:val="nil"/>
              <w:right w:val="nil"/>
            </w:tcBorders>
            <w:shd w:val="clear" w:color="auto" w:fill="auto"/>
            <w:noWrap/>
            <w:vAlign w:val="bottom"/>
            <w:hideMark/>
          </w:tcPr>
          <w:p w14:paraId="30458FD7"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51</w:t>
            </w:r>
          </w:p>
        </w:tc>
        <w:tc>
          <w:tcPr>
            <w:tcW w:w="957" w:type="dxa"/>
            <w:gridSpan w:val="2"/>
            <w:tcBorders>
              <w:top w:val="nil"/>
              <w:left w:val="nil"/>
              <w:bottom w:val="nil"/>
              <w:right w:val="nil"/>
            </w:tcBorders>
            <w:shd w:val="clear" w:color="auto" w:fill="auto"/>
            <w:noWrap/>
            <w:vAlign w:val="bottom"/>
            <w:hideMark/>
          </w:tcPr>
          <w:p w14:paraId="77AC031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327</w:t>
            </w:r>
          </w:p>
        </w:tc>
        <w:tc>
          <w:tcPr>
            <w:tcW w:w="1044" w:type="dxa"/>
            <w:gridSpan w:val="2"/>
            <w:tcBorders>
              <w:top w:val="nil"/>
              <w:left w:val="nil"/>
              <w:bottom w:val="nil"/>
              <w:right w:val="nil"/>
            </w:tcBorders>
            <w:shd w:val="clear" w:color="auto" w:fill="auto"/>
            <w:noWrap/>
            <w:vAlign w:val="bottom"/>
            <w:hideMark/>
          </w:tcPr>
          <w:p w14:paraId="1CFEACD2"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703BDF">
              <w:rPr>
                <w:rFonts w:eastAsia="Times New Roman" w:cs="Calibri"/>
                <w:color w:val="002060"/>
                <w:sz w:val="18"/>
                <w:szCs w:val="18"/>
              </w:rPr>
              <w:t>807</w:t>
            </w:r>
          </w:p>
        </w:tc>
      </w:tr>
      <w:tr w:rsidR="005C437E" w:rsidRPr="00C7456C" w14:paraId="4B59E21C" w14:textId="77777777" w:rsidTr="005C437E">
        <w:trPr>
          <w:trHeight w:val="19"/>
        </w:trPr>
        <w:tc>
          <w:tcPr>
            <w:tcW w:w="2835" w:type="dxa"/>
            <w:tcBorders>
              <w:top w:val="nil"/>
              <w:left w:val="nil"/>
              <w:bottom w:val="nil"/>
              <w:right w:val="nil"/>
            </w:tcBorders>
            <w:shd w:val="clear" w:color="auto" w:fill="auto"/>
            <w:noWrap/>
            <w:vAlign w:val="bottom"/>
            <w:hideMark/>
          </w:tcPr>
          <w:p w14:paraId="296B6F2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szCs w:val="18"/>
              </w:rPr>
            </w:pPr>
          </w:p>
        </w:tc>
        <w:tc>
          <w:tcPr>
            <w:tcW w:w="823" w:type="dxa"/>
            <w:tcBorders>
              <w:top w:val="nil"/>
              <w:left w:val="single" w:sz="4" w:space="0" w:color="0070C0"/>
              <w:bottom w:val="nil"/>
              <w:right w:val="nil"/>
            </w:tcBorders>
            <w:shd w:val="clear" w:color="auto" w:fill="auto"/>
            <w:noWrap/>
            <w:vAlign w:val="bottom"/>
            <w:hideMark/>
          </w:tcPr>
          <w:p w14:paraId="199317F0"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 </w:t>
            </w:r>
          </w:p>
        </w:tc>
        <w:tc>
          <w:tcPr>
            <w:tcW w:w="973" w:type="dxa"/>
            <w:tcBorders>
              <w:top w:val="nil"/>
              <w:left w:val="nil"/>
              <w:bottom w:val="nil"/>
              <w:right w:val="nil"/>
            </w:tcBorders>
            <w:shd w:val="clear" w:color="auto" w:fill="auto"/>
            <w:noWrap/>
            <w:vAlign w:val="bottom"/>
            <w:hideMark/>
          </w:tcPr>
          <w:p w14:paraId="3B0A0896"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62" w:type="dxa"/>
            <w:tcBorders>
              <w:top w:val="nil"/>
              <w:left w:val="nil"/>
              <w:bottom w:val="nil"/>
              <w:right w:val="nil"/>
            </w:tcBorders>
            <w:shd w:val="clear" w:color="auto" w:fill="auto"/>
            <w:noWrap/>
            <w:vAlign w:val="bottom"/>
            <w:hideMark/>
          </w:tcPr>
          <w:p w14:paraId="0AF83764"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bottom"/>
            <w:hideMark/>
          </w:tcPr>
          <w:p w14:paraId="6F71A31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86" w:type="dxa"/>
            <w:tcBorders>
              <w:top w:val="nil"/>
              <w:left w:val="nil"/>
              <w:bottom w:val="nil"/>
              <w:right w:val="nil"/>
            </w:tcBorders>
            <w:shd w:val="clear" w:color="auto" w:fill="auto"/>
            <w:noWrap/>
            <w:vAlign w:val="bottom"/>
            <w:hideMark/>
          </w:tcPr>
          <w:p w14:paraId="758A5FD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129" w:type="dxa"/>
            <w:tcBorders>
              <w:top w:val="nil"/>
              <w:left w:val="nil"/>
              <w:bottom w:val="nil"/>
              <w:right w:val="nil"/>
            </w:tcBorders>
            <w:shd w:val="clear" w:color="auto" w:fill="auto"/>
            <w:noWrap/>
            <w:vAlign w:val="bottom"/>
            <w:hideMark/>
          </w:tcPr>
          <w:p w14:paraId="588B23F4"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bottom"/>
            <w:hideMark/>
          </w:tcPr>
          <w:p w14:paraId="6CEF1CA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2C2C45A2"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39782C9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5253ADC4"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7" w:type="dxa"/>
            <w:gridSpan w:val="2"/>
            <w:tcBorders>
              <w:top w:val="nil"/>
              <w:left w:val="nil"/>
              <w:bottom w:val="nil"/>
              <w:right w:val="nil"/>
            </w:tcBorders>
            <w:shd w:val="clear" w:color="auto" w:fill="auto"/>
            <w:noWrap/>
            <w:vAlign w:val="bottom"/>
            <w:hideMark/>
          </w:tcPr>
          <w:p w14:paraId="6F3E1D47"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44" w:type="dxa"/>
            <w:gridSpan w:val="2"/>
            <w:tcBorders>
              <w:top w:val="nil"/>
              <w:left w:val="nil"/>
              <w:bottom w:val="nil"/>
              <w:right w:val="nil"/>
            </w:tcBorders>
            <w:shd w:val="clear" w:color="auto" w:fill="auto"/>
            <w:noWrap/>
            <w:vAlign w:val="bottom"/>
            <w:hideMark/>
          </w:tcPr>
          <w:p w14:paraId="3CF62E4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C7456C" w14:paraId="6B071CFD" w14:textId="77777777" w:rsidTr="005C437E">
        <w:trPr>
          <w:trHeight w:val="19"/>
        </w:trPr>
        <w:tc>
          <w:tcPr>
            <w:tcW w:w="2835" w:type="dxa"/>
            <w:tcBorders>
              <w:top w:val="nil"/>
              <w:left w:val="nil"/>
              <w:bottom w:val="nil"/>
              <w:right w:val="nil"/>
            </w:tcBorders>
            <w:shd w:val="clear" w:color="auto" w:fill="auto"/>
            <w:vAlign w:val="bottom"/>
            <w:hideMark/>
          </w:tcPr>
          <w:p w14:paraId="52442C3B"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rPr>
            </w:pPr>
            <w:r w:rsidRPr="00703BDF">
              <w:rPr>
                <w:rFonts w:cstheme="minorHAnsi"/>
                <w:sz w:val="18"/>
                <w:szCs w:val="18"/>
              </w:rPr>
              <w:t xml:space="preserve">8 - </w:t>
            </w:r>
            <w:r w:rsidRPr="00703BDF">
              <w:rPr>
                <w:rFonts w:cstheme="minorHAnsi"/>
                <w:sz w:val="18"/>
                <w:szCs w:val="18"/>
              </w:rPr>
              <w:t>公共和内部服务设施</w:t>
            </w:r>
          </w:p>
        </w:tc>
        <w:tc>
          <w:tcPr>
            <w:tcW w:w="823" w:type="dxa"/>
            <w:tcBorders>
              <w:top w:val="nil"/>
              <w:left w:val="single" w:sz="4" w:space="0" w:color="0070C0"/>
              <w:bottom w:val="nil"/>
              <w:right w:val="nil"/>
            </w:tcBorders>
            <w:shd w:val="clear" w:color="auto" w:fill="auto"/>
            <w:noWrap/>
            <w:vAlign w:val="bottom"/>
            <w:hideMark/>
          </w:tcPr>
          <w:p w14:paraId="1C61A808"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 </w:t>
            </w:r>
          </w:p>
        </w:tc>
        <w:tc>
          <w:tcPr>
            <w:tcW w:w="973" w:type="dxa"/>
            <w:tcBorders>
              <w:top w:val="nil"/>
              <w:left w:val="nil"/>
              <w:bottom w:val="nil"/>
              <w:right w:val="nil"/>
            </w:tcBorders>
            <w:shd w:val="clear" w:color="auto" w:fill="auto"/>
            <w:noWrap/>
            <w:vAlign w:val="bottom"/>
            <w:hideMark/>
          </w:tcPr>
          <w:p w14:paraId="6977F127"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62" w:type="dxa"/>
            <w:tcBorders>
              <w:top w:val="nil"/>
              <w:left w:val="nil"/>
              <w:bottom w:val="nil"/>
              <w:right w:val="nil"/>
            </w:tcBorders>
            <w:shd w:val="clear" w:color="auto" w:fill="auto"/>
            <w:noWrap/>
            <w:vAlign w:val="bottom"/>
            <w:hideMark/>
          </w:tcPr>
          <w:p w14:paraId="396B527D"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bottom"/>
            <w:hideMark/>
          </w:tcPr>
          <w:p w14:paraId="65485FC6"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86" w:type="dxa"/>
            <w:tcBorders>
              <w:top w:val="nil"/>
              <w:left w:val="nil"/>
              <w:bottom w:val="nil"/>
              <w:right w:val="nil"/>
            </w:tcBorders>
            <w:shd w:val="clear" w:color="auto" w:fill="auto"/>
            <w:noWrap/>
            <w:vAlign w:val="bottom"/>
            <w:hideMark/>
          </w:tcPr>
          <w:p w14:paraId="248F0B0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760</w:t>
            </w:r>
          </w:p>
        </w:tc>
        <w:tc>
          <w:tcPr>
            <w:tcW w:w="1129" w:type="dxa"/>
            <w:tcBorders>
              <w:top w:val="nil"/>
              <w:left w:val="nil"/>
              <w:bottom w:val="nil"/>
              <w:right w:val="nil"/>
            </w:tcBorders>
            <w:shd w:val="clear" w:color="auto" w:fill="auto"/>
            <w:noWrap/>
            <w:vAlign w:val="bottom"/>
            <w:hideMark/>
          </w:tcPr>
          <w:p w14:paraId="1EA67B5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1,240</w:t>
            </w:r>
          </w:p>
        </w:tc>
        <w:tc>
          <w:tcPr>
            <w:tcW w:w="1008" w:type="dxa"/>
            <w:tcBorders>
              <w:top w:val="nil"/>
              <w:left w:val="nil"/>
              <w:bottom w:val="nil"/>
              <w:right w:val="nil"/>
            </w:tcBorders>
            <w:shd w:val="clear" w:color="auto" w:fill="auto"/>
            <w:noWrap/>
            <w:vAlign w:val="bottom"/>
            <w:hideMark/>
          </w:tcPr>
          <w:p w14:paraId="73D74944"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73" w:type="dxa"/>
            <w:tcBorders>
              <w:top w:val="nil"/>
              <w:left w:val="nil"/>
              <w:bottom w:val="nil"/>
              <w:right w:val="nil"/>
            </w:tcBorders>
            <w:shd w:val="clear" w:color="auto" w:fill="auto"/>
            <w:noWrap/>
            <w:vAlign w:val="bottom"/>
            <w:hideMark/>
          </w:tcPr>
          <w:p w14:paraId="2522B588"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35</w:t>
            </w:r>
          </w:p>
        </w:tc>
        <w:tc>
          <w:tcPr>
            <w:tcW w:w="973" w:type="dxa"/>
            <w:tcBorders>
              <w:top w:val="nil"/>
              <w:left w:val="nil"/>
              <w:bottom w:val="nil"/>
              <w:right w:val="nil"/>
            </w:tcBorders>
            <w:shd w:val="clear" w:color="auto" w:fill="auto"/>
            <w:noWrap/>
            <w:vAlign w:val="bottom"/>
            <w:hideMark/>
          </w:tcPr>
          <w:p w14:paraId="3F9AF7C0"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73" w:type="dxa"/>
            <w:tcBorders>
              <w:top w:val="nil"/>
              <w:left w:val="nil"/>
              <w:bottom w:val="nil"/>
              <w:right w:val="nil"/>
            </w:tcBorders>
            <w:shd w:val="clear" w:color="auto" w:fill="auto"/>
            <w:noWrap/>
            <w:vAlign w:val="bottom"/>
            <w:hideMark/>
          </w:tcPr>
          <w:p w14:paraId="371F5652"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7" w:type="dxa"/>
            <w:gridSpan w:val="2"/>
            <w:tcBorders>
              <w:top w:val="nil"/>
              <w:left w:val="nil"/>
              <w:bottom w:val="nil"/>
              <w:right w:val="nil"/>
            </w:tcBorders>
            <w:shd w:val="clear" w:color="auto" w:fill="auto"/>
            <w:noWrap/>
            <w:vAlign w:val="bottom"/>
            <w:hideMark/>
          </w:tcPr>
          <w:p w14:paraId="483F4BE6"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44" w:type="dxa"/>
            <w:gridSpan w:val="2"/>
            <w:tcBorders>
              <w:top w:val="nil"/>
              <w:left w:val="nil"/>
              <w:bottom w:val="nil"/>
              <w:right w:val="nil"/>
            </w:tcBorders>
            <w:shd w:val="clear" w:color="auto" w:fill="auto"/>
            <w:noWrap/>
            <w:vAlign w:val="bottom"/>
            <w:hideMark/>
          </w:tcPr>
          <w:p w14:paraId="3F4F94A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703BDF">
              <w:rPr>
                <w:rFonts w:eastAsia="Times New Roman" w:cs="Calibri"/>
                <w:color w:val="002060"/>
                <w:sz w:val="18"/>
                <w:szCs w:val="18"/>
              </w:rPr>
              <w:t>2,035</w:t>
            </w:r>
          </w:p>
        </w:tc>
      </w:tr>
      <w:tr w:rsidR="005C437E" w:rsidRPr="00C7456C" w14:paraId="7879C2BD" w14:textId="77777777" w:rsidTr="005C437E">
        <w:trPr>
          <w:trHeight w:val="19"/>
        </w:trPr>
        <w:tc>
          <w:tcPr>
            <w:tcW w:w="2835" w:type="dxa"/>
            <w:tcBorders>
              <w:top w:val="nil"/>
              <w:left w:val="nil"/>
              <w:bottom w:val="nil"/>
              <w:right w:val="nil"/>
            </w:tcBorders>
            <w:shd w:val="clear" w:color="auto" w:fill="auto"/>
            <w:noWrap/>
            <w:vAlign w:val="bottom"/>
            <w:hideMark/>
          </w:tcPr>
          <w:p w14:paraId="0AF010F2"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szCs w:val="18"/>
              </w:rPr>
            </w:pPr>
          </w:p>
        </w:tc>
        <w:tc>
          <w:tcPr>
            <w:tcW w:w="823" w:type="dxa"/>
            <w:tcBorders>
              <w:top w:val="nil"/>
              <w:left w:val="single" w:sz="4" w:space="0" w:color="0070C0"/>
              <w:bottom w:val="nil"/>
              <w:right w:val="nil"/>
            </w:tcBorders>
            <w:shd w:val="clear" w:color="auto" w:fill="auto"/>
            <w:noWrap/>
            <w:vAlign w:val="bottom"/>
            <w:hideMark/>
          </w:tcPr>
          <w:p w14:paraId="36C6D148"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 </w:t>
            </w:r>
          </w:p>
        </w:tc>
        <w:tc>
          <w:tcPr>
            <w:tcW w:w="973" w:type="dxa"/>
            <w:tcBorders>
              <w:top w:val="nil"/>
              <w:left w:val="nil"/>
              <w:bottom w:val="nil"/>
              <w:right w:val="nil"/>
            </w:tcBorders>
            <w:shd w:val="clear" w:color="auto" w:fill="auto"/>
            <w:noWrap/>
            <w:vAlign w:val="bottom"/>
            <w:hideMark/>
          </w:tcPr>
          <w:p w14:paraId="045787E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62" w:type="dxa"/>
            <w:tcBorders>
              <w:top w:val="nil"/>
              <w:left w:val="nil"/>
              <w:bottom w:val="nil"/>
              <w:right w:val="nil"/>
            </w:tcBorders>
            <w:shd w:val="clear" w:color="auto" w:fill="auto"/>
            <w:noWrap/>
            <w:vAlign w:val="bottom"/>
            <w:hideMark/>
          </w:tcPr>
          <w:p w14:paraId="2D0687F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bottom"/>
            <w:hideMark/>
          </w:tcPr>
          <w:p w14:paraId="6E9A9B5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86" w:type="dxa"/>
            <w:tcBorders>
              <w:top w:val="nil"/>
              <w:left w:val="nil"/>
              <w:bottom w:val="nil"/>
              <w:right w:val="nil"/>
            </w:tcBorders>
            <w:shd w:val="clear" w:color="auto" w:fill="auto"/>
            <w:noWrap/>
            <w:vAlign w:val="bottom"/>
            <w:hideMark/>
          </w:tcPr>
          <w:p w14:paraId="3C45600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129" w:type="dxa"/>
            <w:tcBorders>
              <w:top w:val="nil"/>
              <w:left w:val="nil"/>
              <w:bottom w:val="nil"/>
              <w:right w:val="nil"/>
            </w:tcBorders>
            <w:shd w:val="clear" w:color="auto" w:fill="auto"/>
            <w:noWrap/>
            <w:vAlign w:val="bottom"/>
            <w:hideMark/>
          </w:tcPr>
          <w:p w14:paraId="4C827C4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bottom"/>
            <w:hideMark/>
          </w:tcPr>
          <w:p w14:paraId="44E7B54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0821F85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1A4157D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57D356A0"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7" w:type="dxa"/>
            <w:gridSpan w:val="2"/>
            <w:tcBorders>
              <w:top w:val="nil"/>
              <w:left w:val="nil"/>
              <w:bottom w:val="nil"/>
              <w:right w:val="nil"/>
            </w:tcBorders>
            <w:shd w:val="clear" w:color="auto" w:fill="auto"/>
            <w:noWrap/>
            <w:vAlign w:val="bottom"/>
            <w:hideMark/>
          </w:tcPr>
          <w:p w14:paraId="61AF269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44" w:type="dxa"/>
            <w:gridSpan w:val="2"/>
            <w:tcBorders>
              <w:top w:val="nil"/>
              <w:left w:val="nil"/>
              <w:bottom w:val="nil"/>
              <w:right w:val="nil"/>
            </w:tcBorders>
            <w:shd w:val="clear" w:color="auto" w:fill="auto"/>
            <w:noWrap/>
            <w:vAlign w:val="bottom"/>
            <w:hideMark/>
          </w:tcPr>
          <w:p w14:paraId="17677ED7"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C7456C" w14:paraId="150A6C0F" w14:textId="77777777" w:rsidTr="005C437E">
        <w:trPr>
          <w:trHeight w:val="19"/>
        </w:trPr>
        <w:tc>
          <w:tcPr>
            <w:tcW w:w="2835" w:type="dxa"/>
            <w:tcBorders>
              <w:top w:val="nil"/>
              <w:left w:val="nil"/>
              <w:bottom w:val="nil"/>
              <w:right w:val="nil"/>
            </w:tcBorders>
            <w:shd w:val="clear" w:color="auto" w:fill="auto"/>
            <w:vAlign w:val="bottom"/>
            <w:hideMark/>
          </w:tcPr>
          <w:p w14:paraId="7230B52F"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lang w:eastAsia="zh-CN"/>
              </w:rPr>
            </w:pPr>
            <w:r w:rsidRPr="00703BDF">
              <w:rPr>
                <w:rFonts w:cstheme="minorHAnsi"/>
                <w:sz w:val="18"/>
                <w:szCs w:val="18"/>
                <w:lang w:eastAsia="zh-CN"/>
              </w:rPr>
              <w:t xml:space="preserve">9 - </w:t>
            </w:r>
            <w:r w:rsidRPr="00703BDF">
              <w:rPr>
                <w:rFonts w:cstheme="minorHAnsi"/>
                <w:sz w:val="18"/>
                <w:szCs w:val="18"/>
                <w:lang w:eastAsia="zh-CN"/>
              </w:rPr>
              <w:t>审计和机构间的费用及其他</w:t>
            </w:r>
          </w:p>
        </w:tc>
        <w:tc>
          <w:tcPr>
            <w:tcW w:w="823" w:type="dxa"/>
            <w:tcBorders>
              <w:top w:val="nil"/>
              <w:left w:val="single" w:sz="4" w:space="0" w:color="0070C0"/>
              <w:bottom w:val="nil"/>
              <w:right w:val="nil"/>
            </w:tcBorders>
            <w:shd w:val="clear" w:color="auto" w:fill="auto"/>
            <w:noWrap/>
            <w:vAlign w:val="bottom"/>
            <w:hideMark/>
          </w:tcPr>
          <w:p w14:paraId="51A3B4E6"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5</w:t>
            </w:r>
          </w:p>
        </w:tc>
        <w:tc>
          <w:tcPr>
            <w:tcW w:w="973" w:type="dxa"/>
            <w:tcBorders>
              <w:top w:val="nil"/>
              <w:left w:val="nil"/>
              <w:bottom w:val="nil"/>
              <w:right w:val="nil"/>
            </w:tcBorders>
            <w:shd w:val="clear" w:color="auto" w:fill="auto"/>
            <w:noWrap/>
            <w:vAlign w:val="bottom"/>
            <w:hideMark/>
          </w:tcPr>
          <w:p w14:paraId="105FB9E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62" w:type="dxa"/>
            <w:tcBorders>
              <w:top w:val="nil"/>
              <w:left w:val="nil"/>
              <w:bottom w:val="nil"/>
              <w:right w:val="nil"/>
            </w:tcBorders>
            <w:shd w:val="clear" w:color="auto" w:fill="auto"/>
            <w:noWrap/>
            <w:vAlign w:val="bottom"/>
            <w:hideMark/>
          </w:tcPr>
          <w:p w14:paraId="436B2D9B"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10</w:t>
            </w:r>
          </w:p>
        </w:tc>
        <w:tc>
          <w:tcPr>
            <w:tcW w:w="1008" w:type="dxa"/>
            <w:tcBorders>
              <w:top w:val="nil"/>
              <w:left w:val="nil"/>
              <w:bottom w:val="nil"/>
              <w:right w:val="nil"/>
            </w:tcBorders>
            <w:shd w:val="clear" w:color="auto" w:fill="auto"/>
            <w:noWrap/>
            <w:vAlign w:val="bottom"/>
            <w:hideMark/>
          </w:tcPr>
          <w:p w14:paraId="01C15B9E"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786" w:type="dxa"/>
            <w:tcBorders>
              <w:top w:val="nil"/>
              <w:left w:val="nil"/>
              <w:bottom w:val="nil"/>
              <w:right w:val="nil"/>
            </w:tcBorders>
            <w:shd w:val="clear" w:color="auto" w:fill="auto"/>
            <w:noWrap/>
            <w:vAlign w:val="bottom"/>
            <w:hideMark/>
          </w:tcPr>
          <w:p w14:paraId="71E47AB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2,981</w:t>
            </w:r>
          </w:p>
        </w:tc>
        <w:tc>
          <w:tcPr>
            <w:tcW w:w="1129" w:type="dxa"/>
            <w:tcBorders>
              <w:top w:val="nil"/>
              <w:left w:val="nil"/>
              <w:bottom w:val="nil"/>
              <w:right w:val="nil"/>
            </w:tcBorders>
            <w:shd w:val="clear" w:color="auto" w:fill="auto"/>
            <w:noWrap/>
            <w:vAlign w:val="bottom"/>
            <w:hideMark/>
          </w:tcPr>
          <w:p w14:paraId="6545834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11</w:t>
            </w:r>
          </w:p>
        </w:tc>
        <w:tc>
          <w:tcPr>
            <w:tcW w:w="1008" w:type="dxa"/>
            <w:tcBorders>
              <w:top w:val="nil"/>
              <w:left w:val="nil"/>
              <w:bottom w:val="nil"/>
              <w:right w:val="nil"/>
            </w:tcBorders>
            <w:shd w:val="clear" w:color="auto" w:fill="auto"/>
            <w:noWrap/>
            <w:vAlign w:val="bottom"/>
            <w:hideMark/>
          </w:tcPr>
          <w:p w14:paraId="36CAD4E6"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w:t>
            </w:r>
          </w:p>
        </w:tc>
        <w:tc>
          <w:tcPr>
            <w:tcW w:w="973" w:type="dxa"/>
            <w:tcBorders>
              <w:top w:val="nil"/>
              <w:left w:val="nil"/>
              <w:bottom w:val="nil"/>
              <w:right w:val="nil"/>
            </w:tcBorders>
            <w:shd w:val="clear" w:color="auto" w:fill="auto"/>
            <w:noWrap/>
            <w:vAlign w:val="bottom"/>
            <w:hideMark/>
          </w:tcPr>
          <w:p w14:paraId="1E5650AD"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15</w:t>
            </w:r>
          </w:p>
        </w:tc>
        <w:tc>
          <w:tcPr>
            <w:tcW w:w="973" w:type="dxa"/>
            <w:tcBorders>
              <w:top w:val="nil"/>
              <w:left w:val="nil"/>
              <w:bottom w:val="nil"/>
              <w:right w:val="nil"/>
            </w:tcBorders>
            <w:shd w:val="clear" w:color="auto" w:fill="auto"/>
            <w:noWrap/>
            <w:vAlign w:val="bottom"/>
            <w:hideMark/>
          </w:tcPr>
          <w:p w14:paraId="7061BD82"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70</w:t>
            </w:r>
          </w:p>
        </w:tc>
        <w:tc>
          <w:tcPr>
            <w:tcW w:w="973" w:type="dxa"/>
            <w:tcBorders>
              <w:top w:val="nil"/>
              <w:left w:val="nil"/>
              <w:bottom w:val="nil"/>
              <w:right w:val="nil"/>
            </w:tcBorders>
            <w:shd w:val="clear" w:color="auto" w:fill="auto"/>
            <w:noWrap/>
            <w:vAlign w:val="bottom"/>
            <w:hideMark/>
          </w:tcPr>
          <w:p w14:paraId="70B01B0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w:t>
            </w:r>
          </w:p>
        </w:tc>
        <w:tc>
          <w:tcPr>
            <w:tcW w:w="957" w:type="dxa"/>
            <w:gridSpan w:val="2"/>
            <w:tcBorders>
              <w:top w:val="nil"/>
              <w:left w:val="nil"/>
              <w:bottom w:val="nil"/>
              <w:right w:val="nil"/>
            </w:tcBorders>
            <w:shd w:val="clear" w:color="auto" w:fill="auto"/>
            <w:noWrap/>
            <w:vAlign w:val="bottom"/>
            <w:hideMark/>
          </w:tcPr>
          <w:p w14:paraId="2F0B11F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2</w:t>
            </w:r>
          </w:p>
        </w:tc>
        <w:tc>
          <w:tcPr>
            <w:tcW w:w="1044" w:type="dxa"/>
            <w:gridSpan w:val="2"/>
            <w:tcBorders>
              <w:top w:val="nil"/>
              <w:left w:val="nil"/>
              <w:bottom w:val="nil"/>
              <w:right w:val="nil"/>
            </w:tcBorders>
            <w:shd w:val="clear" w:color="auto" w:fill="auto"/>
            <w:noWrap/>
            <w:vAlign w:val="bottom"/>
            <w:hideMark/>
          </w:tcPr>
          <w:p w14:paraId="56BC68B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703BDF">
              <w:rPr>
                <w:rFonts w:eastAsia="Times New Roman" w:cs="Calibri"/>
                <w:color w:val="002060"/>
                <w:sz w:val="18"/>
                <w:szCs w:val="18"/>
              </w:rPr>
              <w:t>3,096</w:t>
            </w:r>
          </w:p>
        </w:tc>
      </w:tr>
      <w:tr w:rsidR="005C437E" w:rsidRPr="00C7456C" w14:paraId="382FC753" w14:textId="77777777" w:rsidTr="005C437E">
        <w:trPr>
          <w:trHeight w:val="19"/>
        </w:trPr>
        <w:tc>
          <w:tcPr>
            <w:tcW w:w="2835" w:type="dxa"/>
            <w:tcBorders>
              <w:top w:val="nil"/>
              <w:left w:val="nil"/>
              <w:bottom w:val="single" w:sz="4" w:space="0" w:color="auto"/>
              <w:right w:val="nil"/>
            </w:tcBorders>
            <w:shd w:val="clear" w:color="auto" w:fill="auto"/>
            <w:noWrap/>
            <w:vAlign w:val="center"/>
            <w:hideMark/>
          </w:tcPr>
          <w:p w14:paraId="4BE02FAD"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b/>
                <w:bCs/>
                <w:sz w:val="18"/>
                <w:szCs w:val="18"/>
              </w:rPr>
            </w:pPr>
            <w:r w:rsidRPr="00703BDF">
              <w:rPr>
                <w:rFonts w:cstheme="minorHAnsi"/>
                <w:b/>
                <w:bCs/>
                <w:sz w:val="18"/>
                <w:szCs w:val="18"/>
              </w:rPr>
              <w:t> </w:t>
            </w:r>
          </w:p>
        </w:tc>
        <w:tc>
          <w:tcPr>
            <w:tcW w:w="823" w:type="dxa"/>
            <w:tcBorders>
              <w:top w:val="nil"/>
              <w:left w:val="single" w:sz="4" w:space="0" w:color="0070C0"/>
              <w:bottom w:val="single" w:sz="4" w:space="0" w:color="auto"/>
              <w:right w:val="nil"/>
            </w:tcBorders>
            <w:shd w:val="clear" w:color="auto" w:fill="auto"/>
            <w:noWrap/>
            <w:vAlign w:val="bottom"/>
            <w:hideMark/>
          </w:tcPr>
          <w:p w14:paraId="7291CA7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 </w:t>
            </w:r>
          </w:p>
        </w:tc>
        <w:tc>
          <w:tcPr>
            <w:tcW w:w="973" w:type="dxa"/>
            <w:tcBorders>
              <w:top w:val="nil"/>
              <w:left w:val="nil"/>
              <w:bottom w:val="single" w:sz="4" w:space="0" w:color="auto"/>
              <w:right w:val="nil"/>
            </w:tcBorders>
            <w:shd w:val="clear" w:color="auto" w:fill="auto"/>
            <w:noWrap/>
            <w:vAlign w:val="bottom"/>
            <w:hideMark/>
          </w:tcPr>
          <w:p w14:paraId="5E1180D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 </w:t>
            </w:r>
          </w:p>
        </w:tc>
        <w:tc>
          <w:tcPr>
            <w:tcW w:w="962" w:type="dxa"/>
            <w:tcBorders>
              <w:top w:val="nil"/>
              <w:left w:val="nil"/>
              <w:bottom w:val="single" w:sz="4" w:space="0" w:color="auto"/>
              <w:right w:val="nil"/>
            </w:tcBorders>
            <w:shd w:val="clear" w:color="auto" w:fill="auto"/>
            <w:noWrap/>
            <w:vAlign w:val="bottom"/>
            <w:hideMark/>
          </w:tcPr>
          <w:p w14:paraId="60897054"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 </w:t>
            </w:r>
          </w:p>
        </w:tc>
        <w:tc>
          <w:tcPr>
            <w:tcW w:w="1008" w:type="dxa"/>
            <w:tcBorders>
              <w:top w:val="nil"/>
              <w:left w:val="nil"/>
              <w:bottom w:val="single" w:sz="4" w:space="0" w:color="auto"/>
              <w:right w:val="nil"/>
            </w:tcBorders>
            <w:shd w:val="clear" w:color="auto" w:fill="auto"/>
            <w:noWrap/>
            <w:vAlign w:val="bottom"/>
            <w:hideMark/>
          </w:tcPr>
          <w:p w14:paraId="13A742C0"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 </w:t>
            </w:r>
          </w:p>
        </w:tc>
        <w:tc>
          <w:tcPr>
            <w:tcW w:w="786" w:type="dxa"/>
            <w:tcBorders>
              <w:top w:val="nil"/>
              <w:left w:val="nil"/>
              <w:bottom w:val="single" w:sz="4" w:space="0" w:color="auto"/>
              <w:right w:val="nil"/>
            </w:tcBorders>
            <w:shd w:val="clear" w:color="auto" w:fill="auto"/>
            <w:noWrap/>
            <w:vAlign w:val="bottom"/>
            <w:hideMark/>
          </w:tcPr>
          <w:p w14:paraId="12B8795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 </w:t>
            </w:r>
          </w:p>
        </w:tc>
        <w:tc>
          <w:tcPr>
            <w:tcW w:w="1129" w:type="dxa"/>
            <w:tcBorders>
              <w:top w:val="nil"/>
              <w:left w:val="nil"/>
              <w:bottom w:val="single" w:sz="4" w:space="0" w:color="auto"/>
              <w:right w:val="nil"/>
            </w:tcBorders>
            <w:shd w:val="clear" w:color="auto" w:fill="auto"/>
            <w:noWrap/>
            <w:vAlign w:val="bottom"/>
            <w:hideMark/>
          </w:tcPr>
          <w:p w14:paraId="4A14FF2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 </w:t>
            </w:r>
          </w:p>
        </w:tc>
        <w:tc>
          <w:tcPr>
            <w:tcW w:w="1008" w:type="dxa"/>
            <w:tcBorders>
              <w:top w:val="nil"/>
              <w:left w:val="nil"/>
              <w:bottom w:val="single" w:sz="4" w:space="0" w:color="auto"/>
              <w:right w:val="nil"/>
            </w:tcBorders>
            <w:shd w:val="clear" w:color="auto" w:fill="auto"/>
            <w:noWrap/>
            <w:vAlign w:val="bottom"/>
            <w:hideMark/>
          </w:tcPr>
          <w:p w14:paraId="228CC27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 </w:t>
            </w:r>
          </w:p>
        </w:tc>
        <w:tc>
          <w:tcPr>
            <w:tcW w:w="973" w:type="dxa"/>
            <w:tcBorders>
              <w:top w:val="nil"/>
              <w:left w:val="nil"/>
              <w:bottom w:val="single" w:sz="4" w:space="0" w:color="auto"/>
              <w:right w:val="nil"/>
            </w:tcBorders>
            <w:shd w:val="clear" w:color="auto" w:fill="auto"/>
            <w:noWrap/>
            <w:vAlign w:val="bottom"/>
            <w:hideMark/>
          </w:tcPr>
          <w:p w14:paraId="0D0C7C5D"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 </w:t>
            </w:r>
          </w:p>
        </w:tc>
        <w:tc>
          <w:tcPr>
            <w:tcW w:w="973" w:type="dxa"/>
            <w:tcBorders>
              <w:top w:val="nil"/>
              <w:left w:val="nil"/>
              <w:bottom w:val="single" w:sz="4" w:space="0" w:color="auto"/>
              <w:right w:val="nil"/>
            </w:tcBorders>
            <w:shd w:val="clear" w:color="auto" w:fill="auto"/>
            <w:noWrap/>
            <w:vAlign w:val="bottom"/>
            <w:hideMark/>
          </w:tcPr>
          <w:p w14:paraId="330BB34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 </w:t>
            </w:r>
          </w:p>
        </w:tc>
        <w:tc>
          <w:tcPr>
            <w:tcW w:w="973" w:type="dxa"/>
            <w:tcBorders>
              <w:top w:val="nil"/>
              <w:left w:val="nil"/>
              <w:bottom w:val="single" w:sz="4" w:space="0" w:color="auto"/>
              <w:right w:val="nil"/>
            </w:tcBorders>
            <w:shd w:val="clear" w:color="auto" w:fill="auto"/>
            <w:noWrap/>
            <w:vAlign w:val="bottom"/>
            <w:hideMark/>
          </w:tcPr>
          <w:p w14:paraId="62EAA807"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 </w:t>
            </w:r>
          </w:p>
        </w:tc>
        <w:tc>
          <w:tcPr>
            <w:tcW w:w="957" w:type="dxa"/>
            <w:gridSpan w:val="2"/>
            <w:tcBorders>
              <w:top w:val="nil"/>
              <w:left w:val="nil"/>
              <w:bottom w:val="single" w:sz="4" w:space="0" w:color="auto"/>
              <w:right w:val="nil"/>
            </w:tcBorders>
            <w:shd w:val="clear" w:color="auto" w:fill="auto"/>
            <w:noWrap/>
            <w:vAlign w:val="bottom"/>
            <w:hideMark/>
          </w:tcPr>
          <w:p w14:paraId="5F3CF59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 </w:t>
            </w:r>
          </w:p>
        </w:tc>
        <w:tc>
          <w:tcPr>
            <w:tcW w:w="1044" w:type="dxa"/>
            <w:gridSpan w:val="2"/>
            <w:tcBorders>
              <w:top w:val="nil"/>
              <w:left w:val="nil"/>
              <w:bottom w:val="single" w:sz="4" w:space="0" w:color="auto"/>
              <w:right w:val="nil"/>
            </w:tcBorders>
            <w:shd w:val="clear" w:color="auto" w:fill="auto"/>
            <w:noWrap/>
            <w:vAlign w:val="bottom"/>
            <w:hideMark/>
          </w:tcPr>
          <w:p w14:paraId="40A5EAD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8"/>
                <w:szCs w:val="18"/>
              </w:rPr>
            </w:pPr>
            <w:r w:rsidRPr="00703BDF">
              <w:rPr>
                <w:rFonts w:eastAsia="Times New Roman" w:cs="Calibri"/>
                <w:b/>
                <w:bCs/>
                <w:color w:val="002060"/>
                <w:sz w:val="18"/>
                <w:szCs w:val="18"/>
              </w:rPr>
              <w:t> </w:t>
            </w:r>
          </w:p>
        </w:tc>
      </w:tr>
      <w:tr w:rsidR="005C437E" w:rsidRPr="00C7456C" w14:paraId="7A704404" w14:textId="77777777" w:rsidTr="005C437E">
        <w:trPr>
          <w:trHeight w:val="19"/>
        </w:trPr>
        <w:tc>
          <w:tcPr>
            <w:tcW w:w="2835" w:type="dxa"/>
            <w:tcBorders>
              <w:top w:val="nil"/>
              <w:left w:val="nil"/>
              <w:bottom w:val="nil"/>
              <w:right w:val="nil"/>
            </w:tcBorders>
            <w:shd w:val="clear" w:color="auto" w:fill="auto"/>
            <w:noWrap/>
            <w:vAlign w:val="center"/>
            <w:hideMark/>
          </w:tcPr>
          <w:p w14:paraId="1BFE86FB"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b/>
                <w:bCs/>
                <w:sz w:val="18"/>
                <w:szCs w:val="18"/>
              </w:rPr>
            </w:pPr>
            <w:r w:rsidRPr="00703BDF">
              <w:rPr>
                <w:rFonts w:cstheme="minorHAnsi"/>
                <w:b/>
                <w:bCs/>
                <w:sz w:val="18"/>
                <w:szCs w:val="18"/>
              </w:rPr>
              <w:t>合计</w:t>
            </w:r>
          </w:p>
        </w:tc>
        <w:tc>
          <w:tcPr>
            <w:tcW w:w="823" w:type="dxa"/>
            <w:tcBorders>
              <w:top w:val="nil"/>
              <w:left w:val="single" w:sz="4" w:space="0" w:color="0070C0"/>
              <w:bottom w:val="nil"/>
              <w:right w:val="nil"/>
            </w:tcBorders>
            <w:shd w:val="clear" w:color="auto" w:fill="auto"/>
            <w:noWrap/>
            <w:vAlign w:val="bottom"/>
            <w:hideMark/>
          </w:tcPr>
          <w:p w14:paraId="0E8D1E22"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1,411</w:t>
            </w:r>
          </w:p>
        </w:tc>
        <w:tc>
          <w:tcPr>
            <w:tcW w:w="973" w:type="dxa"/>
            <w:tcBorders>
              <w:top w:val="nil"/>
              <w:left w:val="nil"/>
              <w:bottom w:val="nil"/>
              <w:right w:val="nil"/>
            </w:tcBorders>
            <w:shd w:val="clear" w:color="auto" w:fill="auto"/>
            <w:noWrap/>
            <w:vAlign w:val="bottom"/>
            <w:hideMark/>
          </w:tcPr>
          <w:p w14:paraId="56C9B4C0"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50</w:t>
            </w:r>
          </w:p>
        </w:tc>
        <w:tc>
          <w:tcPr>
            <w:tcW w:w="962" w:type="dxa"/>
            <w:tcBorders>
              <w:top w:val="nil"/>
              <w:left w:val="nil"/>
              <w:bottom w:val="nil"/>
              <w:right w:val="nil"/>
            </w:tcBorders>
            <w:shd w:val="clear" w:color="auto" w:fill="auto"/>
            <w:noWrap/>
            <w:vAlign w:val="bottom"/>
            <w:hideMark/>
          </w:tcPr>
          <w:p w14:paraId="1327FEA6"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689</w:t>
            </w:r>
          </w:p>
        </w:tc>
        <w:tc>
          <w:tcPr>
            <w:tcW w:w="1008" w:type="dxa"/>
            <w:tcBorders>
              <w:top w:val="nil"/>
              <w:left w:val="nil"/>
              <w:bottom w:val="nil"/>
              <w:right w:val="nil"/>
            </w:tcBorders>
            <w:shd w:val="clear" w:color="auto" w:fill="auto"/>
            <w:noWrap/>
            <w:vAlign w:val="bottom"/>
            <w:hideMark/>
          </w:tcPr>
          <w:p w14:paraId="0060D21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565</w:t>
            </w:r>
          </w:p>
        </w:tc>
        <w:tc>
          <w:tcPr>
            <w:tcW w:w="786" w:type="dxa"/>
            <w:tcBorders>
              <w:top w:val="nil"/>
              <w:left w:val="nil"/>
              <w:bottom w:val="nil"/>
              <w:right w:val="nil"/>
            </w:tcBorders>
            <w:shd w:val="clear" w:color="auto" w:fill="auto"/>
            <w:noWrap/>
            <w:vAlign w:val="bottom"/>
            <w:hideMark/>
          </w:tcPr>
          <w:p w14:paraId="1D678CA7"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11,291</w:t>
            </w:r>
          </w:p>
        </w:tc>
        <w:tc>
          <w:tcPr>
            <w:tcW w:w="1129" w:type="dxa"/>
            <w:tcBorders>
              <w:top w:val="nil"/>
              <w:left w:val="nil"/>
              <w:bottom w:val="nil"/>
              <w:right w:val="nil"/>
            </w:tcBorders>
            <w:shd w:val="clear" w:color="auto" w:fill="auto"/>
            <w:noWrap/>
            <w:vAlign w:val="bottom"/>
            <w:hideMark/>
          </w:tcPr>
          <w:p w14:paraId="288B982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10,748</w:t>
            </w:r>
          </w:p>
        </w:tc>
        <w:tc>
          <w:tcPr>
            <w:tcW w:w="1008" w:type="dxa"/>
            <w:tcBorders>
              <w:top w:val="nil"/>
              <w:left w:val="nil"/>
              <w:bottom w:val="nil"/>
              <w:right w:val="nil"/>
            </w:tcBorders>
            <w:shd w:val="clear" w:color="auto" w:fill="auto"/>
            <w:noWrap/>
            <w:vAlign w:val="bottom"/>
            <w:hideMark/>
          </w:tcPr>
          <w:p w14:paraId="0E59860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8,514</w:t>
            </w:r>
          </w:p>
        </w:tc>
        <w:tc>
          <w:tcPr>
            <w:tcW w:w="973" w:type="dxa"/>
            <w:tcBorders>
              <w:top w:val="nil"/>
              <w:left w:val="nil"/>
              <w:bottom w:val="nil"/>
              <w:right w:val="nil"/>
            </w:tcBorders>
            <w:shd w:val="clear" w:color="auto" w:fill="auto"/>
            <w:noWrap/>
            <w:vAlign w:val="bottom"/>
            <w:hideMark/>
          </w:tcPr>
          <w:p w14:paraId="1B76D32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23,469</w:t>
            </w:r>
          </w:p>
        </w:tc>
        <w:tc>
          <w:tcPr>
            <w:tcW w:w="973" w:type="dxa"/>
            <w:tcBorders>
              <w:top w:val="nil"/>
              <w:left w:val="nil"/>
              <w:bottom w:val="nil"/>
              <w:right w:val="nil"/>
            </w:tcBorders>
            <w:shd w:val="clear" w:color="auto" w:fill="auto"/>
            <w:noWrap/>
            <w:vAlign w:val="bottom"/>
            <w:hideMark/>
          </w:tcPr>
          <w:p w14:paraId="388EF2CE"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5,801</w:t>
            </w:r>
          </w:p>
        </w:tc>
        <w:tc>
          <w:tcPr>
            <w:tcW w:w="973" w:type="dxa"/>
            <w:tcBorders>
              <w:top w:val="nil"/>
              <w:left w:val="nil"/>
              <w:bottom w:val="nil"/>
              <w:right w:val="nil"/>
            </w:tcBorders>
            <w:shd w:val="clear" w:color="auto" w:fill="auto"/>
            <w:noWrap/>
            <w:vAlign w:val="bottom"/>
            <w:hideMark/>
          </w:tcPr>
          <w:p w14:paraId="5F05A3C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8,879</w:t>
            </w:r>
          </w:p>
        </w:tc>
        <w:tc>
          <w:tcPr>
            <w:tcW w:w="957" w:type="dxa"/>
            <w:gridSpan w:val="2"/>
            <w:tcBorders>
              <w:top w:val="nil"/>
              <w:left w:val="nil"/>
              <w:bottom w:val="nil"/>
              <w:right w:val="nil"/>
            </w:tcBorders>
            <w:shd w:val="clear" w:color="auto" w:fill="auto"/>
            <w:noWrap/>
            <w:vAlign w:val="bottom"/>
            <w:hideMark/>
          </w:tcPr>
          <w:p w14:paraId="7669B694"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19,979</w:t>
            </w:r>
          </w:p>
        </w:tc>
        <w:tc>
          <w:tcPr>
            <w:tcW w:w="1044" w:type="dxa"/>
            <w:gridSpan w:val="2"/>
            <w:tcBorders>
              <w:top w:val="nil"/>
              <w:left w:val="nil"/>
              <w:bottom w:val="nil"/>
              <w:right w:val="nil"/>
            </w:tcBorders>
            <w:shd w:val="clear" w:color="auto" w:fill="auto"/>
            <w:noWrap/>
            <w:vAlign w:val="bottom"/>
            <w:hideMark/>
          </w:tcPr>
          <w:p w14:paraId="508E341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8"/>
                <w:szCs w:val="18"/>
              </w:rPr>
            </w:pPr>
            <w:r w:rsidRPr="00703BDF">
              <w:rPr>
                <w:rFonts w:eastAsia="Times New Roman" w:cs="Calibri"/>
                <w:b/>
                <w:bCs/>
                <w:color w:val="002060"/>
                <w:sz w:val="18"/>
                <w:szCs w:val="18"/>
              </w:rPr>
              <w:t>91,396</w:t>
            </w:r>
          </w:p>
        </w:tc>
      </w:tr>
      <w:tr w:rsidR="005C437E" w:rsidRPr="00C7456C" w14:paraId="2A70FFA5" w14:textId="77777777" w:rsidTr="005C437E">
        <w:trPr>
          <w:trHeight w:val="19"/>
        </w:trPr>
        <w:tc>
          <w:tcPr>
            <w:tcW w:w="2835" w:type="dxa"/>
            <w:tcBorders>
              <w:top w:val="nil"/>
              <w:left w:val="nil"/>
              <w:bottom w:val="nil"/>
              <w:right w:val="nil"/>
            </w:tcBorders>
            <w:shd w:val="clear" w:color="auto" w:fill="auto"/>
            <w:noWrap/>
            <w:vAlign w:val="center"/>
            <w:hideMark/>
          </w:tcPr>
          <w:p w14:paraId="3FEE577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8"/>
                <w:szCs w:val="18"/>
              </w:rPr>
            </w:pPr>
          </w:p>
        </w:tc>
        <w:tc>
          <w:tcPr>
            <w:tcW w:w="823" w:type="dxa"/>
            <w:tcBorders>
              <w:top w:val="nil"/>
              <w:left w:val="nil"/>
              <w:bottom w:val="nil"/>
              <w:right w:val="nil"/>
            </w:tcBorders>
            <w:shd w:val="clear" w:color="auto" w:fill="auto"/>
            <w:noWrap/>
            <w:vAlign w:val="center"/>
            <w:hideMark/>
          </w:tcPr>
          <w:p w14:paraId="359E86EA"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center"/>
            <w:hideMark/>
          </w:tcPr>
          <w:p w14:paraId="1DAA7D3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62" w:type="dxa"/>
            <w:tcBorders>
              <w:top w:val="nil"/>
              <w:left w:val="nil"/>
              <w:bottom w:val="nil"/>
              <w:right w:val="nil"/>
            </w:tcBorders>
            <w:shd w:val="clear" w:color="auto" w:fill="auto"/>
            <w:noWrap/>
            <w:vAlign w:val="center"/>
            <w:hideMark/>
          </w:tcPr>
          <w:p w14:paraId="3091DE3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center"/>
            <w:hideMark/>
          </w:tcPr>
          <w:p w14:paraId="6707229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86" w:type="dxa"/>
            <w:tcBorders>
              <w:top w:val="nil"/>
              <w:left w:val="nil"/>
              <w:bottom w:val="nil"/>
              <w:right w:val="nil"/>
            </w:tcBorders>
            <w:shd w:val="clear" w:color="auto" w:fill="auto"/>
            <w:noWrap/>
            <w:vAlign w:val="center"/>
            <w:hideMark/>
          </w:tcPr>
          <w:p w14:paraId="17C7250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129" w:type="dxa"/>
            <w:tcBorders>
              <w:top w:val="nil"/>
              <w:left w:val="nil"/>
              <w:bottom w:val="nil"/>
              <w:right w:val="nil"/>
            </w:tcBorders>
            <w:shd w:val="clear" w:color="auto" w:fill="auto"/>
            <w:noWrap/>
            <w:vAlign w:val="center"/>
            <w:hideMark/>
          </w:tcPr>
          <w:p w14:paraId="4DE3F7B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center"/>
            <w:hideMark/>
          </w:tcPr>
          <w:p w14:paraId="3DA2616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center"/>
            <w:hideMark/>
          </w:tcPr>
          <w:p w14:paraId="19804C72"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center"/>
            <w:hideMark/>
          </w:tcPr>
          <w:p w14:paraId="6A016D94"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center"/>
            <w:hideMark/>
          </w:tcPr>
          <w:p w14:paraId="53D5C17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7" w:type="dxa"/>
            <w:gridSpan w:val="2"/>
            <w:tcBorders>
              <w:top w:val="nil"/>
              <w:left w:val="nil"/>
              <w:bottom w:val="nil"/>
              <w:right w:val="nil"/>
            </w:tcBorders>
            <w:shd w:val="clear" w:color="auto" w:fill="auto"/>
            <w:noWrap/>
            <w:vAlign w:val="center"/>
            <w:hideMark/>
          </w:tcPr>
          <w:p w14:paraId="4A6D133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44" w:type="dxa"/>
            <w:gridSpan w:val="2"/>
            <w:tcBorders>
              <w:top w:val="nil"/>
              <w:left w:val="nil"/>
              <w:bottom w:val="nil"/>
              <w:right w:val="nil"/>
            </w:tcBorders>
            <w:shd w:val="clear" w:color="auto" w:fill="auto"/>
            <w:noWrap/>
            <w:vAlign w:val="center"/>
            <w:hideMark/>
          </w:tcPr>
          <w:p w14:paraId="5586AB9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C7456C" w14:paraId="307B0ED6" w14:textId="77777777" w:rsidTr="005C437E">
        <w:trPr>
          <w:trHeight w:val="19"/>
        </w:trPr>
        <w:tc>
          <w:tcPr>
            <w:tcW w:w="5593" w:type="dxa"/>
            <w:gridSpan w:val="4"/>
            <w:tcBorders>
              <w:top w:val="nil"/>
              <w:left w:val="nil"/>
              <w:bottom w:val="nil"/>
              <w:right w:val="nil"/>
            </w:tcBorders>
            <w:shd w:val="clear" w:color="000000" w:fill="FFFFFF"/>
            <w:noWrap/>
            <w:vAlign w:val="center"/>
            <w:hideMark/>
          </w:tcPr>
          <w:p w14:paraId="4C0C1D3B"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r w:rsidRPr="00703BDF">
              <w:rPr>
                <w:rFonts w:eastAsia="Times New Roman" w:cs="Calibri"/>
                <w:sz w:val="18"/>
                <w:szCs w:val="18"/>
                <w:lang w:eastAsia="zh-CN"/>
              </w:rPr>
              <w:t xml:space="preserve">*) </w:t>
            </w:r>
            <w:r w:rsidRPr="00703BDF">
              <w:rPr>
                <w:rFonts w:ascii="SimSun" w:hAnsi="SimSun" w:cs="Calibri" w:hint="eastAsia"/>
                <w:sz w:val="18"/>
                <w:szCs w:val="18"/>
                <w:lang w:eastAsia="zh-CN"/>
              </w:rPr>
              <w:t>包括设施管理处、法律事务处和内部审计员</w:t>
            </w:r>
          </w:p>
        </w:tc>
        <w:tc>
          <w:tcPr>
            <w:tcW w:w="1008" w:type="dxa"/>
            <w:tcBorders>
              <w:top w:val="nil"/>
              <w:left w:val="nil"/>
              <w:bottom w:val="nil"/>
              <w:right w:val="nil"/>
            </w:tcBorders>
            <w:shd w:val="clear" w:color="auto" w:fill="auto"/>
            <w:noWrap/>
            <w:vAlign w:val="center"/>
            <w:hideMark/>
          </w:tcPr>
          <w:p w14:paraId="07CA346F"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c>
          <w:tcPr>
            <w:tcW w:w="786" w:type="dxa"/>
            <w:tcBorders>
              <w:top w:val="nil"/>
              <w:left w:val="nil"/>
              <w:bottom w:val="nil"/>
              <w:right w:val="nil"/>
            </w:tcBorders>
            <w:shd w:val="clear" w:color="auto" w:fill="auto"/>
            <w:noWrap/>
            <w:vAlign w:val="center"/>
            <w:hideMark/>
          </w:tcPr>
          <w:p w14:paraId="734A2B30"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c>
          <w:tcPr>
            <w:tcW w:w="1129" w:type="dxa"/>
            <w:tcBorders>
              <w:top w:val="nil"/>
              <w:left w:val="nil"/>
              <w:bottom w:val="nil"/>
              <w:right w:val="nil"/>
            </w:tcBorders>
            <w:shd w:val="clear" w:color="auto" w:fill="auto"/>
            <w:noWrap/>
            <w:vAlign w:val="center"/>
            <w:hideMark/>
          </w:tcPr>
          <w:p w14:paraId="7F67B85C"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c>
          <w:tcPr>
            <w:tcW w:w="1008" w:type="dxa"/>
            <w:tcBorders>
              <w:top w:val="nil"/>
              <w:left w:val="nil"/>
              <w:bottom w:val="nil"/>
              <w:right w:val="nil"/>
            </w:tcBorders>
            <w:shd w:val="clear" w:color="auto" w:fill="auto"/>
            <w:noWrap/>
            <w:vAlign w:val="center"/>
            <w:hideMark/>
          </w:tcPr>
          <w:p w14:paraId="49189F3A"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c>
          <w:tcPr>
            <w:tcW w:w="973" w:type="dxa"/>
            <w:tcBorders>
              <w:top w:val="nil"/>
              <w:left w:val="nil"/>
              <w:bottom w:val="nil"/>
              <w:right w:val="nil"/>
            </w:tcBorders>
            <w:shd w:val="clear" w:color="auto" w:fill="auto"/>
            <w:noWrap/>
            <w:vAlign w:val="center"/>
            <w:hideMark/>
          </w:tcPr>
          <w:p w14:paraId="50A14D02"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c>
          <w:tcPr>
            <w:tcW w:w="973" w:type="dxa"/>
            <w:tcBorders>
              <w:top w:val="nil"/>
              <w:left w:val="nil"/>
              <w:bottom w:val="nil"/>
              <w:right w:val="nil"/>
            </w:tcBorders>
            <w:shd w:val="clear" w:color="auto" w:fill="auto"/>
            <w:noWrap/>
            <w:vAlign w:val="center"/>
            <w:hideMark/>
          </w:tcPr>
          <w:p w14:paraId="571436DE"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c>
          <w:tcPr>
            <w:tcW w:w="973" w:type="dxa"/>
            <w:tcBorders>
              <w:top w:val="nil"/>
              <w:left w:val="nil"/>
              <w:bottom w:val="nil"/>
              <w:right w:val="nil"/>
            </w:tcBorders>
            <w:shd w:val="clear" w:color="auto" w:fill="auto"/>
            <w:noWrap/>
            <w:vAlign w:val="center"/>
            <w:hideMark/>
          </w:tcPr>
          <w:p w14:paraId="3D89C721"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c>
          <w:tcPr>
            <w:tcW w:w="957" w:type="dxa"/>
            <w:gridSpan w:val="2"/>
            <w:tcBorders>
              <w:top w:val="nil"/>
              <w:left w:val="nil"/>
              <w:bottom w:val="nil"/>
              <w:right w:val="nil"/>
            </w:tcBorders>
            <w:shd w:val="clear" w:color="auto" w:fill="auto"/>
            <w:noWrap/>
            <w:vAlign w:val="center"/>
            <w:hideMark/>
          </w:tcPr>
          <w:p w14:paraId="69A906B7"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c>
          <w:tcPr>
            <w:tcW w:w="1044" w:type="dxa"/>
            <w:gridSpan w:val="2"/>
            <w:tcBorders>
              <w:top w:val="nil"/>
              <w:left w:val="nil"/>
              <w:bottom w:val="nil"/>
              <w:right w:val="nil"/>
            </w:tcBorders>
            <w:shd w:val="clear" w:color="auto" w:fill="auto"/>
            <w:noWrap/>
            <w:vAlign w:val="center"/>
            <w:hideMark/>
          </w:tcPr>
          <w:p w14:paraId="1473907F"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r>
    </w:tbl>
    <w:p w14:paraId="19B5A32E" w14:textId="7C464E0D" w:rsidR="005C437E" w:rsidRDefault="005C437E" w:rsidP="0090191E">
      <w:pPr>
        <w:pStyle w:val="Normalaftertitle"/>
        <w:rPr>
          <w:lang w:eastAsia="zh-CN"/>
        </w:rPr>
      </w:pPr>
      <w:r>
        <w:rPr>
          <w:lang w:eastAsia="zh-CN"/>
        </w:rPr>
        <w:br w:type="page"/>
      </w:r>
    </w:p>
    <w:tbl>
      <w:tblPr>
        <w:tblW w:w="14633" w:type="dxa"/>
        <w:tblLook w:val="04A0" w:firstRow="1" w:lastRow="0" w:firstColumn="1" w:lastColumn="0" w:noHBand="0" w:noVBand="1"/>
      </w:tblPr>
      <w:tblGrid>
        <w:gridCol w:w="3130"/>
        <w:gridCol w:w="918"/>
        <w:gridCol w:w="958"/>
        <w:gridCol w:w="942"/>
        <w:gridCol w:w="992"/>
        <w:gridCol w:w="770"/>
        <w:gridCol w:w="1079"/>
        <w:gridCol w:w="992"/>
        <w:gridCol w:w="958"/>
        <w:gridCol w:w="958"/>
        <w:gridCol w:w="958"/>
        <w:gridCol w:w="945"/>
        <w:gridCol w:w="1027"/>
        <w:gridCol w:w="6"/>
      </w:tblGrid>
      <w:tr w:rsidR="005C437E" w:rsidRPr="00562D3C" w14:paraId="2D1B029A" w14:textId="77777777" w:rsidTr="002F7131">
        <w:trPr>
          <w:gridAfter w:val="1"/>
          <w:wAfter w:w="6" w:type="dxa"/>
          <w:trHeight w:val="20"/>
        </w:trPr>
        <w:tc>
          <w:tcPr>
            <w:tcW w:w="3130" w:type="dxa"/>
            <w:tcBorders>
              <w:top w:val="nil"/>
              <w:left w:val="nil"/>
              <w:bottom w:val="nil"/>
              <w:right w:val="nil"/>
            </w:tcBorders>
            <w:shd w:val="clear" w:color="auto" w:fill="auto"/>
            <w:noWrap/>
            <w:vAlign w:val="center"/>
            <w:hideMark/>
          </w:tcPr>
          <w:p w14:paraId="77542825"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562D3C">
              <w:rPr>
                <w:rFonts w:ascii="SimSun" w:hAnsi="SimSun" w:cs="Calibri" w:hint="eastAsia"/>
                <w:b/>
                <w:bCs/>
                <w:color w:val="002060"/>
                <w:sz w:val="40"/>
                <w:szCs w:val="40"/>
              </w:rPr>
              <w:lastRenderedPageBreak/>
              <w:t>表</w:t>
            </w:r>
            <w:r w:rsidRPr="00562D3C">
              <w:rPr>
                <w:rFonts w:eastAsia="Times New Roman" w:cs="Calibri"/>
                <w:b/>
                <w:bCs/>
                <w:color w:val="002060"/>
                <w:sz w:val="40"/>
                <w:szCs w:val="40"/>
              </w:rPr>
              <w:t>4-2</w:t>
            </w:r>
          </w:p>
        </w:tc>
        <w:tc>
          <w:tcPr>
            <w:tcW w:w="918" w:type="dxa"/>
            <w:tcBorders>
              <w:top w:val="nil"/>
              <w:left w:val="nil"/>
              <w:bottom w:val="nil"/>
              <w:right w:val="nil"/>
            </w:tcBorders>
            <w:shd w:val="clear" w:color="auto" w:fill="auto"/>
            <w:noWrap/>
            <w:vAlign w:val="center"/>
            <w:hideMark/>
          </w:tcPr>
          <w:p w14:paraId="7295075A"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958" w:type="dxa"/>
            <w:tcBorders>
              <w:top w:val="nil"/>
              <w:left w:val="nil"/>
              <w:bottom w:val="nil"/>
              <w:right w:val="nil"/>
            </w:tcBorders>
            <w:shd w:val="clear" w:color="auto" w:fill="auto"/>
            <w:noWrap/>
            <w:vAlign w:val="center"/>
            <w:hideMark/>
          </w:tcPr>
          <w:p w14:paraId="5A4807E5"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42" w:type="dxa"/>
            <w:tcBorders>
              <w:top w:val="nil"/>
              <w:left w:val="nil"/>
              <w:bottom w:val="nil"/>
              <w:right w:val="nil"/>
            </w:tcBorders>
            <w:shd w:val="clear" w:color="auto" w:fill="auto"/>
            <w:noWrap/>
            <w:vAlign w:val="center"/>
            <w:hideMark/>
          </w:tcPr>
          <w:p w14:paraId="1863D44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92" w:type="dxa"/>
            <w:tcBorders>
              <w:top w:val="nil"/>
              <w:left w:val="nil"/>
              <w:bottom w:val="nil"/>
              <w:right w:val="nil"/>
            </w:tcBorders>
            <w:shd w:val="clear" w:color="auto" w:fill="auto"/>
            <w:noWrap/>
            <w:vAlign w:val="center"/>
            <w:hideMark/>
          </w:tcPr>
          <w:p w14:paraId="48D46E55"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770" w:type="dxa"/>
            <w:tcBorders>
              <w:top w:val="nil"/>
              <w:left w:val="nil"/>
              <w:bottom w:val="nil"/>
              <w:right w:val="nil"/>
            </w:tcBorders>
            <w:shd w:val="clear" w:color="auto" w:fill="auto"/>
            <w:noWrap/>
            <w:vAlign w:val="center"/>
            <w:hideMark/>
          </w:tcPr>
          <w:p w14:paraId="18997CFC"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79" w:type="dxa"/>
            <w:tcBorders>
              <w:top w:val="nil"/>
              <w:left w:val="nil"/>
              <w:bottom w:val="nil"/>
              <w:right w:val="nil"/>
            </w:tcBorders>
            <w:shd w:val="clear" w:color="auto" w:fill="auto"/>
            <w:noWrap/>
            <w:vAlign w:val="center"/>
            <w:hideMark/>
          </w:tcPr>
          <w:p w14:paraId="535C9BAC"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92" w:type="dxa"/>
            <w:tcBorders>
              <w:top w:val="nil"/>
              <w:left w:val="nil"/>
              <w:bottom w:val="nil"/>
              <w:right w:val="nil"/>
            </w:tcBorders>
            <w:shd w:val="clear" w:color="auto" w:fill="auto"/>
            <w:noWrap/>
            <w:vAlign w:val="center"/>
            <w:hideMark/>
          </w:tcPr>
          <w:p w14:paraId="22CD044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58" w:type="dxa"/>
            <w:tcBorders>
              <w:top w:val="nil"/>
              <w:left w:val="nil"/>
              <w:bottom w:val="nil"/>
              <w:right w:val="nil"/>
            </w:tcBorders>
            <w:shd w:val="clear" w:color="auto" w:fill="auto"/>
            <w:noWrap/>
            <w:vAlign w:val="center"/>
            <w:hideMark/>
          </w:tcPr>
          <w:p w14:paraId="2E2AF09D"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58" w:type="dxa"/>
            <w:tcBorders>
              <w:top w:val="nil"/>
              <w:left w:val="nil"/>
              <w:bottom w:val="nil"/>
              <w:right w:val="nil"/>
            </w:tcBorders>
            <w:shd w:val="clear" w:color="auto" w:fill="auto"/>
            <w:noWrap/>
            <w:vAlign w:val="center"/>
            <w:hideMark/>
          </w:tcPr>
          <w:p w14:paraId="405D8D6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58" w:type="dxa"/>
            <w:tcBorders>
              <w:top w:val="nil"/>
              <w:left w:val="nil"/>
              <w:bottom w:val="nil"/>
              <w:right w:val="nil"/>
            </w:tcBorders>
            <w:shd w:val="clear" w:color="auto" w:fill="auto"/>
            <w:noWrap/>
            <w:vAlign w:val="center"/>
            <w:hideMark/>
          </w:tcPr>
          <w:p w14:paraId="600778FF"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45" w:type="dxa"/>
            <w:tcBorders>
              <w:top w:val="nil"/>
              <w:left w:val="nil"/>
              <w:bottom w:val="nil"/>
              <w:right w:val="nil"/>
            </w:tcBorders>
            <w:shd w:val="clear" w:color="auto" w:fill="auto"/>
            <w:noWrap/>
            <w:vAlign w:val="center"/>
            <w:hideMark/>
          </w:tcPr>
          <w:p w14:paraId="19B9A5C8"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27" w:type="dxa"/>
            <w:tcBorders>
              <w:top w:val="nil"/>
              <w:left w:val="nil"/>
              <w:bottom w:val="nil"/>
              <w:right w:val="nil"/>
            </w:tcBorders>
            <w:shd w:val="clear" w:color="auto" w:fill="auto"/>
            <w:noWrap/>
            <w:vAlign w:val="center"/>
            <w:hideMark/>
          </w:tcPr>
          <w:p w14:paraId="0219A6A7"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562D3C" w14:paraId="7B754652" w14:textId="77777777" w:rsidTr="002F7131">
        <w:trPr>
          <w:gridAfter w:val="1"/>
          <w:wAfter w:w="6" w:type="dxa"/>
          <w:trHeight w:val="20"/>
        </w:trPr>
        <w:tc>
          <w:tcPr>
            <w:tcW w:w="3130" w:type="dxa"/>
            <w:tcBorders>
              <w:top w:val="nil"/>
              <w:left w:val="nil"/>
              <w:bottom w:val="nil"/>
              <w:right w:val="nil"/>
            </w:tcBorders>
            <w:shd w:val="clear" w:color="auto" w:fill="auto"/>
            <w:noWrap/>
            <w:vAlign w:val="center"/>
            <w:hideMark/>
          </w:tcPr>
          <w:p w14:paraId="003F8EB1"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r w:rsidRPr="00562D3C">
              <w:rPr>
                <w:rFonts w:ascii="STKaiti" w:eastAsia="STKaiti" w:hAnsi="STKaiti" w:hint="eastAsia"/>
                <w:b/>
                <w:bCs/>
                <w:color w:val="002060"/>
                <w:sz w:val="28"/>
                <w:szCs w:val="28"/>
              </w:rPr>
              <w:t>总秘书处</w:t>
            </w:r>
            <w:r w:rsidRPr="00562D3C">
              <w:rPr>
                <w:rFonts w:eastAsia="STKaiti" w:cs="Calibri"/>
                <w:b/>
                <w:bCs/>
                <w:color w:val="002060"/>
                <w:sz w:val="28"/>
                <w:szCs w:val="28"/>
              </w:rPr>
              <w:t>2023</w:t>
            </w:r>
            <w:r w:rsidRPr="00562D3C">
              <w:rPr>
                <w:rFonts w:ascii="STKaiti" w:eastAsia="STKaiti" w:hAnsi="STKaiti" w:hint="eastAsia"/>
                <w:b/>
                <w:bCs/>
                <w:color w:val="002060"/>
                <w:sz w:val="28"/>
                <w:szCs w:val="28"/>
              </w:rPr>
              <w:t>年</w:t>
            </w:r>
          </w:p>
        </w:tc>
        <w:tc>
          <w:tcPr>
            <w:tcW w:w="918" w:type="dxa"/>
            <w:tcBorders>
              <w:top w:val="nil"/>
              <w:left w:val="nil"/>
              <w:bottom w:val="nil"/>
              <w:right w:val="nil"/>
            </w:tcBorders>
            <w:shd w:val="clear" w:color="auto" w:fill="auto"/>
            <w:noWrap/>
            <w:vAlign w:val="center"/>
            <w:hideMark/>
          </w:tcPr>
          <w:p w14:paraId="2151BE05"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p>
        </w:tc>
        <w:tc>
          <w:tcPr>
            <w:tcW w:w="958" w:type="dxa"/>
            <w:tcBorders>
              <w:top w:val="nil"/>
              <w:left w:val="nil"/>
              <w:bottom w:val="nil"/>
              <w:right w:val="nil"/>
            </w:tcBorders>
            <w:shd w:val="clear" w:color="auto" w:fill="auto"/>
            <w:noWrap/>
            <w:vAlign w:val="center"/>
            <w:hideMark/>
          </w:tcPr>
          <w:p w14:paraId="57F3959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42" w:type="dxa"/>
            <w:tcBorders>
              <w:top w:val="nil"/>
              <w:left w:val="nil"/>
              <w:bottom w:val="nil"/>
              <w:right w:val="nil"/>
            </w:tcBorders>
            <w:shd w:val="clear" w:color="auto" w:fill="auto"/>
            <w:noWrap/>
            <w:vAlign w:val="center"/>
            <w:hideMark/>
          </w:tcPr>
          <w:p w14:paraId="36BFA16B"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92" w:type="dxa"/>
            <w:tcBorders>
              <w:top w:val="nil"/>
              <w:left w:val="nil"/>
              <w:bottom w:val="nil"/>
              <w:right w:val="nil"/>
            </w:tcBorders>
            <w:shd w:val="clear" w:color="auto" w:fill="auto"/>
            <w:noWrap/>
            <w:vAlign w:val="center"/>
            <w:hideMark/>
          </w:tcPr>
          <w:p w14:paraId="70A06999"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770" w:type="dxa"/>
            <w:tcBorders>
              <w:top w:val="nil"/>
              <w:left w:val="nil"/>
              <w:bottom w:val="nil"/>
              <w:right w:val="nil"/>
            </w:tcBorders>
            <w:shd w:val="clear" w:color="auto" w:fill="auto"/>
            <w:noWrap/>
            <w:vAlign w:val="center"/>
            <w:hideMark/>
          </w:tcPr>
          <w:p w14:paraId="550009B8"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79" w:type="dxa"/>
            <w:tcBorders>
              <w:top w:val="nil"/>
              <w:left w:val="nil"/>
              <w:bottom w:val="nil"/>
              <w:right w:val="nil"/>
            </w:tcBorders>
            <w:shd w:val="clear" w:color="auto" w:fill="auto"/>
            <w:noWrap/>
            <w:vAlign w:val="center"/>
            <w:hideMark/>
          </w:tcPr>
          <w:p w14:paraId="7D81AA7C"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92" w:type="dxa"/>
            <w:tcBorders>
              <w:top w:val="nil"/>
              <w:left w:val="nil"/>
              <w:bottom w:val="nil"/>
              <w:right w:val="nil"/>
            </w:tcBorders>
            <w:shd w:val="clear" w:color="auto" w:fill="auto"/>
            <w:noWrap/>
            <w:vAlign w:val="center"/>
            <w:hideMark/>
          </w:tcPr>
          <w:p w14:paraId="727664A9"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58" w:type="dxa"/>
            <w:tcBorders>
              <w:top w:val="nil"/>
              <w:left w:val="nil"/>
              <w:bottom w:val="nil"/>
              <w:right w:val="nil"/>
            </w:tcBorders>
            <w:shd w:val="clear" w:color="auto" w:fill="auto"/>
            <w:noWrap/>
            <w:vAlign w:val="center"/>
            <w:hideMark/>
          </w:tcPr>
          <w:p w14:paraId="43008CEC"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58" w:type="dxa"/>
            <w:tcBorders>
              <w:top w:val="nil"/>
              <w:left w:val="nil"/>
              <w:bottom w:val="nil"/>
              <w:right w:val="nil"/>
            </w:tcBorders>
            <w:shd w:val="clear" w:color="auto" w:fill="auto"/>
            <w:noWrap/>
            <w:vAlign w:val="center"/>
            <w:hideMark/>
          </w:tcPr>
          <w:p w14:paraId="072B185F"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58" w:type="dxa"/>
            <w:tcBorders>
              <w:top w:val="nil"/>
              <w:left w:val="nil"/>
              <w:bottom w:val="nil"/>
              <w:right w:val="nil"/>
            </w:tcBorders>
            <w:shd w:val="clear" w:color="auto" w:fill="auto"/>
            <w:noWrap/>
            <w:vAlign w:val="center"/>
            <w:hideMark/>
          </w:tcPr>
          <w:p w14:paraId="1B52B7CD"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45" w:type="dxa"/>
            <w:tcBorders>
              <w:top w:val="nil"/>
              <w:left w:val="nil"/>
              <w:bottom w:val="nil"/>
              <w:right w:val="nil"/>
            </w:tcBorders>
            <w:shd w:val="clear" w:color="auto" w:fill="auto"/>
            <w:noWrap/>
            <w:vAlign w:val="center"/>
            <w:hideMark/>
          </w:tcPr>
          <w:p w14:paraId="4F61EB4B"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27" w:type="dxa"/>
            <w:tcBorders>
              <w:top w:val="nil"/>
              <w:left w:val="nil"/>
              <w:bottom w:val="nil"/>
              <w:right w:val="nil"/>
            </w:tcBorders>
            <w:shd w:val="clear" w:color="auto" w:fill="auto"/>
            <w:noWrap/>
            <w:vAlign w:val="center"/>
            <w:hideMark/>
          </w:tcPr>
          <w:p w14:paraId="7A8C827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562D3C" w14:paraId="4F6FE1C1" w14:textId="77777777" w:rsidTr="002F7131">
        <w:trPr>
          <w:gridAfter w:val="1"/>
          <w:wAfter w:w="6" w:type="dxa"/>
          <w:trHeight w:val="20"/>
        </w:trPr>
        <w:tc>
          <w:tcPr>
            <w:tcW w:w="4048" w:type="dxa"/>
            <w:gridSpan w:val="2"/>
            <w:tcBorders>
              <w:top w:val="nil"/>
              <w:left w:val="nil"/>
              <w:bottom w:val="nil"/>
              <w:right w:val="nil"/>
            </w:tcBorders>
            <w:shd w:val="clear" w:color="auto" w:fill="auto"/>
            <w:noWrap/>
            <w:vAlign w:val="center"/>
            <w:hideMark/>
          </w:tcPr>
          <w:p w14:paraId="5D17C22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r w:rsidRPr="00562D3C">
              <w:rPr>
                <w:rFonts w:ascii="STKaiti" w:eastAsia="STKaiti" w:hAnsi="STKaiti" w:hint="eastAsia"/>
                <w:b/>
                <w:bCs/>
                <w:color w:val="002060"/>
                <w:szCs w:val="24"/>
                <w:lang w:eastAsia="zh-CN"/>
              </w:rPr>
              <w:t>按项和支出类别列出的计划支出</w:t>
            </w:r>
          </w:p>
        </w:tc>
        <w:tc>
          <w:tcPr>
            <w:tcW w:w="958" w:type="dxa"/>
            <w:tcBorders>
              <w:top w:val="nil"/>
              <w:left w:val="nil"/>
              <w:bottom w:val="nil"/>
              <w:right w:val="nil"/>
            </w:tcBorders>
            <w:shd w:val="clear" w:color="auto" w:fill="auto"/>
            <w:noWrap/>
            <w:vAlign w:val="center"/>
            <w:hideMark/>
          </w:tcPr>
          <w:p w14:paraId="73814B6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p>
        </w:tc>
        <w:tc>
          <w:tcPr>
            <w:tcW w:w="942" w:type="dxa"/>
            <w:tcBorders>
              <w:top w:val="nil"/>
              <w:left w:val="nil"/>
              <w:bottom w:val="nil"/>
              <w:right w:val="nil"/>
            </w:tcBorders>
            <w:shd w:val="clear" w:color="auto" w:fill="auto"/>
            <w:noWrap/>
            <w:vAlign w:val="center"/>
            <w:hideMark/>
          </w:tcPr>
          <w:p w14:paraId="4237AA4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992" w:type="dxa"/>
            <w:tcBorders>
              <w:top w:val="nil"/>
              <w:left w:val="nil"/>
              <w:bottom w:val="nil"/>
              <w:right w:val="nil"/>
            </w:tcBorders>
            <w:shd w:val="clear" w:color="auto" w:fill="auto"/>
            <w:noWrap/>
            <w:vAlign w:val="center"/>
            <w:hideMark/>
          </w:tcPr>
          <w:p w14:paraId="6C8D492D"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770" w:type="dxa"/>
            <w:tcBorders>
              <w:top w:val="nil"/>
              <w:left w:val="nil"/>
              <w:bottom w:val="nil"/>
              <w:right w:val="nil"/>
            </w:tcBorders>
            <w:shd w:val="clear" w:color="auto" w:fill="auto"/>
            <w:noWrap/>
            <w:vAlign w:val="center"/>
            <w:hideMark/>
          </w:tcPr>
          <w:p w14:paraId="033D313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079" w:type="dxa"/>
            <w:tcBorders>
              <w:top w:val="nil"/>
              <w:left w:val="nil"/>
              <w:bottom w:val="nil"/>
              <w:right w:val="nil"/>
            </w:tcBorders>
            <w:shd w:val="clear" w:color="auto" w:fill="auto"/>
            <w:noWrap/>
            <w:vAlign w:val="center"/>
            <w:hideMark/>
          </w:tcPr>
          <w:p w14:paraId="5D9509BA"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992" w:type="dxa"/>
            <w:tcBorders>
              <w:top w:val="nil"/>
              <w:left w:val="nil"/>
              <w:bottom w:val="nil"/>
              <w:right w:val="nil"/>
            </w:tcBorders>
            <w:shd w:val="clear" w:color="auto" w:fill="auto"/>
            <w:noWrap/>
            <w:vAlign w:val="center"/>
            <w:hideMark/>
          </w:tcPr>
          <w:p w14:paraId="39A3181D"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958" w:type="dxa"/>
            <w:tcBorders>
              <w:top w:val="nil"/>
              <w:left w:val="nil"/>
              <w:bottom w:val="nil"/>
              <w:right w:val="nil"/>
            </w:tcBorders>
            <w:shd w:val="clear" w:color="auto" w:fill="auto"/>
            <w:noWrap/>
            <w:vAlign w:val="center"/>
            <w:hideMark/>
          </w:tcPr>
          <w:p w14:paraId="40E0DE76"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958" w:type="dxa"/>
            <w:tcBorders>
              <w:top w:val="nil"/>
              <w:left w:val="nil"/>
              <w:bottom w:val="nil"/>
              <w:right w:val="nil"/>
            </w:tcBorders>
            <w:shd w:val="clear" w:color="auto" w:fill="auto"/>
            <w:noWrap/>
            <w:vAlign w:val="center"/>
            <w:hideMark/>
          </w:tcPr>
          <w:p w14:paraId="0DC32B1D"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958" w:type="dxa"/>
            <w:tcBorders>
              <w:top w:val="nil"/>
              <w:left w:val="nil"/>
              <w:bottom w:val="nil"/>
              <w:right w:val="nil"/>
            </w:tcBorders>
            <w:shd w:val="clear" w:color="auto" w:fill="auto"/>
            <w:noWrap/>
            <w:vAlign w:val="center"/>
            <w:hideMark/>
          </w:tcPr>
          <w:p w14:paraId="1359ADA3"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945" w:type="dxa"/>
            <w:tcBorders>
              <w:top w:val="nil"/>
              <w:left w:val="nil"/>
              <w:bottom w:val="nil"/>
              <w:right w:val="nil"/>
            </w:tcBorders>
            <w:shd w:val="clear" w:color="auto" w:fill="auto"/>
            <w:noWrap/>
            <w:vAlign w:val="center"/>
            <w:hideMark/>
          </w:tcPr>
          <w:p w14:paraId="7266FF3C"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027" w:type="dxa"/>
            <w:tcBorders>
              <w:top w:val="nil"/>
              <w:left w:val="nil"/>
              <w:bottom w:val="nil"/>
              <w:right w:val="nil"/>
            </w:tcBorders>
            <w:shd w:val="clear" w:color="auto" w:fill="auto"/>
            <w:noWrap/>
            <w:vAlign w:val="center"/>
            <w:hideMark/>
          </w:tcPr>
          <w:p w14:paraId="745A8366"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5C437E" w:rsidRPr="00562D3C" w14:paraId="6932DAD5" w14:textId="77777777" w:rsidTr="002F7131">
        <w:trPr>
          <w:trHeight w:val="20"/>
        </w:trPr>
        <w:tc>
          <w:tcPr>
            <w:tcW w:w="3130" w:type="dxa"/>
            <w:tcBorders>
              <w:top w:val="nil"/>
              <w:left w:val="nil"/>
              <w:bottom w:val="nil"/>
              <w:right w:val="nil"/>
            </w:tcBorders>
            <w:shd w:val="clear" w:color="auto" w:fill="auto"/>
            <w:noWrap/>
            <w:vAlign w:val="center"/>
            <w:hideMark/>
          </w:tcPr>
          <w:p w14:paraId="12349324"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1503" w:type="dxa"/>
            <w:gridSpan w:val="13"/>
            <w:tcBorders>
              <w:top w:val="nil"/>
              <w:left w:val="nil"/>
              <w:bottom w:val="nil"/>
              <w:right w:val="nil"/>
            </w:tcBorders>
            <w:shd w:val="clear" w:color="auto" w:fill="auto"/>
            <w:noWrap/>
            <w:vAlign w:val="center"/>
            <w:hideMark/>
          </w:tcPr>
          <w:p w14:paraId="05FD806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562D3C">
              <w:rPr>
                <w:rFonts w:ascii="STKaiti" w:eastAsia="STKaiti" w:hAnsi="STKaiti" w:hint="eastAsia"/>
                <w:color w:val="002060"/>
                <w:sz w:val="18"/>
                <w:szCs w:val="18"/>
              </w:rPr>
              <w:t>单位：千瑞郎</w:t>
            </w:r>
          </w:p>
        </w:tc>
      </w:tr>
      <w:tr w:rsidR="005C437E" w:rsidRPr="00562D3C" w14:paraId="6FA03395" w14:textId="77777777" w:rsidTr="002F7131">
        <w:trPr>
          <w:trHeight w:val="20"/>
        </w:trPr>
        <w:tc>
          <w:tcPr>
            <w:tcW w:w="6940" w:type="dxa"/>
            <w:gridSpan w:val="5"/>
            <w:tcBorders>
              <w:top w:val="nil"/>
              <w:left w:val="nil"/>
              <w:bottom w:val="nil"/>
              <w:right w:val="nil"/>
            </w:tcBorders>
            <w:shd w:val="clear" w:color="auto" w:fill="auto"/>
            <w:noWrap/>
            <w:vAlign w:val="center"/>
            <w:hideMark/>
          </w:tcPr>
          <w:p w14:paraId="5F02162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p>
        </w:tc>
        <w:tc>
          <w:tcPr>
            <w:tcW w:w="6660" w:type="dxa"/>
            <w:gridSpan w:val="7"/>
            <w:tcBorders>
              <w:top w:val="nil"/>
              <w:left w:val="nil"/>
              <w:bottom w:val="nil"/>
              <w:right w:val="nil"/>
            </w:tcBorders>
            <w:shd w:val="clear" w:color="auto" w:fill="auto"/>
            <w:noWrap/>
            <w:vAlign w:val="center"/>
            <w:hideMark/>
          </w:tcPr>
          <w:p w14:paraId="6E191B9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r w:rsidRPr="00562D3C">
              <w:rPr>
                <w:rFonts w:ascii="STKaiti" w:eastAsia="STKaiti" w:hAnsi="STKaiti" w:hint="eastAsia"/>
                <w:b/>
                <w:bCs/>
                <w:color w:val="002060"/>
                <w:sz w:val="20"/>
              </w:rPr>
              <w:t>秘书长办公室和各部</w:t>
            </w:r>
          </w:p>
        </w:tc>
        <w:tc>
          <w:tcPr>
            <w:tcW w:w="1033" w:type="dxa"/>
            <w:gridSpan w:val="2"/>
            <w:tcBorders>
              <w:top w:val="nil"/>
              <w:left w:val="nil"/>
              <w:bottom w:val="nil"/>
              <w:right w:val="nil"/>
            </w:tcBorders>
            <w:shd w:val="clear" w:color="auto" w:fill="auto"/>
            <w:noWrap/>
            <w:vAlign w:val="center"/>
            <w:hideMark/>
          </w:tcPr>
          <w:p w14:paraId="5444D4B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r w:rsidRPr="00562D3C">
              <w:rPr>
                <w:rFonts w:ascii="Helv" w:eastAsia="Times New Roman" w:hAnsi="Helv"/>
                <w:noProof/>
                <w:sz w:val="20"/>
              </w:rPr>
              <mc:AlternateContent>
                <mc:Choice Requires="wps">
                  <w:drawing>
                    <wp:anchor distT="0" distB="0" distL="114300" distR="114300" simplePos="0" relativeHeight="251674624" behindDoc="0" locked="0" layoutInCell="1" allowOverlap="1" wp14:anchorId="643A600A" wp14:editId="2E834490">
                      <wp:simplePos x="0" y="0"/>
                      <wp:positionH relativeFrom="column">
                        <wp:posOffset>-29210</wp:posOffset>
                      </wp:positionH>
                      <wp:positionV relativeFrom="paragraph">
                        <wp:posOffset>144780</wp:posOffset>
                      </wp:positionV>
                      <wp:extent cx="691515" cy="3683000"/>
                      <wp:effectExtent l="0" t="0" r="13335" b="12700"/>
                      <wp:wrapNone/>
                      <wp:docPr id="1062" name="圆角矩形 1062">
                        <a:extLst xmlns:a="http://schemas.openxmlformats.org/drawingml/2006/main">
                          <a:ext uri="{FF2B5EF4-FFF2-40B4-BE49-F238E27FC236}">
                            <a16:creationId xmlns:a16="http://schemas.microsoft.com/office/drawing/2014/main" id="{AA1F0FB5-B941-F149-A890-89C5A652430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368300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57A8A877" id="圆角矩形 1062" o:spid="_x0000_s1026" style="position:absolute;margin-left:-2.3pt;margin-top:11.4pt;width:54.45pt;height:29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" filled="f" strokecolor="#0070c0" strokeweight="1pt"/>
                  </w:pict>
                </mc:Fallback>
              </mc:AlternateContent>
            </w:r>
          </w:p>
        </w:tc>
      </w:tr>
      <w:tr w:rsidR="005C437E" w:rsidRPr="00562D3C" w14:paraId="63DA36FA" w14:textId="77777777" w:rsidTr="002F7131">
        <w:trPr>
          <w:gridAfter w:val="1"/>
          <w:wAfter w:w="6" w:type="dxa"/>
          <w:trHeight w:val="20"/>
        </w:trPr>
        <w:tc>
          <w:tcPr>
            <w:tcW w:w="3130" w:type="dxa"/>
            <w:tcBorders>
              <w:top w:val="nil"/>
              <w:left w:val="nil"/>
              <w:bottom w:val="nil"/>
              <w:right w:val="nil"/>
            </w:tcBorders>
            <w:shd w:val="clear" w:color="auto" w:fill="auto"/>
            <w:noWrap/>
            <w:vAlign w:val="center"/>
            <w:hideMark/>
          </w:tcPr>
          <w:p w14:paraId="6FE7DE8D"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18" w:type="dxa"/>
            <w:tcBorders>
              <w:top w:val="nil"/>
              <w:left w:val="nil"/>
              <w:bottom w:val="nil"/>
              <w:right w:val="nil"/>
            </w:tcBorders>
            <w:shd w:val="clear" w:color="auto" w:fill="auto"/>
            <w:noWrap/>
            <w:vAlign w:val="center"/>
            <w:hideMark/>
          </w:tcPr>
          <w:p w14:paraId="2D51B824"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58" w:type="dxa"/>
            <w:tcBorders>
              <w:top w:val="nil"/>
              <w:left w:val="nil"/>
              <w:bottom w:val="nil"/>
              <w:right w:val="nil"/>
            </w:tcBorders>
            <w:shd w:val="clear" w:color="auto" w:fill="auto"/>
            <w:noWrap/>
            <w:vAlign w:val="center"/>
            <w:hideMark/>
          </w:tcPr>
          <w:p w14:paraId="33120CB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942" w:type="dxa"/>
            <w:tcBorders>
              <w:top w:val="nil"/>
              <w:left w:val="nil"/>
              <w:bottom w:val="nil"/>
              <w:right w:val="nil"/>
            </w:tcBorders>
            <w:shd w:val="clear" w:color="auto" w:fill="auto"/>
            <w:noWrap/>
            <w:vAlign w:val="center"/>
            <w:hideMark/>
          </w:tcPr>
          <w:p w14:paraId="567F18A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992" w:type="dxa"/>
            <w:tcBorders>
              <w:top w:val="nil"/>
              <w:left w:val="nil"/>
              <w:bottom w:val="nil"/>
              <w:right w:val="nil"/>
            </w:tcBorders>
            <w:shd w:val="clear" w:color="auto" w:fill="auto"/>
            <w:noWrap/>
            <w:vAlign w:val="center"/>
            <w:hideMark/>
          </w:tcPr>
          <w:p w14:paraId="64E0C94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770" w:type="dxa"/>
            <w:tcBorders>
              <w:top w:val="nil"/>
              <w:left w:val="nil"/>
              <w:bottom w:val="nil"/>
              <w:right w:val="nil"/>
            </w:tcBorders>
            <w:shd w:val="clear" w:color="auto" w:fill="auto"/>
            <w:noWrap/>
            <w:vAlign w:val="bottom"/>
            <w:hideMark/>
          </w:tcPr>
          <w:p w14:paraId="1E95AA9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tc>
        <w:tc>
          <w:tcPr>
            <w:tcW w:w="1079" w:type="dxa"/>
            <w:tcBorders>
              <w:top w:val="nil"/>
              <w:left w:val="nil"/>
              <w:bottom w:val="nil"/>
              <w:right w:val="nil"/>
            </w:tcBorders>
            <w:shd w:val="clear" w:color="auto" w:fill="auto"/>
            <w:noWrap/>
            <w:vAlign w:val="center"/>
            <w:hideMark/>
          </w:tcPr>
          <w:p w14:paraId="6EBF275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92" w:type="dxa"/>
            <w:tcBorders>
              <w:top w:val="nil"/>
              <w:left w:val="nil"/>
              <w:bottom w:val="nil"/>
              <w:right w:val="nil"/>
            </w:tcBorders>
            <w:shd w:val="clear" w:color="auto" w:fill="auto"/>
            <w:noWrap/>
            <w:vAlign w:val="center"/>
            <w:hideMark/>
          </w:tcPr>
          <w:p w14:paraId="3656354A"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r w:rsidRPr="00703BDF">
              <w:rPr>
                <w:rFonts w:ascii="Times New Roman" w:eastAsia="Times New Roman" w:hAnsi="Times New Roman"/>
                <w:noProof/>
                <w:sz w:val="18"/>
              </w:rPr>
              <mc:AlternateContent>
                <mc:Choice Requires="wps">
                  <w:drawing>
                    <wp:anchor distT="0" distB="0" distL="114300" distR="114300" simplePos="0" relativeHeight="251675648" behindDoc="0" locked="0" layoutInCell="1" allowOverlap="1" wp14:anchorId="7CEA157C" wp14:editId="3B4739B2">
                      <wp:simplePos x="0" y="0"/>
                      <wp:positionH relativeFrom="column">
                        <wp:posOffset>818515</wp:posOffset>
                      </wp:positionH>
                      <wp:positionV relativeFrom="paragraph">
                        <wp:posOffset>-2087245</wp:posOffset>
                      </wp:positionV>
                      <wp:extent cx="45085" cy="4189095"/>
                      <wp:effectExtent l="4445" t="0" r="16510" b="16510"/>
                      <wp:wrapNone/>
                      <wp:docPr id="106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5085" cy="4189095"/>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75B0157" id="AutoShape 15" o:spid="_x0000_s1026" type="#_x0000_t85" style="position:absolute;margin-left:64.45pt;margin-top:-164.35pt;width:3.55pt;height:329.8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" adj="265" strokecolor="#0070c0" strokeweight="1pt"/>
                  </w:pict>
                </mc:Fallback>
              </mc:AlternateContent>
            </w:r>
          </w:p>
        </w:tc>
        <w:tc>
          <w:tcPr>
            <w:tcW w:w="958" w:type="dxa"/>
            <w:tcBorders>
              <w:top w:val="nil"/>
              <w:left w:val="nil"/>
              <w:bottom w:val="nil"/>
              <w:right w:val="nil"/>
            </w:tcBorders>
            <w:shd w:val="clear" w:color="auto" w:fill="auto"/>
            <w:noWrap/>
            <w:vAlign w:val="center"/>
            <w:hideMark/>
          </w:tcPr>
          <w:p w14:paraId="24472057"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58" w:type="dxa"/>
            <w:tcBorders>
              <w:top w:val="nil"/>
              <w:left w:val="nil"/>
              <w:bottom w:val="nil"/>
              <w:right w:val="nil"/>
            </w:tcBorders>
            <w:shd w:val="clear" w:color="auto" w:fill="auto"/>
            <w:noWrap/>
            <w:vAlign w:val="center"/>
            <w:hideMark/>
          </w:tcPr>
          <w:p w14:paraId="57B075E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58" w:type="dxa"/>
            <w:tcBorders>
              <w:top w:val="nil"/>
              <w:left w:val="nil"/>
              <w:bottom w:val="nil"/>
              <w:right w:val="nil"/>
            </w:tcBorders>
            <w:shd w:val="clear" w:color="auto" w:fill="auto"/>
            <w:noWrap/>
            <w:vAlign w:val="center"/>
            <w:hideMark/>
          </w:tcPr>
          <w:p w14:paraId="27A7357F"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45" w:type="dxa"/>
            <w:tcBorders>
              <w:top w:val="nil"/>
              <w:left w:val="nil"/>
              <w:bottom w:val="nil"/>
              <w:right w:val="nil"/>
            </w:tcBorders>
            <w:shd w:val="clear" w:color="auto" w:fill="auto"/>
            <w:noWrap/>
            <w:vAlign w:val="center"/>
            <w:hideMark/>
          </w:tcPr>
          <w:p w14:paraId="54BC0D2C"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27" w:type="dxa"/>
            <w:tcBorders>
              <w:top w:val="nil"/>
              <w:left w:val="nil"/>
              <w:bottom w:val="nil"/>
              <w:right w:val="nil"/>
            </w:tcBorders>
            <w:shd w:val="clear" w:color="auto" w:fill="auto"/>
            <w:noWrap/>
            <w:vAlign w:val="center"/>
            <w:hideMark/>
          </w:tcPr>
          <w:p w14:paraId="4D522820"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562D3C" w14:paraId="7DDFB6C8" w14:textId="77777777" w:rsidTr="002F7131">
        <w:trPr>
          <w:gridAfter w:val="1"/>
          <w:wAfter w:w="6" w:type="dxa"/>
          <w:trHeight w:val="20"/>
        </w:trPr>
        <w:tc>
          <w:tcPr>
            <w:tcW w:w="3130" w:type="dxa"/>
            <w:tcBorders>
              <w:top w:val="nil"/>
              <w:left w:val="nil"/>
              <w:bottom w:val="nil"/>
              <w:right w:val="nil"/>
            </w:tcBorders>
            <w:shd w:val="clear" w:color="auto" w:fill="auto"/>
            <w:noWrap/>
            <w:vAlign w:val="center"/>
            <w:hideMark/>
          </w:tcPr>
          <w:p w14:paraId="457C0F7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18"/>
                <w:szCs w:val="18"/>
              </w:rPr>
            </w:pPr>
          </w:p>
        </w:tc>
        <w:tc>
          <w:tcPr>
            <w:tcW w:w="918" w:type="dxa"/>
            <w:tcBorders>
              <w:top w:val="nil"/>
              <w:left w:val="nil"/>
              <w:bottom w:val="nil"/>
              <w:right w:val="nil"/>
            </w:tcBorders>
            <w:shd w:val="clear" w:color="auto" w:fill="auto"/>
            <w:hideMark/>
          </w:tcPr>
          <w:p w14:paraId="436AA26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562D3C">
              <w:rPr>
                <w:rFonts w:ascii="SimSun" w:hAnsi="SimSun" w:hint="eastAsia"/>
                <w:sz w:val="18"/>
                <w:szCs w:val="18"/>
              </w:rPr>
              <w:t>世界电信政策论坛</w:t>
            </w:r>
          </w:p>
        </w:tc>
        <w:tc>
          <w:tcPr>
            <w:tcW w:w="958" w:type="dxa"/>
            <w:tcBorders>
              <w:top w:val="nil"/>
              <w:left w:val="nil"/>
              <w:bottom w:val="nil"/>
              <w:right w:val="nil"/>
            </w:tcBorders>
            <w:shd w:val="clear" w:color="auto" w:fill="auto"/>
            <w:hideMark/>
          </w:tcPr>
          <w:p w14:paraId="6CE5E0A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lang w:eastAsia="zh-CN"/>
              </w:rPr>
            </w:pPr>
            <w:r w:rsidRPr="00562D3C">
              <w:rPr>
                <w:rFonts w:ascii="SimSun" w:hAnsi="SimSun" w:hint="eastAsia"/>
                <w:sz w:val="18"/>
                <w:szCs w:val="18"/>
                <w:lang w:eastAsia="zh-CN"/>
              </w:rPr>
              <w:t>信息社会世界高峰会议</w:t>
            </w:r>
          </w:p>
        </w:tc>
        <w:tc>
          <w:tcPr>
            <w:tcW w:w="942" w:type="dxa"/>
            <w:tcBorders>
              <w:top w:val="nil"/>
              <w:left w:val="nil"/>
              <w:bottom w:val="nil"/>
              <w:right w:val="nil"/>
            </w:tcBorders>
            <w:shd w:val="clear" w:color="auto" w:fill="auto"/>
            <w:hideMark/>
          </w:tcPr>
          <w:p w14:paraId="49E925B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lang w:eastAsia="zh-CN"/>
              </w:rPr>
            </w:pPr>
            <w:r w:rsidRPr="00562D3C">
              <w:rPr>
                <w:rFonts w:ascii="SimSun" w:hAnsi="SimSun" w:hint="eastAsia"/>
                <w:sz w:val="18"/>
                <w:szCs w:val="18"/>
                <w:lang w:eastAsia="zh-CN"/>
              </w:rPr>
              <w:t>理事会、工作组和专家组</w:t>
            </w:r>
          </w:p>
        </w:tc>
        <w:tc>
          <w:tcPr>
            <w:tcW w:w="992" w:type="dxa"/>
            <w:tcBorders>
              <w:top w:val="nil"/>
              <w:left w:val="nil"/>
              <w:bottom w:val="nil"/>
              <w:right w:val="nil"/>
            </w:tcBorders>
            <w:shd w:val="clear" w:color="auto" w:fill="auto"/>
            <w:hideMark/>
          </w:tcPr>
          <w:p w14:paraId="1058A17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562D3C">
              <w:rPr>
                <w:rFonts w:ascii="SimSun" w:hAnsi="SimSun" w:hint="eastAsia"/>
                <w:sz w:val="18"/>
                <w:szCs w:val="18"/>
              </w:rPr>
              <w:t>活动和</w:t>
            </w:r>
            <w:r>
              <w:rPr>
                <w:rFonts w:ascii="SimSun" w:hAnsi="SimSun"/>
                <w:sz w:val="18"/>
                <w:szCs w:val="18"/>
              </w:rPr>
              <w:br/>
            </w:r>
            <w:r w:rsidRPr="00562D3C">
              <w:rPr>
                <w:rFonts w:ascii="SimSun" w:hAnsi="SimSun" w:hint="eastAsia"/>
                <w:sz w:val="18"/>
                <w:szCs w:val="18"/>
              </w:rPr>
              <w:t>项目</w:t>
            </w:r>
          </w:p>
        </w:tc>
        <w:tc>
          <w:tcPr>
            <w:tcW w:w="770" w:type="dxa"/>
            <w:tcBorders>
              <w:top w:val="nil"/>
              <w:left w:val="nil"/>
              <w:bottom w:val="nil"/>
              <w:right w:val="nil"/>
            </w:tcBorders>
            <w:shd w:val="clear" w:color="auto" w:fill="auto"/>
            <w:hideMark/>
          </w:tcPr>
          <w:p w14:paraId="33363C3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562D3C">
              <w:rPr>
                <w:rFonts w:ascii="SimSun" w:hAnsi="SimSun" w:hint="eastAsia"/>
                <w:sz w:val="18"/>
                <w:szCs w:val="18"/>
              </w:rPr>
              <w:t>国际电联共同支出</w:t>
            </w:r>
          </w:p>
        </w:tc>
        <w:tc>
          <w:tcPr>
            <w:tcW w:w="1079" w:type="dxa"/>
            <w:tcBorders>
              <w:top w:val="nil"/>
              <w:left w:val="nil"/>
              <w:bottom w:val="nil"/>
              <w:right w:val="nil"/>
            </w:tcBorders>
            <w:shd w:val="clear" w:color="auto" w:fill="auto"/>
            <w:hideMark/>
          </w:tcPr>
          <w:p w14:paraId="42B13E2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lang w:eastAsia="zh-CN"/>
              </w:rPr>
            </w:pPr>
            <w:r w:rsidRPr="00562D3C">
              <w:rPr>
                <w:rFonts w:ascii="SimSun" w:hAnsi="SimSun" w:hint="eastAsia"/>
                <w:sz w:val="18"/>
                <w:szCs w:val="18"/>
                <w:lang w:eastAsia="zh-CN"/>
              </w:rPr>
              <w:t>秘书长和副秘书长办公室*</w:t>
            </w:r>
          </w:p>
        </w:tc>
        <w:tc>
          <w:tcPr>
            <w:tcW w:w="992" w:type="dxa"/>
            <w:tcBorders>
              <w:top w:val="nil"/>
              <w:left w:val="nil"/>
              <w:bottom w:val="nil"/>
              <w:right w:val="nil"/>
            </w:tcBorders>
            <w:shd w:val="clear" w:color="auto" w:fill="auto"/>
            <w:hideMark/>
          </w:tcPr>
          <w:p w14:paraId="24AB64F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562D3C">
              <w:rPr>
                <w:rFonts w:ascii="SimSun" w:hAnsi="SimSun" w:hint="eastAsia"/>
                <w:sz w:val="18"/>
                <w:szCs w:val="18"/>
              </w:rPr>
              <w:t>战略规划和成员部</w:t>
            </w:r>
          </w:p>
        </w:tc>
        <w:tc>
          <w:tcPr>
            <w:tcW w:w="958" w:type="dxa"/>
            <w:tcBorders>
              <w:top w:val="nil"/>
              <w:left w:val="nil"/>
              <w:bottom w:val="nil"/>
              <w:right w:val="nil"/>
            </w:tcBorders>
            <w:shd w:val="clear" w:color="auto" w:fill="auto"/>
            <w:hideMark/>
          </w:tcPr>
          <w:p w14:paraId="5E4E4EE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562D3C">
              <w:rPr>
                <w:rFonts w:ascii="SimSun" w:hAnsi="SimSun" w:hint="eastAsia"/>
                <w:sz w:val="18"/>
                <w:szCs w:val="18"/>
              </w:rPr>
              <w:t>大会和</w:t>
            </w:r>
            <w:r>
              <w:rPr>
                <w:rFonts w:ascii="SimSun" w:hAnsi="SimSun"/>
                <w:sz w:val="18"/>
                <w:szCs w:val="18"/>
              </w:rPr>
              <w:br/>
            </w:r>
            <w:r w:rsidRPr="00562D3C">
              <w:rPr>
                <w:rFonts w:ascii="SimSun" w:hAnsi="SimSun" w:hint="eastAsia"/>
                <w:sz w:val="18"/>
                <w:szCs w:val="18"/>
              </w:rPr>
              <w:t>出版部</w:t>
            </w:r>
          </w:p>
        </w:tc>
        <w:tc>
          <w:tcPr>
            <w:tcW w:w="958" w:type="dxa"/>
            <w:tcBorders>
              <w:top w:val="nil"/>
              <w:left w:val="nil"/>
              <w:bottom w:val="nil"/>
              <w:right w:val="nil"/>
            </w:tcBorders>
            <w:shd w:val="clear" w:color="auto" w:fill="auto"/>
            <w:hideMark/>
          </w:tcPr>
          <w:p w14:paraId="7D35933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562D3C">
              <w:rPr>
                <w:rFonts w:ascii="SimSun" w:hAnsi="SimSun" w:hint="eastAsia"/>
                <w:sz w:val="18"/>
                <w:szCs w:val="18"/>
              </w:rPr>
              <w:t>人力资源管理部</w:t>
            </w:r>
          </w:p>
        </w:tc>
        <w:tc>
          <w:tcPr>
            <w:tcW w:w="958" w:type="dxa"/>
            <w:tcBorders>
              <w:top w:val="nil"/>
              <w:left w:val="nil"/>
              <w:bottom w:val="nil"/>
              <w:right w:val="nil"/>
            </w:tcBorders>
            <w:shd w:val="clear" w:color="auto" w:fill="auto"/>
            <w:hideMark/>
          </w:tcPr>
          <w:p w14:paraId="0B5E622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562D3C">
              <w:rPr>
                <w:rFonts w:ascii="SimSun" w:hAnsi="SimSun" w:hint="eastAsia"/>
                <w:sz w:val="18"/>
                <w:szCs w:val="18"/>
              </w:rPr>
              <w:t>财务资源管理部</w:t>
            </w:r>
          </w:p>
        </w:tc>
        <w:tc>
          <w:tcPr>
            <w:tcW w:w="945" w:type="dxa"/>
            <w:tcBorders>
              <w:top w:val="nil"/>
              <w:left w:val="nil"/>
              <w:bottom w:val="nil"/>
              <w:right w:val="nil"/>
            </w:tcBorders>
            <w:shd w:val="clear" w:color="auto" w:fill="auto"/>
            <w:hideMark/>
          </w:tcPr>
          <w:p w14:paraId="3EE847A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562D3C">
              <w:rPr>
                <w:rFonts w:ascii="SimSun" w:hAnsi="SimSun" w:hint="eastAsia"/>
                <w:sz w:val="18"/>
                <w:szCs w:val="18"/>
              </w:rPr>
              <w:t>信息</w:t>
            </w:r>
            <w:r>
              <w:rPr>
                <w:rFonts w:ascii="SimSun" w:hAnsi="SimSun"/>
                <w:sz w:val="18"/>
                <w:szCs w:val="18"/>
              </w:rPr>
              <w:br/>
            </w:r>
            <w:r w:rsidRPr="00562D3C">
              <w:rPr>
                <w:rFonts w:ascii="SimSun" w:hAnsi="SimSun" w:hint="eastAsia"/>
                <w:sz w:val="18"/>
                <w:szCs w:val="18"/>
              </w:rPr>
              <w:t>服务部</w:t>
            </w:r>
          </w:p>
        </w:tc>
        <w:tc>
          <w:tcPr>
            <w:tcW w:w="1027" w:type="dxa"/>
            <w:tcBorders>
              <w:top w:val="nil"/>
              <w:left w:val="nil"/>
              <w:bottom w:val="nil"/>
              <w:right w:val="nil"/>
            </w:tcBorders>
            <w:shd w:val="clear" w:color="auto" w:fill="auto"/>
            <w:noWrap/>
            <w:vAlign w:val="center"/>
            <w:hideMark/>
          </w:tcPr>
          <w:p w14:paraId="701201E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18"/>
                <w:szCs w:val="18"/>
              </w:rPr>
            </w:pPr>
            <w:r w:rsidRPr="00562D3C">
              <w:rPr>
                <w:rFonts w:ascii="SimSun" w:hAnsi="SimSun" w:hint="eastAsia"/>
                <w:b/>
                <w:bCs/>
                <w:color w:val="002060"/>
                <w:sz w:val="18"/>
                <w:szCs w:val="18"/>
              </w:rPr>
              <w:t>合计</w:t>
            </w:r>
          </w:p>
        </w:tc>
      </w:tr>
      <w:tr w:rsidR="005C437E" w:rsidRPr="00562D3C" w14:paraId="4049AAB8" w14:textId="77777777" w:rsidTr="002F7131">
        <w:trPr>
          <w:gridAfter w:val="1"/>
          <w:wAfter w:w="6" w:type="dxa"/>
          <w:trHeight w:val="20"/>
        </w:trPr>
        <w:tc>
          <w:tcPr>
            <w:tcW w:w="3130" w:type="dxa"/>
            <w:tcBorders>
              <w:top w:val="nil"/>
              <w:left w:val="nil"/>
              <w:bottom w:val="single" w:sz="4" w:space="0" w:color="auto"/>
              <w:right w:val="nil"/>
            </w:tcBorders>
            <w:shd w:val="clear" w:color="auto" w:fill="auto"/>
            <w:noWrap/>
            <w:vAlign w:val="center"/>
            <w:hideMark/>
          </w:tcPr>
          <w:p w14:paraId="0A741BF5"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sz w:val="18"/>
                <w:szCs w:val="18"/>
              </w:rPr>
            </w:pPr>
            <w:r w:rsidRPr="00562D3C">
              <w:rPr>
                <w:rFonts w:eastAsia="Times New Roman" w:cs="Calibri"/>
                <w:b/>
                <w:bCs/>
                <w:i/>
                <w:iCs/>
                <w:sz w:val="18"/>
                <w:szCs w:val="18"/>
              </w:rPr>
              <w:t> </w:t>
            </w:r>
          </w:p>
        </w:tc>
        <w:tc>
          <w:tcPr>
            <w:tcW w:w="918" w:type="dxa"/>
            <w:tcBorders>
              <w:top w:val="nil"/>
              <w:left w:val="single" w:sz="4" w:space="0" w:color="0070C0"/>
              <w:bottom w:val="single" w:sz="4" w:space="0" w:color="auto"/>
              <w:right w:val="nil"/>
            </w:tcBorders>
            <w:shd w:val="clear" w:color="auto" w:fill="auto"/>
            <w:vAlign w:val="center"/>
            <w:hideMark/>
          </w:tcPr>
          <w:p w14:paraId="23613EE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single" w:sz="4" w:space="0" w:color="auto"/>
              <w:right w:val="nil"/>
            </w:tcBorders>
            <w:shd w:val="clear" w:color="auto" w:fill="auto"/>
            <w:noWrap/>
            <w:vAlign w:val="center"/>
            <w:hideMark/>
          </w:tcPr>
          <w:p w14:paraId="64B5EC0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562D3C">
              <w:rPr>
                <w:rFonts w:eastAsia="Times New Roman" w:cs="Calibri"/>
                <w:sz w:val="18"/>
                <w:szCs w:val="18"/>
              </w:rPr>
              <w:t> </w:t>
            </w:r>
          </w:p>
        </w:tc>
        <w:tc>
          <w:tcPr>
            <w:tcW w:w="942" w:type="dxa"/>
            <w:tcBorders>
              <w:top w:val="nil"/>
              <w:left w:val="nil"/>
              <w:bottom w:val="single" w:sz="4" w:space="0" w:color="auto"/>
              <w:right w:val="nil"/>
            </w:tcBorders>
            <w:shd w:val="clear" w:color="auto" w:fill="auto"/>
            <w:noWrap/>
            <w:vAlign w:val="center"/>
            <w:hideMark/>
          </w:tcPr>
          <w:p w14:paraId="322D459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562D3C">
              <w:rPr>
                <w:rFonts w:eastAsia="Times New Roman" w:cs="Calibri"/>
                <w:sz w:val="18"/>
                <w:szCs w:val="18"/>
              </w:rPr>
              <w:t> </w:t>
            </w:r>
          </w:p>
        </w:tc>
        <w:tc>
          <w:tcPr>
            <w:tcW w:w="992" w:type="dxa"/>
            <w:tcBorders>
              <w:top w:val="nil"/>
              <w:left w:val="nil"/>
              <w:bottom w:val="single" w:sz="4" w:space="0" w:color="auto"/>
              <w:right w:val="nil"/>
            </w:tcBorders>
            <w:shd w:val="clear" w:color="auto" w:fill="auto"/>
            <w:noWrap/>
            <w:vAlign w:val="center"/>
            <w:hideMark/>
          </w:tcPr>
          <w:p w14:paraId="0DD3019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562D3C">
              <w:rPr>
                <w:rFonts w:eastAsia="Times New Roman" w:cs="Calibri"/>
                <w:sz w:val="18"/>
                <w:szCs w:val="18"/>
              </w:rPr>
              <w:t> </w:t>
            </w:r>
          </w:p>
        </w:tc>
        <w:tc>
          <w:tcPr>
            <w:tcW w:w="770" w:type="dxa"/>
            <w:tcBorders>
              <w:top w:val="nil"/>
              <w:left w:val="nil"/>
              <w:bottom w:val="single" w:sz="4" w:space="0" w:color="auto"/>
              <w:right w:val="nil"/>
            </w:tcBorders>
            <w:shd w:val="clear" w:color="auto" w:fill="auto"/>
            <w:noWrap/>
            <w:vAlign w:val="center"/>
            <w:hideMark/>
          </w:tcPr>
          <w:p w14:paraId="72F14BA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562D3C">
              <w:rPr>
                <w:rFonts w:eastAsia="Times New Roman" w:cs="Calibri"/>
                <w:sz w:val="18"/>
                <w:szCs w:val="18"/>
              </w:rPr>
              <w:t> </w:t>
            </w:r>
          </w:p>
        </w:tc>
        <w:tc>
          <w:tcPr>
            <w:tcW w:w="1079" w:type="dxa"/>
            <w:tcBorders>
              <w:top w:val="nil"/>
              <w:left w:val="nil"/>
              <w:bottom w:val="single" w:sz="4" w:space="0" w:color="auto"/>
              <w:right w:val="nil"/>
            </w:tcBorders>
            <w:shd w:val="clear" w:color="auto" w:fill="auto"/>
            <w:noWrap/>
            <w:vAlign w:val="center"/>
            <w:hideMark/>
          </w:tcPr>
          <w:p w14:paraId="2DF1512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562D3C">
              <w:rPr>
                <w:rFonts w:eastAsia="Times New Roman" w:cs="Calibri"/>
                <w:sz w:val="18"/>
                <w:szCs w:val="18"/>
              </w:rPr>
              <w:t> </w:t>
            </w:r>
          </w:p>
        </w:tc>
        <w:tc>
          <w:tcPr>
            <w:tcW w:w="992" w:type="dxa"/>
            <w:tcBorders>
              <w:top w:val="nil"/>
              <w:left w:val="nil"/>
              <w:bottom w:val="single" w:sz="4" w:space="0" w:color="auto"/>
              <w:right w:val="nil"/>
            </w:tcBorders>
            <w:shd w:val="clear" w:color="auto" w:fill="auto"/>
            <w:noWrap/>
            <w:vAlign w:val="center"/>
            <w:hideMark/>
          </w:tcPr>
          <w:p w14:paraId="1DC2A08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single" w:sz="4" w:space="0" w:color="auto"/>
              <w:right w:val="nil"/>
            </w:tcBorders>
            <w:shd w:val="clear" w:color="auto" w:fill="auto"/>
            <w:noWrap/>
            <w:vAlign w:val="center"/>
            <w:hideMark/>
          </w:tcPr>
          <w:p w14:paraId="4E953BB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single" w:sz="4" w:space="0" w:color="auto"/>
              <w:right w:val="nil"/>
            </w:tcBorders>
            <w:shd w:val="clear" w:color="auto" w:fill="auto"/>
            <w:noWrap/>
            <w:vAlign w:val="center"/>
            <w:hideMark/>
          </w:tcPr>
          <w:p w14:paraId="4E20280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single" w:sz="4" w:space="0" w:color="auto"/>
              <w:right w:val="nil"/>
            </w:tcBorders>
            <w:shd w:val="clear" w:color="auto" w:fill="auto"/>
            <w:noWrap/>
            <w:vAlign w:val="center"/>
            <w:hideMark/>
          </w:tcPr>
          <w:p w14:paraId="42AB905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562D3C">
              <w:rPr>
                <w:rFonts w:eastAsia="Times New Roman" w:cs="Calibri"/>
                <w:sz w:val="18"/>
                <w:szCs w:val="18"/>
              </w:rPr>
              <w:t> </w:t>
            </w:r>
          </w:p>
        </w:tc>
        <w:tc>
          <w:tcPr>
            <w:tcW w:w="945" w:type="dxa"/>
            <w:tcBorders>
              <w:top w:val="nil"/>
              <w:left w:val="nil"/>
              <w:bottom w:val="single" w:sz="4" w:space="0" w:color="auto"/>
              <w:right w:val="nil"/>
            </w:tcBorders>
            <w:shd w:val="clear" w:color="auto" w:fill="auto"/>
            <w:noWrap/>
            <w:vAlign w:val="center"/>
            <w:hideMark/>
          </w:tcPr>
          <w:p w14:paraId="4ACE567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562D3C">
              <w:rPr>
                <w:rFonts w:eastAsia="Times New Roman" w:cs="Calibri"/>
                <w:sz w:val="18"/>
                <w:szCs w:val="18"/>
              </w:rPr>
              <w:t> </w:t>
            </w:r>
          </w:p>
        </w:tc>
        <w:tc>
          <w:tcPr>
            <w:tcW w:w="1027" w:type="dxa"/>
            <w:tcBorders>
              <w:top w:val="nil"/>
              <w:left w:val="nil"/>
              <w:bottom w:val="single" w:sz="4" w:space="0" w:color="auto"/>
              <w:right w:val="nil"/>
            </w:tcBorders>
            <w:shd w:val="clear" w:color="auto" w:fill="auto"/>
            <w:noWrap/>
            <w:vAlign w:val="center"/>
            <w:hideMark/>
          </w:tcPr>
          <w:p w14:paraId="68D7F7C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18"/>
                <w:szCs w:val="18"/>
              </w:rPr>
            </w:pPr>
            <w:r w:rsidRPr="00562D3C">
              <w:rPr>
                <w:rFonts w:eastAsia="Times New Roman" w:cs="Calibri"/>
                <w:b/>
                <w:bCs/>
                <w:color w:val="002060"/>
                <w:sz w:val="18"/>
                <w:szCs w:val="18"/>
              </w:rPr>
              <w:t> </w:t>
            </w:r>
          </w:p>
        </w:tc>
      </w:tr>
      <w:tr w:rsidR="005C437E" w:rsidRPr="00562D3C" w14:paraId="6B5791B9" w14:textId="77777777" w:rsidTr="002F7131">
        <w:trPr>
          <w:gridAfter w:val="1"/>
          <w:wAfter w:w="6" w:type="dxa"/>
          <w:trHeight w:val="20"/>
        </w:trPr>
        <w:tc>
          <w:tcPr>
            <w:tcW w:w="3130" w:type="dxa"/>
            <w:tcBorders>
              <w:top w:val="nil"/>
              <w:left w:val="nil"/>
              <w:bottom w:val="nil"/>
              <w:right w:val="nil"/>
            </w:tcBorders>
            <w:shd w:val="clear" w:color="auto" w:fill="auto"/>
            <w:noWrap/>
            <w:vAlign w:val="bottom"/>
            <w:hideMark/>
          </w:tcPr>
          <w:p w14:paraId="6527205F"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rPr>
            </w:pPr>
            <w:r w:rsidRPr="00562D3C">
              <w:rPr>
                <w:rFonts w:cstheme="minorHAnsi"/>
                <w:sz w:val="18"/>
                <w:szCs w:val="18"/>
              </w:rPr>
              <w:t xml:space="preserve">1 - </w:t>
            </w:r>
            <w:r w:rsidRPr="00562D3C">
              <w:rPr>
                <w:rFonts w:cstheme="minorHAnsi"/>
                <w:sz w:val="18"/>
                <w:szCs w:val="18"/>
              </w:rPr>
              <w:t>人员费用</w:t>
            </w:r>
          </w:p>
        </w:tc>
        <w:tc>
          <w:tcPr>
            <w:tcW w:w="918" w:type="dxa"/>
            <w:tcBorders>
              <w:top w:val="nil"/>
              <w:left w:val="single" w:sz="4" w:space="0" w:color="0070C0"/>
              <w:bottom w:val="nil"/>
              <w:right w:val="nil"/>
            </w:tcBorders>
            <w:shd w:val="clear" w:color="auto" w:fill="auto"/>
            <w:noWrap/>
            <w:vAlign w:val="bottom"/>
            <w:hideMark/>
          </w:tcPr>
          <w:p w14:paraId="2911B9F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nil"/>
              <w:right w:val="nil"/>
            </w:tcBorders>
            <w:shd w:val="clear" w:color="auto" w:fill="auto"/>
            <w:noWrap/>
            <w:vAlign w:val="bottom"/>
            <w:hideMark/>
          </w:tcPr>
          <w:p w14:paraId="2817662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42" w:type="dxa"/>
            <w:tcBorders>
              <w:top w:val="nil"/>
              <w:left w:val="nil"/>
              <w:bottom w:val="nil"/>
              <w:right w:val="nil"/>
            </w:tcBorders>
            <w:shd w:val="clear" w:color="auto" w:fill="auto"/>
            <w:noWrap/>
            <w:vAlign w:val="bottom"/>
            <w:hideMark/>
          </w:tcPr>
          <w:p w14:paraId="24B7064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339</w:t>
            </w:r>
          </w:p>
        </w:tc>
        <w:tc>
          <w:tcPr>
            <w:tcW w:w="992" w:type="dxa"/>
            <w:tcBorders>
              <w:top w:val="nil"/>
              <w:left w:val="nil"/>
              <w:bottom w:val="nil"/>
              <w:right w:val="nil"/>
            </w:tcBorders>
            <w:shd w:val="clear" w:color="auto" w:fill="auto"/>
            <w:noWrap/>
            <w:vAlign w:val="bottom"/>
            <w:hideMark/>
          </w:tcPr>
          <w:p w14:paraId="1C79251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770" w:type="dxa"/>
            <w:tcBorders>
              <w:top w:val="nil"/>
              <w:left w:val="nil"/>
              <w:bottom w:val="nil"/>
              <w:right w:val="nil"/>
            </w:tcBorders>
            <w:shd w:val="clear" w:color="auto" w:fill="auto"/>
            <w:noWrap/>
            <w:vAlign w:val="bottom"/>
            <w:hideMark/>
          </w:tcPr>
          <w:p w14:paraId="6E90C5E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250</w:t>
            </w:r>
          </w:p>
        </w:tc>
        <w:tc>
          <w:tcPr>
            <w:tcW w:w="1079" w:type="dxa"/>
            <w:tcBorders>
              <w:top w:val="nil"/>
              <w:left w:val="nil"/>
              <w:bottom w:val="nil"/>
              <w:right w:val="nil"/>
            </w:tcBorders>
            <w:shd w:val="clear" w:color="auto" w:fill="auto"/>
            <w:noWrap/>
            <w:vAlign w:val="bottom"/>
            <w:hideMark/>
          </w:tcPr>
          <w:p w14:paraId="430469D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5,083</w:t>
            </w:r>
          </w:p>
        </w:tc>
        <w:tc>
          <w:tcPr>
            <w:tcW w:w="992" w:type="dxa"/>
            <w:tcBorders>
              <w:top w:val="nil"/>
              <w:left w:val="nil"/>
              <w:bottom w:val="nil"/>
              <w:right w:val="nil"/>
            </w:tcBorders>
            <w:shd w:val="clear" w:color="auto" w:fill="auto"/>
            <w:noWrap/>
            <w:vAlign w:val="bottom"/>
            <w:hideMark/>
          </w:tcPr>
          <w:p w14:paraId="1B5CFE9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6,329</w:t>
            </w:r>
          </w:p>
        </w:tc>
        <w:tc>
          <w:tcPr>
            <w:tcW w:w="958" w:type="dxa"/>
            <w:tcBorders>
              <w:top w:val="nil"/>
              <w:left w:val="nil"/>
              <w:bottom w:val="nil"/>
              <w:right w:val="nil"/>
            </w:tcBorders>
            <w:shd w:val="clear" w:color="auto" w:fill="auto"/>
            <w:noWrap/>
            <w:vAlign w:val="bottom"/>
            <w:hideMark/>
          </w:tcPr>
          <w:p w14:paraId="59A014D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17,419</w:t>
            </w:r>
          </w:p>
        </w:tc>
        <w:tc>
          <w:tcPr>
            <w:tcW w:w="958" w:type="dxa"/>
            <w:tcBorders>
              <w:top w:val="nil"/>
              <w:left w:val="nil"/>
              <w:bottom w:val="nil"/>
              <w:right w:val="nil"/>
            </w:tcBorders>
            <w:shd w:val="clear" w:color="auto" w:fill="auto"/>
            <w:noWrap/>
            <w:vAlign w:val="bottom"/>
            <w:hideMark/>
          </w:tcPr>
          <w:p w14:paraId="6D4C4D1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4,044</w:t>
            </w:r>
          </w:p>
        </w:tc>
        <w:tc>
          <w:tcPr>
            <w:tcW w:w="958" w:type="dxa"/>
            <w:tcBorders>
              <w:top w:val="nil"/>
              <w:left w:val="nil"/>
              <w:bottom w:val="nil"/>
              <w:right w:val="nil"/>
            </w:tcBorders>
            <w:shd w:val="clear" w:color="auto" w:fill="auto"/>
            <w:noWrap/>
            <w:vAlign w:val="bottom"/>
            <w:hideMark/>
          </w:tcPr>
          <w:p w14:paraId="2336C5D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6,697</w:t>
            </w:r>
          </w:p>
        </w:tc>
        <w:tc>
          <w:tcPr>
            <w:tcW w:w="945" w:type="dxa"/>
            <w:tcBorders>
              <w:top w:val="nil"/>
              <w:left w:val="nil"/>
              <w:bottom w:val="nil"/>
              <w:right w:val="nil"/>
            </w:tcBorders>
            <w:shd w:val="clear" w:color="auto" w:fill="auto"/>
            <w:noWrap/>
            <w:vAlign w:val="bottom"/>
            <w:hideMark/>
          </w:tcPr>
          <w:p w14:paraId="0750E2C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10,147</w:t>
            </w:r>
          </w:p>
        </w:tc>
        <w:tc>
          <w:tcPr>
            <w:tcW w:w="1027" w:type="dxa"/>
            <w:tcBorders>
              <w:top w:val="nil"/>
              <w:left w:val="nil"/>
              <w:bottom w:val="nil"/>
              <w:right w:val="nil"/>
            </w:tcBorders>
            <w:shd w:val="clear" w:color="auto" w:fill="auto"/>
            <w:noWrap/>
            <w:vAlign w:val="bottom"/>
            <w:hideMark/>
          </w:tcPr>
          <w:p w14:paraId="4519016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562D3C">
              <w:rPr>
                <w:rFonts w:eastAsia="Times New Roman" w:cs="Calibri"/>
                <w:color w:val="002060"/>
                <w:sz w:val="18"/>
                <w:szCs w:val="18"/>
              </w:rPr>
              <w:t>50,308</w:t>
            </w:r>
          </w:p>
        </w:tc>
      </w:tr>
      <w:tr w:rsidR="005C437E" w:rsidRPr="00562D3C" w14:paraId="1D9C64EE" w14:textId="77777777" w:rsidTr="002F7131">
        <w:trPr>
          <w:gridAfter w:val="1"/>
          <w:wAfter w:w="6" w:type="dxa"/>
          <w:trHeight w:val="20"/>
        </w:trPr>
        <w:tc>
          <w:tcPr>
            <w:tcW w:w="3130" w:type="dxa"/>
            <w:tcBorders>
              <w:top w:val="nil"/>
              <w:left w:val="nil"/>
              <w:bottom w:val="nil"/>
              <w:right w:val="nil"/>
            </w:tcBorders>
            <w:shd w:val="clear" w:color="auto" w:fill="auto"/>
            <w:noWrap/>
            <w:vAlign w:val="bottom"/>
            <w:hideMark/>
          </w:tcPr>
          <w:p w14:paraId="197E671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szCs w:val="18"/>
              </w:rPr>
            </w:pPr>
          </w:p>
        </w:tc>
        <w:tc>
          <w:tcPr>
            <w:tcW w:w="918" w:type="dxa"/>
            <w:tcBorders>
              <w:top w:val="nil"/>
              <w:left w:val="single" w:sz="4" w:space="0" w:color="0070C0"/>
              <w:bottom w:val="nil"/>
              <w:right w:val="nil"/>
            </w:tcBorders>
            <w:shd w:val="clear" w:color="auto" w:fill="auto"/>
            <w:noWrap/>
            <w:vAlign w:val="bottom"/>
            <w:hideMark/>
          </w:tcPr>
          <w:p w14:paraId="21457AA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nil"/>
              <w:right w:val="nil"/>
            </w:tcBorders>
            <w:shd w:val="clear" w:color="auto" w:fill="auto"/>
            <w:noWrap/>
            <w:vAlign w:val="bottom"/>
            <w:hideMark/>
          </w:tcPr>
          <w:p w14:paraId="017F335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42" w:type="dxa"/>
            <w:tcBorders>
              <w:top w:val="nil"/>
              <w:left w:val="nil"/>
              <w:bottom w:val="nil"/>
              <w:right w:val="nil"/>
            </w:tcBorders>
            <w:shd w:val="clear" w:color="auto" w:fill="auto"/>
            <w:noWrap/>
            <w:vAlign w:val="bottom"/>
            <w:hideMark/>
          </w:tcPr>
          <w:p w14:paraId="07E1157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6101BBB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70" w:type="dxa"/>
            <w:tcBorders>
              <w:top w:val="nil"/>
              <w:left w:val="nil"/>
              <w:bottom w:val="nil"/>
              <w:right w:val="nil"/>
            </w:tcBorders>
            <w:shd w:val="clear" w:color="auto" w:fill="auto"/>
            <w:noWrap/>
            <w:vAlign w:val="bottom"/>
            <w:hideMark/>
          </w:tcPr>
          <w:p w14:paraId="1A8C45E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79" w:type="dxa"/>
            <w:tcBorders>
              <w:top w:val="nil"/>
              <w:left w:val="nil"/>
              <w:bottom w:val="nil"/>
              <w:right w:val="nil"/>
            </w:tcBorders>
            <w:shd w:val="clear" w:color="auto" w:fill="auto"/>
            <w:noWrap/>
            <w:vAlign w:val="bottom"/>
            <w:hideMark/>
          </w:tcPr>
          <w:p w14:paraId="1261561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3B2FFD7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3B1C24B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41B9297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7778A1C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45" w:type="dxa"/>
            <w:tcBorders>
              <w:top w:val="nil"/>
              <w:left w:val="nil"/>
              <w:bottom w:val="nil"/>
              <w:right w:val="nil"/>
            </w:tcBorders>
            <w:shd w:val="clear" w:color="auto" w:fill="auto"/>
            <w:noWrap/>
            <w:vAlign w:val="bottom"/>
            <w:hideMark/>
          </w:tcPr>
          <w:p w14:paraId="69E3508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27" w:type="dxa"/>
            <w:tcBorders>
              <w:top w:val="nil"/>
              <w:left w:val="nil"/>
              <w:bottom w:val="nil"/>
              <w:right w:val="nil"/>
            </w:tcBorders>
            <w:shd w:val="clear" w:color="auto" w:fill="auto"/>
            <w:noWrap/>
            <w:vAlign w:val="bottom"/>
            <w:hideMark/>
          </w:tcPr>
          <w:p w14:paraId="5095CB1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562D3C" w14:paraId="5F5F899F" w14:textId="77777777" w:rsidTr="002F7131">
        <w:trPr>
          <w:gridAfter w:val="1"/>
          <w:wAfter w:w="6" w:type="dxa"/>
          <w:trHeight w:val="20"/>
        </w:trPr>
        <w:tc>
          <w:tcPr>
            <w:tcW w:w="3130" w:type="dxa"/>
            <w:tcBorders>
              <w:top w:val="nil"/>
              <w:left w:val="nil"/>
              <w:bottom w:val="nil"/>
              <w:right w:val="nil"/>
            </w:tcBorders>
            <w:shd w:val="clear" w:color="auto" w:fill="auto"/>
            <w:noWrap/>
            <w:vAlign w:val="bottom"/>
            <w:hideMark/>
          </w:tcPr>
          <w:p w14:paraId="13D8CDD0"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rPr>
            </w:pPr>
            <w:r w:rsidRPr="00562D3C">
              <w:rPr>
                <w:rFonts w:cstheme="minorHAnsi"/>
                <w:sz w:val="18"/>
                <w:szCs w:val="18"/>
              </w:rPr>
              <w:t xml:space="preserve">2 - </w:t>
            </w:r>
            <w:r w:rsidRPr="00562D3C">
              <w:rPr>
                <w:rFonts w:cstheme="minorHAnsi"/>
                <w:sz w:val="18"/>
                <w:szCs w:val="18"/>
              </w:rPr>
              <w:t>其他人员费用</w:t>
            </w:r>
          </w:p>
        </w:tc>
        <w:tc>
          <w:tcPr>
            <w:tcW w:w="918" w:type="dxa"/>
            <w:tcBorders>
              <w:top w:val="nil"/>
              <w:left w:val="single" w:sz="4" w:space="0" w:color="0070C0"/>
              <w:bottom w:val="nil"/>
              <w:right w:val="nil"/>
            </w:tcBorders>
            <w:shd w:val="clear" w:color="auto" w:fill="auto"/>
            <w:noWrap/>
            <w:vAlign w:val="bottom"/>
            <w:hideMark/>
          </w:tcPr>
          <w:p w14:paraId="7F5C65B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nil"/>
              <w:right w:val="nil"/>
            </w:tcBorders>
            <w:shd w:val="clear" w:color="auto" w:fill="auto"/>
            <w:noWrap/>
            <w:vAlign w:val="bottom"/>
            <w:hideMark/>
          </w:tcPr>
          <w:p w14:paraId="16B851A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42" w:type="dxa"/>
            <w:tcBorders>
              <w:top w:val="nil"/>
              <w:left w:val="nil"/>
              <w:bottom w:val="nil"/>
              <w:right w:val="nil"/>
            </w:tcBorders>
            <w:shd w:val="clear" w:color="auto" w:fill="auto"/>
            <w:noWrap/>
            <w:vAlign w:val="bottom"/>
            <w:hideMark/>
          </w:tcPr>
          <w:p w14:paraId="3820C0C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8</w:t>
            </w:r>
          </w:p>
        </w:tc>
        <w:tc>
          <w:tcPr>
            <w:tcW w:w="992" w:type="dxa"/>
            <w:tcBorders>
              <w:top w:val="nil"/>
              <w:left w:val="nil"/>
              <w:bottom w:val="nil"/>
              <w:right w:val="nil"/>
            </w:tcBorders>
            <w:shd w:val="clear" w:color="auto" w:fill="auto"/>
            <w:noWrap/>
            <w:vAlign w:val="bottom"/>
            <w:hideMark/>
          </w:tcPr>
          <w:p w14:paraId="5B90F8C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770" w:type="dxa"/>
            <w:tcBorders>
              <w:top w:val="nil"/>
              <w:left w:val="nil"/>
              <w:bottom w:val="nil"/>
              <w:right w:val="nil"/>
            </w:tcBorders>
            <w:shd w:val="clear" w:color="auto" w:fill="auto"/>
            <w:noWrap/>
            <w:vAlign w:val="bottom"/>
            <w:hideMark/>
          </w:tcPr>
          <w:p w14:paraId="63A4934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6,350</w:t>
            </w:r>
          </w:p>
        </w:tc>
        <w:tc>
          <w:tcPr>
            <w:tcW w:w="1079" w:type="dxa"/>
            <w:tcBorders>
              <w:top w:val="nil"/>
              <w:left w:val="nil"/>
              <w:bottom w:val="nil"/>
              <w:right w:val="nil"/>
            </w:tcBorders>
            <w:shd w:val="clear" w:color="auto" w:fill="auto"/>
            <w:noWrap/>
            <w:vAlign w:val="bottom"/>
            <w:hideMark/>
          </w:tcPr>
          <w:p w14:paraId="3BB2F25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1,404</w:t>
            </w:r>
          </w:p>
        </w:tc>
        <w:tc>
          <w:tcPr>
            <w:tcW w:w="992" w:type="dxa"/>
            <w:tcBorders>
              <w:top w:val="nil"/>
              <w:left w:val="nil"/>
              <w:bottom w:val="nil"/>
              <w:right w:val="nil"/>
            </w:tcBorders>
            <w:shd w:val="clear" w:color="auto" w:fill="auto"/>
            <w:noWrap/>
            <w:vAlign w:val="bottom"/>
            <w:hideMark/>
          </w:tcPr>
          <w:p w14:paraId="5B07F4D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1,844</w:t>
            </w:r>
          </w:p>
        </w:tc>
        <w:tc>
          <w:tcPr>
            <w:tcW w:w="958" w:type="dxa"/>
            <w:tcBorders>
              <w:top w:val="nil"/>
              <w:left w:val="nil"/>
              <w:bottom w:val="nil"/>
              <w:right w:val="nil"/>
            </w:tcBorders>
            <w:shd w:val="clear" w:color="auto" w:fill="auto"/>
            <w:noWrap/>
            <w:vAlign w:val="bottom"/>
            <w:hideMark/>
          </w:tcPr>
          <w:p w14:paraId="5B495C0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4,448</w:t>
            </w:r>
          </w:p>
        </w:tc>
        <w:tc>
          <w:tcPr>
            <w:tcW w:w="958" w:type="dxa"/>
            <w:tcBorders>
              <w:top w:val="nil"/>
              <w:left w:val="nil"/>
              <w:bottom w:val="nil"/>
              <w:right w:val="nil"/>
            </w:tcBorders>
            <w:shd w:val="clear" w:color="auto" w:fill="auto"/>
            <w:noWrap/>
            <w:vAlign w:val="bottom"/>
            <w:hideMark/>
          </w:tcPr>
          <w:p w14:paraId="285D97D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1,124</w:t>
            </w:r>
          </w:p>
        </w:tc>
        <w:tc>
          <w:tcPr>
            <w:tcW w:w="958" w:type="dxa"/>
            <w:tcBorders>
              <w:top w:val="nil"/>
              <w:left w:val="nil"/>
              <w:bottom w:val="nil"/>
              <w:right w:val="nil"/>
            </w:tcBorders>
            <w:shd w:val="clear" w:color="auto" w:fill="auto"/>
            <w:noWrap/>
            <w:vAlign w:val="bottom"/>
            <w:hideMark/>
          </w:tcPr>
          <w:p w14:paraId="2998197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1,891</w:t>
            </w:r>
          </w:p>
        </w:tc>
        <w:tc>
          <w:tcPr>
            <w:tcW w:w="945" w:type="dxa"/>
            <w:tcBorders>
              <w:top w:val="nil"/>
              <w:left w:val="nil"/>
              <w:bottom w:val="nil"/>
              <w:right w:val="nil"/>
            </w:tcBorders>
            <w:shd w:val="clear" w:color="auto" w:fill="auto"/>
            <w:noWrap/>
            <w:vAlign w:val="bottom"/>
            <w:hideMark/>
          </w:tcPr>
          <w:p w14:paraId="4B166AD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2,945</w:t>
            </w:r>
          </w:p>
        </w:tc>
        <w:tc>
          <w:tcPr>
            <w:tcW w:w="1027" w:type="dxa"/>
            <w:tcBorders>
              <w:top w:val="nil"/>
              <w:left w:val="nil"/>
              <w:bottom w:val="nil"/>
              <w:right w:val="nil"/>
            </w:tcBorders>
            <w:shd w:val="clear" w:color="auto" w:fill="auto"/>
            <w:noWrap/>
            <w:vAlign w:val="bottom"/>
            <w:hideMark/>
          </w:tcPr>
          <w:p w14:paraId="360E585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562D3C">
              <w:rPr>
                <w:rFonts w:eastAsia="Times New Roman" w:cs="Calibri"/>
                <w:color w:val="002060"/>
                <w:sz w:val="18"/>
                <w:szCs w:val="18"/>
              </w:rPr>
              <w:t>20,014</w:t>
            </w:r>
          </w:p>
        </w:tc>
      </w:tr>
      <w:tr w:rsidR="005C437E" w:rsidRPr="00562D3C" w14:paraId="286783FA" w14:textId="77777777" w:rsidTr="002F7131">
        <w:trPr>
          <w:gridAfter w:val="1"/>
          <w:wAfter w:w="6" w:type="dxa"/>
          <w:trHeight w:val="20"/>
        </w:trPr>
        <w:tc>
          <w:tcPr>
            <w:tcW w:w="3130" w:type="dxa"/>
            <w:tcBorders>
              <w:top w:val="nil"/>
              <w:left w:val="nil"/>
              <w:bottom w:val="nil"/>
              <w:right w:val="nil"/>
            </w:tcBorders>
            <w:shd w:val="clear" w:color="auto" w:fill="auto"/>
            <w:noWrap/>
            <w:vAlign w:val="bottom"/>
            <w:hideMark/>
          </w:tcPr>
          <w:p w14:paraId="6F2F834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szCs w:val="18"/>
              </w:rPr>
            </w:pPr>
          </w:p>
        </w:tc>
        <w:tc>
          <w:tcPr>
            <w:tcW w:w="918" w:type="dxa"/>
            <w:tcBorders>
              <w:top w:val="nil"/>
              <w:left w:val="single" w:sz="4" w:space="0" w:color="0070C0"/>
              <w:bottom w:val="nil"/>
              <w:right w:val="nil"/>
            </w:tcBorders>
            <w:shd w:val="clear" w:color="auto" w:fill="auto"/>
            <w:noWrap/>
            <w:vAlign w:val="bottom"/>
            <w:hideMark/>
          </w:tcPr>
          <w:p w14:paraId="0CCD52C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nil"/>
              <w:right w:val="nil"/>
            </w:tcBorders>
            <w:shd w:val="clear" w:color="auto" w:fill="auto"/>
            <w:noWrap/>
            <w:vAlign w:val="bottom"/>
            <w:hideMark/>
          </w:tcPr>
          <w:p w14:paraId="3BED777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42" w:type="dxa"/>
            <w:tcBorders>
              <w:top w:val="nil"/>
              <w:left w:val="nil"/>
              <w:bottom w:val="nil"/>
              <w:right w:val="nil"/>
            </w:tcBorders>
            <w:shd w:val="clear" w:color="auto" w:fill="auto"/>
            <w:noWrap/>
            <w:vAlign w:val="bottom"/>
            <w:hideMark/>
          </w:tcPr>
          <w:p w14:paraId="200D85B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41CED99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70" w:type="dxa"/>
            <w:tcBorders>
              <w:top w:val="nil"/>
              <w:left w:val="nil"/>
              <w:bottom w:val="nil"/>
              <w:right w:val="nil"/>
            </w:tcBorders>
            <w:shd w:val="clear" w:color="auto" w:fill="auto"/>
            <w:noWrap/>
            <w:vAlign w:val="bottom"/>
            <w:hideMark/>
          </w:tcPr>
          <w:p w14:paraId="377EBDE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79" w:type="dxa"/>
            <w:tcBorders>
              <w:top w:val="nil"/>
              <w:left w:val="nil"/>
              <w:bottom w:val="nil"/>
              <w:right w:val="nil"/>
            </w:tcBorders>
            <w:shd w:val="clear" w:color="auto" w:fill="auto"/>
            <w:noWrap/>
            <w:vAlign w:val="bottom"/>
            <w:hideMark/>
          </w:tcPr>
          <w:p w14:paraId="1448931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3F3FFEC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151EB45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55F984C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6068E82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45" w:type="dxa"/>
            <w:tcBorders>
              <w:top w:val="nil"/>
              <w:left w:val="nil"/>
              <w:bottom w:val="nil"/>
              <w:right w:val="nil"/>
            </w:tcBorders>
            <w:shd w:val="clear" w:color="auto" w:fill="auto"/>
            <w:noWrap/>
            <w:vAlign w:val="bottom"/>
            <w:hideMark/>
          </w:tcPr>
          <w:p w14:paraId="339F93D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27" w:type="dxa"/>
            <w:tcBorders>
              <w:top w:val="nil"/>
              <w:left w:val="nil"/>
              <w:bottom w:val="nil"/>
              <w:right w:val="nil"/>
            </w:tcBorders>
            <w:shd w:val="clear" w:color="auto" w:fill="auto"/>
            <w:noWrap/>
            <w:vAlign w:val="bottom"/>
            <w:hideMark/>
          </w:tcPr>
          <w:p w14:paraId="0BF746E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562D3C" w14:paraId="69624CEC" w14:textId="77777777" w:rsidTr="002F7131">
        <w:trPr>
          <w:gridAfter w:val="1"/>
          <w:wAfter w:w="6" w:type="dxa"/>
          <w:trHeight w:val="20"/>
        </w:trPr>
        <w:tc>
          <w:tcPr>
            <w:tcW w:w="3130" w:type="dxa"/>
            <w:tcBorders>
              <w:top w:val="nil"/>
              <w:left w:val="nil"/>
              <w:bottom w:val="nil"/>
              <w:right w:val="nil"/>
            </w:tcBorders>
            <w:shd w:val="clear" w:color="auto" w:fill="auto"/>
            <w:noWrap/>
            <w:vAlign w:val="bottom"/>
            <w:hideMark/>
          </w:tcPr>
          <w:p w14:paraId="263EDDEC"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rPr>
            </w:pPr>
            <w:r w:rsidRPr="00562D3C">
              <w:rPr>
                <w:rFonts w:cstheme="minorHAnsi"/>
                <w:sz w:val="18"/>
                <w:szCs w:val="18"/>
              </w:rPr>
              <w:t xml:space="preserve">3 - </w:t>
            </w:r>
            <w:r w:rsidRPr="00562D3C">
              <w:rPr>
                <w:rFonts w:cstheme="minorHAnsi"/>
                <w:sz w:val="18"/>
                <w:szCs w:val="18"/>
              </w:rPr>
              <w:t>公务差旅</w:t>
            </w:r>
          </w:p>
        </w:tc>
        <w:tc>
          <w:tcPr>
            <w:tcW w:w="918" w:type="dxa"/>
            <w:tcBorders>
              <w:top w:val="nil"/>
              <w:left w:val="single" w:sz="4" w:space="0" w:color="0070C0"/>
              <w:bottom w:val="nil"/>
              <w:right w:val="nil"/>
            </w:tcBorders>
            <w:shd w:val="clear" w:color="auto" w:fill="auto"/>
            <w:noWrap/>
            <w:vAlign w:val="bottom"/>
            <w:hideMark/>
          </w:tcPr>
          <w:p w14:paraId="54D460E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nil"/>
              <w:right w:val="nil"/>
            </w:tcBorders>
            <w:shd w:val="clear" w:color="auto" w:fill="auto"/>
            <w:noWrap/>
            <w:vAlign w:val="bottom"/>
            <w:hideMark/>
          </w:tcPr>
          <w:p w14:paraId="72956FC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42" w:type="dxa"/>
            <w:tcBorders>
              <w:top w:val="nil"/>
              <w:left w:val="nil"/>
              <w:bottom w:val="nil"/>
              <w:right w:val="nil"/>
            </w:tcBorders>
            <w:shd w:val="clear" w:color="auto" w:fill="auto"/>
            <w:noWrap/>
            <w:vAlign w:val="bottom"/>
            <w:hideMark/>
          </w:tcPr>
          <w:p w14:paraId="69EE0F8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291</w:t>
            </w:r>
          </w:p>
        </w:tc>
        <w:tc>
          <w:tcPr>
            <w:tcW w:w="992" w:type="dxa"/>
            <w:tcBorders>
              <w:top w:val="nil"/>
              <w:left w:val="nil"/>
              <w:bottom w:val="nil"/>
              <w:right w:val="nil"/>
            </w:tcBorders>
            <w:shd w:val="clear" w:color="auto" w:fill="auto"/>
            <w:noWrap/>
            <w:vAlign w:val="bottom"/>
            <w:hideMark/>
          </w:tcPr>
          <w:p w14:paraId="6CD710D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770" w:type="dxa"/>
            <w:tcBorders>
              <w:top w:val="nil"/>
              <w:left w:val="nil"/>
              <w:bottom w:val="nil"/>
              <w:right w:val="nil"/>
            </w:tcBorders>
            <w:shd w:val="clear" w:color="auto" w:fill="auto"/>
            <w:noWrap/>
            <w:vAlign w:val="bottom"/>
            <w:hideMark/>
          </w:tcPr>
          <w:p w14:paraId="11AE4E5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79" w:type="dxa"/>
            <w:tcBorders>
              <w:top w:val="nil"/>
              <w:left w:val="nil"/>
              <w:bottom w:val="nil"/>
              <w:right w:val="nil"/>
            </w:tcBorders>
            <w:shd w:val="clear" w:color="auto" w:fill="auto"/>
            <w:noWrap/>
            <w:vAlign w:val="bottom"/>
            <w:hideMark/>
          </w:tcPr>
          <w:p w14:paraId="6701379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282</w:t>
            </w:r>
          </w:p>
        </w:tc>
        <w:tc>
          <w:tcPr>
            <w:tcW w:w="992" w:type="dxa"/>
            <w:tcBorders>
              <w:top w:val="nil"/>
              <w:left w:val="nil"/>
              <w:bottom w:val="nil"/>
              <w:right w:val="nil"/>
            </w:tcBorders>
            <w:shd w:val="clear" w:color="auto" w:fill="auto"/>
            <w:noWrap/>
            <w:vAlign w:val="bottom"/>
            <w:hideMark/>
          </w:tcPr>
          <w:p w14:paraId="34BEE56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150</w:t>
            </w:r>
          </w:p>
        </w:tc>
        <w:tc>
          <w:tcPr>
            <w:tcW w:w="958" w:type="dxa"/>
            <w:tcBorders>
              <w:top w:val="nil"/>
              <w:left w:val="nil"/>
              <w:bottom w:val="nil"/>
              <w:right w:val="nil"/>
            </w:tcBorders>
            <w:shd w:val="clear" w:color="auto" w:fill="auto"/>
            <w:noWrap/>
            <w:vAlign w:val="bottom"/>
            <w:hideMark/>
          </w:tcPr>
          <w:p w14:paraId="1A73DE8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35</w:t>
            </w:r>
          </w:p>
        </w:tc>
        <w:tc>
          <w:tcPr>
            <w:tcW w:w="958" w:type="dxa"/>
            <w:tcBorders>
              <w:top w:val="nil"/>
              <w:left w:val="nil"/>
              <w:bottom w:val="nil"/>
              <w:right w:val="nil"/>
            </w:tcBorders>
            <w:shd w:val="clear" w:color="auto" w:fill="auto"/>
            <w:noWrap/>
            <w:vAlign w:val="bottom"/>
            <w:hideMark/>
          </w:tcPr>
          <w:p w14:paraId="6A2C1A9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64</w:t>
            </w:r>
          </w:p>
        </w:tc>
        <w:tc>
          <w:tcPr>
            <w:tcW w:w="958" w:type="dxa"/>
            <w:tcBorders>
              <w:top w:val="nil"/>
              <w:left w:val="nil"/>
              <w:bottom w:val="nil"/>
              <w:right w:val="nil"/>
            </w:tcBorders>
            <w:shd w:val="clear" w:color="auto" w:fill="auto"/>
            <w:noWrap/>
            <w:vAlign w:val="bottom"/>
            <w:hideMark/>
          </w:tcPr>
          <w:p w14:paraId="3905B66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130</w:t>
            </w:r>
          </w:p>
        </w:tc>
        <w:tc>
          <w:tcPr>
            <w:tcW w:w="945" w:type="dxa"/>
            <w:tcBorders>
              <w:top w:val="nil"/>
              <w:left w:val="nil"/>
              <w:bottom w:val="nil"/>
              <w:right w:val="nil"/>
            </w:tcBorders>
            <w:shd w:val="clear" w:color="auto" w:fill="auto"/>
            <w:noWrap/>
            <w:vAlign w:val="bottom"/>
            <w:hideMark/>
          </w:tcPr>
          <w:p w14:paraId="2B335E3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48</w:t>
            </w:r>
          </w:p>
        </w:tc>
        <w:tc>
          <w:tcPr>
            <w:tcW w:w="1027" w:type="dxa"/>
            <w:tcBorders>
              <w:top w:val="nil"/>
              <w:left w:val="nil"/>
              <w:bottom w:val="nil"/>
              <w:right w:val="nil"/>
            </w:tcBorders>
            <w:shd w:val="clear" w:color="auto" w:fill="auto"/>
            <w:noWrap/>
            <w:vAlign w:val="bottom"/>
            <w:hideMark/>
          </w:tcPr>
          <w:p w14:paraId="6CB1504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562D3C">
              <w:rPr>
                <w:rFonts w:eastAsia="Times New Roman" w:cs="Calibri"/>
                <w:color w:val="002060"/>
                <w:sz w:val="18"/>
                <w:szCs w:val="18"/>
              </w:rPr>
              <w:t>1,000</w:t>
            </w:r>
          </w:p>
        </w:tc>
      </w:tr>
      <w:tr w:rsidR="005C437E" w:rsidRPr="00562D3C" w14:paraId="3C89D54E" w14:textId="77777777" w:rsidTr="002F7131">
        <w:trPr>
          <w:gridAfter w:val="1"/>
          <w:wAfter w:w="6" w:type="dxa"/>
          <w:trHeight w:val="20"/>
        </w:trPr>
        <w:tc>
          <w:tcPr>
            <w:tcW w:w="3130" w:type="dxa"/>
            <w:tcBorders>
              <w:top w:val="nil"/>
              <w:left w:val="nil"/>
              <w:bottom w:val="nil"/>
              <w:right w:val="nil"/>
            </w:tcBorders>
            <w:shd w:val="clear" w:color="auto" w:fill="auto"/>
            <w:noWrap/>
            <w:vAlign w:val="bottom"/>
            <w:hideMark/>
          </w:tcPr>
          <w:p w14:paraId="7B2DE75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szCs w:val="18"/>
              </w:rPr>
            </w:pPr>
          </w:p>
        </w:tc>
        <w:tc>
          <w:tcPr>
            <w:tcW w:w="918" w:type="dxa"/>
            <w:tcBorders>
              <w:top w:val="nil"/>
              <w:left w:val="single" w:sz="4" w:space="0" w:color="0070C0"/>
              <w:bottom w:val="nil"/>
              <w:right w:val="nil"/>
            </w:tcBorders>
            <w:shd w:val="clear" w:color="auto" w:fill="auto"/>
            <w:noWrap/>
            <w:vAlign w:val="bottom"/>
            <w:hideMark/>
          </w:tcPr>
          <w:p w14:paraId="2B115DE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nil"/>
              <w:right w:val="nil"/>
            </w:tcBorders>
            <w:shd w:val="clear" w:color="auto" w:fill="auto"/>
            <w:noWrap/>
            <w:vAlign w:val="bottom"/>
            <w:hideMark/>
          </w:tcPr>
          <w:p w14:paraId="544D659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42" w:type="dxa"/>
            <w:tcBorders>
              <w:top w:val="nil"/>
              <w:left w:val="nil"/>
              <w:bottom w:val="nil"/>
              <w:right w:val="nil"/>
            </w:tcBorders>
            <w:shd w:val="clear" w:color="auto" w:fill="auto"/>
            <w:noWrap/>
            <w:vAlign w:val="bottom"/>
            <w:hideMark/>
          </w:tcPr>
          <w:p w14:paraId="383EAAB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57291BE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70" w:type="dxa"/>
            <w:tcBorders>
              <w:top w:val="nil"/>
              <w:left w:val="nil"/>
              <w:bottom w:val="nil"/>
              <w:right w:val="nil"/>
            </w:tcBorders>
            <w:shd w:val="clear" w:color="auto" w:fill="auto"/>
            <w:noWrap/>
            <w:vAlign w:val="bottom"/>
            <w:hideMark/>
          </w:tcPr>
          <w:p w14:paraId="5F2067C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79" w:type="dxa"/>
            <w:tcBorders>
              <w:top w:val="nil"/>
              <w:left w:val="nil"/>
              <w:bottom w:val="nil"/>
              <w:right w:val="nil"/>
            </w:tcBorders>
            <w:shd w:val="clear" w:color="auto" w:fill="auto"/>
            <w:noWrap/>
            <w:vAlign w:val="bottom"/>
            <w:hideMark/>
          </w:tcPr>
          <w:p w14:paraId="793AF91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6673BEF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017256F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1A7EE28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10C6042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45" w:type="dxa"/>
            <w:tcBorders>
              <w:top w:val="nil"/>
              <w:left w:val="nil"/>
              <w:bottom w:val="nil"/>
              <w:right w:val="nil"/>
            </w:tcBorders>
            <w:shd w:val="clear" w:color="auto" w:fill="auto"/>
            <w:noWrap/>
            <w:vAlign w:val="bottom"/>
            <w:hideMark/>
          </w:tcPr>
          <w:p w14:paraId="1799413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27" w:type="dxa"/>
            <w:tcBorders>
              <w:top w:val="nil"/>
              <w:left w:val="nil"/>
              <w:bottom w:val="nil"/>
              <w:right w:val="nil"/>
            </w:tcBorders>
            <w:shd w:val="clear" w:color="auto" w:fill="auto"/>
            <w:noWrap/>
            <w:vAlign w:val="bottom"/>
            <w:hideMark/>
          </w:tcPr>
          <w:p w14:paraId="6D67A74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562D3C" w14:paraId="1E56868D" w14:textId="77777777" w:rsidTr="002F7131">
        <w:trPr>
          <w:gridAfter w:val="1"/>
          <w:wAfter w:w="6" w:type="dxa"/>
          <w:trHeight w:val="20"/>
        </w:trPr>
        <w:tc>
          <w:tcPr>
            <w:tcW w:w="3130" w:type="dxa"/>
            <w:tcBorders>
              <w:top w:val="nil"/>
              <w:left w:val="nil"/>
              <w:bottom w:val="nil"/>
              <w:right w:val="nil"/>
            </w:tcBorders>
            <w:shd w:val="clear" w:color="auto" w:fill="auto"/>
            <w:noWrap/>
            <w:vAlign w:val="bottom"/>
            <w:hideMark/>
          </w:tcPr>
          <w:p w14:paraId="0EC8E688"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rPr>
            </w:pPr>
            <w:r w:rsidRPr="00562D3C">
              <w:rPr>
                <w:rFonts w:cstheme="minorHAnsi"/>
                <w:sz w:val="18"/>
                <w:szCs w:val="18"/>
              </w:rPr>
              <w:t xml:space="preserve">4 - </w:t>
            </w:r>
            <w:r w:rsidRPr="00562D3C">
              <w:rPr>
                <w:rFonts w:cstheme="minorHAnsi"/>
                <w:sz w:val="18"/>
                <w:szCs w:val="18"/>
              </w:rPr>
              <w:t>合同服务</w:t>
            </w:r>
          </w:p>
        </w:tc>
        <w:tc>
          <w:tcPr>
            <w:tcW w:w="918" w:type="dxa"/>
            <w:tcBorders>
              <w:top w:val="nil"/>
              <w:left w:val="single" w:sz="4" w:space="0" w:color="0070C0"/>
              <w:bottom w:val="nil"/>
              <w:right w:val="nil"/>
            </w:tcBorders>
            <w:shd w:val="clear" w:color="auto" w:fill="auto"/>
            <w:noWrap/>
            <w:vAlign w:val="bottom"/>
            <w:hideMark/>
          </w:tcPr>
          <w:p w14:paraId="4C40B70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nil"/>
              <w:right w:val="nil"/>
            </w:tcBorders>
            <w:shd w:val="clear" w:color="auto" w:fill="auto"/>
            <w:noWrap/>
            <w:vAlign w:val="bottom"/>
            <w:hideMark/>
          </w:tcPr>
          <w:p w14:paraId="69BAC6F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50</w:t>
            </w:r>
          </w:p>
        </w:tc>
        <w:tc>
          <w:tcPr>
            <w:tcW w:w="942" w:type="dxa"/>
            <w:tcBorders>
              <w:top w:val="nil"/>
              <w:left w:val="nil"/>
              <w:bottom w:val="nil"/>
              <w:right w:val="nil"/>
            </w:tcBorders>
            <w:shd w:val="clear" w:color="auto" w:fill="auto"/>
            <w:noWrap/>
            <w:vAlign w:val="bottom"/>
            <w:hideMark/>
          </w:tcPr>
          <w:p w14:paraId="3D708EE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92" w:type="dxa"/>
            <w:tcBorders>
              <w:top w:val="nil"/>
              <w:left w:val="nil"/>
              <w:bottom w:val="nil"/>
              <w:right w:val="nil"/>
            </w:tcBorders>
            <w:shd w:val="clear" w:color="auto" w:fill="auto"/>
            <w:noWrap/>
            <w:vAlign w:val="bottom"/>
            <w:hideMark/>
          </w:tcPr>
          <w:p w14:paraId="2227408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525</w:t>
            </w:r>
          </w:p>
        </w:tc>
        <w:tc>
          <w:tcPr>
            <w:tcW w:w="770" w:type="dxa"/>
            <w:tcBorders>
              <w:top w:val="nil"/>
              <w:left w:val="nil"/>
              <w:bottom w:val="nil"/>
              <w:right w:val="nil"/>
            </w:tcBorders>
            <w:shd w:val="clear" w:color="auto" w:fill="auto"/>
            <w:noWrap/>
            <w:vAlign w:val="bottom"/>
            <w:hideMark/>
          </w:tcPr>
          <w:p w14:paraId="56E4857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850</w:t>
            </w:r>
          </w:p>
        </w:tc>
        <w:tc>
          <w:tcPr>
            <w:tcW w:w="1079" w:type="dxa"/>
            <w:tcBorders>
              <w:top w:val="nil"/>
              <w:left w:val="nil"/>
              <w:bottom w:val="nil"/>
              <w:right w:val="nil"/>
            </w:tcBorders>
            <w:shd w:val="clear" w:color="auto" w:fill="auto"/>
            <w:noWrap/>
            <w:vAlign w:val="bottom"/>
            <w:hideMark/>
          </w:tcPr>
          <w:p w14:paraId="17E1061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250</w:t>
            </w:r>
          </w:p>
        </w:tc>
        <w:tc>
          <w:tcPr>
            <w:tcW w:w="992" w:type="dxa"/>
            <w:tcBorders>
              <w:top w:val="nil"/>
              <w:left w:val="nil"/>
              <w:bottom w:val="nil"/>
              <w:right w:val="nil"/>
            </w:tcBorders>
            <w:shd w:val="clear" w:color="auto" w:fill="auto"/>
            <w:noWrap/>
            <w:vAlign w:val="bottom"/>
            <w:hideMark/>
          </w:tcPr>
          <w:p w14:paraId="2EB279D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109</w:t>
            </w:r>
          </w:p>
        </w:tc>
        <w:tc>
          <w:tcPr>
            <w:tcW w:w="958" w:type="dxa"/>
            <w:tcBorders>
              <w:top w:val="nil"/>
              <w:left w:val="nil"/>
              <w:bottom w:val="nil"/>
              <w:right w:val="nil"/>
            </w:tcBorders>
            <w:shd w:val="clear" w:color="auto" w:fill="auto"/>
            <w:noWrap/>
            <w:vAlign w:val="bottom"/>
            <w:hideMark/>
          </w:tcPr>
          <w:p w14:paraId="0FF9FC4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940</w:t>
            </w:r>
          </w:p>
        </w:tc>
        <w:tc>
          <w:tcPr>
            <w:tcW w:w="958" w:type="dxa"/>
            <w:tcBorders>
              <w:top w:val="nil"/>
              <w:left w:val="nil"/>
              <w:bottom w:val="nil"/>
              <w:right w:val="nil"/>
            </w:tcBorders>
            <w:shd w:val="clear" w:color="auto" w:fill="auto"/>
            <w:noWrap/>
            <w:vAlign w:val="bottom"/>
            <w:hideMark/>
          </w:tcPr>
          <w:p w14:paraId="044F5C2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435</w:t>
            </w:r>
          </w:p>
        </w:tc>
        <w:tc>
          <w:tcPr>
            <w:tcW w:w="958" w:type="dxa"/>
            <w:tcBorders>
              <w:top w:val="nil"/>
              <w:left w:val="nil"/>
              <w:bottom w:val="nil"/>
              <w:right w:val="nil"/>
            </w:tcBorders>
            <w:shd w:val="clear" w:color="auto" w:fill="auto"/>
            <w:noWrap/>
            <w:vAlign w:val="bottom"/>
            <w:hideMark/>
          </w:tcPr>
          <w:p w14:paraId="738FE8E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63</w:t>
            </w:r>
          </w:p>
        </w:tc>
        <w:tc>
          <w:tcPr>
            <w:tcW w:w="945" w:type="dxa"/>
            <w:tcBorders>
              <w:top w:val="nil"/>
              <w:left w:val="nil"/>
              <w:bottom w:val="nil"/>
              <w:right w:val="nil"/>
            </w:tcBorders>
            <w:shd w:val="clear" w:color="auto" w:fill="auto"/>
            <w:noWrap/>
            <w:vAlign w:val="bottom"/>
            <w:hideMark/>
          </w:tcPr>
          <w:p w14:paraId="72E7262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3,551</w:t>
            </w:r>
          </w:p>
        </w:tc>
        <w:tc>
          <w:tcPr>
            <w:tcW w:w="1027" w:type="dxa"/>
            <w:tcBorders>
              <w:top w:val="nil"/>
              <w:left w:val="nil"/>
              <w:bottom w:val="nil"/>
              <w:right w:val="nil"/>
            </w:tcBorders>
            <w:shd w:val="clear" w:color="auto" w:fill="auto"/>
            <w:noWrap/>
            <w:vAlign w:val="bottom"/>
            <w:hideMark/>
          </w:tcPr>
          <w:p w14:paraId="28B0B68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562D3C">
              <w:rPr>
                <w:rFonts w:eastAsia="Times New Roman" w:cs="Calibri"/>
                <w:color w:val="002060"/>
                <w:sz w:val="18"/>
                <w:szCs w:val="18"/>
              </w:rPr>
              <w:t>6,773</w:t>
            </w:r>
          </w:p>
        </w:tc>
      </w:tr>
      <w:tr w:rsidR="005C437E" w:rsidRPr="00562D3C" w14:paraId="7740FBD3" w14:textId="77777777" w:rsidTr="002F7131">
        <w:trPr>
          <w:gridAfter w:val="1"/>
          <w:wAfter w:w="6" w:type="dxa"/>
          <w:trHeight w:val="20"/>
        </w:trPr>
        <w:tc>
          <w:tcPr>
            <w:tcW w:w="3130" w:type="dxa"/>
            <w:tcBorders>
              <w:top w:val="nil"/>
              <w:left w:val="nil"/>
              <w:bottom w:val="nil"/>
              <w:right w:val="nil"/>
            </w:tcBorders>
            <w:shd w:val="clear" w:color="auto" w:fill="auto"/>
            <w:noWrap/>
            <w:vAlign w:val="bottom"/>
            <w:hideMark/>
          </w:tcPr>
          <w:p w14:paraId="7874833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szCs w:val="18"/>
              </w:rPr>
            </w:pPr>
          </w:p>
        </w:tc>
        <w:tc>
          <w:tcPr>
            <w:tcW w:w="918" w:type="dxa"/>
            <w:tcBorders>
              <w:top w:val="nil"/>
              <w:left w:val="single" w:sz="4" w:space="0" w:color="0070C0"/>
              <w:bottom w:val="nil"/>
              <w:right w:val="nil"/>
            </w:tcBorders>
            <w:shd w:val="clear" w:color="auto" w:fill="auto"/>
            <w:noWrap/>
            <w:vAlign w:val="bottom"/>
            <w:hideMark/>
          </w:tcPr>
          <w:p w14:paraId="28DAFDC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nil"/>
              <w:right w:val="nil"/>
            </w:tcBorders>
            <w:shd w:val="clear" w:color="auto" w:fill="auto"/>
            <w:noWrap/>
            <w:vAlign w:val="bottom"/>
            <w:hideMark/>
          </w:tcPr>
          <w:p w14:paraId="744737B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42" w:type="dxa"/>
            <w:tcBorders>
              <w:top w:val="nil"/>
              <w:left w:val="nil"/>
              <w:bottom w:val="nil"/>
              <w:right w:val="nil"/>
            </w:tcBorders>
            <w:shd w:val="clear" w:color="auto" w:fill="auto"/>
            <w:noWrap/>
            <w:vAlign w:val="bottom"/>
            <w:hideMark/>
          </w:tcPr>
          <w:p w14:paraId="6B31B26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6C95554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70" w:type="dxa"/>
            <w:tcBorders>
              <w:top w:val="nil"/>
              <w:left w:val="nil"/>
              <w:bottom w:val="nil"/>
              <w:right w:val="nil"/>
            </w:tcBorders>
            <w:shd w:val="clear" w:color="auto" w:fill="auto"/>
            <w:noWrap/>
            <w:vAlign w:val="bottom"/>
            <w:hideMark/>
          </w:tcPr>
          <w:p w14:paraId="37F68D5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79" w:type="dxa"/>
            <w:tcBorders>
              <w:top w:val="nil"/>
              <w:left w:val="nil"/>
              <w:bottom w:val="nil"/>
              <w:right w:val="nil"/>
            </w:tcBorders>
            <w:shd w:val="clear" w:color="auto" w:fill="auto"/>
            <w:noWrap/>
            <w:vAlign w:val="bottom"/>
            <w:hideMark/>
          </w:tcPr>
          <w:p w14:paraId="0899342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78716A3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3204C1D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7B8CD9F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65931E3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45" w:type="dxa"/>
            <w:tcBorders>
              <w:top w:val="nil"/>
              <w:left w:val="nil"/>
              <w:bottom w:val="nil"/>
              <w:right w:val="nil"/>
            </w:tcBorders>
            <w:shd w:val="clear" w:color="auto" w:fill="auto"/>
            <w:noWrap/>
            <w:vAlign w:val="bottom"/>
            <w:hideMark/>
          </w:tcPr>
          <w:p w14:paraId="57FC02D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27" w:type="dxa"/>
            <w:tcBorders>
              <w:top w:val="nil"/>
              <w:left w:val="nil"/>
              <w:bottom w:val="nil"/>
              <w:right w:val="nil"/>
            </w:tcBorders>
            <w:shd w:val="clear" w:color="auto" w:fill="auto"/>
            <w:noWrap/>
            <w:vAlign w:val="bottom"/>
            <w:hideMark/>
          </w:tcPr>
          <w:p w14:paraId="7A06F06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562D3C" w14:paraId="025903E2" w14:textId="77777777" w:rsidTr="002F7131">
        <w:trPr>
          <w:gridAfter w:val="1"/>
          <w:wAfter w:w="6" w:type="dxa"/>
          <w:trHeight w:val="20"/>
        </w:trPr>
        <w:tc>
          <w:tcPr>
            <w:tcW w:w="3130" w:type="dxa"/>
            <w:tcBorders>
              <w:top w:val="nil"/>
              <w:left w:val="nil"/>
              <w:bottom w:val="nil"/>
              <w:right w:val="nil"/>
            </w:tcBorders>
            <w:shd w:val="clear" w:color="auto" w:fill="auto"/>
            <w:vAlign w:val="bottom"/>
            <w:hideMark/>
          </w:tcPr>
          <w:p w14:paraId="1309C338"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lang w:eastAsia="zh-CN"/>
              </w:rPr>
            </w:pPr>
            <w:r w:rsidRPr="00562D3C">
              <w:rPr>
                <w:rFonts w:cstheme="minorHAnsi"/>
                <w:sz w:val="18"/>
                <w:szCs w:val="18"/>
                <w:lang w:eastAsia="zh-CN"/>
              </w:rPr>
              <w:t xml:space="preserve">5 - </w:t>
            </w:r>
            <w:r w:rsidRPr="00562D3C">
              <w:rPr>
                <w:rFonts w:cstheme="minorHAnsi"/>
                <w:sz w:val="18"/>
                <w:szCs w:val="18"/>
                <w:lang w:eastAsia="zh-CN"/>
              </w:rPr>
              <w:t>房屋设施和设备的租用与维护</w:t>
            </w:r>
          </w:p>
        </w:tc>
        <w:tc>
          <w:tcPr>
            <w:tcW w:w="918" w:type="dxa"/>
            <w:tcBorders>
              <w:top w:val="nil"/>
              <w:left w:val="single" w:sz="4" w:space="0" w:color="0070C0"/>
              <w:bottom w:val="nil"/>
              <w:right w:val="nil"/>
            </w:tcBorders>
            <w:shd w:val="clear" w:color="auto" w:fill="auto"/>
            <w:noWrap/>
            <w:vAlign w:val="bottom"/>
            <w:hideMark/>
          </w:tcPr>
          <w:p w14:paraId="7892EEA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lang w:eastAsia="zh-CN"/>
              </w:rPr>
            </w:pPr>
            <w:r w:rsidRPr="00562D3C">
              <w:rPr>
                <w:rFonts w:eastAsia="Times New Roman" w:cs="Calibri"/>
                <w:sz w:val="18"/>
                <w:szCs w:val="18"/>
                <w:lang w:eastAsia="zh-CN"/>
              </w:rPr>
              <w:t> </w:t>
            </w:r>
          </w:p>
        </w:tc>
        <w:tc>
          <w:tcPr>
            <w:tcW w:w="958" w:type="dxa"/>
            <w:tcBorders>
              <w:top w:val="nil"/>
              <w:left w:val="nil"/>
              <w:bottom w:val="nil"/>
              <w:right w:val="nil"/>
            </w:tcBorders>
            <w:shd w:val="clear" w:color="auto" w:fill="auto"/>
            <w:noWrap/>
            <w:vAlign w:val="bottom"/>
            <w:hideMark/>
          </w:tcPr>
          <w:p w14:paraId="37DB003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lang w:eastAsia="zh-CN"/>
              </w:rPr>
            </w:pPr>
          </w:p>
        </w:tc>
        <w:tc>
          <w:tcPr>
            <w:tcW w:w="942" w:type="dxa"/>
            <w:tcBorders>
              <w:top w:val="nil"/>
              <w:left w:val="nil"/>
              <w:bottom w:val="nil"/>
              <w:right w:val="nil"/>
            </w:tcBorders>
            <w:shd w:val="clear" w:color="auto" w:fill="auto"/>
            <w:noWrap/>
            <w:vAlign w:val="bottom"/>
            <w:hideMark/>
          </w:tcPr>
          <w:p w14:paraId="67A445F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25</w:t>
            </w:r>
          </w:p>
        </w:tc>
        <w:tc>
          <w:tcPr>
            <w:tcW w:w="992" w:type="dxa"/>
            <w:tcBorders>
              <w:top w:val="nil"/>
              <w:left w:val="nil"/>
              <w:bottom w:val="nil"/>
              <w:right w:val="nil"/>
            </w:tcBorders>
            <w:shd w:val="clear" w:color="auto" w:fill="auto"/>
            <w:noWrap/>
            <w:vAlign w:val="bottom"/>
            <w:hideMark/>
          </w:tcPr>
          <w:p w14:paraId="241D554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770" w:type="dxa"/>
            <w:tcBorders>
              <w:top w:val="nil"/>
              <w:left w:val="nil"/>
              <w:bottom w:val="nil"/>
              <w:right w:val="nil"/>
            </w:tcBorders>
            <w:shd w:val="clear" w:color="auto" w:fill="auto"/>
            <w:noWrap/>
            <w:vAlign w:val="bottom"/>
            <w:hideMark/>
          </w:tcPr>
          <w:p w14:paraId="145E176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100</w:t>
            </w:r>
          </w:p>
        </w:tc>
        <w:tc>
          <w:tcPr>
            <w:tcW w:w="1079" w:type="dxa"/>
            <w:tcBorders>
              <w:top w:val="nil"/>
              <w:left w:val="nil"/>
              <w:bottom w:val="nil"/>
              <w:right w:val="nil"/>
            </w:tcBorders>
            <w:shd w:val="clear" w:color="auto" w:fill="auto"/>
            <w:noWrap/>
            <w:vAlign w:val="bottom"/>
            <w:hideMark/>
          </w:tcPr>
          <w:p w14:paraId="78B4BF9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2,071</w:t>
            </w:r>
          </w:p>
        </w:tc>
        <w:tc>
          <w:tcPr>
            <w:tcW w:w="992" w:type="dxa"/>
            <w:tcBorders>
              <w:top w:val="nil"/>
              <w:left w:val="nil"/>
              <w:bottom w:val="nil"/>
              <w:right w:val="nil"/>
            </w:tcBorders>
            <w:shd w:val="clear" w:color="auto" w:fill="auto"/>
            <w:noWrap/>
            <w:vAlign w:val="bottom"/>
            <w:hideMark/>
          </w:tcPr>
          <w:p w14:paraId="49277A7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10</w:t>
            </w:r>
          </w:p>
        </w:tc>
        <w:tc>
          <w:tcPr>
            <w:tcW w:w="958" w:type="dxa"/>
            <w:tcBorders>
              <w:top w:val="nil"/>
              <w:left w:val="nil"/>
              <w:bottom w:val="nil"/>
              <w:right w:val="nil"/>
            </w:tcBorders>
            <w:shd w:val="clear" w:color="auto" w:fill="auto"/>
            <w:noWrap/>
            <w:vAlign w:val="bottom"/>
            <w:hideMark/>
          </w:tcPr>
          <w:p w14:paraId="0A9138D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222</w:t>
            </w:r>
          </w:p>
        </w:tc>
        <w:tc>
          <w:tcPr>
            <w:tcW w:w="958" w:type="dxa"/>
            <w:tcBorders>
              <w:top w:val="nil"/>
              <w:left w:val="nil"/>
              <w:bottom w:val="nil"/>
              <w:right w:val="nil"/>
            </w:tcBorders>
            <w:shd w:val="clear" w:color="auto" w:fill="auto"/>
            <w:noWrap/>
            <w:vAlign w:val="bottom"/>
            <w:hideMark/>
          </w:tcPr>
          <w:p w14:paraId="003F3AC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w:t>
            </w:r>
          </w:p>
        </w:tc>
        <w:tc>
          <w:tcPr>
            <w:tcW w:w="958" w:type="dxa"/>
            <w:tcBorders>
              <w:top w:val="nil"/>
              <w:left w:val="nil"/>
              <w:bottom w:val="nil"/>
              <w:right w:val="nil"/>
            </w:tcBorders>
            <w:shd w:val="clear" w:color="auto" w:fill="auto"/>
            <w:noWrap/>
            <w:vAlign w:val="bottom"/>
            <w:hideMark/>
          </w:tcPr>
          <w:p w14:paraId="14BE722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45" w:type="dxa"/>
            <w:tcBorders>
              <w:top w:val="nil"/>
              <w:left w:val="nil"/>
              <w:bottom w:val="nil"/>
              <w:right w:val="nil"/>
            </w:tcBorders>
            <w:shd w:val="clear" w:color="auto" w:fill="auto"/>
            <w:noWrap/>
            <w:vAlign w:val="bottom"/>
            <w:hideMark/>
          </w:tcPr>
          <w:p w14:paraId="692E332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2,507</w:t>
            </w:r>
          </w:p>
        </w:tc>
        <w:tc>
          <w:tcPr>
            <w:tcW w:w="1027" w:type="dxa"/>
            <w:tcBorders>
              <w:top w:val="nil"/>
              <w:left w:val="nil"/>
              <w:bottom w:val="nil"/>
              <w:right w:val="nil"/>
            </w:tcBorders>
            <w:shd w:val="clear" w:color="auto" w:fill="auto"/>
            <w:noWrap/>
            <w:vAlign w:val="bottom"/>
            <w:hideMark/>
          </w:tcPr>
          <w:p w14:paraId="2C6D90C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562D3C">
              <w:rPr>
                <w:rFonts w:eastAsia="Times New Roman" w:cs="Calibri"/>
                <w:color w:val="002060"/>
                <w:sz w:val="18"/>
                <w:szCs w:val="18"/>
              </w:rPr>
              <w:t>4,936</w:t>
            </w:r>
          </w:p>
        </w:tc>
      </w:tr>
      <w:tr w:rsidR="005C437E" w:rsidRPr="00562D3C" w14:paraId="47502D05" w14:textId="77777777" w:rsidTr="002F7131">
        <w:trPr>
          <w:gridAfter w:val="1"/>
          <w:wAfter w:w="6" w:type="dxa"/>
          <w:trHeight w:val="20"/>
        </w:trPr>
        <w:tc>
          <w:tcPr>
            <w:tcW w:w="3130" w:type="dxa"/>
            <w:tcBorders>
              <w:top w:val="nil"/>
              <w:left w:val="nil"/>
              <w:bottom w:val="nil"/>
              <w:right w:val="nil"/>
            </w:tcBorders>
            <w:shd w:val="clear" w:color="auto" w:fill="auto"/>
            <w:noWrap/>
            <w:vAlign w:val="bottom"/>
            <w:hideMark/>
          </w:tcPr>
          <w:p w14:paraId="2BF6AEC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szCs w:val="18"/>
              </w:rPr>
            </w:pPr>
          </w:p>
        </w:tc>
        <w:tc>
          <w:tcPr>
            <w:tcW w:w="918" w:type="dxa"/>
            <w:tcBorders>
              <w:top w:val="nil"/>
              <w:left w:val="single" w:sz="4" w:space="0" w:color="0070C0"/>
              <w:bottom w:val="nil"/>
              <w:right w:val="nil"/>
            </w:tcBorders>
            <w:shd w:val="clear" w:color="auto" w:fill="auto"/>
            <w:noWrap/>
            <w:vAlign w:val="bottom"/>
            <w:hideMark/>
          </w:tcPr>
          <w:p w14:paraId="319C9CB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nil"/>
              <w:right w:val="nil"/>
            </w:tcBorders>
            <w:shd w:val="clear" w:color="auto" w:fill="auto"/>
            <w:noWrap/>
            <w:vAlign w:val="bottom"/>
            <w:hideMark/>
          </w:tcPr>
          <w:p w14:paraId="6034990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42" w:type="dxa"/>
            <w:tcBorders>
              <w:top w:val="nil"/>
              <w:left w:val="nil"/>
              <w:bottom w:val="nil"/>
              <w:right w:val="nil"/>
            </w:tcBorders>
            <w:shd w:val="clear" w:color="auto" w:fill="auto"/>
            <w:noWrap/>
            <w:vAlign w:val="bottom"/>
            <w:hideMark/>
          </w:tcPr>
          <w:p w14:paraId="5CDE9F9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639E4B9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70" w:type="dxa"/>
            <w:tcBorders>
              <w:top w:val="nil"/>
              <w:left w:val="nil"/>
              <w:bottom w:val="nil"/>
              <w:right w:val="nil"/>
            </w:tcBorders>
            <w:shd w:val="clear" w:color="auto" w:fill="auto"/>
            <w:noWrap/>
            <w:vAlign w:val="bottom"/>
            <w:hideMark/>
          </w:tcPr>
          <w:p w14:paraId="4AC6958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79" w:type="dxa"/>
            <w:tcBorders>
              <w:top w:val="nil"/>
              <w:left w:val="nil"/>
              <w:bottom w:val="nil"/>
              <w:right w:val="nil"/>
            </w:tcBorders>
            <w:shd w:val="clear" w:color="auto" w:fill="auto"/>
            <w:noWrap/>
            <w:vAlign w:val="bottom"/>
            <w:hideMark/>
          </w:tcPr>
          <w:p w14:paraId="3F6251C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39E8FA7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39DC9A2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5F122FC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57C05AF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45" w:type="dxa"/>
            <w:tcBorders>
              <w:top w:val="nil"/>
              <w:left w:val="nil"/>
              <w:bottom w:val="nil"/>
              <w:right w:val="nil"/>
            </w:tcBorders>
            <w:shd w:val="clear" w:color="auto" w:fill="auto"/>
            <w:noWrap/>
            <w:vAlign w:val="bottom"/>
            <w:hideMark/>
          </w:tcPr>
          <w:p w14:paraId="096F400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27" w:type="dxa"/>
            <w:tcBorders>
              <w:top w:val="nil"/>
              <w:left w:val="nil"/>
              <w:bottom w:val="nil"/>
              <w:right w:val="nil"/>
            </w:tcBorders>
            <w:shd w:val="clear" w:color="auto" w:fill="auto"/>
            <w:noWrap/>
            <w:vAlign w:val="bottom"/>
            <w:hideMark/>
          </w:tcPr>
          <w:p w14:paraId="0BF8152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562D3C" w14:paraId="399494F1" w14:textId="77777777" w:rsidTr="002F7131">
        <w:trPr>
          <w:gridAfter w:val="1"/>
          <w:wAfter w:w="6" w:type="dxa"/>
          <w:trHeight w:val="20"/>
        </w:trPr>
        <w:tc>
          <w:tcPr>
            <w:tcW w:w="3130" w:type="dxa"/>
            <w:tcBorders>
              <w:top w:val="nil"/>
              <w:left w:val="nil"/>
              <w:bottom w:val="nil"/>
              <w:right w:val="nil"/>
            </w:tcBorders>
            <w:shd w:val="clear" w:color="auto" w:fill="auto"/>
            <w:noWrap/>
            <w:vAlign w:val="bottom"/>
            <w:hideMark/>
          </w:tcPr>
          <w:p w14:paraId="69DBE6F7"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rPr>
            </w:pPr>
            <w:r w:rsidRPr="00562D3C">
              <w:rPr>
                <w:rFonts w:cstheme="minorHAnsi"/>
                <w:sz w:val="18"/>
                <w:szCs w:val="18"/>
              </w:rPr>
              <w:t xml:space="preserve">6 - </w:t>
            </w:r>
            <w:r w:rsidRPr="00562D3C">
              <w:rPr>
                <w:rFonts w:cstheme="minorHAnsi"/>
                <w:sz w:val="18"/>
                <w:szCs w:val="18"/>
              </w:rPr>
              <w:t>材料和办公用品</w:t>
            </w:r>
          </w:p>
        </w:tc>
        <w:tc>
          <w:tcPr>
            <w:tcW w:w="918" w:type="dxa"/>
            <w:tcBorders>
              <w:top w:val="nil"/>
              <w:left w:val="single" w:sz="4" w:space="0" w:color="0070C0"/>
              <w:bottom w:val="nil"/>
              <w:right w:val="nil"/>
            </w:tcBorders>
            <w:shd w:val="clear" w:color="auto" w:fill="auto"/>
            <w:noWrap/>
            <w:vAlign w:val="bottom"/>
            <w:hideMark/>
          </w:tcPr>
          <w:p w14:paraId="34387CE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nil"/>
              <w:right w:val="nil"/>
            </w:tcBorders>
            <w:shd w:val="clear" w:color="auto" w:fill="auto"/>
            <w:noWrap/>
            <w:vAlign w:val="bottom"/>
            <w:hideMark/>
          </w:tcPr>
          <w:p w14:paraId="761B93D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42" w:type="dxa"/>
            <w:tcBorders>
              <w:top w:val="nil"/>
              <w:left w:val="nil"/>
              <w:bottom w:val="nil"/>
              <w:right w:val="nil"/>
            </w:tcBorders>
            <w:shd w:val="clear" w:color="auto" w:fill="auto"/>
            <w:noWrap/>
            <w:vAlign w:val="bottom"/>
            <w:hideMark/>
          </w:tcPr>
          <w:p w14:paraId="1B03594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6A83C44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40</w:t>
            </w:r>
          </w:p>
        </w:tc>
        <w:tc>
          <w:tcPr>
            <w:tcW w:w="770" w:type="dxa"/>
            <w:tcBorders>
              <w:top w:val="nil"/>
              <w:left w:val="nil"/>
              <w:bottom w:val="nil"/>
              <w:right w:val="nil"/>
            </w:tcBorders>
            <w:shd w:val="clear" w:color="auto" w:fill="auto"/>
            <w:noWrap/>
            <w:vAlign w:val="bottom"/>
            <w:hideMark/>
          </w:tcPr>
          <w:p w14:paraId="5C0E352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1079" w:type="dxa"/>
            <w:tcBorders>
              <w:top w:val="nil"/>
              <w:left w:val="nil"/>
              <w:bottom w:val="nil"/>
              <w:right w:val="nil"/>
            </w:tcBorders>
            <w:shd w:val="clear" w:color="auto" w:fill="auto"/>
            <w:noWrap/>
            <w:vAlign w:val="bottom"/>
            <w:hideMark/>
          </w:tcPr>
          <w:p w14:paraId="2819228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199</w:t>
            </w:r>
          </w:p>
        </w:tc>
        <w:tc>
          <w:tcPr>
            <w:tcW w:w="992" w:type="dxa"/>
            <w:tcBorders>
              <w:top w:val="nil"/>
              <w:left w:val="nil"/>
              <w:bottom w:val="nil"/>
              <w:right w:val="nil"/>
            </w:tcBorders>
            <w:shd w:val="clear" w:color="auto" w:fill="auto"/>
            <w:noWrap/>
            <w:vAlign w:val="bottom"/>
            <w:hideMark/>
          </w:tcPr>
          <w:p w14:paraId="674F8D2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26</w:t>
            </w:r>
          </w:p>
        </w:tc>
        <w:tc>
          <w:tcPr>
            <w:tcW w:w="958" w:type="dxa"/>
            <w:tcBorders>
              <w:top w:val="nil"/>
              <w:left w:val="nil"/>
              <w:bottom w:val="nil"/>
              <w:right w:val="nil"/>
            </w:tcBorders>
            <w:shd w:val="clear" w:color="auto" w:fill="auto"/>
            <w:noWrap/>
            <w:vAlign w:val="bottom"/>
            <w:hideMark/>
          </w:tcPr>
          <w:p w14:paraId="71E8179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181</w:t>
            </w:r>
          </w:p>
        </w:tc>
        <w:tc>
          <w:tcPr>
            <w:tcW w:w="958" w:type="dxa"/>
            <w:tcBorders>
              <w:top w:val="nil"/>
              <w:left w:val="nil"/>
              <w:bottom w:val="nil"/>
              <w:right w:val="nil"/>
            </w:tcBorders>
            <w:shd w:val="clear" w:color="auto" w:fill="auto"/>
            <w:noWrap/>
            <w:vAlign w:val="bottom"/>
            <w:hideMark/>
          </w:tcPr>
          <w:p w14:paraId="6FDEF68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35</w:t>
            </w:r>
          </w:p>
        </w:tc>
        <w:tc>
          <w:tcPr>
            <w:tcW w:w="958" w:type="dxa"/>
            <w:tcBorders>
              <w:top w:val="nil"/>
              <w:left w:val="nil"/>
              <w:bottom w:val="nil"/>
              <w:right w:val="nil"/>
            </w:tcBorders>
            <w:shd w:val="clear" w:color="auto" w:fill="auto"/>
            <w:noWrap/>
            <w:vAlign w:val="bottom"/>
            <w:hideMark/>
          </w:tcPr>
          <w:p w14:paraId="57A50CE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46</w:t>
            </w:r>
          </w:p>
        </w:tc>
        <w:tc>
          <w:tcPr>
            <w:tcW w:w="945" w:type="dxa"/>
            <w:tcBorders>
              <w:top w:val="nil"/>
              <w:left w:val="nil"/>
              <w:bottom w:val="nil"/>
              <w:right w:val="nil"/>
            </w:tcBorders>
            <w:shd w:val="clear" w:color="auto" w:fill="auto"/>
            <w:noWrap/>
            <w:vAlign w:val="bottom"/>
            <w:hideMark/>
          </w:tcPr>
          <w:p w14:paraId="71EE0FF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423</w:t>
            </w:r>
          </w:p>
        </w:tc>
        <w:tc>
          <w:tcPr>
            <w:tcW w:w="1027" w:type="dxa"/>
            <w:tcBorders>
              <w:top w:val="nil"/>
              <w:left w:val="nil"/>
              <w:bottom w:val="nil"/>
              <w:right w:val="nil"/>
            </w:tcBorders>
            <w:shd w:val="clear" w:color="auto" w:fill="auto"/>
            <w:noWrap/>
            <w:vAlign w:val="bottom"/>
            <w:hideMark/>
          </w:tcPr>
          <w:p w14:paraId="54E6E96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562D3C">
              <w:rPr>
                <w:rFonts w:eastAsia="Times New Roman" w:cs="Calibri"/>
                <w:color w:val="002060"/>
                <w:sz w:val="18"/>
                <w:szCs w:val="18"/>
              </w:rPr>
              <w:t>950</w:t>
            </w:r>
          </w:p>
        </w:tc>
      </w:tr>
      <w:tr w:rsidR="005C437E" w:rsidRPr="00562D3C" w14:paraId="219900C0" w14:textId="77777777" w:rsidTr="002F7131">
        <w:trPr>
          <w:gridAfter w:val="1"/>
          <w:wAfter w:w="6" w:type="dxa"/>
          <w:trHeight w:val="20"/>
        </w:trPr>
        <w:tc>
          <w:tcPr>
            <w:tcW w:w="3130" w:type="dxa"/>
            <w:tcBorders>
              <w:top w:val="nil"/>
              <w:left w:val="nil"/>
              <w:bottom w:val="nil"/>
              <w:right w:val="nil"/>
            </w:tcBorders>
            <w:shd w:val="clear" w:color="auto" w:fill="auto"/>
            <w:noWrap/>
            <w:vAlign w:val="bottom"/>
            <w:hideMark/>
          </w:tcPr>
          <w:p w14:paraId="1422C5C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szCs w:val="18"/>
              </w:rPr>
            </w:pPr>
          </w:p>
        </w:tc>
        <w:tc>
          <w:tcPr>
            <w:tcW w:w="918" w:type="dxa"/>
            <w:tcBorders>
              <w:top w:val="nil"/>
              <w:left w:val="single" w:sz="4" w:space="0" w:color="0070C0"/>
              <w:bottom w:val="nil"/>
              <w:right w:val="nil"/>
            </w:tcBorders>
            <w:shd w:val="clear" w:color="auto" w:fill="auto"/>
            <w:noWrap/>
            <w:vAlign w:val="bottom"/>
            <w:hideMark/>
          </w:tcPr>
          <w:p w14:paraId="150B4B0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nil"/>
              <w:right w:val="nil"/>
            </w:tcBorders>
            <w:shd w:val="clear" w:color="auto" w:fill="auto"/>
            <w:noWrap/>
            <w:vAlign w:val="bottom"/>
            <w:hideMark/>
          </w:tcPr>
          <w:p w14:paraId="6D4A013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42" w:type="dxa"/>
            <w:tcBorders>
              <w:top w:val="nil"/>
              <w:left w:val="nil"/>
              <w:bottom w:val="nil"/>
              <w:right w:val="nil"/>
            </w:tcBorders>
            <w:shd w:val="clear" w:color="auto" w:fill="auto"/>
            <w:noWrap/>
            <w:vAlign w:val="bottom"/>
            <w:hideMark/>
          </w:tcPr>
          <w:p w14:paraId="4B1C90B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21E977B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70" w:type="dxa"/>
            <w:tcBorders>
              <w:top w:val="nil"/>
              <w:left w:val="nil"/>
              <w:bottom w:val="nil"/>
              <w:right w:val="nil"/>
            </w:tcBorders>
            <w:shd w:val="clear" w:color="auto" w:fill="auto"/>
            <w:noWrap/>
            <w:vAlign w:val="bottom"/>
            <w:hideMark/>
          </w:tcPr>
          <w:p w14:paraId="14A2147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79" w:type="dxa"/>
            <w:tcBorders>
              <w:top w:val="nil"/>
              <w:left w:val="nil"/>
              <w:bottom w:val="nil"/>
              <w:right w:val="nil"/>
            </w:tcBorders>
            <w:shd w:val="clear" w:color="auto" w:fill="auto"/>
            <w:noWrap/>
            <w:vAlign w:val="bottom"/>
            <w:hideMark/>
          </w:tcPr>
          <w:p w14:paraId="28F7546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336C9D2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68D49B9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3F617D7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1A1826D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45" w:type="dxa"/>
            <w:tcBorders>
              <w:top w:val="nil"/>
              <w:left w:val="nil"/>
              <w:bottom w:val="nil"/>
              <w:right w:val="nil"/>
            </w:tcBorders>
            <w:shd w:val="clear" w:color="auto" w:fill="auto"/>
            <w:noWrap/>
            <w:vAlign w:val="bottom"/>
            <w:hideMark/>
          </w:tcPr>
          <w:p w14:paraId="2B97A8D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27" w:type="dxa"/>
            <w:tcBorders>
              <w:top w:val="nil"/>
              <w:left w:val="nil"/>
              <w:bottom w:val="nil"/>
              <w:right w:val="nil"/>
            </w:tcBorders>
            <w:shd w:val="clear" w:color="auto" w:fill="auto"/>
            <w:noWrap/>
            <w:vAlign w:val="bottom"/>
            <w:hideMark/>
          </w:tcPr>
          <w:p w14:paraId="74349DD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562D3C" w14:paraId="44035144" w14:textId="77777777" w:rsidTr="002F7131">
        <w:trPr>
          <w:gridAfter w:val="1"/>
          <w:wAfter w:w="6" w:type="dxa"/>
          <w:trHeight w:val="20"/>
        </w:trPr>
        <w:tc>
          <w:tcPr>
            <w:tcW w:w="3130" w:type="dxa"/>
            <w:tcBorders>
              <w:top w:val="nil"/>
              <w:left w:val="nil"/>
              <w:bottom w:val="nil"/>
              <w:right w:val="nil"/>
            </w:tcBorders>
            <w:shd w:val="clear" w:color="auto" w:fill="auto"/>
            <w:vAlign w:val="bottom"/>
            <w:hideMark/>
          </w:tcPr>
          <w:p w14:paraId="05BE9B19"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lang w:eastAsia="zh-CN"/>
              </w:rPr>
            </w:pPr>
            <w:r w:rsidRPr="00562D3C">
              <w:rPr>
                <w:rFonts w:cstheme="minorHAnsi"/>
                <w:sz w:val="18"/>
                <w:szCs w:val="18"/>
                <w:lang w:eastAsia="zh-CN"/>
              </w:rPr>
              <w:t xml:space="preserve">7 - </w:t>
            </w:r>
            <w:r w:rsidRPr="00562D3C">
              <w:rPr>
                <w:rFonts w:cstheme="minorHAnsi"/>
                <w:sz w:val="18"/>
                <w:szCs w:val="18"/>
                <w:lang w:eastAsia="zh-CN"/>
              </w:rPr>
              <w:t>房屋设施、家具和设备的采购</w:t>
            </w:r>
          </w:p>
        </w:tc>
        <w:tc>
          <w:tcPr>
            <w:tcW w:w="918" w:type="dxa"/>
            <w:tcBorders>
              <w:top w:val="nil"/>
              <w:left w:val="single" w:sz="4" w:space="0" w:color="0070C0"/>
              <w:bottom w:val="nil"/>
              <w:right w:val="nil"/>
            </w:tcBorders>
            <w:shd w:val="clear" w:color="auto" w:fill="auto"/>
            <w:noWrap/>
            <w:vAlign w:val="bottom"/>
            <w:hideMark/>
          </w:tcPr>
          <w:p w14:paraId="7C50BD4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lang w:eastAsia="zh-CN"/>
              </w:rPr>
            </w:pPr>
            <w:r w:rsidRPr="00562D3C">
              <w:rPr>
                <w:rFonts w:eastAsia="Times New Roman" w:cs="Calibri"/>
                <w:sz w:val="18"/>
                <w:szCs w:val="18"/>
                <w:lang w:eastAsia="zh-CN"/>
              </w:rPr>
              <w:t> </w:t>
            </w:r>
          </w:p>
        </w:tc>
        <w:tc>
          <w:tcPr>
            <w:tcW w:w="958" w:type="dxa"/>
            <w:tcBorders>
              <w:top w:val="nil"/>
              <w:left w:val="nil"/>
              <w:bottom w:val="nil"/>
              <w:right w:val="nil"/>
            </w:tcBorders>
            <w:shd w:val="clear" w:color="auto" w:fill="auto"/>
            <w:noWrap/>
            <w:vAlign w:val="bottom"/>
            <w:hideMark/>
          </w:tcPr>
          <w:p w14:paraId="407A83F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lang w:eastAsia="zh-CN"/>
              </w:rPr>
            </w:pPr>
          </w:p>
        </w:tc>
        <w:tc>
          <w:tcPr>
            <w:tcW w:w="942" w:type="dxa"/>
            <w:tcBorders>
              <w:top w:val="nil"/>
              <w:left w:val="nil"/>
              <w:bottom w:val="nil"/>
              <w:right w:val="nil"/>
            </w:tcBorders>
            <w:shd w:val="clear" w:color="auto" w:fill="auto"/>
            <w:noWrap/>
            <w:vAlign w:val="bottom"/>
            <w:hideMark/>
          </w:tcPr>
          <w:p w14:paraId="3726857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3</w:t>
            </w:r>
          </w:p>
        </w:tc>
        <w:tc>
          <w:tcPr>
            <w:tcW w:w="992" w:type="dxa"/>
            <w:tcBorders>
              <w:top w:val="nil"/>
              <w:left w:val="nil"/>
              <w:bottom w:val="nil"/>
              <w:right w:val="nil"/>
            </w:tcBorders>
            <w:shd w:val="clear" w:color="auto" w:fill="auto"/>
            <w:noWrap/>
            <w:vAlign w:val="bottom"/>
            <w:hideMark/>
          </w:tcPr>
          <w:p w14:paraId="5BDABFB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770" w:type="dxa"/>
            <w:tcBorders>
              <w:top w:val="nil"/>
              <w:left w:val="nil"/>
              <w:bottom w:val="nil"/>
              <w:right w:val="nil"/>
            </w:tcBorders>
            <w:shd w:val="clear" w:color="auto" w:fill="auto"/>
            <w:noWrap/>
            <w:vAlign w:val="bottom"/>
            <w:hideMark/>
          </w:tcPr>
          <w:p w14:paraId="71F9534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79" w:type="dxa"/>
            <w:tcBorders>
              <w:top w:val="nil"/>
              <w:left w:val="nil"/>
              <w:bottom w:val="nil"/>
              <w:right w:val="nil"/>
            </w:tcBorders>
            <w:shd w:val="clear" w:color="auto" w:fill="auto"/>
            <w:noWrap/>
            <w:vAlign w:val="bottom"/>
            <w:hideMark/>
          </w:tcPr>
          <w:p w14:paraId="04FD94E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208</w:t>
            </w:r>
          </w:p>
        </w:tc>
        <w:tc>
          <w:tcPr>
            <w:tcW w:w="992" w:type="dxa"/>
            <w:tcBorders>
              <w:top w:val="nil"/>
              <w:left w:val="nil"/>
              <w:bottom w:val="nil"/>
              <w:right w:val="nil"/>
            </w:tcBorders>
            <w:shd w:val="clear" w:color="auto" w:fill="auto"/>
            <w:noWrap/>
            <w:vAlign w:val="bottom"/>
            <w:hideMark/>
          </w:tcPr>
          <w:p w14:paraId="0F472DE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45</w:t>
            </w:r>
          </w:p>
        </w:tc>
        <w:tc>
          <w:tcPr>
            <w:tcW w:w="958" w:type="dxa"/>
            <w:tcBorders>
              <w:top w:val="nil"/>
              <w:left w:val="nil"/>
              <w:bottom w:val="nil"/>
              <w:right w:val="nil"/>
            </w:tcBorders>
            <w:shd w:val="clear" w:color="auto" w:fill="auto"/>
            <w:noWrap/>
            <w:vAlign w:val="bottom"/>
            <w:hideMark/>
          </w:tcPr>
          <w:p w14:paraId="38B9B12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148</w:t>
            </w:r>
          </w:p>
        </w:tc>
        <w:tc>
          <w:tcPr>
            <w:tcW w:w="958" w:type="dxa"/>
            <w:tcBorders>
              <w:top w:val="nil"/>
              <w:left w:val="nil"/>
              <w:bottom w:val="nil"/>
              <w:right w:val="nil"/>
            </w:tcBorders>
            <w:shd w:val="clear" w:color="auto" w:fill="auto"/>
            <w:noWrap/>
            <w:vAlign w:val="bottom"/>
            <w:hideMark/>
          </w:tcPr>
          <w:p w14:paraId="46CE90D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28</w:t>
            </w:r>
          </w:p>
        </w:tc>
        <w:tc>
          <w:tcPr>
            <w:tcW w:w="958" w:type="dxa"/>
            <w:tcBorders>
              <w:top w:val="nil"/>
              <w:left w:val="nil"/>
              <w:bottom w:val="nil"/>
              <w:right w:val="nil"/>
            </w:tcBorders>
            <w:shd w:val="clear" w:color="auto" w:fill="auto"/>
            <w:noWrap/>
            <w:vAlign w:val="bottom"/>
            <w:hideMark/>
          </w:tcPr>
          <w:p w14:paraId="7D9685B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51</w:t>
            </w:r>
          </w:p>
        </w:tc>
        <w:tc>
          <w:tcPr>
            <w:tcW w:w="945" w:type="dxa"/>
            <w:tcBorders>
              <w:top w:val="nil"/>
              <w:left w:val="nil"/>
              <w:bottom w:val="nil"/>
              <w:right w:val="nil"/>
            </w:tcBorders>
            <w:shd w:val="clear" w:color="auto" w:fill="auto"/>
            <w:noWrap/>
            <w:vAlign w:val="bottom"/>
            <w:hideMark/>
          </w:tcPr>
          <w:p w14:paraId="12952EA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327</w:t>
            </w:r>
          </w:p>
        </w:tc>
        <w:tc>
          <w:tcPr>
            <w:tcW w:w="1027" w:type="dxa"/>
            <w:tcBorders>
              <w:top w:val="nil"/>
              <w:left w:val="nil"/>
              <w:bottom w:val="nil"/>
              <w:right w:val="nil"/>
            </w:tcBorders>
            <w:shd w:val="clear" w:color="auto" w:fill="auto"/>
            <w:noWrap/>
            <w:vAlign w:val="bottom"/>
            <w:hideMark/>
          </w:tcPr>
          <w:p w14:paraId="002C714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562D3C">
              <w:rPr>
                <w:rFonts w:eastAsia="Times New Roman" w:cs="Calibri"/>
                <w:color w:val="002060"/>
                <w:sz w:val="18"/>
                <w:szCs w:val="18"/>
              </w:rPr>
              <w:t>810</w:t>
            </w:r>
          </w:p>
        </w:tc>
      </w:tr>
      <w:tr w:rsidR="005C437E" w:rsidRPr="00562D3C" w14:paraId="6CDCE751" w14:textId="77777777" w:rsidTr="002F7131">
        <w:trPr>
          <w:gridAfter w:val="1"/>
          <w:wAfter w:w="6" w:type="dxa"/>
          <w:trHeight w:val="20"/>
        </w:trPr>
        <w:tc>
          <w:tcPr>
            <w:tcW w:w="3130" w:type="dxa"/>
            <w:tcBorders>
              <w:top w:val="nil"/>
              <w:left w:val="nil"/>
              <w:bottom w:val="nil"/>
              <w:right w:val="nil"/>
            </w:tcBorders>
            <w:shd w:val="clear" w:color="auto" w:fill="auto"/>
            <w:noWrap/>
            <w:vAlign w:val="bottom"/>
            <w:hideMark/>
          </w:tcPr>
          <w:p w14:paraId="4E5183A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szCs w:val="18"/>
              </w:rPr>
            </w:pPr>
          </w:p>
        </w:tc>
        <w:tc>
          <w:tcPr>
            <w:tcW w:w="918" w:type="dxa"/>
            <w:tcBorders>
              <w:top w:val="nil"/>
              <w:left w:val="single" w:sz="4" w:space="0" w:color="0070C0"/>
              <w:bottom w:val="nil"/>
              <w:right w:val="nil"/>
            </w:tcBorders>
            <w:shd w:val="clear" w:color="auto" w:fill="auto"/>
            <w:noWrap/>
            <w:vAlign w:val="bottom"/>
            <w:hideMark/>
          </w:tcPr>
          <w:p w14:paraId="28359A9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nil"/>
              <w:right w:val="nil"/>
            </w:tcBorders>
            <w:shd w:val="clear" w:color="auto" w:fill="auto"/>
            <w:noWrap/>
            <w:vAlign w:val="bottom"/>
            <w:hideMark/>
          </w:tcPr>
          <w:p w14:paraId="2B78F17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42" w:type="dxa"/>
            <w:tcBorders>
              <w:top w:val="nil"/>
              <w:left w:val="nil"/>
              <w:bottom w:val="nil"/>
              <w:right w:val="nil"/>
            </w:tcBorders>
            <w:shd w:val="clear" w:color="auto" w:fill="auto"/>
            <w:noWrap/>
            <w:vAlign w:val="bottom"/>
            <w:hideMark/>
          </w:tcPr>
          <w:p w14:paraId="59D4552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41D444E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70" w:type="dxa"/>
            <w:tcBorders>
              <w:top w:val="nil"/>
              <w:left w:val="nil"/>
              <w:bottom w:val="nil"/>
              <w:right w:val="nil"/>
            </w:tcBorders>
            <w:shd w:val="clear" w:color="auto" w:fill="auto"/>
            <w:noWrap/>
            <w:vAlign w:val="bottom"/>
            <w:hideMark/>
          </w:tcPr>
          <w:p w14:paraId="0763926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79" w:type="dxa"/>
            <w:tcBorders>
              <w:top w:val="nil"/>
              <w:left w:val="nil"/>
              <w:bottom w:val="nil"/>
              <w:right w:val="nil"/>
            </w:tcBorders>
            <w:shd w:val="clear" w:color="auto" w:fill="auto"/>
            <w:noWrap/>
            <w:vAlign w:val="bottom"/>
            <w:hideMark/>
          </w:tcPr>
          <w:p w14:paraId="11F36BE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427E6C0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0702575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7FDCF9B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5B65F21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45" w:type="dxa"/>
            <w:tcBorders>
              <w:top w:val="nil"/>
              <w:left w:val="nil"/>
              <w:bottom w:val="nil"/>
              <w:right w:val="nil"/>
            </w:tcBorders>
            <w:shd w:val="clear" w:color="auto" w:fill="auto"/>
            <w:noWrap/>
            <w:vAlign w:val="bottom"/>
            <w:hideMark/>
          </w:tcPr>
          <w:p w14:paraId="7106721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27" w:type="dxa"/>
            <w:tcBorders>
              <w:top w:val="nil"/>
              <w:left w:val="nil"/>
              <w:bottom w:val="nil"/>
              <w:right w:val="nil"/>
            </w:tcBorders>
            <w:shd w:val="clear" w:color="auto" w:fill="auto"/>
            <w:noWrap/>
            <w:vAlign w:val="bottom"/>
            <w:hideMark/>
          </w:tcPr>
          <w:p w14:paraId="1F53CC9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562D3C" w14:paraId="254E5314" w14:textId="77777777" w:rsidTr="002F7131">
        <w:trPr>
          <w:gridAfter w:val="1"/>
          <w:wAfter w:w="6" w:type="dxa"/>
          <w:trHeight w:val="20"/>
        </w:trPr>
        <w:tc>
          <w:tcPr>
            <w:tcW w:w="3130" w:type="dxa"/>
            <w:tcBorders>
              <w:top w:val="nil"/>
              <w:left w:val="nil"/>
              <w:bottom w:val="nil"/>
              <w:right w:val="nil"/>
            </w:tcBorders>
            <w:shd w:val="clear" w:color="auto" w:fill="auto"/>
            <w:vAlign w:val="bottom"/>
            <w:hideMark/>
          </w:tcPr>
          <w:p w14:paraId="71A2F12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rPr>
            </w:pPr>
            <w:r w:rsidRPr="00562D3C">
              <w:rPr>
                <w:rFonts w:cstheme="minorHAnsi"/>
                <w:sz w:val="18"/>
                <w:szCs w:val="18"/>
              </w:rPr>
              <w:t xml:space="preserve">8 - </w:t>
            </w:r>
            <w:r w:rsidRPr="00562D3C">
              <w:rPr>
                <w:rFonts w:cstheme="minorHAnsi"/>
                <w:sz w:val="18"/>
                <w:szCs w:val="18"/>
              </w:rPr>
              <w:t>公共和内部服务设施</w:t>
            </w:r>
          </w:p>
        </w:tc>
        <w:tc>
          <w:tcPr>
            <w:tcW w:w="918" w:type="dxa"/>
            <w:tcBorders>
              <w:top w:val="nil"/>
              <w:left w:val="single" w:sz="4" w:space="0" w:color="0070C0"/>
              <w:bottom w:val="nil"/>
              <w:right w:val="nil"/>
            </w:tcBorders>
            <w:shd w:val="clear" w:color="auto" w:fill="auto"/>
            <w:noWrap/>
            <w:vAlign w:val="bottom"/>
            <w:hideMark/>
          </w:tcPr>
          <w:p w14:paraId="130B5B2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nil"/>
              <w:right w:val="nil"/>
            </w:tcBorders>
            <w:shd w:val="clear" w:color="auto" w:fill="auto"/>
            <w:noWrap/>
            <w:vAlign w:val="bottom"/>
            <w:hideMark/>
          </w:tcPr>
          <w:p w14:paraId="35B4171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42" w:type="dxa"/>
            <w:tcBorders>
              <w:top w:val="nil"/>
              <w:left w:val="nil"/>
              <w:bottom w:val="nil"/>
              <w:right w:val="nil"/>
            </w:tcBorders>
            <w:shd w:val="clear" w:color="auto" w:fill="auto"/>
            <w:noWrap/>
            <w:vAlign w:val="bottom"/>
            <w:hideMark/>
          </w:tcPr>
          <w:p w14:paraId="58E5E0B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05EA716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70" w:type="dxa"/>
            <w:tcBorders>
              <w:top w:val="nil"/>
              <w:left w:val="nil"/>
              <w:bottom w:val="nil"/>
              <w:right w:val="nil"/>
            </w:tcBorders>
            <w:shd w:val="clear" w:color="auto" w:fill="auto"/>
            <w:noWrap/>
            <w:vAlign w:val="bottom"/>
            <w:hideMark/>
          </w:tcPr>
          <w:p w14:paraId="0E0E04C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730</w:t>
            </w:r>
          </w:p>
        </w:tc>
        <w:tc>
          <w:tcPr>
            <w:tcW w:w="1079" w:type="dxa"/>
            <w:tcBorders>
              <w:top w:val="nil"/>
              <w:left w:val="nil"/>
              <w:bottom w:val="nil"/>
              <w:right w:val="nil"/>
            </w:tcBorders>
            <w:shd w:val="clear" w:color="auto" w:fill="auto"/>
            <w:noWrap/>
            <w:vAlign w:val="bottom"/>
            <w:hideMark/>
          </w:tcPr>
          <w:p w14:paraId="4AD9A67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1,240</w:t>
            </w:r>
          </w:p>
        </w:tc>
        <w:tc>
          <w:tcPr>
            <w:tcW w:w="992" w:type="dxa"/>
            <w:tcBorders>
              <w:top w:val="nil"/>
              <w:left w:val="nil"/>
              <w:bottom w:val="nil"/>
              <w:right w:val="nil"/>
            </w:tcBorders>
            <w:shd w:val="clear" w:color="auto" w:fill="auto"/>
            <w:noWrap/>
            <w:vAlign w:val="bottom"/>
            <w:hideMark/>
          </w:tcPr>
          <w:p w14:paraId="1AD35C0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58" w:type="dxa"/>
            <w:tcBorders>
              <w:top w:val="nil"/>
              <w:left w:val="nil"/>
              <w:bottom w:val="nil"/>
              <w:right w:val="nil"/>
            </w:tcBorders>
            <w:shd w:val="clear" w:color="auto" w:fill="auto"/>
            <w:noWrap/>
            <w:vAlign w:val="bottom"/>
            <w:hideMark/>
          </w:tcPr>
          <w:p w14:paraId="397F232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35</w:t>
            </w:r>
          </w:p>
        </w:tc>
        <w:tc>
          <w:tcPr>
            <w:tcW w:w="958" w:type="dxa"/>
            <w:tcBorders>
              <w:top w:val="nil"/>
              <w:left w:val="nil"/>
              <w:bottom w:val="nil"/>
              <w:right w:val="nil"/>
            </w:tcBorders>
            <w:shd w:val="clear" w:color="auto" w:fill="auto"/>
            <w:noWrap/>
            <w:vAlign w:val="bottom"/>
            <w:hideMark/>
          </w:tcPr>
          <w:p w14:paraId="5D73A2F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58" w:type="dxa"/>
            <w:tcBorders>
              <w:top w:val="nil"/>
              <w:left w:val="nil"/>
              <w:bottom w:val="nil"/>
              <w:right w:val="nil"/>
            </w:tcBorders>
            <w:shd w:val="clear" w:color="auto" w:fill="auto"/>
            <w:noWrap/>
            <w:vAlign w:val="bottom"/>
            <w:hideMark/>
          </w:tcPr>
          <w:p w14:paraId="383FF93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45" w:type="dxa"/>
            <w:tcBorders>
              <w:top w:val="nil"/>
              <w:left w:val="nil"/>
              <w:bottom w:val="nil"/>
              <w:right w:val="nil"/>
            </w:tcBorders>
            <w:shd w:val="clear" w:color="auto" w:fill="auto"/>
            <w:noWrap/>
            <w:vAlign w:val="bottom"/>
            <w:hideMark/>
          </w:tcPr>
          <w:p w14:paraId="09483C6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27" w:type="dxa"/>
            <w:tcBorders>
              <w:top w:val="nil"/>
              <w:left w:val="nil"/>
              <w:bottom w:val="nil"/>
              <w:right w:val="nil"/>
            </w:tcBorders>
            <w:shd w:val="clear" w:color="auto" w:fill="auto"/>
            <w:noWrap/>
            <w:vAlign w:val="bottom"/>
            <w:hideMark/>
          </w:tcPr>
          <w:p w14:paraId="3342D0B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562D3C">
              <w:rPr>
                <w:rFonts w:eastAsia="Times New Roman" w:cs="Calibri"/>
                <w:color w:val="002060"/>
                <w:sz w:val="18"/>
                <w:szCs w:val="18"/>
              </w:rPr>
              <w:t>2,005</w:t>
            </w:r>
          </w:p>
        </w:tc>
      </w:tr>
      <w:tr w:rsidR="005C437E" w:rsidRPr="00562D3C" w14:paraId="4DF04D7F" w14:textId="77777777" w:rsidTr="002F7131">
        <w:trPr>
          <w:gridAfter w:val="1"/>
          <w:wAfter w:w="6" w:type="dxa"/>
          <w:trHeight w:val="20"/>
        </w:trPr>
        <w:tc>
          <w:tcPr>
            <w:tcW w:w="3130" w:type="dxa"/>
            <w:tcBorders>
              <w:top w:val="nil"/>
              <w:left w:val="nil"/>
              <w:bottom w:val="nil"/>
              <w:right w:val="nil"/>
            </w:tcBorders>
            <w:shd w:val="clear" w:color="auto" w:fill="auto"/>
            <w:noWrap/>
            <w:vAlign w:val="bottom"/>
            <w:hideMark/>
          </w:tcPr>
          <w:p w14:paraId="48D5E22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szCs w:val="18"/>
              </w:rPr>
            </w:pPr>
          </w:p>
        </w:tc>
        <w:tc>
          <w:tcPr>
            <w:tcW w:w="918" w:type="dxa"/>
            <w:tcBorders>
              <w:top w:val="nil"/>
              <w:left w:val="single" w:sz="4" w:space="0" w:color="0070C0"/>
              <w:bottom w:val="nil"/>
              <w:right w:val="nil"/>
            </w:tcBorders>
            <w:shd w:val="clear" w:color="auto" w:fill="auto"/>
            <w:noWrap/>
            <w:vAlign w:val="bottom"/>
            <w:hideMark/>
          </w:tcPr>
          <w:p w14:paraId="5051113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nil"/>
              <w:right w:val="nil"/>
            </w:tcBorders>
            <w:shd w:val="clear" w:color="auto" w:fill="auto"/>
            <w:noWrap/>
            <w:vAlign w:val="bottom"/>
            <w:hideMark/>
          </w:tcPr>
          <w:p w14:paraId="510E1CC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42" w:type="dxa"/>
            <w:tcBorders>
              <w:top w:val="nil"/>
              <w:left w:val="nil"/>
              <w:bottom w:val="nil"/>
              <w:right w:val="nil"/>
            </w:tcBorders>
            <w:shd w:val="clear" w:color="auto" w:fill="auto"/>
            <w:noWrap/>
            <w:vAlign w:val="bottom"/>
            <w:hideMark/>
          </w:tcPr>
          <w:p w14:paraId="2574030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6EA4BE2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70" w:type="dxa"/>
            <w:tcBorders>
              <w:top w:val="nil"/>
              <w:left w:val="nil"/>
              <w:bottom w:val="nil"/>
              <w:right w:val="nil"/>
            </w:tcBorders>
            <w:shd w:val="clear" w:color="auto" w:fill="auto"/>
            <w:noWrap/>
            <w:vAlign w:val="bottom"/>
            <w:hideMark/>
          </w:tcPr>
          <w:p w14:paraId="411F576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79" w:type="dxa"/>
            <w:tcBorders>
              <w:top w:val="nil"/>
              <w:left w:val="nil"/>
              <w:bottom w:val="nil"/>
              <w:right w:val="nil"/>
            </w:tcBorders>
            <w:shd w:val="clear" w:color="auto" w:fill="auto"/>
            <w:noWrap/>
            <w:vAlign w:val="bottom"/>
            <w:hideMark/>
          </w:tcPr>
          <w:p w14:paraId="6A69BD3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758E131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6680620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663E8C2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0894731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45" w:type="dxa"/>
            <w:tcBorders>
              <w:top w:val="nil"/>
              <w:left w:val="nil"/>
              <w:bottom w:val="nil"/>
              <w:right w:val="nil"/>
            </w:tcBorders>
            <w:shd w:val="clear" w:color="auto" w:fill="auto"/>
            <w:noWrap/>
            <w:vAlign w:val="bottom"/>
            <w:hideMark/>
          </w:tcPr>
          <w:p w14:paraId="420F090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27" w:type="dxa"/>
            <w:tcBorders>
              <w:top w:val="nil"/>
              <w:left w:val="nil"/>
              <w:bottom w:val="nil"/>
              <w:right w:val="nil"/>
            </w:tcBorders>
            <w:shd w:val="clear" w:color="auto" w:fill="auto"/>
            <w:noWrap/>
            <w:vAlign w:val="bottom"/>
            <w:hideMark/>
          </w:tcPr>
          <w:p w14:paraId="55DB023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562D3C" w14:paraId="73471D42" w14:textId="77777777" w:rsidTr="002F7131">
        <w:trPr>
          <w:gridAfter w:val="1"/>
          <w:wAfter w:w="6" w:type="dxa"/>
          <w:trHeight w:val="20"/>
        </w:trPr>
        <w:tc>
          <w:tcPr>
            <w:tcW w:w="3130" w:type="dxa"/>
            <w:tcBorders>
              <w:top w:val="nil"/>
              <w:left w:val="nil"/>
              <w:bottom w:val="nil"/>
              <w:right w:val="nil"/>
            </w:tcBorders>
            <w:shd w:val="clear" w:color="auto" w:fill="auto"/>
            <w:vAlign w:val="bottom"/>
            <w:hideMark/>
          </w:tcPr>
          <w:p w14:paraId="16D9DB5A"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lang w:eastAsia="zh-CN"/>
              </w:rPr>
            </w:pPr>
            <w:r w:rsidRPr="00562D3C">
              <w:rPr>
                <w:rFonts w:cstheme="minorHAnsi"/>
                <w:sz w:val="18"/>
                <w:szCs w:val="18"/>
                <w:lang w:eastAsia="zh-CN"/>
              </w:rPr>
              <w:t xml:space="preserve">9 - </w:t>
            </w:r>
            <w:r w:rsidRPr="00562D3C">
              <w:rPr>
                <w:rFonts w:cstheme="minorHAnsi"/>
                <w:sz w:val="18"/>
                <w:szCs w:val="18"/>
                <w:lang w:eastAsia="zh-CN"/>
              </w:rPr>
              <w:t>审计和机构间的费用及其他</w:t>
            </w:r>
          </w:p>
        </w:tc>
        <w:tc>
          <w:tcPr>
            <w:tcW w:w="918" w:type="dxa"/>
            <w:tcBorders>
              <w:top w:val="nil"/>
              <w:left w:val="single" w:sz="4" w:space="0" w:color="0070C0"/>
              <w:bottom w:val="nil"/>
              <w:right w:val="nil"/>
            </w:tcBorders>
            <w:shd w:val="clear" w:color="auto" w:fill="auto"/>
            <w:noWrap/>
            <w:vAlign w:val="bottom"/>
            <w:hideMark/>
          </w:tcPr>
          <w:p w14:paraId="3EC0D9D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lang w:eastAsia="zh-CN"/>
              </w:rPr>
            </w:pPr>
            <w:r w:rsidRPr="00562D3C">
              <w:rPr>
                <w:rFonts w:eastAsia="Times New Roman" w:cs="Calibri"/>
                <w:sz w:val="18"/>
                <w:szCs w:val="18"/>
                <w:lang w:eastAsia="zh-CN"/>
              </w:rPr>
              <w:t> </w:t>
            </w:r>
          </w:p>
        </w:tc>
        <w:tc>
          <w:tcPr>
            <w:tcW w:w="958" w:type="dxa"/>
            <w:tcBorders>
              <w:top w:val="nil"/>
              <w:left w:val="nil"/>
              <w:bottom w:val="nil"/>
              <w:right w:val="nil"/>
            </w:tcBorders>
            <w:shd w:val="clear" w:color="auto" w:fill="auto"/>
            <w:noWrap/>
            <w:vAlign w:val="bottom"/>
            <w:hideMark/>
          </w:tcPr>
          <w:p w14:paraId="07721E9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lang w:eastAsia="zh-CN"/>
              </w:rPr>
            </w:pPr>
          </w:p>
        </w:tc>
        <w:tc>
          <w:tcPr>
            <w:tcW w:w="942" w:type="dxa"/>
            <w:tcBorders>
              <w:top w:val="nil"/>
              <w:left w:val="nil"/>
              <w:bottom w:val="nil"/>
              <w:right w:val="nil"/>
            </w:tcBorders>
            <w:shd w:val="clear" w:color="auto" w:fill="auto"/>
            <w:noWrap/>
            <w:vAlign w:val="bottom"/>
            <w:hideMark/>
          </w:tcPr>
          <w:p w14:paraId="400D637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10</w:t>
            </w:r>
          </w:p>
        </w:tc>
        <w:tc>
          <w:tcPr>
            <w:tcW w:w="992" w:type="dxa"/>
            <w:tcBorders>
              <w:top w:val="nil"/>
              <w:left w:val="nil"/>
              <w:bottom w:val="nil"/>
              <w:right w:val="nil"/>
            </w:tcBorders>
            <w:shd w:val="clear" w:color="auto" w:fill="auto"/>
            <w:noWrap/>
            <w:vAlign w:val="bottom"/>
            <w:hideMark/>
          </w:tcPr>
          <w:p w14:paraId="5CAEDFA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770" w:type="dxa"/>
            <w:tcBorders>
              <w:top w:val="nil"/>
              <w:left w:val="nil"/>
              <w:bottom w:val="nil"/>
              <w:right w:val="nil"/>
            </w:tcBorders>
            <w:shd w:val="clear" w:color="auto" w:fill="auto"/>
            <w:noWrap/>
            <w:vAlign w:val="bottom"/>
            <w:hideMark/>
          </w:tcPr>
          <w:p w14:paraId="3BC694F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2,981</w:t>
            </w:r>
          </w:p>
        </w:tc>
        <w:tc>
          <w:tcPr>
            <w:tcW w:w="1079" w:type="dxa"/>
            <w:tcBorders>
              <w:top w:val="nil"/>
              <w:left w:val="nil"/>
              <w:bottom w:val="nil"/>
              <w:right w:val="nil"/>
            </w:tcBorders>
            <w:shd w:val="clear" w:color="auto" w:fill="auto"/>
            <w:noWrap/>
            <w:vAlign w:val="bottom"/>
            <w:hideMark/>
          </w:tcPr>
          <w:p w14:paraId="4C4E4B6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11</w:t>
            </w:r>
          </w:p>
        </w:tc>
        <w:tc>
          <w:tcPr>
            <w:tcW w:w="992" w:type="dxa"/>
            <w:tcBorders>
              <w:top w:val="nil"/>
              <w:left w:val="nil"/>
              <w:bottom w:val="nil"/>
              <w:right w:val="nil"/>
            </w:tcBorders>
            <w:shd w:val="clear" w:color="auto" w:fill="auto"/>
            <w:noWrap/>
            <w:vAlign w:val="bottom"/>
            <w:hideMark/>
          </w:tcPr>
          <w:p w14:paraId="72B0AA8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w:t>
            </w:r>
          </w:p>
        </w:tc>
        <w:tc>
          <w:tcPr>
            <w:tcW w:w="958" w:type="dxa"/>
            <w:tcBorders>
              <w:top w:val="nil"/>
              <w:left w:val="nil"/>
              <w:bottom w:val="nil"/>
              <w:right w:val="nil"/>
            </w:tcBorders>
            <w:shd w:val="clear" w:color="auto" w:fill="auto"/>
            <w:noWrap/>
            <w:vAlign w:val="bottom"/>
            <w:hideMark/>
          </w:tcPr>
          <w:p w14:paraId="7E8AE8A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15</w:t>
            </w:r>
          </w:p>
        </w:tc>
        <w:tc>
          <w:tcPr>
            <w:tcW w:w="958" w:type="dxa"/>
            <w:tcBorders>
              <w:top w:val="nil"/>
              <w:left w:val="nil"/>
              <w:bottom w:val="nil"/>
              <w:right w:val="nil"/>
            </w:tcBorders>
            <w:shd w:val="clear" w:color="auto" w:fill="auto"/>
            <w:noWrap/>
            <w:vAlign w:val="bottom"/>
            <w:hideMark/>
          </w:tcPr>
          <w:p w14:paraId="320BAF2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70</w:t>
            </w:r>
          </w:p>
        </w:tc>
        <w:tc>
          <w:tcPr>
            <w:tcW w:w="958" w:type="dxa"/>
            <w:tcBorders>
              <w:top w:val="nil"/>
              <w:left w:val="nil"/>
              <w:bottom w:val="nil"/>
              <w:right w:val="nil"/>
            </w:tcBorders>
            <w:shd w:val="clear" w:color="auto" w:fill="auto"/>
            <w:noWrap/>
            <w:vAlign w:val="bottom"/>
            <w:hideMark/>
          </w:tcPr>
          <w:p w14:paraId="054A267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w:t>
            </w:r>
          </w:p>
        </w:tc>
        <w:tc>
          <w:tcPr>
            <w:tcW w:w="945" w:type="dxa"/>
            <w:tcBorders>
              <w:top w:val="nil"/>
              <w:left w:val="nil"/>
              <w:bottom w:val="nil"/>
              <w:right w:val="nil"/>
            </w:tcBorders>
            <w:shd w:val="clear" w:color="auto" w:fill="auto"/>
            <w:noWrap/>
            <w:vAlign w:val="bottom"/>
            <w:hideMark/>
          </w:tcPr>
          <w:p w14:paraId="08B31DF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2</w:t>
            </w:r>
          </w:p>
        </w:tc>
        <w:tc>
          <w:tcPr>
            <w:tcW w:w="1027" w:type="dxa"/>
            <w:tcBorders>
              <w:top w:val="nil"/>
              <w:left w:val="nil"/>
              <w:bottom w:val="nil"/>
              <w:right w:val="nil"/>
            </w:tcBorders>
            <w:shd w:val="clear" w:color="auto" w:fill="auto"/>
            <w:noWrap/>
            <w:vAlign w:val="bottom"/>
            <w:hideMark/>
          </w:tcPr>
          <w:p w14:paraId="5A90778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562D3C">
              <w:rPr>
                <w:rFonts w:eastAsia="Times New Roman" w:cs="Calibri"/>
                <w:color w:val="002060"/>
                <w:sz w:val="18"/>
                <w:szCs w:val="18"/>
              </w:rPr>
              <w:t>3,091</w:t>
            </w:r>
          </w:p>
        </w:tc>
      </w:tr>
      <w:tr w:rsidR="005C437E" w:rsidRPr="00562D3C" w14:paraId="77961476" w14:textId="77777777" w:rsidTr="002F7131">
        <w:trPr>
          <w:gridAfter w:val="1"/>
          <w:wAfter w:w="6" w:type="dxa"/>
          <w:trHeight w:val="20"/>
        </w:trPr>
        <w:tc>
          <w:tcPr>
            <w:tcW w:w="3130" w:type="dxa"/>
            <w:tcBorders>
              <w:top w:val="nil"/>
              <w:left w:val="nil"/>
              <w:bottom w:val="single" w:sz="4" w:space="0" w:color="auto"/>
              <w:right w:val="nil"/>
            </w:tcBorders>
            <w:shd w:val="clear" w:color="auto" w:fill="auto"/>
            <w:noWrap/>
            <w:vAlign w:val="center"/>
            <w:hideMark/>
          </w:tcPr>
          <w:p w14:paraId="0A3A604B"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b/>
                <w:bCs/>
                <w:sz w:val="18"/>
                <w:szCs w:val="18"/>
              </w:rPr>
            </w:pPr>
            <w:r w:rsidRPr="00562D3C">
              <w:rPr>
                <w:rFonts w:cstheme="minorHAnsi"/>
                <w:b/>
                <w:bCs/>
                <w:sz w:val="18"/>
                <w:szCs w:val="18"/>
              </w:rPr>
              <w:t> </w:t>
            </w:r>
          </w:p>
        </w:tc>
        <w:tc>
          <w:tcPr>
            <w:tcW w:w="918" w:type="dxa"/>
            <w:tcBorders>
              <w:top w:val="nil"/>
              <w:left w:val="single" w:sz="4" w:space="0" w:color="0070C0"/>
              <w:bottom w:val="single" w:sz="4" w:space="0" w:color="auto"/>
              <w:right w:val="nil"/>
            </w:tcBorders>
            <w:shd w:val="clear" w:color="auto" w:fill="auto"/>
            <w:noWrap/>
            <w:vAlign w:val="bottom"/>
            <w:hideMark/>
          </w:tcPr>
          <w:p w14:paraId="7C8CE5B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 </w:t>
            </w:r>
          </w:p>
        </w:tc>
        <w:tc>
          <w:tcPr>
            <w:tcW w:w="958" w:type="dxa"/>
            <w:tcBorders>
              <w:top w:val="nil"/>
              <w:left w:val="nil"/>
              <w:bottom w:val="single" w:sz="4" w:space="0" w:color="auto"/>
              <w:right w:val="nil"/>
            </w:tcBorders>
            <w:shd w:val="clear" w:color="auto" w:fill="auto"/>
            <w:noWrap/>
            <w:vAlign w:val="bottom"/>
            <w:hideMark/>
          </w:tcPr>
          <w:p w14:paraId="4454F6A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 </w:t>
            </w:r>
          </w:p>
        </w:tc>
        <w:tc>
          <w:tcPr>
            <w:tcW w:w="942" w:type="dxa"/>
            <w:tcBorders>
              <w:top w:val="nil"/>
              <w:left w:val="nil"/>
              <w:bottom w:val="single" w:sz="4" w:space="0" w:color="auto"/>
              <w:right w:val="nil"/>
            </w:tcBorders>
            <w:shd w:val="clear" w:color="auto" w:fill="auto"/>
            <w:noWrap/>
            <w:vAlign w:val="bottom"/>
            <w:hideMark/>
          </w:tcPr>
          <w:p w14:paraId="0A87D4A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 </w:t>
            </w:r>
          </w:p>
        </w:tc>
        <w:tc>
          <w:tcPr>
            <w:tcW w:w="992" w:type="dxa"/>
            <w:tcBorders>
              <w:top w:val="nil"/>
              <w:left w:val="nil"/>
              <w:bottom w:val="single" w:sz="4" w:space="0" w:color="auto"/>
              <w:right w:val="nil"/>
            </w:tcBorders>
            <w:shd w:val="clear" w:color="auto" w:fill="auto"/>
            <w:noWrap/>
            <w:vAlign w:val="bottom"/>
            <w:hideMark/>
          </w:tcPr>
          <w:p w14:paraId="17F64FB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 </w:t>
            </w:r>
          </w:p>
        </w:tc>
        <w:tc>
          <w:tcPr>
            <w:tcW w:w="770" w:type="dxa"/>
            <w:tcBorders>
              <w:top w:val="nil"/>
              <w:left w:val="nil"/>
              <w:bottom w:val="single" w:sz="4" w:space="0" w:color="auto"/>
              <w:right w:val="nil"/>
            </w:tcBorders>
            <w:shd w:val="clear" w:color="auto" w:fill="auto"/>
            <w:noWrap/>
            <w:vAlign w:val="bottom"/>
            <w:hideMark/>
          </w:tcPr>
          <w:p w14:paraId="5F5D87D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 </w:t>
            </w:r>
          </w:p>
        </w:tc>
        <w:tc>
          <w:tcPr>
            <w:tcW w:w="1079" w:type="dxa"/>
            <w:tcBorders>
              <w:top w:val="nil"/>
              <w:left w:val="nil"/>
              <w:bottom w:val="single" w:sz="4" w:space="0" w:color="auto"/>
              <w:right w:val="nil"/>
            </w:tcBorders>
            <w:shd w:val="clear" w:color="auto" w:fill="auto"/>
            <w:noWrap/>
            <w:vAlign w:val="bottom"/>
            <w:hideMark/>
          </w:tcPr>
          <w:p w14:paraId="2230DA7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 </w:t>
            </w:r>
          </w:p>
        </w:tc>
        <w:tc>
          <w:tcPr>
            <w:tcW w:w="992" w:type="dxa"/>
            <w:tcBorders>
              <w:top w:val="nil"/>
              <w:left w:val="nil"/>
              <w:bottom w:val="single" w:sz="4" w:space="0" w:color="auto"/>
              <w:right w:val="nil"/>
            </w:tcBorders>
            <w:shd w:val="clear" w:color="auto" w:fill="auto"/>
            <w:noWrap/>
            <w:vAlign w:val="bottom"/>
            <w:hideMark/>
          </w:tcPr>
          <w:p w14:paraId="473A944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 </w:t>
            </w:r>
          </w:p>
        </w:tc>
        <w:tc>
          <w:tcPr>
            <w:tcW w:w="958" w:type="dxa"/>
            <w:tcBorders>
              <w:top w:val="nil"/>
              <w:left w:val="nil"/>
              <w:bottom w:val="single" w:sz="4" w:space="0" w:color="auto"/>
              <w:right w:val="nil"/>
            </w:tcBorders>
            <w:shd w:val="clear" w:color="auto" w:fill="auto"/>
            <w:noWrap/>
            <w:vAlign w:val="bottom"/>
            <w:hideMark/>
          </w:tcPr>
          <w:p w14:paraId="2D580BD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 </w:t>
            </w:r>
          </w:p>
        </w:tc>
        <w:tc>
          <w:tcPr>
            <w:tcW w:w="958" w:type="dxa"/>
            <w:tcBorders>
              <w:top w:val="nil"/>
              <w:left w:val="nil"/>
              <w:bottom w:val="single" w:sz="4" w:space="0" w:color="auto"/>
              <w:right w:val="nil"/>
            </w:tcBorders>
            <w:shd w:val="clear" w:color="auto" w:fill="auto"/>
            <w:noWrap/>
            <w:vAlign w:val="bottom"/>
            <w:hideMark/>
          </w:tcPr>
          <w:p w14:paraId="25CBF87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 </w:t>
            </w:r>
          </w:p>
        </w:tc>
        <w:tc>
          <w:tcPr>
            <w:tcW w:w="958" w:type="dxa"/>
            <w:tcBorders>
              <w:top w:val="nil"/>
              <w:left w:val="nil"/>
              <w:bottom w:val="single" w:sz="4" w:space="0" w:color="auto"/>
              <w:right w:val="nil"/>
            </w:tcBorders>
            <w:shd w:val="clear" w:color="auto" w:fill="auto"/>
            <w:noWrap/>
            <w:vAlign w:val="bottom"/>
            <w:hideMark/>
          </w:tcPr>
          <w:p w14:paraId="1D0815F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 </w:t>
            </w:r>
          </w:p>
        </w:tc>
        <w:tc>
          <w:tcPr>
            <w:tcW w:w="945" w:type="dxa"/>
            <w:tcBorders>
              <w:top w:val="nil"/>
              <w:left w:val="nil"/>
              <w:bottom w:val="single" w:sz="4" w:space="0" w:color="auto"/>
              <w:right w:val="nil"/>
            </w:tcBorders>
            <w:shd w:val="clear" w:color="auto" w:fill="auto"/>
            <w:noWrap/>
            <w:vAlign w:val="bottom"/>
            <w:hideMark/>
          </w:tcPr>
          <w:p w14:paraId="5A3FA70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 </w:t>
            </w:r>
          </w:p>
        </w:tc>
        <w:tc>
          <w:tcPr>
            <w:tcW w:w="1027" w:type="dxa"/>
            <w:tcBorders>
              <w:top w:val="nil"/>
              <w:left w:val="nil"/>
              <w:bottom w:val="single" w:sz="4" w:space="0" w:color="auto"/>
              <w:right w:val="nil"/>
            </w:tcBorders>
            <w:shd w:val="clear" w:color="auto" w:fill="auto"/>
            <w:noWrap/>
            <w:vAlign w:val="bottom"/>
            <w:hideMark/>
          </w:tcPr>
          <w:p w14:paraId="56F7B2E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8"/>
                <w:szCs w:val="18"/>
              </w:rPr>
            </w:pPr>
            <w:r w:rsidRPr="00562D3C">
              <w:rPr>
                <w:rFonts w:eastAsia="Times New Roman" w:cs="Calibri"/>
                <w:b/>
                <w:bCs/>
                <w:color w:val="002060"/>
                <w:sz w:val="18"/>
                <w:szCs w:val="18"/>
              </w:rPr>
              <w:t> </w:t>
            </w:r>
          </w:p>
        </w:tc>
      </w:tr>
      <w:tr w:rsidR="005C437E" w:rsidRPr="00562D3C" w14:paraId="44B4EC82" w14:textId="77777777" w:rsidTr="002F7131">
        <w:trPr>
          <w:gridAfter w:val="1"/>
          <w:wAfter w:w="6" w:type="dxa"/>
          <w:trHeight w:val="20"/>
        </w:trPr>
        <w:tc>
          <w:tcPr>
            <w:tcW w:w="3130" w:type="dxa"/>
            <w:tcBorders>
              <w:top w:val="nil"/>
              <w:left w:val="nil"/>
              <w:bottom w:val="nil"/>
              <w:right w:val="nil"/>
            </w:tcBorders>
            <w:shd w:val="clear" w:color="auto" w:fill="auto"/>
            <w:noWrap/>
            <w:vAlign w:val="center"/>
            <w:hideMark/>
          </w:tcPr>
          <w:p w14:paraId="539BF1F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b/>
                <w:bCs/>
                <w:sz w:val="18"/>
                <w:szCs w:val="18"/>
              </w:rPr>
            </w:pPr>
            <w:r w:rsidRPr="00562D3C">
              <w:rPr>
                <w:rFonts w:cstheme="minorHAnsi"/>
                <w:b/>
                <w:bCs/>
                <w:sz w:val="18"/>
                <w:szCs w:val="18"/>
              </w:rPr>
              <w:t>合计</w:t>
            </w:r>
          </w:p>
        </w:tc>
        <w:tc>
          <w:tcPr>
            <w:tcW w:w="918" w:type="dxa"/>
            <w:tcBorders>
              <w:top w:val="nil"/>
              <w:left w:val="single" w:sz="4" w:space="0" w:color="0070C0"/>
              <w:bottom w:val="nil"/>
              <w:right w:val="nil"/>
            </w:tcBorders>
            <w:shd w:val="clear" w:color="auto" w:fill="auto"/>
            <w:noWrap/>
            <w:vAlign w:val="bottom"/>
            <w:hideMark/>
          </w:tcPr>
          <w:p w14:paraId="209DAD2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0</w:t>
            </w:r>
          </w:p>
        </w:tc>
        <w:tc>
          <w:tcPr>
            <w:tcW w:w="958" w:type="dxa"/>
            <w:tcBorders>
              <w:top w:val="nil"/>
              <w:left w:val="nil"/>
              <w:bottom w:val="nil"/>
              <w:right w:val="nil"/>
            </w:tcBorders>
            <w:shd w:val="clear" w:color="auto" w:fill="auto"/>
            <w:noWrap/>
            <w:vAlign w:val="bottom"/>
            <w:hideMark/>
          </w:tcPr>
          <w:p w14:paraId="5C087BA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50</w:t>
            </w:r>
          </w:p>
        </w:tc>
        <w:tc>
          <w:tcPr>
            <w:tcW w:w="942" w:type="dxa"/>
            <w:tcBorders>
              <w:top w:val="nil"/>
              <w:left w:val="nil"/>
              <w:bottom w:val="nil"/>
              <w:right w:val="nil"/>
            </w:tcBorders>
            <w:shd w:val="clear" w:color="auto" w:fill="auto"/>
            <w:noWrap/>
            <w:vAlign w:val="bottom"/>
            <w:hideMark/>
          </w:tcPr>
          <w:p w14:paraId="4C7C57E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676</w:t>
            </w:r>
          </w:p>
        </w:tc>
        <w:tc>
          <w:tcPr>
            <w:tcW w:w="992" w:type="dxa"/>
            <w:tcBorders>
              <w:top w:val="nil"/>
              <w:left w:val="nil"/>
              <w:bottom w:val="nil"/>
              <w:right w:val="nil"/>
            </w:tcBorders>
            <w:shd w:val="clear" w:color="auto" w:fill="auto"/>
            <w:noWrap/>
            <w:vAlign w:val="bottom"/>
            <w:hideMark/>
          </w:tcPr>
          <w:p w14:paraId="59455FD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565</w:t>
            </w:r>
          </w:p>
        </w:tc>
        <w:tc>
          <w:tcPr>
            <w:tcW w:w="770" w:type="dxa"/>
            <w:tcBorders>
              <w:top w:val="nil"/>
              <w:left w:val="nil"/>
              <w:bottom w:val="nil"/>
              <w:right w:val="nil"/>
            </w:tcBorders>
            <w:shd w:val="clear" w:color="auto" w:fill="auto"/>
            <w:noWrap/>
            <w:vAlign w:val="bottom"/>
            <w:hideMark/>
          </w:tcPr>
          <w:p w14:paraId="557B491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11,261</w:t>
            </w:r>
          </w:p>
        </w:tc>
        <w:tc>
          <w:tcPr>
            <w:tcW w:w="1079" w:type="dxa"/>
            <w:tcBorders>
              <w:top w:val="nil"/>
              <w:left w:val="nil"/>
              <w:bottom w:val="nil"/>
              <w:right w:val="nil"/>
            </w:tcBorders>
            <w:shd w:val="clear" w:color="auto" w:fill="auto"/>
            <w:noWrap/>
            <w:vAlign w:val="bottom"/>
            <w:hideMark/>
          </w:tcPr>
          <w:p w14:paraId="75AF22A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10,748</w:t>
            </w:r>
          </w:p>
        </w:tc>
        <w:tc>
          <w:tcPr>
            <w:tcW w:w="992" w:type="dxa"/>
            <w:tcBorders>
              <w:top w:val="nil"/>
              <w:left w:val="nil"/>
              <w:bottom w:val="nil"/>
              <w:right w:val="nil"/>
            </w:tcBorders>
            <w:shd w:val="clear" w:color="auto" w:fill="auto"/>
            <w:noWrap/>
            <w:vAlign w:val="bottom"/>
            <w:hideMark/>
          </w:tcPr>
          <w:p w14:paraId="5AD28A0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8,514</w:t>
            </w:r>
          </w:p>
        </w:tc>
        <w:tc>
          <w:tcPr>
            <w:tcW w:w="958" w:type="dxa"/>
            <w:tcBorders>
              <w:top w:val="nil"/>
              <w:left w:val="nil"/>
              <w:bottom w:val="nil"/>
              <w:right w:val="nil"/>
            </w:tcBorders>
            <w:shd w:val="clear" w:color="auto" w:fill="auto"/>
            <w:noWrap/>
            <w:vAlign w:val="bottom"/>
            <w:hideMark/>
          </w:tcPr>
          <w:p w14:paraId="5A065BD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23,443</w:t>
            </w:r>
          </w:p>
        </w:tc>
        <w:tc>
          <w:tcPr>
            <w:tcW w:w="958" w:type="dxa"/>
            <w:tcBorders>
              <w:top w:val="nil"/>
              <w:left w:val="nil"/>
              <w:bottom w:val="nil"/>
              <w:right w:val="nil"/>
            </w:tcBorders>
            <w:shd w:val="clear" w:color="auto" w:fill="auto"/>
            <w:noWrap/>
            <w:vAlign w:val="bottom"/>
            <w:hideMark/>
          </w:tcPr>
          <w:p w14:paraId="40FE993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5,801</w:t>
            </w:r>
          </w:p>
        </w:tc>
        <w:tc>
          <w:tcPr>
            <w:tcW w:w="958" w:type="dxa"/>
            <w:tcBorders>
              <w:top w:val="nil"/>
              <w:left w:val="nil"/>
              <w:bottom w:val="nil"/>
              <w:right w:val="nil"/>
            </w:tcBorders>
            <w:shd w:val="clear" w:color="auto" w:fill="auto"/>
            <w:noWrap/>
            <w:vAlign w:val="bottom"/>
            <w:hideMark/>
          </w:tcPr>
          <w:p w14:paraId="0248460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8,879</w:t>
            </w:r>
          </w:p>
        </w:tc>
        <w:tc>
          <w:tcPr>
            <w:tcW w:w="945" w:type="dxa"/>
            <w:tcBorders>
              <w:top w:val="nil"/>
              <w:left w:val="nil"/>
              <w:bottom w:val="nil"/>
              <w:right w:val="nil"/>
            </w:tcBorders>
            <w:shd w:val="clear" w:color="auto" w:fill="auto"/>
            <w:noWrap/>
            <w:vAlign w:val="bottom"/>
            <w:hideMark/>
          </w:tcPr>
          <w:p w14:paraId="29B2F76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19,950</w:t>
            </w:r>
          </w:p>
        </w:tc>
        <w:tc>
          <w:tcPr>
            <w:tcW w:w="1027" w:type="dxa"/>
            <w:tcBorders>
              <w:top w:val="nil"/>
              <w:left w:val="nil"/>
              <w:bottom w:val="nil"/>
              <w:right w:val="nil"/>
            </w:tcBorders>
            <w:shd w:val="clear" w:color="auto" w:fill="auto"/>
            <w:noWrap/>
            <w:vAlign w:val="bottom"/>
            <w:hideMark/>
          </w:tcPr>
          <w:p w14:paraId="51C9C5C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8"/>
                <w:szCs w:val="18"/>
              </w:rPr>
            </w:pPr>
            <w:r w:rsidRPr="00562D3C">
              <w:rPr>
                <w:rFonts w:eastAsia="Times New Roman" w:cs="Calibri"/>
                <w:b/>
                <w:bCs/>
                <w:color w:val="002060"/>
                <w:sz w:val="18"/>
                <w:szCs w:val="18"/>
              </w:rPr>
              <w:t>89,887</w:t>
            </w:r>
          </w:p>
        </w:tc>
      </w:tr>
      <w:tr w:rsidR="005C437E" w:rsidRPr="00562D3C" w14:paraId="3779AFCC" w14:textId="77777777" w:rsidTr="002F7131">
        <w:trPr>
          <w:gridAfter w:val="1"/>
          <w:wAfter w:w="6" w:type="dxa"/>
          <w:trHeight w:val="20"/>
        </w:trPr>
        <w:tc>
          <w:tcPr>
            <w:tcW w:w="3130" w:type="dxa"/>
            <w:tcBorders>
              <w:top w:val="nil"/>
              <w:left w:val="nil"/>
              <w:bottom w:val="nil"/>
              <w:right w:val="nil"/>
            </w:tcBorders>
            <w:shd w:val="clear" w:color="auto" w:fill="auto"/>
            <w:noWrap/>
            <w:vAlign w:val="center"/>
            <w:hideMark/>
          </w:tcPr>
          <w:p w14:paraId="6BE21E2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18" w:type="dxa"/>
            <w:tcBorders>
              <w:top w:val="nil"/>
              <w:left w:val="nil"/>
              <w:bottom w:val="nil"/>
              <w:right w:val="nil"/>
            </w:tcBorders>
            <w:shd w:val="clear" w:color="auto" w:fill="auto"/>
            <w:noWrap/>
            <w:vAlign w:val="center"/>
            <w:hideMark/>
          </w:tcPr>
          <w:p w14:paraId="5CAC9437"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center"/>
            <w:hideMark/>
          </w:tcPr>
          <w:p w14:paraId="63BEE32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42" w:type="dxa"/>
            <w:tcBorders>
              <w:top w:val="nil"/>
              <w:left w:val="nil"/>
              <w:bottom w:val="nil"/>
              <w:right w:val="nil"/>
            </w:tcBorders>
            <w:shd w:val="clear" w:color="auto" w:fill="auto"/>
            <w:noWrap/>
            <w:vAlign w:val="center"/>
            <w:hideMark/>
          </w:tcPr>
          <w:p w14:paraId="2D1D8C4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center"/>
            <w:hideMark/>
          </w:tcPr>
          <w:p w14:paraId="619BB80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70" w:type="dxa"/>
            <w:tcBorders>
              <w:top w:val="nil"/>
              <w:left w:val="nil"/>
              <w:bottom w:val="nil"/>
              <w:right w:val="nil"/>
            </w:tcBorders>
            <w:shd w:val="clear" w:color="auto" w:fill="auto"/>
            <w:noWrap/>
            <w:vAlign w:val="center"/>
            <w:hideMark/>
          </w:tcPr>
          <w:p w14:paraId="2DF04A9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79" w:type="dxa"/>
            <w:tcBorders>
              <w:top w:val="nil"/>
              <w:left w:val="nil"/>
              <w:bottom w:val="nil"/>
              <w:right w:val="nil"/>
            </w:tcBorders>
            <w:shd w:val="clear" w:color="auto" w:fill="auto"/>
            <w:noWrap/>
            <w:vAlign w:val="center"/>
            <w:hideMark/>
          </w:tcPr>
          <w:p w14:paraId="7669B54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center"/>
            <w:hideMark/>
          </w:tcPr>
          <w:p w14:paraId="505D4B4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center"/>
            <w:hideMark/>
          </w:tcPr>
          <w:p w14:paraId="261CAEE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center"/>
            <w:hideMark/>
          </w:tcPr>
          <w:p w14:paraId="356E361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center"/>
            <w:hideMark/>
          </w:tcPr>
          <w:p w14:paraId="601E2BA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45" w:type="dxa"/>
            <w:tcBorders>
              <w:top w:val="nil"/>
              <w:left w:val="nil"/>
              <w:bottom w:val="nil"/>
              <w:right w:val="nil"/>
            </w:tcBorders>
            <w:shd w:val="clear" w:color="auto" w:fill="auto"/>
            <w:noWrap/>
            <w:vAlign w:val="center"/>
            <w:hideMark/>
          </w:tcPr>
          <w:p w14:paraId="007EA0C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27" w:type="dxa"/>
            <w:tcBorders>
              <w:top w:val="nil"/>
              <w:left w:val="nil"/>
              <w:bottom w:val="nil"/>
              <w:right w:val="nil"/>
            </w:tcBorders>
            <w:shd w:val="clear" w:color="auto" w:fill="auto"/>
            <w:noWrap/>
            <w:vAlign w:val="center"/>
            <w:hideMark/>
          </w:tcPr>
          <w:p w14:paraId="14EBDC9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562D3C" w14:paraId="7B2F64C9" w14:textId="77777777" w:rsidTr="002F7131">
        <w:trPr>
          <w:gridAfter w:val="1"/>
          <w:wAfter w:w="6" w:type="dxa"/>
          <w:trHeight w:val="20"/>
        </w:trPr>
        <w:tc>
          <w:tcPr>
            <w:tcW w:w="5948" w:type="dxa"/>
            <w:gridSpan w:val="4"/>
            <w:tcBorders>
              <w:top w:val="nil"/>
              <w:left w:val="nil"/>
              <w:bottom w:val="nil"/>
              <w:right w:val="nil"/>
            </w:tcBorders>
            <w:shd w:val="clear" w:color="000000" w:fill="FFFFFF"/>
            <w:noWrap/>
            <w:vAlign w:val="center"/>
            <w:hideMark/>
          </w:tcPr>
          <w:p w14:paraId="5259F385"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r w:rsidRPr="00562D3C">
              <w:rPr>
                <w:rFonts w:eastAsia="Times New Roman" w:cs="Calibri"/>
                <w:sz w:val="18"/>
                <w:szCs w:val="18"/>
                <w:lang w:eastAsia="zh-CN"/>
              </w:rPr>
              <w:t xml:space="preserve">*) </w:t>
            </w:r>
            <w:r w:rsidRPr="00562D3C">
              <w:rPr>
                <w:rFonts w:ascii="SimSun" w:hAnsi="SimSun" w:cs="Calibri" w:hint="eastAsia"/>
                <w:sz w:val="18"/>
                <w:szCs w:val="18"/>
                <w:lang w:eastAsia="zh-CN"/>
              </w:rPr>
              <w:t>包括设施管理处、法律事务处和内部审计员</w:t>
            </w:r>
          </w:p>
        </w:tc>
        <w:tc>
          <w:tcPr>
            <w:tcW w:w="992" w:type="dxa"/>
            <w:tcBorders>
              <w:top w:val="nil"/>
              <w:left w:val="nil"/>
              <w:bottom w:val="nil"/>
              <w:right w:val="nil"/>
            </w:tcBorders>
            <w:shd w:val="clear" w:color="auto" w:fill="auto"/>
            <w:noWrap/>
            <w:vAlign w:val="center"/>
            <w:hideMark/>
          </w:tcPr>
          <w:p w14:paraId="5FE025B5"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c>
          <w:tcPr>
            <w:tcW w:w="770" w:type="dxa"/>
            <w:tcBorders>
              <w:top w:val="nil"/>
              <w:left w:val="nil"/>
              <w:bottom w:val="nil"/>
              <w:right w:val="nil"/>
            </w:tcBorders>
            <w:shd w:val="clear" w:color="auto" w:fill="auto"/>
            <w:noWrap/>
            <w:vAlign w:val="center"/>
            <w:hideMark/>
          </w:tcPr>
          <w:p w14:paraId="35137C47"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c>
          <w:tcPr>
            <w:tcW w:w="1079" w:type="dxa"/>
            <w:tcBorders>
              <w:top w:val="nil"/>
              <w:left w:val="nil"/>
              <w:bottom w:val="nil"/>
              <w:right w:val="nil"/>
            </w:tcBorders>
            <w:shd w:val="clear" w:color="auto" w:fill="auto"/>
            <w:noWrap/>
            <w:vAlign w:val="center"/>
            <w:hideMark/>
          </w:tcPr>
          <w:p w14:paraId="47937C5F"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c>
          <w:tcPr>
            <w:tcW w:w="992" w:type="dxa"/>
            <w:tcBorders>
              <w:top w:val="nil"/>
              <w:left w:val="nil"/>
              <w:bottom w:val="nil"/>
              <w:right w:val="nil"/>
            </w:tcBorders>
            <w:shd w:val="clear" w:color="auto" w:fill="auto"/>
            <w:noWrap/>
            <w:vAlign w:val="center"/>
            <w:hideMark/>
          </w:tcPr>
          <w:p w14:paraId="0017146B"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c>
          <w:tcPr>
            <w:tcW w:w="958" w:type="dxa"/>
            <w:tcBorders>
              <w:top w:val="nil"/>
              <w:left w:val="nil"/>
              <w:bottom w:val="nil"/>
              <w:right w:val="nil"/>
            </w:tcBorders>
            <w:shd w:val="clear" w:color="auto" w:fill="auto"/>
            <w:noWrap/>
            <w:vAlign w:val="center"/>
            <w:hideMark/>
          </w:tcPr>
          <w:p w14:paraId="1077006D"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c>
          <w:tcPr>
            <w:tcW w:w="958" w:type="dxa"/>
            <w:tcBorders>
              <w:top w:val="nil"/>
              <w:left w:val="nil"/>
              <w:bottom w:val="nil"/>
              <w:right w:val="nil"/>
            </w:tcBorders>
            <w:shd w:val="clear" w:color="auto" w:fill="auto"/>
            <w:noWrap/>
            <w:vAlign w:val="center"/>
            <w:hideMark/>
          </w:tcPr>
          <w:p w14:paraId="405807E0"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c>
          <w:tcPr>
            <w:tcW w:w="958" w:type="dxa"/>
            <w:tcBorders>
              <w:top w:val="nil"/>
              <w:left w:val="nil"/>
              <w:bottom w:val="nil"/>
              <w:right w:val="nil"/>
            </w:tcBorders>
            <w:shd w:val="clear" w:color="auto" w:fill="auto"/>
            <w:noWrap/>
            <w:vAlign w:val="center"/>
            <w:hideMark/>
          </w:tcPr>
          <w:p w14:paraId="0C32FF4D"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c>
          <w:tcPr>
            <w:tcW w:w="945" w:type="dxa"/>
            <w:tcBorders>
              <w:top w:val="nil"/>
              <w:left w:val="nil"/>
              <w:bottom w:val="nil"/>
              <w:right w:val="nil"/>
            </w:tcBorders>
            <w:shd w:val="clear" w:color="auto" w:fill="auto"/>
            <w:noWrap/>
            <w:vAlign w:val="center"/>
            <w:hideMark/>
          </w:tcPr>
          <w:p w14:paraId="1B78F5F5"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c>
          <w:tcPr>
            <w:tcW w:w="1027" w:type="dxa"/>
            <w:tcBorders>
              <w:top w:val="nil"/>
              <w:left w:val="nil"/>
              <w:bottom w:val="nil"/>
              <w:right w:val="nil"/>
            </w:tcBorders>
            <w:shd w:val="clear" w:color="auto" w:fill="auto"/>
            <w:noWrap/>
            <w:vAlign w:val="center"/>
            <w:hideMark/>
          </w:tcPr>
          <w:p w14:paraId="0A806856"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r>
    </w:tbl>
    <w:p w14:paraId="302D3EA9" w14:textId="487E5C33" w:rsidR="005C437E" w:rsidRDefault="005C437E" w:rsidP="0090191E">
      <w:pPr>
        <w:pStyle w:val="Normalaftertitle"/>
        <w:rPr>
          <w:lang w:eastAsia="zh-CN"/>
        </w:rPr>
      </w:pPr>
      <w:r>
        <w:rPr>
          <w:lang w:eastAsia="zh-CN"/>
        </w:rPr>
        <w:br w:type="page"/>
      </w:r>
    </w:p>
    <w:tbl>
      <w:tblPr>
        <w:tblW w:w="14174" w:type="dxa"/>
        <w:tblLook w:val="04A0" w:firstRow="1" w:lastRow="0" w:firstColumn="1" w:lastColumn="0" w:noHBand="0" w:noVBand="1"/>
      </w:tblPr>
      <w:tblGrid>
        <w:gridCol w:w="1428"/>
        <w:gridCol w:w="5670"/>
        <w:gridCol w:w="1418"/>
        <w:gridCol w:w="1533"/>
        <w:gridCol w:w="1296"/>
        <w:gridCol w:w="1296"/>
        <w:gridCol w:w="1533"/>
      </w:tblGrid>
      <w:tr w:rsidR="005C437E" w:rsidRPr="00562D3C" w14:paraId="737C6985" w14:textId="77777777" w:rsidTr="002F7131">
        <w:trPr>
          <w:trHeight w:val="465"/>
        </w:trPr>
        <w:tc>
          <w:tcPr>
            <w:tcW w:w="1428" w:type="dxa"/>
            <w:tcBorders>
              <w:top w:val="nil"/>
              <w:left w:val="nil"/>
              <w:bottom w:val="nil"/>
              <w:right w:val="nil"/>
            </w:tcBorders>
            <w:shd w:val="clear" w:color="auto" w:fill="auto"/>
            <w:noWrap/>
            <w:vAlign w:val="center"/>
            <w:hideMark/>
          </w:tcPr>
          <w:p w14:paraId="5CA1466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562D3C">
              <w:rPr>
                <w:rFonts w:ascii="SimSun" w:hAnsi="SimSun" w:cs="Calibri" w:hint="eastAsia"/>
                <w:b/>
                <w:bCs/>
                <w:color w:val="002060"/>
                <w:sz w:val="40"/>
                <w:szCs w:val="40"/>
              </w:rPr>
              <w:lastRenderedPageBreak/>
              <w:t>表</w:t>
            </w:r>
            <w:r w:rsidRPr="00562D3C">
              <w:rPr>
                <w:rFonts w:eastAsia="Times New Roman" w:cs="Calibri"/>
                <w:b/>
                <w:bCs/>
                <w:color w:val="002060"/>
                <w:sz w:val="40"/>
                <w:szCs w:val="40"/>
              </w:rPr>
              <w:t>5</w:t>
            </w:r>
          </w:p>
        </w:tc>
        <w:tc>
          <w:tcPr>
            <w:tcW w:w="5670" w:type="dxa"/>
            <w:tcBorders>
              <w:top w:val="nil"/>
              <w:left w:val="nil"/>
              <w:bottom w:val="nil"/>
              <w:right w:val="nil"/>
            </w:tcBorders>
            <w:shd w:val="clear" w:color="auto" w:fill="auto"/>
            <w:noWrap/>
            <w:vAlign w:val="center"/>
            <w:hideMark/>
          </w:tcPr>
          <w:p w14:paraId="321600E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1418" w:type="dxa"/>
            <w:tcBorders>
              <w:top w:val="nil"/>
              <w:left w:val="nil"/>
              <w:bottom w:val="nil"/>
              <w:right w:val="nil"/>
            </w:tcBorders>
            <w:shd w:val="clear" w:color="auto" w:fill="auto"/>
            <w:noWrap/>
            <w:vAlign w:val="center"/>
            <w:hideMark/>
          </w:tcPr>
          <w:p w14:paraId="112CAB6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33" w:type="dxa"/>
            <w:tcBorders>
              <w:top w:val="nil"/>
              <w:left w:val="nil"/>
              <w:bottom w:val="nil"/>
              <w:right w:val="nil"/>
            </w:tcBorders>
            <w:shd w:val="clear" w:color="auto" w:fill="auto"/>
            <w:noWrap/>
            <w:vAlign w:val="center"/>
            <w:hideMark/>
          </w:tcPr>
          <w:p w14:paraId="79B95FD1"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6" w:type="dxa"/>
            <w:tcBorders>
              <w:top w:val="nil"/>
              <w:left w:val="nil"/>
              <w:bottom w:val="nil"/>
              <w:right w:val="nil"/>
            </w:tcBorders>
            <w:shd w:val="clear" w:color="auto" w:fill="auto"/>
            <w:noWrap/>
            <w:vAlign w:val="center"/>
            <w:hideMark/>
          </w:tcPr>
          <w:p w14:paraId="579DD25B"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6" w:type="dxa"/>
            <w:tcBorders>
              <w:top w:val="nil"/>
              <w:left w:val="nil"/>
              <w:bottom w:val="nil"/>
              <w:right w:val="nil"/>
            </w:tcBorders>
            <w:shd w:val="clear" w:color="auto" w:fill="auto"/>
            <w:noWrap/>
            <w:vAlign w:val="center"/>
            <w:hideMark/>
          </w:tcPr>
          <w:p w14:paraId="5C9BC998"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33" w:type="dxa"/>
            <w:tcBorders>
              <w:top w:val="nil"/>
              <w:left w:val="nil"/>
              <w:bottom w:val="nil"/>
              <w:right w:val="nil"/>
            </w:tcBorders>
            <w:shd w:val="clear" w:color="auto" w:fill="auto"/>
            <w:noWrap/>
            <w:vAlign w:val="center"/>
            <w:hideMark/>
          </w:tcPr>
          <w:p w14:paraId="5F91B29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562D3C" w14:paraId="5D91C418" w14:textId="77777777" w:rsidTr="002F7131">
        <w:trPr>
          <w:trHeight w:val="405"/>
        </w:trPr>
        <w:tc>
          <w:tcPr>
            <w:tcW w:w="7098" w:type="dxa"/>
            <w:gridSpan w:val="2"/>
            <w:tcBorders>
              <w:top w:val="nil"/>
              <w:left w:val="nil"/>
              <w:bottom w:val="nil"/>
              <w:right w:val="nil"/>
            </w:tcBorders>
            <w:shd w:val="clear" w:color="auto" w:fill="auto"/>
            <w:noWrap/>
            <w:vAlign w:val="center"/>
            <w:hideMark/>
          </w:tcPr>
          <w:p w14:paraId="06E91565"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r w:rsidRPr="00562D3C">
              <w:rPr>
                <w:rFonts w:ascii="STKaiti" w:eastAsia="STKaiti" w:hAnsi="STKaiti" w:hint="eastAsia"/>
                <w:b/>
                <w:bCs/>
                <w:color w:val="002060"/>
                <w:sz w:val="28"/>
                <w:szCs w:val="28"/>
              </w:rPr>
              <w:t>无线电通信部门</w:t>
            </w:r>
          </w:p>
        </w:tc>
        <w:tc>
          <w:tcPr>
            <w:tcW w:w="1418" w:type="dxa"/>
            <w:tcBorders>
              <w:top w:val="nil"/>
              <w:left w:val="nil"/>
              <w:bottom w:val="nil"/>
              <w:right w:val="nil"/>
            </w:tcBorders>
            <w:shd w:val="clear" w:color="auto" w:fill="auto"/>
            <w:noWrap/>
            <w:vAlign w:val="center"/>
            <w:hideMark/>
          </w:tcPr>
          <w:p w14:paraId="36E683C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p>
        </w:tc>
        <w:tc>
          <w:tcPr>
            <w:tcW w:w="1533" w:type="dxa"/>
            <w:tcBorders>
              <w:top w:val="nil"/>
              <w:left w:val="nil"/>
              <w:bottom w:val="nil"/>
              <w:right w:val="nil"/>
            </w:tcBorders>
            <w:shd w:val="clear" w:color="auto" w:fill="auto"/>
            <w:noWrap/>
            <w:vAlign w:val="center"/>
            <w:hideMark/>
          </w:tcPr>
          <w:p w14:paraId="44596891"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6" w:type="dxa"/>
            <w:tcBorders>
              <w:top w:val="nil"/>
              <w:left w:val="nil"/>
              <w:bottom w:val="nil"/>
              <w:right w:val="nil"/>
            </w:tcBorders>
            <w:shd w:val="clear" w:color="auto" w:fill="auto"/>
            <w:noWrap/>
            <w:vAlign w:val="center"/>
            <w:hideMark/>
          </w:tcPr>
          <w:p w14:paraId="350D5A45"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6" w:type="dxa"/>
            <w:tcBorders>
              <w:top w:val="nil"/>
              <w:left w:val="nil"/>
              <w:bottom w:val="nil"/>
              <w:right w:val="nil"/>
            </w:tcBorders>
            <w:shd w:val="clear" w:color="auto" w:fill="auto"/>
            <w:noWrap/>
            <w:vAlign w:val="center"/>
            <w:hideMark/>
          </w:tcPr>
          <w:p w14:paraId="5C4CC981"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33" w:type="dxa"/>
            <w:tcBorders>
              <w:top w:val="nil"/>
              <w:left w:val="nil"/>
              <w:bottom w:val="nil"/>
              <w:right w:val="nil"/>
            </w:tcBorders>
            <w:shd w:val="clear" w:color="auto" w:fill="auto"/>
            <w:noWrap/>
            <w:vAlign w:val="center"/>
            <w:hideMark/>
          </w:tcPr>
          <w:p w14:paraId="08DB3BCC"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562D3C" w14:paraId="0971CC82" w14:textId="77777777" w:rsidTr="002F7131">
        <w:trPr>
          <w:trHeight w:val="405"/>
        </w:trPr>
        <w:tc>
          <w:tcPr>
            <w:tcW w:w="7098" w:type="dxa"/>
            <w:gridSpan w:val="2"/>
            <w:tcBorders>
              <w:top w:val="nil"/>
              <w:left w:val="nil"/>
              <w:bottom w:val="nil"/>
              <w:right w:val="nil"/>
            </w:tcBorders>
            <w:shd w:val="clear" w:color="auto" w:fill="auto"/>
            <w:noWrap/>
            <w:vAlign w:val="center"/>
            <w:hideMark/>
          </w:tcPr>
          <w:p w14:paraId="3C1CB565"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rPr>
            </w:pPr>
            <w:r w:rsidRPr="00562D3C">
              <w:rPr>
                <w:rFonts w:ascii="STKaiti" w:eastAsia="STKaiti" w:hAnsi="STKaiti" w:hint="eastAsia"/>
                <w:b/>
                <w:bCs/>
                <w:color w:val="002060"/>
                <w:szCs w:val="24"/>
              </w:rPr>
              <w:t>按项列出的计划支出</w:t>
            </w:r>
          </w:p>
        </w:tc>
        <w:tc>
          <w:tcPr>
            <w:tcW w:w="7076" w:type="dxa"/>
            <w:gridSpan w:val="5"/>
            <w:tcBorders>
              <w:top w:val="nil"/>
              <w:left w:val="nil"/>
              <w:bottom w:val="nil"/>
              <w:right w:val="nil"/>
            </w:tcBorders>
            <w:shd w:val="clear" w:color="auto" w:fill="auto"/>
            <w:noWrap/>
            <w:vAlign w:val="center"/>
            <w:hideMark/>
          </w:tcPr>
          <w:p w14:paraId="3467B40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562D3C">
              <w:rPr>
                <w:rFonts w:ascii="STKaiti" w:eastAsia="STKaiti" w:hAnsi="STKaiti" w:hint="eastAsia"/>
                <w:color w:val="002060"/>
                <w:sz w:val="18"/>
                <w:szCs w:val="18"/>
              </w:rPr>
              <w:t>单位：千瑞郎</w:t>
            </w:r>
          </w:p>
        </w:tc>
      </w:tr>
      <w:tr w:rsidR="005C437E" w:rsidRPr="00562D3C" w14:paraId="70AA59DA" w14:textId="77777777" w:rsidTr="002F7131">
        <w:trPr>
          <w:trHeight w:val="240"/>
        </w:trPr>
        <w:tc>
          <w:tcPr>
            <w:tcW w:w="1428" w:type="dxa"/>
            <w:tcBorders>
              <w:top w:val="nil"/>
              <w:left w:val="nil"/>
              <w:bottom w:val="nil"/>
              <w:right w:val="nil"/>
            </w:tcBorders>
            <w:shd w:val="clear" w:color="auto" w:fill="auto"/>
            <w:noWrap/>
            <w:vAlign w:val="center"/>
            <w:hideMark/>
          </w:tcPr>
          <w:p w14:paraId="6DBF3C8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p>
        </w:tc>
        <w:tc>
          <w:tcPr>
            <w:tcW w:w="5670" w:type="dxa"/>
            <w:tcBorders>
              <w:top w:val="nil"/>
              <w:left w:val="nil"/>
              <w:bottom w:val="nil"/>
              <w:right w:val="nil"/>
            </w:tcBorders>
            <w:shd w:val="clear" w:color="auto" w:fill="auto"/>
            <w:noWrap/>
            <w:vAlign w:val="center"/>
            <w:hideMark/>
          </w:tcPr>
          <w:p w14:paraId="5C826581"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18" w:type="dxa"/>
            <w:tcBorders>
              <w:top w:val="nil"/>
              <w:left w:val="nil"/>
              <w:bottom w:val="nil"/>
              <w:right w:val="nil"/>
            </w:tcBorders>
            <w:shd w:val="clear" w:color="auto" w:fill="auto"/>
            <w:noWrap/>
            <w:vAlign w:val="center"/>
            <w:hideMark/>
          </w:tcPr>
          <w:p w14:paraId="117CEAF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33" w:type="dxa"/>
            <w:tcBorders>
              <w:top w:val="nil"/>
              <w:left w:val="nil"/>
              <w:bottom w:val="nil"/>
              <w:right w:val="nil"/>
            </w:tcBorders>
            <w:shd w:val="clear" w:color="auto" w:fill="auto"/>
            <w:noWrap/>
            <w:vAlign w:val="bottom"/>
            <w:hideMark/>
          </w:tcPr>
          <w:p w14:paraId="004DFAAB"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r w:rsidRPr="00562D3C">
              <w:rPr>
                <w:rFonts w:ascii="Helv" w:eastAsia="Times New Roman" w:hAnsi="Helv"/>
                <w:noProof/>
                <w:sz w:val="20"/>
              </w:rPr>
              <mc:AlternateContent>
                <mc:Choice Requires="wps">
                  <w:drawing>
                    <wp:anchor distT="0" distB="0" distL="114300" distR="114300" simplePos="0" relativeHeight="251678720" behindDoc="0" locked="0" layoutInCell="1" allowOverlap="1" wp14:anchorId="0061A918" wp14:editId="3DA0B6AA">
                      <wp:simplePos x="0" y="0"/>
                      <wp:positionH relativeFrom="column">
                        <wp:posOffset>8890</wp:posOffset>
                      </wp:positionH>
                      <wp:positionV relativeFrom="paragraph">
                        <wp:posOffset>1905</wp:posOffset>
                      </wp:positionV>
                      <wp:extent cx="969645" cy="4527550"/>
                      <wp:effectExtent l="0" t="0" r="20955" b="25400"/>
                      <wp:wrapNone/>
                      <wp:docPr id="1065" name="圆角矩形 1065">
                        <a:extLst xmlns:a="http://schemas.openxmlformats.org/drawingml/2006/main">
                          <a:ext uri="{FF2B5EF4-FFF2-40B4-BE49-F238E27FC236}">
                            <a16:creationId xmlns:a16="http://schemas.microsoft.com/office/drawing/2014/main" id="{00000000-0008-0000-0500-00000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9645" cy="4527550"/>
                              </a:xfrm>
                              <a:prstGeom prst="roundRect">
                                <a:avLst>
                                  <a:gd name="adj" fmla="val 50000"/>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566333BD" id="圆角矩形 1065" o:spid="_x0000_s1026" style="position:absolute;margin-left:.7pt;margin-top:.15pt;width:76.35pt;height:3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" filled="f"/>
                  </w:pict>
                </mc:Fallback>
              </mc:AlternateContent>
            </w:r>
          </w:p>
        </w:tc>
        <w:tc>
          <w:tcPr>
            <w:tcW w:w="1296" w:type="dxa"/>
            <w:tcBorders>
              <w:top w:val="nil"/>
              <w:left w:val="nil"/>
              <w:bottom w:val="nil"/>
              <w:right w:val="nil"/>
            </w:tcBorders>
            <w:shd w:val="clear" w:color="auto" w:fill="auto"/>
            <w:noWrap/>
            <w:vAlign w:val="center"/>
            <w:hideMark/>
          </w:tcPr>
          <w:p w14:paraId="4A9620CD"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6" w:type="dxa"/>
            <w:tcBorders>
              <w:top w:val="nil"/>
              <w:left w:val="nil"/>
              <w:bottom w:val="nil"/>
              <w:right w:val="nil"/>
            </w:tcBorders>
            <w:shd w:val="clear" w:color="auto" w:fill="auto"/>
            <w:noWrap/>
            <w:vAlign w:val="center"/>
            <w:hideMark/>
          </w:tcPr>
          <w:p w14:paraId="7C753887"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33" w:type="dxa"/>
            <w:tcBorders>
              <w:top w:val="nil"/>
              <w:left w:val="nil"/>
              <w:bottom w:val="nil"/>
              <w:right w:val="nil"/>
            </w:tcBorders>
            <w:shd w:val="clear" w:color="auto" w:fill="auto"/>
            <w:noWrap/>
            <w:vAlign w:val="bottom"/>
            <w:hideMark/>
          </w:tcPr>
          <w:p w14:paraId="38069C63"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r w:rsidRPr="00562D3C">
              <w:rPr>
                <w:rFonts w:ascii="Helv" w:eastAsia="Times New Roman" w:hAnsi="Helv"/>
                <w:noProof/>
                <w:sz w:val="20"/>
              </w:rPr>
              <mc:AlternateContent>
                <mc:Choice Requires="wps">
                  <w:drawing>
                    <wp:anchor distT="0" distB="0" distL="114300" distR="114300" simplePos="0" relativeHeight="251677696" behindDoc="0" locked="0" layoutInCell="1" allowOverlap="1" wp14:anchorId="598C7365" wp14:editId="7C33D788">
                      <wp:simplePos x="0" y="0"/>
                      <wp:positionH relativeFrom="column">
                        <wp:posOffset>-10160</wp:posOffset>
                      </wp:positionH>
                      <wp:positionV relativeFrom="paragraph">
                        <wp:posOffset>52705</wp:posOffset>
                      </wp:positionV>
                      <wp:extent cx="958850" cy="4476750"/>
                      <wp:effectExtent l="0" t="0" r="12700" b="19050"/>
                      <wp:wrapNone/>
                      <wp:docPr id="1064" name="圆角矩形 1064">
                        <a:extLst xmlns:a="http://schemas.openxmlformats.org/drawingml/2006/main">
                          <a:ext uri="{FF2B5EF4-FFF2-40B4-BE49-F238E27FC236}">
                            <a16:creationId xmlns:a16="http://schemas.microsoft.com/office/drawing/2014/main" id="{00000000-0008-0000-05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0" cy="447675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1B98748E" id="圆角矩形 1064" o:spid="_x0000_s1026" style="position:absolute;margin-left:-.8pt;margin-top:4.15pt;width:75.5pt;height:3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" filled="f" strokecolor="#0070c0" strokeweight="1pt"/>
                  </w:pict>
                </mc:Fallback>
              </mc:AlternateContent>
            </w:r>
          </w:p>
        </w:tc>
      </w:tr>
      <w:tr w:rsidR="005C437E" w:rsidRPr="00562D3C" w14:paraId="69D2FA62" w14:textId="77777777" w:rsidTr="002F7131">
        <w:trPr>
          <w:trHeight w:val="255"/>
        </w:trPr>
        <w:tc>
          <w:tcPr>
            <w:tcW w:w="1428" w:type="dxa"/>
            <w:tcBorders>
              <w:top w:val="nil"/>
              <w:left w:val="nil"/>
              <w:bottom w:val="nil"/>
              <w:right w:val="nil"/>
            </w:tcBorders>
            <w:shd w:val="clear" w:color="auto" w:fill="auto"/>
            <w:noWrap/>
            <w:vAlign w:val="center"/>
            <w:hideMark/>
          </w:tcPr>
          <w:p w14:paraId="524602DF"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5670" w:type="dxa"/>
            <w:tcBorders>
              <w:top w:val="nil"/>
              <w:left w:val="nil"/>
              <w:bottom w:val="nil"/>
              <w:right w:val="nil"/>
            </w:tcBorders>
            <w:shd w:val="clear" w:color="auto" w:fill="auto"/>
            <w:noWrap/>
            <w:vAlign w:val="center"/>
            <w:hideMark/>
          </w:tcPr>
          <w:p w14:paraId="62E8F67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18" w:type="dxa"/>
            <w:tcBorders>
              <w:top w:val="nil"/>
              <w:left w:val="single" w:sz="4" w:space="0" w:color="0070C0"/>
              <w:bottom w:val="nil"/>
              <w:right w:val="nil"/>
            </w:tcBorders>
            <w:shd w:val="clear" w:color="auto" w:fill="auto"/>
            <w:noWrap/>
            <w:vAlign w:val="center"/>
            <w:hideMark/>
          </w:tcPr>
          <w:p w14:paraId="1E43D15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sz w:val="20"/>
              </w:rPr>
            </w:pPr>
            <w:r w:rsidRPr="00562D3C">
              <w:rPr>
                <w:rFonts w:ascii="SimSun" w:hAnsi="SimSun" w:hint="eastAsia"/>
                <w:b/>
                <w:bCs/>
                <w:sz w:val="20"/>
              </w:rPr>
              <w:t>实际</w:t>
            </w:r>
          </w:p>
        </w:tc>
        <w:tc>
          <w:tcPr>
            <w:tcW w:w="1533" w:type="dxa"/>
            <w:tcBorders>
              <w:top w:val="nil"/>
              <w:left w:val="nil"/>
              <w:bottom w:val="nil"/>
              <w:right w:val="nil"/>
            </w:tcBorders>
            <w:shd w:val="clear" w:color="auto" w:fill="auto"/>
            <w:noWrap/>
            <w:vAlign w:val="center"/>
            <w:hideMark/>
          </w:tcPr>
          <w:p w14:paraId="2AC3444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sz w:val="20"/>
              </w:rPr>
            </w:pPr>
            <w:r w:rsidRPr="00562D3C">
              <w:rPr>
                <w:rFonts w:ascii="SimSun" w:hAnsi="SimSun" w:hint="eastAsia"/>
                <w:b/>
                <w:bCs/>
                <w:sz w:val="20"/>
              </w:rPr>
              <w:t>预算</w:t>
            </w:r>
          </w:p>
        </w:tc>
        <w:tc>
          <w:tcPr>
            <w:tcW w:w="1296" w:type="dxa"/>
            <w:tcBorders>
              <w:top w:val="nil"/>
              <w:left w:val="nil"/>
              <w:bottom w:val="nil"/>
              <w:right w:val="nil"/>
            </w:tcBorders>
            <w:shd w:val="clear" w:color="auto" w:fill="auto"/>
            <w:noWrap/>
            <w:vAlign w:val="center"/>
            <w:hideMark/>
          </w:tcPr>
          <w:p w14:paraId="201F6F2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20"/>
              </w:rPr>
            </w:pPr>
            <w:r w:rsidRPr="00562D3C">
              <w:rPr>
                <w:rFonts w:ascii="SimSun" w:hAnsi="SimSun" w:hint="eastAsia"/>
                <w:b/>
                <w:bCs/>
                <w:color w:val="002060"/>
                <w:sz w:val="20"/>
              </w:rPr>
              <w:t>估算</w:t>
            </w:r>
          </w:p>
        </w:tc>
        <w:tc>
          <w:tcPr>
            <w:tcW w:w="1296" w:type="dxa"/>
            <w:tcBorders>
              <w:top w:val="nil"/>
              <w:left w:val="nil"/>
              <w:bottom w:val="nil"/>
              <w:right w:val="nil"/>
            </w:tcBorders>
            <w:shd w:val="clear" w:color="auto" w:fill="auto"/>
            <w:noWrap/>
            <w:vAlign w:val="center"/>
            <w:hideMark/>
          </w:tcPr>
          <w:p w14:paraId="70F7DB5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20"/>
              </w:rPr>
            </w:pPr>
            <w:r w:rsidRPr="00562D3C">
              <w:rPr>
                <w:rFonts w:ascii="SimSun" w:hAnsi="SimSun" w:hint="eastAsia"/>
                <w:b/>
                <w:bCs/>
                <w:color w:val="002060"/>
                <w:sz w:val="20"/>
              </w:rPr>
              <w:t>估算</w:t>
            </w:r>
          </w:p>
        </w:tc>
        <w:tc>
          <w:tcPr>
            <w:tcW w:w="1533" w:type="dxa"/>
            <w:tcBorders>
              <w:top w:val="nil"/>
              <w:left w:val="nil"/>
              <w:bottom w:val="nil"/>
              <w:right w:val="nil"/>
            </w:tcBorders>
            <w:shd w:val="clear" w:color="auto" w:fill="auto"/>
            <w:noWrap/>
            <w:vAlign w:val="center"/>
            <w:hideMark/>
          </w:tcPr>
          <w:p w14:paraId="6FA6B74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20"/>
              </w:rPr>
            </w:pPr>
            <w:r w:rsidRPr="00562D3C">
              <w:rPr>
                <w:rFonts w:ascii="SimSun" w:hAnsi="SimSun" w:hint="eastAsia"/>
                <w:b/>
                <w:bCs/>
                <w:color w:val="002060"/>
                <w:sz w:val="20"/>
              </w:rPr>
              <w:t>合计</w:t>
            </w:r>
          </w:p>
        </w:tc>
      </w:tr>
      <w:tr w:rsidR="005C437E" w:rsidRPr="00562D3C" w14:paraId="65333F47" w14:textId="77777777" w:rsidTr="002F7131">
        <w:trPr>
          <w:trHeight w:val="510"/>
        </w:trPr>
        <w:tc>
          <w:tcPr>
            <w:tcW w:w="1428" w:type="dxa"/>
            <w:tcBorders>
              <w:top w:val="nil"/>
              <w:left w:val="nil"/>
              <w:bottom w:val="single" w:sz="4" w:space="0" w:color="auto"/>
              <w:right w:val="nil"/>
            </w:tcBorders>
            <w:shd w:val="clear" w:color="auto" w:fill="auto"/>
            <w:noWrap/>
            <w:vAlign w:val="center"/>
            <w:hideMark/>
          </w:tcPr>
          <w:p w14:paraId="5DDC73B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 </w:t>
            </w:r>
          </w:p>
        </w:tc>
        <w:tc>
          <w:tcPr>
            <w:tcW w:w="5670" w:type="dxa"/>
            <w:tcBorders>
              <w:top w:val="nil"/>
              <w:left w:val="nil"/>
              <w:bottom w:val="single" w:sz="4" w:space="0" w:color="auto"/>
              <w:right w:val="nil"/>
            </w:tcBorders>
            <w:shd w:val="clear" w:color="auto" w:fill="auto"/>
            <w:noWrap/>
            <w:vAlign w:val="center"/>
            <w:hideMark/>
          </w:tcPr>
          <w:p w14:paraId="6D5025D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 </w:t>
            </w:r>
          </w:p>
        </w:tc>
        <w:tc>
          <w:tcPr>
            <w:tcW w:w="1418" w:type="dxa"/>
            <w:tcBorders>
              <w:top w:val="nil"/>
              <w:left w:val="single" w:sz="4" w:space="0" w:color="0070C0"/>
              <w:bottom w:val="single" w:sz="4" w:space="0" w:color="auto"/>
              <w:right w:val="nil"/>
            </w:tcBorders>
            <w:shd w:val="clear" w:color="auto" w:fill="auto"/>
            <w:vAlign w:val="center"/>
            <w:hideMark/>
          </w:tcPr>
          <w:p w14:paraId="36C7CA2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sz w:val="20"/>
              </w:rPr>
            </w:pPr>
            <w:r w:rsidRPr="00562D3C">
              <w:rPr>
                <w:rFonts w:eastAsia="Times New Roman" w:cs="Calibri"/>
                <w:b/>
                <w:bCs/>
                <w:sz w:val="20"/>
              </w:rPr>
              <w:t>2018-2019</w:t>
            </w:r>
            <w:r w:rsidRPr="00562D3C">
              <w:rPr>
                <w:rFonts w:ascii="SimSun" w:hAnsi="SimSun" w:cs="Calibri" w:hint="eastAsia"/>
                <w:b/>
                <w:bCs/>
                <w:sz w:val="20"/>
              </w:rPr>
              <w:t>年</w:t>
            </w:r>
          </w:p>
        </w:tc>
        <w:tc>
          <w:tcPr>
            <w:tcW w:w="1533" w:type="dxa"/>
            <w:tcBorders>
              <w:top w:val="nil"/>
              <w:left w:val="nil"/>
              <w:bottom w:val="single" w:sz="4" w:space="0" w:color="auto"/>
              <w:right w:val="nil"/>
            </w:tcBorders>
            <w:shd w:val="clear" w:color="auto" w:fill="auto"/>
            <w:vAlign w:val="center"/>
            <w:hideMark/>
          </w:tcPr>
          <w:p w14:paraId="29A3CE9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sz w:val="20"/>
              </w:rPr>
            </w:pPr>
            <w:r w:rsidRPr="00562D3C">
              <w:rPr>
                <w:rFonts w:eastAsia="Times New Roman" w:cs="Calibri"/>
                <w:b/>
                <w:bCs/>
                <w:sz w:val="20"/>
              </w:rPr>
              <w:t>2020-2021</w:t>
            </w:r>
            <w:r w:rsidRPr="00562D3C">
              <w:rPr>
                <w:rFonts w:ascii="SimSun" w:hAnsi="SimSun" w:cs="Calibri" w:hint="eastAsia"/>
                <w:b/>
                <w:bCs/>
                <w:sz w:val="20"/>
              </w:rPr>
              <w:t>年</w:t>
            </w:r>
          </w:p>
        </w:tc>
        <w:tc>
          <w:tcPr>
            <w:tcW w:w="1296" w:type="dxa"/>
            <w:tcBorders>
              <w:top w:val="nil"/>
              <w:left w:val="nil"/>
              <w:bottom w:val="single" w:sz="4" w:space="0" w:color="auto"/>
              <w:right w:val="nil"/>
            </w:tcBorders>
            <w:shd w:val="clear" w:color="auto" w:fill="auto"/>
            <w:vAlign w:val="center"/>
            <w:hideMark/>
          </w:tcPr>
          <w:p w14:paraId="0C38E06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562D3C">
              <w:rPr>
                <w:rFonts w:eastAsia="Times New Roman" w:cs="Calibri"/>
                <w:b/>
                <w:bCs/>
                <w:color w:val="002060"/>
                <w:sz w:val="20"/>
              </w:rPr>
              <w:t>2022</w:t>
            </w:r>
            <w:r w:rsidRPr="00562D3C">
              <w:rPr>
                <w:rFonts w:ascii="SimSun" w:hAnsi="SimSun" w:cs="Calibri" w:hint="eastAsia"/>
                <w:b/>
                <w:bCs/>
                <w:color w:val="002060"/>
                <w:sz w:val="20"/>
              </w:rPr>
              <w:t>年</w:t>
            </w:r>
          </w:p>
        </w:tc>
        <w:tc>
          <w:tcPr>
            <w:tcW w:w="1296" w:type="dxa"/>
            <w:tcBorders>
              <w:top w:val="nil"/>
              <w:left w:val="nil"/>
              <w:bottom w:val="single" w:sz="4" w:space="0" w:color="auto"/>
              <w:right w:val="nil"/>
            </w:tcBorders>
            <w:shd w:val="clear" w:color="auto" w:fill="auto"/>
            <w:vAlign w:val="center"/>
            <w:hideMark/>
          </w:tcPr>
          <w:p w14:paraId="7D04B03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562D3C">
              <w:rPr>
                <w:rFonts w:eastAsia="Times New Roman" w:cs="Calibri"/>
                <w:b/>
                <w:bCs/>
                <w:color w:val="002060"/>
                <w:sz w:val="20"/>
              </w:rPr>
              <w:t>2023</w:t>
            </w:r>
            <w:r w:rsidRPr="00562D3C">
              <w:rPr>
                <w:rFonts w:ascii="SimSun" w:hAnsi="SimSun" w:cs="Calibri" w:hint="eastAsia"/>
                <w:b/>
                <w:bCs/>
                <w:color w:val="002060"/>
                <w:sz w:val="20"/>
              </w:rPr>
              <w:t>年</w:t>
            </w:r>
          </w:p>
        </w:tc>
        <w:tc>
          <w:tcPr>
            <w:tcW w:w="1533" w:type="dxa"/>
            <w:tcBorders>
              <w:top w:val="nil"/>
              <w:left w:val="nil"/>
              <w:bottom w:val="single" w:sz="4" w:space="0" w:color="auto"/>
              <w:right w:val="nil"/>
            </w:tcBorders>
            <w:shd w:val="clear" w:color="auto" w:fill="auto"/>
            <w:vAlign w:val="center"/>
            <w:hideMark/>
          </w:tcPr>
          <w:p w14:paraId="37E8488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562D3C">
              <w:rPr>
                <w:rFonts w:eastAsia="Times New Roman" w:cs="Calibri"/>
                <w:b/>
                <w:bCs/>
                <w:color w:val="002060"/>
                <w:sz w:val="20"/>
              </w:rPr>
              <w:t>2022-2023</w:t>
            </w:r>
            <w:r w:rsidRPr="00562D3C">
              <w:rPr>
                <w:rFonts w:ascii="SimSun" w:hAnsi="SimSun" w:cs="Calibri" w:hint="eastAsia"/>
                <w:b/>
                <w:bCs/>
                <w:color w:val="002060"/>
                <w:sz w:val="20"/>
              </w:rPr>
              <w:t>年</w:t>
            </w:r>
          </w:p>
        </w:tc>
      </w:tr>
      <w:tr w:rsidR="005C437E" w:rsidRPr="00562D3C" w14:paraId="198104C2" w14:textId="77777777" w:rsidTr="002F7131">
        <w:trPr>
          <w:trHeight w:val="252"/>
        </w:trPr>
        <w:tc>
          <w:tcPr>
            <w:tcW w:w="1428" w:type="dxa"/>
            <w:tcBorders>
              <w:top w:val="nil"/>
              <w:left w:val="nil"/>
              <w:bottom w:val="nil"/>
              <w:right w:val="nil"/>
            </w:tcBorders>
            <w:shd w:val="clear" w:color="auto" w:fill="auto"/>
            <w:noWrap/>
            <w:vAlign w:val="bottom"/>
            <w:hideMark/>
          </w:tcPr>
          <w:p w14:paraId="7A0F77A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562D3C">
              <w:rPr>
                <w:rFonts w:ascii="SimSun" w:hAnsi="SimSun" w:hint="eastAsia"/>
                <w:sz w:val="18"/>
                <w:szCs w:val="18"/>
              </w:rPr>
              <w:t>第</w:t>
            </w:r>
            <w:r w:rsidRPr="00562D3C">
              <w:rPr>
                <w:rFonts w:cs="Calibri"/>
                <w:sz w:val="18"/>
                <w:szCs w:val="18"/>
              </w:rPr>
              <w:t>3.1</w:t>
            </w:r>
            <w:r w:rsidRPr="00562D3C">
              <w:rPr>
                <w:rFonts w:ascii="SimSun" w:hAnsi="SimSun" w:hint="eastAsia"/>
                <w:sz w:val="18"/>
                <w:szCs w:val="18"/>
              </w:rPr>
              <w:t>项</w:t>
            </w:r>
          </w:p>
        </w:tc>
        <w:tc>
          <w:tcPr>
            <w:tcW w:w="5670" w:type="dxa"/>
            <w:tcBorders>
              <w:top w:val="nil"/>
              <w:left w:val="nil"/>
              <w:bottom w:val="nil"/>
              <w:right w:val="nil"/>
            </w:tcBorders>
            <w:shd w:val="clear" w:color="auto" w:fill="auto"/>
            <w:noWrap/>
            <w:vAlign w:val="bottom"/>
            <w:hideMark/>
          </w:tcPr>
          <w:p w14:paraId="3E6D70D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562D3C">
              <w:rPr>
                <w:rFonts w:ascii="SimSun" w:hAnsi="SimSun" w:hint="eastAsia"/>
                <w:sz w:val="18"/>
                <w:szCs w:val="18"/>
              </w:rPr>
              <w:t>世界无线电通信大会</w:t>
            </w:r>
          </w:p>
        </w:tc>
        <w:tc>
          <w:tcPr>
            <w:tcW w:w="1418" w:type="dxa"/>
            <w:tcBorders>
              <w:top w:val="nil"/>
              <w:left w:val="single" w:sz="4" w:space="0" w:color="0070C0"/>
              <w:bottom w:val="nil"/>
              <w:right w:val="nil"/>
            </w:tcBorders>
            <w:shd w:val="clear" w:color="auto" w:fill="auto"/>
            <w:noWrap/>
            <w:vAlign w:val="center"/>
            <w:hideMark/>
          </w:tcPr>
          <w:p w14:paraId="078E029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1,506</w:t>
            </w:r>
          </w:p>
        </w:tc>
        <w:tc>
          <w:tcPr>
            <w:tcW w:w="1533" w:type="dxa"/>
            <w:tcBorders>
              <w:top w:val="nil"/>
              <w:left w:val="nil"/>
              <w:bottom w:val="nil"/>
              <w:right w:val="nil"/>
            </w:tcBorders>
            <w:shd w:val="clear" w:color="auto" w:fill="auto"/>
            <w:noWrap/>
            <w:vAlign w:val="center"/>
            <w:hideMark/>
          </w:tcPr>
          <w:p w14:paraId="6E05BCE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96" w:type="dxa"/>
            <w:tcBorders>
              <w:top w:val="nil"/>
              <w:left w:val="nil"/>
              <w:bottom w:val="nil"/>
              <w:right w:val="nil"/>
            </w:tcBorders>
            <w:shd w:val="clear" w:color="auto" w:fill="auto"/>
            <w:noWrap/>
            <w:vAlign w:val="center"/>
            <w:hideMark/>
          </w:tcPr>
          <w:p w14:paraId="6D2C112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6" w:type="dxa"/>
            <w:tcBorders>
              <w:top w:val="nil"/>
              <w:left w:val="nil"/>
              <w:bottom w:val="nil"/>
              <w:right w:val="nil"/>
            </w:tcBorders>
            <w:shd w:val="clear" w:color="auto" w:fill="auto"/>
            <w:noWrap/>
            <w:vAlign w:val="center"/>
            <w:hideMark/>
          </w:tcPr>
          <w:p w14:paraId="4E99EF8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2,449</w:t>
            </w:r>
          </w:p>
        </w:tc>
        <w:tc>
          <w:tcPr>
            <w:tcW w:w="1533" w:type="dxa"/>
            <w:tcBorders>
              <w:top w:val="nil"/>
              <w:left w:val="nil"/>
              <w:bottom w:val="nil"/>
              <w:right w:val="nil"/>
            </w:tcBorders>
            <w:shd w:val="clear" w:color="auto" w:fill="auto"/>
            <w:noWrap/>
            <w:vAlign w:val="center"/>
            <w:hideMark/>
          </w:tcPr>
          <w:p w14:paraId="02873EC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2,449</w:t>
            </w:r>
          </w:p>
        </w:tc>
      </w:tr>
      <w:tr w:rsidR="005C437E" w:rsidRPr="00562D3C" w14:paraId="58FC63A9" w14:textId="77777777" w:rsidTr="002F7131">
        <w:trPr>
          <w:trHeight w:val="199"/>
        </w:trPr>
        <w:tc>
          <w:tcPr>
            <w:tcW w:w="1428" w:type="dxa"/>
            <w:tcBorders>
              <w:top w:val="nil"/>
              <w:left w:val="nil"/>
              <w:bottom w:val="nil"/>
              <w:right w:val="nil"/>
            </w:tcBorders>
            <w:shd w:val="clear" w:color="auto" w:fill="auto"/>
            <w:noWrap/>
            <w:vAlign w:val="center"/>
            <w:hideMark/>
          </w:tcPr>
          <w:p w14:paraId="05A0487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5670" w:type="dxa"/>
            <w:tcBorders>
              <w:top w:val="nil"/>
              <w:left w:val="nil"/>
              <w:bottom w:val="nil"/>
              <w:right w:val="nil"/>
            </w:tcBorders>
            <w:shd w:val="clear" w:color="auto" w:fill="auto"/>
            <w:noWrap/>
            <w:vAlign w:val="center"/>
            <w:hideMark/>
          </w:tcPr>
          <w:p w14:paraId="7109D539"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18" w:type="dxa"/>
            <w:tcBorders>
              <w:top w:val="nil"/>
              <w:left w:val="single" w:sz="4" w:space="0" w:color="0070C0"/>
              <w:bottom w:val="nil"/>
              <w:right w:val="nil"/>
            </w:tcBorders>
            <w:shd w:val="clear" w:color="auto" w:fill="auto"/>
            <w:noWrap/>
            <w:vAlign w:val="center"/>
            <w:hideMark/>
          </w:tcPr>
          <w:p w14:paraId="2145E88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bookmarkStart w:id="59" w:name="RANGE!C11:G32"/>
            <w:r w:rsidRPr="00562D3C">
              <w:rPr>
                <w:rFonts w:eastAsia="Times New Roman" w:cs="Calibri"/>
                <w:sz w:val="20"/>
              </w:rPr>
              <w:t> </w:t>
            </w:r>
            <w:bookmarkEnd w:id="59"/>
          </w:p>
        </w:tc>
        <w:tc>
          <w:tcPr>
            <w:tcW w:w="1533" w:type="dxa"/>
            <w:tcBorders>
              <w:top w:val="nil"/>
              <w:left w:val="nil"/>
              <w:bottom w:val="nil"/>
              <w:right w:val="nil"/>
            </w:tcBorders>
            <w:shd w:val="clear" w:color="auto" w:fill="auto"/>
            <w:noWrap/>
            <w:vAlign w:val="center"/>
            <w:hideMark/>
          </w:tcPr>
          <w:p w14:paraId="11F6C14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96" w:type="dxa"/>
            <w:tcBorders>
              <w:top w:val="nil"/>
              <w:left w:val="nil"/>
              <w:bottom w:val="nil"/>
              <w:right w:val="nil"/>
            </w:tcBorders>
            <w:shd w:val="clear" w:color="auto" w:fill="auto"/>
            <w:noWrap/>
            <w:vAlign w:val="center"/>
            <w:hideMark/>
          </w:tcPr>
          <w:p w14:paraId="4261EE7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6" w:type="dxa"/>
            <w:tcBorders>
              <w:top w:val="nil"/>
              <w:left w:val="nil"/>
              <w:bottom w:val="nil"/>
              <w:right w:val="nil"/>
            </w:tcBorders>
            <w:shd w:val="clear" w:color="auto" w:fill="auto"/>
            <w:noWrap/>
            <w:vAlign w:val="center"/>
            <w:hideMark/>
          </w:tcPr>
          <w:p w14:paraId="420699C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33" w:type="dxa"/>
            <w:tcBorders>
              <w:top w:val="nil"/>
              <w:left w:val="nil"/>
              <w:bottom w:val="nil"/>
              <w:right w:val="nil"/>
            </w:tcBorders>
            <w:shd w:val="clear" w:color="auto" w:fill="auto"/>
            <w:noWrap/>
            <w:vAlign w:val="center"/>
            <w:hideMark/>
          </w:tcPr>
          <w:p w14:paraId="12476BB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398844CA" w14:textId="77777777" w:rsidTr="002F7131">
        <w:trPr>
          <w:trHeight w:val="252"/>
        </w:trPr>
        <w:tc>
          <w:tcPr>
            <w:tcW w:w="1428" w:type="dxa"/>
            <w:tcBorders>
              <w:top w:val="nil"/>
              <w:left w:val="nil"/>
              <w:bottom w:val="nil"/>
              <w:right w:val="nil"/>
            </w:tcBorders>
            <w:shd w:val="clear" w:color="auto" w:fill="auto"/>
            <w:noWrap/>
            <w:vAlign w:val="bottom"/>
            <w:hideMark/>
          </w:tcPr>
          <w:p w14:paraId="658820DC"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562D3C">
              <w:rPr>
                <w:rFonts w:ascii="SimSun" w:hAnsi="SimSun" w:hint="eastAsia"/>
                <w:sz w:val="18"/>
                <w:szCs w:val="18"/>
              </w:rPr>
              <w:t>第</w:t>
            </w:r>
            <w:r w:rsidRPr="00562D3C">
              <w:rPr>
                <w:rFonts w:cs="Calibri"/>
                <w:sz w:val="18"/>
                <w:szCs w:val="18"/>
              </w:rPr>
              <w:t>3.2</w:t>
            </w:r>
            <w:r w:rsidRPr="00562D3C">
              <w:rPr>
                <w:rFonts w:ascii="SimSun" w:hAnsi="SimSun" w:hint="eastAsia"/>
                <w:sz w:val="18"/>
                <w:szCs w:val="18"/>
              </w:rPr>
              <w:t>项</w:t>
            </w:r>
          </w:p>
        </w:tc>
        <w:tc>
          <w:tcPr>
            <w:tcW w:w="5670" w:type="dxa"/>
            <w:tcBorders>
              <w:top w:val="nil"/>
              <w:left w:val="nil"/>
              <w:bottom w:val="nil"/>
              <w:right w:val="nil"/>
            </w:tcBorders>
            <w:shd w:val="clear" w:color="auto" w:fill="auto"/>
            <w:noWrap/>
            <w:vAlign w:val="bottom"/>
            <w:hideMark/>
          </w:tcPr>
          <w:p w14:paraId="3261894A"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562D3C">
              <w:rPr>
                <w:rFonts w:ascii="SimSun" w:hAnsi="SimSun" w:hint="eastAsia"/>
                <w:sz w:val="18"/>
                <w:szCs w:val="18"/>
              </w:rPr>
              <w:t>无线电通信全会</w:t>
            </w:r>
          </w:p>
        </w:tc>
        <w:tc>
          <w:tcPr>
            <w:tcW w:w="1418" w:type="dxa"/>
            <w:tcBorders>
              <w:top w:val="nil"/>
              <w:left w:val="single" w:sz="4" w:space="0" w:color="0070C0"/>
              <w:bottom w:val="nil"/>
              <w:right w:val="nil"/>
            </w:tcBorders>
            <w:shd w:val="clear" w:color="auto" w:fill="auto"/>
            <w:noWrap/>
            <w:vAlign w:val="center"/>
            <w:hideMark/>
          </w:tcPr>
          <w:p w14:paraId="62DCAEE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342</w:t>
            </w:r>
          </w:p>
        </w:tc>
        <w:tc>
          <w:tcPr>
            <w:tcW w:w="1533" w:type="dxa"/>
            <w:tcBorders>
              <w:top w:val="nil"/>
              <w:left w:val="nil"/>
              <w:bottom w:val="nil"/>
              <w:right w:val="nil"/>
            </w:tcBorders>
            <w:shd w:val="clear" w:color="auto" w:fill="auto"/>
            <w:noWrap/>
            <w:vAlign w:val="center"/>
            <w:hideMark/>
          </w:tcPr>
          <w:p w14:paraId="472EB7A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96" w:type="dxa"/>
            <w:tcBorders>
              <w:top w:val="nil"/>
              <w:left w:val="nil"/>
              <w:bottom w:val="nil"/>
              <w:right w:val="nil"/>
            </w:tcBorders>
            <w:shd w:val="clear" w:color="auto" w:fill="auto"/>
            <w:noWrap/>
            <w:vAlign w:val="center"/>
            <w:hideMark/>
          </w:tcPr>
          <w:p w14:paraId="66482C1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6" w:type="dxa"/>
            <w:tcBorders>
              <w:top w:val="nil"/>
              <w:left w:val="nil"/>
              <w:bottom w:val="nil"/>
              <w:right w:val="nil"/>
            </w:tcBorders>
            <w:shd w:val="clear" w:color="auto" w:fill="auto"/>
            <w:noWrap/>
            <w:vAlign w:val="center"/>
            <w:hideMark/>
          </w:tcPr>
          <w:p w14:paraId="79CFCDC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402</w:t>
            </w:r>
          </w:p>
        </w:tc>
        <w:tc>
          <w:tcPr>
            <w:tcW w:w="1533" w:type="dxa"/>
            <w:tcBorders>
              <w:top w:val="nil"/>
              <w:left w:val="nil"/>
              <w:bottom w:val="nil"/>
              <w:right w:val="nil"/>
            </w:tcBorders>
            <w:shd w:val="clear" w:color="auto" w:fill="auto"/>
            <w:noWrap/>
            <w:vAlign w:val="center"/>
            <w:hideMark/>
          </w:tcPr>
          <w:p w14:paraId="34158B2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402</w:t>
            </w:r>
          </w:p>
        </w:tc>
      </w:tr>
      <w:tr w:rsidR="005C437E" w:rsidRPr="00562D3C" w14:paraId="6D8A414E" w14:textId="77777777" w:rsidTr="002F7131">
        <w:trPr>
          <w:trHeight w:val="199"/>
        </w:trPr>
        <w:tc>
          <w:tcPr>
            <w:tcW w:w="1428" w:type="dxa"/>
            <w:tcBorders>
              <w:top w:val="nil"/>
              <w:left w:val="nil"/>
              <w:bottom w:val="nil"/>
              <w:right w:val="nil"/>
            </w:tcBorders>
            <w:shd w:val="clear" w:color="auto" w:fill="auto"/>
            <w:noWrap/>
            <w:vAlign w:val="center"/>
            <w:hideMark/>
          </w:tcPr>
          <w:p w14:paraId="3BC3C94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5670" w:type="dxa"/>
            <w:tcBorders>
              <w:top w:val="nil"/>
              <w:left w:val="nil"/>
              <w:bottom w:val="nil"/>
              <w:right w:val="nil"/>
            </w:tcBorders>
            <w:shd w:val="clear" w:color="auto" w:fill="auto"/>
            <w:noWrap/>
            <w:vAlign w:val="center"/>
            <w:hideMark/>
          </w:tcPr>
          <w:p w14:paraId="610CB494"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18" w:type="dxa"/>
            <w:tcBorders>
              <w:top w:val="nil"/>
              <w:left w:val="single" w:sz="4" w:space="0" w:color="0070C0"/>
              <w:bottom w:val="nil"/>
              <w:right w:val="nil"/>
            </w:tcBorders>
            <w:shd w:val="clear" w:color="auto" w:fill="auto"/>
            <w:noWrap/>
            <w:vAlign w:val="center"/>
            <w:hideMark/>
          </w:tcPr>
          <w:p w14:paraId="3F78762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533" w:type="dxa"/>
            <w:tcBorders>
              <w:top w:val="nil"/>
              <w:left w:val="nil"/>
              <w:bottom w:val="nil"/>
              <w:right w:val="nil"/>
            </w:tcBorders>
            <w:shd w:val="clear" w:color="auto" w:fill="auto"/>
            <w:noWrap/>
            <w:vAlign w:val="center"/>
            <w:hideMark/>
          </w:tcPr>
          <w:p w14:paraId="0B5A38C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96" w:type="dxa"/>
            <w:tcBorders>
              <w:top w:val="nil"/>
              <w:left w:val="nil"/>
              <w:bottom w:val="nil"/>
              <w:right w:val="nil"/>
            </w:tcBorders>
            <w:shd w:val="clear" w:color="auto" w:fill="auto"/>
            <w:noWrap/>
            <w:vAlign w:val="center"/>
            <w:hideMark/>
          </w:tcPr>
          <w:p w14:paraId="1F3FCB2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6" w:type="dxa"/>
            <w:tcBorders>
              <w:top w:val="nil"/>
              <w:left w:val="nil"/>
              <w:bottom w:val="nil"/>
              <w:right w:val="nil"/>
            </w:tcBorders>
            <w:shd w:val="clear" w:color="auto" w:fill="auto"/>
            <w:noWrap/>
            <w:vAlign w:val="center"/>
            <w:hideMark/>
          </w:tcPr>
          <w:p w14:paraId="6D619A3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33" w:type="dxa"/>
            <w:tcBorders>
              <w:top w:val="nil"/>
              <w:left w:val="nil"/>
              <w:bottom w:val="nil"/>
              <w:right w:val="nil"/>
            </w:tcBorders>
            <w:shd w:val="clear" w:color="auto" w:fill="auto"/>
            <w:noWrap/>
            <w:vAlign w:val="center"/>
            <w:hideMark/>
          </w:tcPr>
          <w:p w14:paraId="5466244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35F08740" w14:textId="77777777" w:rsidTr="002F7131">
        <w:trPr>
          <w:trHeight w:val="252"/>
        </w:trPr>
        <w:tc>
          <w:tcPr>
            <w:tcW w:w="1428" w:type="dxa"/>
            <w:tcBorders>
              <w:top w:val="nil"/>
              <w:left w:val="nil"/>
              <w:bottom w:val="nil"/>
              <w:right w:val="nil"/>
            </w:tcBorders>
            <w:shd w:val="clear" w:color="auto" w:fill="auto"/>
            <w:noWrap/>
            <w:vAlign w:val="bottom"/>
            <w:hideMark/>
          </w:tcPr>
          <w:p w14:paraId="6BF85029"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562D3C">
              <w:rPr>
                <w:rFonts w:ascii="SimSun" w:hAnsi="SimSun" w:hint="eastAsia"/>
                <w:sz w:val="18"/>
                <w:szCs w:val="18"/>
              </w:rPr>
              <w:t>第</w:t>
            </w:r>
            <w:r w:rsidRPr="00562D3C">
              <w:rPr>
                <w:rFonts w:cs="Calibri"/>
                <w:sz w:val="18"/>
                <w:szCs w:val="18"/>
              </w:rPr>
              <w:t>4.1</w:t>
            </w:r>
            <w:r w:rsidRPr="00562D3C">
              <w:rPr>
                <w:rFonts w:ascii="SimSun" w:hAnsi="SimSun" w:hint="eastAsia"/>
                <w:sz w:val="18"/>
                <w:szCs w:val="18"/>
              </w:rPr>
              <w:t>项</w:t>
            </w:r>
          </w:p>
        </w:tc>
        <w:tc>
          <w:tcPr>
            <w:tcW w:w="5670" w:type="dxa"/>
            <w:tcBorders>
              <w:top w:val="nil"/>
              <w:left w:val="nil"/>
              <w:bottom w:val="nil"/>
              <w:right w:val="nil"/>
            </w:tcBorders>
            <w:shd w:val="clear" w:color="auto" w:fill="auto"/>
            <w:noWrap/>
            <w:vAlign w:val="bottom"/>
            <w:hideMark/>
          </w:tcPr>
          <w:p w14:paraId="3028146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lang w:eastAsia="zh-CN"/>
              </w:rPr>
            </w:pPr>
            <w:r w:rsidRPr="00562D3C">
              <w:rPr>
                <w:rFonts w:ascii="SimSun" w:hAnsi="SimSun" w:hint="eastAsia"/>
                <w:sz w:val="18"/>
                <w:szCs w:val="18"/>
                <w:lang w:eastAsia="zh-CN"/>
              </w:rPr>
              <w:t>区域性无线电通信大会</w:t>
            </w:r>
          </w:p>
        </w:tc>
        <w:tc>
          <w:tcPr>
            <w:tcW w:w="1418" w:type="dxa"/>
            <w:tcBorders>
              <w:top w:val="nil"/>
              <w:left w:val="single" w:sz="4" w:space="0" w:color="0070C0"/>
              <w:bottom w:val="nil"/>
              <w:right w:val="nil"/>
            </w:tcBorders>
            <w:shd w:val="clear" w:color="auto" w:fill="auto"/>
            <w:noWrap/>
            <w:vAlign w:val="center"/>
            <w:hideMark/>
          </w:tcPr>
          <w:p w14:paraId="0CA48A3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r w:rsidRPr="00562D3C">
              <w:rPr>
                <w:rFonts w:eastAsia="Times New Roman" w:cs="Calibri"/>
                <w:sz w:val="20"/>
                <w:lang w:eastAsia="zh-CN"/>
              </w:rPr>
              <w:t> </w:t>
            </w:r>
          </w:p>
        </w:tc>
        <w:tc>
          <w:tcPr>
            <w:tcW w:w="1533" w:type="dxa"/>
            <w:tcBorders>
              <w:top w:val="nil"/>
              <w:left w:val="nil"/>
              <w:bottom w:val="nil"/>
              <w:right w:val="nil"/>
            </w:tcBorders>
            <w:shd w:val="clear" w:color="auto" w:fill="auto"/>
            <w:noWrap/>
            <w:vAlign w:val="center"/>
            <w:hideMark/>
          </w:tcPr>
          <w:p w14:paraId="1F573A0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p>
        </w:tc>
        <w:tc>
          <w:tcPr>
            <w:tcW w:w="1296" w:type="dxa"/>
            <w:tcBorders>
              <w:top w:val="nil"/>
              <w:left w:val="nil"/>
              <w:bottom w:val="nil"/>
              <w:right w:val="nil"/>
            </w:tcBorders>
            <w:shd w:val="clear" w:color="auto" w:fill="auto"/>
            <w:noWrap/>
            <w:vAlign w:val="center"/>
            <w:hideMark/>
          </w:tcPr>
          <w:p w14:paraId="705A9E9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296" w:type="dxa"/>
            <w:tcBorders>
              <w:top w:val="nil"/>
              <w:left w:val="nil"/>
              <w:bottom w:val="nil"/>
              <w:right w:val="nil"/>
            </w:tcBorders>
            <w:shd w:val="clear" w:color="auto" w:fill="auto"/>
            <w:noWrap/>
            <w:vAlign w:val="center"/>
            <w:hideMark/>
          </w:tcPr>
          <w:p w14:paraId="5F823A6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533" w:type="dxa"/>
            <w:tcBorders>
              <w:top w:val="nil"/>
              <w:left w:val="nil"/>
              <w:bottom w:val="nil"/>
              <w:right w:val="nil"/>
            </w:tcBorders>
            <w:shd w:val="clear" w:color="auto" w:fill="auto"/>
            <w:noWrap/>
            <w:vAlign w:val="center"/>
            <w:hideMark/>
          </w:tcPr>
          <w:p w14:paraId="22085D5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r>
      <w:tr w:rsidR="005C437E" w:rsidRPr="00562D3C" w14:paraId="28D6C096" w14:textId="77777777" w:rsidTr="002F7131">
        <w:trPr>
          <w:trHeight w:val="199"/>
        </w:trPr>
        <w:tc>
          <w:tcPr>
            <w:tcW w:w="1428" w:type="dxa"/>
            <w:tcBorders>
              <w:top w:val="nil"/>
              <w:left w:val="nil"/>
              <w:bottom w:val="nil"/>
              <w:right w:val="nil"/>
            </w:tcBorders>
            <w:shd w:val="clear" w:color="auto" w:fill="auto"/>
            <w:noWrap/>
            <w:vAlign w:val="center"/>
            <w:hideMark/>
          </w:tcPr>
          <w:p w14:paraId="67817D2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5670" w:type="dxa"/>
            <w:tcBorders>
              <w:top w:val="nil"/>
              <w:left w:val="nil"/>
              <w:bottom w:val="nil"/>
              <w:right w:val="nil"/>
            </w:tcBorders>
            <w:shd w:val="clear" w:color="auto" w:fill="auto"/>
            <w:noWrap/>
            <w:vAlign w:val="center"/>
            <w:hideMark/>
          </w:tcPr>
          <w:p w14:paraId="6DAA8E37"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18" w:type="dxa"/>
            <w:tcBorders>
              <w:top w:val="nil"/>
              <w:left w:val="single" w:sz="4" w:space="0" w:color="0070C0"/>
              <w:bottom w:val="nil"/>
              <w:right w:val="nil"/>
            </w:tcBorders>
            <w:shd w:val="clear" w:color="auto" w:fill="auto"/>
            <w:noWrap/>
            <w:vAlign w:val="center"/>
            <w:hideMark/>
          </w:tcPr>
          <w:p w14:paraId="431EC06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r w:rsidRPr="00562D3C">
              <w:rPr>
                <w:rFonts w:eastAsia="Times New Roman" w:cs="Calibri"/>
                <w:sz w:val="20"/>
                <w:lang w:eastAsia="zh-CN"/>
              </w:rPr>
              <w:t> </w:t>
            </w:r>
          </w:p>
        </w:tc>
        <w:tc>
          <w:tcPr>
            <w:tcW w:w="1533" w:type="dxa"/>
            <w:tcBorders>
              <w:top w:val="nil"/>
              <w:left w:val="nil"/>
              <w:bottom w:val="nil"/>
              <w:right w:val="nil"/>
            </w:tcBorders>
            <w:shd w:val="clear" w:color="auto" w:fill="auto"/>
            <w:noWrap/>
            <w:vAlign w:val="center"/>
            <w:hideMark/>
          </w:tcPr>
          <w:p w14:paraId="0DC802F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p>
        </w:tc>
        <w:tc>
          <w:tcPr>
            <w:tcW w:w="1296" w:type="dxa"/>
            <w:tcBorders>
              <w:top w:val="nil"/>
              <w:left w:val="nil"/>
              <w:bottom w:val="nil"/>
              <w:right w:val="nil"/>
            </w:tcBorders>
            <w:shd w:val="clear" w:color="auto" w:fill="auto"/>
            <w:noWrap/>
            <w:vAlign w:val="center"/>
            <w:hideMark/>
          </w:tcPr>
          <w:p w14:paraId="4D26858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296" w:type="dxa"/>
            <w:tcBorders>
              <w:top w:val="nil"/>
              <w:left w:val="nil"/>
              <w:bottom w:val="nil"/>
              <w:right w:val="nil"/>
            </w:tcBorders>
            <w:shd w:val="clear" w:color="auto" w:fill="auto"/>
            <w:noWrap/>
            <w:vAlign w:val="center"/>
            <w:hideMark/>
          </w:tcPr>
          <w:p w14:paraId="59DCCCE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533" w:type="dxa"/>
            <w:tcBorders>
              <w:top w:val="nil"/>
              <w:left w:val="nil"/>
              <w:bottom w:val="nil"/>
              <w:right w:val="nil"/>
            </w:tcBorders>
            <w:shd w:val="clear" w:color="auto" w:fill="auto"/>
            <w:noWrap/>
            <w:vAlign w:val="center"/>
            <w:hideMark/>
          </w:tcPr>
          <w:p w14:paraId="06ACA8D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r>
      <w:tr w:rsidR="005C437E" w:rsidRPr="00562D3C" w14:paraId="3CC683DD" w14:textId="77777777" w:rsidTr="002F7131">
        <w:trPr>
          <w:trHeight w:val="252"/>
        </w:trPr>
        <w:tc>
          <w:tcPr>
            <w:tcW w:w="1428" w:type="dxa"/>
            <w:tcBorders>
              <w:top w:val="nil"/>
              <w:left w:val="nil"/>
              <w:bottom w:val="nil"/>
              <w:right w:val="nil"/>
            </w:tcBorders>
            <w:shd w:val="clear" w:color="auto" w:fill="auto"/>
            <w:noWrap/>
            <w:vAlign w:val="bottom"/>
            <w:hideMark/>
          </w:tcPr>
          <w:p w14:paraId="51A70AF7"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562D3C">
              <w:rPr>
                <w:rFonts w:ascii="SimSun" w:hAnsi="SimSun" w:hint="eastAsia"/>
                <w:sz w:val="18"/>
                <w:szCs w:val="18"/>
              </w:rPr>
              <w:t>第</w:t>
            </w:r>
            <w:r w:rsidRPr="00562D3C">
              <w:rPr>
                <w:rFonts w:cs="Calibri"/>
                <w:sz w:val="18"/>
                <w:szCs w:val="18"/>
              </w:rPr>
              <w:t>5.1</w:t>
            </w:r>
            <w:r w:rsidRPr="00562D3C">
              <w:rPr>
                <w:rFonts w:ascii="SimSun" w:hAnsi="SimSun" w:hint="eastAsia"/>
                <w:sz w:val="18"/>
                <w:szCs w:val="18"/>
              </w:rPr>
              <w:t>项</w:t>
            </w:r>
          </w:p>
        </w:tc>
        <w:tc>
          <w:tcPr>
            <w:tcW w:w="5670" w:type="dxa"/>
            <w:tcBorders>
              <w:top w:val="nil"/>
              <w:left w:val="nil"/>
              <w:bottom w:val="nil"/>
              <w:right w:val="nil"/>
            </w:tcBorders>
            <w:shd w:val="clear" w:color="auto" w:fill="auto"/>
            <w:noWrap/>
            <w:vAlign w:val="bottom"/>
            <w:hideMark/>
          </w:tcPr>
          <w:p w14:paraId="105C82B8"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562D3C">
              <w:rPr>
                <w:rFonts w:ascii="SimSun" w:hAnsi="SimSun" w:hint="eastAsia"/>
                <w:sz w:val="18"/>
                <w:szCs w:val="18"/>
              </w:rPr>
              <w:t>无线电规则委员会</w:t>
            </w:r>
          </w:p>
        </w:tc>
        <w:tc>
          <w:tcPr>
            <w:tcW w:w="1418" w:type="dxa"/>
            <w:tcBorders>
              <w:top w:val="nil"/>
              <w:left w:val="single" w:sz="4" w:space="0" w:color="0070C0"/>
              <w:bottom w:val="nil"/>
              <w:right w:val="nil"/>
            </w:tcBorders>
            <w:shd w:val="clear" w:color="auto" w:fill="auto"/>
            <w:noWrap/>
            <w:vAlign w:val="center"/>
            <w:hideMark/>
          </w:tcPr>
          <w:p w14:paraId="480F904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720</w:t>
            </w:r>
          </w:p>
        </w:tc>
        <w:tc>
          <w:tcPr>
            <w:tcW w:w="1533" w:type="dxa"/>
            <w:tcBorders>
              <w:top w:val="nil"/>
              <w:left w:val="nil"/>
              <w:bottom w:val="nil"/>
              <w:right w:val="nil"/>
            </w:tcBorders>
            <w:shd w:val="clear" w:color="auto" w:fill="auto"/>
            <w:noWrap/>
            <w:vAlign w:val="center"/>
            <w:hideMark/>
          </w:tcPr>
          <w:p w14:paraId="181EDFE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962</w:t>
            </w:r>
          </w:p>
        </w:tc>
        <w:tc>
          <w:tcPr>
            <w:tcW w:w="1296" w:type="dxa"/>
            <w:tcBorders>
              <w:top w:val="nil"/>
              <w:left w:val="nil"/>
              <w:bottom w:val="nil"/>
              <w:right w:val="nil"/>
            </w:tcBorders>
            <w:shd w:val="clear" w:color="auto" w:fill="auto"/>
            <w:noWrap/>
            <w:vAlign w:val="center"/>
            <w:hideMark/>
          </w:tcPr>
          <w:p w14:paraId="7380F1F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452</w:t>
            </w:r>
          </w:p>
        </w:tc>
        <w:tc>
          <w:tcPr>
            <w:tcW w:w="1296" w:type="dxa"/>
            <w:tcBorders>
              <w:top w:val="nil"/>
              <w:left w:val="nil"/>
              <w:bottom w:val="nil"/>
              <w:right w:val="nil"/>
            </w:tcBorders>
            <w:shd w:val="clear" w:color="auto" w:fill="auto"/>
            <w:noWrap/>
            <w:vAlign w:val="center"/>
            <w:hideMark/>
          </w:tcPr>
          <w:p w14:paraId="34CF886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452</w:t>
            </w:r>
          </w:p>
        </w:tc>
        <w:tc>
          <w:tcPr>
            <w:tcW w:w="1533" w:type="dxa"/>
            <w:tcBorders>
              <w:top w:val="nil"/>
              <w:left w:val="nil"/>
              <w:bottom w:val="nil"/>
              <w:right w:val="nil"/>
            </w:tcBorders>
            <w:shd w:val="clear" w:color="auto" w:fill="auto"/>
            <w:noWrap/>
            <w:vAlign w:val="center"/>
            <w:hideMark/>
          </w:tcPr>
          <w:p w14:paraId="18B0415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904</w:t>
            </w:r>
          </w:p>
        </w:tc>
      </w:tr>
      <w:tr w:rsidR="005C437E" w:rsidRPr="00562D3C" w14:paraId="223EC3A4" w14:textId="77777777" w:rsidTr="002F7131">
        <w:trPr>
          <w:trHeight w:val="199"/>
        </w:trPr>
        <w:tc>
          <w:tcPr>
            <w:tcW w:w="1428" w:type="dxa"/>
            <w:tcBorders>
              <w:top w:val="nil"/>
              <w:left w:val="nil"/>
              <w:bottom w:val="nil"/>
              <w:right w:val="nil"/>
            </w:tcBorders>
            <w:shd w:val="clear" w:color="auto" w:fill="auto"/>
            <w:noWrap/>
            <w:vAlign w:val="center"/>
            <w:hideMark/>
          </w:tcPr>
          <w:p w14:paraId="26BD7B0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5670" w:type="dxa"/>
            <w:tcBorders>
              <w:top w:val="nil"/>
              <w:left w:val="nil"/>
              <w:bottom w:val="nil"/>
              <w:right w:val="nil"/>
            </w:tcBorders>
            <w:shd w:val="clear" w:color="auto" w:fill="auto"/>
            <w:noWrap/>
            <w:vAlign w:val="center"/>
            <w:hideMark/>
          </w:tcPr>
          <w:p w14:paraId="4E2632F5"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18" w:type="dxa"/>
            <w:tcBorders>
              <w:top w:val="nil"/>
              <w:left w:val="single" w:sz="4" w:space="0" w:color="0070C0"/>
              <w:bottom w:val="nil"/>
              <w:right w:val="nil"/>
            </w:tcBorders>
            <w:shd w:val="clear" w:color="auto" w:fill="auto"/>
            <w:noWrap/>
            <w:vAlign w:val="center"/>
            <w:hideMark/>
          </w:tcPr>
          <w:p w14:paraId="2A7DB24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 </w:t>
            </w:r>
          </w:p>
        </w:tc>
        <w:tc>
          <w:tcPr>
            <w:tcW w:w="1533" w:type="dxa"/>
            <w:tcBorders>
              <w:top w:val="nil"/>
              <w:left w:val="nil"/>
              <w:bottom w:val="nil"/>
              <w:right w:val="nil"/>
            </w:tcBorders>
            <w:shd w:val="clear" w:color="auto" w:fill="auto"/>
            <w:noWrap/>
            <w:vAlign w:val="center"/>
            <w:hideMark/>
          </w:tcPr>
          <w:p w14:paraId="332E10E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p>
        </w:tc>
        <w:tc>
          <w:tcPr>
            <w:tcW w:w="1296" w:type="dxa"/>
            <w:tcBorders>
              <w:top w:val="nil"/>
              <w:left w:val="nil"/>
              <w:bottom w:val="nil"/>
              <w:right w:val="nil"/>
            </w:tcBorders>
            <w:shd w:val="clear" w:color="auto" w:fill="auto"/>
            <w:noWrap/>
            <w:vAlign w:val="center"/>
            <w:hideMark/>
          </w:tcPr>
          <w:p w14:paraId="094A90F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6" w:type="dxa"/>
            <w:tcBorders>
              <w:top w:val="nil"/>
              <w:left w:val="nil"/>
              <w:bottom w:val="nil"/>
              <w:right w:val="nil"/>
            </w:tcBorders>
            <w:shd w:val="clear" w:color="auto" w:fill="auto"/>
            <w:noWrap/>
            <w:vAlign w:val="center"/>
            <w:hideMark/>
          </w:tcPr>
          <w:p w14:paraId="0CA6EAB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33" w:type="dxa"/>
            <w:tcBorders>
              <w:top w:val="nil"/>
              <w:left w:val="nil"/>
              <w:bottom w:val="nil"/>
              <w:right w:val="nil"/>
            </w:tcBorders>
            <w:shd w:val="clear" w:color="auto" w:fill="auto"/>
            <w:noWrap/>
            <w:vAlign w:val="center"/>
            <w:hideMark/>
          </w:tcPr>
          <w:p w14:paraId="7A86D8F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325BB387" w14:textId="77777777" w:rsidTr="002F7131">
        <w:trPr>
          <w:trHeight w:val="252"/>
        </w:trPr>
        <w:tc>
          <w:tcPr>
            <w:tcW w:w="1428" w:type="dxa"/>
            <w:tcBorders>
              <w:top w:val="nil"/>
              <w:left w:val="nil"/>
              <w:bottom w:val="nil"/>
              <w:right w:val="nil"/>
            </w:tcBorders>
            <w:shd w:val="clear" w:color="auto" w:fill="auto"/>
            <w:noWrap/>
            <w:vAlign w:val="bottom"/>
            <w:hideMark/>
          </w:tcPr>
          <w:p w14:paraId="5CE435BB"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562D3C">
              <w:rPr>
                <w:rFonts w:ascii="SimSun" w:hAnsi="SimSun" w:hint="eastAsia"/>
                <w:sz w:val="18"/>
                <w:szCs w:val="18"/>
              </w:rPr>
              <w:t>第</w:t>
            </w:r>
            <w:r w:rsidRPr="00562D3C">
              <w:rPr>
                <w:rFonts w:cs="Calibri"/>
                <w:sz w:val="18"/>
                <w:szCs w:val="18"/>
              </w:rPr>
              <w:t>5.2</w:t>
            </w:r>
            <w:r w:rsidRPr="00562D3C">
              <w:rPr>
                <w:rFonts w:ascii="SimSun" w:hAnsi="SimSun" w:hint="eastAsia"/>
                <w:sz w:val="18"/>
                <w:szCs w:val="18"/>
              </w:rPr>
              <w:t>项</w:t>
            </w:r>
          </w:p>
        </w:tc>
        <w:tc>
          <w:tcPr>
            <w:tcW w:w="5670" w:type="dxa"/>
            <w:tcBorders>
              <w:top w:val="nil"/>
              <w:left w:val="nil"/>
              <w:bottom w:val="nil"/>
              <w:right w:val="nil"/>
            </w:tcBorders>
            <w:shd w:val="clear" w:color="auto" w:fill="auto"/>
            <w:noWrap/>
            <w:vAlign w:val="bottom"/>
            <w:hideMark/>
          </w:tcPr>
          <w:p w14:paraId="39EE27E4"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562D3C">
              <w:rPr>
                <w:rFonts w:ascii="SimSun" w:hAnsi="SimSun" w:hint="eastAsia"/>
                <w:sz w:val="18"/>
                <w:szCs w:val="18"/>
              </w:rPr>
              <w:t>无线电通信顾问组</w:t>
            </w:r>
          </w:p>
        </w:tc>
        <w:tc>
          <w:tcPr>
            <w:tcW w:w="1418" w:type="dxa"/>
            <w:tcBorders>
              <w:top w:val="nil"/>
              <w:left w:val="single" w:sz="4" w:space="0" w:color="0070C0"/>
              <w:bottom w:val="nil"/>
              <w:right w:val="nil"/>
            </w:tcBorders>
            <w:shd w:val="clear" w:color="auto" w:fill="auto"/>
            <w:noWrap/>
            <w:vAlign w:val="center"/>
            <w:hideMark/>
          </w:tcPr>
          <w:p w14:paraId="007D315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67</w:t>
            </w:r>
          </w:p>
        </w:tc>
        <w:tc>
          <w:tcPr>
            <w:tcW w:w="1533" w:type="dxa"/>
            <w:tcBorders>
              <w:top w:val="nil"/>
              <w:left w:val="nil"/>
              <w:bottom w:val="nil"/>
              <w:right w:val="nil"/>
            </w:tcBorders>
            <w:shd w:val="clear" w:color="auto" w:fill="auto"/>
            <w:noWrap/>
            <w:vAlign w:val="center"/>
            <w:hideMark/>
          </w:tcPr>
          <w:p w14:paraId="5DD9C1F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106</w:t>
            </w:r>
          </w:p>
        </w:tc>
        <w:tc>
          <w:tcPr>
            <w:tcW w:w="1296" w:type="dxa"/>
            <w:tcBorders>
              <w:top w:val="nil"/>
              <w:left w:val="nil"/>
              <w:bottom w:val="nil"/>
              <w:right w:val="nil"/>
            </w:tcBorders>
            <w:shd w:val="clear" w:color="auto" w:fill="auto"/>
            <w:noWrap/>
            <w:vAlign w:val="center"/>
            <w:hideMark/>
          </w:tcPr>
          <w:p w14:paraId="05F252B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63</w:t>
            </w:r>
          </w:p>
        </w:tc>
        <w:tc>
          <w:tcPr>
            <w:tcW w:w="1296" w:type="dxa"/>
            <w:tcBorders>
              <w:top w:val="nil"/>
              <w:left w:val="nil"/>
              <w:bottom w:val="nil"/>
              <w:right w:val="nil"/>
            </w:tcBorders>
            <w:shd w:val="clear" w:color="auto" w:fill="auto"/>
            <w:noWrap/>
            <w:vAlign w:val="center"/>
            <w:hideMark/>
          </w:tcPr>
          <w:p w14:paraId="3C5CB1D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69</w:t>
            </w:r>
          </w:p>
        </w:tc>
        <w:tc>
          <w:tcPr>
            <w:tcW w:w="1533" w:type="dxa"/>
            <w:tcBorders>
              <w:top w:val="nil"/>
              <w:left w:val="nil"/>
              <w:bottom w:val="nil"/>
              <w:right w:val="nil"/>
            </w:tcBorders>
            <w:shd w:val="clear" w:color="auto" w:fill="auto"/>
            <w:noWrap/>
            <w:vAlign w:val="center"/>
            <w:hideMark/>
          </w:tcPr>
          <w:p w14:paraId="4B2054A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132</w:t>
            </w:r>
          </w:p>
        </w:tc>
      </w:tr>
      <w:tr w:rsidR="005C437E" w:rsidRPr="00562D3C" w14:paraId="4FFCFB43" w14:textId="77777777" w:rsidTr="002F7131">
        <w:trPr>
          <w:trHeight w:val="199"/>
        </w:trPr>
        <w:tc>
          <w:tcPr>
            <w:tcW w:w="1428" w:type="dxa"/>
            <w:tcBorders>
              <w:top w:val="nil"/>
              <w:left w:val="nil"/>
              <w:bottom w:val="nil"/>
              <w:right w:val="nil"/>
            </w:tcBorders>
            <w:shd w:val="clear" w:color="auto" w:fill="auto"/>
            <w:noWrap/>
            <w:vAlign w:val="center"/>
            <w:hideMark/>
          </w:tcPr>
          <w:p w14:paraId="0303125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5670" w:type="dxa"/>
            <w:tcBorders>
              <w:top w:val="nil"/>
              <w:left w:val="nil"/>
              <w:bottom w:val="nil"/>
              <w:right w:val="nil"/>
            </w:tcBorders>
            <w:shd w:val="clear" w:color="auto" w:fill="auto"/>
            <w:noWrap/>
            <w:vAlign w:val="center"/>
            <w:hideMark/>
          </w:tcPr>
          <w:p w14:paraId="27E46F33"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18" w:type="dxa"/>
            <w:tcBorders>
              <w:top w:val="nil"/>
              <w:left w:val="single" w:sz="4" w:space="0" w:color="0070C0"/>
              <w:bottom w:val="nil"/>
              <w:right w:val="nil"/>
            </w:tcBorders>
            <w:shd w:val="clear" w:color="auto" w:fill="auto"/>
            <w:noWrap/>
            <w:vAlign w:val="center"/>
            <w:hideMark/>
          </w:tcPr>
          <w:p w14:paraId="018AC33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533" w:type="dxa"/>
            <w:tcBorders>
              <w:top w:val="nil"/>
              <w:left w:val="nil"/>
              <w:bottom w:val="nil"/>
              <w:right w:val="nil"/>
            </w:tcBorders>
            <w:shd w:val="clear" w:color="auto" w:fill="auto"/>
            <w:noWrap/>
            <w:vAlign w:val="center"/>
            <w:hideMark/>
          </w:tcPr>
          <w:p w14:paraId="436FA44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96" w:type="dxa"/>
            <w:tcBorders>
              <w:top w:val="nil"/>
              <w:left w:val="nil"/>
              <w:bottom w:val="nil"/>
              <w:right w:val="nil"/>
            </w:tcBorders>
            <w:shd w:val="clear" w:color="auto" w:fill="auto"/>
            <w:noWrap/>
            <w:vAlign w:val="center"/>
            <w:hideMark/>
          </w:tcPr>
          <w:p w14:paraId="2CFDA0A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6" w:type="dxa"/>
            <w:tcBorders>
              <w:top w:val="nil"/>
              <w:left w:val="nil"/>
              <w:bottom w:val="nil"/>
              <w:right w:val="nil"/>
            </w:tcBorders>
            <w:shd w:val="clear" w:color="auto" w:fill="auto"/>
            <w:noWrap/>
            <w:vAlign w:val="center"/>
            <w:hideMark/>
          </w:tcPr>
          <w:p w14:paraId="1908940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33" w:type="dxa"/>
            <w:tcBorders>
              <w:top w:val="nil"/>
              <w:left w:val="nil"/>
              <w:bottom w:val="nil"/>
              <w:right w:val="nil"/>
            </w:tcBorders>
            <w:shd w:val="clear" w:color="auto" w:fill="auto"/>
            <w:noWrap/>
            <w:vAlign w:val="center"/>
            <w:hideMark/>
          </w:tcPr>
          <w:p w14:paraId="7923082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7F38C297" w14:textId="77777777" w:rsidTr="002F7131">
        <w:trPr>
          <w:trHeight w:val="252"/>
        </w:trPr>
        <w:tc>
          <w:tcPr>
            <w:tcW w:w="1428" w:type="dxa"/>
            <w:tcBorders>
              <w:top w:val="nil"/>
              <w:left w:val="nil"/>
              <w:bottom w:val="nil"/>
              <w:right w:val="nil"/>
            </w:tcBorders>
            <w:shd w:val="clear" w:color="auto" w:fill="auto"/>
            <w:noWrap/>
            <w:vAlign w:val="bottom"/>
            <w:hideMark/>
          </w:tcPr>
          <w:p w14:paraId="3740289C"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562D3C">
              <w:rPr>
                <w:rFonts w:ascii="SimSun" w:hAnsi="SimSun" w:hint="eastAsia"/>
                <w:sz w:val="18"/>
                <w:szCs w:val="18"/>
              </w:rPr>
              <w:t>第</w:t>
            </w:r>
            <w:r w:rsidRPr="00562D3C">
              <w:rPr>
                <w:rFonts w:cs="Calibri"/>
                <w:sz w:val="18"/>
                <w:szCs w:val="18"/>
              </w:rPr>
              <w:t>6</w:t>
            </w:r>
            <w:r w:rsidRPr="00562D3C">
              <w:rPr>
                <w:rFonts w:ascii="SimSun" w:hAnsi="SimSun" w:hint="eastAsia"/>
                <w:sz w:val="18"/>
                <w:szCs w:val="18"/>
              </w:rPr>
              <w:t>项</w:t>
            </w:r>
          </w:p>
        </w:tc>
        <w:tc>
          <w:tcPr>
            <w:tcW w:w="5670" w:type="dxa"/>
            <w:tcBorders>
              <w:top w:val="nil"/>
              <w:left w:val="nil"/>
              <w:bottom w:val="nil"/>
              <w:right w:val="nil"/>
            </w:tcBorders>
            <w:shd w:val="clear" w:color="auto" w:fill="auto"/>
            <w:noWrap/>
            <w:vAlign w:val="bottom"/>
            <w:hideMark/>
          </w:tcPr>
          <w:p w14:paraId="3362B866"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562D3C">
              <w:rPr>
                <w:rFonts w:ascii="SimSun" w:hAnsi="SimSun" w:hint="eastAsia"/>
                <w:sz w:val="18"/>
                <w:szCs w:val="18"/>
              </w:rPr>
              <w:t>研究组会议</w:t>
            </w:r>
          </w:p>
        </w:tc>
        <w:tc>
          <w:tcPr>
            <w:tcW w:w="1418" w:type="dxa"/>
            <w:tcBorders>
              <w:top w:val="nil"/>
              <w:left w:val="single" w:sz="4" w:space="0" w:color="0070C0"/>
              <w:bottom w:val="nil"/>
              <w:right w:val="nil"/>
            </w:tcBorders>
            <w:shd w:val="clear" w:color="auto" w:fill="auto"/>
            <w:noWrap/>
            <w:vAlign w:val="center"/>
            <w:hideMark/>
          </w:tcPr>
          <w:p w14:paraId="6D48DEB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1,052</w:t>
            </w:r>
          </w:p>
        </w:tc>
        <w:tc>
          <w:tcPr>
            <w:tcW w:w="1533" w:type="dxa"/>
            <w:tcBorders>
              <w:top w:val="nil"/>
              <w:left w:val="nil"/>
              <w:bottom w:val="nil"/>
              <w:right w:val="nil"/>
            </w:tcBorders>
            <w:shd w:val="clear" w:color="auto" w:fill="auto"/>
            <w:noWrap/>
            <w:vAlign w:val="center"/>
            <w:hideMark/>
          </w:tcPr>
          <w:p w14:paraId="1F95257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1,462</w:t>
            </w:r>
          </w:p>
        </w:tc>
        <w:tc>
          <w:tcPr>
            <w:tcW w:w="1296" w:type="dxa"/>
            <w:tcBorders>
              <w:top w:val="nil"/>
              <w:left w:val="nil"/>
              <w:bottom w:val="nil"/>
              <w:right w:val="nil"/>
            </w:tcBorders>
            <w:shd w:val="clear" w:color="auto" w:fill="auto"/>
            <w:noWrap/>
            <w:vAlign w:val="center"/>
            <w:hideMark/>
          </w:tcPr>
          <w:p w14:paraId="37CC14F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383</w:t>
            </w:r>
          </w:p>
        </w:tc>
        <w:tc>
          <w:tcPr>
            <w:tcW w:w="1296" w:type="dxa"/>
            <w:tcBorders>
              <w:top w:val="nil"/>
              <w:left w:val="nil"/>
              <w:bottom w:val="nil"/>
              <w:right w:val="nil"/>
            </w:tcBorders>
            <w:shd w:val="clear" w:color="auto" w:fill="auto"/>
            <w:noWrap/>
            <w:vAlign w:val="center"/>
            <w:hideMark/>
          </w:tcPr>
          <w:p w14:paraId="2B4BFD9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1,160</w:t>
            </w:r>
          </w:p>
        </w:tc>
        <w:tc>
          <w:tcPr>
            <w:tcW w:w="1533" w:type="dxa"/>
            <w:tcBorders>
              <w:top w:val="nil"/>
              <w:left w:val="nil"/>
              <w:bottom w:val="nil"/>
              <w:right w:val="nil"/>
            </w:tcBorders>
            <w:shd w:val="clear" w:color="auto" w:fill="auto"/>
            <w:noWrap/>
            <w:vAlign w:val="center"/>
            <w:hideMark/>
          </w:tcPr>
          <w:p w14:paraId="1D4BC7B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1,543</w:t>
            </w:r>
          </w:p>
        </w:tc>
      </w:tr>
      <w:tr w:rsidR="005C437E" w:rsidRPr="00562D3C" w14:paraId="61427CF0" w14:textId="77777777" w:rsidTr="002F7131">
        <w:trPr>
          <w:trHeight w:val="199"/>
        </w:trPr>
        <w:tc>
          <w:tcPr>
            <w:tcW w:w="1428" w:type="dxa"/>
            <w:tcBorders>
              <w:top w:val="nil"/>
              <w:left w:val="nil"/>
              <w:bottom w:val="nil"/>
              <w:right w:val="nil"/>
            </w:tcBorders>
            <w:shd w:val="clear" w:color="auto" w:fill="auto"/>
            <w:noWrap/>
            <w:vAlign w:val="center"/>
            <w:hideMark/>
          </w:tcPr>
          <w:p w14:paraId="3F8E0D4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5670" w:type="dxa"/>
            <w:tcBorders>
              <w:top w:val="nil"/>
              <w:left w:val="nil"/>
              <w:bottom w:val="nil"/>
              <w:right w:val="nil"/>
            </w:tcBorders>
            <w:shd w:val="clear" w:color="auto" w:fill="auto"/>
            <w:noWrap/>
            <w:vAlign w:val="center"/>
            <w:hideMark/>
          </w:tcPr>
          <w:p w14:paraId="479FF7F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18" w:type="dxa"/>
            <w:tcBorders>
              <w:top w:val="nil"/>
              <w:left w:val="single" w:sz="4" w:space="0" w:color="0070C0"/>
              <w:bottom w:val="nil"/>
              <w:right w:val="nil"/>
            </w:tcBorders>
            <w:shd w:val="clear" w:color="auto" w:fill="auto"/>
            <w:noWrap/>
            <w:vAlign w:val="center"/>
            <w:hideMark/>
          </w:tcPr>
          <w:p w14:paraId="5EF9A2A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533" w:type="dxa"/>
            <w:tcBorders>
              <w:top w:val="nil"/>
              <w:left w:val="nil"/>
              <w:bottom w:val="nil"/>
              <w:right w:val="nil"/>
            </w:tcBorders>
            <w:shd w:val="clear" w:color="auto" w:fill="auto"/>
            <w:noWrap/>
            <w:vAlign w:val="center"/>
            <w:hideMark/>
          </w:tcPr>
          <w:p w14:paraId="29E13F7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96" w:type="dxa"/>
            <w:tcBorders>
              <w:top w:val="nil"/>
              <w:left w:val="nil"/>
              <w:bottom w:val="nil"/>
              <w:right w:val="nil"/>
            </w:tcBorders>
            <w:shd w:val="clear" w:color="auto" w:fill="auto"/>
            <w:noWrap/>
            <w:vAlign w:val="center"/>
            <w:hideMark/>
          </w:tcPr>
          <w:p w14:paraId="414CF34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6" w:type="dxa"/>
            <w:tcBorders>
              <w:top w:val="nil"/>
              <w:left w:val="nil"/>
              <w:bottom w:val="nil"/>
              <w:right w:val="nil"/>
            </w:tcBorders>
            <w:shd w:val="clear" w:color="auto" w:fill="auto"/>
            <w:noWrap/>
            <w:vAlign w:val="center"/>
            <w:hideMark/>
          </w:tcPr>
          <w:p w14:paraId="401CC67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33" w:type="dxa"/>
            <w:tcBorders>
              <w:top w:val="nil"/>
              <w:left w:val="nil"/>
              <w:bottom w:val="nil"/>
              <w:right w:val="nil"/>
            </w:tcBorders>
            <w:shd w:val="clear" w:color="auto" w:fill="auto"/>
            <w:noWrap/>
            <w:vAlign w:val="center"/>
            <w:hideMark/>
          </w:tcPr>
          <w:p w14:paraId="2AF7033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10564253" w14:textId="77777777" w:rsidTr="002F7131">
        <w:trPr>
          <w:trHeight w:val="252"/>
        </w:trPr>
        <w:tc>
          <w:tcPr>
            <w:tcW w:w="1428" w:type="dxa"/>
            <w:tcBorders>
              <w:top w:val="nil"/>
              <w:left w:val="nil"/>
              <w:bottom w:val="nil"/>
              <w:right w:val="nil"/>
            </w:tcBorders>
            <w:shd w:val="clear" w:color="auto" w:fill="auto"/>
            <w:noWrap/>
            <w:vAlign w:val="bottom"/>
            <w:hideMark/>
          </w:tcPr>
          <w:p w14:paraId="4EBFF2FB"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562D3C">
              <w:rPr>
                <w:rFonts w:ascii="SimSun" w:hAnsi="SimSun" w:hint="eastAsia"/>
                <w:sz w:val="18"/>
                <w:szCs w:val="18"/>
              </w:rPr>
              <w:t>第</w:t>
            </w:r>
            <w:r w:rsidRPr="00562D3C">
              <w:rPr>
                <w:rFonts w:cs="Calibri"/>
                <w:sz w:val="18"/>
                <w:szCs w:val="18"/>
              </w:rPr>
              <w:t>7</w:t>
            </w:r>
            <w:r w:rsidRPr="00562D3C">
              <w:rPr>
                <w:rFonts w:ascii="SimSun" w:hAnsi="SimSun" w:hint="eastAsia"/>
                <w:sz w:val="18"/>
                <w:szCs w:val="18"/>
              </w:rPr>
              <w:t>项</w:t>
            </w:r>
          </w:p>
        </w:tc>
        <w:tc>
          <w:tcPr>
            <w:tcW w:w="5670" w:type="dxa"/>
            <w:tcBorders>
              <w:top w:val="nil"/>
              <w:left w:val="nil"/>
              <w:bottom w:val="nil"/>
              <w:right w:val="nil"/>
            </w:tcBorders>
            <w:shd w:val="clear" w:color="auto" w:fill="auto"/>
            <w:noWrap/>
            <w:vAlign w:val="bottom"/>
            <w:hideMark/>
          </w:tcPr>
          <w:p w14:paraId="34D96153"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562D3C">
              <w:rPr>
                <w:rFonts w:ascii="SimSun" w:hAnsi="SimSun" w:hint="eastAsia"/>
                <w:sz w:val="18"/>
                <w:szCs w:val="18"/>
              </w:rPr>
              <w:t>活动和项目</w:t>
            </w:r>
          </w:p>
        </w:tc>
        <w:tc>
          <w:tcPr>
            <w:tcW w:w="1418" w:type="dxa"/>
            <w:tcBorders>
              <w:top w:val="nil"/>
              <w:left w:val="single" w:sz="4" w:space="0" w:color="0070C0"/>
              <w:bottom w:val="nil"/>
              <w:right w:val="nil"/>
            </w:tcBorders>
            <w:shd w:val="clear" w:color="auto" w:fill="auto"/>
            <w:noWrap/>
            <w:vAlign w:val="center"/>
            <w:hideMark/>
          </w:tcPr>
          <w:p w14:paraId="1277745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486</w:t>
            </w:r>
          </w:p>
        </w:tc>
        <w:tc>
          <w:tcPr>
            <w:tcW w:w="1533" w:type="dxa"/>
            <w:tcBorders>
              <w:top w:val="nil"/>
              <w:left w:val="nil"/>
              <w:bottom w:val="nil"/>
              <w:right w:val="nil"/>
            </w:tcBorders>
            <w:shd w:val="clear" w:color="auto" w:fill="auto"/>
            <w:noWrap/>
            <w:vAlign w:val="center"/>
            <w:hideMark/>
          </w:tcPr>
          <w:p w14:paraId="0BB6D02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1,295</w:t>
            </w:r>
          </w:p>
        </w:tc>
        <w:tc>
          <w:tcPr>
            <w:tcW w:w="1296" w:type="dxa"/>
            <w:tcBorders>
              <w:top w:val="nil"/>
              <w:left w:val="nil"/>
              <w:bottom w:val="nil"/>
              <w:right w:val="nil"/>
            </w:tcBorders>
            <w:shd w:val="clear" w:color="auto" w:fill="auto"/>
            <w:noWrap/>
            <w:vAlign w:val="center"/>
            <w:hideMark/>
          </w:tcPr>
          <w:p w14:paraId="7F5C118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350</w:t>
            </w:r>
          </w:p>
        </w:tc>
        <w:tc>
          <w:tcPr>
            <w:tcW w:w="1296" w:type="dxa"/>
            <w:tcBorders>
              <w:top w:val="nil"/>
              <w:left w:val="nil"/>
              <w:bottom w:val="nil"/>
              <w:right w:val="nil"/>
            </w:tcBorders>
            <w:shd w:val="clear" w:color="auto" w:fill="auto"/>
            <w:noWrap/>
            <w:vAlign w:val="center"/>
            <w:hideMark/>
          </w:tcPr>
          <w:p w14:paraId="0A194C1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350</w:t>
            </w:r>
          </w:p>
        </w:tc>
        <w:tc>
          <w:tcPr>
            <w:tcW w:w="1533" w:type="dxa"/>
            <w:tcBorders>
              <w:top w:val="nil"/>
              <w:left w:val="nil"/>
              <w:bottom w:val="nil"/>
              <w:right w:val="nil"/>
            </w:tcBorders>
            <w:shd w:val="clear" w:color="auto" w:fill="auto"/>
            <w:noWrap/>
            <w:vAlign w:val="center"/>
            <w:hideMark/>
          </w:tcPr>
          <w:p w14:paraId="07883B4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700</w:t>
            </w:r>
          </w:p>
        </w:tc>
      </w:tr>
      <w:tr w:rsidR="005C437E" w:rsidRPr="00562D3C" w14:paraId="247FA316" w14:textId="77777777" w:rsidTr="002F7131">
        <w:trPr>
          <w:trHeight w:val="199"/>
        </w:trPr>
        <w:tc>
          <w:tcPr>
            <w:tcW w:w="1428" w:type="dxa"/>
            <w:tcBorders>
              <w:top w:val="nil"/>
              <w:left w:val="nil"/>
              <w:bottom w:val="nil"/>
              <w:right w:val="nil"/>
            </w:tcBorders>
            <w:shd w:val="clear" w:color="auto" w:fill="auto"/>
            <w:noWrap/>
            <w:vAlign w:val="center"/>
            <w:hideMark/>
          </w:tcPr>
          <w:p w14:paraId="583B1A7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5670" w:type="dxa"/>
            <w:tcBorders>
              <w:top w:val="nil"/>
              <w:left w:val="nil"/>
              <w:bottom w:val="nil"/>
              <w:right w:val="nil"/>
            </w:tcBorders>
            <w:shd w:val="clear" w:color="auto" w:fill="auto"/>
            <w:noWrap/>
            <w:vAlign w:val="center"/>
            <w:hideMark/>
          </w:tcPr>
          <w:p w14:paraId="6E73C097"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18" w:type="dxa"/>
            <w:tcBorders>
              <w:top w:val="nil"/>
              <w:left w:val="single" w:sz="4" w:space="0" w:color="0070C0"/>
              <w:bottom w:val="nil"/>
              <w:right w:val="nil"/>
            </w:tcBorders>
            <w:shd w:val="clear" w:color="auto" w:fill="auto"/>
            <w:noWrap/>
            <w:vAlign w:val="center"/>
            <w:hideMark/>
          </w:tcPr>
          <w:p w14:paraId="69B04DE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533" w:type="dxa"/>
            <w:tcBorders>
              <w:top w:val="nil"/>
              <w:left w:val="nil"/>
              <w:bottom w:val="nil"/>
              <w:right w:val="nil"/>
            </w:tcBorders>
            <w:shd w:val="clear" w:color="auto" w:fill="auto"/>
            <w:noWrap/>
            <w:vAlign w:val="center"/>
            <w:hideMark/>
          </w:tcPr>
          <w:p w14:paraId="2BA86F4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96" w:type="dxa"/>
            <w:tcBorders>
              <w:top w:val="nil"/>
              <w:left w:val="nil"/>
              <w:bottom w:val="nil"/>
              <w:right w:val="nil"/>
            </w:tcBorders>
            <w:shd w:val="clear" w:color="auto" w:fill="auto"/>
            <w:noWrap/>
            <w:vAlign w:val="center"/>
            <w:hideMark/>
          </w:tcPr>
          <w:p w14:paraId="77C2D08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6" w:type="dxa"/>
            <w:tcBorders>
              <w:top w:val="nil"/>
              <w:left w:val="nil"/>
              <w:bottom w:val="nil"/>
              <w:right w:val="nil"/>
            </w:tcBorders>
            <w:shd w:val="clear" w:color="auto" w:fill="auto"/>
            <w:noWrap/>
            <w:vAlign w:val="center"/>
            <w:hideMark/>
          </w:tcPr>
          <w:p w14:paraId="07C60EE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33" w:type="dxa"/>
            <w:tcBorders>
              <w:top w:val="nil"/>
              <w:left w:val="nil"/>
              <w:bottom w:val="nil"/>
              <w:right w:val="nil"/>
            </w:tcBorders>
            <w:shd w:val="clear" w:color="auto" w:fill="auto"/>
            <w:noWrap/>
            <w:vAlign w:val="center"/>
            <w:hideMark/>
          </w:tcPr>
          <w:p w14:paraId="543586C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241D2FB7" w14:textId="77777777" w:rsidTr="002F7131">
        <w:trPr>
          <w:trHeight w:val="252"/>
        </w:trPr>
        <w:tc>
          <w:tcPr>
            <w:tcW w:w="1428" w:type="dxa"/>
            <w:tcBorders>
              <w:top w:val="nil"/>
              <w:left w:val="nil"/>
              <w:bottom w:val="nil"/>
              <w:right w:val="nil"/>
            </w:tcBorders>
            <w:shd w:val="clear" w:color="auto" w:fill="auto"/>
            <w:noWrap/>
            <w:vAlign w:val="bottom"/>
            <w:hideMark/>
          </w:tcPr>
          <w:p w14:paraId="4FA037F7"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562D3C">
              <w:rPr>
                <w:rFonts w:ascii="SimSun" w:hAnsi="SimSun" w:hint="eastAsia"/>
                <w:sz w:val="18"/>
                <w:szCs w:val="18"/>
              </w:rPr>
              <w:t>第</w:t>
            </w:r>
            <w:r w:rsidRPr="00562D3C">
              <w:rPr>
                <w:rFonts w:cs="Calibri"/>
                <w:sz w:val="18"/>
                <w:szCs w:val="18"/>
              </w:rPr>
              <w:t>8</w:t>
            </w:r>
            <w:r w:rsidRPr="00562D3C">
              <w:rPr>
                <w:rFonts w:ascii="SimSun" w:hAnsi="SimSun" w:hint="eastAsia"/>
                <w:sz w:val="18"/>
                <w:szCs w:val="18"/>
              </w:rPr>
              <w:t>项</w:t>
            </w:r>
          </w:p>
        </w:tc>
        <w:tc>
          <w:tcPr>
            <w:tcW w:w="5670" w:type="dxa"/>
            <w:tcBorders>
              <w:top w:val="nil"/>
              <w:left w:val="nil"/>
              <w:bottom w:val="nil"/>
              <w:right w:val="nil"/>
            </w:tcBorders>
            <w:shd w:val="clear" w:color="auto" w:fill="auto"/>
            <w:noWrap/>
            <w:vAlign w:val="bottom"/>
            <w:hideMark/>
          </w:tcPr>
          <w:p w14:paraId="508FE8A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562D3C">
              <w:rPr>
                <w:rFonts w:ascii="SimSun" w:hAnsi="SimSun" w:hint="eastAsia"/>
                <w:sz w:val="18"/>
                <w:szCs w:val="18"/>
              </w:rPr>
              <w:t>研讨会和讲习班</w:t>
            </w:r>
          </w:p>
        </w:tc>
        <w:tc>
          <w:tcPr>
            <w:tcW w:w="1418" w:type="dxa"/>
            <w:tcBorders>
              <w:top w:val="nil"/>
              <w:left w:val="single" w:sz="4" w:space="0" w:color="0070C0"/>
              <w:bottom w:val="nil"/>
              <w:right w:val="nil"/>
            </w:tcBorders>
            <w:shd w:val="clear" w:color="auto" w:fill="auto"/>
            <w:noWrap/>
            <w:vAlign w:val="center"/>
            <w:hideMark/>
          </w:tcPr>
          <w:p w14:paraId="3BDE2EE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161</w:t>
            </w:r>
          </w:p>
        </w:tc>
        <w:tc>
          <w:tcPr>
            <w:tcW w:w="1533" w:type="dxa"/>
            <w:tcBorders>
              <w:top w:val="nil"/>
              <w:left w:val="nil"/>
              <w:bottom w:val="nil"/>
              <w:right w:val="nil"/>
            </w:tcBorders>
            <w:shd w:val="clear" w:color="auto" w:fill="auto"/>
            <w:noWrap/>
            <w:vAlign w:val="center"/>
            <w:hideMark/>
          </w:tcPr>
          <w:p w14:paraId="55BA500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780</w:t>
            </w:r>
          </w:p>
        </w:tc>
        <w:tc>
          <w:tcPr>
            <w:tcW w:w="1296" w:type="dxa"/>
            <w:tcBorders>
              <w:top w:val="nil"/>
              <w:left w:val="nil"/>
              <w:bottom w:val="nil"/>
              <w:right w:val="nil"/>
            </w:tcBorders>
            <w:shd w:val="clear" w:color="auto" w:fill="auto"/>
            <w:noWrap/>
            <w:vAlign w:val="center"/>
            <w:hideMark/>
          </w:tcPr>
          <w:p w14:paraId="679BE20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388</w:t>
            </w:r>
          </w:p>
        </w:tc>
        <w:tc>
          <w:tcPr>
            <w:tcW w:w="1296" w:type="dxa"/>
            <w:tcBorders>
              <w:top w:val="nil"/>
              <w:left w:val="nil"/>
              <w:bottom w:val="nil"/>
              <w:right w:val="nil"/>
            </w:tcBorders>
            <w:shd w:val="clear" w:color="auto" w:fill="auto"/>
            <w:noWrap/>
            <w:vAlign w:val="center"/>
            <w:hideMark/>
          </w:tcPr>
          <w:p w14:paraId="623BBC3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388</w:t>
            </w:r>
          </w:p>
        </w:tc>
        <w:tc>
          <w:tcPr>
            <w:tcW w:w="1533" w:type="dxa"/>
            <w:tcBorders>
              <w:top w:val="nil"/>
              <w:left w:val="nil"/>
              <w:bottom w:val="nil"/>
              <w:right w:val="nil"/>
            </w:tcBorders>
            <w:shd w:val="clear" w:color="auto" w:fill="auto"/>
            <w:noWrap/>
            <w:vAlign w:val="center"/>
            <w:hideMark/>
          </w:tcPr>
          <w:p w14:paraId="28B0DD0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776</w:t>
            </w:r>
          </w:p>
        </w:tc>
      </w:tr>
      <w:tr w:rsidR="005C437E" w:rsidRPr="00562D3C" w14:paraId="543C1B6E" w14:textId="77777777" w:rsidTr="002F7131">
        <w:trPr>
          <w:trHeight w:val="199"/>
        </w:trPr>
        <w:tc>
          <w:tcPr>
            <w:tcW w:w="1428" w:type="dxa"/>
            <w:tcBorders>
              <w:top w:val="nil"/>
              <w:left w:val="nil"/>
              <w:bottom w:val="nil"/>
              <w:right w:val="nil"/>
            </w:tcBorders>
            <w:shd w:val="clear" w:color="auto" w:fill="auto"/>
            <w:noWrap/>
            <w:vAlign w:val="center"/>
            <w:hideMark/>
          </w:tcPr>
          <w:p w14:paraId="0EBC39D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5670" w:type="dxa"/>
            <w:tcBorders>
              <w:top w:val="nil"/>
              <w:left w:val="nil"/>
              <w:bottom w:val="nil"/>
              <w:right w:val="nil"/>
            </w:tcBorders>
            <w:shd w:val="clear" w:color="auto" w:fill="auto"/>
            <w:noWrap/>
            <w:vAlign w:val="center"/>
            <w:hideMark/>
          </w:tcPr>
          <w:p w14:paraId="660426C7"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18" w:type="dxa"/>
            <w:tcBorders>
              <w:top w:val="nil"/>
              <w:left w:val="single" w:sz="4" w:space="0" w:color="0070C0"/>
              <w:bottom w:val="nil"/>
              <w:right w:val="nil"/>
            </w:tcBorders>
            <w:shd w:val="clear" w:color="auto" w:fill="auto"/>
            <w:noWrap/>
            <w:vAlign w:val="center"/>
            <w:hideMark/>
          </w:tcPr>
          <w:p w14:paraId="48507E2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533" w:type="dxa"/>
            <w:tcBorders>
              <w:top w:val="nil"/>
              <w:left w:val="nil"/>
              <w:bottom w:val="nil"/>
              <w:right w:val="nil"/>
            </w:tcBorders>
            <w:shd w:val="clear" w:color="auto" w:fill="auto"/>
            <w:noWrap/>
            <w:vAlign w:val="center"/>
            <w:hideMark/>
          </w:tcPr>
          <w:p w14:paraId="5305750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96" w:type="dxa"/>
            <w:tcBorders>
              <w:top w:val="nil"/>
              <w:left w:val="nil"/>
              <w:bottom w:val="nil"/>
              <w:right w:val="nil"/>
            </w:tcBorders>
            <w:shd w:val="clear" w:color="auto" w:fill="auto"/>
            <w:noWrap/>
            <w:vAlign w:val="center"/>
            <w:hideMark/>
          </w:tcPr>
          <w:p w14:paraId="1367E1A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6" w:type="dxa"/>
            <w:tcBorders>
              <w:top w:val="nil"/>
              <w:left w:val="nil"/>
              <w:bottom w:val="nil"/>
              <w:right w:val="nil"/>
            </w:tcBorders>
            <w:shd w:val="clear" w:color="auto" w:fill="auto"/>
            <w:noWrap/>
            <w:vAlign w:val="center"/>
            <w:hideMark/>
          </w:tcPr>
          <w:p w14:paraId="1349193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33" w:type="dxa"/>
            <w:tcBorders>
              <w:top w:val="nil"/>
              <w:left w:val="nil"/>
              <w:bottom w:val="nil"/>
              <w:right w:val="nil"/>
            </w:tcBorders>
            <w:shd w:val="clear" w:color="auto" w:fill="auto"/>
            <w:noWrap/>
            <w:vAlign w:val="center"/>
            <w:hideMark/>
          </w:tcPr>
          <w:p w14:paraId="7659206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7CE63320" w14:textId="77777777" w:rsidTr="002F7131">
        <w:trPr>
          <w:trHeight w:val="252"/>
        </w:trPr>
        <w:tc>
          <w:tcPr>
            <w:tcW w:w="1428" w:type="dxa"/>
            <w:tcBorders>
              <w:top w:val="nil"/>
              <w:left w:val="nil"/>
              <w:bottom w:val="nil"/>
              <w:right w:val="nil"/>
            </w:tcBorders>
            <w:shd w:val="clear" w:color="auto" w:fill="auto"/>
            <w:noWrap/>
            <w:vAlign w:val="bottom"/>
            <w:hideMark/>
          </w:tcPr>
          <w:p w14:paraId="20F51DE9"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562D3C">
              <w:rPr>
                <w:rFonts w:ascii="SimSun" w:hAnsi="SimSun" w:hint="eastAsia"/>
                <w:sz w:val="18"/>
                <w:szCs w:val="18"/>
              </w:rPr>
              <w:t>第</w:t>
            </w:r>
            <w:r w:rsidRPr="00562D3C">
              <w:rPr>
                <w:rFonts w:cs="Calibri"/>
                <w:sz w:val="18"/>
                <w:szCs w:val="18"/>
              </w:rPr>
              <w:t>9</w:t>
            </w:r>
            <w:r w:rsidRPr="00562D3C">
              <w:rPr>
                <w:rFonts w:ascii="SimSun" w:hAnsi="SimSun" w:hint="eastAsia"/>
                <w:sz w:val="18"/>
                <w:szCs w:val="18"/>
              </w:rPr>
              <w:t>项</w:t>
            </w:r>
          </w:p>
        </w:tc>
        <w:tc>
          <w:tcPr>
            <w:tcW w:w="5670" w:type="dxa"/>
            <w:tcBorders>
              <w:top w:val="nil"/>
              <w:left w:val="nil"/>
              <w:bottom w:val="nil"/>
              <w:right w:val="nil"/>
            </w:tcBorders>
            <w:shd w:val="clear" w:color="auto" w:fill="auto"/>
            <w:noWrap/>
            <w:vAlign w:val="bottom"/>
            <w:hideMark/>
          </w:tcPr>
          <w:p w14:paraId="76892A0A"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562D3C">
              <w:rPr>
                <w:rFonts w:ascii="SimSun" w:hAnsi="SimSun" w:hint="eastAsia"/>
                <w:sz w:val="18"/>
                <w:szCs w:val="18"/>
              </w:rPr>
              <w:t>无线电通信局</w:t>
            </w:r>
          </w:p>
        </w:tc>
        <w:tc>
          <w:tcPr>
            <w:tcW w:w="1418" w:type="dxa"/>
            <w:tcBorders>
              <w:top w:val="nil"/>
              <w:left w:val="single" w:sz="4" w:space="0" w:color="0070C0"/>
              <w:bottom w:val="nil"/>
              <w:right w:val="nil"/>
            </w:tcBorders>
            <w:shd w:val="clear" w:color="auto" w:fill="auto"/>
            <w:noWrap/>
            <w:vAlign w:val="center"/>
            <w:hideMark/>
          </w:tcPr>
          <w:p w14:paraId="071EBCE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48,758</w:t>
            </w:r>
          </w:p>
        </w:tc>
        <w:tc>
          <w:tcPr>
            <w:tcW w:w="1533" w:type="dxa"/>
            <w:tcBorders>
              <w:top w:val="nil"/>
              <w:left w:val="nil"/>
              <w:bottom w:val="nil"/>
              <w:right w:val="nil"/>
            </w:tcBorders>
            <w:shd w:val="clear" w:color="auto" w:fill="auto"/>
            <w:noWrap/>
            <w:vAlign w:val="center"/>
            <w:hideMark/>
          </w:tcPr>
          <w:p w14:paraId="4141490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54,922</w:t>
            </w:r>
          </w:p>
        </w:tc>
        <w:tc>
          <w:tcPr>
            <w:tcW w:w="1296" w:type="dxa"/>
            <w:tcBorders>
              <w:top w:val="nil"/>
              <w:left w:val="nil"/>
              <w:bottom w:val="nil"/>
              <w:right w:val="nil"/>
            </w:tcBorders>
            <w:shd w:val="clear" w:color="auto" w:fill="auto"/>
            <w:noWrap/>
            <w:vAlign w:val="center"/>
            <w:hideMark/>
          </w:tcPr>
          <w:p w14:paraId="009B4EF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27,247</w:t>
            </w:r>
          </w:p>
        </w:tc>
        <w:tc>
          <w:tcPr>
            <w:tcW w:w="1296" w:type="dxa"/>
            <w:tcBorders>
              <w:top w:val="nil"/>
              <w:left w:val="nil"/>
              <w:bottom w:val="nil"/>
              <w:right w:val="nil"/>
            </w:tcBorders>
            <w:shd w:val="clear" w:color="auto" w:fill="auto"/>
            <w:noWrap/>
            <w:vAlign w:val="center"/>
            <w:hideMark/>
          </w:tcPr>
          <w:p w14:paraId="6131F14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27,185</w:t>
            </w:r>
          </w:p>
        </w:tc>
        <w:tc>
          <w:tcPr>
            <w:tcW w:w="1533" w:type="dxa"/>
            <w:tcBorders>
              <w:top w:val="nil"/>
              <w:left w:val="nil"/>
              <w:bottom w:val="nil"/>
              <w:right w:val="nil"/>
            </w:tcBorders>
            <w:shd w:val="clear" w:color="auto" w:fill="auto"/>
            <w:noWrap/>
            <w:vAlign w:val="center"/>
            <w:hideMark/>
          </w:tcPr>
          <w:p w14:paraId="5402724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54,432</w:t>
            </w:r>
          </w:p>
        </w:tc>
      </w:tr>
      <w:tr w:rsidR="005C437E" w:rsidRPr="00562D3C" w14:paraId="2CEB727E" w14:textId="77777777" w:rsidTr="002F7131">
        <w:trPr>
          <w:trHeight w:val="252"/>
        </w:trPr>
        <w:tc>
          <w:tcPr>
            <w:tcW w:w="1428" w:type="dxa"/>
            <w:tcBorders>
              <w:top w:val="nil"/>
              <w:left w:val="nil"/>
              <w:bottom w:val="nil"/>
              <w:right w:val="nil"/>
            </w:tcBorders>
            <w:shd w:val="clear" w:color="auto" w:fill="auto"/>
            <w:noWrap/>
            <w:vAlign w:val="center"/>
            <w:hideMark/>
          </w:tcPr>
          <w:p w14:paraId="26445B1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5670" w:type="dxa"/>
            <w:tcBorders>
              <w:top w:val="nil"/>
              <w:left w:val="nil"/>
              <w:bottom w:val="nil"/>
              <w:right w:val="nil"/>
            </w:tcBorders>
            <w:shd w:val="clear" w:color="auto" w:fill="auto"/>
            <w:noWrap/>
            <w:vAlign w:val="center"/>
            <w:hideMark/>
          </w:tcPr>
          <w:p w14:paraId="2766928A"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i/>
                <w:iCs/>
                <w:sz w:val="20"/>
              </w:rPr>
            </w:pPr>
            <w:r>
              <w:rPr>
                <w:rFonts w:eastAsia="Times New Roman" w:cs="Calibri"/>
                <w:i/>
                <w:iCs/>
                <w:sz w:val="20"/>
              </w:rPr>
              <w:t>-</w:t>
            </w:r>
            <w:r w:rsidRPr="00562D3C">
              <w:rPr>
                <w:rFonts w:eastAsia="Times New Roman" w:cs="Calibri"/>
                <w:i/>
                <w:iCs/>
                <w:sz w:val="20"/>
              </w:rPr>
              <w:t xml:space="preserve"> </w:t>
            </w:r>
            <w:r w:rsidRPr="00562D3C">
              <w:rPr>
                <w:rFonts w:ascii="STKaiti" w:eastAsia="STKaiti" w:hAnsi="STKaiti" w:cs="Calibri" w:hint="eastAsia"/>
                <w:sz w:val="20"/>
              </w:rPr>
              <w:t>共同支出</w:t>
            </w:r>
          </w:p>
        </w:tc>
        <w:tc>
          <w:tcPr>
            <w:tcW w:w="1418" w:type="dxa"/>
            <w:tcBorders>
              <w:top w:val="nil"/>
              <w:left w:val="single" w:sz="4" w:space="0" w:color="0070C0"/>
              <w:bottom w:val="nil"/>
              <w:right w:val="nil"/>
            </w:tcBorders>
            <w:shd w:val="clear" w:color="auto" w:fill="auto"/>
            <w:noWrap/>
            <w:vAlign w:val="center"/>
            <w:hideMark/>
          </w:tcPr>
          <w:p w14:paraId="2510792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562D3C">
              <w:rPr>
                <w:rFonts w:eastAsia="Times New Roman" w:cs="Calibri"/>
                <w:i/>
                <w:iCs/>
                <w:sz w:val="20"/>
              </w:rPr>
              <w:t>1,361</w:t>
            </w:r>
          </w:p>
        </w:tc>
        <w:tc>
          <w:tcPr>
            <w:tcW w:w="1533" w:type="dxa"/>
            <w:tcBorders>
              <w:top w:val="nil"/>
              <w:left w:val="nil"/>
              <w:bottom w:val="nil"/>
              <w:right w:val="nil"/>
            </w:tcBorders>
            <w:shd w:val="clear" w:color="auto" w:fill="auto"/>
            <w:noWrap/>
            <w:vAlign w:val="center"/>
            <w:hideMark/>
          </w:tcPr>
          <w:p w14:paraId="040559F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562D3C">
              <w:rPr>
                <w:rFonts w:eastAsia="Times New Roman" w:cs="Calibri"/>
                <w:i/>
                <w:iCs/>
                <w:sz w:val="20"/>
              </w:rPr>
              <w:t>2,874</w:t>
            </w:r>
          </w:p>
        </w:tc>
        <w:tc>
          <w:tcPr>
            <w:tcW w:w="1296" w:type="dxa"/>
            <w:tcBorders>
              <w:top w:val="nil"/>
              <w:left w:val="nil"/>
              <w:bottom w:val="nil"/>
              <w:right w:val="nil"/>
            </w:tcBorders>
            <w:shd w:val="clear" w:color="auto" w:fill="auto"/>
            <w:noWrap/>
            <w:vAlign w:val="center"/>
            <w:hideMark/>
          </w:tcPr>
          <w:p w14:paraId="5C58149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562D3C">
              <w:rPr>
                <w:rFonts w:eastAsia="Times New Roman" w:cs="Calibri"/>
                <w:i/>
                <w:iCs/>
                <w:sz w:val="20"/>
              </w:rPr>
              <w:t>1,244</w:t>
            </w:r>
          </w:p>
        </w:tc>
        <w:tc>
          <w:tcPr>
            <w:tcW w:w="1296" w:type="dxa"/>
            <w:tcBorders>
              <w:top w:val="nil"/>
              <w:left w:val="nil"/>
              <w:bottom w:val="nil"/>
              <w:right w:val="nil"/>
            </w:tcBorders>
            <w:shd w:val="clear" w:color="auto" w:fill="auto"/>
            <w:noWrap/>
            <w:vAlign w:val="center"/>
            <w:hideMark/>
          </w:tcPr>
          <w:p w14:paraId="3A19EA5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562D3C">
              <w:rPr>
                <w:rFonts w:eastAsia="Times New Roman" w:cs="Calibri"/>
                <w:i/>
                <w:iCs/>
                <w:sz w:val="20"/>
              </w:rPr>
              <w:t>1,244</w:t>
            </w:r>
          </w:p>
        </w:tc>
        <w:tc>
          <w:tcPr>
            <w:tcW w:w="1533" w:type="dxa"/>
            <w:tcBorders>
              <w:top w:val="nil"/>
              <w:left w:val="nil"/>
              <w:bottom w:val="nil"/>
              <w:right w:val="nil"/>
            </w:tcBorders>
            <w:shd w:val="clear" w:color="auto" w:fill="auto"/>
            <w:noWrap/>
            <w:vAlign w:val="center"/>
            <w:hideMark/>
          </w:tcPr>
          <w:p w14:paraId="0F4032D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562D3C">
              <w:rPr>
                <w:rFonts w:eastAsia="Times New Roman" w:cs="Calibri"/>
                <w:i/>
                <w:iCs/>
                <w:sz w:val="20"/>
              </w:rPr>
              <w:t>2,488</w:t>
            </w:r>
          </w:p>
        </w:tc>
      </w:tr>
      <w:tr w:rsidR="005C437E" w:rsidRPr="00562D3C" w14:paraId="726BF838" w14:textId="77777777" w:rsidTr="002F7131">
        <w:trPr>
          <w:trHeight w:val="252"/>
        </w:trPr>
        <w:tc>
          <w:tcPr>
            <w:tcW w:w="1428" w:type="dxa"/>
            <w:tcBorders>
              <w:top w:val="nil"/>
              <w:left w:val="nil"/>
              <w:bottom w:val="nil"/>
              <w:right w:val="nil"/>
            </w:tcBorders>
            <w:shd w:val="clear" w:color="auto" w:fill="auto"/>
            <w:noWrap/>
            <w:vAlign w:val="center"/>
            <w:hideMark/>
          </w:tcPr>
          <w:p w14:paraId="5F94266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p>
        </w:tc>
        <w:tc>
          <w:tcPr>
            <w:tcW w:w="5670" w:type="dxa"/>
            <w:tcBorders>
              <w:top w:val="nil"/>
              <w:left w:val="nil"/>
              <w:bottom w:val="nil"/>
              <w:right w:val="nil"/>
            </w:tcBorders>
            <w:shd w:val="clear" w:color="auto" w:fill="auto"/>
            <w:noWrap/>
            <w:vAlign w:val="center"/>
            <w:hideMark/>
          </w:tcPr>
          <w:p w14:paraId="51936849"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20"/>
              </w:rPr>
            </w:pPr>
            <w:r>
              <w:rPr>
                <w:rFonts w:ascii="STKaiti" w:eastAsia="STKaiti" w:hAnsi="STKaiti"/>
                <w:sz w:val="20"/>
              </w:rPr>
              <w:t>-</w:t>
            </w:r>
            <w:r w:rsidRPr="00562D3C">
              <w:rPr>
                <w:rFonts w:ascii="STKaiti" w:eastAsia="STKaiti" w:hAnsi="STKaiti" w:hint="eastAsia"/>
                <w:sz w:val="20"/>
              </w:rPr>
              <w:t xml:space="preserve"> 主任办公室</w:t>
            </w:r>
          </w:p>
        </w:tc>
        <w:tc>
          <w:tcPr>
            <w:tcW w:w="1418" w:type="dxa"/>
            <w:tcBorders>
              <w:top w:val="nil"/>
              <w:left w:val="single" w:sz="4" w:space="0" w:color="0070C0"/>
              <w:bottom w:val="nil"/>
              <w:right w:val="nil"/>
            </w:tcBorders>
            <w:shd w:val="clear" w:color="auto" w:fill="auto"/>
            <w:noWrap/>
            <w:vAlign w:val="center"/>
            <w:hideMark/>
          </w:tcPr>
          <w:p w14:paraId="1F148AF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562D3C">
              <w:rPr>
                <w:rFonts w:eastAsia="Times New Roman" w:cs="Calibri"/>
                <w:i/>
                <w:iCs/>
                <w:sz w:val="20"/>
              </w:rPr>
              <w:t>1,658</w:t>
            </w:r>
          </w:p>
        </w:tc>
        <w:tc>
          <w:tcPr>
            <w:tcW w:w="1533" w:type="dxa"/>
            <w:tcBorders>
              <w:top w:val="nil"/>
              <w:left w:val="nil"/>
              <w:bottom w:val="nil"/>
              <w:right w:val="nil"/>
            </w:tcBorders>
            <w:shd w:val="clear" w:color="auto" w:fill="auto"/>
            <w:noWrap/>
            <w:vAlign w:val="center"/>
            <w:hideMark/>
          </w:tcPr>
          <w:p w14:paraId="722311E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562D3C">
              <w:rPr>
                <w:rFonts w:eastAsia="Times New Roman" w:cs="Calibri"/>
                <w:i/>
                <w:iCs/>
                <w:sz w:val="20"/>
              </w:rPr>
              <w:t>1,612</w:t>
            </w:r>
          </w:p>
        </w:tc>
        <w:tc>
          <w:tcPr>
            <w:tcW w:w="1296" w:type="dxa"/>
            <w:tcBorders>
              <w:top w:val="nil"/>
              <w:left w:val="nil"/>
              <w:bottom w:val="nil"/>
              <w:right w:val="nil"/>
            </w:tcBorders>
            <w:shd w:val="clear" w:color="auto" w:fill="auto"/>
            <w:noWrap/>
            <w:vAlign w:val="center"/>
            <w:hideMark/>
          </w:tcPr>
          <w:p w14:paraId="46726FE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562D3C">
              <w:rPr>
                <w:rFonts w:eastAsia="Times New Roman" w:cs="Calibri"/>
                <w:i/>
                <w:iCs/>
                <w:sz w:val="20"/>
              </w:rPr>
              <w:t>1,018</w:t>
            </w:r>
          </w:p>
        </w:tc>
        <w:tc>
          <w:tcPr>
            <w:tcW w:w="1296" w:type="dxa"/>
            <w:tcBorders>
              <w:top w:val="nil"/>
              <w:left w:val="nil"/>
              <w:bottom w:val="nil"/>
              <w:right w:val="nil"/>
            </w:tcBorders>
            <w:shd w:val="clear" w:color="auto" w:fill="auto"/>
            <w:noWrap/>
            <w:vAlign w:val="center"/>
            <w:hideMark/>
          </w:tcPr>
          <w:p w14:paraId="2F3CF37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562D3C">
              <w:rPr>
                <w:rFonts w:eastAsia="Times New Roman" w:cs="Calibri"/>
                <w:i/>
                <w:iCs/>
                <w:sz w:val="20"/>
              </w:rPr>
              <w:t>1,018</w:t>
            </w:r>
          </w:p>
        </w:tc>
        <w:tc>
          <w:tcPr>
            <w:tcW w:w="1533" w:type="dxa"/>
            <w:tcBorders>
              <w:top w:val="nil"/>
              <w:left w:val="nil"/>
              <w:bottom w:val="nil"/>
              <w:right w:val="nil"/>
            </w:tcBorders>
            <w:shd w:val="clear" w:color="auto" w:fill="auto"/>
            <w:noWrap/>
            <w:vAlign w:val="center"/>
            <w:hideMark/>
          </w:tcPr>
          <w:p w14:paraId="5055460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562D3C">
              <w:rPr>
                <w:rFonts w:eastAsia="Times New Roman" w:cs="Calibri"/>
                <w:i/>
                <w:iCs/>
                <w:sz w:val="20"/>
              </w:rPr>
              <w:t>2,036</w:t>
            </w:r>
          </w:p>
        </w:tc>
      </w:tr>
      <w:tr w:rsidR="005C437E" w:rsidRPr="00562D3C" w14:paraId="25E7D5E3" w14:textId="77777777" w:rsidTr="002F7131">
        <w:trPr>
          <w:trHeight w:val="252"/>
        </w:trPr>
        <w:tc>
          <w:tcPr>
            <w:tcW w:w="1428" w:type="dxa"/>
            <w:tcBorders>
              <w:top w:val="nil"/>
              <w:left w:val="nil"/>
              <w:bottom w:val="nil"/>
              <w:right w:val="nil"/>
            </w:tcBorders>
            <w:shd w:val="clear" w:color="auto" w:fill="auto"/>
            <w:noWrap/>
            <w:vAlign w:val="center"/>
            <w:hideMark/>
          </w:tcPr>
          <w:p w14:paraId="331E645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p>
        </w:tc>
        <w:tc>
          <w:tcPr>
            <w:tcW w:w="5670" w:type="dxa"/>
            <w:tcBorders>
              <w:top w:val="nil"/>
              <w:left w:val="nil"/>
              <w:bottom w:val="nil"/>
              <w:right w:val="nil"/>
            </w:tcBorders>
            <w:shd w:val="clear" w:color="auto" w:fill="auto"/>
            <w:noWrap/>
            <w:vAlign w:val="center"/>
            <w:hideMark/>
          </w:tcPr>
          <w:p w14:paraId="2FFC624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20"/>
              </w:rPr>
            </w:pPr>
            <w:r>
              <w:rPr>
                <w:rFonts w:ascii="STKaiti" w:eastAsia="STKaiti" w:hAnsi="STKaiti"/>
                <w:sz w:val="20"/>
              </w:rPr>
              <w:t>-</w:t>
            </w:r>
            <w:r w:rsidRPr="00562D3C">
              <w:rPr>
                <w:rFonts w:ascii="STKaiti" w:eastAsia="STKaiti" w:hAnsi="STKaiti" w:hint="eastAsia"/>
                <w:sz w:val="20"/>
              </w:rPr>
              <w:t xml:space="preserve"> 各部</w:t>
            </w:r>
          </w:p>
        </w:tc>
        <w:tc>
          <w:tcPr>
            <w:tcW w:w="1418" w:type="dxa"/>
            <w:tcBorders>
              <w:top w:val="nil"/>
              <w:left w:val="single" w:sz="4" w:space="0" w:color="0070C0"/>
              <w:bottom w:val="nil"/>
              <w:right w:val="nil"/>
            </w:tcBorders>
            <w:shd w:val="clear" w:color="auto" w:fill="auto"/>
            <w:noWrap/>
            <w:vAlign w:val="center"/>
            <w:hideMark/>
          </w:tcPr>
          <w:p w14:paraId="0054181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562D3C">
              <w:rPr>
                <w:rFonts w:eastAsia="Times New Roman" w:cs="Calibri"/>
                <w:i/>
                <w:iCs/>
                <w:sz w:val="20"/>
              </w:rPr>
              <w:t>45,739</w:t>
            </w:r>
          </w:p>
        </w:tc>
        <w:tc>
          <w:tcPr>
            <w:tcW w:w="1533" w:type="dxa"/>
            <w:tcBorders>
              <w:top w:val="nil"/>
              <w:left w:val="nil"/>
              <w:bottom w:val="nil"/>
              <w:right w:val="nil"/>
            </w:tcBorders>
            <w:shd w:val="clear" w:color="auto" w:fill="auto"/>
            <w:noWrap/>
            <w:vAlign w:val="center"/>
            <w:hideMark/>
          </w:tcPr>
          <w:p w14:paraId="352DD8D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562D3C">
              <w:rPr>
                <w:rFonts w:eastAsia="Times New Roman" w:cs="Calibri"/>
                <w:i/>
                <w:iCs/>
                <w:sz w:val="20"/>
              </w:rPr>
              <w:t>50,436</w:t>
            </w:r>
          </w:p>
        </w:tc>
        <w:tc>
          <w:tcPr>
            <w:tcW w:w="1296" w:type="dxa"/>
            <w:tcBorders>
              <w:top w:val="nil"/>
              <w:left w:val="nil"/>
              <w:bottom w:val="nil"/>
              <w:right w:val="nil"/>
            </w:tcBorders>
            <w:shd w:val="clear" w:color="auto" w:fill="auto"/>
            <w:noWrap/>
            <w:vAlign w:val="center"/>
            <w:hideMark/>
          </w:tcPr>
          <w:p w14:paraId="3AE494D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562D3C">
              <w:rPr>
                <w:rFonts w:eastAsia="Times New Roman" w:cs="Calibri"/>
                <w:i/>
                <w:iCs/>
                <w:sz w:val="20"/>
              </w:rPr>
              <w:t>24,985</w:t>
            </w:r>
          </w:p>
        </w:tc>
        <w:tc>
          <w:tcPr>
            <w:tcW w:w="1296" w:type="dxa"/>
            <w:tcBorders>
              <w:top w:val="nil"/>
              <w:left w:val="nil"/>
              <w:bottom w:val="nil"/>
              <w:right w:val="nil"/>
            </w:tcBorders>
            <w:shd w:val="clear" w:color="auto" w:fill="auto"/>
            <w:noWrap/>
            <w:vAlign w:val="center"/>
            <w:hideMark/>
          </w:tcPr>
          <w:p w14:paraId="6E2DB63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562D3C">
              <w:rPr>
                <w:rFonts w:eastAsia="Times New Roman" w:cs="Calibri"/>
                <w:i/>
                <w:iCs/>
                <w:sz w:val="20"/>
              </w:rPr>
              <w:t>24,923</w:t>
            </w:r>
          </w:p>
        </w:tc>
        <w:tc>
          <w:tcPr>
            <w:tcW w:w="1533" w:type="dxa"/>
            <w:tcBorders>
              <w:top w:val="nil"/>
              <w:left w:val="nil"/>
              <w:bottom w:val="nil"/>
              <w:right w:val="nil"/>
            </w:tcBorders>
            <w:shd w:val="clear" w:color="auto" w:fill="auto"/>
            <w:noWrap/>
            <w:vAlign w:val="center"/>
            <w:hideMark/>
          </w:tcPr>
          <w:p w14:paraId="6AB4673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562D3C">
              <w:rPr>
                <w:rFonts w:eastAsia="Times New Roman" w:cs="Calibri"/>
                <w:i/>
                <w:iCs/>
                <w:sz w:val="20"/>
              </w:rPr>
              <w:t>49,908</w:t>
            </w:r>
          </w:p>
        </w:tc>
      </w:tr>
      <w:tr w:rsidR="005C437E" w:rsidRPr="00562D3C" w14:paraId="3720751B" w14:textId="77777777" w:rsidTr="002F7131">
        <w:trPr>
          <w:trHeight w:val="199"/>
        </w:trPr>
        <w:tc>
          <w:tcPr>
            <w:tcW w:w="1428" w:type="dxa"/>
            <w:tcBorders>
              <w:top w:val="nil"/>
              <w:left w:val="nil"/>
              <w:bottom w:val="single" w:sz="4" w:space="0" w:color="auto"/>
              <w:right w:val="nil"/>
            </w:tcBorders>
            <w:shd w:val="clear" w:color="auto" w:fill="auto"/>
            <w:noWrap/>
            <w:vAlign w:val="center"/>
            <w:hideMark/>
          </w:tcPr>
          <w:p w14:paraId="4A052E7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562D3C">
              <w:rPr>
                <w:rFonts w:eastAsia="Times New Roman" w:cs="Calibri"/>
                <w:sz w:val="20"/>
              </w:rPr>
              <w:t> </w:t>
            </w:r>
          </w:p>
        </w:tc>
        <w:tc>
          <w:tcPr>
            <w:tcW w:w="5670" w:type="dxa"/>
            <w:tcBorders>
              <w:top w:val="nil"/>
              <w:left w:val="nil"/>
              <w:bottom w:val="single" w:sz="4" w:space="0" w:color="auto"/>
              <w:right w:val="nil"/>
            </w:tcBorders>
            <w:shd w:val="clear" w:color="auto" w:fill="auto"/>
            <w:noWrap/>
            <w:vAlign w:val="center"/>
            <w:hideMark/>
          </w:tcPr>
          <w:p w14:paraId="43D3A21B"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562D3C">
              <w:rPr>
                <w:rFonts w:eastAsia="Times New Roman" w:cs="Calibri"/>
                <w:sz w:val="20"/>
              </w:rPr>
              <w:t> </w:t>
            </w:r>
          </w:p>
        </w:tc>
        <w:tc>
          <w:tcPr>
            <w:tcW w:w="1418" w:type="dxa"/>
            <w:tcBorders>
              <w:top w:val="nil"/>
              <w:left w:val="single" w:sz="4" w:space="0" w:color="0070C0"/>
              <w:bottom w:val="single" w:sz="4" w:space="0" w:color="auto"/>
              <w:right w:val="nil"/>
            </w:tcBorders>
            <w:shd w:val="clear" w:color="auto" w:fill="auto"/>
            <w:noWrap/>
            <w:vAlign w:val="center"/>
            <w:hideMark/>
          </w:tcPr>
          <w:p w14:paraId="28FEC5B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533" w:type="dxa"/>
            <w:tcBorders>
              <w:top w:val="nil"/>
              <w:left w:val="nil"/>
              <w:bottom w:val="single" w:sz="4" w:space="0" w:color="auto"/>
              <w:right w:val="nil"/>
            </w:tcBorders>
            <w:shd w:val="clear" w:color="auto" w:fill="auto"/>
            <w:noWrap/>
            <w:vAlign w:val="center"/>
            <w:hideMark/>
          </w:tcPr>
          <w:p w14:paraId="50F3EA8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296" w:type="dxa"/>
            <w:tcBorders>
              <w:top w:val="nil"/>
              <w:left w:val="nil"/>
              <w:bottom w:val="single" w:sz="4" w:space="0" w:color="auto"/>
              <w:right w:val="nil"/>
            </w:tcBorders>
            <w:shd w:val="clear" w:color="auto" w:fill="auto"/>
            <w:noWrap/>
            <w:vAlign w:val="center"/>
            <w:hideMark/>
          </w:tcPr>
          <w:p w14:paraId="3878155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296" w:type="dxa"/>
            <w:tcBorders>
              <w:top w:val="nil"/>
              <w:left w:val="nil"/>
              <w:bottom w:val="single" w:sz="4" w:space="0" w:color="auto"/>
              <w:right w:val="nil"/>
            </w:tcBorders>
            <w:shd w:val="clear" w:color="auto" w:fill="auto"/>
            <w:noWrap/>
            <w:vAlign w:val="center"/>
            <w:hideMark/>
          </w:tcPr>
          <w:p w14:paraId="71D80A4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533" w:type="dxa"/>
            <w:tcBorders>
              <w:top w:val="nil"/>
              <w:left w:val="nil"/>
              <w:bottom w:val="single" w:sz="4" w:space="0" w:color="auto"/>
              <w:right w:val="nil"/>
            </w:tcBorders>
            <w:shd w:val="clear" w:color="auto" w:fill="auto"/>
            <w:noWrap/>
            <w:vAlign w:val="center"/>
            <w:hideMark/>
          </w:tcPr>
          <w:p w14:paraId="080EB41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r>
      <w:tr w:rsidR="005C437E" w:rsidRPr="00562D3C" w14:paraId="0DB2E2D8" w14:textId="77777777" w:rsidTr="002F7131">
        <w:trPr>
          <w:trHeight w:val="90"/>
        </w:trPr>
        <w:tc>
          <w:tcPr>
            <w:tcW w:w="1428" w:type="dxa"/>
            <w:tcBorders>
              <w:top w:val="nil"/>
              <w:left w:val="nil"/>
              <w:bottom w:val="nil"/>
              <w:right w:val="nil"/>
            </w:tcBorders>
            <w:shd w:val="clear" w:color="auto" w:fill="auto"/>
            <w:noWrap/>
            <w:vAlign w:val="center"/>
            <w:hideMark/>
          </w:tcPr>
          <w:p w14:paraId="73396BF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5670" w:type="dxa"/>
            <w:tcBorders>
              <w:top w:val="nil"/>
              <w:left w:val="nil"/>
              <w:bottom w:val="nil"/>
              <w:right w:val="nil"/>
            </w:tcBorders>
            <w:shd w:val="clear" w:color="auto" w:fill="auto"/>
            <w:noWrap/>
            <w:vAlign w:val="center"/>
            <w:hideMark/>
          </w:tcPr>
          <w:p w14:paraId="7CEFD6CA"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18" w:type="dxa"/>
            <w:tcBorders>
              <w:top w:val="nil"/>
              <w:left w:val="single" w:sz="4" w:space="0" w:color="0070C0"/>
              <w:bottom w:val="nil"/>
              <w:right w:val="nil"/>
            </w:tcBorders>
            <w:shd w:val="clear" w:color="auto" w:fill="auto"/>
            <w:noWrap/>
            <w:vAlign w:val="center"/>
            <w:hideMark/>
          </w:tcPr>
          <w:p w14:paraId="1810118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 </w:t>
            </w:r>
          </w:p>
        </w:tc>
        <w:tc>
          <w:tcPr>
            <w:tcW w:w="1533" w:type="dxa"/>
            <w:tcBorders>
              <w:top w:val="nil"/>
              <w:left w:val="nil"/>
              <w:bottom w:val="nil"/>
              <w:right w:val="nil"/>
            </w:tcBorders>
            <w:shd w:val="clear" w:color="auto" w:fill="auto"/>
            <w:noWrap/>
            <w:vAlign w:val="center"/>
            <w:hideMark/>
          </w:tcPr>
          <w:p w14:paraId="3B7D0B2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p>
        </w:tc>
        <w:tc>
          <w:tcPr>
            <w:tcW w:w="1296" w:type="dxa"/>
            <w:tcBorders>
              <w:top w:val="nil"/>
              <w:left w:val="nil"/>
              <w:bottom w:val="nil"/>
              <w:right w:val="nil"/>
            </w:tcBorders>
            <w:shd w:val="clear" w:color="auto" w:fill="auto"/>
            <w:noWrap/>
            <w:vAlign w:val="center"/>
            <w:hideMark/>
          </w:tcPr>
          <w:p w14:paraId="4722EB2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6" w:type="dxa"/>
            <w:tcBorders>
              <w:top w:val="nil"/>
              <w:left w:val="nil"/>
              <w:bottom w:val="nil"/>
              <w:right w:val="nil"/>
            </w:tcBorders>
            <w:shd w:val="clear" w:color="auto" w:fill="auto"/>
            <w:noWrap/>
            <w:vAlign w:val="center"/>
            <w:hideMark/>
          </w:tcPr>
          <w:p w14:paraId="21A52D2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33" w:type="dxa"/>
            <w:tcBorders>
              <w:top w:val="nil"/>
              <w:left w:val="nil"/>
              <w:bottom w:val="nil"/>
              <w:right w:val="nil"/>
            </w:tcBorders>
            <w:shd w:val="clear" w:color="auto" w:fill="auto"/>
            <w:noWrap/>
            <w:vAlign w:val="center"/>
            <w:hideMark/>
          </w:tcPr>
          <w:p w14:paraId="58C160F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1825E227" w14:textId="77777777" w:rsidTr="002F7131">
        <w:trPr>
          <w:trHeight w:val="252"/>
        </w:trPr>
        <w:tc>
          <w:tcPr>
            <w:tcW w:w="1428" w:type="dxa"/>
            <w:tcBorders>
              <w:top w:val="nil"/>
              <w:left w:val="nil"/>
              <w:bottom w:val="nil"/>
              <w:right w:val="nil"/>
            </w:tcBorders>
            <w:shd w:val="clear" w:color="auto" w:fill="auto"/>
            <w:noWrap/>
            <w:vAlign w:val="center"/>
            <w:hideMark/>
          </w:tcPr>
          <w:p w14:paraId="22B52188"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b/>
                <w:bCs/>
                <w:sz w:val="20"/>
              </w:rPr>
            </w:pPr>
            <w:r w:rsidRPr="00562D3C">
              <w:rPr>
                <w:rFonts w:ascii="SimSun" w:hAnsi="SimSun" w:hint="eastAsia"/>
                <w:b/>
                <w:bCs/>
                <w:sz w:val="20"/>
              </w:rPr>
              <w:t>合计</w:t>
            </w:r>
          </w:p>
        </w:tc>
        <w:tc>
          <w:tcPr>
            <w:tcW w:w="5670" w:type="dxa"/>
            <w:tcBorders>
              <w:top w:val="nil"/>
              <w:left w:val="nil"/>
              <w:bottom w:val="nil"/>
              <w:right w:val="nil"/>
            </w:tcBorders>
            <w:shd w:val="clear" w:color="auto" w:fill="auto"/>
            <w:noWrap/>
            <w:vAlign w:val="center"/>
            <w:hideMark/>
          </w:tcPr>
          <w:p w14:paraId="19D42691"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b/>
                <w:bCs/>
                <w:sz w:val="20"/>
              </w:rPr>
            </w:pPr>
          </w:p>
        </w:tc>
        <w:tc>
          <w:tcPr>
            <w:tcW w:w="1418" w:type="dxa"/>
            <w:tcBorders>
              <w:top w:val="nil"/>
              <w:left w:val="single" w:sz="4" w:space="0" w:color="0070C0"/>
              <w:bottom w:val="nil"/>
              <w:right w:val="nil"/>
            </w:tcBorders>
            <w:shd w:val="clear" w:color="auto" w:fill="auto"/>
            <w:noWrap/>
            <w:vAlign w:val="center"/>
            <w:hideMark/>
          </w:tcPr>
          <w:p w14:paraId="7AD8391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53,092</w:t>
            </w:r>
          </w:p>
        </w:tc>
        <w:tc>
          <w:tcPr>
            <w:tcW w:w="1533" w:type="dxa"/>
            <w:tcBorders>
              <w:top w:val="nil"/>
              <w:left w:val="nil"/>
              <w:bottom w:val="nil"/>
              <w:right w:val="nil"/>
            </w:tcBorders>
            <w:shd w:val="clear" w:color="auto" w:fill="auto"/>
            <w:noWrap/>
            <w:vAlign w:val="center"/>
            <w:hideMark/>
          </w:tcPr>
          <w:p w14:paraId="54129B2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59,527</w:t>
            </w:r>
          </w:p>
        </w:tc>
        <w:tc>
          <w:tcPr>
            <w:tcW w:w="1296" w:type="dxa"/>
            <w:tcBorders>
              <w:top w:val="nil"/>
              <w:left w:val="nil"/>
              <w:bottom w:val="nil"/>
              <w:right w:val="nil"/>
            </w:tcBorders>
            <w:shd w:val="clear" w:color="auto" w:fill="auto"/>
            <w:noWrap/>
            <w:vAlign w:val="center"/>
            <w:hideMark/>
          </w:tcPr>
          <w:p w14:paraId="68D69D0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28,883</w:t>
            </w:r>
          </w:p>
        </w:tc>
        <w:tc>
          <w:tcPr>
            <w:tcW w:w="1296" w:type="dxa"/>
            <w:tcBorders>
              <w:top w:val="nil"/>
              <w:left w:val="nil"/>
              <w:bottom w:val="nil"/>
              <w:right w:val="nil"/>
            </w:tcBorders>
            <w:shd w:val="clear" w:color="auto" w:fill="auto"/>
            <w:noWrap/>
            <w:vAlign w:val="center"/>
            <w:hideMark/>
          </w:tcPr>
          <w:p w14:paraId="0C53E7E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32,455</w:t>
            </w:r>
          </w:p>
        </w:tc>
        <w:tc>
          <w:tcPr>
            <w:tcW w:w="1533" w:type="dxa"/>
            <w:tcBorders>
              <w:top w:val="nil"/>
              <w:left w:val="nil"/>
              <w:bottom w:val="nil"/>
              <w:right w:val="nil"/>
            </w:tcBorders>
            <w:shd w:val="clear" w:color="auto" w:fill="auto"/>
            <w:noWrap/>
            <w:vAlign w:val="center"/>
            <w:hideMark/>
          </w:tcPr>
          <w:p w14:paraId="09F5074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61,338</w:t>
            </w:r>
          </w:p>
        </w:tc>
      </w:tr>
    </w:tbl>
    <w:p w14:paraId="32A3EB31" w14:textId="274C9204" w:rsidR="005C437E" w:rsidRDefault="005C437E" w:rsidP="0090191E">
      <w:pPr>
        <w:pStyle w:val="Normalaftertitle"/>
        <w:rPr>
          <w:lang w:eastAsia="zh-CN"/>
        </w:rPr>
      </w:pPr>
      <w:r>
        <w:rPr>
          <w:lang w:eastAsia="zh-CN"/>
        </w:rPr>
        <w:br w:type="page"/>
      </w:r>
    </w:p>
    <w:tbl>
      <w:tblPr>
        <w:tblW w:w="14252" w:type="dxa"/>
        <w:tblLook w:val="04A0" w:firstRow="1" w:lastRow="0" w:firstColumn="1" w:lastColumn="0" w:noHBand="0" w:noVBand="1"/>
      </w:tblPr>
      <w:tblGrid>
        <w:gridCol w:w="2757"/>
        <w:gridCol w:w="1019"/>
        <w:gridCol w:w="1019"/>
        <w:gridCol w:w="1144"/>
        <w:gridCol w:w="1144"/>
        <w:gridCol w:w="1144"/>
        <w:gridCol w:w="1144"/>
        <w:gridCol w:w="1340"/>
        <w:gridCol w:w="1144"/>
        <w:gridCol w:w="1144"/>
        <w:gridCol w:w="1253"/>
      </w:tblGrid>
      <w:tr w:rsidR="005C437E" w:rsidRPr="00562D3C" w14:paraId="3638A1D8" w14:textId="77777777" w:rsidTr="002F7131">
        <w:trPr>
          <w:trHeight w:val="465"/>
        </w:trPr>
        <w:tc>
          <w:tcPr>
            <w:tcW w:w="2757" w:type="dxa"/>
            <w:tcBorders>
              <w:top w:val="nil"/>
              <w:left w:val="nil"/>
              <w:bottom w:val="nil"/>
              <w:right w:val="nil"/>
            </w:tcBorders>
            <w:shd w:val="clear" w:color="auto" w:fill="auto"/>
            <w:noWrap/>
            <w:vAlign w:val="center"/>
            <w:hideMark/>
          </w:tcPr>
          <w:p w14:paraId="336E12CC"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lastRenderedPageBreak/>
              <w:br w:type="page"/>
            </w:r>
            <w:r w:rsidRPr="00562D3C">
              <w:rPr>
                <w:rFonts w:ascii="SimSun" w:hAnsi="SimSun" w:cs="Calibri" w:hint="eastAsia"/>
                <w:b/>
                <w:bCs/>
                <w:color w:val="002060"/>
                <w:sz w:val="40"/>
                <w:szCs w:val="40"/>
              </w:rPr>
              <w:t>表</w:t>
            </w:r>
            <w:r w:rsidRPr="00562D3C">
              <w:rPr>
                <w:rFonts w:eastAsia="Times New Roman" w:cs="Calibri"/>
                <w:b/>
                <w:bCs/>
                <w:color w:val="002060"/>
                <w:sz w:val="40"/>
                <w:szCs w:val="40"/>
              </w:rPr>
              <w:t>6</w:t>
            </w:r>
          </w:p>
        </w:tc>
        <w:tc>
          <w:tcPr>
            <w:tcW w:w="1019" w:type="dxa"/>
            <w:tcBorders>
              <w:top w:val="nil"/>
              <w:left w:val="nil"/>
              <w:bottom w:val="nil"/>
              <w:right w:val="nil"/>
            </w:tcBorders>
            <w:shd w:val="clear" w:color="auto" w:fill="auto"/>
            <w:noWrap/>
            <w:vAlign w:val="center"/>
            <w:hideMark/>
          </w:tcPr>
          <w:p w14:paraId="20D3E1B8"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1019" w:type="dxa"/>
            <w:tcBorders>
              <w:top w:val="nil"/>
              <w:left w:val="nil"/>
              <w:bottom w:val="nil"/>
              <w:right w:val="nil"/>
            </w:tcBorders>
            <w:shd w:val="clear" w:color="auto" w:fill="auto"/>
            <w:noWrap/>
            <w:vAlign w:val="center"/>
            <w:hideMark/>
          </w:tcPr>
          <w:p w14:paraId="7B871FDD"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center"/>
            <w:hideMark/>
          </w:tcPr>
          <w:p w14:paraId="09DE6131"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center"/>
            <w:hideMark/>
          </w:tcPr>
          <w:p w14:paraId="33434AAD"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center"/>
            <w:hideMark/>
          </w:tcPr>
          <w:p w14:paraId="37949954"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center"/>
            <w:hideMark/>
          </w:tcPr>
          <w:p w14:paraId="5ACAF41F"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40" w:type="dxa"/>
            <w:tcBorders>
              <w:top w:val="nil"/>
              <w:left w:val="nil"/>
              <w:bottom w:val="nil"/>
              <w:right w:val="nil"/>
            </w:tcBorders>
            <w:shd w:val="clear" w:color="auto" w:fill="auto"/>
            <w:noWrap/>
            <w:vAlign w:val="center"/>
            <w:hideMark/>
          </w:tcPr>
          <w:p w14:paraId="3704237A"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center"/>
            <w:hideMark/>
          </w:tcPr>
          <w:p w14:paraId="34D1CD79"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center"/>
            <w:hideMark/>
          </w:tcPr>
          <w:p w14:paraId="6FC45FBD"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53" w:type="dxa"/>
            <w:tcBorders>
              <w:top w:val="nil"/>
              <w:left w:val="nil"/>
              <w:bottom w:val="nil"/>
              <w:right w:val="nil"/>
            </w:tcBorders>
            <w:shd w:val="clear" w:color="auto" w:fill="auto"/>
            <w:noWrap/>
            <w:vAlign w:val="center"/>
            <w:hideMark/>
          </w:tcPr>
          <w:p w14:paraId="5B99CC1F"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562D3C" w14:paraId="4A91E10E" w14:textId="77777777" w:rsidTr="002F7131">
        <w:trPr>
          <w:trHeight w:val="405"/>
        </w:trPr>
        <w:tc>
          <w:tcPr>
            <w:tcW w:w="4795" w:type="dxa"/>
            <w:gridSpan w:val="3"/>
            <w:tcBorders>
              <w:top w:val="nil"/>
              <w:left w:val="nil"/>
              <w:bottom w:val="nil"/>
              <w:right w:val="nil"/>
            </w:tcBorders>
            <w:shd w:val="clear" w:color="auto" w:fill="auto"/>
            <w:noWrap/>
            <w:vAlign w:val="center"/>
            <w:hideMark/>
          </w:tcPr>
          <w:p w14:paraId="35A5BA7B"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28"/>
                <w:szCs w:val="28"/>
              </w:rPr>
            </w:pPr>
            <w:r w:rsidRPr="00562D3C">
              <w:rPr>
                <w:rFonts w:ascii="STKaiti" w:eastAsia="STKaiti" w:hAnsi="STKaiti" w:cs="Calibri" w:hint="eastAsia"/>
                <w:b/>
                <w:bCs/>
                <w:color w:val="002060"/>
                <w:sz w:val="28"/>
                <w:szCs w:val="28"/>
              </w:rPr>
              <w:t>无线电通信部门</w:t>
            </w:r>
            <w:r w:rsidRPr="00562D3C">
              <w:rPr>
                <w:rFonts w:eastAsia="Times New Roman" w:cs="Calibri"/>
                <w:b/>
                <w:bCs/>
                <w:color w:val="002060"/>
                <w:sz w:val="28"/>
                <w:szCs w:val="28"/>
              </w:rPr>
              <w:t>2022-2023</w:t>
            </w:r>
            <w:r w:rsidRPr="00562D3C">
              <w:rPr>
                <w:rFonts w:ascii="STKaiti" w:eastAsia="STKaiti" w:hAnsi="STKaiti" w:cs="Calibri" w:hint="eastAsia"/>
                <w:b/>
                <w:bCs/>
                <w:color w:val="002060"/>
                <w:sz w:val="28"/>
                <w:szCs w:val="28"/>
              </w:rPr>
              <w:t>年</w:t>
            </w:r>
          </w:p>
        </w:tc>
        <w:tc>
          <w:tcPr>
            <w:tcW w:w="1144" w:type="dxa"/>
            <w:tcBorders>
              <w:top w:val="nil"/>
              <w:left w:val="nil"/>
              <w:bottom w:val="nil"/>
              <w:right w:val="nil"/>
            </w:tcBorders>
            <w:shd w:val="clear" w:color="auto" w:fill="auto"/>
            <w:noWrap/>
            <w:vAlign w:val="center"/>
            <w:hideMark/>
          </w:tcPr>
          <w:p w14:paraId="31EFC073"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center"/>
            <w:hideMark/>
          </w:tcPr>
          <w:p w14:paraId="55B6C55B"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center"/>
            <w:hideMark/>
          </w:tcPr>
          <w:p w14:paraId="5FBE1C2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center"/>
            <w:hideMark/>
          </w:tcPr>
          <w:p w14:paraId="1B4A29A8"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40" w:type="dxa"/>
            <w:tcBorders>
              <w:top w:val="nil"/>
              <w:left w:val="nil"/>
              <w:bottom w:val="nil"/>
              <w:right w:val="nil"/>
            </w:tcBorders>
            <w:shd w:val="clear" w:color="auto" w:fill="auto"/>
            <w:noWrap/>
            <w:vAlign w:val="center"/>
            <w:hideMark/>
          </w:tcPr>
          <w:p w14:paraId="072CDBB1"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center"/>
            <w:hideMark/>
          </w:tcPr>
          <w:p w14:paraId="5EF4B79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center"/>
            <w:hideMark/>
          </w:tcPr>
          <w:p w14:paraId="6D350994"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53" w:type="dxa"/>
            <w:tcBorders>
              <w:top w:val="nil"/>
              <w:left w:val="nil"/>
              <w:bottom w:val="nil"/>
              <w:right w:val="nil"/>
            </w:tcBorders>
            <w:shd w:val="clear" w:color="auto" w:fill="auto"/>
            <w:noWrap/>
            <w:vAlign w:val="center"/>
            <w:hideMark/>
          </w:tcPr>
          <w:p w14:paraId="26BD6329"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562D3C" w14:paraId="224BDFF5" w14:textId="77777777" w:rsidTr="002F7131">
        <w:trPr>
          <w:trHeight w:val="405"/>
        </w:trPr>
        <w:tc>
          <w:tcPr>
            <w:tcW w:w="3776" w:type="dxa"/>
            <w:gridSpan w:val="2"/>
            <w:tcBorders>
              <w:top w:val="nil"/>
              <w:left w:val="nil"/>
              <w:bottom w:val="nil"/>
              <w:right w:val="nil"/>
            </w:tcBorders>
            <w:shd w:val="clear" w:color="auto" w:fill="auto"/>
            <w:noWrap/>
            <w:vAlign w:val="center"/>
            <w:hideMark/>
          </w:tcPr>
          <w:p w14:paraId="5973A2A9"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r w:rsidRPr="00562D3C">
              <w:rPr>
                <w:rFonts w:ascii="STKaiti" w:eastAsia="STKaiti" w:hAnsi="STKaiti" w:hint="eastAsia"/>
                <w:b/>
                <w:bCs/>
                <w:color w:val="002060"/>
                <w:szCs w:val="24"/>
                <w:lang w:eastAsia="zh-CN"/>
              </w:rPr>
              <w:t>按项和类别列出的计划支出</w:t>
            </w:r>
          </w:p>
        </w:tc>
        <w:tc>
          <w:tcPr>
            <w:tcW w:w="1019" w:type="dxa"/>
            <w:tcBorders>
              <w:top w:val="nil"/>
              <w:left w:val="nil"/>
              <w:bottom w:val="nil"/>
              <w:right w:val="nil"/>
            </w:tcBorders>
            <w:shd w:val="clear" w:color="auto" w:fill="auto"/>
            <w:noWrap/>
            <w:vAlign w:val="center"/>
            <w:hideMark/>
          </w:tcPr>
          <w:p w14:paraId="44341FA9"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p>
        </w:tc>
        <w:tc>
          <w:tcPr>
            <w:tcW w:w="1144" w:type="dxa"/>
            <w:tcBorders>
              <w:top w:val="nil"/>
              <w:left w:val="nil"/>
              <w:bottom w:val="nil"/>
              <w:right w:val="nil"/>
            </w:tcBorders>
            <w:shd w:val="clear" w:color="auto" w:fill="auto"/>
            <w:noWrap/>
            <w:vAlign w:val="center"/>
            <w:hideMark/>
          </w:tcPr>
          <w:p w14:paraId="1EAF7050"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144" w:type="dxa"/>
            <w:tcBorders>
              <w:top w:val="nil"/>
              <w:left w:val="nil"/>
              <w:bottom w:val="nil"/>
              <w:right w:val="nil"/>
            </w:tcBorders>
            <w:shd w:val="clear" w:color="auto" w:fill="auto"/>
            <w:noWrap/>
            <w:vAlign w:val="center"/>
            <w:hideMark/>
          </w:tcPr>
          <w:p w14:paraId="4B745F57"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144" w:type="dxa"/>
            <w:tcBorders>
              <w:top w:val="nil"/>
              <w:left w:val="nil"/>
              <w:bottom w:val="nil"/>
              <w:right w:val="nil"/>
            </w:tcBorders>
            <w:shd w:val="clear" w:color="auto" w:fill="auto"/>
            <w:noWrap/>
            <w:vAlign w:val="center"/>
            <w:hideMark/>
          </w:tcPr>
          <w:p w14:paraId="4A7A61E0"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144" w:type="dxa"/>
            <w:tcBorders>
              <w:top w:val="nil"/>
              <w:left w:val="nil"/>
              <w:bottom w:val="nil"/>
              <w:right w:val="nil"/>
            </w:tcBorders>
            <w:shd w:val="clear" w:color="auto" w:fill="auto"/>
            <w:noWrap/>
            <w:vAlign w:val="center"/>
            <w:hideMark/>
          </w:tcPr>
          <w:p w14:paraId="54099CF9"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340" w:type="dxa"/>
            <w:tcBorders>
              <w:top w:val="nil"/>
              <w:left w:val="nil"/>
              <w:bottom w:val="nil"/>
              <w:right w:val="nil"/>
            </w:tcBorders>
            <w:shd w:val="clear" w:color="auto" w:fill="auto"/>
            <w:noWrap/>
            <w:vAlign w:val="center"/>
            <w:hideMark/>
          </w:tcPr>
          <w:p w14:paraId="0FD7EB0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144" w:type="dxa"/>
            <w:tcBorders>
              <w:top w:val="nil"/>
              <w:left w:val="nil"/>
              <w:bottom w:val="nil"/>
              <w:right w:val="nil"/>
            </w:tcBorders>
            <w:shd w:val="clear" w:color="auto" w:fill="auto"/>
            <w:noWrap/>
            <w:vAlign w:val="center"/>
            <w:hideMark/>
          </w:tcPr>
          <w:p w14:paraId="69612F75"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144" w:type="dxa"/>
            <w:tcBorders>
              <w:top w:val="nil"/>
              <w:left w:val="nil"/>
              <w:bottom w:val="nil"/>
              <w:right w:val="nil"/>
            </w:tcBorders>
            <w:shd w:val="clear" w:color="auto" w:fill="auto"/>
            <w:noWrap/>
            <w:vAlign w:val="center"/>
            <w:hideMark/>
          </w:tcPr>
          <w:p w14:paraId="50667E4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53" w:type="dxa"/>
            <w:tcBorders>
              <w:top w:val="nil"/>
              <w:left w:val="nil"/>
              <w:bottom w:val="nil"/>
              <w:right w:val="nil"/>
            </w:tcBorders>
            <w:shd w:val="clear" w:color="auto" w:fill="auto"/>
            <w:noWrap/>
            <w:vAlign w:val="center"/>
            <w:hideMark/>
          </w:tcPr>
          <w:p w14:paraId="07069341"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5C437E" w:rsidRPr="00562D3C" w14:paraId="4BBC5157" w14:textId="77777777" w:rsidTr="002F7131">
        <w:trPr>
          <w:trHeight w:val="195"/>
        </w:trPr>
        <w:tc>
          <w:tcPr>
            <w:tcW w:w="2757" w:type="dxa"/>
            <w:tcBorders>
              <w:top w:val="nil"/>
              <w:left w:val="nil"/>
              <w:bottom w:val="nil"/>
              <w:right w:val="nil"/>
            </w:tcBorders>
            <w:shd w:val="clear" w:color="auto" w:fill="auto"/>
            <w:noWrap/>
            <w:vAlign w:val="center"/>
            <w:hideMark/>
          </w:tcPr>
          <w:p w14:paraId="53DB8E7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1495" w:type="dxa"/>
            <w:gridSpan w:val="10"/>
            <w:tcBorders>
              <w:top w:val="nil"/>
              <w:left w:val="nil"/>
              <w:bottom w:val="nil"/>
              <w:right w:val="nil"/>
            </w:tcBorders>
            <w:shd w:val="clear" w:color="auto" w:fill="auto"/>
            <w:noWrap/>
            <w:vAlign w:val="center"/>
            <w:hideMark/>
          </w:tcPr>
          <w:p w14:paraId="28F4A07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562D3C">
              <w:rPr>
                <w:rFonts w:ascii="STKaiti" w:eastAsia="STKaiti" w:hAnsi="STKaiti" w:hint="eastAsia"/>
                <w:color w:val="002060"/>
                <w:sz w:val="18"/>
                <w:szCs w:val="18"/>
              </w:rPr>
              <w:t>单位：千瑞郎</w:t>
            </w:r>
          </w:p>
        </w:tc>
      </w:tr>
      <w:tr w:rsidR="005C437E" w:rsidRPr="00562D3C" w14:paraId="15C5ED39" w14:textId="77777777" w:rsidTr="002F7131">
        <w:trPr>
          <w:trHeight w:val="345"/>
        </w:trPr>
        <w:tc>
          <w:tcPr>
            <w:tcW w:w="9371" w:type="dxa"/>
            <w:gridSpan w:val="7"/>
            <w:tcBorders>
              <w:top w:val="nil"/>
              <w:left w:val="nil"/>
              <w:bottom w:val="nil"/>
              <w:right w:val="nil"/>
            </w:tcBorders>
            <w:shd w:val="clear" w:color="auto" w:fill="auto"/>
            <w:noWrap/>
            <w:vAlign w:val="center"/>
            <w:hideMark/>
          </w:tcPr>
          <w:p w14:paraId="1289503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p>
        </w:tc>
        <w:tc>
          <w:tcPr>
            <w:tcW w:w="3628" w:type="dxa"/>
            <w:gridSpan w:val="3"/>
            <w:tcBorders>
              <w:top w:val="nil"/>
              <w:left w:val="nil"/>
              <w:bottom w:val="nil"/>
              <w:right w:val="nil"/>
            </w:tcBorders>
            <w:shd w:val="clear" w:color="auto" w:fill="auto"/>
            <w:noWrap/>
            <w:vAlign w:val="center"/>
            <w:hideMark/>
          </w:tcPr>
          <w:p w14:paraId="38D7577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r w:rsidRPr="00562D3C">
              <w:rPr>
                <w:rFonts w:ascii="STKaiti" w:eastAsia="STKaiti" w:hAnsi="STKaiti" w:hint="eastAsia"/>
                <w:b/>
                <w:bCs/>
                <w:color w:val="002060"/>
                <w:sz w:val="20"/>
              </w:rPr>
              <w:t>无线电通信局</w:t>
            </w:r>
          </w:p>
        </w:tc>
        <w:tc>
          <w:tcPr>
            <w:tcW w:w="1253" w:type="dxa"/>
            <w:tcBorders>
              <w:top w:val="nil"/>
              <w:left w:val="nil"/>
              <w:bottom w:val="nil"/>
              <w:right w:val="nil"/>
            </w:tcBorders>
            <w:shd w:val="clear" w:color="auto" w:fill="auto"/>
            <w:noWrap/>
            <w:vAlign w:val="center"/>
            <w:hideMark/>
          </w:tcPr>
          <w:p w14:paraId="3843A2B6" w14:textId="6C234A53"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r w:rsidRPr="00562D3C">
              <w:rPr>
                <w:rFonts w:ascii="Helv" w:eastAsia="Times New Roman" w:hAnsi="Helv"/>
                <w:noProof/>
                <w:sz w:val="20"/>
              </w:rPr>
              <mc:AlternateContent>
                <mc:Choice Requires="wps">
                  <w:drawing>
                    <wp:anchor distT="0" distB="0" distL="114300" distR="114300" simplePos="0" relativeHeight="251682816" behindDoc="0" locked="0" layoutInCell="1" allowOverlap="1" wp14:anchorId="71441B37" wp14:editId="799B35B2">
                      <wp:simplePos x="0" y="0"/>
                      <wp:positionH relativeFrom="column">
                        <wp:posOffset>10795</wp:posOffset>
                      </wp:positionH>
                      <wp:positionV relativeFrom="paragraph">
                        <wp:posOffset>213360</wp:posOffset>
                      </wp:positionV>
                      <wp:extent cx="818515" cy="4178300"/>
                      <wp:effectExtent l="0" t="0" r="19685" b="12700"/>
                      <wp:wrapNone/>
                      <wp:docPr id="1068" name="圆角矩形 1068">
                        <a:extLst xmlns:a="http://schemas.openxmlformats.org/drawingml/2006/main">
                          <a:ext uri="{FF2B5EF4-FFF2-40B4-BE49-F238E27FC236}">
                            <a16:creationId xmlns:a16="http://schemas.microsoft.com/office/drawing/2014/main" id="{00000000-0008-0000-06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515" cy="417830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0D4B1869" id="圆角矩形 1068" o:spid="_x0000_s1026" style="position:absolute;margin-left:.85pt;margin-top:16.8pt;width:64.45pt;height:32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" filled="f" strokecolor="#0070c0" strokeweight="1pt"/>
                  </w:pict>
                </mc:Fallback>
              </mc:AlternateContent>
            </w:r>
          </w:p>
        </w:tc>
      </w:tr>
      <w:tr w:rsidR="005C437E" w:rsidRPr="00562D3C" w14:paraId="32058F24" w14:textId="77777777" w:rsidTr="002F7131">
        <w:trPr>
          <w:trHeight w:val="150"/>
        </w:trPr>
        <w:tc>
          <w:tcPr>
            <w:tcW w:w="2757" w:type="dxa"/>
            <w:tcBorders>
              <w:top w:val="nil"/>
              <w:left w:val="nil"/>
              <w:bottom w:val="nil"/>
              <w:right w:val="nil"/>
            </w:tcBorders>
            <w:shd w:val="clear" w:color="auto" w:fill="auto"/>
            <w:noWrap/>
            <w:vAlign w:val="center"/>
            <w:hideMark/>
          </w:tcPr>
          <w:p w14:paraId="652A53A9"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19" w:type="dxa"/>
            <w:tcBorders>
              <w:top w:val="nil"/>
              <w:left w:val="nil"/>
              <w:bottom w:val="nil"/>
              <w:right w:val="nil"/>
            </w:tcBorders>
            <w:shd w:val="clear" w:color="auto" w:fill="auto"/>
            <w:noWrap/>
            <w:vAlign w:val="center"/>
            <w:hideMark/>
          </w:tcPr>
          <w:p w14:paraId="23D85DD4"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19" w:type="dxa"/>
            <w:tcBorders>
              <w:top w:val="nil"/>
              <w:left w:val="nil"/>
              <w:bottom w:val="nil"/>
              <w:right w:val="nil"/>
            </w:tcBorders>
            <w:shd w:val="clear" w:color="auto" w:fill="auto"/>
            <w:noWrap/>
            <w:vAlign w:val="center"/>
            <w:hideMark/>
          </w:tcPr>
          <w:p w14:paraId="3E9442E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center"/>
            <w:hideMark/>
          </w:tcPr>
          <w:p w14:paraId="58D7EDF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center"/>
            <w:hideMark/>
          </w:tcPr>
          <w:p w14:paraId="6ED1DAB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center"/>
            <w:hideMark/>
          </w:tcPr>
          <w:p w14:paraId="03C0E6E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center"/>
            <w:hideMark/>
          </w:tcPr>
          <w:p w14:paraId="1A6774A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340" w:type="dxa"/>
            <w:tcBorders>
              <w:top w:val="nil"/>
              <w:left w:val="nil"/>
              <w:bottom w:val="nil"/>
              <w:right w:val="nil"/>
            </w:tcBorders>
            <w:shd w:val="clear" w:color="auto" w:fill="auto"/>
            <w:noWrap/>
            <w:vAlign w:val="bottom"/>
            <w:hideMark/>
          </w:tcPr>
          <w:p w14:paraId="0DF2F5C0"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tc>
        <w:tc>
          <w:tcPr>
            <w:tcW w:w="1144" w:type="dxa"/>
            <w:tcBorders>
              <w:top w:val="nil"/>
              <w:left w:val="nil"/>
              <w:bottom w:val="nil"/>
              <w:right w:val="nil"/>
            </w:tcBorders>
            <w:shd w:val="clear" w:color="auto" w:fill="auto"/>
            <w:noWrap/>
            <w:vAlign w:val="center"/>
            <w:hideMark/>
          </w:tcPr>
          <w:p w14:paraId="3CCA7A60"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r w:rsidRPr="00562D3C">
              <w:rPr>
                <w:rFonts w:ascii="Helv" w:eastAsia="Times New Roman" w:hAnsi="Helv"/>
                <w:noProof/>
                <w:sz w:val="20"/>
              </w:rPr>
              <mc:AlternateContent>
                <mc:Choice Requires="wps">
                  <w:drawing>
                    <wp:anchor distT="0" distB="0" distL="114300" distR="114300" simplePos="0" relativeHeight="251680768" behindDoc="0" locked="0" layoutInCell="1" allowOverlap="1" wp14:anchorId="3CFEAB61" wp14:editId="11018A3F">
                      <wp:simplePos x="0" y="0"/>
                      <wp:positionH relativeFrom="column">
                        <wp:posOffset>254635</wp:posOffset>
                      </wp:positionH>
                      <wp:positionV relativeFrom="paragraph">
                        <wp:posOffset>-1058545</wp:posOffset>
                      </wp:positionV>
                      <wp:extent cx="45085" cy="2192020"/>
                      <wp:effectExtent l="0" t="6667" r="24447" b="24448"/>
                      <wp:wrapNone/>
                      <wp:docPr id="108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5085" cy="2192020"/>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3D32505" id="AutoShape 15" o:spid="_x0000_s1026" type="#_x0000_t85" style="position:absolute;margin-left:20.05pt;margin-top:-83.35pt;width:3.55pt;height:172.6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" adj="507" strokecolor="#0070c0" strokeweight="1pt"/>
                  </w:pict>
                </mc:Fallback>
              </mc:AlternateContent>
            </w:r>
          </w:p>
        </w:tc>
        <w:tc>
          <w:tcPr>
            <w:tcW w:w="1144" w:type="dxa"/>
            <w:tcBorders>
              <w:top w:val="nil"/>
              <w:left w:val="nil"/>
              <w:bottom w:val="nil"/>
              <w:right w:val="nil"/>
            </w:tcBorders>
            <w:shd w:val="clear" w:color="auto" w:fill="auto"/>
            <w:noWrap/>
            <w:vAlign w:val="center"/>
            <w:hideMark/>
          </w:tcPr>
          <w:p w14:paraId="3EC5947C"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53" w:type="dxa"/>
            <w:tcBorders>
              <w:top w:val="nil"/>
              <w:left w:val="nil"/>
              <w:bottom w:val="nil"/>
              <w:right w:val="nil"/>
            </w:tcBorders>
            <w:shd w:val="clear" w:color="auto" w:fill="auto"/>
            <w:noWrap/>
            <w:vAlign w:val="center"/>
            <w:hideMark/>
          </w:tcPr>
          <w:p w14:paraId="3CDE2A32" w14:textId="20CCCEB9"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562D3C" w14:paraId="3A6A019C" w14:textId="77777777" w:rsidTr="002F7131">
        <w:trPr>
          <w:trHeight w:val="20"/>
        </w:trPr>
        <w:tc>
          <w:tcPr>
            <w:tcW w:w="2757" w:type="dxa"/>
            <w:tcBorders>
              <w:top w:val="nil"/>
              <w:left w:val="nil"/>
              <w:bottom w:val="nil"/>
              <w:right w:val="nil"/>
            </w:tcBorders>
            <w:shd w:val="clear" w:color="auto" w:fill="auto"/>
            <w:noWrap/>
            <w:vAlign w:val="center"/>
            <w:hideMark/>
          </w:tcPr>
          <w:p w14:paraId="1A511CC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019" w:type="dxa"/>
            <w:tcBorders>
              <w:top w:val="nil"/>
              <w:left w:val="single" w:sz="4" w:space="0" w:color="0070C0"/>
              <w:bottom w:val="nil"/>
              <w:right w:val="nil"/>
            </w:tcBorders>
            <w:shd w:val="clear" w:color="auto" w:fill="auto"/>
            <w:hideMark/>
          </w:tcPr>
          <w:p w14:paraId="34CA3A8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562D3C">
              <w:rPr>
                <w:rFonts w:ascii="SimSun" w:hAnsi="SimSun" w:hint="eastAsia"/>
                <w:sz w:val="20"/>
              </w:rPr>
              <w:t>大会和</w:t>
            </w:r>
            <w:r>
              <w:rPr>
                <w:rFonts w:ascii="SimSun" w:hAnsi="SimSun"/>
                <w:sz w:val="20"/>
              </w:rPr>
              <w:br/>
            </w:r>
            <w:r w:rsidRPr="00562D3C">
              <w:rPr>
                <w:rFonts w:ascii="SimSun" w:hAnsi="SimSun" w:hint="eastAsia"/>
                <w:sz w:val="20"/>
              </w:rPr>
              <w:t>全会</w:t>
            </w:r>
          </w:p>
        </w:tc>
        <w:tc>
          <w:tcPr>
            <w:tcW w:w="1019" w:type="dxa"/>
            <w:tcBorders>
              <w:top w:val="nil"/>
              <w:left w:val="nil"/>
              <w:bottom w:val="nil"/>
              <w:right w:val="nil"/>
            </w:tcBorders>
            <w:shd w:val="clear" w:color="auto" w:fill="auto"/>
            <w:hideMark/>
          </w:tcPr>
          <w:p w14:paraId="4D339838"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无线电规则委员会</w:t>
            </w:r>
          </w:p>
        </w:tc>
        <w:tc>
          <w:tcPr>
            <w:tcW w:w="1144" w:type="dxa"/>
            <w:tcBorders>
              <w:top w:val="nil"/>
              <w:left w:val="nil"/>
              <w:bottom w:val="nil"/>
              <w:right w:val="nil"/>
            </w:tcBorders>
            <w:shd w:val="clear" w:color="auto" w:fill="auto"/>
            <w:hideMark/>
          </w:tcPr>
          <w:p w14:paraId="4F637402"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无线电通信顾问组</w:t>
            </w:r>
          </w:p>
        </w:tc>
        <w:tc>
          <w:tcPr>
            <w:tcW w:w="1144" w:type="dxa"/>
            <w:tcBorders>
              <w:top w:val="nil"/>
              <w:left w:val="nil"/>
              <w:bottom w:val="nil"/>
              <w:right w:val="nil"/>
            </w:tcBorders>
            <w:shd w:val="clear" w:color="auto" w:fill="auto"/>
            <w:hideMark/>
          </w:tcPr>
          <w:p w14:paraId="35665E7F"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研究组</w:t>
            </w:r>
            <w:r w:rsidRPr="00100C74">
              <w:rPr>
                <w:rFonts w:ascii="SimSun" w:hAnsi="SimSun"/>
                <w:sz w:val="20"/>
              </w:rPr>
              <w:br/>
            </w:r>
            <w:r w:rsidRPr="00100C74">
              <w:rPr>
                <w:rFonts w:ascii="SimSun" w:hAnsi="SimSun" w:hint="eastAsia"/>
                <w:sz w:val="20"/>
              </w:rPr>
              <w:t>会议</w:t>
            </w:r>
          </w:p>
        </w:tc>
        <w:tc>
          <w:tcPr>
            <w:tcW w:w="1144" w:type="dxa"/>
            <w:tcBorders>
              <w:top w:val="nil"/>
              <w:left w:val="nil"/>
              <w:bottom w:val="nil"/>
              <w:right w:val="nil"/>
            </w:tcBorders>
            <w:shd w:val="clear" w:color="auto" w:fill="auto"/>
            <w:noWrap/>
            <w:hideMark/>
          </w:tcPr>
          <w:p w14:paraId="33440BF3"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活动和</w:t>
            </w:r>
            <w:r>
              <w:rPr>
                <w:rFonts w:ascii="SimSun" w:hAnsi="SimSun"/>
                <w:sz w:val="20"/>
              </w:rPr>
              <w:br/>
            </w:r>
            <w:r w:rsidRPr="00100C74">
              <w:rPr>
                <w:rFonts w:ascii="SimSun" w:hAnsi="SimSun" w:hint="eastAsia"/>
                <w:sz w:val="20"/>
              </w:rPr>
              <w:t>项目</w:t>
            </w:r>
          </w:p>
        </w:tc>
        <w:tc>
          <w:tcPr>
            <w:tcW w:w="1144" w:type="dxa"/>
            <w:tcBorders>
              <w:top w:val="nil"/>
              <w:left w:val="nil"/>
              <w:bottom w:val="nil"/>
              <w:right w:val="nil"/>
            </w:tcBorders>
            <w:shd w:val="clear" w:color="auto" w:fill="auto"/>
            <w:hideMark/>
          </w:tcPr>
          <w:p w14:paraId="548B2CA3"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研讨会和讲习班</w:t>
            </w:r>
          </w:p>
        </w:tc>
        <w:tc>
          <w:tcPr>
            <w:tcW w:w="1340" w:type="dxa"/>
            <w:tcBorders>
              <w:top w:val="nil"/>
              <w:left w:val="nil"/>
              <w:bottom w:val="nil"/>
              <w:right w:val="nil"/>
            </w:tcBorders>
            <w:shd w:val="clear" w:color="auto" w:fill="auto"/>
            <w:noWrap/>
            <w:hideMark/>
          </w:tcPr>
          <w:p w14:paraId="7A3C4E5D"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共同支出</w:t>
            </w:r>
          </w:p>
        </w:tc>
        <w:tc>
          <w:tcPr>
            <w:tcW w:w="1144" w:type="dxa"/>
            <w:tcBorders>
              <w:top w:val="nil"/>
              <w:left w:val="nil"/>
              <w:bottom w:val="nil"/>
              <w:right w:val="nil"/>
            </w:tcBorders>
            <w:shd w:val="clear" w:color="auto" w:fill="auto"/>
            <w:noWrap/>
            <w:hideMark/>
          </w:tcPr>
          <w:p w14:paraId="76974E3A"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主任</w:t>
            </w:r>
            <w:r>
              <w:rPr>
                <w:rFonts w:ascii="SimSun" w:hAnsi="SimSun"/>
                <w:sz w:val="20"/>
              </w:rPr>
              <w:br/>
            </w:r>
            <w:r w:rsidRPr="00100C74">
              <w:rPr>
                <w:rFonts w:ascii="SimSun" w:hAnsi="SimSun" w:hint="eastAsia"/>
                <w:sz w:val="20"/>
              </w:rPr>
              <w:t>办公室</w:t>
            </w:r>
          </w:p>
        </w:tc>
        <w:tc>
          <w:tcPr>
            <w:tcW w:w="1144" w:type="dxa"/>
            <w:tcBorders>
              <w:top w:val="nil"/>
              <w:left w:val="nil"/>
              <w:bottom w:val="nil"/>
              <w:right w:val="nil"/>
            </w:tcBorders>
            <w:shd w:val="clear" w:color="auto" w:fill="auto"/>
            <w:hideMark/>
          </w:tcPr>
          <w:p w14:paraId="25A0FE6F"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各部</w:t>
            </w:r>
          </w:p>
        </w:tc>
        <w:tc>
          <w:tcPr>
            <w:tcW w:w="1253" w:type="dxa"/>
            <w:tcBorders>
              <w:top w:val="nil"/>
              <w:left w:val="nil"/>
              <w:bottom w:val="nil"/>
              <w:right w:val="nil"/>
            </w:tcBorders>
            <w:shd w:val="clear" w:color="auto" w:fill="auto"/>
            <w:noWrap/>
            <w:vAlign w:val="center"/>
            <w:hideMark/>
          </w:tcPr>
          <w:p w14:paraId="2C4DA970" w14:textId="3F1209F7" w:rsidR="005C437E" w:rsidRPr="00461DD1"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heme="minorEastAsia" w:eastAsiaTheme="minorEastAsia" w:hAnsiTheme="minorEastAsia" w:cs="Calibri"/>
                <w:b/>
                <w:bCs/>
                <w:color w:val="002060"/>
                <w:sz w:val="20"/>
              </w:rPr>
            </w:pPr>
            <w:r w:rsidRPr="00461DD1">
              <w:rPr>
                <w:rFonts w:asciiTheme="minorEastAsia" w:eastAsiaTheme="minorEastAsia" w:hAnsiTheme="minorEastAsia" w:cs="Microsoft YaHei"/>
                <w:b/>
                <w:bCs/>
                <w:sz w:val="20"/>
              </w:rPr>
              <w:t>合计</w:t>
            </w:r>
          </w:p>
        </w:tc>
      </w:tr>
      <w:tr w:rsidR="005C437E" w:rsidRPr="00562D3C" w14:paraId="3FA5C6E9" w14:textId="77777777" w:rsidTr="002F7131">
        <w:trPr>
          <w:trHeight w:val="20"/>
        </w:trPr>
        <w:tc>
          <w:tcPr>
            <w:tcW w:w="2757" w:type="dxa"/>
            <w:tcBorders>
              <w:top w:val="nil"/>
              <w:left w:val="nil"/>
              <w:bottom w:val="nil"/>
              <w:right w:val="nil"/>
            </w:tcBorders>
            <w:shd w:val="clear" w:color="auto" w:fill="auto"/>
            <w:noWrap/>
            <w:vAlign w:val="bottom"/>
            <w:hideMark/>
          </w:tcPr>
          <w:p w14:paraId="0FCC81EF"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562D3C">
              <w:rPr>
                <w:rFonts w:cstheme="minorHAnsi"/>
                <w:sz w:val="20"/>
              </w:rPr>
              <w:t xml:space="preserve">1 - </w:t>
            </w:r>
            <w:r w:rsidRPr="00562D3C">
              <w:rPr>
                <w:rFonts w:cstheme="minorHAnsi"/>
                <w:sz w:val="20"/>
              </w:rPr>
              <w:t>人员费用</w:t>
            </w:r>
          </w:p>
        </w:tc>
        <w:tc>
          <w:tcPr>
            <w:tcW w:w="1019" w:type="dxa"/>
            <w:tcBorders>
              <w:top w:val="nil"/>
              <w:left w:val="single" w:sz="4" w:space="0" w:color="0070C0"/>
              <w:bottom w:val="nil"/>
              <w:right w:val="nil"/>
            </w:tcBorders>
            <w:shd w:val="clear" w:color="auto" w:fill="auto"/>
            <w:noWrap/>
            <w:vAlign w:val="bottom"/>
            <w:hideMark/>
          </w:tcPr>
          <w:p w14:paraId="33A1738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2,164</w:t>
            </w:r>
          </w:p>
        </w:tc>
        <w:tc>
          <w:tcPr>
            <w:tcW w:w="1019" w:type="dxa"/>
            <w:tcBorders>
              <w:top w:val="nil"/>
              <w:left w:val="nil"/>
              <w:bottom w:val="nil"/>
              <w:right w:val="nil"/>
            </w:tcBorders>
            <w:shd w:val="clear" w:color="auto" w:fill="auto"/>
            <w:noWrap/>
            <w:vAlign w:val="bottom"/>
            <w:hideMark/>
          </w:tcPr>
          <w:p w14:paraId="53D9193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332</w:t>
            </w:r>
          </w:p>
        </w:tc>
        <w:tc>
          <w:tcPr>
            <w:tcW w:w="1144" w:type="dxa"/>
            <w:tcBorders>
              <w:top w:val="nil"/>
              <w:left w:val="nil"/>
              <w:bottom w:val="nil"/>
              <w:right w:val="nil"/>
            </w:tcBorders>
            <w:shd w:val="clear" w:color="auto" w:fill="auto"/>
            <w:noWrap/>
            <w:vAlign w:val="bottom"/>
            <w:hideMark/>
          </w:tcPr>
          <w:p w14:paraId="4AA94EC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114</w:t>
            </w:r>
          </w:p>
        </w:tc>
        <w:tc>
          <w:tcPr>
            <w:tcW w:w="1144" w:type="dxa"/>
            <w:tcBorders>
              <w:top w:val="nil"/>
              <w:left w:val="nil"/>
              <w:bottom w:val="nil"/>
              <w:right w:val="nil"/>
            </w:tcBorders>
            <w:shd w:val="clear" w:color="auto" w:fill="auto"/>
            <w:noWrap/>
            <w:vAlign w:val="bottom"/>
            <w:hideMark/>
          </w:tcPr>
          <w:p w14:paraId="5C3F6B6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1,023</w:t>
            </w:r>
          </w:p>
        </w:tc>
        <w:tc>
          <w:tcPr>
            <w:tcW w:w="1144" w:type="dxa"/>
            <w:tcBorders>
              <w:top w:val="nil"/>
              <w:left w:val="nil"/>
              <w:bottom w:val="nil"/>
              <w:right w:val="nil"/>
            </w:tcBorders>
            <w:shd w:val="clear" w:color="auto" w:fill="auto"/>
            <w:noWrap/>
            <w:vAlign w:val="bottom"/>
            <w:hideMark/>
          </w:tcPr>
          <w:p w14:paraId="0807283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159F178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258</w:t>
            </w:r>
          </w:p>
        </w:tc>
        <w:tc>
          <w:tcPr>
            <w:tcW w:w="1340" w:type="dxa"/>
            <w:tcBorders>
              <w:top w:val="nil"/>
              <w:left w:val="nil"/>
              <w:bottom w:val="nil"/>
              <w:right w:val="nil"/>
            </w:tcBorders>
            <w:shd w:val="clear" w:color="auto" w:fill="auto"/>
            <w:noWrap/>
            <w:vAlign w:val="bottom"/>
            <w:hideMark/>
          </w:tcPr>
          <w:p w14:paraId="13577E4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1E95100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1,440</w:t>
            </w:r>
          </w:p>
        </w:tc>
        <w:tc>
          <w:tcPr>
            <w:tcW w:w="1144" w:type="dxa"/>
            <w:tcBorders>
              <w:top w:val="nil"/>
              <w:left w:val="nil"/>
              <w:bottom w:val="nil"/>
              <w:right w:val="nil"/>
            </w:tcBorders>
            <w:shd w:val="clear" w:color="auto" w:fill="auto"/>
            <w:noWrap/>
            <w:vAlign w:val="bottom"/>
            <w:hideMark/>
          </w:tcPr>
          <w:p w14:paraId="57950EB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38,634</w:t>
            </w:r>
          </w:p>
        </w:tc>
        <w:tc>
          <w:tcPr>
            <w:tcW w:w="1253" w:type="dxa"/>
            <w:tcBorders>
              <w:top w:val="nil"/>
              <w:left w:val="nil"/>
              <w:bottom w:val="nil"/>
              <w:right w:val="nil"/>
            </w:tcBorders>
            <w:shd w:val="clear" w:color="auto" w:fill="auto"/>
            <w:noWrap/>
            <w:vAlign w:val="bottom"/>
            <w:hideMark/>
          </w:tcPr>
          <w:p w14:paraId="0C62A6C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43,965</w:t>
            </w:r>
          </w:p>
        </w:tc>
      </w:tr>
      <w:tr w:rsidR="005C437E" w:rsidRPr="00562D3C" w14:paraId="7F3EA799" w14:textId="77777777" w:rsidTr="002F7131">
        <w:trPr>
          <w:trHeight w:val="20"/>
        </w:trPr>
        <w:tc>
          <w:tcPr>
            <w:tcW w:w="2757" w:type="dxa"/>
            <w:tcBorders>
              <w:top w:val="nil"/>
              <w:left w:val="nil"/>
              <w:bottom w:val="nil"/>
              <w:right w:val="nil"/>
            </w:tcBorders>
            <w:shd w:val="clear" w:color="auto" w:fill="auto"/>
            <w:noWrap/>
            <w:vAlign w:val="bottom"/>
            <w:hideMark/>
          </w:tcPr>
          <w:p w14:paraId="55CCBA9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019" w:type="dxa"/>
            <w:tcBorders>
              <w:top w:val="nil"/>
              <w:left w:val="single" w:sz="4" w:space="0" w:color="0070C0"/>
              <w:bottom w:val="nil"/>
              <w:right w:val="nil"/>
            </w:tcBorders>
            <w:shd w:val="clear" w:color="auto" w:fill="auto"/>
            <w:noWrap/>
            <w:vAlign w:val="bottom"/>
            <w:hideMark/>
          </w:tcPr>
          <w:p w14:paraId="2A1E82C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bookmarkStart w:id="60" w:name="RANGE!B12:K32"/>
            <w:r w:rsidRPr="00562D3C">
              <w:rPr>
                <w:rFonts w:eastAsia="Times New Roman" w:cs="Calibri"/>
                <w:sz w:val="20"/>
              </w:rPr>
              <w:t> </w:t>
            </w:r>
            <w:bookmarkEnd w:id="60"/>
          </w:p>
        </w:tc>
        <w:tc>
          <w:tcPr>
            <w:tcW w:w="1019" w:type="dxa"/>
            <w:tcBorders>
              <w:top w:val="nil"/>
              <w:left w:val="nil"/>
              <w:bottom w:val="nil"/>
              <w:right w:val="nil"/>
            </w:tcBorders>
            <w:shd w:val="clear" w:color="auto" w:fill="auto"/>
            <w:noWrap/>
            <w:vAlign w:val="bottom"/>
            <w:hideMark/>
          </w:tcPr>
          <w:p w14:paraId="6F8AE86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44" w:type="dxa"/>
            <w:tcBorders>
              <w:top w:val="nil"/>
              <w:left w:val="nil"/>
              <w:bottom w:val="nil"/>
              <w:right w:val="nil"/>
            </w:tcBorders>
            <w:shd w:val="clear" w:color="auto" w:fill="auto"/>
            <w:noWrap/>
            <w:vAlign w:val="bottom"/>
            <w:hideMark/>
          </w:tcPr>
          <w:p w14:paraId="3F036DE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019CC5C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765C7BB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5502470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40" w:type="dxa"/>
            <w:tcBorders>
              <w:top w:val="nil"/>
              <w:left w:val="nil"/>
              <w:bottom w:val="nil"/>
              <w:right w:val="nil"/>
            </w:tcBorders>
            <w:shd w:val="clear" w:color="auto" w:fill="auto"/>
            <w:noWrap/>
            <w:vAlign w:val="bottom"/>
            <w:hideMark/>
          </w:tcPr>
          <w:p w14:paraId="536C14E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746A228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26BB7B9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3" w:type="dxa"/>
            <w:tcBorders>
              <w:top w:val="nil"/>
              <w:left w:val="nil"/>
              <w:bottom w:val="nil"/>
              <w:right w:val="nil"/>
            </w:tcBorders>
            <w:shd w:val="clear" w:color="auto" w:fill="auto"/>
            <w:noWrap/>
            <w:vAlign w:val="bottom"/>
            <w:hideMark/>
          </w:tcPr>
          <w:p w14:paraId="01824FD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6C6CCFF6" w14:textId="77777777" w:rsidTr="002F7131">
        <w:trPr>
          <w:trHeight w:val="20"/>
        </w:trPr>
        <w:tc>
          <w:tcPr>
            <w:tcW w:w="2757" w:type="dxa"/>
            <w:tcBorders>
              <w:top w:val="nil"/>
              <w:left w:val="nil"/>
              <w:bottom w:val="nil"/>
              <w:right w:val="nil"/>
            </w:tcBorders>
            <w:shd w:val="clear" w:color="auto" w:fill="auto"/>
            <w:noWrap/>
            <w:vAlign w:val="bottom"/>
            <w:hideMark/>
          </w:tcPr>
          <w:p w14:paraId="21B0A261"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562D3C">
              <w:rPr>
                <w:rFonts w:cstheme="minorHAnsi"/>
                <w:sz w:val="20"/>
              </w:rPr>
              <w:t xml:space="preserve">2 - </w:t>
            </w:r>
            <w:r w:rsidRPr="00562D3C">
              <w:rPr>
                <w:rFonts w:cstheme="minorHAnsi"/>
                <w:sz w:val="20"/>
              </w:rPr>
              <w:t>其他人员费用</w:t>
            </w:r>
          </w:p>
        </w:tc>
        <w:tc>
          <w:tcPr>
            <w:tcW w:w="1019" w:type="dxa"/>
            <w:tcBorders>
              <w:top w:val="nil"/>
              <w:left w:val="single" w:sz="4" w:space="0" w:color="0070C0"/>
              <w:bottom w:val="nil"/>
              <w:right w:val="nil"/>
            </w:tcBorders>
            <w:shd w:val="clear" w:color="auto" w:fill="auto"/>
            <w:noWrap/>
            <w:vAlign w:val="bottom"/>
            <w:hideMark/>
          </w:tcPr>
          <w:p w14:paraId="105223C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73</w:t>
            </w:r>
          </w:p>
        </w:tc>
        <w:tc>
          <w:tcPr>
            <w:tcW w:w="1019" w:type="dxa"/>
            <w:tcBorders>
              <w:top w:val="nil"/>
              <w:left w:val="nil"/>
              <w:bottom w:val="nil"/>
              <w:right w:val="nil"/>
            </w:tcBorders>
            <w:shd w:val="clear" w:color="auto" w:fill="auto"/>
            <w:noWrap/>
            <w:vAlign w:val="bottom"/>
            <w:hideMark/>
          </w:tcPr>
          <w:p w14:paraId="3A3265A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16</w:t>
            </w:r>
          </w:p>
        </w:tc>
        <w:tc>
          <w:tcPr>
            <w:tcW w:w="1144" w:type="dxa"/>
            <w:tcBorders>
              <w:top w:val="nil"/>
              <w:left w:val="nil"/>
              <w:bottom w:val="nil"/>
              <w:right w:val="nil"/>
            </w:tcBorders>
            <w:shd w:val="clear" w:color="auto" w:fill="auto"/>
            <w:noWrap/>
            <w:vAlign w:val="bottom"/>
            <w:hideMark/>
          </w:tcPr>
          <w:p w14:paraId="3A72768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8</w:t>
            </w:r>
          </w:p>
        </w:tc>
        <w:tc>
          <w:tcPr>
            <w:tcW w:w="1144" w:type="dxa"/>
            <w:tcBorders>
              <w:top w:val="nil"/>
              <w:left w:val="nil"/>
              <w:bottom w:val="nil"/>
              <w:right w:val="nil"/>
            </w:tcBorders>
            <w:shd w:val="clear" w:color="auto" w:fill="auto"/>
            <w:noWrap/>
            <w:vAlign w:val="bottom"/>
            <w:hideMark/>
          </w:tcPr>
          <w:p w14:paraId="543A287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25</w:t>
            </w:r>
          </w:p>
        </w:tc>
        <w:tc>
          <w:tcPr>
            <w:tcW w:w="1144" w:type="dxa"/>
            <w:tcBorders>
              <w:top w:val="nil"/>
              <w:left w:val="nil"/>
              <w:bottom w:val="nil"/>
              <w:right w:val="nil"/>
            </w:tcBorders>
            <w:shd w:val="clear" w:color="auto" w:fill="auto"/>
            <w:noWrap/>
            <w:vAlign w:val="bottom"/>
            <w:hideMark/>
          </w:tcPr>
          <w:p w14:paraId="562EDD4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5EECDA2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16</w:t>
            </w:r>
          </w:p>
        </w:tc>
        <w:tc>
          <w:tcPr>
            <w:tcW w:w="1340" w:type="dxa"/>
            <w:tcBorders>
              <w:top w:val="nil"/>
              <w:left w:val="nil"/>
              <w:bottom w:val="nil"/>
              <w:right w:val="nil"/>
            </w:tcBorders>
            <w:shd w:val="clear" w:color="auto" w:fill="auto"/>
            <w:noWrap/>
            <w:vAlign w:val="bottom"/>
            <w:hideMark/>
          </w:tcPr>
          <w:p w14:paraId="3F798AF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34D60C0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396</w:t>
            </w:r>
          </w:p>
        </w:tc>
        <w:tc>
          <w:tcPr>
            <w:tcW w:w="1144" w:type="dxa"/>
            <w:tcBorders>
              <w:top w:val="nil"/>
              <w:left w:val="nil"/>
              <w:bottom w:val="nil"/>
              <w:right w:val="nil"/>
            </w:tcBorders>
            <w:shd w:val="clear" w:color="auto" w:fill="auto"/>
            <w:noWrap/>
            <w:vAlign w:val="bottom"/>
            <w:hideMark/>
          </w:tcPr>
          <w:p w14:paraId="1298A65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11,274</w:t>
            </w:r>
          </w:p>
        </w:tc>
        <w:tc>
          <w:tcPr>
            <w:tcW w:w="1253" w:type="dxa"/>
            <w:tcBorders>
              <w:top w:val="nil"/>
              <w:left w:val="nil"/>
              <w:bottom w:val="nil"/>
              <w:right w:val="nil"/>
            </w:tcBorders>
            <w:shd w:val="clear" w:color="auto" w:fill="auto"/>
            <w:noWrap/>
            <w:vAlign w:val="bottom"/>
            <w:hideMark/>
          </w:tcPr>
          <w:p w14:paraId="05320EC2" w14:textId="2292773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11,808</w:t>
            </w:r>
          </w:p>
        </w:tc>
      </w:tr>
      <w:tr w:rsidR="005C437E" w:rsidRPr="00562D3C" w14:paraId="6ED792BF" w14:textId="77777777" w:rsidTr="002F7131">
        <w:trPr>
          <w:trHeight w:val="20"/>
        </w:trPr>
        <w:tc>
          <w:tcPr>
            <w:tcW w:w="2757" w:type="dxa"/>
            <w:tcBorders>
              <w:top w:val="nil"/>
              <w:left w:val="nil"/>
              <w:bottom w:val="nil"/>
              <w:right w:val="nil"/>
            </w:tcBorders>
            <w:shd w:val="clear" w:color="auto" w:fill="auto"/>
            <w:noWrap/>
            <w:vAlign w:val="bottom"/>
            <w:hideMark/>
          </w:tcPr>
          <w:p w14:paraId="2573060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019" w:type="dxa"/>
            <w:tcBorders>
              <w:top w:val="nil"/>
              <w:left w:val="single" w:sz="4" w:space="0" w:color="0070C0"/>
              <w:bottom w:val="nil"/>
              <w:right w:val="nil"/>
            </w:tcBorders>
            <w:shd w:val="clear" w:color="auto" w:fill="auto"/>
            <w:noWrap/>
            <w:vAlign w:val="bottom"/>
            <w:hideMark/>
          </w:tcPr>
          <w:p w14:paraId="48BA351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19" w:type="dxa"/>
            <w:tcBorders>
              <w:top w:val="nil"/>
              <w:left w:val="nil"/>
              <w:bottom w:val="nil"/>
              <w:right w:val="nil"/>
            </w:tcBorders>
            <w:shd w:val="clear" w:color="auto" w:fill="auto"/>
            <w:noWrap/>
            <w:vAlign w:val="bottom"/>
            <w:hideMark/>
          </w:tcPr>
          <w:p w14:paraId="2A93C6A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44" w:type="dxa"/>
            <w:tcBorders>
              <w:top w:val="nil"/>
              <w:left w:val="nil"/>
              <w:bottom w:val="nil"/>
              <w:right w:val="nil"/>
            </w:tcBorders>
            <w:shd w:val="clear" w:color="auto" w:fill="auto"/>
            <w:noWrap/>
            <w:vAlign w:val="bottom"/>
            <w:hideMark/>
          </w:tcPr>
          <w:p w14:paraId="023945A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6A31954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0B38591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0BBF0D8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40" w:type="dxa"/>
            <w:tcBorders>
              <w:top w:val="nil"/>
              <w:left w:val="nil"/>
              <w:bottom w:val="nil"/>
              <w:right w:val="nil"/>
            </w:tcBorders>
            <w:shd w:val="clear" w:color="auto" w:fill="auto"/>
            <w:noWrap/>
            <w:vAlign w:val="bottom"/>
            <w:hideMark/>
          </w:tcPr>
          <w:p w14:paraId="3B7751D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6B8B250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541876C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3" w:type="dxa"/>
            <w:tcBorders>
              <w:top w:val="nil"/>
              <w:left w:val="nil"/>
              <w:bottom w:val="nil"/>
              <w:right w:val="nil"/>
            </w:tcBorders>
            <w:shd w:val="clear" w:color="auto" w:fill="auto"/>
            <w:noWrap/>
            <w:vAlign w:val="bottom"/>
            <w:hideMark/>
          </w:tcPr>
          <w:p w14:paraId="4991863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3448E7D4" w14:textId="77777777" w:rsidTr="002F7131">
        <w:trPr>
          <w:trHeight w:val="20"/>
        </w:trPr>
        <w:tc>
          <w:tcPr>
            <w:tcW w:w="2757" w:type="dxa"/>
            <w:tcBorders>
              <w:top w:val="nil"/>
              <w:left w:val="nil"/>
              <w:bottom w:val="nil"/>
              <w:right w:val="nil"/>
            </w:tcBorders>
            <w:shd w:val="clear" w:color="auto" w:fill="auto"/>
            <w:noWrap/>
            <w:vAlign w:val="bottom"/>
            <w:hideMark/>
          </w:tcPr>
          <w:p w14:paraId="5F259941"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562D3C">
              <w:rPr>
                <w:rFonts w:cstheme="minorHAnsi"/>
                <w:sz w:val="20"/>
              </w:rPr>
              <w:t xml:space="preserve">3 - </w:t>
            </w:r>
            <w:r w:rsidRPr="00562D3C">
              <w:rPr>
                <w:rFonts w:cstheme="minorHAnsi"/>
                <w:sz w:val="20"/>
              </w:rPr>
              <w:t>公务差旅</w:t>
            </w:r>
          </w:p>
        </w:tc>
        <w:tc>
          <w:tcPr>
            <w:tcW w:w="1019" w:type="dxa"/>
            <w:tcBorders>
              <w:top w:val="nil"/>
              <w:left w:val="single" w:sz="4" w:space="0" w:color="0070C0"/>
              <w:bottom w:val="nil"/>
              <w:right w:val="nil"/>
            </w:tcBorders>
            <w:shd w:val="clear" w:color="auto" w:fill="auto"/>
            <w:noWrap/>
            <w:vAlign w:val="bottom"/>
            <w:hideMark/>
          </w:tcPr>
          <w:p w14:paraId="407533C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225</w:t>
            </w:r>
          </w:p>
        </w:tc>
        <w:tc>
          <w:tcPr>
            <w:tcW w:w="1019" w:type="dxa"/>
            <w:tcBorders>
              <w:top w:val="nil"/>
              <w:left w:val="nil"/>
              <w:bottom w:val="nil"/>
              <w:right w:val="nil"/>
            </w:tcBorders>
            <w:shd w:val="clear" w:color="auto" w:fill="auto"/>
            <w:noWrap/>
            <w:vAlign w:val="bottom"/>
            <w:hideMark/>
          </w:tcPr>
          <w:p w14:paraId="6B50E32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538</w:t>
            </w:r>
          </w:p>
        </w:tc>
        <w:tc>
          <w:tcPr>
            <w:tcW w:w="1144" w:type="dxa"/>
            <w:tcBorders>
              <w:top w:val="nil"/>
              <w:left w:val="nil"/>
              <w:bottom w:val="nil"/>
              <w:right w:val="nil"/>
            </w:tcBorders>
            <w:shd w:val="clear" w:color="auto" w:fill="auto"/>
            <w:noWrap/>
            <w:vAlign w:val="bottom"/>
            <w:hideMark/>
          </w:tcPr>
          <w:p w14:paraId="1926A13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7A046DC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130</w:t>
            </w:r>
          </w:p>
        </w:tc>
        <w:tc>
          <w:tcPr>
            <w:tcW w:w="1144" w:type="dxa"/>
            <w:tcBorders>
              <w:top w:val="nil"/>
              <w:left w:val="nil"/>
              <w:bottom w:val="nil"/>
              <w:right w:val="nil"/>
            </w:tcBorders>
            <w:shd w:val="clear" w:color="auto" w:fill="auto"/>
            <w:noWrap/>
            <w:vAlign w:val="bottom"/>
            <w:hideMark/>
          </w:tcPr>
          <w:p w14:paraId="16F5977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66BF534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410</w:t>
            </w:r>
          </w:p>
        </w:tc>
        <w:tc>
          <w:tcPr>
            <w:tcW w:w="1340" w:type="dxa"/>
            <w:tcBorders>
              <w:top w:val="nil"/>
              <w:left w:val="nil"/>
              <w:bottom w:val="nil"/>
              <w:right w:val="nil"/>
            </w:tcBorders>
            <w:shd w:val="clear" w:color="auto" w:fill="auto"/>
            <w:noWrap/>
            <w:vAlign w:val="bottom"/>
            <w:hideMark/>
          </w:tcPr>
          <w:p w14:paraId="54EA3EA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900</w:t>
            </w:r>
          </w:p>
        </w:tc>
        <w:tc>
          <w:tcPr>
            <w:tcW w:w="1144" w:type="dxa"/>
            <w:tcBorders>
              <w:top w:val="nil"/>
              <w:left w:val="nil"/>
              <w:bottom w:val="nil"/>
              <w:right w:val="nil"/>
            </w:tcBorders>
            <w:shd w:val="clear" w:color="auto" w:fill="auto"/>
            <w:noWrap/>
            <w:vAlign w:val="bottom"/>
            <w:hideMark/>
          </w:tcPr>
          <w:p w14:paraId="39727C8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200</w:t>
            </w:r>
          </w:p>
        </w:tc>
        <w:tc>
          <w:tcPr>
            <w:tcW w:w="1144" w:type="dxa"/>
            <w:tcBorders>
              <w:top w:val="nil"/>
              <w:left w:val="nil"/>
              <w:bottom w:val="nil"/>
              <w:right w:val="nil"/>
            </w:tcBorders>
            <w:shd w:val="clear" w:color="auto" w:fill="auto"/>
            <w:noWrap/>
            <w:vAlign w:val="bottom"/>
            <w:hideMark/>
          </w:tcPr>
          <w:p w14:paraId="782074E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253" w:type="dxa"/>
            <w:tcBorders>
              <w:top w:val="nil"/>
              <w:left w:val="nil"/>
              <w:bottom w:val="nil"/>
              <w:right w:val="nil"/>
            </w:tcBorders>
            <w:shd w:val="clear" w:color="auto" w:fill="auto"/>
            <w:noWrap/>
            <w:vAlign w:val="bottom"/>
            <w:hideMark/>
          </w:tcPr>
          <w:p w14:paraId="10309EC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2,403</w:t>
            </w:r>
          </w:p>
        </w:tc>
      </w:tr>
      <w:tr w:rsidR="005C437E" w:rsidRPr="00562D3C" w14:paraId="684657FB" w14:textId="77777777" w:rsidTr="002F7131">
        <w:trPr>
          <w:trHeight w:val="20"/>
        </w:trPr>
        <w:tc>
          <w:tcPr>
            <w:tcW w:w="2757" w:type="dxa"/>
            <w:tcBorders>
              <w:top w:val="nil"/>
              <w:left w:val="nil"/>
              <w:bottom w:val="nil"/>
              <w:right w:val="nil"/>
            </w:tcBorders>
            <w:shd w:val="clear" w:color="auto" w:fill="auto"/>
            <w:noWrap/>
            <w:vAlign w:val="bottom"/>
            <w:hideMark/>
          </w:tcPr>
          <w:p w14:paraId="6BF2832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019" w:type="dxa"/>
            <w:tcBorders>
              <w:top w:val="nil"/>
              <w:left w:val="single" w:sz="4" w:space="0" w:color="0070C0"/>
              <w:bottom w:val="nil"/>
              <w:right w:val="nil"/>
            </w:tcBorders>
            <w:shd w:val="clear" w:color="auto" w:fill="auto"/>
            <w:noWrap/>
            <w:vAlign w:val="bottom"/>
            <w:hideMark/>
          </w:tcPr>
          <w:p w14:paraId="519F93B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19" w:type="dxa"/>
            <w:tcBorders>
              <w:top w:val="nil"/>
              <w:left w:val="nil"/>
              <w:bottom w:val="nil"/>
              <w:right w:val="nil"/>
            </w:tcBorders>
            <w:shd w:val="clear" w:color="auto" w:fill="auto"/>
            <w:noWrap/>
            <w:vAlign w:val="bottom"/>
            <w:hideMark/>
          </w:tcPr>
          <w:p w14:paraId="71F3A8A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44" w:type="dxa"/>
            <w:tcBorders>
              <w:top w:val="nil"/>
              <w:left w:val="nil"/>
              <w:bottom w:val="nil"/>
              <w:right w:val="nil"/>
            </w:tcBorders>
            <w:shd w:val="clear" w:color="auto" w:fill="auto"/>
            <w:noWrap/>
            <w:vAlign w:val="bottom"/>
            <w:hideMark/>
          </w:tcPr>
          <w:p w14:paraId="2B9902B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2809818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0FBB764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25B5784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40" w:type="dxa"/>
            <w:tcBorders>
              <w:top w:val="nil"/>
              <w:left w:val="nil"/>
              <w:bottom w:val="nil"/>
              <w:right w:val="nil"/>
            </w:tcBorders>
            <w:shd w:val="clear" w:color="auto" w:fill="auto"/>
            <w:noWrap/>
            <w:vAlign w:val="bottom"/>
            <w:hideMark/>
          </w:tcPr>
          <w:p w14:paraId="3DD3361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6AD01B4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4CB4433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3" w:type="dxa"/>
            <w:tcBorders>
              <w:top w:val="nil"/>
              <w:left w:val="nil"/>
              <w:bottom w:val="nil"/>
              <w:right w:val="nil"/>
            </w:tcBorders>
            <w:shd w:val="clear" w:color="auto" w:fill="auto"/>
            <w:noWrap/>
            <w:vAlign w:val="bottom"/>
            <w:hideMark/>
          </w:tcPr>
          <w:p w14:paraId="3A83AB10" w14:textId="2A574268"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254CDA7B" w14:textId="77777777" w:rsidTr="002F7131">
        <w:trPr>
          <w:trHeight w:val="20"/>
        </w:trPr>
        <w:tc>
          <w:tcPr>
            <w:tcW w:w="2757" w:type="dxa"/>
            <w:tcBorders>
              <w:top w:val="nil"/>
              <w:left w:val="nil"/>
              <w:bottom w:val="nil"/>
              <w:right w:val="nil"/>
            </w:tcBorders>
            <w:shd w:val="clear" w:color="auto" w:fill="auto"/>
            <w:noWrap/>
            <w:vAlign w:val="bottom"/>
            <w:hideMark/>
          </w:tcPr>
          <w:p w14:paraId="6DAA29D9"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562D3C">
              <w:rPr>
                <w:rFonts w:cstheme="minorHAnsi"/>
                <w:sz w:val="20"/>
              </w:rPr>
              <w:t xml:space="preserve">4 - </w:t>
            </w:r>
            <w:r w:rsidRPr="00562D3C">
              <w:rPr>
                <w:rFonts w:cstheme="minorHAnsi"/>
                <w:sz w:val="20"/>
              </w:rPr>
              <w:t>合同服务</w:t>
            </w:r>
          </w:p>
        </w:tc>
        <w:tc>
          <w:tcPr>
            <w:tcW w:w="1019" w:type="dxa"/>
            <w:tcBorders>
              <w:top w:val="nil"/>
              <w:left w:val="single" w:sz="4" w:space="0" w:color="0070C0"/>
              <w:bottom w:val="nil"/>
              <w:right w:val="nil"/>
            </w:tcBorders>
            <w:shd w:val="clear" w:color="auto" w:fill="auto"/>
            <w:noWrap/>
            <w:vAlign w:val="bottom"/>
            <w:hideMark/>
          </w:tcPr>
          <w:p w14:paraId="341458B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140</w:t>
            </w:r>
          </w:p>
        </w:tc>
        <w:tc>
          <w:tcPr>
            <w:tcW w:w="1019" w:type="dxa"/>
            <w:tcBorders>
              <w:top w:val="nil"/>
              <w:left w:val="nil"/>
              <w:bottom w:val="nil"/>
              <w:right w:val="nil"/>
            </w:tcBorders>
            <w:shd w:val="clear" w:color="auto" w:fill="auto"/>
            <w:noWrap/>
            <w:vAlign w:val="bottom"/>
            <w:hideMark/>
          </w:tcPr>
          <w:p w14:paraId="0B9CAAD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1451E63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3</w:t>
            </w:r>
          </w:p>
        </w:tc>
        <w:tc>
          <w:tcPr>
            <w:tcW w:w="1144" w:type="dxa"/>
            <w:tcBorders>
              <w:top w:val="nil"/>
              <w:left w:val="nil"/>
              <w:bottom w:val="nil"/>
              <w:right w:val="nil"/>
            </w:tcBorders>
            <w:shd w:val="clear" w:color="auto" w:fill="auto"/>
            <w:noWrap/>
            <w:vAlign w:val="bottom"/>
            <w:hideMark/>
          </w:tcPr>
          <w:p w14:paraId="24F8F6F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140</w:t>
            </w:r>
          </w:p>
        </w:tc>
        <w:tc>
          <w:tcPr>
            <w:tcW w:w="1144" w:type="dxa"/>
            <w:tcBorders>
              <w:top w:val="nil"/>
              <w:left w:val="nil"/>
              <w:bottom w:val="nil"/>
              <w:right w:val="nil"/>
            </w:tcBorders>
            <w:shd w:val="clear" w:color="auto" w:fill="auto"/>
            <w:noWrap/>
            <w:vAlign w:val="bottom"/>
            <w:hideMark/>
          </w:tcPr>
          <w:p w14:paraId="7E2628C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700</w:t>
            </w:r>
          </w:p>
        </w:tc>
        <w:tc>
          <w:tcPr>
            <w:tcW w:w="1144" w:type="dxa"/>
            <w:tcBorders>
              <w:top w:val="nil"/>
              <w:left w:val="nil"/>
              <w:bottom w:val="nil"/>
              <w:right w:val="nil"/>
            </w:tcBorders>
            <w:shd w:val="clear" w:color="auto" w:fill="auto"/>
            <w:noWrap/>
            <w:vAlign w:val="bottom"/>
            <w:hideMark/>
          </w:tcPr>
          <w:p w14:paraId="18F85BF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32</w:t>
            </w:r>
          </w:p>
        </w:tc>
        <w:tc>
          <w:tcPr>
            <w:tcW w:w="1340" w:type="dxa"/>
            <w:tcBorders>
              <w:top w:val="nil"/>
              <w:left w:val="nil"/>
              <w:bottom w:val="nil"/>
              <w:right w:val="nil"/>
            </w:tcBorders>
            <w:shd w:val="clear" w:color="auto" w:fill="auto"/>
            <w:noWrap/>
            <w:vAlign w:val="bottom"/>
            <w:hideMark/>
          </w:tcPr>
          <w:p w14:paraId="0AEC4F8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510</w:t>
            </w:r>
          </w:p>
        </w:tc>
        <w:tc>
          <w:tcPr>
            <w:tcW w:w="1144" w:type="dxa"/>
            <w:tcBorders>
              <w:top w:val="nil"/>
              <w:left w:val="nil"/>
              <w:bottom w:val="nil"/>
              <w:right w:val="nil"/>
            </w:tcBorders>
            <w:shd w:val="clear" w:color="auto" w:fill="auto"/>
            <w:noWrap/>
            <w:vAlign w:val="bottom"/>
            <w:hideMark/>
          </w:tcPr>
          <w:p w14:paraId="26B37DC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4EED1AA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253" w:type="dxa"/>
            <w:tcBorders>
              <w:top w:val="nil"/>
              <w:left w:val="nil"/>
              <w:bottom w:val="nil"/>
              <w:right w:val="nil"/>
            </w:tcBorders>
            <w:shd w:val="clear" w:color="auto" w:fill="auto"/>
            <w:noWrap/>
            <w:vAlign w:val="bottom"/>
            <w:hideMark/>
          </w:tcPr>
          <w:p w14:paraId="7925417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1,525</w:t>
            </w:r>
          </w:p>
        </w:tc>
      </w:tr>
      <w:tr w:rsidR="005C437E" w:rsidRPr="00562D3C" w14:paraId="46B614CE" w14:textId="77777777" w:rsidTr="002F7131">
        <w:trPr>
          <w:trHeight w:val="20"/>
        </w:trPr>
        <w:tc>
          <w:tcPr>
            <w:tcW w:w="2757" w:type="dxa"/>
            <w:tcBorders>
              <w:top w:val="nil"/>
              <w:left w:val="nil"/>
              <w:bottom w:val="nil"/>
              <w:right w:val="nil"/>
            </w:tcBorders>
            <w:shd w:val="clear" w:color="auto" w:fill="auto"/>
            <w:noWrap/>
            <w:vAlign w:val="bottom"/>
            <w:hideMark/>
          </w:tcPr>
          <w:p w14:paraId="1066645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019" w:type="dxa"/>
            <w:tcBorders>
              <w:top w:val="nil"/>
              <w:left w:val="single" w:sz="4" w:space="0" w:color="0070C0"/>
              <w:bottom w:val="nil"/>
              <w:right w:val="nil"/>
            </w:tcBorders>
            <w:shd w:val="clear" w:color="auto" w:fill="auto"/>
            <w:noWrap/>
            <w:vAlign w:val="bottom"/>
            <w:hideMark/>
          </w:tcPr>
          <w:p w14:paraId="43245EA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19" w:type="dxa"/>
            <w:tcBorders>
              <w:top w:val="nil"/>
              <w:left w:val="nil"/>
              <w:bottom w:val="nil"/>
              <w:right w:val="nil"/>
            </w:tcBorders>
            <w:shd w:val="clear" w:color="auto" w:fill="auto"/>
            <w:noWrap/>
            <w:vAlign w:val="bottom"/>
            <w:hideMark/>
          </w:tcPr>
          <w:p w14:paraId="654F3E7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44" w:type="dxa"/>
            <w:tcBorders>
              <w:top w:val="nil"/>
              <w:left w:val="nil"/>
              <w:bottom w:val="nil"/>
              <w:right w:val="nil"/>
            </w:tcBorders>
            <w:shd w:val="clear" w:color="auto" w:fill="auto"/>
            <w:noWrap/>
            <w:vAlign w:val="bottom"/>
            <w:hideMark/>
          </w:tcPr>
          <w:p w14:paraId="2C1B943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39113AE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650C6EC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2901B19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40" w:type="dxa"/>
            <w:tcBorders>
              <w:top w:val="nil"/>
              <w:left w:val="nil"/>
              <w:bottom w:val="nil"/>
              <w:right w:val="nil"/>
            </w:tcBorders>
            <w:shd w:val="clear" w:color="auto" w:fill="auto"/>
            <w:noWrap/>
            <w:vAlign w:val="bottom"/>
            <w:hideMark/>
          </w:tcPr>
          <w:p w14:paraId="4107A32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5D0B2E8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11054B6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3" w:type="dxa"/>
            <w:tcBorders>
              <w:top w:val="nil"/>
              <w:left w:val="nil"/>
              <w:bottom w:val="nil"/>
              <w:right w:val="nil"/>
            </w:tcBorders>
            <w:shd w:val="clear" w:color="auto" w:fill="auto"/>
            <w:noWrap/>
            <w:vAlign w:val="bottom"/>
            <w:hideMark/>
          </w:tcPr>
          <w:p w14:paraId="1329D3F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129CCBB2" w14:textId="77777777" w:rsidTr="002F7131">
        <w:trPr>
          <w:trHeight w:val="20"/>
        </w:trPr>
        <w:tc>
          <w:tcPr>
            <w:tcW w:w="2757" w:type="dxa"/>
            <w:tcBorders>
              <w:top w:val="nil"/>
              <w:left w:val="nil"/>
              <w:bottom w:val="nil"/>
              <w:right w:val="nil"/>
            </w:tcBorders>
            <w:shd w:val="clear" w:color="auto" w:fill="auto"/>
            <w:vAlign w:val="bottom"/>
            <w:hideMark/>
          </w:tcPr>
          <w:p w14:paraId="52490DC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562D3C">
              <w:rPr>
                <w:rFonts w:cstheme="minorHAnsi"/>
                <w:sz w:val="20"/>
                <w:lang w:eastAsia="zh-CN"/>
              </w:rPr>
              <w:t xml:space="preserve">5 - </w:t>
            </w:r>
            <w:r w:rsidRPr="00562D3C">
              <w:rPr>
                <w:rFonts w:cstheme="minorHAnsi"/>
                <w:sz w:val="20"/>
                <w:lang w:eastAsia="zh-CN"/>
              </w:rPr>
              <w:t>房屋设施和设备的租用与维护</w:t>
            </w:r>
          </w:p>
        </w:tc>
        <w:tc>
          <w:tcPr>
            <w:tcW w:w="1019" w:type="dxa"/>
            <w:tcBorders>
              <w:top w:val="nil"/>
              <w:left w:val="single" w:sz="4" w:space="0" w:color="0070C0"/>
              <w:bottom w:val="nil"/>
              <w:right w:val="nil"/>
            </w:tcBorders>
            <w:shd w:val="clear" w:color="auto" w:fill="auto"/>
            <w:noWrap/>
            <w:vAlign w:val="bottom"/>
            <w:hideMark/>
          </w:tcPr>
          <w:p w14:paraId="57A1AD0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220</w:t>
            </w:r>
          </w:p>
        </w:tc>
        <w:tc>
          <w:tcPr>
            <w:tcW w:w="1019" w:type="dxa"/>
            <w:tcBorders>
              <w:top w:val="nil"/>
              <w:left w:val="nil"/>
              <w:bottom w:val="nil"/>
              <w:right w:val="nil"/>
            </w:tcBorders>
            <w:shd w:val="clear" w:color="auto" w:fill="auto"/>
            <w:noWrap/>
            <w:vAlign w:val="bottom"/>
            <w:hideMark/>
          </w:tcPr>
          <w:p w14:paraId="7077F8C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458FC13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36F4031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195</w:t>
            </w:r>
          </w:p>
        </w:tc>
        <w:tc>
          <w:tcPr>
            <w:tcW w:w="1144" w:type="dxa"/>
            <w:tcBorders>
              <w:top w:val="nil"/>
              <w:left w:val="nil"/>
              <w:bottom w:val="nil"/>
              <w:right w:val="nil"/>
            </w:tcBorders>
            <w:shd w:val="clear" w:color="auto" w:fill="auto"/>
            <w:noWrap/>
            <w:vAlign w:val="bottom"/>
            <w:hideMark/>
          </w:tcPr>
          <w:p w14:paraId="4A2683D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429C685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36</w:t>
            </w:r>
          </w:p>
        </w:tc>
        <w:tc>
          <w:tcPr>
            <w:tcW w:w="1340" w:type="dxa"/>
            <w:tcBorders>
              <w:top w:val="nil"/>
              <w:left w:val="nil"/>
              <w:bottom w:val="nil"/>
              <w:right w:val="nil"/>
            </w:tcBorders>
            <w:shd w:val="clear" w:color="auto" w:fill="auto"/>
            <w:noWrap/>
            <w:vAlign w:val="bottom"/>
            <w:hideMark/>
          </w:tcPr>
          <w:p w14:paraId="055C4D1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80</w:t>
            </w:r>
          </w:p>
        </w:tc>
        <w:tc>
          <w:tcPr>
            <w:tcW w:w="1144" w:type="dxa"/>
            <w:tcBorders>
              <w:top w:val="nil"/>
              <w:left w:val="nil"/>
              <w:bottom w:val="nil"/>
              <w:right w:val="nil"/>
            </w:tcBorders>
            <w:shd w:val="clear" w:color="auto" w:fill="auto"/>
            <w:noWrap/>
            <w:vAlign w:val="bottom"/>
            <w:hideMark/>
          </w:tcPr>
          <w:p w14:paraId="41054F2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03B9898C" w14:textId="7641B52D"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253" w:type="dxa"/>
            <w:tcBorders>
              <w:top w:val="nil"/>
              <w:left w:val="nil"/>
              <w:bottom w:val="nil"/>
              <w:right w:val="nil"/>
            </w:tcBorders>
            <w:shd w:val="clear" w:color="auto" w:fill="auto"/>
            <w:noWrap/>
            <w:vAlign w:val="bottom"/>
            <w:hideMark/>
          </w:tcPr>
          <w:p w14:paraId="7FDE6A3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531</w:t>
            </w:r>
          </w:p>
        </w:tc>
      </w:tr>
      <w:tr w:rsidR="005C437E" w:rsidRPr="00562D3C" w14:paraId="6E00284B" w14:textId="77777777" w:rsidTr="002F7131">
        <w:trPr>
          <w:trHeight w:val="20"/>
        </w:trPr>
        <w:tc>
          <w:tcPr>
            <w:tcW w:w="2757" w:type="dxa"/>
            <w:tcBorders>
              <w:top w:val="nil"/>
              <w:left w:val="nil"/>
              <w:bottom w:val="nil"/>
              <w:right w:val="nil"/>
            </w:tcBorders>
            <w:shd w:val="clear" w:color="auto" w:fill="auto"/>
            <w:noWrap/>
            <w:vAlign w:val="bottom"/>
            <w:hideMark/>
          </w:tcPr>
          <w:p w14:paraId="243F22B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019" w:type="dxa"/>
            <w:tcBorders>
              <w:top w:val="nil"/>
              <w:left w:val="single" w:sz="4" w:space="0" w:color="0070C0"/>
              <w:bottom w:val="nil"/>
              <w:right w:val="nil"/>
            </w:tcBorders>
            <w:shd w:val="clear" w:color="auto" w:fill="auto"/>
            <w:noWrap/>
            <w:vAlign w:val="bottom"/>
            <w:hideMark/>
          </w:tcPr>
          <w:p w14:paraId="2524738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19" w:type="dxa"/>
            <w:tcBorders>
              <w:top w:val="nil"/>
              <w:left w:val="nil"/>
              <w:bottom w:val="nil"/>
              <w:right w:val="nil"/>
            </w:tcBorders>
            <w:shd w:val="clear" w:color="auto" w:fill="auto"/>
            <w:noWrap/>
            <w:vAlign w:val="bottom"/>
            <w:hideMark/>
          </w:tcPr>
          <w:p w14:paraId="02716EE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44" w:type="dxa"/>
            <w:tcBorders>
              <w:top w:val="nil"/>
              <w:left w:val="nil"/>
              <w:bottom w:val="nil"/>
              <w:right w:val="nil"/>
            </w:tcBorders>
            <w:shd w:val="clear" w:color="auto" w:fill="auto"/>
            <w:noWrap/>
            <w:vAlign w:val="bottom"/>
            <w:hideMark/>
          </w:tcPr>
          <w:p w14:paraId="54B8010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320C98C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284EDBD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7454D27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40" w:type="dxa"/>
            <w:tcBorders>
              <w:top w:val="nil"/>
              <w:left w:val="nil"/>
              <w:bottom w:val="nil"/>
              <w:right w:val="nil"/>
            </w:tcBorders>
            <w:shd w:val="clear" w:color="auto" w:fill="auto"/>
            <w:noWrap/>
            <w:vAlign w:val="bottom"/>
            <w:hideMark/>
          </w:tcPr>
          <w:p w14:paraId="751B401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3176FEB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3D15664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3" w:type="dxa"/>
            <w:tcBorders>
              <w:top w:val="nil"/>
              <w:left w:val="nil"/>
              <w:bottom w:val="nil"/>
              <w:right w:val="nil"/>
            </w:tcBorders>
            <w:shd w:val="clear" w:color="auto" w:fill="auto"/>
            <w:noWrap/>
            <w:vAlign w:val="bottom"/>
            <w:hideMark/>
          </w:tcPr>
          <w:p w14:paraId="790272E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02048C17" w14:textId="77777777" w:rsidTr="002F7131">
        <w:trPr>
          <w:trHeight w:val="20"/>
        </w:trPr>
        <w:tc>
          <w:tcPr>
            <w:tcW w:w="2757" w:type="dxa"/>
            <w:tcBorders>
              <w:top w:val="nil"/>
              <w:left w:val="nil"/>
              <w:bottom w:val="nil"/>
              <w:right w:val="nil"/>
            </w:tcBorders>
            <w:shd w:val="clear" w:color="auto" w:fill="auto"/>
            <w:noWrap/>
            <w:vAlign w:val="bottom"/>
            <w:hideMark/>
          </w:tcPr>
          <w:p w14:paraId="1716ADA0"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562D3C">
              <w:rPr>
                <w:rFonts w:cstheme="minorHAnsi"/>
                <w:sz w:val="20"/>
              </w:rPr>
              <w:t xml:space="preserve">6 - </w:t>
            </w:r>
            <w:r w:rsidRPr="00562D3C">
              <w:rPr>
                <w:rFonts w:cstheme="minorHAnsi"/>
                <w:sz w:val="20"/>
              </w:rPr>
              <w:t>材料和办公用品</w:t>
            </w:r>
          </w:p>
        </w:tc>
        <w:tc>
          <w:tcPr>
            <w:tcW w:w="1019" w:type="dxa"/>
            <w:tcBorders>
              <w:top w:val="nil"/>
              <w:left w:val="single" w:sz="4" w:space="0" w:color="0070C0"/>
              <w:bottom w:val="nil"/>
              <w:right w:val="nil"/>
            </w:tcBorders>
            <w:shd w:val="clear" w:color="auto" w:fill="auto"/>
            <w:noWrap/>
            <w:vAlign w:val="bottom"/>
            <w:hideMark/>
          </w:tcPr>
          <w:p w14:paraId="5C0F87A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12</w:t>
            </w:r>
          </w:p>
        </w:tc>
        <w:tc>
          <w:tcPr>
            <w:tcW w:w="1019" w:type="dxa"/>
            <w:tcBorders>
              <w:top w:val="nil"/>
              <w:left w:val="nil"/>
              <w:bottom w:val="nil"/>
              <w:right w:val="nil"/>
            </w:tcBorders>
            <w:shd w:val="clear" w:color="auto" w:fill="auto"/>
            <w:noWrap/>
            <w:vAlign w:val="bottom"/>
            <w:hideMark/>
          </w:tcPr>
          <w:p w14:paraId="5AD3D1C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10</w:t>
            </w:r>
          </w:p>
        </w:tc>
        <w:tc>
          <w:tcPr>
            <w:tcW w:w="1144" w:type="dxa"/>
            <w:tcBorders>
              <w:top w:val="nil"/>
              <w:left w:val="nil"/>
              <w:bottom w:val="nil"/>
              <w:right w:val="nil"/>
            </w:tcBorders>
            <w:shd w:val="clear" w:color="auto" w:fill="auto"/>
            <w:noWrap/>
            <w:vAlign w:val="bottom"/>
            <w:hideMark/>
          </w:tcPr>
          <w:p w14:paraId="0B24B84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3</w:t>
            </w:r>
          </w:p>
        </w:tc>
        <w:tc>
          <w:tcPr>
            <w:tcW w:w="1144" w:type="dxa"/>
            <w:tcBorders>
              <w:top w:val="nil"/>
              <w:left w:val="nil"/>
              <w:bottom w:val="nil"/>
              <w:right w:val="nil"/>
            </w:tcBorders>
            <w:shd w:val="clear" w:color="auto" w:fill="auto"/>
            <w:noWrap/>
            <w:vAlign w:val="bottom"/>
            <w:hideMark/>
          </w:tcPr>
          <w:p w14:paraId="1ABD8F7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17</w:t>
            </w:r>
          </w:p>
        </w:tc>
        <w:tc>
          <w:tcPr>
            <w:tcW w:w="1144" w:type="dxa"/>
            <w:tcBorders>
              <w:top w:val="nil"/>
              <w:left w:val="nil"/>
              <w:bottom w:val="nil"/>
              <w:right w:val="nil"/>
            </w:tcBorders>
            <w:shd w:val="clear" w:color="auto" w:fill="auto"/>
            <w:noWrap/>
            <w:vAlign w:val="bottom"/>
            <w:hideMark/>
          </w:tcPr>
          <w:p w14:paraId="7534EF9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0AD8524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3</w:t>
            </w:r>
          </w:p>
        </w:tc>
        <w:tc>
          <w:tcPr>
            <w:tcW w:w="1340" w:type="dxa"/>
            <w:tcBorders>
              <w:top w:val="nil"/>
              <w:left w:val="nil"/>
              <w:bottom w:val="nil"/>
              <w:right w:val="nil"/>
            </w:tcBorders>
            <w:shd w:val="clear" w:color="auto" w:fill="auto"/>
            <w:noWrap/>
            <w:vAlign w:val="bottom"/>
            <w:hideMark/>
          </w:tcPr>
          <w:p w14:paraId="27D8CF7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60</w:t>
            </w:r>
          </w:p>
        </w:tc>
        <w:tc>
          <w:tcPr>
            <w:tcW w:w="1144" w:type="dxa"/>
            <w:tcBorders>
              <w:top w:val="nil"/>
              <w:left w:val="nil"/>
              <w:bottom w:val="nil"/>
              <w:right w:val="nil"/>
            </w:tcBorders>
            <w:shd w:val="clear" w:color="auto" w:fill="auto"/>
            <w:noWrap/>
            <w:vAlign w:val="bottom"/>
            <w:hideMark/>
          </w:tcPr>
          <w:p w14:paraId="439B32F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33FEEC7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253" w:type="dxa"/>
            <w:tcBorders>
              <w:top w:val="nil"/>
              <w:left w:val="nil"/>
              <w:bottom w:val="nil"/>
              <w:right w:val="nil"/>
            </w:tcBorders>
            <w:shd w:val="clear" w:color="auto" w:fill="auto"/>
            <w:noWrap/>
            <w:vAlign w:val="bottom"/>
            <w:hideMark/>
          </w:tcPr>
          <w:p w14:paraId="55C1AC8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105</w:t>
            </w:r>
          </w:p>
        </w:tc>
      </w:tr>
      <w:tr w:rsidR="005C437E" w:rsidRPr="00562D3C" w14:paraId="6761F9D5" w14:textId="77777777" w:rsidTr="002F7131">
        <w:trPr>
          <w:trHeight w:val="20"/>
        </w:trPr>
        <w:tc>
          <w:tcPr>
            <w:tcW w:w="2757" w:type="dxa"/>
            <w:tcBorders>
              <w:top w:val="nil"/>
              <w:left w:val="nil"/>
              <w:bottom w:val="nil"/>
              <w:right w:val="nil"/>
            </w:tcBorders>
            <w:shd w:val="clear" w:color="auto" w:fill="auto"/>
            <w:noWrap/>
            <w:vAlign w:val="bottom"/>
            <w:hideMark/>
          </w:tcPr>
          <w:p w14:paraId="037F080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019" w:type="dxa"/>
            <w:tcBorders>
              <w:top w:val="nil"/>
              <w:left w:val="single" w:sz="4" w:space="0" w:color="0070C0"/>
              <w:bottom w:val="nil"/>
              <w:right w:val="nil"/>
            </w:tcBorders>
            <w:shd w:val="clear" w:color="auto" w:fill="auto"/>
            <w:noWrap/>
            <w:vAlign w:val="bottom"/>
            <w:hideMark/>
          </w:tcPr>
          <w:p w14:paraId="3B64AF5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19" w:type="dxa"/>
            <w:tcBorders>
              <w:top w:val="nil"/>
              <w:left w:val="nil"/>
              <w:bottom w:val="nil"/>
              <w:right w:val="nil"/>
            </w:tcBorders>
            <w:shd w:val="clear" w:color="auto" w:fill="auto"/>
            <w:noWrap/>
            <w:vAlign w:val="bottom"/>
            <w:hideMark/>
          </w:tcPr>
          <w:p w14:paraId="20A6AA0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44" w:type="dxa"/>
            <w:tcBorders>
              <w:top w:val="nil"/>
              <w:left w:val="nil"/>
              <w:bottom w:val="nil"/>
              <w:right w:val="nil"/>
            </w:tcBorders>
            <w:shd w:val="clear" w:color="auto" w:fill="auto"/>
            <w:noWrap/>
            <w:vAlign w:val="bottom"/>
            <w:hideMark/>
          </w:tcPr>
          <w:p w14:paraId="34D5C9E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08AE6F7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26F700F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6CEC202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40" w:type="dxa"/>
            <w:tcBorders>
              <w:top w:val="nil"/>
              <w:left w:val="nil"/>
              <w:bottom w:val="nil"/>
              <w:right w:val="nil"/>
            </w:tcBorders>
            <w:shd w:val="clear" w:color="auto" w:fill="auto"/>
            <w:noWrap/>
            <w:vAlign w:val="bottom"/>
            <w:hideMark/>
          </w:tcPr>
          <w:p w14:paraId="399A42A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6DFBA30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69AB5E99" w14:textId="7A24C7D5"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3" w:type="dxa"/>
            <w:tcBorders>
              <w:top w:val="nil"/>
              <w:left w:val="nil"/>
              <w:bottom w:val="nil"/>
              <w:right w:val="nil"/>
            </w:tcBorders>
            <w:shd w:val="clear" w:color="auto" w:fill="auto"/>
            <w:noWrap/>
            <w:vAlign w:val="bottom"/>
            <w:hideMark/>
          </w:tcPr>
          <w:p w14:paraId="6E59000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65F5F9B8" w14:textId="77777777" w:rsidTr="002F7131">
        <w:trPr>
          <w:trHeight w:val="20"/>
        </w:trPr>
        <w:tc>
          <w:tcPr>
            <w:tcW w:w="2757" w:type="dxa"/>
            <w:tcBorders>
              <w:top w:val="nil"/>
              <w:left w:val="nil"/>
              <w:bottom w:val="nil"/>
              <w:right w:val="nil"/>
            </w:tcBorders>
            <w:shd w:val="clear" w:color="auto" w:fill="auto"/>
            <w:vAlign w:val="bottom"/>
            <w:hideMark/>
          </w:tcPr>
          <w:p w14:paraId="34BA47B5"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Pr>
                <w:rFonts w:cstheme="minorHAnsi"/>
                <w:sz w:val="20"/>
                <w:lang w:eastAsia="zh-CN"/>
              </w:rPr>
              <w:t xml:space="preserve">7 - </w:t>
            </w:r>
            <w:r w:rsidRPr="00562D3C">
              <w:rPr>
                <w:rFonts w:cstheme="minorHAnsi"/>
                <w:sz w:val="20"/>
                <w:lang w:eastAsia="zh-CN"/>
              </w:rPr>
              <w:t>房屋设施、家具和</w:t>
            </w:r>
            <w:r>
              <w:rPr>
                <w:rFonts w:cstheme="minorHAnsi"/>
                <w:sz w:val="20"/>
                <w:lang w:eastAsia="zh-CN"/>
              </w:rPr>
              <w:br/>
            </w:r>
            <w:r w:rsidRPr="00562D3C">
              <w:rPr>
                <w:rFonts w:cstheme="minorHAnsi"/>
                <w:sz w:val="20"/>
                <w:lang w:eastAsia="zh-CN"/>
              </w:rPr>
              <w:t>设备的采购</w:t>
            </w:r>
          </w:p>
        </w:tc>
        <w:tc>
          <w:tcPr>
            <w:tcW w:w="1019" w:type="dxa"/>
            <w:tcBorders>
              <w:top w:val="nil"/>
              <w:left w:val="single" w:sz="4" w:space="0" w:color="0070C0"/>
              <w:bottom w:val="nil"/>
              <w:right w:val="nil"/>
            </w:tcBorders>
            <w:shd w:val="clear" w:color="auto" w:fill="auto"/>
            <w:noWrap/>
            <w:vAlign w:val="bottom"/>
            <w:hideMark/>
          </w:tcPr>
          <w:p w14:paraId="695DB0B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4</w:t>
            </w:r>
          </w:p>
        </w:tc>
        <w:tc>
          <w:tcPr>
            <w:tcW w:w="1019" w:type="dxa"/>
            <w:tcBorders>
              <w:top w:val="nil"/>
              <w:left w:val="nil"/>
              <w:bottom w:val="nil"/>
              <w:right w:val="nil"/>
            </w:tcBorders>
            <w:shd w:val="clear" w:color="auto" w:fill="auto"/>
            <w:noWrap/>
            <w:vAlign w:val="bottom"/>
            <w:hideMark/>
          </w:tcPr>
          <w:p w14:paraId="4A520F2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491C833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65E1CCD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227C060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0AFF538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5</w:t>
            </w:r>
          </w:p>
        </w:tc>
        <w:tc>
          <w:tcPr>
            <w:tcW w:w="1340" w:type="dxa"/>
            <w:tcBorders>
              <w:top w:val="nil"/>
              <w:left w:val="nil"/>
              <w:bottom w:val="nil"/>
              <w:right w:val="nil"/>
            </w:tcBorders>
            <w:shd w:val="clear" w:color="auto" w:fill="auto"/>
            <w:noWrap/>
            <w:vAlign w:val="bottom"/>
            <w:hideMark/>
          </w:tcPr>
          <w:p w14:paraId="0033D22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918</w:t>
            </w:r>
          </w:p>
        </w:tc>
        <w:tc>
          <w:tcPr>
            <w:tcW w:w="1144" w:type="dxa"/>
            <w:tcBorders>
              <w:top w:val="nil"/>
              <w:left w:val="nil"/>
              <w:bottom w:val="nil"/>
              <w:right w:val="nil"/>
            </w:tcBorders>
            <w:shd w:val="clear" w:color="auto" w:fill="auto"/>
            <w:noWrap/>
            <w:vAlign w:val="bottom"/>
            <w:hideMark/>
          </w:tcPr>
          <w:p w14:paraId="5F12354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5891C798" w14:textId="0570BDC3"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253" w:type="dxa"/>
            <w:tcBorders>
              <w:top w:val="nil"/>
              <w:left w:val="nil"/>
              <w:bottom w:val="nil"/>
              <w:right w:val="nil"/>
            </w:tcBorders>
            <w:shd w:val="clear" w:color="auto" w:fill="auto"/>
            <w:noWrap/>
            <w:vAlign w:val="bottom"/>
            <w:hideMark/>
          </w:tcPr>
          <w:p w14:paraId="6BA2F74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927</w:t>
            </w:r>
          </w:p>
        </w:tc>
      </w:tr>
      <w:tr w:rsidR="005C437E" w:rsidRPr="00562D3C" w14:paraId="0886B2BB" w14:textId="77777777" w:rsidTr="002F7131">
        <w:trPr>
          <w:trHeight w:val="20"/>
        </w:trPr>
        <w:tc>
          <w:tcPr>
            <w:tcW w:w="2757" w:type="dxa"/>
            <w:tcBorders>
              <w:top w:val="nil"/>
              <w:left w:val="nil"/>
              <w:bottom w:val="nil"/>
              <w:right w:val="nil"/>
            </w:tcBorders>
            <w:shd w:val="clear" w:color="auto" w:fill="auto"/>
            <w:noWrap/>
            <w:vAlign w:val="bottom"/>
            <w:hideMark/>
          </w:tcPr>
          <w:p w14:paraId="287A034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019" w:type="dxa"/>
            <w:tcBorders>
              <w:top w:val="nil"/>
              <w:left w:val="single" w:sz="4" w:space="0" w:color="0070C0"/>
              <w:bottom w:val="nil"/>
              <w:right w:val="nil"/>
            </w:tcBorders>
            <w:shd w:val="clear" w:color="auto" w:fill="auto"/>
            <w:noWrap/>
            <w:vAlign w:val="bottom"/>
            <w:hideMark/>
          </w:tcPr>
          <w:p w14:paraId="6BDB8E4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19" w:type="dxa"/>
            <w:tcBorders>
              <w:top w:val="nil"/>
              <w:left w:val="nil"/>
              <w:bottom w:val="nil"/>
              <w:right w:val="nil"/>
            </w:tcBorders>
            <w:shd w:val="clear" w:color="auto" w:fill="auto"/>
            <w:noWrap/>
            <w:vAlign w:val="bottom"/>
            <w:hideMark/>
          </w:tcPr>
          <w:p w14:paraId="60EF414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44" w:type="dxa"/>
            <w:tcBorders>
              <w:top w:val="nil"/>
              <w:left w:val="nil"/>
              <w:bottom w:val="nil"/>
              <w:right w:val="nil"/>
            </w:tcBorders>
            <w:shd w:val="clear" w:color="auto" w:fill="auto"/>
            <w:noWrap/>
            <w:vAlign w:val="bottom"/>
            <w:hideMark/>
          </w:tcPr>
          <w:p w14:paraId="55A8B6E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447EBCC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4D1BE7F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429FD7B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40" w:type="dxa"/>
            <w:tcBorders>
              <w:top w:val="nil"/>
              <w:left w:val="nil"/>
              <w:bottom w:val="nil"/>
              <w:right w:val="nil"/>
            </w:tcBorders>
            <w:shd w:val="clear" w:color="auto" w:fill="auto"/>
            <w:noWrap/>
            <w:vAlign w:val="bottom"/>
            <w:hideMark/>
          </w:tcPr>
          <w:p w14:paraId="092426A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4AECC3D1" w14:textId="6A6AA2D0"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7821044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3" w:type="dxa"/>
            <w:tcBorders>
              <w:top w:val="nil"/>
              <w:left w:val="nil"/>
              <w:bottom w:val="nil"/>
              <w:right w:val="nil"/>
            </w:tcBorders>
            <w:shd w:val="clear" w:color="auto" w:fill="auto"/>
            <w:noWrap/>
            <w:vAlign w:val="bottom"/>
            <w:hideMark/>
          </w:tcPr>
          <w:p w14:paraId="25AD684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2D929CDF" w14:textId="77777777" w:rsidTr="002F7131">
        <w:trPr>
          <w:trHeight w:val="20"/>
        </w:trPr>
        <w:tc>
          <w:tcPr>
            <w:tcW w:w="2757" w:type="dxa"/>
            <w:tcBorders>
              <w:top w:val="nil"/>
              <w:left w:val="nil"/>
              <w:bottom w:val="nil"/>
              <w:right w:val="nil"/>
            </w:tcBorders>
            <w:shd w:val="clear" w:color="auto" w:fill="auto"/>
            <w:vAlign w:val="bottom"/>
            <w:hideMark/>
          </w:tcPr>
          <w:p w14:paraId="32836D3A"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562D3C">
              <w:rPr>
                <w:rFonts w:cstheme="minorHAnsi"/>
                <w:sz w:val="20"/>
              </w:rPr>
              <w:t xml:space="preserve">8 - </w:t>
            </w:r>
            <w:r w:rsidRPr="00562D3C">
              <w:rPr>
                <w:rFonts w:cstheme="minorHAnsi"/>
                <w:sz w:val="20"/>
              </w:rPr>
              <w:t>公共和内部服务设施</w:t>
            </w:r>
          </w:p>
        </w:tc>
        <w:tc>
          <w:tcPr>
            <w:tcW w:w="1019" w:type="dxa"/>
            <w:tcBorders>
              <w:top w:val="nil"/>
              <w:left w:val="single" w:sz="4" w:space="0" w:color="0070C0"/>
              <w:bottom w:val="nil"/>
              <w:right w:val="nil"/>
            </w:tcBorders>
            <w:shd w:val="clear" w:color="auto" w:fill="auto"/>
            <w:noWrap/>
            <w:vAlign w:val="bottom"/>
            <w:hideMark/>
          </w:tcPr>
          <w:p w14:paraId="770213D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19" w:type="dxa"/>
            <w:tcBorders>
              <w:top w:val="nil"/>
              <w:left w:val="nil"/>
              <w:bottom w:val="nil"/>
              <w:right w:val="nil"/>
            </w:tcBorders>
            <w:shd w:val="clear" w:color="auto" w:fill="auto"/>
            <w:noWrap/>
            <w:vAlign w:val="bottom"/>
            <w:hideMark/>
          </w:tcPr>
          <w:p w14:paraId="25C14EF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4</w:t>
            </w:r>
          </w:p>
        </w:tc>
        <w:tc>
          <w:tcPr>
            <w:tcW w:w="1144" w:type="dxa"/>
            <w:tcBorders>
              <w:top w:val="nil"/>
              <w:left w:val="nil"/>
              <w:bottom w:val="nil"/>
              <w:right w:val="nil"/>
            </w:tcBorders>
            <w:shd w:val="clear" w:color="auto" w:fill="auto"/>
            <w:noWrap/>
            <w:vAlign w:val="bottom"/>
            <w:hideMark/>
          </w:tcPr>
          <w:p w14:paraId="04003F3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4</w:t>
            </w:r>
          </w:p>
        </w:tc>
        <w:tc>
          <w:tcPr>
            <w:tcW w:w="1144" w:type="dxa"/>
            <w:tcBorders>
              <w:top w:val="nil"/>
              <w:left w:val="nil"/>
              <w:bottom w:val="nil"/>
              <w:right w:val="nil"/>
            </w:tcBorders>
            <w:shd w:val="clear" w:color="auto" w:fill="auto"/>
            <w:noWrap/>
            <w:vAlign w:val="bottom"/>
            <w:hideMark/>
          </w:tcPr>
          <w:p w14:paraId="1885EBC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64B255F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289861B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w:t>
            </w:r>
          </w:p>
        </w:tc>
        <w:tc>
          <w:tcPr>
            <w:tcW w:w="1340" w:type="dxa"/>
            <w:tcBorders>
              <w:top w:val="nil"/>
              <w:left w:val="nil"/>
              <w:bottom w:val="nil"/>
              <w:right w:val="nil"/>
            </w:tcBorders>
            <w:shd w:val="clear" w:color="auto" w:fill="auto"/>
            <w:noWrap/>
            <w:vAlign w:val="bottom"/>
            <w:hideMark/>
          </w:tcPr>
          <w:p w14:paraId="78EA38F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4C9778F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6A08D95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253" w:type="dxa"/>
            <w:tcBorders>
              <w:top w:val="nil"/>
              <w:left w:val="nil"/>
              <w:bottom w:val="nil"/>
              <w:right w:val="nil"/>
            </w:tcBorders>
            <w:shd w:val="clear" w:color="auto" w:fill="auto"/>
            <w:noWrap/>
            <w:vAlign w:val="bottom"/>
            <w:hideMark/>
          </w:tcPr>
          <w:p w14:paraId="7088077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10</w:t>
            </w:r>
          </w:p>
        </w:tc>
      </w:tr>
      <w:tr w:rsidR="005C437E" w:rsidRPr="00562D3C" w14:paraId="66290B44" w14:textId="77777777" w:rsidTr="002F7131">
        <w:trPr>
          <w:trHeight w:val="20"/>
        </w:trPr>
        <w:tc>
          <w:tcPr>
            <w:tcW w:w="2757" w:type="dxa"/>
            <w:tcBorders>
              <w:top w:val="nil"/>
              <w:left w:val="nil"/>
              <w:bottom w:val="nil"/>
              <w:right w:val="nil"/>
            </w:tcBorders>
            <w:shd w:val="clear" w:color="auto" w:fill="auto"/>
            <w:noWrap/>
            <w:vAlign w:val="bottom"/>
            <w:hideMark/>
          </w:tcPr>
          <w:p w14:paraId="6C98E59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019" w:type="dxa"/>
            <w:tcBorders>
              <w:top w:val="nil"/>
              <w:left w:val="single" w:sz="4" w:space="0" w:color="0070C0"/>
              <w:bottom w:val="nil"/>
              <w:right w:val="nil"/>
            </w:tcBorders>
            <w:shd w:val="clear" w:color="auto" w:fill="auto"/>
            <w:noWrap/>
            <w:vAlign w:val="bottom"/>
            <w:hideMark/>
          </w:tcPr>
          <w:p w14:paraId="40AD804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19" w:type="dxa"/>
            <w:tcBorders>
              <w:top w:val="nil"/>
              <w:left w:val="nil"/>
              <w:bottom w:val="nil"/>
              <w:right w:val="nil"/>
            </w:tcBorders>
            <w:shd w:val="clear" w:color="auto" w:fill="auto"/>
            <w:noWrap/>
            <w:vAlign w:val="bottom"/>
            <w:hideMark/>
          </w:tcPr>
          <w:p w14:paraId="5B1E8E7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44" w:type="dxa"/>
            <w:tcBorders>
              <w:top w:val="nil"/>
              <w:left w:val="nil"/>
              <w:bottom w:val="nil"/>
              <w:right w:val="nil"/>
            </w:tcBorders>
            <w:shd w:val="clear" w:color="auto" w:fill="auto"/>
            <w:noWrap/>
            <w:vAlign w:val="bottom"/>
            <w:hideMark/>
          </w:tcPr>
          <w:p w14:paraId="3E4B417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681A755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5A13D2D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458D165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40" w:type="dxa"/>
            <w:tcBorders>
              <w:top w:val="nil"/>
              <w:left w:val="nil"/>
              <w:bottom w:val="nil"/>
              <w:right w:val="nil"/>
            </w:tcBorders>
            <w:shd w:val="clear" w:color="auto" w:fill="auto"/>
            <w:noWrap/>
            <w:vAlign w:val="bottom"/>
            <w:hideMark/>
          </w:tcPr>
          <w:p w14:paraId="509FE2D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20CD87DB" w14:textId="2A1EEB9E"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07E18FD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3" w:type="dxa"/>
            <w:tcBorders>
              <w:top w:val="nil"/>
              <w:left w:val="nil"/>
              <w:bottom w:val="nil"/>
              <w:right w:val="nil"/>
            </w:tcBorders>
            <w:shd w:val="clear" w:color="auto" w:fill="auto"/>
            <w:noWrap/>
            <w:vAlign w:val="bottom"/>
            <w:hideMark/>
          </w:tcPr>
          <w:p w14:paraId="7356DB5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45CAF25D" w14:textId="77777777" w:rsidTr="002F7131">
        <w:trPr>
          <w:trHeight w:val="20"/>
        </w:trPr>
        <w:tc>
          <w:tcPr>
            <w:tcW w:w="2757" w:type="dxa"/>
            <w:tcBorders>
              <w:top w:val="nil"/>
              <w:left w:val="nil"/>
              <w:bottom w:val="nil"/>
              <w:right w:val="nil"/>
            </w:tcBorders>
            <w:shd w:val="clear" w:color="auto" w:fill="auto"/>
            <w:vAlign w:val="bottom"/>
            <w:hideMark/>
          </w:tcPr>
          <w:p w14:paraId="4FA22351"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562D3C">
              <w:rPr>
                <w:rFonts w:cstheme="minorHAnsi"/>
                <w:sz w:val="20"/>
                <w:lang w:eastAsia="zh-CN"/>
              </w:rPr>
              <w:t xml:space="preserve">9 - </w:t>
            </w:r>
            <w:r w:rsidRPr="00562D3C">
              <w:rPr>
                <w:rFonts w:cstheme="minorHAnsi"/>
                <w:sz w:val="20"/>
                <w:lang w:eastAsia="zh-CN"/>
              </w:rPr>
              <w:t>审计和机构间的费用及其他</w:t>
            </w:r>
          </w:p>
        </w:tc>
        <w:tc>
          <w:tcPr>
            <w:tcW w:w="1019" w:type="dxa"/>
            <w:tcBorders>
              <w:top w:val="nil"/>
              <w:left w:val="single" w:sz="4" w:space="0" w:color="0070C0"/>
              <w:bottom w:val="nil"/>
              <w:right w:val="nil"/>
            </w:tcBorders>
            <w:shd w:val="clear" w:color="auto" w:fill="auto"/>
            <w:noWrap/>
            <w:vAlign w:val="bottom"/>
            <w:hideMark/>
          </w:tcPr>
          <w:p w14:paraId="1A31BEA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13</w:t>
            </w:r>
          </w:p>
        </w:tc>
        <w:tc>
          <w:tcPr>
            <w:tcW w:w="1019" w:type="dxa"/>
            <w:tcBorders>
              <w:top w:val="nil"/>
              <w:left w:val="nil"/>
              <w:bottom w:val="nil"/>
              <w:right w:val="nil"/>
            </w:tcBorders>
            <w:shd w:val="clear" w:color="auto" w:fill="auto"/>
            <w:noWrap/>
            <w:vAlign w:val="bottom"/>
            <w:hideMark/>
          </w:tcPr>
          <w:p w14:paraId="016CF46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4</w:t>
            </w:r>
          </w:p>
        </w:tc>
        <w:tc>
          <w:tcPr>
            <w:tcW w:w="1144" w:type="dxa"/>
            <w:tcBorders>
              <w:top w:val="nil"/>
              <w:left w:val="nil"/>
              <w:bottom w:val="nil"/>
              <w:right w:val="nil"/>
            </w:tcBorders>
            <w:shd w:val="clear" w:color="auto" w:fill="auto"/>
            <w:noWrap/>
            <w:vAlign w:val="bottom"/>
            <w:hideMark/>
          </w:tcPr>
          <w:p w14:paraId="4BE8C91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3C766D1D" w14:textId="52AA20A8"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13</w:t>
            </w:r>
          </w:p>
        </w:tc>
        <w:tc>
          <w:tcPr>
            <w:tcW w:w="1144" w:type="dxa"/>
            <w:tcBorders>
              <w:top w:val="nil"/>
              <w:left w:val="nil"/>
              <w:bottom w:val="nil"/>
              <w:right w:val="nil"/>
            </w:tcBorders>
            <w:shd w:val="clear" w:color="auto" w:fill="auto"/>
            <w:noWrap/>
            <w:vAlign w:val="bottom"/>
            <w:hideMark/>
          </w:tcPr>
          <w:p w14:paraId="2644D1F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3937E82B" w14:textId="7C02C3BB"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14</w:t>
            </w:r>
          </w:p>
        </w:tc>
        <w:tc>
          <w:tcPr>
            <w:tcW w:w="1340" w:type="dxa"/>
            <w:tcBorders>
              <w:top w:val="nil"/>
              <w:left w:val="nil"/>
              <w:bottom w:val="nil"/>
              <w:right w:val="nil"/>
            </w:tcBorders>
            <w:shd w:val="clear" w:color="auto" w:fill="auto"/>
            <w:noWrap/>
            <w:vAlign w:val="bottom"/>
            <w:hideMark/>
          </w:tcPr>
          <w:p w14:paraId="30D281A1" w14:textId="335A1F7F"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20</w:t>
            </w:r>
          </w:p>
        </w:tc>
        <w:tc>
          <w:tcPr>
            <w:tcW w:w="1144" w:type="dxa"/>
            <w:tcBorders>
              <w:top w:val="nil"/>
              <w:left w:val="nil"/>
              <w:bottom w:val="nil"/>
              <w:right w:val="nil"/>
            </w:tcBorders>
            <w:shd w:val="clear" w:color="auto" w:fill="auto"/>
            <w:noWrap/>
            <w:vAlign w:val="bottom"/>
            <w:hideMark/>
          </w:tcPr>
          <w:p w14:paraId="16C3C65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6F9C008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253" w:type="dxa"/>
            <w:tcBorders>
              <w:top w:val="nil"/>
              <w:left w:val="nil"/>
              <w:bottom w:val="nil"/>
              <w:right w:val="nil"/>
            </w:tcBorders>
            <w:shd w:val="clear" w:color="auto" w:fill="auto"/>
            <w:noWrap/>
            <w:vAlign w:val="bottom"/>
            <w:hideMark/>
          </w:tcPr>
          <w:p w14:paraId="4ECDBCA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64</w:t>
            </w:r>
          </w:p>
        </w:tc>
      </w:tr>
      <w:tr w:rsidR="005C437E" w:rsidRPr="00562D3C" w14:paraId="7E84AC69" w14:textId="77777777" w:rsidTr="002F7131">
        <w:trPr>
          <w:trHeight w:val="20"/>
        </w:trPr>
        <w:tc>
          <w:tcPr>
            <w:tcW w:w="2757" w:type="dxa"/>
            <w:tcBorders>
              <w:top w:val="nil"/>
              <w:left w:val="nil"/>
              <w:bottom w:val="single" w:sz="4" w:space="0" w:color="auto"/>
              <w:right w:val="nil"/>
            </w:tcBorders>
            <w:shd w:val="clear" w:color="auto" w:fill="auto"/>
            <w:noWrap/>
            <w:vAlign w:val="center"/>
            <w:hideMark/>
          </w:tcPr>
          <w:p w14:paraId="15C0AD4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562D3C">
              <w:rPr>
                <w:rFonts w:cstheme="minorHAnsi"/>
                <w:b/>
                <w:bCs/>
                <w:sz w:val="20"/>
              </w:rPr>
              <w:t> </w:t>
            </w:r>
          </w:p>
        </w:tc>
        <w:tc>
          <w:tcPr>
            <w:tcW w:w="1019" w:type="dxa"/>
            <w:tcBorders>
              <w:top w:val="nil"/>
              <w:left w:val="single" w:sz="4" w:space="0" w:color="0070C0"/>
              <w:bottom w:val="single" w:sz="4" w:space="0" w:color="auto"/>
              <w:right w:val="nil"/>
            </w:tcBorders>
            <w:shd w:val="clear" w:color="auto" w:fill="auto"/>
            <w:noWrap/>
            <w:vAlign w:val="center"/>
            <w:hideMark/>
          </w:tcPr>
          <w:p w14:paraId="1BC37DC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 </w:t>
            </w:r>
          </w:p>
        </w:tc>
        <w:tc>
          <w:tcPr>
            <w:tcW w:w="1019" w:type="dxa"/>
            <w:tcBorders>
              <w:top w:val="nil"/>
              <w:left w:val="nil"/>
              <w:bottom w:val="single" w:sz="4" w:space="0" w:color="auto"/>
              <w:right w:val="nil"/>
            </w:tcBorders>
            <w:shd w:val="clear" w:color="auto" w:fill="auto"/>
            <w:noWrap/>
            <w:vAlign w:val="center"/>
            <w:hideMark/>
          </w:tcPr>
          <w:p w14:paraId="35BD8CC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 </w:t>
            </w:r>
          </w:p>
        </w:tc>
        <w:tc>
          <w:tcPr>
            <w:tcW w:w="1144" w:type="dxa"/>
            <w:tcBorders>
              <w:top w:val="nil"/>
              <w:left w:val="nil"/>
              <w:bottom w:val="single" w:sz="4" w:space="0" w:color="auto"/>
              <w:right w:val="nil"/>
            </w:tcBorders>
            <w:shd w:val="clear" w:color="auto" w:fill="auto"/>
            <w:noWrap/>
            <w:vAlign w:val="center"/>
            <w:hideMark/>
          </w:tcPr>
          <w:p w14:paraId="43CF1C7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 </w:t>
            </w:r>
          </w:p>
        </w:tc>
        <w:tc>
          <w:tcPr>
            <w:tcW w:w="1144" w:type="dxa"/>
            <w:tcBorders>
              <w:top w:val="nil"/>
              <w:left w:val="nil"/>
              <w:bottom w:val="single" w:sz="4" w:space="0" w:color="auto"/>
              <w:right w:val="nil"/>
            </w:tcBorders>
            <w:shd w:val="clear" w:color="auto" w:fill="auto"/>
            <w:noWrap/>
            <w:vAlign w:val="center"/>
            <w:hideMark/>
          </w:tcPr>
          <w:p w14:paraId="7B84D1F4" w14:textId="6682CF48"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 </w:t>
            </w:r>
          </w:p>
        </w:tc>
        <w:tc>
          <w:tcPr>
            <w:tcW w:w="1144" w:type="dxa"/>
            <w:tcBorders>
              <w:top w:val="nil"/>
              <w:left w:val="nil"/>
              <w:bottom w:val="single" w:sz="4" w:space="0" w:color="auto"/>
              <w:right w:val="nil"/>
            </w:tcBorders>
            <w:shd w:val="clear" w:color="auto" w:fill="auto"/>
            <w:noWrap/>
            <w:vAlign w:val="center"/>
            <w:hideMark/>
          </w:tcPr>
          <w:p w14:paraId="3177891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 </w:t>
            </w:r>
          </w:p>
        </w:tc>
        <w:tc>
          <w:tcPr>
            <w:tcW w:w="1144" w:type="dxa"/>
            <w:tcBorders>
              <w:top w:val="nil"/>
              <w:left w:val="nil"/>
              <w:bottom w:val="single" w:sz="4" w:space="0" w:color="auto"/>
              <w:right w:val="nil"/>
            </w:tcBorders>
            <w:shd w:val="clear" w:color="auto" w:fill="auto"/>
            <w:noWrap/>
            <w:vAlign w:val="center"/>
            <w:hideMark/>
          </w:tcPr>
          <w:p w14:paraId="51D2C5D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 </w:t>
            </w:r>
          </w:p>
        </w:tc>
        <w:tc>
          <w:tcPr>
            <w:tcW w:w="1340" w:type="dxa"/>
            <w:tcBorders>
              <w:top w:val="nil"/>
              <w:left w:val="nil"/>
              <w:bottom w:val="single" w:sz="4" w:space="0" w:color="auto"/>
              <w:right w:val="nil"/>
            </w:tcBorders>
            <w:shd w:val="clear" w:color="auto" w:fill="auto"/>
            <w:noWrap/>
            <w:vAlign w:val="center"/>
            <w:hideMark/>
          </w:tcPr>
          <w:p w14:paraId="1DFBBEF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 </w:t>
            </w:r>
          </w:p>
        </w:tc>
        <w:tc>
          <w:tcPr>
            <w:tcW w:w="1144" w:type="dxa"/>
            <w:tcBorders>
              <w:top w:val="nil"/>
              <w:left w:val="nil"/>
              <w:bottom w:val="single" w:sz="4" w:space="0" w:color="auto"/>
              <w:right w:val="nil"/>
            </w:tcBorders>
            <w:shd w:val="clear" w:color="auto" w:fill="auto"/>
            <w:noWrap/>
            <w:vAlign w:val="center"/>
            <w:hideMark/>
          </w:tcPr>
          <w:p w14:paraId="5DD8D91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 </w:t>
            </w:r>
          </w:p>
        </w:tc>
        <w:tc>
          <w:tcPr>
            <w:tcW w:w="1144" w:type="dxa"/>
            <w:tcBorders>
              <w:top w:val="nil"/>
              <w:left w:val="nil"/>
              <w:bottom w:val="single" w:sz="4" w:space="0" w:color="auto"/>
              <w:right w:val="nil"/>
            </w:tcBorders>
            <w:shd w:val="clear" w:color="auto" w:fill="auto"/>
            <w:noWrap/>
            <w:vAlign w:val="center"/>
            <w:hideMark/>
          </w:tcPr>
          <w:p w14:paraId="630E759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 </w:t>
            </w:r>
          </w:p>
        </w:tc>
        <w:tc>
          <w:tcPr>
            <w:tcW w:w="1253" w:type="dxa"/>
            <w:tcBorders>
              <w:top w:val="nil"/>
              <w:left w:val="nil"/>
              <w:bottom w:val="single" w:sz="4" w:space="0" w:color="auto"/>
              <w:right w:val="nil"/>
            </w:tcBorders>
            <w:shd w:val="clear" w:color="auto" w:fill="auto"/>
            <w:noWrap/>
            <w:vAlign w:val="center"/>
            <w:hideMark/>
          </w:tcPr>
          <w:p w14:paraId="3CC2214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562D3C">
              <w:rPr>
                <w:rFonts w:eastAsia="Times New Roman" w:cs="Calibri"/>
                <w:b/>
                <w:bCs/>
                <w:color w:val="002060"/>
                <w:sz w:val="20"/>
              </w:rPr>
              <w:t> </w:t>
            </w:r>
          </w:p>
        </w:tc>
      </w:tr>
      <w:tr w:rsidR="005C437E" w:rsidRPr="00562D3C" w14:paraId="1852D694" w14:textId="77777777" w:rsidTr="002F7131">
        <w:trPr>
          <w:trHeight w:val="20"/>
        </w:trPr>
        <w:tc>
          <w:tcPr>
            <w:tcW w:w="2757" w:type="dxa"/>
            <w:tcBorders>
              <w:top w:val="nil"/>
              <w:left w:val="nil"/>
              <w:bottom w:val="nil"/>
              <w:right w:val="nil"/>
            </w:tcBorders>
            <w:shd w:val="clear" w:color="auto" w:fill="auto"/>
            <w:noWrap/>
            <w:vAlign w:val="center"/>
            <w:hideMark/>
          </w:tcPr>
          <w:p w14:paraId="42D73ABF"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562D3C">
              <w:rPr>
                <w:rFonts w:cstheme="minorHAnsi"/>
                <w:b/>
                <w:bCs/>
                <w:sz w:val="20"/>
              </w:rPr>
              <w:t>合计</w:t>
            </w:r>
          </w:p>
        </w:tc>
        <w:tc>
          <w:tcPr>
            <w:tcW w:w="1019" w:type="dxa"/>
            <w:tcBorders>
              <w:top w:val="nil"/>
              <w:left w:val="single" w:sz="4" w:space="0" w:color="0070C0"/>
              <w:bottom w:val="nil"/>
              <w:right w:val="nil"/>
            </w:tcBorders>
            <w:shd w:val="clear" w:color="auto" w:fill="auto"/>
            <w:noWrap/>
            <w:vAlign w:val="center"/>
            <w:hideMark/>
          </w:tcPr>
          <w:p w14:paraId="55F57BF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2,851</w:t>
            </w:r>
          </w:p>
        </w:tc>
        <w:tc>
          <w:tcPr>
            <w:tcW w:w="1019" w:type="dxa"/>
            <w:tcBorders>
              <w:top w:val="nil"/>
              <w:left w:val="nil"/>
              <w:bottom w:val="nil"/>
              <w:right w:val="nil"/>
            </w:tcBorders>
            <w:shd w:val="clear" w:color="auto" w:fill="auto"/>
            <w:noWrap/>
            <w:vAlign w:val="center"/>
            <w:hideMark/>
          </w:tcPr>
          <w:p w14:paraId="45A09C2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904</w:t>
            </w:r>
          </w:p>
        </w:tc>
        <w:tc>
          <w:tcPr>
            <w:tcW w:w="1144" w:type="dxa"/>
            <w:tcBorders>
              <w:top w:val="nil"/>
              <w:left w:val="nil"/>
              <w:bottom w:val="nil"/>
              <w:right w:val="nil"/>
            </w:tcBorders>
            <w:shd w:val="clear" w:color="auto" w:fill="auto"/>
            <w:noWrap/>
            <w:vAlign w:val="center"/>
            <w:hideMark/>
          </w:tcPr>
          <w:p w14:paraId="3D924DB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132</w:t>
            </w:r>
          </w:p>
        </w:tc>
        <w:tc>
          <w:tcPr>
            <w:tcW w:w="1144" w:type="dxa"/>
            <w:tcBorders>
              <w:top w:val="nil"/>
              <w:left w:val="nil"/>
              <w:bottom w:val="nil"/>
              <w:right w:val="nil"/>
            </w:tcBorders>
            <w:shd w:val="clear" w:color="auto" w:fill="auto"/>
            <w:noWrap/>
            <w:vAlign w:val="center"/>
            <w:hideMark/>
          </w:tcPr>
          <w:p w14:paraId="30BC5A5F" w14:textId="3A7567AE"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1,543</w:t>
            </w:r>
          </w:p>
        </w:tc>
        <w:tc>
          <w:tcPr>
            <w:tcW w:w="1144" w:type="dxa"/>
            <w:tcBorders>
              <w:top w:val="nil"/>
              <w:left w:val="nil"/>
              <w:bottom w:val="nil"/>
              <w:right w:val="nil"/>
            </w:tcBorders>
            <w:shd w:val="clear" w:color="auto" w:fill="auto"/>
            <w:noWrap/>
            <w:vAlign w:val="center"/>
            <w:hideMark/>
          </w:tcPr>
          <w:p w14:paraId="44E3AFC6" w14:textId="153758CC"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700</w:t>
            </w:r>
          </w:p>
        </w:tc>
        <w:tc>
          <w:tcPr>
            <w:tcW w:w="1144" w:type="dxa"/>
            <w:tcBorders>
              <w:top w:val="nil"/>
              <w:left w:val="nil"/>
              <w:bottom w:val="nil"/>
              <w:right w:val="nil"/>
            </w:tcBorders>
            <w:shd w:val="clear" w:color="auto" w:fill="auto"/>
            <w:noWrap/>
            <w:vAlign w:val="center"/>
            <w:hideMark/>
          </w:tcPr>
          <w:p w14:paraId="6DDB20C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776</w:t>
            </w:r>
          </w:p>
        </w:tc>
        <w:tc>
          <w:tcPr>
            <w:tcW w:w="1340" w:type="dxa"/>
            <w:tcBorders>
              <w:top w:val="nil"/>
              <w:left w:val="nil"/>
              <w:bottom w:val="nil"/>
              <w:right w:val="nil"/>
            </w:tcBorders>
            <w:shd w:val="clear" w:color="auto" w:fill="auto"/>
            <w:noWrap/>
            <w:vAlign w:val="center"/>
            <w:hideMark/>
          </w:tcPr>
          <w:p w14:paraId="0A85A16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2,488</w:t>
            </w:r>
          </w:p>
        </w:tc>
        <w:tc>
          <w:tcPr>
            <w:tcW w:w="1144" w:type="dxa"/>
            <w:tcBorders>
              <w:top w:val="nil"/>
              <w:left w:val="nil"/>
              <w:bottom w:val="nil"/>
              <w:right w:val="nil"/>
            </w:tcBorders>
            <w:shd w:val="clear" w:color="auto" w:fill="auto"/>
            <w:noWrap/>
            <w:vAlign w:val="center"/>
            <w:hideMark/>
          </w:tcPr>
          <w:p w14:paraId="438DB2E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2,036</w:t>
            </w:r>
          </w:p>
        </w:tc>
        <w:tc>
          <w:tcPr>
            <w:tcW w:w="1144" w:type="dxa"/>
            <w:tcBorders>
              <w:top w:val="nil"/>
              <w:left w:val="nil"/>
              <w:bottom w:val="nil"/>
              <w:right w:val="nil"/>
            </w:tcBorders>
            <w:shd w:val="clear" w:color="auto" w:fill="auto"/>
            <w:noWrap/>
            <w:vAlign w:val="center"/>
            <w:hideMark/>
          </w:tcPr>
          <w:p w14:paraId="2E16050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49,908</w:t>
            </w:r>
          </w:p>
        </w:tc>
        <w:tc>
          <w:tcPr>
            <w:tcW w:w="1253" w:type="dxa"/>
            <w:tcBorders>
              <w:top w:val="nil"/>
              <w:left w:val="nil"/>
              <w:bottom w:val="nil"/>
              <w:right w:val="nil"/>
            </w:tcBorders>
            <w:shd w:val="clear" w:color="auto" w:fill="auto"/>
            <w:noWrap/>
            <w:vAlign w:val="center"/>
            <w:hideMark/>
          </w:tcPr>
          <w:p w14:paraId="1DCB38E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562D3C">
              <w:rPr>
                <w:rFonts w:eastAsia="Times New Roman" w:cs="Calibri"/>
                <w:b/>
                <w:bCs/>
                <w:color w:val="002060"/>
                <w:sz w:val="20"/>
              </w:rPr>
              <w:t>61,338</w:t>
            </w:r>
          </w:p>
        </w:tc>
      </w:tr>
    </w:tbl>
    <w:p w14:paraId="3F8A5C06" w14:textId="79A9DD8C" w:rsidR="005C437E" w:rsidRDefault="005C437E" w:rsidP="0090191E">
      <w:pPr>
        <w:pStyle w:val="Normalaftertitle"/>
        <w:rPr>
          <w:lang w:eastAsia="zh-CN"/>
        </w:rPr>
      </w:pPr>
      <w:r>
        <w:rPr>
          <w:lang w:eastAsia="zh-CN"/>
        </w:rPr>
        <w:br w:type="page"/>
      </w:r>
    </w:p>
    <w:tbl>
      <w:tblPr>
        <w:tblW w:w="14252" w:type="dxa"/>
        <w:tblLook w:val="04A0" w:firstRow="1" w:lastRow="0" w:firstColumn="1" w:lastColumn="0" w:noHBand="0" w:noVBand="1"/>
      </w:tblPr>
      <w:tblGrid>
        <w:gridCol w:w="2951"/>
        <w:gridCol w:w="1088"/>
        <w:gridCol w:w="1090"/>
        <w:gridCol w:w="1089"/>
        <w:gridCol w:w="1090"/>
        <w:gridCol w:w="1090"/>
        <w:gridCol w:w="1090"/>
        <w:gridCol w:w="1450"/>
        <w:gridCol w:w="1091"/>
        <w:gridCol w:w="987"/>
        <w:gridCol w:w="1236"/>
      </w:tblGrid>
      <w:tr w:rsidR="005C437E" w:rsidRPr="00562D3C" w14:paraId="76854AEF" w14:textId="77777777" w:rsidTr="002F7131">
        <w:trPr>
          <w:trHeight w:val="465"/>
        </w:trPr>
        <w:tc>
          <w:tcPr>
            <w:tcW w:w="2951" w:type="dxa"/>
            <w:tcBorders>
              <w:top w:val="nil"/>
              <w:left w:val="nil"/>
              <w:bottom w:val="nil"/>
              <w:right w:val="nil"/>
            </w:tcBorders>
            <w:shd w:val="clear" w:color="auto" w:fill="auto"/>
            <w:noWrap/>
            <w:vAlign w:val="center"/>
            <w:hideMark/>
          </w:tcPr>
          <w:p w14:paraId="4FA79543"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lastRenderedPageBreak/>
              <w:br w:type="page"/>
            </w:r>
            <w:r w:rsidRPr="00562D3C">
              <w:rPr>
                <w:rFonts w:ascii="SimSun" w:hAnsi="SimSun" w:cs="Calibri" w:hint="eastAsia"/>
                <w:b/>
                <w:bCs/>
                <w:color w:val="002060"/>
                <w:sz w:val="40"/>
                <w:szCs w:val="40"/>
              </w:rPr>
              <w:t>表</w:t>
            </w:r>
            <w:r w:rsidRPr="00562D3C">
              <w:rPr>
                <w:rFonts w:eastAsia="Times New Roman" w:cs="Calibri"/>
                <w:b/>
                <w:bCs/>
                <w:color w:val="002060"/>
                <w:sz w:val="40"/>
                <w:szCs w:val="40"/>
              </w:rPr>
              <w:t>6-1</w:t>
            </w:r>
          </w:p>
        </w:tc>
        <w:tc>
          <w:tcPr>
            <w:tcW w:w="1088" w:type="dxa"/>
            <w:tcBorders>
              <w:top w:val="nil"/>
              <w:left w:val="nil"/>
              <w:bottom w:val="nil"/>
              <w:right w:val="nil"/>
            </w:tcBorders>
            <w:shd w:val="clear" w:color="auto" w:fill="auto"/>
            <w:noWrap/>
            <w:vAlign w:val="center"/>
            <w:hideMark/>
          </w:tcPr>
          <w:p w14:paraId="6B160806"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1090" w:type="dxa"/>
            <w:tcBorders>
              <w:top w:val="nil"/>
              <w:left w:val="nil"/>
              <w:bottom w:val="nil"/>
              <w:right w:val="nil"/>
            </w:tcBorders>
            <w:shd w:val="clear" w:color="auto" w:fill="auto"/>
            <w:noWrap/>
            <w:vAlign w:val="center"/>
            <w:hideMark/>
          </w:tcPr>
          <w:p w14:paraId="473EC278"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89" w:type="dxa"/>
            <w:tcBorders>
              <w:top w:val="nil"/>
              <w:left w:val="nil"/>
              <w:bottom w:val="nil"/>
              <w:right w:val="nil"/>
            </w:tcBorders>
            <w:shd w:val="clear" w:color="auto" w:fill="auto"/>
            <w:noWrap/>
            <w:vAlign w:val="center"/>
            <w:hideMark/>
          </w:tcPr>
          <w:p w14:paraId="4DB74BD6"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center"/>
            <w:hideMark/>
          </w:tcPr>
          <w:p w14:paraId="0BE52D35"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center"/>
            <w:hideMark/>
          </w:tcPr>
          <w:p w14:paraId="72040346"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center"/>
            <w:hideMark/>
          </w:tcPr>
          <w:p w14:paraId="1EFE770A"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50" w:type="dxa"/>
            <w:tcBorders>
              <w:top w:val="nil"/>
              <w:left w:val="nil"/>
              <w:bottom w:val="nil"/>
              <w:right w:val="nil"/>
            </w:tcBorders>
            <w:shd w:val="clear" w:color="auto" w:fill="auto"/>
            <w:noWrap/>
            <w:vAlign w:val="center"/>
            <w:hideMark/>
          </w:tcPr>
          <w:p w14:paraId="23296F9C"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91" w:type="dxa"/>
            <w:tcBorders>
              <w:top w:val="nil"/>
              <w:left w:val="nil"/>
              <w:bottom w:val="nil"/>
              <w:right w:val="nil"/>
            </w:tcBorders>
            <w:shd w:val="clear" w:color="auto" w:fill="auto"/>
            <w:noWrap/>
            <w:vAlign w:val="center"/>
            <w:hideMark/>
          </w:tcPr>
          <w:p w14:paraId="07AB7743"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87" w:type="dxa"/>
            <w:tcBorders>
              <w:top w:val="nil"/>
              <w:left w:val="nil"/>
              <w:bottom w:val="nil"/>
              <w:right w:val="nil"/>
            </w:tcBorders>
            <w:shd w:val="clear" w:color="auto" w:fill="auto"/>
            <w:noWrap/>
            <w:vAlign w:val="center"/>
            <w:hideMark/>
          </w:tcPr>
          <w:p w14:paraId="580AF2AC"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36" w:type="dxa"/>
            <w:tcBorders>
              <w:top w:val="nil"/>
              <w:left w:val="nil"/>
              <w:bottom w:val="nil"/>
              <w:right w:val="nil"/>
            </w:tcBorders>
            <w:shd w:val="clear" w:color="auto" w:fill="auto"/>
            <w:noWrap/>
            <w:vAlign w:val="center"/>
            <w:hideMark/>
          </w:tcPr>
          <w:p w14:paraId="370C8634"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562D3C" w14:paraId="0BA59C3E" w14:textId="77777777" w:rsidTr="002F7131">
        <w:trPr>
          <w:trHeight w:val="405"/>
        </w:trPr>
        <w:tc>
          <w:tcPr>
            <w:tcW w:w="4039" w:type="dxa"/>
            <w:gridSpan w:val="2"/>
            <w:tcBorders>
              <w:top w:val="nil"/>
              <w:left w:val="nil"/>
              <w:bottom w:val="nil"/>
              <w:right w:val="nil"/>
            </w:tcBorders>
            <w:shd w:val="clear" w:color="auto" w:fill="auto"/>
            <w:noWrap/>
            <w:vAlign w:val="center"/>
            <w:hideMark/>
          </w:tcPr>
          <w:p w14:paraId="7298AF0D"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28"/>
                <w:szCs w:val="28"/>
              </w:rPr>
            </w:pPr>
            <w:r w:rsidRPr="00562D3C">
              <w:rPr>
                <w:rFonts w:ascii="STKaiti" w:eastAsia="STKaiti" w:hAnsi="STKaiti" w:cs="Calibri" w:hint="eastAsia"/>
                <w:b/>
                <w:bCs/>
                <w:color w:val="002060"/>
                <w:sz w:val="28"/>
                <w:szCs w:val="28"/>
              </w:rPr>
              <w:t>无线电通信部门</w:t>
            </w:r>
            <w:r w:rsidRPr="00562D3C">
              <w:rPr>
                <w:rFonts w:eastAsia="Times New Roman" w:cs="Calibri"/>
                <w:b/>
                <w:bCs/>
                <w:color w:val="002060"/>
                <w:sz w:val="28"/>
                <w:szCs w:val="28"/>
              </w:rPr>
              <w:t>2022</w:t>
            </w:r>
            <w:r w:rsidRPr="00562D3C">
              <w:rPr>
                <w:rFonts w:ascii="STKaiti" w:eastAsia="STKaiti" w:hAnsi="STKaiti" w:cs="Calibri" w:hint="eastAsia"/>
                <w:b/>
                <w:bCs/>
                <w:color w:val="002060"/>
                <w:sz w:val="28"/>
                <w:szCs w:val="28"/>
              </w:rPr>
              <w:t>年</w:t>
            </w:r>
          </w:p>
        </w:tc>
        <w:tc>
          <w:tcPr>
            <w:tcW w:w="1090" w:type="dxa"/>
            <w:tcBorders>
              <w:top w:val="nil"/>
              <w:left w:val="nil"/>
              <w:bottom w:val="nil"/>
              <w:right w:val="nil"/>
            </w:tcBorders>
            <w:shd w:val="clear" w:color="auto" w:fill="auto"/>
            <w:noWrap/>
            <w:vAlign w:val="center"/>
            <w:hideMark/>
          </w:tcPr>
          <w:p w14:paraId="66808C38"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28"/>
                <w:szCs w:val="28"/>
              </w:rPr>
            </w:pPr>
          </w:p>
        </w:tc>
        <w:tc>
          <w:tcPr>
            <w:tcW w:w="1089" w:type="dxa"/>
            <w:tcBorders>
              <w:top w:val="nil"/>
              <w:left w:val="nil"/>
              <w:bottom w:val="nil"/>
              <w:right w:val="nil"/>
            </w:tcBorders>
            <w:shd w:val="clear" w:color="auto" w:fill="auto"/>
            <w:noWrap/>
            <w:vAlign w:val="center"/>
            <w:hideMark/>
          </w:tcPr>
          <w:p w14:paraId="6C901BFB"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center"/>
            <w:hideMark/>
          </w:tcPr>
          <w:p w14:paraId="6F8E4BA4"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center"/>
            <w:hideMark/>
          </w:tcPr>
          <w:p w14:paraId="40F8BC4D"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center"/>
            <w:hideMark/>
          </w:tcPr>
          <w:p w14:paraId="215CBB34"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50" w:type="dxa"/>
            <w:tcBorders>
              <w:top w:val="nil"/>
              <w:left w:val="nil"/>
              <w:bottom w:val="nil"/>
              <w:right w:val="nil"/>
            </w:tcBorders>
            <w:shd w:val="clear" w:color="auto" w:fill="auto"/>
            <w:noWrap/>
            <w:vAlign w:val="center"/>
            <w:hideMark/>
          </w:tcPr>
          <w:p w14:paraId="7D867C93"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91" w:type="dxa"/>
            <w:tcBorders>
              <w:top w:val="nil"/>
              <w:left w:val="nil"/>
              <w:bottom w:val="nil"/>
              <w:right w:val="nil"/>
            </w:tcBorders>
            <w:shd w:val="clear" w:color="auto" w:fill="auto"/>
            <w:noWrap/>
            <w:vAlign w:val="center"/>
            <w:hideMark/>
          </w:tcPr>
          <w:p w14:paraId="2B66069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87" w:type="dxa"/>
            <w:tcBorders>
              <w:top w:val="nil"/>
              <w:left w:val="nil"/>
              <w:bottom w:val="nil"/>
              <w:right w:val="nil"/>
            </w:tcBorders>
            <w:shd w:val="clear" w:color="auto" w:fill="auto"/>
            <w:noWrap/>
            <w:vAlign w:val="center"/>
            <w:hideMark/>
          </w:tcPr>
          <w:p w14:paraId="0416C990"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36" w:type="dxa"/>
            <w:tcBorders>
              <w:top w:val="nil"/>
              <w:left w:val="nil"/>
              <w:bottom w:val="nil"/>
              <w:right w:val="nil"/>
            </w:tcBorders>
            <w:shd w:val="clear" w:color="auto" w:fill="auto"/>
            <w:noWrap/>
            <w:vAlign w:val="center"/>
            <w:hideMark/>
          </w:tcPr>
          <w:p w14:paraId="793F4777"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562D3C" w14:paraId="3AE532BF" w14:textId="77777777" w:rsidTr="002F7131">
        <w:trPr>
          <w:trHeight w:val="405"/>
        </w:trPr>
        <w:tc>
          <w:tcPr>
            <w:tcW w:w="4039" w:type="dxa"/>
            <w:gridSpan w:val="2"/>
            <w:tcBorders>
              <w:top w:val="nil"/>
              <w:left w:val="nil"/>
              <w:bottom w:val="nil"/>
              <w:right w:val="nil"/>
            </w:tcBorders>
            <w:shd w:val="clear" w:color="auto" w:fill="auto"/>
            <w:noWrap/>
            <w:vAlign w:val="center"/>
            <w:hideMark/>
          </w:tcPr>
          <w:p w14:paraId="6B679B50"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r w:rsidRPr="00562D3C">
              <w:rPr>
                <w:rFonts w:ascii="STKaiti" w:eastAsia="STKaiti" w:hAnsi="STKaiti" w:hint="eastAsia"/>
                <w:b/>
                <w:bCs/>
                <w:color w:val="002060"/>
                <w:szCs w:val="24"/>
                <w:lang w:eastAsia="zh-CN"/>
              </w:rPr>
              <w:t>按项和类别列出的计划支出</w:t>
            </w:r>
          </w:p>
        </w:tc>
        <w:tc>
          <w:tcPr>
            <w:tcW w:w="1090" w:type="dxa"/>
            <w:tcBorders>
              <w:top w:val="nil"/>
              <w:left w:val="nil"/>
              <w:bottom w:val="nil"/>
              <w:right w:val="nil"/>
            </w:tcBorders>
            <w:shd w:val="clear" w:color="auto" w:fill="auto"/>
            <w:noWrap/>
            <w:vAlign w:val="center"/>
            <w:hideMark/>
          </w:tcPr>
          <w:p w14:paraId="00BE2D06"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p>
        </w:tc>
        <w:tc>
          <w:tcPr>
            <w:tcW w:w="1089" w:type="dxa"/>
            <w:tcBorders>
              <w:top w:val="nil"/>
              <w:left w:val="nil"/>
              <w:bottom w:val="nil"/>
              <w:right w:val="nil"/>
            </w:tcBorders>
            <w:shd w:val="clear" w:color="auto" w:fill="auto"/>
            <w:noWrap/>
            <w:vAlign w:val="center"/>
            <w:hideMark/>
          </w:tcPr>
          <w:p w14:paraId="1AD1F475"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090" w:type="dxa"/>
            <w:tcBorders>
              <w:top w:val="nil"/>
              <w:left w:val="nil"/>
              <w:bottom w:val="nil"/>
              <w:right w:val="nil"/>
            </w:tcBorders>
            <w:shd w:val="clear" w:color="auto" w:fill="auto"/>
            <w:noWrap/>
            <w:vAlign w:val="center"/>
            <w:hideMark/>
          </w:tcPr>
          <w:p w14:paraId="039BE59B"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090" w:type="dxa"/>
            <w:tcBorders>
              <w:top w:val="nil"/>
              <w:left w:val="nil"/>
              <w:bottom w:val="nil"/>
              <w:right w:val="nil"/>
            </w:tcBorders>
            <w:shd w:val="clear" w:color="auto" w:fill="auto"/>
            <w:noWrap/>
            <w:vAlign w:val="center"/>
            <w:hideMark/>
          </w:tcPr>
          <w:p w14:paraId="0EC413A9"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090" w:type="dxa"/>
            <w:tcBorders>
              <w:top w:val="nil"/>
              <w:left w:val="nil"/>
              <w:bottom w:val="nil"/>
              <w:right w:val="nil"/>
            </w:tcBorders>
            <w:shd w:val="clear" w:color="auto" w:fill="auto"/>
            <w:noWrap/>
            <w:vAlign w:val="center"/>
            <w:hideMark/>
          </w:tcPr>
          <w:p w14:paraId="1332F9E6"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50" w:type="dxa"/>
            <w:tcBorders>
              <w:top w:val="nil"/>
              <w:left w:val="nil"/>
              <w:bottom w:val="nil"/>
              <w:right w:val="nil"/>
            </w:tcBorders>
            <w:shd w:val="clear" w:color="auto" w:fill="auto"/>
            <w:noWrap/>
            <w:vAlign w:val="center"/>
            <w:hideMark/>
          </w:tcPr>
          <w:p w14:paraId="25A9B0E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091" w:type="dxa"/>
            <w:tcBorders>
              <w:top w:val="nil"/>
              <w:left w:val="nil"/>
              <w:bottom w:val="nil"/>
              <w:right w:val="nil"/>
            </w:tcBorders>
            <w:shd w:val="clear" w:color="auto" w:fill="auto"/>
            <w:noWrap/>
            <w:vAlign w:val="center"/>
            <w:hideMark/>
          </w:tcPr>
          <w:p w14:paraId="79F55769"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987" w:type="dxa"/>
            <w:tcBorders>
              <w:top w:val="nil"/>
              <w:left w:val="nil"/>
              <w:bottom w:val="nil"/>
              <w:right w:val="nil"/>
            </w:tcBorders>
            <w:shd w:val="clear" w:color="auto" w:fill="auto"/>
            <w:noWrap/>
            <w:vAlign w:val="center"/>
            <w:hideMark/>
          </w:tcPr>
          <w:p w14:paraId="54276180"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36" w:type="dxa"/>
            <w:tcBorders>
              <w:top w:val="nil"/>
              <w:left w:val="nil"/>
              <w:bottom w:val="nil"/>
              <w:right w:val="nil"/>
            </w:tcBorders>
            <w:shd w:val="clear" w:color="auto" w:fill="auto"/>
            <w:noWrap/>
            <w:vAlign w:val="center"/>
            <w:hideMark/>
          </w:tcPr>
          <w:p w14:paraId="05D44199"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5C437E" w:rsidRPr="00562D3C" w14:paraId="7D7CDB46" w14:textId="77777777" w:rsidTr="002F7131">
        <w:trPr>
          <w:trHeight w:val="195"/>
        </w:trPr>
        <w:tc>
          <w:tcPr>
            <w:tcW w:w="2951" w:type="dxa"/>
            <w:tcBorders>
              <w:top w:val="nil"/>
              <w:left w:val="nil"/>
              <w:bottom w:val="nil"/>
              <w:right w:val="nil"/>
            </w:tcBorders>
            <w:shd w:val="clear" w:color="auto" w:fill="auto"/>
            <w:noWrap/>
            <w:vAlign w:val="center"/>
            <w:hideMark/>
          </w:tcPr>
          <w:p w14:paraId="05D88AA7"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1301" w:type="dxa"/>
            <w:gridSpan w:val="10"/>
            <w:tcBorders>
              <w:top w:val="nil"/>
              <w:left w:val="nil"/>
              <w:bottom w:val="nil"/>
              <w:right w:val="nil"/>
            </w:tcBorders>
            <w:shd w:val="clear" w:color="auto" w:fill="auto"/>
            <w:noWrap/>
            <w:vAlign w:val="center"/>
            <w:hideMark/>
          </w:tcPr>
          <w:p w14:paraId="5F4BE42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562D3C">
              <w:rPr>
                <w:rFonts w:ascii="STKaiti" w:eastAsia="STKaiti" w:hAnsi="STKaiti" w:hint="eastAsia"/>
                <w:color w:val="002060"/>
                <w:sz w:val="18"/>
                <w:szCs w:val="18"/>
              </w:rPr>
              <w:t>单位：千瑞郎</w:t>
            </w:r>
          </w:p>
        </w:tc>
      </w:tr>
      <w:tr w:rsidR="005C437E" w:rsidRPr="00562D3C" w14:paraId="1525E640" w14:textId="77777777" w:rsidTr="002F7131">
        <w:trPr>
          <w:trHeight w:val="345"/>
        </w:trPr>
        <w:tc>
          <w:tcPr>
            <w:tcW w:w="9488" w:type="dxa"/>
            <w:gridSpan w:val="7"/>
            <w:tcBorders>
              <w:top w:val="nil"/>
              <w:left w:val="nil"/>
              <w:bottom w:val="nil"/>
              <w:right w:val="nil"/>
            </w:tcBorders>
            <w:shd w:val="clear" w:color="auto" w:fill="auto"/>
            <w:noWrap/>
            <w:vAlign w:val="center"/>
            <w:hideMark/>
          </w:tcPr>
          <w:p w14:paraId="39F4F93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562D3C">
              <w:rPr>
                <w:rFonts w:eastAsia="Times New Roman" w:cs="Calibri"/>
                <w:sz w:val="20"/>
              </w:rPr>
              <w:t xml:space="preserve"> </w:t>
            </w:r>
          </w:p>
        </w:tc>
        <w:tc>
          <w:tcPr>
            <w:tcW w:w="3528" w:type="dxa"/>
            <w:gridSpan w:val="3"/>
            <w:tcBorders>
              <w:top w:val="nil"/>
              <w:left w:val="nil"/>
              <w:bottom w:val="nil"/>
              <w:right w:val="nil"/>
            </w:tcBorders>
            <w:shd w:val="clear" w:color="auto" w:fill="auto"/>
            <w:noWrap/>
            <w:vAlign w:val="center"/>
            <w:hideMark/>
          </w:tcPr>
          <w:p w14:paraId="0609F606" w14:textId="09FF401D" w:rsidR="005C437E" w:rsidRPr="00562D3C" w:rsidRDefault="00184879"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r w:rsidRPr="00562D3C">
              <w:rPr>
                <w:rFonts w:ascii="Helv" w:eastAsia="Times New Roman" w:hAnsi="Helv"/>
                <w:noProof/>
                <w:sz w:val="20"/>
              </w:rPr>
              <mc:AlternateContent>
                <mc:Choice Requires="wps">
                  <w:drawing>
                    <wp:anchor distT="0" distB="0" distL="114300" distR="114300" simplePos="0" relativeHeight="251684864" behindDoc="0" locked="0" layoutInCell="1" allowOverlap="1" wp14:anchorId="098D9C07" wp14:editId="59EDE0AF">
                      <wp:simplePos x="0" y="0"/>
                      <wp:positionH relativeFrom="column">
                        <wp:posOffset>1022350</wp:posOffset>
                      </wp:positionH>
                      <wp:positionV relativeFrom="paragraph">
                        <wp:posOffset>-887730</wp:posOffset>
                      </wp:positionV>
                      <wp:extent cx="45085" cy="2192020"/>
                      <wp:effectExtent l="0" t="6667" r="24447" b="24448"/>
                      <wp:wrapNone/>
                      <wp:docPr id="107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5085" cy="2192020"/>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65725FBC"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5" o:spid="_x0000_s1026" type="#_x0000_t85" style="position:absolute;margin-left:80.5pt;margin-top:-69.9pt;width:3.55pt;height:172.6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" adj="507" strokecolor="#0070c0" strokeweight="1pt"/>
                  </w:pict>
                </mc:Fallback>
              </mc:AlternateContent>
            </w:r>
            <w:r w:rsidR="005C437E" w:rsidRPr="00562D3C">
              <w:rPr>
                <w:rFonts w:ascii="STKaiti" w:eastAsia="STKaiti" w:hAnsi="STKaiti" w:hint="eastAsia"/>
                <w:b/>
                <w:bCs/>
                <w:color w:val="002060"/>
                <w:sz w:val="20"/>
              </w:rPr>
              <w:t>无线电通信局</w:t>
            </w:r>
          </w:p>
        </w:tc>
        <w:tc>
          <w:tcPr>
            <w:tcW w:w="1236" w:type="dxa"/>
            <w:tcBorders>
              <w:top w:val="nil"/>
              <w:left w:val="nil"/>
              <w:bottom w:val="nil"/>
              <w:right w:val="nil"/>
            </w:tcBorders>
            <w:shd w:val="clear" w:color="auto" w:fill="auto"/>
            <w:noWrap/>
            <w:vAlign w:val="center"/>
            <w:hideMark/>
          </w:tcPr>
          <w:p w14:paraId="472FF06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p>
        </w:tc>
      </w:tr>
      <w:tr w:rsidR="005C437E" w:rsidRPr="00562D3C" w14:paraId="157029EF" w14:textId="77777777" w:rsidTr="002F7131">
        <w:trPr>
          <w:trHeight w:val="20"/>
        </w:trPr>
        <w:tc>
          <w:tcPr>
            <w:tcW w:w="2951" w:type="dxa"/>
            <w:tcBorders>
              <w:top w:val="nil"/>
              <w:left w:val="nil"/>
              <w:bottom w:val="nil"/>
              <w:right w:val="nil"/>
            </w:tcBorders>
            <w:shd w:val="clear" w:color="auto" w:fill="auto"/>
            <w:noWrap/>
            <w:vAlign w:val="center"/>
            <w:hideMark/>
          </w:tcPr>
          <w:p w14:paraId="69FEE86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88" w:type="dxa"/>
            <w:tcBorders>
              <w:top w:val="nil"/>
              <w:left w:val="nil"/>
              <w:bottom w:val="nil"/>
              <w:right w:val="nil"/>
            </w:tcBorders>
            <w:shd w:val="clear" w:color="auto" w:fill="auto"/>
            <w:noWrap/>
            <w:vAlign w:val="center"/>
            <w:hideMark/>
          </w:tcPr>
          <w:p w14:paraId="7325EE36"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center"/>
            <w:hideMark/>
          </w:tcPr>
          <w:p w14:paraId="11307C1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089" w:type="dxa"/>
            <w:tcBorders>
              <w:top w:val="nil"/>
              <w:left w:val="nil"/>
              <w:bottom w:val="nil"/>
              <w:right w:val="nil"/>
            </w:tcBorders>
            <w:shd w:val="clear" w:color="auto" w:fill="auto"/>
            <w:noWrap/>
            <w:vAlign w:val="center"/>
            <w:hideMark/>
          </w:tcPr>
          <w:p w14:paraId="0C1441C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center"/>
            <w:hideMark/>
          </w:tcPr>
          <w:p w14:paraId="002BA86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center"/>
            <w:hideMark/>
          </w:tcPr>
          <w:p w14:paraId="25E8A46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center"/>
            <w:hideMark/>
          </w:tcPr>
          <w:p w14:paraId="68F8D31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450" w:type="dxa"/>
            <w:tcBorders>
              <w:top w:val="nil"/>
              <w:left w:val="nil"/>
              <w:bottom w:val="nil"/>
              <w:right w:val="nil"/>
            </w:tcBorders>
            <w:shd w:val="clear" w:color="auto" w:fill="auto"/>
            <w:noWrap/>
            <w:vAlign w:val="bottom"/>
            <w:hideMark/>
          </w:tcPr>
          <w:p w14:paraId="2CC744B8"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tc>
        <w:tc>
          <w:tcPr>
            <w:tcW w:w="1091" w:type="dxa"/>
            <w:tcBorders>
              <w:top w:val="nil"/>
              <w:left w:val="nil"/>
              <w:bottom w:val="nil"/>
              <w:right w:val="nil"/>
            </w:tcBorders>
            <w:shd w:val="clear" w:color="auto" w:fill="auto"/>
            <w:noWrap/>
            <w:vAlign w:val="center"/>
            <w:hideMark/>
          </w:tcPr>
          <w:p w14:paraId="73A40A20" w14:textId="19C73314"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87" w:type="dxa"/>
            <w:tcBorders>
              <w:top w:val="nil"/>
              <w:left w:val="nil"/>
              <w:bottom w:val="nil"/>
              <w:right w:val="nil"/>
            </w:tcBorders>
            <w:shd w:val="clear" w:color="auto" w:fill="auto"/>
            <w:noWrap/>
            <w:vAlign w:val="center"/>
            <w:hideMark/>
          </w:tcPr>
          <w:p w14:paraId="7725722C"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36" w:type="dxa"/>
            <w:tcBorders>
              <w:top w:val="nil"/>
              <w:left w:val="nil"/>
              <w:bottom w:val="nil"/>
              <w:right w:val="nil"/>
            </w:tcBorders>
            <w:shd w:val="clear" w:color="auto" w:fill="auto"/>
            <w:noWrap/>
            <w:vAlign w:val="center"/>
            <w:hideMark/>
          </w:tcPr>
          <w:p w14:paraId="7299E842" w14:textId="71BAC706"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r w:rsidRPr="00562D3C">
              <w:rPr>
                <w:rFonts w:ascii="Helv" w:eastAsia="Times New Roman" w:hAnsi="Helv"/>
                <w:noProof/>
                <w:sz w:val="20"/>
              </w:rPr>
              <mc:AlternateContent>
                <mc:Choice Requires="wps">
                  <w:drawing>
                    <wp:anchor distT="0" distB="0" distL="114300" distR="114300" simplePos="0" relativeHeight="251686912" behindDoc="0" locked="0" layoutInCell="1" allowOverlap="1" wp14:anchorId="572C9BCD" wp14:editId="42273B5D">
                      <wp:simplePos x="0" y="0"/>
                      <wp:positionH relativeFrom="column">
                        <wp:posOffset>15240</wp:posOffset>
                      </wp:positionH>
                      <wp:positionV relativeFrom="paragraph">
                        <wp:posOffset>24130</wp:posOffset>
                      </wp:positionV>
                      <wp:extent cx="826770" cy="4076700"/>
                      <wp:effectExtent l="0" t="0" r="11430" b="19050"/>
                      <wp:wrapNone/>
                      <wp:docPr id="1073" name="圆角矩形 1073">
                        <a:extLst xmlns:a="http://schemas.openxmlformats.org/drawingml/2006/main">
                          <a:ext uri="{FF2B5EF4-FFF2-40B4-BE49-F238E27FC236}">
                            <a16:creationId xmlns:a16="http://schemas.microsoft.com/office/drawing/2014/main" id="{CE4B55E3-3BFD-DA44-A444-4EAF272A2D9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 cy="407670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21F71D13" id="圆角矩形 1073" o:spid="_x0000_s1026" style="position:absolute;margin-left:1.2pt;margin-top:1.9pt;width:65.1pt;height:3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" filled="f" strokecolor="#0070c0" strokeweight="1pt"/>
                  </w:pict>
                </mc:Fallback>
              </mc:AlternateContent>
            </w:r>
          </w:p>
        </w:tc>
      </w:tr>
      <w:tr w:rsidR="005C437E" w:rsidRPr="00562D3C" w14:paraId="4E7A3545" w14:textId="77777777" w:rsidTr="002F7131">
        <w:trPr>
          <w:trHeight w:val="20"/>
        </w:trPr>
        <w:tc>
          <w:tcPr>
            <w:tcW w:w="2951" w:type="dxa"/>
            <w:tcBorders>
              <w:top w:val="nil"/>
              <w:left w:val="nil"/>
              <w:bottom w:val="nil"/>
              <w:right w:val="nil"/>
            </w:tcBorders>
            <w:shd w:val="clear" w:color="auto" w:fill="auto"/>
            <w:noWrap/>
            <w:vAlign w:val="center"/>
            <w:hideMark/>
          </w:tcPr>
          <w:p w14:paraId="0B05765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088" w:type="dxa"/>
            <w:tcBorders>
              <w:top w:val="nil"/>
              <w:left w:val="single" w:sz="4" w:space="0" w:color="0070C0"/>
              <w:bottom w:val="nil"/>
              <w:right w:val="nil"/>
            </w:tcBorders>
            <w:shd w:val="clear" w:color="auto" w:fill="auto"/>
            <w:hideMark/>
          </w:tcPr>
          <w:p w14:paraId="6B99AA24"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大会和</w:t>
            </w:r>
            <w:r>
              <w:rPr>
                <w:rFonts w:ascii="SimSun" w:hAnsi="SimSun"/>
                <w:sz w:val="20"/>
              </w:rPr>
              <w:br/>
            </w:r>
            <w:r w:rsidRPr="00100C74">
              <w:rPr>
                <w:rFonts w:ascii="SimSun" w:hAnsi="SimSun" w:hint="eastAsia"/>
                <w:sz w:val="20"/>
              </w:rPr>
              <w:t>全会</w:t>
            </w:r>
          </w:p>
        </w:tc>
        <w:tc>
          <w:tcPr>
            <w:tcW w:w="1090" w:type="dxa"/>
            <w:tcBorders>
              <w:top w:val="nil"/>
              <w:left w:val="nil"/>
              <w:bottom w:val="nil"/>
              <w:right w:val="nil"/>
            </w:tcBorders>
            <w:shd w:val="clear" w:color="auto" w:fill="auto"/>
            <w:hideMark/>
          </w:tcPr>
          <w:p w14:paraId="01210C4F"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无线电规则委员会</w:t>
            </w:r>
          </w:p>
        </w:tc>
        <w:tc>
          <w:tcPr>
            <w:tcW w:w="1089" w:type="dxa"/>
            <w:tcBorders>
              <w:top w:val="nil"/>
              <w:left w:val="nil"/>
              <w:bottom w:val="nil"/>
              <w:right w:val="nil"/>
            </w:tcBorders>
            <w:shd w:val="clear" w:color="auto" w:fill="auto"/>
            <w:hideMark/>
          </w:tcPr>
          <w:p w14:paraId="6BE1F575"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无线电通信顾问组</w:t>
            </w:r>
          </w:p>
        </w:tc>
        <w:tc>
          <w:tcPr>
            <w:tcW w:w="1090" w:type="dxa"/>
            <w:tcBorders>
              <w:top w:val="nil"/>
              <w:left w:val="nil"/>
              <w:bottom w:val="nil"/>
              <w:right w:val="nil"/>
            </w:tcBorders>
            <w:shd w:val="clear" w:color="auto" w:fill="auto"/>
            <w:hideMark/>
          </w:tcPr>
          <w:p w14:paraId="569283A3"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研究组</w:t>
            </w:r>
            <w:r>
              <w:rPr>
                <w:rFonts w:ascii="SimSun" w:hAnsi="SimSun"/>
                <w:sz w:val="20"/>
              </w:rPr>
              <w:br/>
            </w:r>
            <w:r w:rsidRPr="00100C74">
              <w:rPr>
                <w:rFonts w:ascii="SimSun" w:hAnsi="SimSun" w:hint="eastAsia"/>
                <w:sz w:val="20"/>
              </w:rPr>
              <w:t>会议</w:t>
            </w:r>
          </w:p>
        </w:tc>
        <w:tc>
          <w:tcPr>
            <w:tcW w:w="1090" w:type="dxa"/>
            <w:tcBorders>
              <w:top w:val="nil"/>
              <w:left w:val="nil"/>
              <w:bottom w:val="nil"/>
              <w:right w:val="nil"/>
            </w:tcBorders>
            <w:shd w:val="clear" w:color="auto" w:fill="auto"/>
            <w:noWrap/>
            <w:hideMark/>
          </w:tcPr>
          <w:p w14:paraId="4DD0EC71"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活动和</w:t>
            </w:r>
            <w:r>
              <w:rPr>
                <w:rFonts w:ascii="SimSun" w:hAnsi="SimSun"/>
                <w:sz w:val="20"/>
              </w:rPr>
              <w:br/>
            </w:r>
            <w:r w:rsidRPr="00100C74">
              <w:rPr>
                <w:rFonts w:ascii="SimSun" w:hAnsi="SimSun" w:hint="eastAsia"/>
                <w:sz w:val="20"/>
              </w:rPr>
              <w:t>项目</w:t>
            </w:r>
          </w:p>
        </w:tc>
        <w:tc>
          <w:tcPr>
            <w:tcW w:w="1090" w:type="dxa"/>
            <w:tcBorders>
              <w:top w:val="nil"/>
              <w:left w:val="nil"/>
              <w:bottom w:val="nil"/>
              <w:right w:val="nil"/>
            </w:tcBorders>
            <w:shd w:val="clear" w:color="auto" w:fill="auto"/>
            <w:hideMark/>
          </w:tcPr>
          <w:p w14:paraId="630B77ED"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研讨会和讲习班</w:t>
            </w:r>
          </w:p>
        </w:tc>
        <w:tc>
          <w:tcPr>
            <w:tcW w:w="1450" w:type="dxa"/>
            <w:tcBorders>
              <w:top w:val="nil"/>
              <w:left w:val="nil"/>
              <w:bottom w:val="nil"/>
              <w:right w:val="nil"/>
            </w:tcBorders>
            <w:shd w:val="clear" w:color="auto" w:fill="auto"/>
            <w:noWrap/>
            <w:hideMark/>
          </w:tcPr>
          <w:p w14:paraId="4A04A6E0"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共同支出</w:t>
            </w:r>
          </w:p>
        </w:tc>
        <w:tc>
          <w:tcPr>
            <w:tcW w:w="1091" w:type="dxa"/>
            <w:tcBorders>
              <w:top w:val="nil"/>
              <w:left w:val="nil"/>
              <w:bottom w:val="nil"/>
              <w:right w:val="nil"/>
            </w:tcBorders>
            <w:shd w:val="clear" w:color="auto" w:fill="auto"/>
            <w:noWrap/>
            <w:hideMark/>
          </w:tcPr>
          <w:p w14:paraId="2F82A8CE"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主任</w:t>
            </w:r>
            <w:r>
              <w:rPr>
                <w:rFonts w:ascii="SimSun" w:hAnsi="SimSun"/>
                <w:sz w:val="20"/>
              </w:rPr>
              <w:br/>
            </w:r>
            <w:r w:rsidRPr="00100C74">
              <w:rPr>
                <w:rFonts w:ascii="SimSun" w:hAnsi="SimSun" w:hint="eastAsia"/>
                <w:sz w:val="20"/>
              </w:rPr>
              <w:t>办公室</w:t>
            </w:r>
          </w:p>
        </w:tc>
        <w:tc>
          <w:tcPr>
            <w:tcW w:w="987" w:type="dxa"/>
            <w:tcBorders>
              <w:top w:val="nil"/>
              <w:left w:val="nil"/>
              <w:bottom w:val="nil"/>
              <w:right w:val="nil"/>
            </w:tcBorders>
            <w:shd w:val="clear" w:color="auto" w:fill="auto"/>
            <w:hideMark/>
          </w:tcPr>
          <w:p w14:paraId="4292C0FA"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各部</w:t>
            </w:r>
          </w:p>
        </w:tc>
        <w:tc>
          <w:tcPr>
            <w:tcW w:w="1236" w:type="dxa"/>
            <w:tcBorders>
              <w:top w:val="nil"/>
              <w:left w:val="nil"/>
              <w:bottom w:val="nil"/>
              <w:right w:val="nil"/>
            </w:tcBorders>
            <w:shd w:val="clear" w:color="auto" w:fill="auto"/>
            <w:noWrap/>
            <w:vAlign w:val="center"/>
            <w:hideMark/>
          </w:tcPr>
          <w:p w14:paraId="1301FE01" w14:textId="61160AC8" w:rsidR="005C437E" w:rsidRPr="00461DD1"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heme="minorEastAsia" w:eastAsiaTheme="minorEastAsia" w:hAnsiTheme="minorEastAsia" w:cs="Calibri"/>
                <w:b/>
                <w:bCs/>
                <w:color w:val="002060"/>
                <w:sz w:val="20"/>
              </w:rPr>
            </w:pPr>
            <w:r w:rsidRPr="00461DD1">
              <w:rPr>
                <w:rFonts w:asciiTheme="minorEastAsia" w:eastAsiaTheme="minorEastAsia" w:hAnsiTheme="minorEastAsia" w:cs="Microsoft YaHei"/>
                <w:b/>
                <w:bCs/>
                <w:color w:val="002060"/>
                <w:sz w:val="20"/>
              </w:rPr>
              <w:t>合计</w:t>
            </w:r>
          </w:p>
        </w:tc>
      </w:tr>
      <w:tr w:rsidR="005C437E" w:rsidRPr="00562D3C" w14:paraId="389D0ECA" w14:textId="77777777" w:rsidTr="002F7131">
        <w:trPr>
          <w:trHeight w:val="20"/>
        </w:trPr>
        <w:tc>
          <w:tcPr>
            <w:tcW w:w="2951" w:type="dxa"/>
            <w:tcBorders>
              <w:top w:val="nil"/>
              <w:left w:val="nil"/>
              <w:bottom w:val="single" w:sz="4" w:space="0" w:color="auto"/>
              <w:right w:val="nil"/>
            </w:tcBorders>
            <w:shd w:val="clear" w:color="auto" w:fill="auto"/>
            <w:noWrap/>
            <w:vAlign w:val="center"/>
            <w:hideMark/>
          </w:tcPr>
          <w:p w14:paraId="415A67CA"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sz w:val="20"/>
              </w:rPr>
            </w:pPr>
            <w:r w:rsidRPr="00562D3C">
              <w:rPr>
                <w:rFonts w:eastAsia="Times New Roman" w:cs="Calibri"/>
                <w:b/>
                <w:bCs/>
                <w:i/>
                <w:iCs/>
                <w:sz w:val="20"/>
              </w:rPr>
              <w:t> </w:t>
            </w:r>
          </w:p>
        </w:tc>
        <w:tc>
          <w:tcPr>
            <w:tcW w:w="1088" w:type="dxa"/>
            <w:tcBorders>
              <w:top w:val="nil"/>
              <w:left w:val="single" w:sz="4" w:space="0" w:color="0070C0"/>
              <w:bottom w:val="single" w:sz="4" w:space="0" w:color="auto"/>
              <w:right w:val="nil"/>
            </w:tcBorders>
            <w:shd w:val="clear" w:color="auto" w:fill="auto"/>
            <w:vAlign w:val="center"/>
            <w:hideMark/>
          </w:tcPr>
          <w:p w14:paraId="444C946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562D3C">
              <w:rPr>
                <w:rFonts w:eastAsia="Times New Roman" w:cs="Calibri"/>
                <w:sz w:val="20"/>
              </w:rPr>
              <w:t> </w:t>
            </w:r>
          </w:p>
        </w:tc>
        <w:tc>
          <w:tcPr>
            <w:tcW w:w="1090" w:type="dxa"/>
            <w:tcBorders>
              <w:top w:val="nil"/>
              <w:left w:val="nil"/>
              <w:bottom w:val="single" w:sz="4" w:space="0" w:color="auto"/>
              <w:right w:val="nil"/>
            </w:tcBorders>
            <w:shd w:val="clear" w:color="auto" w:fill="auto"/>
            <w:vAlign w:val="center"/>
            <w:hideMark/>
          </w:tcPr>
          <w:p w14:paraId="48E66CC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562D3C">
              <w:rPr>
                <w:rFonts w:eastAsia="Times New Roman" w:cs="Calibri"/>
                <w:sz w:val="20"/>
              </w:rPr>
              <w:t> </w:t>
            </w:r>
          </w:p>
        </w:tc>
        <w:tc>
          <w:tcPr>
            <w:tcW w:w="1089" w:type="dxa"/>
            <w:tcBorders>
              <w:top w:val="nil"/>
              <w:left w:val="nil"/>
              <w:bottom w:val="single" w:sz="4" w:space="0" w:color="auto"/>
              <w:right w:val="nil"/>
            </w:tcBorders>
            <w:shd w:val="clear" w:color="auto" w:fill="auto"/>
            <w:noWrap/>
            <w:vAlign w:val="center"/>
            <w:hideMark/>
          </w:tcPr>
          <w:p w14:paraId="4AE869C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562D3C">
              <w:rPr>
                <w:rFonts w:eastAsia="Times New Roman" w:cs="Calibri"/>
                <w:sz w:val="20"/>
              </w:rPr>
              <w:t> </w:t>
            </w:r>
          </w:p>
        </w:tc>
        <w:tc>
          <w:tcPr>
            <w:tcW w:w="1090" w:type="dxa"/>
            <w:tcBorders>
              <w:top w:val="nil"/>
              <w:left w:val="nil"/>
              <w:bottom w:val="single" w:sz="4" w:space="0" w:color="auto"/>
              <w:right w:val="nil"/>
            </w:tcBorders>
            <w:shd w:val="clear" w:color="auto" w:fill="auto"/>
            <w:noWrap/>
            <w:vAlign w:val="center"/>
            <w:hideMark/>
          </w:tcPr>
          <w:p w14:paraId="512E124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562D3C">
              <w:rPr>
                <w:rFonts w:eastAsia="Times New Roman" w:cs="Calibri"/>
                <w:sz w:val="20"/>
              </w:rPr>
              <w:t> </w:t>
            </w:r>
          </w:p>
        </w:tc>
        <w:tc>
          <w:tcPr>
            <w:tcW w:w="1090" w:type="dxa"/>
            <w:tcBorders>
              <w:top w:val="nil"/>
              <w:left w:val="nil"/>
              <w:bottom w:val="single" w:sz="4" w:space="0" w:color="auto"/>
              <w:right w:val="nil"/>
            </w:tcBorders>
            <w:shd w:val="clear" w:color="auto" w:fill="auto"/>
            <w:noWrap/>
            <w:vAlign w:val="center"/>
            <w:hideMark/>
          </w:tcPr>
          <w:p w14:paraId="6F80806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562D3C">
              <w:rPr>
                <w:rFonts w:eastAsia="Times New Roman" w:cs="Calibri"/>
                <w:sz w:val="20"/>
              </w:rPr>
              <w:t> </w:t>
            </w:r>
          </w:p>
        </w:tc>
        <w:tc>
          <w:tcPr>
            <w:tcW w:w="1090" w:type="dxa"/>
            <w:tcBorders>
              <w:top w:val="nil"/>
              <w:left w:val="nil"/>
              <w:bottom w:val="single" w:sz="4" w:space="0" w:color="auto"/>
              <w:right w:val="nil"/>
            </w:tcBorders>
            <w:shd w:val="clear" w:color="auto" w:fill="auto"/>
            <w:noWrap/>
            <w:vAlign w:val="center"/>
            <w:hideMark/>
          </w:tcPr>
          <w:p w14:paraId="2FCB530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562D3C">
              <w:rPr>
                <w:rFonts w:eastAsia="Times New Roman" w:cs="Calibri"/>
                <w:sz w:val="20"/>
              </w:rPr>
              <w:t> </w:t>
            </w:r>
          </w:p>
        </w:tc>
        <w:tc>
          <w:tcPr>
            <w:tcW w:w="1450" w:type="dxa"/>
            <w:tcBorders>
              <w:top w:val="nil"/>
              <w:left w:val="nil"/>
              <w:bottom w:val="single" w:sz="4" w:space="0" w:color="auto"/>
              <w:right w:val="nil"/>
            </w:tcBorders>
            <w:shd w:val="clear" w:color="auto" w:fill="auto"/>
            <w:noWrap/>
            <w:vAlign w:val="center"/>
            <w:hideMark/>
          </w:tcPr>
          <w:p w14:paraId="263DECF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562D3C">
              <w:rPr>
                <w:rFonts w:eastAsia="Times New Roman" w:cs="Calibri"/>
                <w:sz w:val="20"/>
              </w:rPr>
              <w:t> </w:t>
            </w:r>
          </w:p>
        </w:tc>
        <w:tc>
          <w:tcPr>
            <w:tcW w:w="1091" w:type="dxa"/>
            <w:tcBorders>
              <w:top w:val="nil"/>
              <w:left w:val="nil"/>
              <w:bottom w:val="single" w:sz="4" w:space="0" w:color="auto"/>
              <w:right w:val="nil"/>
            </w:tcBorders>
            <w:shd w:val="clear" w:color="auto" w:fill="auto"/>
            <w:noWrap/>
            <w:vAlign w:val="center"/>
            <w:hideMark/>
          </w:tcPr>
          <w:p w14:paraId="30B8B85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562D3C">
              <w:rPr>
                <w:rFonts w:eastAsia="Times New Roman" w:cs="Calibri"/>
                <w:sz w:val="20"/>
              </w:rPr>
              <w:t> </w:t>
            </w:r>
          </w:p>
        </w:tc>
        <w:tc>
          <w:tcPr>
            <w:tcW w:w="987" w:type="dxa"/>
            <w:tcBorders>
              <w:top w:val="nil"/>
              <w:left w:val="nil"/>
              <w:bottom w:val="single" w:sz="4" w:space="0" w:color="auto"/>
              <w:right w:val="nil"/>
            </w:tcBorders>
            <w:shd w:val="clear" w:color="auto" w:fill="auto"/>
            <w:noWrap/>
            <w:vAlign w:val="center"/>
            <w:hideMark/>
          </w:tcPr>
          <w:p w14:paraId="3985B28F" w14:textId="1A937DD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562D3C">
              <w:rPr>
                <w:rFonts w:eastAsia="Times New Roman" w:cs="Calibri"/>
                <w:sz w:val="20"/>
              </w:rPr>
              <w:t> </w:t>
            </w:r>
          </w:p>
        </w:tc>
        <w:tc>
          <w:tcPr>
            <w:tcW w:w="1236" w:type="dxa"/>
            <w:tcBorders>
              <w:top w:val="nil"/>
              <w:left w:val="nil"/>
              <w:bottom w:val="single" w:sz="4" w:space="0" w:color="auto"/>
              <w:right w:val="nil"/>
            </w:tcBorders>
            <w:shd w:val="clear" w:color="auto" w:fill="auto"/>
            <w:noWrap/>
            <w:vAlign w:val="center"/>
            <w:hideMark/>
          </w:tcPr>
          <w:p w14:paraId="591FEB9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562D3C">
              <w:rPr>
                <w:rFonts w:eastAsia="Times New Roman" w:cs="Calibri"/>
                <w:b/>
                <w:bCs/>
                <w:color w:val="002060"/>
                <w:sz w:val="20"/>
              </w:rPr>
              <w:t> </w:t>
            </w:r>
          </w:p>
        </w:tc>
      </w:tr>
      <w:tr w:rsidR="005C437E" w:rsidRPr="00562D3C" w14:paraId="1A00D9BC" w14:textId="77777777" w:rsidTr="002F7131">
        <w:trPr>
          <w:trHeight w:val="20"/>
        </w:trPr>
        <w:tc>
          <w:tcPr>
            <w:tcW w:w="2951" w:type="dxa"/>
            <w:tcBorders>
              <w:top w:val="nil"/>
              <w:left w:val="nil"/>
              <w:bottom w:val="nil"/>
              <w:right w:val="nil"/>
            </w:tcBorders>
            <w:shd w:val="clear" w:color="auto" w:fill="auto"/>
            <w:noWrap/>
            <w:vAlign w:val="bottom"/>
            <w:hideMark/>
          </w:tcPr>
          <w:p w14:paraId="7C4D318C"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562D3C">
              <w:rPr>
                <w:rFonts w:cstheme="minorHAnsi"/>
                <w:sz w:val="20"/>
              </w:rPr>
              <w:t xml:space="preserve">1 - </w:t>
            </w:r>
            <w:r w:rsidRPr="00562D3C">
              <w:rPr>
                <w:rFonts w:cstheme="minorHAnsi"/>
                <w:sz w:val="20"/>
              </w:rPr>
              <w:t>人员费用</w:t>
            </w:r>
          </w:p>
        </w:tc>
        <w:tc>
          <w:tcPr>
            <w:tcW w:w="1088" w:type="dxa"/>
            <w:tcBorders>
              <w:top w:val="nil"/>
              <w:left w:val="single" w:sz="4" w:space="0" w:color="0070C0"/>
              <w:bottom w:val="nil"/>
              <w:right w:val="nil"/>
            </w:tcBorders>
            <w:shd w:val="clear" w:color="auto" w:fill="auto"/>
            <w:noWrap/>
            <w:vAlign w:val="bottom"/>
            <w:hideMark/>
          </w:tcPr>
          <w:p w14:paraId="3872C3B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90" w:type="dxa"/>
            <w:tcBorders>
              <w:top w:val="nil"/>
              <w:left w:val="nil"/>
              <w:bottom w:val="nil"/>
              <w:right w:val="nil"/>
            </w:tcBorders>
            <w:shd w:val="clear" w:color="auto" w:fill="auto"/>
            <w:noWrap/>
            <w:vAlign w:val="bottom"/>
            <w:hideMark/>
          </w:tcPr>
          <w:p w14:paraId="25CB271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166</w:t>
            </w:r>
          </w:p>
        </w:tc>
        <w:tc>
          <w:tcPr>
            <w:tcW w:w="1089" w:type="dxa"/>
            <w:tcBorders>
              <w:top w:val="nil"/>
              <w:left w:val="nil"/>
              <w:bottom w:val="nil"/>
              <w:right w:val="nil"/>
            </w:tcBorders>
            <w:shd w:val="clear" w:color="auto" w:fill="auto"/>
            <w:noWrap/>
            <w:vAlign w:val="bottom"/>
            <w:hideMark/>
          </w:tcPr>
          <w:p w14:paraId="7DA653A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56</w:t>
            </w:r>
          </w:p>
        </w:tc>
        <w:tc>
          <w:tcPr>
            <w:tcW w:w="1090" w:type="dxa"/>
            <w:tcBorders>
              <w:top w:val="nil"/>
              <w:left w:val="nil"/>
              <w:bottom w:val="nil"/>
              <w:right w:val="nil"/>
            </w:tcBorders>
            <w:shd w:val="clear" w:color="auto" w:fill="auto"/>
            <w:noWrap/>
            <w:vAlign w:val="bottom"/>
            <w:hideMark/>
          </w:tcPr>
          <w:p w14:paraId="70E3E20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201</w:t>
            </w:r>
          </w:p>
        </w:tc>
        <w:tc>
          <w:tcPr>
            <w:tcW w:w="1090" w:type="dxa"/>
            <w:tcBorders>
              <w:top w:val="nil"/>
              <w:left w:val="nil"/>
              <w:bottom w:val="nil"/>
              <w:right w:val="nil"/>
            </w:tcBorders>
            <w:shd w:val="clear" w:color="auto" w:fill="auto"/>
            <w:noWrap/>
            <w:vAlign w:val="bottom"/>
            <w:hideMark/>
          </w:tcPr>
          <w:p w14:paraId="716398A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90" w:type="dxa"/>
            <w:tcBorders>
              <w:top w:val="nil"/>
              <w:left w:val="nil"/>
              <w:bottom w:val="nil"/>
              <w:right w:val="nil"/>
            </w:tcBorders>
            <w:shd w:val="clear" w:color="auto" w:fill="auto"/>
            <w:noWrap/>
            <w:vAlign w:val="bottom"/>
            <w:hideMark/>
          </w:tcPr>
          <w:p w14:paraId="14E37A9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129</w:t>
            </w:r>
          </w:p>
        </w:tc>
        <w:tc>
          <w:tcPr>
            <w:tcW w:w="1450" w:type="dxa"/>
            <w:tcBorders>
              <w:top w:val="nil"/>
              <w:left w:val="nil"/>
              <w:bottom w:val="nil"/>
              <w:right w:val="nil"/>
            </w:tcBorders>
            <w:shd w:val="clear" w:color="auto" w:fill="auto"/>
            <w:noWrap/>
            <w:vAlign w:val="bottom"/>
            <w:hideMark/>
          </w:tcPr>
          <w:p w14:paraId="75E1959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91" w:type="dxa"/>
            <w:tcBorders>
              <w:top w:val="nil"/>
              <w:left w:val="nil"/>
              <w:bottom w:val="nil"/>
              <w:right w:val="nil"/>
            </w:tcBorders>
            <w:shd w:val="clear" w:color="auto" w:fill="auto"/>
            <w:noWrap/>
            <w:vAlign w:val="bottom"/>
            <w:hideMark/>
          </w:tcPr>
          <w:p w14:paraId="6A34B34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720</w:t>
            </w:r>
          </w:p>
        </w:tc>
        <w:tc>
          <w:tcPr>
            <w:tcW w:w="987" w:type="dxa"/>
            <w:tcBorders>
              <w:top w:val="nil"/>
              <w:left w:val="nil"/>
              <w:bottom w:val="nil"/>
              <w:right w:val="nil"/>
            </w:tcBorders>
            <w:shd w:val="clear" w:color="auto" w:fill="auto"/>
            <w:noWrap/>
            <w:vAlign w:val="bottom"/>
            <w:hideMark/>
          </w:tcPr>
          <w:p w14:paraId="02CF44C1" w14:textId="4A7E1949"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19,342</w:t>
            </w:r>
          </w:p>
        </w:tc>
        <w:tc>
          <w:tcPr>
            <w:tcW w:w="1236" w:type="dxa"/>
            <w:tcBorders>
              <w:top w:val="nil"/>
              <w:left w:val="nil"/>
              <w:bottom w:val="nil"/>
              <w:right w:val="nil"/>
            </w:tcBorders>
            <w:shd w:val="clear" w:color="auto" w:fill="auto"/>
            <w:noWrap/>
            <w:vAlign w:val="bottom"/>
            <w:hideMark/>
          </w:tcPr>
          <w:p w14:paraId="648D40E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20,614</w:t>
            </w:r>
          </w:p>
        </w:tc>
      </w:tr>
      <w:tr w:rsidR="005C437E" w:rsidRPr="00562D3C" w14:paraId="42DC7D13" w14:textId="77777777" w:rsidTr="002F7131">
        <w:trPr>
          <w:trHeight w:val="20"/>
        </w:trPr>
        <w:tc>
          <w:tcPr>
            <w:tcW w:w="2951" w:type="dxa"/>
            <w:tcBorders>
              <w:top w:val="nil"/>
              <w:left w:val="nil"/>
              <w:bottom w:val="nil"/>
              <w:right w:val="nil"/>
            </w:tcBorders>
            <w:shd w:val="clear" w:color="auto" w:fill="auto"/>
            <w:noWrap/>
            <w:vAlign w:val="bottom"/>
            <w:hideMark/>
          </w:tcPr>
          <w:p w14:paraId="2DADC1A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088" w:type="dxa"/>
            <w:tcBorders>
              <w:top w:val="nil"/>
              <w:left w:val="single" w:sz="4" w:space="0" w:color="0070C0"/>
              <w:bottom w:val="nil"/>
              <w:right w:val="nil"/>
            </w:tcBorders>
            <w:shd w:val="clear" w:color="auto" w:fill="auto"/>
            <w:noWrap/>
            <w:vAlign w:val="bottom"/>
            <w:hideMark/>
          </w:tcPr>
          <w:p w14:paraId="7DEB4B5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90" w:type="dxa"/>
            <w:tcBorders>
              <w:top w:val="nil"/>
              <w:left w:val="nil"/>
              <w:bottom w:val="nil"/>
              <w:right w:val="nil"/>
            </w:tcBorders>
            <w:shd w:val="clear" w:color="auto" w:fill="auto"/>
            <w:noWrap/>
            <w:vAlign w:val="bottom"/>
            <w:hideMark/>
          </w:tcPr>
          <w:p w14:paraId="46B6CF8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89" w:type="dxa"/>
            <w:tcBorders>
              <w:top w:val="nil"/>
              <w:left w:val="nil"/>
              <w:bottom w:val="nil"/>
              <w:right w:val="nil"/>
            </w:tcBorders>
            <w:shd w:val="clear" w:color="auto" w:fill="auto"/>
            <w:noWrap/>
            <w:vAlign w:val="bottom"/>
            <w:hideMark/>
          </w:tcPr>
          <w:p w14:paraId="6E44566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4EB421A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6F7D161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2CC5FA5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0" w:type="dxa"/>
            <w:tcBorders>
              <w:top w:val="nil"/>
              <w:left w:val="nil"/>
              <w:bottom w:val="nil"/>
              <w:right w:val="nil"/>
            </w:tcBorders>
            <w:shd w:val="clear" w:color="auto" w:fill="auto"/>
            <w:noWrap/>
            <w:vAlign w:val="bottom"/>
            <w:hideMark/>
          </w:tcPr>
          <w:p w14:paraId="422221F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1" w:type="dxa"/>
            <w:tcBorders>
              <w:top w:val="nil"/>
              <w:left w:val="nil"/>
              <w:bottom w:val="nil"/>
              <w:right w:val="nil"/>
            </w:tcBorders>
            <w:shd w:val="clear" w:color="auto" w:fill="auto"/>
            <w:noWrap/>
            <w:vAlign w:val="bottom"/>
            <w:hideMark/>
          </w:tcPr>
          <w:p w14:paraId="327CECD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987" w:type="dxa"/>
            <w:tcBorders>
              <w:top w:val="nil"/>
              <w:left w:val="nil"/>
              <w:bottom w:val="nil"/>
              <w:right w:val="nil"/>
            </w:tcBorders>
            <w:shd w:val="clear" w:color="auto" w:fill="auto"/>
            <w:noWrap/>
            <w:vAlign w:val="bottom"/>
            <w:hideMark/>
          </w:tcPr>
          <w:p w14:paraId="7D961F0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6" w:type="dxa"/>
            <w:tcBorders>
              <w:top w:val="nil"/>
              <w:left w:val="nil"/>
              <w:bottom w:val="nil"/>
              <w:right w:val="nil"/>
            </w:tcBorders>
            <w:shd w:val="clear" w:color="auto" w:fill="auto"/>
            <w:noWrap/>
            <w:vAlign w:val="bottom"/>
            <w:hideMark/>
          </w:tcPr>
          <w:p w14:paraId="03327C7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62D2660A" w14:textId="77777777" w:rsidTr="002F7131">
        <w:trPr>
          <w:trHeight w:val="20"/>
        </w:trPr>
        <w:tc>
          <w:tcPr>
            <w:tcW w:w="2951" w:type="dxa"/>
            <w:tcBorders>
              <w:top w:val="nil"/>
              <w:left w:val="nil"/>
              <w:bottom w:val="nil"/>
              <w:right w:val="nil"/>
            </w:tcBorders>
            <w:shd w:val="clear" w:color="auto" w:fill="auto"/>
            <w:noWrap/>
            <w:vAlign w:val="bottom"/>
            <w:hideMark/>
          </w:tcPr>
          <w:p w14:paraId="1FB71813"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562D3C">
              <w:rPr>
                <w:rFonts w:cstheme="minorHAnsi"/>
                <w:sz w:val="20"/>
              </w:rPr>
              <w:t xml:space="preserve">2 - </w:t>
            </w:r>
            <w:r w:rsidRPr="00562D3C">
              <w:rPr>
                <w:rFonts w:cstheme="minorHAnsi"/>
                <w:sz w:val="20"/>
              </w:rPr>
              <w:t>其他人员费用</w:t>
            </w:r>
          </w:p>
        </w:tc>
        <w:tc>
          <w:tcPr>
            <w:tcW w:w="1088" w:type="dxa"/>
            <w:tcBorders>
              <w:top w:val="nil"/>
              <w:left w:val="single" w:sz="4" w:space="0" w:color="0070C0"/>
              <w:bottom w:val="nil"/>
              <w:right w:val="nil"/>
            </w:tcBorders>
            <w:shd w:val="clear" w:color="auto" w:fill="auto"/>
            <w:noWrap/>
            <w:vAlign w:val="bottom"/>
            <w:hideMark/>
          </w:tcPr>
          <w:p w14:paraId="4E23570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90" w:type="dxa"/>
            <w:tcBorders>
              <w:top w:val="nil"/>
              <w:left w:val="nil"/>
              <w:bottom w:val="nil"/>
              <w:right w:val="nil"/>
            </w:tcBorders>
            <w:shd w:val="clear" w:color="auto" w:fill="auto"/>
            <w:noWrap/>
            <w:vAlign w:val="bottom"/>
            <w:hideMark/>
          </w:tcPr>
          <w:p w14:paraId="3CCECEB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8</w:t>
            </w:r>
          </w:p>
        </w:tc>
        <w:tc>
          <w:tcPr>
            <w:tcW w:w="1089" w:type="dxa"/>
            <w:tcBorders>
              <w:top w:val="nil"/>
              <w:left w:val="nil"/>
              <w:bottom w:val="nil"/>
              <w:right w:val="nil"/>
            </w:tcBorders>
            <w:shd w:val="clear" w:color="auto" w:fill="auto"/>
            <w:noWrap/>
            <w:vAlign w:val="bottom"/>
            <w:hideMark/>
          </w:tcPr>
          <w:p w14:paraId="64DCD8C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4</w:t>
            </w:r>
          </w:p>
        </w:tc>
        <w:tc>
          <w:tcPr>
            <w:tcW w:w="1090" w:type="dxa"/>
            <w:tcBorders>
              <w:top w:val="nil"/>
              <w:left w:val="nil"/>
              <w:bottom w:val="nil"/>
              <w:right w:val="nil"/>
            </w:tcBorders>
            <w:shd w:val="clear" w:color="auto" w:fill="auto"/>
            <w:noWrap/>
            <w:vAlign w:val="bottom"/>
            <w:hideMark/>
          </w:tcPr>
          <w:p w14:paraId="07765BF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8</w:t>
            </w:r>
          </w:p>
        </w:tc>
        <w:tc>
          <w:tcPr>
            <w:tcW w:w="1090" w:type="dxa"/>
            <w:tcBorders>
              <w:top w:val="nil"/>
              <w:left w:val="nil"/>
              <w:bottom w:val="nil"/>
              <w:right w:val="nil"/>
            </w:tcBorders>
            <w:shd w:val="clear" w:color="auto" w:fill="auto"/>
            <w:noWrap/>
            <w:vAlign w:val="bottom"/>
            <w:hideMark/>
          </w:tcPr>
          <w:p w14:paraId="62B3A3C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90" w:type="dxa"/>
            <w:tcBorders>
              <w:top w:val="nil"/>
              <w:left w:val="nil"/>
              <w:bottom w:val="nil"/>
              <w:right w:val="nil"/>
            </w:tcBorders>
            <w:shd w:val="clear" w:color="auto" w:fill="auto"/>
            <w:noWrap/>
            <w:vAlign w:val="bottom"/>
            <w:hideMark/>
          </w:tcPr>
          <w:p w14:paraId="209E928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8</w:t>
            </w:r>
          </w:p>
        </w:tc>
        <w:tc>
          <w:tcPr>
            <w:tcW w:w="1450" w:type="dxa"/>
            <w:tcBorders>
              <w:top w:val="nil"/>
              <w:left w:val="nil"/>
              <w:bottom w:val="nil"/>
              <w:right w:val="nil"/>
            </w:tcBorders>
            <w:shd w:val="clear" w:color="auto" w:fill="auto"/>
            <w:noWrap/>
            <w:vAlign w:val="bottom"/>
            <w:hideMark/>
          </w:tcPr>
          <w:p w14:paraId="7E676C2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91" w:type="dxa"/>
            <w:tcBorders>
              <w:top w:val="nil"/>
              <w:left w:val="nil"/>
              <w:bottom w:val="nil"/>
              <w:right w:val="nil"/>
            </w:tcBorders>
            <w:shd w:val="clear" w:color="auto" w:fill="auto"/>
            <w:noWrap/>
            <w:vAlign w:val="bottom"/>
            <w:hideMark/>
          </w:tcPr>
          <w:p w14:paraId="60ADEA37" w14:textId="5356109F"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198</w:t>
            </w:r>
          </w:p>
        </w:tc>
        <w:tc>
          <w:tcPr>
            <w:tcW w:w="987" w:type="dxa"/>
            <w:tcBorders>
              <w:top w:val="nil"/>
              <w:left w:val="nil"/>
              <w:bottom w:val="nil"/>
              <w:right w:val="nil"/>
            </w:tcBorders>
            <w:shd w:val="clear" w:color="auto" w:fill="auto"/>
            <w:noWrap/>
            <w:vAlign w:val="bottom"/>
            <w:hideMark/>
          </w:tcPr>
          <w:p w14:paraId="0AFF212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5,643</w:t>
            </w:r>
          </w:p>
        </w:tc>
        <w:tc>
          <w:tcPr>
            <w:tcW w:w="1236" w:type="dxa"/>
            <w:tcBorders>
              <w:top w:val="nil"/>
              <w:left w:val="nil"/>
              <w:bottom w:val="nil"/>
              <w:right w:val="nil"/>
            </w:tcBorders>
            <w:shd w:val="clear" w:color="auto" w:fill="auto"/>
            <w:noWrap/>
            <w:vAlign w:val="bottom"/>
            <w:hideMark/>
          </w:tcPr>
          <w:p w14:paraId="78A8124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5,869</w:t>
            </w:r>
          </w:p>
        </w:tc>
      </w:tr>
      <w:tr w:rsidR="005C437E" w:rsidRPr="00562D3C" w14:paraId="31F5ED71" w14:textId="77777777" w:rsidTr="002F7131">
        <w:trPr>
          <w:trHeight w:val="20"/>
        </w:trPr>
        <w:tc>
          <w:tcPr>
            <w:tcW w:w="2951" w:type="dxa"/>
            <w:tcBorders>
              <w:top w:val="nil"/>
              <w:left w:val="nil"/>
              <w:bottom w:val="nil"/>
              <w:right w:val="nil"/>
            </w:tcBorders>
            <w:shd w:val="clear" w:color="auto" w:fill="auto"/>
            <w:noWrap/>
            <w:vAlign w:val="bottom"/>
            <w:hideMark/>
          </w:tcPr>
          <w:p w14:paraId="3CA180A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088" w:type="dxa"/>
            <w:tcBorders>
              <w:top w:val="nil"/>
              <w:left w:val="single" w:sz="4" w:space="0" w:color="0070C0"/>
              <w:bottom w:val="nil"/>
              <w:right w:val="nil"/>
            </w:tcBorders>
            <w:shd w:val="clear" w:color="auto" w:fill="auto"/>
            <w:noWrap/>
            <w:vAlign w:val="bottom"/>
            <w:hideMark/>
          </w:tcPr>
          <w:p w14:paraId="1AD1332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90" w:type="dxa"/>
            <w:tcBorders>
              <w:top w:val="nil"/>
              <w:left w:val="nil"/>
              <w:bottom w:val="nil"/>
              <w:right w:val="nil"/>
            </w:tcBorders>
            <w:shd w:val="clear" w:color="auto" w:fill="auto"/>
            <w:noWrap/>
            <w:vAlign w:val="bottom"/>
            <w:hideMark/>
          </w:tcPr>
          <w:p w14:paraId="66A51B2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89" w:type="dxa"/>
            <w:tcBorders>
              <w:top w:val="nil"/>
              <w:left w:val="nil"/>
              <w:bottom w:val="nil"/>
              <w:right w:val="nil"/>
            </w:tcBorders>
            <w:shd w:val="clear" w:color="auto" w:fill="auto"/>
            <w:noWrap/>
            <w:vAlign w:val="bottom"/>
            <w:hideMark/>
          </w:tcPr>
          <w:p w14:paraId="670F0D1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4776237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1A3B6C9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74C1A6F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0" w:type="dxa"/>
            <w:tcBorders>
              <w:top w:val="nil"/>
              <w:left w:val="nil"/>
              <w:bottom w:val="nil"/>
              <w:right w:val="nil"/>
            </w:tcBorders>
            <w:shd w:val="clear" w:color="auto" w:fill="auto"/>
            <w:noWrap/>
            <w:vAlign w:val="bottom"/>
            <w:hideMark/>
          </w:tcPr>
          <w:p w14:paraId="442EF77F" w14:textId="00DE80B1"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1" w:type="dxa"/>
            <w:tcBorders>
              <w:top w:val="nil"/>
              <w:left w:val="nil"/>
              <w:bottom w:val="nil"/>
              <w:right w:val="nil"/>
            </w:tcBorders>
            <w:shd w:val="clear" w:color="auto" w:fill="auto"/>
            <w:noWrap/>
            <w:vAlign w:val="bottom"/>
            <w:hideMark/>
          </w:tcPr>
          <w:p w14:paraId="58D98B9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987" w:type="dxa"/>
            <w:tcBorders>
              <w:top w:val="nil"/>
              <w:left w:val="nil"/>
              <w:bottom w:val="nil"/>
              <w:right w:val="nil"/>
            </w:tcBorders>
            <w:shd w:val="clear" w:color="auto" w:fill="auto"/>
            <w:noWrap/>
            <w:vAlign w:val="bottom"/>
            <w:hideMark/>
          </w:tcPr>
          <w:p w14:paraId="2CCD127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6" w:type="dxa"/>
            <w:tcBorders>
              <w:top w:val="nil"/>
              <w:left w:val="nil"/>
              <w:bottom w:val="nil"/>
              <w:right w:val="nil"/>
            </w:tcBorders>
            <w:shd w:val="clear" w:color="auto" w:fill="auto"/>
            <w:noWrap/>
            <w:vAlign w:val="bottom"/>
            <w:hideMark/>
          </w:tcPr>
          <w:p w14:paraId="524B688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7B679BAD" w14:textId="77777777" w:rsidTr="002F7131">
        <w:trPr>
          <w:trHeight w:val="20"/>
        </w:trPr>
        <w:tc>
          <w:tcPr>
            <w:tcW w:w="2951" w:type="dxa"/>
            <w:tcBorders>
              <w:top w:val="nil"/>
              <w:left w:val="nil"/>
              <w:bottom w:val="nil"/>
              <w:right w:val="nil"/>
            </w:tcBorders>
            <w:shd w:val="clear" w:color="auto" w:fill="auto"/>
            <w:noWrap/>
            <w:vAlign w:val="bottom"/>
            <w:hideMark/>
          </w:tcPr>
          <w:p w14:paraId="42A2DF31"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562D3C">
              <w:rPr>
                <w:rFonts w:cstheme="minorHAnsi"/>
                <w:sz w:val="20"/>
              </w:rPr>
              <w:t xml:space="preserve">3 - </w:t>
            </w:r>
            <w:r w:rsidRPr="00562D3C">
              <w:rPr>
                <w:rFonts w:cstheme="minorHAnsi"/>
                <w:sz w:val="20"/>
              </w:rPr>
              <w:t>公务差旅</w:t>
            </w:r>
          </w:p>
        </w:tc>
        <w:tc>
          <w:tcPr>
            <w:tcW w:w="1088" w:type="dxa"/>
            <w:tcBorders>
              <w:top w:val="nil"/>
              <w:left w:val="single" w:sz="4" w:space="0" w:color="0070C0"/>
              <w:bottom w:val="nil"/>
              <w:right w:val="nil"/>
            </w:tcBorders>
            <w:shd w:val="clear" w:color="auto" w:fill="auto"/>
            <w:noWrap/>
            <w:vAlign w:val="bottom"/>
            <w:hideMark/>
          </w:tcPr>
          <w:p w14:paraId="7D593E2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90" w:type="dxa"/>
            <w:tcBorders>
              <w:top w:val="nil"/>
              <w:left w:val="nil"/>
              <w:bottom w:val="nil"/>
              <w:right w:val="nil"/>
            </w:tcBorders>
            <w:shd w:val="clear" w:color="auto" w:fill="auto"/>
            <w:noWrap/>
            <w:vAlign w:val="bottom"/>
            <w:hideMark/>
          </w:tcPr>
          <w:p w14:paraId="63B258D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269</w:t>
            </w:r>
          </w:p>
        </w:tc>
        <w:tc>
          <w:tcPr>
            <w:tcW w:w="1089" w:type="dxa"/>
            <w:tcBorders>
              <w:top w:val="nil"/>
              <w:left w:val="nil"/>
              <w:bottom w:val="nil"/>
              <w:right w:val="nil"/>
            </w:tcBorders>
            <w:shd w:val="clear" w:color="auto" w:fill="auto"/>
            <w:noWrap/>
            <w:vAlign w:val="bottom"/>
            <w:hideMark/>
          </w:tcPr>
          <w:p w14:paraId="4C067DD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90" w:type="dxa"/>
            <w:tcBorders>
              <w:top w:val="nil"/>
              <w:left w:val="nil"/>
              <w:bottom w:val="nil"/>
              <w:right w:val="nil"/>
            </w:tcBorders>
            <w:shd w:val="clear" w:color="auto" w:fill="auto"/>
            <w:noWrap/>
            <w:vAlign w:val="bottom"/>
            <w:hideMark/>
          </w:tcPr>
          <w:p w14:paraId="30160C6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65</w:t>
            </w:r>
          </w:p>
        </w:tc>
        <w:tc>
          <w:tcPr>
            <w:tcW w:w="1090" w:type="dxa"/>
            <w:tcBorders>
              <w:top w:val="nil"/>
              <w:left w:val="nil"/>
              <w:bottom w:val="nil"/>
              <w:right w:val="nil"/>
            </w:tcBorders>
            <w:shd w:val="clear" w:color="auto" w:fill="auto"/>
            <w:noWrap/>
            <w:vAlign w:val="bottom"/>
            <w:hideMark/>
          </w:tcPr>
          <w:p w14:paraId="58E7865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90" w:type="dxa"/>
            <w:tcBorders>
              <w:top w:val="nil"/>
              <w:left w:val="nil"/>
              <w:bottom w:val="nil"/>
              <w:right w:val="nil"/>
            </w:tcBorders>
            <w:shd w:val="clear" w:color="auto" w:fill="auto"/>
            <w:noWrap/>
            <w:vAlign w:val="bottom"/>
            <w:hideMark/>
          </w:tcPr>
          <w:p w14:paraId="4519A22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205</w:t>
            </w:r>
          </w:p>
        </w:tc>
        <w:tc>
          <w:tcPr>
            <w:tcW w:w="1450" w:type="dxa"/>
            <w:tcBorders>
              <w:top w:val="nil"/>
              <w:left w:val="nil"/>
              <w:bottom w:val="nil"/>
              <w:right w:val="nil"/>
            </w:tcBorders>
            <w:shd w:val="clear" w:color="auto" w:fill="auto"/>
            <w:noWrap/>
            <w:vAlign w:val="bottom"/>
            <w:hideMark/>
          </w:tcPr>
          <w:p w14:paraId="036E9740" w14:textId="7FFEF15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450</w:t>
            </w:r>
          </w:p>
        </w:tc>
        <w:tc>
          <w:tcPr>
            <w:tcW w:w="1091" w:type="dxa"/>
            <w:tcBorders>
              <w:top w:val="nil"/>
              <w:left w:val="nil"/>
              <w:bottom w:val="nil"/>
              <w:right w:val="nil"/>
            </w:tcBorders>
            <w:shd w:val="clear" w:color="auto" w:fill="auto"/>
            <w:noWrap/>
            <w:vAlign w:val="bottom"/>
            <w:hideMark/>
          </w:tcPr>
          <w:p w14:paraId="44AD270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100</w:t>
            </w:r>
          </w:p>
        </w:tc>
        <w:tc>
          <w:tcPr>
            <w:tcW w:w="987" w:type="dxa"/>
            <w:tcBorders>
              <w:top w:val="nil"/>
              <w:left w:val="nil"/>
              <w:bottom w:val="nil"/>
              <w:right w:val="nil"/>
            </w:tcBorders>
            <w:shd w:val="clear" w:color="auto" w:fill="auto"/>
            <w:noWrap/>
            <w:vAlign w:val="bottom"/>
            <w:hideMark/>
          </w:tcPr>
          <w:p w14:paraId="41BE000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36" w:type="dxa"/>
            <w:tcBorders>
              <w:top w:val="nil"/>
              <w:left w:val="nil"/>
              <w:bottom w:val="nil"/>
              <w:right w:val="nil"/>
            </w:tcBorders>
            <w:shd w:val="clear" w:color="auto" w:fill="auto"/>
            <w:noWrap/>
            <w:vAlign w:val="bottom"/>
            <w:hideMark/>
          </w:tcPr>
          <w:p w14:paraId="3114860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1,089</w:t>
            </w:r>
          </w:p>
        </w:tc>
      </w:tr>
      <w:tr w:rsidR="005C437E" w:rsidRPr="00562D3C" w14:paraId="237335A3" w14:textId="77777777" w:rsidTr="002F7131">
        <w:trPr>
          <w:trHeight w:val="20"/>
        </w:trPr>
        <w:tc>
          <w:tcPr>
            <w:tcW w:w="2951" w:type="dxa"/>
            <w:tcBorders>
              <w:top w:val="nil"/>
              <w:left w:val="nil"/>
              <w:bottom w:val="nil"/>
              <w:right w:val="nil"/>
            </w:tcBorders>
            <w:shd w:val="clear" w:color="auto" w:fill="auto"/>
            <w:noWrap/>
            <w:vAlign w:val="bottom"/>
            <w:hideMark/>
          </w:tcPr>
          <w:p w14:paraId="50CC3ED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088" w:type="dxa"/>
            <w:tcBorders>
              <w:top w:val="nil"/>
              <w:left w:val="single" w:sz="4" w:space="0" w:color="0070C0"/>
              <w:bottom w:val="nil"/>
              <w:right w:val="nil"/>
            </w:tcBorders>
            <w:shd w:val="clear" w:color="auto" w:fill="auto"/>
            <w:noWrap/>
            <w:vAlign w:val="bottom"/>
            <w:hideMark/>
          </w:tcPr>
          <w:p w14:paraId="4692EB9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90" w:type="dxa"/>
            <w:tcBorders>
              <w:top w:val="nil"/>
              <w:left w:val="nil"/>
              <w:bottom w:val="nil"/>
              <w:right w:val="nil"/>
            </w:tcBorders>
            <w:shd w:val="clear" w:color="auto" w:fill="auto"/>
            <w:noWrap/>
            <w:vAlign w:val="bottom"/>
            <w:hideMark/>
          </w:tcPr>
          <w:p w14:paraId="0D659A0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89" w:type="dxa"/>
            <w:tcBorders>
              <w:top w:val="nil"/>
              <w:left w:val="nil"/>
              <w:bottom w:val="nil"/>
              <w:right w:val="nil"/>
            </w:tcBorders>
            <w:shd w:val="clear" w:color="auto" w:fill="auto"/>
            <w:noWrap/>
            <w:vAlign w:val="bottom"/>
            <w:hideMark/>
          </w:tcPr>
          <w:p w14:paraId="0DD3275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7899B0F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3B26C49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59503B4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0" w:type="dxa"/>
            <w:tcBorders>
              <w:top w:val="nil"/>
              <w:left w:val="nil"/>
              <w:bottom w:val="nil"/>
              <w:right w:val="nil"/>
            </w:tcBorders>
            <w:shd w:val="clear" w:color="auto" w:fill="auto"/>
            <w:noWrap/>
            <w:vAlign w:val="bottom"/>
            <w:hideMark/>
          </w:tcPr>
          <w:p w14:paraId="75FFFB7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1" w:type="dxa"/>
            <w:tcBorders>
              <w:top w:val="nil"/>
              <w:left w:val="nil"/>
              <w:bottom w:val="nil"/>
              <w:right w:val="nil"/>
            </w:tcBorders>
            <w:shd w:val="clear" w:color="auto" w:fill="auto"/>
            <w:noWrap/>
            <w:vAlign w:val="bottom"/>
            <w:hideMark/>
          </w:tcPr>
          <w:p w14:paraId="7860210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987" w:type="dxa"/>
            <w:tcBorders>
              <w:top w:val="nil"/>
              <w:left w:val="nil"/>
              <w:bottom w:val="nil"/>
              <w:right w:val="nil"/>
            </w:tcBorders>
            <w:shd w:val="clear" w:color="auto" w:fill="auto"/>
            <w:noWrap/>
            <w:vAlign w:val="bottom"/>
            <w:hideMark/>
          </w:tcPr>
          <w:p w14:paraId="1ADF3CE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6" w:type="dxa"/>
            <w:tcBorders>
              <w:top w:val="nil"/>
              <w:left w:val="nil"/>
              <w:bottom w:val="nil"/>
              <w:right w:val="nil"/>
            </w:tcBorders>
            <w:shd w:val="clear" w:color="auto" w:fill="auto"/>
            <w:noWrap/>
            <w:vAlign w:val="bottom"/>
            <w:hideMark/>
          </w:tcPr>
          <w:p w14:paraId="012FD7B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4433F49E" w14:textId="77777777" w:rsidTr="002F7131">
        <w:trPr>
          <w:trHeight w:val="20"/>
        </w:trPr>
        <w:tc>
          <w:tcPr>
            <w:tcW w:w="2951" w:type="dxa"/>
            <w:tcBorders>
              <w:top w:val="nil"/>
              <w:left w:val="nil"/>
              <w:bottom w:val="nil"/>
              <w:right w:val="nil"/>
            </w:tcBorders>
            <w:shd w:val="clear" w:color="auto" w:fill="auto"/>
            <w:noWrap/>
            <w:vAlign w:val="bottom"/>
            <w:hideMark/>
          </w:tcPr>
          <w:p w14:paraId="15DD83DD"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562D3C">
              <w:rPr>
                <w:rFonts w:cstheme="minorHAnsi"/>
                <w:sz w:val="20"/>
              </w:rPr>
              <w:t xml:space="preserve">4 - </w:t>
            </w:r>
            <w:r w:rsidRPr="00562D3C">
              <w:rPr>
                <w:rFonts w:cstheme="minorHAnsi"/>
                <w:sz w:val="20"/>
              </w:rPr>
              <w:t>合同服务</w:t>
            </w:r>
          </w:p>
        </w:tc>
        <w:tc>
          <w:tcPr>
            <w:tcW w:w="1088" w:type="dxa"/>
            <w:tcBorders>
              <w:top w:val="nil"/>
              <w:left w:val="single" w:sz="4" w:space="0" w:color="0070C0"/>
              <w:bottom w:val="nil"/>
              <w:right w:val="nil"/>
            </w:tcBorders>
            <w:shd w:val="clear" w:color="auto" w:fill="auto"/>
            <w:noWrap/>
            <w:vAlign w:val="bottom"/>
            <w:hideMark/>
          </w:tcPr>
          <w:p w14:paraId="6E18658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90" w:type="dxa"/>
            <w:tcBorders>
              <w:top w:val="nil"/>
              <w:left w:val="nil"/>
              <w:bottom w:val="nil"/>
              <w:right w:val="nil"/>
            </w:tcBorders>
            <w:shd w:val="clear" w:color="auto" w:fill="auto"/>
            <w:noWrap/>
            <w:vAlign w:val="bottom"/>
            <w:hideMark/>
          </w:tcPr>
          <w:p w14:paraId="38FAC82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89" w:type="dxa"/>
            <w:tcBorders>
              <w:top w:val="nil"/>
              <w:left w:val="nil"/>
              <w:bottom w:val="nil"/>
              <w:right w:val="nil"/>
            </w:tcBorders>
            <w:shd w:val="clear" w:color="auto" w:fill="auto"/>
            <w:noWrap/>
            <w:vAlign w:val="bottom"/>
            <w:hideMark/>
          </w:tcPr>
          <w:p w14:paraId="07DCC6D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3BC54E6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40</w:t>
            </w:r>
          </w:p>
        </w:tc>
        <w:tc>
          <w:tcPr>
            <w:tcW w:w="1090" w:type="dxa"/>
            <w:tcBorders>
              <w:top w:val="nil"/>
              <w:left w:val="nil"/>
              <w:bottom w:val="nil"/>
              <w:right w:val="nil"/>
            </w:tcBorders>
            <w:shd w:val="clear" w:color="auto" w:fill="auto"/>
            <w:noWrap/>
            <w:vAlign w:val="bottom"/>
            <w:hideMark/>
          </w:tcPr>
          <w:p w14:paraId="1B5D512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350</w:t>
            </w:r>
          </w:p>
        </w:tc>
        <w:tc>
          <w:tcPr>
            <w:tcW w:w="1090" w:type="dxa"/>
            <w:tcBorders>
              <w:top w:val="nil"/>
              <w:left w:val="nil"/>
              <w:bottom w:val="nil"/>
              <w:right w:val="nil"/>
            </w:tcBorders>
            <w:shd w:val="clear" w:color="auto" w:fill="auto"/>
            <w:noWrap/>
            <w:vAlign w:val="bottom"/>
            <w:hideMark/>
          </w:tcPr>
          <w:p w14:paraId="66003F6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16</w:t>
            </w:r>
          </w:p>
        </w:tc>
        <w:tc>
          <w:tcPr>
            <w:tcW w:w="1450" w:type="dxa"/>
            <w:tcBorders>
              <w:top w:val="nil"/>
              <w:left w:val="nil"/>
              <w:bottom w:val="nil"/>
              <w:right w:val="nil"/>
            </w:tcBorders>
            <w:shd w:val="clear" w:color="auto" w:fill="auto"/>
            <w:noWrap/>
            <w:vAlign w:val="bottom"/>
            <w:hideMark/>
          </w:tcPr>
          <w:p w14:paraId="328D4FA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255</w:t>
            </w:r>
          </w:p>
        </w:tc>
        <w:tc>
          <w:tcPr>
            <w:tcW w:w="1091" w:type="dxa"/>
            <w:tcBorders>
              <w:top w:val="nil"/>
              <w:left w:val="nil"/>
              <w:bottom w:val="nil"/>
              <w:right w:val="nil"/>
            </w:tcBorders>
            <w:shd w:val="clear" w:color="auto" w:fill="auto"/>
            <w:noWrap/>
            <w:vAlign w:val="bottom"/>
            <w:hideMark/>
          </w:tcPr>
          <w:p w14:paraId="7234749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987" w:type="dxa"/>
            <w:tcBorders>
              <w:top w:val="nil"/>
              <w:left w:val="nil"/>
              <w:bottom w:val="nil"/>
              <w:right w:val="nil"/>
            </w:tcBorders>
            <w:shd w:val="clear" w:color="auto" w:fill="auto"/>
            <w:noWrap/>
            <w:vAlign w:val="bottom"/>
            <w:hideMark/>
          </w:tcPr>
          <w:p w14:paraId="616A431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6" w:type="dxa"/>
            <w:tcBorders>
              <w:top w:val="nil"/>
              <w:left w:val="nil"/>
              <w:bottom w:val="nil"/>
              <w:right w:val="nil"/>
            </w:tcBorders>
            <w:shd w:val="clear" w:color="auto" w:fill="auto"/>
            <w:noWrap/>
            <w:vAlign w:val="bottom"/>
            <w:hideMark/>
          </w:tcPr>
          <w:p w14:paraId="449C88A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661</w:t>
            </w:r>
          </w:p>
        </w:tc>
      </w:tr>
      <w:tr w:rsidR="005C437E" w:rsidRPr="00562D3C" w14:paraId="751A14DB" w14:textId="77777777" w:rsidTr="002F7131">
        <w:trPr>
          <w:trHeight w:val="20"/>
        </w:trPr>
        <w:tc>
          <w:tcPr>
            <w:tcW w:w="2951" w:type="dxa"/>
            <w:tcBorders>
              <w:top w:val="nil"/>
              <w:left w:val="nil"/>
              <w:bottom w:val="nil"/>
              <w:right w:val="nil"/>
            </w:tcBorders>
            <w:shd w:val="clear" w:color="auto" w:fill="auto"/>
            <w:noWrap/>
            <w:vAlign w:val="bottom"/>
            <w:hideMark/>
          </w:tcPr>
          <w:p w14:paraId="183C2BD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088" w:type="dxa"/>
            <w:tcBorders>
              <w:top w:val="nil"/>
              <w:left w:val="single" w:sz="4" w:space="0" w:color="0070C0"/>
              <w:bottom w:val="nil"/>
              <w:right w:val="nil"/>
            </w:tcBorders>
            <w:shd w:val="clear" w:color="auto" w:fill="auto"/>
            <w:noWrap/>
            <w:vAlign w:val="bottom"/>
            <w:hideMark/>
          </w:tcPr>
          <w:p w14:paraId="576A93C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90" w:type="dxa"/>
            <w:tcBorders>
              <w:top w:val="nil"/>
              <w:left w:val="nil"/>
              <w:bottom w:val="nil"/>
              <w:right w:val="nil"/>
            </w:tcBorders>
            <w:shd w:val="clear" w:color="auto" w:fill="auto"/>
            <w:noWrap/>
            <w:vAlign w:val="bottom"/>
            <w:hideMark/>
          </w:tcPr>
          <w:p w14:paraId="2EB4D7E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89" w:type="dxa"/>
            <w:tcBorders>
              <w:top w:val="nil"/>
              <w:left w:val="nil"/>
              <w:bottom w:val="nil"/>
              <w:right w:val="nil"/>
            </w:tcBorders>
            <w:shd w:val="clear" w:color="auto" w:fill="auto"/>
            <w:noWrap/>
            <w:vAlign w:val="bottom"/>
            <w:hideMark/>
          </w:tcPr>
          <w:p w14:paraId="6ACB3D6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11FFE17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2078DFC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582EB24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0" w:type="dxa"/>
            <w:tcBorders>
              <w:top w:val="nil"/>
              <w:left w:val="nil"/>
              <w:bottom w:val="nil"/>
              <w:right w:val="nil"/>
            </w:tcBorders>
            <w:shd w:val="clear" w:color="auto" w:fill="auto"/>
            <w:noWrap/>
            <w:vAlign w:val="bottom"/>
            <w:hideMark/>
          </w:tcPr>
          <w:p w14:paraId="127B5DB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1" w:type="dxa"/>
            <w:tcBorders>
              <w:top w:val="nil"/>
              <w:left w:val="nil"/>
              <w:bottom w:val="nil"/>
              <w:right w:val="nil"/>
            </w:tcBorders>
            <w:shd w:val="clear" w:color="auto" w:fill="auto"/>
            <w:noWrap/>
            <w:vAlign w:val="bottom"/>
            <w:hideMark/>
          </w:tcPr>
          <w:p w14:paraId="21C5EC6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987" w:type="dxa"/>
            <w:tcBorders>
              <w:top w:val="nil"/>
              <w:left w:val="nil"/>
              <w:bottom w:val="nil"/>
              <w:right w:val="nil"/>
            </w:tcBorders>
            <w:shd w:val="clear" w:color="auto" w:fill="auto"/>
            <w:noWrap/>
            <w:vAlign w:val="bottom"/>
            <w:hideMark/>
          </w:tcPr>
          <w:p w14:paraId="4109E4A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6" w:type="dxa"/>
            <w:tcBorders>
              <w:top w:val="nil"/>
              <w:left w:val="nil"/>
              <w:bottom w:val="nil"/>
              <w:right w:val="nil"/>
            </w:tcBorders>
            <w:shd w:val="clear" w:color="auto" w:fill="auto"/>
            <w:noWrap/>
            <w:vAlign w:val="bottom"/>
            <w:hideMark/>
          </w:tcPr>
          <w:p w14:paraId="3394F8D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3ACC878B" w14:textId="77777777" w:rsidTr="002F7131">
        <w:trPr>
          <w:trHeight w:val="20"/>
        </w:trPr>
        <w:tc>
          <w:tcPr>
            <w:tcW w:w="2951" w:type="dxa"/>
            <w:tcBorders>
              <w:top w:val="nil"/>
              <w:left w:val="nil"/>
              <w:bottom w:val="nil"/>
              <w:right w:val="nil"/>
            </w:tcBorders>
            <w:shd w:val="clear" w:color="auto" w:fill="auto"/>
            <w:vAlign w:val="bottom"/>
            <w:hideMark/>
          </w:tcPr>
          <w:p w14:paraId="049F18D6"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562D3C">
              <w:rPr>
                <w:rFonts w:cstheme="minorHAnsi"/>
                <w:sz w:val="20"/>
                <w:lang w:eastAsia="zh-CN"/>
              </w:rPr>
              <w:t xml:space="preserve">5 - </w:t>
            </w:r>
            <w:r w:rsidRPr="00562D3C">
              <w:rPr>
                <w:rFonts w:cstheme="minorHAnsi"/>
                <w:sz w:val="20"/>
                <w:lang w:eastAsia="zh-CN"/>
              </w:rPr>
              <w:t>房屋设施和设备的租用与维护</w:t>
            </w:r>
          </w:p>
        </w:tc>
        <w:tc>
          <w:tcPr>
            <w:tcW w:w="1088" w:type="dxa"/>
            <w:tcBorders>
              <w:top w:val="nil"/>
              <w:left w:val="single" w:sz="4" w:space="0" w:color="0070C0"/>
              <w:bottom w:val="nil"/>
              <w:right w:val="nil"/>
            </w:tcBorders>
            <w:shd w:val="clear" w:color="auto" w:fill="auto"/>
            <w:noWrap/>
            <w:vAlign w:val="bottom"/>
            <w:hideMark/>
          </w:tcPr>
          <w:p w14:paraId="6688863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r w:rsidRPr="00562D3C">
              <w:rPr>
                <w:rFonts w:eastAsia="Times New Roman" w:cs="Calibri"/>
                <w:sz w:val="20"/>
                <w:lang w:eastAsia="zh-CN"/>
              </w:rPr>
              <w:t> </w:t>
            </w:r>
          </w:p>
        </w:tc>
        <w:tc>
          <w:tcPr>
            <w:tcW w:w="1090" w:type="dxa"/>
            <w:tcBorders>
              <w:top w:val="nil"/>
              <w:left w:val="nil"/>
              <w:bottom w:val="nil"/>
              <w:right w:val="nil"/>
            </w:tcBorders>
            <w:shd w:val="clear" w:color="auto" w:fill="auto"/>
            <w:noWrap/>
            <w:vAlign w:val="bottom"/>
            <w:hideMark/>
          </w:tcPr>
          <w:p w14:paraId="1E918F8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p>
        </w:tc>
        <w:tc>
          <w:tcPr>
            <w:tcW w:w="1089" w:type="dxa"/>
            <w:tcBorders>
              <w:top w:val="nil"/>
              <w:left w:val="nil"/>
              <w:bottom w:val="nil"/>
              <w:right w:val="nil"/>
            </w:tcBorders>
            <w:shd w:val="clear" w:color="auto" w:fill="auto"/>
            <w:noWrap/>
            <w:vAlign w:val="bottom"/>
            <w:hideMark/>
          </w:tcPr>
          <w:p w14:paraId="513AD8B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090" w:type="dxa"/>
            <w:tcBorders>
              <w:top w:val="nil"/>
              <w:left w:val="nil"/>
              <w:bottom w:val="nil"/>
              <w:right w:val="nil"/>
            </w:tcBorders>
            <w:shd w:val="clear" w:color="auto" w:fill="auto"/>
            <w:noWrap/>
            <w:vAlign w:val="bottom"/>
            <w:hideMark/>
          </w:tcPr>
          <w:p w14:paraId="5999060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50</w:t>
            </w:r>
          </w:p>
        </w:tc>
        <w:tc>
          <w:tcPr>
            <w:tcW w:w="1090" w:type="dxa"/>
            <w:tcBorders>
              <w:top w:val="nil"/>
              <w:left w:val="nil"/>
              <w:bottom w:val="nil"/>
              <w:right w:val="nil"/>
            </w:tcBorders>
            <w:shd w:val="clear" w:color="auto" w:fill="auto"/>
            <w:noWrap/>
            <w:vAlign w:val="bottom"/>
            <w:hideMark/>
          </w:tcPr>
          <w:p w14:paraId="5E8905B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90" w:type="dxa"/>
            <w:tcBorders>
              <w:top w:val="nil"/>
              <w:left w:val="nil"/>
              <w:bottom w:val="nil"/>
              <w:right w:val="nil"/>
            </w:tcBorders>
            <w:shd w:val="clear" w:color="auto" w:fill="auto"/>
            <w:noWrap/>
            <w:vAlign w:val="bottom"/>
            <w:hideMark/>
          </w:tcPr>
          <w:p w14:paraId="49AC5E9F" w14:textId="75A85454"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18</w:t>
            </w:r>
          </w:p>
        </w:tc>
        <w:tc>
          <w:tcPr>
            <w:tcW w:w="1450" w:type="dxa"/>
            <w:tcBorders>
              <w:top w:val="nil"/>
              <w:left w:val="nil"/>
              <w:bottom w:val="nil"/>
              <w:right w:val="nil"/>
            </w:tcBorders>
            <w:shd w:val="clear" w:color="auto" w:fill="auto"/>
            <w:noWrap/>
            <w:vAlign w:val="bottom"/>
            <w:hideMark/>
          </w:tcPr>
          <w:p w14:paraId="74B6D53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40</w:t>
            </w:r>
          </w:p>
        </w:tc>
        <w:tc>
          <w:tcPr>
            <w:tcW w:w="1091" w:type="dxa"/>
            <w:tcBorders>
              <w:top w:val="nil"/>
              <w:left w:val="nil"/>
              <w:bottom w:val="nil"/>
              <w:right w:val="nil"/>
            </w:tcBorders>
            <w:shd w:val="clear" w:color="auto" w:fill="auto"/>
            <w:noWrap/>
            <w:vAlign w:val="bottom"/>
            <w:hideMark/>
          </w:tcPr>
          <w:p w14:paraId="251FC9C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987" w:type="dxa"/>
            <w:tcBorders>
              <w:top w:val="nil"/>
              <w:left w:val="nil"/>
              <w:bottom w:val="nil"/>
              <w:right w:val="nil"/>
            </w:tcBorders>
            <w:shd w:val="clear" w:color="auto" w:fill="auto"/>
            <w:noWrap/>
            <w:vAlign w:val="bottom"/>
            <w:hideMark/>
          </w:tcPr>
          <w:p w14:paraId="4F8C7C6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6" w:type="dxa"/>
            <w:tcBorders>
              <w:top w:val="nil"/>
              <w:left w:val="nil"/>
              <w:bottom w:val="nil"/>
              <w:right w:val="nil"/>
            </w:tcBorders>
            <w:shd w:val="clear" w:color="auto" w:fill="auto"/>
            <w:noWrap/>
            <w:vAlign w:val="bottom"/>
            <w:hideMark/>
          </w:tcPr>
          <w:p w14:paraId="5B8C921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108</w:t>
            </w:r>
          </w:p>
        </w:tc>
      </w:tr>
      <w:tr w:rsidR="005C437E" w:rsidRPr="00562D3C" w14:paraId="1C6F4730" w14:textId="77777777" w:rsidTr="002F7131">
        <w:trPr>
          <w:trHeight w:val="20"/>
        </w:trPr>
        <w:tc>
          <w:tcPr>
            <w:tcW w:w="2951" w:type="dxa"/>
            <w:tcBorders>
              <w:top w:val="nil"/>
              <w:left w:val="nil"/>
              <w:bottom w:val="nil"/>
              <w:right w:val="nil"/>
            </w:tcBorders>
            <w:shd w:val="clear" w:color="auto" w:fill="auto"/>
            <w:noWrap/>
            <w:vAlign w:val="bottom"/>
            <w:hideMark/>
          </w:tcPr>
          <w:p w14:paraId="5378B28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088" w:type="dxa"/>
            <w:tcBorders>
              <w:top w:val="nil"/>
              <w:left w:val="single" w:sz="4" w:space="0" w:color="0070C0"/>
              <w:bottom w:val="nil"/>
              <w:right w:val="nil"/>
            </w:tcBorders>
            <w:shd w:val="clear" w:color="auto" w:fill="auto"/>
            <w:noWrap/>
            <w:vAlign w:val="bottom"/>
            <w:hideMark/>
          </w:tcPr>
          <w:p w14:paraId="586555A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90" w:type="dxa"/>
            <w:tcBorders>
              <w:top w:val="nil"/>
              <w:left w:val="nil"/>
              <w:bottom w:val="nil"/>
              <w:right w:val="nil"/>
            </w:tcBorders>
            <w:shd w:val="clear" w:color="auto" w:fill="auto"/>
            <w:noWrap/>
            <w:vAlign w:val="bottom"/>
            <w:hideMark/>
          </w:tcPr>
          <w:p w14:paraId="4294EB5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89" w:type="dxa"/>
            <w:tcBorders>
              <w:top w:val="nil"/>
              <w:left w:val="nil"/>
              <w:bottom w:val="nil"/>
              <w:right w:val="nil"/>
            </w:tcBorders>
            <w:shd w:val="clear" w:color="auto" w:fill="auto"/>
            <w:noWrap/>
            <w:vAlign w:val="bottom"/>
            <w:hideMark/>
          </w:tcPr>
          <w:p w14:paraId="661587D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6308A95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5E54E92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7A80B39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0" w:type="dxa"/>
            <w:tcBorders>
              <w:top w:val="nil"/>
              <w:left w:val="nil"/>
              <w:bottom w:val="nil"/>
              <w:right w:val="nil"/>
            </w:tcBorders>
            <w:shd w:val="clear" w:color="auto" w:fill="auto"/>
            <w:noWrap/>
            <w:vAlign w:val="bottom"/>
            <w:hideMark/>
          </w:tcPr>
          <w:p w14:paraId="3676737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1" w:type="dxa"/>
            <w:tcBorders>
              <w:top w:val="nil"/>
              <w:left w:val="nil"/>
              <w:bottom w:val="nil"/>
              <w:right w:val="nil"/>
            </w:tcBorders>
            <w:shd w:val="clear" w:color="auto" w:fill="auto"/>
            <w:noWrap/>
            <w:vAlign w:val="bottom"/>
            <w:hideMark/>
          </w:tcPr>
          <w:p w14:paraId="793833F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987" w:type="dxa"/>
            <w:tcBorders>
              <w:top w:val="nil"/>
              <w:left w:val="nil"/>
              <w:bottom w:val="nil"/>
              <w:right w:val="nil"/>
            </w:tcBorders>
            <w:shd w:val="clear" w:color="auto" w:fill="auto"/>
            <w:noWrap/>
            <w:vAlign w:val="bottom"/>
            <w:hideMark/>
          </w:tcPr>
          <w:p w14:paraId="7C2F144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6" w:type="dxa"/>
            <w:tcBorders>
              <w:top w:val="nil"/>
              <w:left w:val="nil"/>
              <w:bottom w:val="nil"/>
              <w:right w:val="nil"/>
            </w:tcBorders>
            <w:shd w:val="clear" w:color="auto" w:fill="auto"/>
            <w:noWrap/>
            <w:vAlign w:val="bottom"/>
            <w:hideMark/>
          </w:tcPr>
          <w:p w14:paraId="3529B77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599C1F9B" w14:textId="77777777" w:rsidTr="002F7131">
        <w:trPr>
          <w:trHeight w:val="20"/>
        </w:trPr>
        <w:tc>
          <w:tcPr>
            <w:tcW w:w="2951" w:type="dxa"/>
            <w:tcBorders>
              <w:top w:val="nil"/>
              <w:left w:val="nil"/>
              <w:bottom w:val="nil"/>
              <w:right w:val="nil"/>
            </w:tcBorders>
            <w:shd w:val="clear" w:color="auto" w:fill="auto"/>
            <w:noWrap/>
            <w:vAlign w:val="bottom"/>
            <w:hideMark/>
          </w:tcPr>
          <w:p w14:paraId="740ACDCF"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562D3C">
              <w:rPr>
                <w:rFonts w:cstheme="minorHAnsi"/>
                <w:sz w:val="20"/>
              </w:rPr>
              <w:t xml:space="preserve">6 - </w:t>
            </w:r>
            <w:r w:rsidRPr="00562D3C">
              <w:rPr>
                <w:rFonts w:cstheme="minorHAnsi"/>
                <w:sz w:val="20"/>
              </w:rPr>
              <w:t>材料和办公用品</w:t>
            </w:r>
          </w:p>
        </w:tc>
        <w:tc>
          <w:tcPr>
            <w:tcW w:w="1088" w:type="dxa"/>
            <w:tcBorders>
              <w:top w:val="nil"/>
              <w:left w:val="single" w:sz="4" w:space="0" w:color="0070C0"/>
              <w:bottom w:val="nil"/>
              <w:right w:val="nil"/>
            </w:tcBorders>
            <w:shd w:val="clear" w:color="auto" w:fill="auto"/>
            <w:noWrap/>
            <w:vAlign w:val="bottom"/>
            <w:hideMark/>
          </w:tcPr>
          <w:p w14:paraId="5D86621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90" w:type="dxa"/>
            <w:tcBorders>
              <w:top w:val="nil"/>
              <w:left w:val="nil"/>
              <w:bottom w:val="nil"/>
              <w:right w:val="nil"/>
            </w:tcBorders>
            <w:shd w:val="clear" w:color="auto" w:fill="auto"/>
            <w:noWrap/>
            <w:vAlign w:val="bottom"/>
            <w:hideMark/>
          </w:tcPr>
          <w:p w14:paraId="076D780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5</w:t>
            </w:r>
          </w:p>
        </w:tc>
        <w:tc>
          <w:tcPr>
            <w:tcW w:w="1089" w:type="dxa"/>
            <w:tcBorders>
              <w:top w:val="nil"/>
              <w:left w:val="nil"/>
              <w:bottom w:val="nil"/>
              <w:right w:val="nil"/>
            </w:tcBorders>
            <w:shd w:val="clear" w:color="auto" w:fill="auto"/>
            <w:noWrap/>
            <w:vAlign w:val="bottom"/>
            <w:hideMark/>
          </w:tcPr>
          <w:p w14:paraId="0DA35BF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w:t>
            </w:r>
          </w:p>
        </w:tc>
        <w:tc>
          <w:tcPr>
            <w:tcW w:w="1090" w:type="dxa"/>
            <w:tcBorders>
              <w:top w:val="nil"/>
              <w:left w:val="nil"/>
              <w:bottom w:val="nil"/>
              <w:right w:val="nil"/>
            </w:tcBorders>
            <w:shd w:val="clear" w:color="auto" w:fill="auto"/>
            <w:noWrap/>
            <w:vAlign w:val="bottom"/>
            <w:hideMark/>
          </w:tcPr>
          <w:p w14:paraId="4F0B28D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10</w:t>
            </w:r>
          </w:p>
        </w:tc>
        <w:tc>
          <w:tcPr>
            <w:tcW w:w="1090" w:type="dxa"/>
            <w:tcBorders>
              <w:top w:val="nil"/>
              <w:left w:val="nil"/>
              <w:bottom w:val="nil"/>
              <w:right w:val="nil"/>
            </w:tcBorders>
            <w:shd w:val="clear" w:color="auto" w:fill="auto"/>
            <w:noWrap/>
            <w:vAlign w:val="bottom"/>
            <w:hideMark/>
          </w:tcPr>
          <w:p w14:paraId="7A2B408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90" w:type="dxa"/>
            <w:tcBorders>
              <w:top w:val="nil"/>
              <w:left w:val="nil"/>
              <w:bottom w:val="nil"/>
              <w:right w:val="nil"/>
            </w:tcBorders>
            <w:shd w:val="clear" w:color="auto" w:fill="auto"/>
            <w:noWrap/>
            <w:vAlign w:val="bottom"/>
            <w:hideMark/>
          </w:tcPr>
          <w:p w14:paraId="6856AB18" w14:textId="2D7700FE"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w:t>
            </w:r>
          </w:p>
        </w:tc>
        <w:tc>
          <w:tcPr>
            <w:tcW w:w="1450" w:type="dxa"/>
            <w:tcBorders>
              <w:top w:val="nil"/>
              <w:left w:val="nil"/>
              <w:bottom w:val="nil"/>
              <w:right w:val="nil"/>
            </w:tcBorders>
            <w:shd w:val="clear" w:color="auto" w:fill="auto"/>
            <w:noWrap/>
            <w:vAlign w:val="bottom"/>
            <w:hideMark/>
          </w:tcPr>
          <w:p w14:paraId="5FEE98E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30</w:t>
            </w:r>
          </w:p>
        </w:tc>
        <w:tc>
          <w:tcPr>
            <w:tcW w:w="1091" w:type="dxa"/>
            <w:tcBorders>
              <w:top w:val="nil"/>
              <w:left w:val="nil"/>
              <w:bottom w:val="nil"/>
              <w:right w:val="nil"/>
            </w:tcBorders>
            <w:shd w:val="clear" w:color="auto" w:fill="auto"/>
            <w:noWrap/>
            <w:vAlign w:val="bottom"/>
            <w:hideMark/>
          </w:tcPr>
          <w:p w14:paraId="5F6C9FF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987" w:type="dxa"/>
            <w:tcBorders>
              <w:top w:val="nil"/>
              <w:left w:val="nil"/>
              <w:bottom w:val="nil"/>
              <w:right w:val="nil"/>
            </w:tcBorders>
            <w:shd w:val="clear" w:color="auto" w:fill="auto"/>
            <w:noWrap/>
            <w:vAlign w:val="bottom"/>
            <w:hideMark/>
          </w:tcPr>
          <w:p w14:paraId="6540F26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6" w:type="dxa"/>
            <w:tcBorders>
              <w:top w:val="nil"/>
              <w:left w:val="nil"/>
              <w:bottom w:val="nil"/>
              <w:right w:val="nil"/>
            </w:tcBorders>
            <w:shd w:val="clear" w:color="auto" w:fill="auto"/>
            <w:noWrap/>
            <w:vAlign w:val="bottom"/>
            <w:hideMark/>
          </w:tcPr>
          <w:p w14:paraId="07A17F4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48</w:t>
            </w:r>
          </w:p>
        </w:tc>
      </w:tr>
      <w:tr w:rsidR="005C437E" w:rsidRPr="00562D3C" w14:paraId="52BF6F29" w14:textId="77777777" w:rsidTr="002F7131">
        <w:trPr>
          <w:trHeight w:val="20"/>
        </w:trPr>
        <w:tc>
          <w:tcPr>
            <w:tcW w:w="2951" w:type="dxa"/>
            <w:tcBorders>
              <w:top w:val="nil"/>
              <w:left w:val="nil"/>
              <w:bottom w:val="nil"/>
              <w:right w:val="nil"/>
            </w:tcBorders>
            <w:shd w:val="clear" w:color="auto" w:fill="auto"/>
            <w:noWrap/>
            <w:vAlign w:val="bottom"/>
            <w:hideMark/>
          </w:tcPr>
          <w:p w14:paraId="5575573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088" w:type="dxa"/>
            <w:tcBorders>
              <w:top w:val="nil"/>
              <w:left w:val="single" w:sz="4" w:space="0" w:color="0070C0"/>
              <w:bottom w:val="nil"/>
              <w:right w:val="nil"/>
            </w:tcBorders>
            <w:shd w:val="clear" w:color="auto" w:fill="auto"/>
            <w:noWrap/>
            <w:vAlign w:val="bottom"/>
            <w:hideMark/>
          </w:tcPr>
          <w:p w14:paraId="119FFE5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90" w:type="dxa"/>
            <w:tcBorders>
              <w:top w:val="nil"/>
              <w:left w:val="nil"/>
              <w:bottom w:val="nil"/>
              <w:right w:val="nil"/>
            </w:tcBorders>
            <w:shd w:val="clear" w:color="auto" w:fill="auto"/>
            <w:noWrap/>
            <w:vAlign w:val="bottom"/>
            <w:hideMark/>
          </w:tcPr>
          <w:p w14:paraId="41ED719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89" w:type="dxa"/>
            <w:tcBorders>
              <w:top w:val="nil"/>
              <w:left w:val="nil"/>
              <w:bottom w:val="nil"/>
              <w:right w:val="nil"/>
            </w:tcBorders>
            <w:shd w:val="clear" w:color="auto" w:fill="auto"/>
            <w:noWrap/>
            <w:vAlign w:val="bottom"/>
            <w:hideMark/>
          </w:tcPr>
          <w:p w14:paraId="4D2BEF8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2991961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5137CE1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64EA2B1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0" w:type="dxa"/>
            <w:tcBorders>
              <w:top w:val="nil"/>
              <w:left w:val="nil"/>
              <w:bottom w:val="nil"/>
              <w:right w:val="nil"/>
            </w:tcBorders>
            <w:shd w:val="clear" w:color="auto" w:fill="auto"/>
            <w:noWrap/>
            <w:vAlign w:val="bottom"/>
            <w:hideMark/>
          </w:tcPr>
          <w:p w14:paraId="0684BA7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1" w:type="dxa"/>
            <w:tcBorders>
              <w:top w:val="nil"/>
              <w:left w:val="nil"/>
              <w:bottom w:val="nil"/>
              <w:right w:val="nil"/>
            </w:tcBorders>
            <w:shd w:val="clear" w:color="auto" w:fill="auto"/>
            <w:noWrap/>
            <w:vAlign w:val="bottom"/>
            <w:hideMark/>
          </w:tcPr>
          <w:p w14:paraId="2CF1891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987" w:type="dxa"/>
            <w:tcBorders>
              <w:top w:val="nil"/>
              <w:left w:val="nil"/>
              <w:bottom w:val="nil"/>
              <w:right w:val="nil"/>
            </w:tcBorders>
            <w:shd w:val="clear" w:color="auto" w:fill="auto"/>
            <w:noWrap/>
            <w:vAlign w:val="bottom"/>
            <w:hideMark/>
          </w:tcPr>
          <w:p w14:paraId="49263EB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6" w:type="dxa"/>
            <w:tcBorders>
              <w:top w:val="nil"/>
              <w:left w:val="nil"/>
              <w:bottom w:val="nil"/>
              <w:right w:val="nil"/>
            </w:tcBorders>
            <w:shd w:val="clear" w:color="auto" w:fill="auto"/>
            <w:noWrap/>
            <w:vAlign w:val="bottom"/>
            <w:hideMark/>
          </w:tcPr>
          <w:p w14:paraId="5B40746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7B132391" w14:textId="77777777" w:rsidTr="002F7131">
        <w:trPr>
          <w:trHeight w:val="20"/>
        </w:trPr>
        <w:tc>
          <w:tcPr>
            <w:tcW w:w="2951" w:type="dxa"/>
            <w:tcBorders>
              <w:top w:val="nil"/>
              <w:left w:val="nil"/>
              <w:bottom w:val="nil"/>
              <w:right w:val="nil"/>
            </w:tcBorders>
            <w:shd w:val="clear" w:color="auto" w:fill="auto"/>
            <w:vAlign w:val="bottom"/>
            <w:hideMark/>
          </w:tcPr>
          <w:p w14:paraId="15185183"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Pr>
                <w:rFonts w:cstheme="minorHAnsi"/>
                <w:sz w:val="20"/>
                <w:lang w:eastAsia="zh-CN"/>
              </w:rPr>
              <w:t xml:space="preserve">7 - </w:t>
            </w:r>
            <w:r w:rsidRPr="00562D3C">
              <w:rPr>
                <w:rFonts w:cstheme="minorHAnsi"/>
                <w:sz w:val="20"/>
                <w:lang w:eastAsia="zh-CN"/>
              </w:rPr>
              <w:t>房屋设施、家具和设备的采购</w:t>
            </w:r>
          </w:p>
        </w:tc>
        <w:tc>
          <w:tcPr>
            <w:tcW w:w="1088" w:type="dxa"/>
            <w:tcBorders>
              <w:top w:val="nil"/>
              <w:left w:val="single" w:sz="4" w:space="0" w:color="0070C0"/>
              <w:bottom w:val="nil"/>
              <w:right w:val="nil"/>
            </w:tcBorders>
            <w:shd w:val="clear" w:color="auto" w:fill="auto"/>
            <w:noWrap/>
            <w:vAlign w:val="bottom"/>
            <w:hideMark/>
          </w:tcPr>
          <w:p w14:paraId="60FBCB5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r w:rsidRPr="00562D3C">
              <w:rPr>
                <w:rFonts w:eastAsia="Times New Roman" w:cs="Calibri"/>
                <w:sz w:val="20"/>
                <w:lang w:eastAsia="zh-CN"/>
              </w:rPr>
              <w:t> </w:t>
            </w:r>
          </w:p>
        </w:tc>
        <w:tc>
          <w:tcPr>
            <w:tcW w:w="1090" w:type="dxa"/>
            <w:tcBorders>
              <w:top w:val="nil"/>
              <w:left w:val="nil"/>
              <w:bottom w:val="nil"/>
              <w:right w:val="nil"/>
            </w:tcBorders>
            <w:shd w:val="clear" w:color="auto" w:fill="auto"/>
            <w:noWrap/>
            <w:vAlign w:val="bottom"/>
            <w:hideMark/>
          </w:tcPr>
          <w:p w14:paraId="36B547D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p>
        </w:tc>
        <w:tc>
          <w:tcPr>
            <w:tcW w:w="1089" w:type="dxa"/>
            <w:tcBorders>
              <w:top w:val="nil"/>
              <w:left w:val="nil"/>
              <w:bottom w:val="nil"/>
              <w:right w:val="nil"/>
            </w:tcBorders>
            <w:shd w:val="clear" w:color="auto" w:fill="auto"/>
            <w:noWrap/>
            <w:vAlign w:val="bottom"/>
            <w:hideMark/>
          </w:tcPr>
          <w:p w14:paraId="6390C3A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090" w:type="dxa"/>
            <w:tcBorders>
              <w:top w:val="nil"/>
              <w:left w:val="nil"/>
              <w:bottom w:val="nil"/>
              <w:right w:val="nil"/>
            </w:tcBorders>
            <w:shd w:val="clear" w:color="auto" w:fill="auto"/>
            <w:noWrap/>
            <w:vAlign w:val="bottom"/>
            <w:hideMark/>
          </w:tcPr>
          <w:p w14:paraId="43AF271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090" w:type="dxa"/>
            <w:tcBorders>
              <w:top w:val="nil"/>
              <w:left w:val="nil"/>
              <w:bottom w:val="nil"/>
              <w:right w:val="nil"/>
            </w:tcBorders>
            <w:shd w:val="clear" w:color="auto" w:fill="auto"/>
            <w:noWrap/>
            <w:vAlign w:val="bottom"/>
            <w:hideMark/>
          </w:tcPr>
          <w:p w14:paraId="317AE755" w14:textId="18FE2CF8"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090" w:type="dxa"/>
            <w:tcBorders>
              <w:top w:val="nil"/>
              <w:left w:val="nil"/>
              <w:bottom w:val="nil"/>
              <w:right w:val="nil"/>
            </w:tcBorders>
            <w:shd w:val="clear" w:color="auto" w:fill="auto"/>
            <w:noWrap/>
            <w:vAlign w:val="bottom"/>
            <w:hideMark/>
          </w:tcPr>
          <w:p w14:paraId="5309832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w:t>
            </w:r>
          </w:p>
        </w:tc>
        <w:tc>
          <w:tcPr>
            <w:tcW w:w="1450" w:type="dxa"/>
            <w:tcBorders>
              <w:top w:val="nil"/>
              <w:left w:val="nil"/>
              <w:bottom w:val="nil"/>
              <w:right w:val="nil"/>
            </w:tcBorders>
            <w:shd w:val="clear" w:color="auto" w:fill="auto"/>
            <w:noWrap/>
            <w:vAlign w:val="bottom"/>
            <w:hideMark/>
          </w:tcPr>
          <w:p w14:paraId="2EF8DF0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459</w:t>
            </w:r>
          </w:p>
        </w:tc>
        <w:tc>
          <w:tcPr>
            <w:tcW w:w="1091" w:type="dxa"/>
            <w:tcBorders>
              <w:top w:val="nil"/>
              <w:left w:val="nil"/>
              <w:bottom w:val="nil"/>
              <w:right w:val="nil"/>
            </w:tcBorders>
            <w:shd w:val="clear" w:color="auto" w:fill="auto"/>
            <w:noWrap/>
            <w:vAlign w:val="bottom"/>
            <w:hideMark/>
          </w:tcPr>
          <w:p w14:paraId="1C921A4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987" w:type="dxa"/>
            <w:tcBorders>
              <w:top w:val="nil"/>
              <w:left w:val="nil"/>
              <w:bottom w:val="nil"/>
              <w:right w:val="nil"/>
            </w:tcBorders>
            <w:shd w:val="clear" w:color="auto" w:fill="auto"/>
            <w:noWrap/>
            <w:vAlign w:val="bottom"/>
            <w:hideMark/>
          </w:tcPr>
          <w:p w14:paraId="2C06780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6" w:type="dxa"/>
            <w:tcBorders>
              <w:top w:val="nil"/>
              <w:left w:val="nil"/>
              <w:bottom w:val="nil"/>
              <w:right w:val="nil"/>
            </w:tcBorders>
            <w:shd w:val="clear" w:color="auto" w:fill="auto"/>
            <w:noWrap/>
            <w:vAlign w:val="bottom"/>
            <w:hideMark/>
          </w:tcPr>
          <w:p w14:paraId="0F3839E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461</w:t>
            </w:r>
          </w:p>
        </w:tc>
      </w:tr>
      <w:tr w:rsidR="005C437E" w:rsidRPr="00562D3C" w14:paraId="5DCA128C" w14:textId="77777777" w:rsidTr="002F7131">
        <w:trPr>
          <w:trHeight w:val="20"/>
        </w:trPr>
        <w:tc>
          <w:tcPr>
            <w:tcW w:w="2951" w:type="dxa"/>
            <w:tcBorders>
              <w:top w:val="nil"/>
              <w:left w:val="nil"/>
              <w:bottom w:val="nil"/>
              <w:right w:val="nil"/>
            </w:tcBorders>
            <w:shd w:val="clear" w:color="auto" w:fill="auto"/>
            <w:noWrap/>
            <w:vAlign w:val="bottom"/>
            <w:hideMark/>
          </w:tcPr>
          <w:p w14:paraId="2848762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088" w:type="dxa"/>
            <w:tcBorders>
              <w:top w:val="nil"/>
              <w:left w:val="single" w:sz="4" w:space="0" w:color="0070C0"/>
              <w:bottom w:val="nil"/>
              <w:right w:val="nil"/>
            </w:tcBorders>
            <w:shd w:val="clear" w:color="auto" w:fill="auto"/>
            <w:noWrap/>
            <w:vAlign w:val="bottom"/>
            <w:hideMark/>
          </w:tcPr>
          <w:p w14:paraId="7EE96F0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90" w:type="dxa"/>
            <w:tcBorders>
              <w:top w:val="nil"/>
              <w:left w:val="nil"/>
              <w:bottom w:val="nil"/>
              <w:right w:val="nil"/>
            </w:tcBorders>
            <w:shd w:val="clear" w:color="auto" w:fill="auto"/>
            <w:noWrap/>
            <w:vAlign w:val="bottom"/>
            <w:hideMark/>
          </w:tcPr>
          <w:p w14:paraId="5C55A74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89" w:type="dxa"/>
            <w:tcBorders>
              <w:top w:val="nil"/>
              <w:left w:val="nil"/>
              <w:bottom w:val="nil"/>
              <w:right w:val="nil"/>
            </w:tcBorders>
            <w:shd w:val="clear" w:color="auto" w:fill="auto"/>
            <w:noWrap/>
            <w:vAlign w:val="bottom"/>
            <w:hideMark/>
          </w:tcPr>
          <w:p w14:paraId="5D0018B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67C0822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5F4E57C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5B89606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0" w:type="dxa"/>
            <w:tcBorders>
              <w:top w:val="nil"/>
              <w:left w:val="nil"/>
              <w:bottom w:val="nil"/>
              <w:right w:val="nil"/>
            </w:tcBorders>
            <w:shd w:val="clear" w:color="auto" w:fill="auto"/>
            <w:noWrap/>
            <w:vAlign w:val="bottom"/>
            <w:hideMark/>
          </w:tcPr>
          <w:p w14:paraId="4045233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1" w:type="dxa"/>
            <w:tcBorders>
              <w:top w:val="nil"/>
              <w:left w:val="nil"/>
              <w:bottom w:val="nil"/>
              <w:right w:val="nil"/>
            </w:tcBorders>
            <w:shd w:val="clear" w:color="auto" w:fill="auto"/>
            <w:noWrap/>
            <w:vAlign w:val="bottom"/>
            <w:hideMark/>
          </w:tcPr>
          <w:p w14:paraId="3764EB3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987" w:type="dxa"/>
            <w:tcBorders>
              <w:top w:val="nil"/>
              <w:left w:val="nil"/>
              <w:bottom w:val="nil"/>
              <w:right w:val="nil"/>
            </w:tcBorders>
            <w:shd w:val="clear" w:color="auto" w:fill="auto"/>
            <w:noWrap/>
            <w:vAlign w:val="bottom"/>
            <w:hideMark/>
          </w:tcPr>
          <w:p w14:paraId="35A08EF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6" w:type="dxa"/>
            <w:tcBorders>
              <w:top w:val="nil"/>
              <w:left w:val="nil"/>
              <w:bottom w:val="nil"/>
              <w:right w:val="nil"/>
            </w:tcBorders>
            <w:shd w:val="clear" w:color="auto" w:fill="auto"/>
            <w:noWrap/>
            <w:vAlign w:val="bottom"/>
            <w:hideMark/>
          </w:tcPr>
          <w:p w14:paraId="6B98BE5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55143F2C" w14:textId="77777777" w:rsidTr="002F7131">
        <w:trPr>
          <w:trHeight w:val="20"/>
        </w:trPr>
        <w:tc>
          <w:tcPr>
            <w:tcW w:w="2951" w:type="dxa"/>
            <w:tcBorders>
              <w:top w:val="nil"/>
              <w:left w:val="nil"/>
              <w:bottom w:val="nil"/>
              <w:right w:val="nil"/>
            </w:tcBorders>
            <w:shd w:val="clear" w:color="auto" w:fill="auto"/>
            <w:vAlign w:val="bottom"/>
            <w:hideMark/>
          </w:tcPr>
          <w:p w14:paraId="2C367F1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562D3C">
              <w:rPr>
                <w:rFonts w:cstheme="minorHAnsi"/>
                <w:sz w:val="20"/>
              </w:rPr>
              <w:t xml:space="preserve">8 - </w:t>
            </w:r>
            <w:r w:rsidRPr="00562D3C">
              <w:rPr>
                <w:rFonts w:cstheme="minorHAnsi"/>
                <w:sz w:val="20"/>
              </w:rPr>
              <w:t>公共和内部服务设施</w:t>
            </w:r>
          </w:p>
        </w:tc>
        <w:tc>
          <w:tcPr>
            <w:tcW w:w="1088" w:type="dxa"/>
            <w:tcBorders>
              <w:top w:val="nil"/>
              <w:left w:val="single" w:sz="4" w:space="0" w:color="0070C0"/>
              <w:bottom w:val="nil"/>
              <w:right w:val="nil"/>
            </w:tcBorders>
            <w:shd w:val="clear" w:color="auto" w:fill="auto"/>
            <w:noWrap/>
            <w:vAlign w:val="bottom"/>
            <w:hideMark/>
          </w:tcPr>
          <w:p w14:paraId="41B592D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90" w:type="dxa"/>
            <w:tcBorders>
              <w:top w:val="nil"/>
              <w:left w:val="nil"/>
              <w:bottom w:val="nil"/>
              <w:right w:val="nil"/>
            </w:tcBorders>
            <w:shd w:val="clear" w:color="auto" w:fill="auto"/>
            <w:noWrap/>
            <w:vAlign w:val="bottom"/>
            <w:hideMark/>
          </w:tcPr>
          <w:p w14:paraId="6DCEBF2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w:t>
            </w:r>
          </w:p>
        </w:tc>
        <w:tc>
          <w:tcPr>
            <w:tcW w:w="1089" w:type="dxa"/>
            <w:tcBorders>
              <w:top w:val="nil"/>
              <w:left w:val="nil"/>
              <w:bottom w:val="nil"/>
              <w:right w:val="nil"/>
            </w:tcBorders>
            <w:shd w:val="clear" w:color="auto" w:fill="auto"/>
            <w:noWrap/>
            <w:vAlign w:val="bottom"/>
            <w:hideMark/>
          </w:tcPr>
          <w:p w14:paraId="2F8944B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w:t>
            </w:r>
          </w:p>
        </w:tc>
        <w:tc>
          <w:tcPr>
            <w:tcW w:w="1090" w:type="dxa"/>
            <w:tcBorders>
              <w:top w:val="nil"/>
              <w:left w:val="nil"/>
              <w:bottom w:val="nil"/>
              <w:right w:val="nil"/>
            </w:tcBorders>
            <w:shd w:val="clear" w:color="auto" w:fill="auto"/>
            <w:noWrap/>
            <w:vAlign w:val="bottom"/>
            <w:hideMark/>
          </w:tcPr>
          <w:p w14:paraId="401D133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90" w:type="dxa"/>
            <w:tcBorders>
              <w:top w:val="nil"/>
              <w:left w:val="nil"/>
              <w:bottom w:val="nil"/>
              <w:right w:val="nil"/>
            </w:tcBorders>
            <w:shd w:val="clear" w:color="auto" w:fill="auto"/>
            <w:noWrap/>
            <w:vAlign w:val="bottom"/>
            <w:hideMark/>
          </w:tcPr>
          <w:p w14:paraId="3677FC4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3416FA7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w:t>
            </w:r>
          </w:p>
        </w:tc>
        <w:tc>
          <w:tcPr>
            <w:tcW w:w="1450" w:type="dxa"/>
            <w:tcBorders>
              <w:top w:val="nil"/>
              <w:left w:val="nil"/>
              <w:bottom w:val="nil"/>
              <w:right w:val="nil"/>
            </w:tcBorders>
            <w:shd w:val="clear" w:color="auto" w:fill="auto"/>
            <w:noWrap/>
            <w:vAlign w:val="bottom"/>
            <w:hideMark/>
          </w:tcPr>
          <w:p w14:paraId="7092FDD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91" w:type="dxa"/>
            <w:tcBorders>
              <w:top w:val="nil"/>
              <w:left w:val="nil"/>
              <w:bottom w:val="nil"/>
              <w:right w:val="nil"/>
            </w:tcBorders>
            <w:shd w:val="clear" w:color="auto" w:fill="auto"/>
            <w:noWrap/>
            <w:vAlign w:val="bottom"/>
            <w:hideMark/>
          </w:tcPr>
          <w:p w14:paraId="522223A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987" w:type="dxa"/>
            <w:tcBorders>
              <w:top w:val="nil"/>
              <w:left w:val="nil"/>
              <w:bottom w:val="nil"/>
              <w:right w:val="nil"/>
            </w:tcBorders>
            <w:shd w:val="clear" w:color="auto" w:fill="auto"/>
            <w:noWrap/>
            <w:vAlign w:val="bottom"/>
            <w:hideMark/>
          </w:tcPr>
          <w:p w14:paraId="02BEE78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6" w:type="dxa"/>
            <w:tcBorders>
              <w:top w:val="nil"/>
              <w:left w:val="nil"/>
              <w:bottom w:val="nil"/>
              <w:right w:val="nil"/>
            </w:tcBorders>
            <w:shd w:val="clear" w:color="auto" w:fill="auto"/>
            <w:noWrap/>
            <w:vAlign w:val="bottom"/>
            <w:hideMark/>
          </w:tcPr>
          <w:p w14:paraId="70C51DC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5</w:t>
            </w:r>
          </w:p>
        </w:tc>
      </w:tr>
      <w:tr w:rsidR="005C437E" w:rsidRPr="00562D3C" w14:paraId="081AB8E0" w14:textId="77777777" w:rsidTr="002F7131">
        <w:trPr>
          <w:trHeight w:val="20"/>
        </w:trPr>
        <w:tc>
          <w:tcPr>
            <w:tcW w:w="2951" w:type="dxa"/>
            <w:tcBorders>
              <w:top w:val="nil"/>
              <w:left w:val="nil"/>
              <w:bottom w:val="nil"/>
              <w:right w:val="nil"/>
            </w:tcBorders>
            <w:shd w:val="clear" w:color="auto" w:fill="auto"/>
            <w:noWrap/>
            <w:vAlign w:val="bottom"/>
            <w:hideMark/>
          </w:tcPr>
          <w:p w14:paraId="04C870B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088" w:type="dxa"/>
            <w:tcBorders>
              <w:top w:val="nil"/>
              <w:left w:val="single" w:sz="4" w:space="0" w:color="0070C0"/>
              <w:bottom w:val="nil"/>
              <w:right w:val="nil"/>
            </w:tcBorders>
            <w:shd w:val="clear" w:color="auto" w:fill="auto"/>
            <w:noWrap/>
            <w:vAlign w:val="bottom"/>
            <w:hideMark/>
          </w:tcPr>
          <w:p w14:paraId="1898443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90" w:type="dxa"/>
            <w:tcBorders>
              <w:top w:val="nil"/>
              <w:left w:val="nil"/>
              <w:bottom w:val="nil"/>
              <w:right w:val="nil"/>
            </w:tcBorders>
            <w:shd w:val="clear" w:color="auto" w:fill="auto"/>
            <w:noWrap/>
            <w:vAlign w:val="bottom"/>
            <w:hideMark/>
          </w:tcPr>
          <w:p w14:paraId="247DCCD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89" w:type="dxa"/>
            <w:tcBorders>
              <w:top w:val="nil"/>
              <w:left w:val="nil"/>
              <w:bottom w:val="nil"/>
              <w:right w:val="nil"/>
            </w:tcBorders>
            <w:shd w:val="clear" w:color="auto" w:fill="auto"/>
            <w:noWrap/>
            <w:vAlign w:val="bottom"/>
            <w:hideMark/>
          </w:tcPr>
          <w:p w14:paraId="0929472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0F9B693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5820A98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7814FA4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0" w:type="dxa"/>
            <w:tcBorders>
              <w:top w:val="nil"/>
              <w:left w:val="nil"/>
              <w:bottom w:val="nil"/>
              <w:right w:val="nil"/>
            </w:tcBorders>
            <w:shd w:val="clear" w:color="auto" w:fill="auto"/>
            <w:noWrap/>
            <w:vAlign w:val="bottom"/>
            <w:hideMark/>
          </w:tcPr>
          <w:p w14:paraId="57D3871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1" w:type="dxa"/>
            <w:tcBorders>
              <w:top w:val="nil"/>
              <w:left w:val="nil"/>
              <w:bottom w:val="nil"/>
              <w:right w:val="nil"/>
            </w:tcBorders>
            <w:shd w:val="clear" w:color="auto" w:fill="auto"/>
            <w:noWrap/>
            <w:vAlign w:val="bottom"/>
            <w:hideMark/>
          </w:tcPr>
          <w:p w14:paraId="68F311E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987" w:type="dxa"/>
            <w:tcBorders>
              <w:top w:val="nil"/>
              <w:left w:val="nil"/>
              <w:bottom w:val="nil"/>
              <w:right w:val="nil"/>
            </w:tcBorders>
            <w:shd w:val="clear" w:color="auto" w:fill="auto"/>
            <w:noWrap/>
            <w:vAlign w:val="bottom"/>
            <w:hideMark/>
          </w:tcPr>
          <w:p w14:paraId="5003288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6" w:type="dxa"/>
            <w:tcBorders>
              <w:top w:val="nil"/>
              <w:left w:val="nil"/>
              <w:bottom w:val="nil"/>
              <w:right w:val="nil"/>
            </w:tcBorders>
            <w:shd w:val="clear" w:color="auto" w:fill="auto"/>
            <w:noWrap/>
            <w:vAlign w:val="bottom"/>
            <w:hideMark/>
          </w:tcPr>
          <w:p w14:paraId="2437B4A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7930BE5D" w14:textId="77777777" w:rsidTr="002F7131">
        <w:trPr>
          <w:trHeight w:val="20"/>
        </w:trPr>
        <w:tc>
          <w:tcPr>
            <w:tcW w:w="2951" w:type="dxa"/>
            <w:tcBorders>
              <w:top w:val="nil"/>
              <w:left w:val="nil"/>
              <w:bottom w:val="nil"/>
              <w:right w:val="nil"/>
            </w:tcBorders>
            <w:shd w:val="clear" w:color="auto" w:fill="auto"/>
            <w:vAlign w:val="bottom"/>
            <w:hideMark/>
          </w:tcPr>
          <w:p w14:paraId="0433180F"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562D3C">
              <w:rPr>
                <w:rFonts w:cstheme="minorHAnsi"/>
                <w:sz w:val="20"/>
                <w:lang w:eastAsia="zh-CN"/>
              </w:rPr>
              <w:t xml:space="preserve">9 - </w:t>
            </w:r>
            <w:r w:rsidRPr="00562D3C">
              <w:rPr>
                <w:rFonts w:cstheme="minorHAnsi"/>
                <w:sz w:val="20"/>
                <w:lang w:eastAsia="zh-CN"/>
              </w:rPr>
              <w:t>审计和机构间的费用及其他</w:t>
            </w:r>
          </w:p>
        </w:tc>
        <w:tc>
          <w:tcPr>
            <w:tcW w:w="1088" w:type="dxa"/>
            <w:tcBorders>
              <w:top w:val="nil"/>
              <w:left w:val="single" w:sz="4" w:space="0" w:color="0070C0"/>
              <w:bottom w:val="nil"/>
              <w:right w:val="nil"/>
            </w:tcBorders>
            <w:shd w:val="clear" w:color="auto" w:fill="auto"/>
            <w:noWrap/>
            <w:vAlign w:val="bottom"/>
            <w:hideMark/>
          </w:tcPr>
          <w:p w14:paraId="372EB12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r w:rsidRPr="00562D3C">
              <w:rPr>
                <w:rFonts w:eastAsia="Times New Roman" w:cs="Calibri"/>
                <w:sz w:val="20"/>
                <w:lang w:eastAsia="zh-CN"/>
              </w:rPr>
              <w:t> </w:t>
            </w:r>
          </w:p>
        </w:tc>
        <w:tc>
          <w:tcPr>
            <w:tcW w:w="1090" w:type="dxa"/>
            <w:tcBorders>
              <w:top w:val="nil"/>
              <w:left w:val="nil"/>
              <w:bottom w:val="nil"/>
              <w:right w:val="nil"/>
            </w:tcBorders>
            <w:shd w:val="clear" w:color="auto" w:fill="auto"/>
            <w:noWrap/>
            <w:vAlign w:val="bottom"/>
            <w:hideMark/>
          </w:tcPr>
          <w:p w14:paraId="154EAD0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w:t>
            </w:r>
          </w:p>
        </w:tc>
        <w:tc>
          <w:tcPr>
            <w:tcW w:w="1089" w:type="dxa"/>
            <w:tcBorders>
              <w:top w:val="nil"/>
              <w:left w:val="nil"/>
              <w:bottom w:val="nil"/>
              <w:right w:val="nil"/>
            </w:tcBorders>
            <w:shd w:val="clear" w:color="auto" w:fill="auto"/>
            <w:noWrap/>
            <w:vAlign w:val="bottom"/>
            <w:hideMark/>
          </w:tcPr>
          <w:p w14:paraId="06510EE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90" w:type="dxa"/>
            <w:tcBorders>
              <w:top w:val="nil"/>
              <w:left w:val="nil"/>
              <w:bottom w:val="nil"/>
              <w:right w:val="nil"/>
            </w:tcBorders>
            <w:shd w:val="clear" w:color="auto" w:fill="auto"/>
            <w:noWrap/>
            <w:vAlign w:val="bottom"/>
            <w:hideMark/>
          </w:tcPr>
          <w:p w14:paraId="6EB4BB0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9</w:t>
            </w:r>
          </w:p>
        </w:tc>
        <w:tc>
          <w:tcPr>
            <w:tcW w:w="1090" w:type="dxa"/>
            <w:tcBorders>
              <w:top w:val="nil"/>
              <w:left w:val="nil"/>
              <w:bottom w:val="nil"/>
              <w:right w:val="nil"/>
            </w:tcBorders>
            <w:shd w:val="clear" w:color="auto" w:fill="auto"/>
            <w:noWrap/>
            <w:vAlign w:val="bottom"/>
            <w:hideMark/>
          </w:tcPr>
          <w:p w14:paraId="267908D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90" w:type="dxa"/>
            <w:tcBorders>
              <w:top w:val="nil"/>
              <w:left w:val="nil"/>
              <w:bottom w:val="nil"/>
              <w:right w:val="nil"/>
            </w:tcBorders>
            <w:shd w:val="clear" w:color="auto" w:fill="auto"/>
            <w:noWrap/>
            <w:vAlign w:val="bottom"/>
            <w:hideMark/>
          </w:tcPr>
          <w:p w14:paraId="0C53EFC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7</w:t>
            </w:r>
          </w:p>
        </w:tc>
        <w:tc>
          <w:tcPr>
            <w:tcW w:w="1450" w:type="dxa"/>
            <w:tcBorders>
              <w:top w:val="nil"/>
              <w:left w:val="nil"/>
              <w:bottom w:val="nil"/>
              <w:right w:val="nil"/>
            </w:tcBorders>
            <w:shd w:val="clear" w:color="auto" w:fill="auto"/>
            <w:noWrap/>
            <w:vAlign w:val="bottom"/>
            <w:hideMark/>
          </w:tcPr>
          <w:p w14:paraId="0B2355F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10</w:t>
            </w:r>
          </w:p>
        </w:tc>
        <w:tc>
          <w:tcPr>
            <w:tcW w:w="1091" w:type="dxa"/>
            <w:tcBorders>
              <w:top w:val="nil"/>
              <w:left w:val="nil"/>
              <w:bottom w:val="nil"/>
              <w:right w:val="nil"/>
            </w:tcBorders>
            <w:shd w:val="clear" w:color="auto" w:fill="auto"/>
            <w:noWrap/>
            <w:vAlign w:val="bottom"/>
            <w:hideMark/>
          </w:tcPr>
          <w:p w14:paraId="65A53A3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987" w:type="dxa"/>
            <w:tcBorders>
              <w:top w:val="nil"/>
              <w:left w:val="nil"/>
              <w:bottom w:val="nil"/>
              <w:right w:val="nil"/>
            </w:tcBorders>
            <w:shd w:val="clear" w:color="auto" w:fill="auto"/>
            <w:noWrap/>
            <w:vAlign w:val="bottom"/>
            <w:hideMark/>
          </w:tcPr>
          <w:p w14:paraId="0EB85D1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6" w:type="dxa"/>
            <w:tcBorders>
              <w:top w:val="nil"/>
              <w:left w:val="nil"/>
              <w:bottom w:val="nil"/>
              <w:right w:val="nil"/>
            </w:tcBorders>
            <w:shd w:val="clear" w:color="auto" w:fill="auto"/>
            <w:noWrap/>
            <w:vAlign w:val="bottom"/>
            <w:hideMark/>
          </w:tcPr>
          <w:p w14:paraId="51D87C9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28</w:t>
            </w:r>
          </w:p>
        </w:tc>
      </w:tr>
      <w:tr w:rsidR="005C437E" w:rsidRPr="00562D3C" w14:paraId="712A9471" w14:textId="77777777" w:rsidTr="002F7131">
        <w:trPr>
          <w:trHeight w:val="387"/>
        </w:trPr>
        <w:tc>
          <w:tcPr>
            <w:tcW w:w="2951" w:type="dxa"/>
            <w:tcBorders>
              <w:top w:val="nil"/>
              <w:left w:val="nil"/>
              <w:bottom w:val="nil"/>
              <w:right w:val="nil"/>
            </w:tcBorders>
            <w:shd w:val="clear" w:color="auto" w:fill="auto"/>
            <w:noWrap/>
            <w:vAlign w:val="center"/>
            <w:hideMark/>
          </w:tcPr>
          <w:p w14:paraId="5E03EC3F"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cs="Calibri"/>
                <w:b/>
                <w:bCs/>
                <w:sz w:val="20"/>
              </w:rPr>
            </w:pPr>
            <w:r w:rsidRPr="00562D3C">
              <w:rPr>
                <w:rFonts w:ascii="SimSun" w:hAnsi="SimSun" w:cs="Microsoft YaHei"/>
                <w:b/>
                <w:bCs/>
                <w:sz w:val="20"/>
              </w:rPr>
              <w:t>合计</w:t>
            </w:r>
          </w:p>
        </w:tc>
        <w:tc>
          <w:tcPr>
            <w:tcW w:w="1088" w:type="dxa"/>
            <w:tcBorders>
              <w:top w:val="nil"/>
              <w:left w:val="single" w:sz="4" w:space="0" w:color="0070C0"/>
              <w:bottom w:val="nil"/>
              <w:right w:val="nil"/>
            </w:tcBorders>
            <w:shd w:val="clear" w:color="auto" w:fill="auto"/>
            <w:noWrap/>
            <w:vAlign w:val="center"/>
            <w:hideMark/>
          </w:tcPr>
          <w:p w14:paraId="578B0D7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 </w:t>
            </w:r>
          </w:p>
        </w:tc>
        <w:tc>
          <w:tcPr>
            <w:tcW w:w="1090" w:type="dxa"/>
            <w:tcBorders>
              <w:top w:val="nil"/>
              <w:left w:val="nil"/>
              <w:bottom w:val="nil"/>
              <w:right w:val="nil"/>
            </w:tcBorders>
            <w:shd w:val="clear" w:color="auto" w:fill="auto"/>
            <w:noWrap/>
            <w:vAlign w:val="center"/>
            <w:hideMark/>
          </w:tcPr>
          <w:p w14:paraId="0C90939B" w14:textId="36595043"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452</w:t>
            </w:r>
          </w:p>
        </w:tc>
        <w:tc>
          <w:tcPr>
            <w:tcW w:w="1089" w:type="dxa"/>
            <w:tcBorders>
              <w:top w:val="nil"/>
              <w:left w:val="nil"/>
              <w:bottom w:val="nil"/>
              <w:right w:val="nil"/>
            </w:tcBorders>
            <w:shd w:val="clear" w:color="auto" w:fill="auto"/>
            <w:noWrap/>
            <w:vAlign w:val="center"/>
            <w:hideMark/>
          </w:tcPr>
          <w:p w14:paraId="217B611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63</w:t>
            </w:r>
          </w:p>
        </w:tc>
        <w:tc>
          <w:tcPr>
            <w:tcW w:w="1090" w:type="dxa"/>
            <w:tcBorders>
              <w:top w:val="nil"/>
              <w:left w:val="nil"/>
              <w:bottom w:val="nil"/>
              <w:right w:val="nil"/>
            </w:tcBorders>
            <w:shd w:val="clear" w:color="auto" w:fill="auto"/>
            <w:noWrap/>
            <w:vAlign w:val="center"/>
            <w:hideMark/>
          </w:tcPr>
          <w:p w14:paraId="1547DF7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383</w:t>
            </w:r>
          </w:p>
        </w:tc>
        <w:tc>
          <w:tcPr>
            <w:tcW w:w="1090" w:type="dxa"/>
            <w:tcBorders>
              <w:top w:val="nil"/>
              <w:left w:val="nil"/>
              <w:bottom w:val="nil"/>
              <w:right w:val="nil"/>
            </w:tcBorders>
            <w:shd w:val="clear" w:color="auto" w:fill="auto"/>
            <w:noWrap/>
            <w:vAlign w:val="center"/>
            <w:hideMark/>
          </w:tcPr>
          <w:p w14:paraId="015559C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350</w:t>
            </w:r>
          </w:p>
        </w:tc>
        <w:tc>
          <w:tcPr>
            <w:tcW w:w="1090" w:type="dxa"/>
            <w:tcBorders>
              <w:top w:val="nil"/>
              <w:left w:val="nil"/>
              <w:bottom w:val="nil"/>
              <w:right w:val="nil"/>
            </w:tcBorders>
            <w:shd w:val="clear" w:color="auto" w:fill="auto"/>
            <w:noWrap/>
            <w:vAlign w:val="center"/>
            <w:hideMark/>
          </w:tcPr>
          <w:p w14:paraId="42614CC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388</w:t>
            </w:r>
          </w:p>
        </w:tc>
        <w:tc>
          <w:tcPr>
            <w:tcW w:w="1450" w:type="dxa"/>
            <w:tcBorders>
              <w:top w:val="nil"/>
              <w:left w:val="nil"/>
              <w:bottom w:val="nil"/>
              <w:right w:val="nil"/>
            </w:tcBorders>
            <w:shd w:val="clear" w:color="auto" w:fill="auto"/>
            <w:noWrap/>
            <w:vAlign w:val="center"/>
            <w:hideMark/>
          </w:tcPr>
          <w:p w14:paraId="29CB5E5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1,244</w:t>
            </w:r>
          </w:p>
        </w:tc>
        <w:tc>
          <w:tcPr>
            <w:tcW w:w="1091" w:type="dxa"/>
            <w:tcBorders>
              <w:top w:val="nil"/>
              <w:left w:val="nil"/>
              <w:bottom w:val="nil"/>
              <w:right w:val="nil"/>
            </w:tcBorders>
            <w:shd w:val="clear" w:color="auto" w:fill="auto"/>
            <w:noWrap/>
            <w:vAlign w:val="center"/>
            <w:hideMark/>
          </w:tcPr>
          <w:p w14:paraId="79EDF73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1,018</w:t>
            </w:r>
          </w:p>
        </w:tc>
        <w:tc>
          <w:tcPr>
            <w:tcW w:w="987" w:type="dxa"/>
            <w:tcBorders>
              <w:top w:val="nil"/>
              <w:left w:val="nil"/>
              <w:bottom w:val="nil"/>
              <w:right w:val="nil"/>
            </w:tcBorders>
            <w:shd w:val="clear" w:color="auto" w:fill="auto"/>
            <w:noWrap/>
            <w:vAlign w:val="center"/>
            <w:hideMark/>
          </w:tcPr>
          <w:p w14:paraId="3931856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24,985</w:t>
            </w:r>
          </w:p>
        </w:tc>
        <w:tc>
          <w:tcPr>
            <w:tcW w:w="1236" w:type="dxa"/>
            <w:tcBorders>
              <w:top w:val="nil"/>
              <w:left w:val="nil"/>
              <w:bottom w:val="nil"/>
              <w:right w:val="nil"/>
            </w:tcBorders>
            <w:shd w:val="clear" w:color="auto" w:fill="auto"/>
            <w:noWrap/>
            <w:vAlign w:val="center"/>
            <w:hideMark/>
          </w:tcPr>
          <w:p w14:paraId="3BD839B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562D3C">
              <w:rPr>
                <w:rFonts w:eastAsia="Times New Roman" w:cs="Calibri"/>
                <w:b/>
                <w:bCs/>
                <w:color w:val="002060"/>
                <w:sz w:val="20"/>
              </w:rPr>
              <w:t>28,883</w:t>
            </w:r>
          </w:p>
        </w:tc>
      </w:tr>
    </w:tbl>
    <w:p w14:paraId="04A52AF7" w14:textId="288CD1F9" w:rsidR="005C437E" w:rsidRDefault="005C437E" w:rsidP="0090191E">
      <w:pPr>
        <w:pStyle w:val="Normalaftertitle"/>
        <w:rPr>
          <w:lang w:eastAsia="zh-CN"/>
        </w:rPr>
      </w:pPr>
      <w:r>
        <w:rPr>
          <w:lang w:eastAsia="zh-CN"/>
        </w:rPr>
        <w:br w:type="page"/>
      </w:r>
    </w:p>
    <w:tbl>
      <w:tblPr>
        <w:tblW w:w="15626" w:type="dxa"/>
        <w:jc w:val="center"/>
        <w:tblLook w:val="04A0" w:firstRow="1" w:lastRow="0" w:firstColumn="1" w:lastColumn="0" w:noHBand="0" w:noVBand="1"/>
      </w:tblPr>
      <w:tblGrid>
        <w:gridCol w:w="3261"/>
        <w:gridCol w:w="1215"/>
        <w:gridCol w:w="1214"/>
        <w:gridCol w:w="1214"/>
        <w:gridCol w:w="1214"/>
        <w:gridCol w:w="1214"/>
        <w:gridCol w:w="1214"/>
        <w:gridCol w:w="1420"/>
        <w:gridCol w:w="1214"/>
        <w:gridCol w:w="1214"/>
        <w:gridCol w:w="1232"/>
      </w:tblGrid>
      <w:tr w:rsidR="005C437E" w:rsidRPr="008917CB" w14:paraId="66158656" w14:textId="77777777" w:rsidTr="002F7131">
        <w:trPr>
          <w:trHeight w:val="405"/>
          <w:jc w:val="center"/>
        </w:trPr>
        <w:tc>
          <w:tcPr>
            <w:tcW w:w="4476" w:type="dxa"/>
            <w:gridSpan w:val="2"/>
            <w:tcBorders>
              <w:top w:val="nil"/>
              <w:left w:val="nil"/>
              <w:bottom w:val="nil"/>
              <w:right w:val="nil"/>
            </w:tcBorders>
            <w:shd w:val="clear" w:color="auto" w:fill="auto"/>
            <w:noWrap/>
            <w:vAlign w:val="center"/>
          </w:tcPr>
          <w:p w14:paraId="0EF4A8A3" w14:textId="77777777" w:rsidR="005C437E" w:rsidRPr="008917CB" w:rsidRDefault="005C437E" w:rsidP="002F7131">
            <w:pPr>
              <w:tabs>
                <w:tab w:val="clear" w:pos="794"/>
                <w:tab w:val="clear" w:pos="1191"/>
                <w:tab w:val="clear" w:pos="1588"/>
                <w:tab w:val="clear" w:pos="1985"/>
              </w:tabs>
              <w:overflowPunct/>
              <w:autoSpaceDE/>
              <w:autoSpaceDN/>
              <w:adjustRightInd/>
              <w:spacing w:before="240"/>
              <w:textAlignment w:val="auto"/>
              <w:rPr>
                <w:rFonts w:ascii="STKaiti" w:eastAsia="STKaiti" w:hAnsi="STKaiti" w:cs="Calibri"/>
                <w:b/>
                <w:bCs/>
                <w:color w:val="002060"/>
                <w:sz w:val="28"/>
                <w:szCs w:val="28"/>
              </w:rPr>
            </w:pPr>
            <w:r w:rsidRPr="008917CB">
              <w:rPr>
                <w:rFonts w:ascii="SimSun" w:hAnsi="SimSun" w:cs="Calibri" w:hint="eastAsia"/>
                <w:b/>
                <w:bCs/>
                <w:color w:val="002060"/>
                <w:sz w:val="40"/>
                <w:szCs w:val="40"/>
              </w:rPr>
              <w:lastRenderedPageBreak/>
              <w:t>表</w:t>
            </w:r>
            <w:r w:rsidRPr="008917CB">
              <w:rPr>
                <w:rFonts w:eastAsia="Times New Roman" w:cs="Calibri"/>
                <w:b/>
                <w:bCs/>
                <w:color w:val="002060"/>
                <w:sz w:val="40"/>
                <w:szCs w:val="40"/>
              </w:rPr>
              <w:t>6-2</w:t>
            </w:r>
          </w:p>
        </w:tc>
        <w:tc>
          <w:tcPr>
            <w:tcW w:w="1214" w:type="dxa"/>
            <w:tcBorders>
              <w:top w:val="nil"/>
              <w:left w:val="nil"/>
              <w:bottom w:val="nil"/>
              <w:right w:val="nil"/>
            </w:tcBorders>
            <w:shd w:val="clear" w:color="auto" w:fill="auto"/>
            <w:noWrap/>
            <w:vAlign w:val="center"/>
          </w:tcPr>
          <w:p w14:paraId="5AF627A4"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28"/>
                <w:szCs w:val="28"/>
              </w:rPr>
            </w:pPr>
          </w:p>
        </w:tc>
        <w:tc>
          <w:tcPr>
            <w:tcW w:w="1214" w:type="dxa"/>
            <w:tcBorders>
              <w:top w:val="nil"/>
              <w:left w:val="nil"/>
              <w:bottom w:val="nil"/>
              <w:right w:val="nil"/>
            </w:tcBorders>
            <w:shd w:val="clear" w:color="auto" w:fill="auto"/>
            <w:noWrap/>
            <w:vAlign w:val="center"/>
          </w:tcPr>
          <w:p w14:paraId="305BA1C9"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tcPr>
          <w:p w14:paraId="465A6261"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tcPr>
          <w:p w14:paraId="147CEC39"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tcPr>
          <w:p w14:paraId="177EF70A"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20" w:type="dxa"/>
            <w:tcBorders>
              <w:top w:val="nil"/>
              <w:left w:val="nil"/>
              <w:bottom w:val="nil"/>
              <w:right w:val="nil"/>
            </w:tcBorders>
            <w:shd w:val="clear" w:color="auto" w:fill="auto"/>
            <w:noWrap/>
            <w:vAlign w:val="center"/>
          </w:tcPr>
          <w:p w14:paraId="7CD7F42D"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tcPr>
          <w:p w14:paraId="03BF4F5F"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tcPr>
          <w:p w14:paraId="5D54AE13"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center"/>
          </w:tcPr>
          <w:p w14:paraId="14A70272"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8917CB" w14:paraId="1210274F" w14:textId="77777777" w:rsidTr="002F7131">
        <w:trPr>
          <w:trHeight w:val="405"/>
          <w:jc w:val="center"/>
        </w:trPr>
        <w:tc>
          <w:tcPr>
            <w:tcW w:w="4476" w:type="dxa"/>
            <w:gridSpan w:val="2"/>
            <w:tcBorders>
              <w:top w:val="nil"/>
              <w:left w:val="nil"/>
              <w:bottom w:val="nil"/>
              <w:right w:val="nil"/>
            </w:tcBorders>
            <w:shd w:val="clear" w:color="auto" w:fill="auto"/>
            <w:noWrap/>
            <w:vAlign w:val="center"/>
            <w:hideMark/>
          </w:tcPr>
          <w:p w14:paraId="62CF708D"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28"/>
                <w:szCs w:val="28"/>
              </w:rPr>
            </w:pPr>
            <w:r w:rsidRPr="008917CB">
              <w:rPr>
                <w:rFonts w:ascii="STKaiti" w:eastAsia="STKaiti" w:hAnsi="STKaiti" w:cs="Calibri" w:hint="eastAsia"/>
                <w:b/>
                <w:bCs/>
                <w:color w:val="002060"/>
                <w:sz w:val="28"/>
                <w:szCs w:val="28"/>
              </w:rPr>
              <w:t>无线电通信部门</w:t>
            </w:r>
            <w:r w:rsidRPr="008917CB">
              <w:rPr>
                <w:rFonts w:eastAsia="Times New Roman" w:cs="Calibri"/>
                <w:b/>
                <w:bCs/>
                <w:color w:val="002060"/>
                <w:sz w:val="28"/>
                <w:szCs w:val="28"/>
              </w:rPr>
              <w:t>2023</w:t>
            </w:r>
            <w:r w:rsidRPr="008917CB">
              <w:rPr>
                <w:rFonts w:ascii="STKaiti" w:eastAsia="STKaiti" w:hAnsi="STKaiti" w:cs="Calibri" w:hint="eastAsia"/>
                <w:b/>
                <w:bCs/>
                <w:color w:val="002060"/>
                <w:sz w:val="28"/>
                <w:szCs w:val="28"/>
              </w:rPr>
              <w:t>年</w:t>
            </w:r>
          </w:p>
        </w:tc>
        <w:tc>
          <w:tcPr>
            <w:tcW w:w="1214" w:type="dxa"/>
            <w:tcBorders>
              <w:top w:val="nil"/>
              <w:left w:val="nil"/>
              <w:bottom w:val="nil"/>
              <w:right w:val="nil"/>
            </w:tcBorders>
            <w:shd w:val="clear" w:color="auto" w:fill="auto"/>
            <w:noWrap/>
            <w:vAlign w:val="center"/>
            <w:hideMark/>
          </w:tcPr>
          <w:p w14:paraId="4B1DACDC"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28"/>
                <w:szCs w:val="28"/>
              </w:rPr>
            </w:pPr>
          </w:p>
        </w:tc>
        <w:tc>
          <w:tcPr>
            <w:tcW w:w="1214" w:type="dxa"/>
            <w:tcBorders>
              <w:top w:val="nil"/>
              <w:left w:val="nil"/>
              <w:bottom w:val="nil"/>
              <w:right w:val="nil"/>
            </w:tcBorders>
            <w:shd w:val="clear" w:color="auto" w:fill="auto"/>
            <w:noWrap/>
            <w:vAlign w:val="center"/>
            <w:hideMark/>
          </w:tcPr>
          <w:p w14:paraId="4C7D5361"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hideMark/>
          </w:tcPr>
          <w:p w14:paraId="7EF499CF"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hideMark/>
          </w:tcPr>
          <w:p w14:paraId="08BD97C8"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hideMark/>
          </w:tcPr>
          <w:p w14:paraId="6C74979D"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20" w:type="dxa"/>
            <w:tcBorders>
              <w:top w:val="nil"/>
              <w:left w:val="nil"/>
              <w:bottom w:val="nil"/>
              <w:right w:val="nil"/>
            </w:tcBorders>
            <w:shd w:val="clear" w:color="auto" w:fill="auto"/>
            <w:noWrap/>
            <w:vAlign w:val="center"/>
            <w:hideMark/>
          </w:tcPr>
          <w:p w14:paraId="4FE95892"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hideMark/>
          </w:tcPr>
          <w:p w14:paraId="45F7C0AA"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hideMark/>
          </w:tcPr>
          <w:p w14:paraId="4CA71B9D"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center"/>
            <w:hideMark/>
          </w:tcPr>
          <w:p w14:paraId="41DB386B"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8917CB" w14:paraId="774BAF76" w14:textId="77777777" w:rsidTr="002F7131">
        <w:trPr>
          <w:trHeight w:val="405"/>
          <w:jc w:val="center"/>
        </w:trPr>
        <w:tc>
          <w:tcPr>
            <w:tcW w:w="4476" w:type="dxa"/>
            <w:gridSpan w:val="2"/>
            <w:tcBorders>
              <w:top w:val="nil"/>
              <w:left w:val="nil"/>
              <w:bottom w:val="nil"/>
              <w:right w:val="nil"/>
            </w:tcBorders>
            <w:shd w:val="clear" w:color="auto" w:fill="auto"/>
            <w:noWrap/>
            <w:vAlign w:val="center"/>
            <w:hideMark/>
          </w:tcPr>
          <w:p w14:paraId="10C0AB4A"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r w:rsidRPr="008917CB">
              <w:rPr>
                <w:rFonts w:ascii="STKaiti" w:eastAsia="STKaiti" w:hAnsi="STKaiti" w:hint="eastAsia"/>
                <w:b/>
                <w:bCs/>
                <w:color w:val="002060"/>
                <w:szCs w:val="24"/>
                <w:lang w:eastAsia="zh-CN"/>
              </w:rPr>
              <w:t>按项和类别列出的计划支出</w:t>
            </w:r>
          </w:p>
        </w:tc>
        <w:tc>
          <w:tcPr>
            <w:tcW w:w="1214" w:type="dxa"/>
            <w:tcBorders>
              <w:top w:val="nil"/>
              <w:left w:val="nil"/>
              <w:bottom w:val="nil"/>
              <w:right w:val="nil"/>
            </w:tcBorders>
            <w:shd w:val="clear" w:color="auto" w:fill="auto"/>
            <w:noWrap/>
            <w:vAlign w:val="center"/>
            <w:hideMark/>
          </w:tcPr>
          <w:p w14:paraId="4A77E217"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p>
        </w:tc>
        <w:tc>
          <w:tcPr>
            <w:tcW w:w="1214" w:type="dxa"/>
            <w:tcBorders>
              <w:top w:val="nil"/>
              <w:left w:val="nil"/>
              <w:bottom w:val="nil"/>
              <w:right w:val="nil"/>
            </w:tcBorders>
            <w:shd w:val="clear" w:color="auto" w:fill="auto"/>
            <w:noWrap/>
            <w:vAlign w:val="center"/>
            <w:hideMark/>
          </w:tcPr>
          <w:p w14:paraId="74296CA3"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14" w:type="dxa"/>
            <w:tcBorders>
              <w:top w:val="nil"/>
              <w:left w:val="nil"/>
              <w:bottom w:val="nil"/>
              <w:right w:val="nil"/>
            </w:tcBorders>
            <w:shd w:val="clear" w:color="auto" w:fill="auto"/>
            <w:noWrap/>
            <w:vAlign w:val="center"/>
            <w:hideMark/>
          </w:tcPr>
          <w:p w14:paraId="743992B6"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14" w:type="dxa"/>
            <w:tcBorders>
              <w:top w:val="nil"/>
              <w:left w:val="nil"/>
              <w:bottom w:val="nil"/>
              <w:right w:val="nil"/>
            </w:tcBorders>
            <w:shd w:val="clear" w:color="auto" w:fill="auto"/>
            <w:noWrap/>
            <w:vAlign w:val="center"/>
            <w:hideMark/>
          </w:tcPr>
          <w:p w14:paraId="5FBE46BA"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14" w:type="dxa"/>
            <w:tcBorders>
              <w:top w:val="nil"/>
              <w:left w:val="nil"/>
              <w:bottom w:val="nil"/>
              <w:right w:val="nil"/>
            </w:tcBorders>
            <w:shd w:val="clear" w:color="auto" w:fill="auto"/>
            <w:noWrap/>
            <w:vAlign w:val="center"/>
            <w:hideMark/>
          </w:tcPr>
          <w:p w14:paraId="21AC3C17"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20" w:type="dxa"/>
            <w:tcBorders>
              <w:top w:val="nil"/>
              <w:left w:val="nil"/>
              <w:bottom w:val="nil"/>
              <w:right w:val="nil"/>
            </w:tcBorders>
            <w:shd w:val="clear" w:color="auto" w:fill="auto"/>
            <w:noWrap/>
            <w:vAlign w:val="center"/>
            <w:hideMark/>
          </w:tcPr>
          <w:p w14:paraId="678A151F"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14" w:type="dxa"/>
            <w:tcBorders>
              <w:top w:val="nil"/>
              <w:left w:val="nil"/>
              <w:bottom w:val="nil"/>
              <w:right w:val="nil"/>
            </w:tcBorders>
            <w:shd w:val="clear" w:color="auto" w:fill="auto"/>
            <w:noWrap/>
            <w:vAlign w:val="center"/>
            <w:hideMark/>
          </w:tcPr>
          <w:p w14:paraId="37592D24"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14" w:type="dxa"/>
            <w:tcBorders>
              <w:top w:val="nil"/>
              <w:left w:val="nil"/>
              <w:bottom w:val="nil"/>
              <w:right w:val="nil"/>
            </w:tcBorders>
            <w:shd w:val="clear" w:color="auto" w:fill="auto"/>
            <w:noWrap/>
            <w:vAlign w:val="center"/>
            <w:hideMark/>
          </w:tcPr>
          <w:p w14:paraId="7325809D"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32" w:type="dxa"/>
            <w:tcBorders>
              <w:top w:val="nil"/>
              <w:left w:val="nil"/>
              <w:bottom w:val="nil"/>
              <w:right w:val="nil"/>
            </w:tcBorders>
            <w:shd w:val="clear" w:color="auto" w:fill="auto"/>
            <w:noWrap/>
            <w:vAlign w:val="center"/>
            <w:hideMark/>
          </w:tcPr>
          <w:p w14:paraId="00C3EC44"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5C437E" w:rsidRPr="008917CB" w14:paraId="103FE1F3" w14:textId="77777777" w:rsidTr="002F7131">
        <w:trPr>
          <w:trHeight w:val="195"/>
          <w:jc w:val="center"/>
        </w:trPr>
        <w:tc>
          <w:tcPr>
            <w:tcW w:w="3261" w:type="dxa"/>
            <w:tcBorders>
              <w:top w:val="nil"/>
              <w:left w:val="nil"/>
              <w:bottom w:val="nil"/>
              <w:right w:val="nil"/>
            </w:tcBorders>
            <w:shd w:val="clear" w:color="auto" w:fill="auto"/>
            <w:noWrap/>
            <w:vAlign w:val="center"/>
            <w:hideMark/>
          </w:tcPr>
          <w:p w14:paraId="2D973C01"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365" w:type="dxa"/>
            <w:gridSpan w:val="10"/>
            <w:tcBorders>
              <w:top w:val="nil"/>
              <w:left w:val="nil"/>
              <w:bottom w:val="nil"/>
              <w:right w:val="nil"/>
            </w:tcBorders>
            <w:shd w:val="clear" w:color="auto" w:fill="auto"/>
            <w:noWrap/>
            <w:vAlign w:val="center"/>
            <w:hideMark/>
          </w:tcPr>
          <w:p w14:paraId="1DE5B43A"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8917CB">
              <w:rPr>
                <w:rFonts w:ascii="STKaiti" w:eastAsia="STKaiti" w:hAnsi="STKaiti" w:hint="eastAsia"/>
                <w:color w:val="002060"/>
                <w:sz w:val="18"/>
                <w:szCs w:val="18"/>
              </w:rPr>
              <w:t>单位：千瑞郎</w:t>
            </w:r>
          </w:p>
        </w:tc>
      </w:tr>
      <w:tr w:rsidR="005C437E" w:rsidRPr="008917CB" w14:paraId="4C948F15" w14:textId="77777777" w:rsidTr="002F7131">
        <w:trPr>
          <w:trHeight w:val="20"/>
          <w:jc w:val="center"/>
        </w:trPr>
        <w:tc>
          <w:tcPr>
            <w:tcW w:w="10546" w:type="dxa"/>
            <w:gridSpan w:val="7"/>
            <w:tcBorders>
              <w:top w:val="nil"/>
              <w:left w:val="nil"/>
              <w:bottom w:val="nil"/>
              <w:right w:val="nil"/>
            </w:tcBorders>
            <w:shd w:val="clear" w:color="auto" w:fill="auto"/>
            <w:noWrap/>
            <w:vAlign w:val="center"/>
            <w:hideMark/>
          </w:tcPr>
          <w:p w14:paraId="7DCBE8B0"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917CB">
              <w:rPr>
                <w:rFonts w:eastAsia="Times New Roman" w:cs="Calibri"/>
                <w:sz w:val="20"/>
              </w:rPr>
              <w:t xml:space="preserve"> </w:t>
            </w:r>
          </w:p>
        </w:tc>
        <w:tc>
          <w:tcPr>
            <w:tcW w:w="3848" w:type="dxa"/>
            <w:gridSpan w:val="3"/>
            <w:tcBorders>
              <w:top w:val="nil"/>
              <w:left w:val="nil"/>
              <w:bottom w:val="nil"/>
              <w:right w:val="nil"/>
            </w:tcBorders>
            <w:shd w:val="clear" w:color="auto" w:fill="auto"/>
            <w:noWrap/>
            <w:vAlign w:val="center"/>
            <w:hideMark/>
          </w:tcPr>
          <w:p w14:paraId="12AA97BC" w14:textId="7B254D98" w:rsidR="005C437E" w:rsidRPr="008917CB" w:rsidRDefault="00184879"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r w:rsidRPr="00562D3C">
              <w:rPr>
                <w:rFonts w:ascii="Helv" w:eastAsia="Times New Roman" w:hAnsi="Helv"/>
                <w:noProof/>
                <w:sz w:val="20"/>
              </w:rPr>
              <mc:AlternateContent>
                <mc:Choice Requires="wps">
                  <w:drawing>
                    <wp:anchor distT="0" distB="0" distL="114300" distR="114300" simplePos="0" relativeHeight="251689984" behindDoc="0" locked="0" layoutInCell="1" allowOverlap="1" wp14:anchorId="51CB4417" wp14:editId="716C75DD">
                      <wp:simplePos x="0" y="0"/>
                      <wp:positionH relativeFrom="column">
                        <wp:posOffset>1175385</wp:posOffset>
                      </wp:positionH>
                      <wp:positionV relativeFrom="paragraph">
                        <wp:posOffset>-894080</wp:posOffset>
                      </wp:positionV>
                      <wp:extent cx="45085" cy="2192020"/>
                      <wp:effectExtent l="0" t="6667" r="24447" b="24448"/>
                      <wp:wrapNone/>
                      <wp:docPr id="108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5085" cy="2192020"/>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3679D21" id="AutoShape 15" o:spid="_x0000_s1026" type="#_x0000_t85" style="position:absolute;margin-left:92.55pt;margin-top:-70.4pt;width:3.55pt;height:172.6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" adj="507" strokecolor="#0070c0" strokeweight="1pt"/>
                  </w:pict>
                </mc:Fallback>
              </mc:AlternateContent>
            </w:r>
            <w:r w:rsidR="005C437E" w:rsidRPr="008917CB">
              <w:rPr>
                <w:rFonts w:ascii="STKaiti" w:eastAsia="STKaiti" w:hAnsi="STKaiti" w:hint="eastAsia"/>
                <w:b/>
                <w:bCs/>
                <w:color w:val="002060"/>
                <w:sz w:val="20"/>
              </w:rPr>
              <w:t>无线电通信局</w:t>
            </w:r>
          </w:p>
        </w:tc>
        <w:tc>
          <w:tcPr>
            <w:tcW w:w="1232" w:type="dxa"/>
            <w:tcBorders>
              <w:top w:val="nil"/>
              <w:left w:val="nil"/>
              <w:bottom w:val="nil"/>
              <w:right w:val="nil"/>
            </w:tcBorders>
            <w:shd w:val="clear" w:color="auto" w:fill="auto"/>
            <w:noWrap/>
            <w:vAlign w:val="center"/>
            <w:hideMark/>
          </w:tcPr>
          <w:p w14:paraId="358BBB13"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p>
        </w:tc>
      </w:tr>
      <w:tr w:rsidR="005C437E" w:rsidRPr="008917CB" w14:paraId="2DF1F948" w14:textId="77777777" w:rsidTr="002F7131">
        <w:trPr>
          <w:trHeight w:val="20"/>
          <w:jc w:val="center"/>
        </w:trPr>
        <w:tc>
          <w:tcPr>
            <w:tcW w:w="3261" w:type="dxa"/>
            <w:tcBorders>
              <w:top w:val="nil"/>
              <w:left w:val="nil"/>
              <w:bottom w:val="nil"/>
              <w:right w:val="nil"/>
            </w:tcBorders>
            <w:shd w:val="clear" w:color="auto" w:fill="auto"/>
            <w:noWrap/>
            <w:vAlign w:val="center"/>
            <w:hideMark/>
          </w:tcPr>
          <w:p w14:paraId="7A4207E5"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5" w:type="dxa"/>
            <w:tcBorders>
              <w:top w:val="nil"/>
              <w:left w:val="nil"/>
              <w:bottom w:val="nil"/>
              <w:right w:val="nil"/>
            </w:tcBorders>
            <w:shd w:val="clear" w:color="auto" w:fill="auto"/>
            <w:noWrap/>
            <w:vAlign w:val="center"/>
            <w:hideMark/>
          </w:tcPr>
          <w:p w14:paraId="5235D247"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hideMark/>
          </w:tcPr>
          <w:p w14:paraId="75D0D1D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hideMark/>
          </w:tcPr>
          <w:p w14:paraId="670E51E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hideMark/>
          </w:tcPr>
          <w:p w14:paraId="2B6A265A"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hideMark/>
          </w:tcPr>
          <w:p w14:paraId="224E0D15"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hideMark/>
          </w:tcPr>
          <w:p w14:paraId="2758B5EC"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420" w:type="dxa"/>
            <w:tcBorders>
              <w:top w:val="nil"/>
              <w:left w:val="nil"/>
              <w:bottom w:val="nil"/>
              <w:right w:val="nil"/>
            </w:tcBorders>
            <w:shd w:val="clear" w:color="auto" w:fill="auto"/>
            <w:noWrap/>
            <w:vAlign w:val="bottom"/>
            <w:hideMark/>
          </w:tcPr>
          <w:p w14:paraId="1147E9AA"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tc>
        <w:tc>
          <w:tcPr>
            <w:tcW w:w="1214" w:type="dxa"/>
            <w:tcBorders>
              <w:top w:val="nil"/>
              <w:left w:val="nil"/>
              <w:bottom w:val="nil"/>
              <w:right w:val="nil"/>
            </w:tcBorders>
            <w:shd w:val="clear" w:color="auto" w:fill="auto"/>
            <w:noWrap/>
            <w:vAlign w:val="center"/>
            <w:hideMark/>
          </w:tcPr>
          <w:p w14:paraId="0EDBEAD0" w14:textId="20551578"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hideMark/>
          </w:tcPr>
          <w:p w14:paraId="25CBEF0D"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center"/>
            <w:hideMark/>
          </w:tcPr>
          <w:p w14:paraId="1B9E9620"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8917CB" w14:paraId="608DE985" w14:textId="77777777" w:rsidTr="002F7131">
        <w:trPr>
          <w:trHeight w:val="20"/>
          <w:jc w:val="center"/>
        </w:trPr>
        <w:tc>
          <w:tcPr>
            <w:tcW w:w="3261" w:type="dxa"/>
            <w:tcBorders>
              <w:top w:val="nil"/>
              <w:left w:val="nil"/>
              <w:bottom w:val="nil"/>
              <w:right w:val="nil"/>
            </w:tcBorders>
            <w:shd w:val="clear" w:color="auto" w:fill="auto"/>
            <w:noWrap/>
            <w:vAlign w:val="center"/>
            <w:hideMark/>
          </w:tcPr>
          <w:p w14:paraId="36F506B7"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15" w:type="dxa"/>
            <w:tcBorders>
              <w:top w:val="nil"/>
              <w:left w:val="single" w:sz="4" w:space="0" w:color="0070C0"/>
              <w:bottom w:val="nil"/>
              <w:right w:val="nil"/>
            </w:tcBorders>
            <w:shd w:val="clear" w:color="auto" w:fill="auto"/>
            <w:hideMark/>
          </w:tcPr>
          <w:p w14:paraId="710F5FDD"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大会和</w:t>
            </w:r>
            <w:r w:rsidRPr="00100C74">
              <w:rPr>
                <w:rFonts w:ascii="SimSun" w:hAnsi="SimSun"/>
                <w:sz w:val="20"/>
              </w:rPr>
              <w:br/>
            </w:r>
            <w:r w:rsidRPr="00100C74">
              <w:rPr>
                <w:rFonts w:ascii="SimSun" w:hAnsi="SimSun" w:hint="eastAsia"/>
                <w:sz w:val="20"/>
              </w:rPr>
              <w:t>全会</w:t>
            </w:r>
          </w:p>
        </w:tc>
        <w:tc>
          <w:tcPr>
            <w:tcW w:w="1214" w:type="dxa"/>
            <w:tcBorders>
              <w:top w:val="nil"/>
              <w:left w:val="nil"/>
              <w:bottom w:val="nil"/>
              <w:right w:val="nil"/>
            </w:tcBorders>
            <w:shd w:val="clear" w:color="auto" w:fill="auto"/>
            <w:hideMark/>
          </w:tcPr>
          <w:p w14:paraId="75DD82C4"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无线电规则委员会</w:t>
            </w:r>
          </w:p>
        </w:tc>
        <w:tc>
          <w:tcPr>
            <w:tcW w:w="1214" w:type="dxa"/>
            <w:tcBorders>
              <w:top w:val="nil"/>
              <w:left w:val="nil"/>
              <w:bottom w:val="nil"/>
              <w:right w:val="nil"/>
            </w:tcBorders>
            <w:shd w:val="clear" w:color="auto" w:fill="auto"/>
            <w:hideMark/>
          </w:tcPr>
          <w:p w14:paraId="4DEE7F2E"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无线电通信顾问组</w:t>
            </w:r>
          </w:p>
        </w:tc>
        <w:tc>
          <w:tcPr>
            <w:tcW w:w="1214" w:type="dxa"/>
            <w:tcBorders>
              <w:top w:val="nil"/>
              <w:left w:val="nil"/>
              <w:bottom w:val="nil"/>
              <w:right w:val="nil"/>
            </w:tcBorders>
            <w:shd w:val="clear" w:color="auto" w:fill="auto"/>
            <w:hideMark/>
          </w:tcPr>
          <w:p w14:paraId="5191E9CB"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研究组</w:t>
            </w:r>
            <w:r>
              <w:rPr>
                <w:rFonts w:ascii="SimSun" w:hAnsi="SimSun"/>
                <w:sz w:val="20"/>
              </w:rPr>
              <w:br/>
            </w:r>
            <w:r w:rsidRPr="00100C74">
              <w:rPr>
                <w:rFonts w:ascii="SimSun" w:hAnsi="SimSun" w:hint="eastAsia"/>
                <w:sz w:val="20"/>
              </w:rPr>
              <w:t>会议</w:t>
            </w:r>
          </w:p>
        </w:tc>
        <w:tc>
          <w:tcPr>
            <w:tcW w:w="1214" w:type="dxa"/>
            <w:tcBorders>
              <w:top w:val="nil"/>
              <w:left w:val="nil"/>
              <w:bottom w:val="nil"/>
              <w:right w:val="nil"/>
            </w:tcBorders>
            <w:shd w:val="clear" w:color="auto" w:fill="auto"/>
            <w:noWrap/>
            <w:hideMark/>
          </w:tcPr>
          <w:p w14:paraId="65C2E1AB"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活动和</w:t>
            </w:r>
            <w:r w:rsidRPr="00100C74">
              <w:rPr>
                <w:rFonts w:ascii="SimSun" w:hAnsi="SimSun"/>
                <w:sz w:val="20"/>
              </w:rPr>
              <w:br/>
            </w:r>
            <w:r w:rsidRPr="00100C74">
              <w:rPr>
                <w:rFonts w:ascii="SimSun" w:hAnsi="SimSun" w:hint="eastAsia"/>
                <w:sz w:val="20"/>
              </w:rPr>
              <w:t>项目</w:t>
            </w:r>
          </w:p>
        </w:tc>
        <w:tc>
          <w:tcPr>
            <w:tcW w:w="1214" w:type="dxa"/>
            <w:tcBorders>
              <w:top w:val="nil"/>
              <w:left w:val="nil"/>
              <w:bottom w:val="nil"/>
              <w:right w:val="nil"/>
            </w:tcBorders>
            <w:shd w:val="clear" w:color="auto" w:fill="auto"/>
            <w:hideMark/>
          </w:tcPr>
          <w:p w14:paraId="00583D8F"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研讨会和讲习班</w:t>
            </w:r>
          </w:p>
        </w:tc>
        <w:tc>
          <w:tcPr>
            <w:tcW w:w="1420" w:type="dxa"/>
            <w:tcBorders>
              <w:top w:val="nil"/>
              <w:left w:val="nil"/>
              <w:bottom w:val="nil"/>
              <w:right w:val="nil"/>
            </w:tcBorders>
            <w:shd w:val="clear" w:color="auto" w:fill="auto"/>
            <w:noWrap/>
            <w:hideMark/>
          </w:tcPr>
          <w:p w14:paraId="543E41A8"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共同支出</w:t>
            </w:r>
          </w:p>
        </w:tc>
        <w:tc>
          <w:tcPr>
            <w:tcW w:w="1214" w:type="dxa"/>
            <w:tcBorders>
              <w:top w:val="nil"/>
              <w:left w:val="nil"/>
              <w:bottom w:val="nil"/>
              <w:right w:val="nil"/>
            </w:tcBorders>
            <w:shd w:val="clear" w:color="auto" w:fill="auto"/>
            <w:noWrap/>
            <w:hideMark/>
          </w:tcPr>
          <w:p w14:paraId="7369B866"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主任</w:t>
            </w:r>
            <w:r w:rsidRPr="00100C74">
              <w:rPr>
                <w:rFonts w:ascii="SimSun" w:hAnsi="SimSun"/>
                <w:sz w:val="20"/>
              </w:rPr>
              <w:br/>
            </w:r>
            <w:r w:rsidRPr="00100C74">
              <w:rPr>
                <w:rFonts w:ascii="SimSun" w:hAnsi="SimSun" w:hint="eastAsia"/>
                <w:sz w:val="20"/>
              </w:rPr>
              <w:t>办公室</w:t>
            </w:r>
          </w:p>
        </w:tc>
        <w:tc>
          <w:tcPr>
            <w:tcW w:w="1214" w:type="dxa"/>
            <w:tcBorders>
              <w:top w:val="nil"/>
              <w:left w:val="nil"/>
              <w:bottom w:val="nil"/>
              <w:right w:val="nil"/>
            </w:tcBorders>
            <w:shd w:val="clear" w:color="auto" w:fill="auto"/>
            <w:hideMark/>
          </w:tcPr>
          <w:p w14:paraId="39D41EA3"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各部</w:t>
            </w:r>
          </w:p>
        </w:tc>
        <w:tc>
          <w:tcPr>
            <w:tcW w:w="1232" w:type="dxa"/>
            <w:tcBorders>
              <w:top w:val="nil"/>
              <w:left w:val="nil"/>
              <w:bottom w:val="nil"/>
              <w:right w:val="nil"/>
            </w:tcBorders>
            <w:shd w:val="clear" w:color="auto" w:fill="auto"/>
            <w:noWrap/>
            <w:vAlign w:val="center"/>
            <w:hideMark/>
          </w:tcPr>
          <w:p w14:paraId="19A8172D" w14:textId="77777777" w:rsidR="005C437E" w:rsidRPr="00777B6E"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heme="minorEastAsia" w:eastAsiaTheme="minorEastAsia" w:hAnsiTheme="minorEastAsia" w:cs="Calibri"/>
                <w:b/>
                <w:bCs/>
                <w:color w:val="002060"/>
                <w:sz w:val="20"/>
              </w:rPr>
            </w:pPr>
            <w:r w:rsidRPr="00777B6E">
              <w:rPr>
                <w:rFonts w:asciiTheme="minorEastAsia" w:eastAsiaTheme="minorEastAsia" w:hAnsiTheme="minorEastAsia" w:cs="Microsoft YaHei"/>
                <w:b/>
                <w:bCs/>
                <w:color w:val="002060"/>
                <w:sz w:val="20"/>
              </w:rPr>
              <w:t>合计</w:t>
            </w:r>
          </w:p>
        </w:tc>
      </w:tr>
      <w:tr w:rsidR="005C437E" w:rsidRPr="008917CB" w14:paraId="72CEE63E" w14:textId="77777777" w:rsidTr="002F7131">
        <w:trPr>
          <w:trHeight w:val="20"/>
          <w:jc w:val="center"/>
        </w:trPr>
        <w:tc>
          <w:tcPr>
            <w:tcW w:w="3261" w:type="dxa"/>
            <w:tcBorders>
              <w:top w:val="nil"/>
              <w:left w:val="nil"/>
              <w:bottom w:val="single" w:sz="4" w:space="0" w:color="auto"/>
              <w:right w:val="nil"/>
            </w:tcBorders>
            <w:shd w:val="clear" w:color="auto" w:fill="auto"/>
            <w:noWrap/>
            <w:vAlign w:val="center"/>
            <w:hideMark/>
          </w:tcPr>
          <w:p w14:paraId="3F447ACB"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sz w:val="20"/>
              </w:rPr>
            </w:pPr>
            <w:r w:rsidRPr="008917CB">
              <w:rPr>
                <w:rFonts w:eastAsia="Times New Roman" w:cs="Calibri"/>
                <w:b/>
                <w:bCs/>
                <w:i/>
                <w:iCs/>
                <w:sz w:val="20"/>
              </w:rPr>
              <w:t> </w:t>
            </w:r>
          </w:p>
        </w:tc>
        <w:tc>
          <w:tcPr>
            <w:tcW w:w="1215" w:type="dxa"/>
            <w:tcBorders>
              <w:top w:val="nil"/>
              <w:left w:val="single" w:sz="4" w:space="0" w:color="0070C0"/>
              <w:bottom w:val="single" w:sz="4" w:space="0" w:color="auto"/>
              <w:right w:val="nil"/>
            </w:tcBorders>
            <w:shd w:val="clear" w:color="auto" w:fill="auto"/>
            <w:vAlign w:val="center"/>
            <w:hideMark/>
          </w:tcPr>
          <w:p w14:paraId="412791AB"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917CB">
              <w:rPr>
                <w:rFonts w:eastAsia="Times New Roman" w:cs="Calibri"/>
                <w:sz w:val="20"/>
              </w:rPr>
              <w:t> </w:t>
            </w:r>
          </w:p>
        </w:tc>
        <w:tc>
          <w:tcPr>
            <w:tcW w:w="1214" w:type="dxa"/>
            <w:tcBorders>
              <w:top w:val="nil"/>
              <w:left w:val="nil"/>
              <w:bottom w:val="single" w:sz="4" w:space="0" w:color="auto"/>
              <w:right w:val="nil"/>
            </w:tcBorders>
            <w:shd w:val="clear" w:color="auto" w:fill="auto"/>
            <w:vAlign w:val="center"/>
            <w:hideMark/>
          </w:tcPr>
          <w:p w14:paraId="260C116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917CB">
              <w:rPr>
                <w:rFonts w:eastAsia="Times New Roman" w:cs="Calibri"/>
                <w:sz w:val="20"/>
              </w:rPr>
              <w:t> </w:t>
            </w:r>
          </w:p>
        </w:tc>
        <w:tc>
          <w:tcPr>
            <w:tcW w:w="1214" w:type="dxa"/>
            <w:tcBorders>
              <w:top w:val="nil"/>
              <w:left w:val="nil"/>
              <w:bottom w:val="single" w:sz="4" w:space="0" w:color="auto"/>
              <w:right w:val="nil"/>
            </w:tcBorders>
            <w:shd w:val="clear" w:color="auto" w:fill="auto"/>
            <w:noWrap/>
            <w:vAlign w:val="center"/>
            <w:hideMark/>
          </w:tcPr>
          <w:p w14:paraId="3803A249"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917CB">
              <w:rPr>
                <w:rFonts w:eastAsia="Times New Roman" w:cs="Calibri"/>
                <w:sz w:val="20"/>
              </w:rPr>
              <w:t> </w:t>
            </w:r>
          </w:p>
        </w:tc>
        <w:tc>
          <w:tcPr>
            <w:tcW w:w="1214" w:type="dxa"/>
            <w:tcBorders>
              <w:top w:val="nil"/>
              <w:left w:val="nil"/>
              <w:bottom w:val="single" w:sz="4" w:space="0" w:color="auto"/>
              <w:right w:val="nil"/>
            </w:tcBorders>
            <w:shd w:val="clear" w:color="auto" w:fill="auto"/>
            <w:noWrap/>
            <w:vAlign w:val="center"/>
            <w:hideMark/>
          </w:tcPr>
          <w:p w14:paraId="7E75A18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917CB">
              <w:rPr>
                <w:rFonts w:eastAsia="Times New Roman" w:cs="Calibri"/>
                <w:sz w:val="20"/>
              </w:rPr>
              <w:t> </w:t>
            </w:r>
          </w:p>
        </w:tc>
        <w:tc>
          <w:tcPr>
            <w:tcW w:w="1214" w:type="dxa"/>
            <w:tcBorders>
              <w:top w:val="nil"/>
              <w:left w:val="nil"/>
              <w:bottom w:val="single" w:sz="4" w:space="0" w:color="auto"/>
              <w:right w:val="nil"/>
            </w:tcBorders>
            <w:shd w:val="clear" w:color="auto" w:fill="auto"/>
            <w:noWrap/>
            <w:vAlign w:val="center"/>
            <w:hideMark/>
          </w:tcPr>
          <w:p w14:paraId="01C1F403"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917CB">
              <w:rPr>
                <w:rFonts w:eastAsia="Times New Roman" w:cs="Calibri"/>
                <w:sz w:val="20"/>
              </w:rPr>
              <w:t> </w:t>
            </w:r>
          </w:p>
        </w:tc>
        <w:tc>
          <w:tcPr>
            <w:tcW w:w="1214" w:type="dxa"/>
            <w:tcBorders>
              <w:top w:val="nil"/>
              <w:left w:val="nil"/>
              <w:bottom w:val="single" w:sz="4" w:space="0" w:color="auto"/>
              <w:right w:val="nil"/>
            </w:tcBorders>
            <w:shd w:val="clear" w:color="auto" w:fill="auto"/>
            <w:noWrap/>
            <w:vAlign w:val="center"/>
            <w:hideMark/>
          </w:tcPr>
          <w:p w14:paraId="08BACD44"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917CB">
              <w:rPr>
                <w:rFonts w:eastAsia="Times New Roman" w:cs="Calibri"/>
                <w:sz w:val="20"/>
              </w:rPr>
              <w:t> </w:t>
            </w:r>
          </w:p>
        </w:tc>
        <w:tc>
          <w:tcPr>
            <w:tcW w:w="1420" w:type="dxa"/>
            <w:tcBorders>
              <w:top w:val="nil"/>
              <w:left w:val="nil"/>
              <w:bottom w:val="single" w:sz="4" w:space="0" w:color="auto"/>
              <w:right w:val="nil"/>
            </w:tcBorders>
            <w:shd w:val="clear" w:color="auto" w:fill="auto"/>
            <w:noWrap/>
            <w:vAlign w:val="center"/>
            <w:hideMark/>
          </w:tcPr>
          <w:p w14:paraId="016169B3"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917CB">
              <w:rPr>
                <w:rFonts w:eastAsia="Times New Roman" w:cs="Calibri"/>
                <w:sz w:val="20"/>
              </w:rPr>
              <w:t> </w:t>
            </w:r>
          </w:p>
        </w:tc>
        <w:tc>
          <w:tcPr>
            <w:tcW w:w="1214" w:type="dxa"/>
            <w:tcBorders>
              <w:top w:val="nil"/>
              <w:left w:val="nil"/>
              <w:bottom w:val="single" w:sz="4" w:space="0" w:color="auto"/>
              <w:right w:val="nil"/>
            </w:tcBorders>
            <w:shd w:val="clear" w:color="auto" w:fill="auto"/>
            <w:noWrap/>
            <w:vAlign w:val="center"/>
            <w:hideMark/>
          </w:tcPr>
          <w:p w14:paraId="1120A0C8"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917CB">
              <w:rPr>
                <w:rFonts w:eastAsia="Times New Roman" w:cs="Calibri"/>
                <w:sz w:val="20"/>
              </w:rPr>
              <w:t> </w:t>
            </w:r>
          </w:p>
        </w:tc>
        <w:tc>
          <w:tcPr>
            <w:tcW w:w="1214" w:type="dxa"/>
            <w:tcBorders>
              <w:top w:val="nil"/>
              <w:left w:val="nil"/>
              <w:bottom w:val="single" w:sz="4" w:space="0" w:color="auto"/>
              <w:right w:val="nil"/>
            </w:tcBorders>
            <w:shd w:val="clear" w:color="auto" w:fill="auto"/>
            <w:noWrap/>
            <w:vAlign w:val="center"/>
            <w:hideMark/>
          </w:tcPr>
          <w:p w14:paraId="2BC4DC0C"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917CB">
              <w:rPr>
                <w:rFonts w:eastAsia="Times New Roman" w:cs="Calibri"/>
                <w:sz w:val="20"/>
              </w:rPr>
              <w:t> </w:t>
            </w:r>
          </w:p>
        </w:tc>
        <w:tc>
          <w:tcPr>
            <w:tcW w:w="1232" w:type="dxa"/>
            <w:tcBorders>
              <w:top w:val="nil"/>
              <w:left w:val="nil"/>
              <w:bottom w:val="single" w:sz="4" w:space="0" w:color="auto"/>
              <w:right w:val="nil"/>
            </w:tcBorders>
            <w:shd w:val="clear" w:color="auto" w:fill="auto"/>
            <w:noWrap/>
            <w:vAlign w:val="center"/>
            <w:hideMark/>
          </w:tcPr>
          <w:p w14:paraId="3A3A8A0D"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8917CB">
              <w:rPr>
                <w:rFonts w:eastAsia="Times New Roman" w:cs="Calibri"/>
                <w:b/>
                <w:bCs/>
                <w:color w:val="002060"/>
                <w:sz w:val="20"/>
              </w:rPr>
              <w:t> </w:t>
            </w:r>
          </w:p>
        </w:tc>
      </w:tr>
      <w:tr w:rsidR="005C437E" w:rsidRPr="008917CB" w14:paraId="2E33F33B" w14:textId="77777777" w:rsidTr="002F7131">
        <w:trPr>
          <w:trHeight w:val="20"/>
          <w:jc w:val="center"/>
        </w:trPr>
        <w:tc>
          <w:tcPr>
            <w:tcW w:w="3261" w:type="dxa"/>
            <w:tcBorders>
              <w:top w:val="nil"/>
              <w:left w:val="nil"/>
              <w:bottom w:val="nil"/>
              <w:right w:val="nil"/>
            </w:tcBorders>
            <w:shd w:val="clear" w:color="auto" w:fill="auto"/>
            <w:noWrap/>
            <w:vAlign w:val="center"/>
            <w:hideMark/>
          </w:tcPr>
          <w:p w14:paraId="0663CA58"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p>
        </w:tc>
        <w:tc>
          <w:tcPr>
            <w:tcW w:w="1215" w:type="dxa"/>
            <w:tcBorders>
              <w:top w:val="nil"/>
              <w:left w:val="single" w:sz="4" w:space="0" w:color="0070C0"/>
              <w:bottom w:val="nil"/>
              <w:right w:val="nil"/>
            </w:tcBorders>
            <w:shd w:val="clear" w:color="auto" w:fill="auto"/>
            <w:noWrap/>
            <w:vAlign w:val="center"/>
            <w:hideMark/>
          </w:tcPr>
          <w:p w14:paraId="3D564226"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 </w:t>
            </w:r>
          </w:p>
        </w:tc>
        <w:tc>
          <w:tcPr>
            <w:tcW w:w="1214" w:type="dxa"/>
            <w:tcBorders>
              <w:top w:val="nil"/>
              <w:left w:val="nil"/>
              <w:bottom w:val="nil"/>
              <w:right w:val="nil"/>
            </w:tcBorders>
            <w:shd w:val="clear" w:color="auto" w:fill="auto"/>
            <w:noWrap/>
            <w:vAlign w:val="center"/>
            <w:hideMark/>
          </w:tcPr>
          <w:p w14:paraId="31347DC7"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center"/>
            <w:hideMark/>
          </w:tcPr>
          <w:p w14:paraId="45CA0A3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hideMark/>
          </w:tcPr>
          <w:p w14:paraId="72F5DDE7"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hideMark/>
          </w:tcPr>
          <w:p w14:paraId="5D4EDA88"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hideMark/>
          </w:tcPr>
          <w:p w14:paraId="352277BC"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20" w:type="dxa"/>
            <w:tcBorders>
              <w:top w:val="nil"/>
              <w:left w:val="nil"/>
              <w:bottom w:val="nil"/>
              <w:right w:val="nil"/>
            </w:tcBorders>
            <w:shd w:val="clear" w:color="auto" w:fill="auto"/>
            <w:noWrap/>
            <w:vAlign w:val="center"/>
            <w:hideMark/>
          </w:tcPr>
          <w:p w14:paraId="06584975"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hideMark/>
          </w:tcPr>
          <w:p w14:paraId="0406BF09"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hideMark/>
          </w:tcPr>
          <w:p w14:paraId="11DB7239"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center"/>
            <w:hideMark/>
          </w:tcPr>
          <w:p w14:paraId="2AB99FCB"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r w:rsidRPr="008917CB">
              <w:rPr>
                <w:rFonts w:ascii="Helv" w:eastAsia="Times New Roman" w:hAnsi="Helv"/>
                <w:noProof/>
                <w:sz w:val="20"/>
              </w:rPr>
              <mc:AlternateContent>
                <mc:Choice Requires="wps">
                  <w:drawing>
                    <wp:anchor distT="0" distB="0" distL="114300" distR="114300" simplePos="0" relativeHeight="251688960" behindDoc="0" locked="0" layoutInCell="1" allowOverlap="1" wp14:anchorId="6056985F" wp14:editId="75205158">
                      <wp:simplePos x="0" y="0"/>
                      <wp:positionH relativeFrom="column">
                        <wp:posOffset>-64770</wp:posOffset>
                      </wp:positionH>
                      <wp:positionV relativeFrom="paragraph">
                        <wp:posOffset>-715645</wp:posOffset>
                      </wp:positionV>
                      <wp:extent cx="793750" cy="4064000"/>
                      <wp:effectExtent l="0" t="0" r="25400" b="12700"/>
                      <wp:wrapNone/>
                      <wp:docPr id="1079" name="圆角矩形 1079">
                        <a:extLst xmlns:a="http://schemas.openxmlformats.org/drawingml/2006/main">
                          <a:ext uri="{FF2B5EF4-FFF2-40B4-BE49-F238E27FC236}">
                            <a16:creationId xmlns:a16="http://schemas.microsoft.com/office/drawing/2014/main" id="{BCDAA01D-A620-BB42-AEDD-FE921D33EB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406400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22DC5A12" id="圆角矩形 1079" o:spid="_x0000_s1026" style="position:absolute;margin-left:-5.1pt;margin-top:-56.35pt;width:62.5pt;height:32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" filled="f" strokecolor="#0070c0" strokeweight="1pt"/>
                  </w:pict>
                </mc:Fallback>
              </mc:AlternateContent>
            </w:r>
          </w:p>
        </w:tc>
      </w:tr>
      <w:tr w:rsidR="005C437E" w:rsidRPr="008917CB" w14:paraId="06AC1BF5" w14:textId="77777777" w:rsidTr="002F7131">
        <w:trPr>
          <w:trHeight w:val="20"/>
          <w:jc w:val="center"/>
        </w:trPr>
        <w:tc>
          <w:tcPr>
            <w:tcW w:w="3261" w:type="dxa"/>
            <w:tcBorders>
              <w:top w:val="nil"/>
              <w:left w:val="nil"/>
              <w:bottom w:val="nil"/>
              <w:right w:val="nil"/>
            </w:tcBorders>
            <w:shd w:val="clear" w:color="auto" w:fill="auto"/>
            <w:noWrap/>
            <w:vAlign w:val="bottom"/>
            <w:hideMark/>
          </w:tcPr>
          <w:p w14:paraId="1A06F906"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8917CB">
              <w:rPr>
                <w:rFonts w:cstheme="minorHAnsi"/>
                <w:sz w:val="20"/>
              </w:rPr>
              <w:t xml:space="preserve">1 - </w:t>
            </w:r>
            <w:r w:rsidRPr="008917CB">
              <w:rPr>
                <w:rFonts w:cstheme="minorHAnsi"/>
                <w:sz w:val="20"/>
              </w:rPr>
              <w:t>人员费用</w:t>
            </w:r>
          </w:p>
        </w:tc>
        <w:tc>
          <w:tcPr>
            <w:tcW w:w="1215" w:type="dxa"/>
            <w:tcBorders>
              <w:top w:val="nil"/>
              <w:left w:val="single" w:sz="4" w:space="0" w:color="0070C0"/>
              <w:bottom w:val="nil"/>
              <w:right w:val="nil"/>
            </w:tcBorders>
            <w:shd w:val="clear" w:color="auto" w:fill="auto"/>
            <w:noWrap/>
            <w:vAlign w:val="bottom"/>
            <w:hideMark/>
          </w:tcPr>
          <w:p w14:paraId="188C25D0"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2,164</w:t>
            </w:r>
          </w:p>
        </w:tc>
        <w:tc>
          <w:tcPr>
            <w:tcW w:w="1214" w:type="dxa"/>
            <w:tcBorders>
              <w:top w:val="nil"/>
              <w:left w:val="nil"/>
              <w:bottom w:val="nil"/>
              <w:right w:val="nil"/>
            </w:tcBorders>
            <w:shd w:val="clear" w:color="auto" w:fill="auto"/>
            <w:noWrap/>
            <w:vAlign w:val="bottom"/>
            <w:hideMark/>
          </w:tcPr>
          <w:p w14:paraId="53934CBE"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166</w:t>
            </w:r>
          </w:p>
        </w:tc>
        <w:tc>
          <w:tcPr>
            <w:tcW w:w="1214" w:type="dxa"/>
            <w:tcBorders>
              <w:top w:val="nil"/>
              <w:left w:val="nil"/>
              <w:bottom w:val="nil"/>
              <w:right w:val="nil"/>
            </w:tcBorders>
            <w:shd w:val="clear" w:color="auto" w:fill="auto"/>
            <w:noWrap/>
            <w:vAlign w:val="bottom"/>
            <w:hideMark/>
          </w:tcPr>
          <w:p w14:paraId="54F3E6FE"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58</w:t>
            </w:r>
          </w:p>
        </w:tc>
        <w:tc>
          <w:tcPr>
            <w:tcW w:w="1214" w:type="dxa"/>
            <w:tcBorders>
              <w:top w:val="nil"/>
              <w:left w:val="nil"/>
              <w:bottom w:val="nil"/>
              <w:right w:val="nil"/>
            </w:tcBorders>
            <w:shd w:val="clear" w:color="auto" w:fill="auto"/>
            <w:noWrap/>
            <w:vAlign w:val="bottom"/>
            <w:hideMark/>
          </w:tcPr>
          <w:p w14:paraId="2BF1938A"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822</w:t>
            </w:r>
          </w:p>
        </w:tc>
        <w:tc>
          <w:tcPr>
            <w:tcW w:w="1214" w:type="dxa"/>
            <w:tcBorders>
              <w:top w:val="nil"/>
              <w:left w:val="nil"/>
              <w:bottom w:val="nil"/>
              <w:right w:val="nil"/>
            </w:tcBorders>
            <w:shd w:val="clear" w:color="auto" w:fill="auto"/>
            <w:noWrap/>
            <w:vAlign w:val="bottom"/>
            <w:hideMark/>
          </w:tcPr>
          <w:p w14:paraId="6DB5D2D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7367A8A0"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129</w:t>
            </w:r>
          </w:p>
        </w:tc>
        <w:tc>
          <w:tcPr>
            <w:tcW w:w="1420" w:type="dxa"/>
            <w:tcBorders>
              <w:top w:val="nil"/>
              <w:left w:val="nil"/>
              <w:bottom w:val="nil"/>
              <w:right w:val="nil"/>
            </w:tcBorders>
            <w:shd w:val="clear" w:color="auto" w:fill="auto"/>
            <w:noWrap/>
            <w:vAlign w:val="bottom"/>
            <w:hideMark/>
          </w:tcPr>
          <w:p w14:paraId="6ABCE674"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6BE1D25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720</w:t>
            </w:r>
          </w:p>
        </w:tc>
        <w:tc>
          <w:tcPr>
            <w:tcW w:w="1214" w:type="dxa"/>
            <w:tcBorders>
              <w:top w:val="nil"/>
              <w:left w:val="nil"/>
              <w:bottom w:val="nil"/>
              <w:right w:val="nil"/>
            </w:tcBorders>
            <w:shd w:val="clear" w:color="auto" w:fill="auto"/>
            <w:noWrap/>
            <w:vAlign w:val="bottom"/>
            <w:hideMark/>
          </w:tcPr>
          <w:p w14:paraId="5150655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19,292</w:t>
            </w:r>
          </w:p>
        </w:tc>
        <w:tc>
          <w:tcPr>
            <w:tcW w:w="1232" w:type="dxa"/>
            <w:tcBorders>
              <w:top w:val="nil"/>
              <w:left w:val="nil"/>
              <w:bottom w:val="nil"/>
              <w:right w:val="nil"/>
            </w:tcBorders>
            <w:shd w:val="clear" w:color="auto" w:fill="auto"/>
            <w:noWrap/>
            <w:vAlign w:val="bottom"/>
            <w:hideMark/>
          </w:tcPr>
          <w:p w14:paraId="144DC5DB"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917CB">
              <w:rPr>
                <w:rFonts w:eastAsia="Times New Roman" w:cs="Calibri"/>
                <w:color w:val="002060"/>
                <w:sz w:val="20"/>
              </w:rPr>
              <w:t>23,351</w:t>
            </w:r>
          </w:p>
        </w:tc>
      </w:tr>
      <w:tr w:rsidR="005C437E" w:rsidRPr="008917CB" w14:paraId="7CEABEC1" w14:textId="77777777" w:rsidTr="002F7131">
        <w:trPr>
          <w:trHeight w:val="20"/>
          <w:jc w:val="center"/>
        </w:trPr>
        <w:tc>
          <w:tcPr>
            <w:tcW w:w="3261" w:type="dxa"/>
            <w:tcBorders>
              <w:top w:val="nil"/>
              <w:left w:val="nil"/>
              <w:bottom w:val="nil"/>
              <w:right w:val="nil"/>
            </w:tcBorders>
            <w:shd w:val="clear" w:color="auto" w:fill="auto"/>
            <w:noWrap/>
            <w:vAlign w:val="bottom"/>
            <w:hideMark/>
          </w:tcPr>
          <w:p w14:paraId="13B93EBA"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215" w:type="dxa"/>
            <w:tcBorders>
              <w:top w:val="nil"/>
              <w:left w:val="single" w:sz="4" w:space="0" w:color="0070C0"/>
              <w:bottom w:val="nil"/>
              <w:right w:val="nil"/>
            </w:tcBorders>
            <w:shd w:val="clear" w:color="auto" w:fill="auto"/>
            <w:noWrap/>
            <w:vAlign w:val="bottom"/>
            <w:hideMark/>
          </w:tcPr>
          <w:p w14:paraId="44A82C4D"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 </w:t>
            </w:r>
          </w:p>
        </w:tc>
        <w:tc>
          <w:tcPr>
            <w:tcW w:w="1214" w:type="dxa"/>
            <w:tcBorders>
              <w:top w:val="nil"/>
              <w:left w:val="nil"/>
              <w:bottom w:val="nil"/>
              <w:right w:val="nil"/>
            </w:tcBorders>
            <w:shd w:val="clear" w:color="auto" w:fill="auto"/>
            <w:noWrap/>
            <w:vAlign w:val="bottom"/>
            <w:hideMark/>
          </w:tcPr>
          <w:p w14:paraId="02B871CC"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78F2613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05879CF4"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3E9CE254"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23A3985E"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20" w:type="dxa"/>
            <w:tcBorders>
              <w:top w:val="nil"/>
              <w:left w:val="nil"/>
              <w:bottom w:val="nil"/>
              <w:right w:val="nil"/>
            </w:tcBorders>
            <w:shd w:val="clear" w:color="auto" w:fill="auto"/>
            <w:noWrap/>
            <w:vAlign w:val="bottom"/>
            <w:hideMark/>
          </w:tcPr>
          <w:p w14:paraId="56191E8C"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1CB5B6E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02359D4D"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bottom"/>
            <w:hideMark/>
          </w:tcPr>
          <w:p w14:paraId="5DE031FE"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8917CB" w14:paraId="4D1DD867" w14:textId="77777777" w:rsidTr="002F7131">
        <w:trPr>
          <w:trHeight w:val="20"/>
          <w:jc w:val="center"/>
        </w:trPr>
        <w:tc>
          <w:tcPr>
            <w:tcW w:w="3261" w:type="dxa"/>
            <w:tcBorders>
              <w:top w:val="nil"/>
              <w:left w:val="nil"/>
              <w:bottom w:val="nil"/>
              <w:right w:val="nil"/>
            </w:tcBorders>
            <w:shd w:val="clear" w:color="auto" w:fill="auto"/>
            <w:noWrap/>
            <w:vAlign w:val="bottom"/>
            <w:hideMark/>
          </w:tcPr>
          <w:p w14:paraId="54A4EF05"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8917CB">
              <w:rPr>
                <w:rFonts w:cstheme="minorHAnsi"/>
                <w:sz w:val="20"/>
              </w:rPr>
              <w:t xml:space="preserve">2 - </w:t>
            </w:r>
            <w:r w:rsidRPr="008917CB">
              <w:rPr>
                <w:rFonts w:cstheme="minorHAnsi"/>
                <w:sz w:val="20"/>
              </w:rPr>
              <w:t>其他人员费用</w:t>
            </w:r>
          </w:p>
        </w:tc>
        <w:tc>
          <w:tcPr>
            <w:tcW w:w="1215" w:type="dxa"/>
            <w:tcBorders>
              <w:top w:val="nil"/>
              <w:left w:val="single" w:sz="4" w:space="0" w:color="0070C0"/>
              <w:bottom w:val="nil"/>
              <w:right w:val="nil"/>
            </w:tcBorders>
            <w:shd w:val="clear" w:color="auto" w:fill="auto"/>
            <w:noWrap/>
            <w:vAlign w:val="bottom"/>
            <w:hideMark/>
          </w:tcPr>
          <w:p w14:paraId="567264DD"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73</w:t>
            </w:r>
          </w:p>
        </w:tc>
        <w:tc>
          <w:tcPr>
            <w:tcW w:w="1214" w:type="dxa"/>
            <w:tcBorders>
              <w:top w:val="nil"/>
              <w:left w:val="nil"/>
              <w:bottom w:val="nil"/>
              <w:right w:val="nil"/>
            </w:tcBorders>
            <w:shd w:val="clear" w:color="auto" w:fill="auto"/>
            <w:noWrap/>
            <w:vAlign w:val="bottom"/>
            <w:hideMark/>
          </w:tcPr>
          <w:p w14:paraId="7D944826"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8</w:t>
            </w:r>
          </w:p>
        </w:tc>
        <w:tc>
          <w:tcPr>
            <w:tcW w:w="1214" w:type="dxa"/>
            <w:tcBorders>
              <w:top w:val="nil"/>
              <w:left w:val="nil"/>
              <w:bottom w:val="nil"/>
              <w:right w:val="nil"/>
            </w:tcBorders>
            <w:shd w:val="clear" w:color="auto" w:fill="auto"/>
            <w:noWrap/>
            <w:vAlign w:val="bottom"/>
            <w:hideMark/>
          </w:tcPr>
          <w:p w14:paraId="3CA0E027"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4</w:t>
            </w:r>
          </w:p>
        </w:tc>
        <w:tc>
          <w:tcPr>
            <w:tcW w:w="1214" w:type="dxa"/>
            <w:tcBorders>
              <w:top w:val="nil"/>
              <w:left w:val="nil"/>
              <w:bottom w:val="nil"/>
              <w:right w:val="nil"/>
            </w:tcBorders>
            <w:shd w:val="clear" w:color="auto" w:fill="auto"/>
            <w:noWrap/>
            <w:vAlign w:val="bottom"/>
            <w:hideMark/>
          </w:tcPr>
          <w:p w14:paraId="02C405D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17</w:t>
            </w:r>
          </w:p>
        </w:tc>
        <w:tc>
          <w:tcPr>
            <w:tcW w:w="1214" w:type="dxa"/>
            <w:tcBorders>
              <w:top w:val="nil"/>
              <w:left w:val="nil"/>
              <w:bottom w:val="nil"/>
              <w:right w:val="nil"/>
            </w:tcBorders>
            <w:shd w:val="clear" w:color="auto" w:fill="auto"/>
            <w:noWrap/>
            <w:vAlign w:val="bottom"/>
            <w:hideMark/>
          </w:tcPr>
          <w:p w14:paraId="3521FD5A"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74012828"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8</w:t>
            </w:r>
          </w:p>
        </w:tc>
        <w:tc>
          <w:tcPr>
            <w:tcW w:w="1420" w:type="dxa"/>
            <w:tcBorders>
              <w:top w:val="nil"/>
              <w:left w:val="nil"/>
              <w:bottom w:val="nil"/>
              <w:right w:val="nil"/>
            </w:tcBorders>
            <w:shd w:val="clear" w:color="auto" w:fill="auto"/>
            <w:noWrap/>
            <w:vAlign w:val="bottom"/>
            <w:hideMark/>
          </w:tcPr>
          <w:p w14:paraId="6B6E7BCB"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088FFEEE"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198</w:t>
            </w:r>
          </w:p>
        </w:tc>
        <w:tc>
          <w:tcPr>
            <w:tcW w:w="1214" w:type="dxa"/>
            <w:tcBorders>
              <w:top w:val="nil"/>
              <w:left w:val="nil"/>
              <w:bottom w:val="nil"/>
              <w:right w:val="nil"/>
            </w:tcBorders>
            <w:shd w:val="clear" w:color="auto" w:fill="auto"/>
            <w:noWrap/>
            <w:vAlign w:val="bottom"/>
            <w:hideMark/>
          </w:tcPr>
          <w:p w14:paraId="17339E65"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5,631</w:t>
            </w:r>
          </w:p>
        </w:tc>
        <w:tc>
          <w:tcPr>
            <w:tcW w:w="1232" w:type="dxa"/>
            <w:tcBorders>
              <w:top w:val="nil"/>
              <w:left w:val="nil"/>
              <w:bottom w:val="nil"/>
              <w:right w:val="nil"/>
            </w:tcBorders>
            <w:shd w:val="clear" w:color="auto" w:fill="auto"/>
            <w:noWrap/>
            <w:vAlign w:val="bottom"/>
            <w:hideMark/>
          </w:tcPr>
          <w:p w14:paraId="3250496E"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917CB">
              <w:rPr>
                <w:rFonts w:eastAsia="Times New Roman" w:cs="Calibri"/>
                <w:color w:val="002060"/>
                <w:sz w:val="20"/>
              </w:rPr>
              <w:t>5,939</w:t>
            </w:r>
          </w:p>
        </w:tc>
      </w:tr>
      <w:tr w:rsidR="005C437E" w:rsidRPr="008917CB" w14:paraId="3D79FA8C" w14:textId="77777777" w:rsidTr="002F7131">
        <w:trPr>
          <w:trHeight w:val="20"/>
          <w:jc w:val="center"/>
        </w:trPr>
        <w:tc>
          <w:tcPr>
            <w:tcW w:w="3261" w:type="dxa"/>
            <w:tcBorders>
              <w:top w:val="nil"/>
              <w:left w:val="nil"/>
              <w:bottom w:val="nil"/>
              <w:right w:val="nil"/>
            </w:tcBorders>
            <w:shd w:val="clear" w:color="auto" w:fill="auto"/>
            <w:noWrap/>
            <w:vAlign w:val="bottom"/>
            <w:hideMark/>
          </w:tcPr>
          <w:p w14:paraId="0D03C049"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215" w:type="dxa"/>
            <w:tcBorders>
              <w:top w:val="nil"/>
              <w:left w:val="single" w:sz="4" w:space="0" w:color="0070C0"/>
              <w:bottom w:val="nil"/>
              <w:right w:val="nil"/>
            </w:tcBorders>
            <w:shd w:val="clear" w:color="auto" w:fill="auto"/>
            <w:noWrap/>
            <w:vAlign w:val="bottom"/>
            <w:hideMark/>
          </w:tcPr>
          <w:p w14:paraId="63F47454"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 </w:t>
            </w:r>
          </w:p>
        </w:tc>
        <w:tc>
          <w:tcPr>
            <w:tcW w:w="1214" w:type="dxa"/>
            <w:tcBorders>
              <w:top w:val="nil"/>
              <w:left w:val="nil"/>
              <w:bottom w:val="nil"/>
              <w:right w:val="nil"/>
            </w:tcBorders>
            <w:shd w:val="clear" w:color="auto" w:fill="auto"/>
            <w:noWrap/>
            <w:vAlign w:val="bottom"/>
            <w:hideMark/>
          </w:tcPr>
          <w:p w14:paraId="341FA31E"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3CC17F4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663BB3C8"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1B6CF153"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3D72C5A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20" w:type="dxa"/>
            <w:tcBorders>
              <w:top w:val="nil"/>
              <w:left w:val="nil"/>
              <w:bottom w:val="nil"/>
              <w:right w:val="nil"/>
            </w:tcBorders>
            <w:shd w:val="clear" w:color="auto" w:fill="auto"/>
            <w:noWrap/>
            <w:vAlign w:val="bottom"/>
            <w:hideMark/>
          </w:tcPr>
          <w:p w14:paraId="77169DD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39B15390"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62DF7FD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bottom"/>
            <w:hideMark/>
          </w:tcPr>
          <w:p w14:paraId="33396F9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8917CB" w14:paraId="557A90A3" w14:textId="77777777" w:rsidTr="002F7131">
        <w:trPr>
          <w:trHeight w:val="20"/>
          <w:jc w:val="center"/>
        </w:trPr>
        <w:tc>
          <w:tcPr>
            <w:tcW w:w="3261" w:type="dxa"/>
            <w:tcBorders>
              <w:top w:val="nil"/>
              <w:left w:val="nil"/>
              <w:bottom w:val="nil"/>
              <w:right w:val="nil"/>
            </w:tcBorders>
            <w:shd w:val="clear" w:color="auto" w:fill="auto"/>
            <w:noWrap/>
            <w:vAlign w:val="bottom"/>
            <w:hideMark/>
          </w:tcPr>
          <w:p w14:paraId="0B8DA3C8"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8917CB">
              <w:rPr>
                <w:rFonts w:cstheme="minorHAnsi"/>
                <w:sz w:val="20"/>
              </w:rPr>
              <w:t xml:space="preserve">3 - </w:t>
            </w:r>
            <w:r w:rsidRPr="008917CB">
              <w:rPr>
                <w:rFonts w:cstheme="minorHAnsi"/>
                <w:sz w:val="20"/>
              </w:rPr>
              <w:t>公务差旅</w:t>
            </w:r>
          </w:p>
        </w:tc>
        <w:tc>
          <w:tcPr>
            <w:tcW w:w="1215" w:type="dxa"/>
            <w:tcBorders>
              <w:top w:val="nil"/>
              <w:left w:val="single" w:sz="4" w:space="0" w:color="0070C0"/>
              <w:bottom w:val="nil"/>
              <w:right w:val="nil"/>
            </w:tcBorders>
            <w:shd w:val="clear" w:color="auto" w:fill="auto"/>
            <w:noWrap/>
            <w:vAlign w:val="bottom"/>
            <w:hideMark/>
          </w:tcPr>
          <w:p w14:paraId="53D0D7BE"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225</w:t>
            </w:r>
          </w:p>
        </w:tc>
        <w:tc>
          <w:tcPr>
            <w:tcW w:w="1214" w:type="dxa"/>
            <w:tcBorders>
              <w:top w:val="nil"/>
              <w:left w:val="nil"/>
              <w:bottom w:val="nil"/>
              <w:right w:val="nil"/>
            </w:tcBorders>
            <w:shd w:val="clear" w:color="auto" w:fill="auto"/>
            <w:noWrap/>
            <w:vAlign w:val="bottom"/>
            <w:hideMark/>
          </w:tcPr>
          <w:p w14:paraId="0DF174A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269</w:t>
            </w:r>
          </w:p>
        </w:tc>
        <w:tc>
          <w:tcPr>
            <w:tcW w:w="1214" w:type="dxa"/>
            <w:tcBorders>
              <w:top w:val="nil"/>
              <w:left w:val="nil"/>
              <w:bottom w:val="nil"/>
              <w:right w:val="nil"/>
            </w:tcBorders>
            <w:shd w:val="clear" w:color="auto" w:fill="auto"/>
            <w:noWrap/>
            <w:vAlign w:val="bottom"/>
            <w:hideMark/>
          </w:tcPr>
          <w:p w14:paraId="03161D3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026A9C73"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65</w:t>
            </w:r>
          </w:p>
        </w:tc>
        <w:tc>
          <w:tcPr>
            <w:tcW w:w="1214" w:type="dxa"/>
            <w:tcBorders>
              <w:top w:val="nil"/>
              <w:left w:val="nil"/>
              <w:bottom w:val="nil"/>
              <w:right w:val="nil"/>
            </w:tcBorders>
            <w:shd w:val="clear" w:color="auto" w:fill="auto"/>
            <w:noWrap/>
            <w:vAlign w:val="bottom"/>
            <w:hideMark/>
          </w:tcPr>
          <w:p w14:paraId="4F008B5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62EF90B3"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205</w:t>
            </w:r>
          </w:p>
        </w:tc>
        <w:tc>
          <w:tcPr>
            <w:tcW w:w="1420" w:type="dxa"/>
            <w:tcBorders>
              <w:top w:val="nil"/>
              <w:left w:val="nil"/>
              <w:bottom w:val="nil"/>
              <w:right w:val="nil"/>
            </w:tcBorders>
            <w:shd w:val="clear" w:color="auto" w:fill="auto"/>
            <w:noWrap/>
            <w:vAlign w:val="bottom"/>
            <w:hideMark/>
          </w:tcPr>
          <w:p w14:paraId="1B8F096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450</w:t>
            </w:r>
          </w:p>
        </w:tc>
        <w:tc>
          <w:tcPr>
            <w:tcW w:w="1214" w:type="dxa"/>
            <w:tcBorders>
              <w:top w:val="nil"/>
              <w:left w:val="nil"/>
              <w:bottom w:val="nil"/>
              <w:right w:val="nil"/>
            </w:tcBorders>
            <w:shd w:val="clear" w:color="auto" w:fill="auto"/>
            <w:noWrap/>
            <w:vAlign w:val="bottom"/>
            <w:hideMark/>
          </w:tcPr>
          <w:p w14:paraId="5967ACB9"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100</w:t>
            </w:r>
          </w:p>
        </w:tc>
        <w:tc>
          <w:tcPr>
            <w:tcW w:w="1214" w:type="dxa"/>
            <w:tcBorders>
              <w:top w:val="nil"/>
              <w:left w:val="nil"/>
              <w:bottom w:val="nil"/>
              <w:right w:val="nil"/>
            </w:tcBorders>
            <w:shd w:val="clear" w:color="auto" w:fill="auto"/>
            <w:noWrap/>
            <w:vAlign w:val="bottom"/>
            <w:hideMark/>
          </w:tcPr>
          <w:p w14:paraId="795A10EB"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32" w:type="dxa"/>
            <w:tcBorders>
              <w:top w:val="nil"/>
              <w:left w:val="nil"/>
              <w:bottom w:val="nil"/>
              <w:right w:val="nil"/>
            </w:tcBorders>
            <w:shd w:val="clear" w:color="auto" w:fill="auto"/>
            <w:noWrap/>
            <w:vAlign w:val="bottom"/>
            <w:hideMark/>
          </w:tcPr>
          <w:p w14:paraId="0F47EDCD"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917CB">
              <w:rPr>
                <w:rFonts w:eastAsia="Times New Roman" w:cs="Calibri"/>
                <w:color w:val="002060"/>
                <w:sz w:val="20"/>
              </w:rPr>
              <w:t>1,314</w:t>
            </w:r>
          </w:p>
        </w:tc>
      </w:tr>
      <w:tr w:rsidR="005C437E" w:rsidRPr="008917CB" w14:paraId="1C2F955D" w14:textId="77777777" w:rsidTr="002F7131">
        <w:trPr>
          <w:trHeight w:val="20"/>
          <w:jc w:val="center"/>
        </w:trPr>
        <w:tc>
          <w:tcPr>
            <w:tcW w:w="3261" w:type="dxa"/>
            <w:tcBorders>
              <w:top w:val="nil"/>
              <w:left w:val="nil"/>
              <w:bottom w:val="nil"/>
              <w:right w:val="nil"/>
            </w:tcBorders>
            <w:shd w:val="clear" w:color="auto" w:fill="auto"/>
            <w:noWrap/>
            <w:vAlign w:val="bottom"/>
            <w:hideMark/>
          </w:tcPr>
          <w:p w14:paraId="5A0B9BC6"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215" w:type="dxa"/>
            <w:tcBorders>
              <w:top w:val="nil"/>
              <w:left w:val="single" w:sz="4" w:space="0" w:color="0070C0"/>
              <w:bottom w:val="nil"/>
              <w:right w:val="nil"/>
            </w:tcBorders>
            <w:shd w:val="clear" w:color="auto" w:fill="auto"/>
            <w:noWrap/>
            <w:vAlign w:val="bottom"/>
            <w:hideMark/>
          </w:tcPr>
          <w:p w14:paraId="0A63DD9D"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 </w:t>
            </w:r>
          </w:p>
        </w:tc>
        <w:tc>
          <w:tcPr>
            <w:tcW w:w="1214" w:type="dxa"/>
            <w:tcBorders>
              <w:top w:val="nil"/>
              <w:left w:val="nil"/>
              <w:bottom w:val="nil"/>
              <w:right w:val="nil"/>
            </w:tcBorders>
            <w:shd w:val="clear" w:color="auto" w:fill="auto"/>
            <w:noWrap/>
            <w:vAlign w:val="bottom"/>
            <w:hideMark/>
          </w:tcPr>
          <w:p w14:paraId="34398BFB"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1EBBDBA6"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27E64360"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47B38C1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4E117258"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20" w:type="dxa"/>
            <w:tcBorders>
              <w:top w:val="nil"/>
              <w:left w:val="nil"/>
              <w:bottom w:val="nil"/>
              <w:right w:val="nil"/>
            </w:tcBorders>
            <w:shd w:val="clear" w:color="auto" w:fill="auto"/>
            <w:noWrap/>
            <w:vAlign w:val="bottom"/>
            <w:hideMark/>
          </w:tcPr>
          <w:p w14:paraId="0E5C71B7"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0B83217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40A8B876"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bottom"/>
            <w:hideMark/>
          </w:tcPr>
          <w:p w14:paraId="23B970F8"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8917CB" w14:paraId="2BBF4355" w14:textId="77777777" w:rsidTr="002F7131">
        <w:trPr>
          <w:trHeight w:val="20"/>
          <w:jc w:val="center"/>
        </w:trPr>
        <w:tc>
          <w:tcPr>
            <w:tcW w:w="3261" w:type="dxa"/>
            <w:tcBorders>
              <w:top w:val="nil"/>
              <w:left w:val="nil"/>
              <w:bottom w:val="nil"/>
              <w:right w:val="nil"/>
            </w:tcBorders>
            <w:shd w:val="clear" w:color="auto" w:fill="auto"/>
            <w:noWrap/>
            <w:vAlign w:val="bottom"/>
            <w:hideMark/>
          </w:tcPr>
          <w:p w14:paraId="6881DE42"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8917CB">
              <w:rPr>
                <w:rFonts w:cstheme="minorHAnsi"/>
                <w:sz w:val="20"/>
              </w:rPr>
              <w:t xml:space="preserve">4 - </w:t>
            </w:r>
            <w:r w:rsidRPr="008917CB">
              <w:rPr>
                <w:rFonts w:cstheme="minorHAnsi"/>
                <w:sz w:val="20"/>
              </w:rPr>
              <w:t>合同服务</w:t>
            </w:r>
          </w:p>
        </w:tc>
        <w:tc>
          <w:tcPr>
            <w:tcW w:w="1215" w:type="dxa"/>
            <w:tcBorders>
              <w:top w:val="nil"/>
              <w:left w:val="single" w:sz="4" w:space="0" w:color="0070C0"/>
              <w:bottom w:val="nil"/>
              <w:right w:val="nil"/>
            </w:tcBorders>
            <w:shd w:val="clear" w:color="auto" w:fill="auto"/>
            <w:noWrap/>
            <w:vAlign w:val="bottom"/>
            <w:hideMark/>
          </w:tcPr>
          <w:p w14:paraId="5938832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140</w:t>
            </w:r>
          </w:p>
        </w:tc>
        <w:tc>
          <w:tcPr>
            <w:tcW w:w="1214" w:type="dxa"/>
            <w:tcBorders>
              <w:top w:val="nil"/>
              <w:left w:val="nil"/>
              <w:bottom w:val="nil"/>
              <w:right w:val="nil"/>
            </w:tcBorders>
            <w:shd w:val="clear" w:color="auto" w:fill="auto"/>
            <w:noWrap/>
            <w:vAlign w:val="bottom"/>
            <w:hideMark/>
          </w:tcPr>
          <w:p w14:paraId="680BA48A"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21B41F45"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3</w:t>
            </w:r>
          </w:p>
        </w:tc>
        <w:tc>
          <w:tcPr>
            <w:tcW w:w="1214" w:type="dxa"/>
            <w:tcBorders>
              <w:top w:val="nil"/>
              <w:left w:val="nil"/>
              <w:bottom w:val="nil"/>
              <w:right w:val="nil"/>
            </w:tcBorders>
            <w:shd w:val="clear" w:color="auto" w:fill="auto"/>
            <w:noWrap/>
            <w:vAlign w:val="bottom"/>
            <w:hideMark/>
          </w:tcPr>
          <w:p w14:paraId="16206B7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100</w:t>
            </w:r>
          </w:p>
        </w:tc>
        <w:tc>
          <w:tcPr>
            <w:tcW w:w="1214" w:type="dxa"/>
            <w:tcBorders>
              <w:top w:val="nil"/>
              <w:left w:val="nil"/>
              <w:bottom w:val="nil"/>
              <w:right w:val="nil"/>
            </w:tcBorders>
            <w:shd w:val="clear" w:color="auto" w:fill="auto"/>
            <w:noWrap/>
            <w:vAlign w:val="bottom"/>
            <w:hideMark/>
          </w:tcPr>
          <w:p w14:paraId="74C68B90"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350</w:t>
            </w:r>
          </w:p>
        </w:tc>
        <w:tc>
          <w:tcPr>
            <w:tcW w:w="1214" w:type="dxa"/>
            <w:tcBorders>
              <w:top w:val="nil"/>
              <w:left w:val="nil"/>
              <w:bottom w:val="nil"/>
              <w:right w:val="nil"/>
            </w:tcBorders>
            <w:shd w:val="clear" w:color="auto" w:fill="auto"/>
            <w:noWrap/>
            <w:vAlign w:val="bottom"/>
            <w:hideMark/>
          </w:tcPr>
          <w:p w14:paraId="7FE5186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16</w:t>
            </w:r>
          </w:p>
        </w:tc>
        <w:tc>
          <w:tcPr>
            <w:tcW w:w="1420" w:type="dxa"/>
            <w:tcBorders>
              <w:top w:val="nil"/>
              <w:left w:val="nil"/>
              <w:bottom w:val="nil"/>
              <w:right w:val="nil"/>
            </w:tcBorders>
            <w:shd w:val="clear" w:color="auto" w:fill="auto"/>
            <w:noWrap/>
            <w:vAlign w:val="bottom"/>
            <w:hideMark/>
          </w:tcPr>
          <w:p w14:paraId="12E55839"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255</w:t>
            </w:r>
          </w:p>
        </w:tc>
        <w:tc>
          <w:tcPr>
            <w:tcW w:w="1214" w:type="dxa"/>
            <w:tcBorders>
              <w:top w:val="nil"/>
              <w:left w:val="nil"/>
              <w:bottom w:val="nil"/>
              <w:right w:val="nil"/>
            </w:tcBorders>
            <w:shd w:val="clear" w:color="auto" w:fill="auto"/>
            <w:noWrap/>
            <w:vAlign w:val="bottom"/>
            <w:hideMark/>
          </w:tcPr>
          <w:p w14:paraId="0376367D"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6914FA3A"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bottom"/>
            <w:hideMark/>
          </w:tcPr>
          <w:p w14:paraId="64D07256"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917CB">
              <w:rPr>
                <w:rFonts w:eastAsia="Times New Roman" w:cs="Calibri"/>
                <w:color w:val="002060"/>
                <w:sz w:val="20"/>
              </w:rPr>
              <w:t>864</w:t>
            </w:r>
          </w:p>
        </w:tc>
      </w:tr>
      <w:tr w:rsidR="005C437E" w:rsidRPr="008917CB" w14:paraId="2B46FEA8" w14:textId="77777777" w:rsidTr="002F7131">
        <w:trPr>
          <w:trHeight w:val="20"/>
          <w:jc w:val="center"/>
        </w:trPr>
        <w:tc>
          <w:tcPr>
            <w:tcW w:w="3261" w:type="dxa"/>
            <w:tcBorders>
              <w:top w:val="nil"/>
              <w:left w:val="nil"/>
              <w:bottom w:val="nil"/>
              <w:right w:val="nil"/>
            </w:tcBorders>
            <w:shd w:val="clear" w:color="auto" w:fill="auto"/>
            <w:noWrap/>
            <w:vAlign w:val="bottom"/>
            <w:hideMark/>
          </w:tcPr>
          <w:p w14:paraId="6386D18B"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215" w:type="dxa"/>
            <w:tcBorders>
              <w:top w:val="nil"/>
              <w:left w:val="single" w:sz="4" w:space="0" w:color="0070C0"/>
              <w:bottom w:val="nil"/>
              <w:right w:val="nil"/>
            </w:tcBorders>
            <w:shd w:val="clear" w:color="auto" w:fill="auto"/>
            <w:noWrap/>
            <w:vAlign w:val="bottom"/>
            <w:hideMark/>
          </w:tcPr>
          <w:p w14:paraId="4621AE24"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 </w:t>
            </w:r>
          </w:p>
        </w:tc>
        <w:tc>
          <w:tcPr>
            <w:tcW w:w="1214" w:type="dxa"/>
            <w:tcBorders>
              <w:top w:val="nil"/>
              <w:left w:val="nil"/>
              <w:bottom w:val="nil"/>
              <w:right w:val="nil"/>
            </w:tcBorders>
            <w:shd w:val="clear" w:color="auto" w:fill="auto"/>
            <w:noWrap/>
            <w:vAlign w:val="bottom"/>
            <w:hideMark/>
          </w:tcPr>
          <w:p w14:paraId="15228375"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6819D3F4"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41E5172D"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0CB6E388"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5F438523"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20" w:type="dxa"/>
            <w:tcBorders>
              <w:top w:val="nil"/>
              <w:left w:val="nil"/>
              <w:bottom w:val="nil"/>
              <w:right w:val="nil"/>
            </w:tcBorders>
            <w:shd w:val="clear" w:color="auto" w:fill="auto"/>
            <w:noWrap/>
            <w:vAlign w:val="bottom"/>
            <w:hideMark/>
          </w:tcPr>
          <w:p w14:paraId="3C577A6A"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0300012A"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323954C4"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bottom"/>
            <w:hideMark/>
          </w:tcPr>
          <w:p w14:paraId="5C75B8F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8917CB" w14:paraId="0C59E82A" w14:textId="77777777" w:rsidTr="002F7131">
        <w:trPr>
          <w:trHeight w:val="20"/>
          <w:jc w:val="center"/>
        </w:trPr>
        <w:tc>
          <w:tcPr>
            <w:tcW w:w="3261" w:type="dxa"/>
            <w:tcBorders>
              <w:top w:val="nil"/>
              <w:left w:val="nil"/>
              <w:bottom w:val="nil"/>
              <w:right w:val="nil"/>
            </w:tcBorders>
            <w:shd w:val="clear" w:color="auto" w:fill="auto"/>
            <w:vAlign w:val="bottom"/>
            <w:hideMark/>
          </w:tcPr>
          <w:p w14:paraId="5DA43BB6"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8917CB">
              <w:rPr>
                <w:rFonts w:cstheme="minorHAnsi"/>
                <w:sz w:val="20"/>
                <w:lang w:eastAsia="zh-CN"/>
              </w:rPr>
              <w:t xml:space="preserve">5 - </w:t>
            </w:r>
            <w:r w:rsidRPr="008917CB">
              <w:rPr>
                <w:rFonts w:cstheme="minorHAnsi"/>
                <w:sz w:val="20"/>
                <w:lang w:eastAsia="zh-CN"/>
              </w:rPr>
              <w:t>房屋设施和设备的租用与维护</w:t>
            </w:r>
          </w:p>
        </w:tc>
        <w:tc>
          <w:tcPr>
            <w:tcW w:w="1215" w:type="dxa"/>
            <w:tcBorders>
              <w:top w:val="nil"/>
              <w:left w:val="single" w:sz="4" w:space="0" w:color="0070C0"/>
              <w:bottom w:val="nil"/>
              <w:right w:val="nil"/>
            </w:tcBorders>
            <w:shd w:val="clear" w:color="auto" w:fill="auto"/>
            <w:noWrap/>
            <w:vAlign w:val="bottom"/>
            <w:hideMark/>
          </w:tcPr>
          <w:p w14:paraId="0093964E"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220</w:t>
            </w:r>
          </w:p>
        </w:tc>
        <w:tc>
          <w:tcPr>
            <w:tcW w:w="1214" w:type="dxa"/>
            <w:tcBorders>
              <w:top w:val="nil"/>
              <w:left w:val="nil"/>
              <w:bottom w:val="nil"/>
              <w:right w:val="nil"/>
            </w:tcBorders>
            <w:shd w:val="clear" w:color="auto" w:fill="auto"/>
            <w:noWrap/>
            <w:vAlign w:val="bottom"/>
            <w:hideMark/>
          </w:tcPr>
          <w:p w14:paraId="38F9D20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62FA3585"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33E42DB9"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145</w:t>
            </w:r>
          </w:p>
        </w:tc>
        <w:tc>
          <w:tcPr>
            <w:tcW w:w="1214" w:type="dxa"/>
            <w:tcBorders>
              <w:top w:val="nil"/>
              <w:left w:val="nil"/>
              <w:bottom w:val="nil"/>
              <w:right w:val="nil"/>
            </w:tcBorders>
            <w:shd w:val="clear" w:color="auto" w:fill="auto"/>
            <w:noWrap/>
            <w:vAlign w:val="bottom"/>
            <w:hideMark/>
          </w:tcPr>
          <w:p w14:paraId="53BAD617"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41B41FED"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18</w:t>
            </w:r>
          </w:p>
        </w:tc>
        <w:tc>
          <w:tcPr>
            <w:tcW w:w="1420" w:type="dxa"/>
            <w:tcBorders>
              <w:top w:val="nil"/>
              <w:left w:val="nil"/>
              <w:bottom w:val="nil"/>
              <w:right w:val="nil"/>
            </w:tcBorders>
            <w:shd w:val="clear" w:color="auto" w:fill="auto"/>
            <w:noWrap/>
            <w:vAlign w:val="bottom"/>
            <w:hideMark/>
          </w:tcPr>
          <w:p w14:paraId="36398C55"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40</w:t>
            </w:r>
          </w:p>
        </w:tc>
        <w:tc>
          <w:tcPr>
            <w:tcW w:w="1214" w:type="dxa"/>
            <w:tcBorders>
              <w:top w:val="nil"/>
              <w:left w:val="nil"/>
              <w:bottom w:val="nil"/>
              <w:right w:val="nil"/>
            </w:tcBorders>
            <w:shd w:val="clear" w:color="auto" w:fill="auto"/>
            <w:noWrap/>
            <w:vAlign w:val="bottom"/>
            <w:hideMark/>
          </w:tcPr>
          <w:p w14:paraId="58C96C6C"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4251596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bottom"/>
            <w:hideMark/>
          </w:tcPr>
          <w:p w14:paraId="45DEB887"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917CB">
              <w:rPr>
                <w:rFonts w:eastAsia="Times New Roman" w:cs="Calibri"/>
                <w:color w:val="002060"/>
                <w:sz w:val="20"/>
              </w:rPr>
              <w:t>423</w:t>
            </w:r>
          </w:p>
        </w:tc>
      </w:tr>
      <w:tr w:rsidR="005C437E" w:rsidRPr="008917CB" w14:paraId="7FFF2791" w14:textId="77777777" w:rsidTr="002F7131">
        <w:trPr>
          <w:trHeight w:val="20"/>
          <w:jc w:val="center"/>
        </w:trPr>
        <w:tc>
          <w:tcPr>
            <w:tcW w:w="3261" w:type="dxa"/>
            <w:tcBorders>
              <w:top w:val="nil"/>
              <w:left w:val="nil"/>
              <w:bottom w:val="nil"/>
              <w:right w:val="nil"/>
            </w:tcBorders>
            <w:shd w:val="clear" w:color="auto" w:fill="auto"/>
            <w:noWrap/>
            <w:vAlign w:val="bottom"/>
            <w:hideMark/>
          </w:tcPr>
          <w:p w14:paraId="702C53EB"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215" w:type="dxa"/>
            <w:tcBorders>
              <w:top w:val="nil"/>
              <w:left w:val="single" w:sz="4" w:space="0" w:color="0070C0"/>
              <w:bottom w:val="nil"/>
              <w:right w:val="nil"/>
            </w:tcBorders>
            <w:shd w:val="clear" w:color="auto" w:fill="auto"/>
            <w:noWrap/>
            <w:vAlign w:val="bottom"/>
            <w:hideMark/>
          </w:tcPr>
          <w:p w14:paraId="6F9C5534"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 </w:t>
            </w:r>
          </w:p>
        </w:tc>
        <w:tc>
          <w:tcPr>
            <w:tcW w:w="1214" w:type="dxa"/>
            <w:tcBorders>
              <w:top w:val="nil"/>
              <w:left w:val="nil"/>
              <w:bottom w:val="nil"/>
              <w:right w:val="nil"/>
            </w:tcBorders>
            <w:shd w:val="clear" w:color="auto" w:fill="auto"/>
            <w:noWrap/>
            <w:vAlign w:val="bottom"/>
            <w:hideMark/>
          </w:tcPr>
          <w:p w14:paraId="5B7DAF63"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7FBE60C6"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459376C7"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45408B08"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58228A78"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20" w:type="dxa"/>
            <w:tcBorders>
              <w:top w:val="nil"/>
              <w:left w:val="nil"/>
              <w:bottom w:val="nil"/>
              <w:right w:val="nil"/>
            </w:tcBorders>
            <w:shd w:val="clear" w:color="auto" w:fill="auto"/>
            <w:noWrap/>
            <w:vAlign w:val="bottom"/>
            <w:hideMark/>
          </w:tcPr>
          <w:p w14:paraId="4027124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35F440B3"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7662DAE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bottom"/>
            <w:hideMark/>
          </w:tcPr>
          <w:p w14:paraId="4973F15C"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8917CB" w14:paraId="6733DF5A" w14:textId="77777777" w:rsidTr="002F7131">
        <w:trPr>
          <w:trHeight w:val="20"/>
          <w:jc w:val="center"/>
        </w:trPr>
        <w:tc>
          <w:tcPr>
            <w:tcW w:w="3261" w:type="dxa"/>
            <w:tcBorders>
              <w:top w:val="nil"/>
              <w:left w:val="nil"/>
              <w:bottom w:val="nil"/>
              <w:right w:val="nil"/>
            </w:tcBorders>
            <w:shd w:val="clear" w:color="auto" w:fill="auto"/>
            <w:noWrap/>
            <w:vAlign w:val="bottom"/>
            <w:hideMark/>
          </w:tcPr>
          <w:p w14:paraId="7A9DDB03"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8917CB">
              <w:rPr>
                <w:rFonts w:cstheme="minorHAnsi"/>
                <w:sz w:val="20"/>
              </w:rPr>
              <w:t xml:space="preserve">6 - </w:t>
            </w:r>
            <w:r w:rsidRPr="008917CB">
              <w:rPr>
                <w:rFonts w:cstheme="minorHAnsi"/>
                <w:sz w:val="20"/>
              </w:rPr>
              <w:t>材料和办公用品</w:t>
            </w:r>
          </w:p>
        </w:tc>
        <w:tc>
          <w:tcPr>
            <w:tcW w:w="1215" w:type="dxa"/>
            <w:tcBorders>
              <w:top w:val="nil"/>
              <w:left w:val="single" w:sz="4" w:space="0" w:color="0070C0"/>
              <w:bottom w:val="nil"/>
              <w:right w:val="nil"/>
            </w:tcBorders>
            <w:shd w:val="clear" w:color="auto" w:fill="auto"/>
            <w:noWrap/>
            <w:vAlign w:val="bottom"/>
            <w:hideMark/>
          </w:tcPr>
          <w:p w14:paraId="14E7ED5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12</w:t>
            </w:r>
          </w:p>
        </w:tc>
        <w:tc>
          <w:tcPr>
            <w:tcW w:w="1214" w:type="dxa"/>
            <w:tcBorders>
              <w:top w:val="nil"/>
              <w:left w:val="nil"/>
              <w:bottom w:val="nil"/>
              <w:right w:val="nil"/>
            </w:tcBorders>
            <w:shd w:val="clear" w:color="auto" w:fill="auto"/>
            <w:noWrap/>
            <w:vAlign w:val="bottom"/>
            <w:hideMark/>
          </w:tcPr>
          <w:p w14:paraId="2087ED35"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5</w:t>
            </w:r>
          </w:p>
        </w:tc>
        <w:tc>
          <w:tcPr>
            <w:tcW w:w="1214" w:type="dxa"/>
            <w:tcBorders>
              <w:top w:val="nil"/>
              <w:left w:val="nil"/>
              <w:bottom w:val="nil"/>
              <w:right w:val="nil"/>
            </w:tcBorders>
            <w:shd w:val="clear" w:color="auto" w:fill="auto"/>
            <w:noWrap/>
            <w:vAlign w:val="bottom"/>
            <w:hideMark/>
          </w:tcPr>
          <w:p w14:paraId="19A3C740"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2</w:t>
            </w:r>
          </w:p>
        </w:tc>
        <w:tc>
          <w:tcPr>
            <w:tcW w:w="1214" w:type="dxa"/>
            <w:tcBorders>
              <w:top w:val="nil"/>
              <w:left w:val="nil"/>
              <w:bottom w:val="nil"/>
              <w:right w:val="nil"/>
            </w:tcBorders>
            <w:shd w:val="clear" w:color="auto" w:fill="auto"/>
            <w:noWrap/>
            <w:vAlign w:val="bottom"/>
            <w:hideMark/>
          </w:tcPr>
          <w:p w14:paraId="3B1F902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7</w:t>
            </w:r>
          </w:p>
        </w:tc>
        <w:tc>
          <w:tcPr>
            <w:tcW w:w="1214" w:type="dxa"/>
            <w:tcBorders>
              <w:top w:val="nil"/>
              <w:left w:val="nil"/>
              <w:bottom w:val="nil"/>
              <w:right w:val="nil"/>
            </w:tcBorders>
            <w:shd w:val="clear" w:color="auto" w:fill="auto"/>
            <w:noWrap/>
            <w:vAlign w:val="bottom"/>
            <w:hideMark/>
          </w:tcPr>
          <w:p w14:paraId="44EB1BD0"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0A96D20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1</w:t>
            </w:r>
          </w:p>
        </w:tc>
        <w:tc>
          <w:tcPr>
            <w:tcW w:w="1420" w:type="dxa"/>
            <w:tcBorders>
              <w:top w:val="nil"/>
              <w:left w:val="nil"/>
              <w:bottom w:val="nil"/>
              <w:right w:val="nil"/>
            </w:tcBorders>
            <w:shd w:val="clear" w:color="auto" w:fill="auto"/>
            <w:noWrap/>
            <w:vAlign w:val="bottom"/>
            <w:hideMark/>
          </w:tcPr>
          <w:p w14:paraId="5703493A"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30</w:t>
            </w:r>
          </w:p>
        </w:tc>
        <w:tc>
          <w:tcPr>
            <w:tcW w:w="1214" w:type="dxa"/>
            <w:tcBorders>
              <w:top w:val="nil"/>
              <w:left w:val="nil"/>
              <w:bottom w:val="nil"/>
              <w:right w:val="nil"/>
            </w:tcBorders>
            <w:shd w:val="clear" w:color="auto" w:fill="auto"/>
            <w:noWrap/>
            <w:vAlign w:val="bottom"/>
            <w:hideMark/>
          </w:tcPr>
          <w:p w14:paraId="341D203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5C6AD31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bottom"/>
            <w:hideMark/>
          </w:tcPr>
          <w:p w14:paraId="09323BFC"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917CB">
              <w:rPr>
                <w:rFonts w:eastAsia="Times New Roman" w:cs="Calibri"/>
                <w:color w:val="002060"/>
                <w:sz w:val="20"/>
              </w:rPr>
              <w:t>57</w:t>
            </w:r>
          </w:p>
        </w:tc>
      </w:tr>
      <w:tr w:rsidR="005C437E" w:rsidRPr="008917CB" w14:paraId="54CCE20B" w14:textId="77777777" w:rsidTr="002F7131">
        <w:trPr>
          <w:trHeight w:val="20"/>
          <w:jc w:val="center"/>
        </w:trPr>
        <w:tc>
          <w:tcPr>
            <w:tcW w:w="3261" w:type="dxa"/>
            <w:tcBorders>
              <w:top w:val="nil"/>
              <w:left w:val="nil"/>
              <w:bottom w:val="nil"/>
              <w:right w:val="nil"/>
            </w:tcBorders>
            <w:shd w:val="clear" w:color="auto" w:fill="auto"/>
            <w:noWrap/>
            <w:vAlign w:val="bottom"/>
            <w:hideMark/>
          </w:tcPr>
          <w:p w14:paraId="4C0C715C"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215" w:type="dxa"/>
            <w:tcBorders>
              <w:top w:val="nil"/>
              <w:left w:val="single" w:sz="4" w:space="0" w:color="0070C0"/>
              <w:bottom w:val="nil"/>
              <w:right w:val="nil"/>
            </w:tcBorders>
            <w:shd w:val="clear" w:color="auto" w:fill="auto"/>
            <w:noWrap/>
            <w:vAlign w:val="bottom"/>
            <w:hideMark/>
          </w:tcPr>
          <w:p w14:paraId="1465C55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 </w:t>
            </w:r>
          </w:p>
        </w:tc>
        <w:tc>
          <w:tcPr>
            <w:tcW w:w="1214" w:type="dxa"/>
            <w:tcBorders>
              <w:top w:val="nil"/>
              <w:left w:val="nil"/>
              <w:bottom w:val="nil"/>
              <w:right w:val="nil"/>
            </w:tcBorders>
            <w:shd w:val="clear" w:color="auto" w:fill="auto"/>
            <w:noWrap/>
            <w:vAlign w:val="bottom"/>
            <w:hideMark/>
          </w:tcPr>
          <w:p w14:paraId="1F4F87AC"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4914A3C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37DB0DE3"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69B09115"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35BAC7BE"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20" w:type="dxa"/>
            <w:tcBorders>
              <w:top w:val="nil"/>
              <w:left w:val="nil"/>
              <w:bottom w:val="nil"/>
              <w:right w:val="nil"/>
            </w:tcBorders>
            <w:shd w:val="clear" w:color="auto" w:fill="auto"/>
            <w:noWrap/>
            <w:vAlign w:val="bottom"/>
            <w:hideMark/>
          </w:tcPr>
          <w:p w14:paraId="598D9A3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28611F4C"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30FA63C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bottom"/>
            <w:hideMark/>
          </w:tcPr>
          <w:p w14:paraId="10D19EFC"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8917CB" w14:paraId="5948144D" w14:textId="77777777" w:rsidTr="002F7131">
        <w:trPr>
          <w:trHeight w:val="20"/>
          <w:jc w:val="center"/>
        </w:trPr>
        <w:tc>
          <w:tcPr>
            <w:tcW w:w="3261" w:type="dxa"/>
            <w:tcBorders>
              <w:top w:val="nil"/>
              <w:left w:val="nil"/>
              <w:bottom w:val="nil"/>
              <w:right w:val="nil"/>
            </w:tcBorders>
            <w:shd w:val="clear" w:color="auto" w:fill="auto"/>
            <w:vAlign w:val="bottom"/>
            <w:hideMark/>
          </w:tcPr>
          <w:p w14:paraId="53089830"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Pr>
                <w:rFonts w:cstheme="minorHAnsi"/>
                <w:sz w:val="20"/>
                <w:lang w:eastAsia="zh-CN"/>
              </w:rPr>
              <w:t xml:space="preserve">7 - </w:t>
            </w:r>
            <w:r w:rsidRPr="008917CB">
              <w:rPr>
                <w:rFonts w:cstheme="minorHAnsi"/>
                <w:sz w:val="20"/>
                <w:lang w:eastAsia="zh-CN"/>
              </w:rPr>
              <w:t>房屋设施、家具和设备的采购</w:t>
            </w:r>
          </w:p>
        </w:tc>
        <w:tc>
          <w:tcPr>
            <w:tcW w:w="1215" w:type="dxa"/>
            <w:tcBorders>
              <w:top w:val="nil"/>
              <w:left w:val="single" w:sz="4" w:space="0" w:color="0070C0"/>
              <w:bottom w:val="nil"/>
              <w:right w:val="nil"/>
            </w:tcBorders>
            <w:shd w:val="clear" w:color="auto" w:fill="auto"/>
            <w:noWrap/>
            <w:vAlign w:val="bottom"/>
            <w:hideMark/>
          </w:tcPr>
          <w:p w14:paraId="0BC33B43"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4</w:t>
            </w:r>
          </w:p>
        </w:tc>
        <w:tc>
          <w:tcPr>
            <w:tcW w:w="1214" w:type="dxa"/>
            <w:tcBorders>
              <w:top w:val="nil"/>
              <w:left w:val="nil"/>
              <w:bottom w:val="nil"/>
              <w:right w:val="nil"/>
            </w:tcBorders>
            <w:shd w:val="clear" w:color="auto" w:fill="auto"/>
            <w:noWrap/>
            <w:vAlign w:val="bottom"/>
            <w:hideMark/>
          </w:tcPr>
          <w:p w14:paraId="5BC53A4D"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385A885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042C7E4B"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39F5C82E"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250D6AB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3</w:t>
            </w:r>
          </w:p>
        </w:tc>
        <w:tc>
          <w:tcPr>
            <w:tcW w:w="1420" w:type="dxa"/>
            <w:tcBorders>
              <w:top w:val="nil"/>
              <w:left w:val="nil"/>
              <w:bottom w:val="nil"/>
              <w:right w:val="nil"/>
            </w:tcBorders>
            <w:shd w:val="clear" w:color="auto" w:fill="auto"/>
            <w:noWrap/>
            <w:vAlign w:val="bottom"/>
            <w:hideMark/>
          </w:tcPr>
          <w:p w14:paraId="0EC4F9A8"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459</w:t>
            </w:r>
          </w:p>
        </w:tc>
        <w:tc>
          <w:tcPr>
            <w:tcW w:w="1214" w:type="dxa"/>
            <w:tcBorders>
              <w:top w:val="nil"/>
              <w:left w:val="nil"/>
              <w:bottom w:val="nil"/>
              <w:right w:val="nil"/>
            </w:tcBorders>
            <w:shd w:val="clear" w:color="auto" w:fill="auto"/>
            <w:noWrap/>
            <w:vAlign w:val="bottom"/>
            <w:hideMark/>
          </w:tcPr>
          <w:p w14:paraId="35AA5475"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6276EFB5"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bottom"/>
            <w:hideMark/>
          </w:tcPr>
          <w:p w14:paraId="07D6DF7B"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917CB">
              <w:rPr>
                <w:rFonts w:eastAsia="Times New Roman" w:cs="Calibri"/>
                <w:color w:val="002060"/>
                <w:sz w:val="20"/>
              </w:rPr>
              <w:t>466</w:t>
            </w:r>
          </w:p>
        </w:tc>
      </w:tr>
      <w:tr w:rsidR="005C437E" w:rsidRPr="008917CB" w14:paraId="593216FA" w14:textId="77777777" w:rsidTr="002F7131">
        <w:trPr>
          <w:trHeight w:val="20"/>
          <w:jc w:val="center"/>
        </w:trPr>
        <w:tc>
          <w:tcPr>
            <w:tcW w:w="3261" w:type="dxa"/>
            <w:tcBorders>
              <w:top w:val="nil"/>
              <w:left w:val="nil"/>
              <w:bottom w:val="nil"/>
              <w:right w:val="nil"/>
            </w:tcBorders>
            <w:shd w:val="clear" w:color="auto" w:fill="auto"/>
            <w:noWrap/>
            <w:vAlign w:val="bottom"/>
            <w:hideMark/>
          </w:tcPr>
          <w:p w14:paraId="3D3FA4AA"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215" w:type="dxa"/>
            <w:tcBorders>
              <w:top w:val="nil"/>
              <w:left w:val="single" w:sz="4" w:space="0" w:color="0070C0"/>
              <w:bottom w:val="nil"/>
              <w:right w:val="nil"/>
            </w:tcBorders>
            <w:shd w:val="clear" w:color="auto" w:fill="auto"/>
            <w:noWrap/>
            <w:vAlign w:val="bottom"/>
            <w:hideMark/>
          </w:tcPr>
          <w:p w14:paraId="4D9CEDAA"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 </w:t>
            </w:r>
          </w:p>
        </w:tc>
        <w:tc>
          <w:tcPr>
            <w:tcW w:w="1214" w:type="dxa"/>
            <w:tcBorders>
              <w:top w:val="nil"/>
              <w:left w:val="nil"/>
              <w:bottom w:val="nil"/>
              <w:right w:val="nil"/>
            </w:tcBorders>
            <w:shd w:val="clear" w:color="auto" w:fill="auto"/>
            <w:noWrap/>
            <w:vAlign w:val="bottom"/>
            <w:hideMark/>
          </w:tcPr>
          <w:p w14:paraId="18567FC8"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4970DA25"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096DAA04"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4F20167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1D0BE513"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20" w:type="dxa"/>
            <w:tcBorders>
              <w:top w:val="nil"/>
              <w:left w:val="nil"/>
              <w:bottom w:val="nil"/>
              <w:right w:val="nil"/>
            </w:tcBorders>
            <w:shd w:val="clear" w:color="auto" w:fill="auto"/>
            <w:noWrap/>
            <w:vAlign w:val="bottom"/>
            <w:hideMark/>
          </w:tcPr>
          <w:p w14:paraId="6C5FC2B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30BD1ABB"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61B73958"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bottom"/>
            <w:hideMark/>
          </w:tcPr>
          <w:p w14:paraId="4D1FD4C3"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8917CB" w14:paraId="7F591B0F" w14:textId="77777777" w:rsidTr="002F7131">
        <w:trPr>
          <w:trHeight w:val="20"/>
          <w:jc w:val="center"/>
        </w:trPr>
        <w:tc>
          <w:tcPr>
            <w:tcW w:w="3261" w:type="dxa"/>
            <w:tcBorders>
              <w:top w:val="nil"/>
              <w:left w:val="nil"/>
              <w:bottom w:val="nil"/>
              <w:right w:val="nil"/>
            </w:tcBorders>
            <w:shd w:val="clear" w:color="auto" w:fill="auto"/>
            <w:vAlign w:val="bottom"/>
            <w:hideMark/>
          </w:tcPr>
          <w:p w14:paraId="71A8625D"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8917CB">
              <w:rPr>
                <w:rFonts w:cstheme="minorHAnsi"/>
                <w:sz w:val="20"/>
              </w:rPr>
              <w:t xml:space="preserve">8 - </w:t>
            </w:r>
            <w:r w:rsidRPr="008917CB">
              <w:rPr>
                <w:rFonts w:cstheme="minorHAnsi"/>
                <w:sz w:val="20"/>
              </w:rPr>
              <w:t>公共和内部服务设施</w:t>
            </w:r>
          </w:p>
        </w:tc>
        <w:tc>
          <w:tcPr>
            <w:tcW w:w="1215" w:type="dxa"/>
            <w:tcBorders>
              <w:top w:val="nil"/>
              <w:left w:val="single" w:sz="4" w:space="0" w:color="0070C0"/>
              <w:bottom w:val="nil"/>
              <w:right w:val="nil"/>
            </w:tcBorders>
            <w:shd w:val="clear" w:color="auto" w:fill="auto"/>
            <w:noWrap/>
            <w:vAlign w:val="bottom"/>
            <w:hideMark/>
          </w:tcPr>
          <w:p w14:paraId="63D2790D"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 </w:t>
            </w:r>
          </w:p>
        </w:tc>
        <w:tc>
          <w:tcPr>
            <w:tcW w:w="1214" w:type="dxa"/>
            <w:tcBorders>
              <w:top w:val="nil"/>
              <w:left w:val="nil"/>
              <w:bottom w:val="nil"/>
              <w:right w:val="nil"/>
            </w:tcBorders>
            <w:shd w:val="clear" w:color="auto" w:fill="auto"/>
            <w:noWrap/>
            <w:vAlign w:val="bottom"/>
            <w:hideMark/>
          </w:tcPr>
          <w:p w14:paraId="1C7ADDE3"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2</w:t>
            </w:r>
          </w:p>
        </w:tc>
        <w:tc>
          <w:tcPr>
            <w:tcW w:w="1214" w:type="dxa"/>
            <w:tcBorders>
              <w:top w:val="nil"/>
              <w:left w:val="nil"/>
              <w:bottom w:val="nil"/>
              <w:right w:val="nil"/>
            </w:tcBorders>
            <w:shd w:val="clear" w:color="auto" w:fill="auto"/>
            <w:noWrap/>
            <w:vAlign w:val="bottom"/>
            <w:hideMark/>
          </w:tcPr>
          <w:p w14:paraId="309F121A"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2</w:t>
            </w:r>
          </w:p>
        </w:tc>
        <w:tc>
          <w:tcPr>
            <w:tcW w:w="1214" w:type="dxa"/>
            <w:tcBorders>
              <w:top w:val="nil"/>
              <w:left w:val="nil"/>
              <w:bottom w:val="nil"/>
              <w:right w:val="nil"/>
            </w:tcBorders>
            <w:shd w:val="clear" w:color="auto" w:fill="auto"/>
            <w:noWrap/>
            <w:vAlign w:val="bottom"/>
            <w:hideMark/>
          </w:tcPr>
          <w:p w14:paraId="6186319B"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7429F00E"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07EB46B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1</w:t>
            </w:r>
          </w:p>
        </w:tc>
        <w:tc>
          <w:tcPr>
            <w:tcW w:w="1420" w:type="dxa"/>
            <w:tcBorders>
              <w:top w:val="nil"/>
              <w:left w:val="nil"/>
              <w:bottom w:val="nil"/>
              <w:right w:val="nil"/>
            </w:tcBorders>
            <w:shd w:val="clear" w:color="auto" w:fill="auto"/>
            <w:noWrap/>
            <w:vAlign w:val="bottom"/>
            <w:hideMark/>
          </w:tcPr>
          <w:p w14:paraId="6805B206"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3D8B8990"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2D293D0B"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bottom"/>
            <w:hideMark/>
          </w:tcPr>
          <w:p w14:paraId="22179FC5"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917CB">
              <w:rPr>
                <w:rFonts w:eastAsia="Times New Roman" w:cs="Calibri"/>
                <w:color w:val="002060"/>
                <w:sz w:val="20"/>
              </w:rPr>
              <w:t>5</w:t>
            </w:r>
          </w:p>
        </w:tc>
      </w:tr>
      <w:tr w:rsidR="005C437E" w:rsidRPr="008917CB" w14:paraId="413E0415" w14:textId="77777777" w:rsidTr="002F7131">
        <w:trPr>
          <w:trHeight w:val="20"/>
          <w:jc w:val="center"/>
        </w:trPr>
        <w:tc>
          <w:tcPr>
            <w:tcW w:w="3261" w:type="dxa"/>
            <w:tcBorders>
              <w:top w:val="nil"/>
              <w:left w:val="nil"/>
              <w:bottom w:val="nil"/>
              <w:right w:val="nil"/>
            </w:tcBorders>
            <w:shd w:val="clear" w:color="auto" w:fill="auto"/>
            <w:noWrap/>
            <w:vAlign w:val="bottom"/>
            <w:hideMark/>
          </w:tcPr>
          <w:p w14:paraId="18700E2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215" w:type="dxa"/>
            <w:tcBorders>
              <w:top w:val="nil"/>
              <w:left w:val="single" w:sz="4" w:space="0" w:color="0070C0"/>
              <w:bottom w:val="nil"/>
              <w:right w:val="nil"/>
            </w:tcBorders>
            <w:shd w:val="clear" w:color="auto" w:fill="auto"/>
            <w:noWrap/>
            <w:vAlign w:val="bottom"/>
            <w:hideMark/>
          </w:tcPr>
          <w:p w14:paraId="1DDACF3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 </w:t>
            </w:r>
          </w:p>
        </w:tc>
        <w:tc>
          <w:tcPr>
            <w:tcW w:w="1214" w:type="dxa"/>
            <w:tcBorders>
              <w:top w:val="nil"/>
              <w:left w:val="nil"/>
              <w:bottom w:val="nil"/>
              <w:right w:val="nil"/>
            </w:tcBorders>
            <w:shd w:val="clear" w:color="auto" w:fill="auto"/>
            <w:noWrap/>
            <w:vAlign w:val="bottom"/>
            <w:hideMark/>
          </w:tcPr>
          <w:p w14:paraId="6E4D73C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2C5ECB7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4BAF9287"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29953523"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5C244F5D"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20" w:type="dxa"/>
            <w:tcBorders>
              <w:top w:val="nil"/>
              <w:left w:val="nil"/>
              <w:bottom w:val="nil"/>
              <w:right w:val="nil"/>
            </w:tcBorders>
            <w:shd w:val="clear" w:color="auto" w:fill="auto"/>
            <w:noWrap/>
            <w:vAlign w:val="bottom"/>
            <w:hideMark/>
          </w:tcPr>
          <w:p w14:paraId="78057FD8"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0606723D"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40594FD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bottom"/>
            <w:hideMark/>
          </w:tcPr>
          <w:p w14:paraId="3D5A035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8917CB" w14:paraId="5E1B87DB" w14:textId="77777777" w:rsidTr="002F7131">
        <w:trPr>
          <w:trHeight w:val="20"/>
          <w:jc w:val="center"/>
        </w:trPr>
        <w:tc>
          <w:tcPr>
            <w:tcW w:w="3261" w:type="dxa"/>
            <w:tcBorders>
              <w:top w:val="nil"/>
              <w:left w:val="nil"/>
              <w:bottom w:val="nil"/>
              <w:right w:val="nil"/>
            </w:tcBorders>
            <w:shd w:val="clear" w:color="auto" w:fill="auto"/>
            <w:vAlign w:val="bottom"/>
            <w:hideMark/>
          </w:tcPr>
          <w:p w14:paraId="032F6250"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8917CB">
              <w:rPr>
                <w:rFonts w:cstheme="minorHAnsi"/>
                <w:sz w:val="20"/>
                <w:lang w:eastAsia="zh-CN"/>
              </w:rPr>
              <w:t xml:space="preserve">9 - </w:t>
            </w:r>
            <w:r w:rsidRPr="008917CB">
              <w:rPr>
                <w:rFonts w:cstheme="minorHAnsi"/>
                <w:sz w:val="20"/>
                <w:lang w:eastAsia="zh-CN"/>
              </w:rPr>
              <w:t>审计和机构间的费用及其他</w:t>
            </w:r>
          </w:p>
        </w:tc>
        <w:tc>
          <w:tcPr>
            <w:tcW w:w="1215" w:type="dxa"/>
            <w:tcBorders>
              <w:top w:val="nil"/>
              <w:left w:val="single" w:sz="4" w:space="0" w:color="0070C0"/>
              <w:bottom w:val="nil"/>
              <w:right w:val="nil"/>
            </w:tcBorders>
            <w:shd w:val="clear" w:color="auto" w:fill="auto"/>
            <w:noWrap/>
            <w:vAlign w:val="bottom"/>
            <w:hideMark/>
          </w:tcPr>
          <w:p w14:paraId="4BDB51E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13</w:t>
            </w:r>
          </w:p>
        </w:tc>
        <w:tc>
          <w:tcPr>
            <w:tcW w:w="1214" w:type="dxa"/>
            <w:tcBorders>
              <w:top w:val="nil"/>
              <w:left w:val="nil"/>
              <w:bottom w:val="nil"/>
              <w:right w:val="nil"/>
            </w:tcBorders>
            <w:shd w:val="clear" w:color="auto" w:fill="auto"/>
            <w:noWrap/>
            <w:vAlign w:val="bottom"/>
            <w:hideMark/>
          </w:tcPr>
          <w:p w14:paraId="37E1152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2</w:t>
            </w:r>
          </w:p>
        </w:tc>
        <w:tc>
          <w:tcPr>
            <w:tcW w:w="1214" w:type="dxa"/>
            <w:tcBorders>
              <w:top w:val="nil"/>
              <w:left w:val="nil"/>
              <w:bottom w:val="nil"/>
              <w:right w:val="nil"/>
            </w:tcBorders>
            <w:shd w:val="clear" w:color="auto" w:fill="auto"/>
            <w:noWrap/>
            <w:vAlign w:val="bottom"/>
            <w:hideMark/>
          </w:tcPr>
          <w:p w14:paraId="50F49583"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5218AC76"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4</w:t>
            </w:r>
          </w:p>
        </w:tc>
        <w:tc>
          <w:tcPr>
            <w:tcW w:w="1214" w:type="dxa"/>
            <w:tcBorders>
              <w:top w:val="nil"/>
              <w:left w:val="nil"/>
              <w:bottom w:val="nil"/>
              <w:right w:val="nil"/>
            </w:tcBorders>
            <w:shd w:val="clear" w:color="auto" w:fill="auto"/>
            <w:noWrap/>
            <w:vAlign w:val="bottom"/>
            <w:hideMark/>
          </w:tcPr>
          <w:p w14:paraId="179D1DF6"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019319D9"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7</w:t>
            </w:r>
          </w:p>
        </w:tc>
        <w:tc>
          <w:tcPr>
            <w:tcW w:w="1420" w:type="dxa"/>
            <w:tcBorders>
              <w:top w:val="nil"/>
              <w:left w:val="nil"/>
              <w:bottom w:val="nil"/>
              <w:right w:val="nil"/>
            </w:tcBorders>
            <w:shd w:val="clear" w:color="auto" w:fill="auto"/>
            <w:noWrap/>
            <w:vAlign w:val="bottom"/>
            <w:hideMark/>
          </w:tcPr>
          <w:p w14:paraId="03534525"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10</w:t>
            </w:r>
          </w:p>
        </w:tc>
        <w:tc>
          <w:tcPr>
            <w:tcW w:w="1214" w:type="dxa"/>
            <w:tcBorders>
              <w:top w:val="nil"/>
              <w:left w:val="nil"/>
              <w:bottom w:val="nil"/>
              <w:right w:val="nil"/>
            </w:tcBorders>
            <w:shd w:val="clear" w:color="auto" w:fill="auto"/>
            <w:noWrap/>
            <w:vAlign w:val="bottom"/>
            <w:hideMark/>
          </w:tcPr>
          <w:p w14:paraId="2C904F78"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3745885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bottom"/>
            <w:hideMark/>
          </w:tcPr>
          <w:p w14:paraId="018B753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917CB">
              <w:rPr>
                <w:rFonts w:eastAsia="Times New Roman" w:cs="Calibri"/>
                <w:color w:val="002060"/>
                <w:sz w:val="20"/>
              </w:rPr>
              <w:t>36</w:t>
            </w:r>
          </w:p>
        </w:tc>
      </w:tr>
      <w:tr w:rsidR="005C437E" w:rsidRPr="008917CB" w14:paraId="27700375" w14:textId="77777777" w:rsidTr="002F7131">
        <w:trPr>
          <w:trHeight w:val="20"/>
          <w:jc w:val="center"/>
        </w:trPr>
        <w:tc>
          <w:tcPr>
            <w:tcW w:w="3261" w:type="dxa"/>
            <w:tcBorders>
              <w:top w:val="nil"/>
              <w:left w:val="nil"/>
              <w:bottom w:val="single" w:sz="4" w:space="0" w:color="auto"/>
              <w:right w:val="nil"/>
            </w:tcBorders>
            <w:shd w:val="clear" w:color="auto" w:fill="auto"/>
            <w:noWrap/>
            <w:vAlign w:val="center"/>
            <w:hideMark/>
          </w:tcPr>
          <w:p w14:paraId="6137B918"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8917CB">
              <w:rPr>
                <w:rFonts w:cstheme="minorHAnsi"/>
                <w:b/>
                <w:bCs/>
                <w:sz w:val="20"/>
              </w:rPr>
              <w:t> </w:t>
            </w:r>
          </w:p>
        </w:tc>
        <w:tc>
          <w:tcPr>
            <w:tcW w:w="1215" w:type="dxa"/>
            <w:tcBorders>
              <w:top w:val="nil"/>
              <w:left w:val="single" w:sz="4" w:space="0" w:color="0070C0"/>
              <w:bottom w:val="single" w:sz="4" w:space="0" w:color="auto"/>
              <w:right w:val="nil"/>
            </w:tcBorders>
            <w:shd w:val="clear" w:color="auto" w:fill="auto"/>
            <w:noWrap/>
            <w:vAlign w:val="center"/>
            <w:hideMark/>
          </w:tcPr>
          <w:p w14:paraId="31C4BF89"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 </w:t>
            </w:r>
          </w:p>
        </w:tc>
        <w:tc>
          <w:tcPr>
            <w:tcW w:w="1214" w:type="dxa"/>
            <w:tcBorders>
              <w:top w:val="nil"/>
              <w:left w:val="nil"/>
              <w:bottom w:val="single" w:sz="4" w:space="0" w:color="auto"/>
              <w:right w:val="nil"/>
            </w:tcBorders>
            <w:shd w:val="clear" w:color="auto" w:fill="auto"/>
            <w:noWrap/>
            <w:vAlign w:val="center"/>
            <w:hideMark/>
          </w:tcPr>
          <w:p w14:paraId="63F4C13C"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 </w:t>
            </w:r>
          </w:p>
        </w:tc>
        <w:tc>
          <w:tcPr>
            <w:tcW w:w="1214" w:type="dxa"/>
            <w:tcBorders>
              <w:top w:val="nil"/>
              <w:left w:val="nil"/>
              <w:bottom w:val="single" w:sz="4" w:space="0" w:color="auto"/>
              <w:right w:val="nil"/>
            </w:tcBorders>
            <w:shd w:val="clear" w:color="auto" w:fill="auto"/>
            <w:noWrap/>
            <w:vAlign w:val="center"/>
            <w:hideMark/>
          </w:tcPr>
          <w:p w14:paraId="3FA60C2A"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 </w:t>
            </w:r>
          </w:p>
        </w:tc>
        <w:tc>
          <w:tcPr>
            <w:tcW w:w="1214" w:type="dxa"/>
            <w:tcBorders>
              <w:top w:val="nil"/>
              <w:left w:val="nil"/>
              <w:bottom w:val="single" w:sz="4" w:space="0" w:color="auto"/>
              <w:right w:val="nil"/>
            </w:tcBorders>
            <w:shd w:val="clear" w:color="auto" w:fill="auto"/>
            <w:noWrap/>
            <w:vAlign w:val="center"/>
            <w:hideMark/>
          </w:tcPr>
          <w:p w14:paraId="602D7A47"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 </w:t>
            </w:r>
          </w:p>
        </w:tc>
        <w:tc>
          <w:tcPr>
            <w:tcW w:w="1214" w:type="dxa"/>
            <w:tcBorders>
              <w:top w:val="nil"/>
              <w:left w:val="nil"/>
              <w:bottom w:val="single" w:sz="4" w:space="0" w:color="auto"/>
              <w:right w:val="nil"/>
            </w:tcBorders>
            <w:shd w:val="clear" w:color="auto" w:fill="auto"/>
            <w:noWrap/>
            <w:vAlign w:val="center"/>
            <w:hideMark/>
          </w:tcPr>
          <w:p w14:paraId="4BB8D986"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 </w:t>
            </w:r>
          </w:p>
        </w:tc>
        <w:tc>
          <w:tcPr>
            <w:tcW w:w="1214" w:type="dxa"/>
            <w:tcBorders>
              <w:top w:val="nil"/>
              <w:left w:val="nil"/>
              <w:bottom w:val="single" w:sz="4" w:space="0" w:color="auto"/>
              <w:right w:val="nil"/>
            </w:tcBorders>
            <w:shd w:val="clear" w:color="auto" w:fill="auto"/>
            <w:noWrap/>
            <w:vAlign w:val="center"/>
            <w:hideMark/>
          </w:tcPr>
          <w:p w14:paraId="0D7DBA75"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 </w:t>
            </w:r>
          </w:p>
        </w:tc>
        <w:tc>
          <w:tcPr>
            <w:tcW w:w="1420" w:type="dxa"/>
            <w:tcBorders>
              <w:top w:val="nil"/>
              <w:left w:val="nil"/>
              <w:bottom w:val="single" w:sz="4" w:space="0" w:color="auto"/>
              <w:right w:val="nil"/>
            </w:tcBorders>
            <w:shd w:val="clear" w:color="auto" w:fill="auto"/>
            <w:noWrap/>
            <w:vAlign w:val="center"/>
            <w:hideMark/>
          </w:tcPr>
          <w:p w14:paraId="2B66C6A3"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 </w:t>
            </w:r>
          </w:p>
        </w:tc>
        <w:tc>
          <w:tcPr>
            <w:tcW w:w="1214" w:type="dxa"/>
            <w:tcBorders>
              <w:top w:val="nil"/>
              <w:left w:val="nil"/>
              <w:bottom w:val="single" w:sz="4" w:space="0" w:color="auto"/>
              <w:right w:val="nil"/>
            </w:tcBorders>
            <w:shd w:val="clear" w:color="auto" w:fill="auto"/>
            <w:noWrap/>
            <w:vAlign w:val="center"/>
            <w:hideMark/>
          </w:tcPr>
          <w:p w14:paraId="20DF3488"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 </w:t>
            </w:r>
          </w:p>
        </w:tc>
        <w:tc>
          <w:tcPr>
            <w:tcW w:w="1214" w:type="dxa"/>
            <w:tcBorders>
              <w:top w:val="nil"/>
              <w:left w:val="nil"/>
              <w:bottom w:val="single" w:sz="4" w:space="0" w:color="auto"/>
              <w:right w:val="nil"/>
            </w:tcBorders>
            <w:shd w:val="clear" w:color="auto" w:fill="auto"/>
            <w:noWrap/>
            <w:vAlign w:val="center"/>
            <w:hideMark/>
          </w:tcPr>
          <w:p w14:paraId="2DEF0CAA"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 </w:t>
            </w:r>
          </w:p>
        </w:tc>
        <w:tc>
          <w:tcPr>
            <w:tcW w:w="1232" w:type="dxa"/>
            <w:tcBorders>
              <w:top w:val="nil"/>
              <w:left w:val="nil"/>
              <w:bottom w:val="single" w:sz="4" w:space="0" w:color="auto"/>
              <w:right w:val="nil"/>
            </w:tcBorders>
            <w:shd w:val="clear" w:color="auto" w:fill="auto"/>
            <w:noWrap/>
            <w:vAlign w:val="center"/>
            <w:hideMark/>
          </w:tcPr>
          <w:p w14:paraId="46C5A5A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8917CB">
              <w:rPr>
                <w:rFonts w:eastAsia="Times New Roman" w:cs="Calibri"/>
                <w:b/>
                <w:bCs/>
                <w:color w:val="002060"/>
                <w:sz w:val="20"/>
              </w:rPr>
              <w:t> </w:t>
            </w:r>
          </w:p>
        </w:tc>
      </w:tr>
      <w:tr w:rsidR="005C437E" w:rsidRPr="008917CB" w14:paraId="5FB57B19" w14:textId="77777777" w:rsidTr="002F7131">
        <w:trPr>
          <w:trHeight w:val="20"/>
          <w:jc w:val="center"/>
        </w:trPr>
        <w:tc>
          <w:tcPr>
            <w:tcW w:w="3261" w:type="dxa"/>
            <w:tcBorders>
              <w:top w:val="nil"/>
              <w:left w:val="nil"/>
              <w:bottom w:val="nil"/>
              <w:right w:val="nil"/>
            </w:tcBorders>
            <w:shd w:val="clear" w:color="auto" w:fill="auto"/>
            <w:noWrap/>
            <w:vAlign w:val="center"/>
            <w:hideMark/>
          </w:tcPr>
          <w:p w14:paraId="0F415D8C"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8917CB">
              <w:rPr>
                <w:rFonts w:cstheme="minorHAnsi"/>
                <w:b/>
                <w:bCs/>
                <w:sz w:val="20"/>
              </w:rPr>
              <w:t>合计</w:t>
            </w:r>
          </w:p>
        </w:tc>
        <w:tc>
          <w:tcPr>
            <w:tcW w:w="1215" w:type="dxa"/>
            <w:tcBorders>
              <w:top w:val="nil"/>
              <w:left w:val="single" w:sz="4" w:space="0" w:color="0070C0"/>
              <w:bottom w:val="nil"/>
              <w:right w:val="nil"/>
            </w:tcBorders>
            <w:shd w:val="clear" w:color="auto" w:fill="auto"/>
            <w:noWrap/>
            <w:vAlign w:val="center"/>
            <w:hideMark/>
          </w:tcPr>
          <w:p w14:paraId="59AE869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2,851</w:t>
            </w:r>
          </w:p>
        </w:tc>
        <w:tc>
          <w:tcPr>
            <w:tcW w:w="1214" w:type="dxa"/>
            <w:tcBorders>
              <w:top w:val="nil"/>
              <w:left w:val="nil"/>
              <w:bottom w:val="nil"/>
              <w:right w:val="nil"/>
            </w:tcBorders>
            <w:shd w:val="clear" w:color="auto" w:fill="auto"/>
            <w:noWrap/>
            <w:vAlign w:val="center"/>
            <w:hideMark/>
          </w:tcPr>
          <w:p w14:paraId="176F5589"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452</w:t>
            </w:r>
          </w:p>
        </w:tc>
        <w:tc>
          <w:tcPr>
            <w:tcW w:w="1214" w:type="dxa"/>
            <w:tcBorders>
              <w:top w:val="nil"/>
              <w:left w:val="nil"/>
              <w:bottom w:val="nil"/>
              <w:right w:val="nil"/>
            </w:tcBorders>
            <w:shd w:val="clear" w:color="auto" w:fill="auto"/>
            <w:noWrap/>
            <w:vAlign w:val="center"/>
            <w:hideMark/>
          </w:tcPr>
          <w:p w14:paraId="25311F18"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69</w:t>
            </w:r>
          </w:p>
        </w:tc>
        <w:tc>
          <w:tcPr>
            <w:tcW w:w="1214" w:type="dxa"/>
            <w:tcBorders>
              <w:top w:val="nil"/>
              <w:left w:val="nil"/>
              <w:bottom w:val="nil"/>
              <w:right w:val="nil"/>
            </w:tcBorders>
            <w:shd w:val="clear" w:color="auto" w:fill="auto"/>
            <w:noWrap/>
            <w:vAlign w:val="center"/>
            <w:hideMark/>
          </w:tcPr>
          <w:p w14:paraId="6882A9A4"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1,160</w:t>
            </w:r>
          </w:p>
        </w:tc>
        <w:tc>
          <w:tcPr>
            <w:tcW w:w="1214" w:type="dxa"/>
            <w:tcBorders>
              <w:top w:val="nil"/>
              <w:left w:val="nil"/>
              <w:bottom w:val="nil"/>
              <w:right w:val="nil"/>
            </w:tcBorders>
            <w:shd w:val="clear" w:color="auto" w:fill="auto"/>
            <w:noWrap/>
            <w:vAlign w:val="center"/>
            <w:hideMark/>
          </w:tcPr>
          <w:p w14:paraId="77B2F52E"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350</w:t>
            </w:r>
          </w:p>
        </w:tc>
        <w:tc>
          <w:tcPr>
            <w:tcW w:w="1214" w:type="dxa"/>
            <w:tcBorders>
              <w:top w:val="nil"/>
              <w:left w:val="nil"/>
              <w:bottom w:val="nil"/>
              <w:right w:val="nil"/>
            </w:tcBorders>
            <w:shd w:val="clear" w:color="auto" w:fill="auto"/>
            <w:noWrap/>
            <w:vAlign w:val="center"/>
            <w:hideMark/>
          </w:tcPr>
          <w:p w14:paraId="2774E88A"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388</w:t>
            </w:r>
          </w:p>
        </w:tc>
        <w:tc>
          <w:tcPr>
            <w:tcW w:w="1420" w:type="dxa"/>
            <w:tcBorders>
              <w:top w:val="nil"/>
              <w:left w:val="nil"/>
              <w:bottom w:val="nil"/>
              <w:right w:val="nil"/>
            </w:tcBorders>
            <w:shd w:val="clear" w:color="auto" w:fill="auto"/>
            <w:noWrap/>
            <w:vAlign w:val="center"/>
            <w:hideMark/>
          </w:tcPr>
          <w:p w14:paraId="4B09AF4E"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1,244</w:t>
            </w:r>
          </w:p>
        </w:tc>
        <w:tc>
          <w:tcPr>
            <w:tcW w:w="1214" w:type="dxa"/>
            <w:tcBorders>
              <w:top w:val="nil"/>
              <w:left w:val="nil"/>
              <w:bottom w:val="nil"/>
              <w:right w:val="nil"/>
            </w:tcBorders>
            <w:shd w:val="clear" w:color="auto" w:fill="auto"/>
            <w:noWrap/>
            <w:vAlign w:val="center"/>
            <w:hideMark/>
          </w:tcPr>
          <w:p w14:paraId="4D970D84"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1,018</w:t>
            </w:r>
          </w:p>
        </w:tc>
        <w:tc>
          <w:tcPr>
            <w:tcW w:w="1214" w:type="dxa"/>
            <w:tcBorders>
              <w:top w:val="nil"/>
              <w:left w:val="nil"/>
              <w:bottom w:val="nil"/>
              <w:right w:val="nil"/>
            </w:tcBorders>
            <w:shd w:val="clear" w:color="auto" w:fill="auto"/>
            <w:noWrap/>
            <w:vAlign w:val="center"/>
            <w:hideMark/>
          </w:tcPr>
          <w:p w14:paraId="36EE540D"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24,923</w:t>
            </w:r>
          </w:p>
        </w:tc>
        <w:tc>
          <w:tcPr>
            <w:tcW w:w="1232" w:type="dxa"/>
            <w:tcBorders>
              <w:top w:val="nil"/>
              <w:left w:val="nil"/>
              <w:bottom w:val="nil"/>
              <w:right w:val="nil"/>
            </w:tcBorders>
            <w:shd w:val="clear" w:color="auto" w:fill="auto"/>
            <w:noWrap/>
            <w:vAlign w:val="center"/>
            <w:hideMark/>
          </w:tcPr>
          <w:p w14:paraId="701B3B0E"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8917CB">
              <w:rPr>
                <w:rFonts w:eastAsia="Times New Roman" w:cs="Calibri"/>
                <w:b/>
                <w:bCs/>
                <w:color w:val="002060"/>
                <w:sz w:val="20"/>
              </w:rPr>
              <w:t>32,455</w:t>
            </w:r>
          </w:p>
        </w:tc>
      </w:tr>
    </w:tbl>
    <w:p w14:paraId="3D5FF7C0" w14:textId="50406764" w:rsidR="0090191E" w:rsidRDefault="005C437E" w:rsidP="0090191E">
      <w:pPr>
        <w:pStyle w:val="Normalaftertitle"/>
        <w:rPr>
          <w:lang w:eastAsia="zh-CN"/>
        </w:rPr>
      </w:pPr>
      <w:r>
        <w:br w:type="page"/>
      </w:r>
    </w:p>
    <w:tbl>
      <w:tblPr>
        <w:tblW w:w="13850" w:type="dxa"/>
        <w:tblLook w:val="04A0" w:firstRow="1" w:lastRow="0" w:firstColumn="1" w:lastColumn="0" w:noHBand="0" w:noVBand="1"/>
      </w:tblPr>
      <w:tblGrid>
        <w:gridCol w:w="1281"/>
        <w:gridCol w:w="6090"/>
        <w:gridCol w:w="1355"/>
        <w:gridCol w:w="1396"/>
        <w:gridCol w:w="1166"/>
        <w:gridCol w:w="1166"/>
        <w:gridCol w:w="1396"/>
      </w:tblGrid>
      <w:tr w:rsidR="005C437E" w:rsidRPr="007C7564" w14:paraId="76A1F171" w14:textId="77777777" w:rsidTr="002F7131">
        <w:trPr>
          <w:trHeight w:val="465"/>
        </w:trPr>
        <w:tc>
          <w:tcPr>
            <w:tcW w:w="1281" w:type="dxa"/>
            <w:tcBorders>
              <w:top w:val="nil"/>
              <w:left w:val="nil"/>
              <w:bottom w:val="nil"/>
              <w:right w:val="nil"/>
            </w:tcBorders>
            <w:shd w:val="clear" w:color="auto" w:fill="auto"/>
            <w:noWrap/>
            <w:vAlign w:val="center"/>
            <w:hideMark/>
          </w:tcPr>
          <w:p w14:paraId="2ECCA7D9"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7C7564">
              <w:rPr>
                <w:rFonts w:ascii="SimSun" w:hAnsi="SimSun" w:cs="Calibri" w:hint="eastAsia"/>
                <w:b/>
                <w:bCs/>
                <w:color w:val="002060"/>
                <w:sz w:val="40"/>
                <w:szCs w:val="40"/>
              </w:rPr>
              <w:lastRenderedPageBreak/>
              <w:t>表</w:t>
            </w:r>
            <w:r w:rsidRPr="007C7564">
              <w:rPr>
                <w:rFonts w:eastAsia="Times New Roman" w:cs="Calibri"/>
                <w:b/>
                <w:bCs/>
                <w:color w:val="002060"/>
                <w:sz w:val="40"/>
                <w:szCs w:val="40"/>
              </w:rPr>
              <w:t>7</w:t>
            </w:r>
          </w:p>
        </w:tc>
        <w:tc>
          <w:tcPr>
            <w:tcW w:w="6090" w:type="dxa"/>
            <w:tcBorders>
              <w:top w:val="nil"/>
              <w:left w:val="nil"/>
              <w:bottom w:val="nil"/>
              <w:right w:val="nil"/>
            </w:tcBorders>
            <w:shd w:val="clear" w:color="auto" w:fill="auto"/>
            <w:noWrap/>
            <w:vAlign w:val="center"/>
            <w:hideMark/>
          </w:tcPr>
          <w:p w14:paraId="7C4FF609"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1355" w:type="dxa"/>
            <w:tcBorders>
              <w:top w:val="nil"/>
              <w:left w:val="nil"/>
              <w:bottom w:val="nil"/>
              <w:right w:val="nil"/>
            </w:tcBorders>
            <w:shd w:val="clear" w:color="auto" w:fill="auto"/>
            <w:noWrap/>
            <w:vAlign w:val="center"/>
            <w:hideMark/>
          </w:tcPr>
          <w:p w14:paraId="229EBF0B"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3F13C191"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66" w:type="dxa"/>
            <w:tcBorders>
              <w:top w:val="nil"/>
              <w:left w:val="nil"/>
              <w:bottom w:val="nil"/>
              <w:right w:val="nil"/>
            </w:tcBorders>
            <w:shd w:val="clear" w:color="auto" w:fill="auto"/>
            <w:noWrap/>
            <w:vAlign w:val="center"/>
            <w:hideMark/>
          </w:tcPr>
          <w:p w14:paraId="73F5B6D5"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66" w:type="dxa"/>
            <w:tcBorders>
              <w:top w:val="nil"/>
              <w:left w:val="nil"/>
              <w:bottom w:val="nil"/>
              <w:right w:val="nil"/>
            </w:tcBorders>
            <w:shd w:val="clear" w:color="auto" w:fill="auto"/>
            <w:noWrap/>
            <w:vAlign w:val="center"/>
            <w:hideMark/>
          </w:tcPr>
          <w:p w14:paraId="3473FD72"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60CEBFD3"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7C7564" w14:paraId="264A3E1F" w14:textId="77777777" w:rsidTr="002F7131">
        <w:trPr>
          <w:trHeight w:val="405"/>
        </w:trPr>
        <w:tc>
          <w:tcPr>
            <w:tcW w:w="7371" w:type="dxa"/>
            <w:gridSpan w:val="2"/>
            <w:tcBorders>
              <w:top w:val="nil"/>
              <w:left w:val="nil"/>
              <w:bottom w:val="nil"/>
              <w:right w:val="nil"/>
            </w:tcBorders>
            <w:shd w:val="clear" w:color="auto" w:fill="auto"/>
            <w:noWrap/>
            <w:vAlign w:val="center"/>
            <w:hideMark/>
          </w:tcPr>
          <w:p w14:paraId="3DB87C8E"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r w:rsidRPr="007C7564">
              <w:rPr>
                <w:rFonts w:ascii="STKaiti" w:eastAsia="STKaiti" w:hAnsi="STKaiti" w:hint="eastAsia"/>
                <w:b/>
                <w:bCs/>
                <w:color w:val="002060"/>
                <w:sz w:val="28"/>
                <w:szCs w:val="28"/>
              </w:rPr>
              <w:t>电信标准化部门</w:t>
            </w:r>
          </w:p>
        </w:tc>
        <w:tc>
          <w:tcPr>
            <w:tcW w:w="1355" w:type="dxa"/>
            <w:tcBorders>
              <w:top w:val="nil"/>
              <w:left w:val="nil"/>
              <w:bottom w:val="nil"/>
              <w:right w:val="nil"/>
            </w:tcBorders>
            <w:shd w:val="clear" w:color="auto" w:fill="auto"/>
            <w:noWrap/>
            <w:vAlign w:val="center"/>
            <w:hideMark/>
          </w:tcPr>
          <w:p w14:paraId="698F1AD7"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p>
        </w:tc>
        <w:tc>
          <w:tcPr>
            <w:tcW w:w="1396" w:type="dxa"/>
            <w:tcBorders>
              <w:top w:val="nil"/>
              <w:left w:val="nil"/>
              <w:bottom w:val="nil"/>
              <w:right w:val="nil"/>
            </w:tcBorders>
            <w:shd w:val="clear" w:color="auto" w:fill="auto"/>
            <w:noWrap/>
            <w:vAlign w:val="center"/>
            <w:hideMark/>
          </w:tcPr>
          <w:p w14:paraId="3205A058"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66" w:type="dxa"/>
            <w:tcBorders>
              <w:top w:val="nil"/>
              <w:left w:val="nil"/>
              <w:bottom w:val="nil"/>
              <w:right w:val="nil"/>
            </w:tcBorders>
            <w:shd w:val="clear" w:color="auto" w:fill="auto"/>
            <w:noWrap/>
            <w:vAlign w:val="center"/>
            <w:hideMark/>
          </w:tcPr>
          <w:p w14:paraId="1CE51B93"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66" w:type="dxa"/>
            <w:tcBorders>
              <w:top w:val="nil"/>
              <w:left w:val="nil"/>
              <w:bottom w:val="nil"/>
              <w:right w:val="nil"/>
            </w:tcBorders>
            <w:shd w:val="clear" w:color="auto" w:fill="auto"/>
            <w:noWrap/>
            <w:vAlign w:val="center"/>
            <w:hideMark/>
          </w:tcPr>
          <w:p w14:paraId="1C5F9472"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19CE9C2E"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7C7564" w14:paraId="0350B01E" w14:textId="77777777" w:rsidTr="002F7131">
        <w:trPr>
          <w:trHeight w:val="405"/>
        </w:trPr>
        <w:tc>
          <w:tcPr>
            <w:tcW w:w="7371" w:type="dxa"/>
            <w:gridSpan w:val="2"/>
            <w:tcBorders>
              <w:top w:val="nil"/>
              <w:left w:val="nil"/>
              <w:bottom w:val="nil"/>
              <w:right w:val="nil"/>
            </w:tcBorders>
            <w:shd w:val="clear" w:color="auto" w:fill="auto"/>
            <w:noWrap/>
            <w:vAlign w:val="center"/>
            <w:hideMark/>
          </w:tcPr>
          <w:p w14:paraId="093DE197"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rPr>
            </w:pPr>
            <w:r w:rsidRPr="007C7564">
              <w:rPr>
                <w:rFonts w:ascii="STKaiti" w:eastAsia="STKaiti" w:hAnsi="STKaiti" w:hint="eastAsia"/>
                <w:b/>
                <w:bCs/>
                <w:color w:val="002060"/>
                <w:szCs w:val="24"/>
              </w:rPr>
              <w:t>按项列出的计划支出</w:t>
            </w:r>
          </w:p>
        </w:tc>
        <w:tc>
          <w:tcPr>
            <w:tcW w:w="6479" w:type="dxa"/>
            <w:gridSpan w:val="5"/>
            <w:tcBorders>
              <w:top w:val="nil"/>
              <w:left w:val="nil"/>
              <w:bottom w:val="nil"/>
              <w:right w:val="nil"/>
            </w:tcBorders>
            <w:shd w:val="clear" w:color="auto" w:fill="auto"/>
            <w:noWrap/>
            <w:vAlign w:val="center"/>
            <w:hideMark/>
          </w:tcPr>
          <w:p w14:paraId="2604056B"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7C7564">
              <w:rPr>
                <w:rFonts w:ascii="STKaiti" w:eastAsia="STKaiti" w:hAnsi="STKaiti" w:hint="eastAsia"/>
                <w:color w:val="002060"/>
                <w:sz w:val="18"/>
                <w:szCs w:val="18"/>
              </w:rPr>
              <w:t>单位：千瑞郎</w:t>
            </w:r>
          </w:p>
        </w:tc>
      </w:tr>
      <w:tr w:rsidR="005C437E" w:rsidRPr="007C7564" w14:paraId="591E1154" w14:textId="77777777" w:rsidTr="002F7131">
        <w:trPr>
          <w:trHeight w:val="240"/>
        </w:trPr>
        <w:tc>
          <w:tcPr>
            <w:tcW w:w="1281" w:type="dxa"/>
            <w:tcBorders>
              <w:top w:val="nil"/>
              <w:left w:val="nil"/>
              <w:bottom w:val="nil"/>
              <w:right w:val="nil"/>
            </w:tcBorders>
            <w:shd w:val="clear" w:color="auto" w:fill="auto"/>
            <w:noWrap/>
            <w:vAlign w:val="center"/>
            <w:hideMark/>
          </w:tcPr>
          <w:p w14:paraId="498124FF"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6090" w:type="dxa"/>
            <w:tcBorders>
              <w:top w:val="nil"/>
              <w:left w:val="nil"/>
              <w:bottom w:val="nil"/>
              <w:right w:val="nil"/>
            </w:tcBorders>
            <w:shd w:val="clear" w:color="auto" w:fill="auto"/>
            <w:noWrap/>
            <w:vAlign w:val="center"/>
            <w:hideMark/>
          </w:tcPr>
          <w:p w14:paraId="7A752A05"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55" w:type="dxa"/>
            <w:tcBorders>
              <w:top w:val="nil"/>
              <w:left w:val="nil"/>
              <w:bottom w:val="nil"/>
              <w:right w:val="nil"/>
            </w:tcBorders>
            <w:shd w:val="clear" w:color="auto" w:fill="auto"/>
            <w:noWrap/>
            <w:vAlign w:val="center"/>
            <w:hideMark/>
          </w:tcPr>
          <w:p w14:paraId="7BD9FB6C"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bottom"/>
            <w:hideMark/>
          </w:tcPr>
          <w:p w14:paraId="748F56F1"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r w:rsidRPr="007C7564">
              <w:rPr>
                <w:rFonts w:ascii="Helv" w:eastAsia="Times New Roman" w:hAnsi="Helv"/>
                <w:noProof/>
                <w:sz w:val="20"/>
              </w:rPr>
              <mc:AlternateContent>
                <mc:Choice Requires="wps">
                  <w:drawing>
                    <wp:anchor distT="0" distB="0" distL="114300" distR="114300" simplePos="0" relativeHeight="251693056" behindDoc="0" locked="0" layoutInCell="1" allowOverlap="1" wp14:anchorId="3F4685CC" wp14:editId="0F87BE3A">
                      <wp:simplePos x="0" y="0"/>
                      <wp:positionH relativeFrom="column">
                        <wp:posOffset>-22860</wp:posOffset>
                      </wp:positionH>
                      <wp:positionV relativeFrom="paragraph">
                        <wp:posOffset>27305</wp:posOffset>
                      </wp:positionV>
                      <wp:extent cx="878840" cy="3702050"/>
                      <wp:effectExtent l="0" t="0" r="16510" b="12700"/>
                      <wp:wrapNone/>
                      <wp:docPr id="78" name="圆角矩形 78">
                        <a:extLst xmlns:a="http://schemas.openxmlformats.org/drawingml/2006/main">
                          <a:ext uri="{FF2B5EF4-FFF2-40B4-BE49-F238E27FC236}">
                            <a16:creationId xmlns:a16="http://schemas.microsoft.com/office/drawing/2014/main" id="{00000000-0008-0000-0700-00000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840" cy="3702050"/>
                              </a:xfrm>
                              <a:prstGeom prst="roundRect">
                                <a:avLst>
                                  <a:gd name="adj" fmla="val 50000"/>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0467204C" id="圆角矩形 78" o:spid="_x0000_s1026" style="position:absolute;margin-left:-1.8pt;margin-top:2.15pt;width:69.2pt;height:29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" filled="f"/>
                  </w:pict>
                </mc:Fallback>
              </mc:AlternateContent>
            </w:r>
          </w:p>
        </w:tc>
        <w:tc>
          <w:tcPr>
            <w:tcW w:w="1166" w:type="dxa"/>
            <w:tcBorders>
              <w:top w:val="nil"/>
              <w:left w:val="nil"/>
              <w:bottom w:val="nil"/>
              <w:right w:val="nil"/>
            </w:tcBorders>
            <w:shd w:val="clear" w:color="auto" w:fill="auto"/>
            <w:noWrap/>
            <w:vAlign w:val="center"/>
            <w:hideMark/>
          </w:tcPr>
          <w:p w14:paraId="3A074D5E"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66" w:type="dxa"/>
            <w:tcBorders>
              <w:top w:val="nil"/>
              <w:left w:val="nil"/>
              <w:bottom w:val="nil"/>
              <w:right w:val="nil"/>
            </w:tcBorders>
            <w:shd w:val="clear" w:color="auto" w:fill="auto"/>
            <w:noWrap/>
            <w:vAlign w:val="center"/>
            <w:hideMark/>
          </w:tcPr>
          <w:p w14:paraId="452FE5B1"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bottom"/>
            <w:hideMark/>
          </w:tcPr>
          <w:p w14:paraId="598B8945"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r w:rsidRPr="007C7564">
              <w:rPr>
                <w:rFonts w:ascii="Helv" w:eastAsia="Times New Roman" w:hAnsi="Helv"/>
                <w:noProof/>
                <w:sz w:val="20"/>
              </w:rPr>
              <mc:AlternateContent>
                <mc:Choice Requires="wps">
                  <w:drawing>
                    <wp:anchor distT="0" distB="0" distL="114300" distR="114300" simplePos="0" relativeHeight="251692032" behindDoc="0" locked="0" layoutInCell="1" allowOverlap="1" wp14:anchorId="659965C0" wp14:editId="48E156CF">
                      <wp:simplePos x="0" y="0"/>
                      <wp:positionH relativeFrom="column">
                        <wp:posOffset>-16510</wp:posOffset>
                      </wp:positionH>
                      <wp:positionV relativeFrom="paragraph">
                        <wp:posOffset>33655</wp:posOffset>
                      </wp:positionV>
                      <wp:extent cx="889635" cy="3689350"/>
                      <wp:effectExtent l="0" t="0" r="24765" b="25400"/>
                      <wp:wrapNone/>
                      <wp:docPr id="77" name="圆角矩形 77">
                        <a:extLst xmlns:a="http://schemas.openxmlformats.org/drawingml/2006/main">
                          <a:ext uri="{FF2B5EF4-FFF2-40B4-BE49-F238E27FC236}">
                            <a16:creationId xmlns:a16="http://schemas.microsoft.com/office/drawing/2014/main" id="{00000000-0008-0000-07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635" cy="368935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65ECBFC3" id="圆角矩形 77" o:spid="_x0000_s1026" style="position:absolute;margin-left:-1.3pt;margin-top:2.65pt;width:70.05pt;height:29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" filled="f" strokecolor="#0070c0" strokeweight="1pt"/>
                  </w:pict>
                </mc:Fallback>
              </mc:AlternateContent>
            </w:r>
          </w:p>
        </w:tc>
      </w:tr>
      <w:tr w:rsidR="005C437E" w:rsidRPr="007C7564" w14:paraId="743CF83D" w14:textId="77777777" w:rsidTr="002F7131">
        <w:trPr>
          <w:trHeight w:val="255"/>
        </w:trPr>
        <w:tc>
          <w:tcPr>
            <w:tcW w:w="1281" w:type="dxa"/>
            <w:tcBorders>
              <w:top w:val="nil"/>
              <w:left w:val="nil"/>
              <w:bottom w:val="nil"/>
              <w:right w:val="nil"/>
            </w:tcBorders>
            <w:shd w:val="clear" w:color="auto" w:fill="auto"/>
            <w:noWrap/>
            <w:vAlign w:val="center"/>
            <w:hideMark/>
          </w:tcPr>
          <w:p w14:paraId="718BA79E"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6090" w:type="dxa"/>
            <w:tcBorders>
              <w:top w:val="nil"/>
              <w:left w:val="nil"/>
              <w:bottom w:val="nil"/>
              <w:right w:val="nil"/>
            </w:tcBorders>
            <w:shd w:val="clear" w:color="auto" w:fill="auto"/>
            <w:noWrap/>
            <w:vAlign w:val="center"/>
            <w:hideMark/>
          </w:tcPr>
          <w:p w14:paraId="15AA4C04"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55" w:type="dxa"/>
            <w:tcBorders>
              <w:top w:val="nil"/>
              <w:left w:val="single" w:sz="4" w:space="0" w:color="0070C0"/>
              <w:bottom w:val="nil"/>
              <w:right w:val="nil"/>
            </w:tcBorders>
            <w:shd w:val="clear" w:color="auto" w:fill="auto"/>
            <w:noWrap/>
            <w:vAlign w:val="center"/>
            <w:hideMark/>
          </w:tcPr>
          <w:p w14:paraId="4132F36B"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sz w:val="20"/>
              </w:rPr>
            </w:pPr>
            <w:r w:rsidRPr="007C7564">
              <w:rPr>
                <w:rFonts w:ascii="SimSun" w:hAnsi="SimSun" w:hint="eastAsia"/>
                <w:b/>
                <w:bCs/>
                <w:sz w:val="20"/>
              </w:rPr>
              <w:t>实际</w:t>
            </w:r>
          </w:p>
        </w:tc>
        <w:tc>
          <w:tcPr>
            <w:tcW w:w="1396" w:type="dxa"/>
            <w:tcBorders>
              <w:top w:val="nil"/>
              <w:left w:val="nil"/>
              <w:bottom w:val="nil"/>
              <w:right w:val="nil"/>
            </w:tcBorders>
            <w:shd w:val="clear" w:color="auto" w:fill="auto"/>
            <w:noWrap/>
            <w:vAlign w:val="center"/>
            <w:hideMark/>
          </w:tcPr>
          <w:p w14:paraId="5AB13207"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sz w:val="20"/>
              </w:rPr>
            </w:pPr>
            <w:r w:rsidRPr="007C7564">
              <w:rPr>
                <w:rFonts w:ascii="SimSun" w:hAnsi="SimSun" w:hint="eastAsia"/>
                <w:b/>
                <w:bCs/>
                <w:sz w:val="20"/>
              </w:rPr>
              <w:t>预算</w:t>
            </w:r>
          </w:p>
        </w:tc>
        <w:tc>
          <w:tcPr>
            <w:tcW w:w="1166" w:type="dxa"/>
            <w:tcBorders>
              <w:top w:val="nil"/>
              <w:left w:val="nil"/>
              <w:bottom w:val="nil"/>
              <w:right w:val="nil"/>
            </w:tcBorders>
            <w:shd w:val="clear" w:color="auto" w:fill="auto"/>
            <w:noWrap/>
            <w:vAlign w:val="center"/>
            <w:hideMark/>
          </w:tcPr>
          <w:p w14:paraId="5AD90E6F"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20"/>
              </w:rPr>
            </w:pPr>
            <w:r w:rsidRPr="007C7564">
              <w:rPr>
                <w:rFonts w:ascii="SimSun" w:hAnsi="SimSun" w:hint="eastAsia"/>
                <w:b/>
                <w:bCs/>
                <w:color w:val="002060"/>
                <w:sz w:val="20"/>
              </w:rPr>
              <w:t>估算</w:t>
            </w:r>
          </w:p>
        </w:tc>
        <w:tc>
          <w:tcPr>
            <w:tcW w:w="1166" w:type="dxa"/>
            <w:tcBorders>
              <w:top w:val="nil"/>
              <w:left w:val="nil"/>
              <w:bottom w:val="nil"/>
              <w:right w:val="nil"/>
            </w:tcBorders>
            <w:shd w:val="clear" w:color="auto" w:fill="auto"/>
            <w:noWrap/>
            <w:vAlign w:val="center"/>
            <w:hideMark/>
          </w:tcPr>
          <w:p w14:paraId="540B94A3"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20"/>
              </w:rPr>
            </w:pPr>
            <w:r w:rsidRPr="007C7564">
              <w:rPr>
                <w:rFonts w:ascii="SimSun" w:hAnsi="SimSun" w:hint="eastAsia"/>
                <w:b/>
                <w:bCs/>
                <w:color w:val="002060"/>
                <w:sz w:val="20"/>
              </w:rPr>
              <w:t>估算</w:t>
            </w:r>
          </w:p>
        </w:tc>
        <w:tc>
          <w:tcPr>
            <w:tcW w:w="1396" w:type="dxa"/>
            <w:tcBorders>
              <w:top w:val="nil"/>
              <w:left w:val="nil"/>
              <w:bottom w:val="nil"/>
              <w:right w:val="nil"/>
            </w:tcBorders>
            <w:shd w:val="clear" w:color="auto" w:fill="auto"/>
            <w:noWrap/>
            <w:vAlign w:val="center"/>
            <w:hideMark/>
          </w:tcPr>
          <w:p w14:paraId="5B5202A9"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20"/>
              </w:rPr>
            </w:pPr>
            <w:r w:rsidRPr="007C7564">
              <w:rPr>
                <w:rFonts w:ascii="SimSun" w:hAnsi="SimSun" w:hint="eastAsia"/>
                <w:b/>
                <w:bCs/>
                <w:color w:val="002060"/>
                <w:sz w:val="20"/>
              </w:rPr>
              <w:t>合计</w:t>
            </w:r>
          </w:p>
        </w:tc>
      </w:tr>
      <w:tr w:rsidR="005C437E" w:rsidRPr="007C7564" w14:paraId="557ABBBE" w14:textId="77777777" w:rsidTr="002F7131">
        <w:trPr>
          <w:trHeight w:val="510"/>
        </w:trPr>
        <w:tc>
          <w:tcPr>
            <w:tcW w:w="1281" w:type="dxa"/>
            <w:tcBorders>
              <w:top w:val="nil"/>
              <w:left w:val="nil"/>
              <w:bottom w:val="single" w:sz="4" w:space="0" w:color="auto"/>
              <w:right w:val="nil"/>
            </w:tcBorders>
            <w:shd w:val="clear" w:color="auto" w:fill="auto"/>
            <w:noWrap/>
            <w:vAlign w:val="center"/>
            <w:hideMark/>
          </w:tcPr>
          <w:p w14:paraId="620C3D1C"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7C7564">
              <w:rPr>
                <w:rFonts w:eastAsia="Times New Roman" w:cs="Calibri"/>
                <w:b/>
                <w:bCs/>
                <w:sz w:val="20"/>
              </w:rPr>
              <w:t> </w:t>
            </w:r>
          </w:p>
        </w:tc>
        <w:tc>
          <w:tcPr>
            <w:tcW w:w="6090" w:type="dxa"/>
            <w:tcBorders>
              <w:top w:val="nil"/>
              <w:left w:val="nil"/>
              <w:bottom w:val="single" w:sz="4" w:space="0" w:color="auto"/>
              <w:right w:val="nil"/>
            </w:tcBorders>
            <w:shd w:val="clear" w:color="auto" w:fill="auto"/>
            <w:noWrap/>
            <w:vAlign w:val="center"/>
            <w:hideMark/>
          </w:tcPr>
          <w:p w14:paraId="0A914C3E"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7C7564">
              <w:rPr>
                <w:rFonts w:eastAsia="Times New Roman" w:cs="Calibri"/>
                <w:b/>
                <w:bCs/>
                <w:sz w:val="20"/>
              </w:rPr>
              <w:t> </w:t>
            </w:r>
          </w:p>
        </w:tc>
        <w:tc>
          <w:tcPr>
            <w:tcW w:w="1355" w:type="dxa"/>
            <w:tcBorders>
              <w:top w:val="nil"/>
              <w:left w:val="single" w:sz="4" w:space="0" w:color="0070C0"/>
              <w:bottom w:val="single" w:sz="4" w:space="0" w:color="auto"/>
              <w:right w:val="nil"/>
            </w:tcBorders>
            <w:shd w:val="clear" w:color="auto" w:fill="auto"/>
            <w:vAlign w:val="center"/>
            <w:hideMark/>
          </w:tcPr>
          <w:p w14:paraId="03269DAD"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sz w:val="20"/>
              </w:rPr>
            </w:pPr>
            <w:r w:rsidRPr="007C7564">
              <w:rPr>
                <w:rFonts w:eastAsia="Times New Roman" w:cs="Calibri"/>
                <w:b/>
                <w:bCs/>
                <w:sz w:val="20"/>
              </w:rPr>
              <w:t>2018-2019</w:t>
            </w:r>
            <w:r w:rsidRPr="007C7564">
              <w:rPr>
                <w:rFonts w:ascii="SimSun" w:hAnsi="SimSun" w:cs="Calibri" w:hint="eastAsia"/>
                <w:b/>
                <w:bCs/>
                <w:sz w:val="20"/>
              </w:rPr>
              <w:t>年</w:t>
            </w:r>
          </w:p>
        </w:tc>
        <w:tc>
          <w:tcPr>
            <w:tcW w:w="1396" w:type="dxa"/>
            <w:tcBorders>
              <w:top w:val="nil"/>
              <w:left w:val="nil"/>
              <w:bottom w:val="single" w:sz="4" w:space="0" w:color="auto"/>
              <w:right w:val="nil"/>
            </w:tcBorders>
            <w:shd w:val="clear" w:color="auto" w:fill="auto"/>
            <w:vAlign w:val="center"/>
            <w:hideMark/>
          </w:tcPr>
          <w:p w14:paraId="7B7B9D55"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sz w:val="20"/>
              </w:rPr>
            </w:pPr>
            <w:r w:rsidRPr="007C7564">
              <w:rPr>
                <w:rFonts w:eastAsia="Times New Roman" w:cs="Calibri"/>
                <w:b/>
                <w:bCs/>
                <w:sz w:val="20"/>
              </w:rPr>
              <w:t>2020-2021</w:t>
            </w:r>
            <w:r w:rsidRPr="007C7564">
              <w:rPr>
                <w:rFonts w:ascii="SimSun" w:hAnsi="SimSun" w:cs="Calibri" w:hint="eastAsia"/>
                <w:b/>
                <w:bCs/>
                <w:sz w:val="20"/>
              </w:rPr>
              <w:t>年</w:t>
            </w:r>
          </w:p>
        </w:tc>
        <w:tc>
          <w:tcPr>
            <w:tcW w:w="1166" w:type="dxa"/>
            <w:tcBorders>
              <w:top w:val="nil"/>
              <w:left w:val="nil"/>
              <w:bottom w:val="single" w:sz="4" w:space="0" w:color="auto"/>
              <w:right w:val="nil"/>
            </w:tcBorders>
            <w:shd w:val="clear" w:color="auto" w:fill="auto"/>
            <w:vAlign w:val="center"/>
            <w:hideMark/>
          </w:tcPr>
          <w:p w14:paraId="504FBB85"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7C7564">
              <w:rPr>
                <w:rFonts w:eastAsia="Times New Roman" w:cs="Calibri"/>
                <w:b/>
                <w:bCs/>
                <w:color w:val="002060"/>
                <w:sz w:val="20"/>
              </w:rPr>
              <w:t>2022</w:t>
            </w:r>
            <w:r w:rsidRPr="007C7564">
              <w:rPr>
                <w:rFonts w:ascii="SimSun" w:hAnsi="SimSun" w:cs="Calibri" w:hint="eastAsia"/>
                <w:b/>
                <w:bCs/>
                <w:color w:val="002060"/>
                <w:sz w:val="20"/>
              </w:rPr>
              <w:t>年</w:t>
            </w:r>
          </w:p>
        </w:tc>
        <w:tc>
          <w:tcPr>
            <w:tcW w:w="1166" w:type="dxa"/>
            <w:tcBorders>
              <w:top w:val="nil"/>
              <w:left w:val="nil"/>
              <w:bottom w:val="single" w:sz="4" w:space="0" w:color="auto"/>
              <w:right w:val="nil"/>
            </w:tcBorders>
            <w:shd w:val="clear" w:color="auto" w:fill="auto"/>
            <w:vAlign w:val="center"/>
            <w:hideMark/>
          </w:tcPr>
          <w:p w14:paraId="1DD9AE9E"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7C7564">
              <w:rPr>
                <w:rFonts w:eastAsia="Times New Roman" w:cs="Calibri"/>
                <w:b/>
                <w:bCs/>
                <w:color w:val="002060"/>
                <w:sz w:val="20"/>
              </w:rPr>
              <w:t>2023</w:t>
            </w:r>
            <w:r w:rsidRPr="007C7564">
              <w:rPr>
                <w:rFonts w:ascii="SimSun" w:hAnsi="SimSun" w:cs="Calibri" w:hint="eastAsia"/>
                <w:b/>
                <w:bCs/>
                <w:color w:val="002060"/>
                <w:sz w:val="20"/>
              </w:rPr>
              <w:t>年</w:t>
            </w:r>
          </w:p>
        </w:tc>
        <w:tc>
          <w:tcPr>
            <w:tcW w:w="1396" w:type="dxa"/>
            <w:tcBorders>
              <w:top w:val="nil"/>
              <w:left w:val="nil"/>
              <w:bottom w:val="single" w:sz="4" w:space="0" w:color="auto"/>
              <w:right w:val="nil"/>
            </w:tcBorders>
            <w:shd w:val="clear" w:color="auto" w:fill="auto"/>
            <w:vAlign w:val="center"/>
            <w:hideMark/>
          </w:tcPr>
          <w:p w14:paraId="430C99F2"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7C7564">
              <w:rPr>
                <w:rFonts w:eastAsia="Times New Roman" w:cs="Calibri"/>
                <w:b/>
                <w:bCs/>
                <w:color w:val="002060"/>
                <w:sz w:val="20"/>
              </w:rPr>
              <w:t>2022-2023</w:t>
            </w:r>
            <w:r w:rsidRPr="007C7564">
              <w:rPr>
                <w:rFonts w:ascii="SimSun" w:hAnsi="SimSun" w:cs="Calibri" w:hint="eastAsia"/>
                <w:b/>
                <w:bCs/>
                <w:color w:val="002060"/>
                <w:sz w:val="20"/>
              </w:rPr>
              <w:t>年</w:t>
            </w:r>
          </w:p>
        </w:tc>
      </w:tr>
      <w:tr w:rsidR="005C437E" w:rsidRPr="007C7564" w14:paraId="26ACBF8B" w14:textId="77777777" w:rsidTr="002F7131">
        <w:trPr>
          <w:trHeight w:val="165"/>
        </w:trPr>
        <w:tc>
          <w:tcPr>
            <w:tcW w:w="1281" w:type="dxa"/>
            <w:tcBorders>
              <w:top w:val="nil"/>
              <w:left w:val="nil"/>
              <w:bottom w:val="nil"/>
              <w:right w:val="nil"/>
            </w:tcBorders>
            <w:shd w:val="clear" w:color="auto" w:fill="auto"/>
            <w:noWrap/>
            <w:vAlign w:val="center"/>
            <w:hideMark/>
          </w:tcPr>
          <w:p w14:paraId="60815844"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6090" w:type="dxa"/>
            <w:tcBorders>
              <w:top w:val="nil"/>
              <w:left w:val="nil"/>
              <w:bottom w:val="nil"/>
              <w:right w:val="nil"/>
            </w:tcBorders>
            <w:shd w:val="clear" w:color="auto" w:fill="auto"/>
            <w:noWrap/>
            <w:vAlign w:val="center"/>
            <w:hideMark/>
          </w:tcPr>
          <w:p w14:paraId="5D240649"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55" w:type="dxa"/>
            <w:tcBorders>
              <w:top w:val="nil"/>
              <w:left w:val="single" w:sz="4" w:space="0" w:color="0070C0"/>
              <w:bottom w:val="nil"/>
              <w:right w:val="nil"/>
            </w:tcBorders>
            <w:shd w:val="clear" w:color="auto" w:fill="auto"/>
            <w:noWrap/>
            <w:vAlign w:val="center"/>
            <w:hideMark/>
          </w:tcPr>
          <w:p w14:paraId="4A1219B4"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3370D98B"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66" w:type="dxa"/>
            <w:tcBorders>
              <w:top w:val="nil"/>
              <w:left w:val="nil"/>
              <w:bottom w:val="nil"/>
              <w:right w:val="nil"/>
            </w:tcBorders>
            <w:shd w:val="clear" w:color="auto" w:fill="auto"/>
            <w:noWrap/>
            <w:vAlign w:val="center"/>
            <w:hideMark/>
          </w:tcPr>
          <w:p w14:paraId="0B568A75"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66" w:type="dxa"/>
            <w:tcBorders>
              <w:top w:val="nil"/>
              <w:left w:val="nil"/>
              <w:bottom w:val="nil"/>
              <w:right w:val="nil"/>
            </w:tcBorders>
            <w:shd w:val="clear" w:color="auto" w:fill="auto"/>
            <w:noWrap/>
            <w:vAlign w:val="center"/>
            <w:hideMark/>
          </w:tcPr>
          <w:p w14:paraId="120A5FA2"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33037503"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7C7564" w14:paraId="70FBBA5A" w14:textId="77777777" w:rsidTr="002F7131">
        <w:trPr>
          <w:trHeight w:val="252"/>
        </w:trPr>
        <w:tc>
          <w:tcPr>
            <w:tcW w:w="1281" w:type="dxa"/>
            <w:tcBorders>
              <w:top w:val="nil"/>
              <w:left w:val="nil"/>
              <w:bottom w:val="nil"/>
              <w:right w:val="nil"/>
            </w:tcBorders>
            <w:shd w:val="clear" w:color="auto" w:fill="auto"/>
            <w:noWrap/>
            <w:vAlign w:val="bottom"/>
            <w:hideMark/>
          </w:tcPr>
          <w:p w14:paraId="4C3D0DF7"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7C7564">
              <w:rPr>
                <w:rFonts w:ascii="SimSun" w:hAnsi="SimSun" w:hint="eastAsia"/>
                <w:sz w:val="18"/>
                <w:szCs w:val="18"/>
              </w:rPr>
              <w:t>第</w:t>
            </w:r>
            <w:r w:rsidRPr="007C7564">
              <w:rPr>
                <w:rFonts w:cs="Calibri"/>
                <w:sz w:val="18"/>
                <w:szCs w:val="18"/>
              </w:rPr>
              <w:t>3.1</w:t>
            </w:r>
            <w:r w:rsidRPr="007C7564">
              <w:rPr>
                <w:rFonts w:ascii="SimSun" w:hAnsi="SimSun" w:hint="eastAsia"/>
                <w:sz w:val="18"/>
                <w:szCs w:val="18"/>
              </w:rPr>
              <w:t>项</w:t>
            </w:r>
          </w:p>
        </w:tc>
        <w:tc>
          <w:tcPr>
            <w:tcW w:w="6090" w:type="dxa"/>
            <w:tcBorders>
              <w:top w:val="nil"/>
              <w:left w:val="nil"/>
              <w:bottom w:val="nil"/>
              <w:right w:val="nil"/>
            </w:tcBorders>
            <w:shd w:val="clear" w:color="auto" w:fill="auto"/>
            <w:noWrap/>
            <w:vAlign w:val="center"/>
            <w:hideMark/>
          </w:tcPr>
          <w:p w14:paraId="5D4D87BB"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lang w:eastAsia="zh-CN"/>
              </w:rPr>
            </w:pPr>
            <w:r w:rsidRPr="007C7564">
              <w:rPr>
                <w:rFonts w:eastAsiaTheme="majorEastAsia" w:cstheme="minorHAnsi"/>
                <w:sz w:val="20"/>
                <w:lang w:eastAsia="zh-CN"/>
              </w:rPr>
              <w:t>世界电信标准化全会</w:t>
            </w:r>
            <w:r>
              <w:rPr>
                <w:rFonts w:eastAsiaTheme="majorEastAsia" w:cstheme="minorHAnsi" w:hint="eastAsia"/>
                <w:sz w:val="20"/>
                <w:lang w:eastAsia="zh-CN"/>
              </w:rPr>
              <w:t>和</w:t>
            </w:r>
            <w:r w:rsidRPr="007C7564">
              <w:rPr>
                <w:rFonts w:eastAsiaTheme="majorEastAsia" w:cstheme="minorHAnsi"/>
                <w:sz w:val="20"/>
                <w:lang w:eastAsia="zh-CN"/>
              </w:rPr>
              <w:t>筹备会议</w:t>
            </w:r>
          </w:p>
        </w:tc>
        <w:tc>
          <w:tcPr>
            <w:tcW w:w="1355" w:type="dxa"/>
            <w:tcBorders>
              <w:top w:val="nil"/>
              <w:left w:val="single" w:sz="4" w:space="0" w:color="0070C0"/>
              <w:bottom w:val="nil"/>
              <w:right w:val="nil"/>
            </w:tcBorders>
            <w:shd w:val="clear" w:color="auto" w:fill="auto"/>
            <w:noWrap/>
            <w:vAlign w:val="center"/>
            <w:hideMark/>
          </w:tcPr>
          <w:p w14:paraId="025D0A52"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r w:rsidRPr="007C7564">
              <w:rPr>
                <w:rFonts w:eastAsia="Times New Roman" w:cs="Calibri"/>
                <w:sz w:val="20"/>
                <w:lang w:eastAsia="zh-CN"/>
              </w:rPr>
              <w:t> </w:t>
            </w:r>
          </w:p>
        </w:tc>
        <w:tc>
          <w:tcPr>
            <w:tcW w:w="1396" w:type="dxa"/>
            <w:tcBorders>
              <w:top w:val="nil"/>
              <w:left w:val="nil"/>
              <w:bottom w:val="nil"/>
              <w:right w:val="nil"/>
            </w:tcBorders>
            <w:shd w:val="clear" w:color="auto" w:fill="auto"/>
            <w:noWrap/>
            <w:vAlign w:val="center"/>
            <w:hideMark/>
          </w:tcPr>
          <w:p w14:paraId="4661A928"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275</w:t>
            </w:r>
          </w:p>
        </w:tc>
        <w:tc>
          <w:tcPr>
            <w:tcW w:w="1166" w:type="dxa"/>
            <w:tcBorders>
              <w:top w:val="nil"/>
              <w:left w:val="nil"/>
              <w:bottom w:val="nil"/>
              <w:right w:val="nil"/>
            </w:tcBorders>
            <w:shd w:val="clear" w:color="auto" w:fill="auto"/>
            <w:noWrap/>
            <w:vAlign w:val="center"/>
            <w:hideMark/>
          </w:tcPr>
          <w:p w14:paraId="2BA3344F"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699</w:t>
            </w:r>
          </w:p>
        </w:tc>
        <w:tc>
          <w:tcPr>
            <w:tcW w:w="1166" w:type="dxa"/>
            <w:tcBorders>
              <w:top w:val="nil"/>
              <w:left w:val="nil"/>
              <w:bottom w:val="nil"/>
              <w:right w:val="nil"/>
            </w:tcBorders>
            <w:shd w:val="clear" w:color="auto" w:fill="auto"/>
            <w:noWrap/>
            <w:vAlign w:val="center"/>
            <w:hideMark/>
          </w:tcPr>
          <w:p w14:paraId="2F1A7DD6"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0</w:t>
            </w:r>
          </w:p>
        </w:tc>
        <w:tc>
          <w:tcPr>
            <w:tcW w:w="1396" w:type="dxa"/>
            <w:tcBorders>
              <w:top w:val="nil"/>
              <w:left w:val="nil"/>
              <w:bottom w:val="nil"/>
              <w:right w:val="nil"/>
            </w:tcBorders>
            <w:shd w:val="clear" w:color="auto" w:fill="auto"/>
            <w:noWrap/>
            <w:vAlign w:val="center"/>
            <w:hideMark/>
          </w:tcPr>
          <w:p w14:paraId="265A4AFE"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699</w:t>
            </w:r>
          </w:p>
        </w:tc>
      </w:tr>
      <w:tr w:rsidR="005C437E" w:rsidRPr="007C7564" w14:paraId="56CA7C9A" w14:textId="77777777" w:rsidTr="002F7131">
        <w:trPr>
          <w:trHeight w:val="199"/>
        </w:trPr>
        <w:tc>
          <w:tcPr>
            <w:tcW w:w="1281" w:type="dxa"/>
            <w:tcBorders>
              <w:top w:val="nil"/>
              <w:left w:val="nil"/>
              <w:bottom w:val="nil"/>
              <w:right w:val="nil"/>
            </w:tcBorders>
            <w:shd w:val="clear" w:color="auto" w:fill="auto"/>
            <w:noWrap/>
            <w:vAlign w:val="center"/>
            <w:hideMark/>
          </w:tcPr>
          <w:p w14:paraId="042904DC"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6090" w:type="dxa"/>
            <w:tcBorders>
              <w:top w:val="nil"/>
              <w:left w:val="nil"/>
              <w:bottom w:val="nil"/>
              <w:right w:val="nil"/>
            </w:tcBorders>
            <w:shd w:val="clear" w:color="auto" w:fill="auto"/>
            <w:noWrap/>
            <w:vAlign w:val="center"/>
            <w:hideMark/>
          </w:tcPr>
          <w:p w14:paraId="34AC30A2"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55" w:type="dxa"/>
            <w:tcBorders>
              <w:top w:val="nil"/>
              <w:left w:val="single" w:sz="4" w:space="0" w:color="0070C0"/>
              <w:bottom w:val="nil"/>
              <w:right w:val="nil"/>
            </w:tcBorders>
            <w:shd w:val="clear" w:color="auto" w:fill="auto"/>
            <w:noWrap/>
            <w:vAlign w:val="center"/>
            <w:hideMark/>
          </w:tcPr>
          <w:p w14:paraId="4CD27FFB"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bookmarkStart w:id="61" w:name="RANGE!C10:G25"/>
            <w:r w:rsidRPr="007C7564">
              <w:rPr>
                <w:rFonts w:eastAsia="Times New Roman" w:cs="Calibri"/>
                <w:sz w:val="20"/>
              </w:rPr>
              <w:t> </w:t>
            </w:r>
            <w:bookmarkEnd w:id="61"/>
          </w:p>
        </w:tc>
        <w:tc>
          <w:tcPr>
            <w:tcW w:w="1396" w:type="dxa"/>
            <w:tcBorders>
              <w:top w:val="nil"/>
              <w:left w:val="nil"/>
              <w:bottom w:val="nil"/>
              <w:right w:val="nil"/>
            </w:tcBorders>
            <w:shd w:val="clear" w:color="auto" w:fill="auto"/>
            <w:noWrap/>
            <w:vAlign w:val="center"/>
            <w:hideMark/>
          </w:tcPr>
          <w:p w14:paraId="4284A4D0"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66" w:type="dxa"/>
            <w:tcBorders>
              <w:top w:val="nil"/>
              <w:left w:val="nil"/>
              <w:bottom w:val="nil"/>
              <w:right w:val="nil"/>
            </w:tcBorders>
            <w:shd w:val="clear" w:color="auto" w:fill="auto"/>
            <w:noWrap/>
            <w:vAlign w:val="center"/>
            <w:hideMark/>
          </w:tcPr>
          <w:p w14:paraId="75B3973A"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66" w:type="dxa"/>
            <w:tcBorders>
              <w:top w:val="nil"/>
              <w:left w:val="nil"/>
              <w:bottom w:val="nil"/>
              <w:right w:val="nil"/>
            </w:tcBorders>
            <w:shd w:val="clear" w:color="auto" w:fill="auto"/>
            <w:noWrap/>
            <w:vAlign w:val="center"/>
            <w:hideMark/>
          </w:tcPr>
          <w:p w14:paraId="05BD79D8"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50F80AFD"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7C7564" w14:paraId="7989B215" w14:textId="77777777" w:rsidTr="002F7131">
        <w:trPr>
          <w:trHeight w:val="252"/>
        </w:trPr>
        <w:tc>
          <w:tcPr>
            <w:tcW w:w="1281" w:type="dxa"/>
            <w:tcBorders>
              <w:top w:val="nil"/>
              <w:left w:val="nil"/>
              <w:bottom w:val="nil"/>
              <w:right w:val="nil"/>
            </w:tcBorders>
            <w:shd w:val="clear" w:color="auto" w:fill="auto"/>
            <w:noWrap/>
            <w:vAlign w:val="bottom"/>
            <w:hideMark/>
          </w:tcPr>
          <w:p w14:paraId="311B00FB"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7C7564">
              <w:rPr>
                <w:rFonts w:ascii="SimSun" w:hAnsi="SimSun" w:hint="eastAsia"/>
                <w:sz w:val="18"/>
                <w:szCs w:val="18"/>
              </w:rPr>
              <w:t>第</w:t>
            </w:r>
            <w:r w:rsidRPr="007C7564">
              <w:rPr>
                <w:rFonts w:cs="Calibri"/>
                <w:sz w:val="18"/>
                <w:szCs w:val="18"/>
              </w:rPr>
              <w:t>5</w:t>
            </w:r>
            <w:r w:rsidRPr="007C7564">
              <w:rPr>
                <w:rFonts w:ascii="SimSun" w:hAnsi="SimSun" w:hint="eastAsia"/>
                <w:sz w:val="18"/>
                <w:szCs w:val="18"/>
              </w:rPr>
              <w:t>项</w:t>
            </w:r>
          </w:p>
        </w:tc>
        <w:tc>
          <w:tcPr>
            <w:tcW w:w="6090" w:type="dxa"/>
            <w:tcBorders>
              <w:top w:val="nil"/>
              <w:left w:val="nil"/>
              <w:bottom w:val="nil"/>
              <w:right w:val="nil"/>
            </w:tcBorders>
            <w:shd w:val="clear" w:color="auto" w:fill="auto"/>
            <w:noWrap/>
            <w:vAlign w:val="bottom"/>
            <w:hideMark/>
          </w:tcPr>
          <w:p w14:paraId="74015946"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7C7564">
              <w:rPr>
                <w:rFonts w:ascii="SimSun" w:hAnsi="SimSun" w:hint="eastAsia"/>
                <w:sz w:val="18"/>
                <w:szCs w:val="18"/>
              </w:rPr>
              <w:t>电信标准化顾问组</w:t>
            </w:r>
          </w:p>
        </w:tc>
        <w:tc>
          <w:tcPr>
            <w:tcW w:w="1355" w:type="dxa"/>
            <w:tcBorders>
              <w:top w:val="nil"/>
              <w:left w:val="single" w:sz="4" w:space="0" w:color="0070C0"/>
              <w:bottom w:val="nil"/>
              <w:right w:val="nil"/>
            </w:tcBorders>
            <w:shd w:val="clear" w:color="auto" w:fill="auto"/>
            <w:noWrap/>
            <w:vAlign w:val="center"/>
            <w:hideMark/>
          </w:tcPr>
          <w:p w14:paraId="72CAC631"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132</w:t>
            </w:r>
          </w:p>
        </w:tc>
        <w:tc>
          <w:tcPr>
            <w:tcW w:w="1396" w:type="dxa"/>
            <w:tcBorders>
              <w:top w:val="nil"/>
              <w:left w:val="nil"/>
              <w:bottom w:val="nil"/>
              <w:right w:val="nil"/>
            </w:tcBorders>
            <w:shd w:val="clear" w:color="auto" w:fill="auto"/>
            <w:noWrap/>
            <w:vAlign w:val="center"/>
            <w:hideMark/>
          </w:tcPr>
          <w:p w14:paraId="68223810"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198</w:t>
            </w:r>
          </w:p>
        </w:tc>
        <w:tc>
          <w:tcPr>
            <w:tcW w:w="1166" w:type="dxa"/>
            <w:tcBorders>
              <w:top w:val="nil"/>
              <w:left w:val="nil"/>
              <w:bottom w:val="nil"/>
              <w:right w:val="nil"/>
            </w:tcBorders>
            <w:shd w:val="clear" w:color="auto" w:fill="auto"/>
            <w:noWrap/>
            <w:vAlign w:val="center"/>
            <w:hideMark/>
          </w:tcPr>
          <w:p w14:paraId="03CDBE2B"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91</w:t>
            </w:r>
          </w:p>
        </w:tc>
        <w:tc>
          <w:tcPr>
            <w:tcW w:w="1166" w:type="dxa"/>
            <w:tcBorders>
              <w:top w:val="nil"/>
              <w:left w:val="nil"/>
              <w:bottom w:val="nil"/>
              <w:right w:val="nil"/>
            </w:tcBorders>
            <w:shd w:val="clear" w:color="auto" w:fill="auto"/>
            <w:noWrap/>
            <w:vAlign w:val="center"/>
            <w:hideMark/>
          </w:tcPr>
          <w:p w14:paraId="070530DF"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91</w:t>
            </w:r>
          </w:p>
        </w:tc>
        <w:tc>
          <w:tcPr>
            <w:tcW w:w="1396" w:type="dxa"/>
            <w:tcBorders>
              <w:top w:val="nil"/>
              <w:left w:val="nil"/>
              <w:bottom w:val="nil"/>
              <w:right w:val="nil"/>
            </w:tcBorders>
            <w:shd w:val="clear" w:color="auto" w:fill="auto"/>
            <w:noWrap/>
            <w:vAlign w:val="center"/>
            <w:hideMark/>
          </w:tcPr>
          <w:p w14:paraId="6D3085CB"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182</w:t>
            </w:r>
          </w:p>
        </w:tc>
      </w:tr>
      <w:tr w:rsidR="005C437E" w:rsidRPr="007C7564" w14:paraId="7A74E2C3" w14:textId="77777777" w:rsidTr="002F7131">
        <w:trPr>
          <w:trHeight w:val="199"/>
        </w:trPr>
        <w:tc>
          <w:tcPr>
            <w:tcW w:w="1281" w:type="dxa"/>
            <w:tcBorders>
              <w:top w:val="nil"/>
              <w:left w:val="nil"/>
              <w:bottom w:val="nil"/>
              <w:right w:val="nil"/>
            </w:tcBorders>
            <w:shd w:val="clear" w:color="auto" w:fill="auto"/>
            <w:noWrap/>
            <w:vAlign w:val="center"/>
            <w:hideMark/>
          </w:tcPr>
          <w:p w14:paraId="3281BADA"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6090" w:type="dxa"/>
            <w:tcBorders>
              <w:top w:val="nil"/>
              <w:left w:val="nil"/>
              <w:bottom w:val="nil"/>
              <w:right w:val="nil"/>
            </w:tcBorders>
            <w:shd w:val="clear" w:color="auto" w:fill="auto"/>
            <w:noWrap/>
            <w:vAlign w:val="center"/>
            <w:hideMark/>
          </w:tcPr>
          <w:p w14:paraId="35EA1456"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55" w:type="dxa"/>
            <w:tcBorders>
              <w:top w:val="nil"/>
              <w:left w:val="single" w:sz="4" w:space="0" w:color="0070C0"/>
              <w:bottom w:val="nil"/>
              <w:right w:val="nil"/>
            </w:tcBorders>
            <w:shd w:val="clear" w:color="auto" w:fill="auto"/>
            <w:noWrap/>
            <w:vAlign w:val="center"/>
            <w:hideMark/>
          </w:tcPr>
          <w:p w14:paraId="701B0A98"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587263E0"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66" w:type="dxa"/>
            <w:tcBorders>
              <w:top w:val="nil"/>
              <w:left w:val="nil"/>
              <w:bottom w:val="nil"/>
              <w:right w:val="nil"/>
            </w:tcBorders>
            <w:shd w:val="clear" w:color="auto" w:fill="auto"/>
            <w:noWrap/>
            <w:vAlign w:val="center"/>
            <w:hideMark/>
          </w:tcPr>
          <w:p w14:paraId="376E6F8D"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66" w:type="dxa"/>
            <w:tcBorders>
              <w:top w:val="nil"/>
              <w:left w:val="nil"/>
              <w:bottom w:val="nil"/>
              <w:right w:val="nil"/>
            </w:tcBorders>
            <w:shd w:val="clear" w:color="auto" w:fill="auto"/>
            <w:noWrap/>
            <w:vAlign w:val="center"/>
            <w:hideMark/>
          </w:tcPr>
          <w:p w14:paraId="22BA52A2"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6100E598"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7C7564" w14:paraId="45A421BA" w14:textId="77777777" w:rsidTr="002F7131">
        <w:trPr>
          <w:trHeight w:val="252"/>
        </w:trPr>
        <w:tc>
          <w:tcPr>
            <w:tcW w:w="1281" w:type="dxa"/>
            <w:tcBorders>
              <w:top w:val="nil"/>
              <w:left w:val="nil"/>
              <w:bottom w:val="nil"/>
              <w:right w:val="nil"/>
            </w:tcBorders>
            <w:shd w:val="clear" w:color="auto" w:fill="auto"/>
            <w:noWrap/>
            <w:vAlign w:val="bottom"/>
            <w:hideMark/>
          </w:tcPr>
          <w:p w14:paraId="712C5E47"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7C7564">
              <w:rPr>
                <w:rFonts w:ascii="SimSun" w:hAnsi="SimSun" w:hint="eastAsia"/>
                <w:sz w:val="18"/>
                <w:szCs w:val="18"/>
              </w:rPr>
              <w:t>第</w:t>
            </w:r>
            <w:r w:rsidRPr="007C7564">
              <w:rPr>
                <w:rFonts w:cs="Calibri"/>
                <w:sz w:val="18"/>
                <w:szCs w:val="18"/>
              </w:rPr>
              <w:t>6</w:t>
            </w:r>
            <w:r w:rsidRPr="007C7564">
              <w:rPr>
                <w:rFonts w:ascii="SimSun" w:hAnsi="SimSun" w:hint="eastAsia"/>
                <w:sz w:val="18"/>
                <w:szCs w:val="18"/>
              </w:rPr>
              <w:t>项</w:t>
            </w:r>
          </w:p>
        </w:tc>
        <w:tc>
          <w:tcPr>
            <w:tcW w:w="6090" w:type="dxa"/>
            <w:tcBorders>
              <w:top w:val="nil"/>
              <w:left w:val="nil"/>
              <w:bottom w:val="nil"/>
              <w:right w:val="nil"/>
            </w:tcBorders>
            <w:shd w:val="clear" w:color="auto" w:fill="auto"/>
            <w:noWrap/>
            <w:vAlign w:val="bottom"/>
            <w:hideMark/>
          </w:tcPr>
          <w:p w14:paraId="4E29CB58"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7C7564">
              <w:rPr>
                <w:rFonts w:ascii="SimSun" w:hAnsi="SimSun" w:hint="eastAsia"/>
                <w:sz w:val="18"/>
                <w:szCs w:val="18"/>
              </w:rPr>
              <w:t>研究组会议</w:t>
            </w:r>
          </w:p>
        </w:tc>
        <w:tc>
          <w:tcPr>
            <w:tcW w:w="1355" w:type="dxa"/>
            <w:tcBorders>
              <w:top w:val="nil"/>
              <w:left w:val="single" w:sz="4" w:space="0" w:color="0070C0"/>
              <w:bottom w:val="nil"/>
              <w:right w:val="nil"/>
            </w:tcBorders>
            <w:shd w:val="clear" w:color="auto" w:fill="auto"/>
            <w:noWrap/>
            <w:vAlign w:val="center"/>
            <w:hideMark/>
          </w:tcPr>
          <w:p w14:paraId="346ACB0F"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2,390</w:t>
            </w:r>
          </w:p>
        </w:tc>
        <w:tc>
          <w:tcPr>
            <w:tcW w:w="1396" w:type="dxa"/>
            <w:tcBorders>
              <w:top w:val="nil"/>
              <w:left w:val="nil"/>
              <w:bottom w:val="nil"/>
              <w:right w:val="nil"/>
            </w:tcBorders>
            <w:shd w:val="clear" w:color="auto" w:fill="auto"/>
            <w:noWrap/>
            <w:vAlign w:val="center"/>
            <w:hideMark/>
          </w:tcPr>
          <w:p w14:paraId="7FFCBAFD"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2,394</w:t>
            </w:r>
          </w:p>
        </w:tc>
        <w:tc>
          <w:tcPr>
            <w:tcW w:w="1166" w:type="dxa"/>
            <w:tcBorders>
              <w:top w:val="nil"/>
              <w:left w:val="nil"/>
              <w:bottom w:val="nil"/>
              <w:right w:val="nil"/>
            </w:tcBorders>
            <w:shd w:val="clear" w:color="auto" w:fill="auto"/>
            <w:noWrap/>
            <w:vAlign w:val="center"/>
            <w:hideMark/>
          </w:tcPr>
          <w:p w14:paraId="1D9E7320"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1,180</w:t>
            </w:r>
          </w:p>
        </w:tc>
        <w:tc>
          <w:tcPr>
            <w:tcW w:w="1166" w:type="dxa"/>
            <w:tcBorders>
              <w:top w:val="nil"/>
              <w:left w:val="nil"/>
              <w:bottom w:val="nil"/>
              <w:right w:val="nil"/>
            </w:tcBorders>
            <w:shd w:val="clear" w:color="auto" w:fill="auto"/>
            <w:noWrap/>
            <w:vAlign w:val="center"/>
            <w:hideMark/>
          </w:tcPr>
          <w:p w14:paraId="62B345CD"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1,180</w:t>
            </w:r>
          </w:p>
        </w:tc>
        <w:tc>
          <w:tcPr>
            <w:tcW w:w="1396" w:type="dxa"/>
            <w:tcBorders>
              <w:top w:val="nil"/>
              <w:left w:val="nil"/>
              <w:bottom w:val="nil"/>
              <w:right w:val="nil"/>
            </w:tcBorders>
            <w:shd w:val="clear" w:color="auto" w:fill="auto"/>
            <w:noWrap/>
            <w:vAlign w:val="center"/>
            <w:hideMark/>
          </w:tcPr>
          <w:p w14:paraId="1289A5A3"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2,360</w:t>
            </w:r>
          </w:p>
        </w:tc>
      </w:tr>
      <w:tr w:rsidR="005C437E" w:rsidRPr="007C7564" w14:paraId="680B00A5" w14:textId="77777777" w:rsidTr="002F7131">
        <w:trPr>
          <w:trHeight w:val="199"/>
        </w:trPr>
        <w:tc>
          <w:tcPr>
            <w:tcW w:w="1281" w:type="dxa"/>
            <w:tcBorders>
              <w:top w:val="nil"/>
              <w:left w:val="nil"/>
              <w:bottom w:val="nil"/>
              <w:right w:val="nil"/>
            </w:tcBorders>
            <w:shd w:val="clear" w:color="auto" w:fill="auto"/>
            <w:noWrap/>
            <w:vAlign w:val="center"/>
            <w:hideMark/>
          </w:tcPr>
          <w:p w14:paraId="44AEA94C"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6090" w:type="dxa"/>
            <w:tcBorders>
              <w:top w:val="nil"/>
              <w:left w:val="nil"/>
              <w:bottom w:val="nil"/>
              <w:right w:val="nil"/>
            </w:tcBorders>
            <w:shd w:val="clear" w:color="auto" w:fill="auto"/>
            <w:noWrap/>
            <w:vAlign w:val="center"/>
            <w:hideMark/>
          </w:tcPr>
          <w:p w14:paraId="7BA1A272"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55" w:type="dxa"/>
            <w:tcBorders>
              <w:top w:val="nil"/>
              <w:left w:val="single" w:sz="4" w:space="0" w:color="0070C0"/>
              <w:bottom w:val="nil"/>
              <w:right w:val="nil"/>
            </w:tcBorders>
            <w:shd w:val="clear" w:color="auto" w:fill="auto"/>
            <w:noWrap/>
            <w:vAlign w:val="center"/>
            <w:hideMark/>
          </w:tcPr>
          <w:p w14:paraId="02E1E774"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2F790051"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66" w:type="dxa"/>
            <w:tcBorders>
              <w:top w:val="nil"/>
              <w:left w:val="nil"/>
              <w:bottom w:val="nil"/>
              <w:right w:val="nil"/>
            </w:tcBorders>
            <w:shd w:val="clear" w:color="auto" w:fill="auto"/>
            <w:noWrap/>
            <w:vAlign w:val="center"/>
            <w:hideMark/>
          </w:tcPr>
          <w:p w14:paraId="500DFF97"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66" w:type="dxa"/>
            <w:tcBorders>
              <w:top w:val="nil"/>
              <w:left w:val="nil"/>
              <w:bottom w:val="nil"/>
              <w:right w:val="nil"/>
            </w:tcBorders>
            <w:shd w:val="clear" w:color="auto" w:fill="auto"/>
            <w:noWrap/>
            <w:vAlign w:val="center"/>
            <w:hideMark/>
          </w:tcPr>
          <w:p w14:paraId="44131E5E"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2C80E62C"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7C7564" w14:paraId="1C6EF9CB" w14:textId="77777777" w:rsidTr="002F7131">
        <w:trPr>
          <w:trHeight w:val="252"/>
        </w:trPr>
        <w:tc>
          <w:tcPr>
            <w:tcW w:w="1281" w:type="dxa"/>
            <w:tcBorders>
              <w:top w:val="nil"/>
              <w:left w:val="nil"/>
              <w:bottom w:val="nil"/>
              <w:right w:val="nil"/>
            </w:tcBorders>
            <w:shd w:val="clear" w:color="auto" w:fill="auto"/>
            <w:noWrap/>
            <w:vAlign w:val="bottom"/>
            <w:hideMark/>
          </w:tcPr>
          <w:p w14:paraId="0924B1E8"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7C7564">
              <w:rPr>
                <w:rFonts w:ascii="SimSun" w:hAnsi="SimSun" w:hint="eastAsia"/>
                <w:sz w:val="18"/>
                <w:szCs w:val="18"/>
              </w:rPr>
              <w:t>第</w:t>
            </w:r>
            <w:r w:rsidRPr="007C7564">
              <w:rPr>
                <w:rFonts w:cs="Calibri"/>
                <w:sz w:val="18"/>
                <w:szCs w:val="18"/>
              </w:rPr>
              <w:t>7</w:t>
            </w:r>
            <w:r w:rsidRPr="007C7564">
              <w:rPr>
                <w:rFonts w:ascii="SimSun" w:hAnsi="SimSun" w:hint="eastAsia"/>
                <w:sz w:val="18"/>
                <w:szCs w:val="18"/>
              </w:rPr>
              <w:t>项</w:t>
            </w:r>
          </w:p>
        </w:tc>
        <w:tc>
          <w:tcPr>
            <w:tcW w:w="6090" w:type="dxa"/>
            <w:tcBorders>
              <w:top w:val="nil"/>
              <w:left w:val="nil"/>
              <w:bottom w:val="nil"/>
              <w:right w:val="nil"/>
            </w:tcBorders>
            <w:shd w:val="clear" w:color="auto" w:fill="auto"/>
            <w:noWrap/>
            <w:vAlign w:val="center"/>
            <w:hideMark/>
          </w:tcPr>
          <w:p w14:paraId="5FC9BD56"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7C7564">
              <w:rPr>
                <w:rFonts w:ascii="SimSun" w:hAnsi="SimSun" w:hint="eastAsia"/>
                <w:sz w:val="18"/>
                <w:szCs w:val="18"/>
              </w:rPr>
              <w:t>活动和项目</w:t>
            </w:r>
          </w:p>
        </w:tc>
        <w:tc>
          <w:tcPr>
            <w:tcW w:w="1355" w:type="dxa"/>
            <w:tcBorders>
              <w:top w:val="nil"/>
              <w:left w:val="single" w:sz="4" w:space="0" w:color="0070C0"/>
              <w:bottom w:val="nil"/>
              <w:right w:val="nil"/>
            </w:tcBorders>
            <w:shd w:val="clear" w:color="auto" w:fill="auto"/>
            <w:noWrap/>
            <w:vAlign w:val="center"/>
            <w:hideMark/>
          </w:tcPr>
          <w:p w14:paraId="597184F3"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397</w:t>
            </w:r>
          </w:p>
        </w:tc>
        <w:tc>
          <w:tcPr>
            <w:tcW w:w="1396" w:type="dxa"/>
            <w:tcBorders>
              <w:top w:val="nil"/>
              <w:left w:val="nil"/>
              <w:bottom w:val="nil"/>
              <w:right w:val="nil"/>
            </w:tcBorders>
            <w:shd w:val="clear" w:color="auto" w:fill="auto"/>
            <w:noWrap/>
            <w:vAlign w:val="center"/>
            <w:hideMark/>
          </w:tcPr>
          <w:p w14:paraId="73065004"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400</w:t>
            </w:r>
          </w:p>
        </w:tc>
        <w:tc>
          <w:tcPr>
            <w:tcW w:w="1166" w:type="dxa"/>
            <w:tcBorders>
              <w:top w:val="nil"/>
              <w:left w:val="nil"/>
              <w:bottom w:val="nil"/>
              <w:right w:val="nil"/>
            </w:tcBorders>
            <w:shd w:val="clear" w:color="auto" w:fill="auto"/>
            <w:noWrap/>
            <w:vAlign w:val="center"/>
            <w:hideMark/>
          </w:tcPr>
          <w:p w14:paraId="54389F50"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200</w:t>
            </w:r>
          </w:p>
        </w:tc>
        <w:tc>
          <w:tcPr>
            <w:tcW w:w="1166" w:type="dxa"/>
            <w:tcBorders>
              <w:top w:val="nil"/>
              <w:left w:val="nil"/>
              <w:bottom w:val="nil"/>
              <w:right w:val="nil"/>
            </w:tcBorders>
            <w:shd w:val="clear" w:color="auto" w:fill="auto"/>
            <w:noWrap/>
            <w:vAlign w:val="center"/>
            <w:hideMark/>
          </w:tcPr>
          <w:p w14:paraId="1B44B5A1"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200</w:t>
            </w:r>
          </w:p>
        </w:tc>
        <w:tc>
          <w:tcPr>
            <w:tcW w:w="1396" w:type="dxa"/>
            <w:tcBorders>
              <w:top w:val="nil"/>
              <w:left w:val="nil"/>
              <w:bottom w:val="nil"/>
              <w:right w:val="nil"/>
            </w:tcBorders>
            <w:shd w:val="clear" w:color="auto" w:fill="auto"/>
            <w:noWrap/>
            <w:vAlign w:val="center"/>
            <w:hideMark/>
          </w:tcPr>
          <w:p w14:paraId="35F894BD"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400</w:t>
            </w:r>
          </w:p>
        </w:tc>
      </w:tr>
      <w:tr w:rsidR="005C437E" w:rsidRPr="007C7564" w14:paraId="30C827A3" w14:textId="77777777" w:rsidTr="002F7131">
        <w:trPr>
          <w:trHeight w:val="199"/>
        </w:trPr>
        <w:tc>
          <w:tcPr>
            <w:tcW w:w="1281" w:type="dxa"/>
            <w:tcBorders>
              <w:top w:val="nil"/>
              <w:left w:val="nil"/>
              <w:bottom w:val="nil"/>
              <w:right w:val="nil"/>
            </w:tcBorders>
            <w:shd w:val="clear" w:color="auto" w:fill="auto"/>
            <w:noWrap/>
            <w:vAlign w:val="center"/>
            <w:hideMark/>
          </w:tcPr>
          <w:p w14:paraId="6871A022"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6090" w:type="dxa"/>
            <w:tcBorders>
              <w:top w:val="nil"/>
              <w:left w:val="nil"/>
              <w:bottom w:val="nil"/>
              <w:right w:val="nil"/>
            </w:tcBorders>
            <w:shd w:val="clear" w:color="auto" w:fill="auto"/>
            <w:noWrap/>
            <w:vAlign w:val="center"/>
            <w:hideMark/>
          </w:tcPr>
          <w:p w14:paraId="6A192BD0"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55" w:type="dxa"/>
            <w:tcBorders>
              <w:top w:val="nil"/>
              <w:left w:val="single" w:sz="4" w:space="0" w:color="0070C0"/>
              <w:bottom w:val="nil"/>
              <w:right w:val="nil"/>
            </w:tcBorders>
            <w:shd w:val="clear" w:color="auto" w:fill="auto"/>
            <w:noWrap/>
            <w:vAlign w:val="center"/>
            <w:hideMark/>
          </w:tcPr>
          <w:p w14:paraId="62B2C73E"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7F9278F3"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66" w:type="dxa"/>
            <w:tcBorders>
              <w:top w:val="nil"/>
              <w:left w:val="nil"/>
              <w:bottom w:val="nil"/>
              <w:right w:val="nil"/>
            </w:tcBorders>
            <w:shd w:val="clear" w:color="auto" w:fill="auto"/>
            <w:noWrap/>
            <w:vAlign w:val="center"/>
            <w:hideMark/>
          </w:tcPr>
          <w:p w14:paraId="313703E8"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66" w:type="dxa"/>
            <w:tcBorders>
              <w:top w:val="nil"/>
              <w:left w:val="nil"/>
              <w:bottom w:val="nil"/>
              <w:right w:val="nil"/>
            </w:tcBorders>
            <w:shd w:val="clear" w:color="auto" w:fill="auto"/>
            <w:noWrap/>
            <w:vAlign w:val="center"/>
            <w:hideMark/>
          </w:tcPr>
          <w:p w14:paraId="269D980D"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06DEEA1E"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7C7564" w14:paraId="2FD6FB0A" w14:textId="77777777" w:rsidTr="002F7131">
        <w:trPr>
          <w:trHeight w:val="252"/>
        </w:trPr>
        <w:tc>
          <w:tcPr>
            <w:tcW w:w="1281" w:type="dxa"/>
            <w:tcBorders>
              <w:top w:val="nil"/>
              <w:left w:val="nil"/>
              <w:bottom w:val="nil"/>
              <w:right w:val="nil"/>
            </w:tcBorders>
            <w:shd w:val="clear" w:color="auto" w:fill="auto"/>
            <w:noWrap/>
            <w:vAlign w:val="bottom"/>
            <w:hideMark/>
          </w:tcPr>
          <w:p w14:paraId="09A56E89"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7C7564">
              <w:rPr>
                <w:rFonts w:ascii="SimSun" w:hAnsi="SimSun" w:hint="eastAsia"/>
                <w:sz w:val="18"/>
                <w:szCs w:val="18"/>
              </w:rPr>
              <w:t>第</w:t>
            </w:r>
            <w:r w:rsidRPr="007C7564">
              <w:rPr>
                <w:rFonts w:cs="Calibri"/>
                <w:sz w:val="18"/>
                <w:szCs w:val="18"/>
              </w:rPr>
              <w:t>8</w:t>
            </w:r>
            <w:r w:rsidRPr="007C7564">
              <w:rPr>
                <w:rFonts w:ascii="SimSun" w:hAnsi="SimSun" w:hint="eastAsia"/>
                <w:sz w:val="18"/>
                <w:szCs w:val="18"/>
              </w:rPr>
              <w:t>项</w:t>
            </w:r>
          </w:p>
        </w:tc>
        <w:tc>
          <w:tcPr>
            <w:tcW w:w="6090" w:type="dxa"/>
            <w:tcBorders>
              <w:top w:val="nil"/>
              <w:left w:val="nil"/>
              <w:bottom w:val="nil"/>
              <w:right w:val="nil"/>
            </w:tcBorders>
            <w:shd w:val="clear" w:color="auto" w:fill="auto"/>
            <w:noWrap/>
            <w:vAlign w:val="bottom"/>
            <w:hideMark/>
          </w:tcPr>
          <w:p w14:paraId="2A8E3AD6"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7C7564">
              <w:rPr>
                <w:rFonts w:ascii="SimSun" w:hAnsi="SimSun" w:hint="eastAsia"/>
                <w:sz w:val="18"/>
                <w:szCs w:val="18"/>
              </w:rPr>
              <w:t>研讨会和讲习班</w:t>
            </w:r>
          </w:p>
        </w:tc>
        <w:tc>
          <w:tcPr>
            <w:tcW w:w="1355" w:type="dxa"/>
            <w:tcBorders>
              <w:top w:val="nil"/>
              <w:left w:val="single" w:sz="4" w:space="0" w:color="0070C0"/>
              <w:bottom w:val="nil"/>
              <w:right w:val="nil"/>
            </w:tcBorders>
            <w:shd w:val="clear" w:color="auto" w:fill="auto"/>
            <w:noWrap/>
            <w:vAlign w:val="center"/>
            <w:hideMark/>
          </w:tcPr>
          <w:p w14:paraId="2D73FF02"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575</w:t>
            </w:r>
          </w:p>
        </w:tc>
        <w:tc>
          <w:tcPr>
            <w:tcW w:w="1396" w:type="dxa"/>
            <w:tcBorders>
              <w:top w:val="nil"/>
              <w:left w:val="nil"/>
              <w:bottom w:val="nil"/>
              <w:right w:val="nil"/>
            </w:tcBorders>
            <w:shd w:val="clear" w:color="auto" w:fill="auto"/>
            <w:noWrap/>
            <w:vAlign w:val="center"/>
            <w:hideMark/>
          </w:tcPr>
          <w:p w14:paraId="560AAC58"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600</w:t>
            </w:r>
          </w:p>
        </w:tc>
        <w:tc>
          <w:tcPr>
            <w:tcW w:w="1166" w:type="dxa"/>
            <w:tcBorders>
              <w:top w:val="nil"/>
              <w:left w:val="nil"/>
              <w:bottom w:val="nil"/>
              <w:right w:val="nil"/>
            </w:tcBorders>
            <w:shd w:val="clear" w:color="auto" w:fill="auto"/>
            <w:noWrap/>
            <w:vAlign w:val="center"/>
            <w:hideMark/>
          </w:tcPr>
          <w:p w14:paraId="728283C8"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260</w:t>
            </w:r>
          </w:p>
        </w:tc>
        <w:tc>
          <w:tcPr>
            <w:tcW w:w="1166" w:type="dxa"/>
            <w:tcBorders>
              <w:top w:val="nil"/>
              <w:left w:val="nil"/>
              <w:bottom w:val="nil"/>
              <w:right w:val="nil"/>
            </w:tcBorders>
            <w:shd w:val="clear" w:color="auto" w:fill="auto"/>
            <w:noWrap/>
            <w:vAlign w:val="center"/>
            <w:hideMark/>
          </w:tcPr>
          <w:p w14:paraId="14068B5E"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260</w:t>
            </w:r>
          </w:p>
        </w:tc>
        <w:tc>
          <w:tcPr>
            <w:tcW w:w="1396" w:type="dxa"/>
            <w:tcBorders>
              <w:top w:val="nil"/>
              <w:left w:val="nil"/>
              <w:bottom w:val="nil"/>
              <w:right w:val="nil"/>
            </w:tcBorders>
            <w:shd w:val="clear" w:color="auto" w:fill="auto"/>
            <w:noWrap/>
            <w:vAlign w:val="center"/>
            <w:hideMark/>
          </w:tcPr>
          <w:p w14:paraId="5A1D446D"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520</w:t>
            </w:r>
          </w:p>
        </w:tc>
      </w:tr>
      <w:tr w:rsidR="005C437E" w:rsidRPr="007C7564" w14:paraId="65341A79" w14:textId="77777777" w:rsidTr="002F7131">
        <w:trPr>
          <w:trHeight w:val="199"/>
        </w:trPr>
        <w:tc>
          <w:tcPr>
            <w:tcW w:w="1281" w:type="dxa"/>
            <w:tcBorders>
              <w:top w:val="nil"/>
              <w:left w:val="nil"/>
              <w:bottom w:val="nil"/>
              <w:right w:val="nil"/>
            </w:tcBorders>
            <w:shd w:val="clear" w:color="auto" w:fill="auto"/>
            <w:noWrap/>
            <w:vAlign w:val="center"/>
            <w:hideMark/>
          </w:tcPr>
          <w:p w14:paraId="6569889F"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6090" w:type="dxa"/>
            <w:tcBorders>
              <w:top w:val="nil"/>
              <w:left w:val="nil"/>
              <w:bottom w:val="nil"/>
              <w:right w:val="nil"/>
            </w:tcBorders>
            <w:shd w:val="clear" w:color="auto" w:fill="auto"/>
            <w:noWrap/>
            <w:vAlign w:val="center"/>
            <w:hideMark/>
          </w:tcPr>
          <w:p w14:paraId="1CAB1B5F"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55" w:type="dxa"/>
            <w:tcBorders>
              <w:top w:val="nil"/>
              <w:left w:val="single" w:sz="4" w:space="0" w:color="0070C0"/>
              <w:bottom w:val="nil"/>
              <w:right w:val="nil"/>
            </w:tcBorders>
            <w:shd w:val="clear" w:color="auto" w:fill="auto"/>
            <w:noWrap/>
            <w:vAlign w:val="center"/>
            <w:hideMark/>
          </w:tcPr>
          <w:p w14:paraId="6B45DCA8"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722F0E5E"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66" w:type="dxa"/>
            <w:tcBorders>
              <w:top w:val="nil"/>
              <w:left w:val="nil"/>
              <w:bottom w:val="nil"/>
              <w:right w:val="nil"/>
            </w:tcBorders>
            <w:shd w:val="clear" w:color="auto" w:fill="auto"/>
            <w:noWrap/>
            <w:vAlign w:val="center"/>
            <w:hideMark/>
          </w:tcPr>
          <w:p w14:paraId="12471760"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66" w:type="dxa"/>
            <w:tcBorders>
              <w:top w:val="nil"/>
              <w:left w:val="nil"/>
              <w:bottom w:val="nil"/>
              <w:right w:val="nil"/>
            </w:tcBorders>
            <w:shd w:val="clear" w:color="auto" w:fill="auto"/>
            <w:noWrap/>
            <w:vAlign w:val="center"/>
            <w:hideMark/>
          </w:tcPr>
          <w:p w14:paraId="4C586EA7"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7799E005"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7C7564" w14:paraId="0BC95F75" w14:textId="77777777" w:rsidTr="002F7131">
        <w:trPr>
          <w:trHeight w:val="252"/>
        </w:trPr>
        <w:tc>
          <w:tcPr>
            <w:tcW w:w="1281" w:type="dxa"/>
            <w:tcBorders>
              <w:top w:val="nil"/>
              <w:left w:val="nil"/>
              <w:bottom w:val="nil"/>
              <w:right w:val="nil"/>
            </w:tcBorders>
            <w:shd w:val="clear" w:color="auto" w:fill="auto"/>
            <w:noWrap/>
            <w:vAlign w:val="bottom"/>
            <w:hideMark/>
          </w:tcPr>
          <w:p w14:paraId="1AE87B23"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7C7564">
              <w:rPr>
                <w:rFonts w:ascii="SimSun" w:hAnsi="SimSun" w:hint="eastAsia"/>
                <w:sz w:val="18"/>
                <w:szCs w:val="18"/>
              </w:rPr>
              <w:t>第</w:t>
            </w:r>
            <w:r w:rsidRPr="007C7564">
              <w:rPr>
                <w:rFonts w:cs="Calibri"/>
                <w:sz w:val="18"/>
                <w:szCs w:val="18"/>
              </w:rPr>
              <w:t>9</w:t>
            </w:r>
            <w:r w:rsidRPr="007C7564">
              <w:rPr>
                <w:rFonts w:ascii="SimSun" w:hAnsi="SimSun" w:hint="eastAsia"/>
                <w:sz w:val="18"/>
                <w:szCs w:val="18"/>
              </w:rPr>
              <w:t>项</w:t>
            </w:r>
          </w:p>
        </w:tc>
        <w:tc>
          <w:tcPr>
            <w:tcW w:w="6090" w:type="dxa"/>
            <w:tcBorders>
              <w:top w:val="nil"/>
              <w:left w:val="nil"/>
              <w:bottom w:val="nil"/>
              <w:right w:val="nil"/>
            </w:tcBorders>
            <w:shd w:val="clear" w:color="auto" w:fill="auto"/>
            <w:noWrap/>
            <w:vAlign w:val="bottom"/>
            <w:hideMark/>
          </w:tcPr>
          <w:p w14:paraId="63C8A5C2"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7C7564">
              <w:rPr>
                <w:rFonts w:ascii="SimSun" w:hAnsi="SimSun" w:hint="eastAsia"/>
                <w:sz w:val="18"/>
                <w:szCs w:val="18"/>
              </w:rPr>
              <w:t>电信标准化局</w:t>
            </w:r>
          </w:p>
        </w:tc>
        <w:tc>
          <w:tcPr>
            <w:tcW w:w="1355" w:type="dxa"/>
            <w:tcBorders>
              <w:top w:val="nil"/>
              <w:left w:val="single" w:sz="4" w:space="0" w:color="0070C0"/>
              <w:bottom w:val="nil"/>
              <w:right w:val="nil"/>
            </w:tcBorders>
            <w:shd w:val="clear" w:color="auto" w:fill="auto"/>
            <w:noWrap/>
            <w:vAlign w:val="center"/>
            <w:hideMark/>
          </w:tcPr>
          <w:p w14:paraId="238BFE96"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23,205</w:t>
            </w:r>
          </w:p>
        </w:tc>
        <w:tc>
          <w:tcPr>
            <w:tcW w:w="1396" w:type="dxa"/>
            <w:tcBorders>
              <w:top w:val="nil"/>
              <w:left w:val="nil"/>
              <w:bottom w:val="nil"/>
              <w:right w:val="nil"/>
            </w:tcBorders>
            <w:shd w:val="clear" w:color="auto" w:fill="auto"/>
            <w:noWrap/>
            <w:vAlign w:val="center"/>
            <w:hideMark/>
          </w:tcPr>
          <w:p w14:paraId="4CB284AD"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23,116</w:t>
            </w:r>
          </w:p>
        </w:tc>
        <w:tc>
          <w:tcPr>
            <w:tcW w:w="1166" w:type="dxa"/>
            <w:tcBorders>
              <w:top w:val="nil"/>
              <w:left w:val="nil"/>
              <w:bottom w:val="nil"/>
              <w:right w:val="nil"/>
            </w:tcBorders>
            <w:shd w:val="clear" w:color="auto" w:fill="auto"/>
            <w:noWrap/>
            <w:vAlign w:val="center"/>
            <w:hideMark/>
          </w:tcPr>
          <w:p w14:paraId="7798C5EC"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11,464</w:t>
            </w:r>
          </w:p>
        </w:tc>
        <w:tc>
          <w:tcPr>
            <w:tcW w:w="1166" w:type="dxa"/>
            <w:tcBorders>
              <w:top w:val="nil"/>
              <w:left w:val="nil"/>
              <w:bottom w:val="nil"/>
              <w:right w:val="nil"/>
            </w:tcBorders>
            <w:shd w:val="clear" w:color="auto" w:fill="auto"/>
            <w:noWrap/>
            <w:vAlign w:val="center"/>
            <w:hideMark/>
          </w:tcPr>
          <w:p w14:paraId="3AEDF036"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11,464</w:t>
            </w:r>
          </w:p>
        </w:tc>
        <w:tc>
          <w:tcPr>
            <w:tcW w:w="1396" w:type="dxa"/>
            <w:tcBorders>
              <w:top w:val="nil"/>
              <w:left w:val="nil"/>
              <w:bottom w:val="nil"/>
              <w:right w:val="nil"/>
            </w:tcBorders>
            <w:shd w:val="clear" w:color="auto" w:fill="auto"/>
            <w:noWrap/>
            <w:vAlign w:val="center"/>
            <w:hideMark/>
          </w:tcPr>
          <w:p w14:paraId="55251CA9"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22,928</w:t>
            </w:r>
          </w:p>
        </w:tc>
      </w:tr>
      <w:tr w:rsidR="005C437E" w:rsidRPr="007C7564" w14:paraId="6AF112D6" w14:textId="77777777" w:rsidTr="002F7131">
        <w:trPr>
          <w:trHeight w:val="252"/>
        </w:trPr>
        <w:tc>
          <w:tcPr>
            <w:tcW w:w="1281" w:type="dxa"/>
            <w:tcBorders>
              <w:top w:val="nil"/>
              <w:left w:val="nil"/>
              <w:bottom w:val="nil"/>
              <w:right w:val="nil"/>
            </w:tcBorders>
            <w:shd w:val="clear" w:color="auto" w:fill="auto"/>
            <w:noWrap/>
            <w:vAlign w:val="center"/>
            <w:hideMark/>
          </w:tcPr>
          <w:p w14:paraId="475FB9BC"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6090" w:type="dxa"/>
            <w:tcBorders>
              <w:top w:val="nil"/>
              <w:left w:val="nil"/>
              <w:bottom w:val="nil"/>
              <w:right w:val="nil"/>
            </w:tcBorders>
            <w:shd w:val="clear" w:color="auto" w:fill="auto"/>
            <w:noWrap/>
            <w:vAlign w:val="bottom"/>
            <w:hideMark/>
          </w:tcPr>
          <w:p w14:paraId="3E653DE9"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18"/>
                <w:szCs w:val="18"/>
              </w:rPr>
            </w:pPr>
            <w:r w:rsidRPr="007C7564">
              <w:rPr>
                <w:rFonts w:ascii="STKaiti" w:eastAsia="STKaiti" w:hAnsi="STKaiti" w:hint="eastAsia"/>
                <w:sz w:val="18"/>
                <w:szCs w:val="18"/>
              </w:rPr>
              <w:t>-</w:t>
            </w:r>
            <w:r>
              <w:rPr>
                <w:rFonts w:eastAsia="STKaiti" w:cs="Calibri"/>
                <w:sz w:val="18"/>
                <w:szCs w:val="18"/>
              </w:rPr>
              <w:t xml:space="preserve"> </w:t>
            </w:r>
            <w:r w:rsidRPr="007C7564">
              <w:rPr>
                <w:rFonts w:ascii="STKaiti" w:eastAsia="STKaiti" w:hAnsi="STKaiti" w:hint="eastAsia"/>
                <w:sz w:val="18"/>
                <w:szCs w:val="18"/>
              </w:rPr>
              <w:t>共同支出</w:t>
            </w:r>
          </w:p>
        </w:tc>
        <w:tc>
          <w:tcPr>
            <w:tcW w:w="1355" w:type="dxa"/>
            <w:tcBorders>
              <w:top w:val="nil"/>
              <w:left w:val="single" w:sz="4" w:space="0" w:color="0070C0"/>
              <w:bottom w:val="nil"/>
              <w:right w:val="nil"/>
            </w:tcBorders>
            <w:shd w:val="clear" w:color="auto" w:fill="auto"/>
            <w:noWrap/>
            <w:vAlign w:val="center"/>
            <w:hideMark/>
          </w:tcPr>
          <w:p w14:paraId="4D04DA9A"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815</w:t>
            </w:r>
          </w:p>
        </w:tc>
        <w:tc>
          <w:tcPr>
            <w:tcW w:w="1396" w:type="dxa"/>
            <w:tcBorders>
              <w:top w:val="nil"/>
              <w:left w:val="nil"/>
              <w:bottom w:val="nil"/>
              <w:right w:val="nil"/>
            </w:tcBorders>
            <w:shd w:val="clear" w:color="auto" w:fill="auto"/>
            <w:noWrap/>
            <w:vAlign w:val="center"/>
            <w:hideMark/>
          </w:tcPr>
          <w:p w14:paraId="4E43204F"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914</w:t>
            </w:r>
          </w:p>
        </w:tc>
        <w:tc>
          <w:tcPr>
            <w:tcW w:w="1166" w:type="dxa"/>
            <w:tcBorders>
              <w:top w:val="nil"/>
              <w:left w:val="nil"/>
              <w:bottom w:val="nil"/>
              <w:right w:val="nil"/>
            </w:tcBorders>
            <w:shd w:val="clear" w:color="auto" w:fill="auto"/>
            <w:noWrap/>
            <w:vAlign w:val="center"/>
            <w:hideMark/>
          </w:tcPr>
          <w:p w14:paraId="003B52CA"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230</w:t>
            </w:r>
          </w:p>
        </w:tc>
        <w:tc>
          <w:tcPr>
            <w:tcW w:w="1166" w:type="dxa"/>
            <w:tcBorders>
              <w:top w:val="nil"/>
              <w:left w:val="nil"/>
              <w:bottom w:val="nil"/>
              <w:right w:val="nil"/>
            </w:tcBorders>
            <w:shd w:val="clear" w:color="auto" w:fill="auto"/>
            <w:noWrap/>
            <w:vAlign w:val="center"/>
            <w:hideMark/>
          </w:tcPr>
          <w:p w14:paraId="7EE3CBEC"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230</w:t>
            </w:r>
          </w:p>
        </w:tc>
        <w:tc>
          <w:tcPr>
            <w:tcW w:w="1396" w:type="dxa"/>
            <w:tcBorders>
              <w:top w:val="nil"/>
              <w:left w:val="nil"/>
              <w:bottom w:val="nil"/>
              <w:right w:val="nil"/>
            </w:tcBorders>
            <w:shd w:val="clear" w:color="auto" w:fill="auto"/>
            <w:noWrap/>
            <w:vAlign w:val="center"/>
            <w:hideMark/>
          </w:tcPr>
          <w:p w14:paraId="041313F3"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460</w:t>
            </w:r>
          </w:p>
        </w:tc>
      </w:tr>
      <w:tr w:rsidR="005C437E" w:rsidRPr="007C7564" w14:paraId="6C1CDC1A" w14:textId="77777777" w:rsidTr="002F7131">
        <w:trPr>
          <w:trHeight w:val="252"/>
        </w:trPr>
        <w:tc>
          <w:tcPr>
            <w:tcW w:w="1281" w:type="dxa"/>
            <w:tcBorders>
              <w:top w:val="nil"/>
              <w:left w:val="nil"/>
              <w:bottom w:val="nil"/>
              <w:right w:val="nil"/>
            </w:tcBorders>
            <w:shd w:val="clear" w:color="auto" w:fill="auto"/>
            <w:noWrap/>
            <w:vAlign w:val="center"/>
            <w:hideMark/>
          </w:tcPr>
          <w:p w14:paraId="3D6C9979"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6090" w:type="dxa"/>
            <w:tcBorders>
              <w:top w:val="nil"/>
              <w:left w:val="nil"/>
              <w:bottom w:val="nil"/>
              <w:right w:val="nil"/>
            </w:tcBorders>
            <w:shd w:val="clear" w:color="auto" w:fill="auto"/>
            <w:noWrap/>
            <w:vAlign w:val="bottom"/>
            <w:hideMark/>
          </w:tcPr>
          <w:p w14:paraId="0A488902"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18"/>
                <w:szCs w:val="18"/>
              </w:rPr>
            </w:pPr>
            <w:r w:rsidRPr="007C7564">
              <w:rPr>
                <w:rFonts w:ascii="STKaiti" w:eastAsia="STKaiti" w:hAnsi="STKaiti" w:hint="eastAsia"/>
                <w:sz w:val="18"/>
                <w:szCs w:val="18"/>
              </w:rPr>
              <w:t>- 主任办公室</w:t>
            </w:r>
          </w:p>
        </w:tc>
        <w:tc>
          <w:tcPr>
            <w:tcW w:w="1355" w:type="dxa"/>
            <w:tcBorders>
              <w:top w:val="nil"/>
              <w:left w:val="single" w:sz="4" w:space="0" w:color="0070C0"/>
              <w:bottom w:val="nil"/>
              <w:right w:val="nil"/>
            </w:tcBorders>
            <w:shd w:val="clear" w:color="auto" w:fill="auto"/>
            <w:noWrap/>
            <w:vAlign w:val="center"/>
            <w:hideMark/>
          </w:tcPr>
          <w:p w14:paraId="1BBCC13C"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1,459</w:t>
            </w:r>
          </w:p>
        </w:tc>
        <w:tc>
          <w:tcPr>
            <w:tcW w:w="1396" w:type="dxa"/>
            <w:tcBorders>
              <w:top w:val="nil"/>
              <w:left w:val="nil"/>
              <w:bottom w:val="nil"/>
              <w:right w:val="nil"/>
            </w:tcBorders>
            <w:shd w:val="clear" w:color="auto" w:fill="auto"/>
            <w:noWrap/>
            <w:vAlign w:val="center"/>
            <w:hideMark/>
          </w:tcPr>
          <w:p w14:paraId="334DD46B"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1,500</w:t>
            </w:r>
          </w:p>
        </w:tc>
        <w:tc>
          <w:tcPr>
            <w:tcW w:w="1166" w:type="dxa"/>
            <w:tcBorders>
              <w:top w:val="nil"/>
              <w:left w:val="nil"/>
              <w:bottom w:val="nil"/>
              <w:right w:val="nil"/>
            </w:tcBorders>
            <w:shd w:val="clear" w:color="auto" w:fill="auto"/>
            <w:noWrap/>
            <w:vAlign w:val="center"/>
            <w:hideMark/>
          </w:tcPr>
          <w:p w14:paraId="4BDADA7F"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1,132</w:t>
            </w:r>
          </w:p>
        </w:tc>
        <w:tc>
          <w:tcPr>
            <w:tcW w:w="1166" w:type="dxa"/>
            <w:tcBorders>
              <w:top w:val="nil"/>
              <w:left w:val="nil"/>
              <w:bottom w:val="nil"/>
              <w:right w:val="nil"/>
            </w:tcBorders>
            <w:shd w:val="clear" w:color="auto" w:fill="auto"/>
            <w:noWrap/>
            <w:vAlign w:val="center"/>
            <w:hideMark/>
          </w:tcPr>
          <w:p w14:paraId="25FD1ADF"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1,132</w:t>
            </w:r>
          </w:p>
        </w:tc>
        <w:tc>
          <w:tcPr>
            <w:tcW w:w="1396" w:type="dxa"/>
            <w:tcBorders>
              <w:top w:val="nil"/>
              <w:left w:val="nil"/>
              <w:bottom w:val="nil"/>
              <w:right w:val="nil"/>
            </w:tcBorders>
            <w:shd w:val="clear" w:color="auto" w:fill="auto"/>
            <w:noWrap/>
            <w:vAlign w:val="center"/>
            <w:hideMark/>
          </w:tcPr>
          <w:p w14:paraId="79FCA397"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2,264</w:t>
            </w:r>
          </w:p>
        </w:tc>
      </w:tr>
      <w:tr w:rsidR="005C437E" w:rsidRPr="007C7564" w14:paraId="1A6F3405" w14:textId="77777777" w:rsidTr="002F7131">
        <w:trPr>
          <w:trHeight w:val="252"/>
        </w:trPr>
        <w:tc>
          <w:tcPr>
            <w:tcW w:w="1281" w:type="dxa"/>
            <w:tcBorders>
              <w:top w:val="nil"/>
              <w:left w:val="nil"/>
              <w:bottom w:val="nil"/>
              <w:right w:val="nil"/>
            </w:tcBorders>
            <w:shd w:val="clear" w:color="auto" w:fill="auto"/>
            <w:noWrap/>
            <w:vAlign w:val="center"/>
            <w:hideMark/>
          </w:tcPr>
          <w:p w14:paraId="2A34C237"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6090" w:type="dxa"/>
            <w:tcBorders>
              <w:top w:val="nil"/>
              <w:left w:val="nil"/>
              <w:bottom w:val="nil"/>
              <w:right w:val="nil"/>
            </w:tcBorders>
            <w:shd w:val="clear" w:color="auto" w:fill="auto"/>
            <w:noWrap/>
            <w:vAlign w:val="bottom"/>
            <w:hideMark/>
          </w:tcPr>
          <w:p w14:paraId="450B79B1"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18"/>
                <w:szCs w:val="18"/>
              </w:rPr>
            </w:pPr>
            <w:r w:rsidRPr="007C7564">
              <w:rPr>
                <w:rFonts w:ascii="STKaiti" w:eastAsia="STKaiti" w:hAnsi="STKaiti" w:hint="eastAsia"/>
                <w:sz w:val="18"/>
                <w:szCs w:val="18"/>
              </w:rPr>
              <w:t>- 各部</w:t>
            </w:r>
          </w:p>
        </w:tc>
        <w:tc>
          <w:tcPr>
            <w:tcW w:w="1355" w:type="dxa"/>
            <w:tcBorders>
              <w:top w:val="nil"/>
              <w:left w:val="single" w:sz="4" w:space="0" w:color="0070C0"/>
              <w:bottom w:val="nil"/>
              <w:right w:val="nil"/>
            </w:tcBorders>
            <w:shd w:val="clear" w:color="auto" w:fill="auto"/>
            <w:noWrap/>
            <w:vAlign w:val="center"/>
            <w:hideMark/>
          </w:tcPr>
          <w:p w14:paraId="6448609A"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20,931</w:t>
            </w:r>
          </w:p>
        </w:tc>
        <w:tc>
          <w:tcPr>
            <w:tcW w:w="1396" w:type="dxa"/>
            <w:tcBorders>
              <w:top w:val="nil"/>
              <w:left w:val="nil"/>
              <w:bottom w:val="nil"/>
              <w:right w:val="nil"/>
            </w:tcBorders>
            <w:shd w:val="clear" w:color="auto" w:fill="auto"/>
            <w:noWrap/>
            <w:vAlign w:val="center"/>
            <w:hideMark/>
          </w:tcPr>
          <w:p w14:paraId="47AEE3F7"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20,702</w:t>
            </w:r>
          </w:p>
        </w:tc>
        <w:tc>
          <w:tcPr>
            <w:tcW w:w="1166" w:type="dxa"/>
            <w:tcBorders>
              <w:top w:val="nil"/>
              <w:left w:val="nil"/>
              <w:bottom w:val="nil"/>
              <w:right w:val="nil"/>
            </w:tcBorders>
            <w:shd w:val="clear" w:color="auto" w:fill="auto"/>
            <w:noWrap/>
            <w:vAlign w:val="center"/>
            <w:hideMark/>
          </w:tcPr>
          <w:p w14:paraId="1B6C436A"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10,102</w:t>
            </w:r>
          </w:p>
        </w:tc>
        <w:tc>
          <w:tcPr>
            <w:tcW w:w="1166" w:type="dxa"/>
            <w:tcBorders>
              <w:top w:val="nil"/>
              <w:left w:val="nil"/>
              <w:bottom w:val="nil"/>
              <w:right w:val="nil"/>
            </w:tcBorders>
            <w:shd w:val="clear" w:color="auto" w:fill="auto"/>
            <w:noWrap/>
            <w:vAlign w:val="center"/>
            <w:hideMark/>
          </w:tcPr>
          <w:p w14:paraId="2362F454"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10,102</w:t>
            </w:r>
          </w:p>
        </w:tc>
        <w:tc>
          <w:tcPr>
            <w:tcW w:w="1396" w:type="dxa"/>
            <w:tcBorders>
              <w:top w:val="nil"/>
              <w:left w:val="nil"/>
              <w:bottom w:val="nil"/>
              <w:right w:val="nil"/>
            </w:tcBorders>
            <w:shd w:val="clear" w:color="auto" w:fill="auto"/>
            <w:noWrap/>
            <w:vAlign w:val="center"/>
            <w:hideMark/>
          </w:tcPr>
          <w:p w14:paraId="2644048C"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20,204</w:t>
            </w:r>
          </w:p>
        </w:tc>
      </w:tr>
      <w:tr w:rsidR="005C437E" w:rsidRPr="007C7564" w14:paraId="2271C4CD" w14:textId="77777777" w:rsidTr="002F7131">
        <w:trPr>
          <w:trHeight w:val="199"/>
        </w:trPr>
        <w:tc>
          <w:tcPr>
            <w:tcW w:w="1281" w:type="dxa"/>
            <w:tcBorders>
              <w:top w:val="nil"/>
              <w:left w:val="nil"/>
              <w:bottom w:val="single" w:sz="4" w:space="0" w:color="auto"/>
              <w:right w:val="nil"/>
            </w:tcBorders>
            <w:shd w:val="clear" w:color="auto" w:fill="auto"/>
            <w:noWrap/>
            <w:vAlign w:val="center"/>
            <w:hideMark/>
          </w:tcPr>
          <w:p w14:paraId="372B7065"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7C7564">
              <w:rPr>
                <w:rFonts w:eastAsia="Times New Roman" w:cs="Calibri"/>
                <w:sz w:val="20"/>
              </w:rPr>
              <w:t> </w:t>
            </w:r>
          </w:p>
        </w:tc>
        <w:tc>
          <w:tcPr>
            <w:tcW w:w="6090" w:type="dxa"/>
            <w:tcBorders>
              <w:top w:val="nil"/>
              <w:left w:val="nil"/>
              <w:bottom w:val="single" w:sz="4" w:space="0" w:color="auto"/>
              <w:right w:val="nil"/>
            </w:tcBorders>
            <w:shd w:val="clear" w:color="auto" w:fill="auto"/>
            <w:noWrap/>
            <w:vAlign w:val="center"/>
            <w:hideMark/>
          </w:tcPr>
          <w:p w14:paraId="18839E99"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7C7564">
              <w:rPr>
                <w:rFonts w:eastAsia="Times New Roman" w:cs="Calibri"/>
                <w:sz w:val="20"/>
              </w:rPr>
              <w:t> </w:t>
            </w:r>
          </w:p>
        </w:tc>
        <w:tc>
          <w:tcPr>
            <w:tcW w:w="1355" w:type="dxa"/>
            <w:tcBorders>
              <w:top w:val="nil"/>
              <w:left w:val="single" w:sz="4" w:space="0" w:color="0070C0"/>
              <w:bottom w:val="single" w:sz="4" w:space="0" w:color="auto"/>
              <w:right w:val="nil"/>
            </w:tcBorders>
            <w:shd w:val="clear" w:color="auto" w:fill="auto"/>
            <w:noWrap/>
            <w:vAlign w:val="center"/>
            <w:hideMark/>
          </w:tcPr>
          <w:p w14:paraId="0C680723"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 </w:t>
            </w:r>
          </w:p>
        </w:tc>
        <w:tc>
          <w:tcPr>
            <w:tcW w:w="1396" w:type="dxa"/>
            <w:tcBorders>
              <w:top w:val="nil"/>
              <w:left w:val="nil"/>
              <w:bottom w:val="single" w:sz="4" w:space="0" w:color="auto"/>
              <w:right w:val="nil"/>
            </w:tcBorders>
            <w:shd w:val="clear" w:color="auto" w:fill="auto"/>
            <w:noWrap/>
            <w:vAlign w:val="center"/>
            <w:hideMark/>
          </w:tcPr>
          <w:p w14:paraId="0DE67BFF"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 </w:t>
            </w:r>
          </w:p>
        </w:tc>
        <w:tc>
          <w:tcPr>
            <w:tcW w:w="1166" w:type="dxa"/>
            <w:tcBorders>
              <w:top w:val="nil"/>
              <w:left w:val="nil"/>
              <w:bottom w:val="single" w:sz="4" w:space="0" w:color="auto"/>
              <w:right w:val="nil"/>
            </w:tcBorders>
            <w:shd w:val="clear" w:color="auto" w:fill="auto"/>
            <w:noWrap/>
            <w:vAlign w:val="center"/>
            <w:hideMark/>
          </w:tcPr>
          <w:p w14:paraId="5E2F948A"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 </w:t>
            </w:r>
          </w:p>
        </w:tc>
        <w:tc>
          <w:tcPr>
            <w:tcW w:w="1166" w:type="dxa"/>
            <w:tcBorders>
              <w:top w:val="nil"/>
              <w:left w:val="nil"/>
              <w:bottom w:val="single" w:sz="4" w:space="0" w:color="auto"/>
              <w:right w:val="nil"/>
            </w:tcBorders>
            <w:shd w:val="clear" w:color="auto" w:fill="auto"/>
            <w:noWrap/>
            <w:vAlign w:val="center"/>
            <w:hideMark/>
          </w:tcPr>
          <w:p w14:paraId="62626718"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 </w:t>
            </w:r>
          </w:p>
        </w:tc>
        <w:tc>
          <w:tcPr>
            <w:tcW w:w="1396" w:type="dxa"/>
            <w:tcBorders>
              <w:top w:val="nil"/>
              <w:left w:val="nil"/>
              <w:bottom w:val="single" w:sz="4" w:space="0" w:color="auto"/>
              <w:right w:val="nil"/>
            </w:tcBorders>
            <w:shd w:val="clear" w:color="auto" w:fill="auto"/>
            <w:noWrap/>
            <w:vAlign w:val="center"/>
            <w:hideMark/>
          </w:tcPr>
          <w:p w14:paraId="7419F24F"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 </w:t>
            </w:r>
          </w:p>
        </w:tc>
      </w:tr>
      <w:tr w:rsidR="005C437E" w:rsidRPr="007C7564" w14:paraId="11605328" w14:textId="77777777" w:rsidTr="002F7131">
        <w:trPr>
          <w:trHeight w:val="120"/>
        </w:trPr>
        <w:tc>
          <w:tcPr>
            <w:tcW w:w="1281" w:type="dxa"/>
            <w:tcBorders>
              <w:top w:val="nil"/>
              <w:left w:val="nil"/>
              <w:bottom w:val="nil"/>
              <w:right w:val="nil"/>
            </w:tcBorders>
            <w:shd w:val="clear" w:color="auto" w:fill="auto"/>
            <w:noWrap/>
            <w:vAlign w:val="center"/>
            <w:hideMark/>
          </w:tcPr>
          <w:p w14:paraId="0197A8F2"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6090" w:type="dxa"/>
            <w:tcBorders>
              <w:top w:val="nil"/>
              <w:left w:val="nil"/>
              <w:bottom w:val="nil"/>
              <w:right w:val="nil"/>
            </w:tcBorders>
            <w:shd w:val="clear" w:color="auto" w:fill="auto"/>
            <w:noWrap/>
            <w:vAlign w:val="center"/>
            <w:hideMark/>
          </w:tcPr>
          <w:p w14:paraId="3238EF6E"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55" w:type="dxa"/>
            <w:tcBorders>
              <w:top w:val="nil"/>
              <w:left w:val="single" w:sz="4" w:space="0" w:color="0070C0"/>
              <w:bottom w:val="nil"/>
              <w:right w:val="nil"/>
            </w:tcBorders>
            <w:shd w:val="clear" w:color="auto" w:fill="auto"/>
            <w:noWrap/>
            <w:vAlign w:val="center"/>
            <w:hideMark/>
          </w:tcPr>
          <w:p w14:paraId="4D462C8C"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7C7564">
              <w:rPr>
                <w:rFonts w:eastAsia="Times New Roman" w:cs="Calibri"/>
                <w:b/>
                <w:bCs/>
                <w:sz w:val="20"/>
              </w:rPr>
              <w:t> </w:t>
            </w:r>
          </w:p>
        </w:tc>
        <w:tc>
          <w:tcPr>
            <w:tcW w:w="1396" w:type="dxa"/>
            <w:tcBorders>
              <w:top w:val="nil"/>
              <w:left w:val="nil"/>
              <w:bottom w:val="nil"/>
              <w:right w:val="nil"/>
            </w:tcBorders>
            <w:shd w:val="clear" w:color="auto" w:fill="auto"/>
            <w:noWrap/>
            <w:vAlign w:val="center"/>
            <w:hideMark/>
          </w:tcPr>
          <w:p w14:paraId="1827D72F"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p>
        </w:tc>
        <w:tc>
          <w:tcPr>
            <w:tcW w:w="1166" w:type="dxa"/>
            <w:tcBorders>
              <w:top w:val="nil"/>
              <w:left w:val="nil"/>
              <w:bottom w:val="nil"/>
              <w:right w:val="nil"/>
            </w:tcBorders>
            <w:shd w:val="clear" w:color="auto" w:fill="auto"/>
            <w:noWrap/>
            <w:vAlign w:val="center"/>
            <w:hideMark/>
          </w:tcPr>
          <w:p w14:paraId="4B76D97A"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66" w:type="dxa"/>
            <w:tcBorders>
              <w:top w:val="nil"/>
              <w:left w:val="nil"/>
              <w:bottom w:val="nil"/>
              <w:right w:val="nil"/>
            </w:tcBorders>
            <w:shd w:val="clear" w:color="auto" w:fill="auto"/>
            <w:noWrap/>
            <w:vAlign w:val="center"/>
            <w:hideMark/>
          </w:tcPr>
          <w:p w14:paraId="2981E807"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77AF0BB0"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7C7564" w14:paraId="2C710756" w14:textId="77777777" w:rsidTr="002F7131">
        <w:trPr>
          <w:trHeight w:val="252"/>
        </w:trPr>
        <w:tc>
          <w:tcPr>
            <w:tcW w:w="1281" w:type="dxa"/>
            <w:tcBorders>
              <w:top w:val="nil"/>
              <w:left w:val="nil"/>
              <w:bottom w:val="nil"/>
              <w:right w:val="nil"/>
            </w:tcBorders>
            <w:shd w:val="clear" w:color="auto" w:fill="auto"/>
            <w:noWrap/>
            <w:vAlign w:val="center"/>
            <w:hideMark/>
          </w:tcPr>
          <w:p w14:paraId="3762CE85"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b/>
                <w:bCs/>
                <w:sz w:val="20"/>
              </w:rPr>
            </w:pPr>
            <w:r w:rsidRPr="007C7564">
              <w:rPr>
                <w:rFonts w:ascii="SimSun" w:hAnsi="SimSun" w:hint="eastAsia"/>
                <w:b/>
                <w:bCs/>
                <w:sz w:val="20"/>
              </w:rPr>
              <w:t>合计</w:t>
            </w:r>
          </w:p>
        </w:tc>
        <w:tc>
          <w:tcPr>
            <w:tcW w:w="6090" w:type="dxa"/>
            <w:tcBorders>
              <w:top w:val="nil"/>
              <w:left w:val="nil"/>
              <w:bottom w:val="nil"/>
              <w:right w:val="nil"/>
            </w:tcBorders>
            <w:shd w:val="clear" w:color="auto" w:fill="auto"/>
            <w:noWrap/>
            <w:vAlign w:val="center"/>
            <w:hideMark/>
          </w:tcPr>
          <w:p w14:paraId="64998581"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b/>
                <w:bCs/>
                <w:sz w:val="20"/>
              </w:rPr>
            </w:pPr>
          </w:p>
        </w:tc>
        <w:tc>
          <w:tcPr>
            <w:tcW w:w="1355" w:type="dxa"/>
            <w:tcBorders>
              <w:top w:val="nil"/>
              <w:left w:val="single" w:sz="4" w:space="0" w:color="0070C0"/>
              <w:bottom w:val="nil"/>
              <w:right w:val="nil"/>
            </w:tcBorders>
            <w:shd w:val="clear" w:color="auto" w:fill="auto"/>
            <w:noWrap/>
            <w:vAlign w:val="center"/>
            <w:hideMark/>
          </w:tcPr>
          <w:p w14:paraId="70A380C0"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7C7564">
              <w:rPr>
                <w:rFonts w:eastAsia="Times New Roman" w:cs="Calibri"/>
                <w:b/>
                <w:bCs/>
                <w:sz w:val="20"/>
              </w:rPr>
              <w:t>26,699</w:t>
            </w:r>
          </w:p>
        </w:tc>
        <w:tc>
          <w:tcPr>
            <w:tcW w:w="1396" w:type="dxa"/>
            <w:tcBorders>
              <w:top w:val="nil"/>
              <w:left w:val="nil"/>
              <w:bottom w:val="nil"/>
              <w:right w:val="nil"/>
            </w:tcBorders>
            <w:shd w:val="clear" w:color="auto" w:fill="auto"/>
            <w:noWrap/>
            <w:vAlign w:val="center"/>
            <w:hideMark/>
          </w:tcPr>
          <w:p w14:paraId="4B8F2C40"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7C7564">
              <w:rPr>
                <w:rFonts w:eastAsia="Times New Roman" w:cs="Calibri"/>
                <w:b/>
                <w:bCs/>
                <w:sz w:val="20"/>
              </w:rPr>
              <w:t>26,983</w:t>
            </w:r>
          </w:p>
        </w:tc>
        <w:tc>
          <w:tcPr>
            <w:tcW w:w="1166" w:type="dxa"/>
            <w:tcBorders>
              <w:top w:val="nil"/>
              <w:left w:val="nil"/>
              <w:bottom w:val="nil"/>
              <w:right w:val="nil"/>
            </w:tcBorders>
            <w:shd w:val="clear" w:color="auto" w:fill="auto"/>
            <w:noWrap/>
            <w:vAlign w:val="center"/>
            <w:hideMark/>
          </w:tcPr>
          <w:p w14:paraId="4EA17FAC"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7C7564">
              <w:rPr>
                <w:rFonts w:eastAsia="Times New Roman" w:cs="Calibri"/>
                <w:b/>
                <w:bCs/>
                <w:sz w:val="20"/>
              </w:rPr>
              <w:t>13,894</w:t>
            </w:r>
          </w:p>
        </w:tc>
        <w:tc>
          <w:tcPr>
            <w:tcW w:w="1166" w:type="dxa"/>
            <w:tcBorders>
              <w:top w:val="nil"/>
              <w:left w:val="nil"/>
              <w:bottom w:val="nil"/>
              <w:right w:val="nil"/>
            </w:tcBorders>
            <w:shd w:val="clear" w:color="auto" w:fill="auto"/>
            <w:noWrap/>
            <w:vAlign w:val="center"/>
            <w:hideMark/>
          </w:tcPr>
          <w:p w14:paraId="24ABBCF5"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7C7564">
              <w:rPr>
                <w:rFonts w:eastAsia="Times New Roman" w:cs="Calibri"/>
                <w:b/>
                <w:bCs/>
                <w:sz w:val="20"/>
              </w:rPr>
              <w:t>13,195</w:t>
            </w:r>
          </w:p>
        </w:tc>
        <w:tc>
          <w:tcPr>
            <w:tcW w:w="1396" w:type="dxa"/>
            <w:tcBorders>
              <w:top w:val="nil"/>
              <w:left w:val="nil"/>
              <w:bottom w:val="nil"/>
              <w:right w:val="nil"/>
            </w:tcBorders>
            <w:shd w:val="clear" w:color="auto" w:fill="auto"/>
            <w:noWrap/>
            <w:vAlign w:val="center"/>
            <w:hideMark/>
          </w:tcPr>
          <w:p w14:paraId="6B7CC3D1"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7C7564">
              <w:rPr>
                <w:rFonts w:eastAsia="Times New Roman" w:cs="Calibri"/>
                <w:b/>
                <w:bCs/>
                <w:sz w:val="20"/>
              </w:rPr>
              <w:t>27,089</w:t>
            </w:r>
          </w:p>
        </w:tc>
      </w:tr>
    </w:tbl>
    <w:p w14:paraId="51EC2EB3" w14:textId="549DA818" w:rsidR="005C437E" w:rsidRPr="005C437E" w:rsidRDefault="005C437E" w:rsidP="005C437E">
      <w:pPr>
        <w:rPr>
          <w:lang w:eastAsia="zh-CN"/>
        </w:rPr>
      </w:pPr>
      <w:r>
        <w:br w:type="page"/>
      </w:r>
    </w:p>
    <w:tbl>
      <w:tblPr>
        <w:tblW w:w="14856" w:type="dxa"/>
        <w:tblLook w:val="04A0" w:firstRow="1" w:lastRow="0" w:firstColumn="1" w:lastColumn="0" w:noHBand="0" w:noVBand="1"/>
      </w:tblPr>
      <w:tblGrid>
        <w:gridCol w:w="3080"/>
        <w:gridCol w:w="1400"/>
        <w:gridCol w:w="1360"/>
        <w:gridCol w:w="1240"/>
        <w:gridCol w:w="1240"/>
        <w:gridCol w:w="1240"/>
        <w:gridCol w:w="1456"/>
        <w:gridCol w:w="1240"/>
        <w:gridCol w:w="1240"/>
        <w:gridCol w:w="1360"/>
      </w:tblGrid>
      <w:tr w:rsidR="005C437E" w:rsidRPr="00F93933" w14:paraId="23F1B3AC" w14:textId="77777777" w:rsidTr="002F7131">
        <w:trPr>
          <w:trHeight w:val="465"/>
        </w:trPr>
        <w:tc>
          <w:tcPr>
            <w:tcW w:w="3080" w:type="dxa"/>
            <w:tcBorders>
              <w:top w:val="nil"/>
              <w:left w:val="nil"/>
              <w:bottom w:val="nil"/>
              <w:right w:val="nil"/>
            </w:tcBorders>
            <w:shd w:val="clear" w:color="auto" w:fill="auto"/>
            <w:noWrap/>
            <w:vAlign w:val="center"/>
            <w:hideMark/>
          </w:tcPr>
          <w:p w14:paraId="7044F104"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F93933">
              <w:rPr>
                <w:rFonts w:ascii="SimSun" w:hAnsi="SimSun" w:cs="Calibri" w:hint="eastAsia"/>
                <w:b/>
                <w:bCs/>
                <w:color w:val="002060"/>
                <w:sz w:val="40"/>
                <w:szCs w:val="40"/>
              </w:rPr>
              <w:lastRenderedPageBreak/>
              <w:t>表</w:t>
            </w:r>
            <w:r w:rsidRPr="00F93933">
              <w:rPr>
                <w:rFonts w:eastAsia="Times New Roman" w:cs="Calibri"/>
                <w:b/>
                <w:bCs/>
                <w:color w:val="002060"/>
                <w:sz w:val="40"/>
                <w:szCs w:val="40"/>
              </w:rPr>
              <w:t>8</w:t>
            </w:r>
          </w:p>
        </w:tc>
        <w:tc>
          <w:tcPr>
            <w:tcW w:w="1400" w:type="dxa"/>
            <w:tcBorders>
              <w:top w:val="nil"/>
              <w:left w:val="nil"/>
              <w:bottom w:val="nil"/>
              <w:right w:val="nil"/>
            </w:tcBorders>
            <w:shd w:val="clear" w:color="auto" w:fill="auto"/>
            <w:noWrap/>
            <w:vAlign w:val="center"/>
            <w:hideMark/>
          </w:tcPr>
          <w:p w14:paraId="1FDF2589"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1360" w:type="dxa"/>
            <w:tcBorders>
              <w:top w:val="nil"/>
              <w:left w:val="nil"/>
              <w:bottom w:val="nil"/>
              <w:right w:val="nil"/>
            </w:tcBorders>
            <w:shd w:val="clear" w:color="auto" w:fill="auto"/>
            <w:noWrap/>
            <w:vAlign w:val="center"/>
            <w:hideMark/>
          </w:tcPr>
          <w:p w14:paraId="4EAFAEA4"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44CBBA6C"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56BB89D7"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73A3D751"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6F8832F0"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57170C69"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2A43EF4A"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center"/>
            <w:hideMark/>
          </w:tcPr>
          <w:p w14:paraId="0B3FA6E1"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F93933" w14:paraId="0267BCF2" w14:textId="77777777" w:rsidTr="002F7131">
        <w:trPr>
          <w:trHeight w:val="405"/>
        </w:trPr>
        <w:tc>
          <w:tcPr>
            <w:tcW w:w="4480" w:type="dxa"/>
            <w:gridSpan w:val="2"/>
            <w:tcBorders>
              <w:top w:val="nil"/>
              <w:left w:val="nil"/>
              <w:bottom w:val="nil"/>
              <w:right w:val="nil"/>
            </w:tcBorders>
            <w:shd w:val="clear" w:color="auto" w:fill="auto"/>
            <w:noWrap/>
            <w:vAlign w:val="center"/>
            <w:hideMark/>
          </w:tcPr>
          <w:p w14:paraId="0A868E3A"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r w:rsidRPr="00F93933">
              <w:rPr>
                <w:rFonts w:ascii="STKaiti" w:eastAsia="STKaiti" w:hAnsi="STKaiti" w:hint="eastAsia"/>
                <w:b/>
                <w:bCs/>
                <w:color w:val="002060"/>
                <w:sz w:val="28"/>
                <w:szCs w:val="28"/>
              </w:rPr>
              <w:t>电信标准化部门</w:t>
            </w:r>
            <w:r w:rsidRPr="00F93933">
              <w:rPr>
                <w:rFonts w:eastAsia="STKaiti" w:cs="Calibri"/>
                <w:b/>
                <w:bCs/>
                <w:color w:val="002060"/>
                <w:sz w:val="28"/>
                <w:szCs w:val="28"/>
              </w:rPr>
              <w:t>2022-2023</w:t>
            </w:r>
            <w:r w:rsidRPr="00F93933">
              <w:rPr>
                <w:rFonts w:ascii="STKaiti" w:eastAsia="STKaiti" w:hAnsi="STKaiti" w:hint="eastAsia"/>
                <w:b/>
                <w:bCs/>
                <w:color w:val="002060"/>
                <w:sz w:val="28"/>
                <w:szCs w:val="28"/>
              </w:rPr>
              <w:t>年</w:t>
            </w:r>
          </w:p>
        </w:tc>
        <w:tc>
          <w:tcPr>
            <w:tcW w:w="1360" w:type="dxa"/>
            <w:tcBorders>
              <w:top w:val="nil"/>
              <w:left w:val="nil"/>
              <w:bottom w:val="nil"/>
              <w:right w:val="nil"/>
            </w:tcBorders>
            <w:shd w:val="clear" w:color="auto" w:fill="auto"/>
            <w:noWrap/>
            <w:vAlign w:val="center"/>
            <w:hideMark/>
          </w:tcPr>
          <w:p w14:paraId="670AF825"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p>
        </w:tc>
        <w:tc>
          <w:tcPr>
            <w:tcW w:w="1240" w:type="dxa"/>
            <w:tcBorders>
              <w:top w:val="nil"/>
              <w:left w:val="nil"/>
              <w:bottom w:val="nil"/>
              <w:right w:val="nil"/>
            </w:tcBorders>
            <w:shd w:val="clear" w:color="auto" w:fill="auto"/>
            <w:noWrap/>
            <w:vAlign w:val="center"/>
            <w:hideMark/>
          </w:tcPr>
          <w:p w14:paraId="2ADEA2AC"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3A13644C"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14FB79D9"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0E7E4331"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1CE45B9C"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7F9B3AF9"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center"/>
            <w:hideMark/>
          </w:tcPr>
          <w:p w14:paraId="0132515B"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F93933" w14:paraId="5F05D18C" w14:textId="77777777" w:rsidTr="002F7131">
        <w:trPr>
          <w:trHeight w:val="405"/>
        </w:trPr>
        <w:tc>
          <w:tcPr>
            <w:tcW w:w="4480" w:type="dxa"/>
            <w:gridSpan w:val="2"/>
            <w:tcBorders>
              <w:top w:val="nil"/>
              <w:left w:val="nil"/>
              <w:bottom w:val="nil"/>
              <w:right w:val="nil"/>
            </w:tcBorders>
            <w:shd w:val="clear" w:color="auto" w:fill="auto"/>
            <w:noWrap/>
            <w:vAlign w:val="center"/>
            <w:hideMark/>
          </w:tcPr>
          <w:p w14:paraId="60C83BD2"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r w:rsidRPr="00F93933">
              <w:rPr>
                <w:rFonts w:ascii="STKaiti" w:eastAsia="STKaiti" w:hAnsi="STKaiti" w:hint="eastAsia"/>
                <w:b/>
                <w:bCs/>
                <w:color w:val="002060"/>
                <w:szCs w:val="24"/>
                <w:lang w:eastAsia="zh-CN"/>
              </w:rPr>
              <w:t>按项和支出类别列出的计划支出</w:t>
            </w:r>
          </w:p>
        </w:tc>
        <w:tc>
          <w:tcPr>
            <w:tcW w:w="1360" w:type="dxa"/>
            <w:tcBorders>
              <w:top w:val="nil"/>
              <w:left w:val="nil"/>
              <w:bottom w:val="nil"/>
              <w:right w:val="nil"/>
            </w:tcBorders>
            <w:shd w:val="clear" w:color="auto" w:fill="auto"/>
            <w:noWrap/>
            <w:vAlign w:val="center"/>
            <w:hideMark/>
          </w:tcPr>
          <w:p w14:paraId="7CABDD8F"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p>
        </w:tc>
        <w:tc>
          <w:tcPr>
            <w:tcW w:w="1240" w:type="dxa"/>
            <w:tcBorders>
              <w:top w:val="nil"/>
              <w:left w:val="nil"/>
              <w:bottom w:val="nil"/>
              <w:right w:val="nil"/>
            </w:tcBorders>
            <w:shd w:val="clear" w:color="auto" w:fill="auto"/>
            <w:noWrap/>
            <w:vAlign w:val="center"/>
            <w:hideMark/>
          </w:tcPr>
          <w:p w14:paraId="685FA89D"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40" w:type="dxa"/>
            <w:tcBorders>
              <w:top w:val="nil"/>
              <w:left w:val="nil"/>
              <w:bottom w:val="nil"/>
              <w:right w:val="nil"/>
            </w:tcBorders>
            <w:shd w:val="clear" w:color="auto" w:fill="auto"/>
            <w:noWrap/>
            <w:vAlign w:val="center"/>
            <w:hideMark/>
          </w:tcPr>
          <w:p w14:paraId="38D47E01"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40" w:type="dxa"/>
            <w:tcBorders>
              <w:top w:val="nil"/>
              <w:left w:val="nil"/>
              <w:bottom w:val="nil"/>
              <w:right w:val="nil"/>
            </w:tcBorders>
            <w:shd w:val="clear" w:color="auto" w:fill="auto"/>
            <w:noWrap/>
            <w:vAlign w:val="center"/>
            <w:hideMark/>
          </w:tcPr>
          <w:p w14:paraId="4AF2C694"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56" w:type="dxa"/>
            <w:tcBorders>
              <w:top w:val="nil"/>
              <w:left w:val="nil"/>
              <w:bottom w:val="nil"/>
              <w:right w:val="nil"/>
            </w:tcBorders>
            <w:shd w:val="clear" w:color="auto" w:fill="auto"/>
            <w:noWrap/>
            <w:vAlign w:val="center"/>
            <w:hideMark/>
          </w:tcPr>
          <w:p w14:paraId="5EB8E9EA"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40" w:type="dxa"/>
            <w:tcBorders>
              <w:top w:val="nil"/>
              <w:left w:val="nil"/>
              <w:bottom w:val="nil"/>
              <w:right w:val="nil"/>
            </w:tcBorders>
            <w:shd w:val="clear" w:color="auto" w:fill="auto"/>
            <w:noWrap/>
            <w:vAlign w:val="center"/>
            <w:hideMark/>
          </w:tcPr>
          <w:p w14:paraId="76F2A127"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40" w:type="dxa"/>
            <w:tcBorders>
              <w:top w:val="nil"/>
              <w:left w:val="nil"/>
              <w:bottom w:val="nil"/>
              <w:right w:val="nil"/>
            </w:tcBorders>
            <w:shd w:val="clear" w:color="auto" w:fill="auto"/>
            <w:noWrap/>
            <w:vAlign w:val="center"/>
            <w:hideMark/>
          </w:tcPr>
          <w:p w14:paraId="551D4BA1"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360" w:type="dxa"/>
            <w:tcBorders>
              <w:top w:val="nil"/>
              <w:left w:val="nil"/>
              <w:bottom w:val="nil"/>
              <w:right w:val="nil"/>
            </w:tcBorders>
            <w:shd w:val="clear" w:color="auto" w:fill="auto"/>
            <w:noWrap/>
            <w:vAlign w:val="center"/>
            <w:hideMark/>
          </w:tcPr>
          <w:p w14:paraId="5FEB4012"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5C437E" w:rsidRPr="00F93933" w14:paraId="1C7A9FA3" w14:textId="77777777" w:rsidTr="002F7131">
        <w:trPr>
          <w:trHeight w:val="195"/>
        </w:trPr>
        <w:tc>
          <w:tcPr>
            <w:tcW w:w="3080" w:type="dxa"/>
            <w:tcBorders>
              <w:top w:val="nil"/>
              <w:left w:val="nil"/>
              <w:bottom w:val="nil"/>
              <w:right w:val="nil"/>
            </w:tcBorders>
            <w:shd w:val="clear" w:color="auto" w:fill="auto"/>
            <w:noWrap/>
            <w:vAlign w:val="center"/>
            <w:hideMark/>
          </w:tcPr>
          <w:p w14:paraId="7D44CDFC"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1776" w:type="dxa"/>
            <w:gridSpan w:val="9"/>
            <w:tcBorders>
              <w:top w:val="nil"/>
              <w:left w:val="nil"/>
              <w:bottom w:val="nil"/>
              <w:right w:val="nil"/>
            </w:tcBorders>
            <w:shd w:val="clear" w:color="auto" w:fill="auto"/>
            <w:noWrap/>
            <w:vAlign w:val="center"/>
            <w:hideMark/>
          </w:tcPr>
          <w:p w14:paraId="539F2C7D"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F93933">
              <w:rPr>
                <w:rFonts w:ascii="STKaiti" w:eastAsia="STKaiti" w:hAnsi="STKaiti" w:hint="eastAsia"/>
                <w:color w:val="002060"/>
                <w:sz w:val="18"/>
                <w:szCs w:val="18"/>
              </w:rPr>
              <w:t>单位：千瑞郎</w:t>
            </w:r>
          </w:p>
        </w:tc>
      </w:tr>
      <w:tr w:rsidR="005C437E" w:rsidRPr="00F93933" w14:paraId="24FD32C4" w14:textId="77777777" w:rsidTr="002F7131">
        <w:trPr>
          <w:trHeight w:val="345"/>
        </w:trPr>
        <w:tc>
          <w:tcPr>
            <w:tcW w:w="3080" w:type="dxa"/>
            <w:tcBorders>
              <w:top w:val="nil"/>
              <w:left w:val="nil"/>
              <w:bottom w:val="nil"/>
              <w:right w:val="nil"/>
            </w:tcBorders>
            <w:shd w:val="clear" w:color="auto" w:fill="auto"/>
            <w:noWrap/>
            <w:vAlign w:val="center"/>
            <w:hideMark/>
          </w:tcPr>
          <w:p w14:paraId="274AFD18"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p>
        </w:tc>
        <w:tc>
          <w:tcPr>
            <w:tcW w:w="1400" w:type="dxa"/>
            <w:tcBorders>
              <w:top w:val="nil"/>
              <w:left w:val="nil"/>
              <w:bottom w:val="nil"/>
              <w:right w:val="nil"/>
            </w:tcBorders>
            <w:shd w:val="clear" w:color="auto" w:fill="auto"/>
            <w:noWrap/>
            <w:vAlign w:val="center"/>
            <w:hideMark/>
          </w:tcPr>
          <w:p w14:paraId="02DC4323"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p>
        </w:tc>
        <w:tc>
          <w:tcPr>
            <w:tcW w:w="1360" w:type="dxa"/>
            <w:tcBorders>
              <w:top w:val="nil"/>
              <w:left w:val="nil"/>
              <w:bottom w:val="nil"/>
              <w:right w:val="nil"/>
            </w:tcBorders>
            <w:shd w:val="clear" w:color="auto" w:fill="auto"/>
            <w:noWrap/>
            <w:vAlign w:val="center"/>
            <w:hideMark/>
          </w:tcPr>
          <w:p w14:paraId="570838C8"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71772AC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03B1B24C"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5311CD86"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3936" w:type="dxa"/>
            <w:gridSpan w:val="3"/>
            <w:tcBorders>
              <w:top w:val="nil"/>
              <w:left w:val="nil"/>
              <w:bottom w:val="nil"/>
              <w:right w:val="nil"/>
            </w:tcBorders>
            <w:shd w:val="clear" w:color="auto" w:fill="auto"/>
            <w:noWrap/>
            <w:vAlign w:val="center"/>
            <w:hideMark/>
          </w:tcPr>
          <w:p w14:paraId="6D066532"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r w:rsidRPr="00F93933">
              <w:rPr>
                <w:rFonts w:ascii="STKaiti" w:eastAsia="STKaiti" w:hAnsi="STKaiti" w:hint="eastAsia"/>
                <w:b/>
                <w:bCs/>
                <w:color w:val="002060"/>
                <w:sz w:val="20"/>
              </w:rPr>
              <w:t>电信标准化局</w:t>
            </w:r>
          </w:p>
        </w:tc>
        <w:tc>
          <w:tcPr>
            <w:tcW w:w="1360" w:type="dxa"/>
            <w:tcBorders>
              <w:top w:val="nil"/>
              <w:left w:val="nil"/>
              <w:bottom w:val="nil"/>
              <w:right w:val="nil"/>
            </w:tcBorders>
            <w:shd w:val="clear" w:color="auto" w:fill="auto"/>
            <w:noWrap/>
            <w:vAlign w:val="center"/>
            <w:hideMark/>
          </w:tcPr>
          <w:p w14:paraId="29650F00"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p>
        </w:tc>
      </w:tr>
      <w:tr w:rsidR="005C437E" w:rsidRPr="00F93933" w14:paraId="442C66D2" w14:textId="77777777" w:rsidTr="002F7131">
        <w:trPr>
          <w:trHeight w:val="150"/>
        </w:trPr>
        <w:tc>
          <w:tcPr>
            <w:tcW w:w="3080" w:type="dxa"/>
            <w:tcBorders>
              <w:top w:val="nil"/>
              <w:left w:val="nil"/>
              <w:bottom w:val="nil"/>
              <w:right w:val="nil"/>
            </w:tcBorders>
            <w:shd w:val="clear" w:color="auto" w:fill="auto"/>
            <w:noWrap/>
            <w:vAlign w:val="center"/>
            <w:hideMark/>
          </w:tcPr>
          <w:p w14:paraId="209152C9"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400" w:type="dxa"/>
            <w:tcBorders>
              <w:top w:val="nil"/>
              <w:left w:val="nil"/>
              <w:bottom w:val="nil"/>
              <w:right w:val="nil"/>
            </w:tcBorders>
            <w:shd w:val="clear" w:color="auto" w:fill="auto"/>
            <w:noWrap/>
            <w:vAlign w:val="center"/>
            <w:hideMark/>
          </w:tcPr>
          <w:p w14:paraId="0221AABC"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center"/>
            <w:hideMark/>
          </w:tcPr>
          <w:p w14:paraId="609FAD3C"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68C5C6D1"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06691F9D"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09EE7BC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1D0FBF3D"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tc>
        <w:tc>
          <w:tcPr>
            <w:tcW w:w="1240" w:type="dxa"/>
            <w:tcBorders>
              <w:top w:val="nil"/>
              <w:left w:val="nil"/>
              <w:bottom w:val="nil"/>
              <w:right w:val="nil"/>
            </w:tcBorders>
            <w:shd w:val="clear" w:color="auto" w:fill="auto"/>
            <w:noWrap/>
            <w:vAlign w:val="center"/>
            <w:hideMark/>
          </w:tcPr>
          <w:p w14:paraId="00284C40"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r w:rsidRPr="00F93933">
              <w:rPr>
                <w:rFonts w:ascii="Helv" w:eastAsia="Times New Roman" w:hAnsi="Helv"/>
                <w:noProof/>
                <w:sz w:val="20"/>
              </w:rPr>
              <mc:AlternateContent>
                <mc:Choice Requires="wps">
                  <w:drawing>
                    <wp:anchor distT="0" distB="0" distL="114300" distR="114300" simplePos="0" relativeHeight="251696128" behindDoc="0" locked="0" layoutInCell="1" allowOverlap="1" wp14:anchorId="0E329296" wp14:editId="452E362B">
                      <wp:simplePos x="0" y="0"/>
                      <wp:positionH relativeFrom="column">
                        <wp:posOffset>273685</wp:posOffset>
                      </wp:positionH>
                      <wp:positionV relativeFrom="paragraph">
                        <wp:posOffset>-1119505</wp:posOffset>
                      </wp:positionV>
                      <wp:extent cx="57785" cy="2340610"/>
                      <wp:effectExtent l="1588" t="0" r="20002" b="20003"/>
                      <wp:wrapNone/>
                      <wp:docPr id="108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57785" cy="2340610"/>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09DED34" id="AutoShape 15" o:spid="_x0000_s1026" type="#_x0000_t85" style="position:absolute;margin-left:21.55pt;margin-top:-88.15pt;width:4.55pt;height:184.3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" adj="608" strokecolor="#0070c0" strokeweight="1pt"/>
                  </w:pict>
                </mc:Fallback>
              </mc:AlternateContent>
            </w:r>
          </w:p>
        </w:tc>
        <w:tc>
          <w:tcPr>
            <w:tcW w:w="1240" w:type="dxa"/>
            <w:tcBorders>
              <w:top w:val="nil"/>
              <w:left w:val="nil"/>
              <w:bottom w:val="nil"/>
              <w:right w:val="nil"/>
            </w:tcBorders>
            <w:shd w:val="clear" w:color="auto" w:fill="auto"/>
            <w:noWrap/>
            <w:vAlign w:val="center"/>
            <w:hideMark/>
          </w:tcPr>
          <w:p w14:paraId="2501D27F"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center"/>
            <w:hideMark/>
          </w:tcPr>
          <w:p w14:paraId="51F52229"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r w:rsidRPr="00F93933">
              <w:rPr>
                <w:rFonts w:ascii="Helv" w:eastAsia="Times New Roman" w:hAnsi="Helv"/>
                <w:noProof/>
                <w:sz w:val="20"/>
              </w:rPr>
              <mc:AlternateContent>
                <mc:Choice Requires="wps">
                  <w:drawing>
                    <wp:anchor distT="0" distB="0" distL="114300" distR="114300" simplePos="0" relativeHeight="251695104" behindDoc="0" locked="0" layoutInCell="1" allowOverlap="1" wp14:anchorId="18E0F9DF" wp14:editId="09DEA938">
                      <wp:simplePos x="0" y="0"/>
                      <wp:positionH relativeFrom="column">
                        <wp:posOffset>-35560</wp:posOffset>
                      </wp:positionH>
                      <wp:positionV relativeFrom="paragraph">
                        <wp:posOffset>-7620</wp:posOffset>
                      </wp:positionV>
                      <wp:extent cx="869950" cy="4311650"/>
                      <wp:effectExtent l="0" t="0" r="25400" b="12700"/>
                      <wp:wrapNone/>
                      <wp:docPr id="1083" name="圆角矩形 1083">
                        <a:extLst xmlns:a="http://schemas.openxmlformats.org/drawingml/2006/main">
                          <a:ext uri="{FF2B5EF4-FFF2-40B4-BE49-F238E27FC236}">
                            <a16:creationId xmlns:a16="http://schemas.microsoft.com/office/drawing/2014/main" id="{00000000-0008-0000-08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0" cy="431165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4F83EC93" id="圆角矩形 1083" o:spid="_x0000_s1026" style="position:absolute;margin-left:-2.8pt;margin-top:-.6pt;width:68.5pt;height:33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" filled="f" strokecolor="#0070c0" strokeweight="1pt"/>
                  </w:pict>
                </mc:Fallback>
              </mc:AlternateContent>
            </w:r>
          </w:p>
        </w:tc>
      </w:tr>
      <w:tr w:rsidR="005C437E" w:rsidRPr="00F93933" w14:paraId="0FC924E5" w14:textId="77777777" w:rsidTr="002F7131">
        <w:trPr>
          <w:trHeight w:val="20"/>
        </w:trPr>
        <w:tc>
          <w:tcPr>
            <w:tcW w:w="3080" w:type="dxa"/>
            <w:tcBorders>
              <w:top w:val="nil"/>
              <w:left w:val="nil"/>
              <w:bottom w:val="nil"/>
              <w:right w:val="nil"/>
            </w:tcBorders>
            <w:shd w:val="clear" w:color="auto" w:fill="auto"/>
            <w:noWrap/>
            <w:vAlign w:val="center"/>
            <w:hideMark/>
          </w:tcPr>
          <w:p w14:paraId="76715DA7"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400" w:type="dxa"/>
            <w:tcBorders>
              <w:top w:val="nil"/>
              <w:left w:val="nil"/>
              <w:bottom w:val="nil"/>
              <w:right w:val="nil"/>
            </w:tcBorders>
            <w:shd w:val="clear" w:color="auto" w:fill="auto"/>
            <w:hideMark/>
          </w:tcPr>
          <w:p w14:paraId="7622C7ED"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lang w:eastAsia="zh-CN"/>
              </w:rPr>
            </w:pPr>
            <w:r w:rsidRPr="00F04B38">
              <w:rPr>
                <w:rFonts w:ascii="SimSun" w:hAnsi="SimSun" w:hint="eastAsia"/>
                <w:sz w:val="18"/>
                <w:szCs w:val="18"/>
                <w:lang w:eastAsia="zh-CN"/>
              </w:rPr>
              <w:t>世界电信</w:t>
            </w:r>
            <w:r w:rsidRPr="00F04B38">
              <w:rPr>
                <w:rFonts w:ascii="SimSun" w:hAnsi="SimSun"/>
                <w:sz w:val="18"/>
                <w:szCs w:val="18"/>
                <w:lang w:eastAsia="zh-CN"/>
              </w:rPr>
              <w:br/>
            </w:r>
            <w:r w:rsidRPr="00F04B38">
              <w:rPr>
                <w:rFonts w:ascii="SimSun" w:hAnsi="SimSun" w:hint="eastAsia"/>
                <w:sz w:val="18"/>
                <w:szCs w:val="18"/>
                <w:lang w:eastAsia="zh-CN"/>
              </w:rPr>
              <w:t>标准化全会（</w:t>
            </w:r>
            <w:r w:rsidRPr="00F04B38">
              <w:rPr>
                <w:rFonts w:cs="Calibri"/>
                <w:sz w:val="18"/>
                <w:szCs w:val="18"/>
                <w:lang w:eastAsia="zh-CN"/>
              </w:rPr>
              <w:t>WTSA</w:t>
            </w:r>
            <w:r w:rsidRPr="00F04B38">
              <w:rPr>
                <w:rFonts w:ascii="SimSun" w:hAnsi="SimSun" w:hint="eastAsia"/>
                <w:sz w:val="18"/>
                <w:szCs w:val="18"/>
                <w:lang w:eastAsia="zh-CN"/>
              </w:rPr>
              <w:t>）</w:t>
            </w:r>
          </w:p>
        </w:tc>
        <w:tc>
          <w:tcPr>
            <w:tcW w:w="1360" w:type="dxa"/>
            <w:tcBorders>
              <w:top w:val="nil"/>
              <w:left w:val="nil"/>
              <w:bottom w:val="nil"/>
              <w:right w:val="nil"/>
            </w:tcBorders>
            <w:shd w:val="clear" w:color="auto" w:fill="auto"/>
            <w:hideMark/>
          </w:tcPr>
          <w:p w14:paraId="2F5CBD78"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电信标准化顾问组</w:t>
            </w:r>
          </w:p>
        </w:tc>
        <w:tc>
          <w:tcPr>
            <w:tcW w:w="1240" w:type="dxa"/>
            <w:tcBorders>
              <w:top w:val="nil"/>
              <w:left w:val="nil"/>
              <w:bottom w:val="nil"/>
              <w:right w:val="nil"/>
            </w:tcBorders>
            <w:shd w:val="clear" w:color="auto" w:fill="auto"/>
            <w:hideMark/>
          </w:tcPr>
          <w:p w14:paraId="13DD6D81"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研究组会议</w:t>
            </w:r>
          </w:p>
        </w:tc>
        <w:tc>
          <w:tcPr>
            <w:tcW w:w="1240" w:type="dxa"/>
            <w:tcBorders>
              <w:top w:val="nil"/>
              <w:left w:val="nil"/>
              <w:bottom w:val="nil"/>
              <w:right w:val="nil"/>
            </w:tcBorders>
            <w:shd w:val="clear" w:color="auto" w:fill="auto"/>
            <w:hideMark/>
          </w:tcPr>
          <w:p w14:paraId="30BE973A"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活动和项目</w:t>
            </w:r>
          </w:p>
        </w:tc>
        <w:tc>
          <w:tcPr>
            <w:tcW w:w="1240" w:type="dxa"/>
            <w:tcBorders>
              <w:top w:val="nil"/>
              <w:left w:val="nil"/>
              <w:bottom w:val="nil"/>
              <w:right w:val="nil"/>
            </w:tcBorders>
            <w:shd w:val="clear" w:color="auto" w:fill="auto"/>
            <w:hideMark/>
          </w:tcPr>
          <w:p w14:paraId="1ABC49BD"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研讨会和</w:t>
            </w:r>
            <w:r w:rsidRPr="00F04B38">
              <w:rPr>
                <w:rFonts w:ascii="SimSun" w:hAnsi="SimSun"/>
                <w:sz w:val="18"/>
                <w:szCs w:val="18"/>
              </w:rPr>
              <w:br/>
            </w:r>
            <w:r w:rsidRPr="00F04B38">
              <w:rPr>
                <w:rFonts w:ascii="SimSun" w:hAnsi="SimSun" w:hint="eastAsia"/>
                <w:sz w:val="18"/>
                <w:szCs w:val="18"/>
              </w:rPr>
              <w:t>讲习班</w:t>
            </w:r>
          </w:p>
        </w:tc>
        <w:tc>
          <w:tcPr>
            <w:tcW w:w="1456" w:type="dxa"/>
            <w:tcBorders>
              <w:top w:val="nil"/>
              <w:left w:val="nil"/>
              <w:bottom w:val="nil"/>
              <w:right w:val="nil"/>
            </w:tcBorders>
            <w:shd w:val="clear" w:color="auto" w:fill="auto"/>
            <w:hideMark/>
          </w:tcPr>
          <w:p w14:paraId="44659DF1"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共同支出</w:t>
            </w:r>
          </w:p>
        </w:tc>
        <w:tc>
          <w:tcPr>
            <w:tcW w:w="1240" w:type="dxa"/>
            <w:tcBorders>
              <w:top w:val="nil"/>
              <w:left w:val="nil"/>
              <w:bottom w:val="nil"/>
              <w:right w:val="nil"/>
            </w:tcBorders>
            <w:shd w:val="clear" w:color="auto" w:fill="auto"/>
            <w:hideMark/>
          </w:tcPr>
          <w:p w14:paraId="09690EEE"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主任办公室</w:t>
            </w:r>
          </w:p>
        </w:tc>
        <w:tc>
          <w:tcPr>
            <w:tcW w:w="1240" w:type="dxa"/>
            <w:tcBorders>
              <w:top w:val="nil"/>
              <w:left w:val="nil"/>
              <w:bottom w:val="nil"/>
              <w:right w:val="nil"/>
            </w:tcBorders>
            <w:shd w:val="clear" w:color="auto" w:fill="auto"/>
            <w:hideMark/>
          </w:tcPr>
          <w:p w14:paraId="1E6E74EA"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各部</w:t>
            </w:r>
          </w:p>
        </w:tc>
        <w:tc>
          <w:tcPr>
            <w:tcW w:w="1360" w:type="dxa"/>
            <w:tcBorders>
              <w:top w:val="nil"/>
              <w:left w:val="nil"/>
              <w:bottom w:val="nil"/>
              <w:right w:val="nil"/>
            </w:tcBorders>
            <w:shd w:val="clear" w:color="auto" w:fill="auto"/>
            <w:noWrap/>
            <w:vAlign w:val="center"/>
            <w:hideMark/>
          </w:tcPr>
          <w:p w14:paraId="0E87EE2E" w14:textId="77777777" w:rsidR="005C437E" w:rsidRPr="00461DD1"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heme="minorEastAsia" w:eastAsiaTheme="minorEastAsia" w:hAnsiTheme="minorEastAsia" w:cs="Calibri"/>
                <w:b/>
                <w:bCs/>
                <w:color w:val="002060"/>
                <w:sz w:val="20"/>
              </w:rPr>
            </w:pPr>
            <w:r w:rsidRPr="00461DD1">
              <w:rPr>
                <w:rFonts w:asciiTheme="minorEastAsia" w:eastAsiaTheme="minorEastAsia" w:hAnsiTheme="minorEastAsia" w:cs="Microsoft YaHei"/>
                <w:b/>
                <w:bCs/>
                <w:color w:val="002060"/>
                <w:sz w:val="20"/>
              </w:rPr>
              <w:t>合计</w:t>
            </w:r>
          </w:p>
        </w:tc>
      </w:tr>
      <w:tr w:rsidR="005C437E" w:rsidRPr="00F93933" w14:paraId="0A536F6D" w14:textId="77777777" w:rsidTr="002F7131">
        <w:trPr>
          <w:trHeight w:val="20"/>
        </w:trPr>
        <w:tc>
          <w:tcPr>
            <w:tcW w:w="3080" w:type="dxa"/>
            <w:tcBorders>
              <w:top w:val="nil"/>
              <w:left w:val="nil"/>
              <w:bottom w:val="single" w:sz="4" w:space="0" w:color="auto"/>
              <w:right w:val="nil"/>
            </w:tcBorders>
            <w:shd w:val="clear" w:color="auto" w:fill="auto"/>
            <w:noWrap/>
            <w:vAlign w:val="center"/>
            <w:hideMark/>
          </w:tcPr>
          <w:p w14:paraId="329911ED"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sz w:val="20"/>
              </w:rPr>
            </w:pPr>
            <w:r w:rsidRPr="00F93933">
              <w:rPr>
                <w:rFonts w:eastAsia="Times New Roman" w:cs="Calibri"/>
                <w:b/>
                <w:bCs/>
                <w:i/>
                <w:iCs/>
                <w:sz w:val="20"/>
              </w:rPr>
              <w:t> </w:t>
            </w:r>
          </w:p>
        </w:tc>
        <w:tc>
          <w:tcPr>
            <w:tcW w:w="1400" w:type="dxa"/>
            <w:tcBorders>
              <w:top w:val="nil"/>
              <w:left w:val="single" w:sz="4" w:space="0" w:color="0070C0"/>
              <w:bottom w:val="single" w:sz="4" w:space="0" w:color="auto"/>
              <w:right w:val="nil"/>
            </w:tcBorders>
            <w:shd w:val="clear" w:color="auto" w:fill="auto"/>
            <w:vAlign w:val="center"/>
            <w:hideMark/>
          </w:tcPr>
          <w:p w14:paraId="3551756F"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F93933">
              <w:rPr>
                <w:rFonts w:eastAsia="Times New Roman" w:cs="Calibri"/>
                <w:sz w:val="20"/>
              </w:rPr>
              <w:t> </w:t>
            </w:r>
          </w:p>
        </w:tc>
        <w:tc>
          <w:tcPr>
            <w:tcW w:w="1360" w:type="dxa"/>
            <w:tcBorders>
              <w:top w:val="nil"/>
              <w:left w:val="nil"/>
              <w:bottom w:val="single" w:sz="4" w:space="0" w:color="auto"/>
              <w:right w:val="nil"/>
            </w:tcBorders>
            <w:shd w:val="clear" w:color="auto" w:fill="auto"/>
            <w:noWrap/>
            <w:vAlign w:val="center"/>
            <w:hideMark/>
          </w:tcPr>
          <w:p w14:paraId="1112EFF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F93933">
              <w:rPr>
                <w:rFonts w:eastAsia="Times New Roman" w:cs="Calibri"/>
                <w:sz w:val="20"/>
              </w:rPr>
              <w:t> </w:t>
            </w:r>
          </w:p>
        </w:tc>
        <w:tc>
          <w:tcPr>
            <w:tcW w:w="1240" w:type="dxa"/>
            <w:tcBorders>
              <w:top w:val="nil"/>
              <w:left w:val="nil"/>
              <w:bottom w:val="single" w:sz="4" w:space="0" w:color="auto"/>
              <w:right w:val="nil"/>
            </w:tcBorders>
            <w:shd w:val="clear" w:color="auto" w:fill="auto"/>
            <w:noWrap/>
            <w:vAlign w:val="center"/>
            <w:hideMark/>
          </w:tcPr>
          <w:p w14:paraId="1E8D1CB2"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F93933">
              <w:rPr>
                <w:rFonts w:eastAsia="Times New Roman" w:cs="Calibri"/>
                <w:sz w:val="20"/>
              </w:rPr>
              <w:t> </w:t>
            </w:r>
          </w:p>
        </w:tc>
        <w:tc>
          <w:tcPr>
            <w:tcW w:w="1240" w:type="dxa"/>
            <w:tcBorders>
              <w:top w:val="nil"/>
              <w:left w:val="nil"/>
              <w:bottom w:val="single" w:sz="4" w:space="0" w:color="auto"/>
              <w:right w:val="nil"/>
            </w:tcBorders>
            <w:shd w:val="clear" w:color="auto" w:fill="auto"/>
            <w:noWrap/>
            <w:vAlign w:val="center"/>
            <w:hideMark/>
          </w:tcPr>
          <w:p w14:paraId="26928818"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F93933">
              <w:rPr>
                <w:rFonts w:eastAsia="Times New Roman" w:cs="Calibri"/>
                <w:sz w:val="20"/>
              </w:rPr>
              <w:t> </w:t>
            </w:r>
          </w:p>
        </w:tc>
        <w:tc>
          <w:tcPr>
            <w:tcW w:w="1240" w:type="dxa"/>
            <w:tcBorders>
              <w:top w:val="nil"/>
              <w:left w:val="nil"/>
              <w:bottom w:val="single" w:sz="4" w:space="0" w:color="auto"/>
              <w:right w:val="nil"/>
            </w:tcBorders>
            <w:shd w:val="clear" w:color="auto" w:fill="auto"/>
            <w:noWrap/>
            <w:vAlign w:val="center"/>
            <w:hideMark/>
          </w:tcPr>
          <w:p w14:paraId="5E7BD9B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F93933">
              <w:rPr>
                <w:rFonts w:eastAsia="Times New Roman" w:cs="Calibri"/>
                <w:sz w:val="20"/>
              </w:rPr>
              <w:t> </w:t>
            </w:r>
          </w:p>
        </w:tc>
        <w:tc>
          <w:tcPr>
            <w:tcW w:w="1456" w:type="dxa"/>
            <w:tcBorders>
              <w:top w:val="nil"/>
              <w:left w:val="nil"/>
              <w:bottom w:val="single" w:sz="4" w:space="0" w:color="auto"/>
              <w:right w:val="nil"/>
            </w:tcBorders>
            <w:shd w:val="clear" w:color="auto" w:fill="auto"/>
            <w:noWrap/>
            <w:vAlign w:val="center"/>
            <w:hideMark/>
          </w:tcPr>
          <w:p w14:paraId="505CD30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F93933">
              <w:rPr>
                <w:rFonts w:eastAsia="Times New Roman" w:cs="Calibri"/>
                <w:sz w:val="20"/>
              </w:rPr>
              <w:t> </w:t>
            </w:r>
          </w:p>
        </w:tc>
        <w:tc>
          <w:tcPr>
            <w:tcW w:w="1240" w:type="dxa"/>
            <w:tcBorders>
              <w:top w:val="nil"/>
              <w:left w:val="nil"/>
              <w:bottom w:val="single" w:sz="4" w:space="0" w:color="auto"/>
              <w:right w:val="nil"/>
            </w:tcBorders>
            <w:shd w:val="clear" w:color="auto" w:fill="auto"/>
            <w:noWrap/>
            <w:vAlign w:val="center"/>
            <w:hideMark/>
          </w:tcPr>
          <w:p w14:paraId="14192D5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F93933">
              <w:rPr>
                <w:rFonts w:eastAsia="Times New Roman" w:cs="Calibri"/>
                <w:sz w:val="20"/>
              </w:rPr>
              <w:t> </w:t>
            </w:r>
          </w:p>
        </w:tc>
        <w:tc>
          <w:tcPr>
            <w:tcW w:w="1240" w:type="dxa"/>
            <w:tcBorders>
              <w:top w:val="nil"/>
              <w:left w:val="nil"/>
              <w:bottom w:val="single" w:sz="4" w:space="0" w:color="auto"/>
              <w:right w:val="nil"/>
            </w:tcBorders>
            <w:shd w:val="clear" w:color="auto" w:fill="auto"/>
            <w:noWrap/>
            <w:vAlign w:val="center"/>
            <w:hideMark/>
          </w:tcPr>
          <w:p w14:paraId="24EDC62A"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F93933">
              <w:rPr>
                <w:rFonts w:eastAsia="Times New Roman" w:cs="Calibri"/>
                <w:sz w:val="20"/>
              </w:rPr>
              <w:t> </w:t>
            </w:r>
          </w:p>
        </w:tc>
        <w:tc>
          <w:tcPr>
            <w:tcW w:w="1360" w:type="dxa"/>
            <w:tcBorders>
              <w:top w:val="nil"/>
              <w:left w:val="nil"/>
              <w:bottom w:val="single" w:sz="4" w:space="0" w:color="auto"/>
              <w:right w:val="nil"/>
            </w:tcBorders>
            <w:shd w:val="clear" w:color="auto" w:fill="auto"/>
            <w:noWrap/>
            <w:vAlign w:val="center"/>
            <w:hideMark/>
          </w:tcPr>
          <w:p w14:paraId="50D80562"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F93933">
              <w:rPr>
                <w:rFonts w:eastAsia="Times New Roman" w:cs="Calibri"/>
                <w:b/>
                <w:bCs/>
                <w:color w:val="002060"/>
                <w:sz w:val="20"/>
              </w:rPr>
              <w:t> </w:t>
            </w:r>
          </w:p>
        </w:tc>
      </w:tr>
      <w:tr w:rsidR="005C437E" w:rsidRPr="00F93933" w14:paraId="09EC86B4" w14:textId="77777777" w:rsidTr="002F7131">
        <w:trPr>
          <w:trHeight w:val="20"/>
        </w:trPr>
        <w:tc>
          <w:tcPr>
            <w:tcW w:w="3080" w:type="dxa"/>
            <w:tcBorders>
              <w:top w:val="nil"/>
              <w:left w:val="nil"/>
              <w:bottom w:val="nil"/>
              <w:right w:val="nil"/>
            </w:tcBorders>
            <w:shd w:val="clear" w:color="auto" w:fill="auto"/>
            <w:noWrap/>
            <w:vAlign w:val="bottom"/>
            <w:hideMark/>
          </w:tcPr>
          <w:p w14:paraId="3DE64E83"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F93933">
              <w:rPr>
                <w:rFonts w:cstheme="minorHAnsi"/>
                <w:sz w:val="20"/>
              </w:rPr>
              <w:t xml:space="preserve">1 - </w:t>
            </w:r>
            <w:r w:rsidRPr="00F93933">
              <w:rPr>
                <w:rFonts w:cstheme="minorHAnsi"/>
                <w:sz w:val="20"/>
              </w:rPr>
              <w:t>人员费用</w:t>
            </w:r>
          </w:p>
        </w:tc>
        <w:tc>
          <w:tcPr>
            <w:tcW w:w="1400" w:type="dxa"/>
            <w:tcBorders>
              <w:top w:val="nil"/>
              <w:left w:val="single" w:sz="4" w:space="0" w:color="0070C0"/>
              <w:bottom w:val="nil"/>
              <w:right w:val="nil"/>
            </w:tcBorders>
            <w:shd w:val="clear" w:color="auto" w:fill="auto"/>
            <w:noWrap/>
            <w:vAlign w:val="bottom"/>
            <w:hideMark/>
          </w:tcPr>
          <w:p w14:paraId="475ECDF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472</w:t>
            </w:r>
          </w:p>
        </w:tc>
        <w:tc>
          <w:tcPr>
            <w:tcW w:w="1360" w:type="dxa"/>
            <w:tcBorders>
              <w:top w:val="nil"/>
              <w:left w:val="nil"/>
              <w:bottom w:val="nil"/>
              <w:right w:val="nil"/>
            </w:tcBorders>
            <w:shd w:val="clear" w:color="auto" w:fill="auto"/>
            <w:noWrap/>
            <w:vAlign w:val="bottom"/>
            <w:hideMark/>
          </w:tcPr>
          <w:p w14:paraId="1B110096"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126</w:t>
            </w:r>
          </w:p>
        </w:tc>
        <w:tc>
          <w:tcPr>
            <w:tcW w:w="1240" w:type="dxa"/>
            <w:tcBorders>
              <w:top w:val="nil"/>
              <w:left w:val="nil"/>
              <w:bottom w:val="nil"/>
              <w:right w:val="nil"/>
            </w:tcBorders>
            <w:shd w:val="clear" w:color="auto" w:fill="auto"/>
            <w:noWrap/>
            <w:vAlign w:val="bottom"/>
            <w:hideMark/>
          </w:tcPr>
          <w:p w14:paraId="76502B44"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1,194</w:t>
            </w:r>
          </w:p>
        </w:tc>
        <w:tc>
          <w:tcPr>
            <w:tcW w:w="1240" w:type="dxa"/>
            <w:tcBorders>
              <w:top w:val="nil"/>
              <w:left w:val="nil"/>
              <w:bottom w:val="nil"/>
              <w:right w:val="nil"/>
            </w:tcBorders>
            <w:shd w:val="clear" w:color="auto" w:fill="auto"/>
            <w:noWrap/>
            <w:vAlign w:val="bottom"/>
            <w:hideMark/>
          </w:tcPr>
          <w:p w14:paraId="7C98D96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0ED9D8AF"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40</w:t>
            </w:r>
          </w:p>
        </w:tc>
        <w:tc>
          <w:tcPr>
            <w:tcW w:w="1456" w:type="dxa"/>
            <w:tcBorders>
              <w:top w:val="nil"/>
              <w:left w:val="nil"/>
              <w:bottom w:val="nil"/>
              <w:right w:val="nil"/>
            </w:tcBorders>
            <w:shd w:val="clear" w:color="auto" w:fill="auto"/>
            <w:noWrap/>
            <w:vAlign w:val="bottom"/>
            <w:hideMark/>
          </w:tcPr>
          <w:p w14:paraId="565A59F6"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633A0888"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1,648</w:t>
            </w:r>
          </w:p>
        </w:tc>
        <w:tc>
          <w:tcPr>
            <w:tcW w:w="1240" w:type="dxa"/>
            <w:tcBorders>
              <w:top w:val="nil"/>
              <w:left w:val="nil"/>
              <w:bottom w:val="nil"/>
              <w:right w:val="nil"/>
            </w:tcBorders>
            <w:shd w:val="clear" w:color="auto" w:fill="auto"/>
            <w:noWrap/>
            <w:vAlign w:val="bottom"/>
            <w:hideMark/>
          </w:tcPr>
          <w:p w14:paraId="44664543"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15,484</w:t>
            </w:r>
          </w:p>
        </w:tc>
        <w:tc>
          <w:tcPr>
            <w:tcW w:w="1360" w:type="dxa"/>
            <w:tcBorders>
              <w:top w:val="nil"/>
              <w:left w:val="nil"/>
              <w:bottom w:val="nil"/>
              <w:right w:val="nil"/>
            </w:tcBorders>
            <w:shd w:val="clear" w:color="auto" w:fill="auto"/>
            <w:noWrap/>
            <w:vAlign w:val="bottom"/>
            <w:hideMark/>
          </w:tcPr>
          <w:p w14:paraId="227BFED9"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F93933">
              <w:rPr>
                <w:rFonts w:eastAsia="Times New Roman" w:cs="Calibri"/>
                <w:color w:val="002060"/>
                <w:sz w:val="20"/>
              </w:rPr>
              <w:t>18,964</w:t>
            </w:r>
          </w:p>
        </w:tc>
      </w:tr>
      <w:tr w:rsidR="005C437E" w:rsidRPr="00F93933" w14:paraId="2201954E" w14:textId="77777777" w:rsidTr="002F7131">
        <w:trPr>
          <w:trHeight w:val="20"/>
        </w:trPr>
        <w:tc>
          <w:tcPr>
            <w:tcW w:w="3080" w:type="dxa"/>
            <w:tcBorders>
              <w:top w:val="nil"/>
              <w:left w:val="nil"/>
              <w:bottom w:val="nil"/>
              <w:right w:val="nil"/>
            </w:tcBorders>
            <w:shd w:val="clear" w:color="auto" w:fill="auto"/>
            <w:noWrap/>
            <w:vAlign w:val="bottom"/>
            <w:hideMark/>
          </w:tcPr>
          <w:p w14:paraId="51F85FE3"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0" w:type="dxa"/>
            <w:tcBorders>
              <w:top w:val="nil"/>
              <w:left w:val="single" w:sz="4" w:space="0" w:color="0070C0"/>
              <w:bottom w:val="nil"/>
              <w:right w:val="nil"/>
            </w:tcBorders>
            <w:shd w:val="clear" w:color="auto" w:fill="auto"/>
            <w:noWrap/>
            <w:vAlign w:val="bottom"/>
            <w:hideMark/>
          </w:tcPr>
          <w:p w14:paraId="40835FA8"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bookmarkStart w:id="62" w:name="RANGE!B12:J32"/>
            <w:r w:rsidRPr="00F93933">
              <w:rPr>
                <w:rFonts w:eastAsia="Times New Roman" w:cs="Calibri"/>
                <w:sz w:val="20"/>
              </w:rPr>
              <w:t> </w:t>
            </w:r>
            <w:bookmarkEnd w:id="62"/>
          </w:p>
        </w:tc>
        <w:tc>
          <w:tcPr>
            <w:tcW w:w="1360" w:type="dxa"/>
            <w:tcBorders>
              <w:top w:val="nil"/>
              <w:left w:val="nil"/>
              <w:bottom w:val="nil"/>
              <w:right w:val="nil"/>
            </w:tcBorders>
            <w:shd w:val="clear" w:color="auto" w:fill="auto"/>
            <w:noWrap/>
            <w:vAlign w:val="bottom"/>
            <w:hideMark/>
          </w:tcPr>
          <w:p w14:paraId="0AF981D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20F76F86"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4F7E2DA9"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36AA9F43"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4AAC9246"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59746577"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61655E7F"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08E706EE"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F93933" w14:paraId="3367D1B3" w14:textId="77777777" w:rsidTr="002F7131">
        <w:trPr>
          <w:trHeight w:val="20"/>
        </w:trPr>
        <w:tc>
          <w:tcPr>
            <w:tcW w:w="3080" w:type="dxa"/>
            <w:tcBorders>
              <w:top w:val="nil"/>
              <w:left w:val="nil"/>
              <w:bottom w:val="nil"/>
              <w:right w:val="nil"/>
            </w:tcBorders>
            <w:shd w:val="clear" w:color="auto" w:fill="auto"/>
            <w:noWrap/>
            <w:vAlign w:val="bottom"/>
            <w:hideMark/>
          </w:tcPr>
          <w:p w14:paraId="31C997B2"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F93933">
              <w:rPr>
                <w:rFonts w:cstheme="minorHAnsi"/>
                <w:sz w:val="20"/>
              </w:rPr>
              <w:t xml:space="preserve">2 - </w:t>
            </w:r>
            <w:r w:rsidRPr="00F93933">
              <w:rPr>
                <w:rFonts w:cstheme="minorHAnsi"/>
                <w:sz w:val="20"/>
              </w:rPr>
              <w:t>其他人员费用</w:t>
            </w:r>
          </w:p>
        </w:tc>
        <w:tc>
          <w:tcPr>
            <w:tcW w:w="1400" w:type="dxa"/>
            <w:tcBorders>
              <w:top w:val="nil"/>
              <w:left w:val="single" w:sz="4" w:space="0" w:color="0070C0"/>
              <w:bottom w:val="nil"/>
              <w:right w:val="nil"/>
            </w:tcBorders>
            <w:shd w:val="clear" w:color="auto" w:fill="auto"/>
            <w:noWrap/>
            <w:vAlign w:val="bottom"/>
            <w:hideMark/>
          </w:tcPr>
          <w:p w14:paraId="1DCD50A6"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8</w:t>
            </w:r>
          </w:p>
        </w:tc>
        <w:tc>
          <w:tcPr>
            <w:tcW w:w="1360" w:type="dxa"/>
            <w:tcBorders>
              <w:top w:val="nil"/>
              <w:left w:val="nil"/>
              <w:bottom w:val="nil"/>
              <w:right w:val="nil"/>
            </w:tcBorders>
            <w:shd w:val="clear" w:color="auto" w:fill="auto"/>
            <w:noWrap/>
            <w:vAlign w:val="bottom"/>
            <w:hideMark/>
          </w:tcPr>
          <w:p w14:paraId="689BA0A2"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8</w:t>
            </w:r>
          </w:p>
        </w:tc>
        <w:tc>
          <w:tcPr>
            <w:tcW w:w="1240" w:type="dxa"/>
            <w:tcBorders>
              <w:top w:val="nil"/>
              <w:left w:val="nil"/>
              <w:bottom w:val="nil"/>
              <w:right w:val="nil"/>
            </w:tcBorders>
            <w:shd w:val="clear" w:color="auto" w:fill="auto"/>
            <w:noWrap/>
            <w:vAlign w:val="bottom"/>
            <w:hideMark/>
          </w:tcPr>
          <w:p w14:paraId="356E46C3"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26</w:t>
            </w:r>
          </w:p>
        </w:tc>
        <w:tc>
          <w:tcPr>
            <w:tcW w:w="1240" w:type="dxa"/>
            <w:tcBorders>
              <w:top w:val="nil"/>
              <w:left w:val="nil"/>
              <w:bottom w:val="nil"/>
              <w:right w:val="nil"/>
            </w:tcBorders>
            <w:shd w:val="clear" w:color="auto" w:fill="auto"/>
            <w:noWrap/>
            <w:vAlign w:val="bottom"/>
            <w:hideMark/>
          </w:tcPr>
          <w:p w14:paraId="629D6D7F"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4C7E85FD"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456" w:type="dxa"/>
            <w:tcBorders>
              <w:top w:val="nil"/>
              <w:left w:val="nil"/>
              <w:bottom w:val="nil"/>
              <w:right w:val="nil"/>
            </w:tcBorders>
            <w:shd w:val="clear" w:color="auto" w:fill="auto"/>
            <w:noWrap/>
            <w:vAlign w:val="bottom"/>
            <w:hideMark/>
          </w:tcPr>
          <w:p w14:paraId="2CE7277C"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3AE27B17"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496</w:t>
            </w:r>
          </w:p>
        </w:tc>
        <w:tc>
          <w:tcPr>
            <w:tcW w:w="1240" w:type="dxa"/>
            <w:tcBorders>
              <w:top w:val="nil"/>
              <w:left w:val="nil"/>
              <w:bottom w:val="nil"/>
              <w:right w:val="nil"/>
            </w:tcBorders>
            <w:shd w:val="clear" w:color="auto" w:fill="auto"/>
            <w:noWrap/>
            <w:vAlign w:val="bottom"/>
            <w:hideMark/>
          </w:tcPr>
          <w:p w14:paraId="1D99004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4,540</w:t>
            </w:r>
          </w:p>
        </w:tc>
        <w:tc>
          <w:tcPr>
            <w:tcW w:w="1360" w:type="dxa"/>
            <w:tcBorders>
              <w:top w:val="nil"/>
              <w:left w:val="nil"/>
              <w:bottom w:val="nil"/>
              <w:right w:val="nil"/>
            </w:tcBorders>
            <w:shd w:val="clear" w:color="auto" w:fill="auto"/>
            <w:noWrap/>
            <w:vAlign w:val="bottom"/>
            <w:hideMark/>
          </w:tcPr>
          <w:p w14:paraId="11ACF60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F93933">
              <w:rPr>
                <w:rFonts w:eastAsia="Times New Roman" w:cs="Calibri"/>
                <w:color w:val="002060"/>
                <w:sz w:val="20"/>
              </w:rPr>
              <w:t>5,078</w:t>
            </w:r>
          </w:p>
        </w:tc>
      </w:tr>
      <w:tr w:rsidR="005C437E" w:rsidRPr="00F93933" w14:paraId="6A461049" w14:textId="77777777" w:rsidTr="002F7131">
        <w:trPr>
          <w:trHeight w:val="20"/>
        </w:trPr>
        <w:tc>
          <w:tcPr>
            <w:tcW w:w="3080" w:type="dxa"/>
            <w:tcBorders>
              <w:top w:val="nil"/>
              <w:left w:val="nil"/>
              <w:bottom w:val="nil"/>
              <w:right w:val="nil"/>
            </w:tcBorders>
            <w:shd w:val="clear" w:color="auto" w:fill="auto"/>
            <w:noWrap/>
            <w:vAlign w:val="bottom"/>
            <w:hideMark/>
          </w:tcPr>
          <w:p w14:paraId="30E4815E"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0" w:type="dxa"/>
            <w:tcBorders>
              <w:top w:val="nil"/>
              <w:left w:val="single" w:sz="4" w:space="0" w:color="0070C0"/>
              <w:bottom w:val="nil"/>
              <w:right w:val="nil"/>
            </w:tcBorders>
            <w:shd w:val="clear" w:color="auto" w:fill="auto"/>
            <w:noWrap/>
            <w:vAlign w:val="bottom"/>
            <w:hideMark/>
          </w:tcPr>
          <w:p w14:paraId="4943B59C"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 </w:t>
            </w:r>
          </w:p>
        </w:tc>
        <w:tc>
          <w:tcPr>
            <w:tcW w:w="1360" w:type="dxa"/>
            <w:tcBorders>
              <w:top w:val="nil"/>
              <w:left w:val="nil"/>
              <w:bottom w:val="nil"/>
              <w:right w:val="nil"/>
            </w:tcBorders>
            <w:shd w:val="clear" w:color="auto" w:fill="auto"/>
            <w:noWrap/>
            <w:vAlign w:val="bottom"/>
            <w:hideMark/>
          </w:tcPr>
          <w:p w14:paraId="459AFFEF"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66593AA1"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082B2548"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7A41F91E"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4FFEFC6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04266CEA"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512D10E4"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48EDEA65"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F93933" w14:paraId="54900D7A" w14:textId="77777777" w:rsidTr="002F7131">
        <w:trPr>
          <w:trHeight w:val="20"/>
        </w:trPr>
        <w:tc>
          <w:tcPr>
            <w:tcW w:w="3080" w:type="dxa"/>
            <w:tcBorders>
              <w:top w:val="nil"/>
              <w:left w:val="nil"/>
              <w:bottom w:val="nil"/>
              <w:right w:val="nil"/>
            </w:tcBorders>
            <w:shd w:val="clear" w:color="auto" w:fill="auto"/>
            <w:noWrap/>
            <w:vAlign w:val="bottom"/>
            <w:hideMark/>
          </w:tcPr>
          <w:p w14:paraId="1CEBBA6E"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F93933">
              <w:rPr>
                <w:rFonts w:cstheme="minorHAnsi"/>
                <w:sz w:val="20"/>
              </w:rPr>
              <w:t xml:space="preserve">3 - </w:t>
            </w:r>
            <w:r w:rsidRPr="00F93933">
              <w:rPr>
                <w:rFonts w:cstheme="minorHAnsi"/>
                <w:sz w:val="20"/>
              </w:rPr>
              <w:t>公务差旅</w:t>
            </w:r>
          </w:p>
        </w:tc>
        <w:tc>
          <w:tcPr>
            <w:tcW w:w="1400" w:type="dxa"/>
            <w:tcBorders>
              <w:top w:val="nil"/>
              <w:left w:val="single" w:sz="4" w:space="0" w:color="0070C0"/>
              <w:bottom w:val="nil"/>
              <w:right w:val="nil"/>
            </w:tcBorders>
            <w:shd w:val="clear" w:color="auto" w:fill="auto"/>
            <w:noWrap/>
            <w:vAlign w:val="bottom"/>
            <w:hideMark/>
          </w:tcPr>
          <w:p w14:paraId="1A5BD5BF"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120</w:t>
            </w:r>
          </w:p>
        </w:tc>
        <w:tc>
          <w:tcPr>
            <w:tcW w:w="1360" w:type="dxa"/>
            <w:tcBorders>
              <w:top w:val="nil"/>
              <w:left w:val="nil"/>
              <w:bottom w:val="nil"/>
              <w:right w:val="nil"/>
            </w:tcBorders>
            <w:shd w:val="clear" w:color="auto" w:fill="auto"/>
            <w:noWrap/>
            <w:vAlign w:val="bottom"/>
            <w:hideMark/>
          </w:tcPr>
          <w:p w14:paraId="5023B450"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40</w:t>
            </w:r>
          </w:p>
        </w:tc>
        <w:tc>
          <w:tcPr>
            <w:tcW w:w="1240" w:type="dxa"/>
            <w:tcBorders>
              <w:top w:val="nil"/>
              <w:left w:val="nil"/>
              <w:bottom w:val="nil"/>
              <w:right w:val="nil"/>
            </w:tcBorders>
            <w:shd w:val="clear" w:color="auto" w:fill="auto"/>
            <w:noWrap/>
            <w:vAlign w:val="bottom"/>
            <w:hideMark/>
          </w:tcPr>
          <w:p w14:paraId="04C9362F"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940</w:t>
            </w:r>
          </w:p>
        </w:tc>
        <w:tc>
          <w:tcPr>
            <w:tcW w:w="1240" w:type="dxa"/>
            <w:tcBorders>
              <w:top w:val="nil"/>
              <w:left w:val="nil"/>
              <w:bottom w:val="nil"/>
              <w:right w:val="nil"/>
            </w:tcBorders>
            <w:shd w:val="clear" w:color="auto" w:fill="auto"/>
            <w:noWrap/>
            <w:vAlign w:val="bottom"/>
            <w:hideMark/>
          </w:tcPr>
          <w:p w14:paraId="363069BD"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7A554821"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360</w:t>
            </w:r>
          </w:p>
        </w:tc>
        <w:tc>
          <w:tcPr>
            <w:tcW w:w="1456" w:type="dxa"/>
            <w:tcBorders>
              <w:top w:val="nil"/>
              <w:left w:val="nil"/>
              <w:bottom w:val="nil"/>
              <w:right w:val="nil"/>
            </w:tcBorders>
            <w:shd w:val="clear" w:color="auto" w:fill="auto"/>
            <w:noWrap/>
            <w:vAlign w:val="bottom"/>
            <w:hideMark/>
          </w:tcPr>
          <w:p w14:paraId="34BD1D57"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561B561D"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100</w:t>
            </w:r>
          </w:p>
        </w:tc>
        <w:tc>
          <w:tcPr>
            <w:tcW w:w="1240" w:type="dxa"/>
            <w:tcBorders>
              <w:top w:val="nil"/>
              <w:left w:val="nil"/>
              <w:bottom w:val="nil"/>
              <w:right w:val="nil"/>
            </w:tcBorders>
            <w:shd w:val="clear" w:color="auto" w:fill="auto"/>
            <w:noWrap/>
            <w:vAlign w:val="bottom"/>
            <w:hideMark/>
          </w:tcPr>
          <w:p w14:paraId="71C3899F"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120</w:t>
            </w:r>
          </w:p>
        </w:tc>
        <w:tc>
          <w:tcPr>
            <w:tcW w:w="1360" w:type="dxa"/>
            <w:tcBorders>
              <w:top w:val="nil"/>
              <w:left w:val="nil"/>
              <w:bottom w:val="nil"/>
              <w:right w:val="nil"/>
            </w:tcBorders>
            <w:shd w:val="clear" w:color="auto" w:fill="auto"/>
            <w:noWrap/>
            <w:vAlign w:val="bottom"/>
            <w:hideMark/>
          </w:tcPr>
          <w:p w14:paraId="758398F6"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F93933">
              <w:rPr>
                <w:rFonts w:eastAsia="Times New Roman" w:cs="Calibri"/>
                <w:color w:val="002060"/>
                <w:sz w:val="20"/>
              </w:rPr>
              <w:t>1,680</w:t>
            </w:r>
          </w:p>
        </w:tc>
      </w:tr>
      <w:tr w:rsidR="005C437E" w:rsidRPr="00F93933" w14:paraId="0DCCB232" w14:textId="77777777" w:rsidTr="002F7131">
        <w:trPr>
          <w:trHeight w:val="20"/>
        </w:trPr>
        <w:tc>
          <w:tcPr>
            <w:tcW w:w="3080" w:type="dxa"/>
            <w:tcBorders>
              <w:top w:val="nil"/>
              <w:left w:val="nil"/>
              <w:bottom w:val="nil"/>
              <w:right w:val="nil"/>
            </w:tcBorders>
            <w:shd w:val="clear" w:color="auto" w:fill="auto"/>
            <w:noWrap/>
            <w:vAlign w:val="bottom"/>
            <w:hideMark/>
          </w:tcPr>
          <w:p w14:paraId="3561E1C1"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0" w:type="dxa"/>
            <w:tcBorders>
              <w:top w:val="nil"/>
              <w:left w:val="single" w:sz="4" w:space="0" w:color="0070C0"/>
              <w:bottom w:val="nil"/>
              <w:right w:val="nil"/>
            </w:tcBorders>
            <w:shd w:val="clear" w:color="auto" w:fill="auto"/>
            <w:noWrap/>
            <w:vAlign w:val="bottom"/>
            <w:hideMark/>
          </w:tcPr>
          <w:p w14:paraId="071E7A31"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 </w:t>
            </w:r>
          </w:p>
        </w:tc>
        <w:tc>
          <w:tcPr>
            <w:tcW w:w="1360" w:type="dxa"/>
            <w:tcBorders>
              <w:top w:val="nil"/>
              <w:left w:val="nil"/>
              <w:bottom w:val="nil"/>
              <w:right w:val="nil"/>
            </w:tcBorders>
            <w:shd w:val="clear" w:color="auto" w:fill="auto"/>
            <w:noWrap/>
            <w:vAlign w:val="bottom"/>
            <w:hideMark/>
          </w:tcPr>
          <w:p w14:paraId="37424B72"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05551D40"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2D4FC2A5"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67EAF5BA"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3BE1CCD8"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607C4000"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19B02F6C"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1717F989"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F93933" w14:paraId="61D684E6" w14:textId="77777777" w:rsidTr="002F7131">
        <w:trPr>
          <w:trHeight w:val="20"/>
        </w:trPr>
        <w:tc>
          <w:tcPr>
            <w:tcW w:w="3080" w:type="dxa"/>
            <w:tcBorders>
              <w:top w:val="nil"/>
              <w:left w:val="nil"/>
              <w:bottom w:val="nil"/>
              <w:right w:val="nil"/>
            </w:tcBorders>
            <w:shd w:val="clear" w:color="auto" w:fill="auto"/>
            <w:noWrap/>
            <w:vAlign w:val="bottom"/>
            <w:hideMark/>
          </w:tcPr>
          <w:p w14:paraId="00DCEF33"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F93933">
              <w:rPr>
                <w:rFonts w:cstheme="minorHAnsi"/>
                <w:sz w:val="20"/>
              </w:rPr>
              <w:t xml:space="preserve">4 - </w:t>
            </w:r>
            <w:r w:rsidRPr="00F93933">
              <w:rPr>
                <w:rFonts w:cstheme="minorHAnsi"/>
                <w:sz w:val="20"/>
              </w:rPr>
              <w:t>合同服务</w:t>
            </w:r>
          </w:p>
        </w:tc>
        <w:tc>
          <w:tcPr>
            <w:tcW w:w="1400" w:type="dxa"/>
            <w:tcBorders>
              <w:top w:val="nil"/>
              <w:left w:val="single" w:sz="4" w:space="0" w:color="0070C0"/>
              <w:bottom w:val="nil"/>
              <w:right w:val="nil"/>
            </w:tcBorders>
            <w:shd w:val="clear" w:color="auto" w:fill="auto"/>
            <w:noWrap/>
            <w:vAlign w:val="bottom"/>
            <w:hideMark/>
          </w:tcPr>
          <w:p w14:paraId="36D1327F"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50</w:t>
            </w:r>
          </w:p>
        </w:tc>
        <w:tc>
          <w:tcPr>
            <w:tcW w:w="1360" w:type="dxa"/>
            <w:tcBorders>
              <w:top w:val="nil"/>
              <w:left w:val="nil"/>
              <w:bottom w:val="nil"/>
              <w:right w:val="nil"/>
            </w:tcBorders>
            <w:shd w:val="clear" w:color="auto" w:fill="auto"/>
            <w:noWrap/>
            <w:vAlign w:val="bottom"/>
            <w:hideMark/>
          </w:tcPr>
          <w:p w14:paraId="128B0A1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8</w:t>
            </w:r>
          </w:p>
        </w:tc>
        <w:tc>
          <w:tcPr>
            <w:tcW w:w="1240" w:type="dxa"/>
            <w:tcBorders>
              <w:top w:val="nil"/>
              <w:left w:val="nil"/>
              <w:bottom w:val="nil"/>
              <w:right w:val="nil"/>
            </w:tcBorders>
            <w:shd w:val="clear" w:color="auto" w:fill="auto"/>
            <w:noWrap/>
            <w:vAlign w:val="bottom"/>
            <w:hideMark/>
          </w:tcPr>
          <w:p w14:paraId="7B0F7630"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180</w:t>
            </w:r>
          </w:p>
        </w:tc>
        <w:tc>
          <w:tcPr>
            <w:tcW w:w="1240" w:type="dxa"/>
            <w:tcBorders>
              <w:top w:val="nil"/>
              <w:left w:val="nil"/>
              <w:bottom w:val="nil"/>
              <w:right w:val="nil"/>
            </w:tcBorders>
            <w:shd w:val="clear" w:color="auto" w:fill="auto"/>
            <w:noWrap/>
            <w:vAlign w:val="bottom"/>
            <w:hideMark/>
          </w:tcPr>
          <w:p w14:paraId="1B35FB1D"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400</w:t>
            </w:r>
          </w:p>
        </w:tc>
        <w:tc>
          <w:tcPr>
            <w:tcW w:w="1240" w:type="dxa"/>
            <w:tcBorders>
              <w:top w:val="nil"/>
              <w:left w:val="nil"/>
              <w:bottom w:val="nil"/>
              <w:right w:val="nil"/>
            </w:tcBorders>
            <w:shd w:val="clear" w:color="auto" w:fill="auto"/>
            <w:noWrap/>
            <w:vAlign w:val="bottom"/>
            <w:hideMark/>
          </w:tcPr>
          <w:p w14:paraId="00EF3BC4"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80</w:t>
            </w:r>
          </w:p>
        </w:tc>
        <w:tc>
          <w:tcPr>
            <w:tcW w:w="1456" w:type="dxa"/>
            <w:tcBorders>
              <w:top w:val="nil"/>
              <w:left w:val="nil"/>
              <w:bottom w:val="nil"/>
              <w:right w:val="nil"/>
            </w:tcBorders>
            <w:shd w:val="clear" w:color="auto" w:fill="auto"/>
            <w:noWrap/>
            <w:vAlign w:val="bottom"/>
            <w:hideMark/>
          </w:tcPr>
          <w:p w14:paraId="74D47277"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280</w:t>
            </w:r>
          </w:p>
        </w:tc>
        <w:tc>
          <w:tcPr>
            <w:tcW w:w="1240" w:type="dxa"/>
            <w:tcBorders>
              <w:top w:val="nil"/>
              <w:left w:val="nil"/>
              <w:bottom w:val="nil"/>
              <w:right w:val="nil"/>
            </w:tcBorders>
            <w:shd w:val="clear" w:color="auto" w:fill="auto"/>
            <w:noWrap/>
            <w:vAlign w:val="bottom"/>
            <w:hideMark/>
          </w:tcPr>
          <w:p w14:paraId="15383C24"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20</w:t>
            </w:r>
          </w:p>
        </w:tc>
        <w:tc>
          <w:tcPr>
            <w:tcW w:w="1240" w:type="dxa"/>
            <w:tcBorders>
              <w:top w:val="nil"/>
              <w:left w:val="nil"/>
              <w:bottom w:val="nil"/>
              <w:right w:val="nil"/>
            </w:tcBorders>
            <w:shd w:val="clear" w:color="auto" w:fill="auto"/>
            <w:noWrap/>
            <w:vAlign w:val="bottom"/>
            <w:hideMark/>
          </w:tcPr>
          <w:p w14:paraId="2967E84D"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60</w:t>
            </w:r>
          </w:p>
        </w:tc>
        <w:tc>
          <w:tcPr>
            <w:tcW w:w="1360" w:type="dxa"/>
            <w:tcBorders>
              <w:top w:val="nil"/>
              <w:left w:val="nil"/>
              <w:bottom w:val="nil"/>
              <w:right w:val="nil"/>
            </w:tcBorders>
            <w:shd w:val="clear" w:color="auto" w:fill="auto"/>
            <w:noWrap/>
            <w:vAlign w:val="bottom"/>
            <w:hideMark/>
          </w:tcPr>
          <w:p w14:paraId="1247A6C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F93933">
              <w:rPr>
                <w:rFonts w:eastAsia="Times New Roman" w:cs="Calibri"/>
                <w:color w:val="002060"/>
                <w:sz w:val="20"/>
              </w:rPr>
              <w:t>1,078</w:t>
            </w:r>
          </w:p>
        </w:tc>
      </w:tr>
      <w:tr w:rsidR="005C437E" w:rsidRPr="00F93933" w14:paraId="720D1029" w14:textId="77777777" w:rsidTr="002F7131">
        <w:trPr>
          <w:trHeight w:val="20"/>
        </w:trPr>
        <w:tc>
          <w:tcPr>
            <w:tcW w:w="3080" w:type="dxa"/>
            <w:tcBorders>
              <w:top w:val="nil"/>
              <w:left w:val="nil"/>
              <w:bottom w:val="nil"/>
              <w:right w:val="nil"/>
            </w:tcBorders>
            <w:shd w:val="clear" w:color="auto" w:fill="auto"/>
            <w:noWrap/>
            <w:vAlign w:val="bottom"/>
            <w:hideMark/>
          </w:tcPr>
          <w:p w14:paraId="7DB54C82"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0" w:type="dxa"/>
            <w:tcBorders>
              <w:top w:val="nil"/>
              <w:left w:val="single" w:sz="4" w:space="0" w:color="0070C0"/>
              <w:bottom w:val="nil"/>
              <w:right w:val="nil"/>
            </w:tcBorders>
            <w:shd w:val="clear" w:color="auto" w:fill="auto"/>
            <w:noWrap/>
            <w:vAlign w:val="bottom"/>
            <w:hideMark/>
          </w:tcPr>
          <w:p w14:paraId="2F451914"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 </w:t>
            </w:r>
          </w:p>
        </w:tc>
        <w:tc>
          <w:tcPr>
            <w:tcW w:w="1360" w:type="dxa"/>
            <w:tcBorders>
              <w:top w:val="nil"/>
              <w:left w:val="nil"/>
              <w:bottom w:val="nil"/>
              <w:right w:val="nil"/>
            </w:tcBorders>
            <w:shd w:val="clear" w:color="auto" w:fill="auto"/>
            <w:noWrap/>
            <w:vAlign w:val="bottom"/>
            <w:hideMark/>
          </w:tcPr>
          <w:p w14:paraId="08DFE5DE"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108221B6"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6B53EF19"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0E0883D4"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77B6054C"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1CF63809"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2CD07BD3"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552B1D3A"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F93933" w14:paraId="0ADB5696" w14:textId="77777777" w:rsidTr="002F7131">
        <w:trPr>
          <w:trHeight w:val="20"/>
        </w:trPr>
        <w:tc>
          <w:tcPr>
            <w:tcW w:w="3080" w:type="dxa"/>
            <w:tcBorders>
              <w:top w:val="nil"/>
              <w:left w:val="nil"/>
              <w:bottom w:val="nil"/>
              <w:right w:val="nil"/>
            </w:tcBorders>
            <w:shd w:val="clear" w:color="auto" w:fill="auto"/>
            <w:vAlign w:val="bottom"/>
            <w:hideMark/>
          </w:tcPr>
          <w:p w14:paraId="7A31E9C8"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F93933">
              <w:rPr>
                <w:rFonts w:cstheme="minorHAnsi"/>
                <w:sz w:val="20"/>
                <w:lang w:eastAsia="zh-CN"/>
              </w:rPr>
              <w:t xml:space="preserve">5 - </w:t>
            </w:r>
            <w:r w:rsidRPr="00F93933">
              <w:rPr>
                <w:rFonts w:cstheme="minorHAnsi"/>
                <w:sz w:val="20"/>
                <w:lang w:eastAsia="zh-CN"/>
              </w:rPr>
              <w:t>房屋设施和设备的租用与维护</w:t>
            </w:r>
          </w:p>
        </w:tc>
        <w:tc>
          <w:tcPr>
            <w:tcW w:w="1400" w:type="dxa"/>
            <w:tcBorders>
              <w:top w:val="nil"/>
              <w:left w:val="single" w:sz="4" w:space="0" w:color="0070C0"/>
              <w:bottom w:val="nil"/>
              <w:right w:val="nil"/>
            </w:tcBorders>
            <w:shd w:val="clear" w:color="auto" w:fill="auto"/>
            <w:noWrap/>
            <w:vAlign w:val="bottom"/>
            <w:hideMark/>
          </w:tcPr>
          <w:p w14:paraId="67E28548"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30</w:t>
            </w:r>
          </w:p>
        </w:tc>
        <w:tc>
          <w:tcPr>
            <w:tcW w:w="1360" w:type="dxa"/>
            <w:tcBorders>
              <w:top w:val="nil"/>
              <w:left w:val="nil"/>
              <w:bottom w:val="nil"/>
              <w:right w:val="nil"/>
            </w:tcBorders>
            <w:shd w:val="clear" w:color="auto" w:fill="auto"/>
            <w:noWrap/>
            <w:vAlign w:val="bottom"/>
            <w:hideMark/>
          </w:tcPr>
          <w:p w14:paraId="781FFD16"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7E3D1E57"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20</w:t>
            </w:r>
          </w:p>
        </w:tc>
        <w:tc>
          <w:tcPr>
            <w:tcW w:w="1240" w:type="dxa"/>
            <w:tcBorders>
              <w:top w:val="nil"/>
              <w:left w:val="nil"/>
              <w:bottom w:val="nil"/>
              <w:right w:val="nil"/>
            </w:tcBorders>
            <w:shd w:val="clear" w:color="auto" w:fill="auto"/>
            <w:noWrap/>
            <w:vAlign w:val="bottom"/>
            <w:hideMark/>
          </w:tcPr>
          <w:p w14:paraId="09C1D86F"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6C98D24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20</w:t>
            </w:r>
          </w:p>
        </w:tc>
        <w:tc>
          <w:tcPr>
            <w:tcW w:w="1456" w:type="dxa"/>
            <w:tcBorders>
              <w:top w:val="nil"/>
              <w:left w:val="nil"/>
              <w:bottom w:val="nil"/>
              <w:right w:val="nil"/>
            </w:tcBorders>
            <w:shd w:val="clear" w:color="auto" w:fill="auto"/>
            <w:noWrap/>
            <w:vAlign w:val="bottom"/>
            <w:hideMark/>
          </w:tcPr>
          <w:p w14:paraId="3DC87B63"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4F324D6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57D0F483"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360" w:type="dxa"/>
            <w:tcBorders>
              <w:top w:val="nil"/>
              <w:left w:val="nil"/>
              <w:bottom w:val="nil"/>
              <w:right w:val="nil"/>
            </w:tcBorders>
            <w:shd w:val="clear" w:color="auto" w:fill="auto"/>
            <w:noWrap/>
            <w:vAlign w:val="bottom"/>
            <w:hideMark/>
          </w:tcPr>
          <w:p w14:paraId="06411BFC"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F93933">
              <w:rPr>
                <w:rFonts w:eastAsia="Times New Roman" w:cs="Calibri"/>
                <w:color w:val="002060"/>
                <w:sz w:val="20"/>
              </w:rPr>
              <w:t>70</w:t>
            </w:r>
          </w:p>
        </w:tc>
      </w:tr>
      <w:tr w:rsidR="005C437E" w:rsidRPr="00F93933" w14:paraId="6270777B" w14:textId="77777777" w:rsidTr="002F7131">
        <w:trPr>
          <w:trHeight w:val="20"/>
        </w:trPr>
        <w:tc>
          <w:tcPr>
            <w:tcW w:w="3080" w:type="dxa"/>
            <w:tcBorders>
              <w:top w:val="nil"/>
              <w:left w:val="nil"/>
              <w:bottom w:val="nil"/>
              <w:right w:val="nil"/>
            </w:tcBorders>
            <w:shd w:val="clear" w:color="auto" w:fill="auto"/>
            <w:noWrap/>
            <w:vAlign w:val="bottom"/>
            <w:hideMark/>
          </w:tcPr>
          <w:p w14:paraId="1B956946"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0" w:type="dxa"/>
            <w:tcBorders>
              <w:top w:val="nil"/>
              <w:left w:val="single" w:sz="4" w:space="0" w:color="0070C0"/>
              <w:bottom w:val="nil"/>
              <w:right w:val="nil"/>
            </w:tcBorders>
            <w:shd w:val="clear" w:color="auto" w:fill="auto"/>
            <w:noWrap/>
            <w:vAlign w:val="bottom"/>
            <w:hideMark/>
          </w:tcPr>
          <w:p w14:paraId="4DF45F6C"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 </w:t>
            </w:r>
          </w:p>
        </w:tc>
        <w:tc>
          <w:tcPr>
            <w:tcW w:w="1360" w:type="dxa"/>
            <w:tcBorders>
              <w:top w:val="nil"/>
              <w:left w:val="nil"/>
              <w:bottom w:val="nil"/>
              <w:right w:val="nil"/>
            </w:tcBorders>
            <w:shd w:val="clear" w:color="auto" w:fill="auto"/>
            <w:noWrap/>
            <w:vAlign w:val="bottom"/>
            <w:hideMark/>
          </w:tcPr>
          <w:p w14:paraId="32FD8688"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431ED025"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1023F2E3"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4E29A0F7"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2E110DE8"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5F4F3F84"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7E449AA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28EE8BA8"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F93933" w14:paraId="39140F57" w14:textId="77777777" w:rsidTr="002F7131">
        <w:trPr>
          <w:trHeight w:val="20"/>
        </w:trPr>
        <w:tc>
          <w:tcPr>
            <w:tcW w:w="3080" w:type="dxa"/>
            <w:tcBorders>
              <w:top w:val="nil"/>
              <w:left w:val="nil"/>
              <w:bottom w:val="nil"/>
              <w:right w:val="nil"/>
            </w:tcBorders>
            <w:shd w:val="clear" w:color="auto" w:fill="auto"/>
            <w:noWrap/>
            <w:vAlign w:val="bottom"/>
            <w:hideMark/>
          </w:tcPr>
          <w:p w14:paraId="0FA4A684"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F93933">
              <w:rPr>
                <w:rFonts w:cstheme="minorHAnsi"/>
                <w:sz w:val="20"/>
              </w:rPr>
              <w:t xml:space="preserve">6 - </w:t>
            </w:r>
            <w:r w:rsidRPr="00F93933">
              <w:rPr>
                <w:rFonts w:cstheme="minorHAnsi"/>
                <w:sz w:val="20"/>
              </w:rPr>
              <w:t>材料和办公用品</w:t>
            </w:r>
          </w:p>
        </w:tc>
        <w:tc>
          <w:tcPr>
            <w:tcW w:w="1400" w:type="dxa"/>
            <w:tcBorders>
              <w:top w:val="nil"/>
              <w:left w:val="single" w:sz="4" w:space="0" w:color="0070C0"/>
              <w:bottom w:val="nil"/>
              <w:right w:val="nil"/>
            </w:tcBorders>
            <w:shd w:val="clear" w:color="auto" w:fill="auto"/>
            <w:noWrap/>
            <w:vAlign w:val="bottom"/>
            <w:hideMark/>
          </w:tcPr>
          <w:p w14:paraId="3A94E0F5"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10</w:t>
            </w:r>
          </w:p>
        </w:tc>
        <w:tc>
          <w:tcPr>
            <w:tcW w:w="1360" w:type="dxa"/>
            <w:tcBorders>
              <w:top w:val="nil"/>
              <w:left w:val="nil"/>
              <w:bottom w:val="nil"/>
              <w:right w:val="nil"/>
            </w:tcBorders>
            <w:shd w:val="clear" w:color="auto" w:fill="auto"/>
            <w:noWrap/>
            <w:vAlign w:val="bottom"/>
            <w:hideMark/>
          </w:tcPr>
          <w:p w14:paraId="7C86EA05"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5ECCCBE8"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71B77A7D"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26E30D3D"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456" w:type="dxa"/>
            <w:tcBorders>
              <w:top w:val="nil"/>
              <w:left w:val="nil"/>
              <w:bottom w:val="nil"/>
              <w:right w:val="nil"/>
            </w:tcBorders>
            <w:shd w:val="clear" w:color="auto" w:fill="auto"/>
            <w:noWrap/>
            <w:vAlign w:val="bottom"/>
            <w:hideMark/>
          </w:tcPr>
          <w:p w14:paraId="6F7FB280"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60</w:t>
            </w:r>
          </w:p>
        </w:tc>
        <w:tc>
          <w:tcPr>
            <w:tcW w:w="1240" w:type="dxa"/>
            <w:tcBorders>
              <w:top w:val="nil"/>
              <w:left w:val="nil"/>
              <w:bottom w:val="nil"/>
              <w:right w:val="nil"/>
            </w:tcBorders>
            <w:shd w:val="clear" w:color="auto" w:fill="auto"/>
            <w:noWrap/>
            <w:vAlign w:val="bottom"/>
            <w:hideMark/>
          </w:tcPr>
          <w:p w14:paraId="10EFD46F"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5BB56A95"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360" w:type="dxa"/>
            <w:tcBorders>
              <w:top w:val="nil"/>
              <w:left w:val="nil"/>
              <w:bottom w:val="nil"/>
              <w:right w:val="nil"/>
            </w:tcBorders>
            <w:shd w:val="clear" w:color="auto" w:fill="auto"/>
            <w:noWrap/>
            <w:vAlign w:val="bottom"/>
            <w:hideMark/>
          </w:tcPr>
          <w:p w14:paraId="59C6C22D"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F93933">
              <w:rPr>
                <w:rFonts w:eastAsia="Times New Roman" w:cs="Calibri"/>
                <w:color w:val="002060"/>
                <w:sz w:val="20"/>
              </w:rPr>
              <w:t>70</w:t>
            </w:r>
          </w:p>
        </w:tc>
      </w:tr>
      <w:tr w:rsidR="005C437E" w:rsidRPr="00F93933" w14:paraId="7EAD12A2" w14:textId="77777777" w:rsidTr="002F7131">
        <w:trPr>
          <w:trHeight w:val="20"/>
        </w:trPr>
        <w:tc>
          <w:tcPr>
            <w:tcW w:w="3080" w:type="dxa"/>
            <w:tcBorders>
              <w:top w:val="nil"/>
              <w:left w:val="nil"/>
              <w:bottom w:val="nil"/>
              <w:right w:val="nil"/>
            </w:tcBorders>
            <w:shd w:val="clear" w:color="auto" w:fill="auto"/>
            <w:noWrap/>
            <w:vAlign w:val="bottom"/>
            <w:hideMark/>
          </w:tcPr>
          <w:p w14:paraId="519D5206"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0" w:type="dxa"/>
            <w:tcBorders>
              <w:top w:val="nil"/>
              <w:left w:val="single" w:sz="4" w:space="0" w:color="0070C0"/>
              <w:bottom w:val="nil"/>
              <w:right w:val="nil"/>
            </w:tcBorders>
            <w:shd w:val="clear" w:color="auto" w:fill="auto"/>
            <w:noWrap/>
            <w:vAlign w:val="bottom"/>
            <w:hideMark/>
          </w:tcPr>
          <w:p w14:paraId="1B608CB8"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 </w:t>
            </w:r>
          </w:p>
        </w:tc>
        <w:tc>
          <w:tcPr>
            <w:tcW w:w="1360" w:type="dxa"/>
            <w:tcBorders>
              <w:top w:val="nil"/>
              <w:left w:val="nil"/>
              <w:bottom w:val="nil"/>
              <w:right w:val="nil"/>
            </w:tcBorders>
            <w:shd w:val="clear" w:color="auto" w:fill="auto"/>
            <w:noWrap/>
            <w:vAlign w:val="bottom"/>
            <w:hideMark/>
          </w:tcPr>
          <w:p w14:paraId="62032ED5"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2F287FDD"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3FBE1CFF"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7B6B490F"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5DDED044"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47E89872"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412D1BCA"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7A8FEE12"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F93933" w14:paraId="3370B3C7" w14:textId="77777777" w:rsidTr="002F7131">
        <w:trPr>
          <w:trHeight w:val="20"/>
        </w:trPr>
        <w:tc>
          <w:tcPr>
            <w:tcW w:w="3080" w:type="dxa"/>
            <w:tcBorders>
              <w:top w:val="nil"/>
              <w:left w:val="nil"/>
              <w:bottom w:val="nil"/>
              <w:right w:val="nil"/>
            </w:tcBorders>
            <w:shd w:val="clear" w:color="auto" w:fill="auto"/>
            <w:vAlign w:val="bottom"/>
            <w:hideMark/>
          </w:tcPr>
          <w:p w14:paraId="50B0D8D9"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Pr>
                <w:rFonts w:cstheme="minorHAnsi"/>
                <w:sz w:val="20"/>
                <w:lang w:eastAsia="zh-CN"/>
              </w:rPr>
              <w:t xml:space="preserve">7 - </w:t>
            </w:r>
            <w:r w:rsidRPr="00F93933">
              <w:rPr>
                <w:rFonts w:cstheme="minorHAnsi"/>
                <w:sz w:val="20"/>
                <w:lang w:eastAsia="zh-CN"/>
              </w:rPr>
              <w:t>房屋设施、家具和设备的采购</w:t>
            </w:r>
          </w:p>
        </w:tc>
        <w:tc>
          <w:tcPr>
            <w:tcW w:w="1400" w:type="dxa"/>
            <w:tcBorders>
              <w:top w:val="nil"/>
              <w:left w:val="single" w:sz="4" w:space="0" w:color="0070C0"/>
              <w:bottom w:val="nil"/>
              <w:right w:val="nil"/>
            </w:tcBorders>
            <w:shd w:val="clear" w:color="auto" w:fill="auto"/>
            <w:noWrap/>
            <w:vAlign w:val="bottom"/>
            <w:hideMark/>
          </w:tcPr>
          <w:p w14:paraId="2B7BCA62"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r w:rsidRPr="00F93933">
              <w:rPr>
                <w:rFonts w:eastAsia="Times New Roman" w:cs="Calibri"/>
                <w:sz w:val="20"/>
                <w:lang w:eastAsia="zh-CN"/>
              </w:rPr>
              <w:t> </w:t>
            </w:r>
          </w:p>
        </w:tc>
        <w:tc>
          <w:tcPr>
            <w:tcW w:w="1360" w:type="dxa"/>
            <w:tcBorders>
              <w:top w:val="nil"/>
              <w:left w:val="nil"/>
              <w:bottom w:val="nil"/>
              <w:right w:val="nil"/>
            </w:tcBorders>
            <w:shd w:val="clear" w:color="auto" w:fill="auto"/>
            <w:noWrap/>
            <w:vAlign w:val="bottom"/>
            <w:hideMark/>
          </w:tcPr>
          <w:p w14:paraId="470FEB5E"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48C53FDA"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522F6BB4"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0043CC9C"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456" w:type="dxa"/>
            <w:tcBorders>
              <w:top w:val="nil"/>
              <w:left w:val="nil"/>
              <w:bottom w:val="nil"/>
              <w:right w:val="nil"/>
            </w:tcBorders>
            <w:shd w:val="clear" w:color="auto" w:fill="auto"/>
            <w:noWrap/>
            <w:vAlign w:val="bottom"/>
            <w:hideMark/>
          </w:tcPr>
          <w:p w14:paraId="440D2595"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100</w:t>
            </w:r>
          </w:p>
        </w:tc>
        <w:tc>
          <w:tcPr>
            <w:tcW w:w="1240" w:type="dxa"/>
            <w:tcBorders>
              <w:top w:val="nil"/>
              <w:left w:val="nil"/>
              <w:bottom w:val="nil"/>
              <w:right w:val="nil"/>
            </w:tcBorders>
            <w:shd w:val="clear" w:color="auto" w:fill="auto"/>
            <w:noWrap/>
            <w:vAlign w:val="bottom"/>
            <w:hideMark/>
          </w:tcPr>
          <w:p w14:paraId="4767A5B6"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6E4D2483"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360" w:type="dxa"/>
            <w:tcBorders>
              <w:top w:val="nil"/>
              <w:left w:val="nil"/>
              <w:bottom w:val="nil"/>
              <w:right w:val="nil"/>
            </w:tcBorders>
            <w:shd w:val="clear" w:color="auto" w:fill="auto"/>
            <w:noWrap/>
            <w:vAlign w:val="bottom"/>
            <w:hideMark/>
          </w:tcPr>
          <w:p w14:paraId="207E96ED"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F93933">
              <w:rPr>
                <w:rFonts w:eastAsia="Times New Roman" w:cs="Calibri"/>
                <w:color w:val="002060"/>
                <w:sz w:val="20"/>
              </w:rPr>
              <w:t>100</w:t>
            </w:r>
          </w:p>
        </w:tc>
      </w:tr>
      <w:tr w:rsidR="005C437E" w:rsidRPr="00F93933" w14:paraId="5E562AFB" w14:textId="77777777" w:rsidTr="002F7131">
        <w:trPr>
          <w:trHeight w:val="20"/>
        </w:trPr>
        <w:tc>
          <w:tcPr>
            <w:tcW w:w="3080" w:type="dxa"/>
            <w:tcBorders>
              <w:top w:val="nil"/>
              <w:left w:val="nil"/>
              <w:bottom w:val="nil"/>
              <w:right w:val="nil"/>
            </w:tcBorders>
            <w:shd w:val="clear" w:color="auto" w:fill="auto"/>
            <w:noWrap/>
            <w:vAlign w:val="bottom"/>
            <w:hideMark/>
          </w:tcPr>
          <w:p w14:paraId="05AD9D2F"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0" w:type="dxa"/>
            <w:tcBorders>
              <w:top w:val="nil"/>
              <w:left w:val="single" w:sz="4" w:space="0" w:color="0070C0"/>
              <w:bottom w:val="nil"/>
              <w:right w:val="nil"/>
            </w:tcBorders>
            <w:shd w:val="clear" w:color="auto" w:fill="auto"/>
            <w:noWrap/>
            <w:vAlign w:val="bottom"/>
            <w:hideMark/>
          </w:tcPr>
          <w:p w14:paraId="7073B6EA"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 </w:t>
            </w:r>
          </w:p>
        </w:tc>
        <w:tc>
          <w:tcPr>
            <w:tcW w:w="1360" w:type="dxa"/>
            <w:tcBorders>
              <w:top w:val="nil"/>
              <w:left w:val="nil"/>
              <w:bottom w:val="nil"/>
              <w:right w:val="nil"/>
            </w:tcBorders>
            <w:shd w:val="clear" w:color="auto" w:fill="auto"/>
            <w:noWrap/>
            <w:vAlign w:val="bottom"/>
            <w:hideMark/>
          </w:tcPr>
          <w:p w14:paraId="223D1A9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1D327FD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355FBC57"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34C92FE5"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253F3950"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058672B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11EC1A0C"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29AFF4FC"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F93933" w14:paraId="1470F752" w14:textId="77777777" w:rsidTr="002F7131">
        <w:trPr>
          <w:trHeight w:val="20"/>
        </w:trPr>
        <w:tc>
          <w:tcPr>
            <w:tcW w:w="3080" w:type="dxa"/>
            <w:tcBorders>
              <w:top w:val="nil"/>
              <w:left w:val="nil"/>
              <w:bottom w:val="nil"/>
              <w:right w:val="nil"/>
            </w:tcBorders>
            <w:shd w:val="clear" w:color="auto" w:fill="auto"/>
            <w:vAlign w:val="bottom"/>
            <w:hideMark/>
          </w:tcPr>
          <w:p w14:paraId="2ABBCB4F"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F93933">
              <w:rPr>
                <w:rFonts w:cstheme="minorHAnsi"/>
                <w:sz w:val="20"/>
              </w:rPr>
              <w:t xml:space="preserve">8 - </w:t>
            </w:r>
            <w:r w:rsidRPr="00F93933">
              <w:rPr>
                <w:rFonts w:cstheme="minorHAnsi"/>
                <w:sz w:val="20"/>
              </w:rPr>
              <w:t>公共和内部服务设施</w:t>
            </w:r>
          </w:p>
        </w:tc>
        <w:tc>
          <w:tcPr>
            <w:tcW w:w="1400" w:type="dxa"/>
            <w:tcBorders>
              <w:top w:val="nil"/>
              <w:left w:val="single" w:sz="4" w:space="0" w:color="0070C0"/>
              <w:bottom w:val="nil"/>
              <w:right w:val="nil"/>
            </w:tcBorders>
            <w:shd w:val="clear" w:color="auto" w:fill="auto"/>
            <w:noWrap/>
            <w:vAlign w:val="bottom"/>
            <w:hideMark/>
          </w:tcPr>
          <w:p w14:paraId="01734D4D"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 </w:t>
            </w:r>
          </w:p>
        </w:tc>
        <w:tc>
          <w:tcPr>
            <w:tcW w:w="1360" w:type="dxa"/>
            <w:tcBorders>
              <w:top w:val="nil"/>
              <w:left w:val="nil"/>
              <w:bottom w:val="nil"/>
              <w:right w:val="nil"/>
            </w:tcBorders>
            <w:shd w:val="clear" w:color="auto" w:fill="auto"/>
            <w:noWrap/>
            <w:vAlign w:val="bottom"/>
            <w:hideMark/>
          </w:tcPr>
          <w:p w14:paraId="3F692DE8"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4112FA32"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10151819"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144A38F2"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456" w:type="dxa"/>
            <w:tcBorders>
              <w:top w:val="nil"/>
              <w:left w:val="nil"/>
              <w:bottom w:val="nil"/>
              <w:right w:val="nil"/>
            </w:tcBorders>
            <w:shd w:val="clear" w:color="auto" w:fill="auto"/>
            <w:noWrap/>
            <w:vAlign w:val="bottom"/>
            <w:hideMark/>
          </w:tcPr>
          <w:p w14:paraId="7E7768C9"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45FBF529"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6DF8EF66"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360" w:type="dxa"/>
            <w:tcBorders>
              <w:top w:val="nil"/>
              <w:left w:val="nil"/>
              <w:bottom w:val="nil"/>
              <w:right w:val="nil"/>
            </w:tcBorders>
            <w:shd w:val="clear" w:color="auto" w:fill="auto"/>
            <w:noWrap/>
            <w:vAlign w:val="bottom"/>
            <w:hideMark/>
          </w:tcPr>
          <w:p w14:paraId="0204FD2A"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F93933">
              <w:rPr>
                <w:rFonts w:eastAsia="Times New Roman" w:cs="Calibri"/>
                <w:color w:val="002060"/>
                <w:sz w:val="20"/>
              </w:rPr>
              <w:t>0</w:t>
            </w:r>
          </w:p>
        </w:tc>
      </w:tr>
      <w:tr w:rsidR="005C437E" w:rsidRPr="00F93933" w14:paraId="3A014DC6" w14:textId="77777777" w:rsidTr="002F7131">
        <w:trPr>
          <w:trHeight w:val="20"/>
        </w:trPr>
        <w:tc>
          <w:tcPr>
            <w:tcW w:w="3080" w:type="dxa"/>
            <w:tcBorders>
              <w:top w:val="nil"/>
              <w:left w:val="nil"/>
              <w:bottom w:val="nil"/>
              <w:right w:val="nil"/>
            </w:tcBorders>
            <w:shd w:val="clear" w:color="auto" w:fill="auto"/>
            <w:noWrap/>
            <w:vAlign w:val="bottom"/>
            <w:hideMark/>
          </w:tcPr>
          <w:p w14:paraId="4CCCCE12"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0" w:type="dxa"/>
            <w:tcBorders>
              <w:top w:val="nil"/>
              <w:left w:val="single" w:sz="4" w:space="0" w:color="0070C0"/>
              <w:bottom w:val="nil"/>
              <w:right w:val="nil"/>
            </w:tcBorders>
            <w:shd w:val="clear" w:color="auto" w:fill="auto"/>
            <w:noWrap/>
            <w:vAlign w:val="bottom"/>
            <w:hideMark/>
          </w:tcPr>
          <w:p w14:paraId="680A6BBE"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 </w:t>
            </w:r>
          </w:p>
        </w:tc>
        <w:tc>
          <w:tcPr>
            <w:tcW w:w="1360" w:type="dxa"/>
            <w:tcBorders>
              <w:top w:val="nil"/>
              <w:left w:val="nil"/>
              <w:bottom w:val="nil"/>
              <w:right w:val="nil"/>
            </w:tcBorders>
            <w:shd w:val="clear" w:color="auto" w:fill="auto"/>
            <w:noWrap/>
            <w:vAlign w:val="bottom"/>
            <w:hideMark/>
          </w:tcPr>
          <w:p w14:paraId="72D444BE"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545E1C5E"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397318FE"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0F928FC2"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04A1C3E5"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4CE4E76E"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048F4C7E"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087635F9"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F93933" w14:paraId="5CF0A73D" w14:textId="77777777" w:rsidTr="002F7131">
        <w:trPr>
          <w:trHeight w:val="20"/>
        </w:trPr>
        <w:tc>
          <w:tcPr>
            <w:tcW w:w="3080" w:type="dxa"/>
            <w:tcBorders>
              <w:top w:val="nil"/>
              <w:left w:val="nil"/>
              <w:bottom w:val="nil"/>
              <w:right w:val="nil"/>
            </w:tcBorders>
            <w:shd w:val="clear" w:color="auto" w:fill="auto"/>
            <w:vAlign w:val="bottom"/>
            <w:hideMark/>
          </w:tcPr>
          <w:p w14:paraId="5F11873C"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F93933">
              <w:rPr>
                <w:rFonts w:cstheme="minorHAnsi"/>
                <w:sz w:val="20"/>
                <w:lang w:eastAsia="zh-CN"/>
              </w:rPr>
              <w:t xml:space="preserve">9 - </w:t>
            </w:r>
            <w:r w:rsidRPr="00F93933">
              <w:rPr>
                <w:rFonts w:cstheme="minorHAnsi"/>
                <w:sz w:val="20"/>
                <w:lang w:eastAsia="zh-CN"/>
              </w:rPr>
              <w:t>审计和机构间的费用及其他</w:t>
            </w:r>
          </w:p>
        </w:tc>
        <w:tc>
          <w:tcPr>
            <w:tcW w:w="1400" w:type="dxa"/>
            <w:tcBorders>
              <w:top w:val="nil"/>
              <w:left w:val="single" w:sz="4" w:space="0" w:color="0070C0"/>
              <w:bottom w:val="nil"/>
              <w:right w:val="nil"/>
            </w:tcBorders>
            <w:shd w:val="clear" w:color="auto" w:fill="auto"/>
            <w:noWrap/>
            <w:vAlign w:val="bottom"/>
            <w:hideMark/>
          </w:tcPr>
          <w:p w14:paraId="3E7DEEA0"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9</w:t>
            </w:r>
          </w:p>
        </w:tc>
        <w:tc>
          <w:tcPr>
            <w:tcW w:w="1360" w:type="dxa"/>
            <w:tcBorders>
              <w:top w:val="nil"/>
              <w:left w:val="nil"/>
              <w:bottom w:val="nil"/>
              <w:right w:val="nil"/>
            </w:tcBorders>
            <w:shd w:val="clear" w:color="auto" w:fill="auto"/>
            <w:noWrap/>
            <w:vAlign w:val="bottom"/>
            <w:hideMark/>
          </w:tcPr>
          <w:p w14:paraId="00384433"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099D045D"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67BD213A"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5DB09430"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20</w:t>
            </w:r>
          </w:p>
        </w:tc>
        <w:tc>
          <w:tcPr>
            <w:tcW w:w="1456" w:type="dxa"/>
            <w:tcBorders>
              <w:top w:val="nil"/>
              <w:left w:val="nil"/>
              <w:bottom w:val="nil"/>
              <w:right w:val="nil"/>
            </w:tcBorders>
            <w:shd w:val="clear" w:color="auto" w:fill="auto"/>
            <w:noWrap/>
            <w:vAlign w:val="bottom"/>
            <w:hideMark/>
          </w:tcPr>
          <w:p w14:paraId="5A31D618"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20</w:t>
            </w:r>
          </w:p>
        </w:tc>
        <w:tc>
          <w:tcPr>
            <w:tcW w:w="1240" w:type="dxa"/>
            <w:tcBorders>
              <w:top w:val="nil"/>
              <w:left w:val="nil"/>
              <w:bottom w:val="nil"/>
              <w:right w:val="nil"/>
            </w:tcBorders>
            <w:shd w:val="clear" w:color="auto" w:fill="auto"/>
            <w:noWrap/>
            <w:vAlign w:val="bottom"/>
            <w:hideMark/>
          </w:tcPr>
          <w:p w14:paraId="44EF3CB2"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28F85AAC"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360" w:type="dxa"/>
            <w:tcBorders>
              <w:top w:val="nil"/>
              <w:left w:val="nil"/>
              <w:bottom w:val="nil"/>
              <w:right w:val="nil"/>
            </w:tcBorders>
            <w:shd w:val="clear" w:color="auto" w:fill="auto"/>
            <w:noWrap/>
            <w:vAlign w:val="bottom"/>
            <w:hideMark/>
          </w:tcPr>
          <w:p w14:paraId="5ABB4270"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F93933">
              <w:rPr>
                <w:rFonts w:eastAsia="Times New Roman" w:cs="Calibri"/>
                <w:color w:val="002060"/>
                <w:sz w:val="20"/>
              </w:rPr>
              <w:t>49</w:t>
            </w:r>
          </w:p>
        </w:tc>
      </w:tr>
      <w:tr w:rsidR="005C437E" w:rsidRPr="00F93933" w14:paraId="1B95670C" w14:textId="77777777" w:rsidTr="002F7131">
        <w:trPr>
          <w:trHeight w:val="20"/>
        </w:trPr>
        <w:tc>
          <w:tcPr>
            <w:tcW w:w="3080" w:type="dxa"/>
            <w:tcBorders>
              <w:top w:val="nil"/>
              <w:left w:val="nil"/>
              <w:bottom w:val="single" w:sz="4" w:space="0" w:color="auto"/>
              <w:right w:val="nil"/>
            </w:tcBorders>
            <w:shd w:val="clear" w:color="auto" w:fill="auto"/>
            <w:noWrap/>
            <w:vAlign w:val="center"/>
            <w:hideMark/>
          </w:tcPr>
          <w:p w14:paraId="174CC639"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F93933">
              <w:rPr>
                <w:rFonts w:cstheme="minorHAnsi"/>
                <w:b/>
                <w:bCs/>
                <w:sz w:val="20"/>
              </w:rPr>
              <w:t> </w:t>
            </w:r>
          </w:p>
        </w:tc>
        <w:tc>
          <w:tcPr>
            <w:tcW w:w="1400" w:type="dxa"/>
            <w:tcBorders>
              <w:top w:val="nil"/>
              <w:left w:val="single" w:sz="4" w:space="0" w:color="0070C0"/>
              <w:bottom w:val="single" w:sz="4" w:space="0" w:color="auto"/>
              <w:right w:val="nil"/>
            </w:tcBorders>
            <w:shd w:val="clear" w:color="auto" w:fill="auto"/>
            <w:noWrap/>
            <w:vAlign w:val="center"/>
            <w:hideMark/>
          </w:tcPr>
          <w:p w14:paraId="775D443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F93933">
              <w:rPr>
                <w:rFonts w:eastAsia="Times New Roman" w:cs="Calibri"/>
                <w:b/>
                <w:bCs/>
                <w:sz w:val="20"/>
              </w:rPr>
              <w:t> </w:t>
            </w:r>
          </w:p>
        </w:tc>
        <w:tc>
          <w:tcPr>
            <w:tcW w:w="1360" w:type="dxa"/>
            <w:tcBorders>
              <w:top w:val="nil"/>
              <w:left w:val="nil"/>
              <w:bottom w:val="single" w:sz="4" w:space="0" w:color="auto"/>
              <w:right w:val="nil"/>
            </w:tcBorders>
            <w:shd w:val="clear" w:color="auto" w:fill="auto"/>
            <w:noWrap/>
            <w:vAlign w:val="center"/>
            <w:hideMark/>
          </w:tcPr>
          <w:p w14:paraId="500F8F3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F93933">
              <w:rPr>
                <w:rFonts w:eastAsia="Times New Roman" w:cs="Calibri"/>
                <w:b/>
                <w:bCs/>
                <w:sz w:val="20"/>
              </w:rPr>
              <w:t> </w:t>
            </w:r>
          </w:p>
        </w:tc>
        <w:tc>
          <w:tcPr>
            <w:tcW w:w="1240" w:type="dxa"/>
            <w:tcBorders>
              <w:top w:val="nil"/>
              <w:left w:val="nil"/>
              <w:bottom w:val="single" w:sz="4" w:space="0" w:color="auto"/>
              <w:right w:val="nil"/>
            </w:tcBorders>
            <w:shd w:val="clear" w:color="auto" w:fill="auto"/>
            <w:noWrap/>
            <w:vAlign w:val="center"/>
            <w:hideMark/>
          </w:tcPr>
          <w:p w14:paraId="7FF6B7C0"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F93933">
              <w:rPr>
                <w:rFonts w:eastAsia="Times New Roman" w:cs="Calibri"/>
                <w:b/>
                <w:bCs/>
                <w:sz w:val="20"/>
              </w:rPr>
              <w:t> </w:t>
            </w:r>
          </w:p>
        </w:tc>
        <w:tc>
          <w:tcPr>
            <w:tcW w:w="1240" w:type="dxa"/>
            <w:tcBorders>
              <w:top w:val="nil"/>
              <w:left w:val="nil"/>
              <w:bottom w:val="single" w:sz="4" w:space="0" w:color="auto"/>
              <w:right w:val="nil"/>
            </w:tcBorders>
            <w:shd w:val="clear" w:color="auto" w:fill="auto"/>
            <w:noWrap/>
            <w:vAlign w:val="center"/>
            <w:hideMark/>
          </w:tcPr>
          <w:p w14:paraId="36F4417A"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F93933">
              <w:rPr>
                <w:rFonts w:eastAsia="Times New Roman" w:cs="Calibri"/>
                <w:b/>
                <w:bCs/>
                <w:sz w:val="20"/>
              </w:rPr>
              <w:t> </w:t>
            </w:r>
          </w:p>
        </w:tc>
        <w:tc>
          <w:tcPr>
            <w:tcW w:w="1240" w:type="dxa"/>
            <w:tcBorders>
              <w:top w:val="nil"/>
              <w:left w:val="nil"/>
              <w:bottom w:val="single" w:sz="4" w:space="0" w:color="auto"/>
              <w:right w:val="nil"/>
            </w:tcBorders>
            <w:shd w:val="clear" w:color="auto" w:fill="auto"/>
            <w:noWrap/>
            <w:vAlign w:val="center"/>
            <w:hideMark/>
          </w:tcPr>
          <w:p w14:paraId="5380C18E"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F93933">
              <w:rPr>
                <w:rFonts w:eastAsia="Times New Roman" w:cs="Calibri"/>
                <w:b/>
                <w:bCs/>
                <w:sz w:val="20"/>
              </w:rPr>
              <w:t> </w:t>
            </w:r>
          </w:p>
        </w:tc>
        <w:tc>
          <w:tcPr>
            <w:tcW w:w="1456" w:type="dxa"/>
            <w:tcBorders>
              <w:top w:val="nil"/>
              <w:left w:val="nil"/>
              <w:bottom w:val="single" w:sz="4" w:space="0" w:color="auto"/>
              <w:right w:val="nil"/>
            </w:tcBorders>
            <w:shd w:val="clear" w:color="auto" w:fill="auto"/>
            <w:noWrap/>
            <w:vAlign w:val="center"/>
            <w:hideMark/>
          </w:tcPr>
          <w:p w14:paraId="0D8E556E"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F93933">
              <w:rPr>
                <w:rFonts w:eastAsia="Times New Roman" w:cs="Calibri"/>
                <w:b/>
                <w:bCs/>
                <w:sz w:val="20"/>
              </w:rPr>
              <w:t> </w:t>
            </w:r>
          </w:p>
        </w:tc>
        <w:tc>
          <w:tcPr>
            <w:tcW w:w="1240" w:type="dxa"/>
            <w:tcBorders>
              <w:top w:val="nil"/>
              <w:left w:val="nil"/>
              <w:bottom w:val="single" w:sz="4" w:space="0" w:color="auto"/>
              <w:right w:val="nil"/>
            </w:tcBorders>
            <w:shd w:val="clear" w:color="auto" w:fill="auto"/>
            <w:noWrap/>
            <w:vAlign w:val="center"/>
            <w:hideMark/>
          </w:tcPr>
          <w:p w14:paraId="28702591"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F93933">
              <w:rPr>
                <w:rFonts w:eastAsia="Times New Roman" w:cs="Calibri"/>
                <w:b/>
                <w:bCs/>
                <w:sz w:val="20"/>
              </w:rPr>
              <w:t> </w:t>
            </w:r>
          </w:p>
        </w:tc>
        <w:tc>
          <w:tcPr>
            <w:tcW w:w="1240" w:type="dxa"/>
            <w:tcBorders>
              <w:top w:val="nil"/>
              <w:left w:val="nil"/>
              <w:bottom w:val="single" w:sz="4" w:space="0" w:color="auto"/>
              <w:right w:val="nil"/>
            </w:tcBorders>
            <w:shd w:val="clear" w:color="auto" w:fill="auto"/>
            <w:noWrap/>
            <w:vAlign w:val="center"/>
            <w:hideMark/>
          </w:tcPr>
          <w:p w14:paraId="715E05E3"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F93933">
              <w:rPr>
                <w:rFonts w:eastAsia="Times New Roman" w:cs="Calibri"/>
                <w:b/>
                <w:bCs/>
                <w:sz w:val="20"/>
              </w:rPr>
              <w:t> </w:t>
            </w:r>
          </w:p>
        </w:tc>
        <w:tc>
          <w:tcPr>
            <w:tcW w:w="1360" w:type="dxa"/>
            <w:tcBorders>
              <w:top w:val="nil"/>
              <w:left w:val="nil"/>
              <w:bottom w:val="single" w:sz="4" w:space="0" w:color="auto"/>
              <w:right w:val="nil"/>
            </w:tcBorders>
            <w:shd w:val="clear" w:color="auto" w:fill="auto"/>
            <w:noWrap/>
            <w:vAlign w:val="center"/>
            <w:hideMark/>
          </w:tcPr>
          <w:p w14:paraId="3F14C9F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F93933">
              <w:rPr>
                <w:rFonts w:eastAsia="Times New Roman" w:cs="Calibri"/>
                <w:b/>
                <w:bCs/>
                <w:color w:val="002060"/>
                <w:sz w:val="20"/>
              </w:rPr>
              <w:t> </w:t>
            </w:r>
          </w:p>
        </w:tc>
      </w:tr>
      <w:tr w:rsidR="005C437E" w:rsidRPr="00F93933" w14:paraId="4A5EE162" w14:textId="77777777" w:rsidTr="002F7131">
        <w:trPr>
          <w:trHeight w:val="20"/>
        </w:trPr>
        <w:tc>
          <w:tcPr>
            <w:tcW w:w="3080" w:type="dxa"/>
            <w:tcBorders>
              <w:top w:val="nil"/>
              <w:left w:val="nil"/>
              <w:bottom w:val="nil"/>
              <w:right w:val="nil"/>
            </w:tcBorders>
            <w:shd w:val="clear" w:color="auto" w:fill="auto"/>
            <w:noWrap/>
            <w:vAlign w:val="center"/>
            <w:hideMark/>
          </w:tcPr>
          <w:p w14:paraId="4D9EE810"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F93933">
              <w:rPr>
                <w:rFonts w:cstheme="minorHAnsi"/>
                <w:b/>
                <w:bCs/>
                <w:sz w:val="20"/>
              </w:rPr>
              <w:t>合计</w:t>
            </w:r>
          </w:p>
        </w:tc>
        <w:tc>
          <w:tcPr>
            <w:tcW w:w="1400" w:type="dxa"/>
            <w:tcBorders>
              <w:top w:val="nil"/>
              <w:left w:val="nil"/>
              <w:bottom w:val="nil"/>
              <w:right w:val="nil"/>
            </w:tcBorders>
            <w:shd w:val="clear" w:color="auto" w:fill="auto"/>
            <w:noWrap/>
            <w:vAlign w:val="center"/>
            <w:hideMark/>
          </w:tcPr>
          <w:p w14:paraId="64398A32"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F93933">
              <w:rPr>
                <w:rFonts w:eastAsia="Times New Roman" w:cs="Calibri"/>
                <w:b/>
                <w:bCs/>
                <w:sz w:val="20"/>
              </w:rPr>
              <w:t>699</w:t>
            </w:r>
          </w:p>
        </w:tc>
        <w:tc>
          <w:tcPr>
            <w:tcW w:w="1360" w:type="dxa"/>
            <w:tcBorders>
              <w:top w:val="nil"/>
              <w:left w:val="nil"/>
              <w:bottom w:val="nil"/>
              <w:right w:val="nil"/>
            </w:tcBorders>
            <w:shd w:val="clear" w:color="auto" w:fill="auto"/>
            <w:noWrap/>
            <w:vAlign w:val="center"/>
            <w:hideMark/>
          </w:tcPr>
          <w:p w14:paraId="0E779EF2"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F93933">
              <w:rPr>
                <w:rFonts w:eastAsia="Times New Roman" w:cs="Calibri"/>
                <w:b/>
                <w:bCs/>
                <w:sz w:val="20"/>
              </w:rPr>
              <w:t>182</w:t>
            </w:r>
          </w:p>
        </w:tc>
        <w:tc>
          <w:tcPr>
            <w:tcW w:w="1240" w:type="dxa"/>
            <w:tcBorders>
              <w:top w:val="nil"/>
              <w:left w:val="nil"/>
              <w:bottom w:val="nil"/>
              <w:right w:val="nil"/>
            </w:tcBorders>
            <w:shd w:val="clear" w:color="auto" w:fill="auto"/>
            <w:noWrap/>
            <w:vAlign w:val="center"/>
            <w:hideMark/>
          </w:tcPr>
          <w:p w14:paraId="1E196A48"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F93933">
              <w:rPr>
                <w:rFonts w:eastAsia="Times New Roman" w:cs="Calibri"/>
                <w:b/>
                <w:bCs/>
                <w:sz w:val="20"/>
              </w:rPr>
              <w:t>2,360</w:t>
            </w:r>
          </w:p>
        </w:tc>
        <w:tc>
          <w:tcPr>
            <w:tcW w:w="1240" w:type="dxa"/>
            <w:tcBorders>
              <w:top w:val="nil"/>
              <w:left w:val="nil"/>
              <w:bottom w:val="nil"/>
              <w:right w:val="nil"/>
            </w:tcBorders>
            <w:shd w:val="clear" w:color="auto" w:fill="auto"/>
            <w:noWrap/>
            <w:vAlign w:val="center"/>
            <w:hideMark/>
          </w:tcPr>
          <w:p w14:paraId="500F00C1"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F93933">
              <w:rPr>
                <w:rFonts w:eastAsia="Times New Roman" w:cs="Calibri"/>
                <w:b/>
                <w:bCs/>
                <w:sz w:val="20"/>
              </w:rPr>
              <w:t>400</w:t>
            </w:r>
          </w:p>
        </w:tc>
        <w:tc>
          <w:tcPr>
            <w:tcW w:w="1240" w:type="dxa"/>
            <w:tcBorders>
              <w:top w:val="nil"/>
              <w:left w:val="nil"/>
              <w:bottom w:val="nil"/>
              <w:right w:val="nil"/>
            </w:tcBorders>
            <w:shd w:val="clear" w:color="auto" w:fill="auto"/>
            <w:noWrap/>
            <w:vAlign w:val="center"/>
            <w:hideMark/>
          </w:tcPr>
          <w:p w14:paraId="6A9CD995"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F93933">
              <w:rPr>
                <w:rFonts w:eastAsia="Times New Roman" w:cs="Calibri"/>
                <w:b/>
                <w:bCs/>
                <w:sz w:val="20"/>
              </w:rPr>
              <w:t>520</w:t>
            </w:r>
          </w:p>
        </w:tc>
        <w:tc>
          <w:tcPr>
            <w:tcW w:w="1456" w:type="dxa"/>
            <w:tcBorders>
              <w:top w:val="nil"/>
              <w:left w:val="nil"/>
              <w:bottom w:val="nil"/>
              <w:right w:val="nil"/>
            </w:tcBorders>
            <w:shd w:val="clear" w:color="auto" w:fill="auto"/>
            <w:noWrap/>
            <w:vAlign w:val="center"/>
            <w:hideMark/>
          </w:tcPr>
          <w:p w14:paraId="1E54116E"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F93933">
              <w:rPr>
                <w:rFonts w:eastAsia="Times New Roman" w:cs="Calibri"/>
                <w:b/>
                <w:bCs/>
                <w:sz w:val="20"/>
              </w:rPr>
              <w:t>460</w:t>
            </w:r>
          </w:p>
        </w:tc>
        <w:tc>
          <w:tcPr>
            <w:tcW w:w="1240" w:type="dxa"/>
            <w:tcBorders>
              <w:top w:val="nil"/>
              <w:left w:val="nil"/>
              <w:bottom w:val="nil"/>
              <w:right w:val="nil"/>
            </w:tcBorders>
            <w:shd w:val="clear" w:color="auto" w:fill="auto"/>
            <w:noWrap/>
            <w:vAlign w:val="center"/>
            <w:hideMark/>
          </w:tcPr>
          <w:p w14:paraId="1A2D7CCF"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F93933">
              <w:rPr>
                <w:rFonts w:eastAsia="Times New Roman" w:cs="Calibri"/>
                <w:b/>
                <w:bCs/>
                <w:sz w:val="20"/>
              </w:rPr>
              <w:t>2,264</w:t>
            </w:r>
          </w:p>
        </w:tc>
        <w:tc>
          <w:tcPr>
            <w:tcW w:w="1240" w:type="dxa"/>
            <w:tcBorders>
              <w:top w:val="nil"/>
              <w:left w:val="nil"/>
              <w:bottom w:val="nil"/>
              <w:right w:val="nil"/>
            </w:tcBorders>
            <w:shd w:val="clear" w:color="auto" w:fill="auto"/>
            <w:noWrap/>
            <w:vAlign w:val="center"/>
            <w:hideMark/>
          </w:tcPr>
          <w:p w14:paraId="5E19CE7D"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F93933">
              <w:rPr>
                <w:rFonts w:eastAsia="Times New Roman" w:cs="Calibri"/>
                <w:b/>
                <w:bCs/>
                <w:sz w:val="20"/>
              </w:rPr>
              <w:t>20,204</w:t>
            </w:r>
          </w:p>
        </w:tc>
        <w:tc>
          <w:tcPr>
            <w:tcW w:w="1360" w:type="dxa"/>
            <w:tcBorders>
              <w:top w:val="nil"/>
              <w:left w:val="nil"/>
              <w:bottom w:val="nil"/>
              <w:right w:val="nil"/>
            </w:tcBorders>
            <w:shd w:val="clear" w:color="auto" w:fill="auto"/>
            <w:noWrap/>
            <w:vAlign w:val="center"/>
            <w:hideMark/>
          </w:tcPr>
          <w:p w14:paraId="1F138195"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F93933">
              <w:rPr>
                <w:rFonts w:eastAsia="Times New Roman" w:cs="Calibri"/>
                <w:b/>
                <w:bCs/>
                <w:color w:val="002060"/>
                <w:sz w:val="20"/>
              </w:rPr>
              <w:t>27,089</w:t>
            </w:r>
          </w:p>
        </w:tc>
      </w:tr>
      <w:tr w:rsidR="005C437E" w:rsidRPr="009E2F66" w14:paraId="05B2D4CC" w14:textId="77777777" w:rsidTr="002F7131">
        <w:trPr>
          <w:trHeight w:val="465"/>
        </w:trPr>
        <w:tc>
          <w:tcPr>
            <w:tcW w:w="3080" w:type="dxa"/>
            <w:tcBorders>
              <w:top w:val="nil"/>
              <w:left w:val="nil"/>
              <w:bottom w:val="nil"/>
              <w:right w:val="nil"/>
            </w:tcBorders>
            <w:shd w:val="clear" w:color="auto" w:fill="auto"/>
            <w:noWrap/>
            <w:vAlign w:val="center"/>
            <w:hideMark/>
          </w:tcPr>
          <w:p w14:paraId="34F9458B" w14:textId="77777777" w:rsidR="005C437E" w:rsidRPr="009E2F66" w:rsidRDefault="005C437E" w:rsidP="002F7131">
            <w:pPr>
              <w:pageBreakBefore/>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9E2F66">
              <w:rPr>
                <w:rFonts w:ascii="SimSun" w:hAnsi="SimSun" w:cs="Calibri" w:hint="eastAsia"/>
                <w:b/>
                <w:bCs/>
                <w:color w:val="002060"/>
                <w:sz w:val="40"/>
                <w:szCs w:val="40"/>
              </w:rPr>
              <w:lastRenderedPageBreak/>
              <w:t>表</w:t>
            </w:r>
            <w:r w:rsidRPr="009E2F66">
              <w:rPr>
                <w:rFonts w:eastAsia="Times New Roman" w:cs="Calibri"/>
                <w:b/>
                <w:bCs/>
                <w:color w:val="002060"/>
                <w:sz w:val="40"/>
                <w:szCs w:val="40"/>
              </w:rPr>
              <w:t>8-1</w:t>
            </w:r>
          </w:p>
        </w:tc>
        <w:tc>
          <w:tcPr>
            <w:tcW w:w="1400" w:type="dxa"/>
            <w:tcBorders>
              <w:top w:val="nil"/>
              <w:left w:val="nil"/>
              <w:bottom w:val="nil"/>
              <w:right w:val="nil"/>
            </w:tcBorders>
            <w:shd w:val="clear" w:color="auto" w:fill="auto"/>
            <w:noWrap/>
            <w:vAlign w:val="center"/>
            <w:hideMark/>
          </w:tcPr>
          <w:p w14:paraId="59EDB046"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1360" w:type="dxa"/>
            <w:tcBorders>
              <w:top w:val="nil"/>
              <w:left w:val="nil"/>
              <w:bottom w:val="nil"/>
              <w:right w:val="nil"/>
            </w:tcBorders>
            <w:shd w:val="clear" w:color="auto" w:fill="auto"/>
            <w:noWrap/>
            <w:vAlign w:val="center"/>
            <w:hideMark/>
          </w:tcPr>
          <w:p w14:paraId="0E9051E9"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51A32160"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7A442F85"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24E004BE"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4122B794"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6BE97856"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76BA77B2"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center"/>
            <w:hideMark/>
          </w:tcPr>
          <w:p w14:paraId="6A8EDCA0"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9E2F66" w14:paraId="45022693" w14:textId="77777777" w:rsidTr="002F7131">
        <w:trPr>
          <w:trHeight w:val="405"/>
        </w:trPr>
        <w:tc>
          <w:tcPr>
            <w:tcW w:w="4480" w:type="dxa"/>
            <w:gridSpan w:val="2"/>
            <w:tcBorders>
              <w:top w:val="nil"/>
              <w:left w:val="nil"/>
              <w:bottom w:val="nil"/>
              <w:right w:val="nil"/>
            </w:tcBorders>
            <w:shd w:val="clear" w:color="auto" w:fill="auto"/>
            <w:noWrap/>
            <w:vAlign w:val="center"/>
            <w:hideMark/>
          </w:tcPr>
          <w:p w14:paraId="389A5473"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r w:rsidRPr="009E2F66">
              <w:rPr>
                <w:rFonts w:ascii="STKaiti" w:eastAsia="STKaiti" w:hAnsi="STKaiti" w:hint="eastAsia"/>
                <w:b/>
                <w:bCs/>
                <w:color w:val="002060"/>
                <w:sz w:val="28"/>
                <w:szCs w:val="28"/>
              </w:rPr>
              <w:t>电信标准化部门</w:t>
            </w:r>
            <w:r w:rsidRPr="009E2F66">
              <w:rPr>
                <w:rFonts w:eastAsia="STKaiti" w:cs="Calibri"/>
                <w:b/>
                <w:bCs/>
                <w:color w:val="002060"/>
                <w:sz w:val="28"/>
                <w:szCs w:val="28"/>
              </w:rPr>
              <w:t>2022</w:t>
            </w:r>
            <w:r w:rsidRPr="009E2F66">
              <w:rPr>
                <w:rFonts w:ascii="STKaiti" w:eastAsia="STKaiti" w:hAnsi="STKaiti" w:hint="eastAsia"/>
                <w:b/>
                <w:bCs/>
                <w:color w:val="002060"/>
                <w:sz w:val="28"/>
                <w:szCs w:val="28"/>
              </w:rPr>
              <w:t>年</w:t>
            </w:r>
          </w:p>
        </w:tc>
        <w:tc>
          <w:tcPr>
            <w:tcW w:w="1360" w:type="dxa"/>
            <w:tcBorders>
              <w:top w:val="nil"/>
              <w:left w:val="nil"/>
              <w:bottom w:val="nil"/>
              <w:right w:val="nil"/>
            </w:tcBorders>
            <w:shd w:val="clear" w:color="auto" w:fill="auto"/>
            <w:noWrap/>
            <w:vAlign w:val="center"/>
            <w:hideMark/>
          </w:tcPr>
          <w:p w14:paraId="13A69E6A"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p>
        </w:tc>
        <w:tc>
          <w:tcPr>
            <w:tcW w:w="1240" w:type="dxa"/>
            <w:tcBorders>
              <w:top w:val="nil"/>
              <w:left w:val="nil"/>
              <w:bottom w:val="nil"/>
              <w:right w:val="nil"/>
            </w:tcBorders>
            <w:shd w:val="clear" w:color="auto" w:fill="auto"/>
            <w:noWrap/>
            <w:vAlign w:val="center"/>
            <w:hideMark/>
          </w:tcPr>
          <w:p w14:paraId="7A180BCA"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078948EF"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38BFB8BD"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2E1F022E"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76A3582E"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737AC2C3"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center"/>
            <w:hideMark/>
          </w:tcPr>
          <w:p w14:paraId="478E9BF7"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9E2F66" w14:paraId="1A8A0528" w14:textId="77777777" w:rsidTr="002F7131">
        <w:trPr>
          <w:trHeight w:val="405"/>
        </w:trPr>
        <w:tc>
          <w:tcPr>
            <w:tcW w:w="4480" w:type="dxa"/>
            <w:gridSpan w:val="2"/>
            <w:tcBorders>
              <w:top w:val="nil"/>
              <w:left w:val="nil"/>
              <w:bottom w:val="nil"/>
              <w:right w:val="nil"/>
            </w:tcBorders>
            <w:shd w:val="clear" w:color="auto" w:fill="auto"/>
            <w:noWrap/>
            <w:vAlign w:val="center"/>
            <w:hideMark/>
          </w:tcPr>
          <w:p w14:paraId="7E8EB90E"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r w:rsidRPr="009E2F66">
              <w:rPr>
                <w:rFonts w:ascii="STKaiti" w:eastAsia="STKaiti" w:hAnsi="STKaiti" w:hint="eastAsia"/>
                <w:b/>
                <w:bCs/>
                <w:color w:val="002060"/>
                <w:szCs w:val="24"/>
                <w:lang w:eastAsia="zh-CN"/>
              </w:rPr>
              <w:t>按项和支出类别列出的计划支出</w:t>
            </w:r>
          </w:p>
        </w:tc>
        <w:tc>
          <w:tcPr>
            <w:tcW w:w="1360" w:type="dxa"/>
            <w:tcBorders>
              <w:top w:val="nil"/>
              <w:left w:val="nil"/>
              <w:bottom w:val="nil"/>
              <w:right w:val="nil"/>
            </w:tcBorders>
            <w:shd w:val="clear" w:color="auto" w:fill="auto"/>
            <w:noWrap/>
            <w:vAlign w:val="center"/>
            <w:hideMark/>
          </w:tcPr>
          <w:p w14:paraId="445E3E41"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p>
        </w:tc>
        <w:tc>
          <w:tcPr>
            <w:tcW w:w="1240" w:type="dxa"/>
            <w:tcBorders>
              <w:top w:val="nil"/>
              <w:left w:val="nil"/>
              <w:bottom w:val="nil"/>
              <w:right w:val="nil"/>
            </w:tcBorders>
            <w:shd w:val="clear" w:color="auto" w:fill="auto"/>
            <w:noWrap/>
            <w:vAlign w:val="center"/>
            <w:hideMark/>
          </w:tcPr>
          <w:p w14:paraId="6E871A4E"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40" w:type="dxa"/>
            <w:tcBorders>
              <w:top w:val="nil"/>
              <w:left w:val="nil"/>
              <w:bottom w:val="nil"/>
              <w:right w:val="nil"/>
            </w:tcBorders>
            <w:shd w:val="clear" w:color="auto" w:fill="auto"/>
            <w:noWrap/>
            <w:vAlign w:val="center"/>
            <w:hideMark/>
          </w:tcPr>
          <w:p w14:paraId="5009023E"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40" w:type="dxa"/>
            <w:tcBorders>
              <w:top w:val="nil"/>
              <w:left w:val="nil"/>
              <w:bottom w:val="nil"/>
              <w:right w:val="nil"/>
            </w:tcBorders>
            <w:shd w:val="clear" w:color="auto" w:fill="auto"/>
            <w:noWrap/>
            <w:vAlign w:val="center"/>
            <w:hideMark/>
          </w:tcPr>
          <w:p w14:paraId="04A7F18C"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56" w:type="dxa"/>
            <w:tcBorders>
              <w:top w:val="nil"/>
              <w:left w:val="nil"/>
              <w:bottom w:val="nil"/>
              <w:right w:val="nil"/>
            </w:tcBorders>
            <w:shd w:val="clear" w:color="auto" w:fill="auto"/>
            <w:noWrap/>
            <w:vAlign w:val="center"/>
            <w:hideMark/>
          </w:tcPr>
          <w:p w14:paraId="39EA465A"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40" w:type="dxa"/>
            <w:tcBorders>
              <w:top w:val="nil"/>
              <w:left w:val="nil"/>
              <w:bottom w:val="nil"/>
              <w:right w:val="nil"/>
            </w:tcBorders>
            <w:shd w:val="clear" w:color="auto" w:fill="auto"/>
            <w:noWrap/>
            <w:vAlign w:val="center"/>
            <w:hideMark/>
          </w:tcPr>
          <w:p w14:paraId="6B99B0E7"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40" w:type="dxa"/>
            <w:tcBorders>
              <w:top w:val="nil"/>
              <w:left w:val="nil"/>
              <w:bottom w:val="nil"/>
              <w:right w:val="nil"/>
            </w:tcBorders>
            <w:shd w:val="clear" w:color="auto" w:fill="auto"/>
            <w:noWrap/>
            <w:vAlign w:val="center"/>
            <w:hideMark/>
          </w:tcPr>
          <w:p w14:paraId="02246F54"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360" w:type="dxa"/>
            <w:tcBorders>
              <w:top w:val="nil"/>
              <w:left w:val="nil"/>
              <w:bottom w:val="nil"/>
              <w:right w:val="nil"/>
            </w:tcBorders>
            <w:shd w:val="clear" w:color="auto" w:fill="auto"/>
            <w:noWrap/>
            <w:vAlign w:val="center"/>
            <w:hideMark/>
          </w:tcPr>
          <w:p w14:paraId="4ACFA216"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5C437E" w:rsidRPr="009E2F66" w14:paraId="2BE7DD98" w14:textId="77777777" w:rsidTr="002F7131">
        <w:trPr>
          <w:trHeight w:val="195"/>
        </w:trPr>
        <w:tc>
          <w:tcPr>
            <w:tcW w:w="3080" w:type="dxa"/>
            <w:tcBorders>
              <w:top w:val="nil"/>
              <w:left w:val="nil"/>
              <w:bottom w:val="nil"/>
              <w:right w:val="nil"/>
            </w:tcBorders>
            <w:shd w:val="clear" w:color="auto" w:fill="auto"/>
            <w:noWrap/>
            <w:vAlign w:val="center"/>
            <w:hideMark/>
          </w:tcPr>
          <w:p w14:paraId="3BF48DDF"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1776" w:type="dxa"/>
            <w:gridSpan w:val="9"/>
            <w:tcBorders>
              <w:top w:val="nil"/>
              <w:left w:val="nil"/>
              <w:bottom w:val="nil"/>
              <w:right w:val="nil"/>
            </w:tcBorders>
            <w:shd w:val="clear" w:color="auto" w:fill="auto"/>
            <w:noWrap/>
            <w:vAlign w:val="center"/>
            <w:hideMark/>
          </w:tcPr>
          <w:p w14:paraId="2FF382A6"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9E2F66">
              <w:rPr>
                <w:rFonts w:ascii="STKaiti" w:eastAsia="STKaiti" w:hAnsi="STKaiti" w:hint="eastAsia"/>
                <w:color w:val="002060"/>
                <w:sz w:val="18"/>
                <w:szCs w:val="18"/>
              </w:rPr>
              <w:t>单位：千瑞郎</w:t>
            </w:r>
          </w:p>
        </w:tc>
      </w:tr>
      <w:tr w:rsidR="005C437E" w:rsidRPr="009E2F66" w14:paraId="117FC663" w14:textId="77777777" w:rsidTr="002F7131">
        <w:trPr>
          <w:trHeight w:val="345"/>
        </w:trPr>
        <w:tc>
          <w:tcPr>
            <w:tcW w:w="3080" w:type="dxa"/>
            <w:tcBorders>
              <w:top w:val="nil"/>
              <w:left w:val="nil"/>
              <w:bottom w:val="nil"/>
              <w:right w:val="nil"/>
            </w:tcBorders>
            <w:shd w:val="clear" w:color="auto" w:fill="auto"/>
            <w:noWrap/>
            <w:vAlign w:val="center"/>
            <w:hideMark/>
          </w:tcPr>
          <w:p w14:paraId="792CC80A"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p>
        </w:tc>
        <w:tc>
          <w:tcPr>
            <w:tcW w:w="1400" w:type="dxa"/>
            <w:tcBorders>
              <w:top w:val="nil"/>
              <w:left w:val="nil"/>
              <w:bottom w:val="nil"/>
              <w:right w:val="nil"/>
            </w:tcBorders>
            <w:shd w:val="clear" w:color="auto" w:fill="auto"/>
            <w:noWrap/>
            <w:vAlign w:val="center"/>
            <w:hideMark/>
          </w:tcPr>
          <w:p w14:paraId="46030DD6"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p>
        </w:tc>
        <w:tc>
          <w:tcPr>
            <w:tcW w:w="1360" w:type="dxa"/>
            <w:tcBorders>
              <w:top w:val="nil"/>
              <w:left w:val="nil"/>
              <w:bottom w:val="nil"/>
              <w:right w:val="nil"/>
            </w:tcBorders>
            <w:shd w:val="clear" w:color="auto" w:fill="auto"/>
            <w:noWrap/>
            <w:vAlign w:val="center"/>
            <w:hideMark/>
          </w:tcPr>
          <w:p w14:paraId="7E369B49"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0FF049D7"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104D7C93"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07B0C11D"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3936" w:type="dxa"/>
            <w:gridSpan w:val="3"/>
            <w:tcBorders>
              <w:top w:val="nil"/>
              <w:left w:val="nil"/>
              <w:bottom w:val="nil"/>
              <w:right w:val="nil"/>
            </w:tcBorders>
            <w:shd w:val="clear" w:color="auto" w:fill="auto"/>
            <w:noWrap/>
            <w:vAlign w:val="center"/>
            <w:hideMark/>
          </w:tcPr>
          <w:p w14:paraId="22ED215F"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r w:rsidRPr="009E2F66">
              <w:rPr>
                <w:rFonts w:ascii="STKaiti" w:eastAsia="STKaiti" w:hAnsi="STKaiti" w:hint="eastAsia"/>
                <w:b/>
                <w:bCs/>
                <w:color w:val="002060"/>
                <w:sz w:val="20"/>
              </w:rPr>
              <w:t>电信标准化局</w:t>
            </w:r>
          </w:p>
        </w:tc>
        <w:tc>
          <w:tcPr>
            <w:tcW w:w="1360" w:type="dxa"/>
            <w:tcBorders>
              <w:top w:val="nil"/>
              <w:left w:val="nil"/>
              <w:bottom w:val="nil"/>
              <w:right w:val="nil"/>
            </w:tcBorders>
            <w:shd w:val="clear" w:color="auto" w:fill="auto"/>
            <w:noWrap/>
            <w:vAlign w:val="center"/>
            <w:hideMark/>
          </w:tcPr>
          <w:p w14:paraId="7E25F6F3"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p>
        </w:tc>
      </w:tr>
      <w:tr w:rsidR="005C437E" w:rsidRPr="009E2F66" w14:paraId="54330A83" w14:textId="77777777" w:rsidTr="002F7131">
        <w:trPr>
          <w:trHeight w:val="150"/>
        </w:trPr>
        <w:tc>
          <w:tcPr>
            <w:tcW w:w="3080" w:type="dxa"/>
            <w:tcBorders>
              <w:top w:val="nil"/>
              <w:left w:val="nil"/>
              <w:bottom w:val="nil"/>
              <w:right w:val="nil"/>
            </w:tcBorders>
            <w:shd w:val="clear" w:color="auto" w:fill="auto"/>
            <w:noWrap/>
            <w:vAlign w:val="center"/>
            <w:hideMark/>
          </w:tcPr>
          <w:p w14:paraId="6DEA6C0D"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400" w:type="dxa"/>
            <w:tcBorders>
              <w:top w:val="nil"/>
              <w:left w:val="nil"/>
              <w:bottom w:val="nil"/>
              <w:right w:val="nil"/>
            </w:tcBorders>
            <w:shd w:val="clear" w:color="auto" w:fill="auto"/>
            <w:noWrap/>
            <w:vAlign w:val="center"/>
            <w:hideMark/>
          </w:tcPr>
          <w:p w14:paraId="55400F61"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center"/>
            <w:hideMark/>
          </w:tcPr>
          <w:p w14:paraId="159AE25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71EAF9BA"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5E7B3CA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38D26B5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7B6BF969"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r w:rsidRPr="009E2F66">
              <w:rPr>
                <w:rFonts w:ascii="Helv" w:eastAsia="Times New Roman" w:hAnsi="Helv"/>
                <w:noProof/>
                <w:sz w:val="20"/>
              </w:rPr>
              <mc:AlternateContent>
                <mc:Choice Requires="wps">
                  <w:drawing>
                    <wp:anchor distT="0" distB="0" distL="114300" distR="114300" simplePos="0" relativeHeight="251697152" behindDoc="0" locked="0" layoutInCell="1" allowOverlap="1" wp14:anchorId="3E0E8E94" wp14:editId="4F80974F">
                      <wp:simplePos x="0" y="0"/>
                      <wp:positionH relativeFrom="column">
                        <wp:posOffset>2479040</wp:posOffset>
                      </wp:positionH>
                      <wp:positionV relativeFrom="paragraph">
                        <wp:posOffset>-39370</wp:posOffset>
                      </wp:positionV>
                      <wp:extent cx="882650" cy="4343400"/>
                      <wp:effectExtent l="0" t="0" r="31750" b="19050"/>
                      <wp:wrapNone/>
                      <wp:docPr id="1089" name="圆角矩形 1089">
                        <a:extLst xmlns:a="http://schemas.openxmlformats.org/drawingml/2006/main">
                          <a:ext uri="{FF2B5EF4-FFF2-40B4-BE49-F238E27FC236}">
                            <a16:creationId xmlns:a16="http://schemas.microsoft.com/office/drawing/2014/main" id="{096B5594-AEAF-D44D-A3C7-7179D2901A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0" cy="434340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27DCC213" id="圆角矩形 1089" o:spid="_x0000_s1026" style="position:absolute;margin-left:195.2pt;margin-top:-3.1pt;width:69.5pt;height:34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" filled="f" strokecolor="#0070c0" strokeweight="1pt"/>
                  </w:pict>
                </mc:Fallback>
              </mc:AlternateContent>
            </w:r>
          </w:p>
        </w:tc>
        <w:tc>
          <w:tcPr>
            <w:tcW w:w="1240" w:type="dxa"/>
            <w:tcBorders>
              <w:top w:val="nil"/>
              <w:left w:val="nil"/>
              <w:bottom w:val="nil"/>
              <w:right w:val="nil"/>
            </w:tcBorders>
            <w:shd w:val="clear" w:color="auto" w:fill="auto"/>
            <w:noWrap/>
            <w:vAlign w:val="center"/>
            <w:hideMark/>
          </w:tcPr>
          <w:p w14:paraId="784C1C10"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r w:rsidRPr="00F93933">
              <w:rPr>
                <w:rFonts w:ascii="Helv" w:eastAsia="Times New Roman" w:hAnsi="Helv"/>
                <w:noProof/>
                <w:sz w:val="20"/>
              </w:rPr>
              <mc:AlternateContent>
                <mc:Choice Requires="wps">
                  <w:drawing>
                    <wp:anchor distT="0" distB="0" distL="114300" distR="114300" simplePos="0" relativeHeight="251698176" behindDoc="0" locked="0" layoutInCell="1" allowOverlap="1" wp14:anchorId="13399FD9" wp14:editId="24B5FBC2">
                      <wp:simplePos x="0" y="0"/>
                      <wp:positionH relativeFrom="column">
                        <wp:posOffset>254635</wp:posOffset>
                      </wp:positionH>
                      <wp:positionV relativeFrom="paragraph">
                        <wp:posOffset>-1139190</wp:posOffset>
                      </wp:positionV>
                      <wp:extent cx="57785" cy="2340610"/>
                      <wp:effectExtent l="1588" t="0" r="20002" b="20003"/>
                      <wp:wrapNone/>
                      <wp:docPr id="109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57785" cy="2340610"/>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76D02F7" id="AutoShape 15" o:spid="_x0000_s1026" type="#_x0000_t85" style="position:absolute;margin-left:20.05pt;margin-top:-89.7pt;width:4.55pt;height:184.3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" adj="608" strokecolor="#0070c0" strokeweight="1pt"/>
                  </w:pict>
                </mc:Fallback>
              </mc:AlternateContent>
            </w:r>
          </w:p>
        </w:tc>
        <w:tc>
          <w:tcPr>
            <w:tcW w:w="1240" w:type="dxa"/>
            <w:tcBorders>
              <w:top w:val="nil"/>
              <w:left w:val="nil"/>
              <w:bottom w:val="nil"/>
              <w:right w:val="nil"/>
            </w:tcBorders>
            <w:shd w:val="clear" w:color="auto" w:fill="auto"/>
            <w:noWrap/>
            <w:vAlign w:val="center"/>
            <w:hideMark/>
          </w:tcPr>
          <w:p w14:paraId="1ADD99CF"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center"/>
            <w:hideMark/>
          </w:tcPr>
          <w:p w14:paraId="426267C0"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9E2F66" w14:paraId="6E1B8EDB" w14:textId="77777777" w:rsidTr="002F7131">
        <w:trPr>
          <w:trHeight w:val="20"/>
        </w:trPr>
        <w:tc>
          <w:tcPr>
            <w:tcW w:w="3080" w:type="dxa"/>
            <w:tcBorders>
              <w:top w:val="nil"/>
              <w:left w:val="nil"/>
              <w:bottom w:val="nil"/>
              <w:right w:val="nil"/>
            </w:tcBorders>
            <w:shd w:val="clear" w:color="auto" w:fill="auto"/>
            <w:noWrap/>
            <w:vAlign w:val="center"/>
            <w:hideMark/>
          </w:tcPr>
          <w:p w14:paraId="452734A8"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400" w:type="dxa"/>
            <w:tcBorders>
              <w:top w:val="nil"/>
              <w:left w:val="nil"/>
              <w:bottom w:val="nil"/>
              <w:right w:val="nil"/>
            </w:tcBorders>
            <w:shd w:val="clear" w:color="auto" w:fill="auto"/>
            <w:hideMark/>
          </w:tcPr>
          <w:p w14:paraId="0C1BEE8C"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lang w:eastAsia="zh-CN"/>
              </w:rPr>
            </w:pPr>
            <w:r w:rsidRPr="009E2F66">
              <w:rPr>
                <w:rFonts w:ascii="SimSun" w:hAnsi="SimSun" w:hint="eastAsia"/>
                <w:sz w:val="18"/>
                <w:szCs w:val="18"/>
                <w:lang w:eastAsia="zh-CN"/>
              </w:rPr>
              <w:t>世界电信标准化全（</w:t>
            </w:r>
            <w:r w:rsidRPr="009E2F66">
              <w:rPr>
                <w:rFonts w:cs="Calibri"/>
                <w:sz w:val="18"/>
                <w:szCs w:val="18"/>
                <w:lang w:eastAsia="zh-CN"/>
              </w:rPr>
              <w:t>WTSA</w:t>
            </w:r>
            <w:r w:rsidRPr="009E2F66">
              <w:rPr>
                <w:rFonts w:ascii="SimSun" w:hAnsi="SimSun" w:hint="eastAsia"/>
                <w:sz w:val="18"/>
                <w:szCs w:val="18"/>
                <w:lang w:eastAsia="zh-CN"/>
              </w:rPr>
              <w:t>）</w:t>
            </w:r>
          </w:p>
        </w:tc>
        <w:tc>
          <w:tcPr>
            <w:tcW w:w="1360" w:type="dxa"/>
            <w:tcBorders>
              <w:top w:val="nil"/>
              <w:left w:val="nil"/>
              <w:bottom w:val="nil"/>
              <w:right w:val="nil"/>
            </w:tcBorders>
            <w:shd w:val="clear" w:color="auto" w:fill="auto"/>
            <w:hideMark/>
          </w:tcPr>
          <w:p w14:paraId="269B1859"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9E2F66">
              <w:rPr>
                <w:rFonts w:ascii="SimSun" w:hAnsi="SimSun" w:hint="eastAsia"/>
                <w:sz w:val="18"/>
                <w:szCs w:val="18"/>
              </w:rPr>
              <w:t>电信标准化顾问组</w:t>
            </w:r>
          </w:p>
        </w:tc>
        <w:tc>
          <w:tcPr>
            <w:tcW w:w="1240" w:type="dxa"/>
            <w:tcBorders>
              <w:top w:val="nil"/>
              <w:left w:val="nil"/>
              <w:bottom w:val="nil"/>
              <w:right w:val="nil"/>
            </w:tcBorders>
            <w:shd w:val="clear" w:color="auto" w:fill="auto"/>
            <w:hideMark/>
          </w:tcPr>
          <w:p w14:paraId="2701DD9C"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9E2F66">
              <w:rPr>
                <w:rFonts w:ascii="SimSun" w:hAnsi="SimSun" w:hint="eastAsia"/>
                <w:sz w:val="18"/>
                <w:szCs w:val="18"/>
              </w:rPr>
              <w:t>研究组会议</w:t>
            </w:r>
          </w:p>
        </w:tc>
        <w:tc>
          <w:tcPr>
            <w:tcW w:w="1240" w:type="dxa"/>
            <w:tcBorders>
              <w:top w:val="nil"/>
              <w:left w:val="nil"/>
              <w:bottom w:val="nil"/>
              <w:right w:val="nil"/>
            </w:tcBorders>
            <w:shd w:val="clear" w:color="auto" w:fill="auto"/>
            <w:hideMark/>
          </w:tcPr>
          <w:p w14:paraId="0D9F63E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9E2F66">
              <w:rPr>
                <w:rFonts w:ascii="SimSun" w:hAnsi="SimSun" w:hint="eastAsia"/>
                <w:sz w:val="18"/>
                <w:szCs w:val="18"/>
              </w:rPr>
              <w:t>活动和项目</w:t>
            </w:r>
          </w:p>
        </w:tc>
        <w:tc>
          <w:tcPr>
            <w:tcW w:w="1240" w:type="dxa"/>
            <w:tcBorders>
              <w:top w:val="nil"/>
              <w:left w:val="nil"/>
              <w:bottom w:val="nil"/>
              <w:right w:val="nil"/>
            </w:tcBorders>
            <w:shd w:val="clear" w:color="auto" w:fill="auto"/>
            <w:hideMark/>
          </w:tcPr>
          <w:p w14:paraId="36C800D7"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9E2F66">
              <w:rPr>
                <w:rFonts w:ascii="SimSun" w:hAnsi="SimSun" w:hint="eastAsia"/>
                <w:sz w:val="18"/>
                <w:szCs w:val="18"/>
              </w:rPr>
              <w:t>研讨会和讲习班</w:t>
            </w:r>
          </w:p>
        </w:tc>
        <w:tc>
          <w:tcPr>
            <w:tcW w:w="1456" w:type="dxa"/>
            <w:tcBorders>
              <w:top w:val="nil"/>
              <w:left w:val="nil"/>
              <w:bottom w:val="nil"/>
              <w:right w:val="nil"/>
            </w:tcBorders>
            <w:shd w:val="clear" w:color="auto" w:fill="auto"/>
            <w:hideMark/>
          </w:tcPr>
          <w:p w14:paraId="31D4F7DF"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9E2F66">
              <w:rPr>
                <w:rFonts w:ascii="SimSun" w:hAnsi="SimSun" w:hint="eastAsia"/>
                <w:sz w:val="18"/>
                <w:szCs w:val="18"/>
              </w:rPr>
              <w:t>共同支出</w:t>
            </w:r>
          </w:p>
        </w:tc>
        <w:tc>
          <w:tcPr>
            <w:tcW w:w="1240" w:type="dxa"/>
            <w:tcBorders>
              <w:top w:val="nil"/>
              <w:left w:val="nil"/>
              <w:bottom w:val="nil"/>
              <w:right w:val="nil"/>
            </w:tcBorders>
            <w:shd w:val="clear" w:color="auto" w:fill="auto"/>
            <w:hideMark/>
          </w:tcPr>
          <w:p w14:paraId="5235EF97"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9E2F66">
              <w:rPr>
                <w:rFonts w:ascii="SimSun" w:hAnsi="SimSun" w:hint="eastAsia"/>
                <w:sz w:val="18"/>
                <w:szCs w:val="18"/>
              </w:rPr>
              <w:t>主任办公室</w:t>
            </w:r>
          </w:p>
        </w:tc>
        <w:tc>
          <w:tcPr>
            <w:tcW w:w="1240" w:type="dxa"/>
            <w:tcBorders>
              <w:top w:val="nil"/>
              <w:left w:val="nil"/>
              <w:bottom w:val="nil"/>
              <w:right w:val="nil"/>
            </w:tcBorders>
            <w:shd w:val="clear" w:color="auto" w:fill="auto"/>
            <w:hideMark/>
          </w:tcPr>
          <w:p w14:paraId="7A355BED"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9E2F66">
              <w:rPr>
                <w:rFonts w:ascii="SimSun" w:hAnsi="SimSun" w:hint="eastAsia"/>
                <w:sz w:val="18"/>
                <w:szCs w:val="18"/>
              </w:rPr>
              <w:t>各部</w:t>
            </w:r>
          </w:p>
        </w:tc>
        <w:tc>
          <w:tcPr>
            <w:tcW w:w="1360" w:type="dxa"/>
            <w:tcBorders>
              <w:top w:val="nil"/>
              <w:left w:val="nil"/>
              <w:bottom w:val="nil"/>
              <w:right w:val="nil"/>
            </w:tcBorders>
            <w:shd w:val="clear" w:color="auto" w:fill="auto"/>
            <w:noWrap/>
            <w:vAlign w:val="center"/>
            <w:hideMark/>
          </w:tcPr>
          <w:p w14:paraId="6C149EC3" w14:textId="77777777" w:rsidR="005C437E" w:rsidRPr="000E512E"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heme="minorEastAsia" w:eastAsiaTheme="minorEastAsia" w:hAnsiTheme="minorEastAsia" w:cs="Calibri"/>
                <w:b/>
                <w:bCs/>
                <w:color w:val="002060"/>
                <w:sz w:val="20"/>
              </w:rPr>
            </w:pPr>
            <w:r w:rsidRPr="000E512E">
              <w:rPr>
                <w:rFonts w:asciiTheme="minorEastAsia" w:eastAsiaTheme="minorEastAsia" w:hAnsiTheme="minorEastAsia" w:cs="Microsoft YaHei"/>
                <w:b/>
                <w:bCs/>
                <w:color w:val="002060"/>
                <w:sz w:val="20"/>
              </w:rPr>
              <w:t>合计</w:t>
            </w:r>
          </w:p>
        </w:tc>
      </w:tr>
      <w:tr w:rsidR="005C437E" w:rsidRPr="009E2F66" w14:paraId="4B3C980C" w14:textId="77777777" w:rsidTr="002F7131">
        <w:trPr>
          <w:trHeight w:val="20"/>
        </w:trPr>
        <w:tc>
          <w:tcPr>
            <w:tcW w:w="3080" w:type="dxa"/>
            <w:tcBorders>
              <w:top w:val="nil"/>
              <w:left w:val="nil"/>
              <w:bottom w:val="single" w:sz="4" w:space="0" w:color="auto"/>
              <w:right w:val="nil"/>
            </w:tcBorders>
            <w:shd w:val="clear" w:color="auto" w:fill="auto"/>
            <w:noWrap/>
            <w:vAlign w:val="center"/>
            <w:hideMark/>
          </w:tcPr>
          <w:p w14:paraId="324456AE"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sz w:val="20"/>
              </w:rPr>
            </w:pPr>
            <w:r w:rsidRPr="009E2F66">
              <w:rPr>
                <w:rFonts w:eastAsia="Times New Roman" w:cs="Calibri"/>
                <w:b/>
                <w:bCs/>
                <w:i/>
                <w:iCs/>
                <w:sz w:val="20"/>
              </w:rPr>
              <w:t> </w:t>
            </w:r>
          </w:p>
        </w:tc>
        <w:tc>
          <w:tcPr>
            <w:tcW w:w="1400" w:type="dxa"/>
            <w:tcBorders>
              <w:top w:val="nil"/>
              <w:left w:val="single" w:sz="4" w:space="0" w:color="0070C0"/>
              <w:bottom w:val="single" w:sz="4" w:space="0" w:color="auto"/>
              <w:right w:val="nil"/>
            </w:tcBorders>
            <w:shd w:val="clear" w:color="auto" w:fill="auto"/>
            <w:vAlign w:val="center"/>
            <w:hideMark/>
          </w:tcPr>
          <w:p w14:paraId="02BE1314"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9E2F66">
              <w:rPr>
                <w:rFonts w:eastAsia="Times New Roman" w:cs="Calibri"/>
                <w:sz w:val="20"/>
              </w:rPr>
              <w:t> </w:t>
            </w:r>
          </w:p>
        </w:tc>
        <w:tc>
          <w:tcPr>
            <w:tcW w:w="1360" w:type="dxa"/>
            <w:tcBorders>
              <w:top w:val="nil"/>
              <w:left w:val="nil"/>
              <w:bottom w:val="single" w:sz="4" w:space="0" w:color="auto"/>
              <w:right w:val="nil"/>
            </w:tcBorders>
            <w:shd w:val="clear" w:color="auto" w:fill="auto"/>
            <w:noWrap/>
            <w:vAlign w:val="center"/>
            <w:hideMark/>
          </w:tcPr>
          <w:p w14:paraId="50EE8CC7"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9E2F66">
              <w:rPr>
                <w:rFonts w:eastAsia="Times New Roman" w:cs="Calibri"/>
                <w:sz w:val="20"/>
              </w:rPr>
              <w:t> </w:t>
            </w:r>
          </w:p>
        </w:tc>
        <w:tc>
          <w:tcPr>
            <w:tcW w:w="1240" w:type="dxa"/>
            <w:tcBorders>
              <w:top w:val="nil"/>
              <w:left w:val="nil"/>
              <w:bottom w:val="single" w:sz="4" w:space="0" w:color="auto"/>
              <w:right w:val="nil"/>
            </w:tcBorders>
            <w:shd w:val="clear" w:color="auto" w:fill="auto"/>
            <w:noWrap/>
            <w:vAlign w:val="center"/>
            <w:hideMark/>
          </w:tcPr>
          <w:p w14:paraId="6A9B961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9E2F66">
              <w:rPr>
                <w:rFonts w:eastAsia="Times New Roman" w:cs="Calibri"/>
                <w:sz w:val="20"/>
              </w:rPr>
              <w:t> </w:t>
            </w:r>
          </w:p>
        </w:tc>
        <w:tc>
          <w:tcPr>
            <w:tcW w:w="1240" w:type="dxa"/>
            <w:tcBorders>
              <w:top w:val="nil"/>
              <w:left w:val="nil"/>
              <w:bottom w:val="single" w:sz="4" w:space="0" w:color="auto"/>
              <w:right w:val="nil"/>
            </w:tcBorders>
            <w:shd w:val="clear" w:color="auto" w:fill="auto"/>
            <w:noWrap/>
            <w:vAlign w:val="center"/>
            <w:hideMark/>
          </w:tcPr>
          <w:p w14:paraId="6DD910F8"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9E2F66">
              <w:rPr>
                <w:rFonts w:eastAsia="Times New Roman" w:cs="Calibri"/>
                <w:sz w:val="20"/>
              </w:rPr>
              <w:t> </w:t>
            </w:r>
          </w:p>
        </w:tc>
        <w:tc>
          <w:tcPr>
            <w:tcW w:w="1240" w:type="dxa"/>
            <w:tcBorders>
              <w:top w:val="nil"/>
              <w:left w:val="nil"/>
              <w:bottom w:val="single" w:sz="4" w:space="0" w:color="auto"/>
              <w:right w:val="nil"/>
            </w:tcBorders>
            <w:shd w:val="clear" w:color="auto" w:fill="auto"/>
            <w:noWrap/>
            <w:vAlign w:val="center"/>
            <w:hideMark/>
          </w:tcPr>
          <w:p w14:paraId="3B6CF188"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9E2F66">
              <w:rPr>
                <w:rFonts w:eastAsia="Times New Roman" w:cs="Calibri"/>
                <w:sz w:val="20"/>
              </w:rPr>
              <w:t> </w:t>
            </w:r>
          </w:p>
        </w:tc>
        <w:tc>
          <w:tcPr>
            <w:tcW w:w="1456" w:type="dxa"/>
            <w:tcBorders>
              <w:top w:val="nil"/>
              <w:left w:val="nil"/>
              <w:bottom w:val="single" w:sz="4" w:space="0" w:color="auto"/>
              <w:right w:val="nil"/>
            </w:tcBorders>
            <w:shd w:val="clear" w:color="auto" w:fill="auto"/>
            <w:noWrap/>
            <w:vAlign w:val="center"/>
            <w:hideMark/>
          </w:tcPr>
          <w:p w14:paraId="5D7AB690"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9E2F66">
              <w:rPr>
                <w:rFonts w:eastAsia="Times New Roman" w:cs="Calibri"/>
                <w:sz w:val="20"/>
              </w:rPr>
              <w:t> </w:t>
            </w:r>
          </w:p>
        </w:tc>
        <w:tc>
          <w:tcPr>
            <w:tcW w:w="1240" w:type="dxa"/>
            <w:tcBorders>
              <w:top w:val="nil"/>
              <w:left w:val="nil"/>
              <w:bottom w:val="single" w:sz="4" w:space="0" w:color="auto"/>
              <w:right w:val="nil"/>
            </w:tcBorders>
            <w:shd w:val="clear" w:color="auto" w:fill="auto"/>
            <w:noWrap/>
            <w:vAlign w:val="center"/>
            <w:hideMark/>
          </w:tcPr>
          <w:p w14:paraId="47BA8914"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9E2F66">
              <w:rPr>
                <w:rFonts w:eastAsia="Times New Roman" w:cs="Calibri"/>
                <w:sz w:val="20"/>
              </w:rPr>
              <w:t> </w:t>
            </w:r>
          </w:p>
        </w:tc>
        <w:tc>
          <w:tcPr>
            <w:tcW w:w="1240" w:type="dxa"/>
            <w:tcBorders>
              <w:top w:val="nil"/>
              <w:left w:val="nil"/>
              <w:bottom w:val="single" w:sz="4" w:space="0" w:color="auto"/>
              <w:right w:val="nil"/>
            </w:tcBorders>
            <w:shd w:val="clear" w:color="auto" w:fill="auto"/>
            <w:noWrap/>
            <w:vAlign w:val="center"/>
            <w:hideMark/>
          </w:tcPr>
          <w:p w14:paraId="5A29AB24"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9E2F66">
              <w:rPr>
                <w:rFonts w:eastAsia="Times New Roman" w:cs="Calibri"/>
                <w:sz w:val="20"/>
              </w:rPr>
              <w:t> </w:t>
            </w:r>
          </w:p>
        </w:tc>
        <w:tc>
          <w:tcPr>
            <w:tcW w:w="1360" w:type="dxa"/>
            <w:tcBorders>
              <w:top w:val="nil"/>
              <w:left w:val="nil"/>
              <w:bottom w:val="single" w:sz="4" w:space="0" w:color="auto"/>
              <w:right w:val="nil"/>
            </w:tcBorders>
            <w:shd w:val="clear" w:color="auto" w:fill="auto"/>
            <w:noWrap/>
            <w:vAlign w:val="center"/>
            <w:hideMark/>
          </w:tcPr>
          <w:p w14:paraId="0B976CFB"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9E2F66">
              <w:rPr>
                <w:rFonts w:eastAsia="Times New Roman" w:cs="Calibri"/>
                <w:b/>
                <w:bCs/>
                <w:color w:val="002060"/>
                <w:sz w:val="20"/>
              </w:rPr>
              <w:t> </w:t>
            </w:r>
          </w:p>
        </w:tc>
      </w:tr>
      <w:tr w:rsidR="005C437E" w:rsidRPr="009E2F66" w14:paraId="745130AB" w14:textId="77777777" w:rsidTr="002F7131">
        <w:trPr>
          <w:trHeight w:val="20"/>
        </w:trPr>
        <w:tc>
          <w:tcPr>
            <w:tcW w:w="3080" w:type="dxa"/>
            <w:tcBorders>
              <w:top w:val="nil"/>
              <w:left w:val="nil"/>
              <w:bottom w:val="nil"/>
              <w:right w:val="nil"/>
            </w:tcBorders>
            <w:shd w:val="clear" w:color="auto" w:fill="auto"/>
            <w:noWrap/>
            <w:vAlign w:val="center"/>
            <w:hideMark/>
          </w:tcPr>
          <w:p w14:paraId="6EA1ED68"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0" w:type="dxa"/>
            <w:tcBorders>
              <w:top w:val="nil"/>
              <w:left w:val="single" w:sz="4" w:space="0" w:color="0070C0"/>
              <w:bottom w:val="nil"/>
              <w:right w:val="nil"/>
            </w:tcBorders>
            <w:shd w:val="clear" w:color="auto" w:fill="auto"/>
            <w:noWrap/>
            <w:vAlign w:val="center"/>
            <w:hideMark/>
          </w:tcPr>
          <w:p w14:paraId="551DA1F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 </w:t>
            </w:r>
          </w:p>
        </w:tc>
        <w:tc>
          <w:tcPr>
            <w:tcW w:w="1360" w:type="dxa"/>
            <w:tcBorders>
              <w:top w:val="nil"/>
              <w:left w:val="nil"/>
              <w:bottom w:val="nil"/>
              <w:right w:val="nil"/>
            </w:tcBorders>
            <w:shd w:val="clear" w:color="auto" w:fill="auto"/>
            <w:noWrap/>
            <w:vAlign w:val="center"/>
            <w:hideMark/>
          </w:tcPr>
          <w:p w14:paraId="6CDAA1CB"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center"/>
            <w:hideMark/>
          </w:tcPr>
          <w:p w14:paraId="1A7DE3A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6A926D21"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0E717C6F"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32BF61F3"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731D86E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4ECC839D"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center"/>
            <w:hideMark/>
          </w:tcPr>
          <w:p w14:paraId="16E1ED16"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9E2F66" w14:paraId="606BAACD" w14:textId="77777777" w:rsidTr="002F7131">
        <w:trPr>
          <w:trHeight w:val="20"/>
        </w:trPr>
        <w:tc>
          <w:tcPr>
            <w:tcW w:w="3080" w:type="dxa"/>
            <w:tcBorders>
              <w:top w:val="nil"/>
              <w:left w:val="nil"/>
              <w:bottom w:val="nil"/>
              <w:right w:val="nil"/>
            </w:tcBorders>
            <w:shd w:val="clear" w:color="auto" w:fill="auto"/>
            <w:noWrap/>
            <w:vAlign w:val="bottom"/>
            <w:hideMark/>
          </w:tcPr>
          <w:p w14:paraId="69C4FB7E"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9E2F66">
              <w:rPr>
                <w:rFonts w:cstheme="minorHAnsi"/>
                <w:sz w:val="20"/>
              </w:rPr>
              <w:t xml:space="preserve">1 - </w:t>
            </w:r>
            <w:r w:rsidRPr="009E2F66">
              <w:rPr>
                <w:rFonts w:cstheme="minorHAnsi"/>
                <w:sz w:val="20"/>
              </w:rPr>
              <w:t>人员费用</w:t>
            </w:r>
          </w:p>
        </w:tc>
        <w:tc>
          <w:tcPr>
            <w:tcW w:w="1400" w:type="dxa"/>
            <w:tcBorders>
              <w:top w:val="nil"/>
              <w:left w:val="single" w:sz="4" w:space="0" w:color="0070C0"/>
              <w:bottom w:val="nil"/>
              <w:right w:val="nil"/>
            </w:tcBorders>
            <w:shd w:val="clear" w:color="auto" w:fill="auto"/>
            <w:noWrap/>
            <w:vAlign w:val="bottom"/>
            <w:hideMark/>
          </w:tcPr>
          <w:p w14:paraId="44F0F5DA"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472</w:t>
            </w:r>
          </w:p>
        </w:tc>
        <w:tc>
          <w:tcPr>
            <w:tcW w:w="1360" w:type="dxa"/>
            <w:tcBorders>
              <w:top w:val="nil"/>
              <w:left w:val="nil"/>
              <w:bottom w:val="nil"/>
              <w:right w:val="nil"/>
            </w:tcBorders>
            <w:shd w:val="clear" w:color="auto" w:fill="auto"/>
            <w:noWrap/>
            <w:vAlign w:val="bottom"/>
            <w:hideMark/>
          </w:tcPr>
          <w:p w14:paraId="6B14874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63</w:t>
            </w:r>
          </w:p>
        </w:tc>
        <w:tc>
          <w:tcPr>
            <w:tcW w:w="1240" w:type="dxa"/>
            <w:tcBorders>
              <w:top w:val="nil"/>
              <w:left w:val="nil"/>
              <w:bottom w:val="nil"/>
              <w:right w:val="nil"/>
            </w:tcBorders>
            <w:shd w:val="clear" w:color="auto" w:fill="auto"/>
            <w:noWrap/>
            <w:vAlign w:val="bottom"/>
            <w:hideMark/>
          </w:tcPr>
          <w:p w14:paraId="0D97B6BF"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597</w:t>
            </w:r>
          </w:p>
        </w:tc>
        <w:tc>
          <w:tcPr>
            <w:tcW w:w="1240" w:type="dxa"/>
            <w:tcBorders>
              <w:top w:val="nil"/>
              <w:left w:val="nil"/>
              <w:bottom w:val="nil"/>
              <w:right w:val="nil"/>
            </w:tcBorders>
            <w:shd w:val="clear" w:color="auto" w:fill="auto"/>
            <w:noWrap/>
            <w:vAlign w:val="bottom"/>
            <w:hideMark/>
          </w:tcPr>
          <w:p w14:paraId="104A7729"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13CA1519"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20</w:t>
            </w:r>
          </w:p>
        </w:tc>
        <w:tc>
          <w:tcPr>
            <w:tcW w:w="1456" w:type="dxa"/>
            <w:tcBorders>
              <w:top w:val="nil"/>
              <w:left w:val="nil"/>
              <w:bottom w:val="nil"/>
              <w:right w:val="nil"/>
            </w:tcBorders>
            <w:shd w:val="clear" w:color="auto" w:fill="auto"/>
            <w:noWrap/>
            <w:vAlign w:val="bottom"/>
            <w:hideMark/>
          </w:tcPr>
          <w:p w14:paraId="4A98123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46FF68F3"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824</w:t>
            </w:r>
          </w:p>
        </w:tc>
        <w:tc>
          <w:tcPr>
            <w:tcW w:w="1240" w:type="dxa"/>
            <w:tcBorders>
              <w:top w:val="nil"/>
              <w:left w:val="nil"/>
              <w:bottom w:val="nil"/>
              <w:right w:val="nil"/>
            </w:tcBorders>
            <w:shd w:val="clear" w:color="auto" w:fill="auto"/>
            <w:noWrap/>
            <w:vAlign w:val="bottom"/>
            <w:hideMark/>
          </w:tcPr>
          <w:p w14:paraId="4F6A091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7,742</w:t>
            </w:r>
          </w:p>
        </w:tc>
        <w:tc>
          <w:tcPr>
            <w:tcW w:w="1360" w:type="dxa"/>
            <w:tcBorders>
              <w:top w:val="nil"/>
              <w:left w:val="nil"/>
              <w:bottom w:val="nil"/>
              <w:right w:val="nil"/>
            </w:tcBorders>
            <w:shd w:val="clear" w:color="auto" w:fill="auto"/>
            <w:noWrap/>
            <w:vAlign w:val="bottom"/>
            <w:hideMark/>
          </w:tcPr>
          <w:p w14:paraId="31ECB1BF"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9E2F66">
              <w:rPr>
                <w:rFonts w:eastAsia="Times New Roman" w:cs="Calibri"/>
                <w:color w:val="002060"/>
                <w:sz w:val="20"/>
              </w:rPr>
              <w:t>9,718</w:t>
            </w:r>
          </w:p>
        </w:tc>
      </w:tr>
      <w:tr w:rsidR="005C437E" w:rsidRPr="009E2F66" w14:paraId="740EBF75" w14:textId="77777777" w:rsidTr="002F7131">
        <w:trPr>
          <w:trHeight w:val="20"/>
        </w:trPr>
        <w:tc>
          <w:tcPr>
            <w:tcW w:w="3080" w:type="dxa"/>
            <w:tcBorders>
              <w:top w:val="nil"/>
              <w:left w:val="nil"/>
              <w:bottom w:val="nil"/>
              <w:right w:val="nil"/>
            </w:tcBorders>
            <w:shd w:val="clear" w:color="auto" w:fill="auto"/>
            <w:noWrap/>
            <w:vAlign w:val="bottom"/>
            <w:hideMark/>
          </w:tcPr>
          <w:p w14:paraId="1D846014"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0" w:type="dxa"/>
            <w:tcBorders>
              <w:top w:val="nil"/>
              <w:left w:val="single" w:sz="4" w:space="0" w:color="0070C0"/>
              <w:bottom w:val="nil"/>
              <w:right w:val="nil"/>
            </w:tcBorders>
            <w:shd w:val="clear" w:color="auto" w:fill="auto"/>
            <w:noWrap/>
            <w:vAlign w:val="bottom"/>
            <w:hideMark/>
          </w:tcPr>
          <w:p w14:paraId="7A669E6D"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 </w:t>
            </w:r>
          </w:p>
        </w:tc>
        <w:tc>
          <w:tcPr>
            <w:tcW w:w="1360" w:type="dxa"/>
            <w:tcBorders>
              <w:top w:val="nil"/>
              <w:left w:val="nil"/>
              <w:bottom w:val="nil"/>
              <w:right w:val="nil"/>
            </w:tcBorders>
            <w:shd w:val="clear" w:color="auto" w:fill="auto"/>
            <w:noWrap/>
            <w:vAlign w:val="bottom"/>
            <w:hideMark/>
          </w:tcPr>
          <w:p w14:paraId="4DD8C08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0F5E9126"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39F328AF"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406C9F29"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2222BCB7"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29AE83A3"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26FCBED0"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4930E6B0"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9E2F66" w14:paraId="55CFCEFB" w14:textId="77777777" w:rsidTr="002F7131">
        <w:trPr>
          <w:trHeight w:val="20"/>
        </w:trPr>
        <w:tc>
          <w:tcPr>
            <w:tcW w:w="3080" w:type="dxa"/>
            <w:tcBorders>
              <w:top w:val="nil"/>
              <w:left w:val="nil"/>
              <w:bottom w:val="nil"/>
              <w:right w:val="nil"/>
            </w:tcBorders>
            <w:shd w:val="clear" w:color="auto" w:fill="auto"/>
            <w:noWrap/>
            <w:vAlign w:val="bottom"/>
            <w:hideMark/>
          </w:tcPr>
          <w:p w14:paraId="74D3DD51"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9E2F66">
              <w:rPr>
                <w:rFonts w:cstheme="minorHAnsi"/>
                <w:sz w:val="20"/>
              </w:rPr>
              <w:t xml:space="preserve">2 - </w:t>
            </w:r>
            <w:r w:rsidRPr="009E2F66">
              <w:rPr>
                <w:rFonts w:cstheme="minorHAnsi"/>
                <w:sz w:val="20"/>
              </w:rPr>
              <w:t>其他人员费用</w:t>
            </w:r>
          </w:p>
        </w:tc>
        <w:tc>
          <w:tcPr>
            <w:tcW w:w="1400" w:type="dxa"/>
            <w:tcBorders>
              <w:top w:val="nil"/>
              <w:left w:val="single" w:sz="4" w:space="0" w:color="0070C0"/>
              <w:bottom w:val="nil"/>
              <w:right w:val="nil"/>
            </w:tcBorders>
            <w:shd w:val="clear" w:color="auto" w:fill="auto"/>
            <w:noWrap/>
            <w:vAlign w:val="bottom"/>
            <w:hideMark/>
          </w:tcPr>
          <w:p w14:paraId="7EDE6954"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8</w:t>
            </w:r>
          </w:p>
        </w:tc>
        <w:tc>
          <w:tcPr>
            <w:tcW w:w="1360" w:type="dxa"/>
            <w:tcBorders>
              <w:top w:val="nil"/>
              <w:left w:val="nil"/>
              <w:bottom w:val="nil"/>
              <w:right w:val="nil"/>
            </w:tcBorders>
            <w:shd w:val="clear" w:color="auto" w:fill="auto"/>
            <w:noWrap/>
            <w:vAlign w:val="bottom"/>
            <w:hideMark/>
          </w:tcPr>
          <w:p w14:paraId="357BB3ED"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4</w:t>
            </w:r>
          </w:p>
        </w:tc>
        <w:tc>
          <w:tcPr>
            <w:tcW w:w="1240" w:type="dxa"/>
            <w:tcBorders>
              <w:top w:val="nil"/>
              <w:left w:val="nil"/>
              <w:bottom w:val="nil"/>
              <w:right w:val="nil"/>
            </w:tcBorders>
            <w:shd w:val="clear" w:color="auto" w:fill="auto"/>
            <w:noWrap/>
            <w:vAlign w:val="bottom"/>
            <w:hideMark/>
          </w:tcPr>
          <w:p w14:paraId="65B2610A"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13</w:t>
            </w:r>
          </w:p>
        </w:tc>
        <w:tc>
          <w:tcPr>
            <w:tcW w:w="1240" w:type="dxa"/>
            <w:tcBorders>
              <w:top w:val="nil"/>
              <w:left w:val="nil"/>
              <w:bottom w:val="nil"/>
              <w:right w:val="nil"/>
            </w:tcBorders>
            <w:shd w:val="clear" w:color="auto" w:fill="auto"/>
            <w:noWrap/>
            <w:vAlign w:val="bottom"/>
            <w:hideMark/>
          </w:tcPr>
          <w:p w14:paraId="0741A397"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7C2D7AF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77D469B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2AE98773"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248</w:t>
            </w:r>
          </w:p>
        </w:tc>
        <w:tc>
          <w:tcPr>
            <w:tcW w:w="1240" w:type="dxa"/>
            <w:tcBorders>
              <w:top w:val="nil"/>
              <w:left w:val="nil"/>
              <w:bottom w:val="nil"/>
              <w:right w:val="nil"/>
            </w:tcBorders>
            <w:shd w:val="clear" w:color="auto" w:fill="auto"/>
            <w:noWrap/>
            <w:vAlign w:val="bottom"/>
            <w:hideMark/>
          </w:tcPr>
          <w:p w14:paraId="5BFE1021"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2,270</w:t>
            </w:r>
          </w:p>
        </w:tc>
        <w:tc>
          <w:tcPr>
            <w:tcW w:w="1360" w:type="dxa"/>
            <w:tcBorders>
              <w:top w:val="nil"/>
              <w:left w:val="nil"/>
              <w:bottom w:val="nil"/>
              <w:right w:val="nil"/>
            </w:tcBorders>
            <w:shd w:val="clear" w:color="auto" w:fill="auto"/>
            <w:noWrap/>
            <w:vAlign w:val="bottom"/>
            <w:hideMark/>
          </w:tcPr>
          <w:p w14:paraId="3CBDBB86"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9E2F66">
              <w:rPr>
                <w:rFonts w:eastAsia="Times New Roman" w:cs="Calibri"/>
                <w:color w:val="002060"/>
                <w:sz w:val="20"/>
              </w:rPr>
              <w:t>2,543</w:t>
            </w:r>
          </w:p>
        </w:tc>
      </w:tr>
      <w:tr w:rsidR="005C437E" w:rsidRPr="009E2F66" w14:paraId="1773581D" w14:textId="77777777" w:rsidTr="002F7131">
        <w:trPr>
          <w:trHeight w:val="20"/>
        </w:trPr>
        <w:tc>
          <w:tcPr>
            <w:tcW w:w="3080" w:type="dxa"/>
            <w:tcBorders>
              <w:top w:val="nil"/>
              <w:left w:val="nil"/>
              <w:bottom w:val="nil"/>
              <w:right w:val="nil"/>
            </w:tcBorders>
            <w:shd w:val="clear" w:color="auto" w:fill="auto"/>
            <w:noWrap/>
            <w:vAlign w:val="bottom"/>
            <w:hideMark/>
          </w:tcPr>
          <w:p w14:paraId="20446214"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0" w:type="dxa"/>
            <w:tcBorders>
              <w:top w:val="nil"/>
              <w:left w:val="single" w:sz="4" w:space="0" w:color="0070C0"/>
              <w:bottom w:val="nil"/>
              <w:right w:val="nil"/>
            </w:tcBorders>
            <w:shd w:val="clear" w:color="auto" w:fill="auto"/>
            <w:noWrap/>
            <w:vAlign w:val="bottom"/>
            <w:hideMark/>
          </w:tcPr>
          <w:p w14:paraId="7A736C8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 </w:t>
            </w:r>
          </w:p>
        </w:tc>
        <w:tc>
          <w:tcPr>
            <w:tcW w:w="1360" w:type="dxa"/>
            <w:tcBorders>
              <w:top w:val="nil"/>
              <w:left w:val="nil"/>
              <w:bottom w:val="nil"/>
              <w:right w:val="nil"/>
            </w:tcBorders>
            <w:shd w:val="clear" w:color="auto" w:fill="auto"/>
            <w:noWrap/>
            <w:vAlign w:val="bottom"/>
            <w:hideMark/>
          </w:tcPr>
          <w:p w14:paraId="3916AFDD"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366575D8"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6D66C106"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1A07F00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3D90F9B7"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7DC8B6E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181D7218"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3CAEC2C8"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9E2F66" w14:paraId="417F5AE2" w14:textId="77777777" w:rsidTr="002F7131">
        <w:trPr>
          <w:trHeight w:val="20"/>
        </w:trPr>
        <w:tc>
          <w:tcPr>
            <w:tcW w:w="3080" w:type="dxa"/>
            <w:tcBorders>
              <w:top w:val="nil"/>
              <w:left w:val="nil"/>
              <w:bottom w:val="nil"/>
              <w:right w:val="nil"/>
            </w:tcBorders>
            <w:shd w:val="clear" w:color="auto" w:fill="auto"/>
            <w:noWrap/>
            <w:vAlign w:val="bottom"/>
            <w:hideMark/>
          </w:tcPr>
          <w:p w14:paraId="3F0801C3"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9E2F66">
              <w:rPr>
                <w:rFonts w:cstheme="minorHAnsi"/>
                <w:sz w:val="20"/>
              </w:rPr>
              <w:t xml:space="preserve">3 - </w:t>
            </w:r>
            <w:r w:rsidRPr="009E2F66">
              <w:rPr>
                <w:rFonts w:cstheme="minorHAnsi"/>
                <w:sz w:val="20"/>
              </w:rPr>
              <w:t>公务差旅</w:t>
            </w:r>
          </w:p>
        </w:tc>
        <w:tc>
          <w:tcPr>
            <w:tcW w:w="1400" w:type="dxa"/>
            <w:tcBorders>
              <w:top w:val="nil"/>
              <w:left w:val="single" w:sz="4" w:space="0" w:color="0070C0"/>
              <w:bottom w:val="nil"/>
              <w:right w:val="nil"/>
            </w:tcBorders>
            <w:shd w:val="clear" w:color="auto" w:fill="auto"/>
            <w:noWrap/>
            <w:vAlign w:val="bottom"/>
            <w:hideMark/>
          </w:tcPr>
          <w:p w14:paraId="31387CA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120</w:t>
            </w:r>
          </w:p>
        </w:tc>
        <w:tc>
          <w:tcPr>
            <w:tcW w:w="1360" w:type="dxa"/>
            <w:tcBorders>
              <w:top w:val="nil"/>
              <w:left w:val="nil"/>
              <w:bottom w:val="nil"/>
              <w:right w:val="nil"/>
            </w:tcBorders>
            <w:shd w:val="clear" w:color="auto" w:fill="auto"/>
            <w:noWrap/>
            <w:vAlign w:val="bottom"/>
            <w:hideMark/>
          </w:tcPr>
          <w:p w14:paraId="5F12818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20</w:t>
            </w:r>
          </w:p>
        </w:tc>
        <w:tc>
          <w:tcPr>
            <w:tcW w:w="1240" w:type="dxa"/>
            <w:tcBorders>
              <w:top w:val="nil"/>
              <w:left w:val="nil"/>
              <w:bottom w:val="nil"/>
              <w:right w:val="nil"/>
            </w:tcBorders>
            <w:shd w:val="clear" w:color="auto" w:fill="auto"/>
            <w:noWrap/>
            <w:vAlign w:val="bottom"/>
            <w:hideMark/>
          </w:tcPr>
          <w:p w14:paraId="63FF4193"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470</w:t>
            </w:r>
          </w:p>
        </w:tc>
        <w:tc>
          <w:tcPr>
            <w:tcW w:w="1240" w:type="dxa"/>
            <w:tcBorders>
              <w:top w:val="nil"/>
              <w:left w:val="nil"/>
              <w:bottom w:val="nil"/>
              <w:right w:val="nil"/>
            </w:tcBorders>
            <w:shd w:val="clear" w:color="auto" w:fill="auto"/>
            <w:noWrap/>
            <w:vAlign w:val="bottom"/>
            <w:hideMark/>
          </w:tcPr>
          <w:p w14:paraId="52838D14"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1BC80897"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180</w:t>
            </w:r>
          </w:p>
        </w:tc>
        <w:tc>
          <w:tcPr>
            <w:tcW w:w="1456" w:type="dxa"/>
            <w:tcBorders>
              <w:top w:val="nil"/>
              <w:left w:val="nil"/>
              <w:bottom w:val="nil"/>
              <w:right w:val="nil"/>
            </w:tcBorders>
            <w:shd w:val="clear" w:color="auto" w:fill="auto"/>
            <w:noWrap/>
            <w:vAlign w:val="bottom"/>
            <w:hideMark/>
          </w:tcPr>
          <w:p w14:paraId="63FE57E7"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2F7F2AF6"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50</w:t>
            </w:r>
          </w:p>
        </w:tc>
        <w:tc>
          <w:tcPr>
            <w:tcW w:w="1240" w:type="dxa"/>
            <w:tcBorders>
              <w:top w:val="nil"/>
              <w:left w:val="nil"/>
              <w:bottom w:val="nil"/>
              <w:right w:val="nil"/>
            </w:tcBorders>
            <w:shd w:val="clear" w:color="auto" w:fill="auto"/>
            <w:noWrap/>
            <w:vAlign w:val="bottom"/>
            <w:hideMark/>
          </w:tcPr>
          <w:p w14:paraId="3C9FE460"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60</w:t>
            </w:r>
          </w:p>
        </w:tc>
        <w:tc>
          <w:tcPr>
            <w:tcW w:w="1360" w:type="dxa"/>
            <w:tcBorders>
              <w:top w:val="nil"/>
              <w:left w:val="nil"/>
              <w:bottom w:val="nil"/>
              <w:right w:val="nil"/>
            </w:tcBorders>
            <w:shd w:val="clear" w:color="auto" w:fill="auto"/>
            <w:noWrap/>
            <w:vAlign w:val="bottom"/>
            <w:hideMark/>
          </w:tcPr>
          <w:p w14:paraId="5D091BE0"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9E2F66">
              <w:rPr>
                <w:rFonts w:eastAsia="Times New Roman" w:cs="Calibri"/>
                <w:color w:val="002060"/>
                <w:sz w:val="20"/>
              </w:rPr>
              <w:t>900</w:t>
            </w:r>
          </w:p>
        </w:tc>
      </w:tr>
      <w:tr w:rsidR="005C437E" w:rsidRPr="009E2F66" w14:paraId="7895A3D3" w14:textId="77777777" w:rsidTr="002F7131">
        <w:trPr>
          <w:trHeight w:val="20"/>
        </w:trPr>
        <w:tc>
          <w:tcPr>
            <w:tcW w:w="3080" w:type="dxa"/>
            <w:tcBorders>
              <w:top w:val="nil"/>
              <w:left w:val="nil"/>
              <w:bottom w:val="nil"/>
              <w:right w:val="nil"/>
            </w:tcBorders>
            <w:shd w:val="clear" w:color="auto" w:fill="auto"/>
            <w:noWrap/>
            <w:vAlign w:val="bottom"/>
            <w:hideMark/>
          </w:tcPr>
          <w:p w14:paraId="4DCE6944"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0" w:type="dxa"/>
            <w:tcBorders>
              <w:top w:val="nil"/>
              <w:left w:val="single" w:sz="4" w:space="0" w:color="0070C0"/>
              <w:bottom w:val="nil"/>
              <w:right w:val="nil"/>
            </w:tcBorders>
            <w:shd w:val="clear" w:color="auto" w:fill="auto"/>
            <w:noWrap/>
            <w:vAlign w:val="bottom"/>
            <w:hideMark/>
          </w:tcPr>
          <w:p w14:paraId="02A93564"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 </w:t>
            </w:r>
          </w:p>
        </w:tc>
        <w:tc>
          <w:tcPr>
            <w:tcW w:w="1360" w:type="dxa"/>
            <w:tcBorders>
              <w:top w:val="nil"/>
              <w:left w:val="nil"/>
              <w:bottom w:val="nil"/>
              <w:right w:val="nil"/>
            </w:tcBorders>
            <w:shd w:val="clear" w:color="auto" w:fill="auto"/>
            <w:noWrap/>
            <w:vAlign w:val="bottom"/>
            <w:hideMark/>
          </w:tcPr>
          <w:p w14:paraId="3071EF1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1DEDC37D"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4571482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25E9234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7BFA6BD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5107571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21A5EF3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75D7F317"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9E2F66" w14:paraId="326B6351" w14:textId="77777777" w:rsidTr="002F7131">
        <w:trPr>
          <w:trHeight w:val="20"/>
        </w:trPr>
        <w:tc>
          <w:tcPr>
            <w:tcW w:w="3080" w:type="dxa"/>
            <w:tcBorders>
              <w:top w:val="nil"/>
              <w:left w:val="nil"/>
              <w:bottom w:val="nil"/>
              <w:right w:val="nil"/>
            </w:tcBorders>
            <w:shd w:val="clear" w:color="auto" w:fill="auto"/>
            <w:noWrap/>
            <w:vAlign w:val="bottom"/>
            <w:hideMark/>
          </w:tcPr>
          <w:p w14:paraId="1FBADA34"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9E2F66">
              <w:rPr>
                <w:rFonts w:cstheme="minorHAnsi"/>
                <w:sz w:val="20"/>
              </w:rPr>
              <w:t xml:space="preserve">4 - </w:t>
            </w:r>
            <w:r w:rsidRPr="009E2F66">
              <w:rPr>
                <w:rFonts w:cstheme="minorHAnsi"/>
                <w:sz w:val="20"/>
              </w:rPr>
              <w:t>合同服务</w:t>
            </w:r>
          </w:p>
        </w:tc>
        <w:tc>
          <w:tcPr>
            <w:tcW w:w="1400" w:type="dxa"/>
            <w:tcBorders>
              <w:top w:val="nil"/>
              <w:left w:val="single" w:sz="4" w:space="0" w:color="0070C0"/>
              <w:bottom w:val="nil"/>
              <w:right w:val="nil"/>
            </w:tcBorders>
            <w:shd w:val="clear" w:color="auto" w:fill="auto"/>
            <w:noWrap/>
            <w:vAlign w:val="bottom"/>
            <w:hideMark/>
          </w:tcPr>
          <w:p w14:paraId="5E51BCC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50</w:t>
            </w:r>
          </w:p>
        </w:tc>
        <w:tc>
          <w:tcPr>
            <w:tcW w:w="1360" w:type="dxa"/>
            <w:tcBorders>
              <w:top w:val="nil"/>
              <w:left w:val="nil"/>
              <w:bottom w:val="nil"/>
              <w:right w:val="nil"/>
            </w:tcBorders>
            <w:shd w:val="clear" w:color="auto" w:fill="auto"/>
            <w:noWrap/>
            <w:vAlign w:val="bottom"/>
            <w:hideMark/>
          </w:tcPr>
          <w:p w14:paraId="00C5025B"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4</w:t>
            </w:r>
          </w:p>
        </w:tc>
        <w:tc>
          <w:tcPr>
            <w:tcW w:w="1240" w:type="dxa"/>
            <w:tcBorders>
              <w:top w:val="nil"/>
              <w:left w:val="nil"/>
              <w:bottom w:val="nil"/>
              <w:right w:val="nil"/>
            </w:tcBorders>
            <w:shd w:val="clear" w:color="auto" w:fill="auto"/>
            <w:noWrap/>
            <w:vAlign w:val="bottom"/>
            <w:hideMark/>
          </w:tcPr>
          <w:p w14:paraId="20F81688"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90</w:t>
            </w:r>
          </w:p>
        </w:tc>
        <w:tc>
          <w:tcPr>
            <w:tcW w:w="1240" w:type="dxa"/>
            <w:tcBorders>
              <w:top w:val="nil"/>
              <w:left w:val="nil"/>
              <w:bottom w:val="nil"/>
              <w:right w:val="nil"/>
            </w:tcBorders>
            <w:shd w:val="clear" w:color="auto" w:fill="auto"/>
            <w:noWrap/>
            <w:vAlign w:val="bottom"/>
            <w:hideMark/>
          </w:tcPr>
          <w:p w14:paraId="68851F18"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200</w:t>
            </w:r>
          </w:p>
        </w:tc>
        <w:tc>
          <w:tcPr>
            <w:tcW w:w="1240" w:type="dxa"/>
            <w:tcBorders>
              <w:top w:val="nil"/>
              <w:left w:val="nil"/>
              <w:bottom w:val="nil"/>
              <w:right w:val="nil"/>
            </w:tcBorders>
            <w:shd w:val="clear" w:color="auto" w:fill="auto"/>
            <w:noWrap/>
            <w:vAlign w:val="bottom"/>
            <w:hideMark/>
          </w:tcPr>
          <w:p w14:paraId="5606D03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40</w:t>
            </w:r>
          </w:p>
        </w:tc>
        <w:tc>
          <w:tcPr>
            <w:tcW w:w="1456" w:type="dxa"/>
            <w:tcBorders>
              <w:top w:val="nil"/>
              <w:left w:val="nil"/>
              <w:bottom w:val="nil"/>
              <w:right w:val="nil"/>
            </w:tcBorders>
            <w:shd w:val="clear" w:color="auto" w:fill="auto"/>
            <w:noWrap/>
            <w:vAlign w:val="bottom"/>
            <w:hideMark/>
          </w:tcPr>
          <w:p w14:paraId="5E6DE2AF"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140</w:t>
            </w:r>
          </w:p>
        </w:tc>
        <w:tc>
          <w:tcPr>
            <w:tcW w:w="1240" w:type="dxa"/>
            <w:tcBorders>
              <w:top w:val="nil"/>
              <w:left w:val="nil"/>
              <w:bottom w:val="nil"/>
              <w:right w:val="nil"/>
            </w:tcBorders>
            <w:shd w:val="clear" w:color="auto" w:fill="auto"/>
            <w:noWrap/>
            <w:vAlign w:val="bottom"/>
            <w:hideMark/>
          </w:tcPr>
          <w:p w14:paraId="389E2938"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10</w:t>
            </w:r>
          </w:p>
        </w:tc>
        <w:tc>
          <w:tcPr>
            <w:tcW w:w="1240" w:type="dxa"/>
            <w:tcBorders>
              <w:top w:val="nil"/>
              <w:left w:val="nil"/>
              <w:bottom w:val="nil"/>
              <w:right w:val="nil"/>
            </w:tcBorders>
            <w:shd w:val="clear" w:color="auto" w:fill="auto"/>
            <w:noWrap/>
            <w:vAlign w:val="bottom"/>
            <w:hideMark/>
          </w:tcPr>
          <w:p w14:paraId="26A0146C"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30</w:t>
            </w:r>
          </w:p>
        </w:tc>
        <w:tc>
          <w:tcPr>
            <w:tcW w:w="1360" w:type="dxa"/>
            <w:tcBorders>
              <w:top w:val="nil"/>
              <w:left w:val="nil"/>
              <w:bottom w:val="nil"/>
              <w:right w:val="nil"/>
            </w:tcBorders>
            <w:shd w:val="clear" w:color="auto" w:fill="auto"/>
            <w:noWrap/>
            <w:vAlign w:val="bottom"/>
            <w:hideMark/>
          </w:tcPr>
          <w:p w14:paraId="663C4D39"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9E2F66">
              <w:rPr>
                <w:rFonts w:eastAsia="Times New Roman" w:cs="Calibri"/>
                <w:color w:val="002060"/>
                <w:sz w:val="20"/>
              </w:rPr>
              <w:t>564</w:t>
            </w:r>
          </w:p>
        </w:tc>
      </w:tr>
      <w:tr w:rsidR="005C437E" w:rsidRPr="009E2F66" w14:paraId="0B85AE74" w14:textId="77777777" w:rsidTr="002F7131">
        <w:trPr>
          <w:trHeight w:val="20"/>
        </w:trPr>
        <w:tc>
          <w:tcPr>
            <w:tcW w:w="3080" w:type="dxa"/>
            <w:tcBorders>
              <w:top w:val="nil"/>
              <w:left w:val="nil"/>
              <w:bottom w:val="nil"/>
              <w:right w:val="nil"/>
            </w:tcBorders>
            <w:shd w:val="clear" w:color="auto" w:fill="auto"/>
            <w:noWrap/>
            <w:vAlign w:val="bottom"/>
            <w:hideMark/>
          </w:tcPr>
          <w:p w14:paraId="5CCDEB9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0" w:type="dxa"/>
            <w:tcBorders>
              <w:top w:val="nil"/>
              <w:left w:val="single" w:sz="4" w:space="0" w:color="0070C0"/>
              <w:bottom w:val="nil"/>
              <w:right w:val="nil"/>
            </w:tcBorders>
            <w:shd w:val="clear" w:color="auto" w:fill="auto"/>
            <w:noWrap/>
            <w:vAlign w:val="bottom"/>
            <w:hideMark/>
          </w:tcPr>
          <w:p w14:paraId="62D33560"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 </w:t>
            </w:r>
          </w:p>
        </w:tc>
        <w:tc>
          <w:tcPr>
            <w:tcW w:w="1360" w:type="dxa"/>
            <w:tcBorders>
              <w:top w:val="nil"/>
              <w:left w:val="nil"/>
              <w:bottom w:val="nil"/>
              <w:right w:val="nil"/>
            </w:tcBorders>
            <w:shd w:val="clear" w:color="auto" w:fill="auto"/>
            <w:noWrap/>
            <w:vAlign w:val="bottom"/>
            <w:hideMark/>
          </w:tcPr>
          <w:p w14:paraId="5BB38EF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127FC969"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4B5E7F69"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034AB6D1"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645410F8"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081BD7E9"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2F36B9A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617CCB07"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9E2F66" w14:paraId="20398929" w14:textId="77777777" w:rsidTr="002F7131">
        <w:trPr>
          <w:trHeight w:val="20"/>
        </w:trPr>
        <w:tc>
          <w:tcPr>
            <w:tcW w:w="3080" w:type="dxa"/>
            <w:tcBorders>
              <w:top w:val="nil"/>
              <w:left w:val="nil"/>
              <w:bottom w:val="nil"/>
              <w:right w:val="nil"/>
            </w:tcBorders>
            <w:shd w:val="clear" w:color="auto" w:fill="auto"/>
            <w:vAlign w:val="bottom"/>
            <w:hideMark/>
          </w:tcPr>
          <w:p w14:paraId="228242A1"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9E2F66">
              <w:rPr>
                <w:rFonts w:cstheme="minorHAnsi"/>
                <w:sz w:val="20"/>
                <w:lang w:eastAsia="zh-CN"/>
              </w:rPr>
              <w:t xml:space="preserve">5 - </w:t>
            </w:r>
            <w:r w:rsidRPr="009E2F66">
              <w:rPr>
                <w:rFonts w:cstheme="minorHAnsi"/>
                <w:sz w:val="20"/>
                <w:lang w:eastAsia="zh-CN"/>
              </w:rPr>
              <w:t>房屋设施和设备的租用与维护</w:t>
            </w:r>
          </w:p>
        </w:tc>
        <w:tc>
          <w:tcPr>
            <w:tcW w:w="1400" w:type="dxa"/>
            <w:tcBorders>
              <w:top w:val="nil"/>
              <w:left w:val="single" w:sz="4" w:space="0" w:color="0070C0"/>
              <w:bottom w:val="nil"/>
              <w:right w:val="nil"/>
            </w:tcBorders>
            <w:shd w:val="clear" w:color="auto" w:fill="auto"/>
            <w:noWrap/>
            <w:vAlign w:val="bottom"/>
            <w:hideMark/>
          </w:tcPr>
          <w:p w14:paraId="7A42CD96"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30</w:t>
            </w:r>
          </w:p>
        </w:tc>
        <w:tc>
          <w:tcPr>
            <w:tcW w:w="1360" w:type="dxa"/>
            <w:tcBorders>
              <w:top w:val="nil"/>
              <w:left w:val="nil"/>
              <w:bottom w:val="nil"/>
              <w:right w:val="nil"/>
            </w:tcBorders>
            <w:shd w:val="clear" w:color="auto" w:fill="auto"/>
            <w:noWrap/>
            <w:vAlign w:val="bottom"/>
            <w:hideMark/>
          </w:tcPr>
          <w:p w14:paraId="6FD5EF0C"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7D408D6D"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10</w:t>
            </w:r>
          </w:p>
        </w:tc>
        <w:tc>
          <w:tcPr>
            <w:tcW w:w="1240" w:type="dxa"/>
            <w:tcBorders>
              <w:top w:val="nil"/>
              <w:left w:val="nil"/>
              <w:bottom w:val="nil"/>
              <w:right w:val="nil"/>
            </w:tcBorders>
            <w:shd w:val="clear" w:color="auto" w:fill="auto"/>
            <w:noWrap/>
            <w:vAlign w:val="bottom"/>
            <w:hideMark/>
          </w:tcPr>
          <w:p w14:paraId="307E885B"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0141EB58"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10</w:t>
            </w:r>
          </w:p>
        </w:tc>
        <w:tc>
          <w:tcPr>
            <w:tcW w:w="1456" w:type="dxa"/>
            <w:tcBorders>
              <w:top w:val="nil"/>
              <w:left w:val="nil"/>
              <w:bottom w:val="nil"/>
              <w:right w:val="nil"/>
            </w:tcBorders>
            <w:shd w:val="clear" w:color="auto" w:fill="auto"/>
            <w:noWrap/>
            <w:vAlign w:val="bottom"/>
            <w:hideMark/>
          </w:tcPr>
          <w:p w14:paraId="58EE521A"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49D0A60F"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647F60F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05B8DE6C"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9E2F66">
              <w:rPr>
                <w:rFonts w:eastAsia="Times New Roman" w:cs="Calibri"/>
                <w:color w:val="002060"/>
                <w:sz w:val="20"/>
              </w:rPr>
              <w:t>50</w:t>
            </w:r>
          </w:p>
        </w:tc>
      </w:tr>
      <w:tr w:rsidR="005C437E" w:rsidRPr="009E2F66" w14:paraId="2FEA956A" w14:textId="77777777" w:rsidTr="002F7131">
        <w:trPr>
          <w:trHeight w:val="20"/>
        </w:trPr>
        <w:tc>
          <w:tcPr>
            <w:tcW w:w="3080" w:type="dxa"/>
            <w:tcBorders>
              <w:top w:val="nil"/>
              <w:left w:val="nil"/>
              <w:bottom w:val="nil"/>
              <w:right w:val="nil"/>
            </w:tcBorders>
            <w:shd w:val="clear" w:color="auto" w:fill="auto"/>
            <w:noWrap/>
            <w:vAlign w:val="bottom"/>
            <w:hideMark/>
          </w:tcPr>
          <w:p w14:paraId="5A4FBF03"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0" w:type="dxa"/>
            <w:tcBorders>
              <w:top w:val="nil"/>
              <w:left w:val="single" w:sz="4" w:space="0" w:color="0070C0"/>
              <w:bottom w:val="nil"/>
              <w:right w:val="nil"/>
            </w:tcBorders>
            <w:shd w:val="clear" w:color="auto" w:fill="auto"/>
            <w:noWrap/>
            <w:vAlign w:val="bottom"/>
            <w:hideMark/>
          </w:tcPr>
          <w:p w14:paraId="405FBD1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 </w:t>
            </w:r>
          </w:p>
        </w:tc>
        <w:tc>
          <w:tcPr>
            <w:tcW w:w="1360" w:type="dxa"/>
            <w:tcBorders>
              <w:top w:val="nil"/>
              <w:left w:val="nil"/>
              <w:bottom w:val="nil"/>
              <w:right w:val="nil"/>
            </w:tcBorders>
            <w:shd w:val="clear" w:color="auto" w:fill="auto"/>
            <w:noWrap/>
            <w:vAlign w:val="bottom"/>
            <w:hideMark/>
          </w:tcPr>
          <w:p w14:paraId="33E6F85F"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3ED33180"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471EBEEF"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018FC2F3"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03369BE1"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6106B1AC"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58DAFBE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63FE5AB4"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9E2F66" w14:paraId="434D88A0" w14:textId="77777777" w:rsidTr="002F7131">
        <w:trPr>
          <w:trHeight w:val="20"/>
        </w:trPr>
        <w:tc>
          <w:tcPr>
            <w:tcW w:w="3080" w:type="dxa"/>
            <w:tcBorders>
              <w:top w:val="nil"/>
              <w:left w:val="nil"/>
              <w:bottom w:val="nil"/>
              <w:right w:val="nil"/>
            </w:tcBorders>
            <w:shd w:val="clear" w:color="auto" w:fill="auto"/>
            <w:noWrap/>
            <w:vAlign w:val="bottom"/>
            <w:hideMark/>
          </w:tcPr>
          <w:p w14:paraId="5572DE2C"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9E2F66">
              <w:rPr>
                <w:rFonts w:cstheme="minorHAnsi"/>
                <w:sz w:val="20"/>
              </w:rPr>
              <w:t xml:space="preserve">6 - </w:t>
            </w:r>
            <w:r w:rsidRPr="009E2F66">
              <w:rPr>
                <w:rFonts w:cstheme="minorHAnsi"/>
                <w:sz w:val="20"/>
              </w:rPr>
              <w:t>材料和办公用品</w:t>
            </w:r>
          </w:p>
        </w:tc>
        <w:tc>
          <w:tcPr>
            <w:tcW w:w="1400" w:type="dxa"/>
            <w:tcBorders>
              <w:top w:val="nil"/>
              <w:left w:val="single" w:sz="4" w:space="0" w:color="0070C0"/>
              <w:bottom w:val="nil"/>
              <w:right w:val="nil"/>
            </w:tcBorders>
            <w:shd w:val="clear" w:color="auto" w:fill="auto"/>
            <w:noWrap/>
            <w:vAlign w:val="bottom"/>
            <w:hideMark/>
          </w:tcPr>
          <w:p w14:paraId="32C20F9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10</w:t>
            </w:r>
          </w:p>
        </w:tc>
        <w:tc>
          <w:tcPr>
            <w:tcW w:w="1360" w:type="dxa"/>
            <w:tcBorders>
              <w:top w:val="nil"/>
              <w:left w:val="nil"/>
              <w:bottom w:val="nil"/>
              <w:right w:val="nil"/>
            </w:tcBorders>
            <w:shd w:val="clear" w:color="auto" w:fill="auto"/>
            <w:noWrap/>
            <w:vAlign w:val="bottom"/>
            <w:hideMark/>
          </w:tcPr>
          <w:p w14:paraId="59DC998C"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7EFB8891"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12B3146C"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7B231C84"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0D09F761"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30</w:t>
            </w:r>
          </w:p>
        </w:tc>
        <w:tc>
          <w:tcPr>
            <w:tcW w:w="1240" w:type="dxa"/>
            <w:tcBorders>
              <w:top w:val="nil"/>
              <w:left w:val="nil"/>
              <w:bottom w:val="nil"/>
              <w:right w:val="nil"/>
            </w:tcBorders>
            <w:shd w:val="clear" w:color="auto" w:fill="auto"/>
            <w:noWrap/>
            <w:vAlign w:val="bottom"/>
            <w:hideMark/>
          </w:tcPr>
          <w:p w14:paraId="52640ECB"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63985151"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65748CE1"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9E2F66">
              <w:rPr>
                <w:rFonts w:eastAsia="Times New Roman" w:cs="Calibri"/>
                <w:color w:val="002060"/>
                <w:sz w:val="20"/>
              </w:rPr>
              <w:t>40</w:t>
            </w:r>
          </w:p>
        </w:tc>
      </w:tr>
      <w:tr w:rsidR="005C437E" w:rsidRPr="009E2F66" w14:paraId="0A5DFE34" w14:textId="77777777" w:rsidTr="002F7131">
        <w:trPr>
          <w:trHeight w:val="20"/>
        </w:trPr>
        <w:tc>
          <w:tcPr>
            <w:tcW w:w="3080" w:type="dxa"/>
            <w:tcBorders>
              <w:top w:val="nil"/>
              <w:left w:val="nil"/>
              <w:bottom w:val="nil"/>
              <w:right w:val="nil"/>
            </w:tcBorders>
            <w:shd w:val="clear" w:color="auto" w:fill="auto"/>
            <w:noWrap/>
            <w:vAlign w:val="bottom"/>
            <w:hideMark/>
          </w:tcPr>
          <w:p w14:paraId="107F49C1"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0" w:type="dxa"/>
            <w:tcBorders>
              <w:top w:val="nil"/>
              <w:left w:val="single" w:sz="4" w:space="0" w:color="0070C0"/>
              <w:bottom w:val="nil"/>
              <w:right w:val="nil"/>
            </w:tcBorders>
            <w:shd w:val="clear" w:color="auto" w:fill="auto"/>
            <w:noWrap/>
            <w:vAlign w:val="bottom"/>
            <w:hideMark/>
          </w:tcPr>
          <w:p w14:paraId="7E3D2C9A"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 </w:t>
            </w:r>
          </w:p>
        </w:tc>
        <w:tc>
          <w:tcPr>
            <w:tcW w:w="1360" w:type="dxa"/>
            <w:tcBorders>
              <w:top w:val="nil"/>
              <w:left w:val="nil"/>
              <w:bottom w:val="nil"/>
              <w:right w:val="nil"/>
            </w:tcBorders>
            <w:shd w:val="clear" w:color="auto" w:fill="auto"/>
            <w:noWrap/>
            <w:vAlign w:val="bottom"/>
            <w:hideMark/>
          </w:tcPr>
          <w:p w14:paraId="0BE518B1"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6EF104C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2F52501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03D85D5A"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1E81FFF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7C4672E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35B25079"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14C5FBEA"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9E2F66" w14:paraId="2CE88484" w14:textId="77777777" w:rsidTr="002F7131">
        <w:trPr>
          <w:trHeight w:val="20"/>
        </w:trPr>
        <w:tc>
          <w:tcPr>
            <w:tcW w:w="3080" w:type="dxa"/>
            <w:tcBorders>
              <w:top w:val="nil"/>
              <w:left w:val="nil"/>
              <w:bottom w:val="nil"/>
              <w:right w:val="nil"/>
            </w:tcBorders>
            <w:shd w:val="clear" w:color="auto" w:fill="auto"/>
            <w:vAlign w:val="bottom"/>
            <w:hideMark/>
          </w:tcPr>
          <w:p w14:paraId="52EDBB39"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9E2F66">
              <w:rPr>
                <w:rFonts w:cstheme="minorHAnsi"/>
                <w:sz w:val="20"/>
                <w:lang w:eastAsia="zh-CN"/>
              </w:rPr>
              <w:t xml:space="preserve">7 - </w:t>
            </w:r>
            <w:r w:rsidRPr="009E2F66">
              <w:rPr>
                <w:rFonts w:cstheme="minorHAnsi"/>
                <w:sz w:val="20"/>
                <w:lang w:eastAsia="zh-CN"/>
              </w:rPr>
              <w:t>房屋设施、家具和设备的采购</w:t>
            </w:r>
          </w:p>
        </w:tc>
        <w:tc>
          <w:tcPr>
            <w:tcW w:w="1400" w:type="dxa"/>
            <w:tcBorders>
              <w:top w:val="nil"/>
              <w:left w:val="single" w:sz="4" w:space="0" w:color="0070C0"/>
              <w:bottom w:val="nil"/>
              <w:right w:val="nil"/>
            </w:tcBorders>
            <w:shd w:val="clear" w:color="auto" w:fill="auto"/>
            <w:noWrap/>
            <w:vAlign w:val="bottom"/>
            <w:hideMark/>
          </w:tcPr>
          <w:p w14:paraId="05346B9A"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r w:rsidRPr="009E2F66">
              <w:rPr>
                <w:rFonts w:eastAsia="Times New Roman" w:cs="Calibri"/>
                <w:sz w:val="20"/>
                <w:lang w:eastAsia="zh-CN"/>
              </w:rPr>
              <w:t> </w:t>
            </w:r>
          </w:p>
        </w:tc>
        <w:tc>
          <w:tcPr>
            <w:tcW w:w="1360" w:type="dxa"/>
            <w:tcBorders>
              <w:top w:val="nil"/>
              <w:left w:val="nil"/>
              <w:bottom w:val="nil"/>
              <w:right w:val="nil"/>
            </w:tcBorders>
            <w:shd w:val="clear" w:color="auto" w:fill="auto"/>
            <w:noWrap/>
            <w:vAlign w:val="bottom"/>
            <w:hideMark/>
          </w:tcPr>
          <w:p w14:paraId="4710AA04"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p>
        </w:tc>
        <w:tc>
          <w:tcPr>
            <w:tcW w:w="1240" w:type="dxa"/>
            <w:tcBorders>
              <w:top w:val="nil"/>
              <w:left w:val="nil"/>
              <w:bottom w:val="nil"/>
              <w:right w:val="nil"/>
            </w:tcBorders>
            <w:shd w:val="clear" w:color="auto" w:fill="auto"/>
            <w:noWrap/>
            <w:vAlign w:val="bottom"/>
            <w:hideMark/>
          </w:tcPr>
          <w:p w14:paraId="655748B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240" w:type="dxa"/>
            <w:tcBorders>
              <w:top w:val="nil"/>
              <w:left w:val="nil"/>
              <w:bottom w:val="nil"/>
              <w:right w:val="nil"/>
            </w:tcBorders>
            <w:shd w:val="clear" w:color="auto" w:fill="auto"/>
            <w:noWrap/>
            <w:vAlign w:val="bottom"/>
            <w:hideMark/>
          </w:tcPr>
          <w:p w14:paraId="608CCE6C"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240" w:type="dxa"/>
            <w:tcBorders>
              <w:top w:val="nil"/>
              <w:left w:val="nil"/>
              <w:bottom w:val="nil"/>
              <w:right w:val="nil"/>
            </w:tcBorders>
            <w:shd w:val="clear" w:color="auto" w:fill="auto"/>
            <w:noWrap/>
            <w:vAlign w:val="bottom"/>
            <w:hideMark/>
          </w:tcPr>
          <w:p w14:paraId="14D7E57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456" w:type="dxa"/>
            <w:tcBorders>
              <w:top w:val="nil"/>
              <w:left w:val="nil"/>
              <w:bottom w:val="nil"/>
              <w:right w:val="nil"/>
            </w:tcBorders>
            <w:shd w:val="clear" w:color="auto" w:fill="auto"/>
            <w:noWrap/>
            <w:vAlign w:val="bottom"/>
            <w:hideMark/>
          </w:tcPr>
          <w:p w14:paraId="398A029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50</w:t>
            </w:r>
          </w:p>
        </w:tc>
        <w:tc>
          <w:tcPr>
            <w:tcW w:w="1240" w:type="dxa"/>
            <w:tcBorders>
              <w:top w:val="nil"/>
              <w:left w:val="nil"/>
              <w:bottom w:val="nil"/>
              <w:right w:val="nil"/>
            </w:tcBorders>
            <w:shd w:val="clear" w:color="auto" w:fill="auto"/>
            <w:noWrap/>
            <w:vAlign w:val="bottom"/>
            <w:hideMark/>
          </w:tcPr>
          <w:p w14:paraId="7E91E27F"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3DAB103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669994A6"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9E2F66">
              <w:rPr>
                <w:rFonts w:eastAsia="Times New Roman" w:cs="Calibri"/>
                <w:color w:val="002060"/>
                <w:sz w:val="20"/>
              </w:rPr>
              <w:t>50</w:t>
            </w:r>
          </w:p>
        </w:tc>
      </w:tr>
      <w:tr w:rsidR="005C437E" w:rsidRPr="009E2F66" w14:paraId="30948943" w14:textId="77777777" w:rsidTr="002F7131">
        <w:trPr>
          <w:trHeight w:val="20"/>
        </w:trPr>
        <w:tc>
          <w:tcPr>
            <w:tcW w:w="3080" w:type="dxa"/>
            <w:tcBorders>
              <w:top w:val="nil"/>
              <w:left w:val="nil"/>
              <w:bottom w:val="nil"/>
              <w:right w:val="nil"/>
            </w:tcBorders>
            <w:shd w:val="clear" w:color="auto" w:fill="auto"/>
            <w:noWrap/>
            <w:vAlign w:val="bottom"/>
            <w:hideMark/>
          </w:tcPr>
          <w:p w14:paraId="6F30781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0" w:type="dxa"/>
            <w:tcBorders>
              <w:top w:val="nil"/>
              <w:left w:val="single" w:sz="4" w:space="0" w:color="0070C0"/>
              <w:bottom w:val="nil"/>
              <w:right w:val="nil"/>
            </w:tcBorders>
            <w:shd w:val="clear" w:color="auto" w:fill="auto"/>
            <w:noWrap/>
            <w:vAlign w:val="bottom"/>
            <w:hideMark/>
          </w:tcPr>
          <w:p w14:paraId="317D11A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 </w:t>
            </w:r>
          </w:p>
        </w:tc>
        <w:tc>
          <w:tcPr>
            <w:tcW w:w="1360" w:type="dxa"/>
            <w:tcBorders>
              <w:top w:val="nil"/>
              <w:left w:val="nil"/>
              <w:bottom w:val="nil"/>
              <w:right w:val="nil"/>
            </w:tcBorders>
            <w:shd w:val="clear" w:color="auto" w:fill="auto"/>
            <w:noWrap/>
            <w:vAlign w:val="bottom"/>
            <w:hideMark/>
          </w:tcPr>
          <w:p w14:paraId="261A3BB6"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5771700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35E2F417"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5EBAD764"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40E60AA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5433245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49054976"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6AE00E61"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9E2F66" w14:paraId="6C6984C6" w14:textId="77777777" w:rsidTr="002F7131">
        <w:trPr>
          <w:trHeight w:val="20"/>
        </w:trPr>
        <w:tc>
          <w:tcPr>
            <w:tcW w:w="3080" w:type="dxa"/>
            <w:tcBorders>
              <w:top w:val="nil"/>
              <w:left w:val="nil"/>
              <w:bottom w:val="nil"/>
              <w:right w:val="nil"/>
            </w:tcBorders>
            <w:shd w:val="clear" w:color="auto" w:fill="auto"/>
            <w:vAlign w:val="bottom"/>
            <w:hideMark/>
          </w:tcPr>
          <w:p w14:paraId="4D62AA14"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9E2F66">
              <w:rPr>
                <w:rFonts w:cstheme="minorHAnsi"/>
                <w:sz w:val="20"/>
              </w:rPr>
              <w:t xml:space="preserve">8 - </w:t>
            </w:r>
            <w:r w:rsidRPr="009E2F66">
              <w:rPr>
                <w:rFonts w:cstheme="minorHAnsi"/>
                <w:sz w:val="20"/>
              </w:rPr>
              <w:t>公共和内部服务设施</w:t>
            </w:r>
          </w:p>
        </w:tc>
        <w:tc>
          <w:tcPr>
            <w:tcW w:w="1400" w:type="dxa"/>
            <w:tcBorders>
              <w:top w:val="nil"/>
              <w:left w:val="single" w:sz="4" w:space="0" w:color="0070C0"/>
              <w:bottom w:val="nil"/>
              <w:right w:val="nil"/>
            </w:tcBorders>
            <w:shd w:val="clear" w:color="auto" w:fill="auto"/>
            <w:noWrap/>
            <w:vAlign w:val="bottom"/>
            <w:hideMark/>
          </w:tcPr>
          <w:p w14:paraId="5D2399D4"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 </w:t>
            </w:r>
          </w:p>
        </w:tc>
        <w:tc>
          <w:tcPr>
            <w:tcW w:w="1360" w:type="dxa"/>
            <w:tcBorders>
              <w:top w:val="nil"/>
              <w:left w:val="nil"/>
              <w:bottom w:val="nil"/>
              <w:right w:val="nil"/>
            </w:tcBorders>
            <w:shd w:val="clear" w:color="auto" w:fill="auto"/>
            <w:noWrap/>
            <w:vAlign w:val="bottom"/>
            <w:hideMark/>
          </w:tcPr>
          <w:p w14:paraId="39D14EA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2DC43BEF"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5C3C07A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05FF7F79"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35C9EF98"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1EF95B4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5F2EBFED"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1F85D5D8"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9E2F66">
              <w:rPr>
                <w:rFonts w:eastAsia="Times New Roman" w:cs="Calibri"/>
                <w:color w:val="002060"/>
                <w:sz w:val="20"/>
              </w:rPr>
              <w:t>0</w:t>
            </w:r>
          </w:p>
        </w:tc>
      </w:tr>
      <w:tr w:rsidR="005C437E" w:rsidRPr="009E2F66" w14:paraId="13B38733" w14:textId="77777777" w:rsidTr="002F7131">
        <w:trPr>
          <w:trHeight w:val="20"/>
        </w:trPr>
        <w:tc>
          <w:tcPr>
            <w:tcW w:w="3080" w:type="dxa"/>
            <w:tcBorders>
              <w:top w:val="nil"/>
              <w:left w:val="nil"/>
              <w:bottom w:val="nil"/>
              <w:right w:val="nil"/>
            </w:tcBorders>
            <w:shd w:val="clear" w:color="auto" w:fill="auto"/>
            <w:noWrap/>
            <w:vAlign w:val="bottom"/>
            <w:hideMark/>
          </w:tcPr>
          <w:p w14:paraId="2717A0CF"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0" w:type="dxa"/>
            <w:tcBorders>
              <w:top w:val="nil"/>
              <w:left w:val="single" w:sz="4" w:space="0" w:color="0070C0"/>
              <w:bottom w:val="nil"/>
              <w:right w:val="nil"/>
            </w:tcBorders>
            <w:shd w:val="clear" w:color="auto" w:fill="auto"/>
            <w:noWrap/>
            <w:vAlign w:val="bottom"/>
            <w:hideMark/>
          </w:tcPr>
          <w:p w14:paraId="5080E8DC"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 </w:t>
            </w:r>
          </w:p>
        </w:tc>
        <w:tc>
          <w:tcPr>
            <w:tcW w:w="1360" w:type="dxa"/>
            <w:tcBorders>
              <w:top w:val="nil"/>
              <w:left w:val="nil"/>
              <w:bottom w:val="nil"/>
              <w:right w:val="nil"/>
            </w:tcBorders>
            <w:shd w:val="clear" w:color="auto" w:fill="auto"/>
            <w:noWrap/>
            <w:vAlign w:val="bottom"/>
            <w:hideMark/>
          </w:tcPr>
          <w:p w14:paraId="7C721A9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4072BE17"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0CF34ADB"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6C8B668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3AE876D9"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032432C9"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1EBCF53B"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5218925B"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9E2F66" w14:paraId="19DF4CED" w14:textId="77777777" w:rsidTr="002F7131">
        <w:trPr>
          <w:trHeight w:val="20"/>
        </w:trPr>
        <w:tc>
          <w:tcPr>
            <w:tcW w:w="3080" w:type="dxa"/>
            <w:tcBorders>
              <w:top w:val="nil"/>
              <w:left w:val="nil"/>
              <w:bottom w:val="nil"/>
              <w:right w:val="nil"/>
            </w:tcBorders>
            <w:shd w:val="clear" w:color="auto" w:fill="auto"/>
            <w:vAlign w:val="bottom"/>
            <w:hideMark/>
          </w:tcPr>
          <w:p w14:paraId="695676B5"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9E2F66">
              <w:rPr>
                <w:rFonts w:cstheme="minorHAnsi"/>
                <w:sz w:val="20"/>
                <w:lang w:eastAsia="zh-CN"/>
              </w:rPr>
              <w:t xml:space="preserve">9 - </w:t>
            </w:r>
            <w:r w:rsidRPr="009E2F66">
              <w:rPr>
                <w:rFonts w:cstheme="minorHAnsi"/>
                <w:sz w:val="20"/>
                <w:lang w:eastAsia="zh-CN"/>
              </w:rPr>
              <w:t>审计和机构间的费用及其他</w:t>
            </w:r>
          </w:p>
        </w:tc>
        <w:tc>
          <w:tcPr>
            <w:tcW w:w="1400" w:type="dxa"/>
            <w:tcBorders>
              <w:top w:val="nil"/>
              <w:left w:val="single" w:sz="4" w:space="0" w:color="0070C0"/>
              <w:bottom w:val="nil"/>
              <w:right w:val="nil"/>
            </w:tcBorders>
            <w:shd w:val="clear" w:color="auto" w:fill="auto"/>
            <w:noWrap/>
            <w:vAlign w:val="bottom"/>
            <w:hideMark/>
          </w:tcPr>
          <w:p w14:paraId="3514ED06"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9</w:t>
            </w:r>
          </w:p>
        </w:tc>
        <w:tc>
          <w:tcPr>
            <w:tcW w:w="1360" w:type="dxa"/>
            <w:tcBorders>
              <w:top w:val="nil"/>
              <w:left w:val="nil"/>
              <w:bottom w:val="nil"/>
              <w:right w:val="nil"/>
            </w:tcBorders>
            <w:shd w:val="clear" w:color="auto" w:fill="auto"/>
            <w:noWrap/>
            <w:vAlign w:val="bottom"/>
            <w:hideMark/>
          </w:tcPr>
          <w:p w14:paraId="7ED5CEE6"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6B6F57F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298DCBA3"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3FC9F54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10</w:t>
            </w:r>
          </w:p>
        </w:tc>
        <w:tc>
          <w:tcPr>
            <w:tcW w:w="1456" w:type="dxa"/>
            <w:tcBorders>
              <w:top w:val="nil"/>
              <w:left w:val="nil"/>
              <w:bottom w:val="nil"/>
              <w:right w:val="nil"/>
            </w:tcBorders>
            <w:shd w:val="clear" w:color="auto" w:fill="auto"/>
            <w:noWrap/>
            <w:vAlign w:val="bottom"/>
            <w:hideMark/>
          </w:tcPr>
          <w:p w14:paraId="41D335BA"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10</w:t>
            </w:r>
          </w:p>
        </w:tc>
        <w:tc>
          <w:tcPr>
            <w:tcW w:w="1240" w:type="dxa"/>
            <w:tcBorders>
              <w:top w:val="nil"/>
              <w:left w:val="nil"/>
              <w:bottom w:val="nil"/>
              <w:right w:val="nil"/>
            </w:tcBorders>
            <w:shd w:val="clear" w:color="auto" w:fill="auto"/>
            <w:noWrap/>
            <w:vAlign w:val="bottom"/>
            <w:hideMark/>
          </w:tcPr>
          <w:p w14:paraId="5EC0FC5B"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2C9E1C7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48B66F79"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9E2F66">
              <w:rPr>
                <w:rFonts w:eastAsia="Times New Roman" w:cs="Calibri"/>
                <w:color w:val="002060"/>
                <w:sz w:val="20"/>
              </w:rPr>
              <w:t>29</w:t>
            </w:r>
          </w:p>
        </w:tc>
      </w:tr>
      <w:tr w:rsidR="005C437E" w:rsidRPr="009E2F66" w14:paraId="510BEA36" w14:textId="77777777" w:rsidTr="002F7131">
        <w:trPr>
          <w:trHeight w:val="20"/>
        </w:trPr>
        <w:tc>
          <w:tcPr>
            <w:tcW w:w="3080" w:type="dxa"/>
            <w:tcBorders>
              <w:top w:val="nil"/>
              <w:left w:val="nil"/>
              <w:bottom w:val="single" w:sz="4" w:space="0" w:color="auto"/>
              <w:right w:val="nil"/>
            </w:tcBorders>
            <w:shd w:val="clear" w:color="auto" w:fill="auto"/>
            <w:noWrap/>
            <w:vAlign w:val="center"/>
            <w:hideMark/>
          </w:tcPr>
          <w:p w14:paraId="2696DD04"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9E2F66">
              <w:rPr>
                <w:rFonts w:cstheme="minorHAnsi"/>
                <w:b/>
                <w:bCs/>
                <w:sz w:val="20"/>
              </w:rPr>
              <w:t> </w:t>
            </w:r>
          </w:p>
        </w:tc>
        <w:tc>
          <w:tcPr>
            <w:tcW w:w="1400" w:type="dxa"/>
            <w:tcBorders>
              <w:top w:val="nil"/>
              <w:left w:val="single" w:sz="4" w:space="0" w:color="0070C0"/>
              <w:bottom w:val="single" w:sz="4" w:space="0" w:color="auto"/>
              <w:right w:val="nil"/>
            </w:tcBorders>
            <w:shd w:val="clear" w:color="auto" w:fill="auto"/>
            <w:noWrap/>
            <w:vAlign w:val="center"/>
            <w:hideMark/>
          </w:tcPr>
          <w:p w14:paraId="04A9AFC8"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E2F66">
              <w:rPr>
                <w:rFonts w:eastAsia="Times New Roman" w:cs="Calibri"/>
                <w:b/>
                <w:bCs/>
                <w:sz w:val="20"/>
              </w:rPr>
              <w:t> </w:t>
            </w:r>
          </w:p>
        </w:tc>
        <w:tc>
          <w:tcPr>
            <w:tcW w:w="1360" w:type="dxa"/>
            <w:tcBorders>
              <w:top w:val="nil"/>
              <w:left w:val="nil"/>
              <w:bottom w:val="single" w:sz="4" w:space="0" w:color="auto"/>
              <w:right w:val="nil"/>
            </w:tcBorders>
            <w:shd w:val="clear" w:color="auto" w:fill="auto"/>
            <w:noWrap/>
            <w:vAlign w:val="center"/>
            <w:hideMark/>
          </w:tcPr>
          <w:p w14:paraId="7CC95083"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E2F66">
              <w:rPr>
                <w:rFonts w:eastAsia="Times New Roman" w:cs="Calibri"/>
                <w:b/>
                <w:bCs/>
                <w:sz w:val="20"/>
              </w:rPr>
              <w:t> </w:t>
            </w:r>
          </w:p>
        </w:tc>
        <w:tc>
          <w:tcPr>
            <w:tcW w:w="1240" w:type="dxa"/>
            <w:tcBorders>
              <w:top w:val="nil"/>
              <w:left w:val="nil"/>
              <w:bottom w:val="single" w:sz="4" w:space="0" w:color="auto"/>
              <w:right w:val="nil"/>
            </w:tcBorders>
            <w:shd w:val="clear" w:color="auto" w:fill="auto"/>
            <w:noWrap/>
            <w:vAlign w:val="center"/>
            <w:hideMark/>
          </w:tcPr>
          <w:p w14:paraId="5222AF0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E2F66">
              <w:rPr>
                <w:rFonts w:eastAsia="Times New Roman" w:cs="Calibri"/>
                <w:b/>
                <w:bCs/>
                <w:sz w:val="20"/>
              </w:rPr>
              <w:t> </w:t>
            </w:r>
          </w:p>
        </w:tc>
        <w:tc>
          <w:tcPr>
            <w:tcW w:w="1240" w:type="dxa"/>
            <w:tcBorders>
              <w:top w:val="nil"/>
              <w:left w:val="nil"/>
              <w:bottom w:val="single" w:sz="4" w:space="0" w:color="auto"/>
              <w:right w:val="nil"/>
            </w:tcBorders>
            <w:shd w:val="clear" w:color="auto" w:fill="auto"/>
            <w:noWrap/>
            <w:vAlign w:val="center"/>
            <w:hideMark/>
          </w:tcPr>
          <w:p w14:paraId="17A12F5B"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E2F66">
              <w:rPr>
                <w:rFonts w:eastAsia="Times New Roman" w:cs="Calibri"/>
                <w:b/>
                <w:bCs/>
                <w:sz w:val="20"/>
              </w:rPr>
              <w:t> </w:t>
            </w:r>
          </w:p>
        </w:tc>
        <w:tc>
          <w:tcPr>
            <w:tcW w:w="1240" w:type="dxa"/>
            <w:tcBorders>
              <w:top w:val="nil"/>
              <w:left w:val="nil"/>
              <w:bottom w:val="single" w:sz="4" w:space="0" w:color="auto"/>
              <w:right w:val="nil"/>
            </w:tcBorders>
            <w:shd w:val="clear" w:color="auto" w:fill="auto"/>
            <w:noWrap/>
            <w:vAlign w:val="center"/>
            <w:hideMark/>
          </w:tcPr>
          <w:p w14:paraId="1DA2760D"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E2F66">
              <w:rPr>
                <w:rFonts w:eastAsia="Times New Roman" w:cs="Calibri"/>
                <w:b/>
                <w:bCs/>
                <w:sz w:val="20"/>
              </w:rPr>
              <w:t> </w:t>
            </w:r>
          </w:p>
        </w:tc>
        <w:tc>
          <w:tcPr>
            <w:tcW w:w="1456" w:type="dxa"/>
            <w:tcBorders>
              <w:top w:val="nil"/>
              <w:left w:val="nil"/>
              <w:bottom w:val="single" w:sz="4" w:space="0" w:color="auto"/>
              <w:right w:val="nil"/>
            </w:tcBorders>
            <w:shd w:val="clear" w:color="auto" w:fill="auto"/>
            <w:noWrap/>
            <w:vAlign w:val="center"/>
            <w:hideMark/>
          </w:tcPr>
          <w:p w14:paraId="7C9788D7"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E2F66">
              <w:rPr>
                <w:rFonts w:eastAsia="Times New Roman" w:cs="Calibri"/>
                <w:b/>
                <w:bCs/>
                <w:sz w:val="20"/>
              </w:rPr>
              <w:t> </w:t>
            </w:r>
          </w:p>
        </w:tc>
        <w:tc>
          <w:tcPr>
            <w:tcW w:w="1240" w:type="dxa"/>
            <w:tcBorders>
              <w:top w:val="nil"/>
              <w:left w:val="nil"/>
              <w:bottom w:val="single" w:sz="4" w:space="0" w:color="auto"/>
              <w:right w:val="nil"/>
            </w:tcBorders>
            <w:shd w:val="clear" w:color="auto" w:fill="auto"/>
            <w:noWrap/>
            <w:vAlign w:val="center"/>
            <w:hideMark/>
          </w:tcPr>
          <w:p w14:paraId="5C69A22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E2F66">
              <w:rPr>
                <w:rFonts w:eastAsia="Times New Roman" w:cs="Calibri"/>
                <w:b/>
                <w:bCs/>
                <w:sz w:val="20"/>
              </w:rPr>
              <w:t> </w:t>
            </w:r>
          </w:p>
        </w:tc>
        <w:tc>
          <w:tcPr>
            <w:tcW w:w="1240" w:type="dxa"/>
            <w:tcBorders>
              <w:top w:val="nil"/>
              <w:left w:val="nil"/>
              <w:bottom w:val="single" w:sz="4" w:space="0" w:color="auto"/>
              <w:right w:val="nil"/>
            </w:tcBorders>
            <w:shd w:val="clear" w:color="auto" w:fill="auto"/>
            <w:noWrap/>
            <w:vAlign w:val="center"/>
            <w:hideMark/>
          </w:tcPr>
          <w:p w14:paraId="5B7FA523"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E2F66">
              <w:rPr>
                <w:rFonts w:eastAsia="Times New Roman" w:cs="Calibri"/>
                <w:b/>
                <w:bCs/>
                <w:sz w:val="20"/>
              </w:rPr>
              <w:t> </w:t>
            </w:r>
          </w:p>
        </w:tc>
        <w:tc>
          <w:tcPr>
            <w:tcW w:w="1360" w:type="dxa"/>
            <w:tcBorders>
              <w:top w:val="nil"/>
              <w:left w:val="nil"/>
              <w:bottom w:val="single" w:sz="4" w:space="0" w:color="auto"/>
              <w:right w:val="nil"/>
            </w:tcBorders>
            <w:shd w:val="clear" w:color="auto" w:fill="auto"/>
            <w:noWrap/>
            <w:vAlign w:val="center"/>
            <w:hideMark/>
          </w:tcPr>
          <w:p w14:paraId="4AEF152B"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9E2F66">
              <w:rPr>
                <w:rFonts w:eastAsia="Times New Roman" w:cs="Calibri"/>
                <w:b/>
                <w:bCs/>
                <w:color w:val="002060"/>
                <w:sz w:val="20"/>
              </w:rPr>
              <w:t> </w:t>
            </w:r>
          </w:p>
        </w:tc>
      </w:tr>
      <w:tr w:rsidR="005C437E" w:rsidRPr="009E2F66" w14:paraId="6980D32F" w14:textId="77777777" w:rsidTr="002F7131">
        <w:trPr>
          <w:trHeight w:val="20"/>
        </w:trPr>
        <w:tc>
          <w:tcPr>
            <w:tcW w:w="3080" w:type="dxa"/>
            <w:tcBorders>
              <w:top w:val="nil"/>
              <w:left w:val="nil"/>
              <w:bottom w:val="nil"/>
              <w:right w:val="nil"/>
            </w:tcBorders>
            <w:shd w:val="clear" w:color="auto" w:fill="auto"/>
            <w:noWrap/>
            <w:vAlign w:val="center"/>
            <w:hideMark/>
          </w:tcPr>
          <w:p w14:paraId="5125006B"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9E2F66">
              <w:rPr>
                <w:rFonts w:cstheme="minorHAnsi"/>
                <w:b/>
                <w:bCs/>
                <w:sz w:val="20"/>
              </w:rPr>
              <w:t>合计</w:t>
            </w:r>
          </w:p>
        </w:tc>
        <w:tc>
          <w:tcPr>
            <w:tcW w:w="1400" w:type="dxa"/>
            <w:tcBorders>
              <w:top w:val="nil"/>
              <w:left w:val="nil"/>
              <w:bottom w:val="nil"/>
              <w:right w:val="nil"/>
            </w:tcBorders>
            <w:shd w:val="clear" w:color="auto" w:fill="auto"/>
            <w:noWrap/>
            <w:vAlign w:val="center"/>
            <w:hideMark/>
          </w:tcPr>
          <w:p w14:paraId="138DEAC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E2F66">
              <w:rPr>
                <w:rFonts w:eastAsia="Times New Roman" w:cs="Calibri"/>
                <w:b/>
                <w:bCs/>
                <w:sz w:val="20"/>
              </w:rPr>
              <w:t>699</w:t>
            </w:r>
          </w:p>
        </w:tc>
        <w:tc>
          <w:tcPr>
            <w:tcW w:w="1360" w:type="dxa"/>
            <w:tcBorders>
              <w:top w:val="nil"/>
              <w:left w:val="nil"/>
              <w:bottom w:val="nil"/>
              <w:right w:val="nil"/>
            </w:tcBorders>
            <w:shd w:val="clear" w:color="auto" w:fill="auto"/>
            <w:noWrap/>
            <w:vAlign w:val="center"/>
            <w:hideMark/>
          </w:tcPr>
          <w:p w14:paraId="4675A3D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E2F66">
              <w:rPr>
                <w:rFonts w:eastAsia="Times New Roman" w:cs="Calibri"/>
                <w:b/>
                <w:bCs/>
                <w:sz w:val="20"/>
              </w:rPr>
              <w:t>91</w:t>
            </w:r>
          </w:p>
        </w:tc>
        <w:tc>
          <w:tcPr>
            <w:tcW w:w="1240" w:type="dxa"/>
            <w:tcBorders>
              <w:top w:val="nil"/>
              <w:left w:val="nil"/>
              <w:bottom w:val="nil"/>
              <w:right w:val="nil"/>
            </w:tcBorders>
            <w:shd w:val="clear" w:color="auto" w:fill="auto"/>
            <w:noWrap/>
            <w:vAlign w:val="center"/>
            <w:hideMark/>
          </w:tcPr>
          <w:p w14:paraId="2A1A97F7"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E2F66">
              <w:rPr>
                <w:rFonts w:eastAsia="Times New Roman" w:cs="Calibri"/>
                <w:b/>
                <w:bCs/>
                <w:sz w:val="20"/>
              </w:rPr>
              <w:t>1,180</w:t>
            </w:r>
          </w:p>
        </w:tc>
        <w:tc>
          <w:tcPr>
            <w:tcW w:w="1240" w:type="dxa"/>
            <w:tcBorders>
              <w:top w:val="nil"/>
              <w:left w:val="nil"/>
              <w:bottom w:val="nil"/>
              <w:right w:val="nil"/>
            </w:tcBorders>
            <w:shd w:val="clear" w:color="auto" w:fill="auto"/>
            <w:noWrap/>
            <w:vAlign w:val="center"/>
            <w:hideMark/>
          </w:tcPr>
          <w:p w14:paraId="5944AF0D"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E2F66">
              <w:rPr>
                <w:rFonts w:eastAsia="Times New Roman" w:cs="Calibri"/>
                <w:b/>
                <w:bCs/>
                <w:sz w:val="20"/>
              </w:rPr>
              <w:t>200</w:t>
            </w:r>
          </w:p>
        </w:tc>
        <w:tc>
          <w:tcPr>
            <w:tcW w:w="1240" w:type="dxa"/>
            <w:tcBorders>
              <w:top w:val="nil"/>
              <w:left w:val="nil"/>
              <w:bottom w:val="nil"/>
              <w:right w:val="nil"/>
            </w:tcBorders>
            <w:shd w:val="clear" w:color="auto" w:fill="auto"/>
            <w:noWrap/>
            <w:vAlign w:val="center"/>
            <w:hideMark/>
          </w:tcPr>
          <w:p w14:paraId="3AFC7B23"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E2F66">
              <w:rPr>
                <w:rFonts w:eastAsia="Times New Roman" w:cs="Calibri"/>
                <w:b/>
                <w:bCs/>
                <w:sz w:val="20"/>
              </w:rPr>
              <w:t>260</w:t>
            </w:r>
          </w:p>
        </w:tc>
        <w:tc>
          <w:tcPr>
            <w:tcW w:w="1456" w:type="dxa"/>
            <w:tcBorders>
              <w:top w:val="nil"/>
              <w:left w:val="nil"/>
              <w:bottom w:val="nil"/>
              <w:right w:val="nil"/>
            </w:tcBorders>
            <w:shd w:val="clear" w:color="auto" w:fill="auto"/>
            <w:noWrap/>
            <w:vAlign w:val="center"/>
            <w:hideMark/>
          </w:tcPr>
          <w:p w14:paraId="030CB96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E2F66">
              <w:rPr>
                <w:rFonts w:eastAsia="Times New Roman" w:cs="Calibri"/>
                <w:b/>
                <w:bCs/>
                <w:sz w:val="20"/>
              </w:rPr>
              <w:t>230</w:t>
            </w:r>
          </w:p>
        </w:tc>
        <w:tc>
          <w:tcPr>
            <w:tcW w:w="1240" w:type="dxa"/>
            <w:tcBorders>
              <w:top w:val="nil"/>
              <w:left w:val="nil"/>
              <w:bottom w:val="nil"/>
              <w:right w:val="nil"/>
            </w:tcBorders>
            <w:shd w:val="clear" w:color="auto" w:fill="auto"/>
            <w:noWrap/>
            <w:vAlign w:val="center"/>
            <w:hideMark/>
          </w:tcPr>
          <w:p w14:paraId="1A311CB4"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E2F66">
              <w:rPr>
                <w:rFonts w:eastAsia="Times New Roman" w:cs="Calibri"/>
                <w:b/>
                <w:bCs/>
                <w:sz w:val="20"/>
              </w:rPr>
              <w:t>1,132</w:t>
            </w:r>
          </w:p>
        </w:tc>
        <w:tc>
          <w:tcPr>
            <w:tcW w:w="1240" w:type="dxa"/>
            <w:tcBorders>
              <w:top w:val="nil"/>
              <w:left w:val="nil"/>
              <w:bottom w:val="nil"/>
              <w:right w:val="nil"/>
            </w:tcBorders>
            <w:shd w:val="clear" w:color="auto" w:fill="auto"/>
            <w:noWrap/>
            <w:vAlign w:val="center"/>
            <w:hideMark/>
          </w:tcPr>
          <w:p w14:paraId="6926E408"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E2F66">
              <w:rPr>
                <w:rFonts w:eastAsia="Times New Roman" w:cs="Calibri"/>
                <w:b/>
                <w:bCs/>
                <w:sz w:val="20"/>
              </w:rPr>
              <w:t>10,102</w:t>
            </w:r>
          </w:p>
        </w:tc>
        <w:tc>
          <w:tcPr>
            <w:tcW w:w="1360" w:type="dxa"/>
            <w:tcBorders>
              <w:top w:val="nil"/>
              <w:left w:val="nil"/>
              <w:bottom w:val="nil"/>
              <w:right w:val="nil"/>
            </w:tcBorders>
            <w:shd w:val="clear" w:color="auto" w:fill="auto"/>
            <w:noWrap/>
            <w:vAlign w:val="center"/>
            <w:hideMark/>
          </w:tcPr>
          <w:p w14:paraId="1406F20F"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9E2F66">
              <w:rPr>
                <w:rFonts w:eastAsia="Times New Roman" w:cs="Calibri"/>
                <w:b/>
                <w:bCs/>
                <w:color w:val="002060"/>
                <w:sz w:val="20"/>
              </w:rPr>
              <w:t>13,894</w:t>
            </w:r>
          </w:p>
        </w:tc>
      </w:tr>
    </w:tbl>
    <w:p w14:paraId="5AE2F396" w14:textId="722B2F47" w:rsidR="005C437E" w:rsidRDefault="005C437E" w:rsidP="005C437E">
      <w:pPr>
        <w:rPr>
          <w:lang w:eastAsia="zh-CN"/>
        </w:rPr>
      </w:pPr>
      <w:r>
        <w:rPr>
          <w:lang w:eastAsia="zh-CN"/>
        </w:rPr>
        <w:br w:type="page"/>
      </w:r>
    </w:p>
    <w:tbl>
      <w:tblPr>
        <w:tblW w:w="15044" w:type="dxa"/>
        <w:tblInd w:w="-426" w:type="dxa"/>
        <w:tblLook w:val="04A0" w:firstRow="1" w:lastRow="0" w:firstColumn="1" w:lastColumn="0" w:noHBand="0" w:noVBand="1"/>
      </w:tblPr>
      <w:tblGrid>
        <w:gridCol w:w="3120"/>
        <w:gridCol w:w="1373"/>
        <w:gridCol w:w="1331"/>
        <w:gridCol w:w="1218"/>
        <w:gridCol w:w="1218"/>
        <w:gridCol w:w="1218"/>
        <w:gridCol w:w="1458"/>
        <w:gridCol w:w="1251"/>
        <w:gridCol w:w="1363"/>
        <w:gridCol w:w="1494"/>
      </w:tblGrid>
      <w:tr w:rsidR="005C437E" w:rsidRPr="00EF75DD" w14:paraId="08AEB7BE" w14:textId="77777777" w:rsidTr="002F7131">
        <w:trPr>
          <w:trHeight w:val="465"/>
        </w:trPr>
        <w:tc>
          <w:tcPr>
            <w:tcW w:w="3120" w:type="dxa"/>
            <w:tcBorders>
              <w:top w:val="nil"/>
              <w:left w:val="nil"/>
              <w:bottom w:val="nil"/>
              <w:right w:val="nil"/>
            </w:tcBorders>
            <w:shd w:val="clear" w:color="auto" w:fill="auto"/>
            <w:noWrap/>
            <w:vAlign w:val="center"/>
            <w:hideMark/>
          </w:tcPr>
          <w:p w14:paraId="0F906D70"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EF75DD">
              <w:rPr>
                <w:rFonts w:ascii="SimSun" w:hAnsi="SimSun" w:cs="Calibri" w:hint="eastAsia"/>
                <w:b/>
                <w:bCs/>
                <w:color w:val="002060"/>
                <w:sz w:val="40"/>
                <w:szCs w:val="40"/>
              </w:rPr>
              <w:lastRenderedPageBreak/>
              <w:t>表</w:t>
            </w:r>
            <w:r w:rsidRPr="00EF75DD">
              <w:rPr>
                <w:rFonts w:eastAsia="Times New Roman" w:cs="Calibri"/>
                <w:b/>
                <w:bCs/>
                <w:color w:val="002060"/>
                <w:sz w:val="40"/>
                <w:szCs w:val="40"/>
              </w:rPr>
              <w:t>8-2</w:t>
            </w:r>
          </w:p>
        </w:tc>
        <w:tc>
          <w:tcPr>
            <w:tcW w:w="1373" w:type="dxa"/>
            <w:tcBorders>
              <w:top w:val="nil"/>
              <w:left w:val="nil"/>
              <w:bottom w:val="nil"/>
              <w:right w:val="nil"/>
            </w:tcBorders>
            <w:shd w:val="clear" w:color="auto" w:fill="auto"/>
            <w:noWrap/>
            <w:vAlign w:val="center"/>
            <w:hideMark/>
          </w:tcPr>
          <w:p w14:paraId="32C32174"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1331" w:type="dxa"/>
            <w:tcBorders>
              <w:top w:val="nil"/>
              <w:left w:val="nil"/>
              <w:bottom w:val="nil"/>
              <w:right w:val="nil"/>
            </w:tcBorders>
            <w:shd w:val="clear" w:color="auto" w:fill="auto"/>
            <w:noWrap/>
            <w:vAlign w:val="center"/>
            <w:hideMark/>
          </w:tcPr>
          <w:p w14:paraId="02E728B9"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center"/>
            <w:hideMark/>
          </w:tcPr>
          <w:p w14:paraId="791202EA"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center"/>
            <w:hideMark/>
          </w:tcPr>
          <w:p w14:paraId="4306D6AD"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center"/>
            <w:hideMark/>
          </w:tcPr>
          <w:p w14:paraId="78668B94"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58" w:type="dxa"/>
            <w:tcBorders>
              <w:top w:val="nil"/>
              <w:left w:val="nil"/>
              <w:bottom w:val="nil"/>
              <w:right w:val="nil"/>
            </w:tcBorders>
            <w:shd w:val="clear" w:color="auto" w:fill="auto"/>
            <w:noWrap/>
            <w:vAlign w:val="center"/>
            <w:hideMark/>
          </w:tcPr>
          <w:p w14:paraId="110599B7"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51" w:type="dxa"/>
            <w:tcBorders>
              <w:top w:val="nil"/>
              <w:left w:val="nil"/>
              <w:bottom w:val="nil"/>
              <w:right w:val="nil"/>
            </w:tcBorders>
            <w:shd w:val="clear" w:color="auto" w:fill="auto"/>
            <w:noWrap/>
            <w:vAlign w:val="center"/>
            <w:hideMark/>
          </w:tcPr>
          <w:p w14:paraId="1EE6B928"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3" w:type="dxa"/>
            <w:tcBorders>
              <w:top w:val="nil"/>
              <w:left w:val="nil"/>
              <w:bottom w:val="nil"/>
              <w:right w:val="nil"/>
            </w:tcBorders>
            <w:shd w:val="clear" w:color="auto" w:fill="auto"/>
            <w:noWrap/>
            <w:vAlign w:val="center"/>
            <w:hideMark/>
          </w:tcPr>
          <w:p w14:paraId="1459E570"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94" w:type="dxa"/>
            <w:tcBorders>
              <w:top w:val="nil"/>
              <w:left w:val="nil"/>
              <w:bottom w:val="nil"/>
              <w:right w:val="nil"/>
            </w:tcBorders>
            <w:shd w:val="clear" w:color="auto" w:fill="auto"/>
            <w:noWrap/>
            <w:vAlign w:val="center"/>
            <w:hideMark/>
          </w:tcPr>
          <w:p w14:paraId="57C3AC1D"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EF75DD" w14:paraId="0741766A" w14:textId="77777777" w:rsidTr="002F7131">
        <w:trPr>
          <w:trHeight w:val="405"/>
        </w:trPr>
        <w:tc>
          <w:tcPr>
            <w:tcW w:w="4493" w:type="dxa"/>
            <w:gridSpan w:val="2"/>
            <w:tcBorders>
              <w:top w:val="nil"/>
              <w:left w:val="nil"/>
              <w:bottom w:val="nil"/>
              <w:right w:val="nil"/>
            </w:tcBorders>
            <w:shd w:val="clear" w:color="auto" w:fill="auto"/>
            <w:noWrap/>
            <w:vAlign w:val="center"/>
            <w:hideMark/>
          </w:tcPr>
          <w:p w14:paraId="31CBBA62"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r w:rsidRPr="00EF75DD">
              <w:rPr>
                <w:rFonts w:ascii="STKaiti" w:eastAsia="STKaiti" w:hAnsi="STKaiti" w:hint="eastAsia"/>
                <w:b/>
                <w:bCs/>
                <w:color w:val="002060"/>
                <w:sz w:val="28"/>
                <w:szCs w:val="28"/>
              </w:rPr>
              <w:t>电信标准化部门</w:t>
            </w:r>
            <w:r w:rsidRPr="00EF75DD">
              <w:rPr>
                <w:rFonts w:eastAsia="STKaiti" w:cs="Calibri"/>
                <w:b/>
                <w:bCs/>
                <w:color w:val="002060"/>
                <w:sz w:val="28"/>
                <w:szCs w:val="28"/>
              </w:rPr>
              <w:t>2023</w:t>
            </w:r>
            <w:r w:rsidRPr="00EF75DD">
              <w:rPr>
                <w:rFonts w:ascii="STKaiti" w:eastAsia="STKaiti" w:hAnsi="STKaiti" w:hint="eastAsia"/>
                <w:b/>
                <w:bCs/>
                <w:color w:val="002060"/>
                <w:sz w:val="28"/>
                <w:szCs w:val="28"/>
              </w:rPr>
              <w:t>年</w:t>
            </w:r>
          </w:p>
        </w:tc>
        <w:tc>
          <w:tcPr>
            <w:tcW w:w="1331" w:type="dxa"/>
            <w:tcBorders>
              <w:top w:val="nil"/>
              <w:left w:val="nil"/>
              <w:bottom w:val="nil"/>
              <w:right w:val="nil"/>
            </w:tcBorders>
            <w:shd w:val="clear" w:color="auto" w:fill="auto"/>
            <w:noWrap/>
            <w:vAlign w:val="center"/>
            <w:hideMark/>
          </w:tcPr>
          <w:p w14:paraId="6FBA0A94"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p>
        </w:tc>
        <w:tc>
          <w:tcPr>
            <w:tcW w:w="1218" w:type="dxa"/>
            <w:tcBorders>
              <w:top w:val="nil"/>
              <w:left w:val="nil"/>
              <w:bottom w:val="nil"/>
              <w:right w:val="nil"/>
            </w:tcBorders>
            <w:shd w:val="clear" w:color="auto" w:fill="auto"/>
            <w:noWrap/>
            <w:vAlign w:val="center"/>
            <w:hideMark/>
          </w:tcPr>
          <w:p w14:paraId="4F34CCD2"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center"/>
            <w:hideMark/>
          </w:tcPr>
          <w:p w14:paraId="37A27446"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center"/>
            <w:hideMark/>
          </w:tcPr>
          <w:p w14:paraId="6E536F0E"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58" w:type="dxa"/>
            <w:tcBorders>
              <w:top w:val="nil"/>
              <w:left w:val="nil"/>
              <w:bottom w:val="nil"/>
              <w:right w:val="nil"/>
            </w:tcBorders>
            <w:shd w:val="clear" w:color="auto" w:fill="auto"/>
            <w:noWrap/>
            <w:vAlign w:val="center"/>
            <w:hideMark/>
          </w:tcPr>
          <w:p w14:paraId="11D84CD2"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51" w:type="dxa"/>
            <w:tcBorders>
              <w:top w:val="nil"/>
              <w:left w:val="nil"/>
              <w:bottom w:val="nil"/>
              <w:right w:val="nil"/>
            </w:tcBorders>
            <w:shd w:val="clear" w:color="auto" w:fill="auto"/>
            <w:noWrap/>
            <w:vAlign w:val="center"/>
            <w:hideMark/>
          </w:tcPr>
          <w:p w14:paraId="3207DAF3"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3" w:type="dxa"/>
            <w:tcBorders>
              <w:top w:val="nil"/>
              <w:left w:val="nil"/>
              <w:bottom w:val="nil"/>
              <w:right w:val="nil"/>
            </w:tcBorders>
            <w:shd w:val="clear" w:color="auto" w:fill="auto"/>
            <w:noWrap/>
            <w:vAlign w:val="center"/>
            <w:hideMark/>
          </w:tcPr>
          <w:p w14:paraId="72675AC4"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94" w:type="dxa"/>
            <w:tcBorders>
              <w:top w:val="nil"/>
              <w:left w:val="nil"/>
              <w:bottom w:val="nil"/>
              <w:right w:val="nil"/>
            </w:tcBorders>
            <w:shd w:val="clear" w:color="auto" w:fill="auto"/>
            <w:noWrap/>
            <w:vAlign w:val="center"/>
            <w:hideMark/>
          </w:tcPr>
          <w:p w14:paraId="0211FDC7"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EF75DD" w14:paraId="782E2548" w14:textId="77777777" w:rsidTr="002F7131">
        <w:trPr>
          <w:trHeight w:val="405"/>
        </w:trPr>
        <w:tc>
          <w:tcPr>
            <w:tcW w:w="4493" w:type="dxa"/>
            <w:gridSpan w:val="2"/>
            <w:tcBorders>
              <w:top w:val="nil"/>
              <w:left w:val="nil"/>
              <w:bottom w:val="nil"/>
              <w:right w:val="nil"/>
            </w:tcBorders>
            <w:shd w:val="clear" w:color="auto" w:fill="auto"/>
            <w:noWrap/>
            <w:vAlign w:val="center"/>
            <w:hideMark/>
          </w:tcPr>
          <w:p w14:paraId="7568800C"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r w:rsidRPr="00EF75DD">
              <w:rPr>
                <w:rFonts w:ascii="STKaiti" w:eastAsia="STKaiti" w:hAnsi="STKaiti" w:hint="eastAsia"/>
                <w:b/>
                <w:bCs/>
                <w:color w:val="002060"/>
                <w:szCs w:val="24"/>
                <w:lang w:eastAsia="zh-CN"/>
              </w:rPr>
              <w:t>按项和支出类别列出的计划支出</w:t>
            </w:r>
          </w:p>
        </w:tc>
        <w:tc>
          <w:tcPr>
            <w:tcW w:w="1331" w:type="dxa"/>
            <w:tcBorders>
              <w:top w:val="nil"/>
              <w:left w:val="nil"/>
              <w:bottom w:val="nil"/>
              <w:right w:val="nil"/>
            </w:tcBorders>
            <w:shd w:val="clear" w:color="auto" w:fill="auto"/>
            <w:noWrap/>
            <w:vAlign w:val="center"/>
            <w:hideMark/>
          </w:tcPr>
          <w:p w14:paraId="45053E64"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p>
        </w:tc>
        <w:tc>
          <w:tcPr>
            <w:tcW w:w="1218" w:type="dxa"/>
            <w:tcBorders>
              <w:top w:val="nil"/>
              <w:left w:val="nil"/>
              <w:bottom w:val="nil"/>
              <w:right w:val="nil"/>
            </w:tcBorders>
            <w:shd w:val="clear" w:color="auto" w:fill="auto"/>
            <w:noWrap/>
            <w:vAlign w:val="center"/>
            <w:hideMark/>
          </w:tcPr>
          <w:p w14:paraId="75375E90"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18" w:type="dxa"/>
            <w:tcBorders>
              <w:top w:val="nil"/>
              <w:left w:val="nil"/>
              <w:bottom w:val="nil"/>
              <w:right w:val="nil"/>
            </w:tcBorders>
            <w:shd w:val="clear" w:color="auto" w:fill="auto"/>
            <w:noWrap/>
            <w:vAlign w:val="center"/>
            <w:hideMark/>
          </w:tcPr>
          <w:p w14:paraId="6833AB27"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18" w:type="dxa"/>
            <w:tcBorders>
              <w:top w:val="nil"/>
              <w:left w:val="nil"/>
              <w:bottom w:val="nil"/>
              <w:right w:val="nil"/>
            </w:tcBorders>
            <w:shd w:val="clear" w:color="auto" w:fill="auto"/>
            <w:noWrap/>
            <w:vAlign w:val="center"/>
            <w:hideMark/>
          </w:tcPr>
          <w:p w14:paraId="2139E64A"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58" w:type="dxa"/>
            <w:tcBorders>
              <w:top w:val="nil"/>
              <w:left w:val="nil"/>
              <w:bottom w:val="nil"/>
              <w:right w:val="nil"/>
            </w:tcBorders>
            <w:shd w:val="clear" w:color="auto" w:fill="auto"/>
            <w:noWrap/>
            <w:vAlign w:val="center"/>
            <w:hideMark/>
          </w:tcPr>
          <w:p w14:paraId="454466AB"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51" w:type="dxa"/>
            <w:tcBorders>
              <w:top w:val="nil"/>
              <w:left w:val="nil"/>
              <w:bottom w:val="nil"/>
              <w:right w:val="nil"/>
            </w:tcBorders>
            <w:shd w:val="clear" w:color="auto" w:fill="auto"/>
            <w:noWrap/>
            <w:vAlign w:val="center"/>
            <w:hideMark/>
          </w:tcPr>
          <w:p w14:paraId="6C239A64"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363" w:type="dxa"/>
            <w:tcBorders>
              <w:top w:val="nil"/>
              <w:left w:val="nil"/>
              <w:bottom w:val="nil"/>
              <w:right w:val="nil"/>
            </w:tcBorders>
            <w:shd w:val="clear" w:color="auto" w:fill="auto"/>
            <w:noWrap/>
            <w:vAlign w:val="center"/>
            <w:hideMark/>
          </w:tcPr>
          <w:p w14:paraId="2CE6DA3A"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94" w:type="dxa"/>
            <w:tcBorders>
              <w:top w:val="nil"/>
              <w:left w:val="nil"/>
              <w:bottom w:val="nil"/>
              <w:right w:val="nil"/>
            </w:tcBorders>
            <w:shd w:val="clear" w:color="auto" w:fill="auto"/>
            <w:noWrap/>
            <w:vAlign w:val="center"/>
            <w:hideMark/>
          </w:tcPr>
          <w:p w14:paraId="2F4EAC20"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5C437E" w:rsidRPr="00EF75DD" w14:paraId="2025D390" w14:textId="77777777" w:rsidTr="002F7131">
        <w:trPr>
          <w:trHeight w:val="195"/>
        </w:trPr>
        <w:tc>
          <w:tcPr>
            <w:tcW w:w="3120" w:type="dxa"/>
            <w:tcBorders>
              <w:top w:val="nil"/>
              <w:left w:val="nil"/>
              <w:bottom w:val="nil"/>
              <w:right w:val="nil"/>
            </w:tcBorders>
            <w:shd w:val="clear" w:color="auto" w:fill="auto"/>
            <w:noWrap/>
            <w:vAlign w:val="center"/>
            <w:hideMark/>
          </w:tcPr>
          <w:p w14:paraId="1D593D4F"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0430" w:type="dxa"/>
            <w:gridSpan w:val="8"/>
            <w:tcBorders>
              <w:top w:val="nil"/>
              <w:left w:val="nil"/>
              <w:bottom w:val="nil"/>
              <w:right w:val="nil"/>
            </w:tcBorders>
            <w:shd w:val="clear" w:color="auto" w:fill="auto"/>
            <w:noWrap/>
            <w:vAlign w:val="center"/>
            <w:hideMark/>
          </w:tcPr>
          <w:p w14:paraId="0391C6C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EF75DD">
              <w:rPr>
                <w:rFonts w:ascii="STKaiti" w:eastAsia="STKaiti" w:hAnsi="STKaiti" w:hint="eastAsia"/>
                <w:color w:val="002060"/>
                <w:sz w:val="18"/>
                <w:szCs w:val="18"/>
              </w:rPr>
              <w:t>单位：千瑞郎</w:t>
            </w:r>
          </w:p>
        </w:tc>
        <w:tc>
          <w:tcPr>
            <w:tcW w:w="1494" w:type="dxa"/>
            <w:tcBorders>
              <w:top w:val="nil"/>
              <w:left w:val="nil"/>
              <w:bottom w:val="nil"/>
              <w:right w:val="nil"/>
            </w:tcBorders>
            <w:shd w:val="clear" w:color="auto" w:fill="auto"/>
            <w:vAlign w:val="center"/>
          </w:tcPr>
          <w:p w14:paraId="0A84B524"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p>
        </w:tc>
      </w:tr>
      <w:tr w:rsidR="005C437E" w:rsidRPr="00EF75DD" w14:paraId="4D50D059" w14:textId="77777777" w:rsidTr="002F7131">
        <w:trPr>
          <w:trHeight w:val="345"/>
        </w:trPr>
        <w:tc>
          <w:tcPr>
            <w:tcW w:w="3120" w:type="dxa"/>
            <w:tcBorders>
              <w:top w:val="nil"/>
              <w:left w:val="nil"/>
              <w:bottom w:val="nil"/>
              <w:right w:val="nil"/>
            </w:tcBorders>
            <w:shd w:val="clear" w:color="auto" w:fill="auto"/>
            <w:noWrap/>
            <w:vAlign w:val="center"/>
            <w:hideMark/>
          </w:tcPr>
          <w:p w14:paraId="6631F89A"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p>
        </w:tc>
        <w:tc>
          <w:tcPr>
            <w:tcW w:w="1373" w:type="dxa"/>
            <w:tcBorders>
              <w:top w:val="nil"/>
              <w:left w:val="nil"/>
              <w:bottom w:val="nil"/>
              <w:right w:val="nil"/>
            </w:tcBorders>
            <w:shd w:val="clear" w:color="auto" w:fill="auto"/>
            <w:noWrap/>
            <w:vAlign w:val="center"/>
            <w:hideMark/>
          </w:tcPr>
          <w:p w14:paraId="261B1C1D"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p>
        </w:tc>
        <w:tc>
          <w:tcPr>
            <w:tcW w:w="1331" w:type="dxa"/>
            <w:tcBorders>
              <w:top w:val="nil"/>
              <w:left w:val="nil"/>
              <w:bottom w:val="nil"/>
              <w:right w:val="nil"/>
            </w:tcBorders>
            <w:shd w:val="clear" w:color="auto" w:fill="auto"/>
            <w:noWrap/>
            <w:vAlign w:val="center"/>
            <w:hideMark/>
          </w:tcPr>
          <w:p w14:paraId="79125B26"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center"/>
            <w:hideMark/>
          </w:tcPr>
          <w:p w14:paraId="503FC01B"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center"/>
            <w:hideMark/>
          </w:tcPr>
          <w:p w14:paraId="38B9BD07"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center"/>
            <w:hideMark/>
          </w:tcPr>
          <w:p w14:paraId="48957AA0"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4072" w:type="dxa"/>
            <w:gridSpan w:val="3"/>
            <w:tcBorders>
              <w:top w:val="nil"/>
              <w:left w:val="nil"/>
              <w:bottom w:val="nil"/>
              <w:right w:val="nil"/>
            </w:tcBorders>
            <w:shd w:val="clear" w:color="auto" w:fill="auto"/>
            <w:noWrap/>
            <w:vAlign w:val="center"/>
            <w:hideMark/>
          </w:tcPr>
          <w:p w14:paraId="298E3819"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r w:rsidRPr="00EF75DD">
              <w:rPr>
                <w:rFonts w:ascii="STKaiti" w:eastAsia="STKaiti" w:hAnsi="STKaiti" w:hint="eastAsia"/>
                <w:b/>
                <w:bCs/>
                <w:color w:val="002060"/>
                <w:sz w:val="20"/>
              </w:rPr>
              <w:t>电信标准化局</w:t>
            </w:r>
          </w:p>
        </w:tc>
        <w:tc>
          <w:tcPr>
            <w:tcW w:w="1494" w:type="dxa"/>
            <w:tcBorders>
              <w:top w:val="nil"/>
              <w:left w:val="nil"/>
              <w:bottom w:val="nil"/>
              <w:right w:val="nil"/>
            </w:tcBorders>
            <w:shd w:val="clear" w:color="auto" w:fill="auto"/>
            <w:noWrap/>
            <w:vAlign w:val="center"/>
            <w:hideMark/>
          </w:tcPr>
          <w:p w14:paraId="500AE71B"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p>
        </w:tc>
      </w:tr>
      <w:tr w:rsidR="005C437E" w:rsidRPr="00EF75DD" w14:paraId="44A993D4" w14:textId="77777777" w:rsidTr="002F7131">
        <w:trPr>
          <w:trHeight w:val="150"/>
        </w:trPr>
        <w:tc>
          <w:tcPr>
            <w:tcW w:w="3120" w:type="dxa"/>
            <w:tcBorders>
              <w:top w:val="nil"/>
              <w:left w:val="nil"/>
              <w:bottom w:val="nil"/>
              <w:right w:val="nil"/>
            </w:tcBorders>
            <w:shd w:val="clear" w:color="auto" w:fill="auto"/>
            <w:noWrap/>
            <w:vAlign w:val="center"/>
            <w:hideMark/>
          </w:tcPr>
          <w:p w14:paraId="3055C27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373" w:type="dxa"/>
            <w:tcBorders>
              <w:top w:val="nil"/>
              <w:left w:val="nil"/>
              <w:bottom w:val="nil"/>
              <w:right w:val="nil"/>
            </w:tcBorders>
            <w:shd w:val="clear" w:color="auto" w:fill="auto"/>
            <w:noWrap/>
            <w:vAlign w:val="center"/>
            <w:hideMark/>
          </w:tcPr>
          <w:p w14:paraId="651345A5"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31" w:type="dxa"/>
            <w:tcBorders>
              <w:top w:val="nil"/>
              <w:left w:val="nil"/>
              <w:bottom w:val="nil"/>
              <w:right w:val="nil"/>
            </w:tcBorders>
            <w:shd w:val="clear" w:color="auto" w:fill="auto"/>
            <w:noWrap/>
            <w:vAlign w:val="center"/>
            <w:hideMark/>
          </w:tcPr>
          <w:p w14:paraId="2F63BE08"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center"/>
            <w:hideMark/>
          </w:tcPr>
          <w:p w14:paraId="207E12B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center"/>
            <w:hideMark/>
          </w:tcPr>
          <w:p w14:paraId="1FA1FB10"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center"/>
            <w:hideMark/>
          </w:tcPr>
          <w:p w14:paraId="242947D7"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4072" w:type="dxa"/>
            <w:gridSpan w:val="3"/>
            <w:tcBorders>
              <w:top w:val="nil"/>
              <w:left w:val="nil"/>
              <w:bottom w:val="nil"/>
              <w:right w:val="nil"/>
            </w:tcBorders>
            <w:shd w:val="clear" w:color="auto" w:fill="auto"/>
            <w:noWrap/>
            <w:vAlign w:val="center"/>
            <w:hideMark/>
          </w:tcPr>
          <w:p w14:paraId="5EB5D154"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F93933">
              <w:rPr>
                <w:rFonts w:ascii="Helv" w:eastAsia="Times New Roman" w:hAnsi="Helv"/>
                <w:noProof/>
                <w:sz w:val="20"/>
              </w:rPr>
              <mc:AlternateContent>
                <mc:Choice Requires="wps">
                  <w:drawing>
                    <wp:anchor distT="0" distB="0" distL="114300" distR="114300" simplePos="0" relativeHeight="251701248" behindDoc="0" locked="0" layoutInCell="1" allowOverlap="1" wp14:anchorId="05E86393" wp14:editId="3F40C2AA">
                      <wp:simplePos x="0" y="0"/>
                      <wp:positionH relativeFrom="column">
                        <wp:posOffset>1157605</wp:posOffset>
                      </wp:positionH>
                      <wp:positionV relativeFrom="paragraph">
                        <wp:posOffset>-1098550</wp:posOffset>
                      </wp:positionV>
                      <wp:extent cx="57785" cy="2340610"/>
                      <wp:effectExtent l="1588" t="0" r="20002" b="20003"/>
                      <wp:wrapNone/>
                      <wp:docPr id="109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57785" cy="2340610"/>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805D7E7" id="AutoShape 15" o:spid="_x0000_s1026" type="#_x0000_t85" style="position:absolute;margin-left:91.15pt;margin-top:-86.5pt;width:4.55pt;height:184.3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" adj="608" strokecolor="#0070c0" strokeweight="1pt"/>
                  </w:pict>
                </mc:Fallback>
              </mc:AlternateContent>
            </w:r>
          </w:p>
        </w:tc>
        <w:tc>
          <w:tcPr>
            <w:tcW w:w="1494" w:type="dxa"/>
            <w:tcBorders>
              <w:top w:val="nil"/>
              <w:left w:val="nil"/>
              <w:bottom w:val="nil"/>
              <w:right w:val="nil"/>
            </w:tcBorders>
            <w:shd w:val="clear" w:color="auto" w:fill="auto"/>
            <w:noWrap/>
            <w:vAlign w:val="bottom"/>
            <w:hideMark/>
          </w:tcPr>
          <w:p w14:paraId="002C75A3"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r w:rsidRPr="00EF75DD">
              <w:rPr>
                <w:rFonts w:ascii="Helv" w:eastAsia="Times New Roman" w:hAnsi="Helv"/>
                <w:noProof/>
                <w:sz w:val="20"/>
              </w:rPr>
              <mc:AlternateContent>
                <mc:Choice Requires="wps">
                  <w:drawing>
                    <wp:anchor distT="0" distB="0" distL="114300" distR="114300" simplePos="0" relativeHeight="251700224" behindDoc="0" locked="0" layoutInCell="1" allowOverlap="1" wp14:anchorId="3278B971" wp14:editId="5C6EFB0B">
                      <wp:simplePos x="0" y="0"/>
                      <wp:positionH relativeFrom="column">
                        <wp:posOffset>27940</wp:posOffset>
                      </wp:positionH>
                      <wp:positionV relativeFrom="paragraph">
                        <wp:posOffset>-48895</wp:posOffset>
                      </wp:positionV>
                      <wp:extent cx="882015" cy="4502150"/>
                      <wp:effectExtent l="0" t="0" r="13335" b="12700"/>
                      <wp:wrapNone/>
                      <wp:docPr id="1091" name="圆角矩形 1091">
                        <a:extLst xmlns:a="http://schemas.openxmlformats.org/drawingml/2006/main">
                          <a:ext uri="{FF2B5EF4-FFF2-40B4-BE49-F238E27FC236}">
                            <a16:creationId xmlns:a16="http://schemas.microsoft.com/office/drawing/2014/main" id="{3B82E878-ADB4-6A41-A9DC-22430A72EB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450215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1779B3C1" id="圆角矩形 1091" o:spid="_x0000_s1026" style="position:absolute;margin-left:2.2pt;margin-top:-3.85pt;width:69.45pt;height:35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" filled="f" strokecolor="#0070c0" strokeweight="1pt"/>
                  </w:pict>
                </mc:Fallback>
              </mc:AlternateContent>
            </w:r>
          </w:p>
        </w:tc>
      </w:tr>
      <w:tr w:rsidR="005C437E" w:rsidRPr="00EF75DD" w14:paraId="684C6869" w14:textId="77777777" w:rsidTr="002F7131">
        <w:trPr>
          <w:trHeight w:val="20"/>
        </w:trPr>
        <w:tc>
          <w:tcPr>
            <w:tcW w:w="3120" w:type="dxa"/>
            <w:tcBorders>
              <w:top w:val="nil"/>
              <w:left w:val="nil"/>
              <w:bottom w:val="nil"/>
              <w:right w:val="nil"/>
            </w:tcBorders>
            <w:shd w:val="clear" w:color="auto" w:fill="auto"/>
            <w:noWrap/>
            <w:vAlign w:val="center"/>
            <w:hideMark/>
          </w:tcPr>
          <w:p w14:paraId="38990CE6"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373" w:type="dxa"/>
            <w:tcBorders>
              <w:top w:val="nil"/>
              <w:left w:val="nil"/>
              <w:bottom w:val="nil"/>
              <w:right w:val="nil"/>
            </w:tcBorders>
            <w:shd w:val="clear" w:color="auto" w:fill="auto"/>
            <w:hideMark/>
          </w:tcPr>
          <w:p w14:paraId="6290B675"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lang w:eastAsia="zh-CN"/>
              </w:rPr>
            </w:pPr>
            <w:r w:rsidRPr="00EF75DD">
              <w:rPr>
                <w:rFonts w:ascii="SimSun" w:hAnsi="SimSun" w:hint="eastAsia"/>
                <w:sz w:val="18"/>
                <w:szCs w:val="18"/>
                <w:lang w:eastAsia="zh-CN"/>
              </w:rPr>
              <w:t>世界电信标准化全会（</w:t>
            </w:r>
            <w:r w:rsidRPr="00EF75DD">
              <w:rPr>
                <w:rFonts w:cs="Calibri"/>
                <w:sz w:val="18"/>
                <w:szCs w:val="18"/>
                <w:lang w:eastAsia="zh-CN"/>
              </w:rPr>
              <w:t>WTSA</w:t>
            </w:r>
            <w:r w:rsidRPr="00EF75DD">
              <w:rPr>
                <w:rFonts w:ascii="SimSun" w:hAnsi="SimSun" w:hint="eastAsia"/>
                <w:sz w:val="18"/>
                <w:szCs w:val="18"/>
                <w:lang w:eastAsia="zh-CN"/>
              </w:rPr>
              <w:t>）</w:t>
            </w:r>
          </w:p>
        </w:tc>
        <w:tc>
          <w:tcPr>
            <w:tcW w:w="1331" w:type="dxa"/>
            <w:tcBorders>
              <w:top w:val="nil"/>
              <w:left w:val="nil"/>
              <w:bottom w:val="nil"/>
              <w:right w:val="nil"/>
            </w:tcBorders>
            <w:shd w:val="clear" w:color="auto" w:fill="auto"/>
            <w:hideMark/>
          </w:tcPr>
          <w:p w14:paraId="64B49DB7"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EF75DD">
              <w:rPr>
                <w:rFonts w:ascii="SimSun" w:hAnsi="SimSun" w:hint="eastAsia"/>
                <w:sz w:val="18"/>
                <w:szCs w:val="18"/>
              </w:rPr>
              <w:t>电信标准化顾问组</w:t>
            </w:r>
          </w:p>
        </w:tc>
        <w:tc>
          <w:tcPr>
            <w:tcW w:w="1218" w:type="dxa"/>
            <w:tcBorders>
              <w:top w:val="nil"/>
              <w:left w:val="nil"/>
              <w:bottom w:val="nil"/>
              <w:right w:val="nil"/>
            </w:tcBorders>
            <w:shd w:val="clear" w:color="auto" w:fill="auto"/>
            <w:hideMark/>
          </w:tcPr>
          <w:p w14:paraId="00134EF3"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EF75DD">
              <w:rPr>
                <w:rFonts w:ascii="SimSun" w:hAnsi="SimSun" w:hint="eastAsia"/>
                <w:sz w:val="18"/>
                <w:szCs w:val="18"/>
              </w:rPr>
              <w:t>研究组会议</w:t>
            </w:r>
          </w:p>
        </w:tc>
        <w:tc>
          <w:tcPr>
            <w:tcW w:w="1218" w:type="dxa"/>
            <w:tcBorders>
              <w:top w:val="nil"/>
              <w:left w:val="nil"/>
              <w:bottom w:val="nil"/>
              <w:right w:val="nil"/>
            </w:tcBorders>
            <w:shd w:val="clear" w:color="auto" w:fill="auto"/>
            <w:hideMark/>
          </w:tcPr>
          <w:p w14:paraId="7FC86F1B"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EF75DD">
              <w:rPr>
                <w:rFonts w:ascii="SimSun" w:hAnsi="SimSun" w:hint="eastAsia"/>
                <w:sz w:val="18"/>
                <w:szCs w:val="18"/>
              </w:rPr>
              <w:t>活动和项目</w:t>
            </w:r>
          </w:p>
        </w:tc>
        <w:tc>
          <w:tcPr>
            <w:tcW w:w="1218" w:type="dxa"/>
            <w:tcBorders>
              <w:top w:val="nil"/>
              <w:left w:val="nil"/>
              <w:bottom w:val="nil"/>
              <w:right w:val="nil"/>
            </w:tcBorders>
            <w:shd w:val="clear" w:color="auto" w:fill="auto"/>
            <w:hideMark/>
          </w:tcPr>
          <w:p w14:paraId="475B4CCE"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EF75DD">
              <w:rPr>
                <w:rFonts w:ascii="SimSun" w:hAnsi="SimSun" w:hint="eastAsia"/>
                <w:sz w:val="18"/>
                <w:szCs w:val="18"/>
              </w:rPr>
              <w:t>研讨会和</w:t>
            </w:r>
            <w:r>
              <w:rPr>
                <w:rFonts w:ascii="SimSun" w:hAnsi="SimSun"/>
                <w:sz w:val="18"/>
                <w:szCs w:val="18"/>
              </w:rPr>
              <w:br/>
            </w:r>
            <w:r w:rsidRPr="00EF75DD">
              <w:rPr>
                <w:rFonts w:ascii="SimSun" w:hAnsi="SimSun" w:hint="eastAsia"/>
                <w:sz w:val="18"/>
                <w:szCs w:val="18"/>
              </w:rPr>
              <w:t>讲习班</w:t>
            </w:r>
          </w:p>
        </w:tc>
        <w:tc>
          <w:tcPr>
            <w:tcW w:w="1458" w:type="dxa"/>
            <w:tcBorders>
              <w:top w:val="nil"/>
              <w:left w:val="nil"/>
              <w:bottom w:val="nil"/>
              <w:right w:val="nil"/>
            </w:tcBorders>
            <w:shd w:val="clear" w:color="auto" w:fill="auto"/>
            <w:hideMark/>
          </w:tcPr>
          <w:p w14:paraId="149E54FA"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EF75DD">
              <w:rPr>
                <w:rFonts w:ascii="SimSun" w:hAnsi="SimSun" w:hint="eastAsia"/>
                <w:sz w:val="18"/>
                <w:szCs w:val="18"/>
              </w:rPr>
              <w:t>共同支出</w:t>
            </w:r>
          </w:p>
        </w:tc>
        <w:tc>
          <w:tcPr>
            <w:tcW w:w="1251" w:type="dxa"/>
            <w:tcBorders>
              <w:top w:val="nil"/>
              <w:left w:val="nil"/>
              <w:bottom w:val="nil"/>
              <w:right w:val="nil"/>
            </w:tcBorders>
            <w:shd w:val="clear" w:color="auto" w:fill="auto"/>
            <w:hideMark/>
          </w:tcPr>
          <w:p w14:paraId="192EC201"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EF75DD">
              <w:rPr>
                <w:rFonts w:ascii="SimSun" w:hAnsi="SimSun" w:hint="eastAsia"/>
                <w:sz w:val="18"/>
                <w:szCs w:val="18"/>
              </w:rPr>
              <w:t>主任办公室</w:t>
            </w:r>
          </w:p>
        </w:tc>
        <w:tc>
          <w:tcPr>
            <w:tcW w:w="1363" w:type="dxa"/>
            <w:tcBorders>
              <w:top w:val="nil"/>
              <w:left w:val="nil"/>
              <w:bottom w:val="nil"/>
              <w:right w:val="nil"/>
            </w:tcBorders>
            <w:shd w:val="clear" w:color="auto" w:fill="auto"/>
            <w:hideMark/>
          </w:tcPr>
          <w:p w14:paraId="31D56945"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EF75DD">
              <w:rPr>
                <w:rFonts w:ascii="SimSun" w:hAnsi="SimSun" w:hint="eastAsia"/>
                <w:sz w:val="18"/>
                <w:szCs w:val="18"/>
              </w:rPr>
              <w:t>各部</w:t>
            </w:r>
          </w:p>
        </w:tc>
        <w:tc>
          <w:tcPr>
            <w:tcW w:w="1494" w:type="dxa"/>
            <w:tcBorders>
              <w:top w:val="nil"/>
              <w:left w:val="nil"/>
              <w:bottom w:val="nil"/>
              <w:right w:val="nil"/>
            </w:tcBorders>
            <w:shd w:val="clear" w:color="auto" w:fill="auto"/>
            <w:noWrap/>
            <w:vAlign w:val="center"/>
            <w:hideMark/>
          </w:tcPr>
          <w:p w14:paraId="63344BCA" w14:textId="77777777" w:rsidR="005C437E" w:rsidRPr="00777B6E"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heme="minorEastAsia" w:eastAsiaTheme="minorEastAsia" w:hAnsiTheme="minorEastAsia" w:cs="Calibri"/>
                <w:b/>
                <w:bCs/>
                <w:color w:val="002060"/>
                <w:sz w:val="20"/>
              </w:rPr>
            </w:pPr>
            <w:r w:rsidRPr="00777B6E">
              <w:rPr>
                <w:rFonts w:asciiTheme="minorEastAsia" w:eastAsiaTheme="minorEastAsia" w:hAnsiTheme="minorEastAsia" w:cs="Microsoft YaHei"/>
                <w:b/>
                <w:bCs/>
                <w:color w:val="002060"/>
                <w:sz w:val="20"/>
              </w:rPr>
              <w:t>合计</w:t>
            </w:r>
          </w:p>
        </w:tc>
      </w:tr>
      <w:tr w:rsidR="005C437E" w:rsidRPr="00EF75DD" w14:paraId="0D97271C" w14:textId="77777777" w:rsidTr="002F7131">
        <w:trPr>
          <w:trHeight w:val="20"/>
        </w:trPr>
        <w:tc>
          <w:tcPr>
            <w:tcW w:w="3120" w:type="dxa"/>
            <w:tcBorders>
              <w:top w:val="nil"/>
              <w:left w:val="nil"/>
              <w:bottom w:val="single" w:sz="4" w:space="0" w:color="auto"/>
              <w:right w:val="nil"/>
            </w:tcBorders>
            <w:shd w:val="clear" w:color="auto" w:fill="auto"/>
            <w:noWrap/>
            <w:vAlign w:val="center"/>
            <w:hideMark/>
          </w:tcPr>
          <w:p w14:paraId="564E70CA"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sz w:val="20"/>
              </w:rPr>
            </w:pPr>
            <w:r w:rsidRPr="00EF75DD">
              <w:rPr>
                <w:rFonts w:eastAsia="Times New Roman" w:cs="Calibri"/>
                <w:b/>
                <w:bCs/>
                <w:i/>
                <w:iCs/>
                <w:sz w:val="20"/>
              </w:rPr>
              <w:t> </w:t>
            </w:r>
          </w:p>
        </w:tc>
        <w:tc>
          <w:tcPr>
            <w:tcW w:w="1373" w:type="dxa"/>
            <w:tcBorders>
              <w:top w:val="nil"/>
              <w:left w:val="single" w:sz="4" w:space="0" w:color="0070C0"/>
              <w:bottom w:val="single" w:sz="4" w:space="0" w:color="auto"/>
              <w:right w:val="nil"/>
            </w:tcBorders>
            <w:shd w:val="clear" w:color="auto" w:fill="auto"/>
            <w:vAlign w:val="center"/>
            <w:hideMark/>
          </w:tcPr>
          <w:p w14:paraId="1A49DDC3"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EF75DD">
              <w:rPr>
                <w:rFonts w:eastAsia="Times New Roman" w:cs="Calibri"/>
                <w:sz w:val="20"/>
              </w:rPr>
              <w:t> </w:t>
            </w:r>
          </w:p>
        </w:tc>
        <w:tc>
          <w:tcPr>
            <w:tcW w:w="1331" w:type="dxa"/>
            <w:tcBorders>
              <w:top w:val="nil"/>
              <w:left w:val="nil"/>
              <w:bottom w:val="single" w:sz="4" w:space="0" w:color="auto"/>
              <w:right w:val="nil"/>
            </w:tcBorders>
            <w:shd w:val="clear" w:color="auto" w:fill="auto"/>
            <w:noWrap/>
            <w:vAlign w:val="center"/>
            <w:hideMark/>
          </w:tcPr>
          <w:p w14:paraId="1ECD364B"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EF75DD">
              <w:rPr>
                <w:rFonts w:eastAsia="Times New Roman" w:cs="Calibri"/>
                <w:sz w:val="20"/>
              </w:rPr>
              <w:t> </w:t>
            </w:r>
          </w:p>
        </w:tc>
        <w:tc>
          <w:tcPr>
            <w:tcW w:w="1218" w:type="dxa"/>
            <w:tcBorders>
              <w:top w:val="nil"/>
              <w:left w:val="nil"/>
              <w:bottom w:val="single" w:sz="4" w:space="0" w:color="auto"/>
              <w:right w:val="nil"/>
            </w:tcBorders>
            <w:shd w:val="clear" w:color="auto" w:fill="auto"/>
            <w:noWrap/>
            <w:vAlign w:val="center"/>
            <w:hideMark/>
          </w:tcPr>
          <w:p w14:paraId="41A8946B"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EF75DD">
              <w:rPr>
                <w:rFonts w:eastAsia="Times New Roman" w:cs="Calibri"/>
                <w:sz w:val="20"/>
              </w:rPr>
              <w:t> </w:t>
            </w:r>
          </w:p>
        </w:tc>
        <w:tc>
          <w:tcPr>
            <w:tcW w:w="1218" w:type="dxa"/>
            <w:tcBorders>
              <w:top w:val="nil"/>
              <w:left w:val="nil"/>
              <w:bottom w:val="single" w:sz="4" w:space="0" w:color="auto"/>
              <w:right w:val="nil"/>
            </w:tcBorders>
            <w:shd w:val="clear" w:color="auto" w:fill="auto"/>
            <w:noWrap/>
            <w:vAlign w:val="center"/>
            <w:hideMark/>
          </w:tcPr>
          <w:p w14:paraId="7B52970C"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EF75DD">
              <w:rPr>
                <w:rFonts w:eastAsia="Times New Roman" w:cs="Calibri"/>
                <w:sz w:val="20"/>
              </w:rPr>
              <w:t> </w:t>
            </w:r>
          </w:p>
        </w:tc>
        <w:tc>
          <w:tcPr>
            <w:tcW w:w="1218" w:type="dxa"/>
            <w:tcBorders>
              <w:top w:val="nil"/>
              <w:left w:val="nil"/>
              <w:bottom w:val="single" w:sz="4" w:space="0" w:color="auto"/>
              <w:right w:val="nil"/>
            </w:tcBorders>
            <w:shd w:val="clear" w:color="auto" w:fill="auto"/>
            <w:noWrap/>
            <w:vAlign w:val="center"/>
            <w:hideMark/>
          </w:tcPr>
          <w:p w14:paraId="2A79A0D2"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EF75DD">
              <w:rPr>
                <w:rFonts w:eastAsia="Times New Roman" w:cs="Calibri"/>
                <w:sz w:val="20"/>
              </w:rPr>
              <w:t> </w:t>
            </w:r>
          </w:p>
        </w:tc>
        <w:tc>
          <w:tcPr>
            <w:tcW w:w="1458" w:type="dxa"/>
            <w:tcBorders>
              <w:top w:val="nil"/>
              <w:left w:val="nil"/>
              <w:bottom w:val="single" w:sz="4" w:space="0" w:color="auto"/>
              <w:right w:val="nil"/>
            </w:tcBorders>
            <w:shd w:val="clear" w:color="auto" w:fill="auto"/>
            <w:noWrap/>
            <w:vAlign w:val="center"/>
            <w:hideMark/>
          </w:tcPr>
          <w:p w14:paraId="171B5CB4"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EF75DD">
              <w:rPr>
                <w:rFonts w:eastAsia="Times New Roman" w:cs="Calibri"/>
                <w:sz w:val="20"/>
              </w:rPr>
              <w:t> </w:t>
            </w:r>
          </w:p>
        </w:tc>
        <w:tc>
          <w:tcPr>
            <w:tcW w:w="1251" w:type="dxa"/>
            <w:tcBorders>
              <w:top w:val="nil"/>
              <w:left w:val="nil"/>
              <w:bottom w:val="single" w:sz="4" w:space="0" w:color="auto"/>
              <w:right w:val="nil"/>
            </w:tcBorders>
            <w:shd w:val="clear" w:color="auto" w:fill="auto"/>
            <w:noWrap/>
            <w:vAlign w:val="center"/>
            <w:hideMark/>
          </w:tcPr>
          <w:p w14:paraId="0FC012A7"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EF75DD">
              <w:rPr>
                <w:rFonts w:eastAsia="Times New Roman" w:cs="Calibri"/>
                <w:sz w:val="20"/>
              </w:rPr>
              <w:t> </w:t>
            </w:r>
          </w:p>
        </w:tc>
        <w:tc>
          <w:tcPr>
            <w:tcW w:w="1363" w:type="dxa"/>
            <w:tcBorders>
              <w:top w:val="nil"/>
              <w:left w:val="nil"/>
              <w:bottom w:val="single" w:sz="4" w:space="0" w:color="auto"/>
              <w:right w:val="nil"/>
            </w:tcBorders>
            <w:shd w:val="clear" w:color="auto" w:fill="auto"/>
            <w:noWrap/>
            <w:vAlign w:val="center"/>
            <w:hideMark/>
          </w:tcPr>
          <w:p w14:paraId="5698390E"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EF75DD">
              <w:rPr>
                <w:rFonts w:eastAsia="Times New Roman" w:cs="Calibri"/>
                <w:sz w:val="20"/>
              </w:rPr>
              <w:t> </w:t>
            </w:r>
          </w:p>
        </w:tc>
        <w:tc>
          <w:tcPr>
            <w:tcW w:w="1494" w:type="dxa"/>
            <w:tcBorders>
              <w:top w:val="nil"/>
              <w:left w:val="nil"/>
              <w:bottom w:val="single" w:sz="4" w:space="0" w:color="auto"/>
              <w:right w:val="nil"/>
            </w:tcBorders>
            <w:shd w:val="clear" w:color="auto" w:fill="auto"/>
            <w:noWrap/>
            <w:vAlign w:val="center"/>
            <w:hideMark/>
          </w:tcPr>
          <w:p w14:paraId="28D1A441"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EF75DD">
              <w:rPr>
                <w:rFonts w:eastAsia="Times New Roman" w:cs="Calibri"/>
                <w:b/>
                <w:bCs/>
                <w:color w:val="002060"/>
                <w:sz w:val="20"/>
              </w:rPr>
              <w:t> </w:t>
            </w:r>
          </w:p>
        </w:tc>
      </w:tr>
      <w:tr w:rsidR="005C437E" w:rsidRPr="00EF75DD" w14:paraId="2A3E0A7A" w14:textId="77777777" w:rsidTr="002F7131">
        <w:trPr>
          <w:trHeight w:val="20"/>
        </w:trPr>
        <w:tc>
          <w:tcPr>
            <w:tcW w:w="3120" w:type="dxa"/>
            <w:tcBorders>
              <w:top w:val="nil"/>
              <w:left w:val="nil"/>
              <w:bottom w:val="nil"/>
              <w:right w:val="nil"/>
            </w:tcBorders>
            <w:shd w:val="clear" w:color="auto" w:fill="auto"/>
            <w:noWrap/>
            <w:vAlign w:val="center"/>
            <w:hideMark/>
          </w:tcPr>
          <w:p w14:paraId="7AC41A4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73" w:type="dxa"/>
            <w:tcBorders>
              <w:top w:val="nil"/>
              <w:left w:val="single" w:sz="4" w:space="0" w:color="0070C0"/>
              <w:bottom w:val="nil"/>
              <w:right w:val="nil"/>
            </w:tcBorders>
            <w:shd w:val="clear" w:color="auto" w:fill="auto"/>
            <w:noWrap/>
            <w:vAlign w:val="center"/>
            <w:hideMark/>
          </w:tcPr>
          <w:p w14:paraId="5032514B"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 </w:t>
            </w:r>
          </w:p>
        </w:tc>
        <w:tc>
          <w:tcPr>
            <w:tcW w:w="1331" w:type="dxa"/>
            <w:tcBorders>
              <w:top w:val="nil"/>
              <w:left w:val="nil"/>
              <w:bottom w:val="nil"/>
              <w:right w:val="nil"/>
            </w:tcBorders>
            <w:shd w:val="clear" w:color="auto" w:fill="auto"/>
            <w:noWrap/>
            <w:vAlign w:val="center"/>
            <w:hideMark/>
          </w:tcPr>
          <w:p w14:paraId="3565892E"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8" w:type="dxa"/>
            <w:tcBorders>
              <w:top w:val="nil"/>
              <w:left w:val="nil"/>
              <w:bottom w:val="nil"/>
              <w:right w:val="nil"/>
            </w:tcBorders>
            <w:shd w:val="clear" w:color="auto" w:fill="auto"/>
            <w:noWrap/>
            <w:vAlign w:val="center"/>
            <w:hideMark/>
          </w:tcPr>
          <w:p w14:paraId="134C88D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center"/>
            <w:hideMark/>
          </w:tcPr>
          <w:p w14:paraId="7A2BA0B6"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center"/>
            <w:hideMark/>
          </w:tcPr>
          <w:p w14:paraId="76C14DD1"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8" w:type="dxa"/>
            <w:tcBorders>
              <w:top w:val="nil"/>
              <w:left w:val="nil"/>
              <w:bottom w:val="nil"/>
              <w:right w:val="nil"/>
            </w:tcBorders>
            <w:shd w:val="clear" w:color="auto" w:fill="auto"/>
            <w:noWrap/>
            <w:vAlign w:val="center"/>
            <w:hideMark/>
          </w:tcPr>
          <w:p w14:paraId="70D333B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1" w:type="dxa"/>
            <w:tcBorders>
              <w:top w:val="nil"/>
              <w:left w:val="nil"/>
              <w:bottom w:val="nil"/>
              <w:right w:val="nil"/>
            </w:tcBorders>
            <w:shd w:val="clear" w:color="auto" w:fill="auto"/>
            <w:noWrap/>
            <w:vAlign w:val="center"/>
            <w:hideMark/>
          </w:tcPr>
          <w:p w14:paraId="71752B15"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3" w:type="dxa"/>
            <w:tcBorders>
              <w:top w:val="nil"/>
              <w:left w:val="nil"/>
              <w:bottom w:val="nil"/>
              <w:right w:val="nil"/>
            </w:tcBorders>
            <w:shd w:val="clear" w:color="auto" w:fill="auto"/>
            <w:noWrap/>
            <w:vAlign w:val="center"/>
            <w:hideMark/>
          </w:tcPr>
          <w:p w14:paraId="3702B8D8"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94" w:type="dxa"/>
            <w:tcBorders>
              <w:top w:val="nil"/>
              <w:left w:val="nil"/>
              <w:bottom w:val="nil"/>
              <w:right w:val="nil"/>
            </w:tcBorders>
            <w:shd w:val="clear" w:color="auto" w:fill="auto"/>
            <w:noWrap/>
            <w:vAlign w:val="center"/>
            <w:hideMark/>
          </w:tcPr>
          <w:p w14:paraId="7E7A05D0"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EF75DD" w14:paraId="775AAA3E" w14:textId="77777777" w:rsidTr="002F7131">
        <w:trPr>
          <w:trHeight w:val="20"/>
        </w:trPr>
        <w:tc>
          <w:tcPr>
            <w:tcW w:w="3120" w:type="dxa"/>
            <w:tcBorders>
              <w:top w:val="nil"/>
              <w:left w:val="nil"/>
              <w:bottom w:val="nil"/>
              <w:right w:val="nil"/>
            </w:tcBorders>
            <w:shd w:val="clear" w:color="auto" w:fill="auto"/>
            <w:noWrap/>
            <w:vAlign w:val="bottom"/>
            <w:hideMark/>
          </w:tcPr>
          <w:p w14:paraId="2924C55C"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EF75DD">
              <w:rPr>
                <w:rFonts w:cstheme="minorHAnsi"/>
                <w:sz w:val="20"/>
              </w:rPr>
              <w:t xml:space="preserve">1 - </w:t>
            </w:r>
            <w:r w:rsidRPr="00EF75DD">
              <w:rPr>
                <w:rFonts w:cstheme="minorHAnsi"/>
                <w:sz w:val="20"/>
              </w:rPr>
              <w:t>人员费用</w:t>
            </w:r>
          </w:p>
        </w:tc>
        <w:tc>
          <w:tcPr>
            <w:tcW w:w="1373" w:type="dxa"/>
            <w:tcBorders>
              <w:top w:val="nil"/>
              <w:left w:val="single" w:sz="4" w:space="0" w:color="0070C0"/>
              <w:bottom w:val="nil"/>
              <w:right w:val="nil"/>
            </w:tcBorders>
            <w:shd w:val="clear" w:color="auto" w:fill="auto"/>
            <w:noWrap/>
            <w:vAlign w:val="bottom"/>
            <w:hideMark/>
          </w:tcPr>
          <w:p w14:paraId="02B42880"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 </w:t>
            </w:r>
          </w:p>
        </w:tc>
        <w:tc>
          <w:tcPr>
            <w:tcW w:w="1331" w:type="dxa"/>
            <w:tcBorders>
              <w:top w:val="nil"/>
              <w:left w:val="nil"/>
              <w:bottom w:val="nil"/>
              <w:right w:val="nil"/>
            </w:tcBorders>
            <w:shd w:val="clear" w:color="auto" w:fill="auto"/>
            <w:noWrap/>
            <w:vAlign w:val="bottom"/>
            <w:hideMark/>
          </w:tcPr>
          <w:p w14:paraId="54827451"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63</w:t>
            </w:r>
          </w:p>
        </w:tc>
        <w:tc>
          <w:tcPr>
            <w:tcW w:w="1218" w:type="dxa"/>
            <w:tcBorders>
              <w:top w:val="nil"/>
              <w:left w:val="nil"/>
              <w:bottom w:val="nil"/>
              <w:right w:val="nil"/>
            </w:tcBorders>
            <w:shd w:val="clear" w:color="auto" w:fill="auto"/>
            <w:noWrap/>
            <w:vAlign w:val="bottom"/>
            <w:hideMark/>
          </w:tcPr>
          <w:p w14:paraId="2BB51BA6"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597</w:t>
            </w:r>
          </w:p>
        </w:tc>
        <w:tc>
          <w:tcPr>
            <w:tcW w:w="1218" w:type="dxa"/>
            <w:tcBorders>
              <w:top w:val="nil"/>
              <w:left w:val="nil"/>
              <w:bottom w:val="nil"/>
              <w:right w:val="nil"/>
            </w:tcBorders>
            <w:shd w:val="clear" w:color="auto" w:fill="auto"/>
            <w:noWrap/>
            <w:vAlign w:val="bottom"/>
            <w:hideMark/>
          </w:tcPr>
          <w:p w14:paraId="5DF28013"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8" w:type="dxa"/>
            <w:tcBorders>
              <w:top w:val="nil"/>
              <w:left w:val="nil"/>
              <w:bottom w:val="nil"/>
              <w:right w:val="nil"/>
            </w:tcBorders>
            <w:shd w:val="clear" w:color="auto" w:fill="auto"/>
            <w:noWrap/>
            <w:vAlign w:val="bottom"/>
            <w:hideMark/>
          </w:tcPr>
          <w:p w14:paraId="3B2851C3"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20</w:t>
            </w:r>
          </w:p>
        </w:tc>
        <w:tc>
          <w:tcPr>
            <w:tcW w:w="1458" w:type="dxa"/>
            <w:tcBorders>
              <w:top w:val="nil"/>
              <w:left w:val="nil"/>
              <w:bottom w:val="nil"/>
              <w:right w:val="nil"/>
            </w:tcBorders>
            <w:shd w:val="clear" w:color="auto" w:fill="auto"/>
            <w:noWrap/>
            <w:vAlign w:val="bottom"/>
            <w:hideMark/>
          </w:tcPr>
          <w:p w14:paraId="14D57F28"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51" w:type="dxa"/>
            <w:tcBorders>
              <w:top w:val="nil"/>
              <w:left w:val="nil"/>
              <w:bottom w:val="nil"/>
              <w:right w:val="nil"/>
            </w:tcBorders>
            <w:shd w:val="clear" w:color="auto" w:fill="auto"/>
            <w:noWrap/>
            <w:vAlign w:val="bottom"/>
            <w:hideMark/>
          </w:tcPr>
          <w:p w14:paraId="5D7BE8C9"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824</w:t>
            </w:r>
          </w:p>
        </w:tc>
        <w:tc>
          <w:tcPr>
            <w:tcW w:w="1363" w:type="dxa"/>
            <w:tcBorders>
              <w:top w:val="nil"/>
              <w:left w:val="nil"/>
              <w:bottom w:val="nil"/>
              <w:right w:val="nil"/>
            </w:tcBorders>
            <w:shd w:val="clear" w:color="auto" w:fill="auto"/>
            <w:noWrap/>
            <w:vAlign w:val="bottom"/>
            <w:hideMark/>
          </w:tcPr>
          <w:p w14:paraId="759E5D41"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7,742</w:t>
            </w:r>
          </w:p>
        </w:tc>
        <w:tc>
          <w:tcPr>
            <w:tcW w:w="1494" w:type="dxa"/>
            <w:tcBorders>
              <w:top w:val="nil"/>
              <w:left w:val="nil"/>
              <w:bottom w:val="nil"/>
              <w:right w:val="nil"/>
            </w:tcBorders>
            <w:shd w:val="clear" w:color="auto" w:fill="auto"/>
            <w:noWrap/>
            <w:vAlign w:val="bottom"/>
            <w:hideMark/>
          </w:tcPr>
          <w:p w14:paraId="576C7894"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EF75DD">
              <w:rPr>
                <w:rFonts w:eastAsia="Times New Roman" w:cs="Calibri"/>
                <w:color w:val="002060"/>
                <w:sz w:val="20"/>
              </w:rPr>
              <w:t>9,246</w:t>
            </w:r>
          </w:p>
        </w:tc>
      </w:tr>
      <w:tr w:rsidR="005C437E" w:rsidRPr="00EF75DD" w14:paraId="6EE83940" w14:textId="77777777" w:rsidTr="002F7131">
        <w:trPr>
          <w:trHeight w:val="20"/>
        </w:trPr>
        <w:tc>
          <w:tcPr>
            <w:tcW w:w="3120" w:type="dxa"/>
            <w:tcBorders>
              <w:top w:val="nil"/>
              <w:left w:val="nil"/>
              <w:bottom w:val="nil"/>
              <w:right w:val="nil"/>
            </w:tcBorders>
            <w:shd w:val="clear" w:color="auto" w:fill="auto"/>
            <w:noWrap/>
            <w:vAlign w:val="bottom"/>
            <w:hideMark/>
          </w:tcPr>
          <w:p w14:paraId="6C41FC9D"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373" w:type="dxa"/>
            <w:tcBorders>
              <w:top w:val="nil"/>
              <w:left w:val="single" w:sz="4" w:space="0" w:color="0070C0"/>
              <w:bottom w:val="nil"/>
              <w:right w:val="nil"/>
            </w:tcBorders>
            <w:shd w:val="clear" w:color="auto" w:fill="auto"/>
            <w:noWrap/>
            <w:vAlign w:val="bottom"/>
            <w:hideMark/>
          </w:tcPr>
          <w:p w14:paraId="3A85090C"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 </w:t>
            </w:r>
          </w:p>
        </w:tc>
        <w:tc>
          <w:tcPr>
            <w:tcW w:w="1331" w:type="dxa"/>
            <w:tcBorders>
              <w:top w:val="nil"/>
              <w:left w:val="nil"/>
              <w:bottom w:val="nil"/>
              <w:right w:val="nil"/>
            </w:tcBorders>
            <w:shd w:val="clear" w:color="auto" w:fill="auto"/>
            <w:noWrap/>
            <w:vAlign w:val="bottom"/>
            <w:hideMark/>
          </w:tcPr>
          <w:p w14:paraId="1CB8EE7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8" w:type="dxa"/>
            <w:tcBorders>
              <w:top w:val="nil"/>
              <w:left w:val="nil"/>
              <w:bottom w:val="nil"/>
              <w:right w:val="nil"/>
            </w:tcBorders>
            <w:shd w:val="clear" w:color="auto" w:fill="auto"/>
            <w:noWrap/>
            <w:vAlign w:val="bottom"/>
            <w:hideMark/>
          </w:tcPr>
          <w:p w14:paraId="7DA24F81"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56D1121B"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2DB07498"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8" w:type="dxa"/>
            <w:tcBorders>
              <w:top w:val="nil"/>
              <w:left w:val="nil"/>
              <w:bottom w:val="nil"/>
              <w:right w:val="nil"/>
            </w:tcBorders>
            <w:shd w:val="clear" w:color="auto" w:fill="auto"/>
            <w:noWrap/>
            <w:vAlign w:val="bottom"/>
            <w:hideMark/>
          </w:tcPr>
          <w:p w14:paraId="6575BC70"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1" w:type="dxa"/>
            <w:tcBorders>
              <w:top w:val="nil"/>
              <w:left w:val="nil"/>
              <w:bottom w:val="nil"/>
              <w:right w:val="nil"/>
            </w:tcBorders>
            <w:shd w:val="clear" w:color="auto" w:fill="auto"/>
            <w:noWrap/>
            <w:vAlign w:val="bottom"/>
            <w:hideMark/>
          </w:tcPr>
          <w:p w14:paraId="70CB10FE"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3" w:type="dxa"/>
            <w:tcBorders>
              <w:top w:val="nil"/>
              <w:left w:val="nil"/>
              <w:bottom w:val="nil"/>
              <w:right w:val="nil"/>
            </w:tcBorders>
            <w:shd w:val="clear" w:color="auto" w:fill="auto"/>
            <w:noWrap/>
            <w:vAlign w:val="bottom"/>
            <w:hideMark/>
          </w:tcPr>
          <w:p w14:paraId="3957C73A"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94" w:type="dxa"/>
            <w:tcBorders>
              <w:top w:val="nil"/>
              <w:left w:val="nil"/>
              <w:bottom w:val="nil"/>
              <w:right w:val="nil"/>
            </w:tcBorders>
            <w:shd w:val="clear" w:color="auto" w:fill="auto"/>
            <w:noWrap/>
            <w:vAlign w:val="bottom"/>
            <w:hideMark/>
          </w:tcPr>
          <w:p w14:paraId="7782C5B9"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EF75DD" w14:paraId="25E096A5" w14:textId="77777777" w:rsidTr="002F7131">
        <w:trPr>
          <w:trHeight w:val="20"/>
        </w:trPr>
        <w:tc>
          <w:tcPr>
            <w:tcW w:w="3120" w:type="dxa"/>
            <w:tcBorders>
              <w:top w:val="nil"/>
              <w:left w:val="nil"/>
              <w:bottom w:val="nil"/>
              <w:right w:val="nil"/>
            </w:tcBorders>
            <w:shd w:val="clear" w:color="auto" w:fill="auto"/>
            <w:noWrap/>
            <w:vAlign w:val="bottom"/>
            <w:hideMark/>
          </w:tcPr>
          <w:p w14:paraId="5DE92D95"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EF75DD">
              <w:rPr>
                <w:rFonts w:cstheme="minorHAnsi"/>
                <w:sz w:val="20"/>
              </w:rPr>
              <w:t xml:space="preserve">2 - </w:t>
            </w:r>
            <w:r w:rsidRPr="00EF75DD">
              <w:rPr>
                <w:rFonts w:cstheme="minorHAnsi"/>
                <w:sz w:val="20"/>
              </w:rPr>
              <w:t>其他人员费用</w:t>
            </w:r>
          </w:p>
        </w:tc>
        <w:tc>
          <w:tcPr>
            <w:tcW w:w="1373" w:type="dxa"/>
            <w:tcBorders>
              <w:top w:val="nil"/>
              <w:left w:val="single" w:sz="4" w:space="0" w:color="0070C0"/>
              <w:bottom w:val="nil"/>
              <w:right w:val="nil"/>
            </w:tcBorders>
            <w:shd w:val="clear" w:color="auto" w:fill="auto"/>
            <w:noWrap/>
            <w:vAlign w:val="bottom"/>
            <w:hideMark/>
          </w:tcPr>
          <w:p w14:paraId="5586852B"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 </w:t>
            </w:r>
          </w:p>
        </w:tc>
        <w:tc>
          <w:tcPr>
            <w:tcW w:w="1331" w:type="dxa"/>
            <w:tcBorders>
              <w:top w:val="nil"/>
              <w:left w:val="nil"/>
              <w:bottom w:val="nil"/>
              <w:right w:val="nil"/>
            </w:tcBorders>
            <w:shd w:val="clear" w:color="auto" w:fill="auto"/>
            <w:noWrap/>
            <w:vAlign w:val="bottom"/>
            <w:hideMark/>
          </w:tcPr>
          <w:p w14:paraId="24AFACD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4</w:t>
            </w:r>
          </w:p>
        </w:tc>
        <w:tc>
          <w:tcPr>
            <w:tcW w:w="1218" w:type="dxa"/>
            <w:tcBorders>
              <w:top w:val="nil"/>
              <w:left w:val="nil"/>
              <w:bottom w:val="nil"/>
              <w:right w:val="nil"/>
            </w:tcBorders>
            <w:shd w:val="clear" w:color="auto" w:fill="auto"/>
            <w:noWrap/>
            <w:vAlign w:val="bottom"/>
            <w:hideMark/>
          </w:tcPr>
          <w:p w14:paraId="0287B039"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13</w:t>
            </w:r>
          </w:p>
        </w:tc>
        <w:tc>
          <w:tcPr>
            <w:tcW w:w="1218" w:type="dxa"/>
            <w:tcBorders>
              <w:top w:val="nil"/>
              <w:left w:val="nil"/>
              <w:bottom w:val="nil"/>
              <w:right w:val="nil"/>
            </w:tcBorders>
            <w:shd w:val="clear" w:color="auto" w:fill="auto"/>
            <w:noWrap/>
            <w:vAlign w:val="bottom"/>
            <w:hideMark/>
          </w:tcPr>
          <w:p w14:paraId="2A801994"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8" w:type="dxa"/>
            <w:tcBorders>
              <w:top w:val="nil"/>
              <w:left w:val="nil"/>
              <w:bottom w:val="nil"/>
              <w:right w:val="nil"/>
            </w:tcBorders>
            <w:shd w:val="clear" w:color="auto" w:fill="auto"/>
            <w:noWrap/>
            <w:vAlign w:val="bottom"/>
            <w:hideMark/>
          </w:tcPr>
          <w:p w14:paraId="0F621651"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8" w:type="dxa"/>
            <w:tcBorders>
              <w:top w:val="nil"/>
              <w:left w:val="nil"/>
              <w:bottom w:val="nil"/>
              <w:right w:val="nil"/>
            </w:tcBorders>
            <w:shd w:val="clear" w:color="auto" w:fill="auto"/>
            <w:noWrap/>
            <w:vAlign w:val="bottom"/>
            <w:hideMark/>
          </w:tcPr>
          <w:p w14:paraId="40FED9D9"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1" w:type="dxa"/>
            <w:tcBorders>
              <w:top w:val="nil"/>
              <w:left w:val="nil"/>
              <w:bottom w:val="nil"/>
              <w:right w:val="nil"/>
            </w:tcBorders>
            <w:shd w:val="clear" w:color="auto" w:fill="auto"/>
            <w:noWrap/>
            <w:vAlign w:val="bottom"/>
            <w:hideMark/>
          </w:tcPr>
          <w:p w14:paraId="0BF82B0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248</w:t>
            </w:r>
          </w:p>
        </w:tc>
        <w:tc>
          <w:tcPr>
            <w:tcW w:w="1363" w:type="dxa"/>
            <w:tcBorders>
              <w:top w:val="nil"/>
              <w:left w:val="nil"/>
              <w:bottom w:val="nil"/>
              <w:right w:val="nil"/>
            </w:tcBorders>
            <w:shd w:val="clear" w:color="auto" w:fill="auto"/>
            <w:noWrap/>
            <w:vAlign w:val="bottom"/>
            <w:hideMark/>
          </w:tcPr>
          <w:p w14:paraId="4A988E07"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2,270</w:t>
            </w:r>
          </w:p>
        </w:tc>
        <w:tc>
          <w:tcPr>
            <w:tcW w:w="1494" w:type="dxa"/>
            <w:tcBorders>
              <w:top w:val="nil"/>
              <w:left w:val="nil"/>
              <w:bottom w:val="nil"/>
              <w:right w:val="nil"/>
            </w:tcBorders>
            <w:shd w:val="clear" w:color="auto" w:fill="auto"/>
            <w:noWrap/>
            <w:vAlign w:val="bottom"/>
            <w:hideMark/>
          </w:tcPr>
          <w:p w14:paraId="598D897E"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EF75DD">
              <w:rPr>
                <w:rFonts w:eastAsia="Times New Roman" w:cs="Calibri"/>
                <w:color w:val="002060"/>
                <w:sz w:val="20"/>
              </w:rPr>
              <w:t>2,535</w:t>
            </w:r>
          </w:p>
        </w:tc>
      </w:tr>
      <w:tr w:rsidR="005C437E" w:rsidRPr="00EF75DD" w14:paraId="4076C7ED" w14:textId="77777777" w:rsidTr="002F7131">
        <w:trPr>
          <w:trHeight w:val="20"/>
        </w:trPr>
        <w:tc>
          <w:tcPr>
            <w:tcW w:w="3120" w:type="dxa"/>
            <w:tcBorders>
              <w:top w:val="nil"/>
              <w:left w:val="nil"/>
              <w:bottom w:val="nil"/>
              <w:right w:val="nil"/>
            </w:tcBorders>
            <w:shd w:val="clear" w:color="auto" w:fill="auto"/>
            <w:noWrap/>
            <w:vAlign w:val="bottom"/>
            <w:hideMark/>
          </w:tcPr>
          <w:p w14:paraId="33FFF2B0"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373" w:type="dxa"/>
            <w:tcBorders>
              <w:top w:val="nil"/>
              <w:left w:val="single" w:sz="4" w:space="0" w:color="0070C0"/>
              <w:bottom w:val="nil"/>
              <w:right w:val="nil"/>
            </w:tcBorders>
            <w:shd w:val="clear" w:color="auto" w:fill="auto"/>
            <w:noWrap/>
            <w:vAlign w:val="bottom"/>
            <w:hideMark/>
          </w:tcPr>
          <w:p w14:paraId="7D0E0CF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 </w:t>
            </w:r>
          </w:p>
        </w:tc>
        <w:tc>
          <w:tcPr>
            <w:tcW w:w="1331" w:type="dxa"/>
            <w:tcBorders>
              <w:top w:val="nil"/>
              <w:left w:val="nil"/>
              <w:bottom w:val="nil"/>
              <w:right w:val="nil"/>
            </w:tcBorders>
            <w:shd w:val="clear" w:color="auto" w:fill="auto"/>
            <w:noWrap/>
            <w:vAlign w:val="bottom"/>
            <w:hideMark/>
          </w:tcPr>
          <w:p w14:paraId="1F158248"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8" w:type="dxa"/>
            <w:tcBorders>
              <w:top w:val="nil"/>
              <w:left w:val="nil"/>
              <w:bottom w:val="nil"/>
              <w:right w:val="nil"/>
            </w:tcBorders>
            <w:shd w:val="clear" w:color="auto" w:fill="auto"/>
            <w:noWrap/>
            <w:vAlign w:val="bottom"/>
            <w:hideMark/>
          </w:tcPr>
          <w:p w14:paraId="1733D083"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39D2E897"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6B31A8C4"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8" w:type="dxa"/>
            <w:tcBorders>
              <w:top w:val="nil"/>
              <w:left w:val="nil"/>
              <w:bottom w:val="nil"/>
              <w:right w:val="nil"/>
            </w:tcBorders>
            <w:shd w:val="clear" w:color="auto" w:fill="auto"/>
            <w:noWrap/>
            <w:vAlign w:val="bottom"/>
            <w:hideMark/>
          </w:tcPr>
          <w:p w14:paraId="6B246515"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1" w:type="dxa"/>
            <w:tcBorders>
              <w:top w:val="nil"/>
              <w:left w:val="nil"/>
              <w:bottom w:val="nil"/>
              <w:right w:val="nil"/>
            </w:tcBorders>
            <w:shd w:val="clear" w:color="auto" w:fill="auto"/>
            <w:noWrap/>
            <w:vAlign w:val="bottom"/>
            <w:hideMark/>
          </w:tcPr>
          <w:p w14:paraId="6E46B676"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3" w:type="dxa"/>
            <w:tcBorders>
              <w:top w:val="nil"/>
              <w:left w:val="nil"/>
              <w:bottom w:val="nil"/>
              <w:right w:val="nil"/>
            </w:tcBorders>
            <w:shd w:val="clear" w:color="auto" w:fill="auto"/>
            <w:noWrap/>
            <w:vAlign w:val="bottom"/>
            <w:hideMark/>
          </w:tcPr>
          <w:p w14:paraId="29D2B2F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94" w:type="dxa"/>
            <w:tcBorders>
              <w:top w:val="nil"/>
              <w:left w:val="nil"/>
              <w:bottom w:val="nil"/>
              <w:right w:val="nil"/>
            </w:tcBorders>
            <w:shd w:val="clear" w:color="auto" w:fill="auto"/>
            <w:noWrap/>
            <w:vAlign w:val="bottom"/>
            <w:hideMark/>
          </w:tcPr>
          <w:p w14:paraId="1329AA4B"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EF75DD" w14:paraId="1E70E51B" w14:textId="77777777" w:rsidTr="002F7131">
        <w:trPr>
          <w:trHeight w:val="20"/>
        </w:trPr>
        <w:tc>
          <w:tcPr>
            <w:tcW w:w="3120" w:type="dxa"/>
            <w:tcBorders>
              <w:top w:val="nil"/>
              <w:left w:val="nil"/>
              <w:bottom w:val="nil"/>
              <w:right w:val="nil"/>
            </w:tcBorders>
            <w:shd w:val="clear" w:color="auto" w:fill="auto"/>
            <w:noWrap/>
            <w:vAlign w:val="bottom"/>
            <w:hideMark/>
          </w:tcPr>
          <w:p w14:paraId="27E0B048"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EF75DD">
              <w:rPr>
                <w:rFonts w:cstheme="minorHAnsi"/>
                <w:sz w:val="20"/>
              </w:rPr>
              <w:t xml:space="preserve">3 - </w:t>
            </w:r>
            <w:r w:rsidRPr="00EF75DD">
              <w:rPr>
                <w:rFonts w:cstheme="minorHAnsi"/>
                <w:sz w:val="20"/>
              </w:rPr>
              <w:t>公务差旅</w:t>
            </w:r>
          </w:p>
        </w:tc>
        <w:tc>
          <w:tcPr>
            <w:tcW w:w="1373" w:type="dxa"/>
            <w:tcBorders>
              <w:top w:val="nil"/>
              <w:left w:val="single" w:sz="4" w:space="0" w:color="0070C0"/>
              <w:bottom w:val="nil"/>
              <w:right w:val="nil"/>
            </w:tcBorders>
            <w:shd w:val="clear" w:color="auto" w:fill="auto"/>
            <w:noWrap/>
            <w:vAlign w:val="bottom"/>
            <w:hideMark/>
          </w:tcPr>
          <w:p w14:paraId="71D7842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 </w:t>
            </w:r>
          </w:p>
        </w:tc>
        <w:tc>
          <w:tcPr>
            <w:tcW w:w="1331" w:type="dxa"/>
            <w:tcBorders>
              <w:top w:val="nil"/>
              <w:left w:val="nil"/>
              <w:bottom w:val="nil"/>
              <w:right w:val="nil"/>
            </w:tcBorders>
            <w:shd w:val="clear" w:color="auto" w:fill="auto"/>
            <w:noWrap/>
            <w:vAlign w:val="bottom"/>
            <w:hideMark/>
          </w:tcPr>
          <w:p w14:paraId="73F6EA98"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20</w:t>
            </w:r>
          </w:p>
        </w:tc>
        <w:tc>
          <w:tcPr>
            <w:tcW w:w="1218" w:type="dxa"/>
            <w:tcBorders>
              <w:top w:val="nil"/>
              <w:left w:val="nil"/>
              <w:bottom w:val="nil"/>
              <w:right w:val="nil"/>
            </w:tcBorders>
            <w:shd w:val="clear" w:color="auto" w:fill="auto"/>
            <w:noWrap/>
            <w:vAlign w:val="bottom"/>
            <w:hideMark/>
          </w:tcPr>
          <w:p w14:paraId="6292BC3B"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470</w:t>
            </w:r>
          </w:p>
        </w:tc>
        <w:tc>
          <w:tcPr>
            <w:tcW w:w="1218" w:type="dxa"/>
            <w:tcBorders>
              <w:top w:val="nil"/>
              <w:left w:val="nil"/>
              <w:bottom w:val="nil"/>
              <w:right w:val="nil"/>
            </w:tcBorders>
            <w:shd w:val="clear" w:color="auto" w:fill="auto"/>
            <w:noWrap/>
            <w:vAlign w:val="bottom"/>
            <w:hideMark/>
          </w:tcPr>
          <w:p w14:paraId="324C1CBE"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8" w:type="dxa"/>
            <w:tcBorders>
              <w:top w:val="nil"/>
              <w:left w:val="nil"/>
              <w:bottom w:val="nil"/>
              <w:right w:val="nil"/>
            </w:tcBorders>
            <w:shd w:val="clear" w:color="auto" w:fill="auto"/>
            <w:noWrap/>
            <w:vAlign w:val="bottom"/>
            <w:hideMark/>
          </w:tcPr>
          <w:p w14:paraId="2CF781C9"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180</w:t>
            </w:r>
          </w:p>
        </w:tc>
        <w:tc>
          <w:tcPr>
            <w:tcW w:w="1458" w:type="dxa"/>
            <w:tcBorders>
              <w:top w:val="nil"/>
              <w:left w:val="nil"/>
              <w:bottom w:val="nil"/>
              <w:right w:val="nil"/>
            </w:tcBorders>
            <w:shd w:val="clear" w:color="auto" w:fill="auto"/>
            <w:noWrap/>
            <w:vAlign w:val="bottom"/>
            <w:hideMark/>
          </w:tcPr>
          <w:p w14:paraId="2E3AD0EA"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51" w:type="dxa"/>
            <w:tcBorders>
              <w:top w:val="nil"/>
              <w:left w:val="nil"/>
              <w:bottom w:val="nil"/>
              <w:right w:val="nil"/>
            </w:tcBorders>
            <w:shd w:val="clear" w:color="auto" w:fill="auto"/>
            <w:noWrap/>
            <w:vAlign w:val="bottom"/>
            <w:hideMark/>
          </w:tcPr>
          <w:p w14:paraId="216D7322"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50</w:t>
            </w:r>
          </w:p>
        </w:tc>
        <w:tc>
          <w:tcPr>
            <w:tcW w:w="1363" w:type="dxa"/>
            <w:tcBorders>
              <w:top w:val="nil"/>
              <w:left w:val="nil"/>
              <w:bottom w:val="nil"/>
              <w:right w:val="nil"/>
            </w:tcBorders>
            <w:shd w:val="clear" w:color="auto" w:fill="auto"/>
            <w:noWrap/>
            <w:vAlign w:val="bottom"/>
            <w:hideMark/>
          </w:tcPr>
          <w:p w14:paraId="7EE695D2"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60</w:t>
            </w:r>
          </w:p>
        </w:tc>
        <w:tc>
          <w:tcPr>
            <w:tcW w:w="1494" w:type="dxa"/>
            <w:tcBorders>
              <w:top w:val="nil"/>
              <w:left w:val="nil"/>
              <w:bottom w:val="nil"/>
              <w:right w:val="nil"/>
            </w:tcBorders>
            <w:shd w:val="clear" w:color="auto" w:fill="auto"/>
            <w:noWrap/>
            <w:vAlign w:val="bottom"/>
            <w:hideMark/>
          </w:tcPr>
          <w:p w14:paraId="6F0E9B83"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EF75DD">
              <w:rPr>
                <w:rFonts w:eastAsia="Times New Roman" w:cs="Calibri"/>
                <w:color w:val="002060"/>
                <w:sz w:val="20"/>
              </w:rPr>
              <w:t>780</w:t>
            </w:r>
          </w:p>
        </w:tc>
      </w:tr>
      <w:tr w:rsidR="005C437E" w:rsidRPr="00EF75DD" w14:paraId="17B5B314" w14:textId="77777777" w:rsidTr="002F7131">
        <w:trPr>
          <w:trHeight w:val="20"/>
        </w:trPr>
        <w:tc>
          <w:tcPr>
            <w:tcW w:w="3120" w:type="dxa"/>
            <w:tcBorders>
              <w:top w:val="nil"/>
              <w:left w:val="nil"/>
              <w:bottom w:val="nil"/>
              <w:right w:val="nil"/>
            </w:tcBorders>
            <w:shd w:val="clear" w:color="auto" w:fill="auto"/>
            <w:noWrap/>
            <w:vAlign w:val="bottom"/>
            <w:hideMark/>
          </w:tcPr>
          <w:p w14:paraId="6C1201AA"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373" w:type="dxa"/>
            <w:tcBorders>
              <w:top w:val="nil"/>
              <w:left w:val="single" w:sz="4" w:space="0" w:color="0070C0"/>
              <w:bottom w:val="nil"/>
              <w:right w:val="nil"/>
            </w:tcBorders>
            <w:shd w:val="clear" w:color="auto" w:fill="auto"/>
            <w:noWrap/>
            <w:vAlign w:val="bottom"/>
            <w:hideMark/>
          </w:tcPr>
          <w:p w14:paraId="09D6D431"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 </w:t>
            </w:r>
          </w:p>
        </w:tc>
        <w:tc>
          <w:tcPr>
            <w:tcW w:w="1331" w:type="dxa"/>
            <w:tcBorders>
              <w:top w:val="nil"/>
              <w:left w:val="nil"/>
              <w:bottom w:val="nil"/>
              <w:right w:val="nil"/>
            </w:tcBorders>
            <w:shd w:val="clear" w:color="auto" w:fill="auto"/>
            <w:noWrap/>
            <w:vAlign w:val="bottom"/>
            <w:hideMark/>
          </w:tcPr>
          <w:p w14:paraId="119711FA"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8" w:type="dxa"/>
            <w:tcBorders>
              <w:top w:val="nil"/>
              <w:left w:val="nil"/>
              <w:bottom w:val="nil"/>
              <w:right w:val="nil"/>
            </w:tcBorders>
            <w:shd w:val="clear" w:color="auto" w:fill="auto"/>
            <w:noWrap/>
            <w:vAlign w:val="bottom"/>
            <w:hideMark/>
          </w:tcPr>
          <w:p w14:paraId="6B9963C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7696DAAE"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1450475D"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8" w:type="dxa"/>
            <w:tcBorders>
              <w:top w:val="nil"/>
              <w:left w:val="nil"/>
              <w:bottom w:val="nil"/>
              <w:right w:val="nil"/>
            </w:tcBorders>
            <w:shd w:val="clear" w:color="auto" w:fill="auto"/>
            <w:noWrap/>
            <w:vAlign w:val="bottom"/>
            <w:hideMark/>
          </w:tcPr>
          <w:p w14:paraId="66CE81E4"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1" w:type="dxa"/>
            <w:tcBorders>
              <w:top w:val="nil"/>
              <w:left w:val="nil"/>
              <w:bottom w:val="nil"/>
              <w:right w:val="nil"/>
            </w:tcBorders>
            <w:shd w:val="clear" w:color="auto" w:fill="auto"/>
            <w:noWrap/>
            <w:vAlign w:val="bottom"/>
            <w:hideMark/>
          </w:tcPr>
          <w:p w14:paraId="1B59F022"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3" w:type="dxa"/>
            <w:tcBorders>
              <w:top w:val="nil"/>
              <w:left w:val="nil"/>
              <w:bottom w:val="nil"/>
              <w:right w:val="nil"/>
            </w:tcBorders>
            <w:shd w:val="clear" w:color="auto" w:fill="auto"/>
            <w:noWrap/>
            <w:vAlign w:val="bottom"/>
            <w:hideMark/>
          </w:tcPr>
          <w:p w14:paraId="645DF5D5"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94" w:type="dxa"/>
            <w:tcBorders>
              <w:top w:val="nil"/>
              <w:left w:val="nil"/>
              <w:bottom w:val="nil"/>
              <w:right w:val="nil"/>
            </w:tcBorders>
            <w:shd w:val="clear" w:color="auto" w:fill="auto"/>
            <w:noWrap/>
            <w:vAlign w:val="bottom"/>
            <w:hideMark/>
          </w:tcPr>
          <w:p w14:paraId="03ACD00A"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EF75DD" w14:paraId="48370813" w14:textId="77777777" w:rsidTr="002F7131">
        <w:trPr>
          <w:trHeight w:val="20"/>
        </w:trPr>
        <w:tc>
          <w:tcPr>
            <w:tcW w:w="3120" w:type="dxa"/>
            <w:tcBorders>
              <w:top w:val="nil"/>
              <w:left w:val="nil"/>
              <w:bottom w:val="nil"/>
              <w:right w:val="nil"/>
            </w:tcBorders>
            <w:shd w:val="clear" w:color="auto" w:fill="auto"/>
            <w:noWrap/>
            <w:vAlign w:val="bottom"/>
            <w:hideMark/>
          </w:tcPr>
          <w:p w14:paraId="30A3B685"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EF75DD">
              <w:rPr>
                <w:rFonts w:cstheme="minorHAnsi"/>
                <w:sz w:val="20"/>
              </w:rPr>
              <w:t xml:space="preserve">4 - </w:t>
            </w:r>
            <w:r w:rsidRPr="00EF75DD">
              <w:rPr>
                <w:rFonts w:cstheme="minorHAnsi"/>
                <w:sz w:val="20"/>
              </w:rPr>
              <w:t>合同服务</w:t>
            </w:r>
          </w:p>
        </w:tc>
        <w:tc>
          <w:tcPr>
            <w:tcW w:w="1373" w:type="dxa"/>
            <w:tcBorders>
              <w:top w:val="nil"/>
              <w:left w:val="single" w:sz="4" w:space="0" w:color="0070C0"/>
              <w:bottom w:val="nil"/>
              <w:right w:val="nil"/>
            </w:tcBorders>
            <w:shd w:val="clear" w:color="auto" w:fill="auto"/>
            <w:noWrap/>
            <w:vAlign w:val="bottom"/>
            <w:hideMark/>
          </w:tcPr>
          <w:p w14:paraId="139DE542"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 </w:t>
            </w:r>
          </w:p>
        </w:tc>
        <w:tc>
          <w:tcPr>
            <w:tcW w:w="1331" w:type="dxa"/>
            <w:tcBorders>
              <w:top w:val="nil"/>
              <w:left w:val="nil"/>
              <w:bottom w:val="nil"/>
              <w:right w:val="nil"/>
            </w:tcBorders>
            <w:shd w:val="clear" w:color="auto" w:fill="auto"/>
            <w:noWrap/>
            <w:vAlign w:val="bottom"/>
            <w:hideMark/>
          </w:tcPr>
          <w:p w14:paraId="2B70DFC2"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4</w:t>
            </w:r>
          </w:p>
        </w:tc>
        <w:tc>
          <w:tcPr>
            <w:tcW w:w="1218" w:type="dxa"/>
            <w:tcBorders>
              <w:top w:val="nil"/>
              <w:left w:val="nil"/>
              <w:bottom w:val="nil"/>
              <w:right w:val="nil"/>
            </w:tcBorders>
            <w:shd w:val="clear" w:color="auto" w:fill="auto"/>
            <w:noWrap/>
            <w:vAlign w:val="bottom"/>
            <w:hideMark/>
          </w:tcPr>
          <w:p w14:paraId="2444D398"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90</w:t>
            </w:r>
          </w:p>
        </w:tc>
        <w:tc>
          <w:tcPr>
            <w:tcW w:w="1218" w:type="dxa"/>
            <w:tcBorders>
              <w:top w:val="nil"/>
              <w:left w:val="nil"/>
              <w:bottom w:val="nil"/>
              <w:right w:val="nil"/>
            </w:tcBorders>
            <w:shd w:val="clear" w:color="auto" w:fill="auto"/>
            <w:noWrap/>
            <w:vAlign w:val="bottom"/>
            <w:hideMark/>
          </w:tcPr>
          <w:p w14:paraId="7F7637F2"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200</w:t>
            </w:r>
          </w:p>
        </w:tc>
        <w:tc>
          <w:tcPr>
            <w:tcW w:w="1218" w:type="dxa"/>
            <w:tcBorders>
              <w:top w:val="nil"/>
              <w:left w:val="nil"/>
              <w:bottom w:val="nil"/>
              <w:right w:val="nil"/>
            </w:tcBorders>
            <w:shd w:val="clear" w:color="auto" w:fill="auto"/>
            <w:noWrap/>
            <w:vAlign w:val="bottom"/>
            <w:hideMark/>
          </w:tcPr>
          <w:p w14:paraId="754D34EC"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40</w:t>
            </w:r>
          </w:p>
        </w:tc>
        <w:tc>
          <w:tcPr>
            <w:tcW w:w="1458" w:type="dxa"/>
            <w:tcBorders>
              <w:top w:val="nil"/>
              <w:left w:val="nil"/>
              <w:bottom w:val="nil"/>
              <w:right w:val="nil"/>
            </w:tcBorders>
            <w:shd w:val="clear" w:color="auto" w:fill="auto"/>
            <w:noWrap/>
            <w:vAlign w:val="bottom"/>
            <w:hideMark/>
          </w:tcPr>
          <w:p w14:paraId="2DF4453C"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140</w:t>
            </w:r>
          </w:p>
        </w:tc>
        <w:tc>
          <w:tcPr>
            <w:tcW w:w="1251" w:type="dxa"/>
            <w:tcBorders>
              <w:top w:val="nil"/>
              <w:left w:val="nil"/>
              <w:bottom w:val="nil"/>
              <w:right w:val="nil"/>
            </w:tcBorders>
            <w:shd w:val="clear" w:color="auto" w:fill="auto"/>
            <w:noWrap/>
            <w:vAlign w:val="bottom"/>
            <w:hideMark/>
          </w:tcPr>
          <w:p w14:paraId="0F10E03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10</w:t>
            </w:r>
          </w:p>
        </w:tc>
        <w:tc>
          <w:tcPr>
            <w:tcW w:w="1363" w:type="dxa"/>
            <w:tcBorders>
              <w:top w:val="nil"/>
              <w:left w:val="nil"/>
              <w:bottom w:val="nil"/>
              <w:right w:val="nil"/>
            </w:tcBorders>
            <w:shd w:val="clear" w:color="auto" w:fill="auto"/>
            <w:noWrap/>
            <w:vAlign w:val="bottom"/>
            <w:hideMark/>
          </w:tcPr>
          <w:p w14:paraId="15779560"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30</w:t>
            </w:r>
          </w:p>
        </w:tc>
        <w:tc>
          <w:tcPr>
            <w:tcW w:w="1494" w:type="dxa"/>
            <w:tcBorders>
              <w:top w:val="nil"/>
              <w:left w:val="nil"/>
              <w:bottom w:val="nil"/>
              <w:right w:val="nil"/>
            </w:tcBorders>
            <w:shd w:val="clear" w:color="auto" w:fill="auto"/>
            <w:noWrap/>
            <w:vAlign w:val="bottom"/>
            <w:hideMark/>
          </w:tcPr>
          <w:p w14:paraId="27AA381A"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EF75DD">
              <w:rPr>
                <w:rFonts w:eastAsia="Times New Roman" w:cs="Calibri"/>
                <w:color w:val="002060"/>
                <w:sz w:val="20"/>
              </w:rPr>
              <w:t>514</w:t>
            </w:r>
          </w:p>
        </w:tc>
      </w:tr>
      <w:tr w:rsidR="005C437E" w:rsidRPr="00EF75DD" w14:paraId="3B932FE4" w14:textId="77777777" w:rsidTr="002F7131">
        <w:trPr>
          <w:trHeight w:val="20"/>
        </w:trPr>
        <w:tc>
          <w:tcPr>
            <w:tcW w:w="3120" w:type="dxa"/>
            <w:tcBorders>
              <w:top w:val="nil"/>
              <w:left w:val="nil"/>
              <w:bottom w:val="nil"/>
              <w:right w:val="nil"/>
            </w:tcBorders>
            <w:shd w:val="clear" w:color="auto" w:fill="auto"/>
            <w:noWrap/>
            <w:vAlign w:val="bottom"/>
            <w:hideMark/>
          </w:tcPr>
          <w:p w14:paraId="023D9773"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373" w:type="dxa"/>
            <w:tcBorders>
              <w:top w:val="nil"/>
              <w:left w:val="single" w:sz="4" w:space="0" w:color="0070C0"/>
              <w:bottom w:val="nil"/>
              <w:right w:val="nil"/>
            </w:tcBorders>
            <w:shd w:val="clear" w:color="auto" w:fill="auto"/>
            <w:noWrap/>
            <w:vAlign w:val="bottom"/>
            <w:hideMark/>
          </w:tcPr>
          <w:p w14:paraId="0FE7C264"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 </w:t>
            </w:r>
          </w:p>
        </w:tc>
        <w:tc>
          <w:tcPr>
            <w:tcW w:w="1331" w:type="dxa"/>
            <w:tcBorders>
              <w:top w:val="nil"/>
              <w:left w:val="nil"/>
              <w:bottom w:val="nil"/>
              <w:right w:val="nil"/>
            </w:tcBorders>
            <w:shd w:val="clear" w:color="auto" w:fill="auto"/>
            <w:noWrap/>
            <w:vAlign w:val="bottom"/>
            <w:hideMark/>
          </w:tcPr>
          <w:p w14:paraId="49191EDE"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8" w:type="dxa"/>
            <w:tcBorders>
              <w:top w:val="nil"/>
              <w:left w:val="nil"/>
              <w:bottom w:val="nil"/>
              <w:right w:val="nil"/>
            </w:tcBorders>
            <w:shd w:val="clear" w:color="auto" w:fill="auto"/>
            <w:noWrap/>
            <w:vAlign w:val="bottom"/>
            <w:hideMark/>
          </w:tcPr>
          <w:p w14:paraId="63C1FF64"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246F89E1"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66093B74"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8" w:type="dxa"/>
            <w:tcBorders>
              <w:top w:val="nil"/>
              <w:left w:val="nil"/>
              <w:bottom w:val="nil"/>
              <w:right w:val="nil"/>
            </w:tcBorders>
            <w:shd w:val="clear" w:color="auto" w:fill="auto"/>
            <w:noWrap/>
            <w:vAlign w:val="bottom"/>
            <w:hideMark/>
          </w:tcPr>
          <w:p w14:paraId="0B3AAC42"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1" w:type="dxa"/>
            <w:tcBorders>
              <w:top w:val="nil"/>
              <w:left w:val="nil"/>
              <w:bottom w:val="nil"/>
              <w:right w:val="nil"/>
            </w:tcBorders>
            <w:shd w:val="clear" w:color="auto" w:fill="auto"/>
            <w:noWrap/>
            <w:vAlign w:val="bottom"/>
            <w:hideMark/>
          </w:tcPr>
          <w:p w14:paraId="64EF0EA8"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3" w:type="dxa"/>
            <w:tcBorders>
              <w:top w:val="nil"/>
              <w:left w:val="nil"/>
              <w:bottom w:val="nil"/>
              <w:right w:val="nil"/>
            </w:tcBorders>
            <w:shd w:val="clear" w:color="auto" w:fill="auto"/>
            <w:noWrap/>
            <w:vAlign w:val="bottom"/>
            <w:hideMark/>
          </w:tcPr>
          <w:p w14:paraId="42122317"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94" w:type="dxa"/>
            <w:tcBorders>
              <w:top w:val="nil"/>
              <w:left w:val="nil"/>
              <w:bottom w:val="nil"/>
              <w:right w:val="nil"/>
            </w:tcBorders>
            <w:shd w:val="clear" w:color="auto" w:fill="auto"/>
            <w:noWrap/>
            <w:vAlign w:val="bottom"/>
            <w:hideMark/>
          </w:tcPr>
          <w:p w14:paraId="4CD8FDF3"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EF75DD" w14:paraId="5F396059" w14:textId="77777777" w:rsidTr="002F7131">
        <w:trPr>
          <w:trHeight w:val="20"/>
        </w:trPr>
        <w:tc>
          <w:tcPr>
            <w:tcW w:w="3120" w:type="dxa"/>
            <w:tcBorders>
              <w:top w:val="nil"/>
              <w:left w:val="nil"/>
              <w:bottom w:val="nil"/>
              <w:right w:val="nil"/>
            </w:tcBorders>
            <w:shd w:val="clear" w:color="auto" w:fill="auto"/>
            <w:vAlign w:val="bottom"/>
            <w:hideMark/>
          </w:tcPr>
          <w:p w14:paraId="18A104CA"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EF75DD">
              <w:rPr>
                <w:rFonts w:cstheme="minorHAnsi"/>
                <w:sz w:val="20"/>
                <w:lang w:eastAsia="zh-CN"/>
              </w:rPr>
              <w:t xml:space="preserve">5 - </w:t>
            </w:r>
            <w:r w:rsidRPr="00EF75DD">
              <w:rPr>
                <w:rFonts w:cstheme="minorHAnsi"/>
                <w:sz w:val="20"/>
                <w:lang w:eastAsia="zh-CN"/>
              </w:rPr>
              <w:t>房屋设施和设备的租用与维护</w:t>
            </w:r>
          </w:p>
        </w:tc>
        <w:tc>
          <w:tcPr>
            <w:tcW w:w="1373" w:type="dxa"/>
            <w:tcBorders>
              <w:top w:val="nil"/>
              <w:left w:val="single" w:sz="4" w:space="0" w:color="0070C0"/>
              <w:bottom w:val="nil"/>
              <w:right w:val="nil"/>
            </w:tcBorders>
            <w:shd w:val="clear" w:color="auto" w:fill="auto"/>
            <w:noWrap/>
            <w:vAlign w:val="bottom"/>
            <w:hideMark/>
          </w:tcPr>
          <w:p w14:paraId="74416D61"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r w:rsidRPr="00EF75DD">
              <w:rPr>
                <w:rFonts w:eastAsia="Times New Roman" w:cs="Calibri"/>
                <w:sz w:val="20"/>
                <w:lang w:eastAsia="zh-CN"/>
              </w:rPr>
              <w:t> </w:t>
            </w:r>
          </w:p>
        </w:tc>
        <w:tc>
          <w:tcPr>
            <w:tcW w:w="1331" w:type="dxa"/>
            <w:tcBorders>
              <w:top w:val="nil"/>
              <w:left w:val="nil"/>
              <w:bottom w:val="nil"/>
              <w:right w:val="nil"/>
            </w:tcBorders>
            <w:shd w:val="clear" w:color="auto" w:fill="auto"/>
            <w:noWrap/>
            <w:vAlign w:val="bottom"/>
            <w:hideMark/>
          </w:tcPr>
          <w:p w14:paraId="0D0E24B1"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p>
        </w:tc>
        <w:tc>
          <w:tcPr>
            <w:tcW w:w="1218" w:type="dxa"/>
            <w:tcBorders>
              <w:top w:val="nil"/>
              <w:left w:val="nil"/>
              <w:bottom w:val="nil"/>
              <w:right w:val="nil"/>
            </w:tcBorders>
            <w:shd w:val="clear" w:color="auto" w:fill="auto"/>
            <w:noWrap/>
            <w:vAlign w:val="bottom"/>
            <w:hideMark/>
          </w:tcPr>
          <w:p w14:paraId="72A256EA"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10</w:t>
            </w:r>
          </w:p>
        </w:tc>
        <w:tc>
          <w:tcPr>
            <w:tcW w:w="1218" w:type="dxa"/>
            <w:tcBorders>
              <w:top w:val="nil"/>
              <w:left w:val="nil"/>
              <w:bottom w:val="nil"/>
              <w:right w:val="nil"/>
            </w:tcBorders>
            <w:shd w:val="clear" w:color="auto" w:fill="auto"/>
            <w:noWrap/>
            <w:vAlign w:val="bottom"/>
            <w:hideMark/>
          </w:tcPr>
          <w:p w14:paraId="58ED4D30"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8" w:type="dxa"/>
            <w:tcBorders>
              <w:top w:val="nil"/>
              <w:left w:val="nil"/>
              <w:bottom w:val="nil"/>
              <w:right w:val="nil"/>
            </w:tcBorders>
            <w:shd w:val="clear" w:color="auto" w:fill="auto"/>
            <w:noWrap/>
            <w:vAlign w:val="bottom"/>
            <w:hideMark/>
          </w:tcPr>
          <w:p w14:paraId="22B6FFC8"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10</w:t>
            </w:r>
          </w:p>
        </w:tc>
        <w:tc>
          <w:tcPr>
            <w:tcW w:w="1458" w:type="dxa"/>
            <w:tcBorders>
              <w:top w:val="nil"/>
              <w:left w:val="nil"/>
              <w:bottom w:val="nil"/>
              <w:right w:val="nil"/>
            </w:tcBorders>
            <w:shd w:val="clear" w:color="auto" w:fill="auto"/>
            <w:noWrap/>
            <w:vAlign w:val="bottom"/>
            <w:hideMark/>
          </w:tcPr>
          <w:p w14:paraId="617F7139"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51" w:type="dxa"/>
            <w:tcBorders>
              <w:top w:val="nil"/>
              <w:left w:val="nil"/>
              <w:bottom w:val="nil"/>
              <w:right w:val="nil"/>
            </w:tcBorders>
            <w:shd w:val="clear" w:color="auto" w:fill="auto"/>
            <w:noWrap/>
            <w:vAlign w:val="bottom"/>
            <w:hideMark/>
          </w:tcPr>
          <w:p w14:paraId="7127822D"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3" w:type="dxa"/>
            <w:tcBorders>
              <w:top w:val="nil"/>
              <w:left w:val="nil"/>
              <w:bottom w:val="nil"/>
              <w:right w:val="nil"/>
            </w:tcBorders>
            <w:shd w:val="clear" w:color="auto" w:fill="auto"/>
            <w:noWrap/>
            <w:vAlign w:val="bottom"/>
            <w:hideMark/>
          </w:tcPr>
          <w:p w14:paraId="13B9FCD3"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94" w:type="dxa"/>
            <w:tcBorders>
              <w:top w:val="nil"/>
              <w:left w:val="nil"/>
              <w:bottom w:val="nil"/>
              <w:right w:val="nil"/>
            </w:tcBorders>
            <w:shd w:val="clear" w:color="auto" w:fill="auto"/>
            <w:noWrap/>
            <w:vAlign w:val="bottom"/>
            <w:hideMark/>
          </w:tcPr>
          <w:p w14:paraId="6124E385"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EF75DD">
              <w:rPr>
                <w:rFonts w:eastAsia="Times New Roman" w:cs="Calibri"/>
                <w:color w:val="002060"/>
                <w:sz w:val="20"/>
              </w:rPr>
              <w:t>20</w:t>
            </w:r>
          </w:p>
        </w:tc>
      </w:tr>
      <w:tr w:rsidR="005C437E" w:rsidRPr="00EF75DD" w14:paraId="7BB8E3AE" w14:textId="77777777" w:rsidTr="002F7131">
        <w:trPr>
          <w:trHeight w:val="20"/>
        </w:trPr>
        <w:tc>
          <w:tcPr>
            <w:tcW w:w="3120" w:type="dxa"/>
            <w:tcBorders>
              <w:top w:val="nil"/>
              <w:left w:val="nil"/>
              <w:bottom w:val="nil"/>
              <w:right w:val="nil"/>
            </w:tcBorders>
            <w:shd w:val="clear" w:color="auto" w:fill="auto"/>
            <w:noWrap/>
            <w:vAlign w:val="bottom"/>
            <w:hideMark/>
          </w:tcPr>
          <w:p w14:paraId="373219EA"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373" w:type="dxa"/>
            <w:tcBorders>
              <w:top w:val="nil"/>
              <w:left w:val="single" w:sz="4" w:space="0" w:color="0070C0"/>
              <w:bottom w:val="nil"/>
              <w:right w:val="nil"/>
            </w:tcBorders>
            <w:shd w:val="clear" w:color="auto" w:fill="auto"/>
            <w:noWrap/>
            <w:vAlign w:val="bottom"/>
            <w:hideMark/>
          </w:tcPr>
          <w:p w14:paraId="1818E8D9"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 </w:t>
            </w:r>
          </w:p>
        </w:tc>
        <w:tc>
          <w:tcPr>
            <w:tcW w:w="1331" w:type="dxa"/>
            <w:tcBorders>
              <w:top w:val="nil"/>
              <w:left w:val="nil"/>
              <w:bottom w:val="nil"/>
              <w:right w:val="nil"/>
            </w:tcBorders>
            <w:shd w:val="clear" w:color="auto" w:fill="auto"/>
            <w:noWrap/>
            <w:vAlign w:val="bottom"/>
            <w:hideMark/>
          </w:tcPr>
          <w:p w14:paraId="0EA98136"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8" w:type="dxa"/>
            <w:tcBorders>
              <w:top w:val="nil"/>
              <w:left w:val="nil"/>
              <w:bottom w:val="nil"/>
              <w:right w:val="nil"/>
            </w:tcBorders>
            <w:shd w:val="clear" w:color="auto" w:fill="auto"/>
            <w:noWrap/>
            <w:vAlign w:val="bottom"/>
            <w:hideMark/>
          </w:tcPr>
          <w:p w14:paraId="17CEA6D2"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6DE29496"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286B3794"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8" w:type="dxa"/>
            <w:tcBorders>
              <w:top w:val="nil"/>
              <w:left w:val="nil"/>
              <w:bottom w:val="nil"/>
              <w:right w:val="nil"/>
            </w:tcBorders>
            <w:shd w:val="clear" w:color="auto" w:fill="auto"/>
            <w:noWrap/>
            <w:vAlign w:val="bottom"/>
            <w:hideMark/>
          </w:tcPr>
          <w:p w14:paraId="343FF09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1" w:type="dxa"/>
            <w:tcBorders>
              <w:top w:val="nil"/>
              <w:left w:val="nil"/>
              <w:bottom w:val="nil"/>
              <w:right w:val="nil"/>
            </w:tcBorders>
            <w:shd w:val="clear" w:color="auto" w:fill="auto"/>
            <w:noWrap/>
            <w:vAlign w:val="bottom"/>
            <w:hideMark/>
          </w:tcPr>
          <w:p w14:paraId="13FEE506"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3" w:type="dxa"/>
            <w:tcBorders>
              <w:top w:val="nil"/>
              <w:left w:val="nil"/>
              <w:bottom w:val="nil"/>
              <w:right w:val="nil"/>
            </w:tcBorders>
            <w:shd w:val="clear" w:color="auto" w:fill="auto"/>
            <w:noWrap/>
            <w:vAlign w:val="bottom"/>
            <w:hideMark/>
          </w:tcPr>
          <w:p w14:paraId="34A4C1D1"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94" w:type="dxa"/>
            <w:tcBorders>
              <w:top w:val="nil"/>
              <w:left w:val="nil"/>
              <w:bottom w:val="nil"/>
              <w:right w:val="nil"/>
            </w:tcBorders>
            <w:shd w:val="clear" w:color="auto" w:fill="auto"/>
            <w:noWrap/>
            <w:vAlign w:val="bottom"/>
            <w:hideMark/>
          </w:tcPr>
          <w:p w14:paraId="2FAC2FF7"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EF75DD" w14:paraId="41286D8A" w14:textId="77777777" w:rsidTr="002F7131">
        <w:trPr>
          <w:trHeight w:val="20"/>
        </w:trPr>
        <w:tc>
          <w:tcPr>
            <w:tcW w:w="3120" w:type="dxa"/>
            <w:tcBorders>
              <w:top w:val="nil"/>
              <w:left w:val="nil"/>
              <w:bottom w:val="nil"/>
              <w:right w:val="nil"/>
            </w:tcBorders>
            <w:shd w:val="clear" w:color="auto" w:fill="auto"/>
            <w:noWrap/>
            <w:vAlign w:val="bottom"/>
            <w:hideMark/>
          </w:tcPr>
          <w:p w14:paraId="7F0378F4"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EF75DD">
              <w:rPr>
                <w:rFonts w:cstheme="minorHAnsi"/>
                <w:sz w:val="20"/>
              </w:rPr>
              <w:t xml:space="preserve">6 - </w:t>
            </w:r>
            <w:r w:rsidRPr="00EF75DD">
              <w:rPr>
                <w:rFonts w:cstheme="minorHAnsi"/>
                <w:sz w:val="20"/>
              </w:rPr>
              <w:t>材料和办公用品</w:t>
            </w:r>
          </w:p>
        </w:tc>
        <w:tc>
          <w:tcPr>
            <w:tcW w:w="1373" w:type="dxa"/>
            <w:tcBorders>
              <w:top w:val="nil"/>
              <w:left w:val="single" w:sz="4" w:space="0" w:color="0070C0"/>
              <w:bottom w:val="nil"/>
              <w:right w:val="nil"/>
            </w:tcBorders>
            <w:shd w:val="clear" w:color="auto" w:fill="auto"/>
            <w:noWrap/>
            <w:vAlign w:val="bottom"/>
            <w:hideMark/>
          </w:tcPr>
          <w:p w14:paraId="43441476"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 </w:t>
            </w:r>
          </w:p>
        </w:tc>
        <w:tc>
          <w:tcPr>
            <w:tcW w:w="1331" w:type="dxa"/>
            <w:tcBorders>
              <w:top w:val="nil"/>
              <w:left w:val="nil"/>
              <w:bottom w:val="nil"/>
              <w:right w:val="nil"/>
            </w:tcBorders>
            <w:shd w:val="clear" w:color="auto" w:fill="auto"/>
            <w:noWrap/>
            <w:vAlign w:val="bottom"/>
            <w:hideMark/>
          </w:tcPr>
          <w:p w14:paraId="25D1DB65"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8" w:type="dxa"/>
            <w:tcBorders>
              <w:top w:val="nil"/>
              <w:left w:val="nil"/>
              <w:bottom w:val="nil"/>
              <w:right w:val="nil"/>
            </w:tcBorders>
            <w:shd w:val="clear" w:color="auto" w:fill="auto"/>
            <w:noWrap/>
            <w:vAlign w:val="bottom"/>
            <w:hideMark/>
          </w:tcPr>
          <w:p w14:paraId="7EDA7413"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1DA3FA8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36D00AF4"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8" w:type="dxa"/>
            <w:tcBorders>
              <w:top w:val="nil"/>
              <w:left w:val="nil"/>
              <w:bottom w:val="nil"/>
              <w:right w:val="nil"/>
            </w:tcBorders>
            <w:shd w:val="clear" w:color="auto" w:fill="auto"/>
            <w:noWrap/>
            <w:vAlign w:val="bottom"/>
            <w:hideMark/>
          </w:tcPr>
          <w:p w14:paraId="664105A9"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30</w:t>
            </w:r>
          </w:p>
        </w:tc>
        <w:tc>
          <w:tcPr>
            <w:tcW w:w="1251" w:type="dxa"/>
            <w:tcBorders>
              <w:top w:val="nil"/>
              <w:left w:val="nil"/>
              <w:bottom w:val="nil"/>
              <w:right w:val="nil"/>
            </w:tcBorders>
            <w:shd w:val="clear" w:color="auto" w:fill="auto"/>
            <w:noWrap/>
            <w:vAlign w:val="bottom"/>
            <w:hideMark/>
          </w:tcPr>
          <w:p w14:paraId="6783081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363" w:type="dxa"/>
            <w:tcBorders>
              <w:top w:val="nil"/>
              <w:left w:val="nil"/>
              <w:bottom w:val="nil"/>
              <w:right w:val="nil"/>
            </w:tcBorders>
            <w:shd w:val="clear" w:color="auto" w:fill="auto"/>
            <w:noWrap/>
            <w:vAlign w:val="bottom"/>
            <w:hideMark/>
          </w:tcPr>
          <w:p w14:paraId="28DB8466"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94" w:type="dxa"/>
            <w:tcBorders>
              <w:top w:val="nil"/>
              <w:left w:val="nil"/>
              <w:bottom w:val="nil"/>
              <w:right w:val="nil"/>
            </w:tcBorders>
            <w:shd w:val="clear" w:color="auto" w:fill="auto"/>
            <w:noWrap/>
            <w:vAlign w:val="bottom"/>
            <w:hideMark/>
          </w:tcPr>
          <w:p w14:paraId="08730F8E"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EF75DD">
              <w:rPr>
                <w:rFonts w:eastAsia="Times New Roman" w:cs="Calibri"/>
                <w:color w:val="002060"/>
                <w:sz w:val="20"/>
              </w:rPr>
              <w:t>30</w:t>
            </w:r>
          </w:p>
        </w:tc>
      </w:tr>
      <w:tr w:rsidR="005C437E" w:rsidRPr="00EF75DD" w14:paraId="43FA42A5" w14:textId="77777777" w:rsidTr="002F7131">
        <w:trPr>
          <w:trHeight w:val="20"/>
        </w:trPr>
        <w:tc>
          <w:tcPr>
            <w:tcW w:w="3120" w:type="dxa"/>
            <w:tcBorders>
              <w:top w:val="nil"/>
              <w:left w:val="nil"/>
              <w:bottom w:val="nil"/>
              <w:right w:val="nil"/>
            </w:tcBorders>
            <w:shd w:val="clear" w:color="auto" w:fill="auto"/>
            <w:noWrap/>
            <w:vAlign w:val="bottom"/>
            <w:hideMark/>
          </w:tcPr>
          <w:p w14:paraId="46FF0E64"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373" w:type="dxa"/>
            <w:tcBorders>
              <w:top w:val="nil"/>
              <w:left w:val="single" w:sz="4" w:space="0" w:color="0070C0"/>
              <w:bottom w:val="nil"/>
              <w:right w:val="nil"/>
            </w:tcBorders>
            <w:shd w:val="clear" w:color="auto" w:fill="auto"/>
            <w:noWrap/>
            <w:vAlign w:val="bottom"/>
            <w:hideMark/>
          </w:tcPr>
          <w:p w14:paraId="41D7E234"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 </w:t>
            </w:r>
          </w:p>
        </w:tc>
        <w:tc>
          <w:tcPr>
            <w:tcW w:w="1331" w:type="dxa"/>
            <w:tcBorders>
              <w:top w:val="nil"/>
              <w:left w:val="nil"/>
              <w:bottom w:val="nil"/>
              <w:right w:val="nil"/>
            </w:tcBorders>
            <w:shd w:val="clear" w:color="auto" w:fill="auto"/>
            <w:noWrap/>
            <w:vAlign w:val="bottom"/>
            <w:hideMark/>
          </w:tcPr>
          <w:p w14:paraId="120DB07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8" w:type="dxa"/>
            <w:tcBorders>
              <w:top w:val="nil"/>
              <w:left w:val="nil"/>
              <w:bottom w:val="nil"/>
              <w:right w:val="nil"/>
            </w:tcBorders>
            <w:shd w:val="clear" w:color="auto" w:fill="auto"/>
            <w:noWrap/>
            <w:vAlign w:val="bottom"/>
            <w:hideMark/>
          </w:tcPr>
          <w:p w14:paraId="3238B62E"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44B1C579"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72F186B9"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8" w:type="dxa"/>
            <w:tcBorders>
              <w:top w:val="nil"/>
              <w:left w:val="nil"/>
              <w:bottom w:val="nil"/>
              <w:right w:val="nil"/>
            </w:tcBorders>
            <w:shd w:val="clear" w:color="auto" w:fill="auto"/>
            <w:noWrap/>
            <w:vAlign w:val="bottom"/>
            <w:hideMark/>
          </w:tcPr>
          <w:p w14:paraId="36CA6A42"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1" w:type="dxa"/>
            <w:tcBorders>
              <w:top w:val="nil"/>
              <w:left w:val="nil"/>
              <w:bottom w:val="nil"/>
              <w:right w:val="nil"/>
            </w:tcBorders>
            <w:shd w:val="clear" w:color="auto" w:fill="auto"/>
            <w:noWrap/>
            <w:vAlign w:val="bottom"/>
            <w:hideMark/>
          </w:tcPr>
          <w:p w14:paraId="0E5B33FB"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3" w:type="dxa"/>
            <w:tcBorders>
              <w:top w:val="nil"/>
              <w:left w:val="nil"/>
              <w:bottom w:val="nil"/>
              <w:right w:val="nil"/>
            </w:tcBorders>
            <w:shd w:val="clear" w:color="auto" w:fill="auto"/>
            <w:noWrap/>
            <w:vAlign w:val="bottom"/>
            <w:hideMark/>
          </w:tcPr>
          <w:p w14:paraId="5BE5DB08"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94" w:type="dxa"/>
            <w:tcBorders>
              <w:top w:val="nil"/>
              <w:left w:val="nil"/>
              <w:bottom w:val="nil"/>
              <w:right w:val="nil"/>
            </w:tcBorders>
            <w:shd w:val="clear" w:color="auto" w:fill="auto"/>
            <w:noWrap/>
            <w:vAlign w:val="bottom"/>
            <w:hideMark/>
          </w:tcPr>
          <w:p w14:paraId="1C109A40"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EF75DD" w14:paraId="05342462" w14:textId="77777777" w:rsidTr="002F7131">
        <w:trPr>
          <w:trHeight w:val="20"/>
        </w:trPr>
        <w:tc>
          <w:tcPr>
            <w:tcW w:w="3120" w:type="dxa"/>
            <w:tcBorders>
              <w:top w:val="nil"/>
              <w:left w:val="nil"/>
              <w:bottom w:val="nil"/>
              <w:right w:val="nil"/>
            </w:tcBorders>
            <w:shd w:val="clear" w:color="auto" w:fill="auto"/>
            <w:vAlign w:val="bottom"/>
            <w:hideMark/>
          </w:tcPr>
          <w:p w14:paraId="72DB9306"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EF75DD">
              <w:rPr>
                <w:rFonts w:cstheme="minorHAnsi"/>
                <w:sz w:val="20"/>
                <w:lang w:eastAsia="zh-CN"/>
              </w:rPr>
              <w:t xml:space="preserve">7 -  </w:t>
            </w:r>
            <w:r w:rsidRPr="00EF75DD">
              <w:rPr>
                <w:rFonts w:cstheme="minorHAnsi"/>
                <w:sz w:val="20"/>
                <w:lang w:eastAsia="zh-CN"/>
              </w:rPr>
              <w:t>房屋设施、家具和设备的采购</w:t>
            </w:r>
          </w:p>
        </w:tc>
        <w:tc>
          <w:tcPr>
            <w:tcW w:w="1373" w:type="dxa"/>
            <w:tcBorders>
              <w:top w:val="nil"/>
              <w:left w:val="single" w:sz="4" w:space="0" w:color="0070C0"/>
              <w:bottom w:val="nil"/>
              <w:right w:val="nil"/>
            </w:tcBorders>
            <w:shd w:val="clear" w:color="auto" w:fill="auto"/>
            <w:noWrap/>
            <w:vAlign w:val="bottom"/>
            <w:hideMark/>
          </w:tcPr>
          <w:p w14:paraId="6CA43A46"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r w:rsidRPr="00EF75DD">
              <w:rPr>
                <w:rFonts w:eastAsia="Times New Roman" w:cs="Calibri"/>
                <w:sz w:val="20"/>
                <w:lang w:eastAsia="zh-CN"/>
              </w:rPr>
              <w:t> </w:t>
            </w:r>
          </w:p>
        </w:tc>
        <w:tc>
          <w:tcPr>
            <w:tcW w:w="1331" w:type="dxa"/>
            <w:tcBorders>
              <w:top w:val="nil"/>
              <w:left w:val="nil"/>
              <w:bottom w:val="nil"/>
              <w:right w:val="nil"/>
            </w:tcBorders>
            <w:shd w:val="clear" w:color="auto" w:fill="auto"/>
            <w:noWrap/>
            <w:vAlign w:val="bottom"/>
            <w:hideMark/>
          </w:tcPr>
          <w:p w14:paraId="735C7B40"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p>
        </w:tc>
        <w:tc>
          <w:tcPr>
            <w:tcW w:w="1218" w:type="dxa"/>
            <w:tcBorders>
              <w:top w:val="nil"/>
              <w:left w:val="nil"/>
              <w:bottom w:val="nil"/>
              <w:right w:val="nil"/>
            </w:tcBorders>
            <w:shd w:val="clear" w:color="auto" w:fill="auto"/>
            <w:noWrap/>
            <w:vAlign w:val="bottom"/>
            <w:hideMark/>
          </w:tcPr>
          <w:p w14:paraId="3DF12EC7"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218" w:type="dxa"/>
            <w:tcBorders>
              <w:top w:val="nil"/>
              <w:left w:val="nil"/>
              <w:bottom w:val="nil"/>
              <w:right w:val="nil"/>
            </w:tcBorders>
            <w:shd w:val="clear" w:color="auto" w:fill="auto"/>
            <w:noWrap/>
            <w:vAlign w:val="bottom"/>
            <w:hideMark/>
          </w:tcPr>
          <w:p w14:paraId="689C4AC1"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218" w:type="dxa"/>
            <w:tcBorders>
              <w:top w:val="nil"/>
              <w:left w:val="nil"/>
              <w:bottom w:val="nil"/>
              <w:right w:val="nil"/>
            </w:tcBorders>
            <w:shd w:val="clear" w:color="auto" w:fill="auto"/>
            <w:noWrap/>
            <w:vAlign w:val="bottom"/>
            <w:hideMark/>
          </w:tcPr>
          <w:p w14:paraId="4EECAC5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458" w:type="dxa"/>
            <w:tcBorders>
              <w:top w:val="nil"/>
              <w:left w:val="nil"/>
              <w:bottom w:val="nil"/>
              <w:right w:val="nil"/>
            </w:tcBorders>
            <w:shd w:val="clear" w:color="auto" w:fill="auto"/>
            <w:noWrap/>
            <w:vAlign w:val="bottom"/>
            <w:hideMark/>
          </w:tcPr>
          <w:p w14:paraId="689DA5AE"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50</w:t>
            </w:r>
          </w:p>
        </w:tc>
        <w:tc>
          <w:tcPr>
            <w:tcW w:w="1251" w:type="dxa"/>
            <w:tcBorders>
              <w:top w:val="nil"/>
              <w:left w:val="nil"/>
              <w:bottom w:val="nil"/>
              <w:right w:val="nil"/>
            </w:tcBorders>
            <w:shd w:val="clear" w:color="auto" w:fill="auto"/>
            <w:noWrap/>
            <w:vAlign w:val="bottom"/>
            <w:hideMark/>
          </w:tcPr>
          <w:p w14:paraId="02E9F701"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363" w:type="dxa"/>
            <w:tcBorders>
              <w:top w:val="nil"/>
              <w:left w:val="nil"/>
              <w:bottom w:val="nil"/>
              <w:right w:val="nil"/>
            </w:tcBorders>
            <w:shd w:val="clear" w:color="auto" w:fill="auto"/>
            <w:noWrap/>
            <w:vAlign w:val="bottom"/>
            <w:hideMark/>
          </w:tcPr>
          <w:p w14:paraId="64B59F54"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94" w:type="dxa"/>
            <w:tcBorders>
              <w:top w:val="nil"/>
              <w:left w:val="nil"/>
              <w:bottom w:val="nil"/>
              <w:right w:val="nil"/>
            </w:tcBorders>
            <w:shd w:val="clear" w:color="auto" w:fill="auto"/>
            <w:noWrap/>
            <w:vAlign w:val="bottom"/>
            <w:hideMark/>
          </w:tcPr>
          <w:p w14:paraId="26AE3BAD"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EF75DD">
              <w:rPr>
                <w:rFonts w:eastAsia="Times New Roman" w:cs="Calibri"/>
                <w:color w:val="002060"/>
                <w:sz w:val="20"/>
              </w:rPr>
              <w:t>50</w:t>
            </w:r>
          </w:p>
        </w:tc>
      </w:tr>
      <w:tr w:rsidR="005C437E" w:rsidRPr="00EF75DD" w14:paraId="5029326C" w14:textId="77777777" w:rsidTr="002F7131">
        <w:trPr>
          <w:trHeight w:val="20"/>
        </w:trPr>
        <w:tc>
          <w:tcPr>
            <w:tcW w:w="3120" w:type="dxa"/>
            <w:tcBorders>
              <w:top w:val="nil"/>
              <w:left w:val="nil"/>
              <w:bottom w:val="nil"/>
              <w:right w:val="nil"/>
            </w:tcBorders>
            <w:shd w:val="clear" w:color="auto" w:fill="auto"/>
            <w:noWrap/>
            <w:vAlign w:val="bottom"/>
            <w:hideMark/>
          </w:tcPr>
          <w:p w14:paraId="3C64707C"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373" w:type="dxa"/>
            <w:tcBorders>
              <w:top w:val="nil"/>
              <w:left w:val="single" w:sz="4" w:space="0" w:color="0070C0"/>
              <w:bottom w:val="nil"/>
              <w:right w:val="nil"/>
            </w:tcBorders>
            <w:shd w:val="clear" w:color="auto" w:fill="auto"/>
            <w:noWrap/>
            <w:vAlign w:val="bottom"/>
            <w:hideMark/>
          </w:tcPr>
          <w:p w14:paraId="743C1751"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 </w:t>
            </w:r>
          </w:p>
        </w:tc>
        <w:tc>
          <w:tcPr>
            <w:tcW w:w="1331" w:type="dxa"/>
            <w:tcBorders>
              <w:top w:val="nil"/>
              <w:left w:val="nil"/>
              <w:bottom w:val="nil"/>
              <w:right w:val="nil"/>
            </w:tcBorders>
            <w:shd w:val="clear" w:color="auto" w:fill="auto"/>
            <w:noWrap/>
            <w:vAlign w:val="bottom"/>
            <w:hideMark/>
          </w:tcPr>
          <w:p w14:paraId="40576933"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8" w:type="dxa"/>
            <w:tcBorders>
              <w:top w:val="nil"/>
              <w:left w:val="nil"/>
              <w:bottom w:val="nil"/>
              <w:right w:val="nil"/>
            </w:tcBorders>
            <w:shd w:val="clear" w:color="auto" w:fill="auto"/>
            <w:noWrap/>
            <w:vAlign w:val="bottom"/>
            <w:hideMark/>
          </w:tcPr>
          <w:p w14:paraId="746B9D38"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5F7B696C"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1C884CA6"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8" w:type="dxa"/>
            <w:tcBorders>
              <w:top w:val="nil"/>
              <w:left w:val="nil"/>
              <w:bottom w:val="nil"/>
              <w:right w:val="nil"/>
            </w:tcBorders>
            <w:shd w:val="clear" w:color="auto" w:fill="auto"/>
            <w:noWrap/>
            <w:vAlign w:val="bottom"/>
            <w:hideMark/>
          </w:tcPr>
          <w:p w14:paraId="33F12BC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1" w:type="dxa"/>
            <w:tcBorders>
              <w:top w:val="nil"/>
              <w:left w:val="nil"/>
              <w:bottom w:val="nil"/>
              <w:right w:val="nil"/>
            </w:tcBorders>
            <w:shd w:val="clear" w:color="auto" w:fill="auto"/>
            <w:noWrap/>
            <w:vAlign w:val="bottom"/>
            <w:hideMark/>
          </w:tcPr>
          <w:p w14:paraId="462A842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3" w:type="dxa"/>
            <w:tcBorders>
              <w:top w:val="nil"/>
              <w:left w:val="nil"/>
              <w:bottom w:val="nil"/>
              <w:right w:val="nil"/>
            </w:tcBorders>
            <w:shd w:val="clear" w:color="auto" w:fill="auto"/>
            <w:noWrap/>
            <w:vAlign w:val="bottom"/>
            <w:hideMark/>
          </w:tcPr>
          <w:p w14:paraId="681DCCB3"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94" w:type="dxa"/>
            <w:tcBorders>
              <w:top w:val="nil"/>
              <w:left w:val="nil"/>
              <w:bottom w:val="nil"/>
              <w:right w:val="nil"/>
            </w:tcBorders>
            <w:shd w:val="clear" w:color="auto" w:fill="auto"/>
            <w:noWrap/>
            <w:vAlign w:val="bottom"/>
            <w:hideMark/>
          </w:tcPr>
          <w:p w14:paraId="5A42CFC2"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EF75DD" w14:paraId="63F47A09" w14:textId="77777777" w:rsidTr="002F7131">
        <w:trPr>
          <w:trHeight w:val="20"/>
        </w:trPr>
        <w:tc>
          <w:tcPr>
            <w:tcW w:w="3120" w:type="dxa"/>
            <w:tcBorders>
              <w:top w:val="nil"/>
              <w:left w:val="nil"/>
              <w:bottom w:val="nil"/>
              <w:right w:val="nil"/>
            </w:tcBorders>
            <w:shd w:val="clear" w:color="auto" w:fill="auto"/>
            <w:vAlign w:val="bottom"/>
            <w:hideMark/>
          </w:tcPr>
          <w:p w14:paraId="5780371E"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EF75DD">
              <w:rPr>
                <w:rFonts w:cstheme="minorHAnsi"/>
                <w:sz w:val="20"/>
              </w:rPr>
              <w:t xml:space="preserve">8 - </w:t>
            </w:r>
            <w:r w:rsidRPr="00EF75DD">
              <w:rPr>
                <w:rFonts w:cstheme="minorHAnsi"/>
                <w:sz w:val="20"/>
              </w:rPr>
              <w:t>公共和内部服务设施</w:t>
            </w:r>
          </w:p>
        </w:tc>
        <w:tc>
          <w:tcPr>
            <w:tcW w:w="1373" w:type="dxa"/>
            <w:tcBorders>
              <w:top w:val="nil"/>
              <w:left w:val="single" w:sz="4" w:space="0" w:color="0070C0"/>
              <w:bottom w:val="nil"/>
              <w:right w:val="nil"/>
            </w:tcBorders>
            <w:shd w:val="clear" w:color="auto" w:fill="auto"/>
            <w:noWrap/>
            <w:vAlign w:val="bottom"/>
            <w:hideMark/>
          </w:tcPr>
          <w:p w14:paraId="6CCF6A97"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 </w:t>
            </w:r>
          </w:p>
        </w:tc>
        <w:tc>
          <w:tcPr>
            <w:tcW w:w="1331" w:type="dxa"/>
            <w:tcBorders>
              <w:top w:val="nil"/>
              <w:left w:val="nil"/>
              <w:bottom w:val="nil"/>
              <w:right w:val="nil"/>
            </w:tcBorders>
            <w:shd w:val="clear" w:color="auto" w:fill="auto"/>
            <w:noWrap/>
            <w:vAlign w:val="bottom"/>
            <w:hideMark/>
          </w:tcPr>
          <w:p w14:paraId="6C3903E3"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8" w:type="dxa"/>
            <w:tcBorders>
              <w:top w:val="nil"/>
              <w:left w:val="nil"/>
              <w:bottom w:val="nil"/>
              <w:right w:val="nil"/>
            </w:tcBorders>
            <w:shd w:val="clear" w:color="auto" w:fill="auto"/>
            <w:noWrap/>
            <w:vAlign w:val="bottom"/>
            <w:hideMark/>
          </w:tcPr>
          <w:p w14:paraId="6256FDFE"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3E5AF415"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4252984E"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8" w:type="dxa"/>
            <w:tcBorders>
              <w:top w:val="nil"/>
              <w:left w:val="nil"/>
              <w:bottom w:val="nil"/>
              <w:right w:val="nil"/>
            </w:tcBorders>
            <w:shd w:val="clear" w:color="auto" w:fill="auto"/>
            <w:noWrap/>
            <w:vAlign w:val="bottom"/>
            <w:hideMark/>
          </w:tcPr>
          <w:p w14:paraId="75A9B788"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1" w:type="dxa"/>
            <w:tcBorders>
              <w:top w:val="nil"/>
              <w:left w:val="nil"/>
              <w:bottom w:val="nil"/>
              <w:right w:val="nil"/>
            </w:tcBorders>
            <w:shd w:val="clear" w:color="auto" w:fill="auto"/>
            <w:noWrap/>
            <w:vAlign w:val="bottom"/>
            <w:hideMark/>
          </w:tcPr>
          <w:p w14:paraId="0AF2DC63"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3" w:type="dxa"/>
            <w:tcBorders>
              <w:top w:val="nil"/>
              <w:left w:val="nil"/>
              <w:bottom w:val="nil"/>
              <w:right w:val="nil"/>
            </w:tcBorders>
            <w:shd w:val="clear" w:color="auto" w:fill="auto"/>
            <w:noWrap/>
            <w:vAlign w:val="bottom"/>
            <w:hideMark/>
          </w:tcPr>
          <w:p w14:paraId="21FD7EBC"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94" w:type="dxa"/>
            <w:tcBorders>
              <w:top w:val="nil"/>
              <w:left w:val="nil"/>
              <w:bottom w:val="nil"/>
              <w:right w:val="nil"/>
            </w:tcBorders>
            <w:shd w:val="clear" w:color="auto" w:fill="auto"/>
            <w:noWrap/>
            <w:vAlign w:val="bottom"/>
            <w:hideMark/>
          </w:tcPr>
          <w:p w14:paraId="14F3B1B0"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EF75DD">
              <w:rPr>
                <w:rFonts w:eastAsia="Times New Roman" w:cs="Calibri"/>
                <w:color w:val="002060"/>
                <w:sz w:val="20"/>
              </w:rPr>
              <w:t>0</w:t>
            </w:r>
          </w:p>
        </w:tc>
      </w:tr>
      <w:tr w:rsidR="005C437E" w:rsidRPr="00EF75DD" w14:paraId="19812D7A" w14:textId="77777777" w:rsidTr="002F7131">
        <w:trPr>
          <w:trHeight w:val="20"/>
        </w:trPr>
        <w:tc>
          <w:tcPr>
            <w:tcW w:w="3120" w:type="dxa"/>
            <w:tcBorders>
              <w:top w:val="nil"/>
              <w:left w:val="nil"/>
              <w:bottom w:val="nil"/>
              <w:right w:val="nil"/>
            </w:tcBorders>
            <w:shd w:val="clear" w:color="auto" w:fill="auto"/>
            <w:noWrap/>
            <w:vAlign w:val="bottom"/>
            <w:hideMark/>
          </w:tcPr>
          <w:p w14:paraId="34FAA7F4"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373" w:type="dxa"/>
            <w:tcBorders>
              <w:top w:val="nil"/>
              <w:left w:val="single" w:sz="4" w:space="0" w:color="0070C0"/>
              <w:bottom w:val="nil"/>
              <w:right w:val="nil"/>
            </w:tcBorders>
            <w:shd w:val="clear" w:color="auto" w:fill="auto"/>
            <w:noWrap/>
            <w:vAlign w:val="bottom"/>
            <w:hideMark/>
          </w:tcPr>
          <w:p w14:paraId="0F09F8B6"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 </w:t>
            </w:r>
          </w:p>
        </w:tc>
        <w:tc>
          <w:tcPr>
            <w:tcW w:w="1331" w:type="dxa"/>
            <w:tcBorders>
              <w:top w:val="nil"/>
              <w:left w:val="nil"/>
              <w:bottom w:val="nil"/>
              <w:right w:val="nil"/>
            </w:tcBorders>
            <w:shd w:val="clear" w:color="auto" w:fill="auto"/>
            <w:noWrap/>
            <w:vAlign w:val="bottom"/>
            <w:hideMark/>
          </w:tcPr>
          <w:p w14:paraId="0C971305"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8" w:type="dxa"/>
            <w:tcBorders>
              <w:top w:val="nil"/>
              <w:left w:val="nil"/>
              <w:bottom w:val="nil"/>
              <w:right w:val="nil"/>
            </w:tcBorders>
            <w:shd w:val="clear" w:color="auto" w:fill="auto"/>
            <w:noWrap/>
            <w:vAlign w:val="bottom"/>
            <w:hideMark/>
          </w:tcPr>
          <w:p w14:paraId="1AC16370"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08107125"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79D1476B"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8" w:type="dxa"/>
            <w:tcBorders>
              <w:top w:val="nil"/>
              <w:left w:val="nil"/>
              <w:bottom w:val="nil"/>
              <w:right w:val="nil"/>
            </w:tcBorders>
            <w:shd w:val="clear" w:color="auto" w:fill="auto"/>
            <w:noWrap/>
            <w:vAlign w:val="bottom"/>
            <w:hideMark/>
          </w:tcPr>
          <w:p w14:paraId="6CADCFCD"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1" w:type="dxa"/>
            <w:tcBorders>
              <w:top w:val="nil"/>
              <w:left w:val="nil"/>
              <w:bottom w:val="nil"/>
              <w:right w:val="nil"/>
            </w:tcBorders>
            <w:shd w:val="clear" w:color="auto" w:fill="auto"/>
            <w:noWrap/>
            <w:vAlign w:val="bottom"/>
            <w:hideMark/>
          </w:tcPr>
          <w:p w14:paraId="6309D618"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3" w:type="dxa"/>
            <w:tcBorders>
              <w:top w:val="nil"/>
              <w:left w:val="nil"/>
              <w:bottom w:val="nil"/>
              <w:right w:val="nil"/>
            </w:tcBorders>
            <w:shd w:val="clear" w:color="auto" w:fill="auto"/>
            <w:noWrap/>
            <w:vAlign w:val="bottom"/>
            <w:hideMark/>
          </w:tcPr>
          <w:p w14:paraId="0B6742D8"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94" w:type="dxa"/>
            <w:tcBorders>
              <w:top w:val="nil"/>
              <w:left w:val="nil"/>
              <w:bottom w:val="nil"/>
              <w:right w:val="nil"/>
            </w:tcBorders>
            <w:shd w:val="clear" w:color="auto" w:fill="auto"/>
            <w:noWrap/>
            <w:vAlign w:val="bottom"/>
            <w:hideMark/>
          </w:tcPr>
          <w:p w14:paraId="137C1012"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EF75DD" w14:paraId="7EE6F7C2" w14:textId="77777777" w:rsidTr="002F7131">
        <w:trPr>
          <w:trHeight w:val="20"/>
        </w:trPr>
        <w:tc>
          <w:tcPr>
            <w:tcW w:w="3120" w:type="dxa"/>
            <w:tcBorders>
              <w:top w:val="nil"/>
              <w:left w:val="nil"/>
              <w:bottom w:val="nil"/>
              <w:right w:val="nil"/>
            </w:tcBorders>
            <w:shd w:val="clear" w:color="auto" w:fill="auto"/>
            <w:vAlign w:val="bottom"/>
            <w:hideMark/>
          </w:tcPr>
          <w:p w14:paraId="0BBA57DF"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EF75DD">
              <w:rPr>
                <w:rFonts w:cstheme="minorHAnsi"/>
                <w:sz w:val="20"/>
                <w:lang w:eastAsia="zh-CN"/>
              </w:rPr>
              <w:t xml:space="preserve">9 - </w:t>
            </w:r>
            <w:r w:rsidRPr="00EF75DD">
              <w:rPr>
                <w:rFonts w:cstheme="minorHAnsi"/>
                <w:sz w:val="20"/>
                <w:lang w:eastAsia="zh-CN"/>
              </w:rPr>
              <w:t>审计和机构间的费用及其他</w:t>
            </w:r>
          </w:p>
        </w:tc>
        <w:tc>
          <w:tcPr>
            <w:tcW w:w="1373" w:type="dxa"/>
            <w:tcBorders>
              <w:top w:val="nil"/>
              <w:left w:val="single" w:sz="4" w:space="0" w:color="0070C0"/>
              <w:bottom w:val="nil"/>
              <w:right w:val="nil"/>
            </w:tcBorders>
            <w:shd w:val="clear" w:color="auto" w:fill="auto"/>
            <w:noWrap/>
            <w:vAlign w:val="bottom"/>
            <w:hideMark/>
          </w:tcPr>
          <w:p w14:paraId="06C9C27C"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r w:rsidRPr="00EF75DD">
              <w:rPr>
                <w:rFonts w:eastAsia="Times New Roman" w:cs="Calibri"/>
                <w:sz w:val="20"/>
                <w:lang w:eastAsia="zh-CN"/>
              </w:rPr>
              <w:t> </w:t>
            </w:r>
          </w:p>
        </w:tc>
        <w:tc>
          <w:tcPr>
            <w:tcW w:w="1331" w:type="dxa"/>
            <w:tcBorders>
              <w:top w:val="nil"/>
              <w:left w:val="nil"/>
              <w:bottom w:val="nil"/>
              <w:right w:val="nil"/>
            </w:tcBorders>
            <w:shd w:val="clear" w:color="auto" w:fill="auto"/>
            <w:noWrap/>
            <w:vAlign w:val="bottom"/>
            <w:hideMark/>
          </w:tcPr>
          <w:p w14:paraId="0536B291"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p>
        </w:tc>
        <w:tc>
          <w:tcPr>
            <w:tcW w:w="1218" w:type="dxa"/>
            <w:tcBorders>
              <w:top w:val="nil"/>
              <w:left w:val="nil"/>
              <w:bottom w:val="nil"/>
              <w:right w:val="nil"/>
            </w:tcBorders>
            <w:shd w:val="clear" w:color="auto" w:fill="auto"/>
            <w:noWrap/>
            <w:vAlign w:val="bottom"/>
            <w:hideMark/>
          </w:tcPr>
          <w:p w14:paraId="1E6D1BE6"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218" w:type="dxa"/>
            <w:tcBorders>
              <w:top w:val="nil"/>
              <w:left w:val="nil"/>
              <w:bottom w:val="nil"/>
              <w:right w:val="nil"/>
            </w:tcBorders>
            <w:shd w:val="clear" w:color="auto" w:fill="auto"/>
            <w:noWrap/>
            <w:vAlign w:val="bottom"/>
            <w:hideMark/>
          </w:tcPr>
          <w:p w14:paraId="5AD41B5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218" w:type="dxa"/>
            <w:tcBorders>
              <w:top w:val="nil"/>
              <w:left w:val="nil"/>
              <w:bottom w:val="nil"/>
              <w:right w:val="nil"/>
            </w:tcBorders>
            <w:shd w:val="clear" w:color="auto" w:fill="auto"/>
            <w:noWrap/>
            <w:vAlign w:val="bottom"/>
            <w:hideMark/>
          </w:tcPr>
          <w:p w14:paraId="162AFD08"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10</w:t>
            </w:r>
          </w:p>
        </w:tc>
        <w:tc>
          <w:tcPr>
            <w:tcW w:w="1458" w:type="dxa"/>
            <w:tcBorders>
              <w:top w:val="nil"/>
              <w:left w:val="nil"/>
              <w:bottom w:val="nil"/>
              <w:right w:val="nil"/>
            </w:tcBorders>
            <w:shd w:val="clear" w:color="auto" w:fill="auto"/>
            <w:noWrap/>
            <w:vAlign w:val="bottom"/>
            <w:hideMark/>
          </w:tcPr>
          <w:p w14:paraId="0A39D681"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10</w:t>
            </w:r>
          </w:p>
        </w:tc>
        <w:tc>
          <w:tcPr>
            <w:tcW w:w="1251" w:type="dxa"/>
            <w:tcBorders>
              <w:top w:val="nil"/>
              <w:left w:val="nil"/>
              <w:bottom w:val="nil"/>
              <w:right w:val="nil"/>
            </w:tcBorders>
            <w:shd w:val="clear" w:color="auto" w:fill="auto"/>
            <w:noWrap/>
            <w:vAlign w:val="bottom"/>
            <w:hideMark/>
          </w:tcPr>
          <w:p w14:paraId="67E6C7FC"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363" w:type="dxa"/>
            <w:tcBorders>
              <w:top w:val="nil"/>
              <w:left w:val="nil"/>
              <w:bottom w:val="nil"/>
              <w:right w:val="nil"/>
            </w:tcBorders>
            <w:shd w:val="clear" w:color="auto" w:fill="auto"/>
            <w:noWrap/>
            <w:vAlign w:val="bottom"/>
            <w:hideMark/>
          </w:tcPr>
          <w:p w14:paraId="1B93066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94" w:type="dxa"/>
            <w:tcBorders>
              <w:top w:val="nil"/>
              <w:left w:val="nil"/>
              <w:bottom w:val="nil"/>
              <w:right w:val="nil"/>
            </w:tcBorders>
            <w:shd w:val="clear" w:color="auto" w:fill="auto"/>
            <w:noWrap/>
            <w:vAlign w:val="bottom"/>
            <w:hideMark/>
          </w:tcPr>
          <w:p w14:paraId="726A9BC6"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EF75DD">
              <w:rPr>
                <w:rFonts w:eastAsia="Times New Roman" w:cs="Calibri"/>
                <w:color w:val="002060"/>
                <w:sz w:val="20"/>
              </w:rPr>
              <w:t>20</w:t>
            </w:r>
          </w:p>
        </w:tc>
      </w:tr>
      <w:tr w:rsidR="005C437E" w:rsidRPr="00EF75DD" w14:paraId="6D1F5E45" w14:textId="77777777" w:rsidTr="002F7131">
        <w:trPr>
          <w:trHeight w:val="20"/>
        </w:trPr>
        <w:tc>
          <w:tcPr>
            <w:tcW w:w="3120" w:type="dxa"/>
            <w:tcBorders>
              <w:top w:val="nil"/>
              <w:left w:val="nil"/>
              <w:bottom w:val="single" w:sz="4" w:space="0" w:color="auto"/>
              <w:right w:val="nil"/>
            </w:tcBorders>
            <w:shd w:val="clear" w:color="auto" w:fill="auto"/>
            <w:noWrap/>
            <w:vAlign w:val="center"/>
            <w:hideMark/>
          </w:tcPr>
          <w:p w14:paraId="7DBBBEFD"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EF75DD">
              <w:rPr>
                <w:rFonts w:cstheme="minorHAnsi"/>
                <w:b/>
                <w:bCs/>
                <w:sz w:val="20"/>
              </w:rPr>
              <w:t> </w:t>
            </w:r>
          </w:p>
        </w:tc>
        <w:tc>
          <w:tcPr>
            <w:tcW w:w="1373" w:type="dxa"/>
            <w:tcBorders>
              <w:top w:val="nil"/>
              <w:left w:val="single" w:sz="4" w:space="0" w:color="0070C0"/>
              <w:bottom w:val="single" w:sz="4" w:space="0" w:color="auto"/>
              <w:right w:val="nil"/>
            </w:tcBorders>
            <w:shd w:val="clear" w:color="auto" w:fill="auto"/>
            <w:noWrap/>
            <w:vAlign w:val="center"/>
            <w:hideMark/>
          </w:tcPr>
          <w:p w14:paraId="269AF74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F75DD">
              <w:rPr>
                <w:rFonts w:eastAsia="Times New Roman" w:cs="Calibri"/>
                <w:b/>
                <w:bCs/>
                <w:sz w:val="20"/>
              </w:rPr>
              <w:t> </w:t>
            </w:r>
          </w:p>
        </w:tc>
        <w:tc>
          <w:tcPr>
            <w:tcW w:w="1331" w:type="dxa"/>
            <w:tcBorders>
              <w:top w:val="nil"/>
              <w:left w:val="nil"/>
              <w:bottom w:val="single" w:sz="4" w:space="0" w:color="auto"/>
              <w:right w:val="nil"/>
            </w:tcBorders>
            <w:shd w:val="clear" w:color="auto" w:fill="auto"/>
            <w:noWrap/>
            <w:vAlign w:val="center"/>
            <w:hideMark/>
          </w:tcPr>
          <w:p w14:paraId="220E4DDE"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F75DD">
              <w:rPr>
                <w:rFonts w:eastAsia="Times New Roman" w:cs="Calibri"/>
                <w:b/>
                <w:bCs/>
                <w:sz w:val="20"/>
              </w:rPr>
              <w:t> </w:t>
            </w:r>
          </w:p>
        </w:tc>
        <w:tc>
          <w:tcPr>
            <w:tcW w:w="1218" w:type="dxa"/>
            <w:tcBorders>
              <w:top w:val="nil"/>
              <w:left w:val="nil"/>
              <w:bottom w:val="single" w:sz="4" w:space="0" w:color="auto"/>
              <w:right w:val="nil"/>
            </w:tcBorders>
            <w:shd w:val="clear" w:color="auto" w:fill="auto"/>
            <w:noWrap/>
            <w:vAlign w:val="center"/>
            <w:hideMark/>
          </w:tcPr>
          <w:p w14:paraId="19CE1205"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F75DD">
              <w:rPr>
                <w:rFonts w:eastAsia="Times New Roman" w:cs="Calibri"/>
                <w:b/>
                <w:bCs/>
                <w:sz w:val="20"/>
              </w:rPr>
              <w:t> </w:t>
            </w:r>
          </w:p>
        </w:tc>
        <w:tc>
          <w:tcPr>
            <w:tcW w:w="1218" w:type="dxa"/>
            <w:tcBorders>
              <w:top w:val="nil"/>
              <w:left w:val="nil"/>
              <w:bottom w:val="single" w:sz="4" w:space="0" w:color="auto"/>
              <w:right w:val="nil"/>
            </w:tcBorders>
            <w:shd w:val="clear" w:color="auto" w:fill="auto"/>
            <w:noWrap/>
            <w:vAlign w:val="center"/>
            <w:hideMark/>
          </w:tcPr>
          <w:p w14:paraId="11961187"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F75DD">
              <w:rPr>
                <w:rFonts w:eastAsia="Times New Roman" w:cs="Calibri"/>
                <w:b/>
                <w:bCs/>
                <w:sz w:val="20"/>
              </w:rPr>
              <w:t> </w:t>
            </w:r>
          </w:p>
        </w:tc>
        <w:tc>
          <w:tcPr>
            <w:tcW w:w="1218" w:type="dxa"/>
            <w:tcBorders>
              <w:top w:val="nil"/>
              <w:left w:val="nil"/>
              <w:bottom w:val="single" w:sz="4" w:space="0" w:color="auto"/>
              <w:right w:val="nil"/>
            </w:tcBorders>
            <w:shd w:val="clear" w:color="auto" w:fill="auto"/>
            <w:noWrap/>
            <w:vAlign w:val="center"/>
            <w:hideMark/>
          </w:tcPr>
          <w:p w14:paraId="452B1500"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F75DD">
              <w:rPr>
                <w:rFonts w:eastAsia="Times New Roman" w:cs="Calibri"/>
                <w:b/>
                <w:bCs/>
                <w:sz w:val="20"/>
              </w:rPr>
              <w:t> </w:t>
            </w:r>
          </w:p>
        </w:tc>
        <w:tc>
          <w:tcPr>
            <w:tcW w:w="1458" w:type="dxa"/>
            <w:tcBorders>
              <w:top w:val="nil"/>
              <w:left w:val="nil"/>
              <w:bottom w:val="single" w:sz="4" w:space="0" w:color="auto"/>
              <w:right w:val="nil"/>
            </w:tcBorders>
            <w:shd w:val="clear" w:color="auto" w:fill="auto"/>
            <w:noWrap/>
            <w:vAlign w:val="center"/>
            <w:hideMark/>
          </w:tcPr>
          <w:p w14:paraId="20D17A3E"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F75DD">
              <w:rPr>
                <w:rFonts w:eastAsia="Times New Roman" w:cs="Calibri"/>
                <w:b/>
                <w:bCs/>
                <w:sz w:val="20"/>
              </w:rPr>
              <w:t> </w:t>
            </w:r>
          </w:p>
        </w:tc>
        <w:tc>
          <w:tcPr>
            <w:tcW w:w="1251" w:type="dxa"/>
            <w:tcBorders>
              <w:top w:val="nil"/>
              <w:left w:val="nil"/>
              <w:bottom w:val="single" w:sz="4" w:space="0" w:color="auto"/>
              <w:right w:val="nil"/>
            </w:tcBorders>
            <w:shd w:val="clear" w:color="auto" w:fill="auto"/>
            <w:noWrap/>
            <w:vAlign w:val="center"/>
            <w:hideMark/>
          </w:tcPr>
          <w:p w14:paraId="1F4B5CD0"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F75DD">
              <w:rPr>
                <w:rFonts w:eastAsia="Times New Roman" w:cs="Calibri"/>
                <w:b/>
                <w:bCs/>
                <w:sz w:val="20"/>
              </w:rPr>
              <w:t> </w:t>
            </w:r>
          </w:p>
        </w:tc>
        <w:tc>
          <w:tcPr>
            <w:tcW w:w="1363" w:type="dxa"/>
            <w:tcBorders>
              <w:top w:val="nil"/>
              <w:left w:val="nil"/>
              <w:bottom w:val="single" w:sz="4" w:space="0" w:color="auto"/>
              <w:right w:val="nil"/>
            </w:tcBorders>
            <w:shd w:val="clear" w:color="auto" w:fill="auto"/>
            <w:noWrap/>
            <w:vAlign w:val="center"/>
            <w:hideMark/>
          </w:tcPr>
          <w:p w14:paraId="29346B8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F75DD">
              <w:rPr>
                <w:rFonts w:eastAsia="Times New Roman" w:cs="Calibri"/>
                <w:b/>
                <w:bCs/>
                <w:sz w:val="20"/>
              </w:rPr>
              <w:t> </w:t>
            </w:r>
          </w:p>
        </w:tc>
        <w:tc>
          <w:tcPr>
            <w:tcW w:w="1494" w:type="dxa"/>
            <w:tcBorders>
              <w:top w:val="nil"/>
              <w:left w:val="nil"/>
              <w:bottom w:val="single" w:sz="4" w:space="0" w:color="auto"/>
              <w:right w:val="nil"/>
            </w:tcBorders>
            <w:shd w:val="clear" w:color="auto" w:fill="auto"/>
            <w:noWrap/>
            <w:vAlign w:val="center"/>
            <w:hideMark/>
          </w:tcPr>
          <w:p w14:paraId="5B0F182D"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EF75DD">
              <w:rPr>
                <w:rFonts w:eastAsia="Times New Roman" w:cs="Calibri"/>
                <w:b/>
                <w:bCs/>
                <w:color w:val="002060"/>
                <w:sz w:val="20"/>
              </w:rPr>
              <w:t> </w:t>
            </w:r>
          </w:p>
        </w:tc>
      </w:tr>
      <w:tr w:rsidR="005C437E" w:rsidRPr="00EF75DD" w14:paraId="6D06B4C6" w14:textId="77777777" w:rsidTr="002F7131">
        <w:trPr>
          <w:trHeight w:val="20"/>
        </w:trPr>
        <w:tc>
          <w:tcPr>
            <w:tcW w:w="3120" w:type="dxa"/>
            <w:tcBorders>
              <w:top w:val="nil"/>
              <w:left w:val="nil"/>
              <w:bottom w:val="nil"/>
              <w:right w:val="nil"/>
            </w:tcBorders>
            <w:shd w:val="clear" w:color="auto" w:fill="auto"/>
            <w:noWrap/>
            <w:vAlign w:val="center"/>
            <w:hideMark/>
          </w:tcPr>
          <w:p w14:paraId="67707ACB"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EF75DD">
              <w:rPr>
                <w:rFonts w:cstheme="minorHAnsi"/>
                <w:b/>
                <w:bCs/>
                <w:sz w:val="20"/>
              </w:rPr>
              <w:t>合计</w:t>
            </w:r>
          </w:p>
        </w:tc>
        <w:tc>
          <w:tcPr>
            <w:tcW w:w="1373" w:type="dxa"/>
            <w:tcBorders>
              <w:top w:val="nil"/>
              <w:left w:val="nil"/>
              <w:bottom w:val="nil"/>
              <w:right w:val="nil"/>
            </w:tcBorders>
            <w:shd w:val="clear" w:color="auto" w:fill="auto"/>
            <w:noWrap/>
            <w:vAlign w:val="center"/>
            <w:hideMark/>
          </w:tcPr>
          <w:p w14:paraId="6123B627"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F75DD">
              <w:rPr>
                <w:rFonts w:eastAsia="Times New Roman" w:cs="Calibri"/>
                <w:b/>
                <w:bCs/>
                <w:sz w:val="20"/>
              </w:rPr>
              <w:t>0</w:t>
            </w:r>
          </w:p>
        </w:tc>
        <w:tc>
          <w:tcPr>
            <w:tcW w:w="1331" w:type="dxa"/>
            <w:tcBorders>
              <w:top w:val="nil"/>
              <w:left w:val="nil"/>
              <w:bottom w:val="nil"/>
              <w:right w:val="nil"/>
            </w:tcBorders>
            <w:shd w:val="clear" w:color="auto" w:fill="auto"/>
            <w:noWrap/>
            <w:vAlign w:val="center"/>
            <w:hideMark/>
          </w:tcPr>
          <w:p w14:paraId="320FF266"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F75DD">
              <w:rPr>
                <w:rFonts w:eastAsia="Times New Roman" w:cs="Calibri"/>
                <w:b/>
                <w:bCs/>
                <w:sz w:val="20"/>
              </w:rPr>
              <w:t>91</w:t>
            </w:r>
          </w:p>
        </w:tc>
        <w:tc>
          <w:tcPr>
            <w:tcW w:w="1218" w:type="dxa"/>
            <w:tcBorders>
              <w:top w:val="nil"/>
              <w:left w:val="nil"/>
              <w:bottom w:val="nil"/>
              <w:right w:val="nil"/>
            </w:tcBorders>
            <w:shd w:val="clear" w:color="auto" w:fill="auto"/>
            <w:noWrap/>
            <w:vAlign w:val="center"/>
            <w:hideMark/>
          </w:tcPr>
          <w:p w14:paraId="28D3130A"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F75DD">
              <w:rPr>
                <w:rFonts w:eastAsia="Times New Roman" w:cs="Calibri"/>
                <w:b/>
                <w:bCs/>
                <w:sz w:val="20"/>
              </w:rPr>
              <w:t>1,180</w:t>
            </w:r>
          </w:p>
        </w:tc>
        <w:tc>
          <w:tcPr>
            <w:tcW w:w="1218" w:type="dxa"/>
            <w:tcBorders>
              <w:top w:val="nil"/>
              <w:left w:val="nil"/>
              <w:bottom w:val="nil"/>
              <w:right w:val="nil"/>
            </w:tcBorders>
            <w:shd w:val="clear" w:color="auto" w:fill="auto"/>
            <w:noWrap/>
            <w:vAlign w:val="center"/>
            <w:hideMark/>
          </w:tcPr>
          <w:p w14:paraId="448E3442"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F75DD">
              <w:rPr>
                <w:rFonts w:eastAsia="Times New Roman" w:cs="Calibri"/>
                <w:b/>
                <w:bCs/>
                <w:sz w:val="20"/>
              </w:rPr>
              <w:t>200</w:t>
            </w:r>
          </w:p>
        </w:tc>
        <w:tc>
          <w:tcPr>
            <w:tcW w:w="1218" w:type="dxa"/>
            <w:tcBorders>
              <w:top w:val="nil"/>
              <w:left w:val="nil"/>
              <w:bottom w:val="nil"/>
              <w:right w:val="nil"/>
            </w:tcBorders>
            <w:shd w:val="clear" w:color="auto" w:fill="auto"/>
            <w:noWrap/>
            <w:vAlign w:val="center"/>
            <w:hideMark/>
          </w:tcPr>
          <w:p w14:paraId="1E77A8B6"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F75DD">
              <w:rPr>
                <w:rFonts w:eastAsia="Times New Roman" w:cs="Calibri"/>
                <w:b/>
                <w:bCs/>
                <w:sz w:val="20"/>
              </w:rPr>
              <w:t>260</w:t>
            </w:r>
          </w:p>
        </w:tc>
        <w:tc>
          <w:tcPr>
            <w:tcW w:w="1458" w:type="dxa"/>
            <w:tcBorders>
              <w:top w:val="nil"/>
              <w:left w:val="nil"/>
              <w:bottom w:val="nil"/>
              <w:right w:val="nil"/>
            </w:tcBorders>
            <w:shd w:val="clear" w:color="auto" w:fill="auto"/>
            <w:noWrap/>
            <w:vAlign w:val="center"/>
            <w:hideMark/>
          </w:tcPr>
          <w:p w14:paraId="6F9014B2"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F75DD">
              <w:rPr>
                <w:rFonts w:eastAsia="Times New Roman" w:cs="Calibri"/>
                <w:b/>
                <w:bCs/>
                <w:sz w:val="20"/>
              </w:rPr>
              <w:t>230</w:t>
            </w:r>
          </w:p>
        </w:tc>
        <w:tc>
          <w:tcPr>
            <w:tcW w:w="1251" w:type="dxa"/>
            <w:tcBorders>
              <w:top w:val="nil"/>
              <w:left w:val="nil"/>
              <w:bottom w:val="nil"/>
              <w:right w:val="nil"/>
            </w:tcBorders>
            <w:shd w:val="clear" w:color="auto" w:fill="auto"/>
            <w:noWrap/>
            <w:vAlign w:val="center"/>
            <w:hideMark/>
          </w:tcPr>
          <w:p w14:paraId="0576F4EB"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F75DD">
              <w:rPr>
                <w:rFonts w:eastAsia="Times New Roman" w:cs="Calibri"/>
                <w:b/>
                <w:bCs/>
                <w:sz w:val="20"/>
              </w:rPr>
              <w:t>1,132</w:t>
            </w:r>
          </w:p>
        </w:tc>
        <w:tc>
          <w:tcPr>
            <w:tcW w:w="1363" w:type="dxa"/>
            <w:tcBorders>
              <w:top w:val="nil"/>
              <w:left w:val="nil"/>
              <w:bottom w:val="nil"/>
              <w:right w:val="nil"/>
            </w:tcBorders>
            <w:shd w:val="clear" w:color="auto" w:fill="auto"/>
            <w:noWrap/>
            <w:vAlign w:val="center"/>
            <w:hideMark/>
          </w:tcPr>
          <w:p w14:paraId="3F9E7F69"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F75DD">
              <w:rPr>
                <w:rFonts w:eastAsia="Times New Roman" w:cs="Calibri"/>
                <w:b/>
                <w:bCs/>
                <w:sz w:val="20"/>
              </w:rPr>
              <w:t>10,102</w:t>
            </w:r>
          </w:p>
        </w:tc>
        <w:tc>
          <w:tcPr>
            <w:tcW w:w="1494" w:type="dxa"/>
            <w:tcBorders>
              <w:top w:val="nil"/>
              <w:left w:val="nil"/>
              <w:bottom w:val="nil"/>
              <w:right w:val="nil"/>
            </w:tcBorders>
            <w:shd w:val="clear" w:color="auto" w:fill="auto"/>
            <w:noWrap/>
            <w:vAlign w:val="center"/>
            <w:hideMark/>
          </w:tcPr>
          <w:p w14:paraId="3E8AC725"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EF75DD">
              <w:rPr>
                <w:rFonts w:eastAsia="Times New Roman" w:cs="Calibri"/>
                <w:b/>
                <w:bCs/>
                <w:color w:val="002060"/>
                <w:sz w:val="20"/>
              </w:rPr>
              <w:t>13,195</w:t>
            </w:r>
          </w:p>
        </w:tc>
      </w:tr>
    </w:tbl>
    <w:p w14:paraId="07FFAF99" w14:textId="77777777" w:rsidR="005C437E" w:rsidRDefault="005C437E">
      <w:bookmarkStart w:id="63" w:name="part3_table9"/>
      <w:bookmarkEnd w:id="63"/>
      <w:r>
        <w:br w:type="page"/>
      </w:r>
    </w:p>
    <w:tbl>
      <w:tblPr>
        <w:tblW w:w="12812" w:type="dxa"/>
        <w:tblLook w:val="04A0" w:firstRow="1" w:lastRow="0" w:firstColumn="1" w:lastColumn="0" w:noHBand="0" w:noVBand="1"/>
      </w:tblPr>
      <w:tblGrid>
        <w:gridCol w:w="1300"/>
        <w:gridCol w:w="4937"/>
        <w:gridCol w:w="1363"/>
        <w:gridCol w:w="1396"/>
        <w:gridCol w:w="1180"/>
        <w:gridCol w:w="1180"/>
        <w:gridCol w:w="1456"/>
      </w:tblGrid>
      <w:tr w:rsidR="005C437E" w:rsidRPr="009307D4" w14:paraId="50F3BDE2" w14:textId="77777777" w:rsidTr="005C437E">
        <w:trPr>
          <w:trHeight w:val="465"/>
        </w:trPr>
        <w:tc>
          <w:tcPr>
            <w:tcW w:w="1300" w:type="dxa"/>
            <w:tcBorders>
              <w:top w:val="nil"/>
              <w:left w:val="nil"/>
              <w:bottom w:val="nil"/>
              <w:right w:val="nil"/>
            </w:tcBorders>
            <w:shd w:val="clear" w:color="auto" w:fill="auto"/>
            <w:noWrap/>
            <w:vAlign w:val="center"/>
            <w:hideMark/>
          </w:tcPr>
          <w:p w14:paraId="35520412" w14:textId="41DE4B68"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9307D4">
              <w:rPr>
                <w:rFonts w:ascii="SimSun" w:hAnsi="SimSun" w:cs="Calibri" w:hint="eastAsia"/>
                <w:b/>
                <w:bCs/>
                <w:color w:val="002060"/>
                <w:sz w:val="40"/>
                <w:szCs w:val="40"/>
              </w:rPr>
              <w:lastRenderedPageBreak/>
              <w:t>表</w:t>
            </w:r>
            <w:r w:rsidRPr="009307D4">
              <w:rPr>
                <w:rFonts w:eastAsia="Times New Roman" w:cs="Calibri"/>
                <w:b/>
                <w:bCs/>
                <w:color w:val="002060"/>
                <w:sz w:val="40"/>
                <w:szCs w:val="40"/>
              </w:rPr>
              <w:t>9</w:t>
            </w:r>
          </w:p>
        </w:tc>
        <w:tc>
          <w:tcPr>
            <w:tcW w:w="4937" w:type="dxa"/>
            <w:tcBorders>
              <w:top w:val="nil"/>
              <w:left w:val="nil"/>
              <w:bottom w:val="nil"/>
              <w:right w:val="nil"/>
            </w:tcBorders>
            <w:shd w:val="clear" w:color="auto" w:fill="auto"/>
            <w:noWrap/>
            <w:vAlign w:val="center"/>
            <w:hideMark/>
          </w:tcPr>
          <w:p w14:paraId="2672EEFF"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1363" w:type="dxa"/>
            <w:tcBorders>
              <w:top w:val="nil"/>
              <w:left w:val="nil"/>
              <w:bottom w:val="nil"/>
              <w:right w:val="nil"/>
            </w:tcBorders>
            <w:shd w:val="clear" w:color="auto" w:fill="auto"/>
            <w:noWrap/>
            <w:vAlign w:val="center"/>
            <w:hideMark/>
          </w:tcPr>
          <w:p w14:paraId="224778EA"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2AF67F67"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80" w:type="dxa"/>
            <w:tcBorders>
              <w:top w:val="nil"/>
              <w:left w:val="nil"/>
              <w:bottom w:val="nil"/>
              <w:right w:val="nil"/>
            </w:tcBorders>
            <w:shd w:val="clear" w:color="auto" w:fill="auto"/>
            <w:noWrap/>
            <w:vAlign w:val="center"/>
            <w:hideMark/>
          </w:tcPr>
          <w:p w14:paraId="4D825674"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80" w:type="dxa"/>
            <w:tcBorders>
              <w:top w:val="nil"/>
              <w:left w:val="nil"/>
              <w:bottom w:val="nil"/>
              <w:right w:val="nil"/>
            </w:tcBorders>
            <w:shd w:val="clear" w:color="auto" w:fill="auto"/>
            <w:noWrap/>
            <w:vAlign w:val="center"/>
            <w:hideMark/>
          </w:tcPr>
          <w:p w14:paraId="1C3B7749"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305BE883"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9307D4" w14:paraId="604ECB86" w14:textId="77777777" w:rsidTr="005C437E">
        <w:trPr>
          <w:trHeight w:val="405"/>
        </w:trPr>
        <w:tc>
          <w:tcPr>
            <w:tcW w:w="6237" w:type="dxa"/>
            <w:gridSpan w:val="2"/>
            <w:tcBorders>
              <w:top w:val="nil"/>
              <w:left w:val="nil"/>
              <w:bottom w:val="nil"/>
              <w:right w:val="nil"/>
            </w:tcBorders>
            <w:shd w:val="clear" w:color="auto" w:fill="auto"/>
            <w:noWrap/>
            <w:vAlign w:val="center"/>
            <w:hideMark/>
          </w:tcPr>
          <w:p w14:paraId="31C86E34"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r w:rsidRPr="009307D4">
              <w:rPr>
                <w:rFonts w:ascii="STKaiti" w:eastAsia="STKaiti" w:hAnsi="STKaiti" w:hint="eastAsia"/>
                <w:b/>
                <w:bCs/>
                <w:color w:val="002060"/>
                <w:sz w:val="28"/>
                <w:szCs w:val="28"/>
              </w:rPr>
              <w:t>电信发展部门</w:t>
            </w:r>
          </w:p>
        </w:tc>
        <w:tc>
          <w:tcPr>
            <w:tcW w:w="1363" w:type="dxa"/>
            <w:tcBorders>
              <w:top w:val="nil"/>
              <w:left w:val="nil"/>
              <w:bottom w:val="nil"/>
              <w:right w:val="nil"/>
            </w:tcBorders>
            <w:shd w:val="clear" w:color="auto" w:fill="auto"/>
            <w:noWrap/>
            <w:vAlign w:val="center"/>
            <w:hideMark/>
          </w:tcPr>
          <w:p w14:paraId="71389854"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p>
        </w:tc>
        <w:tc>
          <w:tcPr>
            <w:tcW w:w="1396" w:type="dxa"/>
            <w:tcBorders>
              <w:top w:val="nil"/>
              <w:left w:val="nil"/>
              <w:bottom w:val="nil"/>
              <w:right w:val="nil"/>
            </w:tcBorders>
            <w:shd w:val="clear" w:color="auto" w:fill="auto"/>
            <w:noWrap/>
            <w:vAlign w:val="center"/>
            <w:hideMark/>
          </w:tcPr>
          <w:p w14:paraId="2338CDBF"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80" w:type="dxa"/>
            <w:tcBorders>
              <w:top w:val="nil"/>
              <w:left w:val="nil"/>
              <w:bottom w:val="nil"/>
              <w:right w:val="nil"/>
            </w:tcBorders>
            <w:shd w:val="clear" w:color="auto" w:fill="auto"/>
            <w:noWrap/>
            <w:vAlign w:val="center"/>
            <w:hideMark/>
          </w:tcPr>
          <w:p w14:paraId="5539DC59"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80" w:type="dxa"/>
            <w:tcBorders>
              <w:top w:val="nil"/>
              <w:left w:val="nil"/>
              <w:bottom w:val="nil"/>
              <w:right w:val="nil"/>
            </w:tcBorders>
            <w:shd w:val="clear" w:color="auto" w:fill="auto"/>
            <w:noWrap/>
            <w:vAlign w:val="center"/>
            <w:hideMark/>
          </w:tcPr>
          <w:p w14:paraId="27C71282"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1B1DC658"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9307D4" w14:paraId="3FC1A2CF" w14:textId="77777777" w:rsidTr="005C437E">
        <w:trPr>
          <w:trHeight w:val="405"/>
        </w:trPr>
        <w:tc>
          <w:tcPr>
            <w:tcW w:w="6237" w:type="dxa"/>
            <w:gridSpan w:val="2"/>
            <w:tcBorders>
              <w:top w:val="nil"/>
              <w:left w:val="nil"/>
              <w:bottom w:val="nil"/>
              <w:right w:val="nil"/>
            </w:tcBorders>
            <w:shd w:val="clear" w:color="auto" w:fill="auto"/>
            <w:noWrap/>
            <w:vAlign w:val="center"/>
            <w:hideMark/>
          </w:tcPr>
          <w:p w14:paraId="49E2BE4D"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rPr>
            </w:pPr>
            <w:r w:rsidRPr="009307D4">
              <w:rPr>
                <w:rFonts w:ascii="STKaiti" w:eastAsia="STKaiti" w:hAnsi="STKaiti" w:hint="eastAsia"/>
                <w:b/>
                <w:bCs/>
                <w:color w:val="002060"/>
                <w:szCs w:val="24"/>
              </w:rPr>
              <w:t>按项列出的计划支出</w:t>
            </w:r>
          </w:p>
        </w:tc>
        <w:tc>
          <w:tcPr>
            <w:tcW w:w="6575" w:type="dxa"/>
            <w:gridSpan w:val="5"/>
            <w:tcBorders>
              <w:top w:val="nil"/>
              <w:left w:val="nil"/>
              <w:bottom w:val="nil"/>
              <w:right w:val="nil"/>
            </w:tcBorders>
            <w:shd w:val="clear" w:color="auto" w:fill="auto"/>
            <w:noWrap/>
            <w:vAlign w:val="center"/>
            <w:hideMark/>
          </w:tcPr>
          <w:p w14:paraId="1AAB7C06"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9307D4">
              <w:rPr>
                <w:rFonts w:ascii="STKaiti" w:eastAsia="STKaiti" w:hAnsi="STKaiti" w:hint="eastAsia"/>
                <w:color w:val="002060"/>
                <w:sz w:val="18"/>
                <w:szCs w:val="18"/>
              </w:rPr>
              <w:t>单位：千瑞郎</w:t>
            </w:r>
          </w:p>
        </w:tc>
      </w:tr>
      <w:tr w:rsidR="005C437E" w:rsidRPr="009307D4" w14:paraId="0F51EDEE" w14:textId="77777777" w:rsidTr="005C437E">
        <w:trPr>
          <w:trHeight w:val="240"/>
        </w:trPr>
        <w:tc>
          <w:tcPr>
            <w:tcW w:w="1300" w:type="dxa"/>
            <w:tcBorders>
              <w:top w:val="nil"/>
              <w:left w:val="nil"/>
              <w:bottom w:val="nil"/>
              <w:right w:val="nil"/>
            </w:tcBorders>
            <w:shd w:val="clear" w:color="auto" w:fill="auto"/>
            <w:noWrap/>
            <w:vAlign w:val="center"/>
            <w:hideMark/>
          </w:tcPr>
          <w:p w14:paraId="028FB49F"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p>
        </w:tc>
        <w:tc>
          <w:tcPr>
            <w:tcW w:w="4937" w:type="dxa"/>
            <w:tcBorders>
              <w:top w:val="nil"/>
              <w:left w:val="nil"/>
              <w:bottom w:val="nil"/>
              <w:right w:val="nil"/>
            </w:tcBorders>
            <w:shd w:val="clear" w:color="auto" w:fill="auto"/>
            <w:noWrap/>
            <w:vAlign w:val="center"/>
            <w:hideMark/>
          </w:tcPr>
          <w:p w14:paraId="5E10EDEF"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3" w:type="dxa"/>
            <w:tcBorders>
              <w:top w:val="nil"/>
              <w:left w:val="nil"/>
              <w:bottom w:val="nil"/>
              <w:right w:val="nil"/>
            </w:tcBorders>
            <w:shd w:val="clear" w:color="auto" w:fill="auto"/>
            <w:noWrap/>
            <w:vAlign w:val="center"/>
            <w:hideMark/>
          </w:tcPr>
          <w:p w14:paraId="4A84D02E"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bottom"/>
            <w:hideMark/>
          </w:tcPr>
          <w:p w14:paraId="643343D5"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r w:rsidRPr="009307D4">
              <w:rPr>
                <w:rFonts w:ascii="Helv" w:eastAsia="Times New Roman" w:hAnsi="Helv"/>
                <w:noProof/>
                <w:sz w:val="20"/>
              </w:rPr>
              <mc:AlternateContent>
                <mc:Choice Requires="wps">
                  <w:drawing>
                    <wp:anchor distT="0" distB="0" distL="114300" distR="114300" simplePos="0" relativeHeight="251703296" behindDoc="0" locked="0" layoutInCell="1" allowOverlap="1" wp14:anchorId="28A1AA6B" wp14:editId="5D13810B">
                      <wp:simplePos x="0" y="0"/>
                      <wp:positionH relativeFrom="column">
                        <wp:posOffset>-10160</wp:posOffset>
                      </wp:positionH>
                      <wp:positionV relativeFrom="paragraph">
                        <wp:posOffset>46355</wp:posOffset>
                      </wp:positionV>
                      <wp:extent cx="850265" cy="4057650"/>
                      <wp:effectExtent l="0" t="0" r="26035" b="19050"/>
                      <wp:wrapNone/>
                      <wp:docPr id="1098" name="圆角矩形 1098">
                        <a:extLst xmlns:a="http://schemas.openxmlformats.org/drawingml/2006/main">
                          <a:ext uri="{FF2B5EF4-FFF2-40B4-BE49-F238E27FC236}">
                            <a16:creationId xmlns:a16="http://schemas.microsoft.com/office/drawing/2014/main" id="{00000000-0008-0000-0900-00000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265" cy="4057650"/>
                              </a:xfrm>
                              <a:prstGeom prst="roundRect">
                                <a:avLst>
                                  <a:gd name="adj" fmla="val 50000"/>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5E639396" id="圆角矩形 1098" o:spid="_x0000_s1026" style="position:absolute;margin-left:-.8pt;margin-top:3.65pt;width:66.95pt;height:31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" filled="f"/>
                  </w:pict>
                </mc:Fallback>
              </mc:AlternateContent>
            </w:r>
          </w:p>
          <w:p w14:paraId="1DBE3B64"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tc>
        <w:tc>
          <w:tcPr>
            <w:tcW w:w="1180" w:type="dxa"/>
            <w:tcBorders>
              <w:top w:val="nil"/>
              <w:left w:val="nil"/>
              <w:bottom w:val="nil"/>
              <w:right w:val="nil"/>
            </w:tcBorders>
            <w:shd w:val="clear" w:color="auto" w:fill="auto"/>
            <w:noWrap/>
            <w:vAlign w:val="center"/>
            <w:hideMark/>
          </w:tcPr>
          <w:p w14:paraId="25F92C38"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80" w:type="dxa"/>
            <w:tcBorders>
              <w:top w:val="nil"/>
              <w:left w:val="nil"/>
              <w:bottom w:val="nil"/>
              <w:right w:val="nil"/>
            </w:tcBorders>
            <w:shd w:val="clear" w:color="auto" w:fill="auto"/>
            <w:noWrap/>
            <w:vAlign w:val="center"/>
            <w:hideMark/>
          </w:tcPr>
          <w:p w14:paraId="63221F5B"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2F19DD0C"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r w:rsidRPr="009307D4">
              <w:rPr>
                <w:rFonts w:ascii="Helv" w:eastAsia="Times New Roman" w:hAnsi="Helv"/>
                <w:noProof/>
                <w:sz w:val="20"/>
              </w:rPr>
              <mc:AlternateContent>
                <mc:Choice Requires="wps">
                  <w:drawing>
                    <wp:anchor distT="0" distB="0" distL="114300" distR="114300" simplePos="0" relativeHeight="251702272" behindDoc="0" locked="0" layoutInCell="1" allowOverlap="1" wp14:anchorId="504A6959" wp14:editId="51B859D1">
                      <wp:simplePos x="0" y="0"/>
                      <wp:positionH relativeFrom="column">
                        <wp:posOffset>2540</wp:posOffset>
                      </wp:positionH>
                      <wp:positionV relativeFrom="paragraph">
                        <wp:posOffset>14605</wp:posOffset>
                      </wp:positionV>
                      <wp:extent cx="897890" cy="4095750"/>
                      <wp:effectExtent l="0" t="0" r="16510" b="19050"/>
                      <wp:wrapNone/>
                      <wp:docPr id="1097" name="圆角矩形 1097">
                        <a:extLst xmlns:a="http://schemas.openxmlformats.org/drawingml/2006/main">
                          <a:ext uri="{FF2B5EF4-FFF2-40B4-BE49-F238E27FC236}">
                            <a16:creationId xmlns:a16="http://schemas.microsoft.com/office/drawing/2014/main" id="{00000000-0008-0000-09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890" cy="409575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30BAEC91" id="圆角矩形 1097" o:spid="_x0000_s1026" style="position:absolute;margin-left:.2pt;margin-top:1.15pt;width:70.7pt;height:3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" filled="f" strokecolor="#0070c0" strokeweight="1pt"/>
                  </w:pict>
                </mc:Fallback>
              </mc:AlternateContent>
            </w:r>
          </w:p>
          <w:p w14:paraId="0E41D9EC"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tc>
      </w:tr>
      <w:tr w:rsidR="005C437E" w:rsidRPr="009307D4" w14:paraId="1472495A" w14:textId="77777777" w:rsidTr="005C437E">
        <w:trPr>
          <w:trHeight w:val="255"/>
        </w:trPr>
        <w:tc>
          <w:tcPr>
            <w:tcW w:w="6237" w:type="dxa"/>
            <w:gridSpan w:val="2"/>
            <w:tcBorders>
              <w:top w:val="nil"/>
              <w:left w:val="nil"/>
              <w:bottom w:val="nil"/>
              <w:right w:val="nil"/>
            </w:tcBorders>
            <w:shd w:val="clear" w:color="auto" w:fill="auto"/>
            <w:noWrap/>
            <w:vAlign w:val="center"/>
            <w:hideMark/>
          </w:tcPr>
          <w:p w14:paraId="552189F8"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3" w:type="dxa"/>
            <w:tcBorders>
              <w:top w:val="nil"/>
              <w:left w:val="single" w:sz="4" w:space="0" w:color="0070C0"/>
              <w:bottom w:val="nil"/>
              <w:right w:val="nil"/>
            </w:tcBorders>
            <w:shd w:val="clear" w:color="auto" w:fill="auto"/>
            <w:noWrap/>
            <w:vAlign w:val="center"/>
            <w:hideMark/>
          </w:tcPr>
          <w:p w14:paraId="02B6C604"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center"/>
              <w:textAlignment w:val="auto"/>
              <w:rPr>
                <w:rFonts w:cstheme="minorHAnsi"/>
                <w:b/>
                <w:bCs/>
                <w:sz w:val="20"/>
              </w:rPr>
            </w:pPr>
            <w:r w:rsidRPr="009307D4">
              <w:rPr>
                <w:rFonts w:cstheme="minorHAnsi"/>
                <w:b/>
                <w:bCs/>
                <w:sz w:val="20"/>
              </w:rPr>
              <w:t>实际</w:t>
            </w:r>
          </w:p>
        </w:tc>
        <w:tc>
          <w:tcPr>
            <w:tcW w:w="1396" w:type="dxa"/>
            <w:tcBorders>
              <w:top w:val="nil"/>
              <w:left w:val="nil"/>
              <w:bottom w:val="nil"/>
              <w:right w:val="nil"/>
            </w:tcBorders>
            <w:shd w:val="clear" w:color="auto" w:fill="auto"/>
            <w:noWrap/>
            <w:vAlign w:val="center"/>
            <w:hideMark/>
          </w:tcPr>
          <w:p w14:paraId="38D72F8A"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center"/>
              <w:textAlignment w:val="auto"/>
              <w:rPr>
                <w:rFonts w:cstheme="minorHAnsi"/>
                <w:b/>
                <w:bCs/>
                <w:sz w:val="20"/>
              </w:rPr>
            </w:pPr>
            <w:r w:rsidRPr="009307D4">
              <w:rPr>
                <w:rFonts w:cstheme="minorHAnsi"/>
                <w:b/>
                <w:bCs/>
                <w:sz w:val="20"/>
              </w:rPr>
              <w:t>预算</w:t>
            </w:r>
          </w:p>
        </w:tc>
        <w:tc>
          <w:tcPr>
            <w:tcW w:w="1180" w:type="dxa"/>
            <w:tcBorders>
              <w:top w:val="nil"/>
              <w:left w:val="nil"/>
              <w:bottom w:val="nil"/>
              <w:right w:val="nil"/>
            </w:tcBorders>
            <w:shd w:val="clear" w:color="auto" w:fill="auto"/>
            <w:noWrap/>
            <w:vAlign w:val="center"/>
            <w:hideMark/>
          </w:tcPr>
          <w:p w14:paraId="3247A1CB"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center"/>
              <w:textAlignment w:val="auto"/>
              <w:rPr>
                <w:rFonts w:cstheme="minorHAnsi"/>
                <w:b/>
                <w:bCs/>
                <w:color w:val="002060"/>
                <w:sz w:val="20"/>
              </w:rPr>
            </w:pPr>
            <w:r w:rsidRPr="009307D4">
              <w:rPr>
                <w:rFonts w:cstheme="minorHAnsi"/>
                <w:b/>
                <w:bCs/>
                <w:color w:val="002060"/>
                <w:sz w:val="20"/>
              </w:rPr>
              <w:t>估算</w:t>
            </w:r>
          </w:p>
        </w:tc>
        <w:tc>
          <w:tcPr>
            <w:tcW w:w="1180" w:type="dxa"/>
            <w:tcBorders>
              <w:top w:val="nil"/>
              <w:left w:val="nil"/>
              <w:bottom w:val="nil"/>
              <w:right w:val="nil"/>
            </w:tcBorders>
            <w:shd w:val="clear" w:color="auto" w:fill="auto"/>
            <w:noWrap/>
            <w:vAlign w:val="center"/>
            <w:hideMark/>
          </w:tcPr>
          <w:p w14:paraId="0116BF5E"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center"/>
              <w:textAlignment w:val="auto"/>
              <w:rPr>
                <w:rFonts w:cstheme="minorHAnsi"/>
                <w:b/>
                <w:bCs/>
                <w:color w:val="002060"/>
                <w:sz w:val="20"/>
              </w:rPr>
            </w:pPr>
            <w:r w:rsidRPr="009307D4">
              <w:rPr>
                <w:rFonts w:cstheme="minorHAnsi"/>
                <w:b/>
                <w:bCs/>
                <w:color w:val="002060"/>
                <w:sz w:val="20"/>
              </w:rPr>
              <w:t>估算</w:t>
            </w:r>
          </w:p>
        </w:tc>
        <w:tc>
          <w:tcPr>
            <w:tcW w:w="1456" w:type="dxa"/>
            <w:tcBorders>
              <w:top w:val="nil"/>
              <w:left w:val="nil"/>
              <w:bottom w:val="nil"/>
              <w:right w:val="nil"/>
            </w:tcBorders>
            <w:shd w:val="clear" w:color="auto" w:fill="auto"/>
            <w:noWrap/>
            <w:vAlign w:val="center"/>
            <w:hideMark/>
          </w:tcPr>
          <w:p w14:paraId="60B82BB9"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center"/>
              <w:textAlignment w:val="auto"/>
              <w:rPr>
                <w:rFonts w:cstheme="minorHAnsi"/>
                <w:b/>
                <w:bCs/>
                <w:color w:val="002060"/>
                <w:sz w:val="20"/>
              </w:rPr>
            </w:pPr>
            <w:r w:rsidRPr="009307D4">
              <w:rPr>
                <w:rFonts w:cstheme="minorHAnsi"/>
                <w:b/>
                <w:bCs/>
                <w:color w:val="002060"/>
                <w:sz w:val="20"/>
              </w:rPr>
              <w:t>合计</w:t>
            </w:r>
          </w:p>
        </w:tc>
      </w:tr>
      <w:tr w:rsidR="005C437E" w:rsidRPr="009307D4" w14:paraId="3BE2253D" w14:textId="77777777" w:rsidTr="005C437E">
        <w:trPr>
          <w:trHeight w:val="510"/>
        </w:trPr>
        <w:tc>
          <w:tcPr>
            <w:tcW w:w="1300" w:type="dxa"/>
            <w:tcBorders>
              <w:top w:val="nil"/>
              <w:left w:val="nil"/>
              <w:bottom w:val="single" w:sz="4" w:space="0" w:color="auto"/>
              <w:right w:val="nil"/>
            </w:tcBorders>
            <w:shd w:val="clear" w:color="auto" w:fill="auto"/>
            <w:noWrap/>
            <w:vAlign w:val="center"/>
            <w:hideMark/>
          </w:tcPr>
          <w:p w14:paraId="7F74CB45"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307D4">
              <w:rPr>
                <w:rFonts w:eastAsia="Times New Roman" w:cs="Calibri"/>
                <w:b/>
                <w:bCs/>
                <w:sz w:val="20"/>
              </w:rPr>
              <w:t> </w:t>
            </w:r>
          </w:p>
        </w:tc>
        <w:tc>
          <w:tcPr>
            <w:tcW w:w="4937" w:type="dxa"/>
            <w:tcBorders>
              <w:top w:val="nil"/>
              <w:left w:val="nil"/>
              <w:bottom w:val="single" w:sz="4" w:space="0" w:color="auto"/>
              <w:right w:val="nil"/>
            </w:tcBorders>
            <w:shd w:val="clear" w:color="auto" w:fill="auto"/>
            <w:noWrap/>
            <w:vAlign w:val="center"/>
            <w:hideMark/>
          </w:tcPr>
          <w:p w14:paraId="3EA72481"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307D4">
              <w:rPr>
                <w:rFonts w:eastAsia="Times New Roman" w:cs="Calibri"/>
                <w:b/>
                <w:bCs/>
                <w:sz w:val="20"/>
              </w:rPr>
              <w:t> </w:t>
            </w:r>
          </w:p>
        </w:tc>
        <w:tc>
          <w:tcPr>
            <w:tcW w:w="1363" w:type="dxa"/>
            <w:tcBorders>
              <w:top w:val="nil"/>
              <w:left w:val="single" w:sz="4" w:space="0" w:color="0070C0"/>
              <w:bottom w:val="single" w:sz="4" w:space="0" w:color="auto"/>
              <w:right w:val="nil"/>
            </w:tcBorders>
            <w:shd w:val="clear" w:color="auto" w:fill="auto"/>
            <w:vAlign w:val="center"/>
            <w:hideMark/>
          </w:tcPr>
          <w:p w14:paraId="2D304E3E"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center"/>
              <w:textAlignment w:val="auto"/>
              <w:rPr>
                <w:rFonts w:cstheme="minorHAnsi"/>
                <w:b/>
                <w:bCs/>
                <w:sz w:val="20"/>
              </w:rPr>
            </w:pPr>
            <w:r w:rsidRPr="009307D4">
              <w:rPr>
                <w:rFonts w:cstheme="minorHAnsi"/>
                <w:b/>
                <w:bCs/>
                <w:sz w:val="20"/>
              </w:rPr>
              <w:t>2018-2019</w:t>
            </w:r>
            <w:r w:rsidRPr="009307D4">
              <w:rPr>
                <w:rFonts w:cstheme="minorHAnsi"/>
                <w:b/>
                <w:bCs/>
                <w:sz w:val="20"/>
              </w:rPr>
              <w:t>年</w:t>
            </w:r>
          </w:p>
        </w:tc>
        <w:tc>
          <w:tcPr>
            <w:tcW w:w="1396" w:type="dxa"/>
            <w:tcBorders>
              <w:top w:val="nil"/>
              <w:left w:val="nil"/>
              <w:bottom w:val="single" w:sz="4" w:space="0" w:color="auto"/>
              <w:right w:val="nil"/>
            </w:tcBorders>
            <w:shd w:val="clear" w:color="auto" w:fill="auto"/>
            <w:vAlign w:val="center"/>
            <w:hideMark/>
          </w:tcPr>
          <w:p w14:paraId="31367126"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center"/>
              <w:textAlignment w:val="auto"/>
              <w:rPr>
                <w:rFonts w:cstheme="minorHAnsi"/>
                <w:b/>
                <w:bCs/>
                <w:sz w:val="20"/>
              </w:rPr>
            </w:pPr>
            <w:r w:rsidRPr="009307D4">
              <w:rPr>
                <w:rFonts w:cstheme="minorHAnsi"/>
                <w:b/>
                <w:bCs/>
                <w:sz w:val="20"/>
              </w:rPr>
              <w:t>2020-2021</w:t>
            </w:r>
            <w:r w:rsidRPr="009307D4">
              <w:rPr>
                <w:rFonts w:cstheme="minorHAnsi"/>
                <w:b/>
                <w:bCs/>
                <w:sz w:val="20"/>
              </w:rPr>
              <w:t>年</w:t>
            </w:r>
          </w:p>
        </w:tc>
        <w:tc>
          <w:tcPr>
            <w:tcW w:w="1180" w:type="dxa"/>
            <w:tcBorders>
              <w:top w:val="nil"/>
              <w:left w:val="nil"/>
              <w:bottom w:val="single" w:sz="4" w:space="0" w:color="auto"/>
              <w:right w:val="nil"/>
            </w:tcBorders>
            <w:shd w:val="clear" w:color="auto" w:fill="auto"/>
            <w:vAlign w:val="center"/>
            <w:hideMark/>
          </w:tcPr>
          <w:p w14:paraId="109F835E"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center"/>
              <w:textAlignment w:val="auto"/>
              <w:rPr>
                <w:rFonts w:cstheme="minorHAnsi"/>
                <w:b/>
                <w:bCs/>
                <w:color w:val="002060"/>
                <w:sz w:val="20"/>
              </w:rPr>
            </w:pPr>
            <w:r w:rsidRPr="009307D4">
              <w:rPr>
                <w:rFonts w:cstheme="minorHAnsi"/>
                <w:b/>
                <w:bCs/>
                <w:color w:val="002060"/>
                <w:sz w:val="20"/>
              </w:rPr>
              <w:t>2022</w:t>
            </w:r>
            <w:r w:rsidRPr="009307D4">
              <w:rPr>
                <w:rFonts w:cstheme="minorHAnsi"/>
                <w:b/>
                <w:bCs/>
                <w:color w:val="002060"/>
                <w:sz w:val="20"/>
              </w:rPr>
              <w:t>年</w:t>
            </w:r>
          </w:p>
        </w:tc>
        <w:tc>
          <w:tcPr>
            <w:tcW w:w="1180" w:type="dxa"/>
            <w:tcBorders>
              <w:top w:val="nil"/>
              <w:left w:val="nil"/>
              <w:bottom w:val="single" w:sz="4" w:space="0" w:color="auto"/>
              <w:right w:val="nil"/>
            </w:tcBorders>
            <w:shd w:val="clear" w:color="auto" w:fill="auto"/>
            <w:vAlign w:val="center"/>
            <w:hideMark/>
          </w:tcPr>
          <w:p w14:paraId="527F6857"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center"/>
              <w:textAlignment w:val="auto"/>
              <w:rPr>
                <w:rFonts w:cstheme="minorHAnsi"/>
                <w:b/>
                <w:bCs/>
                <w:color w:val="002060"/>
                <w:sz w:val="20"/>
              </w:rPr>
            </w:pPr>
            <w:r w:rsidRPr="009307D4">
              <w:rPr>
                <w:rFonts w:cstheme="minorHAnsi"/>
                <w:b/>
                <w:bCs/>
                <w:color w:val="002060"/>
                <w:sz w:val="20"/>
              </w:rPr>
              <w:t>2023</w:t>
            </w:r>
            <w:r w:rsidRPr="009307D4">
              <w:rPr>
                <w:rFonts w:cstheme="minorHAnsi"/>
                <w:b/>
                <w:bCs/>
                <w:color w:val="002060"/>
                <w:sz w:val="20"/>
              </w:rPr>
              <w:t>年</w:t>
            </w:r>
          </w:p>
        </w:tc>
        <w:tc>
          <w:tcPr>
            <w:tcW w:w="1456" w:type="dxa"/>
            <w:tcBorders>
              <w:top w:val="nil"/>
              <w:left w:val="nil"/>
              <w:bottom w:val="single" w:sz="4" w:space="0" w:color="auto"/>
              <w:right w:val="nil"/>
            </w:tcBorders>
            <w:shd w:val="clear" w:color="auto" w:fill="auto"/>
            <w:vAlign w:val="center"/>
            <w:hideMark/>
          </w:tcPr>
          <w:p w14:paraId="7CD2BE79"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center"/>
              <w:textAlignment w:val="auto"/>
              <w:rPr>
                <w:rFonts w:cstheme="minorHAnsi"/>
                <w:b/>
                <w:bCs/>
                <w:color w:val="002060"/>
                <w:sz w:val="20"/>
              </w:rPr>
            </w:pPr>
            <w:r w:rsidRPr="009307D4">
              <w:rPr>
                <w:rFonts w:cstheme="minorHAnsi"/>
                <w:b/>
                <w:bCs/>
                <w:color w:val="002060"/>
                <w:sz w:val="20"/>
              </w:rPr>
              <w:t>2022-2023</w:t>
            </w:r>
            <w:r w:rsidRPr="009307D4">
              <w:rPr>
                <w:rFonts w:cstheme="minorHAnsi"/>
                <w:b/>
                <w:bCs/>
                <w:color w:val="002060"/>
                <w:sz w:val="20"/>
              </w:rPr>
              <w:t>年</w:t>
            </w:r>
          </w:p>
        </w:tc>
      </w:tr>
      <w:tr w:rsidR="005C437E" w:rsidRPr="009307D4" w14:paraId="1F586BAC" w14:textId="77777777" w:rsidTr="005C437E">
        <w:trPr>
          <w:trHeight w:val="165"/>
        </w:trPr>
        <w:tc>
          <w:tcPr>
            <w:tcW w:w="1300" w:type="dxa"/>
            <w:tcBorders>
              <w:top w:val="nil"/>
              <w:left w:val="nil"/>
              <w:bottom w:val="nil"/>
              <w:right w:val="nil"/>
            </w:tcBorders>
            <w:shd w:val="clear" w:color="auto" w:fill="auto"/>
            <w:noWrap/>
            <w:vAlign w:val="center"/>
            <w:hideMark/>
          </w:tcPr>
          <w:p w14:paraId="6DBB639C"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p>
        </w:tc>
        <w:tc>
          <w:tcPr>
            <w:tcW w:w="4937" w:type="dxa"/>
            <w:tcBorders>
              <w:top w:val="nil"/>
              <w:left w:val="nil"/>
              <w:bottom w:val="nil"/>
              <w:right w:val="nil"/>
            </w:tcBorders>
            <w:shd w:val="clear" w:color="auto" w:fill="auto"/>
            <w:noWrap/>
            <w:vAlign w:val="center"/>
            <w:hideMark/>
          </w:tcPr>
          <w:p w14:paraId="48E93854"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3" w:type="dxa"/>
            <w:tcBorders>
              <w:top w:val="nil"/>
              <w:left w:val="single" w:sz="4" w:space="0" w:color="0070C0"/>
              <w:bottom w:val="nil"/>
              <w:right w:val="nil"/>
            </w:tcBorders>
            <w:shd w:val="clear" w:color="auto" w:fill="auto"/>
            <w:noWrap/>
            <w:vAlign w:val="center"/>
            <w:hideMark/>
          </w:tcPr>
          <w:p w14:paraId="3622D4A5"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71448785"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80" w:type="dxa"/>
            <w:tcBorders>
              <w:top w:val="nil"/>
              <w:left w:val="nil"/>
              <w:bottom w:val="nil"/>
              <w:right w:val="nil"/>
            </w:tcBorders>
            <w:shd w:val="clear" w:color="auto" w:fill="auto"/>
            <w:noWrap/>
            <w:vAlign w:val="center"/>
            <w:hideMark/>
          </w:tcPr>
          <w:p w14:paraId="6D0FE164"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80" w:type="dxa"/>
            <w:tcBorders>
              <w:top w:val="nil"/>
              <w:left w:val="nil"/>
              <w:bottom w:val="nil"/>
              <w:right w:val="nil"/>
            </w:tcBorders>
            <w:shd w:val="clear" w:color="auto" w:fill="auto"/>
            <w:noWrap/>
            <w:vAlign w:val="center"/>
            <w:hideMark/>
          </w:tcPr>
          <w:p w14:paraId="15469EB6"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51435673"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9307D4" w14:paraId="6B948FA2" w14:textId="77777777" w:rsidTr="005C437E">
        <w:trPr>
          <w:trHeight w:val="252"/>
        </w:trPr>
        <w:tc>
          <w:tcPr>
            <w:tcW w:w="1300" w:type="dxa"/>
            <w:tcBorders>
              <w:top w:val="nil"/>
              <w:left w:val="nil"/>
              <w:bottom w:val="nil"/>
              <w:right w:val="nil"/>
            </w:tcBorders>
            <w:shd w:val="clear" w:color="auto" w:fill="auto"/>
            <w:noWrap/>
            <w:vAlign w:val="bottom"/>
            <w:hideMark/>
          </w:tcPr>
          <w:p w14:paraId="1E275C8F"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F04B38">
              <w:rPr>
                <w:rFonts w:ascii="SimSun" w:hAnsi="SimSun" w:hint="eastAsia"/>
                <w:sz w:val="20"/>
              </w:rPr>
              <w:t>第</w:t>
            </w:r>
            <w:r w:rsidRPr="00F04B38">
              <w:rPr>
                <w:rFonts w:cs="Calibri"/>
                <w:sz w:val="20"/>
              </w:rPr>
              <w:t>3</w:t>
            </w:r>
            <w:r w:rsidRPr="00F04B38">
              <w:rPr>
                <w:rFonts w:ascii="SimSun" w:hAnsi="SimSun" w:hint="eastAsia"/>
                <w:sz w:val="20"/>
              </w:rPr>
              <w:t>项</w:t>
            </w:r>
          </w:p>
        </w:tc>
        <w:tc>
          <w:tcPr>
            <w:tcW w:w="4937" w:type="dxa"/>
            <w:tcBorders>
              <w:top w:val="nil"/>
              <w:left w:val="nil"/>
              <w:bottom w:val="nil"/>
              <w:right w:val="nil"/>
            </w:tcBorders>
            <w:shd w:val="clear" w:color="auto" w:fill="auto"/>
            <w:noWrap/>
            <w:vAlign w:val="bottom"/>
            <w:hideMark/>
          </w:tcPr>
          <w:p w14:paraId="6716A0D4"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F04B38">
              <w:rPr>
                <w:rFonts w:ascii="SimSun" w:hAnsi="SimSun" w:hint="eastAsia"/>
                <w:sz w:val="20"/>
              </w:rPr>
              <w:t>世界电信发展大会</w:t>
            </w:r>
          </w:p>
        </w:tc>
        <w:tc>
          <w:tcPr>
            <w:tcW w:w="1363" w:type="dxa"/>
            <w:tcBorders>
              <w:top w:val="nil"/>
              <w:left w:val="single" w:sz="4" w:space="0" w:color="0070C0"/>
              <w:bottom w:val="nil"/>
              <w:right w:val="nil"/>
            </w:tcBorders>
            <w:shd w:val="clear" w:color="auto" w:fill="auto"/>
            <w:noWrap/>
            <w:vAlign w:val="center"/>
            <w:hideMark/>
          </w:tcPr>
          <w:p w14:paraId="6A24DEC6"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23833224"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1,026</w:t>
            </w:r>
          </w:p>
        </w:tc>
        <w:tc>
          <w:tcPr>
            <w:tcW w:w="1180" w:type="dxa"/>
            <w:tcBorders>
              <w:top w:val="nil"/>
              <w:left w:val="nil"/>
              <w:bottom w:val="nil"/>
              <w:right w:val="nil"/>
            </w:tcBorders>
            <w:shd w:val="clear" w:color="auto" w:fill="auto"/>
            <w:noWrap/>
            <w:vAlign w:val="center"/>
            <w:hideMark/>
          </w:tcPr>
          <w:p w14:paraId="7B274B3E"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80" w:type="dxa"/>
            <w:tcBorders>
              <w:top w:val="nil"/>
              <w:left w:val="nil"/>
              <w:bottom w:val="nil"/>
              <w:right w:val="nil"/>
            </w:tcBorders>
            <w:shd w:val="clear" w:color="auto" w:fill="auto"/>
            <w:noWrap/>
            <w:vAlign w:val="center"/>
            <w:hideMark/>
          </w:tcPr>
          <w:p w14:paraId="2D7E8442"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69A49FD5"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0</w:t>
            </w:r>
          </w:p>
        </w:tc>
      </w:tr>
      <w:tr w:rsidR="005C437E" w:rsidRPr="009307D4" w14:paraId="73DD4DC8" w14:textId="77777777" w:rsidTr="005C437E">
        <w:trPr>
          <w:trHeight w:val="199"/>
        </w:trPr>
        <w:tc>
          <w:tcPr>
            <w:tcW w:w="1300" w:type="dxa"/>
            <w:tcBorders>
              <w:top w:val="nil"/>
              <w:left w:val="nil"/>
              <w:bottom w:val="nil"/>
              <w:right w:val="nil"/>
            </w:tcBorders>
            <w:shd w:val="clear" w:color="auto" w:fill="auto"/>
            <w:noWrap/>
            <w:vAlign w:val="center"/>
            <w:hideMark/>
          </w:tcPr>
          <w:p w14:paraId="3D573136"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4937" w:type="dxa"/>
            <w:tcBorders>
              <w:top w:val="nil"/>
              <w:left w:val="nil"/>
              <w:bottom w:val="nil"/>
              <w:right w:val="nil"/>
            </w:tcBorders>
            <w:shd w:val="clear" w:color="auto" w:fill="auto"/>
            <w:noWrap/>
            <w:vAlign w:val="center"/>
            <w:hideMark/>
          </w:tcPr>
          <w:p w14:paraId="5507CC18"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3" w:type="dxa"/>
            <w:tcBorders>
              <w:top w:val="nil"/>
              <w:left w:val="single" w:sz="4" w:space="0" w:color="0070C0"/>
              <w:bottom w:val="nil"/>
              <w:right w:val="nil"/>
            </w:tcBorders>
            <w:shd w:val="clear" w:color="auto" w:fill="auto"/>
            <w:noWrap/>
            <w:vAlign w:val="center"/>
            <w:hideMark/>
          </w:tcPr>
          <w:p w14:paraId="272D88A4"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18DFBFD7"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80" w:type="dxa"/>
            <w:tcBorders>
              <w:top w:val="nil"/>
              <w:left w:val="nil"/>
              <w:bottom w:val="nil"/>
              <w:right w:val="nil"/>
            </w:tcBorders>
            <w:shd w:val="clear" w:color="auto" w:fill="auto"/>
            <w:noWrap/>
            <w:vAlign w:val="center"/>
            <w:hideMark/>
          </w:tcPr>
          <w:p w14:paraId="5ACF60CA"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80" w:type="dxa"/>
            <w:tcBorders>
              <w:top w:val="nil"/>
              <w:left w:val="nil"/>
              <w:bottom w:val="nil"/>
              <w:right w:val="nil"/>
            </w:tcBorders>
            <w:shd w:val="clear" w:color="auto" w:fill="auto"/>
            <w:noWrap/>
            <w:vAlign w:val="center"/>
            <w:hideMark/>
          </w:tcPr>
          <w:p w14:paraId="60C0FC5F"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669EC44B"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9307D4" w14:paraId="2B743E2A" w14:textId="77777777" w:rsidTr="005C437E">
        <w:trPr>
          <w:trHeight w:val="252"/>
        </w:trPr>
        <w:tc>
          <w:tcPr>
            <w:tcW w:w="1300" w:type="dxa"/>
            <w:tcBorders>
              <w:top w:val="nil"/>
              <w:left w:val="nil"/>
              <w:bottom w:val="nil"/>
              <w:right w:val="nil"/>
            </w:tcBorders>
            <w:shd w:val="clear" w:color="auto" w:fill="auto"/>
            <w:noWrap/>
            <w:vAlign w:val="bottom"/>
            <w:hideMark/>
          </w:tcPr>
          <w:p w14:paraId="0BFDD803"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F04B38">
              <w:rPr>
                <w:rFonts w:ascii="SimSun" w:hAnsi="SimSun" w:hint="eastAsia"/>
                <w:sz w:val="20"/>
              </w:rPr>
              <w:t>第</w:t>
            </w:r>
            <w:r w:rsidRPr="00F04B38">
              <w:rPr>
                <w:rFonts w:cs="Calibri"/>
                <w:sz w:val="20"/>
              </w:rPr>
              <w:t>4</w:t>
            </w:r>
            <w:r w:rsidRPr="00F04B38">
              <w:rPr>
                <w:rFonts w:ascii="SimSun" w:hAnsi="SimSun" w:hint="eastAsia"/>
                <w:sz w:val="20"/>
              </w:rPr>
              <w:t>项</w:t>
            </w:r>
          </w:p>
        </w:tc>
        <w:tc>
          <w:tcPr>
            <w:tcW w:w="4937" w:type="dxa"/>
            <w:tcBorders>
              <w:top w:val="nil"/>
              <w:left w:val="nil"/>
              <w:bottom w:val="nil"/>
              <w:right w:val="nil"/>
            </w:tcBorders>
            <w:shd w:val="clear" w:color="auto" w:fill="auto"/>
            <w:noWrap/>
            <w:vAlign w:val="bottom"/>
            <w:hideMark/>
          </w:tcPr>
          <w:p w14:paraId="2454A35D"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F04B38">
              <w:rPr>
                <w:rFonts w:ascii="SimSun" w:hAnsi="SimSun" w:hint="eastAsia"/>
                <w:sz w:val="20"/>
              </w:rPr>
              <w:t>区域性电信发展大会</w:t>
            </w:r>
          </w:p>
        </w:tc>
        <w:tc>
          <w:tcPr>
            <w:tcW w:w="1363" w:type="dxa"/>
            <w:tcBorders>
              <w:top w:val="nil"/>
              <w:left w:val="single" w:sz="4" w:space="0" w:color="0070C0"/>
              <w:bottom w:val="nil"/>
              <w:right w:val="nil"/>
            </w:tcBorders>
            <w:shd w:val="clear" w:color="auto" w:fill="auto"/>
            <w:noWrap/>
            <w:vAlign w:val="center"/>
            <w:hideMark/>
          </w:tcPr>
          <w:p w14:paraId="5E0BEA12"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0A1F92BA"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498</w:t>
            </w:r>
          </w:p>
        </w:tc>
        <w:tc>
          <w:tcPr>
            <w:tcW w:w="1180" w:type="dxa"/>
            <w:tcBorders>
              <w:top w:val="nil"/>
              <w:left w:val="nil"/>
              <w:bottom w:val="nil"/>
              <w:right w:val="nil"/>
            </w:tcBorders>
            <w:shd w:val="clear" w:color="auto" w:fill="auto"/>
            <w:noWrap/>
            <w:vAlign w:val="center"/>
            <w:hideMark/>
          </w:tcPr>
          <w:p w14:paraId="784CA968"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80" w:type="dxa"/>
            <w:tcBorders>
              <w:top w:val="nil"/>
              <w:left w:val="nil"/>
              <w:bottom w:val="nil"/>
              <w:right w:val="nil"/>
            </w:tcBorders>
            <w:shd w:val="clear" w:color="auto" w:fill="auto"/>
            <w:noWrap/>
            <w:vAlign w:val="center"/>
            <w:hideMark/>
          </w:tcPr>
          <w:p w14:paraId="300BF1B2"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5543F754"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0</w:t>
            </w:r>
          </w:p>
        </w:tc>
      </w:tr>
      <w:tr w:rsidR="005C437E" w:rsidRPr="009307D4" w14:paraId="2497AB02" w14:textId="77777777" w:rsidTr="005C437E">
        <w:trPr>
          <w:trHeight w:val="199"/>
        </w:trPr>
        <w:tc>
          <w:tcPr>
            <w:tcW w:w="1300" w:type="dxa"/>
            <w:tcBorders>
              <w:top w:val="nil"/>
              <w:left w:val="nil"/>
              <w:bottom w:val="nil"/>
              <w:right w:val="nil"/>
            </w:tcBorders>
            <w:shd w:val="clear" w:color="auto" w:fill="auto"/>
            <w:noWrap/>
            <w:vAlign w:val="center"/>
            <w:hideMark/>
          </w:tcPr>
          <w:p w14:paraId="25819346"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4937" w:type="dxa"/>
            <w:tcBorders>
              <w:top w:val="nil"/>
              <w:left w:val="nil"/>
              <w:bottom w:val="nil"/>
              <w:right w:val="nil"/>
            </w:tcBorders>
            <w:shd w:val="clear" w:color="auto" w:fill="auto"/>
            <w:noWrap/>
            <w:vAlign w:val="center"/>
            <w:hideMark/>
          </w:tcPr>
          <w:p w14:paraId="76FB98E0"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3" w:type="dxa"/>
            <w:tcBorders>
              <w:top w:val="nil"/>
              <w:left w:val="single" w:sz="4" w:space="0" w:color="0070C0"/>
              <w:bottom w:val="nil"/>
              <w:right w:val="nil"/>
            </w:tcBorders>
            <w:shd w:val="clear" w:color="auto" w:fill="auto"/>
            <w:noWrap/>
            <w:vAlign w:val="center"/>
            <w:hideMark/>
          </w:tcPr>
          <w:p w14:paraId="2D24CF46"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bookmarkStart w:id="64" w:name="RANGE!C13:G27"/>
            <w:r w:rsidRPr="009307D4">
              <w:rPr>
                <w:rFonts w:eastAsia="Times New Roman" w:cs="Calibri"/>
                <w:sz w:val="20"/>
              </w:rPr>
              <w:t> </w:t>
            </w:r>
            <w:bookmarkEnd w:id="64"/>
          </w:p>
        </w:tc>
        <w:tc>
          <w:tcPr>
            <w:tcW w:w="1396" w:type="dxa"/>
            <w:tcBorders>
              <w:top w:val="nil"/>
              <w:left w:val="nil"/>
              <w:bottom w:val="nil"/>
              <w:right w:val="nil"/>
            </w:tcBorders>
            <w:shd w:val="clear" w:color="auto" w:fill="auto"/>
            <w:noWrap/>
            <w:vAlign w:val="center"/>
            <w:hideMark/>
          </w:tcPr>
          <w:p w14:paraId="78307AAE"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80" w:type="dxa"/>
            <w:tcBorders>
              <w:top w:val="nil"/>
              <w:left w:val="nil"/>
              <w:bottom w:val="nil"/>
              <w:right w:val="nil"/>
            </w:tcBorders>
            <w:shd w:val="clear" w:color="auto" w:fill="auto"/>
            <w:noWrap/>
            <w:vAlign w:val="center"/>
            <w:hideMark/>
          </w:tcPr>
          <w:p w14:paraId="76DF65A3"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80" w:type="dxa"/>
            <w:tcBorders>
              <w:top w:val="nil"/>
              <w:left w:val="nil"/>
              <w:bottom w:val="nil"/>
              <w:right w:val="nil"/>
            </w:tcBorders>
            <w:shd w:val="clear" w:color="auto" w:fill="auto"/>
            <w:noWrap/>
            <w:vAlign w:val="center"/>
            <w:hideMark/>
          </w:tcPr>
          <w:p w14:paraId="734B04F0"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20096C97"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9307D4" w14:paraId="302D221D" w14:textId="77777777" w:rsidTr="005C437E">
        <w:trPr>
          <w:trHeight w:val="252"/>
        </w:trPr>
        <w:tc>
          <w:tcPr>
            <w:tcW w:w="1300" w:type="dxa"/>
            <w:tcBorders>
              <w:top w:val="nil"/>
              <w:left w:val="nil"/>
              <w:bottom w:val="nil"/>
              <w:right w:val="nil"/>
            </w:tcBorders>
            <w:shd w:val="clear" w:color="auto" w:fill="auto"/>
            <w:noWrap/>
            <w:vAlign w:val="bottom"/>
            <w:hideMark/>
          </w:tcPr>
          <w:p w14:paraId="69883082"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F04B38">
              <w:rPr>
                <w:rFonts w:ascii="SimSun" w:hAnsi="SimSun" w:hint="eastAsia"/>
                <w:sz w:val="20"/>
              </w:rPr>
              <w:t>第</w:t>
            </w:r>
            <w:r w:rsidRPr="00F04B38">
              <w:rPr>
                <w:rFonts w:cs="Calibri"/>
                <w:sz w:val="20"/>
              </w:rPr>
              <w:t>5</w:t>
            </w:r>
            <w:r w:rsidRPr="00F04B38">
              <w:rPr>
                <w:rFonts w:ascii="SimSun" w:hAnsi="SimSun" w:hint="eastAsia"/>
                <w:sz w:val="20"/>
              </w:rPr>
              <w:t>项</w:t>
            </w:r>
          </w:p>
        </w:tc>
        <w:tc>
          <w:tcPr>
            <w:tcW w:w="4937" w:type="dxa"/>
            <w:tcBorders>
              <w:top w:val="nil"/>
              <w:left w:val="nil"/>
              <w:bottom w:val="nil"/>
              <w:right w:val="nil"/>
            </w:tcBorders>
            <w:shd w:val="clear" w:color="auto" w:fill="auto"/>
            <w:noWrap/>
            <w:vAlign w:val="bottom"/>
            <w:hideMark/>
          </w:tcPr>
          <w:p w14:paraId="28B9E1B1"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F04B38">
              <w:rPr>
                <w:rFonts w:ascii="SimSun" w:hAnsi="SimSun" w:hint="eastAsia"/>
                <w:sz w:val="20"/>
              </w:rPr>
              <w:t>电信发展顾问组</w:t>
            </w:r>
          </w:p>
        </w:tc>
        <w:tc>
          <w:tcPr>
            <w:tcW w:w="1363" w:type="dxa"/>
            <w:tcBorders>
              <w:top w:val="nil"/>
              <w:left w:val="single" w:sz="4" w:space="0" w:color="0070C0"/>
              <w:bottom w:val="nil"/>
              <w:right w:val="nil"/>
            </w:tcBorders>
            <w:shd w:val="clear" w:color="auto" w:fill="auto"/>
            <w:noWrap/>
            <w:vAlign w:val="center"/>
            <w:hideMark/>
          </w:tcPr>
          <w:p w14:paraId="7E13FD71"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206</w:t>
            </w:r>
          </w:p>
        </w:tc>
        <w:tc>
          <w:tcPr>
            <w:tcW w:w="1396" w:type="dxa"/>
            <w:tcBorders>
              <w:top w:val="nil"/>
              <w:left w:val="nil"/>
              <w:bottom w:val="nil"/>
              <w:right w:val="nil"/>
            </w:tcBorders>
            <w:shd w:val="clear" w:color="auto" w:fill="auto"/>
            <w:noWrap/>
            <w:vAlign w:val="center"/>
            <w:hideMark/>
          </w:tcPr>
          <w:p w14:paraId="5FEED674"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244</w:t>
            </w:r>
          </w:p>
        </w:tc>
        <w:tc>
          <w:tcPr>
            <w:tcW w:w="1180" w:type="dxa"/>
            <w:tcBorders>
              <w:top w:val="nil"/>
              <w:left w:val="nil"/>
              <w:bottom w:val="nil"/>
              <w:right w:val="nil"/>
            </w:tcBorders>
            <w:shd w:val="clear" w:color="auto" w:fill="auto"/>
            <w:noWrap/>
            <w:vAlign w:val="center"/>
            <w:hideMark/>
          </w:tcPr>
          <w:p w14:paraId="68A60A76"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172</w:t>
            </w:r>
          </w:p>
        </w:tc>
        <w:tc>
          <w:tcPr>
            <w:tcW w:w="1180" w:type="dxa"/>
            <w:tcBorders>
              <w:top w:val="nil"/>
              <w:left w:val="nil"/>
              <w:bottom w:val="nil"/>
              <w:right w:val="nil"/>
            </w:tcBorders>
            <w:shd w:val="clear" w:color="auto" w:fill="auto"/>
            <w:noWrap/>
            <w:vAlign w:val="center"/>
            <w:hideMark/>
          </w:tcPr>
          <w:p w14:paraId="44EC4767"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143</w:t>
            </w:r>
          </w:p>
        </w:tc>
        <w:tc>
          <w:tcPr>
            <w:tcW w:w="1456" w:type="dxa"/>
            <w:tcBorders>
              <w:top w:val="nil"/>
              <w:left w:val="nil"/>
              <w:bottom w:val="nil"/>
              <w:right w:val="nil"/>
            </w:tcBorders>
            <w:shd w:val="clear" w:color="auto" w:fill="auto"/>
            <w:noWrap/>
            <w:vAlign w:val="center"/>
            <w:hideMark/>
          </w:tcPr>
          <w:p w14:paraId="377C21E5"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315</w:t>
            </w:r>
          </w:p>
        </w:tc>
      </w:tr>
      <w:tr w:rsidR="005C437E" w:rsidRPr="009307D4" w14:paraId="38F59ECC" w14:textId="77777777" w:rsidTr="005C437E">
        <w:trPr>
          <w:trHeight w:val="199"/>
        </w:trPr>
        <w:tc>
          <w:tcPr>
            <w:tcW w:w="1300" w:type="dxa"/>
            <w:tcBorders>
              <w:top w:val="nil"/>
              <w:left w:val="nil"/>
              <w:bottom w:val="nil"/>
              <w:right w:val="nil"/>
            </w:tcBorders>
            <w:shd w:val="clear" w:color="auto" w:fill="auto"/>
            <w:noWrap/>
            <w:vAlign w:val="center"/>
            <w:hideMark/>
          </w:tcPr>
          <w:p w14:paraId="4E8276CB"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4937" w:type="dxa"/>
            <w:tcBorders>
              <w:top w:val="nil"/>
              <w:left w:val="nil"/>
              <w:bottom w:val="nil"/>
              <w:right w:val="nil"/>
            </w:tcBorders>
            <w:shd w:val="clear" w:color="auto" w:fill="auto"/>
            <w:noWrap/>
            <w:vAlign w:val="center"/>
            <w:hideMark/>
          </w:tcPr>
          <w:p w14:paraId="7E1435CA"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3" w:type="dxa"/>
            <w:tcBorders>
              <w:top w:val="nil"/>
              <w:left w:val="single" w:sz="4" w:space="0" w:color="0070C0"/>
              <w:bottom w:val="nil"/>
              <w:right w:val="nil"/>
            </w:tcBorders>
            <w:shd w:val="clear" w:color="auto" w:fill="auto"/>
            <w:noWrap/>
            <w:vAlign w:val="center"/>
            <w:hideMark/>
          </w:tcPr>
          <w:p w14:paraId="686083BC"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59AABF27"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80" w:type="dxa"/>
            <w:tcBorders>
              <w:top w:val="nil"/>
              <w:left w:val="nil"/>
              <w:bottom w:val="nil"/>
              <w:right w:val="nil"/>
            </w:tcBorders>
            <w:shd w:val="clear" w:color="auto" w:fill="auto"/>
            <w:noWrap/>
            <w:vAlign w:val="center"/>
            <w:hideMark/>
          </w:tcPr>
          <w:p w14:paraId="06741EAD"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80" w:type="dxa"/>
            <w:tcBorders>
              <w:top w:val="nil"/>
              <w:left w:val="nil"/>
              <w:bottom w:val="nil"/>
              <w:right w:val="nil"/>
            </w:tcBorders>
            <w:shd w:val="clear" w:color="auto" w:fill="auto"/>
            <w:noWrap/>
            <w:vAlign w:val="center"/>
            <w:hideMark/>
          </w:tcPr>
          <w:p w14:paraId="2FC98EB7"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6274E157"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9307D4" w14:paraId="7D8B1CB7" w14:textId="77777777" w:rsidTr="005C437E">
        <w:trPr>
          <w:trHeight w:val="252"/>
        </w:trPr>
        <w:tc>
          <w:tcPr>
            <w:tcW w:w="1300" w:type="dxa"/>
            <w:tcBorders>
              <w:top w:val="nil"/>
              <w:left w:val="nil"/>
              <w:bottom w:val="nil"/>
              <w:right w:val="nil"/>
            </w:tcBorders>
            <w:shd w:val="clear" w:color="auto" w:fill="auto"/>
            <w:noWrap/>
            <w:vAlign w:val="bottom"/>
            <w:hideMark/>
          </w:tcPr>
          <w:p w14:paraId="41D9C9EE"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F04B38">
              <w:rPr>
                <w:rFonts w:ascii="SimSun" w:hAnsi="SimSun" w:hint="eastAsia"/>
                <w:sz w:val="20"/>
              </w:rPr>
              <w:t>第</w:t>
            </w:r>
            <w:r w:rsidRPr="00F04B38">
              <w:rPr>
                <w:rFonts w:cs="Calibri"/>
                <w:sz w:val="20"/>
              </w:rPr>
              <w:t>6</w:t>
            </w:r>
            <w:r w:rsidRPr="00F04B38">
              <w:rPr>
                <w:rFonts w:ascii="SimSun" w:hAnsi="SimSun" w:hint="eastAsia"/>
                <w:sz w:val="20"/>
              </w:rPr>
              <w:t>项</w:t>
            </w:r>
          </w:p>
        </w:tc>
        <w:tc>
          <w:tcPr>
            <w:tcW w:w="4937" w:type="dxa"/>
            <w:tcBorders>
              <w:top w:val="nil"/>
              <w:left w:val="nil"/>
              <w:bottom w:val="nil"/>
              <w:right w:val="nil"/>
            </w:tcBorders>
            <w:shd w:val="clear" w:color="auto" w:fill="auto"/>
            <w:noWrap/>
            <w:vAlign w:val="bottom"/>
            <w:hideMark/>
          </w:tcPr>
          <w:p w14:paraId="5B2496C9"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F04B38">
              <w:rPr>
                <w:rFonts w:ascii="SimSun" w:hAnsi="SimSun" w:hint="eastAsia"/>
                <w:sz w:val="20"/>
              </w:rPr>
              <w:t>研究组会议</w:t>
            </w:r>
          </w:p>
        </w:tc>
        <w:tc>
          <w:tcPr>
            <w:tcW w:w="1363" w:type="dxa"/>
            <w:tcBorders>
              <w:top w:val="nil"/>
              <w:left w:val="single" w:sz="4" w:space="0" w:color="0070C0"/>
              <w:bottom w:val="nil"/>
              <w:right w:val="nil"/>
            </w:tcBorders>
            <w:shd w:val="clear" w:color="auto" w:fill="auto"/>
            <w:noWrap/>
            <w:vAlign w:val="center"/>
            <w:hideMark/>
          </w:tcPr>
          <w:p w14:paraId="25B9895E"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702</w:t>
            </w:r>
          </w:p>
        </w:tc>
        <w:tc>
          <w:tcPr>
            <w:tcW w:w="1396" w:type="dxa"/>
            <w:tcBorders>
              <w:top w:val="nil"/>
              <w:left w:val="nil"/>
              <w:bottom w:val="nil"/>
              <w:right w:val="nil"/>
            </w:tcBorders>
            <w:shd w:val="clear" w:color="auto" w:fill="auto"/>
            <w:noWrap/>
            <w:vAlign w:val="center"/>
            <w:hideMark/>
          </w:tcPr>
          <w:p w14:paraId="59D7A7A6"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796</w:t>
            </w:r>
          </w:p>
        </w:tc>
        <w:tc>
          <w:tcPr>
            <w:tcW w:w="1180" w:type="dxa"/>
            <w:tcBorders>
              <w:top w:val="nil"/>
              <w:left w:val="nil"/>
              <w:bottom w:val="nil"/>
              <w:right w:val="nil"/>
            </w:tcBorders>
            <w:shd w:val="clear" w:color="auto" w:fill="auto"/>
            <w:noWrap/>
            <w:vAlign w:val="center"/>
            <w:hideMark/>
          </w:tcPr>
          <w:p w14:paraId="4147769A"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407</w:t>
            </w:r>
          </w:p>
        </w:tc>
        <w:tc>
          <w:tcPr>
            <w:tcW w:w="1180" w:type="dxa"/>
            <w:tcBorders>
              <w:top w:val="nil"/>
              <w:left w:val="nil"/>
              <w:bottom w:val="nil"/>
              <w:right w:val="nil"/>
            </w:tcBorders>
            <w:shd w:val="clear" w:color="auto" w:fill="auto"/>
            <w:noWrap/>
            <w:vAlign w:val="center"/>
            <w:hideMark/>
          </w:tcPr>
          <w:p w14:paraId="6D9DCFFA"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407</w:t>
            </w:r>
          </w:p>
        </w:tc>
        <w:tc>
          <w:tcPr>
            <w:tcW w:w="1456" w:type="dxa"/>
            <w:tcBorders>
              <w:top w:val="nil"/>
              <w:left w:val="nil"/>
              <w:bottom w:val="nil"/>
              <w:right w:val="nil"/>
            </w:tcBorders>
            <w:shd w:val="clear" w:color="auto" w:fill="auto"/>
            <w:noWrap/>
            <w:vAlign w:val="center"/>
            <w:hideMark/>
          </w:tcPr>
          <w:p w14:paraId="5A40A873"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814</w:t>
            </w:r>
          </w:p>
        </w:tc>
      </w:tr>
      <w:tr w:rsidR="005C437E" w:rsidRPr="009307D4" w14:paraId="03426F88" w14:textId="77777777" w:rsidTr="005C437E">
        <w:trPr>
          <w:trHeight w:val="199"/>
        </w:trPr>
        <w:tc>
          <w:tcPr>
            <w:tcW w:w="1300" w:type="dxa"/>
            <w:tcBorders>
              <w:top w:val="nil"/>
              <w:left w:val="nil"/>
              <w:bottom w:val="nil"/>
              <w:right w:val="nil"/>
            </w:tcBorders>
            <w:shd w:val="clear" w:color="auto" w:fill="auto"/>
            <w:noWrap/>
            <w:vAlign w:val="center"/>
            <w:hideMark/>
          </w:tcPr>
          <w:p w14:paraId="5CD9899F"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4937" w:type="dxa"/>
            <w:tcBorders>
              <w:top w:val="nil"/>
              <w:left w:val="nil"/>
              <w:bottom w:val="nil"/>
              <w:right w:val="nil"/>
            </w:tcBorders>
            <w:shd w:val="clear" w:color="auto" w:fill="auto"/>
            <w:noWrap/>
            <w:vAlign w:val="center"/>
            <w:hideMark/>
          </w:tcPr>
          <w:p w14:paraId="20817D65"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3" w:type="dxa"/>
            <w:tcBorders>
              <w:top w:val="nil"/>
              <w:left w:val="single" w:sz="4" w:space="0" w:color="0070C0"/>
              <w:bottom w:val="nil"/>
              <w:right w:val="nil"/>
            </w:tcBorders>
            <w:shd w:val="clear" w:color="auto" w:fill="auto"/>
            <w:noWrap/>
            <w:vAlign w:val="center"/>
            <w:hideMark/>
          </w:tcPr>
          <w:p w14:paraId="22B43CFF"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7794CA0A"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80" w:type="dxa"/>
            <w:tcBorders>
              <w:top w:val="nil"/>
              <w:left w:val="nil"/>
              <w:bottom w:val="nil"/>
              <w:right w:val="nil"/>
            </w:tcBorders>
            <w:shd w:val="clear" w:color="auto" w:fill="auto"/>
            <w:noWrap/>
            <w:vAlign w:val="center"/>
            <w:hideMark/>
          </w:tcPr>
          <w:p w14:paraId="2217E5CF"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80" w:type="dxa"/>
            <w:tcBorders>
              <w:top w:val="nil"/>
              <w:left w:val="nil"/>
              <w:bottom w:val="nil"/>
              <w:right w:val="nil"/>
            </w:tcBorders>
            <w:shd w:val="clear" w:color="auto" w:fill="auto"/>
            <w:noWrap/>
            <w:vAlign w:val="center"/>
            <w:hideMark/>
          </w:tcPr>
          <w:p w14:paraId="09D7F990"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3D8DC81A"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9307D4" w14:paraId="0BE14B60" w14:textId="77777777" w:rsidTr="005C437E">
        <w:trPr>
          <w:trHeight w:val="252"/>
        </w:trPr>
        <w:tc>
          <w:tcPr>
            <w:tcW w:w="1300" w:type="dxa"/>
            <w:tcBorders>
              <w:top w:val="nil"/>
              <w:left w:val="nil"/>
              <w:bottom w:val="nil"/>
              <w:right w:val="nil"/>
            </w:tcBorders>
            <w:shd w:val="clear" w:color="auto" w:fill="auto"/>
            <w:noWrap/>
            <w:vAlign w:val="bottom"/>
            <w:hideMark/>
          </w:tcPr>
          <w:p w14:paraId="26BD5EF8"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F04B38">
              <w:rPr>
                <w:rFonts w:ascii="SimSun" w:hAnsi="SimSun" w:hint="eastAsia"/>
                <w:sz w:val="20"/>
              </w:rPr>
              <w:t>第</w:t>
            </w:r>
            <w:r w:rsidRPr="00F04B38">
              <w:rPr>
                <w:rFonts w:cs="Calibri"/>
                <w:sz w:val="20"/>
              </w:rPr>
              <w:t>7</w:t>
            </w:r>
            <w:r w:rsidRPr="00F04B38">
              <w:rPr>
                <w:rFonts w:ascii="SimSun" w:hAnsi="SimSun" w:hint="eastAsia"/>
                <w:sz w:val="20"/>
              </w:rPr>
              <w:t>项</w:t>
            </w:r>
          </w:p>
        </w:tc>
        <w:tc>
          <w:tcPr>
            <w:tcW w:w="4937" w:type="dxa"/>
            <w:tcBorders>
              <w:top w:val="nil"/>
              <w:left w:val="nil"/>
              <w:bottom w:val="nil"/>
              <w:right w:val="nil"/>
            </w:tcBorders>
            <w:shd w:val="clear" w:color="auto" w:fill="auto"/>
            <w:noWrap/>
            <w:vAlign w:val="bottom"/>
            <w:hideMark/>
          </w:tcPr>
          <w:p w14:paraId="49F10A2A"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F04B38">
              <w:rPr>
                <w:rFonts w:ascii="SimSun" w:hAnsi="SimSun" w:hint="eastAsia"/>
                <w:sz w:val="20"/>
              </w:rPr>
              <w:t>活动和项目</w:t>
            </w:r>
            <w:r w:rsidRPr="00C1536D">
              <w:rPr>
                <w:rFonts w:ascii="SimSun" w:hAnsi="SimSun" w:hint="eastAsia"/>
                <w:sz w:val="20"/>
                <w:szCs w:val="18"/>
                <w:vertAlign w:val="superscript"/>
              </w:rPr>
              <w:t>*</w:t>
            </w:r>
          </w:p>
        </w:tc>
        <w:tc>
          <w:tcPr>
            <w:tcW w:w="1363" w:type="dxa"/>
            <w:tcBorders>
              <w:top w:val="nil"/>
              <w:left w:val="single" w:sz="4" w:space="0" w:color="0070C0"/>
              <w:bottom w:val="nil"/>
              <w:right w:val="nil"/>
            </w:tcBorders>
            <w:shd w:val="clear" w:color="auto" w:fill="auto"/>
            <w:noWrap/>
            <w:vAlign w:val="center"/>
            <w:hideMark/>
          </w:tcPr>
          <w:p w14:paraId="3F1FD555"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8,440</w:t>
            </w:r>
          </w:p>
        </w:tc>
        <w:tc>
          <w:tcPr>
            <w:tcW w:w="1396" w:type="dxa"/>
            <w:tcBorders>
              <w:top w:val="nil"/>
              <w:left w:val="nil"/>
              <w:bottom w:val="nil"/>
              <w:right w:val="nil"/>
            </w:tcBorders>
            <w:shd w:val="clear" w:color="auto" w:fill="auto"/>
            <w:noWrap/>
            <w:vAlign w:val="center"/>
            <w:hideMark/>
          </w:tcPr>
          <w:p w14:paraId="4348032F"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12,200</w:t>
            </w:r>
          </w:p>
        </w:tc>
        <w:tc>
          <w:tcPr>
            <w:tcW w:w="1180" w:type="dxa"/>
            <w:tcBorders>
              <w:top w:val="nil"/>
              <w:left w:val="nil"/>
              <w:bottom w:val="nil"/>
              <w:right w:val="nil"/>
            </w:tcBorders>
            <w:shd w:val="clear" w:color="auto" w:fill="auto"/>
            <w:noWrap/>
            <w:vAlign w:val="center"/>
            <w:hideMark/>
          </w:tcPr>
          <w:p w14:paraId="3CAEEBBB"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4,200</w:t>
            </w:r>
          </w:p>
        </w:tc>
        <w:tc>
          <w:tcPr>
            <w:tcW w:w="1180" w:type="dxa"/>
            <w:tcBorders>
              <w:top w:val="nil"/>
              <w:left w:val="nil"/>
              <w:bottom w:val="nil"/>
              <w:right w:val="nil"/>
            </w:tcBorders>
            <w:shd w:val="clear" w:color="auto" w:fill="auto"/>
            <w:noWrap/>
            <w:vAlign w:val="center"/>
            <w:hideMark/>
          </w:tcPr>
          <w:p w14:paraId="1D962D9E"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4,200</w:t>
            </w:r>
          </w:p>
        </w:tc>
        <w:tc>
          <w:tcPr>
            <w:tcW w:w="1456" w:type="dxa"/>
            <w:tcBorders>
              <w:top w:val="nil"/>
              <w:left w:val="nil"/>
              <w:bottom w:val="nil"/>
              <w:right w:val="nil"/>
            </w:tcBorders>
            <w:shd w:val="clear" w:color="auto" w:fill="auto"/>
            <w:noWrap/>
            <w:vAlign w:val="center"/>
            <w:hideMark/>
          </w:tcPr>
          <w:p w14:paraId="2560C138"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8,400</w:t>
            </w:r>
          </w:p>
        </w:tc>
      </w:tr>
      <w:tr w:rsidR="005C437E" w:rsidRPr="009307D4" w14:paraId="49C0C788" w14:textId="77777777" w:rsidTr="005C437E">
        <w:trPr>
          <w:trHeight w:val="199"/>
        </w:trPr>
        <w:tc>
          <w:tcPr>
            <w:tcW w:w="1300" w:type="dxa"/>
            <w:tcBorders>
              <w:top w:val="nil"/>
              <w:left w:val="nil"/>
              <w:bottom w:val="nil"/>
              <w:right w:val="nil"/>
            </w:tcBorders>
            <w:shd w:val="clear" w:color="auto" w:fill="auto"/>
            <w:noWrap/>
            <w:vAlign w:val="center"/>
            <w:hideMark/>
          </w:tcPr>
          <w:p w14:paraId="5D156708"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4937" w:type="dxa"/>
            <w:tcBorders>
              <w:top w:val="nil"/>
              <w:left w:val="nil"/>
              <w:bottom w:val="nil"/>
              <w:right w:val="nil"/>
            </w:tcBorders>
            <w:shd w:val="clear" w:color="auto" w:fill="auto"/>
            <w:noWrap/>
            <w:vAlign w:val="center"/>
            <w:hideMark/>
          </w:tcPr>
          <w:p w14:paraId="191E90D9"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3" w:type="dxa"/>
            <w:tcBorders>
              <w:top w:val="nil"/>
              <w:left w:val="single" w:sz="4" w:space="0" w:color="0070C0"/>
              <w:bottom w:val="nil"/>
              <w:right w:val="nil"/>
            </w:tcBorders>
            <w:shd w:val="clear" w:color="auto" w:fill="auto"/>
            <w:noWrap/>
            <w:vAlign w:val="center"/>
            <w:hideMark/>
          </w:tcPr>
          <w:p w14:paraId="44A7A0BC"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6DCE2635"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80" w:type="dxa"/>
            <w:tcBorders>
              <w:top w:val="nil"/>
              <w:left w:val="nil"/>
              <w:bottom w:val="nil"/>
              <w:right w:val="nil"/>
            </w:tcBorders>
            <w:shd w:val="clear" w:color="auto" w:fill="auto"/>
            <w:noWrap/>
            <w:vAlign w:val="center"/>
            <w:hideMark/>
          </w:tcPr>
          <w:p w14:paraId="189CBE43"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80" w:type="dxa"/>
            <w:tcBorders>
              <w:top w:val="nil"/>
              <w:left w:val="nil"/>
              <w:bottom w:val="nil"/>
              <w:right w:val="nil"/>
            </w:tcBorders>
            <w:shd w:val="clear" w:color="auto" w:fill="auto"/>
            <w:noWrap/>
            <w:vAlign w:val="center"/>
            <w:hideMark/>
          </w:tcPr>
          <w:p w14:paraId="503BBF52"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1F27825C"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9307D4" w14:paraId="7B152256" w14:textId="77777777" w:rsidTr="005C437E">
        <w:trPr>
          <w:trHeight w:val="252"/>
        </w:trPr>
        <w:tc>
          <w:tcPr>
            <w:tcW w:w="1300" w:type="dxa"/>
            <w:tcBorders>
              <w:top w:val="nil"/>
              <w:left w:val="nil"/>
              <w:bottom w:val="nil"/>
              <w:right w:val="nil"/>
            </w:tcBorders>
            <w:shd w:val="clear" w:color="auto" w:fill="auto"/>
            <w:noWrap/>
            <w:vAlign w:val="bottom"/>
            <w:hideMark/>
          </w:tcPr>
          <w:p w14:paraId="03B38A85"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F04B38">
              <w:rPr>
                <w:rFonts w:ascii="SimSun" w:hAnsi="SimSun" w:hint="eastAsia"/>
                <w:sz w:val="20"/>
              </w:rPr>
              <w:t>第</w:t>
            </w:r>
            <w:r w:rsidRPr="00F04B38">
              <w:rPr>
                <w:rFonts w:cs="Calibri"/>
                <w:sz w:val="20"/>
              </w:rPr>
              <w:t>9</w:t>
            </w:r>
            <w:r w:rsidRPr="00F04B38">
              <w:rPr>
                <w:rFonts w:ascii="SimSun" w:hAnsi="SimSun" w:hint="eastAsia"/>
                <w:sz w:val="20"/>
              </w:rPr>
              <w:t>项</w:t>
            </w:r>
          </w:p>
        </w:tc>
        <w:tc>
          <w:tcPr>
            <w:tcW w:w="4937" w:type="dxa"/>
            <w:tcBorders>
              <w:top w:val="nil"/>
              <w:left w:val="nil"/>
              <w:bottom w:val="nil"/>
              <w:right w:val="nil"/>
            </w:tcBorders>
            <w:shd w:val="clear" w:color="auto" w:fill="auto"/>
            <w:noWrap/>
            <w:vAlign w:val="center"/>
            <w:hideMark/>
          </w:tcPr>
          <w:p w14:paraId="19D5C931"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F04B38">
              <w:rPr>
                <w:rFonts w:ascii="SimSun" w:hAnsi="SimSun" w:hint="eastAsia"/>
                <w:sz w:val="20"/>
              </w:rPr>
              <w:t>电信发展局</w:t>
            </w:r>
          </w:p>
        </w:tc>
        <w:tc>
          <w:tcPr>
            <w:tcW w:w="1363" w:type="dxa"/>
            <w:tcBorders>
              <w:top w:val="nil"/>
              <w:left w:val="single" w:sz="4" w:space="0" w:color="0070C0"/>
              <w:bottom w:val="nil"/>
              <w:right w:val="nil"/>
            </w:tcBorders>
            <w:shd w:val="clear" w:color="auto" w:fill="auto"/>
            <w:noWrap/>
            <w:vAlign w:val="center"/>
            <w:hideMark/>
          </w:tcPr>
          <w:p w14:paraId="39940B1B"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44,682</w:t>
            </w:r>
          </w:p>
        </w:tc>
        <w:tc>
          <w:tcPr>
            <w:tcW w:w="1396" w:type="dxa"/>
            <w:tcBorders>
              <w:top w:val="nil"/>
              <w:left w:val="nil"/>
              <w:bottom w:val="nil"/>
              <w:right w:val="nil"/>
            </w:tcBorders>
            <w:shd w:val="clear" w:color="auto" w:fill="auto"/>
            <w:noWrap/>
            <w:vAlign w:val="center"/>
            <w:hideMark/>
          </w:tcPr>
          <w:p w14:paraId="7F7AEE62"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46,196</w:t>
            </w:r>
          </w:p>
        </w:tc>
        <w:tc>
          <w:tcPr>
            <w:tcW w:w="1180" w:type="dxa"/>
            <w:tcBorders>
              <w:top w:val="nil"/>
              <w:left w:val="nil"/>
              <w:bottom w:val="nil"/>
              <w:right w:val="nil"/>
            </w:tcBorders>
            <w:shd w:val="clear" w:color="auto" w:fill="auto"/>
            <w:noWrap/>
            <w:vAlign w:val="center"/>
            <w:hideMark/>
          </w:tcPr>
          <w:p w14:paraId="2A18352A"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22,589</w:t>
            </w:r>
          </w:p>
        </w:tc>
        <w:tc>
          <w:tcPr>
            <w:tcW w:w="1180" w:type="dxa"/>
            <w:tcBorders>
              <w:top w:val="nil"/>
              <w:left w:val="nil"/>
              <w:bottom w:val="nil"/>
              <w:right w:val="nil"/>
            </w:tcBorders>
            <w:shd w:val="clear" w:color="auto" w:fill="auto"/>
            <w:noWrap/>
            <w:vAlign w:val="center"/>
            <w:hideMark/>
          </w:tcPr>
          <w:p w14:paraId="7DBC66FE"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22,487</w:t>
            </w:r>
          </w:p>
        </w:tc>
        <w:tc>
          <w:tcPr>
            <w:tcW w:w="1456" w:type="dxa"/>
            <w:tcBorders>
              <w:top w:val="nil"/>
              <w:left w:val="nil"/>
              <w:bottom w:val="nil"/>
              <w:right w:val="nil"/>
            </w:tcBorders>
            <w:shd w:val="clear" w:color="auto" w:fill="auto"/>
            <w:noWrap/>
            <w:vAlign w:val="center"/>
            <w:hideMark/>
          </w:tcPr>
          <w:p w14:paraId="3FC81D34"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45,076</w:t>
            </w:r>
          </w:p>
        </w:tc>
      </w:tr>
      <w:tr w:rsidR="005C437E" w:rsidRPr="009307D4" w14:paraId="075CA0FB" w14:textId="77777777" w:rsidTr="005C437E">
        <w:trPr>
          <w:trHeight w:val="252"/>
        </w:trPr>
        <w:tc>
          <w:tcPr>
            <w:tcW w:w="1300" w:type="dxa"/>
            <w:tcBorders>
              <w:top w:val="nil"/>
              <w:left w:val="nil"/>
              <w:bottom w:val="nil"/>
              <w:right w:val="nil"/>
            </w:tcBorders>
            <w:shd w:val="clear" w:color="auto" w:fill="auto"/>
            <w:noWrap/>
            <w:vAlign w:val="center"/>
            <w:hideMark/>
          </w:tcPr>
          <w:p w14:paraId="74D34443"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4937" w:type="dxa"/>
            <w:tcBorders>
              <w:top w:val="nil"/>
              <w:left w:val="nil"/>
              <w:bottom w:val="nil"/>
              <w:right w:val="nil"/>
            </w:tcBorders>
            <w:shd w:val="clear" w:color="auto" w:fill="auto"/>
            <w:noWrap/>
            <w:vAlign w:val="bottom"/>
            <w:hideMark/>
          </w:tcPr>
          <w:p w14:paraId="67EEA477"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20"/>
              </w:rPr>
            </w:pPr>
            <w:r>
              <w:rPr>
                <w:rFonts w:ascii="STKaiti" w:eastAsia="STKaiti" w:hAnsi="STKaiti"/>
                <w:sz w:val="20"/>
                <w:lang w:val="fr-CH"/>
              </w:rPr>
              <w:t>-</w:t>
            </w:r>
            <w:r w:rsidRPr="00F04B38">
              <w:rPr>
                <w:rFonts w:ascii="STKaiti" w:eastAsia="STKaiti" w:hAnsi="STKaiti" w:hint="eastAsia"/>
                <w:sz w:val="20"/>
              </w:rPr>
              <w:t xml:space="preserve"> 共同支出</w:t>
            </w:r>
          </w:p>
        </w:tc>
        <w:tc>
          <w:tcPr>
            <w:tcW w:w="1363" w:type="dxa"/>
            <w:tcBorders>
              <w:top w:val="nil"/>
              <w:left w:val="single" w:sz="4" w:space="0" w:color="0070C0"/>
              <w:bottom w:val="nil"/>
              <w:right w:val="nil"/>
            </w:tcBorders>
            <w:shd w:val="clear" w:color="auto" w:fill="auto"/>
            <w:noWrap/>
            <w:vAlign w:val="center"/>
            <w:hideMark/>
          </w:tcPr>
          <w:p w14:paraId="4928593F"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864</w:t>
            </w:r>
          </w:p>
        </w:tc>
        <w:tc>
          <w:tcPr>
            <w:tcW w:w="1396" w:type="dxa"/>
            <w:tcBorders>
              <w:top w:val="nil"/>
              <w:left w:val="nil"/>
              <w:bottom w:val="nil"/>
              <w:right w:val="nil"/>
            </w:tcBorders>
            <w:shd w:val="clear" w:color="auto" w:fill="auto"/>
            <w:noWrap/>
            <w:vAlign w:val="center"/>
            <w:hideMark/>
          </w:tcPr>
          <w:p w14:paraId="2BF4B4EF"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1,504</w:t>
            </w:r>
          </w:p>
        </w:tc>
        <w:tc>
          <w:tcPr>
            <w:tcW w:w="1180" w:type="dxa"/>
            <w:tcBorders>
              <w:top w:val="nil"/>
              <w:left w:val="nil"/>
              <w:bottom w:val="nil"/>
              <w:right w:val="nil"/>
            </w:tcBorders>
            <w:shd w:val="clear" w:color="auto" w:fill="auto"/>
            <w:noWrap/>
            <w:vAlign w:val="center"/>
            <w:hideMark/>
          </w:tcPr>
          <w:p w14:paraId="65CDEFA4"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219</w:t>
            </w:r>
          </w:p>
        </w:tc>
        <w:tc>
          <w:tcPr>
            <w:tcW w:w="1180" w:type="dxa"/>
            <w:tcBorders>
              <w:top w:val="nil"/>
              <w:left w:val="nil"/>
              <w:bottom w:val="nil"/>
              <w:right w:val="nil"/>
            </w:tcBorders>
            <w:shd w:val="clear" w:color="auto" w:fill="auto"/>
            <w:noWrap/>
            <w:vAlign w:val="center"/>
            <w:hideMark/>
          </w:tcPr>
          <w:p w14:paraId="286F56F9"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219</w:t>
            </w:r>
          </w:p>
        </w:tc>
        <w:tc>
          <w:tcPr>
            <w:tcW w:w="1456" w:type="dxa"/>
            <w:tcBorders>
              <w:top w:val="nil"/>
              <w:left w:val="nil"/>
              <w:bottom w:val="nil"/>
              <w:right w:val="nil"/>
            </w:tcBorders>
            <w:shd w:val="clear" w:color="auto" w:fill="auto"/>
            <w:noWrap/>
            <w:vAlign w:val="center"/>
            <w:hideMark/>
          </w:tcPr>
          <w:p w14:paraId="5268539D"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438</w:t>
            </w:r>
          </w:p>
        </w:tc>
      </w:tr>
      <w:tr w:rsidR="005C437E" w:rsidRPr="009307D4" w14:paraId="437F99B9" w14:textId="77777777" w:rsidTr="005C437E">
        <w:trPr>
          <w:trHeight w:val="252"/>
        </w:trPr>
        <w:tc>
          <w:tcPr>
            <w:tcW w:w="1300" w:type="dxa"/>
            <w:tcBorders>
              <w:top w:val="nil"/>
              <w:left w:val="nil"/>
              <w:bottom w:val="nil"/>
              <w:right w:val="nil"/>
            </w:tcBorders>
            <w:shd w:val="clear" w:color="auto" w:fill="auto"/>
            <w:noWrap/>
            <w:vAlign w:val="center"/>
            <w:hideMark/>
          </w:tcPr>
          <w:p w14:paraId="079862BA"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p>
        </w:tc>
        <w:tc>
          <w:tcPr>
            <w:tcW w:w="4937" w:type="dxa"/>
            <w:tcBorders>
              <w:top w:val="nil"/>
              <w:left w:val="nil"/>
              <w:bottom w:val="nil"/>
              <w:right w:val="nil"/>
            </w:tcBorders>
            <w:shd w:val="clear" w:color="auto" w:fill="auto"/>
            <w:noWrap/>
            <w:vAlign w:val="bottom"/>
            <w:hideMark/>
          </w:tcPr>
          <w:p w14:paraId="7C102D1E"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20"/>
              </w:rPr>
            </w:pPr>
            <w:r w:rsidRPr="00F04B38">
              <w:rPr>
                <w:rFonts w:ascii="STKaiti" w:eastAsia="STKaiti" w:hAnsi="STKaiti" w:hint="eastAsia"/>
                <w:sz w:val="20"/>
              </w:rPr>
              <w:t>- 主任办公室</w:t>
            </w:r>
          </w:p>
        </w:tc>
        <w:tc>
          <w:tcPr>
            <w:tcW w:w="1363" w:type="dxa"/>
            <w:tcBorders>
              <w:top w:val="nil"/>
              <w:left w:val="single" w:sz="4" w:space="0" w:color="0070C0"/>
              <w:bottom w:val="nil"/>
              <w:right w:val="nil"/>
            </w:tcBorders>
            <w:shd w:val="clear" w:color="auto" w:fill="auto"/>
            <w:noWrap/>
            <w:vAlign w:val="center"/>
            <w:hideMark/>
          </w:tcPr>
          <w:p w14:paraId="139FD6E8"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3,120</w:t>
            </w:r>
          </w:p>
        </w:tc>
        <w:tc>
          <w:tcPr>
            <w:tcW w:w="1396" w:type="dxa"/>
            <w:tcBorders>
              <w:top w:val="nil"/>
              <w:left w:val="nil"/>
              <w:bottom w:val="nil"/>
              <w:right w:val="nil"/>
            </w:tcBorders>
            <w:shd w:val="clear" w:color="auto" w:fill="auto"/>
            <w:noWrap/>
            <w:vAlign w:val="center"/>
            <w:hideMark/>
          </w:tcPr>
          <w:p w14:paraId="76043142"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2,156</w:t>
            </w:r>
          </w:p>
        </w:tc>
        <w:tc>
          <w:tcPr>
            <w:tcW w:w="1180" w:type="dxa"/>
            <w:tcBorders>
              <w:top w:val="nil"/>
              <w:left w:val="nil"/>
              <w:bottom w:val="nil"/>
              <w:right w:val="nil"/>
            </w:tcBorders>
            <w:shd w:val="clear" w:color="auto" w:fill="auto"/>
            <w:noWrap/>
            <w:vAlign w:val="center"/>
            <w:hideMark/>
          </w:tcPr>
          <w:p w14:paraId="19E2ACE9"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1,697</w:t>
            </w:r>
          </w:p>
        </w:tc>
        <w:tc>
          <w:tcPr>
            <w:tcW w:w="1180" w:type="dxa"/>
            <w:tcBorders>
              <w:top w:val="nil"/>
              <w:left w:val="nil"/>
              <w:bottom w:val="nil"/>
              <w:right w:val="nil"/>
            </w:tcBorders>
            <w:shd w:val="clear" w:color="auto" w:fill="auto"/>
            <w:noWrap/>
            <w:vAlign w:val="center"/>
            <w:hideMark/>
          </w:tcPr>
          <w:p w14:paraId="28102AE8"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1,660</w:t>
            </w:r>
          </w:p>
        </w:tc>
        <w:tc>
          <w:tcPr>
            <w:tcW w:w="1456" w:type="dxa"/>
            <w:tcBorders>
              <w:top w:val="nil"/>
              <w:left w:val="nil"/>
              <w:bottom w:val="nil"/>
              <w:right w:val="nil"/>
            </w:tcBorders>
            <w:shd w:val="clear" w:color="auto" w:fill="auto"/>
            <w:noWrap/>
            <w:vAlign w:val="center"/>
            <w:hideMark/>
          </w:tcPr>
          <w:p w14:paraId="0F4ACBF8"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3,357</w:t>
            </w:r>
          </w:p>
        </w:tc>
      </w:tr>
      <w:tr w:rsidR="005C437E" w:rsidRPr="009307D4" w14:paraId="0C5F4FEE" w14:textId="77777777" w:rsidTr="005C437E">
        <w:trPr>
          <w:trHeight w:val="252"/>
        </w:trPr>
        <w:tc>
          <w:tcPr>
            <w:tcW w:w="1300" w:type="dxa"/>
            <w:tcBorders>
              <w:top w:val="nil"/>
              <w:left w:val="nil"/>
              <w:bottom w:val="nil"/>
              <w:right w:val="nil"/>
            </w:tcBorders>
            <w:shd w:val="clear" w:color="auto" w:fill="auto"/>
            <w:noWrap/>
            <w:vAlign w:val="center"/>
            <w:hideMark/>
          </w:tcPr>
          <w:p w14:paraId="113923A1"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p>
        </w:tc>
        <w:tc>
          <w:tcPr>
            <w:tcW w:w="4937" w:type="dxa"/>
            <w:tcBorders>
              <w:top w:val="nil"/>
              <w:left w:val="nil"/>
              <w:bottom w:val="nil"/>
              <w:right w:val="nil"/>
            </w:tcBorders>
            <w:shd w:val="clear" w:color="auto" w:fill="auto"/>
            <w:noWrap/>
            <w:vAlign w:val="bottom"/>
            <w:hideMark/>
          </w:tcPr>
          <w:p w14:paraId="58188DA9"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20"/>
              </w:rPr>
            </w:pPr>
            <w:r>
              <w:rPr>
                <w:rFonts w:ascii="STKaiti" w:eastAsia="STKaiti" w:hAnsi="STKaiti"/>
                <w:sz w:val="20"/>
              </w:rPr>
              <w:t>-</w:t>
            </w:r>
            <w:r w:rsidRPr="00F04B38">
              <w:rPr>
                <w:rFonts w:ascii="STKaiti" w:eastAsia="STKaiti" w:hAnsi="STKaiti" w:hint="eastAsia"/>
                <w:sz w:val="20"/>
              </w:rPr>
              <w:t xml:space="preserve"> 区域代表处</w:t>
            </w:r>
          </w:p>
        </w:tc>
        <w:tc>
          <w:tcPr>
            <w:tcW w:w="1363" w:type="dxa"/>
            <w:tcBorders>
              <w:top w:val="nil"/>
              <w:left w:val="single" w:sz="4" w:space="0" w:color="0070C0"/>
              <w:bottom w:val="nil"/>
              <w:right w:val="nil"/>
            </w:tcBorders>
            <w:shd w:val="clear" w:color="auto" w:fill="auto"/>
            <w:noWrap/>
            <w:vAlign w:val="center"/>
            <w:hideMark/>
          </w:tcPr>
          <w:p w14:paraId="40FF72BF"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15,097</w:t>
            </w:r>
          </w:p>
        </w:tc>
        <w:tc>
          <w:tcPr>
            <w:tcW w:w="1396" w:type="dxa"/>
            <w:tcBorders>
              <w:top w:val="nil"/>
              <w:left w:val="nil"/>
              <w:bottom w:val="nil"/>
              <w:right w:val="nil"/>
            </w:tcBorders>
            <w:shd w:val="clear" w:color="auto" w:fill="auto"/>
            <w:noWrap/>
            <w:vAlign w:val="center"/>
            <w:hideMark/>
          </w:tcPr>
          <w:p w14:paraId="22E1E7E0"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15,286</w:t>
            </w:r>
          </w:p>
        </w:tc>
        <w:tc>
          <w:tcPr>
            <w:tcW w:w="1180" w:type="dxa"/>
            <w:tcBorders>
              <w:top w:val="nil"/>
              <w:left w:val="nil"/>
              <w:bottom w:val="nil"/>
              <w:right w:val="nil"/>
            </w:tcBorders>
            <w:shd w:val="clear" w:color="auto" w:fill="auto"/>
            <w:noWrap/>
            <w:vAlign w:val="center"/>
            <w:hideMark/>
          </w:tcPr>
          <w:p w14:paraId="4F8931B9"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7,486</w:t>
            </w:r>
          </w:p>
        </w:tc>
        <w:tc>
          <w:tcPr>
            <w:tcW w:w="1180" w:type="dxa"/>
            <w:tcBorders>
              <w:top w:val="nil"/>
              <w:left w:val="nil"/>
              <w:bottom w:val="nil"/>
              <w:right w:val="nil"/>
            </w:tcBorders>
            <w:shd w:val="clear" w:color="auto" w:fill="auto"/>
            <w:noWrap/>
            <w:vAlign w:val="center"/>
            <w:hideMark/>
          </w:tcPr>
          <w:p w14:paraId="5D456CA2"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7,487</w:t>
            </w:r>
          </w:p>
        </w:tc>
        <w:tc>
          <w:tcPr>
            <w:tcW w:w="1456" w:type="dxa"/>
            <w:tcBorders>
              <w:top w:val="nil"/>
              <w:left w:val="nil"/>
              <w:bottom w:val="nil"/>
              <w:right w:val="nil"/>
            </w:tcBorders>
            <w:shd w:val="clear" w:color="auto" w:fill="auto"/>
            <w:noWrap/>
            <w:vAlign w:val="center"/>
            <w:hideMark/>
          </w:tcPr>
          <w:p w14:paraId="4B65684E"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14,973</w:t>
            </w:r>
          </w:p>
        </w:tc>
      </w:tr>
      <w:tr w:rsidR="005C437E" w:rsidRPr="009307D4" w14:paraId="01E4E7F4" w14:textId="77777777" w:rsidTr="005C437E">
        <w:trPr>
          <w:trHeight w:val="252"/>
        </w:trPr>
        <w:tc>
          <w:tcPr>
            <w:tcW w:w="1300" w:type="dxa"/>
            <w:tcBorders>
              <w:top w:val="nil"/>
              <w:left w:val="nil"/>
              <w:bottom w:val="nil"/>
              <w:right w:val="nil"/>
            </w:tcBorders>
            <w:shd w:val="clear" w:color="auto" w:fill="auto"/>
            <w:noWrap/>
            <w:vAlign w:val="center"/>
            <w:hideMark/>
          </w:tcPr>
          <w:p w14:paraId="3F8A1DE6"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p>
        </w:tc>
        <w:tc>
          <w:tcPr>
            <w:tcW w:w="4937" w:type="dxa"/>
            <w:tcBorders>
              <w:top w:val="nil"/>
              <w:left w:val="nil"/>
              <w:bottom w:val="nil"/>
              <w:right w:val="nil"/>
            </w:tcBorders>
            <w:shd w:val="clear" w:color="auto" w:fill="auto"/>
            <w:noWrap/>
            <w:vAlign w:val="bottom"/>
            <w:hideMark/>
          </w:tcPr>
          <w:p w14:paraId="30A9E27D"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20"/>
              </w:rPr>
            </w:pPr>
            <w:r w:rsidRPr="00F04B38">
              <w:rPr>
                <w:rFonts w:ascii="STKaiti" w:eastAsia="STKaiti" w:hAnsi="STKaiti" w:hint="eastAsia"/>
                <w:sz w:val="20"/>
              </w:rPr>
              <w:t>- 各部</w:t>
            </w:r>
          </w:p>
        </w:tc>
        <w:tc>
          <w:tcPr>
            <w:tcW w:w="1363" w:type="dxa"/>
            <w:tcBorders>
              <w:top w:val="nil"/>
              <w:left w:val="single" w:sz="4" w:space="0" w:color="0070C0"/>
              <w:bottom w:val="nil"/>
              <w:right w:val="nil"/>
            </w:tcBorders>
            <w:shd w:val="clear" w:color="auto" w:fill="auto"/>
            <w:noWrap/>
            <w:vAlign w:val="center"/>
            <w:hideMark/>
          </w:tcPr>
          <w:p w14:paraId="00629866"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25,601</w:t>
            </w:r>
          </w:p>
        </w:tc>
        <w:tc>
          <w:tcPr>
            <w:tcW w:w="1396" w:type="dxa"/>
            <w:tcBorders>
              <w:top w:val="nil"/>
              <w:left w:val="nil"/>
              <w:bottom w:val="nil"/>
              <w:right w:val="nil"/>
            </w:tcBorders>
            <w:shd w:val="clear" w:color="auto" w:fill="auto"/>
            <w:noWrap/>
            <w:vAlign w:val="center"/>
            <w:hideMark/>
          </w:tcPr>
          <w:p w14:paraId="617D435D"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27,250</w:t>
            </w:r>
          </w:p>
        </w:tc>
        <w:tc>
          <w:tcPr>
            <w:tcW w:w="1180" w:type="dxa"/>
            <w:tcBorders>
              <w:top w:val="nil"/>
              <w:left w:val="nil"/>
              <w:bottom w:val="nil"/>
              <w:right w:val="nil"/>
            </w:tcBorders>
            <w:shd w:val="clear" w:color="auto" w:fill="auto"/>
            <w:noWrap/>
            <w:vAlign w:val="center"/>
            <w:hideMark/>
          </w:tcPr>
          <w:p w14:paraId="1D8E3D7A"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13,187</w:t>
            </w:r>
          </w:p>
        </w:tc>
        <w:tc>
          <w:tcPr>
            <w:tcW w:w="1180" w:type="dxa"/>
            <w:tcBorders>
              <w:top w:val="nil"/>
              <w:left w:val="nil"/>
              <w:bottom w:val="nil"/>
              <w:right w:val="nil"/>
            </w:tcBorders>
            <w:shd w:val="clear" w:color="auto" w:fill="auto"/>
            <w:noWrap/>
            <w:vAlign w:val="center"/>
            <w:hideMark/>
          </w:tcPr>
          <w:p w14:paraId="74D92864"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13,121</w:t>
            </w:r>
          </w:p>
        </w:tc>
        <w:tc>
          <w:tcPr>
            <w:tcW w:w="1456" w:type="dxa"/>
            <w:tcBorders>
              <w:top w:val="nil"/>
              <w:left w:val="nil"/>
              <w:bottom w:val="nil"/>
              <w:right w:val="nil"/>
            </w:tcBorders>
            <w:shd w:val="clear" w:color="auto" w:fill="auto"/>
            <w:noWrap/>
            <w:vAlign w:val="center"/>
            <w:hideMark/>
          </w:tcPr>
          <w:p w14:paraId="49EF7193"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26,308</w:t>
            </w:r>
          </w:p>
        </w:tc>
      </w:tr>
      <w:tr w:rsidR="005C437E" w:rsidRPr="009307D4" w14:paraId="71BDBEAC" w14:textId="77777777" w:rsidTr="005C437E">
        <w:trPr>
          <w:trHeight w:val="199"/>
        </w:trPr>
        <w:tc>
          <w:tcPr>
            <w:tcW w:w="1300" w:type="dxa"/>
            <w:tcBorders>
              <w:top w:val="nil"/>
              <w:left w:val="nil"/>
              <w:bottom w:val="single" w:sz="4" w:space="0" w:color="auto"/>
              <w:right w:val="nil"/>
            </w:tcBorders>
            <w:shd w:val="clear" w:color="auto" w:fill="auto"/>
            <w:noWrap/>
            <w:vAlign w:val="center"/>
            <w:hideMark/>
          </w:tcPr>
          <w:p w14:paraId="45A31D0F"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9307D4">
              <w:rPr>
                <w:rFonts w:eastAsia="Times New Roman" w:cs="Calibri"/>
                <w:sz w:val="20"/>
              </w:rPr>
              <w:t> </w:t>
            </w:r>
          </w:p>
        </w:tc>
        <w:tc>
          <w:tcPr>
            <w:tcW w:w="4937" w:type="dxa"/>
            <w:tcBorders>
              <w:top w:val="nil"/>
              <w:left w:val="nil"/>
              <w:bottom w:val="single" w:sz="4" w:space="0" w:color="auto"/>
              <w:right w:val="nil"/>
            </w:tcBorders>
            <w:shd w:val="clear" w:color="auto" w:fill="auto"/>
            <w:noWrap/>
            <w:vAlign w:val="center"/>
            <w:hideMark/>
          </w:tcPr>
          <w:p w14:paraId="1D9EA2BE"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9307D4">
              <w:rPr>
                <w:rFonts w:eastAsia="Times New Roman" w:cs="Calibri"/>
                <w:sz w:val="20"/>
              </w:rPr>
              <w:t> </w:t>
            </w:r>
          </w:p>
        </w:tc>
        <w:tc>
          <w:tcPr>
            <w:tcW w:w="1363" w:type="dxa"/>
            <w:tcBorders>
              <w:top w:val="nil"/>
              <w:left w:val="single" w:sz="4" w:space="0" w:color="0070C0"/>
              <w:bottom w:val="single" w:sz="4" w:space="0" w:color="auto"/>
              <w:right w:val="nil"/>
            </w:tcBorders>
            <w:shd w:val="clear" w:color="auto" w:fill="auto"/>
            <w:noWrap/>
            <w:vAlign w:val="center"/>
            <w:hideMark/>
          </w:tcPr>
          <w:p w14:paraId="69D618C8"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 </w:t>
            </w:r>
          </w:p>
        </w:tc>
        <w:tc>
          <w:tcPr>
            <w:tcW w:w="1396" w:type="dxa"/>
            <w:tcBorders>
              <w:top w:val="nil"/>
              <w:left w:val="nil"/>
              <w:bottom w:val="single" w:sz="4" w:space="0" w:color="auto"/>
              <w:right w:val="nil"/>
            </w:tcBorders>
            <w:shd w:val="clear" w:color="auto" w:fill="auto"/>
            <w:noWrap/>
            <w:vAlign w:val="center"/>
            <w:hideMark/>
          </w:tcPr>
          <w:p w14:paraId="55818E9E"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 </w:t>
            </w:r>
          </w:p>
        </w:tc>
        <w:tc>
          <w:tcPr>
            <w:tcW w:w="1180" w:type="dxa"/>
            <w:tcBorders>
              <w:top w:val="nil"/>
              <w:left w:val="nil"/>
              <w:bottom w:val="single" w:sz="4" w:space="0" w:color="auto"/>
              <w:right w:val="nil"/>
            </w:tcBorders>
            <w:shd w:val="clear" w:color="auto" w:fill="auto"/>
            <w:noWrap/>
            <w:vAlign w:val="center"/>
            <w:hideMark/>
          </w:tcPr>
          <w:p w14:paraId="664914B2"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 </w:t>
            </w:r>
          </w:p>
        </w:tc>
        <w:tc>
          <w:tcPr>
            <w:tcW w:w="1180" w:type="dxa"/>
            <w:tcBorders>
              <w:top w:val="nil"/>
              <w:left w:val="nil"/>
              <w:bottom w:val="single" w:sz="4" w:space="0" w:color="auto"/>
              <w:right w:val="nil"/>
            </w:tcBorders>
            <w:shd w:val="clear" w:color="auto" w:fill="auto"/>
            <w:noWrap/>
            <w:vAlign w:val="center"/>
            <w:hideMark/>
          </w:tcPr>
          <w:p w14:paraId="1CABCD94"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 </w:t>
            </w:r>
          </w:p>
        </w:tc>
        <w:tc>
          <w:tcPr>
            <w:tcW w:w="1456" w:type="dxa"/>
            <w:tcBorders>
              <w:top w:val="nil"/>
              <w:left w:val="nil"/>
              <w:bottom w:val="single" w:sz="4" w:space="0" w:color="auto"/>
              <w:right w:val="nil"/>
            </w:tcBorders>
            <w:shd w:val="clear" w:color="auto" w:fill="auto"/>
            <w:noWrap/>
            <w:vAlign w:val="center"/>
            <w:hideMark/>
          </w:tcPr>
          <w:p w14:paraId="05FA633D"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 </w:t>
            </w:r>
          </w:p>
        </w:tc>
      </w:tr>
      <w:tr w:rsidR="005C437E" w:rsidRPr="009307D4" w14:paraId="6637CE27" w14:textId="77777777" w:rsidTr="005C437E">
        <w:trPr>
          <w:trHeight w:val="120"/>
        </w:trPr>
        <w:tc>
          <w:tcPr>
            <w:tcW w:w="1300" w:type="dxa"/>
            <w:tcBorders>
              <w:top w:val="nil"/>
              <w:left w:val="nil"/>
              <w:bottom w:val="nil"/>
              <w:right w:val="nil"/>
            </w:tcBorders>
            <w:shd w:val="clear" w:color="auto" w:fill="auto"/>
            <w:noWrap/>
            <w:vAlign w:val="center"/>
            <w:hideMark/>
          </w:tcPr>
          <w:p w14:paraId="1748D070"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4937" w:type="dxa"/>
            <w:tcBorders>
              <w:top w:val="nil"/>
              <w:left w:val="nil"/>
              <w:bottom w:val="nil"/>
              <w:right w:val="nil"/>
            </w:tcBorders>
            <w:shd w:val="clear" w:color="auto" w:fill="auto"/>
            <w:noWrap/>
            <w:vAlign w:val="center"/>
            <w:hideMark/>
          </w:tcPr>
          <w:p w14:paraId="5F710737"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3" w:type="dxa"/>
            <w:tcBorders>
              <w:top w:val="nil"/>
              <w:left w:val="single" w:sz="4" w:space="0" w:color="0070C0"/>
              <w:bottom w:val="nil"/>
              <w:right w:val="nil"/>
            </w:tcBorders>
            <w:shd w:val="clear" w:color="auto" w:fill="auto"/>
            <w:noWrap/>
            <w:vAlign w:val="center"/>
            <w:hideMark/>
          </w:tcPr>
          <w:p w14:paraId="0E2EC178"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307D4">
              <w:rPr>
                <w:rFonts w:eastAsia="Times New Roman" w:cs="Calibri"/>
                <w:b/>
                <w:bCs/>
                <w:sz w:val="20"/>
              </w:rPr>
              <w:t> </w:t>
            </w:r>
          </w:p>
        </w:tc>
        <w:tc>
          <w:tcPr>
            <w:tcW w:w="1396" w:type="dxa"/>
            <w:tcBorders>
              <w:top w:val="nil"/>
              <w:left w:val="nil"/>
              <w:bottom w:val="nil"/>
              <w:right w:val="nil"/>
            </w:tcBorders>
            <w:shd w:val="clear" w:color="auto" w:fill="auto"/>
            <w:noWrap/>
            <w:vAlign w:val="center"/>
            <w:hideMark/>
          </w:tcPr>
          <w:p w14:paraId="32C0CF11"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p>
        </w:tc>
        <w:tc>
          <w:tcPr>
            <w:tcW w:w="1180" w:type="dxa"/>
            <w:tcBorders>
              <w:top w:val="nil"/>
              <w:left w:val="nil"/>
              <w:bottom w:val="nil"/>
              <w:right w:val="nil"/>
            </w:tcBorders>
            <w:shd w:val="clear" w:color="auto" w:fill="auto"/>
            <w:noWrap/>
            <w:vAlign w:val="center"/>
            <w:hideMark/>
          </w:tcPr>
          <w:p w14:paraId="29D49B0A"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80" w:type="dxa"/>
            <w:tcBorders>
              <w:top w:val="nil"/>
              <w:left w:val="nil"/>
              <w:bottom w:val="nil"/>
              <w:right w:val="nil"/>
            </w:tcBorders>
            <w:shd w:val="clear" w:color="auto" w:fill="auto"/>
            <w:noWrap/>
            <w:vAlign w:val="center"/>
            <w:hideMark/>
          </w:tcPr>
          <w:p w14:paraId="5C4C9CA2"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0221D011"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9307D4" w14:paraId="6B08BFE9" w14:textId="77777777" w:rsidTr="005C437E">
        <w:trPr>
          <w:trHeight w:val="252"/>
        </w:trPr>
        <w:tc>
          <w:tcPr>
            <w:tcW w:w="1300" w:type="dxa"/>
            <w:tcBorders>
              <w:top w:val="nil"/>
              <w:left w:val="nil"/>
              <w:bottom w:val="nil"/>
              <w:right w:val="nil"/>
            </w:tcBorders>
            <w:shd w:val="clear" w:color="auto" w:fill="auto"/>
            <w:noWrap/>
            <w:vAlign w:val="center"/>
            <w:hideMark/>
          </w:tcPr>
          <w:p w14:paraId="05EC8DEF"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cs="Calibri"/>
                <w:b/>
                <w:bCs/>
                <w:sz w:val="20"/>
              </w:rPr>
            </w:pPr>
            <w:r w:rsidRPr="009307D4">
              <w:rPr>
                <w:rFonts w:ascii="SimSun" w:hAnsi="SimSun" w:cs="Microsoft YaHei"/>
                <w:b/>
                <w:bCs/>
                <w:sz w:val="20"/>
              </w:rPr>
              <w:t>合计</w:t>
            </w:r>
          </w:p>
        </w:tc>
        <w:tc>
          <w:tcPr>
            <w:tcW w:w="4937" w:type="dxa"/>
            <w:tcBorders>
              <w:top w:val="nil"/>
              <w:left w:val="nil"/>
              <w:bottom w:val="nil"/>
              <w:right w:val="nil"/>
            </w:tcBorders>
            <w:shd w:val="clear" w:color="auto" w:fill="auto"/>
            <w:noWrap/>
            <w:vAlign w:val="center"/>
            <w:hideMark/>
          </w:tcPr>
          <w:p w14:paraId="5F0DB32F"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sz w:val="20"/>
              </w:rPr>
            </w:pPr>
          </w:p>
        </w:tc>
        <w:tc>
          <w:tcPr>
            <w:tcW w:w="1363" w:type="dxa"/>
            <w:tcBorders>
              <w:top w:val="nil"/>
              <w:left w:val="single" w:sz="4" w:space="0" w:color="0070C0"/>
              <w:bottom w:val="nil"/>
              <w:right w:val="nil"/>
            </w:tcBorders>
            <w:shd w:val="clear" w:color="auto" w:fill="auto"/>
            <w:noWrap/>
            <w:vAlign w:val="center"/>
            <w:hideMark/>
          </w:tcPr>
          <w:p w14:paraId="2B9FF61B"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307D4">
              <w:rPr>
                <w:rFonts w:eastAsia="Times New Roman" w:cs="Calibri"/>
                <w:b/>
                <w:bCs/>
                <w:sz w:val="20"/>
              </w:rPr>
              <w:t>54,030</w:t>
            </w:r>
          </w:p>
        </w:tc>
        <w:tc>
          <w:tcPr>
            <w:tcW w:w="1396" w:type="dxa"/>
            <w:tcBorders>
              <w:top w:val="nil"/>
              <w:left w:val="nil"/>
              <w:bottom w:val="nil"/>
              <w:right w:val="nil"/>
            </w:tcBorders>
            <w:shd w:val="clear" w:color="auto" w:fill="auto"/>
            <w:noWrap/>
            <w:vAlign w:val="center"/>
            <w:hideMark/>
          </w:tcPr>
          <w:p w14:paraId="32B13018"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307D4">
              <w:rPr>
                <w:rFonts w:eastAsia="Times New Roman" w:cs="Calibri"/>
                <w:b/>
                <w:bCs/>
                <w:sz w:val="20"/>
              </w:rPr>
              <w:t>60,960</w:t>
            </w:r>
          </w:p>
        </w:tc>
        <w:tc>
          <w:tcPr>
            <w:tcW w:w="1180" w:type="dxa"/>
            <w:tcBorders>
              <w:top w:val="nil"/>
              <w:left w:val="nil"/>
              <w:bottom w:val="nil"/>
              <w:right w:val="nil"/>
            </w:tcBorders>
            <w:shd w:val="clear" w:color="auto" w:fill="auto"/>
            <w:noWrap/>
            <w:vAlign w:val="center"/>
            <w:hideMark/>
          </w:tcPr>
          <w:p w14:paraId="528ECABB"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307D4">
              <w:rPr>
                <w:rFonts w:eastAsia="Times New Roman" w:cs="Calibri"/>
                <w:b/>
                <w:bCs/>
                <w:sz w:val="20"/>
              </w:rPr>
              <w:t>27,368</w:t>
            </w:r>
          </w:p>
        </w:tc>
        <w:tc>
          <w:tcPr>
            <w:tcW w:w="1180" w:type="dxa"/>
            <w:tcBorders>
              <w:top w:val="nil"/>
              <w:left w:val="nil"/>
              <w:bottom w:val="nil"/>
              <w:right w:val="nil"/>
            </w:tcBorders>
            <w:shd w:val="clear" w:color="auto" w:fill="auto"/>
            <w:noWrap/>
            <w:vAlign w:val="center"/>
            <w:hideMark/>
          </w:tcPr>
          <w:p w14:paraId="4B0442BF"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307D4">
              <w:rPr>
                <w:rFonts w:eastAsia="Times New Roman" w:cs="Calibri"/>
                <w:b/>
                <w:bCs/>
                <w:sz w:val="20"/>
              </w:rPr>
              <w:t>27,237</w:t>
            </w:r>
          </w:p>
        </w:tc>
        <w:tc>
          <w:tcPr>
            <w:tcW w:w="1456" w:type="dxa"/>
            <w:tcBorders>
              <w:top w:val="nil"/>
              <w:left w:val="nil"/>
              <w:bottom w:val="nil"/>
              <w:right w:val="nil"/>
            </w:tcBorders>
            <w:shd w:val="clear" w:color="auto" w:fill="auto"/>
            <w:noWrap/>
            <w:vAlign w:val="center"/>
            <w:hideMark/>
          </w:tcPr>
          <w:p w14:paraId="7D8178EB"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307D4">
              <w:rPr>
                <w:rFonts w:eastAsia="Times New Roman" w:cs="Calibri"/>
                <w:b/>
                <w:bCs/>
                <w:sz w:val="20"/>
              </w:rPr>
              <w:t>54,605</w:t>
            </w:r>
          </w:p>
        </w:tc>
      </w:tr>
      <w:tr w:rsidR="005C437E" w:rsidRPr="009307D4" w14:paraId="557D2654" w14:textId="77777777" w:rsidTr="005C437E">
        <w:trPr>
          <w:trHeight w:val="390"/>
        </w:trPr>
        <w:tc>
          <w:tcPr>
            <w:tcW w:w="1300" w:type="dxa"/>
            <w:tcBorders>
              <w:top w:val="nil"/>
              <w:left w:val="nil"/>
              <w:bottom w:val="nil"/>
              <w:right w:val="nil"/>
            </w:tcBorders>
            <w:shd w:val="clear" w:color="auto" w:fill="auto"/>
            <w:noWrap/>
            <w:vAlign w:val="center"/>
            <w:hideMark/>
          </w:tcPr>
          <w:p w14:paraId="49B74741"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p>
        </w:tc>
        <w:tc>
          <w:tcPr>
            <w:tcW w:w="4937" w:type="dxa"/>
            <w:tcBorders>
              <w:top w:val="nil"/>
              <w:left w:val="nil"/>
              <w:bottom w:val="nil"/>
              <w:right w:val="nil"/>
            </w:tcBorders>
            <w:shd w:val="clear" w:color="auto" w:fill="auto"/>
            <w:noWrap/>
            <w:vAlign w:val="center"/>
            <w:hideMark/>
          </w:tcPr>
          <w:p w14:paraId="17355AF6"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3" w:type="dxa"/>
            <w:tcBorders>
              <w:top w:val="nil"/>
              <w:left w:val="nil"/>
              <w:bottom w:val="nil"/>
              <w:right w:val="nil"/>
            </w:tcBorders>
            <w:shd w:val="clear" w:color="auto" w:fill="auto"/>
            <w:noWrap/>
            <w:vAlign w:val="center"/>
            <w:hideMark/>
          </w:tcPr>
          <w:p w14:paraId="74EF5ABE"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1D7920E3"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80" w:type="dxa"/>
            <w:tcBorders>
              <w:top w:val="nil"/>
              <w:left w:val="nil"/>
              <w:bottom w:val="nil"/>
              <w:right w:val="nil"/>
            </w:tcBorders>
            <w:shd w:val="clear" w:color="auto" w:fill="auto"/>
            <w:noWrap/>
            <w:vAlign w:val="center"/>
            <w:hideMark/>
          </w:tcPr>
          <w:p w14:paraId="4AEF73AA"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80" w:type="dxa"/>
            <w:tcBorders>
              <w:top w:val="nil"/>
              <w:left w:val="nil"/>
              <w:bottom w:val="nil"/>
              <w:right w:val="nil"/>
            </w:tcBorders>
            <w:shd w:val="clear" w:color="auto" w:fill="auto"/>
            <w:noWrap/>
            <w:vAlign w:val="center"/>
            <w:hideMark/>
          </w:tcPr>
          <w:p w14:paraId="5F351A5F"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134191A5"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9307D4" w14:paraId="6F96C3F4" w14:textId="77777777" w:rsidTr="005C437E">
        <w:trPr>
          <w:trHeight w:val="255"/>
        </w:trPr>
        <w:tc>
          <w:tcPr>
            <w:tcW w:w="6237" w:type="dxa"/>
            <w:gridSpan w:val="2"/>
            <w:tcBorders>
              <w:top w:val="nil"/>
              <w:left w:val="nil"/>
              <w:bottom w:val="nil"/>
              <w:right w:val="nil"/>
            </w:tcBorders>
            <w:shd w:val="clear" w:color="auto" w:fill="auto"/>
            <w:noWrap/>
            <w:vAlign w:val="center"/>
            <w:hideMark/>
          </w:tcPr>
          <w:p w14:paraId="3D3457FB"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9307D4">
              <w:rPr>
                <w:rFonts w:ascii="SimSun" w:hAnsi="SimSun" w:hint="eastAsia"/>
                <w:sz w:val="20"/>
              </w:rPr>
              <w:t>*) 包括研讨会和讲习班</w:t>
            </w:r>
          </w:p>
        </w:tc>
        <w:tc>
          <w:tcPr>
            <w:tcW w:w="1363" w:type="dxa"/>
            <w:tcBorders>
              <w:top w:val="nil"/>
              <w:left w:val="nil"/>
              <w:bottom w:val="nil"/>
              <w:right w:val="nil"/>
            </w:tcBorders>
            <w:shd w:val="clear" w:color="auto" w:fill="auto"/>
            <w:noWrap/>
            <w:vAlign w:val="center"/>
            <w:hideMark/>
          </w:tcPr>
          <w:p w14:paraId="1C200E81"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p>
        </w:tc>
        <w:tc>
          <w:tcPr>
            <w:tcW w:w="1396" w:type="dxa"/>
            <w:tcBorders>
              <w:top w:val="nil"/>
              <w:left w:val="nil"/>
              <w:bottom w:val="nil"/>
              <w:right w:val="nil"/>
            </w:tcBorders>
            <w:shd w:val="clear" w:color="auto" w:fill="auto"/>
            <w:noWrap/>
            <w:vAlign w:val="center"/>
            <w:hideMark/>
          </w:tcPr>
          <w:p w14:paraId="14D927EF"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80" w:type="dxa"/>
            <w:tcBorders>
              <w:top w:val="nil"/>
              <w:left w:val="nil"/>
              <w:bottom w:val="nil"/>
              <w:right w:val="nil"/>
            </w:tcBorders>
            <w:shd w:val="clear" w:color="auto" w:fill="auto"/>
            <w:noWrap/>
            <w:vAlign w:val="center"/>
            <w:hideMark/>
          </w:tcPr>
          <w:p w14:paraId="69DDB0B9"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80" w:type="dxa"/>
            <w:tcBorders>
              <w:top w:val="nil"/>
              <w:left w:val="nil"/>
              <w:bottom w:val="nil"/>
              <w:right w:val="nil"/>
            </w:tcBorders>
            <w:shd w:val="clear" w:color="auto" w:fill="auto"/>
            <w:noWrap/>
            <w:vAlign w:val="center"/>
            <w:hideMark/>
          </w:tcPr>
          <w:p w14:paraId="78D18C2F"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19FBE542"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bl>
    <w:p w14:paraId="7DC19C78" w14:textId="5EB46B4A" w:rsidR="005C437E" w:rsidRDefault="005C437E" w:rsidP="005C437E">
      <w:pPr>
        <w:rPr>
          <w:lang w:eastAsia="zh-CN"/>
        </w:rPr>
      </w:pPr>
      <w:r>
        <w:rPr>
          <w:lang w:eastAsia="zh-CN"/>
        </w:rPr>
        <w:br w:type="page"/>
      </w:r>
    </w:p>
    <w:tbl>
      <w:tblPr>
        <w:tblW w:w="14022" w:type="dxa"/>
        <w:tblLook w:val="04A0" w:firstRow="1" w:lastRow="0" w:firstColumn="1" w:lastColumn="0" w:noHBand="0" w:noVBand="1"/>
      </w:tblPr>
      <w:tblGrid>
        <w:gridCol w:w="3211"/>
        <w:gridCol w:w="1417"/>
        <w:gridCol w:w="1292"/>
        <w:gridCol w:w="1292"/>
        <w:gridCol w:w="1517"/>
        <w:gridCol w:w="1292"/>
        <w:gridCol w:w="1292"/>
        <w:gridCol w:w="1292"/>
        <w:gridCol w:w="1417"/>
      </w:tblGrid>
      <w:tr w:rsidR="005C437E" w:rsidRPr="00B6468D" w14:paraId="2C944FDA" w14:textId="77777777" w:rsidTr="002F7131">
        <w:trPr>
          <w:trHeight w:val="20"/>
        </w:trPr>
        <w:tc>
          <w:tcPr>
            <w:tcW w:w="3211" w:type="dxa"/>
            <w:tcBorders>
              <w:top w:val="nil"/>
              <w:left w:val="nil"/>
              <w:bottom w:val="nil"/>
              <w:right w:val="nil"/>
            </w:tcBorders>
            <w:shd w:val="clear" w:color="auto" w:fill="auto"/>
            <w:noWrap/>
            <w:vAlign w:val="center"/>
            <w:hideMark/>
          </w:tcPr>
          <w:p w14:paraId="7924D468"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B6468D">
              <w:rPr>
                <w:rFonts w:ascii="SimSun" w:hAnsi="SimSun" w:cs="Calibri" w:hint="eastAsia"/>
                <w:b/>
                <w:bCs/>
                <w:color w:val="002060"/>
                <w:sz w:val="40"/>
                <w:szCs w:val="40"/>
              </w:rPr>
              <w:lastRenderedPageBreak/>
              <w:t>表</w:t>
            </w:r>
            <w:r w:rsidRPr="00B6468D">
              <w:rPr>
                <w:rFonts w:eastAsia="Times New Roman" w:cs="Calibri"/>
                <w:b/>
                <w:bCs/>
                <w:color w:val="002060"/>
                <w:sz w:val="40"/>
                <w:szCs w:val="40"/>
              </w:rPr>
              <w:t>10</w:t>
            </w:r>
          </w:p>
        </w:tc>
        <w:tc>
          <w:tcPr>
            <w:tcW w:w="1417" w:type="dxa"/>
            <w:tcBorders>
              <w:top w:val="nil"/>
              <w:left w:val="nil"/>
              <w:bottom w:val="nil"/>
              <w:right w:val="nil"/>
            </w:tcBorders>
            <w:shd w:val="clear" w:color="auto" w:fill="auto"/>
            <w:noWrap/>
            <w:vAlign w:val="center"/>
            <w:hideMark/>
          </w:tcPr>
          <w:p w14:paraId="14F5A048"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1292" w:type="dxa"/>
            <w:tcBorders>
              <w:top w:val="nil"/>
              <w:left w:val="nil"/>
              <w:bottom w:val="nil"/>
              <w:right w:val="nil"/>
            </w:tcBorders>
            <w:shd w:val="clear" w:color="auto" w:fill="auto"/>
            <w:noWrap/>
            <w:vAlign w:val="center"/>
            <w:hideMark/>
          </w:tcPr>
          <w:p w14:paraId="2E129F6F"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1B7B1E6C"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17" w:type="dxa"/>
            <w:tcBorders>
              <w:top w:val="nil"/>
              <w:left w:val="nil"/>
              <w:bottom w:val="nil"/>
              <w:right w:val="nil"/>
            </w:tcBorders>
            <w:shd w:val="clear" w:color="auto" w:fill="auto"/>
            <w:noWrap/>
            <w:vAlign w:val="center"/>
            <w:hideMark/>
          </w:tcPr>
          <w:p w14:paraId="5D4AD872"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1B5E64A2"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0F475ED1"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400D21BC"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17" w:type="dxa"/>
            <w:tcBorders>
              <w:top w:val="nil"/>
              <w:left w:val="nil"/>
              <w:bottom w:val="nil"/>
              <w:right w:val="nil"/>
            </w:tcBorders>
            <w:shd w:val="clear" w:color="auto" w:fill="auto"/>
            <w:noWrap/>
            <w:vAlign w:val="center"/>
            <w:hideMark/>
          </w:tcPr>
          <w:p w14:paraId="52D410C6"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B6468D" w14:paraId="4D780355" w14:textId="77777777" w:rsidTr="002F7131">
        <w:trPr>
          <w:trHeight w:val="20"/>
        </w:trPr>
        <w:tc>
          <w:tcPr>
            <w:tcW w:w="4628" w:type="dxa"/>
            <w:gridSpan w:val="2"/>
            <w:tcBorders>
              <w:top w:val="nil"/>
              <w:left w:val="nil"/>
              <w:bottom w:val="nil"/>
              <w:right w:val="nil"/>
            </w:tcBorders>
            <w:shd w:val="clear" w:color="auto" w:fill="auto"/>
            <w:noWrap/>
            <w:vAlign w:val="center"/>
            <w:hideMark/>
          </w:tcPr>
          <w:p w14:paraId="50C82274"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r w:rsidRPr="00B6468D">
              <w:rPr>
                <w:rFonts w:ascii="STKaiti" w:eastAsia="STKaiti" w:hAnsi="STKaiti" w:hint="eastAsia"/>
                <w:b/>
                <w:bCs/>
                <w:color w:val="002060"/>
                <w:sz w:val="28"/>
                <w:szCs w:val="28"/>
              </w:rPr>
              <w:t>电信发展部门</w:t>
            </w:r>
            <w:r w:rsidRPr="00B6468D">
              <w:rPr>
                <w:rFonts w:eastAsia="STKaiti" w:cs="Calibri"/>
                <w:b/>
                <w:bCs/>
                <w:color w:val="002060"/>
                <w:sz w:val="28"/>
                <w:szCs w:val="28"/>
              </w:rPr>
              <w:t>2022-2023</w:t>
            </w:r>
            <w:r w:rsidRPr="00B6468D">
              <w:rPr>
                <w:rFonts w:ascii="STKaiti" w:eastAsia="STKaiti" w:hAnsi="STKaiti" w:hint="eastAsia"/>
                <w:b/>
                <w:bCs/>
                <w:color w:val="002060"/>
                <w:sz w:val="28"/>
                <w:szCs w:val="28"/>
              </w:rPr>
              <w:t>年</w:t>
            </w:r>
          </w:p>
        </w:tc>
        <w:tc>
          <w:tcPr>
            <w:tcW w:w="1292" w:type="dxa"/>
            <w:tcBorders>
              <w:top w:val="nil"/>
              <w:left w:val="nil"/>
              <w:bottom w:val="nil"/>
              <w:right w:val="nil"/>
            </w:tcBorders>
            <w:shd w:val="clear" w:color="auto" w:fill="auto"/>
            <w:noWrap/>
            <w:vAlign w:val="center"/>
            <w:hideMark/>
          </w:tcPr>
          <w:p w14:paraId="28DEA830"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p>
        </w:tc>
        <w:tc>
          <w:tcPr>
            <w:tcW w:w="1292" w:type="dxa"/>
            <w:tcBorders>
              <w:top w:val="nil"/>
              <w:left w:val="nil"/>
              <w:bottom w:val="nil"/>
              <w:right w:val="nil"/>
            </w:tcBorders>
            <w:shd w:val="clear" w:color="auto" w:fill="auto"/>
            <w:noWrap/>
            <w:vAlign w:val="center"/>
            <w:hideMark/>
          </w:tcPr>
          <w:p w14:paraId="00E7106F"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17" w:type="dxa"/>
            <w:tcBorders>
              <w:top w:val="nil"/>
              <w:left w:val="nil"/>
              <w:bottom w:val="nil"/>
              <w:right w:val="nil"/>
            </w:tcBorders>
            <w:shd w:val="clear" w:color="auto" w:fill="auto"/>
            <w:noWrap/>
            <w:vAlign w:val="center"/>
            <w:hideMark/>
          </w:tcPr>
          <w:p w14:paraId="3B6E2161"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0B0362C8"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1BF137C0"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0FF470DB"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17" w:type="dxa"/>
            <w:tcBorders>
              <w:top w:val="nil"/>
              <w:left w:val="nil"/>
              <w:bottom w:val="nil"/>
              <w:right w:val="nil"/>
            </w:tcBorders>
            <w:shd w:val="clear" w:color="auto" w:fill="auto"/>
            <w:noWrap/>
            <w:vAlign w:val="center"/>
            <w:hideMark/>
          </w:tcPr>
          <w:p w14:paraId="2F9A4C90"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B6468D" w14:paraId="0CF4055E" w14:textId="77777777" w:rsidTr="002F7131">
        <w:trPr>
          <w:trHeight w:val="20"/>
        </w:trPr>
        <w:tc>
          <w:tcPr>
            <w:tcW w:w="4628" w:type="dxa"/>
            <w:gridSpan w:val="2"/>
            <w:tcBorders>
              <w:top w:val="nil"/>
              <w:left w:val="nil"/>
              <w:bottom w:val="nil"/>
              <w:right w:val="nil"/>
            </w:tcBorders>
            <w:shd w:val="clear" w:color="auto" w:fill="auto"/>
            <w:noWrap/>
            <w:vAlign w:val="center"/>
            <w:hideMark/>
          </w:tcPr>
          <w:p w14:paraId="1024B79D"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r w:rsidRPr="00B6468D">
              <w:rPr>
                <w:rFonts w:ascii="STKaiti" w:eastAsia="STKaiti" w:hAnsi="STKaiti" w:hint="eastAsia"/>
                <w:b/>
                <w:bCs/>
                <w:color w:val="002060"/>
                <w:szCs w:val="24"/>
                <w:lang w:eastAsia="zh-CN"/>
              </w:rPr>
              <w:t>按项和支出类别列出的计划支出</w:t>
            </w:r>
          </w:p>
        </w:tc>
        <w:tc>
          <w:tcPr>
            <w:tcW w:w="1292" w:type="dxa"/>
            <w:tcBorders>
              <w:top w:val="nil"/>
              <w:left w:val="nil"/>
              <w:bottom w:val="nil"/>
              <w:right w:val="nil"/>
            </w:tcBorders>
            <w:shd w:val="clear" w:color="auto" w:fill="auto"/>
            <w:noWrap/>
            <w:vAlign w:val="center"/>
            <w:hideMark/>
          </w:tcPr>
          <w:p w14:paraId="6BA4AC71"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p>
        </w:tc>
        <w:tc>
          <w:tcPr>
            <w:tcW w:w="1292" w:type="dxa"/>
            <w:tcBorders>
              <w:top w:val="nil"/>
              <w:left w:val="nil"/>
              <w:bottom w:val="nil"/>
              <w:right w:val="nil"/>
            </w:tcBorders>
            <w:shd w:val="clear" w:color="auto" w:fill="auto"/>
            <w:noWrap/>
            <w:vAlign w:val="center"/>
            <w:hideMark/>
          </w:tcPr>
          <w:p w14:paraId="277863E9"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517" w:type="dxa"/>
            <w:tcBorders>
              <w:top w:val="nil"/>
              <w:left w:val="nil"/>
              <w:bottom w:val="nil"/>
              <w:right w:val="nil"/>
            </w:tcBorders>
            <w:shd w:val="clear" w:color="auto" w:fill="auto"/>
            <w:noWrap/>
            <w:vAlign w:val="center"/>
            <w:hideMark/>
          </w:tcPr>
          <w:p w14:paraId="509DBB09"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92" w:type="dxa"/>
            <w:tcBorders>
              <w:top w:val="nil"/>
              <w:left w:val="nil"/>
              <w:bottom w:val="nil"/>
              <w:right w:val="nil"/>
            </w:tcBorders>
            <w:shd w:val="clear" w:color="auto" w:fill="auto"/>
            <w:noWrap/>
            <w:vAlign w:val="center"/>
            <w:hideMark/>
          </w:tcPr>
          <w:p w14:paraId="4E1D167E"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92" w:type="dxa"/>
            <w:tcBorders>
              <w:top w:val="nil"/>
              <w:left w:val="nil"/>
              <w:bottom w:val="nil"/>
              <w:right w:val="nil"/>
            </w:tcBorders>
            <w:shd w:val="clear" w:color="auto" w:fill="auto"/>
            <w:noWrap/>
            <w:vAlign w:val="center"/>
            <w:hideMark/>
          </w:tcPr>
          <w:p w14:paraId="4CF4D1E4"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92" w:type="dxa"/>
            <w:tcBorders>
              <w:top w:val="nil"/>
              <w:left w:val="nil"/>
              <w:bottom w:val="nil"/>
              <w:right w:val="nil"/>
            </w:tcBorders>
            <w:shd w:val="clear" w:color="auto" w:fill="auto"/>
            <w:noWrap/>
            <w:vAlign w:val="center"/>
            <w:hideMark/>
          </w:tcPr>
          <w:p w14:paraId="6724E3CE"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17" w:type="dxa"/>
            <w:tcBorders>
              <w:top w:val="nil"/>
              <w:left w:val="nil"/>
              <w:bottom w:val="nil"/>
              <w:right w:val="nil"/>
            </w:tcBorders>
            <w:shd w:val="clear" w:color="auto" w:fill="auto"/>
            <w:noWrap/>
            <w:vAlign w:val="center"/>
            <w:hideMark/>
          </w:tcPr>
          <w:p w14:paraId="0D4436B9"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5C437E" w:rsidRPr="00B6468D" w14:paraId="575CEA9F" w14:textId="77777777" w:rsidTr="002F7131">
        <w:trPr>
          <w:trHeight w:val="20"/>
        </w:trPr>
        <w:tc>
          <w:tcPr>
            <w:tcW w:w="3211" w:type="dxa"/>
            <w:tcBorders>
              <w:top w:val="nil"/>
              <w:left w:val="nil"/>
              <w:bottom w:val="nil"/>
              <w:right w:val="nil"/>
            </w:tcBorders>
            <w:shd w:val="clear" w:color="auto" w:fill="auto"/>
            <w:noWrap/>
            <w:vAlign w:val="center"/>
            <w:hideMark/>
          </w:tcPr>
          <w:p w14:paraId="087E966F"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0811" w:type="dxa"/>
            <w:gridSpan w:val="8"/>
            <w:tcBorders>
              <w:top w:val="nil"/>
              <w:left w:val="nil"/>
              <w:bottom w:val="nil"/>
              <w:right w:val="nil"/>
            </w:tcBorders>
            <w:shd w:val="clear" w:color="auto" w:fill="auto"/>
            <w:noWrap/>
            <w:vAlign w:val="center"/>
            <w:hideMark/>
          </w:tcPr>
          <w:p w14:paraId="7B5DC509"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5C437E" w:rsidRPr="00B6468D" w14:paraId="49B4696C" w14:textId="77777777" w:rsidTr="002F7131">
        <w:trPr>
          <w:trHeight w:val="20"/>
        </w:trPr>
        <w:tc>
          <w:tcPr>
            <w:tcW w:w="7212" w:type="dxa"/>
            <w:gridSpan w:val="4"/>
            <w:tcBorders>
              <w:top w:val="nil"/>
              <w:left w:val="nil"/>
              <w:bottom w:val="nil"/>
              <w:right w:val="nil"/>
            </w:tcBorders>
            <w:shd w:val="clear" w:color="auto" w:fill="auto"/>
            <w:noWrap/>
            <w:vAlign w:val="center"/>
            <w:hideMark/>
          </w:tcPr>
          <w:p w14:paraId="22A1B572"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lang w:eastAsia="zh-CN"/>
              </w:rPr>
            </w:pPr>
          </w:p>
        </w:tc>
        <w:tc>
          <w:tcPr>
            <w:tcW w:w="5393" w:type="dxa"/>
            <w:gridSpan w:val="4"/>
            <w:tcBorders>
              <w:top w:val="nil"/>
              <w:left w:val="nil"/>
              <w:bottom w:val="nil"/>
              <w:right w:val="nil"/>
            </w:tcBorders>
            <w:shd w:val="clear" w:color="auto" w:fill="auto"/>
            <w:noWrap/>
            <w:vAlign w:val="center"/>
            <w:hideMark/>
          </w:tcPr>
          <w:p w14:paraId="30BAAE88"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r w:rsidRPr="00B6468D">
              <w:rPr>
                <w:rFonts w:ascii="STKaiti" w:eastAsia="STKaiti" w:hAnsi="STKaiti" w:hint="eastAsia"/>
                <w:b/>
                <w:bCs/>
                <w:color w:val="002060"/>
                <w:sz w:val="20"/>
              </w:rPr>
              <w:t>电信发展局</w:t>
            </w:r>
          </w:p>
        </w:tc>
        <w:tc>
          <w:tcPr>
            <w:tcW w:w="1417" w:type="dxa"/>
            <w:tcBorders>
              <w:top w:val="nil"/>
              <w:left w:val="nil"/>
              <w:bottom w:val="nil"/>
              <w:right w:val="nil"/>
            </w:tcBorders>
            <w:shd w:val="clear" w:color="auto" w:fill="auto"/>
            <w:noWrap/>
            <w:vAlign w:val="center"/>
            <w:hideMark/>
          </w:tcPr>
          <w:p w14:paraId="04C66243"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p>
        </w:tc>
      </w:tr>
      <w:tr w:rsidR="005C437E" w:rsidRPr="00B6468D" w14:paraId="54D23E5F" w14:textId="77777777" w:rsidTr="002F7131">
        <w:trPr>
          <w:trHeight w:val="150"/>
        </w:trPr>
        <w:tc>
          <w:tcPr>
            <w:tcW w:w="3211" w:type="dxa"/>
            <w:tcBorders>
              <w:top w:val="nil"/>
              <w:left w:val="nil"/>
              <w:bottom w:val="nil"/>
              <w:right w:val="nil"/>
            </w:tcBorders>
            <w:shd w:val="clear" w:color="auto" w:fill="auto"/>
            <w:noWrap/>
            <w:vAlign w:val="center"/>
            <w:hideMark/>
          </w:tcPr>
          <w:p w14:paraId="293D4035"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17" w:type="dxa"/>
            <w:tcBorders>
              <w:top w:val="nil"/>
              <w:left w:val="nil"/>
              <w:bottom w:val="nil"/>
              <w:right w:val="nil"/>
            </w:tcBorders>
            <w:shd w:val="clear" w:color="auto" w:fill="auto"/>
            <w:noWrap/>
            <w:vAlign w:val="center"/>
            <w:hideMark/>
          </w:tcPr>
          <w:p w14:paraId="2DD50147"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5F9EDA55"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6C2ACB0A"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517" w:type="dxa"/>
            <w:tcBorders>
              <w:top w:val="nil"/>
              <w:left w:val="nil"/>
              <w:bottom w:val="nil"/>
              <w:right w:val="nil"/>
            </w:tcBorders>
            <w:shd w:val="clear" w:color="auto" w:fill="auto"/>
            <w:noWrap/>
            <w:vAlign w:val="bottom"/>
            <w:hideMark/>
          </w:tcPr>
          <w:p w14:paraId="40BC2882"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tc>
        <w:tc>
          <w:tcPr>
            <w:tcW w:w="1292" w:type="dxa"/>
            <w:tcBorders>
              <w:top w:val="nil"/>
              <w:left w:val="nil"/>
              <w:bottom w:val="nil"/>
              <w:right w:val="nil"/>
            </w:tcBorders>
            <w:shd w:val="clear" w:color="auto" w:fill="auto"/>
            <w:noWrap/>
            <w:vAlign w:val="center"/>
            <w:hideMark/>
          </w:tcPr>
          <w:p w14:paraId="0D6AD008"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r w:rsidRPr="00825AB8">
              <w:rPr>
                <w:rFonts w:ascii="Helv" w:eastAsia="Times New Roman" w:hAnsi="Helv"/>
                <w:noProof/>
                <w:sz w:val="20"/>
              </w:rPr>
              <mc:AlternateContent>
                <mc:Choice Requires="wps">
                  <w:drawing>
                    <wp:anchor distT="0" distB="0" distL="114300" distR="114300" simplePos="0" relativeHeight="251706368" behindDoc="0" locked="0" layoutInCell="1" allowOverlap="1" wp14:anchorId="2D51BB28" wp14:editId="3385A953">
                      <wp:simplePos x="0" y="0"/>
                      <wp:positionH relativeFrom="column">
                        <wp:posOffset>652145</wp:posOffset>
                      </wp:positionH>
                      <wp:positionV relativeFrom="paragraph">
                        <wp:posOffset>-1527810</wp:posOffset>
                      </wp:positionV>
                      <wp:extent cx="62230" cy="3197225"/>
                      <wp:effectExtent l="0" t="5398" r="27623" b="27622"/>
                      <wp:wrapNone/>
                      <wp:docPr id="112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2230" cy="3197225"/>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0879CD7" id="AutoShape 15" o:spid="_x0000_s1026" type="#_x0000_t85" style="position:absolute;margin-left:51.35pt;margin-top:-120.3pt;width:4.9pt;height:251.75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" adj="479" strokecolor="#0070c0" strokeweight="1pt"/>
                  </w:pict>
                </mc:Fallback>
              </mc:AlternateContent>
            </w:r>
          </w:p>
        </w:tc>
        <w:tc>
          <w:tcPr>
            <w:tcW w:w="1292" w:type="dxa"/>
            <w:tcBorders>
              <w:top w:val="nil"/>
              <w:left w:val="nil"/>
              <w:bottom w:val="nil"/>
              <w:right w:val="nil"/>
            </w:tcBorders>
            <w:shd w:val="clear" w:color="auto" w:fill="auto"/>
            <w:noWrap/>
            <w:vAlign w:val="center"/>
            <w:hideMark/>
          </w:tcPr>
          <w:p w14:paraId="55BB7D59"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14C4B340"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17" w:type="dxa"/>
            <w:tcBorders>
              <w:top w:val="nil"/>
              <w:left w:val="nil"/>
              <w:bottom w:val="nil"/>
              <w:right w:val="nil"/>
            </w:tcBorders>
            <w:shd w:val="clear" w:color="auto" w:fill="auto"/>
            <w:noWrap/>
            <w:vAlign w:val="center"/>
            <w:hideMark/>
          </w:tcPr>
          <w:p w14:paraId="591D51A6"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B6468D" w14:paraId="4B233FEA" w14:textId="77777777" w:rsidTr="002F7131">
        <w:tc>
          <w:tcPr>
            <w:tcW w:w="3211" w:type="dxa"/>
            <w:tcBorders>
              <w:top w:val="nil"/>
              <w:left w:val="nil"/>
              <w:bottom w:val="nil"/>
              <w:right w:val="nil"/>
            </w:tcBorders>
            <w:shd w:val="clear" w:color="auto" w:fill="auto"/>
            <w:noWrap/>
            <w:vAlign w:val="center"/>
            <w:hideMark/>
          </w:tcPr>
          <w:p w14:paraId="20AFA006"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417" w:type="dxa"/>
            <w:tcBorders>
              <w:top w:val="nil"/>
              <w:left w:val="nil"/>
              <w:bottom w:val="nil"/>
              <w:right w:val="nil"/>
            </w:tcBorders>
            <w:shd w:val="clear" w:color="auto" w:fill="auto"/>
            <w:hideMark/>
          </w:tcPr>
          <w:p w14:paraId="0C9AD409"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B6468D">
              <w:rPr>
                <w:rFonts w:ascii="SimSun" w:hAnsi="SimSun" w:hint="eastAsia"/>
                <w:sz w:val="18"/>
                <w:szCs w:val="18"/>
              </w:rPr>
              <w:t>电信发展</w:t>
            </w:r>
            <w:r>
              <w:rPr>
                <w:rFonts w:ascii="SimSun" w:hAnsi="SimSun"/>
                <w:sz w:val="18"/>
                <w:szCs w:val="18"/>
              </w:rPr>
              <w:br/>
            </w:r>
            <w:r w:rsidRPr="00B6468D">
              <w:rPr>
                <w:rFonts w:ascii="SimSun" w:hAnsi="SimSun" w:hint="eastAsia"/>
                <w:sz w:val="18"/>
                <w:szCs w:val="18"/>
              </w:rPr>
              <w:t>顾问组</w:t>
            </w:r>
          </w:p>
        </w:tc>
        <w:tc>
          <w:tcPr>
            <w:tcW w:w="1292" w:type="dxa"/>
            <w:tcBorders>
              <w:top w:val="nil"/>
              <w:left w:val="nil"/>
              <w:bottom w:val="nil"/>
              <w:right w:val="nil"/>
            </w:tcBorders>
            <w:shd w:val="clear" w:color="auto" w:fill="auto"/>
            <w:hideMark/>
          </w:tcPr>
          <w:p w14:paraId="2AC5062F"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B6468D">
              <w:rPr>
                <w:rFonts w:ascii="SimSun" w:hAnsi="SimSun" w:hint="eastAsia"/>
                <w:sz w:val="20"/>
              </w:rPr>
              <w:t>研究组会议</w:t>
            </w:r>
          </w:p>
        </w:tc>
        <w:tc>
          <w:tcPr>
            <w:tcW w:w="1292" w:type="dxa"/>
            <w:tcBorders>
              <w:top w:val="nil"/>
              <w:left w:val="nil"/>
              <w:bottom w:val="nil"/>
              <w:right w:val="nil"/>
            </w:tcBorders>
            <w:shd w:val="clear" w:color="auto" w:fill="auto"/>
            <w:hideMark/>
          </w:tcPr>
          <w:p w14:paraId="638AF34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B6468D">
              <w:rPr>
                <w:rFonts w:ascii="SimSun" w:hAnsi="SimSun" w:hint="eastAsia"/>
                <w:sz w:val="20"/>
              </w:rPr>
              <w:t>活动和</w:t>
            </w:r>
            <w:r>
              <w:rPr>
                <w:rFonts w:ascii="SimSun" w:hAnsi="SimSun"/>
                <w:sz w:val="20"/>
              </w:rPr>
              <w:br/>
            </w:r>
            <w:r w:rsidRPr="00B6468D">
              <w:rPr>
                <w:rFonts w:ascii="SimSun" w:hAnsi="SimSun" w:hint="eastAsia"/>
                <w:sz w:val="20"/>
              </w:rPr>
              <w:t>项目</w:t>
            </w:r>
            <w:r w:rsidRPr="00C1536D">
              <w:rPr>
                <w:rFonts w:ascii="SimSun" w:hAnsi="SimSun" w:hint="eastAsia"/>
                <w:sz w:val="20"/>
                <w:szCs w:val="18"/>
                <w:vertAlign w:val="superscript"/>
              </w:rPr>
              <w:t>*</w:t>
            </w:r>
          </w:p>
        </w:tc>
        <w:tc>
          <w:tcPr>
            <w:tcW w:w="1517" w:type="dxa"/>
            <w:tcBorders>
              <w:top w:val="nil"/>
              <w:left w:val="nil"/>
              <w:bottom w:val="nil"/>
              <w:right w:val="nil"/>
            </w:tcBorders>
            <w:shd w:val="clear" w:color="auto" w:fill="auto"/>
            <w:hideMark/>
          </w:tcPr>
          <w:p w14:paraId="64A46341"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B6468D">
              <w:rPr>
                <w:rFonts w:ascii="SimSun" w:hAnsi="SimSun" w:hint="eastAsia"/>
                <w:sz w:val="18"/>
                <w:szCs w:val="18"/>
              </w:rPr>
              <w:t>共同支出</w:t>
            </w:r>
          </w:p>
        </w:tc>
        <w:tc>
          <w:tcPr>
            <w:tcW w:w="1292" w:type="dxa"/>
            <w:tcBorders>
              <w:top w:val="nil"/>
              <w:left w:val="nil"/>
              <w:bottom w:val="nil"/>
              <w:right w:val="nil"/>
            </w:tcBorders>
            <w:shd w:val="clear" w:color="auto" w:fill="auto"/>
            <w:hideMark/>
          </w:tcPr>
          <w:p w14:paraId="11809ABE"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B6468D">
              <w:rPr>
                <w:rFonts w:ascii="SimSun" w:hAnsi="SimSun" w:hint="eastAsia"/>
                <w:sz w:val="18"/>
                <w:szCs w:val="18"/>
              </w:rPr>
              <w:t>主任办公室</w:t>
            </w:r>
          </w:p>
        </w:tc>
        <w:tc>
          <w:tcPr>
            <w:tcW w:w="1292" w:type="dxa"/>
            <w:tcBorders>
              <w:top w:val="nil"/>
              <w:left w:val="nil"/>
              <w:bottom w:val="nil"/>
              <w:right w:val="nil"/>
            </w:tcBorders>
            <w:shd w:val="clear" w:color="auto" w:fill="auto"/>
            <w:hideMark/>
          </w:tcPr>
          <w:p w14:paraId="0DBD349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B6468D">
              <w:rPr>
                <w:rFonts w:ascii="SimSun" w:hAnsi="SimSun" w:hint="eastAsia"/>
                <w:sz w:val="18"/>
                <w:szCs w:val="18"/>
              </w:rPr>
              <w:t>区域代表处</w:t>
            </w:r>
          </w:p>
        </w:tc>
        <w:tc>
          <w:tcPr>
            <w:tcW w:w="1292" w:type="dxa"/>
            <w:tcBorders>
              <w:top w:val="nil"/>
              <w:left w:val="nil"/>
              <w:bottom w:val="nil"/>
              <w:right w:val="nil"/>
            </w:tcBorders>
            <w:shd w:val="clear" w:color="auto" w:fill="auto"/>
            <w:hideMark/>
          </w:tcPr>
          <w:p w14:paraId="2E97E006"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B6468D">
              <w:rPr>
                <w:rFonts w:ascii="SimSun" w:hAnsi="SimSun" w:hint="eastAsia"/>
                <w:sz w:val="20"/>
              </w:rPr>
              <w:t>各部</w:t>
            </w:r>
          </w:p>
        </w:tc>
        <w:tc>
          <w:tcPr>
            <w:tcW w:w="1417" w:type="dxa"/>
            <w:tcBorders>
              <w:top w:val="nil"/>
              <w:left w:val="nil"/>
              <w:bottom w:val="nil"/>
              <w:right w:val="nil"/>
            </w:tcBorders>
            <w:shd w:val="clear" w:color="auto" w:fill="auto"/>
            <w:noWrap/>
            <w:vAlign w:val="center"/>
            <w:hideMark/>
          </w:tcPr>
          <w:p w14:paraId="137A051F" w14:textId="77777777" w:rsidR="005C437E" w:rsidRPr="000E512E"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heme="minorEastAsia" w:eastAsiaTheme="minorEastAsia" w:hAnsiTheme="minorEastAsia" w:cs="Calibri"/>
                <w:b/>
                <w:bCs/>
                <w:color w:val="002060"/>
                <w:sz w:val="20"/>
              </w:rPr>
            </w:pPr>
            <w:r w:rsidRPr="000E512E">
              <w:rPr>
                <w:rFonts w:asciiTheme="minorEastAsia" w:eastAsiaTheme="minorEastAsia" w:hAnsiTheme="minorEastAsia" w:cs="Microsoft YaHei"/>
                <w:b/>
                <w:bCs/>
                <w:color w:val="002060"/>
                <w:sz w:val="20"/>
              </w:rPr>
              <w:t>合计</w:t>
            </w:r>
          </w:p>
        </w:tc>
      </w:tr>
      <w:tr w:rsidR="005C437E" w:rsidRPr="00B6468D" w14:paraId="4544BA53" w14:textId="77777777" w:rsidTr="002F7131">
        <w:trPr>
          <w:trHeight w:val="120"/>
        </w:trPr>
        <w:tc>
          <w:tcPr>
            <w:tcW w:w="3211" w:type="dxa"/>
            <w:tcBorders>
              <w:top w:val="nil"/>
              <w:left w:val="nil"/>
              <w:bottom w:val="single" w:sz="4" w:space="0" w:color="auto"/>
              <w:right w:val="nil"/>
            </w:tcBorders>
            <w:shd w:val="clear" w:color="auto" w:fill="auto"/>
            <w:noWrap/>
            <w:vAlign w:val="center"/>
            <w:hideMark/>
          </w:tcPr>
          <w:p w14:paraId="2257E30E"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sz w:val="20"/>
              </w:rPr>
            </w:pPr>
            <w:r w:rsidRPr="00B6468D">
              <w:rPr>
                <w:rFonts w:eastAsia="Times New Roman" w:cs="Calibri"/>
                <w:b/>
                <w:bCs/>
                <w:i/>
                <w:iCs/>
                <w:sz w:val="20"/>
              </w:rPr>
              <w:t> </w:t>
            </w:r>
          </w:p>
        </w:tc>
        <w:tc>
          <w:tcPr>
            <w:tcW w:w="1417" w:type="dxa"/>
            <w:tcBorders>
              <w:top w:val="nil"/>
              <w:left w:val="nil"/>
              <w:bottom w:val="single" w:sz="4" w:space="0" w:color="auto"/>
              <w:right w:val="nil"/>
            </w:tcBorders>
            <w:shd w:val="clear" w:color="auto" w:fill="auto"/>
            <w:noWrap/>
            <w:vAlign w:val="center"/>
            <w:hideMark/>
          </w:tcPr>
          <w:p w14:paraId="20AE4AE8"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B6468D">
              <w:rPr>
                <w:rFonts w:eastAsia="Times New Roman" w:cs="Calibri"/>
                <w:sz w:val="20"/>
              </w:rPr>
              <w:t> </w:t>
            </w:r>
          </w:p>
        </w:tc>
        <w:tc>
          <w:tcPr>
            <w:tcW w:w="1292" w:type="dxa"/>
            <w:tcBorders>
              <w:top w:val="nil"/>
              <w:left w:val="nil"/>
              <w:bottom w:val="single" w:sz="4" w:space="0" w:color="auto"/>
              <w:right w:val="nil"/>
            </w:tcBorders>
            <w:shd w:val="clear" w:color="auto" w:fill="auto"/>
            <w:noWrap/>
            <w:vAlign w:val="center"/>
            <w:hideMark/>
          </w:tcPr>
          <w:p w14:paraId="597C704F"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B6468D">
              <w:rPr>
                <w:rFonts w:eastAsia="Times New Roman" w:cs="Calibri"/>
                <w:sz w:val="20"/>
              </w:rPr>
              <w:t> </w:t>
            </w:r>
          </w:p>
        </w:tc>
        <w:tc>
          <w:tcPr>
            <w:tcW w:w="1292" w:type="dxa"/>
            <w:tcBorders>
              <w:top w:val="nil"/>
              <w:left w:val="nil"/>
              <w:bottom w:val="single" w:sz="4" w:space="0" w:color="auto"/>
              <w:right w:val="nil"/>
            </w:tcBorders>
            <w:shd w:val="clear" w:color="auto" w:fill="auto"/>
            <w:noWrap/>
            <w:vAlign w:val="center"/>
            <w:hideMark/>
          </w:tcPr>
          <w:p w14:paraId="15ED7239"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B6468D">
              <w:rPr>
                <w:rFonts w:eastAsia="Times New Roman" w:cs="Calibri"/>
                <w:sz w:val="20"/>
              </w:rPr>
              <w:t> </w:t>
            </w:r>
          </w:p>
        </w:tc>
        <w:tc>
          <w:tcPr>
            <w:tcW w:w="1517" w:type="dxa"/>
            <w:tcBorders>
              <w:top w:val="nil"/>
              <w:left w:val="nil"/>
              <w:bottom w:val="single" w:sz="4" w:space="0" w:color="auto"/>
              <w:right w:val="nil"/>
            </w:tcBorders>
            <w:shd w:val="clear" w:color="auto" w:fill="auto"/>
            <w:noWrap/>
            <w:vAlign w:val="center"/>
            <w:hideMark/>
          </w:tcPr>
          <w:p w14:paraId="5143C148"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B6468D">
              <w:rPr>
                <w:rFonts w:eastAsia="Times New Roman" w:cs="Calibri"/>
                <w:sz w:val="20"/>
              </w:rPr>
              <w:t> </w:t>
            </w:r>
          </w:p>
        </w:tc>
        <w:tc>
          <w:tcPr>
            <w:tcW w:w="1292" w:type="dxa"/>
            <w:tcBorders>
              <w:top w:val="nil"/>
              <w:left w:val="nil"/>
              <w:bottom w:val="single" w:sz="4" w:space="0" w:color="auto"/>
              <w:right w:val="nil"/>
            </w:tcBorders>
            <w:shd w:val="clear" w:color="auto" w:fill="auto"/>
            <w:noWrap/>
            <w:vAlign w:val="center"/>
            <w:hideMark/>
          </w:tcPr>
          <w:p w14:paraId="2F5AD96C"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B6468D">
              <w:rPr>
                <w:rFonts w:eastAsia="Times New Roman" w:cs="Calibri"/>
                <w:sz w:val="20"/>
              </w:rPr>
              <w:t> </w:t>
            </w:r>
          </w:p>
        </w:tc>
        <w:tc>
          <w:tcPr>
            <w:tcW w:w="1292" w:type="dxa"/>
            <w:tcBorders>
              <w:top w:val="nil"/>
              <w:left w:val="nil"/>
              <w:bottom w:val="single" w:sz="4" w:space="0" w:color="auto"/>
              <w:right w:val="nil"/>
            </w:tcBorders>
            <w:shd w:val="clear" w:color="auto" w:fill="auto"/>
            <w:noWrap/>
            <w:vAlign w:val="center"/>
            <w:hideMark/>
          </w:tcPr>
          <w:p w14:paraId="4B53DE26"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B6468D">
              <w:rPr>
                <w:rFonts w:eastAsia="Times New Roman" w:cs="Calibri"/>
                <w:sz w:val="20"/>
              </w:rPr>
              <w:t> </w:t>
            </w:r>
          </w:p>
        </w:tc>
        <w:tc>
          <w:tcPr>
            <w:tcW w:w="1292" w:type="dxa"/>
            <w:tcBorders>
              <w:top w:val="nil"/>
              <w:left w:val="nil"/>
              <w:bottom w:val="single" w:sz="4" w:space="0" w:color="auto"/>
              <w:right w:val="nil"/>
            </w:tcBorders>
            <w:shd w:val="clear" w:color="auto" w:fill="auto"/>
            <w:noWrap/>
            <w:vAlign w:val="center"/>
            <w:hideMark/>
          </w:tcPr>
          <w:p w14:paraId="6B7E3071"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B6468D">
              <w:rPr>
                <w:rFonts w:eastAsia="Times New Roman" w:cs="Calibri"/>
                <w:sz w:val="20"/>
              </w:rPr>
              <w:t> </w:t>
            </w:r>
          </w:p>
        </w:tc>
        <w:tc>
          <w:tcPr>
            <w:tcW w:w="1417" w:type="dxa"/>
            <w:tcBorders>
              <w:top w:val="nil"/>
              <w:left w:val="nil"/>
              <w:bottom w:val="single" w:sz="4" w:space="0" w:color="auto"/>
              <w:right w:val="nil"/>
            </w:tcBorders>
            <w:shd w:val="clear" w:color="auto" w:fill="auto"/>
            <w:noWrap/>
            <w:vAlign w:val="center"/>
            <w:hideMark/>
          </w:tcPr>
          <w:p w14:paraId="63155AAE"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B6468D">
              <w:rPr>
                <w:rFonts w:eastAsia="Times New Roman" w:cs="Calibri"/>
                <w:b/>
                <w:bCs/>
                <w:color w:val="002060"/>
                <w:sz w:val="20"/>
              </w:rPr>
              <w:t> </w:t>
            </w:r>
          </w:p>
        </w:tc>
      </w:tr>
      <w:tr w:rsidR="005C437E" w:rsidRPr="00B6468D" w14:paraId="2B8C1954" w14:textId="77777777" w:rsidTr="002F7131">
        <w:trPr>
          <w:trHeight w:val="252"/>
        </w:trPr>
        <w:tc>
          <w:tcPr>
            <w:tcW w:w="3211" w:type="dxa"/>
            <w:tcBorders>
              <w:top w:val="nil"/>
              <w:left w:val="nil"/>
              <w:bottom w:val="nil"/>
              <w:right w:val="nil"/>
            </w:tcBorders>
            <w:shd w:val="clear" w:color="auto" w:fill="auto"/>
            <w:noWrap/>
            <w:vAlign w:val="bottom"/>
            <w:hideMark/>
          </w:tcPr>
          <w:p w14:paraId="78ACD851"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B6468D">
              <w:rPr>
                <w:rFonts w:cstheme="minorHAnsi"/>
                <w:sz w:val="20"/>
              </w:rPr>
              <w:t xml:space="preserve">1 - </w:t>
            </w:r>
            <w:r w:rsidRPr="00B6468D">
              <w:rPr>
                <w:rFonts w:cstheme="minorHAnsi"/>
                <w:sz w:val="20"/>
              </w:rPr>
              <w:t>人员费用</w:t>
            </w:r>
          </w:p>
        </w:tc>
        <w:tc>
          <w:tcPr>
            <w:tcW w:w="1417" w:type="dxa"/>
            <w:tcBorders>
              <w:top w:val="nil"/>
              <w:left w:val="nil"/>
              <w:bottom w:val="nil"/>
              <w:right w:val="nil"/>
            </w:tcBorders>
            <w:shd w:val="clear" w:color="auto" w:fill="auto"/>
            <w:noWrap/>
            <w:vAlign w:val="bottom"/>
            <w:hideMark/>
          </w:tcPr>
          <w:p w14:paraId="19F39749"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139</w:t>
            </w:r>
          </w:p>
        </w:tc>
        <w:tc>
          <w:tcPr>
            <w:tcW w:w="1292" w:type="dxa"/>
            <w:tcBorders>
              <w:top w:val="nil"/>
              <w:left w:val="nil"/>
              <w:bottom w:val="nil"/>
              <w:right w:val="nil"/>
            </w:tcBorders>
            <w:shd w:val="clear" w:color="auto" w:fill="auto"/>
            <w:noWrap/>
            <w:vAlign w:val="bottom"/>
            <w:hideMark/>
          </w:tcPr>
          <w:p w14:paraId="30FF88BD"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432</w:t>
            </w:r>
          </w:p>
        </w:tc>
        <w:tc>
          <w:tcPr>
            <w:tcW w:w="1292" w:type="dxa"/>
            <w:tcBorders>
              <w:top w:val="nil"/>
              <w:left w:val="nil"/>
              <w:bottom w:val="nil"/>
              <w:right w:val="nil"/>
            </w:tcBorders>
            <w:shd w:val="clear" w:color="auto" w:fill="auto"/>
            <w:noWrap/>
            <w:vAlign w:val="bottom"/>
            <w:hideMark/>
          </w:tcPr>
          <w:p w14:paraId="562D7D7F"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930</w:t>
            </w:r>
          </w:p>
        </w:tc>
        <w:tc>
          <w:tcPr>
            <w:tcW w:w="1517" w:type="dxa"/>
            <w:tcBorders>
              <w:top w:val="nil"/>
              <w:left w:val="nil"/>
              <w:bottom w:val="nil"/>
              <w:right w:val="nil"/>
            </w:tcBorders>
            <w:shd w:val="clear" w:color="auto" w:fill="auto"/>
            <w:noWrap/>
            <w:vAlign w:val="bottom"/>
            <w:hideMark/>
          </w:tcPr>
          <w:p w14:paraId="2A344BE0"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292" w:type="dxa"/>
            <w:tcBorders>
              <w:top w:val="nil"/>
              <w:left w:val="nil"/>
              <w:bottom w:val="nil"/>
              <w:right w:val="nil"/>
            </w:tcBorders>
            <w:shd w:val="clear" w:color="auto" w:fill="auto"/>
            <w:noWrap/>
            <w:vAlign w:val="bottom"/>
            <w:hideMark/>
          </w:tcPr>
          <w:p w14:paraId="334FA8F1"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2,376</w:t>
            </w:r>
          </w:p>
        </w:tc>
        <w:tc>
          <w:tcPr>
            <w:tcW w:w="1292" w:type="dxa"/>
            <w:tcBorders>
              <w:top w:val="nil"/>
              <w:left w:val="nil"/>
              <w:bottom w:val="nil"/>
              <w:right w:val="nil"/>
            </w:tcBorders>
            <w:shd w:val="clear" w:color="auto" w:fill="auto"/>
            <w:noWrap/>
            <w:vAlign w:val="bottom"/>
            <w:hideMark/>
          </w:tcPr>
          <w:p w14:paraId="1210F3D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10,760</w:t>
            </w:r>
          </w:p>
        </w:tc>
        <w:tc>
          <w:tcPr>
            <w:tcW w:w="1292" w:type="dxa"/>
            <w:tcBorders>
              <w:top w:val="nil"/>
              <w:left w:val="nil"/>
              <w:bottom w:val="nil"/>
              <w:right w:val="nil"/>
            </w:tcBorders>
            <w:shd w:val="clear" w:color="auto" w:fill="auto"/>
            <w:noWrap/>
            <w:vAlign w:val="bottom"/>
            <w:hideMark/>
          </w:tcPr>
          <w:p w14:paraId="2F67C4E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20,209</w:t>
            </w:r>
          </w:p>
        </w:tc>
        <w:tc>
          <w:tcPr>
            <w:tcW w:w="1417" w:type="dxa"/>
            <w:tcBorders>
              <w:top w:val="nil"/>
              <w:left w:val="nil"/>
              <w:bottom w:val="nil"/>
              <w:right w:val="nil"/>
            </w:tcBorders>
            <w:shd w:val="clear" w:color="auto" w:fill="auto"/>
            <w:noWrap/>
            <w:vAlign w:val="bottom"/>
            <w:hideMark/>
          </w:tcPr>
          <w:p w14:paraId="3AFA333A"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6468D">
              <w:rPr>
                <w:rFonts w:eastAsia="Times New Roman" w:cs="Calibri"/>
                <w:color w:val="002060"/>
                <w:sz w:val="20"/>
              </w:rPr>
              <w:t>34,846</w:t>
            </w:r>
          </w:p>
        </w:tc>
      </w:tr>
      <w:tr w:rsidR="005C437E" w:rsidRPr="00B6468D" w14:paraId="0361DA0A" w14:textId="77777777" w:rsidTr="002F7131">
        <w:trPr>
          <w:trHeight w:val="240"/>
        </w:trPr>
        <w:tc>
          <w:tcPr>
            <w:tcW w:w="3211" w:type="dxa"/>
            <w:tcBorders>
              <w:top w:val="nil"/>
              <w:left w:val="nil"/>
              <w:bottom w:val="nil"/>
              <w:right w:val="nil"/>
            </w:tcBorders>
            <w:shd w:val="clear" w:color="auto" w:fill="auto"/>
            <w:noWrap/>
            <w:vAlign w:val="bottom"/>
            <w:hideMark/>
          </w:tcPr>
          <w:p w14:paraId="38B47C84"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17" w:type="dxa"/>
            <w:tcBorders>
              <w:top w:val="nil"/>
              <w:left w:val="nil"/>
              <w:bottom w:val="nil"/>
              <w:right w:val="nil"/>
            </w:tcBorders>
            <w:shd w:val="clear" w:color="auto" w:fill="auto"/>
            <w:noWrap/>
            <w:vAlign w:val="bottom"/>
            <w:hideMark/>
          </w:tcPr>
          <w:p w14:paraId="7F1994FD"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1375A13A"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22B6F687"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17" w:type="dxa"/>
            <w:tcBorders>
              <w:top w:val="nil"/>
              <w:left w:val="nil"/>
              <w:bottom w:val="nil"/>
              <w:right w:val="nil"/>
            </w:tcBorders>
            <w:shd w:val="clear" w:color="auto" w:fill="auto"/>
            <w:noWrap/>
            <w:vAlign w:val="bottom"/>
            <w:hideMark/>
          </w:tcPr>
          <w:p w14:paraId="601C6551"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3C67D12F"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75D0BC1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63CD5550"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17" w:type="dxa"/>
            <w:tcBorders>
              <w:top w:val="nil"/>
              <w:left w:val="nil"/>
              <w:bottom w:val="nil"/>
              <w:right w:val="nil"/>
            </w:tcBorders>
            <w:shd w:val="clear" w:color="auto" w:fill="auto"/>
            <w:noWrap/>
            <w:vAlign w:val="bottom"/>
            <w:hideMark/>
          </w:tcPr>
          <w:p w14:paraId="574EC17E"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6468D" w14:paraId="72364B28" w14:textId="77777777" w:rsidTr="002F7131">
        <w:trPr>
          <w:trHeight w:val="252"/>
        </w:trPr>
        <w:tc>
          <w:tcPr>
            <w:tcW w:w="3211" w:type="dxa"/>
            <w:tcBorders>
              <w:top w:val="nil"/>
              <w:left w:val="nil"/>
              <w:bottom w:val="nil"/>
              <w:right w:val="nil"/>
            </w:tcBorders>
            <w:shd w:val="clear" w:color="auto" w:fill="auto"/>
            <w:noWrap/>
            <w:vAlign w:val="bottom"/>
            <w:hideMark/>
          </w:tcPr>
          <w:p w14:paraId="5BF66E40"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B6468D">
              <w:rPr>
                <w:rFonts w:cstheme="minorHAnsi"/>
                <w:sz w:val="20"/>
              </w:rPr>
              <w:t xml:space="preserve">2 - </w:t>
            </w:r>
            <w:r w:rsidRPr="00B6468D">
              <w:rPr>
                <w:rFonts w:cstheme="minorHAnsi"/>
                <w:sz w:val="20"/>
              </w:rPr>
              <w:t>其他人员费用</w:t>
            </w:r>
          </w:p>
        </w:tc>
        <w:tc>
          <w:tcPr>
            <w:tcW w:w="1417" w:type="dxa"/>
            <w:tcBorders>
              <w:top w:val="nil"/>
              <w:left w:val="nil"/>
              <w:bottom w:val="nil"/>
              <w:right w:val="nil"/>
            </w:tcBorders>
            <w:shd w:val="clear" w:color="auto" w:fill="auto"/>
            <w:noWrap/>
            <w:vAlign w:val="bottom"/>
            <w:hideMark/>
          </w:tcPr>
          <w:p w14:paraId="17F06512"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8</w:t>
            </w:r>
          </w:p>
        </w:tc>
        <w:tc>
          <w:tcPr>
            <w:tcW w:w="1292" w:type="dxa"/>
            <w:tcBorders>
              <w:top w:val="nil"/>
              <w:left w:val="nil"/>
              <w:bottom w:val="nil"/>
              <w:right w:val="nil"/>
            </w:tcBorders>
            <w:shd w:val="clear" w:color="auto" w:fill="auto"/>
            <w:noWrap/>
            <w:vAlign w:val="bottom"/>
            <w:hideMark/>
          </w:tcPr>
          <w:p w14:paraId="7C621284"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16</w:t>
            </w:r>
          </w:p>
        </w:tc>
        <w:tc>
          <w:tcPr>
            <w:tcW w:w="1292" w:type="dxa"/>
            <w:tcBorders>
              <w:top w:val="nil"/>
              <w:left w:val="nil"/>
              <w:bottom w:val="nil"/>
              <w:right w:val="nil"/>
            </w:tcBorders>
            <w:shd w:val="clear" w:color="auto" w:fill="auto"/>
            <w:noWrap/>
            <w:vAlign w:val="bottom"/>
            <w:hideMark/>
          </w:tcPr>
          <w:p w14:paraId="596D4DE2"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517" w:type="dxa"/>
            <w:tcBorders>
              <w:top w:val="nil"/>
              <w:left w:val="nil"/>
              <w:bottom w:val="nil"/>
              <w:right w:val="nil"/>
            </w:tcBorders>
            <w:shd w:val="clear" w:color="auto" w:fill="auto"/>
            <w:noWrap/>
            <w:vAlign w:val="bottom"/>
            <w:hideMark/>
          </w:tcPr>
          <w:p w14:paraId="5151C1B9"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292" w:type="dxa"/>
            <w:tcBorders>
              <w:top w:val="nil"/>
              <w:left w:val="nil"/>
              <w:bottom w:val="nil"/>
              <w:right w:val="nil"/>
            </w:tcBorders>
            <w:shd w:val="clear" w:color="auto" w:fill="auto"/>
            <w:noWrap/>
            <w:vAlign w:val="bottom"/>
            <w:hideMark/>
          </w:tcPr>
          <w:p w14:paraId="4881C241"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681</w:t>
            </w:r>
          </w:p>
        </w:tc>
        <w:tc>
          <w:tcPr>
            <w:tcW w:w="1292" w:type="dxa"/>
            <w:tcBorders>
              <w:top w:val="nil"/>
              <w:left w:val="nil"/>
              <w:bottom w:val="nil"/>
              <w:right w:val="nil"/>
            </w:tcBorders>
            <w:shd w:val="clear" w:color="auto" w:fill="auto"/>
            <w:noWrap/>
            <w:vAlign w:val="bottom"/>
            <w:hideMark/>
          </w:tcPr>
          <w:p w14:paraId="35060E9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3,162</w:t>
            </w:r>
          </w:p>
        </w:tc>
        <w:tc>
          <w:tcPr>
            <w:tcW w:w="1292" w:type="dxa"/>
            <w:tcBorders>
              <w:top w:val="nil"/>
              <w:left w:val="nil"/>
              <w:bottom w:val="nil"/>
              <w:right w:val="nil"/>
            </w:tcBorders>
            <w:shd w:val="clear" w:color="auto" w:fill="auto"/>
            <w:noWrap/>
            <w:vAlign w:val="bottom"/>
            <w:hideMark/>
          </w:tcPr>
          <w:p w14:paraId="446B25BA"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5,918</w:t>
            </w:r>
          </w:p>
        </w:tc>
        <w:tc>
          <w:tcPr>
            <w:tcW w:w="1417" w:type="dxa"/>
            <w:tcBorders>
              <w:top w:val="nil"/>
              <w:left w:val="nil"/>
              <w:bottom w:val="nil"/>
              <w:right w:val="nil"/>
            </w:tcBorders>
            <w:shd w:val="clear" w:color="auto" w:fill="auto"/>
            <w:noWrap/>
            <w:vAlign w:val="bottom"/>
            <w:hideMark/>
          </w:tcPr>
          <w:p w14:paraId="5D932D1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6468D">
              <w:rPr>
                <w:rFonts w:eastAsia="Times New Roman" w:cs="Calibri"/>
                <w:color w:val="002060"/>
                <w:sz w:val="20"/>
              </w:rPr>
              <w:t>9,785</w:t>
            </w:r>
          </w:p>
        </w:tc>
      </w:tr>
      <w:tr w:rsidR="005C437E" w:rsidRPr="00B6468D" w14:paraId="39C684BF" w14:textId="77777777" w:rsidTr="002F7131">
        <w:trPr>
          <w:trHeight w:val="240"/>
        </w:trPr>
        <w:tc>
          <w:tcPr>
            <w:tcW w:w="3211" w:type="dxa"/>
            <w:tcBorders>
              <w:top w:val="nil"/>
              <w:left w:val="nil"/>
              <w:bottom w:val="nil"/>
              <w:right w:val="nil"/>
            </w:tcBorders>
            <w:shd w:val="clear" w:color="auto" w:fill="auto"/>
            <w:noWrap/>
            <w:vAlign w:val="bottom"/>
            <w:hideMark/>
          </w:tcPr>
          <w:p w14:paraId="27EE4262"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17" w:type="dxa"/>
            <w:tcBorders>
              <w:top w:val="nil"/>
              <w:left w:val="nil"/>
              <w:bottom w:val="nil"/>
              <w:right w:val="nil"/>
            </w:tcBorders>
            <w:shd w:val="clear" w:color="auto" w:fill="auto"/>
            <w:noWrap/>
            <w:vAlign w:val="bottom"/>
            <w:hideMark/>
          </w:tcPr>
          <w:p w14:paraId="7A755F06"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03CB5694"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2AC526BC"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17" w:type="dxa"/>
            <w:tcBorders>
              <w:top w:val="nil"/>
              <w:left w:val="nil"/>
              <w:bottom w:val="nil"/>
              <w:right w:val="nil"/>
            </w:tcBorders>
            <w:shd w:val="clear" w:color="auto" w:fill="auto"/>
            <w:noWrap/>
            <w:vAlign w:val="bottom"/>
            <w:hideMark/>
          </w:tcPr>
          <w:p w14:paraId="686BD243"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0B6E37A0"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1E589C17"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4868E337"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17" w:type="dxa"/>
            <w:tcBorders>
              <w:top w:val="nil"/>
              <w:left w:val="nil"/>
              <w:bottom w:val="nil"/>
              <w:right w:val="nil"/>
            </w:tcBorders>
            <w:shd w:val="clear" w:color="auto" w:fill="auto"/>
            <w:noWrap/>
            <w:vAlign w:val="bottom"/>
            <w:hideMark/>
          </w:tcPr>
          <w:p w14:paraId="7AE18C0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6468D" w14:paraId="189AB971" w14:textId="77777777" w:rsidTr="002F7131">
        <w:trPr>
          <w:trHeight w:val="252"/>
        </w:trPr>
        <w:tc>
          <w:tcPr>
            <w:tcW w:w="3211" w:type="dxa"/>
            <w:tcBorders>
              <w:top w:val="nil"/>
              <w:left w:val="nil"/>
              <w:bottom w:val="nil"/>
              <w:right w:val="nil"/>
            </w:tcBorders>
            <w:shd w:val="clear" w:color="auto" w:fill="auto"/>
            <w:noWrap/>
            <w:vAlign w:val="bottom"/>
            <w:hideMark/>
          </w:tcPr>
          <w:p w14:paraId="0FDF6BE1"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B6468D">
              <w:rPr>
                <w:rFonts w:cstheme="minorHAnsi"/>
                <w:sz w:val="20"/>
              </w:rPr>
              <w:t xml:space="preserve">3 - </w:t>
            </w:r>
            <w:r w:rsidRPr="00B6468D">
              <w:rPr>
                <w:rFonts w:cstheme="minorHAnsi"/>
                <w:sz w:val="20"/>
              </w:rPr>
              <w:t>公务差旅</w:t>
            </w:r>
          </w:p>
        </w:tc>
        <w:tc>
          <w:tcPr>
            <w:tcW w:w="1417" w:type="dxa"/>
            <w:tcBorders>
              <w:top w:val="nil"/>
              <w:left w:val="nil"/>
              <w:bottom w:val="nil"/>
              <w:right w:val="nil"/>
            </w:tcBorders>
            <w:shd w:val="clear" w:color="auto" w:fill="auto"/>
            <w:noWrap/>
            <w:vAlign w:val="bottom"/>
            <w:hideMark/>
          </w:tcPr>
          <w:p w14:paraId="093A5E13"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140</w:t>
            </w:r>
          </w:p>
        </w:tc>
        <w:tc>
          <w:tcPr>
            <w:tcW w:w="1292" w:type="dxa"/>
            <w:tcBorders>
              <w:top w:val="nil"/>
              <w:left w:val="nil"/>
              <w:bottom w:val="nil"/>
              <w:right w:val="nil"/>
            </w:tcBorders>
            <w:shd w:val="clear" w:color="auto" w:fill="auto"/>
            <w:noWrap/>
            <w:vAlign w:val="bottom"/>
            <w:hideMark/>
          </w:tcPr>
          <w:p w14:paraId="1F37AF62"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340</w:t>
            </w:r>
          </w:p>
        </w:tc>
        <w:tc>
          <w:tcPr>
            <w:tcW w:w="1292" w:type="dxa"/>
            <w:tcBorders>
              <w:top w:val="nil"/>
              <w:left w:val="nil"/>
              <w:bottom w:val="nil"/>
              <w:right w:val="nil"/>
            </w:tcBorders>
            <w:shd w:val="clear" w:color="auto" w:fill="auto"/>
            <w:noWrap/>
            <w:vAlign w:val="bottom"/>
            <w:hideMark/>
          </w:tcPr>
          <w:p w14:paraId="36500A16"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2,702</w:t>
            </w:r>
          </w:p>
        </w:tc>
        <w:tc>
          <w:tcPr>
            <w:tcW w:w="1517" w:type="dxa"/>
            <w:tcBorders>
              <w:top w:val="nil"/>
              <w:left w:val="nil"/>
              <w:bottom w:val="nil"/>
              <w:right w:val="nil"/>
            </w:tcBorders>
            <w:shd w:val="clear" w:color="auto" w:fill="auto"/>
            <w:noWrap/>
            <w:vAlign w:val="bottom"/>
            <w:hideMark/>
          </w:tcPr>
          <w:p w14:paraId="379FAC69"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60</w:t>
            </w:r>
          </w:p>
        </w:tc>
        <w:tc>
          <w:tcPr>
            <w:tcW w:w="1292" w:type="dxa"/>
            <w:tcBorders>
              <w:top w:val="nil"/>
              <w:left w:val="nil"/>
              <w:bottom w:val="nil"/>
              <w:right w:val="nil"/>
            </w:tcBorders>
            <w:shd w:val="clear" w:color="auto" w:fill="auto"/>
            <w:noWrap/>
            <w:vAlign w:val="bottom"/>
            <w:hideMark/>
          </w:tcPr>
          <w:p w14:paraId="03A5F763"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200</w:t>
            </w:r>
          </w:p>
        </w:tc>
        <w:tc>
          <w:tcPr>
            <w:tcW w:w="1292" w:type="dxa"/>
            <w:tcBorders>
              <w:top w:val="nil"/>
              <w:left w:val="nil"/>
              <w:bottom w:val="nil"/>
              <w:right w:val="nil"/>
            </w:tcBorders>
            <w:shd w:val="clear" w:color="auto" w:fill="auto"/>
            <w:noWrap/>
            <w:vAlign w:val="bottom"/>
            <w:hideMark/>
          </w:tcPr>
          <w:p w14:paraId="11105022"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414</w:t>
            </w:r>
          </w:p>
        </w:tc>
        <w:tc>
          <w:tcPr>
            <w:tcW w:w="1292" w:type="dxa"/>
            <w:tcBorders>
              <w:top w:val="nil"/>
              <w:left w:val="nil"/>
              <w:bottom w:val="nil"/>
              <w:right w:val="nil"/>
            </w:tcBorders>
            <w:shd w:val="clear" w:color="auto" w:fill="auto"/>
            <w:noWrap/>
            <w:vAlign w:val="bottom"/>
            <w:hideMark/>
          </w:tcPr>
          <w:p w14:paraId="39DEE08C"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181</w:t>
            </w:r>
          </w:p>
        </w:tc>
        <w:tc>
          <w:tcPr>
            <w:tcW w:w="1417" w:type="dxa"/>
            <w:tcBorders>
              <w:top w:val="nil"/>
              <w:left w:val="nil"/>
              <w:bottom w:val="nil"/>
              <w:right w:val="nil"/>
            </w:tcBorders>
            <w:shd w:val="clear" w:color="auto" w:fill="auto"/>
            <w:noWrap/>
            <w:vAlign w:val="bottom"/>
            <w:hideMark/>
          </w:tcPr>
          <w:p w14:paraId="36593D8A"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6468D">
              <w:rPr>
                <w:rFonts w:eastAsia="Times New Roman" w:cs="Calibri"/>
                <w:color w:val="002060"/>
                <w:sz w:val="20"/>
              </w:rPr>
              <w:t>4,037</w:t>
            </w:r>
          </w:p>
        </w:tc>
      </w:tr>
      <w:tr w:rsidR="005C437E" w:rsidRPr="00B6468D" w14:paraId="4476F514" w14:textId="77777777" w:rsidTr="002F7131">
        <w:trPr>
          <w:trHeight w:val="240"/>
        </w:trPr>
        <w:tc>
          <w:tcPr>
            <w:tcW w:w="3211" w:type="dxa"/>
            <w:tcBorders>
              <w:top w:val="nil"/>
              <w:left w:val="nil"/>
              <w:bottom w:val="nil"/>
              <w:right w:val="nil"/>
            </w:tcBorders>
            <w:shd w:val="clear" w:color="auto" w:fill="auto"/>
            <w:noWrap/>
            <w:vAlign w:val="bottom"/>
            <w:hideMark/>
          </w:tcPr>
          <w:p w14:paraId="02C8E385"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17" w:type="dxa"/>
            <w:tcBorders>
              <w:top w:val="nil"/>
              <w:left w:val="nil"/>
              <w:bottom w:val="nil"/>
              <w:right w:val="nil"/>
            </w:tcBorders>
            <w:shd w:val="clear" w:color="auto" w:fill="auto"/>
            <w:noWrap/>
            <w:vAlign w:val="bottom"/>
            <w:hideMark/>
          </w:tcPr>
          <w:p w14:paraId="6FCD1305"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295F9F61"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547220AE"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17" w:type="dxa"/>
            <w:tcBorders>
              <w:top w:val="nil"/>
              <w:left w:val="nil"/>
              <w:bottom w:val="nil"/>
              <w:right w:val="nil"/>
            </w:tcBorders>
            <w:shd w:val="clear" w:color="auto" w:fill="auto"/>
            <w:noWrap/>
            <w:vAlign w:val="bottom"/>
            <w:hideMark/>
          </w:tcPr>
          <w:p w14:paraId="395CA840"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32AF6E73"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0F2D0B65"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4E1ADE75"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17" w:type="dxa"/>
            <w:tcBorders>
              <w:top w:val="nil"/>
              <w:left w:val="nil"/>
              <w:bottom w:val="nil"/>
              <w:right w:val="nil"/>
            </w:tcBorders>
            <w:shd w:val="clear" w:color="auto" w:fill="auto"/>
            <w:noWrap/>
            <w:vAlign w:val="bottom"/>
            <w:hideMark/>
          </w:tcPr>
          <w:p w14:paraId="77D51441"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6468D" w14:paraId="7F071E10" w14:textId="77777777" w:rsidTr="002F7131">
        <w:trPr>
          <w:trHeight w:val="252"/>
        </w:trPr>
        <w:tc>
          <w:tcPr>
            <w:tcW w:w="3211" w:type="dxa"/>
            <w:tcBorders>
              <w:top w:val="nil"/>
              <w:left w:val="nil"/>
              <w:bottom w:val="nil"/>
              <w:right w:val="nil"/>
            </w:tcBorders>
            <w:shd w:val="clear" w:color="auto" w:fill="auto"/>
            <w:noWrap/>
            <w:vAlign w:val="bottom"/>
            <w:hideMark/>
          </w:tcPr>
          <w:p w14:paraId="22A4D6A9"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B6468D">
              <w:rPr>
                <w:rFonts w:cstheme="minorHAnsi"/>
                <w:sz w:val="20"/>
              </w:rPr>
              <w:t xml:space="preserve">4 - </w:t>
            </w:r>
            <w:r w:rsidRPr="00B6468D">
              <w:rPr>
                <w:rFonts w:cstheme="minorHAnsi"/>
                <w:sz w:val="20"/>
              </w:rPr>
              <w:t>合同服务</w:t>
            </w:r>
          </w:p>
        </w:tc>
        <w:tc>
          <w:tcPr>
            <w:tcW w:w="1417" w:type="dxa"/>
            <w:tcBorders>
              <w:top w:val="nil"/>
              <w:left w:val="nil"/>
              <w:bottom w:val="nil"/>
              <w:right w:val="nil"/>
            </w:tcBorders>
            <w:shd w:val="clear" w:color="auto" w:fill="auto"/>
            <w:noWrap/>
            <w:vAlign w:val="bottom"/>
            <w:hideMark/>
          </w:tcPr>
          <w:p w14:paraId="28CBD56E"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18</w:t>
            </w:r>
          </w:p>
        </w:tc>
        <w:tc>
          <w:tcPr>
            <w:tcW w:w="1292" w:type="dxa"/>
            <w:tcBorders>
              <w:top w:val="nil"/>
              <w:left w:val="nil"/>
              <w:bottom w:val="nil"/>
              <w:right w:val="nil"/>
            </w:tcBorders>
            <w:shd w:val="clear" w:color="auto" w:fill="auto"/>
            <w:noWrap/>
            <w:vAlign w:val="bottom"/>
            <w:hideMark/>
          </w:tcPr>
          <w:p w14:paraId="2EC7B41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20</w:t>
            </w:r>
          </w:p>
        </w:tc>
        <w:tc>
          <w:tcPr>
            <w:tcW w:w="1292" w:type="dxa"/>
            <w:tcBorders>
              <w:top w:val="nil"/>
              <w:left w:val="nil"/>
              <w:bottom w:val="nil"/>
              <w:right w:val="nil"/>
            </w:tcBorders>
            <w:shd w:val="clear" w:color="auto" w:fill="auto"/>
            <w:noWrap/>
            <w:vAlign w:val="bottom"/>
            <w:hideMark/>
          </w:tcPr>
          <w:p w14:paraId="3E552CCD"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4,746</w:t>
            </w:r>
          </w:p>
        </w:tc>
        <w:tc>
          <w:tcPr>
            <w:tcW w:w="1517" w:type="dxa"/>
            <w:tcBorders>
              <w:top w:val="nil"/>
              <w:left w:val="nil"/>
              <w:bottom w:val="nil"/>
              <w:right w:val="nil"/>
            </w:tcBorders>
            <w:shd w:val="clear" w:color="auto" w:fill="auto"/>
            <w:noWrap/>
            <w:vAlign w:val="bottom"/>
            <w:hideMark/>
          </w:tcPr>
          <w:p w14:paraId="64A488C4"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100</w:t>
            </w:r>
          </w:p>
        </w:tc>
        <w:tc>
          <w:tcPr>
            <w:tcW w:w="1292" w:type="dxa"/>
            <w:tcBorders>
              <w:top w:val="nil"/>
              <w:left w:val="nil"/>
              <w:bottom w:val="nil"/>
              <w:right w:val="nil"/>
            </w:tcBorders>
            <w:shd w:val="clear" w:color="auto" w:fill="auto"/>
            <w:noWrap/>
            <w:vAlign w:val="bottom"/>
            <w:hideMark/>
          </w:tcPr>
          <w:p w14:paraId="171FAE4F"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100</w:t>
            </w:r>
          </w:p>
        </w:tc>
        <w:tc>
          <w:tcPr>
            <w:tcW w:w="1292" w:type="dxa"/>
            <w:tcBorders>
              <w:top w:val="nil"/>
              <w:left w:val="nil"/>
              <w:bottom w:val="nil"/>
              <w:right w:val="nil"/>
            </w:tcBorders>
            <w:shd w:val="clear" w:color="auto" w:fill="auto"/>
            <w:noWrap/>
            <w:vAlign w:val="bottom"/>
            <w:hideMark/>
          </w:tcPr>
          <w:p w14:paraId="356EBDC7"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72</w:t>
            </w:r>
          </w:p>
        </w:tc>
        <w:tc>
          <w:tcPr>
            <w:tcW w:w="1292" w:type="dxa"/>
            <w:tcBorders>
              <w:top w:val="nil"/>
              <w:left w:val="nil"/>
              <w:bottom w:val="nil"/>
              <w:right w:val="nil"/>
            </w:tcBorders>
            <w:shd w:val="clear" w:color="auto" w:fill="auto"/>
            <w:noWrap/>
            <w:vAlign w:val="bottom"/>
            <w:hideMark/>
          </w:tcPr>
          <w:p w14:paraId="74735428"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417" w:type="dxa"/>
            <w:tcBorders>
              <w:top w:val="nil"/>
              <w:left w:val="nil"/>
              <w:bottom w:val="nil"/>
              <w:right w:val="nil"/>
            </w:tcBorders>
            <w:shd w:val="clear" w:color="auto" w:fill="auto"/>
            <w:noWrap/>
            <w:vAlign w:val="bottom"/>
            <w:hideMark/>
          </w:tcPr>
          <w:p w14:paraId="07706CB5"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6468D">
              <w:rPr>
                <w:rFonts w:eastAsia="Times New Roman" w:cs="Calibri"/>
                <w:color w:val="002060"/>
                <w:sz w:val="20"/>
              </w:rPr>
              <w:t>5,056</w:t>
            </w:r>
          </w:p>
        </w:tc>
      </w:tr>
      <w:tr w:rsidR="005C437E" w:rsidRPr="00B6468D" w14:paraId="254F1C59" w14:textId="77777777" w:rsidTr="002F7131">
        <w:trPr>
          <w:trHeight w:val="240"/>
        </w:trPr>
        <w:tc>
          <w:tcPr>
            <w:tcW w:w="3211" w:type="dxa"/>
            <w:tcBorders>
              <w:top w:val="nil"/>
              <w:left w:val="nil"/>
              <w:bottom w:val="nil"/>
              <w:right w:val="nil"/>
            </w:tcBorders>
            <w:shd w:val="clear" w:color="auto" w:fill="auto"/>
            <w:noWrap/>
            <w:vAlign w:val="bottom"/>
            <w:hideMark/>
          </w:tcPr>
          <w:p w14:paraId="4F194280"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17" w:type="dxa"/>
            <w:tcBorders>
              <w:top w:val="nil"/>
              <w:left w:val="nil"/>
              <w:bottom w:val="nil"/>
              <w:right w:val="nil"/>
            </w:tcBorders>
            <w:shd w:val="clear" w:color="auto" w:fill="auto"/>
            <w:noWrap/>
            <w:vAlign w:val="bottom"/>
            <w:hideMark/>
          </w:tcPr>
          <w:p w14:paraId="1718F78D"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33DDA7E7"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597F0DED"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17" w:type="dxa"/>
            <w:tcBorders>
              <w:top w:val="nil"/>
              <w:left w:val="nil"/>
              <w:bottom w:val="nil"/>
              <w:right w:val="nil"/>
            </w:tcBorders>
            <w:shd w:val="clear" w:color="auto" w:fill="auto"/>
            <w:noWrap/>
            <w:vAlign w:val="bottom"/>
            <w:hideMark/>
          </w:tcPr>
          <w:p w14:paraId="7A462219"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6F971396"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11D76119"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0EB4BC73"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17" w:type="dxa"/>
            <w:tcBorders>
              <w:top w:val="nil"/>
              <w:left w:val="nil"/>
              <w:bottom w:val="nil"/>
              <w:right w:val="nil"/>
            </w:tcBorders>
            <w:shd w:val="clear" w:color="auto" w:fill="auto"/>
            <w:noWrap/>
            <w:vAlign w:val="bottom"/>
            <w:hideMark/>
          </w:tcPr>
          <w:p w14:paraId="46AE3C60"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6468D" w14:paraId="13EEED6A" w14:textId="77777777" w:rsidTr="002F7131">
        <w:trPr>
          <w:trHeight w:val="255"/>
        </w:trPr>
        <w:tc>
          <w:tcPr>
            <w:tcW w:w="3211" w:type="dxa"/>
            <w:tcBorders>
              <w:top w:val="nil"/>
              <w:left w:val="nil"/>
              <w:bottom w:val="nil"/>
              <w:right w:val="nil"/>
            </w:tcBorders>
            <w:shd w:val="clear" w:color="auto" w:fill="auto"/>
            <w:vAlign w:val="bottom"/>
            <w:hideMark/>
          </w:tcPr>
          <w:p w14:paraId="66FF4444"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B6468D">
              <w:rPr>
                <w:rFonts w:cstheme="minorHAnsi"/>
                <w:sz w:val="20"/>
                <w:lang w:eastAsia="zh-CN"/>
              </w:rPr>
              <w:t xml:space="preserve">5 - </w:t>
            </w:r>
            <w:r w:rsidRPr="00B6468D">
              <w:rPr>
                <w:rFonts w:cstheme="minorHAnsi"/>
                <w:sz w:val="20"/>
                <w:lang w:eastAsia="zh-CN"/>
              </w:rPr>
              <w:t>房屋设施和设备的租用与维护</w:t>
            </w:r>
          </w:p>
        </w:tc>
        <w:tc>
          <w:tcPr>
            <w:tcW w:w="1417" w:type="dxa"/>
            <w:tcBorders>
              <w:top w:val="nil"/>
              <w:left w:val="nil"/>
              <w:bottom w:val="nil"/>
              <w:right w:val="nil"/>
            </w:tcBorders>
            <w:shd w:val="clear" w:color="auto" w:fill="auto"/>
            <w:noWrap/>
            <w:vAlign w:val="bottom"/>
            <w:hideMark/>
          </w:tcPr>
          <w:p w14:paraId="69EADEE9"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lang w:eastAsia="zh-CN"/>
              </w:rPr>
            </w:pPr>
          </w:p>
        </w:tc>
        <w:tc>
          <w:tcPr>
            <w:tcW w:w="1292" w:type="dxa"/>
            <w:tcBorders>
              <w:top w:val="nil"/>
              <w:left w:val="nil"/>
              <w:bottom w:val="nil"/>
              <w:right w:val="nil"/>
            </w:tcBorders>
            <w:shd w:val="clear" w:color="auto" w:fill="auto"/>
            <w:noWrap/>
            <w:vAlign w:val="bottom"/>
            <w:hideMark/>
          </w:tcPr>
          <w:p w14:paraId="7276744C"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292" w:type="dxa"/>
            <w:tcBorders>
              <w:top w:val="nil"/>
              <w:left w:val="nil"/>
              <w:bottom w:val="nil"/>
              <w:right w:val="nil"/>
            </w:tcBorders>
            <w:shd w:val="clear" w:color="auto" w:fill="auto"/>
            <w:noWrap/>
            <w:vAlign w:val="bottom"/>
            <w:hideMark/>
          </w:tcPr>
          <w:p w14:paraId="455877C7"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517" w:type="dxa"/>
            <w:tcBorders>
              <w:top w:val="nil"/>
              <w:left w:val="nil"/>
              <w:bottom w:val="nil"/>
              <w:right w:val="nil"/>
            </w:tcBorders>
            <w:shd w:val="clear" w:color="auto" w:fill="auto"/>
            <w:noWrap/>
            <w:vAlign w:val="bottom"/>
            <w:hideMark/>
          </w:tcPr>
          <w:p w14:paraId="6DF7E3FC"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180</w:t>
            </w:r>
          </w:p>
        </w:tc>
        <w:tc>
          <w:tcPr>
            <w:tcW w:w="1292" w:type="dxa"/>
            <w:tcBorders>
              <w:top w:val="nil"/>
              <w:left w:val="nil"/>
              <w:bottom w:val="nil"/>
              <w:right w:val="nil"/>
            </w:tcBorders>
            <w:shd w:val="clear" w:color="auto" w:fill="auto"/>
            <w:noWrap/>
            <w:vAlign w:val="bottom"/>
            <w:hideMark/>
          </w:tcPr>
          <w:p w14:paraId="59F21A74"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292" w:type="dxa"/>
            <w:tcBorders>
              <w:top w:val="nil"/>
              <w:left w:val="nil"/>
              <w:bottom w:val="nil"/>
              <w:right w:val="nil"/>
            </w:tcBorders>
            <w:shd w:val="clear" w:color="auto" w:fill="auto"/>
            <w:noWrap/>
            <w:vAlign w:val="bottom"/>
            <w:hideMark/>
          </w:tcPr>
          <w:p w14:paraId="37EDC129"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98</w:t>
            </w:r>
          </w:p>
        </w:tc>
        <w:tc>
          <w:tcPr>
            <w:tcW w:w="1292" w:type="dxa"/>
            <w:tcBorders>
              <w:top w:val="nil"/>
              <w:left w:val="nil"/>
              <w:bottom w:val="nil"/>
              <w:right w:val="nil"/>
            </w:tcBorders>
            <w:shd w:val="clear" w:color="auto" w:fill="auto"/>
            <w:noWrap/>
            <w:vAlign w:val="bottom"/>
            <w:hideMark/>
          </w:tcPr>
          <w:p w14:paraId="371826C0"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417" w:type="dxa"/>
            <w:tcBorders>
              <w:top w:val="nil"/>
              <w:left w:val="nil"/>
              <w:bottom w:val="nil"/>
              <w:right w:val="nil"/>
            </w:tcBorders>
            <w:shd w:val="clear" w:color="auto" w:fill="auto"/>
            <w:noWrap/>
            <w:vAlign w:val="bottom"/>
            <w:hideMark/>
          </w:tcPr>
          <w:p w14:paraId="349359F5"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6468D">
              <w:rPr>
                <w:rFonts w:ascii="Helv" w:eastAsia="Times New Roman" w:hAnsi="Helv"/>
                <w:noProof/>
                <w:sz w:val="20"/>
              </w:rPr>
              <mc:AlternateContent>
                <mc:Choice Requires="wps">
                  <w:drawing>
                    <wp:anchor distT="0" distB="0" distL="114300" distR="114300" simplePos="0" relativeHeight="251705344" behindDoc="0" locked="0" layoutInCell="1" allowOverlap="1" wp14:anchorId="29BDAD0B" wp14:editId="6CA45B4E">
                      <wp:simplePos x="0" y="0"/>
                      <wp:positionH relativeFrom="column">
                        <wp:posOffset>-29210</wp:posOffset>
                      </wp:positionH>
                      <wp:positionV relativeFrom="paragraph">
                        <wp:posOffset>-1877695</wp:posOffset>
                      </wp:positionV>
                      <wp:extent cx="876300" cy="3956050"/>
                      <wp:effectExtent l="0" t="0" r="19050" b="25400"/>
                      <wp:wrapNone/>
                      <wp:docPr id="1123" name="圆角矩形 1123">
                        <a:extLst xmlns:a="http://schemas.openxmlformats.org/drawingml/2006/main">
                          <a:ext uri="{FF2B5EF4-FFF2-40B4-BE49-F238E27FC236}">
                            <a16:creationId xmlns:a16="http://schemas.microsoft.com/office/drawing/2014/main" id="{00000000-0008-0000-0A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95605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69FC1AD3" id="圆角矩形 1123" o:spid="_x0000_s1026" style="position:absolute;margin-left:-2.3pt;margin-top:-147.85pt;width:69pt;height:31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" filled="f" strokecolor="#0070c0" strokeweight="1pt"/>
                  </w:pict>
                </mc:Fallback>
              </mc:AlternateContent>
            </w:r>
            <w:r w:rsidRPr="00B6468D">
              <w:rPr>
                <w:rFonts w:eastAsia="Times New Roman" w:cs="Calibri"/>
                <w:color w:val="002060"/>
                <w:sz w:val="20"/>
              </w:rPr>
              <w:t>278</w:t>
            </w:r>
          </w:p>
        </w:tc>
      </w:tr>
      <w:tr w:rsidR="005C437E" w:rsidRPr="00B6468D" w14:paraId="254DB60D" w14:textId="77777777" w:rsidTr="002F7131">
        <w:trPr>
          <w:trHeight w:val="240"/>
        </w:trPr>
        <w:tc>
          <w:tcPr>
            <w:tcW w:w="3211" w:type="dxa"/>
            <w:tcBorders>
              <w:top w:val="nil"/>
              <w:left w:val="nil"/>
              <w:bottom w:val="nil"/>
              <w:right w:val="nil"/>
            </w:tcBorders>
            <w:shd w:val="clear" w:color="auto" w:fill="auto"/>
            <w:noWrap/>
            <w:vAlign w:val="bottom"/>
            <w:hideMark/>
          </w:tcPr>
          <w:p w14:paraId="5016B414"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17" w:type="dxa"/>
            <w:tcBorders>
              <w:top w:val="nil"/>
              <w:left w:val="nil"/>
              <w:bottom w:val="nil"/>
              <w:right w:val="nil"/>
            </w:tcBorders>
            <w:shd w:val="clear" w:color="auto" w:fill="auto"/>
            <w:noWrap/>
            <w:vAlign w:val="bottom"/>
            <w:hideMark/>
          </w:tcPr>
          <w:p w14:paraId="1207426D"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3B8C1D4D"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094CD450"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17" w:type="dxa"/>
            <w:tcBorders>
              <w:top w:val="nil"/>
              <w:left w:val="nil"/>
              <w:bottom w:val="nil"/>
              <w:right w:val="nil"/>
            </w:tcBorders>
            <w:shd w:val="clear" w:color="auto" w:fill="auto"/>
            <w:noWrap/>
            <w:vAlign w:val="bottom"/>
            <w:hideMark/>
          </w:tcPr>
          <w:p w14:paraId="6379C386"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514EC9F0"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56A5E95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35F63ADA"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17" w:type="dxa"/>
            <w:tcBorders>
              <w:top w:val="nil"/>
              <w:left w:val="nil"/>
              <w:bottom w:val="nil"/>
              <w:right w:val="nil"/>
            </w:tcBorders>
            <w:shd w:val="clear" w:color="auto" w:fill="auto"/>
            <w:noWrap/>
            <w:vAlign w:val="bottom"/>
            <w:hideMark/>
          </w:tcPr>
          <w:p w14:paraId="423C7B29"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6468D" w14:paraId="76ED6FFE" w14:textId="77777777" w:rsidTr="002F7131">
        <w:trPr>
          <w:trHeight w:val="252"/>
        </w:trPr>
        <w:tc>
          <w:tcPr>
            <w:tcW w:w="3211" w:type="dxa"/>
            <w:tcBorders>
              <w:top w:val="nil"/>
              <w:left w:val="nil"/>
              <w:bottom w:val="nil"/>
              <w:right w:val="nil"/>
            </w:tcBorders>
            <w:shd w:val="clear" w:color="auto" w:fill="auto"/>
            <w:noWrap/>
            <w:vAlign w:val="bottom"/>
            <w:hideMark/>
          </w:tcPr>
          <w:p w14:paraId="314DE89D"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B6468D">
              <w:rPr>
                <w:rFonts w:cstheme="minorHAnsi"/>
                <w:sz w:val="20"/>
              </w:rPr>
              <w:t xml:space="preserve">6 - </w:t>
            </w:r>
            <w:r w:rsidRPr="00B6468D">
              <w:rPr>
                <w:rFonts w:cstheme="minorHAnsi"/>
                <w:sz w:val="20"/>
              </w:rPr>
              <w:t>材料和办公用品</w:t>
            </w:r>
          </w:p>
        </w:tc>
        <w:tc>
          <w:tcPr>
            <w:tcW w:w="1417" w:type="dxa"/>
            <w:tcBorders>
              <w:top w:val="nil"/>
              <w:left w:val="nil"/>
              <w:bottom w:val="nil"/>
              <w:right w:val="nil"/>
            </w:tcBorders>
            <w:shd w:val="clear" w:color="auto" w:fill="auto"/>
            <w:noWrap/>
            <w:vAlign w:val="bottom"/>
            <w:hideMark/>
          </w:tcPr>
          <w:p w14:paraId="14E1AB5A"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p>
        </w:tc>
        <w:tc>
          <w:tcPr>
            <w:tcW w:w="1292" w:type="dxa"/>
            <w:tcBorders>
              <w:top w:val="nil"/>
              <w:left w:val="nil"/>
              <w:bottom w:val="nil"/>
              <w:right w:val="nil"/>
            </w:tcBorders>
            <w:shd w:val="clear" w:color="auto" w:fill="auto"/>
            <w:noWrap/>
            <w:vAlign w:val="bottom"/>
            <w:hideMark/>
          </w:tcPr>
          <w:p w14:paraId="307746C8"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292" w:type="dxa"/>
            <w:tcBorders>
              <w:top w:val="nil"/>
              <w:left w:val="nil"/>
              <w:bottom w:val="nil"/>
              <w:right w:val="nil"/>
            </w:tcBorders>
            <w:shd w:val="clear" w:color="auto" w:fill="auto"/>
            <w:noWrap/>
            <w:vAlign w:val="bottom"/>
            <w:hideMark/>
          </w:tcPr>
          <w:p w14:paraId="6AE32B23"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22</w:t>
            </w:r>
          </w:p>
        </w:tc>
        <w:tc>
          <w:tcPr>
            <w:tcW w:w="1517" w:type="dxa"/>
            <w:tcBorders>
              <w:top w:val="nil"/>
              <w:left w:val="nil"/>
              <w:bottom w:val="nil"/>
              <w:right w:val="nil"/>
            </w:tcBorders>
            <w:shd w:val="clear" w:color="auto" w:fill="auto"/>
            <w:noWrap/>
            <w:vAlign w:val="bottom"/>
            <w:hideMark/>
          </w:tcPr>
          <w:p w14:paraId="27FADEA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66</w:t>
            </w:r>
          </w:p>
        </w:tc>
        <w:tc>
          <w:tcPr>
            <w:tcW w:w="1292" w:type="dxa"/>
            <w:tcBorders>
              <w:top w:val="nil"/>
              <w:left w:val="nil"/>
              <w:bottom w:val="nil"/>
              <w:right w:val="nil"/>
            </w:tcBorders>
            <w:shd w:val="clear" w:color="auto" w:fill="auto"/>
            <w:noWrap/>
            <w:vAlign w:val="bottom"/>
            <w:hideMark/>
          </w:tcPr>
          <w:p w14:paraId="5E3D10D3"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292" w:type="dxa"/>
            <w:tcBorders>
              <w:top w:val="nil"/>
              <w:left w:val="nil"/>
              <w:bottom w:val="nil"/>
              <w:right w:val="nil"/>
            </w:tcBorders>
            <w:shd w:val="clear" w:color="auto" w:fill="auto"/>
            <w:noWrap/>
            <w:vAlign w:val="bottom"/>
            <w:hideMark/>
          </w:tcPr>
          <w:p w14:paraId="67BB4C29"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88</w:t>
            </w:r>
          </w:p>
        </w:tc>
        <w:tc>
          <w:tcPr>
            <w:tcW w:w="1292" w:type="dxa"/>
            <w:tcBorders>
              <w:top w:val="nil"/>
              <w:left w:val="nil"/>
              <w:bottom w:val="nil"/>
              <w:right w:val="nil"/>
            </w:tcBorders>
            <w:shd w:val="clear" w:color="auto" w:fill="auto"/>
            <w:noWrap/>
            <w:vAlign w:val="bottom"/>
            <w:hideMark/>
          </w:tcPr>
          <w:p w14:paraId="1765B51C"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417" w:type="dxa"/>
            <w:tcBorders>
              <w:top w:val="nil"/>
              <w:left w:val="nil"/>
              <w:bottom w:val="nil"/>
              <w:right w:val="nil"/>
            </w:tcBorders>
            <w:shd w:val="clear" w:color="auto" w:fill="auto"/>
            <w:noWrap/>
            <w:vAlign w:val="bottom"/>
            <w:hideMark/>
          </w:tcPr>
          <w:p w14:paraId="33E1C272"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6468D">
              <w:rPr>
                <w:rFonts w:eastAsia="Times New Roman" w:cs="Calibri"/>
                <w:color w:val="002060"/>
                <w:sz w:val="20"/>
              </w:rPr>
              <w:t>176</w:t>
            </w:r>
          </w:p>
        </w:tc>
      </w:tr>
      <w:tr w:rsidR="005C437E" w:rsidRPr="00B6468D" w14:paraId="191E47D5" w14:textId="77777777" w:rsidTr="002F7131">
        <w:trPr>
          <w:trHeight w:val="240"/>
        </w:trPr>
        <w:tc>
          <w:tcPr>
            <w:tcW w:w="3211" w:type="dxa"/>
            <w:tcBorders>
              <w:top w:val="nil"/>
              <w:left w:val="nil"/>
              <w:bottom w:val="nil"/>
              <w:right w:val="nil"/>
            </w:tcBorders>
            <w:shd w:val="clear" w:color="auto" w:fill="auto"/>
            <w:noWrap/>
            <w:vAlign w:val="bottom"/>
            <w:hideMark/>
          </w:tcPr>
          <w:p w14:paraId="0DEE68A6"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17" w:type="dxa"/>
            <w:tcBorders>
              <w:top w:val="nil"/>
              <w:left w:val="nil"/>
              <w:bottom w:val="nil"/>
              <w:right w:val="nil"/>
            </w:tcBorders>
            <w:shd w:val="clear" w:color="auto" w:fill="auto"/>
            <w:noWrap/>
            <w:vAlign w:val="bottom"/>
            <w:hideMark/>
          </w:tcPr>
          <w:p w14:paraId="0E316812"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1872441F"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72AC1AF9"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17" w:type="dxa"/>
            <w:tcBorders>
              <w:top w:val="nil"/>
              <w:left w:val="nil"/>
              <w:bottom w:val="nil"/>
              <w:right w:val="nil"/>
            </w:tcBorders>
            <w:shd w:val="clear" w:color="auto" w:fill="auto"/>
            <w:noWrap/>
            <w:vAlign w:val="bottom"/>
            <w:hideMark/>
          </w:tcPr>
          <w:p w14:paraId="4F93A7C2"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6E97AD7E"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4BE7A9D1"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116A9843"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17" w:type="dxa"/>
            <w:tcBorders>
              <w:top w:val="nil"/>
              <w:left w:val="nil"/>
              <w:bottom w:val="nil"/>
              <w:right w:val="nil"/>
            </w:tcBorders>
            <w:shd w:val="clear" w:color="auto" w:fill="auto"/>
            <w:noWrap/>
            <w:vAlign w:val="bottom"/>
            <w:hideMark/>
          </w:tcPr>
          <w:p w14:paraId="415FF3F1"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6468D" w14:paraId="31E99CA1" w14:textId="77777777" w:rsidTr="002F7131">
        <w:tc>
          <w:tcPr>
            <w:tcW w:w="3211" w:type="dxa"/>
            <w:tcBorders>
              <w:top w:val="nil"/>
              <w:left w:val="nil"/>
              <w:bottom w:val="nil"/>
              <w:right w:val="nil"/>
            </w:tcBorders>
            <w:shd w:val="clear" w:color="auto" w:fill="auto"/>
            <w:vAlign w:val="bottom"/>
            <w:hideMark/>
          </w:tcPr>
          <w:p w14:paraId="39B683B5"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B6468D">
              <w:rPr>
                <w:rFonts w:cstheme="minorHAnsi"/>
                <w:sz w:val="20"/>
                <w:lang w:eastAsia="zh-CN"/>
              </w:rPr>
              <w:t xml:space="preserve">7 - </w:t>
            </w:r>
            <w:r w:rsidRPr="00B6468D">
              <w:rPr>
                <w:rFonts w:cstheme="minorHAnsi"/>
                <w:sz w:val="20"/>
                <w:lang w:eastAsia="zh-CN"/>
              </w:rPr>
              <w:t>房屋设施、家具和设备的采购</w:t>
            </w:r>
          </w:p>
        </w:tc>
        <w:tc>
          <w:tcPr>
            <w:tcW w:w="1417" w:type="dxa"/>
            <w:tcBorders>
              <w:top w:val="nil"/>
              <w:left w:val="nil"/>
              <w:bottom w:val="nil"/>
              <w:right w:val="nil"/>
            </w:tcBorders>
            <w:shd w:val="clear" w:color="auto" w:fill="auto"/>
            <w:noWrap/>
            <w:vAlign w:val="bottom"/>
            <w:hideMark/>
          </w:tcPr>
          <w:p w14:paraId="29E77B9D"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lang w:eastAsia="zh-CN"/>
              </w:rPr>
            </w:pPr>
          </w:p>
        </w:tc>
        <w:tc>
          <w:tcPr>
            <w:tcW w:w="1292" w:type="dxa"/>
            <w:tcBorders>
              <w:top w:val="nil"/>
              <w:left w:val="nil"/>
              <w:bottom w:val="nil"/>
              <w:right w:val="nil"/>
            </w:tcBorders>
            <w:shd w:val="clear" w:color="auto" w:fill="auto"/>
            <w:noWrap/>
            <w:vAlign w:val="bottom"/>
            <w:hideMark/>
          </w:tcPr>
          <w:p w14:paraId="307E0D1A"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292" w:type="dxa"/>
            <w:tcBorders>
              <w:top w:val="nil"/>
              <w:left w:val="nil"/>
              <w:bottom w:val="nil"/>
              <w:right w:val="nil"/>
            </w:tcBorders>
            <w:shd w:val="clear" w:color="auto" w:fill="auto"/>
            <w:noWrap/>
            <w:vAlign w:val="bottom"/>
            <w:hideMark/>
          </w:tcPr>
          <w:p w14:paraId="6EC97AD4"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517" w:type="dxa"/>
            <w:tcBorders>
              <w:top w:val="nil"/>
              <w:left w:val="nil"/>
              <w:bottom w:val="nil"/>
              <w:right w:val="nil"/>
            </w:tcBorders>
            <w:shd w:val="clear" w:color="auto" w:fill="auto"/>
            <w:noWrap/>
            <w:vAlign w:val="bottom"/>
            <w:hideMark/>
          </w:tcPr>
          <w:p w14:paraId="427A15C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292" w:type="dxa"/>
            <w:tcBorders>
              <w:top w:val="nil"/>
              <w:left w:val="nil"/>
              <w:bottom w:val="nil"/>
              <w:right w:val="nil"/>
            </w:tcBorders>
            <w:shd w:val="clear" w:color="auto" w:fill="auto"/>
            <w:noWrap/>
            <w:vAlign w:val="bottom"/>
            <w:hideMark/>
          </w:tcPr>
          <w:p w14:paraId="60A2F379"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292" w:type="dxa"/>
            <w:tcBorders>
              <w:top w:val="nil"/>
              <w:left w:val="nil"/>
              <w:bottom w:val="nil"/>
              <w:right w:val="nil"/>
            </w:tcBorders>
            <w:shd w:val="clear" w:color="auto" w:fill="auto"/>
            <w:noWrap/>
            <w:vAlign w:val="bottom"/>
            <w:hideMark/>
          </w:tcPr>
          <w:p w14:paraId="666343E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115</w:t>
            </w:r>
          </w:p>
        </w:tc>
        <w:tc>
          <w:tcPr>
            <w:tcW w:w="1292" w:type="dxa"/>
            <w:tcBorders>
              <w:top w:val="nil"/>
              <w:left w:val="nil"/>
              <w:bottom w:val="nil"/>
              <w:right w:val="nil"/>
            </w:tcBorders>
            <w:shd w:val="clear" w:color="auto" w:fill="auto"/>
            <w:noWrap/>
            <w:vAlign w:val="bottom"/>
            <w:hideMark/>
          </w:tcPr>
          <w:p w14:paraId="09317BD8"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417" w:type="dxa"/>
            <w:tcBorders>
              <w:top w:val="nil"/>
              <w:left w:val="nil"/>
              <w:bottom w:val="nil"/>
              <w:right w:val="nil"/>
            </w:tcBorders>
            <w:shd w:val="clear" w:color="auto" w:fill="auto"/>
            <w:noWrap/>
            <w:vAlign w:val="bottom"/>
            <w:hideMark/>
          </w:tcPr>
          <w:p w14:paraId="4A68CF68"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6468D">
              <w:rPr>
                <w:rFonts w:eastAsia="Times New Roman" w:cs="Calibri"/>
                <w:color w:val="002060"/>
                <w:sz w:val="20"/>
              </w:rPr>
              <w:t>115</w:t>
            </w:r>
          </w:p>
        </w:tc>
      </w:tr>
      <w:tr w:rsidR="005C437E" w:rsidRPr="00B6468D" w14:paraId="157C6AC4" w14:textId="77777777" w:rsidTr="002F7131">
        <w:trPr>
          <w:trHeight w:val="240"/>
        </w:trPr>
        <w:tc>
          <w:tcPr>
            <w:tcW w:w="3211" w:type="dxa"/>
            <w:tcBorders>
              <w:top w:val="nil"/>
              <w:left w:val="nil"/>
              <w:bottom w:val="nil"/>
              <w:right w:val="nil"/>
            </w:tcBorders>
            <w:shd w:val="clear" w:color="auto" w:fill="auto"/>
            <w:noWrap/>
            <w:vAlign w:val="bottom"/>
            <w:hideMark/>
          </w:tcPr>
          <w:p w14:paraId="6A2A89C7"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17" w:type="dxa"/>
            <w:tcBorders>
              <w:top w:val="nil"/>
              <w:left w:val="nil"/>
              <w:bottom w:val="nil"/>
              <w:right w:val="nil"/>
            </w:tcBorders>
            <w:shd w:val="clear" w:color="auto" w:fill="auto"/>
            <w:noWrap/>
            <w:vAlign w:val="bottom"/>
            <w:hideMark/>
          </w:tcPr>
          <w:p w14:paraId="7CF48775"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4BFD907C"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599CBDFC"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17" w:type="dxa"/>
            <w:tcBorders>
              <w:top w:val="nil"/>
              <w:left w:val="nil"/>
              <w:bottom w:val="nil"/>
              <w:right w:val="nil"/>
            </w:tcBorders>
            <w:shd w:val="clear" w:color="auto" w:fill="auto"/>
            <w:noWrap/>
            <w:vAlign w:val="bottom"/>
            <w:hideMark/>
          </w:tcPr>
          <w:p w14:paraId="6D315DB0"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19E40D6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5CE38BAD"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20724278"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17" w:type="dxa"/>
            <w:tcBorders>
              <w:top w:val="nil"/>
              <w:left w:val="nil"/>
              <w:bottom w:val="nil"/>
              <w:right w:val="nil"/>
            </w:tcBorders>
            <w:shd w:val="clear" w:color="auto" w:fill="auto"/>
            <w:noWrap/>
            <w:vAlign w:val="bottom"/>
            <w:hideMark/>
          </w:tcPr>
          <w:p w14:paraId="5A6CA82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6468D" w14:paraId="3DEC8084" w14:textId="77777777" w:rsidTr="002F7131">
        <w:tc>
          <w:tcPr>
            <w:tcW w:w="3211" w:type="dxa"/>
            <w:tcBorders>
              <w:top w:val="nil"/>
              <w:left w:val="nil"/>
              <w:bottom w:val="nil"/>
              <w:right w:val="nil"/>
            </w:tcBorders>
            <w:shd w:val="clear" w:color="auto" w:fill="auto"/>
            <w:vAlign w:val="bottom"/>
            <w:hideMark/>
          </w:tcPr>
          <w:p w14:paraId="61189F51"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B6468D">
              <w:rPr>
                <w:rFonts w:cstheme="minorHAnsi"/>
                <w:sz w:val="20"/>
              </w:rPr>
              <w:t xml:space="preserve">8 - </w:t>
            </w:r>
            <w:r w:rsidRPr="00B6468D">
              <w:rPr>
                <w:rFonts w:cstheme="minorHAnsi"/>
                <w:sz w:val="20"/>
              </w:rPr>
              <w:t>公共和内部服务设施</w:t>
            </w:r>
          </w:p>
        </w:tc>
        <w:tc>
          <w:tcPr>
            <w:tcW w:w="1417" w:type="dxa"/>
            <w:tcBorders>
              <w:top w:val="nil"/>
              <w:left w:val="nil"/>
              <w:bottom w:val="nil"/>
              <w:right w:val="nil"/>
            </w:tcBorders>
            <w:shd w:val="clear" w:color="auto" w:fill="auto"/>
            <w:noWrap/>
            <w:vAlign w:val="bottom"/>
            <w:hideMark/>
          </w:tcPr>
          <w:p w14:paraId="08A4D686"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p>
        </w:tc>
        <w:tc>
          <w:tcPr>
            <w:tcW w:w="1292" w:type="dxa"/>
            <w:tcBorders>
              <w:top w:val="nil"/>
              <w:left w:val="nil"/>
              <w:bottom w:val="nil"/>
              <w:right w:val="nil"/>
            </w:tcBorders>
            <w:shd w:val="clear" w:color="auto" w:fill="auto"/>
            <w:noWrap/>
            <w:vAlign w:val="bottom"/>
            <w:hideMark/>
          </w:tcPr>
          <w:p w14:paraId="36C67BF7"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292" w:type="dxa"/>
            <w:tcBorders>
              <w:top w:val="nil"/>
              <w:left w:val="nil"/>
              <w:bottom w:val="nil"/>
              <w:right w:val="nil"/>
            </w:tcBorders>
            <w:shd w:val="clear" w:color="auto" w:fill="auto"/>
            <w:noWrap/>
            <w:vAlign w:val="bottom"/>
            <w:hideMark/>
          </w:tcPr>
          <w:p w14:paraId="778E8FCA"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517" w:type="dxa"/>
            <w:tcBorders>
              <w:top w:val="nil"/>
              <w:left w:val="nil"/>
              <w:bottom w:val="nil"/>
              <w:right w:val="nil"/>
            </w:tcBorders>
            <w:shd w:val="clear" w:color="auto" w:fill="auto"/>
            <w:noWrap/>
            <w:vAlign w:val="bottom"/>
            <w:hideMark/>
          </w:tcPr>
          <w:p w14:paraId="332F2927"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10</w:t>
            </w:r>
          </w:p>
        </w:tc>
        <w:tc>
          <w:tcPr>
            <w:tcW w:w="1292" w:type="dxa"/>
            <w:tcBorders>
              <w:top w:val="nil"/>
              <w:left w:val="nil"/>
              <w:bottom w:val="nil"/>
              <w:right w:val="nil"/>
            </w:tcBorders>
            <w:shd w:val="clear" w:color="auto" w:fill="auto"/>
            <w:noWrap/>
            <w:vAlign w:val="bottom"/>
            <w:hideMark/>
          </w:tcPr>
          <w:p w14:paraId="334A7EE2"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292" w:type="dxa"/>
            <w:tcBorders>
              <w:top w:val="nil"/>
              <w:left w:val="nil"/>
              <w:bottom w:val="nil"/>
              <w:right w:val="nil"/>
            </w:tcBorders>
            <w:shd w:val="clear" w:color="auto" w:fill="auto"/>
            <w:noWrap/>
            <w:vAlign w:val="bottom"/>
            <w:hideMark/>
          </w:tcPr>
          <w:p w14:paraId="4BF2630A"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126</w:t>
            </w:r>
          </w:p>
        </w:tc>
        <w:tc>
          <w:tcPr>
            <w:tcW w:w="1292" w:type="dxa"/>
            <w:tcBorders>
              <w:top w:val="nil"/>
              <w:left w:val="nil"/>
              <w:bottom w:val="nil"/>
              <w:right w:val="nil"/>
            </w:tcBorders>
            <w:shd w:val="clear" w:color="auto" w:fill="auto"/>
            <w:noWrap/>
            <w:vAlign w:val="bottom"/>
            <w:hideMark/>
          </w:tcPr>
          <w:p w14:paraId="2CCE66A7"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417" w:type="dxa"/>
            <w:tcBorders>
              <w:top w:val="nil"/>
              <w:left w:val="nil"/>
              <w:bottom w:val="nil"/>
              <w:right w:val="nil"/>
            </w:tcBorders>
            <w:shd w:val="clear" w:color="auto" w:fill="auto"/>
            <w:noWrap/>
            <w:vAlign w:val="bottom"/>
            <w:hideMark/>
          </w:tcPr>
          <w:p w14:paraId="0544DD5A"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6468D">
              <w:rPr>
                <w:rFonts w:eastAsia="Times New Roman" w:cs="Calibri"/>
                <w:color w:val="002060"/>
                <w:sz w:val="20"/>
              </w:rPr>
              <w:t>136</w:t>
            </w:r>
          </w:p>
        </w:tc>
      </w:tr>
      <w:tr w:rsidR="005C437E" w:rsidRPr="00B6468D" w14:paraId="581A8148" w14:textId="77777777" w:rsidTr="002F7131">
        <w:trPr>
          <w:trHeight w:val="240"/>
        </w:trPr>
        <w:tc>
          <w:tcPr>
            <w:tcW w:w="3211" w:type="dxa"/>
            <w:tcBorders>
              <w:top w:val="nil"/>
              <w:left w:val="nil"/>
              <w:bottom w:val="nil"/>
              <w:right w:val="nil"/>
            </w:tcBorders>
            <w:shd w:val="clear" w:color="auto" w:fill="auto"/>
            <w:noWrap/>
            <w:vAlign w:val="bottom"/>
            <w:hideMark/>
          </w:tcPr>
          <w:p w14:paraId="350B11FC"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17" w:type="dxa"/>
            <w:tcBorders>
              <w:top w:val="nil"/>
              <w:left w:val="nil"/>
              <w:bottom w:val="nil"/>
              <w:right w:val="nil"/>
            </w:tcBorders>
            <w:shd w:val="clear" w:color="auto" w:fill="auto"/>
            <w:noWrap/>
            <w:vAlign w:val="bottom"/>
            <w:hideMark/>
          </w:tcPr>
          <w:p w14:paraId="04BDB5B6"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7CF0AD54"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383661C8"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17" w:type="dxa"/>
            <w:tcBorders>
              <w:top w:val="nil"/>
              <w:left w:val="nil"/>
              <w:bottom w:val="nil"/>
              <w:right w:val="nil"/>
            </w:tcBorders>
            <w:shd w:val="clear" w:color="auto" w:fill="auto"/>
            <w:noWrap/>
            <w:vAlign w:val="bottom"/>
            <w:hideMark/>
          </w:tcPr>
          <w:p w14:paraId="19520FA6"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7C2F0C8C"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34014E5F"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31286190"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17" w:type="dxa"/>
            <w:tcBorders>
              <w:top w:val="nil"/>
              <w:left w:val="nil"/>
              <w:bottom w:val="nil"/>
              <w:right w:val="nil"/>
            </w:tcBorders>
            <w:shd w:val="clear" w:color="auto" w:fill="auto"/>
            <w:noWrap/>
            <w:vAlign w:val="bottom"/>
            <w:hideMark/>
          </w:tcPr>
          <w:p w14:paraId="75339CFD"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6468D" w14:paraId="25712887" w14:textId="77777777" w:rsidTr="002F7131">
        <w:tc>
          <w:tcPr>
            <w:tcW w:w="3211" w:type="dxa"/>
            <w:tcBorders>
              <w:top w:val="nil"/>
              <w:left w:val="nil"/>
              <w:bottom w:val="nil"/>
              <w:right w:val="nil"/>
            </w:tcBorders>
            <w:shd w:val="clear" w:color="auto" w:fill="auto"/>
            <w:vAlign w:val="bottom"/>
            <w:hideMark/>
          </w:tcPr>
          <w:p w14:paraId="0BDE8C3D"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B6468D">
              <w:rPr>
                <w:rFonts w:cstheme="minorHAnsi"/>
                <w:sz w:val="20"/>
                <w:lang w:eastAsia="zh-CN"/>
              </w:rPr>
              <w:t xml:space="preserve">9 - </w:t>
            </w:r>
            <w:r w:rsidRPr="00B6468D">
              <w:rPr>
                <w:rFonts w:cstheme="minorHAnsi"/>
                <w:sz w:val="20"/>
                <w:lang w:eastAsia="zh-CN"/>
              </w:rPr>
              <w:t>审计和机构间的费用及其他</w:t>
            </w:r>
          </w:p>
        </w:tc>
        <w:tc>
          <w:tcPr>
            <w:tcW w:w="1417" w:type="dxa"/>
            <w:tcBorders>
              <w:top w:val="nil"/>
              <w:left w:val="nil"/>
              <w:bottom w:val="nil"/>
              <w:right w:val="nil"/>
            </w:tcBorders>
            <w:shd w:val="clear" w:color="auto" w:fill="auto"/>
            <w:noWrap/>
            <w:vAlign w:val="bottom"/>
            <w:hideMark/>
          </w:tcPr>
          <w:p w14:paraId="73B6B4E8"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10</w:t>
            </w:r>
          </w:p>
        </w:tc>
        <w:tc>
          <w:tcPr>
            <w:tcW w:w="1292" w:type="dxa"/>
            <w:tcBorders>
              <w:top w:val="nil"/>
              <w:left w:val="nil"/>
              <w:bottom w:val="nil"/>
              <w:right w:val="nil"/>
            </w:tcBorders>
            <w:shd w:val="clear" w:color="auto" w:fill="auto"/>
            <w:noWrap/>
            <w:vAlign w:val="bottom"/>
            <w:hideMark/>
          </w:tcPr>
          <w:p w14:paraId="434723B0"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6</w:t>
            </w:r>
          </w:p>
        </w:tc>
        <w:tc>
          <w:tcPr>
            <w:tcW w:w="1292" w:type="dxa"/>
            <w:tcBorders>
              <w:top w:val="nil"/>
              <w:left w:val="nil"/>
              <w:bottom w:val="nil"/>
              <w:right w:val="nil"/>
            </w:tcBorders>
            <w:shd w:val="clear" w:color="auto" w:fill="auto"/>
            <w:noWrap/>
            <w:vAlign w:val="bottom"/>
            <w:hideMark/>
          </w:tcPr>
          <w:p w14:paraId="1B30F713"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517" w:type="dxa"/>
            <w:tcBorders>
              <w:top w:val="nil"/>
              <w:left w:val="nil"/>
              <w:bottom w:val="nil"/>
              <w:right w:val="nil"/>
            </w:tcBorders>
            <w:shd w:val="clear" w:color="auto" w:fill="auto"/>
            <w:noWrap/>
            <w:vAlign w:val="bottom"/>
            <w:hideMark/>
          </w:tcPr>
          <w:p w14:paraId="4083491A"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22</w:t>
            </w:r>
          </w:p>
        </w:tc>
        <w:tc>
          <w:tcPr>
            <w:tcW w:w="1292" w:type="dxa"/>
            <w:tcBorders>
              <w:top w:val="nil"/>
              <w:left w:val="nil"/>
              <w:bottom w:val="nil"/>
              <w:right w:val="nil"/>
            </w:tcBorders>
            <w:shd w:val="clear" w:color="auto" w:fill="auto"/>
            <w:noWrap/>
            <w:vAlign w:val="bottom"/>
            <w:hideMark/>
          </w:tcPr>
          <w:p w14:paraId="079842F0"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292" w:type="dxa"/>
            <w:tcBorders>
              <w:top w:val="nil"/>
              <w:left w:val="nil"/>
              <w:bottom w:val="nil"/>
              <w:right w:val="nil"/>
            </w:tcBorders>
            <w:shd w:val="clear" w:color="auto" w:fill="auto"/>
            <w:noWrap/>
            <w:vAlign w:val="bottom"/>
            <w:hideMark/>
          </w:tcPr>
          <w:p w14:paraId="774CB884"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138</w:t>
            </w:r>
          </w:p>
        </w:tc>
        <w:tc>
          <w:tcPr>
            <w:tcW w:w="1292" w:type="dxa"/>
            <w:tcBorders>
              <w:top w:val="nil"/>
              <w:left w:val="nil"/>
              <w:bottom w:val="nil"/>
              <w:right w:val="nil"/>
            </w:tcBorders>
            <w:shd w:val="clear" w:color="auto" w:fill="auto"/>
            <w:noWrap/>
            <w:vAlign w:val="bottom"/>
            <w:hideMark/>
          </w:tcPr>
          <w:p w14:paraId="554F9D28"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417" w:type="dxa"/>
            <w:tcBorders>
              <w:top w:val="nil"/>
              <w:left w:val="nil"/>
              <w:bottom w:val="nil"/>
              <w:right w:val="nil"/>
            </w:tcBorders>
            <w:shd w:val="clear" w:color="auto" w:fill="auto"/>
            <w:noWrap/>
            <w:vAlign w:val="bottom"/>
            <w:hideMark/>
          </w:tcPr>
          <w:p w14:paraId="6A4CF573"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6468D">
              <w:rPr>
                <w:rFonts w:eastAsia="Times New Roman" w:cs="Calibri"/>
                <w:color w:val="002060"/>
                <w:sz w:val="20"/>
              </w:rPr>
              <w:t>176</w:t>
            </w:r>
          </w:p>
        </w:tc>
      </w:tr>
      <w:tr w:rsidR="005C437E" w:rsidRPr="00B6468D" w14:paraId="597F4780" w14:textId="77777777" w:rsidTr="002F7131">
        <w:trPr>
          <w:trHeight w:val="252"/>
        </w:trPr>
        <w:tc>
          <w:tcPr>
            <w:tcW w:w="3211" w:type="dxa"/>
            <w:tcBorders>
              <w:top w:val="nil"/>
              <w:left w:val="nil"/>
              <w:bottom w:val="single" w:sz="4" w:space="0" w:color="auto"/>
              <w:right w:val="nil"/>
            </w:tcBorders>
            <w:shd w:val="clear" w:color="auto" w:fill="auto"/>
            <w:noWrap/>
            <w:vAlign w:val="center"/>
            <w:hideMark/>
          </w:tcPr>
          <w:p w14:paraId="012C7E2A"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B6468D">
              <w:rPr>
                <w:rFonts w:cstheme="minorHAnsi"/>
                <w:b/>
                <w:bCs/>
                <w:sz w:val="20"/>
              </w:rPr>
              <w:t> </w:t>
            </w:r>
          </w:p>
        </w:tc>
        <w:tc>
          <w:tcPr>
            <w:tcW w:w="1417" w:type="dxa"/>
            <w:tcBorders>
              <w:top w:val="nil"/>
              <w:left w:val="nil"/>
              <w:bottom w:val="single" w:sz="4" w:space="0" w:color="auto"/>
              <w:right w:val="nil"/>
            </w:tcBorders>
            <w:shd w:val="clear" w:color="auto" w:fill="auto"/>
            <w:noWrap/>
            <w:vAlign w:val="center"/>
            <w:hideMark/>
          </w:tcPr>
          <w:p w14:paraId="22F0D0CD"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6468D">
              <w:rPr>
                <w:rFonts w:eastAsia="Times New Roman" w:cs="Calibri"/>
                <w:b/>
                <w:bCs/>
                <w:sz w:val="20"/>
              </w:rPr>
              <w:t> </w:t>
            </w:r>
          </w:p>
        </w:tc>
        <w:tc>
          <w:tcPr>
            <w:tcW w:w="1292" w:type="dxa"/>
            <w:tcBorders>
              <w:top w:val="nil"/>
              <w:left w:val="nil"/>
              <w:bottom w:val="single" w:sz="4" w:space="0" w:color="auto"/>
              <w:right w:val="nil"/>
            </w:tcBorders>
            <w:shd w:val="clear" w:color="auto" w:fill="auto"/>
            <w:noWrap/>
            <w:vAlign w:val="center"/>
            <w:hideMark/>
          </w:tcPr>
          <w:p w14:paraId="0B86FD27"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6468D">
              <w:rPr>
                <w:rFonts w:eastAsia="Times New Roman" w:cs="Calibri"/>
                <w:b/>
                <w:bCs/>
                <w:sz w:val="20"/>
              </w:rPr>
              <w:t> </w:t>
            </w:r>
          </w:p>
        </w:tc>
        <w:tc>
          <w:tcPr>
            <w:tcW w:w="1292" w:type="dxa"/>
            <w:tcBorders>
              <w:top w:val="nil"/>
              <w:left w:val="nil"/>
              <w:bottom w:val="single" w:sz="4" w:space="0" w:color="auto"/>
              <w:right w:val="nil"/>
            </w:tcBorders>
            <w:shd w:val="clear" w:color="auto" w:fill="auto"/>
            <w:noWrap/>
            <w:vAlign w:val="center"/>
            <w:hideMark/>
          </w:tcPr>
          <w:p w14:paraId="54AA7461"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6468D">
              <w:rPr>
                <w:rFonts w:eastAsia="Times New Roman" w:cs="Calibri"/>
                <w:b/>
                <w:bCs/>
                <w:sz w:val="20"/>
              </w:rPr>
              <w:t> </w:t>
            </w:r>
          </w:p>
        </w:tc>
        <w:tc>
          <w:tcPr>
            <w:tcW w:w="1517" w:type="dxa"/>
            <w:tcBorders>
              <w:top w:val="nil"/>
              <w:left w:val="nil"/>
              <w:bottom w:val="single" w:sz="4" w:space="0" w:color="auto"/>
              <w:right w:val="nil"/>
            </w:tcBorders>
            <w:shd w:val="clear" w:color="auto" w:fill="auto"/>
            <w:noWrap/>
            <w:vAlign w:val="center"/>
            <w:hideMark/>
          </w:tcPr>
          <w:p w14:paraId="2A3FA011"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6468D">
              <w:rPr>
                <w:rFonts w:eastAsia="Times New Roman" w:cs="Calibri"/>
                <w:b/>
                <w:bCs/>
                <w:sz w:val="20"/>
              </w:rPr>
              <w:t> </w:t>
            </w:r>
          </w:p>
        </w:tc>
        <w:tc>
          <w:tcPr>
            <w:tcW w:w="1292" w:type="dxa"/>
            <w:tcBorders>
              <w:top w:val="nil"/>
              <w:left w:val="nil"/>
              <w:bottom w:val="single" w:sz="4" w:space="0" w:color="auto"/>
              <w:right w:val="nil"/>
            </w:tcBorders>
            <w:shd w:val="clear" w:color="auto" w:fill="auto"/>
            <w:noWrap/>
            <w:vAlign w:val="center"/>
            <w:hideMark/>
          </w:tcPr>
          <w:p w14:paraId="65EC80D8"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6468D">
              <w:rPr>
                <w:rFonts w:eastAsia="Times New Roman" w:cs="Calibri"/>
                <w:b/>
                <w:bCs/>
                <w:sz w:val="20"/>
              </w:rPr>
              <w:t> </w:t>
            </w:r>
          </w:p>
        </w:tc>
        <w:tc>
          <w:tcPr>
            <w:tcW w:w="1292" w:type="dxa"/>
            <w:tcBorders>
              <w:top w:val="nil"/>
              <w:left w:val="nil"/>
              <w:bottom w:val="single" w:sz="4" w:space="0" w:color="auto"/>
              <w:right w:val="nil"/>
            </w:tcBorders>
            <w:shd w:val="clear" w:color="auto" w:fill="auto"/>
            <w:noWrap/>
            <w:vAlign w:val="center"/>
            <w:hideMark/>
          </w:tcPr>
          <w:p w14:paraId="3D17C20D"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6468D">
              <w:rPr>
                <w:rFonts w:eastAsia="Times New Roman" w:cs="Calibri"/>
                <w:b/>
                <w:bCs/>
                <w:sz w:val="20"/>
              </w:rPr>
              <w:t> </w:t>
            </w:r>
          </w:p>
        </w:tc>
        <w:tc>
          <w:tcPr>
            <w:tcW w:w="1292" w:type="dxa"/>
            <w:tcBorders>
              <w:top w:val="nil"/>
              <w:left w:val="nil"/>
              <w:bottom w:val="single" w:sz="4" w:space="0" w:color="auto"/>
              <w:right w:val="nil"/>
            </w:tcBorders>
            <w:shd w:val="clear" w:color="auto" w:fill="auto"/>
            <w:noWrap/>
            <w:vAlign w:val="center"/>
            <w:hideMark/>
          </w:tcPr>
          <w:p w14:paraId="537C2F8F"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6468D">
              <w:rPr>
                <w:rFonts w:eastAsia="Times New Roman" w:cs="Calibri"/>
                <w:b/>
                <w:bCs/>
                <w:sz w:val="20"/>
              </w:rPr>
              <w:t> </w:t>
            </w:r>
          </w:p>
        </w:tc>
        <w:tc>
          <w:tcPr>
            <w:tcW w:w="1417" w:type="dxa"/>
            <w:tcBorders>
              <w:top w:val="nil"/>
              <w:left w:val="nil"/>
              <w:bottom w:val="single" w:sz="4" w:space="0" w:color="auto"/>
              <w:right w:val="nil"/>
            </w:tcBorders>
            <w:shd w:val="clear" w:color="auto" w:fill="auto"/>
            <w:noWrap/>
            <w:vAlign w:val="center"/>
            <w:hideMark/>
          </w:tcPr>
          <w:p w14:paraId="5E395BB0"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B6468D">
              <w:rPr>
                <w:rFonts w:eastAsia="Times New Roman" w:cs="Calibri"/>
                <w:b/>
                <w:bCs/>
                <w:color w:val="002060"/>
                <w:sz w:val="20"/>
              </w:rPr>
              <w:t> </w:t>
            </w:r>
          </w:p>
        </w:tc>
      </w:tr>
      <w:tr w:rsidR="005C437E" w:rsidRPr="00B6468D" w14:paraId="5A8E8FC5" w14:textId="77777777" w:rsidTr="002F7131">
        <w:trPr>
          <w:trHeight w:val="169"/>
        </w:trPr>
        <w:tc>
          <w:tcPr>
            <w:tcW w:w="3211" w:type="dxa"/>
            <w:tcBorders>
              <w:top w:val="nil"/>
              <w:left w:val="nil"/>
              <w:bottom w:val="nil"/>
              <w:right w:val="nil"/>
            </w:tcBorders>
            <w:shd w:val="clear" w:color="auto" w:fill="auto"/>
            <w:noWrap/>
            <w:vAlign w:val="center"/>
            <w:hideMark/>
          </w:tcPr>
          <w:p w14:paraId="02E6EE2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b/>
                <w:bCs/>
                <w:color w:val="002060"/>
                <w:sz w:val="20"/>
              </w:rPr>
            </w:pPr>
          </w:p>
        </w:tc>
        <w:tc>
          <w:tcPr>
            <w:tcW w:w="1417" w:type="dxa"/>
            <w:tcBorders>
              <w:top w:val="nil"/>
              <w:left w:val="nil"/>
              <w:bottom w:val="nil"/>
              <w:right w:val="nil"/>
            </w:tcBorders>
            <w:shd w:val="clear" w:color="auto" w:fill="auto"/>
            <w:noWrap/>
            <w:vAlign w:val="center"/>
            <w:hideMark/>
          </w:tcPr>
          <w:p w14:paraId="704B93FA"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1E78CC0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1B3893E5"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17" w:type="dxa"/>
            <w:tcBorders>
              <w:top w:val="nil"/>
              <w:left w:val="nil"/>
              <w:bottom w:val="nil"/>
              <w:right w:val="nil"/>
            </w:tcBorders>
            <w:shd w:val="clear" w:color="auto" w:fill="auto"/>
            <w:noWrap/>
            <w:vAlign w:val="center"/>
            <w:hideMark/>
          </w:tcPr>
          <w:p w14:paraId="648E801F"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49D60D7D"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33D0414A"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5765754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17" w:type="dxa"/>
            <w:tcBorders>
              <w:top w:val="nil"/>
              <w:left w:val="nil"/>
              <w:bottom w:val="nil"/>
              <w:right w:val="nil"/>
            </w:tcBorders>
            <w:shd w:val="clear" w:color="auto" w:fill="auto"/>
            <w:noWrap/>
            <w:vAlign w:val="center"/>
            <w:hideMark/>
          </w:tcPr>
          <w:p w14:paraId="6A51AE09"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6468D" w14:paraId="6757A565" w14:textId="77777777" w:rsidTr="002F7131">
        <w:trPr>
          <w:trHeight w:val="252"/>
        </w:trPr>
        <w:tc>
          <w:tcPr>
            <w:tcW w:w="3211" w:type="dxa"/>
            <w:tcBorders>
              <w:top w:val="nil"/>
              <w:left w:val="nil"/>
              <w:bottom w:val="nil"/>
              <w:right w:val="nil"/>
            </w:tcBorders>
            <w:shd w:val="clear" w:color="auto" w:fill="auto"/>
            <w:noWrap/>
            <w:vAlign w:val="center"/>
            <w:hideMark/>
          </w:tcPr>
          <w:p w14:paraId="2A2E661D"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B6468D">
              <w:rPr>
                <w:rFonts w:cstheme="minorHAnsi"/>
                <w:b/>
                <w:bCs/>
                <w:sz w:val="20"/>
              </w:rPr>
              <w:t>合计</w:t>
            </w:r>
          </w:p>
        </w:tc>
        <w:tc>
          <w:tcPr>
            <w:tcW w:w="1417" w:type="dxa"/>
            <w:tcBorders>
              <w:top w:val="nil"/>
              <w:left w:val="nil"/>
              <w:bottom w:val="nil"/>
              <w:right w:val="nil"/>
            </w:tcBorders>
            <w:shd w:val="clear" w:color="auto" w:fill="auto"/>
            <w:noWrap/>
            <w:vAlign w:val="center"/>
            <w:hideMark/>
          </w:tcPr>
          <w:p w14:paraId="51102F71"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6468D">
              <w:rPr>
                <w:rFonts w:eastAsia="Times New Roman" w:cs="Calibri"/>
                <w:b/>
                <w:bCs/>
                <w:sz w:val="20"/>
              </w:rPr>
              <w:t>315</w:t>
            </w:r>
          </w:p>
        </w:tc>
        <w:tc>
          <w:tcPr>
            <w:tcW w:w="1292" w:type="dxa"/>
            <w:tcBorders>
              <w:top w:val="nil"/>
              <w:left w:val="nil"/>
              <w:bottom w:val="nil"/>
              <w:right w:val="nil"/>
            </w:tcBorders>
            <w:shd w:val="clear" w:color="auto" w:fill="auto"/>
            <w:noWrap/>
            <w:vAlign w:val="center"/>
            <w:hideMark/>
          </w:tcPr>
          <w:p w14:paraId="74F8D1C6"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6468D">
              <w:rPr>
                <w:rFonts w:eastAsia="Times New Roman" w:cs="Calibri"/>
                <w:b/>
                <w:bCs/>
                <w:sz w:val="20"/>
              </w:rPr>
              <w:t>814</w:t>
            </w:r>
          </w:p>
        </w:tc>
        <w:tc>
          <w:tcPr>
            <w:tcW w:w="1292" w:type="dxa"/>
            <w:tcBorders>
              <w:top w:val="nil"/>
              <w:left w:val="nil"/>
              <w:bottom w:val="nil"/>
              <w:right w:val="nil"/>
            </w:tcBorders>
            <w:shd w:val="clear" w:color="auto" w:fill="auto"/>
            <w:noWrap/>
            <w:vAlign w:val="center"/>
            <w:hideMark/>
          </w:tcPr>
          <w:p w14:paraId="08947CF6"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6468D">
              <w:rPr>
                <w:rFonts w:eastAsia="Times New Roman" w:cs="Calibri"/>
                <w:b/>
                <w:bCs/>
                <w:sz w:val="20"/>
              </w:rPr>
              <w:t>8,400</w:t>
            </w:r>
          </w:p>
        </w:tc>
        <w:tc>
          <w:tcPr>
            <w:tcW w:w="1517" w:type="dxa"/>
            <w:tcBorders>
              <w:top w:val="nil"/>
              <w:left w:val="nil"/>
              <w:bottom w:val="nil"/>
              <w:right w:val="nil"/>
            </w:tcBorders>
            <w:shd w:val="clear" w:color="auto" w:fill="auto"/>
            <w:noWrap/>
            <w:vAlign w:val="center"/>
            <w:hideMark/>
          </w:tcPr>
          <w:p w14:paraId="438AAFBA"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6468D">
              <w:rPr>
                <w:rFonts w:eastAsia="Times New Roman" w:cs="Calibri"/>
                <w:b/>
                <w:bCs/>
                <w:sz w:val="20"/>
              </w:rPr>
              <w:t>438</w:t>
            </w:r>
          </w:p>
        </w:tc>
        <w:tc>
          <w:tcPr>
            <w:tcW w:w="1292" w:type="dxa"/>
            <w:tcBorders>
              <w:top w:val="nil"/>
              <w:left w:val="nil"/>
              <w:bottom w:val="nil"/>
              <w:right w:val="nil"/>
            </w:tcBorders>
            <w:shd w:val="clear" w:color="auto" w:fill="auto"/>
            <w:noWrap/>
            <w:vAlign w:val="center"/>
            <w:hideMark/>
          </w:tcPr>
          <w:p w14:paraId="3A843B8D"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6468D">
              <w:rPr>
                <w:rFonts w:eastAsia="Times New Roman" w:cs="Calibri"/>
                <w:b/>
                <w:bCs/>
                <w:sz w:val="20"/>
              </w:rPr>
              <w:t>3,357</w:t>
            </w:r>
          </w:p>
        </w:tc>
        <w:tc>
          <w:tcPr>
            <w:tcW w:w="1292" w:type="dxa"/>
            <w:tcBorders>
              <w:top w:val="nil"/>
              <w:left w:val="nil"/>
              <w:bottom w:val="nil"/>
              <w:right w:val="nil"/>
            </w:tcBorders>
            <w:shd w:val="clear" w:color="auto" w:fill="auto"/>
            <w:noWrap/>
            <w:vAlign w:val="center"/>
            <w:hideMark/>
          </w:tcPr>
          <w:p w14:paraId="7DED66E9"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6468D">
              <w:rPr>
                <w:rFonts w:eastAsia="Times New Roman" w:cs="Calibri"/>
                <w:b/>
                <w:bCs/>
                <w:sz w:val="20"/>
              </w:rPr>
              <w:t>14,973</w:t>
            </w:r>
          </w:p>
        </w:tc>
        <w:tc>
          <w:tcPr>
            <w:tcW w:w="1292" w:type="dxa"/>
            <w:tcBorders>
              <w:top w:val="nil"/>
              <w:left w:val="nil"/>
              <w:bottom w:val="nil"/>
              <w:right w:val="nil"/>
            </w:tcBorders>
            <w:shd w:val="clear" w:color="auto" w:fill="auto"/>
            <w:noWrap/>
            <w:vAlign w:val="center"/>
            <w:hideMark/>
          </w:tcPr>
          <w:p w14:paraId="1791FEE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6468D">
              <w:rPr>
                <w:rFonts w:eastAsia="Times New Roman" w:cs="Calibri"/>
                <w:b/>
                <w:bCs/>
                <w:sz w:val="20"/>
              </w:rPr>
              <w:t>26,308</w:t>
            </w:r>
          </w:p>
        </w:tc>
        <w:tc>
          <w:tcPr>
            <w:tcW w:w="1417" w:type="dxa"/>
            <w:tcBorders>
              <w:top w:val="nil"/>
              <w:left w:val="nil"/>
              <w:bottom w:val="nil"/>
              <w:right w:val="nil"/>
            </w:tcBorders>
            <w:shd w:val="clear" w:color="auto" w:fill="auto"/>
            <w:noWrap/>
            <w:vAlign w:val="center"/>
            <w:hideMark/>
          </w:tcPr>
          <w:p w14:paraId="56ED4407"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B6468D">
              <w:rPr>
                <w:rFonts w:eastAsia="Times New Roman" w:cs="Calibri"/>
                <w:b/>
                <w:bCs/>
                <w:color w:val="002060"/>
                <w:sz w:val="20"/>
              </w:rPr>
              <w:t>54,605</w:t>
            </w:r>
          </w:p>
        </w:tc>
      </w:tr>
      <w:tr w:rsidR="005C437E" w:rsidRPr="00B6468D" w14:paraId="21C8BEF0" w14:textId="77777777" w:rsidTr="002F7131">
        <w:trPr>
          <w:trHeight w:val="504"/>
        </w:trPr>
        <w:tc>
          <w:tcPr>
            <w:tcW w:w="3211" w:type="dxa"/>
            <w:tcBorders>
              <w:top w:val="nil"/>
              <w:left w:val="nil"/>
              <w:bottom w:val="nil"/>
              <w:right w:val="nil"/>
            </w:tcBorders>
            <w:shd w:val="clear" w:color="auto" w:fill="auto"/>
            <w:noWrap/>
            <w:vAlign w:val="center"/>
            <w:hideMark/>
          </w:tcPr>
          <w:p w14:paraId="28710044"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B6468D">
              <w:rPr>
                <w:rFonts w:cstheme="minorHAnsi"/>
                <w:sz w:val="20"/>
              </w:rPr>
              <w:t xml:space="preserve">*) </w:t>
            </w:r>
            <w:r w:rsidRPr="00B6468D">
              <w:rPr>
                <w:rFonts w:cstheme="minorHAnsi"/>
                <w:sz w:val="20"/>
              </w:rPr>
              <w:t>包括研讨会和讲习班</w:t>
            </w:r>
          </w:p>
        </w:tc>
        <w:tc>
          <w:tcPr>
            <w:tcW w:w="1417" w:type="dxa"/>
            <w:tcBorders>
              <w:top w:val="nil"/>
              <w:left w:val="nil"/>
              <w:bottom w:val="nil"/>
              <w:right w:val="nil"/>
            </w:tcBorders>
            <w:shd w:val="clear" w:color="auto" w:fill="auto"/>
            <w:noWrap/>
            <w:vAlign w:val="center"/>
            <w:hideMark/>
          </w:tcPr>
          <w:p w14:paraId="1223EBC0"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p>
        </w:tc>
        <w:tc>
          <w:tcPr>
            <w:tcW w:w="1292" w:type="dxa"/>
            <w:tcBorders>
              <w:top w:val="nil"/>
              <w:left w:val="nil"/>
              <w:bottom w:val="nil"/>
              <w:right w:val="nil"/>
            </w:tcBorders>
            <w:shd w:val="clear" w:color="auto" w:fill="auto"/>
            <w:noWrap/>
            <w:vAlign w:val="center"/>
            <w:hideMark/>
          </w:tcPr>
          <w:p w14:paraId="0717DD53"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399271F3"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17" w:type="dxa"/>
            <w:tcBorders>
              <w:top w:val="nil"/>
              <w:left w:val="nil"/>
              <w:bottom w:val="nil"/>
              <w:right w:val="nil"/>
            </w:tcBorders>
            <w:shd w:val="clear" w:color="auto" w:fill="auto"/>
            <w:noWrap/>
            <w:vAlign w:val="center"/>
            <w:hideMark/>
          </w:tcPr>
          <w:p w14:paraId="422A44FA"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6AA51285"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59C46124"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5DCF8056"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17" w:type="dxa"/>
            <w:tcBorders>
              <w:top w:val="nil"/>
              <w:left w:val="nil"/>
              <w:bottom w:val="nil"/>
              <w:right w:val="nil"/>
            </w:tcBorders>
            <w:shd w:val="clear" w:color="auto" w:fill="auto"/>
            <w:noWrap/>
            <w:vAlign w:val="center"/>
            <w:hideMark/>
          </w:tcPr>
          <w:p w14:paraId="7C7B5069"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bl>
    <w:p w14:paraId="4A84EF7E" w14:textId="5103FC59" w:rsidR="005C437E" w:rsidRDefault="005C437E" w:rsidP="005C437E">
      <w:pPr>
        <w:rPr>
          <w:lang w:eastAsia="zh-CN"/>
        </w:rPr>
      </w:pPr>
      <w:r>
        <w:rPr>
          <w:lang w:eastAsia="zh-CN"/>
        </w:rPr>
        <w:br w:type="page"/>
      </w:r>
    </w:p>
    <w:tbl>
      <w:tblPr>
        <w:tblW w:w="14005" w:type="dxa"/>
        <w:tblLook w:val="04A0" w:firstRow="1" w:lastRow="0" w:firstColumn="1" w:lastColumn="0" w:noHBand="0" w:noVBand="1"/>
      </w:tblPr>
      <w:tblGrid>
        <w:gridCol w:w="3257"/>
        <w:gridCol w:w="1438"/>
        <w:gridCol w:w="1311"/>
        <w:gridCol w:w="1312"/>
        <w:gridCol w:w="1312"/>
        <w:gridCol w:w="1312"/>
        <w:gridCol w:w="1312"/>
        <w:gridCol w:w="1312"/>
        <w:gridCol w:w="1439"/>
      </w:tblGrid>
      <w:tr w:rsidR="005C437E" w:rsidRPr="00B176A9" w14:paraId="1900F0EE" w14:textId="77777777" w:rsidTr="002F7131">
        <w:trPr>
          <w:trHeight w:val="465"/>
        </w:trPr>
        <w:tc>
          <w:tcPr>
            <w:tcW w:w="3257" w:type="dxa"/>
            <w:tcBorders>
              <w:top w:val="nil"/>
              <w:left w:val="nil"/>
              <w:bottom w:val="nil"/>
              <w:right w:val="nil"/>
            </w:tcBorders>
            <w:shd w:val="clear" w:color="auto" w:fill="auto"/>
            <w:noWrap/>
            <w:vAlign w:val="center"/>
            <w:hideMark/>
          </w:tcPr>
          <w:p w14:paraId="542AAB86"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B176A9">
              <w:rPr>
                <w:rFonts w:ascii="SimSun" w:hAnsi="SimSun" w:cs="Calibri" w:hint="eastAsia"/>
                <w:b/>
                <w:bCs/>
                <w:color w:val="002060"/>
                <w:sz w:val="40"/>
                <w:szCs w:val="40"/>
              </w:rPr>
              <w:lastRenderedPageBreak/>
              <w:t>表</w:t>
            </w:r>
            <w:r w:rsidRPr="00B176A9">
              <w:rPr>
                <w:rFonts w:eastAsia="Times New Roman" w:cs="Calibri"/>
                <w:b/>
                <w:bCs/>
                <w:color w:val="002060"/>
                <w:sz w:val="40"/>
                <w:szCs w:val="40"/>
              </w:rPr>
              <w:t>10-1</w:t>
            </w:r>
          </w:p>
        </w:tc>
        <w:tc>
          <w:tcPr>
            <w:tcW w:w="1438" w:type="dxa"/>
            <w:tcBorders>
              <w:top w:val="nil"/>
              <w:left w:val="nil"/>
              <w:bottom w:val="nil"/>
              <w:right w:val="nil"/>
            </w:tcBorders>
            <w:shd w:val="clear" w:color="auto" w:fill="auto"/>
            <w:noWrap/>
            <w:vAlign w:val="center"/>
            <w:hideMark/>
          </w:tcPr>
          <w:p w14:paraId="0403255A"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1311" w:type="dxa"/>
            <w:tcBorders>
              <w:top w:val="nil"/>
              <w:left w:val="nil"/>
              <w:bottom w:val="nil"/>
              <w:right w:val="nil"/>
            </w:tcBorders>
            <w:shd w:val="clear" w:color="auto" w:fill="auto"/>
            <w:noWrap/>
            <w:vAlign w:val="center"/>
            <w:hideMark/>
          </w:tcPr>
          <w:p w14:paraId="07BC8FDE"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67E7E487"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463707AD"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482E629F"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368A4162"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70FB1B59"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39" w:type="dxa"/>
            <w:tcBorders>
              <w:top w:val="nil"/>
              <w:left w:val="nil"/>
              <w:bottom w:val="nil"/>
              <w:right w:val="nil"/>
            </w:tcBorders>
            <w:shd w:val="clear" w:color="auto" w:fill="auto"/>
            <w:noWrap/>
            <w:vAlign w:val="center"/>
            <w:hideMark/>
          </w:tcPr>
          <w:p w14:paraId="6C5521DC"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B176A9" w14:paraId="02558919" w14:textId="77777777" w:rsidTr="002F7131">
        <w:trPr>
          <w:trHeight w:val="20"/>
        </w:trPr>
        <w:tc>
          <w:tcPr>
            <w:tcW w:w="3257" w:type="dxa"/>
            <w:tcBorders>
              <w:top w:val="nil"/>
              <w:left w:val="nil"/>
              <w:bottom w:val="nil"/>
              <w:right w:val="nil"/>
            </w:tcBorders>
            <w:shd w:val="clear" w:color="auto" w:fill="auto"/>
            <w:noWrap/>
            <w:vAlign w:val="center"/>
            <w:hideMark/>
          </w:tcPr>
          <w:p w14:paraId="5427A59D"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r w:rsidRPr="00B176A9">
              <w:rPr>
                <w:rFonts w:ascii="STKaiti" w:eastAsia="STKaiti" w:hAnsi="STKaiti" w:hint="eastAsia"/>
                <w:b/>
                <w:bCs/>
                <w:color w:val="002060"/>
                <w:sz w:val="28"/>
                <w:szCs w:val="28"/>
              </w:rPr>
              <w:t>电信发展部门</w:t>
            </w:r>
            <w:r w:rsidRPr="00B176A9">
              <w:rPr>
                <w:rFonts w:eastAsia="STKaiti" w:cs="Calibri"/>
                <w:b/>
                <w:bCs/>
                <w:color w:val="002060"/>
                <w:sz w:val="28"/>
                <w:szCs w:val="28"/>
              </w:rPr>
              <w:t>2022</w:t>
            </w:r>
            <w:r w:rsidRPr="00B176A9">
              <w:rPr>
                <w:rFonts w:ascii="STKaiti" w:eastAsia="STKaiti" w:hAnsi="STKaiti" w:hint="eastAsia"/>
                <w:b/>
                <w:bCs/>
                <w:color w:val="002060"/>
                <w:sz w:val="28"/>
                <w:szCs w:val="28"/>
              </w:rPr>
              <w:t>年</w:t>
            </w:r>
          </w:p>
        </w:tc>
        <w:tc>
          <w:tcPr>
            <w:tcW w:w="1438" w:type="dxa"/>
            <w:tcBorders>
              <w:top w:val="nil"/>
              <w:left w:val="nil"/>
              <w:bottom w:val="nil"/>
              <w:right w:val="nil"/>
            </w:tcBorders>
            <w:shd w:val="clear" w:color="auto" w:fill="auto"/>
            <w:noWrap/>
            <w:vAlign w:val="center"/>
            <w:hideMark/>
          </w:tcPr>
          <w:p w14:paraId="100958FF"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p>
        </w:tc>
        <w:tc>
          <w:tcPr>
            <w:tcW w:w="1311" w:type="dxa"/>
            <w:tcBorders>
              <w:top w:val="nil"/>
              <w:left w:val="nil"/>
              <w:bottom w:val="nil"/>
              <w:right w:val="nil"/>
            </w:tcBorders>
            <w:shd w:val="clear" w:color="auto" w:fill="auto"/>
            <w:noWrap/>
            <w:vAlign w:val="center"/>
            <w:hideMark/>
          </w:tcPr>
          <w:p w14:paraId="51A7E3C3"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30D9815D"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2344983D"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199132A1"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7250157D"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055555CC"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39" w:type="dxa"/>
            <w:tcBorders>
              <w:top w:val="nil"/>
              <w:left w:val="nil"/>
              <w:bottom w:val="nil"/>
              <w:right w:val="nil"/>
            </w:tcBorders>
            <w:shd w:val="clear" w:color="auto" w:fill="auto"/>
            <w:noWrap/>
            <w:vAlign w:val="center"/>
            <w:hideMark/>
          </w:tcPr>
          <w:p w14:paraId="35C9307A"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B176A9" w14:paraId="4F30D497" w14:textId="77777777" w:rsidTr="002F7131">
        <w:trPr>
          <w:trHeight w:val="20"/>
        </w:trPr>
        <w:tc>
          <w:tcPr>
            <w:tcW w:w="4695" w:type="dxa"/>
            <w:gridSpan w:val="2"/>
            <w:tcBorders>
              <w:top w:val="nil"/>
              <w:left w:val="nil"/>
              <w:bottom w:val="nil"/>
              <w:right w:val="nil"/>
            </w:tcBorders>
            <w:shd w:val="clear" w:color="auto" w:fill="auto"/>
            <w:noWrap/>
            <w:vAlign w:val="center"/>
            <w:hideMark/>
          </w:tcPr>
          <w:p w14:paraId="26793037"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r w:rsidRPr="00B176A9">
              <w:rPr>
                <w:rFonts w:ascii="STKaiti" w:eastAsia="STKaiti" w:hAnsi="STKaiti" w:hint="eastAsia"/>
                <w:b/>
                <w:bCs/>
                <w:color w:val="002060"/>
                <w:szCs w:val="24"/>
                <w:lang w:eastAsia="zh-CN"/>
              </w:rPr>
              <w:t>按项和支出类别列出的计划支出</w:t>
            </w:r>
          </w:p>
        </w:tc>
        <w:tc>
          <w:tcPr>
            <w:tcW w:w="1311" w:type="dxa"/>
            <w:tcBorders>
              <w:top w:val="nil"/>
              <w:left w:val="nil"/>
              <w:bottom w:val="nil"/>
              <w:right w:val="nil"/>
            </w:tcBorders>
            <w:shd w:val="clear" w:color="auto" w:fill="auto"/>
            <w:noWrap/>
            <w:vAlign w:val="center"/>
            <w:hideMark/>
          </w:tcPr>
          <w:p w14:paraId="123B874D"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p>
        </w:tc>
        <w:tc>
          <w:tcPr>
            <w:tcW w:w="1312" w:type="dxa"/>
            <w:tcBorders>
              <w:top w:val="nil"/>
              <w:left w:val="nil"/>
              <w:bottom w:val="nil"/>
              <w:right w:val="nil"/>
            </w:tcBorders>
            <w:shd w:val="clear" w:color="auto" w:fill="auto"/>
            <w:noWrap/>
            <w:vAlign w:val="center"/>
            <w:hideMark/>
          </w:tcPr>
          <w:p w14:paraId="10C24CDF"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312" w:type="dxa"/>
            <w:tcBorders>
              <w:top w:val="nil"/>
              <w:left w:val="nil"/>
              <w:bottom w:val="nil"/>
              <w:right w:val="nil"/>
            </w:tcBorders>
            <w:shd w:val="clear" w:color="auto" w:fill="auto"/>
            <w:noWrap/>
            <w:vAlign w:val="center"/>
            <w:hideMark/>
          </w:tcPr>
          <w:p w14:paraId="090BCDD3"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312" w:type="dxa"/>
            <w:tcBorders>
              <w:top w:val="nil"/>
              <w:left w:val="nil"/>
              <w:bottom w:val="nil"/>
              <w:right w:val="nil"/>
            </w:tcBorders>
            <w:shd w:val="clear" w:color="auto" w:fill="auto"/>
            <w:noWrap/>
            <w:vAlign w:val="center"/>
            <w:hideMark/>
          </w:tcPr>
          <w:p w14:paraId="24E3BDB8"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312" w:type="dxa"/>
            <w:tcBorders>
              <w:top w:val="nil"/>
              <w:left w:val="nil"/>
              <w:bottom w:val="nil"/>
              <w:right w:val="nil"/>
            </w:tcBorders>
            <w:shd w:val="clear" w:color="auto" w:fill="auto"/>
            <w:noWrap/>
            <w:vAlign w:val="center"/>
            <w:hideMark/>
          </w:tcPr>
          <w:p w14:paraId="4FF1F9CF"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312" w:type="dxa"/>
            <w:tcBorders>
              <w:top w:val="nil"/>
              <w:left w:val="nil"/>
              <w:bottom w:val="nil"/>
              <w:right w:val="nil"/>
            </w:tcBorders>
            <w:shd w:val="clear" w:color="auto" w:fill="auto"/>
            <w:noWrap/>
            <w:vAlign w:val="center"/>
            <w:hideMark/>
          </w:tcPr>
          <w:p w14:paraId="11095C5C"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39" w:type="dxa"/>
            <w:tcBorders>
              <w:top w:val="nil"/>
              <w:left w:val="nil"/>
              <w:bottom w:val="nil"/>
              <w:right w:val="nil"/>
            </w:tcBorders>
            <w:shd w:val="clear" w:color="auto" w:fill="auto"/>
            <w:noWrap/>
            <w:vAlign w:val="center"/>
            <w:hideMark/>
          </w:tcPr>
          <w:p w14:paraId="2F28E6F3"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5C437E" w:rsidRPr="00B176A9" w14:paraId="09D91CE2" w14:textId="77777777" w:rsidTr="002F7131">
        <w:trPr>
          <w:trHeight w:val="20"/>
        </w:trPr>
        <w:tc>
          <w:tcPr>
            <w:tcW w:w="3257" w:type="dxa"/>
            <w:tcBorders>
              <w:top w:val="nil"/>
              <w:left w:val="nil"/>
              <w:bottom w:val="nil"/>
              <w:right w:val="nil"/>
            </w:tcBorders>
            <w:shd w:val="clear" w:color="auto" w:fill="auto"/>
            <w:noWrap/>
            <w:vAlign w:val="center"/>
            <w:hideMark/>
          </w:tcPr>
          <w:p w14:paraId="1F58764E"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0748" w:type="dxa"/>
            <w:gridSpan w:val="8"/>
            <w:tcBorders>
              <w:top w:val="nil"/>
              <w:left w:val="nil"/>
              <w:bottom w:val="nil"/>
              <w:right w:val="nil"/>
            </w:tcBorders>
            <w:shd w:val="clear" w:color="auto" w:fill="auto"/>
            <w:noWrap/>
            <w:vAlign w:val="center"/>
            <w:hideMark/>
          </w:tcPr>
          <w:p w14:paraId="1FBF52D3"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5C437E" w:rsidRPr="00B176A9" w14:paraId="73CDF654" w14:textId="77777777" w:rsidTr="002F7131">
        <w:trPr>
          <w:trHeight w:val="345"/>
        </w:trPr>
        <w:tc>
          <w:tcPr>
            <w:tcW w:w="7318" w:type="dxa"/>
            <w:gridSpan w:val="4"/>
            <w:tcBorders>
              <w:top w:val="nil"/>
              <w:left w:val="nil"/>
              <w:bottom w:val="nil"/>
              <w:right w:val="nil"/>
            </w:tcBorders>
            <w:shd w:val="clear" w:color="auto" w:fill="auto"/>
            <w:noWrap/>
            <w:vAlign w:val="center"/>
            <w:hideMark/>
          </w:tcPr>
          <w:p w14:paraId="6935AE5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lang w:eastAsia="zh-CN"/>
              </w:rPr>
            </w:pPr>
          </w:p>
        </w:tc>
        <w:tc>
          <w:tcPr>
            <w:tcW w:w="5248" w:type="dxa"/>
            <w:gridSpan w:val="4"/>
            <w:tcBorders>
              <w:top w:val="nil"/>
              <w:left w:val="nil"/>
              <w:bottom w:val="nil"/>
              <w:right w:val="nil"/>
            </w:tcBorders>
            <w:shd w:val="clear" w:color="auto" w:fill="auto"/>
            <w:noWrap/>
            <w:vAlign w:val="center"/>
            <w:hideMark/>
          </w:tcPr>
          <w:p w14:paraId="4B6F22B1"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r w:rsidRPr="00B176A9">
              <w:rPr>
                <w:rFonts w:ascii="STKaiti" w:eastAsia="STKaiti" w:hAnsi="STKaiti" w:hint="eastAsia"/>
                <w:b/>
                <w:bCs/>
                <w:color w:val="002060"/>
                <w:sz w:val="20"/>
              </w:rPr>
              <w:t>电信发展局</w:t>
            </w:r>
          </w:p>
        </w:tc>
        <w:tc>
          <w:tcPr>
            <w:tcW w:w="1439" w:type="dxa"/>
            <w:tcBorders>
              <w:top w:val="nil"/>
              <w:left w:val="nil"/>
              <w:bottom w:val="nil"/>
              <w:right w:val="nil"/>
            </w:tcBorders>
            <w:shd w:val="clear" w:color="auto" w:fill="auto"/>
            <w:noWrap/>
            <w:vAlign w:val="center"/>
            <w:hideMark/>
          </w:tcPr>
          <w:p w14:paraId="0192B247"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p>
        </w:tc>
      </w:tr>
      <w:tr w:rsidR="005C437E" w:rsidRPr="00B176A9" w14:paraId="16E6AC6C" w14:textId="77777777" w:rsidTr="002F7131">
        <w:trPr>
          <w:trHeight w:val="150"/>
        </w:trPr>
        <w:tc>
          <w:tcPr>
            <w:tcW w:w="3257" w:type="dxa"/>
            <w:tcBorders>
              <w:top w:val="nil"/>
              <w:left w:val="nil"/>
              <w:bottom w:val="nil"/>
              <w:right w:val="nil"/>
            </w:tcBorders>
            <w:shd w:val="clear" w:color="auto" w:fill="auto"/>
            <w:noWrap/>
            <w:vAlign w:val="center"/>
            <w:hideMark/>
          </w:tcPr>
          <w:p w14:paraId="3F6FD89F"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38" w:type="dxa"/>
            <w:tcBorders>
              <w:top w:val="nil"/>
              <w:left w:val="nil"/>
              <w:bottom w:val="nil"/>
              <w:right w:val="nil"/>
            </w:tcBorders>
            <w:shd w:val="clear" w:color="auto" w:fill="auto"/>
            <w:noWrap/>
            <w:vAlign w:val="center"/>
            <w:hideMark/>
          </w:tcPr>
          <w:p w14:paraId="40D6248D"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1" w:type="dxa"/>
            <w:tcBorders>
              <w:top w:val="nil"/>
              <w:left w:val="nil"/>
              <w:bottom w:val="nil"/>
              <w:right w:val="nil"/>
            </w:tcBorders>
            <w:shd w:val="clear" w:color="auto" w:fill="auto"/>
            <w:noWrap/>
            <w:vAlign w:val="center"/>
            <w:hideMark/>
          </w:tcPr>
          <w:p w14:paraId="7245186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5FC6FA51"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6F7DE4D7"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tc>
        <w:tc>
          <w:tcPr>
            <w:tcW w:w="1312" w:type="dxa"/>
            <w:tcBorders>
              <w:top w:val="nil"/>
              <w:left w:val="nil"/>
              <w:bottom w:val="nil"/>
              <w:right w:val="nil"/>
            </w:tcBorders>
            <w:shd w:val="clear" w:color="auto" w:fill="auto"/>
            <w:noWrap/>
            <w:vAlign w:val="center"/>
            <w:hideMark/>
          </w:tcPr>
          <w:p w14:paraId="4BC11021"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48949DED"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r w:rsidRPr="00825AB8">
              <w:rPr>
                <w:rFonts w:ascii="Helv" w:eastAsia="Times New Roman" w:hAnsi="Helv"/>
                <w:noProof/>
                <w:sz w:val="20"/>
              </w:rPr>
              <mc:AlternateContent>
                <mc:Choice Requires="wps">
                  <w:drawing>
                    <wp:anchor distT="0" distB="0" distL="114300" distR="114300" simplePos="0" relativeHeight="251709440" behindDoc="0" locked="0" layoutInCell="1" allowOverlap="1" wp14:anchorId="24FA30FA" wp14:editId="2D35A77C">
                      <wp:simplePos x="0" y="0"/>
                      <wp:positionH relativeFrom="column">
                        <wp:posOffset>-71120</wp:posOffset>
                      </wp:positionH>
                      <wp:positionV relativeFrom="paragraph">
                        <wp:posOffset>-1539875</wp:posOffset>
                      </wp:positionV>
                      <wp:extent cx="62230" cy="3197225"/>
                      <wp:effectExtent l="0" t="5398" r="27623" b="27622"/>
                      <wp:wrapNone/>
                      <wp:docPr id="112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2230" cy="3197225"/>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B9F3126" id="AutoShape 15" o:spid="_x0000_s1026" type="#_x0000_t85" style="position:absolute;margin-left:-5.6pt;margin-top:-121.25pt;width:4.9pt;height:251.75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" adj="479" strokecolor="#0070c0" strokeweight="1pt"/>
                  </w:pict>
                </mc:Fallback>
              </mc:AlternateContent>
            </w:r>
          </w:p>
        </w:tc>
        <w:tc>
          <w:tcPr>
            <w:tcW w:w="1312" w:type="dxa"/>
            <w:tcBorders>
              <w:top w:val="nil"/>
              <w:left w:val="nil"/>
              <w:bottom w:val="nil"/>
              <w:right w:val="nil"/>
            </w:tcBorders>
            <w:shd w:val="clear" w:color="auto" w:fill="auto"/>
            <w:noWrap/>
            <w:vAlign w:val="center"/>
            <w:hideMark/>
          </w:tcPr>
          <w:p w14:paraId="087B6212"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39" w:type="dxa"/>
            <w:tcBorders>
              <w:top w:val="nil"/>
              <w:left w:val="nil"/>
              <w:bottom w:val="nil"/>
              <w:right w:val="nil"/>
            </w:tcBorders>
            <w:shd w:val="clear" w:color="auto" w:fill="auto"/>
            <w:noWrap/>
            <w:vAlign w:val="center"/>
            <w:hideMark/>
          </w:tcPr>
          <w:p w14:paraId="006DFF45" w14:textId="7F838F4C" w:rsidR="005C437E" w:rsidRPr="00B176A9" w:rsidRDefault="00BB17A9"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r w:rsidRPr="000E512E">
              <w:rPr>
                <w:rFonts w:asciiTheme="minorEastAsia" w:eastAsiaTheme="minorEastAsia" w:hAnsiTheme="minorEastAsia"/>
                <w:noProof/>
                <w:sz w:val="20"/>
              </w:rPr>
              <mc:AlternateContent>
                <mc:Choice Requires="wps">
                  <w:drawing>
                    <wp:anchor distT="0" distB="0" distL="114300" distR="114300" simplePos="0" relativeHeight="251708416" behindDoc="0" locked="0" layoutInCell="1" allowOverlap="1" wp14:anchorId="7E671084" wp14:editId="74B3EBC3">
                      <wp:simplePos x="0" y="0"/>
                      <wp:positionH relativeFrom="column">
                        <wp:posOffset>47625</wp:posOffset>
                      </wp:positionH>
                      <wp:positionV relativeFrom="paragraph">
                        <wp:posOffset>-6350</wp:posOffset>
                      </wp:positionV>
                      <wp:extent cx="869950" cy="3740150"/>
                      <wp:effectExtent l="0" t="0" r="25400" b="12700"/>
                      <wp:wrapNone/>
                      <wp:docPr id="1128" name="圆角矩形 1128">
                        <a:extLst xmlns:a="http://schemas.openxmlformats.org/drawingml/2006/main">
                          <a:ext uri="{FF2B5EF4-FFF2-40B4-BE49-F238E27FC236}">
                            <a16:creationId xmlns:a16="http://schemas.microsoft.com/office/drawing/2014/main" id="{7A60CF43-9A3B-F345-B0AE-F406C9B756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0" cy="374015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6131F2F1" id="圆角矩形 1128" o:spid="_x0000_s1026" style="position:absolute;margin-left:3.75pt;margin-top:-.5pt;width:68.5pt;height:29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" filled="f" strokecolor="#0070c0" strokeweight="1pt"/>
                  </w:pict>
                </mc:Fallback>
              </mc:AlternateContent>
            </w:r>
          </w:p>
        </w:tc>
      </w:tr>
      <w:tr w:rsidR="005C437E" w:rsidRPr="00B176A9" w14:paraId="2CBF5CCD" w14:textId="77777777" w:rsidTr="002F7131">
        <w:tc>
          <w:tcPr>
            <w:tcW w:w="3257" w:type="dxa"/>
            <w:tcBorders>
              <w:top w:val="nil"/>
              <w:left w:val="nil"/>
              <w:bottom w:val="nil"/>
              <w:right w:val="nil"/>
            </w:tcBorders>
            <w:shd w:val="clear" w:color="auto" w:fill="auto"/>
            <w:noWrap/>
            <w:vAlign w:val="center"/>
            <w:hideMark/>
          </w:tcPr>
          <w:p w14:paraId="2A71611C"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438" w:type="dxa"/>
            <w:tcBorders>
              <w:top w:val="nil"/>
              <w:left w:val="nil"/>
              <w:bottom w:val="nil"/>
              <w:right w:val="nil"/>
            </w:tcBorders>
            <w:shd w:val="clear" w:color="auto" w:fill="auto"/>
            <w:hideMark/>
          </w:tcPr>
          <w:p w14:paraId="5AA74527"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电信发展</w:t>
            </w:r>
            <w:r w:rsidRPr="00F04B38">
              <w:rPr>
                <w:rFonts w:ascii="SimSun" w:hAnsi="SimSun"/>
                <w:sz w:val="18"/>
                <w:szCs w:val="18"/>
              </w:rPr>
              <w:br/>
            </w:r>
            <w:r w:rsidRPr="00F04B38">
              <w:rPr>
                <w:rFonts w:ascii="SimSun" w:hAnsi="SimSun" w:hint="eastAsia"/>
                <w:sz w:val="18"/>
                <w:szCs w:val="18"/>
              </w:rPr>
              <w:t>顾问组</w:t>
            </w:r>
          </w:p>
        </w:tc>
        <w:tc>
          <w:tcPr>
            <w:tcW w:w="1311" w:type="dxa"/>
            <w:tcBorders>
              <w:top w:val="nil"/>
              <w:left w:val="nil"/>
              <w:bottom w:val="nil"/>
              <w:right w:val="nil"/>
            </w:tcBorders>
            <w:shd w:val="clear" w:color="auto" w:fill="auto"/>
            <w:hideMark/>
          </w:tcPr>
          <w:p w14:paraId="5E14C06C"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研究组会议</w:t>
            </w:r>
          </w:p>
        </w:tc>
        <w:tc>
          <w:tcPr>
            <w:tcW w:w="1312" w:type="dxa"/>
            <w:tcBorders>
              <w:top w:val="nil"/>
              <w:left w:val="nil"/>
              <w:bottom w:val="nil"/>
              <w:right w:val="nil"/>
            </w:tcBorders>
            <w:shd w:val="clear" w:color="auto" w:fill="auto"/>
            <w:hideMark/>
          </w:tcPr>
          <w:p w14:paraId="5D26C9E5"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活动和</w:t>
            </w:r>
            <w:r w:rsidRPr="00F04B38">
              <w:rPr>
                <w:rFonts w:ascii="SimSun" w:hAnsi="SimSun"/>
                <w:sz w:val="18"/>
                <w:szCs w:val="18"/>
              </w:rPr>
              <w:br/>
            </w:r>
            <w:r w:rsidRPr="00F04B38">
              <w:rPr>
                <w:rFonts w:ascii="SimSun" w:hAnsi="SimSun" w:hint="eastAsia"/>
                <w:sz w:val="18"/>
                <w:szCs w:val="18"/>
              </w:rPr>
              <w:t>项目</w:t>
            </w:r>
            <w:r w:rsidRPr="00C1536D">
              <w:rPr>
                <w:rFonts w:ascii="SimSun" w:hAnsi="SimSun" w:hint="eastAsia"/>
                <w:sz w:val="20"/>
                <w:szCs w:val="18"/>
                <w:vertAlign w:val="superscript"/>
              </w:rPr>
              <w:t>*</w:t>
            </w:r>
          </w:p>
        </w:tc>
        <w:tc>
          <w:tcPr>
            <w:tcW w:w="1312" w:type="dxa"/>
            <w:tcBorders>
              <w:top w:val="nil"/>
              <w:left w:val="nil"/>
              <w:bottom w:val="nil"/>
              <w:right w:val="nil"/>
            </w:tcBorders>
            <w:shd w:val="clear" w:color="auto" w:fill="auto"/>
            <w:hideMark/>
          </w:tcPr>
          <w:p w14:paraId="341C4E27"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共同支出</w:t>
            </w:r>
          </w:p>
        </w:tc>
        <w:tc>
          <w:tcPr>
            <w:tcW w:w="1312" w:type="dxa"/>
            <w:tcBorders>
              <w:top w:val="nil"/>
              <w:left w:val="nil"/>
              <w:bottom w:val="nil"/>
              <w:right w:val="nil"/>
            </w:tcBorders>
            <w:shd w:val="clear" w:color="auto" w:fill="auto"/>
            <w:hideMark/>
          </w:tcPr>
          <w:p w14:paraId="3CEF0097"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主任办公室</w:t>
            </w:r>
          </w:p>
        </w:tc>
        <w:tc>
          <w:tcPr>
            <w:tcW w:w="1312" w:type="dxa"/>
            <w:tcBorders>
              <w:top w:val="nil"/>
              <w:left w:val="nil"/>
              <w:bottom w:val="nil"/>
              <w:right w:val="nil"/>
            </w:tcBorders>
            <w:shd w:val="clear" w:color="auto" w:fill="auto"/>
            <w:hideMark/>
          </w:tcPr>
          <w:p w14:paraId="37F67334"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区域代表处</w:t>
            </w:r>
          </w:p>
        </w:tc>
        <w:tc>
          <w:tcPr>
            <w:tcW w:w="1312" w:type="dxa"/>
            <w:tcBorders>
              <w:top w:val="nil"/>
              <w:left w:val="nil"/>
              <w:bottom w:val="nil"/>
              <w:right w:val="nil"/>
            </w:tcBorders>
            <w:shd w:val="clear" w:color="auto" w:fill="auto"/>
            <w:hideMark/>
          </w:tcPr>
          <w:p w14:paraId="04AE5D46"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各部</w:t>
            </w:r>
          </w:p>
        </w:tc>
        <w:tc>
          <w:tcPr>
            <w:tcW w:w="1439" w:type="dxa"/>
            <w:tcBorders>
              <w:top w:val="nil"/>
              <w:left w:val="nil"/>
              <w:bottom w:val="nil"/>
              <w:right w:val="nil"/>
            </w:tcBorders>
            <w:shd w:val="clear" w:color="auto" w:fill="auto"/>
            <w:noWrap/>
            <w:vAlign w:val="center"/>
            <w:hideMark/>
          </w:tcPr>
          <w:p w14:paraId="303CEF91" w14:textId="77777777" w:rsidR="005C437E" w:rsidRPr="000E512E"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heme="minorEastAsia" w:eastAsiaTheme="minorEastAsia" w:hAnsiTheme="minorEastAsia" w:cs="Calibri"/>
                <w:b/>
                <w:bCs/>
                <w:color w:val="002060"/>
                <w:sz w:val="20"/>
              </w:rPr>
            </w:pPr>
            <w:r w:rsidRPr="000E512E">
              <w:rPr>
                <w:rFonts w:asciiTheme="minorEastAsia" w:eastAsiaTheme="minorEastAsia" w:hAnsiTheme="minorEastAsia" w:cs="Microsoft YaHei"/>
                <w:b/>
                <w:bCs/>
                <w:color w:val="002060"/>
                <w:sz w:val="20"/>
              </w:rPr>
              <w:t>合计</w:t>
            </w:r>
          </w:p>
        </w:tc>
      </w:tr>
      <w:tr w:rsidR="005C437E" w:rsidRPr="00B176A9" w14:paraId="4E2D1441" w14:textId="77777777" w:rsidTr="002F7131">
        <w:trPr>
          <w:trHeight w:val="252"/>
        </w:trPr>
        <w:tc>
          <w:tcPr>
            <w:tcW w:w="3257" w:type="dxa"/>
            <w:tcBorders>
              <w:top w:val="nil"/>
              <w:left w:val="nil"/>
              <w:bottom w:val="nil"/>
              <w:right w:val="nil"/>
            </w:tcBorders>
            <w:shd w:val="clear" w:color="auto" w:fill="auto"/>
            <w:noWrap/>
            <w:vAlign w:val="center"/>
            <w:hideMark/>
          </w:tcPr>
          <w:p w14:paraId="4457F71E"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p>
        </w:tc>
        <w:tc>
          <w:tcPr>
            <w:tcW w:w="1438" w:type="dxa"/>
            <w:tcBorders>
              <w:top w:val="nil"/>
              <w:left w:val="nil"/>
              <w:bottom w:val="nil"/>
              <w:right w:val="nil"/>
            </w:tcBorders>
            <w:shd w:val="clear" w:color="auto" w:fill="auto"/>
            <w:noWrap/>
            <w:vAlign w:val="center"/>
            <w:hideMark/>
          </w:tcPr>
          <w:p w14:paraId="7DB02125"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1" w:type="dxa"/>
            <w:tcBorders>
              <w:top w:val="nil"/>
              <w:left w:val="nil"/>
              <w:bottom w:val="nil"/>
              <w:right w:val="nil"/>
            </w:tcBorders>
            <w:shd w:val="clear" w:color="auto" w:fill="auto"/>
            <w:noWrap/>
            <w:vAlign w:val="center"/>
            <w:hideMark/>
          </w:tcPr>
          <w:p w14:paraId="68F4942E"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09E59FC7"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492F3A75"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33E277F1"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12201F70"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7562B8B7"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9" w:type="dxa"/>
            <w:tcBorders>
              <w:top w:val="nil"/>
              <w:left w:val="nil"/>
              <w:bottom w:val="nil"/>
              <w:right w:val="nil"/>
            </w:tcBorders>
            <w:shd w:val="clear" w:color="auto" w:fill="auto"/>
            <w:noWrap/>
            <w:vAlign w:val="center"/>
            <w:hideMark/>
          </w:tcPr>
          <w:p w14:paraId="67554B0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176A9" w14:paraId="3FDB0D9D" w14:textId="77777777" w:rsidTr="002F7131">
        <w:trPr>
          <w:trHeight w:val="252"/>
        </w:trPr>
        <w:tc>
          <w:tcPr>
            <w:tcW w:w="3257" w:type="dxa"/>
            <w:tcBorders>
              <w:top w:val="nil"/>
              <w:left w:val="nil"/>
              <w:bottom w:val="nil"/>
              <w:right w:val="nil"/>
            </w:tcBorders>
            <w:shd w:val="clear" w:color="auto" w:fill="auto"/>
            <w:noWrap/>
            <w:vAlign w:val="bottom"/>
            <w:hideMark/>
          </w:tcPr>
          <w:p w14:paraId="326ED5FC"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B176A9">
              <w:rPr>
                <w:rFonts w:cstheme="minorHAnsi"/>
                <w:sz w:val="20"/>
              </w:rPr>
              <w:t xml:space="preserve">1 - </w:t>
            </w:r>
            <w:r w:rsidRPr="00B176A9">
              <w:rPr>
                <w:rFonts w:cstheme="minorHAnsi"/>
                <w:sz w:val="20"/>
              </w:rPr>
              <w:t>人员费用</w:t>
            </w:r>
          </w:p>
        </w:tc>
        <w:tc>
          <w:tcPr>
            <w:tcW w:w="1438" w:type="dxa"/>
            <w:tcBorders>
              <w:top w:val="nil"/>
              <w:left w:val="nil"/>
              <w:bottom w:val="nil"/>
              <w:right w:val="nil"/>
            </w:tcBorders>
            <w:shd w:val="clear" w:color="auto" w:fill="auto"/>
            <w:noWrap/>
            <w:vAlign w:val="bottom"/>
            <w:hideMark/>
          </w:tcPr>
          <w:p w14:paraId="6113EC40"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83</w:t>
            </w:r>
          </w:p>
        </w:tc>
        <w:tc>
          <w:tcPr>
            <w:tcW w:w="1311" w:type="dxa"/>
            <w:tcBorders>
              <w:top w:val="nil"/>
              <w:left w:val="nil"/>
              <w:bottom w:val="nil"/>
              <w:right w:val="nil"/>
            </w:tcBorders>
            <w:shd w:val="clear" w:color="auto" w:fill="auto"/>
            <w:noWrap/>
            <w:vAlign w:val="bottom"/>
            <w:hideMark/>
          </w:tcPr>
          <w:p w14:paraId="545B4CEF"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216</w:t>
            </w:r>
          </w:p>
        </w:tc>
        <w:tc>
          <w:tcPr>
            <w:tcW w:w="1312" w:type="dxa"/>
            <w:tcBorders>
              <w:top w:val="nil"/>
              <w:left w:val="nil"/>
              <w:bottom w:val="nil"/>
              <w:right w:val="nil"/>
            </w:tcBorders>
            <w:shd w:val="clear" w:color="auto" w:fill="auto"/>
            <w:noWrap/>
            <w:vAlign w:val="bottom"/>
            <w:hideMark/>
          </w:tcPr>
          <w:p w14:paraId="4DA34610"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465</w:t>
            </w:r>
          </w:p>
        </w:tc>
        <w:tc>
          <w:tcPr>
            <w:tcW w:w="1312" w:type="dxa"/>
            <w:tcBorders>
              <w:top w:val="nil"/>
              <w:left w:val="nil"/>
              <w:bottom w:val="nil"/>
              <w:right w:val="nil"/>
            </w:tcBorders>
            <w:shd w:val="clear" w:color="auto" w:fill="auto"/>
            <w:noWrap/>
            <w:vAlign w:val="bottom"/>
            <w:hideMark/>
          </w:tcPr>
          <w:p w14:paraId="0BC3BA78"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312" w:type="dxa"/>
            <w:tcBorders>
              <w:top w:val="nil"/>
              <w:left w:val="nil"/>
              <w:bottom w:val="nil"/>
              <w:right w:val="nil"/>
            </w:tcBorders>
            <w:shd w:val="clear" w:color="auto" w:fill="auto"/>
            <w:noWrap/>
            <w:vAlign w:val="bottom"/>
            <w:hideMark/>
          </w:tcPr>
          <w:p w14:paraId="6ED53B39"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1,203</w:t>
            </w:r>
          </w:p>
        </w:tc>
        <w:tc>
          <w:tcPr>
            <w:tcW w:w="1312" w:type="dxa"/>
            <w:tcBorders>
              <w:top w:val="nil"/>
              <w:left w:val="nil"/>
              <w:bottom w:val="nil"/>
              <w:right w:val="nil"/>
            </w:tcBorders>
            <w:shd w:val="clear" w:color="auto" w:fill="auto"/>
            <w:noWrap/>
            <w:vAlign w:val="bottom"/>
            <w:hideMark/>
          </w:tcPr>
          <w:p w14:paraId="054DEB4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5,380</w:t>
            </w:r>
          </w:p>
        </w:tc>
        <w:tc>
          <w:tcPr>
            <w:tcW w:w="1312" w:type="dxa"/>
            <w:tcBorders>
              <w:top w:val="nil"/>
              <w:left w:val="nil"/>
              <w:bottom w:val="nil"/>
              <w:right w:val="nil"/>
            </w:tcBorders>
            <w:shd w:val="clear" w:color="auto" w:fill="auto"/>
            <w:noWrap/>
            <w:vAlign w:val="bottom"/>
            <w:hideMark/>
          </w:tcPr>
          <w:p w14:paraId="1948AA8A"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10,129</w:t>
            </w:r>
          </w:p>
        </w:tc>
        <w:tc>
          <w:tcPr>
            <w:tcW w:w="1439" w:type="dxa"/>
            <w:tcBorders>
              <w:top w:val="nil"/>
              <w:left w:val="nil"/>
              <w:bottom w:val="nil"/>
              <w:right w:val="nil"/>
            </w:tcBorders>
            <w:shd w:val="clear" w:color="auto" w:fill="auto"/>
            <w:noWrap/>
            <w:vAlign w:val="bottom"/>
            <w:hideMark/>
          </w:tcPr>
          <w:p w14:paraId="13C32124"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176A9">
              <w:rPr>
                <w:rFonts w:eastAsia="Times New Roman" w:cs="Calibri"/>
                <w:color w:val="002060"/>
                <w:sz w:val="20"/>
              </w:rPr>
              <w:t>17,476</w:t>
            </w:r>
          </w:p>
        </w:tc>
      </w:tr>
      <w:tr w:rsidR="005C437E" w:rsidRPr="00B176A9" w14:paraId="1602116E" w14:textId="77777777" w:rsidTr="002F7131">
        <w:trPr>
          <w:trHeight w:val="240"/>
        </w:trPr>
        <w:tc>
          <w:tcPr>
            <w:tcW w:w="3257" w:type="dxa"/>
            <w:tcBorders>
              <w:top w:val="nil"/>
              <w:left w:val="nil"/>
              <w:bottom w:val="nil"/>
              <w:right w:val="nil"/>
            </w:tcBorders>
            <w:shd w:val="clear" w:color="auto" w:fill="auto"/>
            <w:noWrap/>
            <w:vAlign w:val="bottom"/>
            <w:hideMark/>
          </w:tcPr>
          <w:p w14:paraId="51A607F7"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38" w:type="dxa"/>
            <w:tcBorders>
              <w:top w:val="nil"/>
              <w:left w:val="nil"/>
              <w:bottom w:val="nil"/>
              <w:right w:val="nil"/>
            </w:tcBorders>
            <w:shd w:val="clear" w:color="auto" w:fill="auto"/>
            <w:noWrap/>
            <w:vAlign w:val="bottom"/>
            <w:hideMark/>
          </w:tcPr>
          <w:p w14:paraId="698C76F4"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1" w:type="dxa"/>
            <w:tcBorders>
              <w:top w:val="nil"/>
              <w:left w:val="nil"/>
              <w:bottom w:val="nil"/>
              <w:right w:val="nil"/>
            </w:tcBorders>
            <w:shd w:val="clear" w:color="auto" w:fill="auto"/>
            <w:noWrap/>
            <w:vAlign w:val="bottom"/>
            <w:hideMark/>
          </w:tcPr>
          <w:p w14:paraId="4CBC61E1"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7203DC83"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192F7D63"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4DE9F2B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23122A35"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0AE9FC2A"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9" w:type="dxa"/>
            <w:tcBorders>
              <w:top w:val="nil"/>
              <w:left w:val="nil"/>
              <w:bottom w:val="nil"/>
              <w:right w:val="nil"/>
            </w:tcBorders>
            <w:shd w:val="clear" w:color="auto" w:fill="auto"/>
            <w:noWrap/>
            <w:vAlign w:val="bottom"/>
            <w:hideMark/>
          </w:tcPr>
          <w:p w14:paraId="4D7B809E"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176A9" w14:paraId="533CB599" w14:textId="77777777" w:rsidTr="002F7131">
        <w:trPr>
          <w:trHeight w:val="252"/>
        </w:trPr>
        <w:tc>
          <w:tcPr>
            <w:tcW w:w="3257" w:type="dxa"/>
            <w:tcBorders>
              <w:top w:val="nil"/>
              <w:left w:val="nil"/>
              <w:bottom w:val="nil"/>
              <w:right w:val="nil"/>
            </w:tcBorders>
            <w:shd w:val="clear" w:color="auto" w:fill="auto"/>
            <w:noWrap/>
            <w:vAlign w:val="bottom"/>
            <w:hideMark/>
          </w:tcPr>
          <w:p w14:paraId="68636F3E"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B176A9">
              <w:rPr>
                <w:rFonts w:cstheme="minorHAnsi"/>
                <w:sz w:val="20"/>
              </w:rPr>
              <w:t xml:space="preserve">2 - </w:t>
            </w:r>
            <w:r w:rsidRPr="00B176A9">
              <w:rPr>
                <w:rFonts w:cstheme="minorHAnsi"/>
                <w:sz w:val="20"/>
              </w:rPr>
              <w:t>其他人员费用</w:t>
            </w:r>
          </w:p>
        </w:tc>
        <w:tc>
          <w:tcPr>
            <w:tcW w:w="1438" w:type="dxa"/>
            <w:tcBorders>
              <w:top w:val="nil"/>
              <w:left w:val="nil"/>
              <w:bottom w:val="nil"/>
              <w:right w:val="nil"/>
            </w:tcBorders>
            <w:shd w:val="clear" w:color="auto" w:fill="auto"/>
            <w:noWrap/>
            <w:vAlign w:val="bottom"/>
            <w:hideMark/>
          </w:tcPr>
          <w:p w14:paraId="49AF85E6"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4</w:t>
            </w:r>
          </w:p>
        </w:tc>
        <w:tc>
          <w:tcPr>
            <w:tcW w:w="1311" w:type="dxa"/>
            <w:tcBorders>
              <w:top w:val="nil"/>
              <w:left w:val="nil"/>
              <w:bottom w:val="nil"/>
              <w:right w:val="nil"/>
            </w:tcBorders>
            <w:shd w:val="clear" w:color="auto" w:fill="auto"/>
            <w:noWrap/>
            <w:vAlign w:val="bottom"/>
            <w:hideMark/>
          </w:tcPr>
          <w:p w14:paraId="6DB0A35E"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8</w:t>
            </w:r>
          </w:p>
        </w:tc>
        <w:tc>
          <w:tcPr>
            <w:tcW w:w="1312" w:type="dxa"/>
            <w:tcBorders>
              <w:top w:val="nil"/>
              <w:left w:val="nil"/>
              <w:bottom w:val="nil"/>
              <w:right w:val="nil"/>
            </w:tcBorders>
            <w:shd w:val="clear" w:color="auto" w:fill="auto"/>
            <w:noWrap/>
            <w:vAlign w:val="bottom"/>
            <w:hideMark/>
          </w:tcPr>
          <w:p w14:paraId="2C782CAF"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312" w:type="dxa"/>
            <w:tcBorders>
              <w:top w:val="nil"/>
              <w:left w:val="nil"/>
              <w:bottom w:val="nil"/>
              <w:right w:val="nil"/>
            </w:tcBorders>
            <w:shd w:val="clear" w:color="auto" w:fill="auto"/>
            <w:noWrap/>
            <w:vAlign w:val="bottom"/>
            <w:hideMark/>
          </w:tcPr>
          <w:p w14:paraId="1956FFD5"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39A14215"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344</w:t>
            </w:r>
          </w:p>
        </w:tc>
        <w:tc>
          <w:tcPr>
            <w:tcW w:w="1312" w:type="dxa"/>
            <w:tcBorders>
              <w:top w:val="nil"/>
              <w:left w:val="nil"/>
              <w:bottom w:val="nil"/>
              <w:right w:val="nil"/>
            </w:tcBorders>
            <w:shd w:val="clear" w:color="auto" w:fill="auto"/>
            <w:noWrap/>
            <w:vAlign w:val="bottom"/>
            <w:hideMark/>
          </w:tcPr>
          <w:p w14:paraId="7A70DFD7"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1,581</w:t>
            </w:r>
          </w:p>
        </w:tc>
        <w:tc>
          <w:tcPr>
            <w:tcW w:w="1312" w:type="dxa"/>
            <w:tcBorders>
              <w:top w:val="nil"/>
              <w:left w:val="nil"/>
              <w:bottom w:val="nil"/>
              <w:right w:val="nil"/>
            </w:tcBorders>
            <w:shd w:val="clear" w:color="auto" w:fill="auto"/>
            <w:noWrap/>
            <w:vAlign w:val="bottom"/>
            <w:hideMark/>
          </w:tcPr>
          <w:p w14:paraId="57482E7E"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2,967</w:t>
            </w:r>
          </w:p>
        </w:tc>
        <w:tc>
          <w:tcPr>
            <w:tcW w:w="1439" w:type="dxa"/>
            <w:tcBorders>
              <w:top w:val="nil"/>
              <w:left w:val="nil"/>
              <w:bottom w:val="nil"/>
              <w:right w:val="nil"/>
            </w:tcBorders>
            <w:shd w:val="clear" w:color="auto" w:fill="auto"/>
            <w:noWrap/>
            <w:vAlign w:val="bottom"/>
            <w:hideMark/>
          </w:tcPr>
          <w:p w14:paraId="072C8D7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176A9">
              <w:rPr>
                <w:rFonts w:eastAsia="Times New Roman" w:cs="Calibri"/>
                <w:color w:val="002060"/>
                <w:sz w:val="20"/>
              </w:rPr>
              <w:t>4,904</w:t>
            </w:r>
          </w:p>
        </w:tc>
      </w:tr>
      <w:tr w:rsidR="005C437E" w:rsidRPr="00B176A9" w14:paraId="18FFFF2A" w14:textId="77777777" w:rsidTr="002F7131">
        <w:trPr>
          <w:trHeight w:val="240"/>
        </w:trPr>
        <w:tc>
          <w:tcPr>
            <w:tcW w:w="3257" w:type="dxa"/>
            <w:tcBorders>
              <w:top w:val="nil"/>
              <w:left w:val="nil"/>
              <w:bottom w:val="nil"/>
              <w:right w:val="nil"/>
            </w:tcBorders>
            <w:shd w:val="clear" w:color="auto" w:fill="auto"/>
            <w:noWrap/>
            <w:vAlign w:val="bottom"/>
            <w:hideMark/>
          </w:tcPr>
          <w:p w14:paraId="5B0F8978"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38" w:type="dxa"/>
            <w:tcBorders>
              <w:top w:val="nil"/>
              <w:left w:val="nil"/>
              <w:bottom w:val="nil"/>
              <w:right w:val="nil"/>
            </w:tcBorders>
            <w:shd w:val="clear" w:color="auto" w:fill="auto"/>
            <w:noWrap/>
            <w:vAlign w:val="bottom"/>
            <w:hideMark/>
          </w:tcPr>
          <w:p w14:paraId="7E19A718"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1" w:type="dxa"/>
            <w:tcBorders>
              <w:top w:val="nil"/>
              <w:left w:val="nil"/>
              <w:bottom w:val="nil"/>
              <w:right w:val="nil"/>
            </w:tcBorders>
            <w:shd w:val="clear" w:color="auto" w:fill="auto"/>
            <w:noWrap/>
            <w:vAlign w:val="bottom"/>
            <w:hideMark/>
          </w:tcPr>
          <w:p w14:paraId="392C3024"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6F3FA89F"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7834C9E7"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1C32A3B9"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5DBFACF9"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1D5BB236"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9" w:type="dxa"/>
            <w:tcBorders>
              <w:top w:val="nil"/>
              <w:left w:val="nil"/>
              <w:bottom w:val="nil"/>
              <w:right w:val="nil"/>
            </w:tcBorders>
            <w:shd w:val="clear" w:color="auto" w:fill="auto"/>
            <w:noWrap/>
            <w:vAlign w:val="bottom"/>
            <w:hideMark/>
          </w:tcPr>
          <w:p w14:paraId="61D08EB7"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176A9" w14:paraId="25498A79" w14:textId="77777777" w:rsidTr="002F7131">
        <w:trPr>
          <w:trHeight w:val="252"/>
        </w:trPr>
        <w:tc>
          <w:tcPr>
            <w:tcW w:w="3257" w:type="dxa"/>
            <w:tcBorders>
              <w:top w:val="nil"/>
              <w:left w:val="nil"/>
              <w:bottom w:val="nil"/>
              <w:right w:val="nil"/>
            </w:tcBorders>
            <w:shd w:val="clear" w:color="auto" w:fill="auto"/>
            <w:noWrap/>
            <w:vAlign w:val="bottom"/>
            <w:hideMark/>
          </w:tcPr>
          <w:p w14:paraId="2FECAB53"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B176A9">
              <w:rPr>
                <w:rFonts w:cstheme="minorHAnsi"/>
                <w:sz w:val="20"/>
              </w:rPr>
              <w:t xml:space="preserve">3 - </w:t>
            </w:r>
            <w:r w:rsidRPr="00B176A9">
              <w:rPr>
                <w:rFonts w:cstheme="minorHAnsi"/>
                <w:sz w:val="20"/>
              </w:rPr>
              <w:t>公务差旅</w:t>
            </w:r>
          </w:p>
        </w:tc>
        <w:tc>
          <w:tcPr>
            <w:tcW w:w="1438" w:type="dxa"/>
            <w:tcBorders>
              <w:top w:val="nil"/>
              <w:left w:val="nil"/>
              <w:bottom w:val="nil"/>
              <w:right w:val="nil"/>
            </w:tcBorders>
            <w:shd w:val="clear" w:color="auto" w:fill="auto"/>
            <w:noWrap/>
            <w:vAlign w:val="bottom"/>
            <w:hideMark/>
          </w:tcPr>
          <w:p w14:paraId="25756A6B"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70</w:t>
            </w:r>
          </w:p>
        </w:tc>
        <w:tc>
          <w:tcPr>
            <w:tcW w:w="1311" w:type="dxa"/>
            <w:tcBorders>
              <w:top w:val="nil"/>
              <w:left w:val="nil"/>
              <w:bottom w:val="nil"/>
              <w:right w:val="nil"/>
            </w:tcBorders>
            <w:shd w:val="clear" w:color="auto" w:fill="auto"/>
            <w:noWrap/>
            <w:vAlign w:val="bottom"/>
            <w:hideMark/>
          </w:tcPr>
          <w:p w14:paraId="2480477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170</w:t>
            </w:r>
          </w:p>
        </w:tc>
        <w:tc>
          <w:tcPr>
            <w:tcW w:w="1312" w:type="dxa"/>
            <w:tcBorders>
              <w:top w:val="nil"/>
              <w:left w:val="nil"/>
              <w:bottom w:val="nil"/>
              <w:right w:val="nil"/>
            </w:tcBorders>
            <w:shd w:val="clear" w:color="auto" w:fill="auto"/>
            <w:noWrap/>
            <w:vAlign w:val="bottom"/>
            <w:hideMark/>
          </w:tcPr>
          <w:p w14:paraId="68435E39"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1,351</w:t>
            </w:r>
          </w:p>
        </w:tc>
        <w:tc>
          <w:tcPr>
            <w:tcW w:w="1312" w:type="dxa"/>
            <w:tcBorders>
              <w:top w:val="nil"/>
              <w:left w:val="nil"/>
              <w:bottom w:val="nil"/>
              <w:right w:val="nil"/>
            </w:tcBorders>
            <w:shd w:val="clear" w:color="auto" w:fill="auto"/>
            <w:noWrap/>
            <w:vAlign w:val="bottom"/>
            <w:hideMark/>
          </w:tcPr>
          <w:p w14:paraId="7B82AC69"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30</w:t>
            </w:r>
          </w:p>
        </w:tc>
        <w:tc>
          <w:tcPr>
            <w:tcW w:w="1312" w:type="dxa"/>
            <w:tcBorders>
              <w:top w:val="nil"/>
              <w:left w:val="nil"/>
              <w:bottom w:val="nil"/>
              <w:right w:val="nil"/>
            </w:tcBorders>
            <w:shd w:val="clear" w:color="auto" w:fill="auto"/>
            <w:noWrap/>
            <w:vAlign w:val="bottom"/>
            <w:hideMark/>
          </w:tcPr>
          <w:p w14:paraId="5F1D3413"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100</w:t>
            </w:r>
          </w:p>
        </w:tc>
        <w:tc>
          <w:tcPr>
            <w:tcW w:w="1312" w:type="dxa"/>
            <w:tcBorders>
              <w:top w:val="nil"/>
              <w:left w:val="nil"/>
              <w:bottom w:val="nil"/>
              <w:right w:val="nil"/>
            </w:tcBorders>
            <w:shd w:val="clear" w:color="auto" w:fill="auto"/>
            <w:noWrap/>
            <w:vAlign w:val="bottom"/>
            <w:hideMark/>
          </w:tcPr>
          <w:p w14:paraId="7E63A786"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207</w:t>
            </w:r>
          </w:p>
        </w:tc>
        <w:tc>
          <w:tcPr>
            <w:tcW w:w="1312" w:type="dxa"/>
            <w:tcBorders>
              <w:top w:val="nil"/>
              <w:left w:val="nil"/>
              <w:bottom w:val="nil"/>
              <w:right w:val="nil"/>
            </w:tcBorders>
            <w:shd w:val="clear" w:color="auto" w:fill="auto"/>
            <w:noWrap/>
            <w:vAlign w:val="bottom"/>
            <w:hideMark/>
          </w:tcPr>
          <w:p w14:paraId="501EABBA"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91</w:t>
            </w:r>
          </w:p>
        </w:tc>
        <w:tc>
          <w:tcPr>
            <w:tcW w:w="1439" w:type="dxa"/>
            <w:tcBorders>
              <w:top w:val="nil"/>
              <w:left w:val="nil"/>
              <w:bottom w:val="nil"/>
              <w:right w:val="nil"/>
            </w:tcBorders>
            <w:shd w:val="clear" w:color="auto" w:fill="auto"/>
            <w:noWrap/>
            <w:vAlign w:val="bottom"/>
            <w:hideMark/>
          </w:tcPr>
          <w:p w14:paraId="43AED5B6"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176A9">
              <w:rPr>
                <w:rFonts w:eastAsia="Times New Roman" w:cs="Calibri"/>
                <w:color w:val="002060"/>
                <w:sz w:val="20"/>
              </w:rPr>
              <w:t>2,019</w:t>
            </w:r>
          </w:p>
        </w:tc>
      </w:tr>
      <w:tr w:rsidR="005C437E" w:rsidRPr="00B176A9" w14:paraId="1AC3BD7A" w14:textId="77777777" w:rsidTr="002F7131">
        <w:trPr>
          <w:trHeight w:val="240"/>
        </w:trPr>
        <w:tc>
          <w:tcPr>
            <w:tcW w:w="3257" w:type="dxa"/>
            <w:tcBorders>
              <w:top w:val="nil"/>
              <w:left w:val="nil"/>
              <w:bottom w:val="nil"/>
              <w:right w:val="nil"/>
            </w:tcBorders>
            <w:shd w:val="clear" w:color="auto" w:fill="auto"/>
            <w:noWrap/>
            <w:vAlign w:val="bottom"/>
            <w:hideMark/>
          </w:tcPr>
          <w:p w14:paraId="11521841"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38" w:type="dxa"/>
            <w:tcBorders>
              <w:top w:val="nil"/>
              <w:left w:val="nil"/>
              <w:bottom w:val="nil"/>
              <w:right w:val="nil"/>
            </w:tcBorders>
            <w:shd w:val="clear" w:color="auto" w:fill="auto"/>
            <w:noWrap/>
            <w:vAlign w:val="bottom"/>
            <w:hideMark/>
          </w:tcPr>
          <w:p w14:paraId="1579365B"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1" w:type="dxa"/>
            <w:tcBorders>
              <w:top w:val="nil"/>
              <w:left w:val="nil"/>
              <w:bottom w:val="nil"/>
              <w:right w:val="nil"/>
            </w:tcBorders>
            <w:shd w:val="clear" w:color="auto" w:fill="auto"/>
            <w:noWrap/>
            <w:vAlign w:val="bottom"/>
            <w:hideMark/>
          </w:tcPr>
          <w:p w14:paraId="6626F222"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7F240194"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235D74F1"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535C03D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0C0D059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6A9D00B8"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9" w:type="dxa"/>
            <w:tcBorders>
              <w:top w:val="nil"/>
              <w:left w:val="nil"/>
              <w:bottom w:val="nil"/>
              <w:right w:val="nil"/>
            </w:tcBorders>
            <w:shd w:val="clear" w:color="auto" w:fill="auto"/>
            <w:noWrap/>
            <w:vAlign w:val="bottom"/>
            <w:hideMark/>
          </w:tcPr>
          <w:p w14:paraId="243184E3"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176A9" w14:paraId="4621EF1F" w14:textId="77777777" w:rsidTr="002F7131">
        <w:trPr>
          <w:trHeight w:val="252"/>
        </w:trPr>
        <w:tc>
          <w:tcPr>
            <w:tcW w:w="3257" w:type="dxa"/>
            <w:tcBorders>
              <w:top w:val="nil"/>
              <w:left w:val="nil"/>
              <w:bottom w:val="nil"/>
              <w:right w:val="nil"/>
            </w:tcBorders>
            <w:shd w:val="clear" w:color="auto" w:fill="auto"/>
            <w:noWrap/>
            <w:vAlign w:val="bottom"/>
            <w:hideMark/>
          </w:tcPr>
          <w:p w14:paraId="6248AFF5"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B176A9">
              <w:rPr>
                <w:rFonts w:cstheme="minorHAnsi"/>
                <w:sz w:val="20"/>
              </w:rPr>
              <w:t xml:space="preserve">4 - </w:t>
            </w:r>
            <w:r w:rsidRPr="00B176A9">
              <w:rPr>
                <w:rFonts w:cstheme="minorHAnsi"/>
                <w:sz w:val="20"/>
              </w:rPr>
              <w:t>合同服务</w:t>
            </w:r>
          </w:p>
        </w:tc>
        <w:tc>
          <w:tcPr>
            <w:tcW w:w="1438" w:type="dxa"/>
            <w:tcBorders>
              <w:top w:val="nil"/>
              <w:left w:val="nil"/>
              <w:bottom w:val="nil"/>
              <w:right w:val="nil"/>
            </w:tcBorders>
            <w:shd w:val="clear" w:color="auto" w:fill="auto"/>
            <w:noWrap/>
            <w:vAlign w:val="bottom"/>
            <w:hideMark/>
          </w:tcPr>
          <w:p w14:paraId="19934484"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10</w:t>
            </w:r>
          </w:p>
        </w:tc>
        <w:tc>
          <w:tcPr>
            <w:tcW w:w="1311" w:type="dxa"/>
            <w:tcBorders>
              <w:top w:val="nil"/>
              <w:left w:val="nil"/>
              <w:bottom w:val="nil"/>
              <w:right w:val="nil"/>
            </w:tcBorders>
            <w:shd w:val="clear" w:color="auto" w:fill="auto"/>
            <w:noWrap/>
            <w:vAlign w:val="bottom"/>
            <w:hideMark/>
          </w:tcPr>
          <w:p w14:paraId="41B82EC1"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10</w:t>
            </w:r>
          </w:p>
        </w:tc>
        <w:tc>
          <w:tcPr>
            <w:tcW w:w="1312" w:type="dxa"/>
            <w:tcBorders>
              <w:top w:val="nil"/>
              <w:left w:val="nil"/>
              <w:bottom w:val="nil"/>
              <w:right w:val="nil"/>
            </w:tcBorders>
            <w:shd w:val="clear" w:color="auto" w:fill="auto"/>
            <w:noWrap/>
            <w:vAlign w:val="bottom"/>
            <w:hideMark/>
          </w:tcPr>
          <w:p w14:paraId="51E681CC"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2,373</w:t>
            </w:r>
          </w:p>
        </w:tc>
        <w:tc>
          <w:tcPr>
            <w:tcW w:w="1312" w:type="dxa"/>
            <w:tcBorders>
              <w:top w:val="nil"/>
              <w:left w:val="nil"/>
              <w:bottom w:val="nil"/>
              <w:right w:val="nil"/>
            </w:tcBorders>
            <w:shd w:val="clear" w:color="auto" w:fill="auto"/>
            <w:noWrap/>
            <w:vAlign w:val="bottom"/>
            <w:hideMark/>
          </w:tcPr>
          <w:p w14:paraId="130E473A"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50</w:t>
            </w:r>
          </w:p>
        </w:tc>
        <w:tc>
          <w:tcPr>
            <w:tcW w:w="1312" w:type="dxa"/>
            <w:tcBorders>
              <w:top w:val="nil"/>
              <w:left w:val="nil"/>
              <w:bottom w:val="nil"/>
              <w:right w:val="nil"/>
            </w:tcBorders>
            <w:shd w:val="clear" w:color="auto" w:fill="auto"/>
            <w:noWrap/>
            <w:vAlign w:val="bottom"/>
            <w:hideMark/>
          </w:tcPr>
          <w:p w14:paraId="25CF46E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50</w:t>
            </w:r>
          </w:p>
        </w:tc>
        <w:tc>
          <w:tcPr>
            <w:tcW w:w="1312" w:type="dxa"/>
            <w:tcBorders>
              <w:top w:val="nil"/>
              <w:left w:val="nil"/>
              <w:bottom w:val="nil"/>
              <w:right w:val="nil"/>
            </w:tcBorders>
            <w:shd w:val="clear" w:color="auto" w:fill="auto"/>
            <w:noWrap/>
            <w:vAlign w:val="bottom"/>
            <w:hideMark/>
          </w:tcPr>
          <w:p w14:paraId="1BE0B72F"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36</w:t>
            </w:r>
          </w:p>
        </w:tc>
        <w:tc>
          <w:tcPr>
            <w:tcW w:w="1312" w:type="dxa"/>
            <w:tcBorders>
              <w:top w:val="nil"/>
              <w:left w:val="nil"/>
              <w:bottom w:val="nil"/>
              <w:right w:val="nil"/>
            </w:tcBorders>
            <w:shd w:val="clear" w:color="auto" w:fill="auto"/>
            <w:noWrap/>
            <w:vAlign w:val="bottom"/>
            <w:hideMark/>
          </w:tcPr>
          <w:p w14:paraId="16E04BAF"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439" w:type="dxa"/>
            <w:tcBorders>
              <w:top w:val="nil"/>
              <w:left w:val="nil"/>
              <w:bottom w:val="nil"/>
              <w:right w:val="nil"/>
            </w:tcBorders>
            <w:shd w:val="clear" w:color="auto" w:fill="auto"/>
            <w:noWrap/>
            <w:vAlign w:val="bottom"/>
            <w:hideMark/>
          </w:tcPr>
          <w:p w14:paraId="35C44899" w14:textId="0A8A87AC"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176A9">
              <w:rPr>
                <w:rFonts w:eastAsia="Times New Roman" w:cs="Calibri"/>
                <w:color w:val="002060"/>
                <w:sz w:val="20"/>
              </w:rPr>
              <w:t>2,529</w:t>
            </w:r>
          </w:p>
        </w:tc>
      </w:tr>
      <w:tr w:rsidR="005C437E" w:rsidRPr="00B176A9" w14:paraId="16249E1D" w14:textId="77777777" w:rsidTr="002F7131">
        <w:trPr>
          <w:trHeight w:val="240"/>
        </w:trPr>
        <w:tc>
          <w:tcPr>
            <w:tcW w:w="3257" w:type="dxa"/>
            <w:tcBorders>
              <w:top w:val="nil"/>
              <w:left w:val="nil"/>
              <w:bottom w:val="nil"/>
              <w:right w:val="nil"/>
            </w:tcBorders>
            <w:shd w:val="clear" w:color="auto" w:fill="auto"/>
            <w:noWrap/>
            <w:vAlign w:val="bottom"/>
            <w:hideMark/>
          </w:tcPr>
          <w:p w14:paraId="1EDF546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38" w:type="dxa"/>
            <w:tcBorders>
              <w:top w:val="nil"/>
              <w:left w:val="nil"/>
              <w:bottom w:val="nil"/>
              <w:right w:val="nil"/>
            </w:tcBorders>
            <w:shd w:val="clear" w:color="auto" w:fill="auto"/>
            <w:noWrap/>
            <w:vAlign w:val="bottom"/>
            <w:hideMark/>
          </w:tcPr>
          <w:p w14:paraId="78B69D1B"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1" w:type="dxa"/>
            <w:tcBorders>
              <w:top w:val="nil"/>
              <w:left w:val="nil"/>
              <w:bottom w:val="nil"/>
              <w:right w:val="nil"/>
            </w:tcBorders>
            <w:shd w:val="clear" w:color="auto" w:fill="auto"/>
            <w:noWrap/>
            <w:vAlign w:val="bottom"/>
            <w:hideMark/>
          </w:tcPr>
          <w:p w14:paraId="10B607E7"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3259DC65"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3C68E05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1E74292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695C7192"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1A7DE028"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9" w:type="dxa"/>
            <w:tcBorders>
              <w:top w:val="nil"/>
              <w:left w:val="nil"/>
              <w:bottom w:val="nil"/>
              <w:right w:val="nil"/>
            </w:tcBorders>
            <w:shd w:val="clear" w:color="auto" w:fill="auto"/>
            <w:noWrap/>
            <w:vAlign w:val="bottom"/>
            <w:hideMark/>
          </w:tcPr>
          <w:p w14:paraId="6A0D2A82"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176A9" w14:paraId="6AFD1262" w14:textId="77777777" w:rsidTr="002F7131">
        <w:trPr>
          <w:trHeight w:val="255"/>
        </w:trPr>
        <w:tc>
          <w:tcPr>
            <w:tcW w:w="3257" w:type="dxa"/>
            <w:tcBorders>
              <w:top w:val="nil"/>
              <w:left w:val="nil"/>
              <w:bottom w:val="nil"/>
              <w:right w:val="nil"/>
            </w:tcBorders>
            <w:shd w:val="clear" w:color="auto" w:fill="auto"/>
            <w:vAlign w:val="bottom"/>
            <w:hideMark/>
          </w:tcPr>
          <w:p w14:paraId="15D26CB2"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B176A9">
              <w:rPr>
                <w:rFonts w:cstheme="minorHAnsi"/>
                <w:sz w:val="20"/>
                <w:lang w:eastAsia="zh-CN"/>
              </w:rPr>
              <w:t xml:space="preserve">5 - </w:t>
            </w:r>
            <w:r w:rsidRPr="00B176A9">
              <w:rPr>
                <w:rFonts w:cstheme="minorHAnsi"/>
                <w:sz w:val="20"/>
                <w:lang w:eastAsia="zh-CN"/>
              </w:rPr>
              <w:t>房屋设施和设备的租用与维护</w:t>
            </w:r>
          </w:p>
        </w:tc>
        <w:tc>
          <w:tcPr>
            <w:tcW w:w="1438" w:type="dxa"/>
            <w:tcBorders>
              <w:top w:val="nil"/>
              <w:left w:val="nil"/>
              <w:bottom w:val="nil"/>
              <w:right w:val="nil"/>
            </w:tcBorders>
            <w:shd w:val="clear" w:color="auto" w:fill="auto"/>
            <w:noWrap/>
            <w:vAlign w:val="bottom"/>
            <w:hideMark/>
          </w:tcPr>
          <w:p w14:paraId="44A097F2"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lang w:eastAsia="zh-CN"/>
              </w:rPr>
            </w:pPr>
          </w:p>
        </w:tc>
        <w:tc>
          <w:tcPr>
            <w:tcW w:w="1311" w:type="dxa"/>
            <w:tcBorders>
              <w:top w:val="nil"/>
              <w:left w:val="nil"/>
              <w:bottom w:val="nil"/>
              <w:right w:val="nil"/>
            </w:tcBorders>
            <w:shd w:val="clear" w:color="auto" w:fill="auto"/>
            <w:noWrap/>
            <w:vAlign w:val="bottom"/>
            <w:hideMark/>
          </w:tcPr>
          <w:p w14:paraId="5FF1E9FE"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312" w:type="dxa"/>
            <w:tcBorders>
              <w:top w:val="nil"/>
              <w:left w:val="nil"/>
              <w:bottom w:val="nil"/>
              <w:right w:val="nil"/>
            </w:tcBorders>
            <w:shd w:val="clear" w:color="auto" w:fill="auto"/>
            <w:noWrap/>
            <w:vAlign w:val="bottom"/>
            <w:hideMark/>
          </w:tcPr>
          <w:p w14:paraId="5EAA8F43"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312" w:type="dxa"/>
            <w:tcBorders>
              <w:top w:val="nil"/>
              <w:left w:val="nil"/>
              <w:bottom w:val="nil"/>
              <w:right w:val="nil"/>
            </w:tcBorders>
            <w:shd w:val="clear" w:color="auto" w:fill="auto"/>
            <w:noWrap/>
            <w:vAlign w:val="bottom"/>
            <w:hideMark/>
          </w:tcPr>
          <w:p w14:paraId="5046DCF3"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90</w:t>
            </w:r>
          </w:p>
        </w:tc>
        <w:tc>
          <w:tcPr>
            <w:tcW w:w="1312" w:type="dxa"/>
            <w:tcBorders>
              <w:top w:val="nil"/>
              <w:left w:val="nil"/>
              <w:bottom w:val="nil"/>
              <w:right w:val="nil"/>
            </w:tcBorders>
            <w:shd w:val="clear" w:color="auto" w:fill="auto"/>
            <w:noWrap/>
            <w:vAlign w:val="bottom"/>
            <w:hideMark/>
          </w:tcPr>
          <w:p w14:paraId="4997276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312" w:type="dxa"/>
            <w:tcBorders>
              <w:top w:val="nil"/>
              <w:left w:val="nil"/>
              <w:bottom w:val="nil"/>
              <w:right w:val="nil"/>
            </w:tcBorders>
            <w:shd w:val="clear" w:color="auto" w:fill="auto"/>
            <w:noWrap/>
            <w:vAlign w:val="bottom"/>
            <w:hideMark/>
          </w:tcPr>
          <w:p w14:paraId="46D04F92"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49</w:t>
            </w:r>
          </w:p>
        </w:tc>
        <w:tc>
          <w:tcPr>
            <w:tcW w:w="1312" w:type="dxa"/>
            <w:tcBorders>
              <w:top w:val="nil"/>
              <w:left w:val="nil"/>
              <w:bottom w:val="nil"/>
              <w:right w:val="nil"/>
            </w:tcBorders>
            <w:shd w:val="clear" w:color="auto" w:fill="auto"/>
            <w:noWrap/>
            <w:vAlign w:val="bottom"/>
            <w:hideMark/>
          </w:tcPr>
          <w:p w14:paraId="40897F1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439" w:type="dxa"/>
            <w:tcBorders>
              <w:top w:val="nil"/>
              <w:left w:val="nil"/>
              <w:bottom w:val="nil"/>
              <w:right w:val="nil"/>
            </w:tcBorders>
            <w:shd w:val="clear" w:color="auto" w:fill="auto"/>
            <w:noWrap/>
            <w:vAlign w:val="bottom"/>
            <w:hideMark/>
          </w:tcPr>
          <w:p w14:paraId="75DE44AA"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176A9">
              <w:rPr>
                <w:rFonts w:eastAsia="Times New Roman" w:cs="Calibri"/>
                <w:color w:val="002060"/>
                <w:sz w:val="20"/>
              </w:rPr>
              <w:t>139</w:t>
            </w:r>
          </w:p>
        </w:tc>
      </w:tr>
      <w:tr w:rsidR="005C437E" w:rsidRPr="00B176A9" w14:paraId="36D134C6" w14:textId="77777777" w:rsidTr="002F7131">
        <w:trPr>
          <w:trHeight w:val="240"/>
        </w:trPr>
        <w:tc>
          <w:tcPr>
            <w:tcW w:w="3257" w:type="dxa"/>
            <w:tcBorders>
              <w:top w:val="nil"/>
              <w:left w:val="nil"/>
              <w:bottom w:val="nil"/>
              <w:right w:val="nil"/>
            </w:tcBorders>
            <w:shd w:val="clear" w:color="auto" w:fill="auto"/>
            <w:noWrap/>
            <w:vAlign w:val="bottom"/>
            <w:hideMark/>
          </w:tcPr>
          <w:p w14:paraId="09B737B6"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38" w:type="dxa"/>
            <w:tcBorders>
              <w:top w:val="nil"/>
              <w:left w:val="nil"/>
              <w:bottom w:val="nil"/>
              <w:right w:val="nil"/>
            </w:tcBorders>
            <w:shd w:val="clear" w:color="auto" w:fill="auto"/>
            <w:noWrap/>
            <w:vAlign w:val="bottom"/>
            <w:hideMark/>
          </w:tcPr>
          <w:p w14:paraId="54E0E934"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1" w:type="dxa"/>
            <w:tcBorders>
              <w:top w:val="nil"/>
              <w:left w:val="nil"/>
              <w:bottom w:val="nil"/>
              <w:right w:val="nil"/>
            </w:tcBorders>
            <w:shd w:val="clear" w:color="auto" w:fill="auto"/>
            <w:noWrap/>
            <w:vAlign w:val="bottom"/>
            <w:hideMark/>
          </w:tcPr>
          <w:p w14:paraId="535F508C"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0AA1F0D7"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01A123C1"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1DE546B5"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7FD64BF1"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5B2C5F1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9" w:type="dxa"/>
            <w:tcBorders>
              <w:top w:val="nil"/>
              <w:left w:val="nil"/>
              <w:bottom w:val="nil"/>
              <w:right w:val="nil"/>
            </w:tcBorders>
            <w:shd w:val="clear" w:color="auto" w:fill="auto"/>
            <w:noWrap/>
            <w:vAlign w:val="bottom"/>
            <w:hideMark/>
          </w:tcPr>
          <w:p w14:paraId="5049B5D3"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176A9" w14:paraId="02EB5E59" w14:textId="77777777" w:rsidTr="002F7131">
        <w:trPr>
          <w:trHeight w:val="252"/>
        </w:trPr>
        <w:tc>
          <w:tcPr>
            <w:tcW w:w="3257" w:type="dxa"/>
            <w:tcBorders>
              <w:top w:val="nil"/>
              <w:left w:val="nil"/>
              <w:bottom w:val="nil"/>
              <w:right w:val="nil"/>
            </w:tcBorders>
            <w:shd w:val="clear" w:color="auto" w:fill="auto"/>
            <w:noWrap/>
            <w:vAlign w:val="bottom"/>
            <w:hideMark/>
          </w:tcPr>
          <w:p w14:paraId="12E25099"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B176A9">
              <w:rPr>
                <w:rFonts w:cstheme="minorHAnsi"/>
                <w:sz w:val="20"/>
              </w:rPr>
              <w:t xml:space="preserve">6 - </w:t>
            </w:r>
            <w:r w:rsidRPr="00B176A9">
              <w:rPr>
                <w:rFonts w:cstheme="minorHAnsi"/>
                <w:sz w:val="20"/>
              </w:rPr>
              <w:t>材料和办公用品</w:t>
            </w:r>
          </w:p>
        </w:tc>
        <w:tc>
          <w:tcPr>
            <w:tcW w:w="1438" w:type="dxa"/>
            <w:tcBorders>
              <w:top w:val="nil"/>
              <w:left w:val="nil"/>
              <w:bottom w:val="nil"/>
              <w:right w:val="nil"/>
            </w:tcBorders>
            <w:shd w:val="clear" w:color="auto" w:fill="auto"/>
            <w:noWrap/>
            <w:vAlign w:val="bottom"/>
            <w:hideMark/>
          </w:tcPr>
          <w:p w14:paraId="0F3AA7B2"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p>
        </w:tc>
        <w:tc>
          <w:tcPr>
            <w:tcW w:w="1311" w:type="dxa"/>
            <w:tcBorders>
              <w:top w:val="nil"/>
              <w:left w:val="nil"/>
              <w:bottom w:val="nil"/>
              <w:right w:val="nil"/>
            </w:tcBorders>
            <w:shd w:val="clear" w:color="auto" w:fill="auto"/>
            <w:noWrap/>
            <w:vAlign w:val="bottom"/>
            <w:hideMark/>
          </w:tcPr>
          <w:p w14:paraId="58400E49"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2C70F052"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11</w:t>
            </w:r>
          </w:p>
        </w:tc>
        <w:tc>
          <w:tcPr>
            <w:tcW w:w="1312" w:type="dxa"/>
            <w:tcBorders>
              <w:top w:val="nil"/>
              <w:left w:val="nil"/>
              <w:bottom w:val="nil"/>
              <w:right w:val="nil"/>
            </w:tcBorders>
            <w:shd w:val="clear" w:color="auto" w:fill="auto"/>
            <w:noWrap/>
            <w:vAlign w:val="bottom"/>
            <w:hideMark/>
          </w:tcPr>
          <w:p w14:paraId="03C03F8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33</w:t>
            </w:r>
          </w:p>
        </w:tc>
        <w:tc>
          <w:tcPr>
            <w:tcW w:w="1312" w:type="dxa"/>
            <w:tcBorders>
              <w:top w:val="nil"/>
              <w:left w:val="nil"/>
              <w:bottom w:val="nil"/>
              <w:right w:val="nil"/>
            </w:tcBorders>
            <w:shd w:val="clear" w:color="auto" w:fill="auto"/>
            <w:noWrap/>
            <w:vAlign w:val="bottom"/>
            <w:hideMark/>
          </w:tcPr>
          <w:p w14:paraId="0152BBD3"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312" w:type="dxa"/>
            <w:tcBorders>
              <w:top w:val="nil"/>
              <w:left w:val="nil"/>
              <w:bottom w:val="nil"/>
              <w:right w:val="nil"/>
            </w:tcBorders>
            <w:shd w:val="clear" w:color="auto" w:fill="auto"/>
            <w:noWrap/>
            <w:vAlign w:val="bottom"/>
            <w:hideMark/>
          </w:tcPr>
          <w:p w14:paraId="5DFC3896"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44</w:t>
            </w:r>
          </w:p>
        </w:tc>
        <w:tc>
          <w:tcPr>
            <w:tcW w:w="1312" w:type="dxa"/>
            <w:tcBorders>
              <w:top w:val="nil"/>
              <w:left w:val="nil"/>
              <w:bottom w:val="nil"/>
              <w:right w:val="nil"/>
            </w:tcBorders>
            <w:shd w:val="clear" w:color="auto" w:fill="auto"/>
            <w:noWrap/>
            <w:vAlign w:val="bottom"/>
            <w:hideMark/>
          </w:tcPr>
          <w:p w14:paraId="3013AF68"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439" w:type="dxa"/>
            <w:tcBorders>
              <w:top w:val="nil"/>
              <w:left w:val="nil"/>
              <w:bottom w:val="nil"/>
              <w:right w:val="nil"/>
            </w:tcBorders>
            <w:shd w:val="clear" w:color="auto" w:fill="auto"/>
            <w:noWrap/>
            <w:vAlign w:val="bottom"/>
            <w:hideMark/>
          </w:tcPr>
          <w:p w14:paraId="7E3CF0B5"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176A9">
              <w:rPr>
                <w:rFonts w:eastAsia="Times New Roman" w:cs="Calibri"/>
                <w:color w:val="002060"/>
                <w:sz w:val="20"/>
              </w:rPr>
              <w:t>88</w:t>
            </w:r>
          </w:p>
        </w:tc>
      </w:tr>
      <w:tr w:rsidR="005C437E" w:rsidRPr="00B176A9" w14:paraId="65511865" w14:textId="77777777" w:rsidTr="002F7131">
        <w:trPr>
          <w:trHeight w:val="240"/>
        </w:trPr>
        <w:tc>
          <w:tcPr>
            <w:tcW w:w="3257" w:type="dxa"/>
            <w:tcBorders>
              <w:top w:val="nil"/>
              <w:left w:val="nil"/>
              <w:bottom w:val="nil"/>
              <w:right w:val="nil"/>
            </w:tcBorders>
            <w:shd w:val="clear" w:color="auto" w:fill="auto"/>
            <w:noWrap/>
            <w:vAlign w:val="bottom"/>
            <w:hideMark/>
          </w:tcPr>
          <w:p w14:paraId="1A8F22EC"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38" w:type="dxa"/>
            <w:tcBorders>
              <w:top w:val="nil"/>
              <w:left w:val="nil"/>
              <w:bottom w:val="nil"/>
              <w:right w:val="nil"/>
            </w:tcBorders>
            <w:shd w:val="clear" w:color="auto" w:fill="auto"/>
            <w:noWrap/>
            <w:vAlign w:val="bottom"/>
            <w:hideMark/>
          </w:tcPr>
          <w:p w14:paraId="003B801F"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1" w:type="dxa"/>
            <w:tcBorders>
              <w:top w:val="nil"/>
              <w:left w:val="nil"/>
              <w:bottom w:val="nil"/>
              <w:right w:val="nil"/>
            </w:tcBorders>
            <w:shd w:val="clear" w:color="auto" w:fill="auto"/>
            <w:noWrap/>
            <w:vAlign w:val="bottom"/>
            <w:hideMark/>
          </w:tcPr>
          <w:p w14:paraId="05AEDB37"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201C7811"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7F36F707"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7AAFD32B"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46451860"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63C4E92C"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9" w:type="dxa"/>
            <w:tcBorders>
              <w:top w:val="nil"/>
              <w:left w:val="nil"/>
              <w:bottom w:val="nil"/>
              <w:right w:val="nil"/>
            </w:tcBorders>
            <w:shd w:val="clear" w:color="auto" w:fill="auto"/>
            <w:noWrap/>
            <w:vAlign w:val="bottom"/>
            <w:hideMark/>
          </w:tcPr>
          <w:p w14:paraId="14323612"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176A9" w14:paraId="7CC0BB39" w14:textId="77777777" w:rsidTr="002F7131">
        <w:trPr>
          <w:trHeight w:val="241"/>
        </w:trPr>
        <w:tc>
          <w:tcPr>
            <w:tcW w:w="3257" w:type="dxa"/>
            <w:tcBorders>
              <w:top w:val="nil"/>
              <w:left w:val="nil"/>
              <w:bottom w:val="nil"/>
              <w:right w:val="nil"/>
            </w:tcBorders>
            <w:shd w:val="clear" w:color="auto" w:fill="auto"/>
            <w:vAlign w:val="bottom"/>
            <w:hideMark/>
          </w:tcPr>
          <w:p w14:paraId="7321BBF2"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B176A9">
              <w:rPr>
                <w:rFonts w:cstheme="minorHAnsi"/>
                <w:sz w:val="20"/>
                <w:lang w:eastAsia="zh-CN"/>
              </w:rPr>
              <w:t xml:space="preserve">7 -  </w:t>
            </w:r>
            <w:r w:rsidRPr="00B176A9">
              <w:rPr>
                <w:rFonts w:cstheme="minorHAnsi"/>
                <w:sz w:val="20"/>
                <w:lang w:eastAsia="zh-CN"/>
              </w:rPr>
              <w:t>房屋设施、家具和设备的采购</w:t>
            </w:r>
          </w:p>
        </w:tc>
        <w:tc>
          <w:tcPr>
            <w:tcW w:w="1438" w:type="dxa"/>
            <w:tcBorders>
              <w:top w:val="nil"/>
              <w:left w:val="nil"/>
              <w:bottom w:val="nil"/>
              <w:right w:val="nil"/>
            </w:tcBorders>
            <w:shd w:val="clear" w:color="auto" w:fill="auto"/>
            <w:noWrap/>
            <w:vAlign w:val="bottom"/>
            <w:hideMark/>
          </w:tcPr>
          <w:p w14:paraId="70342A46"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lang w:eastAsia="zh-CN"/>
              </w:rPr>
            </w:pPr>
          </w:p>
        </w:tc>
        <w:tc>
          <w:tcPr>
            <w:tcW w:w="1311" w:type="dxa"/>
            <w:tcBorders>
              <w:top w:val="nil"/>
              <w:left w:val="nil"/>
              <w:bottom w:val="nil"/>
              <w:right w:val="nil"/>
            </w:tcBorders>
            <w:shd w:val="clear" w:color="auto" w:fill="auto"/>
            <w:noWrap/>
            <w:vAlign w:val="bottom"/>
            <w:hideMark/>
          </w:tcPr>
          <w:p w14:paraId="1C46A6E8"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312" w:type="dxa"/>
            <w:tcBorders>
              <w:top w:val="nil"/>
              <w:left w:val="nil"/>
              <w:bottom w:val="nil"/>
              <w:right w:val="nil"/>
            </w:tcBorders>
            <w:shd w:val="clear" w:color="auto" w:fill="auto"/>
            <w:noWrap/>
            <w:vAlign w:val="bottom"/>
            <w:hideMark/>
          </w:tcPr>
          <w:p w14:paraId="5D7DE646"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312" w:type="dxa"/>
            <w:tcBorders>
              <w:top w:val="nil"/>
              <w:left w:val="nil"/>
              <w:bottom w:val="nil"/>
              <w:right w:val="nil"/>
            </w:tcBorders>
            <w:shd w:val="clear" w:color="auto" w:fill="auto"/>
            <w:noWrap/>
            <w:vAlign w:val="bottom"/>
            <w:hideMark/>
          </w:tcPr>
          <w:p w14:paraId="41F7FD05"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312" w:type="dxa"/>
            <w:tcBorders>
              <w:top w:val="nil"/>
              <w:left w:val="nil"/>
              <w:bottom w:val="nil"/>
              <w:right w:val="nil"/>
            </w:tcBorders>
            <w:shd w:val="clear" w:color="auto" w:fill="auto"/>
            <w:noWrap/>
            <w:vAlign w:val="bottom"/>
            <w:hideMark/>
          </w:tcPr>
          <w:p w14:paraId="61B290B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312" w:type="dxa"/>
            <w:tcBorders>
              <w:top w:val="nil"/>
              <w:left w:val="nil"/>
              <w:bottom w:val="nil"/>
              <w:right w:val="nil"/>
            </w:tcBorders>
            <w:shd w:val="clear" w:color="auto" w:fill="auto"/>
            <w:noWrap/>
            <w:vAlign w:val="bottom"/>
            <w:hideMark/>
          </w:tcPr>
          <w:p w14:paraId="1A67A064"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57</w:t>
            </w:r>
          </w:p>
        </w:tc>
        <w:tc>
          <w:tcPr>
            <w:tcW w:w="1312" w:type="dxa"/>
            <w:tcBorders>
              <w:top w:val="nil"/>
              <w:left w:val="nil"/>
              <w:bottom w:val="nil"/>
              <w:right w:val="nil"/>
            </w:tcBorders>
            <w:shd w:val="clear" w:color="auto" w:fill="auto"/>
            <w:noWrap/>
            <w:vAlign w:val="bottom"/>
            <w:hideMark/>
          </w:tcPr>
          <w:p w14:paraId="1480EE3A"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439" w:type="dxa"/>
            <w:tcBorders>
              <w:top w:val="nil"/>
              <w:left w:val="nil"/>
              <w:bottom w:val="nil"/>
              <w:right w:val="nil"/>
            </w:tcBorders>
            <w:shd w:val="clear" w:color="auto" w:fill="auto"/>
            <w:noWrap/>
            <w:vAlign w:val="bottom"/>
            <w:hideMark/>
          </w:tcPr>
          <w:p w14:paraId="313FEF01"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176A9">
              <w:rPr>
                <w:rFonts w:eastAsia="Times New Roman" w:cs="Calibri"/>
                <w:color w:val="002060"/>
                <w:sz w:val="20"/>
              </w:rPr>
              <w:t>57</w:t>
            </w:r>
          </w:p>
        </w:tc>
      </w:tr>
      <w:tr w:rsidR="005C437E" w:rsidRPr="00B176A9" w14:paraId="4822FF0B" w14:textId="77777777" w:rsidTr="002F7131">
        <w:trPr>
          <w:trHeight w:val="240"/>
        </w:trPr>
        <w:tc>
          <w:tcPr>
            <w:tcW w:w="3257" w:type="dxa"/>
            <w:tcBorders>
              <w:top w:val="nil"/>
              <w:left w:val="nil"/>
              <w:bottom w:val="nil"/>
              <w:right w:val="nil"/>
            </w:tcBorders>
            <w:shd w:val="clear" w:color="auto" w:fill="auto"/>
            <w:noWrap/>
            <w:vAlign w:val="bottom"/>
            <w:hideMark/>
          </w:tcPr>
          <w:p w14:paraId="08DB6CF3"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38" w:type="dxa"/>
            <w:tcBorders>
              <w:top w:val="nil"/>
              <w:left w:val="nil"/>
              <w:bottom w:val="nil"/>
              <w:right w:val="nil"/>
            </w:tcBorders>
            <w:shd w:val="clear" w:color="auto" w:fill="auto"/>
            <w:noWrap/>
            <w:vAlign w:val="bottom"/>
            <w:hideMark/>
          </w:tcPr>
          <w:p w14:paraId="64EF67D6"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1" w:type="dxa"/>
            <w:tcBorders>
              <w:top w:val="nil"/>
              <w:left w:val="nil"/>
              <w:bottom w:val="nil"/>
              <w:right w:val="nil"/>
            </w:tcBorders>
            <w:shd w:val="clear" w:color="auto" w:fill="auto"/>
            <w:noWrap/>
            <w:vAlign w:val="bottom"/>
            <w:hideMark/>
          </w:tcPr>
          <w:p w14:paraId="4F6F7A79"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02BA45DC"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3F16AA7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639765A3"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42230218"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5414316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9" w:type="dxa"/>
            <w:tcBorders>
              <w:top w:val="nil"/>
              <w:left w:val="nil"/>
              <w:bottom w:val="nil"/>
              <w:right w:val="nil"/>
            </w:tcBorders>
            <w:shd w:val="clear" w:color="auto" w:fill="auto"/>
            <w:noWrap/>
            <w:vAlign w:val="bottom"/>
            <w:hideMark/>
          </w:tcPr>
          <w:p w14:paraId="25B91338"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176A9" w14:paraId="62F64A86" w14:textId="77777777" w:rsidTr="002F7131">
        <w:trPr>
          <w:trHeight w:val="292"/>
        </w:trPr>
        <w:tc>
          <w:tcPr>
            <w:tcW w:w="3257" w:type="dxa"/>
            <w:tcBorders>
              <w:top w:val="nil"/>
              <w:left w:val="nil"/>
              <w:bottom w:val="nil"/>
              <w:right w:val="nil"/>
            </w:tcBorders>
            <w:shd w:val="clear" w:color="auto" w:fill="auto"/>
            <w:vAlign w:val="bottom"/>
            <w:hideMark/>
          </w:tcPr>
          <w:p w14:paraId="019F2F94"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B176A9">
              <w:rPr>
                <w:rFonts w:cstheme="minorHAnsi"/>
                <w:sz w:val="20"/>
              </w:rPr>
              <w:t xml:space="preserve">8 - </w:t>
            </w:r>
            <w:r w:rsidRPr="00B176A9">
              <w:rPr>
                <w:rFonts w:cstheme="minorHAnsi"/>
                <w:sz w:val="20"/>
              </w:rPr>
              <w:t>公共和内部服务设施</w:t>
            </w:r>
          </w:p>
        </w:tc>
        <w:tc>
          <w:tcPr>
            <w:tcW w:w="1438" w:type="dxa"/>
            <w:tcBorders>
              <w:top w:val="nil"/>
              <w:left w:val="nil"/>
              <w:bottom w:val="nil"/>
              <w:right w:val="nil"/>
            </w:tcBorders>
            <w:shd w:val="clear" w:color="auto" w:fill="auto"/>
            <w:noWrap/>
            <w:vAlign w:val="bottom"/>
            <w:hideMark/>
          </w:tcPr>
          <w:p w14:paraId="52F0E76E"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p>
        </w:tc>
        <w:tc>
          <w:tcPr>
            <w:tcW w:w="1311" w:type="dxa"/>
            <w:tcBorders>
              <w:top w:val="nil"/>
              <w:left w:val="nil"/>
              <w:bottom w:val="nil"/>
              <w:right w:val="nil"/>
            </w:tcBorders>
            <w:shd w:val="clear" w:color="auto" w:fill="auto"/>
            <w:noWrap/>
            <w:vAlign w:val="bottom"/>
            <w:hideMark/>
          </w:tcPr>
          <w:p w14:paraId="7EEB364F"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208F67B7"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388AAA6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5</w:t>
            </w:r>
          </w:p>
        </w:tc>
        <w:tc>
          <w:tcPr>
            <w:tcW w:w="1312" w:type="dxa"/>
            <w:tcBorders>
              <w:top w:val="nil"/>
              <w:left w:val="nil"/>
              <w:bottom w:val="nil"/>
              <w:right w:val="nil"/>
            </w:tcBorders>
            <w:shd w:val="clear" w:color="auto" w:fill="auto"/>
            <w:noWrap/>
            <w:vAlign w:val="bottom"/>
            <w:hideMark/>
          </w:tcPr>
          <w:p w14:paraId="3AB8F45C"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312" w:type="dxa"/>
            <w:tcBorders>
              <w:top w:val="nil"/>
              <w:left w:val="nil"/>
              <w:bottom w:val="nil"/>
              <w:right w:val="nil"/>
            </w:tcBorders>
            <w:shd w:val="clear" w:color="auto" w:fill="auto"/>
            <w:noWrap/>
            <w:vAlign w:val="bottom"/>
            <w:hideMark/>
          </w:tcPr>
          <w:p w14:paraId="64834250"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63</w:t>
            </w:r>
          </w:p>
        </w:tc>
        <w:tc>
          <w:tcPr>
            <w:tcW w:w="1312" w:type="dxa"/>
            <w:tcBorders>
              <w:top w:val="nil"/>
              <w:left w:val="nil"/>
              <w:bottom w:val="nil"/>
              <w:right w:val="nil"/>
            </w:tcBorders>
            <w:shd w:val="clear" w:color="auto" w:fill="auto"/>
            <w:noWrap/>
            <w:vAlign w:val="bottom"/>
            <w:hideMark/>
          </w:tcPr>
          <w:p w14:paraId="1A93EF8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439" w:type="dxa"/>
            <w:tcBorders>
              <w:top w:val="nil"/>
              <w:left w:val="nil"/>
              <w:bottom w:val="nil"/>
              <w:right w:val="nil"/>
            </w:tcBorders>
            <w:shd w:val="clear" w:color="auto" w:fill="auto"/>
            <w:noWrap/>
            <w:vAlign w:val="bottom"/>
            <w:hideMark/>
          </w:tcPr>
          <w:p w14:paraId="3859AAB2"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176A9">
              <w:rPr>
                <w:rFonts w:eastAsia="Times New Roman" w:cs="Calibri"/>
                <w:color w:val="002060"/>
                <w:sz w:val="20"/>
              </w:rPr>
              <w:t>68</w:t>
            </w:r>
          </w:p>
        </w:tc>
      </w:tr>
      <w:tr w:rsidR="005C437E" w:rsidRPr="00B176A9" w14:paraId="207BDDEA" w14:textId="77777777" w:rsidTr="002F7131">
        <w:trPr>
          <w:trHeight w:val="240"/>
        </w:trPr>
        <w:tc>
          <w:tcPr>
            <w:tcW w:w="3257" w:type="dxa"/>
            <w:tcBorders>
              <w:top w:val="nil"/>
              <w:left w:val="nil"/>
              <w:bottom w:val="nil"/>
              <w:right w:val="nil"/>
            </w:tcBorders>
            <w:shd w:val="clear" w:color="auto" w:fill="auto"/>
            <w:noWrap/>
            <w:vAlign w:val="bottom"/>
            <w:hideMark/>
          </w:tcPr>
          <w:p w14:paraId="1D95EB0C"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38" w:type="dxa"/>
            <w:tcBorders>
              <w:top w:val="nil"/>
              <w:left w:val="nil"/>
              <w:bottom w:val="nil"/>
              <w:right w:val="nil"/>
            </w:tcBorders>
            <w:shd w:val="clear" w:color="auto" w:fill="auto"/>
            <w:noWrap/>
            <w:vAlign w:val="bottom"/>
            <w:hideMark/>
          </w:tcPr>
          <w:p w14:paraId="1B66E236"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1" w:type="dxa"/>
            <w:tcBorders>
              <w:top w:val="nil"/>
              <w:left w:val="nil"/>
              <w:bottom w:val="nil"/>
              <w:right w:val="nil"/>
            </w:tcBorders>
            <w:shd w:val="clear" w:color="auto" w:fill="auto"/>
            <w:noWrap/>
            <w:vAlign w:val="bottom"/>
            <w:hideMark/>
          </w:tcPr>
          <w:p w14:paraId="5500E398"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1E281DFB"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0412DEE9"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62FE3103"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4CAB2BE9"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5DC07218"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9" w:type="dxa"/>
            <w:tcBorders>
              <w:top w:val="nil"/>
              <w:left w:val="nil"/>
              <w:bottom w:val="nil"/>
              <w:right w:val="nil"/>
            </w:tcBorders>
            <w:shd w:val="clear" w:color="auto" w:fill="auto"/>
            <w:noWrap/>
            <w:vAlign w:val="bottom"/>
            <w:hideMark/>
          </w:tcPr>
          <w:p w14:paraId="3AE5E480"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176A9" w14:paraId="788A63CB" w14:textId="77777777" w:rsidTr="002F7131">
        <w:trPr>
          <w:trHeight w:val="200"/>
        </w:trPr>
        <w:tc>
          <w:tcPr>
            <w:tcW w:w="3257" w:type="dxa"/>
            <w:tcBorders>
              <w:top w:val="nil"/>
              <w:left w:val="nil"/>
              <w:bottom w:val="single" w:sz="4" w:space="0" w:color="auto"/>
              <w:right w:val="nil"/>
            </w:tcBorders>
            <w:shd w:val="clear" w:color="auto" w:fill="auto"/>
            <w:vAlign w:val="bottom"/>
            <w:hideMark/>
          </w:tcPr>
          <w:p w14:paraId="4AFD2490"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B176A9">
              <w:rPr>
                <w:rFonts w:cstheme="minorHAnsi"/>
                <w:sz w:val="20"/>
                <w:lang w:eastAsia="zh-CN"/>
              </w:rPr>
              <w:t xml:space="preserve">9 - </w:t>
            </w:r>
            <w:r w:rsidRPr="00B176A9">
              <w:rPr>
                <w:rFonts w:cstheme="minorHAnsi"/>
                <w:sz w:val="20"/>
                <w:lang w:eastAsia="zh-CN"/>
              </w:rPr>
              <w:t>审计和机构间的费用及其他</w:t>
            </w:r>
          </w:p>
        </w:tc>
        <w:tc>
          <w:tcPr>
            <w:tcW w:w="1438" w:type="dxa"/>
            <w:tcBorders>
              <w:top w:val="nil"/>
              <w:left w:val="nil"/>
              <w:bottom w:val="single" w:sz="4" w:space="0" w:color="auto"/>
              <w:right w:val="nil"/>
            </w:tcBorders>
            <w:shd w:val="clear" w:color="auto" w:fill="auto"/>
            <w:noWrap/>
            <w:vAlign w:val="bottom"/>
            <w:hideMark/>
          </w:tcPr>
          <w:p w14:paraId="6C7077E2"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5</w:t>
            </w:r>
          </w:p>
        </w:tc>
        <w:tc>
          <w:tcPr>
            <w:tcW w:w="1311" w:type="dxa"/>
            <w:tcBorders>
              <w:top w:val="nil"/>
              <w:left w:val="nil"/>
              <w:bottom w:val="single" w:sz="4" w:space="0" w:color="auto"/>
              <w:right w:val="nil"/>
            </w:tcBorders>
            <w:shd w:val="clear" w:color="auto" w:fill="auto"/>
            <w:noWrap/>
            <w:vAlign w:val="bottom"/>
            <w:hideMark/>
          </w:tcPr>
          <w:p w14:paraId="31B4158F"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3</w:t>
            </w:r>
          </w:p>
        </w:tc>
        <w:tc>
          <w:tcPr>
            <w:tcW w:w="1312" w:type="dxa"/>
            <w:tcBorders>
              <w:top w:val="nil"/>
              <w:left w:val="nil"/>
              <w:bottom w:val="single" w:sz="4" w:space="0" w:color="auto"/>
              <w:right w:val="nil"/>
            </w:tcBorders>
            <w:shd w:val="clear" w:color="auto" w:fill="auto"/>
            <w:noWrap/>
            <w:vAlign w:val="bottom"/>
            <w:hideMark/>
          </w:tcPr>
          <w:p w14:paraId="64ABDD8C"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312" w:type="dxa"/>
            <w:tcBorders>
              <w:top w:val="nil"/>
              <w:left w:val="nil"/>
              <w:bottom w:val="single" w:sz="4" w:space="0" w:color="auto"/>
              <w:right w:val="nil"/>
            </w:tcBorders>
            <w:shd w:val="clear" w:color="auto" w:fill="auto"/>
            <w:noWrap/>
            <w:vAlign w:val="bottom"/>
            <w:hideMark/>
          </w:tcPr>
          <w:p w14:paraId="305F3274"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11</w:t>
            </w:r>
          </w:p>
        </w:tc>
        <w:tc>
          <w:tcPr>
            <w:tcW w:w="1312" w:type="dxa"/>
            <w:tcBorders>
              <w:top w:val="nil"/>
              <w:left w:val="nil"/>
              <w:bottom w:val="single" w:sz="4" w:space="0" w:color="auto"/>
              <w:right w:val="nil"/>
            </w:tcBorders>
            <w:shd w:val="clear" w:color="auto" w:fill="auto"/>
            <w:noWrap/>
            <w:vAlign w:val="bottom"/>
            <w:hideMark/>
          </w:tcPr>
          <w:p w14:paraId="4F1F69E0"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312" w:type="dxa"/>
            <w:tcBorders>
              <w:top w:val="nil"/>
              <w:left w:val="nil"/>
              <w:bottom w:val="single" w:sz="4" w:space="0" w:color="auto"/>
              <w:right w:val="nil"/>
            </w:tcBorders>
            <w:shd w:val="clear" w:color="auto" w:fill="auto"/>
            <w:noWrap/>
            <w:vAlign w:val="bottom"/>
            <w:hideMark/>
          </w:tcPr>
          <w:p w14:paraId="032D9922"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69</w:t>
            </w:r>
          </w:p>
        </w:tc>
        <w:tc>
          <w:tcPr>
            <w:tcW w:w="1312" w:type="dxa"/>
            <w:tcBorders>
              <w:top w:val="nil"/>
              <w:left w:val="nil"/>
              <w:bottom w:val="single" w:sz="4" w:space="0" w:color="auto"/>
              <w:right w:val="nil"/>
            </w:tcBorders>
            <w:shd w:val="clear" w:color="auto" w:fill="auto"/>
            <w:noWrap/>
            <w:vAlign w:val="bottom"/>
            <w:hideMark/>
          </w:tcPr>
          <w:p w14:paraId="07587044"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439" w:type="dxa"/>
            <w:tcBorders>
              <w:top w:val="nil"/>
              <w:left w:val="nil"/>
              <w:bottom w:val="single" w:sz="4" w:space="0" w:color="auto"/>
              <w:right w:val="nil"/>
            </w:tcBorders>
            <w:shd w:val="clear" w:color="auto" w:fill="auto"/>
            <w:noWrap/>
            <w:vAlign w:val="bottom"/>
            <w:hideMark/>
          </w:tcPr>
          <w:p w14:paraId="66D79C0C"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176A9">
              <w:rPr>
                <w:rFonts w:eastAsia="Times New Roman" w:cs="Calibri"/>
                <w:color w:val="002060"/>
                <w:sz w:val="20"/>
              </w:rPr>
              <w:t>88</w:t>
            </w:r>
          </w:p>
        </w:tc>
      </w:tr>
      <w:tr w:rsidR="005C437E" w:rsidRPr="00B176A9" w14:paraId="407C8828" w14:textId="77777777" w:rsidTr="002F7131">
        <w:trPr>
          <w:trHeight w:val="252"/>
        </w:trPr>
        <w:tc>
          <w:tcPr>
            <w:tcW w:w="3257" w:type="dxa"/>
            <w:tcBorders>
              <w:top w:val="single" w:sz="4" w:space="0" w:color="auto"/>
              <w:left w:val="nil"/>
              <w:bottom w:val="nil"/>
              <w:right w:val="nil"/>
            </w:tcBorders>
            <w:shd w:val="clear" w:color="auto" w:fill="auto"/>
            <w:noWrap/>
            <w:vAlign w:val="center"/>
            <w:hideMark/>
          </w:tcPr>
          <w:p w14:paraId="702365CB"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B176A9">
              <w:rPr>
                <w:rFonts w:cstheme="minorHAnsi"/>
                <w:b/>
                <w:bCs/>
                <w:sz w:val="20"/>
              </w:rPr>
              <w:t>合计</w:t>
            </w:r>
          </w:p>
        </w:tc>
        <w:tc>
          <w:tcPr>
            <w:tcW w:w="1438" w:type="dxa"/>
            <w:tcBorders>
              <w:top w:val="single" w:sz="4" w:space="0" w:color="auto"/>
              <w:left w:val="nil"/>
              <w:bottom w:val="nil"/>
              <w:right w:val="nil"/>
            </w:tcBorders>
            <w:shd w:val="clear" w:color="auto" w:fill="auto"/>
            <w:noWrap/>
            <w:vAlign w:val="center"/>
            <w:hideMark/>
          </w:tcPr>
          <w:p w14:paraId="1905111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176A9">
              <w:rPr>
                <w:rFonts w:eastAsia="Times New Roman" w:cs="Calibri"/>
                <w:b/>
                <w:bCs/>
                <w:sz w:val="20"/>
              </w:rPr>
              <w:t>172</w:t>
            </w:r>
          </w:p>
        </w:tc>
        <w:tc>
          <w:tcPr>
            <w:tcW w:w="1311" w:type="dxa"/>
            <w:tcBorders>
              <w:top w:val="single" w:sz="4" w:space="0" w:color="auto"/>
              <w:left w:val="nil"/>
              <w:bottom w:val="nil"/>
              <w:right w:val="nil"/>
            </w:tcBorders>
            <w:shd w:val="clear" w:color="auto" w:fill="auto"/>
            <w:noWrap/>
            <w:vAlign w:val="center"/>
            <w:hideMark/>
          </w:tcPr>
          <w:p w14:paraId="726E3C74"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176A9">
              <w:rPr>
                <w:rFonts w:eastAsia="Times New Roman" w:cs="Calibri"/>
                <w:b/>
                <w:bCs/>
                <w:sz w:val="20"/>
              </w:rPr>
              <w:t>407</w:t>
            </w:r>
          </w:p>
        </w:tc>
        <w:tc>
          <w:tcPr>
            <w:tcW w:w="1312" w:type="dxa"/>
            <w:tcBorders>
              <w:top w:val="single" w:sz="4" w:space="0" w:color="auto"/>
              <w:left w:val="nil"/>
              <w:bottom w:val="nil"/>
              <w:right w:val="nil"/>
            </w:tcBorders>
            <w:shd w:val="clear" w:color="auto" w:fill="auto"/>
            <w:noWrap/>
            <w:vAlign w:val="center"/>
            <w:hideMark/>
          </w:tcPr>
          <w:p w14:paraId="0A1233D1"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176A9">
              <w:rPr>
                <w:rFonts w:eastAsia="Times New Roman" w:cs="Calibri"/>
                <w:b/>
                <w:bCs/>
                <w:sz w:val="20"/>
              </w:rPr>
              <w:t>4,200</w:t>
            </w:r>
          </w:p>
        </w:tc>
        <w:tc>
          <w:tcPr>
            <w:tcW w:w="1312" w:type="dxa"/>
            <w:tcBorders>
              <w:top w:val="single" w:sz="4" w:space="0" w:color="auto"/>
              <w:left w:val="nil"/>
              <w:bottom w:val="nil"/>
              <w:right w:val="nil"/>
            </w:tcBorders>
            <w:shd w:val="clear" w:color="auto" w:fill="auto"/>
            <w:noWrap/>
            <w:vAlign w:val="center"/>
            <w:hideMark/>
          </w:tcPr>
          <w:p w14:paraId="775A8E32"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176A9">
              <w:rPr>
                <w:rFonts w:eastAsia="Times New Roman" w:cs="Calibri"/>
                <w:b/>
                <w:bCs/>
                <w:sz w:val="20"/>
              </w:rPr>
              <w:t>219</w:t>
            </w:r>
          </w:p>
        </w:tc>
        <w:tc>
          <w:tcPr>
            <w:tcW w:w="1312" w:type="dxa"/>
            <w:tcBorders>
              <w:top w:val="single" w:sz="4" w:space="0" w:color="auto"/>
              <w:left w:val="nil"/>
              <w:bottom w:val="nil"/>
              <w:right w:val="nil"/>
            </w:tcBorders>
            <w:shd w:val="clear" w:color="auto" w:fill="auto"/>
            <w:noWrap/>
            <w:vAlign w:val="center"/>
            <w:hideMark/>
          </w:tcPr>
          <w:p w14:paraId="680E19FC"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176A9">
              <w:rPr>
                <w:rFonts w:eastAsia="Times New Roman" w:cs="Calibri"/>
                <w:b/>
                <w:bCs/>
                <w:sz w:val="20"/>
              </w:rPr>
              <w:t>1,697</w:t>
            </w:r>
          </w:p>
        </w:tc>
        <w:tc>
          <w:tcPr>
            <w:tcW w:w="1312" w:type="dxa"/>
            <w:tcBorders>
              <w:top w:val="single" w:sz="4" w:space="0" w:color="auto"/>
              <w:left w:val="nil"/>
              <w:bottom w:val="nil"/>
              <w:right w:val="nil"/>
            </w:tcBorders>
            <w:shd w:val="clear" w:color="auto" w:fill="auto"/>
            <w:noWrap/>
            <w:vAlign w:val="center"/>
            <w:hideMark/>
          </w:tcPr>
          <w:p w14:paraId="0007C246"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176A9">
              <w:rPr>
                <w:rFonts w:eastAsia="Times New Roman" w:cs="Calibri"/>
                <w:b/>
                <w:bCs/>
                <w:sz w:val="20"/>
              </w:rPr>
              <w:t>7,486</w:t>
            </w:r>
          </w:p>
        </w:tc>
        <w:tc>
          <w:tcPr>
            <w:tcW w:w="1312" w:type="dxa"/>
            <w:tcBorders>
              <w:top w:val="single" w:sz="4" w:space="0" w:color="auto"/>
              <w:left w:val="nil"/>
              <w:bottom w:val="nil"/>
              <w:right w:val="nil"/>
            </w:tcBorders>
            <w:shd w:val="clear" w:color="auto" w:fill="auto"/>
            <w:noWrap/>
            <w:vAlign w:val="center"/>
            <w:hideMark/>
          </w:tcPr>
          <w:p w14:paraId="44B4B638"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176A9">
              <w:rPr>
                <w:rFonts w:eastAsia="Times New Roman" w:cs="Calibri"/>
                <w:b/>
                <w:bCs/>
                <w:sz w:val="20"/>
              </w:rPr>
              <w:t>13,187</w:t>
            </w:r>
          </w:p>
        </w:tc>
        <w:tc>
          <w:tcPr>
            <w:tcW w:w="1439" w:type="dxa"/>
            <w:tcBorders>
              <w:top w:val="single" w:sz="4" w:space="0" w:color="auto"/>
              <w:left w:val="nil"/>
              <w:bottom w:val="nil"/>
              <w:right w:val="nil"/>
            </w:tcBorders>
            <w:shd w:val="clear" w:color="auto" w:fill="auto"/>
            <w:noWrap/>
            <w:vAlign w:val="center"/>
            <w:hideMark/>
          </w:tcPr>
          <w:p w14:paraId="63BF646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B176A9">
              <w:rPr>
                <w:rFonts w:eastAsia="Times New Roman" w:cs="Calibri"/>
                <w:b/>
                <w:bCs/>
                <w:color w:val="002060"/>
                <w:sz w:val="20"/>
              </w:rPr>
              <w:t>27,368</w:t>
            </w:r>
          </w:p>
        </w:tc>
      </w:tr>
      <w:tr w:rsidR="005C437E" w:rsidRPr="00B176A9" w14:paraId="2EE1D50E" w14:textId="77777777" w:rsidTr="002F7131">
        <w:trPr>
          <w:trHeight w:val="20"/>
        </w:trPr>
        <w:tc>
          <w:tcPr>
            <w:tcW w:w="3257" w:type="dxa"/>
            <w:tcBorders>
              <w:top w:val="nil"/>
              <w:left w:val="nil"/>
              <w:bottom w:val="nil"/>
              <w:right w:val="nil"/>
            </w:tcBorders>
            <w:shd w:val="clear" w:color="auto" w:fill="auto"/>
            <w:noWrap/>
            <w:vAlign w:val="center"/>
            <w:hideMark/>
          </w:tcPr>
          <w:p w14:paraId="04804937"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b/>
                <w:bCs/>
                <w:color w:val="002060"/>
                <w:sz w:val="20"/>
              </w:rPr>
            </w:pPr>
          </w:p>
        </w:tc>
        <w:tc>
          <w:tcPr>
            <w:tcW w:w="1438" w:type="dxa"/>
            <w:tcBorders>
              <w:top w:val="nil"/>
              <w:left w:val="nil"/>
              <w:bottom w:val="nil"/>
              <w:right w:val="nil"/>
            </w:tcBorders>
            <w:shd w:val="clear" w:color="auto" w:fill="auto"/>
            <w:noWrap/>
            <w:vAlign w:val="center"/>
            <w:hideMark/>
          </w:tcPr>
          <w:p w14:paraId="48857EEC"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1" w:type="dxa"/>
            <w:tcBorders>
              <w:top w:val="nil"/>
              <w:left w:val="nil"/>
              <w:bottom w:val="nil"/>
              <w:right w:val="nil"/>
            </w:tcBorders>
            <w:shd w:val="clear" w:color="auto" w:fill="auto"/>
            <w:noWrap/>
            <w:vAlign w:val="center"/>
            <w:hideMark/>
          </w:tcPr>
          <w:p w14:paraId="44630990"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2672AD62"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18725AC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761227E9"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319213C0"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4C0C7B33"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9" w:type="dxa"/>
            <w:tcBorders>
              <w:top w:val="nil"/>
              <w:left w:val="nil"/>
              <w:bottom w:val="nil"/>
              <w:right w:val="nil"/>
            </w:tcBorders>
            <w:shd w:val="clear" w:color="auto" w:fill="auto"/>
            <w:noWrap/>
            <w:vAlign w:val="center"/>
            <w:hideMark/>
          </w:tcPr>
          <w:p w14:paraId="15DF3430"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176A9" w14:paraId="24EFF797" w14:textId="77777777" w:rsidTr="002F7131">
        <w:trPr>
          <w:trHeight w:val="240"/>
        </w:trPr>
        <w:tc>
          <w:tcPr>
            <w:tcW w:w="3257" w:type="dxa"/>
            <w:tcBorders>
              <w:top w:val="nil"/>
              <w:left w:val="nil"/>
              <w:bottom w:val="nil"/>
              <w:right w:val="nil"/>
            </w:tcBorders>
            <w:shd w:val="clear" w:color="auto" w:fill="auto"/>
            <w:noWrap/>
            <w:vAlign w:val="center"/>
            <w:hideMark/>
          </w:tcPr>
          <w:p w14:paraId="28B735BB"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B176A9">
              <w:rPr>
                <w:rFonts w:cstheme="minorHAnsi"/>
                <w:sz w:val="20"/>
              </w:rPr>
              <w:t xml:space="preserve">*) </w:t>
            </w:r>
            <w:r w:rsidRPr="00B176A9">
              <w:rPr>
                <w:rFonts w:cstheme="minorHAnsi"/>
                <w:sz w:val="20"/>
              </w:rPr>
              <w:t>包括研讨会和讲习班</w:t>
            </w:r>
          </w:p>
        </w:tc>
        <w:tc>
          <w:tcPr>
            <w:tcW w:w="1438" w:type="dxa"/>
            <w:tcBorders>
              <w:top w:val="nil"/>
              <w:left w:val="nil"/>
              <w:bottom w:val="nil"/>
              <w:right w:val="nil"/>
            </w:tcBorders>
            <w:shd w:val="clear" w:color="auto" w:fill="auto"/>
            <w:noWrap/>
            <w:vAlign w:val="center"/>
            <w:hideMark/>
          </w:tcPr>
          <w:p w14:paraId="179510E4"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p>
        </w:tc>
        <w:tc>
          <w:tcPr>
            <w:tcW w:w="1311" w:type="dxa"/>
            <w:tcBorders>
              <w:top w:val="nil"/>
              <w:left w:val="nil"/>
              <w:bottom w:val="nil"/>
              <w:right w:val="nil"/>
            </w:tcBorders>
            <w:shd w:val="clear" w:color="auto" w:fill="auto"/>
            <w:noWrap/>
            <w:vAlign w:val="center"/>
            <w:hideMark/>
          </w:tcPr>
          <w:p w14:paraId="4CB5B905"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7287C583"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5DB1247B"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6FD1601E"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4E614C25"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05B2FAFE"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39" w:type="dxa"/>
            <w:tcBorders>
              <w:top w:val="nil"/>
              <w:left w:val="nil"/>
              <w:bottom w:val="nil"/>
              <w:right w:val="nil"/>
            </w:tcBorders>
            <w:shd w:val="clear" w:color="auto" w:fill="auto"/>
            <w:noWrap/>
            <w:vAlign w:val="center"/>
            <w:hideMark/>
          </w:tcPr>
          <w:p w14:paraId="3E5383B1"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bl>
    <w:p w14:paraId="20F4B521" w14:textId="0D5B03A1" w:rsidR="005C437E" w:rsidRDefault="005C437E" w:rsidP="005C437E">
      <w:pPr>
        <w:rPr>
          <w:lang w:eastAsia="zh-CN"/>
        </w:rPr>
      </w:pPr>
    </w:p>
    <w:p w14:paraId="77A6ED5C" w14:textId="2C2BDA58" w:rsidR="00C130FE" w:rsidRDefault="00C130F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tbl>
      <w:tblPr>
        <w:tblW w:w="13951" w:type="dxa"/>
        <w:tblLook w:val="04A0" w:firstRow="1" w:lastRow="0" w:firstColumn="1" w:lastColumn="0" w:noHBand="0" w:noVBand="1"/>
      </w:tblPr>
      <w:tblGrid>
        <w:gridCol w:w="3246"/>
        <w:gridCol w:w="1433"/>
        <w:gridCol w:w="1306"/>
        <w:gridCol w:w="1306"/>
        <w:gridCol w:w="1306"/>
        <w:gridCol w:w="1306"/>
        <w:gridCol w:w="1309"/>
        <w:gridCol w:w="1306"/>
        <w:gridCol w:w="1433"/>
      </w:tblGrid>
      <w:tr w:rsidR="00C130FE" w:rsidRPr="002265D3" w14:paraId="222BF26C" w14:textId="77777777" w:rsidTr="002F7131">
        <w:trPr>
          <w:trHeight w:val="465"/>
        </w:trPr>
        <w:tc>
          <w:tcPr>
            <w:tcW w:w="3246" w:type="dxa"/>
            <w:tcBorders>
              <w:top w:val="nil"/>
              <w:left w:val="nil"/>
              <w:bottom w:val="nil"/>
              <w:right w:val="nil"/>
            </w:tcBorders>
            <w:shd w:val="clear" w:color="auto" w:fill="auto"/>
            <w:noWrap/>
            <w:vAlign w:val="center"/>
            <w:hideMark/>
          </w:tcPr>
          <w:p w14:paraId="482DFA89"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2265D3">
              <w:rPr>
                <w:rFonts w:ascii="SimSun" w:hAnsi="SimSun" w:cs="Calibri" w:hint="eastAsia"/>
                <w:b/>
                <w:bCs/>
                <w:color w:val="002060"/>
                <w:sz w:val="40"/>
                <w:szCs w:val="40"/>
              </w:rPr>
              <w:lastRenderedPageBreak/>
              <w:t>表</w:t>
            </w:r>
            <w:r w:rsidRPr="002265D3">
              <w:rPr>
                <w:rFonts w:eastAsia="Times New Roman" w:cs="Calibri"/>
                <w:b/>
                <w:bCs/>
                <w:color w:val="002060"/>
                <w:sz w:val="40"/>
                <w:szCs w:val="40"/>
              </w:rPr>
              <w:t>10-2</w:t>
            </w:r>
          </w:p>
        </w:tc>
        <w:tc>
          <w:tcPr>
            <w:tcW w:w="1433" w:type="dxa"/>
            <w:tcBorders>
              <w:top w:val="nil"/>
              <w:left w:val="nil"/>
              <w:bottom w:val="nil"/>
              <w:right w:val="nil"/>
            </w:tcBorders>
            <w:shd w:val="clear" w:color="auto" w:fill="auto"/>
            <w:noWrap/>
            <w:vAlign w:val="center"/>
            <w:hideMark/>
          </w:tcPr>
          <w:p w14:paraId="26F143A5"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1306" w:type="dxa"/>
            <w:tcBorders>
              <w:top w:val="nil"/>
              <w:left w:val="nil"/>
              <w:bottom w:val="nil"/>
              <w:right w:val="nil"/>
            </w:tcBorders>
            <w:shd w:val="clear" w:color="auto" w:fill="auto"/>
            <w:noWrap/>
            <w:vAlign w:val="center"/>
            <w:hideMark/>
          </w:tcPr>
          <w:p w14:paraId="10BCDDAC"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3890C2F6"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2494290B"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62F73E05"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9" w:type="dxa"/>
            <w:tcBorders>
              <w:top w:val="nil"/>
              <w:left w:val="nil"/>
              <w:bottom w:val="nil"/>
              <w:right w:val="nil"/>
            </w:tcBorders>
            <w:shd w:val="clear" w:color="auto" w:fill="auto"/>
            <w:noWrap/>
            <w:vAlign w:val="center"/>
            <w:hideMark/>
          </w:tcPr>
          <w:p w14:paraId="42133A68"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76B47388"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33" w:type="dxa"/>
            <w:tcBorders>
              <w:top w:val="nil"/>
              <w:left w:val="nil"/>
              <w:bottom w:val="nil"/>
              <w:right w:val="nil"/>
            </w:tcBorders>
            <w:shd w:val="clear" w:color="auto" w:fill="auto"/>
            <w:noWrap/>
            <w:vAlign w:val="center"/>
            <w:hideMark/>
          </w:tcPr>
          <w:p w14:paraId="03C11AC0"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C130FE" w:rsidRPr="002265D3" w14:paraId="231130A7" w14:textId="77777777" w:rsidTr="002F7131">
        <w:trPr>
          <w:trHeight w:val="20"/>
        </w:trPr>
        <w:tc>
          <w:tcPr>
            <w:tcW w:w="3246" w:type="dxa"/>
            <w:tcBorders>
              <w:top w:val="nil"/>
              <w:left w:val="nil"/>
              <w:bottom w:val="nil"/>
              <w:right w:val="nil"/>
            </w:tcBorders>
            <w:shd w:val="clear" w:color="auto" w:fill="auto"/>
            <w:noWrap/>
            <w:vAlign w:val="center"/>
            <w:hideMark/>
          </w:tcPr>
          <w:p w14:paraId="0AFFD555"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r w:rsidRPr="002265D3">
              <w:rPr>
                <w:rFonts w:ascii="STKaiti" w:eastAsia="STKaiti" w:hAnsi="STKaiti" w:hint="eastAsia"/>
                <w:b/>
                <w:bCs/>
                <w:color w:val="002060"/>
                <w:sz w:val="28"/>
                <w:szCs w:val="28"/>
              </w:rPr>
              <w:t>电信发展部门</w:t>
            </w:r>
            <w:r w:rsidRPr="002265D3">
              <w:rPr>
                <w:rFonts w:eastAsia="STKaiti" w:cs="Calibri"/>
                <w:b/>
                <w:bCs/>
                <w:color w:val="002060"/>
                <w:sz w:val="28"/>
                <w:szCs w:val="28"/>
              </w:rPr>
              <w:t>2023</w:t>
            </w:r>
            <w:r w:rsidRPr="002265D3">
              <w:rPr>
                <w:rFonts w:ascii="STKaiti" w:eastAsia="STKaiti" w:hAnsi="STKaiti" w:hint="eastAsia"/>
                <w:b/>
                <w:bCs/>
                <w:color w:val="002060"/>
                <w:sz w:val="28"/>
                <w:szCs w:val="28"/>
              </w:rPr>
              <w:t>年</w:t>
            </w:r>
          </w:p>
        </w:tc>
        <w:tc>
          <w:tcPr>
            <w:tcW w:w="1433" w:type="dxa"/>
            <w:tcBorders>
              <w:top w:val="nil"/>
              <w:left w:val="nil"/>
              <w:bottom w:val="nil"/>
              <w:right w:val="nil"/>
            </w:tcBorders>
            <w:shd w:val="clear" w:color="auto" w:fill="auto"/>
            <w:noWrap/>
            <w:vAlign w:val="center"/>
            <w:hideMark/>
          </w:tcPr>
          <w:p w14:paraId="13A7C4EB"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p>
        </w:tc>
        <w:tc>
          <w:tcPr>
            <w:tcW w:w="1306" w:type="dxa"/>
            <w:tcBorders>
              <w:top w:val="nil"/>
              <w:left w:val="nil"/>
              <w:bottom w:val="nil"/>
              <w:right w:val="nil"/>
            </w:tcBorders>
            <w:shd w:val="clear" w:color="auto" w:fill="auto"/>
            <w:noWrap/>
            <w:vAlign w:val="center"/>
            <w:hideMark/>
          </w:tcPr>
          <w:p w14:paraId="263A3733"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2264727A"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028868B9"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46262FBD"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9" w:type="dxa"/>
            <w:tcBorders>
              <w:top w:val="nil"/>
              <w:left w:val="nil"/>
              <w:bottom w:val="nil"/>
              <w:right w:val="nil"/>
            </w:tcBorders>
            <w:shd w:val="clear" w:color="auto" w:fill="auto"/>
            <w:noWrap/>
            <w:vAlign w:val="center"/>
            <w:hideMark/>
          </w:tcPr>
          <w:p w14:paraId="420237C9"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6A22E77E"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33" w:type="dxa"/>
            <w:tcBorders>
              <w:top w:val="nil"/>
              <w:left w:val="nil"/>
              <w:bottom w:val="nil"/>
              <w:right w:val="nil"/>
            </w:tcBorders>
            <w:shd w:val="clear" w:color="auto" w:fill="auto"/>
            <w:noWrap/>
            <w:vAlign w:val="center"/>
            <w:hideMark/>
          </w:tcPr>
          <w:p w14:paraId="5817C5EE"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C130FE" w:rsidRPr="002265D3" w14:paraId="1B8CFCCD" w14:textId="77777777" w:rsidTr="002F7131">
        <w:trPr>
          <w:trHeight w:val="20"/>
        </w:trPr>
        <w:tc>
          <w:tcPr>
            <w:tcW w:w="4679" w:type="dxa"/>
            <w:gridSpan w:val="2"/>
            <w:tcBorders>
              <w:top w:val="nil"/>
              <w:left w:val="nil"/>
              <w:bottom w:val="nil"/>
              <w:right w:val="nil"/>
            </w:tcBorders>
            <w:shd w:val="clear" w:color="auto" w:fill="auto"/>
            <w:noWrap/>
            <w:vAlign w:val="center"/>
            <w:hideMark/>
          </w:tcPr>
          <w:p w14:paraId="65842D70"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r w:rsidRPr="002265D3">
              <w:rPr>
                <w:rFonts w:ascii="STKaiti" w:eastAsia="STKaiti" w:hAnsi="STKaiti" w:hint="eastAsia"/>
                <w:b/>
                <w:bCs/>
                <w:color w:val="002060"/>
                <w:szCs w:val="24"/>
                <w:lang w:eastAsia="zh-CN"/>
              </w:rPr>
              <w:t>按项和支出类别列出的计划支出</w:t>
            </w:r>
          </w:p>
        </w:tc>
        <w:tc>
          <w:tcPr>
            <w:tcW w:w="1306" w:type="dxa"/>
            <w:tcBorders>
              <w:top w:val="nil"/>
              <w:left w:val="nil"/>
              <w:bottom w:val="nil"/>
              <w:right w:val="nil"/>
            </w:tcBorders>
            <w:shd w:val="clear" w:color="auto" w:fill="auto"/>
            <w:noWrap/>
            <w:vAlign w:val="center"/>
            <w:hideMark/>
          </w:tcPr>
          <w:p w14:paraId="1AD0196D"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p>
        </w:tc>
        <w:tc>
          <w:tcPr>
            <w:tcW w:w="1306" w:type="dxa"/>
            <w:tcBorders>
              <w:top w:val="nil"/>
              <w:left w:val="nil"/>
              <w:bottom w:val="nil"/>
              <w:right w:val="nil"/>
            </w:tcBorders>
            <w:shd w:val="clear" w:color="auto" w:fill="auto"/>
            <w:noWrap/>
            <w:vAlign w:val="center"/>
            <w:hideMark/>
          </w:tcPr>
          <w:p w14:paraId="3C6C281D"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306" w:type="dxa"/>
            <w:tcBorders>
              <w:top w:val="nil"/>
              <w:left w:val="nil"/>
              <w:bottom w:val="nil"/>
              <w:right w:val="nil"/>
            </w:tcBorders>
            <w:shd w:val="clear" w:color="auto" w:fill="auto"/>
            <w:noWrap/>
            <w:vAlign w:val="center"/>
            <w:hideMark/>
          </w:tcPr>
          <w:p w14:paraId="1C4BBF3F"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306" w:type="dxa"/>
            <w:tcBorders>
              <w:top w:val="nil"/>
              <w:left w:val="nil"/>
              <w:bottom w:val="nil"/>
              <w:right w:val="nil"/>
            </w:tcBorders>
            <w:shd w:val="clear" w:color="auto" w:fill="auto"/>
            <w:noWrap/>
            <w:vAlign w:val="center"/>
            <w:hideMark/>
          </w:tcPr>
          <w:p w14:paraId="20F49E25"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309" w:type="dxa"/>
            <w:tcBorders>
              <w:top w:val="nil"/>
              <w:left w:val="nil"/>
              <w:bottom w:val="nil"/>
              <w:right w:val="nil"/>
            </w:tcBorders>
            <w:shd w:val="clear" w:color="auto" w:fill="auto"/>
            <w:noWrap/>
            <w:vAlign w:val="center"/>
            <w:hideMark/>
          </w:tcPr>
          <w:p w14:paraId="6363A524"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306" w:type="dxa"/>
            <w:tcBorders>
              <w:top w:val="nil"/>
              <w:left w:val="nil"/>
              <w:bottom w:val="nil"/>
              <w:right w:val="nil"/>
            </w:tcBorders>
            <w:shd w:val="clear" w:color="auto" w:fill="auto"/>
            <w:noWrap/>
            <w:vAlign w:val="center"/>
            <w:hideMark/>
          </w:tcPr>
          <w:p w14:paraId="00C33CA9"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33" w:type="dxa"/>
            <w:tcBorders>
              <w:top w:val="nil"/>
              <w:left w:val="nil"/>
              <w:bottom w:val="nil"/>
              <w:right w:val="nil"/>
            </w:tcBorders>
            <w:shd w:val="clear" w:color="auto" w:fill="auto"/>
            <w:noWrap/>
            <w:vAlign w:val="center"/>
            <w:hideMark/>
          </w:tcPr>
          <w:p w14:paraId="5CFAC60E"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C130FE" w:rsidRPr="002265D3" w14:paraId="21F79CEF" w14:textId="77777777" w:rsidTr="002F7131">
        <w:trPr>
          <w:trHeight w:val="20"/>
        </w:trPr>
        <w:tc>
          <w:tcPr>
            <w:tcW w:w="3246" w:type="dxa"/>
            <w:tcBorders>
              <w:top w:val="nil"/>
              <w:left w:val="nil"/>
              <w:bottom w:val="nil"/>
              <w:right w:val="nil"/>
            </w:tcBorders>
            <w:shd w:val="clear" w:color="auto" w:fill="auto"/>
            <w:noWrap/>
            <w:vAlign w:val="center"/>
            <w:hideMark/>
          </w:tcPr>
          <w:p w14:paraId="0ACB1121"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0705" w:type="dxa"/>
            <w:gridSpan w:val="8"/>
            <w:tcBorders>
              <w:top w:val="nil"/>
              <w:left w:val="nil"/>
              <w:bottom w:val="nil"/>
              <w:right w:val="nil"/>
            </w:tcBorders>
            <w:shd w:val="clear" w:color="auto" w:fill="auto"/>
            <w:noWrap/>
            <w:vAlign w:val="center"/>
            <w:hideMark/>
          </w:tcPr>
          <w:p w14:paraId="2B5CCB7F"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C130FE" w:rsidRPr="002265D3" w14:paraId="2395E2E0" w14:textId="77777777" w:rsidTr="002F7131">
        <w:trPr>
          <w:trHeight w:val="345"/>
        </w:trPr>
        <w:tc>
          <w:tcPr>
            <w:tcW w:w="7291" w:type="dxa"/>
            <w:gridSpan w:val="4"/>
            <w:tcBorders>
              <w:top w:val="nil"/>
              <w:left w:val="nil"/>
              <w:bottom w:val="nil"/>
              <w:right w:val="nil"/>
            </w:tcBorders>
            <w:shd w:val="clear" w:color="auto" w:fill="auto"/>
            <w:noWrap/>
            <w:vAlign w:val="center"/>
            <w:hideMark/>
          </w:tcPr>
          <w:p w14:paraId="334C2F7A"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lang w:eastAsia="zh-CN"/>
              </w:rPr>
            </w:pPr>
            <w:r w:rsidRPr="002265D3">
              <w:rPr>
                <w:rFonts w:eastAsia="Times New Roman" w:cs="Calibri"/>
                <w:sz w:val="20"/>
                <w:lang w:eastAsia="zh-CN"/>
              </w:rPr>
              <w:t xml:space="preserve"> </w:t>
            </w:r>
          </w:p>
        </w:tc>
        <w:tc>
          <w:tcPr>
            <w:tcW w:w="5227" w:type="dxa"/>
            <w:gridSpan w:val="4"/>
            <w:tcBorders>
              <w:top w:val="nil"/>
              <w:left w:val="nil"/>
              <w:bottom w:val="nil"/>
              <w:right w:val="nil"/>
            </w:tcBorders>
            <w:shd w:val="clear" w:color="auto" w:fill="auto"/>
            <w:noWrap/>
            <w:vAlign w:val="center"/>
            <w:hideMark/>
          </w:tcPr>
          <w:p w14:paraId="0CC62D12"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r w:rsidRPr="002265D3">
              <w:rPr>
                <w:rFonts w:ascii="STKaiti" w:eastAsia="STKaiti" w:hAnsi="STKaiti" w:hint="eastAsia"/>
                <w:b/>
                <w:bCs/>
                <w:color w:val="002060"/>
                <w:sz w:val="20"/>
              </w:rPr>
              <w:t>电信发展局</w:t>
            </w:r>
          </w:p>
        </w:tc>
        <w:tc>
          <w:tcPr>
            <w:tcW w:w="1433" w:type="dxa"/>
            <w:tcBorders>
              <w:top w:val="nil"/>
              <w:left w:val="nil"/>
              <w:bottom w:val="nil"/>
              <w:right w:val="nil"/>
            </w:tcBorders>
            <w:shd w:val="clear" w:color="auto" w:fill="auto"/>
            <w:noWrap/>
            <w:vAlign w:val="center"/>
            <w:hideMark/>
          </w:tcPr>
          <w:p w14:paraId="29BBC589"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p>
        </w:tc>
      </w:tr>
      <w:tr w:rsidR="00C130FE" w:rsidRPr="002265D3" w14:paraId="32EEDD88" w14:textId="77777777" w:rsidTr="002F7131">
        <w:trPr>
          <w:trHeight w:val="150"/>
        </w:trPr>
        <w:tc>
          <w:tcPr>
            <w:tcW w:w="3246" w:type="dxa"/>
            <w:tcBorders>
              <w:top w:val="nil"/>
              <w:left w:val="nil"/>
              <w:bottom w:val="nil"/>
              <w:right w:val="nil"/>
            </w:tcBorders>
            <w:shd w:val="clear" w:color="auto" w:fill="auto"/>
            <w:noWrap/>
            <w:vAlign w:val="center"/>
            <w:hideMark/>
          </w:tcPr>
          <w:p w14:paraId="482D7781"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33" w:type="dxa"/>
            <w:tcBorders>
              <w:top w:val="nil"/>
              <w:left w:val="nil"/>
              <w:bottom w:val="nil"/>
              <w:right w:val="nil"/>
            </w:tcBorders>
            <w:shd w:val="clear" w:color="auto" w:fill="auto"/>
            <w:noWrap/>
            <w:vAlign w:val="center"/>
            <w:hideMark/>
          </w:tcPr>
          <w:p w14:paraId="134E5852"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3F9F0E1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53EB789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0B7D3D14"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tc>
        <w:tc>
          <w:tcPr>
            <w:tcW w:w="1306" w:type="dxa"/>
            <w:tcBorders>
              <w:top w:val="nil"/>
              <w:left w:val="nil"/>
              <w:bottom w:val="nil"/>
              <w:right w:val="nil"/>
            </w:tcBorders>
            <w:shd w:val="clear" w:color="auto" w:fill="auto"/>
            <w:noWrap/>
            <w:vAlign w:val="center"/>
            <w:hideMark/>
          </w:tcPr>
          <w:p w14:paraId="5E9CD90B"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9" w:type="dxa"/>
            <w:tcBorders>
              <w:top w:val="nil"/>
              <w:left w:val="nil"/>
              <w:bottom w:val="nil"/>
              <w:right w:val="nil"/>
            </w:tcBorders>
            <w:shd w:val="clear" w:color="auto" w:fill="auto"/>
            <w:noWrap/>
            <w:vAlign w:val="center"/>
            <w:hideMark/>
          </w:tcPr>
          <w:p w14:paraId="423F5E5A"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r w:rsidRPr="00825AB8">
              <w:rPr>
                <w:rFonts w:ascii="Helv" w:eastAsia="Times New Roman" w:hAnsi="Helv"/>
                <w:noProof/>
                <w:sz w:val="20"/>
              </w:rPr>
              <mc:AlternateContent>
                <mc:Choice Requires="wps">
                  <w:drawing>
                    <wp:anchor distT="0" distB="0" distL="114300" distR="114300" simplePos="0" relativeHeight="251712512" behindDoc="0" locked="0" layoutInCell="1" allowOverlap="1" wp14:anchorId="3366F448" wp14:editId="0FB64347">
                      <wp:simplePos x="0" y="0"/>
                      <wp:positionH relativeFrom="column">
                        <wp:posOffset>-71755</wp:posOffset>
                      </wp:positionH>
                      <wp:positionV relativeFrom="paragraph">
                        <wp:posOffset>-1555750</wp:posOffset>
                      </wp:positionV>
                      <wp:extent cx="62230" cy="3197225"/>
                      <wp:effectExtent l="0" t="5398" r="27623" b="27622"/>
                      <wp:wrapNone/>
                      <wp:docPr id="113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2230" cy="3197225"/>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1A457CE" id="AutoShape 15" o:spid="_x0000_s1026" type="#_x0000_t85" style="position:absolute;margin-left:-5.65pt;margin-top:-122.5pt;width:4.9pt;height:251.75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" adj="479" strokecolor="#0070c0" strokeweight="1pt"/>
                  </w:pict>
                </mc:Fallback>
              </mc:AlternateContent>
            </w:r>
          </w:p>
        </w:tc>
        <w:tc>
          <w:tcPr>
            <w:tcW w:w="1306" w:type="dxa"/>
            <w:tcBorders>
              <w:top w:val="nil"/>
              <w:left w:val="nil"/>
              <w:bottom w:val="nil"/>
              <w:right w:val="nil"/>
            </w:tcBorders>
            <w:shd w:val="clear" w:color="auto" w:fill="auto"/>
            <w:noWrap/>
            <w:vAlign w:val="center"/>
            <w:hideMark/>
          </w:tcPr>
          <w:p w14:paraId="141376FE"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33" w:type="dxa"/>
            <w:tcBorders>
              <w:top w:val="nil"/>
              <w:left w:val="nil"/>
              <w:bottom w:val="nil"/>
              <w:right w:val="nil"/>
            </w:tcBorders>
            <w:shd w:val="clear" w:color="auto" w:fill="auto"/>
            <w:noWrap/>
            <w:vAlign w:val="center"/>
            <w:hideMark/>
          </w:tcPr>
          <w:p w14:paraId="49C8AF03"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C130FE" w:rsidRPr="002265D3" w14:paraId="3013CD21" w14:textId="77777777" w:rsidTr="002F7131">
        <w:tc>
          <w:tcPr>
            <w:tcW w:w="3246" w:type="dxa"/>
            <w:tcBorders>
              <w:top w:val="nil"/>
              <w:left w:val="nil"/>
              <w:bottom w:val="nil"/>
              <w:right w:val="nil"/>
            </w:tcBorders>
            <w:shd w:val="clear" w:color="auto" w:fill="auto"/>
            <w:noWrap/>
            <w:vAlign w:val="center"/>
            <w:hideMark/>
          </w:tcPr>
          <w:p w14:paraId="10B58346"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433" w:type="dxa"/>
            <w:tcBorders>
              <w:top w:val="nil"/>
              <w:left w:val="nil"/>
              <w:bottom w:val="nil"/>
              <w:right w:val="nil"/>
            </w:tcBorders>
            <w:shd w:val="clear" w:color="auto" w:fill="auto"/>
            <w:hideMark/>
          </w:tcPr>
          <w:p w14:paraId="1E79D83E" w14:textId="77777777" w:rsidR="00C130FE" w:rsidRPr="00F04B38"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电信发展</w:t>
            </w:r>
            <w:r w:rsidRPr="00F04B38">
              <w:rPr>
                <w:rFonts w:ascii="SimSun" w:hAnsi="SimSun"/>
                <w:sz w:val="18"/>
                <w:szCs w:val="18"/>
              </w:rPr>
              <w:br/>
            </w:r>
            <w:r w:rsidRPr="00F04B38">
              <w:rPr>
                <w:rFonts w:ascii="SimSun" w:hAnsi="SimSun" w:hint="eastAsia"/>
                <w:sz w:val="18"/>
                <w:szCs w:val="18"/>
              </w:rPr>
              <w:t>顾问组</w:t>
            </w:r>
          </w:p>
        </w:tc>
        <w:tc>
          <w:tcPr>
            <w:tcW w:w="1306" w:type="dxa"/>
            <w:tcBorders>
              <w:top w:val="nil"/>
              <w:left w:val="nil"/>
              <w:bottom w:val="nil"/>
              <w:right w:val="nil"/>
            </w:tcBorders>
            <w:shd w:val="clear" w:color="auto" w:fill="auto"/>
            <w:hideMark/>
          </w:tcPr>
          <w:p w14:paraId="436984C3" w14:textId="77777777" w:rsidR="00C130FE" w:rsidRPr="00F04B38"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研究组会议</w:t>
            </w:r>
          </w:p>
        </w:tc>
        <w:tc>
          <w:tcPr>
            <w:tcW w:w="1306" w:type="dxa"/>
            <w:tcBorders>
              <w:top w:val="nil"/>
              <w:left w:val="nil"/>
              <w:bottom w:val="nil"/>
              <w:right w:val="nil"/>
            </w:tcBorders>
            <w:shd w:val="clear" w:color="auto" w:fill="auto"/>
            <w:hideMark/>
          </w:tcPr>
          <w:p w14:paraId="4216F632" w14:textId="77777777" w:rsidR="00C130FE" w:rsidRPr="00F04B38"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活动和</w:t>
            </w:r>
            <w:r w:rsidRPr="00F04B38">
              <w:rPr>
                <w:rFonts w:ascii="SimSun" w:hAnsi="SimSun"/>
                <w:sz w:val="18"/>
                <w:szCs w:val="18"/>
              </w:rPr>
              <w:br/>
            </w:r>
            <w:r w:rsidRPr="00F04B38">
              <w:rPr>
                <w:rFonts w:ascii="SimSun" w:hAnsi="SimSun" w:hint="eastAsia"/>
                <w:sz w:val="18"/>
                <w:szCs w:val="18"/>
              </w:rPr>
              <w:t>项目</w:t>
            </w:r>
            <w:r w:rsidRPr="00C1536D">
              <w:rPr>
                <w:rFonts w:ascii="SimSun" w:hAnsi="SimSun" w:hint="eastAsia"/>
                <w:sz w:val="20"/>
                <w:vertAlign w:val="superscript"/>
              </w:rPr>
              <w:t>*</w:t>
            </w:r>
          </w:p>
        </w:tc>
        <w:tc>
          <w:tcPr>
            <w:tcW w:w="1306" w:type="dxa"/>
            <w:tcBorders>
              <w:top w:val="nil"/>
              <w:left w:val="nil"/>
              <w:bottom w:val="nil"/>
              <w:right w:val="nil"/>
            </w:tcBorders>
            <w:shd w:val="clear" w:color="auto" w:fill="auto"/>
            <w:hideMark/>
          </w:tcPr>
          <w:p w14:paraId="05EFAF57" w14:textId="77777777" w:rsidR="00C130FE" w:rsidRPr="00F04B38"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共同支出</w:t>
            </w:r>
          </w:p>
        </w:tc>
        <w:tc>
          <w:tcPr>
            <w:tcW w:w="1306" w:type="dxa"/>
            <w:tcBorders>
              <w:top w:val="nil"/>
              <w:left w:val="nil"/>
              <w:bottom w:val="nil"/>
              <w:right w:val="nil"/>
            </w:tcBorders>
            <w:shd w:val="clear" w:color="auto" w:fill="auto"/>
            <w:hideMark/>
          </w:tcPr>
          <w:p w14:paraId="5726418B" w14:textId="77777777" w:rsidR="00C130FE" w:rsidRPr="00F04B38"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主任办公室</w:t>
            </w:r>
          </w:p>
        </w:tc>
        <w:tc>
          <w:tcPr>
            <w:tcW w:w="1309" w:type="dxa"/>
            <w:tcBorders>
              <w:top w:val="nil"/>
              <w:left w:val="nil"/>
              <w:bottom w:val="nil"/>
              <w:right w:val="nil"/>
            </w:tcBorders>
            <w:shd w:val="clear" w:color="auto" w:fill="auto"/>
            <w:hideMark/>
          </w:tcPr>
          <w:p w14:paraId="71AD6063" w14:textId="77777777" w:rsidR="00C130FE" w:rsidRPr="00F04B38"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区域代表处</w:t>
            </w:r>
          </w:p>
        </w:tc>
        <w:tc>
          <w:tcPr>
            <w:tcW w:w="1306" w:type="dxa"/>
            <w:tcBorders>
              <w:top w:val="nil"/>
              <w:left w:val="nil"/>
              <w:bottom w:val="nil"/>
              <w:right w:val="nil"/>
            </w:tcBorders>
            <w:shd w:val="clear" w:color="auto" w:fill="auto"/>
            <w:hideMark/>
          </w:tcPr>
          <w:p w14:paraId="2357AF93" w14:textId="77777777" w:rsidR="00C130FE" w:rsidRPr="00F04B38"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各部</w:t>
            </w:r>
          </w:p>
        </w:tc>
        <w:tc>
          <w:tcPr>
            <w:tcW w:w="1433" w:type="dxa"/>
            <w:tcBorders>
              <w:top w:val="nil"/>
              <w:left w:val="nil"/>
              <w:bottom w:val="nil"/>
              <w:right w:val="nil"/>
            </w:tcBorders>
            <w:shd w:val="clear" w:color="auto" w:fill="auto"/>
            <w:noWrap/>
            <w:vAlign w:val="center"/>
            <w:hideMark/>
          </w:tcPr>
          <w:p w14:paraId="75F76CBF" w14:textId="77777777" w:rsidR="00C130FE" w:rsidRPr="000E512E"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Theme="minorEastAsia" w:eastAsiaTheme="minorEastAsia" w:hAnsiTheme="minorEastAsia" w:cs="Calibri"/>
                <w:b/>
                <w:bCs/>
                <w:color w:val="002060"/>
                <w:sz w:val="20"/>
              </w:rPr>
            </w:pPr>
            <w:r w:rsidRPr="000E512E">
              <w:rPr>
                <w:rFonts w:asciiTheme="minorEastAsia" w:eastAsiaTheme="minorEastAsia" w:hAnsiTheme="minorEastAsia" w:cs="Microsoft YaHei"/>
                <w:b/>
                <w:bCs/>
                <w:color w:val="002060"/>
                <w:sz w:val="20"/>
              </w:rPr>
              <w:t>合计</w:t>
            </w:r>
          </w:p>
        </w:tc>
      </w:tr>
      <w:tr w:rsidR="00C130FE" w:rsidRPr="002265D3" w14:paraId="14C49EF5" w14:textId="77777777" w:rsidTr="002F7131">
        <w:trPr>
          <w:trHeight w:val="252"/>
        </w:trPr>
        <w:tc>
          <w:tcPr>
            <w:tcW w:w="3246" w:type="dxa"/>
            <w:tcBorders>
              <w:top w:val="nil"/>
              <w:left w:val="nil"/>
              <w:bottom w:val="nil"/>
              <w:right w:val="nil"/>
            </w:tcBorders>
            <w:shd w:val="clear" w:color="auto" w:fill="auto"/>
            <w:noWrap/>
            <w:vAlign w:val="bottom"/>
            <w:hideMark/>
          </w:tcPr>
          <w:p w14:paraId="02B13AA4"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2265D3">
              <w:rPr>
                <w:rFonts w:cstheme="minorHAnsi"/>
                <w:sz w:val="20"/>
              </w:rPr>
              <w:t xml:space="preserve">1 - </w:t>
            </w:r>
            <w:r w:rsidRPr="002265D3">
              <w:rPr>
                <w:rFonts w:cstheme="minorHAnsi"/>
                <w:sz w:val="20"/>
              </w:rPr>
              <w:t>人员费用</w:t>
            </w:r>
          </w:p>
        </w:tc>
        <w:tc>
          <w:tcPr>
            <w:tcW w:w="1433" w:type="dxa"/>
            <w:tcBorders>
              <w:top w:val="nil"/>
              <w:left w:val="nil"/>
              <w:bottom w:val="nil"/>
              <w:right w:val="nil"/>
            </w:tcBorders>
            <w:shd w:val="clear" w:color="auto" w:fill="auto"/>
            <w:noWrap/>
            <w:vAlign w:val="bottom"/>
            <w:hideMark/>
          </w:tcPr>
          <w:p w14:paraId="64235C46"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56</w:t>
            </w:r>
          </w:p>
        </w:tc>
        <w:tc>
          <w:tcPr>
            <w:tcW w:w="1306" w:type="dxa"/>
            <w:tcBorders>
              <w:top w:val="nil"/>
              <w:left w:val="nil"/>
              <w:bottom w:val="nil"/>
              <w:right w:val="nil"/>
            </w:tcBorders>
            <w:shd w:val="clear" w:color="auto" w:fill="auto"/>
            <w:noWrap/>
            <w:vAlign w:val="bottom"/>
            <w:hideMark/>
          </w:tcPr>
          <w:p w14:paraId="3B97DA33"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216</w:t>
            </w:r>
          </w:p>
        </w:tc>
        <w:tc>
          <w:tcPr>
            <w:tcW w:w="1306" w:type="dxa"/>
            <w:tcBorders>
              <w:top w:val="nil"/>
              <w:left w:val="nil"/>
              <w:bottom w:val="nil"/>
              <w:right w:val="nil"/>
            </w:tcBorders>
            <w:shd w:val="clear" w:color="auto" w:fill="auto"/>
            <w:noWrap/>
            <w:vAlign w:val="bottom"/>
            <w:hideMark/>
          </w:tcPr>
          <w:p w14:paraId="4B9AAF2B"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465</w:t>
            </w:r>
          </w:p>
        </w:tc>
        <w:tc>
          <w:tcPr>
            <w:tcW w:w="1306" w:type="dxa"/>
            <w:tcBorders>
              <w:top w:val="nil"/>
              <w:left w:val="nil"/>
              <w:bottom w:val="nil"/>
              <w:right w:val="nil"/>
            </w:tcBorders>
            <w:shd w:val="clear" w:color="auto" w:fill="auto"/>
            <w:noWrap/>
            <w:vAlign w:val="bottom"/>
            <w:hideMark/>
          </w:tcPr>
          <w:p w14:paraId="083ED9E5"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306" w:type="dxa"/>
            <w:tcBorders>
              <w:top w:val="nil"/>
              <w:left w:val="nil"/>
              <w:bottom w:val="nil"/>
              <w:right w:val="nil"/>
            </w:tcBorders>
            <w:shd w:val="clear" w:color="auto" w:fill="auto"/>
            <w:noWrap/>
            <w:vAlign w:val="bottom"/>
            <w:hideMark/>
          </w:tcPr>
          <w:p w14:paraId="6E39CE6D"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1,173</w:t>
            </w:r>
          </w:p>
        </w:tc>
        <w:tc>
          <w:tcPr>
            <w:tcW w:w="1309" w:type="dxa"/>
            <w:tcBorders>
              <w:top w:val="nil"/>
              <w:left w:val="nil"/>
              <w:bottom w:val="nil"/>
              <w:right w:val="nil"/>
            </w:tcBorders>
            <w:shd w:val="clear" w:color="auto" w:fill="auto"/>
            <w:noWrap/>
            <w:vAlign w:val="bottom"/>
            <w:hideMark/>
          </w:tcPr>
          <w:p w14:paraId="3AB11A3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5,380</w:t>
            </w:r>
          </w:p>
        </w:tc>
        <w:tc>
          <w:tcPr>
            <w:tcW w:w="1306" w:type="dxa"/>
            <w:tcBorders>
              <w:top w:val="nil"/>
              <w:left w:val="nil"/>
              <w:bottom w:val="nil"/>
              <w:right w:val="nil"/>
            </w:tcBorders>
            <w:shd w:val="clear" w:color="auto" w:fill="auto"/>
            <w:noWrap/>
            <w:vAlign w:val="bottom"/>
            <w:hideMark/>
          </w:tcPr>
          <w:p w14:paraId="3746A789"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10,080</w:t>
            </w:r>
          </w:p>
        </w:tc>
        <w:tc>
          <w:tcPr>
            <w:tcW w:w="1433" w:type="dxa"/>
            <w:tcBorders>
              <w:top w:val="nil"/>
              <w:left w:val="nil"/>
              <w:bottom w:val="nil"/>
              <w:right w:val="nil"/>
            </w:tcBorders>
            <w:shd w:val="clear" w:color="auto" w:fill="auto"/>
            <w:noWrap/>
            <w:vAlign w:val="bottom"/>
            <w:hideMark/>
          </w:tcPr>
          <w:p w14:paraId="2C961587"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265D3">
              <w:rPr>
                <w:rFonts w:eastAsia="Times New Roman" w:cs="Calibri"/>
                <w:color w:val="002060"/>
                <w:sz w:val="20"/>
              </w:rPr>
              <w:t>17,370</w:t>
            </w:r>
          </w:p>
        </w:tc>
      </w:tr>
      <w:tr w:rsidR="00C130FE" w:rsidRPr="002265D3" w14:paraId="0173B39B" w14:textId="77777777" w:rsidTr="002F7131">
        <w:trPr>
          <w:trHeight w:val="240"/>
        </w:trPr>
        <w:tc>
          <w:tcPr>
            <w:tcW w:w="3246" w:type="dxa"/>
            <w:tcBorders>
              <w:top w:val="nil"/>
              <w:left w:val="nil"/>
              <w:bottom w:val="nil"/>
              <w:right w:val="nil"/>
            </w:tcBorders>
            <w:shd w:val="clear" w:color="auto" w:fill="auto"/>
            <w:noWrap/>
            <w:vAlign w:val="bottom"/>
            <w:hideMark/>
          </w:tcPr>
          <w:p w14:paraId="5612D859"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33" w:type="dxa"/>
            <w:tcBorders>
              <w:top w:val="nil"/>
              <w:left w:val="nil"/>
              <w:bottom w:val="nil"/>
              <w:right w:val="nil"/>
            </w:tcBorders>
            <w:shd w:val="clear" w:color="auto" w:fill="auto"/>
            <w:noWrap/>
            <w:vAlign w:val="bottom"/>
            <w:hideMark/>
          </w:tcPr>
          <w:p w14:paraId="2C02A2C7"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7C2B7AF7"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2B194B4B"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046A55F0"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7E6F9BEB"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9" w:type="dxa"/>
            <w:tcBorders>
              <w:top w:val="nil"/>
              <w:left w:val="nil"/>
              <w:bottom w:val="nil"/>
              <w:right w:val="nil"/>
            </w:tcBorders>
            <w:shd w:val="clear" w:color="auto" w:fill="auto"/>
            <w:noWrap/>
            <w:vAlign w:val="bottom"/>
            <w:hideMark/>
          </w:tcPr>
          <w:p w14:paraId="1ABD8E5E"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750B79B2"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3" w:type="dxa"/>
            <w:tcBorders>
              <w:top w:val="nil"/>
              <w:left w:val="nil"/>
              <w:bottom w:val="nil"/>
              <w:right w:val="nil"/>
            </w:tcBorders>
            <w:shd w:val="clear" w:color="auto" w:fill="auto"/>
            <w:noWrap/>
            <w:vAlign w:val="bottom"/>
            <w:hideMark/>
          </w:tcPr>
          <w:p w14:paraId="5448A1CA"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2265D3" w14:paraId="56234C5E" w14:textId="77777777" w:rsidTr="002F7131">
        <w:trPr>
          <w:trHeight w:val="252"/>
        </w:trPr>
        <w:tc>
          <w:tcPr>
            <w:tcW w:w="3246" w:type="dxa"/>
            <w:tcBorders>
              <w:top w:val="nil"/>
              <w:left w:val="nil"/>
              <w:bottom w:val="nil"/>
              <w:right w:val="nil"/>
            </w:tcBorders>
            <w:shd w:val="clear" w:color="auto" w:fill="auto"/>
            <w:noWrap/>
            <w:vAlign w:val="bottom"/>
            <w:hideMark/>
          </w:tcPr>
          <w:p w14:paraId="4EBDE007"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2265D3">
              <w:rPr>
                <w:rFonts w:cstheme="minorHAnsi"/>
                <w:sz w:val="20"/>
              </w:rPr>
              <w:t xml:space="preserve">2 - </w:t>
            </w:r>
            <w:r w:rsidRPr="002265D3">
              <w:rPr>
                <w:rFonts w:cstheme="minorHAnsi"/>
                <w:sz w:val="20"/>
              </w:rPr>
              <w:t>其他人员费用</w:t>
            </w:r>
          </w:p>
        </w:tc>
        <w:tc>
          <w:tcPr>
            <w:tcW w:w="1433" w:type="dxa"/>
            <w:tcBorders>
              <w:top w:val="nil"/>
              <w:left w:val="nil"/>
              <w:bottom w:val="nil"/>
              <w:right w:val="nil"/>
            </w:tcBorders>
            <w:shd w:val="clear" w:color="auto" w:fill="auto"/>
            <w:noWrap/>
            <w:vAlign w:val="bottom"/>
            <w:hideMark/>
          </w:tcPr>
          <w:p w14:paraId="65485884"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4</w:t>
            </w:r>
          </w:p>
        </w:tc>
        <w:tc>
          <w:tcPr>
            <w:tcW w:w="1306" w:type="dxa"/>
            <w:tcBorders>
              <w:top w:val="nil"/>
              <w:left w:val="nil"/>
              <w:bottom w:val="nil"/>
              <w:right w:val="nil"/>
            </w:tcBorders>
            <w:shd w:val="clear" w:color="auto" w:fill="auto"/>
            <w:noWrap/>
            <w:vAlign w:val="bottom"/>
            <w:hideMark/>
          </w:tcPr>
          <w:p w14:paraId="23789B7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8</w:t>
            </w:r>
          </w:p>
        </w:tc>
        <w:tc>
          <w:tcPr>
            <w:tcW w:w="1306" w:type="dxa"/>
            <w:tcBorders>
              <w:top w:val="nil"/>
              <w:left w:val="nil"/>
              <w:bottom w:val="nil"/>
              <w:right w:val="nil"/>
            </w:tcBorders>
            <w:shd w:val="clear" w:color="auto" w:fill="auto"/>
            <w:noWrap/>
            <w:vAlign w:val="bottom"/>
            <w:hideMark/>
          </w:tcPr>
          <w:p w14:paraId="64F00F92"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306" w:type="dxa"/>
            <w:tcBorders>
              <w:top w:val="nil"/>
              <w:left w:val="nil"/>
              <w:bottom w:val="nil"/>
              <w:right w:val="nil"/>
            </w:tcBorders>
            <w:shd w:val="clear" w:color="auto" w:fill="auto"/>
            <w:noWrap/>
            <w:vAlign w:val="bottom"/>
            <w:hideMark/>
          </w:tcPr>
          <w:p w14:paraId="689245DA"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4E8EB906"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337</w:t>
            </w:r>
          </w:p>
        </w:tc>
        <w:tc>
          <w:tcPr>
            <w:tcW w:w="1309" w:type="dxa"/>
            <w:tcBorders>
              <w:top w:val="nil"/>
              <w:left w:val="nil"/>
              <w:bottom w:val="nil"/>
              <w:right w:val="nil"/>
            </w:tcBorders>
            <w:shd w:val="clear" w:color="auto" w:fill="auto"/>
            <w:noWrap/>
            <w:vAlign w:val="bottom"/>
            <w:hideMark/>
          </w:tcPr>
          <w:p w14:paraId="545D0C8C"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1,581</w:t>
            </w:r>
          </w:p>
        </w:tc>
        <w:tc>
          <w:tcPr>
            <w:tcW w:w="1306" w:type="dxa"/>
            <w:tcBorders>
              <w:top w:val="nil"/>
              <w:left w:val="nil"/>
              <w:bottom w:val="nil"/>
              <w:right w:val="nil"/>
            </w:tcBorders>
            <w:shd w:val="clear" w:color="auto" w:fill="auto"/>
            <w:noWrap/>
            <w:vAlign w:val="bottom"/>
            <w:hideMark/>
          </w:tcPr>
          <w:p w14:paraId="10B729E2"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2,951</w:t>
            </w:r>
          </w:p>
        </w:tc>
        <w:tc>
          <w:tcPr>
            <w:tcW w:w="1433" w:type="dxa"/>
            <w:tcBorders>
              <w:top w:val="nil"/>
              <w:left w:val="nil"/>
              <w:bottom w:val="nil"/>
              <w:right w:val="nil"/>
            </w:tcBorders>
            <w:shd w:val="clear" w:color="auto" w:fill="auto"/>
            <w:noWrap/>
            <w:vAlign w:val="bottom"/>
            <w:hideMark/>
          </w:tcPr>
          <w:p w14:paraId="5DCE8077"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265D3">
              <w:rPr>
                <w:rFonts w:eastAsia="Times New Roman" w:cs="Calibri"/>
                <w:color w:val="002060"/>
                <w:sz w:val="20"/>
              </w:rPr>
              <w:t>4,881</w:t>
            </w:r>
          </w:p>
        </w:tc>
      </w:tr>
      <w:tr w:rsidR="00C130FE" w:rsidRPr="002265D3" w14:paraId="35230A83" w14:textId="77777777" w:rsidTr="002F7131">
        <w:trPr>
          <w:trHeight w:val="240"/>
        </w:trPr>
        <w:tc>
          <w:tcPr>
            <w:tcW w:w="3246" w:type="dxa"/>
            <w:tcBorders>
              <w:top w:val="nil"/>
              <w:left w:val="nil"/>
              <w:bottom w:val="nil"/>
              <w:right w:val="nil"/>
            </w:tcBorders>
            <w:shd w:val="clear" w:color="auto" w:fill="auto"/>
            <w:noWrap/>
            <w:vAlign w:val="bottom"/>
            <w:hideMark/>
          </w:tcPr>
          <w:p w14:paraId="233584A6"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33" w:type="dxa"/>
            <w:tcBorders>
              <w:top w:val="nil"/>
              <w:left w:val="nil"/>
              <w:bottom w:val="nil"/>
              <w:right w:val="nil"/>
            </w:tcBorders>
            <w:shd w:val="clear" w:color="auto" w:fill="auto"/>
            <w:noWrap/>
            <w:vAlign w:val="bottom"/>
            <w:hideMark/>
          </w:tcPr>
          <w:p w14:paraId="572E8741"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2F07B63C"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55E6EBAB"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16EBF117"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748CBD65"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9" w:type="dxa"/>
            <w:tcBorders>
              <w:top w:val="nil"/>
              <w:left w:val="nil"/>
              <w:bottom w:val="nil"/>
              <w:right w:val="nil"/>
            </w:tcBorders>
            <w:shd w:val="clear" w:color="auto" w:fill="auto"/>
            <w:noWrap/>
            <w:vAlign w:val="bottom"/>
            <w:hideMark/>
          </w:tcPr>
          <w:p w14:paraId="564AB4D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0B0789C6"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3" w:type="dxa"/>
            <w:tcBorders>
              <w:top w:val="nil"/>
              <w:left w:val="nil"/>
              <w:bottom w:val="nil"/>
              <w:right w:val="nil"/>
            </w:tcBorders>
            <w:shd w:val="clear" w:color="auto" w:fill="auto"/>
            <w:noWrap/>
            <w:vAlign w:val="bottom"/>
            <w:hideMark/>
          </w:tcPr>
          <w:p w14:paraId="3B3D2E39"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2265D3" w14:paraId="54DBAD97" w14:textId="77777777" w:rsidTr="002F7131">
        <w:trPr>
          <w:trHeight w:val="252"/>
        </w:trPr>
        <w:tc>
          <w:tcPr>
            <w:tcW w:w="3246" w:type="dxa"/>
            <w:tcBorders>
              <w:top w:val="nil"/>
              <w:left w:val="nil"/>
              <w:bottom w:val="nil"/>
              <w:right w:val="nil"/>
            </w:tcBorders>
            <w:shd w:val="clear" w:color="auto" w:fill="auto"/>
            <w:noWrap/>
            <w:vAlign w:val="bottom"/>
            <w:hideMark/>
          </w:tcPr>
          <w:p w14:paraId="1C571A36"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2265D3">
              <w:rPr>
                <w:rFonts w:cstheme="minorHAnsi"/>
                <w:sz w:val="20"/>
              </w:rPr>
              <w:t xml:space="preserve">3 - </w:t>
            </w:r>
            <w:r w:rsidRPr="002265D3">
              <w:rPr>
                <w:rFonts w:cstheme="minorHAnsi"/>
                <w:sz w:val="20"/>
              </w:rPr>
              <w:t>公务差旅</w:t>
            </w:r>
          </w:p>
        </w:tc>
        <w:tc>
          <w:tcPr>
            <w:tcW w:w="1433" w:type="dxa"/>
            <w:tcBorders>
              <w:top w:val="nil"/>
              <w:left w:val="nil"/>
              <w:bottom w:val="nil"/>
              <w:right w:val="nil"/>
            </w:tcBorders>
            <w:shd w:val="clear" w:color="auto" w:fill="auto"/>
            <w:noWrap/>
            <w:vAlign w:val="bottom"/>
            <w:hideMark/>
          </w:tcPr>
          <w:p w14:paraId="54953C3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70</w:t>
            </w:r>
          </w:p>
        </w:tc>
        <w:tc>
          <w:tcPr>
            <w:tcW w:w="1306" w:type="dxa"/>
            <w:tcBorders>
              <w:top w:val="nil"/>
              <w:left w:val="nil"/>
              <w:bottom w:val="nil"/>
              <w:right w:val="nil"/>
            </w:tcBorders>
            <w:shd w:val="clear" w:color="auto" w:fill="auto"/>
            <w:noWrap/>
            <w:vAlign w:val="bottom"/>
            <w:hideMark/>
          </w:tcPr>
          <w:p w14:paraId="7C3314F0"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170</w:t>
            </w:r>
          </w:p>
        </w:tc>
        <w:tc>
          <w:tcPr>
            <w:tcW w:w="1306" w:type="dxa"/>
            <w:tcBorders>
              <w:top w:val="nil"/>
              <w:left w:val="nil"/>
              <w:bottom w:val="nil"/>
              <w:right w:val="nil"/>
            </w:tcBorders>
            <w:shd w:val="clear" w:color="auto" w:fill="auto"/>
            <w:noWrap/>
            <w:vAlign w:val="bottom"/>
            <w:hideMark/>
          </w:tcPr>
          <w:p w14:paraId="4EB74607"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1,351</w:t>
            </w:r>
          </w:p>
        </w:tc>
        <w:tc>
          <w:tcPr>
            <w:tcW w:w="1306" w:type="dxa"/>
            <w:tcBorders>
              <w:top w:val="nil"/>
              <w:left w:val="nil"/>
              <w:bottom w:val="nil"/>
              <w:right w:val="nil"/>
            </w:tcBorders>
            <w:shd w:val="clear" w:color="auto" w:fill="auto"/>
            <w:noWrap/>
            <w:vAlign w:val="bottom"/>
            <w:hideMark/>
          </w:tcPr>
          <w:p w14:paraId="68066AB5"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30</w:t>
            </w:r>
          </w:p>
        </w:tc>
        <w:tc>
          <w:tcPr>
            <w:tcW w:w="1306" w:type="dxa"/>
            <w:tcBorders>
              <w:top w:val="nil"/>
              <w:left w:val="nil"/>
              <w:bottom w:val="nil"/>
              <w:right w:val="nil"/>
            </w:tcBorders>
            <w:shd w:val="clear" w:color="auto" w:fill="auto"/>
            <w:noWrap/>
            <w:vAlign w:val="bottom"/>
            <w:hideMark/>
          </w:tcPr>
          <w:p w14:paraId="59389EBC"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100</w:t>
            </w:r>
          </w:p>
        </w:tc>
        <w:tc>
          <w:tcPr>
            <w:tcW w:w="1309" w:type="dxa"/>
            <w:tcBorders>
              <w:top w:val="nil"/>
              <w:left w:val="nil"/>
              <w:bottom w:val="nil"/>
              <w:right w:val="nil"/>
            </w:tcBorders>
            <w:shd w:val="clear" w:color="auto" w:fill="auto"/>
            <w:noWrap/>
            <w:vAlign w:val="bottom"/>
            <w:hideMark/>
          </w:tcPr>
          <w:p w14:paraId="6C2E6B3C"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207</w:t>
            </w:r>
          </w:p>
        </w:tc>
        <w:tc>
          <w:tcPr>
            <w:tcW w:w="1306" w:type="dxa"/>
            <w:tcBorders>
              <w:top w:val="nil"/>
              <w:left w:val="nil"/>
              <w:bottom w:val="nil"/>
              <w:right w:val="nil"/>
            </w:tcBorders>
            <w:shd w:val="clear" w:color="auto" w:fill="auto"/>
            <w:noWrap/>
            <w:vAlign w:val="bottom"/>
            <w:hideMark/>
          </w:tcPr>
          <w:p w14:paraId="4BD4CDF0"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90</w:t>
            </w:r>
          </w:p>
        </w:tc>
        <w:tc>
          <w:tcPr>
            <w:tcW w:w="1433" w:type="dxa"/>
            <w:tcBorders>
              <w:top w:val="nil"/>
              <w:left w:val="nil"/>
              <w:bottom w:val="nil"/>
              <w:right w:val="nil"/>
            </w:tcBorders>
            <w:shd w:val="clear" w:color="auto" w:fill="auto"/>
            <w:noWrap/>
            <w:vAlign w:val="bottom"/>
            <w:hideMark/>
          </w:tcPr>
          <w:p w14:paraId="3DED54D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265D3">
              <w:rPr>
                <w:rFonts w:ascii="Helv" w:eastAsia="Times New Roman" w:hAnsi="Helv"/>
                <w:noProof/>
                <w:sz w:val="20"/>
              </w:rPr>
              <mc:AlternateContent>
                <mc:Choice Requires="wps">
                  <w:drawing>
                    <wp:anchor distT="0" distB="0" distL="114300" distR="114300" simplePos="0" relativeHeight="251711488" behindDoc="0" locked="0" layoutInCell="1" allowOverlap="1" wp14:anchorId="5E3FBB74" wp14:editId="4E0747FA">
                      <wp:simplePos x="0" y="0"/>
                      <wp:positionH relativeFrom="column">
                        <wp:posOffset>-35560</wp:posOffset>
                      </wp:positionH>
                      <wp:positionV relativeFrom="paragraph">
                        <wp:posOffset>-1117600</wp:posOffset>
                      </wp:positionV>
                      <wp:extent cx="933450" cy="3829050"/>
                      <wp:effectExtent l="0" t="0" r="19050" b="19050"/>
                      <wp:wrapNone/>
                      <wp:docPr id="1134" name="圆角矩形 1134">
                        <a:extLst xmlns:a="http://schemas.openxmlformats.org/drawingml/2006/main">
                          <a:ext uri="{FF2B5EF4-FFF2-40B4-BE49-F238E27FC236}">
                            <a16:creationId xmlns:a16="http://schemas.microsoft.com/office/drawing/2014/main" id="{2BEB087B-43CD-D448-8197-5FE7BB3068D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382905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2AD31DE8" id="圆角矩形 1134" o:spid="_x0000_s1026" style="position:absolute;margin-left:-2.8pt;margin-top:-88pt;width:73.5pt;height:30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" filled="f" strokecolor="#0070c0" strokeweight="1pt"/>
                  </w:pict>
                </mc:Fallback>
              </mc:AlternateContent>
            </w:r>
            <w:r w:rsidRPr="002265D3">
              <w:rPr>
                <w:rFonts w:eastAsia="Times New Roman" w:cs="Calibri"/>
                <w:color w:val="002060"/>
                <w:sz w:val="20"/>
              </w:rPr>
              <w:t>2,018</w:t>
            </w:r>
          </w:p>
        </w:tc>
      </w:tr>
      <w:tr w:rsidR="00C130FE" w:rsidRPr="002265D3" w14:paraId="3A24590D" w14:textId="77777777" w:rsidTr="002F7131">
        <w:trPr>
          <w:trHeight w:val="240"/>
        </w:trPr>
        <w:tc>
          <w:tcPr>
            <w:tcW w:w="3246" w:type="dxa"/>
            <w:tcBorders>
              <w:top w:val="nil"/>
              <w:left w:val="nil"/>
              <w:bottom w:val="nil"/>
              <w:right w:val="nil"/>
            </w:tcBorders>
            <w:shd w:val="clear" w:color="auto" w:fill="auto"/>
            <w:noWrap/>
            <w:vAlign w:val="bottom"/>
            <w:hideMark/>
          </w:tcPr>
          <w:p w14:paraId="0A9F67A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33" w:type="dxa"/>
            <w:tcBorders>
              <w:top w:val="nil"/>
              <w:left w:val="nil"/>
              <w:bottom w:val="nil"/>
              <w:right w:val="nil"/>
            </w:tcBorders>
            <w:shd w:val="clear" w:color="auto" w:fill="auto"/>
            <w:noWrap/>
            <w:vAlign w:val="bottom"/>
            <w:hideMark/>
          </w:tcPr>
          <w:p w14:paraId="205742F0"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4EAFB48C"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45AE4403"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4974092C"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0390ADE9"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9" w:type="dxa"/>
            <w:tcBorders>
              <w:top w:val="nil"/>
              <w:left w:val="nil"/>
              <w:bottom w:val="nil"/>
              <w:right w:val="nil"/>
            </w:tcBorders>
            <w:shd w:val="clear" w:color="auto" w:fill="auto"/>
            <w:noWrap/>
            <w:vAlign w:val="bottom"/>
            <w:hideMark/>
          </w:tcPr>
          <w:p w14:paraId="606C7DB6"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3D1FA68E"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3" w:type="dxa"/>
            <w:tcBorders>
              <w:top w:val="nil"/>
              <w:left w:val="nil"/>
              <w:bottom w:val="nil"/>
              <w:right w:val="nil"/>
            </w:tcBorders>
            <w:shd w:val="clear" w:color="auto" w:fill="auto"/>
            <w:noWrap/>
            <w:vAlign w:val="bottom"/>
            <w:hideMark/>
          </w:tcPr>
          <w:p w14:paraId="02455D99"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2265D3" w14:paraId="3FA8EBCE" w14:textId="77777777" w:rsidTr="002F7131">
        <w:trPr>
          <w:trHeight w:val="252"/>
        </w:trPr>
        <w:tc>
          <w:tcPr>
            <w:tcW w:w="3246" w:type="dxa"/>
            <w:tcBorders>
              <w:top w:val="nil"/>
              <w:left w:val="nil"/>
              <w:bottom w:val="nil"/>
              <w:right w:val="nil"/>
            </w:tcBorders>
            <w:shd w:val="clear" w:color="auto" w:fill="auto"/>
            <w:noWrap/>
            <w:vAlign w:val="bottom"/>
            <w:hideMark/>
          </w:tcPr>
          <w:p w14:paraId="1F79107C"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2265D3">
              <w:rPr>
                <w:rFonts w:cstheme="minorHAnsi"/>
                <w:sz w:val="20"/>
              </w:rPr>
              <w:t xml:space="preserve">4 - </w:t>
            </w:r>
            <w:r w:rsidRPr="002265D3">
              <w:rPr>
                <w:rFonts w:cstheme="minorHAnsi"/>
                <w:sz w:val="20"/>
              </w:rPr>
              <w:t>合同服务</w:t>
            </w:r>
          </w:p>
        </w:tc>
        <w:tc>
          <w:tcPr>
            <w:tcW w:w="1433" w:type="dxa"/>
            <w:tcBorders>
              <w:top w:val="nil"/>
              <w:left w:val="nil"/>
              <w:bottom w:val="nil"/>
              <w:right w:val="nil"/>
            </w:tcBorders>
            <w:shd w:val="clear" w:color="auto" w:fill="auto"/>
            <w:noWrap/>
            <w:vAlign w:val="bottom"/>
            <w:hideMark/>
          </w:tcPr>
          <w:p w14:paraId="027A177A"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8</w:t>
            </w:r>
          </w:p>
        </w:tc>
        <w:tc>
          <w:tcPr>
            <w:tcW w:w="1306" w:type="dxa"/>
            <w:tcBorders>
              <w:top w:val="nil"/>
              <w:left w:val="nil"/>
              <w:bottom w:val="nil"/>
              <w:right w:val="nil"/>
            </w:tcBorders>
            <w:shd w:val="clear" w:color="auto" w:fill="auto"/>
            <w:noWrap/>
            <w:vAlign w:val="bottom"/>
            <w:hideMark/>
          </w:tcPr>
          <w:p w14:paraId="20E3602A"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10</w:t>
            </w:r>
          </w:p>
        </w:tc>
        <w:tc>
          <w:tcPr>
            <w:tcW w:w="1306" w:type="dxa"/>
            <w:tcBorders>
              <w:top w:val="nil"/>
              <w:left w:val="nil"/>
              <w:bottom w:val="nil"/>
              <w:right w:val="nil"/>
            </w:tcBorders>
            <w:shd w:val="clear" w:color="auto" w:fill="auto"/>
            <w:noWrap/>
            <w:vAlign w:val="bottom"/>
            <w:hideMark/>
          </w:tcPr>
          <w:p w14:paraId="4DECF19E"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2,373</w:t>
            </w:r>
          </w:p>
        </w:tc>
        <w:tc>
          <w:tcPr>
            <w:tcW w:w="1306" w:type="dxa"/>
            <w:tcBorders>
              <w:top w:val="nil"/>
              <w:left w:val="nil"/>
              <w:bottom w:val="nil"/>
              <w:right w:val="nil"/>
            </w:tcBorders>
            <w:shd w:val="clear" w:color="auto" w:fill="auto"/>
            <w:noWrap/>
            <w:vAlign w:val="bottom"/>
            <w:hideMark/>
          </w:tcPr>
          <w:p w14:paraId="15FE1A62"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50</w:t>
            </w:r>
          </w:p>
        </w:tc>
        <w:tc>
          <w:tcPr>
            <w:tcW w:w="1306" w:type="dxa"/>
            <w:tcBorders>
              <w:top w:val="nil"/>
              <w:left w:val="nil"/>
              <w:bottom w:val="nil"/>
              <w:right w:val="nil"/>
            </w:tcBorders>
            <w:shd w:val="clear" w:color="auto" w:fill="auto"/>
            <w:noWrap/>
            <w:vAlign w:val="bottom"/>
            <w:hideMark/>
          </w:tcPr>
          <w:p w14:paraId="5046EF3A"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50</w:t>
            </w:r>
          </w:p>
        </w:tc>
        <w:tc>
          <w:tcPr>
            <w:tcW w:w="1309" w:type="dxa"/>
            <w:tcBorders>
              <w:top w:val="nil"/>
              <w:left w:val="nil"/>
              <w:bottom w:val="nil"/>
              <w:right w:val="nil"/>
            </w:tcBorders>
            <w:shd w:val="clear" w:color="auto" w:fill="auto"/>
            <w:noWrap/>
            <w:vAlign w:val="bottom"/>
            <w:hideMark/>
          </w:tcPr>
          <w:p w14:paraId="4C5464CD"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36</w:t>
            </w:r>
          </w:p>
        </w:tc>
        <w:tc>
          <w:tcPr>
            <w:tcW w:w="1306" w:type="dxa"/>
            <w:tcBorders>
              <w:top w:val="nil"/>
              <w:left w:val="nil"/>
              <w:bottom w:val="nil"/>
              <w:right w:val="nil"/>
            </w:tcBorders>
            <w:shd w:val="clear" w:color="auto" w:fill="auto"/>
            <w:noWrap/>
            <w:vAlign w:val="bottom"/>
            <w:hideMark/>
          </w:tcPr>
          <w:p w14:paraId="5CABF96B"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433" w:type="dxa"/>
            <w:tcBorders>
              <w:top w:val="nil"/>
              <w:left w:val="nil"/>
              <w:bottom w:val="nil"/>
              <w:right w:val="nil"/>
            </w:tcBorders>
            <w:shd w:val="clear" w:color="auto" w:fill="auto"/>
            <w:noWrap/>
            <w:vAlign w:val="bottom"/>
            <w:hideMark/>
          </w:tcPr>
          <w:p w14:paraId="4C8C5BC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265D3">
              <w:rPr>
                <w:rFonts w:eastAsia="Times New Roman" w:cs="Calibri"/>
                <w:color w:val="002060"/>
                <w:sz w:val="20"/>
              </w:rPr>
              <w:t>2,527</w:t>
            </w:r>
          </w:p>
        </w:tc>
      </w:tr>
      <w:tr w:rsidR="00C130FE" w:rsidRPr="002265D3" w14:paraId="472809F1" w14:textId="77777777" w:rsidTr="002F7131">
        <w:trPr>
          <w:trHeight w:val="240"/>
        </w:trPr>
        <w:tc>
          <w:tcPr>
            <w:tcW w:w="3246" w:type="dxa"/>
            <w:tcBorders>
              <w:top w:val="nil"/>
              <w:left w:val="nil"/>
              <w:bottom w:val="nil"/>
              <w:right w:val="nil"/>
            </w:tcBorders>
            <w:shd w:val="clear" w:color="auto" w:fill="auto"/>
            <w:noWrap/>
            <w:vAlign w:val="bottom"/>
            <w:hideMark/>
          </w:tcPr>
          <w:p w14:paraId="4E6B1EDE"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33" w:type="dxa"/>
            <w:tcBorders>
              <w:top w:val="nil"/>
              <w:left w:val="nil"/>
              <w:bottom w:val="nil"/>
              <w:right w:val="nil"/>
            </w:tcBorders>
            <w:shd w:val="clear" w:color="auto" w:fill="auto"/>
            <w:noWrap/>
            <w:vAlign w:val="bottom"/>
            <w:hideMark/>
          </w:tcPr>
          <w:p w14:paraId="7E8C0D1A"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5DDF9235"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64F8ED85"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3CBCE13B"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35196D13"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9" w:type="dxa"/>
            <w:tcBorders>
              <w:top w:val="nil"/>
              <w:left w:val="nil"/>
              <w:bottom w:val="nil"/>
              <w:right w:val="nil"/>
            </w:tcBorders>
            <w:shd w:val="clear" w:color="auto" w:fill="auto"/>
            <w:noWrap/>
            <w:vAlign w:val="bottom"/>
            <w:hideMark/>
          </w:tcPr>
          <w:p w14:paraId="2B7A472C"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0D093196"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3" w:type="dxa"/>
            <w:tcBorders>
              <w:top w:val="nil"/>
              <w:left w:val="nil"/>
              <w:bottom w:val="nil"/>
              <w:right w:val="nil"/>
            </w:tcBorders>
            <w:shd w:val="clear" w:color="auto" w:fill="auto"/>
            <w:noWrap/>
            <w:vAlign w:val="bottom"/>
            <w:hideMark/>
          </w:tcPr>
          <w:p w14:paraId="34C00FB9"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2265D3" w14:paraId="2EA58E5B" w14:textId="77777777" w:rsidTr="002F7131">
        <w:trPr>
          <w:trHeight w:val="227"/>
        </w:trPr>
        <w:tc>
          <w:tcPr>
            <w:tcW w:w="3246" w:type="dxa"/>
            <w:tcBorders>
              <w:top w:val="nil"/>
              <w:left w:val="nil"/>
              <w:bottom w:val="nil"/>
              <w:right w:val="nil"/>
            </w:tcBorders>
            <w:shd w:val="clear" w:color="auto" w:fill="auto"/>
            <w:vAlign w:val="bottom"/>
            <w:hideMark/>
          </w:tcPr>
          <w:p w14:paraId="6612454E"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2265D3">
              <w:rPr>
                <w:rFonts w:cstheme="minorHAnsi"/>
                <w:sz w:val="20"/>
                <w:lang w:eastAsia="zh-CN"/>
              </w:rPr>
              <w:t xml:space="preserve">5 - </w:t>
            </w:r>
            <w:r w:rsidRPr="002265D3">
              <w:rPr>
                <w:rFonts w:cstheme="minorHAnsi"/>
                <w:sz w:val="20"/>
                <w:lang w:eastAsia="zh-CN"/>
              </w:rPr>
              <w:t>房屋设施和设备的租用与维护</w:t>
            </w:r>
          </w:p>
        </w:tc>
        <w:tc>
          <w:tcPr>
            <w:tcW w:w="1433" w:type="dxa"/>
            <w:tcBorders>
              <w:top w:val="nil"/>
              <w:left w:val="nil"/>
              <w:bottom w:val="nil"/>
              <w:right w:val="nil"/>
            </w:tcBorders>
            <w:shd w:val="clear" w:color="auto" w:fill="auto"/>
            <w:noWrap/>
            <w:vAlign w:val="bottom"/>
            <w:hideMark/>
          </w:tcPr>
          <w:p w14:paraId="65F9AA9C"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lang w:eastAsia="zh-CN"/>
              </w:rPr>
            </w:pPr>
          </w:p>
        </w:tc>
        <w:tc>
          <w:tcPr>
            <w:tcW w:w="1306" w:type="dxa"/>
            <w:tcBorders>
              <w:top w:val="nil"/>
              <w:left w:val="nil"/>
              <w:bottom w:val="nil"/>
              <w:right w:val="nil"/>
            </w:tcBorders>
            <w:shd w:val="clear" w:color="auto" w:fill="auto"/>
            <w:noWrap/>
            <w:vAlign w:val="bottom"/>
            <w:hideMark/>
          </w:tcPr>
          <w:p w14:paraId="3613046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306" w:type="dxa"/>
            <w:tcBorders>
              <w:top w:val="nil"/>
              <w:left w:val="nil"/>
              <w:bottom w:val="nil"/>
              <w:right w:val="nil"/>
            </w:tcBorders>
            <w:shd w:val="clear" w:color="auto" w:fill="auto"/>
            <w:noWrap/>
            <w:vAlign w:val="bottom"/>
            <w:hideMark/>
          </w:tcPr>
          <w:p w14:paraId="129BD1B0"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306" w:type="dxa"/>
            <w:tcBorders>
              <w:top w:val="nil"/>
              <w:left w:val="nil"/>
              <w:bottom w:val="nil"/>
              <w:right w:val="nil"/>
            </w:tcBorders>
            <w:shd w:val="clear" w:color="auto" w:fill="auto"/>
            <w:noWrap/>
            <w:vAlign w:val="bottom"/>
            <w:hideMark/>
          </w:tcPr>
          <w:p w14:paraId="7EC7F53F"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90</w:t>
            </w:r>
          </w:p>
        </w:tc>
        <w:tc>
          <w:tcPr>
            <w:tcW w:w="1306" w:type="dxa"/>
            <w:tcBorders>
              <w:top w:val="nil"/>
              <w:left w:val="nil"/>
              <w:bottom w:val="nil"/>
              <w:right w:val="nil"/>
            </w:tcBorders>
            <w:shd w:val="clear" w:color="auto" w:fill="auto"/>
            <w:noWrap/>
            <w:vAlign w:val="bottom"/>
            <w:hideMark/>
          </w:tcPr>
          <w:p w14:paraId="58186773"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309" w:type="dxa"/>
            <w:tcBorders>
              <w:top w:val="nil"/>
              <w:left w:val="nil"/>
              <w:bottom w:val="nil"/>
              <w:right w:val="nil"/>
            </w:tcBorders>
            <w:shd w:val="clear" w:color="auto" w:fill="auto"/>
            <w:noWrap/>
            <w:vAlign w:val="bottom"/>
            <w:hideMark/>
          </w:tcPr>
          <w:p w14:paraId="3B458078"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49</w:t>
            </w:r>
          </w:p>
        </w:tc>
        <w:tc>
          <w:tcPr>
            <w:tcW w:w="1306" w:type="dxa"/>
            <w:tcBorders>
              <w:top w:val="nil"/>
              <w:left w:val="nil"/>
              <w:bottom w:val="nil"/>
              <w:right w:val="nil"/>
            </w:tcBorders>
            <w:shd w:val="clear" w:color="auto" w:fill="auto"/>
            <w:noWrap/>
            <w:vAlign w:val="bottom"/>
            <w:hideMark/>
          </w:tcPr>
          <w:p w14:paraId="745E3F53"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433" w:type="dxa"/>
            <w:tcBorders>
              <w:top w:val="nil"/>
              <w:left w:val="nil"/>
              <w:bottom w:val="nil"/>
              <w:right w:val="nil"/>
            </w:tcBorders>
            <w:shd w:val="clear" w:color="auto" w:fill="auto"/>
            <w:noWrap/>
            <w:vAlign w:val="bottom"/>
            <w:hideMark/>
          </w:tcPr>
          <w:p w14:paraId="5EB05B25"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265D3">
              <w:rPr>
                <w:rFonts w:eastAsia="Times New Roman" w:cs="Calibri"/>
                <w:color w:val="002060"/>
                <w:sz w:val="20"/>
              </w:rPr>
              <w:t>139</w:t>
            </w:r>
          </w:p>
        </w:tc>
      </w:tr>
      <w:tr w:rsidR="00C130FE" w:rsidRPr="002265D3" w14:paraId="58703260" w14:textId="77777777" w:rsidTr="002F7131">
        <w:trPr>
          <w:trHeight w:val="240"/>
        </w:trPr>
        <w:tc>
          <w:tcPr>
            <w:tcW w:w="3246" w:type="dxa"/>
            <w:tcBorders>
              <w:top w:val="nil"/>
              <w:left w:val="nil"/>
              <w:bottom w:val="nil"/>
              <w:right w:val="nil"/>
            </w:tcBorders>
            <w:shd w:val="clear" w:color="auto" w:fill="auto"/>
            <w:noWrap/>
            <w:vAlign w:val="bottom"/>
            <w:hideMark/>
          </w:tcPr>
          <w:p w14:paraId="205312D3"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33" w:type="dxa"/>
            <w:tcBorders>
              <w:top w:val="nil"/>
              <w:left w:val="nil"/>
              <w:bottom w:val="nil"/>
              <w:right w:val="nil"/>
            </w:tcBorders>
            <w:shd w:val="clear" w:color="auto" w:fill="auto"/>
            <w:noWrap/>
            <w:vAlign w:val="bottom"/>
            <w:hideMark/>
          </w:tcPr>
          <w:p w14:paraId="2E05F35B"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3555C792"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36D5F9E4"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49E06F1A"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42131907"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9" w:type="dxa"/>
            <w:tcBorders>
              <w:top w:val="nil"/>
              <w:left w:val="nil"/>
              <w:bottom w:val="nil"/>
              <w:right w:val="nil"/>
            </w:tcBorders>
            <w:shd w:val="clear" w:color="auto" w:fill="auto"/>
            <w:noWrap/>
            <w:vAlign w:val="bottom"/>
            <w:hideMark/>
          </w:tcPr>
          <w:p w14:paraId="71B4008D"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2186075A"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3" w:type="dxa"/>
            <w:tcBorders>
              <w:top w:val="nil"/>
              <w:left w:val="nil"/>
              <w:bottom w:val="nil"/>
              <w:right w:val="nil"/>
            </w:tcBorders>
            <w:shd w:val="clear" w:color="auto" w:fill="auto"/>
            <w:noWrap/>
            <w:vAlign w:val="bottom"/>
            <w:hideMark/>
          </w:tcPr>
          <w:p w14:paraId="2DD4D15A"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2265D3" w14:paraId="2A336AA0" w14:textId="77777777" w:rsidTr="002F7131">
        <w:trPr>
          <w:trHeight w:val="252"/>
        </w:trPr>
        <w:tc>
          <w:tcPr>
            <w:tcW w:w="3246" w:type="dxa"/>
            <w:tcBorders>
              <w:top w:val="nil"/>
              <w:left w:val="nil"/>
              <w:bottom w:val="nil"/>
              <w:right w:val="nil"/>
            </w:tcBorders>
            <w:shd w:val="clear" w:color="auto" w:fill="auto"/>
            <w:noWrap/>
            <w:vAlign w:val="bottom"/>
            <w:hideMark/>
          </w:tcPr>
          <w:p w14:paraId="63496E0E"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2265D3">
              <w:rPr>
                <w:rFonts w:cstheme="minorHAnsi"/>
                <w:sz w:val="20"/>
              </w:rPr>
              <w:t xml:space="preserve">6 - </w:t>
            </w:r>
            <w:r w:rsidRPr="002265D3">
              <w:rPr>
                <w:rFonts w:cstheme="minorHAnsi"/>
                <w:sz w:val="20"/>
              </w:rPr>
              <w:t>材料和办公用品</w:t>
            </w:r>
          </w:p>
        </w:tc>
        <w:tc>
          <w:tcPr>
            <w:tcW w:w="1433" w:type="dxa"/>
            <w:tcBorders>
              <w:top w:val="nil"/>
              <w:left w:val="nil"/>
              <w:bottom w:val="nil"/>
              <w:right w:val="nil"/>
            </w:tcBorders>
            <w:shd w:val="clear" w:color="auto" w:fill="auto"/>
            <w:noWrap/>
            <w:vAlign w:val="bottom"/>
            <w:hideMark/>
          </w:tcPr>
          <w:p w14:paraId="130FFF7B"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p>
        </w:tc>
        <w:tc>
          <w:tcPr>
            <w:tcW w:w="1306" w:type="dxa"/>
            <w:tcBorders>
              <w:top w:val="nil"/>
              <w:left w:val="nil"/>
              <w:bottom w:val="nil"/>
              <w:right w:val="nil"/>
            </w:tcBorders>
            <w:shd w:val="clear" w:color="auto" w:fill="auto"/>
            <w:noWrap/>
            <w:vAlign w:val="bottom"/>
            <w:hideMark/>
          </w:tcPr>
          <w:p w14:paraId="67C8D6D7"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1EE6E90C"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11</w:t>
            </w:r>
          </w:p>
        </w:tc>
        <w:tc>
          <w:tcPr>
            <w:tcW w:w="1306" w:type="dxa"/>
            <w:tcBorders>
              <w:top w:val="nil"/>
              <w:left w:val="nil"/>
              <w:bottom w:val="nil"/>
              <w:right w:val="nil"/>
            </w:tcBorders>
            <w:shd w:val="clear" w:color="auto" w:fill="auto"/>
            <w:noWrap/>
            <w:vAlign w:val="bottom"/>
            <w:hideMark/>
          </w:tcPr>
          <w:p w14:paraId="1B873D44"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33</w:t>
            </w:r>
          </w:p>
        </w:tc>
        <w:tc>
          <w:tcPr>
            <w:tcW w:w="1306" w:type="dxa"/>
            <w:tcBorders>
              <w:top w:val="nil"/>
              <w:left w:val="nil"/>
              <w:bottom w:val="nil"/>
              <w:right w:val="nil"/>
            </w:tcBorders>
            <w:shd w:val="clear" w:color="auto" w:fill="auto"/>
            <w:noWrap/>
            <w:vAlign w:val="bottom"/>
            <w:hideMark/>
          </w:tcPr>
          <w:p w14:paraId="2E460D4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309" w:type="dxa"/>
            <w:tcBorders>
              <w:top w:val="nil"/>
              <w:left w:val="nil"/>
              <w:bottom w:val="nil"/>
              <w:right w:val="nil"/>
            </w:tcBorders>
            <w:shd w:val="clear" w:color="auto" w:fill="auto"/>
            <w:noWrap/>
            <w:vAlign w:val="bottom"/>
            <w:hideMark/>
          </w:tcPr>
          <w:p w14:paraId="50774F4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44</w:t>
            </w:r>
          </w:p>
        </w:tc>
        <w:tc>
          <w:tcPr>
            <w:tcW w:w="1306" w:type="dxa"/>
            <w:tcBorders>
              <w:top w:val="nil"/>
              <w:left w:val="nil"/>
              <w:bottom w:val="nil"/>
              <w:right w:val="nil"/>
            </w:tcBorders>
            <w:shd w:val="clear" w:color="auto" w:fill="auto"/>
            <w:noWrap/>
            <w:vAlign w:val="bottom"/>
            <w:hideMark/>
          </w:tcPr>
          <w:p w14:paraId="0C2845E3"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433" w:type="dxa"/>
            <w:tcBorders>
              <w:top w:val="nil"/>
              <w:left w:val="nil"/>
              <w:bottom w:val="nil"/>
              <w:right w:val="nil"/>
            </w:tcBorders>
            <w:shd w:val="clear" w:color="auto" w:fill="auto"/>
            <w:noWrap/>
            <w:vAlign w:val="bottom"/>
            <w:hideMark/>
          </w:tcPr>
          <w:p w14:paraId="000DBDB5"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265D3">
              <w:rPr>
                <w:rFonts w:eastAsia="Times New Roman" w:cs="Calibri"/>
                <w:color w:val="002060"/>
                <w:sz w:val="20"/>
              </w:rPr>
              <w:t>88</w:t>
            </w:r>
          </w:p>
        </w:tc>
      </w:tr>
      <w:tr w:rsidR="00C130FE" w:rsidRPr="002265D3" w14:paraId="509DEACC" w14:textId="77777777" w:rsidTr="002F7131">
        <w:trPr>
          <w:trHeight w:val="240"/>
        </w:trPr>
        <w:tc>
          <w:tcPr>
            <w:tcW w:w="3246" w:type="dxa"/>
            <w:tcBorders>
              <w:top w:val="nil"/>
              <w:left w:val="nil"/>
              <w:bottom w:val="nil"/>
              <w:right w:val="nil"/>
            </w:tcBorders>
            <w:shd w:val="clear" w:color="auto" w:fill="auto"/>
            <w:noWrap/>
            <w:vAlign w:val="bottom"/>
            <w:hideMark/>
          </w:tcPr>
          <w:p w14:paraId="118E3380"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33" w:type="dxa"/>
            <w:tcBorders>
              <w:top w:val="nil"/>
              <w:left w:val="nil"/>
              <w:bottom w:val="nil"/>
              <w:right w:val="nil"/>
            </w:tcBorders>
            <w:shd w:val="clear" w:color="auto" w:fill="auto"/>
            <w:noWrap/>
            <w:vAlign w:val="bottom"/>
            <w:hideMark/>
          </w:tcPr>
          <w:p w14:paraId="175A7F88"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05DB4992"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48A20C4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0BBCE585"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68BDD2DD"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9" w:type="dxa"/>
            <w:tcBorders>
              <w:top w:val="nil"/>
              <w:left w:val="nil"/>
              <w:bottom w:val="nil"/>
              <w:right w:val="nil"/>
            </w:tcBorders>
            <w:shd w:val="clear" w:color="auto" w:fill="auto"/>
            <w:noWrap/>
            <w:vAlign w:val="bottom"/>
            <w:hideMark/>
          </w:tcPr>
          <w:p w14:paraId="554F674A"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623A5726"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3" w:type="dxa"/>
            <w:tcBorders>
              <w:top w:val="nil"/>
              <w:left w:val="nil"/>
              <w:bottom w:val="nil"/>
              <w:right w:val="nil"/>
            </w:tcBorders>
            <w:shd w:val="clear" w:color="auto" w:fill="auto"/>
            <w:noWrap/>
            <w:vAlign w:val="bottom"/>
            <w:hideMark/>
          </w:tcPr>
          <w:p w14:paraId="732E41C4"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2265D3" w14:paraId="00D18034" w14:textId="77777777" w:rsidTr="002F7131">
        <w:trPr>
          <w:trHeight w:val="213"/>
        </w:trPr>
        <w:tc>
          <w:tcPr>
            <w:tcW w:w="3246" w:type="dxa"/>
            <w:tcBorders>
              <w:top w:val="nil"/>
              <w:left w:val="nil"/>
              <w:bottom w:val="nil"/>
              <w:right w:val="nil"/>
            </w:tcBorders>
            <w:shd w:val="clear" w:color="auto" w:fill="auto"/>
            <w:vAlign w:val="bottom"/>
            <w:hideMark/>
          </w:tcPr>
          <w:p w14:paraId="554571D8"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2265D3">
              <w:rPr>
                <w:rFonts w:cstheme="minorHAnsi"/>
                <w:sz w:val="20"/>
                <w:lang w:eastAsia="zh-CN"/>
              </w:rPr>
              <w:t xml:space="preserve">7 -  </w:t>
            </w:r>
            <w:r w:rsidRPr="002265D3">
              <w:rPr>
                <w:rFonts w:cstheme="minorHAnsi"/>
                <w:sz w:val="20"/>
                <w:lang w:eastAsia="zh-CN"/>
              </w:rPr>
              <w:t>房屋设施、家具和设备的采购</w:t>
            </w:r>
          </w:p>
        </w:tc>
        <w:tc>
          <w:tcPr>
            <w:tcW w:w="1433" w:type="dxa"/>
            <w:tcBorders>
              <w:top w:val="nil"/>
              <w:left w:val="nil"/>
              <w:bottom w:val="nil"/>
              <w:right w:val="nil"/>
            </w:tcBorders>
            <w:shd w:val="clear" w:color="auto" w:fill="auto"/>
            <w:noWrap/>
            <w:vAlign w:val="bottom"/>
            <w:hideMark/>
          </w:tcPr>
          <w:p w14:paraId="642D4E39"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lang w:eastAsia="zh-CN"/>
              </w:rPr>
            </w:pPr>
          </w:p>
        </w:tc>
        <w:tc>
          <w:tcPr>
            <w:tcW w:w="1306" w:type="dxa"/>
            <w:tcBorders>
              <w:top w:val="nil"/>
              <w:left w:val="nil"/>
              <w:bottom w:val="nil"/>
              <w:right w:val="nil"/>
            </w:tcBorders>
            <w:shd w:val="clear" w:color="auto" w:fill="auto"/>
            <w:noWrap/>
            <w:vAlign w:val="bottom"/>
            <w:hideMark/>
          </w:tcPr>
          <w:p w14:paraId="391EC9FB"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306" w:type="dxa"/>
            <w:tcBorders>
              <w:top w:val="nil"/>
              <w:left w:val="nil"/>
              <w:bottom w:val="nil"/>
              <w:right w:val="nil"/>
            </w:tcBorders>
            <w:shd w:val="clear" w:color="auto" w:fill="auto"/>
            <w:noWrap/>
            <w:vAlign w:val="bottom"/>
            <w:hideMark/>
          </w:tcPr>
          <w:p w14:paraId="6D3783E3"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306" w:type="dxa"/>
            <w:tcBorders>
              <w:top w:val="nil"/>
              <w:left w:val="nil"/>
              <w:bottom w:val="nil"/>
              <w:right w:val="nil"/>
            </w:tcBorders>
            <w:shd w:val="clear" w:color="auto" w:fill="auto"/>
            <w:noWrap/>
            <w:vAlign w:val="bottom"/>
            <w:hideMark/>
          </w:tcPr>
          <w:p w14:paraId="05CB9647"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306" w:type="dxa"/>
            <w:tcBorders>
              <w:top w:val="nil"/>
              <w:left w:val="nil"/>
              <w:bottom w:val="nil"/>
              <w:right w:val="nil"/>
            </w:tcBorders>
            <w:shd w:val="clear" w:color="auto" w:fill="auto"/>
            <w:noWrap/>
            <w:vAlign w:val="bottom"/>
            <w:hideMark/>
          </w:tcPr>
          <w:p w14:paraId="6E50CA2D"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309" w:type="dxa"/>
            <w:tcBorders>
              <w:top w:val="nil"/>
              <w:left w:val="nil"/>
              <w:bottom w:val="nil"/>
              <w:right w:val="nil"/>
            </w:tcBorders>
            <w:shd w:val="clear" w:color="auto" w:fill="auto"/>
            <w:noWrap/>
            <w:vAlign w:val="bottom"/>
            <w:hideMark/>
          </w:tcPr>
          <w:p w14:paraId="2C691CE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58</w:t>
            </w:r>
          </w:p>
        </w:tc>
        <w:tc>
          <w:tcPr>
            <w:tcW w:w="1306" w:type="dxa"/>
            <w:tcBorders>
              <w:top w:val="nil"/>
              <w:left w:val="nil"/>
              <w:bottom w:val="nil"/>
              <w:right w:val="nil"/>
            </w:tcBorders>
            <w:shd w:val="clear" w:color="auto" w:fill="auto"/>
            <w:noWrap/>
            <w:vAlign w:val="bottom"/>
            <w:hideMark/>
          </w:tcPr>
          <w:p w14:paraId="5785B96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433" w:type="dxa"/>
            <w:tcBorders>
              <w:top w:val="nil"/>
              <w:left w:val="nil"/>
              <w:bottom w:val="nil"/>
              <w:right w:val="nil"/>
            </w:tcBorders>
            <w:shd w:val="clear" w:color="auto" w:fill="auto"/>
            <w:noWrap/>
            <w:vAlign w:val="bottom"/>
            <w:hideMark/>
          </w:tcPr>
          <w:p w14:paraId="4025AFAE"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265D3">
              <w:rPr>
                <w:rFonts w:eastAsia="Times New Roman" w:cs="Calibri"/>
                <w:color w:val="002060"/>
                <w:sz w:val="20"/>
              </w:rPr>
              <w:t>58</w:t>
            </w:r>
          </w:p>
        </w:tc>
      </w:tr>
      <w:tr w:rsidR="00C130FE" w:rsidRPr="002265D3" w14:paraId="61771FE2" w14:textId="77777777" w:rsidTr="002F7131">
        <w:trPr>
          <w:trHeight w:val="240"/>
        </w:trPr>
        <w:tc>
          <w:tcPr>
            <w:tcW w:w="3246" w:type="dxa"/>
            <w:tcBorders>
              <w:top w:val="nil"/>
              <w:left w:val="nil"/>
              <w:bottom w:val="nil"/>
              <w:right w:val="nil"/>
            </w:tcBorders>
            <w:shd w:val="clear" w:color="auto" w:fill="auto"/>
            <w:noWrap/>
            <w:vAlign w:val="bottom"/>
            <w:hideMark/>
          </w:tcPr>
          <w:p w14:paraId="00300424"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33" w:type="dxa"/>
            <w:tcBorders>
              <w:top w:val="nil"/>
              <w:left w:val="nil"/>
              <w:bottom w:val="nil"/>
              <w:right w:val="nil"/>
            </w:tcBorders>
            <w:shd w:val="clear" w:color="auto" w:fill="auto"/>
            <w:noWrap/>
            <w:vAlign w:val="bottom"/>
            <w:hideMark/>
          </w:tcPr>
          <w:p w14:paraId="4D1B83DD"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339E8FC3"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64FDEB14"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7C3043CA"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62A5A14E"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9" w:type="dxa"/>
            <w:tcBorders>
              <w:top w:val="nil"/>
              <w:left w:val="nil"/>
              <w:bottom w:val="nil"/>
              <w:right w:val="nil"/>
            </w:tcBorders>
            <w:shd w:val="clear" w:color="auto" w:fill="auto"/>
            <w:noWrap/>
            <w:vAlign w:val="bottom"/>
            <w:hideMark/>
          </w:tcPr>
          <w:p w14:paraId="072A102C"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73BB0B7F"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3" w:type="dxa"/>
            <w:tcBorders>
              <w:top w:val="nil"/>
              <w:left w:val="nil"/>
              <w:bottom w:val="nil"/>
              <w:right w:val="nil"/>
            </w:tcBorders>
            <w:shd w:val="clear" w:color="auto" w:fill="auto"/>
            <w:noWrap/>
            <w:vAlign w:val="bottom"/>
            <w:hideMark/>
          </w:tcPr>
          <w:p w14:paraId="69B50B15"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2265D3" w14:paraId="74B2A2CB" w14:textId="77777777" w:rsidTr="002F7131">
        <w:trPr>
          <w:trHeight w:val="264"/>
        </w:trPr>
        <w:tc>
          <w:tcPr>
            <w:tcW w:w="3246" w:type="dxa"/>
            <w:tcBorders>
              <w:top w:val="nil"/>
              <w:left w:val="nil"/>
              <w:bottom w:val="nil"/>
              <w:right w:val="nil"/>
            </w:tcBorders>
            <w:shd w:val="clear" w:color="auto" w:fill="auto"/>
            <w:vAlign w:val="bottom"/>
            <w:hideMark/>
          </w:tcPr>
          <w:p w14:paraId="320F1996"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2265D3">
              <w:rPr>
                <w:rFonts w:cstheme="minorHAnsi"/>
                <w:sz w:val="20"/>
              </w:rPr>
              <w:t xml:space="preserve">8 - </w:t>
            </w:r>
            <w:r w:rsidRPr="002265D3">
              <w:rPr>
                <w:rFonts w:cstheme="minorHAnsi"/>
                <w:sz w:val="20"/>
              </w:rPr>
              <w:t>公共和内部服务设施</w:t>
            </w:r>
          </w:p>
        </w:tc>
        <w:tc>
          <w:tcPr>
            <w:tcW w:w="1433" w:type="dxa"/>
            <w:tcBorders>
              <w:top w:val="nil"/>
              <w:left w:val="nil"/>
              <w:bottom w:val="nil"/>
              <w:right w:val="nil"/>
            </w:tcBorders>
            <w:shd w:val="clear" w:color="auto" w:fill="auto"/>
            <w:noWrap/>
            <w:vAlign w:val="bottom"/>
            <w:hideMark/>
          </w:tcPr>
          <w:p w14:paraId="08556C55"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p>
        </w:tc>
        <w:tc>
          <w:tcPr>
            <w:tcW w:w="1306" w:type="dxa"/>
            <w:tcBorders>
              <w:top w:val="nil"/>
              <w:left w:val="nil"/>
              <w:bottom w:val="nil"/>
              <w:right w:val="nil"/>
            </w:tcBorders>
            <w:shd w:val="clear" w:color="auto" w:fill="auto"/>
            <w:noWrap/>
            <w:vAlign w:val="bottom"/>
            <w:hideMark/>
          </w:tcPr>
          <w:p w14:paraId="5029AE6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6A138D3D"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0B1E3A60"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5</w:t>
            </w:r>
          </w:p>
        </w:tc>
        <w:tc>
          <w:tcPr>
            <w:tcW w:w="1306" w:type="dxa"/>
            <w:tcBorders>
              <w:top w:val="nil"/>
              <w:left w:val="nil"/>
              <w:bottom w:val="nil"/>
              <w:right w:val="nil"/>
            </w:tcBorders>
            <w:shd w:val="clear" w:color="auto" w:fill="auto"/>
            <w:noWrap/>
            <w:vAlign w:val="bottom"/>
            <w:hideMark/>
          </w:tcPr>
          <w:p w14:paraId="21B226DB"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309" w:type="dxa"/>
            <w:tcBorders>
              <w:top w:val="nil"/>
              <w:left w:val="nil"/>
              <w:bottom w:val="nil"/>
              <w:right w:val="nil"/>
            </w:tcBorders>
            <w:shd w:val="clear" w:color="auto" w:fill="auto"/>
            <w:noWrap/>
            <w:vAlign w:val="bottom"/>
            <w:hideMark/>
          </w:tcPr>
          <w:p w14:paraId="4A8958F4"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63</w:t>
            </w:r>
          </w:p>
        </w:tc>
        <w:tc>
          <w:tcPr>
            <w:tcW w:w="1306" w:type="dxa"/>
            <w:tcBorders>
              <w:top w:val="nil"/>
              <w:left w:val="nil"/>
              <w:bottom w:val="nil"/>
              <w:right w:val="nil"/>
            </w:tcBorders>
            <w:shd w:val="clear" w:color="auto" w:fill="auto"/>
            <w:noWrap/>
            <w:vAlign w:val="bottom"/>
            <w:hideMark/>
          </w:tcPr>
          <w:p w14:paraId="122667BA"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433" w:type="dxa"/>
            <w:tcBorders>
              <w:top w:val="nil"/>
              <w:left w:val="nil"/>
              <w:bottom w:val="nil"/>
              <w:right w:val="nil"/>
            </w:tcBorders>
            <w:shd w:val="clear" w:color="auto" w:fill="auto"/>
            <w:noWrap/>
            <w:vAlign w:val="bottom"/>
            <w:hideMark/>
          </w:tcPr>
          <w:p w14:paraId="6666114D"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265D3">
              <w:rPr>
                <w:rFonts w:eastAsia="Times New Roman" w:cs="Calibri"/>
                <w:color w:val="002060"/>
                <w:sz w:val="20"/>
              </w:rPr>
              <w:t>68</w:t>
            </w:r>
          </w:p>
        </w:tc>
      </w:tr>
      <w:tr w:rsidR="00C130FE" w:rsidRPr="002265D3" w14:paraId="55B35D38" w14:textId="77777777" w:rsidTr="002F7131">
        <w:trPr>
          <w:trHeight w:val="240"/>
        </w:trPr>
        <w:tc>
          <w:tcPr>
            <w:tcW w:w="3246" w:type="dxa"/>
            <w:tcBorders>
              <w:top w:val="nil"/>
              <w:left w:val="nil"/>
              <w:bottom w:val="nil"/>
              <w:right w:val="nil"/>
            </w:tcBorders>
            <w:shd w:val="clear" w:color="auto" w:fill="auto"/>
            <w:noWrap/>
            <w:vAlign w:val="bottom"/>
            <w:hideMark/>
          </w:tcPr>
          <w:p w14:paraId="041C2E33"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33" w:type="dxa"/>
            <w:tcBorders>
              <w:top w:val="nil"/>
              <w:left w:val="nil"/>
              <w:bottom w:val="nil"/>
              <w:right w:val="nil"/>
            </w:tcBorders>
            <w:shd w:val="clear" w:color="auto" w:fill="auto"/>
            <w:noWrap/>
            <w:vAlign w:val="bottom"/>
            <w:hideMark/>
          </w:tcPr>
          <w:p w14:paraId="48251618"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51CD801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53B6F4DA"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2CDC1F85"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13B2005E"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9" w:type="dxa"/>
            <w:tcBorders>
              <w:top w:val="nil"/>
              <w:left w:val="nil"/>
              <w:bottom w:val="nil"/>
              <w:right w:val="nil"/>
            </w:tcBorders>
            <w:shd w:val="clear" w:color="auto" w:fill="auto"/>
            <w:noWrap/>
            <w:vAlign w:val="bottom"/>
            <w:hideMark/>
          </w:tcPr>
          <w:p w14:paraId="2EC4E1D4"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52184706"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3" w:type="dxa"/>
            <w:tcBorders>
              <w:top w:val="nil"/>
              <w:left w:val="nil"/>
              <w:bottom w:val="nil"/>
              <w:right w:val="nil"/>
            </w:tcBorders>
            <w:shd w:val="clear" w:color="auto" w:fill="auto"/>
            <w:noWrap/>
            <w:vAlign w:val="bottom"/>
            <w:hideMark/>
          </w:tcPr>
          <w:p w14:paraId="08699630"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2265D3" w14:paraId="27CC8E59" w14:textId="77777777" w:rsidTr="002F7131">
        <w:trPr>
          <w:trHeight w:val="200"/>
        </w:trPr>
        <w:tc>
          <w:tcPr>
            <w:tcW w:w="3246" w:type="dxa"/>
            <w:tcBorders>
              <w:top w:val="nil"/>
              <w:left w:val="nil"/>
              <w:bottom w:val="nil"/>
              <w:right w:val="nil"/>
            </w:tcBorders>
            <w:shd w:val="clear" w:color="auto" w:fill="auto"/>
            <w:vAlign w:val="bottom"/>
            <w:hideMark/>
          </w:tcPr>
          <w:p w14:paraId="5D0C0682"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2265D3">
              <w:rPr>
                <w:rFonts w:cstheme="minorHAnsi"/>
                <w:sz w:val="20"/>
                <w:lang w:eastAsia="zh-CN"/>
              </w:rPr>
              <w:t xml:space="preserve">9 - </w:t>
            </w:r>
            <w:r w:rsidRPr="002265D3">
              <w:rPr>
                <w:rFonts w:cstheme="minorHAnsi"/>
                <w:sz w:val="20"/>
                <w:lang w:eastAsia="zh-CN"/>
              </w:rPr>
              <w:t>审计和机构间的费用及其他</w:t>
            </w:r>
          </w:p>
        </w:tc>
        <w:tc>
          <w:tcPr>
            <w:tcW w:w="1433" w:type="dxa"/>
            <w:tcBorders>
              <w:top w:val="nil"/>
              <w:left w:val="nil"/>
              <w:bottom w:val="nil"/>
              <w:right w:val="nil"/>
            </w:tcBorders>
            <w:shd w:val="clear" w:color="auto" w:fill="auto"/>
            <w:noWrap/>
            <w:vAlign w:val="bottom"/>
            <w:hideMark/>
          </w:tcPr>
          <w:p w14:paraId="316288E9"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5</w:t>
            </w:r>
          </w:p>
        </w:tc>
        <w:tc>
          <w:tcPr>
            <w:tcW w:w="1306" w:type="dxa"/>
            <w:tcBorders>
              <w:top w:val="nil"/>
              <w:left w:val="nil"/>
              <w:bottom w:val="nil"/>
              <w:right w:val="nil"/>
            </w:tcBorders>
            <w:shd w:val="clear" w:color="auto" w:fill="auto"/>
            <w:noWrap/>
            <w:vAlign w:val="bottom"/>
            <w:hideMark/>
          </w:tcPr>
          <w:p w14:paraId="2C2B2AC3"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3</w:t>
            </w:r>
          </w:p>
        </w:tc>
        <w:tc>
          <w:tcPr>
            <w:tcW w:w="1306" w:type="dxa"/>
            <w:tcBorders>
              <w:top w:val="nil"/>
              <w:left w:val="nil"/>
              <w:bottom w:val="nil"/>
              <w:right w:val="nil"/>
            </w:tcBorders>
            <w:shd w:val="clear" w:color="auto" w:fill="auto"/>
            <w:noWrap/>
            <w:vAlign w:val="bottom"/>
            <w:hideMark/>
          </w:tcPr>
          <w:p w14:paraId="0F1445B2"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306" w:type="dxa"/>
            <w:tcBorders>
              <w:top w:val="nil"/>
              <w:left w:val="nil"/>
              <w:bottom w:val="nil"/>
              <w:right w:val="nil"/>
            </w:tcBorders>
            <w:shd w:val="clear" w:color="auto" w:fill="auto"/>
            <w:noWrap/>
            <w:vAlign w:val="bottom"/>
            <w:hideMark/>
          </w:tcPr>
          <w:p w14:paraId="17C282C0"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11</w:t>
            </w:r>
          </w:p>
        </w:tc>
        <w:tc>
          <w:tcPr>
            <w:tcW w:w="1306" w:type="dxa"/>
            <w:tcBorders>
              <w:top w:val="nil"/>
              <w:left w:val="nil"/>
              <w:bottom w:val="nil"/>
              <w:right w:val="nil"/>
            </w:tcBorders>
            <w:shd w:val="clear" w:color="auto" w:fill="auto"/>
            <w:noWrap/>
            <w:vAlign w:val="bottom"/>
            <w:hideMark/>
          </w:tcPr>
          <w:p w14:paraId="1C1EC55C"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309" w:type="dxa"/>
            <w:tcBorders>
              <w:top w:val="nil"/>
              <w:left w:val="nil"/>
              <w:bottom w:val="nil"/>
              <w:right w:val="nil"/>
            </w:tcBorders>
            <w:shd w:val="clear" w:color="auto" w:fill="auto"/>
            <w:noWrap/>
            <w:vAlign w:val="bottom"/>
            <w:hideMark/>
          </w:tcPr>
          <w:p w14:paraId="63862A72"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69</w:t>
            </w:r>
          </w:p>
        </w:tc>
        <w:tc>
          <w:tcPr>
            <w:tcW w:w="1306" w:type="dxa"/>
            <w:tcBorders>
              <w:top w:val="nil"/>
              <w:left w:val="nil"/>
              <w:bottom w:val="nil"/>
              <w:right w:val="nil"/>
            </w:tcBorders>
            <w:shd w:val="clear" w:color="auto" w:fill="auto"/>
            <w:noWrap/>
            <w:vAlign w:val="bottom"/>
            <w:hideMark/>
          </w:tcPr>
          <w:p w14:paraId="2D1730F4"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433" w:type="dxa"/>
            <w:tcBorders>
              <w:top w:val="nil"/>
              <w:left w:val="nil"/>
              <w:bottom w:val="nil"/>
              <w:right w:val="nil"/>
            </w:tcBorders>
            <w:shd w:val="clear" w:color="auto" w:fill="auto"/>
            <w:noWrap/>
            <w:vAlign w:val="bottom"/>
            <w:hideMark/>
          </w:tcPr>
          <w:p w14:paraId="6DBDDCCD"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265D3">
              <w:rPr>
                <w:rFonts w:eastAsia="Times New Roman" w:cs="Calibri"/>
                <w:color w:val="002060"/>
                <w:sz w:val="20"/>
              </w:rPr>
              <w:t>88</w:t>
            </w:r>
          </w:p>
        </w:tc>
      </w:tr>
      <w:tr w:rsidR="00C130FE" w:rsidRPr="002265D3" w14:paraId="747DC340" w14:textId="77777777" w:rsidTr="002F7131">
        <w:trPr>
          <w:trHeight w:val="252"/>
        </w:trPr>
        <w:tc>
          <w:tcPr>
            <w:tcW w:w="3246" w:type="dxa"/>
            <w:tcBorders>
              <w:top w:val="nil"/>
              <w:left w:val="nil"/>
              <w:bottom w:val="single" w:sz="4" w:space="0" w:color="auto"/>
              <w:right w:val="nil"/>
            </w:tcBorders>
            <w:shd w:val="clear" w:color="auto" w:fill="auto"/>
            <w:noWrap/>
            <w:vAlign w:val="center"/>
            <w:hideMark/>
          </w:tcPr>
          <w:p w14:paraId="6D7DB922"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2265D3">
              <w:rPr>
                <w:rFonts w:cstheme="minorHAnsi"/>
                <w:b/>
                <w:bCs/>
                <w:sz w:val="20"/>
              </w:rPr>
              <w:t> </w:t>
            </w:r>
          </w:p>
        </w:tc>
        <w:tc>
          <w:tcPr>
            <w:tcW w:w="1433" w:type="dxa"/>
            <w:tcBorders>
              <w:top w:val="nil"/>
              <w:left w:val="nil"/>
              <w:bottom w:val="single" w:sz="4" w:space="0" w:color="auto"/>
              <w:right w:val="nil"/>
            </w:tcBorders>
            <w:shd w:val="clear" w:color="auto" w:fill="auto"/>
            <w:noWrap/>
            <w:vAlign w:val="center"/>
            <w:hideMark/>
          </w:tcPr>
          <w:p w14:paraId="0B342E2A"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2265D3">
              <w:rPr>
                <w:rFonts w:eastAsia="Times New Roman" w:cs="Calibri"/>
                <w:b/>
                <w:bCs/>
                <w:sz w:val="20"/>
              </w:rPr>
              <w:t> </w:t>
            </w:r>
          </w:p>
        </w:tc>
        <w:tc>
          <w:tcPr>
            <w:tcW w:w="1306" w:type="dxa"/>
            <w:tcBorders>
              <w:top w:val="nil"/>
              <w:left w:val="nil"/>
              <w:bottom w:val="single" w:sz="4" w:space="0" w:color="auto"/>
              <w:right w:val="nil"/>
            </w:tcBorders>
            <w:shd w:val="clear" w:color="auto" w:fill="auto"/>
            <w:noWrap/>
            <w:vAlign w:val="center"/>
            <w:hideMark/>
          </w:tcPr>
          <w:p w14:paraId="6BDBA87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2265D3">
              <w:rPr>
                <w:rFonts w:eastAsia="Times New Roman" w:cs="Calibri"/>
                <w:b/>
                <w:bCs/>
                <w:sz w:val="20"/>
              </w:rPr>
              <w:t> </w:t>
            </w:r>
          </w:p>
        </w:tc>
        <w:tc>
          <w:tcPr>
            <w:tcW w:w="1306" w:type="dxa"/>
            <w:tcBorders>
              <w:top w:val="nil"/>
              <w:left w:val="nil"/>
              <w:bottom w:val="single" w:sz="4" w:space="0" w:color="auto"/>
              <w:right w:val="nil"/>
            </w:tcBorders>
            <w:shd w:val="clear" w:color="auto" w:fill="auto"/>
            <w:noWrap/>
            <w:vAlign w:val="center"/>
            <w:hideMark/>
          </w:tcPr>
          <w:p w14:paraId="64D9F72D"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2265D3">
              <w:rPr>
                <w:rFonts w:eastAsia="Times New Roman" w:cs="Calibri"/>
                <w:b/>
                <w:bCs/>
                <w:sz w:val="20"/>
              </w:rPr>
              <w:t> </w:t>
            </w:r>
          </w:p>
        </w:tc>
        <w:tc>
          <w:tcPr>
            <w:tcW w:w="1306" w:type="dxa"/>
            <w:tcBorders>
              <w:top w:val="nil"/>
              <w:left w:val="nil"/>
              <w:bottom w:val="single" w:sz="4" w:space="0" w:color="auto"/>
              <w:right w:val="nil"/>
            </w:tcBorders>
            <w:shd w:val="clear" w:color="auto" w:fill="auto"/>
            <w:noWrap/>
            <w:vAlign w:val="center"/>
            <w:hideMark/>
          </w:tcPr>
          <w:p w14:paraId="18EC6A9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2265D3">
              <w:rPr>
                <w:rFonts w:eastAsia="Times New Roman" w:cs="Calibri"/>
                <w:b/>
                <w:bCs/>
                <w:sz w:val="20"/>
              </w:rPr>
              <w:t> </w:t>
            </w:r>
          </w:p>
        </w:tc>
        <w:tc>
          <w:tcPr>
            <w:tcW w:w="1306" w:type="dxa"/>
            <w:tcBorders>
              <w:top w:val="nil"/>
              <w:left w:val="nil"/>
              <w:bottom w:val="single" w:sz="4" w:space="0" w:color="auto"/>
              <w:right w:val="nil"/>
            </w:tcBorders>
            <w:shd w:val="clear" w:color="auto" w:fill="auto"/>
            <w:noWrap/>
            <w:vAlign w:val="center"/>
            <w:hideMark/>
          </w:tcPr>
          <w:p w14:paraId="40C101C3"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2265D3">
              <w:rPr>
                <w:rFonts w:eastAsia="Times New Roman" w:cs="Calibri"/>
                <w:b/>
                <w:bCs/>
                <w:sz w:val="20"/>
              </w:rPr>
              <w:t> </w:t>
            </w:r>
          </w:p>
        </w:tc>
        <w:tc>
          <w:tcPr>
            <w:tcW w:w="1309" w:type="dxa"/>
            <w:tcBorders>
              <w:top w:val="nil"/>
              <w:left w:val="nil"/>
              <w:bottom w:val="single" w:sz="4" w:space="0" w:color="auto"/>
              <w:right w:val="nil"/>
            </w:tcBorders>
            <w:shd w:val="clear" w:color="auto" w:fill="auto"/>
            <w:noWrap/>
            <w:vAlign w:val="center"/>
            <w:hideMark/>
          </w:tcPr>
          <w:p w14:paraId="476D5B73"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2265D3">
              <w:rPr>
                <w:rFonts w:eastAsia="Times New Roman" w:cs="Calibri"/>
                <w:b/>
                <w:bCs/>
                <w:sz w:val="20"/>
              </w:rPr>
              <w:t> </w:t>
            </w:r>
          </w:p>
        </w:tc>
        <w:tc>
          <w:tcPr>
            <w:tcW w:w="1306" w:type="dxa"/>
            <w:tcBorders>
              <w:top w:val="nil"/>
              <w:left w:val="nil"/>
              <w:bottom w:val="single" w:sz="4" w:space="0" w:color="auto"/>
              <w:right w:val="nil"/>
            </w:tcBorders>
            <w:shd w:val="clear" w:color="auto" w:fill="auto"/>
            <w:noWrap/>
            <w:vAlign w:val="center"/>
            <w:hideMark/>
          </w:tcPr>
          <w:p w14:paraId="495A1ACD"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2265D3">
              <w:rPr>
                <w:rFonts w:eastAsia="Times New Roman" w:cs="Calibri"/>
                <w:b/>
                <w:bCs/>
                <w:sz w:val="20"/>
              </w:rPr>
              <w:t> </w:t>
            </w:r>
          </w:p>
        </w:tc>
        <w:tc>
          <w:tcPr>
            <w:tcW w:w="1433" w:type="dxa"/>
            <w:tcBorders>
              <w:top w:val="nil"/>
              <w:left w:val="nil"/>
              <w:bottom w:val="single" w:sz="4" w:space="0" w:color="auto"/>
              <w:right w:val="nil"/>
            </w:tcBorders>
            <w:shd w:val="clear" w:color="auto" w:fill="auto"/>
            <w:noWrap/>
            <w:vAlign w:val="center"/>
            <w:hideMark/>
          </w:tcPr>
          <w:p w14:paraId="20C30404"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2265D3">
              <w:rPr>
                <w:rFonts w:eastAsia="Times New Roman" w:cs="Calibri"/>
                <w:b/>
                <w:bCs/>
                <w:color w:val="002060"/>
                <w:sz w:val="20"/>
              </w:rPr>
              <w:t> </w:t>
            </w:r>
          </w:p>
        </w:tc>
      </w:tr>
      <w:tr w:rsidR="00C130FE" w:rsidRPr="002265D3" w14:paraId="58451DB7" w14:textId="77777777" w:rsidTr="002F7131">
        <w:trPr>
          <w:trHeight w:val="169"/>
        </w:trPr>
        <w:tc>
          <w:tcPr>
            <w:tcW w:w="3246" w:type="dxa"/>
            <w:tcBorders>
              <w:top w:val="nil"/>
              <w:left w:val="nil"/>
              <w:bottom w:val="nil"/>
              <w:right w:val="nil"/>
            </w:tcBorders>
            <w:shd w:val="clear" w:color="auto" w:fill="auto"/>
            <w:noWrap/>
            <w:vAlign w:val="center"/>
            <w:hideMark/>
          </w:tcPr>
          <w:p w14:paraId="17B85820"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b/>
                <w:bCs/>
                <w:color w:val="002060"/>
                <w:sz w:val="20"/>
              </w:rPr>
            </w:pPr>
          </w:p>
        </w:tc>
        <w:tc>
          <w:tcPr>
            <w:tcW w:w="1433" w:type="dxa"/>
            <w:tcBorders>
              <w:top w:val="nil"/>
              <w:left w:val="nil"/>
              <w:bottom w:val="nil"/>
              <w:right w:val="nil"/>
            </w:tcBorders>
            <w:shd w:val="clear" w:color="auto" w:fill="auto"/>
            <w:noWrap/>
            <w:vAlign w:val="center"/>
            <w:hideMark/>
          </w:tcPr>
          <w:p w14:paraId="1619906E"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6DC68667"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741F1154"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66E8C3B7"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0AA93B98"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9" w:type="dxa"/>
            <w:tcBorders>
              <w:top w:val="nil"/>
              <w:left w:val="nil"/>
              <w:bottom w:val="nil"/>
              <w:right w:val="nil"/>
            </w:tcBorders>
            <w:shd w:val="clear" w:color="auto" w:fill="auto"/>
            <w:noWrap/>
            <w:vAlign w:val="center"/>
            <w:hideMark/>
          </w:tcPr>
          <w:p w14:paraId="195FF037"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108F3816"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3" w:type="dxa"/>
            <w:tcBorders>
              <w:top w:val="nil"/>
              <w:left w:val="nil"/>
              <w:bottom w:val="nil"/>
              <w:right w:val="nil"/>
            </w:tcBorders>
            <w:shd w:val="clear" w:color="auto" w:fill="auto"/>
            <w:noWrap/>
            <w:vAlign w:val="center"/>
            <w:hideMark/>
          </w:tcPr>
          <w:p w14:paraId="6167701E"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2265D3" w14:paraId="09C50E28" w14:textId="77777777" w:rsidTr="002F7131">
        <w:trPr>
          <w:trHeight w:val="20"/>
        </w:trPr>
        <w:tc>
          <w:tcPr>
            <w:tcW w:w="3246" w:type="dxa"/>
            <w:tcBorders>
              <w:top w:val="nil"/>
              <w:left w:val="nil"/>
              <w:bottom w:val="nil"/>
              <w:right w:val="nil"/>
            </w:tcBorders>
            <w:shd w:val="clear" w:color="auto" w:fill="auto"/>
            <w:noWrap/>
            <w:vAlign w:val="center"/>
            <w:hideMark/>
          </w:tcPr>
          <w:p w14:paraId="6E91E81E"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2265D3">
              <w:rPr>
                <w:rFonts w:cstheme="minorHAnsi"/>
                <w:b/>
                <w:bCs/>
                <w:sz w:val="20"/>
              </w:rPr>
              <w:t>合计</w:t>
            </w:r>
          </w:p>
        </w:tc>
        <w:tc>
          <w:tcPr>
            <w:tcW w:w="1433" w:type="dxa"/>
            <w:tcBorders>
              <w:top w:val="nil"/>
              <w:left w:val="nil"/>
              <w:bottom w:val="nil"/>
              <w:right w:val="nil"/>
            </w:tcBorders>
            <w:shd w:val="clear" w:color="auto" w:fill="auto"/>
            <w:noWrap/>
            <w:vAlign w:val="center"/>
            <w:hideMark/>
          </w:tcPr>
          <w:p w14:paraId="6E82C3A7"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2265D3">
              <w:rPr>
                <w:rFonts w:eastAsia="Times New Roman" w:cs="Calibri"/>
                <w:b/>
                <w:bCs/>
                <w:sz w:val="20"/>
              </w:rPr>
              <w:t>143</w:t>
            </w:r>
          </w:p>
        </w:tc>
        <w:tc>
          <w:tcPr>
            <w:tcW w:w="1306" w:type="dxa"/>
            <w:tcBorders>
              <w:top w:val="nil"/>
              <w:left w:val="nil"/>
              <w:bottom w:val="nil"/>
              <w:right w:val="nil"/>
            </w:tcBorders>
            <w:shd w:val="clear" w:color="auto" w:fill="auto"/>
            <w:noWrap/>
            <w:vAlign w:val="center"/>
            <w:hideMark/>
          </w:tcPr>
          <w:p w14:paraId="2998C825"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2265D3">
              <w:rPr>
                <w:rFonts w:eastAsia="Times New Roman" w:cs="Calibri"/>
                <w:b/>
                <w:bCs/>
                <w:sz w:val="20"/>
              </w:rPr>
              <w:t>407</w:t>
            </w:r>
          </w:p>
        </w:tc>
        <w:tc>
          <w:tcPr>
            <w:tcW w:w="1306" w:type="dxa"/>
            <w:tcBorders>
              <w:top w:val="nil"/>
              <w:left w:val="nil"/>
              <w:bottom w:val="nil"/>
              <w:right w:val="nil"/>
            </w:tcBorders>
            <w:shd w:val="clear" w:color="auto" w:fill="auto"/>
            <w:noWrap/>
            <w:vAlign w:val="center"/>
            <w:hideMark/>
          </w:tcPr>
          <w:p w14:paraId="6542EB43"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2265D3">
              <w:rPr>
                <w:rFonts w:eastAsia="Times New Roman" w:cs="Calibri"/>
                <w:b/>
                <w:bCs/>
                <w:sz w:val="20"/>
              </w:rPr>
              <w:t>4,200</w:t>
            </w:r>
          </w:p>
        </w:tc>
        <w:tc>
          <w:tcPr>
            <w:tcW w:w="1306" w:type="dxa"/>
            <w:tcBorders>
              <w:top w:val="nil"/>
              <w:left w:val="nil"/>
              <w:bottom w:val="nil"/>
              <w:right w:val="nil"/>
            </w:tcBorders>
            <w:shd w:val="clear" w:color="auto" w:fill="auto"/>
            <w:noWrap/>
            <w:vAlign w:val="center"/>
            <w:hideMark/>
          </w:tcPr>
          <w:p w14:paraId="53484F8B"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2265D3">
              <w:rPr>
                <w:rFonts w:eastAsia="Times New Roman" w:cs="Calibri"/>
                <w:b/>
                <w:bCs/>
                <w:sz w:val="20"/>
              </w:rPr>
              <w:t>219</w:t>
            </w:r>
          </w:p>
        </w:tc>
        <w:tc>
          <w:tcPr>
            <w:tcW w:w="1306" w:type="dxa"/>
            <w:tcBorders>
              <w:top w:val="nil"/>
              <w:left w:val="nil"/>
              <w:bottom w:val="nil"/>
              <w:right w:val="nil"/>
            </w:tcBorders>
            <w:shd w:val="clear" w:color="auto" w:fill="auto"/>
            <w:noWrap/>
            <w:vAlign w:val="center"/>
            <w:hideMark/>
          </w:tcPr>
          <w:p w14:paraId="1820580C"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2265D3">
              <w:rPr>
                <w:rFonts w:eastAsia="Times New Roman" w:cs="Calibri"/>
                <w:b/>
                <w:bCs/>
                <w:sz w:val="20"/>
              </w:rPr>
              <w:t>1,660</w:t>
            </w:r>
          </w:p>
        </w:tc>
        <w:tc>
          <w:tcPr>
            <w:tcW w:w="1309" w:type="dxa"/>
            <w:tcBorders>
              <w:top w:val="nil"/>
              <w:left w:val="nil"/>
              <w:bottom w:val="nil"/>
              <w:right w:val="nil"/>
            </w:tcBorders>
            <w:shd w:val="clear" w:color="auto" w:fill="auto"/>
            <w:noWrap/>
            <w:vAlign w:val="center"/>
            <w:hideMark/>
          </w:tcPr>
          <w:p w14:paraId="2BDE81F4"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2265D3">
              <w:rPr>
                <w:rFonts w:eastAsia="Times New Roman" w:cs="Calibri"/>
                <w:b/>
                <w:bCs/>
                <w:sz w:val="20"/>
              </w:rPr>
              <w:t>7,487</w:t>
            </w:r>
          </w:p>
        </w:tc>
        <w:tc>
          <w:tcPr>
            <w:tcW w:w="1306" w:type="dxa"/>
            <w:tcBorders>
              <w:top w:val="nil"/>
              <w:left w:val="nil"/>
              <w:bottom w:val="nil"/>
              <w:right w:val="nil"/>
            </w:tcBorders>
            <w:shd w:val="clear" w:color="auto" w:fill="auto"/>
            <w:noWrap/>
            <w:vAlign w:val="center"/>
            <w:hideMark/>
          </w:tcPr>
          <w:p w14:paraId="122C2CF5"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2265D3">
              <w:rPr>
                <w:rFonts w:eastAsia="Times New Roman" w:cs="Calibri"/>
                <w:b/>
                <w:bCs/>
                <w:sz w:val="20"/>
              </w:rPr>
              <w:t>13,121</w:t>
            </w:r>
          </w:p>
        </w:tc>
        <w:tc>
          <w:tcPr>
            <w:tcW w:w="1433" w:type="dxa"/>
            <w:tcBorders>
              <w:top w:val="nil"/>
              <w:left w:val="nil"/>
              <w:bottom w:val="nil"/>
              <w:right w:val="nil"/>
            </w:tcBorders>
            <w:shd w:val="clear" w:color="auto" w:fill="auto"/>
            <w:noWrap/>
            <w:vAlign w:val="center"/>
            <w:hideMark/>
          </w:tcPr>
          <w:p w14:paraId="43C57923"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2265D3">
              <w:rPr>
                <w:rFonts w:eastAsia="Times New Roman" w:cs="Calibri"/>
                <w:b/>
                <w:bCs/>
                <w:color w:val="002060"/>
                <w:sz w:val="20"/>
              </w:rPr>
              <w:t>27,237</w:t>
            </w:r>
          </w:p>
        </w:tc>
      </w:tr>
      <w:tr w:rsidR="00C130FE" w:rsidRPr="002265D3" w14:paraId="323E6C22" w14:textId="77777777" w:rsidTr="002F7131">
        <w:trPr>
          <w:trHeight w:val="20"/>
        </w:trPr>
        <w:tc>
          <w:tcPr>
            <w:tcW w:w="3246" w:type="dxa"/>
            <w:tcBorders>
              <w:top w:val="nil"/>
              <w:left w:val="nil"/>
              <w:bottom w:val="nil"/>
              <w:right w:val="nil"/>
            </w:tcBorders>
            <w:shd w:val="clear" w:color="auto" w:fill="auto"/>
            <w:noWrap/>
            <w:vAlign w:val="center"/>
          </w:tcPr>
          <w:p w14:paraId="67BCD139"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p>
        </w:tc>
        <w:tc>
          <w:tcPr>
            <w:tcW w:w="1433" w:type="dxa"/>
            <w:tcBorders>
              <w:top w:val="nil"/>
              <w:left w:val="nil"/>
              <w:bottom w:val="nil"/>
              <w:right w:val="nil"/>
            </w:tcBorders>
            <w:shd w:val="clear" w:color="auto" w:fill="auto"/>
            <w:noWrap/>
            <w:vAlign w:val="center"/>
          </w:tcPr>
          <w:p w14:paraId="51B3567E"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p>
        </w:tc>
        <w:tc>
          <w:tcPr>
            <w:tcW w:w="1306" w:type="dxa"/>
            <w:tcBorders>
              <w:top w:val="nil"/>
              <w:left w:val="nil"/>
              <w:bottom w:val="nil"/>
              <w:right w:val="nil"/>
            </w:tcBorders>
            <w:shd w:val="clear" w:color="auto" w:fill="auto"/>
            <w:noWrap/>
            <w:vAlign w:val="center"/>
          </w:tcPr>
          <w:p w14:paraId="6809F0FE"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p>
        </w:tc>
        <w:tc>
          <w:tcPr>
            <w:tcW w:w="1306" w:type="dxa"/>
            <w:tcBorders>
              <w:top w:val="nil"/>
              <w:left w:val="nil"/>
              <w:bottom w:val="nil"/>
              <w:right w:val="nil"/>
            </w:tcBorders>
            <w:shd w:val="clear" w:color="auto" w:fill="auto"/>
            <w:noWrap/>
            <w:vAlign w:val="center"/>
          </w:tcPr>
          <w:p w14:paraId="606F3C94"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p>
        </w:tc>
        <w:tc>
          <w:tcPr>
            <w:tcW w:w="1306" w:type="dxa"/>
            <w:tcBorders>
              <w:top w:val="nil"/>
              <w:left w:val="nil"/>
              <w:bottom w:val="nil"/>
              <w:right w:val="nil"/>
            </w:tcBorders>
            <w:shd w:val="clear" w:color="auto" w:fill="auto"/>
            <w:noWrap/>
            <w:vAlign w:val="center"/>
          </w:tcPr>
          <w:p w14:paraId="2673E0B8"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p>
        </w:tc>
        <w:tc>
          <w:tcPr>
            <w:tcW w:w="1306" w:type="dxa"/>
            <w:tcBorders>
              <w:top w:val="nil"/>
              <w:left w:val="nil"/>
              <w:bottom w:val="nil"/>
              <w:right w:val="nil"/>
            </w:tcBorders>
            <w:shd w:val="clear" w:color="auto" w:fill="auto"/>
            <w:noWrap/>
            <w:vAlign w:val="center"/>
          </w:tcPr>
          <w:p w14:paraId="4680BC59"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p>
        </w:tc>
        <w:tc>
          <w:tcPr>
            <w:tcW w:w="1309" w:type="dxa"/>
            <w:tcBorders>
              <w:top w:val="nil"/>
              <w:left w:val="nil"/>
              <w:bottom w:val="nil"/>
              <w:right w:val="nil"/>
            </w:tcBorders>
            <w:shd w:val="clear" w:color="auto" w:fill="auto"/>
            <w:noWrap/>
            <w:vAlign w:val="center"/>
          </w:tcPr>
          <w:p w14:paraId="53C68370"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p>
        </w:tc>
        <w:tc>
          <w:tcPr>
            <w:tcW w:w="1306" w:type="dxa"/>
            <w:tcBorders>
              <w:top w:val="nil"/>
              <w:left w:val="nil"/>
              <w:bottom w:val="nil"/>
              <w:right w:val="nil"/>
            </w:tcBorders>
            <w:shd w:val="clear" w:color="auto" w:fill="auto"/>
            <w:noWrap/>
            <w:vAlign w:val="center"/>
          </w:tcPr>
          <w:p w14:paraId="01AD491E"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p>
        </w:tc>
        <w:tc>
          <w:tcPr>
            <w:tcW w:w="1433" w:type="dxa"/>
            <w:tcBorders>
              <w:top w:val="nil"/>
              <w:left w:val="nil"/>
              <w:bottom w:val="nil"/>
              <w:right w:val="nil"/>
            </w:tcBorders>
            <w:shd w:val="clear" w:color="auto" w:fill="auto"/>
            <w:noWrap/>
            <w:vAlign w:val="center"/>
          </w:tcPr>
          <w:p w14:paraId="6FDAA6D0"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p>
        </w:tc>
      </w:tr>
      <w:tr w:rsidR="00C130FE" w:rsidRPr="002265D3" w14:paraId="48E92616" w14:textId="77777777" w:rsidTr="002F7131">
        <w:trPr>
          <w:trHeight w:val="20"/>
        </w:trPr>
        <w:tc>
          <w:tcPr>
            <w:tcW w:w="3246" w:type="dxa"/>
            <w:tcBorders>
              <w:top w:val="nil"/>
              <w:left w:val="nil"/>
              <w:bottom w:val="nil"/>
              <w:right w:val="nil"/>
            </w:tcBorders>
            <w:shd w:val="clear" w:color="auto" w:fill="auto"/>
            <w:noWrap/>
            <w:vAlign w:val="center"/>
            <w:hideMark/>
          </w:tcPr>
          <w:p w14:paraId="1FC7146B"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2265D3">
              <w:rPr>
                <w:rFonts w:cstheme="minorHAnsi"/>
                <w:sz w:val="20"/>
              </w:rPr>
              <w:t xml:space="preserve">*) </w:t>
            </w:r>
            <w:r w:rsidRPr="002265D3">
              <w:rPr>
                <w:rFonts w:cstheme="minorHAnsi"/>
                <w:sz w:val="20"/>
              </w:rPr>
              <w:t>包括研讨会和讲习班</w:t>
            </w:r>
          </w:p>
        </w:tc>
        <w:tc>
          <w:tcPr>
            <w:tcW w:w="1433" w:type="dxa"/>
            <w:tcBorders>
              <w:top w:val="nil"/>
              <w:left w:val="nil"/>
              <w:bottom w:val="nil"/>
              <w:right w:val="nil"/>
            </w:tcBorders>
            <w:shd w:val="clear" w:color="auto" w:fill="auto"/>
            <w:noWrap/>
            <w:vAlign w:val="center"/>
            <w:hideMark/>
          </w:tcPr>
          <w:p w14:paraId="33670BF6"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p>
        </w:tc>
        <w:tc>
          <w:tcPr>
            <w:tcW w:w="1306" w:type="dxa"/>
            <w:tcBorders>
              <w:top w:val="nil"/>
              <w:left w:val="nil"/>
              <w:bottom w:val="nil"/>
              <w:right w:val="nil"/>
            </w:tcBorders>
            <w:shd w:val="clear" w:color="auto" w:fill="auto"/>
            <w:noWrap/>
            <w:vAlign w:val="center"/>
            <w:hideMark/>
          </w:tcPr>
          <w:p w14:paraId="1342B3F6"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00FEA4CF"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440554C4"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1B91CC8E"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9" w:type="dxa"/>
            <w:tcBorders>
              <w:top w:val="nil"/>
              <w:left w:val="nil"/>
              <w:bottom w:val="nil"/>
              <w:right w:val="nil"/>
            </w:tcBorders>
            <w:shd w:val="clear" w:color="auto" w:fill="auto"/>
            <w:noWrap/>
            <w:vAlign w:val="center"/>
            <w:hideMark/>
          </w:tcPr>
          <w:p w14:paraId="4361315D"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02AF8518"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33" w:type="dxa"/>
            <w:tcBorders>
              <w:top w:val="nil"/>
              <w:left w:val="nil"/>
              <w:bottom w:val="nil"/>
              <w:right w:val="nil"/>
            </w:tcBorders>
            <w:shd w:val="clear" w:color="auto" w:fill="auto"/>
            <w:noWrap/>
            <w:vAlign w:val="center"/>
            <w:hideMark/>
          </w:tcPr>
          <w:p w14:paraId="2291A810"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bl>
    <w:p w14:paraId="29642628" w14:textId="41C0382B" w:rsidR="00C130FE" w:rsidRDefault="00C130FE">
      <w:pPr>
        <w:tabs>
          <w:tab w:val="clear" w:pos="794"/>
          <w:tab w:val="clear" w:pos="1191"/>
          <w:tab w:val="clear" w:pos="1588"/>
          <w:tab w:val="clear" w:pos="1985"/>
        </w:tabs>
        <w:overflowPunct/>
        <w:autoSpaceDE/>
        <w:autoSpaceDN/>
        <w:adjustRightInd/>
        <w:spacing w:before="0"/>
        <w:jc w:val="left"/>
        <w:textAlignment w:val="auto"/>
        <w:rPr>
          <w:lang w:eastAsia="zh-CN"/>
        </w:rPr>
      </w:pPr>
    </w:p>
    <w:p w14:paraId="0637A689" w14:textId="3782F80A" w:rsidR="00C130FE" w:rsidRDefault="00C130F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tbl>
      <w:tblPr>
        <w:tblW w:w="13964" w:type="dxa"/>
        <w:tblLook w:val="04A0" w:firstRow="1" w:lastRow="0" w:firstColumn="1" w:lastColumn="0" w:noHBand="0" w:noVBand="1"/>
      </w:tblPr>
      <w:tblGrid>
        <w:gridCol w:w="3257"/>
        <w:gridCol w:w="1405"/>
        <w:gridCol w:w="1285"/>
        <w:gridCol w:w="1285"/>
        <w:gridCol w:w="1285"/>
        <w:gridCol w:w="1285"/>
        <w:gridCol w:w="1469"/>
        <w:gridCol w:w="1285"/>
        <w:gridCol w:w="1408"/>
      </w:tblGrid>
      <w:tr w:rsidR="00C130FE" w:rsidRPr="00824DFE" w14:paraId="5829E272" w14:textId="77777777" w:rsidTr="002F7131">
        <w:trPr>
          <w:trHeight w:val="405"/>
        </w:trPr>
        <w:tc>
          <w:tcPr>
            <w:tcW w:w="7232" w:type="dxa"/>
            <w:gridSpan w:val="4"/>
            <w:tcBorders>
              <w:top w:val="nil"/>
              <w:left w:val="nil"/>
              <w:bottom w:val="nil"/>
              <w:right w:val="nil"/>
            </w:tcBorders>
            <w:shd w:val="clear" w:color="auto" w:fill="auto"/>
            <w:noWrap/>
            <w:vAlign w:val="center"/>
          </w:tcPr>
          <w:p w14:paraId="1F1A434F" w14:textId="77777777" w:rsidR="00C130FE" w:rsidRPr="00824DFE" w:rsidRDefault="00C130FE" w:rsidP="002F7131">
            <w:pPr>
              <w:tabs>
                <w:tab w:val="clear" w:pos="794"/>
                <w:tab w:val="clear" w:pos="1191"/>
                <w:tab w:val="clear" w:pos="1588"/>
                <w:tab w:val="clear" w:pos="1985"/>
              </w:tabs>
              <w:overflowPunct/>
              <w:autoSpaceDE/>
              <w:autoSpaceDN/>
              <w:adjustRightInd/>
              <w:spacing w:before="240"/>
              <w:textAlignment w:val="auto"/>
              <w:rPr>
                <w:rFonts w:ascii="SimSun" w:hAnsi="SimSun"/>
                <w:b/>
                <w:bCs/>
                <w:color w:val="002060"/>
                <w:sz w:val="28"/>
                <w:szCs w:val="28"/>
              </w:rPr>
            </w:pPr>
            <w:r w:rsidRPr="00824DFE">
              <w:rPr>
                <w:rFonts w:ascii="SimSun" w:hAnsi="SimSun" w:cs="Calibri" w:hint="eastAsia"/>
                <w:b/>
                <w:bCs/>
                <w:color w:val="002060"/>
                <w:sz w:val="40"/>
                <w:szCs w:val="40"/>
              </w:rPr>
              <w:lastRenderedPageBreak/>
              <w:t>表</w:t>
            </w:r>
            <w:r w:rsidRPr="00824DFE">
              <w:rPr>
                <w:rFonts w:eastAsia="Times New Roman" w:cs="Calibri"/>
                <w:b/>
                <w:bCs/>
                <w:color w:val="002060"/>
                <w:sz w:val="40"/>
                <w:szCs w:val="40"/>
              </w:rPr>
              <w:t>11</w:t>
            </w:r>
          </w:p>
        </w:tc>
        <w:tc>
          <w:tcPr>
            <w:tcW w:w="1285" w:type="dxa"/>
            <w:tcBorders>
              <w:top w:val="nil"/>
              <w:left w:val="nil"/>
              <w:bottom w:val="nil"/>
              <w:right w:val="nil"/>
            </w:tcBorders>
            <w:shd w:val="clear" w:color="auto" w:fill="auto"/>
            <w:noWrap/>
            <w:vAlign w:val="center"/>
          </w:tcPr>
          <w:p w14:paraId="4D94F960"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SimSun" w:hAnsi="SimSun"/>
                <w:b/>
                <w:bCs/>
                <w:color w:val="002060"/>
                <w:sz w:val="28"/>
                <w:szCs w:val="28"/>
              </w:rPr>
            </w:pPr>
          </w:p>
        </w:tc>
        <w:tc>
          <w:tcPr>
            <w:tcW w:w="1285" w:type="dxa"/>
            <w:tcBorders>
              <w:top w:val="nil"/>
              <w:left w:val="nil"/>
              <w:bottom w:val="nil"/>
              <w:right w:val="nil"/>
            </w:tcBorders>
            <w:shd w:val="clear" w:color="auto" w:fill="auto"/>
            <w:noWrap/>
            <w:vAlign w:val="center"/>
          </w:tcPr>
          <w:p w14:paraId="672FC33F"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center"/>
          </w:tcPr>
          <w:p w14:paraId="2E622CE4"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center"/>
          </w:tcPr>
          <w:p w14:paraId="0760FAFA"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center"/>
          </w:tcPr>
          <w:p w14:paraId="2E88FBA0"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C130FE" w:rsidRPr="00824DFE" w14:paraId="56397C0A" w14:textId="77777777" w:rsidTr="002F7131">
        <w:trPr>
          <w:trHeight w:val="405"/>
        </w:trPr>
        <w:tc>
          <w:tcPr>
            <w:tcW w:w="7232" w:type="dxa"/>
            <w:gridSpan w:val="4"/>
            <w:tcBorders>
              <w:top w:val="nil"/>
              <w:left w:val="nil"/>
              <w:bottom w:val="nil"/>
              <w:right w:val="nil"/>
            </w:tcBorders>
            <w:shd w:val="clear" w:color="auto" w:fill="auto"/>
            <w:noWrap/>
            <w:vAlign w:val="center"/>
            <w:hideMark/>
          </w:tcPr>
          <w:p w14:paraId="59E10787"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SimSun" w:hAnsi="SimSun"/>
                <w:b/>
                <w:bCs/>
                <w:color w:val="002060"/>
                <w:sz w:val="28"/>
                <w:szCs w:val="28"/>
                <w:lang w:eastAsia="zh-CN"/>
              </w:rPr>
            </w:pPr>
            <w:r w:rsidRPr="00A924BF">
              <w:rPr>
                <w:rFonts w:eastAsia="STKaiti" w:cstheme="minorHAnsi" w:hint="eastAsia"/>
                <w:b/>
                <w:bCs/>
                <w:color w:val="002060"/>
                <w:sz w:val="28"/>
                <w:szCs w:val="28"/>
                <w:lang w:eastAsia="zh-CN"/>
              </w:rPr>
              <w:t>国际电联区域代表处和地区办事处</w:t>
            </w:r>
            <w:r w:rsidRPr="00A924BF">
              <w:rPr>
                <w:rFonts w:eastAsia="STKaiti" w:cstheme="minorHAnsi"/>
                <w:b/>
                <w:bCs/>
                <w:color w:val="002060"/>
                <w:sz w:val="28"/>
                <w:szCs w:val="28"/>
                <w:lang w:eastAsia="zh-CN"/>
              </w:rPr>
              <w:t>2022-2023</w:t>
            </w:r>
            <w:r w:rsidRPr="00A924BF">
              <w:rPr>
                <w:rFonts w:eastAsia="STKaiti" w:cstheme="minorHAnsi" w:hint="eastAsia"/>
                <w:b/>
                <w:bCs/>
                <w:color w:val="002060"/>
                <w:sz w:val="28"/>
                <w:szCs w:val="28"/>
                <w:lang w:eastAsia="zh-CN"/>
              </w:rPr>
              <w:t>年</w:t>
            </w:r>
          </w:p>
        </w:tc>
        <w:tc>
          <w:tcPr>
            <w:tcW w:w="1285" w:type="dxa"/>
            <w:tcBorders>
              <w:top w:val="nil"/>
              <w:left w:val="nil"/>
              <w:bottom w:val="nil"/>
              <w:right w:val="nil"/>
            </w:tcBorders>
            <w:shd w:val="clear" w:color="auto" w:fill="auto"/>
            <w:noWrap/>
            <w:vAlign w:val="center"/>
            <w:hideMark/>
          </w:tcPr>
          <w:p w14:paraId="28EAB743"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SimSun" w:hAnsi="SimSun"/>
                <w:b/>
                <w:bCs/>
                <w:color w:val="002060"/>
                <w:sz w:val="28"/>
                <w:szCs w:val="28"/>
                <w:lang w:eastAsia="zh-CN"/>
              </w:rPr>
            </w:pPr>
          </w:p>
        </w:tc>
        <w:tc>
          <w:tcPr>
            <w:tcW w:w="1285" w:type="dxa"/>
            <w:tcBorders>
              <w:top w:val="nil"/>
              <w:left w:val="nil"/>
              <w:bottom w:val="nil"/>
              <w:right w:val="nil"/>
            </w:tcBorders>
            <w:shd w:val="clear" w:color="auto" w:fill="auto"/>
            <w:noWrap/>
            <w:vAlign w:val="center"/>
            <w:hideMark/>
          </w:tcPr>
          <w:p w14:paraId="4F854A6C"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69" w:type="dxa"/>
            <w:tcBorders>
              <w:top w:val="nil"/>
              <w:left w:val="nil"/>
              <w:bottom w:val="nil"/>
              <w:right w:val="nil"/>
            </w:tcBorders>
            <w:shd w:val="clear" w:color="auto" w:fill="auto"/>
            <w:noWrap/>
            <w:vAlign w:val="center"/>
            <w:hideMark/>
          </w:tcPr>
          <w:p w14:paraId="4784FD35"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85" w:type="dxa"/>
            <w:tcBorders>
              <w:top w:val="nil"/>
              <w:left w:val="nil"/>
              <w:bottom w:val="nil"/>
              <w:right w:val="nil"/>
            </w:tcBorders>
            <w:shd w:val="clear" w:color="auto" w:fill="auto"/>
            <w:noWrap/>
            <w:vAlign w:val="center"/>
            <w:hideMark/>
          </w:tcPr>
          <w:p w14:paraId="53F2AA47"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08" w:type="dxa"/>
            <w:tcBorders>
              <w:top w:val="nil"/>
              <w:left w:val="nil"/>
              <w:bottom w:val="nil"/>
              <w:right w:val="nil"/>
            </w:tcBorders>
            <w:shd w:val="clear" w:color="auto" w:fill="auto"/>
            <w:noWrap/>
            <w:vAlign w:val="center"/>
            <w:hideMark/>
          </w:tcPr>
          <w:p w14:paraId="1F7B3F56"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C130FE" w:rsidRPr="00824DFE" w14:paraId="331B64E0" w14:textId="77777777" w:rsidTr="002F7131">
        <w:trPr>
          <w:trHeight w:val="405"/>
        </w:trPr>
        <w:tc>
          <w:tcPr>
            <w:tcW w:w="5947" w:type="dxa"/>
            <w:gridSpan w:val="3"/>
            <w:tcBorders>
              <w:top w:val="nil"/>
              <w:left w:val="nil"/>
              <w:bottom w:val="nil"/>
              <w:right w:val="nil"/>
            </w:tcBorders>
            <w:shd w:val="clear" w:color="auto" w:fill="auto"/>
            <w:noWrap/>
            <w:vAlign w:val="center"/>
            <w:hideMark/>
          </w:tcPr>
          <w:p w14:paraId="76587581"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color w:val="002060"/>
                <w:szCs w:val="24"/>
                <w:lang w:eastAsia="zh-CN"/>
              </w:rPr>
            </w:pPr>
            <w:r w:rsidRPr="00824DFE">
              <w:rPr>
                <w:rFonts w:ascii="Microsoft YaHei" w:eastAsia="STKaiti" w:hAnsi="Microsoft YaHei" w:cs="Microsoft YaHei" w:hint="eastAsia"/>
                <w:b/>
                <w:bCs/>
                <w:iCs/>
                <w:color w:val="002060"/>
                <w:szCs w:val="24"/>
                <w:lang w:eastAsia="zh-CN"/>
              </w:rPr>
              <w:t>按</w:t>
            </w:r>
            <w:r>
              <w:rPr>
                <w:rFonts w:ascii="Microsoft YaHei" w:eastAsia="STKaiti" w:hAnsi="Microsoft YaHei" w:cs="Microsoft YaHei" w:hint="eastAsia"/>
                <w:b/>
                <w:bCs/>
                <w:iCs/>
                <w:color w:val="002060"/>
                <w:szCs w:val="24"/>
                <w:lang w:eastAsia="zh-CN"/>
              </w:rPr>
              <w:t>区域</w:t>
            </w:r>
            <w:r w:rsidRPr="00824DFE">
              <w:rPr>
                <w:rFonts w:ascii="Microsoft YaHei" w:eastAsia="STKaiti" w:hAnsi="Microsoft YaHei" w:cs="Microsoft YaHei" w:hint="eastAsia"/>
                <w:b/>
                <w:bCs/>
                <w:iCs/>
                <w:color w:val="002060"/>
                <w:szCs w:val="24"/>
                <w:lang w:eastAsia="zh-CN"/>
              </w:rPr>
              <w:t>和支出类别列出的计划支出</w:t>
            </w:r>
          </w:p>
        </w:tc>
        <w:tc>
          <w:tcPr>
            <w:tcW w:w="1285" w:type="dxa"/>
            <w:tcBorders>
              <w:top w:val="nil"/>
              <w:left w:val="nil"/>
              <w:bottom w:val="nil"/>
              <w:right w:val="nil"/>
            </w:tcBorders>
            <w:shd w:val="clear" w:color="auto" w:fill="auto"/>
            <w:noWrap/>
            <w:vAlign w:val="center"/>
            <w:hideMark/>
          </w:tcPr>
          <w:p w14:paraId="3AA0C8F4"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color w:val="002060"/>
                <w:szCs w:val="24"/>
                <w:lang w:eastAsia="zh-CN"/>
              </w:rPr>
            </w:pPr>
          </w:p>
        </w:tc>
        <w:tc>
          <w:tcPr>
            <w:tcW w:w="1285" w:type="dxa"/>
            <w:tcBorders>
              <w:top w:val="nil"/>
              <w:left w:val="nil"/>
              <w:bottom w:val="nil"/>
              <w:right w:val="nil"/>
            </w:tcBorders>
            <w:shd w:val="clear" w:color="auto" w:fill="auto"/>
            <w:noWrap/>
            <w:vAlign w:val="center"/>
            <w:hideMark/>
          </w:tcPr>
          <w:p w14:paraId="454A127B"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85" w:type="dxa"/>
            <w:tcBorders>
              <w:top w:val="nil"/>
              <w:left w:val="nil"/>
              <w:bottom w:val="nil"/>
              <w:right w:val="nil"/>
            </w:tcBorders>
            <w:shd w:val="clear" w:color="auto" w:fill="auto"/>
            <w:noWrap/>
            <w:vAlign w:val="center"/>
            <w:hideMark/>
          </w:tcPr>
          <w:p w14:paraId="45B3CA5B"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69" w:type="dxa"/>
            <w:tcBorders>
              <w:top w:val="nil"/>
              <w:left w:val="nil"/>
              <w:bottom w:val="nil"/>
              <w:right w:val="nil"/>
            </w:tcBorders>
            <w:shd w:val="clear" w:color="auto" w:fill="auto"/>
            <w:noWrap/>
            <w:vAlign w:val="center"/>
            <w:hideMark/>
          </w:tcPr>
          <w:p w14:paraId="1D66DE73"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85" w:type="dxa"/>
            <w:tcBorders>
              <w:top w:val="nil"/>
              <w:left w:val="nil"/>
              <w:bottom w:val="nil"/>
              <w:right w:val="nil"/>
            </w:tcBorders>
            <w:shd w:val="clear" w:color="auto" w:fill="auto"/>
            <w:noWrap/>
            <w:vAlign w:val="center"/>
            <w:hideMark/>
          </w:tcPr>
          <w:p w14:paraId="0E70B001"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08" w:type="dxa"/>
            <w:tcBorders>
              <w:top w:val="nil"/>
              <w:left w:val="nil"/>
              <w:bottom w:val="nil"/>
              <w:right w:val="nil"/>
            </w:tcBorders>
            <w:shd w:val="clear" w:color="auto" w:fill="auto"/>
            <w:noWrap/>
            <w:vAlign w:val="center"/>
            <w:hideMark/>
          </w:tcPr>
          <w:p w14:paraId="141CE21E"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C130FE" w:rsidRPr="00824DFE" w14:paraId="52FB2BC7" w14:textId="77777777" w:rsidTr="002F7131">
        <w:trPr>
          <w:trHeight w:val="195"/>
        </w:trPr>
        <w:tc>
          <w:tcPr>
            <w:tcW w:w="3257" w:type="dxa"/>
            <w:tcBorders>
              <w:top w:val="nil"/>
              <w:left w:val="nil"/>
              <w:bottom w:val="nil"/>
              <w:right w:val="nil"/>
            </w:tcBorders>
            <w:shd w:val="clear" w:color="auto" w:fill="auto"/>
            <w:noWrap/>
            <w:vAlign w:val="center"/>
            <w:hideMark/>
          </w:tcPr>
          <w:p w14:paraId="3CF9C642"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0707" w:type="dxa"/>
            <w:gridSpan w:val="8"/>
            <w:tcBorders>
              <w:top w:val="nil"/>
              <w:left w:val="nil"/>
              <w:bottom w:val="nil"/>
              <w:right w:val="nil"/>
            </w:tcBorders>
            <w:shd w:val="clear" w:color="auto" w:fill="auto"/>
            <w:noWrap/>
            <w:vAlign w:val="center"/>
            <w:hideMark/>
          </w:tcPr>
          <w:p w14:paraId="5537A67F"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824DFE">
              <w:rPr>
                <w:rFonts w:ascii="STKaiti" w:eastAsia="STKaiti" w:hAnsi="STKaiti" w:hint="eastAsia"/>
                <w:color w:val="002060"/>
                <w:sz w:val="18"/>
                <w:szCs w:val="18"/>
              </w:rPr>
              <w:t>单位：千瑞郎</w:t>
            </w:r>
          </w:p>
        </w:tc>
      </w:tr>
      <w:tr w:rsidR="00C130FE" w:rsidRPr="00824DFE" w14:paraId="68C4F322" w14:textId="77777777" w:rsidTr="002F7131">
        <w:trPr>
          <w:trHeight w:val="345"/>
        </w:trPr>
        <w:tc>
          <w:tcPr>
            <w:tcW w:w="3257" w:type="dxa"/>
            <w:tcBorders>
              <w:top w:val="nil"/>
              <w:left w:val="nil"/>
              <w:bottom w:val="nil"/>
              <w:right w:val="nil"/>
            </w:tcBorders>
            <w:shd w:val="clear" w:color="auto" w:fill="auto"/>
            <w:noWrap/>
            <w:vAlign w:val="center"/>
            <w:hideMark/>
          </w:tcPr>
          <w:p w14:paraId="08CB62BD"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24DFE">
              <w:rPr>
                <w:rFonts w:eastAsia="Times New Roman" w:cs="Calibri"/>
                <w:sz w:val="20"/>
              </w:rPr>
              <w:t xml:space="preserve"> </w:t>
            </w:r>
          </w:p>
        </w:tc>
        <w:tc>
          <w:tcPr>
            <w:tcW w:w="9299" w:type="dxa"/>
            <w:gridSpan w:val="7"/>
            <w:tcBorders>
              <w:top w:val="nil"/>
              <w:left w:val="nil"/>
              <w:bottom w:val="nil"/>
              <w:right w:val="nil"/>
            </w:tcBorders>
            <w:shd w:val="clear" w:color="auto" w:fill="auto"/>
            <w:noWrap/>
            <w:vAlign w:val="center"/>
            <w:hideMark/>
          </w:tcPr>
          <w:p w14:paraId="7D97A048"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lang w:eastAsia="zh-CN"/>
              </w:rPr>
            </w:pPr>
            <w:r w:rsidRPr="00824DFE">
              <w:rPr>
                <w:rFonts w:ascii="STKaiti" w:eastAsia="STKaiti" w:hAnsi="STKaiti" w:hint="eastAsia"/>
                <w:b/>
                <w:bCs/>
                <w:color w:val="002060"/>
                <w:sz w:val="20"/>
                <w:lang w:eastAsia="zh-CN"/>
              </w:rPr>
              <w:t>国际电联区域代表处和地区办事处</w:t>
            </w:r>
          </w:p>
        </w:tc>
        <w:tc>
          <w:tcPr>
            <w:tcW w:w="1408" w:type="dxa"/>
            <w:tcBorders>
              <w:top w:val="nil"/>
              <w:left w:val="nil"/>
              <w:bottom w:val="nil"/>
              <w:right w:val="nil"/>
            </w:tcBorders>
            <w:shd w:val="clear" w:color="auto" w:fill="auto"/>
            <w:noWrap/>
            <w:vAlign w:val="center"/>
            <w:hideMark/>
          </w:tcPr>
          <w:p w14:paraId="3CECF021"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lang w:eastAsia="zh-CN"/>
              </w:rPr>
            </w:pPr>
          </w:p>
        </w:tc>
      </w:tr>
      <w:tr w:rsidR="00C130FE" w:rsidRPr="00824DFE" w14:paraId="1F147C14" w14:textId="77777777" w:rsidTr="002F7131">
        <w:trPr>
          <w:trHeight w:val="150"/>
        </w:trPr>
        <w:tc>
          <w:tcPr>
            <w:tcW w:w="3257" w:type="dxa"/>
            <w:tcBorders>
              <w:top w:val="nil"/>
              <w:left w:val="nil"/>
              <w:bottom w:val="nil"/>
              <w:right w:val="nil"/>
            </w:tcBorders>
            <w:shd w:val="clear" w:color="auto" w:fill="auto"/>
            <w:noWrap/>
            <w:vAlign w:val="center"/>
            <w:hideMark/>
          </w:tcPr>
          <w:p w14:paraId="66B054B0"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05" w:type="dxa"/>
            <w:tcBorders>
              <w:top w:val="nil"/>
              <w:left w:val="nil"/>
              <w:bottom w:val="nil"/>
              <w:right w:val="nil"/>
            </w:tcBorders>
            <w:shd w:val="clear" w:color="auto" w:fill="auto"/>
            <w:noWrap/>
            <w:vAlign w:val="bottom"/>
            <w:hideMark/>
          </w:tcPr>
          <w:p w14:paraId="15ADCF03"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lang w:eastAsia="zh-CN"/>
              </w:rPr>
            </w:pPr>
          </w:p>
        </w:tc>
        <w:tc>
          <w:tcPr>
            <w:tcW w:w="1285" w:type="dxa"/>
            <w:tcBorders>
              <w:top w:val="nil"/>
              <w:left w:val="nil"/>
              <w:bottom w:val="nil"/>
              <w:right w:val="nil"/>
            </w:tcBorders>
            <w:shd w:val="clear" w:color="auto" w:fill="auto"/>
            <w:noWrap/>
            <w:vAlign w:val="center"/>
            <w:hideMark/>
          </w:tcPr>
          <w:p w14:paraId="47EB6F38"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85" w:type="dxa"/>
            <w:tcBorders>
              <w:top w:val="nil"/>
              <w:left w:val="nil"/>
              <w:bottom w:val="nil"/>
              <w:right w:val="nil"/>
            </w:tcBorders>
            <w:shd w:val="clear" w:color="auto" w:fill="auto"/>
            <w:noWrap/>
            <w:vAlign w:val="center"/>
            <w:hideMark/>
          </w:tcPr>
          <w:p w14:paraId="2E169BF9"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85" w:type="dxa"/>
            <w:tcBorders>
              <w:top w:val="nil"/>
              <w:left w:val="nil"/>
              <w:bottom w:val="nil"/>
              <w:right w:val="nil"/>
            </w:tcBorders>
            <w:shd w:val="clear" w:color="auto" w:fill="auto"/>
            <w:noWrap/>
            <w:vAlign w:val="center"/>
            <w:hideMark/>
          </w:tcPr>
          <w:p w14:paraId="346A7720"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r w:rsidRPr="00825AB8">
              <w:rPr>
                <w:rFonts w:ascii="Helv" w:eastAsia="Times New Roman" w:hAnsi="Helv"/>
                <w:noProof/>
                <w:sz w:val="20"/>
              </w:rPr>
              <mc:AlternateContent>
                <mc:Choice Requires="wps">
                  <w:drawing>
                    <wp:anchor distT="0" distB="0" distL="114300" distR="114300" simplePos="0" relativeHeight="251715584" behindDoc="0" locked="0" layoutInCell="1" allowOverlap="1" wp14:anchorId="6A9A3399" wp14:editId="38BA5AB6">
                      <wp:simplePos x="0" y="0"/>
                      <wp:positionH relativeFrom="column">
                        <wp:posOffset>358140</wp:posOffset>
                      </wp:positionH>
                      <wp:positionV relativeFrom="paragraph">
                        <wp:posOffset>-2907665</wp:posOffset>
                      </wp:positionV>
                      <wp:extent cx="45085" cy="5869305"/>
                      <wp:effectExtent l="2540" t="0" r="14605" b="14605"/>
                      <wp:wrapNone/>
                      <wp:docPr id="1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5085" cy="5869305"/>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D173530" id="AutoShape 15" o:spid="_x0000_s1026" type="#_x0000_t85" style="position:absolute;margin-left:28.2pt;margin-top:-228.95pt;width:3.55pt;height:462.15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" adj="189" strokecolor="#0070c0" strokeweight="1pt"/>
                  </w:pict>
                </mc:Fallback>
              </mc:AlternateContent>
            </w:r>
          </w:p>
        </w:tc>
        <w:tc>
          <w:tcPr>
            <w:tcW w:w="1285" w:type="dxa"/>
            <w:tcBorders>
              <w:top w:val="nil"/>
              <w:left w:val="nil"/>
              <w:bottom w:val="nil"/>
              <w:right w:val="nil"/>
            </w:tcBorders>
            <w:shd w:val="clear" w:color="auto" w:fill="auto"/>
            <w:noWrap/>
            <w:vAlign w:val="center"/>
            <w:hideMark/>
          </w:tcPr>
          <w:p w14:paraId="7368CE07"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69" w:type="dxa"/>
            <w:tcBorders>
              <w:top w:val="nil"/>
              <w:left w:val="nil"/>
              <w:bottom w:val="nil"/>
              <w:right w:val="nil"/>
            </w:tcBorders>
            <w:shd w:val="clear" w:color="auto" w:fill="auto"/>
            <w:noWrap/>
            <w:vAlign w:val="center"/>
            <w:hideMark/>
          </w:tcPr>
          <w:p w14:paraId="16B4E6B8"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85" w:type="dxa"/>
            <w:tcBorders>
              <w:top w:val="nil"/>
              <w:left w:val="nil"/>
              <w:bottom w:val="nil"/>
              <w:right w:val="nil"/>
            </w:tcBorders>
            <w:shd w:val="clear" w:color="auto" w:fill="auto"/>
            <w:noWrap/>
            <w:vAlign w:val="center"/>
            <w:hideMark/>
          </w:tcPr>
          <w:p w14:paraId="3503E435"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08" w:type="dxa"/>
            <w:tcBorders>
              <w:top w:val="nil"/>
              <w:left w:val="nil"/>
              <w:bottom w:val="nil"/>
              <w:right w:val="nil"/>
            </w:tcBorders>
            <w:shd w:val="clear" w:color="auto" w:fill="auto"/>
            <w:noWrap/>
            <w:vAlign w:val="center"/>
            <w:hideMark/>
          </w:tcPr>
          <w:p w14:paraId="7156840B"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r w:rsidRPr="00824DFE">
              <w:rPr>
                <w:rFonts w:ascii="Helv" w:eastAsia="Times New Roman" w:hAnsi="Helv"/>
                <w:noProof/>
                <w:sz w:val="20"/>
              </w:rPr>
              <mc:AlternateContent>
                <mc:Choice Requires="wps">
                  <w:drawing>
                    <wp:anchor distT="0" distB="0" distL="114300" distR="114300" simplePos="0" relativeHeight="251714560" behindDoc="0" locked="0" layoutInCell="1" allowOverlap="1" wp14:anchorId="6036C1B2" wp14:editId="2FB1B1BE">
                      <wp:simplePos x="0" y="0"/>
                      <wp:positionH relativeFrom="column">
                        <wp:posOffset>-16510</wp:posOffset>
                      </wp:positionH>
                      <wp:positionV relativeFrom="paragraph">
                        <wp:posOffset>-7620</wp:posOffset>
                      </wp:positionV>
                      <wp:extent cx="876300" cy="4152900"/>
                      <wp:effectExtent l="0" t="0" r="19050" b="19050"/>
                      <wp:wrapNone/>
                      <wp:docPr id="91" name="圆角矩形 91">
                        <a:extLst xmlns:a="http://schemas.openxmlformats.org/drawingml/2006/main">
                          <a:ext uri="{FF2B5EF4-FFF2-40B4-BE49-F238E27FC236}">
                            <a16:creationId xmlns:a16="http://schemas.microsoft.com/office/drawing/2014/main" id="{00000000-0008-0000-0B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415290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7248D44C" id="圆角矩形 91" o:spid="_x0000_s1026" style="position:absolute;margin-left:-1.3pt;margin-top:-.6pt;width:69pt;height:3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" filled="f" strokecolor="#0070c0" strokeweight="1pt"/>
                  </w:pict>
                </mc:Fallback>
              </mc:AlternateContent>
            </w:r>
          </w:p>
        </w:tc>
      </w:tr>
      <w:tr w:rsidR="00C130FE" w:rsidRPr="00824DFE" w14:paraId="42F6FAC3" w14:textId="77777777" w:rsidTr="002F7131">
        <w:trPr>
          <w:trHeight w:val="20"/>
        </w:trPr>
        <w:tc>
          <w:tcPr>
            <w:tcW w:w="3257" w:type="dxa"/>
            <w:tcBorders>
              <w:top w:val="nil"/>
              <w:left w:val="nil"/>
              <w:bottom w:val="nil"/>
              <w:right w:val="nil"/>
            </w:tcBorders>
            <w:shd w:val="clear" w:color="auto" w:fill="auto"/>
            <w:noWrap/>
            <w:vAlign w:val="center"/>
            <w:hideMark/>
          </w:tcPr>
          <w:p w14:paraId="6FE8DC43"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05" w:type="dxa"/>
            <w:tcBorders>
              <w:top w:val="nil"/>
              <w:left w:val="single" w:sz="4" w:space="0" w:color="0070C0"/>
              <w:bottom w:val="nil"/>
              <w:right w:val="nil"/>
            </w:tcBorders>
            <w:shd w:val="clear" w:color="auto" w:fill="auto"/>
            <w:hideMark/>
          </w:tcPr>
          <w:p w14:paraId="5356DDBD"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lang w:eastAsia="zh-CN"/>
              </w:rPr>
            </w:pPr>
            <w:r w:rsidRPr="00CD7402">
              <w:rPr>
                <w:rFonts w:cstheme="minorHAnsi"/>
                <w:sz w:val="20"/>
                <w:lang w:eastAsia="zh-CN"/>
              </w:rPr>
              <w:t>区域代表处和地区办事处共同支出</w:t>
            </w:r>
          </w:p>
        </w:tc>
        <w:tc>
          <w:tcPr>
            <w:tcW w:w="1285" w:type="dxa"/>
            <w:tcBorders>
              <w:top w:val="nil"/>
              <w:left w:val="nil"/>
              <w:bottom w:val="nil"/>
              <w:right w:val="nil"/>
            </w:tcBorders>
            <w:shd w:val="clear" w:color="auto" w:fill="auto"/>
            <w:hideMark/>
          </w:tcPr>
          <w:p w14:paraId="46858EFA"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rPr>
            </w:pPr>
            <w:r w:rsidRPr="00CD7402">
              <w:rPr>
                <w:rFonts w:cstheme="minorHAnsi"/>
                <w:sz w:val="20"/>
              </w:rPr>
              <w:t>非洲区域</w:t>
            </w:r>
            <w:r w:rsidRPr="00CD7402">
              <w:rPr>
                <w:rFonts w:cstheme="minorHAnsi"/>
                <w:sz w:val="20"/>
              </w:rPr>
              <w:br/>
            </w:r>
            <w:r w:rsidRPr="00CD7402">
              <w:rPr>
                <w:rFonts w:cstheme="minorHAnsi"/>
                <w:sz w:val="20"/>
              </w:rPr>
              <w:t>（</w:t>
            </w:r>
            <w:r w:rsidRPr="00CD7402">
              <w:rPr>
                <w:rFonts w:cstheme="minorHAnsi"/>
                <w:sz w:val="20"/>
              </w:rPr>
              <w:t>AFR</w:t>
            </w:r>
            <w:r w:rsidRPr="00CD7402">
              <w:rPr>
                <w:rFonts w:cstheme="minorHAnsi"/>
                <w:sz w:val="20"/>
              </w:rPr>
              <w:t>）</w:t>
            </w:r>
          </w:p>
        </w:tc>
        <w:tc>
          <w:tcPr>
            <w:tcW w:w="1285" w:type="dxa"/>
            <w:tcBorders>
              <w:top w:val="nil"/>
              <w:left w:val="nil"/>
              <w:bottom w:val="nil"/>
              <w:right w:val="nil"/>
            </w:tcBorders>
            <w:shd w:val="clear" w:color="auto" w:fill="auto"/>
            <w:hideMark/>
          </w:tcPr>
          <w:p w14:paraId="0CCAD534"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rPr>
            </w:pPr>
            <w:r w:rsidRPr="00CD7402">
              <w:rPr>
                <w:rFonts w:cstheme="minorHAnsi"/>
                <w:sz w:val="20"/>
              </w:rPr>
              <w:t>美洲区域</w:t>
            </w:r>
            <w:r w:rsidRPr="00CD7402">
              <w:rPr>
                <w:rFonts w:cstheme="minorHAnsi"/>
                <w:sz w:val="20"/>
              </w:rPr>
              <w:br/>
            </w:r>
            <w:r w:rsidRPr="00CD7402">
              <w:rPr>
                <w:rFonts w:cstheme="minorHAnsi"/>
                <w:sz w:val="20"/>
              </w:rPr>
              <w:t>（</w:t>
            </w:r>
            <w:r w:rsidRPr="00CD7402">
              <w:rPr>
                <w:rFonts w:cstheme="minorHAnsi"/>
                <w:sz w:val="20"/>
              </w:rPr>
              <w:t>AMS</w:t>
            </w:r>
            <w:r w:rsidRPr="00CD7402">
              <w:rPr>
                <w:rFonts w:cstheme="minorHAnsi"/>
                <w:sz w:val="20"/>
              </w:rPr>
              <w:t>）</w:t>
            </w:r>
          </w:p>
        </w:tc>
        <w:tc>
          <w:tcPr>
            <w:tcW w:w="1285" w:type="dxa"/>
            <w:tcBorders>
              <w:top w:val="nil"/>
              <w:left w:val="nil"/>
              <w:bottom w:val="nil"/>
              <w:right w:val="nil"/>
            </w:tcBorders>
            <w:shd w:val="clear" w:color="auto" w:fill="auto"/>
            <w:hideMark/>
          </w:tcPr>
          <w:p w14:paraId="5C61F133"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lang w:eastAsia="zh-CN"/>
              </w:rPr>
            </w:pPr>
            <w:r w:rsidRPr="00CD7402">
              <w:rPr>
                <w:rFonts w:cstheme="minorHAnsi"/>
                <w:sz w:val="20"/>
                <w:lang w:eastAsia="zh-CN"/>
              </w:rPr>
              <w:t>阿拉伯区域（</w:t>
            </w:r>
            <w:r w:rsidRPr="00CD7402">
              <w:rPr>
                <w:rFonts w:cstheme="minorHAnsi"/>
                <w:sz w:val="20"/>
                <w:lang w:eastAsia="zh-CN"/>
              </w:rPr>
              <w:t>ARB</w:t>
            </w:r>
            <w:r w:rsidRPr="00CD7402">
              <w:rPr>
                <w:rFonts w:cstheme="minorHAnsi"/>
                <w:sz w:val="20"/>
                <w:lang w:eastAsia="zh-CN"/>
              </w:rPr>
              <w:t>）</w:t>
            </w:r>
          </w:p>
        </w:tc>
        <w:tc>
          <w:tcPr>
            <w:tcW w:w="1285" w:type="dxa"/>
            <w:tcBorders>
              <w:top w:val="nil"/>
              <w:left w:val="nil"/>
              <w:bottom w:val="nil"/>
              <w:right w:val="nil"/>
            </w:tcBorders>
            <w:shd w:val="clear" w:color="auto" w:fill="auto"/>
            <w:hideMark/>
          </w:tcPr>
          <w:p w14:paraId="346F0C0B"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rPr>
            </w:pPr>
            <w:r w:rsidRPr="00CD7402">
              <w:rPr>
                <w:rFonts w:cstheme="minorHAnsi"/>
                <w:sz w:val="20"/>
              </w:rPr>
              <w:t>亚太区域</w:t>
            </w:r>
            <w:r w:rsidRPr="00CD7402">
              <w:rPr>
                <w:rFonts w:cstheme="minorHAnsi"/>
                <w:sz w:val="20"/>
              </w:rPr>
              <w:br/>
            </w:r>
            <w:r w:rsidRPr="00CD7402">
              <w:rPr>
                <w:rFonts w:cstheme="minorHAnsi"/>
                <w:sz w:val="20"/>
              </w:rPr>
              <w:t>（</w:t>
            </w:r>
            <w:r w:rsidRPr="00CD7402">
              <w:rPr>
                <w:rFonts w:cstheme="minorHAnsi"/>
                <w:sz w:val="20"/>
              </w:rPr>
              <w:t>ASP</w:t>
            </w:r>
            <w:r w:rsidRPr="00CD7402">
              <w:rPr>
                <w:rFonts w:cstheme="minorHAnsi"/>
                <w:sz w:val="20"/>
              </w:rPr>
              <w:t>）</w:t>
            </w:r>
          </w:p>
        </w:tc>
        <w:tc>
          <w:tcPr>
            <w:tcW w:w="1469" w:type="dxa"/>
            <w:tcBorders>
              <w:top w:val="nil"/>
              <w:left w:val="nil"/>
              <w:bottom w:val="nil"/>
              <w:right w:val="nil"/>
            </w:tcBorders>
            <w:shd w:val="clear" w:color="auto" w:fill="auto"/>
            <w:hideMark/>
          </w:tcPr>
          <w:p w14:paraId="232DC5A9"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lang w:eastAsia="zh-CN"/>
              </w:rPr>
            </w:pPr>
            <w:r w:rsidRPr="00CD7402">
              <w:rPr>
                <w:rFonts w:cstheme="minorHAnsi"/>
                <w:sz w:val="20"/>
                <w:lang w:eastAsia="zh-CN"/>
              </w:rPr>
              <w:t>独联体国家</w:t>
            </w:r>
            <w:r>
              <w:rPr>
                <w:rFonts w:cstheme="minorHAnsi"/>
                <w:sz w:val="20"/>
                <w:lang w:eastAsia="zh-CN"/>
              </w:rPr>
              <w:br/>
            </w:r>
            <w:r w:rsidRPr="00CD7402">
              <w:rPr>
                <w:rFonts w:cstheme="minorHAnsi"/>
                <w:sz w:val="20"/>
                <w:lang w:eastAsia="zh-CN"/>
              </w:rPr>
              <w:t>区域（</w:t>
            </w:r>
            <w:r w:rsidRPr="00CD7402">
              <w:rPr>
                <w:rFonts w:cstheme="minorHAnsi"/>
                <w:sz w:val="20"/>
                <w:lang w:eastAsia="zh-CN"/>
              </w:rPr>
              <w:t>CIS</w:t>
            </w:r>
            <w:r w:rsidRPr="00CD7402">
              <w:rPr>
                <w:rFonts w:cstheme="minorHAnsi"/>
                <w:sz w:val="20"/>
                <w:lang w:eastAsia="zh-CN"/>
              </w:rPr>
              <w:t>）</w:t>
            </w:r>
          </w:p>
        </w:tc>
        <w:tc>
          <w:tcPr>
            <w:tcW w:w="1285" w:type="dxa"/>
            <w:tcBorders>
              <w:top w:val="nil"/>
              <w:left w:val="nil"/>
              <w:bottom w:val="nil"/>
              <w:right w:val="nil"/>
            </w:tcBorders>
            <w:shd w:val="clear" w:color="auto" w:fill="auto"/>
            <w:hideMark/>
          </w:tcPr>
          <w:p w14:paraId="2E0498B2"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rPr>
            </w:pPr>
            <w:r w:rsidRPr="00CD7402">
              <w:rPr>
                <w:rFonts w:cstheme="minorHAnsi"/>
                <w:sz w:val="20"/>
              </w:rPr>
              <w:t>欧洲区域</w:t>
            </w:r>
            <w:r>
              <w:rPr>
                <w:rFonts w:cstheme="minorHAnsi"/>
                <w:sz w:val="20"/>
              </w:rPr>
              <w:br/>
            </w:r>
            <w:r w:rsidRPr="00CD7402">
              <w:rPr>
                <w:rFonts w:cstheme="minorHAnsi"/>
                <w:sz w:val="20"/>
              </w:rPr>
              <w:t>（</w:t>
            </w:r>
            <w:r w:rsidRPr="00CD7402">
              <w:rPr>
                <w:rFonts w:cstheme="minorHAnsi"/>
                <w:sz w:val="20"/>
              </w:rPr>
              <w:t>EUR</w:t>
            </w:r>
            <w:r w:rsidRPr="00CD7402">
              <w:rPr>
                <w:rFonts w:cstheme="minorHAnsi"/>
                <w:sz w:val="20"/>
              </w:rPr>
              <w:t>）</w:t>
            </w:r>
          </w:p>
        </w:tc>
        <w:tc>
          <w:tcPr>
            <w:tcW w:w="1408" w:type="dxa"/>
            <w:tcBorders>
              <w:top w:val="nil"/>
              <w:left w:val="nil"/>
              <w:bottom w:val="nil"/>
              <w:right w:val="nil"/>
            </w:tcBorders>
            <w:shd w:val="clear" w:color="auto" w:fill="auto"/>
            <w:noWrap/>
            <w:vAlign w:val="center"/>
            <w:hideMark/>
          </w:tcPr>
          <w:p w14:paraId="0162B644"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b/>
                <w:bCs/>
                <w:color w:val="002060"/>
                <w:sz w:val="20"/>
              </w:rPr>
            </w:pPr>
            <w:r w:rsidRPr="00CD7402">
              <w:rPr>
                <w:rFonts w:cstheme="minorHAnsi"/>
                <w:b/>
                <w:bCs/>
                <w:color w:val="002060"/>
                <w:sz w:val="20"/>
              </w:rPr>
              <w:t>合计</w:t>
            </w:r>
          </w:p>
        </w:tc>
      </w:tr>
      <w:tr w:rsidR="00C130FE" w:rsidRPr="00824DFE" w14:paraId="5EFEC529" w14:textId="77777777" w:rsidTr="002F7131">
        <w:trPr>
          <w:trHeight w:val="20"/>
        </w:trPr>
        <w:tc>
          <w:tcPr>
            <w:tcW w:w="3257" w:type="dxa"/>
            <w:tcBorders>
              <w:top w:val="nil"/>
              <w:left w:val="nil"/>
              <w:bottom w:val="single" w:sz="4" w:space="0" w:color="auto"/>
              <w:right w:val="nil"/>
            </w:tcBorders>
            <w:shd w:val="clear" w:color="auto" w:fill="auto"/>
            <w:noWrap/>
            <w:vAlign w:val="center"/>
            <w:hideMark/>
          </w:tcPr>
          <w:p w14:paraId="17FEDD31"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sz w:val="20"/>
              </w:rPr>
            </w:pPr>
            <w:r w:rsidRPr="00824DFE">
              <w:rPr>
                <w:rFonts w:eastAsia="Times New Roman" w:cs="Calibri"/>
                <w:b/>
                <w:bCs/>
                <w:i/>
                <w:iCs/>
                <w:sz w:val="20"/>
              </w:rPr>
              <w:t> </w:t>
            </w:r>
          </w:p>
        </w:tc>
        <w:tc>
          <w:tcPr>
            <w:tcW w:w="1405" w:type="dxa"/>
            <w:tcBorders>
              <w:top w:val="nil"/>
              <w:left w:val="single" w:sz="4" w:space="0" w:color="0070C0"/>
              <w:bottom w:val="single" w:sz="4" w:space="0" w:color="auto"/>
              <w:right w:val="nil"/>
            </w:tcBorders>
            <w:shd w:val="clear" w:color="auto" w:fill="auto"/>
            <w:noWrap/>
            <w:vAlign w:val="center"/>
            <w:hideMark/>
          </w:tcPr>
          <w:p w14:paraId="27785148"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24DFE">
              <w:rPr>
                <w:rFonts w:eastAsia="Times New Roman" w:cs="Calibri"/>
                <w:sz w:val="20"/>
              </w:rPr>
              <w:t> </w:t>
            </w:r>
          </w:p>
        </w:tc>
        <w:tc>
          <w:tcPr>
            <w:tcW w:w="1285" w:type="dxa"/>
            <w:tcBorders>
              <w:top w:val="nil"/>
              <w:left w:val="nil"/>
              <w:bottom w:val="single" w:sz="4" w:space="0" w:color="auto"/>
              <w:right w:val="nil"/>
            </w:tcBorders>
            <w:shd w:val="clear" w:color="auto" w:fill="auto"/>
            <w:noWrap/>
            <w:vAlign w:val="center"/>
            <w:hideMark/>
          </w:tcPr>
          <w:p w14:paraId="4DD2FEA3"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24DFE">
              <w:rPr>
                <w:rFonts w:eastAsia="Times New Roman" w:cs="Calibri"/>
                <w:sz w:val="20"/>
              </w:rPr>
              <w:t> </w:t>
            </w:r>
          </w:p>
        </w:tc>
        <w:tc>
          <w:tcPr>
            <w:tcW w:w="1285" w:type="dxa"/>
            <w:tcBorders>
              <w:top w:val="nil"/>
              <w:left w:val="nil"/>
              <w:bottom w:val="single" w:sz="4" w:space="0" w:color="auto"/>
              <w:right w:val="nil"/>
            </w:tcBorders>
            <w:shd w:val="clear" w:color="auto" w:fill="auto"/>
            <w:noWrap/>
            <w:vAlign w:val="center"/>
            <w:hideMark/>
          </w:tcPr>
          <w:p w14:paraId="327F97FF"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24DFE">
              <w:rPr>
                <w:rFonts w:eastAsia="Times New Roman" w:cs="Calibri"/>
                <w:sz w:val="20"/>
              </w:rPr>
              <w:t> </w:t>
            </w:r>
          </w:p>
        </w:tc>
        <w:tc>
          <w:tcPr>
            <w:tcW w:w="1285" w:type="dxa"/>
            <w:tcBorders>
              <w:top w:val="nil"/>
              <w:left w:val="nil"/>
              <w:bottom w:val="single" w:sz="4" w:space="0" w:color="auto"/>
              <w:right w:val="nil"/>
            </w:tcBorders>
            <w:shd w:val="clear" w:color="auto" w:fill="auto"/>
            <w:noWrap/>
            <w:vAlign w:val="center"/>
            <w:hideMark/>
          </w:tcPr>
          <w:p w14:paraId="63F6D0E0"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24DFE">
              <w:rPr>
                <w:rFonts w:eastAsia="Times New Roman" w:cs="Calibri"/>
                <w:sz w:val="20"/>
              </w:rPr>
              <w:t> </w:t>
            </w:r>
          </w:p>
        </w:tc>
        <w:tc>
          <w:tcPr>
            <w:tcW w:w="1285" w:type="dxa"/>
            <w:tcBorders>
              <w:top w:val="nil"/>
              <w:left w:val="nil"/>
              <w:bottom w:val="single" w:sz="4" w:space="0" w:color="auto"/>
              <w:right w:val="nil"/>
            </w:tcBorders>
            <w:shd w:val="clear" w:color="auto" w:fill="auto"/>
            <w:noWrap/>
            <w:vAlign w:val="center"/>
            <w:hideMark/>
          </w:tcPr>
          <w:p w14:paraId="0EB806E8"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24DFE">
              <w:rPr>
                <w:rFonts w:eastAsia="Times New Roman" w:cs="Calibri"/>
                <w:sz w:val="20"/>
              </w:rPr>
              <w:t> </w:t>
            </w:r>
          </w:p>
        </w:tc>
        <w:tc>
          <w:tcPr>
            <w:tcW w:w="1469" w:type="dxa"/>
            <w:tcBorders>
              <w:top w:val="nil"/>
              <w:left w:val="nil"/>
              <w:bottom w:val="single" w:sz="4" w:space="0" w:color="auto"/>
              <w:right w:val="nil"/>
            </w:tcBorders>
            <w:shd w:val="clear" w:color="auto" w:fill="auto"/>
            <w:noWrap/>
            <w:vAlign w:val="center"/>
            <w:hideMark/>
          </w:tcPr>
          <w:p w14:paraId="44EDAA7A"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24DFE">
              <w:rPr>
                <w:rFonts w:eastAsia="Times New Roman" w:cs="Calibri"/>
                <w:sz w:val="20"/>
              </w:rPr>
              <w:t> </w:t>
            </w:r>
          </w:p>
        </w:tc>
        <w:tc>
          <w:tcPr>
            <w:tcW w:w="1285" w:type="dxa"/>
            <w:tcBorders>
              <w:top w:val="nil"/>
              <w:left w:val="nil"/>
              <w:bottom w:val="single" w:sz="4" w:space="0" w:color="auto"/>
              <w:right w:val="nil"/>
            </w:tcBorders>
            <w:shd w:val="clear" w:color="auto" w:fill="auto"/>
            <w:noWrap/>
            <w:vAlign w:val="center"/>
            <w:hideMark/>
          </w:tcPr>
          <w:p w14:paraId="6CB1ED00"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24DFE">
              <w:rPr>
                <w:rFonts w:eastAsia="Times New Roman" w:cs="Calibri"/>
                <w:sz w:val="20"/>
              </w:rPr>
              <w:t> </w:t>
            </w:r>
          </w:p>
        </w:tc>
        <w:tc>
          <w:tcPr>
            <w:tcW w:w="1408" w:type="dxa"/>
            <w:tcBorders>
              <w:top w:val="nil"/>
              <w:left w:val="nil"/>
              <w:bottom w:val="single" w:sz="4" w:space="0" w:color="auto"/>
              <w:right w:val="nil"/>
            </w:tcBorders>
            <w:shd w:val="clear" w:color="auto" w:fill="auto"/>
            <w:noWrap/>
            <w:vAlign w:val="center"/>
            <w:hideMark/>
          </w:tcPr>
          <w:p w14:paraId="00DDFB4F"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824DFE">
              <w:rPr>
                <w:rFonts w:eastAsia="Times New Roman" w:cs="Calibri"/>
                <w:b/>
                <w:bCs/>
                <w:color w:val="002060"/>
                <w:sz w:val="20"/>
              </w:rPr>
              <w:t> </w:t>
            </w:r>
          </w:p>
        </w:tc>
      </w:tr>
      <w:tr w:rsidR="00C130FE" w:rsidRPr="00824DFE" w14:paraId="23D24A41" w14:textId="77777777" w:rsidTr="002F7131">
        <w:trPr>
          <w:trHeight w:val="20"/>
        </w:trPr>
        <w:tc>
          <w:tcPr>
            <w:tcW w:w="3257" w:type="dxa"/>
            <w:tcBorders>
              <w:top w:val="nil"/>
              <w:left w:val="nil"/>
              <w:bottom w:val="nil"/>
              <w:right w:val="nil"/>
            </w:tcBorders>
            <w:shd w:val="clear" w:color="auto" w:fill="auto"/>
            <w:noWrap/>
            <w:vAlign w:val="center"/>
            <w:hideMark/>
          </w:tcPr>
          <w:p w14:paraId="6EDEB053"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5" w:type="dxa"/>
            <w:tcBorders>
              <w:top w:val="nil"/>
              <w:left w:val="single" w:sz="4" w:space="0" w:color="0070C0"/>
              <w:bottom w:val="nil"/>
              <w:right w:val="nil"/>
            </w:tcBorders>
            <w:shd w:val="clear" w:color="auto" w:fill="auto"/>
            <w:noWrap/>
            <w:vAlign w:val="center"/>
            <w:hideMark/>
          </w:tcPr>
          <w:p w14:paraId="701F642C"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 </w:t>
            </w:r>
          </w:p>
        </w:tc>
        <w:tc>
          <w:tcPr>
            <w:tcW w:w="1285" w:type="dxa"/>
            <w:tcBorders>
              <w:top w:val="nil"/>
              <w:left w:val="nil"/>
              <w:bottom w:val="nil"/>
              <w:right w:val="nil"/>
            </w:tcBorders>
            <w:shd w:val="clear" w:color="auto" w:fill="auto"/>
            <w:noWrap/>
            <w:vAlign w:val="center"/>
            <w:hideMark/>
          </w:tcPr>
          <w:p w14:paraId="7F52EE48"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center"/>
            <w:hideMark/>
          </w:tcPr>
          <w:p w14:paraId="2B8C3B91"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center"/>
            <w:hideMark/>
          </w:tcPr>
          <w:p w14:paraId="3DD5E372"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center"/>
            <w:hideMark/>
          </w:tcPr>
          <w:p w14:paraId="518367FA"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center"/>
            <w:hideMark/>
          </w:tcPr>
          <w:p w14:paraId="3938BA50"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center"/>
            <w:hideMark/>
          </w:tcPr>
          <w:p w14:paraId="50505665"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center"/>
            <w:hideMark/>
          </w:tcPr>
          <w:p w14:paraId="350F3789"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824DFE" w14:paraId="384F2C51" w14:textId="77777777" w:rsidTr="002F7131">
        <w:trPr>
          <w:trHeight w:val="20"/>
        </w:trPr>
        <w:tc>
          <w:tcPr>
            <w:tcW w:w="3257" w:type="dxa"/>
            <w:tcBorders>
              <w:top w:val="nil"/>
              <w:left w:val="nil"/>
              <w:bottom w:val="nil"/>
              <w:right w:val="nil"/>
            </w:tcBorders>
            <w:shd w:val="clear" w:color="auto" w:fill="auto"/>
            <w:noWrap/>
            <w:vAlign w:val="bottom"/>
            <w:hideMark/>
          </w:tcPr>
          <w:p w14:paraId="55775E07"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CD7402">
              <w:rPr>
                <w:rFonts w:cstheme="minorHAnsi"/>
                <w:sz w:val="20"/>
              </w:rPr>
              <w:t xml:space="preserve">1 - </w:t>
            </w:r>
            <w:r w:rsidRPr="00CD7402">
              <w:rPr>
                <w:rFonts w:cstheme="minorHAnsi"/>
                <w:sz w:val="20"/>
              </w:rPr>
              <w:t>人员费用</w:t>
            </w:r>
          </w:p>
        </w:tc>
        <w:tc>
          <w:tcPr>
            <w:tcW w:w="1405" w:type="dxa"/>
            <w:tcBorders>
              <w:top w:val="nil"/>
              <w:left w:val="single" w:sz="4" w:space="0" w:color="0070C0"/>
              <w:bottom w:val="nil"/>
              <w:right w:val="nil"/>
            </w:tcBorders>
            <w:shd w:val="clear" w:color="auto" w:fill="auto"/>
            <w:noWrap/>
            <w:vAlign w:val="bottom"/>
            <w:hideMark/>
          </w:tcPr>
          <w:p w14:paraId="5F5F1825"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5E2E28F8"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3,030</w:t>
            </w:r>
          </w:p>
        </w:tc>
        <w:tc>
          <w:tcPr>
            <w:tcW w:w="1285" w:type="dxa"/>
            <w:tcBorders>
              <w:top w:val="nil"/>
              <w:left w:val="nil"/>
              <w:bottom w:val="nil"/>
              <w:right w:val="nil"/>
            </w:tcBorders>
            <w:shd w:val="clear" w:color="auto" w:fill="auto"/>
            <w:noWrap/>
            <w:vAlign w:val="bottom"/>
            <w:hideMark/>
          </w:tcPr>
          <w:p w14:paraId="2BE690A8"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2,992</w:t>
            </w:r>
          </w:p>
        </w:tc>
        <w:tc>
          <w:tcPr>
            <w:tcW w:w="1285" w:type="dxa"/>
            <w:tcBorders>
              <w:top w:val="nil"/>
              <w:left w:val="nil"/>
              <w:bottom w:val="nil"/>
              <w:right w:val="nil"/>
            </w:tcBorders>
            <w:shd w:val="clear" w:color="auto" w:fill="auto"/>
            <w:noWrap/>
            <w:vAlign w:val="bottom"/>
            <w:hideMark/>
          </w:tcPr>
          <w:p w14:paraId="47483959"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1,294</w:t>
            </w:r>
          </w:p>
        </w:tc>
        <w:tc>
          <w:tcPr>
            <w:tcW w:w="1285" w:type="dxa"/>
            <w:tcBorders>
              <w:top w:val="nil"/>
              <w:left w:val="nil"/>
              <w:bottom w:val="nil"/>
              <w:right w:val="nil"/>
            </w:tcBorders>
            <w:shd w:val="clear" w:color="auto" w:fill="auto"/>
            <w:noWrap/>
            <w:vAlign w:val="bottom"/>
            <w:hideMark/>
          </w:tcPr>
          <w:p w14:paraId="38CCEDA4"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2,006</w:t>
            </w:r>
          </w:p>
        </w:tc>
        <w:tc>
          <w:tcPr>
            <w:tcW w:w="1469" w:type="dxa"/>
            <w:tcBorders>
              <w:top w:val="nil"/>
              <w:left w:val="nil"/>
              <w:bottom w:val="nil"/>
              <w:right w:val="nil"/>
            </w:tcBorders>
            <w:shd w:val="clear" w:color="auto" w:fill="auto"/>
            <w:noWrap/>
            <w:vAlign w:val="bottom"/>
            <w:hideMark/>
          </w:tcPr>
          <w:p w14:paraId="28C56C0B"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710</w:t>
            </w:r>
          </w:p>
        </w:tc>
        <w:tc>
          <w:tcPr>
            <w:tcW w:w="1285" w:type="dxa"/>
            <w:tcBorders>
              <w:top w:val="nil"/>
              <w:left w:val="nil"/>
              <w:bottom w:val="nil"/>
              <w:right w:val="nil"/>
            </w:tcBorders>
            <w:shd w:val="clear" w:color="auto" w:fill="auto"/>
            <w:noWrap/>
            <w:vAlign w:val="bottom"/>
            <w:hideMark/>
          </w:tcPr>
          <w:p w14:paraId="38CEB611"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728</w:t>
            </w:r>
          </w:p>
        </w:tc>
        <w:tc>
          <w:tcPr>
            <w:tcW w:w="1408" w:type="dxa"/>
            <w:tcBorders>
              <w:top w:val="nil"/>
              <w:left w:val="nil"/>
              <w:bottom w:val="nil"/>
              <w:right w:val="nil"/>
            </w:tcBorders>
            <w:shd w:val="clear" w:color="auto" w:fill="auto"/>
            <w:noWrap/>
            <w:vAlign w:val="bottom"/>
            <w:hideMark/>
          </w:tcPr>
          <w:p w14:paraId="6D2B7C5F"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24DFE">
              <w:rPr>
                <w:rFonts w:eastAsia="Times New Roman" w:cs="Calibri"/>
                <w:color w:val="002060"/>
                <w:sz w:val="20"/>
              </w:rPr>
              <w:t>10,760</w:t>
            </w:r>
          </w:p>
        </w:tc>
      </w:tr>
      <w:tr w:rsidR="00C130FE" w:rsidRPr="00824DFE" w14:paraId="13875EFE" w14:textId="77777777" w:rsidTr="002F7131">
        <w:trPr>
          <w:trHeight w:val="20"/>
        </w:trPr>
        <w:tc>
          <w:tcPr>
            <w:tcW w:w="3257" w:type="dxa"/>
            <w:tcBorders>
              <w:top w:val="nil"/>
              <w:left w:val="nil"/>
              <w:bottom w:val="nil"/>
              <w:right w:val="nil"/>
            </w:tcBorders>
            <w:shd w:val="clear" w:color="auto" w:fill="auto"/>
            <w:noWrap/>
            <w:vAlign w:val="bottom"/>
            <w:hideMark/>
          </w:tcPr>
          <w:p w14:paraId="5063F72B"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5" w:type="dxa"/>
            <w:tcBorders>
              <w:top w:val="nil"/>
              <w:left w:val="single" w:sz="4" w:space="0" w:color="0070C0"/>
              <w:bottom w:val="nil"/>
              <w:right w:val="nil"/>
            </w:tcBorders>
            <w:shd w:val="clear" w:color="auto" w:fill="auto"/>
            <w:noWrap/>
            <w:vAlign w:val="bottom"/>
            <w:hideMark/>
          </w:tcPr>
          <w:p w14:paraId="260DFAFF"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bookmarkStart w:id="65" w:name="RANGE!B12:I32"/>
            <w:r w:rsidRPr="00824DFE">
              <w:rPr>
                <w:rFonts w:eastAsia="Times New Roman" w:cs="Calibri"/>
                <w:sz w:val="20"/>
              </w:rPr>
              <w:t> </w:t>
            </w:r>
            <w:bookmarkEnd w:id="65"/>
          </w:p>
        </w:tc>
        <w:tc>
          <w:tcPr>
            <w:tcW w:w="1285" w:type="dxa"/>
            <w:tcBorders>
              <w:top w:val="nil"/>
              <w:left w:val="nil"/>
              <w:bottom w:val="nil"/>
              <w:right w:val="nil"/>
            </w:tcBorders>
            <w:shd w:val="clear" w:color="auto" w:fill="auto"/>
            <w:noWrap/>
            <w:vAlign w:val="bottom"/>
            <w:hideMark/>
          </w:tcPr>
          <w:p w14:paraId="0162E254"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bottom"/>
            <w:hideMark/>
          </w:tcPr>
          <w:p w14:paraId="49917440"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6C259CE1"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7A00630A"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bottom"/>
            <w:hideMark/>
          </w:tcPr>
          <w:p w14:paraId="7BE467D9"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0470DB5C"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bottom"/>
            <w:hideMark/>
          </w:tcPr>
          <w:p w14:paraId="789BFEB5"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824DFE" w14:paraId="1690AEDD" w14:textId="77777777" w:rsidTr="002F7131">
        <w:trPr>
          <w:trHeight w:val="20"/>
        </w:trPr>
        <w:tc>
          <w:tcPr>
            <w:tcW w:w="3257" w:type="dxa"/>
            <w:tcBorders>
              <w:top w:val="nil"/>
              <w:left w:val="nil"/>
              <w:bottom w:val="nil"/>
              <w:right w:val="nil"/>
            </w:tcBorders>
            <w:shd w:val="clear" w:color="auto" w:fill="auto"/>
            <w:noWrap/>
            <w:vAlign w:val="bottom"/>
            <w:hideMark/>
          </w:tcPr>
          <w:p w14:paraId="4B53E5DA"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CD7402">
              <w:rPr>
                <w:rFonts w:cstheme="minorHAnsi"/>
                <w:sz w:val="20"/>
              </w:rPr>
              <w:t xml:space="preserve">2 - </w:t>
            </w:r>
            <w:r w:rsidRPr="00CD7402">
              <w:rPr>
                <w:rFonts w:cstheme="minorHAnsi"/>
                <w:sz w:val="20"/>
              </w:rPr>
              <w:t>其他人员费用</w:t>
            </w:r>
          </w:p>
        </w:tc>
        <w:tc>
          <w:tcPr>
            <w:tcW w:w="1405" w:type="dxa"/>
            <w:tcBorders>
              <w:top w:val="nil"/>
              <w:left w:val="single" w:sz="4" w:space="0" w:color="0070C0"/>
              <w:bottom w:val="nil"/>
              <w:right w:val="nil"/>
            </w:tcBorders>
            <w:shd w:val="clear" w:color="auto" w:fill="auto"/>
            <w:noWrap/>
            <w:vAlign w:val="bottom"/>
            <w:hideMark/>
          </w:tcPr>
          <w:p w14:paraId="6CA5C325"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2E3C5250"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892</w:t>
            </w:r>
          </w:p>
        </w:tc>
        <w:tc>
          <w:tcPr>
            <w:tcW w:w="1285" w:type="dxa"/>
            <w:tcBorders>
              <w:top w:val="nil"/>
              <w:left w:val="nil"/>
              <w:bottom w:val="nil"/>
              <w:right w:val="nil"/>
            </w:tcBorders>
            <w:shd w:val="clear" w:color="auto" w:fill="auto"/>
            <w:noWrap/>
            <w:vAlign w:val="bottom"/>
            <w:hideMark/>
          </w:tcPr>
          <w:p w14:paraId="5B2E81E1"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880</w:t>
            </w:r>
          </w:p>
        </w:tc>
        <w:tc>
          <w:tcPr>
            <w:tcW w:w="1285" w:type="dxa"/>
            <w:tcBorders>
              <w:top w:val="nil"/>
              <w:left w:val="nil"/>
              <w:bottom w:val="nil"/>
              <w:right w:val="nil"/>
            </w:tcBorders>
            <w:shd w:val="clear" w:color="auto" w:fill="auto"/>
            <w:noWrap/>
            <w:vAlign w:val="bottom"/>
            <w:hideMark/>
          </w:tcPr>
          <w:p w14:paraId="22398522"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382</w:t>
            </w:r>
          </w:p>
        </w:tc>
        <w:tc>
          <w:tcPr>
            <w:tcW w:w="1285" w:type="dxa"/>
            <w:tcBorders>
              <w:top w:val="nil"/>
              <w:left w:val="nil"/>
              <w:bottom w:val="nil"/>
              <w:right w:val="nil"/>
            </w:tcBorders>
            <w:shd w:val="clear" w:color="auto" w:fill="auto"/>
            <w:noWrap/>
            <w:vAlign w:val="bottom"/>
            <w:hideMark/>
          </w:tcPr>
          <w:p w14:paraId="13B52E83"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592</w:t>
            </w:r>
          </w:p>
        </w:tc>
        <w:tc>
          <w:tcPr>
            <w:tcW w:w="1469" w:type="dxa"/>
            <w:tcBorders>
              <w:top w:val="nil"/>
              <w:left w:val="nil"/>
              <w:bottom w:val="nil"/>
              <w:right w:val="nil"/>
            </w:tcBorders>
            <w:shd w:val="clear" w:color="auto" w:fill="auto"/>
            <w:noWrap/>
            <w:vAlign w:val="bottom"/>
            <w:hideMark/>
          </w:tcPr>
          <w:p w14:paraId="28C6242B"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206</w:t>
            </w:r>
          </w:p>
        </w:tc>
        <w:tc>
          <w:tcPr>
            <w:tcW w:w="1285" w:type="dxa"/>
            <w:tcBorders>
              <w:top w:val="nil"/>
              <w:left w:val="nil"/>
              <w:bottom w:val="nil"/>
              <w:right w:val="nil"/>
            </w:tcBorders>
            <w:shd w:val="clear" w:color="auto" w:fill="auto"/>
            <w:noWrap/>
            <w:vAlign w:val="bottom"/>
            <w:hideMark/>
          </w:tcPr>
          <w:p w14:paraId="54665186"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210</w:t>
            </w:r>
          </w:p>
        </w:tc>
        <w:tc>
          <w:tcPr>
            <w:tcW w:w="1408" w:type="dxa"/>
            <w:tcBorders>
              <w:top w:val="nil"/>
              <w:left w:val="nil"/>
              <w:bottom w:val="nil"/>
              <w:right w:val="nil"/>
            </w:tcBorders>
            <w:shd w:val="clear" w:color="auto" w:fill="auto"/>
            <w:noWrap/>
            <w:vAlign w:val="bottom"/>
            <w:hideMark/>
          </w:tcPr>
          <w:p w14:paraId="74525B97"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24DFE">
              <w:rPr>
                <w:rFonts w:eastAsia="Times New Roman" w:cs="Calibri"/>
                <w:color w:val="002060"/>
                <w:sz w:val="20"/>
              </w:rPr>
              <w:t>3,162</w:t>
            </w:r>
          </w:p>
        </w:tc>
      </w:tr>
      <w:tr w:rsidR="00C130FE" w:rsidRPr="00824DFE" w14:paraId="5C8704D0" w14:textId="77777777" w:rsidTr="002F7131">
        <w:trPr>
          <w:trHeight w:val="20"/>
        </w:trPr>
        <w:tc>
          <w:tcPr>
            <w:tcW w:w="3257" w:type="dxa"/>
            <w:tcBorders>
              <w:top w:val="nil"/>
              <w:left w:val="nil"/>
              <w:bottom w:val="nil"/>
              <w:right w:val="nil"/>
            </w:tcBorders>
            <w:shd w:val="clear" w:color="auto" w:fill="auto"/>
            <w:noWrap/>
            <w:vAlign w:val="bottom"/>
            <w:hideMark/>
          </w:tcPr>
          <w:p w14:paraId="47910344"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5" w:type="dxa"/>
            <w:tcBorders>
              <w:top w:val="nil"/>
              <w:left w:val="single" w:sz="4" w:space="0" w:color="0070C0"/>
              <w:bottom w:val="nil"/>
              <w:right w:val="nil"/>
            </w:tcBorders>
            <w:shd w:val="clear" w:color="auto" w:fill="auto"/>
            <w:noWrap/>
            <w:vAlign w:val="bottom"/>
            <w:hideMark/>
          </w:tcPr>
          <w:p w14:paraId="21371D46"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5A6ACA8A"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bottom"/>
            <w:hideMark/>
          </w:tcPr>
          <w:p w14:paraId="4DE8EE3E"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7C089FC1"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71E5AA25"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bottom"/>
            <w:hideMark/>
          </w:tcPr>
          <w:p w14:paraId="12BD312D"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7F1435D4"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bottom"/>
            <w:hideMark/>
          </w:tcPr>
          <w:p w14:paraId="456205D8"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824DFE" w14:paraId="4DBB3CDF" w14:textId="77777777" w:rsidTr="002F7131">
        <w:trPr>
          <w:trHeight w:val="20"/>
        </w:trPr>
        <w:tc>
          <w:tcPr>
            <w:tcW w:w="3257" w:type="dxa"/>
            <w:tcBorders>
              <w:top w:val="nil"/>
              <w:left w:val="nil"/>
              <w:bottom w:val="nil"/>
              <w:right w:val="nil"/>
            </w:tcBorders>
            <w:shd w:val="clear" w:color="auto" w:fill="auto"/>
            <w:noWrap/>
            <w:vAlign w:val="bottom"/>
            <w:hideMark/>
          </w:tcPr>
          <w:p w14:paraId="42D07521"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CD7402">
              <w:rPr>
                <w:rFonts w:cstheme="minorHAnsi"/>
                <w:sz w:val="20"/>
              </w:rPr>
              <w:t xml:space="preserve">3 - </w:t>
            </w:r>
            <w:r w:rsidRPr="00CD7402">
              <w:rPr>
                <w:rFonts w:cstheme="minorHAnsi"/>
                <w:sz w:val="20"/>
              </w:rPr>
              <w:t>公务差旅</w:t>
            </w:r>
          </w:p>
        </w:tc>
        <w:tc>
          <w:tcPr>
            <w:tcW w:w="1405" w:type="dxa"/>
            <w:tcBorders>
              <w:top w:val="nil"/>
              <w:left w:val="single" w:sz="4" w:space="0" w:color="0070C0"/>
              <w:bottom w:val="nil"/>
              <w:right w:val="nil"/>
            </w:tcBorders>
            <w:shd w:val="clear" w:color="auto" w:fill="auto"/>
            <w:noWrap/>
            <w:vAlign w:val="bottom"/>
            <w:hideMark/>
          </w:tcPr>
          <w:p w14:paraId="522A5D76"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3E5055FA"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100</w:t>
            </w:r>
          </w:p>
        </w:tc>
        <w:tc>
          <w:tcPr>
            <w:tcW w:w="1285" w:type="dxa"/>
            <w:tcBorders>
              <w:top w:val="nil"/>
              <w:left w:val="nil"/>
              <w:bottom w:val="nil"/>
              <w:right w:val="nil"/>
            </w:tcBorders>
            <w:shd w:val="clear" w:color="auto" w:fill="auto"/>
            <w:noWrap/>
            <w:vAlign w:val="bottom"/>
            <w:hideMark/>
          </w:tcPr>
          <w:p w14:paraId="2AFF370E"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98</w:t>
            </w:r>
          </w:p>
        </w:tc>
        <w:tc>
          <w:tcPr>
            <w:tcW w:w="1285" w:type="dxa"/>
            <w:tcBorders>
              <w:top w:val="nil"/>
              <w:left w:val="nil"/>
              <w:bottom w:val="nil"/>
              <w:right w:val="nil"/>
            </w:tcBorders>
            <w:shd w:val="clear" w:color="auto" w:fill="auto"/>
            <w:noWrap/>
            <w:vAlign w:val="bottom"/>
            <w:hideMark/>
          </w:tcPr>
          <w:p w14:paraId="1BEFE8C2"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64</w:t>
            </w:r>
          </w:p>
        </w:tc>
        <w:tc>
          <w:tcPr>
            <w:tcW w:w="1285" w:type="dxa"/>
            <w:tcBorders>
              <w:top w:val="nil"/>
              <w:left w:val="nil"/>
              <w:bottom w:val="nil"/>
              <w:right w:val="nil"/>
            </w:tcBorders>
            <w:shd w:val="clear" w:color="auto" w:fill="auto"/>
            <w:noWrap/>
            <w:vAlign w:val="bottom"/>
            <w:hideMark/>
          </w:tcPr>
          <w:p w14:paraId="5DC117B1"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72</w:t>
            </w:r>
          </w:p>
        </w:tc>
        <w:tc>
          <w:tcPr>
            <w:tcW w:w="1469" w:type="dxa"/>
            <w:tcBorders>
              <w:top w:val="nil"/>
              <w:left w:val="nil"/>
              <w:bottom w:val="nil"/>
              <w:right w:val="nil"/>
            </w:tcBorders>
            <w:shd w:val="clear" w:color="auto" w:fill="auto"/>
            <w:noWrap/>
            <w:vAlign w:val="bottom"/>
            <w:hideMark/>
          </w:tcPr>
          <w:p w14:paraId="53B6CA80"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44</w:t>
            </w:r>
          </w:p>
        </w:tc>
        <w:tc>
          <w:tcPr>
            <w:tcW w:w="1285" w:type="dxa"/>
            <w:tcBorders>
              <w:top w:val="nil"/>
              <w:left w:val="nil"/>
              <w:bottom w:val="nil"/>
              <w:right w:val="nil"/>
            </w:tcBorders>
            <w:shd w:val="clear" w:color="auto" w:fill="auto"/>
            <w:noWrap/>
            <w:vAlign w:val="bottom"/>
            <w:hideMark/>
          </w:tcPr>
          <w:p w14:paraId="26836B3D"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36</w:t>
            </w:r>
          </w:p>
        </w:tc>
        <w:tc>
          <w:tcPr>
            <w:tcW w:w="1408" w:type="dxa"/>
            <w:tcBorders>
              <w:top w:val="nil"/>
              <w:left w:val="nil"/>
              <w:bottom w:val="nil"/>
              <w:right w:val="nil"/>
            </w:tcBorders>
            <w:shd w:val="clear" w:color="auto" w:fill="auto"/>
            <w:noWrap/>
            <w:vAlign w:val="bottom"/>
            <w:hideMark/>
          </w:tcPr>
          <w:p w14:paraId="1AB5DBBA"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24DFE">
              <w:rPr>
                <w:rFonts w:eastAsia="Times New Roman" w:cs="Calibri"/>
                <w:color w:val="002060"/>
                <w:sz w:val="20"/>
              </w:rPr>
              <w:t>414</w:t>
            </w:r>
          </w:p>
        </w:tc>
      </w:tr>
      <w:tr w:rsidR="00C130FE" w:rsidRPr="00824DFE" w14:paraId="7CA41DF4" w14:textId="77777777" w:rsidTr="002F7131">
        <w:trPr>
          <w:trHeight w:val="20"/>
        </w:trPr>
        <w:tc>
          <w:tcPr>
            <w:tcW w:w="3257" w:type="dxa"/>
            <w:tcBorders>
              <w:top w:val="nil"/>
              <w:left w:val="nil"/>
              <w:bottom w:val="nil"/>
              <w:right w:val="nil"/>
            </w:tcBorders>
            <w:shd w:val="clear" w:color="auto" w:fill="auto"/>
            <w:noWrap/>
            <w:vAlign w:val="bottom"/>
            <w:hideMark/>
          </w:tcPr>
          <w:p w14:paraId="231B09BC"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5" w:type="dxa"/>
            <w:tcBorders>
              <w:top w:val="nil"/>
              <w:left w:val="single" w:sz="4" w:space="0" w:color="0070C0"/>
              <w:bottom w:val="nil"/>
              <w:right w:val="nil"/>
            </w:tcBorders>
            <w:shd w:val="clear" w:color="auto" w:fill="auto"/>
            <w:noWrap/>
            <w:vAlign w:val="bottom"/>
            <w:hideMark/>
          </w:tcPr>
          <w:p w14:paraId="5F513927"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4A0A6E6D"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bottom"/>
            <w:hideMark/>
          </w:tcPr>
          <w:p w14:paraId="0D3B1C99"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2FC4DA9F"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2E03D2B7"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bottom"/>
            <w:hideMark/>
          </w:tcPr>
          <w:p w14:paraId="63B77EDC"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118AA999"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bottom"/>
            <w:hideMark/>
          </w:tcPr>
          <w:p w14:paraId="0F9906BC"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824DFE" w14:paraId="64012EB2" w14:textId="77777777" w:rsidTr="002F7131">
        <w:trPr>
          <w:trHeight w:val="20"/>
        </w:trPr>
        <w:tc>
          <w:tcPr>
            <w:tcW w:w="3257" w:type="dxa"/>
            <w:tcBorders>
              <w:top w:val="nil"/>
              <w:left w:val="nil"/>
              <w:bottom w:val="nil"/>
              <w:right w:val="nil"/>
            </w:tcBorders>
            <w:shd w:val="clear" w:color="auto" w:fill="auto"/>
            <w:noWrap/>
            <w:vAlign w:val="bottom"/>
            <w:hideMark/>
          </w:tcPr>
          <w:p w14:paraId="3F1E1AAB"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CD7402">
              <w:rPr>
                <w:rFonts w:cstheme="minorHAnsi"/>
                <w:sz w:val="20"/>
              </w:rPr>
              <w:t xml:space="preserve">4 - </w:t>
            </w:r>
            <w:r w:rsidRPr="00CD7402">
              <w:rPr>
                <w:rFonts w:cstheme="minorHAnsi"/>
                <w:sz w:val="20"/>
              </w:rPr>
              <w:t>合同服务</w:t>
            </w:r>
          </w:p>
        </w:tc>
        <w:tc>
          <w:tcPr>
            <w:tcW w:w="1405" w:type="dxa"/>
            <w:tcBorders>
              <w:top w:val="nil"/>
              <w:left w:val="single" w:sz="4" w:space="0" w:color="0070C0"/>
              <w:bottom w:val="nil"/>
              <w:right w:val="nil"/>
            </w:tcBorders>
            <w:shd w:val="clear" w:color="auto" w:fill="auto"/>
            <w:noWrap/>
            <w:vAlign w:val="bottom"/>
            <w:hideMark/>
          </w:tcPr>
          <w:p w14:paraId="00F1E3DF"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5ABF9C01"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42</w:t>
            </w:r>
          </w:p>
        </w:tc>
        <w:tc>
          <w:tcPr>
            <w:tcW w:w="1285" w:type="dxa"/>
            <w:tcBorders>
              <w:top w:val="nil"/>
              <w:left w:val="nil"/>
              <w:bottom w:val="nil"/>
              <w:right w:val="nil"/>
            </w:tcBorders>
            <w:shd w:val="clear" w:color="auto" w:fill="auto"/>
            <w:noWrap/>
            <w:vAlign w:val="bottom"/>
            <w:hideMark/>
          </w:tcPr>
          <w:p w14:paraId="03D0C2D6"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8</w:t>
            </w:r>
          </w:p>
        </w:tc>
        <w:tc>
          <w:tcPr>
            <w:tcW w:w="1285" w:type="dxa"/>
            <w:tcBorders>
              <w:top w:val="nil"/>
              <w:left w:val="nil"/>
              <w:bottom w:val="nil"/>
              <w:right w:val="nil"/>
            </w:tcBorders>
            <w:shd w:val="clear" w:color="auto" w:fill="auto"/>
            <w:noWrap/>
            <w:vAlign w:val="bottom"/>
            <w:hideMark/>
          </w:tcPr>
          <w:p w14:paraId="7ACF3CF8"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10</w:t>
            </w:r>
          </w:p>
        </w:tc>
        <w:tc>
          <w:tcPr>
            <w:tcW w:w="1285" w:type="dxa"/>
            <w:tcBorders>
              <w:top w:val="nil"/>
              <w:left w:val="nil"/>
              <w:bottom w:val="nil"/>
              <w:right w:val="nil"/>
            </w:tcBorders>
            <w:shd w:val="clear" w:color="auto" w:fill="auto"/>
            <w:noWrap/>
            <w:vAlign w:val="bottom"/>
            <w:hideMark/>
          </w:tcPr>
          <w:p w14:paraId="7B62DCE4"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6</w:t>
            </w:r>
          </w:p>
        </w:tc>
        <w:tc>
          <w:tcPr>
            <w:tcW w:w="1469" w:type="dxa"/>
            <w:tcBorders>
              <w:top w:val="nil"/>
              <w:left w:val="nil"/>
              <w:bottom w:val="nil"/>
              <w:right w:val="nil"/>
            </w:tcBorders>
            <w:shd w:val="clear" w:color="auto" w:fill="auto"/>
            <w:noWrap/>
            <w:vAlign w:val="bottom"/>
            <w:hideMark/>
          </w:tcPr>
          <w:p w14:paraId="1AC11F20"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6</w:t>
            </w:r>
          </w:p>
        </w:tc>
        <w:tc>
          <w:tcPr>
            <w:tcW w:w="1285" w:type="dxa"/>
            <w:tcBorders>
              <w:top w:val="nil"/>
              <w:left w:val="nil"/>
              <w:bottom w:val="nil"/>
              <w:right w:val="nil"/>
            </w:tcBorders>
            <w:shd w:val="clear" w:color="auto" w:fill="auto"/>
            <w:noWrap/>
            <w:vAlign w:val="bottom"/>
            <w:hideMark/>
          </w:tcPr>
          <w:p w14:paraId="7DD3D1AF"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0</w:t>
            </w:r>
          </w:p>
        </w:tc>
        <w:tc>
          <w:tcPr>
            <w:tcW w:w="1408" w:type="dxa"/>
            <w:tcBorders>
              <w:top w:val="nil"/>
              <w:left w:val="nil"/>
              <w:bottom w:val="nil"/>
              <w:right w:val="nil"/>
            </w:tcBorders>
            <w:shd w:val="clear" w:color="auto" w:fill="auto"/>
            <w:noWrap/>
            <w:vAlign w:val="bottom"/>
            <w:hideMark/>
          </w:tcPr>
          <w:p w14:paraId="42201638"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24DFE">
              <w:rPr>
                <w:rFonts w:eastAsia="Times New Roman" w:cs="Calibri"/>
                <w:color w:val="002060"/>
                <w:sz w:val="20"/>
              </w:rPr>
              <w:t>72</w:t>
            </w:r>
          </w:p>
        </w:tc>
      </w:tr>
      <w:tr w:rsidR="00C130FE" w:rsidRPr="00824DFE" w14:paraId="52130202" w14:textId="77777777" w:rsidTr="002F7131">
        <w:trPr>
          <w:trHeight w:val="20"/>
        </w:trPr>
        <w:tc>
          <w:tcPr>
            <w:tcW w:w="3257" w:type="dxa"/>
            <w:tcBorders>
              <w:top w:val="nil"/>
              <w:left w:val="nil"/>
              <w:bottom w:val="nil"/>
              <w:right w:val="nil"/>
            </w:tcBorders>
            <w:shd w:val="clear" w:color="auto" w:fill="auto"/>
            <w:noWrap/>
            <w:vAlign w:val="bottom"/>
            <w:hideMark/>
          </w:tcPr>
          <w:p w14:paraId="1C694007"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5" w:type="dxa"/>
            <w:tcBorders>
              <w:top w:val="nil"/>
              <w:left w:val="single" w:sz="4" w:space="0" w:color="0070C0"/>
              <w:bottom w:val="nil"/>
              <w:right w:val="nil"/>
            </w:tcBorders>
            <w:shd w:val="clear" w:color="auto" w:fill="auto"/>
            <w:noWrap/>
            <w:vAlign w:val="bottom"/>
            <w:hideMark/>
          </w:tcPr>
          <w:p w14:paraId="0CCA0C76"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3E4CBC05"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bottom"/>
            <w:hideMark/>
          </w:tcPr>
          <w:p w14:paraId="20D5EBA7"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49BE255B"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1EABFD09"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bottom"/>
            <w:hideMark/>
          </w:tcPr>
          <w:p w14:paraId="4717081A"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599EB25F"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bottom"/>
            <w:hideMark/>
          </w:tcPr>
          <w:p w14:paraId="382DDA0D"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824DFE" w14:paraId="7730A516" w14:textId="77777777" w:rsidTr="002F7131">
        <w:trPr>
          <w:trHeight w:val="20"/>
        </w:trPr>
        <w:tc>
          <w:tcPr>
            <w:tcW w:w="3257" w:type="dxa"/>
            <w:tcBorders>
              <w:top w:val="nil"/>
              <w:left w:val="nil"/>
              <w:bottom w:val="nil"/>
              <w:right w:val="nil"/>
            </w:tcBorders>
            <w:shd w:val="clear" w:color="auto" w:fill="auto"/>
            <w:vAlign w:val="bottom"/>
            <w:hideMark/>
          </w:tcPr>
          <w:p w14:paraId="3E40E609"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CD7402">
              <w:rPr>
                <w:rFonts w:cstheme="minorHAnsi"/>
                <w:sz w:val="20"/>
                <w:lang w:eastAsia="zh-CN"/>
              </w:rPr>
              <w:t xml:space="preserve">5 - </w:t>
            </w:r>
            <w:r w:rsidRPr="00CD7402">
              <w:rPr>
                <w:rFonts w:cstheme="minorHAnsi"/>
                <w:sz w:val="20"/>
                <w:lang w:eastAsia="zh-CN"/>
              </w:rPr>
              <w:t>房屋设施和设备的租用与维护</w:t>
            </w:r>
          </w:p>
        </w:tc>
        <w:tc>
          <w:tcPr>
            <w:tcW w:w="1405" w:type="dxa"/>
            <w:tcBorders>
              <w:top w:val="nil"/>
              <w:left w:val="single" w:sz="4" w:space="0" w:color="0070C0"/>
              <w:bottom w:val="nil"/>
              <w:right w:val="nil"/>
            </w:tcBorders>
            <w:shd w:val="clear" w:color="auto" w:fill="auto"/>
            <w:noWrap/>
            <w:vAlign w:val="bottom"/>
            <w:hideMark/>
          </w:tcPr>
          <w:p w14:paraId="5AC5C2E8"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r w:rsidRPr="00824DFE">
              <w:rPr>
                <w:rFonts w:eastAsia="Times New Roman" w:cs="Calibri"/>
                <w:sz w:val="20"/>
                <w:lang w:eastAsia="zh-CN"/>
              </w:rPr>
              <w:t> </w:t>
            </w:r>
          </w:p>
        </w:tc>
        <w:tc>
          <w:tcPr>
            <w:tcW w:w="1285" w:type="dxa"/>
            <w:tcBorders>
              <w:top w:val="nil"/>
              <w:left w:val="nil"/>
              <w:bottom w:val="nil"/>
              <w:right w:val="nil"/>
            </w:tcBorders>
            <w:shd w:val="clear" w:color="auto" w:fill="auto"/>
            <w:noWrap/>
            <w:vAlign w:val="bottom"/>
            <w:hideMark/>
          </w:tcPr>
          <w:p w14:paraId="6FD31DBD"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56</w:t>
            </w:r>
          </w:p>
        </w:tc>
        <w:tc>
          <w:tcPr>
            <w:tcW w:w="1285" w:type="dxa"/>
            <w:tcBorders>
              <w:top w:val="nil"/>
              <w:left w:val="nil"/>
              <w:bottom w:val="nil"/>
              <w:right w:val="nil"/>
            </w:tcBorders>
            <w:shd w:val="clear" w:color="auto" w:fill="auto"/>
            <w:noWrap/>
            <w:vAlign w:val="bottom"/>
            <w:hideMark/>
          </w:tcPr>
          <w:p w14:paraId="1128C53D"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20</w:t>
            </w:r>
          </w:p>
        </w:tc>
        <w:tc>
          <w:tcPr>
            <w:tcW w:w="1285" w:type="dxa"/>
            <w:tcBorders>
              <w:top w:val="nil"/>
              <w:left w:val="nil"/>
              <w:bottom w:val="nil"/>
              <w:right w:val="nil"/>
            </w:tcBorders>
            <w:shd w:val="clear" w:color="auto" w:fill="auto"/>
            <w:noWrap/>
            <w:vAlign w:val="bottom"/>
            <w:hideMark/>
          </w:tcPr>
          <w:p w14:paraId="64236616"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8</w:t>
            </w:r>
          </w:p>
        </w:tc>
        <w:tc>
          <w:tcPr>
            <w:tcW w:w="1285" w:type="dxa"/>
            <w:tcBorders>
              <w:top w:val="nil"/>
              <w:left w:val="nil"/>
              <w:bottom w:val="nil"/>
              <w:right w:val="nil"/>
            </w:tcBorders>
            <w:shd w:val="clear" w:color="auto" w:fill="auto"/>
            <w:noWrap/>
            <w:vAlign w:val="bottom"/>
            <w:hideMark/>
          </w:tcPr>
          <w:p w14:paraId="3D104B49"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12</w:t>
            </w:r>
          </w:p>
        </w:tc>
        <w:tc>
          <w:tcPr>
            <w:tcW w:w="1469" w:type="dxa"/>
            <w:tcBorders>
              <w:top w:val="nil"/>
              <w:left w:val="nil"/>
              <w:bottom w:val="nil"/>
              <w:right w:val="nil"/>
            </w:tcBorders>
            <w:shd w:val="clear" w:color="auto" w:fill="auto"/>
            <w:noWrap/>
            <w:vAlign w:val="bottom"/>
            <w:hideMark/>
          </w:tcPr>
          <w:p w14:paraId="3524FB93"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2</w:t>
            </w:r>
          </w:p>
        </w:tc>
        <w:tc>
          <w:tcPr>
            <w:tcW w:w="1285" w:type="dxa"/>
            <w:tcBorders>
              <w:top w:val="nil"/>
              <w:left w:val="nil"/>
              <w:bottom w:val="nil"/>
              <w:right w:val="nil"/>
            </w:tcBorders>
            <w:shd w:val="clear" w:color="auto" w:fill="auto"/>
            <w:noWrap/>
            <w:vAlign w:val="bottom"/>
            <w:hideMark/>
          </w:tcPr>
          <w:p w14:paraId="66D3F7E3"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0</w:t>
            </w:r>
          </w:p>
        </w:tc>
        <w:tc>
          <w:tcPr>
            <w:tcW w:w="1408" w:type="dxa"/>
            <w:tcBorders>
              <w:top w:val="nil"/>
              <w:left w:val="nil"/>
              <w:bottom w:val="nil"/>
              <w:right w:val="nil"/>
            </w:tcBorders>
            <w:shd w:val="clear" w:color="auto" w:fill="auto"/>
            <w:noWrap/>
            <w:vAlign w:val="bottom"/>
            <w:hideMark/>
          </w:tcPr>
          <w:p w14:paraId="6CD9B639"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24DFE">
              <w:rPr>
                <w:rFonts w:eastAsia="Times New Roman" w:cs="Calibri"/>
                <w:color w:val="002060"/>
                <w:sz w:val="20"/>
              </w:rPr>
              <w:t>98</w:t>
            </w:r>
          </w:p>
        </w:tc>
      </w:tr>
      <w:tr w:rsidR="00C130FE" w:rsidRPr="00824DFE" w14:paraId="0BDDB867" w14:textId="77777777" w:rsidTr="002F7131">
        <w:trPr>
          <w:trHeight w:val="20"/>
        </w:trPr>
        <w:tc>
          <w:tcPr>
            <w:tcW w:w="3257" w:type="dxa"/>
            <w:tcBorders>
              <w:top w:val="nil"/>
              <w:left w:val="nil"/>
              <w:bottom w:val="nil"/>
              <w:right w:val="nil"/>
            </w:tcBorders>
            <w:shd w:val="clear" w:color="auto" w:fill="auto"/>
            <w:noWrap/>
            <w:vAlign w:val="bottom"/>
            <w:hideMark/>
          </w:tcPr>
          <w:p w14:paraId="203A2AEA"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5" w:type="dxa"/>
            <w:tcBorders>
              <w:top w:val="nil"/>
              <w:left w:val="single" w:sz="4" w:space="0" w:color="0070C0"/>
              <w:bottom w:val="nil"/>
              <w:right w:val="nil"/>
            </w:tcBorders>
            <w:shd w:val="clear" w:color="auto" w:fill="auto"/>
            <w:noWrap/>
            <w:vAlign w:val="bottom"/>
            <w:hideMark/>
          </w:tcPr>
          <w:p w14:paraId="728D1877"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29F075AF"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bottom"/>
            <w:hideMark/>
          </w:tcPr>
          <w:p w14:paraId="08DF7625"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7FC42C6C"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23E93A46"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bottom"/>
            <w:hideMark/>
          </w:tcPr>
          <w:p w14:paraId="456D5FD4"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10021E09"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bottom"/>
            <w:hideMark/>
          </w:tcPr>
          <w:p w14:paraId="3C4706D4"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824DFE" w14:paraId="68D14A0B" w14:textId="77777777" w:rsidTr="002F7131">
        <w:trPr>
          <w:trHeight w:val="20"/>
        </w:trPr>
        <w:tc>
          <w:tcPr>
            <w:tcW w:w="3257" w:type="dxa"/>
            <w:tcBorders>
              <w:top w:val="nil"/>
              <w:left w:val="nil"/>
              <w:bottom w:val="nil"/>
              <w:right w:val="nil"/>
            </w:tcBorders>
            <w:shd w:val="clear" w:color="auto" w:fill="auto"/>
            <w:noWrap/>
            <w:vAlign w:val="bottom"/>
            <w:hideMark/>
          </w:tcPr>
          <w:p w14:paraId="53F80289"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CD7402">
              <w:rPr>
                <w:rFonts w:cstheme="minorHAnsi"/>
                <w:sz w:val="20"/>
              </w:rPr>
              <w:t xml:space="preserve">6 - </w:t>
            </w:r>
            <w:r w:rsidRPr="00CD7402">
              <w:rPr>
                <w:rFonts w:cstheme="minorHAnsi"/>
                <w:sz w:val="20"/>
              </w:rPr>
              <w:t>材料和办公用品</w:t>
            </w:r>
          </w:p>
        </w:tc>
        <w:tc>
          <w:tcPr>
            <w:tcW w:w="1405" w:type="dxa"/>
            <w:tcBorders>
              <w:top w:val="nil"/>
              <w:left w:val="single" w:sz="4" w:space="0" w:color="0070C0"/>
              <w:bottom w:val="nil"/>
              <w:right w:val="nil"/>
            </w:tcBorders>
            <w:shd w:val="clear" w:color="auto" w:fill="auto"/>
            <w:noWrap/>
            <w:vAlign w:val="bottom"/>
            <w:hideMark/>
          </w:tcPr>
          <w:p w14:paraId="6C8627AB"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71ACCC85"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38</w:t>
            </w:r>
          </w:p>
        </w:tc>
        <w:tc>
          <w:tcPr>
            <w:tcW w:w="1285" w:type="dxa"/>
            <w:tcBorders>
              <w:top w:val="nil"/>
              <w:left w:val="nil"/>
              <w:bottom w:val="nil"/>
              <w:right w:val="nil"/>
            </w:tcBorders>
            <w:shd w:val="clear" w:color="auto" w:fill="auto"/>
            <w:noWrap/>
            <w:vAlign w:val="bottom"/>
            <w:hideMark/>
          </w:tcPr>
          <w:p w14:paraId="0D2EFED5"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22</w:t>
            </w:r>
          </w:p>
        </w:tc>
        <w:tc>
          <w:tcPr>
            <w:tcW w:w="1285" w:type="dxa"/>
            <w:tcBorders>
              <w:top w:val="nil"/>
              <w:left w:val="nil"/>
              <w:bottom w:val="nil"/>
              <w:right w:val="nil"/>
            </w:tcBorders>
            <w:shd w:val="clear" w:color="auto" w:fill="auto"/>
            <w:noWrap/>
            <w:vAlign w:val="bottom"/>
            <w:hideMark/>
          </w:tcPr>
          <w:p w14:paraId="5EF2F63D"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6</w:t>
            </w:r>
          </w:p>
        </w:tc>
        <w:tc>
          <w:tcPr>
            <w:tcW w:w="1285" w:type="dxa"/>
            <w:tcBorders>
              <w:top w:val="nil"/>
              <w:left w:val="nil"/>
              <w:bottom w:val="nil"/>
              <w:right w:val="nil"/>
            </w:tcBorders>
            <w:shd w:val="clear" w:color="auto" w:fill="auto"/>
            <w:noWrap/>
            <w:vAlign w:val="bottom"/>
            <w:hideMark/>
          </w:tcPr>
          <w:p w14:paraId="29DD593A"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8</w:t>
            </w:r>
          </w:p>
        </w:tc>
        <w:tc>
          <w:tcPr>
            <w:tcW w:w="1469" w:type="dxa"/>
            <w:tcBorders>
              <w:top w:val="nil"/>
              <w:left w:val="nil"/>
              <w:bottom w:val="nil"/>
              <w:right w:val="nil"/>
            </w:tcBorders>
            <w:shd w:val="clear" w:color="auto" w:fill="auto"/>
            <w:noWrap/>
            <w:vAlign w:val="bottom"/>
            <w:hideMark/>
          </w:tcPr>
          <w:p w14:paraId="2BB4E275"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10</w:t>
            </w:r>
          </w:p>
        </w:tc>
        <w:tc>
          <w:tcPr>
            <w:tcW w:w="1285" w:type="dxa"/>
            <w:tcBorders>
              <w:top w:val="nil"/>
              <w:left w:val="nil"/>
              <w:bottom w:val="nil"/>
              <w:right w:val="nil"/>
            </w:tcBorders>
            <w:shd w:val="clear" w:color="auto" w:fill="auto"/>
            <w:noWrap/>
            <w:vAlign w:val="bottom"/>
            <w:hideMark/>
          </w:tcPr>
          <w:p w14:paraId="55607AEB"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4</w:t>
            </w:r>
          </w:p>
        </w:tc>
        <w:tc>
          <w:tcPr>
            <w:tcW w:w="1408" w:type="dxa"/>
            <w:tcBorders>
              <w:top w:val="nil"/>
              <w:left w:val="nil"/>
              <w:bottom w:val="nil"/>
              <w:right w:val="nil"/>
            </w:tcBorders>
            <w:shd w:val="clear" w:color="auto" w:fill="auto"/>
            <w:noWrap/>
            <w:vAlign w:val="bottom"/>
            <w:hideMark/>
          </w:tcPr>
          <w:p w14:paraId="71587018"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24DFE">
              <w:rPr>
                <w:rFonts w:eastAsia="Times New Roman" w:cs="Calibri"/>
                <w:color w:val="002060"/>
                <w:sz w:val="20"/>
              </w:rPr>
              <w:t>88</w:t>
            </w:r>
          </w:p>
        </w:tc>
      </w:tr>
      <w:tr w:rsidR="00C130FE" w:rsidRPr="00824DFE" w14:paraId="168C07AE" w14:textId="77777777" w:rsidTr="002F7131">
        <w:trPr>
          <w:trHeight w:val="20"/>
        </w:trPr>
        <w:tc>
          <w:tcPr>
            <w:tcW w:w="3257" w:type="dxa"/>
            <w:tcBorders>
              <w:top w:val="nil"/>
              <w:left w:val="nil"/>
              <w:bottom w:val="nil"/>
              <w:right w:val="nil"/>
            </w:tcBorders>
            <w:shd w:val="clear" w:color="auto" w:fill="auto"/>
            <w:noWrap/>
            <w:vAlign w:val="bottom"/>
            <w:hideMark/>
          </w:tcPr>
          <w:p w14:paraId="4012759E"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5" w:type="dxa"/>
            <w:tcBorders>
              <w:top w:val="nil"/>
              <w:left w:val="single" w:sz="4" w:space="0" w:color="0070C0"/>
              <w:bottom w:val="nil"/>
              <w:right w:val="nil"/>
            </w:tcBorders>
            <w:shd w:val="clear" w:color="auto" w:fill="auto"/>
            <w:noWrap/>
            <w:vAlign w:val="bottom"/>
            <w:hideMark/>
          </w:tcPr>
          <w:p w14:paraId="1F36FE46"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1BC58F09"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bottom"/>
            <w:hideMark/>
          </w:tcPr>
          <w:p w14:paraId="050D0A50"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605161D2"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2D22AF6C"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bottom"/>
            <w:hideMark/>
          </w:tcPr>
          <w:p w14:paraId="26B09EEC"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60CD91A8"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bottom"/>
            <w:hideMark/>
          </w:tcPr>
          <w:p w14:paraId="4959D6A3"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824DFE" w14:paraId="7A97F902" w14:textId="77777777" w:rsidTr="002F7131">
        <w:trPr>
          <w:trHeight w:val="20"/>
        </w:trPr>
        <w:tc>
          <w:tcPr>
            <w:tcW w:w="3257" w:type="dxa"/>
            <w:tcBorders>
              <w:top w:val="nil"/>
              <w:left w:val="nil"/>
              <w:bottom w:val="nil"/>
              <w:right w:val="nil"/>
            </w:tcBorders>
            <w:shd w:val="clear" w:color="auto" w:fill="auto"/>
            <w:vAlign w:val="bottom"/>
            <w:hideMark/>
          </w:tcPr>
          <w:p w14:paraId="150F573C"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Pr>
                <w:rFonts w:cstheme="minorHAnsi"/>
                <w:sz w:val="20"/>
                <w:lang w:eastAsia="zh-CN"/>
              </w:rPr>
              <w:t xml:space="preserve">7 - </w:t>
            </w:r>
            <w:r w:rsidRPr="00CD7402">
              <w:rPr>
                <w:rFonts w:cstheme="minorHAnsi"/>
                <w:sz w:val="20"/>
                <w:lang w:eastAsia="zh-CN"/>
              </w:rPr>
              <w:t>房屋设施、家具和设备的采购</w:t>
            </w:r>
          </w:p>
        </w:tc>
        <w:tc>
          <w:tcPr>
            <w:tcW w:w="1405" w:type="dxa"/>
            <w:tcBorders>
              <w:top w:val="nil"/>
              <w:left w:val="single" w:sz="4" w:space="0" w:color="0070C0"/>
              <w:bottom w:val="nil"/>
              <w:right w:val="nil"/>
            </w:tcBorders>
            <w:shd w:val="clear" w:color="auto" w:fill="auto"/>
            <w:noWrap/>
            <w:vAlign w:val="bottom"/>
            <w:hideMark/>
          </w:tcPr>
          <w:p w14:paraId="0892550B"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115</w:t>
            </w:r>
          </w:p>
        </w:tc>
        <w:tc>
          <w:tcPr>
            <w:tcW w:w="1285" w:type="dxa"/>
            <w:tcBorders>
              <w:top w:val="nil"/>
              <w:left w:val="nil"/>
              <w:bottom w:val="nil"/>
              <w:right w:val="nil"/>
            </w:tcBorders>
            <w:shd w:val="clear" w:color="auto" w:fill="auto"/>
            <w:noWrap/>
            <w:vAlign w:val="bottom"/>
            <w:hideMark/>
          </w:tcPr>
          <w:p w14:paraId="70D53BF8"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0</w:t>
            </w:r>
          </w:p>
        </w:tc>
        <w:tc>
          <w:tcPr>
            <w:tcW w:w="1285" w:type="dxa"/>
            <w:tcBorders>
              <w:top w:val="nil"/>
              <w:left w:val="nil"/>
              <w:bottom w:val="nil"/>
              <w:right w:val="nil"/>
            </w:tcBorders>
            <w:shd w:val="clear" w:color="auto" w:fill="auto"/>
            <w:noWrap/>
            <w:vAlign w:val="bottom"/>
            <w:hideMark/>
          </w:tcPr>
          <w:p w14:paraId="3F6A830B"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0</w:t>
            </w:r>
          </w:p>
        </w:tc>
        <w:tc>
          <w:tcPr>
            <w:tcW w:w="1285" w:type="dxa"/>
            <w:tcBorders>
              <w:top w:val="nil"/>
              <w:left w:val="nil"/>
              <w:bottom w:val="nil"/>
              <w:right w:val="nil"/>
            </w:tcBorders>
            <w:shd w:val="clear" w:color="auto" w:fill="auto"/>
            <w:noWrap/>
            <w:vAlign w:val="bottom"/>
            <w:hideMark/>
          </w:tcPr>
          <w:p w14:paraId="743210D7"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0</w:t>
            </w:r>
          </w:p>
        </w:tc>
        <w:tc>
          <w:tcPr>
            <w:tcW w:w="1285" w:type="dxa"/>
            <w:tcBorders>
              <w:top w:val="nil"/>
              <w:left w:val="nil"/>
              <w:bottom w:val="nil"/>
              <w:right w:val="nil"/>
            </w:tcBorders>
            <w:shd w:val="clear" w:color="auto" w:fill="auto"/>
            <w:noWrap/>
            <w:vAlign w:val="bottom"/>
            <w:hideMark/>
          </w:tcPr>
          <w:p w14:paraId="3FBCEBC3"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0</w:t>
            </w:r>
          </w:p>
        </w:tc>
        <w:tc>
          <w:tcPr>
            <w:tcW w:w="1469" w:type="dxa"/>
            <w:tcBorders>
              <w:top w:val="nil"/>
              <w:left w:val="nil"/>
              <w:bottom w:val="nil"/>
              <w:right w:val="nil"/>
            </w:tcBorders>
            <w:shd w:val="clear" w:color="auto" w:fill="auto"/>
            <w:noWrap/>
            <w:vAlign w:val="bottom"/>
            <w:hideMark/>
          </w:tcPr>
          <w:p w14:paraId="4DAD61CB"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0</w:t>
            </w:r>
          </w:p>
        </w:tc>
        <w:tc>
          <w:tcPr>
            <w:tcW w:w="1285" w:type="dxa"/>
            <w:tcBorders>
              <w:top w:val="nil"/>
              <w:left w:val="nil"/>
              <w:bottom w:val="nil"/>
              <w:right w:val="nil"/>
            </w:tcBorders>
            <w:shd w:val="clear" w:color="auto" w:fill="auto"/>
            <w:noWrap/>
            <w:vAlign w:val="bottom"/>
            <w:hideMark/>
          </w:tcPr>
          <w:p w14:paraId="0F8D8D4E"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0</w:t>
            </w:r>
          </w:p>
        </w:tc>
        <w:tc>
          <w:tcPr>
            <w:tcW w:w="1408" w:type="dxa"/>
            <w:tcBorders>
              <w:top w:val="nil"/>
              <w:left w:val="nil"/>
              <w:bottom w:val="nil"/>
              <w:right w:val="nil"/>
            </w:tcBorders>
            <w:shd w:val="clear" w:color="auto" w:fill="auto"/>
            <w:noWrap/>
            <w:vAlign w:val="bottom"/>
            <w:hideMark/>
          </w:tcPr>
          <w:p w14:paraId="447293AC"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24DFE">
              <w:rPr>
                <w:rFonts w:eastAsia="Times New Roman" w:cs="Calibri"/>
                <w:color w:val="002060"/>
                <w:sz w:val="20"/>
              </w:rPr>
              <w:t>115</w:t>
            </w:r>
          </w:p>
        </w:tc>
      </w:tr>
      <w:tr w:rsidR="00C130FE" w:rsidRPr="00824DFE" w14:paraId="43B39527" w14:textId="77777777" w:rsidTr="002F7131">
        <w:trPr>
          <w:trHeight w:val="20"/>
        </w:trPr>
        <w:tc>
          <w:tcPr>
            <w:tcW w:w="3257" w:type="dxa"/>
            <w:tcBorders>
              <w:top w:val="nil"/>
              <w:left w:val="nil"/>
              <w:bottom w:val="nil"/>
              <w:right w:val="nil"/>
            </w:tcBorders>
            <w:shd w:val="clear" w:color="auto" w:fill="auto"/>
            <w:noWrap/>
            <w:vAlign w:val="bottom"/>
            <w:hideMark/>
          </w:tcPr>
          <w:p w14:paraId="3338C587"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5" w:type="dxa"/>
            <w:tcBorders>
              <w:top w:val="nil"/>
              <w:left w:val="single" w:sz="4" w:space="0" w:color="0070C0"/>
              <w:bottom w:val="nil"/>
              <w:right w:val="nil"/>
            </w:tcBorders>
            <w:shd w:val="clear" w:color="auto" w:fill="auto"/>
            <w:noWrap/>
            <w:vAlign w:val="bottom"/>
            <w:hideMark/>
          </w:tcPr>
          <w:p w14:paraId="23FE9301"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785A415C"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bottom"/>
            <w:hideMark/>
          </w:tcPr>
          <w:p w14:paraId="398A68DF"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0DE615FF"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4EE68917"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bottom"/>
            <w:hideMark/>
          </w:tcPr>
          <w:p w14:paraId="7D260CB2"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37C20499"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bottom"/>
            <w:hideMark/>
          </w:tcPr>
          <w:p w14:paraId="293725D8"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824DFE" w14:paraId="009E09F6" w14:textId="77777777" w:rsidTr="002F7131">
        <w:trPr>
          <w:trHeight w:val="20"/>
        </w:trPr>
        <w:tc>
          <w:tcPr>
            <w:tcW w:w="3257" w:type="dxa"/>
            <w:tcBorders>
              <w:top w:val="nil"/>
              <w:left w:val="nil"/>
              <w:bottom w:val="nil"/>
              <w:right w:val="nil"/>
            </w:tcBorders>
            <w:shd w:val="clear" w:color="auto" w:fill="auto"/>
            <w:vAlign w:val="bottom"/>
            <w:hideMark/>
          </w:tcPr>
          <w:p w14:paraId="5B6DD029"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CD7402">
              <w:rPr>
                <w:rFonts w:cstheme="minorHAnsi"/>
                <w:sz w:val="20"/>
              </w:rPr>
              <w:t xml:space="preserve">8 - </w:t>
            </w:r>
            <w:r w:rsidRPr="00CD7402">
              <w:rPr>
                <w:rFonts w:cstheme="minorHAnsi"/>
                <w:sz w:val="20"/>
              </w:rPr>
              <w:t>公共和内部服务设施</w:t>
            </w:r>
          </w:p>
        </w:tc>
        <w:tc>
          <w:tcPr>
            <w:tcW w:w="1405" w:type="dxa"/>
            <w:tcBorders>
              <w:top w:val="nil"/>
              <w:left w:val="single" w:sz="4" w:space="0" w:color="0070C0"/>
              <w:bottom w:val="nil"/>
              <w:right w:val="nil"/>
            </w:tcBorders>
            <w:shd w:val="clear" w:color="auto" w:fill="auto"/>
            <w:noWrap/>
            <w:vAlign w:val="bottom"/>
            <w:hideMark/>
          </w:tcPr>
          <w:p w14:paraId="1ED78A51"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4DE1FB99"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48</w:t>
            </w:r>
          </w:p>
        </w:tc>
        <w:tc>
          <w:tcPr>
            <w:tcW w:w="1285" w:type="dxa"/>
            <w:tcBorders>
              <w:top w:val="nil"/>
              <w:left w:val="nil"/>
              <w:bottom w:val="nil"/>
              <w:right w:val="nil"/>
            </w:tcBorders>
            <w:shd w:val="clear" w:color="auto" w:fill="auto"/>
            <w:noWrap/>
            <w:vAlign w:val="bottom"/>
            <w:hideMark/>
          </w:tcPr>
          <w:p w14:paraId="717E02EE"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38</w:t>
            </w:r>
          </w:p>
        </w:tc>
        <w:tc>
          <w:tcPr>
            <w:tcW w:w="1285" w:type="dxa"/>
            <w:tcBorders>
              <w:top w:val="nil"/>
              <w:left w:val="nil"/>
              <w:bottom w:val="nil"/>
              <w:right w:val="nil"/>
            </w:tcBorders>
            <w:shd w:val="clear" w:color="auto" w:fill="auto"/>
            <w:noWrap/>
            <w:vAlign w:val="bottom"/>
            <w:hideMark/>
          </w:tcPr>
          <w:p w14:paraId="0A436950"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10</w:t>
            </w:r>
          </w:p>
        </w:tc>
        <w:tc>
          <w:tcPr>
            <w:tcW w:w="1285" w:type="dxa"/>
            <w:tcBorders>
              <w:top w:val="nil"/>
              <w:left w:val="nil"/>
              <w:bottom w:val="nil"/>
              <w:right w:val="nil"/>
            </w:tcBorders>
            <w:shd w:val="clear" w:color="auto" w:fill="auto"/>
            <w:noWrap/>
            <w:vAlign w:val="bottom"/>
            <w:hideMark/>
          </w:tcPr>
          <w:p w14:paraId="572BD77C"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24</w:t>
            </w:r>
          </w:p>
        </w:tc>
        <w:tc>
          <w:tcPr>
            <w:tcW w:w="1469" w:type="dxa"/>
            <w:tcBorders>
              <w:top w:val="nil"/>
              <w:left w:val="nil"/>
              <w:bottom w:val="nil"/>
              <w:right w:val="nil"/>
            </w:tcBorders>
            <w:shd w:val="clear" w:color="auto" w:fill="auto"/>
            <w:noWrap/>
            <w:vAlign w:val="bottom"/>
            <w:hideMark/>
          </w:tcPr>
          <w:p w14:paraId="47F69D71"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4</w:t>
            </w:r>
          </w:p>
        </w:tc>
        <w:tc>
          <w:tcPr>
            <w:tcW w:w="1285" w:type="dxa"/>
            <w:tcBorders>
              <w:top w:val="nil"/>
              <w:left w:val="nil"/>
              <w:bottom w:val="nil"/>
              <w:right w:val="nil"/>
            </w:tcBorders>
            <w:shd w:val="clear" w:color="auto" w:fill="auto"/>
            <w:noWrap/>
            <w:vAlign w:val="bottom"/>
            <w:hideMark/>
          </w:tcPr>
          <w:p w14:paraId="5B02D962"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2</w:t>
            </w:r>
          </w:p>
        </w:tc>
        <w:tc>
          <w:tcPr>
            <w:tcW w:w="1408" w:type="dxa"/>
            <w:tcBorders>
              <w:top w:val="nil"/>
              <w:left w:val="nil"/>
              <w:bottom w:val="nil"/>
              <w:right w:val="nil"/>
            </w:tcBorders>
            <w:shd w:val="clear" w:color="auto" w:fill="auto"/>
            <w:noWrap/>
            <w:vAlign w:val="bottom"/>
            <w:hideMark/>
          </w:tcPr>
          <w:p w14:paraId="175A5C92"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24DFE">
              <w:rPr>
                <w:rFonts w:eastAsia="Times New Roman" w:cs="Calibri"/>
                <w:color w:val="002060"/>
                <w:sz w:val="20"/>
              </w:rPr>
              <w:t>126</w:t>
            </w:r>
          </w:p>
        </w:tc>
      </w:tr>
      <w:tr w:rsidR="00C130FE" w:rsidRPr="00824DFE" w14:paraId="69F8B4BA" w14:textId="77777777" w:rsidTr="002F7131">
        <w:trPr>
          <w:trHeight w:val="20"/>
        </w:trPr>
        <w:tc>
          <w:tcPr>
            <w:tcW w:w="3257" w:type="dxa"/>
            <w:tcBorders>
              <w:top w:val="nil"/>
              <w:left w:val="nil"/>
              <w:bottom w:val="nil"/>
              <w:right w:val="nil"/>
            </w:tcBorders>
            <w:shd w:val="clear" w:color="auto" w:fill="auto"/>
            <w:noWrap/>
            <w:vAlign w:val="bottom"/>
            <w:hideMark/>
          </w:tcPr>
          <w:p w14:paraId="49F0C954"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5" w:type="dxa"/>
            <w:tcBorders>
              <w:top w:val="nil"/>
              <w:left w:val="single" w:sz="4" w:space="0" w:color="0070C0"/>
              <w:bottom w:val="nil"/>
              <w:right w:val="nil"/>
            </w:tcBorders>
            <w:shd w:val="clear" w:color="auto" w:fill="auto"/>
            <w:noWrap/>
            <w:vAlign w:val="bottom"/>
            <w:hideMark/>
          </w:tcPr>
          <w:p w14:paraId="356886BD"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0605E332"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bottom"/>
            <w:hideMark/>
          </w:tcPr>
          <w:p w14:paraId="2AE9A32C"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602596B0"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1D12D7A0"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bottom"/>
            <w:hideMark/>
          </w:tcPr>
          <w:p w14:paraId="76E6C800"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0E938EA8"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bottom"/>
            <w:hideMark/>
          </w:tcPr>
          <w:p w14:paraId="4DD470D0"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824DFE" w14:paraId="1FDEDD5E" w14:textId="77777777" w:rsidTr="002F7131">
        <w:trPr>
          <w:trHeight w:val="20"/>
        </w:trPr>
        <w:tc>
          <w:tcPr>
            <w:tcW w:w="3257" w:type="dxa"/>
            <w:tcBorders>
              <w:top w:val="nil"/>
              <w:left w:val="nil"/>
              <w:bottom w:val="nil"/>
              <w:right w:val="nil"/>
            </w:tcBorders>
            <w:shd w:val="clear" w:color="auto" w:fill="auto"/>
            <w:vAlign w:val="bottom"/>
            <w:hideMark/>
          </w:tcPr>
          <w:p w14:paraId="053A2342"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CD7402">
              <w:rPr>
                <w:rFonts w:cstheme="minorHAnsi"/>
                <w:sz w:val="20"/>
                <w:lang w:eastAsia="zh-CN"/>
              </w:rPr>
              <w:t xml:space="preserve">9 - </w:t>
            </w:r>
            <w:r w:rsidRPr="00CD7402">
              <w:rPr>
                <w:rFonts w:cstheme="minorHAnsi"/>
                <w:sz w:val="20"/>
                <w:lang w:eastAsia="zh-CN"/>
              </w:rPr>
              <w:t>审计和机构间的费用及其他</w:t>
            </w:r>
          </w:p>
        </w:tc>
        <w:tc>
          <w:tcPr>
            <w:tcW w:w="1405" w:type="dxa"/>
            <w:tcBorders>
              <w:top w:val="nil"/>
              <w:left w:val="single" w:sz="4" w:space="0" w:color="0070C0"/>
              <w:bottom w:val="nil"/>
              <w:right w:val="nil"/>
            </w:tcBorders>
            <w:shd w:val="clear" w:color="auto" w:fill="auto"/>
            <w:noWrap/>
            <w:vAlign w:val="bottom"/>
            <w:hideMark/>
          </w:tcPr>
          <w:p w14:paraId="22674CBB"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r w:rsidRPr="00824DFE">
              <w:rPr>
                <w:rFonts w:eastAsia="Times New Roman" w:cs="Calibri"/>
                <w:sz w:val="20"/>
                <w:lang w:eastAsia="zh-CN"/>
              </w:rPr>
              <w:t> </w:t>
            </w:r>
          </w:p>
        </w:tc>
        <w:tc>
          <w:tcPr>
            <w:tcW w:w="1285" w:type="dxa"/>
            <w:tcBorders>
              <w:top w:val="nil"/>
              <w:left w:val="nil"/>
              <w:bottom w:val="nil"/>
              <w:right w:val="nil"/>
            </w:tcBorders>
            <w:shd w:val="clear" w:color="auto" w:fill="auto"/>
            <w:noWrap/>
            <w:vAlign w:val="bottom"/>
            <w:hideMark/>
          </w:tcPr>
          <w:p w14:paraId="6FF76CC9"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72</w:t>
            </w:r>
          </w:p>
        </w:tc>
        <w:tc>
          <w:tcPr>
            <w:tcW w:w="1285" w:type="dxa"/>
            <w:tcBorders>
              <w:top w:val="nil"/>
              <w:left w:val="nil"/>
              <w:bottom w:val="nil"/>
              <w:right w:val="nil"/>
            </w:tcBorders>
            <w:shd w:val="clear" w:color="auto" w:fill="auto"/>
            <w:noWrap/>
            <w:vAlign w:val="bottom"/>
            <w:hideMark/>
          </w:tcPr>
          <w:p w14:paraId="02154679"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40</w:t>
            </w:r>
          </w:p>
        </w:tc>
        <w:tc>
          <w:tcPr>
            <w:tcW w:w="1285" w:type="dxa"/>
            <w:tcBorders>
              <w:top w:val="nil"/>
              <w:left w:val="nil"/>
              <w:bottom w:val="nil"/>
              <w:right w:val="nil"/>
            </w:tcBorders>
            <w:shd w:val="clear" w:color="auto" w:fill="auto"/>
            <w:noWrap/>
            <w:vAlign w:val="bottom"/>
            <w:hideMark/>
          </w:tcPr>
          <w:p w14:paraId="053D2F5B"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6</w:t>
            </w:r>
          </w:p>
        </w:tc>
        <w:tc>
          <w:tcPr>
            <w:tcW w:w="1285" w:type="dxa"/>
            <w:tcBorders>
              <w:top w:val="nil"/>
              <w:left w:val="nil"/>
              <w:bottom w:val="nil"/>
              <w:right w:val="nil"/>
            </w:tcBorders>
            <w:shd w:val="clear" w:color="auto" w:fill="auto"/>
            <w:noWrap/>
            <w:vAlign w:val="bottom"/>
            <w:hideMark/>
          </w:tcPr>
          <w:p w14:paraId="174E6DA9"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12</w:t>
            </w:r>
          </w:p>
        </w:tc>
        <w:tc>
          <w:tcPr>
            <w:tcW w:w="1469" w:type="dxa"/>
            <w:tcBorders>
              <w:top w:val="nil"/>
              <w:left w:val="nil"/>
              <w:bottom w:val="nil"/>
              <w:right w:val="nil"/>
            </w:tcBorders>
            <w:shd w:val="clear" w:color="auto" w:fill="auto"/>
            <w:noWrap/>
            <w:vAlign w:val="bottom"/>
            <w:hideMark/>
          </w:tcPr>
          <w:p w14:paraId="36D1AE53"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6</w:t>
            </w:r>
          </w:p>
        </w:tc>
        <w:tc>
          <w:tcPr>
            <w:tcW w:w="1285" w:type="dxa"/>
            <w:tcBorders>
              <w:top w:val="nil"/>
              <w:left w:val="nil"/>
              <w:bottom w:val="nil"/>
              <w:right w:val="nil"/>
            </w:tcBorders>
            <w:shd w:val="clear" w:color="auto" w:fill="auto"/>
            <w:noWrap/>
            <w:vAlign w:val="bottom"/>
            <w:hideMark/>
          </w:tcPr>
          <w:p w14:paraId="25196AC0"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2</w:t>
            </w:r>
          </w:p>
        </w:tc>
        <w:tc>
          <w:tcPr>
            <w:tcW w:w="1408" w:type="dxa"/>
            <w:tcBorders>
              <w:top w:val="nil"/>
              <w:left w:val="nil"/>
              <w:bottom w:val="nil"/>
              <w:right w:val="nil"/>
            </w:tcBorders>
            <w:shd w:val="clear" w:color="auto" w:fill="auto"/>
            <w:noWrap/>
            <w:vAlign w:val="bottom"/>
            <w:hideMark/>
          </w:tcPr>
          <w:p w14:paraId="5B211992"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24DFE">
              <w:rPr>
                <w:rFonts w:eastAsia="Times New Roman" w:cs="Calibri"/>
                <w:color w:val="002060"/>
                <w:sz w:val="20"/>
              </w:rPr>
              <w:t>138</w:t>
            </w:r>
          </w:p>
        </w:tc>
      </w:tr>
      <w:tr w:rsidR="00C130FE" w:rsidRPr="00824DFE" w14:paraId="505044E9" w14:textId="77777777" w:rsidTr="002F7131">
        <w:trPr>
          <w:trHeight w:val="20"/>
        </w:trPr>
        <w:tc>
          <w:tcPr>
            <w:tcW w:w="3257" w:type="dxa"/>
            <w:tcBorders>
              <w:top w:val="nil"/>
              <w:left w:val="nil"/>
              <w:bottom w:val="single" w:sz="4" w:space="0" w:color="auto"/>
              <w:right w:val="nil"/>
            </w:tcBorders>
            <w:shd w:val="clear" w:color="auto" w:fill="auto"/>
            <w:noWrap/>
            <w:vAlign w:val="center"/>
            <w:hideMark/>
          </w:tcPr>
          <w:p w14:paraId="43DF2522"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CD7402">
              <w:rPr>
                <w:rFonts w:cstheme="minorHAnsi"/>
                <w:b/>
                <w:bCs/>
                <w:sz w:val="20"/>
              </w:rPr>
              <w:t> </w:t>
            </w:r>
          </w:p>
        </w:tc>
        <w:tc>
          <w:tcPr>
            <w:tcW w:w="1405" w:type="dxa"/>
            <w:tcBorders>
              <w:top w:val="nil"/>
              <w:left w:val="single" w:sz="4" w:space="0" w:color="0070C0"/>
              <w:bottom w:val="single" w:sz="4" w:space="0" w:color="auto"/>
              <w:right w:val="nil"/>
            </w:tcBorders>
            <w:shd w:val="clear" w:color="auto" w:fill="auto"/>
            <w:noWrap/>
            <w:vAlign w:val="center"/>
            <w:hideMark/>
          </w:tcPr>
          <w:p w14:paraId="62A055DA"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24DFE">
              <w:rPr>
                <w:rFonts w:eastAsia="Times New Roman" w:cs="Calibri"/>
                <w:b/>
                <w:bCs/>
                <w:sz w:val="20"/>
              </w:rPr>
              <w:t> </w:t>
            </w:r>
          </w:p>
        </w:tc>
        <w:tc>
          <w:tcPr>
            <w:tcW w:w="1285" w:type="dxa"/>
            <w:tcBorders>
              <w:top w:val="nil"/>
              <w:left w:val="nil"/>
              <w:bottom w:val="single" w:sz="4" w:space="0" w:color="auto"/>
              <w:right w:val="nil"/>
            </w:tcBorders>
            <w:shd w:val="clear" w:color="auto" w:fill="auto"/>
            <w:noWrap/>
            <w:vAlign w:val="center"/>
            <w:hideMark/>
          </w:tcPr>
          <w:p w14:paraId="3C0A777E"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24DFE">
              <w:rPr>
                <w:rFonts w:eastAsia="Times New Roman" w:cs="Calibri"/>
                <w:b/>
                <w:bCs/>
                <w:sz w:val="20"/>
              </w:rPr>
              <w:t> </w:t>
            </w:r>
          </w:p>
        </w:tc>
        <w:tc>
          <w:tcPr>
            <w:tcW w:w="1285" w:type="dxa"/>
            <w:tcBorders>
              <w:top w:val="nil"/>
              <w:left w:val="nil"/>
              <w:bottom w:val="single" w:sz="4" w:space="0" w:color="auto"/>
              <w:right w:val="nil"/>
            </w:tcBorders>
            <w:shd w:val="clear" w:color="auto" w:fill="auto"/>
            <w:noWrap/>
            <w:vAlign w:val="center"/>
            <w:hideMark/>
          </w:tcPr>
          <w:p w14:paraId="7896FACE"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24DFE">
              <w:rPr>
                <w:rFonts w:eastAsia="Times New Roman" w:cs="Calibri"/>
                <w:b/>
                <w:bCs/>
                <w:sz w:val="20"/>
              </w:rPr>
              <w:t> </w:t>
            </w:r>
          </w:p>
        </w:tc>
        <w:tc>
          <w:tcPr>
            <w:tcW w:w="1285" w:type="dxa"/>
            <w:tcBorders>
              <w:top w:val="nil"/>
              <w:left w:val="nil"/>
              <w:bottom w:val="single" w:sz="4" w:space="0" w:color="auto"/>
              <w:right w:val="nil"/>
            </w:tcBorders>
            <w:shd w:val="clear" w:color="auto" w:fill="auto"/>
            <w:noWrap/>
            <w:vAlign w:val="center"/>
            <w:hideMark/>
          </w:tcPr>
          <w:p w14:paraId="5320AF77"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24DFE">
              <w:rPr>
                <w:rFonts w:eastAsia="Times New Roman" w:cs="Calibri"/>
                <w:b/>
                <w:bCs/>
                <w:sz w:val="20"/>
              </w:rPr>
              <w:t> </w:t>
            </w:r>
          </w:p>
        </w:tc>
        <w:tc>
          <w:tcPr>
            <w:tcW w:w="1285" w:type="dxa"/>
            <w:tcBorders>
              <w:top w:val="nil"/>
              <w:left w:val="nil"/>
              <w:bottom w:val="single" w:sz="4" w:space="0" w:color="auto"/>
              <w:right w:val="nil"/>
            </w:tcBorders>
            <w:shd w:val="clear" w:color="auto" w:fill="auto"/>
            <w:noWrap/>
            <w:vAlign w:val="center"/>
            <w:hideMark/>
          </w:tcPr>
          <w:p w14:paraId="27F8412C"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24DFE">
              <w:rPr>
                <w:rFonts w:eastAsia="Times New Roman" w:cs="Calibri"/>
                <w:b/>
                <w:bCs/>
                <w:sz w:val="20"/>
              </w:rPr>
              <w:t> </w:t>
            </w:r>
          </w:p>
        </w:tc>
        <w:tc>
          <w:tcPr>
            <w:tcW w:w="1469" w:type="dxa"/>
            <w:tcBorders>
              <w:top w:val="nil"/>
              <w:left w:val="nil"/>
              <w:bottom w:val="single" w:sz="4" w:space="0" w:color="auto"/>
              <w:right w:val="nil"/>
            </w:tcBorders>
            <w:shd w:val="clear" w:color="auto" w:fill="auto"/>
            <w:noWrap/>
            <w:vAlign w:val="center"/>
            <w:hideMark/>
          </w:tcPr>
          <w:p w14:paraId="79E8FFC2"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24DFE">
              <w:rPr>
                <w:rFonts w:eastAsia="Times New Roman" w:cs="Calibri"/>
                <w:b/>
                <w:bCs/>
                <w:sz w:val="20"/>
              </w:rPr>
              <w:t> </w:t>
            </w:r>
          </w:p>
        </w:tc>
        <w:tc>
          <w:tcPr>
            <w:tcW w:w="1285" w:type="dxa"/>
            <w:tcBorders>
              <w:top w:val="nil"/>
              <w:left w:val="nil"/>
              <w:bottom w:val="single" w:sz="4" w:space="0" w:color="auto"/>
              <w:right w:val="nil"/>
            </w:tcBorders>
            <w:shd w:val="clear" w:color="auto" w:fill="auto"/>
            <w:noWrap/>
            <w:vAlign w:val="center"/>
            <w:hideMark/>
          </w:tcPr>
          <w:p w14:paraId="7AA8C051"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24DFE">
              <w:rPr>
                <w:rFonts w:eastAsia="Times New Roman" w:cs="Calibri"/>
                <w:b/>
                <w:bCs/>
                <w:sz w:val="20"/>
              </w:rPr>
              <w:t> </w:t>
            </w:r>
          </w:p>
        </w:tc>
        <w:tc>
          <w:tcPr>
            <w:tcW w:w="1408" w:type="dxa"/>
            <w:tcBorders>
              <w:top w:val="nil"/>
              <w:left w:val="nil"/>
              <w:bottom w:val="single" w:sz="4" w:space="0" w:color="auto"/>
              <w:right w:val="nil"/>
            </w:tcBorders>
            <w:shd w:val="clear" w:color="auto" w:fill="auto"/>
            <w:noWrap/>
            <w:vAlign w:val="center"/>
            <w:hideMark/>
          </w:tcPr>
          <w:p w14:paraId="36E6D398"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824DFE">
              <w:rPr>
                <w:rFonts w:eastAsia="Times New Roman" w:cs="Calibri"/>
                <w:b/>
                <w:bCs/>
                <w:color w:val="002060"/>
                <w:sz w:val="20"/>
              </w:rPr>
              <w:t> </w:t>
            </w:r>
          </w:p>
        </w:tc>
      </w:tr>
      <w:tr w:rsidR="00C130FE" w:rsidRPr="00824DFE" w14:paraId="71FF4F82" w14:textId="77777777" w:rsidTr="002F7131">
        <w:trPr>
          <w:trHeight w:val="20"/>
        </w:trPr>
        <w:tc>
          <w:tcPr>
            <w:tcW w:w="3257" w:type="dxa"/>
            <w:tcBorders>
              <w:top w:val="nil"/>
              <w:left w:val="nil"/>
              <w:bottom w:val="nil"/>
              <w:right w:val="nil"/>
            </w:tcBorders>
            <w:shd w:val="clear" w:color="auto" w:fill="auto"/>
            <w:noWrap/>
            <w:vAlign w:val="bottom"/>
            <w:hideMark/>
          </w:tcPr>
          <w:p w14:paraId="32707E8E"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CD7402">
              <w:rPr>
                <w:rFonts w:cstheme="minorHAnsi"/>
                <w:b/>
                <w:bCs/>
                <w:sz w:val="20"/>
              </w:rPr>
              <w:t>合计</w:t>
            </w:r>
          </w:p>
        </w:tc>
        <w:tc>
          <w:tcPr>
            <w:tcW w:w="1405" w:type="dxa"/>
            <w:tcBorders>
              <w:top w:val="nil"/>
              <w:left w:val="single" w:sz="4" w:space="0" w:color="0070C0"/>
              <w:bottom w:val="nil"/>
              <w:right w:val="nil"/>
            </w:tcBorders>
            <w:shd w:val="clear" w:color="auto" w:fill="auto"/>
            <w:noWrap/>
            <w:vAlign w:val="bottom"/>
            <w:hideMark/>
          </w:tcPr>
          <w:p w14:paraId="20B3D43F"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24DFE">
              <w:rPr>
                <w:rFonts w:eastAsia="Times New Roman" w:cs="Calibri"/>
                <w:b/>
                <w:bCs/>
                <w:sz w:val="20"/>
              </w:rPr>
              <w:t>115</w:t>
            </w:r>
          </w:p>
        </w:tc>
        <w:tc>
          <w:tcPr>
            <w:tcW w:w="1285" w:type="dxa"/>
            <w:tcBorders>
              <w:top w:val="nil"/>
              <w:left w:val="nil"/>
              <w:bottom w:val="nil"/>
              <w:right w:val="nil"/>
            </w:tcBorders>
            <w:shd w:val="clear" w:color="auto" w:fill="auto"/>
            <w:noWrap/>
            <w:vAlign w:val="bottom"/>
            <w:hideMark/>
          </w:tcPr>
          <w:p w14:paraId="2DE23361"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24DFE">
              <w:rPr>
                <w:rFonts w:eastAsia="Times New Roman" w:cs="Calibri"/>
                <w:b/>
                <w:bCs/>
                <w:sz w:val="20"/>
              </w:rPr>
              <w:t>4,278</w:t>
            </w:r>
          </w:p>
        </w:tc>
        <w:tc>
          <w:tcPr>
            <w:tcW w:w="1285" w:type="dxa"/>
            <w:tcBorders>
              <w:top w:val="nil"/>
              <w:left w:val="nil"/>
              <w:bottom w:val="nil"/>
              <w:right w:val="nil"/>
            </w:tcBorders>
            <w:shd w:val="clear" w:color="auto" w:fill="auto"/>
            <w:noWrap/>
            <w:vAlign w:val="bottom"/>
            <w:hideMark/>
          </w:tcPr>
          <w:p w14:paraId="59D9D672"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24DFE">
              <w:rPr>
                <w:rFonts w:eastAsia="Times New Roman" w:cs="Calibri"/>
                <w:b/>
                <w:bCs/>
                <w:sz w:val="20"/>
              </w:rPr>
              <w:t>4,098</w:t>
            </w:r>
          </w:p>
        </w:tc>
        <w:tc>
          <w:tcPr>
            <w:tcW w:w="1285" w:type="dxa"/>
            <w:tcBorders>
              <w:top w:val="nil"/>
              <w:left w:val="nil"/>
              <w:bottom w:val="nil"/>
              <w:right w:val="nil"/>
            </w:tcBorders>
            <w:shd w:val="clear" w:color="auto" w:fill="auto"/>
            <w:noWrap/>
            <w:vAlign w:val="bottom"/>
            <w:hideMark/>
          </w:tcPr>
          <w:p w14:paraId="1504B4D3"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24DFE">
              <w:rPr>
                <w:rFonts w:eastAsia="Times New Roman" w:cs="Calibri"/>
                <w:b/>
                <w:bCs/>
                <w:sz w:val="20"/>
              </w:rPr>
              <w:t>1,780</w:t>
            </w:r>
          </w:p>
        </w:tc>
        <w:tc>
          <w:tcPr>
            <w:tcW w:w="1285" w:type="dxa"/>
            <w:tcBorders>
              <w:top w:val="nil"/>
              <w:left w:val="nil"/>
              <w:bottom w:val="nil"/>
              <w:right w:val="nil"/>
            </w:tcBorders>
            <w:shd w:val="clear" w:color="auto" w:fill="auto"/>
            <w:noWrap/>
            <w:vAlign w:val="bottom"/>
            <w:hideMark/>
          </w:tcPr>
          <w:p w14:paraId="7099BB38"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24DFE">
              <w:rPr>
                <w:rFonts w:eastAsia="Times New Roman" w:cs="Calibri"/>
                <w:b/>
                <w:bCs/>
                <w:sz w:val="20"/>
              </w:rPr>
              <w:t>2,732</w:t>
            </w:r>
          </w:p>
        </w:tc>
        <w:tc>
          <w:tcPr>
            <w:tcW w:w="1469" w:type="dxa"/>
            <w:tcBorders>
              <w:top w:val="nil"/>
              <w:left w:val="nil"/>
              <w:bottom w:val="nil"/>
              <w:right w:val="nil"/>
            </w:tcBorders>
            <w:shd w:val="clear" w:color="auto" w:fill="auto"/>
            <w:noWrap/>
            <w:vAlign w:val="bottom"/>
            <w:hideMark/>
          </w:tcPr>
          <w:p w14:paraId="54B058DD"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24DFE">
              <w:rPr>
                <w:rFonts w:eastAsia="Times New Roman" w:cs="Calibri"/>
                <w:b/>
                <w:bCs/>
                <w:sz w:val="20"/>
              </w:rPr>
              <w:t>988</w:t>
            </w:r>
          </w:p>
        </w:tc>
        <w:tc>
          <w:tcPr>
            <w:tcW w:w="1285" w:type="dxa"/>
            <w:tcBorders>
              <w:top w:val="nil"/>
              <w:left w:val="nil"/>
              <w:bottom w:val="nil"/>
              <w:right w:val="nil"/>
            </w:tcBorders>
            <w:shd w:val="clear" w:color="auto" w:fill="auto"/>
            <w:noWrap/>
            <w:vAlign w:val="bottom"/>
            <w:hideMark/>
          </w:tcPr>
          <w:p w14:paraId="0C4E0A81"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24DFE">
              <w:rPr>
                <w:rFonts w:eastAsia="Times New Roman" w:cs="Calibri"/>
                <w:b/>
                <w:bCs/>
                <w:sz w:val="20"/>
              </w:rPr>
              <w:t>982</w:t>
            </w:r>
          </w:p>
        </w:tc>
        <w:tc>
          <w:tcPr>
            <w:tcW w:w="1408" w:type="dxa"/>
            <w:tcBorders>
              <w:top w:val="nil"/>
              <w:left w:val="nil"/>
              <w:bottom w:val="nil"/>
              <w:right w:val="nil"/>
            </w:tcBorders>
            <w:shd w:val="clear" w:color="auto" w:fill="auto"/>
            <w:noWrap/>
            <w:vAlign w:val="bottom"/>
            <w:hideMark/>
          </w:tcPr>
          <w:p w14:paraId="28F59FC7"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824DFE">
              <w:rPr>
                <w:rFonts w:eastAsia="Times New Roman" w:cs="Calibri"/>
                <w:b/>
                <w:bCs/>
                <w:color w:val="002060"/>
                <w:sz w:val="20"/>
              </w:rPr>
              <w:t>14,973</w:t>
            </w:r>
          </w:p>
        </w:tc>
      </w:tr>
    </w:tbl>
    <w:p w14:paraId="7B35D259" w14:textId="032180C3" w:rsidR="00C130FE" w:rsidRDefault="00C130F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tbl>
      <w:tblPr>
        <w:tblW w:w="13964" w:type="dxa"/>
        <w:tblLook w:val="04A0" w:firstRow="1" w:lastRow="0" w:firstColumn="1" w:lastColumn="0" w:noHBand="0" w:noVBand="1"/>
      </w:tblPr>
      <w:tblGrid>
        <w:gridCol w:w="3162"/>
        <w:gridCol w:w="1500"/>
        <w:gridCol w:w="1285"/>
        <w:gridCol w:w="1285"/>
        <w:gridCol w:w="1285"/>
        <w:gridCol w:w="1285"/>
        <w:gridCol w:w="1469"/>
        <w:gridCol w:w="1285"/>
        <w:gridCol w:w="1408"/>
      </w:tblGrid>
      <w:tr w:rsidR="00C130FE" w:rsidRPr="00471351" w14:paraId="2FD5ED0F" w14:textId="77777777" w:rsidTr="002F7131">
        <w:trPr>
          <w:trHeight w:val="465"/>
        </w:trPr>
        <w:tc>
          <w:tcPr>
            <w:tcW w:w="3162" w:type="dxa"/>
            <w:tcBorders>
              <w:top w:val="nil"/>
              <w:left w:val="nil"/>
              <w:bottom w:val="nil"/>
              <w:right w:val="nil"/>
            </w:tcBorders>
            <w:shd w:val="clear" w:color="auto" w:fill="auto"/>
            <w:noWrap/>
            <w:vAlign w:val="center"/>
            <w:hideMark/>
          </w:tcPr>
          <w:p w14:paraId="39DE42AE"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471351">
              <w:rPr>
                <w:rFonts w:ascii="SimSun" w:hAnsi="SimSun" w:cs="Calibri" w:hint="eastAsia"/>
                <w:b/>
                <w:bCs/>
                <w:color w:val="002060"/>
                <w:sz w:val="40"/>
                <w:szCs w:val="40"/>
              </w:rPr>
              <w:lastRenderedPageBreak/>
              <w:t>表</w:t>
            </w:r>
            <w:r w:rsidRPr="00471351">
              <w:rPr>
                <w:rFonts w:eastAsia="Times New Roman" w:cs="Calibri"/>
                <w:b/>
                <w:bCs/>
                <w:color w:val="002060"/>
                <w:sz w:val="40"/>
                <w:szCs w:val="40"/>
              </w:rPr>
              <w:t>11-1</w:t>
            </w:r>
          </w:p>
        </w:tc>
        <w:tc>
          <w:tcPr>
            <w:tcW w:w="1500" w:type="dxa"/>
            <w:tcBorders>
              <w:top w:val="nil"/>
              <w:left w:val="nil"/>
              <w:bottom w:val="nil"/>
              <w:right w:val="nil"/>
            </w:tcBorders>
            <w:shd w:val="clear" w:color="auto" w:fill="auto"/>
            <w:noWrap/>
            <w:vAlign w:val="center"/>
            <w:hideMark/>
          </w:tcPr>
          <w:p w14:paraId="1EB0D18B"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1285" w:type="dxa"/>
            <w:tcBorders>
              <w:top w:val="nil"/>
              <w:left w:val="nil"/>
              <w:bottom w:val="nil"/>
              <w:right w:val="nil"/>
            </w:tcBorders>
            <w:shd w:val="clear" w:color="auto" w:fill="auto"/>
            <w:noWrap/>
            <w:vAlign w:val="center"/>
            <w:hideMark/>
          </w:tcPr>
          <w:p w14:paraId="00637B0C"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center"/>
            <w:hideMark/>
          </w:tcPr>
          <w:p w14:paraId="03741BA8"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center"/>
            <w:hideMark/>
          </w:tcPr>
          <w:p w14:paraId="1855BA87"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center"/>
            <w:hideMark/>
          </w:tcPr>
          <w:p w14:paraId="2BE17B43"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center"/>
            <w:hideMark/>
          </w:tcPr>
          <w:p w14:paraId="04427F11"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center"/>
            <w:hideMark/>
          </w:tcPr>
          <w:p w14:paraId="0611501C"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center"/>
            <w:hideMark/>
          </w:tcPr>
          <w:p w14:paraId="613B0259"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C130FE" w:rsidRPr="00471351" w14:paraId="747A7CD0" w14:textId="77777777" w:rsidTr="002F7131">
        <w:trPr>
          <w:trHeight w:val="405"/>
        </w:trPr>
        <w:tc>
          <w:tcPr>
            <w:tcW w:w="5947" w:type="dxa"/>
            <w:gridSpan w:val="3"/>
            <w:tcBorders>
              <w:top w:val="nil"/>
              <w:left w:val="nil"/>
              <w:bottom w:val="nil"/>
              <w:right w:val="nil"/>
            </w:tcBorders>
            <w:shd w:val="clear" w:color="auto" w:fill="auto"/>
            <w:noWrap/>
            <w:vAlign w:val="center"/>
            <w:hideMark/>
          </w:tcPr>
          <w:p w14:paraId="3CF416A4" w14:textId="77777777" w:rsidR="00C130FE" w:rsidRPr="00A924BF" w:rsidRDefault="00C130FE" w:rsidP="002F7131">
            <w:pPr>
              <w:tabs>
                <w:tab w:val="clear" w:pos="794"/>
                <w:tab w:val="clear" w:pos="1191"/>
                <w:tab w:val="clear" w:pos="1588"/>
                <w:tab w:val="clear" w:pos="1985"/>
              </w:tabs>
              <w:overflowPunct/>
              <w:autoSpaceDE/>
              <w:autoSpaceDN/>
              <w:adjustRightInd/>
              <w:spacing w:before="0"/>
              <w:textAlignment w:val="auto"/>
              <w:rPr>
                <w:rFonts w:eastAsia="STKaiti" w:cstheme="minorHAnsi"/>
                <w:b/>
                <w:bCs/>
                <w:color w:val="002060"/>
                <w:sz w:val="28"/>
                <w:szCs w:val="28"/>
                <w:lang w:eastAsia="zh-CN"/>
              </w:rPr>
            </w:pPr>
            <w:r w:rsidRPr="00A924BF">
              <w:rPr>
                <w:rFonts w:eastAsia="STKaiti" w:cstheme="minorHAnsi"/>
                <w:b/>
                <w:bCs/>
                <w:color w:val="002060"/>
                <w:sz w:val="28"/>
                <w:szCs w:val="28"/>
                <w:lang w:eastAsia="zh-CN"/>
              </w:rPr>
              <w:t>国际电联区域代表处和地区办事处</w:t>
            </w:r>
            <w:r w:rsidRPr="00A924BF">
              <w:rPr>
                <w:rFonts w:eastAsia="STKaiti" w:cstheme="minorHAnsi"/>
                <w:b/>
                <w:bCs/>
                <w:color w:val="002060"/>
                <w:sz w:val="28"/>
                <w:szCs w:val="28"/>
                <w:lang w:eastAsia="zh-CN"/>
              </w:rPr>
              <w:t>2022</w:t>
            </w:r>
            <w:r w:rsidRPr="00A924BF">
              <w:rPr>
                <w:rFonts w:eastAsia="STKaiti" w:cstheme="minorHAnsi"/>
                <w:b/>
                <w:bCs/>
                <w:color w:val="002060"/>
                <w:sz w:val="28"/>
                <w:szCs w:val="28"/>
                <w:lang w:eastAsia="zh-CN"/>
              </w:rPr>
              <w:t>年</w:t>
            </w:r>
          </w:p>
        </w:tc>
        <w:tc>
          <w:tcPr>
            <w:tcW w:w="1285" w:type="dxa"/>
            <w:tcBorders>
              <w:top w:val="nil"/>
              <w:left w:val="nil"/>
              <w:bottom w:val="nil"/>
              <w:right w:val="nil"/>
            </w:tcBorders>
            <w:shd w:val="clear" w:color="auto" w:fill="auto"/>
            <w:noWrap/>
            <w:vAlign w:val="center"/>
            <w:hideMark/>
          </w:tcPr>
          <w:p w14:paraId="7B156246"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SimSun" w:hAnsi="SimSun"/>
                <w:b/>
                <w:bCs/>
                <w:color w:val="002060"/>
                <w:sz w:val="28"/>
                <w:szCs w:val="28"/>
                <w:lang w:eastAsia="zh-CN"/>
              </w:rPr>
            </w:pPr>
          </w:p>
        </w:tc>
        <w:tc>
          <w:tcPr>
            <w:tcW w:w="1285" w:type="dxa"/>
            <w:tcBorders>
              <w:top w:val="nil"/>
              <w:left w:val="nil"/>
              <w:bottom w:val="nil"/>
              <w:right w:val="nil"/>
            </w:tcBorders>
            <w:shd w:val="clear" w:color="auto" w:fill="auto"/>
            <w:noWrap/>
            <w:vAlign w:val="center"/>
            <w:hideMark/>
          </w:tcPr>
          <w:p w14:paraId="7E680951"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85" w:type="dxa"/>
            <w:tcBorders>
              <w:top w:val="nil"/>
              <w:left w:val="nil"/>
              <w:bottom w:val="nil"/>
              <w:right w:val="nil"/>
            </w:tcBorders>
            <w:shd w:val="clear" w:color="auto" w:fill="auto"/>
            <w:noWrap/>
            <w:vAlign w:val="center"/>
            <w:hideMark/>
          </w:tcPr>
          <w:p w14:paraId="783A6C39"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69" w:type="dxa"/>
            <w:tcBorders>
              <w:top w:val="nil"/>
              <w:left w:val="nil"/>
              <w:bottom w:val="nil"/>
              <w:right w:val="nil"/>
            </w:tcBorders>
            <w:shd w:val="clear" w:color="auto" w:fill="auto"/>
            <w:noWrap/>
            <w:vAlign w:val="center"/>
            <w:hideMark/>
          </w:tcPr>
          <w:p w14:paraId="7456B406"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85" w:type="dxa"/>
            <w:tcBorders>
              <w:top w:val="nil"/>
              <w:left w:val="nil"/>
              <w:bottom w:val="nil"/>
              <w:right w:val="nil"/>
            </w:tcBorders>
            <w:shd w:val="clear" w:color="auto" w:fill="auto"/>
            <w:noWrap/>
            <w:vAlign w:val="center"/>
            <w:hideMark/>
          </w:tcPr>
          <w:p w14:paraId="3D454AFB"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08" w:type="dxa"/>
            <w:tcBorders>
              <w:top w:val="nil"/>
              <w:left w:val="nil"/>
              <w:bottom w:val="nil"/>
              <w:right w:val="nil"/>
            </w:tcBorders>
            <w:shd w:val="clear" w:color="auto" w:fill="auto"/>
            <w:noWrap/>
            <w:vAlign w:val="center"/>
            <w:hideMark/>
          </w:tcPr>
          <w:p w14:paraId="265A6251"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C130FE" w:rsidRPr="00471351" w14:paraId="54680795" w14:textId="77777777" w:rsidTr="002F7131">
        <w:trPr>
          <w:trHeight w:val="405"/>
        </w:trPr>
        <w:tc>
          <w:tcPr>
            <w:tcW w:w="5947" w:type="dxa"/>
            <w:gridSpan w:val="3"/>
            <w:tcBorders>
              <w:top w:val="nil"/>
              <w:left w:val="nil"/>
              <w:bottom w:val="nil"/>
              <w:right w:val="nil"/>
            </w:tcBorders>
            <w:shd w:val="clear" w:color="auto" w:fill="auto"/>
            <w:noWrap/>
            <w:vAlign w:val="center"/>
            <w:hideMark/>
          </w:tcPr>
          <w:p w14:paraId="1A132B08"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color w:val="002060"/>
                <w:szCs w:val="24"/>
                <w:lang w:eastAsia="zh-CN"/>
              </w:rPr>
            </w:pPr>
            <w:r w:rsidRPr="00824DFE">
              <w:rPr>
                <w:rFonts w:ascii="Microsoft YaHei" w:eastAsia="STKaiti" w:hAnsi="Microsoft YaHei" w:cs="Microsoft YaHei" w:hint="eastAsia"/>
                <w:b/>
                <w:bCs/>
                <w:iCs/>
                <w:color w:val="002060"/>
                <w:szCs w:val="24"/>
                <w:lang w:eastAsia="zh-CN"/>
              </w:rPr>
              <w:t>按</w:t>
            </w:r>
            <w:r>
              <w:rPr>
                <w:rFonts w:ascii="Microsoft YaHei" w:eastAsia="STKaiti" w:hAnsi="Microsoft YaHei" w:cs="Microsoft YaHei" w:hint="eastAsia"/>
                <w:b/>
                <w:bCs/>
                <w:iCs/>
                <w:color w:val="002060"/>
                <w:szCs w:val="24"/>
                <w:lang w:eastAsia="zh-CN"/>
              </w:rPr>
              <w:t>区域</w:t>
            </w:r>
            <w:r w:rsidRPr="00824DFE">
              <w:rPr>
                <w:rFonts w:ascii="Microsoft YaHei" w:eastAsia="STKaiti" w:hAnsi="Microsoft YaHei" w:cs="Microsoft YaHei" w:hint="eastAsia"/>
                <w:b/>
                <w:bCs/>
                <w:iCs/>
                <w:color w:val="002060"/>
                <w:szCs w:val="24"/>
                <w:lang w:eastAsia="zh-CN"/>
              </w:rPr>
              <w:t>和支出类别列出的计划支出</w:t>
            </w:r>
          </w:p>
        </w:tc>
        <w:tc>
          <w:tcPr>
            <w:tcW w:w="1285" w:type="dxa"/>
            <w:tcBorders>
              <w:top w:val="nil"/>
              <w:left w:val="nil"/>
              <w:bottom w:val="nil"/>
              <w:right w:val="nil"/>
            </w:tcBorders>
            <w:shd w:val="clear" w:color="auto" w:fill="auto"/>
            <w:noWrap/>
            <w:vAlign w:val="center"/>
            <w:hideMark/>
          </w:tcPr>
          <w:p w14:paraId="6C6681EF"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color w:val="002060"/>
                <w:szCs w:val="24"/>
                <w:lang w:eastAsia="zh-CN"/>
              </w:rPr>
            </w:pPr>
          </w:p>
        </w:tc>
        <w:tc>
          <w:tcPr>
            <w:tcW w:w="1285" w:type="dxa"/>
            <w:tcBorders>
              <w:top w:val="nil"/>
              <w:left w:val="nil"/>
              <w:bottom w:val="nil"/>
              <w:right w:val="nil"/>
            </w:tcBorders>
            <w:shd w:val="clear" w:color="auto" w:fill="auto"/>
            <w:noWrap/>
            <w:vAlign w:val="center"/>
            <w:hideMark/>
          </w:tcPr>
          <w:p w14:paraId="33939839"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85" w:type="dxa"/>
            <w:tcBorders>
              <w:top w:val="nil"/>
              <w:left w:val="nil"/>
              <w:bottom w:val="nil"/>
              <w:right w:val="nil"/>
            </w:tcBorders>
            <w:shd w:val="clear" w:color="auto" w:fill="auto"/>
            <w:noWrap/>
            <w:vAlign w:val="center"/>
            <w:hideMark/>
          </w:tcPr>
          <w:p w14:paraId="404399D9"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69" w:type="dxa"/>
            <w:tcBorders>
              <w:top w:val="nil"/>
              <w:left w:val="nil"/>
              <w:bottom w:val="nil"/>
              <w:right w:val="nil"/>
            </w:tcBorders>
            <w:shd w:val="clear" w:color="auto" w:fill="auto"/>
            <w:noWrap/>
            <w:vAlign w:val="center"/>
            <w:hideMark/>
          </w:tcPr>
          <w:p w14:paraId="7C71FD2F"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85" w:type="dxa"/>
            <w:tcBorders>
              <w:top w:val="nil"/>
              <w:left w:val="nil"/>
              <w:bottom w:val="nil"/>
              <w:right w:val="nil"/>
            </w:tcBorders>
            <w:shd w:val="clear" w:color="auto" w:fill="auto"/>
            <w:noWrap/>
            <w:vAlign w:val="center"/>
            <w:hideMark/>
          </w:tcPr>
          <w:p w14:paraId="3C0AEEBB"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08" w:type="dxa"/>
            <w:tcBorders>
              <w:top w:val="nil"/>
              <w:left w:val="nil"/>
              <w:bottom w:val="nil"/>
              <w:right w:val="nil"/>
            </w:tcBorders>
            <w:shd w:val="clear" w:color="auto" w:fill="auto"/>
            <w:noWrap/>
            <w:vAlign w:val="center"/>
            <w:hideMark/>
          </w:tcPr>
          <w:p w14:paraId="0A75631D"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C130FE" w:rsidRPr="00471351" w14:paraId="2737BF08" w14:textId="77777777" w:rsidTr="002F7131">
        <w:trPr>
          <w:trHeight w:val="195"/>
        </w:trPr>
        <w:tc>
          <w:tcPr>
            <w:tcW w:w="3162" w:type="dxa"/>
            <w:tcBorders>
              <w:top w:val="nil"/>
              <w:left w:val="nil"/>
              <w:bottom w:val="nil"/>
              <w:right w:val="nil"/>
            </w:tcBorders>
            <w:shd w:val="clear" w:color="auto" w:fill="auto"/>
            <w:noWrap/>
            <w:vAlign w:val="center"/>
            <w:hideMark/>
          </w:tcPr>
          <w:p w14:paraId="35F7B3E0"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0802" w:type="dxa"/>
            <w:gridSpan w:val="8"/>
            <w:tcBorders>
              <w:top w:val="nil"/>
              <w:left w:val="nil"/>
              <w:bottom w:val="nil"/>
              <w:right w:val="nil"/>
            </w:tcBorders>
            <w:shd w:val="clear" w:color="auto" w:fill="auto"/>
            <w:noWrap/>
            <w:vAlign w:val="center"/>
            <w:hideMark/>
          </w:tcPr>
          <w:p w14:paraId="7ABC5C8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471351">
              <w:rPr>
                <w:rFonts w:ascii="STKaiti" w:eastAsia="STKaiti" w:hAnsi="STKaiti" w:hint="eastAsia"/>
                <w:color w:val="002060"/>
                <w:sz w:val="18"/>
                <w:szCs w:val="18"/>
              </w:rPr>
              <w:t>单位：千瑞郎</w:t>
            </w:r>
          </w:p>
        </w:tc>
      </w:tr>
      <w:tr w:rsidR="00C130FE" w:rsidRPr="00471351" w14:paraId="41EEDE3D" w14:textId="77777777" w:rsidTr="002F7131">
        <w:trPr>
          <w:trHeight w:val="345"/>
        </w:trPr>
        <w:tc>
          <w:tcPr>
            <w:tcW w:w="3162" w:type="dxa"/>
            <w:tcBorders>
              <w:top w:val="nil"/>
              <w:left w:val="nil"/>
              <w:bottom w:val="nil"/>
              <w:right w:val="nil"/>
            </w:tcBorders>
            <w:shd w:val="clear" w:color="auto" w:fill="auto"/>
            <w:noWrap/>
            <w:vAlign w:val="center"/>
            <w:hideMark/>
          </w:tcPr>
          <w:p w14:paraId="20A84AB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471351">
              <w:rPr>
                <w:rFonts w:eastAsia="Times New Roman" w:cs="Calibri"/>
                <w:sz w:val="20"/>
              </w:rPr>
              <w:t xml:space="preserve"> </w:t>
            </w:r>
          </w:p>
        </w:tc>
        <w:tc>
          <w:tcPr>
            <w:tcW w:w="9394" w:type="dxa"/>
            <w:gridSpan w:val="7"/>
            <w:tcBorders>
              <w:top w:val="nil"/>
              <w:left w:val="nil"/>
              <w:bottom w:val="nil"/>
              <w:right w:val="nil"/>
            </w:tcBorders>
            <w:shd w:val="clear" w:color="auto" w:fill="auto"/>
            <w:noWrap/>
            <w:vAlign w:val="center"/>
            <w:hideMark/>
          </w:tcPr>
          <w:p w14:paraId="7347C3F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lang w:eastAsia="zh-CN"/>
              </w:rPr>
            </w:pPr>
            <w:r w:rsidRPr="00471351">
              <w:rPr>
                <w:rFonts w:ascii="STKaiti" w:eastAsia="STKaiti" w:hAnsi="STKaiti" w:hint="eastAsia"/>
                <w:b/>
                <w:bCs/>
                <w:color w:val="002060"/>
                <w:sz w:val="20"/>
                <w:lang w:eastAsia="zh-CN"/>
              </w:rPr>
              <w:t>国际电联区域代表处和地区办事处</w:t>
            </w:r>
          </w:p>
        </w:tc>
        <w:tc>
          <w:tcPr>
            <w:tcW w:w="1408" w:type="dxa"/>
            <w:tcBorders>
              <w:top w:val="nil"/>
              <w:left w:val="nil"/>
              <w:bottom w:val="nil"/>
              <w:right w:val="nil"/>
            </w:tcBorders>
            <w:shd w:val="clear" w:color="auto" w:fill="auto"/>
            <w:noWrap/>
            <w:vAlign w:val="center"/>
            <w:hideMark/>
          </w:tcPr>
          <w:p w14:paraId="2334F6D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lang w:eastAsia="zh-CN"/>
              </w:rPr>
            </w:pPr>
            <w:r w:rsidRPr="00471351">
              <w:rPr>
                <w:rFonts w:ascii="Helv" w:eastAsia="Times New Roman" w:hAnsi="Helv"/>
                <w:noProof/>
                <w:sz w:val="20"/>
              </w:rPr>
              <mc:AlternateContent>
                <mc:Choice Requires="wps">
                  <w:drawing>
                    <wp:anchor distT="0" distB="0" distL="114300" distR="114300" simplePos="0" relativeHeight="251717632" behindDoc="0" locked="0" layoutInCell="1" allowOverlap="1" wp14:anchorId="2AEC1ADD" wp14:editId="3ECF57D8">
                      <wp:simplePos x="0" y="0"/>
                      <wp:positionH relativeFrom="column">
                        <wp:posOffset>-54610</wp:posOffset>
                      </wp:positionH>
                      <wp:positionV relativeFrom="paragraph">
                        <wp:posOffset>192405</wp:posOffset>
                      </wp:positionV>
                      <wp:extent cx="882015" cy="4241800"/>
                      <wp:effectExtent l="0" t="0" r="13335" b="25400"/>
                      <wp:wrapNone/>
                      <wp:docPr id="98" name="圆角矩形 98">
                        <a:extLst xmlns:a="http://schemas.openxmlformats.org/drawingml/2006/main">
                          <a:ext uri="{FF2B5EF4-FFF2-40B4-BE49-F238E27FC236}">
                            <a16:creationId xmlns:a16="http://schemas.microsoft.com/office/drawing/2014/main" id="{A81BD76E-3CA1-284B-AFA3-9EF8B7E51C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424180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407C0B94" id="圆角矩形 98" o:spid="_x0000_s1026" style="position:absolute;margin-left:-4.3pt;margin-top:15.15pt;width:69.45pt;height:33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" filled="f" strokecolor="#0070c0" strokeweight="1pt"/>
                  </w:pict>
                </mc:Fallback>
              </mc:AlternateContent>
            </w:r>
          </w:p>
        </w:tc>
      </w:tr>
      <w:tr w:rsidR="00C130FE" w:rsidRPr="00471351" w14:paraId="6107F70A" w14:textId="77777777" w:rsidTr="002F7131">
        <w:trPr>
          <w:trHeight w:val="150"/>
        </w:trPr>
        <w:tc>
          <w:tcPr>
            <w:tcW w:w="3162" w:type="dxa"/>
            <w:tcBorders>
              <w:top w:val="nil"/>
              <w:left w:val="nil"/>
              <w:bottom w:val="nil"/>
              <w:right w:val="nil"/>
            </w:tcBorders>
            <w:shd w:val="clear" w:color="auto" w:fill="auto"/>
            <w:noWrap/>
            <w:vAlign w:val="center"/>
            <w:hideMark/>
          </w:tcPr>
          <w:p w14:paraId="03D0AA39"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500" w:type="dxa"/>
            <w:tcBorders>
              <w:top w:val="nil"/>
              <w:left w:val="nil"/>
              <w:bottom w:val="nil"/>
              <w:right w:val="nil"/>
            </w:tcBorders>
            <w:shd w:val="clear" w:color="auto" w:fill="auto"/>
            <w:noWrap/>
            <w:vAlign w:val="bottom"/>
            <w:hideMark/>
          </w:tcPr>
          <w:p w14:paraId="771EFAEF"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lang w:eastAsia="zh-CN"/>
              </w:rPr>
            </w:pPr>
          </w:p>
        </w:tc>
        <w:tc>
          <w:tcPr>
            <w:tcW w:w="1285" w:type="dxa"/>
            <w:tcBorders>
              <w:top w:val="nil"/>
              <w:left w:val="nil"/>
              <w:bottom w:val="nil"/>
              <w:right w:val="nil"/>
            </w:tcBorders>
            <w:shd w:val="clear" w:color="auto" w:fill="auto"/>
            <w:noWrap/>
            <w:vAlign w:val="center"/>
            <w:hideMark/>
          </w:tcPr>
          <w:p w14:paraId="7A8DA5CC"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85" w:type="dxa"/>
            <w:tcBorders>
              <w:top w:val="nil"/>
              <w:left w:val="nil"/>
              <w:bottom w:val="nil"/>
              <w:right w:val="nil"/>
            </w:tcBorders>
            <w:shd w:val="clear" w:color="auto" w:fill="auto"/>
            <w:noWrap/>
            <w:vAlign w:val="center"/>
            <w:hideMark/>
          </w:tcPr>
          <w:p w14:paraId="271E706E"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85" w:type="dxa"/>
            <w:tcBorders>
              <w:top w:val="nil"/>
              <w:left w:val="nil"/>
              <w:bottom w:val="nil"/>
              <w:right w:val="nil"/>
            </w:tcBorders>
            <w:shd w:val="clear" w:color="auto" w:fill="auto"/>
            <w:noWrap/>
            <w:vAlign w:val="center"/>
            <w:hideMark/>
          </w:tcPr>
          <w:p w14:paraId="55CC0666"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r w:rsidRPr="00825AB8">
              <w:rPr>
                <w:rFonts w:ascii="Helv" w:eastAsia="Times New Roman" w:hAnsi="Helv"/>
                <w:noProof/>
                <w:sz w:val="20"/>
              </w:rPr>
              <mc:AlternateContent>
                <mc:Choice Requires="wps">
                  <w:drawing>
                    <wp:anchor distT="0" distB="0" distL="114300" distR="114300" simplePos="0" relativeHeight="251718656" behindDoc="0" locked="0" layoutInCell="1" allowOverlap="1" wp14:anchorId="3369BEDA" wp14:editId="7ACB92AC">
                      <wp:simplePos x="0" y="0"/>
                      <wp:positionH relativeFrom="column">
                        <wp:posOffset>332105</wp:posOffset>
                      </wp:positionH>
                      <wp:positionV relativeFrom="paragraph">
                        <wp:posOffset>-2924810</wp:posOffset>
                      </wp:positionV>
                      <wp:extent cx="45085" cy="5923280"/>
                      <wp:effectExtent l="0" t="5397" r="25717" b="25718"/>
                      <wp:wrapNone/>
                      <wp:docPr id="1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5085" cy="5923280"/>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9A16853" id="AutoShape 15" o:spid="_x0000_s1026" type="#_x0000_t85" style="position:absolute;margin-left:26.15pt;margin-top:-230.3pt;width:3.55pt;height:466.4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" adj="187" strokecolor="#0070c0" strokeweight="1pt"/>
                  </w:pict>
                </mc:Fallback>
              </mc:AlternateContent>
            </w:r>
          </w:p>
        </w:tc>
        <w:tc>
          <w:tcPr>
            <w:tcW w:w="1285" w:type="dxa"/>
            <w:tcBorders>
              <w:top w:val="nil"/>
              <w:left w:val="nil"/>
              <w:bottom w:val="nil"/>
              <w:right w:val="nil"/>
            </w:tcBorders>
            <w:shd w:val="clear" w:color="auto" w:fill="auto"/>
            <w:noWrap/>
            <w:vAlign w:val="center"/>
            <w:hideMark/>
          </w:tcPr>
          <w:p w14:paraId="0F1E5A1D"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69" w:type="dxa"/>
            <w:tcBorders>
              <w:top w:val="nil"/>
              <w:left w:val="nil"/>
              <w:bottom w:val="nil"/>
              <w:right w:val="nil"/>
            </w:tcBorders>
            <w:shd w:val="clear" w:color="auto" w:fill="auto"/>
            <w:noWrap/>
            <w:vAlign w:val="center"/>
            <w:hideMark/>
          </w:tcPr>
          <w:p w14:paraId="1A73C2F5"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85" w:type="dxa"/>
            <w:tcBorders>
              <w:top w:val="nil"/>
              <w:left w:val="nil"/>
              <w:bottom w:val="nil"/>
              <w:right w:val="nil"/>
            </w:tcBorders>
            <w:shd w:val="clear" w:color="auto" w:fill="auto"/>
            <w:noWrap/>
            <w:vAlign w:val="center"/>
            <w:hideMark/>
          </w:tcPr>
          <w:p w14:paraId="660B0239"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08" w:type="dxa"/>
            <w:tcBorders>
              <w:top w:val="nil"/>
              <w:left w:val="nil"/>
              <w:bottom w:val="nil"/>
              <w:right w:val="nil"/>
            </w:tcBorders>
            <w:shd w:val="clear" w:color="auto" w:fill="auto"/>
            <w:noWrap/>
            <w:vAlign w:val="center"/>
            <w:hideMark/>
          </w:tcPr>
          <w:p w14:paraId="4F614103"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C130FE" w:rsidRPr="00471351" w14:paraId="7DBA0FF5" w14:textId="77777777" w:rsidTr="002F7131">
        <w:trPr>
          <w:trHeight w:val="20"/>
        </w:trPr>
        <w:tc>
          <w:tcPr>
            <w:tcW w:w="3162" w:type="dxa"/>
            <w:tcBorders>
              <w:top w:val="nil"/>
              <w:left w:val="nil"/>
              <w:bottom w:val="nil"/>
              <w:right w:val="nil"/>
            </w:tcBorders>
            <w:shd w:val="clear" w:color="auto" w:fill="auto"/>
            <w:noWrap/>
            <w:vAlign w:val="center"/>
            <w:hideMark/>
          </w:tcPr>
          <w:p w14:paraId="099D2A81"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500" w:type="dxa"/>
            <w:tcBorders>
              <w:top w:val="nil"/>
              <w:left w:val="single" w:sz="4" w:space="0" w:color="0070C0"/>
              <w:bottom w:val="nil"/>
              <w:right w:val="nil"/>
            </w:tcBorders>
            <w:shd w:val="clear" w:color="auto" w:fill="auto"/>
            <w:hideMark/>
          </w:tcPr>
          <w:p w14:paraId="6D74519B"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lang w:eastAsia="zh-CN"/>
              </w:rPr>
            </w:pPr>
            <w:r w:rsidRPr="00CD7402">
              <w:rPr>
                <w:rFonts w:cstheme="minorHAnsi"/>
                <w:sz w:val="20"/>
                <w:lang w:eastAsia="zh-CN"/>
              </w:rPr>
              <w:t>区域代表处和地区办事处共同支出</w:t>
            </w:r>
          </w:p>
        </w:tc>
        <w:tc>
          <w:tcPr>
            <w:tcW w:w="1285" w:type="dxa"/>
            <w:tcBorders>
              <w:top w:val="nil"/>
              <w:left w:val="nil"/>
              <w:bottom w:val="nil"/>
              <w:right w:val="nil"/>
            </w:tcBorders>
            <w:shd w:val="clear" w:color="auto" w:fill="auto"/>
            <w:hideMark/>
          </w:tcPr>
          <w:p w14:paraId="226B90BC"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rPr>
            </w:pPr>
            <w:r w:rsidRPr="00CD7402">
              <w:rPr>
                <w:rFonts w:cstheme="minorHAnsi"/>
                <w:sz w:val="20"/>
              </w:rPr>
              <w:t>非洲区域</w:t>
            </w:r>
            <w:r w:rsidRPr="00CD7402">
              <w:rPr>
                <w:rFonts w:cstheme="minorHAnsi"/>
                <w:sz w:val="20"/>
              </w:rPr>
              <w:br/>
            </w:r>
            <w:r w:rsidRPr="00CD7402">
              <w:rPr>
                <w:rFonts w:cstheme="minorHAnsi"/>
                <w:sz w:val="20"/>
              </w:rPr>
              <w:t>（</w:t>
            </w:r>
            <w:r w:rsidRPr="00CD7402">
              <w:rPr>
                <w:rFonts w:cstheme="minorHAnsi"/>
                <w:sz w:val="20"/>
              </w:rPr>
              <w:t>AFR</w:t>
            </w:r>
            <w:r w:rsidRPr="00CD7402">
              <w:rPr>
                <w:rFonts w:cstheme="minorHAnsi"/>
                <w:sz w:val="20"/>
              </w:rPr>
              <w:t>）</w:t>
            </w:r>
          </w:p>
        </w:tc>
        <w:tc>
          <w:tcPr>
            <w:tcW w:w="1285" w:type="dxa"/>
            <w:tcBorders>
              <w:top w:val="nil"/>
              <w:left w:val="nil"/>
              <w:bottom w:val="nil"/>
              <w:right w:val="nil"/>
            </w:tcBorders>
            <w:shd w:val="clear" w:color="auto" w:fill="auto"/>
            <w:hideMark/>
          </w:tcPr>
          <w:p w14:paraId="139C45A8"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rPr>
            </w:pPr>
            <w:r w:rsidRPr="00CD7402">
              <w:rPr>
                <w:rFonts w:cstheme="minorHAnsi"/>
                <w:sz w:val="20"/>
              </w:rPr>
              <w:t>美洲区域</w:t>
            </w:r>
            <w:r w:rsidRPr="00CD7402">
              <w:rPr>
                <w:rFonts w:cstheme="minorHAnsi"/>
                <w:sz w:val="20"/>
              </w:rPr>
              <w:br/>
            </w:r>
            <w:r w:rsidRPr="00CD7402">
              <w:rPr>
                <w:rFonts w:cstheme="minorHAnsi"/>
                <w:sz w:val="20"/>
              </w:rPr>
              <w:t>（</w:t>
            </w:r>
            <w:r w:rsidRPr="00CD7402">
              <w:rPr>
                <w:rFonts w:cstheme="minorHAnsi"/>
                <w:sz w:val="20"/>
              </w:rPr>
              <w:t>AMS</w:t>
            </w:r>
            <w:r w:rsidRPr="00CD7402">
              <w:rPr>
                <w:rFonts w:cstheme="minorHAnsi"/>
                <w:sz w:val="20"/>
              </w:rPr>
              <w:t>）</w:t>
            </w:r>
          </w:p>
        </w:tc>
        <w:tc>
          <w:tcPr>
            <w:tcW w:w="1285" w:type="dxa"/>
            <w:tcBorders>
              <w:top w:val="nil"/>
              <w:left w:val="nil"/>
              <w:bottom w:val="nil"/>
              <w:right w:val="nil"/>
            </w:tcBorders>
            <w:shd w:val="clear" w:color="auto" w:fill="auto"/>
            <w:hideMark/>
          </w:tcPr>
          <w:p w14:paraId="6D28EAD6"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lang w:eastAsia="zh-CN"/>
              </w:rPr>
            </w:pPr>
            <w:r w:rsidRPr="00CD7402">
              <w:rPr>
                <w:rFonts w:cstheme="minorHAnsi"/>
                <w:sz w:val="20"/>
                <w:lang w:eastAsia="zh-CN"/>
              </w:rPr>
              <w:t>阿拉伯区域（</w:t>
            </w:r>
            <w:r w:rsidRPr="00CD7402">
              <w:rPr>
                <w:rFonts w:cstheme="minorHAnsi"/>
                <w:sz w:val="20"/>
                <w:lang w:eastAsia="zh-CN"/>
              </w:rPr>
              <w:t>ARB</w:t>
            </w:r>
            <w:r w:rsidRPr="00CD7402">
              <w:rPr>
                <w:rFonts w:cstheme="minorHAnsi"/>
                <w:sz w:val="20"/>
                <w:lang w:eastAsia="zh-CN"/>
              </w:rPr>
              <w:t>）</w:t>
            </w:r>
          </w:p>
        </w:tc>
        <w:tc>
          <w:tcPr>
            <w:tcW w:w="1285" w:type="dxa"/>
            <w:tcBorders>
              <w:top w:val="nil"/>
              <w:left w:val="nil"/>
              <w:bottom w:val="nil"/>
              <w:right w:val="nil"/>
            </w:tcBorders>
            <w:shd w:val="clear" w:color="auto" w:fill="auto"/>
            <w:hideMark/>
          </w:tcPr>
          <w:p w14:paraId="55C60568"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rPr>
            </w:pPr>
            <w:r w:rsidRPr="00CD7402">
              <w:rPr>
                <w:rFonts w:cstheme="minorHAnsi"/>
                <w:sz w:val="20"/>
              </w:rPr>
              <w:t>亚太区域</w:t>
            </w:r>
            <w:r w:rsidRPr="00CD7402">
              <w:rPr>
                <w:rFonts w:cstheme="minorHAnsi"/>
                <w:sz w:val="20"/>
              </w:rPr>
              <w:br/>
            </w:r>
            <w:r w:rsidRPr="00CD7402">
              <w:rPr>
                <w:rFonts w:cstheme="minorHAnsi"/>
                <w:sz w:val="20"/>
              </w:rPr>
              <w:t>（</w:t>
            </w:r>
            <w:r w:rsidRPr="00CD7402">
              <w:rPr>
                <w:rFonts w:cstheme="minorHAnsi"/>
                <w:sz w:val="20"/>
              </w:rPr>
              <w:t>ASP</w:t>
            </w:r>
            <w:r w:rsidRPr="00CD7402">
              <w:rPr>
                <w:rFonts w:cstheme="minorHAnsi"/>
                <w:sz w:val="20"/>
              </w:rPr>
              <w:t>）</w:t>
            </w:r>
          </w:p>
        </w:tc>
        <w:tc>
          <w:tcPr>
            <w:tcW w:w="1469" w:type="dxa"/>
            <w:tcBorders>
              <w:top w:val="nil"/>
              <w:left w:val="nil"/>
              <w:bottom w:val="nil"/>
              <w:right w:val="nil"/>
            </w:tcBorders>
            <w:shd w:val="clear" w:color="auto" w:fill="auto"/>
            <w:hideMark/>
          </w:tcPr>
          <w:p w14:paraId="28CA55C0"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lang w:eastAsia="zh-CN"/>
              </w:rPr>
            </w:pPr>
            <w:r w:rsidRPr="00CD7402">
              <w:rPr>
                <w:rFonts w:cstheme="minorHAnsi"/>
                <w:sz w:val="20"/>
                <w:lang w:eastAsia="zh-CN"/>
              </w:rPr>
              <w:t>独联体国家</w:t>
            </w:r>
            <w:r>
              <w:rPr>
                <w:rFonts w:cstheme="minorHAnsi"/>
                <w:sz w:val="20"/>
                <w:lang w:eastAsia="zh-CN"/>
              </w:rPr>
              <w:br/>
            </w:r>
            <w:r w:rsidRPr="00CD7402">
              <w:rPr>
                <w:rFonts w:cstheme="minorHAnsi"/>
                <w:sz w:val="20"/>
                <w:lang w:eastAsia="zh-CN"/>
              </w:rPr>
              <w:t>区域（</w:t>
            </w:r>
            <w:r w:rsidRPr="00CD7402">
              <w:rPr>
                <w:rFonts w:cstheme="minorHAnsi"/>
                <w:sz w:val="20"/>
                <w:lang w:eastAsia="zh-CN"/>
              </w:rPr>
              <w:t>CIS</w:t>
            </w:r>
            <w:r w:rsidRPr="00CD7402">
              <w:rPr>
                <w:rFonts w:cstheme="minorHAnsi"/>
                <w:sz w:val="20"/>
                <w:lang w:eastAsia="zh-CN"/>
              </w:rPr>
              <w:t>）</w:t>
            </w:r>
          </w:p>
        </w:tc>
        <w:tc>
          <w:tcPr>
            <w:tcW w:w="1285" w:type="dxa"/>
            <w:tcBorders>
              <w:top w:val="nil"/>
              <w:left w:val="nil"/>
              <w:bottom w:val="nil"/>
              <w:right w:val="nil"/>
            </w:tcBorders>
            <w:shd w:val="clear" w:color="auto" w:fill="auto"/>
            <w:hideMark/>
          </w:tcPr>
          <w:p w14:paraId="754880F6"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rPr>
            </w:pPr>
            <w:r w:rsidRPr="00CD7402">
              <w:rPr>
                <w:rFonts w:cstheme="minorHAnsi"/>
                <w:sz w:val="20"/>
              </w:rPr>
              <w:t>欧洲区域</w:t>
            </w:r>
            <w:r>
              <w:rPr>
                <w:rFonts w:cstheme="minorHAnsi"/>
                <w:sz w:val="20"/>
              </w:rPr>
              <w:br/>
            </w:r>
            <w:r w:rsidRPr="00CD7402">
              <w:rPr>
                <w:rFonts w:cstheme="minorHAnsi"/>
                <w:sz w:val="20"/>
              </w:rPr>
              <w:t>（</w:t>
            </w:r>
            <w:r w:rsidRPr="00CD7402">
              <w:rPr>
                <w:rFonts w:cstheme="minorHAnsi"/>
                <w:sz w:val="20"/>
              </w:rPr>
              <w:t>EUR</w:t>
            </w:r>
            <w:r w:rsidRPr="00CD7402">
              <w:rPr>
                <w:rFonts w:cstheme="minorHAnsi"/>
                <w:sz w:val="20"/>
              </w:rPr>
              <w:t>）</w:t>
            </w:r>
          </w:p>
        </w:tc>
        <w:tc>
          <w:tcPr>
            <w:tcW w:w="1408" w:type="dxa"/>
            <w:tcBorders>
              <w:top w:val="nil"/>
              <w:left w:val="nil"/>
              <w:bottom w:val="nil"/>
              <w:right w:val="nil"/>
            </w:tcBorders>
            <w:shd w:val="clear" w:color="auto" w:fill="auto"/>
            <w:noWrap/>
            <w:vAlign w:val="center"/>
            <w:hideMark/>
          </w:tcPr>
          <w:p w14:paraId="798851E1"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b/>
                <w:bCs/>
                <w:color w:val="002060"/>
                <w:sz w:val="20"/>
              </w:rPr>
            </w:pPr>
            <w:r w:rsidRPr="00CD7402">
              <w:rPr>
                <w:rFonts w:cstheme="minorHAnsi"/>
                <w:b/>
                <w:bCs/>
                <w:color w:val="002060"/>
                <w:sz w:val="20"/>
              </w:rPr>
              <w:t>合计</w:t>
            </w:r>
          </w:p>
        </w:tc>
      </w:tr>
      <w:tr w:rsidR="00C130FE" w:rsidRPr="00471351" w14:paraId="31348D3D" w14:textId="77777777" w:rsidTr="002F7131">
        <w:trPr>
          <w:trHeight w:val="20"/>
        </w:trPr>
        <w:tc>
          <w:tcPr>
            <w:tcW w:w="3162" w:type="dxa"/>
            <w:tcBorders>
              <w:top w:val="nil"/>
              <w:left w:val="nil"/>
              <w:bottom w:val="single" w:sz="4" w:space="0" w:color="auto"/>
              <w:right w:val="nil"/>
            </w:tcBorders>
            <w:shd w:val="clear" w:color="auto" w:fill="auto"/>
            <w:noWrap/>
            <w:vAlign w:val="center"/>
            <w:hideMark/>
          </w:tcPr>
          <w:p w14:paraId="66032782"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sz w:val="20"/>
              </w:rPr>
            </w:pPr>
            <w:r w:rsidRPr="00471351">
              <w:rPr>
                <w:rFonts w:eastAsia="Times New Roman" w:cs="Calibri"/>
                <w:b/>
                <w:bCs/>
                <w:i/>
                <w:iCs/>
                <w:sz w:val="20"/>
              </w:rPr>
              <w:t> </w:t>
            </w:r>
          </w:p>
        </w:tc>
        <w:tc>
          <w:tcPr>
            <w:tcW w:w="1500" w:type="dxa"/>
            <w:tcBorders>
              <w:top w:val="nil"/>
              <w:left w:val="single" w:sz="4" w:space="0" w:color="0070C0"/>
              <w:bottom w:val="single" w:sz="4" w:space="0" w:color="auto"/>
              <w:right w:val="nil"/>
            </w:tcBorders>
            <w:shd w:val="clear" w:color="auto" w:fill="auto"/>
            <w:noWrap/>
            <w:vAlign w:val="center"/>
            <w:hideMark/>
          </w:tcPr>
          <w:p w14:paraId="220F89A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471351">
              <w:rPr>
                <w:rFonts w:eastAsia="Times New Roman" w:cs="Calibri"/>
                <w:sz w:val="20"/>
              </w:rPr>
              <w:t> </w:t>
            </w:r>
          </w:p>
        </w:tc>
        <w:tc>
          <w:tcPr>
            <w:tcW w:w="1285" w:type="dxa"/>
            <w:tcBorders>
              <w:top w:val="nil"/>
              <w:left w:val="nil"/>
              <w:bottom w:val="single" w:sz="4" w:space="0" w:color="auto"/>
              <w:right w:val="nil"/>
            </w:tcBorders>
            <w:shd w:val="clear" w:color="auto" w:fill="auto"/>
            <w:noWrap/>
            <w:vAlign w:val="center"/>
            <w:hideMark/>
          </w:tcPr>
          <w:p w14:paraId="4920CD4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471351">
              <w:rPr>
                <w:rFonts w:eastAsia="Times New Roman" w:cs="Calibri"/>
                <w:sz w:val="20"/>
              </w:rPr>
              <w:t> </w:t>
            </w:r>
          </w:p>
        </w:tc>
        <w:tc>
          <w:tcPr>
            <w:tcW w:w="1285" w:type="dxa"/>
            <w:tcBorders>
              <w:top w:val="nil"/>
              <w:left w:val="nil"/>
              <w:bottom w:val="single" w:sz="4" w:space="0" w:color="auto"/>
              <w:right w:val="nil"/>
            </w:tcBorders>
            <w:shd w:val="clear" w:color="auto" w:fill="auto"/>
            <w:noWrap/>
            <w:vAlign w:val="center"/>
            <w:hideMark/>
          </w:tcPr>
          <w:p w14:paraId="0A70993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471351">
              <w:rPr>
                <w:rFonts w:eastAsia="Times New Roman" w:cs="Calibri"/>
                <w:sz w:val="20"/>
              </w:rPr>
              <w:t> </w:t>
            </w:r>
          </w:p>
        </w:tc>
        <w:tc>
          <w:tcPr>
            <w:tcW w:w="1285" w:type="dxa"/>
            <w:tcBorders>
              <w:top w:val="nil"/>
              <w:left w:val="nil"/>
              <w:bottom w:val="single" w:sz="4" w:space="0" w:color="auto"/>
              <w:right w:val="nil"/>
            </w:tcBorders>
            <w:shd w:val="clear" w:color="auto" w:fill="auto"/>
            <w:noWrap/>
            <w:vAlign w:val="center"/>
            <w:hideMark/>
          </w:tcPr>
          <w:p w14:paraId="1CB31DE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471351">
              <w:rPr>
                <w:rFonts w:eastAsia="Times New Roman" w:cs="Calibri"/>
                <w:sz w:val="20"/>
              </w:rPr>
              <w:t> </w:t>
            </w:r>
          </w:p>
        </w:tc>
        <w:tc>
          <w:tcPr>
            <w:tcW w:w="1285" w:type="dxa"/>
            <w:tcBorders>
              <w:top w:val="nil"/>
              <w:left w:val="nil"/>
              <w:bottom w:val="single" w:sz="4" w:space="0" w:color="auto"/>
              <w:right w:val="nil"/>
            </w:tcBorders>
            <w:shd w:val="clear" w:color="auto" w:fill="auto"/>
            <w:noWrap/>
            <w:vAlign w:val="center"/>
            <w:hideMark/>
          </w:tcPr>
          <w:p w14:paraId="1E8E62C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471351">
              <w:rPr>
                <w:rFonts w:eastAsia="Times New Roman" w:cs="Calibri"/>
                <w:sz w:val="20"/>
              </w:rPr>
              <w:t> </w:t>
            </w:r>
          </w:p>
        </w:tc>
        <w:tc>
          <w:tcPr>
            <w:tcW w:w="1469" w:type="dxa"/>
            <w:tcBorders>
              <w:top w:val="nil"/>
              <w:left w:val="nil"/>
              <w:bottom w:val="single" w:sz="4" w:space="0" w:color="auto"/>
              <w:right w:val="nil"/>
            </w:tcBorders>
            <w:shd w:val="clear" w:color="auto" w:fill="auto"/>
            <w:noWrap/>
            <w:vAlign w:val="center"/>
            <w:hideMark/>
          </w:tcPr>
          <w:p w14:paraId="577174C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471351">
              <w:rPr>
                <w:rFonts w:eastAsia="Times New Roman" w:cs="Calibri"/>
                <w:sz w:val="20"/>
              </w:rPr>
              <w:t> </w:t>
            </w:r>
          </w:p>
        </w:tc>
        <w:tc>
          <w:tcPr>
            <w:tcW w:w="1285" w:type="dxa"/>
            <w:tcBorders>
              <w:top w:val="nil"/>
              <w:left w:val="nil"/>
              <w:bottom w:val="single" w:sz="4" w:space="0" w:color="auto"/>
              <w:right w:val="nil"/>
            </w:tcBorders>
            <w:shd w:val="clear" w:color="auto" w:fill="auto"/>
            <w:noWrap/>
            <w:vAlign w:val="center"/>
            <w:hideMark/>
          </w:tcPr>
          <w:p w14:paraId="36996DAD"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471351">
              <w:rPr>
                <w:rFonts w:eastAsia="Times New Roman" w:cs="Calibri"/>
                <w:sz w:val="20"/>
              </w:rPr>
              <w:t> </w:t>
            </w:r>
          </w:p>
        </w:tc>
        <w:tc>
          <w:tcPr>
            <w:tcW w:w="1408" w:type="dxa"/>
            <w:tcBorders>
              <w:top w:val="nil"/>
              <w:left w:val="nil"/>
              <w:bottom w:val="single" w:sz="4" w:space="0" w:color="auto"/>
              <w:right w:val="nil"/>
            </w:tcBorders>
            <w:shd w:val="clear" w:color="auto" w:fill="auto"/>
            <w:noWrap/>
            <w:vAlign w:val="center"/>
            <w:hideMark/>
          </w:tcPr>
          <w:p w14:paraId="371163F5"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471351">
              <w:rPr>
                <w:rFonts w:eastAsia="Times New Roman" w:cs="Calibri"/>
                <w:b/>
                <w:bCs/>
                <w:color w:val="002060"/>
                <w:sz w:val="20"/>
              </w:rPr>
              <w:t> </w:t>
            </w:r>
          </w:p>
        </w:tc>
      </w:tr>
      <w:tr w:rsidR="00C130FE" w:rsidRPr="00471351" w14:paraId="68A09564" w14:textId="77777777" w:rsidTr="002F7131">
        <w:trPr>
          <w:trHeight w:val="20"/>
        </w:trPr>
        <w:tc>
          <w:tcPr>
            <w:tcW w:w="3162" w:type="dxa"/>
            <w:tcBorders>
              <w:top w:val="nil"/>
              <w:left w:val="nil"/>
              <w:bottom w:val="nil"/>
              <w:right w:val="nil"/>
            </w:tcBorders>
            <w:shd w:val="clear" w:color="auto" w:fill="auto"/>
            <w:noWrap/>
            <w:vAlign w:val="center"/>
            <w:hideMark/>
          </w:tcPr>
          <w:p w14:paraId="481B31D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00" w:type="dxa"/>
            <w:tcBorders>
              <w:top w:val="nil"/>
              <w:left w:val="single" w:sz="4" w:space="0" w:color="0070C0"/>
              <w:bottom w:val="nil"/>
              <w:right w:val="nil"/>
            </w:tcBorders>
            <w:shd w:val="clear" w:color="auto" w:fill="auto"/>
            <w:noWrap/>
            <w:vAlign w:val="center"/>
            <w:hideMark/>
          </w:tcPr>
          <w:p w14:paraId="5653759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85" w:type="dxa"/>
            <w:tcBorders>
              <w:top w:val="nil"/>
              <w:left w:val="nil"/>
              <w:bottom w:val="nil"/>
              <w:right w:val="nil"/>
            </w:tcBorders>
            <w:shd w:val="clear" w:color="auto" w:fill="auto"/>
            <w:noWrap/>
            <w:vAlign w:val="center"/>
            <w:hideMark/>
          </w:tcPr>
          <w:p w14:paraId="5AD3316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center"/>
            <w:hideMark/>
          </w:tcPr>
          <w:p w14:paraId="731BB09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center"/>
            <w:hideMark/>
          </w:tcPr>
          <w:p w14:paraId="0853293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center"/>
            <w:hideMark/>
          </w:tcPr>
          <w:p w14:paraId="7961D79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center"/>
            <w:hideMark/>
          </w:tcPr>
          <w:p w14:paraId="39995C55"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center"/>
            <w:hideMark/>
          </w:tcPr>
          <w:p w14:paraId="4B77E8A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center"/>
            <w:hideMark/>
          </w:tcPr>
          <w:p w14:paraId="5224CB85"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5CC62E7C" w14:textId="77777777" w:rsidTr="002F7131">
        <w:trPr>
          <w:trHeight w:val="20"/>
        </w:trPr>
        <w:tc>
          <w:tcPr>
            <w:tcW w:w="3162" w:type="dxa"/>
            <w:tcBorders>
              <w:top w:val="nil"/>
              <w:left w:val="nil"/>
              <w:bottom w:val="nil"/>
              <w:right w:val="nil"/>
            </w:tcBorders>
            <w:shd w:val="clear" w:color="auto" w:fill="auto"/>
            <w:noWrap/>
            <w:vAlign w:val="bottom"/>
            <w:hideMark/>
          </w:tcPr>
          <w:p w14:paraId="739002A1"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CD7402">
              <w:rPr>
                <w:rFonts w:cstheme="minorHAnsi"/>
                <w:sz w:val="20"/>
              </w:rPr>
              <w:t xml:space="preserve">1 - </w:t>
            </w:r>
            <w:r w:rsidRPr="00CD7402">
              <w:rPr>
                <w:rFonts w:cstheme="minorHAnsi"/>
                <w:sz w:val="20"/>
              </w:rPr>
              <w:t>人员费用</w:t>
            </w:r>
          </w:p>
        </w:tc>
        <w:tc>
          <w:tcPr>
            <w:tcW w:w="1500" w:type="dxa"/>
            <w:tcBorders>
              <w:top w:val="nil"/>
              <w:left w:val="single" w:sz="4" w:space="0" w:color="0070C0"/>
              <w:bottom w:val="nil"/>
              <w:right w:val="nil"/>
            </w:tcBorders>
            <w:shd w:val="clear" w:color="auto" w:fill="auto"/>
            <w:noWrap/>
            <w:vAlign w:val="bottom"/>
            <w:hideMark/>
          </w:tcPr>
          <w:p w14:paraId="76C1CA8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0382A5F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1,515</w:t>
            </w:r>
          </w:p>
        </w:tc>
        <w:tc>
          <w:tcPr>
            <w:tcW w:w="1285" w:type="dxa"/>
            <w:tcBorders>
              <w:top w:val="nil"/>
              <w:left w:val="nil"/>
              <w:bottom w:val="nil"/>
              <w:right w:val="nil"/>
            </w:tcBorders>
            <w:shd w:val="clear" w:color="auto" w:fill="auto"/>
            <w:noWrap/>
            <w:vAlign w:val="bottom"/>
            <w:hideMark/>
          </w:tcPr>
          <w:p w14:paraId="4626766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1,496</w:t>
            </w:r>
          </w:p>
        </w:tc>
        <w:tc>
          <w:tcPr>
            <w:tcW w:w="1285" w:type="dxa"/>
            <w:tcBorders>
              <w:top w:val="nil"/>
              <w:left w:val="nil"/>
              <w:bottom w:val="nil"/>
              <w:right w:val="nil"/>
            </w:tcBorders>
            <w:shd w:val="clear" w:color="auto" w:fill="auto"/>
            <w:noWrap/>
            <w:vAlign w:val="bottom"/>
            <w:hideMark/>
          </w:tcPr>
          <w:p w14:paraId="4C996705"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647</w:t>
            </w:r>
          </w:p>
        </w:tc>
        <w:tc>
          <w:tcPr>
            <w:tcW w:w="1285" w:type="dxa"/>
            <w:tcBorders>
              <w:top w:val="nil"/>
              <w:left w:val="nil"/>
              <w:bottom w:val="nil"/>
              <w:right w:val="nil"/>
            </w:tcBorders>
            <w:shd w:val="clear" w:color="auto" w:fill="auto"/>
            <w:noWrap/>
            <w:vAlign w:val="bottom"/>
            <w:hideMark/>
          </w:tcPr>
          <w:p w14:paraId="3412129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1,003</w:t>
            </w:r>
          </w:p>
        </w:tc>
        <w:tc>
          <w:tcPr>
            <w:tcW w:w="1469" w:type="dxa"/>
            <w:tcBorders>
              <w:top w:val="nil"/>
              <w:left w:val="nil"/>
              <w:bottom w:val="nil"/>
              <w:right w:val="nil"/>
            </w:tcBorders>
            <w:shd w:val="clear" w:color="auto" w:fill="auto"/>
            <w:noWrap/>
            <w:vAlign w:val="bottom"/>
            <w:hideMark/>
          </w:tcPr>
          <w:p w14:paraId="34601AA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355</w:t>
            </w:r>
          </w:p>
        </w:tc>
        <w:tc>
          <w:tcPr>
            <w:tcW w:w="1285" w:type="dxa"/>
            <w:tcBorders>
              <w:top w:val="nil"/>
              <w:left w:val="nil"/>
              <w:bottom w:val="nil"/>
              <w:right w:val="nil"/>
            </w:tcBorders>
            <w:shd w:val="clear" w:color="auto" w:fill="auto"/>
            <w:noWrap/>
            <w:vAlign w:val="bottom"/>
            <w:hideMark/>
          </w:tcPr>
          <w:p w14:paraId="65EB2C7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364</w:t>
            </w:r>
          </w:p>
        </w:tc>
        <w:tc>
          <w:tcPr>
            <w:tcW w:w="1408" w:type="dxa"/>
            <w:tcBorders>
              <w:top w:val="nil"/>
              <w:left w:val="nil"/>
              <w:bottom w:val="nil"/>
              <w:right w:val="nil"/>
            </w:tcBorders>
            <w:shd w:val="clear" w:color="auto" w:fill="auto"/>
            <w:noWrap/>
            <w:vAlign w:val="bottom"/>
            <w:hideMark/>
          </w:tcPr>
          <w:p w14:paraId="0A14D89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5,380</w:t>
            </w:r>
          </w:p>
        </w:tc>
      </w:tr>
      <w:tr w:rsidR="00C130FE" w:rsidRPr="00471351" w14:paraId="215881A7" w14:textId="77777777" w:rsidTr="002F7131">
        <w:trPr>
          <w:trHeight w:val="20"/>
        </w:trPr>
        <w:tc>
          <w:tcPr>
            <w:tcW w:w="3162" w:type="dxa"/>
            <w:tcBorders>
              <w:top w:val="nil"/>
              <w:left w:val="nil"/>
              <w:bottom w:val="nil"/>
              <w:right w:val="nil"/>
            </w:tcBorders>
            <w:shd w:val="clear" w:color="auto" w:fill="auto"/>
            <w:noWrap/>
            <w:vAlign w:val="bottom"/>
            <w:hideMark/>
          </w:tcPr>
          <w:p w14:paraId="39F24122"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500" w:type="dxa"/>
            <w:tcBorders>
              <w:top w:val="nil"/>
              <w:left w:val="single" w:sz="4" w:space="0" w:color="0070C0"/>
              <w:bottom w:val="nil"/>
              <w:right w:val="nil"/>
            </w:tcBorders>
            <w:shd w:val="clear" w:color="auto" w:fill="auto"/>
            <w:noWrap/>
            <w:vAlign w:val="bottom"/>
            <w:hideMark/>
          </w:tcPr>
          <w:p w14:paraId="1DB99962"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743E0AE2"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bottom"/>
            <w:hideMark/>
          </w:tcPr>
          <w:p w14:paraId="0B34687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7498EB35"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298436C2"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bottom"/>
            <w:hideMark/>
          </w:tcPr>
          <w:p w14:paraId="5035768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2E11393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bottom"/>
            <w:hideMark/>
          </w:tcPr>
          <w:p w14:paraId="65CDC05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275DBCD4" w14:textId="77777777" w:rsidTr="002F7131">
        <w:trPr>
          <w:trHeight w:val="20"/>
        </w:trPr>
        <w:tc>
          <w:tcPr>
            <w:tcW w:w="3162" w:type="dxa"/>
            <w:tcBorders>
              <w:top w:val="nil"/>
              <w:left w:val="nil"/>
              <w:bottom w:val="nil"/>
              <w:right w:val="nil"/>
            </w:tcBorders>
            <w:shd w:val="clear" w:color="auto" w:fill="auto"/>
            <w:noWrap/>
            <w:vAlign w:val="bottom"/>
            <w:hideMark/>
          </w:tcPr>
          <w:p w14:paraId="5B72B869"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CD7402">
              <w:rPr>
                <w:rFonts w:cstheme="minorHAnsi"/>
                <w:sz w:val="20"/>
              </w:rPr>
              <w:t xml:space="preserve">2 - </w:t>
            </w:r>
            <w:r w:rsidRPr="00CD7402">
              <w:rPr>
                <w:rFonts w:cstheme="minorHAnsi"/>
                <w:sz w:val="20"/>
              </w:rPr>
              <w:t>其他人员费用</w:t>
            </w:r>
          </w:p>
        </w:tc>
        <w:tc>
          <w:tcPr>
            <w:tcW w:w="1500" w:type="dxa"/>
            <w:tcBorders>
              <w:top w:val="nil"/>
              <w:left w:val="single" w:sz="4" w:space="0" w:color="0070C0"/>
              <w:bottom w:val="nil"/>
              <w:right w:val="nil"/>
            </w:tcBorders>
            <w:shd w:val="clear" w:color="auto" w:fill="auto"/>
            <w:noWrap/>
            <w:vAlign w:val="bottom"/>
            <w:hideMark/>
          </w:tcPr>
          <w:p w14:paraId="5B197EB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7C1E316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446</w:t>
            </w:r>
          </w:p>
        </w:tc>
        <w:tc>
          <w:tcPr>
            <w:tcW w:w="1285" w:type="dxa"/>
            <w:tcBorders>
              <w:top w:val="nil"/>
              <w:left w:val="nil"/>
              <w:bottom w:val="nil"/>
              <w:right w:val="nil"/>
            </w:tcBorders>
            <w:shd w:val="clear" w:color="auto" w:fill="auto"/>
            <w:noWrap/>
            <w:vAlign w:val="bottom"/>
            <w:hideMark/>
          </w:tcPr>
          <w:p w14:paraId="2D59315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440</w:t>
            </w:r>
          </w:p>
        </w:tc>
        <w:tc>
          <w:tcPr>
            <w:tcW w:w="1285" w:type="dxa"/>
            <w:tcBorders>
              <w:top w:val="nil"/>
              <w:left w:val="nil"/>
              <w:bottom w:val="nil"/>
              <w:right w:val="nil"/>
            </w:tcBorders>
            <w:shd w:val="clear" w:color="auto" w:fill="auto"/>
            <w:noWrap/>
            <w:vAlign w:val="bottom"/>
            <w:hideMark/>
          </w:tcPr>
          <w:p w14:paraId="51C71EBD"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191</w:t>
            </w:r>
          </w:p>
        </w:tc>
        <w:tc>
          <w:tcPr>
            <w:tcW w:w="1285" w:type="dxa"/>
            <w:tcBorders>
              <w:top w:val="nil"/>
              <w:left w:val="nil"/>
              <w:bottom w:val="nil"/>
              <w:right w:val="nil"/>
            </w:tcBorders>
            <w:shd w:val="clear" w:color="auto" w:fill="auto"/>
            <w:noWrap/>
            <w:vAlign w:val="bottom"/>
            <w:hideMark/>
          </w:tcPr>
          <w:p w14:paraId="5EF318B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296</w:t>
            </w:r>
          </w:p>
        </w:tc>
        <w:tc>
          <w:tcPr>
            <w:tcW w:w="1469" w:type="dxa"/>
            <w:tcBorders>
              <w:top w:val="nil"/>
              <w:left w:val="nil"/>
              <w:bottom w:val="nil"/>
              <w:right w:val="nil"/>
            </w:tcBorders>
            <w:shd w:val="clear" w:color="auto" w:fill="auto"/>
            <w:noWrap/>
            <w:vAlign w:val="bottom"/>
            <w:hideMark/>
          </w:tcPr>
          <w:p w14:paraId="2F081F7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103</w:t>
            </w:r>
          </w:p>
        </w:tc>
        <w:tc>
          <w:tcPr>
            <w:tcW w:w="1285" w:type="dxa"/>
            <w:tcBorders>
              <w:top w:val="nil"/>
              <w:left w:val="nil"/>
              <w:bottom w:val="nil"/>
              <w:right w:val="nil"/>
            </w:tcBorders>
            <w:shd w:val="clear" w:color="auto" w:fill="auto"/>
            <w:noWrap/>
            <w:vAlign w:val="bottom"/>
            <w:hideMark/>
          </w:tcPr>
          <w:p w14:paraId="65AAE84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105</w:t>
            </w:r>
          </w:p>
        </w:tc>
        <w:tc>
          <w:tcPr>
            <w:tcW w:w="1408" w:type="dxa"/>
            <w:tcBorders>
              <w:top w:val="nil"/>
              <w:left w:val="nil"/>
              <w:bottom w:val="nil"/>
              <w:right w:val="nil"/>
            </w:tcBorders>
            <w:shd w:val="clear" w:color="auto" w:fill="auto"/>
            <w:noWrap/>
            <w:vAlign w:val="bottom"/>
            <w:hideMark/>
          </w:tcPr>
          <w:p w14:paraId="689E98ED"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1,581</w:t>
            </w:r>
          </w:p>
        </w:tc>
      </w:tr>
      <w:tr w:rsidR="00C130FE" w:rsidRPr="00471351" w14:paraId="6206CC9D" w14:textId="77777777" w:rsidTr="002F7131">
        <w:trPr>
          <w:trHeight w:val="20"/>
        </w:trPr>
        <w:tc>
          <w:tcPr>
            <w:tcW w:w="3162" w:type="dxa"/>
            <w:tcBorders>
              <w:top w:val="nil"/>
              <w:left w:val="nil"/>
              <w:bottom w:val="nil"/>
              <w:right w:val="nil"/>
            </w:tcBorders>
            <w:shd w:val="clear" w:color="auto" w:fill="auto"/>
            <w:noWrap/>
            <w:vAlign w:val="bottom"/>
            <w:hideMark/>
          </w:tcPr>
          <w:p w14:paraId="5221C6BD"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500" w:type="dxa"/>
            <w:tcBorders>
              <w:top w:val="nil"/>
              <w:left w:val="single" w:sz="4" w:space="0" w:color="0070C0"/>
              <w:bottom w:val="nil"/>
              <w:right w:val="nil"/>
            </w:tcBorders>
            <w:shd w:val="clear" w:color="auto" w:fill="auto"/>
            <w:noWrap/>
            <w:vAlign w:val="bottom"/>
            <w:hideMark/>
          </w:tcPr>
          <w:p w14:paraId="74D2239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3CAB428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bottom"/>
            <w:hideMark/>
          </w:tcPr>
          <w:p w14:paraId="1123E83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29908882"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28D1A6BD"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bottom"/>
            <w:hideMark/>
          </w:tcPr>
          <w:p w14:paraId="0DF66D6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41CF48C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bottom"/>
            <w:hideMark/>
          </w:tcPr>
          <w:p w14:paraId="4828D882"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6088276C" w14:textId="77777777" w:rsidTr="002F7131">
        <w:trPr>
          <w:trHeight w:val="20"/>
        </w:trPr>
        <w:tc>
          <w:tcPr>
            <w:tcW w:w="3162" w:type="dxa"/>
            <w:tcBorders>
              <w:top w:val="nil"/>
              <w:left w:val="nil"/>
              <w:bottom w:val="nil"/>
              <w:right w:val="nil"/>
            </w:tcBorders>
            <w:shd w:val="clear" w:color="auto" w:fill="auto"/>
            <w:noWrap/>
            <w:vAlign w:val="bottom"/>
            <w:hideMark/>
          </w:tcPr>
          <w:p w14:paraId="39E497A0"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CD7402">
              <w:rPr>
                <w:rFonts w:cstheme="minorHAnsi"/>
                <w:sz w:val="20"/>
              </w:rPr>
              <w:t xml:space="preserve">3 - </w:t>
            </w:r>
            <w:r w:rsidRPr="00CD7402">
              <w:rPr>
                <w:rFonts w:cstheme="minorHAnsi"/>
                <w:sz w:val="20"/>
              </w:rPr>
              <w:t>公务差旅</w:t>
            </w:r>
          </w:p>
        </w:tc>
        <w:tc>
          <w:tcPr>
            <w:tcW w:w="1500" w:type="dxa"/>
            <w:tcBorders>
              <w:top w:val="nil"/>
              <w:left w:val="single" w:sz="4" w:space="0" w:color="0070C0"/>
              <w:bottom w:val="nil"/>
              <w:right w:val="nil"/>
            </w:tcBorders>
            <w:shd w:val="clear" w:color="auto" w:fill="auto"/>
            <w:noWrap/>
            <w:vAlign w:val="bottom"/>
            <w:hideMark/>
          </w:tcPr>
          <w:p w14:paraId="1199A0E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4DBDA3B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50</w:t>
            </w:r>
          </w:p>
        </w:tc>
        <w:tc>
          <w:tcPr>
            <w:tcW w:w="1285" w:type="dxa"/>
            <w:tcBorders>
              <w:top w:val="nil"/>
              <w:left w:val="nil"/>
              <w:bottom w:val="nil"/>
              <w:right w:val="nil"/>
            </w:tcBorders>
            <w:shd w:val="clear" w:color="auto" w:fill="auto"/>
            <w:noWrap/>
            <w:vAlign w:val="bottom"/>
            <w:hideMark/>
          </w:tcPr>
          <w:p w14:paraId="7F3E845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49</w:t>
            </w:r>
          </w:p>
        </w:tc>
        <w:tc>
          <w:tcPr>
            <w:tcW w:w="1285" w:type="dxa"/>
            <w:tcBorders>
              <w:top w:val="nil"/>
              <w:left w:val="nil"/>
              <w:bottom w:val="nil"/>
              <w:right w:val="nil"/>
            </w:tcBorders>
            <w:shd w:val="clear" w:color="auto" w:fill="auto"/>
            <w:noWrap/>
            <w:vAlign w:val="bottom"/>
            <w:hideMark/>
          </w:tcPr>
          <w:p w14:paraId="1C68B84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32</w:t>
            </w:r>
          </w:p>
        </w:tc>
        <w:tc>
          <w:tcPr>
            <w:tcW w:w="1285" w:type="dxa"/>
            <w:tcBorders>
              <w:top w:val="nil"/>
              <w:left w:val="nil"/>
              <w:bottom w:val="nil"/>
              <w:right w:val="nil"/>
            </w:tcBorders>
            <w:shd w:val="clear" w:color="auto" w:fill="auto"/>
            <w:noWrap/>
            <w:vAlign w:val="bottom"/>
            <w:hideMark/>
          </w:tcPr>
          <w:p w14:paraId="78735DF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36</w:t>
            </w:r>
          </w:p>
        </w:tc>
        <w:tc>
          <w:tcPr>
            <w:tcW w:w="1469" w:type="dxa"/>
            <w:tcBorders>
              <w:top w:val="nil"/>
              <w:left w:val="nil"/>
              <w:bottom w:val="nil"/>
              <w:right w:val="nil"/>
            </w:tcBorders>
            <w:shd w:val="clear" w:color="auto" w:fill="auto"/>
            <w:noWrap/>
            <w:vAlign w:val="bottom"/>
            <w:hideMark/>
          </w:tcPr>
          <w:p w14:paraId="7CE93142"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22</w:t>
            </w:r>
          </w:p>
        </w:tc>
        <w:tc>
          <w:tcPr>
            <w:tcW w:w="1285" w:type="dxa"/>
            <w:tcBorders>
              <w:top w:val="nil"/>
              <w:left w:val="nil"/>
              <w:bottom w:val="nil"/>
              <w:right w:val="nil"/>
            </w:tcBorders>
            <w:shd w:val="clear" w:color="auto" w:fill="auto"/>
            <w:noWrap/>
            <w:vAlign w:val="bottom"/>
            <w:hideMark/>
          </w:tcPr>
          <w:p w14:paraId="1913B17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18</w:t>
            </w:r>
          </w:p>
        </w:tc>
        <w:tc>
          <w:tcPr>
            <w:tcW w:w="1408" w:type="dxa"/>
            <w:tcBorders>
              <w:top w:val="nil"/>
              <w:left w:val="nil"/>
              <w:bottom w:val="nil"/>
              <w:right w:val="nil"/>
            </w:tcBorders>
            <w:shd w:val="clear" w:color="auto" w:fill="auto"/>
            <w:noWrap/>
            <w:vAlign w:val="bottom"/>
            <w:hideMark/>
          </w:tcPr>
          <w:p w14:paraId="238C82F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207</w:t>
            </w:r>
          </w:p>
        </w:tc>
      </w:tr>
      <w:tr w:rsidR="00C130FE" w:rsidRPr="00471351" w14:paraId="2D14520A" w14:textId="77777777" w:rsidTr="002F7131">
        <w:trPr>
          <w:trHeight w:val="20"/>
        </w:trPr>
        <w:tc>
          <w:tcPr>
            <w:tcW w:w="3162" w:type="dxa"/>
            <w:tcBorders>
              <w:top w:val="nil"/>
              <w:left w:val="nil"/>
              <w:bottom w:val="nil"/>
              <w:right w:val="nil"/>
            </w:tcBorders>
            <w:shd w:val="clear" w:color="auto" w:fill="auto"/>
            <w:noWrap/>
            <w:vAlign w:val="bottom"/>
            <w:hideMark/>
          </w:tcPr>
          <w:p w14:paraId="625D4C33"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500" w:type="dxa"/>
            <w:tcBorders>
              <w:top w:val="nil"/>
              <w:left w:val="single" w:sz="4" w:space="0" w:color="0070C0"/>
              <w:bottom w:val="nil"/>
              <w:right w:val="nil"/>
            </w:tcBorders>
            <w:shd w:val="clear" w:color="auto" w:fill="auto"/>
            <w:noWrap/>
            <w:vAlign w:val="bottom"/>
            <w:hideMark/>
          </w:tcPr>
          <w:p w14:paraId="304124E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4E32A79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bottom"/>
            <w:hideMark/>
          </w:tcPr>
          <w:p w14:paraId="0853F94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188E5C0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286D467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bottom"/>
            <w:hideMark/>
          </w:tcPr>
          <w:p w14:paraId="03353FD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2CDED135"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bottom"/>
            <w:hideMark/>
          </w:tcPr>
          <w:p w14:paraId="7B0C974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5F42D06E" w14:textId="77777777" w:rsidTr="002F7131">
        <w:trPr>
          <w:trHeight w:val="20"/>
        </w:trPr>
        <w:tc>
          <w:tcPr>
            <w:tcW w:w="3162" w:type="dxa"/>
            <w:tcBorders>
              <w:top w:val="nil"/>
              <w:left w:val="nil"/>
              <w:bottom w:val="nil"/>
              <w:right w:val="nil"/>
            </w:tcBorders>
            <w:shd w:val="clear" w:color="auto" w:fill="auto"/>
            <w:noWrap/>
            <w:vAlign w:val="bottom"/>
            <w:hideMark/>
          </w:tcPr>
          <w:p w14:paraId="7F9C1BFA"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CD7402">
              <w:rPr>
                <w:rFonts w:cstheme="minorHAnsi"/>
                <w:sz w:val="20"/>
              </w:rPr>
              <w:t xml:space="preserve">4 - </w:t>
            </w:r>
            <w:r w:rsidRPr="00CD7402">
              <w:rPr>
                <w:rFonts w:cstheme="minorHAnsi"/>
                <w:sz w:val="20"/>
              </w:rPr>
              <w:t>合同服务</w:t>
            </w:r>
          </w:p>
        </w:tc>
        <w:tc>
          <w:tcPr>
            <w:tcW w:w="1500" w:type="dxa"/>
            <w:tcBorders>
              <w:top w:val="nil"/>
              <w:left w:val="single" w:sz="4" w:space="0" w:color="0070C0"/>
              <w:bottom w:val="nil"/>
              <w:right w:val="nil"/>
            </w:tcBorders>
            <w:shd w:val="clear" w:color="auto" w:fill="auto"/>
            <w:noWrap/>
            <w:vAlign w:val="bottom"/>
            <w:hideMark/>
          </w:tcPr>
          <w:p w14:paraId="22EA379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0E625EF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21</w:t>
            </w:r>
          </w:p>
        </w:tc>
        <w:tc>
          <w:tcPr>
            <w:tcW w:w="1285" w:type="dxa"/>
            <w:tcBorders>
              <w:top w:val="nil"/>
              <w:left w:val="nil"/>
              <w:bottom w:val="nil"/>
              <w:right w:val="nil"/>
            </w:tcBorders>
            <w:shd w:val="clear" w:color="auto" w:fill="auto"/>
            <w:noWrap/>
            <w:vAlign w:val="bottom"/>
            <w:hideMark/>
          </w:tcPr>
          <w:p w14:paraId="6EE1E06D"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4</w:t>
            </w:r>
          </w:p>
        </w:tc>
        <w:tc>
          <w:tcPr>
            <w:tcW w:w="1285" w:type="dxa"/>
            <w:tcBorders>
              <w:top w:val="nil"/>
              <w:left w:val="nil"/>
              <w:bottom w:val="nil"/>
              <w:right w:val="nil"/>
            </w:tcBorders>
            <w:shd w:val="clear" w:color="auto" w:fill="auto"/>
            <w:noWrap/>
            <w:vAlign w:val="bottom"/>
            <w:hideMark/>
          </w:tcPr>
          <w:p w14:paraId="6A6BA65D"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5</w:t>
            </w:r>
          </w:p>
        </w:tc>
        <w:tc>
          <w:tcPr>
            <w:tcW w:w="1285" w:type="dxa"/>
            <w:tcBorders>
              <w:top w:val="nil"/>
              <w:left w:val="nil"/>
              <w:bottom w:val="nil"/>
              <w:right w:val="nil"/>
            </w:tcBorders>
            <w:shd w:val="clear" w:color="auto" w:fill="auto"/>
            <w:noWrap/>
            <w:vAlign w:val="bottom"/>
            <w:hideMark/>
          </w:tcPr>
          <w:p w14:paraId="3EDA25D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w:t>
            </w:r>
          </w:p>
        </w:tc>
        <w:tc>
          <w:tcPr>
            <w:tcW w:w="1469" w:type="dxa"/>
            <w:tcBorders>
              <w:top w:val="nil"/>
              <w:left w:val="nil"/>
              <w:bottom w:val="nil"/>
              <w:right w:val="nil"/>
            </w:tcBorders>
            <w:shd w:val="clear" w:color="auto" w:fill="auto"/>
            <w:noWrap/>
            <w:vAlign w:val="bottom"/>
            <w:hideMark/>
          </w:tcPr>
          <w:p w14:paraId="51EB4E3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w:t>
            </w:r>
          </w:p>
        </w:tc>
        <w:tc>
          <w:tcPr>
            <w:tcW w:w="1285" w:type="dxa"/>
            <w:tcBorders>
              <w:top w:val="nil"/>
              <w:left w:val="nil"/>
              <w:bottom w:val="nil"/>
              <w:right w:val="nil"/>
            </w:tcBorders>
            <w:shd w:val="clear" w:color="auto" w:fill="auto"/>
            <w:noWrap/>
            <w:vAlign w:val="bottom"/>
            <w:hideMark/>
          </w:tcPr>
          <w:p w14:paraId="4B24D0B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408" w:type="dxa"/>
            <w:tcBorders>
              <w:top w:val="nil"/>
              <w:left w:val="nil"/>
              <w:bottom w:val="nil"/>
              <w:right w:val="nil"/>
            </w:tcBorders>
            <w:shd w:val="clear" w:color="auto" w:fill="auto"/>
            <w:noWrap/>
            <w:vAlign w:val="bottom"/>
            <w:hideMark/>
          </w:tcPr>
          <w:p w14:paraId="5E68384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36</w:t>
            </w:r>
          </w:p>
        </w:tc>
      </w:tr>
      <w:tr w:rsidR="00C130FE" w:rsidRPr="00471351" w14:paraId="749EEFC7" w14:textId="77777777" w:rsidTr="002F7131">
        <w:trPr>
          <w:trHeight w:val="20"/>
        </w:trPr>
        <w:tc>
          <w:tcPr>
            <w:tcW w:w="3162" w:type="dxa"/>
            <w:tcBorders>
              <w:top w:val="nil"/>
              <w:left w:val="nil"/>
              <w:bottom w:val="nil"/>
              <w:right w:val="nil"/>
            </w:tcBorders>
            <w:shd w:val="clear" w:color="auto" w:fill="auto"/>
            <w:noWrap/>
            <w:vAlign w:val="bottom"/>
            <w:hideMark/>
          </w:tcPr>
          <w:p w14:paraId="2142FC5B"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500" w:type="dxa"/>
            <w:tcBorders>
              <w:top w:val="nil"/>
              <w:left w:val="single" w:sz="4" w:space="0" w:color="0070C0"/>
              <w:bottom w:val="nil"/>
              <w:right w:val="nil"/>
            </w:tcBorders>
            <w:shd w:val="clear" w:color="auto" w:fill="auto"/>
            <w:noWrap/>
            <w:vAlign w:val="bottom"/>
            <w:hideMark/>
          </w:tcPr>
          <w:p w14:paraId="21D7F43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74C0D4E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bottom"/>
            <w:hideMark/>
          </w:tcPr>
          <w:p w14:paraId="24B52DA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55A4A03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27A2CA8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bottom"/>
            <w:hideMark/>
          </w:tcPr>
          <w:p w14:paraId="2B3F61A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3991EC4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bottom"/>
            <w:hideMark/>
          </w:tcPr>
          <w:p w14:paraId="2E224AD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13B85678" w14:textId="77777777" w:rsidTr="002F7131">
        <w:trPr>
          <w:trHeight w:val="20"/>
        </w:trPr>
        <w:tc>
          <w:tcPr>
            <w:tcW w:w="3162" w:type="dxa"/>
            <w:tcBorders>
              <w:top w:val="nil"/>
              <w:left w:val="nil"/>
              <w:bottom w:val="nil"/>
              <w:right w:val="nil"/>
            </w:tcBorders>
            <w:shd w:val="clear" w:color="auto" w:fill="auto"/>
            <w:vAlign w:val="bottom"/>
            <w:hideMark/>
          </w:tcPr>
          <w:p w14:paraId="106189ED"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CD7402">
              <w:rPr>
                <w:rFonts w:cstheme="minorHAnsi"/>
                <w:sz w:val="20"/>
                <w:lang w:eastAsia="zh-CN"/>
              </w:rPr>
              <w:t xml:space="preserve">5 - </w:t>
            </w:r>
            <w:r w:rsidRPr="00CD7402">
              <w:rPr>
                <w:rFonts w:cstheme="minorHAnsi"/>
                <w:sz w:val="20"/>
                <w:lang w:eastAsia="zh-CN"/>
              </w:rPr>
              <w:t>房屋设施和设备的租用与维护</w:t>
            </w:r>
          </w:p>
        </w:tc>
        <w:tc>
          <w:tcPr>
            <w:tcW w:w="1500" w:type="dxa"/>
            <w:tcBorders>
              <w:top w:val="nil"/>
              <w:left w:val="single" w:sz="4" w:space="0" w:color="0070C0"/>
              <w:bottom w:val="nil"/>
              <w:right w:val="nil"/>
            </w:tcBorders>
            <w:shd w:val="clear" w:color="auto" w:fill="auto"/>
            <w:noWrap/>
            <w:vAlign w:val="bottom"/>
            <w:hideMark/>
          </w:tcPr>
          <w:p w14:paraId="08F4FA7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r w:rsidRPr="00471351">
              <w:rPr>
                <w:rFonts w:eastAsia="Times New Roman" w:cs="Calibri"/>
                <w:sz w:val="20"/>
                <w:lang w:eastAsia="zh-CN"/>
              </w:rPr>
              <w:t> </w:t>
            </w:r>
          </w:p>
        </w:tc>
        <w:tc>
          <w:tcPr>
            <w:tcW w:w="1285" w:type="dxa"/>
            <w:tcBorders>
              <w:top w:val="nil"/>
              <w:left w:val="nil"/>
              <w:bottom w:val="nil"/>
              <w:right w:val="nil"/>
            </w:tcBorders>
            <w:shd w:val="clear" w:color="auto" w:fill="auto"/>
            <w:noWrap/>
            <w:vAlign w:val="bottom"/>
            <w:hideMark/>
          </w:tcPr>
          <w:p w14:paraId="3939E8B2"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28</w:t>
            </w:r>
          </w:p>
        </w:tc>
        <w:tc>
          <w:tcPr>
            <w:tcW w:w="1285" w:type="dxa"/>
            <w:tcBorders>
              <w:top w:val="nil"/>
              <w:left w:val="nil"/>
              <w:bottom w:val="nil"/>
              <w:right w:val="nil"/>
            </w:tcBorders>
            <w:shd w:val="clear" w:color="auto" w:fill="auto"/>
            <w:noWrap/>
            <w:vAlign w:val="bottom"/>
            <w:hideMark/>
          </w:tcPr>
          <w:p w14:paraId="7DA0CE5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10</w:t>
            </w:r>
          </w:p>
        </w:tc>
        <w:tc>
          <w:tcPr>
            <w:tcW w:w="1285" w:type="dxa"/>
            <w:tcBorders>
              <w:top w:val="nil"/>
              <w:left w:val="nil"/>
              <w:bottom w:val="nil"/>
              <w:right w:val="nil"/>
            </w:tcBorders>
            <w:shd w:val="clear" w:color="auto" w:fill="auto"/>
            <w:noWrap/>
            <w:vAlign w:val="bottom"/>
            <w:hideMark/>
          </w:tcPr>
          <w:p w14:paraId="1D193CC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4</w:t>
            </w:r>
          </w:p>
        </w:tc>
        <w:tc>
          <w:tcPr>
            <w:tcW w:w="1285" w:type="dxa"/>
            <w:tcBorders>
              <w:top w:val="nil"/>
              <w:left w:val="nil"/>
              <w:bottom w:val="nil"/>
              <w:right w:val="nil"/>
            </w:tcBorders>
            <w:shd w:val="clear" w:color="auto" w:fill="auto"/>
            <w:noWrap/>
            <w:vAlign w:val="bottom"/>
            <w:hideMark/>
          </w:tcPr>
          <w:p w14:paraId="6C3E196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6</w:t>
            </w:r>
          </w:p>
        </w:tc>
        <w:tc>
          <w:tcPr>
            <w:tcW w:w="1469" w:type="dxa"/>
            <w:tcBorders>
              <w:top w:val="nil"/>
              <w:left w:val="nil"/>
              <w:bottom w:val="nil"/>
              <w:right w:val="nil"/>
            </w:tcBorders>
            <w:shd w:val="clear" w:color="auto" w:fill="auto"/>
            <w:noWrap/>
            <w:vAlign w:val="bottom"/>
            <w:hideMark/>
          </w:tcPr>
          <w:p w14:paraId="25606BB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w:t>
            </w:r>
          </w:p>
        </w:tc>
        <w:tc>
          <w:tcPr>
            <w:tcW w:w="1285" w:type="dxa"/>
            <w:tcBorders>
              <w:top w:val="nil"/>
              <w:left w:val="nil"/>
              <w:bottom w:val="nil"/>
              <w:right w:val="nil"/>
            </w:tcBorders>
            <w:shd w:val="clear" w:color="auto" w:fill="auto"/>
            <w:noWrap/>
            <w:vAlign w:val="bottom"/>
            <w:hideMark/>
          </w:tcPr>
          <w:p w14:paraId="7F111E6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408" w:type="dxa"/>
            <w:tcBorders>
              <w:top w:val="nil"/>
              <w:left w:val="nil"/>
              <w:bottom w:val="nil"/>
              <w:right w:val="nil"/>
            </w:tcBorders>
            <w:shd w:val="clear" w:color="auto" w:fill="auto"/>
            <w:noWrap/>
            <w:vAlign w:val="bottom"/>
            <w:hideMark/>
          </w:tcPr>
          <w:p w14:paraId="4EC9185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49</w:t>
            </w:r>
          </w:p>
        </w:tc>
      </w:tr>
      <w:tr w:rsidR="00C130FE" w:rsidRPr="00471351" w14:paraId="2B68ABE4" w14:textId="77777777" w:rsidTr="002F7131">
        <w:trPr>
          <w:trHeight w:val="20"/>
        </w:trPr>
        <w:tc>
          <w:tcPr>
            <w:tcW w:w="3162" w:type="dxa"/>
            <w:tcBorders>
              <w:top w:val="nil"/>
              <w:left w:val="nil"/>
              <w:bottom w:val="nil"/>
              <w:right w:val="nil"/>
            </w:tcBorders>
            <w:shd w:val="clear" w:color="auto" w:fill="auto"/>
            <w:noWrap/>
            <w:vAlign w:val="bottom"/>
            <w:hideMark/>
          </w:tcPr>
          <w:p w14:paraId="21D9F34A"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500" w:type="dxa"/>
            <w:tcBorders>
              <w:top w:val="nil"/>
              <w:left w:val="single" w:sz="4" w:space="0" w:color="0070C0"/>
              <w:bottom w:val="nil"/>
              <w:right w:val="nil"/>
            </w:tcBorders>
            <w:shd w:val="clear" w:color="auto" w:fill="auto"/>
            <w:noWrap/>
            <w:vAlign w:val="bottom"/>
            <w:hideMark/>
          </w:tcPr>
          <w:p w14:paraId="4157327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49384EE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bottom"/>
            <w:hideMark/>
          </w:tcPr>
          <w:p w14:paraId="1038EDC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7306EC0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6B9957E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bottom"/>
            <w:hideMark/>
          </w:tcPr>
          <w:p w14:paraId="74CE1BE5"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22111E7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bottom"/>
            <w:hideMark/>
          </w:tcPr>
          <w:p w14:paraId="05C9D7C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2A49E3C9" w14:textId="77777777" w:rsidTr="002F7131">
        <w:trPr>
          <w:trHeight w:val="20"/>
        </w:trPr>
        <w:tc>
          <w:tcPr>
            <w:tcW w:w="3162" w:type="dxa"/>
            <w:tcBorders>
              <w:top w:val="nil"/>
              <w:left w:val="nil"/>
              <w:bottom w:val="nil"/>
              <w:right w:val="nil"/>
            </w:tcBorders>
            <w:shd w:val="clear" w:color="auto" w:fill="auto"/>
            <w:noWrap/>
            <w:vAlign w:val="bottom"/>
            <w:hideMark/>
          </w:tcPr>
          <w:p w14:paraId="69970A30"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CD7402">
              <w:rPr>
                <w:rFonts w:cstheme="minorHAnsi"/>
                <w:sz w:val="20"/>
              </w:rPr>
              <w:t xml:space="preserve">6 - </w:t>
            </w:r>
            <w:r w:rsidRPr="00CD7402">
              <w:rPr>
                <w:rFonts w:cstheme="minorHAnsi"/>
                <w:sz w:val="20"/>
              </w:rPr>
              <w:t>材料和办公用品</w:t>
            </w:r>
          </w:p>
        </w:tc>
        <w:tc>
          <w:tcPr>
            <w:tcW w:w="1500" w:type="dxa"/>
            <w:tcBorders>
              <w:top w:val="nil"/>
              <w:left w:val="single" w:sz="4" w:space="0" w:color="0070C0"/>
              <w:bottom w:val="nil"/>
              <w:right w:val="nil"/>
            </w:tcBorders>
            <w:shd w:val="clear" w:color="auto" w:fill="auto"/>
            <w:noWrap/>
            <w:vAlign w:val="bottom"/>
            <w:hideMark/>
          </w:tcPr>
          <w:p w14:paraId="626ED4C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50E52A4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19</w:t>
            </w:r>
          </w:p>
        </w:tc>
        <w:tc>
          <w:tcPr>
            <w:tcW w:w="1285" w:type="dxa"/>
            <w:tcBorders>
              <w:top w:val="nil"/>
              <w:left w:val="nil"/>
              <w:bottom w:val="nil"/>
              <w:right w:val="nil"/>
            </w:tcBorders>
            <w:shd w:val="clear" w:color="auto" w:fill="auto"/>
            <w:noWrap/>
            <w:vAlign w:val="bottom"/>
            <w:hideMark/>
          </w:tcPr>
          <w:p w14:paraId="0295010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11</w:t>
            </w:r>
          </w:p>
        </w:tc>
        <w:tc>
          <w:tcPr>
            <w:tcW w:w="1285" w:type="dxa"/>
            <w:tcBorders>
              <w:top w:val="nil"/>
              <w:left w:val="nil"/>
              <w:bottom w:val="nil"/>
              <w:right w:val="nil"/>
            </w:tcBorders>
            <w:shd w:val="clear" w:color="auto" w:fill="auto"/>
            <w:noWrap/>
            <w:vAlign w:val="bottom"/>
            <w:hideMark/>
          </w:tcPr>
          <w:p w14:paraId="295430D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w:t>
            </w:r>
          </w:p>
        </w:tc>
        <w:tc>
          <w:tcPr>
            <w:tcW w:w="1285" w:type="dxa"/>
            <w:tcBorders>
              <w:top w:val="nil"/>
              <w:left w:val="nil"/>
              <w:bottom w:val="nil"/>
              <w:right w:val="nil"/>
            </w:tcBorders>
            <w:shd w:val="clear" w:color="auto" w:fill="auto"/>
            <w:noWrap/>
            <w:vAlign w:val="bottom"/>
            <w:hideMark/>
          </w:tcPr>
          <w:p w14:paraId="1DE2B22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4</w:t>
            </w:r>
          </w:p>
        </w:tc>
        <w:tc>
          <w:tcPr>
            <w:tcW w:w="1469" w:type="dxa"/>
            <w:tcBorders>
              <w:top w:val="nil"/>
              <w:left w:val="nil"/>
              <w:bottom w:val="nil"/>
              <w:right w:val="nil"/>
            </w:tcBorders>
            <w:shd w:val="clear" w:color="auto" w:fill="auto"/>
            <w:noWrap/>
            <w:vAlign w:val="bottom"/>
            <w:hideMark/>
          </w:tcPr>
          <w:p w14:paraId="1CD8566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5</w:t>
            </w:r>
          </w:p>
        </w:tc>
        <w:tc>
          <w:tcPr>
            <w:tcW w:w="1285" w:type="dxa"/>
            <w:tcBorders>
              <w:top w:val="nil"/>
              <w:left w:val="nil"/>
              <w:bottom w:val="nil"/>
              <w:right w:val="nil"/>
            </w:tcBorders>
            <w:shd w:val="clear" w:color="auto" w:fill="auto"/>
            <w:noWrap/>
            <w:vAlign w:val="bottom"/>
            <w:hideMark/>
          </w:tcPr>
          <w:p w14:paraId="3278ADE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2</w:t>
            </w:r>
          </w:p>
        </w:tc>
        <w:tc>
          <w:tcPr>
            <w:tcW w:w="1408" w:type="dxa"/>
            <w:tcBorders>
              <w:top w:val="nil"/>
              <w:left w:val="nil"/>
              <w:bottom w:val="nil"/>
              <w:right w:val="nil"/>
            </w:tcBorders>
            <w:shd w:val="clear" w:color="auto" w:fill="auto"/>
            <w:noWrap/>
            <w:vAlign w:val="bottom"/>
            <w:hideMark/>
          </w:tcPr>
          <w:p w14:paraId="5AB3442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44</w:t>
            </w:r>
          </w:p>
        </w:tc>
      </w:tr>
      <w:tr w:rsidR="00C130FE" w:rsidRPr="00471351" w14:paraId="76B5300F" w14:textId="77777777" w:rsidTr="002F7131">
        <w:trPr>
          <w:trHeight w:val="20"/>
        </w:trPr>
        <w:tc>
          <w:tcPr>
            <w:tcW w:w="3162" w:type="dxa"/>
            <w:tcBorders>
              <w:top w:val="nil"/>
              <w:left w:val="nil"/>
              <w:bottom w:val="nil"/>
              <w:right w:val="nil"/>
            </w:tcBorders>
            <w:shd w:val="clear" w:color="auto" w:fill="auto"/>
            <w:noWrap/>
            <w:vAlign w:val="bottom"/>
            <w:hideMark/>
          </w:tcPr>
          <w:p w14:paraId="6FB44D2A"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500" w:type="dxa"/>
            <w:tcBorders>
              <w:top w:val="nil"/>
              <w:left w:val="single" w:sz="4" w:space="0" w:color="0070C0"/>
              <w:bottom w:val="nil"/>
              <w:right w:val="nil"/>
            </w:tcBorders>
            <w:shd w:val="clear" w:color="auto" w:fill="auto"/>
            <w:noWrap/>
            <w:vAlign w:val="bottom"/>
            <w:hideMark/>
          </w:tcPr>
          <w:p w14:paraId="7301387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10E0494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bottom"/>
            <w:hideMark/>
          </w:tcPr>
          <w:p w14:paraId="07691CF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6688EB3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2DB4CC1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bottom"/>
            <w:hideMark/>
          </w:tcPr>
          <w:p w14:paraId="0C0654C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69EF995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bottom"/>
            <w:hideMark/>
          </w:tcPr>
          <w:p w14:paraId="27DA247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496D4C4E" w14:textId="77777777" w:rsidTr="002F7131">
        <w:trPr>
          <w:trHeight w:val="20"/>
        </w:trPr>
        <w:tc>
          <w:tcPr>
            <w:tcW w:w="3162" w:type="dxa"/>
            <w:tcBorders>
              <w:top w:val="nil"/>
              <w:left w:val="nil"/>
              <w:bottom w:val="nil"/>
              <w:right w:val="nil"/>
            </w:tcBorders>
            <w:shd w:val="clear" w:color="auto" w:fill="auto"/>
            <w:vAlign w:val="bottom"/>
            <w:hideMark/>
          </w:tcPr>
          <w:p w14:paraId="200198F3"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CD7402">
              <w:rPr>
                <w:rFonts w:cstheme="minorHAnsi"/>
                <w:sz w:val="20"/>
                <w:lang w:eastAsia="zh-CN"/>
              </w:rPr>
              <w:t xml:space="preserve">7 - </w:t>
            </w:r>
            <w:r w:rsidRPr="00CD7402">
              <w:rPr>
                <w:rFonts w:cstheme="minorHAnsi"/>
                <w:sz w:val="20"/>
                <w:lang w:eastAsia="zh-CN"/>
              </w:rPr>
              <w:t>房屋设施、家具和设备的采购</w:t>
            </w:r>
          </w:p>
        </w:tc>
        <w:tc>
          <w:tcPr>
            <w:tcW w:w="1500" w:type="dxa"/>
            <w:tcBorders>
              <w:top w:val="nil"/>
              <w:left w:val="single" w:sz="4" w:space="0" w:color="0070C0"/>
              <w:bottom w:val="nil"/>
              <w:right w:val="nil"/>
            </w:tcBorders>
            <w:shd w:val="clear" w:color="auto" w:fill="auto"/>
            <w:noWrap/>
            <w:vAlign w:val="bottom"/>
            <w:hideMark/>
          </w:tcPr>
          <w:p w14:paraId="7855728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57</w:t>
            </w:r>
          </w:p>
        </w:tc>
        <w:tc>
          <w:tcPr>
            <w:tcW w:w="1285" w:type="dxa"/>
            <w:tcBorders>
              <w:top w:val="nil"/>
              <w:left w:val="nil"/>
              <w:bottom w:val="nil"/>
              <w:right w:val="nil"/>
            </w:tcBorders>
            <w:shd w:val="clear" w:color="auto" w:fill="auto"/>
            <w:noWrap/>
            <w:vAlign w:val="bottom"/>
            <w:hideMark/>
          </w:tcPr>
          <w:p w14:paraId="01176D2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bottom"/>
            <w:hideMark/>
          </w:tcPr>
          <w:p w14:paraId="7AC23492"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0767BDF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31EFE54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bottom"/>
            <w:hideMark/>
          </w:tcPr>
          <w:p w14:paraId="5B3BBD3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1DD7D54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bottom"/>
            <w:hideMark/>
          </w:tcPr>
          <w:p w14:paraId="7C1EECB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57</w:t>
            </w:r>
          </w:p>
        </w:tc>
      </w:tr>
      <w:tr w:rsidR="00C130FE" w:rsidRPr="00471351" w14:paraId="7464C668" w14:textId="77777777" w:rsidTr="002F7131">
        <w:trPr>
          <w:trHeight w:val="20"/>
        </w:trPr>
        <w:tc>
          <w:tcPr>
            <w:tcW w:w="3162" w:type="dxa"/>
            <w:tcBorders>
              <w:top w:val="nil"/>
              <w:left w:val="nil"/>
              <w:bottom w:val="nil"/>
              <w:right w:val="nil"/>
            </w:tcBorders>
            <w:shd w:val="clear" w:color="auto" w:fill="auto"/>
            <w:noWrap/>
            <w:vAlign w:val="bottom"/>
            <w:hideMark/>
          </w:tcPr>
          <w:p w14:paraId="01151BFD"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500" w:type="dxa"/>
            <w:tcBorders>
              <w:top w:val="nil"/>
              <w:left w:val="single" w:sz="4" w:space="0" w:color="0070C0"/>
              <w:bottom w:val="nil"/>
              <w:right w:val="nil"/>
            </w:tcBorders>
            <w:shd w:val="clear" w:color="auto" w:fill="auto"/>
            <w:noWrap/>
            <w:vAlign w:val="bottom"/>
            <w:hideMark/>
          </w:tcPr>
          <w:p w14:paraId="21DF6F9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13C97E1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bottom"/>
            <w:hideMark/>
          </w:tcPr>
          <w:p w14:paraId="33F6926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155B666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6E744B9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bottom"/>
            <w:hideMark/>
          </w:tcPr>
          <w:p w14:paraId="7E8554C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5C1177C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bottom"/>
            <w:hideMark/>
          </w:tcPr>
          <w:p w14:paraId="252E183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6400DAD9" w14:textId="77777777" w:rsidTr="002F7131">
        <w:trPr>
          <w:trHeight w:val="20"/>
        </w:trPr>
        <w:tc>
          <w:tcPr>
            <w:tcW w:w="3162" w:type="dxa"/>
            <w:tcBorders>
              <w:top w:val="nil"/>
              <w:left w:val="nil"/>
              <w:bottom w:val="nil"/>
              <w:right w:val="nil"/>
            </w:tcBorders>
            <w:shd w:val="clear" w:color="auto" w:fill="auto"/>
            <w:vAlign w:val="bottom"/>
            <w:hideMark/>
          </w:tcPr>
          <w:p w14:paraId="591C7359"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CD7402">
              <w:rPr>
                <w:rFonts w:cstheme="minorHAnsi"/>
                <w:sz w:val="20"/>
              </w:rPr>
              <w:t xml:space="preserve">8 - </w:t>
            </w:r>
            <w:r w:rsidRPr="00CD7402">
              <w:rPr>
                <w:rFonts w:cstheme="minorHAnsi"/>
                <w:sz w:val="20"/>
              </w:rPr>
              <w:t>公共和内部服务设施</w:t>
            </w:r>
          </w:p>
        </w:tc>
        <w:tc>
          <w:tcPr>
            <w:tcW w:w="1500" w:type="dxa"/>
            <w:tcBorders>
              <w:top w:val="nil"/>
              <w:left w:val="single" w:sz="4" w:space="0" w:color="0070C0"/>
              <w:bottom w:val="nil"/>
              <w:right w:val="nil"/>
            </w:tcBorders>
            <w:shd w:val="clear" w:color="auto" w:fill="auto"/>
            <w:noWrap/>
            <w:vAlign w:val="bottom"/>
            <w:hideMark/>
          </w:tcPr>
          <w:p w14:paraId="3382090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1EA045E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24</w:t>
            </w:r>
          </w:p>
        </w:tc>
        <w:tc>
          <w:tcPr>
            <w:tcW w:w="1285" w:type="dxa"/>
            <w:tcBorders>
              <w:top w:val="nil"/>
              <w:left w:val="nil"/>
              <w:bottom w:val="nil"/>
              <w:right w:val="nil"/>
            </w:tcBorders>
            <w:shd w:val="clear" w:color="auto" w:fill="auto"/>
            <w:noWrap/>
            <w:vAlign w:val="bottom"/>
            <w:hideMark/>
          </w:tcPr>
          <w:p w14:paraId="05A58C6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19</w:t>
            </w:r>
          </w:p>
        </w:tc>
        <w:tc>
          <w:tcPr>
            <w:tcW w:w="1285" w:type="dxa"/>
            <w:tcBorders>
              <w:top w:val="nil"/>
              <w:left w:val="nil"/>
              <w:bottom w:val="nil"/>
              <w:right w:val="nil"/>
            </w:tcBorders>
            <w:shd w:val="clear" w:color="auto" w:fill="auto"/>
            <w:noWrap/>
            <w:vAlign w:val="bottom"/>
            <w:hideMark/>
          </w:tcPr>
          <w:p w14:paraId="3B07FFB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5</w:t>
            </w:r>
          </w:p>
        </w:tc>
        <w:tc>
          <w:tcPr>
            <w:tcW w:w="1285" w:type="dxa"/>
            <w:tcBorders>
              <w:top w:val="nil"/>
              <w:left w:val="nil"/>
              <w:bottom w:val="nil"/>
              <w:right w:val="nil"/>
            </w:tcBorders>
            <w:shd w:val="clear" w:color="auto" w:fill="auto"/>
            <w:noWrap/>
            <w:vAlign w:val="bottom"/>
            <w:hideMark/>
          </w:tcPr>
          <w:p w14:paraId="3CEA077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12</w:t>
            </w:r>
          </w:p>
        </w:tc>
        <w:tc>
          <w:tcPr>
            <w:tcW w:w="1469" w:type="dxa"/>
            <w:tcBorders>
              <w:top w:val="nil"/>
              <w:left w:val="nil"/>
              <w:bottom w:val="nil"/>
              <w:right w:val="nil"/>
            </w:tcBorders>
            <w:shd w:val="clear" w:color="auto" w:fill="auto"/>
            <w:noWrap/>
            <w:vAlign w:val="bottom"/>
            <w:hideMark/>
          </w:tcPr>
          <w:p w14:paraId="792C4C7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2</w:t>
            </w:r>
          </w:p>
        </w:tc>
        <w:tc>
          <w:tcPr>
            <w:tcW w:w="1285" w:type="dxa"/>
            <w:tcBorders>
              <w:top w:val="nil"/>
              <w:left w:val="nil"/>
              <w:bottom w:val="nil"/>
              <w:right w:val="nil"/>
            </w:tcBorders>
            <w:shd w:val="clear" w:color="auto" w:fill="auto"/>
            <w:noWrap/>
            <w:vAlign w:val="bottom"/>
            <w:hideMark/>
          </w:tcPr>
          <w:p w14:paraId="337E904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w:t>
            </w:r>
          </w:p>
        </w:tc>
        <w:tc>
          <w:tcPr>
            <w:tcW w:w="1408" w:type="dxa"/>
            <w:tcBorders>
              <w:top w:val="nil"/>
              <w:left w:val="nil"/>
              <w:bottom w:val="nil"/>
              <w:right w:val="nil"/>
            </w:tcBorders>
            <w:shd w:val="clear" w:color="auto" w:fill="auto"/>
            <w:noWrap/>
            <w:vAlign w:val="bottom"/>
            <w:hideMark/>
          </w:tcPr>
          <w:p w14:paraId="1972CBC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63</w:t>
            </w:r>
          </w:p>
        </w:tc>
      </w:tr>
      <w:tr w:rsidR="00C130FE" w:rsidRPr="00471351" w14:paraId="00BFE605" w14:textId="77777777" w:rsidTr="002F7131">
        <w:trPr>
          <w:trHeight w:val="20"/>
        </w:trPr>
        <w:tc>
          <w:tcPr>
            <w:tcW w:w="3162" w:type="dxa"/>
            <w:tcBorders>
              <w:top w:val="nil"/>
              <w:left w:val="nil"/>
              <w:bottom w:val="nil"/>
              <w:right w:val="nil"/>
            </w:tcBorders>
            <w:shd w:val="clear" w:color="auto" w:fill="auto"/>
            <w:noWrap/>
            <w:vAlign w:val="bottom"/>
            <w:hideMark/>
          </w:tcPr>
          <w:p w14:paraId="0FD8A834"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500" w:type="dxa"/>
            <w:tcBorders>
              <w:top w:val="nil"/>
              <w:left w:val="single" w:sz="4" w:space="0" w:color="0070C0"/>
              <w:bottom w:val="nil"/>
              <w:right w:val="nil"/>
            </w:tcBorders>
            <w:shd w:val="clear" w:color="auto" w:fill="auto"/>
            <w:noWrap/>
            <w:vAlign w:val="bottom"/>
            <w:hideMark/>
          </w:tcPr>
          <w:p w14:paraId="05B97F8D"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385F019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bottom"/>
            <w:hideMark/>
          </w:tcPr>
          <w:p w14:paraId="2FCCCEA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5F1FC8F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616E44D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bottom"/>
            <w:hideMark/>
          </w:tcPr>
          <w:p w14:paraId="5E54998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6E93395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bottom"/>
            <w:hideMark/>
          </w:tcPr>
          <w:p w14:paraId="210CBD1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79398866" w14:textId="77777777" w:rsidTr="002F7131">
        <w:trPr>
          <w:trHeight w:val="20"/>
        </w:trPr>
        <w:tc>
          <w:tcPr>
            <w:tcW w:w="3162" w:type="dxa"/>
            <w:tcBorders>
              <w:top w:val="nil"/>
              <w:left w:val="nil"/>
              <w:bottom w:val="nil"/>
              <w:right w:val="nil"/>
            </w:tcBorders>
            <w:shd w:val="clear" w:color="auto" w:fill="auto"/>
            <w:vAlign w:val="bottom"/>
            <w:hideMark/>
          </w:tcPr>
          <w:p w14:paraId="5CE7F12E"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CD7402">
              <w:rPr>
                <w:rFonts w:cstheme="minorHAnsi"/>
                <w:sz w:val="20"/>
                <w:lang w:eastAsia="zh-CN"/>
              </w:rPr>
              <w:t xml:space="preserve">9 - </w:t>
            </w:r>
            <w:r w:rsidRPr="00CD7402">
              <w:rPr>
                <w:rFonts w:cstheme="minorHAnsi"/>
                <w:sz w:val="20"/>
                <w:lang w:eastAsia="zh-CN"/>
              </w:rPr>
              <w:t>审计和机构间的费用及其他</w:t>
            </w:r>
          </w:p>
        </w:tc>
        <w:tc>
          <w:tcPr>
            <w:tcW w:w="1500" w:type="dxa"/>
            <w:tcBorders>
              <w:top w:val="nil"/>
              <w:left w:val="single" w:sz="4" w:space="0" w:color="0070C0"/>
              <w:bottom w:val="nil"/>
              <w:right w:val="nil"/>
            </w:tcBorders>
            <w:shd w:val="clear" w:color="auto" w:fill="auto"/>
            <w:noWrap/>
            <w:vAlign w:val="bottom"/>
            <w:hideMark/>
          </w:tcPr>
          <w:p w14:paraId="491C67B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r w:rsidRPr="00471351">
              <w:rPr>
                <w:rFonts w:eastAsia="Times New Roman" w:cs="Calibri"/>
                <w:sz w:val="20"/>
                <w:lang w:eastAsia="zh-CN"/>
              </w:rPr>
              <w:t> </w:t>
            </w:r>
          </w:p>
        </w:tc>
        <w:tc>
          <w:tcPr>
            <w:tcW w:w="1285" w:type="dxa"/>
            <w:tcBorders>
              <w:top w:val="nil"/>
              <w:left w:val="nil"/>
              <w:bottom w:val="nil"/>
              <w:right w:val="nil"/>
            </w:tcBorders>
            <w:shd w:val="clear" w:color="auto" w:fill="auto"/>
            <w:noWrap/>
            <w:vAlign w:val="bottom"/>
            <w:hideMark/>
          </w:tcPr>
          <w:p w14:paraId="61C40CB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36</w:t>
            </w:r>
          </w:p>
        </w:tc>
        <w:tc>
          <w:tcPr>
            <w:tcW w:w="1285" w:type="dxa"/>
            <w:tcBorders>
              <w:top w:val="nil"/>
              <w:left w:val="nil"/>
              <w:bottom w:val="nil"/>
              <w:right w:val="nil"/>
            </w:tcBorders>
            <w:shd w:val="clear" w:color="auto" w:fill="auto"/>
            <w:noWrap/>
            <w:vAlign w:val="bottom"/>
            <w:hideMark/>
          </w:tcPr>
          <w:p w14:paraId="39294AA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20</w:t>
            </w:r>
          </w:p>
        </w:tc>
        <w:tc>
          <w:tcPr>
            <w:tcW w:w="1285" w:type="dxa"/>
            <w:tcBorders>
              <w:top w:val="nil"/>
              <w:left w:val="nil"/>
              <w:bottom w:val="nil"/>
              <w:right w:val="nil"/>
            </w:tcBorders>
            <w:shd w:val="clear" w:color="auto" w:fill="auto"/>
            <w:noWrap/>
            <w:vAlign w:val="bottom"/>
            <w:hideMark/>
          </w:tcPr>
          <w:p w14:paraId="0022F2D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w:t>
            </w:r>
          </w:p>
        </w:tc>
        <w:tc>
          <w:tcPr>
            <w:tcW w:w="1285" w:type="dxa"/>
            <w:tcBorders>
              <w:top w:val="nil"/>
              <w:left w:val="nil"/>
              <w:bottom w:val="nil"/>
              <w:right w:val="nil"/>
            </w:tcBorders>
            <w:shd w:val="clear" w:color="auto" w:fill="auto"/>
            <w:noWrap/>
            <w:vAlign w:val="bottom"/>
            <w:hideMark/>
          </w:tcPr>
          <w:p w14:paraId="57CBF99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6</w:t>
            </w:r>
          </w:p>
        </w:tc>
        <w:tc>
          <w:tcPr>
            <w:tcW w:w="1469" w:type="dxa"/>
            <w:tcBorders>
              <w:top w:val="nil"/>
              <w:left w:val="nil"/>
              <w:bottom w:val="nil"/>
              <w:right w:val="nil"/>
            </w:tcBorders>
            <w:shd w:val="clear" w:color="auto" w:fill="auto"/>
            <w:noWrap/>
            <w:vAlign w:val="bottom"/>
            <w:hideMark/>
          </w:tcPr>
          <w:p w14:paraId="47326ED2"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w:t>
            </w:r>
          </w:p>
        </w:tc>
        <w:tc>
          <w:tcPr>
            <w:tcW w:w="1285" w:type="dxa"/>
            <w:tcBorders>
              <w:top w:val="nil"/>
              <w:left w:val="nil"/>
              <w:bottom w:val="nil"/>
              <w:right w:val="nil"/>
            </w:tcBorders>
            <w:shd w:val="clear" w:color="auto" w:fill="auto"/>
            <w:noWrap/>
            <w:vAlign w:val="bottom"/>
            <w:hideMark/>
          </w:tcPr>
          <w:p w14:paraId="74D23E2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w:t>
            </w:r>
          </w:p>
        </w:tc>
        <w:tc>
          <w:tcPr>
            <w:tcW w:w="1408" w:type="dxa"/>
            <w:tcBorders>
              <w:top w:val="nil"/>
              <w:left w:val="nil"/>
              <w:bottom w:val="nil"/>
              <w:right w:val="nil"/>
            </w:tcBorders>
            <w:shd w:val="clear" w:color="auto" w:fill="auto"/>
            <w:noWrap/>
            <w:vAlign w:val="bottom"/>
            <w:hideMark/>
          </w:tcPr>
          <w:p w14:paraId="40A79CD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69</w:t>
            </w:r>
          </w:p>
        </w:tc>
      </w:tr>
      <w:tr w:rsidR="00C130FE" w:rsidRPr="00471351" w14:paraId="7A27A7E3" w14:textId="77777777" w:rsidTr="002F7131">
        <w:trPr>
          <w:trHeight w:val="20"/>
        </w:trPr>
        <w:tc>
          <w:tcPr>
            <w:tcW w:w="3162" w:type="dxa"/>
            <w:tcBorders>
              <w:top w:val="nil"/>
              <w:left w:val="nil"/>
              <w:bottom w:val="single" w:sz="4" w:space="0" w:color="auto"/>
              <w:right w:val="nil"/>
            </w:tcBorders>
            <w:shd w:val="clear" w:color="auto" w:fill="auto"/>
            <w:noWrap/>
            <w:vAlign w:val="center"/>
            <w:hideMark/>
          </w:tcPr>
          <w:p w14:paraId="2F32A126"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CD7402">
              <w:rPr>
                <w:rFonts w:cstheme="minorHAnsi"/>
                <w:b/>
                <w:bCs/>
                <w:sz w:val="20"/>
              </w:rPr>
              <w:t> </w:t>
            </w:r>
          </w:p>
        </w:tc>
        <w:tc>
          <w:tcPr>
            <w:tcW w:w="1500" w:type="dxa"/>
            <w:tcBorders>
              <w:top w:val="nil"/>
              <w:left w:val="single" w:sz="4" w:space="0" w:color="0070C0"/>
              <w:bottom w:val="single" w:sz="4" w:space="0" w:color="auto"/>
              <w:right w:val="nil"/>
            </w:tcBorders>
            <w:shd w:val="clear" w:color="auto" w:fill="auto"/>
            <w:noWrap/>
            <w:vAlign w:val="center"/>
            <w:hideMark/>
          </w:tcPr>
          <w:p w14:paraId="445CFE7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 </w:t>
            </w:r>
          </w:p>
        </w:tc>
        <w:tc>
          <w:tcPr>
            <w:tcW w:w="1285" w:type="dxa"/>
            <w:tcBorders>
              <w:top w:val="nil"/>
              <w:left w:val="nil"/>
              <w:bottom w:val="single" w:sz="4" w:space="0" w:color="auto"/>
              <w:right w:val="nil"/>
            </w:tcBorders>
            <w:shd w:val="clear" w:color="auto" w:fill="auto"/>
            <w:noWrap/>
            <w:vAlign w:val="center"/>
            <w:hideMark/>
          </w:tcPr>
          <w:p w14:paraId="3E9A853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 </w:t>
            </w:r>
          </w:p>
        </w:tc>
        <w:tc>
          <w:tcPr>
            <w:tcW w:w="1285" w:type="dxa"/>
            <w:tcBorders>
              <w:top w:val="nil"/>
              <w:left w:val="nil"/>
              <w:bottom w:val="single" w:sz="4" w:space="0" w:color="auto"/>
              <w:right w:val="nil"/>
            </w:tcBorders>
            <w:shd w:val="clear" w:color="auto" w:fill="auto"/>
            <w:noWrap/>
            <w:vAlign w:val="center"/>
            <w:hideMark/>
          </w:tcPr>
          <w:p w14:paraId="48F4E64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 </w:t>
            </w:r>
          </w:p>
        </w:tc>
        <w:tc>
          <w:tcPr>
            <w:tcW w:w="1285" w:type="dxa"/>
            <w:tcBorders>
              <w:top w:val="nil"/>
              <w:left w:val="nil"/>
              <w:bottom w:val="single" w:sz="4" w:space="0" w:color="auto"/>
              <w:right w:val="nil"/>
            </w:tcBorders>
            <w:shd w:val="clear" w:color="auto" w:fill="auto"/>
            <w:noWrap/>
            <w:vAlign w:val="center"/>
            <w:hideMark/>
          </w:tcPr>
          <w:p w14:paraId="7633B33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 </w:t>
            </w:r>
          </w:p>
        </w:tc>
        <w:tc>
          <w:tcPr>
            <w:tcW w:w="1285" w:type="dxa"/>
            <w:tcBorders>
              <w:top w:val="nil"/>
              <w:left w:val="nil"/>
              <w:bottom w:val="single" w:sz="4" w:space="0" w:color="auto"/>
              <w:right w:val="nil"/>
            </w:tcBorders>
            <w:shd w:val="clear" w:color="auto" w:fill="auto"/>
            <w:noWrap/>
            <w:vAlign w:val="center"/>
            <w:hideMark/>
          </w:tcPr>
          <w:p w14:paraId="3870563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 </w:t>
            </w:r>
          </w:p>
        </w:tc>
        <w:tc>
          <w:tcPr>
            <w:tcW w:w="1469" w:type="dxa"/>
            <w:tcBorders>
              <w:top w:val="nil"/>
              <w:left w:val="nil"/>
              <w:bottom w:val="single" w:sz="4" w:space="0" w:color="auto"/>
              <w:right w:val="nil"/>
            </w:tcBorders>
            <w:shd w:val="clear" w:color="auto" w:fill="auto"/>
            <w:noWrap/>
            <w:vAlign w:val="center"/>
            <w:hideMark/>
          </w:tcPr>
          <w:p w14:paraId="48A8968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 </w:t>
            </w:r>
          </w:p>
        </w:tc>
        <w:tc>
          <w:tcPr>
            <w:tcW w:w="1285" w:type="dxa"/>
            <w:tcBorders>
              <w:top w:val="nil"/>
              <w:left w:val="nil"/>
              <w:bottom w:val="single" w:sz="4" w:space="0" w:color="auto"/>
              <w:right w:val="nil"/>
            </w:tcBorders>
            <w:shd w:val="clear" w:color="auto" w:fill="auto"/>
            <w:noWrap/>
            <w:vAlign w:val="center"/>
            <w:hideMark/>
          </w:tcPr>
          <w:p w14:paraId="06A4BB3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 </w:t>
            </w:r>
          </w:p>
        </w:tc>
        <w:tc>
          <w:tcPr>
            <w:tcW w:w="1408" w:type="dxa"/>
            <w:tcBorders>
              <w:top w:val="nil"/>
              <w:left w:val="nil"/>
              <w:bottom w:val="single" w:sz="4" w:space="0" w:color="auto"/>
              <w:right w:val="nil"/>
            </w:tcBorders>
            <w:shd w:val="clear" w:color="auto" w:fill="auto"/>
            <w:noWrap/>
            <w:vAlign w:val="center"/>
            <w:hideMark/>
          </w:tcPr>
          <w:p w14:paraId="78AF5A4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471351">
              <w:rPr>
                <w:rFonts w:eastAsia="Times New Roman" w:cs="Calibri"/>
                <w:b/>
                <w:bCs/>
                <w:color w:val="002060"/>
                <w:sz w:val="20"/>
              </w:rPr>
              <w:t> </w:t>
            </w:r>
          </w:p>
        </w:tc>
      </w:tr>
      <w:tr w:rsidR="00C130FE" w:rsidRPr="00471351" w14:paraId="78F35AB7" w14:textId="77777777" w:rsidTr="002F7131">
        <w:trPr>
          <w:trHeight w:val="20"/>
        </w:trPr>
        <w:tc>
          <w:tcPr>
            <w:tcW w:w="3162" w:type="dxa"/>
            <w:tcBorders>
              <w:top w:val="nil"/>
              <w:left w:val="nil"/>
              <w:bottom w:val="nil"/>
              <w:right w:val="nil"/>
            </w:tcBorders>
            <w:shd w:val="clear" w:color="auto" w:fill="auto"/>
            <w:noWrap/>
            <w:vAlign w:val="bottom"/>
            <w:hideMark/>
          </w:tcPr>
          <w:p w14:paraId="5E60BBF4"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CD7402">
              <w:rPr>
                <w:rFonts w:cstheme="minorHAnsi"/>
                <w:b/>
                <w:bCs/>
                <w:sz w:val="20"/>
              </w:rPr>
              <w:t>合计</w:t>
            </w:r>
          </w:p>
        </w:tc>
        <w:tc>
          <w:tcPr>
            <w:tcW w:w="1500" w:type="dxa"/>
            <w:tcBorders>
              <w:top w:val="nil"/>
              <w:left w:val="single" w:sz="4" w:space="0" w:color="0070C0"/>
              <w:bottom w:val="nil"/>
              <w:right w:val="nil"/>
            </w:tcBorders>
            <w:shd w:val="clear" w:color="auto" w:fill="auto"/>
            <w:noWrap/>
            <w:vAlign w:val="bottom"/>
            <w:hideMark/>
          </w:tcPr>
          <w:p w14:paraId="40176FA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57</w:t>
            </w:r>
          </w:p>
        </w:tc>
        <w:tc>
          <w:tcPr>
            <w:tcW w:w="1285" w:type="dxa"/>
            <w:tcBorders>
              <w:top w:val="nil"/>
              <w:left w:val="nil"/>
              <w:bottom w:val="nil"/>
              <w:right w:val="nil"/>
            </w:tcBorders>
            <w:shd w:val="clear" w:color="auto" w:fill="auto"/>
            <w:noWrap/>
            <w:vAlign w:val="bottom"/>
            <w:hideMark/>
          </w:tcPr>
          <w:p w14:paraId="5E236F1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2,139</w:t>
            </w:r>
          </w:p>
        </w:tc>
        <w:tc>
          <w:tcPr>
            <w:tcW w:w="1285" w:type="dxa"/>
            <w:tcBorders>
              <w:top w:val="nil"/>
              <w:left w:val="nil"/>
              <w:bottom w:val="nil"/>
              <w:right w:val="nil"/>
            </w:tcBorders>
            <w:shd w:val="clear" w:color="auto" w:fill="auto"/>
            <w:noWrap/>
            <w:vAlign w:val="bottom"/>
            <w:hideMark/>
          </w:tcPr>
          <w:p w14:paraId="10690D1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2,049</w:t>
            </w:r>
          </w:p>
        </w:tc>
        <w:tc>
          <w:tcPr>
            <w:tcW w:w="1285" w:type="dxa"/>
            <w:tcBorders>
              <w:top w:val="nil"/>
              <w:left w:val="nil"/>
              <w:bottom w:val="nil"/>
              <w:right w:val="nil"/>
            </w:tcBorders>
            <w:shd w:val="clear" w:color="auto" w:fill="auto"/>
            <w:noWrap/>
            <w:vAlign w:val="bottom"/>
            <w:hideMark/>
          </w:tcPr>
          <w:p w14:paraId="2927CF0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890</w:t>
            </w:r>
          </w:p>
        </w:tc>
        <w:tc>
          <w:tcPr>
            <w:tcW w:w="1285" w:type="dxa"/>
            <w:tcBorders>
              <w:top w:val="nil"/>
              <w:left w:val="nil"/>
              <w:bottom w:val="nil"/>
              <w:right w:val="nil"/>
            </w:tcBorders>
            <w:shd w:val="clear" w:color="auto" w:fill="auto"/>
            <w:noWrap/>
            <w:vAlign w:val="bottom"/>
            <w:hideMark/>
          </w:tcPr>
          <w:p w14:paraId="773DDE5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1,366</w:t>
            </w:r>
          </w:p>
        </w:tc>
        <w:tc>
          <w:tcPr>
            <w:tcW w:w="1469" w:type="dxa"/>
            <w:tcBorders>
              <w:top w:val="nil"/>
              <w:left w:val="nil"/>
              <w:bottom w:val="nil"/>
              <w:right w:val="nil"/>
            </w:tcBorders>
            <w:shd w:val="clear" w:color="auto" w:fill="auto"/>
            <w:noWrap/>
            <w:vAlign w:val="bottom"/>
            <w:hideMark/>
          </w:tcPr>
          <w:p w14:paraId="1B877C2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494</w:t>
            </w:r>
          </w:p>
        </w:tc>
        <w:tc>
          <w:tcPr>
            <w:tcW w:w="1285" w:type="dxa"/>
            <w:tcBorders>
              <w:top w:val="nil"/>
              <w:left w:val="nil"/>
              <w:bottom w:val="nil"/>
              <w:right w:val="nil"/>
            </w:tcBorders>
            <w:shd w:val="clear" w:color="auto" w:fill="auto"/>
            <w:noWrap/>
            <w:vAlign w:val="bottom"/>
            <w:hideMark/>
          </w:tcPr>
          <w:p w14:paraId="37B3E32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491</w:t>
            </w:r>
          </w:p>
        </w:tc>
        <w:tc>
          <w:tcPr>
            <w:tcW w:w="1408" w:type="dxa"/>
            <w:tcBorders>
              <w:top w:val="nil"/>
              <w:left w:val="nil"/>
              <w:bottom w:val="nil"/>
              <w:right w:val="nil"/>
            </w:tcBorders>
            <w:shd w:val="clear" w:color="auto" w:fill="auto"/>
            <w:noWrap/>
            <w:vAlign w:val="bottom"/>
            <w:hideMark/>
          </w:tcPr>
          <w:p w14:paraId="0B1D2A7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471351">
              <w:rPr>
                <w:rFonts w:eastAsia="Times New Roman" w:cs="Calibri"/>
                <w:b/>
                <w:bCs/>
                <w:color w:val="002060"/>
                <w:sz w:val="20"/>
              </w:rPr>
              <w:t>7,486</w:t>
            </w:r>
          </w:p>
        </w:tc>
      </w:tr>
    </w:tbl>
    <w:p w14:paraId="7FE8CC14" w14:textId="4FE79F72" w:rsidR="00C130FE" w:rsidRDefault="00C130F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tbl>
      <w:tblPr>
        <w:tblW w:w="13892" w:type="dxa"/>
        <w:tblLook w:val="04A0" w:firstRow="1" w:lastRow="0" w:firstColumn="1" w:lastColumn="0" w:noHBand="0" w:noVBand="1"/>
      </w:tblPr>
      <w:tblGrid>
        <w:gridCol w:w="3152"/>
        <w:gridCol w:w="1482"/>
        <w:gridCol w:w="1279"/>
        <w:gridCol w:w="1279"/>
        <w:gridCol w:w="1279"/>
        <w:gridCol w:w="1279"/>
        <w:gridCol w:w="1462"/>
        <w:gridCol w:w="1279"/>
        <w:gridCol w:w="1401"/>
      </w:tblGrid>
      <w:tr w:rsidR="00C130FE" w:rsidRPr="00471351" w14:paraId="473D7FE4" w14:textId="77777777" w:rsidTr="002F7131">
        <w:trPr>
          <w:trHeight w:val="465"/>
        </w:trPr>
        <w:tc>
          <w:tcPr>
            <w:tcW w:w="3152" w:type="dxa"/>
            <w:tcBorders>
              <w:top w:val="nil"/>
              <w:left w:val="nil"/>
              <w:bottom w:val="nil"/>
              <w:right w:val="nil"/>
            </w:tcBorders>
            <w:shd w:val="clear" w:color="auto" w:fill="auto"/>
            <w:noWrap/>
            <w:vAlign w:val="center"/>
            <w:hideMark/>
          </w:tcPr>
          <w:p w14:paraId="1518D852" w14:textId="77777777" w:rsidR="00C130FE" w:rsidRPr="00A67F98"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A67F98">
              <w:rPr>
                <w:rFonts w:ascii="SimSun" w:hAnsi="SimSun" w:cs="Calibri" w:hint="eastAsia"/>
                <w:b/>
                <w:bCs/>
                <w:color w:val="002060"/>
                <w:sz w:val="40"/>
                <w:szCs w:val="40"/>
              </w:rPr>
              <w:lastRenderedPageBreak/>
              <w:t>表</w:t>
            </w:r>
            <w:r w:rsidRPr="00A67F98">
              <w:rPr>
                <w:rFonts w:eastAsia="Times New Roman" w:cs="Calibri"/>
                <w:b/>
                <w:bCs/>
                <w:color w:val="002060"/>
                <w:sz w:val="40"/>
                <w:szCs w:val="40"/>
              </w:rPr>
              <w:t>11-2</w:t>
            </w:r>
          </w:p>
        </w:tc>
        <w:tc>
          <w:tcPr>
            <w:tcW w:w="1482" w:type="dxa"/>
            <w:tcBorders>
              <w:top w:val="nil"/>
              <w:left w:val="nil"/>
              <w:bottom w:val="nil"/>
              <w:right w:val="nil"/>
            </w:tcBorders>
            <w:shd w:val="clear" w:color="auto" w:fill="auto"/>
            <w:noWrap/>
            <w:vAlign w:val="center"/>
            <w:hideMark/>
          </w:tcPr>
          <w:p w14:paraId="752F703E"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1279" w:type="dxa"/>
            <w:tcBorders>
              <w:top w:val="nil"/>
              <w:left w:val="nil"/>
              <w:bottom w:val="nil"/>
              <w:right w:val="nil"/>
            </w:tcBorders>
            <w:shd w:val="clear" w:color="auto" w:fill="auto"/>
            <w:noWrap/>
            <w:vAlign w:val="center"/>
            <w:hideMark/>
          </w:tcPr>
          <w:p w14:paraId="37F1EC0A"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center"/>
            <w:hideMark/>
          </w:tcPr>
          <w:p w14:paraId="56F91CAA"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center"/>
            <w:hideMark/>
          </w:tcPr>
          <w:p w14:paraId="2DCD8837"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center"/>
            <w:hideMark/>
          </w:tcPr>
          <w:p w14:paraId="40EF7362"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62" w:type="dxa"/>
            <w:tcBorders>
              <w:top w:val="nil"/>
              <w:left w:val="nil"/>
              <w:bottom w:val="nil"/>
              <w:right w:val="nil"/>
            </w:tcBorders>
            <w:shd w:val="clear" w:color="auto" w:fill="auto"/>
            <w:noWrap/>
            <w:vAlign w:val="center"/>
            <w:hideMark/>
          </w:tcPr>
          <w:p w14:paraId="3D2A426E"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center"/>
            <w:hideMark/>
          </w:tcPr>
          <w:p w14:paraId="194348E9"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01" w:type="dxa"/>
            <w:tcBorders>
              <w:top w:val="nil"/>
              <w:left w:val="nil"/>
              <w:bottom w:val="nil"/>
              <w:right w:val="nil"/>
            </w:tcBorders>
            <w:shd w:val="clear" w:color="auto" w:fill="auto"/>
            <w:noWrap/>
            <w:vAlign w:val="center"/>
            <w:hideMark/>
          </w:tcPr>
          <w:p w14:paraId="4550C90B"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C130FE" w:rsidRPr="00471351" w14:paraId="778EF0A1" w14:textId="77777777" w:rsidTr="002F7131">
        <w:trPr>
          <w:trHeight w:val="405"/>
        </w:trPr>
        <w:tc>
          <w:tcPr>
            <w:tcW w:w="5913" w:type="dxa"/>
            <w:gridSpan w:val="3"/>
            <w:tcBorders>
              <w:top w:val="nil"/>
              <w:left w:val="nil"/>
              <w:bottom w:val="nil"/>
              <w:right w:val="nil"/>
            </w:tcBorders>
            <w:shd w:val="clear" w:color="auto" w:fill="auto"/>
            <w:noWrap/>
            <w:vAlign w:val="center"/>
            <w:hideMark/>
          </w:tcPr>
          <w:p w14:paraId="1D601FF4"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SimSun" w:hAnsi="SimSun"/>
                <w:b/>
                <w:bCs/>
                <w:color w:val="002060"/>
                <w:sz w:val="28"/>
                <w:szCs w:val="28"/>
                <w:lang w:eastAsia="zh-CN"/>
              </w:rPr>
            </w:pPr>
            <w:r w:rsidRPr="00A924BF">
              <w:rPr>
                <w:rFonts w:eastAsia="STKaiti" w:cstheme="minorHAnsi" w:hint="eastAsia"/>
                <w:b/>
                <w:bCs/>
                <w:color w:val="002060"/>
                <w:sz w:val="28"/>
                <w:szCs w:val="28"/>
                <w:lang w:eastAsia="zh-CN"/>
              </w:rPr>
              <w:t>国际电联区域代表处和地区办事处</w:t>
            </w:r>
            <w:r w:rsidRPr="00A924BF">
              <w:rPr>
                <w:rFonts w:eastAsia="STKaiti" w:cstheme="minorHAnsi"/>
                <w:b/>
                <w:bCs/>
                <w:color w:val="002060"/>
                <w:sz w:val="28"/>
                <w:szCs w:val="28"/>
                <w:lang w:eastAsia="zh-CN"/>
              </w:rPr>
              <w:t>2023</w:t>
            </w:r>
            <w:r w:rsidRPr="00A924BF">
              <w:rPr>
                <w:rFonts w:eastAsia="STKaiti" w:cstheme="minorHAnsi" w:hint="eastAsia"/>
                <w:b/>
                <w:bCs/>
                <w:color w:val="002060"/>
                <w:sz w:val="28"/>
                <w:szCs w:val="28"/>
                <w:lang w:eastAsia="zh-CN"/>
              </w:rPr>
              <w:t>年</w:t>
            </w:r>
          </w:p>
        </w:tc>
        <w:tc>
          <w:tcPr>
            <w:tcW w:w="1279" w:type="dxa"/>
            <w:tcBorders>
              <w:top w:val="nil"/>
              <w:left w:val="nil"/>
              <w:bottom w:val="nil"/>
              <w:right w:val="nil"/>
            </w:tcBorders>
            <w:shd w:val="clear" w:color="auto" w:fill="auto"/>
            <w:noWrap/>
            <w:vAlign w:val="center"/>
            <w:hideMark/>
          </w:tcPr>
          <w:p w14:paraId="0BB68A1E"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SimSun" w:hAnsi="SimSun"/>
                <w:b/>
                <w:bCs/>
                <w:color w:val="002060"/>
                <w:sz w:val="28"/>
                <w:szCs w:val="28"/>
                <w:lang w:eastAsia="zh-CN"/>
              </w:rPr>
            </w:pPr>
          </w:p>
        </w:tc>
        <w:tc>
          <w:tcPr>
            <w:tcW w:w="1279" w:type="dxa"/>
            <w:tcBorders>
              <w:top w:val="nil"/>
              <w:left w:val="nil"/>
              <w:bottom w:val="nil"/>
              <w:right w:val="nil"/>
            </w:tcBorders>
            <w:shd w:val="clear" w:color="auto" w:fill="auto"/>
            <w:noWrap/>
            <w:vAlign w:val="center"/>
            <w:hideMark/>
          </w:tcPr>
          <w:p w14:paraId="74DD5665"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79" w:type="dxa"/>
            <w:tcBorders>
              <w:top w:val="nil"/>
              <w:left w:val="nil"/>
              <w:bottom w:val="nil"/>
              <w:right w:val="nil"/>
            </w:tcBorders>
            <w:shd w:val="clear" w:color="auto" w:fill="auto"/>
            <w:noWrap/>
            <w:vAlign w:val="center"/>
            <w:hideMark/>
          </w:tcPr>
          <w:p w14:paraId="6A48550E"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62" w:type="dxa"/>
            <w:tcBorders>
              <w:top w:val="nil"/>
              <w:left w:val="nil"/>
              <w:bottom w:val="nil"/>
              <w:right w:val="nil"/>
            </w:tcBorders>
            <w:shd w:val="clear" w:color="auto" w:fill="auto"/>
            <w:noWrap/>
            <w:vAlign w:val="center"/>
            <w:hideMark/>
          </w:tcPr>
          <w:p w14:paraId="73F3D75E"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79" w:type="dxa"/>
            <w:tcBorders>
              <w:top w:val="nil"/>
              <w:left w:val="nil"/>
              <w:bottom w:val="nil"/>
              <w:right w:val="nil"/>
            </w:tcBorders>
            <w:shd w:val="clear" w:color="auto" w:fill="auto"/>
            <w:noWrap/>
            <w:vAlign w:val="center"/>
            <w:hideMark/>
          </w:tcPr>
          <w:p w14:paraId="6C9A36D1"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01" w:type="dxa"/>
            <w:tcBorders>
              <w:top w:val="nil"/>
              <w:left w:val="nil"/>
              <w:bottom w:val="nil"/>
              <w:right w:val="nil"/>
            </w:tcBorders>
            <w:shd w:val="clear" w:color="auto" w:fill="auto"/>
            <w:noWrap/>
            <w:vAlign w:val="center"/>
            <w:hideMark/>
          </w:tcPr>
          <w:p w14:paraId="7335F1EC"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C130FE" w:rsidRPr="00471351" w14:paraId="5E1E2DBE" w14:textId="77777777" w:rsidTr="002F7131">
        <w:trPr>
          <w:trHeight w:val="405"/>
        </w:trPr>
        <w:tc>
          <w:tcPr>
            <w:tcW w:w="5913" w:type="dxa"/>
            <w:gridSpan w:val="3"/>
            <w:tcBorders>
              <w:top w:val="nil"/>
              <w:left w:val="nil"/>
              <w:bottom w:val="nil"/>
              <w:right w:val="nil"/>
            </w:tcBorders>
            <w:shd w:val="clear" w:color="auto" w:fill="auto"/>
            <w:noWrap/>
            <w:vAlign w:val="center"/>
            <w:hideMark/>
          </w:tcPr>
          <w:p w14:paraId="41B2411B"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color w:val="002060"/>
                <w:szCs w:val="24"/>
                <w:lang w:eastAsia="zh-CN"/>
              </w:rPr>
            </w:pPr>
            <w:r w:rsidRPr="00824DFE">
              <w:rPr>
                <w:rFonts w:ascii="Microsoft YaHei" w:eastAsia="STKaiti" w:hAnsi="Microsoft YaHei" w:cs="Microsoft YaHei" w:hint="eastAsia"/>
                <w:b/>
                <w:bCs/>
                <w:iCs/>
                <w:color w:val="002060"/>
                <w:szCs w:val="24"/>
                <w:lang w:eastAsia="zh-CN"/>
              </w:rPr>
              <w:t>按</w:t>
            </w:r>
            <w:r>
              <w:rPr>
                <w:rFonts w:ascii="Microsoft YaHei" w:eastAsia="STKaiti" w:hAnsi="Microsoft YaHei" w:cs="Microsoft YaHei" w:hint="eastAsia"/>
                <w:b/>
                <w:bCs/>
                <w:iCs/>
                <w:color w:val="002060"/>
                <w:szCs w:val="24"/>
                <w:lang w:eastAsia="zh-CN"/>
              </w:rPr>
              <w:t>区域</w:t>
            </w:r>
            <w:r w:rsidRPr="00824DFE">
              <w:rPr>
                <w:rFonts w:ascii="Microsoft YaHei" w:eastAsia="STKaiti" w:hAnsi="Microsoft YaHei" w:cs="Microsoft YaHei" w:hint="eastAsia"/>
                <w:b/>
                <w:bCs/>
                <w:iCs/>
                <w:color w:val="002060"/>
                <w:szCs w:val="24"/>
                <w:lang w:eastAsia="zh-CN"/>
              </w:rPr>
              <w:t>和支出类别列出的计划支出</w:t>
            </w:r>
          </w:p>
        </w:tc>
        <w:tc>
          <w:tcPr>
            <w:tcW w:w="1279" w:type="dxa"/>
            <w:tcBorders>
              <w:top w:val="nil"/>
              <w:left w:val="nil"/>
              <w:bottom w:val="nil"/>
              <w:right w:val="nil"/>
            </w:tcBorders>
            <w:shd w:val="clear" w:color="auto" w:fill="auto"/>
            <w:noWrap/>
            <w:vAlign w:val="center"/>
            <w:hideMark/>
          </w:tcPr>
          <w:p w14:paraId="6E7882F2"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color w:val="002060"/>
                <w:szCs w:val="24"/>
                <w:lang w:eastAsia="zh-CN"/>
              </w:rPr>
            </w:pPr>
          </w:p>
        </w:tc>
        <w:tc>
          <w:tcPr>
            <w:tcW w:w="1279" w:type="dxa"/>
            <w:tcBorders>
              <w:top w:val="nil"/>
              <w:left w:val="nil"/>
              <w:bottom w:val="nil"/>
              <w:right w:val="nil"/>
            </w:tcBorders>
            <w:shd w:val="clear" w:color="auto" w:fill="auto"/>
            <w:noWrap/>
            <w:vAlign w:val="center"/>
            <w:hideMark/>
          </w:tcPr>
          <w:p w14:paraId="20446B76"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79" w:type="dxa"/>
            <w:tcBorders>
              <w:top w:val="nil"/>
              <w:left w:val="nil"/>
              <w:bottom w:val="nil"/>
              <w:right w:val="nil"/>
            </w:tcBorders>
            <w:shd w:val="clear" w:color="auto" w:fill="auto"/>
            <w:noWrap/>
            <w:vAlign w:val="center"/>
            <w:hideMark/>
          </w:tcPr>
          <w:p w14:paraId="7BDB56EB"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62" w:type="dxa"/>
            <w:tcBorders>
              <w:top w:val="nil"/>
              <w:left w:val="nil"/>
              <w:bottom w:val="nil"/>
              <w:right w:val="nil"/>
            </w:tcBorders>
            <w:shd w:val="clear" w:color="auto" w:fill="auto"/>
            <w:noWrap/>
            <w:vAlign w:val="center"/>
            <w:hideMark/>
          </w:tcPr>
          <w:p w14:paraId="28A27966"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79" w:type="dxa"/>
            <w:tcBorders>
              <w:top w:val="nil"/>
              <w:left w:val="nil"/>
              <w:bottom w:val="nil"/>
              <w:right w:val="nil"/>
            </w:tcBorders>
            <w:shd w:val="clear" w:color="auto" w:fill="auto"/>
            <w:noWrap/>
            <w:vAlign w:val="center"/>
            <w:hideMark/>
          </w:tcPr>
          <w:p w14:paraId="7C17F3A0"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01" w:type="dxa"/>
            <w:tcBorders>
              <w:top w:val="nil"/>
              <w:left w:val="nil"/>
              <w:bottom w:val="nil"/>
              <w:right w:val="nil"/>
            </w:tcBorders>
            <w:shd w:val="clear" w:color="auto" w:fill="auto"/>
            <w:noWrap/>
            <w:vAlign w:val="center"/>
            <w:hideMark/>
          </w:tcPr>
          <w:p w14:paraId="3DEA3C75"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C130FE" w:rsidRPr="00471351" w14:paraId="791E61B2" w14:textId="77777777" w:rsidTr="002F7131">
        <w:trPr>
          <w:trHeight w:val="195"/>
        </w:trPr>
        <w:tc>
          <w:tcPr>
            <w:tcW w:w="3152" w:type="dxa"/>
            <w:tcBorders>
              <w:top w:val="nil"/>
              <w:left w:val="nil"/>
              <w:bottom w:val="nil"/>
              <w:right w:val="nil"/>
            </w:tcBorders>
            <w:shd w:val="clear" w:color="auto" w:fill="auto"/>
            <w:noWrap/>
            <w:vAlign w:val="center"/>
            <w:hideMark/>
          </w:tcPr>
          <w:p w14:paraId="46CDB8AD"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0740" w:type="dxa"/>
            <w:gridSpan w:val="8"/>
            <w:tcBorders>
              <w:top w:val="nil"/>
              <w:left w:val="nil"/>
              <w:bottom w:val="nil"/>
              <w:right w:val="nil"/>
            </w:tcBorders>
            <w:shd w:val="clear" w:color="auto" w:fill="auto"/>
            <w:noWrap/>
            <w:vAlign w:val="center"/>
            <w:hideMark/>
          </w:tcPr>
          <w:p w14:paraId="5D3298D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471351">
              <w:rPr>
                <w:rFonts w:ascii="STKaiti" w:eastAsia="STKaiti" w:hAnsi="STKaiti" w:hint="eastAsia"/>
                <w:color w:val="002060"/>
                <w:sz w:val="18"/>
                <w:szCs w:val="18"/>
              </w:rPr>
              <w:t>单位：千瑞郎</w:t>
            </w:r>
          </w:p>
        </w:tc>
      </w:tr>
      <w:tr w:rsidR="00C130FE" w:rsidRPr="00471351" w14:paraId="3C802522" w14:textId="77777777" w:rsidTr="002F7131">
        <w:trPr>
          <w:trHeight w:val="345"/>
        </w:trPr>
        <w:tc>
          <w:tcPr>
            <w:tcW w:w="3152" w:type="dxa"/>
            <w:tcBorders>
              <w:top w:val="nil"/>
              <w:left w:val="nil"/>
              <w:bottom w:val="nil"/>
              <w:right w:val="nil"/>
            </w:tcBorders>
            <w:shd w:val="clear" w:color="auto" w:fill="auto"/>
            <w:noWrap/>
            <w:vAlign w:val="center"/>
            <w:hideMark/>
          </w:tcPr>
          <w:p w14:paraId="1D96D19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471351">
              <w:rPr>
                <w:rFonts w:eastAsia="Times New Roman" w:cs="Calibri"/>
                <w:sz w:val="20"/>
              </w:rPr>
              <w:t xml:space="preserve"> </w:t>
            </w:r>
          </w:p>
        </w:tc>
        <w:tc>
          <w:tcPr>
            <w:tcW w:w="9339" w:type="dxa"/>
            <w:gridSpan w:val="7"/>
            <w:tcBorders>
              <w:top w:val="nil"/>
              <w:left w:val="nil"/>
              <w:bottom w:val="nil"/>
              <w:right w:val="nil"/>
            </w:tcBorders>
            <w:shd w:val="clear" w:color="auto" w:fill="auto"/>
            <w:noWrap/>
            <w:vAlign w:val="center"/>
            <w:hideMark/>
          </w:tcPr>
          <w:p w14:paraId="3DF3654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lang w:eastAsia="zh-CN"/>
              </w:rPr>
            </w:pPr>
            <w:r w:rsidRPr="00471351">
              <w:rPr>
                <w:rFonts w:ascii="STKaiti" w:eastAsia="STKaiti" w:hAnsi="STKaiti" w:hint="eastAsia"/>
                <w:b/>
                <w:bCs/>
                <w:color w:val="002060"/>
                <w:sz w:val="20"/>
                <w:lang w:eastAsia="zh-CN"/>
              </w:rPr>
              <w:t>国际电联区域代表处和地区办事处</w:t>
            </w:r>
          </w:p>
        </w:tc>
        <w:tc>
          <w:tcPr>
            <w:tcW w:w="1401" w:type="dxa"/>
            <w:tcBorders>
              <w:top w:val="nil"/>
              <w:left w:val="nil"/>
              <w:bottom w:val="nil"/>
              <w:right w:val="nil"/>
            </w:tcBorders>
            <w:shd w:val="clear" w:color="auto" w:fill="auto"/>
            <w:noWrap/>
            <w:vAlign w:val="center"/>
            <w:hideMark/>
          </w:tcPr>
          <w:p w14:paraId="3D81ED7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lang w:eastAsia="zh-CN"/>
              </w:rPr>
            </w:pPr>
          </w:p>
        </w:tc>
      </w:tr>
      <w:tr w:rsidR="00C130FE" w:rsidRPr="00471351" w14:paraId="4FC341D9" w14:textId="77777777" w:rsidTr="002F7131">
        <w:trPr>
          <w:trHeight w:val="150"/>
        </w:trPr>
        <w:tc>
          <w:tcPr>
            <w:tcW w:w="3152" w:type="dxa"/>
            <w:tcBorders>
              <w:top w:val="nil"/>
              <w:left w:val="nil"/>
              <w:bottom w:val="nil"/>
              <w:right w:val="nil"/>
            </w:tcBorders>
            <w:shd w:val="clear" w:color="auto" w:fill="auto"/>
            <w:noWrap/>
            <w:vAlign w:val="center"/>
            <w:hideMark/>
          </w:tcPr>
          <w:p w14:paraId="1B1D4B97"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82" w:type="dxa"/>
            <w:tcBorders>
              <w:top w:val="nil"/>
              <w:left w:val="nil"/>
              <w:bottom w:val="nil"/>
              <w:right w:val="nil"/>
            </w:tcBorders>
            <w:shd w:val="clear" w:color="auto" w:fill="auto"/>
            <w:noWrap/>
            <w:vAlign w:val="bottom"/>
            <w:hideMark/>
          </w:tcPr>
          <w:p w14:paraId="4DE9A936"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lang w:eastAsia="zh-CN"/>
              </w:rPr>
            </w:pPr>
          </w:p>
        </w:tc>
        <w:tc>
          <w:tcPr>
            <w:tcW w:w="1279" w:type="dxa"/>
            <w:tcBorders>
              <w:top w:val="nil"/>
              <w:left w:val="nil"/>
              <w:bottom w:val="nil"/>
              <w:right w:val="nil"/>
            </w:tcBorders>
            <w:shd w:val="clear" w:color="auto" w:fill="auto"/>
            <w:noWrap/>
            <w:vAlign w:val="center"/>
            <w:hideMark/>
          </w:tcPr>
          <w:p w14:paraId="180D4FCA"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79" w:type="dxa"/>
            <w:tcBorders>
              <w:top w:val="nil"/>
              <w:left w:val="nil"/>
              <w:bottom w:val="nil"/>
              <w:right w:val="nil"/>
            </w:tcBorders>
            <w:shd w:val="clear" w:color="auto" w:fill="auto"/>
            <w:noWrap/>
            <w:vAlign w:val="center"/>
            <w:hideMark/>
          </w:tcPr>
          <w:p w14:paraId="51BAC3AF"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79" w:type="dxa"/>
            <w:tcBorders>
              <w:top w:val="nil"/>
              <w:left w:val="nil"/>
              <w:bottom w:val="nil"/>
              <w:right w:val="nil"/>
            </w:tcBorders>
            <w:shd w:val="clear" w:color="auto" w:fill="auto"/>
            <w:noWrap/>
            <w:vAlign w:val="center"/>
            <w:hideMark/>
          </w:tcPr>
          <w:p w14:paraId="04F1FF79"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r w:rsidRPr="00825AB8">
              <w:rPr>
                <w:rFonts w:ascii="Helv" w:eastAsia="Times New Roman" w:hAnsi="Helv"/>
                <w:noProof/>
                <w:sz w:val="20"/>
              </w:rPr>
              <mc:AlternateContent>
                <mc:Choice Requires="wps">
                  <w:drawing>
                    <wp:anchor distT="0" distB="0" distL="114300" distR="114300" simplePos="0" relativeHeight="251721728" behindDoc="0" locked="0" layoutInCell="1" allowOverlap="1" wp14:anchorId="34261D64" wp14:editId="35426503">
                      <wp:simplePos x="0" y="0"/>
                      <wp:positionH relativeFrom="column">
                        <wp:posOffset>339725</wp:posOffset>
                      </wp:positionH>
                      <wp:positionV relativeFrom="paragraph">
                        <wp:posOffset>-2900680</wp:posOffset>
                      </wp:positionV>
                      <wp:extent cx="45085" cy="5869305"/>
                      <wp:effectExtent l="2540" t="0" r="14605" b="14605"/>
                      <wp:wrapNone/>
                      <wp:docPr id="2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5085" cy="5869305"/>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889BBB3" id="AutoShape 15" o:spid="_x0000_s1026" type="#_x0000_t85" style="position:absolute;margin-left:26.75pt;margin-top:-228.4pt;width:3.55pt;height:462.15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" adj="189" strokecolor="#0070c0" strokeweight="1pt"/>
                  </w:pict>
                </mc:Fallback>
              </mc:AlternateContent>
            </w:r>
          </w:p>
        </w:tc>
        <w:tc>
          <w:tcPr>
            <w:tcW w:w="1279" w:type="dxa"/>
            <w:tcBorders>
              <w:top w:val="nil"/>
              <w:left w:val="nil"/>
              <w:bottom w:val="nil"/>
              <w:right w:val="nil"/>
            </w:tcBorders>
            <w:shd w:val="clear" w:color="auto" w:fill="auto"/>
            <w:noWrap/>
            <w:vAlign w:val="center"/>
            <w:hideMark/>
          </w:tcPr>
          <w:p w14:paraId="52E271D7"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62" w:type="dxa"/>
            <w:tcBorders>
              <w:top w:val="nil"/>
              <w:left w:val="nil"/>
              <w:bottom w:val="nil"/>
              <w:right w:val="nil"/>
            </w:tcBorders>
            <w:shd w:val="clear" w:color="auto" w:fill="auto"/>
            <w:noWrap/>
            <w:vAlign w:val="center"/>
            <w:hideMark/>
          </w:tcPr>
          <w:p w14:paraId="54361760"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79" w:type="dxa"/>
            <w:tcBorders>
              <w:top w:val="nil"/>
              <w:left w:val="nil"/>
              <w:bottom w:val="nil"/>
              <w:right w:val="nil"/>
            </w:tcBorders>
            <w:shd w:val="clear" w:color="auto" w:fill="auto"/>
            <w:noWrap/>
            <w:vAlign w:val="center"/>
            <w:hideMark/>
          </w:tcPr>
          <w:p w14:paraId="3A2BA8A6"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01" w:type="dxa"/>
            <w:tcBorders>
              <w:top w:val="nil"/>
              <w:left w:val="nil"/>
              <w:bottom w:val="nil"/>
              <w:right w:val="nil"/>
            </w:tcBorders>
            <w:shd w:val="clear" w:color="auto" w:fill="auto"/>
            <w:noWrap/>
            <w:vAlign w:val="center"/>
            <w:hideMark/>
          </w:tcPr>
          <w:p w14:paraId="37F1BBED"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r w:rsidRPr="00471351">
              <w:rPr>
                <w:rFonts w:ascii="Helv" w:eastAsia="Times New Roman" w:hAnsi="Helv"/>
                <w:noProof/>
                <w:sz w:val="20"/>
              </w:rPr>
              <mc:AlternateContent>
                <mc:Choice Requires="wps">
                  <w:drawing>
                    <wp:anchor distT="0" distB="0" distL="114300" distR="114300" simplePos="0" relativeHeight="251720704" behindDoc="0" locked="0" layoutInCell="1" allowOverlap="1" wp14:anchorId="4F29FC34" wp14:editId="18BD481C">
                      <wp:simplePos x="0" y="0"/>
                      <wp:positionH relativeFrom="column">
                        <wp:posOffset>-48260</wp:posOffset>
                      </wp:positionH>
                      <wp:positionV relativeFrom="paragraph">
                        <wp:posOffset>11430</wp:posOffset>
                      </wp:positionV>
                      <wp:extent cx="898525" cy="4178300"/>
                      <wp:effectExtent l="0" t="0" r="15875" b="12700"/>
                      <wp:wrapNone/>
                      <wp:docPr id="103" name="圆角矩形 103">
                        <a:extLst xmlns:a="http://schemas.openxmlformats.org/drawingml/2006/main">
                          <a:ext uri="{FF2B5EF4-FFF2-40B4-BE49-F238E27FC236}">
                            <a16:creationId xmlns:a16="http://schemas.microsoft.com/office/drawing/2014/main" id="{886EB4AE-7949-F145-A754-7B6B889FF7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525" cy="417830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292F3A76" id="圆角矩形 103" o:spid="_x0000_s1026" style="position:absolute;margin-left:-3.8pt;margin-top:.9pt;width:70.75pt;height:32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" filled="f" strokecolor="#0070c0" strokeweight="1pt"/>
                  </w:pict>
                </mc:Fallback>
              </mc:AlternateContent>
            </w:r>
          </w:p>
        </w:tc>
      </w:tr>
      <w:tr w:rsidR="00C130FE" w:rsidRPr="00471351" w14:paraId="490730CC" w14:textId="77777777" w:rsidTr="002F7131">
        <w:trPr>
          <w:trHeight w:val="20"/>
        </w:trPr>
        <w:tc>
          <w:tcPr>
            <w:tcW w:w="3152" w:type="dxa"/>
            <w:tcBorders>
              <w:top w:val="nil"/>
              <w:left w:val="nil"/>
              <w:bottom w:val="nil"/>
              <w:right w:val="nil"/>
            </w:tcBorders>
            <w:shd w:val="clear" w:color="auto" w:fill="auto"/>
            <w:noWrap/>
            <w:vAlign w:val="center"/>
            <w:hideMark/>
          </w:tcPr>
          <w:p w14:paraId="10C1F801"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82" w:type="dxa"/>
            <w:tcBorders>
              <w:top w:val="nil"/>
              <w:left w:val="single" w:sz="4" w:space="0" w:color="0070C0"/>
              <w:bottom w:val="nil"/>
              <w:right w:val="nil"/>
            </w:tcBorders>
            <w:shd w:val="clear" w:color="auto" w:fill="auto"/>
            <w:hideMark/>
          </w:tcPr>
          <w:p w14:paraId="7C53ED7D"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lang w:eastAsia="zh-CN"/>
              </w:rPr>
            </w:pPr>
            <w:r w:rsidRPr="00732DCC">
              <w:rPr>
                <w:rFonts w:cstheme="minorHAnsi"/>
                <w:sz w:val="20"/>
                <w:lang w:eastAsia="zh-CN"/>
              </w:rPr>
              <w:t>区域代表处和地区办事处共同支出</w:t>
            </w:r>
          </w:p>
        </w:tc>
        <w:tc>
          <w:tcPr>
            <w:tcW w:w="1279" w:type="dxa"/>
            <w:tcBorders>
              <w:top w:val="nil"/>
              <w:left w:val="nil"/>
              <w:bottom w:val="nil"/>
              <w:right w:val="nil"/>
            </w:tcBorders>
            <w:shd w:val="clear" w:color="auto" w:fill="auto"/>
            <w:hideMark/>
          </w:tcPr>
          <w:p w14:paraId="3ACADE47"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rPr>
            </w:pPr>
            <w:r w:rsidRPr="00732DCC">
              <w:rPr>
                <w:rFonts w:cstheme="minorHAnsi"/>
                <w:sz w:val="20"/>
              </w:rPr>
              <w:t>非洲区域</w:t>
            </w:r>
            <w:r w:rsidRPr="00732DCC">
              <w:rPr>
                <w:rFonts w:cstheme="minorHAnsi"/>
                <w:sz w:val="20"/>
              </w:rPr>
              <w:br/>
            </w:r>
            <w:r w:rsidRPr="00732DCC">
              <w:rPr>
                <w:rFonts w:cstheme="minorHAnsi"/>
                <w:sz w:val="20"/>
              </w:rPr>
              <w:t>（</w:t>
            </w:r>
            <w:r w:rsidRPr="00732DCC">
              <w:rPr>
                <w:rFonts w:cstheme="minorHAnsi"/>
                <w:sz w:val="20"/>
              </w:rPr>
              <w:t>AFR</w:t>
            </w:r>
            <w:r w:rsidRPr="00732DCC">
              <w:rPr>
                <w:rFonts w:cstheme="minorHAnsi"/>
                <w:sz w:val="20"/>
              </w:rPr>
              <w:t>）</w:t>
            </w:r>
          </w:p>
        </w:tc>
        <w:tc>
          <w:tcPr>
            <w:tcW w:w="1279" w:type="dxa"/>
            <w:tcBorders>
              <w:top w:val="nil"/>
              <w:left w:val="nil"/>
              <w:bottom w:val="nil"/>
              <w:right w:val="nil"/>
            </w:tcBorders>
            <w:shd w:val="clear" w:color="auto" w:fill="auto"/>
            <w:hideMark/>
          </w:tcPr>
          <w:p w14:paraId="13BE2C07"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rPr>
            </w:pPr>
            <w:r w:rsidRPr="00732DCC">
              <w:rPr>
                <w:rFonts w:cstheme="minorHAnsi"/>
                <w:sz w:val="20"/>
              </w:rPr>
              <w:t>美洲区域</w:t>
            </w:r>
            <w:r w:rsidRPr="00732DCC">
              <w:rPr>
                <w:rFonts w:cstheme="minorHAnsi"/>
                <w:sz w:val="20"/>
              </w:rPr>
              <w:br/>
            </w:r>
            <w:r w:rsidRPr="00732DCC">
              <w:rPr>
                <w:rFonts w:cstheme="minorHAnsi"/>
                <w:sz w:val="20"/>
              </w:rPr>
              <w:t>（</w:t>
            </w:r>
            <w:r w:rsidRPr="00732DCC">
              <w:rPr>
                <w:rFonts w:cstheme="minorHAnsi"/>
                <w:sz w:val="20"/>
              </w:rPr>
              <w:t>AMS</w:t>
            </w:r>
            <w:r w:rsidRPr="00732DCC">
              <w:rPr>
                <w:rFonts w:cstheme="minorHAnsi"/>
                <w:sz w:val="20"/>
              </w:rPr>
              <w:t>）</w:t>
            </w:r>
          </w:p>
        </w:tc>
        <w:tc>
          <w:tcPr>
            <w:tcW w:w="1279" w:type="dxa"/>
            <w:tcBorders>
              <w:top w:val="nil"/>
              <w:left w:val="nil"/>
              <w:bottom w:val="nil"/>
              <w:right w:val="nil"/>
            </w:tcBorders>
            <w:shd w:val="clear" w:color="auto" w:fill="auto"/>
            <w:hideMark/>
          </w:tcPr>
          <w:p w14:paraId="01ABC10B"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lang w:eastAsia="zh-CN"/>
              </w:rPr>
            </w:pPr>
            <w:r w:rsidRPr="00732DCC">
              <w:rPr>
                <w:rFonts w:cstheme="minorHAnsi"/>
                <w:sz w:val="20"/>
                <w:lang w:eastAsia="zh-CN"/>
              </w:rPr>
              <w:t>阿拉伯区域（</w:t>
            </w:r>
            <w:r w:rsidRPr="00732DCC">
              <w:rPr>
                <w:rFonts w:cstheme="minorHAnsi"/>
                <w:sz w:val="20"/>
                <w:lang w:eastAsia="zh-CN"/>
              </w:rPr>
              <w:t>ARB</w:t>
            </w:r>
            <w:r w:rsidRPr="00732DCC">
              <w:rPr>
                <w:rFonts w:cstheme="minorHAnsi"/>
                <w:sz w:val="20"/>
                <w:lang w:eastAsia="zh-CN"/>
              </w:rPr>
              <w:t>）</w:t>
            </w:r>
          </w:p>
        </w:tc>
        <w:tc>
          <w:tcPr>
            <w:tcW w:w="1279" w:type="dxa"/>
            <w:tcBorders>
              <w:top w:val="nil"/>
              <w:left w:val="nil"/>
              <w:bottom w:val="nil"/>
              <w:right w:val="nil"/>
            </w:tcBorders>
            <w:shd w:val="clear" w:color="auto" w:fill="auto"/>
            <w:hideMark/>
          </w:tcPr>
          <w:p w14:paraId="351974D3"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rPr>
            </w:pPr>
            <w:r w:rsidRPr="00732DCC">
              <w:rPr>
                <w:rFonts w:cstheme="minorHAnsi"/>
                <w:sz w:val="20"/>
              </w:rPr>
              <w:t>亚太区域</w:t>
            </w:r>
            <w:r w:rsidRPr="00732DCC">
              <w:rPr>
                <w:rFonts w:cstheme="minorHAnsi"/>
                <w:sz w:val="20"/>
              </w:rPr>
              <w:br/>
            </w:r>
            <w:r w:rsidRPr="00732DCC">
              <w:rPr>
                <w:rFonts w:cstheme="minorHAnsi"/>
                <w:sz w:val="20"/>
              </w:rPr>
              <w:t>（</w:t>
            </w:r>
            <w:r w:rsidRPr="00732DCC">
              <w:rPr>
                <w:rFonts w:cstheme="minorHAnsi"/>
                <w:sz w:val="20"/>
              </w:rPr>
              <w:t>ASP</w:t>
            </w:r>
            <w:r w:rsidRPr="00732DCC">
              <w:rPr>
                <w:rFonts w:cstheme="minorHAnsi"/>
                <w:sz w:val="20"/>
              </w:rPr>
              <w:t>）</w:t>
            </w:r>
          </w:p>
        </w:tc>
        <w:tc>
          <w:tcPr>
            <w:tcW w:w="1462" w:type="dxa"/>
            <w:tcBorders>
              <w:top w:val="nil"/>
              <w:left w:val="nil"/>
              <w:bottom w:val="nil"/>
              <w:right w:val="nil"/>
            </w:tcBorders>
            <w:shd w:val="clear" w:color="auto" w:fill="auto"/>
            <w:hideMark/>
          </w:tcPr>
          <w:p w14:paraId="2CA3947A"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lang w:eastAsia="zh-CN"/>
              </w:rPr>
            </w:pPr>
            <w:r w:rsidRPr="00732DCC">
              <w:rPr>
                <w:rFonts w:cstheme="minorHAnsi"/>
                <w:sz w:val="20"/>
                <w:lang w:eastAsia="zh-CN"/>
              </w:rPr>
              <w:t>独联体国家</w:t>
            </w:r>
            <w:r>
              <w:rPr>
                <w:rFonts w:cstheme="minorHAnsi"/>
                <w:sz w:val="20"/>
                <w:lang w:eastAsia="zh-CN"/>
              </w:rPr>
              <w:br/>
            </w:r>
            <w:r w:rsidRPr="00732DCC">
              <w:rPr>
                <w:rFonts w:cstheme="minorHAnsi"/>
                <w:sz w:val="20"/>
                <w:lang w:eastAsia="zh-CN"/>
              </w:rPr>
              <w:t>区域（</w:t>
            </w:r>
            <w:r w:rsidRPr="00732DCC">
              <w:rPr>
                <w:rFonts w:cstheme="minorHAnsi"/>
                <w:sz w:val="20"/>
                <w:lang w:eastAsia="zh-CN"/>
              </w:rPr>
              <w:t>CIS</w:t>
            </w:r>
            <w:r w:rsidRPr="00732DCC">
              <w:rPr>
                <w:rFonts w:cstheme="minorHAnsi"/>
                <w:sz w:val="20"/>
                <w:lang w:eastAsia="zh-CN"/>
              </w:rPr>
              <w:t>）</w:t>
            </w:r>
          </w:p>
        </w:tc>
        <w:tc>
          <w:tcPr>
            <w:tcW w:w="1279" w:type="dxa"/>
            <w:tcBorders>
              <w:top w:val="nil"/>
              <w:left w:val="nil"/>
              <w:bottom w:val="nil"/>
              <w:right w:val="nil"/>
            </w:tcBorders>
            <w:shd w:val="clear" w:color="auto" w:fill="auto"/>
            <w:hideMark/>
          </w:tcPr>
          <w:p w14:paraId="1A83E44A"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rPr>
            </w:pPr>
            <w:r w:rsidRPr="00732DCC">
              <w:rPr>
                <w:rFonts w:cstheme="minorHAnsi"/>
                <w:sz w:val="20"/>
              </w:rPr>
              <w:t>欧洲区域</w:t>
            </w:r>
            <w:r>
              <w:rPr>
                <w:rFonts w:cstheme="minorHAnsi"/>
                <w:sz w:val="20"/>
              </w:rPr>
              <w:br/>
            </w:r>
            <w:r w:rsidRPr="00732DCC">
              <w:rPr>
                <w:rFonts w:cstheme="minorHAnsi"/>
                <w:sz w:val="20"/>
              </w:rPr>
              <w:t>（</w:t>
            </w:r>
            <w:r w:rsidRPr="00732DCC">
              <w:rPr>
                <w:rFonts w:cstheme="minorHAnsi"/>
                <w:sz w:val="20"/>
              </w:rPr>
              <w:t>EUR</w:t>
            </w:r>
            <w:r w:rsidRPr="00732DCC">
              <w:rPr>
                <w:rFonts w:cstheme="minorHAnsi"/>
                <w:sz w:val="20"/>
              </w:rPr>
              <w:t>）</w:t>
            </w:r>
          </w:p>
        </w:tc>
        <w:tc>
          <w:tcPr>
            <w:tcW w:w="1401" w:type="dxa"/>
            <w:tcBorders>
              <w:top w:val="nil"/>
              <w:left w:val="nil"/>
              <w:bottom w:val="nil"/>
              <w:right w:val="nil"/>
            </w:tcBorders>
            <w:shd w:val="clear" w:color="auto" w:fill="auto"/>
            <w:noWrap/>
            <w:vAlign w:val="center"/>
            <w:hideMark/>
          </w:tcPr>
          <w:p w14:paraId="50D9A7CC"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b/>
                <w:bCs/>
                <w:color w:val="002060"/>
                <w:sz w:val="20"/>
              </w:rPr>
            </w:pPr>
            <w:r w:rsidRPr="00732DCC">
              <w:rPr>
                <w:rFonts w:cstheme="minorHAnsi"/>
                <w:b/>
                <w:bCs/>
                <w:color w:val="002060"/>
                <w:sz w:val="20"/>
              </w:rPr>
              <w:t>合计</w:t>
            </w:r>
          </w:p>
        </w:tc>
      </w:tr>
      <w:tr w:rsidR="00C130FE" w:rsidRPr="00471351" w14:paraId="2315BA84" w14:textId="77777777" w:rsidTr="002F7131">
        <w:trPr>
          <w:trHeight w:val="20"/>
        </w:trPr>
        <w:tc>
          <w:tcPr>
            <w:tcW w:w="3152" w:type="dxa"/>
            <w:tcBorders>
              <w:top w:val="nil"/>
              <w:left w:val="nil"/>
              <w:bottom w:val="single" w:sz="4" w:space="0" w:color="auto"/>
              <w:right w:val="nil"/>
            </w:tcBorders>
            <w:shd w:val="clear" w:color="auto" w:fill="auto"/>
            <w:noWrap/>
            <w:vAlign w:val="center"/>
            <w:hideMark/>
          </w:tcPr>
          <w:p w14:paraId="33E7ED55"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sz w:val="20"/>
              </w:rPr>
            </w:pPr>
            <w:r w:rsidRPr="00471351">
              <w:rPr>
                <w:rFonts w:eastAsia="Times New Roman" w:cs="Calibri"/>
                <w:b/>
                <w:bCs/>
                <w:i/>
                <w:iCs/>
                <w:sz w:val="20"/>
              </w:rPr>
              <w:t> </w:t>
            </w:r>
          </w:p>
        </w:tc>
        <w:tc>
          <w:tcPr>
            <w:tcW w:w="1482" w:type="dxa"/>
            <w:tcBorders>
              <w:top w:val="nil"/>
              <w:left w:val="single" w:sz="4" w:space="0" w:color="0070C0"/>
              <w:bottom w:val="single" w:sz="4" w:space="0" w:color="auto"/>
              <w:right w:val="nil"/>
            </w:tcBorders>
            <w:shd w:val="clear" w:color="auto" w:fill="auto"/>
            <w:noWrap/>
            <w:vAlign w:val="center"/>
            <w:hideMark/>
          </w:tcPr>
          <w:p w14:paraId="6388ACF2"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471351">
              <w:rPr>
                <w:rFonts w:eastAsia="Times New Roman" w:cs="Calibri"/>
                <w:sz w:val="20"/>
              </w:rPr>
              <w:t> </w:t>
            </w:r>
          </w:p>
        </w:tc>
        <w:tc>
          <w:tcPr>
            <w:tcW w:w="1279" w:type="dxa"/>
            <w:tcBorders>
              <w:top w:val="nil"/>
              <w:left w:val="nil"/>
              <w:bottom w:val="single" w:sz="4" w:space="0" w:color="auto"/>
              <w:right w:val="nil"/>
            </w:tcBorders>
            <w:shd w:val="clear" w:color="auto" w:fill="auto"/>
            <w:noWrap/>
            <w:vAlign w:val="center"/>
            <w:hideMark/>
          </w:tcPr>
          <w:p w14:paraId="0D5F9C4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471351">
              <w:rPr>
                <w:rFonts w:eastAsia="Times New Roman" w:cs="Calibri"/>
                <w:sz w:val="20"/>
              </w:rPr>
              <w:t> </w:t>
            </w:r>
          </w:p>
        </w:tc>
        <w:tc>
          <w:tcPr>
            <w:tcW w:w="1279" w:type="dxa"/>
            <w:tcBorders>
              <w:top w:val="nil"/>
              <w:left w:val="nil"/>
              <w:bottom w:val="single" w:sz="4" w:space="0" w:color="auto"/>
              <w:right w:val="nil"/>
            </w:tcBorders>
            <w:shd w:val="clear" w:color="auto" w:fill="auto"/>
            <w:noWrap/>
            <w:vAlign w:val="center"/>
            <w:hideMark/>
          </w:tcPr>
          <w:p w14:paraId="27FC0E6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471351">
              <w:rPr>
                <w:rFonts w:eastAsia="Times New Roman" w:cs="Calibri"/>
                <w:sz w:val="20"/>
              </w:rPr>
              <w:t> </w:t>
            </w:r>
          </w:p>
        </w:tc>
        <w:tc>
          <w:tcPr>
            <w:tcW w:w="1279" w:type="dxa"/>
            <w:tcBorders>
              <w:top w:val="nil"/>
              <w:left w:val="nil"/>
              <w:bottom w:val="single" w:sz="4" w:space="0" w:color="auto"/>
              <w:right w:val="nil"/>
            </w:tcBorders>
            <w:shd w:val="clear" w:color="auto" w:fill="auto"/>
            <w:noWrap/>
            <w:vAlign w:val="center"/>
            <w:hideMark/>
          </w:tcPr>
          <w:p w14:paraId="0BC0D2B2"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471351">
              <w:rPr>
                <w:rFonts w:eastAsia="Times New Roman" w:cs="Calibri"/>
                <w:sz w:val="20"/>
              </w:rPr>
              <w:t> </w:t>
            </w:r>
          </w:p>
        </w:tc>
        <w:tc>
          <w:tcPr>
            <w:tcW w:w="1279" w:type="dxa"/>
            <w:tcBorders>
              <w:top w:val="nil"/>
              <w:left w:val="nil"/>
              <w:bottom w:val="single" w:sz="4" w:space="0" w:color="auto"/>
              <w:right w:val="nil"/>
            </w:tcBorders>
            <w:shd w:val="clear" w:color="auto" w:fill="auto"/>
            <w:noWrap/>
            <w:vAlign w:val="center"/>
            <w:hideMark/>
          </w:tcPr>
          <w:p w14:paraId="7F5FAB4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471351">
              <w:rPr>
                <w:rFonts w:eastAsia="Times New Roman" w:cs="Calibri"/>
                <w:sz w:val="20"/>
              </w:rPr>
              <w:t> </w:t>
            </w:r>
          </w:p>
        </w:tc>
        <w:tc>
          <w:tcPr>
            <w:tcW w:w="1462" w:type="dxa"/>
            <w:tcBorders>
              <w:top w:val="nil"/>
              <w:left w:val="nil"/>
              <w:bottom w:val="single" w:sz="4" w:space="0" w:color="auto"/>
              <w:right w:val="nil"/>
            </w:tcBorders>
            <w:shd w:val="clear" w:color="auto" w:fill="auto"/>
            <w:noWrap/>
            <w:vAlign w:val="center"/>
            <w:hideMark/>
          </w:tcPr>
          <w:p w14:paraId="143A16D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471351">
              <w:rPr>
                <w:rFonts w:eastAsia="Times New Roman" w:cs="Calibri"/>
                <w:sz w:val="20"/>
              </w:rPr>
              <w:t> </w:t>
            </w:r>
          </w:p>
        </w:tc>
        <w:tc>
          <w:tcPr>
            <w:tcW w:w="1279" w:type="dxa"/>
            <w:tcBorders>
              <w:top w:val="nil"/>
              <w:left w:val="nil"/>
              <w:bottom w:val="single" w:sz="4" w:space="0" w:color="auto"/>
              <w:right w:val="nil"/>
            </w:tcBorders>
            <w:shd w:val="clear" w:color="auto" w:fill="auto"/>
            <w:noWrap/>
            <w:vAlign w:val="center"/>
            <w:hideMark/>
          </w:tcPr>
          <w:p w14:paraId="1389EB9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471351">
              <w:rPr>
                <w:rFonts w:eastAsia="Times New Roman" w:cs="Calibri"/>
                <w:sz w:val="20"/>
              </w:rPr>
              <w:t> </w:t>
            </w:r>
          </w:p>
        </w:tc>
        <w:tc>
          <w:tcPr>
            <w:tcW w:w="1401" w:type="dxa"/>
            <w:tcBorders>
              <w:top w:val="nil"/>
              <w:left w:val="nil"/>
              <w:bottom w:val="single" w:sz="4" w:space="0" w:color="auto"/>
              <w:right w:val="nil"/>
            </w:tcBorders>
            <w:shd w:val="clear" w:color="auto" w:fill="auto"/>
            <w:noWrap/>
            <w:vAlign w:val="center"/>
            <w:hideMark/>
          </w:tcPr>
          <w:p w14:paraId="2D1F413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471351">
              <w:rPr>
                <w:rFonts w:eastAsia="Times New Roman" w:cs="Calibri"/>
                <w:b/>
                <w:bCs/>
                <w:color w:val="002060"/>
                <w:sz w:val="20"/>
              </w:rPr>
              <w:t> </w:t>
            </w:r>
          </w:p>
        </w:tc>
      </w:tr>
      <w:tr w:rsidR="00C130FE" w:rsidRPr="00471351" w14:paraId="125ABFF1" w14:textId="77777777" w:rsidTr="002F7131">
        <w:trPr>
          <w:trHeight w:val="20"/>
        </w:trPr>
        <w:tc>
          <w:tcPr>
            <w:tcW w:w="3152" w:type="dxa"/>
            <w:tcBorders>
              <w:top w:val="nil"/>
              <w:left w:val="nil"/>
              <w:bottom w:val="nil"/>
              <w:right w:val="nil"/>
            </w:tcBorders>
            <w:shd w:val="clear" w:color="auto" w:fill="auto"/>
            <w:noWrap/>
            <w:vAlign w:val="center"/>
            <w:hideMark/>
          </w:tcPr>
          <w:p w14:paraId="13A1242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82" w:type="dxa"/>
            <w:tcBorders>
              <w:top w:val="nil"/>
              <w:left w:val="single" w:sz="4" w:space="0" w:color="0070C0"/>
              <w:bottom w:val="nil"/>
              <w:right w:val="nil"/>
            </w:tcBorders>
            <w:shd w:val="clear" w:color="auto" w:fill="auto"/>
            <w:noWrap/>
            <w:vAlign w:val="center"/>
            <w:hideMark/>
          </w:tcPr>
          <w:p w14:paraId="27F3FF7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79" w:type="dxa"/>
            <w:tcBorders>
              <w:top w:val="nil"/>
              <w:left w:val="nil"/>
              <w:bottom w:val="nil"/>
              <w:right w:val="nil"/>
            </w:tcBorders>
            <w:shd w:val="clear" w:color="auto" w:fill="auto"/>
            <w:noWrap/>
            <w:vAlign w:val="center"/>
            <w:hideMark/>
          </w:tcPr>
          <w:p w14:paraId="569BA31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79" w:type="dxa"/>
            <w:tcBorders>
              <w:top w:val="nil"/>
              <w:left w:val="nil"/>
              <w:bottom w:val="nil"/>
              <w:right w:val="nil"/>
            </w:tcBorders>
            <w:shd w:val="clear" w:color="auto" w:fill="auto"/>
            <w:noWrap/>
            <w:vAlign w:val="center"/>
            <w:hideMark/>
          </w:tcPr>
          <w:p w14:paraId="2BCD5C3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center"/>
            <w:hideMark/>
          </w:tcPr>
          <w:p w14:paraId="0056705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center"/>
            <w:hideMark/>
          </w:tcPr>
          <w:p w14:paraId="0F1F5C7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2" w:type="dxa"/>
            <w:tcBorders>
              <w:top w:val="nil"/>
              <w:left w:val="nil"/>
              <w:bottom w:val="nil"/>
              <w:right w:val="nil"/>
            </w:tcBorders>
            <w:shd w:val="clear" w:color="auto" w:fill="auto"/>
            <w:noWrap/>
            <w:vAlign w:val="center"/>
            <w:hideMark/>
          </w:tcPr>
          <w:p w14:paraId="412C26C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center"/>
            <w:hideMark/>
          </w:tcPr>
          <w:p w14:paraId="55D8F37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1" w:type="dxa"/>
            <w:tcBorders>
              <w:top w:val="nil"/>
              <w:left w:val="nil"/>
              <w:bottom w:val="nil"/>
              <w:right w:val="nil"/>
            </w:tcBorders>
            <w:shd w:val="clear" w:color="auto" w:fill="auto"/>
            <w:noWrap/>
            <w:vAlign w:val="center"/>
            <w:hideMark/>
          </w:tcPr>
          <w:p w14:paraId="7F02329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38328F73" w14:textId="77777777" w:rsidTr="002F7131">
        <w:trPr>
          <w:trHeight w:val="20"/>
        </w:trPr>
        <w:tc>
          <w:tcPr>
            <w:tcW w:w="3152" w:type="dxa"/>
            <w:tcBorders>
              <w:top w:val="nil"/>
              <w:left w:val="nil"/>
              <w:bottom w:val="nil"/>
              <w:right w:val="nil"/>
            </w:tcBorders>
            <w:shd w:val="clear" w:color="auto" w:fill="auto"/>
            <w:noWrap/>
            <w:vAlign w:val="bottom"/>
            <w:hideMark/>
          </w:tcPr>
          <w:p w14:paraId="3E823D51"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732DCC">
              <w:rPr>
                <w:rFonts w:cstheme="minorHAnsi"/>
                <w:sz w:val="20"/>
              </w:rPr>
              <w:t xml:space="preserve">1 - </w:t>
            </w:r>
            <w:r w:rsidRPr="00732DCC">
              <w:rPr>
                <w:rFonts w:cstheme="minorHAnsi"/>
                <w:sz w:val="20"/>
              </w:rPr>
              <w:t>人员费用</w:t>
            </w:r>
          </w:p>
        </w:tc>
        <w:tc>
          <w:tcPr>
            <w:tcW w:w="1482" w:type="dxa"/>
            <w:tcBorders>
              <w:top w:val="nil"/>
              <w:left w:val="single" w:sz="4" w:space="0" w:color="0070C0"/>
              <w:bottom w:val="nil"/>
              <w:right w:val="nil"/>
            </w:tcBorders>
            <w:shd w:val="clear" w:color="auto" w:fill="auto"/>
            <w:noWrap/>
            <w:vAlign w:val="bottom"/>
            <w:hideMark/>
          </w:tcPr>
          <w:p w14:paraId="2577322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79" w:type="dxa"/>
            <w:tcBorders>
              <w:top w:val="nil"/>
              <w:left w:val="nil"/>
              <w:bottom w:val="nil"/>
              <w:right w:val="nil"/>
            </w:tcBorders>
            <w:shd w:val="clear" w:color="auto" w:fill="auto"/>
            <w:noWrap/>
            <w:vAlign w:val="bottom"/>
            <w:hideMark/>
          </w:tcPr>
          <w:p w14:paraId="68CCDBC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1,515</w:t>
            </w:r>
          </w:p>
        </w:tc>
        <w:tc>
          <w:tcPr>
            <w:tcW w:w="1279" w:type="dxa"/>
            <w:tcBorders>
              <w:top w:val="nil"/>
              <w:left w:val="nil"/>
              <w:bottom w:val="nil"/>
              <w:right w:val="nil"/>
            </w:tcBorders>
            <w:shd w:val="clear" w:color="auto" w:fill="auto"/>
            <w:noWrap/>
            <w:vAlign w:val="bottom"/>
            <w:hideMark/>
          </w:tcPr>
          <w:p w14:paraId="161990E2"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1,496</w:t>
            </w:r>
          </w:p>
        </w:tc>
        <w:tc>
          <w:tcPr>
            <w:tcW w:w="1279" w:type="dxa"/>
            <w:tcBorders>
              <w:top w:val="nil"/>
              <w:left w:val="nil"/>
              <w:bottom w:val="nil"/>
              <w:right w:val="nil"/>
            </w:tcBorders>
            <w:shd w:val="clear" w:color="auto" w:fill="auto"/>
            <w:noWrap/>
            <w:vAlign w:val="bottom"/>
            <w:hideMark/>
          </w:tcPr>
          <w:p w14:paraId="6DD7EB2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647</w:t>
            </w:r>
          </w:p>
        </w:tc>
        <w:tc>
          <w:tcPr>
            <w:tcW w:w="1279" w:type="dxa"/>
            <w:tcBorders>
              <w:top w:val="nil"/>
              <w:left w:val="nil"/>
              <w:bottom w:val="nil"/>
              <w:right w:val="nil"/>
            </w:tcBorders>
            <w:shd w:val="clear" w:color="auto" w:fill="auto"/>
            <w:noWrap/>
            <w:vAlign w:val="bottom"/>
            <w:hideMark/>
          </w:tcPr>
          <w:p w14:paraId="0F65ABE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1,003</w:t>
            </w:r>
          </w:p>
        </w:tc>
        <w:tc>
          <w:tcPr>
            <w:tcW w:w="1462" w:type="dxa"/>
            <w:tcBorders>
              <w:top w:val="nil"/>
              <w:left w:val="nil"/>
              <w:bottom w:val="nil"/>
              <w:right w:val="nil"/>
            </w:tcBorders>
            <w:shd w:val="clear" w:color="auto" w:fill="auto"/>
            <w:noWrap/>
            <w:vAlign w:val="bottom"/>
            <w:hideMark/>
          </w:tcPr>
          <w:p w14:paraId="4A7FE03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355</w:t>
            </w:r>
          </w:p>
        </w:tc>
        <w:tc>
          <w:tcPr>
            <w:tcW w:w="1279" w:type="dxa"/>
            <w:tcBorders>
              <w:top w:val="nil"/>
              <w:left w:val="nil"/>
              <w:bottom w:val="nil"/>
              <w:right w:val="nil"/>
            </w:tcBorders>
            <w:shd w:val="clear" w:color="auto" w:fill="auto"/>
            <w:noWrap/>
            <w:vAlign w:val="bottom"/>
            <w:hideMark/>
          </w:tcPr>
          <w:p w14:paraId="26CA1D3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364</w:t>
            </w:r>
          </w:p>
        </w:tc>
        <w:tc>
          <w:tcPr>
            <w:tcW w:w="1401" w:type="dxa"/>
            <w:tcBorders>
              <w:top w:val="nil"/>
              <w:left w:val="nil"/>
              <w:bottom w:val="nil"/>
              <w:right w:val="nil"/>
            </w:tcBorders>
            <w:shd w:val="clear" w:color="auto" w:fill="auto"/>
            <w:noWrap/>
            <w:vAlign w:val="bottom"/>
            <w:hideMark/>
          </w:tcPr>
          <w:p w14:paraId="32CE878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5,380</w:t>
            </w:r>
          </w:p>
        </w:tc>
      </w:tr>
      <w:tr w:rsidR="00C130FE" w:rsidRPr="00471351" w14:paraId="69950091" w14:textId="77777777" w:rsidTr="002F7131">
        <w:trPr>
          <w:trHeight w:val="20"/>
        </w:trPr>
        <w:tc>
          <w:tcPr>
            <w:tcW w:w="3152" w:type="dxa"/>
            <w:tcBorders>
              <w:top w:val="nil"/>
              <w:left w:val="nil"/>
              <w:bottom w:val="nil"/>
              <w:right w:val="nil"/>
            </w:tcBorders>
            <w:shd w:val="clear" w:color="auto" w:fill="auto"/>
            <w:noWrap/>
            <w:vAlign w:val="bottom"/>
            <w:hideMark/>
          </w:tcPr>
          <w:p w14:paraId="06B61236"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82" w:type="dxa"/>
            <w:tcBorders>
              <w:top w:val="nil"/>
              <w:left w:val="single" w:sz="4" w:space="0" w:color="0070C0"/>
              <w:bottom w:val="nil"/>
              <w:right w:val="nil"/>
            </w:tcBorders>
            <w:shd w:val="clear" w:color="auto" w:fill="auto"/>
            <w:noWrap/>
            <w:vAlign w:val="bottom"/>
            <w:hideMark/>
          </w:tcPr>
          <w:p w14:paraId="11E55685"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79" w:type="dxa"/>
            <w:tcBorders>
              <w:top w:val="nil"/>
              <w:left w:val="nil"/>
              <w:bottom w:val="nil"/>
              <w:right w:val="nil"/>
            </w:tcBorders>
            <w:shd w:val="clear" w:color="auto" w:fill="auto"/>
            <w:noWrap/>
            <w:vAlign w:val="bottom"/>
            <w:hideMark/>
          </w:tcPr>
          <w:p w14:paraId="2634E8E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79" w:type="dxa"/>
            <w:tcBorders>
              <w:top w:val="nil"/>
              <w:left w:val="nil"/>
              <w:bottom w:val="nil"/>
              <w:right w:val="nil"/>
            </w:tcBorders>
            <w:shd w:val="clear" w:color="auto" w:fill="auto"/>
            <w:noWrap/>
            <w:vAlign w:val="bottom"/>
            <w:hideMark/>
          </w:tcPr>
          <w:p w14:paraId="56D8F0A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5B9498E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6EBB6B4D"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2" w:type="dxa"/>
            <w:tcBorders>
              <w:top w:val="nil"/>
              <w:left w:val="nil"/>
              <w:bottom w:val="nil"/>
              <w:right w:val="nil"/>
            </w:tcBorders>
            <w:shd w:val="clear" w:color="auto" w:fill="auto"/>
            <w:noWrap/>
            <w:vAlign w:val="bottom"/>
            <w:hideMark/>
          </w:tcPr>
          <w:p w14:paraId="2710537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385E1A9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1" w:type="dxa"/>
            <w:tcBorders>
              <w:top w:val="nil"/>
              <w:left w:val="nil"/>
              <w:bottom w:val="nil"/>
              <w:right w:val="nil"/>
            </w:tcBorders>
            <w:shd w:val="clear" w:color="auto" w:fill="auto"/>
            <w:noWrap/>
            <w:vAlign w:val="bottom"/>
            <w:hideMark/>
          </w:tcPr>
          <w:p w14:paraId="0D2F45C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2AE77F82" w14:textId="77777777" w:rsidTr="002F7131">
        <w:trPr>
          <w:trHeight w:val="20"/>
        </w:trPr>
        <w:tc>
          <w:tcPr>
            <w:tcW w:w="3152" w:type="dxa"/>
            <w:tcBorders>
              <w:top w:val="nil"/>
              <w:left w:val="nil"/>
              <w:bottom w:val="nil"/>
              <w:right w:val="nil"/>
            </w:tcBorders>
            <w:shd w:val="clear" w:color="auto" w:fill="auto"/>
            <w:noWrap/>
            <w:vAlign w:val="bottom"/>
            <w:hideMark/>
          </w:tcPr>
          <w:p w14:paraId="14439EA2"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732DCC">
              <w:rPr>
                <w:rFonts w:cstheme="minorHAnsi"/>
                <w:sz w:val="20"/>
              </w:rPr>
              <w:t xml:space="preserve">2 - </w:t>
            </w:r>
            <w:r w:rsidRPr="00732DCC">
              <w:rPr>
                <w:rFonts w:cstheme="minorHAnsi"/>
                <w:sz w:val="20"/>
              </w:rPr>
              <w:t>其他人员费用</w:t>
            </w:r>
          </w:p>
        </w:tc>
        <w:tc>
          <w:tcPr>
            <w:tcW w:w="1482" w:type="dxa"/>
            <w:tcBorders>
              <w:top w:val="nil"/>
              <w:left w:val="single" w:sz="4" w:space="0" w:color="0070C0"/>
              <w:bottom w:val="nil"/>
              <w:right w:val="nil"/>
            </w:tcBorders>
            <w:shd w:val="clear" w:color="auto" w:fill="auto"/>
            <w:noWrap/>
            <w:vAlign w:val="bottom"/>
            <w:hideMark/>
          </w:tcPr>
          <w:p w14:paraId="01296C2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79" w:type="dxa"/>
            <w:tcBorders>
              <w:top w:val="nil"/>
              <w:left w:val="nil"/>
              <w:bottom w:val="nil"/>
              <w:right w:val="nil"/>
            </w:tcBorders>
            <w:shd w:val="clear" w:color="auto" w:fill="auto"/>
            <w:noWrap/>
            <w:vAlign w:val="bottom"/>
            <w:hideMark/>
          </w:tcPr>
          <w:p w14:paraId="2D2773C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446</w:t>
            </w:r>
          </w:p>
        </w:tc>
        <w:tc>
          <w:tcPr>
            <w:tcW w:w="1279" w:type="dxa"/>
            <w:tcBorders>
              <w:top w:val="nil"/>
              <w:left w:val="nil"/>
              <w:bottom w:val="nil"/>
              <w:right w:val="nil"/>
            </w:tcBorders>
            <w:shd w:val="clear" w:color="auto" w:fill="auto"/>
            <w:noWrap/>
            <w:vAlign w:val="bottom"/>
            <w:hideMark/>
          </w:tcPr>
          <w:p w14:paraId="5D908D8D"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440</w:t>
            </w:r>
          </w:p>
        </w:tc>
        <w:tc>
          <w:tcPr>
            <w:tcW w:w="1279" w:type="dxa"/>
            <w:tcBorders>
              <w:top w:val="nil"/>
              <w:left w:val="nil"/>
              <w:bottom w:val="nil"/>
              <w:right w:val="nil"/>
            </w:tcBorders>
            <w:shd w:val="clear" w:color="auto" w:fill="auto"/>
            <w:noWrap/>
            <w:vAlign w:val="bottom"/>
            <w:hideMark/>
          </w:tcPr>
          <w:p w14:paraId="0D9348C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191</w:t>
            </w:r>
          </w:p>
        </w:tc>
        <w:tc>
          <w:tcPr>
            <w:tcW w:w="1279" w:type="dxa"/>
            <w:tcBorders>
              <w:top w:val="nil"/>
              <w:left w:val="nil"/>
              <w:bottom w:val="nil"/>
              <w:right w:val="nil"/>
            </w:tcBorders>
            <w:shd w:val="clear" w:color="auto" w:fill="auto"/>
            <w:noWrap/>
            <w:vAlign w:val="bottom"/>
            <w:hideMark/>
          </w:tcPr>
          <w:p w14:paraId="665BE7B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296</w:t>
            </w:r>
          </w:p>
        </w:tc>
        <w:tc>
          <w:tcPr>
            <w:tcW w:w="1462" w:type="dxa"/>
            <w:tcBorders>
              <w:top w:val="nil"/>
              <w:left w:val="nil"/>
              <w:bottom w:val="nil"/>
              <w:right w:val="nil"/>
            </w:tcBorders>
            <w:shd w:val="clear" w:color="auto" w:fill="auto"/>
            <w:noWrap/>
            <w:vAlign w:val="bottom"/>
            <w:hideMark/>
          </w:tcPr>
          <w:p w14:paraId="6ED42C4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103</w:t>
            </w:r>
          </w:p>
        </w:tc>
        <w:tc>
          <w:tcPr>
            <w:tcW w:w="1279" w:type="dxa"/>
            <w:tcBorders>
              <w:top w:val="nil"/>
              <w:left w:val="nil"/>
              <w:bottom w:val="nil"/>
              <w:right w:val="nil"/>
            </w:tcBorders>
            <w:shd w:val="clear" w:color="auto" w:fill="auto"/>
            <w:noWrap/>
            <w:vAlign w:val="bottom"/>
            <w:hideMark/>
          </w:tcPr>
          <w:p w14:paraId="5CB32B0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105</w:t>
            </w:r>
          </w:p>
        </w:tc>
        <w:tc>
          <w:tcPr>
            <w:tcW w:w="1401" w:type="dxa"/>
            <w:tcBorders>
              <w:top w:val="nil"/>
              <w:left w:val="nil"/>
              <w:bottom w:val="nil"/>
              <w:right w:val="nil"/>
            </w:tcBorders>
            <w:shd w:val="clear" w:color="auto" w:fill="auto"/>
            <w:noWrap/>
            <w:vAlign w:val="bottom"/>
            <w:hideMark/>
          </w:tcPr>
          <w:p w14:paraId="6086B55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1,581</w:t>
            </w:r>
          </w:p>
        </w:tc>
      </w:tr>
      <w:tr w:rsidR="00C130FE" w:rsidRPr="00471351" w14:paraId="7A8B8BA3" w14:textId="77777777" w:rsidTr="002F7131">
        <w:trPr>
          <w:trHeight w:val="20"/>
        </w:trPr>
        <w:tc>
          <w:tcPr>
            <w:tcW w:w="3152" w:type="dxa"/>
            <w:tcBorders>
              <w:top w:val="nil"/>
              <w:left w:val="nil"/>
              <w:bottom w:val="nil"/>
              <w:right w:val="nil"/>
            </w:tcBorders>
            <w:shd w:val="clear" w:color="auto" w:fill="auto"/>
            <w:noWrap/>
            <w:vAlign w:val="bottom"/>
            <w:hideMark/>
          </w:tcPr>
          <w:p w14:paraId="0E135AD9"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82" w:type="dxa"/>
            <w:tcBorders>
              <w:top w:val="nil"/>
              <w:left w:val="single" w:sz="4" w:space="0" w:color="0070C0"/>
              <w:bottom w:val="nil"/>
              <w:right w:val="nil"/>
            </w:tcBorders>
            <w:shd w:val="clear" w:color="auto" w:fill="auto"/>
            <w:noWrap/>
            <w:vAlign w:val="bottom"/>
            <w:hideMark/>
          </w:tcPr>
          <w:p w14:paraId="1790E84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79" w:type="dxa"/>
            <w:tcBorders>
              <w:top w:val="nil"/>
              <w:left w:val="nil"/>
              <w:bottom w:val="nil"/>
              <w:right w:val="nil"/>
            </w:tcBorders>
            <w:shd w:val="clear" w:color="auto" w:fill="auto"/>
            <w:noWrap/>
            <w:vAlign w:val="bottom"/>
            <w:hideMark/>
          </w:tcPr>
          <w:p w14:paraId="2D2C0DDD"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79" w:type="dxa"/>
            <w:tcBorders>
              <w:top w:val="nil"/>
              <w:left w:val="nil"/>
              <w:bottom w:val="nil"/>
              <w:right w:val="nil"/>
            </w:tcBorders>
            <w:shd w:val="clear" w:color="auto" w:fill="auto"/>
            <w:noWrap/>
            <w:vAlign w:val="bottom"/>
            <w:hideMark/>
          </w:tcPr>
          <w:p w14:paraId="0E1CACD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7D2011A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5252AB3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2" w:type="dxa"/>
            <w:tcBorders>
              <w:top w:val="nil"/>
              <w:left w:val="nil"/>
              <w:bottom w:val="nil"/>
              <w:right w:val="nil"/>
            </w:tcBorders>
            <w:shd w:val="clear" w:color="auto" w:fill="auto"/>
            <w:noWrap/>
            <w:vAlign w:val="bottom"/>
            <w:hideMark/>
          </w:tcPr>
          <w:p w14:paraId="487FD5A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6B34D5C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1" w:type="dxa"/>
            <w:tcBorders>
              <w:top w:val="nil"/>
              <w:left w:val="nil"/>
              <w:bottom w:val="nil"/>
              <w:right w:val="nil"/>
            </w:tcBorders>
            <w:shd w:val="clear" w:color="auto" w:fill="auto"/>
            <w:noWrap/>
            <w:vAlign w:val="bottom"/>
            <w:hideMark/>
          </w:tcPr>
          <w:p w14:paraId="64FA89F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2AB58B19" w14:textId="77777777" w:rsidTr="002F7131">
        <w:trPr>
          <w:trHeight w:val="20"/>
        </w:trPr>
        <w:tc>
          <w:tcPr>
            <w:tcW w:w="3152" w:type="dxa"/>
            <w:tcBorders>
              <w:top w:val="nil"/>
              <w:left w:val="nil"/>
              <w:bottom w:val="nil"/>
              <w:right w:val="nil"/>
            </w:tcBorders>
            <w:shd w:val="clear" w:color="auto" w:fill="auto"/>
            <w:noWrap/>
            <w:vAlign w:val="bottom"/>
            <w:hideMark/>
          </w:tcPr>
          <w:p w14:paraId="5678F449"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732DCC">
              <w:rPr>
                <w:rFonts w:cstheme="minorHAnsi"/>
                <w:sz w:val="20"/>
              </w:rPr>
              <w:t xml:space="preserve">3 - </w:t>
            </w:r>
            <w:r w:rsidRPr="00732DCC">
              <w:rPr>
                <w:rFonts w:cstheme="minorHAnsi"/>
                <w:sz w:val="20"/>
              </w:rPr>
              <w:t>公务差旅</w:t>
            </w:r>
          </w:p>
        </w:tc>
        <w:tc>
          <w:tcPr>
            <w:tcW w:w="1482" w:type="dxa"/>
            <w:tcBorders>
              <w:top w:val="nil"/>
              <w:left w:val="single" w:sz="4" w:space="0" w:color="0070C0"/>
              <w:bottom w:val="nil"/>
              <w:right w:val="nil"/>
            </w:tcBorders>
            <w:shd w:val="clear" w:color="auto" w:fill="auto"/>
            <w:noWrap/>
            <w:vAlign w:val="bottom"/>
            <w:hideMark/>
          </w:tcPr>
          <w:p w14:paraId="794068F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79" w:type="dxa"/>
            <w:tcBorders>
              <w:top w:val="nil"/>
              <w:left w:val="nil"/>
              <w:bottom w:val="nil"/>
              <w:right w:val="nil"/>
            </w:tcBorders>
            <w:shd w:val="clear" w:color="auto" w:fill="auto"/>
            <w:noWrap/>
            <w:vAlign w:val="bottom"/>
            <w:hideMark/>
          </w:tcPr>
          <w:p w14:paraId="37079A6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50</w:t>
            </w:r>
          </w:p>
        </w:tc>
        <w:tc>
          <w:tcPr>
            <w:tcW w:w="1279" w:type="dxa"/>
            <w:tcBorders>
              <w:top w:val="nil"/>
              <w:left w:val="nil"/>
              <w:bottom w:val="nil"/>
              <w:right w:val="nil"/>
            </w:tcBorders>
            <w:shd w:val="clear" w:color="auto" w:fill="auto"/>
            <w:noWrap/>
            <w:vAlign w:val="bottom"/>
            <w:hideMark/>
          </w:tcPr>
          <w:p w14:paraId="39BB5722"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49</w:t>
            </w:r>
          </w:p>
        </w:tc>
        <w:tc>
          <w:tcPr>
            <w:tcW w:w="1279" w:type="dxa"/>
            <w:tcBorders>
              <w:top w:val="nil"/>
              <w:left w:val="nil"/>
              <w:bottom w:val="nil"/>
              <w:right w:val="nil"/>
            </w:tcBorders>
            <w:shd w:val="clear" w:color="auto" w:fill="auto"/>
            <w:noWrap/>
            <w:vAlign w:val="bottom"/>
            <w:hideMark/>
          </w:tcPr>
          <w:p w14:paraId="630A748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32</w:t>
            </w:r>
          </w:p>
        </w:tc>
        <w:tc>
          <w:tcPr>
            <w:tcW w:w="1279" w:type="dxa"/>
            <w:tcBorders>
              <w:top w:val="nil"/>
              <w:left w:val="nil"/>
              <w:bottom w:val="nil"/>
              <w:right w:val="nil"/>
            </w:tcBorders>
            <w:shd w:val="clear" w:color="auto" w:fill="auto"/>
            <w:noWrap/>
            <w:vAlign w:val="bottom"/>
            <w:hideMark/>
          </w:tcPr>
          <w:p w14:paraId="2325AD0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36</w:t>
            </w:r>
          </w:p>
        </w:tc>
        <w:tc>
          <w:tcPr>
            <w:tcW w:w="1462" w:type="dxa"/>
            <w:tcBorders>
              <w:top w:val="nil"/>
              <w:left w:val="nil"/>
              <w:bottom w:val="nil"/>
              <w:right w:val="nil"/>
            </w:tcBorders>
            <w:shd w:val="clear" w:color="auto" w:fill="auto"/>
            <w:noWrap/>
            <w:vAlign w:val="bottom"/>
            <w:hideMark/>
          </w:tcPr>
          <w:p w14:paraId="776B7F5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22</w:t>
            </w:r>
          </w:p>
        </w:tc>
        <w:tc>
          <w:tcPr>
            <w:tcW w:w="1279" w:type="dxa"/>
            <w:tcBorders>
              <w:top w:val="nil"/>
              <w:left w:val="nil"/>
              <w:bottom w:val="nil"/>
              <w:right w:val="nil"/>
            </w:tcBorders>
            <w:shd w:val="clear" w:color="auto" w:fill="auto"/>
            <w:noWrap/>
            <w:vAlign w:val="bottom"/>
            <w:hideMark/>
          </w:tcPr>
          <w:p w14:paraId="720032D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18</w:t>
            </w:r>
          </w:p>
        </w:tc>
        <w:tc>
          <w:tcPr>
            <w:tcW w:w="1401" w:type="dxa"/>
            <w:tcBorders>
              <w:top w:val="nil"/>
              <w:left w:val="nil"/>
              <w:bottom w:val="nil"/>
              <w:right w:val="nil"/>
            </w:tcBorders>
            <w:shd w:val="clear" w:color="auto" w:fill="auto"/>
            <w:noWrap/>
            <w:vAlign w:val="bottom"/>
            <w:hideMark/>
          </w:tcPr>
          <w:p w14:paraId="0CAB826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207</w:t>
            </w:r>
          </w:p>
        </w:tc>
      </w:tr>
      <w:tr w:rsidR="00C130FE" w:rsidRPr="00471351" w14:paraId="14F74292" w14:textId="77777777" w:rsidTr="002F7131">
        <w:trPr>
          <w:trHeight w:val="20"/>
        </w:trPr>
        <w:tc>
          <w:tcPr>
            <w:tcW w:w="3152" w:type="dxa"/>
            <w:tcBorders>
              <w:top w:val="nil"/>
              <w:left w:val="nil"/>
              <w:bottom w:val="nil"/>
              <w:right w:val="nil"/>
            </w:tcBorders>
            <w:shd w:val="clear" w:color="auto" w:fill="auto"/>
            <w:noWrap/>
            <w:vAlign w:val="bottom"/>
            <w:hideMark/>
          </w:tcPr>
          <w:p w14:paraId="11A5F8FB"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82" w:type="dxa"/>
            <w:tcBorders>
              <w:top w:val="nil"/>
              <w:left w:val="single" w:sz="4" w:space="0" w:color="0070C0"/>
              <w:bottom w:val="nil"/>
              <w:right w:val="nil"/>
            </w:tcBorders>
            <w:shd w:val="clear" w:color="auto" w:fill="auto"/>
            <w:noWrap/>
            <w:vAlign w:val="bottom"/>
            <w:hideMark/>
          </w:tcPr>
          <w:p w14:paraId="274D5FD2"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79" w:type="dxa"/>
            <w:tcBorders>
              <w:top w:val="nil"/>
              <w:left w:val="nil"/>
              <w:bottom w:val="nil"/>
              <w:right w:val="nil"/>
            </w:tcBorders>
            <w:shd w:val="clear" w:color="auto" w:fill="auto"/>
            <w:noWrap/>
            <w:vAlign w:val="bottom"/>
            <w:hideMark/>
          </w:tcPr>
          <w:p w14:paraId="5E61BC5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79" w:type="dxa"/>
            <w:tcBorders>
              <w:top w:val="nil"/>
              <w:left w:val="nil"/>
              <w:bottom w:val="nil"/>
              <w:right w:val="nil"/>
            </w:tcBorders>
            <w:shd w:val="clear" w:color="auto" w:fill="auto"/>
            <w:noWrap/>
            <w:vAlign w:val="bottom"/>
            <w:hideMark/>
          </w:tcPr>
          <w:p w14:paraId="6682AF7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3E9256F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0F1F7A22"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2" w:type="dxa"/>
            <w:tcBorders>
              <w:top w:val="nil"/>
              <w:left w:val="nil"/>
              <w:bottom w:val="nil"/>
              <w:right w:val="nil"/>
            </w:tcBorders>
            <w:shd w:val="clear" w:color="auto" w:fill="auto"/>
            <w:noWrap/>
            <w:vAlign w:val="bottom"/>
            <w:hideMark/>
          </w:tcPr>
          <w:p w14:paraId="459D1E8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37A7FE8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1" w:type="dxa"/>
            <w:tcBorders>
              <w:top w:val="nil"/>
              <w:left w:val="nil"/>
              <w:bottom w:val="nil"/>
              <w:right w:val="nil"/>
            </w:tcBorders>
            <w:shd w:val="clear" w:color="auto" w:fill="auto"/>
            <w:noWrap/>
            <w:vAlign w:val="bottom"/>
            <w:hideMark/>
          </w:tcPr>
          <w:p w14:paraId="42DC355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08FAE4FD" w14:textId="77777777" w:rsidTr="002F7131">
        <w:trPr>
          <w:trHeight w:val="20"/>
        </w:trPr>
        <w:tc>
          <w:tcPr>
            <w:tcW w:w="3152" w:type="dxa"/>
            <w:tcBorders>
              <w:top w:val="nil"/>
              <w:left w:val="nil"/>
              <w:bottom w:val="nil"/>
              <w:right w:val="nil"/>
            </w:tcBorders>
            <w:shd w:val="clear" w:color="auto" w:fill="auto"/>
            <w:noWrap/>
            <w:vAlign w:val="bottom"/>
            <w:hideMark/>
          </w:tcPr>
          <w:p w14:paraId="6CC18718"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732DCC">
              <w:rPr>
                <w:rFonts w:cstheme="minorHAnsi"/>
                <w:sz w:val="20"/>
              </w:rPr>
              <w:t xml:space="preserve">4 - </w:t>
            </w:r>
            <w:r w:rsidRPr="00732DCC">
              <w:rPr>
                <w:rFonts w:cstheme="minorHAnsi"/>
                <w:sz w:val="20"/>
              </w:rPr>
              <w:t>合同服务</w:t>
            </w:r>
          </w:p>
        </w:tc>
        <w:tc>
          <w:tcPr>
            <w:tcW w:w="1482" w:type="dxa"/>
            <w:tcBorders>
              <w:top w:val="nil"/>
              <w:left w:val="single" w:sz="4" w:space="0" w:color="0070C0"/>
              <w:bottom w:val="nil"/>
              <w:right w:val="nil"/>
            </w:tcBorders>
            <w:shd w:val="clear" w:color="auto" w:fill="auto"/>
            <w:noWrap/>
            <w:vAlign w:val="bottom"/>
            <w:hideMark/>
          </w:tcPr>
          <w:p w14:paraId="57689C6D"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79" w:type="dxa"/>
            <w:tcBorders>
              <w:top w:val="nil"/>
              <w:left w:val="nil"/>
              <w:bottom w:val="nil"/>
              <w:right w:val="nil"/>
            </w:tcBorders>
            <w:shd w:val="clear" w:color="auto" w:fill="auto"/>
            <w:noWrap/>
            <w:vAlign w:val="bottom"/>
            <w:hideMark/>
          </w:tcPr>
          <w:p w14:paraId="6345F36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21</w:t>
            </w:r>
          </w:p>
        </w:tc>
        <w:tc>
          <w:tcPr>
            <w:tcW w:w="1279" w:type="dxa"/>
            <w:tcBorders>
              <w:top w:val="nil"/>
              <w:left w:val="nil"/>
              <w:bottom w:val="nil"/>
              <w:right w:val="nil"/>
            </w:tcBorders>
            <w:shd w:val="clear" w:color="auto" w:fill="auto"/>
            <w:noWrap/>
            <w:vAlign w:val="bottom"/>
            <w:hideMark/>
          </w:tcPr>
          <w:p w14:paraId="0D97FFF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4</w:t>
            </w:r>
          </w:p>
        </w:tc>
        <w:tc>
          <w:tcPr>
            <w:tcW w:w="1279" w:type="dxa"/>
            <w:tcBorders>
              <w:top w:val="nil"/>
              <w:left w:val="nil"/>
              <w:bottom w:val="nil"/>
              <w:right w:val="nil"/>
            </w:tcBorders>
            <w:shd w:val="clear" w:color="auto" w:fill="auto"/>
            <w:noWrap/>
            <w:vAlign w:val="bottom"/>
            <w:hideMark/>
          </w:tcPr>
          <w:p w14:paraId="1B43E4D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5</w:t>
            </w:r>
          </w:p>
        </w:tc>
        <w:tc>
          <w:tcPr>
            <w:tcW w:w="1279" w:type="dxa"/>
            <w:tcBorders>
              <w:top w:val="nil"/>
              <w:left w:val="nil"/>
              <w:bottom w:val="nil"/>
              <w:right w:val="nil"/>
            </w:tcBorders>
            <w:shd w:val="clear" w:color="auto" w:fill="auto"/>
            <w:noWrap/>
            <w:vAlign w:val="bottom"/>
            <w:hideMark/>
          </w:tcPr>
          <w:p w14:paraId="16AE45AD"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w:t>
            </w:r>
          </w:p>
        </w:tc>
        <w:tc>
          <w:tcPr>
            <w:tcW w:w="1462" w:type="dxa"/>
            <w:tcBorders>
              <w:top w:val="nil"/>
              <w:left w:val="nil"/>
              <w:bottom w:val="nil"/>
              <w:right w:val="nil"/>
            </w:tcBorders>
            <w:shd w:val="clear" w:color="auto" w:fill="auto"/>
            <w:noWrap/>
            <w:vAlign w:val="bottom"/>
            <w:hideMark/>
          </w:tcPr>
          <w:p w14:paraId="36B3BB3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w:t>
            </w:r>
          </w:p>
        </w:tc>
        <w:tc>
          <w:tcPr>
            <w:tcW w:w="1279" w:type="dxa"/>
            <w:tcBorders>
              <w:top w:val="nil"/>
              <w:left w:val="nil"/>
              <w:bottom w:val="nil"/>
              <w:right w:val="nil"/>
            </w:tcBorders>
            <w:shd w:val="clear" w:color="auto" w:fill="auto"/>
            <w:noWrap/>
            <w:vAlign w:val="bottom"/>
            <w:hideMark/>
          </w:tcPr>
          <w:p w14:paraId="2821FDC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401" w:type="dxa"/>
            <w:tcBorders>
              <w:top w:val="nil"/>
              <w:left w:val="nil"/>
              <w:bottom w:val="nil"/>
              <w:right w:val="nil"/>
            </w:tcBorders>
            <w:shd w:val="clear" w:color="auto" w:fill="auto"/>
            <w:noWrap/>
            <w:vAlign w:val="bottom"/>
            <w:hideMark/>
          </w:tcPr>
          <w:p w14:paraId="3B10A79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36</w:t>
            </w:r>
          </w:p>
        </w:tc>
      </w:tr>
      <w:tr w:rsidR="00C130FE" w:rsidRPr="00471351" w14:paraId="12682EE5" w14:textId="77777777" w:rsidTr="002F7131">
        <w:trPr>
          <w:trHeight w:val="20"/>
        </w:trPr>
        <w:tc>
          <w:tcPr>
            <w:tcW w:w="3152" w:type="dxa"/>
            <w:tcBorders>
              <w:top w:val="nil"/>
              <w:left w:val="nil"/>
              <w:bottom w:val="nil"/>
              <w:right w:val="nil"/>
            </w:tcBorders>
            <w:shd w:val="clear" w:color="auto" w:fill="auto"/>
            <w:noWrap/>
            <w:vAlign w:val="bottom"/>
            <w:hideMark/>
          </w:tcPr>
          <w:p w14:paraId="1C2F852B"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82" w:type="dxa"/>
            <w:tcBorders>
              <w:top w:val="nil"/>
              <w:left w:val="single" w:sz="4" w:space="0" w:color="0070C0"/>
              <w:bottom w:val="nil"/>
              <w:right w:val="nil"/>
            </w:tcBorders>
            <w:shd w:val="clear" w:color="auto" w:fill="auto"/>
            <w:noWrap/>
            <w:vAlign w:val="bottom"/>
            <w:hideMark/>
          </w:tcPr>
          <w:p w14:paraId="6614927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79" w:type="dxa"/>
            <w:tcBorders>
              <w:top w:val="nil"/>
              <w:left w:val="nil"/>
              <w:bottom w:val="nil"/>
              <w:right w:val="nil"/>
            </w:tcBorders>
            <w:shd w:val="clear" w:color="auto" w:fill="auto"/>
            <w:noWrap/>
            <w:vAlign w:val="bottom"/>
            <w:hideMark/>
          </w:tcPr>
          <w:p w14:paraId="3E44DDBD"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79" w:type="dxa"/>
            <w:tcBorders>
              <w:top w:val="nil"/>
              <w:left w:val="nil"/>
              <w:bottom w:val="nil"/>
              <w:right w:val="nil"/>
            </w:tcBorders>
            <w:shd w:val="clear" w:color="auto" w:fill="auto"/>
            <w:noWrap/>
            <w:vAlign w:val="bottom"/>
            <w:hideMark/>
          </w:tcPr>
          <w:p w14:paraId="72FB801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356CCEF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2A4BA10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2" w:type="dxa"/>
            <w:tcBorders>
              <w:top w:val="nil"/>
              <w:left w:val="nil"/>
              <w:bottom w:val="nil"/>
              <w:right w:val="nil"/>
            </w:tcBorders>
            <w:shd w:val="clear" w:color="auto" w:fill="auto"/>
            <w:noWrap/>
            <w:vAlign w:val="bottom"/>
            <w:hideMark/>
          </w:tcPr>
          <w:p w14:paraId="326D939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30C2C51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1" w:type="dxa"/>
            <w:tcBorders>
              <w:top w:val="nil"/>
              <w:left w:val="nil"/>
              <w:bottom w:val="nil"/>
              <w:right w:val="nil"/>
            </w:tcBorders>
            <w:shd w:val="clear" w:color="auto" w:fill="auto"/>
            <w:noWrap/>
            <w:vAlign w:val="bottom"/>
            <w:hideMark/>
          </w:tcPr>
          <w:p w14:paraId="3B10E68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75DC6A2C" w14:textId="77777777" w:rsidTr="002F7131">
        <w:trPr>
          <w:trHeight w:val="20"/>
        </w:trPr>
        <w:tc>
          <w:tcPr>
            <w:tcW w:w="3152" w:type="dxa"/>
            <w:tcBorders>
              <w:top w:val="nil"/>
              <w:left w:val="nil"/>
              <w:bottom w:val="nil"/>
              <w:right w:val="nil"/>
            </w:tcBorders>
            <w:shd w:val="clear" w:color="auto" w:fill="auto"/>
            <w:vAlign w:val="bottom"/>
            <w:hideMark/>
          </w:tcPr>
          <w:p w14:paraId="41DBD1F8"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732DCC">
              <w:rPr>
                <w:rFonts w:cstheme="minorHAnsi"/>
                <w:sz w:val="20"/>
                <w:lang w:eastAsia="zh-CN"/>
              </w:rPr>
              <w:t xml:space="preserve">5 - </w:t>
            </w:r>
            <w:r w:rsidRPr="00732DCC">
              <w:rPr>
                <w:rFonts w:cstheme="minorHAnsi"/>
                <w:sz w:val="20"/>
                <w:lang w:eastAsia="zh-CN"/>
              </w:rPr>
              <w:t>房屋设施和设备的租用与维护</w:t>
            </w:r>
          </w:p>
        </w:tc>
        <w:tc>
          <w:tcPr>
            <w:tcW w:w="1482" w:type="dxa"/>
            <w:tcBorders>
              <w:top w:val="nil"/>
              <w:left w:val="single" w:sz="4" w:space="0" w:color="0070C0"/>
              <w:bottom w:val="nil"/>
              <w:right w:val="nil"/>
            </w:tcBorders>
            <w:shd w:val="clear" w:color="auto" w:fill="auto"/>
            <w:noWrap/>
            <w:vAlign w:val="bottom"/>
            <w:hideMark/>
          </w:tcPr>
          <w:p w14:paraId="2912FB9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r w:rsidRPr="00471351">
              <w:rPr>
                <w:rFonts w:eastAsia="Times New Roman" w:cs="Calibri"/>
                <w:sz w:val="20"/>
                <w:lang w:eastAsia="zh-CN"/>
              </w:rPr>
              <w:t> </w:t>
            </w:r>
          </w:p>
        </w:tc>
        <w:tc>
          <w:tcPr>
            <w:tcW w:w="1279" w:type="dxa"/>
            <w:tcBorders>
              <w:top w:val="nil"/>
              <w:left w:val="nil"/>
              <w:bottom w:val="nil"/>
              <w:right w:val="nil"/>
            </w:tcBorders>
            <w:shd w:val="clear" w:color="auto" w:fill="auto"/>
            <w:noWrap/>
            <w:vAlign w:val="bottom"/>
            <w:hideMark/>
          </w:tcPr>
          <w:p w14:paraId="584A002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28</w:t>
            </w:r>
          </w:p>
        </w:tc>
        <w:tc>
          <w:tcPr>
            <w:tcW w:w="1279" w:type="dxa"/>
            <w:tcBorders>
              <w:top w:val="nil"/>
              <w:left w:val="nil"/>
              <w:bottom w:val="nil"/>
              <w:right w:val="nil"/>
            </w:tcBorders>
            <w:shd w:val="clear" w:color="auto" w:fill="auto"/>
            <w:noWrap/>
            <w:vAlign w:val="bottom"/>
            <w:hideMark/>
          </w:tcPr>
          <w:p w14:paraId="29F3E80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10</w:t>
            </w:r>
          </w:p>
        </w:tc>
        <w:tc>
          <w:tcPr>
            <w:tcW w:w="1279" w:type="dxa"/>
            <w:tcBorders>
              <w:top w:val="nil"/>
              <w:left w:val="nil"/>
              <w:bottom w:val="nil"/>
              <w:right w:val="nil"/>
            </w:tcBorders>
            <w:shd w:val="clear" w:color="auto" w:fill="auto"/>
            <w:noWrap/>
            <w:vAlign w:val="bottom"/>
            <w:hideMark/>
          </w:tcPr>
          <w:p w14:paraId="0D18251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4</w:t>
            </w:r>
          </w:p>
        </w:tc>
        <w:tc>
          <w:tcPr>
            <w:tcW w:w="1279" w:type="dxa"/>
            <w:tcBorders>
              <w:top w:val="nil"/>
              <w:left w:val="nil"/>
              <w:bottom w:val="nil"/>
              <w:right w:val="nil"/>
            </w:tcBorders>
            <w:shd w:val="clear" w:color="auto" w:fill="auto"/>
            <w:noWrap/>
            <w:vAlign w:val="bottom"/>
            <w:hideMark/>
          </w:tcPr>
          <w:p w14:paraId="7252A13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6</w:t>
            </w:r>
          </w:p>
        </w:tc>
        <w:tc>
          <w:tcPr>
            <w:tcW w:w="1462" w:type="dxa"/>
            <w:tcBorders>
              <w:top w:val="nil"/>
              <w:left w:val="nil"/>
              <w:bottom w:val="nil"/>
              <w:right w:val="nil"/>
            </w:tcBorders>
            <w:shd w:val="clear" w:color="auto" w:fill="auto"/>
            <w:noWrap/>
            <w:vAlign w:val="bottom"/>
            <w:hideMark/>
          </w:tcPr>
          <w:p w14:paraId="66FFA2F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w:t>
            </w:r>
          </w:p>
        </w:tc>
        <w:tc>
          <w:tcPr>
            <w:tcW w:w="1279" w:type="dxa"/>
            <w:tcBorders>
              <w:top w:val="nil"/>
              <w:left w:val="nil"/>
              <w:bottom w:val="nil"/>
              <w:right w:val="nil"/>
            </w:tcBorders>
            <w:shd w:val="clear" w:color="auto" w:fill="auto"/>
            <w:noWrap/>
            <w:vAlign w:val="bottom"/>
            <w:hideMark/>
          </w:tcPr>
          <w:p w14:paraId="781C558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401" w:type="dxa"/>
            <w:tcBorders>
              <w:top w:val="nil"/>
              <w:left w:val="nil"/>
              <w:bottom w:val="nil"/>
              <w:right w:val="nil"/>
            </w:tcBorders>
            <w:shd w:val="clear" w:color="auto" w:fill="auto"/>
            <w:noWrap/>
            <w:vAlign w:val="bottom"/>
            <w:hideMark/>
          </w:tcPr>
          <w:p w14:paraId="72099D1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49</w:t>
            </w:r>
          </w:p>
        </w:tc>
      </w:tr>
      <w:tr w:rsidR="00C130FE" w:rsidRPr="00471351" w14:paraId="48F59E35" w14:textId="77777777" w:rsidTr="002F7131">
        <w:trPr>
          <w:trHeight w:val="20"/>
        </w:trPr>
        <w:tc>
          <w:tcPr>
            <w:tcW w:w="3152" w:type="dxa"/>
            <w:tcBorders>
              <w:top w:val="nil"/>
              <w:left w:val="nil"/>
              <w:bottom w:val="nil"/>
              <w:right w:val="nil"/>
            </w:tcBorders>
            <w:shd w:val="clear" w:color="auto" w:fill="auto"/>
            <w:noWrap/>
            <w:vAlign w:val="bottom"/>
            <w:hideMark/>
          </w:tcPr>
          <w:p w14:paraId="23E20CB4"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82" w:type="dxa"/>
            <w:tcBorders>
              <w:top w:val="nil"/>
              <w:left w:val="single" w:sz="4" w:space="0" w:color="0070C0"/>
              <w:bottom w:val="nil"/>
              <w:right w:val="nil"/>
            </w:tcBorders>
            <w:shd w:val="clear" w:color="auto" w:fill="auto"/>
            <w:noWrap/>
            <w:vAlign w:val="bottom"/>
            <w:hideMark/>
          </w:tcPr>
          <w:p w14:paraId="320E0C7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79" w:type="dxa"/>
            <w:tcBorders>
              <w:top w:val="nil"/>
              <w:left w:val="nil"/>
              <w:bottom w:val="nil"/>
              <w:right w:val="nil"/>
            </w:tcBorders>
            <w:shd w:val="clear" w:color="auto" w:fill="auto"/>
            <w:noWrap/>
            <w:vAlign w:val="bottom"/>
            <w:hideMark/>
          </w:tcPr>
          <w:p w14:paraId="6000F81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79" w:type="dxa"/>
            <w:tcBorders>
              <w:top w:val="nil"/>
              <w:left w:val="nil"/>
              <w:bottom w:val="nil"/>
              <w:right w:val="nil"/>
            </w:tcBorders>
            <w:shd w:val="clear" w:color="auto" w:fill="auto"/>
            <w:noWrap/>
            <w:vAlign w:val="bottom"/>
            <w:hideMark/>
          </w:tcPr>
          <w:p w14:paraId="203B43E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1CA9E1A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3C433FA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2" w:type="dxa"/>
            <w:tcBorders>
              <w:top w:val="nil"/>
              <w:left w:val="nil"/>
              <w:bottom w:val="nil"/>
              <w:right w:val="nil"/>
            </w:tcBorders>
            <w:shd w:val="clear" w:color="auto" w:fill="auto"/>
            <w:noWrap/>
            <w:vAlign w:val="bottom"/>
            <w:hideMark/>
          </w:tcPr>
          <w:p w14:paraId="7AEDBE0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0DA04D5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1" w:type="dxa"/>
            <w:tcBorders>
              <w:top w:val="nil"/>
              <w:left w:val="nil"/>
              <w:bottom w:val="nil"/>
              <w:right w:val="nil"/>
            </w:tcBorders>
            <w:shd w:val="clear" w:color="auto" w:fill="auto"/>
            <w:noWrap/>
            <w:vAlign w:val="bottom"/>
            <w:hideMark/>
          </w:tcPr>
          <w:p w14:paraId="59C3D60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337A9E6F" w14:textId="77777777" w:rsidTr="002F7131">
        <w:trPr>
          <w:trHeight w:val="20"/>
        </w:trPr>
        <w:tc>
          <w:tcPr>
            <w:tcW w:w="3152" w:type="dxa"/>
            <w:tcBorders>
              <w:top w:val="nil"/>
              <w:left w:val="nil"/>
              <w:bottom w:val="nil"/>
              <w:right w:val="nil"/>
            </w:tcBorders>
            <w:shd w:val="clear" w:color="auto" w:fill="auto"/>
            <w:noWrap/>
            <w:vAlign w:val="bottom"/>
            <w:hideMark/>
          </w:tcPr>
          <w:p w14:paraId="11C339CA"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732DCC">
              <w:rPr>
                <w:rFonts w:cstheme="minorHAnsi"/>
                <w:sz w:val="20"/>
              </w:rPr>
              <w:t xml:space="preserve">6 - </w:t>
            </w:r>
            <w:r w:rsidRPr="00732DCC">
              <w:rPr>
                <w:rFonts w:cstheme="minorHAnsi"/>
                <w:sz w:val="20"/>
              </w:rPr>
              <w:t>材料和办公用品</w:t>
            </w:r>
          </w:p>
        </w:tc>
        <w:tc>
          <w:tcPr>
            <w:tcW w:w="1482" w:type="dxa"/>
            <w:tcBorders>
              <w:top w:val="nil"/>
              <w:left w:val="single" w:sz="4" w:space="0" w:color="0070C0"/>
              <w:bottom w:val="nil"/>
              <w:right w:val="nil"/>
            </w:tcBorders>
            <w:shd w:val="clear" w:color="auto" w:fill="auto"/>
            <w:noWrap/>
            <w:vAlign w:val="bottom"/>
            <w:hideMark/>
          </w:tcPr>
          <w:p w14:paraId="098CA86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79" w:type="dxa"/>
            <w:tcBorders>
              <w:top w:val="nil"/>
              <w:left w:val="nil"/>
              <w:bottom w:val="nil"/>
              <w:right w:val="nil"/>
            </w:tcBorders>
            <w:shd w:val="clear" w:color="auto" w:fill="auto"/>
            <w:noWrap/>
            <w:vAlign w:val="bottom"/>
            <w:hideMark/>
          </w:tcPr>
          <w:p w14:paraId="7424CC0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19</w:t>
            </w:r>
          </w:p>
        </w:tc>
        <w:tc>
          <w:tcPr>
            <w:tcW w:w="1279" w:type="dxa"/>
            <w:tcBorders>
              <w:top w:val="nil"/>
              <w:left w:val="nil"/>
              <w:bottom w:val="nil"/>
              <w:right w:val="nil"/>
            </w:tcBorders>
            <w:shd w:val="clear" w:color="auto" w:fill="auto"/>
            <w:noWrap/>
            <w:vAlign w:val="bottom"/>
            <w:hideMark/>
          </w:tcPr>
          <w:p w14:paraId="42B4489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11</w:t>
            </w:r>
          </w:p>
        </w:tc>
        <w:tc>
          <w:tcPr>
            <w:tcW w:w="1279" w:type="dxa"/>
            <w:tcBorders>
              <w:top w:val="nil"/>
              <w:left w:val="nil"/>
              <w:bottom w:val="nil"/>
              <w:right w:val="nil"/>
            </w:tcBorders>
            <w:shd w:val="clear" w:color="auto" w:fill="auto"/>
            <w:noWrap/>
            <w:vAlign w:val="bottom"/>
            <w:hideMark/>
          </w:tcPr>
          <w:p w14:paraId="1951A21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w:t>
            </w:r>
          </w:p>
        </w:tc>
        <w:tc>
          <w:tcPr>
            <w:tcW w:w="1279" w:type="dxa"/>
            <w:tcBorders>
              <w:top w:val="nil"/>
              <w:left w:val="nil"/>
              <w:bottom w:val="nil"/>
              <w:right w:val="nil"/>
            </w:tcBorders>
            <w:shd w:val="clear" w:color="auto" w:fill="auto"/>
            <w:noWrap/>
            <w:vAlign w:val="bottom"/>
            <w:hideMark/>
          </w:tcPr>
          <w:p w14:paraId="6BC4595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4</w:t>
            </w:r>
          </w:p>
        </w:tc>
        <w:tc>
          <w:tcPr>
            <w:tcW w:w="1462" w:type="dxa"/>
            <w:tcBorders>
              <w:top w:val="nil"/>
              <w:left w:val="nil"/>
              <w:bottom w:val="nil"/>
              <w:right w:val="nil"/>
            </w:tcBorders>
            <w:shd w:val="clear" w:color="auto" w:fill="auto"/>
            <w:noWrap/>
            <w:vAlign w:val="bottom"/>
            <w:hideMark/>
          </w:tcPr>
          <w:p w14:paraId="66A5658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5</w:t>
            </w:r>
          </w:p>
        </w:tc>
        <w:tc>
          <w:tcPr>
            <w:tcW w:w="1279" w:type="dxa"/>
            <w:tcBorders>
              <w:top w:val="nil"/>
              <w:left w:val="nil"/>
              <w:bottom w:val="nil"/>
              <w:right w:val="nil"/>
            </w:tcBorders>
            <w:shd w:val="clear" w:color="auto" w:fill="auto"/>
            <w:noWrap/>
            <w:vAlign w:val="bottom"/>
            <w:hideMark/>
          </w:tcPr>
          <w:p w14:paraId="7233F78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2</w:t>
            </w:r>
          </w:p>
        </w:tc>
        <w:tc>
          <w:tcPr>
            <w:tcW w:w="1401" w:type="dxa"/>
            <w:tcBorders>
              <w:top w:val="nil"/>
              <w:left w:val="nil"/>
              <w:bottom w:val="nil"/>
              <w:right w:val="nil"/>
            </w:tcBorders>
            <w:shd w:val="clear" w:color="auto" w:fill="auto"/>
            <w:noWrap/>
            <w:vAlign w:val="bottom"/>
            <w:hideMark/>
          </w:tcPr>
          <w:p w14:paraId="4EABE4F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44</w:t>
            </w:r>
          </w:p>
        </w:tc>
      </w:tr>
      <w:tr w:rsidR="00C130FE" w:rsidRPr="00471351" w14:paraId="01FA7697" w14:textId="77777777" w:rsidTr="002F7131">
        <w:trPr>
          <w:trHeight w:val="20"/>
        </w:trPr>
        <w:tc>
          <w:tcPr>
            <w:tcW w:w="3152" w:type="dxa"/>
            <w:tcBorders>
              <w:top w:val="nil"/>
              <w:left w:val="nil"/>
              <w:bottom w:val="nil"/>
              <w:right w:val="nil"/>
            </w:tcBorders>
            <w:shd w:val="clear" w:color="auto" w:fill="auto"/>
            <w:noWrap/>
            <w:vAlign w:val="bottom"/>
            <w:hideMark/>
          </w:tcPr>
          <w:p w14:paraId="021CDA99"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82" w:type="dxa"/>
            <w:tcBorders>
              <w:top w:val="nil"/>
              <w:left w:val="single" w:sz="4" w:space="0" w:color="0070C0"/>
              <w:bottom w:val="nil"/>
              <w:right w:val="nil"/>
            </w:tcBorders>
            <w:shd w:val="clear" w:color="auto" w:fill="auto"/>
            <w:noWrap/>
            <w:vAlign w:val="bottom"/>
            <w:hideMark/>
          </w:tcPr>
          <w:p w14:paraId="27FAE3F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79" w:type="dxa"/>
            <w:tcBorders>
              <w:top w:val="nil"/>
              <w:left w:val="nil"/>
              <w:bottom w:val="nil"/>
              <w:right w:val="nil"/>
            </w:tcBorders>
            <w:shd w:val="clear" w:color="auto" w:fill="auto"/>
            <w:noWrap/>
            <w:vAlign w:val="bottom"/>
            <w:hideMark/>
          </w:tcPr>
          <w:p w14:paraId="5F095AE5"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79" w:type="dxa"/>
            <w:tcBorders>
              <w:top w:val="nil"/>
              <w:left w:val="nil"/>
              <w:bottom w:val="nil"/>
              <w:right w:val="nil"/>
            </w:tcBorders>
            <w:shd w:val="clear" w:color="auto" w:fill="auto"/>
            <w:noWrap/>
            <w:vAlign w:val="bottom"/>
            <w:hideMark/>
          </w:tcPr>
          <w:p w14:paraId="04F0E8F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2925590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18D4C4C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2" w:type="dxa"/>
            <w:tcBorders>
              <w:top w:val="nil"/>
              <w:left w:val="nil"/>
              <w:bottom w:val="nil"/>
              <w:right w:val="nil"/>
            </w:tcBorders>
            <w:shd w:val="clear" w:color="auto" w:fill="auto"/>
            <w:noWrap/>
            <w:vAlign w:val="bottom"/>
            <w:hideMark/>
          </w:tcPr>
          <w:p w14:paraId="358D9CF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14CCBDE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1" w:type="dxa"/>
            <w:tcBorders>
              <w:top w:val="nil"/>
              <w:left w:val="nil"/>
              <w:bottom w:val="nil"/>
              <w:right w:val="nil"/>
            </w:tcBorders>
            <w:shd w:val="clear" w:color="auto" w:fill="auto"/>
            <w:noWrap/>
            <w:vAlign w:val="bottom"/>
            <w:hideMark/>
          </w:tcPr>
          <w:p w14:paraId="0D9E038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19F78679" w14:textId="77777777" w:rsidTr="002F7131">
        <w:trPr>
          <w:trHeight w:val="20"/>
        </w:trPr>
        <w:tc>
          <w:tcPr>
            <w:tcW w:w="3152" w:type="dxa"/>
            <w:tcBorders>
              <w:top w:val="nil"/>
              <w:left w:val="nil"/>
              <w:bottom w:val="nil"/>
              <w:right w:val="nil"/>
            </w:tcBorders>
            <w:shd w:val="clear" w:color="auto" w:fill="auto"/>
            <w:vAlign w:val="bottom"/>
            <w:hideMark/>
          </w:tcPr>
          <w:p w14:paraId="00A42DD7"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732DCC">
              <w:rPr>
                <w:rFonts w:cstheme="minorHAnsi"/>
                <w:sz w:val="20"/>
                <w:lang w:eastAsia="zh-CN"/>
              </w:rPr>
              <w:t xml:space="preserve">7 - </w:t>
            </w:r>
            <w:r w:rsidRPr="00732DCC">
              <w:rPr>
                <w:rFonts w:cstheme="minorHAnsi"/>
                <w:sz w:val="20"/>
                <w:lang w:eastAsia="zh-CN"/>
              </w:rPr>
              <w:t>房屋设施、家具和设备的采购</w:t>
            </w:r>
          </w:p>
        </w:tc>
        <w:tc>
          <w:tcPr>
            <w:tcW w:w="1482" w:type="dxa"/>
            <w:tcBorders>
              <w:top w:val="nil"/>
              <w:left w:val="single" w:sz="4" w:space="0" w:color="0070C0"/>
              <w:bottom w:val="nil"/>
              <w:right w:val="nil"/>
            </w:tcBorders>
            <w:shd w:val="clear" w:color="auto" w:fill="auto"/>
            <w:noWrap/>
            <w:vAlign w:val="bottom"/>
            <w:hideMark/>
          </w:tcPr>
          <w:p w14:paraId="357F405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58</w:t>
            </w:r>
          </w:p>
        </w:tc>
        <w:tc>
          <w:tcPr>
            <w:tcW w:w="1279" w:type="dxa"/>
            <w:tcBorders>
              <w:top w:val="nil"/>
              <w:left w:val="nil"/>
              <w:bottom w:val="nil"/>
              <w:right w:val="nil"/>
            </w:tcBorders>
            <w:shd w:val="clear" w:color="auto" w:fill="auto"/>
            <w:noWrap/>
            <w:vAlign w:val="bottom"/>
            <w:hideMark/>
          </w:tcPr>
          <w:p w14:paraId="6DD3182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79" w:type="dxa"/>
            <w:tcBorders>
              <w:top w:val="nil"/>
              <w:left w:val="nil"/>
              <w:bottom w:val="nil"/>
              <w:right w:val="nil"/>
            </w:tcBorders>
            <w:shd w:val="clear" w:color="auto" w:fill="auto"/>
            <w:noWrap/>
            <w:vAlign w:val="bottom"/>
            <w:hideMark/>
          </w:tcPr>
          <w:p w14:paraId="565311E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4BE35E9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6CB0376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2" w:type="dxa"/>
            <w:tcBorders>
              <w:top w:val="nil"/>
              <w:left w:val="nil"/>
              <w:bottom w:val="nil"/>
              <w:right w:val="nil"/>
            </w:tcBorders>
            <w:shd w:val="clear" w:color="auto" w:fill="auto"/>
            <w:noWrap/>
            <w:vAlign w:val="bottom"/>
            <w:hideMark/>
          </w:tcPr>
          <w:p w14:paraId="3F4AF40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3980FA5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1" w:type="dxa"/>
            <w:tcBorders>
              <w:top w:val="nil"/>
              <w:left w:val="nil"/>
              <w:bottom w:val="nil"/>
              <w:right w:val="nil"/>
            </w:tcBorders>
            <w:shd w:val="clear" w:color="auto" w:fill="auto"/>
            <w:noWrap/>
            <w:vAlign w:val="bottom"/>
            <w:hideMark/>
          </w:tcPr>
          <w:p w14:paraId="2410221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58</w:t>
            </w:r>
          </w:p>
        </w:tc>
      </w:tr>
      <w:tr w:rsidR="00C130FE" w:rsidRPr="00471351" w14:paraId="2FC44511" w14:textId="77777777" w:rsidTr="002F7131">
        <w:trPr>
          <w:trHeight w:val="20"/>
        </w:trPr>
        <w:tc>
          <w:tcPr>
            <w:tcW w:w="3152" w:type="dxa"/>
            <w:tcBorders>
              <w:top w:val="nil"/>
              <w:left w:val="nil"/>
              <w:bottom w:val="nil"/>
              <w:right w:val="nil"/>
            </w:tcBorders>
            <w:shd w:val="clear" w:color="auto" w:fill="auto"/>
            <w:noWrap/>
            <w:vAlign w:val="bottom"/>
            <w:hideMark/>
          </w:tcPr>
          <w:p w14:paraId="47EE8E72"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82" w:type="dxa"/>
            <w:tcBorders>
              <w:top w:val="nil"/>
              <w:left w:val="single" w:sz="4" w:space="0" w:color="0070C0"/>
              <w:bottom w:val="nil"/>
              <w:right w:val="nil"/>
            </w:tcBorders>
            <w:shd w:val="clear" w:color="auto" w:fill="auto"/>
            <w:noWrap/>
            <w:vAlign w:val="bottom"/>
            <w:hideMark/>
          </w:tcPr>
          <w:p w14:paraId="25DB97FD"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79" w:type="dxa"/>
            <w:tcBorders>
              <w:top w:val="nil"/>
              <w:left w:val="nil"/>
              <w:bottom w:val="nil"/>
              <w:right w:val="nil"/>
            </w:tcBorders>
            <w:shd w:val="clear" w:color="auto" w:fill="auto"/>
            <w:noWrap/>
            <w:vAlign w:val="bottom"/>
            <w:hideMark/>
          </w:tcPr>
          <w:p w14:paraId="74627FF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79" w:type="dxa"/>
            <w:tcBorders>
              <w:top w:val="nil"/>
              <w:left w:val="nil"/>
              <w:bottom w:val="nil"/>
              <w:right w:val="nil"/>
            </w:tcBorders>
            <w:shd w:val="clear" w:color="auto" w:fill="auto"/>
            <w:noWrap/>
            <w:vAlign w:val="bottom"/>
            <w:hideMark/>
          </w:tcPr>
          <w:p w14:paraId="01D3929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2CAAF0A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34DE71E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2" w:type="dxa"/>
            <w:tcBorders>
              <w:top w:val="nil"/>
              <w:left w:val="nil"/>
              <w:bottom w:val="nil"/>
              <w:right w:val="nil"/>
            </w:tcBorders>
            <w:shd w:val="clear" w:color="auto" w:fill="auto"/>
            <w:noWrap/>
            <w:vAlign w:val="bottom"/>
            <w:hideMark/>
          </w:tcPr>
          <w:p w14:paraId="54C3E5A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7A4F4AB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1" w:type="dxa"/>
            <w:tcBorders>
              <w:top w:val="nil"/>
              <w:left w:val="nil"/>
              <w:bottom w:val="nil"/>
              <w:right w:val="nil"/>
            </w:tcBorders>
            <w:shd w:val="clear" w:color="auto" w:fill="auto"/>
            <w:noWrap/>
            <w:vAlign w:val="bottom"/>
            <w:hideMark/>
          </w:tcPr>
          <w:p w14:paraId="4EF1DD5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20C2A775" w14:textId="77777777" w:rsidTr="002F7131">
        <w:trPr>
          <w:trHeight w:val="20"/>
        </w:trPr>
        <w:tc>
          <w:tcPr>
            <w:tcW w:w="3152" w:type="dxa"/>
            <w:tcBorders>
              <w:top w:val="nil"/>
              <w:left w:val="nil"/>
              <w:bottom w:val="nil"/>
              <w:right w:val="nil"/>
            </w:tcBorders>
            <w:shd w:val="clear" w:color="auto" w:fill="auto"/>
            <w:vAlign w:val="bottom"/>
            <w:hideMark/>
          </w:tcPr>
          <w:p w14:paraId="179A7272"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732DCC">
              <w:rPr>
                <w:rFonts w:cstheme="minorHAnsi"/>
                <w:sz w:val="20"/>
              </w:rPr>
              <w:t xml:space="preserve">8 - </w:t>
            </w:r>
            <w:r w:rsidRPr="00732DCC">
              <w:rPr>
                <w:rFonts w:cstheme="minorHAnsi"/>
                <w:sz w:val="20"/>
              </w:rPr>
              <w:t>公共和内部服务设施</w:t>
            </w:r>
          </w:p>
        </w:tc>
        <w:tc>
          <w:tcPr>
            <w:tcW w:w="1482" w:type="dxa"/>
            <w:tcBorders>
              <w:top w:val="nil"/>
              <w:left w:val="single" w:sz="4" w:space="0" w:color="0070C0"/>
              <w:bottom w:val="nil"/>
              <w:right w:val="nil"/>
            </w:tcBorders>
            <w:shd w:val="clear" w:color="auto" w:fill="auto"/>
            <w:noWrap/>
            <w:vAlign w:val="bottom"/>
            <w:hideMark/>
          </w:tcPr>
          <w:p w14:paraId="1B254E0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79" w:type="dxa"/>
            <w:tcBorders>
              <w:top w:val="nil"/>
              <w:left w:val="nil"/>
              <w:bottom w:val="nil"/>
              <w:right w:val="nil"/>
            </w:tcBorders>
            <w:shd w:val="clear" w:color="auto" w:fill="auto"/>
            <w:noWrap/>
            <w:vAlign w:val="bottom"/>
            <w:hideMark/>
          </w:tcPr>
          <w:p w14:paraId="012EB7B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24</w:t>
            </w:r>
          </w:p>
        </w:tc>
        <w:tc>
          <w:tcPr>
            <w:tcW w:w="1279" w:type="dxa"/>
            <w:tcBorders>
              <w:top w:val="nil"/>
              <w:left w:val="nil"/>
              <w:bottom w:val="nil"/>
              <w:right w:val="nil"/>
            </w:tcBorders>
            <w:shd w:val="clear" w:color="auto" w:fill="auto"/>
            <w:noWrap/>
            <w:vAlign w:val="bottom"/>
            <w:hideMark/>
          </w:tcPr>
          <w:p w14:paraId="7849924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19</w:t>
            </w:r>
          </w:p>
        </w:tc>
        <w:tc>
          <w:tcPr>
            <w:tcW w:w="1279" w:type="dxa"/>
            <w:tcBorders>
              <w:top w:val="nil"/>
              <w:left w:val="nil"/>
              <w:bottom w:val="nil"/>
              <w:right w:val="nil"/>
            </w:tcBorders>
            <w:shd w:val="clear" w:color="auto" w:fill="auto"/>
            <w:noWrap/>
            <w:vAlign w:val="bottom"/>
            <w:hideMark/>
          </w:tcPr>
          <w:p w14:paraId="397EC375"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5</w:t>
            </w:r>
          </w:p>
        </w:tc>
        <w:tc>
          <w:tcPr>
            <w:tcW w:w="1279" w:type="dxa"/>
            <w:tcBorders>
              <w:top w:val="nil"/>
              <w:left w:val="nil"/>
              <w:bottom w:val="nil"/>
              <w:right w:val="nil"/>
            </w:tcBorders>
            <w:shd w:val="clear" w:color="auto" w:fill="auto"/>
            <w:noWrap/>
            <w:vAlign w:val="bottom"/>
            <w:hideMark/>
          </w:tcPr>
          <w:p w14:paraId="4F1D2DF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12</w:t>
            </w:r>
          </w:p>
        </w:tc>
        <w:tc>
          <w:tcPr>
            <w:tcW w:w="1462" w:type="dxa"/>
            <w:tcBorders>
              <w:top w:val="nil"/>
              <w:left w:val="nil"/>
              <w:bottom w:val="nil"/>
              <w:right w:val="nil"/>
            </w:tcBorders>
            <w:shd w:val="clear" w:color="auto" w:fill="auto"/>
            <w:noWrap/>
            <w:vAlign w:val="bottom"/>
            <w:hideMark/>
          </w:tcPr>
          <w:p w14:paraId="2D78CA4D"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2</w:t>
            </w:r>
          </w:p>
        </w:tc>
        <w:tc>
          <w:tcPr>
            <w:tcW w:w="1279" w:type="dxa"/>
            <w:tcBorders>
              <w:top w:val="nil"/>
              <w:left w:val="nil"/>
              <w:bottom w:val="nil"/>
              <w:right w:val="nil"/>
            </w:tcBorders>
            <w:shd w:val="clear" w:color="auto" w:fill="auto"/>
            <w:noWrap/>
            <w:vAlign w:val="bottom"/>
            <w:hideMark/>
          </w:tcPr>
          <w:p w14:paraId="0DF5AB9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w:t>
            </w:r>
          </w:p>
        </w:tc>
        <w:tc>
          <w:tcPr>
            <w:tcW w:w="1401" w:type="dxa"/>
            <w:tcBorders>
              <w:top w:val="nil"/>
              <w:left w:val="nil"/>
              <w:bottom w:val="nil"/>
              <w:right w:val="nil"/>
            </w:tcBorders>
            <w:shd w:val="clear" w:color="auto" w:fill="auto"/>
            <w:noWrap/>
            <w:vAlign w:val="bottom"/>
            <w:hideMark/>
          </w:tcPr>
          <w:p w14:paraId="24C47B8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63</w:t>
            </w:r>
          </w:p>
        </w:tc>
      </w:tr>
      <w:tr w:rsidR="00C130FE" w:rsidRPr="00471351" w14:paraId="47385C29" w14:textId="77777777" w:rsidTr="002F7131">
        <w:trPr>
          <w:trHeight w:val="20"/>
        </w:trPr>
        <w:tc>
          <w:tcPr>
            <w:tcW w:w="3152" w:type="dxa"/>
            <w:tcBorders>
              <w:top w:val="nil"/>
              <w:left w:val="nil"/>
              <w:bottom w:val="nil"/>
              <w:right w:val="nil"/>
            </w:tcBorders>
            <w:shd w:val="clear" w:color="auto" w:fill="auto"/>
            <w:noWrap/>
            <w:vAlign w:val="bottom"/>
            <w:hideMark/>
          </w:tcPr>
          <w:p w14:paraId="669EF1B1"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82" w:type="dxa"/>
            <w:tcBorders>
              <w:top w:val="nil"/>
              <w:left w:val="single" w:sz="4" w:space="0" w:color="0070C0"/>
              <w:bottom w:val="nil"/>
              <w:right w:val="nil"/>
            </w:tcBorders>
            <w:shd w:val="clear" w:color="auto" w:fill="auto"/>
            <w:noWrap/>
            <w:vAlign w:val="bottom"/>
            <w:hideMark/>
          </w:tcPr>
          <w:p w14:paraId="7AAB0A5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79" w:type="dxa"/>
            <w:tcBorders>
              <w:top w:val="nil"/>
              <w:left w:val="nil"/>
              <w:bottom w:val="nil"/>
              <w:right w:val="nil"/>
            </w:tcBorders>
            <w:shd w:val="clear" w:color="auto" w:fill="auto"/>
            <w:noWrap/>
            <w:vAlign w:val="bottom"/>
            <w:hideMark/>
          </w:tcPr>
          <w:p w14:paraId="0EB95D5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79" w:type="dxa"/>
            <w:tcBorders>
              <w:top w:val="nil"/>
              <w:left w:val="nil"/>
              <w:bottom w:val="nil"/>
              <w:right w:val="nil"/>
            </w:tcBorders>
            <w:shd w:val="clear" w:color="auto" w:fill="auto"/>
            <w:noWrap/>
            <w:vAlign w:val="bottom"/>
            <w:hideMark/>
          </w:tcPr>
          <w:p w14:paraId="783DA37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6FB62C6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3AD17F2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2" w:type="dxa"/>
            <w:tcBorders>
              <w:top w:val="nil"/>
              <w:left w:val="nil"/>
              <w:bottom w:val="nil"/>
              <w:right w:val="nil"/>
            </w:tcBorders>
            <w:shd w:val="clear" w:color="auto" w:fill="auto"/>
            <w:noWrap/>
            <w:vAlign w:val="bottom"/>
            <w:hideMark/>
          </w:tcPr>
          <w:p w14:paraId="12079CA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4911E0A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1" w:type="dxa"/>
            <w:tcBorders>
              <w:top w:val="nil"/>
              <w:left w:val="nil"/>
              <w:bottom w:val="nil"/>
              <w:right w:val="nil"/>
            </w:tcBorders>
            <w:shd w:val="clear" w:color="auto" w:fill="auto"/>
            <w:noWrap/>
            <w:vAlign w:val="bottom"/>
            <w:hideMark/>
          </w:tcPr>
          <w:p w14:paraId="4DE437A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3B06E3E1" w14:textId="77777777" w:rsidTr="002F7131">
        <w:trPr>
          <w:trHeight w:val="20"/>
        </w:trPr>
        <w:tc>
          <w:tcPr>
            <w:tcW w:w="3152" w:type="dxa"/>
            <w:tcBorders>
              <w:top w:val="nil"/>
              <w:left w:val="nil"/>
              <w:bottom w:val="nil"/>
              <w:right w:val="nil"/>
            </w:tcBorders>
            <w:shd w:val="clear" w:color="auto" w:fill="auto"/>
            <w:vAlign w:val="bottom"/>
            <w:hideMark/>
          </w:tcPr>
          <w:p w14:paraId="58345DD8"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732DCC">
              <w:rPr>
                <w:rFonts w:cstheme="minorHAnsi"/>
                <w:sz w:val="20"/>
                <w:lang w:eastAsia="zh-CN"/>
              </w:rPr>
              <w:t xml:space="preserve">9 - </w:t>
            </w:r>
            <w:r w:rsidRPr="00732DCC">
              <w:rPr>
                <w:rFonts w:cstheme="minorHAnsi"/>
                <w:sz w:val="20"/>
                <w:lang w:eastAsia="zh-CN"/>
              </w:rPr>
              <w:t>审计和机构间的费用及其他</w:t>
            </w:r>
          </w:p>
        </w:tc>
        <w:tc>
          <w:tcPr>
            <w:tcW w:w="1482" w:type="dxa"/>
            <w:tcBorders>
              <w:top w:val="nil"/>
              <w:left w:val="single" w:sz="4" w:space="0" w:color="0070C0"/>
              <w:bottom w:val="nil"/>
              <w:right w:val="nil"/>
            </w:tcBorders>
            <w:shd w:val="clear" w:color="auto" w:fill="auto"/>
            <w:noWrap/>
            <w:vAlign w:val="bottom"/>
            <w:hideMark/>
          </w:tcPr>
          <w:p w14:paraId="6C01163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r w:rsidRPr="00471351">
              <w:rPr>
                <w:rFonts w:eastAsia="Times New Roman" w:cs="Calibri"/>
                <w:sz w:val="20"/>
                <w:lang w:eastAsia="zh-CN"/>
              </w:rPr>
              <w:t> </w:t>
            </w:r>
          </w:p>
        </w:tc>
        <w:tc>
          <w:tcPr>
            <w:tcW w:w="1279" w:type="dxa"/>
            <w:tcBorders>
              <w:top w:val="nil"/>
              <w:left w:val="nil"/>
              <w:bottom w:val="nil"/>
              <w:right w:val="nil"/>
            </w:tcBorders>
            <w:shd w:val="clear" w:color="auto" w:fill="auto"/>
            <w:noWrap/>
            <w:vAlign w:val="bottom"/>
            <w:hideMark/>
          </w:tcPr>
          <w:p w14:paraId="00BE014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36</w:t>
            </w:r>
          </w:p>
        </w:tc>
        <w:tc>
          <w:tcPr>
            <w:tcW w:w="1279" w:type="dxa"/>
            <w:tcBorders>
              <w:top w:val="nil"/>
              <w:left w:val="nil"/>
              <w:bottom w:val="nil"/>
              <w:right w:val="nil"/>
            </w:tcBorders>
            <w:shd w:val="clear" w:color="auto" w:fill="auto"/>
            <w:noWrap/>
            <w:vAlign w:val="bottom"/>
            <w:hideMark/>
          </w:tcPr>
          <w:p w14:paraId="14444E7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20</w:t>
            </w:r>
          </w:p>
        </w:tc>
        <w:tc>
          <w:tcPr>
            <w:tcW w:w="1279" w:type="dxa"/>
            <w:tcBorders>
              <w:top w:val="nil"/>
              <w:left w:val="nil"/>
              <w:bottom w:val="nil"/>
              <w:right w:val="nil"/>
            </w:tcBorders>
            <w:shd w:val="clear" w:color="auto" w:fill="auto"/>
            <w:noWrap/>
            <w:vAlign w:val="bottom"/>
            <w:hideMark/>
          </w:tcPr>
          <w:p w14:paraId="1B83429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w:t>
            </w:r>
          </w:p>
        </w:tc>
        <w:tc>
          <w:tcPr>
            <w:tcW w:w="1279" w:type="dxa"/>
            <w:tcBorders>
              <w:top w:val="nil"/>
              <w:left w:val="nil"/>
              <w:bottom w:val="nil"/>
              <w:right w:val="nil"/>
            </w:tcBorders>
            <w:shd w:val="clear" w:color="auto" w:fill="auto"/>
            <w:noWrap/>
            <w:vAlign w:val="bottom"/>
            <w:hideMark/>
          </w:tcPr>
          <w:p w14:paraId="159E568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6</w:t>
            </w:r>
          </w:p>
        </w:tc>
        <w:tc>
          <w:tcPr>
            <w:tcW w:w="1462" w:type="dxa"/>
            <w:tcBorders>
              <w:top w:val="nil"/>
              <w:left w:val="nil"/>
              <w:bottom w:val="nil"/>
              <w:right w:val="nil"/>
            </w:tcBorders>
            <w:shd w:val="clear" w:color="auto" w:fill="auto"/>
            <w:noWrap/>
            <w:vAlign w:val="bottom"/>
            <w:hideMark/>
          </w:tcPr>
          <w:p w14:paraId="766AA66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w:t>
            </w:r>
          </w:p>
        </w:tc>
        <w:tc>
          <w:tcPr>
            <w:tcW w:w="1279" w:type="dxa"/>
            <w:tcBorders>
              <w:top w:val="nil"/>
              <w:left w:val="nil"/>
              <w:bottom w:val="nil"/>
              <w:right w:val="nil"/>
            </w:tcBorders>
            <w:shd w:val="clear" w:color="auto" w:fill="auto"/>
            <w:noWrap/>
            <w:vAlign w:val="bottom"/>
            <w:hideMark/>
          </w:tcPr>
          <w:p w14:paraId="747E19A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w:t>
            </w:r>
          </w:p>
        </w:tc>
        <w:tc>
          <w:tcPr>
            <w:tcW w:w="1401" w:type="dxa"/>
            <w:tcBorders>
              <w:top w:val="nil"/>
              <w:left w:val="nil"/>
              <w:bottom w:val="nil"/>
              <w:right w:val="nil"/>
            </w:tcBorders>
            <w:shd w:val="clear" w:color="auto" w:fill="auto"/>
            <w:noWrap/>
            <w:vAlign w:val="bottom"/>
            <w:hideMark/>
          </w:tcPr>
          <w:p w14:paraId="24AA799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69</w:t>
            </w:r>
          </w:p>
        </w:tc>
      </w:tr>
      <w:tr w:rsidR="00C130FE" w:rsidRPr="00471351" w14:paraId="751F4B62" w14:textId="77777777" w:rsidTr="002F7131">
        <w:trPr>
          <w:trHeight w:val="20"/>
        </w:trPr>
        <w:tc>
          <w:tcPr>
            <w:tcW w:w="3152" w:type="dxa"/>
            <w:tcBorders>
              <w:top w:val="nil"/>
              <w:left w:val="nil"/>
              <w:bottom w:val="single" w:sz="4" w:space="0" w:color="auto"/>
              <w:right w:val="nil"/>
            </w:tcBorders>
            <w:shd w:val="clear" w:color="auto" w:fill="auto"/>
            <w:noWrap/>
            <w:vAlign w:val="center"/>
            <w:hideMark/>
          </w:tcPr>
          <w:p w14:paraId="126102A9"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732DCC">
              <w:rPr>
                <w:rFonts w:cstheme="minorHAnsi"/>
                <w:b/>
                <w:bCs/>
                <w:sz w:val="20"/>
              </w:rPr>
              <w:t> </w:t>
            </w:r>
          </w:p>
        </w:tc>
        <w:tc>
          <w:tcPr>
            <w:tcW w:w="1482" w:type="dxa"/>
            <w:tcBorders>
              <w:top w:val="nil"/>
              <w:left w:val="single" w:sz="4" w:space="0" w:color="0070C0"/>
              <w:bottom w:val="single" w:sz="4" w:space="0" w:color="auto"/>
              <w:right w:val="nil"/>
            </w:tcBorders>
            <w:shd w:val="clear" w:color="auto" w:fill="auto"/>
            <w:noWrap/>
            <w:vAlign w:val="center"/>
            <w:hideMark/>
          </w:tcPr>
          <w:p w14:paraId="2EAFD1A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 </w:t>
            </w:r>
          </w:p>
        </w:tc>
        <w:tc>
          <w:tcPr>
            <w:tcW w:w="1279" w:type="dxa"/>
            <w:tcBorders>
              <w:top w:val="nil"/>
              <w:left w:val="nil"/>
              <w:bottom w:val="single" w:sz="4" w:space="0" w:color="auto"/>
              <w:right w:val="nil"/>
            </w:tcBorders>
            <w:shd w:val="clear" w:color="auto" w:fill="auto"/>
            <w:noWrap/>
            <w:vAlign w:val="center"/>
            <w:hideMark/>
          </w:tcPr>
          <w:p w14:paraId="2A0ADFB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 </w:t>
            </w:r>
          </w:p>
        </w:tc>
        <w:tc>
          <w:tcPr>
            <w:tcW w:w="1279" w:type="dxa"/>
            <w:tcBorders>
              <w:top w:val="nil"/>
              <w:left w:val="nil"/>
              <w:bottom w:val="single" w:sz="4" w:space="0" w:color="auto"/>
              <w:right w:val="nil"/>
            </w:tcBorders>
            <w:shd w:val="clear" w:color="auto" w:fill="auto"/>
            <w:noWrap/>
            <w:vAlign w:val="center"/>
            <w:hideMark/>
          </w:tcPr>
          <w:p w14:paraId="7E35467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 </w:t>
            </w:r>
          </w:p>
        </w:tc>
        <w:tc>
          <w:tcPr>
            <w:tcW w:w="1279" w:type="dxa"/>
            <w:tcBorders>
              <w:top w:val="nil"/>
              <w:left w:val="nil"/>
              <w:bottom w:val="single" w:sz="4" w:space="0" w:color="auto"/>
              <w:right w:val="nil"/>
            </w:tcBorders>
            <w:shd w:val="clear" w:color="auto" w:fill="auto"/>
            <w:noWrap/>
            <w:vAlign w:val="center"/>
            <w:hideMark/>
          </w:tcPr>
          <w:p w14:paraId="5CDD656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 </w:t>
            </w:r>
          </w:p>
        </w:tc>
        <w:tc>
          <w:tcPr>
            <w:tcW w:w="1279" w:type="dxa"/>
            <w:tcBorders>
              <w:top w:val="nil"/>
              <w:left w:val="nil"/>
              <w:bottom w:val="single" w:sz="4" w:space="0" w:color="auto"/>
              <w:right w:val="nil"/>
            </w:tcBorders>
            <w:shd w:val="clear" w:color="auto" w:fill="auto"/>
            <w:noWrap/>
            <w:vAlign w:val="center"/>
            <w:hideMark/>
          </w:tcPr>
          <w:p w14:paraId="3486F06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 </w:t>
            </w:r>
          </w:p>
        </w:tc>
        <w:tc>
          <w:tcPr>
            <w:tcW w:w="1462" w:type="dxa"/>
            <w:tcBorders>
              <w:top w:val="nil"/>
              <w:left w:val="nil"/>
              <w:bottom w:val="single" w:sz="4" w:space="0" w:color="auto"/>
              <w:right w:val="nil"/>
            </w:tcBorders>
            <w:shd w:val="clear" w:color="auto" w:fill="auto"/>
            <w:noWrap/>
            <w:vAlign w:val="center"/>
            <w:hideMark/>
          </w:tcPr>
          <w:p w14:paraId="37C1D27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 </w:t>
            </w:r>
          </w:p>
        </w:tc>
        <w:tc>
          <w:tcPr>
            <w:tcW w:w="1279" w:type="dxa"/>
            <w:tcBorders>
              <w:top w:val="nil"/>
              <w:left w:val="nil"/>
              <w:bottom w:val="single" w:sz="4" w:space="0" w:color="auto"/>
              <w:right w:val="nil"/>
            </w:tcBorders>
            <w:shd w:val="clear" w:color="auto" w:fill="auto"/>
            <w:noWrap/>
            <w:vAlign w:val="center"/>
            <w:hideMark/>
          </w:tcPr>
          <w:p w14:paraId="21B530A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 </w:t>
            </w:r>
          </w:p>
        </w:tc>
        <w:tc>
          <w:tcPr>
            <w:tcW w:w="1401" w:type="dxa"/>
            <w:tcBorders>
              <w:top w:val="nil"/>
              <w:left w:val="nil"/>
              <w:bottom w:val="single" w:sz="4" w:space="0" w:color="auto"/>
              <w:right w:val="nil"/>
            </w:tcBorders>
            <w:shd w:val="clear" w:color="auto" w:fill="auto"/>
            <w:noWrap/>
            <w:vAlign w:val="center"/>
            <w:hideMark/>
          </w:tcPr>
          <w:p w14:paraId="3F171F7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471351">
              <w:rPr>
                <w:rFonts w:eastAsia="Times New Roman" w:cs="Calibri"/>
                <w:b/>
                <w:bCs/>
                <w:color w:val="002060"/>
                <w:sz w:val="20"/>
              </w:rPr>
              <w:t> </w:t>
            </w:r>
          </w:p>
        </w:tc>
      </w:tr>
      <w:tr w:rsidR="00C130FE" w:rsidRPr="00471351" w14:paraId="1A0E5D83" w14:textId="77777777" w:rsidTr="002F7131">
        <w:trPr>
          <w:trHeight w:val="20"/>
        </w:trPr>
        <w:tc>
          <w:tcPr>
            <w:tcW w:w="3152" w:type="dxa"/>
            <w:tcBorders>
              <w:top w:val="nil"/>
              <w:left w:val="nil"/>
              <w:bottom w:val="nil"/>
              <w:right w:val="nil"/>
            </w:tcBorders>
            <w:shd w:val="clear" w:color="auto" w:fill="auto"/>
            <w:noWrap/>
            <w:vAlign w:val="bottom"/>
            <w:hideMark/>
          </w:tcPr>
          <w:p w14:paraId="4C9BD40E"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732DCC">
              <w:rPr>
                <w:rFonts w:cstheme="minorHAnsi"/>
                <w:b/>
                <w:bCs/>
                <w:sz w:val="20"/>
              </w:rPr>
              <w:t>合计</w:t>
            </w:r>
          </w:p>
        </w:tc>
        <w:tc>
          <w:tcPr>
            <w:tcW w:w="1482" w:type="dxa"/>
            <w:tcBorders>
              <w:top w:val="nil"/>
              <w:left w:val="single" w:sz="4" w:space="0" w:color="0070C0"/>
              <w:bottom w:val="nil"/>
              <w:right w:val="nil"/>
            </w:tcBorders>
            <w:shd w:val="clear" w:color="auto" w:fill="auto"/>
            <w:noWrap/>
            <w:vAlign w:val="bottom"/>
            <w:hideMark/>
          </w:tcPr>
          <w:p w14:paraId="1122F4D5"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58</w:t>
            </w:r>
          </w:p>
        </w:tc>
        <w:tc>
          <w:tcPr>
            <w:tcW w:w="1279" w:type="dxa"/>
            <w:tcBorders>
              <w:top w:val="nil"/>
              <w:left w:val="nil"/>
              <w:bottom w:val="nil"/>
              <w:right w:val="nil"/>
            </w:tcBorders>
            <w:shd w:val="clear" w:color="auto" w:fill="auto"/>
            <w:noWrap/>
            <w:vAlign w:val="bottom"/>
            <w:hideMark/>
          </w:tcPr>
          <w:p w14:paraId="05173765"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2,139</w:t>
            </w:r>
          </w:p>
        </w:tc>
        <w:tc>
          <w:tcPr>
            <w:tcW w:w="1279" w:type="dxa"/>
            <w:tcBorders>
              <w:top w:val="nil"/>
              <w:left w:val="nil"/>
              <w:bottom w:val="nil"/>
              <w:right w:val="nil"/>
            </w:tcBorders>
            <w:shd w:val="clear" w:color="auto" w:fill="auto"/>
            <w:noWrap/>
            <w:vAlign w:val="bottom"/>
            <w:hideMark/>
          </w:tcPr>
          <w:p w14:paraId="66B4D10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2,049</w:t>
            </w:r>
          </w:p>
        </w:tc>
        <w:tc>
          <w:tcPr>
            <w:tcW w:w="1279" w:type="dxa"/>
            <w:tcBorders>
              <w:top w:val="nil"/>
              <w:left w:val="nil"/>
              <w:bottom w:val="nil"/>
              <w:right w:val="nil"/>
            </w:tcBorders>
            <w:shd w:val="clear" w:color="auto" w:fill="auto"/>
            <w:noWrap/>
            <w:vAlign w:val="bottom"/>
            <w:hideMark/>
          </w:tcPr>
          <w:p w14:paraId="41C3708D"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890</w:t>
            </w:r>
          </w:p>
        </w:tc>
        <w:tc>
          <w:tcPr>
            <w:tcW w:w="1279" w:type="dxa"/>
            <w:tcBorders>
              <w:top w:val="nil"/>
              <w:left w:val="nil"/>
              <w:bottom w:val="nil"/>
              <w:right w:val="nil"/>
            </w:tcBorders>
            <w:shd w:val="clear" w:color="auto" w:fill="auto"/>
            <w:noWrap/>
            <w:vAlign w:val="bottom"/>
            <w:hideMark/>
          </w:tcPr>
          <w:p w14:paraId="01C1B2D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1,366</w:t>
            </w:r>
          </w:p>
        </w:tc>
        <w:tc>
          <w:tcPr>
            <w:tcW w:w="1462" w:type="dxa"/>
            <w:tcBorders>
              <w:top w:val="nil"/>
              <w:left w:val="nil"/>
              <w:bottom w:val="nil"/>
              <w:right w:val="nil"/>
            </w:tcBorders>
            <w:shd w:val="clear" w:color="auto" w:fill="auto"/>
            <w:noWrap/>
            <w:vAlign w:val="bottom"/>
            <w:hideMark/>
          </w:tcPr>
          <w:p w14:paraId="7EF7490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494</w:t>
            </w:r>
          </w:p>
        </w:tc>
        <w:tc>
          <w:tcPr>
            <w:tcW w:w="1279" w:type="dxa"/>
            <w:tcBorders>
              <w:top w:val="nil"/>
              <w:left w:val="nil"/>
              <w:bottom w:val="nil"/>
              <w:right w:val="nil"/>
            </w:tcBorders>
            <w:shd w:val="clear" w:color="auto" w:fill="auto"/>
            <w:noWrap/>
            <w:vAlign w:val="bottom"/>
            <w:hideMark/>
          </w:tcPr>
          <w:p w14:paraId="6FB9B11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491</w:t>
            </w:r>
          </w:p>
        </w:tc>
        <w:tc>
          <w:tcPr>
            <w:tcW w:w="1401" w:type="dxa"/>
            <w:tcBorders>
              <w:top w:val="nil"/>
              <w:left w:val="nil"/>
              <w:bottom w:val="nil"/>
              <w:right w:val="nil"/>
            </w:tcBorders>
            <w:shd w:val="clear" w:color="auto" w:fill="auto"/>
            <w:noWrap/>
            <w:vAlign w:val="bottom"/>
            <w:hideMark/>
          </w:tcPr>
          <w:p w14:paraId="41CABF0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471351">
              <w:rPr>
                <w:rFonts w:eastAsia="Times New Roman" w:cs="Calibri"/>
                <w:b/>
                <w:bCs/>
                <w:color w:val="002060"/>
                <w:sz w:val="20"/>
              </w:rPr>
              <w:t>7,487</w:t>
            </w:r>
          </w:p>
        </w:tc>
      </w:tr>
    </w:tbl>
    <w:p w14:paraId="2455EAB4" w14:textId="68D15F46" w:rsidR="00C130FE" w:rsidRDefault="00C130F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tbl>
      <w:tblPr>
        <w:tblW w:w="15044" w:type="dxa"/>
        <w:jc w:val="center"/>
        <w:tblLook w:val="04A0" w:firstRow="1" w:lastRow="0" w:firstColumn="1" w:lastColumn="0" w:noHBand="0" w:noVBand="1"/>
      </w:tblPr>
      <w:tblGrid>
        <w:gridCol w:w="1816"/>
        <w:gridCol w:w="7752"/>
        <w:gridCol w:w="1733"/>
        <w:gridCol w:w="2009"/>
        <w:gridCol w:w="1734"/>
      </w:tblGrid>
      <w:tr w:rsidR="00C130FE" w:rsidRPr="00EB7955" w14:paraId="4AF19469" w14:textId="77777777" w:rsidTr="002F7131">
        <w:trPr>
          <w:trHeight w:val="533"/>
          <w:jc w:val="center"/>
        </w:trPr>
        <w:tc>
          <w:tcPr>
            <w:tcW w:w="1816" w:type="dxa"/>
            <w:tcBorders>
              <w:top w:val="nil"/>
              <w:left w:val="nil"/>
              <w:bottom w:val="nil"/>
              <w:right w:val="nil"/>
            </w:tcBorders>
            <w:shd w:val="clear" w:color="auto" w:fill="auto"/>
            <w:noWrap/>
            <w:vAlign w:val="center"/>
            <w:hideMark/>
          </w:tcPr>
          <w:p w14:paraId="358C6A90"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EB7955">
              <w:rPr>
                <w:rFonts w:ascii="SimSun" w:hAnsi="SimSun" w:cs="Calibri" w:hint="eastAsia"/>
                <w:b/>
                <w:bCs/>
                <w:color w:val="002060"/>
                <w:sz w:val="40"/>
                <w:szCs w:val="40"/>
              </w:rPr>
              <w:lastRenderedPageBreak/>
              <w:t>表</w:t>
            </w:r>
            <w:r w:rsidRPr="00EB7955">
              <w:rPr>
                <w:rFonts w:eastAsia="Times New Roman" w:cs="Calibri"/>
                <w:b/>
                <w:bCs/>
                <w:color w:val="002060"/>
                <w:sz w:val="40"/>
                <w:szCs w:val="40"/>
              </w:rPr>
              <w:t>12</w:t>
            </w:r>
          </w:p>
        </w:tc>
        <w:tc>
          <w:tcPr>
            <w:tcW w:w="7752" w:type="dxa"/>
            <w:tcBorders>
              <w:top w:val="nil"/>
              <w:left w:val="nil"/>
              <w:bottom w:val="nil"/>
              <w:right w:val="nil"/>
            </w:tcBorders>
            <w:shd w:val="clear" w:color="auto" w:fill="auto"/>
            <w:noWrap/>
            <w:vAlign w:val="center"/>
            <w:hideMark/>
          </w:tcPr>
          <w:p w14:paraId="66E0D8C6"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1733" w:type="dxa"/>
            <w:tcBorders>
              <w:top w:val="nil"/>
              <w:left w:val="nil"/>
              <w:bottom w:val="nil"/>
              <w:right w:val="nil"/>
            </w:tcBorders>
            <w:shd w:val="clear" w:color="auto" w:fill="auto"/>
            <w:noWrap/>
            <w:vAlign w:val="center"/>
            <w:hideMark/>
          </w:tcPr>
          <w:p w14:paraId="5AE90230"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2009" w:type="dxa"/>
            <w:tcBorders>
              <w:top w:val="nil"/>
              <w:left w:val="nil"/>
              <w:bottom w:val="nil"/>
              <w:right w:val="nil"/>
            </w:tcBorders>
            <w:shd w:val="clear" w:color="auto" w:fill="auto"/>
            <w:noWrap/>
            <w:vAlign w:val="center"/>
            <w:hideMark/>
          </w:tcPr>
          <w:p w14:paraId="3805D89C"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734" w:type="dxa"/>
            <w:tcBorders>
              <w:top w:val="nil"/>
              <w:left w:val="nil"/>
              <w:bottom w:val="nil"/>
              <w:right w:val="nil"/>
            </w:tcBorders>
            <w:shd w:val="clear" w:color="auto" w:fill="auto"/>
            <w:noWrap/>
            <w:vAlign w:val="center"/>
            <w:hideMark/>
          </w:tcPr>
          <w:p w14:paraId="5353A519"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C130FE" w:rsidRPr="00EB7955" w14:paraId="62968B64" w14:textId="77777777" w:rsidTr="002F7131">
        <w:trPr>
          <w:trHeight w:val="464"/>
          <w:jc w:val="center"/>
        </w:trPr>
        <w:tc>
          <w:tcPr>
            <w:tcW w:w="9568" w:type="dxa"/>
            <w:gridSpan w:val="2"/>
            <w:tcBorders>
              <w:top w:val="nil"/>
              <w:left w:val="nil"/>
              <w:bottom w:val="nil"/>
              <w:right w:val="nil"/>
            </w:tcBorders>
            <w:shd w:val="clear" w:color="auto" w:fill="auto"/>
            <w:noWrap/>
            <w:vAlign w:val="center"/>
            <w:hideMark/>
          </w:tcPr>
          <w:p w14:paraId="30D7624D"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28"/>
                <w:szCs w:val="28"/>
              </w:rPr>
            </w:pPr>
            <w:r w:rsidRPr="00EB7955">
              <w:rPr>
                <w:rFonts w:ascii="STKaiti" w:eastAsia="STKaiti" w:hAnsi="STKaiti" w:cs="Calibri" w:hint="eastAsia"/>
                <w:b/>
                <w:bCs/>
                <w:color w:val="002060"/>
                <w:sz w:val="28"/>
                <w:szCs w:val="28"/>
              </w:rPr>
              <w:t>资本支出</w:t>
            </w:r>
            <w:r w:rsidRPr="00EB7955">
              <w:rPr>
                <w:rFonts w:eastAsia="Times New Roman" w:cs="Calibri"/>
                <w:b/>
                <w:bCs/>
                <w:color w:val="002060"/>
                <w:sz w:val="28"/>
                <w:szCs w:val="28"/>
              </w:rPr>
              <w:t>2022-2023</w:t>
            </w:r>
            <w:r w:rsidRPr="00EB7955">
              <w:rPr>
                <w:rFonts w:ascii="STKaiti" w:eastAsia="STKaiti" w:hAnsi="STKaiti" w:cs="Calibri" w:hint="eastAsia"/>
                <w:b/>
                <w:bCs/>
                <w:color w:val="002060"/>
                <w:sz w:val="28"/>
                <w:szCs w:val="28"/>
              </w:rPr>
              <w:t>年</w:t>
            </w:r>
          </w:p>
        </w:tc>
        <w:tc>
          <w:tcPr>
            <w:tcW w:w="1733" w:type="dxa"/>
            <w:tcBorders>
              <w:top w:val="nil"/>
              <w:left w:val="nil"/>
              <w:bottom w:val="nil"/>
              <w:right w:val="nil"/>
            </w:tcBorders>
            <w:shd w:val="clear" w:color="auto" w:fill="auto"/>
            <w:noWrap/>
            <w:vAlign w:val="center"/>
            <w:hideMark/>
          </w:tcPr>
          <w:p w14:paraId="51E2FBDD"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28"/>
                <w:szCs w:val="28"/>
              </w:rPr>
            </w:pPr>
          </w:p>
        </w:tc>
        <w:tc>
          <w:tcPr>
            <w:tcW w:w="2009" w:type="dxa"/>
            <w:tcBorders>
              <w:top w:val="nil"/>
              <w:left w:val="nil"/>
              <w:bottom w:val="nil"/>
              <w:right w:val="nil"/>
            </w:tcBorders>
            <w:shd w:val="clear" w:color="auto" w:fill="auto"/>
            <w:noWrap/>
            <w:vAlign w:val="center"/>
            <w:hideMark/>
          </w:tcPr>
          <w:p w14:paraId="0BE5299A"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734" w:type="dxa"/>
            <w:tcBorders>
              <w:top w:val="nil"/>
              <w:left w:val="nil"/>
              <w:bottom w:val="nil"/>
              <w:right w:val="nil"/>
            </w:tcBorders>
            <w:shd w:val="clear" w:color="auto" w:fill="auto"/>
            <w:noWrap/>
            <w:vAlign w:val="center"/>
            <w:hideMark/>
          </w:tcPr>
          <w:p w14:paraId="7179A407"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C130FE" w:rsidRPr="00EB7955" w14:paraId="12B82154" w14:textId="77777777" w:rsidTr="002F7131">
        <w:trPr>
          <w:trHeight w:val="464"/>
          <w:jc w:val="center"/>
        </w:trPr>
        <w:tc>
          <w:tcPr>
            <w:tcW w:w="9568" w:type="dxa"/>
            <w:gridSpan w:val="2"/>
            <w:tcBorders>
              <w:top w:val="nil"/>
              <w:left w:val="nil"/>
              <w:bottom w:val="nil"/>
              <w:right w:val="nil"/>
            </w:tcBorders>
            <w:shd w:val="clear" w:color="auto" w:fill="auto"/>
            <w:noWrap/>
            <w:vAlign w:val="center"/>
            <w:hideMark/>
          </w:tcPr>
          <w:p w14:paraId="446E5611"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rPr>
            </w:pPr>
            <w:r w:rsidRPr="00EB7955">
              <w:rPr>
                <w:rFonts w:ascii="STKaiti" w:eastAsia="STKaiti" w:hAnsi="STKaiti" w:hint="eastAsia"/>
                <w:b/>
                <w:bCs/>
                <w:color w:val="002060"/>
                <w:szCs w:val="24"/>
              </w:rPr>
              <w:t>按项列出的计划支出</w:t>
            </w:r>
          </w:p>
        </w:tc>
        <w:tc>
          <w:tcPr>
            <w:tcW w:w="5476" w:type="dxa"/>
            <w:gridSpan w:val="3"/>
            <w:tcBorders>
              <w:top w:val="nil"/>
              <w:left w:val="nil"/>
              <w:bottom w:val="nil"/>
              <w:right w:val="nil"/>
            </w:tcBorders>
            <w:shd w:val="clear" w:color="auto" w:fill="auto"/>
            <w:noWrap/>
            <w:vAlign w:val="center"/>
            <w:hideMark/>
          </w:tcPr>
          <w:p w14:paraId="57E8A2BD"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EB7955">
              <w:rPr>
                <w:rFonts w:ascii="STKaiti" w:eastAsia="STKaiti" w:hAnsi="STKaiti" w:hint="eastAsia"/>
                <w:color w:val="002060"/>
                <w:sz w:val="18"/>
                <w:szCs w:val="18"/>
              </w:rPr>
              <w:t>单位：千瑞郎</w:t>
            </w:r>
          </w:p>
        </w:tc>
      </w:tr>
      <w:tr w:rsidR="00C130FE" w:rsidRPr="00EB7955" w14:paraId="612815B1" w14:textId="77777777" w:rsidTr="002F7131">
        <w:trPr>
          <w:trHeight w:val="275"/>
          <w:jc w:val="center"/>
        </w:trPr>
        <w:tc>
          <w:tcPr>
            <w:tcW w:w="1816" w:type="dxa"/>
            <w:tcBorders>
              <w:top w:val="nil"/>
              <w:left w:val="nil"/>
              <w:bottom w:val="nil"/>
              <w:right w:val="nil"/>
            </w:tcBorders>
            <w:shd w:val="clear" w:color="auto" w:fill="auto"/>
            <w:noWrap/>
            <w:vAlign w:val="center"/>
            <w:hideMark/>
          </w:tcPr>
          <w:p w14:paraId="3CE33FE0"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7752" w:type="dxa"/>
            <w:tcBorders>
              <w:top w:val="nil"/>
              <w:left w:val="nil"/>
              <w:bottom w:val="nil"/>
              <w:right w:val="nil"/>
            </w:tcBorders>
            <w:shd w:val="clear" w:color="auto" w:fill="auto"/>
            <w:noWrap/>
            <w:vAlign w:val="center"/>
            <w:hideMark/>
          </w:tcPr>
          <w:p w14:paraId="75163C3A"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733" w:type="dxa"/>
            <w:tcBorders>
              <w:top w:val="nil"/>
              <w:left w:val="nil"/>
              <w:bottom w:val="nil"/>
              <w:right w:val="nil"/>
            </w:tcBorders>
            <w:shd w:val="clear" w:color="auto" w:fill="auto"/>
            <w:noWrap/>
            <w:vAlign w:val="center"/>
            <w:hideMark/>
          </w:tcPr>
          <w:p w14:paraId="711184B0"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2009" w:type="dxa"/>
            <w:tcBorders>
              <w:top w:val="nil"/>
              <w:left w:val="nil"/>
              <w:bottom w:val="nil"/>
              <w:right w:val="nil"/>
            </w:tcBorders>
            <w:shd w:val="clear" w:color="auto" w:fill="auto"/>
            <w:noWrap/>
            <w:vAlign w:val="bottom"/>
            <w:hideMark/>
          </w:tcPr>
          <w:p w14:paraId="481C4B73"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tc>
        <w:tc>
          <w:tcPr>
            <w:tcW w:w="1734" w:type="dxa"/>
            <w:tcBorders>
              <w:top w:val="nil"/>
              <w:left w:val="nil"/>
              <w:bottom w:val="nil"/>
              <w:right w:val="nil"/>
            </w:tcBorders>
            <w:shd w:val="clear" w:color="auto" w:fill="auto"/>
            <w:noWrap/>
            <w:vAlign w:val="center"/>
            <w:hideMark/>
          </w:tcPr>
          <w:p w14:paraId="008749D5"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r w:rsidRPr="00EB7955">
              <w:rPr>
                <w:rFonts w:ascii="Helv" w:eastAsia="Times New Roman" w:hAnsi="Helv"/>
                <w:noProof/>
                <w:sz w:val="20"/>
              </w:rPr>
              <mc:AlternateContent>
                <mc:Choice Requires="wps">
                  <w:drawing>
                    <wp:anchor distT="0" distB="0" distL="114300" distR="114300" simplePos="0" relativeHeight="251723776" behindDoc="0" locked="0" layoutInCell="1" allowOverlap="1" wp14:anchorId="57B1AA61" wp14:editId="78AD3A86">
                      <wp:simplePos x="0" y="0"/>
                      <wp:positionH relativeFrom="column">
                        <wp:posOffset>85725</wp:posOffset>
                      </wp:positionH>
                      <wp:positionV relativeFrom="paragraph">
                        <wp:posOffset>125730</wp:posOffset>
                      </wp:positionV>
                      <wp:extent cx="1016000" cy="2489200"/>
                      <wp:effectExtent l="0" t="0" r="12700" b="25400"/>
                      <wp:wrapNone/>
                      <wp:docPr id="104" name="圆角矩形 104">
                        <a:extLst xmlns:a="http://schemas.openxmlformats.org/drawingml/2006/main">
                          <a:ext uri="{FF2B5EF4-FFF2-40B4-BE49-F238E27FC236}">
                            <a16:creationId xmlns:a16="http://schemas.microsoft.com/office/drawing/2014/main" id="{00000000-0008-0000-0C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248920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0DD35A75" id="圆角矩形 104" o:spid="_x0000_s1026" style="position:absolute;margin-left:6.75pt;margin-top:9.9pt;width:80pt;height:19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" filled="f" strokecolor="#0070c0" strokeweight="1pt"/>
                  </w:pict>
                </mc:Fallback>
              </mc:AlternateContent>
            </w:r>
          </w:p>
        </w:tc>
      </w:tr>
      <w:tr w:rsidR="00C130FE" w:rsidRPr="00EB7955" w14:paraId="48D08488" w14:textId="77777777" w:rsidTr="002F7131">
        <w:trPr>
          <w:trHeight w:val="292"/>
          <w:jc w:val="center"/>
        </w:trPr>
        <w:tc>
          <w:tcPr>
            <w:tcW w:w="9568" w:type="dxa"/>
            <w:gridSpan w:val="2"/>
            <w:tcBorders>
              <w:top w:val="nil"/>
              <w:left w:val="nil"/>
              <w:bottom w:val="nil"/>
              <w:right w:val="nil"/>
            </w:tcBorders>
            <w:shd w:val="clear" w:color="auto" w:fill="auto"/>
            <w:noWrap/>
            <w:vAlign w:val="center"/>
            <w:hideMark/>
          </w:tcPr>
          <w:p w14:paraId="59D512AC"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733" w:type="dxa"/>
            <w:tcBorders>
              <w:top w:val="nil"/>
              <w:left w:val="nil"/>
              <w:bottom w:val="nil"/>
              <w:right w:val="nil"/>
            </w:tcBorders>
            <w:shd w:val="clear" w:color="auto" w:fill="auto"/>
            <w:noWrap/>
            <w:vAlign w:val="center"/>
            <w:hideMark/>
          </w:tcPr>
          <w:p w14:paraId="5E3A40F3"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2009" w:type="dxa"/>
            <w:tcBorders>
              <w:top w:val="nil"/>
              <w:left w:val="nil"/>
              <w:bottom w:val="nil"/>
              <w:right w:val="nil"/>
            </w:tcBorders>
            <w:shd w:val="clear" w:color="auto" w:fill="auto"/>
            <w:noWrap/>
            <w:vAlign w:val="center"/>
            <w:hideMark/>
          </w:tcPr>
          <w:p w14:paraId="7BDA9CC4"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734" w:type="dxa"/>
            <w:tcBorders>
              <w:top w:val="nil"/>
              <w:left w:val="nil"/>
              <w:bottom w:val="nil"/>
              <w:right w:val="nil"/>
            </w:tcBorders>
            <w:shd w:val="clear" w:color="auto" w:fill="auto"/>
            <w:noWrap/>
            <w:vAlign w:val="center"/>
            <w:hideMark/>
          </w:tcPr>
          <w:p w14:paraId="0CBCFA07"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cs="Calibri"/>
                <w:b/>
                <w:bCs/>
                <w:color w:val="002060"/>
                <w:sz w:val="20"/>
              </w:rPr>
            </w:pPr>
            <w:r w:rsidRPr="00732DCC">
              <w:rPr>
                <w:rFonts w:ascii="SimSun" w:hAnsi="SimSun" w:cs="Microsoft YaHei"/>
                <w:b/>
                <w:bCs/>
                <w:color w:val="002060"/>
                <w:sz w:val="20"/>
              </w:rPr>
              <w:t>合计</w:t>
            </w:r>
          </w:p>
        </w:tc>
      </w:tr>
      <w:tr w:rsidR="00C130FE" w:rsidRPr="00EB7955" w14:paraId="39918521" w14:textId="77777777" w:rsidTr="002F7131">
        <w:trPr>
          <w:trHeight w:val="292"/>
          <w:jc w:val="center"/>
        </w:trPr>
        <w:tc>
          <w:tcPr>
            <w:tcW w:w="1816" w:type="dxa"/>
            <w:tcBorders>
              <w:top w:val="nil"/>
              <w:left w:val="nil"/>
              <w:bottom w:val="single" w:sz="4" w:space="0" w:color="auto"/>
              <w:right w:val="nil"/>
            </w:tcBorders>
            <w:shd w:val="clear" w:color="auto" w:fill="auto"/>
            <w:noWrap/>
            <w:vAlign w:val="center"/>
            <w:hideMark/>
          </w:tcPr>
          <w:p w14:paraId="027932C5"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B7955">
              <w:rPr>
                <w:rFonts w:eastAsia="Times New Roman" w:cs="Calibri"/>
                <w:b/>
                <w:bCs/>
                <w:sz w:val="20"/>
              </w:rPr>
              <w:t> </w:t>
            </w:r>
          </w:p>
        </w:tc>
        <w:tc>
          <w:tcPr>
            <w:tcW w:w="7752" w:type="dxa"/>
            <w:tcBorders>
              <w:top w:val="nil"/>
              <w:left w:val="nil"/>
              <w:bottom w:val="single" w:sz="4" w:space="0" w:color="auto"/>
              <w:right w:val="nil"/>
            </w:tcBorders>
            <w:shd w:val="clear" w:color="auto" w:fill="auto"/>
            <w:noWrap/>
            <w:vAlign w:val="center"/>
            <w:hideMark/>
          </w:tcPr>
          <w:p w14:paraId="7E9D6F7A"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B7955">
              <w:rPr>
                <w:rFonts w:eastAsia="Times New Roman" w:cs="Calibri"/>
                <w:b/>
                <w:bCs/>
                <w:sz w:val="20"/>
              </w:rPr>
              <w:t> </w:t>
            </w:r>
          </w:p>
        </w:tc>
        <w:tc>
          <w:tcPr>
            <w:tcW w:w="1733" w:type="dxa"/>
            <w:tcBorders>
              <w:top w:val="nil"/>
              <w:left w:val="nil"/>
              <w:bottom w:val="single" w:sz="4" w:space="0" w:color="auto"/>
              <w:right w:val="nil"/>
            </w:tcBorders>
            <w:shd w:val="clear" w:color="auto" w:fill="auto"/>
            <w:vAlign w:val="center"/>
            <w:hideMark/>
          </w:tcPr>
          <w:p w14:paraId="78CA9933"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EB7955">
              <w:rPr>
                <w:rFonts w:eastAsia="Times New Roman" w:cs="Calibri"/>
                <w:b/>
                <w:bCs/>
                <w:color w:val="002060"/>
                <w:sz w:val="20"/>
              </w:rPr>
              <w:t>2022</w:t>
            </w:r>
          </w:p>
        </w:tc>
        <w:tc>
          <w:tcPr>
            <w:tcW w:w="2009" w:type="dxa"/>
            <w:tcBorders>
              <w:top w:val="nil"/>
              <w:left w:val="nil"/>
              <w:bottom w:val="single" w:sz="4" w:space="0" w:color="auto"/>
              <w:right w:val="nil"/>
            </w:tcBorders>
            <w:shd w:val="clear" w:color="auto" w:fill="auto"/>
            <w:vAlign w:val="center"/>
            <w:hideMark/>
          </w:tcPr>
          <w:p w14:paraId="0F643071"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EB7955">
              <w:rPr>
                <w:rFonts w:eastAsia="Times New Roman" w:cs="Calibri"/>
                <w:b/>
                <w:bCs/>
                <w:color w:val="002060"/>
                <w:sz w:val="20"/>
              </w:rPr>
              <w:t>2023</w:t>
            </w:r>
          </w:p>
        </w:tc>
        <w:tc>
          <w:tcPr>
            <w:tcW w:w="1734" w:type="dxa"/>
            <w:tcBorders>
              <w:top w:val="nil"/>
              <w:left w:val="nil"/>
              <w:bottom w:val="single" w:sz="4" w:space="0" w:color="auto"/>
              <w:right w:val="nil"/>
            </w:tcBorders>
            <w:shd w:val="clear" w:color="auto" w:fill="auto"/>
            <w:vAlign w:val="center"/>
            <w:hideMark/>
          </w:tcPr>
          <w:p w14:paraId="11A31CB8"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EB7955">
              <w:rPr>
                <w:rFonts w:eastAsia="Times New Roman" w:cs="Calibri"/>
                <w:b/>
                <w:bCs/>
                <w:color w:val="002060"/>
                <w:sz w:val="20"/>
              </w:rPr>
              <w:t>2022-2023</w:t>
            </w:r>
          </w:p>
        </w:tc>
      </w:tr>
      <w:tr w:rsidR="00C130FE" w:rsidRPr="00EB7955" w14:paraId="5022A2EA" w14:textId="77777777" w:rsidTr="002F7131">
        <w:trPr>
          <w:trHeight w:val="189"/>
          <w:jc w:val="center"/>
        </w:trPr>
        <w:tc>
          <w:tcPr>
            <w:tcW w:w="1816" w:type="dxa"/>
            <w:tcBorders>
              <w:top w:val="nil"/>
              <w:left w:val="nil"/>
              <w:bottom w:val="nil"/>
              <w:right w:val="nil"/>
            </w:tcBorders>
            <w:shd w:val="clear" w:color="auto" w:fill="auto"/>
            <w:noWrap/>
            <w:vAlign w:val="center"/>
            <w:hideMark/>
          </w:tcPr>
          <w:p w14:paraId="1EAD0501"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7752" w:type="dxa"/>
            <w:tcBorders>
              <w:top w:val="nil"/>
              <w:left w:val="nil"/>
              <w:bottom w:val="nil"/>
              <w:right w:val="nil"/>
            </w:tcBorders>
            <w:shd w:val="clear" w:color="auto" w:fill="auto"/>
            <w:noWrap/>
            <w:vAlign w:val="center"/>
            <w:hideMark/>
          </w:tcPr>
          <w:p w14:paraId="6EA5ABD0"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733" w:type="dxa"/>
            <w:tcBorders>
              <w:top w:val="nil"/>
              <w:left w:val="nil"/>
              <w:bottom w:val="nil"/>
              <w:right w:val="nil"/>
            </w:tcBorders>
            <w:shd w:val="clear" w:color="auto" w:fill="auto"/>
            <w:noWrap/>
            <w:vAlign w:val="center"/>
            <w:hideMark/>
          </w:tcPr>
          <w:p w14:paraId="64BD2A18"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2009" w:type="dxa"/>
            <w:tcBorders>
              <w:top w:val="nil"/>
              <w:left w:val="nil"/>
              <w:bottom w:val="nil"/>
              <w:right w:val="nil"/>
            </w:tcBorders>
            <w:shd w:val="clear" w:color="auto" w:fill="auto"/>
            <w:noWrap/>
            <w:vAlign w:val="center"/>
            <w:hideMark/>
          </w:tcPr>
          <w:p w14:paraId="4804CB56"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734" w:type="dxa"/>
            <w:tcBorders>
              <w:top w:val="nil"/>
              <w:left w:val="nil"/>
              <w:bottom w:val="nil"/>
              <w:right w:val="nil"/>
            </w:tcBorders>
            <w:shd w:val="clear" w:color="auto" w:fill="auto"/>
            <w:noWrap/>
            <w:vAlign w:val="center"/>
            <w:hideMark/>
          </w:tcPr>
          <w:p w14:paraId="7AF97C4D"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EB7955" w14:paraId="6D1069A3" w14:textId="77777777" w:rsidTr="002F7131">
        <w:trPr>
          <w:trHeight w:val="228"/>
          <w:jc w:val="center"/>
        </w:trPr>
        <w:tc>
          <w:tcPr>
            <w:tcW w:w="1816" w:type="dxa"/>
            <w:tcBorders>
              <w:top w:val="nil"/>
              <w:left w:val="nil"/>
              <w:bottom w:val="nil"/>
              <w:right w:val="nil"/>
            </w:tcBorders>
            <w:shd w:val="clear" w:color="auto" w:fill="auto"/>
            <w:noWrap/>
            <w:vAlign w:val="bottom"/>
            <w:hideMark/>
          </w:tcPr>
          <w:p w14:paraId="5BD0B81C"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7752" w:type="dxa"/>
            <w:tcBorders>
              <w:top w:val="nil"/>
              <w:left w:val="nil"/>
              <w:bottom w:val="nil"/>
              <w:right w:val="nil"/>
            </w:tcBorders>
            <w:shd w:val="clear" w:color="auto" w:fill="auto"/>
            <w:noWrap/>
            <w:vAlign w:val="bottom"/>
            <w:hideMark/>
          </w:tcPr>
          <w:p w14:paraId="7133E07D"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733" w:type="dxa"/>
            <w:tcBorders>
              <w:top w:val="nil"/>
              <w:left w:val="nil"/>
              <w:bottom w:val="nil"/>
              <w:right w:val="nil"/>
            </w:tcBorders>
            <w:shd w:val="clear" w:color="auto" w:fill="auto"/>
            <w:noWrap/>
            <w:vAlign w:val="bottom"/>
            <w:hideMark/>
          </w:tcPr>
          <w:p w14:paraId="6E37FED6"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2009" w:type="dxa"/>
            <w:tcBorders>
              <w:top w:val="nil"/>
              <w:left w:val="nil"/>
              <w:bottom w:val="nil"/>
              <w:right w:val="nil"/>
            </w:tcBorders>
            <w:shd w:val="clear" w:color="auto" w:fill="auto"/>
            <w:noWrap/>
            <w:vAlign w:val="bottom"/>
            <w:hideMark/>
          </w:tcPr>
          <w:p w14:paraId="75385971"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734" w:type="dxa"/>
            <w:tcBorders>
              <w:top w:val="nil"/>
              <w:left w:val="nil"/>
              <w:bottom w:val="nil"/>
              <w:right w:val="nil"/>
            </w:tcBorders>
            <w:shd w:val="clear" w:color="auto" w:fill="auto"/>
            <w:noWrap/>
            <w:vAlign w:val="bottom"/>
            <w:hideMark/>
          </w:tcPr>
          <w:p w14:paraId="0DCC2E14"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EB7955" w14:paraId="4C785364" w14:textId="77777777" w:rsidTr="002F7131">
        <w:trPr>
          <w:trHeight w:val="289"/>
          <w:jc w:val="center"/>
        </w:trPr>
        <w:tc>
          <w:tcPr>
            <w:tcW w:w="1816" w:type="dxa"/>
            <w:tcBorders>
              <w:top w:val="nil"/>
              <w:left w:val="nil"/>
              <w:bottom w:val="nil"/>
              <w:right w:val="nil"/>
            </w:tcBorders>
            <w:shd w:val="clear" w:color="auto" w:fill="auto"/>
            <w:noWrap/>
            <w:vAlign w:val="bottom"/>
            <w:hideMark/>
          </w:tcPr>
          <w:p w14:paraId="29B19125"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theme="minorHAnsi"/>
                <w:sz w:val="20"/>
              </w:rPr>
            </w:pPr>
            <w:r w:rsidRPr="00732DCC">
              <w:rPr>
                <w:rFonts w:cstheme="minorHAnsi"/>
                <w:sz w:val="20"/>
              </w:rPr>
              <w:t>第</w:t>
            </w:r>
            <w:r w:rsidRPr="00732DCC">
              <w:rPr>
                <w:rFonts w:eastAsia="Times New Roman" w:cstheme="minorHAnsi"/>
                <w:sz w:val="20"/>
              </w:rPr>
              <w:t>9</w:t>
            </w:r>
            <w:r w:rsidRPr="00732DCC">
              <w:rPr>
                <w:rFonts w:cstheme="minorHAnsi"/>
                <w:sz w:val="20"/>
              </w:rPr>
              <w:t>项</w:t>
            </w:r>
          </w:p>
        </w:tc>
        <w:tc>
          <w:tcPr>
            <w:tcW w:w="7752" w:type="dxa"/>
            <w:tcBorders>
              <w:top w:val="nil"/>
              <w:left w:val="nil"/>
              <w:bottom w:val="nil"/>
              <w:right w:val="nil"/>
            </w:tcBorders>
            <w:shd w:val="clear" w:color="auto" w:fill="auto"/>
            <w:noWrap/>
            <w:vAlign w:val="bottom"/>
            <w:hideMark/>
          </w:tcPr>
          <w:p w14:paraId="1C1A06E5"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theme="minorHAnsi"/>
                <w:b/>
                <w:bCs/>
                <w:color w:val="002060"/>
                <w:sz w:val="20"/>
              </w:rPr>
            </w:pPr>
            <w:r w:rsidRPr="00732DCC">
              <w:rPr>
                <w:rFonts w:cstheme="minorHAnsi"/>
                <w:b/>
                <w:bCs/>
                <w:color w:val="002060"/>
                <w:sz w:val="20"/>
              </w:rPr>
              <w:t>国际电联共同支出</w:t>
            </w:r>
          </w:p>
        </w:tc>
        <w:tc>
          <w:tcPr>
            <w:tcW w:w="1733" w:type="dxa"/>
            <w:tcBorders>
              <w:top w:val="nil"/>
              <w:left w:val="nil"/>
              <w:bottom w:val="nil"/>
              <w:right w:val="nil"/>
            </w:tcBorders>
            <w:shd w:val="clear" w:color="auto" w:fill="auto"/>
            <w:noWrap/>
            <w:vAlign w:val="bottom"/>
            <w:hideMark/>
          </w:tcPr>
          <w:p w14:paraId="2D87397D"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simsn" w:eastAsia="Times New Roman" w:hAnsi="simsn"/>
                <w:b/>
                <w:bCs/>
                <w:color w:val="002060"/>
                <w:sz w:val="20"/>
              </w:rPr>
            </w:pPr>
          </w:p>
        </w:tc>
        <w:tc>
          <w:tcPr>
            <w:tcW w:w="2009" w:type="dxa"/>
            <w:tcBorders>
              <w:top w:val="nil"/>
              <w:left w:val="nil"/>
              <w:bottom w:val="nil"/>
              <w:right w:val="nil"/>
            </w:tcBorders>
            <w:shd w:val="clear" w:color="auto" w:fill="auto"/>
            <w:noWrap/>
            <w:vAlign w:val="bottom"/>
            <w:hideMark/>
          </w:tcPr>
          <w:p w14:paraId="37B53006"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734" w:type="dxa"/>
            <w:tcBorders>
              <w:top w:val="nil"/>
              <w:left w:val="nil"/>
              <w:bottom w:val="nil"/>
              <w:right w:val="nil"/>
            </w:tcBorders>
            <w:shd w:val="clear" w:color="auto" w:fill="auto"/>
            <w:noWrap/>
            <w:vAlign w:val="bottom"/>
            <w:hideMark/>
          </w:tcPr>
          <w:p w14:paraId="3D003830"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bookmarkStart w:id="66" w:name="RANGE!E11:E19"/>
            <w:bookmarkEnd w:id="66"/>
          </w:p>
        </w:tc>
      </w:tr>
      <w:tr w:rsidR="00C130FE" w:rsidRPr="00EB7955" w14:paraId="2EF24970" w14:textId="77777777" w:rsidTr="002F7131">
        <w:trPr>
          <w:trHeight w:val="289"/>
          <w:jc w:val="center"/>
        </w:trPr>
        <w:tc>
          <w:tcPr>
            <w:tcW w:w="1816" w:type="dxa"/>
            <w:tcBorders>
              <w:top w:val="nil"/>
              <w:left w:val="nil"/>
              <w:bottom w:val="nil"/>
              <w:right w:val="nil"/>
            </w:tcBorders>
            <w:shd w:val="clear" w:color="auto" w:fill="auto"/>
            <w:noWrap/>
            <w:vAlign w:val="bottom"/>
            <w:hideMark/>
          </w:tcPr>
          <w:p w14:paraId="3F2407E2"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theme="minorHAnsi"/>
                <w:sz w:val="20"/>
              </w:rPr>
            </w:pPr>
          </w:p>
        </w:tc>
        <w:tc>
          <w:tcPr>
            <w:tcW w:w="7752" w:type="dxa"/>
            <w:tcBorders>
              <w:top w:val="nil"/>
              <w:left w:val="nil"/>
              <w:bottom w:val="nil"/>
              <w:right w:val="nil"/>
            </w:tcBorders>
            <w:shd w:val="clear" w:color="auto" w:fill="auto"/>
            <w:noWrap/>
            <w:vAlign w:val="bottom"/>
            <w:hideMark/>
          </w:tcPr>
          <w:p w14:paraId="644F39CC"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theme="minorHAnsi"/>
                <w:sz w:val="20"/>
              </w:rPr>
            </w:pPr>
            <w:r w:rsidRPr="00732DCC">
              <w:rPr>
                <w:rFonts w:eastAsia="Times New Roman" w:cstheme="minorHAnsi"/>
                <w:sz w:val="20"/>
              </w:rPr>
              <w:t xml:space="preserve"> - </w:t>
            </w:r>
            <w:r w:rsidRPr="00732DCC">
              <w:rPr>
                <w:rFonts w:cstheme="minorHAnsi"/>
                <w:sz w:val="20"/>
              </w:rPr>
              <w:t>办公楼基础设施</w:t>
            </w:r>
          </w:p>
        </w:tc>
        <w:tc>
          <w:tcPr>
            <w:tcW w:w="1733" w:type="dxa"/>
            <w:tcBorders>
              <w:top w:val="nil"/>
              <w:left w:val="nil"/>
              <w:bottom w:val="nil"/>
              <w:right w:val="nil"/>
            </w:tcBorders>
            <w:shd w:val="clear" w:color="auto" w:fill="auto"/>
            <w:noWrap/>
            <w:vAlign w:val="bottom"/>
            <w:hideMark/>
          </w:tcPr>
          <w:p w14:paraId="4E693900"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B7955">
              <w:rPr>
                <w:rFonts w:eastAsia="Times New Roman" w:cs="Calibri"/>
                <w:sz w:val="20"/>
              </w:rPr>
              <w:t>48</w:t>
            </w:r>
          </w:p>
        </w:tc>
        <w:tc>
          <w:tcPr>
            <w:tcW w:w="2009" w:type="dxa"/>
            <w:tcBorders>
              <w:top w:val="nil"/>
              <w:left w:val="nil"/>
              <w:bottom w:val="nil"/>
              <w:right w:val="nil"/>
            </w:tcBorders>
            <w:shd w:val="clear" w:color="auto" w:fill="auto"/>
            <w:noWrap/>
            <w:vAlign w:val="bottom"/>
            <w:hideMark/>
          </w:tcPr>
          <w:p w14:paraId="35BC9270"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B7955">
              <w:rPr>
                <w:rFonts w:eastAsia="Times New Roman" w:cs="Calibri"/>
                <w:sz w:val="20"/>
              </w:rPr>
              <w:t>48</w:t>
            </w:r>
          </w:p>
        </w:tc>
        <w:tc>
          <w:tcPr>
            <w:tcW w:w="1734" w:type="dxa"/>
            <w:tcBorders>
              <w:top w:val="nil"/>
              <w:left w:val="nil"/>
              <w:bottom w:val="nil"/>
              <w:right w:val="nil"/>
            </w:tcBorders>
            <w:shd w:val="clear" w:color="auto" w:fill="auto"/>
            <w:noWrap/>
            <w:vAlign w:val="bottom"/>
            <w:hideMark/>
          </w:tcPr>
          <w:p w14:paraId="1E4A9992"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B7955">
              <w:rPr>
                <w:rFonts w:eastAsia="Times New Roman" w:cs="Calibri"/>
                <w:sz w:val="20"/>
              </w:rPr>
              <w:t>96</w:t>
            </w:r>
          </w:p>
        </w:tc>
      </w:tr>
      <w:tr w:rsidR="00C130FE" w:rsidRPr="00EB7955" w14:paraId="155017F0" w14:textId="77777777" w:rsidTr="002F7131">
        <w:trPr>
          <w:trHeight w:val="289"/>
          <w:jc w:val="center"/>
        </w:trPr>
        <w:tc>
          <w:tcPr>
            <w:tcW w:w="1816" w:type="dxa"/>
            <w:tcBorders>
              <w:top w:val="nil"/>
              <w:left w:val="nil"/>
              <w:bottom w:val="nil"/>
              <w:right w:val="nil"/>
            </w:tcBorders>
            <w:shd w:val="clear" w:color="auto" w:fill="auto"/>
            <w:noWrap/>
            <w:vAlign w:val="bottom"/>
            <w:hideMark/>
          </w:tcPr>
          <w:p w14:paraId="1FF80789"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theme="minorHAnsi"/>
                <w:sz w:val="20"/>
              </w:rPr>
            </w:pPr>
          </w:p>
        </w:tc>
        <w:tc>
          <w:tcPr>
            <w:tcW w:w="7752" w:type="dxa"/>
            <w:tcBorders>
              <w:top w:val="nil"/>
              <w:left w:val="nil"/>
              <w:bottom w:val="nil"/>
              <w:right w:val="nil"/>
            </w:tcBorders>
            <w:shd w:val="clear" w:color="auto" w:fill="auto"/>
            <w:noWrap/>
            <w:vAlign w:val="bottom"/>
            <w:hideMark/>
          </w:tcPr>
          <w:p w14:paraId="0945CEF1"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theme="minorHAnsi"/>
                <w:sz w:val="20"/>
                <w:lang w:eastAsia="zh-CN"/>
              </w:rPr>
            </w:pPr>
            <w:r w:rsidRPr="00732DCC">
              <w:rPr>
                <w:rFonts w:eastAsia="Times New Roman" w:cstheme="minorHAnsi"/>
                <w:sz w:val="20"/>
                <w:lang w:eastAsia="zh-CN"/>
              </w:rPr>
              <w:t xml:space="preserve"> - </w:t>
            </w:r>
            <w:r w:rsidRPr="00732DCC">
              <w:rPr>
                <w:rFonts w:cstheme="minorHAnsi"/>
                <w:sz w:val="20"/>
                <w:lang w:eastAsia="zh-CN"/>
              </w:rPr>
              <w:t>信息通信技术资本基金（</w:t>
            </w:r>
            <w:r w:rsidRPr="00732DCC">
              <w:rPr>
                <w:rFonts w:eastAsia="Times New Roman" w:cstheme="minorHAnsi"/>
                <w:sz w:val="20"/>
                <w:lang w:eastAsia="zh-CN"/>
              </w:rPr>
              <w:t>ICTF</w:t>
            </w:r>
            <w:r w:rsidRPr="00732DCC">
              <w:rPr>
                <w:rFonts w:cstheme="minorHAnsi"/>
                <w:sz w:val="20"/>
                <w:lang w:eastAsia="zh-CN"/>
              </w:rPr>
              <w:t>）</w:t>
            </w:r>
          </w:p>
        </w:tc>
        <w:tc>
          <w:tcPr>
            <w:tcW w:w="1733" w:type="dxa"/>
            <w:tcBorders>
              <w:top w:val="nil"/>
              <w:left w:val="nil"/>
              <w:bottom w:val="nil"/>
              <w:right w:val="nil"/>
            </w:tcBorders>
            <w:shd w:val="clear" w:color="auto" w:fill="auto"/>
            <w:noWrap/>
            <w:vAlign w:val="bottom"/>
            <w:hideMark/>
          </w:tcPr>
          <w:p w14:paraId="5620A18E"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B7955">
              <w:rPr>
                <w:rFonts w:eastAsia="Times New Roman" w:cs="Calibri"/>
                <w:sz w:val="20"/>
              </w:rPr>
              <w:t>212</w:t>
            </w:r>
          </w:p>
        </w:tc>
        <w:tc>
          <w:tcPr>
            <w:tcW w:w="2009" w:type="dxa"/>
            <w:tcBorders>
              <w:top w:val="nil"/>
              <w:left w:val="nil"/>
              <w:bottom w:val="nil"/>
              <w:right w:val="nil"/>
            </w:tcBorders>
            <w:shd w:val="clear" w:color="auto" w:fill="auto"/>
            <w:noWrap/>
            <w:vAlign w:val="bottom"/>
            <w:hideMark/>
          </w:tcPr>
          <w:p w14:paraId="3CE2B2A8"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B7955">
              <w:rPr>
                <w:rFonts w:eastAsia="Times New Roman" w:cs="Calibri"/>
                <w:sz w:val="20"/>
              </w:rPr>
              <w:t>212</w:t>
            </w:r>
          </w:p>
        </w:tc>
        <w:tc>
          <w:tcPr>
            <w:tcW w:w="1734" w:type="dxa"/>
            <w:tcBorders>
              <w:top w:val="nil"/>
              <w:left w:val="nil"/>
              <w:bottom w:val="nil"/>
              <w:right w:val="nil"/>
            </w:tcBorders>
            <w:shd w:val="clear" w:color="auto" w:fill="auto"/>
            <w:noWrap/>
            <w:vAlign w:val="bottom"/>
            <w:hideMark/>
          </w:tcPr>
          <w:p w14:paraId="5FECAA5A"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B7955">
              <w:rPr>
                <w:rFonts w:eastAsia="Times New Roman" w:cs="Calibri"/>
                <w:sz w:val="20"/>
              </w:rPr>
              <w:t>424</w:t>
            </w:r>
          </w:p>
        </w:tc>
      </w:tr>
      <w:tr w:rsidR="00C130FE" w:rsidRPr="00EB7955" w14:paraId="671BBC63" w14:textId="77777777" w:rsidTr="002F7131">
        <w:trPr>
          <w:trHeight w:val="289"/>
          <w:jc w:val="center"/>
        </w:trPr>
        <w:tc>
          <w:tcPr>
            <w:tcW w:w="1816" w:type="dxa"/>
            <w:tcBorders>
              <w:top w:val="nil"/>
              <w:left w:val="nil"/>
              <w:bottom w:val="nil"/>
              <w:right w:val="nil"/>
            </w:tcBorders>
            <w:shd w:val="clear" w:color="auto" w:fill="auto"/>
            <w:noWrap/>
            <w:vAlign w:val="bottom"/>
            <w:hideMark/>
          </w:tcPr>
          <w:p w14:paraId="3CB3127A"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theme="minorHAnsi"/>
                <w:sz w:val="20"/>
              </w:rPr>
            </w:pPr>
          </w:p>
        </w:tc>
        <w:tc>
          <w:tcPr>
            <w:tcW w:w="7752" w:type="dxa"/>
            <w:tcBorders>
              <w:top w:val="nil"/>
              <w:left w:val="nil"/>
              <w:bottom w:val="nil"/>
              <w:right w:val="nil"/>
            </w:tcBorders>
            <w:shd w:val="clear" w:color="auto" w:fill="auto"/>
            <w:noWrap/>
            <w:vAlign w:val="bottom"/>
            <w:hideMark/>
          </w:tcPr>
          <w:p w14:paraId="3CD8A651"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theme="minorHAnsi"/>
                <w:sz w:val="20"/>
              </w:rPr>
            </w:pPr>
          </w:p>
        </w:tc>
        <w:tc>
          <w:tcPr>
            <w:tcW w:w="1733" w:type="dxa"/>
            <w:tcBorders>
              <w:top w:val="nil"/>
              <w:left w:val="nil"/>
              <w:bottom w:val="nil"/>
              <w:right w:val="nil"/>
            </w:tcBorders>
            <w:shd w:val="clear" w:color="auto" w:fill="auto"/>
            <w:noWrap/>
            <w:vAlign w:val="bottom"/>
            <w:hideMark/>
          </w:tcPr>
          <w:p w14:paraId="5E713CA7"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2009" w:type="dxa"/>
            <w:tcBorders>
              <w:top w:val="nil"/>
              <w:left w:val="nil"/>
              <w:bottom w:val="nil"/>
              <w:right w:val="nil"/>
            </w:tcBorders>
            <w:shd w:val="clear" w:color="auto" w:fill="auto"/>
            <w:noWrap/>
            <w:vAlign w:val="bottom"/>
            <w:hideMark/>
          </w:tcPr>
          <w:p w14:paraId="3930BA98"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734" w:type="dxa"/>
            <w:tcBorders>
              <w:top w:val="nil"/>
              <w:left w:val="nil"/>
              <w:bottom w:val="nil"/>
              <w:right w:val="nil"/>
            </w:tcBorders>
            <w:shd w:val="clear" w:color="auto" w:fill="auto"/>
            <w:noWrap/>
            <w:vAlign w:val="bottom"/>
            <w:hideMark/>
          </w:tcPr>
          <w:p w14:paraId="1D733096"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EB7955" w14:paraId="12A2940C" w14:textId="77777777" w:rsidTr="002F7131">
        <w:trPr>
          <w:trHeight w:val="289"/>
          <w:jc w:val="center"/>
        </w:trPr>
        <w:tc>
          <w:tcPr>
            <w:tcW w:w="1816" w:type="dxa"/>
            <w:tcBorders>
              <w:top w:val="nil"/>
              <w:left w:val="nil"/>
              <w:bottom w:val="nil"/>
              <w:right w:val="nil"/>
            </w:tcBorders>
            <w:shd w:val="clear" w:color="auto" w:fill="auto"/>
            <w:noWrap/>
            <w:vAlign w:val="bottom"/>
            <w:hideMark/>
          </w:tcPr>
          <w:p w14:paraId="2E171043"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theme="minorHAnsi"/>
                <w:sz w:val="20"/>
              </w:rPr>
            </w:pPr>
            <w:r w:rsidRPr="00732DCC">
              <w:rPr>
                <w:rFonts w:cstheme="minorHAnsi"/>
                <w:sz w:val="20"/>
              </w:rPr>
              <w:t>第</w:t>
            </w:r>
            <w:r w:rsidRPr="00732DCC">
              <w:rPr>
                <w:rFonts w:eastAsia="Times New Roman" w:cstheme="minorHAnsi"/>
                <w:sz w:val="20"/>
              </w:rPr>
              <w:t>9</w:t>
            </w:r>
            <w:r w:rsidRPr="00732DCC">
              <w:rPr>
                <w:rFonts w:cstheme="minorHAnsi"/>
                <w:sz w:val="20"/>
              </w:rPr>
              <w:t>项</w:t>
            </w:r>
          </w:p>
        </w:tc>
        <w:tc>
          <w:tcPr>
            <w:tcW w:w="7752" w:type="dxa"/>
            <w:tcBorders>
              <w:top w:val="nil"/>
              <w:left w:val="nil"/>
              <w:bottom w:val="nil"/>
              <w:right w:val="nil"/>
            </w:tcBorders>
            <w:shd w:val="clear" w:color="auto" w:fill="auto"/>
            <w:noWrap/>
            <w:vAlign w:val="bottom"/>
            <w:hideMark/>
          </w:tcPr>
          <w:p w14:paraId="45D79C34"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theme="minorHAnsi"/>
                <w:b/>
                <w:bCs/>
                <w:color w:val="002060"/>
                <w:sz w:val="20"/>
              </w:rPr>
            </w:pPr>
            <w:r w:rsidRPr="00732DCC">
              <w:rPr>
                <w:rFonts w:cstheme="minorHAnsi"/>
                <w:b/>
                <w:bCs/>
                <w:color w:val="002060"/>
                <w:sz w:val="20"/>
              </w:rPr>
              <w:t>无线电通信局</w:t>
            </w:r>
          </w:p>
        </w:tc>
        <w:tc>
          <w:tcPr>
            <w:tcW w:w="1733" w:type="dxa"/>
            <w:tcBorders>
              <w:top w:val="nil"/>
              <w:left w:val="nil"/>
              <w:bottom w:val="nil"/>
              <w:right w:val="nil"/>
            </w:tcBorders>
            <w:shd w:val="clear" w:color="auto" w:fill="auto"/>
            <w:noWrap/>
            <w:vAlign w:val="bottom"/>
            <w:hideMark/>
          </w:tcPr>
          <w:p w14:paraId="7B9043C4"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20"/>
              </w:rPr>
            </w:pPr>
          </w:p>
        </w:tc>
        <w:tc>
          <w:tcPr>
            <w:tcW w:w="2009" w:type="dxa"/>
            <w:tcBorders>
              <w:top w:val="nil"/>
              <w:left w:val="nil"/>
              <w:bottom w:val="nil"/>
              <w:right w:val="nil"/>
            </w:tcBorders>
            <w:shd w:val="clear" w:color="auto" w:fill="auto"/>
            <w:noWrap/>
            <w:vAlign w:val="bottom"/>
            <w:hideMark/>
          </w:tcPr>
          <w:p w14:paraId="68849DFA"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734" w:type="dxa"/>
            <w:tcBorders>
              <w:top w:val="nil"/>
              <w:left w:val="nil"/>
              <w:bottom w:val="nil"/>
              <w:right w:val="nil"/>
            </w:tcBorders>
            <w:shd w:val="clear" w:color="auto" w:fill="auto"/>
            <w:noWrap/>
            <w:vAlign w:val="bottom"/>
            <w:hideMark/>
          </w:tcPr>
          <w:p w14:paraId="42AD6FB0"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EB7955" w14:paraId="28C54319" w14:textId="77777777" w:rsidTr="002F7131">
        <w:trPr>
          <w:trHeight w:val="289"/>
          <w:jc w:val="center"/>
        </w:trPr>
        <w:tc>
          <w:tcPr>
            <w:tcW w:w="1816" w:type="dxa"/>
            <w:tcBorders>
              <w:top w:val="nil"/>
              <w:left w:val="nil"/>
              <w:bottom w:val="nil"/>
              <w:right w:val="nil"/>
            </w:tcBorders>
            <w:shd w:val="clear" w:color="auto" w:fill="auto"/>
            <w:noWrap/>
            <w:vAlign w:val="bottom"/>
            <w:hideMark/>
          </w:tcPr>
          <w:p w14:paraId="0216536D"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theme="minorHAnsi"/>
                <w:sz w:val="20"/>
              </w:rPr>
            </w:pPr>
          </w:p>
        </w:tc>
        <w:tc>
          <w:tcPr>
            <w:tcW w:w="7752" w:type="dxa"/>
            <w:tcBorders>
              <w:top w:val="nil"/>
              <w:left w:val="nil"/>
              <w:bottom w:val="nil"/>
              <w:right w:val="nil"/>
            </w:tcBorders>
            <w:shd w:val="clear" w:color="auto" w:fill="auto"/>
            <w:noWrap/>
            <w:vAlign w:val="bottom"/>
            <w:hideMark/>
          </w:tcPr>
          <w:p w14:paraId="2D8B1F84"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theme="minorHAnsi"/>
                <w:sz w:val="20"/>
              </w:rPr>
            </w:pPr>
            <w:r w:rsidRPr="00732DCC">
              <w:rPr>
                <w:rFonts w:eastAsia="Times New Roman" w:cstheme="minorHAnsi"/>
                <w:sz w:val="20"/>
              </w:rPr>
              <w:t xml:space="preserve"> - </w:t>
            </w:r>
            <w:r w:rsidRPr="00732DCC">
              <w:rPr>
                <w:rFonts w:cstheme="minorHAnsi"/>
                <w:sz w:val="20"/>
              </w:rPr>
              <w:t>共同支出</w:t>
            </w:r>
          </w:p>
        </w:tc>
        <w:tc>
          <w:tcPr>
            <w:tcW w:w="1733" w:type="dxa"/>
            <w:tcBorders>
              <w:top w:val="nil"/>
              <w:left w:val="nil"/>
              <w:bottom w:val="nil"/>
              <w:right w:val="nil"/>
            </w:tcBorders>
            <w:shd w:val="clear" w:color="auto" w:fill="auto"/>
            <w:noWrap/>
            <w:vAlign w:val="bottom"/>
            <w:hideMark/>
          </w:tcPr>
          <w:p w14:paraId="4D44D728"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B7955">
              <w:rPr>
                <w:rFonts w:eastAsia="Times New Roman" w:cs="Calibri"/>
                <w:sz w:val="20"/>
              </w:rPr>
              <w:t>300</w:t>
            </w:r>
          </w:p>
        </w:tc>
        <w:tc>
          <w:tcPr>
            <w:tcW w:w="2009" w:type="dxa"/>
            <w:tcBorders>
              <w:top w:val="nil"/>
              <w:left w:val="nil"/>
              <w:bottom w:val="nil"/>
              <w:right w:val="nil"/>
            </w:tcBorders>
            <w:shd w:val="clear" w:color="auto" w:fill="auto"/>
            <w:noWrap/>
            <w:vAlign w:val="bottom"/>
            <w:hideMark/>
          </w:tcPr>
          <w:p w14:paraId="64FEFFF5"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B7955">
              <w:rPr>
                <w:rFonts w:eastAsia="Times New Roman" w:cs="Calibri"/>
                <w:sz w:val="20"/>
              </w:rPr>
              <w:t>300</w:t>
            </w:r>
          </w:p>
        </w:tc>
        <w:tc>
          <w:tcPr>
            <w:tcW w:w="1734" w:type="dxa"/>
            <w:tcBorders>
              <w:top w:val="nil"/>
              <w:left w:val="nil"/>
              <w:bottom w:val="nil"/>
              <w:right w:val="nil"/>
            </w:tcBorders>
            <w:shd w:val="clear" w:color="auto" w:fill="auto"/>
            <w:noWrap/>
            <w:vAlign w:val="bottom"/>
            <w:hideMark/>
          </w:tcPr>
          <w:p w14:paraId="25AE3F75"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B7955">
              <w:rPr>
                <w:rFonts w:eastAsia="Times New Roman" w:cs="Calibri"/>
                <w:sz w:val="20"/>
              </w:rPr>
              <w:t>600</w:t>
            </w:r>
          </w:p>
        </w:tc>
      </w:tr>
      <w:tr w:rsidR="00C130FE" w:rsidRPr="00EB7955" w14:paraId="29B7C935" w14:textId="77777777" w:rsidTr="002F7131">
        <w:trPr>
          <w:trHeight w:val="228"/>
          <w:jc w:val="center"/>
        </w:trPr>
        <w:tc>
          <w:tcPr>
            <w:tcW w:w="1816" w:type="dxa"/>
            <w:tcBorders>
              <w:top w:val="nil"/>
              <w:left w:val="nil"/>
              <w:bottom w:val="single" w:sz="4" w:space="0" w:color="auto"/>
              <w:right w:val="nil"/>
            </w:tcBorders>
            <w:shd w:val="clear" w:color="auto" w:fill="auto"/>
            <w:noWrap/>
            <w:vAlign w:val="bottom"/>
            <w:hideMark/>
          </w:tcPr>
          <w:p w14:paraId="32ABD686"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theme="minorHAnsi"/>
                <w:sz w:val="20"/>
              </w:rPr>
            </w:pPr>
            <w:r w:rsidRPr="00732DCC">
              <w:rPr>
                <w:rFonts w:eastAsia="Times New Roman" w:cstheme="minorHAnsi"/>
                <w:sz w:val="20"/>
              </w:rPr>
              <w:t> </w:t>
            </w:r>
          </w:p>
        </w:tc>
        <w:tc>
          <w:tcPr>
            <w:tcW w:w="7752" w:type="dxa"/>
            <w:tcBorders>
              <w:top w:val="nil"/>
              <w:left w:val="nil"/>
              <w:bottom w:val="single" w:sz="4" w:space="0" w:color="auto"/>
              <w:right w:val="nil"/>
            </w:tcBorders>
            <w:shd w:val="clear" w:color="auto" w:fill="auto"/>
            <w:noWrap/>
            <w:vAlign w:val="bottom"/>
            <w:hideMark/>
          </w:tcPr>
          <w:p w14:paraId="05518E40"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theme="minorHAnsi"/>
                <w:sz w:val="20"/>
              </w:rPr>
            </w:pPr>
            <w:r w:rsidRPr="00732DCC">
              <w:rPr>
                <w:rFonts w:eastAsia="Times New Roman" w:cstheme="minorHAnsi"/>
                <w:sz w:val="20"/>
              </w:rPr>
              <w:t> </w:t>
            </w:r>
          </w:p>
        </w:tc>
        <w:tc>
          <w:tcPr>
            <w:tcW w:w="1733" w:type="dxa"/>
            <w:tcBorders>
              <w:top w:val="nil"/>
              <w:left w:val="nil"/>
              <w:bottom w:val="single" w:sz="4" w:space="0" w:color="auto"/>
              <w:right w:val="nil"/>
            </w:tcBorders>
            <w:shd w:val="clear" w:color="auto" w:fill="auto"/>
            <w:noWrap/>
            <w:vAlign w:val="bottom"/>
            <w:hideMark/>
          </w:tcPr>
          <w:p w14:paraId="24CAF03D"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B7955">
              <w:rPr>
                <w:rFonts w:eastAsia="Times New Roman" w:cs="Calibri"/>
                <w:sz w:val="20"/>
              </w:rPr>
              <w:t> </w:t>
            </w:r>
          </w:p>
        </w:tc>
        <w:tc>
          <w:tcPr>
            <w:tcW w:w="2009" w:type="dxa"/>
            <w:tcBorders>
              <w:top w:val="nil"/>
              <w:left w:val="nil"/>
              <w:bottom w:val="single" w:sz="4" w:space="0" w:color="auto"/>
              <w:right w:val="nil"/>
            </w:tcBorders>
            <w:shd w:val="clear" w:color="auto" w:fill="auto"/>
            <w:noWrap/>
            <w:vAlign w:val="bottom"/>
            <w:hideMark/>
          </w:tcPr>
          <w:p w14:paraId="186F1679"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B7955">
              <w:rPr>
                <w:rFonts w:eastAsia="Times New Roman" w:cs="Calibri"/>
                <w:sz w:val="20"/>
              </w:rPr>
              <w:t> </w:t>
            </w:r>
          </w:p>
        </w:tc>
        <w:tc>
          <w:tcPr>
            <w:tcW w:w="1734" w:type="dxa"/>
            <w:tcBorders>
              <w:top w:val="nil"/>
              <w:left w:val="nil"/>
              <w:bottom w:val="single" w:sz="4" w:space="0" w:color="auto"/>
              <w:right w:val="nil"/>
            </w:tcBorders>
            <w:shd w:val="clear" w:color="auto" w:fill="auto"/>
            <w:noWrap/>
            <w:vAlign w:val="bottom"/>
            <w:hideMark/>
          </w:tcPr>
          <w:p w14:paraId="78BDF047"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B7955">
              <w:rPr>
                <w:rFonts w:eastAsia="Times New Roman" w:cs="Calibri"/>
                <w:sz w:val="20"/>
              </w:rPr>
              <w:t> </w:t>
            </w:r>
          </w:p>
        </w:tc>
      </w:tr>
      <w:tr w:rsidR="00C130FE" w:rsidRPr="00EB7955" w14:paraId="6D8182B3" w14:textId="77777777" w:rsidTr="002F7131">
        <w:trPr>
          <w:trHeight w:val="137"/>
          <w:jc w:val="center"/>
        </w:trPr>
        <w:tc>
          <w:tcPr>
            <w:tcW w:w="1816" w:type="dxa"/>
            <w:tcBorders>
              <w:top w:val="nil"/>
              <w:left w:val="nil"/>
              <w:bottom w:val="nil"/>
              <w:right w:val="nil"/>
            </w:tcBorders>
            <w:shd w:val="clear" w:color="auto" w:fill="auto"/>
            <w:noWrap/>
            <w:vAlign w:val="bottom"/>
            <w:hideMark/>
          </w:tcPr>
          <w:p w14:paraId="0AAEC203"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theme="minorHAnsi"/>
                <w:sz w:val="20"/>
              </w:rPr>
            </w:pPr>
          </w:p>
        </w:tc>
        <w:tc>
          <w:tcPr>
            <w:tcW w:w="7752" w:type="dxa"/>
            <w:tcBorders>
              <w:top w:val="nil"/>
              <w:left w:val="nil"/>
              <w:bottom w:val="nil"/>
              <w:right w:val="nil"/>
            </w:tcBorders>
            <w:shd w:val="clear" w:color="auto" w:fill="auto"/>
            <w:noWrap/>
            <w:vAlign w:val="bottom"/>
            <w:hideMark/>
          </w:tcPr>
          <w:p w14:paraId="6D5592B4"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theme="minorHAnsi"/>
                <w:sz w:val="20"/>
              </w:rPr>
            </w:pPr>
          </w:p>
        </w:tc>
        <w:tc>
          <w:tcPr>
            <w:tcW w:w="1733" w:type="dxa"/>
            <w:tcBorders>
              <w:top w:val="nil"/>
              <w:left w:val="nil"/>
              <w:bottom w:val="nil"/>
              <w:right w:val="nil"/>
            </w:tcBorders>
            <w:shd w:val="clear" w:color="auto" w:fill="auto"/>
            <w:noWrap/>
            <w:vAlign w:val="bottom"/>
            <w:hideMark/>
          </w:tcPr>
          <w:p w14:paraId="06E9E447"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2009" w:type="dxa"/>
            <w:tcBorders>
              <w:top w:val="nil"/>
              <w:left w:val="nil"/>
              <w:bottom w:val="nil"/>
              <w:right w:val="nil"/>
            </w:tcBorders>
            <w:shd w:val="clear" w:color="auto" w:fill="auto"/>
            <w:noWrap/>
            <w:vAlign w:val="bottom"/>
            <w:hideMark/>
          </w:tcPr>
          <w:p w14:paraId="55E72606"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734" w:type="dxa"/>
            <w:tcBorders>
              <w:top w:val="nil"/>
              <w:left w:val="nil"/>
              <w:bottom w:val="nil"/>
              <w:right w:val="nil"/>
            </w:tcBorders>
            <w:shd w:val="clear" w:color="auto" w:fill="auto"/>
            <w:noWrap/>
            <w:vAlign w:val="bottom"/>
            <w:hideMark/>
          </w:tcPr>
          <w:p w14:paraId="1FAA90CB"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EB7955" w14:paraId="2753DF7E" w14:textId="77777777" w:rsidTr="002F7131">
        <w:trPr>
          <w:trHeight w:val="289"/>
          <w:jc w:val="center"/>
        </w:trPr>
        <w:tc>
          <w:tcPr>
            <w:tcW w:w="1816" w:type="dxa"/>
            <w:tcBorders>
              <w:top w:val="nil"/>
              <w:left w:val="nil"/>
              <w:bottom w:val="nil"/>
              <w:right w:val="nil"/>
            </w:tcBorders>
            <w:shd w:val="clear" w:color="auto" w:fill="auto"/>
            <w:noWrap/>
            <w:vAlign w:val="bottom"/>
            <w:hideMark/>
          </w:tcPr>
          <w:p w14:paraId="1C800DC2" w14:textId="77777777" w:rsidR="00C130FE" w:rsidRPr="00A8767C"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A8767C">
              <w:rPr>
                <w:rFonts w:cstheme="minorHAnsi"/>
                <w:b/>
                <w:bCs/>
                <w:sz w:val="20"/>
              </w:rPr>
              <w:t>合计</w:t>
            </w:r>
          </w:p>
        </w:tc>
        <w:tc>
          <w:tcPr>
            <w:tcW w:w="7752" w:type="dxa"/>
            <w:tcBorders>
              <w:top w:val="nil"/>
              <w:left w:val="nil"/>
              <w:bottom w:val="nil"/>
              <w:right w:val="nil"/>
            </w:tcBorders>
            <w:shd w:val="clear" w:color="auto" w:fill="auto"/>
            <w:noWrap/>
            <w:vAlign w:val="bottom"/>
            <w:hideMark/>
          </w:tcPr>
          <w:p w14:paraId="779C8159"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theme="minorHAnsi"/>
                <w:b/>
                <w:bCs/>
                <w:sz w:val="20"/>
              </w:rPr>
            </w:pPr>
          </w:p>
        </w:tc>
        <w:tc>
          <w:tcPr>
            <w:tcW w:w="1733" w:type="dxa"/>
            <w:tcBorders>
              <w:top w:val="nil"/>
              <w:left w:val="nil"/>
              <w:bottom w:val="nil"/>
              <w:right w:val="nil"/>
            </w:tcBorders>
            <w:shd w:val="clear" w:color="auto" w:fill="auto"/>
            <w:noWrap/>
            <w:vAlign w:val="bottom"/>
            <w:hideMark/>
          </w:tcPr>
          <w:p w14:paraId="4A1B242C"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B7955">
              <w:rPr>
                <w:rFonts w:eastAsia="Times New Roman" w:cs="Calibri"/>
                <w:b/>
                <w:bCs/>
                <w:sz w:val="20"/>
              </w:rPr>
              <w:t>560</w:t>
            </w:r>
          </w:p>
        </w:tc>
        <w:tc>
          <w:tcPr>
            <w:tcW w:w="2009" w:type="dxa"/>
            <w:tcBorders>
              <w:top w:val="nil"/>
              <w:left w:val="nil"/>
              <w:bottom w:val="nil"/>
              <w:right w:val="nil"/>
            </w:tcBorders>
            <w:shd w:val="clear" w:color="auto" w:fill="auto"/>
            <w:noWrap/>
            <w:vAlign w:val="bottom"/>
            <w:hideMark/>
          </w:tcPr>
          <w:p w14:paraId="0E479B1B"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B7955">
              <w:rPr>
                <w:rFonts w:eastAsia="Times New Roman" w:cs="Calibri"/>
                <w:b/>
                <w:bCs/>
                <w:sz w:val="20"/>
              </w:rPr>
              <w:t>560</w:t>
            </w:r>
          </w:p>
        </w:tc>
        <w:tc>
          <w:tcPr>
            <w:tcW w:w="1734" w:type="dxa"/>
            <w:tcBorders>
              <w:top w:val="nil"/>
              <w:left w:val="nil"/>
              <w:bottom w:val="nil"/>
              <w:right w:val="nil"/>
            </w:tcBorders>
            <w:shd w:val="clear" w:color="auto" w:fill="auto"/>
            <w:noWrap/>
            <w:vAlign w:val="bottom"/>
            <w:hideMark/>
          </w:tcPr>
          <w:p w14:paraId="6C161C98"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B7955">
              <w:rPr>
                <w:rFonts w:eastAsia="Times New Roman" w:cs="Calibri"/>
                <w:b/>
                <w:bCs/>
                <w:sz w:val="20"/>
              </w:rPr>
              <w:t>1,120</w:t>
            </w:r>
          </w:p>
        </w:tc>
      </w:tr>
    </w:tbl>
    <w:p w14:paraId="024ACF7F" w14:textId="189EF23F" w:rsidR="00C130FE" w:rsidRDefault="00C130F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tbl>
      <w:tblPr>
        <w:tblW w:w="8914" w:type="dxa"/>
        <w:jc w:val="center"/>
        <w:tblLook w:val="04A0" w:firstRow="1" w:lastRow="0" w:firstColumn="1" w:lastColumn="0" w:noHBand="0" w:noVBand="1"/>
      </w:tblPr>
      <w:tblGrid>
        <w:gridCol w:w="4685"/>
        <w:gridCol w:w="1339"/>
        <w:gridCol w:w="1552"/>
        <w:gridCol w:w="1338"/>
      </w:tblGrid>
      <w:tr w:rsidR="00C130FE" w:rsidRPr="00A41978" w14:paraId="36C861FB" w14:textId="77777777" w:rsidTr="002F7131">
        <w:trPr>
          <w:trHeight w:val="516"/>
          <w:jc w:val="center"/>
        </w:trPr>
        <w:tc>
          <w:tcPr>
            <w:tcW w:w="4685" w:type="dxa"/>
            <w:tcBorders>
              <w:top w:val="nil"/>
              <w:left w:val="nil"/>
              <w:bottom w:val="nil"/>
              <w:right w:val="nil"/>
            </w:tcBorders>
            <w:shd w:val="clear" w:color="auto" w:fill="auto"/>
            <w:noWrap/>
            <w:vAlign w:val="center"/>
            <w:hideMark/>
          </w:tcPr>
          <w:p w14:paraId="506518DF" w14:textId="77777777" w:rsidR="00C130FE" w:rsidRPr="00A41978"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A41978">
              <w:rPr>
                <w:rFonts w:ascii="SimSun" w:hAnsi="SimSun" w:cs="Calibri" w:hint="eastAsia"/>
                <w:b/>
                <w:bCs/>
                <w:color w:val="002060"/>
                <w:sz w:val="40"/>
                <w:szCs w:val="40"/>
              </w:rPr>
              <w:lastRenderedPageBreak/>
              <w:t>表</w:t>
            </w:r>
            <w:r w:rsidRPr="00A41978">
              <w:rPr>
                <w:rFonts w:eastAsia="Times New Roman" w:cs="Calibri"/>
                <w:b/>
                <w:bCs/>
                <w:color w:val="002060"/>
                <w:sz w:val="40"/>
                <w:szCs w:val="40"/>
              </w:rPr>
              <w:t>13</w:t>
            </w:r>
          </w:p>
        </w:tc>
        <w:tc>
          <w:tcPr>
            <w:tcW w:w="1338" w:type="dxa"/>
            <w:tcBorders>
              <w:top w:val="nil"/>
              <w:left w:val="nil"/>
              <w:bottom w:val="nil"/>
              <w:right w:val="nil"/>
            </w:tcBorders>
            <w:shd w:val="clear" w:color="auto" w:fill="auto"/>
            <w:noWrap/>
            <w:vAlign w:val="center"/>
            <w:hideMark/>
          </w:tcPr>
          <w:p w14:paraId="51780AF0" w14:textId="77777777" w:rsidR="00C130FE" w:rsidRPr="00A41978"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1552" w:type="dxa"/>
            <w:tcBorders>
              <w:top w:val="nil"/>
              <w:left w:val="nil"/>
              <w:bottom w:val="nil"/>
              <w:right w:val="nil"/>
            </w:tcBorders>
            <w:shd w:val="clear" w:color="auto" w:fill="auto"/>
            <w:noWrap/>
            <w:vAlign w:val="center"/>
            <w:hideMark/>
          </w:tcPr>
          <w:p w14:paraId="0548708F" w14:textId="77777777" w:rsidR="00C130FE" w:rsidRPr="00A41978"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38" w:type="dxa"/>
            <w:tcBorders>
              <w:top w:val="nil"/>
              <w:left w:val="nil"/>
              <w:bottom w:val="nil"/>
              <w:right w:val="nil"/>
            </w:tcBorders>
            <w:shd w:val="clear" w:color="auto" w:fill="auto"/>
            <w:noWrap/>
            <w:vAlign w:val="center"/>
            <w:hideMark/>
          </w:tcPr>
          <w:p w14:paraId="4712C97C" w14:textId="77777777" w:rsidR="00C130FE" w:rsidRPr="00A41978"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C130FE" w:rsidRPr="00A41978" w14:paraId="06522ED6" w14:textId="77777777" w:rsidTr="002F7131">
        <w:trPr>
          <w:trHeight w:val="449"/>
          <w:jc w:val="center"/>
        </w:trPr>
        <w:tc>
          <w:tcPr>
            <w:tcW w:w="6024" w:type="dxa"/>
            <w:gridSpan w:val="2"/>
            <w:tcBorders>
              <w:top w:val="nil"/>
              <w:left w:val="nil"/>
              <w:bottom w:val="nil"/>
              <w:right w:val="nil"/>
            </w:tcBorders>
            <w:shd w:val="clear" w:color="auto" w:fill="auto"/>
            <w:noWrap/>
            <w:vAlign w:val="center"/>
            <w:hideMark/>
          </w:tcPr>
          <w:p w14:paraId="40639C0C" w14:textId="77777777" w:rsidR="00C130FE" w:rsidRPr="00A924BF" w:rsidRDefault="00C130FE" w:rsidP="002F7131">
            <w:pPr>
              <w:tabs>
                <w:tab w:val="clear" w:pos="794"/>
                <w:tab w:val="clear" w:pos="1191"/>
                <w:tab w:val="clear" w:pos="1588"/>
                <w:tab w:val="clear" w:pos="1985"/>
              </w:tabs>
              <w:overflowPunct/>
              <w:autoSpaceDE/>
              <w:autoSpaceDN/>
              <w:adjustRightInd/>
              <w:spacing w:before="0"/>
              <w:textAlignment w:val="auto"/>
              <w:rPr>
                <w:rFonts w:eastAsia="STKaiti" w:cstheme="minorHAnsi"/>
                <w:b/>
                <w:bCs/>
                <w:color w:val="002060"/>
                <w:sz w:val="28"/>
                <w:szCs w:val="28"/>
              </w:rPr>
            </w:pPr>
            <w:r w:rsidRPr="00A924BF">
              <w:rPr>
                <w:rFonts w:eastAsia="STKaiti" w:cstheme="minorHAnsi"/>
                <w:b/>
                <w:bCs/>
                <w:color w:val="002060"/>
                <w:sz w:val="28"/>
                <w:szCs w:val="28"/>
              </w:rPr>
              <w:t>COVID-19</w:t>
            </w:r>
            <w:r w:rsidRPr="00A924BF">
              <w:rPr>
                <w:rFonts w:eastAsia="STKaiti" w:cstheme="minorHAnsi"/>
                <w:b/>
                <w:bCs/>
                <w:color w:val="002060"/>
                <w:sz w:val="28"/>
                <w:szCs w:val="28"/>
              </w:rPr>
              <w:t>危机管理</w:t>
            </w:r>
            <w:r w:rsidRPr="00A924BF">
              <w:rPr>
                <w:rFonts w:eastAsia="STKaiti" w:cstheme="minorHAnsi"/>
                <w:b/>
                <w:bCs/>
                <w:color w:val="002060"/>
                <w:sz w:val="28"/>
                <w:szCs w:val="28"/>
              </w:rPr>
              <w:t>2022-2023</w:t>
            </w:r>
            <w:r w:rsidRPr="00A924BF">
              <w:rPr>
                <w:rFonts w:eastAsia="STKaiti" w:cstheme="minorHAnsi"/>
                <w:b/>
                <w:bCs/>
                <w:color w:val="002060"/>
                <w:sz w:val="28"/>
                <w:szCs w:val="28"/>
              </w:rPr>
              <w:t>年</w:t>
            </w:r>
          </w:p>
        </w:tc>
        <w:tc>
          <w:tcPr>
            <w:tcW w:w="1552" w:type="dxa"/>
            <w:tcBorders>
              <w:top w:val="nil"/>
              <w:left w:val="nil"/>
              <w:bottom w:val="nil"/>
              <w:right w:val="nil"/>
            </w:tcBorders>
            <w:shd w:val="clear" w:color="auto" w:fill="auto"/>
            <w:noWrap/>
            <w:vAlign w:val="center"/>
            <w:hideMark/>
          </w:tcPr>
          <w:p w14:paraId="4866453C" w14:textId="77777777" w:rsidR="00C130FE" w:rsidRPr="00A41978"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color w:val="002060"/>
                <w:sz w:val="28"/>
                <w:szCs w:val="28"/>
              </w:rPr>
            </w:pPr>
          </w:p>
        </w:tc>
        <w:tc>
          <w:tcPr>
            <w:tcW w:w="1338" w:type="dxa"/>
            <w:tcBorders>
              <w:top w:val="nil"/>
              <w:left w:val="nil"/>
              <w:bottom w:val="nil"/>
              <w:right w:val="nil"/>
            </w:tcBorders>
            <w:shd w:val="clear" w:color="auto" w:fill="auto"/>
            <w:noWrap/>
            <w:vAlign w:val="center"/>
            <w:hideMark/>
          </w:tcPr>
          <w:p w14:paraId="167AF693" w14:textId="77777777" w:rsidR="00C130FE" w:rsidRPr="00A41978"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C130FE" w:rsidRPr="00A41978" w14:paraId="6D024B67" w14:textId="77777777" w:rsidTr="002F7131">
        <w:trPr>
          <w:trHeight w:val="449"/>
          <w:jc w:val="center"/>
        </w:trPr>
        <w:tc>
          <w:tcPr>
            <w:tcW w:w="4685" w:type="dxa"/>
            <w:tcBorders>
              <w:top w:val="nil"/>
              <w:left w:val="nil"/>
              <w:bottom w:val="nil"/>
              <w:right w:val="nil"/>
            </w:tcBorders>
            <w:shd w:val="clear" w:color="auto" w:fill="auto"/>
            <w:noWrap/>
            <w:vAlign w:val="center"/>
            <w:hideMark/>
          </w:tcPr>
          <w:p w14:paraId="19DB7B85" w14:textId="77777777" w:rsidR="00C130FE" w:rsidRPr="00A41978"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color w:val="002060"/>
                <w:szCs w:val="24"/>
                <w:lang w:eastAsia="zh-CN"/>
              </w:rPr>
            </w:pPr>
            <w:r w:rsidRPr="00EB7955">
              <w:rPr>
                <w:rFonts w:ascii="STKaiti" w:eastAsia="STKaiti" w:hAnsi="STKaiti" w:hint="eastAsia"/>
                <w:b/>
                <w:bCs/>
                <w:color w:val="002060"/>
                <w:szCs w:val="24"/>
                <w:lang w:eastAsia="zh-CN"/>
              </w:rPr>
              <w:t>按</w:t>
            </w:r>
            <w:r>
              <w:rPr>
                <w:rFonts w:ascii="STKaiti" w:eastAsia="STKaiti" w:hAnsi="STKaiti" w:hint="eastAsia"/>
                <w:b/>
                <w:bCs/>
                <w:color w:val="002060"/>
                <w:szCs w:val="24"/>
                <w:lang w:eastAsia="zh-CN"/>
              </w:rPr>
              <w:t>支出类别</w:t>
            </w:r>
            <w:r w:rsidRPr="00EB7955">
              <w:rPr>
                <w:rFonts w:ascii="STKaiti" w:eastAsia="STKaiti" w:hAnsi="STKaiti" w:hint="eastAsia"/>
                <w:b/>
                <w:bCs/>
                <w:color w:val="002060"/>
                <w:szCs w:val="24"/>
                <w:lang w:eastAsia="zh-CN"/>
              </w:rPr>
              <w:t>列出的计划支出</w:t>
            </w:r>
          </w:p>
        </w:tc>
        <w:tc>
          <w:tcPr>
            <w:tcW w:w="4229" w:type="dxa"/>
            <w:gridSpan w:val="3"/>
            <w:tcBorders>
              <w:top w:val="nil"/>
              <w:left w:val="nil"/>
              <w:bottom w:val="nil"/>
              <w:right w:val="nil"/>
            </w:tcBorders>
            <w:shd w:val="clear" w:color="auto" w:fill="auto"/>
            <w:noWrap/>
            <w:vAlign w:val="center"/>
            <w:hideMark/>
          </w:tcPr>
          <w:p w14:paraId="141E6480"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A41978">
              <w:rPr>
                <w:rFonts w:ascii="STKaiti" w:eastAsia="STKaiti" w:hAnsi="STKaiti" w:hint="eastAsia"/>
                <w:color w:val="002060"/>
                <w:sz w:val="18"/>
                <w:szCs w:val="18"/>
              </w:rPr>
              <w:t>单位：千瑞郎</w:t>
            </w:r>
          </w:p>
        </w:tc>
      </w:tr>
      <w:tr w:rsidR="00C130FE" w:rsidRPr="00A41978" w14:paraId="60F619D5" w14:textId="77777777" w:rsidTr="002F7131">
        <w:trPr>
          <w:trHeight w:val="266"/>
          <w:jc w:val="center"/>
        </w:trPr>
        <w:tc>
          <w:tcPr>
            <w:tcW w:w="4685" w:type="dxa"/>
            <w:tcBorders>
              <w:top w:val="nil"/>
              <w:left w:val="nil"/>
              <w:bottom w:val="nil"/>
              <w:right w:val="nil"/>
            </w:tcBorders>
            <w:shd w:val="clear" w:color="auto" w:fill="auto"/>
            <w:noWrap/>
            <w:vAlign w:val="center"/>
            <w:hideMark/>
          </w:tcPr>
          <w:p w14:paraId="0C13A482"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338" w:type="dxa"/>
            <w:tcBorders>
              <w:top w:val="nil"/>
              <w:left w:val="nil"/>
              <w:bottom w:val="nil"/>
              <w:right w:val="nil"/>
            </w:tcBorders>
            <w:shd w:val="clear" w:color="auto" w:fill="auto"/>
            <w:noWrap/>
            <w:vAlign w:val="center"/>
            <w:hideMark/>
          </w:tcPr>
          <w:p w14:paraId="689ACCE4" w14:textId="77777777" w:rsidR="00C130FE" w:rsidRPr="00A41978"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52" w:type="dxa"/>
            <w:tcBorders>
              <w:top w:val="nil"/>
              <w:left w:val="nil"/>
              <w:bottom w:val="nil"/>
              <w:right w:val="nil"/>
            </w:tcBorders>
            <w:shd w:val="clear" w:color="auto" w:fill="auto"/>
            <w:noWrap/>
            <w:vAlign w:val="bottom"/>
            <w:hideMark/>
          </w:tcPr>
          <w:p w14:paraId="15B3337A" w14:textId="77777777" w:rsidR="00C130FE" w:rsidRPr="00A41978" w:rsidRDefault="00C130F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p w14:paraId="16CA9156" w14:textId="77777777" w:rsidR="00C130FE" w:rsidRPr="00A41978" w:rsidRDefault="00C130F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tc>
        <w:tc>
          <w:tcPr>
            <w:tcW w:w="1338" w:type="dxa"/>
            <w:tcBorders>
              <w:top w:val="nil"/>
              <w:left w:val="nil"/>
              <w:bottom w:val="nil"/>
              <w:right w:val="nil"/>
            </w:tcBorders>
            <w:shd w:val="clear" w:color="auto" w:fill="auto"/>
            <w:noWrap/>
            <w:vAlign w:val="center"/>
            <w:hideMark/>
          </w:tcPr>
          <w:p w14:paraId="743644B0" w14:textId="59D50A0B" w:rsidR="00C130FE" w:rsidRPr="00A41978"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C130FE" w:rsidRPr="00A41978" w14:paraId="316BBE98" w14:textId="77777777" w:rsidTr="002F7131">
        <w:trPr>
          <w:trHeight w:val="283"/>
          <w:jc w:val="center"/>
        </w:trPr>
        <w:tc>
          <w:tcPr>
            <w:tcW w:w="4685" w:type="dxa"/>
            <w:tcBorders>
              <w:top w:val="nil"/>
              <w:left w:val="nil"/>
              <w:bottom w:val="nil"/>
              <w:right w:val="nil"/>
            </w:tcBorders>
            <w:shd w:val="clear" w:color="auto" w:fill="auto"/>
            <w:noWrap/>
            <w:vAlign w:val="center"/>
            <w:hideMark/>
          </w:tcPr>
          <w:p w14:paraId="5C49F0FF" w14:textId="77777777" w:rsidR="00C130FE" w:rsidRPr="00A41978"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38" w:type="dxa"/>
            <w:tcBorders>
              <w:top w:val="nil"/>
              <w:left w:val="nil"/>
              <w:bottom w:val="nil"/>
              <w:right w:val="nil"/>
            </w:tcBorders>
            <w:shd w:val="clear" w:color="auto" w:fill="auto"/>
            <w:noWrap/>
            <w:vAlign w:val="center"/>
            <w:hideMark/>
          </w:tcPr>
          <w:p w14:paraId="1BAF40B4" w14:textId="77777777" w:rsidR="00C130FE" w:rsidRPr="00A41978"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52" w:type="dxa"/>
            <w:tcBorders>
              <w:top w:val="nil"/>
              <w:left w:val="nil"/>
              <w:bottom w:val="nil"/>
              <w:right w:val="nil"/>
            </w:tcBorders>
            <w:shd w:val="clear" w:color="auto" w:fill="auto"/>
            <w:noWrap/>
            <w:vAlign w:val="center"/>
            <w:hideMark/>
          </w:tcPr>
          <w:p w14:paraId="2D51F99B"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338" w:type="dxa"/>
            <w:tcBorders>
              <w:top w:val="nil"/>
              <w:left w:val="nil"/>
              <w:bottom w:val="nil"/>
              <w:right w:val="nil"/>
            </w:tcBorders>
            <w:shd w:val="clear" w:color="auto" w:fill="auto"/>
            <w:noWrap/>
            <w:vAlign w:val="center"/>
            <w:hideMark/>
          </w:tcPr>
          <w:p w14:paraId="3CE17C56" w14:textId="1750032B" w:rsidR="00C130FE" w:rsidRPr="00A41978"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Pr>
                <w:rFonts w:ascii="SimSun" w:hAnsi="SimSun" w:cs="SimSun" w:hint="eastAsia"/>
                <w:b/>
                <w:bCs/>
                <w:color w:val="002060"/>
                <w:sz w:val="20"/>
              </w:rPr>
              <w:t>合计</w:t>
            </w:r>
          </w:p>
        </w:tc>
      </w:tr>
      <w:tr w:rsidR="00C130FE" w:rsidRPr="00A41978" w14:paraId="2F29F29F" w14:textId="77777777" w:rsidTr="002F7131">
        <w:trPr>
          <w:trHeight w:val="283"/>
          <w:jc w:val="center"/>
        </w:trPr>
        <w:tc>
          <w:tcPr>
            <w:tcW w:w="4685" w:type="dxa"/>
            <w:tcBorders>
              <w:top w:val="nil"/>
              <w:left w:val="nil"/>
              <w:bottom w:val="single" w:sz="4" w:space="0" w:color="auto"/>
              <w:right w:val="nil"/>
            </w:tcBorders>
            <w:shd w:val="clear" w:color="auto" w:fill="auto"/>
            <w:noWrap/>
            <w:vAlign w:val="center"/>
            <w:hideMark/>
          </w:tcPr>
          <w:p w14:paraId="0D7B8E69"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A41978">
              <w:rPr>
                <w:rFonts w:eastAsia="Times New Roman" w:cs="Calibri"/>
                <w:b/>
                <w:bCs/>
                <w:sz w:val="20"/>
              </w:rPr>
              <w:t> </w:t>
            </w:r>
          </w:p>
        </w:tc>
        <w:tc>
          <w:tcPr>
            <w:tcW w:w="1338" w:type="dxa"/>
            <w:tcBorders>
              <w:top w:val="nil"/>
              <w:left w:val="nil"/>
              <w:bottom w:val="single" w:sz="4" w:space="0" w:color="auto"/>
              <w:right w:val="nil"/>
            </w:tcBorders>
            <w:shd w:val="clear" w:color="auto" w:fill="auto"/>
            <w:vAlign w:val="center"/>
            <w:hideMark/>
          </w:tcPr>
          <w:p w14:paraId="581306AB"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A41978">
              <w:rPr>
                <w:rFonts w:eastAsia="Times New Roman" w:cs="Calibri"/>
                <w:b/>
                <w:bCs/>
                <w:color w:val="002060"/>
                <w:sz w:val="20"/>
              </w:rPr>
              <w:t>2022</w:t>
            </w:r>
          </w:p>
        </w:tc>
        <w:tc>
          <w:tcPr>
            <w:tcW w:w="1552" w:type="dxa"/>
            <w:tcBorders>
              <w:top w:val="nil"/>
              <w:left w:val="nil"/>
              <w:bottom w:val="single" w:sz="4" w:space="0" w:color="auto"/>
              <w:right w:val="nil"/>
            </w:tcBorders>
            <w:shd w:val="clear" w:color="auto" w:fill="auto"/>
            <w:vAlign w:val="center"/>
            <w:hideMark/>
          </w:tcPr>
          <w:p w14:paraId="6CF3B49F"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A41978">
              <w:rPr>
                <w:rFonts w:eastAsia="Times New Roman" w:cs="Calibri"/>
                <w:b/>
                <w:bCs/>
                <w:color w:val="002060"/>
                <w:sz w:val="20"/>
              </w:rPr>
              <w:t>2023</w:t>
            </w:r>
          </w:p>
        </w:tc>
        <w:tc>
          <w:tcPr>
            <w:tcW w:w="1338" w:type="dxa"/>
            <w:tcBorders>
              <w:top w:val="nil"/>
              <w:left w:val="nil"/>
              <w:bottom w:val="single" w:sz="4" w:space="0" w:color="auto"/>
              <w:right w:val="nil"/>
            </w:tcBorders>
            <w:shd w:val="clear" w:color="auto" w:fill="auto"/>
            <w:vAlign w:val="center"/>
            <w:hideMark/>
          </w:tcPr>
          <w:p w14:paraId="5C65242E" w14:textId="50632E1E" w:rsidR="00C130FE" w:rsidRPr="00A41978"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A41978">
              <w:rPr>
                <w:rFonts w:eastAsia="Times New Roman" w:cs="Calibri"/>
                <w:b/>
                <w:bCs/>
                <w:color w:val="002060"/>
                <w:sz w:val="20"/>
              </w:rPr>
              <w:t>2022-2023</w:t>
            </w:r>
          </w:p>
        </w:tc>
      </w:tr>
      <w:tr w:rsidR="00C130FE" w:rsidRPr="00A41978" w14:paraId="1FCA9343" w14:textId="77777777" w:rsidTr="002F7131">
        <w:trPr>
          <w:trHeight w:val="183"/>
          <w:jc w:val="center"/>
        </w:trPr>
        <w:tc>
          <w:tcPr>
            <w:tcW w:w="4685" w:type="dxa"/>
            <w:tcBorders>
              <w:top w:val="nil"/>
              <w:left w:val="nil"/>
              <w:bottom w:val="nil"/>
              <w:right w:val="nil"/>
            </w:tcBorders>
            <w:shd w:val="clear" w:color="auto" w:fill="auto"/>
            <w:noWrap/>
            <w:vAlign w:val="center"/>
            <w:hideMark/>
          </w:tcPr>
          <w:p w14:paraId="774D858A"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38" w:type="dxa"/>
            <w:tcBorders>
              <w:top w:val="nil"/>
              <w:left w:val="nil"/>
              <w:bottom w:val="nil"/>
              <w:right w:val="nil"/>
            </w:tcBorders>
            <w:shd w:val="clear" w:color="auto" w:fill="auto"/>
            <w:noWrap/>
            <w:vAlign w:val="center"/>
            <w:hideMark/>
          </w:tcPr>
          <w:p w14:paraId="7408FFC8" w14:textId="77777777" w:rsidR="00C130FE" w:rsidRPr="00A41978"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52" w:type="dxa"/>
            <w:tcBorders>
              <w:top w:val="nil"/>
              <w:left w:val="nil"/>
              <w:bottom w:val="nil"/>
              <w:right w:val="nil"/>
            </w:tcBorders>
            <w:shd w:val="clear" w:color="auto" w:fill="auto"/>
            <w:noWrap/>
            <w:vAlign w:val="center"/>
            <w:hideMark/>
          </w:tcPr>
          <w:p w14:paraId="18499737"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38" w:type="dxa"/>
            <w:tcBorders>
              <w:top w:val="nil"/>
              <w:left w:val="nil"/>
              <w:bottom w:val="nil"/>
              <w:right w:val="nil"/>
            </w:tcBorders>
            <w:shd w:val="clear" w:color="auto" w:fill="auto"/>
            <w:noWrap/>
            <w:vAlign w:val="center"/>
            <w:hideMark/>
          </w:tcPr>
          <w:p w14:paraId="5A3AE0B0" w14:textId="75F172D1"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A41978" w14:paraId="065BB961" w14:textId="77777777" w:rsidTr="002F7131">
        <w:trPr>
          <w:trHeight w:val="221"/>
          <w:jc w:val="center"/>
        </w:trPr>
        <w:tc>
          <w:tcPr>
            <w:tcW w:w="4685" w:type="dxa"/>
            <w:tcBorders>
              <w:top w:val="nil"/>
              <w:left w:val="nil"/>
              <w:bottom w:val="nil"/>
              <w:right w:val="nil"/>
            </w:tcBorders>
            <w:shd w:val="clear" w:color="auto" w:fill="auto"/>
            <w:noWrap/>
            <w:vAlign w:val="bottom"/>
            <w:hideMark/>
          </w:tcPr>
          <w:p w14:paraId="39802438"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38" w:type="dxa"/>
            <w:tcBorders>
              <w:top w:val="nil"/>
              <w:left w:val="nil"/>
              <w:bottom w:val="nil"/>
              <w:right w:val="nil"/>
            </w:tcBorders>
            <w:shd w:val="clear" w:color="auto" w:fill="auto"/>
            <w:noWrap/>
            <w:vAlign w:val="bottom"/>
            <w:hideMark/>
          </w:tcPr>
          <w:p w14:paraId="03FA38A3" w14:textId="77777777" w:rsidR="00C130FE" w:rsidRPr="00A41978"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52" w:type="dxa"/>
            <w:tcBorders>
              <w:top w:val="nil"/>
              <w:left w:val="nil"/>
              <w:bottom w:val="nil"/>
              <w:right w:val="nil"/>
            </w:tcBorders>
            <w:shd w:val="clear" w:color="auto" w:fill="auto"/>
            <w:noWrap/>
            <w:vAlign w:val="bottom"/>
            <w:hideMark/>
          </w:tcPr>
          <w:p w14:paraId="315B72D9"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38" w:type="dxa"/>
            <w:tcBorders>
              <w:top w:val="nil"/>
              <w:left w:val="nil"/>
              <w:bottom w:val="nil"/>
              <w:right w:val="nil"/>
            </w:tcBorders>
            <w:shd w:val="clear" w:color="auto" w:fill="auto"/>
            <w:noWrap/>
            <w:vAlign w:val="bottom"/>
            <w:hideMark/>
          </w:tcPr>
          <w:p w14:paraId="1C51BA10"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A41978" w14:paraId="736902EC" w14:textId="77777777" w:rsidTr="002F7131">
        <w:trPr>
          <w:trHeight w:val="313"/>
          <w:jc w:val="center"/>
        </w:trPr>
        <w:tc>
          <w:tcPr>
            <w:tcW w:w="4685" w:type="dxa"/>
            <w:tcBorders>
              <w:top w:val="nil"/>
              <w:left w:val="nil"/>
              <w:bottom w:val="nil"/>
              <w:right w:val="nil"/>
            </w:tcBorders>
            <w:shd w:val="clear" w:color="auto" w:fill="auto"/>
            <w:noWrap/>
            <w:vAlign w:val="bottom"/>
            <w:hideMark/>
          </w:tcPr>
          <w:p w14:paraId="07E36F3F"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732DCC">
              <w:rPr>
                <w:rFonts w:cstheme="minorHAnsi"/>
                <w:sz w:val="20"/>
              </w:rPr>
              <w:t xml:space="preserve">6 - </w:t>
            </w:r>
            <w:r w:rsidRPr="00732DCC">
              <w:rPr>
                <w:rFonts w:cstheme="minorHAnsi"/>
                <w:sz w:val="20"/>
              </w:rPr>
              <w:t>材料和办公用品</w:t>
            </w:r>
          </w:p>
        </w:tc>
        <w:tc>
          <w:tcPr>
            <w:tcW w:w="1338" w:type="dxa"/>
            <w:tcBorders>
              <w:top w:val="nil"/>
              <w:left w:val="nil"/>
              <w:bottom w:val="nil"/>
              <w:right w:val="nil"/>
            </w:tcBorders>
            <w:shd w:val="clear" w:color="auto" w:fill="auto"/>
            <w:noWrap/>
            <w:vAlign w:val="bottom"/>
            <w:hideMark/>
          </w:tcPr>
          <w:p w14:paraId="3B2F6F6C"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A41978">
              <w:rPr>
                <w:rFonts w:eastAsia="Times New Roman" w:cs="Calibri"/>
                <w:sz w:val="20"/>
              </w:rPr>
              <w:t>120</w:t>
            </w:r>
          </w:p>
        </w:tc>
        <w:tc>
          <w:tcPr>
            <w:tcW w:w="1552" w:type="dxa"/>
            <w:tcBorders>
              <w:top w:val="nil"/>
              <w:left w:val="nil"/>
              <w:bottom w:val="nil"/>
              <w:right w:val="nil"/>
            </w:tcBorders>
            <w:shd w:val="clear" w:color="auto" w:fill="auto"/>
            <w:noWrap/>
            <w:vAlign w:val="bottom"/>
            <w:hideMark/>
          </w:tcPr>
          <w:p w14:paraId="25D24A2B"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A41978">
              <w:rPr>
                <w:rFonts w:eastAsia="Times New Roman" w:cs="Calibri"/>
                <w:sz w:val="20"/>
              </w:rPr>
              <w:t>120</w:t>
            </w:r>
          </w:p>
        </w:tc>
        <w:bookmarkStart w:id="67" w:name="RANGE!D11:D16"/>
        <w:tc>
          <w:tcPr>
            <w:tcW w:w="1338" w:type="dxa"/>
            <w:tcBorders>
              <w:top w:val="nil"/>
              <w:left w:val="nil"/>
              <w:bottom w:val="nil"/>
              <w:right w:val="nil"/>
            </w:tcBorders>
            <w:shd w:val="clear" w:color="auto" w:fill="auto"/>
            <w:noWrap/>
            <w:vAlign w:val="bottom"/>
            <w:hideMark/>
          </w:tcPr>
          <w:p w14:paraId="0F74157D" w14:textId="5CEF3B02" w:rsidR="00C130FE" w:rsidRPr="00A41978" w:rsidRDefault="00BB17A9"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A41978">
              <w:rPr>
                <w:rFonts w:ascii="Helv" w:eastAsia="Times New Roman" w:hAnsi="Helv"/>
                <w:noProof/>
                <w:sz w:val="20"/>
              </w:rPr>
              <mc:AlternateContent>
                <mc:Choice Requires="wps">
                  <w:drawing>
                    <wp:anchor distT="0" distB="0" distL="114300" distR="114300" simplePos="0" relativeHeight="251725824" behindDoc="0" locked="0" layoutInCell="1" allowOverlap="1" wp14:anchorId="595F622C" wp14:editId="09488BF7">
                      <wp:simplePos x="0" y="0"/>
                      <wp:positionH relativeFrom="column">
                        <wp:posOffset>-54610</wp:posOffset>
                      </wp:positionH>
                      <wp:positionV relativeFrom="paragraph">
                        <wp:posOffset>-803275</wp:posOffset>
                      </wp:positionV>
                      <wp:extent cx="914400" cy="2105025"/>
                      <wp:effectExtent l="0" t="0" r="19050" b="28575"/>
                      <wp:wrapNone/>
                      <wp:docPr id="105" name="圆角矩形 105">
                        <a:extLst xmlns:a="http://schemas.openxmlformats.org/drawingml/2006/main">
                          <a:ext uri="{FF2B5EF4-FFF2-40B4-BE49-F238E27FC236}">
                            <a16:creationId xmlns:a16="http://schemas.microsoft.com/office/drawing/2014/main" id="{75AD1D77-E59B-5243-BEE5-C13290FE27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105025"/>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1C683F97" id="圆角矩形 105" o:spid="_x0000_s1026" style="position:absolute;margin-left:-4.3pt;margin-top:-63.25pt;width:1in;height:165.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" filled="f" strokecolor="#0070c0" strokeweight="1pt"/>
                  </w:pict>
                </mc:Fallback>
              </mc:AlternateContent>
            </w:r>
            <w:r w:rsidR="00C130FE" w:rsidRPr="00A41978">
              <w:rPr>
                <w:rFonts w:eastAsia="Times New Roman" w:cs="Calibri"/>
                <w:sz w:val="20"/>
              </w:rPr>
              <w:t>240</w:t>
            </w:r>
            <w:bookmarkEnd w:id="67"/>
          </w:p>
        </w:tc>
      </w:tr>
      <w:tr w:rsidR="00C130FE" w:rsidRPr="00A41978" w14:paraId="62C5778B" w14:textId="77777777" w:rsidTr="002F7131">
        <w:trPr>
          <w:trHeight w:val="313"/>
          <w:jc w:val="center"/>
        </w:trPr>
        <w:tc>
          <w:tcPr>
            <w:tcW w:w="4685" w:type="dxa"/>
            <w:tcBorders>
              <w:top w:val="nil"/>
              <w:left w:val="nil"/>
              <w:bottom w:val="nil"/>
              <w:right w:val="nil"/>
            </w:tcBorders>
            <w:shd w:val="clear" w:color="auto" w:fill="auto"/>
            <w:noWrap/>
            <w:vAlign w:val="bottom"/>
            <w:hideMark/>
          </w:tcPr>
          <w:p w14:paraId="1EA1FF83"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732DCC">
              <w:rPr>
                <w:rFonts w:cstheme="minorHAnsi"/>
                <w:sz w:val="20"/>
                <w:lang w:eastAsia="zh-CN"/>
              </w:rPr>
              <w:t xml:space="preserve">7 - </w:t>
            </w:r>
            <w:r w:rsidRPr="00732DCC">
              <w:rPr>
                <w:rFonts w:cstheme="minorHAnsi"/>
                <w:sz w:val="20"/>
                <w:lang w:eastAsia="zh-CN"/>
              </w:rPr>
              <w:t>房屋设施、家具和设备的采购</w:t>
            </w:r>
          </w:p>
        </w:tc>
        <w:tc>
          <w:tcPr>
            <w:tcW w:w="1338" w:type="dxa"/>
            <w:tcBorders>
              <w:top w:val="nil"/>
              <w:left w:val="nil"/>
              <w:bottom w:val="nil"/>
              <w:right w:val="nil"/>
            </w:tcBorders>
            <w:shd w:val="clear" w:color="auto" w:fill="auto"/>
            <w:noWrap/>
            <w:vAlign w:val="bottom"/>
            <w:hideMark/>
          </w:tcPr>
          <w:p w14:paraId="47D40E18"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A41978">
              <w:rPr>
                <w:rFonts w:eastAsia="Times New Roman" w:cs="Calibri"/>
                <w:sz w:val="20"/>
              </w:rPr>
              <w:t>100</w:t>
            </w:r>
          </w:p>
        </w:tc>
        <w:tc>
          <w:tcPr>
            <w:tcW w:w="1552" w:type="dxa"/>
            <w:tcBorders>
              <w:top w:val="nil"/>
              <w:left w:val="nil"/>
              <w:bottom w:val="nil"/>
              <w:right w:val="nil"/>
            </w:tcBorders>
            <w:shd w:val="clear" w:color="auto" w:fill="auto"/>
            <w:noWrap/>
            <w:vAlign w:val="bottom"/>
            <w:hideMark/>
          </w:tcPr>
          <w:p w14:paraId="2D2D8FD4"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A41978">
              <w:rPr>
                <w:rFonts w:eastAsia="Times New Roman" w:cs="Calibri"/>
                <w:sz w:val="20"/>
              </w:rPr>
              <w:t>100</w:t>
            </w:r>
          </w:p>
        </w:tc>
        <w:tc>
          <w:tcPr>
            <w:tcW w:w="1338" w:type="dxa"/>
            <w:tcBorders>
              <w:top w:val="nil"/>
              <w:left w:val="nil"/>
              <w:bottom w:val="nil"/>
              <w:right w:val="nil"/>
            </w:tcBorders>
            <w:shd w:val="clear" w:color="auto" w:fill="auto"/>
            <w:noWrap/>
            <w:vAlign w:val="bottom"/>
            <w:hideMark/>
          </w:tcPr>
          <w:p w14:paraId="47F37B14"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A41978">
              <w:rPr>
                <w:rFonts w:eastAsia="Times New Roman" w:cs="Calibri"/>
                <w:sz w:val="20"/>
              </w:rPr>
              <w:t>200</w:t>
            </w:r>
          </w:p>
        </w:tc>
      </w:tr>
      <w:tr w:rsidR="00C130FE" w:rsidRPr="00A41978" w14:paraId="3B4107AE" w14:textId="77777777" w:rsidTr="002F7131">
        <w:trPr>
          <w:trHeight w:val="333"/>
          <w:jc w:val="center"/>
        </w:trPr>
        <w:tc>
          <w:tcPr>
            <w:tcW w:w="4685" w:type="dxa"/>
            <w:tcBorders>
              <w:top w:val="nil"/>
              <w:left w:val="nil"/>
              <w:bottom w:val="nil"/>
              <w:right w:val="nil"/>
            </w:tcBorders>
            <w:shd w:val="clear" w:color="auto" w:fill="auto"/>
            <w:noWrap/>
            <w:vAlign w:val="bottom"/>
            <w:hideMark/>
          </w:tcPr>
          <w:p w14:paraId="4C880210"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732DCC">
              <w:rPr>
                <w:rFonts w:cstheme="minorHAnsi"/>
                <w:sz w:val="20"/>
              </w:rPr>
              <w:t xml:space="preserve">8 - </w:t>
            </w:r>
            <w:r w:rsidRPr="00732DCC">
              <w:rPr>
                <w:rFonts w:cstheme="minorHAnsi"/>
                <w:sz w:val="20"/>
              </w:rPr>
              <w:t>公共和内部服务设施</w:t>
            </w:r>
          </w:p>
        </w:tc>
        <w:tc>
          <w:tcPr>
            <w:tcW w:w="1338" w:type="dxa"/>
            <w:tcBorders>
              <w:top w:val="nil"/>
              <w:left w:val="nil"/>
              <w:bottom w:val="nil"/>
              <w:right w:val="nil"/>
            </w:tcBorders>
            <w:shd w:val="clear" w:color="auto" w:fill="auto"/>
            <w:noWrap/>
            <w:vAlign w:val="bottom"/>
            <w:hideMark/>
          </w:tcPr>
          <w:p w14:paraId="18C3EF3D"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A41978">
              <w:rPr>
                <w:rFonts w:eastAsia="Times New Roman" w:cs="Calibri"/>
                <w:sz w:val="20"/>
              </w:rPr>
              <w:t>200</w:t>
            </w:r>
          </w:p>
        </w:tc>
        <w:tc>
          <w:tcPr>
            <w:tcW w:w="1552" w:type="dxa"/>
            <w:tcBorders>
              <w:top w:val="nil"/>
              <w:left w:val="nil"/>
              <w:bottom w:val="nil"/>
              <w:right w:val="nil"/>
            </w:tcBorders>
            <w:shd w:val="clear" w:color="auto" w:fill="auto"/>
            <w:noWrap/>
            <w:vAlign w:val="bottom"/>
            <w:hideMark/>
          </w:tcPr>
          <w:p w14:paraId="2FBDBF51"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A41978">
              <w:rPr>
                <w:rFonts w:eastAsia="Times New Roman" w:cs="Calibri"/>
                <w:sz w:val="20"/>
              </w:rPr>
              <w:t>200</w:t>
            </w:r>
          </w:p>
        </w:tc>
        <w:tc>
          <w:tcPr>
            <w:tcW w:w="1338" w:type="dxa"/>
            <w:tcBorders>
              <w:top w:val="nil"/>
              <w:left w:val="nil"/>
              <w:bottom w:val="nil"/>
              <w:right w:val="nil"/>
            </w:tcBorders>
            <w:shd w:val="clear" w:color="auto" w:fill="auto"/>
            <w:noWrap/>
            <w:vAlign w:val="bottom"/>
            <w:hideMark/>
          </w:tcPr>
          <w:p w14:paraId="1D615D32"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A41978">
              <w:rPr>
                <w:rFonts w:eastAsia="Times New Roman" w:cs="Calibri"/>
                <w:sz w:val="20"/>
              </w:rPr>
              <w:t>400</w:t>
            </w:r>
          </w:p>
        </w:tc>
      </w:tr>
      <w:tr w:rsidR="00C130FE" w:rsidRPr="00A41978" w14:paraId="2593A84C" w14:textId="77777777" w:rsidTr="002F7131">
        <w:trPr>
          <w:trHeight w:val="221"/>
          <w:jc w:val="center"/>
        </w:trPr>
        <w:tc>
          <w:tcPr>
            <w:tcW w:w="4685" w:type="dxa"/>
            <w:tcBorders>
              <w:top w:val="nil"/>
              <w:left w:val="nil"/>
              <w:bottom w:val="single" w:sz="4" w:space="0" w:color="auto"/>
              <w:right w:val="nil"/>
            </w:tcBorders>
            <w:shd w:val="clear" w:color="auto" w:fill="auto"/>
            <w:noWrap/>
            <w:vAlign w:val="bottom"/>
            <w:hideMark/>
          </w:tcPr>
          <w:p w14:paraId="48D060BF"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732DCC">
              <w:rPr>
                <w:rFonts w:cstheme="minorHAnsi"/>
                <w:sz w:val="20"/>
              </w:rPr>
              <w:t> </w:t>
            </w:r>
          </w:p>
        </w:tc>
        <w:tc>
          <w:tcPr>
            <w:tcW w:w="1338" w:type="dxa"/>
            <w:tcBorders>
              <w:top w:val="nil"/>
              <w:left w:val="nil"/>
              <w:bottom w:val="single" w:sz="4" w:space="0" w:color="auto"/>
              <w:right w:val="nil"/>
            </w:tcBorders>
            <w:shd w:val="clear" w:color="auto" w:fill="auto"/>
            <w:noWrap/>
            <w:vAlign w:val="bottom"/>
            <w:hideMark/>
          </w:tcPr>
          <w:p w14:paraId="7D1C649D"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A41978">
              <w:rPr>
                <w:rFonts w:eastAsia="Times New Roman" w:cs="Calibri"/>
                <w:sz w:val="20"/>
              </w:rPr>
              <w:t> </w:t>
            </w:r>
          </w:p>
        </w:tc>
        <w:tc>
          <w:tcPr>
            <w:tcW w:w="1552" w:type="dxa"/>
            <w:tcBorders>
              <w:top w:val="nil"/>
              <w:left w:val="nil"/>
              <w:bottom w:val="single" w:sz="4" w:space="0" w:color="auto"/>
              <w:right w:val="nil"/>
            </w:tcBorders>
            <w:shd w:val="clear" w:color="auto" w:fill="auto"/>
            <w:noWrap/>
            <w:vAlign w:val="bottom"/>
            <w:hideMark/>
          </w:tcPr>
          <w:p w14:paraId="454CC416"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A41978">
              <w:rPr>
                <w:rFonts w:eastAsia="Times New Roman" w:cs="Calibri"/>
                <w:sz w:val="20"/>
              </w:rPr>
              <w:t> </w:t>
            </w:r>
          </w:p>
        </w:tc>
        <w:tc>
          <w:tcPr>
            <w:tcW w:w="1338" w:type="dxa"/>
            <w:tcBorders>
              <w:top w:val="nil"/>
              <w:left w:val="nil"/>
              <w:bottom w:val="single" w:sz="4" w:space="0" w:color="auto"/>
              <w:right w:val="nil"/>
            </w:tcBorders>
            <w:shd w:val="clear" w:color="auto" w:fill="auto"/>
            <w:noWrap/>
            <w:vAlign w:val="bottom"/>
            <w:hideMark/>
          </w:tcPr>
          <w:p w14:paraId="2D0B4CF2"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A41978">
              <w:rPr>
                <w:rFonts w:eastAsia="Times New Roman" w:cs="Calibri"/>
                <w:sz w:val="20"/>
              </w:rPr>
              <w:t> </w:t>
            </w:r>
          </w:p>
        </w:tc>
      </w:tr>
      <w:tr w:rsidR="00C130FE" w:rsidRPr="00A41978" w14:paraId="00A3C37C" w14:textId="77777777" w:rsidTr="002F7131">
        <w:trPr>
          <w:trHeight w:val="133"/>
          <w:jc w:val="center"/>
        </w:trPr>
        <w:tc>
          <w:tcPr>
            <w:tcW w:w="4685" w:type="dxa"/>
            <w:tcBorders>
              <w:top w:val="nil"/>
              <w:left w:val="nil"/>
              <w:bottom w:val="nil"/>
              <w:right w:val="nil"/>
            </w:tcBorders>
            <w:shd w:val="clear" w:color="auto" w:fill="auto"/>
            <w:noWrap/>
            <w:vAlign w:val="bottom"/>
            <w:hideMark/>
          </w:tcPr>
          <w:p w14:paraId="2CAC30EB"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338" w:type="dxa"/>
            <w:tcBorders>
              <w:top w:val="nil"/>
              <w:left w:val="nil"/>
              <w:bottom w:val="nil"/>
              <w:right w:val="nil"/>
            </w:tcBorders>
            <w:shd w:val="clear" w:color="auto" w:fill="auto"/>
            <w:noWrap/>
            <w:vAlign w:val="bottom"/>
            <w:hideMark/>
          </w:tcPr>
          <w:p w14:paraId="64DD81E2" w14:textId="77777777" w:rsidR="00C130FE" w:rsidRPr="00A41978"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52" w:type="dxa"/>
            <w:tcBorders>
              <w:top w:val="nil"/>
              <w:left w:val="nil"/>
              <w:bottom w:val="nil"/>
              <w:right w:val="nil"/>
            </w:tcBorders>
            <w:shd w:val="clear" w:color="auto" w:fill="auto"/>
            <w:noWrap/>
            <w:vAlign w:val="bottom"/>
            <w:hideMark/>
          </w:tcPr>
          <w:p w14:paraId="20CCA521"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38" w:type="dxa"/>
            <w:tcBorders>
              <w:top w:val="nil"/>
              <w:left w:val="nil"/>
              <w:bottom w:val="nil"/>
              <w:right w:val="nil"/>
            </w:tcBorders>
            <w:shd w:val="clear" w:color="auto" w:fill="auto"/>
            <w:noWrap/>
            <w:vAlign w:val="bottom"/>
            <w:hideMark/>
          </w:tcPr>
          <w:p w14:paraId="65E79749"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A41978" w14:paraId="32A299CB" w14:textId="77777777" w:rsidTr="002F7131">
        <w:trPr>
          <w:trHeight w:val="279"/>
          <w:jc w:val="center"/>
        </w:trPr>
        <w:tc>
          <w:tcPr>
            <w:tcW w:w="4685" w:type="dxa"/>
            <w:tcBorders>
              <w:top w:val="nil"/>
              <w:left w:val="nil"/>
              <w:bottom w:val="nil"/>
              <w:right w:val="nil"/>
            </w:tcBorders>
            <w:shd w:val="clear" w:color="auto" w:fill="auto"/>
            <w:noWrap/>
            <w:vAlign w:val="bottom"/>
            <w:hideMark/>
          </w:tcPr>
          <w:p w14:paraId="258F181B"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732DCC">
              <w:rPr>
                <w:rFonts w:cstheme="minorHAnsi"/>
                <w:b/>
                <w:bCs/>
                <w:sz w:val="20"/>
              </w:rPr>
              <w:t>合计</w:t>
            </w:r>
          </w:p>
        </w:tc>
        <w:tc>
          <w:tcPr>
            <w:tcW w:w="1338" w:type="dxa"/>
            <w:tcBorders>
              <w:top w:val="nil"/>
              <w:left w:val="nil"/>
              <w:bottom w:val="nil"/>
              <w:right w:val="nil"/>
            </w:tcBorders>
            <w:shd w:val="clear" w:color="auto" w:fill="auto"/>
            <w:noWrap/>
            <w:vAlign w:val="bottom"/>
            <w:hideMark/>
          </w:tcPr>
          <w:p w14:paraId="7D9C9627"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A41978">
              <w:rPr>
                <w:rFonts w:eastAsia="Times New Roman" w:cs="Calibri"/>
                <w:b/>
                <w:bCs/>
                <w:sz w:val="20"/>
              </w:rPr>
              <w:t>420</w:t>
            </w:r>
          </w:p>
        </w:tc>
        <w:tc>
          <w:tcPr>
            <w:tcW w:w="1552" w:type="dxa"/>
            <w:tcBorders>
              <w:top w:val="nil"/>
              <w:left w:val="nil"/>
              <w:bottom w:val="nil"/>
              <w:right w:val="nil"/>
            </w:tcBorders>
            <w:shd w:val="clear" w:color="auto" w:fill="auto"/>
            <w:noWrap/>
            <w:vAlign w:val="bottom"/>
            <w:hideMark/>
          </w:tcPr>
          <w:p w14:paraId="7B395368"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A41978">
              <w:rPr>
                <w:rFonts w:eastAsia="Times New Roman" w:cs="Calibri"/>
                <w:b/>
                <w:bCs/>
                <w:sz w:val="20"/>
              </w:rPr>
              <w:t>420</w:t>
            </w:r>
          </w:p>
        </w:tc>
        <w:tc>
          <w:tcPr>
            <w:tcW w:w="1338" w:type="dxa"/>
            <w:tcBorders>
              <w:top w:val="nil"/>
              <w:left w:val="nil"/>
              <w:bottom w:val="nil"/>
              <w:right w:val="nil"/>
            </w:tcBorders>
            <w:shd w:val="clear" w:color="auto" w:fill="auto"/>
            <w:noWrap/>
            <w:vAlign w:val="bottom"/>
            <w:hideMark/>
          </w:tcPr>
          <w:p w14:paraId="6141C154"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A41978">
              <w:rPr>
                <w:rFonts w:eastAsia="Times New Roman" w:cs="Calibri"/>
                <w:b/>
                <w:bCs/>
                <w:sz w:val="20"/>
              </w:rPr>
              <w:t>840</w:t>
            </w:r>
          </w:p>
        </w:tc>
      </w:tr>
    </w:tbl>
    <w:p w14:paraId="022C2D94" w14:textId="745FF156" w:rsidR="00C130FE" w:rsidRDefault="00C130FE" w:rsidP="000D2389">
      <w:pPr>
        <w:pStyle w:val="Endtext"/>
        <w:tabs>
          <w:tab w:val="clear" w:pos="1134"/>
          <w:tab w:val="clear" w:pos="1701"/>
          <w:tab w:val="clear" w:pos="2268"/>
          <w:tab w:val="clear" w:pos="2835"/>
          <w:tab w:val="left" w:pos="794"/>
          <w:tab w:val="left" w:pos="1191"/>
          <w:tab w:val="left" w:pos="1588"/>
          <w:tab w:val="left" w:pos="1985"/>
        </w:tabs>
        <w:ind w:left="567" w:hanging="567"/>
        <w:jc w:val="both"/>
        <w:rPr>
          <w:lang w:eastAsia="zh-CN"/>
        </w:rPr>
      </w:pPr>
      <w:r>
        <w:rPr>
          <w:rFonts w:hint="eastAsia"/>
          <w:lang w:eastAsia="zh-CN"/>
        </w:rPr>
        <w:t>参阅：</w:t>
      </w:r>
      <w:r w:rsidRPr="00C130FE">
        <w:rPr>
          <w:lang w:eastAsia="zh-CN"/>
        </w:rPr>
        <w:tab/>
      </w:r>
      <w:hyperlink r:id="rId66" w:history="1">
        <w:r w:rsidRPr="00C130FE">
          <w:rPr>
            <w:rStyle w:val="Hyperlink"/>
            <w:lang w:eastAsia="zh-CN"/>
          </w:rPr>
          <w:t>C21/65</w:t>
        </w:r>
      </w:hyperlink>
      <w:r>
        <w:rPr>
          <w:rFonts w:hint="eastAsia"/>
          <w:lang w:eastAsia="zh-CN"/>
        </w:rPr>
        <w:t>、</w:t>
      </w:r>
      <w:hyperlink r:id="rId67" w:history="1">
        <w:r w:rsidRPr="00C130FE">
          <w:rPr>
            <w:rStyle w:val="Hyperlink"/>
            <w:lang w:eastAsia="zh-CN"/>
          </w:rPr>
          <w:t>C21/86</w:t>
        </w:r>
      </w:hyperlink>
      <w:r>
        <w:rPr>
          <w:rFonts w:hint="eastAsia"/>
          <w:lang w:eastAsia="zh-CN"/>
        </w:rPr>
        <w:t>、</w:t>
      </w:r>
      <w:hyperlink r:id="rId68" w:history="1">
        <w:r w:rsidRPr="00C130FE">
          <w:rPr>
            <w:rStyle w:val="Hyperlink"/>
            <w:lang w:eastAsia="zh-CN"/>
          </w:rPr>
          <w:t>C21/87</w:t>
        </w:r>
      </w:hyperlink>
      <w:r>
        <w:rPr>
          <w:rFonts w:hint="eastAsia"/>
          <w:lang w:eastAsia="zh-CN"/>
        </w:rPr>
        <w:t>和</w:t>
      </w:r>
      <w:hyperlink r:id="rId69" w:history="1">
        <w:r w:rsidRPr="00C130FE">
          <w:rPr>
            <w:rStyle w:val="Hyperlink"/>
            <w:lang w:eastAsia="zh-CN"/>
          </w:rPr>
          <w:t>DM-21/1017</w:t>
        </w:r>
      </w:hyperlink>
      <w:r>
        <w:rPr>
          <w:rFonts w:hint="eastAsia"/>
          <w:lang w:eastAsia="zh-CN"/>
        </w:rPr>
        <w:t>号文件</w:t>
      </w:r>
    </w:p>
    <w:p w14:paraId="53AA70C5" w14:textId="4CB6AC97" w:rsidR="006C2C5E" w:rsidRPr="006C2C5E" w:rsidRDefault="00C130FE" w:rsidP="00C130FE">
      <w:pPr>
        <w:tabs>
          <w:tab w:val="clear" w:pos="794"/>
          <w:tab w:val="clear" w:pos="1191"/>
          <w:tab w:val="clear" w:pos="1588"/>
          <w:tab w:val="clear" w:pos="1985"/>
        </w:tabs>
        <w:overflowPunct/>
        <w:autoSpaceDE/>
        <w:autoSpaceDN/>
        <w:adjustRightInd/>
        <w:spacing w:before="0"/>
        <w:jc w:val="center"/>
        <w:textAlignment w:val="auto"/>
        <w:rPr>
          <w:lang w:eastAsia="zh-CN"/>
        </w:rPr>
      </w:pPr>
      <w:r>
        <w:rPr>
          <w:lang w:eastAsia="zh-CN"/>
        </w:rPr>
        <w:t>______________</w:t>
      </w:r>
    </w:p>
    <w:p w14:paraId="0A5022D1" w14:textId="77777777" w:rsidR="006C2C5E" w:rsidRDefault="006C2C5E" w:rsidP="0090191E">
      <w:pPr>
        <w:pStyle w:val="Normalaftertitle"/>
        <w:rPr>
          <w:lang w:eastAsia="zh-CN"/>
        </w:rPr>
      </w:pPr>
    </w:p>
    <w:p w14:paraId="2EACA090" w14:textId="2F988C6E" w:rsidR="006C2C5E" w:rsidRPr="006C2C5E" w:rsidRDefault="006C2C5E" w:rsidP="006C2C5E">
      <w:pPr>
        <w:rPr>
          <w:lang w:eastAsia="zh-CN"/>
        </w:rPr>
        <w:sectPr w:rsidR="006C2C5E" w:rsidRPr="006C2C5E" w:rsidSect="006C2C5E">
          <w:headerReference w:type="first" r:id="rId70"/>
          <w:pgSz w:w="16834" w:h="11907" w:orient="landscape" w:code="9"/>
          <w:pgMar w:top="1134" w:right="1418" w:bottom="1134" w:left="1134" w:header="737" w:footer="567" w:gutter="0"/>
          <w:paperSrc w:first="15" w:other="15"/>
          <w:cols w:space="720"/>
          <w:vAlign w:val="both"/>
          <w:titlePg/>
          <w:docGrid w:linePitch="326"/>
        </w:sectPr>
      </w:pPr>
    </w:p>
    <w:p w14:paraId="4827AA45" w14:textId="152A34F7" w:rsidR="00F11D1D" w:rsidRPr="008853B4" w:rsidRDefault="00F11D1D" w:rsidP="00C41121">
      <w:pPr>
        <w:pStyle w:val="Chaptitle"/>
        <w:rPr>
          <w:lang w:eastAsia="zh-CN"/>
        </w:rPr>
      </w:pPr>
      <w:bookmarkStart w:id="68" w:name="_Toc86395465"/>
      <w:r w:rsidRPr="008853B4">
        <w:rPr>
          <w:lang w:eastAsia="zh-CN"/>
        </w:rPr>
        <w:lastRenderedPageBreak/>
        <w:t>1.2</w:t>
      </w:r>
      <w:r w:rsidRPr="008853B4">
        <w:rPr>
          <w:lang w:eastAsia="zh-CN"/>
        </w:rPr>
        <w:tab/>
      </w:r>
      <w:bookmarkEnd w:id="32"/>
      <w:r w:rsidR="00D20487" w:rsidRPr="008853B4">
        <w:rPr>
          <w:rFonts w:hint="eastAsia"/>
          <w:lang w:eastAsia="zh-CN"/>
        </w:rPr>
        <w:t>其它财务事宜</w:t>
      </w:r>
      <w:bookmarkEnd w:id="33"/>
      <w:bookmarkEnd w:id="34"/>
      <w:bookmarkEnd w:id="35"/>
      <w:bookmarkEnd w:id="36"/>
      <w:bookmarkEnd w:id="37"/>
      <w:bookmarkEnd w:id="38"/>
      <w:bookmarkEnd w:id="39"/>
      <w:bookmarkEnd w:id="40"/>
      <w:bookmarkEnd w:id="41"/>
      <w:bookmarkEnd w:id="52"/>
      <w:bookmarkEnd w:id="68"/>
    </w:p>
    <w:p w14:paraId="4827AA46" w14:textId="77777777" w:rsidR="00D30DF7" w:rsidRPr="00AC71A0" w:rsidRDefault="00D30DF7" w:rsidP="00CD1C3A">
      <w:pPr>
        <w:pStyle w:val="ResNo"/>
        <w:outlineLvl w:val="0"/>
        <w:rPr>
          <w:lang w:eastAsia="zh-CN"/>
        </w:rPr>
      </w:pPr>
      <w:bookmarkStart w:id="69" w:name="_Toc424116911"/>
      <w:bookmarkStart w:id="70" w:name="_Toc490555873"/>
      <w:bookmarkStart w:id="71" w:name="_Toc16085662"/>
      <w:bookmarkStart w:id="72" w:name="_Toc86395466"/>
      <w:bookmarkStart w:id="73" w:name="_Toc161223981"/>
      <w:bookmarkStart w:id="74" w:name="_Toc161732027"/>
      <w:bookmarkStart w:id="75" w:name="_Toc161740954"/>
      <w:bookmarkStart w:id="76" w:name="_Toc63839003"/>
      <w:bookmarkStart w:id="77" w:name="_Toc78271256"/>
      <w:bookmarkStart w:id="78" w:name="_Toc81880001"/>
      <w:bookmarkStart w:id="79" w:name="_Toc185237621"/>
      <w:bookmarkStart w:id="80" w:name="_Toc311469543"/>
      <w:bookmarkStart w:id="81" w:name="_Toc161223982"/>
      <w:bookmarkStart w:id="82" w:name="_Toc161732028"/>
      <w:bookmarkStart w:id="83" w:name="_Toc161740955"/>
      <w:bookmarkStart w:id="84" w:name="_Toc185237622"/>
      <w:bookmarkStart w:id="85" w:name="_Toc311469544"/>
      <w:bookmarkStart w:id="86" w:name="_Toc63839131"/>
      <w:bookmarkStart w:id="87" w:name="_Toc78271258"/>
      <w:bookmarkStart w:id="88" w:name="_Toc81880003"/>
      <w:bookmarkStart w:id="89" w:name="_Toc63839005"/>
      <w:r w:rsidRPr="00AC71A0">
        <w:rPr>
          <w:rFonts w:hint="eastAsia"/>
          <w:lang w:eastAsia="zh-CN"/>
        </w:rPr>
        <w:t>第</w:t>
      </w:r>
      <w:r w:rsidRPr="00AC71A0">
        <w:rPr>
          <w:lang w:eastAsia="zh-CN"/>
        </w:rPr>
        <w:t>925</w:t>
      </w:r>
      <w:r w:rsidRPr="00AC71A0">
        <w:rPr>
          <w:rFonts w:hint="eastAsia"/>
          <w:lang w:eastAsia="zh-CN"/>
        </w:rPr>
        <w:t>号决议（</w:t>
      </w:r>
      <w:r>
        <w:rPr>
          <w:lang w:eastAsia="zh-CN"/>
        </w:rPr>
        <w:t>C-1985</w:t>
      </w:r>
      <w:r>
        <w:rPr>
          <w:rFonts w:hint="eastAsia"/>
          <w:lang w:eastAsia="zh-CN"/>
        </w:rPr>
        <w:t>，</w:t>
      </w:r>
      <w:r w:rsidRPr="00C3403A">
        <w:rPr>
          <w:rFonts w:hint="eastAsia"/>
          <w:lang w:eastAsia="zh-CN"/>
        </w:rPr>
        <w:t>最后修正</w:t>
      </w:r>
      <w:r>
        <w:rPr>
          <w:rFonts w:hint="eastAsia"/>
          <w:lang w:eastAsia="zh-CN"/>
        </w:rPr>
        <w:t>C19</w:t>
      </w:r>
      <w:r w:rsidRPr="00AC71A0">
        <w:rPr>
          <w:rFonts w:hint="eastAsia"/>
          <w:lang w:eastAsia="zh-CN"/>
        </w:rPr>
        <w:t>）</w:t>
      </w:r>
      <w:bookmarkEnd w:id="69"/>
      <w:bookmarkEnd w:id="70"/>
      <w:bookmarkEnd w:id="71"/>
      <w:bookmarkEnd w:id="72"/>
    </w:p>
    <w:p w14:paraId="4827AA47" w14:textId="77777777" w:rsidR="00D30DF7" w:rsidRPr="00AC71A0" w:rsidRDefault="00D30DF7" w:rsidP="00D30DF7">
      <w:pPr>
        <w:pStyle w:val="Restitle"/>
        <w:rPr>
          <w:lang w:eastAsia="zh-CN"/>
        </w:rPr>
      </w:pPr>
      <w:bookmarkStart w:id="90" w:name="_Toc424116196"/>
      <w:bookmarkStart w:id="91" w:name="_Toc424116912"/>
      <w:bookmarkStart w:id="92" w:name="_Toc460248021"/>
      <w:bookmarkStart w:id="93" w:name="_Toc490555874"/>
      <w:bookmarkStart w:id="94" w:name="_Toc16085663"/>
      <w:bookmarkStart w:id="95" w:name="_Toc86395467"/>
      <w:r w:rsidRPr="00AC71A0">
        <w:rPr>
          <w:rFonts w:hint="eastAsia"/>
          <w:lang w:eastAsia="zh-CN"/>
        </w:rPr>
        <w:t>联合国、专门机构及其它国际组织参加</w:t>
      </w:r>
      <w:r w:rsidRPr="00AC71A0">
        <w:rPr>
          <w:lang w:eastAsia="zh-CN"/>
        </w:rPr>
        <w:br/>
      </w:r>
      <w:r w:rsidRPr="00AC71A0">
        <w:rPr>
          <w:rFonts w:hint="eastAsia"/>
          <w:lang w:eastAsia="zh-CN"/>
        </w:rPr>
        <w:t>国际电联大会、全会和会议的财务条件</w:t>
      </w:r>
      <w:bookmarkEnd w:id="73"/>
      <w:bookmarkEnd w:id="74"/>
      <w:bookmarkEnd w:id="75"/>
      <w:bookmarkEnd w:id="76"/>
      <w:bookmarkEnd w:id="77"/>
      <w:bookmarkEnd w:id="78"/>
      <w:bookmarkEnd w:id="79"/>
      <w:bookmarkEnd w:id="80"/>
      <w:bookmarkEnd w:id="90"/>
      <w:bookmarkEnd w:id="91"/>
      <w:bookmarkEnd w:id="92"/>
      <w:bookmarkEnd w:id="93"/>
      <w:bookmarkEnd w:id="94"/>
      <w:bookmarkEnd w:id="95"/>
    </w:p>
    <w:p w14:paraId="4827AA48" w14:textId="77777777" w:rsidR="00D30DF7" w:rsidRPr="00AC71A0" w:rsidRDefault="00D30DF7" w:rsidP="00D30DF7">
      <w:pPr>
        <w:pStyle w:val="Normalaftertitle"/>
        <w:rPr>
          <w:lang w:eastAsia="zh-CN"/>
        </w:rPr>
      </w:pPr>
      <w:r w:rsidRPr="00AC71A0">
        <w:rPr>
          <w:rFonts w:hint="eastAsia"/>
          <w:lang w:eastAsia="zh-CN"/>
        </w:rPr>
        <w:t>理事会，</w:t>
      </w:r>
    </w:p>
    <w:p w14:paraId="4827AA49" w14:textId="77777777" w:rsidR="00D30DF7" w:rsidRPr="00AC71A0" w:rsidRDefault="00D30DF7" w:rsidP="00D30DF7">
      <w:pPr>
        <w:pStyle w:val="Call"/>
        <w:rPr>
          <w:iCs/>
          <w:lang w:eastAsia="zh-CN"/>
        </w:rPr>
      </w:pPr>
      <w:r w:rsidRPr="00AC71A0">
        <w:rPr>
          <w:rFonts w:hint="eastAsia"/>
          <w:iCs/>
          <w:lang w:eastAsia="zh-CN"/>
        </w:rPr>
        <w:t>忆及</w:t>
      </w:r>
    </w:p>
    <w:p w14:paraId="4827AA4A" w14:textId="77777777" w:rsidR="00D30DF7" w:rsidRPr="00AC71A0" w:rsidRDefault="00D30DF7" w:rsidP="00D30DF7">
      <w:pPr>
        <w:tabs>
          <w:tab w:val="right" w:pos="9639"/>
        </w:tabs>
        <w:spacing w:before="80"/>
        <w:ind w:firstLineChars="200" w:firstLine="480"/>
        <w:rPr>
          <w:rFonts w:ascii="SimSun" w:hAnsi="SimSun"/>
          <w:lang w:eastAsia="zh-CN"/>
        </w:rPr>
      </w:pPr>
      <w:r w:rsidRPr="00AC71A0">
        <w:rPr>
          <w:rFonts w:ascii="SimSun" w:hAnsi="SimSun" w:hint="eastAsia"/>
          <w:lang w:eastAsia="zh-CN"/>
        </w:rPr>
        <w:t>联合国与国际电联之间的协议以及国际电联已有相关规定，适用于相关组织应邀参加国际电联的所有大会和全会以及国际电联各部门的顾问组及研究组和工作组的会议和国际电联召集的所有其它会议的情况，</w:t>
      </w:r>
    </w:p>
    <w:p w14:paraId="4827AA4B" w14:textId="77777777" w:rsidR="00D30DF7" w:rsidRPr="00AC71A0" w:rsidRDefault="00D30DF7" w:rsidP="00D30DF7">
      <w:pPr>
        <w:pStyle w:val="Call"/>
        <w:rPr>
          <w:lang w:eastAsia="zh-CN"/>
        </w:rPr>
      </w:pPr>
      <w:r w:rsidRPr="00AC71A0">
        <w:rPr>
          <w:rFonts w:hint="eastAsia"/>
          <w:lang w:eastAsia="zh-CN"/>
        </w:rPr>
        <w:t>考虑到</w:t>
      </w:r>
    </w:p>
    <w:p w14:paraId="4827AA4C" w14:textId="77777777" w:rsidR="00D30DF7" w:rsidRPr="00AC71A0" w:rsidRDefault="00D30DF7" w:rsidP="00D30DF7">
      <w:pPr>
        <w:spacing w:before="80"/>
        <w:rPr>
          <w:lang w:eastAsia="zh-CN"/>
        </w:rPr>
      </w:pPr>
      <w:r w:rsidRPr="00AC71A0">
        <w:rPr>
          <w:i/>
          <w:iCs/>
          <w:lang w:eastAsia="zh-CN"/>
        </w:rPr>
        <w:t>a)</w:t>
      </w:r>
      <w:r w:rsidRPr="00AC71A0">
        <w:rPr>
          <w:lang w:eastAsia="zh-CN"/>
        </w:rPr>
        <w:tab/>
      </w:r>
      <w:r w:rsidRPr="00AC71A0">
        <w:rPr>
          <w:rFonts w:hint="eastAsia"/>
          <w:lang w:eastAsia="zh-CN"/>
        </w:rPr>
        <w:t>根据国际电联《公约》第</w:t>
      </w:r>
      <w:r w:rsidRPr="00AC71A0">
        <w:rPr>
          <w:rFonts w:hint="eastAsia"/>
          <w:lang w:eastAsia="zh-CN"/>
        </w:rPr>
        <w:t>4</w:t>
      </w:r>
      <w:r w:rsidRPr="00AC71A0">
        <w:rPr>
          <w:rFonts w:hint="eastAsia"/>
          <w:lang w:eastAsia="zh-CN"/>
        </w:rPr>
        <w:t>条第</w:t>
      </w:r>
      <w:r w:rsidRPr="00AC71A0">
        <w:rPr>
          <w:lang w:eastAsia="zh-CN"/>
        </w:rPr>
        <w:t>80</w:t>
      </w:r>
      <w:r w:rsidRPr="00AC71A0">
        <w:rPr>
          <w:rFonts w:hint="eastAsia"/>
          <w:lang w:eastAsia="zh-CN"/>
        </w:rPr>
        <w:t>款的规定，理事会负责与有相关兴趣与活动的所有国际组织开展协调，如同《组织法》第</w:t>
      </w:r>
      <w:r w:rsidRPr="00AC71A0">
        <w:rPr>
          <w:rFonts w:hint="eastAsia"/>
          <w:lang w:eastAsia="zh-CN"/>
        </w:rPr>
        <w:t>49</w:t>
      </w:r>
      <w:r w:rsidRPr="00AC71A0">
        <w:rPr>
          <w:rFonts w:hint="eastAsia"/>
          <w:lang w:eastAsia="zh-CN"/>
        </w:rPr>
        <w:t>条和第</w:t>
      </w:r>
      <w:r w:rsidRPr="00AC71A0">
        <w:rPr>
          <w:rFonts w:hint="eastAsia"/>
          <w:lang w:eastAsia="zh-CN"/>
        </w:rPr>
        <w:t>50</w:t>
      </w:r>
      <w:r w:rsidRPr="00AC71A0">
        <w:rPr>
          <w:rFonts w:hint="eastAsia"/>
          <w:lang w:eastAsia="zh-CN"/>
        </w:rPr>
        <w:t>条所述；</w:t>
      </w:r>
    </w:p>
    <w:p w14:paraId="4827AA4D" w14:textId="77777777" w:rsidR="00D30DF7" w:rsidRPr="00AC71A0" w:rsidRDefault="00D30DF7" w:rsidP="00D30DF7">
      <w:pPr>
        <w:spacing w:before="80"/>
        <w:rPr>
          <w:lang w:eastAsia="zh-CN"/>
        </w:rPr>
      </w:pPr>
      <w:r w:rsidRPr="00AC71A0">
        <w:rPr>
          <w:i/>
          <w:iCs/>
          <w:lang w:eastAsia="zh-CN"/>
        </w:rPr>
        <w:t>b)</w:t>
      </w:r>
      <w:r w:rsidRPr="00AC71A0">
        <w:rPr>
          <w:lang w:eastAsia="zh-CN"/>
        </w:rPr>
        <w:tab/>
      </w:r>
      <w:r w:rsidRPr="00AC71A0">
        <w:rPr>
          <w:rFonts w:hint="eastAsia"/>
          <w:lang w:eastAsia="zh-CN"/>
        </w:rPr>
        <w:t>与联合国有关的专门机构在其权限范围内开展合作、以解决它们共同的、相关的或互补的问题有利于它们的总体利益；</w:t>
      </w:r>
    </w:p>
    <w:p w14:paraId="4827AA4E" w14:textId="77777777" w:rsidR="00D30DF7" w:rsidRPr="00AC71A0" w:rsidRDefault="00D30DF7" w:rsidP="00D30DF7">
      <w:pPr>
        <w:spacing w:before="80"/>
        <w:rPr>
          <w:rFonts w:ascii="SimSun" w:hAnsi="SimSun"/>
          <w:lang w:eastAsia="zh-CN"/>
        </w:rPr>
      </w:pPr>
      <w:r w:rsidRPr="00AC71A0">
        <w:rPr>
          <w:i/>
          <w:iCs/>
          <w:lang w:eastAsia="zh-CN"/>
        </w:rPr>
        <w:t>c)</w:t>
      </w:r>
      <w:r w:rsidRPr="00AC71A0">
        <w:rPr>
          <w:lang w:eastAsia="zh-CN"/>
        </w:rPr>
        <w:tab/>
      </w:r>
      <w:r w:rsidRPr="00AC71A0">
        <w:rPr>
          <w:rFonts w:hint="eastAsia"/>
          <w:lang w:eastAsia="zh-CN"/>
        </w:rPr>
        <w:t>根据《公约》第</w:t>
      </w:r>
      <w:r w:rsidRPr="00AC71A0">
        <w:rPr>
          <w:rFonts w:hint="eastAsia"/>
          <w:lang w:eastAsia="zh-CN"/>
        </w:rPr>
        <w:t>33</w:t>
      </w:r>
      <w:r w:rsidRPr="00AC71A0">
        <w:rPr>
          <w:rFonts w:hint="eastAsia"/>
          <w:lang w:eastAsia="zh-CN"/>
        </w:rPr>
        <w:t>条第</w:t>
      </w:r>
      <w:r w:rsidRPr="00AC71A0">
        <w:rPr>
          <w:lang w:eastAsia="zh-CN"/>
        </w:rPr>
        <w:t>476</w:t>
      </w:r>
      <w:r w:rsidRPr="00AC71A0">
        <w:rPr>
          <w:rFonts w:hint="eastAsia"/>
          <w:lang w:eastAsia="zh-CN"/>
        </w:rPr>
        <w:t>款的规定，理事会可以在“互惠”的前提下免除某些国际组织摊付国际电联大会、全会和</w:t>
      </w:r>
      <w:r w:rsidRPr="00AC71A0">
        <w:rPr>
          <w:rFonts w:ascii="SimSun" w:hAnsi="SimSun" w:hint="eastAsia"/>
          <w:lang w:eastAsia="zh-CN"/>
        </w:rPr>
        <w:t>会议的费用；</w:t>
      </w:r>
    </w:p>
    <w:p w14:paraId="4827AA4F" w14:textId="77777777" w:rsidR="00D30DF7" w:rsidRPr="00AC71A0" w:rsidRDefault="00D30DF7" w:rsidP="00D30DF7">
      <w:pPr>
        <w:spacing w:before="80"/>
        <w:rPr>
          <w:lang w:eastAsia="zh-CN"/>
        </w:rPr>
      </w:pPr>
      <w:r w:rsidRPr="00AC71A0">
        <w:rPr>
          <w:rFonts w:cs="Calibri" w:hint="eastAsia"/>
          <w:i/>
          <w:iCs/>
          <w:lang w:eastAsia="zh-CN"/>
        </w:rPr>
        <w:t>d</w:t>
      </w:r>
      <w:r w:rsidRPr="00AC71A0">
        <w:rPr>
          <w:rFonts w:cs="Calibri"/>
          <w:i/>
          <w:iCs/>
          <w:lang w:eastAsia="zh-CN"/>
        </w:rPr>
        <w:t>)</w:t>
      </w:r>
      <w:r w:rsidRPr="00AC71A0">
        <w:rPr>
          <w:rFonts w:ascii="SimSun" w:hAnsi="SimSun"/>
          <w:lang w:eastAsia="zh-CN"/>
        </w:rPr>
        <w:tab/>
      </w:r>
      <w:r w:rsidRPr="00AC71A0">
        <w:rPr>
          <w:rFonts w:hint="eastAsia"/>
          <w:lang w:eastAsia="zh-CN"/>
        </w:rPr>
        <w:t>免除此类费用的唯一标准应为，</w:t>
      </w:r>
      <w:r w:rsidRPr="00AC71A0">
        <w:rPr>
          <w:rFonts w:hint="eastAsia"/>
          <w:bCs/>
          <w:lang w:eastAsia="zh-CN"/>
        </w:rPr>
        <w:t>国际电联与所述组织</w:t>
      </w:r>
      <w:r>
        <w:rPr>
          <w:rFonts w:hint="eastAsia"/>
          <w:bCs/>
          <w:lang w:eastAsia="zh-CN"/>
        </w:rPr>
        <w:t>均可</w:t>
      </w:r>
      <w:r w:rsidRPr="00AC71A0">
        <w:rPr>
          <w:rFonts w:hint="eastAsia"/>
          <w:bCs/>
          <w:lang w:eastAsia="zh-CN"/>
        </w:rPr>
        <w:t>从参加相关活动中受益并</w:t>
      </w:r>
      <w:r>
        <w:rPr>
          <w:rFonts w:hint="eastAsia"/>
          <w:bCs/>
          <w:lang w:eastAsia="zh-CN"/>
        </w:rPr>
        <w:t>且</w:t>
      </w:r>
      <w:r w:rsidRPr="00AC71A0">
        <w:rPr>
          <w:rFonts w:hint="eastAsia"/>
          <w:bCs/>
          <w:lang w:eastAsia="zh-CN"/>
        </w:rPr>
        <w:t>增加优势</w:t>
      </w:r>
      <w:r w:rsidRPr="00AC71A0">
        <w:rPr>
          <w:rFonts w:hint="eastAsia"/>
          <w:lang w:eastAsia="zh-CN"/>
        </w:rPr>
        <w:t>，</w:t>
      </w:r>
    </w:p>
    <w:p w14:paraId="4827AA50" w14:textId="77777777" w:rsidR="00D30DF7" w:rsidRPr="00AC71A0" w:rsidRDefault="00D30DF7" w:rsidP="00D30DF7">
      <w:pPr>
        <w:pStyle w:val="Call"/>
        <w:rPr>
          <w:lang w:eastAsia="zh-CN"/>
        </w:rPr>
      </w:pPr>
      <w:r w:rsidRPr="00AC71A0">
        <w:rPr>
          <w:rFonts w:hint="eastAsia"/>
          <w:lang w:eastAsia="zh-CN"/>
        </w:rPr>
        <w:t>考虑到</w:t>
      </w:r>
    </w:p>
    <w:p w14:paraId="4827AA51" w14:textId="77777777" w:rsidR="00D30DF7" w:rsidRPr="00AC71A0" w:rsidRDefault="00D30DF7" w:rsidP="00D30DF7">
      <w:pPr>
        <w:spacing w:before="80"/>
        <w:ind w:firstLineChars="200" w:firstLine="480"/>
        <w:rPr>
          <w:lang w:eastAsia="zh-CN"/>
        </w:rPr>
      </w:pPr>
      <w:r w:rsidRPr="00AC71A0">
        <w:rPr>
          <w:rFonts w:hint="eastAsia"/>
          <w:lang w:eastAsia="zh-CN"/>
        </w:rPr>
        <w:t>联合国大会与解放运动相关的决议，</w:t>
      </w:r>
    </w:p>
    <w:p w14:paraId="4827AA52" w14:textId="77777777" w:rsidR="00D30DF7" w:rsidRPr="00AC71A0" w:rsidRDefault="00D30DF7" w:rsidP="00D30DF7">
      <w:pPr>
        <w:pStyle w:val="Call"/>
        <w:rPr>
          <w:lang w:eastAsia="zh-CN"/>
        </w:rPr>
      </w:pPr>
      <w:r w:rsidRPr="00AC71A0">
        <w:rPr>
          <w:rFonts w:hint="eastAsia"/>
          <w:lang w:eastAsia="zh-CN"/>
        </w:rPr>
        <w:t>做出决议</w:t>
      </w:r>
    </w:p>
    <w:p w14:paraId="4827AA53" w14:textId="77777777" w:rsidR="00D30DF7" w:rsidRPr="00AC71A0" w:rsidRDefault="00D30DF7" w:rsidP="00D30DF7">
      <w:pPr>
        <w:spacing w:before="80"/>
        <w:rPr>
          <w:lang w:eastAsia="zh-CN"/>
        </w:rPr>
      </w:pPr>
      <w:r w:rsidRPr="00AC71A0">
        <w:rPr>
          <w:lang w:eastAsia="zh-CN"/>
        </w:rPr>
        <w:t>1</w:t>
      </w:r>
      <w:r w:rsidRPr="00AC71A0">
        <w:rPr>
          <w:lang w:eastAsia="zh-CN"/>
        </w:rPr>
        <w:tab/>
      </w:r>
      <w:r w:rsidRPr="00AC71A0">
        <w:rPr>
          <w:rFonts w:hint="eastAsia"/>
          <w:lang w:eastAsia="zh-CN"/>
        </w:rPr>
        <w:t>免除联合国为摊付所参加的国际电联大会</w:t>
      </w:r>
      <w:r>
        <w:rPr>
          <w:rFonts w:hint="eastAsia"/>
          <w:lang w:eastAsia="zh-CN"/>
        </w:rPr>
        <w:t>、全会</w:t>
      </w:r>
      <w:r w:rsidRPr="00AC71A0">
        <w:rPr>
          <w:rFonts w:hint="eastAsia"/>
          <w:lang w:eastAsia="zh-CN"/>
        </w:rPr>
        <w:t>和会议的支出而缴纳的所有会费；</w:t>
      </w:r>
    </w:p>
    <w:p w14:paraId="4827AA54" w14:textId="77777777" w:rsidR="00D30DF7" w:rsidRPr="00AC71A0" w:rsidRDefault="00D30DF7" w:rsidP="00D30DF7">
      <w:pPr>
        <w:spacing w:before="80"/>
        <w:rPr>
          <w:lang w:eastAsia="zh-CN"/>
        </w:rPr>
      </w:pPr>
      <w:r w:rsidRPr="00AC71A0">
        <w:rPr>
          <w:lang w:eastAsia="zh-CN"/>
        </w:rPr>
        <w:t>2</w:t>
      </w:r>
      <w:r w:rsidRPr="00AC71A0">
        <w:rPr>
          <w:lang w:eastAsia="zh-CN"/>
        </w:rPr>
        <w:tab/>
      </w:r>
      <w:r w:rsidRPr="00AC71A0">
        <w:rPr>
          <w:rFonts w:hint="eastAsia"/>
          <w:lang w:eastAsia="zh-CN"/>
        </w:rPr>
        <w:t>根据《公约》第</w:t>
      </w:r>
      <w:r w:rsidRPr="00AC71A0">
        <w:rPr>
          <w:lang w:eastAsia="zh-CN"/>
        </w:rPr>
        <w:t>23</w:t>
      </w:r>
      <w:r w:rsidRPr="00AC71A0">
        <w:rPr>
          <w:rFonts w:hint="eastAsia"/>
          <w:lang w:eastAsia="zh-CN"/>
        </w:rPr>
        <w:t>、</w:t>
      </w:r>
      <w:r w:rsidRPr="00AC71A0">
        <w:rPr>
          <w:rFonts w:hint="eastAsia"/>
          <w:lang w:eastAsia="zh-CN"/>
        </w:rPr>
        <w:t>24</w:t>
      </w:r>
      <w:r w:rsidRPr="00AC71A0">
        <w:rPr>
          <w:rFonts w:hint="eastAsia"/>
          <w:lang w:eastAsia="zh-CN"/>
        </w:rPr>
        <w:t>和</w:t>
      </w:r>
      <w:r w:rsidRPr="00AC71A0">
        <w:rPr>
          <w:lang w:eastAsia="zh-CN"/>
        </w:rPr>
        <w:t>25</w:t>
      </w:r>
      <w:r w:rsidRPr="00AC71A0">
        <w:rPr>
          <w:rFonts w:hint="eastAsia"/>
          <w:lang w:eastAsia="zh-CN"/>
        </w:rPr>
        <w:t>条以及《国际电联大会、全会和会议的总规则》的规定，联合国的专门机构、国际原子能机构以及《公约》第</w:t>
      </w:r>
      <w:r w:rsidRPr="00AC71A0">
        <w:rPr>
          <w:rFonts w:hint="eastAsia"/>
          <w:lang w:eastAsia="zh-CN"/>
        </w:rPr>
        <w:t>23</w:t>
      </w:r>
      <w:r w:rsidRPr="00AC71A0">
        <w:rPr>
          <w:rFonts w:hint="eastAsia"/>
          <w:lang w:eastAsia="zh-CN"/>
        </w:rPr>
        <w:t>条第</w:t>
      </w:r>
      <w:r w:rsidRPr="00AC71A0">
        <w:rPr>
          <w:rFonts w:hint="eastAsia"/>
          <w:lang w:eastAsia="zh-CN"/>
        </w:rPr>
        <w:t>269</w:t>
      </w:r>
      <w:r w:rsidRPr="00AC71A0">
        <w:rPr>
          <w:lang w:eastAsia="zh-CN"/>
        </w:rPr>
        <w:t>A</w:t>
      </w:r>
      <w:r w:rsidRPr="00AC71A0">
        <w:rPr>
          <w:rFonts w:hint="eastAsia"/>
          <w:lang w:eastAsia="zh-CN"/>
        </w:rPr>
        <w:t>-269</w:t>
      </w:r>
      <w:r w:rsidRPr="00AC71A0">
        <w:rPr>
          <w:lang w:eastAsia="zh-CN"/>
        </w:rPr>
        <w:t>E</w:t>
      </w:r>
      <w:r w:rsidRPr="00AC71A0">
        <w:rPr>
          <w:rFonts w:hint="eastAsia"/>
          <w:lang w:eastAsia="zh-CN"/>
        </w:rPr>
        <w:t>款所述的其他组织</w:t>
      </w:r>
      <w:r>
        <w:rPr>
          <w:rFonts w:hint="eastAsia"/>
          <w:lang w:eastAsia="zh-CN"/>
        </w:rPr>
        <w:t>，</w:t>
      </w:r>
      <w:r w:rsidRPr="00AC71A0">
        <w:rPr>
          <w:rFonts w:hint="eastAsia"/>
          <w:lang w:eastAsia="zh-CN"/>
        </w:rPr>
        <w:t>须应邀以顾问的身份出席国际电联的大会、全会和会议；</w:t>
      </w:r>
    </w:p>
    <w:p w14:paraId="4827AA55" w14:textId="77777777" w:rsidR="00D30DF7" w:rsidRPr="00AC71A0" w:rsidRDefault="00D30DF7" w:rsidP="00D30DF7">
      <w:pPr>
        <w:spacing w:before="80"/>
        <w:rPr>
          <w:lang w:eastAsia="zh-CN"/>
        </w:rPr>
      </w:pPr>
      <w:r w:rsidRPr="00AC71A0">
        <w:rPr>
          <w:lang w:eastAsia="zh-CN"/>
        </w:rPr>
        <w:t>3</w:t>
      </w:r>
      <w:r w:rsidRPr="00AC71A0">
        <w:rPr>
          <w:lang w:eastAsia="zh-CN"/>
        </w:rPr>
        <w:tab/>
      </w:r>
      <w:r w:rsidRPr="00AC71A0">
        <w:rPr>
          <w:rFonts w:hint="eastAsia"/>
          <w:lang w:eastAsia="zh-CN"/>
        </w:rPr>
        <w:t>在专门机构</w:t>
      </w:r>
      <w:r w:rsidRPr="00AC71A0">
        <w:rPr>
          <w:lang w:eastAsia="zh-CN"/>
        </w:rPr>
        <w:t>、</w:t>
      </w:r>
      <w:r w:rsidRPr="00AC71A0">
        <w:rPr>
          <w:rFonts w:hint="eastAsia"/>
          <w:lang w:eastAsia="zh-CN"/>
        </w:rPr>
        <w:t>国际原子能机构以及《公约》第</w:t>
      </w:r>
      <w:r w:rsidRPr="00AC71A0">
        <w:rPr>
          <w:rFonts w:hint="eastAsia"/>
          <w:lang w:eastAsia="zh-CN"/>
        </w:rPr>
        <w:t>23</w:t>
      </w:r>
      <w:r w:rsidRPr="00AC71A0">
        <w:rPr>
          <w:rFonts w:hint="eastAsia"/>
          <w:lang w:eastAsia="zh-CN"/>
        </w:rPr>
        <w:t>条第</w:t>
      </w:r>
      <w:r w:rsidRPr="00AC71A0">
        <w:rPr>
          <w:rFonts w:hint="eastAsia"/>
          <w:lang w:eastAsia="zh-CN"/>
        </w:rPr>
        <w:t>269</w:t>
      </w:r>
      <w:r w:rsidRPr="00AC71A0">
        <w:rPr>
          <w:lang w:eastAsia="zh-CN"/>
        </w:rPr>
        <w:t>A</w:t>
      </w:r>
      <w:r w:rsidRPr="00AC71A0">
        <w:rPr>
          <w:rFonts w:hint="eastAsia"/>
          <w:lang w:eastAsia="zh-CN"/>
        </w:rPr>
        <w:t>-269</w:t>
      </w:r>
      <w:r w:rsidRPr="00AC71A0">
        <w:rPr>
          <w:lang w:eastAsia="zh-CN"/>
        </w:rPr>
        <w:t>E</w:t>
      </w:r>
      <w:r>
        <w:rPr>
          <w:rFonts w:hint="eastAsia"/>
          <w:lang w:eastAsia="zh-CN"/>
        </w:rPr>
        <w:t>款所述的其他组织对国际电联实行对等对待的条件下，</w:t>
      </w:r>
      <w:r w:rsidRPr="00AC71A0">
        <w:rPr>
          <w:rFonts w:hint="eastAsia"/>
          <w:lang w:eastAsia="zh-CN"/>
        </w:rPr>
        <w:t>免除这些机构为摊付所参加的国际电联大会、全会和会议的支出而缴纳的所有会费；</w:t>
      </w:r>
    </w:p>
    <w:p w14:paraId="4827AA56" w14:textId="77777777" w:rsidR="00D30DF7" w:rsidRDefault="00D30DF7">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AA57" w14:textId="77777777" w:rsidR="00D30DF7" w:rsidRPr="00AC71A0" w:rsidRDefault="00D30DF7" w:rsidP="00D30DF7">
      <w:pPr>
        <w:spacing w:before="80"/>
        <w:rPr>
          <w:lang w:eastAsia="zh-CN"/>
        </w:rPr>
      </w:pPr>
      <w:r w:rsidRPr="00AC71A0">
        <w:rPr>
          <w:lang w:eastAsia="zh-CN"/>
        </w:rPr>
        <w:lastRenderedPageBreak/>
        <w:t>4</w:t>
      </w:r>
      <w:r w:rsidRPr="00AC71A0">
        <w:rPr>
          <w:lang w:eastAsia="zh-CN"/>
        </w:rPr>
        <w:tab/>
      </w:r>
      <w:r w:rsidRPr="00AC71A0">
        <w:rPr>
          <w:rFonts w:hint="eastAsia"/>
          <w:lang w:eastAsia="zh-CN"/>
        </w:rPr>
        <w:t>根据第</w:t>
      </w:r>
      <w:r w:rsidRPr="00AC71A0">
        <w:rPr>
          <w:rFonts w:hint="eastAsia"/>
          <w:lang w:eastAsia="zh-CN"/>
        </w:rPr>
        <w:t>6</w:t>
      </w:r>
      <w:r w:rsidRPr="00AC71A0">
        <w:rPr>
          <w:rFonts w:hint="eastAsia"/>
          <w:lang w:eastAsia="zh-CN"/>
        </w:rPr>
        <w:t>号决议（</w:t>
      </w:r>
      <w:r w:rsidRPr="00AC71A0">
        <w:rPr>
          <w:rFonts w:hint="eastAsia"/>
          <w:lang w:eastAsia="zh-CN"/>
        </w:rPr>
        <w:t>1994</w:t>
      </w:r>
      <w:r w:rsidRPr="00AC71A0">
        <w:rPr>
          <w:rFonts w:hint="eastAsia"/>
          <w:lang w:eastAsia="zh-CN"/>
        </w:rPr>
        <w:t>年，京都），得到联合国承认的解放组</w:t>
      </w:r>
      <w:r>
        <w:rPr>
          <w:rFonts w:hint="eastAsia"/>
          <w:lang w:eastAsia="zh-CN"/>
        </w:rPr>
        <w:t>织可以在任何时候作为观察员出席国际电联的大会、全会和会议，并且</w:t>
      </w:r>
      <w:r w:rsidRPr="00AC71A0">
        <w:rPr>
          <w:rFonts w:hint="eastAsia"/>
          <w:lang w:eastAsia="zh-CN"/>
        </w:rPr>
        <w:t>免除其为摊付此类国际电联大会、全会和会议的支出而缴纳的所有会费；</w:t>
      </w:r>
    </w:p>
    <w:p w14:paraId="4827AA58" w14:textId="77777777" w:rsidR="00D30DF7" w:rsidRPr="00AC71A0" w:rsidRDefault="00D30DF7" w:rsidP="00D30DF7">
      <w:pPr>
        <w:spacing w:before="80"/>
        <w:rPr>
          <w:lang w:eastAsia="zh-CN"/>
        </w:rPr>
      </w:pPr>
      <w:r w:rsidRPr="00AC71A0">
        <w:rPr>
          <w:lang w:eastAsia="zh-CN"/>
        </w:rPr>
        <w:t>5</w:t>
      </w:r>
      <w:r w:rsidRPr="00AC71A0">
        <w:rPr>
          <w:lang w:eastAsia="zh-CN"/>
        </w:rPr>
        <w:tab/>
      </w:r>
      <w:r w:rsidRPr="00AC71A0">
        <w:rPr>
          <w:rFonts w:hint="eastAsia"/>
          <w:lang w:eastAsia="zh-CN"/>
        </w:rPr>
        <w:t>责成秘书长：</w:t>
      </w:r>
    </w:p>
    <w:p w14:paraId="4827AA59" w14:textId="77777777" w:rsidR="00D30DF7" w:rsidRPr="00AC71A0" w:rsidRDefault="00D30DF7" w:rsidP="007001EB">
      <w:pPr>
        <w:pStyle w:val="enumlev1"/>
        <w:rPr>
          <w:lang w:eastAsia="zh-CN"/>
        </w:rPr>
      </w:pPr>
      <w:r w:rsidRPr="00AC71A0">
        <w:rPr>
          <w:lang w:eastAsia="zh-CN"/>
        </w:rPr>
        <w:t>5.1</w:t>
      </w:r>
      <w:r w:rsidRPr="00AC71A0">
        <w:rPr>
          <w:lang w:eastAsia="zh-CN"/>
        </w:rPr>
        <w:tab/>
      </w:r>
      <w:r w:rsidRPr="00AC71A0">
        <w:rPr>
          <w:rFonts w:hint="eastAsia"/>
          <w:lang w:eastAsia="zh-CN"/>
        </w:rPr>
        <w:t>根据上述第</w:t>
      </w:r>
      <w:r w:rsidRPr="00AC71A0">
        <w:rPr>
          <w:rFonts w:hint="eastAsia"/>
          <w:lang w:eastAsia="zh-CN"/>
        </w:rPr>
        <w:t>3</w:t>
      </w:r>
      <w:r w:rsidRPr="00AC71A0">
        <w:rPr>
          <w:rFonts w:hint="eastAsia"/>
          <w:lang w:eastAsia="zh-CN"/>
        </w:rPr>
        <w:t>款和第</w:t>
      </w:r>
      <w:r w:rsidRPr="00AC71A0">
        <w:rPr>
          <w:rFonts w:hint="eastAsia"/>
          <w:lang w:eastAsia="zh-CN"/>
        </w:rPr>
        <w:t>4</w:t>
      </w:r>
      <w:r w:rsidRPr="00AC71A0">
        <w:rPr>
          <w:rFonts w:hint="eastAsia"/>
          <w:lang w:eastAsia="zh-CN"/>
        </w:rPr>
        <w:t>款，制定并</w:t>
      </w:r>
      <w:r>
        <w:rPr>
          <w:rFonts w:hint="eastAsia"/>
          <w:lang w:eastAsia="zh-CN"/>
        </w:rPr>
        <w:t>且</w:t>
      </w:r>
      <w:r w:rsidRPr="00AC71A0">
        <w:rPr>
          <w:rFonts w:hint="eastAsia"/>
          <w:lang w:eastAsia="zh-CN"/>
        </w:rPr>
        <w:t>应要求更新免除为摊付国际电联大会、全会和会议的支出而缴纳</w:t>
      </w:r>
      <w:r>
        <w:rPr>
          <w:rFonts w:hint="eastAsia"/>
          <w:lang w:eastAsia="zh-CN"/>
        </w:rPr>
        <w:t>的所有会费的组织</w:t>
      </w:r>
      <w:r w:rsidRPr="00AC71A0">
        <w:rPr>
          <w:rFonts w:hint="eastAsia"/>
          <w:lang w:eastAsia="zh-CN"/>
        </w:rPr>
        <w:t>名单，其中包含</w:t>
      </w:r>
      <w:r>
        <w:rPr>
          <w:rFonts w:hint="eastAsia"/>
          <w:lang w:eastAsia="zh-CN"/>
        </w:rPr>
        <w:t>以</w:t>
      </w:r>
      <w:r w:rsidRPr="00AC71A0">
        <w:rPr>
          <w:rFonts w:hint="eastAsia"/>
          <w:lang w:eastAsia="zh-CN"/>
        </w:rPr>
        <w:t>下</w:t>
      </w:r>
      <w:r>
        <w:rPr>
          <w:rFonts w:hint="eastAsia"/>
          <w:lang w:eastAsia="zh-CN"/>
        </w:rPr>
        <w:t>各节</w:t>
      </w:r>
      <w:r w:rsidRPr="00AC71A0">
        <w:rPr>
          <w:rFonts w:hint="eastAsia"/>
          <w:lang w:eastAsia="zh-CN"/>
        </w:rPr>
        <w:t>：</w:t>
      </w:r>
    </w:p>
    <w:p w14:paraId="4827AA5A" w14:textId="77777777" w:rsidR="00D30DF7" w:rsidRPr="00AC71A0" w:rsidRDefault="00D30DF7" w:rsidP="007001EB">
      <w:pPr>
        <w:pStyle w:val="enumlev2"/>
        <w:rPr>
          <w:lang w:eastAsia="zh-CN"/>
        </w:rPr>
      </w:pPr>
      <w:r w:rsidRPr="00AC71A0">
        <w:rPr>
          <w:lang w:eastAsia="zh-CN"/>
        </w:rPr>
        <w:t>–</w:t>
      </w:r>
      <w:r w:rsidRPr="00AC71A0">
        <w:rPr>
          <w:lang w:eastAsia="zh-CN"/>
        </w:rPr>
        <w:tab/>
      </w:r>
      <w:r w:rsidRPr="00AC71A0">
        <w:rPr>
          <w:rFonts w:hint="eastAsia"/>
          <w:lang w:eastAsia="zh-CN"/>
        </w:rPr>
        <w:t>区域性电信组织；</w:t>
      </w:r>
    </w:p>
    <w:p w14:paraId="4827AA5B" w14:textId="77777777" w:rsidR="00D30DF7" w:rsidRPr="00AC71A0" w:rsidRDefault="00D30DF7" w:rsidP="007001EB">
      <w:pPr>
        <w:pStyle w:val="enumlev2"/>
        <w:rPr>
          <w:lang w:eastAsia="zh-CN"/>
        </w:rPr>
      </w:pPr>
      <w:r w:rsidRPr="00AC71A0">
        <w:rPr>
          <w:lang w:eastAsia="zh-CN"/>
        </w:rPr>
        <w:t>–</w:t>
      </w:r>
      <w:r w:rsidRPr="00AC71A0">
        <w:rPr>
          <w:lang w:eastAsia="zh-CN"/>
        </w:rPr>
        <w:tab/>
      </w:r>
      <w:r w:rsidRPr="00AC71A0">
        <w:rPr>
          <w:rFonts w:hint="eastAsia"/>
          <w:lang w:eastAsia="zh-CN"/>
        </w:rPr>
        <w:t>运营卫星系统的政府间组织；</w:t>
      </w:r>
    </w:p>
    <w:p w14:paraId="4827AA5C" w14:textId="77777777" w:rsidR="00D30DF7" w:rsidRPr="00AC71A0" w:rsidRDefault="00D30DF7" w:rsidP="007001EB">
      <w:pPr>
        <w:pStyle w:val="enumlev2"/>
        <w:rPr>
          <w:lang w:eastAsia="zh-CN"/>
        </w:rPr>
      </w:pPr>
      <w:r w:rsidRPr="00AC71A0">
        <w:rPr>
          <w:lang w:eastAsia="zh-CN"/>
        </w:rPr>
        <w:t>–</w:t>
      </w:r>
      <w:r w:rsidRPr="00AC71A0">
        <w:rPr>
          <w:lang w:eastAsia="zh-CN"/>
        </w:rPr>
        <w:tab/>
      </w:r>
      <w:r w:rsidRPr="00AC71A0">
        <w:rPr>
          <w:rFonts w:hint="eastAsia"/>
          <w:lang w:eastAsia="zh-CN"/>
        </w:rPr>
        <w:t>区域性组织及其他国际组织；</w:t>
      </w:r>
    </w:p>
    <w:p w14:paraId="4827AA5D" w14:textId="77777777" w:rsidR="00D30DF7" w:rsidRPr="00AC71A0" w:rsidRDefault="00D30DF7" w:rsidP="007001EB">
      <w:pPr>
        <w:pStyle w:val="enumlev2"/>
        <w:rPr>
          <w:lang w:eastAsia="zh-CN"/>
        </w:rPr>
      </w:pPr>
      <w:r w:rsidRPr="00AC71A0">
        <w:rPr>
          <w:lang w:eastAsia="zh-CN"/>
        </w:rPr>
        <w:t>–</w:t>
      </w:r>
      <w:r w:rsidRPr="00AC71A0">
        <w:rPr>
          <w:lang w:eastAsia="zh-CN"/>
        </w:rPr>
        <w:tab/>
      </w:r>
      <w:r w:rsidRPr="00AC71A0">
        <w:rPr>
          <w:rFonts w:hint="eastAsia"/>
          <w:lang w:eastAsia="zh-CN"/>
        </w:rPr>
        <w:t>联合国各专门机构和国际原子能机构；</w:t>
      </w:r>
    </w:p>
    <w:p w14:paraId="4827AA5E" w14:textId="77777777" w:rsidR="00D30DF7" w:rsidRPr="00AC71A0" w:rsidRDefault="00D30DF7" w:rsidP="007001EB">
      <w:pPr>
        <w:pStyle w:val="enumlev1"/>
        <w:rPr>
          <w:lang w:eastAsia="zh-CN"/>
        </w:rPr>
      </w:pPr>
      <w:r w:rsidRPr="00AC71A0">
        <w:rPr>
          <w:lang w:eastAsia="zh-CN"/>
        </w:rPr>
        <w:t>5.2</w:t>
      </w:r>
      <w:r w:rsidRPr="00AC71A0">
        <w:rPr>
          <w:lang w:eastAsia="zh-CN"/>
        </w:rPr>
        <w:tab/>
      </w:r>
      <w:r w:rsidRPr="00AC71A0">
        <w:rPr>
          <w:rFonts w:hint="eastAsia"/>
          <w:lang w:eastAsia="zh-CN"/>
        </w:rPr>
        <w:t>依照上述第</w:t>
      </w:r>
      <w:r w:rsidRPr="00AC71A0">
        <w:rPr>
          <w:rFonts w:hint="eastAsia"/>
          <w:lang w:eastAsia="zh-CN"/>
        </w:rPr>
        <w:t>5.1</w:t>
      </w:r>
      <w:r w:rsidRPr="00AC71A0">
        <w:rPr>
          <w:rFonts w:hint="eastAsia"/>
          <w:lang w:eastAsia="zh-CN"/>
        </w:rPr>
        <w:t>款，将相关组织的名单提交理事会审议和批准；</w:t>
      </w:r>
    </w:p>
    <w:p w14:paraId="4827AA5F" w14:textId="77777777" w:rsidR="00D30DF7" w:rsidRPr="00AC71A0" w:rsidRDefault="00D30DF7" w:rsidP="007001EB">
      <w:pPr>
        <w:pStyle w:val="enumlev1"/>
        <w:rPr>
          <w:lang w:eastAsia="zh-CN"/>
        </w:rPr>
      </w:pPr>
      <w:r w:rsidRPr="00AC71A0">
        <w:rPr>
          <w:lang w:eastAsia="zh-CN"/>
        </w:rPr>
        <w:t>5.3</w:t>
      </w:r>
      <w:r w:rsidRPr="00AC71A0">
        <w:rPr>
          <w:lang w:eastAsia="zh-CN"/>
        </w:rPr>
        <w:tab/>
      </w:r>
      <w:r w:rsidRPr="00AC71A0">
        <w:rPr>
          <w:rFonts w:hint="eastAsia"/>
          <w:lang w:eastAsia="zh-CN"/>
        </w:rPr>
        <w:t>在国际电联网站上公布经理事会批准的相关组织名单；</w:t>
      </w:r>
    </w:p>
    <w:p w14:paraId="4827AA60" w14:textId="77777777" w:rsidR="00D30DF7" w:rsidRPr="00AC71A0" w:rsidRDefault="00D30DF7" w:rsidP="007001EB">
      <w:pPr>
        <w:pStyle w:val="enumlev1"/>
        <w:rPr>
          <w:lang w:eastAsia="zh-CN"/>
        </w:rPr>
      </w:pPr>
      <w:r w:rsidRPr="00AC71A0">
        <w:rPr>
          <w:lang w:eastAsia="zh-CN"/>
        </w:rPr>
        <w:t>5.4</w:t>
      </w:r>
      <w:r w:rsidRPr="00AC71A0">
        <w:rPr>
          <w:lang w:eastAsia="zh-CN"/>
        </w:rPr>
        <w:tab/>
      </w:r>
      <w:r w:rsidRPr="00AC71A0">
        <w:rPr>
          <w:rFonts w:hint="eastAsia"/>
          <w:lang w:eastAsia="zh-CN"/>
        </w:rPr>
        <w:t>向理事会汇报为落实本决议所采取的措施；</w:t>
      </w:r>
    </w:p>
    <w:p w14:paraId="4827AA61" w14:textId="77777777" w:rsidR="00D30DF7" w:rsidRDefault="00D30DF7" w:rsidP="00D30DF7">
      <w:pPr>
        <w:spacing w:before="80"/>
        <w:rPr>
          <w:lang w:eastAsia="zh-CN"/>
        </w:rPr>
      </w:pPr>
      <w:r w:rsidRPr="00AC71A0">
        <w:rPr>
          <w:lang w:val="en-US" w:eastAsia="zh-CN"/>
        </w:rPr>
        <w:t>6</w:t>
      </w:r>
      <w:r w:rsidRPr="00AC71A0">
        <w:rPr>
          <w:lang w:val="en-US" w:eastAsia="zh-CN"/>
        </w:rPr>
        <w:tab/>
      </w:r>
      <w:r w:rsidRPr="00AC71A0">
        <w:rPr>
          <w:rFonts w:hint="eastAsia"/>
          <w:lang w:eastAsia="zh-CN"/>
        </w:rPr>
        <w:t>保留第</w:t>
      </w:r>
      <w:r w:rsidRPr="00AC71A0">
        <w:rPr>
          <w:rFonts w:hint="eastAsia"/>
          <w:lang w:eastAsia="zh-CN"/>
        </w:rPr>
        <w:t>925</w:t>
      </w:r>
      <w:r w:rsidRPr="00AC71A0">
        <w:rPr>
          <w:rFonts w:hint="eastAsia"/>
          <w:lang w:eastAsia="zh-CN"/>
        </w:rPr>
        <w:t>号决议（</w:t>
      </w:r>
      <w:r w:rsidRPr="00AC71A0">
        <w:rPr>
          <w:rFonts w:hint="eastAsia"/>
          <w:lang w:eastAsia="zh-CN"/>
        </w:rPr>
        <w:t>C-1985</w:t>
      </w:r>
      <w:r w:rsidRPr="00AC71A0">
        <w:rPr>
          <w:rFonts w:hint="eastAsia"/>
          <w:lang w:eastAsia="zh-CN"/>
        </w:rPr>
        <w:t>，最后修正</w:t>
      </w:r>
      <w:r>
        <w:rPr>
          <w:rFonts w:hint="eastAsia"/>
          <w:lang w:eastAsia="zh-CN"/>
        </w:rPr>
        <w:t>C-</w:t>
      </w:r>
      <w:r w:rsidRPr="00AC71A0">
        <w:rPr>
          <w:rFonts w:hint="eastAsia"/>
          <w:lang w:eastAsia="zh-CN"/>
        </w:rPr>
        <w:t>01</w:t>
      </w:r>
      <w:r w:rsidRPr="00AC71A0">
        <w:rPr>
          <w:rFonts w:hint="eastAsia"/>
          <w:lang w:eastAsia="zh-CN"/>
        </w:rPr>
        <w:t>）第</w:t>
      </w:r>
      <w:r w:rsidRPr="00AC71A0">
        <w:rPr>
          <w:rFonts w:hint="eastAsia"/>
          <w:lang w:eastAsia="zh-CN"/>
        </w:rPr>
        <w:t>4</w:t>
      </w:r>
      <w:r w:rsidRPr="00AC71A0">
        <w:rPr>
          <w:rFonts w:hint="eastAsia"/>
          <w:lang w:eastAsia="zh-CN"/>
        </w:rPr>
        <w:t>节所述的相关组织名单，直至理事会依照本决议</w:t>
      </w:r>
      <w:r w:rsidRPr="00C3080F">
        <w:rPr>
          <w:rFonts w:ascii="STKaiti" w:eastAsia="STKaiti" w:hAnsi="STKaiti" w:hint="eastAsia"/>
          <w:lang w:eastAsia="zh-CN"/>
        </w:rPr>
        <w:t>做出决议</w:t>
      </w:r>
      <w:r w:rsidRPr="00AC71A0">
        <w:rPr>
          <w:rFonts w:hint="eastAsia"/>
          <w:lang w:eastAsia="zh-CN"/>
        </w:rPr>
        <w:t>5.2</w:t>
      </w:r>
      <w:r w:rsidRPr="00AC71A0">
        <w:rPr>
          <w:rFonts w:hint="eastAsia"/>
          <w:lang w:eastAsia="zh-CN"/>
        </w:rPr>
        <w:t>通过一份替换名单为止。</w:t>
      </w:r>
    </w:p>
    <w:p w14:paraId="4827AA62" w14:textId="77777777" w:rsidR="00D30DF7" w:rsidRPr="00EC41DE" w:rsidRDefault="00D30DF7" w:rsidP="005C6604">
      <w:pPr>
        <w:pStyle w:val="Endtext"/>
        <w:rPr>
          <w:lang w:val="en-GB" w:eastAsia="zh-CN"/>
        </w:rPr>
      </w:pPr>
      <w:r w:rsidRPr="00D30DF7">
        <w:rPr>
          <w:rFonts w:ascii="STKaiti" w:hAnsi="STKaiti" w:hint="eastAsia"/>
          <w:lang w:eastAsia="zh-CN"/>
        </w:rPr>
        <w:t>参阅</w:t>
      </w:r>
      <w:r w:rsidRPr="00EC41DE">
        <w:rPr>
          <w:rFonts w:ascii="STKaiti" w:hAnsi="STKaiti" w:hint="eastAsia"/>
          <w:lang w:val="en-GB" w:eastAsia="zh-CN"/>
        </w:rPr>
        <w:t>：</w:t>
      </w:r>
      <w:r w:rsidRPr="00EC41DE">
        <w:rPr>
          <w:lang w:val="en-GB"/>
        </w:rPr>
        <w:tab/>
        <w:t>6376/CA40</w:t>
      </w:r>
      <w:r w:rsidRPr="00EC41DE">
        <w:rPr>
          <w:lang w:val="en-GB"/>
        </w:rPr>
        <w:t>（</w:t>
      </w:r>
      <w:r w:rsidRPr="00EC41DE">
        <w:rPr>
          <w:lang w:val="en-GB"/>
        </w:rPr>
        <w:t>1985</w:t>
      </w:r>
      <w:r>
        <w:rPr>
          <w:rFonts w:hint="eastAsia"/>
          <w:lang w:eastAsia="zh-CN"/>
        </w:rPr>
        <w:t>年</w:t>
      </w:r>
      <w:r w:rsidRPr="00EC41DE">
        <w:rPr>
          <w:lang w:val="en-GB"/>
        </w:rPr>
        <w:t>）</w:t>
      </w:r>
      <w:r>
        <w:rPr>
          <w:rFonts w:hint="eastAsia"/>
          <w:lang w:eastAsia="zh-CN"/>
        </w:rPr>
        <w:t>、</w:t>
      </w:r>
      <w:r w:rsidRPr="00EC41DE">
        <w:rPr>
          <w:lang w:val="en-GB"/>
        </w:rPr>
        <w:t>6512/CA41</w:t>
      </w:r>
      <w:r w:rsidRPr="00EC41DE">
        <w:rPr>
          <w:lang w:val="en-GB"/>
        </w:rPr>
        <w:t>（</w:t>
      </w:r>
      <w:r w:rsidRPr="00EC41DE">
        <w:rPr>
          <w:lang w:val="en-GB"/>
        </w:rPr>
        <w:t>1986</w:t>
      </w:r>
      <w:r>
        <w:rPr>
          <w:rFonts w:hint="eastAsia"/>
          <w:lang w:eastAsia="zh-CN"/>
        </w:rPr>
        <w:t>年</w:t>
      </w:r>
      <w:r w:rsidRPr="00EC41DE">
        <w:rPr>
          <w:lang w:val="en-GB"/>
        </w:rPr>
        <w:t>）</w:t>
      </w:r>
      <w:r>
        <w:rPr>
          <w:rFonts w:hint="eastAsia"/>
          <w:lang w:eastAsia="zh-CN"/>
        </w:rPr>
        <w:t>、</w:t>
      </w:r>
      <w:r w:rsidRPr="00EC41DE">
        <w:rPr>
          <w:lang w:val="en-GB"/>
        </w:rPr>
        <w:t>6639</w:t>
      </w:r>
      <w:r>
        <w:rPr>
          <w:rFonts w:hint="eastAsia"/>
          <w:lang w:eastAsia="zh-CN"/>
        </w:rPr>
        <w:t>和</w:t>
      </w:r>
      <w:r w:rsidRPr="00EC41DE">
        <w:rPr>
          <w:lang w:val="en-GB"/>
        </w:rPr>
        <w:t>6652/CA42</w:t>
      </w:r>
      <w:r w:rsidRPr="00EC41DE">
        <w:rPr>
          <w:lang w:val="en-GB"/>
        </w:rPr>
        <w:t>（</w:t>
      </w:r>
      <w:r w:rsidRPr="00EC41DE">
        <w:rPr>
          <w:lang w:val="en-GB"/>
        </w:rPr>
        <w:t>1987</w:t>
      </w:r>
      <w:r>
        <w:rPr>
          <w:rFonts w:hint="eastAsia"/>
          <w:lang w:eastAsia="zh-CN"/>
        </w:rPr>
        <w:t>年</w:t>
      </w:r>
      <w:r w:rsidRPr="00EC41DE">
        <w:rPr>
          <w:lang w:val="en-GB"/>
        </w:rPr>
        <w:t>）</w:t>
      </w:r>
      <w:r>
        <w:rPr>
          <w:rFonts w:hint="eastAsia"/>
          <w:lang w:eastAsia="zh-CN"/>
        </w:rPr>
        <w:t>、</w:t>
      </w:r>
      <w:r w:rsidRPr="00EC41DE">
        <w:rPr>
          <w:lang w:val="en-GB"/>
        </w:rPr>
        <w:t>6778</w:t>
      </w:r>
      <w:r w:rsidRPr="00775639">
        <w:rPr>
          <w:rFonts w:hint="eastAsia"/>
          <w:spacing w:val="2"/>
          <w:lang w:eastAsia="zh-CN"/>
        </w:rPr>
        <w:t>和</w:t>
      </w:r>
      <w:r w:rsidRPr="00EC41DE">
        <w:rPr>
          <w:spacing w:val="2"/>
          <w:lang w:val="en-GB"/>
        </w:rPr>
        <w:t>6812/CA43</w:t>
      </w:r>
      <w:r w:rsidRPr="00EC41DE">
        <w:rPr>
          <w:spacing w:val="2"/>
          <w:lang w:val="en-GB"/>
        </w:rPr>
        <w:t>（</w:t>
      </w:r>
      <w:r w:rsidRPr="00EC41DE">
        <w:rPr>
          <w:spacing w:val="2"/>
          <w:lang w:val="en-GB"/>
        </w:rPr>
        <w:t>1988</w:t>
      </w:r>
      <w:r w:rsidRPr="00775639">
        <w:rPr>
          <w:rFonts w:hint="eastAsia"/>
          <w:spacing w:val="2"/>
          <w:lang w:eastAsia="zh-CN"/>
        </w:rPr>
        <w:t>年</w:t>
      </w:r>
      <w:r w:rsidRPr="00EC41DE">
        <w:rPr>
          <w:spacing w:val="2"/>
          <w:lang w:val="en-GB"/>
        </w:rPr>
        <w:t>）</w:t>
      </w:r>
      <w:r w:rsidRPr="00775639">
        <w:rPr>
          <w:rFonts w:hint="eastAsia"/>
          <w:spacing w:val="2"/>
          <w:lang w:eastAsia="zh-CN"/>
        </w:rPr>
        <w:t>、</w:t>
      </w:r>
      <w:r w:rsidRPr="00EC41DE">
        <w:rPr>
          <w:spacing w:val="2"/>
          <w:lang w:val="en-GB"/>
        </w:rPr>
        <w:t>6896</w:t>
      </w:r>
      <w:r w:rsidRPr="00775639">
        <w:rPr>
          <w:rFonts w:hint="eastAsia"/>
          <w:spacing w:val="2"/>
          <w:lang w:eastAsia="zh-CN"/>
        </w:rPr>
        <w:t>和</w:t>
      </w:r>
      <w:r w:rsidRPr="00EC41DE">
        <w:rPr>
          <w:spacing w:val="2"/>
          <w:lang w:val="en-GB"/>
        </w:rPr>
        <w:t>6903/CA44</w:t>
      </w:r>
      <w:r w:rsidRPr="00EC41DE">
        <w:rPr>
          <w:spacing w:val="2"/>
          <w:lang w:val="en-GB"/>
        </w:rPr>
        <w:t>（</w:t>
      </w:r>
      <w:r w:rsidRPr="00EC41DE">
        <w:rPr>
          <w:spacing w:val="2"/>
          <w:lang w:val="en-GB"/>
        </w:rPr>
        <w:t>1989</w:t>
      </w:r>
      <w:r w:rsidRPr="00775639">
        <w:rPr>
          <w:rFonts w:hint="eastAsia"/>
          <w:spacing w:val="2"/>
          <w:lang w:eastAsia="zh-CN"/>
        </w:rPr>
        <w:t>年</w:t>
      </w:r>
      <w:r w:rsidRPr="00EC41DE">
        <w:rPr>
          <w:spacing w:val="2"/>
          <w:lang w:val="en-GB"/>
        </w:rPr>
        <w:t>）</w:t>
      </w:r>
      <w:r w:rsidRPr="00775639">
        <w:rPr>
          <w:rFonts w:hint="eastAsia"/>
          <w:spacing w:val="2"/>
          <w:lang w:eastAsia="zh-CN"/>
        </w:rPr>
        <w:t>、</w:t>
      </w:r>
      <w:r w:rsidRPr="00EC41DE">
        <w:rPr>
          <w:spacing w:val="2"/>
          <w:lang w:val="en-GB"/>
        </w:rPr>
        <w:t>7037</w:t>
      </w:r>
      <w:r w:rsidRPr="00775639">
        <w:rPr>
          <w:rFonts w:hint="eastAsia"/>
          <w:spacing w:val="2"/>
          <w:lang w:eastAsia="zh-CN"/>
        </w:rPr>
        <w:t>和</w:t>
      </w:r>
      <w:r w:rsidRPr="00EC41DE">
        <w:rPr>
          <w:spacing w:val="2"/>
          <w:lang w:val="en-GB"/>
        </w:rPr>
        <w:t>7063/CA45</w:t>
      </w:r>
      <w:r w:rsidRPr="00EC41DE">
        <w:rPr>
          <w:spacing w:val="2"/>
          <w:lang w:val="en-GB"/>
        </w:rPr>
        <w:t>（</w:t>
      </w:r>
      <w:r w:rsidRPr="00EC41DE">
        <w:rPr>
          <w:spacing w:val="2"/>
          <w:lang w:val="en-GB"/>
        </w:rPr>
        <w:t>1990</w:t>
      </w:r>
      <w:r w:rsidRPr="00775639">
        <w:rPr>
          <w:rFonts w:hint="eastAsia"/>
          <w:spacing w:val="2"/>
          <w:lang w:eastAsia="zh-CN"/>
        </w:rPr>
        <w:t>年</w:t>
      </w:r>
      <w:r w:rsidRPr="00EC41DE">
        <w:rPr>
          <w:spacing w:val="2"/>
          <w:lang w:val="en-GB"/>
        </w:rPr>
        <w:t>）</w:t>
      </w:r>
      <w:r w:rsidRPr="00775639">
        <w:rPr>
          <w:rFonts w:hint="eastAsia"/>
          <w:spacing w:val="2"/>
          <w:lang w:eastAsia="zh-CN"/>
        </w:rPr>
        <w:t>、</w:t>
      </w:r>
      <w:r w:rsidRPr="00EC41DE">
        <w:rPr>
          <w:lang w:val="en-GB"/>
        </w:rPr>
        <w:t>7186</w:t>
      </w:r>
      <w:r>
        <w:rPr>
          <w:rFonts w:hint="eastAsia"/>
          <w:lang w:eastAsia="zh-CN"/>
        </w:rPr>
        <w:t>和</w:t>
      </w:r>
      <w:r w:rsidRPr="00EC41DE">
        <w:rPr>
          <w:lang w:val="en-GB"/>
        </w:rPr>
        <w:t>7175/CA46</w:t>
      </w:r>
      <w:r w:rsidRPr="00EC41DE">
        <w:rPr>
          <w:lang w:val="en-GB"/>
        </w:rPr>
        <w:t>（</w:t>
      </w:r>
      <w:r w:rsidRPr="00EC41DE">
        <w:rPr>
          <w:lang w:val="en-GB"/>
        </w:rPr>
        <w:t>1991</w:t>
      </w:r>
      <w:r>
        <w:rPr>
          <w:rFonts w:hint="eastAsia"/>
          <w:lang w:eastAsia="zh-CN"/>
        </w:rPr>
        <w:t>年</w:t>
      </w:r>
      <w:r w:rsidRPr="00EC41DE">
        <w:rPr>
          <w:lang w:val="en-GB"/>
        </w:rPr>
        <w:t>）</w:t>
      </w:r>
      <w:r>
        <w:rPr>
          <w:rFonts w:hint="eastAsia"/>
          <w:lang w:eastAsia="zh-CN"/>
        </w:rPr>
        <w:t>、</w:t>
      </w:r>
      <w:r w:rsidRPr="00EC41DE">
        <w:rPr>
          <w:lang w:val="en-GB"/>
        </w:rPr>
        <w:t>C94/158</w:t>
      </w:r>
      <w:r>
        <w:rPr>
          <w:rFonts w:hint="eastAsia"/>
          <w:lang w:eastAsia="zh-CN"/>
        </w:rPr>
        <w:t>和</w:t>
      </w:r>
      <w:r w:rsidRPr="00EC41DE">
        <w:rPr>
          <w:lang w:val="en-GB"/>
        </w:rPr>
        <w:t>C94/132</w:t>
      </w:r>
      <w:r>
        <w:rPr>
          <w:rFonts w:hint="eastAsia"/>
          <w:lang w:eastAsia="zh-CN"/>
        </w:rPr>
        <w:t>、</w:t>
      </w:r>
      <w:r w:rsidRPr="00EC41DE">
        <w:rPr>
          <w:lang w:val="en-GB"/>
        </w:rPr>
        <w:t>C95/116</w:t>
      </w:r>
      <w:r>
        <w:rPr>
          <w:rFonts w:hint="eastAsia"/>
          <w:lang w:eastAsia="zh-CN"/>
        </w:rPr>
        <w:t>和</w:t>
      </w:r>
      <w:r w:rsidRPr="00EC41DE">
        <w:rPr>
          <w:lang w:val="en-GB"/>
        </w:rPr>
        <w:t>C95/117</w:t>
      </w:r>
      <w:r>
        <w:rPr>
          <w:rFonts w:hint="eastAsia"/>
          <w:lang w:eastAsia="zh-CN"/>
        </w:rPr>
        <w:t>、</w:t>
      </w:r>
      <w:r w:rsidRPr="00EC41DE">
        <w:rPr>
          <w:lang w:val="en-GB"/>
        </w:rPr>
        <w:t>C96/135</w:t>
      </w:r>
      <w:r>
        <w:rPr>
          <w:rFonts w:hint="eastAsia"/>
          <w:lang w:eastAsia="zh-CN"/>
        </w:rPr>
        <w:t>和</w:t>
      </w:r>
      <w:r w:rsidRPr="00EC41DE">
        <w:rPr>
          <w:lang w:val="en-GB"/>
        </w:rPr>
        <w:t>C96/137</w:t>
      </w:r>
      <w:r>
        <w:rPr>
          <w:rFonts w:hint="eastAsia"/>
          <w:lang w:eastAsia="zh-CN"/>
        </w:rPr>
        <w:t>、</w:t>
      </w:r>
      <w:hyperlink r:id="rId71" w:history="1">
        <w:r w:rsidRPr="00F71194">
          <w:rPr>
            <w:rStyle w:val="Hyperlink"/>
            <w:lang w:val="en-US"/>
          </w:rPr>
          <w:t>C98/67</w:t>
        </w:r>
      </w:hyperlink>
      <w:r>
        <w:rPr>
          <w:rFonts w:hint="eastAsia"/>
          <w:lang w:eastAsia="zh-CN"/>
        </w:rPr>
        <w:t>和</w:t>
      </w:r>
      <w:hyperlink r:id="rId72" w:history="1">
        <w:r w:rsidRPr="00F71194">
          <w:rPr>
            <w:rStyle w:val="Hyperlink"/>
            <w:lang w:val="en-US"/>
          </w:rPr>
          <w:t>C98/93</w:t>
        </w:r>
      </w:hyperlink>
      <w:r>
        <w:rPr>
          <w:rFonts w:hint="eastAsia"/>
          <w:lang w:eastAsia="zh-CN"/>
        </w:rPr>
        <w:t>、</w:t>
      </w:r>
      <w:hyperlink r:id="rId73" w:history="1">
        <w:r w:rsidRPr="00F71194">
          <w:rPr>
            <w:rStyle w:val="Hyperlink"/>
            <w:lang w:val="en-US"/>
          </w:rPr>
          <w:t>C99/29</w:t>
        </w:r>
      </w:hyperlink>
      <w:r>
        <w:rPr>
          <w:rFonts w:hint="eastAsia"/>
          <w:lang w:eastAsia="zh-CN"/>
        </w:rPr>
        <w:t>和</w:t>
      </w:r>
      <w:hyperlink r:id="rId74" w:history="1">
        <w:r w:rsidRPr="00F71194">
          <w:rPr>
            <w:rStyle w:val="Hyperlink"/>
            <w:lang w:val="en-US"/>
          </w:rPr>
          <w:t>C99/133</w:t>
        </w:r>
      </w:hyperlink>
      <w:r>
        <w:rPr>
          <w:rFonts w:hint="eastAsia"/>
          <w:lang w:eastAsia="zh-CN"/>
        </w:rPr>
        <w:t>、</w:t>
      </w:r>
      <w:hyperlink r:id="rId75" w:history="1">
        <w:r w:rsidRPr="00F22AB1">
          <w:rPr>
            <w:rStyle w:val="Hyperlink"/>
            <w:lang w:val="en-US"/>
          </w:rPr>
          <w:t>C01/26</w:t>
        </w:r>
      </w:hyperlink>
      <w:r w:rsidR="007001EB">
        <w:rPr>
          <w:rFonts w:hint="eastAsia"/>
          <w:lang w:val="en-US" w:eastAsia="zh-CN"/>
        </w:rPr>
        <w:t>、</w:t>
      </w:r>
      <w:hyperlink r:id="rId76" w:history="1">
        <w:r>
          <w:rPr>
            <w:rStyle w:val="Hyperlink"/>
            <w:rFonts w:hint="eastAsia"/>
            <w:lang w:val="en-US" w:eastAsia="zh-CN"/>
          </w:rPr>
          <w:t>附录</w:t>
        </w:r>
        <w:r w:rsidRPr="00F22AB1">
          <w:rPr>
            <w:rStyle w:val="Hyperlink"/>
            <w:lang w:val="en-US"/>
          </w:rPr>
          <w:t>1</w:t>
        </w:r>
      </w:hyperlink>
      <w:r>
        <w:rPr>
          <w:rFonts w:hint="eastAsia"/>
          <w:lang w:eastAsia="zh-CN"/>
        </w:rPr>
        <w:t>和</w:t>
      </w:r>
      <w:hyperlink r:id="rId77" w:history="1">
        <w:r w:rsidRPr="00F22AB1">
          <w:rPr>
            <w:rStyle w:val="Hyperlink"/>
            <w:lang w:val="en-US"/>
          </w:rPr>
          <w:t>2</w:t>
        </w:r>
      </w:hyperlink>
      <w:r w:rsidR="007001EB">
        <w:rPr>
          <w:rFonts w:hint="eastAsia"/>
          <w:lang w:eastAsia="zh-CN"/>
        </w:rPr>
        <w:t>及</w:t>
      </w:r>
      <w:hyperlink r:id="rId78" w:history="1">
        <w:r w:rsidRPr="00F22AB1">
          <w:rPr>
            <w:rStyle w:val="Hyperlink"/>
            <w:lang w:val="en-US"/>
          </w:rPr>
          <w:t>C01/132</w:t>
        </w:r>
      </w:hyperlink>
      <w:r w:rsidRPr="00775639">
        <w:rPr>
          <w:rFonts w:hint="eastAsia"/>
          <w:spacing w:val="2"/>
          <w:lang w:eastAsia="zh-CN"/>
        </w:rPr>
        <w:t>、</w:t>
      </w:r>
      <w:hyperlink r:id="rId79" w:history="1">
        <w:r w:rsidRPr="00EC41DE">
          <w:rPr>
            <w:rStyle w:val="Hyperlink"/>
            <w:lang w:val="en-GB"/>
          </w:rPr>
          <w:t>C19/141</w:t>
        </w:r>
      </w:hyperlink>
      <w:r>
        <w:rPr>
          <w:rFonts w:hint="eastAsia"/>
          <w:lang w:eastAsia="zh-CN"/>
        </w:rPr>
        <w:t>和</w:t>
      </w:r>
      <w:hyperlink r:id="rId80" w:history="1">
        <w:r w:rsidRPr="00EC41DE">
          <w:rPr>
            <w:rStyle w:val="Hyperlink"/>
            <w:lang w:val="en-GB"/>
          </w:rPr>
          <w:t>C19/120</w:t>
        </w:r>
      </w:hyperlink>
      <w:r w:rsidR="007001EB">
        <w:rPr>
          <w:rFonts w:hint="eastAsia"/>
          <w:lang w:eastAsia="zh-CN"/>
        </w:rPr>
        <w:t>号文件</w:t>
      </w:r>
      <w:r w:rsidRPr="00C346DA">
        <w:rPr>
          <w:rFonts w:hint="eastAsia"/>
        </w:rPr>
        <w:t>。</w:t>
      </w:r>
    </w:p>
    <w:p w14:paraId="4827AA63" w14:textId="77777777" w:rsidR="005C6604" w:rsidRDefault="005C6604" w:rsidP="005C6604">
      <w:pPr>
        <w:spacing w:before="240"/>
        <w:jc w:val="center"/>
        <w:rPr>
          <w:lang w:eastAsia="zh-CN"/>
        </w:rPr>
      </w:pPr>
      <w:bookmarkStart w:id="96" w:name="_Toc424116913"/>
      <w:bookmarkStart w:id="97" w:name="_Toc531706256"/>
      <w:bookmarkStart w:id="98" w:name="_Toc531706850"/>
      <w:bookmarkStart w:id="99" w:name="_Toc531768343"/>
      <w:r>
        <w:rPr>
          <w:lang w:eastAsia="zh-CN"/>
        </w:rPr>
        <w:t>________________</w:t>
      </w:r>
    </w:p>
    <w:p w14:paraId="4827AA64" w14:textId="77777777" w:rsidR="00D30DF7" w:rsidRDefault="00D30DF7">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A65" w14:textId="77777777" w:rsidR="005C6604" w:rsidRDefault="005C6604">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A66" w14:textId="77777777" w:rsidR="00976C2A" w:rsidRDefault="00976C2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A67" w14:textId="77777777" w:rsidR="00976C2A" w:rsidRDefault="00976C2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A68" w14:textId="77777777" w:rsidR="00D30DF7" w:rsidRDefault="00D30DF7">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A69" w14:textId="77777777" w:rsidR="00D30DF7" w:rsidRDefault="00D30DF7">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A6A" w14:textId="77777777" w:rsidR="00D30DF7" w:rsidRDefault="00D30DF7">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AA6B" w14:textId="77777777" w:rsidR="00C346DA" w:rsidRPr="00C346DA" w:rsidRDefault="00DB40F5" w:rsidP="00CD1C3A">
      <w:pPr>
        <w:pStyle w:val="ResNo"/>
        <w:outlineLvl w:val="0"/>
        <w:rPr>
          <w:lang w:eastAsia="zh-CN"/>
        </w:rPr>
      </w:pPr>
      <w:bookmarkStart w:id="100" w:name="_Toc16085664"/>
      <w:bookmarkStart w:id="101" w:name="_Toc86395468"/>
      <w:r w:rsidRPr="00C346DA">
        <w:rPr>
          <w:rFonts w:hint="eastAsia"/>
          <w:lang w:eastAsia="zh-CN"/>
        </w:rPr>
        <w:lastRenderedPageBreak/>
        <w:t>第</w:t>
      </w:r>
      <w:r w:rsidRPr="00C346DA">
        <w:rPr>
          <w:lang w:eastAsia="zh-CN"/>
        </w:rPr>
        <w:t>1111</w:t>
      </w:r>
      <w:r w:rsidRPr="00C346DA">
        <w:rPr>
          <w:rFonts w:hint="eastAsia"/>
          <w:lang w:eastAsia="zh-CN"/>
        </w:rPr>
        <w:t>号决议</w:t>
      </w:r>
      <w:r w:rsidR="007710D4">
        <w:rPr>
          <w:rFonts w:hint="eastAsia"/>
          <w:lang w:eastAsia="zh-CN"/>
        </w:rPr>
        <w:t>（</w:t>
      </w:r>
      <w:r w:rsidR="00C346DA" w:rsidRPr="00C346DA">
        <w:rPr>
          <w:lang w:eastAsia="zh-CN"/>
        </w:rPr>
        <w:t>C-1997</w:t>
      </w:r>
      <w:r w:rsidR="007710D4">
        <w:rPr>
          <w:rFonts w:hint="eastAsia"/>
          <w:lang w:eastAsia="zh-CN"/>
        </w:rPr>
        <w:t>）</w:t>
      </w:r>
      <w:bookmarkEnd w:id="96"/>
      <w:bookmarkEnd w:id="97"/>
      <w:bookmarkEnd w:id="98"/>
      <w:bookmarkEnd w:id="99"/>
      <w:bookmarkEnd w:id="100"/>
      <w:bookmarkEnd w:id="101"/>
    </w:p>
    <w:p w14:paraId="4827AA6C" w14:textId="77777777" w:rsidR="00DB40F5" w:rsidRPr="00DB40F5" w:rsidRDefault="00DB40F5" w:rsidP="003D6D6B">
      <w:pPr>
        <w:pStyle w:val="Restitle"/>
        <w:rPr>
          <w:lang w:eastAsia="zh-CN"/>
        </w:rPr>
      </w:pPr>
      <w:bookmarkStart w:id="102" w:name="_Toc424116197"/>
      <w:bookmarkStart w:id="103" w:name="_Toc424116914"/>
      <w:bookmarkStart w:id="104" w:name="_Toc460248023"/>
      <w:bookmarkStart w:id="105" w:name="_Toc531706257"/>
      <w:bookmarkStart w:id="106" w:name="_Toc531706851"/>
      <w:bookmarkStart w:id="107" w:name="_Toc531768344"/>
      <w:bookmarkStart w:id="108" w:name="_Toc16085665"/>
      <w:bookmarkStart w:id="109" w:name="_Toc86395469"/>
      <w:r w:rsidRPr="003D6D6B">
        <w:rPr>
          <w:rFonts w:hint="eastAsia"/>
          <w:lang w:eastAsia="zh-CN"/>
        </w:rPr>
        <w:t>电信展盈余基金</w:t>
      </w:r>
      <w:bookmarkEnd w:id="81"/>
      <w:bookmarkEnd w:id="82"/>
      <w:bookmarkEnd w:id="83"/>
      <w:bookmarkEnd w:id="84"/>
      <w:bookmarkEnd w:id="85"/>
      <w:bookmarkEnd w:id="102"/>
      <w:bookmarkEnd w:id="103"/>
      <w:bookmarkEnd w:id="104"/>
      <w:bookmarkEnd w:id="105"/>
      <w:bookmarkEnd w:id="106"/>
      <w:bookmarkEnd w:id="107"/>
      <w:bookmarkEnd w:id="108"/>
      <w:bookmarkEnd w:id="109"/>
    </w:p>
    <w:bookmarkEnd w:id="86"/>
    <w:bookmarkEnd w:id="87"/>
    <w:bookmarkEnd w:id="88"/>
    <w:p w14:paraId="4827AA6D" w14:textId="77777777" w:rsidR="00073930" w:rsidRDefault="00073930" w:rsidP="00B64353">
      <w:pPr>
        <w:pStyle w:val="Normalaftertitle"/>
        <w:spacing w:before="200"/>
        <w:rPr>
          <w:lang w:eastAsia="zh-CN"/>
        </w:rPr>
      </w:pPr>
      <w:r>
        <w:rPr>
          <w:rFonts w:hint="eastAsia"/>
          <w:lang w:eastAsia="zh-CN"/>
        </w:rPr>
        <w:t>理事会</w:t>
      </w:r>
      <w:r w:rsidR="008B2055">
        <w:rPr>
          <w:rFonts w:hint="eastAsia"/>
          <w:lang w:eastAsia="zh-CN"/>
        </w:rPr>
        <w:t>，</w:t>
      </w:r>
    </w:p>
    <w:p w14:paraId="4827AA6E" w14:textId="77777777" w:rsidR="00073930" w:rsidRPr="00651922" w:rsidRDefault="00073930" w:rsidP="00B64353">
      <w:pPr>
        <w:ind w:firstLine="510"/>
        <w:rPr>
          <w:iCs/>
          <w:szCs w:val="22"/>
          <w:lang w:eastAsia="zh-CN"/>
        </w:rPr>
      </w:pPr>
      <w:r w:rsidRPr="00651922">
        <w:rPr>
          <w:rFonts w:eastAsia="STKaiti"/>
          <w:color w:val="000000"/>
          <w:szCs w:val="22"/>
          <w:lang w:eastAsia="zh-CN"/>
        </w:rPr>
        <w:t>考虑到</w:t>
      </w:r>
      <w:r w:rsidRPr="00651922">
        <w:rPr>
          <w:iCs/>
          <w:szCs w:val="22"/>
          <w:lang w:eastAsia="zh-CN"/>
        </w:rPr>
        <w:t>1994</w:t>
      </w:r>
      <w:r w:rsidRPr="00651922">
        <w:rPr>
          <w:rFonts w:hAnsi="SimSun"/>
          <w:iCs/>
          <w:szCs w:val="22"/>
          <w:lang w:eastAsia="zh-CN"/>
        </w:rPr>
        <w:t>年京都第</w:t>
      </w:r>
      <w:r w:rsidRPr="00651922">
        <w:rPr>
          <w:iCs/>
          <w:szCs w:val="22"/>
          <w:lang w:eastAsia="zh-CN"/>
        </w:rPr>
        <w:t>11</w:t>
      </w:r>
      <w:r w:rsidRPr="00651922">
        <w:rPr>
          <w:lang w:val="es-ES" w:eastAsia="zh-CN"/>
        </w:rPr>
        <w:t>号决议关于使用电信展盈余资金的</w:t>
      </w:r>
      <w:r w:rsidRPr="00651922">
        <w:rPr>
          <w:rFonts w:ascii="SimSun" w:hAnsi="SimSun" w:hint="eastAsia"/>
          <w:iCs/>
          <w:szCs w:val="22"/>
          <w:lang w:eastAsia="zh-CN"/>
        </w:rPr>
        <w:t>“</w:t>
      </w:r>
      <w:r w:rsidRPr="00651922">
        <w:rPr>
          <w:rFonts w:asciiTheme="minorEastAsia" w:eastAsiaTheme="minorEastAsia" w:hAnsiTheme="minorEastAsia"/>
          <w:color w:val="000000"/>
          <w:szCs w:val="22"/>
          <w:lang w:eastAsia="zh-CN"/>
        </w:rPr>
        <w:t>责成理事会</w:t>
      </w:r>
      <w:r w:rsidRPr="00651922">
        <w:rPr>
          <w:rFonts w:ascii="SimSun" w:hAnsi="SimSun"/>
          <w:iCs/>
          <w:szCs w:val="22"/>
          <w:lang w:eastAsia="zh-CN"/>
        </w:rPr>
        <w:t>”</w:t>
      </w:r>
      <w:r w:rsidRPr="00651922">
        <w:rPr>
          <w:rFonts w:hAnsi="SimSun"/>
          <w:iCs/>
          <w:szCs w:val="22"/>
          <w:lang w:eastAsia="zh-CN"/>
        </w:rPr>
        <w:t>部分</w:t>
      </w:r>
      <w:r w:rsidRPr="00651922">
        <w:rPr>
          <w:rFonts w:hint="eastAsia"/>
          <w:iCs/>
          <w:szCs w:val="22"/>
          <w:lang w:eastAsia="zh-CN"/>
        </w:rPr>
        <w:t>，</w:t>
      </w:r>
    </w:p>
    <w:p w14:paraId="4827AA6F" w14:textId="77777777" w:rsidR="00073930" w:rsidRPr="00651922" w:rsidRDefault="00073930" w:rsidP="00B64353">
      <w:pPr>
        <w:ind w:firstLine="510"/>
        <w:rPr>
          <w:iCs/>
          <w:szCs w:val="22"/>
          <w:lang w:eastAsia="zh-CN"/>
        </w:rPr>
      </w:pPr>
      <w:r w:rsidRPr="00651922">
        <w:rPr>
          <w:rFonts w:eastAsia="STKaiti"/>
          <w:color w:val="000000"/>
          <w:szCs w:val="22"/>
          <w:lang w:eastAsia="zh-CN"/>
        </w:rPr>
        <w:t>经审议</w:t>
      </w:r>
      <w:r w:rsidRPr="00651922">
        <w:rPr>
          <w:iCs/>
          <w:szCs w:val="22"/>
          <w:lang w:eastAsia="zh-CN"/>
        </w:rPr>
        <w:t>C97/59</w:t>
      </w:r>
      <w:r w:rsidRPr="00651922">
        <w:rPr>
          <w:lang w:val="es-ES" w:eastAsia="zh-CN"/>
        </w:rPr>
        <w:t>号文件中所含的秘书长和电信发展局主任关于电信展盈余资金使用的报告及</w:t>
      </w:r>
      <w:r w:rsidRPr="00651922">
        <w:rPr>
          <w:iCs/>
          <w:szCs w:val="22"/>
          <w:lang w:eastAsia="zh-CN"/>
        </w:rPr>
        <w:t>C97/17</w:t>
      </w:r>
      <w:r w:rsidRPr="00651922">
        <w:rPr>
          <w:iCs/>
          <w:szCs w:val="22"/>
          <w:lang w:eastAsia="zh-CN"/>
        </w:rPr>
        <w:t>和</w:t>
      </w:r>
      <w:r w:rsidRPr="00651922">
        <w:rPr>
          <w:iCs/>
          <w:szCs w:val="22"/>
          <w:lang w:eastAsia="zh-CN"/>
        </w:rPr>
        <w:t>C97/79</w:t>
      </w:r>
      <w:r w:rsidRPr="00651922">
        <w:rPr>
          <w:iCs/>
          <w:szCs w:val="22"/>
          <w:lang w:eastAsia="zh-CN"/>
        </w:rPr>
        <w:t>号文件，</w:t>
      </w:r>
    </w:p>
    <w:p w14:paraId="4827AA70" w14:textId="77777777" w:rsidR="00073930" w:rsidRPr="00651922" w:rsidRDefault="00073930" w:rsidP="00B64353">
      <w:pPr>
        <w:ind w:firstLine="510"/>
        <w:rPr>
          <w:iCs/>
          <w:szCs w:val="22"/>
          <w:lang w:eastAsia="zh-CN"/>
        </w:rPr>
      </w:pPr>
      <w:r w:rsidRPr="006520E7">
        <w:rPr>
          <w:rFonts w:ascii="STKaiti" w:eastAsia="STKaiti" w:hAnsi="STKaiti"/>
          <w:lang w:val="es-ES" w:eastAsia="zh-CN"/>
        </w:rPr>
        <w:t>注意到</w:t>
      </w:r>
      <w:r w:rsidRPr="00651922">
        <w:rPr>
          <w:rFonts w:hAnsi="SimSun"/>
          <w:lang w:val="es-ES" w:eastAsia="zh-CN"/>
        </w:rPr>
        <w:t>将用于特别发展项目的资金款额为</w:t>
      </w:r>
      <w:r w:rsidRPr="00651922">
        <w:rPr>
          <w:iCs/>
          <w:szCs w:val="22"/>
          <w:lang w:eastAsia="zh-CN"/>
        </w:rPr>
        <w:t>1 750</w:t>
      </w:r>
      <w:r w:rsidRPr="00651922">
        <w:rPr>
          <w:rFonts w:hAnsi="SimSun"/>
          <w:iCs/>
          <w:szCs w:val="22"/>
          <w:lang w:eastAsia="zh-CN"/>
        </w:rPr>
        <w:t>万瑞士法郎</w:t>
      </w:r>
      <w:r w:rsidRPr="00651922">
        <w:rPr>
          <w:rFonts w:hint="eastAsia"/>
          <w:iCs/>
          <w:szCs w:val="22"/>
          <w:lang w:eastAsia="zh-CN"/>
        </w:rPr>
        <w:t>，</w:t>
      </w:r>
    </w:p>
    <w:p w14:paraId="4827AA71" w14:textId="77777777" w:rsidR="00073930" w:rsidRPr="005F63CD" w:rsidRDefault="00073930" w:rsidP="00B64353">
      <w:pPr>
        <w:pStyle w:val="call0"/>
        <w:rPr>
          <w:rFonts w:ascii="STKaiti" w:hAnsi="STKaiti"/>
          <w:i/>
          <w:iCs/>
          <w:szCs w:val="22"/>
          <w:lang w:eastAsia="zh-CN"/>
        </w:rPr>
      </w:pPr>
      <w:r w:rsidRPr="005F63CD">
        <w:rPr>
          <w:rFonts w:ascii="STKaiti" w:hAnsi="STKaiti"/>
          <w:iCs/>
          <w:szCs w:val="22"/>
          <w:lang w:eastAsia="zh-CN"/>
        </w:rPr>
        <w:t>做出决议</w:t>
      </w:r>
    </w:p>
    <w:p w14:paraId="4827AA72" w14:textId="77777777" w:rsidR="00073930" w:rsidRPr="00446404" w:rsidRDefault="002A265B" w:rsidP="00B64353">
      <w:pPr>
        <w:rPr>
          <w:lang w:eastAsia="zh-CN"/>
        </w:rPr>
      </w:pPr>
      <w:r>
        <w:rPr>
          <w:lang w:eastAsia="zh-CN"/>
        </w:rPr>
        <w:t>1</w:t>
      </w:r>
      <w:r w:rsidR="00073930" w:rsidRPr="00446404">
        <w:rPr>
          <w:lang w:eastAsia="zh-CN"/>
        </w:rPr>
        <w:tab/>
      </w:r>
      <w:r w:rsidR="00073930" w:rsidRPr="00446404">
        <w:rPr>
          <w:rFonts w:hAnsi="SimSun"/>
          <w:lang w:eastAsia="zh-CN"/>
        </w:rPr>
        <w:t>上述款额应用于</w:t>
      </w:r>
      <w:r w:rsidR="00073930" w:rsidRPr="00446404">
        <w:rPr>
          <w:lang w:eastAsia="zh-CN"/>
        </w:rPr>
        <w:t>C97/59</w:t>
      </w:r>
      <w:r w:rsidR="00073930" w:rsidRPr="00446404">
        <w:rPr>
          <w:rFonts w:hAnsi="SimSun"/>
          <w:lang w:eastAsia="zh-CN"/>
        </w:rPr>
        <w:t>号文件中概述的项目和用途</w:t>
      </w:r>
      <w:r w:rsidR="00073930">
        <w:rPr>
          <w:rFonts w:hint="eastAsia"/>
          <w:lang w:eastAsia="zh-CN"/>
        </w:rPr>
        <w:t>；</w:t>
      </w:r>
    </w:p>
    <w:p w14:paraId="4827AA73" w14:textId="77777777" w:rsidR="00073930" w:rsidRPr="00446404" w:rsidRDefault="002A265B" w:rsidP="00B64353">
      <w:pPr>
        <w:rPr>
          <w:lang w:eastAsia="zh-CN"/>
        </w:rPr>
      </w:pPr>
      <w:r>
        <w:rPr>
          <w:lang w:eastAsia="zh-CN"/>
        </w:rPr>
        <w:t>2</w:t>
      </w:r>
      <w:r w:rsidR="00073930" w:rsidRPr="00446404">
        <w:rPr>
          <w:lang w:eastAsia="zh-CN"/>
        </w:rPr>
        <w:tab/>
      </w:r>
      <w:r w:rsidR="00073930" w:rsidRPr="00446404">
        <w:rPr>
          <w:rFonts w:hAnsi="SimSun"/>
          <w:lang w:eastAsia="zh-CN"/>
        </w:rPr>
        <w:t>这些资金作为种子资金与使用后产生的那些资金一起应按照适用于自愿捐款的</w:t>
      </w:r>
      <w:r w:rsidR="00073930">
        <w:rPr>
          <w:rFonts w:hAnsi="SimSun" w:hint="eastAsia"/>
          <w:lang w:eastAsia="zh-CN"/>
        </w:rPr>
        <w:t>《</w:t>
      </w:r>
      <w:r w:rsidR="00073930" w:rsidRPr="00446404">
        <w:rPr>
          <w:rFonts w:hAnsi="SimSun"/>
          <w:lang w:eastAsia="zh-CN"/>
        </w:rPr>
        <w:t>财务规则</w:t>
      </w:r>
      <w:r w:rsidR="00073930">
        <w:rPr>
          <w:rFonts w:hAnsi="SimSun" w:hint="eastAsia"/>
          <w:lang w:eastAsia="zh-CN"/>
        </w:rPr>
        <w:t>》</w:t>
      </w:r>
      <w:r w:rsidR="00073930" w:rsidRPr="00446404">
        <w:rPr>
          <w:rFonts w:hAnsi="SimSun"/>
          <w:lang w:eastAsia="zh-CN"/>
        </w:rPr>
        <w:t>进行管理</w:t>
      </w:r>
      <w:r w:rsidR="00073930">
        <w:rPr>
          <w:rFonts w:hint="eastAsia"/>
          <w:lang w:eastAsia="zh-CN"/>
        </w:rPr>
        <w:t>；</w:t>
      </w:r>
    </w:p>
    <w:p w14:paraId="4827AA74" w14:textId="77777777" w:rsidR="00073930" w:rsidRPr="00446404" w:rsidRDefault="002A265B" w:rsidP="00B349C9">
      <w:pPr>
        <w:rPr>
          <w:lang w:eastAsia="zh-CN"/>
        </w:rPr>
      </w:pPr>
      <w:r>
        <w:rPr>
          <w:lang w:eastAsia="zh-CN"/>
        </w:rPr>
        <w:t>3</w:t>
      </w:r>
      <w:r w:rsidR="00073930" w:rsidRPr="00446404">
        <w:rPr>
          <w:lang w:eastAsia="zh-CN"/>
        </w:rPr>
        <w:tab/>
      </w:r>
      <w:r w:rsidR="00073930" w:rsidRPr="00446404">
        <w:rPr>
          <w:rFonts w:hAnsi="SimSun"/>
          <w:lang w:eastAsia="zh-CN"/>
        </w:rPr>
        <w:t>电信发展局应在考虑世界和区域性发展大会和电信发展顾问委员会的意见后确定将来的项目</w:t>
      </w:r>
      <w:r w:rsidR="00073930">
        <w:rPr>
          <w:rFonts w:hint="eastAsia"/>
          <w:lang w:eastAsia="zh-CN"/>
        </w:rPr>
        <w:t>；</w:t>
      </w:r>
    </w:p>
    <w:p w14:paraId="4827AA75" w14:textId="77777777" w:rsidR="00073930" w:rsidRPr="00446404" w:rsidRDefault="002A265B" w:rsidP="00B64353">
      <w:pPr>
        <w:rPr>
          <w:lang w:eastAsia="zh-CN"/>
        </w:rPr>
      </w:pPr>
      <w:r>
        <w:rPr>
          <w:lang w:eastAsia="zh-CN"/>
        </w:rPr>
        <w:t>4</w:t>
      </w:r>
      <w:r w:rsidR="00073930" w:rsidRPr="00446404">
        <w:rPr>
          <w:lang w:eastAsia="zh-CN"/>
        </w:rPr>
        <w:tab/>
      </w:r>
      <w:r w:rsidR="00073930" w:rsidRPr="00446404">
        <w:rPr>
          <w:lang w:eastAsia="zh-CN"/>
        </w:rPr>
        <w:t>按现有程序进行的</w:t>
      </w:r>
      <w:r w:rsidR="00073930" w:rsidRPr="00446404">
        <w:rPr>
          <w:rFonts w:hAnsi="SimSun"/>
          <w:lang w:eastAsia="zh-CN"/>
        </w:rPr>
        <w:t>战略性决定和项目的批准，资金的分配和对项目实施的监督应由下列人员组成的指导委员会完成</w:t>
      </w:r>
      <w:r w:rsidR="00073930">
        <w:rPr>
          <w:rFonts w:hint="eastAsia"/>
          <w:lang w:eastAsia="zh-CN"/>
        </w:rPr>
        <w:t>：</w:t>
      </w:r>
    </w:p>
    <w:p w14:paraId="4827AA76" w14:textId="77777777" w:rsidR="00073930" w:rsidRDefault="00073930" w:rsidP="00B64353">
      <w:pPr>
        <w:pStyle w:val="enumlev1"/>
        <w:rPr>
          <w:lang w:eastAsia="zh-CN"/>
        </w:rPr>
      </w:pPr>
      <w:r>
        <w:rPr>
          <w:lang w:eastAsia="zh-CN"/>
        </w:rPr>
        <w:t>–</w:t>
      </w:r>
      <w:r>
        <w:rPr>
          <w:lang w:eastAsia="zh-CN"/>
        </w:rPr>
        <w:tab/>
      </w:r>
      <w:r>
        <w:rPr>
          <w:rFonts w:ascii="SimSun" w:hAnsi="SimSun" w:hint="eastAsia"/>
          <w:lang w:eastAsia="zh-CN"/>
        </w:rPr>
        <w:t>秘书长，由电信展览部总裁协助；</w:t>
      </w:r>
    </w:p>
    <w:p w14:paraId="4827AA77" w14:textId="77777777" w:rsidR="00073930" w:rsidRDefault="00073930" w:rsidP="00B64353">
      <w:pPr>
        <w:pStyle w:val="enumlev1"/>
        <w:rPr>
          <w:lang w:eastAsia="zh-CN"/>
        </w:rPr>
      </w:pPr>
      <w:r>
        <w:rPr>
          <w:lang w:eastAsia="zh-CN"/>
        </w:rPr>
        <w:t>–</w:t>
      </w:r>
      <w:r>
        <w:rPr>
          <w:lang w:eastAsia="zh-CN"/>
        </w:rPr>
        <w:tab/>
      </w:r>
      <w:r>
        <w:rPr>
          <w:rFonts w:ascii="SimSun" w:hAnsi="SimSun" w:hint="eastAsia"/>
          <w:lang w:eastAsia="zh-CN"/>
        </w:rPr>
        <w:t>副秘书长；</w:t>
      </w:r>
    </w:p>
    <w:p w14:paraId="4827AA78" w14:textId="77777777" w:rsidR="00073930" w:rsidRDefault="00073930" w:rsidP="00B64353">
      <w:pPr>
        <w:pStyle w:val="enumlev1"/>
        <w:rPr>
          <w:lang w:eastAsia="zh-CN"/>
        </w:rPr>
      </w:pPr>
      <w:r>
        <w:rPr>
          <w:lang w:eastAsia="zh-CN"/>
        </w:rPr>
        <w:t>–</w:t>
      </w:r>
      <w:r>
        <w:rPr>
          <w:lang w:eastAsia="zh-CN"/>
        </w:rPr>
        <w:tab/>
      </w:r>
      <w:r>
        <w:rPr>
          <w:rFonts w:ascii="SimSun" w:hAnsi="SimSun" w:hint="eastAsia"/>
          <w:lang w:eastAsia="zh-CN"/>
        </w:rPr>
        <w:t>电信发展局主任；</w:t>
      </w:r>
    </w:p>
    <w:p w14:paraId="4827AA79" w14:textId="77777777" w:rsidR="008B2055" w:rsidRDefault="00073930" w:rsidP="00B64353">
      <w:pPr>
        <w:rPr>
          <w:rFonts w:ascii="SimSun" w:hAnsi="SimSun"/>
          <w:lang w:eastAsia="zh-CN"/>
        </w:rPr>
      </w:pPr>
      <w:r>
        <w:rPr>
          <w:lang w:eastAsia="zh-CN"/>
        </w:rPr>
        <w:tab/>
      </w:r>
      <w:r>
        <w:rPr>
          <w:rFonts w:ascii="SimSun" w:hAnsi="SimSun" w:hint="eastAsia"/>
          <w:lang w:eastAsia="zh-CN"/>
        </w:rPr>
        <w:t>指导委员会视情况可以邀请受益方的代表。</w:t>
      </w:r>
    </w:p>
    <w:p w14:paraId="4827AA7A" w14:textId="77777777" w:rsidR="00073930" w:rsidRPr="00446404" w:rsidRDefault="002A265B" w:rsidP="00B64353">
      <w:pPr>
        <w:rPr>
          <w:lang w:eastAsia="zh-CN"/>
        </w:rPr>
      </w:pPr>
      <w:r>
        <w:rPr>
          <w:lang w:eastAsia="zh-CN"/>
        </w:rPr>
        <w:t>5</w:t>
      </w:r>
      <w:r w:rsidR="00073930" w:rsidRPr="00446404">
        <w:rPr>
          <w:lang w:eastAsia="zh-CN"/>
        </w:rPr>
        <w:tab/>
      </w:r>
      <w:r w:rsidR="00073930" w:rsidRPr="00446404">
        <w:rPr>
          <w:rFonts w:hAnsi="SimSun"/>
          <w:lang w:eastAsia="zh-CN"/>
        </w:rPr>
        <w:t>项目应由电信发展局执行</w:t>
      </w:r>
      <w:r w:rsidR="00073930" w:rsidRPr="00446404">
        <w:rPr>
          <w:lang w:eastAsia="zh-CN"/>
        </w:rPr>
        <w:t>,</w:t>
      </w:r>
      <w:r w:rsidR="00073930" w:rsidRPr="00446404">
        <w:rPr>
          <w:rFonts w:hAnsi="SimSun"/>
          <w:lang w:eastAsia="zh-CN"/>
        </w:rPr>
        <w:t>电信发展局应定期向指导委员会报告</w:t>
      </w:r>
      <w:r w:rsidR="00073930">
        <w:rPr>
          <w:rFonts w:hint="eastAsia"/>
          <w:lang w:eastAsia="zh-CN"/>
        </w:rPr>
        <w:t>；</w:t>
      </w:r>
    </w:p>
    <w:p w14:paraId="4827AA7B" w14:textId="77777777" w:rsidR="00073930" w:rsidRPr="00446404" w:rsidRDefault="002A265B" w:rsidP="00B64353">
      <w:pPr>
        <w:rPr>
          <w:lang w:eastAsia="zh-CN"/>
        </w:rPr>
      </w:pPr>
      <w:r>
        <w:rPr>
          <w:lang w:eastAsia="zh-CN"/>
        </w:rPr>
        <w:t>6</w:t>
      </w:r>
      <w:r w:rsidR="00073930" w:rsidRPr="00446404">
        <w:rPr>
          <w:lang w:eastAsia="zh-CN"/>
        </w:rPr>
        <w:tab/>
      </w:r>
      <w:r w:rsidR="00073930" w:rsidRPr="00446404">
        <w:rPr>
          <w:rFonts w:hAnsi="SimSun"/>
          <w:lang w:eastAsia="zh-CN"/>
        </w:rPr>
        <w:t>从行政管理方面考虑</w:t>
      </w:r>
      <w:r w:rsidR="00073930">
        <w:rPr>
          <w:rFonts w:hint="eastAsia"/>
          <w:lang w:eastAsia="zh-CN"/>
        </w:rPr>
        <w:t>，</w:t>
      </w:r>
      <w:r w:rsidR="00073930" w:rsidRPr="00446404">
        <w:rPr>
          <w:lang w:eastAsia="zh-CN"/>
        </w:rPr>
        <w:t>C97/59</w:t>
      </w:r>
      <w:r w:rsidR="00073930" w:rsidRPr="00446404">
        <w:rPr>
          <w:rFonts w:hAnsi="SimSun"/>
          <w:lang w:eastAsia="zh-CN"/>
        </w:rPr>
        <w:t>号文件中阐述了职能及资金来源的管理人员职位应列入电信发展局；</w:t>
      </w:r>
    </w:p>
    <w:p w14:paraId="4827AA7C" w14:textId="77777777" w:rsidR="00073930" w:rsidRPr="00446404" w:rsidRDefault="002A265B" w:rsidP="00B349C9">
      <w:pPr>
        <w:rPr>
          <w:lang w:eastAsia="zh-CN"/>
        </w:rPr>
      </w:pPr>
      <w:r>
        <w:rPr>
          <w:lang w:eastAsia="zh-CN"/>
        </w:rPr>
        <w:t>7</w:t>
      </w:r>
      <w:r w:rsidR="00073930" w:rsidRPr="00446404">
        <w:rPr>
          <w:lang w:eastAsia="zh-CN"/>
        </w:rPr>
        <w:tab/>
      </w:r>
      <w:bookmarkStart w:id="110" w:name="dbody"/>
      <w:bookmarkStart w:id="111" w:name="dtitle1"/>
      <w:bookmarkEnd w:id="110"/>
      <w:bookmarkEnd w:id="111"/>
      <w:r w:rsidR="00073930" w:rsidRPr="00446404">
        <w:rPr>
          <w:rFonts w:hAnsi="SimSun"/>
          <w:lang w:eastAsia="zh-CN"/>
        </w:rPr>
        <w:t>指导委员会应向理事会报告为实施</w:t>
      </w:r>
      <w:r w:rsidR="00073930" w:rsidRPr="00446404">
        <w:rPr>
          <w:lang w:eastAsia="zh-CN"/>
        </w:rPr>
        <w:t>1994</w:t>
      </w:r>
      <w:r w:rsidR="00073930" w:rsidRPr="00446404">
        <w:rPr>
          <w:rFonts w:hAnsi="SimSun"/>
          <w:lang w:eastAsia="zh-CN"/>
        </w:rPr>
        <w:t>年京都第</w:t>
      </w:r>
      <w:r w:rsidR="00073930" w:rsidRPr="00446404">
        <w:rPr>
          <w:lang w:eastAsia="zh-CN"/>
        </w:rPr>
        <w:t>11</w:t>
      </w:r>
      <w:r w:rsidR="00073930" w:rsidRPr="00446404">
        <w:rPr>
          <w:rFonts w:hAnsi="SimSun"/>
          <w:lang w:eastAsia="zh-CN"/>
        </w:rPr>
        <w:t>号决议所采取的行动以及项目的执行情况。</w:t>
      </w:r>
    </w:p>
    <w:p w14:paraId="4827AA7D" w14:textId="77777777" w:rsidR="00F11D1D" w:rsidRPr="002E405F" w:rsidRDefault="00073930" w:rsidP="007710D4">
      <w:pPr>
        <w:pStyle w:val="Endtext"/>
        <w:rPr>
          <w:lang w:val="fr-FR" w:eastAsia="zh-CN"/>
        </w:rPr>
      </w:pPr>
      <w:r w:rsidRPr="00446404">
        <w:rPr>
          <w:color w:val="000000"/>
          <w:lang w:eastAsia="zh-CN"/>
        </w:rPr>
        <w:t>参阅</w:t>
      </w:r>
      <w:r w:rsidRPr="002A265B">
        <w:rPr>
          <w:rFonts w:ascii="STKaiti" w:hAnsi="STKaiti"/>
          <w:lang w:eastAsia="zh-CN"/>
        </w:rPr>
        <w:t>：</w:t>
      </w:r>
      <w:r w:rsidRPr="00446404">
        <w:rPr>
          <w:lang w:eastAsia="zh-CN"/>
        </w:rPr>
        <w:tab/>
        <w:t>C97/131</w:t>
      </w:r>
      <w:r w:rsidR="00C3403A">
        <w:rPr>
          <w:lang w:eastAsia="zh-CN"/>
        </w:rPr>
        <w:t>号和</w:t>
      </w:r>
      <w:r w:rsidRPr="00446404">
        <w:rPr>
          <w:lang w:eastAsia="zh-CN"/>
        </w:rPr>
        <w:t>C97/138</w:t>
      </w:r>
      <w:r w:rsidRPr="00446404">
        <w:rPr>
          <w:lang w:eastAsia="zh-CN"/>
        </w:rPr>
        <w:t>号文件。</w:t>
      </w:r>
    </w:p>
    <w:p w14:paraId="4827AA7E" w14:textId="77777777" w:rsidR="00976C2A" w:rsidRDefault="00976C2A" w:rsidP="00976C2A">
      <w:pPr>
        <w:jc w:val="center"/>
        <w:rPr>
          <w:lang w:eastAsia="zh-CN"/>
        </w:rPr>
      </w:pPr>
      <w:bookmarkStart w:id="112" w:name="_Toc161223983"/>
      <w:bookmarkStart w:id="113" w:name="_Toc161732029"/>
      <w:bookmarkStart w:id="114" w:name="_Toc161740956"/>
      <w:bookmarkStart w:id="115" w:name="_Toc185237623"/>
      <w:bookmarkStart w:id="116" w:name="_Toc311469545"/>
      <w:bookmarkStart w:id="117" w:name="_Toc63839017"/>
      <w:bookmarkStart w:id="118" w:name="_Toc78271271"/>
      <w:bookmarkStart w:id="119" w:name="_Toc81880016"/>
      <w:bookmarkStart w:id="120" w:name="_Toc78271260"/>
      <w:bookmarkStart w:id="121" w:name="_Toc81880005"/>
      <w:r>
        <w:rPr>
          <w:lang w:eastAsia="zh-CN"/>
        </w:rPr>
        <w:t>______________</w:t>
      </w:r>
    </w:p>
    <w:p w14:paraId="4827AA7F" w14:textId="77777777" w:rsidR="00976C2A" w:rsidRDefault="00976C2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A80" w14:textId="77777777" w:rsidR="00976C2A" w:rsidRDefault="00976C2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A81" w14:textId="77777777" w:rsidR="00756806" w:rsidRDefault="00756806">
      <w:pPr>
        <w:tabs>
          <w:tab w:val="clear" w:pos="794"/>
          <w:tab w:val="clear" w:pos="1191"/>
          <w:tab w:val="clear" w:pos="1588"/>
          <w:tab w:val="clear" w:pos="1985"/>
        </w:tabs>
        <w:overflowPunct/>
        <w:autoSpaceDE/>
        <w:autoSpaceDN/>
        <w:adjustRightInd/>
        <w:spacing w:before="0"/>
        <w:jc w:val="left"/>
        <w:textAlignment w:val="auto"/>
        <w:rPr>
          <w:rFonts w:ascii="Calibri" w:hAnsi="Calibri"/>
          <w:b/>
          <w:lang w:eastAsia="zh-CN"/>
        </w:rPr>
      </w:pPr>
      <w:r>
        <w:rPr>
          <w:lang w:eastAsia="zh-CN"/>
        </w:rPr>
        <w:br w:type="page"/>
      </w:r>
    </w:p>
    <w:p w14:paraId="4827AA82" w14:textId="77777777" w:rsidR="007710D4" w:rsidRPr="007710D4" w:rsidRDefault="00615607" w:rsidP="00CD1C3A">
      <w:pPr>
        <w:pStyle w:val="ResNo"/>
        <w:outlineLvl w:val="0"/>
        <w:rPr>
          <w:lang w:eastAsia="zh-CN"/>
        </w:rPr>
      </w:pPr>
      <w:bookmarkStart w:id="122" w:name="_Toc424116919"/>
      <w:bookmarkStart w:id="123" w:name="_Toc531706258"/>
      <w:bookmarkStart w:id="124" w:name="_Toc531706852"/>
      <w:bookmarkStart w:id="125" w:name="_Toc531768345"/>
      <w:bookmarkStart w:id="126" w:name="_Toc16085666"/>
      <w:bookmarkStart w:id="127" w:name="_Toc86395470"/>
      <w:bookmarkStart w:id="128" w:name="_Toc311469551"/>
      <w:bookmarkStart w:id="129" w:name="_Toc161223993"/>
      <w:bookmarkStart w:id="130" w:name="_Toc161732039"/>
      <w:bookmarkStart w:id="131" w:name="_Toc161740966"/>
      <w:bookmarkStart w:id="132" w:name="_Toc185237632"/>
      <w:bookmarkEnd w:id="89"/>
      <w:bookmarkEnd w:id="112"/>
      <w:bookmarkEnd w:id="113"/>
      <w:bookmarkEnd w:id="114"/>
      <w:bookmarkEnd w:id="115"/>
      <w:bookmarkEnd w:id="116"/>
      <w:bookmarkEnd w:id="117"/>
      <w:bookmarkEnd w:id="118"/>
      <w:bookmarkEnd w:id="119"/>
      <w:bookmarkEnd w:id="120"/>
      <w:bookmarkEnd w:id="121"/>
      <w:r w:rsidRPr="007710D4">
        <w:rPr>
          <w:rFonts w:hint="eastAsia"/>
          <w:lang w:eastAsia="zh-CN"/>
        </w:rPr>
        <w:lastRenderedPageBreak/>
        <w:t>第</w:t>
      </w:r>
      <w:r w:rsidRPr="007710D4">
        <w:rPr>
          <w:rFonts w:hint="eastAsia"/>
          <w:lang w:eastAsia="zh-CN"/>
        </w:rPr>
        <w:t>1338</w:t>
      </w:r>
      <w:r w:rsidRPr="007710D4">
        <w:rPr>
          <w:rFonts w:hint="eastAsia"/>
          <w:lang w:eastAsia="zh-CN"/>
        </w:rPr>
        <w:t>号决议</w:t>
      </w:r>
      <w:r w:rsidR="007710D4">
        <w:rPr>
          <w:rFonts w:hint="eastAsia"/>
          <w:lang w:eastAsia="zh-CN"/>
        </w:rPr>
        <w:t>（</w:t>
      </w:r>
      <w:r w:rsidR="007710D4" w:rsidRPr="007710D4">
        <w:rPr>
          <w:lang w:eastAsia="zh-CN"/>
        </w:rPr>
        <w:t>C1</w:t>
      </w:r>
      <w:r w:rsidR="007710D4" w:rsidRPr="007710D4">
        <w:rPr>
          <w:rFonts w:hint="eastAsia"/>
          <w:lang w:eastAsia="zh-CN"/>
        </w:rPr>
        <w:t>1</w:t>
      </w:r>
      <w:r w:rsidR="007710D4">
        <w:rPr>
          <w:rFonts w:hint="eastAsia"/>
          <w:lang w:eastAsia="zh-CN"/>
        </w:rPr>
        <w:t>）</w:t>
      </w:r>
      <w:bookmarkEnd w:id="122"/>
      <w:bookmarkEnd w:id="123"/>
      <w:bookmarkEnd w:id="124"/>
      <w:bookmarkEnd w:id="125"/>
      <w:bookmarkEnd w:id="126"/>
      <w:bookmarkEnd w:id="127"/>
    </w:p>
    <w:p w14:paraId="4827AA83" w14:textId="77777777" w:rsidR="00615607" w:rsidRPr="007710D4" w:rsidRDefault="00615607" w:rsidP="003D6D6B">
      <w:pPr>
        <w:pStyle w:val="Restitle"/>
        <w:rPr>
          <w:lang w:eastAsia="zh-CN"/>
        </w:rPr>
      </w:pPr>
      <w:bookmarkStart w:id="133" w:name="_Toc424116200"/>
      <w:bookmarkStart w:id="134" w:name="_Toc424116920"/>
      <w:bookmarkStart w:id="135" w:name="_Toc460248025"/>
      <w:bookmarkStart w:id="136" w:name="_Toc531706259"/>
      <w:bookmarkStart w:id="137" w:name="_Toc531706853"/>
      <w:bookmarkStart w:id="138" w:name="_Toc531768346"/>
      <w:bookmarkStart w:id="139" w:name="_Toc16085667"/>
      <w:bookmarkStart w:id="140" w:name="_Toc86395471"/>
      <w:r w:rsidRPr="007710D4">
        <w:rPr>
          <w:rFonts w:hint="eastAsia"/>
          <w:lang w:eastAsia="zh-CN"/>
        </w:rPr>
        <w:t>信息通信技术发展基金（</w:t>
      </w:r>
      <w:r w:rsidR="003D6D6B">
        <w:rPr>
          <w:lang w:eastAsia="zh-CN"/>
        </w:rPr>
        <w:t>ICT-</w:t>
      </w:r>
      <w:r w:rsidRPr="007710D4">
        <w:rPr>
          <w:lang w:eastAsia="zh-CN"/>
        </w:rPr>
        <w:t>DF</w:t>
      </w:r>
      <w:r w:rsidRPr="007710D4">
        <w:rPr>
          <w:rFonts w:hint="eastAsia"/>
          <w:lang w:eastAsia="zh-CN"/>
        </w:rPr>
        <w:t>）</w:t>
      </w:r>
      <w:bookmarkEnd w:id="128"/>
      <w:bookmarkEnd w:id="133"/>
      <w:bookmarkEnd w:id="134"/>
      <w:bookmarkEnd w:id="135"/>
      <w:bookmarkEnd w:id="136"/>
      <w:bookmarkEnd w:id="137"/>
      <w:bookmarkEnd w:id="138"/>
      <w:bookmarkEnd w:id="139"/>
      <w:bookmarkEnd w:id="140"/>
    </w:p>
    <w:p w14:paraId="4827AA84" w14:textId="77777777" w:rsidR="00615607" w:rsidRDefault="00615607" w:rsidP="0048501C">
      <w:pPr>
        <w:pStyle w:val="Normalaftertitle"/>
        <w:rPr>
          <w:lang w:eastAsia="zh-CN"/>
        </w:rPr>
      </w:pPr>
      <w:r>
        <w:rPr>
          <w:rFonts w:hint="eastAsia"/>
          <w:lang w:eastAsia="zh-CN"/>
        </w:rPr>
        <w:t>理事会，</w:t>
      </w:r>
    </w:p>
    <w:p w14:paraId="4827AA85" w14:textId="77777777" w:rsidR="00615607" w:rsidRPr="009C4691" w:rsidRDefault="00615607" w:rsidP="00B64353">
      <w:pPr>
        <w:pStyle w:val="Call"/>
        <w:rPr>
          <w:iCs/>
          <w:lang w:eastAsia="zh-CN"/>
        </w:rPr>
      </w:pPr>
      <w:r w:rsidRPr="009C4691">
        <w:rPr>
          <w:rFonts w:hint="eastAsia"/>
          <w:iCs/>
          <w:lang w:eastAsia="zh-CN"/>
        </w:rPr>
        <w:t>考虑到</w:t>
      </w:r>
    </w:p>
    <w:p w14:paraId="4827AA86" w14:textId="77777777" w:rsidR="00615607" w:rsidRDefault="00615607" w:rsidP="00B64353">
      <w:pPr>
        <w:rPr>
          <w:lang w:eastAsia="zh-CN"/>
        </w:rPr>
      </w:pPr>
      <w:r w:rsidRPr="001333A0">
        <w:rPr>
          <w:i/>
          <w:iCs/>
          <w:lang w:eastAsia="zh-CN"/>
        </w:rPr>
        <w:t>a)</w:t>
      </w:r>
      <w:r>
        <w:rPr>
          <w:lang w:eastAsia="zh-CN"/>
        </w:rPr>
        <w:tab/>
      </w:r>
      <w:r>
        <w:rPr>
          <w:rFonts w:ascii="SimSun" w:hAnsi="SimSun" w:hint="eastAsia"/>
          <w:lang w:eastAsia="zh-CN"/>
        </w:rPr>
        <w:t>全权代表大会</w:t>
      </w:r>
      <w:r w:rsidRPr="003B7149">
        <w:rPr>
          <w:rFonts w:ascii="SimSun" w:hAnsi="SimSun" w:hint="eastAsia"/>
          <w:lang w:eastAsia="zh-CN"/>
        </w:rPr>
        <w:t>第</w:t>
      </w:r>
      <w:r w:rsidRPr="00615AF7">
        <w:rPr>
          <w:lang w:eastAsia="zh-CN"/>
        </w:rPr>
        <w:t>11</w:t>
      </w:r>
      <w:r w:rsidRPr="003B7149">
        <w:rPr>
          <w:rFonts w:ascii="SimSun" w:hAnsi="SimSun" w:hint="eastAsia"/>
          <w:lang w:eastAsia="zh-CN"/>
        </w:rPr>
        <w:t>号决议（</w:t>
      </w:r>
      <w:r w:rsidRPr="00615AF7">
        <w:rPr>
          <w:lang w:eastAsia="zh-CN"/>
        </w:rPr>
        <w:t>20</w:t>
      </w:r>
      <w:r>
        <w:rPr>
          <w:lang w:eastAsia="zh-CN"/>
        </w:rPr>
        <w:t>10</w:t>
      </w:r>
      <w:r w:rsidRPr="003B7149">
        <w:rPr>
          <w:rFonts w:ascii="SimSun" w:hAnsi="SimSun" w:hint="eastAsia"/>
          <w:lang w:eastAsia="zh-CN"/>
        </w:rPr>
        <w:t>年，</w:t>
      </w:r>
      <w:r>
        <w:rPr>
          <w:rFonts w:ascii="SimSun" w:hAnsi="SimSun" w:hint="eastAsia"/>
          <w:lang w:eastAsia="zh-CN"/>
        </w:rPr>
        <w:t>瓜达拉哈拉</w:t>
      </w:r>
      <w:r w:rsidRPr="003B7149">
        <w:rPr>
          <w:rFonts w:ascii="SimSun" w:hAnsi="SimSun" w:hint="eastAsia"/>
          <w:lang w:eastAsia="zh-CN"/>
        </w:rPr>
        <w:t>，修订版）</w:t>
      </w:r>
      <w:r>
        <w:rPr>
          <w:rFonts w:ascii="SimSun" w:hAnsi="SimSun" w:hint="eastAsia"/>
          <w:lang w:eastAsia="zh-CN"/>
        </w:rPr>
        <w:t>规定“</w:t>
      </w:r>
      <w:r w:rsidRPr="00A532B1">
        <w:rPr>
          <w:rFonts w:hint="eastAsia"/>
          <w:lang w:eastAsia="zh-CN"/>
        </w:rPr>
        <w:t>扣除国际电联电信展活动支出后的大部分盈余收入应</w:t>
      </w:r>
      <w:r>
        <w:rPr>
          <w:rFonts w:hint="eastAsia"/>
          <w:lang w:eastAsia="zh-CN"/>
        </w:rPr>
        <w:t>转入</w:t>
      </w:r>
      <w:r w:rsidRPr="00A532B1">
        <w:rPr>
          <w:rFonts w:hint="eastAsia"/>
          <w:lang w:eastAsia="zh-CN"/>
        </w:rPr>
        <w:t>电信发展局的</w:t>
      </w:r>
      <w:r>
        <w:rPr>
          <w:lang w:eastAsia="zh-CN"/>
        </w:rPr>
        <w:t>ICT</w:t>
      </w:r>
      <w:r>
        <w:rPr>
          <w:rFonts w:hint="eastAsia"/>
          <w:lang w:eastAsia="zh-CN"/>
        </w:rPr>
        <w:t>发展基金</w:t>
      </w:r>
      <w:r w:rsidRPr="00A532B1">
        <w:rPr>
          <w:rFonts w:hint="eastAsia"/>
          <w:lang w:eastAsia="zh-CN"/>
        </w:rPr>
        <w:t>，用于具体电信发展项目，主要用于最不发达国家</w:t>
      </w:r>
      <w:r>
        <w:rPr>
          <w:rFonts w:hint="eastAsia"/>
          <w:lang w:eastAsia="zh-CN"/>
        </w:rPr>
        <w:t>、小岛屿发展中国家、内陆国家和经济转型国家”</w:t>
      </w:r>
      <w:r>
        <w:rPr>
          <w:rFonts w:ascii="SimSun" w:hAnsi="SimSun" w:hint="eastAsia"/>
          <w:lang w:eastAsia="zh-CN"/>
        </w:rPr>
        <w:t>；</w:t>
      </w:r>
    </w:p>
    <w:p w14:paraId="4827AA87" w14:textId="77777777" w:rsidR="00615607" w:rsidRDefault="00615607" w:rsidP="00B64353">
      <w:pPr>
        <w:rPr>
          <w:lang w:eastAsia="zh-CN"/>
        </w:rPr>
      </w:pPr>
      <w:r w:rsidRPr="001333A0">
        <w:rPr>
          <w:i/>
          <w:iCs/>
          <w:lang w:eastAsia="zh-CN"/>
        </w:rPr>
        <w:t>b)</w:t>
      </w:r>
      <w:r>
        <w:rPr>
          <w:lang w:eastAsia="zh-CN"/>
        </w:rPr>
        <w:tab/>
      </w:r>
      <w:r>
        <w:rPr>
          <w:rFonts w:ascii="SimSun" w:hAnsi="SimSun" w:hint="eastAsia"/>
          <w:lang w:eastAsia="zh-CN"/>
        </w:rPr>
        <w:t>全权代表大会</w:t>
      </w:r>
      <w:r w:rsidRPr="003B7149">
        <w:rPr>
          <w:rFonts w:ascii="SimSun" w:hAnsi="SimSun" w:hint="eastAsia"/>
          <w:lang w:eastAsia="zh-CN"/>
        </w:rPr>
        <w:t>第</w:t>
      </w:r>
      <w:r w:rsidRPr="00615AF7">
        <w:rPr>
          <w:lang w:eastAsia="zh-CN"/>
        </w:rPr>
        <w:t>11</w:t>
      </w:r>
      <w:r w:rsidRPr="003B7149">
        <w:rPr>
          <w:rFonts w:ascii="SimSun" w:hAnsi="SimSun" w:hint="eastAsia"/>
          <w:lang w:eastAsia="zh-CN"/>
        </w:rPr>
        <w:t>号决议（</w:t>
      </w:r>
      <w:r w:rsidRPr="00615AF7">
        <w:rPr>
          <w:lang w:eastAsia="zh-CN"/>
        </w:rPr>
        <w:t>2006</w:t>
      </w:r>
      <w:r w:rsidRPr="003B7149">
        <w:rPr>
          <w:rFonts w:ascii="SimSun" w:hAnsi="SimSun" w:hint="eastAsia"/>
          <w:lang w:eastAsia="zh-CN"/>
        </w:rPr>
        <w:t>年，安塔利亚，修订版）</w:t>
      </w:r>
      <w:r>
        <w:rPr>
          <w:rFonts w:ascii="SimSun" w:hAnsi="SimSun" w:hint="eastAsia"/>
          <w:lang w:eastAsia="zh-CN"/>
        </w:rPr>
        <w:t>责成理事会“</w:t>
      </w:r>
      <w:r w:rsidRPr="0098085A">
        <w:rPr>
          <w:rFonts w:hint="eastAsia"/>
          <w:lang w:eastAsia="zh-CN"/>
        </w:rPr>
        <w:t>审议并批准国际电联电信展活动生成的盈余部分在“</w:t>
      </w:r>
      <w:r w:rsidRPr="0098085A">
        <w:rPr>
          <w:lang w:eastAsia="zh-CN"/>
        </w:rPr>
        <w:t>ICT</w:t>
      </w:r>
      <w:r w:rsidRPr="0098085A">
        <w:rPr>
          <w:rFonts w:hint="eastAsia"/>
          <w:lang w:eastAsia="zh-CN"/>
        </w:rPr>
        <w:t>发展基金”框架内分配给发展项目</w:t>
      </w:r>
      <w:r>
        <w:rPr>
          <w:rFonts w:hint="eastAsia"/>
          <w:lang w:eastAsia="zh-CN"/>
        </w:rPr>
        <w:t>”，</w:t>
      </w:r>
    </w:p>
    <w:p w14:paraId="4827AA88" w14:textId="77777777" w:rsidR="00615607" w:rsidRPr="009C4691" w:rsidRDefault="00615607" w:rsidP="00B64353">
      <w:pPr>
        <w:pStyle w:val="Call"/>
        <w:rPr>
          <w:iCs/>
          <w:lang w:eastAsia="zh-CN"/>
        </w:rPr>
      </w:pPr>
      <w:r w:rsidRPr="009C4691">
        <w:rPr>
          <w:rFonts w:hint="eastAsia"/>
          <w:iCs/>
          <w:lang w:eastAsia="zh-CN"/>
        </w:rPr>
        <w:t>注意到</w:t>
      </w:r>
    </w:p>
    <w:p w14:paraId="4827AA89" w14:textId="77777777" w:rsidR="00615607" w:rsidRDefault="00615607" w:rsidP="00B64353">
      <w:pPr>
        <w:ind w:firstLine="567"/>
        <w:rPr>
          <w:lang w:eastAsia="zh-CN"/>
        </w:rPr>
      </w:pPr>
      <w:r>
        <w:rPr>
          <w:rFonts w:hint="eastAsia"/>
          <w:lang w:eastAsia="zh-CN"/>
        </w:rPr>
        <w:t>理事会</w:t>
      </w:r>
      <w:r w:rsidRPr="00A532B1">
        <w:rPr>
          <w:rFonts w:hint="eastAsia"/>
          <w:lang w:eastAsia="zh-CN"/>
        </w:rPr>
        <w:t>第</w:t>
      </w:r>
      <w:r w:rsidRPr="00A532B1">
        <w:rPr>
          <w:lang w:eastAsia="zh-CN"/>
        </w:rPr>
        <w:t>1111</w:t>
      </w:r>
      <w:r w:rsidRPr="00A532B1">
        <w:rPr>
          <w:rFonts w:hint="eastAsia"/>
          <w:lang w:eastAsia="zh-CN"/>
        </w:rPr>
        <w:t>号决议</w:t>
      </w:r>
      <w:r>
        <w:rPr>
          <w:rFonts w:hint="eastAsia"/>
          <w:lang w:eastAsia="zh-CN"/>
        </w:rPr>
        <w:t>（</w:t>
      </w:r>
      <w:r w:rsidRPr="00A532B1">
        <w:rPr>
          <w:lang w:eastAsia="zh-CN"/>
        </w:rPr>
        <w:t>1997</w:t>
      </w:r>
      <w:r w:rsidRPr="00A532B1">
        <w:rPr>
          <w:rFonts w:hint="eastAsia"/>
          <w:lang w:eastAsia="zh-CN"/>
        </w:rPr>
        <w:t>年会议通过</w:t>
      </w:r>
      <w:r>
        <w:rPr>
          <w:rFonts w:hint="eastAsia"/>
          <w:lang w:eastAsia="zh-CN"/>
        </w:rPr>
        <w:t>）</w:t>
      </w:r>
      <w:r w:rsidRPr="00A532B1">
        <w:rPr>
          <w:rFonts w:hint="eastAsia"/>
          <w:lang w:eastAsia="zh-CN"/>
        </w:rPr>
        <w:t>委托一个指导委员会制定战略决</w:t>
      </w:r>
      <w:r>
        <w:rPr>
          <w:rFonts w:hint="eastAsia"/>
          <w:lang w:eastAsia="zh-CN"/>
        </w:rPr>
        <w:t>策</w:t>
      </w:r>
      <w:r w:rsidRPr="00A532B1">
        <w:rPr>
          <w:rFonts w:hint="eastAsia"/>
          <w:lang w:eastAsia="zh-CN"/>
        </w:rPr>
        <w:t>、批准项目、分配资金</w:t>
      </w:r>
      <w:r>
        <w:rPr>
          <w:rFonts w:hint="eastAsia"/>
          <w:lang w:eastAsia="zh-CN"/>
        </w:rPr>
        <w:t>、</w:t>
      </w:r>
      <w:r w:rsidRPr="00A532B1">
        <w:rPr>
          <w:rFonts w:hint="eastAsia"/>
          <w:lang w:eastAsia="zh-CN"/>
        </w:rPr>
        <w:t>按照</w:t>
      </w:r>
      <w:r>
        <w:rPr>
          <w:rFonts w:hint="eastAsia"/>
          <w:lang w:eastAsia="zh-CN"/>
        </w:rPr>
        <w:t>现行</w:t>
      </w:r>
      <w:r w:rsidRPr="00A532B1">
        <w:rPr>
          <w:rFonts w:hint="eastAsia"/>
          <w:lang w:eastAsia="zh-CN"/>
        </w:rPr>
        <w:t>程序监督项目</w:t>
      </w:r>
      <w:r>
        <w:rPr>
          <w:rFonts w:hint="eastAsia"/>
          <w:lang w:eastAsia="zh-CN"/>
        </w:rPr>
        <w:t>的</w:t>
      </w:r>
      <w:r w:rsidRPr="00A532B1">
        <w:rPr>
          <w:rFonts w:hint="eastAsia"/>
          <w:lang w:eastAsia="zh-CN"/>
        </w:rPr>
        <w:t>执行，并向理事会汇报项目的执行情况</w:t>
      </w:r>
      <w:r>
        <w:rPr>
          <w:rFonts w:hint="eastAsia"/>
          <w:lang w:eastAsia="zh-CN"/>
        </w:rPr>
        <w:t>，</w:t>
      </w:r>
    </w:p>
    <w:p w14:paraId="4827AA8A" w14:textId="77777777" w:rsidR="00615607" w:rsidRPr="009C4691" w:rsidRDefault="00615607" w:rsidP="00B64353">
      <w:pPr>
        <w:pStyle w:val="Call"/>
        <w:rPr>
          <w:iCs/>
          <w:lang w:eastAsia="zh-CN"/>
        </w:rPr>
      </w:pPr>
      <w:r w:rsidRPr="009C4691">
        <w:rPr>
          <w:rFonts w:hint="eastAsia"/>
          <w:iCs/>
          <w:lang w:eastAsia="zh-CN"/>
        </w:rPr>
        <w:t>进一步考虑到</w:t>
      </w:r>
    </w:p>
    <w:p w14:paraId="4827AA8B" w14:textId="77777777" w:rsidR="00615607" w:rsidRPr="007B29F4" w:rsidRDefault="00615607" w:rsidP="00B64353">
      <w:pPr>
        <w:rPr>
          <w:lang w:eastAsia="zh-CN"/>
        </w:rPr>
      </w:pPr>
      <w:r w:rsidRPr="001333A0">
        <w:rPr>
          <w:i/>
          <w:iCs/>
          <w:lang w:eastAsia="zh-CN"/>
        </w:rPr>
        <w:t>a)</w:t>
      </w:r>
      <w:r>
        <w:rPr>
          <w:lang w:eastAsia="zh-CN"/>
        </w:rPr>
        <w:tab/>
      </w:r>
      <w:r w:rsidRPr="007B29F4">
        <w:rPr>
          <w:rFonts w:hAnsi="SimSun" w:hint="eastAsia"/>
          <w:lang w:val="zh-CN" w:eastAsia="zh-CN"/>
        </w:rPr>
        <w:t>自</w:t>
      </w:r>
      <w:r w:rsidRPr="007B29F4">
        <w:rPr>
          <w:lang w:val="zh-CN" w:eastAsia="zh-CN"/>
        </w:rPr>
        <w:t>200</w:t>
      </w:r>
      <w:r>
        <w:rPr>
          <w:lang w:val="zh-CN" w:eastAsia="zh-CN"/>
        </w:rPr>
        <w:t>7</w:t>
      </w:r>
      <w:r w:rsidRPr="007B29F4">
        <w:rPr>
          <w:rFonts w:hAnsi="SimSun" w:hint="eastAsia"/>
          <w:lang w:val="zh-CN" w:eastAsia="zh-CN"/>
        </w:rPr>
        <w:t>年以来，未向信息通信技术</w:t>
      </w:r>
      <w:r>
        <w:rPr>
          <w:rFonts w:hAnsi="SimSun" w:hint="eastAsia"/>
          <w:lang w:val="zh-CN" w:eastAsia="zh-CN"/>
        </w:rPr>
        <w:t>发展</w:t>
      </w:r>
      <w:r w:rsidRPr="007B29F4">
        <w:rPr>
          <w:rFonts w:hAnsi="SimSun" w:hint="eastAsia"/>
          <w:lang w:val="zh-CN" w:eastAsia="zh-CN"/>
        </w:rPr>
        <w:t>基金拨款；</w:t>
      </w:r>
    </w:p>
    <w:p w14:paraId="4827AA8C" w14:textId="77777777" w:rsidR="00615607" w:rsidRPr="007B29F4" w:rsidRDefault="00615607" w:rsidP="00B64353">
      <w:pPr>
        <w:rPr>
          <w:lang w:eastAsia="zh-CN"/>
        </w:rPr>
      </w:pPr>
      <w:r w:rsidRPr="007B29F4">
        <w:rPr>
          <w:i/>
          <w:iCs/>
          <w:lang w:eastAsia="zh-CN"/>
        </w:rPr>
        <w:t>b)</w:t>
      </w:r>
      <w:r w:rsidRPr="007B29F4">
        <w:rPr>
          <w:lang w:eastAsia="zh-CN"/>
        </w:rPr>
        <w:tab/>
      </w:r>
      <w:r w:rsidRPr="007B29F4">
        <w:rPr>
          <w:rFonts w:hAnsi="SimSun" w:hint="eastAsia"/>
          <w:lang w:val="zh-CN" w:eastAsia="zh-CN"/>
        </w:rPr>
        <w:t>截</w:t>
      </w:r>
      <w:r w:rsidRPr="007B29F4">
        <w:rPr>
          <w:rFonts w:hAnsi="SimSun" w:hint="eastAsia"/>
          <w:szCs w:val="24"/>
          <w:lang w:val="fr-CH" w:eastAsia="zh-CN"/>
        </w:rPr>
        <w:t>至</w:t>
      </w:r>
      <w:r w:rsidRPr="007B29F4">
        <w:rPr>
          <w:lang w:eastAsia="zh-CN"/>
        </w:rPr>
        <w:t>20</w:t>
      </w:r>
      <w:r>
        <w:rPr>
          <w:lang w:eastAsia="zh-CN"/>
        </w:rPr>
        <w:t>10</w:t>
      </w:r>
      <w:r w:rsidRPr="007B29F4">
        <w:rPr>
          <w:rFonts w:hAnsi="SimSun" w:hint="eastAsia"/>
          <w:lang w:val="zh-CN" w:eastAsia="zh-CN"/>
        </w:rPr>
        <w:t>年</w:t>
      </w:r>
      <w:r w:rsidRPr="007B29F4">
        <w:rPr>
          <w:lang w:eastAsia="zh-CN"/>
        </w:rPr>
        <w:t>12</w:t>
      </w:r>
      <w:r w:rsidRPr="007B29F4">
        <w:rPr>
          <w:rFonts w:hAnsi="SimSun" w:hint="eastAsia"/>
          <w:lang w:val="zh-CN" w:eastAsia="zh-CN"/>
        </w:rPr>
        <w:t>月</w:t>
      </w:r>
      <w:r w:rsidRPr="007B29F4">
        <w:rPr>
          <w:lang w:eastAsia="zh-CN"/>
        </w:rPr>
        <w:t>31</w:t>
      </w:r>
      <w:r w:rsidRPr="007B29F4">
        <w:rPr>
          <w:rFonts w:hAnsi="SimSun" w:hint="eastAsia"/>
          <w:lang w:val="zh-CN" w:eastAsia="zh-CN"/>
        </w:rPr>
        <w:t>日</w:t>
      </w:r>
      <w:r w:rsidRPr="007B29F4">
        <w:rPr>
          <w:rFonts w:hAnsi="SimSun" w:hint="eastAsia"/>
          <w:lang w:eastAsia="zh-CN"/>
        </w:rPr>
        <w:t>，</w:t>
      </w:r>
      <w:r w:rsidRPr="007B29F4">
        <w:rPr>
          <w:rFonts w:hAnsi="SimSun" w:hint="eastAsia"/>
          <w:lang w:val="zh-CN" w:eastAsia="zh-CN"/>
        </w:rPr>
        <w:t>电信展盈余基金余额为</w:t>
      </w:r>
      <w:r w:rsidRPr="006B7560">
        <w:rPr>
          <w:lang w:eastAsia="zh-CN"/>
        </w:rPr>
        <w:t>10,555,517.57</w:t>
      </w:r>
      <w:r w:rsidRPr="007B29F4">
        <w:rPr>
          <w:rFonts w:hAnsi="SimSun" w:hint="eastAsia"/>
          <w:lang w:val="zh-CN" w:eastAsia="zh-CN"/>
        </w:rPr>
        <w:t>瑞郎</w:t>
      </w:r>
      <w:r w:rsidRPr="007B29F4">
        <w:rPr>
          <w:rFonts w:hAnsi="SimSun" w:hint="eastAsia"/>
          <w:lang w:eastAsia="zh-CN"/>
        </w:rPr>
        <w:t>；</w:t>
      </w:r>
    </w:p>
    <w:p w14:paraId="4827AA8D" w14:textId="77777777" w:rsidR="00615607" w:rsidRPr="007B29F4" w:rsidRDefault="00615607" w:rsidP="00B64353">
      <w:pPr>
        <w:rPr>
          <w:lang w:val="en-US" w:eastAsia="zh-CN"/>
        </w:rPr>
      </w:pPr>
      <w:r w:rsidRPr="007B29F4">
        <w:rPr>
          <w:i/>
          <w:iCs/>
          <w:lang w:val="en-US" w:eastAsia="zh-CN"/>
        </w:rPr>
        <w:t>c)</w:t>
      </w:r>
      <w:r w:rsidRPr="007B29F4">
        <w:rPr>
          <w:lang w:val="en-US" w:eastAsia="zh-CN"/>
        </w:rPr>
        <w:tab/>
      </w:r>
      <w:r w:rsidRPr="007B29F4">
        <w:rPr>
          <w:rFonts w:hAnsi="SimSun" w:hint="eastAsia"/>
          <w:lang w:val="zh-CN" w:eastAsia="zh-CN"/>
        </w:rPr>
        <w:t>电信展盈余基金的最低水平</w:t>
      </w:r>
      <w:r>
        <w:rPr>
          <w:rFonts w:hAnsi="SimSun" w:hint="eastAsia"/>
          <w:lang w:val="zh-CN" w:eastAsia="zh-CN"/>
        </w:rPr>
        <w:t>设定</w:t>
      </w:r>
      <w:r w:rsidRPr="007B29F4">
        <w:rPr>
          <w:rFonts w:hAnsi="SimSun" w:hint="eastAsia"/>
          <w:lang w:val="zh-CN" w:eastAsia="zh-CN"/>
        </w:rPr>
        <w:t>为</w:t>
      </w:r>
      <w:r w:rsidRPr="007B29F4">
        <w:rPr>
          <w:lang w:val="zh-CN" w:eastAsia="zh-CN"/>
        </w:rPr>
        <w:t>500</w:t>
      </w:r>
      <w:r w:rsidRPr="007B29F4">
        <w:rPr>
          <w:rFonts w:hAnsi="SimSun" w:hint="eastAsia"/>
          <w:lang w:val="zh-CN" w:eastAsia="zh-CN"/>
        </w:rPr>
        <w:t>万瑞郎；</w:t>
      </w:r>
    </w:p>
    <w:p w14:paraId="4827AA8E" w14:textId="77777777" w:rsidR="00615607" w:rsidRPr="007B29F4" w:rsidRDefault="00615607" w:rsidP="00B64353">
      <w:pPr>
        <w:rPr>
          <w:lang w:val="en-US" w:eastAsia="zh-CN"/>
        </w:rPr>
      </w:pPr>
      <w:r w:rsidRPr="007B29F4">
        <w:rPr>
          <w:i/>
          <w:iCs/>
          <w:lang w:val="en-US" w:eastAsia="zh-CN"/>
        </w:rPr>
        <w:t>d)</w:t>
      </w:r>
      <w:r w:rsidRPr="007B29F4">
        <w:rPr>
          <w:lang w:val="en-US" w:eastAsia="zh-CN"/>
        </w:rPr>
        <w:tab/>
      </w:r>
      <w:r w:rsidRPr="007B29F4">
        <w:rPr>
          <w:rFonts w:hAnsi="SimSun" w:hint="eastAsia"/>
          <w:lang w:val="zh-CN" w:eastAsia="zh-CN"/>
        </w:rPr>
        <w:t>有必要充实信息通信技术发展基金，以便支持世界电信发展大会（</w:t>
      </w:r>
      <w:r>
        <w:rPr>
          <w:lang w:val="zh-CN" w:eastAsia="zh-CN"/>
        </w:rPr>
        <w:t>2010</w:t>
      </w:r>
      <w:r>
        <w:rPr>
          <w:rFonts w:hAnsi="SimSun" w:hint="eastAsia"/>
          <w:lang w:val="zh-CN" w:eastAsia="zh-CN"/>
        </w:rPr>
        <w:t>年，海得拉巴）批准的各项区域性举措的实施，同时有利于其他赞助方的参与</w:t>
      </w:r>
      <w:r w:rsidRPr="007B29F4">
        <w:rPr>
          <w:rFonts w:hAnsi="SimSun" w:hint="eastAsia"/>
          <w:lang w:val="zh-CN" w:eastAsia="zh-CN"/>
        </w:rPr>
        <w:t>，</w:t>
      </w:r>
    </w:p>
    <w:p w14:paraId="4827AA8F" w14:textId="77777777" w:rsidR="00615607" w:rsidRPr="009C4691" w:rsidRDefault="00615607" w:rsidP="00B64353">
      <w:pPr>
        <w:pStyle w:val="Call"/>
        <w:rPr>
          <w:iCs/>
          <w:lang w:eastAsia="zh-CN"/>
        </w:rPr>
      </w:pPr>
      <w:r w:rsidRPr="009C4691">
        <w:rPr>
          <w:rFonts w:hint="eastAsia"/>
          <w:iCs/>
          <w:lang w:eastAsia="zh-CN"/>
        </w:rPr>
        <w:t>做出决议</w:t>
      </w:r>
    </w:p>
    <w:p w14:paraId="4827AA90" w14:textId="77777777" w:rsidR="00615607" w:rsidRPr="007B29F4" w:rsidRDefault="00615607" w:rsidP="00B64353">
      <w:pPr>
        <w:rPr>
          <w:lang w:val="en-US" w:eastAsia="zh-CN"/>
        </w:rPr>
      </w:pPr>
      <w:r>
        <w:rPr>
          <w:lang w:val="en-US" w:eastAsia="zh-CN"/>
        </w:rPr>
        <w:t>1</w:t>
      </w:r>
      <w:r>
        <w:rPr>
          <w:lang w:val="en-US" w:eastAsia="zh-CN"/>
        </w:rPr>
        <w:tab/>
      </w:r>
      <w:r w:rsidRPr="007B29F4">
        <w:rPr>
          <w:rFonts w:hAnsi="SimSun" w:hint="eastAsia"/>
          <w:lang w:val="zh-CN" w:eastAsia="zh-CN"/>
        </w:rPr>
        <w:t>批准在</w:t>
      </w:r>
      <w:r w:rsidRPr="007B29F4">
        <w:rPr>
          <w:lang w:val="zh-CN" w:eastAsia="zh-CN"/>
        </w:rPr>
        <w:t>20</w:t>
      </w:r>
      <w:r>
        <w:rPr>
          <w:lang w:val="zh-CN" w:eastAsia="zh-CN"/>
        </w:rPr>
        <w:t>11</w:t>
      </w:r>
      <w:r w:rsidRPr="007B29F4">
        <w:rPr>
          <w:rFonts w:hAnsi="SimSun" w:hint="eastAsia"/>
          <w:lang w:val="zh-CN" w:eastAsia="zh-CN"/>
        </w:rPr>
        <w:t>年将一笔</w:t>
      </w:r>
      <w:r>
        <w:rPr>
          <w:lang w:val="en-US" w:eastAsia="zh-CN"/>
        </w:rPr>
        <w:t>100</w:t>
      </w:r>
      <w:r w:rsidRPr="007B29F4">
        <w:rPr>
          <w:rFonts w:hAnsi="SimSun" w:hint="eastAsia"/>
          <w:lang w:val="zh-CN" w:eastAsia="zh-CN"/>
        </w:rPr>
        <w:t>万瑞郎的资金</w:t>
      </w:r>
      <w:r>
        <w:rPr>
          <w:rFonts w:hAnsi="SimSun" w:hint="eastAsia"/>
          <w:lang w:val="zh-CN" w:eastAsia="zh-CN"/>
        </w:rPr>
        <w:t>划</w:t>
      </w:r>
      <w:r w:rsidRPr="007B29F4">
        <w:rPr>
          <w:rFonts w:hAnsi="SimSun" w:hint="eastAsia"/>
          <w:lang w:val="zh-CN" w:eastAsia="zh-CN"/>
        </w:rPr>
        <w:t>拨给信息通信技术发展基金；</w:t>
      </w:r>
    </w:p>
    <w:p w14:paraId="4827AA91" w14:textId="77777777" w:rsidR="00615607" w:rsidRPr="007B29F4" w:rsidRDefault="00615607" w:rsidP="00B64353">
      <w:pPr>
        <w:rPr>
          <w:lang w:val="en-US" w:eastAsia="zh-CN"/>
        </w:rPr>
      </w:pPr>
      <w:r w:rsidRPr="007B29F4">
        <w:rPr>
          <w:lang w:val="en-US" w:eastAsia="zh-CN"/>
        </w:rPr>
        <w:t>2</w:t>
      </w:r>
      <w:r w:rsidRPr="007B29F4">
        <w:rPr>
          <w:lang w:val="en-US" w:eastAsia="zh-CN"/>
        </w:rPr>
        <w:tab/>
      </w:r>
      <w:r>
        <w:rPr>
          <w:rFonts w:hAnsi="SimSun" w:hint="eastAsia"/>
          <w:lang w:val="zh-CN" w:eastAsia="zh-CN"/>
        </w:rPr>
        <w:t>敦促电信发展局主任继续做出努力，提高信息通信技术发展基金全部或部分资助的项目的质量，以</w:t>
      </w:r>
      <w:r w:rsidRPr="007B29F4">
        <w:rPr>
          <w:rFonts w:hAnsi="SimSun" w:hint="eastAsia"/>
          <w:lang w:val="zh-CN" w:eastAsia="zh-CN"/>
        </w:rPr>
        <w:t>增强这些项目筹措必要额外资源的能力。</w:t>
      </w:r>
    </w:p>
    <w:p w14:paraId="4827AA92" w14:textId="77777777" w:rsidR="00615607" w:rsidRPr="00711518" w:rsidRDefault="00615607" w:rsidP="00A6624B">
      <w:pPr>
        <w:pStyle w:val="Endtext"/>
        <w:rPr>
          <w:lang w:eastAsia="zh-CN"/>
        </w:rPr>
      </w:pPr>
      <w:r w:rsidRPr="00DA7A9F">
        <w:rPr>
          <w:rFonts w:ascii="STKaiti" w:hAnsi="STKaiti" w:hint="eastAsia"/>
          <w:lang w:eastAsia="zh-CN"/>
        </w:rPr>
        <w:t>参阅：</w:t>
      </w:r>
      <w:r w:rsidRPr="00DA7A9F">
        <w:rPr>
          <w:i/>
          <w:lang w:eastAsia="zh-CN"/>
        </w:rPr>
        <w:tab/>
      </w:r>
      <w:hyperlink r:id="rId81" w:history="1">
        <w:r w:rsidR="007710D4" w:rsidRPr="00F22AB1">
          <w:rPr>
            <w:rStyle w:val="Hyperlink"/>
            <w:lang w:val="fr-FR" w:eastAsia="zh-CN"/>
          </w:rPr>
          <w:t>C11/106</w:t>
        </w:r>
      </w:hyperlink>
      <w:r w:rsidR="007710D4">
        <w:rPr>
          <w:rFonts w:hint="eastAsia"/>
          <w:lang w:val="fr-FR" w:eastAsia="zh-CN"/>
        </w:rPr>
        <w:t>和</w:t>
      </w:r>
      <w:hyperlink r:id="rId82" w:history="1">
        <w:r w:rsidR="007710D4" w:rsidRPr="00F22AB1">
          <w:rPr>
            <w:rStyle w:val="Hyperlink"/>
            <w:lang w:val="fr-FR" w:eastAsia="zh-CN"/>
          </w:rPr>
          <w:t>C11/120</w:t>
        </w:r>
      </w:hyperlink>
      <w:r w:rsidRPr="00DA7A9F">
        <w:rPr>
          <w:rFonts w:hint="eastAsia"/>
          <w:lang w:eastAsia="zh-CN"/>
        </w:rPr>
        <w:t>号文件。</w:t>
      </w:r>
    </w:p>
    <w:p w14:paraId="4827AA93" w14:textId="77777777" w:rsidR="005C6604" w:rsidRDefault="005C6604" w:rsidP="005C6604">
      <w:pPr>
        <w:jc w:val="center"/>
        <w:rPr>
          <w:lang w:eastAsia="zh-CN"/>
        </w:rPr>
      </w:pPr>
      <w:bookmarkStart w:id="141" w:name="_Toc311469552"/>
      <w:r>
        <w:rPr>
          <w:lang w:eastAsia="zh-CN"/>
        </w:rPr>
        <w:t>______________</w:t>
      </w:r>
    </w:p>
    <w:p w14:paraId="4827AA94" w14:textId="77777777" w:rsidR="00A31918" w:rsidRDefault="00A31918">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A95" w14:textId="77777777" w:rsidR="00A31918" w:rsidRDefault="00A31918">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A96" w14:textId="77777777" w:rsidR="00594AD7" w:rsidRDefault="00594AD7">
      <w:pPr>
        <w:tabs>
          <w:tab w:val="clear" w:pos="794"/>
          <w:tab w:val="clear" w:pos="1191"/>
          <w:tab w:val="clear" w:pos="1588"/>
          <w:tab w:val="clear" w:pos="1985"/>
        </w:tabs>
        <w:overflowPunct/>
        <w:autoSpaceDE/>
        <w:autoSpaceDN/>
        <w:adjustRightInd/>
        <w:spacing w:before="0"/>
        <w:jc w:val="left"/>
        <w:textAlignment w:val="auto"/>
        <w:rPr>
          <w:rFonts w:ascii="Calibri" w:hAnsi="Calibri"/>
          <w:b/>
          <w:lang w:eastAsia="zh-CN"/>
        </w:rPr>
      </w:pPr>
      <w:r>
        <w:rPr>
          <w:lang w:eastAsia="zh-CN"/>
        </w:rPr>
        <w:br w:type="page"/>
      </w:r>
    </w:p>
    <w:p w14:paraId="4827AA97" w14:textId="77777777" w:rsidR="00312A82" w:rsidRDefault="00312A82" w:rsidP="00CD1C3A">
      <w:pPr>
        <w:pStyle w:val="ResNo"/>
        <w:outlineLvl w:val="0"/>
        <w:rPr>
          <w:lang w:eastAsia="zh-CN"/>
        </w:rPr>
      </w:pPr>
      <w:bookmarkStart w:id="142" w:name="_Toc10536861"/>
      <w:bookmarkStart w:id="143" w:name="_Toc16085668"/>
      <w:bookmarkStart w:id="144" w:name="_Toc86395472"/>
      <w:bookmarkStart w:id="145" w:name="_Toc424116925"/>
      <w:bookmarkStart w:id="146" w:name="_Toc531706270"/>
      <w:bookmarkStart w:id="147" w:name="_Toc531706864"/>
      <w:bookmarkStart w:id="148" w:name="_Toc531768357"/>
      <w:bookmarkStart w:id="149" w:name="_Toc311469555"/>
      <w:bookmarkEnd w:id="141"/>
      <w:r>
        <w:rPr>
          <w:rFonts w:hint="eastAsia"/>
          <w:lang w:eastAsia="zh-CN"/>
        </w:rPr>
        <w:lastRenderedPageBreak/>
        <w:t>第</w:t>
      </w:r>
      <w:r>
        <w:rPr>
          <w:rFonts w:hint="eastAsia"/>
          <w:lang w:eastAsia="zh-CN"/>
        </w:rPr>
        <w:t>1397</w:t>
      </w:r>
      <w:r>
        <w:rPr>
          <w:rFonts w:hint="eastAsia"/>
          <w:lang w:eastAsia="zh-CN"/>
        </w:rPr>
        <w:t>号决议</w:t>
      </w:r>
      <w:bookmarkEnd w:id="142"/>
      <w:r>
        <w:rPr>
          <w:rFonts w:hint="eastAsia"/>
          <w:lang w:eastAsia="zh-CN"/>
        </w:rPr>
        <w:t>（</w:t>
      </w:r>
      <w:r>
        <w:rPr>
          <w:rFonts w:hint="eastAsia"/>
          <w:lang w:eastAsia="zh-CN"/>
        </w:rPr>
        <w:t>C19</w:t>
      </w:r>
      <w:r>
        <w:rPr>
          <w:rFonts w:hint="eastAsia"/>
          <w:lang w:eastAsia="zh-CN"/>
        </w:rPr>
        <w:t>）</w:t>
      </w:r>
      <w:bookmarkEnd w:id="143"/>
      <w:bookmarkEnd w:id="144"/>
    </w:p>
    <w:p w14:paraId="4827AA98" w14:textId="77777777" w:rsidR="00312A82" w:rsidRPr="009E6286" w:rsidRDefault="00312A82" w:rsidP="009E6286">
      <w:pPr>
        <w:pStyle w:val="Restitle"/>
        <w:rPr>
          <w:bCs/>
          <w:szCs w:val="28"/>
          <w:lang w:eastAsia="zh-CN"/>
        </w:rPr>
      </w:pPr>
      <w:bookmarkStart w:id="150" w:name="_Toc16085669"/>
      <w:bookmarkStart w:id="151" w:name="_Toc86395473"/>
      <w:r w:rsidRPr="002B16F0">
        <w:rPr>
          <w:lang w:eastAsia="zh-CN"/>
        </w:rPr>
        <w:t>2018</w:t>
      </w:r>
      <w:r w:rsidRPr="002B16F0">
        <w:rPr>
          <w:rFonts w:hint="eastAsia"/>
          <w:lang w:eastAsia="zh-CN"/>
        </w:rPr>
        <w:t>财务年度的财务工作报告</w:t>
      </w:r>
      <w:bookmarkEnd w:id="150"/>
      <w:bookmarkEnd w:id="151"/>
    </w:p>
    <w:p w14:paraId="4827AA99" w14:textId="77777777" w:rsidR="00312A82" w:rsidRDefault="00312A82" w:rsidP="00E51375">
      <w:pPr>
        <w:pStyle w:val="Normalaftertitle0"/>
        <w:rPr>
          <w:sz w:val="22"/>
        </w:rPr>
      </w:pPr>
      <w:r>
        <w:rPr>
          <w:rFonts w:hint="eastAsia"/>
        </w:rPr>
        <w:t>理事会，</w:t>
      </w:r>
    </w:p>
    <w:p w14:paraId="4827AA9A" w14:textId="77777777" w:rsidR="00312A82" w:rsidRDefault="00312A82" w:rsidP="00312A82">
      <w:pPr>
        <w:pStyle w:val="call0"/>
        <w:rPr>
          <w:lang w:eastAsia="zh-CN"/>
        </w:rPr>
      </w:pPr>
      <w:r>
        <w:rPr>
          <w:rFonts w:hint="eastAsia"/>
          <w:lang w:eastAsia="zh-CN"/>
        </w:rPr>
        <w:t>鉴于</w:t>
      </w:r>
    </w:p>
    <w:p w14:paraId="4827AA9B" w14:textId="77777777" w:rsidR="00312A82" w:rsidRDefault="00312A82" w:rsidP="00312A82">
      <w:pPr>
        <w:ind w:firstLineChars="200" w:firstLine="480"/>
        <w:rPr>
          <w:lang w:eastAsia="zh-CN"/>
        </w:rPr>
      </w:pPr>
      <w:r>
        <w:rPr>
          <w:rFonts w:hint="eastAsia"/>
          <w:lang w:eastAsia="zh-CN"/>
        </w:rPr>
        <w:t>国际电信联盟《公约》第</w:t>
      </w:r>
      <w:hyperlink r:id="rId83" w:history="1">
        <w:r w:rsidRPr="00A31918">
          <w:rPr>
            <w:lang w:eastAsia="zh-CN"/>
          </w:rPr>
          <w:t>101</w:t>
        </w:r>
      </w:hyperlink>
      <w:r>
        <w:rPr>
          <w:rFonts w:hint="eastAsia"/>
          <w:lang w:eastAsia="zh-CN"/>
        </w:rPr>
        <w:t>款和国际电联《财务规则》第</w:t>
      </w:r>
      <w:hyperlink r:id="rId84" w:history="1">
        <w:r w:rsidRPr="00A31918">
          <w:rPr>
            <w:lang w:eastAsia="zh-CN"/>
          </w:rPr>
          <w:t>30</w:t>
        </w:r>
      </w:hyperlink>
      <w:r w:rsidRPr="00342A2B">
        <w:rPr>
          <w:rFonts w:hint="eastAsia"/>
          <w:lang w:eastAsia="zh-CN"/>
        </w:rPr>
        <w:t>条</w:t>
      </w:r>
      <w:r>
        <w:rPr>
          <w:rFonts w:hint="eastAsia"/>
          <w:lang w:eastAsia="zh-CN"/>
        </w:rPr>
        <w:t>的规定，</w:t>
      </w:r>
    </w:p>
    <w:p w14:paraId="4827AA9C" w14:textId="77777777" w:rsidR="00312A82" w:rsidRDefault="00312A82" w:rsidP="00312A82">
      <w:pPr>
        <w:pStyle w:val="call0"/>
        <w:rPr>
          <w:i/>
          <w:lang w:eastAsia="zh-CN"/>
        </w:rPr>
      </w:pPr>
      <w:r>
        <w:rPr>
          <w:rFonts w:hint="eastAsia"/>
          <w:lang w:eastAsia="zh-CN"/>
        </w:rPr>
        <w:t>经审查</w:t>
      </w:r>
    </w:p>
    <w:p w14:paraId="4827AA9D" w14:textId="77777777" w:rsidR="00312A82" w:rsidRDefault="00312A82" w:rsidP="00312A82">
      <w:pPr>
        <w:tabs>
          <w:tab w:val="left" w:pos="567"/>
          <w:tab w:val="left" w:pos="1134"/>
          <w:tab w:val="left" w:pos="1701"/>
          <w:tab w:val="left" w:pos="2268"/>
          <w:tab w:val="left" w:pos="2835"/>
        </w:tabs>
        <w:ind w:firstLineChars="200" w:firstLine="480"/>
        <w:rPr>
          <w:lang w:eastAsia="zh-CN"/>
        </w:rPr>
      </w:pPr>
      <w:r>
        <w:rPr>
          <w:lang w:eastAsia="zh-CN"/>
        </w:rPr>
        <w:t>2018</w:t>
      </w:r>
      <w:r>
        <w:rPr>
          <w:rFonts w:hint="eastAsia"/>
          <w:lang w:eastAsia="zh-CN"/>
        </w:rPr>
        <w:t>财年的财务工作报告及其包含的经审计的国际电联</w:t>
      </w:r>
      <w:r>
        <w:rPr>
          <w:lang w:eastAsia="zh-CN"/>
        </w:rPr>
        <w:t>2018</w:t>
      </w:r>
      <w:r>
        <w:rPr>
          <w:rFonts w:hint="eastAsia"/>
          <w:lang w:eastAsia="zh-CN"/>
        </w:rPr>
        <w:t>财年预算账目、国际电联电信展览部</w:t>
      </w:r>
      <w:r>
        <w:rPr>
          <w:lang w:eastAsia="zh-CN"/>
        </w:rPr>
        <w:t>2018</w:t>
      </w:r>
      <w:r>
        <w:rPr>
          <w:rFonts w:hint="eastAsia"/>
          <w:lang w:eastAsia="zh-CN"/>
        </w:rPr>
        <w:t>年各账目的状况和经审计的</w:t>
      </w:r>
      <w:r>
        <w:rPr>
          <w:lang w:eastAsia="zh-CN"/>
        </w:rPr>
        <w:t>2018</w:t>
      </w:r>
      <w:r>
        <w:rPr>
          <w:rFonts w:hint="eastAsia"/>
          <w:lang w:eastAsia="zh-CN"/>
        </w:rPr>
        <w:t>年技术合作项目、自愿捐款和国际电联职员退休和福利基金等各账目，</w:t>
      </w:r>
    </w:p>
    <w:p w14:paraId="4827AA9E" w14:textId="77777777" w:rsidR="00312A82" w:rsidRDefault="00312A82" w:rsidP="00312A82">
      <w:pPr>
        <w:pStyle w:val="call0"/>
        <w:rPr>
          <w:lang w:eastAsia="zh-CN"/>
        </w:rPr>
      </w:pPr>
      <w:r>
        <w:rPr>
          <w:rFonts w:hint="eastAsia"/>
          <w:lang w:eastAsia="zh-CN"/>
        </w:rPr>
        <w:t>已注意到</w:t>
      </w:r>
    </w:p>
    <w:p w14:paraId="4827AA9F" w14:textId="77777777" w:rsidR="00312A82" w:rsidRDefault="00F71B18" w:rsidP="00312A82">
      <w:pPr>
        <w:ind w:firstLineChars="200" w:firstLine="480"/>
        <w:rPr>
          <w:lang w:eastAsia="zh-CN"/>
        </w:rPr>
      </w:pPr>
      <w:hyperlink r:id="rId85" w:history="1">
        <w:r w:rsidR="00312A82" w:rsidRPr="00342A2B">
          <w:rPr>
            <w:rStyle w:val="Hyperlink"/>
            <w:lang w:eastAsia="zh-CN"/>
          </w:rPr>
          <w:t>C19/40</w:t>
        </w:r>
      </w:hyperlink>
      <w:r w:rsidR="00312A82">
        <w:rPr>
          <w:rFonts w:hint="eastAsia"/>
          <w:lang w:eastAsia="zh-CN"/>
        </w:rPr>
        <w:t>号文件中的外部审计员的报告，</w:t>
      </w:r>
    </w:p>
    <w:p w14:paraId="4827AAA0" w14:textId="77777777" w:rsidR="00312A82" w:rsidRDefault="00312A82" w:rsidP="00312A82">
      <w:pPr>
        <w:pStyle w:val="call0"/>
        <w:rPr>
          <w:lang w:eastAsia="zh-CN"/>
        </w:rPr>
      </w:pPr>
      <w:r>
        <w:rPr>
          <w:rFonts w:hint="eastAsia"/>
          <w:lang w:eastAsia="zh-CN"/>
        </w:rPr>
        <w:t>做出决议</w:t>
      </w:r>
    </w:p>
    <w:p w14:paraId="4827AAA1" w14:textId="77777777" w:rsidR="00312A82" w:rsidRDefault="00312A82" w:rsidP="00312A82">
      <w:pPr>
        <w:tabs>
          <w:tab w:val="left" w:pos="567"/>
          <w:tab w:val="left" w:pos="1134"/>
          <w:tab w:val="left" w:pos="1701"/>
          <w:tab w:val="left" w:pos="2268"/>
          <w:tab w:val="left" w:pos="2835"/>
        </w:tabs>
        <w:ind w:firstLineChars="200" w:firstLine="480"/>
        <w:rPr>
          <w:lang w:eastAsia="zh-CN"/>
        </w:rPr>
      </w:pPr>
      <w:r>
        <w:rPr>
          <w:rFonts w:hint="eastAsia"/>
          <w:lang w:eastAsia="zh-CN"/>
        </w:rPr>
        <w:t>批准</w:t>
      </w:r>
      <w:r>
        <w:rPr>
          <w:lang w:eastAsia="zh-CN"/>
        </w:rPr>
        <w:t>2018</w:t>
      </w:r>
      <w:r>
        <w:rPr>
          <w:rFonts w:hint="eastAsia"/>
          <w:lang w:eastAsia="zh-CN"/>
        </w:rPr>
        <w:t>财年的财务工作报告（</w:t>
      </w:r>
      <w:hyperlink r:id="rId86" w:history="1">
        <w:r>
          <w:rPr>
            <w:rStyle w:val="Hyperlink"/>
            <w:lang w:val="en-US" w:eastAsia="zh-CN"/>
          </w:rPr>
          <w:t>C19/42</w:t>
        </w:r>
      </w:hyperlink>
      <w:r>
        <w:rPr>
          <w:rFonts w:hint="eastAsia"/>
          <w:lang w:eastAsia="zh-CN"/>
        </w:rPr>
        <w:t>和</w:t>
      </w:r>
      <w:hyperlink r:id="rId87" w:history="1">
        <w:r>
          <w:rPr>
            <w:rStyle w:val="Hyperlink"/>
            <w:lang w:val="en-US" w:eastAsia="zh-CN"/>
          </w:rPr>
          <w:t>DT/12</w:t>
        </w:r>
      </w:hyperlink>
      <w:r>
        <w:rPr>
          <w:rStyle w:val="Hyperlink"/>
          <w:rFonts w:hint="eastAsia"/>
          <w:lang w:val="en-US" w:eastAsia="zh-CN"/>
        </w:rPr>
        <w:t>(</w:t>
      </w:r>
      <w:r>
        <w:rPr>
          <w:rStyle w:val="Hyperlink"/>
          <w:lang w:val="en-US" w:eastAsia="zh-CN"/>
        </w:rPr>
        <w:t>Rev.1)</w:t>
      </w:r>
      <w:r>
        <w:rPr>
          <w:rFonts w:hint="eastAsia"/>
          <w:lang w:eastAsia="zh-CN"/>
        </w:rPr>
        <w:t>号文件）及其包含的经审计的国际电联账目、国际电联电信展览部</w:t>
      </w:r>
      <w:r>
        <w:rPr>
          <w:lang w:eastAsia="zh-CN"/>
        </w:rPr>
        <w:t>2018</w:t>
      </w:r>
      <w:r>
        <w:rPr>
          <w:rFonts w:hint="eastAsia"/>
          <w:lang w:eastAsia="zh-CN"/>
        </w:rPr>
        <w:t>年各账目的状况和经审计的</w:t>
      </w:r>
      <w:r>
        <w:rPr>
          <w:lang w:eastAsia="zh-CN"/>
        </w:rPr>
        <w:t>2018</w:t>
      </w:r>
      <w:r>
        <w:rPr>
          <w:rFonts w:hint="eastAsia"/>
          <w:lang w:eastAsia="zh-CN"/>
        </w:rPr>
        <w:t>年技术合作项目、自愿捐款和国际电联职员退休和福利基金等各账目。</w:t>
      </w:r>
    </w:p>
    <w:p w14:paraId="4827AAA2" w14:textId="77777777" w:rsidR="00312A82" w:rsidRPr="00711518" w:rsidRDefault="00312A82" w:rsidP="00312A82">
      <w:pPr>
        <w:pStyle w:val="Endtext"/>
        <w:rPr>
          <w:lang w:eastAsia="zh-CN"/>
        </w:rPr>
      </w:pPr>
      <w:r w:rsidRPr="00DA7A9F">
        <w:rPr>
          <w:rFonts w:ascii="STKaiti" w:hAnsi="STKaiti" w:hint="eastAsia"/>
          <w:lang w:eastAsia="zh-CN"/>
        </w:rPr>
        <w:t>参阅：</w:t>
      </w:r>
      <w:r w:rsidRPr="00DA7A9F">
        <w:rPr>
          <w:i/>
          <w:lang w:eastAsia="zh-CN"/>
        </w:rPr>
        <w:tab/>
      </w:r>
      <w:hyperlink r:id="rId88" w:history="1">
        <w:r w:rsidRPr="00F22AB1">
          <w:rPr>
            <w:rStyle w:val="Hyperlink"/>
            <w:lang w:val="fr-FR" w:eastAsia="zh-CN"/>
          </w:rPr>
          <w:t>C1</w:t>
        </w:r>
        <w:r>
          <w:rPr>
            <w:rStyle w:val="Hyperlink"/>
            <w:lang w:val="fr-FR" w:eastAsia="zh-CN"/>
          </w:rPr>
          <w:t>9</w:t>
        </w:r>
        <w:r w:rsidRPr="00F22AB1">
          <w:rPr>
            <w:rStyle w:val="Hyperlink"/>
            <w:lang w:val="fr-FR" w:eastAsia="zh-CN"/>
          </w:rPr>
          <w:t>/1</w:t>
        </w:r>
        <w:r>
          <w:rPr>
            <w:rStyle w:val="Hyperlink"/>
            <w:lang w:val="fr-FR" w:eastAsia="zh-CN"/>
          </w:rPr>
          <w:t>23</w:t>
        </w:r>
      </w:hyperlink>
      <w:r>
        <w:rPr>
          <w:rFonts w:hint="eastAsia"/>
          <w:lang w:val="fr-FR" w:eastAsia="zh-CN"/>
        </w:rPr>
        <w:t>和</w:t>
      </w:r>
      <w:hyperlink r:id="rId89" w:history="1">
        <w:r w:rsidRPr="003D0791">
          <w:rPr>
            <w:rStyle w:val="Hyperlink"/>
            <w:lang w:eastAsia="zh-CN"/>
          </w:rPr>
          <w:t>C1</w:t>
        </w:r>
        <w:r>
          <w:rPr>
            <w:rStyle w:val="Hyperlink"/>
            <w:lang w:eastAsia="zh-CN"/>
          </w:rPr>
          <w:t>9</w:t>
        </w:r>
        <w:r w:rsidRPr="003D0791">
          <w:rPr>
            <w:rStyle w:val="Hyperlink"/>
            <w:lang w:eastAsia="zh-CN"/>
          </w:rPr>
          <w:t>/1</w:t>
        </w:r>
        <w:r>
          <w:rPr>
            <w:rStyle w:val="Hyperlink"/>
            <w:lang w:eastAsia="zh-CN"/>
          </w:rPr>
          <w:t>2</w:t>
        </w:r>
        <w:r w:rsidRPr="003D0791">
          <w:rPr>
            <w:rStyle w:val="Hyperlink"/>
            <w:lang w:eastAsia="zh-CN"/>
          </w:rPr>
          <w:t>0</w:t>
        </w:r>
      </w:hyperlink>
      <w:r w:rsidRPr="00DA7A9F">
        <w:rPr>
          <w:rFonts w:hint="eastAsia"/>
          <w:lang w:eastAsia="zh-CN"/>
        </w:rPr>
        <w:t>号文件。</w:t>
      </w:r>
    </w:p>
    <w:p w14:paraId="4827AAA3" w14:textId="77777777" w:rsidR="00312A82" w:rsidRDefault="00312A82" w:rsidP="00312A82">
      <w:pPr>
        <w:pStyle w:val="ListParagraph"/>
        <w:jc w:val="center"/>
        <w:rPr>
          <w:lang w:eastAsia="zh-CN"/>
        </w:rPr>
      </w:pPr>
      <w:r w:rsidRPr="00280EB8">
        <w:rPr>
          <w:lang w:val="en-US" w:eastAsia="zh-CN"/>
        </w:rPr>
        <w:t>________________</w:t>
      </w:r>
    </w:p>
    <w:p w14:paraId="0B3C8AAE" w14:textId="267D0A67" w:rsidR="00FA1485" w:rsidRPr="00FA1485" w:rsidRDefault="00FA1485" w:rsidP="00CD1C3A">
      <w:pPr>
        <w:pStyle w:val="ResNo"/>
        <w:outlineLvl w:val="0"/>
        <w:rPr>
          <w:szCs w:val="28"/>
          <w:lang w:eastAsia="zh-CN"/>
        </w:rPr>
      </w:pPr>
      <w:bookmarkStart w:id="152" w:name="_Toc41908085"/>
      <w:bookmarkStart w:id="153" w:name="_Toc86395474"/>
      <w:bookmarkStart w:id="154" w:name="_Hlk57916651"/>
      <w:bookmarkStart w:id="155" w:name="_Hlk57645366"/>
      <w:r>
        <w:rPr>
          <w:rFonts w:hint="eastAsia"/>
          <w:szCs w:val="28"/>
          <w:lang w:eastAsia="zh-CN"/>
        </w:rPr>
        <w:t>第</w:t>
      </w:r>
      <w:r>
        <w:rPr>
          <w:rFonts w:hint="eastAsia"/>
          <w:szCs w:val="28"/>
          <w:lang w:eastAsia="zh-CN"/>
        </w:rPr>
        <w:t>1400</w:t>
      </w:r>
      <w:r>
        <w:rPr>
          <w:rFonts w:hint="eastAsia"/>
          <w:szCs w:val="28"/>
          <w:lang w:eastAsia="zh-CN"/>
        </w:rPr>
        <w:t>号</w:t>
      </w:r>
      <w:r w:rsidRPr="00F21ABF">
        <w:rPr>
          <w:rFonts w:hint="eastAsia"/>
          <w:szCs w:val="28"/>
          <w:lang w:eastAsia="zh-CN"/>
        </w:rPr>
        <w:t>决议</w:t>
      </w:r>
      <w:bookmarkEnd w:id="152"/>
      <w:r w:rsidRPr="00A374B5">
        <w:rPr>
          <w:rFonts w:hint="eastAsia"/>
          <w:szCs w:val="28"/>
          <w:lang w:eastAsia="zh-CN"/>
        </w:rPr>
        <w:t>（</w:t>
      </w:r>
      <w:r>
        <w:rPr>
          <w:rFonts w:hint="eastAsia"/>
          <w:szCs w:val="28"/>
          <w:lang w:eastAsia="zh-CN"/>
        </w:rPr>
        <w:t>C</w:t>
      </w:r>
      <w:r>
        <w:rPr>
          <w:szCs w:val="28"/>
          <w:lang w:eastAsia="zh-CN"/>
        </w:rPr>
        <w:t>20</w:t>
      </w:r>
      <w:r w:rsidRPr="00A374B5">
        <w:rPr>
          <w:rFonts w:hint="eastAsia"/>
          <w:szCs w:val="28"/>
          <w:lang w:eastAsia="zh-CN"/>
        </w:rPr>
        <w:t>）</w:t>
      </w:r>
      <w:bookmarkEnd w:id="153"/>
    </w:p>
    <w:p w14:paraId="2CA0F919" w14:textId="77777777" w:rsidR="00FA1485" w:rsidRPr="00F516E7" w:rsidRDefault="00FA1485" w:rsidP="00FA1485">
      <w:pPr>
        <w:pStyle w:val="Restitle"/>
        <w:rPr>
          <w:rFonts w:eastAsia="Times New Roman"/>
          <w:b w:val="0"/>
          <w:bCs/>
          <w:szCs w:val="28"/>
          <w:lang w:eastAsia="zh-CN"/>
        </w:rPr>
      </w:pPr>
      <w:bookmarkStart w:id="156" w:name="_Toc86395475"/>
      <w:r w:rsidRPr="00F516E7">
        <w:rPr>
          <w:bCs/>
          <w:szCs w:val="28"/>
          <w:lang w:eastAsia="zh-CN"/>
        </w:rPr>
        <w:t>201</w:t>
      </w:r>
      <w:r w:rsidRPr="00F516E7">
        <w:rPr>
          <w:rFonts w:hint="eastAsia"/>
          <w:bCs/>
          <w:szCs w:val="28"/>
          <w:lang w:eastAsia="zh-CN"/>
        </w:rPr>
        <w:t>9</w:t>
      </w:r>
      <w:r w:rsidRPr="00F516E7">
        <w:rPr>
          <w:rFonts w:hint="eastAsia"/>
          <w:bCs/>
          <w:szCs w:val="28"/>
          <w:lang w:eastAsia="zh-CN"/>
        </w:rPr>
        <w:t>财务年度的财务工作报告</w:t>
      </w:r>
      <w:bookmarkEnd w:id="154"/>
      <w:bookmarkEnd w:id="156"/>
    </w:p>
    <w:p w14:paraId="3680FD4A" w14:textId="77777777" w:rsidR="00FA1485" w:rsidRPr="00614C1A" w:rsidRDefault="00FA1485" w:rsidP="00FA1485">
      <w:pPr>
        <w:spacing w:before="400"/>
        <w:rPr>
          <w:rFonts w:eastAsia="MS Mincho" w:cs="Calibri"/>
          <w:lang w:eastAsia="zh-CN"/>
        </w:rPr>
      </w:pPr>
      <w:r w:rsidRPr="00614C1A">
        <w:rPr>
          <w:rFonts w:hint="eastAsia"/>
          <w:lang w:eastAsia="zh-CN"/>
        </w:rPr>
        <w:t>国际电联理事会，</w:t>
      </w:r>
    </w:p>
    <w:p w14:paraId="0D81C51F" w14:textId="77777777" w:rsidR="00FA1485" w:rsidRPr="00614C1A" w:rsidRDefault="00FA1485" w:rsidP="00FA1485">
      <w:pPr>
        <w:pStyle w:val="call0"/>
        <w:rPr>
          <w:rFonts w:ascii="Times New Roman" w:hAnsi="Times New Roman"/>
          <w:lang w:eastAsia="zh-CN"/>
        </w:rPr>
      </w:pPr>
      <w:bookmarkStart w:id="157" w:name="_Hlk39237827"/>
      <w:r w:rsidRPr="00614C1A">
        <w:rPr>
          <w:rFonts w:ascii="Times New Roman" w:hAnsi="Times New Roman" w:hint="eastAsia"/>
          <w:lang w:val="fr-FR" w:eastAsia="zh-CN"/>
        </w:rPr>
        <w:t>鉴于</w:t>
      </w:r>
    </w:p>
    <w:p w14:paraId="4673E372" w14:textId="77777777" w:rsidR="00FA1485" w:rsidRPr="00614C1A" w:rsidRDefault="00FA1485" w:rsidP="00FA1485">
      <w:pPr>
        <w:ind w:firstLineChars="200" w:firstLine="480"/>
        <w:rPr>
          <w:lang w:eastAsia="zh-CN"/>
        </w:rPr>
      </w:pPr>
      <w:r w:rsidRPr="00614C1A">
        <w:rPr>
          <w:rFonts w:hint="eastAsia"/>
          <w:lang w:eastAsia="zh-CN"/>
        </w:rPr>
        <w:t>国际电信联盟《公约》第</w:t>
      </w:r>
      <w:hyperlink r:id="rId90" w:history="1">
        <w:r w:rsidRPr="00614C1A">
          <w:rPr>
            <w:color w:val="0000FF"/>
            <w:u w:val="single"/>
            <w:lang w:eastAsia="zh-CN"/>
          </w:rPr>
          <w:t>101</w:t>
        </w:r>
      </w:hyperlink>
      <w:r w:rsidRPr="00614C1A">
        <w:rPr>
          <w:rFonts w:hint="eastAsia"/>
          <w:lang w:eastAsia="zh-CN"/>
        </w:rPr>
        <w:t>款和国际电联《财务规则》第</w:t>
      </w:r>
      <w:hyperlink r:id="rId91" w:history="1">
        <w:r w:rsidRPr="00614C1A">
          <w:rPr>
            <w:color w:val="0000FF"/>
            <w:u w:val="single"/>
            <w:lang w:eastAsia="zh-CN"/>
          </w:rPr>
          <w:t>30</w:t>
        </w:r>
      </w:hyperlink>
      <w:r w:rsidRPr="00614C1A">
        <w:rPr>
          <w:rFonts w:hint="eastAsia"/>
          <w:color w:val="0000FF"/>
          <w:u w:val="single"/>
          <w:lang w:eastAsia="zh-CN"/>
        </w:rPr>
        <w:t>条</w:t>
      </w:r>
      <w:r w:rsidRPr="00614C1A">
        <w:rPr>
          <w:rFonts w:hint="eastAsia"/>
          <w:lang w:eastAsia="zh-CN"/>
        </w:rPr>
        <w:t>的规定，</w:t>
      </w:r>
    </w:p>
    <w:p w14:paraId="66E95431" w14:textId="77777777" w:rsidR="00FA1485" w:rsidRPr="00614C1A" w:rsidRDefault="00FA1485" w:rsidP="00FA1485">
      <w:pPr>
        <w:pStyle w:val="call0"/>
        <w:rPr>
          <w:rFonts w:ascii="Times New Roman" w:hAnsi="Times New Roman"/>
          <w:i/>
          <w:lang w:eastAsia="zh-CN"/>
        </w:rPr>
      </w:pPr>
      <w:r w:rsidRPr="00614C1A">
        <w:rPr>
          <w:rFonts w:ascii="Times New Roman" w:hAnsi="Times New Roman" w:hint="eastAsia"/>
          <w:lang w:val="fr-FR" w:eastAsia="zh-CN"/>
        </w:rPr>
        <w:t>经审查</w:t>
      </w:r>
    </w:p>
    <w:p w14:paraId="204FDC74" w14:textId="77777777" w:rsidR="00FA1485" w:rsidRPr="00614C1A" w:rsidRDefault="00FA1485" w:rsidP="00FA1485">
      <w:pPr>
        <w:tabs>
          <w:tab w:val="left" w:pos="567"/>
          <w:tab w:val="left" w:pos="1134"/>
          <w:tab w:val="left" w:pos="1701"/>
          <w:tab w:val="left" w:pos="2268"/>
          <w:tab w:val="left" w:pos="2835"/>
        </w:tabs>
        <w:ind w:firstLineChars="200" w:firstLine="480"/>
        <w:rPr>
          <w:lang w:eastAsia="zh-CN"/>
        </w:rPr>
      </w:pPr>
      <w:r w:rsidRPr="00614C1A">
        <w:rPr>
          <w:lang w:eastAsia="zh-CN"/>
        </w:rPr>
        <w:t>201</w:t>
      </w:r>
      <w:r w:rsidRPr="00614C1A">
        <w:rPr>
          <w:rFonts w:hint="eastAsia"/>
          <w:lang w:eastAsia="zh-CN"/>
        </w:rPr>
        <w:t>9</w:t>
      </w:r>
      <w:r w:rsidRPr="00614C1A">
        <w:rPr>
          <w:rFonts w:hint="eastAsia"/>
          <w:lang w:eastAsia="zh-CN"/>
        </w:rPr>
        <w:t>财年的财务工作报告及其包含的经审计的国际电联</w:t>
      </w:r>
      <w:r w:rsidRPr="00614C1A">
        <w:rPr>
          <w:lang w:eastAsia="zh-CN"/>
        </w:rPr>
        <w:t>201</w:t>
      </w:r>
      <w:r w:rsidRPr="00614C1A">
        <w:rPr>
          <w:rFonts w:hint="eastAsia"/>
          <w:lang w:eastAsia="zh-CN"/>
        </w:rPr>
        <w:t>9</w:t>
      </w:r>
      <w:r w:rsidRPr="00614C1A">
        <w:rPr>
          <w:rFonts w:hint="eastAsia"/>
          <w:lang w:eastAsia="zh-CN"/>
        </w:rPr>
        <w:t>财年预算账目、国际电联电信展览部</w:t>
      </w:r>
      <w:r w:rsidRPr="00614C1A">
        <w:rPr>
          <w:lang w:eastAsia="zh-CN"/>
        </w:rPr>
        <w:t>201</w:t>
      </w:r>
      <w:r w:rsidRPr="00614C1A">
        <w:rPr>
          <w:rFonts w:hint="eastAsia"/>
          <w:lang w:eastAsia="zh-CN"/>
        </w:rPr>
        <w:t>9</w:t>
      </w:r>
      <w:r w:rsidRPr="00614C1A">
        <w:rPr>
          <w:rFonts w:hint="eastAsia"/>
          <w:lang w:eastAsia="zh-CN"/>
        </w:rPr>
        <w:t>年各账目的状况和经审计的</w:t>
      </w:r>
      <w:r w:rsidRPr="00614C1A">
        <w:rPr>
          <w:lang w:eastAsia="zh-CN"/>
        </w:rPr>
        <w:t>201</w:t>
      </w:r>
      <w:r w:rsidRPr="00614C1A">
        <w:rPr>
          <w:rFonts w:hint="eastAsia"/>
          <w:lang w:eastAsia="zh-CN"/>
        </w:rPr>
        <w:t>9</w:t>
      </w:r>
      <w:r w:rsidRPr="00614C1A">
        <w:rPr>
          <w:rFonts w:hint="eastAsia"/>
          <w:lang w:eastAsia="zh-CN"/>
        </w:rPr>
        <w:t>年技术合作项目、自愿捐款和国际电联职员退休和福利基金等各账目，</w:t>
      </w:r>
    </w:p>
    <w:p w14:paraId="32C92343" w14:textId="77777777" w:rsidR="00FA1485" w:rsidRPr="00614C1A" w:rsidRDefault="00FA1485" w:rsidP="00FA1485">
      <w:pPr>
        <w:pStyle w:val="call0"/>
        <w:rPr>
          <w:rFonts w:ascii="Times New Roman" w:hAnsi="Times New Roman"/>
          <w:lang w:eastAsia="zh-CN"/>
        </w:rPr>
      </w:pPr>
      <w:r w:rsidRPr="00614C1A">
        <w:rPr>
          <w:rFonts w:ascii="Times New Roman" w:hAnsi="Times New Roman" w:hint="eastAsia"/>
          <w:lang w:val="fr-FR" w:eastAsia="zh-CN"/>
        </w:rPr>
        <w:t>已注意到</w:t>
      </w:r>
    </w:p>
    <w:p w14:paraId="695A8200" w14:textId="77777777" w:rsidR="00FA1485" w:rsidRPr="00614C1A" w:rsidRDefault="00F71B18" w:rsidP="00FA1485">
      <w:pPr>
        <w:ind w:firstLineChars="200" w:firstLine="480"/>
        <w:rPr>
          <w:lang w:eastAsia="zh-CN"/>
        </w:rPr>
      </w:pPr>
      <w:hyperlink r:id="rId92" w:history="1">
        <w:r w:rsidR="00FA1485" w:rsidRPr="00614C1A">
          <w:rPr>
            <w:color w:val="0000FF"/>
            <w:u w:val="single"/>
            <w:lang w:eastAsia="zh-CN"/>
          </w:rPr>
          <w:t>C20/40</w:t>
        </w:r>
      </w:hyperlink>
      <w:r w:rsidR="00FA1485" w:rsidRPr="00614C1A">
        <w:rPr>
          <w:rFonts w:hint="eastAsia"/>
          <w:lang w:eastAsia="zh-CN"/>
        </w:rPr>
        <w:t>号</w:t>
      </w:r>
      <w:r w:rsidR="00FA1485" w:rsidRPr="00614C1A">
        <w:rPr>
          <w:lang w:eastAsia="zh-CN"/>
        </w:rPr>
        <w:t>文件</w:t>
      </w:r>
      <w:r w:rsidR="00FA1485" w:rsidRPr="00614C1A">
        <w:rPr>
          <w:rFonts w:hint="eastAsia"/>
          <w:lang w:eastAsia="zh-CN"/>
        </w:rPr>
        <w:t>提供的外部审计员的报告，</w:t>
      </w:r>
    </w:p>
    <w:p w14:paraId="503A30D6" w14:textId="77777777" w:rsidR="00FA1485" w:rsidRPr="00614C1A" w:rsidRDefault="00FA1485" w:rsidP="00FA1485">
      <w:pPr>
        <w:pStyle w:val="call0"/>
        <w:rPr>
          <w:rFonts w:ascii="Times New Roman" w:hAnsi="Times New Roman"/>
          <w:lang w:eastAsia="zh-CN"/>
        </w:rPr>
      </w:pPr>
      <w:r w:rsidRPr="00614C1A">
        <w:rPr>
          <w:rFonts w:ascii="Times New Roman" w:hAnsi="Times New Roman" w:hint="eastAsia"/>
          <w:lang w:val="fr-FR" w:eastAsia="zh-CN"/>
        </w:rPr>
        <w:lastRenderedPageBreak/>
        <w:t>做出决议</w:t>
      </w:r>
    </w:p>
    <w:p w14:paraId="63705EBA" w14:textId="77777777" w:rsidR="00FA1485" w:rsidRPr="00614C1A" w:rsidRDefault="00FA1485" w:rsidP="00FA1485">
      <w:pPr>
        <w:ind w:firstLineChars="200" w:firstLine="480"/>
        <w:rPr>
          <w:rFonts w:eastAsia="MS Mincho" w:cs="Calibri"/>
          <w:lang w:eastAsia="zh-CN"/>
        </w:rPr>
      </w:pPr>
      <w:r w:rsidRPr="00614C1A">
        <w:rPr>
          <w:rFonts w:hint="eastAsia"/>
          <w:lang w:eastAsia="zh-CN"/>
        </w:rPr>
        <w:t>批准</w:t>
      </w:r>
      <w:r w:rsidRPr="00614C1A">
        <w:rPr>
          <w:lang w:eastAsia="zh-CN"/>
        </w:rPr>
        <w:t>201</w:t>
      </w:r>
      <w:r w:rsidRPr="00614C1A">
        <w:rPr>
          <w:rFonts w:hint="eastAsia"/>
          <w:lang w:eastAsia="zh-CN"/>
        </w:rPr>
        <w:t>9</w:t>
      </w:r>
      <w:r w:rsidRPr="00614C1A">
        <w:rPr>
          <w:rFonts w:hint="eastAsia"/>
          <w:lang w:eastAsia="zh-CN"/>
        </w:rPr>
        <w:t>财年的财务工作报告（</w:t>
      </w:r>
      <w:hyperlink r:id="rId93" w:history="1">
        <w:r w:rsidRPr="00614C1A">
          <w:rPr>
            <w:color w:val="0000FF"/>
            <w:u w:val="single"/>
            <w:lang w:eastAsia="zh-CN"/>
          </w:rPr>
          <w:t>C</w:t>
        </w:r>
        <w:r w:rsidRPr="00614C1A">
          <w:rPr>
            <w:rFonts w:hint="eastAsia"/>
            <w:color w:val="0000FF"/>
            <w:u w:val="single"/>
            <w:lang w:eastAsia="zh-CN"/>
          </w:rPr>
          <w:t>20</w:t>
        </w:r>
        <w:r w:rsidRPr="00614C1A">
          <w:rPr>
            <w:color w:val="0000FF"/>
            <w:u w:val="single"/>
            <w:lang w:eastAsia="zh-CN"/>
          </w:rPr>
          <w:t>/42</w:t>
        </w:r>
      </w:hyperlink>
      <w:r w:rsidRPr="00614C1A">
        <w:rPr>
          <w:rFonts w:hint="eastAsia"/>
          <w:lang w:eastAsia="zh-CN"/>
        </w:rPr>
        <w:t>号</w:t>
      </w:r>
      <w:r w:rsidRPr="00614C1A">
        <w:rPr>
          <w:lang w:eastAsia="zh-CN"/>
        </w:rPr>
        <w:t>文件</w:t>
      </w:r>
      <w:r w:rsidRPr="00614C1A">
        <w:rPr>
          <w:rFonts w:hint="eastAsia"/>
          <w:lang w:eastAsia="zh-CN"/>
        </w:rPr>
        <w:t>）及其</w:t>
      </w:r>
      <w:r>
        <w:rPr>
          <w:rFonts w:hint="eastAsia"/>
          <w:lang w:eastAsia="zh-CN"/>
        </w:rPr>
        <w:t>所</w:t>
      </w:r>
      <w:r w:rsidRPr="00614C1A">
        <w:rPr>
          <w:rFonts w:hint="eastAsia"/>
          <w:lang w:eastAsia="zh-CN"/>
        </w:rPr>
        <w:t>包含的国际电联审</w:t>
      </w:r>
      <w:r>
        <w:rPr>
          <w:rFonts w:hint="eastAsia"/>
          <w:lang w:eastAsia="zh-CN"/>
        </w:rPr>
        <w:t>定</w:t>
      </w:r>
      <w:r w:rsidRPr="00614C1A">
        <w:rPr>
          <w:rFonts w:hint="eastAsia"/>
          <w:lang w:eastAsia="zh-CN"/>
        </w:rPr>
        <w:t>账目、国际电联电信展览部</w:t>
      </w:r>
      <w:r w:rsidRPr="00614C1A">
        <w:rPr>
          <w:lang w:eastAsia="zh-CN"/>
        </w:rPr>
        <w:t>201</w:t>
      </w:r>
      <w:r w:rsidRPr="00614C1A">
        <w:rPr>
          <w:rFonts w:hint="eastAsia"/>
          <w:lang w:eastAsia="zh-CN"/>
        </w:rPr>
        <w:t>9</w:t>
      </w:r>
      <w:r w:rsidRPr="00614C1A">
        <w:rPr>
          <w:rFonts w:hint="eastAsia"/>
          <w:lang w:eastAsia="zh-CN"/>
        </w:rPr>
        <w:t>年各账目的状况</w:t>
      </w:r>
      <w:r>
        <w:rPr>
          <w:rFonts w:hint="eastAsia"/>
          <w:lang w:eastAsia="zh-CN"/>
        </w:rPr>
        <w:t>以及</w:t>
      </w:r>
      <w:r w:rsidRPr="00614C1A">
        <w:rPr>
          <w:lang w:eastAsia="zh-CN"/>
        </w:rPr>
        <w:t>201</w:t>
      </w:r>
      <w:r w:rsidRPr="00614C1A">
        <w:rPr>
          <w:rFonts w:hint="eastAsia"/>
          <w:lang w:eastAsia="zh-CN"/>
        </w:rPr>
        <w:t>9</w:t>
      </w:r>
      <w:r w:rsidRPr="00614C1A">
        <w:rPr>
          <w:rFonts w:hint="eastAsia"/>
          <w:lang w:eastAsia="zh-CN"/>
        </w:rPr>
        <w:t>年技术合作项目、自愿捐款和国际电联职员退休和福利基金等各</w:t>
      </w:r>
      <w:r>
        <w:rPr>
          <w:rFonts w:hint="eastAsia"/>
          <w:lang w:eastAsia="zh-CN"/>
        </w:rPr>
        <w:t>审定</w:t>
      </w:r>
      <w:r w:rsidRPr="00614C1A">
        <w:rPr>
          <w:rFonts w:hint="eastAsia"/>
          <w:lang w:eastAsia="zh-CN"/>
        </w:rPr>
        <w:t>账目。</w:t>
      </w:r>
    </w:p>
    <w:bookmarkEnd w:id="155"/>
    <w:bookmarkEnd w:id="157"/>
    <w:p w14:paraId="222A6C71" w14:textId="078FF9C6" w:rsidR="00FA1485" w:rsidRDefault="00FA1485" w:rsidP="00FA1485">
      <w:pPr>
        <w:pStyle w:val="Endtext"/>
        <w:rPr>
          <w:lang w:eastAsia="zh-CN"/>
        </w:rPr>
      </w:pPr>
      <w:r w:rsidRPr="00DA7A9F">
        <w:rPr>
          <w:rFonts w:ascii="STKaiti" w:hAnsi="STKaiti" w:hint="eastAsia"/>
          <w:lang w:eastAsia="zh-CN"/>
        </w:rPr>
        <w:t>参阅：</w:t>
      </w:r>
      <w:r w:rsidRPr="00DA7A9F">
        <w:rPr>
          <w:i/>
          <w:lang w:eastAsia="zh-CN"/>
        </w:rPr>
        <w:tab/>
      </w:r>
      <w:hyperlink r:id="rId94" w:history="1">
        <w:r w:rsidRPr="00FA1485">
          <w:rPr>
            <w:rStyle w:val="Hyperlink"/>
            <w:lang w:eastAsia="zh-CN"/>
          </w:rPr>
          <w:t>C20/80</w:t>
        </w:r>
      </w:hyperlink>
      <w:r>
        <w:rPr>
          <w:rFonts w:hint="eastAsia"/>
          <w:lang w:eastAsia="zh-CN"/>
        </w:rPr>
        <w:t>、</w:t>
      </w:r>
      <w:hyperlink r:id="rId95" w:history="1">
        <w:r w:rsidRPr="00FA1485">
          <w:rPr>
            <w:rStyle w:val="Hyperlink"/>
            <w:lang w:eastAsia="zh-CN"/>
          </w:rPr>
          <w:t>VC-2/11</w:t>
        </w:r>
      </w:hyperlink>
      <w:r>
        <w:rPr>
          <w:rFonts w:hint="eastAsia"/>
          <w:lang w:eastAsia="zh-CN"/>
        </w:rPr>
        <w:t>和</w:t>
      </w:r>
      <w:hyperlink r:id="rId96" w:history="1">
        <w:r w:rsidRPr="00FA1485">
          <w:rPr>
            <w:rStyle w:val="Hyperlink"/>
            <w:lang w:eastAsia="zh-CN"/>
          </w:rPr>
          <w:t>DM-20/1022</w:t>
        </w:r>
      </w:hyperlink>
      <w:r w:rsidRPr="00DA7A9F">
        <w:rPr>
          <w:rFonts w:hint="eastAsia"/>
          <w:lang w:eastAsia="zh-CN"/>
        </w:rPr>
        <w:t>号文件。</w:t>
      </w:r>
    </w:p>
    <w:p w14:paraId="508EE199" w14:textId="14718D6A" w:rsidR="00FA1485" w:rsidRDefault="00FA1485">
      <w:pPr>
        <w:jc w:val="center"/>
        <w:rPr>
          <w:lang w:eastAsia="zh-CN"/>
        </w:rPr>
      </w:pPr>
      <w:r>
        <w:rPr>
          <w:lang w:eastAsia="zh-CN"/>
        </w:rPr>
        <w:t>______________</w:t>
      </w:r>
    </w:p>
    <w:p w14:paraId="5C89C51A" w14:textId="4ACB773F" w:rsidR="00A11C8C" w:rsidRPr="00A11C8C" w:rsidRDefault="00A11C8C" w:rsidP="00CD1C3A">
      <w:pPr>
        <w:pStyle w:val="ResNo"/>
        <w:outlineLvl w:val="0"/>
        <w:rPr>
          <w:szCs w:val="28"/>
          <w:lang w:eastAsia="zh-CN"/>
        </w:rPr>
      </w:pPr>
      <w:bookmarkStart w:id="158" w:name="_Toc86395476"/>
      <w:r>
        <w:rPr>
          <w:rFonts w:hint="eastAsia"/>
          <w:szCs w:val="28"/>
          <w:lang w:eastAsia="zh-CN"/>
        </w:rPr>
        <w:t>第</w:t>
      </w:r>
      <w:r>
        <w:rPr>
          <w:rFonts w:hint="eastAsia"/>
          <w:szCs w:val="28"/>
          <w:lang w:eastAsia="zh-CN"/>
        </w:rPr>
        <w:t>140</w:t>
      </w:r>
      <w:r>
        <w:rPr>
          <w:szCs w:val="28"/>
          <w:lang w:eastAsia="zh-CN"/>
        </w:rPr>
        <w:t>2</w:t>
      </w:r>
      <w:r>
        <w:rPr>
          <w:rFonts w:hint="eastAsia"/>
          <w:szCs w:val="28"/>
          <w:lang w:eastAsia="zh-CN"/>
        </w:rPr>
        <w:t>号</w:t>
      </w:r>
      <w:r w:rsidRPr="00F21ABF">
        <w:rPr>
          <w:rFonts w:hint="eastAsia"/>
          <w:szCs w:val="28"/>
          <w:lang w:eastAsia="zh-CN"/>
        </w:rPr>
        <w:t>决议</w:t>
      </w:r>
      <w:r>
        <w:rPr>
          <w:rFonts w:hint="eastAsia"/>
          <w:szCs w:val="28"/>
          <w:lang w:eastAsia="zh-CN"/>
        </w:rPr>
        <w:t>（</w:t>
      </w:r>
      <w:r>
        <w:rPr>
          <w:rFonts w:hint="eastAsia"/>
          <w:szCs w:val="28"/>
          <w:lang w:eastAsia="zh-CN"/>
        </w:rPr>
        <w:t>C</w:t>
      </w:r>
      <w:r>
        <w:rPr>
          <w:szCs w:val="28"/>
          <w:lang w:eastAsia="zh-CN"/>
        </w:rPr>
        <w:t>20</w:t>
      </w:r>
      <w:r>
        <w:rPr>
          <w:rFonts w:hint="eastAsia"/>
          <w:szCs w:val="28"/>
          <w:lang w:eastAsia="zh-CN"/>
        </w:rPr>
        <w:t>）</w:t>
      </w:r>
      <w:bookmarkEnd w:id="158"/>
    </w:p>
    <w:p w14:paraId="2C5B4B6A" w14:textId="77777777" w:rsidR="00A11C8C" w:rsidRPr="00ED3BE5" w:rsidRDefault="00A11C8C" w:rsidP="00A11C8C">
      <w:pPr>
        <w:pStyle w:val="Restitle"/>
        <w:rPr>
          <w:rFonts w:eastAsia="Times New Roman"/>
          <w:b w:val="0"/>
          <w:bCs/>
          <w:szCs w:val="28"/>
          <w:lang w:eastAsia="zh-CN"/>
        </w:rPr>
      </w:pPr>
      <w:bookmarkStart w:id="159" w:name="_Toc86395477"/>
      <w:r w:rsidRPr="00ED3BE5">
        <w:rPr>
          <w:rFonts w:hint="eastAsia"/>
          <w:bCs/>
          <w:szCs w:val="28"/>
          <w:lang w:eastAsia="zh-CN"/>
        </w:rPr>
        <w:t>分摊国际电联费用的会费份额</w:t>
      </w:r>
      <w:bookmarkEnd w:id="159"/>
    </w:p>
    <w:p w14:paraId="4568FA99" w14:textId="13C1C0F6" w:rsidR="00A11C8C" w:rsidRPr="00614C1A" w:rsidRDefault="00A11C8C" w:rsidP="00A11C8C">
      <w:pPr>
        <w:overflowPunct/>
        <w:autoSpaceDE/>
        <w:autoSpaceDN/>
        <w:adjustRightInd/>
        <w:spacing w:before="320"/>
        <w:textAlignment w:val="auto"/>
        <w:rPr>
          <w:rFonts w:eastAsia="Times New Roman"/>
          <w:lang w:eastAsia="zh-CN"/>
        </w:rPr>
      </w:pPr>
      <w:r w:rsidRPr="00614C1A">
        <w:rPr>
          <w:rFonts w:hint="eastAsia"/>
          <w:lang w:eastAsia="zh-CN"/>
        </w:rPr>
        <w:t>国际电联理事会</w:t>
      </w:r>
      <w:r w:rsidR="00367C17">
        <w:rPr>
          <w:rFonts w:hint="eastAsia"/>
          <w:lang w:eastAsia="zh-CN"/>
        </w:rPr>
        <w:t>，</w:t>
      </w:r>
    </w:p>
    <w:p w14:paraId="6762984C" w14:textId="77777777" w:rsidR="00A11C8C" w:rsidRPr="00614C1A" w:rsidRDefault="00A11C8C" w:rsidP="00A11C8C">
      <w:pPr>
        <w:pStyle w:val="call0"/>
        <w:rPr>
          <w:rFonts w:ascii="STKaiti" w:hAnsi="STKaiti" w:cs="Calibri"/>
          <w:lang w:eastAsia="zh-CN"/>
        </w:rPr>
      </w:pPr>
      <w:r w:rsidRPr="00614C1A">
        <w:rPr>
          <w:rFonts w:ascii="STKaiti" w:hAnsi="STKaiti" w:cs="Calibri" w:hint="eastAsia"/>
          <w:lang w:val="fr-FR" w:eastAsia="zh-CN"/>
        </w:rPr>
        <w:t>根据</w:t>
      </w:r>
    </w:p>
    <w:p w14:paraId="4C7977D8" w14:textId="77777777" w:rsidR="00A11C8C" w:rsidRPr="00614C1A" w:rsidRDefault="00A11C8C" w:rsidP="00A11C8C">
      <w:pPr>
        <w:ind w:firstLineChars="198" w:firstLine="475"/>
        <w:rPr>
          <w:rFonts w:cs="Calibri"/>
          <w:lang w:eastAsia="zh-CN"/>
        </w:rPr>
      </w:pPr>
      <w:bookmarkStart w:id="160" w:name="lt_pId060"/>
      <w:r w:rsidRPr="00614C1A">
        <w:rPr>
          <w:rFonts w:cs="Calibri" w:hint="eastAsia"/>
          <w:lang w:val="fr-FR" w:eastAsia="zh-CN"/>
        </w:rPr>
        <w:t>国际电联《组织法》第</w:t>
      </w:r>
      <w:r w:rsidRPr="00614C1A">
        <w:rPr>
          <w:rFonts w:cs="Calibri" w:hint="eastAsia"/>
          <w:lang w:eastAsia="zh-CN"/>
        </w:rPr>
        <w:t>28</w:t>
      </w:r>
      <w:r w:rsidRPr="00614C1A">
        <w:rPr>
          <w:rFonts w:cs="Calibri" w:hint="eastAsia"/>
          <w:lang w:val="fr-FR" w:eastAsia="zh-CN"/>
        </w:rPr>
        <w:t>条第</w:t>
      </w:r>
      <w:r w:rsidRPr="00614C1A">
        <w:rPr>
          <w:rFonts w:cs="Calibri"/>
          <w:lang w:eastAsia="zh-CN"/>
        </w:rPr>
        <w:t>165A</w:t>
      </w:r>
      <w:r w:rsidRPr="00614C1A">
        <w:rPr>
          <w:rFonts w:cs="Calibri" w:hint="eastAsia"/>
          <w:lang w:val="fr-FR" w:eastAsia="zh-CN"/>
        </w:rPr>
        <w:t>款的规定</w:t>
      </w:r>
      <w:r w:rsidRPr="00614C1A">
        <w:rPr>
          <w:rFonts w:cs="Calibri" w:hint="eastAsia"/>
          <w:lang w:eastAsia="zh-CN"/>
        </w:rPr>
        <w:t>，</w:t>
      </w:r>
      <w:bookmarkEnd w:id="160"/>
    </w:p>
    <w:p w14:paraId="6AF78A4F" w14:textId="77777777" w:rsidR="00A11C8C" w:rsidRPr="00614C1A" w:rsidRDefault="00A11C8C" w:rsidP="00A11C8C">
      <w:pPr>
        <w:pStyle w:val="call0"/>
        <w:rPr>
          <w:rFonts w:ascii="STKaiti" w:hAnsi="STKaiti" w:cs="Calibri"/>
          <w:lang w:eastAsia="zh-CN"/>
        </w:rPr>
      </w:pPr>
      <w:r>
        <w:rPr>
          <w:rFonts w:ascii="Times New Roman" w:hAnsi="Times New Roman" w:hint="eastAsia"/>
          <w:lang w:val="fr-FR" w:eastAsia="zh-CN"/>
        </w:rPr>
        <w:t>已经注意到</w:t>
      </w:r>
    </w:p>
    <w:bookmarkStart w:id="161" w:name="lt_pId063"/>
    <w:p w14:paraId="3581E7AB" w14:textId="77777777" w:rsidR="00A11C8C" w:rsidRPr="00614C1A" w:rsidRDefault="00A11C8C" w:rsidP="00A11C8C">
      <w:pPr>
        <w:ind w:firstLineChars="210" w:firstLine="504"/>
        <w:rPr>
          <w:rFonts w:cs="Calibri"/>
          <w:lang w:eastAsia="zh-CN"/>
        </w:rPr>
      </w:pPr>
      <w:r w:rsidRPr="00614C1A">
        <w:fldChar w:fldCharType="begin"/>
      </w:r>
      <w:r w:rsidRPr="00614C1A">
        <w:rPr>
          <w:lang w:eastAsia="zh-CN"/>
        </w:rPr>
        <w:instrText>HYPERLINK "https://www.itu.int/md/S20-CL-C-0073/en"</w:instrText>
      </w:r>
      <w:r w:rsidRPr="00614C1A">
        <w:fldChar w:fldCharType="separate"/>
      </w:r>
      <w:r w:rsidRPr="00614C1A">
        <w:rPr>
          <w:rFonts w:cs="Calibri"/>
          <w:color w:val="0000FF"/>
          <w:u w:val="single"/>
          <w:lang w:eastAsia="zh-CN"/>
        </w:rPr>
        <w:t>C20/73</w:t>
      </w:r>
      <w:r w:rsidRPr="00614C1A">
        <w:rPr>
          <w:rFonts w:cs="Calibri"/>
          <w:color w:val="0000FF"/>
          <w:u w:val="single"/>
          <w:lang w:eastAsia="zh-CN"/>
        </w:rPr>
        <w:t>号文件</w:t>
      </w:r>
      <w:r w:rsidRPr="00614C1A">
        <w:rPr>
          <w:rFonts w:cs="Calibri"/>
          <w:color w:val="0000FF"/>
          <w:u w:val="single"/>
        </w:rPr>
        <w:fldChar w:fldCharType="end"/>
      </w:r>
      <w:bookmarkStart w:id="162" w:name="_Hlk53049987"/>
      <w:bookmarkStart w:id="163" w:name="OLE_LINK27"/>
      <w:r w:rsidRPr="00614C1A">
        <w:rPr>
          <w:rFonts w:cs="Calibri" w:hint="eastAsia"/>
          <w:lang w:val="fr-FR" w:eastAsia="zh-CN"/>
        </w:rPr>
        <w:t>中秘书长的说明</w:t>
      </w:r>
      <w:bookmarkEnd w:id="162"/>
      <w:bookmarkEnd w:id="163"/>
      <w:r w:rsidRPr="00614C1A">
        <w:rPr>
          <w:rFonts w:cs="Calibri" w:hint="eastAsia"/>
          <w:lang w:eastAsia="zh-CN"/>
        </w:rPr>
        <w:t>，</w:t>
      </w:r>
      <w:bookmarkEnd w:id="161"/>
    </w:p>
    <w:p w14:paraId="53A16569" w14:textId="77777777" w:rsidR="00A11C8C" w:rsidRPr="00931058" w:rsidRDefault="00A11C8C" w:rsidP="00A11C8C">
      <w:pPr>
        <w:pStyle w:val="call0"/>
        <w:rPr>
          <w:rFonts w:ascii="Times New Roman" w:hAnsi="Times New Roman"/>
          <w:lang w:val="fr-FR" w:eastAsia="zh-CN"/>
        </w:rPr>
      </w:pPr>
      <w:r w:rsidRPr="00614C1A">
        <w:rPr>
          <w:rFonts w:ascii="Times New Roman" w:hAnsi="Times New Roman" w:hint="eastAsia"/>
          <w:lang w:val="fr-FR" w:eastAsia="zh-CN"/>
        </w:rPr>
        <w:t>做出决议</w:t>
      </w:r>
    </w:p>
    <w:p w14:paraId="71BC4243" w14:textId="4652DB97" w:rsidR="00A11C8C" w:rsidRDefault="00A11C8C" w:rsidP="00A11C8C">
      <w:pPr>
        <w:ind w:firstLineChars="200" w:firstLine="480"/>
        <w:rPr>
          <w:rFonts w:cs="Calibri"/>
          <w:lang w:val="fr-FR" w:eastAsia="zh-CN"/>
        </w:rPr>
      </w:pPr>
      <w:bookmarkStart w:id="164" w:name="lt_pId065"/>
      <w:r w:rsidRPr="00614C1A">
        <w:rPr>
          <w:rFonts w:cs="Calibri" w:hint="eastAsia"/>
          <w:lang w:val="fr-FR" w:eastAsia="zh-CN"/>
        </w:rPr>
        <w:t>授权巴基斯坦共和国自</w:t>
      </w:r>
      <w:r w:rsidRPr="00614C1A">
        <w:rPr>
          <w:rFonts w:cs="Calibri" w:hint="eastAsia"/>
          <w:lang w:eastAsia="zh-CN"/>
        </w:rPr>
        <w:t>2020</w:t>
      </w:r>
      <w:r w:rsidRPr="00614C1A">
        <w:rPr>
          <w:rFonts w:cs="Calibri" w:hint="eastAsia"/>
          <w:lang w:val="fr-FR" w:eastAsia="zh-CN"/>
        </w:rPr>
        <w:t>年</w:t>
      </w:r>
      <w:r w:rsidRPr="00614C1A">
        <w:rPr>
          <w:rFonts w:cs="Calibri" w:hint="eastAsia"/>
          <w:lang w:eastAsia="zh-CN"/>
        </w:rPr>
        <w:t>1</w:t>
      </w:r>
      <w:r w:rsidRPr="00614C1A">
        <w:rPr>
          <w:rFonts w:cs="Calibri" w:hint="eastAsia"/>
          <w:lang w:val="fr-FR" w:eastAsia="zh-CN"/>
        </w:rPr>
        <w:t>月</w:t>
      </w:r>
      <w:r w:rsidRPr="00614C1A">
        <w:rPr>
          <w:rFonts w:cs="Calibri" w:hint="eastAsia"/>
          <w:lang w:eastAsia="zh-CN"/>
        </w:rPr>
        <w:t>1</w:t>
      </w:r>
      <w:r w:rsidRPr="00614C1A">
        <w:rPr>
          <w:rFonts w:cs="Calibri" w:hint="eastAsia"/>
          <w:lang w:val="fr-FR" w:eastAsia="zh-CN"/>
        </w:rPr>
        <w:t>日起认担</w:t>
      </w:r>
      <w:r w:rsidRPr="00614C1A">
        <w:rPr>
          <w:rFonts w:cs="Calibri"/>
          <w:lang w:eastAsia="zh-CN"/>
        </w:rPr>
        <w:t>1</w:t>
      </w:r>
      <w:r w:rsidRPr="00614C1A">
        <w:rPr>
          <w:rFonts w:cs="Calibri" w:hint="eastAsia"/>
          <w:lang w:val="fr-FR" w:eastAsia="zh-CN"/>
        </w:rPr>
        <w:t>个会费单位的等级以分摊国际电联的费用。</w:t>
      </w:r>
      <w:bookmarkEnd w:id="164"/>
    </w:p>
    <w:p w14:paraId="73BF056C" w14:textId="37991D5F" w:rsidR="00A11C8C" w:rsidRDefault="00A11C8C" w:rsidP="00A11C8C">
      <w:pPr>
        <w:pStyle w:val="Endtext"/>
        <w:rPr>
          <w:lang w:eastAsia="zh-CN"/>
        </w:rPr>
      </w:pPr>
      <w:r w:rsidRPr="00DA7A9F">
        <w:rPr>
          <w:rFonts w:ascii="STKaiti" w:hAnsi="STKaiti" w:hint="eastAsia"/>
          <w:lang w:eastAsia="zh-CN"/>
        </w:rPr>
        <w:t>参阅：</w:t>
      </w:r>
      <w:r w:rsidRPr="00DA7A9F">
        <w:rPr>
          <w:i/>
          <w:lang w:eastAsia="zh-CN"/>
        </w:rPr>
        <w:tab/>
      </w:r>
      <w:hyperlink r:id="rId97" w:history="1">
        <w:r w:rsidRPr="00A11C8C">
          <w:rPr>
            <w:rStyle w:val="Hyperlink"/>
            <w:lang w:val="en-GB" w:eastAsia="zh-CN"/>
          </w:rPr>
          <w:t>C20/85</w:t>
        </w:r>
      </w:hyperlink>
      <w:r>
        <w:rPr>
          <w:rFonts w:hint="eastAsia"/>
          <w:lang w:val="en-GB" w:eastAsia="zh-CN"/>
        </w:rPr>
        <w:t>、</w:t>
      </w:r>
      <w:hyperlink r:id="rId98" w:history="1">
        <w:r w:rsidRPr="00A11C8C">
          <w:rPr>
            <w:rStyle w:val="Hyperlink"/>
            <w:lang w:val="en-GB" w:eastAsia="zh-CN"/>
          </w:rPr>
          <w:t>VC-2/14</w:t>
        </w:r>
      </w:hyperlink>
      <w:r>
        <w:rPr>
          <w:rFonts w:hint="eastAsia"/>
          <w:lang w:val="en-GB" w:eastAsia="zh-CN"/>
        </w:rPr>
        <w:t>和</w:t>
      </w:r>
      <w:hyperlink r:id="rId99" w:history="1">
        <w:r w:rsidRPr="00A11C8C">
          <w:rPr>
            <w:rStyle w:val="Hyperlink"/>
            <w:lang w:val="en-GB" w:eastAsia="zh-CN"/>
          </w:rPr>
          <w:t>DM-20/1022</w:t>
        </w:r>
      </w:hyperlink>
      <w:r w:rsidRPr="00DA7A9F">
        <w:rPr>
          <w:rFonts w:hint="eastAsia"/>
          <w:lang w:eastAsia="zh-CN"/>
        </w:rPr>
        <w:t>号文件。</w:t>
      </w:r>
    </w:p>
    <w:p w14:paraId="08089EC1" w14:textId="77777777" w:rsidR="00A11C8C" w:rsidRPr="00614C1A" w:rsidRDefault="00A11C8C" w:rsidP="00A11C8C">
      <w:pPr>
        <w:pStyle w:val="Endtext"/>
        <w:rPr>
          <w:rFonts w:eastAsia="MS Mincho" w:cs="Calibri"/>
          <w:lang w:eastAsia="zh-CN"/>
        </w:rPr>
      </w:pPr>
    </w:p>
    <w:p w14:paraId="5E46EB5D" w14:textId="77777777" w:rsidR="00A11C8C" w:rsidRDefault="00A11C8C" w:rsidP="00A11C8C">
      <w:pPr>
        <w:jc w:val="center"/>
        <w:rPr>
          <w:lang w:eastAsia="zh-CN"/>
        </w:rPr>
      </w:pPr>
      <w:r>
        <w:rPr>
          <w:lang w:eastAsia="zh-CN"/>
        </w:rPr>
        <w:t>______________</w:t>
      </w:r>
    </w:p>
    <w:p w14:paraId="634AE563" w14:textId="1DE55A8B" w:rsidR="00FA1485" w:rsidRDefault="00FA1485" w:rsidP="00A11C8C">
      <w:pPr>
        <w:tabs>
          <w:tab w:val="left" w:pos="567"/>
          <w:tab w:val="left" w:pos="1134"/>
          <w:tab w:val="left" w:pos="1701"/>
          <w:tab w:val="left" w:pos="2268"/>
          <w:tab w:val="left" w:pos="2835"/>
        </w:tabs>
        <w:ind w:firstLineChars="200" w:firstLine="480"/>
        <w:rPr>
          <w:lang w:eastAsia="zh-CN"/>
        </w:rPr>
      </w:pPr>
    </w:p>
    <w:p w14:paraId="02CF3F12" w14:textId="63B34E55" w:rsidR="00FA1485" w:rsidRDefault="00FA1485" w:rsidP="00A11C8C">
      <w:pPr>
        <w:tabs>
          <w:tab w:val="left" w:pos="567"/>
          <w:tab w:val="left" w:pos="1134"/>
          <w:tab w:val="left" w:pos="1701"/>
          <w:tab w:val="left" w:pos="2268"/>
          <w:tab w:val="left" w:pos="2835"/>
        </w:tabs>
        <w:ind w:firstLineChars="200" w:firstLine="480"/>
        <w:rPr>
          <w:lang w:eastAsia="zh-CN"/>
        </w:rPr>
      </w:pPr>
    </w:p>
    <w:p w14:paraId="70D106F1" w14:textId="1E044A42" w:rsidR="00FA1485" w:rsidRDefault="00FA1485" w:rsidP="00A11C8C">
      <w:pPr>
        <w:tabs>
          <w:tab w:val="left" w:pos="567"/>
          <w:tab w:val="left" w:pos="1134"/>
          <w:tab w:val="left" w:pos="1701"/>
          <w:tab w:val="left" w:pos="2268"/>
          <w:tab w:val="left" w:pos="2835"/>
        </w:tabs>
        <w:ind w:firstLineChars="200" w:firstLine="480"/>
        <w:rPr>
          <w:lang w:eastAsia="zh-CN"/>
        </w:rPr>
      </w:pPr>
    </w:p>
    <w:p w14:paraId="25A17F73" w14:textId="3FA31E77" w:rsidR="00FA1485" w:rsidRDefault="00FA1485" w:rsidP="00A11C8C">
      <w:pPr>
        <w:tabs>
          <w:tab w:val="left" w:pos="567"/>
          <w:tab w:val="left" w:pos="1134"/>
          <w:tab w:val="left" w:pos="1701"/>
          <w:tab w:val="left" w:pos="2268"/>
          <w:tab w:val="left" w:pos="2835"/>
        </w:tabs>
        <w:ind w:firstLineChars="200" w:firstLine="480"/>
        <w:rPr>
          <w:lang w:eastAsia="zh-CN"/>
        </w:rPr>
      </w:pPr>
    </w:p>
    <w:p w14:paraId="6FD4A434" w14:textId="4BAC4B16" w:rsidR="00FA1485" w:rsidRDefault="00FA1485" w:rsidP="00A11C8C">
      <w:pPr>
        <w:tabs>
          <w:tab w:val="left" w:pos="567"/>
          <w:tab w:val="left" w:pos="1134"/>
          <w:tab w:val="left" w:pos="1701"/>
          <w:tab w:val="left" w:pos="2268"/>
          <w:tab w:val="left" w:pos="2835"/>
        </w:tabs>
        <w:ind w:firstLineChars="200" w:firstLine="480"/>
        <w:rPr>
          <w:lang w:eastAsia="zh-CN"/>
        </w:rPr>
      </w:pPr>
    </w:p>
    <w:p w14:paraId="2BC96FEC" w14:textId="69D77DE9" w:rsidR="00FA1485" w:rsidRDefault="00FA1485" w:rsidP="00A11C8C">
      <w:pPr>
        <w:tabs>
          <w:tab w:val="left" w:pos="567"/>
          <w:tab w:val="left" w:pos="1134"/>
          <w:tab w:val="left" w:pos="1701"/>
          <w:tab w:val="left" w:pos="2268"/>
          <w:tab w:val="left" w:pos="2835"/>
        </w:tabs>
        <w:ind w:firstLineChars="200" w:firstLine="480"/>
        <w:rPr>
          <w:lang w:eastAsia="zh-CN"/>
        </w:rPr>
      </w:pPr>
    </w:p>
    <w:p w14:paraId="4827AAA8" w14:textId="77777777" w:rsidR="00312A82" w:rsidRDefault="00312A82" w:rsidP="00312A82">
      <w:pPr>
        <w:tabs>
          <w:tab w:val="left" w:pos="567"/>
          <w:tab w:val="left" w:pos="1134"/>
          <w:tab w:val="left" w:pos="1701"/>
          <w:tab w:val="left" w:pos="2268"/>
          <w:tab w:val="left" w:pos="2835"/>
        </w:tabs>
        <w:ind w:firstLineChars="200" w:firstLine="480"/>
        <w:rPr>
          <w:lang w:eastAsia="zh-CN"/>
        </w:rPr>
      </w:pPr>
    </w:p>
    <w:p w14:paraId="4827AAA9" w14:textId="77777777" w:rsidR="00312A82" w:rsidRDefault="00312A82" w:rsidP="00312A82">
      <w:pPr>
        <w:tabs>
          <w:tab w:val="left" w:pos="567"/>
          <w:tab w:val="left" w:pos="1134"/>
          <w:tab w:val="left" w:pos="1701"/>
          <w:tab w:val="left" w:pos="2268"/>
          <w:tab w:val="left" w:pos="2835"/>
        </w:tabs>
        <w:ind w:firstLineChars="200" w:firstLine="480"/>
        <w:rPr>
          <w:lang w:eastAsia="zh-CN"/>
        </w:rPr>
      </w:pPr>
    </w:p>
    <w:p w14:paraId="4827AAAA" w14:textId="77777777" w:rsidR="00312A82" w:rsidRDefault="00312A82">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AAAB" w14:textId="77777777" w:rsidR="00A6624B" w:rsidRDefault="003301E4" w:rsidP="001B5FA0">
      <w:pPr>
        <w:pStyle w:val="DecNo"/>
        <w:outlineLvl w:val="0"/>
      </w:pPr>
      <w:bookmarkStart w:id="165" w:name="_Toc16085670"/>
      <w:bookmarkStart w:id="166" w:name="_Toc86395478"/>
      <w:r w:rsidRPr="00503187">
        <w:rPr>
          <w:rFonts w:hint="eastAsia"/>
        </w:rPr>
        <w:lastRenderedPageBreak/>
        <w:t>第</w:t>
      </w:r>
      <w:r w:rsidRPr="00503187">
        <w:t>387</w:t>
      </w:r>
      <w:r w:rsidRPr="00503187">
        <w:rPr>
          <w:rFonts w:hint="eastAsia"/>
        </w:rPr>
        <w:t>号决定</w:t>
      </w:r>
      <w:r w:rsidR="00A6624B">
        <w:rPr>
          <w:rFonts w:hint="eastAsia"/>
        </w:rPr>
        <w:t>（</w:t>
      </w:r>
      <w:r w:rsidR="00A6624B" w:rsidRPr="00D62A5D">
        <w:t>C-1980</w:t>
      </w:r>
      <w:r w:rsidR="00A6624B">
        <w:rPr>
          <w:rFonts w:hint="eastAsia"/>
        </w:rPr>
        <w:t>）</w:t>
      </w:r>
      <w:bookmarkEnd w:id="145"/>
      <w:bookmarkEnd w:id="146"/>
      <w:bookmarkEnd w:id="147"/>
      <w:bookmarkEnd w:id="148"/>
      <w:bookmarkEnd w:id="165"/>
      <w:bookmarkEnd w:id="166"/>
    </w:p>
    <w:p w14:paraId="4827AAAC" w14:textId="77777777" w:rsidR="00F11D1D" w:rsidRPr="00D746C3" w:rsidRDefault="003301E4" w:rsidP="00A6624B">
      <w:pPr>
        <w:pStyle w:val="Dectitle"/>
      </w:pPr>
      <w:bookmarkStart w:id="167" w:name="_Toc424116926"/>
      <w:bookmarkStart w:id="168" w:name="_Toc460248033"/>
      <w:bookmarkStart w:id="169" w:name="_Toc531706271"/>
      <w:bookmarkStart w:id="170" w:name="_Toc531706865"/>
      <w:bookmarkStart w:id="171" w:name="_Toc531768358"/>
      <w:bookmarkStart w:id="172" w:name="_Toc16085671"/>
      <w:bookmarkStart w:id="173" w:name="_Toc86395479"/>
      <w:r>
        <w:rPr>
          <w:rFonts w:hint="eastAsia"/>
        </w:rPr>
        <w:t>国际电联出版物的付款</w:t>
      </w:r>
      <w:bookmarkEnd w:id="129"/>
      <w:bookmarkEnd w:id="130"/>
      <w:bookmarkEnd w:id="131"/>
      <w:bookmarkEnd w:id="132"/>
      <w:bookmarkEnd w:id="149"/>
      <w:bookmarkEnd w:id="167"/>
      <w:bookmarkEnd w:id="168"/>
      <w:bookmarkEnd w:id="169"/>
      <w:bookmarkEnd w:id="170"/>
      <w:bookmarkEnd w:id="171"/>
      <w:bookmarkEnd w:id="172"/>
      <w:bookmarkEnd w:id="173"/>
    </w:p>
    <w:p w14:paraId="4827AAAD" w14:textId="77777777" w:rsidR="003301E4" w:rsidRDefault="003301E4" w:rsidP="0048501C">
      <w:pPr>
        <w:pStyle w:val="Normalaftertitle"/>
        <w:rPr>
          <w:lang w:eastAsia="zh-CN"/>
        </w:rPr>
      </w:pPr>
      <w:r>
        <w:rPr>
          <w:rFonts w:hint="eastAsia"/>
          <w:lang w:eastAsia="zh-CN"/>
        </w:rPr>
        <w:t>理事会，</w:t>
      </w:r>
    </w:p>
    <w:p w14:paraId="4827AAAE" w14:textId="77777777" w:rsidR="003301E4" w:rsidRDefault="003301E4" w:rsidP="00B64353">
      <w:pPr>
        <w:tabs>
          <w:tab w:val="clear" w:pos="794"/>
          <w:tab w:val="left" w:pos="567"/>
        </w:tabs>
        <w:rPr>
          <w:lang w:eastAsia="zh-CN"/>
        </w:rPr>
      </w:pPr>
      <w:r>
        <w:rPr>
          <w:lang w:eastAsia="zh-CN"/>
        </w:rPr>
        <w:tab/>
      </w:r>
      <w:r>
        <w:rPr>
          <w:rFonts w:eastAsia="STKaiti" w:hint="eastAsia"/>
          <w:iCs/>
          <w:lang w:eastAsia="zh-CN"/>
        </w:rPr>
        <w:t>鉴于</w:t>
      </w:r>
      <w:r>
        <w:rPr>
          <w:rFonts w:ascii="SimSun" w:hAnsi="SimSun" w:hint="eastAsia"/>
          <w:lang w:eastAsia="zh-CN"/>
        </w:rPr>
        <w:t>国际电联出版物</w:t>
      </w:r>
      <w:r w:rsidR="00CA10E6">
        <w:rPr>
          <w:rFonts w:ascii="SimSun" w:hAnsi="SimSun" w:hint="eastAsia"/>
          <w:lang w:eastAsia="zh-CN"/>
        </w:rPr>
        <w:t>提供</w:t>
      </w:r>
      <w:r>
        <w:rPr>
          <w:rFonts w:ascii="SimSun" w:hAnsi="SimSun" w:hint="eastAsia"/>
          <w:lang w:eastAsia="zh-CN"/>
        </w:rPr>
        <w:t>方面的欠款持续增多，</w:t>
      </w:r>
    </w:p>
    <w:p w14:paraId="4827AAAF" w14:textId="77777777" w:rsidR="003301E4" w:rsidRPr="00C3403A" w:rsidRDefault="003301E4" w:rsidP="00B64353">
      <w:pPr>
        <w:pStyle w:val="Call"/>
        <w:rPr>
          <w:rFonts w:ascii="STKaiti" w:hAnsi="STKaiti"/>
          <w:iCs/>
          <w:lang w:eastAsia="zh-CN"/>
        </w:rPr>
      </w:pPr>
      <w:r w:rsidRPr="00C3403A">
        <w:rPr>
          <w:rFonts w:ascii="STKaiti" w:hAnsi="STKaiti" w:hint="eastAsia"/>
          <w:iCs/>
          <w:lang w:eastAsia="zh-CN"/>
        </w:rPr>
        <w:t>做出决定</w:t>
      </w:r>
    </w:p>
    <w:p w14:paraId="4827AAB0" w14:textId="77777777" w:rsidR="003301E4" w:rsidRDefault="003635A9" w:rsidP="00B64353">
      <w:pPr>
        <w:rPr>
          <w:lang w:eastAsia="zh-CN"/>
        </w:rPr>
      </w:pPr>
      <w:r>
        <w:rPr>
          <w:lang w:eastAsia="zh-CN"/>
        </w:rPr>
        <w:t>1</w:t>
      </w:r>
      <w:r w:rsidR="003301E4">
        <w:rPr>
          <w:lang w:eastAsia="zh-CN"/>
        </w:rPr>
        <w:tab/>
      </w:r>
      <w:r w:rsidR="003301E4">
        <w:rPr>
          <w:rFonts w:ascii="SimSun" w:hAnsi="SimSun" w:hint="eastAsia"/>
          <w:lang w:eastAsia="zh-CN"/>
        </w:rPr>
        <w:t>对于国际电联成员国的主管部门而言</w:t>
      </w:r>
      <w:r w:rsidR="003301E4">
        <w:rPr>
          <w:rFonts w:hint="eastAsia"/>
          <w:lang w:eastAsia="zh-CN"/>
        </w:rPr>
        <w:t>：</w:t>
      </w:r>
    </w:p>
    <w:p w14:paraId="4827AAB1" w14:textId="77777777" w:rsidR="003301E4" w:rsidRPr="00DA5433" w:rsidRDefault="003301E4" w:rsidP="00DA5433">
      <w:pPr>
        <w:pStyle w:val="enumlev1"/>
        <w:rPr>
          <w:lang w:eastAsia="zh-CN"/>
        </w:rPr>
      </w:pPr>
      <w:r>
        <w:rPr>
          <w:lang w:eastAsia="zh-CN"/>
        </w:rPr>
        <w:t>a</w:t>
      </w:r>
      <w:r w:rsidR="003635A9">
        <w:rPr>
          <w:rFonts w:hint="eastAsia"/>
          <w:lang w:eastAsia="zh-CN"/>
        </w:rPr>
        <w:t>)</w:t>
      </w:r>
      <w:r>
        <w:rPr>
          <w:lang w:eastAsia="zh-CN"/>
        </w:rPr>
        <w:tab/>
      </w:r>
      <w:r>
        <w:rPr>
          <w:rFonts w:hint="eastAsia"/>
          <w:lang w:eastAsia="zh-CN"/>
        </w:rPr>
        <w:t>如果它们的出版物欠款包括超过两年仍未支付的款项，</w:t>
      </w:r>
      <w:r w:rsidRPr="00DA5433">
        <w:rPr>
          <w:rFonts w:hint="eastAsia"/>
          <w:lang w:eastAsia="zh-CN"/>
        </w:rPr>
        <w:t>则提交任何订单时均应附有所述出版物价格的付款；</w:t>
      </w:r>
    </w:p>
    <w:p w14:paraId="4827AAB2" w14:textId="77777777" w:rsidR="003301E4" w:rsidRDefault="003301E4" w:rsidP="00DA5433">
      <w:pPr>
        <w:pStyle w:val="enumlev1"/>
        <w:rPr>
          <w:lang w:eastAsia="zh-CN"/>
        </w:rPr>
      </w:pPr>
      <w:r>
        <w:rPr>
          <w:lang w:eastAsia="zh-CN"/>
        </w:rPr>
        <w:t>b</w:t>
      </w:r>
      <w:r w:rsidR="003635A9">
        <w:rPr>
          <w:rFonts w:hint="eastAsia"/>
          <w:lang w:eastAsia="zh-CN"/>
        </w:rPr>
        <w:t>)</w:t>
      </w:r>
      <w:r>
        <w:rPr>
          <w:lang w:eastAsia="zh-CN"/>
        </w:rPr>
        <w:tab/>
      </w:r>
      <w:r w:rsidRPr="00DA5433">
        <w:rPr>
          <w:rFonts w:hint="eastAsia"/>
          <w:lang w:eastAsia="zh-CN"/>
        </w:rPr>
        <w:t>在应用本规定时</w:t>
      </w:r>
      <w:r>
        <w:rPr>
          <w:rFonts w:hint="eastAsia"/>
          <w:lang w:eastAsia="zh-CN"/>
        </w:rPr>
        <w:t>，秘书长应将此情况明确通知有关主管部门；</w:t>
      </w:r>
    </w:p>
    <w:p w14:paraId="4827AAB3" w14:textId="77777777" w:rsidR="003301E4" w:rsidRDefault="003635A9" w:rsidP="00A6624B">
      <w:pPr>
        <w:rPr>
          <w:lang w:eastAsia="zh-CN"/>
        </w:rPr>
      </w:pPr>
      <w:r>
        <w:rPr>
          <w:lang w:eastAsia="zh-CN"/>
        </w:rPr>
        <w:t>2</w:t>
      </w:r>
      <w:r w:rsidR="003301E4">
        <w:rPr>
          <w:lang w:eastAsia="zh-CN"/>
        </w:rPr>
        <w:tab/>
      </w:r>
      <w:r w:rsidR="003301E4">
        <w:rPr>
          <w:rFonts w:hint="eastAsia"/>
          <w:lang w:eastAsia="zh-CN"/>
        </w:rPr>
        <w:t>秘书长可对其它购买者采用另一种制度，即，在欠款不超过六个月的情况下，可以先不交预付款而向其提供出版物。</w:t>
      </w:r>
    </w:p>
    <w:p w14:paraId="4827AAB4" w14:textId="77777777" w:rsidR="003301E4" w:rsidRDefault="003301E4" w:rsidP="00A6624B">
      <w:pPr>
        <w:rPr>
          <w:lang w:eastAsia="zh-CN"/>
        </w:rPr>
      </w:pPr>
      <w:r>
        <w:rPr>
          <w:lang w:eastAsia="zh-CN"/>
        </w:rPr>
        <w:tab/>
      </w:r>
      <w:r>
        <w:rPr>
          <w:rFonts w:hint="eastAsia"/>
          <w:lang w:eastAsia="zh-CN"/>
        </w:rPr>
        <w:t>本决定将于</w:t>
      </w:r>
      <w:r>
        <w:rPr>
          <w:lang w:eastAsia="zh-CN"/>
        </w:rPr>
        <w:t>1981</w:t>
      </w:r>
      <w:r>
        <w:rPr>
          <w:rFonts w:hint="eastAsia"/>
          <w:lang w:eastAsia="zh-CN"/>
        </w:rPr>
        <w:t>年</w:t>
      </w:r>
      <w:r>
        <w:rPr>
          <w:lang w:eastAsia="zh-CN"/>
        </w:rPr>
        <w:t>1</w:t>
      </w:r>
      <w:r>
        <w:rPr>
          <w:rFonts w:hint="eastAsia"/>
          <w:lang w:eastAsia="zh-CN"/>
        </w:rPr>
        <w:t>月</w:t>
      </w:r>
      <w:r>
        <w:rPr>
          <w:lang w:eastAsia="zh-CN"/>
        </w:rPr>
        <w:t>1</w:t>
      </w:r>
      <w:r>
        <w:rPr>
          <w:rFonts w:hint="eastAsia"/>
          <w:lang w:eastAsia="zh-CN"/>
        </w:rPr>
        <w:t>日生效。</w:t>
      </w:r>
    </w:p>
    <w:p w14:paraId="4827AAB5" w14:textId="77777777" w:rsidR="00F11D1D" w:rsidRPr="00D746C3" w:rsidRDefault="003301E4" w:rsidP="00A6624B">
      <w:pPr>
        <w:pStyle w:val="Endtext"/>
        <w:rPr>
          <w:lang w:eastAsia="zh-CN"/>
        </w:rPr>
      </w:pPr>
      <w:r>
        <w:rPr>
          <w:rFonts w:hint="eastAsia"/>
          <w:lang w:val="zh-CN" w:eastAsia="zh-CN"/>
        </w:rPr>
        <w:t>参阅</w:t>
      </w:r>
      <w:r>
        <w:rPr>
          <w:rFonts w:ascii="STKaiti" w:hAnsi="SimSun" w:hint="eastAsia"/>
          <w:lang w:eastAsia="zh-CN"/>
        </w:rPr>
        <w:t>：</w:t>
      </w:r>
      <w:r w:rsidR="00CA10E6">
        <w:rPr>
          <w:rFonts w:ascii="STKaiti" w:hAnsi="SimSun" w:hint="eastAsia"/>
          <w:lang w:eastAsia="zh-CN"/>
        </w:rPr>
        <w:tab/>
      </w:r>
      <w:r>
        <w:rPr>
          <w:lang w:eastAsia="zh-CN"/>
        </w:rPr>
        <w:t>5522/CA35</w:t>
      </w:r>
      <w:r>
        <w:rPr>
          <w:rFonts w:hint="eastAsia"/>
          <w:lang w:eastAsia="zh-CN"/>
        </w:rPr>
        <w:t>号文件</w:t>
      </w:r>
      <w:r>
        <w:rPr>
          <w:lang w:eastAsia="zh-CN"/>
        </w:rPr>
        <w:t>（</w:t>
      </w:r>
      <w:r>
        <w:rPr>
          <w:lang w:eastAsia="zh-CN"/>
        </w:rPr>
        <w:t>1980</w:t>
      </w:r>
      <w:r>
        <w:rPr>
          <w:rFonts w:hint="eastAsia"/>
          <w:lang w:eastAsia="zh-CN"/>
        </w:rPr>
        <w:t>年</w:t>
      </w:r>
      <w:r>
        <w:rPr>
          <w:lang w:eastAsia="zh-CN"/>
        </w:rPr>
        <w:t>）</w:t>
      </w:r>
      <w:r>
        <w:rPr>
          <w:rFonts w:hint="eastAsia"/>
          <w:lang w:eastAsia="zh-CN"/>
        </w:rPr>
        <w:t>。</w:t>
      </w:r>
    </w:p>
    <w:p w14:paraId="4827AAB6" w14:textId="77777777" w:rsidR="005C6604" w:rsidRDefault="005C6604" w:rsidP="005C6604">
      <w:pPr>
        <w:jc w:val="center"/>
        <w:rPr>
          <w:lang w:eastAsia="zh-CN"/>
        </w:rPr>
      </w:pPr>
      <w:r>
        <w:rPr>
          <w:lang w:eastAsia="zh-CN"/>
        </w:rPr>
        <w:t>______________</w:t>
      </w:r>
    </w:p>
    <w:p w14:paraId="4827AAB7" w14:textId="264EE343" w:rsidR="00312A82" w:rsidRPr="002C400D" w:rsidRDefault="00312A82" w:rsidP="001B5FA0">
      <w:pPr>
        <w:pStyle w:val="ResNo"/>
        <w:outlineLvl w:val="0"/>
        <w:rPr>
          <w:lang w:eastAsia="zh-CN"/>
        </w:rPr>
      </w:pPr>
      <w:bookmarkStart w:id="174" w:name="_Toc16085672"/>
      <w:bookmarkStart w:id="175" w:name="_Toc86395480"/>
      <w:r w:rsidRPr="002C400D">
        <w:rPr>
          <w:rFonts w:hint="eastAsia"/>
          <w:lang w:val="en-US" w:eastAsia="zh-CN"/>
        </w:rPr>
        <w:t>第</w:t>
      </w:r>
      <w:r w:rsidRPr="002C400D">
        <w:rPr>
          <w:rFonts w:hint="eastAsia"/>
          <w:lang w:val="en-US" w:eastAsia="zh-CN"/>
        </w:rPr>
        <w:t>482</w:t>
      </w:r>
      <w:r w:rsidRPr="002C400D">
        <w:rPr>
          <w:rFonts w:hint="eastAsia"/>
          <w:lang w:val="en-US" w:eastAsia="zh-CN"/>
        </w:rPr>
        <w:t>号</w:t>
      </w:r>
      <w:r w:rsidRPr="002C400D">
        <w:rPr>
          <w:lang w:val="en-US" w:eastAsia="zh-CN"/>
        </w:rPr>
        <w:t>决定</w:t>
      </w:r>
      <w:r w:rsidRPr="002C400D">
        <w:rPr>
          <w:rFonts w:hint="eastAsia"/>
          <w:lang w:eastAsia="zh-CN"/>
        </w:rPr>
        <w:t>（</w:t>
      </w:r>
      <w:r w:rsidR="005C6604">
        <w:rPr>
          <w:rFonts w:hint="eastAsia"/>
          <w:lang w:eastAsia="zh-CN"/>
        </w:rPr>
        <w:t>C</w:t>
      </w:r>
      <w:r w:rsidR="005C6604">
        <w:rPr>
          <w:lang w:eastAsia="zh-CN"/>
        </w:rPr>
        <w:t>01</w:t>
      </w:r>
      <w:r w:rsidR="005C6604">
        <w:rPr>
          <w:rFonts w:hint="eastAsia"/>
          <w:lang w:eastAsia="zh-CN"/>
        </w:rPr>
        <w:t>，最后修正</w:t>
      </w:r>
      <w:r w:rsidR="008B32FB">
        <w:rPr>
          <w:lang w:eastAsia="zh-CN"/>
        </w:rPr>
        <w:t>C</w:t>
      </w:r>
      <w:r w:rsidR="00EA33C6">
        <w:rPr>
          <w:rFonts w:hint="eastAsia"/>
          <w:lang w:eastAsia="zh-CN"/>
        </w:rPr>
        <w:t>20</w:t>
      </w:r>
      <w:r w:rsidRPr="002C400D">
        <w:rPr>
          <w:rFonts w:hint="eastAsia"/>
          <w:lang w:eastAsia="zh-CN"/>
        </w:rPr>
        <w:t>）</w:t>
      </w:r>
      <w:bookmarkEnd w:id="174"/>
      <w:bookmarkEnd w:id="175"/>
    </w:p>
    <w:p w14:paraId="4827AAB8" w14:textId="77777777" w:rsidR="00312A82" w:rsidRPr="002C400D" w:rsidRDefault="00312A82" w:rsidP="00312A82">
      <w:pPr>
        <w:pStyle w:val="Restitle"/>
        <w:rPr>
          <w:lang w:val="en-US" w:eastAsia="zh-CN"/>
        </w:rPr>
      </w:pPr>
      <w:bookmarkStart w:id="176" w:name="_Toc424116928"/>
      <w:bookmarkStart w:id="177" w:name="_Toc460248035"/>
      <w:bookmarkStart w:id="178" w:name="_Toc490555890"/>
      <w:bookmarkStart w:id="179" w:name="_Toc16085673"/>
      <w:bookmarkStart w:id="180" w:name="_Toc86395481"/>
      <w:r w:rsidRPr="002C400D">
        <w:rPr>
          <w:rFonts w:hint="eastAsia"/>
          <w:lang w:eastAsia="zh-CN"/>
        </w:rPr>
        <w:t>对卫星网络申报实行成本回收</w:t>
      </w:r>
      <w:bookmarkEnd w:id="176"/>
      <w:bookmarkEnd w:id="177"/>
      <w:bookmarkEnd w:id="178"/>
      <w:bookmarkEnd w:id="179"/>
      <w:bookmarkEnd w:id="180"/>
    </w:p>
    <w:p w14:paraId="4827AAB9" w14:textId="77777777" w:rsidR="00312A82" w:rsidRPr="002C400D" w:rsidRDefault="00312A82" w:rsidP="00E51375">
      <w:pPr>
        <w:pStyle w:val="Normalaftertitle0"/>
      </w:pPr>
      <w:r w:rsidRPr="002C400D">
        <w:rPr>
          <w:rFonts w:hint="eastAsia"/>
        </w:rPr>
        <w:t>理事会，</w:t>
      </w:r>
    </w:p>
    <w:p w14:paraId="4827AABA" w14:textId="77777777" w:rsidR="00312A82" w:rsidRPr="00CE71E4" w:rsidRDefault="00312A82" w:rsidP="00312A82">
      <w:pPr>
        <w:pStyle w:val="Call"/>
        <w:rPr>
          <w:lang w:eastAsia="zh-CN"/>
        </w:rPr>
      </w:pPr>
      <w:r w:rsidRPr="00CE71E4">
        <w:rPr>
          <w:rFonts w:hint="eastAsia"/>
          <w:lang w:eastAsia="zh-CN"/>
        </w:rPr>
        <w:t>考虑到</w:t>
      </w:r>
    </w:p>
    <w:p w14:paraId="5EC00C53" w14:textId="77777777" w:rsidR="00EA33C6" w:rsidRPr="002C400D" w:rsidRDefault="00EA33C6" w:rsidP="00EA33C6">
      <w:pPr>
        <w:spacing w:after="160"/>
        <w:rPr>
          <w:rFonts w:cs="Calibri"/>
          <w:lang w:eastAsia="zh-CN"/>
        </w:rPr>
      </w:pPr>
      <w:r w:rsidRPr="002C400D">
        <w:rPr>
          <w:rFonts w:cs="Calibri"/>
          <w:i/>
          <w:iCs/>
          <w:lang w:eastAsia="zh-CN"/>
        </w:rPr>
        <w:t>a)</w:t>
      </w:r>
      <w:r w:rsidRPr="002C400D">
        <w:rPr>
          <w:rFonts w:cs="Calibri"/>
          <w:lang w:eastAsia="zh-CN"/>
        </w:rPr>
        <w:tab/>
      </w:r>
      <w:r w:rsidRPr="002C400D">
        <w:rPr>
          <w:rFonts w:cs="Calibri" w:hint="eastAsia"/>
          <w:lang w:eastAsia="zh-CN"/>
        </w:rPr>
        <w:t>有关对卫星网络申报实行成本回收的全权代表大会第</w:t>
      </w:r>
      <w:r w:rsidRPr="002C400D">
        <w:rPr>
          <w:rFonts w:cs="Calibri"/>
          <w:lang w:eastAsia="zh-CN"/>
        </w:rPr>
        <w:t>88</w:t>
      </w:r>
      <w:r w:rsidRPr="002C400D">
        <w:rPr>
          <w:rFonts w:cs="Calibri" w:hint="eastAsia"/>
          <w:lang w:eastAsia="zh-CN"/>
        </w:rPr>
        <w:t>号决议（</w:t>
      </w:r>
      <w:r w:rsidRPr="002C400D">
        <w:rPr>
          <w:rFonts w:cs="Calibri"/>
          <w:lang w:eastAsia="zh-CN"/>
        </w:rPr>
        <w:t>2002</w:t>
      </w:r>
      <w:r w:rsidRPr="002C400D">
        <w:rPr>
          <w:rFonts w:cs="Calibri" w:hint="eastAsia"/>
          <w:lang w:eastAsia="zh-CN"/>
        </w:rPr>
        <w:t>年，马拉喀什，修订版）；</w:t>
      </w:r>
    </w:p>
    <w:p w14:paraId="08A5B6A1" w14:textId="77777777" w:rsidR="00EA33C6" w:rsidRPr="002C400D" w:rsidRDefault="00EA33C6" w:rsidP="00EA33C6">
      <w:pPr>
        <w:spacing w:after="160"/>
        <w:rPr>
          <w:rFonts w:cs="Calibri"/>
          <w:lang w:eastAsia="zh-CN"/>
        </w:rPr>
      </w:pPr>
      <w:r w:rsidRPr="002C400D">
        <w:rPr>
          <w:rFonts w:cs="Calibri"/>
          <w:i/>
          <w:iCs/>
          <w:spacing w:val="-2"/>
          <w:lang w:eastAsia="zh-CN"/>
        </w:rPr>
        <w:t>b)</w:t>
      </w:r>
      <w:r w:rsidRPr="002C400D">
        <w:rPr>
          <w:rFonts w:cs="Calibri"/>
          <w:spacing w:val="-2"/>
          <w:lang w:eastAsia="zh-CN"/>
        </w:rPr>
        <w:tab/>
      </w:r>
      <w:r w:rsidRPr="002C400D">
        <w:rPr>
          <w:rFonts w:cs="Calibri" w:hint="eastAsia"/>
          <w:spacing w:val="-2"/>
          <w:lang w:eastAsia="zh-CN"/>
        </w:rPr>
        <w:t>有关对国际电联某些产品和服务实行成本回收的全权代表大会第</w:t>
      </w:r>
      <w:r w:rsidRPr="002C400D">
        <w:rPr>
          <w:rFonts w:cs="Calibri"/>
          <w:spacing w:val="-2"/>
          <w:lang w:eastAsia="zh-CN"/>
        </w:rPr>
        <w:t>91</w:t>
      </w:r>
      <w:r w:rsidRPr="002C400D">
        <w:rPr>
          <w:rFonts w:cs="Calibri" w:hint="eastAsia"/>
          <w:spacing w:val="-2"/>
          <w:lang w:eastAsia="zh-CN"/>
        </w:rPr>
        <w:t>号决议（</w:t>
      </w:r>
      <w:r w:rsidRPr="002C400D">
        <w:rPr>
          <w:rFonts w:cs="Calibri"/>
          <w:lang w:eastAsia="zh-CN"/>
        </w:rPr>
        <w:t>2010</w:t>
      </w:r>
      <w:r w:rsidRPr="002C400D">
        <w:rPr>
          <w:rFonts w:cs="Calibri" w:hint="eastAsia"/>
          <w:lang w:eastAsia="zh-CN"/>
        </w:rPr>
        <w:t>年，瓜达拉哈拉，修订版）；</w:t>
      </w:r>
    </w:p>
    <w:p w14:paraId="585BF63C" w14:textId="77777777" w:rsidR="00EA33C6" w:rsidRPr="002C400D" w:rsidRDefault="00EA33C6" w:rsidP="00EA33C6">
      <w:pPr>
        <w:spacing w:after="160"/>
        <w:rPr>
          <w:rFonts w:cs="Calibri"/>
          <w:lang w:eastAsia="zh-CN"/>
        </w:rPr>
      </w:pPr>
      <w:r w:rsidRPr="002C400D">
        <w:rPr>
          <w:rFonts w:cs="Calibri"/>
          <w:i/>
          <w:iCs/>
          <w:lang w:eastAsia="zh-CN"/>
        </w:rPr>
        <w:t>c)</w:t>
      </w:r>
      <w:r w:rsidRPr="002C400D">
        <w:rPr>
          <w:rFonts w:cs="Calibri"/>
          <w:lang w:eastAsia="zh-CN"/>
        </w:rPr>
        <w:tab/>
      </w:r>
      <w:r w:rsidRPr="002C400D">
        <w:rPr>
          <w:rFonts w:cs="Calibri" w:hint="eastAsia"/>
          <w:lang w:eastAsia="zh-CN"/>
        </w:rPr>
        <w:t>对无线电通信局处理空间通知实行成本回收的理事会第</w:t>
      </w:r>
      <w:r w:rsidRPr="002C400D">
        <w:rPr>
          <w:rFonts w:cs="Calibri"/>
          <w:lang w:eastAsia="zh-CN"/>
        </w:rPr>
        <w:t>1113</w:t>
      </w:r>
      <w:r w:rsidRPr="002C400D">
        <w:rPr>
          <w:rFonts w:cs="Calibri" w:hint="eastAsia"/>
          <w:lang w:eastAsia="zh-CN"/>
        </w:rPr>
        <w:t>号决议；</w:t>
      </w:r>
    </w:p>
    <w:p w14:paraId="5B023B08" w14:textId="77777777" w:rsidR="00EA33C6" w:rsidRPr="002C400D" w:rsidRDefault="00EA33C6" w:rsidP="00EA33C6">
      <w:pPr>
        <w:spacing w:after="160"/>
        <w:rPr>
          <w:rFonts w:cs="Calibri"/>
          <w:lang w:eastAsia="zh-CN"/>
        </w:rPr>
      </w:pPr>
      <w:r w:rsidRPr="002C400D">
        <w:rPr>
          <w:rFonts w:cs="Calibri"/>
          <w:i/>
          <w:iCs/>
          <w:lang w:eastAsia="zh-CN"/>
        </w:rPr>
        <w:t>d)</w:t>
      </w:r>
      <w:r w:rsidRPr="002C400D">
        <w:rPr>
          <w:rFonts w:cs="Calibri"/>
          <w:lang w:eastAsia="zh-CN"/>
        </w:rPr>
        <w:tab/>
      </w:r>
      <w:r w:rsidRPr="002C400D">
        <w:rPr>
          <w:rFonts w:cs="Calibri" w:hint="eastAsia"/>
          <w:lang w:eastAsia="zh-CN"/>
        </w:rPr>
        <w:t>含有理事会实行卫星网络申报成本回收工作组报告的</w:t>
      </w:r>
      <w:hyperlink r:id="rId100" w:history="1">
        <w:r w:rsidRPr="002C400D">
          <w:rPr>
            <w:rStyle w:val="Hyperlink"/>
            <w:rFonts w:cs="Calibri"/>
            <w:lang w:eastAsia="zh-CN"/>
          </w:rPr>
          <w:t>C99/68</w:t>
        </w:r>
      </w:hyperlink>
      <w:r w:rsidRPr="002C400D">
        <w:rPr>
          <w:rFonts w:cs="Calibri" w:hint="eastAsia"/>
          <w:lang w:eastAsia="zh-CN"/>
        </w:rPr>
        <w:t>号文件；</w:t>
      </w:r>
    </w:p>
    <w:p w14:paraId="7F9F7692" w14:textId="77777777" w:rsidR="00EA33C6" w:rsidRPr="002C400D" w:rsidRDefault="00EA33C6" w:rsidP="00EA33C6">
      <w:pPr>
        <w:spacing w:after="160"/>
        <w:rPr>
          <w:rFonts w:cs="Calibri"/>
          <w:lang w:eastAsia="zh-CN"/>
        </w:rPr>
      </w:pPr>
      <w:r w:rsidRPr="002C400D">
        <w:rPr>
          <w:rFonts w:cs="Calibri"/>
          <w:i/>
          <w:iCs/>
          <w:lang w:eastAsia="zh-CN"/>
        </w:rPr>
        <w:t>e)</w:t>
      </w:r>
      <w:r w:rsidRPr="002C400D">
        <w:rPr>
          <w:rFonts w:cs="Calibri"/>
          <w:lang w:eastAsia="zh-CN"/>
        </w:rPr>
        <w:tab/>
      </w:r>
      <w:r w:rsidRPr="002C400D">
        <w:rPr>
          <w:rFonts w:cs="Calibri" w:hint="eastAsia"/>
          <w:lang w:eastAsia="zh-CN"/>
        </w:rPr>
        <w:t>有关对国际电联某一产品和服务实行成本回收的</w:t>
      </w:r>
      <w:hyperlink r:id="rId101" w:history="1">
        <w:r w:rsidRPr="002C400D">
          <w:rPr>
            <w:rStyle w:val="Hyperlink"/>
            <w:rFonts w:cs="Calibri"/>
            <w:lang w:eastAsia="zh-CN"/>
          </w:rPr>
          <w:t>C99/47</w:t>
        </w:r>
      </w:hyperlink>
      <w:r w:rsidRPr="002C400D">
        <w:rPr>
          <w:rFonts w:cs="Calibri" w:hint="eastAsia"/>
          <w:lang w:eastAsia="zh-CN"/>
        </w:rPr>
        <w:t>号文件；</w:t>
      </w:r>
    </w:p>
    <w:p w14:paraId="4827AAC0" w14:textId="2394C8FC" w:rsidR="00312A82" w:rsidRPr="002C400D" w:rsidRDefault="00EA33C6" w:rsidP="00EA33C6">
      <w:pPr>
        <w:spacing w:after="160"/>
        <w:rPr>
          <w:rFonts w:cs="Calibri"/>
          <w:lang w:eastAsia="zh-CN"/>
        </w:rPr>
      </w:pPr>
      <w:r w:rsidRPr="002C400D">
        <w:rPr>
          <w:rFonts w:cs="Calibri"/>
          <w:i/>
          <w:iCs/>
          <w:szCs w:val="24"/>
          <w:lang w:eastAsia="zh-CN"/>
        </w:rPr>
        <w:t>e</w:t>
      </w:r>
      <w:r w:rsidRPr="002C400D">
        <w:rPr>
          <w:rFonts w:ascii="STKaiti" w:eastAsia="STKaiti" w:hAnsi="STKaiti" w:cs="Calibri" w:hint="eastAsia"/>
          <w:sz w:val="18"/>
          <w:szCs w:val="18"/>
          <w:lang w:eastAsia="zh-CN"/>
        </w:rPr>
        <w:t>之二</w:t>
      </w:r>
      <w:r w:rsidRPr="002C400D">
        <w:rPr>
          <w:rFonts w:ascii="STKaiti" w:eastAsia="STKaiti" w:hAnsi="STKaiti" w:cs="Calibri" w:hint="eastAsia"/>
          <w:szCs w:val="24"/>
          <w:lang w:eastAsia="zh-CN"/>
        </w:rPr>
        <w:t>）</w:t>
      </w:r>
      <w:r w:rsidRPr="002C400D">
        <w:rPr>
          <w:rFonts w:ascii="STKaiti" w:eastAsia="STKaiti" w:hAnsi="STKaiti" w:cs="Calibri" w:hint="eastAsia"/>
          <w:sz w:val="18"/>
          <w:szCs w:val="18"/>
          <w:lang w:eastAsia="zh-CN"/>
        </w:rPr>
        <w:tab/>
      </w:r>
      <w:r w:rsidRPr="002C400D">
        <w:rPr>
          <w:rFonts w:cs="Calibri" w:hint="eastAsia"/>
          <w:lang w:eastAsia="zh-CN"/>
        </w:rPr>
        <w:t>有关对处理卫星网络申报实行成本回收的</w:t>
      </w:r>
      <w:hyperlink r:id="rId102" w:history="1">
        <w:r w:rsidRPr="002C400D">
          <w:rPr>
            <w:rStyle w:val="Hyperlink"/>
            <w:rFonts w:cs="Calibri"/>
            <w:lang w:eastAsia="zh-CN"/>
          </w:rPr>
          <w:t>C05/29</w:t>
        </w:r>
      </w:hyperlink>
      <w:r w:rsidRPr="002C400D">
        <w:rPr>
          <w:rFonts w:cs="Calibri" w:hint="eastAsia"/>
          <w:lang w:eastAsia="zh-CN"/>
        </w:rPr>
        <w:t>号文件；</w:t>
      </w:r>
    </w:p>
    <w:p w14:paraId="4827AAC1" w14:textId="77777777" w:rsidR="00312A82" w:rsidRDefault="00312A82">
      <w:pPr>
        <w:tabs>
          <w:tab w:val="clear" w:pos="794"/>
          <w:tab w:val="clear" w:pos="1191"/>
          <w:tab w:val="clear" w:pos="1588"/>
          <w:tab w:val="clear" w:pos="1985"/>
        </w:tabs>
        <w:overflowPunct/>
        <w:autoSpaceDE/>
        <w:autoSpaceDN/>
        <w:adjustRightInd/>
        <w:spacing w:before="0"/>
        <w:jc w:val="left"/>
        <w:textAlignment w:val="auto"/>
        <w:rPr>
          <w:rFonts w:cs="Calibri"/>
          <w:i/>
          <w:iCs/>
          <w:lang w:eastAsia="zh-CN"/>
        </w:rPr>
      </w:pPr>
      <w:r>
        <w:rPr>
          <w:rFonts w:cs="Calibri"/>
          <w:i/>
          <w:iCs/>
          <w:lang w:eastAsia="zh-CN"/>
        </w:rPr>
        <w:br w:type="page"/>
      </w:r>
    </w:p>
    <w:p w14:paraId="4827AAC2" w14:textId="77777777" w:rsidR="00312A82" w:rsidRPr="002C400D" w:rsidRDefault="00312A82" w:rsidP="00312A82">
      <w:pPr>
        <w:spacing w:after="160"/>
        <w:rPr>
          <w:rFonts w:cs="Calibri"/>
          <w:lang w:eastAsia="zh-CN"/>
        </w:rPr>
      </w:pPr>
      <w:r w:rsidRPr="002C400D">
        <w:rPr>
          <w:rFonts w:cs="Calibri"/>
          <w:i/>
          <w:iCs/>
          <w:lang w:eastAsia="zh-CN"/>
        </w:rPr>
        <w:lastRenderedPageBreak/>
        <w:t>f)</w:t>
      </w:r>
      <w:r w:rsidRPr="002C400D">
        <w:rPr>
          <w:rFonts w:cs="Calibri"/>
          <w:lang w:eastAsia="zh-CN"/>
        </w:rPr>
        <w:tab/>
        <w:t>2003</w:t>
      </w:r>
      <w:r w:rsidRPr="002C400D">
        <w:rPr>
          <w:rFonts w:cs="Calibri" w:hint="eastAsia"/>
          <w:lang w:eastAsia="zh-CN"/>
        </w:rPr>
        <w:t>年世界无线电通信大会（</w:t>
      </w:r>
      <w:r w:rsidRPr="002C400D">
        <w:rPr>
          <w:rFonts w:cs="Calibri"/>
          <w:lang w:eastAsia="zh-CN"/>
        </w:rPr>
        <w:t>WRC-03</w:t>
      </w:r>
      <w:r w:rsidRPr="002C400D">
        <w:rPr>
          <w:rFonts w:cs="Calibri" w:hint="eastAsia"/>
          <w:lang w:eastAsia="zh-CN"/>
        </w:rPr>
        <w:t>）和</w:t>
      </w:r>
      <w:r w:rsidRPr="002C400D">
        <w:rPr>
          <w:rFonts w:cs="Calibri"/>
          <w:lang w:eastAsia="zh-CN"/>
        </w:rPr>
        <w:t>2007</w:t>
      </w:r>
      <w:r w:rsidRPr="002C400D">
        <w:rPr>
          <w:rFonts w:cs="Calibri" w:hint="eastAsia"/>
          <w:lang w:eastAsia="zh-CN"/>
        </w:rPr>
        <w:t>年世界无线电通信大会（</w:t>
      </w:r>
      <w:r w:rsidRPr="002C400D">
        <w:rPr>
          <w:rFonts w:cs="Calibri"/>
          <w:lang w:eastAsia="zh-CN"/>
        </w:rPr>
        <w:t>WRC-07</w:t>
      </w:r>
      <w:r w:rsidRPr="002C400D">
        <w:rPr>
          <w:rFonts w:cs="Calibri" w:hint="eastAsia"/>
          <w:lang w:eastAsia="zh-CN"/>
        </w:rPr>
        <w:t>）通过的与经修正的理事会第</w:t>
      </w:r>
      <w:r w:rsidRPr="002C400D">
        <w:rPr>
          <w:rFonts w:cs="Calibri"/>
          <w:lang w:eastAsia="zh-CN"/>
        </w:rPr>
        <w:t>482</w:t>
      </w:r>
      <w:r w:rsidRPr="002C400D">
        <w:rPr>
          <w:rFonts w:cs="Calibri" w:hint="eastAsia"/>
          <w:lang w:eastAsia="zh-CN"/>
        </w:rPr>
        <w:t>号决定相关的条款，其中规定，如果未能按照该决定的规定收到付款，卫星网络的申报将被取消；</w:t>
      </w:r>
    </w:p>
    <w:p w14:paraId="4827AAC3" w14:textId="77777777" w:rsidR="00312A82" w:rsidRPr="002C400D" w:rsidRDefault="00312A82" w:rsidP="00312A82">
      <w:pPr>
        <w:rPr>
          <w:rFonts w:cs="Calibri"/>
          <w:lang w:eastAsia="zh-CN"/>
        </w:rPr>
      </w:pPr>
      <w:r w:rsidRPr="002C400D">
        <w:rPr>
          <w:rFonts w:cs="Calibri"/>
          <w:i/>
          <w:iCs/>
          <w:lang w:eastAsia="zh-CN"/>
        </w:rPr>
        <w:t>g)</w:t>
      </w:r>
      <w:r w:rsidRPr="002C400D">
        <w:rPr>
          <w:rFonts w:cs="Calibri"/>
          <w:lang w:eastAsia="zh-CN"/>
        </w:rPr>
        <w:tab/>
        <w:t>2007</w:t>
      </w:r>
      <w:r w:rsidRPr="002C400D">
        <w:rPr>
          <w:rFonts w:cs="Calibri" w:hint="eastAsia"/>
          <w:lang w:eastAsia="zh-CN"/>
        </w:rPr>
        <w:t>年</w:t>
      </w:r>
      <w:r w:rsidRPr="002C400D">
        <w:rPr>
          <w:rFonts w:cs="Calibri"/>
          <w:lang w:eastAsia="zh-CN"/>
        </w:rPr>
        <w:t>世界无线电通信大会（</w:t>
      </w:r>
      <w:r w:rsidRPr="002C400D">
        <w:rPr>
          <w:rFonts w:cs="Calibri"/>
          <w:lang w:eastAsia="zh-CN"/>
        </w:rPr>
        <w:t>WRC-07</w:t>
      </w:r>
      <w:r w:rsidRPr="002C400D">
        <w:rPr>
          <w:rFonts w:cs="Calibri" w:hint="eastAsia"/>
          <w:lang w:eastAsia="zh-CN"/>
        </w:rPr>
        <w:t>）对自与</w:t>
      </w:r>
      <w:r w:rsidRPr="002C400D">
        <w:rPr>
          <w:rFonts w:cs="Calibri"/>
          <w:lang w:eastAsia="zh-CN"/>
        </w:rPr>
        <w:t>2007</w:t>
      </w:r>
      <w:r w:rsidRPr="002C400D">
        <w:rPr>
          <w:rFonts w:cs="Calibri" w:hint="eastAsia"/>
          <w:lang w:eastAsia="zh-CN"/>
        </w:rPr>
        <w:t>年</w:t>
      </w:r>
      <w:r w:rsidRPr="002C400D">
        <w:rPr>
          <w:rFonts w:cs="Calibri"/>
          <w:lang w:eastAsia="zh-CN"/>
        </w:rPr>
        <w:t>11</w:t>
      </w:r>
      <w:r w:rsidRPr="002C400D">
        <w:rPr>
          <w:rFonts w:cs="Calibri" w:hint="eastAsia"/>
          <w:lang w:eastAsia="zh-CN"/>
        </w:rPr>
        <w:t>月</w:t>
      </w:r>
      <w:r w:rsidRPr="002C400D">
        <w:rPr>
          <w:rFonts w:cs="Calibri"/>
          <w:lang w:eastAsia="zh-CN"/>
        </w:rPr>
        <w:t>17</w:t>
      </w:r>
      <w:r w:rsidRPr="002C400D">
        <w:rPr>
          <w:rFonts w:cs="Calibri" w:hint="eastAsia"/>
          <w:lang w:eastAsia="zh-CN"/>
        </w:rPr>
        <w:t>日起生效的附录</w:t>
      </w:r>
      <w:r w:rsidRPr="002C400D">
        <w:rPr>
          <w:rFonts w:cs="Calibri"/>
          <w:lang w:eastAsia="zh-CN"/>
        </w:rPr>
        <w:t>30B</w:t>
      </w:r>
      <w:r w:rsidRPr="002C400D">
        <w:rPr>
          <w:rFonts w:cs="Calibri" w:hint="eastAsia"/>
          <w:lang w:eastAsia="zh-CN"/>
        </w:rPr>
        <w:t>中与卫星固定业务规划相关的规则程序进行了显著修订；</w:t>
      </w:r>
    </w:p>
    <w:p w14:paraId="4827AAC4" w14:textId="3C44591D" w:rsidR="00312A82" w:rsidRPr="002C400D" w:rsidRDefault="00312A82" w:rsidP="00312A82">
      <w:pPr>
        <w:rPr>
          <w:rFonts w:cs="Calibri"/>
          <w:lang w:eastAsia="zh-CN"/>
        </w:rPr>
      </w:pPr>
      <w:r w:rsidRPr="002C400D">
        <w:rPr>
          <w:rFonts w:cs="Calibri"/>
          <w:i/>
          <w:iCs/>
          <w:lang w:eastAsia="zh-CN"/>
        </w:rPr>
        <w:t>h)</w:t>
      </w:r>
      <w:r w:rsidRPr="002C400D">
        <w:rPr>
          <w:rFonts w:cs="Calibri"/>
          <w:lang w:eastAsia="zh-CN"/>
        </w:rPr>
        <w:tab/>
      </w:r>
      <w:r w:rsidRPr="002C400D">
        <w:rPr>
          <w:rFonts w:cs="Calibri" w:hint="eastAsia"/>
          <w:lang w:eastAsia="zh-CN"/>
        </w:rPr>
        <w:t>第</w:t>
      </w:r>
      <w:r w:rsidRPr="002C400D">
        <w:rPr>
          <w:rFonts w:cs="Calibri"/>
          <w:lang w:eastAsia="zh-CN"/>
        </w:rPr>
        <w:t>482</w:t>
      </w:r>
      <w:r w:rsidRPr="002C400D">
        <w:rPr>
          <w:rFonts w:cs="Calibri" w:hint="eastAsia"/>
          <w:lang w:eastAsia="zh-CN"/>
        </w:rPr>
        <w:t>号决定（</w:t>
      </w:r>
      <w:r w:rsidRPr="002C400D">
        <w:rPr>
          <w:rFonts w:cs="Calibri"/>
          <w:lang w:eastAsia="zh-CN"/>
        </w:rPr>
        <w:t>2005</w:t>
      </w:r>
      <w:r w:rsidRPr="002C400D">
        <w:rPr>
          <w:rFonts w:cs="Calibri" w:hint="eastAsia"/>
          <w:lang w:eastAsia="zh-CN"/>
        </w:rPr>
        <w:t>年，修</w:t>
      </w:r>
      <w:r w:rsidR="00184879">
        <w:rPr>
          <w:rFonts w:cs="Calibri" w:hint="eastAsia"/>
          <w:lang w:eastAsia="zh-CN"/>
        </w:rPr>
        <w:t>改</w:t>
      </w:r>
      <w:r w:rsidRPr="002C400D">
        <w:rPr>
          <w:rFonts w:cs="Calibri" w:hint="eastAsia"/>
          <w:lang w:eastAsia="zh-CN"/>
        </w:rPr>
        <w:t>版）的生效日为</w:t>
      </w:r>
      <w:r w:rsidRPr="002C400D">
        <w:rPr>
          <w:rFonts w:cs="Calibri"/>
          <w:lang w:eastAsia="zh-CN"/>
        </w:rPr>
        <w:t>2006</w:t>
      </w:r>
      <w:r w:rsidRPr="002C400D">
        <w:rPr>
          <w:rFonts w:cs="Calibri" w:hint="eastAsia"/>
          <w:lang w:eastAsia="zh-CN"/>
        </w:rPr>
        <w:t>年</w:t>
      </w:r>
      <w:r w:rsidRPr="002C400D">
        <w:rPr>
          <w:rFonts w:cs="Calibri"/>
          <w:lang w:eastAsia="zh-CN"/>
        </w:rPr>
        <w:t>1</w:t>
      </w:r>
      <w:r w:rsidRPr="002C400D">
        <w:rPr>
          <w:rFonts w:cs="Calibri" w:hint="eastAsia"/>
          <w:lang w:eastAsia="zh-CN"/>
        </w:rPr>
        <w:t>月</w:t>
      </w:r>
      <w:r w:rsidRPr="002C400D">
        <w:rPr>
          <w:rFonts w:cs="Calibri"/>
          <w:lang w:eastAsia="zh-CN"/>
        </w:rPr>
        <w:t>1</w:t>
      </w:r>
      <w:r w:rsidRPr="002C400D">
        <w:rPr>
          <w:rFonts w:cs="Calibri" w:hint="eastAsia"/>
          <w:lang w:eastAsia="zh-CN"/>
        </w:rPr>
        <w:t>日，</w:t>
      </w:r>
    </w:p>
    <w:p w14:paraId="4827AAC5" w14:textId="77777777" w:rsidR="00312A82" w:rsidRPr="002C400D" w:rsidRDefault="00312A82" w:rsidP="00312A82">
      <w:pPr>
        <w:pStyle w:val="Call"/>
        <w:rPr>
          <w:lang w:eastAsia="zh-CN"/>
        </w:rPr>
      </w:pPr>
      <w:r w:rsidRPr="002C400D">
        <w:rPr>
          <w:rFonts w:hint="eastAsia"/>
          <w:lang w:eastAsia="zh-CN"/>
        </w:rPr>
        <w:t>认识到</w:t>
      </w:r>
    </w:p>
    <w:p w14:paraId="4827AAC6" w14:textId="18A5C424" w:rsidR="00312A82" w:rsidRPr="002C400D" w:rsidRDefault="00EA33C6" w:rsidP="00312A82">
      <w:pPr>
        <w:tabs>
          <w:tab w:val="left" w:pos="504"/>
        </w:tabs>
        <w:ind w:firstLineChars="200" w:firstLine="480"/>
        <w:rPr>
          <w:rFonts w:cs="Calibri"/>
          <w:iCs/>
          <w:lang w:eastAsia="zh-CN"/>
        </w:rPr>
      </w:pPr>
      <w:r w:rsidRPr="00EA33C6">
        <w:rPr>
          <w:rFonts w:cs="Calibri" w:hint="eastAsia"/>
          <w:iCs/>
          <w:lang w:eastAsia="zh-CN"/>
        </w:rPr>
        <w:t>无线电通信局按照理事会修订的第</w:t>
      </w:r>
      <w:r w:rsidRPr="00EA33C6">
        <w:rPr>
          <w:rFonts w:cs="Calibri"/>
          <w:iCs/>
          <w:lang w:eastAsia="zh-CN"/>
        </w:rPr>
        <w:t>482</w:t>
      </w:r>
      <w:r w:rsidRPr="00EA33C6">
        <w:rPr>
          <w:rFonts w:cs="Calibri" w:hint="eastAsia"/>
          <w:iCs/>
          <w:lang w:eastAsia="zh-CN"/>
        </w:rPr>
        <w:t>号决定，向理事会</w:t>
      </w:r>
      <w:r w:rsidRPr="00EA33C6">
        <w:rPr>
          <w:rFonts w:cs="Calibri"/>
          <w:iCs/>
          <w:lang w:eastAsia="zh-CN"/>
        </w:rPr>
        <w:t>2001</w:t>
      </w:r>
      <w:r w:rsidRPr="00EA33C6">
        <w:rPr>
          <w:rFonts w:cs="Calibri" w:hint="eastAsia"/>
          <w:iCs/>
          <w:lang w:eastAsia="zh-CN"/>
        </w:rPr>
        <w:t>年至</w:t>
      </w:r>
      <w:r w:rsidRPr="00EA33C6">
        <w:rPr>
          <w:rFonts w:cs="Calibri"/>
          <w:iCs/>
          <w:lang w:eastAsia="zh-CN"/>
        </w:rPr>
        <w:t>2007</w:t>
      </w:r>
      <w:r w:rsidRPr="00EA33C6">
        <w:rPr>
          <w:rFonts w:cs="Calibri" w:hint="eastAsia"/>
          <w:iCs/>
          <w:lang w:eastAsia="zh-CN"/>
        </w:rPr>
        <w:t>年会议通报的该局在实行申报收费成本回收方面的实际经验和方法，</w:t>
      </w:r>
    </w:p>
    <w:p w14:paraId="4827AAC7" w14:textId="77777777" w:rsidR="00312A82" w:rsidRPr="002C400D" w:rsidRDefault="00312A82" w:rsidP="00312A82">
      <w:pPr>
        <w:pStyle w:val="Call"/>
        <w:rPr>
          <w:lang w:eastAsia="zh-CN"/>
        </w:rPr>
      </w:pPr>
      <w:r w:rsidRPr="002C400D">
        <w:rPr>
          <w:rFonts w:hint="eastAsia"/>
          <w:lang w:eastAsia="zh-CN"/>
        </w:rPr>
        <w:t>做出决定</w:t>
      </w:r>
    </w:p>
    <w:p w14:paraId="55959F96" w14:textId="77777777" w:rsidR="00EA33C6" w:rsidRPr="002C400D" w:rsidRDefault="00EA33C6" w:rsidP="00EA33C6">
      <w:pPr>
        <w:rPr>
          <w:rFonts w:cs="Calibri"/>
          <w:lang w:eastAsia="zh-CN"/>
        </w:rPr>
      </w:pPr>
      <w:r w:rsidRPr="002C400D">
        <w:rPr>
          <w:rFonts w:cs="Calibri"/>
          <w:lang w:eastAsia="zh-CN"/>
        </w:rPr>
        <w:t>1</w:t>
      </w:r>
      <w:r w:rsidRPr="002C400D">
        <w:rPr>
          <w:rFonts w:cs="Calibri"/>
          <w:lang w:eastAsia="zh-CN"/>
        </w:rPr>
        <w:tab/>
      </w:r>
      <w:r w:rsidRPr="002C400D">
        <w:rPr>
          <w:rFonts w:cs="Calibri" w:hint="eastAsia"/>
          <w:lang w:eastAsia="zh-CN"/>
        </w:rPr>
        <w:t>对</w:t>
      </w:r>
      <w:r>
        <w:rPr>
          <w:rFonts w:cs="Calibri" w:hint="eastAsia"/>
          <w:lang w:eastAsia="zh-CN"/>
        </w:rPr>
        <w:t>于</w:t>
      </w:r>
      <w:r w:rsidRPr="002C400D">
        <w:rPr>
          <w:rFonts w:cs="Calibri" w:hint="eastAsia"/>
          <w:lang w:eastAsia="zh-CN"/>
        </w:rPr>
        <w:t>涉及提前公布及与之相关的协调或协议要求（《无线电规则》第</w:t>
      </w:r>
      <w:r w:rsidRPr="002C400D">
        <w:rPr>
          <w:rFonts w:cs="Calibri"/>
          <w:lang w:eastAsia="zh-CN"/>
        </w:rPr>
        <w:t>9</w:t>
      </w:r>
      <w:r w:rsidRPr="002C400D">
        <w:rPr>
          <w:rFonts w:cs="Calibri" w:hint="eastAsia"/>
          <w:lang w:eastAsia="zh-CN"/>
        </w:rPr>
        <w:t>条、《无线电规则》附录</w:t>
      </w:r>
      <w:r w:rsidRPr="002C400D">
        <w:rPr>
          <w:rFonts w:cs="Calibri"/>
          <w:lang w:eastAsia="zh-CN"/>
        </w:rPr>
        <w:t>30/30A</w:t>
      </w:r>
      <w:r w:rsidRPr="002C400D">
        <w:rPr>
          <w:rFonts w:cs="Calibri" w:hint="eastAsia"/>
          <w:lang w:eastAsia="zh-CN"/>
        </w:rPr>
        <w:t>第</w:t>
      </w:r>
      <w:r w:rsidRPr="002C400D">
        <w:rPr>
          <w:rFonts w:cs="Calibri"/>
          <w:lang w:eastAsia="zh-CN"/>
        </w:rPr>
        <w:t>7</w:t>
      </w:r>
      <w:r w:rsidRPr="002C400D">
        <w:rPr>
          <w:rFonts w:cs="Calibri" w:hint="eastAsia"/>
          <w:lang w:eastAsia="zh-CN"/>
        </w:rPr>
        <w:t>条、第</w:t>
      </w:r>
      <w:r w:rsidRPr="002C400D">
        <w:rPr>
          <w:rFonts w:cs="Calibri"/>
          <w:lang w:eastAsia="zh-CN"/>
        </w:rPr>
        <w:t>539</w:t>
      </w:r>
      <w:r w:rsidRPr="002C400D">
        <w:rPr>
          <w:rFonts w:cs="Calibri" w:hint="eastAsia"/>
          <w:lang w:eastAsia="zh-CN"/>
        </w:rPr>
        <w:t>号决议（</w:t>
      </w:r>
      <w:r w:rsidRPr="002C400D">
        <w:rPr>
          <w:rFonts w:cs="Calibri"/>
          <w:lang w:eastAsia="zh-CN"/>
        </w:rPr>
        <w:t>WRC-</w:t>
      </w:r>
      <w:r w:rsidRPr="00E158AF">
        <w:rPr>
          <w:rFonts w:cs="Calibri"/>
          <w:lang w:eastAsia="zh-CN"/>
        </w:rPr>
        <w:t>19</w:t>
      </w:r>
      <w:r w:rsidRPr="002C400D">
        <w:rPr>
          <w:rFonts w:cs="Calibri" w:hint="eastAsia"/>
          <w:lang w:eastAsia="zh-CN"/>
        </w:rPr>
        <w:t>，修订版））、</w:t>
      </w:r>
      <w:r w:rsidRPr="00F069FC">
        <w:rPr>
          <w:rFonts w:cs="Calibri" w:hint="eastAsia"/>
          <w:lang w:eastAsia="zh-CN"/>
        </w:rPr>
        <w:t>保护带的</w:t>
      </w:r>
      <w:r w:rsidRPr="002C400D">
        <w:rPr>
          <w:rFonts w:cs="Calibri" w:hint="eastAsia"/>
          <w:lang w:eastAsia="zh-CN"/>
        </w:rPr>
        <w:t>使用（《无线电规则》附录</w:t>
      </w:r>
      <w:r w:rsidRPr="002C400D">
        <w:rPr>
          <w:rFonts w:cs="Calibri"/>
          <w:lang w:eastAsia="zh-CN"/>
        </w:rPr>
        <w:t>30/30A</w:t>
      </w:r>
      <w:r w:rsidRPr="002C400D">
        <w:rPr>
          <w:rFonts w:cs="Calibri" w:hint="eastAsia"/>
          <w:lang w:eastAsia="zh-CN"/>
        </w:rPr>
        <w:t>第</w:t>
      </w:r>
      <w:r w:rsidRPr="002C400D">
        <w:rPr>
          <w:rFonts w:cs="Calibri"/>
          <w:lang w:eastAsia="zh-CN"/>
        </w:rPr>
        <w:t>2A</w:t>
      </w:r>
      <w:r w:rsidRPr="002C400D">
        <w:rPr>
          <w:rFonts w:cs="Calibri" w:hint="eastAsia"/>
          <w:lang w:eastAsia="zh-CN"/>
        </w:rPr>
        <w:t>条）、空间业务规划和列表的修改要求（《无线电规则》附录</w:t>
      </w:r>
      <w:r w:rsidRPr="002C400D">
        <w:rPr>
          <w:rFonts w:cs="Calibri"/>
          <w:lang w:eastAsia="zh-CN"/>
        </w:rPr>
        <w:t>30</w:t>
      </w:r>
      <w:r w:rsidRPr="002C400D">
        <w:rPr>
          <w:rFonts w:cs="Calibri" w:hint="eastAsia"/>
          <w:lang w:eastAsia="zh-CN"/>
        </w:rPr>
        <w:t>和</w:t>
      </w:r>
      <w:r w:rsidRPr="002C400D">
        <w:rPr>
          <w:rFonts w:cs="Calibri"/>
          <w:lang w:eastAsia="zh-CN"/>
        </w:rPr>
        <w:t>30A</w:t>
      </w:r>
      <w:r w:rsidRPr="002C400D">
        <w:rPr>
          <w:rFonts w:cs="Calibri" w:hint="eastAsia"/>
          <w:lang w:eastAsia="zh-CN"/>
        </w:rPr>
        <w:t>第</w:t>
      </w:r>
      <w:r w:rsidRPr="002C400D">
        <w:rPr>
          <w:rFonts w:cs="Calibri"/>
          <w:lang w:eastAsia="zh-CN"/>
        </w:rPr>
        <w:t>4</w:t>
      </w:r>
      <w:r w:rsidRPr="002C400D">
        <w:rPr>
          <w:rFonts w:cs="Calibri" w:hint="eastAsia"/>
          <w:lang w:eastAsia="zh-CN"/>
        </w:rPr>
        <w:t>条）、有关实行卫星固定业务规划的要求（</w:t>
      </w:r>
      <w:r w:rsidRPr="002C400D">
        <w:rPr>
          <w:rFonts w:cs="Calibri"/>
          <w:lang w:eastAsia="zh-CN"/>
        </w:rPr>
        <w:t>2007</w:t>
      </w:r>
      <w:r w:rsidRPr="002C400D">
        <w:rPr>
          <w:rFonts w:cs="Calibri" w:hint="eastAsia"/>
          <w:lang w:eastAsia="zh-CN"/>
        </w:rPr>
        <w:t>年</w:t>
      </w:r>
      <w:r w:rsidRPr="002C400D">
        <w:rPr>
          <w:rFonts w:cs="Calibri"/>
          <w:lang w:eastAsia="zh-CN"/>
        </w:rPr>
        <w:t>11</w:t>
      </w:r>
      <w:r w:rsidRPr="002C400D">
        <w:rPr>
          <w:rFonts w:cs="Calibri" w:hint="eastAsia"/>
          <w:lang w:eastAsia="zh-CN"/>
        </w:rPr>
        <w:t>月</w:t>
      </w:r>
      <w:r w:rsidRPr="002C400D">
        <w:rPr>
          <w:rFonts w:cs="Calibri"/>
          <w:lang w:eastAsia="zh-CN"/>
        </w:rPr>
        <w:t>16</w:t>
      </w:r>
      <w:r w:rsidRPr="002C400D">
        <w:rPr>
          <w:rFonts w:cs="Calibri" w:hint="eastAsia"/>
          <w:lang w:eastAsia="zh-CN"/>
        </w:rPr>
        <w:t>日之前《无线电规则》附录</w:t>
      </w:r>
      <w:r w:rsidRPr="002C400D">
        <w:rPr>
          <w:rFonts w:cs="Calibri"/>
          <w:lang w:eastAsia="zh-CN"/>
        </w:rPr>
        <w:t>30B</w:t>
      </w:r>
      <w:r w:rsidRPr="002C400D">
        <w:rPr>
          <w:rFonts w:cs="Calibri" w:hint="eastAsia"/>
          <w:lang w:eastAsia="zh-CN"/>
        </w:rPr>
        <w:t>第</w:t>
      </w:r>
      <w:r w:rsidRPr="002C400D">
        <w:rPr>
          <w:rFonts w:cs="Calibri"/>
          <w:lang w:eastAsia="zh-CN"/>
        </w:rPr>
        <w:t>6</w:t>
      </w:r>
      <w:r w:rsidRPr="002C400D">
        <w:rPr>
          <w:rFonts w:cs="Calibri" w:hint="eastAsia"/>
          <w:lang w:eastAsia="zh-CN"/>
        </w:rPr>
        <w:t>条的前</w:t>
      </w:r>
      <w:r w:rsidRPr="002C400D">
        <w:rPr>
          <w:rFonts w:cs="Calibri"/>
          <w:lang w:eastAsia="zh-CN"/>
        </w:rPr>
        <w:t>IB</w:t>
      </w:r>
      <w:r w:rsidRPr="002C400D">
        <w:rPr>
          <w:rFonts w:cs="Calibri" w:hint="eastAsia"/>
          <w:lang w:eastAsia="zh-CN"/>
        </w:rPr>
        <w:t>和</w:t>
      </w:r>
      <w:r w:rsidRPr="002C400D">
        <w:rPr>
          <w:rFonts w:cs="Calibri"/>
          <w:lang w:eastAsia="zh-CN"/>
        </w:rPr>
        <w:t>II</w:t>
      </w:r>
      <w:r w:rsidRPr="002C400D">
        <w:rPr>
          <w:rFonts w:cs="Calibri" w:hint="eastAsia"/>
          <w:lang w:eastAsia="zh-CN"/>
        </w:rPr>
        <w:t>节），以及（</w:t>
      </w:r>
      <w:r>
        <w:rPr>
          <w:rFonts w:cs="Calibri" w:hint="eastAsia"/>
          <w:lang w:eastAsia="zh-CN"/>
        </w:rPr>
        <w:t>当</w:t>
      </w:r>
      <w:r w:rsidRPr="002C400D">
        <w:rPr>
          <w:rFonts w:cs="Calibri" w:hint="eastAsia"/>
          <w:lang w:eastAsia="zh-CN"/>
        </w:rPr>
        <w:t>所做修改已超出原有分配特性范围</w:t>
      </w:r>
      <w:r>
        <w:rPr>
          <w:rFonts w:cs="Calibri" w:hint="eastAsia"/>
          <w:lang w:eastAsia="zh-CN"/>
        </w:rPr>
        <w:t>时</w:t>
      </w:r>
      <w:r w:rsidRPr="002C400D">
        <w:rPr>
          <w:rFonts w:cs="Calibri" w:hint="eastAsia"/>
          <w:lang w:eastAsia="zh-CN"/>
        </w:rPr>
        <w:t>）将分配转换为指配、</w:t>
      </w:r>
      <w:r w:rsidRPr="00A77635">
        <w:rPr>
          <w:rFonts w:cs="Calibri" w:hint="eastAsia"/>
          <w:lang w:eastAsia="zh-CN"/>
        </w:rPr>
        <w:t>引入一个附加系统、</w:t>
      </w:r>
      <w:r w:rsidRPr="002C400D">
        <w:rPr>
          <w:rFonts w:cs="Calibri" w:hint="eastAsia"/>
          <w:lang w:eastAsia="zh-CN"/>
        </w:rPr>
        <w:t>修改《无线电规则》附录</w:t>
      </w:r>
      <w:r w:rsidRPr="002C400D">
        <w:rPr>
          <w:rFonts w:cs="Calibri"/>
          <w:lang w:eastAsia="zh-CN"/>
        </w:rPr>
        <w:t>30B</w:t>
      </w:r>
      <w:r w:rsidRPr="002C400D">
        <w:rPr>
          <w:rFonts w:cs="Calibri" w:hint="eastAsia"/>
          <w:lang w:eastAsia="zh-CN"/>
        </w:rPr>
        <w:t>（</w:t>
      </w:r>
      <w:r w:rsidRPr="002C400D">
        <w:rPr>
          <w:rFonts w:cs="Calibri"/>
          <w:lang w:eastAsia="zh-CN"/>
        </w:rPr>
        <w:t>2007</w:t>
      </w:r>
      <w:r w:rsidRPr="002C400D">
        <w:rPr>
          <w:rFonts w:cs="Calibri" w:hint="eastAsia"/>
          <w:lang w:eastAsia="zh-CN"/>
        </w:rPr>
        <w:t>年</w:t>
      </w:r>
      <w:r w:rsidRPr="002C400D">
        <w:rPr>
          <w:rFonts w:cs="Calibri"/>
          <w:lang w:eastAsia="zh-CN"/>
        </w:rPr>
        <w:t>11</w:t>
      </w:r>
      <w:r w:rsidRPr="002C400D">
        <w:rPr>
          <w:rFonts w:cs="Calibri" w:hint="eastAsia"/>
          <w:lang w:eastAsia="zh-CN"/>
        </w:rPr>
        <w:t>月</w:t>
      </w:r>
      <w:r w:rsidRPr="002C400D">
        <w:rPr>
          <w:rFonts w:cs="Calibri"/>
          <w:lang w:eastAsia="zh-CN"/>
        </w:rPr>
        <w:t>17</w:t>
      </w:r>
      <w:r w:rsidRPr="002C400D">
        <w:rPr>
          <w:rFonts w:cs="Calibri" w:hint="eastAsia"/>
          <w:lang w:eastAsia="zh-CN"/>
        </w:rPr>
        <w:t>日起为《无线电规则》附录</w:t>
      </w:r>
      <w:r w:rsidRPr="002C400D">
        <w:rPr>
          <w:rFonts w:cs="Calibri"/>
          <w:lang w:eastAsia="zh-CN"/>
        </w:rPr>
        <w:t>30B</w:t>
      </w:r>
      <w:r w:rsidRPr="002C400D">
        <w:rPr>
          <w:rFonts w:cs="Calibri" w:hint="eastAsia"/>
          <w:lang w:eastAsia="zh-CN"/>
        </w:rPr>
        <w:t>的第</w:t>
      </w:r>
      <w:r w:rsidRPr="002C400D">
        <w:rPr>
          <w:rFonts w:cs="Calibri"/>
          <w:lang w:eastAsia="zh-CN"/>
        </w:rPr>
        <w:t>6</w:t>
      </w:r>
      <w:r w:rsidRPr="002C400D">
        <w:rPr>
          <w:rFonts w:cs="Calibri" w:hint="eastAsia"/>
          <w:lang w:eastAsia="zh-CN"/>
        </w:rPr>
        <w:t>条）列表中的指配特性</w:t>
      </w:r>
      <w:r w:rsidRPr="00A77635">
        <w:rPr>
          <w:rFonts w:cs="Calibri" w:hint="eastAsia"/>
          <w:lang w:eastAsia="zh-CN"/>
        </w:rPr>
        <w:t>的所有卫星网络申报</w:t>
      </w:r>
      <w:r w:rsidRPr="002C400D">
        <w:rPr>
          <w:rFonts w:cs="Calibri" w:hint="eastAsia"/>
          <w:lang w:eastAsia="zh-CN"/>
        </w:rPr>
        <w:t>，均应收取成本回收费用，但唯一的条件是，无线电通信局是在</w:t>
      </w:r>
      <w:r w:rsidRPr="002C400D">
        <w:rPr>
          <w:rFonts w:cs="Calibri"/>
          <w:lang w:eastAsia="zh-CN"/>
        </w:rPr>
        <w:t>1998</w:t>
      </w:r>
      <w:r w:rsidRPr="002C400D">
        <w:rPr>
          <w:rFonts w:cs="Calibri" w:hint="eastAsia"/>
          <w:lang w:eastAsia="zh-CN"/>
        </w:rPr>
        <w:t>年</w:t>
      </w:r>
      <w:r w:rsidRPr="002C400D">
        <w:rPr>
          <w:rFonts w:cs="Calibri"/>
          <w:lang w:eastAsia="zh-CN"/>
        </w:rPr>
        <w:t>11</w:t>
      </w:r>
      <w:r w:rsidRPr="002C400D">
        <w:rPr>
          <w:rFonts w:cs="Calibri" w:hint="eastAsia"/>
          <w:lang w:eastAsia="zh-CN"/>
        </w:rPr>
        <w:t>月</w:t>
      </w:r>
      <w:r w:rsidRPr="002C400D">
        <w:rPr>
          <w:rFonts w:cs="Calibri"/>
          <w:lang w:eastAsia="zh-CN"/>
        </w:rPr>
        <w:t>8</w:t>
      </w:r>
      <w:r w:rsidRPr="002C400D">
        <w:rPr>
          <w:rFonts w:cs="Calibri" w:hint="eastAsia"/>
          <w:lang w:eastAsia="zh-CN"/>
        </w:rPr>
        <w:t>日或其后收到这些要求的；</w:t>
      </w:r>
    </w:p>
    <w:p w14:paraId="68182797" w14:textId="77777777" w:rsidR="00EA33C6" w:rsidRPr="007D7103" w:rsidRDefault="00EA33C6" w:rsidP="00EA33C6">
      <w:pPr>
        <w:rPr>
          <w:rFonts w:cs="Calibri"/>
          <w:lang w:eastAsia="zh-CN"/>
        </w:rPr>
      </w:pPr>
      <w:r w:rsidRPr="002C400D">
        <w:rPr>
          <w:rFonts w:cs="Calibri"/>
          <w:lang w:eastAsia="zh-CN"/>
        </w:rPr>
        <w:t>1</w:t>
      </w:r>
      <w:r w:rsidRPr="002C400D">
        <w:rPr>
          <w:rFonts w:ascii="STKaiti" w:eastAsia="STKaiti" w:hAnsi="STKaiti" w:cs="Calibri" w:hint="eastAsia"/>
          <w:sz w:val="18"/>
          <w:szCs w:val="18"/>
          <w:lang w:eastAsia="zh-CN"/>
        </w:rPr>
        <w:t>之二</w:t>
      </w:r>
      <w:r w:rsidRPr="002C400D">
        <w:rPr>
          <w:rFonts w:cs="Calibri"/>
          <w:lang w:eastAsia="zh-CN"/>
        </w:rPr>
        <w:tab/>
      </w:r>
      <w:r w:rsidRPr="002C400D">
        <w:rPr>
          <w:rFonts w:cs="Calibri" w:hint="eastAsia"/>
          <w:lang w:eastAsia="zh-CN"/>
        </w:rPr>
        <w:t>对</w:t>
      </w:r>
      <w:r>
        <w:rPr>
          <w:rFonts w:cs="Calibri" w:hint="eastAsia"/>
          <w:lang w:eastAsia="zh-CN"/>
        </w:rPr>
        <w:t>于</w:t>
      </w:r>
      <w:r w:rsidRPr="002C400D">
        <w:rPr>
          <w:rFonts w:cs="Calibri" w:hint="eastAsia"/>
          <w:lang w:eastAsia="zh-CN"/>
        </w:rPr>
        <w:t>无线电通信局于</w:t>
      </w:r>
      <w:r w:rsidRPr="002C400D">
        <w:rPr>
          <w:rFonts w:cs="Calibri"/>
          <w:lang w:eastAsia="zh-CN"/>
        </w:rPr>
        <w:t>2006</w:t>
      </w:r>
      <w:r w:rsidRPr="002C400D">
        <w:rPr>
          <w:rFonts w:cs="Calibri" w:hint="eastAsia"/>
          <w:lang w:eastAsia="zh-CN"/>
        </w:rPr>
        <w:t>年</w:t>
      </w:r>
      <w:r w:rsidRPr="002C400D">
        <w:rPr>
          <w:rFonts w:cs="Calibri"/>
          <w:lang w:eastAsia="zh-CN"/>
        </w:rPr>
        <w:t>1</w:t>
      </w:r>
      <w:r w:rsidRPr="002C400D">
        <w:rPr>
          <w:rFonts w:cs="Calibri" w:hint="eastAsia"/>
          <w:lang w:eastAsia="zh-CN"/>
        </w:rPr>
        <w:t>月</w:t>
      </w:r>
      <w:r w:rsidRPr="002C400D">
        <w:rPr>
          <w:rFonts w:cs="Calibri"/>
          <w:lang w:eastAsia="zh-CN"/>
        </w:rPr>
        <w:t>1</w:t>
      </w:r>
      <w:r w:rsidRPr="002C400D">
        <w:rPr>
          <w:rFonts w:cs="Calibri" w:hint="eastAsia"/>
          <w:lang w:eastAsia="zh-CN"/>
        </w:rPr>
        <w:t>日或其后收到的涉及在国际频率登记总表中进行登记的频率指配通知（《无线电规则》第</w:t>
      </w:r>
      <w:r w:rsidRPr="002C400D">
        <w:rPr>
          <w:rFonts w:cs="Calibri"/>
          <w:lang w:eastAsia="zh-CN"/>
        </w:rPr>
        <w:t>11</w:t>
      </w:r>
      <w:r w:rsidRPr="002C400D">
        <w:rPr>
          <w:rFonts w:cs="Calibri" w:hint="eastAsia"/>
          <w:lang w:eastAsia="zh-CN"/>
        </w:rPr>
        <w:t>条、附录</w:t>
      </w:r>
      <w:r w:rsidRPr="002C400D">
        <w:rPr>
          <w:rFonts w:cs="Calibri"/>
          <w:lang w:eastAsia="zh-CN"/>
        </w:rPr>
        <w:t>30/30A</w:t>
      </w:r>
      <w:r w:rsidRPr="002C400D">
        <w:rPr>
          <w:rFonts w:cs="Calibri" w:hint="eastAsia"/>
          <w:lang w:eastAsia="zh-CN"/>
        </w:rPr>
        <w:t>第</w:t>
      </w:r>
      <w:r w:rsidRPr="002C400D">
        <w:rPr>
          <w:rFonts w:cs="Calibri"/>
          <w:lang w:eastAsia="zh-CN"/>
        </w:rPr>
        <w:t>5</w:t>
      </w:r>
      <w:r w:rsidRPr="002C400D">
        <w:rPr>
          <w:rFonts w:cs="Calibri" w:hint="eastAsia"/>
          <w:lang w:eastAsia="zh-CN"/>
        </w:rPr>
        <w:t>条和附录</w:t>
      </w:r>
      <w:r w:rsidRPr="002C400D">
        <w:rPr>
          <w:rFonts w:cs="Calibri"/>
          <w:lang w:eastAsia="zh-CN"/>
        </w:rPr>
        <w:t>30B</w:t>
      </w:r>
      <w:r w:rsidRPr="002C400D">
        <w:rPr>
          <w:rFonts w:cs="Calibri" w:hint="eastAsia"/>
          <w:lang w:eastAsia="zh-CN"/>
        </w:rPr>
        <w:t>第</w:t>
      </w:r>
      <w:r w:rsidRPr="002C400D">
        <w:rPr>
          <w:rFonts w:cs="Calibri"/>
          <w:lang w:eastAsia="zh-CN"/>
        </w:rPr>
        <w:t>8</w:t>
      </w:r>
      <w:r w:rsidRPr="002C400D">
        <w:rPr>
          <w:rFonts w:cs="Calibri" w:hint="eastAsia"/>
          <w:lang w:eastAsia="zh-CN"/>
        </w:rPr>
        <w:t>条）的所有卫星网络申报，均应收取成本回收费用，但唯一的条件是它们涉及空间业务规划或列表（</w:t>
      </w:r>
      <w:r w:rsidRPr="002C400D">
        <w:rPr>
          <w:rFonts w:cs="Calibri"/>
          <w:lang w:eastAsia="zh-CN"/>
        </w:rPr>
        <w:t>A</w:t>
      </w:r>
      <w:r w:rsidRPr="002C400D">
        <w:rPr>
          <w:rFonts w:cs="Calibri" w:hint="eastAsia"/>
          <w:lang w:eastAsia="zh-CN"/>
        </w:rPr>
        <w:t>部分）的提前公布或修改、</w:t>
      </w:r>
      <w:r>
        <w:rPr>
          <w:rFonts w:cs="Calibri" w:hint="eastAsia"/>
          <w:lang w:eastAsia="zh-CN"/>
        </w:rPr>
        <w:t>对</w:t>
      </w:r>
      <w:r w:rsidRPr="002C400D">
        <w:rPr>
          <w:rFonts w:cs="Calibri" w:hint="eastAsia"/>
          <w:lang w:eastAsia="zh-CN"/>
        </w:rPr>
        <w:t>于</w:t>
      </w:r>
      <w:r w:rsidRPr="002C400D">
        <w:rPr>
          <w:rFonts w:cs="Calibri"/>
          <w:lang w:eastAsia="zh-CN"/>
        </w:rPr>
        <w:t>2002</w:t>
      </w:r>
      <w:r w:rsidRPr="002C400D">
        <w:rPr>
          <w:rFonts w:cs="Calibri" w:hint="eastAsia"/>
          <w:lang w:eastAsia="zh-CN"/>
        </w:rPr>
        <w:t>年</w:t>
      </w:r>
      <w:r w:rsidRPr="002C400D">
        <w:rPr>
          <w:rFonts w:cs="Calibri"/>
          <w:lang w:eastAsia="zh-CN"/>
        </w:rPr>
        <w:t>10</w:t>
      </w:r>
      <w:r w:rsidRPr="002C400D">
        <w:rPr>
          <w:rFonts w:cs="Calibri" w:hint="eastAsia"/>
          <w:lang w:eastAsia="zh-CN"/>
        </w:rPr>
        <w:t>月</w:t>
      </w:r>
      <w:r w:rsidRPr="002C400D">
        <w:rPr>
          <w:rFonts w:cs="Calibri"/>
          <w:lang w:eastAsia="zh-CN"/>
        </w:rPr>
        <w:t>19</w:t>
      </w:r>
      <w:r w:rsidRPr="002C400D">
        <w:rPr>
          <w:rFonts w:cs="Calibri" w:hint="eastAsia"/>
          <w:lang w:eastAsia="zh-CN"/>
        </w:rPr>
        <w:t>日或其后收到的</w:t>
      </w:r>
      <w:r w:rsidRPr="007D7103">
        <w:rPr>
          <w:rFonts w:cs="Calibri" w:hint="eastAsia"/>
          <w:lang w:eastAsia="zh-CN"/>
        </w:rPr>
        <w:t>关于实施卫星固定业务规划的请求或（当所做修改已超出原有分配特性范围时）将分配转换为指配、引入一个附加系统、酌情修改《无线电规则》附录</w:t>
      </w:r>
      <w:r w:rsidRPr="007D7103">
        <w:rPr>
          <w:rFonts w:cs="Calibri"/>
          <w:lang w:eastAsia="zh-CN"/>
        </w:rPr>
        <w:t>30B</w:t>
      </w:r>
      <w:r w:rsidRPr="007D7103">
        <w:rPr>
          <w:rFonts w:cs="Calibri" w:hint="eastAsia"/>
          <w:lang w:eastAsia="zh-CN"/>
        </w:rPr>
        <w:t>列表中的一项指配特性；</w:t>
      </w:r>
    </w:p>
    <w:p w14:paraId="01B3AD7E" w14:textId="77777777" w:rsidR="00EA33C6" w:rsidRPr="002C400D" w:rsidRDefault="00EA33C6" w:rsidP="00EA33C6">
      <w:pPr>
        <w:rPr>
          <w:rFonts w:cs="Calibri"/>
          <w:szCs w:val="24"/>
          <w:lang w:eastAsia="zh-CN"/>
        </w:rPr>
      </w:pPr>
      <w:r w:rsidRPr="002C400D">
        <w:rPr>
          <w:rFonts w:cs="Calibri"/>
          <w:szCs w:val="24"/>
          <w:lang w:eastAsia="zh-CN"/>
        </w:rPr>
        <w:t>1</w:t>
      </w:r>
      <w:r w:rsidRPr="002C400D">
        <w:rPr>
          <w:rFonts w:ascii="STKaiti" w:eastAsia="STKaiti" w:hAnsi="STKaiti" w:cs="Calibri" w:hint="eastAsia"/>
          <w:sz w:val="18"/>
          <w:szCs w:val="18"/>
          <w:lang w:eastAsia="zh-CN"/>
        </w:rPr>
        <w:t>之三</w:t>
      </w:r>
      <w:r w:rsidRPr="002C400D">
        <w:rPr>
          <w:rFonts w:cs="Calibri"/>
          <w:szCs w:val="24"/>
          <w:lang w:eastAsia="zh-CN"/>
        </w:rPr>
        <w:tab/>
      </w:r>
      <w:r w:rsidRPr="002C400D">
        <w:rPr>
          <w:rFonts w:cs="Calibri" w:hint="eastAsia"/>
          <w:szCs w:val="24"/>
          <w:lang w:eastAsia="zh-CN"/>
        </w:rPr>
        <w:t>对于所有要求实施卫星固定业务规划的请求（《无线电规则》附录</w:t>
      </w:r>
      <w:r w:rsidRPr="002C400D">
        <w:rPr>
          <w:rFonts w:cs="Calibri"/>
          <w:szCs w:val="24"/>
          <w:lang w:eastAsia="zh-CN"/>
        </w:rPr>
        <w:t>30B</w:t>
      </w:r>
      <w:r w:rsidRPr="002C400D">
        <w:rPr>
          <w:rFonts w:cs="Calibri" w:hint="eastAsia"/>
          <w:szCs w:val="24"/>
          <w:lang w:eastAsia="zh-CN"/>
        </w:rPr>
        <w:t>第</w:t>
      </w:r>
      <w:r w:rsidRPr="002C400D">
        <w:rPr>
          <w:rFonts w:cs="Calibri"/>
          <w:szCs w:val="24"/>
          <w:lang w:eastAsia="zh-CN"/>
        </w:rPr>
        <w:t>6</w:t>
      </w:r>
      <w:r w:rsidRPr="002C400D">
        <w:rPr>
          <w:rFonts w:cs="Calibri" w:hint="eastAsia"/>
          <w:szCs w:val="24"/>
          <w:lang w:eastAsia="zh-CN"/>
        </w:rPr>
        <w:t>条的前</w:t>
      </w:r>
      <w:r w:rsidRPr="002C400D">
        <w:rPr>
          <w:rFonts w:cs="Calibri"/>
          <w:szCs w:val="24"/>
          <w:lang w:eastAsia="zh-CN"/>
        </w:rPr>
        <w:t>IA</w:t>
      </w:r>
      <w:r w:rsidRPr="002C400D">
        <w:rPr>
          <w:rFonts w:cs="Calibri" w:hint="eastAsia"/>
          <w:szCs w:val="24"/>
          <w:lang w:eastAsia="zh-CN"/>
        </w:rPr>
        <w:t>和</w:t>
      </w:r>
      <w:r w:rsidRPr="002C400D">
        <w:rPr>
          <w:rFonts w:cs="Calibri"/>
          <w:szCs w:val="24"/>
          <w:lang w:eastAsia="zh-CN"/>
        </w:rPr>
        <w:t>III</w:t>
      </w:r>
      <w:r w:rsidRPr="002C400D">
        <w:rPr>
          <w:rFonts w:cs="Calibri" w:hint="eastAsia"/>
          <w:szCs w:val="24"/>
          <w:lang w:eastAsia="zh-CN"/>
        </w:rPr>
        <w:t>节）均</w:t>
      </w:r>
      <w:r>
        <w:rPr>
          <w:rFonts w:cs="Calibri" w:hint="eastAsia"/>
          <w:szCs w:val="24"/>
          <w:lang w:eastAsia="zh-CN"/>
        </w:rPr>
        <w:t>须</w:t>
      </w:r>
      <w:r w:rsidRPr="002C400D">
        <w:rPr>
          <w:rFonts w:cs="Calibri" w:hint="eastAsia"/>
          <w:szCs w:val="24"/>
          <w:lang w:eastAsia="zh-CN"/>
        </w:rPr>
        <w:t>收取成本回收费用，但唯一的条件是，无线电通信局是在</w:t>
      </w:r>
      <w:r w:rsidRPr="002C400D">
        <w:rPr>
          <w:rFonts w:cs="Calibri"/>
          <w:szCs w:val="24"/>
          <w:lang w:eastAsia="zh-CN"/>
        </w:rPr>
        <w:t>2006</w:t>
      </w:r>
      <w:r w:rsidRPr="002C400D">
        <w:rPr>
          <w:rFonts w:cs="Calibri" w:hint="eastAsia"/>
          <w:szCs w:val="24"/>
          <w:lang w:eastAsia="zh-CN"/>
        </w:rPr>
        <w:t>年</w:t>
      </w:r>
      <w:r w:rsidRPr="002C400D">
        <w:rPr>
          <w:rFonts w:cs="Calibri"/>
          <w:szCs w:val="24"/>
          <w:lang w:eastAsia="zh-CN"/>
        </w:rPr>
        <w:t>1</w:t>
      </w:r>
      <w:r w:rsidRPr="002C400D">
        <w:rPr>
          <w:rFonts w:cs="Calibri" w:hint="eastAsia"/>
          <w:szCs w:val="24"/>
          <w:lang w:eastAsia="zh-CN"/>
        </w:rPr>
        <w:t>月</w:t>
      </w:r>
      <w:r w:rsidRPr="002C400D">
        <w:rPr>
          <w:rFonts w:cs="Calibri"/>
          <w:szCs w:val="24"/>
          <w:lang w:eastAsia="zh-CN"/>
        </w:rPr>
        <w:t>1</w:t>
      </w:r>
      <w:r w:rsidRPr="002C400D">
        <w:rPr>
          <w:rFonts w:cs="Calibri" w:hint="eastAsia"/>
          <w:szCs w:val="24"/>
          <w:lang w:eastAsia="zh-CN"/>
        </w:rPr>
        <w:t>日或之后收到这些要求的；</w:t>
      </w:r>
    </w:p>
    <w:p w14:paraId="4827AACB" w14:textId="651361E2" w:rsidR="00312A82" w:rsidRPr="002C400D" w:rsidRDefault="00EA33C6" w:rsidP="00EA33C6">
      <w:pPr>
        <w:rPr>
          <w:rFonts w:cs="Calibri"/>
          <w:lang w:eastAsia="zh-CN"/>
        </w:rPr>
      </w:pPr>
      <w:r w:rsidRPr="002C400D">
        <w:rPr>
          <w:rFonts w:cs="Calibri"/>
          <w:szCs w:val="24"/>
          <w:lang w:val="en-US" w:eastAsia="zh-CN"/>
        </w:rPr>
        <w:t>1</w:t>
      </w:r>
      <w:r w:rsidRPr="002C400D">
        <w:rPr>
          <w:rFonts w:ascii="STKaiti" w:eastAsia="STKaiti" w:hAnsi="STKaiti" w:cs="Calibri" w:hint="eastAsia"/>
          <w:sz w:val="18"/>
          <w:szCs w:val="18"/>
          <w:lang w:val="en-US" w:eastAsia="zh-CN"/>
        </w:rPr>
        <w:t>之四</w:t>
      </w:r>
      <w:r w:rsidRPr="002C400D">
        <w:rPr>
          <w:rFonts w:cs="Calibri"/>
          <w:i/>
          <w:iCs/>
          <w:szCs w:val="24"/>
          <w:lang w:val="en-US" w:eastAsia="zh-CN"/>
        </w:rPr>
        <w:tab/>
      </w:r>
      <w:r w:rsidRPr="002C400D">
        <w:rPr>
          <w:rFonts w:cs="Calibri" w:hint="eastAsia"/>
          <w:szCs w:val="24"/>
          <w:lang w:val="en-US" w:eastAsia="zh-CN"/>
        </w:rPr>
        <w:t>对于</w:t>
      </w:r>
      <w:r w:rsidRPr="002C400D">
        <w:rPr>
          <w:rFonts w:cs="Calibri" w:hint="eastAsia"/>
          <w:lang w:val="fr-FR" w:eastAsia="zh-CN"/>
        </w:rPr>
        <w:t>无线电通信局</w:t>
      </w:r>
      <w:r>
        <w:rPr>
          <w:rFonts w:cs="Calibri" w:hint="eastAsia"/>
          <w:lang w:val="fr-FR" w:eastAsia="zh-CN"/>
        </w:rPr>
        <w:t>于</w:t>
      </w:r>
      <w:r w:rsidRPr="002C400D">
        <w:rPr>
          <w:rFonts w:cs="Calibri"/>
          <w:color w:val="333333"/>
          <w:lang w:eastAsia="zh-CN"/>
        </w:rPr>
        <w:t>2013</w:t>
      </w:r>
      <w:r w:rsidRPr="002C400D">
        <w:rPr>
          <w:rFonts w:cs="Calibri" w:hint="eastAsia"/>
          <w:color w:val="333333"/>
          <w:lang w:eastAsia="zh-CN"/>
        </w:rPr>
        <w:t>年</w:t>
      </w:r>
      <w:r w:rsidRPr="002C400D">
        <w:rPr>
          <w:rFonts w:cs="Calibri"/>
          <w:color w:val="333333"/>
          <w:lang w:eastAsia="zh-CN"/>
        </w:rPr>
        <w:t>7</w:t>
      </w:r>
      <w:r w:rsidRPr="002C400D">
        <w:rPr>
          <w:rFonts w:cs="Calibri" w:hint="eastAsia"/>
          <w:color w:val="333333"/>
          <w:lang w:eastAsia="zh-CN"/>
        </w:rPr>
        <w:t>月</w:t>
      </w:r>
      <w:r w:rsidRPr="002C400D">
        <w:rPr>
          <w:rFonts w:cs="Calibri"/>
          <w:color w:val="333333"/>
          <w:lang w:eastAsia="zh-CN"/>
        </w:rPr>
        <w:t>1</w:t>
      </w:r>
      <w:r w:rsidRPr="002C400D">
        <w:rPr>
          <w:rFonts w:cs="Calibri" w:hint="eastAsia"/>
          <w:color w:val="333333"/>
          <w:lang w:eastAsia="zh-CN"/>
        </w:rPr>
        <w:t>日当天或之后收到的</w:t>
      </w:r>
      <w:r>
        <w:rPr>
          <w:rFonts w:cs="Calibri" w:hint="eastAsia"/>
          <w:color w:val="333333"/>
          <w:lang w:eastAsia="zh-CN"/>
        </w:rPr>
        <w:t>、</w:t>
      </w:r>
      <w:r>
        <w:rPr>
          <w:rFonts w:cs="Calibri" w:hint="eastAsia"/>
          <w:szCs w:val="24"/>
          <w:lang w:val="en-US" w:eastAsia="zh-CN"/>
        </w:rPr>
        <w:t>位于</w:t>
      </w:r>
      <w:r w:rsidRPr="002C400D">
        <w:rPr>
          <w:rFonts w:cs="Calibri" w:hint="eastAsia"/>
          <w:szCs w:val="24"/>
          <w:lang w:val="fr-FR" w:eastAsia="zh-CN"/>
        </w:rPr>
        <w:t>同一轨位的</w:t>
      </w:r>
      <w:bookmarkStart w:id="181" w:name="_Hlk47021475"/>
      <w:r w:rsidRPr="002C400D">
        <w:rPr>
          <w:rFonts w:cs="Calibri" w:hint="eastAsia"/>
          <w:szCs w:val="24"/>
          <w:lang w:val="fr-FR" w:eastAsia="zh-CN"/>
        </w:rPr>
        <w:t>一主管部门</w:t>
      </w:r>
      <w:r w:rsidRPr="002C400D">
        <w:rPr>
          <w:rFonts w:cs="Calibri" w:hint="eastAsia"/>
          <w:szCs w:val="24"/>
          <w:lang w:eastAsia="zh-CN"/>
        </w:rPr>
        <w:t>（</w:t>
      </w:r>
      <w:r w:rsidRPr="002C400D">
        <w:rPr>
          <w:rFonts w:cs="Calibri" w:hint="eastAsia"/>
          <w:szCs w:val="24"/>
          <w:lang w:val="fr-FR" w:eastAsia="zh-CN"/>
        </w:rPr>
        <w:t>或代表</w:t>
      </w:r>
      <w:bookmarkStart w:id="182" w:name="_Hlk47021204"/>
      <w:r w:rsidRPr="002C400D">
        <w:rPr>
          <w:rFonts w:cs="Calibri" w:hint="eastAsia"/>
          <w:szCs w:val="24"/>
          <w:lang w:val="fr-FR" w:eastAsia="zh-CN"/>
        </w:rPr>
        <w:t>一</w:t>
      </w:r>
      <w:r>
        <w:rPr>
          <w:rFonts w:cs="Calibri" w:hint="eastAsia"/>
          <w:szCs w:val="24"/>
          <w:lang w:val="fr-FR" w:eastAsia="zh-CN"/>
        </w:rPr>
        <w:t>组具</w:t>
      </w:r>
      <w:r w:rsidRPr="002C400D">
        <w:rPr>
          <w:rFonts w:cs="Calibri" w:hint="eastAsia"/>
          <w:szCs w:val="24"/>
          <w:lang w:val="fr-FR" w:eastAsia="zh-CN"/>
        </w:rPr>
        <w:t>名主管部门</w:t>
      </w:r>
      <w:bookmarkEnd w:id="182"/>
      <w:r w:rsidRPr="002C400D">
        <w:rPr>
          <w:rFonts w:cs="Calibri" w:hint="eastAsia"/>
          <w:szCs w:val="24"/>
          <w:lang w:val="fr-FR" w:eastAsia="zh-CN"/>
        </w:rPr>
        <w:t>行事的一主管部门</w:t>
      </w:r>
      <w:r w:rsidRPr="002C400D">
        <w:rPr>
          <w:rFonts w:cs="Calibri" w:hint="eastAsia"/>
          <w:szCs w:val="24"/>
          <w:lang w:eastAsia="zh-CN"/>
        </w:rPr>
        <w:t>）提</w:t>
      </w:r>
      <w:r w:rsidRPr="002C400D">
        <w:rPr>
          <w:rFonts w:cs="Calibri" w:hint="eastAsia"/>
          <w:lang w:eastAsia="zh-CN"/>
        </w:rPr>
        <w:t>交的</w:t>
      </w:r>
      <w:r>
        <w:rPr>
          <w:rFonts w:cs="Calibri" w:hint="eastAsia"/>
          <w:lang w:eastAsia="zh-CN"/>
        </w:rPr>
        <w:t>希望将</w:t>
      </w:r>
      <w:r w:rsidRPr="002C400D">
        <w:rPr>
          <w:rFonts w:cs="Calibri"/>
          <w:color w:val="333333"/>
          <w:lang w:eastAsia="zh-CN"/>
        </w:rPr>
        <w:t>MIFR</w:t>
      </w:r>
      <w:r w:rsidRPr="00D630CC">
        <w:rPr>
          <w:rFonts w:cs="Calibri" w:hint="eastAsia"/>
          <w:lang w:eastAsia="zh-CN"/>
        </w:rPr>
        <w:t>中不同</w:t>
      </w:r>
      <w:r w:rsidRPr="00D630CC">
        <w:rPr>
          <w:rFonts w:cs="Calibri" w:hint="eastAsia"/>
          <w:lang w:eastAsia="zh-CN"/>
        </w:rPr>
        <w:t>GSO</w:t>
      </w:r>
      <w:r w:rsidRPr="00D630CC">
        <w:rPr>
          <w:rFonts w:cs="Calibri" w:hint="eastAsia"/>
          <w:lang w:eastAsia="zh-CN"/>
        </w:rPr>
        <w:t>网络的频率指配</w:t>
      </w:r>
      <w:bookmarkEnd w:id="181"/>
      <w:r>
        <w:rPr>
          <w:rFonts w:cs="Calibri" w:hint="eastAsia"/>
          <w:lang w:eastAsia="zh-CN"/>
        </w:rPr>
        <w:t>整合到一个</w:t>
      </w:r>
      <w:r w:rsidRPr="002C400D">
        <w:rPr>
          <w:rFonts w:cs="Calibri" w:hint="eastAsia"/>
          <w:color w:val="333333"/>
          <w:lang w:eastAsia="zh-CN"/>
        </w:rPr>
        <w:t>单一</w:t>
      </w:r>
      <w:r>
        <w:rPr>
          <w:rFonts w:cs="Calibri" w:hint="eastAsia"/>
          <w:color w:val="333333"/>
          <w:lang w:eastAsia="zh-CN"/>
        </w:rPr>
        <w:t>的</w:t>
      </w:r>
      <w:r w:rsidRPr="002C400D">
        <w:rPr>
          <w:rFonts w:cs="Calibri" w:hint="eastAsia"/>
          <w:color w:val="333333"/>
          <w:lang w:eastAsia="zh-CN"/>
        </w:rPr>
        <w:t>卫星网络频率指配</w:t>
      </w:r>
      <w:r w:rsidRPr="002C400D">
        <w:rPr>
          <w:rFonts w:cs="Calibri" w:hint="eastAsia"/>
          <w:lang w:val="fr-FR" w:eastAsia="zh-CN"/>
        </w:rPr>
        <w:t>的所有请求</w:t>
      </w:r>
      <w:r w:rsidRPr="002C400D">
        <w:rPr>
          <w:rFonts w:cs="Calibri" w:hint="eastAsia"/>
          <w:lang w:eastAsia="zh-CN"/>
        </w:rPr>
        <w:t>，均</w:t>
      </w:r>
      <w:r w:rsidRPr="002C400D">
        <w:rPr>
          <w:rFonts w:cs="Calibri" w:hint="eastAsia"/>
          <w:lang w:val="fr-FR" w:eastAsia="zh-CN"/>
        </w:rPr>
        <w:t>须交纳</w:t>
      </w:r>
      <w:r w:rsidRPr="002C400D">
        <w:rPr>
          <w:rFonts w:cs="Calibri" w:hint="eastAsia"/>
          <w:color w:val="333333"/>
          <w:lang w:eastAsia="zh-CN"/>
        </w:rPr>
        <w:t>成本回收费；</w:t>
      </w:r>
    </w:p>
    <w:p w14:paraId="4827AACC" w14:textId="77777777" w:rsidR="00312A82" w:rsidRDefault="00312A82">
      <w:pPr>
        <w:tabs>
          <w:tab w:val="clear" w:pos="794"/>
          <w:tab w:val="clear" w:pos="1191"/>
          <w:tab w:val="clear" w:pos="1588"/>
          <w:tab w:val="clear" w:pos="1985"/>
        </w:tabs>
        <w:overflowPunct/>
        <w:autoSpaceDE/>
        <w:autoSpaceDN/>
        <w:adjustRightInd/>
        <w:spacing w:before="0"/>
        <w:jc w:val="left"/>
        <w:textAlignment w:val="auto"/>
        <w:rPr>
          <w:rFonts w:cs="Calibri"/>
          <w:lang w:eastAsia="zh-CN"/>
        </w:rPr>
      </w:pPr>
      <w:r>
        <w:rPr>
          <w:rFonts w:cs="Calibri"/>
          <w:lang w:eastAsia="zh-CN"/>
        </w:rPr>
        <w:br w:type="page"/>
      </w:r>
    </w:p>
    <w:p w14:paraId="4827AACD" w14:textId="2D71D41D" w:rsidR="00312A82" w:rsidRPr="002C400D" w:rsidRDefault="00EA33C6" w:rsidP="00312A82">
      <w:pPr>
        <w:keepNext/>
        <w:rPr>
          <w:rFonts w:cs="Calibri"/>
          <w:lang w:eastAsia="zh-CN"/>
        </w:rPr>
      </w:pPr>
      <w:r w:rsidRPr="002C400D">
        <w:rPr>
          <w:rFonts w:cs="Calibri"/>
          <w:lang w:eastAsia="zh-CN"/>
        </w:rPr>
        <w:lastRenderedPageBreak/>
        <w:t>2</w:t>
      </w:r>
      <w:r w:rsidRPr="002C400D">
        <w:rPr>
          <w:rFonts w:cs="Calibri"/>
          <w:lang w:eastAsia="zh-CN"/>
        </w:rPr>
        <w:tab/>
      </w:r>
      <w:r w:rsidRPr="002C400D">
        <w:rPr>
          <w:rFonts w:cs="Calibri" w:hint="eastAsia"/>
          <w:lang w:eastAsia="zh-CN"/>
        </w:rPr>
        <w:t>对于通报给无线电通信局的每一项卫星网络</w:t>
      </w:r>
      <w:r w:rsidRPr="002C400D">
        <w:rPr>
          <w:rStyle w:val="FootnoteReference"/>
          <w:rFonts w:cs="Calibri"/>
          <w:lang w:eastAsia="zh-CN"/>
        </w:rPr>
        <w:footnoteReference w:id="2"/>
      </w:r>
      <w:r w:rsidRPr="002C400D">
        <w:rPr>
          <w:rFonts w:cs="Calibri" w:hint="eastAsia"/>
          <w:lang w:eastAsia="zh-CN"/>
        </w:rPr>
        <w:t>申报，均须收取以下费用</w:t>
      </w:r>
      <w:r w:rsidRPr="002C400D">
        <w:rPr>
          <w:rStyle w:val="FootnoteReference"/>
          <w:rFonts w:cs="Calibri"/>
          <w:lang w:eastAsia="zh-CN"/>
        </w:rPr>
        <w:footnoteReference w:id="3"/>
      </w:r>
      <w:r w:rsidRPr="002C400D">
        <w:rPr>
          <w:rFonts w:cs="Calibri" w:hint="eastAsia"/>
          <w:lang w:eastAsia="zh-CN"/>
        </w:rPr>
        <w:t>：</w:t>
      </w:r>
    </w:p>
    <w:p w14:paraId="1B42262F" w14:textId="77777777" w:rsidR="00EA33C6" w:rsidRPr="002C400D" w:rsidRDefault="00EA33C6" w:rsidP="00EA33C6">
      <w:pPr>
        <w:pStyle w:val="enumlev1"/>
        <w:rPr>
          <w:rFonts w:cs="Calibri"/>
          <w:lang w:eastAsia="zh-CN"/>
        </w:rPr>
      </w:pPr>
      <w:r w:rsidRPr="002C400D">
        <w:rPr>
          <w:rFonts w:cs="Calibri"/>
          <w:lang w:eastAsia="zh-CN"/>
        </w:rPr>
        <w:t>a)</w:t>
      </w:r>
      <w:r w:rsidRPr="002C400D">
        <w:rPr>
          <w:rFonts w:cs="Calibri"/>
          <w:lang w:eastAsia="zh-CN"/>
        </w:rPr>
        <w:tab/>
      </w:r>
      <w:r>
        <w:rPr>
          <w:rFonts w:cs="Calibri" w:hint="eastAsia"/>
          <w:lang w:eastAsia="zh-CN"/>
        </w:rPr>
        <w:t>对</w:t>
      </w:r>
      <w:r w:rsidRPr="002C400D">
        <w:rPr>
          <w:rFonts w:cs="Calibri" w:hint="eastAsia"/>
          <w:lang w:eastAsia="zh-CN"/>
        </w:rPr>
        <w:t>于</w:t>
      </w:r>
      <w:r w:rsidRPr="002C400D">
        <w:rPr>
          <w:rFonts w:cs="Calibri"/>
          <w:lang w:eastAsia="zh-CN"/>
        </w:rPr>
        <w:t>2001</w:t>
      </w:r>
      <w:r w:rsidRPr="002C400D">
        <w:rPr>
          <w:rFonts w:cs="Calibri" w:hint="eastAsia"/>
          <w:lang w:eastAsia="zh-CN"/>
        </w:rPr>
        <w:t>年</w:t>
      </w:r>
      <w:r w:rsidRPr="002C400D">
        <w:rPr>
          <w:rFonts w:cs="Calibri"/>
          <w:lang w:eastAsia="zh-CN"/>
        </w:rPr>
        <w:t>6</w:t>
      </w:r>
      <w:r w:rsidRPr="002C400D">
        <w:rPr>
          <w:rFonts w:cs="Calibri" w:hint="eastAsia"/>
          <w:lang w:eastAsia="zh-CN"/>
        </w:rPr>
        <w:t>月</w:t>
      </w:r>
      <w:r w:rsidRPr="002C400D">
        <w:rPr>
          <w:rFonts w:cs="Calibri"/>
          <w:lang w:eastAsia="zh-CN"/>
        </w:rPr>
        <w:t>29</w:t>
      </w:r>
      <w:r w:rsidRPr="002C400D">
        <w:rPr>
          <w:rFonts w:cs="Calibri" w:hint="eastAsia"/>
          <w:lang w:eastAsia="zh-CN"/>
        </w:rPr>
        <w:t>日</w:t>
      </w:r>
      <w:bookmarkStart w:id="183" w:name="_Hlk47028849"/>
      <w:r>
        <w:rPr>
          <w:rFonts w:cs="Calibri" w:hint="eastAsia"/>
          <w:lang w:eastAsia="zh-CN"/>
        </w:rPr>
        <w:t>当日</w:t>
      </w:r>
      <w:bookmarkEnd w:id="183"/>
      <w:r w:rsidRPr="002C400D">
        <w:rPr>
          <w:rFonts w:cs="Calibri" w:hint="eastAsia"/>
          <w:lang w:eastAsia="zh-CN"/>
        </w:rPr>
        <w:t>及之前收到的申报</w:t>
      </w:r>
      <w:r>
        <w:rPr>
          <w:rFonts w:cs="Calibri" w:hint="eastAsia"/>
          <w:lang w:eastAsia="zh-CN"/>
        </w:rPr>
        <w:t>，</w:t>
      </w:r>
      <w:r w:rsidRPr="002C400D">
        <w:rPr>
          <w:rFonts w:cs="Calibri" w:hint="eastAsia"/>
          <w:lang w:eastAsia="zh-CN"/>
        </w:rPr>
        <w:t>第</w:t>
      </w:r>
      <w:r w:rsidRPr="002C400D">
        <w:rPr>
          <w:rFonts w:cs="Calibri"/>
          <w:lang w:eastAsia="zh-CN"/>
        </w:rPr>
        <w:t>482</w:t>
      </w:r>
      <w:r w:rsidRPr="002C400D">
        <w:rPr>
          <w:rFonts w:cs="Calibri" w:hint="eastAsia"/>
          <w:lang w:eastAsia="zh-CN"/>
        </w:rPr>
        <w:t>号决定（理事会</w:t>
      </w:r>
      <w:r w:rsidRPr="002C400D">
        <w:rPr>
          <w:rFonts w:cs="Calibri"/>
          <w:lang w:eastAsia="zh-CN"/>
        </w:rPr>
        <w:t>1999</w:t>
      </w:r>
      <w:r w:rsidRPr="002C400D">
        <w:rPr>
          <w:rFonts w:cs="Calibri" w:hint="eastAsia"/>
          <w:lang w:eastAsia="zh-CN"/>
        </w:rPr>
        <w:t>年会议）适用；</w:t>
      </w:r>
      <w:r>
        <w:rPr>
          <w:rFonts w:cs="Calibri" w:hint="eastAsia"/>
          <w:lang w:eastAsia="zh-CN"/>
        </w:rPr>
        <w:t>当</w:t>
      </w:r>
      <w:r w:rsidRPr="002C400D">
        <w:rPr>
          <w:rFonts w:cs="Calibri" w:hint="eastAsia"/>
          <w:lang w:eastAsia="zh-CN"/>
        </w:rPr>
        <w:t>这些申报公布时按照公布</w:t>
      </w:r>
      <w:r>
        <w:rPr>
          <w:rFonts w:cs="Calibri" w:hint="eastAsia"/>
          <w:lang w:eastAsia="zh-CN"/>
        </w:rPr>
        <w:t>当</w:t>
      </w:r>
      <w:r w:rsidRPr="002C400D">
        <w:rPr>
          <w:rFonts w:cs="Calibri" w:hint="eastAsia"/>
          <w:lang w:eastAsia="zh-CN"/>
        </w:rPr>
        <w:t>日有效的收费表收取费用；</w:t>
      </w:r>
    </w:p>
    <w:p w14:paraId="53BF8A9A" w14:textId="77777777" w:rsidR="00EA33C6" w:rsidRPr="002C400D" w:rsidRDefault="00EA33C6" w:rsidP="00EA33C6">
      <w:pPr>
        <w:pStyle w:val="enumlev1"/>
        <w:rPr>
          <w:rFonts w:cs="Calibri"/>
          <w:lang w:eastAsia="zh-CN"/>
        </w:rPr>
      </w:pPr>
      <w:r w:rsidRPr="002C400D">
        <w:rPr>
          <w:rFonts w:cs="Calibri"/>
          <w:lang w:eastAsia="zh-CN"/>
        </w:rPr>
        <w:t>b)</w:t>
      </w:r>
      <w:r w:rsidRPr="002C400D">
        <w:rPr>
          <w:rFonts w:cs="Calibri"/>
          <w:lang w:eastAsia="zh-CN"/>
        </w:rPr>
        <w:tab/>
      </w:r>
      <w:r>
        <w:rPr>
          <w:rFonts w:cs="Calibri" w:hint="eastAsia"/>
          <w:lang w:eastAsia="zh-CN"/>
        </w:rPr>
        <w:t>对</w:t>
      </w:r>
      <w:r w:rsidRPr="002C400D">
        <w:rPr>
          <w:rFonts w:cs="Calibri" w:hint="eastAsia"/>
          <w:lang w:eastAsia="zh-CN"/>
        </w:rPr>
        <w:t>于</w:t>
      </w:r>
      <w:r w:rsidRPr="002C400D">
        <w:rPr>
          <w:rFonts w:cs="Calibri"/>
          <w:lang w:eastAsia="zh-CN"/>
        </w:rPr>
        <w:t>2001</w:t>
      </w:r>
      <w:r w:rsidRPr="002C400D">
        <w:rPr>
          <w:rFonts w:cs="Calibri" w:hint="eastAsia"/>
          <w:lang w:eastAsia="zh-CN"/>
        </w:rPr>
        <w:t>年</w:t>
      </w:r>
      <w:r w:rsidRPr="002C400D">
        <w:rPr>
          <w:rFonts w:cs="Calibri"/>
          <w:lang w:eastAsia="zh-CN"/>
        </w:rPr>
        <w:t>6</w:t>
      </w:r>
      <w:r w:rsidRPr="002C400D">
        <w:rPr>
          <w:rFonts w:cs="Calibri" w:hint="eastAsia"/>
          <w:lang w:eastAsia="zh-CN"/>
        </w:rPr>
        <w:t>月</w:t>
      </w:r>
      <w:r w:rsidRPr="002C400D">
        <w:rPr>
          <w:rFonts w:cs="Calibri"/>
          <w:lang w:eastAsia="zh-CN"/>
        </w:rPr>
        <w:t>30</w:t>
      </w:r>
      <w:r w:rsidRPr="002C400D">
        <w:rPr>
          <w:rFonts w:cs="Calibri" w:hint="eastAsia"/>
          <w:lang w:eastAsia="zh-CN"/>
        </w:rPr>
        <w:t>日</w:t>
      </w:r>
      <w:r w:rsidRPr="00CF1DC1">
        <w:rPr>
          <w:rFonts w:cs="Calibri" w:hint="eastAsia"/>
          <w:lang w:eastAsia="zh-CN"/>
        </w:rPr>
        <w:t>当日</w:t>
      </w:r>
      <w:r w:rsidRPr="002C400D">
        <w:rPr>
          <w:rFonts w:cs="Calibri" w:hint="eastAsia"/>
          <w:lang w:eastAsia="zh-CN"/>
        </w:rPr>
        <w:t>或之后、但在</w:t>
      </w:r>
      <w:r w:rsidRPr="002C400D">
        <w:rPr>
          <w:rFonts w:cs="Calibri"/>
          <w:lang w:eastAsia="zh-CN"/>
        </w:rPr>
        <w:t>2002</w:t>
      </w:r>
      <w:r w:rsidRPr="002C400D">
        <w:rPr>
          <w:rFonts w:cs="Calibri" w:hint="eastAsia"/>
          <w:lang w:eastAsia="zh-CN"/>
        </w:rPr>
        <w:t>年</w:t>
      </w:r>
      <w:r w:rsidRPr="002C400D">
        <w:rPr>
          <w:rFonts w:cs="Calibri"/>
          <w:lang w:eastAsia="zh-CN"/>
        </w:rPr>
        <w:t>1</w:t>
      </w:r>
      <w:r w:rsidRPr="002C400D">
        <w:rPr>
          <w:rFonts w:cs="Calibri" w:hint="eastAsia"/>
          <w:lang w:eastAsia="zh-CN"/>
        </w:rPr>
        <w:t>月</w:t>
      </w:r>
      <w:r w:rsidRPr="002C400D">
        <w:rPr>
          <w:rFonts w:cs="Calibri"/>
          <w:lang w:eastAsia="zh-CN"/>
        </w:rPr>
        <w:t>1</w:t>
      </w:r>
      <w:r w:rsidRPr="002C400D">
        <w:rPr>
          <w:rFonts w:cs="Calibri" w:hint="eastAsia"/>
          <w:lang w:eastAsia="zh-CN"/>
        </w:rPr>
        <w:t>日之前收到的申报</w:t>
      </w:r>
      <w:r>
        <w:rPr>
          <w:rFonts w:cs="Calibri" w:hint="eastAsia"/>
          <w:lang w:eastAsia="zh-CN"/>
        </w:rPr>
        <w:t>，</w:t>
      </w:r>
      <w:r w:rsidRPr="002C400D">
        <w:rPr>
          <w:rFonts w:cs="Calibri" w:hint="eastAsia"/>
          <w:lang w:eastAsia="zh-CN"/>
        </w:rPr>
        <w:t>第</w:t>
      </w:r>
      <w:r w:rsidRPr="002C400D">
        <w:rPr>
          <w:rFonts w:cs="Calibri"/>
          <w:lang w:eastAsia="zh-CN"/>
        </w:rPr>
        <w:t>482</w:t>
      </w:r>
      <w:r w:rsidRPr="002C400D">
        <w:rPr>
          <w:rFonts w:cs="Calibri" w:hint="eastAsia"/>
          <w:lang w:eastAsia="zh-CN"/>
        </w:rPr>
        <w:t>号决定（理事会</w:t>
      </w:r>
      <w:r w:rsidRPr="002C400D">
        <w:rPr>
          <w:rFonts w:cs="Calibri"/>
          <w:lang w:eastAsia="zh-CN"/>
        </w:rPr>
        <w:t>2001</w:t>
      </w:r>
      <w:r w:rsidRPr="002C400D">
        <w:rPr>
          <w:rFonts w:cs="Calibri" w:hint="eastAsia"/>
          <w:lang w:eastAsia="zh-CN"/>
        </w:rPr>
        <w:t>年会议）适用；</w:t>
      </w:r>
      <w:r>
        <w:rPr>
          <w:rFonts w:cs="Calibri" w:hint="eastAsia"/>
          <w:lang w:eastAsia="zh-CN"/>
        </w:rPr>
        <w:t>当</w:t>
      </w:r>
      <w:r w:rsidRPr="002C400D">
        <w:rPr>
          <w:rFonts w:cs="Calibri" w:hint="eastAsia"/>
          <w:lang w:eastAsia="zh-CN"/>
        </w:rPr>
        <w:t>这些申报公布时按照收到日有效的收费表实行包干收费，并按照公布日有效的收费表收取附加收费（如有的话）；</w:t>
      </w:r>
    </w:p>
    <w:p w14:paraId="76351241" w14:textId="77777777" w:rsidR="00EA33C6" w:rsidRPr="002C400D" w:rsidRDefault="00EA33C6" w:rsidP="00EA33C6">
      <w:pPr>
        <w:pStyle w:val="enumlev1"/>
        <w:rPr>
          <w:rFonts w:cs="Calibri"/>
          <w:lang w:eastAsia="zh-CN"/>
        </w:rPr>
      </w:pPr>
      <w:r w:rsidRPr="002C400D">
        <w:rPr>
          <w:rFonts w:cs="Calibri"/>
          <w:lang w:eastAsia="zh-CN"/>
        </w:rPr>
        <w:t>c)</w:t>
      </w:r>
      <w:r w:rsidRPr="002C400D">
        <w:rPr>
          <w:rFonts w:cs="Calibri"/>
          <w:lang w:eastAsia="zh-CN"/>
        </w:rPr>
        <w:tab/>
      </w:r>
      <w:r>
        <w:rPr>
          <w:rFonts w:cs="Calibri" w:hint="eastAsia"/>
          <w:lang w:eastAsia="zh-CN"/>
        </w:rPr>
        <w:t>对</w:t>
      </w:r>
      <w:r w:rsidRPr="002C400D">
        <w:rPr>
          <w:rFonts w:cs="Calibri" w:hint="eastAsia"/>
          <w:lang w:eastAsia="zh-CN"/>
        </w:rPr>
        <w:t>于</w:t>
      </w:r>
      <w:r w:rsidRPr="002C400D">
        <w:rPr>
          <w:rFonts w:cs="Calibri"/>
          <w:lang w:eastAsia="zh-CN"/>
        </w:rPr>
        <w:t>2002</w:t>
      </w:r>
      <w:r w:rsidRPr="002C400D">
        <w:rPr>
          <w:rFonts w:cs="Calibri" w:hint="eastAsia"/>
          <w:lang w:eastAsia="zh-CN"/>
        </w:rPr>
        <w:t>年</w:t>
      </w:r>
      <w:r w:rsidRPr="002C400D">
        <w:rPr>
          <w:rFonts w:cs="Calibri"/>
          <w:lang w:eastAsia="zh-CN"/>
        </w:rPr>
        <w:t>1</w:t>
      </w:r>
      <w:r w:rsidRPr="002C400D">
        <w:rPr>
          <w:rFonts w:cs="Calibri" w:hint="eastAsia"/>
          <w:lang w:eastAsia="zh-CN"/>
        </w:rPr>
        <w:t>月</w:t>
      </w:r>
      <w:r w:rsidRPr="002C400D">
        <w:rPr>
          <w:rFonts w:cs="Calibri"/>
          <w:lang w:eastAsia="zh-CN"/>
        </w:rPr>
        <w:t>1</w:t>
      </w:r>
      <w:r w:rsidRPr="002C400D">
        <w:rPr>
          <w:rFonts w:cs="Calibri" w:hint="eastAsia"/>
          <w:lang w:eastAsia="zh-CN"/>
        </w:rPr>
        <w:t>日</w:t>
      </w:r>
      <w:r w:rsidRPr="00CF1DC1">
        <w:rPr>
          <w:rFonts w:cs="Calibri" w:hint="eastAsia"/>
          <w:lang w:eastAsia="zh-CN"/>
        </w:rPr>
        <w:t>当日</w:t>
      </w:r>
      <w:r w:rsidRPr="002C400D">
        <w:rPr>
          <w:rFonts w:cs="Calibri" w:hint="eastAsia"/>
          <w:lang w:eastAsia="zh-CN"/>
        </w:rPr>
        <w:t>或之后、但在</w:t>
      </w:r>
      <w:r w:rsidRPr="002C400D">
        <w:rPr>
          <w:rFonts w:cs="Calibri"/>
          <w:lang w:eastAsia="zh-CN"/>
        </w:rPr>
        <w:t>2002</w:t>
      </w:r>
      <w:r w:rsidRPr="002C400D">
        <w:rPr>
          <w:rFonts w:cs="Calibri" w:hint="eastAsia"/>
          <w:lang w:eastAsia="zh-CN"/>
        </w:rPr>
        <w:t>年</w:t>
      </w:r>
      <w:r w:rsidRPr="002C400D">
        <w:rPr>
          <w:rFonts w:cs="Calibri"/>
          <w:lang w:eastAsia="zh-CN"/>
        </w:rPr>
        <w:t>5</w:t>
      </w:r>
      <w:r w:rsidRPr="002C400D">
        <w:rPr>
          <w:rFonts w:cs="Calibri" w:hint="eastAsia"/>
          <w:lang w:eastAsia="zh-CN"/>
        </w:rPr>
        <w:t>月</w:t>
      </w:r>
      <w:r w:rsidRPr="002C400D">
        <w:rPr>
          <w:rFonts w:cs="Calibri"/>
          <w:lang w:eastAsia="zh-CN"/>
        </w:rPr>
        <w:t>4</w:t>
      </w:r>
      <w:r w:rsidRPr="002C400D">
        <w:rPr>
          <w:rFonts w:cs="Calibri" w:hint="eastAsia"/>
          <w:lang w:eastAsia="zh-CN"/>
        </w:rPr>
        <w:t>日之前收到的申报</w:t>
      </w:r>
      <w:r>
        <w:rPr>
          <w:rFonts w:cs="Calibri" w:hint="eastAsia"/>
          <w:lang w:eastAsia="zh-CN"/>
        </w:rPr>
        <w:t>，</w:t>
      </w:r>
      <w:r w:rsidRPr="002C400D">
        <w:rPr>
          <w:rFonts w:cs="Calibri" w:hint="eastAsia"/>
          <w:lang w:eastAsia="zh-CN"/>
        </w:rPr>
        <w:t>第</w:t>
      </w:r>
      <w:r w:rsidRPr="002C400D">
        <w:rPr>
          <w:rFonts w:cs="Calibri"/>
          <w:lang w:eastAsia="zh-CN"/>
        </w:rPr>
        <w:t>482</w:t>
      </w:r>
      <w:r w:rsidRPr="002C400D">
        <w:rPr>
          <w:rFonts w:cs="Calibri" w:hint="eastAsia"/>
          <w:lang w:eastAsia="zh-CN"/>
        </w:rPr>
        <w:t>号决定（理事会</w:t>
      </w:r>
      <w:r w:rsidRPr="002C400D">
        <w:rPr>
          <w:rFonts w:cs="Calibri"/>
          <w:lang w:eastAsia="zh-CN"/>
        </w:rPr>
        <w:t>2001</w:t>
      </w:r>
      <w:r w:rsidRPr="002C400D">
        <w:rPr>
          <w:rFonts w:cs="Calibri" w:hint="eastAsia"/>
          <w:lang w:eastAsia="zh-CN"/>
        </w:rPr>
        <w:t>年会议）适用；按照收到日有效的收费表计算出的包干收费</w:t>
      </w:r>
      <w:r>
        <w:rPr>
          <w:rFonts w:cs="Calibri" w:hint="eastAsia"/>
          <w:lang w:eastAsia="zh-CN"/>
        </w:rPr>
        <w:t>应</w:t>
      </w:r>
      <w:r w:rsidRPr="002C400D">
        <w:rPr>
          <w:rFonts w:cs="Calibri" w:hint="eastAsia"/>
          <w:lang w:eastAsia="zh-CN"/>
        </w:rPr>
        <w:t>在通知收</w:t>
      </w:r>
      <w:r>
        <w:rPr>
          <w:rFonts w:cs="Calibri" w:hint="eastAsia"/>
          <w:lang w:eastAsia="zh-CN"/>
        </w:rPr>
        <w:t>悉</w:t>
      </w:r>
      <w:r w:rsidRPr="002C400D">
        <w:rPr>
          <w:rFonts w:cs="Calibri" w:hint="eastAsia"/>
          <w:lang w:eastAsia="zh-CN"/>
        </w:rPr>
        <w:t>后支付，按照公布日有效的收费表计算出的附加收费（如有的话），应在通知公布后支付；</w:t>
      </w:r>
    </w:p>
    <w:p w14:paraId="6D0A3F6C" w14:textId="77777777" w:rsidR="00EA33C6" w:rsidRPr="002C400D" w:rsidRDefault="00EA33C6" w:rsidP="00EA33C6">
      <w:pPr>
        <w:pStyle w:val="enumlev1"/>
        <w:rPr>
          <w:rFonts w:cs="Calibri"/>
          <w:lang w:eastAsia="zh-CN"/>
        </w:rPr>
      </w:pPr>
      <w:r w:rsidRPr="002C400D">
        <w:rPr>
          <w:rFonts w:cs="Calibri"/>
          <w:lang w:eastAsia="zh-CN"/>
        </w:rPr>
        <w:t>d)</w:t>
      </w:r>
      <w:r w:rsidRPr="002C400D">
        <w:rPr>
          <w:rFonts w:cs="Calibri"/>
          <w:lang w:eastAsia="zh-CN"/>
        </w:rPr>
        <w:tab/>
      </w:r>
      <w:r>
        <w:rPr>
          <w:rFonts w:cs="Calibri" w:hint="eastAsia"/>
          <w:lang w:eastAsia="zh-CN"/>
        </w:rPr>
        <w:t>对</w:t>
      </w:r>
      <w:r w:rsidRPr="002C400D">
        <w:rPr>
          <w:rFonts w:cs="Calibri" w:hint="eastAsia"/>
          <w:lang w:eastAsia="zh-CN"/>
        </w:rPr>
        <w:t>于</w:t>
      </w:r>
      <w:r w:rsidRPr="002C400D">
        <w:rPr>
          <w:rFonts w:cs="Calibri"/>
          <w:lang w:eastAsia="zh-CN"/>
        </w:rPr>
        <w:t>2002</w:t>
      </w:r>
      <w:r w:rsidRPr="002C400D">
        <w:rPr>
          <w:rFonts w:cs="Calibri" w:hint="eastAsia"/>
          <w:lang w:eastAsia="zh-CN"/>
        </w:rPr>
        <w:t>年</w:t>
      </w:r>
      <w:r w:rsidRPr="002C400D">
        <w:rPr>
          <w:rFonts w:cs="Calibri"/>
          <w:lang w:eastAsia="zh-CN"/>
        </w:rPr>
        <w:t>5</w:t>
      </w:r>
      <w:r w:rsidRPr="002C400D">
        <w:rPr>
          <w:rFonts w:cs="Calibri" w:hint="eastAsia"/>
          <w:lang w:eastAsia="zh-CN"/>
        </w:rPr>
        <w:t>月</w:t>
      </w:r>
      <w:r w:rsidRPr="002C400D">
        <w:rPr>
          <w:rFonts w:cs="Calibri"/>
          <w:lang w:eastAsia="zh-CN"/>
        </w:rPr>
        <w:t>4</w:t>
      </w:r>
      <w:r w:rsidRPr="002C400D">
        <w:rPr>
          <w:rFonts w:cs="Calibri" w:hint="eastAsia"/>
          <w:lang w:eastAsia="zh-CN"/>
        </w:rPr>
        <w:t>日</w:t>
      </w:r>
      <w:r w:rsidRPr="00CF1DC1">
        <w:rPr>
          <w:rFonts w:cs="Calibri" w:hint="eastAsia"/>
          <w:lang w:eastAsia="zh-CN"/>
        </w:rPr>
        <w:t>当日</w:t>
      </w:r>
      <w:r w:rsidRPr="002C400D">
        <w:rPr>
          <w:rFonts w:cs="Calibri" w:hint="eastAsia"/>
          <w:lang w:eastAsia="zh-CN"/>
        </w:rPr>
        <w:t>或之后、但在</w:t>
      </w:r>
      <w:r w:rsidRPr="002C400D">
        <w:rPr>
          <w:rFonts w:cs="Calibri"/>
          <w:lang w:eastAsia="zh-CN"/>
        </w:rPr>
        <w:t>2004</w:t>
      </w:r>
      <w:r w:rsidRPr="002C400D">
        <w:rPr>
          <w:rFonts w:cs="Calibri" w:hint="eastAsia"/>
          <w:lang w:eastAsia="zh-CN"/>
        </w:rPr>
        <w:t>年</w:t>
      </w:r>
      <w:r w:rsidRPr="002C400D">
        <w:rPr>
          <w:rFonts w:cs="Calibri"/>
          <w:lang w:eastAsia="zh-CN"/>
        </w:rPr>
        <w:t>12</w:t>
      </w:r>
      <w:r w:rsidRPr="002C400D">
        <w:rPr>
          <w:rFonts w:cs="Calibri" w:hint="eastAsia"/>
          <w:lang w:eastAsia="zh-CN"/>
        </w:rPr>
        <w:t>月</w:t>
      </w:r>
      <w:r w:rsidRPr="002C400D">
        <w:rPr>
          <w:rFonts w:cs="Calibri"/>
          <w:lang w:eastAsia="zh-CN"/>
        </w:rPr>
        <w:t>31</w:t>
      </w:r>
      <w:r w:rsidRPr="002C400D">
        <w:rPr>
          <w:rFonts w:cs="Calibri" w:hint="eastAsia"/>
          <w:lang w:eastAsia="zh-CN"/>
        </w:rPr>
        <w:t>日之前收到的申报</w:t>
      </w:r>
      <w:r>
        <w:rPr>
          <w:rFonts w:cs="Calibri" w:hint="eastAsia"/>
          <w:lang w:eastAsia="zh-CN"/>
        </w:rPr>
        <w:t>，</w:t>
      </w:r>
      <w:r w:rsidRPr="002C400D">
        <w:rPr>
          <w:rFonts w:cs="Calibri" w:hint="eastAsia"/>
          <w:lang w:eastAsia="zh-CN"/>
        </w:rPr>
        <w:t>第</w:t>
      </w:r>
      <w:r w:rsidRPr="002C400D">
        <w:rPr>
          <w:rFonts w:cs="Calibri"/>
          <w:lang w:eastAsia="zh-CN"/>
        </w:rPr>
        <w:t>482</w:t>
      </w:r>
      <w:r w:rsidRPr="002C400D">
        <w:rPr>
          <w:rFonts w:cs="Calibri" w:hint="eastAsia"/>
          <w:lang w:eastAsia="zh-CN"/>
        </w:rPr>
        <w:t>号决定（理事会</w:t>
      </w:r>
      <w:r w:rsidRPr="002C400D">
        <w:rPr>
          <w:rFonts w:cs="Calibri"/>
          <w:lang w:eastAsia="zh-CN"/>
        </w:rPr>
        <w:t>2002</w:t>
      </w:r>
      <w:r w:rsidRPr="002C400D">
        <w:rPr>
          <w:rFonts w:cs="Calibri" w:hint="eastAsia"/>
          <w:lang w:eastAsia="zh-CN"/>
        </w:rPr>
        <w:t>年会议）适用；按照收到日有效的收费表计算出的包干收费应在通知</w:t>
      </w:r>
      <w:r>
        <w:rPr>
          <w:rFonts w:cs="Calibri" w:hint="eastAsia"/>
          <w:lang w:eastAsia="zh-CN"/>
        </w:rPr>
        <w:t>收悉</w:t>
      </w:r>
      <w:r w:rsidRPr="002C400D">
        <w:rPr>
          <w:rFonts w:cs="Calibri" w:hint="eastAsia"/>
          <w:lang w:eastAsia="zh-CN"/>
        </w:rPr>
        <w:t>后支付，按照收到日有效的收费表计算出的附加收费（如有的话）</w:t>
      </w:r>
      <w:r>
        <w:rPr>
          <w:rFonts w:cs="Calibri" w:hint="eastAsia"/>
          <w:lang w:eastAsia="zh-CN"/>
        </w:rPr>
        <w:t>，</w:t>
      </w:r>
      <w:r w:rsidRPr="002C400D">
        <w:rPr>
          <w:rFonts w:cs="Calibri" w:hint="eastAsia"/>
          <w:lang w:eastAsia="zh-CN"/>
        </w:rPr>
        <w:t>应在通知公布后支付；</w:t>
      </w:r>
    </w:p>
    <w:p w14:paraId="3D2FFD28" w14:textId="77777777" w:rsidR="00EA33C6" w:rsidRPr="002C400D" w:rsidRDefault="00EA33C6" w:rsidP="00EA33C6">
      <w:pPr>
        <w:pStyle w:val="enumlev1"/>
        <w:rPr>
          <w:rFonts w:cs="Calibri"/>
          <w:lang w:eastAsia="zh-CN"/>
        </w:rPr>
      </w:pPr>
      <w:r w:rsidRPr="002C400D">
        <w:rPr>
          <w:rFonts w:cs="Calibri"/>
          <w:lang w:eastAsia="zh-CN"/>
        </w:rPr>
        <w:t>e)</w:t>
      </w:r>
      <w:r w:rsidRPr="002C400D">
        <w:rPr>
          <w:rFonts w:cs="Calibri"/>
          <w:lang w:eastAsia="zh-CN"/>
        </w:rPr>
        <w:tab/>
      </w:r>
      <w:r>
        <w:rPr>
          <w:rFonts w:cs="Calibri" w:hint="eastAsia"/>
          <w:lang w:eastAsia="zh-CN"/>
        </w:rPr>
        <w:t>对</w:t>
      </w:r>
      <w:r w:rsidRPr="002C400D">
        <w:rPr>
          <w:rFonts w:cs="Calibri" w:hint="eastAsia"/>
          <w:lang w:eastAsia="zh-CN"/>
        </w:rPr>
        <w:t>于</w:t>
      </w:r>
      <w:r w:rsidRPr="002C400D">
        <w:rPr>
          <w:rFonts w:cs="Calibri"/>
          <w:lang w:eastAsia="zh-CN"/>
        </w:rPr>
        <w:t>2004</w:t>
      </w:r>
      <w:r w:rsidRPr="002C400D">
        <w:rPr>
          <w:rFonts w:cs="Calibri" w:hint="eastAsia"/>
          <w:lang w:eastAsia="zh-CN"/>
        </w:rPr>
        <w:t>年</w:t>
      </w:r>
      <w:r w:rsidRPr="002C400D">
        <w:rPr>
          <w:rFonts w:cs="Calibri"/>
          <w:lang w:eastAsia="zh-CN"/>
        </w:rPr>
        <w:t>12</w:t>
      </w:r>
      <w:r w:rsidRPr="002C400D">
        <w:rPr>
          <w:rFonts w:cs="Calibri" w:hint="eastAsia"/>
          <w:lang w:eastAsia="zh-CN"/>
        </w:rPr>
        <w:t>月</w:t>
      </w:r>
      <w:r w:rsidRPr="002C400D">
        <w:rPr>
          <w:rFonts w:cs="Calibri"/>
          <w:lang w:eastAsia="zh-CN"/>
        </w:rPr>
        <w:t>31</w:t>
      </w:r>
      <w:r w:rsidRPr="002C400D">
        <w:rPr>
          <w:rFonts w:cs="Calibri" w:hint="eastAsia"/>
          <w:lang w:eastAsia="zh-CN"/>
        </w:rPr>
        <w:t>日</w:t>
      </w:r>
      <w:r w:rsidRPr="00CF1DC1">
        <w:rPr>
          <w:rFonts w:cs="Calibri" w:hint="eastAsia"/>
          <w:lang w:eastAsia="zh-CN"/>
        </w:rPr>
        <w:t>当日</w:t>
      </w:r>
      <w:r w:rsidRPr="002C400D">
        <w:rPr>
          <w:rFonts w:cs="Calibri" w:hint="eastAsia"/>
          <w:lang w:eastAsia="zh-CN"/>
        </w:rPr>
        <w:t>或之后、但在</w:t>
      </w:r>
      <w:r w:rsidRPr="002C400D">
        <w:rPr>
          <w:rFonts w:cs="Calibri"/>
          <w:lang w:eastAsia="zh-CN"/>
        </w:rPr>
        <w:t>2006</w:t>
      </w:r>
      <w:r w:rsidRPr="002C400D">
        <w:rPr>
          <w:rFonts w:cs="Calibri" w:hint="eastAsia"/>
          <w:lang w:eastAsia="zh-CN"/>
        </w:rPr>
        <w:t>年</w:t>
      </w:r>
      <w:r w:rsidRPr="002C400D">
        <w:rPr>
          <w:rFonts w:cs="Calibri"/>
          <w:lang w:eastAsia="zh-CN"/>
        </w:rPr>
        <w:t>1</w:t>
      </w:r>
      <w:r w:rsidRPr="002C400D">
        <w:rPr>
          <w:rFonts w:cs="Calibri" w:hint="eastAsia"/>
          <w:lang w:eastAsia="zh-CN"/>
        </w:rPr>
        <w:t>月</w:t>
      </w:r>
      <w:r w:rsidRPr="002C400D">
        <w:rPr>
          <w:rFonts w:cs="Calibri"/>
          <w:lang w:eastAsia="zh-CN"/>
        </w:rPr>
        <w:t>1</w:t>
      </w:r>
      <w:r w:rsidRPr="002C400D">
        <w:rPr>
          <w:rFonts w:cs="Calibri" w:hint="eastAsia"/>
          <w:lang w:eastAsia="zh-CN"/>
        </w:rPr>
        <w:t>日之前收到的申报</w:t>
      </w:r>
      <w:r>
        <w:rPr>
          <w:rFonts w:cs="Calibri" w:hint="eastAsia"/>
          <w:lang w:eastAsia="zh-CN"/>
        </w:rPr>
        <w:t>，</w:t>
      </w:r>
      <w:r w:rsidRPr="002C400D">
        <w:rPr>
          <w:rFonts w:cs="Calibri" w:hint="eastAsia"/>
          <w:lang w:eastAsia="zh-CN"/>
        </w:rPr>
        <w:t>第</w:t>
      </w:r>
      <w:r w:rsidRPr="002C400D">
        <w:rPr>
          <w:rFonts w:cs="Calibri"/>
          <w:lang w:eastAsia="zh-CN"/>
        </w:rPr>
        <w:t>482</w:t>
      </w:r>
      <w:r w:rsidRPr="002C400D">
        <w:rPr>
          <w:rFonts w:cs="Calibri" w:hint="eastAsia"/>
          <w:lang w:eastAsia="zh-CN"/>
        </w:rPr>
        <w:t>号决定（理事会</w:t>
      </w:r>
      <w:r w:rsidRPr="002C400D">
        <w:rPr>
          <w:rFonts w:cs="Calibri"/>
          <w:lang w:eastAsia="zh-CN"/>
        </w:rPr>
        <w:t>2004</w:t>
      </w:r>
      <w:r w:rsidRPr="002C400D">
        <w:rPr>
          <w:rFonts w:cs="Calibri" w:hint="eastAsia"/>
          <w:lang w:eastAsia="zh-CN"/>
        </w:rPr>
        <w:t>年会议）适用；按照收到日有效的收费表</w:t>
      </w:r>
      <w:r>
        <w:rPr>
          <w:rFonts w:cs="Calibri" w:hint="eastAsia"/>
          <w:lang w:eastAsia="zh-CN"/>
        </w:rPr>
        <w:t>计</w:t>
      </w:r>
      <w:r w:rsidRPr="002C400D">
        <w:rPr>
          <w:rFonts w:cs="Calibri" w:hint="eastAsia"/>
          <w:lang w:eastAsia="zh-CN"/>
        </w:rPr>
        <w:t>算出的包干收费应在通知</w:t>
      </w:r>
      <w:r>
        <w:rPr>
          <w:rFonts w:cs="Calibri" w:hint="eastAsia"/>
          <w:lang w:eastAsia="zh-CN"/>
        </w:rPr>
        <w:t>收悉</w:t>
      </w:r>
      <w:r w:rsidRPr="002C400D">
        <w:rPr>
          <w:rFonts w:cs="Calibri" w:hint="eastAsia"/>
          <w:lang w:eastAsia="zh-CN"/>
        </w:rPr>
        <w:t>后支付，按照收到日有效的收费表计算出的附加收费（如有的话）</w:t>
      </w:r>
      <w:r>
        <w:rPr>
          <w:rFonts w:cs="Calibri" w:hint="eastAsia"/>
          <w:lang w:eastAsia="zh-CN"/>
        </w:rPr>
        <w:t>，</w:t>
      </w:r>
      <w:r w:rsidRPr="002C400D">
        <w:rPr>
          <w:rFonts w:cs="Calibri" w:hint="eastAsia"/>
          <w:lang w:eastAsia="zh-CN"/>
        </w:rPr>
        <w:t>应在通知公布后支付；</w:t>
      </w:r>
    </w:p>
    <w:p w14:paraId="750FC929" w14:textId="77777777" w:rsidR="00EA33C6" w:rsidRPr="002C400D" w:rsidRDefault="00EA33C6" w:rsidP="00EA33C6">
      <w:pPr>
        <w:pStyle w:val="enumlev1"/>
        <w:rPr>
          <w:rFonts w:cs="Calibri"/>
          <w:lang w:eastAsia="zh-CN"/>
        </w:rPr>
      </w:pPr>
      <w:r w:rsidRPr="002C400D">
        <w:rPr>
          <w:rFonts w:cs="Calibri"/>
          <w:lang w:eastAsia="zh-CN"/>
        </w:rPr>
        <w:t>f)</w:t>
      </w:r>
      <w:r w:rsidRPr="002C400D">
        <w:rPr>
          <w:rFonts w:cs="Calibri"/>
          <w:lang w:eastAsia="zh-CN"/>
        </w:rPr>
        <w:tab/>
      </w:r>
      <w:r>
        <w:rPr>
          <w:rFonts w:cs="Calibri" w:hint="eastAsia"/>
          <w:lang w:eastAsia="zh-CN"/>
        </w:rPr>
        <w:t>对</w:t>
      </w:r>
      <w:r w:rsidRPr="002C400D">
        <w:rPr>
          <w:rFonts w:cs="Calibri" w:hint="eastAsia"/>
          <w:lang w:eastAsia="zh-CN"/>
        </w:rPr>
        <w:t>于</w:t>
      </w:r>
      <w:r w:rsidRPr="002C400D">
        <w:rPr>
          <w:rFonts w:cs="Calibri"/>
          <w:lang w:eastAsia="zh-CN"/>
        </w:rPr>
        <w:t>2006</w:t>
      </w:r>
      <w:r w:rsidRPr="002C400D">
        <w:rPr>
          <w:rFonts w:cs="Calibri" w:hint="eastAsia"/>
          <w:lang w:eastAsia="zh-CN"/>
        </w:rPr>
        <w:t>年</w:t>
      </w:r>
      <w:r w:rsidRPr="002C400D">
        <w:rPr>
          <w:rFonts w:cs="Calibri"/>
          <w:lang w:eastAsia="zh-CN"/>
        </w:rPr>
        <w:t>1</w:t>
      </w:r>
      <w:r w:rsidRPr="002C400D">
        <w:rPr>
          <w:rFonts w:cs="Calibri" w:hint="eastAsia"/>
          <w:lang w:eastAsia="zh-CN"/>
        </w:rPr>
        <w:t>月</w:t>
      </w:r>
      <w:r w:rsidRPr="002C400D">
        <w:rPr>
          <w:rFonts w:cs="Calibri"/>
          <w:lang w:eastAsia="zh-CN"/>
        </w:rPr>
        <w:t>1</w:t>
      </w:r>
      <w:r w:rsidRPr="002C400D">
        <w:rPr>
          <w:rFonts w:cs="Calibri" w:hint="eastAsia"/>
          <w:lang w:eastAsia="zh-CN"/>
        </w:rPr>
        <w:t>日</w:t>
      </w:r>
      <w:r w:rsidRPr="000B099F">
        <w:rPr>
          <w:rFonts w:cs="Calibri" w:hint="eastAsia"/>
          <w:lang w:eastAsia="zh-CN"/>
        </w:rPr>
        <w:t>当日</w:t>
      </w:r>
      <w:r w:rsidRPr="002C400D">
        <w:rPr>
          <w:rFonts w:cs="Calibri" w:hint="eastAsia"/>
          <w:lang w:eastAsia="zh-CN"/>
        </w:rPr>
        <w:t>或之后、但在</w:t>
      </w:r>
      <w:r w:rsidRPr="002C400D">
        <w:rPr>
          <w:rFonts w:cs="Calibri"/>
          <w:lang w:eastAsia="zh-CN"/>
        </w:rPr>
        <w:t>2009</w:t>
      </w:r>
      <w:r w:rsidRPr="002C400D">
        <w:rPr>
          <w:rFonts w:cs="Calibri" w:hint="eastAsia"/>
          <w:lang w:eastAsia="zh-CN"/>
        </w:rPr>
        <w:t>年</w:t>
      </w:r>
      <w:r w:rsidRPr="002C400D">
        <w:rPr>
          <w:rFonts w:cs="Calibri"/>
          <w:lang w:eastAsia="zh-CN"/>
        </w:rPr>
        <w:t>1</w:t>
      </w:r>
      <w:r w:rsidRPr="002C400D">
        <w:rPr>
          <w:rFonts w:cs="Calibri" w:hint="eastAsia"/>
          <w:lang w:eastAsia="zh-CN"/>
        </w:rPr>
        <w:t>月</w:t>
      </w:r>
      <w:r w:rsidRPr="002C400D">
        <w:rPr>
          <w:rFonts w:cs="Calibri"/>
          <w:lang w:eastAsia="zh-CN"/>
        </w:rPr>
        <w:t>1</w:t>
      </w:r>
      <w:r w:rsidRPr="002C400D">
        <w:rPr>
          <w:rFonts w:cs="Calibri" w:hint="eastAsia"/>
          <w:lang w:eastAsia="zh-CN"/>
        </w:rPr>
        <w:t>日之前收到的申报（但</w:t>
      </w:r>
      <w:r w:rsidRPr="002C400D">
        <w:rPr>
          <w:rFonts w:cs="Calibri"/>
          <w:lang w:eastAsia="zh-CN"/>
        </w:rPr>
        <w:t>2007</w:t>
      </w:r>
      <w:r w:rsidRPr="002C400D">
        <w:rPr>
          <w:rFonts w:cs="Calibri" w:hint="eastAsia"/>
          <w:lang w:eastAsia="zh-CN"/>
        </w:rPr>
        <w:t>年</w:t>
      </w:r>
      <w:r w:rsidRPr="002C400D">
        <w:rPr>
          <w:rFonts w:cs="Calibri"/>
          <w:lang w:eastAsia="zh-CN"/>
        </w:rPr>
        <w:t>11</w:t>
      </w:r>
      <w:r w:rsidRPr="002C400D">
        <w:rPr>
          <w:rFonts w:cs="Calibri" w:hint="eastAsia"/>
          <w:lang w:eastAsia="zh-CN"/>
        </w:rPr>
        <w:t>月</w:t>
      </w:r>
      <w:r w:rsidRPr="002C400D">
        <w:rPr>
          <w:rFonts w:cs="Calibri"/>
          <w:lang w:eastAsia="zh-CN"/>
        </w:rPr>
        <w:t>17</w:t>
      </w:r>
      <w:r w:rsidRPr="002C400D">
        <w:rPr>
          <w:rFonts w:cs="Calibri" w:hint="eastAsia"/>
          <w:lang w:eastAsia="zh-CN"/>
        </w:rPr>
        <w:t>日之后根据附录</w:t>
      </w:r>
      <w:r w:rsidRPr="002C400D">
        <w:rPr>
          <w:rFonts w:cs="Calibri"/>
          <w:lang w:eastAsia="zh-CN"/>
        </w:rPr>
        <w:t>30B</w:t>
      </w:r>
      <w:r w:rsidRPr="002C400D">
        <w:rPr>
          <w:rFonts w:cs="Calibri" w:hint="eastAsia"/>
          <w:lang w:eastAsia="zh-CN"/>
        </w:rPr>
        <w:t>收到的申报除外）</w:t>
      </w:r>
      <w:r>
        <w:rPr>
          <w:rFonts w:cs="Calibri" w:hint="eastAsia"/>
          <w:lang w:eastAsia="zh-CN"/>
        </w:rPr>
        <w:t>，</w:t>
      </w:r>
      <w:r w:rsidRPr="002C400D">
        <w:rPr>
          <w:rFonts w:cs="Calibri" w:hint="eastAsia"/>
          <w:lang w:eastAsia="zh-CN"/>
        </w:rPr>
        <w:t>第</w:t>
      </w:r>
      <w:r w:rsidRPr="002C400D">
        <w:rPr>
          <w:rFonts w:cs="Calibri"/>
          <w:lang w:eastAsia="zh-CN"/>
        </w:rPr>
        <w:t>482</w:t>
      </w:r>
      <w:r w:rsidRPr="002C400D">
        <w:rPr>
          <w:rFonts w:cs="Calibri" w:hint="eastAsia"/>
          <w:lang w:eastAsia="zh-CN"/>
        </w:rPr>
        <w:t>号决定（理事会</w:t>
      </w:r>
      <w:r w:rsidRPr="002C400D">
        <w:rPr>
          <w:rFonts w:cs="Calibri"/>
          <w:lang w:eastAsia="zh-CN"/>
        </w:rPr>
        <w:t>2005</w:t>
      </w:r>
      <w:r w:rsidRPr="002C400D">
        <w:rPr>
          <w:rFonts w:cs="Calibri" w:hint="eastAsia"/>
          <w:lang w:eastAsia="zh-CN"/>
        </w:rPr>
        <w:t>年会议）适用；按照收到日有效的收费表计算出的收费应在通知</w:t>
      </w:r>
      <w:r>
        <w:rPr>
          <w:rFonts w:cs="Calibri" w:hint="eastAsia"/>
          <w:lang w:eastAsia="zh-CN"/>
        </w:rPr>
        <w:t>收悉</w:t>
      </w:r>
      <w:r w:rsidRPr="002C400D">
        <w:rPr>
          <w:rFonts w:cs="Calibri" w:hint="eastAsia"/>
          <w:lang w:eastAsia="zh-CN"/>
        </w:rPr>
        <w:t>后支付；</w:t>
      </w:r>
    </w:p>
    <w:p w14:paraId="79A51DBB" w14:textId="77777777" w:rsidR="00EA33C6" w:rsidRPr="002C400D" w:rsidRDefault="00EA33C6" w:rsidP="00EA33C6">
      <w:pPr>
        <w:pStyle w:val="enumlev1"/>
        <w:rPr>
          <w:rFonts w:cs="Calibri"/>
          <w:lang w:eastAsia="zh-CN"/>
        </w:rPr>
      </w:pPr>
      <w:r w:rsidRPr="002C400D">
        <w:rPr>
          <w:rFonts w:cs="Calibri"/>
          <w:lang w:eastAsia="zh-CN"/>
        </w:rPr>
        <w:t>g)</w:t>
      </w:r>
      <w:r w:rsidRPr="002C400D">
        <w:rPr>
          <w:rFonts w:cs="Calibri"/>
          <w:lang w:eastAsia="zh-CN"/>
        </w:rPr>
        <w:tab/>
      </w:r>
      <w:r>
        <w:rPr>
          <w:rFonts w:cs="Calibri" w:hint="eastAsia"/>
          <w:lang w:eastAsia="zh-CN"/>
        </w:rPr>
        <w:t>对</w:t>
      </w:r>
      <w:r w:rsidRPr="002C400D">
        <w:rPr>
          <w:rFonts w:cs="Calibri" w:hint="eastAsia"/>
          <w:lang w:eastAsia="zh-CN"/>
        </w:rPr>
        <w:t>于</w:t>
      </w:r>
      <w:r w:rsidRPr="002C400D">
        <w:rPr>
          <w:rFonts w:cs="Calibri"/>
          <w:lang w:eastAsia="zh-CN"/>
        </w:rPr>
        <w:t>2009</w:t>
      </w:r>
      <w:r w:rsidRPr="002C400D">
        <w:rPr>
          <w:rFonts w:cs="Calibri" w:hint="eastAsia"/>
          <w:lang w:eastAsia="zh-CN"/>
        </w:rPr>
        <w:t>年</w:t>
      </w:r>
      <w:r w:rsidRPr="002C400D">
        <w:rPr>
          <w:rFonts w:cs="Calibri"/>
          <w:lang w:eastAsia="zh-CN"/>
        </w:rPr>
        <w:t>1</w:t>
      </w:r>
      <w:r w:rsidRPr="002C400D">
        <w:rPr>
          <w:rFonts w:cs="Calibri" w:hint="eastAsia"/>
          <w:lang w:eastAsia="zh-CN"/>
        </w:rPr>
        <w:t>月</w:t>
      </w:r>
      <w:r w:rsidRPr="002C400D">
        <w:rPr>
          <w:rFonts w:cs="Calibri"/>
          <w:lang w:eastAsia="zh-CN"/>
        </w:rPr>
        <w:t>1</w:t>
      </w:r>
      <w:r w:rsidRPr="002C400D">
        <w:rPr>
          <w:rFonts w:cs="Calibri" w:hint="eastAsia"/>
          <w:lang w:eastAsia="zh-CN"/>
        </w:rPr>
        <w:t>日</w:t>
      </w:r>
      <w:r w:rsidRPr="000B099F">
        <w:rPr>
          <w:rFonts w:cs="Calibri" w:hint="eastAsia"/>
          <w:lang w:eastAsia="zh-CN"/>
        </w:rPr>
        <w:t>当日</w:t>
      </w:r>
      <w:r w:rsidRPr="002C400D">
        <w:rPr>
          <w:rFonts w:cs="Calibri" w:hint="eastAsia"/>
          <w:lang w:eastAsia="zh-CN"/>
        </w:rPr>
        <w:t>或之后收到的申报，包括自</w:t>
      </w:r>
      <w:r w:rsidRPr="002C400D">
        <w:rPr>
          <w:rFonts w:cs="Calibri"/>
          <w:lang w:eastAsia="zh-CN"/>
        </w:rPr>
        <w:t>2007</w:t>
      </w:r>
      <w:r w:rsidRPr="002C400D">
        <w:rPr>
          <w:rFonts w:cs="Calibri" w:hint="eastAsia"/>
          <w:lang w:eastAsia="zh-CN"/>
        </w:rPr>
        <w:t>年</w:t>
      </w:r>
      <w:r w:rsidRPr="002C400D">
        <w:rPr>
          <w:rFonts w:cs="Calibri"/>
          <w:lang w:eastAsia="zh-CN"/>
        </w:rPr>
        <w:t>11</w:t>
      </w:r>
      <w:r w:rsidRPr="002C400D">
        <w:rPr>
          <w:rFonts w:cs="Calibri" w:hint="eastAsia"/>
          <w:lang w:eastAsia="zh-CN"/>
        </w:rPr>
        <w:t>月</w:t>
      </w:r>
      <w:r w:rsidRPr="002C400D">
        <w:rPr>
          <w:rFonts w:cs="Calibri"/>
          <w:lang w:eastAsia="zh-CN"/>
        </w:rPr>
        <w:t>17</w:t>
      </w:r>
      <w:r w:rsidRPr="002C400D">
        <w:rPr>
          <w:rFonts w:cs="Calibri" w:hint="eastAsia"/>
          <w:lang w:eastAsia="zh-CN"/>
        </w:rPr>
        <w:t>日之后、但在</w:t>
      </w:r>
      <w:r w:rsidRPr="002C400D">
        <w:rPr>
          <w:rFonts w:cs="Calibri" w:hint="eastAsia"/>
          <w:lang w:eastAsia="zh-CN"/>
        </w:rPr>
        <w:t>2012</w:t>
      </w:r>
      <w:r w:rsidRPr="002C400D">
        <w:rPr>
          <w:rFonts w:cs="Calibri" w:hint="eastAsia"/>
          <w:lang w:eastAsia="zh-CN"/>
        </w:rPr>
        <w:t>年</w:t>
      </w:r>
      <w:r w:rsidRPr="002C400D">
        <w:rPr>
          <w:rFonts w:cs="Calibri" w:hint="eastAsia"/>
          <w:lang w:eastAsia="zh-CN"/>
        </w:rPr>
        <w:t>7</w:t>
      </w:r>
      <w:r w:rsidRPr="002C400D">
        <w:rPr>
          <w:rFonts w:cs="Calibri" w:hint="eastAsia"/>
          <w:lang w:eastAsia="zh-CN"/>
        </w:rPr>
        <w:t>月</w:t>
      </w:r>
      <w:r w:rsidRPr="002C400D">
        <w:rPr>
          <w:rFonts w:cs="Calibri" w:hint="eastAsia"/>
          <w:lang w:eastAsia="zh-CN"/>
        </w:rPr>
        <w:t>14</w:t>
      </w:r>
      <w:r w:rsidRPr="002C400D">
        <w:rPr>
          <w:rFonts w:cs="Calibri" w:hint="eastAsia"/>
          <w:lang w:eastAsia="zh-CN"/>
        </w:rPr>
        <w:t>日之前根据附录</w:t>
      </w:r>
      <w:r w:rsidRPr="002C400D">
        <w:rPr>
          <w:rFonts w:cs="Calibri"/>
          <w:lang w:eastAsia="zh-CN"/>
        </w:rPr>
        <w:t>30B</w:t>
      </w:r>
      <w:r w:rsidRPr="002C400D">
        <w:rPr>
          <w:rFonts w:cs="Calibri" w:hint="eastAsia"/>
          <w:lang w:eastAsia="zh-CN"/>
        </w:rPr>
        <w:t>收到的申报</w:t>
      </w:r>
      <w:r>
        <w:rPr>
          <w:rFonts w:cs="Calibri" w:hint="eastAsia"/>
          <w:lang w:eastAsia="zh-CN"/>
        </w:rPr>
        <w:t>，</w:t>
      </w:r>
      <w:r w:rsidRPr="002C400D">
        <w:rPr>
          <w:rFonts w:cs="Calibri" w:hint="eastAsia"/>
          <w:lang w:eastAsia="zh-CN"/>
        </w:rPr>
        <w:t>第</w:t>
      </w:r>
      <w:r w:rsidRPr="002C400D">
        <w:rPr>
          <w:rFonts w:cs="Calibri"/>
          <w:lang w:eastAsia="zh-CN"/>
        </w:rPr>
        <w:t>482</w:t>
      </w:r>
      <w:r w:rsidRPr="002C400D">
        <w:rPr>
          <w:rFonts w:cs="Calibri" w:hint="eastAsia"/>
          <w:lang w:eastAsia="zh-CN"/>
        </w:rPr>
        <w:t>号决定（</w:t>
      </w:r>
      <w:bookmarkStart w:id="184" w:name="_Hlk47029920"/>
      <w:r w:rsidRPr="002C400D">
        <w:rPr>
          <w:rFonts w:cs="Calibri" w:hint="eastAsia"/>
          <w:lang w:eastAsia="zh-CN"/>
        </w:rPr>
        <w:t>理事会</w:t>
      </w:r>
      <w:r w:rsidRPr="002C400D">
        <w:rPr>
          <w:rFonts w:cs="Calibri"/>
          <w:lang w:eastAsia="zh-CN"/>
        </w:rPr>
        <w:t>2008</w:t>
      </w:r>
      <w:r w:rsidRPr="002C400D">
        <w:rPr>
          <w:rFonts w:cs="Calibri" w:hint="eastAsia"/>
          <w:lang w:eastAsia="zh-CN"/>
        </w:rPr>
        <w:t>年会议</w:t>
      </w:r>
      <w:bookmarkEnd w:id="184"/>
      <w:r w:rsidRPr="002C400D">
        <w:rPr>
          <w:rFonts w:cs="Calibri" w:hint="eastAsia"/>
          <w:lang w:eastAsia="zh-CN"/>
        </w:rPr>
        <w:t>）适用；根据收到日有效的收费表计算的费用应在通知</w:t>
      </w:r>
      <w:r>
        <w:rPr>
          <w:rFonts w:cs="Calibri" w:hint="eastAsia"/>
          <w:lang w:eastAsia="zh-CN"/>
        </w:rPr>
        <w:t>收悉</w:t>
      </w:r>
      <w:r w:rsidRPr="002C400D">
        <w:rPr>
          <w:rFonts w:cs="Calibri" w:hint="eastAsia"/>
          <w:lang w:eastAsia="zh-CN"/>
        </w:rPr>
        <w:t>后支付；</w:t>
      </w:r>
    </w:p>
    <w:p w14:paraId="4E72883E" w14:textId="77777777" w:rsidR="00EA33C6" w:rsidRPr="002C400D" w:rsidRDefault="00EA33C6" w:rsidP="00EA33C6">
      <w:pPr>
        <w:pStyle w:val="enumlev1"/>
        <w:rPr>
          <w:rFonts w:cs="Calibri"/>
          <w:szCs w:val="24"/>
          <w:lang w:eastAsia="zh-CN"/>
        </w:rPr>
      </w:pPr>
      <w:r w:rsidRPr="002C400D">
        <w:rPr>
          <w:rFonts w:cs="Calibri" w:hint="eastAsia"/>
          <w:lang w:eastAsia="zh-CN"/>
        </w:rPr>
        <w:t>h)</w:t>
      </w:r>
      <w:r w:rsidRPr="002C400D">
        <w:rPr>
          <w:rFonts w:cs="Calibri" w:hint="eastAsia"/>
          <w:lang w:eastAsia="zh-CN"/>
        </w:rPr>
        <w:tab/>
      </w:r>
      <w:r>
        <w:rPr>
          <w:rFonts w:cs="Calibri" w:hint="eastAsia"/>
          <w:szCs w:val="24"/>
          <w:lang w:eastAsia="zh-CN"/>
        </w:rPr>
        <w:t>对</w:t>
      </w:r>
      <w:r w:rsidRPr="002C400D">
        <w:rPr>
          <w:rFonts w:cs="Calibri" w:hint="eastAsia"/>
          <w:szCs w:val="24"/>
          <w:lang w:eastAsia="zh-CN"/>
        </w:rPr>
        <w:t>于</w:t>
      </w:r>
      <w:r w:rsidRPr="002C400D">
        <w:rPr>
          <w:rFonts w:cs="Calibri"/>
          <w:szCs w:val="24"/>
          <w:lang w:eastAsia="zh-CN"/>
        </w:rPr>
        <w:t>2012</w:t>
      </w:r>
      <w:r w:rsidRPr="002C400D">
        <w:rPr>
          <w:rFonts w:cs="Calibri"/>
          <w:szCs w:val="24"/>
          <w:lang w:eastAsia="zh-CN"/>
        </w:rPr>
        <w:t>年</w:t>
      </w:r>
      <w:r w:rsidRPr="002C400D">
        <w:rPr>
          <w:rFonts w:cs="Calibri"/>
          <w:szCs w:val="24"/>
          <w:lang w:eastAsia="zh-CN"/>
        </w:rPr>
        <w:t>7</w:t>
      </w:r>
      <w:r w:rsidRPr="002C400D">
        <w:rPr>
          <w:rFonts w:cs="Calibri"/>
          <w:szCs w:val="24"/>
          <w:lang w:eastAsia="zh-CN"/>
        </w:rPr>
        <w:t>月</w:t>
      </w:r>
      <w:r w:rsidRPr="002C400D">
        <w:rPr>
          <w:rFonts w:cs="Calibri"/>
          <w:szCs w:val="24"/>
          <w:lang w:eastAsia="zh-CN"/>
        </w:rPr>
        <w:t>14</w:t>
      </w:r>
      <w:r w:rsidRPr="002C400D">
        <w:rPr>
          <w:rFonts w:cs="Calibri"/>
          <w:szCs w:val="24"/>
          <w:lang w:eastAsia="zh-CN"/>
        </w:rPr>
        <w:t>日当日</w:t>
      </w:r>
      <w:r w:rsidRPr="002C400D">
        <w:rPr>
          <w:rFonts w:cs="Calibri" w:hint="eastAsia"/>
          <w:szCs w:val="24"/>
          <w:lang w:eastAsia="zh-CN"/>
        </w:rPr>
        <w:t>或</w:t>
      </w:r>
      <w:r w:rsidRPr="002C400D">
        <w:rPr>
          <w:rFonts w:cs="Calibri"/>
          <w:szCs w:val="24"/>
          <w:lang w:eastAsia="zh-CN"/>
        </w:rPr>
        <w:t>之后、但在</w:t>
      </w:r>
      <w:r w:rsidRPr="002C400D">
        <w:rPr>
          <w:rFonts w:cs="Calibri"/>
          <w:szCs w:val="24"/>
          <w:lang w:eastAsia="zh-CN"/>
        </w:rPr>
        <w:t>201</w:t>
      </w:r>
      <w:r w:rsidRPr="002C400D">
        <w:rPr>
          <w:rFonts w:cs="Calibri" w:hint="eastAsia"/>
          <w:szCs w:val="24"/>
          <w:lang w:eastAsia="zh-CN"/>
        </w:rPr>
        <w:t>3</w:t>
      </w:r>
      <w:r w:rsidRPr="002C400D">
        <w:rPr>
          <w:rFonts w:cs="Calibri" w:hint="eastAsia"/>
          <w:szCs w:val="24"/>
          <w:lang w:eastAsia="zh-CN"/>
        </w:rPr>
        <w:t>年</w:t>
      </w:r>
      <w:r w:rsidRPr="002C400D">
        <w:rPr>
          <w:rFonts w:cs="Calibri"/>
          <w:szCs w:val="24"/>
          <w:lang w:eastAsia="zh-CN"/>
        </w:rPr>
        <w:t>7</w:t>
      </w:r>
      <w:r w:rsidRPr="002C400D">
        <w:rPr>
          <w:rFonts w:cs="Calibri" w:hint="eastAsia"/>
          <w:szCs w:val="24"/>
          <w:lang w:eastAsia="zh-CN"/>
        </w:rPr>
        <w:t>月</w:t>
      </w:r>
      <w:r w:rsidRPr="002C400D">
        <w:rPr>
          <w:rFonts w:cs="Calibri"/>
          <w:szCs w:val="24"/>
          <w:lang w:eastAsia="zh-CN"/>
        </w:rPr>
        <w:t>1</w:t>
      </w:r>
      <w:r w:rsidRPr="002C400D">
        <w:rPr>
          <w:rFonts w:cs="Calibri" w:hint="eastAsia"/>
          <w:szCs w:val="24"/>
          <w:lang w:eastAsia="zh-CN"/>
        </w:rPr>
        <w:t>日之前</w:t>
      </w:r>
      <w:r w:rsidRPr="002C400D">
        <w:rPr>
          <w:rFonts w:cs="Calibri"/>
          <w:szCs w:val="24"/>
          <w:lang w:eastAsia="zh-CN"/>
        </w:rPr>
        <w:t>收到的申报资料</w:t>
      </w:r>
      <w:r>
        <w:rPr>
          <w:rFonts w:cs="Calibri" w:hint="eastAsia"/>
          <w:szCs w:val="24"/>
          <w:lang w:eastAsia="zh-CN"/>
        </w:rPr>
        <w:t>，</w:t>
      </w:r>
      <w:r w:rsidRPr="002C400D">
        <w:rPr>
          <w:rFonts w:cs="Calibri"/>
          <w:szCs w:val="24"/>
          <w:lang w:eastAsia="zh-CN"/>
        </w:rPr>
        <w:t>第</w:t>
      </w:r>
      <w:r w:rsidRPr="002C400D">
        <w:rPr>
          <w:rFonts w:cs="Calibri"/>
          <w:szCs w:val="24"/>
          <w:lang w:eastAsia="zh-CN"/>
        </w:rPr>
        <w:t>482</w:t>
      </w:r>
      <w:r w:rsidRPr="002C400D">
        <w:rPr>
          <w:rFonts w:cs="Calibri"/>
          <w:szCs w:val="24"/>
          <w:lang w:eastAsia="zh-CN"/>
        </w:rPr>
        <w:t>号决定</w:t>
      </w:r>
      <w:r w:rsidRPr="002C400D">
        <w:rPr>
          <w:rFonts w:cs="Calibri" w:hint="eastAsia"/>
          <w:szCs w:val="24"/>
          <w:lang w:eastAsia="zh-CN"/>
        </w:rPr>
        <w:t>（</w:t>
      </w:r>
      <w:r w:rsidRPr="000B099F">
        <w:rPr>
          <w:rFonts w:cs="Calibri" w:hint="eastAsia"/>
          <w:szCs w:val="24"/>
          <w:lang w:eastAsia="zh-CN"/>
        </w:rPr>
        <w:t>理事会</w:t>
      </w:r>
      <w:r w:rsidRPr="000B099F">
        <w:rPr>
          <w:rFonts w:cs="Calibri" w:hint="eastAsia"/>
          <w:szCs w:val="24"/>
          <w:lang w:eastAsia="zh-CN"/>
        </w:rPr>
        <w:t>20</w:t>
      </w:r>
      <w:r w:rsidRPr="002C400D">
        <w:rPr>
          <w:rFonts w:cs="Calibri"/>
          <w:szCs w:val="24"/>
          <w:lang w:eastAsia="zh-CN"/>
        </w:rPr>
        <w:t>12</w:t>
      </w:r>
      <w:r w:rsidRPr="000B099F">
        <w:rPr>
          <w:rFonts w:cs="Calibri" w:hint="eastAsia"/>
          <w:szCs w:val="24"/>
          <w:lang w:eastAsia="zh-CN"/>
        </w:rPr>
        <w:t>年会议</w:t>
      </w:r>
      <w:r w:rsidRPr="002C400D">
        <w:rPr>
          <w:rFonts w:cs="Calibri" w:hint="eastAsia"/>
          <w:szCs w:val="24"/>
          <w:lang w:eastAsia="zh-CN"/>
        </w:rPr>
        <w:t>）</w:t>
      </w:r>
      <w:r w:rsidRPr="002C400D">
        <w:rPr>
          <w:rFonts w:cs="Calibri"/>
          <w:szCs w:val="24"/>
          <w:lang w:eastAsia="zh-CN"/>
        </w:rPr>
        <w:t>适用；根据收到日</w:t>
      </w:r>
      <w:r>
        <w:rPr>
          <w:rFonts w:cs="Calibri" w:hint="eastAsia"/>
          <w:szCs w:val="24"/>
          <w:lang w:eastAsia="zh-CN"/>
        </w:rPr>
        <w:t>有</w:t>
      </w:r>
      <w:r w:rsidRPr="002C400D">
        <w:rPr>
          <w:rFonts w:cs="Calibri"/>
          <w:szCs w:val="24"/>
          <w:lang w:eastAsia="zh-CN"/>
        </w:rPr>
        <w:t>效的收费表计算的费</w:t>
      </w:r>
      <w:r>
        <w:rPr>
          <w:rFonts w:cs="Calibri" w:hint="eastAsia"/>
          <w:szCs w:val="24"/>
          <w:lang w:eastAsia="zh-CN"/>
        </w:rPr>
        <w:t>用应</w:t>
      </w:r>
      <w:r w:rsidRPr="002C400D">
        <w:rPr>
          <w:rFonts w:cs="Calibri"/>
          <w:szCs w:val="24"/>
          <w:lang w:eastAsia="zh-CN"/>
        </w:rPr>
        <w:t>在通知</w:t>
      </w:r>
      <w:r>
        <w:rPr>
          <w:rFonts w:cs="Calibri" w:hint="eastAsia"/>
          <w:szCs w:val="24"/>
          <w:lang w:eastAsia="zh-CN"/>
        </w:rPr>
        <w:t>收悉</w:t>
      </w:r>
      <w:r w:rsidRPr="002C400D">
        <w:rPr>
          <w:rFonts w:cs="Calibri"/>
          <w:szCs w:val="24"/>
          <w:lang w:eastAsia="zh-CN"/>
        </w:rPr>
        <w:t>后支付；</w:t>
      </w:r>
    </w:p>
    <w:p w14:paraId="4827AAD6" w14:textId="1AE18F5D" w:rsidR="00312A82" w:rsidRPr="002C400D" w:rsidRDefault="00EA33C6" w:rsidP="00EA33C6">
      <w:pPr>
        <w:pStyle w:val="enumlev1"/>
        <w:rPr>
          <w:rFonts w:cs="Calibri"/>
          <w:lang w:eastAsia="zh-CN"/>
        </w:rPr>
      </w:pPr>
      <w:r w:rsidRPr="002C400D">
        <w:rPr>
          <w:rFonts w:cs="Calibri"/>
          <w:szCs w:val="24"/>
          <w:lang w:eastAsia="zh-CN"/>
        </w:rPr>
        <w:t>i</w:t>
      </w:r>
      <w:r w:rsidRPr="002C400D">
        <w:rPr>
          <w:rFonts w:cs="Calibri" w:hint="eastAsia"/>
          <w:szCs w:val="24"/>
          <w:lang w:eastAsia="zh-CN"/>
        </w:rPr>
        <w:t>)</w:t>
      </w:r>
      <w:r w:rsidRPr="002C400D">
        <w:rPr>
          <w:rFonts w:cs="Calibri" w:hint="eastAsia"/>
          <w:szCs w:val="24"/>
          <w:lang w:eastAsia="zh-CN"/>
        </w:rPr>
        <w:tab/>
      </w:r>
      <w:r>
        <w:rPr>
          <w:rFonts w:cs="Calibri" w:hint="eastAsia"/>
          <w:szCs w:val="24"/>
          <w:lang w:eastAsia="zh-CN"/>
        </w:rPr>
        <w:t>对</w:t>
      </w:r>
      <w:r w:rsidRPr="002C400D">
        <w:rPr>
          <w:rFonts w:cs="Calibri" w:hint="eastAsia"/>
          <w:szCs w:val="24"/>
          <w:lang w:eastAsia="zh-CN"/>
        </w:rPr>
        <w:t>于</w:t>
      </w:r>
      <w:r w:rsidRPr="002C400D">
        <w:rPr>
          <w:rFonts w:cs="Calibri"/>
          <w:szCs w:val="24"/>
          <w:lang w:eastAsia="zh-CN"/>
        </w:rPr>
        <w:t>2013</w:t>
      </w:r>
      <w:r w:rsidRPr="002C400D">
        <w:rPr>
          <w:rFonts w:cs="Calibri" w:hint="eastAsia"/>
          <w:szCs w:val="24"/>
          <w:lang w:eastAsia="zh-CN"/>
        </w:rPr>
        <w:t>年</w:t>
      </w:r>
      <w:r w:rsidRPr="002C400D">
        <w:rPr>
          <w:rFonts w:cs="Calibri"/>
          <w:szCs w:val="24"/>
          <w:lang w:eastAsia="zh-CN"/>
        </w:rPr>
        <w:t>7</w:t>
      </w:r>
      <w:r w:rsidRPr="002C400D">
        <w:rPr>
          <w:rFonts w:cs="Calibri" w:hint="eastAsia"/>
          <w:szCs w:val="24"/>
          <w:lang w:eastAsia="zh-CN"/>
        </w:rPr>
        <w:t>月</w:t>
      </w:r>
      <w:r w:rsidRPr="002C400D">
        <w:rPr>
          <w:rFonts w:cs="Calibri"/>
          <w:szCs w:val="24"/>
          <w:lang w:eastAsia="zh-CN"/>
        </w:rPr>
        <w:t>1</w:t>
      </w:r>
      <w:r w:rsidRPr="002C400D">
        <w:rPr>
          <w:rFonts w:cs="Calibri" w:hint="eastAsia"/>
          <w:szCs w:val="24"/>
          <w:lang w:eastAsia="zh-CN"/>
        </w:rPr>
        <w:t>日</w:t>
      </w:r>
      <w:r>
        <w:rPr>
          <w:rFonts w:cs="Calibri" w:hint="eastAsia"/>
          <w:szCs w:val="24"/>
          <w:lang w:eastAsia="zh-CN"/>
        </w:rPr>
        <w:t>当日或</w:t>
      </w:r>
      <w:r w:rsidRPr="002C400D">
        <w:rPr>
          <w:rFonts w:cs="Calibri" w:hint="eastAsia"/>
          <w:szCs w:val="24"/>
          <w:lang w:eastAsia="zh-CN"/>
        </w:rPr>
        <w:t>之后收到的申报资料</w:t>
      </w:r>
      <w:r>
        <w:rPr>
          <w:rFonts w:cs="Calibri" w:hint="eastAsia"/>
          <w:szCs w:val="24"/>
          <w:lang w:eastAsia="zh-CN"/>
        </w:rPr>
        <w:t>，</w:t>
      </w:r>
      <w:r w:rsidRPr="002C400D">
        <w:rPr>
          <w:rFonts w:cs="Calibri" w:hint="eastAsia"/>
          <w:szCs w:val="24"/>
          <w:lang w:eastAsia="zh-CN"/>
        </w:rPr>
        <w:t>第</w:t>
      </w:r>
      <w:r w:rsidRPr="002C400D">
        <w:rPr>
          <w:rFonts w:cs="Calibri"/>
          <w:szCs w:val="24"/>
          <w:lang w:eastAsia="zh-CN"/>
        </w:rPr>
        <w:t>482</w:t>
      </w:r>
      <w:r w:rsidRPr="002C400D">
        <w:rPr>
          <w:rFonts w:cs="Calibri" w:hint="eastAsia"/>
          <w:szCs w:val="24"/>
          <w:lang w:eastAsia="zh-CN"/>
        </w:rPr>
        <w:t>号决定（</w:t>
      </w:r>
      <w:r w:rsidRPr="00EC6381">
        <w:rPr>
          <w:rFonts w:cs="Calibri" w:hint="eastAsia"/>
          <w:szCs w:val="24"/>
          <w:lang w:eastAsia="zh-CN"/>
        </w:rPr>
        <w:t>理事会</w:t>
      </w:r>
      <w:r w:rsidRPr="00EC6381">
        <w:rPr>
          <w:rFonts w:cs="Calibri" w:hint="eastAsia"/>
          <w:szCs w:val="24"/>
          <w:lang w:eastAsia="zh-CN"/>
        </w:rPr>
        <w:t>20</w:t>
      </w:r>
      <w:r w:rsidRPr="002C400D">
        <w:rPr>
          <w:rFonts w:cs="Calibri" w:hint="eastAsia"/>
          <w:szCs w:val="24"/>
          <w:lang w:eastAsia="zh-CN"/>
        </w:rPr>
        <w:t>13</w:t>
      </w:r>
      <w:r w:rsidRPr="00EC6381">
        <w:rPr>
          <w:rFonts w:cs="Calibri" w:hint="eastAsia"/>
          <w:szCs w:val="24"/>
          <w:lang w:eastAsia="zh-CN"/>
        </w:rPr>
        <w:t>年会议</w:t>
      </w:r>
      <w:r w:rsidRPr="002C400D">
        <w:rPr>
          <w:rFonts w:cs="Calibri" w:hint="eastAsia"/>
          <w:szCs w:val="24"/>
          <w:lang w:eastAsia="zh-CN"/>
        </w:rPr>
        <w:t>）适用；根据收到日</w:t>
      </w:r>
      <w:r>
        <w:rPr>
          <w:rFonts w:cs="Calibri" w:hint="eastAsia"/>
          <w:szCs w:val="24"/>
          <w:lang w:eastAsia="zh-CN"/>
        </w:rPr>
        <w:t>有</w:t>
      </w:r>
      <w:r w:rsidRPr="002C400D">
        <w:rPr>
          <w:rFonts w:cs="Calibri" w:hint="eastAsia"/>
          <w:szCs w:val="24"/>
          <w:lang w:eastAsia="zh-CN"/>
        </w:rPr>
        <w:t>效的收费表计算的收费</w:t>
      </w:r>
      <w:r>
        <w:rPr>
          <w:rFonts w:cs="Calibri" w:hint="eastAsia"/>
          <w:szCs w:val="24"/>
          <w:lang w:eastAsia="zh-CN"/>
        </w:rPr>
        <w:t>应</w:t>
      </w:r>
      <w:r w:rsidRPr="002C400D">
        <w:rPr>
          <w:rFonts w:cs="Calibri" w:hint="eastAsia"/>
          <w:szCs w:val="24"/>
          <w:lang w:eastAsia="zh-CN"/>
        </w:rPr>
        <w:t>在通知</w:t>
      </w:r>
      <w:r>
        <w:rPr>
          <w:rFonts w:cs="Calibri" w:hint="eastAsia"/>
          <w:szCs w:val="24"/>
          <w:lang w:eastAsia="zh-CN"/>
        </w:rPr>
        <w:t>收悉</w:t>
      </w:r>
      <w:r w:rsidRPr="002C400D">
        <w:rPr>
          <w:rFonts w:cs="Calibri" w:hint="eastAsia"/>
          <w:szCs w:val="24"/>
          <w:lang w:eastAsia="zh-CN"/>
        </w:rPr>
        <w:t>后支付；</w:t>
      </w:r>
    </w:p>
    <w:p w14:paraId="4827AAD7" w14:textId="77777777" w:rsidR="00312A82" w:rsidRDefault="00312A82">
      <w:pPr>
        <w:tabs>
          <w:tab w:val="clear" w:pos="794"/>
          <w:tab w:val="clear" w:pos="1191"/>
          <w:tab w:val="clear" w:pos="1588"/>
          <w:tab w:val="clear" w:pos="1985"/>
        </w:tabs>
        <w:overflowPunct/>
        <w:autoSpaceDE/>
        <w:autoSpaceDN/>
        <w:adjustRightInd/>
        <w:spacing w:before="0"/>
        <w:jc w:val="left"/>
        <w:textAlignment w:val="auto"/>
        <w:rPr>
          <w:rFonts w:eastAsiaTheme="minorEastAsia" w:cs="Calibri"/>
          <w:szCs w:val="24"/>
          <w:lang w:val="en-US" w:eastAsia="zh-CN"/>
        </w:rPr>
      </w:pPr>
      <w:r>
        <w:rPr>
          <w:rFonts w:eastAsiaTheme="minorEastAsia" w:cs="Calibri"/>
          <w:szCs w:val="24"/>
          <w:lang w:val="en-US" w:eastAsia="zh-CN"/>
        </w:rPr>
        <w:br w:type="page"/>
      </w:r>
    </w:p>
    <w:p w14:paraId="55A01476" w14:textId="77777777" w:rsidR="00EA33C6" w:rsidRPr="002C400D" w:rsidRDefault="00EA33C6" w:rsidP="00EA33C6">
      <w:pPr>
        <w:snapToGrid w:val="0"/>
        <w:ind w:left="851" w:hanging="851"/>
        <w:rPr>
          <w:rFonts w:cs="Calibri"/>
          <w:szCs w:val="24"/>
          <w:lang w:eastAsia="zh-CN"/>
        </w:rPr>
      </w:pPr>
      <w:r w:rsidRPr="002C400D">
        <w:rPr>
          <w:rFonts w:eastAsiaTheme="minorEastAsia" w:cs="Calibri"/>
          <w:szCs w:val="24"/>
          <w:lang w:val="en-US" w:eastAsia="zh-CN"/>
        </w:rPr>
        <w:lastRenderedPageBreak/>
        <w:t>j)</w:t>
      </w:r>
      <w:r w:rsidRPr="002C400D">
        <w:rPr>
          <w:rFonts w:eastAsiaTheme="minorEastAsia" w:cs="Calibri"/>
          <w:szCs w:val="24"/>
          <w:lang w:val="en-US" w:eastAsia="zh-CN"/>
        </w:rPr>
        <w:tab/>
      </w:r>
      <w:r w:rsidRPr="002C400D">
        <w:rPr>
          <w:rFonts w:cs="Calibri" w:hint="eastAsia"/>
          <w:szCs w:val="24"/>
          <w:lang w:eastAsia="zh-CN"/>
        </w:rPr>
        <w:t>对于在</w:t>
      </w:r>
      <w:r w:rsidRPr="002C400D">
        <w:rPr>
          <w:rFonts w:cs="Calibri"/>
          <w:szCs w:val="24"/>
          <w:lang w:eastAsia="zh-CN"/>
        </w:rPr>
        <w:t>2017</w:t>
      </w:r>
      <w:r w:rsidRPr="002C400D">
        <w:rPr>
          <w:rFonts w:cs="Calibri" w:hint="eastAsia"/>
          <w:szCs w:val="24"/>
          <w:lang w:eastAsia="zh-CN"/>
        </w:rPr>
        <w:t>年</w:t>
      </w:r>
      <w:r w:rsidRPr="002C400D">
        <w:rPr>
          <w:rFonts w:cs="Calibri"/>
          <w:szCs w:val="24"/>
          <w:lang w:eastAsia="zh-CN"/>
        </w:rPr>
        <w:t>7</w:t>
      </w:r>
      <w:r w:rsidRPr="002C400D">
        <w:rPr>
          <w:rFonts w:cs="Calibri" w:hint="eastAsia"/>
          <w:szCs w:val="24"/>
          <w:lang w:eastAsia="zh-CN"/>
        </w:rPr>
        <w:t>月</w:t>
      </w:r>
      <w:r w:rsidRPr="002C400D">
        <w:rPr>
          <w:rFonts w:cs="Calibri"/>
          <w:szCs w:val="24"/>
          <w:lang w:eastAsia="zh-CN"/>
        </w:rPr>
        <w:t>1</w:t>
      </w:r>
      <w:r w:rsidRPr="002C400D">
        <w:rPr>
          <w:rFonts w:cs="Calibri" w:hint="eastAsia"/>
          <w:szCs w:val="24"/>
          <w:lang w:eastAsia="zh-CN"/>
        </w:rPr>
        <w:t>日当日或之后收到的申报资料，第</w:t>
      </w:r>
      <w:r w:rsidRPr="002C400D">
        <w:rPr>
          <w:rFonts w:cs="Calibri"/>
          <w:szCs w:val="24"/>
          <w:lang w:eastAsia="zh-CN"/>
        </w:rPr>
        <w:t>482</w:t>
      </w:r>
      <w:r w:rsidRPr="002C400D">
        <w:rPr>
          <w:rFonts w:cs="Calibri" w:hint="eastAsia"/>
          <w:szCs w:val="24"/>
          <w:lang w:eastAsia="zh-CN"/>
        </w:rPr>
        <w:t>号决定（</w:t>
      </w:r>
      <w:r w:rsidRPr="00EA4A9F">
        <w:rPr>
          <w:rFonts w:cs="Calibri" w:hint="eastAsia"/>
          <w:szCs w:val="24"/>
          <w:lang w:eastAsia="zh-CN"/>
        </w:rPr>
        <w:t>理事会</w:t>
      </w:r>
      <w:r w:rsidRPr="00EA4A9F">
        <w:rPr>
          <w:rFonts w:cs="Calibri" w:hint="eastAsia"/>
          <w:szCs w:val="24"/>
          <w:lang w:eastAsia="zh-CN"/>
        </w:rPr>
        <w:t>20</w:t>
      </w:r>
      <w:r w:rsidRPr="002C400D">
        <w:rPr>
          <w:rFonts w:cs="Calibri" w:hint="eastAsia"/>
          <w:szCs w:val="24"/>
          <w:lang w:eastAsia="zh-CN"/>
        </w:rPr>
        <w:t>1</w:t>
      </w:r>
      <w:r w:rsidRPr="002C400D">
        <w:rPr>
          <w:rFonts w:cs="Calibri"/>
          <w:szCs w:val="24"/>
          <w:lang w:eastAsia="zh-CN"/>
        </w:rPr>
        <w:t>7</w:t>
      </w:r>
      <w:r w:rsidRPr="00EA4A9F">
        <w:rPr>
          <w:rFonts w:cs="Calibri" w:hint="eastAsia"/>
          <w:szCs w:val="24"/>
          <w:lang w:eastAsia="zh-CN"/>
        </w:rPr>
        <w:t>年会议</w:t>
      </w:r>
      <w:r w:rsidRPr="002C400D">
        <w:rPr>
          <w:rFonts w:cs="Calibri" w:hint="eastAsia"/>
          <w:szCs w:val="24"/>
          <w:lang w:eastAsia="zh-CN"/>
        </w:rPr>
        <w:t>）适用；根据收到日</w:t>
      </w:r>
      <w:r>
        <w:rPr>
          <w:rFonts w:cs="Calibri" w:hint="eastAsia"/>
          <w:szCs w:val="24"/>
          <w:lang w:eastAsia="zh-CN"/>
        </w:rPr>
        <w:t>有</w:t>
      </w:r>
      <w:r w:rsidRPr="002C400D">
        <w:rPr>
          <w:rFonts w:cs="Calibri" w:hint="eastAsia"/>
          <w:szCs w:val="24"/>
          <w:lang w:eastAsia="zh-CN"/>
        </w:rPr>
        <w:t>效的收费表计算的收费</w:t>
      </w:r>
      <w:r>
        <w:rPr>
          <w:rFonts w:cs="Calibri" w:hint="eastAsia"/>
          <w:szCs w:val="24"/>
          <w:lang w:eastAsia="zh-CN"/>
        </w:rPr>
        <w:t>应</w:t>
      </w:r>
      <w:r w:rsidRPr="002C400D">
        <w:rPr>
          <w:rFonts w:cs="Calibri" w:hint="eastAsia"/>
          <w:szCs w:val="24"/>
          <w:lang w:eastAsia="zh-CN"/>
        </w:rPr>
        <w:t>在通知</w:t>
      </w:r>
      <w:r>
        <w:rPr>
          <w:rFonts w:cs="Calibri" w:hint="eastAsia"/>
          <w:szCs w:val="24"/>
          <w:lang w:eastAsia="zh-CN"/>
        </w:rPr>
        <w:t>收悉</w:t>
      </w:r>
      <w:r w:rsidRPr="002C400D">
        <w:rPr>
          <w:rFonts w:cs="Calibri" w:hint="eastAsia"/>
          <w:szCs w:val="24"/>
          <w:lang w:eastAsia="zh-CN"/>
        </w:rPr>
        <w:t>后支付；</w:t>
      </w:r>
    </w:p>
    <w:p w14:paraId="793DD911" w14:textId="77777777" w:rsidR="00EA33C6" w:rsidRDefault="00EA33C6" w:rsidP="00EA33C6">
      <w:pPr>
        <w:snapToGrid w:val="0"/>
        <w:ind w:left="851" w:hanging="851"/>
        <w:rPr>
          <w:rFonts w:cs="Calibri"/>
          <w:szCs w:val="24"/>
          <w:lang w:eastAsia="zh-CN"/>
        </w:rPr>
      </w:pPr>
      <w:r w:rsidRPr="002C400D">
        <w:rPr>
          <w:rFonts w:eastAsiaTheme="minorEastAsia" w:cs="Calibri"/>
          <w:szCs w:val="24"/>
          <w:lang w:eastAsia="zh-CN"/>
        </w:rPr>
        <w:t>k)</w:t>
      </w:r>
      <w:r w:rsidRPr="002C400D">
        <w:rPr>
          <w:rFonts w:eastAsiaTheme="minorEastAsia" w:cs="Calibri"/>
          <w:szCs w:val="24"/>
          <w:lang w:eastAsia="zh-CN"/>
        </w:rPr>
        <w:tab/>
      </w:r>
      <w:r w:rsidRPr="002C400D">
        <w:rPr>
          <w:rFonts w:eastAsiaTheme="minorEastAsia" w:cs="Calibri" w:hint="eastAsia"/>
          <w:szCs w:val="24"/>
          <w:lang w:eastAsia="zh-CN"/>
        </w:rPr>
        <w:t>对于</w:t>
      </w:r>
      <w:r w:rsidRPr="002C400D">
        <w:rPr>
          <w:rFonts w:eastAsiaTheme="minorEastAsia" w:cs="Calibri" w:hint="eastAsia"/>
          <w:szCs w:val="24"/>
          <w:lang w:eastAsia="zh-CN"/>
        </w:rPr>
        <w:t>2018</w:t>
      </w:r>
      <w:r w:rsidRPr="002C400D">
        <w:rPr>
          <w:rFonts w:eastAsiaTheme="minorEastAsia" w:cs="Calibri" w:hint="eastAsia"/>
          <w:szCs w:val="24"/>
          <w:lang w:eastAsia="zh-CN"/>
        </w:rPr>
        <w:t>年</w:t>
      </w:r>
      <w:r w:rsidRPr="002C400D">
        <w:rPr>
          <w:rFonts w:eastAsiaTheme="minorEastAsia" w:cs="Calibri" w:hint="eastAsia"/>
          <w:szCs w:val="24"/>
          <w:lang w:eastAsia="zh-CN"/>
        </w:rPr>
        <w:t>7</w:t>
      </w:r>
      <w:r w:rsidRPr="002C400D">
        <w:rPr>
          <w:rFonts w:eastAsiaTheme="minorEastAsia" w:cs="Calibri" w:hint="eastAsia"/>
          <w:szCs w:val="24"/>
          <w:lang w:eastAsia="zh-CN"/>
        </w:rPr>
        <w:t>月</w:t>
      </w:r>
      <w:r w:rsidRPr="002C400D">
        <w:rPr>
          <w:rFonts w:eastAsiaTheme="minorEastAsia" w:cs="Calibri" w:hint="eastAsia"/>
          <w:szCs w:val="24"/>
          <w:lang w:eastAsia="zh-CN"/>
        </w:rPr>
        <w:t>1</w:t>
      </w:r>
      <w:r w:rsidRPr="002C400D">
        <w:rPr>
          <w:rFonts w:eastAsiaTheme="minorEastAsia" w:cs="Calibri" w:hint="eastAsia"/>
          <w:szCs w:val="24"/>
          <w:lang w:eastAsia="zh-CN"/>
        </w:rPr>
        <w:t>日</w:t>
      </w:r>
      <w:r>
        <w:rPr>
          <w:rFonts w:eastAsiaTheme="minorEastAsia" w:cs="Calibri" w:hint="eastAsia"/>
          <w:szCs w:val="24"/>
          <w:lang w:eastAsia="zh-CN"/>
        </w:rPr>
        <w:t>当</w:t>
      </w:r>
      <w:r w:rsidRPr="002C400D">
        <w:rPr>
          <w:rFonts w:eastAsiaTheme="minorEastAsia" w:cs="Calibri" w:hint="eastAsia"/>
          <w:szCs w:val="24"/>
          <w:lang w:eastAsia="zh-CN"/>
        </w:rPr>
        <w:t>日</w:t>
      </w:r>
      <w:r>
        <w:rPr>
          <w:rFonts w:eastAsiaTheme="minorEastAsia" w:cs="Calibri" w:hint="eastAsia"/>
          <w:szCs w:val="24"/>
          <w:lang w:eastAsia="zh-CN"/>
        </w:rPr>
        <w:t>或</w:t>
      </w:r>
      <w:r w:rsidRPr="002C400D">
        <w:rPr>
          <w:rFonts w:eastAsiaTheme="minorEastAsia" w:cs="Calibri" w:hint="eastAsia"/>
          <w:szCs w:val="24"/>
          <w:lang w:eastAsia="zh-CN"/>
        </w:rPr>
        <w:t>之后收到的申报资料，</w:t>
      </w:r>
      <w:r w:rsidRPr="002C400D">
        <w:rPr>
          <w:rFonts w:cs="Calibri" w:hint="eastAsia"/>
          <w:szCs w:val="24"/>
          <w:lang w:eastAsia="zh-CN"/>
        </w:rPr>
        <w:t>第</w:t>
      </w:r>
      <w:r w:rsidRPr="002C400D">
        <w:rPr>
          <w:rFonts w:cs="Calibri"/>
          <w:szCs w:val="24"/>
          <w:lang w:eastAsia="zh-CN"/>
        </w:rPr>
        <w:t>482</w:t>
      </w:r>
      <w:r w:rsidRPr="002C400D">
        <w:rPr>
          <w:rFonts w:cs="Calibri" w:hint="eastAsia"/>
          <w:szCs w:val="24"/>
          <w:lang w:eastAsia="zh-CN"/>
        </w:rPr>
        <w:t>号决定（</w:t>
      </w:r>
      <w:r w:rsidRPr="00EA4A9F">
        <w:rPr>
          <w:rFonts w:cs="Calibri" w:hint="eastAsia"/>
          <w:szCs w:val="24"/>
          <w:lang w:eastAsia="zh-CN"/>
        </w:rPr>
        <w:t>理事会</w:t>
      </w:r>
      <w:r w:rsidRPr="00EA4A9F">
        <w:rPr>
          <w:rFonts w:cs="Calibri" w:hint="eastAsia"/>
          <w:szCs w:val="24"/>
          <w:lang w:eastAsia="zh-CN"/>
        </w:rPr>
        <w:t>20</w:t>
      </w:r>
      <w:r>
        <w:rPr>
          <w:rFonts w:cs="Calibri" w:hint="eastAsia"/>
          <w:szCs w:val="24"/>
          <w:lang w:eastAsia="zh-CN"/>
        </w:rPr>
        <w:t>1</w:t>
      </w:r>
      <w:r w:rsidRPr="00EA4A9F">
        <w:rPr>
          <w:rFonts w:cs="Calibri" w:hint="eastAsia"/>
          <w:szCs w:val="24"/>
          <w:lang w:eastAsia="zh-CN"/>
        </w:rPr>
        <w:t>8</w:t>
      </w:r>
      <w:r w:rsidRPr="00EA4A9F">
        <w:rPr>
          <w:rFonts w:cs="Calibri" w:hint="eastAsia"/>
          <w:szCs w:val="24"/>
          <w:lang w:eastAsia="zh-CN"/>
        </w:rPr>
        <w:t>年会议</w:t>
      </w:r>
      <w:r w:rsidRPr="002C400D">
        <w:rPr>
          <w:rFonts w:cs="Calibri" w:hint="eastAsia"/>
          <w:szCs w:val="24"/>
          <w:lang w:eastAsia="zh-CN"/>
        </w:rPr>
        <w:t>）适用；根据收到日</w:t>
      </w:r>
      <w:r>
        <w:rPr>
          <w:rFonts w:cs="Calibri" w:hint="eastAsia"/>
          <w:szCs w:val="24"/>
          <w:lang w:eastAsia="zh-CN"/>
        </w:rPr>
        <w:t>有</w:t>
      </w:r>
      <w:r w:rsidRPr="002C400D">
        <w:rPr>
          <w:rFonts w:cs="Calibri" w:hint="eastAsia"/>
          <w:szCs w:val="24"/>
          <w:lang w:eastAsia="zh-CN"/>
        </w:rPr>
        <w:t>效的收费表计算的收费</w:t>
      </w:r>
      <w:r>
        <w:rPr>
          <w:rFonts w:cs="Calibri" w:hint="eastAsia"/>
          <w:szCs w:val="24"/>
          <w:lang w:eastAsia="zh-CN"/>
        </w:rPr>
        <w:t>应</w:t>
      </w:r>
      <w:r w:rsidRPr="002C400D">
        <w:rPr>
          <w:rFonts w:cs="Calibri" w:hint="eastAsia"/>
          <w:szCs w:val="24"/>
          <w:lang w:eastAsia="zh-CN"/>
        </w:rPr>
        <w:t>在通知</w:t>
      </w:r>
      <w:r>
        <w:rPr>
          <w:rFonts w:cs="Calibri" w:hint="eastAsia"/>
          <w:szCs w:val="24"/>
          <w:lang w:eastAsia="zh-CN"/>
        </w:rPr>
        <w:t>收悉</w:t>
      </w:r>
      <w:r w:rsidRPr="002C400D">
        <w:rPr>
          <w:rFonts w:cs="Calibri" w:hint="eastAsia"/>
          <w:szCs w:val="24"/>
          <w:lang w:eastAsia="zh-CN"/>
        </w:rPr>
        <w:t>后支付</w:t>
      </w:r>
      <w:r>
        <w:rPr>
          <w:rFonts w:cs="Calibri" w:hint="eastAsia"/>
          <w:szCs w:val="24"/>
          <w:lang w:eastAsia="zh-CN"/>
        </w:rPr>
        <w:t>；</w:t>
      </w:r>
    </w:p>
    <w:p w14:paraId="54BD5816" w14:textId="77777777" w:rsidR="00EA33C6" w:rsidRDefault="00EA33C6" w:rsidP="00EA33C6">
      <w:pPr>
        <w:snapToGrid w:val="0"/>
        <w:ind w:left="851" w:hanging="851"/>
        <w:rPr>
          <w:rFonts w:cs="Calibri"/>
          <w:szCs w:val="24"/>
          <w:lang w:eastAsia="zh-CN"/>
        </w:rPr>
      </w:pPr>
      <w:r w:rsidRPr="00A924E2">
        <w:rPr>
          <w:rFonts w:eastAsiaTheme="minorEastAsia" w:cs="Calibri"/>
          <w:lang w:eastAsia="zh-CN"/>
        </w:rPr>
        <w:t>l)</w:t>
      </w:r>
      <w:r w:rsidRPr="00A924E2">
        <w:rPr>
          <w:rFonts w:eastAsiaTheme="minorEastAsia" w:cs="Calibri"/>
          <w:lang w:eastAsia="zh-CN"/>
        </w:rPr>
        <w:tab/>
      </w:r>
      <w:r>
        <w:rPr>
          <w:rFonts w:eastAsiaTheme="minorEastAsia" w:cs="Calibri" w:hint="eastAsia"/>
          <w:szCs w:val="24"/>
          <w:lang w:eastAsia="zh-CN"/>
        </w:rPr>
        <w:t>对于</w:t>
      </w:r>
      <w:r>
        <w:rPr>
          <w:rFonts w:eastAsiaTheme="minorEastAsia" w:cs="Calibri"/>
          <w:szCs w:val="24"/>
          <w:lang w:eastAsia="zh-CN"/>
        </w:rPr>
        <w:t>2019</w:t>
      </w:r>
      <w:r>
        <w:rPr>
          <w:rFonts w:eastAsiaTheme="minorEastAsia" w:cs="Calibri" w:hint="eastAsia"/>
          <w:szCs w:val="24"/>
          <w:lang w:eastAsia="zh-CN"/>
        </w:rPr>
        <w:t>年</w:t>
      </w:r>
      <w:r>
        <w:rPr>
          <w:rFonts w:eastAsiaTheme="minorEastAsia" w:cs="Calibri"/>
          <w:szCs w:val="24"/>
          <w:lang w:eastAsia="zh-CN"/>
        </w:rPr>
        <w:t>7</w:t>
      </w:r>
      <w:r>
        <w:rPr>
          <w:rFonts w:eastAsiaTheme="minorEastAsia" w:cs="Calibri" w:hint="eastAsia"/>
          <w:szCs w:val="24"/>
          <w:lang w:eastAsia="zh-CN"/>
        </w:rPr>
        <w:t>月</w:t>
      </w:r>
      <w:r>
        <w:rPr>
          <w:rFonts w:eastAsiaTheme="minorEastAsia" w:cs="Calibri"/>
          <w:szCs w:val="24"/>
          <w:lang w:eastAsia="zh-CN"/>
        </w:rPr>
        <w:t>1</w:t>
      </w:r>
      <w:r>
        <w:rPr>
          <w:rFonts w:eastAsiaTheme="minorEastAsia" w:cs="Calibri" w:hint="eastAsia"/>
          <w:szCs w:val="24"/>
          <w:lang w:eastAsia="zh-CN"/>
        </w:rPr>
        <w:t>日</w:t>
      </w:r>
      <w:r>
        <w:rPr>
          <w:rFonts w:cs="Calibri" w:hint="eastAsia"/>
          <w:szCs w:val="24"/>
          <w:lang w:eastAsia="zh-CN"/>
        </w:rPr>
        <w:t>当日或之后</w:t>
      </w:r>
      <w:r>
        <w:rPr>
          <w:rFonts w:eastAsiaTheme="minorEastAsia" w:cs="Calibri" w:hint="eastAsia"/>
          <w:szCs w:val="24"/>
          <w:lang w:eastAsia="zh-CN"/>
        </w:rPr>
        <w:t>收到的申报资料，</w:t>
      </w:r>
      <w:r>
        <w:rPr>
          <w:rFonts w:cs="Calibri" w:hint="eastAsia"/>
          <w:szCs w:val="24"/>
          <w:lang w:eastAsia="zh-CN"/>
        </w:rPr>
        <w:t>第</w:t>
      </w:r>
      <w:r>
        <w:rPr>
          <w:rFonts w:cs="Calibri"/>
          <w:szCs w:val="24"/>
          <w:lang w:eastAsia="zh-CN"/>
        </w:rPr>
        <w:t>482</w:t>
      </w:r>
      <w:r>
        <w:rPr>
          <w:rFonts w:cs="Calibri" w:hint="eastAsia"/>
          <w:szCs w:val="24"/>
          <w:lang w:eastAsia="zh-CN"/>
        </w:rPr>
        <w:t>号决定（</w:t>
      </w:r>
      <w:r w:rsidRPr="00EA4A9F">
        <w:rPr>
          <w:rFonts w:cs="Calibri" w:hint="eastAsia"/>
          <w:szCs w:val="24"/>
          <w:lang w:eastAsia="zh-CN"/>
        </w:rPr>
        <w:t>理事会</w:t>
      </w:r>
      <w:r w:rsidRPr="00EA4A9F">
        <w:rPr>
          <w:rFonts w:cs="Calibri" w:hint="eastAsia"/>
          <w:szCs w:val="24"/>
          <w:lang w:eastAsia="zh-CN"/>
        </w:rPr>
        <w:t>20</w:t>
      </w:r>
      <w:r>
        <w:rPr>
          <w:rFonts w:cs="Calibri"/>
          <w:szCs w:val="24"/>
          <w:lang w:eastAsia="zh-CN"/>
        </w:rPr>
        <w:t>19</w:t>
      </w:r>
      <w:r w:rsidRPr="00EA4A9F">
        <w:rPr>
          <w:rFonts w:cs="Calibri" w:hint="eastAsia"/>
          <w:szCs w:val="24"/>
          <w:lang w:eastAsia="zh-CN"/>
        </w:rPr>
        <w:t>年会议</w:t>
      </w:r>
      <w:r>
        <w:rPr>
          <w:rFonts w:cs="Calibri" w:hint="eastAsia"/>
          <w:szCs w:val="24"/>
          <w:lang w:eastAsia="zh-CN"/>
        </w:rPr>
        <w:t>）适用；根据收到日有效的收费表计算的收费应在通知收悉后支付；</w:t>
      </w:r>
    </w:p>
    <w:p w14:paraId="4827AADA" w14:textId="7EE92805" w:rsidR="00312A82" w:rsidRPr="002C400D" w:rsidRDefault="00EA33C6" w:rsidP="00EA33C6">
      <w:pPr>
        <w:snapToGrid w:val="0"/>
        <w:ind w:left="851" w:hanging="851"/>
        <w:rPr>
          <w:rFonts w:eastAsiaTheme="minorEastAsia" w:cs="Calibri"/>
          <w:szCs w:val="24"/>
          <w:lang w:val="en-US" w:eastAsia="zh-CN"/>
        </w:rPr>
      </w:pPr>
      <w:r w:rsidRPr="00E158AF">
        <w:rPr>
          <w:rFonts w:eastAsiaTheme="minorEastAsia" w:cs="Calibri"/>
          <w:szCs w:val="24"/>
          <w:lang w:eastAsia="zh-CN"/>
        </w:rPr>
        <w:t>m)</w:t>
      </w:r>
      <w:r w:rsidRPr="00E158AF">
        <w:rPr>
          <w:rFonts w:eastAsiaTheme="minorEastAsia" w:cs="Calibri"/>
          <w:szCs w:val="24"/>
          <w:lang w:eastAsia="zh-CN"/>
        </w:rPr>
        <w:tab/>
      </w:r>
      <w:r>
        <w:rPr>
          <w:rFonts w:eastAsiaTheme="minorEastAsia" w:cs="Calibri" w:hint="eastAsia"/>
          <w:szCs w:val="24"/>
          <w:lang w:eastAsia="zh-CN"/>
        </w:rPr>
        <w:t>对于</w:t>
      </w:r>
      <w:r>
        <w:rPr>
          <w:rFonts w:eastAsiaTheme="minorEastAsia" w:cs="Calibri"/>
          <w:szCs w:val="24"/>
          <w:lang w:eastAsia="zh-CN"/>
        </w:rPr>
        <w:t>2020</w:t>
      </w:r>
      <w:r>
        <w:rPr>
          <w:rFonts w:eastAsiaTheme="minorEastAsia" w:cs="Calibri" w:hint="eastAsia"/>
          <w:szCs w:val="24"/>
          <w:lang w:eastAsia="zh-CN"/>
        </w:rPr>
        <w:t>年</w:t>
      </w:r>
      <w:r>
        <w:rPr>
          <w:rFonts w:cs="Calibri" w:hint="eastAsia"/>
          <w:lang w:eastAsia="zh-CN"/>
        </w:rPr>
        <w:t>9</w:t>
      </w:r>
      <w:r>
        <w:rPr>
          <w:rFonts w:eastAsiaTheme="minorEastAsia" w:cs="Calibri" w:hint="eastAsia"/>
          <w:szCs w:val="24"/>
          <w:lang w:eastAsia="zh-CN"/>
        </w:rPr>
        <w:t>月</w:t>
      </w:r>
      <w:r>
        <w:rPr>
          <w:rFonts w:eastAsiaTheme="minorEastAsia" w:cs="Calibri"/>
          <w:szCs w:val="24"/>
          <w:lang w:eastAsia="zh-CN"/>
        </w:rPr>
        <w:t>1</w:t>
      </w:r>
      <w:r>
        <w:rPr>
          <w:rFonts w:eastAsiaTheme="minorEastAsia" w:cs="Calibri" w:hint="eastAsia"/>
          <w:szCs w:val="24"/>
          <w:lang w:eastAsia="zh-CN"/>
        </w:rPr>
        <w:t>日</w:t>
      </w:r>
      <w:r>
        <w:rPr>
          <w:rFonts w:cs="Calibri" w:hint="eastAsia"/>
          <w:szCs w:val="24"/>
          <w:lang w:eastAsia="zh-CN"/>
        </w:rPr>
        <w:t>当日或之后</w:t>
      </w:r>
      <w:r>
        <w:rPr>
          <w:rFonts w:eastAsiaTheme="minorEastAsia" w:cs="Calibri" w:hint="eastAsia"/>
          <w:szCs w:val="24"/>
          <w:lang w:eastAsia="zh-CN"/>
        </w:rPr>
        <w:t>收到的申报资料，</w:t>
      </w:r>
      <w:r>
        <w:rPr>
          <w:rFonts w:cs="Calibri" w:hint="eastAsia"/>
          <w:szCs w:val="24"/>
          <w:lang w:eastAsia="zh-CN"/>
        </w:rPr>
        <w:t>第</w:t>
      </w:r>
      <w:r>
        <w:rPr>
          <w:rFonts w:cs="Calibri"/>
          <w:szCs w:val="24"/>
          <w:lang w:eastAsia="zh-CN"/>
        </w:rPr>
        <w:t>482</w:t>
      </w:r>
      <w:r>
        <w:rPr>
          <w:rFonts w:cs="Calibri" w:hint="eastAsia"/>
          <w:szCs w:val="24"/>
          <w:lang w:eastAsia="zh-CN"/>
        </w:rPr>
        <w:t>号决定（</w:t>
      </w:r>
      <w:r w:rsidRPr="009A41FD">
        <w:rPr>
          <w:rFonts w:cs="Calibri" w:hint="eastAsia"/>
          <w:szCs w:val="24"/>
          <w:lang w:eastAsia="zh-CN"/>
        </w:rPr>
        <w:t>理事会</w:t>
      </w:r>
      <w:r w:rsidRPr="009A41FD">
        <w:rPr>
          <w:rFonts w:cs="Calibri" w:hint="eastAsia"/>
          <w:szCs w:val="24"/>
          <w:lang w:eastAsia="zh-CN"/>
        </w:rPr>
        <w:t>20</w:t>
      </w:r>
      <w:r>
        <w:rPr>
          <w:rFonts w:cs="Calibri"/>
          <w:szCs w:val="24"/>
          <w:lang w:eastAsia="zh-CN"/>
        </w:rPr>
        <w:t>20</w:t>
      </w:r>
      <w:r w:rsidRPr="009A41FD">
        <w:rPr>
          <w:rFonts w:cs="Calibri" w:hint="eastAsia"/>
          <w:szCs w:val="24"/>
          <w:lang w:eastAsia="zh-CN"/>
        </w:rPr>
        <w:t>年会议</w:t>
      </w:r>
      <w:r>
        <w:rPr>
          <w:rFonts w:cs="Calibri" w:hint="eastAsia"/>
          <w:szCs w:val="24"/>
          <w:lang w:eastAsia="zh-CN"/>
        </w:rPr>
        <w:t>）适用；根据收到日有效的收费表计算的收费应在通知收悉后支付，</w:t>
      </w:r>
    </w:p>
    <w:p w14:paraId="23F2776C" w14:textId="77777777" w:rsidR="00EA33C6" w:rsidRPr="002C400D" w:rsidRDefault="00EA33C6" w:rsidP="00EA33C6">
      <w:pPr>
        <w:rPr>
          <w:rFonts w:cs="Calibri"/>
          <w:lang w:eastAsia="zh-CN"/>
        </w:rPr>
      </w:pPr>
      <w:r w:rsidRPr="002C400D">
        <w:rPr>
          <w:rFonts w:cs="Calibri"/>
          <w:lang w:eastAsia="zh-CN"/>
        </w:rPr>
        <w:t>3</w:t>
      </w:r>
      <w:r w:rsidRPr="002C400D">
        <w:rPr>
          <w:rFonts w:cs="Calibri"/>
          <w:lang w:eastAsia="zh-CN"/>
        </w:rPr>
        <w:tab/>
      </w:r>
      <w:r>
        <w:rPr>
          <w:rFonts w:cs="Calibri" w:hint="eastAsia"/>
          <w:lang w:eastAsia="zh-CN"/>
        </w:rPr>
        <w:t>此</w:t>
      </w:r>
      <w:r w:rsidRPr="002C400D">
        <w:rPr>
          <w:rFonts w:cs="Calibri" w:hint="eastAsia"/>
          <w:lang w:eastAsia="zh-CN"/>
        </w:rPr>
        <w:t>收费须被视作对卫星网络申报收取的费用。若修改不要求无线电通信局</w:t>
      </w:r>
      <w:r>
        <w:rPr>
          <w:rFonts w:cs="Calibri" w:hint="eastAsia"/>
          <w:lang w:eastAsia="zh-CN"/>
        </w:rPr>
        <w:t>进一步</w:t>
      </w:r>
      <w:r w:rsidRPr="002C400D">
        <w:rPr>
          <w:rFonts w:cs="Calibri" w:hint="eastAsia"/>
          <w:lang w:eastAsia="zh-CN"/>
        </w:rPr>
        <w:t>开展技术或规则方面的审查，则不收取费用，但根据上述</w:t>
      </w:r>
      <w:r w:rsidRPr="002C400D">
        <w:rPr>
          <w:rFonts w:cs="Calibri"/>
          <w:szCs w:val="24"/>
          <w:lang w:val="en-US" w:eastAsia="zh-CN"/>
        </w:rPr>
        <w:t>1</w:t>
      </w:r>
      <w:r w:rsidRPr="002C400D">
        <w:rPr>
          <w:rFonts w:ascii="STKaiti" w:eastAsia="STKaiti" w:hAnsi="STKaiti" w:cs="Calibri" w:hint="eastAsia"/>
          <w:sz w:val="18"/>
          <w:szCs w:val="18"/>
          <w:lang w:val="en-US" w:eastAsia="zh-CN"/>
        </w:rPr>
        <w:t>之四</w:t>
      </w:r>
      <w:r w:rsidRPr="002C400D">
        <w:rPr>
          <w:rFonts w:cs="Calibri" w:hint="eastAsia"/>
          <w:lang w:eastAsia="zh-CN"/>
        </w:rPr>
        <w:t>所作的修改除外</w:t>
      </w:r>
      <w:r w:rsidRPr="002C400D">
        <w:rPr>
          <w:rFonts w:ascii="STKaiti" w:eastAsia="STKaiti" w:hAnsi="STKaiti" w:cs="Calibri" w:hint="eastAsia"/>
          <w:sz w:val="18"/>
          <w:szCs w:val="18"/>
          <w:lang w:val="en-US" w:eastAsia="zh-CN"/>
        </w:rPr>
        <w:t>，</w:t>
      </w:r>
      <w:r w:rsidRPr="002C400D">
        <w:rPr>
          <w:rFonts w:cs="Calibri" w:hint="eastAsia"/>
          <w:lang w:eastAsia="zh-CN"/>
        </w:rPr>
        <w:t>此类修改包括但不限于以下内容：卫星</w:t>
      </w:r>
      <w:r w:rsidRPr="002C400D">
        <w:rPr>
          <w:rFonts w:cs="Calibri"/>
          <w:lang w:eastAsia="zh-CN"/>
        </w:rPr>
        <w:t>/</w:t>
      </w:r>
      <w:r w:rsidRPr="002C400D">
        <w:rPr>
          <w:rFonts w:cs="Calibri" w:hint="eastAsia"/>
          <w:lang w:eastAsia="zh-CN"/>
        </w:rPr>
        <w:t>地球站的名称及其相关</w:t>
      </w:r>
      <w:r>
        <w:rPr>
          <w:rFonts w:cs="Calibri" w:hint="eastAsia"/>
          <w:lang w:eastAsia="zh-CN"/>
        </w:rPr>
        <w:t>联</w:t>
      </w:r>
      <w:r w:rsidRPr="002C400D">
        <w:rPr>
          <w:rFonts w:cs="Calibri" w:hint="eastAsia"/>
          <w:lang w:eastAsia="zh-CN"/>
        </w:rPr>
        <w:t>卫星名称、波束名称、</w:t>
      </w:r>
      <w:r>
        <w:rPr>
          <w:rFonts w:cs="Calibri" w:hint="eastAsia"/>
          <w:lang w:eastAsia="zh-CN"/>
        </w:rPr>
        <w:t>负责</w:t>
      </w:r>
      <w:r w:rsidRPr="002C400D">
        <w:rPr>
          <w:rFonts w:cs="Calibri" w:hint="eastAsia"/>
          <w:lang w:eastAsia="zh-CN"/>
        </w:rPr>
        <w:t>主管部门、运营机构、投入使用的日期、有效</w:t>
      </w:r>
      <w:r>
        <w:rPr>
          <w:rFonts w:cs="Calibri" w:hint="eastAsia"/>
          <w:lang w:eastAsia="zh-CN"/>
        </w:rPr>
        <w:t>期</w:t>
      </w:r>
      <w:r w:rsidRPr="002C400D">
        <w:rPr>
          <w:rFonts w:cs="Calibri" w:hint="eastAsia"/>
          <w:lang w:eastAsia="zh-CN"/>
        </w:rPr>
        <w:t>、相关</w:t>
      </w:r>
      <w:r>
        <w:rPr>
          <w:rFonts w:cs="Calibri" w:hint="eastAsia"/>
          <w:lang w:eastAsia="zh-CN"/>
        </w:rPr>
        <w:t>联</w:t>
      </w:r>
      <w:r w:rsidRPr="002C400D">
        <w:rPr>
          <w:rFonts w:cs="Calibri" w:hint="eastAsia"/>
          <w:lang w:eastAsia="zh-CN"/>
        </w:rPr>
        <w:t>卫星（和波束）或地球站名称；</w:t>
      </w:r>
    </w:p>
    <w:p w14:paraId="27DC297A" w14:textId="77777777" w:rsidR="00EA33C6" w:rsidRPr="002C400D" w:rsidRDefault="00EA33C6" w:rsidP="00EA33C6">
      <w:pPr>
        <w:rPr>
          <w:rFonts w:cs="Calibri"/>
          <w:lang w:val="en-US" w:eastAsia="zh-CN"/>
        </w:rPr>
      </w:pPr>
      <w:r w:rsidRPr="002C400D">
        <w:rPr>
          <w:rFonts w:cs="Calibri"/>
          <w:lang w:eastAsia="zh-CN"/>
        </w:rPr>
        <w:t>4</w:t>
      </w:r>
      <w:r w:rsidRPr="002C400D">
        <w:rPr>
          <w:rFonts w:cs="Calibri"/>
          <w:lang w:eastAsia="zh-CN"/>
        </w:rPr>
        <w:tab/>
      </w:r>
      <w:r w:rsidRPr="002C400D">
        <w:rPr>
          <w:rFonts w:cs="Calibri" w:hint="eastAsia"/>
          <w:lang w:val="en-US" w:eastAsia="zh-CN"/>
        </w:rPr>
        <w:t>每个成员国每年有权享受在无线电通信局《国际频率信息通报》（</w:t>
      </w:r>
      <w:r w:rsidRPr="002C400D">
        <w:rPr>
          <w:rFonts w:cs="Calibri"/>
          <w:lang w:val="en-US" w:eastAsia="zh-CN"/>
        </w:rPr>
        <w:t>BR IFIC</w:t>
      </w:r>
      <w:r w:rsidRPr="002C400D">
        <w:rPr>
          <w:rFonts w:cs="Calibri" w:hint="eastAsia"/>
          <w:lang w:val="en-US" w:eastAsia="zh-CN"/>
        </w:rPr>
        <w:t>）</w:t>
      </w:r>
      <w:r w:rsidRPr="002C400D">
        <w:rPr>
          <w:rFonts w:cs="Calibri" w:hint="eastAsia"/>
          <w:lang w:eastAsia="zh-CN"/>
        </w:rPr>
        <w:t>（</w:t>
      </w:r>
      <w:r w:rsidRPr="002C400D">
        <w:rPr>
          <w:rFonts w:cs="Calibri" w:hint="eastAsia"/>
          <w:lang w:val="en-US" w:eastAsia="zh-CN"/>
        </w:rPr>
        <w:t>空间业务</w:t>
      </w:r>
      <w:r w:rsidRPr="002C400D">
        <w:rPr>
          <w:rFonts w:cs="Calibri" w:hint="eastAsia"/>
          <w:lang w:eastAsia="zh-CN"/>
        </w:rPr>
        <w:t>）的</w:t>
      </w:r>
      <w:r w:rsidRPr="002C400D">
        <w:rPr>
          <w:rFonts w:cs="Calibri" w:hint="eastAsia"/>
          <w:lang w:val="en-US" w:eastAsia="zh-CN"/>
        </w:rPr>
        <w:t>特节或</w:t>
      </w:r>
      <w:r w:rsidRPr="002C400D">
        <w:rPr>
          <w:rFonts w:cs="Calibri" w:hint="eastAsia"/>
          <w:lang w:eastAsia="zh-CN"/>
        </w:rPr>
        <w:t>各部分中</w:t>
      </w:r>
      <w:r w:rsidRPr="002C400D">
        <w:rPr>
          <w:rFonts w:cs="Calibri" w:hint="eastAsia"/>
          <w:lang w:val="en-US" w:eastAsia="zh-CN"/>
        </w:rPr>
        <w:t>公布一个卫星网络申报</w:t>
      </w:r>
      <w:r>
        <w:rPr>
          <w:rFonts w:cs="Calibri" w:hint="eastAsia"/>
          <w:lang w:eastAsia="zh-CN"/>
        </w:rPr>
        <w:t>、而</w:t>
      </w:r>
      <w:r w:rsidRPr="002C400D">
        <w:rPr>
          <w:rFonts w:cs="Calibri" w:hint="eastAsia"/>
          <w:lang w:val="en-US" w:eastAsia="zh-CN"/>
        </w:rPr>
        <w:t>无需支付上述费用的</w:t>
      </w:r>
      <w:r w:rsidRPr="002C400D">
        <w:rPr>
          <w:rFonts w:cs="Calibri" w:hint="eastAsia"/>
          <w:lang w:eastAsia="zh-CN"/>
        </w:rPr>
        <w:t>待遇</w:t>
      </w:r>
      <w:r w:rsidRPr="002C400D">
        <w:rPr>
          <w:rFonts w:cs="Calibri" w:hint="eastAsia"/>
          <w:lang w:val="en-US" w:eastAsia="zh-CN"/>
        </w:rPr>
        <w:t>。作为发出通知的主管部门，每个成员国可自行决定由哪个网络享受这一免费待遇；</w:t>
      </w:r>
      <w:r w:rsidRPr="002C400D">
        <w:rPr>
          <w:rStyle w:val="FootnoteReference"/>
          <w:rFonts w:cs="Calibri"/>
          <w:lang w:val="en-US" w:eastAsia="zh-CN"/>
        </w:rPr>
        <w:footnoteReference w:id="4"/>
      </w:r>
    </w:p>
    <w:p w14:paraId="442FEC7C" w14:textId="77777777" w:rsidR="00EA33C6" w:rsidRPr="002C400D" w:rsidRDefault="00EA33C6" w:rsidP="00EA33C6">
      <w:pPr>
        <w:rPr>
          <w:rFonts w:cs="Calibri"/>
          <w:lang w:eastAsia="zh-CN"/>
        </w:rPr>
      </w:pPr>
      <w:r w:rsidRPr="002C400D">
        <w:rPr>
          <w:rFonts w:cs="Calibri"/>
          <w:lang w:eastAsia="zh-CN"/>
        </w:rPr>
        <w:t>5</w:t>
      </w:r>
      <w:r w:rsidRPr="002C400D">
        <w:rPr>
          <w:rFonts w:cs="Calibri"/>
          <w:lang w:eastAsia="zh-CN"/>
        </w:rPr>
        <w:tab/>
      </w:r>
      <w:r w:rsidRPr="002C400D">
        <w:rPr>
          <w:rFonts w:cs="Calibri" w:hint="eastAsia"/>
          <w:lang w:eastAsia="zh-CN"/>
        </w:rPr>
        <w:t>成员国须在下述</w:t>
      </w:r>
      <w:r w:rsidRPr="002C400D">
        <w:rPr>
          <w:rFonts w:ascii="STKaiti" w:eastAsia="STKaiti" w:hAnsi="STKaiti" w:cs="Calibri" w:hint="eastAsia"/>
          <w:lang w:eastAsia="zh-CN"/>
        </w:rPr>
        <w:t>做出决定</w:t>
      </w:r>
      <w:r w:rsidRPr="002C400D">
        <w:rPr>
          <w:rFonts w:cs="Calibri"/>
          <w:lang w:eastAsia="zh-CN"/>
        </w:rPr>
        <w:t>9</w:t>
      </w:r>
      <w:r w:rsidRPr="002C400D">
        <w:rPr>
          <w:rFonts w:cs="Calibri" w:hint="eastAsia"/>
          <w:lang w:eastAsia="zh-CN"/>
        </w:rPr>
        <w:t>中规定的发票结付</w:t>
      </w:r>
      <w:r>
        <w:rPr>
          <w:rFonts w:cs="Calibri" w:hint="eastAsia"/>
          <w:lang w:eastAsia="zh-CN"/>
        </w:rPr>
        <w:t>期</w:t>
      </w:r>
      <w:r w:rsidRPr="002C400D">
        <w:rPr>
          <w:rFonts w:cs="Calibri" w:hint="eastAsia"/>
          <w:lang w:eastAsia="zh-CN"/>
        </w:rPr>
        <w:t>截止</w:t>
      </w:r>
      <w:r>
        <w:rPr>
          <w:rFonts w:cs="Calibri" w:hint="eastAsia"/>
          <w:lang w:eastAsia="zh-CN"/>
        </w:rPr>
        <w:t>之</w:t>
      </w:r>
      <w:r w:rsidRPr="002C400D">
        <w:rPr>
          <w:rFonts w:cs="Calibri" w:hint="eastAsia"/>
          <w:lang w:eastAsia="zh-CN"/>
        </w:rPr>
        <w:t>前，</w:t>
      </w:r>
      <w:r>
        <w:rPr>
          <w:rFonts w:cs="Calibri" w:hint="eastAsia"/>
          <w:lang w:eastAsia="zh-CN"/>
        </w:rPr>
        <w:t>基于</w:t>
      </w:r>
      <w:r w:rsidRPr="002C400D">
        <w:rPr>
          <w:rFonts w:cs="Calibri" w:hint="eastAsia"/>
          <w:lang w:eastAsia="zh-CN"/>
        </w:rPr>
        <w:t>申报的正式收</w:t>
      </w:r>
      <w:r>
        <w:rPr>
          <w:rFonts w:cs="Calibri" w:hint="eastAsia"/>
          <w:lang w:eastAsia="zh-CN"/>
        </w:rPr>
        <w:t>妥</w:t>
      </w:r>
      <w:r w:rsidRPr="002C400D">
        <w:rPr>
          <w:rFonts w:cs="Calibri" w:hint="eastAsia"/>
          <w:lang w:eastAsia="zh-CN"/>
        </w:rPr>
        <w:t>日期</w:t>
      </w:r>
      <w:r>
        <w:rPr>
          <w:rFonts w:cs="Calibri" w:hint="eastAsia"/>
          <w:lang w:eastAsia="zh-CN"/>
        </w:rPr>
        <w:t>，</w:t>
      </w:r>
      <w:r w:rsidRPr="002C400D">
        <w:rPr>
          <w:rFonts w:cs="Calibri" w:hint="eastAsia"/>
          <w:lang w:eastAsia="zh-CN"/>
        </w:rPr>
        <w:t>指定在无线电通信局收到卫星网络申报的日历年中享受免费待遇的卫星网络申报。此免费待遇不能适用于之前因未付费而被取消的申报；</w:t>
      </w:r>
    </w:p>
    <w:p w14:paraId="7D902F9A" w14:textId="77777777" w:rsidR="00EA33C6" w:rsidRPr="002C400D" w:rsidRDefault="00EA33C6" w:rsidP="00EA33C6">
      <w:pPr>
        <w:rPr>
          <w:rFonts w:cs="Calibri"/>
          <w:lang w:eastAsia="zh-CN"/>
        </w:rPr>
      </w:pPr>
      <w:r w:rsidRPr="002C400D">
        <w:rPr>
          <w:rFonts w:cs="Calibri"/>
          <w:lang w:eastAsia="zh-CN"/>
        </w:rPr>
        <w:t>6</w:t>
      </w:r>
      <w:r w:rsidRPr="002C400D">
        <w:rPr>
          <w:rFonts w:cs="Calibri"/>
          <w:lang w:eastAsia="zh-CN"/>
        </w:rPr>
        <w:tab/>
      </w:r>
      <w:r w:rsidRPr="002C400D">
        <w:rPr>
          <w:rFonts w:cs="Calibri" w:hint="eastAsia"/>
          <w:lang w:eastAsia="zh-CN"/>
        </w:rPr>
        <w:t>对于在</w:t>
      </w:r>
      <w:r w:rsidRPr="002C400D">
        <w:rPr>
          <w:rFonts w:cs="Calibri"/>
          <w:lang w:eastAsia="zh-CN"/>
        </w:rPr>
        <w:t>1998</w:t>
      </w:r>
      <w:r w:rsidRPr="002C400D">
        <w:rPr>
          <w:rFonts w:cs="Calibri" w:hint="eastAsia"/>
          <w:lang w:eastAsia="zh-CN"/>
        </w:rPr>
        <w:t>年</w:t>
      </w:r>
      <w:r w:rsidRPr="002C400D">
        <w:rPr>
          <w:rFonts w:cs="Calibri"/>
          <w:lang w:eastAsia="zh-CN"/>
        </w:rPr>
        <w:t>11</w:t>
      </w:r>
      <w:r w:rsidRPr="002C400D">
        <w:rPr>
          <w:rFonts w:cs="Calibri" w:hint="eastAsia"/>
          <w:lang w:eastAsia="zh-CN"/>
        </w:rPr>
        <w:t>月</w:t>
      </w:r>
      <w:r w:rsidRPr="002C400D">
        <w:rPr>
          <w:rFonts w:cs="Calibri"/>
          <w:lang w:eastAsia="zh-CN"/>
        </w:rPr>
        <w:t>8</w:t>
      </w:r>
      <w:r w:rsidRPr="002C400D">
        <w:rPr>
          <w:rFonts w:cs="Calibri" w:hint="eastAsia"/>
          <w:lang w:eastAsia="zh-CN"/>
        </w:rPr>
        <w:t>日之前</w:t>
      </w:r>
      <w:r>
        <w:rPr>
          <w:rFonts w:cs="Calibri" w:hint="eastAsia"/>
          <w:lang w:eastAsia="zh-CN"/>
        </w:rPr>
        <w:t>已</w:t>
      </w:r>
      <w:r w:rsidRPr="002C400D">
        <w:rPr>
          <w:rFonts w:cs="Calibri" w:hint="eastAsia"/>
          <w:lang w:eastAsia="zh-CN"/>
        </w:rPr>
        <w:t>收到其提前公布信息（</w:t>
      </w:r>
      <w:r w:rsidRPr="002C400D">
        <w:rPr>
          <w:rFonts w:cs="Calibri"/>
          <w:lang w:eastAsia="zh-CN"/>
        </w:rPr>
        <w:t>API</w:t>
      </w:r>
      <w:r w:rsidRPr="002C400D">
        <w:rPr>
          <w:rFonts w:cs="Calibri" w:hint="eastAsia"/>
          <w:lang w:eastAsia="zh-CN"/>
        </w:rPr>
        <w:t>）的任何卫星网络，将不</w:t>
      </w:r>
      <w:r>
        <w:rPr>
          <w:rFonts w:cs="Calibri" w:hint="eastAsia"/>
          <w:lang w:eastAsia="zh-CN"/>
        </w:rPr>
        <w:t>针对</w:t>
      </w:r>
      <w:r w:rsidRPr="002C400D">
        <w:rPr>
          <w:rFonts w:cs="Calibri" w:hint="eastAsia"/>
          <w:lang w:eastAsia="zh-CN"/>
        </w:rPr>
        <w:t>该</w:t>
      </w:r>
      <w:r w:rsidRPr="002C400D">
        <w:rPr>
          <w:rFonts w:cs="Calibri"/>
          <w:lang w:eastAsia="zh-CN"/>
        </w:rPr>
        <w:t>API</w:t>
      </w:r>
      <w:r w:rsidRPr="002C400D">
        <w:rPr>
          <w:rFonts w:cs="Calibri" w:hint="eastAsia"/>
          <w:lang w:eastAsia="zh-CN"/>
        </w:rPr>
        <w:t>的首次协调要求收取成本回收费，无论无线电通信局何时收到这一要求。</w:t>
      </w:r>
      <w:r>
        <w:rPr>
          <w:rFonts w:cs="Calibri" w:hint="eastAsia"/>
          <w:lang w:eastAsia="zh-CN"/>
        </w:rPr>
        <w:t>对</w:t>
      </w:r>
      <w:r w:rsidRPr="002C400D">
        <w:rPr>
          <w:rFonts w:cs="Calibri" w:hint="eastAsia"/>
          <w:lang w:eastAsia="zh-CN"/>
        </w:rPr>
        <w:t>于</w:t>
      </w:r>
      <w:r w:rsidRPr="002C400D">
        <w:rPr>
          <w:rFonts w:cs="Calibri"/>
          <w:lang w:eastAsia="zh-CN"/>
        </w:rPr>
        <w:t>2006</w:t>
      </w:r>
      <w:r w:rsidRPr="002C400D">
        <w:rPr>
          <w:rFonts w:cs="Calibri" w:hint="eastAsia"/>
          <w:lang w:eastAsia="zh-CN"/>
        </w:rPr>
        <w:t>年</w:t>
      </w:r>
      <w:r w:rsidRPr="002C400D">
        <w:rPr>
          <w:rFonts w:cs="Calibri"/>
          <w:lang w:eastAsia="zh-CN"/>
        </w:rPr>
        <w:t>1</w:t>
      </w:r>
      <w:r w:rsidRPr="002C400D">
        <w:rPr>
          <w:rFonts w:cs="Calibri" w:hint="eastAsia"/>
          <w:lang w:eastAsia="zh-CN"/>
        </w:rPr>
        <w:t>月</w:t>
      </w:r>
      <w:r w:rsidRPr="002C400D">
        <w:rPr>
          <w:rFonts w:cs="Calibri"/>
          <w:lang w:eastAsia="zh-CN"/>
        </w:rPr>
        <w:t>1</w:t>
      </w:r>
      <w:r w:rsidRPr="002C400D">
        <w:rPr>
          <w:rFonts w:cs="Calibri" w:hint="eastAsia"/>
          <w:lang w:eastAsia="zh-CN"/>
        </w:rPr>
        <w:t>日</w:t>
      </w:r>
      <w:r>
        <w:rPr>
          <w:rFonts w:cs="Calibri" w:hint="eastAsia"/>
          <w:lang w:eastAsia="zh-CN"/>
        </w:rPr>
        <w:t>当日</w:t>
      </w:r>
      <w:r w:rsidRPr="002C400D">
        <w:rPr>
          <w:rFonts w:cs="Calibri" w:hint="eastAsia"/>
          <w:lang w:eastAsia="zh-CN"/>
        </w:rPr>
        <w:t>或之后收到的任何修改，上述</w:t>
      </w:r>
      <w:r w:rsidRPr="002C400D">
        <w:rPr>
          <w:rFonts w:ascii="STKaiti" w:eastAsia="STKaiti" w:hAnsi="STKaiti" w:cs="Calibri" w:hint="eastAsia"/>
          <w:lang w:eastAsia="zh-CN"/>
        </w:rPr>
        <w:t>做出决定</w:t>
      </w:r>
      <w:r w:rsidRPr="002C400D">
        <w:rPr>
          <w:rFonts w:cs="Calibri"/>
          <w:lang w:eastAsia="zh-CN"/>
        </w:rPr>
        <w:t>2</w:t>
      </w:r>
      <w:r w:rsidRPr="002C400D">
        <w:rPr>
          <w:rFonts w:cs="Calibri" w:hint="eastAsia"/>
          <w:lang w:eastAsia="zh-CN"/>
        </w:rPr>
        <w:t>规定的收费适用；</w:t>
      </w:r>
    </w:p>
    <w:p w14:paraId="1F7F2FFE" w14:textId="77777777" w:rsidR="00EA33C6" w:rsidRPr="002C400D" w:rsidRDefault="00EA33C6" w:rsidP="00EA33C6">
      <w:pPr>
        <w:rPr>
          <w:rFonts w:cs="Calibri"/>
          <w:lang w:eastAsia="zh-CN"/>
        </w:rPr>
      </w:pPr>
      <w:r w:rsidRPr="002C400D">
        <w:rPr>
          <w:rFonts w:cs="Calibri"/>
          <w:lang w:eastAsia="zh-CN"/>
        </w:rPr>
        <w:t>7</w:t>
      </w:r>
      <w:r w:rsidRPr="002C400D">
        <w:rPr>
          <w:rFonts w:cs="Calibri"/>
          <w:lang w:eastAsia="zh-CN"/>
        </w:rPr>
        <w:tab/>
      </w:r>
      <w:r w:rsidRPr="002C400D">
        <w:rPr>
          <w:rFonts w:cs="Calibri" w:hint="eastAsia"/>
          <w:lang w:eastAsia="zh-CN"/>
        </w:rPr>
        <w:t>对于无线电通信局于</w:t>
      </w:r>
      <w:r w:rsidRPr="002C400D">
        <w:rPr>
          <w:rFonts w:cs="Calibri"/>
          <w:lang w:eastAsia="zh-CN"/>
        </w:rPr>
        <w:t>1998</w:t>
      </w:r>
      <w:r w:rsidRPr="002C400D">
        <w:rPr>
          <w:rFonts w:cs="Calibri" w:hint="eastAsia"/>
          <w:lang w:eastAsia="zh-CN"/>
        </w:rPr>
        <w:t>年</w:t>
      </w:r>
      <w:r w:rsidRPr="002C400D">
        <w:rPr>
          <w:rFonts w:cs="Calibri"/>
          <w:lang w:eastAsia="zh-CN"/>
        </w:rPr>
        <w:t>11</w:t>
      </w:r>
      <w:r w:rsidRPr="002C400D">
        <w:rPr>
          <w:rFonts w:cs="Calibri" w:hint="eastAsia"/>
          <w:lang w:eastAsia="zh-CN"/>
        </w:rPr>
        <w:t>月</w:t>
      </w:r>
      <w:r w:rsidRPr="002C400D">
        <w:rPr>
          <w:rFonts w:cs="Calibri"/>
          <w:lang w:eastAsia="zh-CN"/>
        </w:rPr>
        <w:t>8</w:t>
      </w:r>
      <w:r w:rsidRPr="002C400D">
        <w:rPr>
          <w:rFonts w:cs="Calibri" w:hint="eastAsia"/>
          <w:lang w:eastAsia="zh-CN"/>
        </w:rPr>
        <w:t>日之前收到的任何应用附录</w:t>
      </w:r>
      <w:r w:rsidRPr="002C400D">
        <w:rPr>
          <w:rFonts w:cs="Calibri"/>
          <w:lang w:eastAsia="zh-CN"/>
        </w:rPr>
        <w:t>30/30A</w:t>
      </w:r>
      <w:r w:rsidRPr="002C400D">
        <w:rPr>
          <w:rFonts w:cs="Calibri" w:hint="eastAsia"/>
          <w:lang w:eastAsia="zh-CN"/>
        </w:rPr>
        <w:t>第</w:t>
      </w:r>
      <w:r w:rsidRPr="002C400D">
        <w:rPr>
          <w:rFonts w:cs="Calibri"/>
          <w:lang w:eastAsia="zh-CN"/>
        </w:rPr>
        <w:t>4</w:t>
      </w:r>
      <w:r w:rsidRPr="002C400D">
        <w:rPr>
          <w:rFonts w:cs="Calibri" w:hint="eastAsia"/>
          <w:lang w:eastAsia="zh-CN"/>
        </w:rPr>
        <w:t>条提交的</w:t>
      </w:r>
      <w:r w:rsidRPr="002C400D">
        <w:rPr>
          <w:rFonts w:cs="Calibri"/>
          <w:lang w:eastAsia="zh-CN"/>
        </w:rPr>
        <w:t>A</w:t>
      </w:r>
      <w:r w:rsidRPr="002C400D">
        <w:rPr>
          <w:rFonts w:cs="Calibri" w:hint="eastAsia"/>
          <w:lang w:eastAsia="zh-CN"/>
        </w:rPr>
        <w:t>部分资料，或于</w:t>
      </w:r>
      <w:r w:rsidRPr="002C400D">
        <w:rPr>
          <w:rFonts w:cs="Calibri"/>
          <w:lang w:eastAsia="zh-CN"/>
        </w:rPr>
        <w:t>1998</w:t>
      </w:r>
      <w:r w:rsidRPr="002C400D">
        <w:rPr>
          <w:rFonts w:cs="Calibri" w:hint="eastAsia"/>
          <w:lang w:eastAsia="zh-CN"/>
        </w:rPr>
        <w:t>年</w:t>
      </w:r>
      <w:r w:rsidRPr="002C400D">
        <w:rPr>
          <w:rFonts w:cs="Calibri"/>
          <w:lang w:eastAsia="zh-CN"/>
        </w:rPr>
        <w:t>11</w:t>
      </w:r>
      <w:r w:rsidRPr="002C400D">
        <w:rPr>
          <w:rFonts w:cs="Calibri" w:hint="eastAsia"/>
          <w:lang w:eastAsia="zh-CN"/>
        </w:rPr>
        <w:t>月</w:t>
      </w:r>
      <w:r w:rsidRPr="002C400D">
        <w:rPr>
          <w:rFonts w:cs="Calibri"/>
          <w:lang w:eastAsia="zh-CN"/>
        </w:rPr>
        <w:t>8</w:t>
      </w:r>
      <w:r w:rsidRPr="002C400D">
        <w:rPr>
          <w:rFonts w:cs="Calibri" w:hint="eastAsia"/>
          <w:lang w:eastAsia="zh-CN"/>
        </w:rPr>
        <w:t>日之前已收到其相关</w:t>
      </w:r>
      <w:r>
        <w:rPr>
          <w:rFonts w:cs="Calibri" w:hint="eastAsia"/>
          <w:lang w:eastAsia="zh-CN"/>
        </w:rPr>
        <w:t>联</w:t>
      </w:r>
      <w:r w:rsidRPr="002C400D">
        <w:rPr>
          <w:rFonts w:cs="Calibri"/>
          <w:lang w:eastAsia="zh-CN"/>
        </w:rPr>
        <w:t>A</w:t>
      </w:r>
      <w:r w:rsidRPr="002C400D">
        <w:rPr>
          <w:rFonts w:cs="Calibri" w:hint="eastAsia"/>
          <w:lang w:eastAsia="zh-CN"/>
        </w:rPr>
        <w:t>部分资料、应用附录</w:t>
      </w:r>
      <w:r w:rsidRPr="002C400D">
        <w:rPr>
          <w:rFonts w:cs="Calibri"/>
          <w:lang w:eastAsia="zh-CN"/>
        </w:rPr>
        <w:t>30/30A</w:t>
      </w:r>
      <w:r w:rsidRPr="002C400D">
        <w:rPr>
          <w:rFonts w:cs="Calibri" w:hint="eastAsia"/>
          <w:lang w:eastAsia="zh-CN"/>
        </w:rPr>
        <w:t>第</w:t>
      </w:r>
      <w:r w:rsidRPr="002C400D">
        <w:rPr>
          <w:rFonts w:cs="Calibri"/>
          <w:lang w:eastAsia="zh-CN"/>
        </w:rPr>
        <w:t>4</w:t>
      </w:r>
      <w:r w:rsidRPr="002C400D">
        <w:rPr>
          <w:rFonts w:cs="Calibri" w:hint="eastAsia"/>
          <w:lang w:eastAsia="zh-CN"/>
        </w:rPr>
        <w:t>条提交的</w:t>
      </w:r>
      <w:r w:rsidRPr="002C400D">
        <w:rPr>
          <w:rFonts w:cs="Calibri"/>
          <w:lang w:eastAsia="zh-CN"/>
        </w:rPr>
        <w:t>B</w:t>
      </w:r>
      <w:r w:rsidRPr="002C400D">
        <w:rPr>
          <w:rFonts w:cs="Calibri" w:hint="eastAsia"/>
          <w:lang w:eastAsia="zh-CN"/>
        </w:rPr>
        <w:t>部分资料，将不收取成本回收费。任何在</w:t>
      </w:r>
      <w:r w:rsidRPr="002C400D">
        <w:rPr>
          <w:rFonts w:cs="Calibri"/>
          <w:lang w:eastAsia="zh-CN"/>
        </w:rPr>
        <w:t>1998</w:t>
      </w:r>
      <w:r w:rsidRPr="002C400D">
        <w:rPr>
          <w:rFonts w:cs="Calibri" w:hint="eastAsia"/>
          <w:lang w:eastAsia="zh-CN"/>
        </w:rPr>
        <w:t>年</w:t>
      </w:r>
      <w:r w:rsidRPr="002C400D">
        <w:rPr>
          <w:rFonts w:cs="Calibri"/>
          <w:lang w:eastAsia="zh-CN"/>
        </w:rPr>
        <w:t>11</w:t>
      </w:r>
      <w:r w:rsidRPr="002C400D">
        <w:rPr>
          <w:rFonts w:cs="Calibri" w:hint="eastAsia"/>
          <w:lang w:eastAsia="zh-CN"/>
        </w:rPr>
        <w:t>月</w:t>
      </w:r>
      <w:r w:rsidRPr="002C400D">
        <w:rPr>
          <w:rFonts w:cs="Calibri"/>
          <w:lang w:eastAsia="zh-CN"/>
        </w:rPr>
        <w:t>7</w:t>
      </w:r>
      <w:r w:rsidRPr="002C400D">
        <w:rPr>
          <w:rFonts w:cs="Calibri" w:hint="eastAsia"/>
          <w:lang w:eastAsia="zh-CN"/>
        </w:rPr>
        <w:t>日</w:t>
      </w:r>
      <w:r>
        <w:rPr>
          <w:rFonts w:cs="Calibri" w:hint="eastAsia"/>
          <w:lang w:eastAsia="zh-CN"/>
        </w:rPr>
        <w:t>之后</w:t>
      </w:r>
      <w:bookmarkStart w:id="185" w:name="_Hlk47031978"/>
      <w:r>
        <w:rPr>
          <w:rFonts w:cs="Calibri" w:hint="eastAsia"/>
          <w:lang w:eastAsia="zh-CN"/>
        </w:rPr>
        <w:t>直</w:t>
      </w:r>
      <w:r w:rsidRPr="002C400D">
        <w:rPr>
          <w:rFonts w:cs="Calibri" w:hint="eastAsia"/>
          <w:lang w:eastAsia="zh-CN"/>
        </w:rPr>
        <w:t>至</w:t>
      </w:r>
      <w:r w:rsidRPr="002C400D">
        <w:rPr>
          <w:rFonts w:cs="Calibri"/>
          <w:lang w:eastAsia="zh-CN"/>
        </w:rPr>
        <w:t>2000</w:t>
      </w:r>
      <w:r w:rsidRPr="002C400D">
        <w:rPr>
          <w:rFonts w:cs="Calibri" w:hint="eastAsia"/>
          <w:lang w:eastAsia="zh-CN"/>
        </w:rPr>
        <w:t>年</w:t>
      </w:r>
      <w:r w:rsidRPr="002C400D">
        <w:rPr>
          <w:rFonts w:cs="Calibri"/>
          <w:lang w:eastAsia="zh-CN"/>
        </w:rPr>
        <w:t>6</w:t>
      </w:r>
      <w:r w:rsidRPr="002C400D">
        <w:rPr>
          <w:rFonts w:cs="Calibri" w:hint="eastAsia"/>
          <w:lang w:eastAsia="zh-CN"/>
        </w:rPr>
        <w:t>月</w:t>
      </w:r>
      <w:r w:rsidRPr="002C400D">
        <w:rPr>
          <w:rFonts w:cs="Calibri"/>
          <w:lang w:eastAsia="zh-CN"/>
        </w:rPr>
        <w:t>2</w:t>
      </w:r>
      <w:r w:rsidRPr="002C400D">
        <w:rPr>
          <w:rFonts w:cs="Calibri" w:hint="eastAsia"/>
          <w:lang w:eastAsia="zh-CN"/>
        </w:rPr>
        <w:t>日</w:t>
      </w:r>
      <w:bookmarkEnd w:id="185"/>
      <w:r>
        <w:rPr>
          <w:rFonts w:cs="Calibri" w:hint="eastAsia"/>
          <w:lang w:eastAsia="zh-CN"/>
        </w:rPr>
        <w:t>根据</w:t>
      </w:r>
      <w:r w:rsidRPr="002C400D">
        <w:rPr>
          <w:rFonts w:cs="Calibri" w:hint="eastAsia"/>
          <w:lang w:eastAsia="zh-CN"/>
        </w:rPr>
        <w:t>第</w:t>
      </w:r>
      <w:r w:rsidRPr="002C400D">
        <w:rPr>
          <w:rFonts w:cs="Calibri"/>
          <w:lang w:eastAsia="zh-CN"/>
        </w:rPr>
        <w:t>4.3.5</w:t>
      </w:r>
      <w:r w:rsidRPr="002C400D">
        <w:rPr>
          <w:rFonts w:cs="Calibri" w:hint="eastAsia"/>
          <w:lang w:eastAsia="zh-CN"/>
        </w:rPr>
        <w:t>段</w:t>
      </w:r>
      <w:r>
        <w:rPr>
          <w:rFonts w:cs="Calibri" w:hint="eastAsia"/>
          <w:lang w:eastAsia="zh-CN"/>
        </w:rPr>
        <w:t>收到的以及之后</w:t>
      </w:r>
      <w:r w:rsidRPr="002C400D">
        <w:rPr>
          <w:rFonts w:cs="Calibri" w:hint="eastAsia"/>
          <w:lang w:eastAsia="zh-CN"/>
        </w:rPr>
        <w:t>根据附录</w:t>
      </w:r>
      <w:r w:rsidRPr="002C400D">
        <w:rPr>
          <w:rFonts w:cs="Calibri"/>
          <w:lang w:eastAsia="zh-CN"/>
        </w:rPr>
        <w:t>30/30A</w:t>
      </w:r>
      <w:r w:rsidRPr="002C400D">
        <w:rPr>
          <w:rFonts w:cs="Calibri" w:hint="eastAsia"/>
          <w:lang w:eastAsia="zh-CN"/>
        </w:rPr>
        <w:t>第</w:t>
      </w:r>
      <w:r w:rsidRPr="002C400D">
        <w:rPr>
          <w:rFonts w:cs="Calibri"/>
          <w:lang w:eastAsia="zh-CN"/>
        </w:rPr>
        <w:t>4.1.3</w:t>
      </w:r>
      <w:r w:rsidRPr="002C400D">
        <w:rPr>
          <w:rFonts w:cs="Calibri" w:hint="eastAsia"/>
          <w:lang w:eastAsia="zh-CN"/>
        </w:rPr>
        <w:t>段或</w:t>
      </w:r>
      <w:r>
        <w:rPr>
          <w:rFonts w:cs="Calibri" w:hint="eastAsia"/>
          <w:lang w:eastAsia="zh-CN"/>
        </w:rPr>
        <w:t>第</w:t>
      </w:r>
      <w:r w:rsidRPr="002C400D">
        <w:rPr>
          <w:rFonts w:cs="Calibri"/>
          <w:lang w:eastAsia="zh-CN"/>
        </w:rPr>
        <w:t>4.2.6</w:t>
      </w:r>
      <w:r w:rsidRPr="002C400D">
        <w:rPr>
          <w:rFonts w:cs="Calibri" w:hint="eastAsia"/>
          <w:lang w:eastAsia="zh-CN"/>
        </w:rPr>
        <w:t>段以及根据第</w:t>
      </w:r>
      <w:r w:rsidRPr="002C400D">
        <w:rPr>
          <w:rFonts w:cs="Calibri"/>
          <w:lang w:eastAsia="zh-CN"/>
        </w:rPr>
        <w:t>4.3.14</w:t>
      </w:r>
      <w:r w:rsidRPr="002C400D">
        <w:rPr>
          <w:rFonts w:cs="Calibri" w:hint="eastAsia"/>
          <w:lang w:eastAsia="zh-CN"/>
        </w:rPr>
        <w:t>段</w:t>
      </w:r>
      <w:r w:rsidRPr="00B505F7">
        <w:rPr>
          <w:rFonts w:cs="Calibri" w:hint="eastAsia"/>
          <w:lang w:eastAsia="zh-CN"/>
        </w:rPr>
        <w:t>直至</w:t>
      </w:r>
      <w:r w:rsidRPr="00B505F7">
        <w:rPr>
          <w:rFonts w:cs="Calibri" w:hint="eastAsia"/>
          <w:lang w:eastAsia="zh-CN"/>
        </w:rPr>
        <w:t>2000</w:t>
      </w:r>
      <w:r w:rsidRPr="00B505F7">
        <w:rPr>
          <w:rFonts w:cs="Calibri" w:hint="eastAsia"/>
          <w:lang w:eastAsia="zh-CN"/>
        </w:rPr>
        <w:t>年</w:t>
      </w:r>
      <w:r w:rsidRPr="00B505F7">
        <w:rPr>
          <w:rFonts w:cs="Calibri" w:hint="eastAsia"/>
          <w:lang w:eastAsia="zh-CN"/>
        </w:rPr>
        <w:t>6</w:t>
      </w:r>
      <w:r w:rsidRPr="00B505F7">
        <w:rPr>
          <w:rFonts w:cs="Calibri" w:hint="eastAsia"/>
          <w:lang w:eastAsia="zh-CN"/>
        </w:rPr>
        <w:t>月</w:t>
      </w:r>
      <w:r w:rsidRPr="00B505F7">
        <w:rPr>
          <w:rFonts w:cs="Calibri" w:hint="eastAsia"/>
          <w:lang w:eastAsia="zh-CN"/>
        </w:rPr>
        <w:t>2</w:t>
      </w:r>
      <w:r w:rsidRPr="00B505F7">
        <w:rPr>
          <w:rFonts w:cs="Calibri" w:hint="eastAsia"/>
          <w:lang w:eastAsia="zh-CN"/>
        </w:rPr>
        <w:t>日</w:t>
      </w:r>
      <w:r>
        <w:rPr>
          <w:rFonts w:cs="Calibri" w:hint="eastAsia"/>
          <w:lang w:eastAsia="zh-CN"/>
        </w:rPr>
        <w:t>提交的相应</w:t>
      </w:r>
      <w:r w:rsidRPr="002C400D">
        <w:rPr>
          <w:rFonts w:cs="Calibri"/>
          <w:lang w:eastAsia="zh-CN"/>
        </w:rPr>
        <w:t>B</w:t>
      </w:r>
      <w:r w:rsidRPr="002C400D">
        <w:rPr>
          <w:rFonts w:cs="Calibri" w:hint="eastAsia"/>
          <w:lang w:eastAsia="zh-CN"/>
        </w:rPr>
        <w:t>部分资料</w:t>
      </w:r>
      <w:r>
        <w:rPr>
          <w:rFonts w:cs="Calibri" w:hint="eastAsia"/>
          <w:lang w:eastAsia="zh-CN"/>
        </w:rPr>
        <w:t>的、</w:t>
      </w:r>
      <w:r w:rsidRPr="00B505F7">
        <w:rPr>
          <w:rFonts w:cs="Calibri" w:hint="eastAsia"/>
          <w:lang w:eastAsia="zh-CN"/>
        </w:rPr>
        <w:t>希望在</w:t>
      </w:r>
      <w:r w:rsidRPr="00B505F7">
        <w:rPr>
          <w:rFonts w:cs="Calibri" w:hint="eastAsia"/>
          <w:lang w:eastAsia="zh-CN"/>
        </w:rPr>
        <w:t>A</w:t>
      </w:r>
      <w:r w:rsidRPr="00B505F7">
        <w:rPr>
          <w:rFonts w:cs="Calibri" w:hint="eastAsia"/>
          <w:lang w:eastAsia="zh-CN"/>
        </w:rPr>
        <w:t>部分公布的要求</w:t>
      </w:r>
      <w:r w:rsidRPr="002C400D">
        <w:rPr>
          <w:rFonts w:cs="Calibri" w:hint="eastAsia"/>
          <w:lang w:eastAsia="zh-CN"/>
        </w:rPr>
        <w:t>，以及根据附录</w:t>
      </w:r>
      <w:r w:rsidRPr="002C400D">
        <w:rPr>
          <w:rFonts w:cs="Calibri"/>
          <w:lang w:eastAsia="zh-CN"/>
        </w:rPr>
        <w:t>30/30A</w:t>
      </w:r>
      <w:r w:rsidRPr="002C400D">
        <w:rPr>
          <w:rFonts w:cs="Calibri" w:hint="eastAsia"/>
          <w:lang w:eastAsia="zh-CN"/>
        </w:rPr>
        <w:t>第</w:t>
      </w:r>
      <w:r w:rsidRPr="002C400D">
        <w:rPr>
          <w:rFonts w:cs="Calibri"/>
          <w:lang w:eastAsia="zh-CN"/>
        </w:rPr>
        <w:t>4.1.12</w:t>
      </w:r>
      <w:r w:rsidRPr="002C400D">
        <w:rPr>
          <w:rFonts w:cs="Calibri" w:hint="eastAsia"/>
          <w:lang w:eastAsia="zh-CN"/>
        </w:rPr>
        <w:t>段或第</w:t>
      </w:r>
      <w:r w:rsidRPr="002C400D">
        <w:rPr>
          <w:rFonts w:cs="Calibri"/>
          <w:lang w:eastAsia="zh-CN"/>
        </w:rPr>
        <w:t>4.2.16</w:t>
      </w:r>
      <w:r w:rsidRPr="002C400D">
        <w:rPr>
          <w:rFonts w:cs="Calibri" w:hint="eastAsia"/>
          <w:lang w:eastAsia="zh-CN"/>
        </w:rPr>
        <w:t>段提交的</w:t>
      </w:r>
      <w:r>
        <w:rPr>
          <w:rFonts w:cs="Calibri" w:hint="eastAsia"/>
          <w:lang w:eastAsia="zh-CN"/>
        </w:rPr>
        <w:t>资料，均</w:t>
      </w:r>
      <w:r w:rsidRPr="002C400D">
        <w:rPr>
          <w:rFonts w:cs="Calibri" w:hint="eastAsia"/>
          <w:lang w:eastAsia="zh-CN"/>
        </w:rPr>
        <w:t>应根据上述</w:t>
      </w:r>
      <w:r w:rsidRPr="002C400D">
        <w:rPr>
          <w:rFonts w:ascii="STKaiti" w:eastAsia="STKaiti" w:hAnsi="STKaiti" w:cs="Calibri" w:hint="eastAsia"/>
          <w:lang w:eastAsia="zh-CN"/>
        </w:rPr>
        <w:t>做出决定</w:t>
      </w:r>
      <w:r w:rsidRPr="002C400D">
        <w:rPr>
          <w:rFonts w:cs="Calibri"/>
          <w:lang w:val="en-AU" w:eastAsia="zh-CN"/>
        </w:rPr>
        <w:t>2</w:t>
      </w:r>
      <w:r w:rsidRPr="002C400D">
        <w:rPr>
          <w:rFonts w:cs="Calibri" w:hint="eastAsia"/>
          <w:lang w:eastAsia="zh-CN"/>
        </w:rPr>
        <w:t>收取费用；</w:t>
      </w:r>
    </w:p>
    <w:p w14:paraId="4827AAE1" w14:textId="1EFB77DB" w:rsidR="00F87B27" w:rsidRPr="002C400D" w:rsidRDefault="00EA33C6" w:rsidP="00312A82">
      <w:pPr>
        <w:rPr>
          <w:rFonts w:cs="Calibri"/>
          <w:lang w:eastAsia="zh-CN"/>
        </w:rPr>
      </w:pPr>
      <w:r w:rsidRPr="002C400D">
        <w:rPr>
          <w:rFonts w:cs="Calibri"/>
          <w:lang w:eastAsia="zh-CN"/>
        </w:rPr>
        <w:t>7</w:t>
      </w:r>
      <w:r w:rsidRPr="002C400D">
        <w:rPr>
          <w:rFonts w:ascii="STKaiti" w:eastAsia="STKaiti" w:hAnsi="STKaiti" w:cs="Calibri" w:hint="eastAsia"/>
          <w:sz w:val="18"/>
          <w:szCs w:val="18"/>
          <w:lang w:eastAsia="zh-CN"/>
        </w:rPr>
        <w:t>之二</w:t>
      </w:r>
      <w:r w:rsidRPr="002C400D">
        <w:rPr>
          <w:rFonts w:cs="Calibri"/>
          <w:lang w:eastAsia="zh-CN"/>
        </w:rPr>
        <w:tab/>
      </w:r>
      <w:r w:rsidRPr="002C400D">
        <w:rPr>
          <w:rFonts w:cs="Calibri" w:hint="eastAsia"/>
          <w:lang w:eastAsia="zh-CN"/>
        </w:rPr>
        <w:t>对于根据附录</w:t>
      </w:r>
      <w:r w:rsidRPr="002C400D">
        <w:rPr>
          <w:rFonts w:cs="Calibri"/>
          <w:lang w:eastAsia="zh-CN"/>
        </w:rPr>
        <w:t>30B</w:t>
      </w:r>
      <w:r w:rsidRPr="002C400D">
        <w:rPr>
          <w:rFonts w:cs="Calibri" w:hint="eastAsia"/>
          <w:lang w:eastAsia="zh-CN"/>
        </w:rPr>
        <w:t>第</w:t>
      </w:r>
      <w:r w:rsidRPr="002C400D">
        <w:rPr>
          <w:rFonts w:cs="Calibri"/>
          <w:lang w:eastAsia="zh-CN"/>
        </w:rPr>
        <w:t>6</w:t>
      </w:r>
      <w:r w:rsidRPr="002C400D">
        <w:rPr>
          <w:rFonts w:cs="Calibri" w:hint="eastAsia"/>
          <w:lang w:eastAsia="zh-CN"/>
        </w:rPr>
        <w:t>条第</w:t>
      </w:r>
      <w:r w:rsidRPr="002C400D">
        <w:rPr>
          <w:rFonts w:cs="Calibri"/>
          <w:lang w:eastAsia="zh-CN"/>
        </w:rPr>
        <w:t>6.1</w:t>
      </w:r>
      <w:r>
        <w:rPr>
          <w:rFonts w:cs="Calibri" w:hint="eastAsia"/>
          <w:lang w:eastAsia="zh-CN"/>
        </w:rPr>
        <w:t>7</w:t>
      </w:r>
      <w:r w:rsidRPr="002C400D">
        <w:rPr>
          <w:rFonts w:cs="Calibri" w:hint="eastAsia"/>
          <w:lang w:eastAsia="zh-CN"/>
        </w:rPr>
        <w:t>段提交的资料</w:t>
      </w:r>
      <w:r>
        <w:rPr>
          <w:rFonts w:cs="Calibri" w:hint="eastAsia"/>
          <w:lang w:eastAsia="zh-CN"/>
        </w:rPr>
        <w:t>而其相关联资料</w:t>
      </w:r>
      <w:r w:rsidRPr="002C400D">
        <w:rPr>
          <w:rFonts w:cs="Calibri" w:hint="eastAsia"/>
          <w:lang w:eastAsia="zh-CN"/>
        </w:rPr>
        <w:t>已按照该条第</w:t>
      </w:r>
      <w:r w:rsidRPr="002C400D">
        <w:rPr>
          <w:rFonts w:cs="Calibri"/>
          <w:lang w:eastAsia="zh-CN"/>
        </w:rPr>
        <w:t>6.1</w:t>
      </w:r>
      <w:r w:rsidRPr="002C400D">
        <w:rPr>
          <w:rFonts w:cs="Calibri" w:hint="eastAsia"/>
          <w:lang w:eastAsia="zh-CN"/>
        </w:rPr>
        <w:t>段提交</w:t>
      </w:r>
      <w:r>
        <w:rPr>
          <w:rFonts w:cs="Calibri" w:hint="eastAsia"/>
          <w:lang w:eastAsia="zh-CN"/>
        </w:rPr>
        <w:t>且在</w:t>
      </w:r>
      <w:r w:rsidRPr="002C400D">
        <w:rPr>
          <w:rFonts w:cs="Calibri"/>
          <w:lang w:eastAsia="zh-CN"/>
        </w:rPr>
        <w:t>2007</w:t>
      </w:r>
      <w:r w:rsidRPr="002C400D">
        <w:rPr>
          <w:rFonts w:cs="Calibri" w:hint="eastAsia"/>
          <w:lang w:eastAsia="zh-CN"/>
        </w:rPr>
        <w:t>年</w:t>
      </w:r>
      <w:r w:rsidRPr="002C400D">
        <w:rPr>
          <w:rFonts w:cs="Calibri"/>
          <w:lang w:eastAsia="zh-CN"/>
        </w:rPr>
        <w:t>11</w:t>
      </w:r>
      <w:r w:rsidRPr="002C400D">
        <w:rPr>
          <w:rFonts w:cs="Calibri" w:hint="eastAsia"/>
          <w:lang w:eastAsia="zh-CN"/>
        </w:rPr>
        <w:t>月</w:t>
      </w:r>
      <w:r w:rsidRPr="002C400D">
        <w:rPr>
          <w:rFonts w:cs="Calibri"/>
          <w:lang w:eastAsia="zh-CN"/>
        </w:rPr>
        <w:t>17</w:t>
      </w:r>
      <w:r w:rsidRPr="002C400D">
        <w:rPr>
          <w:rFonts w:cs="Calibri" w:hint="eastAsia"/>
          <w:lang w:eastAsia="zh-CN"/>
        </w:rPr>
        <w:t>日之前收到</w:t>
      </w:r>
      <w:r>
        <w:rPr>
          <w:rFonts w:cs="Calibri" w:hint="eastAsia"/>
          <w:lang w:eastAsia="zh-CN"/>
        </w:rPr>
        <w:t>，</w:t>
      </w:r>
      <w:r w:rsidRPr="002C400D">
        <w:rPr>
          <w:rFonts w:cs="Calibri" w:hint="eastAsia"/>
          <w:lang w:eastAsia="zh-CN"/>
        </w:rPr>
        <w:t>免</w:t>
      </w:r>
      <w:r>
        <w:rPr>
          <w:rFonts w:cs="Calibri" w:hint="eastAsia"/>
          <w:lang w:eastAsia="zh-CN"/>
        </w:rPr>
        <w:t>予</w:t>
      </w:r>
      <w:r w:rsidRPr="002C400D">
        <w:rPr>
          <w:rFonts w:cs="Calibri" w:hint="eastAsia"/>
          <w:lang w:eastAsia="zh-CN"/>
        </w:rPr>
        <w:t>收</w:t>
      </w:r>
      <w:r>
        <w:rPr>
          <w:rFonts w:cs="Calibri" w:hint="eastAsia"/>
          <w:lang w:eastAsia="zh-CN"/>
        </w:rPr>
        <w:t>取</w:t>
      </w:r>
      <w:r w:rsidRPr="002C400D">
        <w:rPr>
          <w:rFonts w:cs="Calibri" w:hint="eastAsia"/>
          <w:lang w:eastAsia="zh-CN"/>
        </w:rPr>
        <w:t>成本回收费；</w:t>
      </w:r>
    </w:p>
    <w:p w14:paraId="4827AAE2" w14:textId="77777777" w:rsidR="00F87B27" w:rsidRDefault="00F87B27">
      <w:pPr>
        <w:tabs>
          <w:tab w:val="clear" w:pos="794"/>
          <w:tab w:val="clear" w:pos="1191"/>
          <w:tab w:val="clear" w:pos="1588"/>
          <w:tab w:val="clear" w:pos="1985"/>
        </w:tabs>
        <w:overflowPunct/>
        <w:autoSpaceDE/>
        <w:autoSpaceDN/>
        <w:adjustRightInd/>
        <w:spacing w:before="0"/>
        <w:jc w:val="left"/>
        <w:textAlignment w:val="auto"/>
        <w:rPr>
          <w:rFonts w:cs="Calibri"/>
          <w:lang w:eastAsia="zh-CN"/>
        </w:rPr>
      </w:pPr>
      <w:r>
        <w:rPr>
          <w:rFonts w:cs="Calibri"/>
          <w:lang w:eastAsia="zh-CN"/>
        </w:rPr>
        <w:br w:type="page"/>
      </w:r>
    </w:p>
    <w:p w14:paraId="3DAE76F1" w14:textId="77777777" w:rsidR="00EA33C6" w:rsidRPr="002C400D" w:rsidRDefault="00EA33C6" w:rsidP="00EA33C6">
      <w:pPr>
        <w:rPr>
          <w:rFonts w:cs="Calibri"/>
          <w:lang w:eastAsia="zh-CN"/>
        </w:rPr>
      </w:pPr>
      <w:r w:rsidRPr="002C400D">
        <w:rPr>
          <w:rFonts w:cs="Calibri"/>
          <w:lang w:eastAsia="zh-CN"/>
        </w:rPr>
        <w:lastRenderedPageBreak/>
        <w:t>8</w:t>
      </w:r>
      <w:r w:rsidRPr="002C400D">
        <w:rPr>
          <w:rFonts w:cs="Calibri"/>
          <w:lang w:eastAsia="zh-CN"/>
        </w:rPr>
        <w:tab/>
      </w:r>
      <w:r w:rsidRPr="002C400D">
        <w:rPr>
          <w:rFonts w:cs="Calibri" w:hint="eastAsia"/>
          <w:lang w:val="en-US" w:eastAsia="zh-CN"/>
        </w:rPr>
        <w:t>理事会应定期审议本决定的附件</w:t>
      </w:r>
      <w:r w:rsidRPr="002C400D">
        <w:rPr>
          <w:rFonts w:cs="Calibri" w:hint="eastAsia"/>
          <w:lang w:eastAsia="zh-CN"/>
        </w:rPr>
        <w:t>（</w:t>
      </w:r>
      <w:r w:rsidRPr="002C400D">
        <w:rPr>
          <w:rFonts w:cs="Calibri" w:hint="eastAsia"/>
          <w:lang w:val="en-US" w:eastAsia="zh-CN"/>
        </w:rPr>
        <w:t>处理收费表</w:t>
      </w:r>
      <w:r w:rsidRPr="002C400D">
        <w:rPr>
          <w:rFonts w:cs="Calibri" w:hint="eastAsia"/>
          <w:lang w:eastAsia="zh-CN"/>
        </w:rPr>
        <w:t>）；</w:t>
      </w:r>
    </w:p>
    <w:p w14:paraId="6915DE9B" w14:textId="77777777" w:rsidR="00EA33C6" w:rsidRPr="002C400D" w:rsidRDefault="00EA33C6" w:rsidP="00EA33C6">
      <w:pPr>
        <w:rPr>
          <w:rFonts w:cs="Calibri"/>
          <w:lang w:eastAsia="zh-CN"/>
        </w:rPr>
      </w:pPr>
      <w:r w:rsidRPr="002C400D">
        <w:rPr>
          <w:rFonts w:cs="Calibri"/>
          <w:lang w:eastAsia="zh-CN"/>
        </w:rPr>
        <w:t>9</w:t>
      </w:r>
      <w:r w:rsidRPr="002C400D">
        <w:rPr>
          <w:rFonts w:cs="Calibri"/>
          <w:lang w:eastAsia="zh-CN"/>
        </w:rPr>
        <w:tab/>
      </w:r>
      <w:r w:rsidRPr="002C400D">
        <w:rPr>
          <w:rFonts w:cs="Calibri" w:hint="eastAsia"/>
          <w:color w:val="000000"/>
          <w:lang w:eastAsia="zh-CN"/>
        </w:rPr>
        <w:t>无线电通信局一俟收到申报资料即出具发票，并将</w:t>
      </w:r>
      <w:r>
        <w:rPr>
          <w:rFonts w:cs="Calibri" w:hint="eastAsia"/>
          <w:color w:val="000000"/>
          <w:lang w:eastAsia="zh-CN"/>
        </w:rPr>
        <w:t>其</w:t>
      </w:r>
      <w:r w:rsidRPr="002C400D">
        <w:rPr>
          <w:rFonts w:cs="Calibri" w:hint="eastAsia"/>
          <w:color w:val="000000"/>
          <w:lang w:eastAsia="zh-CN"/>
        </w:rPr>
        <w:t>送交通知主管部门，或应该主管部门要求</w:t>
      </w:r>
      <w:r>
        <w:rPr>
          <w:rFonts w:cs="Calibri" w:hint="eastAsia"/>
          <w:color w:val="000000"/>
          <w:lang w:eastAsia="zh-CN"/>
        </w:rPr>
        <w:t>，将其</w:t>
      </w:r>
      <w:r w:rsidRPr="002C400D">
        <w:rPr>
          <w:rFonts w:cs="Calibri" w:hint="eastAsia"/>
          <w:color w:val="000000"/>
          <w:lang w:eastAsia="zh-CN"/>
        </w:rPr>
        <w:t>送交</w:t>
      </w:r>
      <w:r>
        <w:rPr>
          <w:rFonts w:cs="Calibri" w:hint="eastAsia"/>
          <w:color w:val="000000"/>
          <w:lang w:eastAsia="zh-CN"/>
        </w:rPr>
        <w:t>所述</w:t>
      </w:r>
      <w:r w:rsidRPr="002C400D">
        <w:rPr>
          <w:rFonts w:cs="Calibri" w:hint="eastAsia"/>
          <w:color w:val="000000"/>
          <w:lang w:eastAsia="zh-CN"/>
        </w:rPr>
        <w:t>卫星网络运营商。</w:t>
      </w:r>
      <w:r>
        <w:rPr>
          <w:rFonts w:cs="Calibri" w:hint="eastAsia"/>
          <w:color w:val="000000"/>
          <w:lang w:eastAsia="zh-CN"/>
        </w:rPr>
        <w:t>付费</w:t>
      </w:r>
      <w:r w:rsidRPr="002C400D">
        <w:rPr>
          <w:rFonts w:cs="Calibri" w:hint="eastAsia"/>
          <w:color w:val="000000"/>
          <w:lang w:eastAsia="zh-CN"/>
        </w:rPr>
        <w:t>应</w:t>
      </w:r>
      <w:r>
        <w:rPr>
          <w:rFonts w:cs="Calibri" w:hint="eastAsia"/>
          <w:color w:val="000000"/>
          <w:lang w:eastAsia="zh-CN"/>
        </w:rPr>
        <w:t>以</w:t>
      </w:r>
      <w:r w:rsidRPr="002C400D">
        <w:rPr>
          <w:rFonts w:cs="Calibri" w:hint="eastAsia"/>
          <w:color w:val="000000"/>
          <w:lang w:eastAsia="zh-CN"/>
        </w:rPr>
        <w:t>此发票</w:t>
      </w:r>
      <w:r>
        <w:rPr>
          <w:rFonts w:cs="Calibri" w:hint="eastAsia"/>
          <w:color w:val="000000"/>
          <w:lang w:eastAsia="zh-CN"/>
        </w:rPr>
        <w:t>为</w:t>
      </w:r>
      <w:r w:rsidRPr="002C400D">
        <w:rPr>
          <w:rFonts w:cs="Calibri" w:hint="eastAsia"/>
          <w:color w:val="000000"/>
          <w:lang w:eastAsia="zh-CN"/>
        </w:rPr>
        <w:t>依据，应在发票开出日</w:t>
      </w:r>
      <w:r>
        <w:rPr>
          <w:rFonts w:cs="Calibri" w:hint="eastAsia"/>
          <w:color w:val="000000"/>
          <w:lang w:eastAsia="zh-CN"/>
        </w:rPr>
        <w:t>后</w:t>
      </w:r>
      <w:r w:rsidRPr="002C400D">
        <w:rPr>
          <w:rFonts w:cs="Calibri" w:hint="eastAsia"/>
          <w:color w:val="000000"/>
          <w:lang w:eastAsia="zh-CN"/>
        </w:rPr>
        <w:t>最多六个月</w:t>
      </w:r>
      <w:r>
        <w:rPr>
          <w:rFonts w:cs="Calibri" w:hint="eastAsia"/>
          <w:color w:val="000000"/>
          <w:lang w:eastAsia="zh-CN"/>
        </w:rPr>
        <w:t>之</w:t>
      </w:r>
      <w:r w:rsidRPr="002C400D">
        <w:rPr>
          <w:rFonts w:cs="Calibri" w:hint="eastAsia"/>
          <w:color w:val="000000"/>
          <w:lang w:eastAsia="zh-CN"/>
        </w:rPr>
        <w:t>内完成；</w:t>
      </w:r>
    </w:p>
    <w:p w14:paraId="0709BF19" w14:textId="77777777" w:rsidR="00EA33C6" w:rsidRPr="002C400D" w:rsidRDefault="00EA33C6" w:rsidP="00EA33C6">
      <w:pPr>
        <w:rPr>
          <w:rFonts w:cs="Calibri"/>
          <w:lang w:eastAsia="zh-CN"/>
        </w:rPr>
      </w:pPr>
      <w:r w:rsidRPr="002C400D">
        <w:rPr>
          <w:rFonts w:cs="Calibri"/>
          <w:lang w:eastAsia="zh-CN"/>
        </w:rPr>
        <w:t>10</w:t>
      </w:r>
      <w:r w:rsidRPr="002C400D">
        <w:rPr>
          <w:rFonts w:cs="Calibri"/>
          <w:lang w:eastAsia="zh-CN"/>
        </w:rPr>
        <w:tab/>
      </w:r>
      <w:r>
        <w:rPr>
          <w:rFonts w:cs="Calibri" w:hint="eastAsia"/>
          <w:lang w:eastAsia="zh-CN"/>
        </w:rPr>
        <w:t>对于</w:t>
      </w:r>
      <w:r w:rsidRPr="002C400D">
        <w:rPr>
          <w:rFonts w:cs="Calibri" w:hint="eastAsia"/>
          <w:lang w:eastAsia="zh-CN"/>
        </w:rPr>
        <w:t>无线电通信局在申报资料</w:t>
      </w:r>
      <w:r>
        <w:rPr>
          <w:rFonts w:cs="Calibri" w:hint="eastAsia"/>
          <w:lang w:eastAsia="zh-CN"/>
        </w:rPr>
        <w:t>收悉</w:t>
      </w:r>
      <w:r w:rsidRPr="002C400D">
        <w:rPr>
          <w:rFonts w:cs="Calibri" w:hint="eastAsia"/>
          <w:lang w:eastAsia="zh-CN"/>
        </w:rPr>
        <w:t>日</w:t>
      </w:r>
      <w:r>
        <w:rPr>
          <w:rFonts w:cs="Calibri" w:hint="eastAsia"/>
          <w:lang w:eastAsia="zh-CN"/>
        </w:rPr>
        <w:t>之后</w:t>
      </w:r>
      <w:r w:rsidRPr="002C400D">
        <w:rPr>
          <w:rFonts w:cs="Calibri"/>
          <w:lang w:eastAsia="zh-CN"/>
        </w:rPr>
        <w:t>15</w:t>
      </w:r>
      <w:r w:rsidRPr="002C400D">
        <w:rPr>
          <w:rFonts w:cs="Calibri" w:hint="eastAsia"/>
          <w:lang w:eastAsia="zh-CN"/>
        </w:rPr>
        <w:t>天内收到的撤销要求，应免除支付费用的义务；</w:t>
      </w:r>
    </w:p>
    <w:p w14:paraId="1BF4CCF2" w14:textId="77777777" w:rsidR="00EA33C6" w:rsidRPr="002C400D" w:rsidRDefault="00EA33C6" w:rsidP="00EA33C6">
      <w:pPr>
        <w:rPr>
          <w:rFonts w:cs="Calibri"/>
          <w:lang w:eastAsia="zh-CN"/>
        </w:rPr>
      </w:pPr>
      <w:r w:rsidRPr="002C400D">
        <w:rPr>
          <w:rFonts w:cs="Calibri"/>
          <w:lang w:eastAsia="zh-CN"/>
        </w:rPr>
        <w:t>11</w:t>
      </w:r>
      <w:r w:rsidRPr="002C400D">
        <w:rPr>
          <w:rFonts w:cs="Calibri"/>
          <w:lang w:eastAsia="zh-CN"/>
        </w:rPr>
        <w:tab/>
      </w:r>
      <w:r w:rsidRPr="002C400D">
        <w:rPr>
          <w:rFonts w:cs="Calibri" w:hint="eastAsia"/>
          <w:lang w:val="en-US" w:eastAsia="zh-CN"/>
        </w:rPr>
        <w:t>对于业余卫星业务特节或</w:t>
      </w:r>
      <w:r w:rsidRPr="002C400D">
        <w:rPr>
          <w:rFonts w:cs="Calibri"/>
          <w:lang w:val="en-US" w:eastAsia="zh-CN"/>
        </w:rPr>
        <w:t>无线电</w:t>
      </w:r>
      <w:r w:rsidRPr="002C400D">
        <w:rPr>
          <w:rFonts w:cs="Calibri" w:hint="eastAsia"/>
          <w:lang w:val="en-US" w:eastAsia="zh-CN"/>
        </w:rPr>
        <w:t>通信</w:t>
      </w:r>
      <w:r w:rsidRPr="002C400D">
        <w:rPr>
          <w:rFonts w:cs="Calibri"/>
          <w:lang w:val="en-US" w:eastAsia="zh-CN"/>
        </w:rPr>
        <w:t>局</w:t>
      </w:r>
      <w:r w:rsidRPr="002C400D">
        <w:rPr>
          <w:rFonts w:cs="Calibri" w:hint="eastAsia"/>
          <w:lang w:val="en-US" w:eastAsia="zh-CN"/>
        </w:rPr>
        <w:t>《国际频率信息通报》（</w:t>
      </w:r>
      <w:r w:rsidRPr="002C400D">
        <w:rPr>
          <w:rFonts w:cs="Calibri" w:hint="eastAsia"/>
          <w:lang w:val="en-US" w:eastAsia="zh-CN"/>
        </w:rPr>
        <w:t>BR</w:t>
      </w:r>
      <w:r w:rsidRPr="002C400D">
        <w:rPr>
          <w:rFonts w:cs="Calibri"/>
          <w:lang w:val="en-US" w:eastAsia="zh-CN"/>
        </w:rPr>
        <w:t xml:space="preserve"> IFIC</w:t>
      </w:r>
      <w:r w:rsidRPr="002C400D">
        <w:rPr>
          <w:rFonts w:cs="Calibri" w:hint="eastAsia"/>
          <w:lang w:val="en-US" w:eastAsia="zh-CN"/>
        </w:rPr>
        <w:t>）（空间</w:t>
      </w:r>
      <w:r w:rsidRPr="002C400D">
        <w:rPr>
          <w:rFonts w:cs="Calibri"/>
          <w:lang w:val="en-US" w:eastAsia="zh-CN"/>
        </w:rPr>
        <w:t>业务）</w:t>
      </w:r>
      <w:r w:rsidRPr="002C400D">
        <w:rPr>
          <w:rFonts w:cs="Calibri" w:hint="eastAsia"/>
          <w:lang w:val="en-US" w:eastAsia="zh-CN"/>
        </w:rPr>
        <w:t>相关部分的公布、地球站频率指配登记的通知、按照附录</w:t>
      </w:r>
      <w:r w:rsidRPr="002C400D">
        <w:rPr>
          <w:rFonts w:cs="Calibri"/>
          <w:bCs/>
          <w:lang w:val="en-US" w:eastAsia="zh-CN"/>
        </w:rPr>
        <w:t>30B</w:t>
      </w:r>
      <w:r w:rsidRPr="002C400D">
        <w:rPr>
          <w:rFonts w:cs="Calibri" w:hint="eastAsia"/>
          <w:lang w:val="en-US" w:eastAsia="zh-CN"/>
        </w:rPr>
        <w:t>第</w:t>
      </w:r>
      <w:r w:rsidRPr="002C400D">
        <w:rPr>
          <w:rFonts w:cs="Calibri"/>
          <w:lang w:val="en-US" w:eastAsia="zh-CN"/>
        </w:rPr>
        <w:t>6</w:t>
      </w:r>
      <w:r w:rsidRPr="002C400D">
        <w:rPr>
          <w:rFonts w:cs="Calibri" w:hint="eastAsia"/>
          <w:lang w:val="en-US" w:eastAsia="zh-CN"/>
        </w:rPr>
        <w:t>条前第</w:t>
      </w:r>
      <w:r w:rsidRPr="002C400D">
        <w:rPr>
          <w:rFonts w:cs="Calibri"/>
          <w:lang w:val="en-US" w:eastAsia="zh-CN"/>
        </w:rPr>
        <w:t>I</w:t>
      </w:r>
      <w:r w:rsidRPr="002C400D">
        <w:rPr>
          <w:rFonts w:cs="Calibri" w:hint="eastAsia"/>
          <w:lang w:val="en-US" w:eastAsia="zh-CN"/>
        </w:rPr>
        <w:t>节规定的程序将分配转换为指配的通知、按照附录</w:t>
      </w:r>
      <w:r w:rsidRPr="002C400D">
        <w:rPr>
          <w:rFonts w:cs="Calibri"/>
          <w:lang w:eastAsia="zh-CN"/>
        </w:rPr>
        <w:t>30B</w:t>
      </w:r>
      <w:r w:rsidRPr="002C400D">
        <w:rPr>
          <w:rFonts w:cs="Calibri" w:hint="eastAsia"/>
          <w:lang w:val="en-US" w:eastAsia="zh-CN"/>
        </w:rPr>
        <w:t>第</w:t>
      </w:r>
      <w:r w:rsidRPr="002C400D">
        <w:rPr>
          <w:rFonts w:cs="Calibri"/>
          <w:bCs/>
          <w:lang w:val="en-US" w:eastAsia="zh-CN"/>
        </w:rPr>
        <w:t>7</w:t>
      </w:r>
      <w:r w:rsidRPr="002C400D">
        <w:rPr>
          <w:rFonts w:cs="Calibri" w:hint="eastAsia"/>
          <w:lang w:val="en-US" w:eastAsia="zh-CN"/>
        </w:rPr>
        <w:t>条规定的程序在规划中为国际电联</w:t>
      </w:r>
      <w:r>
        <w:rPr>
          <w:rFonts w:cs="Calibri" w:hint="eastAsia"/>
          <w:lang w:val="en-US" w:eastAsia="zh-CN"/>
        </w:rPr>
        <w:t>一</w:t>
      </w:r>
      <w:r w:rsidRPr="002C400D">
        <w:rPr>
          <w:rFonts w:cs="Calibri" w:hint="eastAsia"/>
          <w:lang w:val="en-US" w:eastAsia="zh-CN"/>
        </w:rPr>
        <w:t>新成员国增加</w:t>
      </w:r>
      <w:r>
        <w:rPr>
          <w:rFonts w:cs="Calibri" w:hint="eastAsia"/>
          <w:lang w:val="en-US" w:eastAsia="zh-CN"/>
        </w:rPr>
        <w:t>一</w:t>
      </w:r>
      <w:r w:rsidRPr="002C400D">
        <w:rPr>
          <w:rFonts w:cs="Calibri" w:hint="eastAsia"/>
          <w:lang w:val="en-US" w:eastAsia="zh-CN"/>
        </w:rPr>
        <w:t>新的分配</w:t>
      </w:r>
      <w:r>
        <w:rPr>
          <w:rFonts w:cs="Calibri" w:hint="eastAsia"/>
          <w:lang w:val="en-US" w:eastAsia="zh-CN"/>
        </w:rPr>
        <w:t>，</w:t>
      </w:r>
      <w:r w:rsidRPr="002C400D">
        <w:rPr>
          <w:rFonts w:cs="Calibri" w:hint="eastAsia"/>
          <w:lang w:val="en-US" w:eastAsia="zh-CN"/>
        </w:rPr>
        <w:t>均应免予收费；</w:t>
      </w:r>
    </w:p>
    <w:p w14:paraId="19670F7F" w14:textId="4A6CBF15" w:rsidR="00EA33C6" w:rsidRDefault="00EA33C6" w:rsidP="00EA33C6">
      <w:pPr>
        <w:rPr>
          <w:rFonts w:cs="Calibri"/>
          <w:lang w:eastAsia="zh-CN"/>
        </w:rPr>
      </w:pPr>
      <w:r w:rsidRPr="002C400D">
        <w:rPr>
          <w:rFonts w:cs="Calibri"/>
          <w:lang w:eastAsia="zh-CN"/>
        </w:rPr>
        <w:t>12</w:t>
      </w:r>
      <w:r w:rsidRPr="002C400D">
        <w:rPr>
          <w:rFonts w:cs="Calibri"/>
          <w:lang w:eastAsia="zh-CN"/>
        </w:rPr>
        <w:tab/>
      </w:r>
      <w:r w:rsidRPr="002C400D">
        <w:rPr>
          <w:rFonts w:cs="Calibri" w:hint="eastAsia"/>
          <w:lang w:eastAsia="zh-CN"/>
        </w:rPr>
        <w:t>第</w:t>
      </w:r>
      <w:r w:rsidRPr="002C400D">
        <w:rPr>
          <w:rFonts w:cs="Calibri"/>
          <w:lang w:eastAsia="zh-CN"/>
        </w:rPr>
        <w:t>482</w:t>
      </w:r>
      <w:r w:rsidRPr="002C400D">
        <w:rPr>
          <w:rFonts w:cs="Calibri" w:hint="eastAsia"/>
          <w:lang w:eastAsia="zh-CN"/>
        </w:rPr>
        <w:t>号决定</w:t>
      </w:r>
      <w:r w:rsidRPr="002C400D">
        <w:rPr>
          <w:rFonts w:cs="Calibri" w:hint="eastAsia"/>
          <w:lang w:val="en-US" w:eastAsia="zh-CN"/>
        </w:rPr>
        <w:t>（</w:t>
      </w:r>
      <w:r w:rsidRPr="00E158AF">
        <w:rPr>
          <w:rFonts w:eastAsiaTheme="minorEastAsia" w:cs="Calibri"/>
          <w:szCs w:val="24"/>
          <w:lang w:eastAsia="zh-CN"/>
        </w:rPr>
        <w:t>2020</w:t>
      </w:r>
      <w:r w:rsidRPr="002C400D">
        <w:rPr>
          <w:rFonts w:cs="Calibri" w:hint="eastAsia"/>
          <w:lang w:eastAsia="zh-CN"/>
        </w:rPr>
        <w:t>年</w:t>
      </w:r>
      <w:r w:rsidR="00952A1C">
        <w:rPr>
          <w:rFonts w:cs="Calibri" w:hint="eastAsia"/>
          <w:lang w:eastAsia="zh-CN"/>
        </w:rPr>
        <w:t>，</w:t>
      </w:r>
      <w:r w:rsidRPr="002C400D">
        <w:rPr>
          <w:rFonts w:cs="Calibri" w:hint="eastAsia"/>
          <w:lang w:eastAsia="zh-CN"/>
        </w:rPr>
        <w:t>修</w:t>
      </w:r>
      <w:r w:rsidR="00952A1C">
        <w:rPr>
          <w:rFonts w:cs="Calibri" w:hint="eastAsia"/>
          <w:lang w:eastAsia="zh-CN"/>
        </w:rPr>
        <w:t>改版</w:t>
      </w:r>
      <w:r w:rsidRPr="002C400D">
        <w:rPr>
          <w:rFonts w:cs="Calibri" w:hint="eastAsia"/>
          <w:lang w:val="en-US" w:eastAsia="zh-CN"/>
        </w:rPr>
        <w:t>）</w:t>
      </w:r>
      <w:r w:rsidRPr="002C400D">
        <w:rPr>
          <w:rFonts w:cs="Calibri" w:hint="eastAsia"/>
          <w:lang w:eastAsia="zh-CN"/>
        </w:rPr>
        <w:t>的生效日期为</w:t>
      </w:r>
      <w:r w:rsidRPr="00E158AF">
        <w:rPr>
          <w:rFonts w:eastAsiaTheme="minorEastAsia" w:cs="Calibri"/>
          <w:szCs w:val="24"/>
          <w:lang w:eastAsia="zh-CN"/>
        </w:rPr>
        <w:t>2020</w:t>
      </w:r>
      <w:r w:rsidRPr="002C400D">
        <w:rPr>
          <w:rFonts w:cs="Calibri" w:hint="eastAsia"/>
          <w:lang w:eastAsia="zh-CN"/>
        </w:rPr>
        <w:t>年</w:t>
      </w:r>
      <w:r>
        <w:rPr>
          <w:rFonts w:cs="Calibri" w:hint="eastAsia"/>
          <w:lang w:eastAsia="zh-CN"/>
        </w:rPr>
        <w:t>9</w:t>
      </w:r>
      <w:r w:rsidRPr="002C400D">
        <w:rPr>
          <w:rFonts w:cs="Calibri" w:hint="eastAsia"/>
          <w:lang w:eastAsia="zh-CN"/>
        </w:rPr>
        <w:t>月</w:t>
      </w:r>
      <w:r w:rsidRPr="002C400D">
        <w:rPr>
          <w:rFonts w:cs="Calibri"/>
          <w:lang w:eastAsia="zh-CN"/>
        </w:rPr>
        <w:t>1</w:t>
      </w:r>
      <w:r w:rsidRPr="002C400D">
        <w:rPr>
          <w:rFonts w:cs="Calibri" w:hint="eastAsia"/>
          <w:lang w:eastAsia="zh-CN"/>
        </w:rPr>
        <w:t>日；</w:t>
      </w:r>
    </w:p>
    <w:p w14:paraId="4827AAE8" w14:textId="21CA3BBA" w:rsidR="00312A82" w:rsidRPr="002C400D" w:rsidRDefault="00EA33C6" w:rsidP="00EA33C6">
      <w:pPr>
        <w:rPr>
          <w:rFonts w:cs="Calibri"/>
          <w:lang w:eastAsia="zh-CN"/>
        </w:rPr>
      </w:pPr>
      <w:r w:rsidRPr="002C400D">
        <w:rPr>
          <w:rFonts w:cs="Calibri"/>
          <w:lang w:eastAsia="zh-CN"/>
        </w:rPr>
        <w:t>13</w:t>
      </w:r>
      <w:r w:rsidRPr="002C400D">
        <w:rPr>
          <w:rFonts w:cs="Calibri"/>
          <w:lang w:eastAsia="zh-CN"/>
        </w:rPr>
        <w:tab/>
      </w:r>
      <w:r w:rsidRPr="002C400D">
        <w:rPr>
          <w:rFonts w:cs="Calibri" w:hint="eastAsia"/>
          <w:lang w:eastAsia="zh-CN"/>
        </w:rPr>
        <w:t>在</w:t>
      </w:r>
      <w:r>
        <w:rPr>
          <w:rFonts w:cs="Calibri" w:hint="eastAsia"/>
          <w:lang w:eastAsia="zh-CN"/>
        </w:rPr>
        <w:t>可提供</w:t>
      </w:r>
      <w:r w:rsidRPr="002C400D">
        <w:rPr>
          <w:rFonts w:cs="Calibri" w:hint="eastAsia"/>
          <w:lang w:eastAsia="zh-CN"/>
        </w:rPr>
        <w:t>更多的时间记录数据后，有必要对本决定的条款进行修</w:t>
      </w:r>
      <w:r>
        <w:rPr>
          <w:rFonts w:cs="Calibri" w:hint="eastAsia"/>
          <w:lang w:eastAsia="zh-CN"/>
        </w:rPr>
        <w:t>订</w:t>
      </w:r>
      <w:r w:rsidRPr="002C400D">
        <w:rPr>
          <w:rFonts w:cs="Calibri" w:hint="eastAsia"/>
          <w:lang w:eastAsia="zh-CN"/>
        </w:rPr>
        <w:t>，</w:t>
      </w:r>
    </w:p>
    <w:p w14:paraId="4827AAE9" w14:textId="77777777" w:rsidR="00312A82" w:rsidRPr="002C400D" w:rsidRDefault="00312A82" w:rsidP="00312A82">
      <w:pPr>
        <w:pStyle w:val="Call"/>
        <w:rPr>
          <w:lang w:eastAsia="zh-CN"/>
        </w:rPr>
      </w:pPr>
      <w:r w:rsidRPr="002C400D">
        <w:rPr>
          <w:rFonts w:hint="eastAsia"/>
          <w:lang w:eastAsia="zh-CN"/>
        </w:rPr>
        <w:t>做出建议</w:t>
      </w:r>
    </w:p>
    <w:p w14:paraId="4827AAEA" w14:textId="50902A4A" w:rsidR="00312A82" w:rsidRPr="002C400D" w:rsidRDefault="00EA33C6" w:rsidP="00312A82">
      <w:pPr>
        <w:ind w:firstLineChars="200" w:firstLine="480"/>
        <w:rPr>
          <w:rFonts w:cs="Calibri"/>
          <w:lang w:eastAsia="zh-CN"/>
        </w:rPr>
      </w:pPr>
      <w:r w:rsidRPr="00EA33C6">
        <w:rPr>
          <w:rFonts w:cs="Calibri" w:hint="eastAsia"/>
          <w:lang w:eastAsia="zh-CN"/>
        </w:rPr>
        <w:t>如果理事会修订附件中的收费表，则无线电通信局应将可能出现的任何余款按照各主管部门的要求用于今后的发票，</w:t>
      </w:r>
    </w:p>
    <w:p w14:paraId="4827AAEB" w14:textId="77777777" w:rsidR="00312A82" w:rsidRPr="002C400D" w:rsidRDefault="00312A82" w:rsidP="00312A82">
      <w:pPr>
        <w:pStyle w:val="Call"/>
        <w:rPr>
          <w:lang w:eastAsia="zh-CN"/>
        </w:rPr>
      </w:pPr>
      <w:r w:rsidRPr="002C400D">
        <w:rPr>
          <w:rFonts w:hint="eastAsia"/>
          <w:lang w:eastAsia="zh-CN"/>
        </w:rPr>
        <w:t>鼓励成员国</w:t>
      </w:r>
    </w:p>
    <w:p w14:paraId="4827AAEC" w14:textId="44C6438D" w:rsidR="00312A82" w:rsidRPr="002C400D" w:rsidRDefault="00EA33C6" w:rsidP="00312A82">
      <w:pPr>
        <w:ind w:firstLineChars="200" w:firstLine="480"/>
        <w:rPr>
          <w:rFonts w:cs="Calibri"/>
          <w:lang w:eastAsia="zh-CN"/>
        </w:rPr>
      </w:pPr>
      <w:r w:rsidRPr="00EA33C6">
        <w:rPr>
          <w:rFonts w:cs="Calibri" w:hint="eastAsia"/>
          <w:lang w:eastAsia="zh-CN"/>
        </w:rPr>
        <w:t>制定国内政策，最大程度地减少不支付情况的发生以及因此给国际电联造成的收入损失，</w:t>
      </w:r>
    </w:p>
    <w:p w14:paraId="4827AAED" w14:textId="77777777" w:rsidR="00312A82" w:rsidRPr="002C400D" w:rsidRDefault="00312A82" w:rsidP="00312A82">
      <w:pPr>
        <w:pStyle w:val="Call"/>
        <w:rPr>
          <w:lang w:eastAsia="zh-CN"/>
        </w:rPr>
      </w:pPr>
      <w:r w:rsidRPr="002C400D">
        <w:rPr>
          <w:rFonts w:hint="eastAsia"/>
          <w:lang w:eastAsia="zh-CN"/>
        </w:rPr>
        <w:t>责成无线电通信局主任</w:t>
      </w:r>
    </w:p>
    <w:p w14:paraId="4347441B" w14:textId="77777777" w:rsidR="00EA33C6" w:rsidRPr="002C400D" w:rsidRDefault="00EA33C6" w:rsidP="00EA33C6">
      <w:pPr>
        <w:rPr>
          <w:rFonts w:cs="Calibri"/>
          <w:lang w:eastAsia="zh-CN"/>
        </w:rPr>
      </w:pPr>
      <w:r w:rsidRPr="002C400D">
        <w:rPr>
          <w:rFonts w:cs="Calibri"/>
          <w:lang w:eastAsia="zh-CN"/>
        </w:rPr>
        <w:t>1</w:t>
      </w:r>
      <w:r w:rsidRPr="002C400D">
        <w:rPr>
          <w:rFonts w:cs="Calibri"/>
          <w:lang w:eastAsia="zh-CN"/>
        </w:rPr>
        <w:tab/>
      </w:r>
      <w:r>
        <w:rPr>
          <w:rFonts w:cs="Calibri" w:hint="eastAsia"/>
          <w:lang w:eastAsia="zh-CN"/>
        </w:rPr>
        <w:t>强化</w:t>
      </w:r>
      <w:r w:rsidRPr="002C400D">
        <w:rPr>
          <w:rFonts w:cs="Calibri" w:hint="eastAsia"/>
          <w:lang w:eastAsia="zh-CN"/>
        </w:rPr>
        <w:t>无线电通信局的电子通知表格软件（</w:t>
      </w:r>
      <w:r w:rsidRPr="002C400D">
        <w:rPr>
          <w:rFonts w:cs="Calibri"/>
          <w:lang w:eastAsia="zh-CN"/>
        </w:rPr>
        <w:t>SpaceCap</w:t>
      </w:r>
      <w:r w:rsidRPr="002C400D">
        <w:rPr>
          <w:rFonts w:cs="Calibri" w:hint="eastAsia"/>
          <w:lang w:eastAsia="zh-CN"/>
        </w:rPr>
        <w:t>），以便在任何类型的卫星网络申报提交国际电联之前</w:t>
      </w:r>
      <w:r>
        <w:rPr>
          <w:rFonts w:cs="Calibri" w:hint="eastAsia"/>
          <w:lang w:eastAsia="zh-CN"/>
        </w:rPr>
        <w:t>即可</w:t>
      </w:r>
      <w:r w:rsidRPr="002C400D">
        <w:rPr>
          <w:rFonts w:cs="Calibri" w:hint="eastAsia"/>
          <w:lang w:eastAsia="zh-CN"/>
        </w:rPr>
        <w:t>计算出最为接近的相关收费估算；</w:t>
      </w:r>
    </w:p>
    <w:p w14:paraId="200CA424" w14:textId="77777777" w:rsidR="00EA33C6" w:rsidRPr="002C400D" w:rsidRDefault="00EA33C6" w:rsidP="00EA33C6">
      <w:pPr>
        <w:rPr>
          <w:rFonts w:cs="Calibri"/>
          <w:lang w:val="en-US" w:eastAsia="zh-CN"/>
        </w:rPr>
      </w:pPr>
      <w:r w:rsidRPr="002C400D">
        <w:rPr>
          <w:rFonts w:cs="Calibri"/>
          <w:lang w:eastAsia="zh-CN"/>
        </w:rPr>
        <w:t>2</w:t>
      </w:r>
      <w:r w:rsidRPr="002C400D">
        <w:rPr>
          <w:rFonts w:cs="Calibri"/>
          <w:lang w:eastAsia="zh-CN"/>
        </w:rPr>
        <w:tab/>
      </w:r>
      <w:r w:rsidRPr="002C400D">
        <w:rPr>
          <w:rFonts w:cs="Calibri" w:hint="eastAsia"/>
          <w:lang w:val="en-US" w:eastAsia="zh-CN"/>
        </w:rPr>
        <w:t>向理事会提交</w:t>
      </w:r>
      <w:r w:rsidRPr="002C400D">
        <w:rPr>
          <w:rFonts w:cs="Calibri" w:hint="eastAsia"/>
          <w:color w:val="000000"/>
          <w:lang w:eastAsia="zh-CN"/>
        </w:rPr>
        <w:t>一份</w:t>
      </w:r>
      <w:r w:rsidRPr="002C400D">
        <w:rPr>
          <w:rFonts w:cs="Calibri" w:hint="eastAsia"/>
          <w:lang w:val="en-US" w:eastAsia="zh-CN"/>
        </w:rPr>
        <w:t>有关实施本决定的</w:t>
      </w:r>
      <w:r w:rsidRPr="002C400D">
        <w:rPr>
          <w:rFonts w:cs="Calibri" w:hint="eastAsia"/>
          <w:color w:val="000000"/>
          <w:lang w:eastAsia="zh-CN"/>
        </w:rPr>
        <w:t>年度</w:t>
      </w:r>
      <w:r w:rsidRPr="002C400D">
        <w:rPr>
          <w:rFonts w:cs="Calibri" w:hint="eastAsia"/>
          <w:lang w:val="en-US" w:eastAsia="zh-CN"/>
        </w:rPr>
        <w:t>报告，其中包括对以下</w:t>
      </w:r>
      <w:r>
        <w:rPr>
          <w:rFonts w:cs="Calibri" w:hint="eastAsia"/>
          <w:lang w:val="en-US" w:eastAsia="zh-CN"/>
        </w:rPr>
        <w:t>方面</w:t>
      </w:r>
      <w:r w:rsidRPr="002C400D">
        <w:rPr>
          <w:rFonts w:cs="Calibri" w:hint="eastAsia"/>
          <w:lang w:val="en-US" w:eastAsia="zh-CN"/>
        </w:rPr>
        <w:t>的分析：</w:t>
      </w:r>
    </w:p>
    <w:p w14:paraId="2001B4E0" w14:textId="77777777" w:rsidR="00EA33C6" w:rsidRPr="002C400D" w:rsidRDefault="00EA33C6" w:rsidP="00EA33C6">
      <w:pPr>
        <w:pStyle w:val="enumlev1"/>
        <w:rPr>
          <w:rFonts w:cs="Calibri"/>
          <w:lang w:eastAsia="zh-CN"/>
        </w:rPr>
      </w:pPr>
      <w:r w:rsidRPr="002C400D">
        <w:rPr>
          <w:rFonts w:cs="Calibri"/>
          <w:lang w:eastAsia="zh-CN"/>
        </w:rPr>
        <w:t>a)</w:t>
      </w:r>
      <w:r w:rsidRPr="002C400D">
        <w:rPr>
          <w:rFonts w:cs="Calibri"/>
          <w:lang w:eastAsia="zh-CN"/>
        </w:rPr>
        <w:tab/>
      </w:r>
      <w:r>
        <w:rPr>
          <w:rFonts w:cs="Calibri" w:hint="eastAsia"/>
          <w:lang w:eastAsia="zh-CN"/>
        </w:rPr>
        <w:t>程序中不同</w:t>
      </w:r>
      <w:r w:rsidRPr="002C400D">
        <w:rPr>
          <w:rFonts w:cs="Calibri" w:hint="eastAsia"/>
          <w:lang w:eastAsia="zh-CN"/>
        </w:rPr>
        <w:t>步骤的成本；</w:t>
      </w:r>
    </w:p>
    <w:p w14:paraId="7C84A6E6" w14:textId="77777777" w:rsidR="00EA33C6" w:rsidRPr="002C400D" w:rsidRDefault="00EA33C6" w:rsidP="00EA33C6">
      <w:pPr>
        <w:pStyle w:val="enumlev1"/>
        <w:rPr>
          <w:rFonts w:cs="Calibri"/>
          <w:lang w:eastAsia="zh-CN"/>
        </w:rPr>
      </w:pPr>
      <w:r w:rsidRPr="002C400D">
        <w:rPr>
          <w:rFonts w:cs="Calibri"/>
          <w:lang w:eastAsia="zh-CN"/>
        </w:rPr>
        <w:t>b)</w:t>
      </w:r>
      <w:r w:rsidRPr="002C400D">
        <w:rPr>
          <w:rFonts w:cs="Calibri"/>
          <w:lang w:eastAsia="zh-CN"/>
        </w:rPr>
        <w:tab/>
      </w:r>
      <w:r w:rsidRPr="002C400D">
        <w:rPr>
          <w:rFonts w:cs="Calibri" w:hint="eastAsia"/>
          <w:lang w:eastAsia="zh-CN"/>
        </w:rPr>
        <w:t>以电子形式提交资料的影响；</w:t>
      </w:r>
    </w:p>
    <w:p w14:paraId="0803C83C" w14:textId="77777777" w:rsidR="00EA33C6" w:rsidRPr="002C400D" w:rsidRDefault="00EA33C6" w:rsidP="00EA33C6">
      <w:pPr>
        <w:pStyle w:val="enumlev1"/>
        <w:rPr>
          <w:rFonts w:cs="Calibri"/>
          <w:lang w:eastAsia="zh-CN"/>
        </w:rPr>
      </w:pPr>
      <w:r w:rsidRPr="002C400D">
        <w:rPr>
          <w:rFonts w:cs="Calibri"/>
          <w:lang w:eastAsia="zh-CN"/>
        </w:rPr>
        <w:t>c)</w:t>
      </w:r>
      <w:r w:rsidRPr="002C400D">
        <w:rPr>
          <w:rFonts w:cs="Calibri"/>
          <w:lang w:eastAsia="zh-CN"/>
        </w:rPr>
        <w:tab/>
      </w:r>
      <w:r w:rsidRPr="002C400D">
        <w:rPr>
          <w:rFonts w:cs="Calibri" w:hint="eastAsia"/>
          <w:lang w:eastAsia="zh-CN"/>
        </w:rPr>
        <w:t>提高服务质量，其中包括减少积压；</w:t>
      </w:r>
    </w:p>
    <w:p w14:paraId="142550E2" w14:textId="77777777" w:rsidR="00EA33C6" w:rsidRPr="002C400D" w:rsidRDefault="00EA33C6" w:rsidP="00EA33C6">
      <w:pPr>
        <w:pStyle w:val="enumlev1"/>
        <w:rPr>
          <w:rFonts w:cs="Calibri"/>
          <w:lang w:eastAsia="zh-CN"/>
        </w:rPr>
      </w:pPr>
      <w:r w:rsidRPr="002C400D">
        <w:rPr>
          <w:rFonts w:cs="Calibri"/>
          <w:lang w:eastAsia="zh-CN"/>
        </w:rPr>
        <w:t>d)</w:t>
      </w:r>
      <w:r w:rsidRPr="002C400D">
        <w:rPr>
          <w:rFonts w:cs="Calibri"/>
          <w:lang w:eastAsia="zh-CN"/>
        </w:rPr>
        <w:tab/>
      </w:r>
      <w:r w:rsidRPr="002C400D">
        <w:rPr>
          <w:rFonts w:cs="Calibri" w:hint="eastAsia"/>
          <w:lang w:eastAsia="zh-CN"/>
        </w:rPr>
        <w:t>验证申报资料</w:t>
      </w:r>
      <w:r>
        <w:rPr>
          <w:rFonts w:cs="Calibri" w:hint="eastAsia"/>
          <w:lang w:eastAsia="zh-CN"/>
        </w:rPr>
        <w:t>以</w:t>
      </w:r>
      <w:r w:rsidRPr="002C400D">
        <w:rPr>
          <w:rFonts w:cs="Calibri" w:hint="eastAsia"/>
          <w:lang w:eastAsia="zh-CN"/>
        </w:rPr>
        <w:t>及要求采取纠正措施的费用；</w:t>
      </w:r>
      <w:r>
        <w:rPr>
          <w:rFonts w:cs="Calibri" w:hint="eastAsia"/>
          <w:lang w:eastAsia="zh-CN"/>
        </w:rPr>
        <w:t>和</w:t>
      </w:r>
    </w:p>
    <w:p w14:paraId="769CB295" w14:textId="77777777" w:rsidR="00EA33C6" w:rsidRPr="002C400D" w:rsidRDefault="00EA33C6" w:rsidP="00EA33C6">
      <w:pPr>
        <w:pStyle w:val="enumlev1"/>
        <w:rPr>
          <w:rFonts w:cs="Calibri"/>
          <w:lang w:eastAsia="zh-CN"/>
        </w:rPr>
      </w:pPr>
      <w:r w:rsidRPr="002C400D">
        <w:rPr>
          <w:rFonts w:cs="Calibri"/>
          <w:lang w:eastAsia="zh-CN"/>
        </w:rPr>
        <w:t>e)</w:t>
      </w:r>
      <w:r w:rsidRPr="002C400D">
        <w:rPr>
          <w:rFonts w:cs="Calibri"/>
          <w:lang w:eastAsia="zh-CN"/>
        </w:rPr>
        <w:tab/>
      </w:r>
      <w:r>
        <w:rPr>
          <w:rFonts w:cs="Calibri" w:hint="eastAsia"/>
          <w:lang w:eastAsia="zh-CN"/>
        </w:rPr>
        <w:t>应</w:t>
      </w:r>
      <w:r w:rsidRPr="002C400D">
        <w:rPr>
          <w:rFonts w:cs="Calibri" w:hint="eastAsia"/>
          <w:lang w:eastAsia="zh-CN"/>
        </w:rPr>
        <w:t>用本决定</w:t>
      </w:r>
      <w:r>
        <w:rPr>
          <w:rFonts w:cs="Calibri" w:hint="eastAsia"/>
          <w:lang w:eastAsia="zh-CN"/>
        </w:rPr>
        <w:t>条款</w:t>
      </w:r>
      <w:r w:rsidRPr="002C400D">
        <w:rPr>
          <w:rFonts w:cs="Calibri" w:hint="eastAsia"/>
          <w:lang w:eastAsia="zh-CN"/>
        </w:rPr>
        <w:t>时</w:t>
      </w:r>
      <w:r>
        <w:rPr>
          <w:rFonts w:cs="Calibri" w:hint="eastAsia"/>
          <w:lang w:eastAsia="zh-CN"/>
        </w:rPr>
        <w:t>所</w:t>
      </w:r>
      <w:r w:rsidRPr="002C400D">
        <w:rPr>
          <w:rFonts w:cs="Calibri" w:hint="eastAsia"/>
          <w:lang w:eastAsia="zh-CN"/>
        </w:rPr>
        <w:t>遇到的困难</w:t>
      </w:r>
      <w:r>
        <w:rPr>
          <w:rFonts w:cs="Calibri" w:hint="eastAsia"/>
          <w:lang w:eastAsia="zh-CN"/>
        </w:rPr>
        <w:t>，</w:t>
      </w:r>
    </w:p>
    <w:p w14:paraId="4827AAF5" w14:textId="747BFF14" w:rsidR="00312A82" w:rsidRDefault="00EA33C6" w:rsidP="00EA33C6">
      <w:pPr>
        <w:rPr>
          <w:rFonts w:cs="Calibri"/>
          <w:lang w:eastAsia="zh-CN"/>
        </w:rPr>
      </w:pPr>
      <w:r w:rsidRPr="002C400D">
        <w:rPr>
          <w:rFonts w:cs="Calibri"/>
          <w:lang w:eastAsia="zh-CN"/>
        </w:rPr>
        <w:t>3</w:t>
      </w:r>
      <w:r w:rsidRPr="002C400D">
        <w:rPr>
          <w:rFonts w:cs="Calibri"/>
          <w:lang w:eastAsia="zh-CN"/>
        </w:rPr>
        <w:tab/>
      </w:r>
      <w:r w:rsidRPr="002C400D">
        <w:rPr>
          <w:rFonts w:cs="Calibri" w:hint="eastAsia"/>
          <w:lang w:eastAsia="zh-CN"/>
        </w:rPr>
        <w:t>向成员国通报无线电通信局在实施本决定条款时的做法以及采取该做法的原因。</w:t>
      </w:r>
    </w:p>
    <w:p w14:paraId="4827AAF6" w14:textId="77777777" w:rsidR="00976C2A" w:rsidRPr="002C400D" w:rsidRDefault="00312A82" w:rsidP="00F87B27">
      <w:pPr>
        <w:spacing w:before="720"/>
        <w:rPr>
          <w:rFonts w:cs="Calibri"/>
          <w:lang w:eastAsia="zh-CN"/>
        </w:rPr>
      </w:pPr>
      <w:r w:rsidRPr="00CD2C5D">
        <w:rPr>
          <w:rFonts w:cs="Calibri" w:hint="eastAsia"/>
          <w:b/>
          <w:bCs/>
          <w:lang w:eastAsia="zh-CN"/>
        </w:rPr>
        <w:t>附件：</w:t>
      </w:r>
      <w:r>
        <w:rPr>
          <w:rFonts w:cs="Calibri" w:hint="eastAsia"/>
          <w:lang w:eastAsia="zh-CN"/>
        </w:rPr>
        <w:t>1</w:t>
      </w:r>
      <w:r>
        <w:rPr>
          <w:rFonts w:cs="Calibri" w:hint="eastAsia"/>
          <w:lang w:eastAsia="zh-CN"/>
        </w:rPr>
        <w:t>件</w:t>
      </w:r>
    </w:p>
    <w:p w14:paraId="4827AAF7" w14:textId="77777777" w:rsidR="006831B1" w:rsidRPr="002C400D" w:rsidRDefault="006831B1" w:rsidP="006831B1">
      <w:pPr>
        <w:rPr>
          <w:rFonts w:cs="Calibri"/>
          <w:lang w:eastAsia="zh-CN"/>
        </w:rPr>
      </w:pPr>
    </w:p>
    <w:p w14:paraId="4827AAF8" w14:textId="77777777" w:rsidR="006831B1" w:rsidRPr="002C400D" w:rsidRDefault="006831B1" w:rsidP="006831B1">
      <w:pPr>
        <w:rPr>
          <w:lang w:eastAsia="zh-CN"/>
        </w:rPr>
        <w:sectPr w:rsidR="006831B1" w:rsidRPr="002C400D" w:rsidSect="00B906B3">
          <w:headerReference w:type="even" r:id="rId103"/>
          <w:headerReference w:type="default" r:id="rId104"/>
          <w:headerReference w:type="first" r:id="rId105"/>
          <w:pgSz w:w="11907" w:h="16834" w:code="9"/>
          <w:pgMar w:top="1418" w:right="1134" w:bottom="1134" w:left="1134" w:header="737" w:footer="567" w:gutter="0"/>
          <w:paperSrc w:first="15" w:other="15"/>
          <w:cols w:space="720"/>
          <w:vAlign w:val="both"/>
          <w:titlePg/>
          <w:docGrid w:linePitch="326"/>
        </w:sectPr>
      </w:pPr>
    </w:p>
    <w:p w14:paraId="4827AAF9" w14:textId="77777777" w:rsidR="00312A82" w:rsidRPr="00CD2C5D" w:rsidRDefault="00312A82" w:rsidP="00312A82">
      <w:pPr>
        <w:pStyle w:val="AnnexNo"/>
        <w:spacing w:before="0" w:after="0"/>
        <w:rPr>
          <w:rFonts w:cs="Calibri"/>
          <w:szCs w:val="28"/>
          <w:lang w:eastAsia="zh-CN"/>
        </w:rPr>
      </w:pPr>
      <w:r w:rsidRPr="00CD2C5D">
        <w:rPr>
          <w:rFonts w:cs="Calibri" w:hint="eastAsia"/>
          <w:szCs w:val="28"/>
          <w:lang w:eastAsia="zh-CN"/>
        </w:rPr>
        <w:lastRenderedPageBreak/>
        <w:t>附件</w:t>
      </w:r>
    </w:p>
    <w:p w14:paraId="729408CE" w14:textId="58EDC125" w:rsidR="00EA33C6" w:rsidRPr="00EA33C6" w:rsidRDefault="00EA33C6" w:rsidP="00EA33C6">
      <w:pPr>
        <w:pStyle w:val="Annextitle"/>
        <w:spacing w:before="120" w:after="120"/>
        <w:rPr>
          <w:rFonts w:cs="Calibri"/>
          <w:szCs w:val="28"/>
          <w:lang w:eastAsia="zh-CN"/>
        </w:rPr>
      </w:pPr>
      <w:r w:rsidRPr="00EA33C6">
        <w:rPr>
          <w:rFonts w:cs="Calibri" w:hint="eastAsia"/>
          <w:szCs w:val="28"/>
          <w:lang w:eastAsia="zh-CN"/>
        </w:rPr>
        <w:t>适用于无线电通信局自</w:t>
      </w:r>
      <w:r w:rsidRPr="00EA33C6">
        <w:rPr>
          <w:rFonts w:cs="Calibri" w:hint="eastAsia"/>
          <w:szCs w:val="28"/>
          <w:lang w:eastAsia="zh-CN"/>
        </w:rPr>
        <w:t>2020</w:t>
      </w:r>
      <w:r w:rsidRPr="00EA33C6">
        <w:rPr>
          <w:rFonts w:cs="Calibri" w:hint="eastAsia"/>
          <w:szCs w:val="28"/>
          <w:lang w:eastAsia="zh-CN"/>
        </w:rPr>
        <w:t>年</w:t>
      </w:r>
      <w:r w:rsidRPr="00EA33C6">
        <w:rPr>
          <w:rFonts w:cs="Calibri" w:hint="eastAsia"/>
          <w:szCs w:val="28"/>
          <w:lang w:eastAsia="zh-CN"/>
        </w:rPr>
        <w:t>9</w:t>
      </w:r>
      <w:r w:rsidRPr="00EA33C6">
        <w:rPr>
          <w:rFonts w:cs="Calibri" w:hint="eastAsia"/>
          <w:szCs w:val="28"/>
          <w:lang w:eastAsia="zh-CN"/>
        </w:rPr>
        <w:t>月</w:t>
      </w:r>
      <w:r w:rsidRPr="00EA33C6">
        <w:rPr>
          <w:rFonts w:cs="Calibri" w:hint="eastAsia"/>
          <w:szCs w:val="28"/>
          <w:lang w:eastAsia="zh-CN"/>
        </w:rPr>
        <w:t>1</w:t>
      </w:r>
      <w:r w:rsidRPr="00EA33C6">
        <w:rPr>
          <w:rFonts w:cs="Calibri" w:hint="eastAsia"/>
          <w:szCs w:val="28"/>
          <w:lang w:eastAsia="zh-CN"/>
        </w:rPr>
        <w:t>日当日及之后收到的</w:t>
      </w:r>
      <w:r w:rsidR="00312A82" w:rsidRPr="00CD2C5D">
        <w:rPr>
          <w:rFonts w:cs="Calibri"/>
          <w:szCs w:val="28"/>
          <w:lang w:eastAsia="zh-CN"/>
        </w:rPr>
        <w:br/>
      </w:r>
      <w:r w:rsidR="00312A82" w:rsidRPr="00CD2C5D">
        <w:rPr>
          <w:rFonts w:cs="Calibri"/>
          <w:szCs w:val="28"/>
          <w:lang w:eastAsia="zh-CN"/>
        </w:rPr>
        <w:t>卫星网络</w:t>
      </w:r>
      <w:r w:rsidR="00312A82">
        <w:rPr>
          <w:rFonts w:cs="Calibri" w:hint="eastAsia"/>
          <w:szCs w:val="28"/>
          <w:lang w:eastAsia="zh-CN"/>
        </w:rPr>
        <w:t>申</w:t>
      </w:r>
      <w:r w:rsidR="00312A82" w:rsidRPr="00CD2C5D">
        <w:rPr>
          <w:rFonts w:cs="Calibri"/>
          <w:szCs w:val="28"/>
          <w:lang w:eastAsia="zh-CN"/>
        </w:rPr>
        <w:t>报的资料</w:t>
      </w:r>
      <w:r>
        <w:rPr>
          <w:rFonts w:cs="Calibri" w:hint="eastAsia"/>
          <w:szCs w:val="28"/>
          <w:lang w:eastAsia="zh-CN"/>
        </w:rPr>
        <w:t>的</w:t>
      </w:r>
      <w:r w:rsidR="00312A82" w:rsidRPr="00CD2C5D">
        <w:rPr>
          <w:rFonts w:cs="Calibri"/>
          <w:szCs w:val="28"/>
          <w:lang w:eastAsia="zh-CN"/>
        </w:rPr>
        <w:t>处理收费</w:t>
      </w:r>
      <w:r>
        <w:rPr>
          <w:rFonts w:cs="Calibri" w:hint="eastAsia"/>
          <w:szCs w:val="28"/>
          <w:lang w:eastAsia="zh-CN"/>
        </w:rPr>
        <w:t>表</w:t>
      </w:r>
    </w:p>
    <w:tbl>
      <w:tblPr>
        <w:tblW w:w="15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
        <w:gridCol w:w="837"/>
        <w:gridCol w:w="614"/>
        <w:gridCol w:w="7845"/>
        <w:gridCol w:w="1499"/>
        <w:gridCol w:w="1505"/>
        <w:gridCol w:w="6"/>
        <w:gridCol w:w="1484"/>
        <w:gridCol w:w="1287"/>
      </w:tblGrid>
      <w:tr w:rsidR="00EA33C6" w:rsidRPr="002C400D" w14:paraId="6EEC23B7" w14:textId="77777777" w:rsidTr="00EA33C6">
        <w:trPr>
          <w:cantSplit/>
          <w:tblHeader/>
          <w:jc w:val="center"/>
        </w:trPr>
        <w:tc>
          <w:tcPr>
            <w:tcW w:w="1306" w:type="dxa"/>
            <w:gridSpan w:val="2"/>
            <w:tcBorders>
              <w:top w:val="single" w:sz="4" w:space="0" w:color="auto"/>
              <w:left w:val="single" w:sz="4" w:space="0" w:color="auto"/>
              <w:bottom w:val="single" w:sz="4" w:space="0" w:color="auto"/>
              <w:right w:val="single" w:sz="4" w:space="0" w:color="auto"/>
            </w:tcBorders>
            <w:vAlign w:val="center"/>
            <w:hideMark/>
          </w:tcPr>
          <w:p w14:paraId="0F442046" w14:textId="77777777" w:rsidR="00EA33C6" w:rsidRPr="002C400D" w:rsidRDefault="00EA33C6" w:rsidP="00EA33C6">
            <w:pPr>
              <w:spacing w:after="120"/>
              <w:jc w:val="center"/>
              <w:rPr>
                <w:rFonts w:cs="Calibri"/>
                <w:b/>
                <w:bCs/>
                <w:sz w:val="16"/>
                <w:szCs w:val="16"/>
                <w:lang w:eastAsia="zh-CN"/>
              </w:rPr>
            </w:pPr>
            <w:r w:rsidRPr="002C400D">
              <w:rPr>
                <w:rFonts w:cs="Calibri" w:hint="eastAsia"/>
                <w:b/>
                <w:bCs/>
                <w:sz w:val="16"/>
                <w:szCs w:val="16"/>
                <w:lang w:eastAsia="zh-CN"/>
              </w:rPr>
              <w:t>类型</w:t>
            </w:r>
          </w:p>
        </w:tc>
        <w:tc>
          <w:tcPr>
            <w:tcW w:w="8459" w:type="dxa"/>
            <w:gridSpan w:val="2"/>
            <w:tcBorders>
              <w:top w:val="single" w:sz="4" w:space="0" w:color="auto"/>
              <w:left w:val="single" w:sz="4" w:space="0" w:color="auto"/>
              <w:bottom w:val="single" w:sz="4" w:space="0" w:color="auto"/>
              <w:right w:val="single" w:sz="4" w:space="0" w:color="auto"/>
            </w:tcBorders>
            <w:vAlign w:val="center"/>
            <w:hideMark/>
          </w:tcPr>
          <w:p w14:paraId="4396E762" w14:textId="77777777" w:rsidR="00EA33C6" w:rsidRPr="002C400D" w:rsidRDefault="00EA33C6" w:rsidP="00EA33C6">
            <w:pPr>
              <w:spacing w:after="120"/>
              <w:jc w:val="center"/>
              <w:rPr>
                <w:rFonts w:cs="Calibri"/>
                <w:b/>
                <w:bCs/>
                <w:sz w:val="16"/>
                <w:szCs w:val="16"/>
                <w:lang w:eastAsia="zh-CN"/>
              </w:rPr>
            </w:pPr>
            <w:r w:rsidRPr="002C400D">
              <w:rPr>
                <w:rFonts w:cs="Calibri" w:hint="eastAsia"/>
                <w:b/>
                <w:bCs/>
                <w:sz w:val="16"/>
                <w:szCs w:val="16"/>
                <w:lang w:eastAsia="zh-CN"/>
              </w:rPr>
              <w:t>类别</w:t>
            </w:r>
          </w:p>
        </w:tc>
        <w:tc>
          <w:tcPr>
            <w:tcW w:w="14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F377F29" w14:textId="77777777" w:rsidR="00EA33C6" w:rsidRPr="002C400D" w:rsidRDefault="00EA33C6" w:rsidP="00EA33C6">
            <w:pPr>
              <w:pStyle w:val="TableHead0"/>
              <w:spacing w:before="120" w:after="120"/>
              <w:rPr>
                <w:rFonts w:ascii="Calibri" w:hAnsi="Calibri" w:cs="Calibri"/>
                <w:sz w:val="16"/>
                <w:szCs w:val="16"/>
                <w:lang w:eastAsia="zh-CN"/>
              </w:rPr>
            </w:pPr>
            <w:r w:rsidRPr="002C400D">
              <w:rPr>
                <w:rFonts w:ascii="Calibri" w:hAnsi="Calibri" w:cs="Calibri" w:hint="eastAsia"/>
                <w:sz w:val="16"/>
                <w:szCs w:val="16"/>
                <w:lang w:eastAsia="zh-CN"/>
              </w:rPr>
              <w:t>每件申报的包干</w:t>
            </w:r>
            <w:r w:rsidRPr="002C400D">
              <w:rPr>
                <w:rFonts w:ascii="Calibri" w:hAnsi="Calibri" w:cs="Calibri"/>
                <w:sz w:val="16"/>
                <w:szCs w:val="16"/>
                <w:lang w:eastAsia="zh-CN"/>
              </w:rPr>
              <w:br/>
            </w:r>
            <w:r w:rsidRPr="002C400D">
              <w:rPr>
                <w:rFonts w:ascii="Calibri" w:hAnsi="Calibri" w:cs="Calibri" w:hint="eastAsia"/>
                <w:sz w:val="16"/>
                <w:szCs w:val="16"/>
                <w:lang w:eastAsia="zh-CN"/>
              </w:rPr>
              <w:t>费用（瑞郎）</w:t>
            </w:r>
            <w:r w:rsidRPr="004A1976">
              <w:rPr>
                <w:rFonts w:ascii="Calibri" w:hAnsi="Calibri" w:cs="Calibri"/>
                <w:sz w:val="16"/>
                <w:szCs w:val="16"/>
                <w:lang w:eastAsia="zh-CN"/>
              </w:rPr>
              <w:br/>
            </w:r>
            <w:r w:rsidRPr="002C400D">
              <w:rPr>
                <w:rFonts w:ascii="Calibri" w:hAnsi="Calibri" w:cs="Calibri" w:hint="eastAsia"/>
                <w:bCs/>
                <w:sz w:val="16"/>
                <w:szCs w:val="16"/>
                <w:lang w:eastAsia="zh-CN"/>
              </w:rPr>
              <w:t>（</w:t>
            </w:r>
            <w:r w:rsidRPr="002C400D">
              <w:rPr>
                <w:rFonts w:ascii="Calibri" w:hAnsi="Calibri" w:cs="Calibri"/>
                <w:bCs/>
                <w:sz w:val="16"/>
                <w:szCs w:val="16"/>
                <w:lang w:eastAsia="zh-CN"/>
              </w:rPr>
              <w:t>≥</w:t>
            </w:r>
            <w:r w:rsidRPr="002C400D">
              <w:rPr>
                <w:rFonts w:ascii="Calibri" w:hAnsi="Calibri" w:cs="Calibri"/>
                <w:sz w:val="16"/>
                <w:szCs w:val="16"/>
                <w:lang w:eastAsia="zh-CN"/>
              </w:rPr>
              <w:t xml:space="preserve"> 100</w:t>
            </w:r>
            <w:r w:rsidRPr="002C400D">
              <w:rPr>
                <w:rFonts w:ascii="Calibri" w:hAnsi="Calibri" w:cs="Calibri" w:hint="eastAsia"/>
                <w:sz w:val="16"/>
                <w:szCs w:val="16"/>
                <w:lang w:eastAsia="zh-CN"/>
              </w:rPr>
              <w:t>单位，</w:t>
            </w:r>
            <w:r w:rsidRPr="002C400D">
              <w:rPr>
                <w:rFonts w:ascii="Calibri" w:hAnsi="Calibri" w:cs="Calibri"/>
                <w:sz w:val="16"/>
                <w:szCs w:val="16"/>
                <w:lang w:eastAsia="zh-CN"/>
              </w:rPr>
              <w:br/>
            </w:r>
            <w:r w:rsidRPr="002C400D">
              <w:rPr>
                <w:rFonts w:ascii="Calibri" w:hAnsi="Calibri" w:cs="Calibri" w:hint="eastAsia"/>
                <w:sz w:val="16"/>
                <w:szCs w:val="16"/>
                <w:lang w:eastAsia="zh-CN"/>
              </w:rPr>
              <w:t>如适用）</w:t>
            </w:r>
            <w:r>
              <w:rPr>
                <w:rFonts w:ascii="Calibri" w:hAnsi="Calibri" w:cs="Calibri"/>
                <w:sz w:val="16"/>
                <w:szCs w:val="16"/>
                <w:vertAlign w:val="superscript"/>
                <w:lang w:eastAsia="zh-CN"/>
              </w:rPr>
              <w:t>e</w:t>
            </w:r>
            <w:r w:rsidRPr="00357984">
              <w:rPr>
                <w:rFonts w:ascii="Calibri" w:hAnsi="Calibri" w:cs="Calibri" w:hint="eastAsia"/>
                <w:sz w:val="16"/>
                <w:szCs w:val="16"/>
                <w:vertAlign w:val="superscript"/>
                <w:lang w:eastAsia="zh-CN"/>
              </w:rPr>
              <w:t>)</w:t>
            </w:r>
          </w:p>
        </w:tc>
        <w:tc>
          <w:tcPr>
            <w:tcW w:w="1511"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F15F23A" w14:textId="77777777" w:rsidR="00EA33C6" w:rsidRPr="002C400D" w:rsidRDefault="00EA33C6" w:rsidP="00EA33C6">
            <w:pPr>
              <w:pStyle w:val="TableHead0"/>
              <w:spacing w:before="120" w:after="120"/>
              <w:rPr>
                <w:rFonts w:ascii="Calibri" w:hAnsi="Calibri" w:cs="Calibri"/>
                <w:sz w:val="16"/>
                <w:szCs w:val="16"/>
                <w:lang w:eastAsia="zh-CN"/>
              </w:rPr>
            </w:pPr>
            <w:r w:rsidRPr="002C400D">
              <w:rPr>
                <w:rFonts w:ascii="Calibri" w:hAnsi="Calibri" w:cs="Calibri" w:hint="eastAsia"/>
                <w:sz w:val="16"/>
                <w:szCs w:val="16"/>
                <w:lang w:eastAsia="zh-CN"/>
              </w:rPr>
              <w:t>每件申报的起始</w:t>
            </w:r>
            <w:r w:rsidRPr="002C400D">
              <w:rPr>
                <w:rFonts w:ascii="Calibri" w:hAnsi="Calibri" w:cs="Calibri"/>
                <w:sz w:val="16"/>
                <w:szCs w:val="16"/>
                <w:lang w:eastAsia="zh-CN"/>
              </w:rPr>
              <w:br/>
            </w:r>
            <w:r w:rsidRPr="002C400D">
              <w:rPr>
                <w:rFonts w:ascii="Calibri" w:hAnsi="Calibri" w:cs="Calibri" w:hint="eastAsia"/>
                <w:sz w:val="16"/>
                <w:szCs w:val="16"/>
                <w:lang w:eastAsia="zh-CN"/>
              </w:rPr>
              <w:t>费用（瑞郎）</w:t>
            </w:r>
            <w:r w:rsidRPr="002C400D">
              <w:rPr>
                <w:rFonts w:ascii="Calibri" w:hAnsi="Calibri" w:cs="Calibri"/>
                <w:sz w:val="16"/>
                <w:szCs w:val="16"/>
                <w:lang w:eastAsia="zh-CN"/>
              </w:rPr>
              <w:br/>
            </w:r>
            <w:r w:rsidRPr="002C400D">
              <w:rPr>
                <w:rFonts w:ascii="Calibri" w:hAnsi="Calibri" w:cs="Calibri" w:hint="eastAsia"/>
                <w:sz w:val="16"/>
                <w:szCs w:val="16"/>
                <w:lang w:eastAsia="zh-CN"/>
              </w:rPr>
              <w:t>（</w:t>
            </w:r>
            <w:r w:rsidRPr="002C400D">
              <w:rPr>
                <w:rFonts w:ascii="Calibri" w:hAnsi="Calibri" w:cs="Calibri"/>
                <w:sz w:val="16"/>
                <w:szCs w:val="16"/>
                <w:lang w:eastAsia="zh-CN"/>
              </w:rPr>
              <w:t>&lt; 100</w:t>
            </w:r>
            <w:r w:rsidRPr="002C400D">
              <w:rPr>
                <w:rFonts w:ascii="Calibri" w:hAnsi="Calibri" w:cs="Calibri" w:hint="eastAsia"/>
                <w:sz w:val="16"/>
                <w:szCs w:val="16"/>
                <w:lang w:eastAsia="zh-CN"/>
              </w:rPr>
              <w:t>单位）</w:t>
            </w:r>
          </w:p>
        </w:tc>
        <w:tc>
          <w:tcPr>
            <w:tcW w:w="14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7FA8CF6" w14:textId="77777777" w:rsidR="00EA33C6" w:rsidRPr="002C400D" w:rsidRDefault="00EA33C6" w:rsidP="00EA33C6">
            <w:pPr>
              <w:pStyle w:val="TableHead0"/>
              <w:spacing w:before="120" w:after="120"/>
              <w:rPr>
                <w:rFonts w:ascii="Calibri" w:hAnsi="Calibri" w:cs="Calibri"/>
                <w:sz w:val="16"/>
                <w:szCs w:val="16"/>
                <w:lang w:eastAsia="zh-CN"/>
              </w:rPr>
            </w:pPr>
            <w:r w:rsidRPr="002C400D">
              <w:rPr>
                <w:rFonts w:ascii="Calibri" w:hAnsi="Calibri" w:cs="Calibri" w:hint="eastAsia"/>
                <w:sz w:val="16"/>
                <w:szCs w:val="16"/>
                <w:lang w:eastAsia="zh-CN"/>
              </w:rPr>
              <w:t>每个单位的费用</w:t>
            </w:r>
            <w:r w:rsidRPr="002C400D">
              <w:rPr>
                <w:rFonts w:ascii="Calibri" w:hAnsi="Calibri" w:cs="Calibri"/>
                <w:sz w:val="16"/>
                <w:szCs w:val="16"/>
                <w:lang w:eastAsia="zh-CN"/>
              </w:rPr>
              <w:br/>
            </w:r>
            <w:r w:rsidRPr="002C400D">
              <w:rPr>
                <w:rFonts w:ascii="Calibri" w:hAnsi="Calibri" w:cs="Calibri" w:hint="eastAsia"/>
                <w:sz w:val="16"/>
                <w:szCs w:val="16"/>
                <w:lang w:eastAsia="zh-CN"/>
              </w:rPr>
              <w:t>（瑞郎）</w:t>
            </w:r>
            <w:r w:rsidRPr="002C400D">
              <w:rPr>
                <w:rFonts w:ascii="Calibri" w:hAnsi="Calibri" w:cs="Calibri"/>
                <w:sz w:val="16"/>
                <w:szCs w:val="16"/>
                <w:lang w:eastAsia="zh-CN"/>
              </w:rPr>
              <w:br/>
            </w:r>
            <w:r w:rsidRPr="002C400D">
              <w:rPr>
                <w:rFonts w:ascii="Calibri" w:hAnsi="Calibri" w:cs="Calibri" w:hint="eastAsia"/>
                <w:sz w:val="16"/>
                <w:szCs w:val="16"/>
                <w:lang w:eastAsia="zh-CN"/>
              </w:rPr>
              <w:t>（</w:t>
            </w:r>
            <w:r w:rsidRPr="002C400D">
              <w:rPr>
                <w:rFonts w:ascii="Calibri" w:hAnsi="Calibri" w:cs="Calibri"/>
                <w:sz w:val="16"/>
                <w:szCs w:val="16"/>
                <w:lang w:eastAsia="zh-CN"/>
              </w:rPr>
              <w:t>&lt; 100</w:t>
            </w:r>
            <w:r w:rsidRPr="002C400D">
              <w:rPr>
                <w:rFonts w:ascii="Calibri" w:hAnsi="Calibri" w:cs="Calibri" w:hint="eastAsia"/>
                <w:sz w:val="16"/>
                <w:szCs w:val="16"/>
                <w:lang w:eastAsia="zh-CN"/>
              </w:rPr>
              <w:t>单位）</w:t>
            </w:r>
          </w:p>
        </w:tc>
        <w:tc>
          <w:tcPr>
            <w:tcW w:w="1287" w:type="dxa"/>
            <w:tcBorders>
              <w:top w:val="single" w:sz="4" w:space="0" w:color="auto"/>
              <w:left w:val="single" w:sz="4" w:space="0" w:color="auto"/>
              <w:bottom w:val="single" w:sz="4" w:space="0" w:color="auto"/>
              <w:right w:val="single" w:sz="4" w:space="0" w:color="auto"/>
            </w:tcBorders>
            <w:vAlign w:val="center"/>
            <w:hideMark/>
          </w:tcPr>
          <w:p w14:paraId="11FE96CE" w14:textId="77777777" w:rsidR="00EA33C6" w:rsidRPr="002C400D" w:rsidRDefault="00EA33C6" w:rsidP="00EA33C6">
            <w:pPr>
              <w:pStyle w:val="TableHead0"/>
              <w:spacing w:before="120" w:after="120"/>
              <w:rPr>
                <w:rFonts w:ascii="Calibri" w:hAnsi="Calibri" w:cs="Calibri"/>
                <w:sz w:val="16"/>
                <w:szCs w:val="16"/>
                <w:lang w:eastAsia="zh-CN"/>
              </w:rPr>
            </w:pPr>
            <w:r w:rsidRPr="002C400D">
              <w:rPr>
                <w:rFonts w:ascii="Calibri" w:hAnsi="Calibri" w:cs="Calibri" w:hint="eastAsia"/>
                <w:sz w:val="16"/>
                <w:szCs w:val="16"/>
                <w:lang w:eastAsia="zh-CN"/>
              </w:rPr>
              <w:t>成本回收单位</w:t>
            </w:r>
          </w:p>
        </w:tc>
      </w:tr>
      <w:tr w:rsidR="00EA33C6" w:rsidRPr="002C400D" w14:paraId="09A2FB48" w14:textId="77777777" w:rsidTr="00EA33C6">
        <w:trPr>
          <w:cantSplit/>
          <w:jc w:val="center"/>
        </w:trPr>
        <w:tc>
          <w:tcPr>
            <w:tcW w:w="469" w:type="dxa"/>
            <w:tcBorders>
              <w:top w:val="single" w:sz="4" w:space="0" w:color="auto"/>
              <w:left w:val="single" w:sz="4" w:space="0" w:color="auto"/>
              <w:bottom w:val="single" w:sz="4" w:space="0" w:color="auto"/>
              <w:right w:val="single" w:sz="4" w:space="0" w:color="auto"/>
            </w:tcBorders>
            <w:vAlign w:val="center"/>
            <w:hideMark/>
          </w:tcPr>
          <w:p w14:paraId="74231D3C" w14:textId="77777777" w:rsidR="00EA33C6" w:rsidRPr="002C400D" w:rsidRDefault="00EA33C6" w:rsidP="00EA33C6">
            <w:pPr>
              <w:spacing w:after="120"/>
              <w:rPr>
                <w:rFonts w:cs="Calibri"/>
                <w:sz w:val="16"/>
                <w:szCs w:val="16"/>
                <w:lang w:eastAsia="zh-CN"/>
              </w:rPr>
            </w:pPr>
            <w:r w:rsidRPr="002C400D">
              <w:rPr>
                <w:rFonts w:cs="Calibri"/>
                <w:sz w:val="16"/>
                <w:szCs w:val="16"/>
                <w:lang w:eastAsia="zh-CN"/>
              </w:rPr>
              <w:t>1</w:t>
            </w:r>
          </w:p>
        </w:tc>
        <w:tc>
          <w:tcPr>
            <w:tcW w:w="837" w:type="dxa"/>
            <w:tcBorders>
              <w:top w:val="single" w:sz="4" w:space="0" w:color="auto"/>
              <w:left w:val="single" w:sz="4" w:space="0" w:color="auto"/>
              <w:bottom w:val="single" w:sz="4" w:space="0" w:color="auto"/>
              <w:right w:val="single" w:sz="4" w:space="0" w:color="auto"/>
            </w:tcBorders>
            <w:vAlign w:val="center"/>
            <w:hideMark/>
          </w:tcPr>
          <w:p w14:paraId="02258D72" w14:textId="77777777" w:rsidR="00EA33C6" w:rsidRPr="002C400D" w:rsidRDefault="00EA33C6" w:rsidP="00EA33C6">
            <w:pPr>
              <w:spacing w:after="120"/>
              <w:rPr>
                <w:rFonts w:cs="Calibri"/>
                <w:sz w:val="16"/>
                <w:szCs w:val="16"/>
                <w:lang w:eastAsia="zh-CN"/>
              </w:rPr>
            </w:pPr>
            <w:r w:rsidRPr="002C400D">
              <w:rPr>
                <w:rFonts w:cs="Calibri" w:hint="eastAsia"/>
                <w:sz w:val="16"/>
                <w:szCs w:val="16"/>
                <w:lang w:eastAsia="zh-CN"/>
              </w:rPr>
              <w:t>提前</w:t>
            </w:r>
            <w:r w:rsidRPr="002C400D">
              <w:rPr>
                <w:rFonts w:cs="Calibri"/>
                <w:sz w:val="16"/>
                <w:szCs w:val="16"/>
                <w:lang w:eastAsia="zh-CN"/>
              </w:rPr>
              <w:br/>
            </w:r>
            <w:r w:rsidRPr="002C400D">
              <w:rPr>
                <w:rFonts w:cs="Calibri" w:hint="eastAsia"/>
                <w:sz w:val="16"/>
                <w:szCs w:val="16"/>
                <w:lang w:eastAsia="zh-CN"/>
              </w:rPr>
              <w:t>公布（</w:t>
            </w:r>
            <w:r w:rsidRPr="002C400D">
              <w:rPr>
                <w:rFonts w:cs="Calibri"/>
                <w:sz w:val="16"/>
                <w:szCs w:val="16"/>
                <w:lang w:eastAsia="zh-CN"/>
              </w:rPr>
              <w:t>A</w:t>
            </w:r>
            <w:r w:rsidRPr="002C400D">
              <w:rPr>
                <w:rFonts w:cs="Calibri" w:hint="eastAsia"/>
                <w:sz w:val="16"/>
                <w:szCs w:val="16"/>
                <w:lang w:eastAsia="zh-CN"/>
              </w:rPr>
              <w:t>）</w:t>
            </w:r>
          </w:p>
        </w:tc>
        <w:tc>
          <w:tcPr>
            <w:tcW w:w="614" w:type="dxa"/>
            <w:tcBorders>
              <w:top w:val="single" w:sz="4" w:space="0" w:color="auto"/>
              <w:left w:val="single" w:sz="4" w:space="0" w:color="auto"/>
              <w:bottom w:val="single" w:sz="4" w:space="0" w:color="auto"/>
              <w:right w:val="single" w:sz="4" w:space="0" w:color="auto"/>
            </w:tcBorders>
            <w:vAlign w:val="center"/>
            <w:hideMark/>
          </w:tcPr>
          <w:p w14:paraId="75B0119F" w14:textId="77777777" w:rsidR="00EA33C6" w:rsidRPr="002C400D" w:rsidRDefault="00EA33C6" w:rsidP="00EA33C6">
            <w:pPr>
              <w:spacing w:after="120"/>
              <w:rPr>
                <w:rFonts w:cs="Calibri"/>
                <w:sz w:val="16"/>
                <w:szCs w:val="16"/>
                <w:lang w:eastAsia="zh-CN"/>
              </w:rPr>
            </w:pPr>
            <w:r w:rsidRPr="002C400D">
              <w:rPr>
                <w:rFonts w:cs="Calibri"/>
                <w:sz w:val="16"/>
                <w:szCs w:val="16"/>
                <w:lang w:eastAsia="zh-CN"/>
              </w:rPr>
              <w:t>A1</w:t>
            </w:r>
          </w:p>
        </w:tc>
        <w:tc>
          <w:tcPr>
            <w:tcW w:w="7845" w:type="dxa"/>
            <w:tcBorders>
              <w:top w:val="single" w:sz="4" w:space="0" w:color="auto"/>
              <w:left w:val="single" w:sz="4" w:space="0" w:color="auto"/>
              <w:bottom w:val="single" w:sz="4" w:space="0" w:color="auto"/>
              <w:right w:val="single" w:sz="4" w:space="0" w:color="auto"/>
            </w:tcBorders>
            <w:vAlign w:val="center"/>
            <w:hideMark/>
          </w:tcPr>
          <w:p w14:paraId="7EA0FE57" w14:textId="77777777" w:rsidR="00EA33C6" w:rsidRPr="002C400D" w:rsidRDefault="00EA33C6" w:rsidP="00EA33C6">
            <w:pPr>
              <w:spacing w:after="120"/>
              <w:rPr>
                <w:rFonts w:cs="Calibri"/>
                <w:sz w:val="16"/>
                <w:szCs w:val="16"/>
                <w:lang w:eastAsia="zh-CN"/>
              </w:rPr>
            </w:pPr>
            <w:r w:rsidRPr="002C400D">
              <w:rPr>
                <w:rFonts w:cs="Calibri" w:hint="eastAsia"/>
                <w:sz w:val="16"/>
                <w:szCs w:val="16"/>
                <w:lang w:eastAsia="zh-CN"/>
              </w:rPr>
              <w:t>无须按照</w:t>
            </w:r>
            <w:r w:rsidRPr="002C400D">
              <w:rPr>
                <w:rFonts w:cs="Calibri" w:hint="eastAsia"/>
                <w:sz w:val="16"/>
                <w:szCs w:val="16"/>
                <w:lang w:val="en-US" w:eastAsia="zh-CN"/>
              </w:rPr>
              <w:t>第</w:t>
            </w:r>
            <w:r w:rsidRPr="002C400D">
              <w:rPr>
                <w:rFonts w:cs="Calibri"/>
                <w:b/>
                <w:sz w:val="16"/>
                <w:szCs w:val="16"/>
                <w:lang w:eastAsia="zh-CN"/>
              </w:rPr>
              <w:t>9</w:t>
            </w:r>
            <w:r w:rsidRPr="002C400D">
              <w:rPr>
                <w:rFonts w:cs="Calibri" w:hint="eastAsia"/>
                <w:sz w:val="16"/>
                <w:szCs w:val="16"/>
                <w:lang w:eastAsia="zh-CN"/>
              </w:rPr>
              <w:t>条第</w:t>
            </w:r>
            <w:r>
              <w:rPr>
                <w:rFonts w:cs="Calibri" w:hint="eastAsia"/>
                <w:sz w:val="16"/>
                <w:szCs w:val="16"/>
                <w:lang w:eastAsia="zh-CN"/>
              </w:rPr>
              <w:t>II</w:t>
            </w:r>
            <w:r w:rsidRPr="002C400D">
              <w:rPr>
                <w:rFonts w:cs="Calibri" w:hint="eastAsia"/>
                <w:sz w:val="16"/>
                <w:szCs w:val="16"/>
                <w:lang w:eastAsia="zh-CN"/>
              </w:rPr>
              <w:t>节进行协调的非对地静止卫星网络的提前公布；暂时无须按照《程序规则》第</w:t>
            </w:r>
            <w:r w:rsidRPr="002C400D">
              <w:rPr>
                <w:rFonts w:cs="Calibri"/>
                <w:b/>
                <w:bCs/>
                <w:sz w:val="16"/>
                <w:szCs w:val="16"/>
                <w:lang w:eastAsia="zh-CN"/>
              </w:rPr>
              <w:t>11.32</w:t>
            </w:r>
            <w:r w:rsidRPr="002C400D">
              <w:rPr>
                <w:rFonts w:cs="Calibri" w:hint="eastAsia"/>
                <w:sz w:val="16"/>
                <w:szCs w:val="16"/>
                <w:lang w:eastAsia="zh-CN"/>
              </w:rPr>
              <w:t>款第</w:t>
            </w:r>
            <w:r w:rsidRPr="002C400D">
              <w:rPr>
                <w:rFonts w:cs="Calibri"/>
                <w:sz w:val="16"/>
                <w:szCs w:val="16"/>
                <w:lang w:eastAsia="zh-CN"/>
              </w:rPr>
              <w:t>6</w:t>
            </w:r>
            <w:r w:rsidRPr="002C400D">
              <w:rPr>
                <w:rFonts w:cs="Calibri" w:hint="eastAsia"/>
                <w:sz w:val="16"/>
                <w:szCs w:val="16"/>
                <w:lang w:eastAsia="zh-CN"/>
              </w:rPr>
              <w:t>段（</w:t>
            </w:r>
            <w:r w:rsidRPr="002C400D">
              <w:rPr>
                <w:rFonts w:cs="Calibri"/>
                <w:sz w:val="16"/>
                <w:szCs w:val="16"/>
                <w:lang w:eastAsia="zh-CN"/>
              </w:rPr>
              <w:t>MOD RRB04/35</w:t>
            </w:r>
            <w:r w:rsidRPr="002C400D">
              <w:rPr>
                <w:rFonts w:cs="Calibri" w:hint="eastAsia"/>
                <w:sz w:val="16"/>
                <w:szCs w:val="16"/>
                <w:lang w:eastAsia="zh-CN"/>
              </w:rPr>
              <w:t>）</w:t>
            </w:r>
            <w:r>
              <w:rPr>
                <w:rFonts w:cs="Calibri" w:hint="eastAsia"/>
                <w:sz w:val="16"/>
                <w:szCs w:val="16"/>
                <w:lang w:eastAsia="zh-CN"/>
              </w:rPr>
              <w:t>、根据第</w:t>
            </w:r>
            <w:r w:rsidRPr="00500930">
              <w:rPr>
                <w:rFonts w:cs="Calibri" w:hint="eastAsia"/>
                <w:b/>
                <w:bCs/>
                <w:sz w:val="16"/>
                <w:szCs w:val="16"/>
                <w:lang w:eastAsia="zh-CN"/>
              </w:rPr>
              <w:t>9</w:t>
            </w:r>
            <w:r>
              <w:rPr>
                <w:rFonts w:cs="Calibri" w:hint="eastAsia"/>
                <w:sz w:val="16"/>
                <w:szCs w:val="16"/>
                <w:lang w:eastAsia="zh-CN"/>
              </w:rPr>
              <w:t>条第</w:t>
            </w:r>
            <w:r>
              <w:rPr>
                <w:rFonts w:cs="Calibri" w:hint="eastAsia"/>
                <w:sz w:val="16"/>
                <w:szCs w:val="16"/>
                <w:lang w:eastAsia="zh-CN"/>
              </w:rPr>
              <w:t>II</w:t>
            </w:r>
            <w:r>
              <w:rPr>
                <w:rFonts w:cs="Calibri" w:hint="eastAsia"/>
                <w:sz w:val="16"/>
                <w:szCs w:val="16"/>
                <w:lang w:eastAsia="zh-CN"/>
              </w:rPr>
              <w:t>节</w:t>
            </w:r>
            <w:r w:rsidRPr="002C400D">
              <w:rPr>
                <w:rFonts w:cs="Calibri" w:hint="eastAsia"/>
                <w:sz w:val="16"/>
                <w:szCs w:val="16"/>
                <w:lang w:eastAsia="zh-CN"/>
              </w:rPr>
              <w:t>进行协调的、与非对地静止空间</w:t>
            </w:r>
            <w:r>
              <w:rPr>
                <w:rFonts w:cs="Calibri" w:hint="eastAsia"/>
                <w:sz w:val="16"/>
                <w:szCs w:val="16"/>
                <w:lang w:eastAsia="zh-CN"/>
              </w:rPr>
              <w:t>电台</w:t>
            </w:r>
            <w:r w:rsidRPr="002C400D">
              <w:rPr>
                <w:rFonts w:cs="Calibri" w:hint="eastAsia"/>
                <w:sz w:val="16"/>
                <w:szCs w:val="16"/>
                <w:lang w:eastAsia="zh-CN"/>
              </w:rPr>
              <w:t>有通信联系的对地静止卫星空间</w:t>
            </w:r>
            <w:r>
              <w:rPr>
                <w:rFonts w:cs="Calibri" w:hint="eastAsia"/>
                <w:sz w:val="16"/>
                <w:szCs w:val="16"/>
                <w:lang w:eastAsia="zh-CN"/>
              </w:rPr>
              <w:t>电台</w:t>
            </w:r>
            <w:r w:rsidRPr="002C400D">
              <w:rPr>
                <w:rFonts w:cs="Calibri" w:hint="eastAsia"/>
                <w:sz w:val="16"/>
                <w:szCs w:val="16"/>
                <w:lang w:eastAsia="zh-CN"/>
              </w:rPr>
              <w:t>的星间链路的提前公布。</w:t>
            </w:r>
          </w:p>
          <w:p w14:paraId="014A5103" w14:textId="77777777" w:rsidR="00EA33C6" w:rsidRPr="002C400D" w:rsidRDefault="00EA33C6" w:rsidP="00EA33C6">
            <w:pPr>
              <w:spacing w:after="120"/>
              <w:rPr>
                <w:rFonts w:cs="Calibri"/>
                <w:sz w:val="16"/>
                <w:szCs w:val="16"/>
                <w:lang w:eastAsia="zh-CN"/>
              </w:rPr>
            </w:pPr>
            <w:r w:rsidRPr="002C400D">
              <w:rPr>
                <w:rFonts w:cs="Calibri" w:hint="eastAsia"/>
                <w:sz w:val="16"/>
                <w:szCs w:val="16"/>
                <w:lang w:eastAsia="zh-CN"/>
              </w:rPr>
              <w:t>注：提前公布还包括第</w:t>
            </w:r>
            <w:r w:rsidRPr="002C400D">
              <w:rPr>
                <w:rFonts w:cs="Calibri"/>
                <w:b/>
                <w:bCs/>
                <w:sz w:val="16"/>
                <w:szCs w:val="16"/>
                <w:lang w:eastAsia="zh-CN"/>
              </w:rPr>
              <w:t>9.5</w:t>
            </w:r>
            <w:r w:rsidRPr="002C400D">
              <w:rPr>
                <w:rFonts w:cs="Calibri" w:hint="eastAsia"/>
                <w:sz w:val="16"/>
                <w:szCs w:val="16"/>
                <w:lang w:eastAsia="zh-CN"/>
              </w:rPr>
              <w:t>款的应用（</w:t>
            </w:r>
            <w:r w:rsidRPr="002C400D">
              <w:rPr>
                <w:rFonts w:cs="Calibri"/>
                <w:sz w:val="16"/>
                <w:szCs w:val="16"/>
                <w:lang w:eastAsia="zh-CN"/>
              </w:rPr>
              <w:t>API/B</w:t>
            </w:r>
            <w:r w:rsidRPr="002C400D">
              <w:rPr>
                <w:rFonts w:cs="Calibri" w:hint="eastAsia"/>
                <w:sz w:val="16"/>
                <w:szCs w:val="16"/>
                <w:lang w:eastAsia="zh-CN"/>
              </w:rPr>
              <w:t>特节），且不另行收费。</w:t>
            </w:r>
          </w:p>
        </w:tc>
        <w:tc>
          <w:tcPr>
            <w:tcW w:w="3010" w:type="dxa"/>
            <w:gridSpan w:val="3"/>
            <w:tcBorders>
              <w:top w:val="single" w:sz="4" w:space="0" w:color="auto"/>
              <w:left w:val="single" w:sz="4" w:space="0" w:color="auto"/>
              <w:bottom w:val="single" w:sz="4" w:space="0" w:color="auto"/>
              <w:right w:val="single" w:sz="4" w:space="0" w:color="auto"/>
            </w:tcBorders>
            <w:vAlign w:val="center"/>
          </w:tcPr>
          <w:p w14:paraId="1B1287E1" w14:textId="77777777" w:rsidR="00EA33C6" w:rsidRPr="002C400D" w:rsidRDefault="00EA33C6" w:rsidP="00EA33C6">
            <w:pPr>
              <w:spacing w:after="120"/>
              <w:jc w:val="center"/>
              <w:rPr>
                <w:rFonts w:cs="Calibri"/>
                <w:bCs/>
                <w:sz w:val="16"/>
                <w:szCs w:val="16"/>
                <w:lang w:val="en-US" w:eastAsia="zh-CN"/>
              </w:rPr>
            </w:pPr>
            <w:r w:rsidRPr="002C400D">
              <w:rPr>
                <w:rFonts w:cs="Calibri"/>
                <w:bCs/>
                <w:sz w:val="16"/>
                <w:szCs w:val="16"/>
                <w:lang w:val="en-US" w:eastAsia="zh-CN"/>
              </w:rPr>
              <w:t>570</w:t>
            </w:r>
          </w:p>
        </w:tc>
        <w:tc>
          <w:tcPr>
            <w:tcW w:w="2771" w:type="dxa"/>
            <w:gridSpan w:val="2"/>
            <w:tcBorders>
              <w:top w:val="single" w:sz="4" w:space="0" w:color="auto"/>
              <w:left w:val="single" w:sz="4" w:space="0" w:color="auto"/>
              <w:bottom w:val="single" w:sz="4" w:space="0" w:color="auto"/>
              <w:right w:val="single" w:sz="4" w:space="0" w:color="auto"/>
            </w:tcBorders>
            <w:vAlign w:val="center"/>
            <w:hideMark/>
          </w:tcPr>
          <w:p w14:paraId="30F38786" w14:textId="77777777" w:rsidR="00EA33C6" w:rsidRPr="002C400D" w:rsidRDefault="00EA33C6" w:rsidP="00EA33C6">
            <w:pPr>
              <w:pStyle w:val="TableHead0"/>
              <w:spacing w:before="120" w:after="120"/>
              <w:rPr>
                <w:rFonts w:ascii="Calibri" w:hAnsi="Calibri" w:cs="Calibri"/>
                <w:b w:val="0"/>
                <w:sz w:val="16"/>
                <w:szCs w:val="16"/>
                <w:lang w:eastAsia="zh-CN"/>
              </w:rPr>
            </w:pPr>
            <w:r w:rsidRPr="002C400D">
              <w:rPr>
                <w:rFonts w:ascii="Calibri" w:hAnsi="Calibri" w:cs="Calibri"/>
                <w:b w:val="0"/>
                <w:sz w:val="16"/>
                <w:szCs w:val="16"/>
                <w:lang w:eastAsia="zh-CN"/>
              </w:rPr>
              <w:t>不适用</w:t>
            </w:r>
          </w:p>
        </w:tc>
      </w:tr>
      <w:tr w:rsidR="00EA33C6" w:rsidRPr="002C400D" w14:paraId="1BF4BC6E" w14:textId="77777777" w:rsidTr="00EA33C6">
        <w:trPr>
          <w:cantSplit/>
          <w:jc w:val="center"/>
        </w:trPr>
        <w:tc>
          <w:tcPr>
            <w:tcW w:w="469" w:type="dxa"/>
            <w:vMerge w:val="restart"/>
            <w:tcBorders>
              <w:top w:val="single" w:sz="4" w:space="0" w:color="auto"/>
              <w:left w:val="single" w:sz="4" w:space="0" w:color="auto"/>
              <w:bottom w:val="single" w:sz="4" w:space="0" w:color="auto"/>
              <w:right w:val="single" w:sz="4" w:space="0" w:color="auto"/>
            </w:tcBorders>
            <w:vAlign w:val="center"/>
            <w:hideMark/>
          </w:tcPr>
          <w:p w14:paraId="4C8EC1F3" w14:textId="77777777" w:rsidR="00EA33C6" w:rsidRPr="002C400D" w:rsidRDefault="00EA33C6" w:rsidP="00EA33C6">
            <w:pPr>
              <w:spacing w:after="120"/>
              <w:rPr>
                <w:rFonts w:cs="Calibri"/>
                <w:sz w:val="16"/>
                <w:szCs w:val="16"/>
                <w:lang w:eastAsia="zh-CN"/>
              </w:rPr>
            </w:pPr>
            <w:r w:rsidRPr="002C400D">
              <w:rPr>
                <w:rFonts w:cs="Calibri"/>
                <w:sz w:val="16"/>
                <w:szCs w:val="16"/>
                <w:lang w:eastAsia="zh-CN"/>
              </w:rPr>
              <w:t>2</w:t>
            </w:r>
          </w:p>
        </w:tc>
        <w:tc>
          <w:tcPr>
            <w:tcW w:w="837" w:type="dxa"/>
            <w:vMerge w:val="restart"/>
            <w:tcBorders>
              <w:top w:val="single" w:sz="4" w:space="0" w:color="auto"/>
              <w:left w:val="single" w:sz="4" w:space="0" w:color="auto"/>
              <w:bottom w:val="single" w:sz="4" w:space="0" w:color="auto"/>
              <w:right w:val="single" w:sz="4" w:space="0" w:color="auto"/>
            </w:tcBorders>
            <w:vAlign w:val="center"/>
            <w:hideMark/>
          </w:tcPr>
          <w:p w14:paraId="1BB35FBC" w14:textId="77777777" w:rsidR="00EA33C6" w:rsidRPr="002C400D" w:rsidRDefault="00EA33C6" w:rsidP="00EA33C6">
            <w:pPr>
              <w:spacing w:after="120"/>
              <w:rPr>
                <w:rFonts w:cs="Calibri"/>
                <w:sz w:val="16"/>
                <w:szCs w:val="16"/>
                <w:lang w:eastAsia="zh-CN"/>
              </w:rPr>
            </w:pPr>
            <w:r w:rsidRPr="002C400D">
              <w:rPr>
                <w:rFonts w:cs="Calibri" w:hint="eastAsia"/>
                <w:sz w:val="16"/>
                <w:szCs w:val="16"/>
                <w:lang w:eastAsia="zh-CN"/>
              </w:rPr>
              <w:t>协调（</w:t>
            </w:r>
            <w:r w:rsidRPr="002C400D">
              <w:rPr>
                <w:rFonts w:cs="Calibri"/>
                <w:sz w:val="16"/>
                <w:szCs w:val="16"/>
                <w:lang w:eastAsia="zh-CN"/>
              </w:rPr>
              <w:t>C</w:t>
            </w:r>
            <w:r w:rsidRPr="002C400D">
              <w:rPr>
                <w:rFonts w:cs="Calibri" w:hint="eastAsia"/>
                <w:sz w:val="16"/>
                <w:szCs w:val="16"/>
                <w:lang w:eastAsia="zh-CN"/>
              </w:rPr>
              <w:t>）</w:t>
            </w:r>
          </w:p>
        </w:tc>
        <w:tc>
          <w:tcPr>
            <w:tcW w:w="614" w:type="dxa"/>
            <w:tcBorders>
              <w:top w:val="single" w:sz="4" w:space="0" w:color="auto"/>
              <w:left w:val="single" w:sz="4" w:space="0" w:color="auto"/>
              <w:bottom w:val="single" w:sz="4" w:space="0" w:color="auto"/>
              <w:right w:val="single" w:sz="4" w:space="0" w:color="auto"/>
            </w:tcBorders>
            <w:vAlign w:val="center"/>
            <w:hideMark/>
          </w:tcPr>
          <w:p w14:paraId="4B6C6000" w14:textId="77777777" w:rsidR="00EA33C6" w:rsidRPr="002C400D" w:rsidRDefault="00EA33C6" w:rsidP="00EA33C6">
            <w:pPr>
              <w:spacing w:after="120"/>
              <w:rPr>
                <w:rFonts w:cs="Calibri"/>
                <w:sz w:val="16"/>
                <w:szCs w:val="16"/>
                <w:lang w:eastAsia="zh-CN"/>
              </w:rPr>
            </w:pPr>
            <w:r w:rsidRPr="002C400D">
              <w:rPr>
                <w:rFonts w:cs="Calibri"/>
                <w:sz w:val="16"/>
                <w:szCs w:val="16"/>
                <w:lang w:eastAsia="zh-CN"/>
              </w:rPr>
              <w:t>C1*</w:t>
            </w:r>
          </w:p>
        </w:tc>
        <w:tc>
          <w:tcPr>
            <w:tcW w:w="7845" w:type="dxa"/>
            <w:vMerge w:val="restart"/>
            <w:tcBorders>
              <w:top w:val="single" w:sz="4" w:space="0" w:color="auto"/>
              <w:left w:val="single" w:sz="4" w:space="0" w:color="auto"/>
              <w:bottom w:val="single" w:sz="4" w:space="0" w:color="auto"/>
              <w:right w:val="single" w:sz="4" w:space="0" w:color="auto"/>
            </w:tcBorders>
            <w:vAlign w:val="center"/>
            <w:hideMark/>
          </w:tcPr>
          <w:p w14:paraId="17ABBC64" w14:textId="77777777" w:rsidR="00EA33C6" w:rsidRPr="002C400D" w:rsidRDefault="00EA33C6" w:rsidP="00EA33C6">
            <w:pPr>
              <w:spacing w:after="120"/>
              <w:rPr>
                <w:rFonts w:cs="Calibri"/>
                <w:sz w:val="16"/>
                <w:szCs w:val="16"/>
                <w:lang w:eastAsia="zh-CN"/>
              </w:rPr>
            </w:pPr>
            <w:r w:rsidRPr="002C400D">
              <w:rPr>
                <w:rFonts w:cs="Calibri" w:hint="eastAsia"/>
                <w:sz w:val="16"/>
                <w:szCs w:val="16"/>
                <w:lang w:eastAsia="zh-CN"/>
              </w:rPr>
              <w:t>按照第</w:t>
            </w:r>
            <w:r w:rsidRPr="002C400D">
              <w:rPr>
                <w:rFonts w:cs="Calibri"/>
                <w:b/>
                <w:bCs/>
                <w:sz w:val="16"/>
                <w:szCs w:val="16"/>
                <w:lang w:eastAsia="zh-CN"/>
              </w:rPr>
              <w:t>9</w:t>
            </w:r>
            <w:r w:rsidRPr="002C400D">
              <w:rPr>
                <w:rFonts w:cs="Calibri" w:hint="eastAsia"/>
                <w:sz w:val="16"/>
                <w:szCs w:val="16"/>
                <w:lang w:eastAsia="zh-CN"/>
              </w:rPr>
              <w:t>条第</w:t>
            </w:r>
            <w:r w:rsidRPr="002C400D">
              <w:rPr>
                <w:rFonts w:cs="Calibri"/>
                <w:sz w:val="16"/>
                <w:szCs w:val="16"/>
                <w:lang w:eastAsia="zh-CN"/>
              </w:rPr>
              <w:t>II</w:t>
            </w:r>
            <w:r w:rsidRPr="002C400D">
              <w:rPr>
                <w:rFonts w:cs="Calibri" w:hint="eastAsia"/>
                <w:sz w:val="16"/>
                <w:szCs w:val="16"/>
                <w:lang w:eastAsia="zh-CN"/>
              </w:rPr>
              <w:t>节的</w:t>
            </w:r>
            <w:r w:rsidRPr="002C400D">
              <w:rPr>
                <w:rFonts w:cs="Calibri"/>
                <w:b/>
                <w:bCs/>
                <w:sz w:val="16"/>
                <w:szCs w:val="16"/>
                <w:lang w:eastAsia="zh-CN"/>
              </w:rPr>
              <w:t>9.6</w:t>
            </w:r>
            <w:r w:rsidRPr="002C400D">
              <w:rPr>
                <w:rFonts w:cs="Calibri" w:hint="eastAsia"/>
                <w:bCs/>
                <w:sz w:val="16"/>
                <w:szCs w:val="16"/>
                <w:lang w:eastAsia="zh-CN"/>
              </w:rPr>
              <w:t>款</w:t>
            </w:r>
            <w:r w:rsidRPr="002C400D">
              <w:rPr>
                <w:rFonts w:cs="Calibri" w:hint="eastAsia"/>
                <w:sz w:val="16"/>
                <w:szCs w:val="16"/>
                <w:lang w:eastAsia="zh-CN"/>
              </w:rPr>
              <w:t>以及</w:t>
            </w:r>
            <w:r w:rsidRPr="002C400D">
              <w:rPr>
                <w:rFonts w:cs="Calibri"/>
                <w:b/>
                <w:bCs/>
                <w:sz w:val="16"/>
                <w:szCs w:val="16"/>
                <w:lang w:eastAsia="zh-CN"/>
              </w:rPr>
              <w:t>9.7</w:t>
            </w:r>
            <w:r w:rsidRPr="002C400D">
              <w:rPr>
                <w:rFonts w:cs="Calibri" w:hint="eastAsia"/>
                <w:b/>
                <w:bCs/>
                <w:sz w:val="16"/>
                <w:szCs w:val="16"/>
                <w:lang w:eastAsia="zh-CN"/>
              </w:rPr>
              <w:t>、</w:t>
            </w:r>
            <w:r w:rsidRPr="002C400D">
              <w:rPr>
                <w:rFonts w:cs="Calibri"/>
                <w:b/>
                <w:bCs/>
                <w:sz w:val="16"/>
                <w:szCs w:val="16"/>
                <w:lang w:eastAsia="zh-CN"/>
              </w:rPr>
              <w:t>9.7A</w:t>
            </w:r>
            <w:r w:rsidRPr="002C400D">
              <w:rPr>
                <w:rFonts w:cs="Calibri" w:hint="eastAsia"/>
                <w:b/>
                <w:bCs/>
                <w:sz w:val="16"/>
                <w:szCs w:val="16"/>
                <w:lang w:eastAsia="zh-CN"/>
              </w:rPr>
              <w:t>、</w:t>
            </w:r>
            <w:r w:rsidRPr="002C400D">
              <w:rPr>
                <w:rFonts w:cs="Calibri"/>
                <w:b/>
                <w:bCs/>
                <w:sz w:val="16"/>
                <w:szCs w:val="16"/>
                <w:lang w:eastAsia="zh-CN"/>
              </w:rPr>
              <w:t>9.7B</w:t>
            </w:r>
            <w:r w:rsidRPr="002C400D">
              <w:rPr>
                <w:rFonts w:cs="Calibri" w:hint="eastAsia"/>
                <w:b/>
                <w:bCs/>
                <w:sz w:val="16"/>
                <w:szCs w:val="16"/>
                <w:lang w:eastAsia="zh-CN"/>
              </w:rPr>
              <w:t>、</w:t>
            </w:r>
            <w:r w:rsidRPr="002C400D">
              <w:rPr>
                <w:rFonts w:cs="Calibri"/>
                <w:b/>
                <w:bCs/>
                <w:sz w:val="16"/>
                <w:szCs w:val="16"/>
                <w:lang w:eastAsia="zh-CN"/>
              </w:rPr>
              <w:t>9.11</w:t>
            </w:r>
            <w:r w:rsidRPr="002C400D">
              <w:rPr>
                <w:rFonts w:cs="Calibri" w:hint="eastAsia"/>
                <w:b/>
                <w:bCs/>
                <w:sz w:val="16"/>
                <w:szCs w:val="16"/>
                <w:lang w:eastAsia="zh-CN"/>
              </w:rPr>
              <w:t>、</w:t>
            </w:r>
            <w:r w:rsidRPr="002C400D">
              <w:rPr>
                <w:rFonts w:cs="Calibri"/>
                <w:b/>
                <w:bCs/>
                <w:sz w:val="16"/>
                <w:szCs w:val="16"/>
                <w:lang w:eastAsia="zh-CN"/>
              </w:rPr>
              <w:t>9.11A</w:t>
            </w:r>
            <w:r w:rsidRPr="002C400D">
              <w:rPr>
                <w:rFonts w:cs="Calibri" w:hint="eastAsia"/>
                <w:b/>
                <w:bCs/>
                <w:sz w:val="16"/>
                <w:szCs w:val="16"/>
                <w:lang w:eastAsia="zh-CN"/>
              </w:rPr>
              <w:t>、</w:t>
            </w:r>
            <w:r w:rsidRPr="002C400D">
              <w:rPr>
                <w:rFonts w:cs="Calibri"/>
                <w:b/>
                <w:bCs/>
                <w:sz w:val="16"/>
                <w:szCs w:val="16"/>
                <w:lang w:eastAsia="zh-CN"/>
              </w:rPr>
              <w:t>9.12</w:t>
            </w:r>
            <w:r w:rsidRPr="002C400D">
              <w:rPr>
                <w:rFonts w:cs="Calibri" w:hint="eastAsia"/>
                <w:b/>
                <w:bCs/>
                <w:sz w:val="16"/>
                <w:szCs w:val="16"/>
                <w:lang w:eastAsia="zh-CN"/>
              </w:rPr>
              <w:t>、</w:t>
            </w:r>
            <w:r w:rsidRPr="002C400D">
              <w:rPr>
                <w:rFonts w:cs="Calibri"/>
                <w:b/>
                <w:bCs/>
                <w:sz w:val="16"/>
                <w:szCs w:val="16"/>
                <w:lang w:eastAsia="zh-CN"/>
              </w:rPr>
              <w:t>9.12A</w:t>
            </w:r>
            <w:r w:rsidRPr="002C400D">
              <w:rPr>
                <w:rFonts w:cs="Calibri" w:hint="eastAsia"/>
                <w:b/>
                <w:bCs/>
                <w:sz w:val="16"/>
                <w:szCs w:val="16"/>
                <w:lang w:eastAsia="zh-CN"/>
              </w:rPr>
              <w:t>、</w:t>
            </w:r>
            <w:r w:rsidRPr="002C400D">
              <w:rPr>
                <w:rFonts w:cs="Calibri"/>
                <w:b/>
                <w:bCs/>
                <w:sz w:val="16"/>
                <w:szCs w:val="16"/>
                <w:lang w:eastAsia="zh-CN"/>
              </w:rPr>
              <w:t>9.13</w:t>
            </w:r>
            <w:r w:rsidRPr="002C400D">
              <w:rPr>
                <w:rFonts w:cs="Calibri" w:hint="eastAsia"/>
                <w:b/>
                <w:bCs/>
                <w:sz w:val="16"/>
                <w:szCs w:val="16"/>
                <w:lang w:eastAsia="zh-CN"/>
              </w:rPr>
              <w:t>、</w:t>
            </w:r>
            <w:r w:rsidRPr="002C400D">
              <w:rPr>
                <w:rFonts w:cs="Calibri"/>
                <w:b/>
                <w:bCs/>
                <w:sz w:val="16"/>
                <w:szCs w:val="16"/>
                <w:lang w:eastAsia="zh-CN"/>
              </w:rPr>
              <w:t>9.14</w:t>
            </w:r>
            <w:r w:rsidRPr="002C400D">
              <w:rPr>
                <w:rFonts w:cs="Calibri" w:hint="eastAsia"/>
                <w:sz w:val="16"/>
                <w:szCs w:val="16"/>
                <w:lang w:eastAsia="zh-CN"/>
              </w:rPr>
              <w:t>和</w:t>
            </w:r>
            <w:r w:rsidRPr="002C400D">
              <w:rPr>
                <w:rFonts w:cs="Calibri"/>
                <w:b/>
                <w:bCs/>
                <w:sz w:val="16"/>
                <w:szCs w:val="16"/>
                <w:lang w:eastAsia="zh-CN"/>
              </w:rPr>
              <w:t>9.21</w:t>
            </w:r>
            <w:r w:rsidRPr="002C400D">
              <w:rPr>
                <w:rFonts w:cs="Calibri" w:hint="eastAsia"/>
                <w:bCs/>
                <w:sz w:val="16"/>
                <w:szCs w:val="16"/>
                <w:lang w:eastAsia="zh-CN"/>
              </w:rPr>
              <w:t>款</w:t>
            </w:r>
            <w:r w:rsidRPr="002C400D">
              <w:rPr>
                <w:rFonts w:cs="Calibri" w:hint="eastAsia"/>
                <w:sz w:val="16"/>
                <w:szCs w:val="16"/>
                <w:lang w:eastAsia="zh-CN"/>
              </w:rPr>
              <w:t>中的一款或多款，附录</w:t>
            </w:r>
            <w:r w:rsidRPr="002C400D">
              <w:rPr>
                <w:rFonts w:cs="Calibri"/>
                <w:b/>
                <w:bCs/>
                <w:sz w:val="16"/>
                <w:szCs w:val="16"/>
                <w:lang w:eastAsia="zh-CN"/>
              </w:rPr>
              <w:t>30</w:t>
            </w:r>
            <w:r w:rsidRPr="002C400D">
              <w:rPr>
                <w:rFonts w:cs="Calibri" w:hint="eastAsia"/>
                <w:sz w:val="16"/>
                <w:szCs w:val="16"/>
                <w:lang w:eastAsia="zh-CN"/>
              </w:rPr>
              <w:t>第</w:t>
            </w:r>
            <w:r w:rsidRPr="002C400D">
              <w:rPr>
                <w:rFonts w:cs="Calibri"/>
                <w:b/>
                <w:bCs/>
                <w:sz w:val="16"/>
                <w:szCs w:val="16"/>
                <w:lang w:eastAsia="zh-CN"/>
              </w:rPr>
              <w:t>7</w:t>
            </w:r>
            <w:r w:rsidRPr="002C400D">
              <w:rPr>
                <w:rFonts w:cs="Calibri" w:hint="eastAsia"/>
                <w:sz w:val="16"/>
                <w:szCs w:val="16"/>
                <w:lang w:eastAsia="zh-CN"/>
              </w:rPr>
              <w:t>条的第</w:t>
            </w:r>
            <w:r w:rsidRPr="002C400D">
              <w:rPr>
                <w:rFonts w:cs="Calibri"/>
                <w:b/>
                <w:bCs/>
                <w:sz w:val="16"/>
                <w:szCs w:val="16"/>
                <w:lang w:eastAsia="zh-CN"/>
              </w:rPr>
              <w:t>7.1</w:t>
            </w:r>
            <w:r w:rsidRPr="002C400D">
              <w:rPr>
                <w:rFonts w:cs="Calibri" w:hint="eastAsia"/>
                <w:sz w:val="16"/>
                <w:szCs w:val="16"/>
                <w:lang w:eastAsia="zh-CN"/>
              </w:rPr>
              <w:t>段及附录</w:t>
            </w:r>
            <w:r w:rsidRPr="002C400D">
              <w:rPr>
                <w:rFonts w:cs="Calibri"/>
                <w:b/>
                <w:bCs/>
                <w:sz w:val="16"/>
                <w:szCs w:val="16"/>
                <w:lang w:eastAsia="zh-CN"/>
              </w:rPr>
              <w:t>30A</w:t>
            </w:r>
            <w:r w:rsidRPr="002C400D">
              <w:rPr>
                <w:rFonts w:cs="Calibri" w:hint="eastAsia"/>
                <w:sz w:val="16"/>
                <w:szCs w:val="16"/>
                <w:lang w:eastAsia="zh-CN"/>
              </w:rPr>
              <w:t>第</w:t>
            </w:r>
            <w:r w:rsidRPr="002C400D">
              <w:rPr>
                <w:rFonts w:cs="Calibri"/>
                <w:b/>
                <w:bCs/>
                <w:sz w:val="16"/>
                <w:szCs w:val="16"/>
                <w:lang w:eastAsia="zh-CN"/>
              </w:rPr>
              <w:t>7</w:t>
            </w:r>
            <w:r w:rsidRPr="002C400D">
              <w:rPr>
                <w:rFonts w:cs="Calibri" w:hint="eastAsia"/>
                <w:sz w:val="16"/>
                <w:szCs w:val="16"/>
                <w:lang w:eastAsia="zh-CN"/>
              </w:rPr>
              <w:t>条的第</w:t>
            </w:r>
            <w:r w:rsidRPr="002C400D">
              <w:rPr>
                <w:rFonts w:cs="Calibri"/>
                <w:b/>
                <w:bCs/>
                <w:sz w:val="16"/>
                <w:szCs w:val="16"/>
                <w:lang w:eastAsia="zh-CN"/>
              </w:rPr>
              <w:t>7.1</w:t>
            </w:r>
            <w:r w:rsidRPr="002C400D">
              <w:rPr>
                <w:rFonts w:cs="Calibri" w:hint="eastAsia"/>
                <w:sz w:val="16"/>
                <w:szCs w:val="16"/>
                <w:lang w:eastAsia="zh-CN"/>
              </w:rPr>
              <w:t>段和第</w:t>
            </w:r>
            <w:r w:rsidRPr="002C400D">
              <w:rPr>
                <w:rFonts w:cs="Calibri"/>
                <w:b/>
                <w:bCs/>
                <w:sz w:val="16"/>
                <w:szCs w:val="16"/>
                <w:lang w:eastAsia="zh-CN"/>
              </w:rPr>
              <w:t>539</w:t>
            </w:r>
            <w:r w:rsidRPr="002C400D">
              <w:rPr>
                <w:rFonts w:cs="Calibri" w:hint="eastAsia"/>
                <w:sz w:val="16"/>
                <w:szCs w:val="16"/>
                <w:lang w:eastAsia="zh-CN"/>
              </w:rPr>
              <w:t>号决议（</w:t>
            </w:r>
            <w:r w:rsidRPr="002C400D">
              <w:rPr>
                <w:rFonts w:cs="Calibri"/>
                <w:sz w:val="16"/>
                <w:szCs w:val="16"/>
                <w:lang w:eastAsia="zh-CN"/>
              </w:rPr>
              <w:t>20</w:t>
            </w:r>
            <w:r>
              <w:rPr>
                <w:rFonts w:cs="Calibri" w:hint="eastAsia"/>
                <w:sz w:val="16"/>
                <w:szCs w:val="16"/>
                <w:lang w:eastAsia="zh-CN"/>
              </w:rPr>
              <w:t>19</w:t>
            </w:r>
            <w:r w:rsidRPr="002C400D">
              <w:rPr>
                <w:rFonts w:cs="Calibri" w:hint="eastAsia"/>
                <w:sz w:val="16"/>
                <w:szCs w:val="16"/>
                <w:lang w:eastAsia="zh-CN"/>
              </w:rPr>
              <w:t>年世界无线电通信大会，修订版）的规定对某一卫星网络的协调要求。</w:t>
            </w:r>
          </w:p>
          <w:p w14:paraId="3266FA62" w14:textId="77777777" w:rsidR="00EA33C6" w:rsidRPr="002C400D" w:rsidRDefault="00EA33C6" w:rsidP="00EA33C6">
            <w:pPr>
              <w:spacing w:after="120"/>
              <w:rPr>
                <w:rFonts w:cs="Calibri"/>
                <w:sz w:val="16"/>
                <w:szCs w:val="16"/>
                <w:lang w:eastAsia="zh-CN"/>
              </w:rPr>
            </w:pPr>
            <w:r w:rsidRPr="002C400D">
              <w:rPr>
                <w:rFonts w:cs="Calibri" w:hint="eastAsia"/>
                <w:bCs/>
                <w:sz w:val="16"/>
                <w:szCs w:val="16"/>
                <w:lang w:eastAsia="zh-CN"/>
              </w:rPr>
              <w:t>注：协调还包括第</w:t>
            </w:r>
            <w:r w:rsidRPr="002C400D">
              <w:rPr>
                <w:rFonts w:eastAsiaTheme="minorEastAsia" w:cstheme="minorBidi"/>
                <w:bCs/>
                <w:sz w:val="16"/>
                <w:szCs w:val="22"/>
                <w:lang w:val="en-US" w:eastAsia="zh-CN"/>
              </w:rPr>
              <w:t xml:space="preserve">. </w:t>
            </w:r>
            <w:r w:rsidRPr="002C400D">
              <w:rPr>
                <w:rFonts w:eastAsiaTheme="minorEastAsia" w:cstheme="minorBidi"/>
                <w:b/>
                <w:sz w:val="16"/>
                <w:szCs w:val="22"/>
                <w:lang w:val="en-US" w:eastAsia="zh-CN"/>
              </w:rPr>
              <w:t>9.1A</w:t>
            </w:r>
            <w:r w:rsidRPr="002C400D">
              <w:rPr>
                <w:rFonts w:cs="Calibri" w:hint="eastAsia"/>
                <w:bCs/>
                <w:sz w:val="16"/>
                <w:szCs w:val="16"/>
                <w:lang w:eastAsia="zh-CN"/>
              </w:rPr>
              <w:t>款、第</w:t>
            </w:r>
            <w:r w:rsidRPr="002C400D">
              <w:rPr>
                <w:rFonts w:cs="Calibri"/>
                <w:b/>
                <w:sz w:val="16"/>
                <w:szCs w:val="16"/>
                <w:lang w:eastAsia="zh-CN"/>
              </w:rPr>
              <w:t>9.53A</w:t>
            </w:r>
            <w:r w:rsidRPr="002C400D">
              <w:rPr>
                <w:rFonts w:cs="Calibri" w:hint="eastAsia"/>
                <w:bCs/>
                <w:sz w:val="16"/>
                <w:szCs w:val="16"/>
                <w:lang w:eastAsia="zh-CN"/>
              </w:rPr>
              <w:t>款（</w:t>
            </w:r>
            <w:r w:rsidRPr="002C400D">
              <w:rPr>
                <w:rFonts w:cs="Calibri"/>
                <w:bCs/>
                <w:sz w:val="16"/>
                <w:szCs w:val="16"/>
                <w:lang w:eastAsia="zh-CN"/>
              </w:rPr>
              <w:t>CR/D</w:t>
            </w:r>
            <w:r w:rsidRPr="002C400D">
              <w:rPr>
                <w:rFonts w:cs="Calibri" w:hint="eastAsia"/>
                <w:bCs/>
                <w:sz w:val="16"/>
                <w:szCs w:val="16"/>
                <w:lang w:eastAsia="zh-CN"/>
              </w:rPr>
              <w:t>特节）和第</w:t>
            </w:r>
            <w:r w:rsidRPr="002C400D">
              <w:rPr>
                <w:rFonts w:cs="Calibri"/>
                <w:b/>
                <w:sz w:val="16"/>
                <w:szCs w:val="16"/>
                <w:lang w:eastAsia="zh-CN"/>
              </w:rPr>
              <w:t>9.41</w:t>
            </w:r>
            <w:r w:rsidRPr="002C400D">
              <w:rPr>
                <w:rFonts w:cs="Calibri"/>
                <w:bCs/>
                <w:sz w:val="16"/>
                <w:szCs w:val="16"/>
                <w:lang w:eastAsia="zh-CN"/>
              </w:rPr>
              <w:t>/</w:t>
            </w:r>
            <w:r w:rsidRPr="002C400D">
              <w:rPr>
                <w:rFonts w:cs="Calibri"/>
                <w:b/>
                <w:sz w:val="16"/>
                <w:szCs w:val="16"/>
                <w:lang w:eastAsia="zh-CN"/>
              </w:rPr>
              <w:t>9.42</w:t>
            </w:r>
            <w:r w:rsidRPr="002C400D">
              <w:rPr>
                <w:rFonts w:cs="Calibri" w:hint="eastAsia"/>
                <w:bCs/>
                <w:sz w:val="16"/>
                <w:szCs w:val="16"/>
                <w:lang w:eastAsia="zh-CN"/>
              </w:rPr>
              <w:t>款的应用，</w:t>
            </w:r>
            <w:r w:rsidRPr="002C400D">
              <w:rPr>
                <w:rFonts w:cs="Calibri" w:hint="eastAsia"/>
                <w:sz w:val="16"/>
                <w:szCs w:val="16"/>
                <w:lang w:eastAsia="zh-CN"/>
              </w:rPr>
              <w:t>且不另行收费。</w:t>
            </w:r>
          </w:p>
          <w:p w14:paraId="33A041F7" w14:textId="77777777" w:rsidR="00EA33C6" w:rsidRPr="002C400D" w:rsidRDefault="00EA33C6" w:rsidP="00EA33C6">
            <w:pPr>
              <w:spacing w:after="120"/>
              <w:rPr>
                <w:rFonts w:ascii="STKaiti" w:eastAsia="STKaiti" w:hAnsi="STKaiti" w:cs="Calibri"/>
                <w:sz w:val="16"/>
                <w:szCs w:val="16"/>
                <w:lang w:eastAsia="zh-CN"/>
              </w:rPr>
            </w:pPr>
            <w:r w:rsidRPr="002C400D">
              <w:rPr>
                <w:rFonts w:eastAsiaTheme="minorEastAsia" w:cstheme="minorBidi" w:hint="eastAsia"/>
                <w:bCs/>
                <w:sz w:val="16"/>
                <w:szCs w:val="22"/>
                <w:lang w:eastAsia="zh-CN"/>
              </w:rPr>
              <w:t>注：</w:t>
            </w:r>
            <w:r w:rsidRPr="002C400D">
              <w:rPr>
                <w:rFonts w:eastAsiaTheme="minorEastAsia" w:cstheme="minorBidi"/>
                <w:bCs/>
                <w:sz w:val="16"/>
                <w:szCs w:val="22"/>
                <w:lang w:eastAsia="zh-CN"/>
              </w:rPr>
              <w:t>对于通知主管部门已指出不同轨道特性</w:t>
            </w:r>
            <w:r>
              <w:rPr>
                <w:rFonts w:eastAsiaTheme="minorEastAsia" w:cstheme="minorBidi" w:hint="eastAsia"/>
                <w:bCs/>
                <w:sz w:val="16"/>
                <w:szCs w:val="22"/>
                <w:lang w:eastAsia="zh-CN"/>
              </w:rPr>
              <w:t>的不同</w:t>
            </w:r>
            <w:r w:rsidRPr="002C400D">
              <w:rPr>
                <w:rFonts w:eastAsiaTheme="minorEastAsia" w:cstheme="minorBidi"/>
                <w:bCs/>
                <w:sz w:val="16"/>
                <w:szCs w:val="22"/>
                <w:lang w:eastAsia="zh-CN"/>
              </w:rPr>
              <w:t>子集相互排斥的非对地静止卫星网络的协调请求，每子集的处理费用单独计算并在之后通过相加</w:t>
            </w:r>
            <w:r w:rsidRPr="002C400D">
              <w:rPr>
                <w:rFonts w:eastAsiaTheme="minorEastAsia" w:cstheme="minorBidi" w:hint="eastAsia"/>
                <w:bCs/>
                <w:sz w:val="16"/>
                <w:szCs w:val="22"/>
                <w:lang w:eastAsia="zh-CN"/>
              </w:rPr>
              <w:t>形成</w:t>
            </w:r>
            <w:r w:rsidRPr="002C400D">
              <w:rPr>
                <w:rFonts w:eastAsiaTheme="minorEastAsia" w:cstheme="minorBidi"/>
                <w:bCs/>
                <w:sz w:val="16"/>
                <w:szCs w:val="22"/>
                <w:lang w:eastAsia="zh-CN"/>
              </w:rPr>
              <w:t>该卫星网络的处理收费</w:t>
            </w:r>
            <w:r w:rsidRPr="002C400D">
              <w:rPr>
                <w:rFonts w:eastAsiaTheme="minorEastAsia" w:cstheme="minorBidi" w:hint="eastAsia"/>
                <w:bCs/>
                <w:sz w:val="16"/>
                <w:szCs w:val="22"/>
                <w:lang w:eastAsia="zh-CN"/>
              </w:rPr>
              <w:t>。</w:t>
            </w:r>
          </w:p>
        </w:tc>
        <w:tc>
          <w:tcPr>
            <w:tcW w:w="1499" w:type="dxa"/>
            <w:tcBorders>
              <w:top w:val="single" w:sz="4" w:space="0" w:color="auto"/>
              <w:left w:val="single" w:sz="4" w:space="0" w:color="auto"/>
              <w:bottom w:val="single" w:sz="4" w:space="0" w:color="auto"/>
              <w:right w:val="single" w:sz="4" w:space="0" w:color="auto"/>
            </w:tcBorders>
            <w:vAlign w:val="center"/>
            <w:hideMark/>
          </w:tcPr>
          <w:p w14:paraId="260F7BB2" w14:textId="77777777" w:rsidR="00EA33C6" w:rsidRPr="002C400D" w:rsidRDefault="00EA33C6" w:rsidP="00EA33C6">
            <w:pPr>
              <w:spacing w:after="120"/>
              <w:jc w:val="center"/>
              <w:rPr>
                <w:rFonts w:cs="Calibri"/>
                <w:bCs/>
                <w:sz w:val="16"/>
                <w:szCs w:val="16"/>
                <w:lang w:eastAsia="zh-CN"/>
              </w:rPr>
            </w:pPr>
            <w:r w:rsidRPr="002C400D">
              <w:rPr>
                <w:rFonts w:cs="Calibri"/>
                <w:bCs/>
                <w:sz w:val="16"/>
                <w:szCs w:val="16"/>
                <w:lang w:eastAsia="zh-CN"/>
              </w:rPr>
              <w:t>20 560</w:t>
            </w:r>
          </w:p>
        </w:tc>
        <w:tc>
          <w:tcPr>
            <w:tcW w:w="1511" w:type="dxa"/>
            <w:gridSpan w:val="2"/>
            <w:tcBorders>
              <w:top w:val="single" w:sz="4" w:space="0" w:color="auto"/>
              <w:left w:val="single" w:sz="4" w:space="0" w:color="auto"/>
              <w:bottom w:val="single" w:sz="4" w:space="0" w:color="auto"/>
              <w:right w:val="single" w:sz="4" w:space="0" w:color="auto"/>
            </w:tcBorders>
            <w:vAlign w:val="center"/>
            <w:hideMark/>
          </w:tcPr>
          <w:p w14:paraId="3B0922C6" w14:textId="77777777" w:rsidR="00EA33C6" w:rsidRPr="002C400D" w:rsidRDefault="00EA33C6" w:rsidP="00EA33C6">
            <w:pPr>
              <w:spacing w:after="120"/>
              <w:jc w:val="center"/>
              <w:rPr>
                <w:rFonts w:cs="Calibri"/>
                <w:sz w:val="16"/>
                <w:szCs w:val="16"/>
                <w:lang w:eastAsia="zh-CN"/>
              </w:rPr>
            </w:pPr>
            <w:r w:rsidRPr="002C400D">
              <w:rPr>
                <w:rFonts w:cs="Calibri"/>
                <w:sz w:val="16"/>
                <w:szCs w:val="16"/>
                <w:lang w:eastAsia="zh-CN"/>
              </w:rPr>
              <w:t>5 560</w:t>
            </w:r>
          </w:p>
        </w:tc>
        <w:tc>
          <w:tcPr>
            <w:tcW w:w="1484" w:type="dxa"/>
            <w:vMerge w:val="restart"/>
            <w:tcBorders>
              <w:top w:val="single" w:sz="4" w:space="0" w:color="auto"/>
              <w:left w:val="single" w:sz="4" w:space="0" w:color="auto"/>
              <w:bottom w:val="single" w:sz="4" w:space="0" w:color="auto"/>
              <w:right w:val="single" w:sz="4" w:space="0" w:color="auto"/>
            </w:tcBorders>
            <w:vAlign w:val="center"/>
            <w:hideMark/>
          </w:tcPr>
          <w:p w14:paraId="6887C7DD" w14:textId="77777777" w:rsidR="00EA33C6" w:rsidRPr="002C400D" w:rsidRDefault="00EA33C6" w:rsidP="00EA33C6">
            <w:pPr>
              <w:spacing w:after="120"/>
              <w:jc w:val="center"/>
              <w:rPr>
                <w:rFonts w:cs="Calibri"/>
                <w:sz w:val="16"/>
                <w:szCs w:val="16"/>
                <w:lang w:eastAsia="zh-CN"/>
              </w:rPr>
            </w:pPr>
            <w:r w:rsidRPr="002C400D">
              <w:rPr>
                <w:rFonts w:cs="Calibri"/>
                <w:sz w:val="16"/>
                <w:szCs w:val="16"/>
                <w:lang w:eastAsia="zh-CN"/>
              </w:rPr>
              <w:t>150</w:t>
            </w:r>
          </w:p>
        </w:tc>
        <w:tc>
          <w:tcPr>
            <w:tcW w:w="128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C0B637E" w14:textId="77777777" w:rsidR="00EA33C6" w:rsidRPr="002C400D" w:rsidRDefault="00EA33C6" w:rsidP="00EA33C6">
            <w:pPr>
              <w:pStyle w:val="BalloonText"/>
              <w:spacing w:after="120"/>
              <w:jc w:val="center"/>
              <w:rPr>
                <w:rFonts w:cs="Calibri"/>
                <w:lang w:eastAsia="zh-CN"/>
              </w:rPr>
            </w:pPr>
            <w:r w:rsidRPr="002C400D">
              <w:rPr>
                <w:rFonts w:cs="Calibri" w:hint="eastAsia"/>
                <w:lang w:eastAsia="zh-CN"/>
              </w:rPr>
              <w:t>将各频率指配组的频率指配数、台站类别数和发射数的乘积相加</w:t>
            </w:r>
          </w:p>
        </w:tc>
      </w:tr>
      <w:tr w:rsidR="00EA33C6" w:rsidRPr="002C400D" w14:paraId="0F9F659E" w14:textId="77777777" w:rsidTr="00EA33C6">
        <w:trPr>
          <w:cantSplit/>
          <w:jc w:val="center"/>
        </w:trPr>
        <w:tc>
          <w:tcPr>
            <w:tcW w:w="469" w:type="dxa"/>
            <w:vMerge/>
            <w:tcBorders>
              <w:top w:val="single" w:sz="4" w:space="0" w:color="auto"/>
              <w:left w:val="single" w:sz="4" w:space="0" w:color="auto"/>
              <w:bottom w:val="single" w:sz="4" w:space="0" w:color="auto"/>
              <w:right w:val="single" w:sz="4" w:space="0" w:color="auto"/>
            </w:tcBorders>
            <w:vAlign w:val="center"/>
            <w:hideMark/>
          </w:tcPr>
          <w:p w14:paraId="16ED91C5"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837" w:type="dxa"/>
            <w:vMerge/>
            <w:tcBorders>
              <w:top w:val="single" w:sz="4" w:space="0" w:color="auto"/>
              <w:left w:val="single" w:sz="4" w:space="0" w:color="auto"/>
              <w:bottom w:val="single" w:sz="4" w:space="0" w:color="auto"/>
              <w:right w:val="single" w:sz="4" w:space="0" w:color="auto"/>
            </w:tcBorders>
            <w:vAlign w:val="center"/>
            <w:hideMark/>
          </w:tcPr>
          <w:p w14:paraId="32FDE2D2"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614" w:type="dxa"/>
            <w:tcBorders>
              <w:top w:val="single" w:sz="4" w:space="0" w:color="auto"/>
              <w:left w:val="single" w:sz="4" w:space="0" w:color="auto"/>
              <w:bottom w:val="single" w:sz="4" w:space="0" w:color="auto"/>
              <w:right w:val="single" w:sz="4" w:space="0" w:color="auto"/>
            </w:tcBorders>
            <w:vAlign w:val="center"/>
            <w:hideMark/>
          </w:tcPr>
          <w:p w14:paraId="50F36B3A" w14:textId="77777777" w:rsidR="00EA33C6" w:rsidRPr="002C400D" w:rsidRDefault="00EA33C6" w:rsidP="00EA33C6">
            <w:pPr>
              <w:spacing w:after="120"/>
              <w:rPr>
                <w:rFonts w:cs="Calibri"/>
                <w:sz w:val="16"/>
                <w:szCs w:val="16"/>
                <w:lang w:val="en-US" w:eastAsia="zh-CN"/>
              </w:rPr>
            </w:pPr>
            <w:r w:rsidRPr="002C400D">
              <w:rPr>
                <w:rFonts w:cs="Calibri"/>
                <w:sz w:val="16"/>
                <w:szCs w:val="16"/>
                <w:lang w:val="en-US" w:eastAsia="zh-CN"/>
              </w:rPr>
              <w:t>C2*</w:t>
            </w:r>
          </w:p>
        </w:tc>
        <w:tc>
          <w:tcPr>
            <w:tcW w:w="7845" w:type="dxa"/>
            <w:vMerge/>
            <w:tcBorders>
              <w:top w:val="single" w:sz="4" w:space="0" w:color="auto"/>
              <w:left w:val="single" w:sz="4" w:space="0" w:color="auto"/>
              <w:bottom w:val="single" w:sz="4" w:space="0" w:color="auto"/>
              <w:right w:val="single" w:sz="4" w:space="0" w:color="auto"/>
            </w:tcBorders>
            <w:vAlign w:val="center"/>
            <w:hideMark/>
          </w:tcPr>
          <w:p w14:paraId="25658137"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1499" w:type="dxa"/>
            <w:tcBorders>
              <w:top w:val="single" w:sz="4" w:space="0" w:color="auto"/>
              <w:left w:val="single" w:sz="4" w:space="0" w:color="auto"/>
              <w:bottom w:val="single" w:sz="4" w:space="0" w:color="auto"/>
              <w:right w:val="single" w:sz="4" w:space="0" w:color="auto"/>
            </w:tcBorders>
            <w:vAlign w:val="center"/>
            <w:hideMark/>
          </w:tcPr>
          <w:p w14:paraId="421AD919" w14:textId="77777777" w:rsidR="00EA33C6" w:rsidRPr="002C400D" w:rsidRDefault="00EA33C6" w:rsidP="00EA33C6">
            <w:pPr>
              <w:spacing w:after="120"/>
              <w:jc w:val="center"/>
              <w:rPr>
                <w:rFonts w:cs="Calibri"/>
                <w:bCs/>
                <w:sz w:val="16"/>
                <w:szCs w:val="16"/>
                <w:lang w:val="en-US" w:eastAsia="zh-CN"/>
              </w:rPr>
            </w:pPr>
            <w:r w:rsidRPr="002C400D">
              <w:rPr>
                <w:rFonts w:cs="Calibri"/>
                <w:bCs/>
                <w:sz w:val="16"/>
                <w:szCs w:val="16"/>
                <w:lang w:val="en-US" w:eastAsia="zh-CN"/>
              </w:rPr>
              <w:t>24 620</w:t>
            </w:r>
          </w:p>
        </w:tc>
        <w:tc>
          <w:tcPr>
            <w:tcW w:w="1511" w:type="dxa"/>
            <w:gridSpan w:val="2"/>
            <w:tcBorders>
              <w:top w:val="single" w:sz="4" w:space="0" w:color="auto"/>
              <w:left w:val="single" w:sz="4" w:space="0" w:color="auto"/>
              <w:bottom w:val="single" w:sz="4" w:space="0" w:color="auto"/>
              <w:right w:val="single" w:sz="4" w:space="0" w:color="auto"/>
            </w:tcBorders>
            <w:vAlign w:val="center"/>
            <w:hideMark/>
          </w:tcPr>
          <w:p w14:paraId="1B075DD0" w14:textId="77777777" w:rsidR="00EA33C6" w:rsidRPr="002C400D" w:rsidRDefault="00EA33C6" w:rsidP="00EA33C6">
            <w:pPr>
              <w:spacing w:after="120"/>
              <w:jc w:val="center"/>
              <w:rPr>
                <w:rFonts w:cs="Calibri"/>
                <w:sz w:val="16"/>
                <w:szCs w:val="16"/>
                <w:lang w:val="en-US" w:eastAsia="zh-CN"/>
              </w:rPr>
            </w:pPr>
            <w:r w:rsidRPr="002C400D">
              <w:rPr>
                <w:rFonts w:cs="Calibri"/>
                <w:sz w:val="16"/>
                <w:szCs w:val="16"/>
                <w:lang w:val="en-US" w:eastAsia="zh-CN"/>
              </w:rPr>
              <w:t>9 620</w:t>
            </w: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04A6C437"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1287" w:type="dxa"/>
            <w:vMerge/>
            <w:tcBorders>
              <w:top w:val="single" w:sz="4" w:space="0" w:color="auto"/>
              <w:left w:val="single" w:sz="4" w:space="0" w:color="auto"/>
              <w:bottom w:val="single" w:sz="4" w:space="0" w:color="auto"/>
              <w:right w:val="single" w:sz="4" w:space="0" w:color="auto"/>
            </w:tcBorders>
            <w:vAlign w:val="center"/>
            <w:hideMark/>
          </w:tcPr>
          <w:p w14:paraId="0CC228AE"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r>
      <w:tr w:rsidR="00EA33C6" w:rsidRPr="002C400D" w14:paraId="52FF6A3E" w14:textId="77777777" w:rsidTr="00EA33C6">
        <w:trPr>
          <w:cantSplit/>
          <w:trHeight w:val="986"/>
          <w:jc w:val="center"/>
        </w:trPr>
        <w:tc>
          <w:tcPr>
            <w:tcW w:w="469" w:type="dxa"/>
            <w:vMerge/>
            <w:tcBorders>
              <w:top w:val="single" w:sz="4" w:space="0" w:color="auto"/>
              <w:left w:val="single" w:sz="4" w:space="0" w:color="auto"/>
              <w:bottom w:val="single" w:sz="4" w:space="0" w:color="auto"/>
              <w:right w:val="single" w:sz="4" w:space="0" w:color="auto"/>
            </w:tcBorders>
            <w:vAlign w:val="center"/>
            <w:hideMark/>
          </w:tcPr>
          <w:p w14:paraId="710A2008"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837" w:type="dxa"/>
            <w:vMerge/>
            <w:tcBorders>
              <w:top w:val="single" w:sz="4" w:space="0" w:color="auto"/>
              <w:left w:val="single" w:sz="4" w:space="0" w:color="auto"/>
              <w:bottom w:val="single" w:sz="4" w:space="0" w:color="auto"/>
              <w:right w:val="single" w:sz="4" w:space="0" w:color="auto"/>
            </w:tcBorders>
            <w:vAlign w:val="center"/>
            <w:hideMark/>
          </w:tcPr>
          <w:p w14:paraId="2C7BD79B"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614" w:type="dxa"/>
            <w:tcBorders>
              <w:top w:val="single" w:sz="4" w:space="0" w:color="auto"/>
              <w:left w:val="single" w:sz="4" w:space="0" w:color="auto"/>
              <w:bottom w:val="single" w:sz="4" w:space="0" w:color="auto"/>
              <w:right w:val="single" w:sz="4" w:space="0" w:color="auto"/>
            </w:tcBorders>
            <w:vAlign w:val="center"/>
            <w:hideMark/>
          </w:tcPr>
          <w:p w14:paraId="260B2329" w14:textId="77777777" w:rsidR="00EA33C6" w:rsidRPr="002C400D" w:rsidRDefault="00EA33C6" w:rsidP="00EA33C6">
            <w:pPr>
              <w:spacing w:after="120"/>
              <w:rPr>
                <w:rFonts w:cs="Calibri"/>
                <w:sz w:val="16"/>
                <w:szCs w:val="16"/>
                <w:lang w:val="en-US" w:eastAsia="zh-CN"/>
              </w:rPr>
            </w:pPr>
            <w:r w:rsidRPr="002C400D">
              <w:rPr>
                <w:rFonts w:cs="Calibri"/>
                <w:sz w:val="16"/>
                <w:szCs w:val="16"/>
                <w:lang w:val="en-US" w:eastAsia="zh-CN"/>
              </w:rPr>
              <w:t>C3*</w:t>
            </w:r>
          </w:p>
        </w:tc>
        <w:tc>
          <w:tcPr>
            <w:tcW w:w="7845" w:type="dxa"/>
            <w:vMerge/>
            <w:tcBorders>
              <w:top w:val="single" w:sz="4" w:space="0" w:color="auto"/>
              <w:left w:val="single" w:sz="4" w:space="0" w:color="auto"/>
              <w:bottom w:val="single" w:sz="4" w:space="0" w:color="auto"/>
              <w:right w:val="single" w:sz="4" w:space="0" w:color="auto"/>
            </w:tcBorders>
            <w:vAlign w:val="center"/>
            <w:hideMark/>
          </w:tcPr>
          <w:p w14:paraId="1450AB2C"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1499" w:type="dxa"/>
            <w:tcBorders>
              <w:top w:val="single" w:sz="4" w:space="0" w:color="auto"/>
              <w:left w:val="single" w:sz="4" w:space="0" w:color="auto"/>
              <w:bottom w:val="single" w:sz="4" w:space="0" w:color="auto"/>
              <w:right w:val="single" w:sz="4" w:space="0" w:color="auto"/>
            </w:tcBorders>
            <w:vAlign w:val="center"/>
            <w:hideMark/>
          </w:tcPr>
          <w:p w14:paraId="75C37133" w14:textId="77777777" w:rsidR="00EA33C6" w:rsidRPr="002C400D" w:rsidRDefault="00EA33C6" w:rsidP="00EA33C6">
            <w:pPr>
              <w:spacing w:after="120"/>
              <w:jc w:val="center"/>
              <w:rPr>
                <w:rFonts w:cs="Calibri"/>
                <w:bCs/>
                <w:sz w:val="16"/>
                <w:szCs w:val="16"/>
                <w:lang w:val="en-US" w:eastAsia="zh-CN"/>
              </w:rPr>
            </w:pPr>
            <w:r w:rsidRPr="002C400D">
              <w:rPr>
                <w:rFonts w:cs="Calibri"/>
                <w:bCs/>
                <w:sz w:val="16"/>
                <w:szCs w:val="16"/>
                <w:lang w:val="en-US" w:eastAsia="zh-CN"/>
              </w:rPr>
              <w:t>33 467</w:t>
            </w:r>
          </w:p>
        </w:tc>
        <w:tc>
          <w:tcPr>
            <w:tcW w:w="1511" w:type="dxa"/>
            <w:gridSpan w:val="2"/>
            <w:tcBorders>
              <w:top w:val="single" w:sz="4" w:space="0" w:color="auto"/>
              <w:left w:val="single" w:sz="4" w:space="0" w:color="auto"/>
              <w:bottom w:val="single" w:sz="4" w:space="0" w:color="auto"/>
              <w:right w:val="single" w:sz="4" w:space="0" w:color="auto"/>
            </w:tcBorders>
            <w:vAlign w:val="center"/>
            <w:hideMark/>
          </w:tcPr>
          <w:p w14:paraId="65DAB6E6" w14:textId="77777777" w:rsidR="00EA33C6" w:rsidRPr="002C400D" w:rsidRDefault="00EA33C6" w:rsidP="00EA33C6">
            <w:pPr>
              <w:spacing w:after="120"/>
              <w:jc w:val="center"/>
              <w:rPr>
                <w:rFonts w:cs="Calibri"/>
                <w:sz w:val="16"/>
                <w:szCs w:val="16"/>
                <w:lang w:val="en-US" w:eastAsia="zh-CN"/>
              </w:rPr>
            </w:pPr>
            <w:r w:rsidRPr="002C400D">
              <w:rPr>
                <w:rFonts w:cs="Calibri"/>
                <w:sz w:val="16"/>
                <w:szCs w:val="16"/>
                <w:lang w:val="en-US" w:eastAsia="zh-CN"/>
              </w:rPr>
              <w:t>18 467</w:t>
            </w: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12A77BAF"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1287" w:type="dxa"/>
            <w:vMerge/>
            <w:tcBorders>
              <w:top w:val="single" w:sz="4" w:space="0" w:color="auto"/>
              <w:left w:val="single" w:sz="4" w:space="0" w:color="auto"/>
              <w:bottom w:val="single" w:sz="4" w:space="0" w:color="auto"/>
              <w:right w:val="single" w:sz="4" w:space="0" w:color="auto"/>
            </w:tcBorders>
            <w:vAlign w:val="center"/>
            <w:hideMark/>
          </w:tcPr>
          <w:p w14:paraId="3E40B227"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r>
      <w:tr w:rsidR="00EA33C6" w:rsidRPr="002C400D" w14:paraId="1FBC4305" w14:textId="77777777" w:rsidTr="00EA33C6">
        <w:trPr>
          <w:cantSplit/>
          <w:jc w:val="center"/>
        </w:trPr>
        <w:tc>
          <w:tcPr>
            <w:tcW w:w="469" w:type="dxa"/>
            <w:vMerge w:val="restart"/>
            <w:tcBorders>
              <w:top w:val="single" w:sz="4" w:space="0" w:color="auto"/>
              <w:left w:val="single" w:sz="4" w:space="0" w:color="auto"/>
              <w:bottom w:val="single" w:sz="4" w:space="0" w:color="auto"/>
              <w:right w:val="single" w:sz="4" w:space="0" w:color="auto"/>
            </w:tcBorders>
            <w:vAlign w:val="center"/>
            <w:hideMark/>
          </w:tcPr>
          <w:p w14:paraId="2B9BB1D4" w14:textId="77777777" w:rsidR="00EA33C6" w:rsidRPr="002C400D" w:rsidRDefault="00EA33C6" w:rsidP="00EA33C6">
            <w:pPr>
              <w:spacing w:after="120"/>
              <w:rPr>
                <w:rFonts w:cs="Calibri"/>
                <w:sz w:val="16"/>
                <w:szCs w:val="16"/>
                <w:lang w:val="en-US" w:eastAsia="zh-CN"/>
              </w:rPr>
            </w:pPr>
            <w:r w:rsidRPr="002C400D">
              <w:rPr>
                <w:rFonts w:cs="Calibri"/>
                <w:sz w:val="16"/>
                <w:szCs w:val="16"/>
                <w:lang w:val="en-US" w:eastAsia="zh-CN"/>
              </w:rPr>
              <w:t>3</w:t>
            </w:r>
          </w:p>
        </w:tc>
        <w:tc>
          <w:tcPr>
            <w:tcW w:w="837" w:type="dxa"/>
            <w:vMerge w:val="restart"/>
            <w:tcBorders>
              <w:top w:val="single" w:sz="4" w:space="0" w:color="auto"/>
              <w:left w:val="single" w:sz="4" w:space="0" w:color="auto"/>
              <w:bottom w:val="single" w:sz="4" w:space="0" w:color="auto"/>
              <w:right w:val="single" w:sz="4" w:space="0" w:color="auto"/>
            </w:tcBorders>
            <w:vAlign w:val="center"/>
            <w:hideMark/>
          </w:tcPr>
          <w:p w14:paraId="0F01DBAC" w14:textId="77777777" w:rsidR="00EA33C6" w:rsidRPr="002C400D" w:rsidRDefault="00EA33C6" w:rsidP="00EA33C6">
            <w:pPr>
              <w:spacing w:after="120"/>
              <w:rPr>
                <w:rFonts w:cs="Calibri"/>
                <w:sz w:val="16"/>
                <w:szCs w:val="16"/>
                <w:vertAlign w:val="superscript"/>
                <w:lang w:val="en-US" w:eastAsia="zh-CN"/>
              </w:rPr>
            </w:pPr>
            <w:r w:rsidRPr="002C400D">
              <w:rPr>
                <w:rFonts w:cs="Calibri" w:hint="eastAsia"/>
                <w:sz w:val="16"/>
                <w:szCs w:val="16"/>
                <w:lang w:val="en-US" w:eastAsia="zh-CN"/>
              </w:rPr>
              <w:t>通知（</w:t>
            </w:r>
            <w:r w:rsidRPr="002C400D">
              <w:rPr>
                <w:rFonts w:cs="Calibri"/>
                <w:sz w:val="16"/>
                <w:szCs w:val="16"/>
                <w:lang w:val="en-US" w:eastAsia="zh-CN"/>
              </w:rPr>
              <w:t>N</w:t>
            </w:r>
            <w:r w:rsidRPr="002C400D">
              <w:rPr>
                <w:rFonts w:cs="Calibri" w:hint="eastAsia"/>
                <w:sz w:val="16"/>
                <w:szCs w:val="16"/>
                <w:lang w:val="en-US" w:eastAsia="zh-CN"/>
              </w:rPr>
              <w:t>）</w:t>
            </w:r>
            <w:r w:rsidRPr="002C400D">
              <w:rPr>
                <w:rStyle w:val="FootnoteReference"/>
                <w:rFonts w:cs="Calibri"/>
                <w:vertAlign w:val="superscript"/>
                <w:lang w:eastAsia="zh-CN"/>
              </w:rPr>
              <w:t>a</w:t>
            </w:r>
            <w:r w:rsidRPr="002C400D">
              <w:rPr>
                <w:rStyle w:val="FootnoteReference"/>
                <w:rFonts w:cs="Calibri" w:hint="eastAsia"/>
                <w:vertAlign w:val="superscript"/>
                <w:lang w:eastAsia="zh-CN"/>
              </w:rPr>
              <w:t>)</w:t>
            </w:r>
          </w:p>
        </w:tc>
        <w:tc>
          <w:tcPr>
            <w:tcW w:w="614" w:type="dxa"/>
            <w:tcBorders>
              <w:top w:val="single" w:sz="4" w:space="0" w:color="auto"/>
              <w:left w:val="single" w:sz="4" w:space="0" w:color="auto"/>
              <w:bottom w:val="single" w:sz="4" w:space="0" w:color="auto"/>
              <w:right w:val="single" w:sz="4" w:space="0" w:color="auto"/>
            </w:tcBorders>
            <w:vAlign w:val="center"/>
            <w:hideMark/>
          </w:tcPr>
          <w:p w14:paraId="55551E2A" w14:textId="77777777" w:rsidR="00EA33C6" w:rsidRPr="002C400D" w:rsidRDefault="00EA33C6" w:rsidP="00EA33C6">
            <w:pPr>
              <w:spacing w:after="120"/>
              <w:rPr>
                <w:rFonts w:cs="Calibri"/>
                <w:sz w:val="16"/>
                <w:szCs w:val="16"/>
                <w:lang w:val="en-US" w:eastAsia="zh-CN"/>
              </w:rPr>
            </w:pPr>
            <w:r w:rsidRPr="002C400D">
              <w:rPr>
                <w:rFonts w:cs="Calibri"/>
                <w:sz w:val="16"/>
                <w:szCs w:val="16"/>
                <w:lang w:val="en-US" w:eastAsia="zh-CN"/>
              </w:rPr>
              <w:t>N1*</w:t>
            </w:r>
            <w:r w:rsidRPr="002C400D">
              <w:rPr>
                <w:rStyle w:val="FootnoteReference"/>
                <w:rFonts w:cs="Calibri"/>
                <w:vertAlign w:val="superscript"/>
              </w:rPr>
              <w:t>d)</w:t>
            </w:r>
          </w:p>
        </w:tc>
        <w:tc>
          <w:tcPr>
            <w:tcW w:w="7845" w:type="dxa"/>
            <w:vMerge w:val="restart"/>
            <w:tcBorders>
              <w:top w:val="single" w:sz="4" w:space="0" w:color="auto"/>
              <w:left w:val="single" w:sz="4" w:space="0" w:color="auto"/>
              <w:bottom w:val="single" w:sz="4" w:space="0" w:color="auto"/>
              <w:right w:val="single" w:sz="4" w:space="0" w:color="auto"/>
            </w:tcBorders>
            <w:vAlign w:val="center"/>
            <w:hideMark/>
          </w:tcPr>
          <w:p w14:paraId="3D731271" w14:textId="77777777" w:rsidR="00EA33C6" w:rsidRPr="002C400D" w:rsidRDefault="00EA33C6" w:rsidP="00EA33C6">
            <w:pPr>
              <w:spacing w:after="120"/>
              <w:rPr>
                <w:rFonts w:cs="Calibri"/>
                <w:sz w:val="16"/>
                <w:szCs w:val="16"/>
                <w:lang w:eastAsia="zh-CN"/>
              </w:rPr>
            </w:pPr>
            <w:r w:rsidRPr="002C400D">
              <w:rPr>
                <w:rFonts w:cs="Calibri" w:hint="eastAsia"/>
                <w:sz w:val="16"/>
                <w:szCs w:val="16"/>
                <w:lang w:eastAsia="zh-CN"/>
              </w:rPr>
              <w:t>关于在国际频率登记总表</w:t>
            </w:r>
            <w:r w:rsidRPr="002C400D">
              <w:rPr>
                <w:rFonts w:cs="Calibri" w:hint="eastAsia"/>
                <w:sz w:val="16"/>
                <w:szCs w:val="16"/>
                <w:lang w:val="en-US" w:eastAsia="zh-CN"/>
              </w:rPr>
              <w:t>（</w:t>
            </w:r>
            <w:r w:rsidRPr="002C400D">
              <w:rPr>
                <w:rFonts w:cs="Calibri"/>
                <w:sz w:val="16"/>
                <w:szCs w:val="16"/>
                <w:lang w:eastAsia="zh-CN"/>
              </w:rPr>
              <w:t>MIFR</w:t>
            </w:r>
            <w:r w:rsidRPr="002C400D">
              <w:rPr>
                <w:rFonts w:cs="Calibri" w:hint="eastAsia"/>
                <w:sz w:val="16"/>
                <w:szCs w:val="16"/>
                <w:lang w:val="en-US" w:eastAsia="zh-CN"/>
              </w:rPr>
              <w:t>）中登记按照第</w:t>
            </w:r>
            <w:r w:rsidRPr="002C400D">
              <w:rPr>
                <w:rFonts w:cs="Calibri"/>
                <w:b/>
                <w:bCs/>
                <w:sz w:val="16"/>
                <w:szCs w:val="16"/>
                <w:lang w:val="en-US" w:eastAsia="zh-CN"/>
              </w:rPr>
              <w:t>9</w:t>
            </w:r>
            <w:r w:rsidRPr="002C400D">
              <w:rPr>
                <w:rFonts w:cs="Calibri" w:hint="eastAsia"/>
                <w:sz w:val="16"/>
                <w:szCs w:val="16"/>
                <w:lang w:val="en-US" w:eastAsia="zh-CN"/>
              </w:rPr>
              <w:t>条第</w:t>
            </w:r>
            <w:r w:rsidRPr="002C400D">
              <w:rPr>
                <w:rFonts w:cs="Calibri"/>
                <w:b/>
                <w:bCs/>
                <w:sz w:val="16"/>
                <w:szCs w:val="16"/>
                <w:lang w:val="en-US" w:eastAsia="zh-CN"/>
              </w:rPr>
              <w:t>II</w:t>
            </w:r>
            <w:r w:rsidRPr="002C400D">
              <w:rPr>
                <w:rFonts w:cs="Calibri" w:hint="eastAsia"/>
                <w:sz w:val="16"/>
                <w:szCs w:val="16"/>
                <w:lang w:val="en-US" w:eastAsia="zh-CN"/>
              </w:rPr>
              <w:t>节的规定进行协调的卫星网络的频率指配的通知（非对地静止卫星网络例外，仅须按照第</w:t>
            </w:r>
            <w:r w:rsidRPr="002C400D">
              <w:rPr>
                <w:rFonts w:cs="Calibri"/>
                <w:b/>
                <w:bCs/>
                <w:sz w:val="16"/>
                <w:szCs w:val="16"/>
                <w:lang w:val="en-US" w:eastAsia="zh-CN"/>
              </w:rPr>
              <w:t>9.21</w:t>
            </w:r>
            <w:r w:rsidRPr="002C400D">
              <w:rPr>
                <w:rFonts w:cs="Calibri" w:hint="eastAsia"/>
                <w:sz w:val="16"/>
                <w:szCs w:val="16"/>
                <w:lang w:val="en-US" w:eastAsia="zh-CN"/>
              </w:rPr>
              <w:t>款进行协调）。</w:t>
            </w:r>
          </w:p>
          <w:p w14:paraId="02974316" w14:textId="77777777" w:rsidR="00EA33C6" w:rsidRPr="004A1976" w:rsidRDefault="00EA33C6" w:rsidP="00EA33C6">
            <w:pPr>
              <w:pStyle w:val="SpecialFooter"/>
              <w:tabs>
                <w:tab w:val="left" w:pos="794"/>
                <w:tab w:val="left" w:pos="1191"/>
                <w:tab w:val="left" w:pos="1588"/>
                <w:tab w:val="left" w:pos="1985"/>
              </w:tabs>
              <w:spacing w:before="120" w:after="120"/>
              <w:jc w:val="left"/>
              <w:rPr>
                <w:rFonts w:cs="Calibri"/>
                <w:szCs w:val="16"/>
                <w:lang w:eastAsia="zh-CN"/>
              </w:rPr>
            </w:pPr>
            <w:r w:rsidRPr="002C400D">
              <w:rPr>
                <w:rFonts w:cs="Calibri" w:hint="eastAsia"/>
                <w:szCs w:val="16"/>
                <w:lang w:eastAsia="zh-CN"/>
              </w:rPr>
              <w:t>注</w:t>
            </w:r>
            <w:r w:rsidRPr="004A1976">
              <w:rPr>
                <w:rFonts w:cs="Calibri" w:hint="eastAsia"/>
                <w:szCs w:val="16"/>
                <w:lang w:eastAsia="zh-CN"/>
              </w:rPr>
              <w:t>：</w:t>
            </w:r>
            <w:r w:rsidRPr="002C400D">
              <w:rPr>
                <w:rFonts w:cs="Calibri" w:hint="eastAsia"/>
                <w:szCs w:val="16"/>
                <w:lang w:eastAsia="zh-CN"/>
              </w:rPr>
              <w:t>通知还包括第</w:t>
            </w:r>
            <w:r w:rsidRPr="004A1976">
              <w:rPr>
                <w:rFonts w:cs="Calibri"/>
                <w:b/>
                <w:bCs/>
                <w:szCs w:val="16"/>
                <w:lang w:eastAsia="zh-CN"/>
              </w:rPr>
              <w:t>4</w:t>
            </w:r>
            <w:r w:rsidRPr="002C400D">
              <w:rPr>
                <w:rFonts w:cs="Calibri" w:hint="eastAsia"/>
                <w:szCs w:val="16"/>
                <w:lang w:eastAsia="zh-CN"/>
              </w:rPr>
              <w:t>号决议和第</w:t>
            </w:r>
            <w:r w:rsidRPr="004A1976">
              <w:rPr>
                <w:rFonts w:cs="Calibri"/>
                <w:b/>
                <w:bCs/>
                <w:szCs w:val="16"/>
                <w:lang w:eastAsia="zh-CN"/>
              </w:rPr>
              <w:t>49</w:t>
            </w:r>
            <w:r w:rsidRPr="002C400D">
              <w:rPr>
                <w:rFonts w:cs="Calibri" w:hint="eastAsia"/>
                <w:szCs w:val="16"/>
                <w:lang w:eastAsia="zh-CN"/>
              </w:rPr>
              <w:t>号决议、第</w:t>
            </w:r>
            <w:r w:rsidRPr="004A1976">
              <w:rPr>
                <w:rFonts w:cs="Calibri"/>
                <w:b/>
                <w:bCs/>
                <w:szCs w:val="16"/>
                <w:lang w:eastAsia="zh-CN"/>
              </w:rPr>
              <w:t>11.32A</w:t>
            </w:r>
            <w:r w:rsidRPr="004A1976">
              <w:rPr>
                <w:rFonts w:cs="Calibri" w:hint="eastAsia"/>
                <w:szCs w:val="16"/>
                <w:lang w:eastAsia="zh-CN"/>
              </w:rPr>
              <w:t>（</w:t>
            </w:r>
            <w:r w:rsidRPr="002C400D">
              <w:rPr>
                <w:rFonts w:cs="Calibri" w:hint="eastAsia"/>
                <w:szCs w:val="16"/>
                <w:lang w:eastAsia="zh-CN"/>
              </w:rPr>
              <w:t>见脚注</w:t>
            </w:r>
            <w:r w:rsidRPr="004A1976">
              <w:rPr>
                <w:rFonts w:cs="Calibri"/>
                <w:szCs w:val="16"/>
                <w:lang w:eastAsia="zh-CN"/>
              </w:rPr>
              <w:t>a</w:t>
            </w:r>
            <w:r w:rsidRPr="004A1976">
              <w:rPr>
                <w:rFonts w:cs="Calibri" w:hint="eastAsia"/>
                <w:szCs w:val="16"/>
                <w:lang w:eastAsia="zh-CN"/>
              </w:rPr>
              <w:t>）</w:t>
            </w:r>
            <w:r w:rsidRPr="002C400D">
              <w:rPr>
                <w:rFonts w:cs="Calibri" w:hint="eastAsia"/>
                <w:szCs w:val="16"/>
                <w:lang w:eastAsia="zh-CN"/>
              </w:rPr>
              <w:t>、</w:t>
            </w:r>
            <w:r w:rsidRPr="004A1976">
              <w:rPr>
                <w:rFonts w:cs="Calibri"/>
                <w:b/>
                <w:bCs/>
                <w:szCs w:val="16"/>
                <w:lang w:eastAsia="zh-CN"/>
              </w:rPr>
              <w:t>11.41</w:t>
            </w:r>
            <w:r w:rsidRPr="002C400D">
              <w:rPr>
                <w:rFonts w:cs="Calibri" w:hint="eastAsia"/>
                <w:szCs w:val="16"/>
                <w:lang w:eastAsia="zh-CN"/>
              </w:rPr>
              <w:t>、</w:t>
            </w:r>
            <w:r w:rsidRPr="004A1976">
              <w:rPr>
                <w:rFonts w:cs="Calibri"/>
                <w:b/>
                <w:bCs/>
                <w:szCs w:val="16"/>
                <w:lang w:eastAsia="zh-CN"/>
              </w:rPr>
              <w:t>11.47</w:t>
            </w:r>
            <w:r w:rsidRPr="002C400D">
              <w:rPr>
                <w:rFonts w:cs="Calibri" w:hint="eastAsia"/>
                <w:szCs w:val="16"/>
                <w:lang w:eastAsia="zh-CN"/>
              </w:rPr>
              <w:t>、</w:t>
            </w:r>
            <w:r w:rsidRPr="004A1976">
              <w:rPr>
                <w:rFonts w:cs="Calibri"/>
                <w:b/>
                <w:bCs/>
                <w:szCs w:val="16"/>
                <w:lang w:eastAsia="zh-CN"/>
              </w:rPr>
              <w:t>11.49</w:t>
            </w:r>
            <w:r w:rsidRPr="002C400D">
              <w:rPr>
                <w:rFonts w:cs="Calibri" w:hint="eastAsia"/>
                <w:szCs w:val="16"/>
                <w:lang w:eastAsia="zh-CN"/>
              </w:rPr>
              <w:t>款、第</w:t>
            </w:r>
            <w:r w:rsidRPr="004A1976">
              <w:rPr>
                <w:rFonts w:cs="Calibri"/>
                <w:b/>
                <w:bCs/>
                <w:szCs w:val="16"/>
                <w:lang w:eastAsia="zh-CN"/>
              </w:rPr>
              <w:t>9</w:t>
            </w:r>
            <w:r w:rsidRPr="002C400D">
              <w:rPr>
                <w:rFonts w:cs="Calibri" w:hint="eastAsia"/>
                <w:szCs w:val="16"/>
                <w:lang w:eastAsia="zh-CN"/>
              </w:rPr>
              <w:t>条第</w:t>
            </w:r>
            <w:r w:rsidRPr="004A1976">
              <w:rPr>
                <w:rFonts w:cs="Calibri"/>
                <w:szCs w:val="16"/>
                <w:lang w:eastAsia="zh-CN"/>
              </w:rPr>
              <w:t>IID</w:t>
            </w:r>
            <w:r w:rsidRPr="002C400D">
              <w:rPr>
                <w:rFonts w:cs="Calibri" w:hint="eastAsia"/>
                <w:szCs w:val="16"/>
                <w:lang w:eastAsia="zh-CN"/>
              </w:rPr>
              <w:t>子节、第</w:t>
            </w:r>
            <w:r w:rsidRPr="004A1976">
              <w:rPr>
                <w:rFonts w:cs="Calibri"/>
                <w:b/>
                <w:bCs/>
                <w:szCs w:val="16"/>
                <w:lang w:eastAsia="zh-CN"/>
              </w:rPr>
              <w:t>13</w:t>
            </w:r>
            <w:r w:rsidRPr="002C400D">
              <w:rPr>
                <w:rFonts w:cs="Calibri" w:hint="eastAsia"/>
                <w:szCs w:val="16"/>
                <w:lang w:eastAsia="zh-CN"/>
              </w:rPr>
              <w:t>条第</w:t>
            </w:r>
            <w:r w:rsidRPr="004A1976">
              <w:rPr>
                <w:rFonts w:cs="Calibri"/>
                <w:szCs w:val="16"/>
                <w:lang w:eastAsia="zh-CN"/>
              </w:rPr>
              <w:t>1</w:t>
            </w:r>
            <w:r w:rsidRPr="002C400D">
              <w:rPr>
                <w:rFonts w:cs="Calibri" w:hint="eastAsia"/>
                <w:szCs w:val="16"/>
                <w:lang w:eastAsia="zh-CN"/>
              </w:rPr>
              <w:t>节和第</w:t>
            </w:r>
            <w:r w:rsidRPr="004A1976">
              <w:rPr>
                <w:rFonts w:cs="Calibri"/>
                <w:szCs w:val="16"/>
                <w:lang w:eastAsia="zh-CN"/>
              </w:rPr>
              <w:t>2</w:t>
            </w:r>
            <w:r w:rsidRPr="002C400D">
              <w:rPr>
                <w:rFonts w:cs="Calibri" w:hint="eastAsia"/>
                <w:szCs w:val="16"/>
                <w:lang w:eastAsia="zh-CN"/>
              </w:rPr>
              <w:t>节及第</w:t>
            </w:r>
            <w:r w:rsidRPr="004A1976">
              <w:rPr>
                <w:rFonts w:cs="Calibri"/>
                <w:b/>
                <w:bCs/>
                <w:szCs w:val="16"/>
                <w:lang w:eastAsia="zh-CN"/>
              </w:rPr>
              <w:t>14</w:t>
            </w:r>
            <w:r w:rsidRPr="002C400D">
              <w:rPr>
                <w:rFonts w:cs="Calibri" w:hint="eastAsia"/>
                <w:szCs w:val="16"/>
                <w:lang w:eastAsia="zh-CN"/>
              </w:rPr>
              <w:t>条的应用</w:t>
            </w:r>
            <w:r w:rsidRPr="004A1976">
              <w:rPr>
                <w:rFonts w:cs="Calibri" w:hint="eastAsia"/>
                <w:szCs w:val="16"/>
                <w:lang w:eastAsia="zh-CN"/>
              </w:rPr>
              <w:t>，</w:t>
            </w:r>
            <w:r w:rsidRPr="002C400D">
              <w:rPr>
                <w:rFonts w:cs="Calibri" w:hint="eastAsia"/>
                <w:szCs w:val="16"/>
                <w:lang w:eastAsia="zh-CN"/>
              </w:rPr>
              <w:t>且不会另行收费。</w:t>
            </w:r>
          </w:p>
        </w:tc>
        <w:tc>
          <w:tcPr>
            <w:tcW w:w="1499" w:type="dxa"/>
            <w:tcBorders>
              <w:top w:val="single" w:sz="4" w:space="0" w:color="auto"/>
              <w:left w:val="single" w:sz="4" w:space="0" w:color="auto"/>
              <w:bottom w:val="single" w:sz="4" w:space="0" w:color="auto"/>
              <w:right w:val="single" w:sz="4" w:space="0" w:color="auto"/>
            </w:tcBorders>
            <w:vAlign w:val="center"/>
            <w:hideMark/>
          </w:tcPr>
          <w:p w14:paraId="7FF541C9" w14:textId="77777777" w:rsidR="00EA33C6" w:rsidRPr="002C400D" w:rsidRDefault="00EA33C6" w:rsidP="00EA33C6">
            <w:pPr>
              <w:spacing w:after="120"/>
              <w:jc w:val="center"/>
              <w:rPr>
                <w:rFonts w:cs="Calibri"/>
                <w:bCs/>
                <w:sz w:val="16"/>
                <w:szCs w:val="16"/>
                <w:lang w:eastAsia="zh-CN"/>
              </w:rPr>
            </w:pPr>
            <w:r w:rsidRPr="002C400D">
              <w:rPr>
                <w:rFonts w:cs="Calibri"/>
                <w:bCs/>
                <w:sz w:val="16"/>
                <w:szCs w:val="16"/>
                <w:lang w:eastAsia="zh-CN"/>
              </w:rPr>
              <w:t>30 910</w:t>
            </w:r>
          </w:p>
        </w:tc>
        <w:tc>
          <w:tcPr>
            <w:tcW w:w="1511" w:type="dxa"/>
            <w:gridSpan w:val="2"/>
            <w:tcBorders>
              <w:top w:val="single" w:sz="4" w:space="0" w:color="auto"/>
              <w:left w:val="single" w:sz="4" w:space="0" w:color="auto"/>
              <w:bottom w:val="single" w:sz="4" w:space="0" w:color="auto"/>
              <w:right w:val="single" w:sz="4" w:space="0" w:color="auto"/>
            </w:tcBorders>
            <w:vAlign w:val="center"/>
            <w:hideMark/>
          </w:tcPr>
          <w:p w14:paraId="7EE9AEF5" w14:textId="77777777" w:rsidR="00EA33C6" w:rsidRPr="002C400D" w:rsidRDefault="00EA33C6" w:rsidP="00EA33C6">
            <w:pPr>
              <w:spacing w:after="120"/>
              <w:jc w:val="center"/>
              <w:rPr>
                <w:rFonts w:cs="Calibri"/>
                <w:sz w:val="16"/>
                <w:szCs w:val="16"/>
                <w:lang w:eastAsia="zh-CN"/>
              </w:rPr>
            </w:pPr>
            <w:r w:rsidRPr="002C400D">
              <w:rPr>
                <w:rFonts w:cs="Calibri"/>
                <w:sz w:val="16"/>
                <w:szCs w:val="16"/>
                <w:lang w:eastAsia="zh-CN"/>
              </w:rPr>
              <w:t>15 910</w:t>
            </w: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65E9F658"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1287" w:type="dxa"/>
            <w:vMerge/>
            <w:tcBorders>
              <w:top w:val="single" w:sz="4" w:space="0" w:color="auto"/>
              <w:left w:val="single" w:sz="4" w:space="0" w:color="auto"/>
              <w:bottom w:val="single" w:sz="4" w:space="0" w:color="auto"/>
              <w:right w:val="single" w:sz="4" w:space="0" w:color="auto"/>
            </w:tcBorders>
            <w:vAlign w:val="center"/>
            <w:hideMark/>
          </w:tcPr>
          <w:p w14:paraId="5B9C8C39"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r>
      <w:tr w:rsidR="00EA33C6" w:rsidRPr="002C400D" w14:paraId="6DB654B9" w14:textId="77777777" w:rsidTr="00EA33C6">
        <w:trPr>
          <w:cantSplit/>
          <w:jc w:val="center"/>
        </w:trPr>
        <w:tc>
          <w:tcPr>
            <w:tcW w:w="469" w:type="dxa"/>
            <w:vMerge/>
            <w:tcBorders>
              <w:top w:val="single" w:sz="4" w:space="0" w:color="auto"/>
              <w:left w:val="single" w:sz="4" w:space="0" w:color="auto"/>
              <w:bottom w:val="single" w:sz="4" w:space="0" w:color="auto"/>
              <w:right w:val="single" w:sz="4" w:space="0" w:color="auto"/>
            </w:tcBorders>
            <w:vAlign w:val="center"/>
            <w:hideMark/>
          </w:tcPr>
          <w:p w14:paraId="1463E844"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val="en-US" w:eastAsia="zh-CN"/>
              </w:rPr>
            </w:pPr>
          </w:p>
        </w:tc>
        <w:tc>
          <w:tcPr>
            <w:tcW w:w="837" w:type="dxa"/>
            <w:vMerge/>
            <w:tcBorders>
              <w:top w:val="single" w:sz="4" w:space="0" w:color="auto"/>
              <w:left w:val="single" w:sz="4" w:space="0" w:color="auto"/>
              <w:bottom w:val="single" w:sz="4" w:space="0" w:color="auto"/>
              <w:right w:val="single" w:sz="4" w:space="0" w:color="auto"/>
            </w:tcBorders>
            <w:vAlign w:val="center"/>
            <w:hideMark/>
          </w:tcPr>
          <w:p w14:paraId="57D23D30"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vertAlign w:val="superscript"/>
                <w:lang w:val="en-US" w:eastAsia="zh-CN"/>
              </w:rPr>
            </w:pPr>
          </w:p>
        </w:tc>
        <w:tc>
          <w:tcPr>
            <w:tcW w:w="614" w:type="dxa"/>
            <w:tcBorders>
              <w:top w:val="single" w:sz="4" w:space="0" w:color="auto"/>
              <w:left w:val="single" w:sz="4" w:space="0" w:color="auto"/>
              <w:bottom w:val="single" w:sz="4" w:space="0" w:color="auto"/>
              <w:right w:val="single" w:sz="4" w:space="0" w:color="auto"/>
            </w:tcBorders>
            <w:vAlign w:val="center"/>
            <w:hideMark/>
          </w:tcPr>
          <w:p w14:paraId="37823507" w14:textId="77777777" w:rsidR="00EA33C6" w:rsidRPr="002C400D" w:rsidRDefault="00EA33C6" w:rsidP="00EA33C6">
            <w:pPr>
              <w:spacing w:after="120"/>
              <w:rPr>
                <w:rFonts w:cs="Calibri"/>
                <w:sz w:val="16"/>
                <w:szCs w:val="16"/>
                <w:lang w:eastAsia="zh-CN"/>
              </w:rPr>
            </w:pPr>
            <w:r w:rsidRPr="002C400D">
              <w:rPr>
                <w:rFonts w:cs="Calibri"/>
                <w:sz w:val="16"/>
                <w:szCs w:val="16"/>
                <w:lang w:eastAsia="zh-CN"/>
              </w:rPr>
              <w:t>N2*</w:t>
            </w:r>
          </w:p>
        </w:tc>
        <w:tc>
          <w:tcPr>
            <w:tcW w:w="7845" w:type="dxa"/>
            <w:vMerge/>
            <w:tcBorders>
              <w:top w:val="single" w:sz="4" w:space="0" w:color="auto"/>
              <w:left w:val="single" w:sz="4" w:space="0" w:color="auto"/>
              <w:bottom w:val="single" w:sz="4" w:space="0" w:color="auto"/>
              <w:right w:val="single" w:sz="4" w:space="0" w:color="auto"/>
            </w:tcBorders>
            <w:vAlign w:val="center"/>
            <w:hideMark/>
          </w:tcPr>
          <w:p w14:paraId="1939182D"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val="fr-FR" w:eastAsia="zh-CN"/>
              </w:rPr>
            </w:pPr>
          </w:p>
        </w:tc>
        <w:tc>
          <w:tcPr>
            <w:tcW w:w="1499" w:type="dxa"/>
            <w:tcBorders>
              <w:top w:val="single" w:sz="4" w:space="0" w:color="auto"/>
              <w:left w:val="single" w:sz="4" w:space="0" w:color="auto"/>
              <w:bottom w:val="single" w:sz="4" w:space="0" w:color="auto"/>
              <w:right w:val="single" w:sz="4" w:space="0" w:color="auto"/>
            </w:tcBorders>
            <w:vAlign w:val="center"/>
            <w:hideMark/>
          </w:tcPr>
          <w:p w14:paraId="3E612687" w14:textId="77777777" w:rsidR="00EA33C6" w:rsidRPr="002C400D" w:rsidRDefault="00EA33C6" w:rsidP="00EA33C6">
            <w:pPr>
              <w:spacing w:after="120"/>
              <w:jc w:val="center"/>
              <w:rPr>
                <w:rFonts w:cs="Calibri"/>
                <w:bCs/>
                <w:sz w:val="16"/>
                <w:szCs w:val="16"/>
                <w:lang w:eastAsia="zh-CN"/>
              </w:rPr>
            </w:pPr>
            <w:r w:rsidRPr="002C400D">
              <w:rPr>
                <w:rFonts w:cs="Calibri"/>
                <w:bCs/>
                <w:sz w:val="16"/>
                <w:szCs w:val="16"/>
                <w:lang w:eastAsia="zh-CN"/>
              </w:rPr>
              <w:t>57 920</w:t>
            </w:r>
          </w:p>
        </w:tc>
        <w:tc>
          <w:tcPr>
            <w:tcW w:w="1511" w:type="dxa"/>
            <w:gridSpan w:val="2"/>
            <w:tcBorders>
              <w:top w:val="single" w:sz="4" w:space="0" w:color="auto"/>
              <w:left w:val="single" w:sz="4" w:space="0" w:color="auto"/>
              <w:bottom w:val="single" w:sz="4" w:space="0" w:color="auto"/>
              <w:right w:val="single" w:sz="4" w:space="0" w:color="auto"/>
            </w:tcBorders>
            <w:vAlign w:val="center"/>
            <w:hideMark/>
          </w:tcPr>
          <w:p w14:paraId="300FDB04" w14:textId="77777777" w:rsidR="00EA33C6" w:rsidRPr="002C400D" w:rsidRDefault="00EA33C6" w:rsidP="00EA33C6">
            <w:pPr>
              <w:spacing w:after="120"/>
              <w:jc w:val="center"/>
              <w:rPr>
                <w:rFonts w:cs="Calibri"/>
                <w:sz w:val="16"/>
                <w:szCs w:val="16"/>
                <w:lang w:eastAsia="zh-CN"/>
              </w:rPr>
            </w:pPr>
            <w:r w:rsidRPr="002C400D">
              <w:rPr>
                <w:rFonts w:cs="Calibri"/>
                <w:sz w:val="16"/>
                <w:szCs w:val="16"/>
                <w:lang w:eastAsia="zh-CN"/>
              </w:rPr>
              <w:t>42 920</w:t>
            </w: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6B51F75A"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1287" w:type="dxa"/>
            <w:vMerge/>
            <w:tcBorders>
              <w:top w:val="single" w:sz="4" w:space="0" w:color="auto"/>
              <w:left w:val="single" w:sz="4" w:space="0" w:color="auto"/>
              <w:bottom w:val="single" w:sz="4" w:space="0" w:color="auto"/>
              <w:right w:val="single" w:sz="4" w:space="0" w:color="auto"/>
            </w:tcBorders>
            <w:vAlign w:val="center"/>
            <w:hideMark/>
          </w:tcPr>
          <w:p w14:paraId="428B1BCD"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r>
      <w:tr w:rsidR="00EA33C6" w:rsidRPr="002C400D" w14:paraId="2311089B" w14:textId="77777777" w:rsidTr="00EA33C6">
        <w:trPr>
          <w:cantSplit/>
          <w:jc w:val="center"/>
        </w:trPr>
        <w:tc>
          <w:tcPr>
            <w:tcW w:w="469" w:type="dxa"/>
            <w:vMerge/>
            <w:tcBorders>
              <w:top w:val="single" w:sz="4" w:space="0" w:color="auto"/>
              <w:left w:val="single" w:sz="4" w:space="0" w:color="auto"/>
              <w:bottom w:val="single" w:sz="4" w:space="0" w:color="auto"/>
              <w:right w:val="single" w:sz="4" w:space="0" w:color="auto"/>
            </w:tcBorders>
            <w:vAlign w:val="center"/>
            <w:hideMark/>
          </w:tcPr>
          <w:p w14:paraId="06DD2177"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val="en-US" w:eastAsia="zh-CN"/>
              </w:rPr>
            </w:pPr>
          </w:p>
        </w:tc>
        <w:tc>
          <w:tcPr>
            <w:tcW w:w="837" w:type="dxa"/>
            <w:vMerge/>
            <w:tcBorders>
              <w:top w:val="single" w:sz="4" w:space="0" w:color="auto"/>
              <w:left w:val="single" w:sz="4" w:space="0" w:color="auto"/>
              <w:bottom w:val="single" w:sz="4" w:space="0" w:color="auto"/>
              <w:right w:val="single" w:sz="4" w:space="0" w:color="auto"/>
            </w:tcBorders>
            <w:vAlign w:val="center"/>
            <w:hideMark/>
          </w:tcPr>
          <w:p w14:paraId="6C598734"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vertAlign w:val="superscript"/>
                <w:lang w:val="en-US" w:eastAsia="zh-CN"/>
              </w:rPr>
            </w:pPr>
          </w:p>
        </w:tc>
        <w:tc>
          <w:tcPr>
            <w:tcW w:w="614" w:type="dxa"/>
            <w:tcBorders>
              <w:top w:val="single" w:sz="4" w:space="0" w:color="auto"/>
              <w:left w:val="single" w:sz="4" w:space="0" w:color="auto"/>
              <w:bottom w:val="single" w:sz="4" w:space="0" w:color="auto"/>
              <w:right w:val="single" w:sz="4" w:space="0" w:color="auto"/>
            </w:tcBorders>
            <w:vAlign w:val="center"/>
            <w:hideMark/>
          </w:tcPr>
          <w:p w14:paraId="41A4BFD7" w14:textId="77777777" w:rsidR="00EA33C6" w:rsidRPr="002C400D" w:rsidRDefault="00EA33C6" w:rsidP="00EA33C6">
            <w:pPr>
              <w:spacing w:after="120"/>
              <w:rPr>
                <w:rFonts w:cs="Calibri"/>
                <w:sz w:val="16"/>
                <w:szCs w:val="16"/>
                <w:lang w:eastAsia="zh-CN"/>
              </w:rPr>
            </w:pPr>
            <w:r w:rsidRPr="002C400D">
              <w:rPr>
                <w:rFonts w:cs="Calibri"/>
                <w:sz w:val="16"/>
                <w:szCs w:val="16"/>
                <w:lang w:eastAsia="zh-CN"/>
              </w:rPr>
              <w:t>N3*</w:t>
            </w:r>
          </w:p>
        </w:tc>
        <w:tc>
          <w:tcPr>
            <w:tcW w:w="7845" w:type="dxa"/>
            <w:vMerge/>
            <w:tcBorders>
              <w:top w:val="single" w:sz="4" w:space="0" w:color="auto"/>
              <w:left w:val="single" w:sz="4" w:space="0" w:color="auto"/>
              <w:bottom w:val="single" w:sz="4" w:space="0" w:color="auto"/>
              <w:right w:val="single" w:sz="4" w:space="0" w:color="auto"/>
            </w:tcBorders>
            <w:vAlign w:val="center"/>
            <w:hideMark/>
          </w:tcPr>
          <w:p w14:paraId="68606EF3"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val="fr-FR" w:eastAsia="zh-CN"/>
              </w:rPr>
            </w:pPr>
          </w:p>
        </w:tc>
        <w:tc>
          <w:tcPr>
            <w:tcW w:w="1499" w:type="dxa"/>
            <w:tcBorders>
              <w:top w:val="single" w:sz="4" w:space="0" w:color="auto"/>
              <w:left w:val="single" w:sz="4" w:space="0" w:color="auto"/>
              <w:bottom w:val="single" w:sz="4" w:space="0" w:color="auto"/>
              <w:right w:val="single" w:sz="4" w:space="0" w:color="auto"/>
            </w:tcBorders>
            <w:vAlign w:val="center"/>
            <w:hideMark/>
          </w:tcPr>
          <w:p w14:paraId="568D43EE" w14:textId="77777777" w:rsidR="00EA33C6" w:rsidRPr="002C400D" w:rsidRDefault="00EA33C6" w:rsidP="00EA33C6">
            <w:pPr>
              <w:spacing w:after="120"/>
              <w:jc w:val="center"/>
              <w:rPr>
                <w:rFonts w:cs="Calibri"/>
                <w:bCs/>
                <w:sz w:val="16"/>
                <w:szCs w:val="16"/>
                <w:lang w:eastAsia="zh-CN"/>
              </w:rPr>
            </w:pPr>
            <w:r w:rsidRPr="002C400D">
              <w:rPr>
                <w:rFonts w:cs="Calibri"/>
                <w:bCs/>
                <w:sz w:val="16"/>
                <w:szCs w:val="16"/>
                <w:lang w:eastAsia="zh-CN"/>
              </w:rPr>
              <w:t>57 920</w:t>
            </w:r>
          </w:p>
        </w:tc>
        <w:tc>
          <w:tcPr>
            <w:tcW w:w="1511" w:type="dxa"/>
            <w:gridSpan w:val="2"/>
            <w:tcBorders>
              <w:top w:val="single" w:sz="4" w:space="0" w:color="auto"/>
              <w:left w:val="single" w:sz="4" w:space="0" w:color="auto"/>
              <w:bottom w:val="single" w:sz="4" w:space="0" w:color="auto"/>
              <w:right w:val="single" w:sz="4" w:space="0" w:color="auto"/>
            </w:tcBorders>
            <w:vAlign w:val="center"/>
            <w:hideMark/>
          </w:tcPr>
          <w:p w14:paraId="0473F1A2" w14:textId="77777777" w:rsidR="00EA33C6" w:rsidRPr="002C400D" w:rsidRDefault="00EA33C6" w:rsidP="00EA33C6">
            <w:pPr>
              <w:spacing w:after="120"/>
              <w:jc w:val="center"/>
              <w:rPr>
                <w:rFonts w:cs="Calibri"/>
                <w:sz w:val="16"/>
                <w:szCs w:val="16"/>
                <w:lang w:eastAsia="zh-CN"/>
              </w:rPr>
            </w:pPr>
            <w:r w:rsidRPr="002C400D">
              <w:rPr>
                <w:rFonts w:cs="Calibri"/>
                <w:sz w:val="16"/>
                <w:szCs w:val="16"/>
                <w:lang w:eastAsia="zh-CN"/>
              </w:rPr>
              <w:t>42 920</w:t>
            </w: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6F09841A"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1287" w:type="dxa"/>
            <w:vMerge/>
            <w:tcBorders>
              <w:top w:val="single" w:sz="4" w:space="0" w:color="auto"/>
              <w:left w:val="single" w:sz="4" w:space="0" w:color="auto"/>
              <w:bottom w:val="single" w:sz="4" w:space="0" w:color="auto"/>
              <w:right w:val="single" w:sz="4" w:space="0" w:color="auto"/>
            </w:tcBorders>
            <w:vAlign w:val="center"/>
            <w:hideMark/>
          </w:tcPr>
          <w:p w14:paraId="5B1DD8BF"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r>
      <w:tr w:rsidR="00EA33C6" w:rsidRPr="002C400D" w14:paraId="56DF9D2C" w14:textId="77777777" w:rsidTr="00EA33C6">
        <w:trPr>
          <w:cantSplit/>
          <w:jc w:val="center"/>
        </w:trPr>
        <w:tc>
          <w:tcPr>
            <w:tcW w:w="469" w:type="dxa"/>
            <w:vMerge/>
            <w:tcBorders>
              <w:top w:val="single" w:sz="4" w:space="0" w:color="auto"/>
              <w:left w:val="single" w:sz="4" w:space="0" w:color="auto"/>
              <w:bottom w:val="single" w:sz="4" w:space="0" w:color="auto"/>
              <w:right w:val="single" w:sz="4" w:space="0" w:color="auto"/>
            </w:tcBorders>
            <w:vAlign w:val="center"/>
            <w:hideMark/>
          </w:tcPr>
          <w:p w14:paraId="5F83E764"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val="en-US" w:eastAsia="zh-CN"/>
              </w:rPr>
            </w:pPr>
          </w:p>
        </w:tc>
        <w:tc>
          <w:tcPr>
            <w:tcW w:w="837" w:type="dxa"/>
            <w:vMerge/>
            <w:tcBorders>
              <w:top w:val="single" w:sz="4" w:space="0" w:color="auto"/>
              <w:left w:val="single" w:sz="4" w:space="0" w:color="auto"/>
              <w:bottom w:val="single" w:sz="4" w:space="0" w:color="auto"/>
              <w:right w:val="single" w:sz="4" w:space="0" w:color="auto"/>
            </w:tcBorders>
            <w:vAlign w:val="center"/>
            <w:hideMark/>
          </w:tcPr>
          <w:p w14:paraId="6250D34C"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vertAlign w:val="superscript"/>
                <w:lang w:val="en-US" w:eastAsia="zh-CN"/>
              </w:rPr>
            </w:pPr>
          </w:p>
        </w:tc>
        <w:tc>
          <w:tcPr>
            <w:tcW w:w="614" w:type="dxa"/>
            <w:tcBorders>
              <w:top w:val="single" w:sz="4" w:space="0" w:color="auto"/>
              <w:left w:val="single" w:sz="4" w:space="0" w:color="auto"/>
              <w:bottom w:val="single" w:sz="4" w:space="0" w:color="auto"/>
              <w:right w:val="single" w:sz="4" w:space="0" w:color="auto"/>
            </w:tcBorders>
            <w:vAlign w:val="center"/>
            <w:hideMark/>
          </w:tcPr>
          <w:p w14:paraId="51C700FF" w14:textId="77777777" w:rsidR="00EA33C6" w:rsidRPr="002C400D" w:rsidRDefault="00EA33C6" w:rsidP="00EA33C6">
            <w:pPr>
              <w:spacing w:after="120"/>
              <w:rPr>
                <w:rFonts w:cs="Calibri"/>
                <w:sz w:val="16"/>
                <w:szCs w:val="16"/>
                <w:lang w:eastAsia="zh-CN"/>
              </w:rPr>
            </w:pPr>
            <w:r w:rsidRPr="002C400D">
              <w:rPr>
                <w:rFonts w:cs="Calibri"/>
                <w:sz w:val="16"/>
                <w:szCs w:val="16"/>
                <w:lang w:eastAsia="zh-CN"/>
              </w:rPr>
              <w:t>N4</w:t>
            </w:r>
          </w:p>
        </w:tc>
        <w:tc>
          <w:tcPr>
            <w:tcW w:w="7845" w:type="dxa"/>
            <w:tcBorders>
              <w:top w:val="single" w:sz="4" w:space="0" w:color="auto"/>
              <w:left w:val="single" w:sz="4" w:space="0" w:color="auto"/>
              <w:bottom w:val="single" w:sz="4" w:space="0" w:color="auto"/>
              <w:right w:val="single" w:sz="4" w:space="0" w:color="auto"/>
            </w:tcBorders>
            <w:vAlign w:val="center"/>
            <w:hideMark/>
          </w:tcPr>
          <w:p w14:paraId="5A7E102D" w14:textId="77777777" w:rsidR="00EA33C6" w:rsidRPr="002C400D" w:rsidRDefault="00EA33C6" w:rsidP="00EA33C6">
            <w:pPr>
              <w:spacing w:after="120"/>
              <w:rPr>
                <w:rFonts w:cs="Calibri"/>
                <w:sz w:val="16"/>
                <w:szCs w:val="16"/>
                <w:lang w:eastAsia="zh-CN"/>
              </w:rPr>
            </w:pPr>
            <w:bookmarkStart w:id="186" w:name="_Hlk39069909"/>
            <w:r w:rsidRPr="002C400D">
              <w:rPr>
                <w:rFonts w:cs="Calibri" w:hint="eastAsia"/>
                <w:sz w:val="16"/>
                <w:szCs w:val="16"/>
                <w:lang w:eastAsia="zh-CN"/>
              </w:rPr>
              <w:t>关于在国际频率登记总表</w:t>
            </w:r>
            <w:r w:rsidRPr="002C400D">
              <w:rPr>
                <w:rFonts w:cs="Calibri" w:hint="eastAsia"/>
                <w:sz w:val="16"/>
                <w:szCs w:val="16"/>
                <w:lang w:val="en-US" w:eastAsia="zh-CN"/>
              </w:rPr>
              <w:t>（</w:t>
            </w:r>
            <w:r w:rsidRPr="002C400D">
              <w:rPr>
                <w:rFonts w:cs="Calibri"/>
                <w:sz w:val="16"/>
                <w:szCs w:val="16"/>
                <w:lang w:eastAsia="zh-CN"/>
              </w:rPr>
              <w:t>MIFR</w:t>
            </w:r>
            <w:r w:rsidRPr="002C400D">
              <w:rPr>
                <w:rFonts w:cs="Calibri" w:hint="eastAsia"/>
                <w:sz w:val="16"/>
                <w:szCs w:val="16"/>
                <w:lang w:val="en-US" w:eastAsia="zh-CN"/>
              </w:rPr>
              <w:t>）中登记无须按照第</w:t>
            </w:r>
            <w:r w:rsidRPr="002C400D">
              <w:rPr>
                <w:rFonts w:cs="Calibri"/>
                <w:b/>
                <w:bCs/>
                <w:sz w:val="16"/>
                <w:szCs w:val="16"/>
                <w:lang w:val="en-US" w:eastAsia="zh-CN"/>
              </w:rPr>
              <w:t>9</w:t>
            </w:r>
            <w:r w:rsidRPr="002C400D">
              <w:rPr>
                <w:rFonts w:cs="Calibri" w:hint="eastAsia"/>
                <w:sz w:val="16"/>
                <w:szCs w:val="16"/>
                <w:lang w:val="en-US" w:eastAsia="zh-CN"/>
              </w:rPr>
              <w:t>条第</w:t>
            </w:r>
            <w:r w:rsidRPr="002C400D">
              <w:rPr>
                <w:rFonts w:cs="Calibri"/>
                <w:b/>
                <w:bCs/>
                <w:sz w:val="16"/>
                <w:szCs w:val="16"/>
                <w:lang w:val="en-US" w:eastAsia="zh-CN"/>
              </w:rPr>
              <w:t>II</w:t>
            </w:r>
            <w:r w:rsidRPr="002C400D">
              <w:rPr>
                <w:rFonts w:cs="Calibri" w:hint="eastAsia"/>
                <w:sz w:val="16"/>
                <w:szCs w:val="16"/>
                <w:lang w:val="en-US" w:eastAsia="zh-CN"/>
              </w:rPr>
              <w:t>节的规定进行协调的卫星网络或仅须按照第</w:t>
            </w:r>
            <w:r w:rsidRPr="002C400D">
              <w:rPr>
                <w:rFonts w:cs="Calibri"/>
                <w:b/>
                <w:sz w:val="16"/>
                <w:szCs w:val="16"/>
                <w:lang w:eastAsia="zh-CN"/>
              </w:rPr>
              <w:t>9.21</w:t>
            </w:r>
            <w:r w:rsidRPr="002C400D">
              <w:rPr>
                <w:rFonts w:cs="Calibri" w:hint="eastAsia"/>
                <w:sz w:val="16"/>
                <w:szCs w:val="16"/>
                <w:lang w:val="en-US" w:eastAsia="zh-CN"/>
              </w:rPr>
              <w:t>款进行协调的</w:t>
            </w:r>
            <w:r w:rsidRPr="00BF0DF1">
              <w:rPr>
                <w:rFonts w:cs="Calibri" w:hint="eastAsia"/>
                <w:sz w:val="16"/>
                <w:szCs w:val="16"/>
                <w:lang w:val="en-US" w:eastAsia="zh-CN"/>
              </w:rPr>
              <w:t>非对地静止卫星网络</w:t>
            </w:r>
            <w:r>
              <w:rPr>
                <w:rFonts w:cs="Calibri" w:hint="eastAsia"/>
                <w:sz w:val="16"/>
                <w:szCs w:val="16"/>
                <w:lang w:val="en-US" w:eastAsia="zh-CN"/>
              </w:rPr>
              <w:t>的</w:t>
            </w:r>
            <w:r w:rsidRPr="002C400D">
              <w:rPr>
                <w:rFonts w:cs="Calibri" w:hint="eastAsia"/>
                <w:sz w:val="16"/>
                <w:szCs w:val="16"/>
                <w:lang w:val="en-US" w:eastAsia="zh-CN"/>
              </w:rPr>
              <w:t>频率指配的通知</w:t>
            </w:r>
            <w:bookmarkEnd w:id="186"/>
            <w:r w:rsidRPr="002C400D">
              <w:rPr>
                <w:rFonts w:cs="Calibri" w:hint="eastAsia"/>
                <w:sz w:val="16"/>
                <w:szCs w:val="16"/>
                <w:lang w:val="en-US" w:eastAsia="zh-CN"/>
              </w:rPr>
              <w:t>。</w:t>
            </w:r>
          </w:p>
        </w:tc>
        <w:tc>
          <w:tcPr>
            <w:tcW w:w="3010" w:type="dxa"/>
            <w:gridSpan w:val="3"/>
            <w:tcBorders>
              <w:top w:val="single" w:sz="4" w:space="0" w:color="auto"/>
              <w:left w:val="single" w:sz="4" w:space="0" w:color="auto"/>
              <w:bottom w:val="single" w:sz="4" w:space="0" w:color="auto"/>
              <w:right w:val="single" w:sz="4" w:space="0" w:color="auto"/>
            </w:tcBorders>
            <w:vAlign w:val="center"/>
            <w:hideMark/>
          </w:tcPr>
          <w:p w14:paraId="313F6A83" w14:textId="77777777" w:rsidR="00EA33C6" w:rsidRPr="002C400D" w:rsidRDefault="00EA33C6" w:rsidP="00EA33C6">
            <w:pPr>
              <w:spacing w:after="120"/>
              <w:jc w:val="center"/>
              <w:rPr>
                <w:rFonts w:cs="Calibri"/>
                <w:bCs/>
                <w:sz w:val="16"/>
                <w:szCs w:val="16"/>
                <w:lang w:eastAsia="zh-CN"/>
              </w:rPr>
            </w:pPr>
            <w:r w:rsidRPr="002C400D">
              <w:rPr>
                <w:rFonts w:cs="Calibri"/>
                <w:bCs/>
                <w:sz w:val="16"/>
                <w:szCs w:val="16"/>
                <w:lang w:eastAsia="zh-CN"/>
              </w:rPr>
              <w:t>7 030</w:t>
            </w:r>
          </w:p>
        </w:tc>
        <w:tc>
          <w:tcPr>
            <w:tcW w:w="2771" w:type="dxa"/>
            <w:gridSpan w:val="2"/>
            <w:tcBorders>
              <w:top w:val="single" w:sz="4" w:space="0" w:color="auto"/>
              <w:left w:val="single" w:sz="4" w:space="0" w:color="auto"/>
              <w:bottom w:val="single" w:sz="4" w:space="0" w:color="auto"/>
              <w:right w:val="single" w:sz="4" w:space="0" w:color="auto"/>
            </w:tcBorders>
            <w:hideMark/>
          </w:tcPr>
          <w:p w14:paraId="68E5E719" w14:textId="77777777" w:rsidR="00EA33C6" w:rsidRPr="002C400D" w:rsidRDefault="00EA33C6" w:rsidP="00EA33C6">
            <w:pPr>
              <w:pStyle w:val="TableText0"/>
              <w:spacing w:before="120" w:after="120"/>
              <w:jc w:val="center"/>
              <w:rPr>
                <w:rFonts w:ascii="Calibri" w:hAnsi="Calibri" w:cs="Calibri"/>
                <w:sz w:val="16"/>
                <w:szCs w:val="16"/>
                <w:lang w:eastAsia="zh-CN"/>
              </w:rPr>
            </w:pPr>
            <w:r w:rsidRPr="002C400D">
              <w:rPr>
                <w:rFonts w:ascii="Calibri" w:hAnsi="Calibri" w:cs="Calibri"/>
                <w:bCs/>
                <w:sz w:val="16"/>
                <w:szCs w:val="16"/>
                <w:lang w:eastAsia="zh-CN"/>
              </w:rPr>
              <w:t>不适用</w:t>
            </w:r>
          </w:p>
        </w:tc>
      </w:tr>
      <w:tr w:rsidR="00EA33C6" w:rsidRPr="002C400D" w14:paraId="059E76DB" w14:textId="77777777" w:rsidTr="00EA33C6">
        <w:trPr>
          <w:cantSplit/>
          <w:jc w:val="center"/>
        </w:trPr>
        <w:tc>
          <w:tcPr>
            <w:tcW w:w="469" w:type="dxa"/>
            <w:vMerge w:val="restart"/>
            <w:tcBorders>
              <w:top w:val="single" w:sz="4" w:space="0" w:color="auto"/>
              <w:left w:val="single" w:sz="4" w:space="0" w:color="auto"/>
              <w:bottom w:val="single" w:sz="4" w:space="0" w:color="auto"/>
              <w:right w:val="single" w:sz="4" w:space="0" w:color="auto"/>
            </w:tcBorders>
            <w:vAlign w:val="center"/>
            <w:hideMark/>
          </w:tcPr>
          <w:p w14:paraId="5B9D7AD2" w14:textId="77777777" w:rsidR="00EA33C6" w:rsidRPr="002C400D" w:rsidRDefault="00EA33C6" w:rsidP="00EA33C6">
            <w:pPr>
              <w:pageBreakBefore/>
              <w:spacing w:after="120"/>
              <w:rPr>
                <w:rFonts w:cs="Calibri"/>
                <w:sz w:val="16"/>
                <w:szCs w:val="16"/>
                <w:lang w:eastAsia="zh-CN"/>
              </w:rPr>
            </w:pPr>
            <w:r w:rsidRPr="002C400D">
              <w:rPr>
                <w:rFonts w:cs="Calibri"/>
                <w:sz w:val="16"/>
                <w:szCs w:val="16"/>
                <w:lang w:eastAsia="zh-CN"/>
              </w:rPr>
              <w:lastRenderedPageBreak/>
              <w:t>4</w:t>
            </w:r>
          </w:p>
        </w:tc>
        <w:tc>
          <w:tcPr>
            <w:tcW w:w="837" w:type="dxa"/>
            <w:vMerge w:val="restart"/>
            <w:tcBorders>
              <w:top w:val="single" w:sz="4" w:space="0" w:color="auto"/>
              <w:left w:val="single" w:sz="4" w:space="0" w:color="auto"/>
              <w:bottom w:val="single" w:sz="4" w:space="0" w:color="auto"/>
              <w:right w:val="single" w:sz="4" w:space="0" w:color="auto"/>
            </w:tcBorders>
            <w:vAlign w:val="center"/>
            <w:hideMark/>
          </w:tcPr>
          <w:p w14:paraId="437DC253" w14:textId="77777777" w:rsidR="00EA33C6" w:rsidRPr="002C400D" w:rsidRDefault="00EA33C6" w:rsidP="00EA33C6">
            <w:pPr>
              <w:spacing w:after="120"/>
              <w:rPr>
                <w:rFonts w:cs="Calibri"/>
                <w:sz w:val="16"/>
                <w:szCs w:val="16"/>
                <w:lang w:eastAsia="zh-CN"/>
              </w:rPr>
            </w:pPr>
            <w:r w:rsidRPr="002C400D">
              <w:rPr>
                <w:rFonts w:cs="Calibri" w:hint="eastAsia"/>
                <w:sz w:val="16"/>
                <w:szCs w:val="16"/>
                <w:lang w:eastAsia="zh-CN"/>
              </w:rPr>
              <w:t>规划（</w:t>
            </w:r>
            <w:r w:rsidRPr="002C400D">
              <w:rPr>
                <w:rFonts w:cs="Calibri"/>
                <w:sz w:val="16"/>
                <w:szCs w:val="16"/>
                <w:lang w:eastAsia="zh-CN"/>
              </w:rPr>
              <w:t>P</w:t>
            </w:r>
            <w:r w:rsidRPr="002C400D">
              <w:rPr>
                <w:rFonts w:cs="Calibri" w:hint="eastAsia"/>
                <w:sz w:val="16"/>
                <w:szCs w:val="16"/>
                <w:lang w:eastAsia="zh-CN"/>
              </w:rPr>
              <w:t>）</w:t>
            </w:r>
          </w:p>
        </w:tc>
        <w:tc>
          <w:tcPr>
            <w:tcW w:w="614" w:type="dxa"/>
            <w:tcBorders>
              <w:top w:val="single" w:sz="4" w:space="0" w:color="auto"/>
              <w:left w:val="single" w:sz="4" w:space="0" w:color="auto"/>
              <w:bottom w:val="single" w:sz="4" w:space="0" w:color="auto"/>
              <w:right w:val="single" w:sz="4" w:space="0" w:color="auto"/>
            </w:tcBorders>
            <w:vAlign w:val="center"/>
            <w:hideMark/>
          </w:tcPr>
          <w:p w14:paraId="4A94C38B" w14:textId="77777777" w:rsidR="00EA33C6" w:rsidRPr="002C400D" w:rsidRDefault="00EA33C6" w:rsidP="00EA33C6">
            <w:pPr>
              <w:spacing w:after="120"/>
              <w:rPr>
                <w:rFonts w:cs="Calibri"/>
                <w:sz w:val="16"/>
                <w:szCs w:val="16"/>
                <w:lang w:eastAsia="zh-CN"/>
              </w:rPr>
            </w:pPr>
            <w:r w:rsidRPr="002C400D">
              <w:rPr>
                <w:rFonts w:cs="Calibri"/>
                <w:sz w:val="16"/>
                <w:szCs w:val="16"/>
                <w:lang w:eastAsia="zh-CN"/>
              </w:rPr>
              <w:t>P1</w:t>
            </w:r>
          </w:p>
        </w:tc>
        <w:tc>
          <w:tcPr>
            <w:tcW w:w="7845" w:type="dxa"/>
            <w:tcBorders>
              <w:top w:val="single" w:sz="4" w:space="0" w:color="auto"/>
              <w:left w:val="single" w:sz="4" w:space="0" w:color="auto"/>
              <w:bottom w:val="single" w:sz="4" w:space="0" w:color="auto"/>
              <w:right w:val="single" w:sz="4" w:space="0" w:color="auto"/>
            </w:tcBorders>
            <w:hideMark/>
          </w:tcPr>
          <w:p w14:paraId="481E79B9" w14:textId="77777777" w:rsidR="00EA33C6" w:rsidRPr="002C400D" w:rsidRDefault="00EA33C6" w:rsidP="00EA33C6">
            <w:pPr>
              <w:pageBreakBefore/>
              <w:spacing w:after="120"/>
              <w:rPr>
                <w:rFonts w:cs="Calibri"/>
                <w:sz w:val="16"/>
                <w:szCs w:val="16"/>
                <w:lang w:val="en-US" w:eastAsia="zh-CN"/>
              </w:rPr>
            </w:pPr>
            <w:r w:rsidRPr="002C400D">
              <w:rPr>
                <w:rFonts w:cs="Calibri" w:hint="eastAsia"/>
                <w:sz w:val="16"/>
                <w:szCs w:val="16"/>
                <w:lang w:val="en-US" w:eastAsia="zh-CN"/>
              </w:rPr>
              <w:t>用于公布按照附录</w:t>
            </w:r>
            <w:r w:rsidRPr="002C400D">
              <w:rPr>
                <w:rFonts w:cs="Calibri"/>
                <w:b/>
                <w:bCs/>
                <w:sz w:val="16"/>
                <w:szCs w:val="16"/>
                <w:lang w:val="en-US" w:eastAsia="zh-CN"/>
              </w:rPr>
              <w:t>30</w:t>
            </w:r>
            <w:r w:rsidRPr="002C400D">
              <w:rPr>
                <w:rFonts w:cs="Calibri" w:hint="eastAsia"/>
                <w:sz w:val="16"/>
                <w:szCs w:val="16"/>
                <w:lang w:val="en-US" w:eastAsia="zh-CN"/>
              </w:rPr>
              <w:t>或</w:t>
            </w:r>
            <w:r w:rsidRPr="002C400D">
              <w:rPr>
                <w:rFonts w:cs="Calibri"/>
                <w:b/>
                <w:bCs/>
                <w:sz w:val="16"/>
                <w:szCs w:val="16"/>
                <w:lang w:val="en-US" w:eastAsia="zh-CN"/>
              </w:rPr>
              <w:t>30A</w:t>
            </w:r>
            <w:r w:rsidRPr="002C400D">
              <w:rPr>
                <w:rFonts w:cs="Calibri" w:hint="eastAsia"/>
                <w:sz w:val="16"/>
                <w:szCs w:val="16"/>
                <w:lang w:val="en-US" w:eastAsia="zh-CN"/>
              </w:rPr>
              <w:t>第</w:t>
            </w:r>
            <w:r w:rsidRPr="002C400D">
              <w:rPr>
                <w:rFonts w:cs="Calibri"/>
                <w:b/>
                <w:bCs/>
                <w:sz w:val="16"/>
                <w:szCs w:val="16"/>
                <w:lang w:eastAsia="zh-CN"/>
              </w:rPr>
              <w:t>4.1.5</w:t>
            </w:r>
            <w:r w:rsidRPr="002C400D">
              <w:rPr>
                <w:rFonts w:cs="Calibri" w:hint="eastAsia"/>
                <w:sz w:val="16"/>
                <w:szCs w:val="16"/>
                <w:lang w:eastAsia="zh-CN"/>
              </w:rPr>
              <w:t>段在</w:t>
            </w:r>
            <w:r w:rsidRPr="002C400D">
              <w:rPr>
                <w:rFonts w:cs="Calibri"/>
                <w:sz w:val="16"/>
                <w:szCs w:val="16"/>
                <w:lang w:eastAsia="zh-CN"/>
              </w:rPr>
              <w:t>1</w:t>
            </w:r>
            <w:r w:rsidRPr="002C400D">
              <w:rPr>
                <w:rFonts w:cs="Calibri" w:hint="eastAsia"/>
                <w:sz w:val="16"/>
                <w:szCs w:val="16"/>
                <w:lang w:eastAsia="zh-CN"/>
              </w:rPr>
              <w:t>区和</w:t>
            </w:r>
            <w:r w:rsidRPr="002C400D">
              <w:rPr>
                <w:rFonts w:cs="Calibri"/>
                <w:sz w:val="16"/>
                <w:szCs w:val="16"/>
                <w:lang w:eastAsia="zh-CN"/>
              </w:rPr>
              <w:t>3</w:t>
            </w:r>
            <w:r w:rsidRPr="002C400D">
              <w:rPr>
                <w:rFonts w:cs="Calibri" w:hint="eastAsia"/>
                <w:sz w:val="16"/>
                <w:szCs w:val="16"/>
                <w:lang w:eastAsia="zh-CN"/>
              </w:rPr>
              <w:t>区列表或其他用途的馈线链路列表中建议的新的或经修改的指配或</w:t>
            </w:r>
            <w:r w:rsidRPr="002C400D">
              <w:rPr>
                <w:rFonts w:cs="Calibri" w:hint="eastAsia"/>
                <w:sz w:val="16"/>
                <w:szCs w:val="16"/>
                <w:lang w:val="en-US" w:eastAsia="zh-CN"/>
              </w:rPr>
              <w:t>按照第</w:t>
            </w:r>
            <w:r w:rsidRPr="002C400D">
              <w:rPr>
                <w:rFonts w:cs="Calibri"/>
                <w:b/>
                <w:bCs/>
                <w:sz w:val="16"/>
                <w:szCs w:val="16"/>
                <w:lang w:eastAsia="zh-CN"/>
              </w:rPr>
              <w:t>4.2.8</w:t>
            </w:r>
            <w:r w:rsidRPr="002C400D">
              <w:rPr>
                <w:rFonts w:cs="Calibri" w:hint="eastAsia"/>
                <w:sz w:val="16"/>
                <w:szCs w:val="16"/>
                <w:lang w:eastAsia="zh-CN"/>
              </w:rPr>
              <w:t>段对</w:t>
            </w:r>
            <w:r w:rsidRPr="002C400D">
              <w:rPr>
                <w:rFonts w:cs="Calibri"/>
                <w:sz w:val="16"/>
                <w:szCs w:val="16"/>
                <w:lang w:eastAsia="zh-CN"/>
              </w:rPr>
              <w:t>2</w:t>
            </w:r>
            <w:r w:rsidRPr="002C400D">
              <w:rPr>
                <w:rFonts w:cs="Calibri" w:hint="eastAsia"/>
                <w:sz w:val="16"/>
                <w:szCs w:val="16"/>
                <w:lang w:eastAsia="zh-CN"/>
              </w:rPr>
              <w:t>区规划建议的修改的</w:t>
            </w:r>
            <w:r w:rsidRPr="002C400D">
              <w:rPr>
                <w:rFonts w:cs="Calibri"/>
                <w:sz w:val="16"/>
                <w:szCs w:val="16"/>
                <w:lang w:val="en-US" w:eastAsia="zh-CN"/>
              </w:rPr>
              <w:t>A</w:t>
            </w:r>
            <w:r w:rsidRPr="002C400D">
              <w:rPr>
                <w:rFonts w:cs="Calibri" w:hint="eastAsia"/>
                <w:sz w:val="16"/>
                <w:szCs w:val="16"/>
                <w:lang w:val="en-US" w:eastAsia="zh-CN"/>
              </w:rPr>
              <w:t>部分特节</w:t>
            </w:r>
            <w:r w:rsidRPr="002C400D">
              <w:rPr>
                <w:rFonts w:cs="Calibri" w:hint="eastAsia"/>
                <w:sz w:val="16"/>
                <w:szCs w:val="16"/>
                <w:lang w:eastAsia="zh-CN"/>
              </w:rPr>
              <w:t>；或</w:t>
            </w:r>
            <w:r w:rsidRPr="002C400D">
              <w:rPr>
                <w:rFonts w:cs="Calibri" w:hint="eastAsia"/>
                <w:sz w:val="16"/>
                <w:szCs w:val="16"/>
                <w:lang w:val="en-US" w:eastAsia="zh-CN"/>
              </w:rPr>
              <w:t>用于公布按照</w:t>
            </w:r>
            <w:r w:rsidRPr="002C400D">
              <w:rPr>
                <w:rFonts w:cs="Calibri" w:hint="eastAsia"/>
                <w:sz w:val="16"/>
                <w:szCs w:val="16"/>
                <w:lang w:eastAsia="zh-CN"/>
              </w:rPr>
              <w:t>附录</w:t>
            </w:r>
            <w:r w:rsidRPr="002C400D">
              <w:rPr>
                <w:rFonts w:cs="Calibri"/>
                <w:b/>
                <w:bCs/>
                <w:sz w:val="16"/>
                <w:szCs w:val="16"/>
                <w:lang w:eastAsia="zh-CN"/>
              </w:rPr>
              <w:t>30</w:t>
            </w:r>
            <w:r w:rsidRPr="002C400D">
              <w:rPr>
                <w:rFonts w:cs="Calibri" w:hint="eastAsia"/>
                <w:sz w:val="16"/>
                <w:szCs w:val="16"/>
                <w:lang w:eastAsia="zh-CN"/>
              </w:rPr>
              <w:t>或</w:t>
            </w:r>
            <w:r w:rsidRPr="002C400D">
              <w:rPr>
                <w:rFonts w:cs="Calibri"/>
                <w:b/>
                <w:bCs/>
                <w:sz w:val="16"/>
                <w:szCs w:val="16"/>
                <w:lang w:eastAsia="zh-CN"/>
              </w:rPr>
              <w:t>30A</w:t>
            </w:r>
            <w:r w:rsidRPr="002C400D">
              <w:rPr>
                <w:rFonts w:cs="Calibri" w:hint="eastAsia"/>
                <w:sz w:val="16"/>
                <w:szCs w:val="16"/>
                <w:lang w:val="en-US" w:eastAsia="zh-CN"/>
              </w:rPr>
              <w:t>第</w:t>
            </w:r>
            <w:r w:rsidRPr="002C400D">
              <w:rPr>
                <w:rFonts w:cs="Calibri"/>
                <w:b/>
                <w:bCs/>
                <w:sz w:val="16"/>
                <w:szCs w:val="16"/>
                <w:lang w:eastAsia="zh-CN"/>
              </w:rPr>
              <w:t>4.1.15</w:t>
            </w:r>
            <w:r w:rsidRPr="002C400D">
              <w:rPr>
                <w:rFonts w:cs="Calibri" w:hint="eastAsia"/>
                <w:sz w:val="16"/>
                <w:szCs w:val="16"/>
                <w:lang w:eastAsia="zh-CN"/>
              </w:rPr>
              <w:t>段在</w:t>
            </w:r>
            <w:r w:rsidRPr="002C400D">
              <w:rPr>
                <w:rFonts w:cs="Calibri"/>
                <w:sz w:val="16"/>
                <w:szCs w:val="16"/>
                <w:lang w:eastAsia="zh-CN"/>
              </w:rPr>
              <w:t>1</w:t>
            </w:r>
            <w:r w:rsidRPr="002C400D">
              <w:rPr>
                <w:rFonts w:cs="Calibri" w:hint="eastAsia"/>
                <w:sz w:val="16"/>
                <w:szCs w:val="16"/>
                <w:lang w:eastAsia="zh-CN"/>
              </w:rPr>
              <w:t>区和</w:t>
            </w:r>
            <w:r w:rsidRPr="002C400D">
              <w:rPr>
                <w:rFonts w:cs="Calibri"/>
                <w:sz w:val="16"/>
                <w:szCs w:val="16"/>
                <w:lang w:eastAsia="zh-CN"/>
              </w:rPr>
              <w:t>3</w:t>
            </w:r>
            <w:r w:rsidRPr="002C400D">
              <w:rPr>
                <w:rFonts w:cs="Calibri" w:hint="eastAsia"/>
                <w:sz w:val="16"/>
                <w:szCs w:val="16"/>
                <w:lang w:eastAsia="zh-CN"/>
              </w:rPr>
              <w:t>区列表或其他用途的馈线链路列表中建议的新的或经修改的指配（与执行第</w:t>
            </w:r>
            <w:r w:rsidRPr="002C400D">
              <w:rPr>
                <w:rFonts w:cs="Calibri"/>
                <w:b/>
                <w:bCs/>
                <w:sz w:val="16"/>
                <w:szCs w:val="16"/>
                <w:lang w:eastAsia="zh-CN"/>
              </w:rPr>
              <w:t>548</w:t>
            </w:r>
            <w:r w:rsidRPr="002C400D">
              <w:rPr>
                <w:rFonts w:cs="Calibri" w:hint="eastAsia"/>
                <w:sz w:val="16"/>
                <w:szCs w:val="16"/>
                <w:lang w:eastAsia="zh-CN"/>
              </w:rPr>
              <w:t>号决议（</w:t>
            </w:r>
            <w:r w:rsidRPr="002C400D">
              <w:rPr>
                <w:rFonts w:cs="Calibri"/>
                <w:sz w:val="16"/>
                <w:szCs w:val="16"/>
                <w:lang w:eastAsia="zh-CN"/>
              </w:rPr>
              <w:t>20</w:t>
            </w:r>
            <w:r w:rsidRPr="005C5932">
              <w:rPr>
                <w:rFonts w:cs="Calibri"/>
                <w:sz w:val="16"/>
                <w:szCs w:val="16"/>
                <w:lang w:eastAsia="zh-CN"/>
              </w:rPr>
              <w:t>12</w:t>
            </w:r>
            <w:r w:rsidRPr="002C400D">
              <w:rPr>
                <w:rFonts w:cs="Calibri" w:hint="eastAsia"/>
                <w:sz w:val="16"/>
                <w:szCs w:val="16"/>
                <w:lang w:eastAsia="zh-CN"/>
              </w:rPr>
              <w:t>年世界无线电通信大会</w:t>
            </w:r>
            <w:r>
              <w:rPr>
                <w:rFonts w:cs="Calibri" w:hint="eastAsia"/>
                <w:sz w:val="16"/>
                <w:szCs w:val="16"/>
                <w:lang w:eastAsia="zh-CN"/>
              </w:rPr>
              <w:t>，修订版</w:t>
            </w:r>
            <w:r w:rsidRPr="002C400D">
              <w:rPr>
                <w:rFonts w:cs="Calibri" w:hint="eastAsia"/>
                <w:sz w:val="16"/>
                <w:szCs w:val="16"/>
                <w:lang w:eastAsia="zh-CN"/>
              </w:rPr>
              <w:t>）有关的</w:t>
            </w:r>
            <w:r w:rsidRPr="002C400D">
              <w:rPr>
                <w:rFonts w:cs="Calibri"/>
                <w:sz w:val="16"/>
                <w:szCs w:val="16"/>
                <w:lang w:eastAsia="zh-CN"/>
              </w:rPr>
              <w:t>B</w:t>
            </w:r>
            <w:r w:rsidRPr="002C400D">
              <w:rPr>
                <w:rFonts w:cs="Calibri" w:hint="eastAsia"/>
                <w:sz w:val="16"/>
                <w:szCs w:val="16"/>
                <w:lang w:eastAsia="zh-CN"/>
              </w:rPr>
              <w:t>部分特节除外）或按照第</w:t>
            </w:r>
            <w:r w:rsidRPr="002C400D">
              <w:rPr>
                <w:rFonts w:cs="Calibri"/>
                <w:b/>
                <w:bCs/>
                <w:sz w:val="16"/>
                <w:szCs w:val="16"/>
                <w:lang w:eastAsia="zh-CN"/>
              </w:rPr>
              <w:t>4.2.19</w:t>
            </w:r>
            <w:r w:rsidRPr="002C400D">
              <w:rPr>
                <w:rFonts w:cs="Calibri" w:hint="eastAsia"/>
                <w:sz w:val="16"/>
                <w:szCs w:val="16"/>
                <w:lang w:eastAsia="zh-CN"/>
              </w:rPr>
              <w:t>段对</w:t>
            </w:r>
            <w:r w:rsidRPr="002C400D">
              <w:rPr>
                <w:rFonts w:cs="Calibri"/>
                <w:sz w:val="16"/>
                <w:szCs w:val="16"/>
                <w:lang w:eastAsia="zh-CN"/>
              </w:rPr>
              <w:t>2</w:t>
            </w:r>
            <w:r w:rsidRPr="002C400D">
              <w:rPr>
                <w:rFonts w:cs="Calibri" w:hint="eastAsia"/>
                <w:sz w:val="16"/>
                <w:szCs w:val="16"/>
                <w:lang w:eastAsia="zh-CN"/>
              </w:rPr>
              <w:t>区规划建议的修改的</w:t>
            </w:r>
            <w:r w:rsidRPr="002C400D">
              <w:rPr>
                <w:rFonts w:cs="Calibri"/>
                <w:sz w:val="16"/>
                <w:szCs w:val="16"/>
                <w:lang w:eastAsia="zh-CN"/>
              </w:rPr>
              <w:t>B</w:t>
            </w:r>
            <w:r w:rsidRPr="002C400D">
              <w:rPr>
                <w:rFonts w:cs="Calibri" w:hint="eastAsia"/>
                <w:sz w:val="16"/>
                <w:szCs w:val="16"/>
                <w:lang w:val="en-US" w:eastAsia="zh-CN"/>
              </w:rPr>
              <w:t>部分特节</w:t>
            </w:r>
            <w:r w:rsidRPr="002C400D">
              <w:rPr>
                <w:rStyle w:val="FootnoteReference"/>
                <w:rFonts w:cs="Calibri"/>
                <w:vertAlign w:val="superscript"/>
                <w:lang w:eastAsia="zh-CN"/>
              </w:rPr>
              <w:t>b)</w:t>
            </w:r>
            <w:r w:rsidRPr="002C400D">
              <w:rPr>
                <w:rFonts w:cs="Calibri" w:hint="eastAsia"/>
                <w:sz w:val="16"/>
                <w:szCs w:val="16"/>
                <w:lang w:val="en-US" w:eastAsia="zh-CN"/>
              </w:rPr>
              <w:t>。</w:t>
            </w:r>
          </w:p>
        </w:tc>
        <w:tc>
          <w:tcPr>
            <w:tcW w:w="3004" w:type="dxa"/>
            <w:gridSpan w:val="2"/>
            <w:tcBorders>
              <w:top w:val="single" w:sz="4" w:space="0" w:color="auto"/>
              <w:left w:val="single" w:sz="4" w:space="0" w:color="auto"/>
              <w:bottom w:val="single" w:sz="4" w:space="0" w:color="auto"/>
              <w:right w:val="single" w:sz="4" w:space="0" w:color="auto"/>
            </w:tcBorders>
            <w:vAlign w:val="center"/>
            <w:hideMark/>
          </w:tcPr>
          <w:p w14:paraId="543079F5" w14:textId="77777777" w:rsidR="00EA33C6" w:rsidRPr="002C400D" w:rsidRDefault="00EA33C6" w:rsidP="00EA33C6">
            <w:pPr>
              <w:spacing w:after="120"/>
              <w:jc w:val="center"/>
              <w:rPr>
                <w:rFonts w:cs="Calibri"/>
                <w:bCs/>
                <w:sz w:val="16"/>
                <w:szCs w:val="16"/>
                <w:lang w:val="en-US"/>
              </w:rPr>
            </w:pPr>
            <w:r w:rsidRPr="002C400D">
              <w:rPr>
                <w:rFonts w:cs="Calibri"/>
                <w:bCs/>
                <w:sz w:val="16"/>
                <w:szCs w:val="16"/>
                <w:lang w:val="en-US"/>
              </w:rPr>
              <w:t>28</w:t>
            </w:r>
            <w:r w:rsidRPr="002C400D">
              <w:rPr>
                <w:rFonts w:cs="Calibri"/>
                <w:bCs/>
                <w:sz w:val="16"/>
                <w:szCs w:val="16"/>
                <w:lang w:val="en-US" w:eastAsia="zh-CN"/>
              </w:rPr>
              <w:t xml:space="preserve"> </w:t>
            </w:r>
            <w:r w:rsidRPr="002C400D">
              <w:rPr>
                <w:rFonts w:cs="Calibri"/>
                <w:bCs/>
                <w:sz w:val="16"/>
                <w:szCs w:val="16"/>
                <w:lang w:val="en-US"/>
              </w:rPr>
              <w:t>870</w:t>
            </w:r>
          </w:p>
        </w:tc>
        <w:tc>
          <w:tcPr>
            <w:tcW w:w="2777"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62C39E58" w14:textId="77777777" w:rsidR="00EA33C6" w:rsidRPr="002C400D" w:rsidRDefault="00EA33C6" w:rsidP="00EA33C6">
            <w:pPr>
              <w:spacing w:after="120"/>
              <w:jc w:val="center"/>
              <w:rPr>
                <w:rFonts w:cs="Calibri"/>
                <w:bCs/>
                <w:sz w:val="16"/>
                <w:szCs w:val="16"/>
                <w:lang w:val="en-US"/>
              </w:rPr>
            </w:pPr>
            <w:r w:rsidRPr="002C400D">
              <w:rPr>
                <w:rFonts w:cs="Calibri" w:hint="eastAsia"/>
                <w:bCs/>
                <w:sz w:val="16"/>
                <w:szCs w:val="16"/>
                <w:lang w:eastAsia="zh-CN"/>
              </w:rPr>
              <w:t>不适用</w:t>
            </w:r>
          </w:p>
        </w:tc>
      </w:tr>
      <w:tr w:rsidR="00EA33C6" w:rsidRPr="002C400D" w14:paraId="52B1B928" w14:textId="77777777" w:rsidTr="00EA33C6">
        <w:trPr>
          <w:cantSplit/>
          <w:jc w:val="center"/>
        </w:trPr>
        <w:tc>
          <w:tcPr>
            <w:tcW w:w="469" w:type="dxa"/>
            <w:vMerge/>
            <w:tcBorders>
              <w:top w:val="single" w:sz="4" w:space="0" w:color="auto"/>
              <w:left w:val="single" w:sz="4" w:space="0" w:color="auto"/>
              <w:bottom w:val="single" w:sz="4" w:space="0" w:color="auto"/>
              <w:right w:val="nil"/>
            </w:tcBorders>
            <w:vAlign w:val="center"/>
            <w:hideMark/>
          </w:tcPr>
          <w:p w14:paraId="2B425DB7"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837" w:type="dxa"/>
            <w:vMerge/>
            <w:tcBorders>
              <w:top w:val="single" w:sz="4" w:space="0" w:color="auto"/>
              <w:left w:val="single" w:sz="4" w:space="0" w:color="auto"/>
              <w:bottom w:val="single" w:sz="4" w:space="0" w:color="auto"/>
              <w:right w:val="single" w:sz="4" w:space="0" w:color="auto"/>
            </w:tcBorders>
            <w:vAlign w:val="center"/>
            <w:hideMark/>
          </w:tcPr>
          <w:p w14:paraId="2C120B20"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614" w:type="dxa"/>
            <w:tcBorders>
              <w:top w:val="single" w:sz="4" w:space="0" w:color="auto"/>
              <w:left w:val="single" w:sz="4" w:space="0" w:color="auto"/>
              <w:bottom w:val="single" w:sz="4" w:space="0" w:color="auto"/>
              <w:right w:val="single" w:sz="4" w:space="0" w:color="auto"/>
            </w:tcBorders>
            <w:vAlign w:val="center"/>
            <w:hideMark/>
          </w:tcPr>
          <w:p w14:paraId="4B4195B4" w14:textId="77777777" w:rsidR="00EA33C6" w:rsidRPr="002C400D" w:rsidRDefault="00EA33C6" w:rsidP="00EA33C6">
            <w:pPr>
              <w:spacing w:after="120"/>
              <w:rPr>
                <w:rFonts w:cs="Calibri"/>
                <w:sz w:val="16"/>
                <w:szCs w:val="16"/>
                <w:lang w:val="en-US"/>
              </w:rPr>
            </w:pPr>
            <w:r w:rsidRPr="002C400D">
              <w:rPr>
                <w:rFonts w:cs="Calibri"/>
                <w:sz w:val="16"/>
                <w:szCs w:val="16"/>
                <w:lang w:val="en-US"/>
              </w:rPr>
              <w:t>P2</w:t>
            </w:r>
            <w:r w:rsidRPr="002C400D">
              <w:rPr>
                <w:rStyle w:val="FootnoteReference"/>
                <w:rFonts w:cs="Calibri"/>
                <w:vertAlign w:val="superscript"/>
              </w:rPr>
              <w:t>d)</w:t>
            </w:r>
          </w:p>
        </w:tc>
        <w:tc>
          <w:tcPr>
            <w:tcW w:w="7845" w:type="dxa"/>
            <w:tcBorders>
              <w:top w:val="single" w:sz="4" w:space="0" w:color="auto"/>
              <w:left w:val="single" w:sz="4" w:space="0" w:color="auto"/>
              <w:bottom w:val="single" w:sz="4" w:space="0" w:color="auto"/>
              <w:right w:val="single" w:sz="4" w:space="0" w:color="auto"/>
            </w:tcBorders>
            <w:hideMark/>
          </w:tcPr>
          <w:p w14:paraId="2E18F462" w14:textId="77777777" w:rsidR="00EA33C6" w:rsidRPr="002C400D" w:rsidRDefault="00EA33C6" w:rsidP="00EA33C6">
            <w:pPr>
              <w:spacing w:after="120"/>
              <w:rPr>
                <w:rFonts w:cs="Calibri"/>
                <w:sz w:val="16"/>
                <w:szCs w:val="16"/>
                <w:lang w:eastAsia="zh-CN"/>
              </w:rPr>
            </w:pPr>
            <w:r w:rsidRPr="002C400D">
              <w:rPr>
                <w:rFonts w:cs="Calibri" w:hint="eastAsia"/>
                <w:sz w:val="16"/>
                <w:szCs w:val="16"/>
                <w:lang w:eastAsia="zh-CN"/>
              </w:rPr>
              <w:t>关于</w:t>
            </w:r>
            <w:r w:rsidRPr="002C400D">
              <w:rPr>
                <w:rFonts w:cs="Calibri" w:hint="eastAsia"/>
                <w:bCs/>
                <w:sz w:val="16"/>
                <w:szCs w:val="16"/>
                <w:lang w:eastAsia="zh-CN"/>
              </w:rPr>
              <w:t>按照附录</w:t>
            </w:r>
            <w:r w:rsidRPr="002C400D">
              <w:rPr>
                <w:rFonts w:cs="Calibri"/>
                <w:b/>
                <w:bCs/>
                <w:sz w:val="16"/>
                <w:szCs w:val="16"/>
                <w:lang w:eastAsia="zh-CN"/>
              </w:rPr>
              <w:t>30</w:t>
            </w:r>
            <w:r w:rsidRPr="002C400D">
              <w:rPr>
                <w:rFonts w:cs="Calibri" w:hint="eastAsia"/>
                <w:sz w:val="16"/>
                <w:szCs w:val="16"/>
                <w:lang w:eastAsia="zh-CN"/>
              </w:rPr>
              <w:t>或</w:t>
            </w:r>
            <w:r w:rsidRPr="002C400D">
              <w:rPr>
                <w:rFonts w:cs="Calibri"/>
                <w:b/>
                <w:bCs/>
                <w:sz w:val="16"/>
                <w:szCs w:val="16"/>
                <w:lang w:eastAsia="zh-CN"/>
              </w:rPr>
              <w:t>30A</w:t>
            </w:r>
            <w:r w:rsidRPr="002C400D">
              <w:rPr>
                <w:rFonts w:cs="Calibri" w:hint="eastAsia"/>
                <w:sz w:val="16"/>
                <w:szCs w:val="16"/>
                <w:lang w:eastAsia="zh-CN"/>
              </w:rPr>
              <w:t>第</w:t>
            </w:r>
            <w:r w:rsidRPr="002C400D">
              <w:rPr>
                <w:rFonts w:cs="Calibri"/>
                <w:b/>
                <w:bCs/>
                <w:sz w:val="16"/>
                <w:szCs w:val="16"/>
                <w:lang w:eastAsia="zh-CN"/>
              </w:rPr>
              <w:t>5</w:t>
            </w:r>
            <w:r w:rsidRPr="002C400D">
              <w:rPr>
                <w:rFonts w:cs="Calibri" w:hint="eastAsia"/>
                <w:sz w:val="16"/>
                <w:szCs w:val="16"/>
                <w:lang w:eastAsia="zh-CN"/>
              </w:rPr>
              <w:t>条的规定在国际频率登记总表（</w:t>
            </w:r>
            <w:r w:rsidRPr="002C400D">
              <w:rPr>
                <w:rFonts w:cs="Calibri"/>
                <w:sz w:val="16"/>
                <w:szCs w:val="16"/>
                <w:lang w:eastAsia="zh-CN"/>
              </w:rPr>
              <w:t>MIFR</w:t>
            </w:r>
            <w:r w:rsidRPr="002C400D">
              <w:rPr>
                <w:rFonts w:cs="Calibri" w:hint="eastAsia"/>
                <w:sz w:val="16"/>
                <w:szCs w:val="16"/>
                <w:lang w:eastAsia="zh-CN"/>
              </w:rPr>
              <w:t>）</w:t>
            </w:r>
            <w:r w:rsidRPr="002C400D">
              <w:rPr>
                <w:rFonts w:cs="Calibri" w:hint="eastAsia"/>
                <w:sz w:val="16"/>
                <w:szCs w:val="16"/>
                <w:lang w:val="en-US" w:eastAsia="zh-CN"/>
              </w:rPr>
              <w:t>中登记</w:t>
            </w:r>
            <w:r w:rsidRPr="002C400D">
              <w:rPr>
                <w:rFonts w:cs="Calibri" w:hint="eastAsia"/>
                <w:bCs/>
                <w:sz w:val="16"/>
                <w:szCs w:val="16"/>
                <w:lang w:eastAsia="zh-CN"/>
              </w:rPr>
              <w:t>对卫星广播业务空间</w:t>
            </w:r>
            <w:r>
              <w:rPr>
                <w:rFonts w:cs="Calibri" w:hint="eastAsia"/>
                <w:bCs/>
                <w:sz w:val="16"/>
                <w:szCs w:val="16"/>
                <w:lang w:eastAsia="zh-CN"/>
              </w:rPr>
              <w:t>电台</w:t>
            </w:r>
            <w:r w:rsidRPr="002C400D">
              <w:rPr>
                <w:rFonts w:cs="Calibri" w:hint="eastAsia"/>
                <w:bCs/>
                <w:sz w:val="16"/>
                <w:szCs w:val="16"/>
                <w:lang w:eastAsia="zh-CN"/>
              </w:rPr>
              <w:t>及其在</w:t>
            </w:r>
            <w:r w:rsidRPr="002C400D">
              <w:rPr>
                <w:rFonts w:cs="Calibri"/>
                <w:bCs/>
                <w:sz w:val="16"/>
                <w:szCs w:val="16"/>
                <w:lang w:eastAsia="zh-CN"/>
              </w:rPr>
              <w:t>1</w:t>
            </w:r>
            <w:r w:rsidRPr="002C400D">
              <w:rPr>
                <w:rFonts w:cs="Calibri" w:hint="eastAsia"/>
                <w:bCs/>
                <w:sz w:val="16"/>
                <w:szCs w:val="16"/>
                <w:lang w:eastAsia="zh-CN"/>
              </w:rPr>
              <w:t>区和</w:t>
            </w:r>
            <w:r w:rsidRPr="002C400D">
              <w:rPr>
                <w:rFonts w:cs="Calibri"/>
                <w:bCs/>
                <w:sz w:val="16"/>
                <w:szCs w:val="16"/>
                <w:lang w:eastAsia="zh-CN"/>
              </w:rPr>
              <w:t>3</w:t>
            </w:r>
            <w:r w:rsidRPr="002C400D">
              <w:rPr>
                <w:rFonts w:cs="Calibri" w:hint="eastAsia"/>
                <w:bCs/>
                <w:sz w:val="16"/>
                <w:szCs w:val="16"/>
                <w:lang w:eastAsia="zh-CN"/>
              </w:rPr>
              <w:t>区或</w:t>
            </w:r>
            <w:r w:rsidRPr="002C400D">
              <w:rPr>
                <w:rFonts w:cs="Calibri"/>
                <w:bCs/>
                <w:sz w:val="16"/>
                <w:szCs w:val="16"/>
                <w:lang w:eastAsia="zh-CN"/>
              </w:rPr>
              <w:t>2</w:t>
            </w:r>
            <w:r w:rsidRPr="002C400D">
              <w:rPr>
                <w:rFonts w:cs="Calibri" w:hint="eastAsia"/>
                <w:bCs/>
                <w:sz w:val="16"/>
                <w:szCs w:val="16"/>
                <w:lang w:eastAsia="zh-CN"/>
              </w:rPr>
              <w:t>区中的相关馈线链路的频率指配的通知</w:t>
            </w:r>
            <w:r w:rsidRPr="002C400D">
              <w:rPr>
                <w:rStyle w:val="FootnoteReference"/>
                <w:rFonts w:cs="Calibri"/>
                <w:vertAlign w:val="superscript"/>
                <w:lang w:eastAsia="zh-CN"/>
              </w:rPr>
              <w:t>b)</w:t>
            </w:r>
            <w:r w:rsidRPr="002C400D">
              <w:rPr>
                <w:rFonts w:cs="Calibri" w:hint="eastAsia"/>
                <w:bCs/>
                <w:sz w:val="16"/>
                <w:szCs w:val="16"/>
                <w:lang w:eastAsia="zh-CN"/>
              </w:rPr>
              <w:t>。</w:t>
            </w:r>
          </w:p>
        </w:tc>
        <w:tc>
          <w:tcPr>
            <w:tcW w:w="3004" w:type="dxa"/>
            <w:gridSpan w:val="2"/>
            <w:tcBorders>
              <w:top w:val="single" w:sz="4" w:space="0" w:color="auto"/>
              <w:left w:val="single" w:sz="4" w:space="0" w:color="auto"/>
              <w:bottom w:val="single" w:sz="4" w:space="0" w:color="auto"/>
              <w:right w:val="single" w:sz="4" w:space="0" w:color="auto"/>
            </w:tcBorders>
            <w:vAlign w:val="center"/>
            <w:hideMark/>
          </w:tcPr>
          <w:p w14:paraId="0E640CDA" w14:textId="77777777" w:rsidR="00EA33C6" w:rsidRPr="002C400D" w:rsidRDefault="00EA33C6" w:rsidP="00EA33C6">
            <w:pPr>
              <w:pStyle w:val="TableHead0"/>
              <w:spacing w:before="120" w:after="120"/>
              <w:rPr>
                <w:rFonts w:ascii="Calibri" w:hAnsi="Calibri" w:cs="Calibri"/>
                <w:b w:val="0"/>
                <w:sz w:val="16"/>
                <w:szCs w:val="16"/>
                <w:lang w:eastAsia="zh-CN"/>
              </w:rPr>
            </w:pPr>
            <w:r w:rsidRPr="002C400D">
              <w:rPr>
                <w:rFonts w:ascii="Calibri" w:hAnsi="Calibri" w:cs="Calibri"/>
                <w:b w:val="0"/>
                <w:sz w:val="16"/>
                <w:szCs w:val="16"/>
                <w:lang w:eastAsia="zh-CN"/>
              </w:rPr>
              <w:t>11 550</w:t>
            </w:r>
          </w:p>
        </w:tc>
        <w:tc>
          <w:tcPr>
            <w:tcW w:w="2777" w:type="dxa"/>
            <w:gridSpan w:val="3"/>
            <w:vMerge/>
            <w:tcBorders>
              <w:top w:val="single" w:sz="4" w:space="0" w:color="auto"/>
              <w:left w:val="single" w:sz="4" w:space="0" w:color="auto"/>
              <w:bottom w:val="single" w:sz="4" w:space="0" w:color="auto"/>
              <w:right w:val="single" w:sz="4" w:space="0" w:color="auto"/>
            </w:tcBorders>
            <w:vAlign w:val="center"/>
            <w:hideMark/>
          </w:tcPr>
          <w:p w14:paraId="2F4DB1FB"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bCs/>
                <w:sz w:val="16"/>
                <w:szCs w:val="16"/>
                <w:lang w:val="en-US"/>
              </w:rPr>
            </w:pPr>
          </w:p>
        </w:tc>
      </w:tr>
      <w:tr w:rsidR="00EA33C6" w:rsidRPr="002C400D" w14:paraId="732509EA" w14:textId="77777777" w:rsidTr="00EA33C6">
        <w:trPr>
          <w:cantSplit/>
          <w:jc w:val="center"/>
        </w:trPr>
        <w:tc>
          <w:tcPr>
            <w:tcW w:w="469" w:type="dxa"/>
            <w:vMerge/>
            <w:tcBorders>
              <w:top w:val="single" w:sz="4" w:space="0" w:color="auto"/>
              <w:left w:val="single" w:sz="4" w:space="0" w:color="auto"/>
              <w:bottom w:val="single" w:sz="4" w:space="0" w:color="auto"/>
              <w:right w:val="nil"/>
            </w:tcBorders>
            <w:vAlign w:val="center"/>
            <w:hideMark/>
          </w:tcPr>
          <w:p w14:paraId="07191E9C"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837" w:type="dxa"/>
            <w:vMerge/>
            <w:tcBorders>
              <w:top w:val="single" w:sz="4" w:space="0" w:color="auto"/>
              <w:left w:val="single" w:sz="4" w:space="0" w:color="auto"/>
              <w:bottom w:val="single" w:sz="4" w:space="0" w:color="auto"/>
              <w:right w:val="single" w:sz="4" w:space="0" w:color="auto"/>
            </w:tcBorders>
            <w:vAlign w:val="center"/>
            <w:hideMark/>
          </w:tcPr>
          <w:p w14:paraId="69B7E970"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614" w:type="dxa"/>
            <w:tcBorders>
              <w:top w:val="single" w:sz="4" w:space="0" w:color="auto"/>
              <w:left w:val="single" w:sz="4" w:space="0" w:color="auto"/>
              <w:bottom w:val="single" w:sz="4" w:space="0" w:color="auto"/>
              <w:right w:val="single" w:sz="4" w:space="0" w:color="auto"/>
            </w:tcBorders>
            <w:vAlign w:val="center"/>
            <w:hideMark/>
          </w:tcPr>
          <w:p w14:paraId="4F835251" w14:textId="77777777" w:rsidR="00EA33C6" w:rsidRPr="002C400D" w:rsidRDefault="00EA33C6" w:rsidP="00EA33C6">
            <w:pPr>
              <w:spacing w:after="120"/>
              <w:rPr>
                <w:rFonts w:cs="Calibri"/>
                <w:sz w:val="16"/>
                <w:szCs w:val="16"/>
                <w:lang w:eastAsia="zh-CN"/>
              </w:rPr>
            </w:pPr>
            <w:r w:rsidRPr="002C400D">
              <w:rPr>
                <w:rFonts w:cs="Calibri"/>
                <w:sz w:val="16"/>
                <w:szCs w:val="16"/>
                <w:lang w:eastAsia="zh-CN"/>
              </w:rPr>
              <w:t>P3</w:t>
            </w:r>
          </w:p>
        </w:tc>
        <w:tc>
          <w:tcPr>
            <w:tcW w:w="7845" w:type="dxa"/>
            <w:tcBorders>
              <w:top w:val="single" w:sz="4" w:space="0" w:color="auto"/>
              <w:left w:val="single" w:sz="4" w:space="0" w:color="auto"/>
              <w:bottom w:val="single" w:sz="4" w:space="0" w:color="auto"/>
              <w:right w:val="single" w:sz="4" w:space="0" w:color="auto"/>
            </w:tcBorders>
            <w:vAlign w:val="center"/>
            <w:hideMark/>
          </w:tcPr>
          <w:p w14:paraId="7BF9C517" w14:textId="77777777" w:rsidR="00EA33C6" w:rsidRPr="002C400D" w:rsidRDefault="00EA33C6" w:rsidP="00EA33C6">
            <w:pPr>
              <w:spacing w:after="120"/>
              <w:rPr>
                <w:rFonts w:cs="Calibri"/>
                <w:sz w:val="16"/>
                <w:szCs w:val="16"/>
                <w:lang w:eastAsia="zh-CN"/>
              </w:rPr>
            </w:pPr>
            <w:r w:rsidRPr="002C400D">
              <w:rPr>
                <w:rFonts w:cs="Calibri" w:hint="eastAsia"/>
                <w:bCs/>
                <w:sz w:val="16"/>
                <w:szCs w:val="16"/>
                <w:lang w:eastAsia="zh-CN"/>
              </w:rPr>
              <w:t>按照附录</w:t>
            </w:r>
            <w:r w:rsidRPr="002C400D">
              <w:rPr>
                <w:rFonts w:cs="Calibri"/>
                <w:b/>
                <w:bCs/>
                <w:sz w:val="16"/>
                <w:szCs w:val="16"/>
                <w:lang w:eastAsia="zh-CN"/>
              </w:rPr>
              <w:t>30</w:t>
            </w:r>
            <w:r w:rsidRPr="002C400D">
              <w:rPr>
                <w:rFonts w:cs="Calibri" w:hint="eastAsia"/>
                <w:sz w:val="16"/>
                <w:szCs w:val="16"/>
                <w:lang w:eastAsia="zh-CN"/>
              </w:rPr>
              <w:t>和</w:t>
            </w:r>
            <w:r w:rsidRPr="002C400D">
              <w:rPr>
                <w:rFonts w:cs="Calibri"/>
                <w:b/>
                <w:bCs/>
                <w:sz w:val="16"/>
                <w:szCs w:val="16"/>
                <w:lang w:eastAsia="zh-CN"/>
              </w:rPr>
              <w:t>30A</w:t>
            </w:r>
            <w:r w:rsidRPr="002C400D">
              <w:rPr>
                <w:rFonts w:cs="Calibri" w:hint="eastAsia"/>
                <w:sz w:val="16"/>
                <w:szCs w:val="16"/>
                <w:lang w:eastAsia="zh-CN"/>
              </w:rPr>
              <w:t>第</w:t>
            </w:r>
            <w:r w:rsidRPr="002C400D">
              <w:rPr>
                <w:rFonts w:cs="Calibri"/>
                <w:b/>
                <w:sz w:val="16"/>
                <w:szCs w:val="16"/>
                <w:lang w:eastAsia="zh-CN"/>
              </w:rPr>
              <w:t>2A</w:t>
            </w:r>
            <w:r w:rsidRPr="002C400D">
              <w:rPr>
                <w:rFonts w:cs="Calibri" w:hint="eastAsia"/>
                <w:bCs/>
                <w:sz w:val="16"/>
                <w:szCs w:val="16"/>
                <w:lang w:eastAsia="zh-CN"/>
              </w:rPr>
              <w:t>条提出的协调请求。</w:t>
            </w:r>
          </w:p>
        </w:tc>
        <w:tc>
          <w:tcPr>
            <w:tcW w:w="3004" w:type="dxa"/>
            <w:gridSpan w:val="2"/>
            <w:tcBorders>
              <w:top w:val="single" w:sz="4" w:space="0" w:color="auto"/>
              <w:left w:val="single" w:sz="4" w:space="0" w:color="auto"/>
              <w:bottom w:val="single" w:sz="4" w:space="0" w:color="auto"/>
              <w:right w:val="single" w:sz="4" w:space="0" w:color="auto"/>
            </w:tcBorders>
            <w:vAlign w:val="center"/>
            <w:hideMark/>
          </w:tcPr>
          <w:p w14:paraId="380AF120" w14:textId="77777777" w:rsidR="00EA33C6" w:rsidRPr="002C400D" w:rsidRDefault="00EA33C6" w:rsidP="00EA33C6">
            <w:pPr>
              <w:pStyle w:val="TableHead0"/>
              <w:spacing w:before="120" w:after="120"/>
              <w:rPr>
                <w:rFonts w:ascii="Calibri" w:hAnsi="Calibri" w:cs="Calibri"/>
                <w:b w:val="0"/>
                <w:sz w:val="16"/>
                <w:szCs w:val="16"/>
                <w:lang w:eastAsia="zh-CN"/>
              </w:rPr>
            </w:pPr>
            <w:r w:rsidRPr="002C400D">
              <w:rPr>
                <w:rFonts w:ascii="Calibri" w:hAnsi="Calibri" w:cs="Calibri"/>
                <w:b w:val="0"/>
                <w:sz w:val="16"/>
                <w:szCs w:val="16"/>
                <w:lang w:eastAsia="zh-CN"/>
              </w:rPr>
              <w:t>12 000</w:t>
            </w:r>
          </w:p>
        </w:tc>
        <w:tc>
          <w:tcPr>
            <w:tcW w:w="2777" w:type="dxa"/>
            <w:gridSpan w:val="3"/>
            <w:vMerge/>
            <w:tcBorders>
              <w:top w:val="single" w:sz="4" w:space="0" w:color="auto"/>
              <w:left w:val="single" w:sz="4" w:space="0" w:color="auto"/>
              <w:bottom w:val="single" w:sz="4" w:space="0" w:color="auto"/>
              <w:right w:val="single" w:sz="4" w:space="0" w:color="auto"/>
            </w:tcBorders>
            <w:vAlign w:val="center"/>
            <w:hideMark/>
          </w:tcPr>
          <w:p w14:paraId="16D13683"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bCs/>
                <w:sz w:val="16"/>
                <w:szCs w:val="16"/>
                <w:lang w:val="en-US"/>
              </w:rPr>
            </w:pPr>
          </w:p>
        </w:tc>
      </w:tr>
      <w:tr w:rsidR="00EA33C6" w:rsidRPr="002C400D" w14:paraId="312E7CA0" w14:textId="77777777" w:rsidTr="00EA33C6">
        <w:trPr>
          <w:cantSplit/>
          <w:jc w:val="center"/>
        </w:trPr>
        <w:tc>
          <w:tcPr>
            <w:tcW w:w="469" w:type="dxa"/>
            <w:vMerge/>
            <w:tcBorders>
              <w:top w:val="single" w:sz="4" w:space="0" w:color="auto"/>
              <w:left w:val="single" w:sz="4" w:space="0" w:color="auto"/>
              <w:bottom w:val="single" w:sz="4" w:space="0" w:color="auto"/>
              <w:right w:val="nil"/>
            </w:tcBorders>
            <w:vAlign w:val="center"/>
            <w:hideMark/>
          </w:tcPr>
          <w:p w14:paraId="6EFA5D67"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837" w:type="dxa"/>
            <w:vMerge/>
            <w:tcBorders>
              <w:top w:val="single" w:sz="4" w:space="0" w:color="auto"/>
              <w:left w:val="single" w:sz="4" w:space="0" w:color="auto"/>
              <w:bottom w:val="single" w:sz="4" w:space="0" w:color="auto"/>
              <w:right w:val="single" w:sz="4" w:space="0" w:color="auto"/>
            </w:tcBorders>
            <w:vAlign w:val="center"/>
            <w:hideMark/>
          </w:tcPr>
          <w:p w14:paraId="15DE1AF4"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614" w:type="dxa"/>
            <w:tcBorders>
              <w:top w:val="single" w:sz="4" w:space="0" w:color="auto"/>
              <w:left w:val="single" w:sz="4" w:space="0" w:color="auto"/>
              <w:bottom w:val="single" w:sz="4" w:space="0" w:color="auto"/>
              <w:right w:val="single" w:sz="4" w:space="0" w:color="auto"/>
            </w:tcBorders>
            <w:vAlign w:val="center"/>
            <w:hideMark/>
          </w:tcPr>
          <w:p w14:paraId="04BCB0BA" w14:textId="77777777" w:rsidR="00EA33C6" w:rsidRPr="002C400D" w:rsidRDefault="00EA33C6" w:rsidP="00EA33C6">
            <w:pPr>
              <w:spacing w:after="120"/>
              <w:rPr>
                <w:rFonts w:cs="Calibri"/>
                <w:sz w:val="16"/>
                <w:szCs w:val="16"/>
                <w:lang w:eastAsia="zh-CN"/>
              </w:rPr>
            </w:pPr>
            <w:r w:rsidRPr="002C400D">
              <w:rPr>
                <w:rFonts w:cs="Calibri"/>
                <w:sz w:val="16"/>
                <w:szCs w:val="16"/>
                <w:lang w:eastAsia="zh-CN"/>
              </w:rPr>
              <w:t>P4</w:t>
            </w:r>
          </w:p>
        </w:tc>
        <w:tc>
          <w:tcPr>
            <w:tcW w:w="7845" w:type="dxa"/>
            <w:tcBorders>
              <w:top w:val="single" w:sz="4" w:space="0" w:color="auto"/>
              <w:left w:val="single" w:sz="4" w:space="0" w:color="auto"/>
              <w:bottom w:val="single" w:sz="4" w:space="0" w:color="auto"/>
              <w:right w:val="single" w:sz="4" w:space="0" w:color="auto"/>
            </w:tcBorders>
            <w:hideMark/>
          </w:tcPr>
          <w:p w14:paraId="55D477E1" w14:textId="77777777" w:rsidR="00EA33C6" w:rsidRPr="002C400D" w:rsidRDefault="00EA33C6" w:rsidP="00EA33C6">
            <w:pPr>
              <w:spacing w:after="120"/>
              <w:rPr>
                <w:rFonts w:cs="Calibri"/>
                <w:sz w:val="16"/>
                <w:szCs w:val="16"/>
                <w:lang w:eastAsia="zh-CN"/>
              </w:rPr>
            </w:pPr>
            <w:r w:rsidRPr="002C400D">
              <w:rPr>
                <w:rFonts w:cs="Calibri" w:hint="eastAsia"/>
                <w:sz w:val="16"/>
                <w:szCs w:val="16"/>
                <w:lang w:eastAsia="zh-CN"/>
              </w:rPr>
              <w:t>（所做修改已超出原有分配的特性范围</w:t>
            </w:r>
            <w:r>
              <w:rPr>
                <w:rFonts w:cs="Calibri" w:hint="eastAsia"/>
                <w:sz w:val="16"/>
                <w:szCs w:val="16"/>
                <w:lang w:eastAsia="zh-CN"/>
              </w:rPr>
              <w:t>的</w:t>
            </w:r>
            <w:r w:rsidRPr="002C400D">
              <w:rPr>
                <w:rFonts w:cs="Calibri" w:hint="eastAsia"/>
                <w:sz w:val="16"/>
                <w:szCs w:val="16"/>
                <w:lang w:eastAsia="zh-CN"/>
              </w:rPr>
              <w:t>）将分配转换为指配、或引入一个附加系统、或根据附录</w:t>
            </w:r>
            <w:r w:rsidRPr="002C400D">
              <w:rPr>
                <w:rFonts w:cs="Calibri"/>
                <w:b/>
                <w:sz w:val="16"/>
                <w:szCs w:val="16"/>
                <w:lang w:eastAsia="zh-CN"/>
              </w:rPr>
              <w:t>30B</w:t>
            </w:r>
            <w:r w:rsidRPr="002C400D">
              <w:rPr>
                <w:rFonts w:cs="Calibri" w:hint="eastAsia"/>
                <w:sz w:val="16"/>
                <w:szCs w:val="16"/>
                <w:lang w:eastAsia="zh-CN"/>
              </w:rPr>
              <w:t>第</w:t>
            </w:r>
            <w:r w:rsidRPr="002C400D">
              <w:rPr>
                <w:rFonts w:cs="Calibri"/>
                <w:sz w:val="16"/>
                <w:szCs w:val="16"/>
                <w:lang w:eastAsia="zh-CN"/>
              </w:rPr>
              <w:t>6</w:t>
            </w:r>
            <w:r w:rsidRPr="002C400D">
              <w:rPr>
                <w:rFonts w:cs="Calibri" w:hint="eastAsia"/>
                <w:sz w:val="16"/>
                <w:szCs w:val="16"/>
                <w:lang w:eastAsia="zh-CN"/>
              </w:rPr>
              <w:t>条第</w:t>
            </w:r>
            <w:r w:rsidRPr="002C400D">
              <w:rPr>
                <w:rFonts w:cs="Calibri"/>
                <w:sz w:val="16"/>
                <w:szCs w:val="16"/>
                <w:lang w:eastAsia="zh-CN"/>
              </w:rPr>
              <w:t>6.1</w:t>
            </w:r>
            <w:r w:rsidRPr="002C400D">
              <w:rPr>
                <w:rFonts w:cs="Calibri" w:hint="eastAsia"/>
                <w:sz w:val="16"/>
                <w:szCs w:val="16"/>
                <w:lang w:eastAsia="zh-CN"/>
              </w:rPr>
              <w:t>段修改</w:t>
            </w:r>
            <w:r w:rsidRPr="002C400D">
              <w:rPr>
                <w:rFonts w:cs="Calibri"/>
                <w:sz w:val="16"/>
                <w:szCs w:val="16"/>
                <w:lang w:eastAsia="zh-CN"/>
              </w:rPr>
              <w:t xml:space="preserve"> – </w:t>
            </w:r>
            <w:r w:rsidRPr="002C400D">
              <w:rPr>
                <w:rFonts w:cs="Calibri" w:hint="eastAsia"/>
                <w:sz w:val="16"/>
                <w:szCs w:val="16"/>
                <w:lang w:eastAsia="zh-CN"/>
              </w:rPr>
              <w:t>指配表的请求；或请求将指配纳入带有超出原分配特性范围的修改的转换分配列表中，或请求根据附录</w:t>
            </w:r>
            <w:r w:rsidRPr="002C400D">
              <w:rPr>
                <w:rFonts w:cs="Calibri"/>
                <w:b/>
                <w:sz w:val="16"/>
                <w:szCs w:val="16"/>
                <w:lang w:eastAsia="zh-CN"/>
              </w:rPr>
              <w:t>30B</w:t>
            </w:r>
            <w:r w:rsidRPr="002C400D">
              <w:rPr>
                <w:rFonts w:cs="Calibri" w:hint="eastAsia"/>
                <w:sz w:val="16"/>
                <w:szCs w:val="16"/>
                <w:lang w:eastAsia="zh-CN"/>
              </w:rPr>
              <w:t>第</w:t>
            </w:r>
            <w:r w:rsidRPr="002C400D">
              <w:rPr>
                <w:rFonts w:cs="Calibri"/>
                <w:sz w:val="16"/>
                <w:szCs w:val="16"/>
                <w:lang w:eastAsia="zh-CN"/>
              </w:rPr>
              <w:t>6</w:t>
            </w:r>
            <w:r w:rsidRPr="002C400D">
              <w:rPr>
                <w:rFonts w:cs="Calibri" w:hint="eastAsia"/>
                <w:sz w:val="16"/>
                <w:szCs w:val="16"/>
                <w:lang w:eastAsia="zh-CN"/>
              </w:rPr>
              <w:t>条第</w:t>
            </w:r>
            <w:r w:rsidRPr="002C400D">
              <w:rPr>
                <w:rFonts w:cs="Calibri"/>
                <w:sz w:val="16"/>
                <w:szCs w:val="16"/>
                <w:lang w:eastAsia="zh-CN"/>
              </w:rPr>
              <w:t>6.17</w:t>
            </w:r>
            <w:r w:rsidRPr="002C400D">
              <w:rPr>
                <w:rFonts w:cs="Calibri" w:hint="eastAsia"/>
                <w:sz w:val="16"/>
                <w:szCs w:val="16"/>
                <w:lang w:eastAsia="zh-CN"/>
              </w:rPr>
              <w:t>段在列表中计入</w:t>
            </w:r>
            <w:r w:rsidRPr="002C400D">
              <w:rPr>
                <w:rFonts w:cs="Calibri"/>
                <w:sz w:val="16"/>
                <w:szCs w:val="16"/>
                <w:lang w:eastAsia="zh-CN"/>
              </w:rPr>
              <w:t xml:space="preserve"> – </w:t>
            </w:r>
            <w:r w:rsidRPr="002C400D">
              <w:rPr>
                <w:rFonts w:cs="Calibri" w:hint="eastAsia"/>
                <w:sz w:val="16"/>
                <w:szCs w:val="16"/>
                <w:lang w:eastAsia="zh-CN"/>
              </w:rPr>
              <w:t>附加系统或修改的指配</w:t>
            </w:r>
            <w:r w:rsidRPr="002C400D">
              <w:rPr>
                <w:rStyle w:val="FootnoteReference"/>
                <w:rFonts w:cs="Calibri"/>
                <w:vertAlign w:val="superscript"/>
                <w:lang w:eastAsia="zh-CN"/>
              </w:rPr>
              <w:t>c)</w:t>
            </w:r>
            <w:r w:rsidRPr="002C400D">
              <w:rPr>
                <w:rFonts w:cs="Calibri" w:hint="eastAsia"/>
                <w:sz w:val="16"/>
                <w:szCs w:val="16"/>
                <w:lang w:eastAsia="zh-CN"/>
              </w:rPr>
              <w:t>。</w:t>
            </w:r>
          </w:p>
        </w:tc>
        <w:tc>
          <w:tcPr>
            <w:tcW w:w="3004" w:type="dxa"/>
            <w:gridSpan w:val="2"/>
            <w:tcBorders>
              <w:top w:val="single" w:sz="4" w:space="0" w:color="auto"/>
              <w:left w:val="single" w:sz="4" w:space="0" w:color="auto"/>
              <w:bottom w:val="single" w:sz="4" w:space="0" w:color="auto"/>
              <w:right w:val="single" w:sz="4" w:space="0" w:color="auto"/>
            </w:tcBorders>
            <w:vAlign w:val="center"/>
            <w:hideMark/>
          </w:tcPr>
          <w:p w14:paraId="5307E84D" w14:textId="77777777" w:rsidR="00EA33C6" w:rsidRPr="002C400D" w:rsidRDefault="00EA33C6" w:rsidP="00EA33C6">
            <w:pPr>
              <w:pStyle w:val="TableHead0"/>
              <w:spacing w:before="120" w:after="120"/>
              <w:rPr>
                <w:rFonts w:ascii="Calibri" w:hAnsi="Calibri" w:cs="Calibri"/>
                <w:b w:val="0"/>
                <w:sz w:val="16"/>
                <w:szCs w:val="16"/>
                <w:lang w:eastAsia="zh-CN"/>
              </w:rPr>
            </w:pPr>
            <w:r w:rsidRPr="002C400D">
              <w:rPr>
                <w:rFonts w:ascii="Calibri" w:hAnsi="Calibri" w:cs="Calibri"/>
                <w:b w:val="0"/>
                <w:sz w:val="16"/>
                <w:szCs w:val="16"/>
                <w:lang w:eastAsia="zh-CN"/>
              </w:rPr>
              <w:t>25 350</w:t>
            </w:r>
          </w:p>
        </w:tc>
        <w:tc>
          <w:tcPr>
            <w:tcW w:w="2777" w:type="dxa"/>
            <w:gridSpan w:val="3"/>
            <w:vMerge/>
            <w:tcBorders>
              <w:top w:val="single" w:sz="4" w:space="0" w:color="auto"/>
              <w:left w:val="single" w:sz="4" w:space="0" w:color="auto"/>
              <w:bottom w:val="single" w:sz="4" w:space="0" w:color="auto"/>
              <w:right w:val="single" w:sz="4" w:space="0" w:color="auto"/>
            </w:tcBorders>
            <w:vAlign w:val="center"/>
            <w:hideMark/>
          </w:tcPr>
          <w:p w14:paraId="7167AB96"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bCs/>
                <w:sz w:val="16"/>
                <w:szCs w:val="16"/>
                <w:lang w:val="en-US"/>
              </w:rPr>
            </w:pPr>
          </w:p>
        </w:tc>
      </w:tr>
      <w:tr w:rsidR="00EA33C6" w:rsidRPr="002C400D" w14:paraId="568360FF" w14:textId="77777777" w:rsidTr="00EA33C6">
        <w:trPr>
          <w:cantSplit/>
          <w:jc w:val="center"/>
        </w:trPr>
        <w:tc>
          <w:tcPr>
            <w:tcW w:w="469" w:type="dxa"/>
            <w:vMerge/>
            <w:tcBorders>
              <w:top w:val="single" w:sz="4" w:space="0" w:color="auto"/>
              <w:left w:val="single" w:sz="4" w:space="0" w:color="auto"/>
              <w:bottom w:val="single" w:sz="4" w:space="0" w:color="auto"/>
              <w:right w:val="nil"/>
            </w:tcBorders>
            <w:vAlign w:val="center"/>
            <w:hideMark/>
          </w:tcPr>
          <w:p w14:paraId="5F6FC596"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837" w:type="dxa"/>
            <w:vMerge/>
            <w:tcBorders>
              <w:top w:val="single" w:sz="4" w:space="0" w:color="auto"/>
              <w:left w:val="single" w:sz="4" w:space="0" w:color="auto"/>
              <w:bottom w:val="single" w:sz="4" w:space="0" w:color="auto"/>
              <w:right w:val="single" w:sz="4" w:space="0" w:color="auto"/>
            </w:tcBorders>
            <w:vAlign w:val="center"/>
            <w:hideMark/>
          </w:tcPr>
          <w:p w14:paraId="5DFC05EC"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614" w:type="dxa"/>
            <w:tcBorders>
              <w:top w:val="single" w:sz="4" w:space="0" w:color="auto"/>
              <w:left w:val="single" w:sz="4" w:space="0" w:color="auto"/>
              <w:bottom w:val="single" w:sz="4" w:space="0" w:color="auto"/>
              <w:right w:val="single" w:sz="4" w:space="0" w:color="auto"/>
            </w:tcBorders>
            <w:vAlign w:val="center"/>
            <w:hideMark/>
          </w:tcPr>
          <w:p w14:paraId="287C274C" w14:textId="77777777" w:rsidR="00EA33C6" w:rsidRPr="002C400D" w:rsidRDefault="00EA33C6" w:rsidP="00EA33C6">
            <w:pPr>
              <w:spacing w:after="120"/>
              <w:rPr>
                <w:rFonts w:cs="Calibri"/>
                <w:sz w:val="16"/>
                <w:szCs w:val="16"/>
                <w:lang w:eastAsia="zh-CN"/>
              </w:rPr>
            </w:pPr>
            <w:r w:rsidRPr="002C400D">
              <w:rPr>
                <w:rFonts w:cs="Calibri"/>
                <w:sz w:val="16"/>
                <w:szCs w:val="16"/>
                <w:lang w:eastAsia="zh-CN"/>
              </w:rPr>
              <w:t>P5</w:t>
            </w:r>
            <w:r w:rsidRPr="002C400D">
              <w:rPr>
                <w:rStyle w:val="FootnoteReference"/>
                <w:rFonts w:cs="Calibri"/>
                <w:vertAlign w:val="superscript"/>
              </w:rPr>
              <w:t>d)</w:t>
            </w:r>
          </w:p>
        </w:tc>
        <w:tc>
          <w:tcPr>
            <w:tcW w:w="7845" w:type="dxa"/>
            <w:tcBorders>
              <w:top w:val="single" w:sz="4" w:space="0" w:color="auto"/>
              <w:left w:val="single" w:sz="4" w:space="0" w:color="auto"/>
              <w:bottom w:val="single" w:sz="4" w:space="0" w:color="auto"/>
              <w:right w:val="single" w:sz="4" w:space="0" w:color="auto"/>
            </w:tcBorders>
            <w:hideMark/>
          </w:tcPr>
          <w:p w14:paraId="3DFC4C0D" w14:textId="77777777" w:rsidR="00EA33C6" w:rsidRPr="002C400D" w:rsidRDefault="00EA33C6" w:rsidP="00EA33C6">
            <w:pPr>
              <w:spacing w:after="120"/>
              <w:rPr>
                <w:rFonts w:cs="Calibri"/>
                <w:sz w:val="16"/>
                <w:szCs w:val="16"/>
                <w:lang w:eastAsia="zh-CN"/>
              </w:rPr>
            </w:pPr>
            <w:r w:rsidRPr="002C400D">
              <w:rPr>
                <w:rFonts w:cs="Calibri" w:hint="eastAsia"/>
                <w:sz w:val="16"/>
                <w:szCs w:val="16"/>
                <w:lang w:eastAsia="zh-CN"/>
              </w:rPr>
              <w:t>关于</w:t>
            </w:r>
            <w:r w:rsidRPr="002C400D">
              <w:rPr>
                <w:rFonts w:cs="Calibri" w:hint="eastAsia"/>
                <w:bCs/>
                <w:sz w:val="16"/>
                <w:szCs w:val="16"/>
                <w:lang w:eastAsia="zh-CN"/>
              </w:rPr>
              <w:t>按照附录</w:t>
            </w:r>
            <w:r w:rsidRPr="002C400D">
              <w:rPr>
                <w:rFonts w:cs="Calibri"/>
                <w:b/>
                <w:bCs/>
                <w:sz w:val="16"/>
                <w:szCs w:val="16"/>
                <w:lang w:eastAsia="zh-CN"/>
              </w:rPr>
              <w:t>30B</w:t>
            </w:r>
            <w:r w:rsidRPr="002C400D">
              <w:rPr>
                <w:rFonts w:cs="Calibri" w:hint="eastAsia"/>
                <w:sz w:val="16"/>
                <w:szCs w:val="16"/>
                <w:lang w:eastAsia="zh-CN"/>
              </w:rPr>
              <w:t>第</w:t>
            </w:r>
            <w:r w:rsidRPr="002C400D">
              <w:rPr>
                <w:rFonts w:cs="Calibri"/>
                <w:b/>
                <w:bCs/>
                <w:sz w:val="16"/>
                <w:szCs w:val="16"/>
                <w:lang w:eastAsia="zh-CN"/>
              </w:rPr>
              <w:t>8</w:t>
            </w:r>
            <w:r w:rsidRPr="002C400D">
              <w:rPr>
                <w:rFonts w:cs="Calibri" w:hint="eastAsia"/>
                <w:sz w:val="16"/>
                <w:szCs w:val="16"/>
                <w:lang w:eastAsia="zh-CN"/>
              </w:rPr>
              <w:t>条的规定在国际频率登记总表（</w:t>
            </w:r>
            <w:r w:rsidRPr="002C400D">
              <w:rPr>
                <w:rFonts w:cs="Calibri"/>
                <w:sz w:val="16"/>
                <w:szCs w:val="16"/>
                <w:lang w:eastAsia="zh-CN"/>
              </w:rPr>
              <w:t>MIFR</w:t>
            </w:r>
            <w:r w:rsidRPr="002C400D">
              <w:rPr>
                <w:rFonts w:cs="Calibri" w:hint="eastAsia"/>
                <w:sz w:val="16"/>
                <w:szCs w:val="16"/>
                <w:lang w:eastAsia="zh-CN"/>
              </w:rPr>
              <w:t>）</w:t>
            </w:r>
            <w:r w:rsidRPr="002C400D">
              <w:rPr>
                <w:rFonts w:cs="Calibri" w:hint="eastAsia"/>
                <w:sz w:val="16"/>
                <w:szCs w:val="16"/>
                <w:lang w:val="en-US" w:eastAsia="zh-CN"/>
              </w:rPr>
              <w:t>中登记</w:t>
            </w:r>
            <w:r w:rsidRPr="002C400D">
              <w:rPr>
                <w:rFonts w:cs="Calibri" w:hint="eastAsia"/>
                <w:bCs/>
                <w:sz w:val="16"/>
                <w:szCs w:val="16"/>
                <w:lang w:eastAsia="zh-CN"/>
              </w:rPr>
              <w:t>对卫星固定业务空间</w:t>
            </w:r>
            <w:r>
              <w:rPr>
                <w:rFonts w:cs="Calibri" w:hint="eastAsia"/>
                <w:bCs/>
                <w:sz w:val="16"/>
                <w:szCs w:val="16"/>
                <w:lang w:eastAsia="zh-CN"/>
              </w:rPr>
              <w:t>电台</w:t>
            </w:r>
            <w:r w:rsidRPr="002C400D">
              <w:rPr>
                <w:rFonts w:cs="Calibri" w:hint="eastAsia"/>
                <w:bCs/>
                <w:sz w:val="16"/>
                <w:szCs w:val="16"/>
                <w:lang w:eastAsia="zh-CN"/>
              </w:rPr>
              <w:t>的频率指配的通知。</w:t>
            </w:r>
          </w:p>
        </w:tc>
        <w:tc>
          <w:tcPr>
            <w:tcW w:w="3004" w:type="dxa"/>
            <w:gridSpan w:val="2"/>
            <w:tcBorders>
              <w:top w:val="single" w:sz="4" w:space="0" w:color="auto"/>
              <w:left w:val="single" w:sz="4" w:space="0" w:color="auto"/>
              <w:bottom w:val="single" w:sz="4" w:space="0" w:color="auto"/>
              <w:right w:val="single" w:sz="4" w:space="0" w:color="auto"/>
            </w:tcBorders>
            <w:vAlign w:val="center"/>
            <w:hideMark/>
          </w:tcPr>
          <w:p w14:paraId="12FE6677" w14:textId="77777777" w:rsidR="00EA33C6" w:rsidRPr="002C400D" w:rsidRDefault="00EA33C6" w:rsidP="00EA33C6">
            <w:pPr>
              <w:pStyle w:val="TableHead0"/>
              <w:spacing w:before="120" w:after="120"/>
              <w:rPr>
                <w:rFonts w:ascii="Calibri" w:hAnsi="Calibri" w:cs="Calibri"/>
                <w:b w:val="0"/>
                <w:sz w:val="16"/>
                <w:szCs w:val="16"/>
                <w:lang w:eastAsia="zh-CN"/>
              </w:rPr>
            </w:pPr>
            <w:r w:rsidRPr="002C400D">
              <w:rPr>
                <w:rFonts w:ascii="Calibri" w:hAnsi="Calibri" w:cs="Calibri"/>
                <w:b w:val="0"/>
                <w:sz w:val="16"/>
                <w:szCs w:val="16"/>
                <w:lang w:eastAsia="zh-CN"/>
              </w:rPr>
              <w:t>20 280</w:t>
            </w:r>
          </w:p>
        </w:tc>
        <w:tc>
          <w:tcPr>
            <w:tcW w:w="2777" w:type="dxa"/>
            <w:gridSpan w:val="3"/>
            <w:vMerge/>
            <w:tcBorders>
              <w:top w:val="single" w:sz="4" w:space="0" w:color="auto"/>
              <w:left w:val="single" w:sz="4" w:space="0" w:color="auto"/>
              <w:bottom w:val="single" w:sz="4" w:space="0" w:color="auto"/>
              <w:right w:val="single" w:sz="4" w:space="0" w:color="auto"/>
            </w:tcBorders>
            <w:vAlign w:val="center"/>
            <w:hideMark/>
          </w:tcPr>
          <w:p w14:paraId="44ADB19B"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bCs/>
                <w:sz w:val="16"/>
                <w:szCs w:val="16"/>
                <w:lang w:val="en-US"/>
              </w:rPr>
            </w:pPr>
          </w:p>
        </w:tc>
      </w:tr>
    </w:tbl>
    <w:p w14:paraId="2A236B1A" w14:textId="77777777" w:rsidR="0089778C" w:rsidRPr="00CE71E4" w:rsidRDefault="0089778C" w:rsidP="0089778C">
      <w:pPr>
        <w:tabs>
          <w:tab w:val="left" w:pos="284"/>
        </w:tabs>
        <w:snapToGrid w:val="0"/>
        <w:spacing w:before="240" w:after="160" w:line="259" w:lineRule="auto"/>
        <w:ind w:left="284" w:hanging="284"/>
        <w:rPr>
          <w:rFonts w:cs="Calibri"/>
          <w:bCs/>
          <w:sz w:val="16"/>
          <w:szCs w:val="16"/>
          <w:lang w:val="en-US" w:eastAsia="zh-CN"/>
        </w:rPr>
      </w:pPr>
      <w:r w:rsidRPr="00CE71E4">
        <w:rPr>
          <w:rStyle w:val="FootnoteReference"/>
          <w:rFonts w:cs="Calibri"/>
          <w:bCs/>
          <w:szCs w:val="16"/>
          <w:lang w:val="en-US" w:eastAsia="zh-CN"/>
        </w:rPr>
        <w:t>a)</w:t>
      </w:r>
      <w:r w:rsidRPr="00CE71E4">
        <w:rPr>
          <w:rFonts w:cs="Calibri"/>
          <w:bCs/>
          <w:sz w:val="16"/>
          <w:szCs w:val="16"/>
          <w:lang w:val="en-US" w:eastAsia="zh-CN"/>
        </w:rPr>
        <w:tab/>
      </w:r>
      <w:r w:rsidRPr="00CE71E4">
        <w:rPr>
          <w:rFonts w:cs="Calibri" w:hint="eastAsia"/>
          <w:bCs/>
          <w:sz w:val="16"/>
          <w:szCs w:val="16"/>
          <w:lang w:val="en-US" w:eastAsia="zh-CN"/>
        </w:rPr>
        <w:t>类别</w:t>
      </w:r>
      <w:r w:rsidRPr="00CE71E4">
        <w:rPr>
          <w:rFonts w:cs="Calibri"/>
          <w:bCs/>
          <w:sz w:val="16"/>
          <w:szCs w:val="16"/>
          <w:lang w:val="en-US" w:eastAsia="zh-CN"/>
        </w:rPr>
        <w:t>N1</w:t>
      </w:r>
      <w:r w:rsidRPr="00CE71E4">
        <w:rPr>
          <w:rFonts w:cs="Calibri" w:hint="eastAsia"/>
          <w:bCs/>
          <w:sz w:val="16"/>
          <w:szCs w:val="16"/>
          <w:lang w:val="en-US" w:eastAsia="zh-CN"/>
        </w:rPr>
        <w:t>、</w:t>
      </w:r>
      <w:r w:rsidRPr="00CE71E4">
        <w:rPr>
          <w:rFonts w:cs="Calibri"/>
          <w:bCs/>
          <w:sz w:val="16"/>
          <w:szCs w:val="16"/>
          <w:lang w:val="en-US" w:eastAsia="zh-CN"/>
        </w:rPr>
        <w:t>N2</w:t>
      </w:r>
      <w:r w:rsidRPr="00CE71E4">
        <w:rPr>
          <w:rFonts w:cs="Calibri" w:hint="eastAsia"/>
          <w:bCs/>
          <w:sz w:val="16"/>
          <w:szCs w:val="16"/>
          <w:lang w:val="en-US" w:eastAsia="zh-CN"/>
        </w:rPr>
        <w:t>和</w:t>
      </w:r>
      <w:r w:rsidRPr="00CE71E4">
        <w:rPr>
          <w:rFonts w:cs="Calibri"/>
          <w:bCs/>
          <w:sz w:val="16"/>
          <w:szCs w:val="16"/>
          <w:lang w:val="en-US" w:eastAsia="zh-CN"/>
        </w:rPr>
        <w:t>N3</w:t>
      </w:r>
      <w:r w:rsidRPr="00CE71E4">
        <w:rPr>
          <w:rFonts w:cs="Calibri" w:hint="eastAsia"/>
          <w:bCs/>
          <w:sz w:val="16"/>
          <w:szCs w:val="16"/>
          <w:lang w:val="en-US" w:eastAsia="zh-CN"/>
        </w:rPr>
        <w:t>的费用适用于第一次频率指配通知，此通知还包括一项关于应用第</w:t>
      </w:r>
      <w:r w:rsidRPr="00CE71E4">
        <w:rPr>
          <w:rFonts w:cs="Calibri"/>
          <w:bCs/>
          <w:sz w:val="16"/>
          <w:szCs w:val="16"/>
          <w:lang w:val="en-US" w:eastAsia="zh-CN"/>
        </w:rPr>
        <w:t>11.32A.</w:t>
      </w:r>
      <w:r w:rsidRPr="00CE71E4">
        <w:rPr>
          <w:rFonts w:cs="Calibri" w:hint="eastAsia"/>
          <w:bCs/>
          <w:sz w:val="16"/>
          <w:szCs w:val="16"/>
          <w:lang w:val="en-US" w:eastAsia="zh-CN"/>
        </w:rPr>
        <w:t>款的要求。若未要求应用第</w:t>
      </w:r>
      <w:r w:rsidRPr="00CE71E4">
        <w:rPr>
          <w:rFonts w:cs="Calibri"/>
          <w:bCs/>
          <w:sz w:val="16"/>
          <w:szCs w:val="16"/>
          <w:lang w:val="en-US" w:eastAsia="zh-CN"/>
        </w:rPr>
        <w:t>11.32A</w:t>
      </w:r>
      <w:r w:rsidRPr="00CE71E4">
        <w:rPr>
          <w:rFonts w:cs="Calibri" w:hint="eastAsia"/>
          <w:bCs/>
          <w:sz w:val="16"/>
          <w:szCs w:val="16"/>
          <w:lang w:val="en-US" w:eastAsia="zh-CN"/>
        </w:rPr>
        <w:t>款，则将收取规定费用的</w:t>
      </w:r>
      <w:r w:rsidRPr="00CE71E4">
        <w:rPr>
          <w:rFonts w:cs="Calibri"/>
          <w:bCs/>
          <w:sz w:val="16"/>
          <w:szCs w:val="16"/>
          <w:lang w:val="en-US" w:eastAsia="zh-CN"/>
        </w:rPr>
        <w:t>70%</w:t>
      </w:r>
      <w:r w:rsidRPr="00CE71E4">
        <w:rPr>
          <w:rFonts w:cs="Calibri" w:hint="eastAsia"/>
          <w:bCs/>
          <w:sz w:val="16"/>
          <w:szCs w:val="16"/>
          <w:lang w:val="en-US" w:eastAsia="zh-CN"/>
        </w:rPr>
        <w:t>，其余的</w:t>
      </w:r>
      <w:r w:rsidRPr="00CE71E4">
        <w:rPr>
          <w:rFonts w:cs="Calibri"/>
          <w:bCs/>
          <w:sz w:val="16"/>
          <w:szCs w:val="16"/>
          <w:lang w:val="en-US" w:eastAsia="zh-CN"/>
        </w:rPr>
        <w:t>30%</w:t>
      </w:r>
      <w:r w:rsidRPr="00CE71E4">
        <w:rPr>
          <w:rFonts w:cs="Calibri" w:hint="eastAsia"/>
          <w:bCs/>
          <w:sz w:val="16"/>
          <w:szCs w:val="16"/>
          <w:lang w:val="en-US" w:eastAsia="zh-CN"/>
        </w:rPr>
        <w:t>将在随后提出应用第</w:t>
      </w:r>
      <w:r w:rsidRPr="00CE71E4">
        <w:rPr>
          <w:rFonts w:cs="Calibri"/>
          <w:bCs/>
          <w:sz w:val="16"/>
          <w:szCs w:val="16"/>
          <w:lang w:val="en-US" w:eastAsia="zh-CN"/>
        </w:rPr>
        <w:t>11.32A</w:t>
      </w:r>
      <w:r w:rsidRPr="00CE71E4">
        <w:rPr>
          <w:rFonts w:cs="Calibri" w:hint="eastAsia"/>
          <w:bCs/>
          <w:sz w:val="16"/>
          <w:szCs w:val="16"/>
          <w:lang w:val="en-US" w:eastAsia="zh-CN"/>
        </w:rPr>
        <w:t>款的要求时收取（不提出则不收取）。</w:t>
      </w:r>
    </w:p>
    <w:p w14:paraId="2BD09DC3" w14:textId="77777777" w:rsidR="0089778C" w:rsidRPr="00CE71E4" w:rsidRDefault="0089778C" w:rsidP="0089778C">
      <w:pPr>
        <w:tabs>
          <w:tab w:val="left" w:pos="284"/>
        </w:tabs>
        <w:snapToGrid w:val="0"/>
        <w:spacing w:before="240" w:after="160" w:line="259" w:lineRule="auto"/>
        <w:ind w:left="284" w:hanging="284"/>
        <w:rPr>
          <w:rFonts w:cs="Calibri"/>
          <w:bCs/>
          <w:sz w:val="16"/>
          <w:szCs w:val="16"/>
          <w:lang w:val="en-US" w:eastAsia="zh-CN"/>
        </w:rPr>
      </w:pPr>
      <w:r w:rsidRPr="00CE71E4">
        <w:rPr>
          <w:rStyle w:val="FootnoteReference"/>
          <w:rFonts w:cs="Calibri"/>
          <w:bCs/>
          <w:szCs w:val="16"/>
          <w:lang w:val="en-US" w:eastAsia="zh-CN"/>
        </w:rPr>
        <w:t>b)</w:t>
      </w:r>
      <w:r w:rsidRPr="00CE71E4">
        <w:rPr>
          <w:rFonts w:cs="Calibri"/>
          <w:bCs/>
          <w:sz w:val="16"/>
          <w:szCs w:val="16"/>
          <w:lang w:val="en-US" w:eastAsia="zh-CN"/>
        </w:rPr>
        <w:tab/>
      </w:r>
      <w:r w:rsidRPr="00CE71E4">
        <w:rPr>
          <w:rFonts w:cs="Calibri" w:hint="eastAsia"/>
          <w:bCs/>
          <w:sz w:val="16"/>
          <w:szCs w:val="16"/>
          <w:lang w:val="en-US" w:eastAsia="zh-CN"/>
        </w:rPr>
        <w:t>在本类别下，考虑到对卫星广播业务及其在</w:t>
      </w:r>
      <w:r w:rsidRPr="00CE71E4">
        <w:rPr>
          <w:rFonts w:cs="Calibri"/>
          <w:bCs/>
          <w:sz w:val="16"/>
          <w:szCs w:val="16"/>
          <w:lang w:val="en-US" w:eastAsia="zh-CN"/>
        </w:rPr>
        <w:t>2</w:t>
      </w:r>
      <w:r w:rsidRPr="00CE71E4">
        <w:rPr>
          <w:rFonts w:cs="Calibri" w:hint="eastAsia"/>
          <w:bCs/>
          <w:sz w:val="16"/>
          <w:szCs w:val="16"/>
          <w:lang w:val="en-US" w:eastAsia="zh-CN"/>
        </w:rPr>
        <w:t>区中的相关馈线链路的申报包括下行链路（附录</w:t>
      </w:r>
      <w:r w:rsidRPr="00CE71E4">
        <w:rPr>
          <w:rFonts w:cs="Calibri"/>
          <w:bCs/>
          <w:sz w:val="16"/>
          <w:szCs w:val="16"/>
          <w:lang w:val="en-US" w:eastAsia="zh-CN"/>
        </w:rPr>
        <w:t>30</w:t>
      </w:r>
      <w:r w:rsidRPr="00CE71E4">
        <w:rPr>
          <w:rFonts w:cs="Calibri" w:hint="eastAsia"/>
          <w:bCs/>
          <w:sz w:val="16"/>
          <w:szCs w:val="16"/>
          <w:lang w:val="en-US" w:eastAsia="zh-CN"/>
        </w:rPr>
        <w:t>）和馈线链路（附录</w:t>
      </w:r>
      <w:r w:rsidRPr="00CE71E4">
        <w:rPr>
          <w:rFonts w:cs="Calibri"/>
          <w:bCs/>
          <w:sz w:val="16"/>
          <w:szCs w:val="16"/>
          <w:lang w:val="en-US" w:eastAsia="zh-CN"/>
        </w:rPr>
        <w:t>30A</w:t>
      </w:r>
      <w:r w:rsidRPr="00CE71E4">
        <w:rPr>
          <w:rFonts w:cs="Calibri" w:hint="eastAsia"/>
          <w:bCs/>
          <w:sz w:val="16"/>
          <w:szCs w:val="16"/>
          <w:lang w:val="en-US" w:eastAsia="zh-CN"/>
        </w:rPr>
        <w:t>）（两者一起进行审查和公布），因此适用于此类申报的总费用应为“每件申报的包干费用”一列中所述费用的两倍。</w:t>
      </w:r>
    </w:p>
    <w:p w14:paraId="7D410918" w14:textId="77777777" w:rsidR="0089778C" w:rsidRPr="00CE71E4" w:rsidRDefault="0089778C" w:rsidP="0089778C">
      <w:pPr>
        <w:tabs>
          <w:tab w:val="left" w:pos="284"/>
        </w:tabs>
        <w:snapToGrid w:val="0"/>
        <w:spacing w:before="240" w:after="160" w:line="259" w:lineRule="auto"/>
        <w:ind w:left="284" w:hanging="284"/>
        <w:rPr>
          <w:rStyle w:val="FootnoteReference"/>
          <w:rFonts w:cs="Calibri"/>
          <w:bCs/>
          <w:szCs w:val="16"/>
          <w:lang w:val="en-US" w:eastAsia="zh-CN"/>
        </w:rPr>
      </w:pPr>
      <w:r w:rsidRPr="00CE71E4">
        <w:rPr>
          <w:rStyle w:val="FootnoteReference"/>
          <w:rFonts w:cs="Calibri"/>
          <w:bCs/>
          <w:szCs w:val="16"/>
          <w:lang w:val="en-US" w:eastAsia="zh-CN"/>
        </w:rPr>
        <w:t>c)</w:t>
      </w:r>
      <w:r w:rsidRPr="00CE71E4">
        <w:rPr>
          <w:rStyle w:val="FootnoteReference"/>
          <w:rFonts w:cs="Calibri"/>
          <w:bCs/>
          <w:szCs w:val="16"/>
          <w:lang w:val="en-US" w:eastAsia="zh-CN"/>
        </w:rPr>
        <w:tab/>
      </w:r>
      <w:r w:rsidRPr="00CE71E4">
        <w:rPr>
          <w:rStyle w:val="FootnoteReference"/>
          <w:rFonts w:cs="Calibri" w:hint="eastAsia"/>
          <w:bCs/>
          <w:szCs w:val="16"/>
          <w:lang w:val="en-US" w:eastAsia="zh-CN"/>
        </w:rPr>
        <w:t>对根据附录</w:t>
      </w:r>
      <w:r w:rsidRPr="00CE71E4">
        <w:rPr>
          <w:rStyle w:val="FootnoteReference"/>
          <w:rFonts w:cs="Calibri"/>
          <w:bCs/>
          <w:szCs w:val="16"/>
          <w:lang w:val="en-US" w:eastAsia="zh-CN"/>
        </w:rPr>
        <w:t>30B</w:t>
      </w:r>
      <w:r w:rsidRPr="00CE71E4">
        <w:rPr>
          <w:rStyle w:val="FootnoteReference"/>
          <w:rFonts w:cs="Calibri" w:hint="eastAsia"/>
          <w:bCs/>
          <w:szCs w:val="16"/>
          <w:lang w:val="en-US" w:eastAsia="zh-CN"/>
        </w:rPr>
        <w:t>第</w:t>
      </w:r>
      <w:r w:rsidRPr="00CE71E4">
        <w:rPr>
          <w:rStyle w:val="FootnoteReference"/>
          <w:rFonts w:cs="Calibri"/>
          <w:bCs/>
          <w:szCs w:val="16"/>
          <w:lang w:val="en-US" w:eastAsia="zh-CN"/>
        </w:rPr>
        <w:t>6</w:t>
      </w:r>
      <w:r w:rsidRPr="00CE71E4">
        <w:rPr>
          <w:rStyle w:val="FootnoteReference"/>
          <w:rFonts w:cs="Calibri" w:hint="eastAsia"/>
          <w:bCs/>
          <w:szCs w:val="16"/>
          <w:lang w:val="en-US" w:eastAsia="zh-CN"/>
        </w:rPr>
        <w:t>条第</w:t>
      </w:r>
      <w:r w:rsidRPr="00CE71E4">
        <w:rPr>
          <w:rStyle w:val="FootnoteReference"/>
          <w:rFonts w:cs="Calibri"/>
          <w:bCs/>
          <w:szCs w:val="16"/>
          <w:lang w:val="en-US" w:eastAsia="zh-CN"/>
        </w:rPr>
        <w:t>6.17</w:t>
      </w:r>
      <w:r w:rsidRPr="00CE71E4">
        <w:rPr>
          <w:rStyle w:val="FootnoteReference"/>
          <w:rFonts w:cs="Calibri" w:hint="eastAsia"/>
          <w:bCs/>
          <w:szCs w:val="16"/>
          <w:lang w:val="en-US" w:eastAsia="zh-CN"/>
        </w:rPr>
        <w:t>段提出的请求，收取的费用亦包含随后可能根据第</w:t>
      </w:r>
      <w:r w:rsidRPr="00CE71E4">
        <w:rPr>
          <w:rStyle w:val="FootnoteReference"/>
          <w:rFonts w:cs="Calibri"/>
          <w:bCs/>
          <w:szCs w:val="16"/>
          <w:lang w:val="en-US" w:eastAsia="zh-CN"/>
        </w:rPr>
        <w:t>6.25</w:t>
      </w:r>
      <w:r w:rsidRPr="00CE71E4">
        <w:rPr>
          <w:rStyle w:val="FootnoteReference"/>
          <w:rFonts w:cs="Calibri" w:hint="eastAsia"/>
          <w:bCs/>
          <w:szCs w:val="16"/>
          <w:lang w:val="en-US" w:eastAsia="zh-CN"/>
        </w:rPr>
        <w:t>段提出的请求（重新提交）。对根据附录</w:t>
      </w:r>
      <w:r w:rsidRPr="00CE71E4">
        <w:rPr>
          <w:rStyle w:val="FootnoteReference"/>
          <w:rFonts w:cs="Calibri"/>
          <w:bCs/>
          <w:szCs w:val="16"/>
          <w:lang w:val="en-US" w:eastAsia="zh-CN"/>
        </w:rPr>
        <w:t>30B</w:t>
      </w:r>
      <w:r w:rsidRPr="00CE71E4">
        <w:rPr>
          <w:rStyle w:val="FootnoteReference"/>
          <w:rFonts w:cs="Calibri" w:hint="eastAsia"/>
          <w:bCs/>
          <w:szCs w:val="16"/>
          <w:lang w:val="en-US" w:eastAsia="zh-CN"/>
        </w:rPr>
        <w:t>第</w:t>
      </w:r>
      <w:r w:rsidRPr="00CE71E4">
        <w:rPr>
          <w:rStyle w:val="FootnoteReference"/>
          <w:rFonts w:cs="Calibri"/>
          <w:bCs/>
          <w:szCs w:val="16"/>
          <w:lang w:val="en-US" w:eastAsia="zh-CN"/>
        </w:rPr>
        <w:t>6</w:t>
      </w:r>
      <w:r w:rsidRPr="00CE71E4">
        <w:rPr>
          <w:rStyle w:val="FootnoteReference"/>
          <w:rFonts w:cs="Calibri" w:hint="eastAsia"/>
          <w:bCs/>
          <w:szCs w:val="16"/>
          <w:lang w:val="en-US" w:eastAsia="zh-CN"/>
        </w:rPr>
        <w:t>条第</w:t>
      </w:r>
      <w:r w:rsidRPr="00CE71E4">
        <w:rPr>
          <w:rStyle w:val="FootnoteReference"/>
          <w:rFonts w:cs="Calibri"/>
          <w:bCs/>
          <w:szCs w:val="16"/>
          <w:lang w:val="en-US" w:eastAsia="zh-CN"/>
        </w:rPr>
        <w:t>6.17</w:t>
      </w:r>
      <w:r w:rsidRPr="00CE71E4">
        <w:rPr>
          <w:rStyle w:val="FootnoteReference"/>
          <w:rFonts w:cs="Calibri" w:hint="eastAsia"/>
          <w:bCs/>
          <w:szCs w:val="16"/>
          <w:lang w:val="en-US" w:eastAsia="zh-CN"/>
        </w:rPr>
        <w:t>段提出要求所提交的资料采用第</w:t>
      </w:r>
      <w:r w:rsidRPr="00CE71E4">
        <w:rPr>
          <w:rStyle w:val="FootnoteReference"/>
          <w:rFonts w:cs="Calibri"/>
          <w:bCs/>
          <w:szCs w:val="16"/>
          <w:lang w:val="en-US" w:eastAsia="zh-CN"/>
        </w:rPr>
        <w:t>6.1</w:t>
      </w:r>
      <w:r w:rsidRPr="00CE71E4">
        <w:rPr>
          <w:rStyle w:val="FootnoteReference"/>
          <w:rFonts w:cs="Calibri" w:hint="eastAsia"/>
          <w:bCs/>
          <w:szCs w:val="16"/>
          <w:lang w:val="en-US" w:eastAsia="zh-CN"/>
        </w:rPr>
        <w:t>款资料的处理程序进行处理的请求免予收费。</w:t>
      </w:r>
    </w:p>
    <w:p w14:paraId="1B5BE222" w14:textId="77777777" w:rsidR="0089778C" w:rsidRDefault="0089778C" w:rsidP="0089778C">
      <w:pPr>
        <w:tabs>
          <w:tab w:val="left" w:pos="284"/>
        </w:tabs>
        <w:snapToGrid w:val="0"/>
        <w:spacing w:before="240" w:after="160" w:line="259" w:lineRule="auto"/>
        <w:ind w:left="284" w:hanging="284"/>
        <w:rPr>
          <w:rFonts w:cs="Calibri"/>
          <w:bCs/>
          <w:sz w:val="16"/>
          <w:szCs w:val="16"/>
          <w:lang w:val="en-US" w:eastAsia="zh-CN"/>
        </w:rPr>
      </w:pPr>
      <w:r w:rsidRPr="00CE71E4">
        <w:rPr>
          <w:rFonts w:cs="Calibri"/>
          <w:bCs/>
          <w:sz w:val="16"/>
          <w:szCs w:val="16"/>
          <w:lang w:val="en-US" w:eastAsia="zh-CN"/>
        </w:rPr>
        <w:t>d)</w:t>
      </w:r>
      <w:r w:rsidRPr="00CE71E4">
        <w:rPr>
          <w:rFonts w:cs="Calibri"/>
          <w:bCs/>
          <w:sz w:val="16"/>
          <w:szCs w:val="16"/>
          <w:lang w:val="en-US" w:eastAsia="zh-CN"/>
        </w:rPr>
        <w:tab/>
      </w:r>
      <w:r w:rsidRPr="00CE71E4">
        <w:rPr>
          <w:rFonts w:cs="Calibri" w:hint="eastAsia"/>
          <w:bCs/>
          <w:sz w:val="16"/>
          <w:szCs w:val="16"/>
          <w:lang w:val="en-US" w:eastAsia="zh-CN"/>
        </w:rPr>
        <w:t>对于主管部门（或代表一系列被提名主管部门行事的主管部门）根据《无线电规则》第</w:t>
      </w:r>
      <w:r w:rsidRPr="00CE71E4">
        <w:rPr>
          <w:rFonts w:cs="Calibri" w:hint="eastAsia"/>
          <w:bCs/>
          <w:sz w:val="16"/>
          <w:szCs w:val="16"/>
          <w:lang w:val="en-US" w:eastAsia="zh-CN"/>
        </w:rPr>
        <w:t>11</w:t>
      </w:r>
      <w:r w:rsidRPr="00CE71E4">
        <w:rPr>
          <w:rFonts w:cs="Calibri" w:hint="eastAsia"/>
          <w:bCs/>
          <w:sz w:val="16"/>
          <w:szCs w:val="16"/>
          <w:lang w:val="en-US" w:eastAsia="zh-CN"/>
        </w:rPr>
        <w:t>条提交</w:t>
      </w:r>
      <w:r w:rsidRPr="00CE71E4">
        <w:rPr>
          <w:rFonts w:cs="Calibri" w:hint="eastAsia"/>
          <w:bCs/>
          <w:sz w:val="16"/>
          <w:szCs w:val="16"/>
          <w:lang w:val="en-US" w:eastAsia="zh-CN"/>
        </w:rPr>
        <w:t>MIFR</w:t>
      </w:r>
      <w:r w:rsidRPr="00CE71E4">
        <w:rPr>
          <w:rFonts w:cs="Calibri" w:hint="eastAsia"/>
          <w:bCs/>
          <w:sz w:val="16"/>
          <w:szCs w:val="16"/>
          <w:lang w:val="en-US" w:eastAsia="zh-CN"/>
        </w:rPr>
        <w:t>的不同</w:t>
      </w:r>
      <w:r w:rsidRPr="00CE71E4">
        <w:rPr>
          <w:rFonts w:cs="Calibri" w:hint="eastAsia"/>
          <w:bCs/>
          <w:sz w:val="16"/>
          <w:szCs w:val="16"/>
          <w:lang w:val="en-US" w:eastAsia="zh-CN"/>
        </w:rPr>
        <w:t>GSO</w:t>
      </w:r>
      <w:r w:rsidRPr="00CE71E4">
        <w:rPr>
          <w:rFonts w:cs="Calibri" w:hint="eastAsia"/>
          <w:bCs/>
          <w:sz w:val="16"/>
          <w:szCs w:val="16"/>
          <w:lang w:val="en-US" w:eastAsia="zh-CN"/>
        </w:rPr>
        <w:t>网络频率指配的整合，</w:t>
      </w:r>
      <w:r w:rsidRPr="00CE71E4">
        <w:rPr>
          <w:rFonts w:cs="Calibri" w:hint="eastAsia"/>
          <w:bCs/>
          <w:sz w:val="16"/>
          <w:szCs w:val="16"/>
          <w:lang w:val="en-US" w:eastAsia="zh-CN"/>
        </w:rPr>
        <w:t>N1</w:t>
      </w:r>
      <w:r w:rsidRPr="00CE71E4">
        <w:rPr>
          <w:rFonts w:cs="Calibri" w:hint="eastAsia"/>
          <w:bCs/>
          <w:sz w:val="16"/>
          <w:szCs w:val="16"/>
          <w:lang w:val="en-US" w:eastAsia="zh-CN"/>
        </w:rPr>
        <w:t>类型适用；对于根据附录</w:t>
      </w:r>
      <w:r w:rsidRPr="00CE71E4">
        <w:rPr>
          <w:rFonts w:cs="Calibri" w:hint="eastAsia"/>
          <w:bCs/>
          <w:sz w:val="16"/>
          <w:szCs w:val="16"/>
          <w:lang w:val="en-US" w:eastAsia="zh-CN"/>
        </w:rPr>
        <w:t>30</w:t>
      </w:r>
      <w:r w:rsidRPr="00CE71E4">
        <w:rPr>
          <w:rFonts w:cs="Calibri" w:hint="eastAsia"/>
          <w:bCs/>
          <w:sz w:val="16"/>
          <w:szCs w:val="16"/>
          <w:lang w:val="en-US" w:eastAsia="zh-CN"/>
        </w:rPr>
        <w:t>或</w:t>
      </w:r>
      <w:r w:rsidRPr="00CE71E4">
        <w:rPr>
          <w:rFonts w:cs="Calibri" w:hint="eastAsia"/>
          <w:bCs/>
          <w:sz w:val="16"/>
          <w:szCs w:val="16"/>
          <w:lang w:val="en-US" w:eastAsia="zh-CN"/>
        </w:rPr>
        <w:t>30A</w:t>
      </w:r>
      <w:r w:rsidRPr="00CE71E4">
        <w:rPr>
          <w:rFonts w:cs="Calibri" w:hint="eastAsia"/>
          <w:bCs/>
          <w:sz w:val="16"/>
          <w:szCs w:val="16"/>
          <w:lang w:val="en-US" w:eastAsia="zh-CN"/>
        </w:rPr>
        <w:t>提交的频率指配，</w:t>
      </w:r>
      <w:r w:rsidRPr="00CE71E4">
        <w:rPr>
          <w:rFonts w:cs="Calibri" w:hint="eastAsia"/>
          <w:bCs/>
          <w:sz w:val="16"/>
          <w:szCs w:val="16"/>
          <w:lang w:val="en-US" w:eastAsia="zh-CN"/>
        </w:rPr>
        <w:t>P2</w:t>
      </w:r>
      <w:r w:rsidRPr="00CE71E4">
        <w:rPr>
          <w:rFonts w:cs="Calibri" w:hint="eastAsia"/>
          <w:bCs/>
          <w:sz w:val="16"/>
          <w:szCs w:val="16"/>
          <w:lang w:val="en-US" w:eastAsia="zh-CN"/>
        </w:rPr>
        <w:t>类应适用；而对于根据附录</w:t>
      </w:r>
      <w:r w:rsidRPr="00CE71E4">
        <w:rPr>
          <w:rFonts w:cs="Calibri" w:hint="eastAsia"/>
          <w:bCs/>
          <w:sz w:val="16"/>
          <w:szCs w:val="16"/>
          <w:lang w:val="en-US" w:eastAsia="zh-CN"/>
        </w:rPr>
        <w:t>30B</w:t>
      </w:r>
      <w:r w:rsidRPr="00CE71E4">
        <w:rPr>
          <w:rFonts w:cs="Calibri" w:hint="eastAsia"/>
          <w:bCs/>
          <w:sz w:val="16"/>
          <w:szCs w:val="16"/>
          <w:lang w:val="en-US" w:eastAsia="zh-CN"/>
        </w:rPr>
        <w:t>提交的频率指配，</w:t>
      </w:r>
      <w:r w:rsidRPr="00CE71E4">
        <w:rPr>
          <w:rFonts w:cs="Calibri" w:hint="eastAsia"/>
          <w:bCs/>
          <w:sz w:val="16"/>
          <w:szCs w:val="16"/>
          <w:lang w:val="en-US" w:eastAsia="zh-CN"/>
        </w:rPr>
        <w:t>P5</w:t>
      </w:r>
      <w:r w:rsidRPr="00CE71E4">
        <w:rPr>
          <w:rFonts w:cs="Calibri" w:hint="eastAsia"/>
          <w:bCs/>
          <w:sz w:val="16"/>
          <w:szCs w:val="16"/>
          <w:lang w:val="en-US" w:eastAsia="zh-CN"/>
        </w:rPr>
        <w:t>类型适用。</w:t>
      </w:r>
    </w:p>
    <w:p w14:paraId="4827AB72" w14:textId="22081FA8" w:rsidR="00312A82" w:rsidRPr="0089778C" w:rsidRDefault="0089778C" w:rsidP="0089778C">
      <w:pPr>
        <w:tabs>
          <w:tab w:val="left" w:pos="284"/>
        </w:tabs>
        <w:snapToGrid w:val="0"/>
        <w:spacing w:before="240" w:after="160" w:line="259" w:lineRule="auto"/>
        <w:ind w:left="284" w:hanging="284"/>
        <w:rPr>
          <w:rFonts w:cs="Calibri"/>
          <w:bCs/>
          <w:sz w:val="16"/>
          <w:szCs w:val="16"/>
          <w:lang w:val="en-US" w:eastAsia="zh-CN"/>
        </w:rPr>
      </w:pPr>
      <w:r w:rsidRPr="00CE71E4">
        <w:rPr>
          <w:rFonts w:cs="Calibri"/>
          <w:bCs/>
          <w:sz w:val="16"/>
          <w:szCs w:val="16"/>
          <w:lang w:val="en-US" w:eastAsia="zh-CN"/>
        </w:rPr>
        <w:t>e)</w:t>
      </w:r>
      <w:r w:rsidRPr="00CE71E4">
        <w:rPr>
          <w:rFonts w:cs="Calibri"/>
          <w:bCs/>
          <w:sz w:val="16"/>
          <w:szCs w:val="16"/>
          <w:lang w:val="en-US" w:eastAsia="zh-CN"/>
        </w:rPr>
        <w:tab/>
      </w:r>
      <w:r w:rsidRPr="00CE71E4">
        <w:rPr>
          <w:rFonts w:cs="Calibri"/>
          <w:bCs/>
          <w:sz w:val="16"/>
          <w:szCs w:val="16"/>
          <w:lang w:val="en-US" w:eastAsia="zh-CN"/>
        </w:rPr>
        <w:t>对于非</w:t>
      </w:r>
      <w:r w:rsidRPr="00CE71E4">
        <w:rPr>
          <w:rFonts w:cs="Calibri" w:hint="eastAsia"/>
          <w:bCs/>
          <w:sz w:val="16"/>
          <w:szCs w:val="16"/>
          <w:lang w:val="en-US" w:eastAsia="zh-CN"/>
        </w:rPr>
        <w:t>对</w:t>
      </w:r>
      <w:r w:rsidRPr="00CE71E4">
        <w:rPr>
          <w:rFonts w:cs="Calibri"/>
          <w:bCs/>
          <w:sz w:val="16"/>
          <w:szCs w:val="16"/>
          <w:lang w:val="en-US" w:eastAsia="zh-CN"/>
        </w:rPr>
        <w:t>地静止卫星网络，类别</w:t>
      </w:r>
      <w:r w:rsidRPr="00CE71E4">
        <w:rPr>
          <w:rFonts w:cs="Calibri"/>
          <w:bCs/>
          <w:sz w:val="16"/>
          <w:szCs w:val="16"/>
          <w:lang w:val="en-US" w:eastAsia="zh-CN"/>
        </w:rPr>
        <w:t>C1</w:t>
      </w:r>
      <w:r w:rsidRPr="00CE71E4">
        <w:rPr>
          <w:rFonts w:cs="Calibri"/>
          <w:bCs/>
          <w:sz w:val="16"/>
          <w:szCs w:val="16"/>
          <w:lang w:val="en-US" w:eastAsia="zh-CN"/>
        </w:rPr>
        <w:t>、</w:t>
      </w:r>
      <w:r w:rsidRPr="00CE71E4">
        <w:rPr>
          <w:rFonts w:cs="Calibri"/>
          <w:bCs/>
          <w:sz w:val="16"/>
          <w:szCs w:val="16"/>
          <w:lang w:val="en-US" w:eastAsia="zh-CN"/>
        </w:rPr>
        <w:t>C2</w:t>
      </w:r>
      <w:r w:rsidRPr="00CE71E4">
        <w:rPr>
          <w:rFonts w:cs="Calibri"/>
          <w:bCs/>
          <w:sz w:val="16"/>
          <w:szCs w:val="16"/>
          <w:lang w:val="en-US" w:eastAsia="zh-CN"/>
        </w:rPr>
        <w:t>、</w:t>
      </w:r>
      <w:r w:rsidRPr="00CE71E4">
        <w:rPr>
          <w:rFonts w:cs="Calibri"/>
          <w:bCs/>
          <w:sz w:val="16"/>
          <w:szCs w:val="16"/>
          <w:lang w:val="en-US" w:eastAsia="zh-CN"/>
        </w:rPr>
        <w:t>C3</w:t>
      </w:r>
      <w:r w:rsidRPr="00CE71E4">
        <w:rPr>
          <w:rFonts w:cs="Calibri"/>
          <w:bCs/>
          <w:sz w:val="16"/>
          <w:szCs w:val="16"/>
          <w:lang w:val="en-US" w:eastAsia="zh-CN"/>
        </w:rPr>
        <w:t>、</w:t>
      </w:r>
      <w:r w:rsidRPr="00CE71E4">
        <w:rPr>
          <w:rFonts w:cs="Calibri"/>
          <w:bCs/>
          <w:sz w:val="16"/>
          <w:szCs w:val="16"/>
          <w:lang w:val="en-US" w:eastAsia="zh-CN"/>
        </w:rPr>
        <w:t>N1</w:t>
      </w:r>
      <w:r w:rsidRPr="00CE71E4">
        <w:rPr>
          <w:rFonts w:cs="Calibri"/>
          <w:bCs/>
          <w:sz w:val="16"/>
          <w:szCs w:val="16"/>
          <w:lang w:val="en-US" w:eastAsia="zh-CN"/>
        </w:rPr>
        <w:t>、</w:t>
      </w:r>
      <w:r w:rsidRPr="00CE71E4">
        <w:rPr>
          <w:rFonts w:cs="Calibri"/>
          <w:bCs/>
          <w:sz w:val="16"/>
          <w:szCs w:val="16"/>
          <w:lang w:val="en-US" w:eastAsia="zh-CN"/>
        </w:rPr>
        <w:t>N2</w:t>
      </w:r>
      <w:r w:rsidRPr="00CE71E4">
        <w:rPr>
          <w:rFonts w:cs="Calibri"/>
          <w:bCs/>
          <w:sz w:val="16"/>
          <w:szCs w:val="16"/>
          <w:lang w:val="en-US" w:eastAsia="zh-CN"/>
        </w:rPr>
        <w:t>和</w:t>
      </w:r>
      <w:r w:rsidRPr="00CE71E4">
        <w:rPr>
          <w:rFonts w:cs="Calibri"/>
          <w:bCs/>
          <w:sz w:val="16"/>
          <w:szCs w:val="16"/>
          <w:lang w:val="en-US" w:eastAsia="zh-CN"/>
        </w:rPr>
        <w:t>N3</w:t>
      </w:r>
      <w:r w:rsidRPr="00CE71E4">
        <w:rPr>
          <w:rFonts w:cs="Calibri"/>
          <w:bCs/>
          <w:sz w:val="16"/>
          <w:szCs w:val="16"/>
          <w:lang w:val="en-US" w:eastAsia="zh-CN"/>
        </w:rPr>
        <w:t>的统一收费适用于</w:t>
      </w:r>
      <w:r w:rsidRPr="00CE71E4">
        <w:rPr>
          <w:rFonts w:cs="Calibri"/>
          <w:bCs/>
          <w:sz w:val="16"/>
          <w:szCs w:val="16"/>
          <w:lang w:val="en-US" w:eastAsia="zh-CN"/>
        </w:rPr>
        <w:t>100</w:t>
      </w:r>
      <w:r w:rsidRPr="00CE71E4">
        <w:rPr>
          <w:rFonts w:cs="Calibri"/>
          <w:bCs/>
          <w:sz w:val="16"/>
          <w:szCs w:val="16"/>
          <w:lang w:val="en-US" w:eastAsia="zh-CN"/>
        </w:rPr>
        <w:t>至</w:t>
      </w:r>
      <w:r w:rsidRPr="00CE71E4">
        <w:rPr>
          <w:sz w:val="16"/>
          <w:szCs w:val="16"/>
          <w:lang w:eastAsia="zh-CN"/>
        </w:rPr>
        <w:t>25</w:t>
      </w:r>
      <w:r w:rsidRPr="00CE71E4">
        <w:rPr>
          <w:rFonts w:asciiTheme="majorBidi" w:hAnsiTheme="majorBidi" w:cstheme="majorBidi" w:hint="eastAsia"/>
          <w:sz w:val="16"/>
          <w:szCs w:val="16"/>
          <w:lang w:eastAsia="zh-CN"/>
        </w:rPr>
        <w:t>,</w:t>
      </w:r>
      <w:r w:rsidRPr="00CE71E4">
        <w:rPr>
          <w:sz w:val="16"/>
          <w:szCs w:val="16"/>
          <w:lang w:eastAsia="zh-CN"/>
        </w:rPr>
        <w:t>000</w:t>
      </w:r>
      <w:r w:rsidRPr="00CE71E4">
        <w:rPr>
          <w:rFonts w:cs="Calibri"/>
          <w:bCs/>
          <w:sz w:val="16"/>
          <w:szCs w:val="16"/>
          <w:lang w:val="en-US" w:eastAsia="zh-CN"/>
        </w:rPr>
        <w:t>个单位。</w:t>
      </w:r>
      <w:r w:rsidRPr="00CE71E4">
        <w:rPr>
          <w:rFonts w:cs="Calibri" w:hint="eastAsia"/>
          <w:bCs/>
          <w:sz w:val="16"/>
          <w:szCs w:val="16"/>
          <w:lang w:val="en-US" w:eastAsia="zh-CN"/>
        </w:rPr>
        <w:t>自</w:t>
      </w:r>
      <w:r w:rsidRPr="00CE71E4">
        <w:rPr>
          <w:sz w:val="16"/>
          <w:szCs w:val="16"/>
          <w:lang w:eastAsia="zh-CN"/>
        </w:rPr>
        <w:t>25</w:t>
      </w:r>
      <w:r w:rsidRPr="00CE71E4">
        <w:rPr>
          <w:rFonts w:hint="eastAsia"/>
          <w:sz w:val="16"/>
          <w:szCs w:val="16"/>
          <w:lang w:eastAsia="zh-CN"/>
        </w:rPr>
        <w:t>,</w:t>
      </w:r>
      <w:r w:rsidRPr="00CE71E4">
        <w:rPr>
          <w:sz w:val="16"/>
          <w:szCs w:val="16"/>
          <w:lang w:eastAsia="zh-CN"/>
        </w:rPr>
        <w:t>0 00</w:t>
      </w:r>
      <w:r w:rsidRPr="00CE71E4">
        <w:rPr>
          <w:rFonts w:cs="Calibri"/>
          <w:bCs/>
          <w:sz w:val="16"/>
          <w:szCs w:val="16"/>
          <w:lang w:val="en-US" w:eastAsia="zh-CN"/>
        </w:rPr>
        <w:t>个单位到</w:t>
      </w:r>
      <w:r w:rsidRPr="00CE71E4">
        <w:rPr>
          <w:sz w:val="16"/>
          <w:szCs w:val="16"/>
          <w:lang w:eastAsia="zh-CN"/>
        </w:rPr>
        <w:t>75</w:t>
      </w:r>
      <w:r w:rsidRPr="00CE71E4">
        <w:rPr>
          <w:rFonts w:hint="eastAsia"/>
          <w:sz w:val="16"/>
          <w:szCs w:val="16"/>
          <w:lang w:eastAsia="zh-CN"/>
        </w:rPr>
        <w:t>,</w:t>
      </w:r>
      <w:r w:rsidRPr="00CE71E4">
        <w:rPr>
          <w:sz w:val="16"/>
          <w:szCs w:val="16"/>
          <w:lang w:eastAsia="zh-CN"/>
        </w:rPr>
        <w:t>000</w:t>
      </w:r>
      <w:r w:rsidRPr="00CE71E4">
        <w:rPr>
          <w:rFonts w:cs="Calibri"/>
          <w:bCs/>
          <w:sz w:val="16"/>
          <w:szCs w:val="16"/>
          <w:lang w:val="en-US" w:eastAsia="zh-CN"/>
        </w:rPr>
        <w:t>个单位，每增加一个单位就有一笔额外费用，相当于统一</w:t>
      </w:r>
      <w:r w:rsidRPr="00CE71E4">
        <w:rPr>
          <w:rFonts w:cs="Calibri" w:hint="eastAsia"/>
          <w:bCs/>
          <w:sz w:val="16"/>
          <w:szCs w:val="16"/>
          <w:lang w:val="en-US" w:eastAsia="zh-CN"/>
        </w:rPr>
        <w:t>收</w:t>
      </w:r>
      <w:r w:rsidRPr="00CE71E4">
        <w:rPr>
          <w:rFonts w:cs="Calibri"/>
          <w:bCs/>
          <w:sz w:val="16"/>
          <w:szCs w:val="16"/>
          <w:lang w:val="en-US" w:eastAsia="zh-CN"/>
        </w:rPr>
        <w:t>费除以</w:t>
      </w:r>
      <w:r w:rsidRPr="00CE71E4">
        <w:rPr>
          <w:sz w:val="16"/>
          <w:szCs w:val="16"/>
          <w:lang w:eastAsia="zh-CN"/>
        </w:rPr>
        <w:t>5 0</w:t>
      </w:r>
      <w:r w:rsidRPr="00CE71E4">
        <w:rPr>
          <w:rFonts w:hint="eastAsia"/>
          <w:sz w:val="16"/>
          <w:szCs w:val="16"/>
          <w:lang w:eastAsia="zh-CN"/>
        </w:rPr>
        <w:t>,</w:t>
      </w:r>
      <w:r w:rsidRPr="00CE71E4">
        <w:rPr>
          <w:sz w:val="16"/>
          <w:szCs w:val="16"/>
          <w:lang w:eastAsia="zh-CN"/>
        </w:rPr>
        <w:t>000</w:t>
      </w:r>
      <w:r w:rsidRPr="00CE71E4">
        <w:rPr>
          <w:rFonts w:cs="Calibri"/>
          <w:bCs/>
          <w:sz w:val="16"/>
          <w:szCs w:val="16"/>
          <w:lang w:val="en-US" w:eastAsia="zh-CN"/>
        </w:rPr>
        <w:t>。超过</w:t>
      </w:r>
      <w:r w:rsidRPr="00CE71E4">
        <w:rPr>
          <w:rFonts w:cs="Calibri"/>
          <w:bCs/>
          <w:sz w:val="16"/>
          <w:szCs w:val="16"/>
          <w:lang w:val="en-US" w:eastAsia="zh-CN"/>
        </w:rPr>
        <w:t>75</w:t>
      </w:r>
      <w:r w:rsidRPr="00CE71E4">
        <w:rPr>
          <w:rFonts w:cs="Calibri" w:hint="eastAsia"/>
          <w:bCs/>
          <w:sz w:val="16"/>
          <w:szCs w:val="16"/>
          <w:lang w:val="en-US" w:eastAsia="zh-CN"/>
        </w:rPr>
        <w:t>,</w:t>
      </w:r>
      <w:r w:rsidRPr="00CE71E4">
        <w:rPr>
          <w:rFonts w:cs="Calibri"/>
          <w:bCs/>
          <w:sz w:val="16"/>
          <w:szCs w:val="16"/>
          <w:lang w:val="en-US" w:eastAsia="zh-CN"/>
        </w:rPr>
        <w:t>000</w:t>
      </w:r>
      <w:r w:rsidRPr="00CE71E4">
        <w:rPr>
          <w:rFonts w:cs="Calibri"/>
          <w:bCs/>
          <w:sz w:val="16"/>
          <w:szCs w:val="16"/>
          <w:lang w:val="en-US" w:eastAsia="zh-CN"/>
        </w:rPr>
        <w:t>个单位，每增加一个单位不收取额外费用</w:t>
      </w:r>
      <w:r w:rsidRPr="00CE71E4">
        <w:rPr>
          <w:rFonts w:cs="Calibri" w:hint="eastAsia"/>
          <w:bCs/>
          <w:sz w:val="16"/>
          <w:szCs w:val="16"/>
          <w:lang w:val="en-US" w:eastAsia="zh-CN"/>
        </w:rPr>
        <w:t>。</w:t>
      </w:r>
    </w:p>
    <w:p w14:paraId="4827AB73" w14:textId="77777777" w:rsidR="00312A82" w:rsidRPr="002C400D" w:rsidRDefault="00312A82" w:rsidP="00312A82">
      <w:pPr>
        <w:rPr>
          <w:lang w:eastAsia="zh-CN"/>
        </w:rPr>
        <w:sectPr w:rsidR="00312A82" w:rsidRPr="002C400D" w:rsidSect="00312A82">
          <w:pgSz w:w="16834" w:h="11907" w:orient="landscape"/>
          <w:pgMar w:top="1417" w:right="1134" w:bottom="1417" w:left="1134" w:header="720" w:footer="720" w:gutter="0"/>
          <w:paperSrc w:first="15" w:other="15"/>
          <w:cols w:space="720"/>
          <w:docGrid w:linePitch="326"/>
        </w:sectPr>
      </w:pPr>
    </w:p>
    <w:p w14:paraId="4827AB74" w14:textId="77777777" w:rsidR="00312A82" w:rsidRPr="00A75FB5" w:rsidRDefault="00312A82" w:rsidP="00A75FB5">
      <w:pPr>
        <w:rPr>
          <w:b/>
          <w:bCs/>
          <w:lang w:eastAsia="zh-CN"/>
        </w:rPr>
      </w:pPr>
      <w:r w:rsidRPr="00A75FB5">
        <w:rPr>
          <w:b/>
          <w:bCs/>
          <w:lang w:eastAsia="zh-CN"/>
        </w:rPr>
        <w:lastRenderedPageBreak/>
        <w:t xml:space="preserve">* </w:t>
      </w:r>
      <w:r w:rsidR="000028BB" w:rsidRPr="00A75FB5">
        <w:rPr>
          <w:b/>
          <w:bCs/>
          <w:lang w:eastAsia="zh-CN"/>
        </w:rPr>
        <w:tab/>
      </w:r>
      <w:r w:rsidRPr="00A75FB5">
        <w:rPr>
          <w:rFonts w:hint="eastAsia"/>
          <w:b/>
          <w:bCs/>
          <w:lang w:val="es-ES_tradnl" w:eastAsia="zh-CN"/>
        </w:rPr>
        <w:t>协调（</w:t>
      </w:r>
      <w:r w:rsidRPr="00A75FB5">
        <w:rPr>
          <w:b/>
          <w:bCs/>
          <w:lang w:val="es-ES_tradnl" w:eastAsia="zh-CN"/>
        </w:rPr>
        <w:t>C</w:t>
      </w:r>
      <w:r w:rsidRPr="00A75FB5">
        <w:rPr>
          <w:rFonts w:hint="eastAsia"/>
          <w:b/>
          <w:bCs/>
          <w:lang w:val="es-ES_tradnl" w:eastAsia="zh-CN"/>
        </w:rPr>
        <w:t>）和通知（</w:t>
      </w:r>
      <w:r w:rsidRPr="00A75FB5">
        <w:rPr>
          <w:b/>
          <w:bCs/>
          <w:lang w:val="es-ES_tradnl" w:eastAsia="zh-CN"/>
        </w:rPr>
        <w:t>N</w:t>
      </w:r>
      <w:r w:rsidRPr="00A75FB5">
        <w:rPr>
          <w:rFonts w:hint="eastAsia"/>
          <w:b/>
          <w:bCs/>
          <w:lang w:val="es-ES_tradnl" w:eastAsia="zh-CN"/>
        </w:rPr>
        <w:t>）类别的定义</w:t>
      </w:r>
    </w:p>
    <w:p w14:paraId="79B480C9" w14:textId="77777777" w:rsidR="0089778C" w:rsidRPr="004A1976" w:rsidRDefault="0089778C" w:rsidP="0089778C">
      <w:pPr>
        <w:ind w:firstLineChars="200" w:firstLine="480"/>
        <w:rPr>
          <w:rFonts w:cs="Calibri"/>
          <w:lang w:val="es-ES_tradnl" w:eastAsia="zh-CN"/>
        </w:rPr>
      </w:pPr>
      <w:r w:rsidRPr="002C400D">
        <w:rPr>
          <w:rFonts w:cs="Calibri" w:hint="eastAsia"/>
          <w:lang w:eastAsia="zh-CN"/>
        </w:rPr>
        <w:t>协调</w:t>
      </w:r>
      <w:r w:rsidRPr="004A1976">
        <w:rPr>
          <w:rFonts w:cs="Calibri" w:hint="eastAsia"/>
          <w:lang w:val="es-ES_tradnl" w:eastAsia="zh-CN"/>
        </w:rPr>
        <w:t>（</w:t>
      </w:r>
      <w:r w:rsidRPr="004A1976">
        <w:rPr>
          <w:rFonts w:cs="Calibri"/>
          <w:lang w:val="es-ES_tradnl" w:eastAsia="zh-CN"/>
        </w:rPr>
        <w:t>C1</w:t>
      </w:r>
      <w:r w:rsidRPr="002C400D">
        <w:rPr>
          <w:rFonts w:cs="Calibri" w:hint="eastAsia"/>
          <w:lang w:eastAsia="zh-CN"/>
        </w:rPr>
        <w:t>、</w:t>
      </w:r>
      <w:r w:rsidRPr="004A1976">
        <w:rPr>
          <w:rFonts w:cs="Calibri"/>
          <w:lang w:val="es-ES_tradnl" w:eastAsia="zh-CN"/>
        </w:rPr>
        <w:t>C2</w:t>
      </w:r>
      <w:r w:rsidRPr="002C400D">
        <w:rPr>
          <w:rFonts w:cs="Calibri" w:hint="eastAsia"/>
          <w:lang w:eastAsia="zh-CN"/>
        </w:rPr>
        <w:t>、</w:t>
      </w:r>
      <w:r w:rsidRPr="004A1976">
        <w:rPr>
          <w:rFonts w:cs="Calibri"/>
          <w:lang w:val="es-ES_tradnl" w:eastAsia="zh-CN"/>
        </w:rPr>
        <w:t>C3</w:t>
      </w:r>
      <w:r w:rsidRPr="004A1976">
        <w:rPr>
          <w:rFonts w:cs="Calibri" w:hint="eastAsia"/>
          <w:lang w:val="es-ES_tradnl" w:eastAsia="zh-CN"/>
        </w:rPr>
        <w:t>）</w:t>
      </w:r>
      <w:r w:rsidRPr="002C400D">
        <w:rPr>
          <w:rFonts w:cs="Calibri" w:hint="eastAsia"/>
          <w:lang w:eastAsia="zh-CN"/>
        </w:rPr>
        <w:t>和通知</w:t>
      </w:r>
      <w:r w:rsidRPr="004A1976">
        <w:rPr>
          <w:rFonts w:cs="Calibri" w:hint="eastAsia"/>
          <w:lang w:val="es-ES_tradnl" w:eastAsia="zh-CN"/>
        </w:rPr>
        <w:t>（</w:t>
      </w:r>
      <w:r w:rsidRPr="004A1976">
        <w:rPr>
          <w:rFonts w:cs="Calibri"/>
          <w:lang w:val="es-ES_tradnl" w:eastAsia="zh-CN"/>
        </w:rPr>
        <w:t>N1</w:t>
      </w:r>
      <w:r w:rsidRPr="002C400D">
        <w:rPr>
          <w:rFonts w:cs="Calibri" w:hint="eastAsia"/>
          <w:lang w:eastAsia="zh-CN"/>
        </w:rPr>
        <w:t>、</w:t>
      </w:r>
      <w:r w:rsidRPr="004A1976">
        <w:rPr>
          <w:rFonts w:cs="Calibri"/>
          <w:lang w:val="es-ES_tradnl" w:eastAsia="zh-CN"/>
        </w:rPr>
        <w:t>N2</w:t>
      </w:r>
      <w:r w:rsidRPr="002C400D">
        <w:rPr>
          <w:rFonts w:cs="Calibri" w:hint="eastAsia"/>
          <w:lang w:eastAsia="zh-CN"/>
        </w:rPr>
        <w:t>、</w:t>
      </w:r>
      <w:r w:rsidRPr="004A1976">
        <w:rPr>
          <w:rFonts w:cs="Calibri"/>
          <w:lang w:val="es-ES_tradnl" w:eastAsia="zh-CN"/>
        </w:rPr>
        <w:t>N3</w:t>
      </w:r>
      <w:r w:rsidRPr="004A1976">
        <w:rPr>
          <w:rFonts w:cs="Calibri" w:hint="eastAsia"/>
          <w:lang w:val="es-ES_tradnl" w:eastAsia="zh-CN"/>
        </w:rPr>
        <w:t>）</w:t>
      </w:r>
      <w:r w:rsidRPr="002C400D">
        <w:rPr>
          <w:rFonts w:cs="Calibri" w:hint="eastAsia"/>
          <w:lang w:eastAsia="zh-CN"/>
        </w:rPr>
        <w:t>类别与适用于特定卫星网络协调要求或通知提交的协调表数目有关</w:t>
      </w:r>
      <w:r w:rsidRPr="004A1976">
        <w:rPr>
          <w:rFonts w:cs="Calibri" w:hint="eastAsia"/>
          <w:lang w:val="es-ES_tradnl" w:eastAsia="zh-CN"/>
        </w:rPr>
        <w:t>，</w:t>
      </w:r>
      <w:r w:rsidRPr="002C400D">
        <w:rPr>
          <w:rFonts w:cs="Calibri" w:hint="eastAsia"/>
          <w:lang w:eastAsia="zh-CN"/>
        </w:rPr>
        <w:t>具体如下</w:t>
      </w:r>
      <w:r w:rsidRPr="004A1976">
        <w:rPr>
          <w:rFonts w:cs="Calibri" w:hint="eastAsia"/>
          <w:lang w:val="es-ES_tradnl" w:eastAsia="zh-CN"/>
        </w:rPr>
        <w:t>：</w:t>
      </w:r>
    </w:p>
    <w:p w14:paraId="1CBDA2AC" w14:textId="77777777" w:rsidR="0089778C" w:rsidRPr="002C400D" w:rsidRDefault="0089778C" w:rsidP="0089778C">
      <w:pPr>
        <w:pStyle w:val="enumlev1"/>
        <w:rPr>
          <w:rFonts w:cs="Calibri"/>
          <w:lang w:eastAsia="zh-CN"/>
        </w:rPr>
      </w:pPr>
      <w:r w:rsidRPr="002C400D">
        <w:rPr>
          <w:rFonts w:cs="Calibri"/>
          <w:lang w:eastAsia="zh-CN"/>
        </w:rPr>
        <w:t>•</w:t>
      </w:r>
      <w:r w:rsidRPr="002C400D">
        <w:rPr>
          <w:rFonts w:cs="Calibri"/>
          <w:lang w:eastAsia="zh-CN"/>
        </w:rPr>
        <w:tab/>
        <w:t>C1</w:t>
      </w:r>
      <w:r w:rsidRPr="002C400D">
        <w:rPr>
          <w:rFonts w:cs="Calibri" w:hint="eastAsia"/>
          <w:lang w:eastAsia="zh-CN"/>
        </w:rPr>
        <w:t>和</w:t>
      </w:r>
      <w:r w:rsidRPr="002C400D">
        <w:rPr>
          <w:rFonts w:cs="Calibri"/>
          <w:lang w:eastAsia="zh-CN"/>
        </w:rPr>
        <w:t>N1</w:t>
      </w:r>
      <w:r w:rsidRPr="002C400D">
        <w:rPr>
          <w:rFonts w:cs="Calibri" w:hint="eastAsia"/>
          <w:lang w:eastAsia="zh-CN"/>
        </w:rPr>
        <w:t>对应于仅涉及一份协调成本回收表（</w:t>
      </w:r>
      <w:r w:rsidRPr="002C400D">
        <w:rPr>
          <w:rFonts w:cs="Calibri"/>
          <w:lang w:eastAsia="zh-CN"/>
        </w:rPr>
        <w:t>A</w:t>
      </w:r>
      <w:r w:rsidRPr="002C400D">
        <w:rPr>
          <w:rFonts w:cs="Calibri" w:hint="eastAsia"/>
          <w:lang w:eastAsia="zh-CN"/>
        </w:rPr>
        <w:t>、</w:t>
      </w:r>
      <w:r w:rsidRPr="002C400D">
        <w:rPr>
          <w:rFonts w:cs="Calibri"/>
          <w:lang w:eastAsia="zh-CN"/>
        </w:rPr>
        <w:t>B</w:t>
      </w:r>
      <w:r w:rsidRPr="002C400D">
        <w:rPr>
          <w:rFonts w:cs="Calibri" w:hint="eastAsia"/>
          <w:lang w:eastAsia="zh-CN"/>
        </w:rPr>
        <w:t>、</w:t>
      </w:r>
      <w:r w:rsidRPr="002C400D">
        <w:rPr>
          <w:rFonts w:cs="Calibri"/>
          <w:lang w:eastAsia="zh-CN"/>
        </w:rPr>
        <w:t>C</w:t>
      </w:r>
      <w:r w:rsidRPr="002C400D">
        <w:rPr>
          <w:rFonts w:cs="Calibri" w:hint="eastAsia"/>
          <w:lang w:eastAsia="zh-CN"/>
        </w:rPr>
        <w:t>、</w:t>
      </w:r>
      <w:r w:rsidRPr="002C400D">
        <w:rPr>
          <w:rFonts w:cs="Calibri"/>
          <w:lang w:eastAsia="zh-CN"/>
        </w:rPr>
        <w:t>D</w:t>
      </w:r>
      <w:r w:rsidRPr="002C400D">
        <w:rPr>
          <w:rFonts w:cs="Calibri" w:hint="eastAsia"/>
          <w:lang w:eastAsia="zh-CN"/>
        </w:rPr>
        <w:t>、</w:t>
      </w:r>
      <w:r w:rsidRPr="002C400D">
        <w:rPr>
          <w:rFonts w:cs="Calibri"/>
          <w:lang w:eastAsia="zh-CN"/>
        </w:rPr>
        <w:t>E</w:t>
      </w:r>
      <w:r w:rsidRPr="002C400D">
        <w:rPr>
          <w:rFonts w:cs="Calibri" w:hint="eastAsia"/>
          <w:lang w:eastAsia="zh-CN"/>
        </w:rPr>
        <w:t>或</w:t>
      </w:r>
      <w:r w:rsidRPr="002C400D">
        <w:rPr>
          <w:rFonts w:cs="Calibri"/>
          <w:lang w:eastAsia="zh-CN"/>
        </w:rPr>
        <w:t>F</w:t>
      </w:r>
      <w:r w:rsidRPr="002C400D">
        <w:rPr>
          <w:rFonts w:cs="Calibri" w:hint="eastAsia"/>
          <w:lang w:eastAsia="zh-CN"/>
        </w:rPr>
        <w:t>）的卫星网络申报。这两个类别还包括按照《无线电规则》第</w:t>
      </w:r>
      <w:r w:rsidRPr="002C400D">
        <w:rPr>
          <w:rFonts w:cs="Calibri"/>
          <w:lang w:eastAsia="zh-CN"/>
        </w:rPr>
        <w:t>11.31</w:t>
      </w:r>
      <w:r w:rsidRPr="002C400D">
        <w:rPr>
          <w:rFonts w:cs="Calibri" w:hint="eastAsia"/>
          <w:lang w:eastAsia="zh-CN"/>
        </w:rPr>
        <w:t>款的规定对已提交申报的所有频率指配审查后发现不合格而导致没有协调表可以适用的情况，或频率指配的公布仅供参考之用途的情况；</w:t>
      </w:r>
    </w:p>
    <w:p w14:paraId="32165982" w14:textId="77777777" w:rsidR="0089778C" w:rsidRPr="002C400D" w:rsidRDefault="0089778C" w:rsidP="0089778C">
      <w:pPr>
        <w:pStyle w:val="enumlev1"/>
        <w:rPr>
          <w:rFonts w:cs="Calibri"/>
          <w:lang w:eastAsia="zh-CN"/>
        </w:rPr>
      </w:pPr>
      <w:r w:rsidRPr="002C400D">
        <w:rPr>
          <w:rFonts w:cs="Calibri"/>
          <w:lang w:eastAsia="zh-CN"/>
        </w:rPr>
        <w:t>•</w:t>
      </w:r>
      <w:r w:rsidRPr="002C400D">
        <w:rPr>
          <w:rFonts w:cs="Calibri"/>
          <w:lang w:eastAsia="zh-CN"/>
        </w:rPr>
        <w:tab/>
        <w:t>C2</w:t>
      </w:r>
      <w:r w:rsidRPr="002C400D">
        <w:rPr>
          <w:rFonts w:cs="Calibri" w:hint="eastAsia"/>
          <w:lang w:eastAsia="zh-CN"/>
        </w:rPr>
        <w:t>和</w:t>
      </w:r>
      <w:r w:rsidRPr="002C400D">
        <w:rPr>
          <w:rFonts w:cs="Calibri"/>
          <w:lang w:eastAsia="zh-CN"/>
        </w:rPr>
        <w:t>N2</w:t>
      </w:r>
      <w:r w:rsidRPr="002C400D">
        <w:rPr>
          <w:rFonts w:cs="Calibri" w:hint="eastAsia"/>
          <w:lang w:eastAsia="zh-CN"/>
        </w:rPr>
        <w:t>对应于涉及</w:t>
      </w:r>
      <w:r w:rsidRPr="002C400D">
        <w:rPr>
          <w:rFonts w:cs="Calibri"/>
          <w:lang w:eastAsia="zh-CN"/>
        </w:rPr>
        <w:t>A</w:t>
      </w:r>
      <w:r w:rsidRPr="002C400D">
        <w:rPr>
          <w:rFonts w:cs="Calibri" w:hint="eastAsia"/>
          <w:lang w:eastAsia="zh-CN"/>
        </w:rPr>
        <w:t>、</w:t>
      </w:r>
      <w:r w:rsidRPr="002C400D">
        <w:rPr>
          <w:rFonts w:cs="Calibri"/>
          <w:lang w:eastAsia="zh-CN"/>
        </w:rPr>
        <w:t>B</w:t>
      </w:r>
      <w:r w:rsidRPr="002C400D">
        <w:rPr>
          <w:rFonts w:cs="Calibri" w:hint="eastAsia"/>
          <w:lang w:eastAsia="zh-CN"/>
        </w:rPr>
        <w:t>、</w:t>
      </w:r>
      <w:r w:rsidRPr="002C400D">
        <w:rPr>
          <w:rFonts w:cs="Calibri"/>
          <w:lang w:eastAsia="zh-CN"/>
        </w:rPr>
        <w:t>C</w:t>
      </w:r>
      <w:r w:rsidRPr="002C400D">
        <w:rPr>
          <w:rFonts w:cs="Calibri" w:hint="eastAsia"/>
          <w:lang w:eastAsia="zh-CN"/>
        </w:rPr>
        <w:t>、</w:t>
      </w:r>
      <w:r w:rsidRPr="002C400D">
        <w:rPr>
          <w:rFonts w:cs="Calibri"/>
          <w:lang w:eastAsia="zh-CN"/>
        </w:rPr>
        <w:t>D</w:t>
      </w:r>
      <w:r w:rsidRPr="002C400D">
        <w:rPr>
          <w:rFonts w:cs="Calibri" w:hint="eastAsia"/>
          <w:lang w:eastAsia="zh-CN"/>
        </w:rPr>
        <w:t>、</w:t>
      </w:r>
      <w:r w:rsidRPr="002C400D">
        <w:rPr>
          <w:rFonts w:cs="Calibri"/>
          <w:lang w:eastAsia="zh-CN"/>
        </w:rPr>
        <w:t>E</w:t>
      </w:r>
      <w:r w:rsidRPr="002C400D">
        <w:rPr>
          <w:rFonts w:cs="Calibri" w:hint="eastAsia"/>
          <w:lang w:eastAsia="zh-CN"/>
        </w:rPr>
        <w:t>或</w:t>
      </w:r>
      <w:r w:rsidRPr="002C400D">
        <w:rPr>
          <w:rFonts w:cs="Calibri"/>
          <w:lang w:eastAsia="zh-CN"/>
        </w:rPr>
        <w:t>F</w:t>
      </w:r>
      <w:r w:rsidRPr="002C400D">
        <w:rPr>
          <w:rFonts w:cs="Calibri" w:hint="eastAsia"/>
          <w:lang w:eastAsia="zh-CN"/>
        </w:rPr>
        <w:t>中任意两份或三份协调成本回收表的卫星网络申报；</w:t>
      </w:r>
    </w:p>
    <w:p w14:paraId="4827AB78" w14:textId="2CB3247C" w:rsidR="00312A82" w:rsidRDefault="0089778C" w:rsidP="0089778C">
      <w:pPr>
        <w:pStyle w:val="enumlev1"/>
        <w:rPr>
          <w:rFonts w:cs="Calibri"/>
          <w:lang w:eastAsia="zh-CN"/>
        </w:rPr>
      </w:pPr>
      <w:r w:rsidRPr="002C400D">
        <w:rPr>
          <w:rFonts w:cs="Calibri"/>
          <w:lang w:eastAsia="zh-CN"/>
        </w:rPr>
        <w:t>•</w:t>
      </w:r>
      <w:r w:rsidRPr="002C400D">
        <w:rPr>
          <w:rFonts w:cs="Calibri"/>
          <w:lang w:eastAsia="zh-CN"/>
        </w:rPr>
        <w:tab/>
        <w:t>C3</w:t>
      </w:r>
      <w:r w:rsidRPr="002C400D">
        <w:rPr>
          <w:rFonts w:cs="Calibri" w:hint="eastAsia"/>
          <w:lang w:eastAsia="zh-CN"/>
        </w:rPr>
        <w:t>和</w:t>
      </w:r>
      <w:r w:rsidRPr="002C400D">
        <w:rPr>
          <w:rFonts w:cs="Calibri"/>
          <w:lang w:eastAsia="zh-CN"/>
        </w:rPr>
        <w:t>N3</w:t>
      </w:r>
      <w:r w:rsidRPr="002C400D">
        <w:rPr>
          <w:rFonts w:cs="Calibri" w:hint="eastAsia"/>
          <w:lang w:eastAsia="zh-CN"/>
        </w:rPr>
        <w:t>对应于涉及</w:t>
      </w:r>
      <w:r w:rsidRPr="002C400D">
        <w:rPr>
          <w:rFonts w:cs="Calibri"/>
          <w:lang w:eastAsia="zh-CN"/>
        </w:rPr>
        <w:t>A</w:t>
      </w:r>
      <w:r w:rsidRPr="002C400D">
        <w:rPr>
          <w:rFonts w:cs="Calibri" w:hint="eastAsia"/>
          <w:lang w:eastAsia="zh-CN"/>
        </w:rPr>
        <w:t>、</w:t>
      </w:r>
      <w:r w:rsidRPr="002C400D">
        <w:rPr>
          <w:rFonts w:cs="Calibri"/>
          <w:lang w:eastAsia="zh-CN"/>
        </w:rPr>
        <w:t>B</w:t>
      </w:r>
      <w:r w:rsidRPr="002C400D">
        <w:rPr>
          <w:rFonts w:cs="Calibri" w:hint="eastAsia"/>
          <w:lang w:eastAsia="zh-CN"/>
        </w:rPr>
        <w:t>、</w:t>
      </w:r>
      <w:r w:rsidRPr="002C400D">
        <w:rPr>
          <w:rFonts w:cs="Calibri"/>
          <w:lang w:eastAsia="zh-CN"/>
        </w:rPr>
        <w:t>C</w:t>
      </w:r>
      <w:r w:rsidRPr="002C400D">
        <w:rPr>
          <w:rFonts w:cs="Calibri" w:hint="eastAsia"/>
          <w:lang w:eastAsia="zh-CN"/>
        </w:rPr>
        <w:t>、</w:t>
      </w:r>
      <w:r w:rsidRPr="002C400D">
        <w:rPr>
          <w:rFonts w:cs="Calibri"/>
          <w:lang w:eastAsia="zh-CN"/>
        </w:rPr>
        <w:t>D</w:t>
      </w:r>
      <w:r w:rsidRPr="002C400D">
        <w:rPr>
          <w:rFonts w:cs="Calibri" w:hint="eastAsia"/>
          <w:lang w:eastAsia="zh-CN"/>
        </w:rPr>
        <w:t>、</w:t>
      </w:r>
      <w:r w:rsidRPr="002C400D">
        <w:rPr>
          <w:rFonts w:cs="Calibri"/>
          <w:lang w:eastAsia="zh-CN"/>
        </w:rPr>
        <w:t>E</w:t>
      </w:r>
      <w:r w:rsidRPr="002C400D">
        <w:rPr>
          <w:rFonts w:cs="Calibri" w:hint="eastAsia"/>
          <w:lang w:eastAsia="zh-CN"/>
        </w:rPr>
        <w:t>或</w:t>
      </w:r>
      <w:r w:rsidRPr="002C400D">
        <w:rPr>
          <w:rFonts w:cs="Calibri"/>
          <w:lang w:eastAsia="zh-CN"/>
        </w:rPr>
        <w:t>F</w:t>
      </w:r>
      <w:r w:rsidRPr="002C400D">
        <w:rPr>
          <w:rFonts w:cs="Calibri" w:hint="eastAsia"/>
          <w:lang w:eastAsia="zh-CN"/>
        </w:rPr>
        <w:t>中任意四份或更多份协调成本回收表的卫星网络申报。</w:t>
      </w:r>
    </w:p>
    <w:p w14:paraId="6F8B6237" w14:textId="77777777" w:rsidR="0089778C" w:rsidRPr="002C400D" w:rsidRDefault="0089778C" w:rsidP="0089778C">
      <w:pPr>
        <w:spacing w:before="136" w:after="160" w:line="259" w:lineRule="auto"/>
        <w:jc w:val="center"/>
        <w:rPr>
          <w:rFonts w:cs="Calibri"/>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529"/>
      </w:tblGrid>
      <w:tr w:rsidR="0089778C" w:rsidRPr="002C400D" w14:paraId="4827AB7B" w14:textId="77777777" w:rsidTr="00312A82">
        <w:tc>
          <w:tcPr>
            <w:tcW w:w="3969" w:type="dxa"/>
            <w:tcBorders>
              <w:top w:val="single" w:sz="4" w:space="0" w:color="auto"/>
              <w:left w:val="single" w:sz="4" w:space="0" w:color="auto"/>
              <w:bottom w:val="single" w:sz="4" w:space="0" w:color="auto"/>
              <w:right w:val="single" w:sz="4" w:space="0" w:color="auto"/>
            </w:tcBorders>
            <w:hideMark/>
          </w:tcPr>
          <w:p w14:paraId="4827AB79" w14:textId="563938F2" w:rsidR="0089778C" w:rsidRPr="002C400D" w:rsidRDefault="0089778C" w:rsidP="0089778C">
            <w:pPr>
              <w:pStyle w:val="TableHead0"/>
              <w:framePr w:hSpace="180" w:wrap="around" w:vAnchor="text" w:hAnchor="text" w:x="108" w:y="1"/>
              <w:rPr>
                <w:rFonts w:ascii="Calibri" w:hAnsi="Calibri" w:cs="Calibri"/>
                <w:szCs w:val="22"/>
              </w:rPr>
            </w:pPr>
            <w:r w:rsidRPr="002C400D">
              <w:rPr>
                <w:rFonts w:ascii="Calibri" w:hAnsi="Calibri" w:cs="Calibri" w:hint="eastAsia"/>
                <w:szCs w:val="22"/>
                <w:lang w:val="en-US" w:eastAsia="zh-CN"/>
              </w:rPr>
              <w:t>协调成本回收表</w:t>
            </w:r>
          </w:p>
        </w:tc>
        <w:tc>
          <w:tcPr>
            <w:tcW w:w="5529" w:type="dxa"/>
            <w:tcBorders>
              <w:top w:val="single" w:sz="4" w:space="0" w:color="auto"/>
              <w:left w:val="single" w:sz="4" w:space="0" w:color="auto"/>
              <w:bottom w:val="single" w:sz="4" w:space="0" w:color="auto"/>
              <w:right w:val="single" w:sz="4" w:space="0" w:color="auto"/>
            </w:tcBorders>
            <w:hideMark/>
          </w:tcPr>
          <w:p w14:paraId="4827AB7A" w14:textId="032EF547" w:rsidR="0089778C" w:rsidRPr="002C400D" w:rsidRDefault="0089778C" w:rsidP="0089778C">
            <w:pPr>
              <w:pStyle w:val="TableHead0"/>
              <w:framePr w:hSpace="180" w:wrap="around" w:vAnchor="text" w:hAnchor="text" w:x="108" w:y="1"/>
              <w:rPr>
                <w:rFonts w:ascii="Calibri" w:hAnsi="Calibri" w:cs="Calibri"/>
                <w:szCs w:val="22"/>
                <w:lang w:eastAsia="zh-CN"/>
              </w:rPr>
            </w:pPr>
            <w:r w:rsidRPr="002C400D">
              <w:rPr>
                <w:rFonts w:ascii="Calibri" w:hAnsi="Calibri" w:cs="Calibri" w:hint="eastAsia"/>
                <w:szCs w:val="22"/>
                <w:lang w:val="en-US" w:eastAsia="zh-CN"/>
              </w:rPr>
              <w:t>《无线电规则》中的各种协调表</w:t>
            </w:r>
          </w:p>
        </w:tc>
      </w:tr>
      <w:tr w:rsidR="0089778C" w:rsidRPr="002C400D" w14:paraId="4827AB7E" w14:textId="77777777" w:rsidTr="00312A82">
        <w:tc>
          <w:tcPr>
            <w:tcW w:w="3969" w:type="dxa"/>
            <w:tcBorders>
              <w:top w:val="single" w:sz="4" w:space="0" w:color="auto"/>
              <w:left w:val="single" w:sz="4" w:space="0" w:color="auto"/>
              <w:bottom w:val="single" w:sz="4" w:space="0" w:color="auto"/>
              <w:right w:val="single" w:sz="4" w:space="0" w:color="auto"/>
            </w:tcBorders>
            <w:hideMark/>
          </w:tcPr>
          <w:p w14:paraId="4827AB7C" w14:textId="5C66C154" w:rsidR="0089778C" w:rsidRPr="002C400D" w:rsidRDefault="0089778C" w:rsidP="0089778C">
            <w:pPr>
              <w:pStyle w:val="Tabletext"/>
              <w:framePr w:hSpace="180" w:wrap="around" w:vAnchor="text" w:hAnchor="text" w:x="108" w:y="1"/>
              <w:jc w:val="center"/>
              <w:rPr>
                <w:rFonts w:cs="Calibri"/>
              </w:rPr>
            </w:pPr>
            <w:r w:rsidRPr="002C400D">
              <w:rPr>
                <w:rFonts w:cs="Calibri"/>
              </w:rPr>
              <w:t>A</w:t>
            </w:r>
          </w:p>
        </w:tc>
        <w:tc>
          <w:tcPr>
            <w:tcW w:w="5529" w:type="dxa"/>
            <w:tcBorders>
              <w:top w:val="single" w:sz="4" w:space="0" w:color="auto"/>
              <w:left w:val="single" w:sz="4" w:space="0" w:color="auto"/>
              <w:bottom w:val="single" w:sz="4" w:space="0" w:color="auto"/>
              <w:right w:val="single" w:sz="4" w:space="0" w:color="auto"/>
            </w:tcBorders>
            <w:hideMark/>
          </w:tcPr>
          <w:p w14:paraId="4827AB7D" w14:textId="25EB6226" w:rsidR="0089778C" w:rsidRPr="002C400D" w:rsidRDefault="0089778C" w:rsidP="0089778C">
            <w:pPr>
              <w:pStyle w:val="Tabletext"/>
              <w:framePr w:hSpace="180" w:wrap="around" w:vAnchor="text" w:hAnchor="text" w:x="108" w:y="1"/>
              <w:rPr>
                <w:rFonts w:cs="Calibri"/>
              </w:rPr>
            </w:pPr>
            <w:r w:rsidRPr="002C400D">
              <w:rPr>
                <w:rFonts w:cs="Calibri" w:hint="eastAsia"/>
                <w:lang w:val="es-ES_tradnl" w:eastAsia="zh-CN"/>
              </w:rPr>
              <w:t>第</w:t>
            </w:r>
            <w:r w:rsidRPr="002C400D">
              <w:rPr>
                <w:rFonts w:cs="Calibri"/>
              </w:rPr>
              <w:t>9.7</w:t>
            </w:r>
            <w:r w:rsidRPr="002C400D">
              <w:rPr>
                <w:rFonts w:cs="Calibri" w:hint="eastAsia"/>
                <w:lang w:val="es-ES_tradnl" w:eastAsia="zh-CN"/>
              </w:rPr>
              <w:t>款</w:t>
            </w:r>
          </w:p>
        </w:tc>
      </w:tr>
      <w:tr w:rsidR="0089778C" w:rsidRPr="002C400D" w14:paraId="4827AB81" w14:textId="77777777" w:rsidTr="00312A82">
        <w:tc>
          <w:tcPr>
            <w:tcW w:w="3969" w:type="dxa"/>
            <w:tcBorders>
              <w:top w:val="single" w:sz="4" w:space="0" w:color="auto"/>
              <w:left w:val="single" w:sz="4" w:space="0" w:color="auto"/>
              <w:bottom w:val="single" w:sz="4" w:space="0" w:color="auto"/>
              <w:right w:val="single" w:sz="4" w:space="0" w:color="auto"/>
            </w:tcBorders>
            <w:hideMark/>
          </w:tcPr>
          <w:p w14:paraId="4827AB7F" w14:textId="5B778A94" w:rsidR="0089778C" w:rsidRPr="002C400D" w:rsidRDefault="0089778C" w:rsidP="0089778C">
            <w:pPr>
              <w:pStyle w:val="Tabletext"/>
              <w:framePr w:hSpace="180" w:wrap="around" w:vAnchor="text" w:hAnchor="text" w:x="108" w:y="1"/>
              <w:jc w:val="center"/>
              <w:rPr>
                <w:rFonts w:cs="Calibri"/>
              </w:rPr>
            </w:pPr>
            <w:r w:rsidRPr="002C400D">
              <w:rPr>
                <w:rFonts w:cs="Calibri"/>
              </w:rPr>
              <w:t>B</w:t>
            </w:r>
          </w:p>
        </w:tc>
        <w:tc>
          <w:tcPr>
            <w:tcW w:w="5529" w:type="dxa"/>
            <w:tcBorders>
              <w:top w:val="single" w:sz="4" w:space="0" w:color="auto"/>
              <w:left w:val="single" w:sz="4" w:space="0" w:color="auto"/>
              <w:bottom w:val="single" w:sz="4" w:space="0" w:color="auto"/>
              <w:right w:val="single" w:sz="4" w:space="0" w:color="auto"/>
            </w:tcBorders>
            <w:hideMark/>
          </w:tcPr>
          <w:p w14:paraId="4827AB80" w14:textId="350909ED" w:rsidR="0089778C" w:rsidRPr="002C400D" w:rsidRDefault="0089778C" w:rsidP="0089778C">
            <w:pPr>
              <w:pStyle w:val="Tabletext"/>
              <w:framePr w:hSpace="180" w:wrap="around" w:vAnchor="text" w:hAnchor="text" w:x="108" w:y="1"/>
              <w:rPr>
                <w:rFonts w:cs="Calibri"/>
              </w:rPr>
            </w:pPr>
            <w:r w:rsidRPr="002C400D">
              <w:rPr>
                <w:rFonts w:cs="Calibri" w:hint="eastAsia"/>
                <w:lang w:eastAsia="zh-CN"/>
              </w:rPr>
              <w:t>附录</w:t>
            </w:r>
            <w:r w:rsidRPr="002C400D">
              <w:rPr>
                <w:rFonts w:cs="Calibri"/>
              </w:rPr>
              <w:t>30 7.1</w:t>
            </w:r>
            <w:r w:rsidRPr="002C400D">
              <w:rPr>
                <w:rFonts w:cs="Calibri" w:hint="eastAsia"/>
                <w:lang w:eastAsia="zh-CN"/>
              </w:rPr>
              <w:t>、附录</w:t>
            </w:r>
            <w:r w:rsidRPr="002C400D">
              <w:rPr>
                <w:rFonts w:cs="Calibri"/>
              </w:rPr>
              <w:t>30A</w:t>
            </w:r>
            <w:r w:rsidRPr="002C400D">
              <w:rPr>
                <w:rFonts w:cs="Calibri"/>
                <w:lang w:eastAsia="zh-CN"/>
              </w:rPr>
              <w:t xml:space="preserve"> </w:t>
            </w:r>
            <w:r w:rsidRPr="002C400D">
              <w:rPr>
                <w:rFonts w:cs="Calibri"/>
              </w:rPr>
              <w:t>7.1</w:t>
            </w:r>
          </w:p>
        </w:tc>
      </w:tr>
      <w:tr w:rsidR="0089778C" w:rsidRPr="002C400D" w14:paraId="4827AB84" w14:textId="77777777" w:rsidTr="00312A82">
        <w:tc>
          <w:tcPr>
            <w:tcW w:w="3969" w:type="dxa"/>
            <w:tcBorders>
              <w:top w:val="single" w:sz="4" w:space="0" w:color="auto"/>
              <w:left w:val="single" w:sz="4" w:space="0" w:color="auto"/>
              <w:bottom w:val="single" w:sz="4" w:space="0" w:color="auto"/>
              <w:right w:val="single" w:sz="4" w:space="0" w:color="auto"/>
            </w:tcBorders>
            <w:hideMark/>
          </w:tcPr>
          <w:p w14:paraId="4827AB82" w14:textId="2DB2C0DD" w:rsidR="0089778C" w:rsidRPr="002C400D" w:rsidRDefault="0089778C" w:rsidP="0089778C">
            <w:pPr>
              <w:pStyle w:val="Tabletext"/>
              <w:framePr w:hSpace="180" w:wrap="around" w:vAnchor="text" w:hAnchor="text" w:x="108" w:y="1"/>
              <w:jc w:val="center"/>
              <w:rPr>
                <w:rFonts w:cs="Calibri"/>
              </w:rPr>
            </w:pPr>
            <w:r w:rsidRPr="002C400D">
              <w:rPr>
                <w:rFonts w:cs="Calibri"/>
              </w:rPr>
              <w:t>C</w:t>
            </w:r>
          </w:p>
        </w:tc>
        <w:tc>
          <w:tcPr>
            <w:tcW w:w="5529" w:type="dxa"/>
            <w:tcBorders>
              <w:top w:val="single" w:sz="4" w:space="0" w:color="auto"/>
              <w:left w:val="single" w:sz="4" w:space="0" w:color="auto"/>
              <w:bottom w:val="single" w:sz="4" w:space="0" w:color="auto"/>
              <w:right w:val="single" w:sz="4" w:space="0" w:color="auto"/>
            </w:tcBorders>
            <w:hideMark/>
          </w:tcPr>
          <w:p w14:paraId="4827AB83" w14:textId="66293B3E" w:rsidR="0089778C" w:rsidRPr="002C400D" w:rsidRDefault="0089778C" w:rsidP="0089778C">
            <w:pPr>
              <w:pStyle w:val="Tabletext"/>
              <w:framePr w:hSpace="180" w:wrap="around" w:vAnchor="text" w:hAnchor="text" w:x="108" w:y="1"/>
              <w:rPr>
                <w:rFonts w:cs="Calibri"/>
              </w:rPr>
            </w:pPr>
            <w:r w:rsidRPr="002C400D">
              <w:rPr>
                <w:rFonts w:cs="Calibri" w:hint="eastAsia"/>
                <w:lang w:val="es-ES_tradnl" w:eastAsia="zh-CN"/>
              </w:rPr>
              <w:t>第</w:t>
            </w:r>
            <w:r w:rsidRPr="002C400D">
              <w:rPr>
                <w:rFonts w:cs="Calibri"/>
              </w:rPr>
              <w:t>9.11</w:t>
            </w:r>
            <w:r w:rsidRPr="002C400D">
              <w:rPr>
                <w:rFonts w:cs="Calibri" w:hint="eastAsia"/>
                <w:lang w:val="es-ES_tradnl" w:eastAsia="zh-CN"/>
              </w:rPr>
              <w:t>款、</w:t>
            </w:r>
            <w:r w:rsidRPr="002C400D">
              <w:rPr>
                <w:rFonts w:cs="Calibri"/>
              </w:rPr>
              <w:t>RS539</w:t>
            </w:r>
          </w:p>
        </w:tc>
      </w:tr>
      <w:tr w:rsidR="0089778C" w:rsidRPr="002C400D" w14:paraId="4827AB87" w14:textId="77777777" w:rsidTr="00312A82">
        <w:tc>
          <w:tcPr>
            <w:tcW w:w="3969" w:type="dxa"/>
            <w:tcBorders>
              <w:top w:val="single" w:sz="4" w:space="0" w:color="auto"/>
              <w:left w:val="single" w:sz="4" w:space="0" w:color="auto"/>
              <w:bottom w:val="single" w:sz="4" w:space="0" w:color="auto"/>
              <w:right w:val="single" w:sz="4" w:space="0" w:color="auto"/>
            </w:tcBorders>
            <w:hideMark/>
          </w:tcPr>
          <w:p w14:paraId="4827AB85" w14:textId="6CC46AE5" w:rsidR="0089778C" w:rsidRPr="002C400D" w:rsidRDefault="0089778C" w:rsidP="0089778C">
            <w:pPr>
              <w:pStyle w:val="Tabletext"/>
              <w:framePr w:hSpace="180" w:wrap="around" w:vAnchor="text" w:hAnchor="text" w:x="108" w:y="1"/>
              <w:jc w:val="center"/>
              <w:rPr>
                <w:rFonts w:cs="Calibri"/>
              </w:rPr>
            </w:pPr>
            <w:r w:rsidRPr="002C400D">
              <w:rPr>
                <w:rFonts w:cs="Calibri"/>
              </w:rPr>
              <w:t>D</w:t>
            </w:r>
          </w:p>
        </w:tc>
        <w:tc>
          <w:tcPr>
            <w:tcW w:w="5529" w:type="dxa"/>
            <w:tcBorders>
              <w:top w:val="single" w:sz="4" w:space="0" w:color="auto"/>
              <w:left w:val="single" w:sz="4" w:space="0" w:color="auto"/>
              <w:bottom w:val="single" w:sz="4" w:space="0" w:color="auto"/>
              <w:right w:val="single" w:sz="4" w:space="0" w:color="auto"/>
            </w:tcBorders>
            <w:hideMark/>
          </w:tcPr>
          <w:p w14:paraId="4827AB86" w14:textId="7EF6E501" w:rsidR="0089778C" w:rsidRPr="002C400D" w:rsidRDefault="0089778C" w:rsidP="0089778C">
            <w:pPr>
              <w:pStyle w:val="Tabletext"/>
              <w:framePr w:hSpace="180" w:wrap="around" w:vAnchor="text" w:hAnchor="text" w:x="108" w:y="1"/>
              <w:rPr>
                <w:rFonts w:cs="Calibri"/>
              </w:rPr>
            </w:pPr>
            <w:r w:rsidRPr="002C400D">
              <w:rPr>
                <w:rFonts w:cs="Calibri" w:hint="eastAsia"/>
                <w:lang w:val="es-ES_tradnl" w:eastAsia="zh-CN"/>
              </w:rPr>
              <w:t>第</w:t>
            </w:r>
            <w:r w:rsidRPr="002C400D">
              <w:rPr>
                <w:rFonts w:cs="Calibri"/>
              </w:rPr>
              <w:t>9.7B</w:t>
            </w:r>
            <w:r w:rsidRPr="002C400D">
              <w:rPr>
                <w:rFonts w:cs="Calibri" w:hint="eastAsia"/>
                <w:lang w:val="es-ES_tradnl" w:eastAsia="zh-CN"/>
              </w:rPr>
              <w:t>、</w:t>
            </w:r>
            <w:r w:rsidRPr="002C400D">
              <w:rPr>
                <w:rFonts w:cs="Calibri"/>
              </w:rPr>
              <w:t>9.11A</w:t>
            </w:r>
            <w:r w:rsidRPr="002C400D">
              <w:rPr>
                <w:rFonts w:cs="Calibri" w:hint="eastAsia"/>
                <w:lang w:val="es-ES_tradnl" w:eastAsia="zh-CN"/>
              </w:rPr>
              <w:t>、</w:t>
            </w:r>
            <w:r w:rsidRPr="002C400D">
              <w:rPr>
                <w:rFonts w:cs="Calibri"/>
              </w:rPr>
              <w:t>9.12</w:t>
            </w:r>
            <w:r w:rsidRPr="002C400D">
              <w:rPr>
                <w:rFonts w:cs="Calibri" w:hint="eastAsia"/>
                <w:lang w:val="es-ES_tradnl" w:eastAsia="zh-CN"/>
              </w:rPr>
              <w:t>、</w:t>
            </w:r>
            <w:r w:rsidRPr="002C400D">
              <w:rPr>
                <w:rFonts w:cs="Calibri"/>
              </w:rPr>
              <w:t>9.12</w:t>
            </w:r>
            <w:r w:rsidRPr="002C400D">
              <w:rPr>
                <w:rFonts w:cs="Calibri"/>
                <w:lang w:eastAsia="zh-CN"/>
              </w:rPr>
              <w:t>A</w:t>
            </w:r>
            <w:r w:rsidRPr="002C400D">
              <w:rPr>
                <w:rFonts w:cs="Calibri" w:hint="eastAsia"/>
                <w:lang w:val="es-ES_tradnl" w:eastAsia="zh-CN"/>
              </w:rPr>
              <w:t>、</w:t>
            </w:r>
            <w:r w:rsidRPr="002C400D">
              <w:rPr>
                <w:rFonts w:cs="Calibri"/>
              </w:rPr>
              <w:t>9.13</w:t>
            </w:r>
            <w:r w:rsidRPr="002C400D">
              <w:rPr>
                <w:rFonts w:cs="Calibri" w:hint="eastAsia"/>
                <w:lang w:val="es-ES_tradnl" w:eastAsia="zh-CN"/>
              </w:rPr>
              <w:t>、</w:t>
            </w:r>
            <w:r w:rsidRPr="002C400D">
              <w:rPr>
                <w:rFonts w:cs="Calibri"/>
              </w:rPr>
              <w:t>9.14</w:t>
            </w:r>
            <w:r w:rsidRPr="002C400D">
              <w:rPr>
                <w:rFonts w:cs="Calibri" w:hint="eastAsia"/>
                <w:lang w:val="es-ES_tradnl" w:eastAsia="zh-CN"/>
              </w:rPr>
              <w:t>款</w:t>
            </w:r>
          </w:p>
        </w:tc>
      </w:tr>
      <w:tr w:rsidR="0089778C" w:rsidRPr="002C400D" w14:paraId="4827AB8A" w14:textId="77777777" w:rsidTr="00312A82">
        <w:tc>
          <w:tcPr>
            <w:tcW w:w="3969" w:type="dxa"/>
            <w:tcBorders>
              <w:top w:val="single" w:sz="4" w:space="0" w:color="auto"/>
              <w:left w:val="single" w:sz="4" w:space="0" w:color="auto"/>
              <w:bottom w:val="single" w:sz="4" w:space="0" w:color="auto"/>
              <w:right w:val="single" w:sz="4" w:space="0" w:color="auto"/>
            </w:tcBorders>
            <w:hideMark/>
          </w:tcPr>
          <w:p w14:paraId="4827AB88" w14:textId="35277F76" w:rsidR="0089778C" w:rsidRPr="002C400D" w:rsidRDefault="0089778C" w:rsidP="0089778C">
            <w:pPr>
              <w:pStyle w:val="Tabletext"/>
              <w:framePr w:hSpace="180" w:wrap="around" w:vAnchor="text" w:hAnchor="text" w:x="108" w:y="1"/>
              <w:jc w:val="center"/>
              <w:rPr>
                <w:rFonts w:cs="Calibri"/>
              </w:rPr>
            </w:pPr>
            <w:r w:rsidRPr="002C400D">
              <w:rPr>
                <w:rFonts w:cs="Calibri"/>
              </w:rPr>
              <w:t>E</w:t>
            </w:r>
          </w:p>
        </w:tc>
        <w:tc>
          <w:tcPr>
            <w:tcW w:w="5529" w:type="dxa"/>
            <w:tcBorders>
              <w:top w:val="single" w:sz="4" w:space="0" w:color="auto"/>
              <w:left w:val="single" w:sz="4" w:space="0" w:color="auto"/>
              <w:bottom w:val="single" w:sz="4" w:space="0" w:color="auto"/>
              <w:right w:val="single" w:sz="4" w:space="0" w:color="auto"/>
            </w:tcBorders>
            <w:hideMark/>
          </w:tcPr>
          <w:p w14:paraId="4827AB89" w14:textId="1FF655CE" w:rsidR="0089778C" w:rsidRPr="002C400D" w:rsidRDefault="0089778C" w:rsidP="0089778C">
            <w:pPr>
              <w:pStyle w:val="Tabletext"/>
              <w:framePr w:hSpace="180" w:wrap="around" w:vAnchor="text" w:hAnchor="text" w:x="108" w:y="1"/>
              <w:rPr>
                <w:rFonts w:cs="Calibri"/>
              </w:rPr>
            </w:pPr>
            <w:r w:rsidRPr="002C400D">
              <w:rPr>
                <w:rFonts w:cs="Calibri" w:hint="eastAsia"/>
                <w:lang w:val="es-ES_tradnl" w:eastAsia="zh-CN"/>
              </w:rPr>
              <w:t>第</w:t>
            </w:r>
            <w:r w:rsidRPr="002C400D">
              <w:rPr>
                <w:rFonts w:cs="Calibri"/>
                <w:lang w:val="es-ES_tradnl" w:eastAsia="zh-CN"/>
              </w:rPr>
              <w:t>9.7A</w:t>
            </w:r>
            <w:r w:rsidRPr="002C400D">
              <w:rPr>
                <w:rFonts w:cs="Calibri" w:hint="eastAsia"/>
                <w:lang w:val="es-ES_tradnl" w:eastAsia="zh-CN"/>
              </w:rPr>
              <w:t>款</w:t>
            </w:r>
            <w:r w:rsidRPr="002C400D">
              <w:rPr>
                <w:rStyle w:val="FootnoteReference"/>
                <w:rFonts w:cs="Calibri"/>
                <w:lang w:val="es-ES_tradnl" w:eastAsia="zh-CN"/>
              </w:rPr>
              <w:footnoteReference w:id="5"/>
            </w:r>
          </w:p>
        </w:tc>
      </w:tr>
      <w:tr w:rsidR="0089778C" w:rsidRPr="002C400D" w14:paraId="4827AB8D" w14:textId="77777777" w:rsidTr="00312A82">
        <w:tc>
          <w:tcPr>
            <w:tcW w:w="3969" w:type="dxa"/>
            <w:tcBorders>
              <w:top w:val="single" w:sz="4" w:space="0" w:color="auto"/>
              <w:left w:val="single" w:sz="4" w:space="0" w:color="auto"/>
              <w:bottom w:val="single" w:sz="4" w:space="0" w:color="auto"/>
              <w:right w:val="single" w:sz="4" w:space="0" w:color="auto"/>
            </w:tcBorders>
            <w:hideMark/>
          </w:tcPr>
          <w:p w14:paraId="4827AB8B" w14:textId="03A42ED5" w:rsidR="0089778C" w:rsidRPr="002C400D" w:rsidRDefault="0089778C" w:rsidP="0089778C">
            <w:pPr>
              <w:pStyle w:val="Tabletext"/>
              <w:framePr w:hSpace="180" w:wrap="around" w:vAnchor="text" w:hAnchor="text" w:x="108" w:y="1"/>
              <w:jc w:val="center"/>
              <w:rPr>
                <w:rFonts w:cs="Calibri"/>
              </w:rPr>
            </w:pPr>
            <w:r w:rsidRPr="002C400D">
              <w:rPr>
                <w:rFonts w:cs="Calibri"/>
              </w:rPr>
              <w:t>F</w:t>
            </w:r>
          </w:p>
        </w:tc>
        <w:tc>
          <w:tcPr>
            <w:tcW w:w="5529" w:type="dxa"/>
            <w:tcBorders>
              <w:top w:val="single" w:sz="4" w:space="0" w:color="auto"/>
              <w:left w:val="single" w:sz="4" w:space="0" w:color="auto"/>
              <w:bottom w:val="single" w:sz="4" w:space="0" w:color="auto"/>
              <w:right w:val="single" w:sz="4" w:space="0" w:color="auto"/>
            </w:tcBorders>
            <w:hideMark/>
          </w:tcPr>
          <w:p w14:paraId="4827AB8C" w14:textId="7CEBF048" w:rsidR="0089778C" w:rsidRPr="002C400D" w:rsidRDefault="0089778C" w:rsidP="0089778C">
            <w:pPr>
              <w:pStyle w:val="Tabletext"/>
              <w:framePr w:hSpace="180" w:wrap="around" w:vAnchor="text" w:hAnchor="text" w:x="108" w:y="1"/>
              <w:rPr>
                <w:rFonts w:cs="Calibri"/>
              </w:rPr>
            </w:pPr>
            <w:r w:rsidRPr="002C400D">
              <w:rPr>
                <w:rFonts w:cs="Calibri" w:hint="eastAsia"/>
                <w:lang w:eastAsia="zh-CN"/>
              </w:rPr>
              <w:t>第</w:t>
            </w:r>
            <w:r w:rsidRPr="002C400D">
              <w:rPr>
                <w:rFonts w:cs="Calibri"/>
                <w:lang w:eastAsia="zh-CN"/>
              </w:rPr>
              <w:t>9.21</w:t>
            </w:r>
            <w:r w:rsidRPr="002C400D">
              <w:rPr>
                <w:rFonts w:cs="Calibri" w:hint="eastAsia"/>
                <w:lang w:eastAsia="zh-CN"/>
              </w:rPr>
              <w:t>款</w:t>
            </w:r>
          </w:p>
        </w:tc>
      </w:tr>
    </w:tbl>
    <w:p w14:paraId="4827AB8E" w14:textId="431D5654" w:rsidR="00213E28" w:rsidRPr="0089778C" w:rsidRDefault="00671D68" w:rsidP="006C2554">
      <w:pPr>
        <w:pStyle w:val="Endtext"/>
        <w:tabs>
          <w:tab w:val="clear" w:pos="567"/>
        </w:tabs>
        <w:rPr>
          <w:lang w:val="en-GB" w:eastAsia="zh-CN"/>
        </w:rPr>
      </w:pPr>
      <w:r w:rsidRPr="00440658">
        <w:rPr>
          <w:rFonts w:ascii="STKaiti" w:hAnsi="STKaiti" w:hint="eastAsia"/>
          <w:lang w:eastAsia="zh-CN"/>
        </w:rPr>
        <w:t>参阅</w:t>
      </w:r>
      <w:r w:rsidRPr="000028BB">
        <w:rPr>
          <w:rFonts w:ascii="STKaiti" w:hAnsi="STKaiti" w:hint="eastAsia"/>
          <w:lang w:val="en-GB" w:eastAsia="zh-CN"/>
        </w:rPr>
        <w:t>：</w:t>
      </w:r>
      <w:r w:rsidR="00F11D1D" w:rsidRPr="000028BB">
        <w:rPr>
          <w:i/>
          <w:lang w:val="en-GB" w:eastAsia="zh-CN"/>
        </w:rPr>
        <w:tab/>
      </w:r>
      <w:hyperlink r:id="rId106" w:history="1">
        <w:r w:rsidR="00213E28" w:rsidRPr="000028BB">
          <w:rPr>
            <w:rStyle w:val="Hyperlink"/>
            <w:rFonts w:cs="Calibri"/>
            <w:szCs w:val="24"/>
            <w:lang w:val="en-GB" w:eastAsia="zh-CN"/>
          </w:rPr>
          <w:t>C01/100</w:t>
        </w:r>
      </w:hyperlink>
      <w:r w:rsidR="000028BB">
        <w:rPr>
          <w:rFonts w:hint="eastAsia"/>
          <w:lang w:eastAsia="zh-CN"/>
        </w:rPr>
        <w:t>、</w:t>
      </w:r>
      <w:hyperlink r:id="rId107" w:history="1">
        <w:r w:rsidR="00213E28" w:rsidRPr="000028BB">
          <w:rPr>
            <w:rStyle w:val="Hyperlink"/>
            <w:rFonts w:cs="Calibri"/>
            <w:szCs w:val="24"/>
            <w:lang w:val="en-GB" w:eastAsia="zh-CN"/>
          </w:rPr>
          <w:t>C01/129</w:t>
        </w:r>
      </w:hyperlink>
      <w:r w:rsidR="000028BB">
        <w:rPr>
          <w:rFonts w:hint="eastAsia"/>
          <w:lang w:eastAsia="zh-CN"/>
        </w:rPr>
        <w:t>、</w:t>
      </w:r>
      <w:hyperlink r:id="rId108" w:history="1">
        <w:r w:rsidR="00213E28" w:rsidRPr="000028BB">
          <w:rPr>
            <w:rStyle w:val="Hyperlink"/>
            <w:rFonts w:cs="Calibri"/>
            <w:szCs w:val="24"/>
            <w:lang w:val="en-GB" w:eastAsia="zh-CN"/>
          </w:rPr>
          <w:t>C08/103</w:t>
        </w:r>
      </w:hyperlink>
      <w:r w:rsidR="000028BB">
        <w:rPr>
          <w:rFonts w:hint="eastAsia"/>
          <w:lang w:eastAsia="zh-CN"/>
        </w:rPr>
        <w:t>、</w:t>
      </w:r>
      <w:hyperlink r:id="rId109" w:history="1">
        <w:r w:rsidR="00213E28" w:rsidRPr="000028BB">
          <w:rPr>
            <w:rStyle w:val="Hyperlink"/>
            <w:rFonts w:cs="Calibri"/>
            <w:szCs w:val="24"/>
            <w:lang w:val="en-GB" w:eastAsia="zh-CN"/>
          </w:rPr>
          <w:t>C08/106</w:t>
        </w:r>
      </w:hyperlink>
      <w:r w:rsidR="000028BB">
        <w:rPr>
          <w:rFonts w:hint="eastAsia"/>
          <w:lang w:eastAsia="zh-CN"/>
        </w:rPr>
        <w:t>、</w:t>
      </w:r>
      <w:hyperlink r:id="rId110" w:history="1">
        <w:r w:rsidR="00213E28" w:rsidRPr="000028BB">
          <w:rPr>
            <w:rStyle w:val="Hyperlink"/>
            <w:rFonts w:cs="Calibri"/>
            <w:szCs w:val="24"/>
            <w:lang w:val="en-GB" w:eastAsia="zh-CN"/>
          </w:rPr>
          <w:t>C12/95(Rev.2)</w:t>
        </w:r>
      </w:hyperlink>
      <w:r w:rsidR="000028BB">
        <w:rPr>
          <w:rFonts w:hint="eastAsia"/>
          <w:lang w:eastAsia="zh-CN"/>
        </w:rPr>
        <w:t>、</w:t>
      </w:r>
      <w:hyperlink r:id="rId111" w:history="1">
        <w:r w:rsidR="00213E28" w:rsidRPr="000028BB">
          <w:rPr>
            <w:rStyle w:val="Hyperlink"/>
            <w:rFonts w:cs="Calibri"/>
            <w:szCs w:val="24"/>
            <w:lang w:val="en-GB" w:eastAsia="zh-CN"/>
          </w:rPr>
          <w:t>C12/110</w:t>
        </w:r>
      </w:hyperlink>
      <w:r w:rsidR="000028BB">
        <w:rPr>
          <w:rFonts w:hint="eastAsia"/>
          <w:lang w:eastAsia="zh-CN"/>
        </w:rPr>
        <w:t>、</w:t>
      </w:r>
      <w:hyperlink r:id="rId112" w:history="1">
        <w:r w:rsidR="00213E28" w:rsidRPr="000028BB">
          <w:rPr>
            <w:rStyle w:val="Hyperlink"/>
            <w:rFonts w:cs="Calibri"/>
            <w:szCs w:val="24"/>
            <w:lang w:val="en-GB" w:eastAsia="zh-CN"/>
          </w:rPr>
          <w:t>C13/112</w:t>
        </w:r>
      </w:hyperlink>
      <w:r w:rsidR="000028BB">
        <w:rPr>
          <w:rFonts w:hint="eastAsia"/>
          <w:lang w:eastAsia="zh-CN"/>
        </w:rPr>
        <w:t>、</w:t>
      </w:r>
      <w:hyperlink r:id="rId113" w:history="1">
        <w:r w:rsidR="00213E28" w:rsidRPr="000028BB">
          <w:rPr>
            <w:rStyle w:val="Hyperlink"/>
            <w:rFonts w:cs="Calibri"/>
            <w:szCs w:val="24"/>
            <w:lang w:val="en-GB" w:eastAsia="zh-CN"/>
          </w:rPr>
          <w:t>C13/122</w:t>
        </w:r>
      </w:hyperlink>
      <w:r w:rsidR="000028BB">
        <w:rPr>
          <w:rFonts w:hint="eastAsia"/>
          <w:lang w:eastAsia="zh-CN"/>
        </w:rPr>
        <w:t>、</w:t>
      </w:r>
      <w:hyperlink r:id="rId114" w:history="1">
        <w:r w:rsidR="006C2554" w:rsidRPr="000028BB">
          <w:rPr>
            <w:rStyle w:val="Hyperlink"/>
            <w:rFonts w:cs="Calibri"/>
            <w:szCs w:val="24"/>
            <w:lang w:val="en-GB" w:eastAsia="zh-CN"/>
          </w:rPr>
          <w:t>C17/135</w:t>
        </w:r>
      </w:hyperlink>
      <w:r w:rsidR="000028BB">
        <w:rPr>
          <w:rFonts w:hint="eastAsia"/>
          <w:lang w:eastAsia="zh-CN"/>
        </w:rPr>
        <w:t>、</w:t>
      </w:r>
      <w:hyperlink r:id="rId115" w:history="1">
        <w:r w:rsidR="006C2554" w:rsidRPr="000028BB">
          <w:rPr>
            <w:rStyle w:val="Hyperlink"/>
            <w:lang w:val="en-GB" w:eastAsia="zh-CN"/>
          </w:rPr>
          <w:t>C17/140</w:t>
        </w:r>
      </w:hyperlink>
      <w:r w:rsidR="000028BB">
        <w:rPr>
          <w:rFonts w:hint="eastAsia"/>
          <w:lang w:eastAsia="zh-CN"/>
        </w:rPr>
        <w:t>、</w:t>
      </w:r>
      <w:hyperlink r:id="rId116" w:history="1">
        <w:r w:rsidR="000028BB" w:rsidRPr="000028BB">
          <w:rPr>
            <w:rStyle w:val="Hyperlink"/>
            <w:rFonts w:cs="Calibri"/>
            <w:szCs w:val="24"/>
            <w:lang w:val="en-GB" w:eastAsia="zh-CN"/>
          </w:rPr>
          <w:t>C18/114</w:t>
        </w:r>
      </w:hyperlink>
      <w:r w:rsidR="000028BB">
        <w:rPr>
          <w:rFonts w:hint="eastAsia"/>
          <w:lang w:eastAsia="zh-CN"/>
        </w:rPr>
        <w:t>、</w:t>
      </w:r>
      <w:hyperlink r:id="rId117" w:history="1">
        <w:r w:rsidR="000028BB" w:rsidRPr="000028BB">
          <w:rPr>
            <w:rStyle w:val="Hyperlink"/>
            <w:rFonts w:cs="Calibri"/>
            <w:szCs w:val="24"/>
            <w:lang w:val="en-GB" w:eastAsia="zh-CN"/>
          </w:rPr>
          <w:t>C18/121</w:t>
        </w:r>
      </w:hyperlink>
      <w:r w:rsidR="000028BB">
        <w:rPr>
          <w:rFonts w:hint="eastAsia"/>
          <w:lang w:eastAsia="zh-CN"/>
        </w:rPr>
        <w:t>、</w:t>
      </w:r>
      <w:hyperlink r:id="rId118" w:history="1">
        <w:r w:rsidR="000028BB" w:rsidRPr="000028BB">
          <w:rPr>
            <w:rStyle w:val="Hyperlink"/>
            <w:lang w:val="en-GB" w:eastAsia="zh-CN"/>
          </w:rPr>
          <w:t>C19/143</w:t>
        </w:r>
      </w:hyperlink>
      <w:r w:rsidR="000028BB">
        <w:rPr>
          <w:rFonts w:hint="eastAsia"/>
          <w:lang w:eastAsia="zh-CN"/>
        </w:rPr>
        <w:t>和</w:t>
      </w:r>
      <w:hyperlink r:id="rId119" w:history="1">
        <w:r w:rsidR="000028BB" w:rsidRPr="000028BB">
          <w:rPr>
            <w:rStyle w:val="Hyperlink"/>
            <w:lang w:val="en-GB" w:eastAsia="zh-CN"/>
          </w:rPr>
          <w:t>C19/120</w:t>
        </w:r>
      </w:hyperlink>
      <w:r w:rsidR="0089778C" w:rsidRPr="0089778C">
        <w:rPr>
          <w:rFonts w:asciiTheme="minorEastAsia" w:eastAsiaTheme="minorEastAsia" w:hAnsiTheme="minorEastAsia" w:hint="eastAsia"/>
          <w:lang w:val="en-GB" w:eastAsia="zh-CN"/>
        </w:rPr>
        <w:t>；</w:t>
      </w:r>
      <w:hyperlink r:id="rId120" w:history="1">
        <w:r w:rsidR="0089778C" w:rsidRPr="0089778C">
          <w:rPr>
            <w:rStyle w:val="Hyperlink"/>
            <w:lang w:val="en-GB" w:eastAsia="zh-CN"/>
          </w:rPr>
          <w:t>C20/70</w:t>
        </w:r>
      </w:hyperlink>
      <w:r w:rsidR="0089778C" w:rsidRPr="0089778C">
        <w:rPr>
          <w:lang w:val="en-GB" w:eastAsia="zh-CN"/>
        </w:rPr>
        <w:t>,</w:t>
      </w:r>
      <w:r w:rsidR="0089778C" w:rsidRPr="0089778C">
        <w:rPr>
          <w:u w:val="single"/>
          <w:lang w:val="en-GB" w:eastAsia="zh-CN"/>
        </w:rPr>
        <w:t xml:space="preserve"> </w:t>
      </w:r>
      <w:hyperlink r:id="rId121" w:history="1">
        <w:r w:rsidR="0089778C" w:rsidRPr="0089778C">
          <w:rPr>
            <w:rStyle w:val="Hyperlink"/>
            <w:lang w:val="en-GB" w:eastAsia="zh-CN"/>
          </w:rPr>
          <w:t>VC/16</w:t>
        </w:r>
      </w:hyperlink>
      <w:r w:rsidR="0089778C">
        <w:rPr>
          <w:rFonts w:hint="eastAsia"/>
          <w:lang w:val="en-GB" w:eastAsia="zh-CN"/>
        </w:rPr>
        <w:t>和</w:t>
      </w:r>
      <w:hyperlink r:id="rId122" w:history="1">
        <w:r w:rsidR="0089778C" w:rsidRPr="0089778C">
          <w:rPr>
            <w:rStyle w:val="Hyperlink"/>
            <w:lang w:val="en-GB" w:eastAsia="zh-CN"/>
          </w:rPr>
          <w:t>DM-20/1011</w:t>
        </w:r>
      </w:hyperlink>
      <w:r w:rsidR="0089778C">
        <w:rPr>
          <w:rFonts w:hint="eastAsia"/>
          <w:lang w:val="en-GB" w:eastAsia="zh-CN"/>
        </w:rPr>
        <w:t>号</w:t>
      </w:r>
      <w:r w:rsidR="006C2554">
        <w:rPr>
          <w:lang w:eastAsia="zh-CN"/>
        </w:rPr>
        <w:t>文</w:t>
      </w:r>
      <w:r w:rsidR="00213E28" w:rsidRPr="00440658">
        <w:rPr>
          <w:rFonts w:hint="eastAsia"/>
          <w:lang w:eastAsia="zh-CN"/>
        </w:rPr>
        <w:t>件。</w:t>
      </w:r>
    </w:p>
    <w:p w14:paraId="4827AB8F" w14:textId="77777777" w:rsidR="000028BB" w:rsidRDefault="000028BB" w:rsidP="000028BB">
      <w:pPr>
        <w:jc w:val="center"/>
        <w:rPr>
          <w:lang w:eastAsia="zh-CN"/>
        </w:rPr>
      </w:pPr>
      <w:bookmarkStart w:id="187" w:name="_Toc185237643"/>
      <w:bookmarkStart w:id="188" w:name="_Toc311469557"/>
      <w:bookmarkStart w:id="189" w:name="_Toc81880045"/>
      <w:bookmarkStart w:id="190" w:name="_Toc161224003"/>
      <w:bookmarkStart w:id="191" w:name="_Toc161732049"/>
      <w:bookmarkStart w:id="192" w:name="_Toc161740976"/>
      <w:r>
        <w:rPr>
          <w:lang w:eastAsia="zh-CN"/>
        </w:rPr>
        <w:t>______________</w:t>
      </w:r>
    </w:p>
    <w:p w14:paraId="4827AB90" w14:textId="77777777" w:rsidR="000C24F3" w:rsidRDefault="000C24F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B91" w14:textId="77777777" w:rsidR="009A101E" w:rsidRDefault="009A101E">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B92" w14:textId="77777777" w:rsidR="00D32C40" w:rsidRDefault="00D32C40">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B93" w14:textId="77777777" w:rsidR="00D32C40" w:rsidRDefault="00D32C40">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B94" w14:textId="77777777" w:rsidR="009267C9" w:rsidRDefault="009267C9">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B95" w14:textId="77777777" w:rsidR="000028BB" w:rsidRDefault="000028BB">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B96" w14:textId="77777777" w:rsidR="000028BB" w:rsidRDefault="000028BB">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B97" w14:textId="77777777" w:rsidR="000028BB" w:rsidRDefault="000028B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AB98" w14:textId="77777777" w:rsidR="00213E28" w:rsidRPr="00213E28" w:rsidRDefault="00E77AE7" w:rsidP="001B5FA0">
      <w:pPr>
        <w:pStyle w:val="DecNo"/>
        <w:outlineLvl w:val="0"/>
      </w:pPr>
      <w:bookmarkStart w:id="193" w:name="_Toc424116929"/>
      <w:bookmarkStart w:id="194" w:name="_Toc531706274"/>
      <w:bookmarkStart w:id="195" w:name="_Toc531706869"/>
      <w:bookmarkStart w:id="196" w:name="_Toc531768361"/>
      <w:bookmarkStart w:id="197" w:name="_Toc16085674"/>
      <w:bookmarkStart w:id="198" w:name="_Toc86395482"/>
      <w:r w:rsidRPr="00213E28">
        <w:rPr>
          <w:rFonts w:hint="eastAsia"/>
        </w:rPr>
        <w:lastRenderedPageBreak/>
        <w:t>第</w:t>
      </w:r>
      <w:r w:rsidRPr="00213E28">
        <w:rPr>
          <w:rFonts w:hint="eastAsia"/>
        </w:rPr>
        <w:t>545</w:t>
      </w:r>
      <w:r w:rsidRPr="00213E28">
        <w:rPr>
          <w:rFonts w:hint="eastAsia"/>
        </w:rPr>
        <w:t>号决定</w:t>
      </w:r>
      <w:r w:rsidR="00213E28">
        <w:rPr>
          <w:rFonts w:hint="eastAsia"/>
        </w:rPr>
        <w:t>（</w:t>
      </w:r>
      <w:r w:rsidR="00213E28" w:rsidRPr="00213E28">
        <w:t>C07</w:t>
      </w:r>
      <w:r w:rsidR="00213E28">
        <w:rPr>
          <w:rFonts w:hint="eastAsia"/>
        </w:rPr>
        <w:t>）</w:t>
      </w:r>
      <w:bookmarkEnd w:id="193"/>
      <w:bookmarkEnd w:id="194"/>
      <w:bookmarkEnd w:id="195"/>
      <w:bookmarkEnd w:id="196"/>
      <w:bookmarkEnd w:id="197"/>
      <w:bookmarkEnd w:id="198"/>
    </w:p>
    <w:p w14:paraId="4827AB99" w14:textId="77777777" w:rsidR="00E77AE7" w:rsidRPr="00B71413" w:rsidRDefault="00E77AE7" w:rsidP="000C24F3">
      <w:pPr>
        <w:pStyle w:val="Dectitle"/>
        <w:spacing w:before="0"/>
      </w:pPr>
      <w:bookmarkStart w:id="199" w:name="_Toc424116930"/>
      <w:bookmarkStart w:id="200" w:name="_Toc460248037"/>
      <w:bookmarkStart w:id="201" w:name="_Toc531706275"/>
      <w:bookmarkStart w:id="202" w:name="_Toc531706870"/>
      <w:bookmarkStart w:id="203" w:name="_Toc531768362"/>
      <w:bookmarkStart w:id="204" w:name="_Toc16085675"/>
      <w:bookmarkStart w:id="205" w:name="_Toc86395483"/>
      <w:r w:rsidRPr="00B71413">
        <w:t>不支付卫星网络申报成本回收费用的问题</w:t>
      </w:r>
      <w:bookmarkEnd w:id="187"/>
      <w:bookmarkEnd w:id="188"/>
      <w:bookmarkEnd w:id="199"/>
      <w:bookmarkEnd w:id="200"/>
      <w:bookmarkEnd w:id="201"/>
      <w:bookmarkEnd w:id="202"/>
      <w:bookmarkEnd w:id="203"/>
      <w:bookmarkEnd w:id="204"/>
      <w:bookmarkEnd w:id="205"/>
    </w:p>
    <w:p w14:paraId="4827AB9A" w14:textId="77777777" w:rsidR="00E77AE7" w:rsidRPr="00B71413" w:rsidRDefault="00E77AE7" w:rsidP="0048501C">
      <w:pPr>
        <w:pStyle w:val="Normalaftertitle"/>
        <w:rPr>
          <w:lang w:eastAsia="zh-CN"/>
        </w:rPr>
      </w:pPr>
      <w:r w:rsidRPr="00B71413">
        <w:rPr>
          <w:rFonts w:hint="eastAsia"/>
          <w:lang w:eastAsia="zh-CN"/>
        </w:rPr>
        <w:t>理事会，</w:t>
      </w:r>
    </w:p>
    <w:p w14:paraId="4827AB9B" w14:textId="77777777" w:rsidR="00E77AE7" w:rsidRPr="00C3403A" w:rsidRDefault="00E77AE7" w:rsidP="00B64353">
      <w:pPr>
        <w:pStyle w:val="Call"/>
        <w:rPr>
          <w:lang w:eastAsia="zh-CN"/>
        </w:rPr>
      </w:pPr>
      <w:r w:rsidRPr="00C3403A">
        <w:rPr>
          <w:lang w:eastAsia="zh-CN"/>
        </w:rPr>
        <w:t>考虑到</w:t>
      </w:r>
    </w:p>
    <w:p w14:paraId="4827AB9C" w14:textId="77777777" w:rsidR="00E77AE7" w:rsidRPr="000D07F5" w:rsidRDefault="00E77AE7" w:rsidP="00B64353">
      <w:pPr>
        <w:rPr>
          <w:lang w:eastAsia="zh-CN"/>
        </w:rPr>
      </w:pPr>
      <w:r w:rsidRPr="000D07F5">
        <w:rPr>
          <w:i/>
          <w:iCs/>
          <w:lang w:eastAsia="zh-CN"/>
        </w:rPr>
        <w:t>a)</w:t>
      </w:r>
      <w:r w:rsidRPr="000D07F5">
        <w:rPr>
          <w:lang w:eastAsia="zh-CN"/>
        </w:rPr>
        <w:tab/>
      </w:r>
      <w:r w:rsidRPr="000D07F5">
        <w:rPr>
          <w:lang w:eastAsia="zh-CN"/>
        </w:rPr>
        <w:t>对理事会在其</w:t>
      </w:r>
      <w:r w:rsidRPr="000D07F5">
        <w:rPr>
          <w:lang w:eastAsia="zh-CN"/>
        </w:rPr>
        <w:t>2002</w:t>
      </w:r>
      <w:r w:rsidRPr="000D07F5">
        <w:rPr>
          <w:lang w:eastAsia="zh-CN"/>
        </w:rPr>
        <w:t>年会议上修改的第</w:t>
      </w:r>
      <w:r w:rsidRPr="000D07F5">
        <w:rPr>
          <w:lang w:eastAsia="zh-CN"/>
        </w:rPr>
        <w:t>482</w:t>
      </w:r>
      <w:r w:rsidRPr="000D07F5">
        <w:rPr>
          <w:lang w:eastAsia="zh-CN"/>
        </w:rPr>
        <w:t>号决定中规定的空间通知处理的成本回收方法和收费表所进行的修订；</w:t>
      </w:r>
    </w:p>
    <w:p w14:paraId="4827AB9D" w14:textId="77777777" w:rsidR="00E77AE7" w:rsidRPr="000D07F5" w:rsidRDefault="00E77AE7" w:rsidP="00B64353">
      <w:pPr>
        <w:rPr>
          <w:lang w:eastAsia="zh-CN"/>
        </w:rPr>
      </w:pPr>
      <w:r w:rsidRPr="000D07F5">
        <w:rPr>
          <w:i/>
          <w:iCs/>
          <w:lang w:eastAsia="zh-CN"/>
        </w:rPr>
        <w:t>b)</w:t>
      </w:r>
      <w:r w:rsidRPr="000D07F5">
        <w:rPr>
          <w:lang w:eastAsia="zh-CN"/>
        </w:rPr>
        <w:tab/>
      </w:r>
      <w:r w:rsidRPr="000D07F5">
        <w:rPr>
          <w:lang w:eastAsia="zh-CN"/>
        </w:rPr>
        <w:t>需要针对第</w:t>
      </w:r>
      <w:r w:rsidRPr="000D07F5">
        <w:rPr>
          <w:lang w:eastAsia="zh-CN"/>
        </w:rPr>
        <w:t>482</w:t>
      </w:r>
      <w:r w:rsidRPr="000D07F5">
        <w:rPr>
          <w:lang w:eastAsia="zh-CN"/>
        </w:rPr>
        <w:t>号决定（理事会</w:t>
      </w:r>
      <w:r w:rsidRPr="000D07F5">
        <w:rPr>
          <w:lang w:eastAsia="zh-CN"/>
        </w:rPr>
        <w:t>2002</w:t>
      </w:r>
      <w:r w:rsidRPr="000D07F5">
        <w:rPr>
          <w:lang w:eastAsia="zh-CN"/>
        </w:rPr>
        <w:t>年会议）</w:t>
      </w:r>
      <w:r>
        <w:rPr>
          <w:rFonts w:hint="eastAsia"/>
          <w:lang w:eastAsia="zh-CN"/>
        </w:rPr>
        <w:t>中</w:t>
      </w:r>
      <w:r w:rsidRPr="000D07F5">
        <w:rPr>
          <w:lang w:eastAsia="zh-CN"/>
        </w:rPr>
        <w:t>就若干网络提出的</w:t>
      </w:r>
      <w:r>
        <w:rPr>
          <w:rFonts w:hint="eastAsia"/>
          <w:lang w:eastAsia="zh-CN"/>
        </w:rPr>
        <w:t>对</w:t>
      </w:r>
      <w:r w:rsidRPr="000D07F5">
        <w:rPr>
          <w:lang w:eastAsia="zh-CN"/>
        </w:rPr>
        <w:t>空间通知处理的收费方法的偏差提出一些纠正措施，此类偏差已产生可能与工作量不符的大额发票；</w:t>
      </w:r>
    </w:p>
    <w:p w14:paraId="4827AB9E" w14:textId="77777777" w:rsidR="00E77AE7" w:rsidRPr="000D07F5" w:rsidRDefault="00E77AE7" w:rsidP="00B64353">
      <w:pPr>
        <w:rPr>
          <w:lang w:eastAsia="zh-CN"/>
        </w:rPr>
      </w:pPr>
      <w:r w:rsidRPr="000D07F5">
        <w:rPr>
          <w:i/>
          <w:iCs/>
          <w:lang w:eastAsia="zh-CN"/>
        </w:rPr>
        <w:t>c)</w:t>
      </w:r>
      <w:r w:rsidRPr="000D07F5">
        <w:rPr>
          <w:lang w:eastAsia="zh-CN"/>
        </w:rPr>
        <w:tab/>
      </w:r>
      <w:r w:rsidRPr="000D07F5">
        <w:rPr>
          <w:lang w:eastAsia="zh-CN"/>
        </w:rPr>
        <w:t>理事会在其</w:t>
      </w:r>
      <w:r w:rsidRPr="000D07F5">
        <w:rPr>
          <w:lang w:eastAsia="zh-CN"/>
        </w:rPr>
        <w:t>2003</w:t>
      </w:r>
      <w:r w:rsidRPr="000D07F5">
        <w:rPr>
          <w:lang w:eastAsia="zh-CN"/>
        </w:rPr>
        <w:t>年会议的第</w:t>
      </w:r>
      <w:r w:rsidRPr="000D07F5">
        <w:rPr>
          <w:lang w:eastAsia="zh-CN"/>
        </w:rPr>
        <w:t>513</w:t>
      </w:r>
      <w:r w:rsidRPr="000D07F5">
        <w:rPr>
          <w:lang w:eastAsia="zh-CN"/>
        </w:rPr>
        <w:t>号决定中一致同意，有必要在理事会</w:t>
      </w:r>
      <w:r w:rsidRPr="000D07F5">
        <w:rPr>
          <w:lang w:eastAsia="zh-CN"/>
        </w:rPr>
        <w:t>2004</w:t>
      </w:r>
      <w:r w:rsidRPr="000D07F5">
        <w:rPr>
          <w:lang w:eastAsia="zh-CN"/>
        </w:rPr>
        <w:t>年会议审议收费方法之前临时性地解决此问题；</w:t>
      </w:r>
    </w:p>
    <w:p w14:paraId="4827AB9F" w14:textId="77777777" w:rsidR="00E77AE7" w:rsidRPr="000D07F5" w:rsidRDefault="00E77AE7" w:rsidP="00B64353">
      <w:pPr>
        <w:rPr>
          <w:lang w:eastAsia="zh-CN"/>
        </w:rPr>
      </w:pPr>
      <w:r w:rsidRPr="000D07F5">
        <w:rPr>
          <w:i/>
          <w:iCs/>
          <w:lang w:eastAsia="zh-CN"/>
        </w:rPr>
        <w:t>d)</w:t>
      </w:r>
      <w:r w:rsidRPr="000D07F5">
        <w:rPr>
          <w:lang w:eastAsia="zh-CN"/>
        </w:rPr>
        <w:tab/>
      </w:r>
      <w:r w:rsidRPr="000D07F5">
        <w:rPr>
          <w:lang w:eastAsia="zh-CN"/>
        </w:rPr>
        <w:t>执行第</w:t>
      </w:r>
      <w:r w:rsidRPr="000D07F5">
        <w:rPr>
          <w:lang w:eastAsia="zh-CN"/>
        </w:rPr>
        <w:t>513</w:t>
      </w:r>
      <w:r w:rsidRPr="000D07F5">
        <w:rPr>
          <w:lang w:eastAsia="zh-CN"/>
        </w:rPr>
        <w:t>号决定仍然导致一些发票的金额</w:t>
      </w:r>
      <w:r>
        <w:rPr>
          <w:rFonts w:hint="eastAsia"/>
          <w:lang w:eastAsia="zh-CN"/>
        </w:rPr>
        <w:t>比</w:t>
      </w:r>
      <w:r w:rsidRPr="000D07F5">
        <w:rPr>
          <w:lang w:eastAsia="zh-CN"/>
        </w:rPr>
        <w:t>100 000</w:t>
      </w:r>
      <w:r w:rsidRPr="000D07F5">
        <w:rPr>
          <w:lang w:eastAsia="zh-CN"/>
        </w:rPr>
        <w:t>瑞士法郎</w:t>
      </w:r>
      <w:r>
        <w:rPr>
          <w:rFonts w:hint="eastAsia"/>
          <w:lang w:eastAsia="zh-CN"/>
        </w:rPr>
        <w:t>高出许多</w:t>
      </w:r>
      <w:r w:rsidRPr="000D07F5">
        <w:rPr>
          <w:lang w:eastAsia="zh-CN"/>
        </w:rPr>
        <w:t>；</w:t>
      </w:r>
    </w:p>
    <w:p w14:paraId="4827ABA0" w14:textId="77777777" w:rsidR="00E77AE7" w:rsidRPr="000D07F5" w:rsidRDefault="00E77AE7" w:rsidP="00B64353">
      <w:pPr>
        <w:rPr>
          <w:lang w:eastAsia="zh-CN"/>
        </w:rPr>
      </w:pPr>
      <w:r w:rsidRPr="000D07F5">
        <w:rPr>
          <w:i/>
          <w:iCs/>
          <w:lang w:eastAsia="zh-CN"/>
        </w:rPr>
        <w:t>e)</w:t>
      </w:r>
      <w:r w:rsidRPr="000D07F5">
        <w:rPr>
          <w:lang w:eastAsia="zh-CN"/>
        </w:rPr>
        <w:tab/>
      </w:r>
      <w:r w:rsidRPr="000D07F5">
        <w:rPr>
          <w:lang w:eastAsia="zh-CN"/>
        </w:rPr>
        <w:t>全权代表大会（</w:t>
      </w:r>
      <w:r w:rsidRPr="000D07F5">
        <w:rPr>
          <w:lang w:eastAsia="zh-CN"/>
        </w:rPr>
        <w:t>2002</w:t>
      </w:r>
      <w:r w:rsidRPr="000D07F5">
        <w:rPr>
          <w:lang w:eastAsia="zh-CN"/>
        </w:rPr>
        <w:t>年，马拉喀什）第</w:t>
      </w:r>
      <w:r w:rsidRPr="000D07F5">
        <w:rPr>
          <w:lang w:eastAsia="zh-CN"/>
        </w:rPr>
        <w:t>88</w:t>
      </w:r>
      <w:r w:rsidRPr="000D07F5">
        <w:rPr>
          <w:lang w:eastAsia="zh-CN"/>
        </w:rPr>
        <w:t>号决议（</w:t>
      </w:r>
      <w:r w:rsidRPr="000D07F5">
        <w:rPr>
          <w:lang w:eastAsia="zh-CN"/>
        </w:rPr>
        <w:t>2002</w:t>
      </w:r>
      <w:r w:rsidRPr="000D07F5">
        <w:rPr>
          <w:lang w:eastAsia="zh-CN"/>
        </w:rPr>
        <w:t>年，马拉喀什，修订版）批准了在</w:t>
      </w:r>
      <w:r>
        <w:rPr>
          <w:rFonts w:hint="eastAsia"/>
          <w:lang w:eastAsia="zh-CN"/>
        </w:rPr>
        <w:t>不</w:t>
      </w:r>
      <w:r w:rsidRPr="000D07F5">
        <w:rPr>
          <w:lang w:eastAsia="zh-CN"/>
        </w:rPr>
        <w:t>及时支付相应的成本回收费用</w:t>
      </w:r>
      <w:r>
        <w:rPr>
          <w:rFonts w:hint="eastAsia"/>
          <w:lang w:eastAsia="zh-CN"/>
        </w:rPr>
        <w:t>的情况下取消</w:t>
      </w:r>
      <w:r w:rsidRPr="000D07F5">
        <w:rPr>
          <w:lang w:eastAsia="zh-CN"/>
        </w:rPr>
        <w:t>申报的原则，并将</w:t>
      </w:r>
      <w:r w:rsidRPr="000D07F5">
        <w:rPr>
          <w:lang w:eastAsia="zh-CN"/>
        </w:rPr>
        <w:t>2003</w:t>
      </w:r>
      <w:r w:rsidRPr="000D07F5">
        <w:rPr>
          <w:lang w:eastAsia="zh-CN"/>
        </w:rPr>
        <w:t>年</w:t>
      </w:r>
      <w:r w:rsidRPr="000D07F5">
        <w:rPr>
          <w:lang w:eastAsia="zh-CN"/>
        </w:rPr>
        <w:t>8</w:t>
      </w:r>
      <w:r w:rsidRPr="000D07F5">
        <w:rPr>
          <w:lang w:eastAsia="zh-CN"/>
        </w:rPr>
        <w:t>月</w:t>
      </w:r>
      <w:r w:rsidRPr="000D07F5">
        <w:rPr>
          <w:lang w:eastAsia="zh-CN"/>
        </w:rPr>
        <w:t>1</w:t>
      </w:r>
      <w:r w:rsidRPr="000D07F5">
        <w:rPr>
          <w:lang w:eastAsia="zh-CN"/>
        </w:rPr>
        <w:t>日确定为实施《无线电规则》相应条款的日期；</w:t>
      </w:r>
    </w:p>
    <w:p w14:paraId="4827ABA1" w14:textId="77777777" w:rsidR="00E77AE7" w:rsidRPr="000D07F5" w:rsidRDefault="00E77AE7" w:rsidP="00B64353">
      <w:pPr>
        <w:rPr>
          <w:lang w:eastAsia="zh-CN"/>
        </w:rPr>
      </w:pPr>
      <w:r w:rsidRPr="000D07F5">
        <w:rPr>
          <w:i/>
          <w:iCs/>
          <w:lang w:eastAsia="zh-CN"/>
        </w:rPr>
        <w:t>f)</w:t>
      </w:r>
      <w:r w:rsidRPr="000D07F5">
        <w:rPr>
          <w:lang w:eastAsia="zh-CN"/>
        </w:rPr>
        <w:tab/>
      </w:r>
      <w:r w:rsidRPr="000D07F5">
        <w:rPr>
          <w:lang w:eastAsia="zh-CN"/>
        </w:rPr>
        <w:t>根据《财务规则》，有关注销成员国债务的所有决定</w:t>
      </w:r>
      <w:r>
        <w:rPr>
          <w:rFonts w:hint="eastAsia"/>
          <w:lang w:eastAsia="zh-CN"/>
        </w:rPr>
        <w:t>均</w:t>
      </w:r>
      <w:r w:rsidRPr="000D07F5">
        <w:rPr>
          <w:lang w:eastAsia="zh-CN"/>
        </w:rPr>
        <w:t>属全权代表大会的</w:t>
      </w:r>
      <w:r>
        <w:rPr>
          <w:rFonts w:hint="eastAsia"/>
          <w:lang w:eastAsia="zh-CN"/>
        </w:rPr>
        <w:t>专</w:t>
      </w:r>
      <w:r w:rsidRPr="000D07F5">
        <w:rPr>
          <w:lang w:eastAsia="zh-CN"/>
        </w:rPr>
        <w:t>有权限；</w:t>
      </w:r>
    </w:p>
    <w:p w14:paraId="4827ABA2" w14:textId="77777777" w:rsidR="00E77AE7" w:rsidRPr="000D07F5" w:rsidRDefault="00E77AE7" w:rsidP="00B64353">
      <w:pPr>
        <w:rPr>
          <w:lang w:eastAsia="zh-CN"/>
        </w:rPr>
      </w:pPr>
      <w:r w:rsidRPr="000D07F5">
        <w:rPr>
          <w:i/>
          <w:iCs/>
          <w:lang w:eastAsia="zh-CN"/>
        </w:rPr>
        <w:t>g)</w:t>
      </w:r>
      <w:r w:rsidRPr="000D07F5">
        <w:rPr>
          <w:lang w:eastAsia="zh-CN"/>
        </w:rPr>
        <w:tab/>
      </w:r>
      <w:r>
        <w:rPr>
          <w:rFonts w:hint="eastAsia"/>
          <w:lang w:eastAsia="zh-CN"/>
        </w:rPr>
        <w:t>取消</w:t>
      </w:r>
      <w:r w:rsidRPr="000D07F5">
        <w:rPr>
          <w:lang w:eastAsia="zh-CN"/>
        </w:rPr>
        <w:t>卫星网络申报并不导致注销国际电联开具的发票；</w:t>
      </w:r>
    </w:p>
    <w:p w14:paraId="4827ABA3" w14:textId="2C8FC350" w:rsidR="00E77AE7" w:rsidRPr="000D07F5" w:rsidRDefault="00E77AE7" w:rsidP="00B64353">
      <w:pPr>
        <w:rPr>
          <w:lang w:eastAsia="zh-CN"/>
        </w:rPr>
      </w:pPr>
      <w:r w:rsidRPr="000D07F5">
        <w:rPr>
          <w:i/>
          <w:iCs/>
          <w:lang w:eastAsia="zh-CN"/>
        </w:rPr>
        <w:t>h)</w:t>
      </w:r>
      <w:r w:rsidRPr="000D07F5">
        <w:rPr>
          <w:lang w:eastAsia="zh-CN"/>
        </w:rPr>
        <w:tab/>
      </w:r>
      <w:r w:rsidRPr="000D07F5">
        <w:rPr>
          <w:lang w:eastAsia="zh-CN"/>
        </w:rPr>
        <w:t>理事会</w:t>
      </w:r>
      <w:r w:rsidRPr="000D07F5">
        <w:rPr>
          <w:lang w:eastAsia="zh-CN"/>
        </w:rPr>
        <w:t>2005</w:t>
      </w:r>
      <w:r w:rsidRPr="000D07F5">
        <w:rPr>
          <w:lang w:eastAsia="zh-CN"/>
        </w:rPr>
        <w:t>年会议针对目前第</w:t>
      </w:r>
      <w:r w:rsidRPr="000D07F5">
        <w:rPr>
          <w:lang w:eastAsia="zh-CN"/>
        </w:rPr>
        <w:t>482</w:t>
      </w:r>
      <w:r w:rsidRPr="000D07F5">
        <w:rPr>
          <w:lang w:eastAsia="zh-CN"/>
        </w:rPr>
        <w:t>号决定（</w:t>
      </w:r>
      <w:r w:rsidRPr="000D07F5">
        <w:rPr>
          <w:lang w:eastAsia="zh-CN"/>
        </w:rPr>
        <w:t>2005</w:t>
      </w:r>
      <w:r w:rsidRPr="000D07F5">
        <w:rPr>
          <w:lang w:eastAsia="zh-CN"/>
        </w:rPr>
        <w:t>年</w:t>
      </w:r>
      <w:r w:rsidR="00952A1C">
        <w:rPr>
          <w:rFonts w:hint="eastAsia"/>
          <w:lang w:eastAsia="zh-CN"/>
        </w:rPr>
        <w:t>，</w:t>
      </w:r>
      <w:r w:rsidRPr="000D07F5">
        <w:rPr>
          <w:lang w:eastAsia="zh-CN"/>
        </w:rPr>
        <w:t>修</w:t>
      </w:r>
      <w:r w:rsidR="00952A1C">
        <w:rPr>
          <w:rFonts w:hint="eastAsia"/>
          <w:lang w:eastAsia="zh-CN"/>
        </w:rPr>
        <w:t>改</w:t>
      </w:r>
      <w:r w:rsidRPr="000D07F5">
        <w:rPr>
          <w:lang w:eastAsia="zh-CN"/>
        </w:rPr>
        <w:t>版）</w:t>
      </w:r>
      <w:r>
        <w:rPr>
          <w:rFonts w:hint="eastAsia"/>
          <w:lang w:eastAsia="zh-CN"/>
        </w:rPr>
        <w:t>所</w:t>
      </w:r>
      <w:r w:rsidRPr="000D07F5">
        <w:rPr>
          <w:lang w:eastAsia="zh-CN"/>
        </w:rPr>
        <w:t>包括的卫星网络申报</w:t>
      </w:r>
      <w:r>
        <w:rPr>
          <w:rFonts w:hint="eastAsia"/>
          <w:lang w:eastAsia="zh-CN"/>
        </w:rPr>
        <w:t>的</w:t>
      </w:r>
      <w:r w:rsidRPr="000D07F5">
        <w:rPr>
          <w:lang w:eastAsia="zh-CN"/>
        </w:rPr>
        <w:t>成本回收规定了一种修订的机制，迄今为止，国际电联全体成员对此机制感到满意，</w:t>
      </w:r>
    </w:p>
    <w:p w14:paraId="4827ABA4" w14:textId="77777777" w:rsidR="00E77AE7" w:rsidRPr="00C3403A" w:rsidRDefault="00E77AE7" w:rsidP="00B64353">
      <w:pPr>
        <w:pStyle w:val="Call"/>
        <w:rPr>
          <w:rFonts w:ascii="STKaiti" w:hAnsi="STKaiti"/>
          <w:iCs/>
          <w:lang w:eastAsia="zh-CN"/>
        </w:rPr>
      </w:pPr>
      <w:r w:rsidRPr="00C3403A">
        <w:rPr>
          <w:lang w:eastAsia="zh-CN"/>
        </w:rPr>
        <w:t>考虑到</w:t>
      </w:r>
    </w:p>
    <w:p w14:paraId="4827ABA5" w14:textId="77777777" w:rsidR="00E77AE7" w:rsidRDefault="00E77AE7" w:rsidP="00B64353">
      <w:pPr>
        <w:tabs>
          <w:tab w:val="clear" w:pos="794"/>
          <w:tab w:val="left" w:pos="567"/>
        </w:tabs>
        <w:rPr>
          <w:lang w:eastAsia="zh-CN"/>
        </w:rPr>
      </w:pPr>
      <w:r w:rsidRPr="000D07F5">
        <w:rPr>
          <w:lang w:eastAsia="zh-CN"/>
        </w:rPr>
        <w:tab/>
      </w:r>
      <w:r w:rsidRPr="000D07F5">
        <w:rPr>
          <w:lang w:eastAsia="zh-CN"/>
        </w:rPr>
        <w:t>全权代表大会（</w:t>
      </w:r>
      <w:r w:rsidRPr="000D07F5">
        <w:rPr>
          <w:lang w:eastAsia="zh-CN"/>
        </w:rPr>
        <w:t>2006</w:t>
      </w:r>
      <w:r w:rsidRPr="000D07F5">
        <w:rPr>
          <w:lang w:eastAsia="zh-CN"/>
        </w:rPr>
        <w:t>年，安塔利亚）通过了关于对卫星网络申报成本回收实施附加纠正措施的第</w:t>
      </w:r>
      <w:r w:rsidRPr="000D07F5">
        <w:rPr>
          <w:lang w:eastAsia="zh-CN"/>
        </w:rPr>
        <w:t>10</w:t>
      </w:r>
      <w:r w:rsidRPr="000D07F5">
        <w:rPr>
          <w:lang w:eastAsia="zh-CN"/>
        </w:rPr>
        <w:t>号决定</w:t>
      </w:r>
      <w:r>
        <w:rPr>
          <w:rFonts w:hint="eastAsia"/>
          <w:lang w:eastAsia="zh-CN"/>
        </w:rPr>
        <w:t>；</w:t>
      </w:r>
    </w:p>
    <w:p w14:paraId="4827ABA6" w14:textId="77777777" w:rsidR="00E77AE7" w:rsidRPr="000D07F5" w:rsidRDefault="00E77AE7" w:rsidP="00B64353">
      <w:pPr>
        <w:tabs>
          <w:tab w:val="clear" w:pos="794"/>
          <w:tab w:val="left" w:pos="567"/>
        </w:tabs>
        <w:rPr>
          <w:lang w:eastAsia="zh-CN"/>
        </w:rPr>
      </w:pPr>
      <w:r>
        <w:rPr>
          <w:rFonts w:hint="eastAsia"/>
          <w:lang w:eastAsia="zh-CN"/>
        </w:rPr>
        <w:tab/>
      </w:r>
      <w:r>
        <w:rPr>
          <w:rFonts w:hint="eastAsia"/>
          <w:lang w:eastAsia="zh-CN"/>
        </w:rPr>
        <w:t>该大会</w:t>
      </w:r>
      <w:r w:rsidRPr="000D07F5">
        <w:rPr>
          <w:lang w:eastAsia="zh-CN"/>
        </w:rPr>
        <w:t>授权理事会</w:t>
      </w:r>
      <w:r>
        <w:rPr>
          <w:rFonts w:hint="eastAsia"/>
          <w:lang w:eastAsia="zh-CN"/>
        </w:rPr>
        <w:t>就因不</w:t>
      </w:r>
      <w:r w:rsidRPr="000D07F5">
        <w:rPr>
          <w:lang w:eastAsia="zh-CN"/>
        </w:rPr>
        <w:t>支付费用而被取消的卫星网络申报是否付费的问题</w:t>
      </w:r>
      <w:r>
        <w:rPr>
          <w:rFonts w:hint="eastAsia"/>
          <w:lang w:eastAsia="zh-CN"/>
        </w:rPr>
        <w:t>做出决定，</w:t>
      </w:r>
    </w:p>
    <w:p w14:paraId="4827ABA7" w14:textId="77777777" w:rsidR="00FB70A0" w:rsidRDefault="00FB70A0">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lang w:eastAsia="zh-CN"/>
        </w:rPr>
        <w:br w:type="page"/>
      </w:r>
    </w:p>
    <w:p w14:paraId="4827ABA8" w14:textId="77777777" w:rsidR="00E77AE7" w:rsidRPr="00C3403A" w:rsidRDefault="00E77AE7" w:rsidP="00B64353">
      <w:pPr>
        <w:pStyle w:val="Call"/>
        <w:rPr>
          <w:rFonts w:ascii="STKaiti" w:hAnsi="STKaiti"/>
          <w:iCs/>
          <w:lang w:eastAsia="zh-CN"/>
        </w:rPr>
      </w:pPr>
      <w:r w:rsidRPr="00C3403A">
        <w:rPr>
          <w:lang w:eastAsia="zh-CN"/>
        </w:rPr>
        <w:lastRenderedPageBreak/>
        <w:t>认识到</w:t>
      </w:r>
    </w:p>
    <w:p w14:paraId="4827ABA9" w14:textId="77777777" w:rsidR="00E77AE7" w:rsidRPr="000D07F5" w:rsidRDefault="00E77AE7" w:rsidP="00B64353">
      <w:pPr>
        <w:tabs>
          <w:tab w:val="clear" w:pos="794"/>
          <w:tab w:val="left" w:pos="567"/>
        </w:tabs>
        <w:rPr>
          <w:lang w:eastAsia="zh-CN"/>
        </w:rPr>
      </w:pPr>
      <w:r w:rsidRPr="000D07F5">
        <w:rPr>
          <w:lang w:eastAsia="zh-CN"/>
        </w:rPr>
        <w:tab/>
      </w:r>
      <w:r w:rsidRPr="00576EB5">
        <w:rPr>
          <w:lang w:eastAsia="zh-CN"/>
        </w:rPr>
        <w:t>在因不支付费用而</w:t>
      </w:r>
      <w:r w:rsidRPr="00576EB5">
        <w:rPr>
          <w:rFonts w:hint="eastAsia"/>
          <w:lang w:eastAsia="zh-CN"/>
        </w:rPr>
        <w:t>取消</w:t>
      </w:r>
      <w:r w:rsidRPr="00576EB5">
        <w:rPr>
          <w:lang w:eastAsia="zh-CN"/>
        </w:rPr>
        <w:t>网络申报之前，无线电通信局已经做了大量工作处理这些网络并在相关的</w:t>
      </w:r>
      <w:r>
        <w:rPr>
          <w:rFonts w:hint="eastAsia"/>
          <w:lang w:eastAsia="zh-CN"/>
        </w:rPr>
        <w:t>无线电通信局《国际频率信息通报》</w:t>
      </w:r>
      <w:r w:rsidRPr="00576EB5">
        <w:rPr>
          <w:lang w:eastAsia="zh-CN"/>
        </w:rPr>
        <w:t>上予以公布，</w:t>
      </w:r>
    </w:p>
    <w:p w14:paraId="4827ABAA" w14:textId="77777777" w:rsidR="00E77AE7" w:rsidRPr="00C3403A" w:rsidRDefault="00E77AE7" w:rsidP="00B64353">
      <w:pPr>
        <w:pStyle w:val="Call"/>
        <w:rPr>
          <w:rFonts w:ascii="STKaiti" w:hAnsi="STKaiti"/>
          <w:iCs/>
          <w:lang w:eastAsia="zh-CN"/>
        </w:rPr>
      </w:pPr>
      <w:r w:rsidRPr="00C3403A">
        <w:rPr>
          <w:lang w:eastAsia="zh-CN"/>
        </w:rPr>
        <w:t>进一步认识到</w:t>
      </w:r>
    </w:p>
    <w:p w14:paraId="4827ABAB" w14:textId="77777777" w:rsidR="00E77AE7" w:rsidRPr="000D07F5" w:rsidRDefault="00E77AE7" w:rsidP="00B64353">
      <w:pPr>
        <w:tabs>
          <w:tab w:val="clear" w:pos="794"/>
          <w:tab w:val="left" w:pos="567"/>
        </w:tabs>
        <w:rPr>
          <w:lang w:eastAsia="zh-CN"/>
        </w:rPr>
      </w:pPr>
      <w:r w:rsidRPr="000D07F5">
        <w:rPr>
          <w:lang w:eastAsia="zh-CN"/>
        </w:rPr>
        <w:tab/>
      </w:r>
      <w:r w:rsidRPr="00576EB5">
        <w:rPr>
          <w:lang w:eastAsia="zh-CN"/>
        </w:rPr>
        <w:t>国际电联目前面临着严重的困难，因为它一方面要保持会费水平的零增长，而另一方面又面临着会费单位数量的减少和开支的增加，</w:t>
      </w:r>
    </w:p>
    <w:p w14:paraId="4827ABAC" w14:textId="77777777" w:rsidR="00E77AE7" w:rsidRPr="00C3403A" w:rsidRDefault="00E77AE7" w:rsidP="00B64353">
      <w:pPr>
        <w:pStyle w:val="Call"/>
        <w:rPr>
          <w:rStyle w:val="StyleCallSTKaitiChar"/>
          <w:lang w:eastAsia="zh-CN"/>
        </w:rPr>
      </w:pPr>
      <w:r w:rsidRPr="00C3403A">
        <w:rPr>
          <w:lang w:eastAsia="zh-CN"/>
        </w:rPr>
        <w:t>做出决定</w:t>
      </w:r>
    </w:p>
    <w:p w14:paraId="4827ABAD" w14:textId="77777777" w:rsidR="00E77AE7" w:rsidRPr="000D07F5" w:rsidRDefault="00E77AE7" w:rsidP="00B64353">
      <w:pPr>
        <w:rPr>
          <w:lang w:eastAsia="zh-CN"/>
        </w:rPr>
      </w:pPr>
      <w:r w:rsidRPr="000D07F5">
        <w:rPr>
          <w:lang w:eastAsia="zh-CN"/>
        </w:rPr>
        <w:t>1</w:t>
      </w:r>
      <w:r w:rsidRPr="000D07F5">
        <w:rPr>
          <w:lang w:eastAsia="zh-CN"/>
        </w:rPr>
        <w:tab/>
      </w:r>
      <w:r w:rsidRPr="000D07F5">
        <w:rPr>
          <w:lang w:eastAsia="zh-CN"/>
        </w:rPr>
        <w:t>根据《无线电规则》有关条款，针对因不支付费用而被</w:t>
      </w:r>
      <w:r>
        <w:rPr>
          <w:rFonts w:hint="eastAsia"/>
          <w:lang w:eastAsia="zh-CN"/>
        </w:rPr>
        <w:t>取消</w:t>
      </w:r>
      <w:r w:rsidRPr="000D07F5">
        <w:rPr>
          <w:lang w:eastAsia="zh-CN"/>
        </w:rPr>
        <w:t>的卫星网络申报应收取以下费用：</w:t>
      </w:r>
    </w:p>
    <w:p w14:paraId="4827ABAE" w14:textId="77777777" w:rsidR="00E77AE7" w:rsidRPr="00F27C95" w:rsidRDefault="00E77AE7" w:rsidP="00DF6CE9">
      <w:pPr>
        <w:pStyle w:val="enumlev2"/>
        <w:rPr>
          <w:szCs w:val="24"/>
          <w:lang w:eastAsia="zh-CN"/>
        </w:rPr>
      </w:pPr>
      <w:r w:rsidRPr="00F27C95">
        <w:rPr>
          <w:lang w:eastAsia="zh-CN"/>
        </w:rPr>
        <w:t>–</w:t>
      </w:r>
      <w:r w:rsidRPr="00F27C95">
        <w:rPr>
          <w:rFonts w:hint="eastAsia"/>
          <w:lang w:eastAsia="zh-CN"/>
        </w:rPr>
        <w:tab/>
      </w:r>
      <w:r w:rsidR="00194157">
        <w:rPr>
          <w:rFonts w:ascii="SimSun" w:cs="SimSun" w:hint="eastAsia"/>
          <w:lang w:eastAsia="zh-CN"/>
        </w:rPr>
        <w:t>待收费发票中原有费用的</w:t>
      </w:r>
      <w:r w:rsidR="00194157">
        <w:rPr>
          <w:rFonts w:ascii="Calibri" w:hAnsi="Calibri" w:cs="Calibri"/>
          <w:lang w:eastAsia="zh-CN"/>
        </w:rPr>
        <w:t>50%</w:t>
      </w:r>
      <w:r w:rsidR="00194157">
        <w:rPr>
          <w:rFonts w:ascii="SimSun" w:cs="SimSun" w:hint="eastAsia"/>
          <w:lang w:eastAsia="zh-CN"/>
        </w:rPr>
        <w:t>（第</w:t>
      </w:r>
      <w:r w:rsidR="00194157">
        <w:rPr>
          <w:rFonts w:ascii="Calibri" w:hAnsi="Calibri" w:cs="Calibri"/>
          <w:lang w:eastAsia="zh-CN"/>
        </w:rPr>
        <w:t>10</w:t>
      </w:r>
      <w:r w:rsidR="00194157">
        <w:rPr>
          <w:rFonts w:ascii="SimSun" w:cs="SimSun" w:hint="eastAsia"/>
          <w:lang w:eastAsia="zh-CN"/>
        </w:rPr>
        <w:t>号决定（</w:t>
      </w:r>
      <w:r w:rsidR="00194157">
        <w:rPr>
          <w:rFonts w:ascii="Calibri" w:hAnsi="Calibri" w:cs="Calibri"/>
          <w:lang w:eastAsia="zh-CN"/>
        </w:rPr>
        <w:t>2006</w:t>
      </w:r>
      <w:r w:rsidR="00194157">
        <w:rPr>
          <w:rFonts w:ascii="SimSun" w:cs="SimSun" w:hint="eastAsia"/>
          <w:lang w:eastAsia="zh-CN"/>
        </w:rPr>
        <w:t>年，安塔利亚））</w:t>
      </w:r>
      <w:r w:rsidRPr="00194157">
        <w:rPr>
          <w:lang w:eastAsia="zh-CN"/>
        </w:rPr>
        <w:t>；</w:t>
      </w:r>
    </w:p>
    <w:p w14:paraId="4827ABAF" w14:textId="77777777" w:rsidR="00E77AE7" w:rsidRPr="000D07F5" w:rsidRDefault="00E77AE7" w:rsidP="00B64353">
      <w:pPr>
        <w:rPr>
          <w:lang w:eastAsia="zh-CN"/>
        </w:rPr>
      </w:pPr>
      <w:r w:rsidRPr="000D07F5">
        <w:rPr>
          <w:lang w:eastAsia="zh-CN"/>
        </w:rPr>
        <w:t>2</w:t>
      </w:r>
      <w:r w:rsidRPr="000D07F5">
        <w:rPr>
          <w:lang w:eastAsia="zh-CN"/>
        </w:rPr>
        <w:tab/>
      </w:r>
      <w:r w:rsidRPr="000D07F5">
        <w:rPr>
          <w:lang w:eastAsia="zh-CN"/>
        </w:rPr>
        <w:t>支付了经修订的发票款项后</w:t>
      </w:r>
      <w:r>
        <w:rPr>
          <w:rFonts w:hint="eastAsia"/>
          <w:lang w:eastAsia="zh-CN"/>
        </w:rPr>
        <w:t>，</w:t>
      </w:r>
      <w:r w:rsidRPr="000D07F5">
        <w:rPr>
          <w:lang w:eastAsia="zh-CN"/>
        </w:rPr>
        <w:t>亦不应恢复因未按《无线电规则》有关条款支付费用而被</w:t>
      </w:r>
      <w:r>
        <w:rPr>
          <w:rFonts w:hint="eastAsia"/>
          <w:lang w:eastAsia="zh-CN"/>
        </w:rPr>
        <w:t>取消</w:t>
      </w:r>
      <w:r w:rsidRPr="000D07F5">
        <w:rPr>
          <w:lang w:eastAsia="zh-CN"/>
        </w:rPr>
        <w:t>的任何网络的规则权利；</w:t>
      </w:r>
    </w:p>
    <w:p w14:paraId="4827ABB0" w14:textId="77777777" w:rsidR="00E77AE7" w:rsidRPr="000D07F5" w:rsidRDefault="00E77AE7" w:rsidP="00B64353">
      <w:pPr>
        <w:rPr>
          <w:lang w:eastAsia="zh-CN"/>
        </w:rPr>
      </w:pPr>
      <w:r w:rsidRPr="000D07F5">
        <w:rPr>
          <w:lang w:eastAsia="zh-CN"/>
        </w:rPr>
        <w:t>3</w:t>
      </w:r>
      <w:r w:rsidRPr="000D07F5">
        <w:rPr>
          <w:lang w:eastAsia="zh-CN"/>
        </w:rPr>
        <w:tab/>
      </w:r>
      <w:r w:rsidRPr="000D07F5">
        <w:rPr>
          <w:lang w:eastAsia="zh-CN"/>
        </w:rPr>
        <w:t>支付了经修订的发票后，已开具发票的卫星网络申报的成本回收费应视为已</w:t>
      </w:r>
      <w:r>
        <w:rPr>
          <w:rFonts w:hint="eastAsia"/>
          <w:lang w:eastAsia="zh-CN"/>
        </w:rPr>
        <w:t>予以</w:t>
      </w:r>
      <w:r w:rsidRPr="000D07F5">
        <w:rPr>
          <w:lang w:eastAsia="zh-CN"/>
        </w:rPr>
        <w:t>支付；</w:t>
      </w:r>
    </w:p>
    <w:p w14:paraId="4827ABB1" w14:textId="77777777" w:rsidR="00E77AE7" w:rsidRPr="000D07F5" w:rsidRDefault="00E77AE7" w:rsidP="00B64353">
      <w:pPr>
        <w:rPr>
          <w:lang w:eastAsia="zh-CN"/>
        </w:rPr>
      </w:pPr>
      <w:r w:rsidRPr="000D07F5">
        <w:rPr>
          <w:lang w:eastAsia="zh-CN"/>
        </w:rPr>
        <w:t>4</w:t>
      </w:r>
      <w:r w:rsidRPr="000D07F5">
        <w:rPr>
          <w:lang w:eastAsia="zh-CN"/>
        </w:rPr>
        <w:tab/>
      </w:r>
      <w:r>
        <w:rPr>
          <w:lang w:eastAsia="zh-CN"/>
        </w:rPr>
        <w:t>从储备金账目中提取的必要款项</w:t>
      </w:r>
      <w:r>
        <w:rPr>
          <w:rFonts w:hint="eastAsia"/>
          <w:lang w:eastAsia="zh-CN"/>
        </w:rPr>
        <w:t>绝</w:t>
      </w:r>
      <w:r w:rsidRPr="000D07F5">
        <w:rPr>
          <w:lang w:eastAsia="zh-CN"/>
        </w:rPr>
        <w:t>不应超过</w:t>
      </w:r>
      <w:r>
        <w:rPr>
          <w:rFonts w:hint="eastAsia"/>
          <w:lang w:eastAsia="zh-CN"/>
        </w:rPr>
        <w:t>276</w:t>
      </w:r>
      <w:r w:rsidRPr="000D07F5">
        <w:rPr>
          <w:lang w:eastAsia="zh-CN"/>
        </w:rPr>
        <w:t>万瑞郎，</w:t>
      </w:r>
    </w:p>
    <w:p w14:paraId="4827ABB2" w14:textId="77777777" w:rsidR="00E77AE7" w:rsidRPr="00C3403A" w:rsidRDefault="00E77AE7" w:rsidP="00B64353">
      <w:pPr>
        <w:pStyle w:val="Call"/>
        <w:rPr>
          <w:rStyle w:val="StyleCallSTKaitiChar"/>
          <w:lang w:eastAsia="zh-CN"/>
        </w:rPr>
      </w:pPr>
      <w:r w:rsidRPr="00C3403A">
        <w:rPr>
          <w:lang w:eastAsia="zh-CN"/>
        </w:rPr>
        <w:t>进一步做出决定</w:t>
      </w:r>
    </w:p>
    <w:p w14:paraId="4827ABB3" w14:textId="77777777" w:rsidR="00E77AE7" w:rsidRPr="000D07F5" w:rsidRDefault="00E77AE7" w:rsidP="00B64353">
      <w:pPr>
        <w:rPr>
          <w:lang w:eastAsia="zh-CN"/>
        </w:rPr>
      </w:pPr>
      <w:r w:rsidRPr="000D07F5">
        <w:rPr>
          <w:lang w:eastAsia="zh-CN"/>
        </w:rPr>
        <w:t>1</w:t>
      </w:r>
      <w:r w:rsidRPr="000D07F5">
        <w:rPr>
          <w:lang w:eastAsia="zh-CN"/>
        </w:rPr>
        <w:tab/>
      </w:r>
      <w:r w:rsidRPr="000D07F5">
        <w:rPr>
          <w:lang w:eastAsia="zh-CN"/>
        </w:rPr>
        <w:t>上述</w:t>
      </w:r>
      <w:r w:rsidRPr="001C551B">
        <w:rPr>
          <w:rFonts w:eastAsia="STKaiti"/>
          <w:lang w:eastAsia="zh-CN"/>
        </w:rPr>
        <w:t>做出决定</w:t>
      </w:r>
      <w:r w:rsidRPr="000D07F5">
        <w:rPr>
          <w:lang w:eastAsia="zh-CN"/>
        </w:rPr>
        <w:t>1</w:t>
      </w:r>
      <w:r w:rsidRPr="000D07F5">
        <w:rPr>
          <w:lang w:eastAsia="zh-CN"/>
        </w:rPr>
        <w:t>和</w:t>
      </w:r>
      <w:r w:rsidRPr="000D07F5">
        <w:rPr>
          <w:lang w:eastAsia="zh-CN"/>
        </w:rPr>
        <w:t>2</w:t>
      </w:r>
      <w:r w:rsidRPr="000D07F5">
        <w:rPr>
          <w:lang w:eastAsia="zh-CN"/>
        </w:rPr>
        <w:t>亦应适用于按照《无线电规则》相关条款</w:t>
      </w:r>
      <w:r>
        <w:rPr>
          <w:rFonts w:hint="eastAsia"/>
          <w:lang w:eastAsia="zh-CN"/>
        </w:rPr>
        <w:t>申报</w:t>
      </w:r>
      <w:r w:rsidRPr="000D07F5">
        <w:rPr>
          <w:lang w:eastAsia="zh-CN"/>
        </w:rPr>
        <w:t>被</w:t>
      </w:r>
      <w:r>
        <w:rPr>
          <w:rFonts w:hint="eastAsia"/>
          <w:lang w:eastAsia="zh-CN"/>
        </w:rPr>
        <w:t>取消</w:t>
      </w:r>
      <w:r w:rsidRPr="000D07F5">
        <w:rPr>
          <w:lang w:eastAsia="zh-CN"/>
        </w:rPr>
        <w:t>后收到其付费的卫星网络申报；</w:t>
      </w:r>
    </w:p>
    <w:p w14:paraId="4827ABB4" w14:textId="77777777" w:rsidR="00E77AE7" w:rsidRPr="000D07F5" w:rsidRDefault="00E77AE7" w:rsidP="00B64353">
      <w:pPr>
        <w:rPr>
          <w:lang w:eastAsia="zh-CN"/>
        </w:rPr>
      </w:pPr>
      <w:r w:rsidRPr="000D07F5">
        <w:rPr>
          <w:lang w:eastAsia="zh-CN"/>
        </w:rPr>
        <w:t>2</w:t>
      </w:r>
      <w:r w:rsidRPr="000D07F5">
        <w:rPr>
          <w:lang w:eastAsia="zh-CN"/>
        </w:rPr>
        <w:tab/>
      </w:r>
      <w:r w:rsidRPr="000D07F5">
        <w:rPr>
          <w:lang w:eastAsia="zh-CN"/>
        </w:rPr>
        <w:t>上述</w:t>
      </w:r>
      <w:r w:rsidRPr="001C551B">
        <w:rPr>
          <w:rFonts w:eastAsia="STKaiti"/>
          <w:lang w:eastAsia="zh-CN"/>
        </w:rPr>
        <w:t>做出决定</w:t>
      </w:r>
      <w:r w:rsidRPr="000D07F5">
        <w:rPr>
          <w:lang w:eastAsia="zh-CN"/>
        </w:rPr>
        <w:t>1</w:t>
      </w:r>
      <w:r w:rsidRPr="000D07F5">
        <w:rPr>
          <w:lang w:eastAsia="zh-CN"/>
        </w:rPr>
        <w:t>至</w:t>
      </w:r>
      <w:r w:rsidRPr="000D07F5">
        <w:rPr>
          <w:szCs w:val="24"/>
          <w:lang w:eastAsia="zh-CN"/>
        </w:rPr>
        <w:t>2</w:t>
      </w:r>
      <w:r w:rsidRPr="000D07F5">
        <w:rPr>
          <w:lang w:eastAsia="zh-CN"/>
        </w:rPr>
        <w:t>仅应适用于在</w:t>
      </w:r>
      <w:r w:rsidRPr="000D07F5">
        <w:rPr>
          <w:lang w:eastAsia="zh-CN"/>
        </w:rPr>
        <w:t>2006</w:t>
      </w:r>
      <w:r w:rsidRPr="000D07F5">
        <w:rPr>
          <w:lang w:eastAsia="zh-CN"/>
        </w:rPr>
        <w:t>年</w:t>
      </w:r>
      <w:r w:rsidRPr="000D07F5">
        <w:rPr>
          <w:lang w:eastAsia="zh-CN"/>
        </w:rPr>
        <w:t>1</w:t>
      </w:r>
      <w:r w:rsidRPr="000D07F5">
        <w:rPr>
          <w:lang w:eastAsia="zh-CN"/>
        </w:rPr>
        <w:t>月</w:t>
      </w:r>
      <w:r w:rsidRPr="000D07F5">
        <w:rPr>
          <w:lang w:eastAsia="zh-CN"/>
        </w:rPr>
        <w:t>1</w:t>
      </w:r>
      <w:r w:rsidRPr="000D07F5">
        <w:rPr>
          <w:lang w:eastAsia="zh-CN"/>
        </w:rPr>
        <w:t>日前收到并已</w:t>
      </w:r>
      <w:r>
        <w:rPr>
          <w:rFonts w:hint="eastAsia"/>
          <w:lang w:eastAsia="zh-CN"/>
        </w:rPr>
        <w:t>取消</w:t>
      </w:r>
      <w:r w:rsidRPr="000D07F5">
        <w:rPr>
          <w:lang w:eastAsia="zh-CN"/>
        </w:rPr>
        <w:t>的卫星网络申报</w:t>
      </w:r>
      <w:r>
        <w:rPr>
          <w:rFonts w:hint="eastAsia"/>
          <w:lang w:eastAsia="zh-CN"/>
        </w:rPr>
        <w:t>，</w:t>
      </w:r>
    </w:p>
    <w:p w14:paraId="4827ABB5" w14:textId="77777777" w:rsidR="00E77AE7" w:rsidRPr="00C3403A" w:rsidRDefault="00E77AE7" w:rsidP="00B64353">
      <w:pPr>
        <w:pStyle w:val="Call"/>
        <w:rPr>
          <w:rStyle w:val="StyleCallSTKaitiChar"/>
          <w:lang w:eastAsia="zh-CN"/>
        </w:rPr>
      </w:pPr>
      <w:r w:rsidRPr="00C3403A">
        <w:rPr>
          <w:lang w:eastAsia="zh-CN"/>
        </w:rPr>
        <w:t>责成秘书长</w:t>
      </w:r>
    </w:p>
    <w:p w14:paraId="4827ABB6" w14:textId="77777777" w:rsidR="00E77AE7" w:rsidRDefault="00E77AE7" w:rsidP="00B64353">
      <w:pPr>
        <w:tabs>
          <w:tab w:val="clear" w:pos="794"/>
          <w:tab w:val="left" w:pos="567"/>
        </w:tabs>
        <w:rPr>
          <w:lang w:val="en-US" w:eastAsia="zh-CN"/>
        </w:rPr>
      </w:pPr>
      <w:r w:rsidRPr="000D07F5">
        <w:rPr>
          <w:lang w:eastAsia="zh-CN"/>
        </w:rPr>
        <w:tab/>
      </w:r>
      <w:r w:rsidRPr="00F27C95">
        <w:rPr>
          <w:lang w:eastAsia="zh-CN"/>
        </w:rPr>
        <w:t>根据第</w:t>
      </w:r>
      <w:r w:rsidRPr="000D07F5">
        <w:rPr>
          <w:lang w:eastAsia="zh-CN"/>
        </w:rPr>
        <w:t>41</w:t>
      </w:r>
      <w:r w:rsidRPr="00F27C95">
        <w:rPr>
          <w:lang w:eastAsia="zh-CN"/>
        </w:rPr>
        <w:t>号决议（</w:t>
      </w:r>
      <w:r w:rsidRPr="000D07F5">
        <w:rPr>
          <w:lang w:eastAsia="zh-CN"/>
        </w:rPr>
        <w:t>2006</w:t>
      </w:r>
      <w:r w:rsidRPr="00F27C95">
        <w:rPr>
          <w:lang w:eastAsia="zh-CN"/>
        </w:rPr>
        <w:t>年，安塔利亚，修订版），在本决定涉及的有关实施卫星网络申报成本回收的发票修订后，与</w:t>
      </w:r>
      <w:r w:rsidRPr="00F27C95">
        <w:rPr>
          <w:rFonts w:hint="eastAsia"/>
          <w:lang w:eastAsia="zh-CN"/>
        </w:rPr>
        <w:t>主动</w:t>
      </w:r>
      <w:r w:rsidRPr="00F27C95">
        <w:rPr>
          <w:lang w:eastAsia="zh-CN"/>
        </w:rPr>
        <w:t>要求还款的成员国制定还款计划。</w:t>
      </w:r>
    </w:p>
    <w:p w14:paraId="4827ABB7" w14:textId="77777777" w:rsidR="00FB70A0" w:rsidRDefault="00FB70A0">
      <w:pPr>
        <w:tabs>
          <w:tab w:val="clear" w:pos="794"/>
          <w:tab w:val="clear" w:pos="1191"/>
          <w:tab w:val="clear" w:pos="1588"/>
          <w:tab w:val="clear" w:pos="1985"/>
        </w:tabs>
        <w:overflowPunct/>
        <w:autoSpaceDE/>
        <w:autoSpaceDN/>
        <w:adjustRightInd/>
        <w:spacing w:before="0"/>
        <w:jc w:val="left"/>
        <w:textAlignment w:val="auto"/>
        <w:rPr>
          <w:sz w:val="28"/>
          <w:szCs w:val="28"/>
          <w:lang w:val="fr-FR" w:eastAsia="zh-CN"/>
        </w:rPr>
      </w:pPr>
      <w:r>
        <w:rPr>
          <w:sz w:val="28"/>
          <w:szCs w:val="28"/>
          <w:lang w:val="fr-FR" w:eastAsia="zh-CN"/>
        </w:rPr>
        <w:br w:type="page"/>
      </w:r>
    </w:p>
    <w:p w14:paraId="4827ABB8" w14:textId="77777777" w:rsidR="00F87B27" w:rsidRPr="008B32FB" w:rsidRDefault="00F87B27" w:rsidP="00F87B27">
      <w:pPr>
        <w:pStyle w:val="AnnexNotitle"/>
        <w:rPr>
          <w:b w:val="0"/>
          <w:lang w:val="fr-FR" w:eastAsia="zh-CN"/>
        </w:rPr>
      </w:pPr>
      <w:r w:rsidRPr="008B32FB">
        <w:rPr>
          <w:b w:val="0"/>
          <w:lang w:val="fr-FR" w:eastAsia="zh-CN"/>
        </w:rPr>
        <w:lastRenderedPageBreak/>
        <w:t>根据第</w:t>
      </w:r>
      <w:r w:rsidRPr="008B32FB">
        <w:rPr>
          <w:rFonts w:hint="eastAsia"/>
          <w:b w:val="0"/>
          <w:lang w:eastAsia="zh-CN"/>
        </w:rPr>
        <w:t>545</w:t>
      </w:r>
      <w:r w:rsidRPr="008B32FB">
        <w:rPr>
          <w:b w:val="0"/>
          <w:lang w:val="fr-FR" w:eastAsia="zh-CN"/>
        </w:rPr>
        <w:t>号决定</w:t>
      </w:r>
      <w:r w:rsidRPr="008B32FB">
        <w:rPr>
          <w:b w:val="0"/>
          <w:lang w:eastAsia="zh-CN"/>
        </w:rPr>
        <w:t>（</w:t>
      </w:r>
      <w:r w:rsidRPr="008B32FB">
        <w:rPr>
          <w:b w:val="0"/>
          <w:lang w:val="fr-FR" w:eastAsia="zh-CN"/>
        </w:rPr>
        <w:t>理事会</w:t>
      </w:r>
      <w:r w:rsidRPr="008B32FB">
        <w:rPr>
          <w:b w:val="0"/>
          <w:lang w:eastAsia="zh-CN"/>
        </w:rPr>
        <w:t>2007</w:t>
      </w:r>
      <w:r w:rsidRPr="008B32FB">
        <w:rPr>
          <w:b w:val="0"/>
          <w:lang w:val="fr-FR" w:eastAsia="zh-CN"/>
        </w:rPr>
        <w:t>年会议</w:t>
      </w:r>
      <w:r w:rsidRPr="008B32FB">
        <w:rPr>
          <w:b w:val="0"/>
          <w:lang w:eastAsia="zh-CN"/>
        </w:rPr>
        <w:t>）</w:t>
      </w:r>
      <w:r w:rsidRPr="008B32FB">
        <w:rPr>
          <w:rFonts w:ascii="STKaiti" w:eastAsia="STKaiti" w:hAnsi="STKaiti"/>
          <w:b w:val="0"/>
          <w:lang w:val="fr-FR" w:eastAsia="zh-CN"/>
        </w:rPr>
        <w:t>做出决定</w:t>
      </w:r>
      <w:r w:rsidRPr="008B32FB">
        <w:rPr>
          <w:b w:val="0"/>
          <w:lang w:val="fr-FR" w:eastAsia="zh-CN"/>
        </w:rPr>
        <w:t>1</w:t>
      </w:r>
      <w:r w:rsidRPr="008B32FB">
        <w:rPr>
          <w:b w:val="0"/>
          <w:lang w:val="fr-FR" w:eastAsia="zh-CN"/>
        </w:rPr>
        <w:br/>
      </w:r>
      <w:r w:rsidRPr="008B32FB">
        <w:rPr>
          <w:b w:val="0"/>
          <w:lang w:val="fr-FR" w:eastAsia="zh-CN"/>
        </w:rPr>
        <w:t>列出的主管部门</w:t>
      </w:r>
      <w:r w:rsidRPr="008B32FB">
        <w:rPr>
          <w:rFonts w:hint="eastAsia"/>
          <w:b w:val="0"/>
          <w:lang w:val="fr-FR" w:eastAsia="zh-CN"/>
        </w:rPr>
        <w:t>和</w:t>
      </w:r>
      <w:r w:rsidRPr="008B32FB">
        <w:rPr>
          <w:b w:val="0"/>
          <w:lang w:val="fr-FR" w:eastAsia="zh-CN"/>
        </w:rPr>
        <w:t>修订</w:t>
      </w:r>
      <w:r w:rsidRPr="008B32FB">
        <w:rPr>
          <w:rFonts w:hint="eastAsia"/>
          <w:b w:val="0"/>
          <w:lang w:val="fr-FR" w:eastAsia="zh-CN"/>
        </w:rPr>
        <w:t>后</w:t>
      </w:r>
      <w:r w:rsidRPr="008B32FB">
        <w:rPr>
          <w:b w:val="0"/>
          <w:lang w:val="fr-FR" w:eastAsia="zh-CN"/>
        </w:rPr>
        <w:t>费用</w:t>
      </w:r>
      <w:r w:rsidRPr="008B32FB">
        <w:rPr>
          <w:rFonts w:hint="eastAsia"/>
          <w:b w:val="0"/>
          <w:lang w:val="fr-FR" w:eastAsia="zh-CN"/>
        </w:rPr>
        <w:t>的</w:t>
      </w:r>
      <w:r w:rsidRPr="008B32FB">
        <w:rPr>
          <w:b w:val="0"/>
          <w:lang w:val="fr-FR" w:eastAsia="zh-CN"/>
        </w:rPr>
        <w:t>清单</w:t>
      </w:r>
    </w:p>
    <w:tbl>
      <w:tblPr>
        <w:tblStyle w:val="TableGrid"/>
        <w:tblW w:w="0" w:type="auto"/>
        <w:jc w:val="center"/>
        <w:tblLook w:val="01E0" w:firstRow="1" w:lastRow="1" w:firstColumn="1" w:lastColumn="1" w:noHBand="0" w:noVBand="0"/>
      </w:tblPr>
      <w:tblGrid>
        <w:gridCol w:w="2752"/>
        <w:gridCol w:w="2777"/>
      </w:tblGrid>
      <w:tr w:rsidR="00F87B27" w:rsidRPr="000D07F5" w14:paraId="4827ABBB" w14:textId="77777777" w:rsidTr="000B634A">
        <w:trPr>
          <w:trHeight w:val="360"/>
          <w:jc w:val="center"/>
        </w:trPr>
        <w:tc>
          <w:tcPr>
            <w:tcW w:w="2752" w:type="dxa"/>
            <w:vAlign w:val="center"/>
          </w:tcPr>
          <w:p w14:paraId="4827ABB9" w14:textId="77777777" w:rsidR="00F87B27" w:rsidRPr="009F6765" w:rsidRDefault="00F87B27" w:rsidP="00F87B27">
            <w:pPr>
              <w:pStyle w:val="TableHead0"/>
            </w:pPr>
            <w:r w:rsidRPr="009F6765">
              <w:rPr>
                <w:lang w:eastAsia="zh-CN"/>
              </w:rPr>
              <w:t>主管部门</w:t>
            </w:r>
          </w:p>
        </w:tc>
        <w:tc>
          <w:tcPr>
            <w:tcW w:w="2777" w:type="dxa"/>
            <w:vAlign w:val="center"/>
          </w:tcPr>
          <w:p w14:paraId="4827ABBA" w14:textId="77777777" w:rsidR="00F87B27" w:rsidRPr="009F6765" w:rsidRDefault="00F87B27" w:rsidP="00F87B27">
            <w:pPr>
              <w:pStyle w:val="TableHead0"/>
              <w:rPr>
                <w:lang w:val="fr-FR" w:eastAsia="zh-CN"/>
              </w:rPr>
            </w:pPr>
            <w:r w:rsidRPr="009F6765">
              <w:rPr>
                <w:lang w:val="fr-FR" w:eastAsia="zh-CN"/>
              </w:rPr>
              <w:t>修订</w:t>
            </w:r>
            <w:r w:rsidRPr="009F6765">
              <w:rPr>
                <w:rFonts w:hint="eastAsia"/>
                <w:lang w:val="fr-FR" w:eastAsia="zh-CN"/>
              </w:rPr>
              <w:t>后</w:t>
            </w:r>
            <w:r w:rsidRPr="009F6765">
              <w:rPr>
                <w:lang w:val="fr-FR" w:eastAsia="zh-CN"/>
              </w:rPr>
              <w:t>的总费用（瑞郎）</w:t>
            </w:r>
          </w:p>
        </w:tc>
      </w:tr>
      <w:tr w:rsidR="00F87B27" w:rsidRPr="000D07F5" w14:paraId="4827ABBE" w14:textId="77777777" w:rsidTr="000B634A">
        <w:trPr>
          <w:jc w:val="center"/>
        </w:trPr>
        <w:tc>
          <w:tcPr>
            <w:tcW w:w="2752" w:type="dxa"/>
            <w:vAlign w:val="center"/>
          </w:tcPr>
          <w:p w14:paraId="4827ABBC" w14:textId="77777777" w:rsidR="00F87B27" w:rsidRPr="000B634A" w:rsidRDefault="00F87B27" w:rsidP="000B634A">
            <w:pPr>
              <w:pStyle w:val="TableText0"/>
              <w:spacing w:before="0" w:after="0"/>
              <w:jc w:val="center"/>
              <w:rPr>
                <w:sz w:val="22"/>
                <w:szCs w:val="22"/>
              </w:rPr>
            </w:pPr>
            <w:r w:rsidRPr="000B634A">
              <w:rPr>
                <w:sz w:val="22"/>
                <w:szCs w:val="22"/>
                <w:lang w:eastAsia="zh-CN"/>
              </w:rPr>
              <w:t>澳大利亚</w:t>
            </w:r>
          </w:p>
        </w:tc>
        <w:tc>
          <w:tcPr>
            <w:tcW w:w="2777" w:type="dxa"/>
            <w:vAlign w:val="center"/>
          </w:tcPr>
          <w:p w14:paraId="4827ABBD" w14:textId="77777777" w:rsidR="00F87B27" w:rsidRPr="000B634A" w:rsidRDefault="00F87B27" w:rsidP="000B634A">
            <w:pPr>
              <w:pStyle w:val="TableText0"/>
              <w:spacing w:before="0" w:after="0"/>
              <w:jc w:val="center"/>
              <w:rPr>
                <w:sz w:val="22"/>
                <w:szCs w:val="22"/>
              </w:rPr>
            </w:pPr>
            <w:r w:rsidRPr="000B634A">
              <w:rPr>
                <w:sz w:val="22"/>
                <w:szCs w:val="22"/>
              </w:rPr>
              <w:t>147 898.50</w:t>
            </w:r>
          </w:p>
        </w:tc>
      </w:tr>
      <w:tr w:rsidR="00F87B27" w:rsidRPr="000D07F5" w14:paraId="4827ABC1" w14:textId="77777777" w:rsidTr="000B634A">
        <w:trPr>
          <w:jc w:val="center"/>
        </w:trPr>
        <w:tc>
          <w:tcPr>
            <w:tcW w:w="2752" w:type="dxa"/>
            <w:vAlign w:val="center"/>
          </w:tcPr>
          <w:p w14:paraId="4827ABBF" w14:textId="77777777" w:rsidR="00F87B27" w:rsidRPr="000B634A" w:rsidRDefault="00F87B27" w:rsidP="000B634A">
            <w:pPr>
              <w:pStyle w:val="TableText0"/>
              <w:spacing w:before="0" w:after="0"/>
              <w:jc w:val="center"/>
              <w:rPr>
                <w:sz w:val="22"/>
                <w:szCs w:val="22"/>
              </w:rPr>
            </w:pPr>
            <w:r w:rsidRPr="000B634A">
              <w:rPr>
                <w:sz w:val="22"/>
                <w:szCs w:val="22"/>
                <w:lang w:eastAsia="zh-CN"/>
              </w:rPr>
              <w:t>巴西</w:t>
            </w:r>
          </w:p>
        </w:tc>
        <w:tc>
          <w:tcPr>
            <w:tcW w:w="2777" w:type="dxa"/>
            <w:vAlign w:val="center"/>
          </w:tcPr>
          <w:p w14:paraId="4827ABC0" w14:textId="77777777" w:rsidR="00F87B27" w:rsidRPr="000B634A" w:rsidRDefault="00F87B27" w:rsidP="000B634A">
            <w:pPr>
              <w:pStyle w:val="TableText0"/>
              <w:spacing w:before="0" w:after="0"/>
              <w:jc w:val="center"/>
              <w:rPr>
                <w:sz w:val="22"/>
                <w:szCs w:val="22"/>
              </w:rPr>
            </w:pPr>
            <w:r w:rsidRPr="000B634A">
              <w:rPr>
                <w:sz w:val="22"/>
                <w:szCs w:val="22"/>
              </w:rPr>
              <w:t>14 000.00</w:t>
            </w:r>
          </w:p>
        </w:tc>
      </w:tr>
      <w:tr w:rsidR="00F87B27" w:rsidRPr="000D07F5" w14:paraId="4827ABC4" w14:textId="77777777" w:rsidTr="000B634A">
        <w:trPr>
          <w:jc w:val="center"/>
        </w:trPr>
        <w:tc>
          <w:tcPr>
            <w:tcW w:w="2752" w:type="dxa"/>
            <w:vAlign w:val="center"/>
          </w:tcPr>
          <w:p w14:paraId="4827ABC2" w14:textId="77777777" w:rsidR="00F87B27" w:rsidRPr="000B634A" w:rsidRDefault="00F87B27" w:rsidP="000B634A">
            <w:pPr>
              <w:pStyle w:val="TableText0"/>
              <w:spacing w:before="0" w:after="0"/>
              <w:jc w:val="center"/>
              <w:rPr>
                <w:sz w:val="22"/>
                <w:szCs w:val="22"/>
              </w:rPr>
            </w:pPr>
            <w:r w:rsidRPr="000B634A">
              <w:rPr>
                <w:sz w:val="22"/>
                <w:szCs w:val="22"/>
                <w:lang w:eastAsia="zh-CN"/>
              </w:rPr>
              <w:t>中国</w:t>
            </w:r>
          </w:p>
        </w:tc>
        <w:tc>
          <w:tcPr>
            <w:tcW w:w="2777" w:type="dxa"/>
            <w:vAlign w:val="center"/>
          </w:tcPr>
          <w:p w14:paraId="4827ABC3" w14:textId="77777777" w:rsidR="00F87B27" w:rsidRPr="000B634A" w:rsidRDefault="00F87B27" w:rsidP="000B634A">
            <w:pPr>
              <w:pStyle w:val="TableText0"/>
              <w:spacing w:before="0" w:after="0"/>
              <w:jc w:val="center"/>
              <w:rPr>
                <w:sz w:val="22"/>
                <w:szCs w:val="22"/>
              </w:rPr>
            </w:pPr>
            <w:r w:rsidRPr="000B634A">
              <w:rPr>
                <w:sz w:val="22"/>
                <w:szCs w:val="22"/>
              </w:rPr>
              <w:t>253 696.00</w:t>
            </w:r>
          </w:p>
        </w:tc>
      </w:tr>
      <w:tr w:rsidR="00F87B27" w:rsidRPr="000D07F5" w14:paraId="4827ABC7" w14:textId="77777777" w:rsidTr="000B634A">
        <w:trPr>
          <w:jc w:val="center"/>
        </w:trPr>
        <w:tc>
          <w:tcPr>
            <w:tcW w:w="2752" w:type="dxa"/>
            <w:vAlign w:val="center"/>
          </w:tcPr>
          <w:p w14:paraId="4827ABC5" w14:textId="77777777" w:rsidR="00F87B27" w:rsidRPr="000B634A" w:rsidRDefault="00F87B27" w:rsidP="000B634A">
            <w:pPr>
              <w:pStyle w:val="TableText0"/>
              <w:spacing w:before="0" w:after="0"/>
              <w:jc w:val="center"/>
              <w:rPr>
                <w:sz w:val="22"/>
                <w:szCs w:val="22"/>
                <w:lang w:eastAsia="zh-CN"/>
              </w:rPr>
            </w:pPr>
            <w:r w:rsidRPr="000B634A">
              <w:rPr>
                <w:sz w:val="22"/>
                <w:szCs w:val="22"/>
                <w:lang w:eastAsia="zh-CN"/>
              </w:rPr>
              <w:t>埃及</w:t>
            </w:r>
          </w:p>
        </w:tc>
        <w:tc>
          <w:tcPr>
            <w:tcW w:w="2777" w:type="dxa"/>
            <w:vAlign w:val="center"/>
          </w:tcPr>
          <w:p w14:paraId="4827ABC6" w14:textId="77777777" w:rsidR="00F87B27" w:rsidRPr="000B634A" w:rsidRDefault="00F87B27" w:rsidP="000B634A">
            <w:pPr>
              <w:pStyle w:val="TableText0"/>
              <w:spacing w:before="0" w:after="0"/>
              <w:jc w:val="center"/>
              <w:rPr>
                <w:sz w:val="22"/>
                <w:szCs w:val="22"/>
              </w:rPr>
            </w:pPr>
            <w:r w:rsidRPr="000B634A">
              <w:rPr>
                <w:sz w:val="22"/>
                <w:szCs w:val="22"/>
              </w:rPr>
              <w:t>8 400.00</w:t>
            </w:r>
          </w:p>
        </w:tc>
      </w:tr>
      <w:tr w:rsidR="00F87B27" w:rsidRPr="000D07F5" w14:paraId="4827ABCA" w14:textId="77777777" w:rsidTr="000B634A">
        <w:trPr>
          <w:jc w:val="center"/>
        </w:trPr>
        <w:tc>
          <w:tcPr>
            <w:tcW w:w="2752" w:type="dxa"/>
            <w:vAlign w:val="center"/>
          </w:tcPr>
          <w:p w14:paraId="4827ABC8" w14:textId="77777777" w:rsidR="00F87B27" w:rsidRPr="000B634A" w:rsidRDefault="00F87B27" w:rsidP="000B634A">
            <w:pPr>
              <w:pStyle w:val="TableText0"/>
              <w:spacing w:before="0" w:after="0"/>
              <w:jc w:val="center"/>
              <w:rPr>
                <w:sz w:val="22"/>
                <w:szCs w:val="22"/>
              </w:rPr>
            </w:pPr>
            <w:r w:rsidRPr="000B634A">
              <w:rPr>
                <w:sz w:val="22"/>
                <w:szCs w:val="22"/>
                <w:lang w:eastAsia="zh-CN"/>
              </w:rPr>
              <w:t>法国</w:t>
            </w:r>
          </w:p>
        </w:tc>
        <w:tc>
          <w:tcPr>
            <w:tcW w:w="2777" w:type="dxa"/>
            <w:vAlign w:val="center"/>
          </w:tcPr>
          <w:p w14:paraId="4827ABC9" w14:textId="77777777" w:rsidR="00F87B27" w:rsidRPr="000B634A" w:rsidRDefault="00F87B27" w:rsidP="000B634A">
            <w:pPr>
              <w:pStyle w:val="TableText0"/>
              <w:spacing w:before="0" w:after="0"/>
              <w:jc w:val="center"/>
              <w:rPr>
                <w:sz w:val="22"/>
                <w:szCs w:val="22"/>
              </w:rPr>
            </w:pPr>
            <w:r w:rsidRPr="000B634A">
              <w:rPr>
                <w:sz w:val="22"/>
                <w:szCs w:val="22"/>
              </w:rPr>
              <w:t>1 289 887.00</w:t>
            </w:r>
          </w:p>
        </w:tc>
      </w:tr>
      <w:tr w:rsidR="00F87B27" w:rsidRPr="000D07F5" w14:paraId="4827ABCD" w14:textId="77777777" w:rsidTr="000B634A">
        <w:trPr>
          <w:jc w:val="center"/>
        </w:trPr>
        <w:tc>
          <w:tcPr>
            <w:tcW w:w="2752" w:type="dxa"/>
            <w:vAlign w:val="center"/>
          </w:tcPr>
          <w:p w14:paraId="4827ABCB" w14:textId="77777777" w:rsidR="00F87B27" w:rsidRPr="000B634A" w:rsidRDefault="00F87B27" w:rsidP="000B634A">
            <w:pPr>
              <w:pStyle w:val="TableText0"/>
              <w:spacing w:before="0" w:after="0"/>
              <w:jc w:val="center"/>
              <w:rPr>
                <w:sz w:val="22"/>
                <w:szCs w:val="22"/>
              </w:rPr>
            </w:pPr>
            <w:r w:rsidRPr="000B634A">
              <w:rPr>
                <w:color w:val="000000"/>
                <w:sz w:val="22"/>
                <w:szCs w:val="22"/>
                <w:lang w:val="en-US" w:eastAsia="zh-CN"/>
              </w:rPr>
              <w:t>荷兰</w:t>
            </w:r>
          </w:p>
        </w:tc>
        <w:tc>
          <w:tcPr>
            <w:tcW w:w="2777" w:type="dxa"/>
            <w:vAlign w:val="center"/>
          </w:tcPr>
          <w:p w14:paraId="4827ABCC" w14:textId="77777777" w:rsidR="00F87B27" w:rsidRPr="000B634A" w:rsidRDefault="00F87B27" w:rsidP="000B634A">
            <w:pPr>
              <w:pStyle w:val="TableText0"/>
              <w:spacing w:before="0" w:after="0"/>
              <w:jc w:val="center"/>
              <w:rPr>
                <w:sz w:val="22"/>
                <w:szCs w:val="22"/>
              </w:rPr>
            </w:pPr>
            <w:r w:rsidRPr="000B634A">
              <w:rPr>
                <w:sz w:val="22"/>
                <w:szCs w:val="22"/>
              </w:rPr>
              <w:t>8 400.00</w:t>
            </w:r>
          </w:p>
        </w:tc>
      </w:tr>
      <w:tr w:rsidR="00F87B27" w:rsidRPr="000D07F5" w14:paraId="4827ABD0" w14:textId="77777777" w:rsidTr="000B634A">
        <w:trPr>
          <w:jc w:val="center"/>
        </w:trPr>
        <w:tc>
          <w:tcPr>
            <w:tcW w:w="2752" w:type="dxa"/>
            <w:vAlign w:val="center"/>
          </w:tcPr>
          <w:p w14:paraId="4827ABCE" w14:textId="77777777" w:rsidR="00F87B27" w:rsidRPr="000B634A" w:rsidRDefault="00F87B27" w:rsidP="000B634A">
            <w:pPr>
              <w:pStyle w:val="TableText0"/>
              <w:spacing w:before="0" w:after="0"/>
              <w:jc w:val="center"/>
              <w:rPr>
                <w:sz w:val="22"/>
                <w:szCs w:val="22"/>
              </w:rPr>
            </w:pPr>
            <w:r w:rsidRPr="000B634A">
              <w:rPr>
                <w:sz w:val="22"/>
                <w:szCs w:val="22"/>
                <w:lang w:eastAsia="zh-CN"/>
              </w:rPr>
              <w:t>印度</w:t>
            </w:r>
          </w:p>
        </w:tc>
        <w:tc>
          <w:tcPr>
            <w:tcW w:w="2777" w:type="dxa"/>
            <w:vAlign w:val="center"/>
          </w:tcPr>
          <w:p w14:paraId="4827ABCF" w14:textId="77777777" w:rsidR="00F87B27" w:rsidRPr="000B634A" w:rsidRDefault="00F87B27" w:rsidP="000B634A">
            <w:pPr>
              <w:pStyle w:val="TableText0"/>
              <w:spacing w:before="0" w:after="0"/>
              <w:jc w:val="center"/>
              <w:rPr>
                <w:sz w:val="22"/>
                <w:szCs w:val="22"/>
              </w:rPr>
            </w:pPr>
            <w:r w:rsidRPr="000B634A">
              <w:rPr>
                <w:sz w:val="22"/>
                <w:szCs w:val="22"/>
              </w:rPr>
              <w:t>10 222.50</w:t>
            </w:r>
          </w:p>
        </w:tc>
      </w:tr>
      <w:tr w:rsidR="00F87B27" w:rsidRPr="000D07F5" w14:paraId="4827ABD3" w14:textId="77777777" w:rsidTr="000B634A">
        <w:trPr>
          <w:jc w:val="center"/>
        </w:trPr>
        <w:tc>
          <w:tcPr>
            <w:tcW w:w="2752" w:type="dxa"/>
            <w:vAlign w:val="center"/>
          </w:tcPr>
          <w:p w14:paraId="4827ABD1" w14:textId="77777777" w:rsidR="00F87B27" w:rsidRPr="000B634A" w:rsidRDefault="00F87B27" w:rsidP="000B634A">
            <w:pPr>
              <w:pStyle w:val="TableText0"/>
              <w:spacing w:before="0" w:after="0"/>
              <w:jc w:val="center"/>
              <w:rPr>
                <w:sz w:val="22"/>
                <w:szCs w:val="22"/>
              </w:rPr>
            </w:pPr>
            <w:r w:rsidRPr="000B634A">
              <w:rPr>
                <w:sz w:val="22"/>
                <w:szCs w:val="22"/>
                <w:lang w:eastAsia="zh-CN"/>
              </w:rPr>
              <w:t>印度尼西亚</w:t>
            </w:r>
          </w:p>
        </w:tc>
        <w:tc>
          <w:tcPr>
            <w:tcW w:w="2777" w:type="dxa"/>
            <w:vAlign w:val="center"/>
          </w:tcPr>
          <w:p w14:paraId="4827ABD2" w14:textId="77777777" w:rsidR="00F87B27" w:rsidRPr="000B634A" w:rsidRDefault="00F87B27" w:rsidP="000B634A">
            <w:pPr>
              <w:pStyle w:val="TableText0"/>
              <w:spacing w:before="0" w:after="0"/>
              <w:jc w:val="center"/>
              <w:rPr>
                <w:sz w:val="22"/>
                <w:szCs w:val="22"/>
              </w:rPr>
            </w:pPr>
            <w:r w:rsidRPr="000B634A">
              <w:rPr>
                <w:sz w:val="22"/>
                <w:szCs w:val="22"/>
              </w:rPr>
              <w:t>15 156.00</w:t>
            </w:r>
          </w:p>
        </w:tc>
      </w:tr>
      <w:tr w:rsidR="00F87B27" w:rsidRPr="000D07F5" w14:paraId="4827ABD6" w14:textId="77777777" w:rsidTr="000B634A">
        <w:trPr>
          <w:jc w:val="center"/>
        </w:trPr>
        <w:tc>
          <w:tcPr>
            <w:tcW w:w="2752" w:type="dxa"/>
            <w:vAlign w:val="center"/>
          </w:tcPr>
          <w:p w14:paraId="4827ABD4" w14:textId="77777777" w:rsidR="00F87B27" w:rsidRPr="000B634A" w:rsidRDefault="00F87B27" w:rsidP="000B634A">
            <w:pPr>
              <w:pStyle w:val="TableText0"/>
              <w:spacing w:before="0" w:after="0"/>
              <w:jc w:val="center"/>
              <w:rPr>
                <w:sz w:val="22"/>
                <w:szCs w:val="22"/>
                <w:lang w:eastAsia="zh-CN"/>
              </w:rPr>
            </w:pPr>
            <w:r w:rsidRPr="000B634A">
              <w:rPr>
                <w:sz w:val="22"/>
                <w:szCs w:val="22"/>
                <w:lang w:eastAsia="zh-CN"/>
              </w:rPr>
              <w:t>伊朗</w:t>
            </w:r>
            <w:r w:rsidRPr="000B634A">
              <w:rPr>
                <w:rFonts w:hint="eastAsia"/>
                <w:sz w:val="22"/>
                <w:szCs w:val="22"/>
                <w:lang w:eastAsia="zh-CN"/>
              </w:rPr>
              <w:t>（伊斯兰共和国）</w:t>
            </w:r>
          </w:p>
        </w:tc>
        <w:tc>
          <w:tcPr>
            <w:tcW w:w="2777" w:type="dxa"/>
            <w:vAlign w:val="center"/>
          </w:tcPr>
          <w:p w14:paraId="4827ABD5" w14:textId="77777777" w:rsidR="00F87B27" w:rsidRPr="000B634A" w:rsidRDefault="00F87B27" w:rsidP="000B634A">
            <w:pPr>
              <w:pStyle w:val="TableText0"/>
              <w:spacing w:before="0" w:after="0"/>
              <w:jc w:val="center"/>
              <w:rPr>
                <w:sz w:val="22"/>
                <w:szCs w:val="22"/>
              </w:rPr>
            </w:pPr>
            <w:r w:rsidRPr="000B634A">
              <w:rPr>
                <w:sz w:val="22"/>
                <w:szCs w:val="22"/>
              </w:rPr>
              <w:t>21 000.00</w:t>
            </w:r>
          </w:p>
        </w:tc>
      </w:tr>
      <w:tr w:rsidR="00F87B27" w:rsidRPr="000D07F5" w14:paraId="4827ABD9" w14:textId="77777777" w:rsidTr="000B634A">
        <w:trPr>
          <w:jc w:val="center"/>
        </w:trPr>
        <w:tc>
          <w:tcPr>
            <w:tcW w:w="2752" w:type="dxa"/>
            <w:vAlign w:val="center"/>
          </w:tcPr>
          <w:p w14:paraId="4827ABD7" w14:textId="77777777" w:rsidR="00F87B27" w:rsidRPr="000B634A" w:rsidRDefault="00F87B27" w:rsidP="000B634A">
            <w:pPr>
              <w:pStyle w:val="TableText0"/>
              <w:spacing w:before="0" w:after="0"/>
              <w:jc w:val="center"/>
              <w:rPr>
                <w:sz w:val="22"/>
                <w:szCs w:val="22"/>
                <w:lang w:eastAsia="zh-CN"/>
              </w:rPr>
            </w:pPr>
            <w:r w:rsidRPr="000B634A">
              <w:rPr>
                <w:sz w:val="22"/>
                <w:szCs w:val="22"/>
                <w:lang w:eastAsia="zh-CN"/>
              </w:rPr>
              <w:t>老挝</w:t>
            </w:r>
            <w:r w:rsidRPr="000B634A">
              <w:rPr>
                <w:rFonts w:hint="eastAsia"/>
                <w:sz w:val="22"/>
                <w:szCs w:val="22"/>
                <w:lang w:eastAsia="zh-CN"/>
              </w:rPr>
              <w:t>（人民民主共和国）</w:t>
            </w:r>
          </w:p>
        </w:tc>
        <w:tc>
          <w:tcPr>
            <w:tcW w:w="2777" w:type="dxa"/>
            <w:vAlign w:val="center"/>
          </w:tcPr>
          <w:p w14:paraId="4827ABD8" w14:textId="77777777" w:rsidR="00F87B27" w:rsidRPr="000B634A" w:rsidRDefault="00F87B27" w:rsidP="000B634A">
            <w:pPr>
              <w:pStyle w:val="TableText0"/>
              <w:spacing w:before="0" w:after="0"/>
              <w:jc w:val="center"/>
              <w:rPr>
                <w:sz w:val="22"/>
                <w:szCs w:val="22"/>
              </w:rPr>
            </w:pPr>
            <w:r w:rsidRPr="000B634A">
              <w:rPr>
                <w:sz w:val="22"/>
                <w:szCs w:val="22"/>
              </w:rPr>
              <w:t>126 928.00</w:t>
            </w:r>
          </w:p>
        </w:tc>
      </w:tr>
      <w:tr w:rsidR="00F87B27" w:rsidRPr="000D07F5" w14:paraId="4827ABDC" w14:textId="77777777" w:rsidTr="000B634A">
        <w:trPr>
          <w:jc w:val="center"/>
        </w:trPr>
        <w:tc>
          <w:tcPr>
            <w:tcW w:w="2752" w:type="dxa"/>
            <w:vAlign w:val="center"/>
          </w:tcPr>
          <w:p w14:paraId="4827ABDA" w14:textId="77777777" w:rsidR="00F87B27" w:rsidRPr="000B634A" w:rsidRDefault="00F87B27" w:rsidP="000B634A">
            <w:pPr>
              <w:pStyle w:val="TableText0"/>
              <w:spacing w:before="0" w:after="0"/>
              <w:jc w:val="center"/>
              <w:rPr>
                <w:sz w:val="22"/>
                <w:szCs w:val="22"/>
              </w:rPr>
            </w:pPr>
            <w:r w:rsidRPr="000B634A">
              <w:rPr>
                <w:sz w:val="22"/>
                <w:szCs w:val="22"/>
                <w:lang w:eastAsia="zh-CN"/>
              </w:rPr>
              <w:t>卢森堡</w:t>
            </w:r>
          </w:p>
        </w:tc>
        <w:tc>
          <w:tcPr>
            <w:tcW w:w="2777" w:type="dxa"/>
            <w:vAlign w:val="center"/>
          </w:tcPr>
          <w:p w14:paraId="4827ABDB" w14:textId="77777777" w:rsidR="00F87B27" w:rsidRPr="000B634A" w:rsidRDefault="00F87B27" w:rsidP="000B634A">
            <w:pPr>
              <w:pStyle w:val="TableText0"/>
              <w:spacing w:before="0" w:after="0"/>
              <w:jc w:val="center"/>
              <w:rPr>
                <w:sz w:val="22"/>
                <w:szCs w:val="22"/>
              </w:rPr>
            </w:pPr>
            <w:r w:rsidRPr="000B634A">
              <w:rPr>
                <w:sz w:val="22"/>
                <w:szCs w:val="22"/>
              </w:rPr>
              <w:t>45 000.00</w:t>
            </w:r>
          </w:p>
        </w:tc>
      </w:tr>
      <w:tr w:rsidR="00F87B27" w:rsidRPr="000D07F5" w14:paraId="4827ABDF" w14:textId="77777777" w:rsidTr="000B634A">
        <w:trPr>
          <w:jc w:val="center"/>
        </w:trPr>
        <w:tc>
          <w:tcPr>
            <w:tcW w:w="2752" w:type="dxa"/>
            <w:vAlign w:val="center"/>
          </w:tcPr>
          <w:p w14:paraId="4827ABDD" w14:textId="77777777" w:rsidR="00F87B27" w:rsidRPr="000B634A" w:rsidRDefault="00F87B27" w:rsidP="000B634A">
            <w:pPr>
              <w:pStyle w:val="TableText0"/>
              <w:spacing w:before="0" w:after="0"/>
              <w:jc w:val="center"/>
              <w:rPr>
                <w:sz w:val="22"/>
                <w:szCs w:val="22"/>
              </w:rPr>
            </w:pPr>
            <w:r w:rsidRPr="000B634A">
              <w:rPr>
                <w:sz w:val="22"/>
                <w:szCs w:val="22"/>
                <w:lang w:eastAsia="zh-CN"/>
              </w:rPr>
              <w:t>墨西哥</w:t>
            </w:r>
          </w:p>
        </w:tc>
        <w:tc>
          <w:tcPr>
            <w:tcW w:w="2777" w:type="dxa"/>
            <w:vAlign w:val="center"/>
          </w:tcPr>
          <w:p w14:paraId="4827ABDE" w14:textId="77777777" w:rsidR="00F87B27" w:rsidRPr="000B634A" w:rsidRDefault="00F87B27" w:rsidP="000B634A">
            <w:pPr>
              <w:pStyle w:val="TableText0"/>
              <w:spacing w:before="0" w:after="0"/>
              <w:jc w:val="center"/>
              <w:rPr>
                <w:sz w:val="22"/>
                <w:szCs w:val="22"/>
              </w:rPr>
            </w:pPr>
            <w:r w:rsidRPr="000B634A">
              <w:rPr>
                <w:sz w:val="22"/>
                <w:szCs w:val="22"/>
              </w:rPr>
              <w:t>8 400.00</w:t>
            </w:r>
          </w:p>
        </w:tc>
      </w:tr>
      <w:tr w:rsidR="00F87B27" w:rsidRPr="000D07F5" w14:paraId="4827ABE2" w14:textId="77777777" w:rsidTr="000B634A">
        <w:trPr>
          <w:jc w:val="center"/>
        </w:trPr>
        <w:tc>
          <w:tcPr>
            <w:tcW w:w="2752" w:type="dxa"/>
            <w:vAlign w:val="center"/>
          </w:tcPr>
          <w:p w14:paraId="4827ABE0" w14:textId="77777777" w:rsidR="00F87B27" w:rsidRPr="000B634A" w:rsidRDefault="00F87B27" w:rsidP="000B634A">
            <w:pPr>
              <w:pStyle w:val="TableText0"/>
              <w:spacing w:before="0" w:after="0"/>
              <w:jc w:val="center"/>
              <w:rPr>
                <w:sz w:val="22"/>
                <w:szCs w:val="22"/>
              </w:rPr>
            </w:pPr>
            <w:r w:rsidRPr="000B634A">
              <w:rPr>
                <w:sz w:val="22"/>
                <w:szCs w:val="22"/>
                <w:lang w:eastAsia="zh-CN"/>
              </w:rPr>
              <w:t>挪威</w:t>
            </w:r>
          </w:p>
        </w:tc>
        <w:tc>
          <w:tcPr>
            <w:tcW w:w="2777" w:type="dxa"/>
            <w:vAlign w:val="center"/>
          </w:tcPr>
          <w:p w14:paraId="4827ABE1" w14:textId="77777777" w:rsidR="00F87B27" w:rsidRPr="000B634A" w:rsidRDefault="00F87B27" w:rsidP="000B634A">
            <w:pPr>
              <w:pStyle w:val="TableText0"/>
              <w:spacing w:before="0" w:after="0"/>
              <w:jc w:val="center"/>
              <w:rPr>
                <w:sz w:val="22"/>
                <w:szCs w:val="22"/>
              </w:rPr>
            </w:pPr>
            <w:r w:rsidRPr="000B634A">
              <w:rPr>
                <w:sz w:val="22"/>
                <w:szCs w:val="22"/>
              </w:rPr>
              <w:t>11 200.00</w:t>
            </w:r>
          </w:p>
        </w:tc>
      </w:tr>
      <w:tr w:rsidR="00F87B27" w:rsidRPr="000D07F5" w14:paraId="4827ABE5" w14:textId="77777777" w:rsidTr="000B634A">
        <w:trPr>
          <w:jc w:val="center"/>
        </w:trPr>
        <w:tc>
          <w:tcPr>
            <w:tcW w:w="2752" w:type="dxa"/>
            <w:vAlign w:val="center"/>
          </w:tcPr>
          <w:p w14:paraId="4827ABE3" w14:textId="77777777" w:rsidR="00F87B27" w:rsidRPr="000B634A" w:rsidRDefault="00F87B27" w:rsidP="000B634A">
            <w:pPr>
              <w:pStyle w:val="TableText0"/>
              <w:spacing w:before="0" w:after="0"/>
              <w:jc w:val="center"/>
              <w:rPr>
                <w:sz w:val="22"/>
                <w:szCs w:val="22"/>
              </w:rPr>
            </w:pPr>
            <w:r w:rsidRPr="000B634A">
              <w:rPr>
                <w:sz w:val="22"/>
                <w:szCs w:val="22"/>
                <w:lang w:eastAsia="zh-CN"/>
              </w:rPr>
              <w:t>菲律宾</w:t>
            </w:r>
          </w:p>
        </w:tc>
        <w:tc>
          <w:tcPr>
            <w:tcW w:w="2777" w:type="dxa"/>
            <w:vAlign w:val="center"/>
          </w:tcPr>
          <w:p w14:paraId="4827ABE4" w14:textId="77777777" w:rsidR="00F87B27" w:rsidRPr="000B634A" w:rsidRDefault="00F87B27" w:rsidP="000B634A">
            <w:pPr>
              <w:pStyle w:val="TableText0"/>
              <w:spacing w:before="0" w:after="0"/>
              <w:jc w:val="center"/>
              <w:rPr>
                <w:sz w:val="22"/>
                <w:szCs w:val="22"/>
              </w:rPr>
            </w:pPr>
            <w:r w:rsidRPr="000B634A">
              <w:rPr>
                <w:sz w:val="22"/>
                <w:szCs w:val="22"/>
              </w:rPr>
              <w:t>6 477.50</w:t>
            </w:r>
          </w:p>
        </w:tc>
      </w:tr>
      <w:tr w:rsidR="00F87B27" w:rsidRPr="000D07F5" w14:paraId="4827ABE8" w14:textId="77777777" w:rsidTr="000B634A">
        <w:trPr>
          <w:jc w:val="center"/>
        </w:trPr>
        <w:tc>
          <w:tcPr>
            <w:tcW w:w="2752" w:type="dxa"/>
            <w:vAlign w:val="center"/>
          </w:tcPr>
          <w:p w14:paraId="4827ABE6" w14:textId="77777777" w:rsidR="00F87B27" w:rsidRPr="000B634A" w:rsidRDefault="00F87B27" w:rsidP="000B634A">
            <w:pPr>
              <w:pStyle w:val="TableText0"/>
              <w:spacing w:before="0" w:after="0"/>
              <w:jc w:val="center"/>
              <w:rPr>
                <w:sz w:val="22"/>
                <w:szCs w:val="22"/>
              </w:rPr>
            </w:pPr>
            <w:r w:rsidRPr="000B634A">
              <w:rPr>
                <w:sz w:val="22"/>
                <w:szCs w:val="22"/>
                <w:lang w:eastAsia="zh-CN"/>
              </w:rPr>
              <w:t>俄罗斯</w:t>
            </w:r>
            <w:r w:rsidRPr="000B634A">
              <w:rPr>
                <w:rFonts w:hint="eastAsia"/>
                <w:sz w:val="22"/>
                <w:szCs w:val="22"/>
                <w:lang w:eastAsia="zh-CN"/>
              </w:rPr>
              <w:t>联邦</w:t>
            </w:r>
          </w:p>
        </w:tc>
        <w:tc>
          <w:tcPr>
            <w:tcW w:w="2777" w:type="dxa"/>
            <w:vAlign w:val="center"/>
          </w:tcPr>
          <w:p w14:paraId="4827ABE7" w14:textId="77777777" w:rsidR="00F87B27" w:rsidRPr="000B634A" w:rsidRDefault="00F87B27" w:rsidP="000B634A">
            <w:pPr>
              <w:pStyle w:val="TableText0"/>
              <w:spacing w:before="0" w:after="0"/>
              <w:jc w:val="center"/>
              <w:rPr>
                <w:sz w:val="22"/>
                <w:szCs w:val="22"/>
              </w:rPr>
            </w:pPr>
            <w:r w:rsidRPr="000B634A">
              <w:rPr>
                <w:sz w:val="22"/>
                <w:szCs w:val="22"/>
              </w:rPr>
              <w:t>254 293.50</w:t>
            </w:r>
          </w:p>
        </w:tc>
      </w:tr>
      <w:tr w:rsidR="00F87B27" w:rsidRPr="000D07F5" w14:paraId="4827ABEB" w14:textId="77777777" w:rsidTr="000B634A">
        <w:trPr>
          <w:jc w:val="center"/>
        </w:trPr>
        <w:tc>
          <w:tcPr>
            <w:tcW w:w="2752" w:type="dxa"/>
            <w:vAlign w:val="center"/>
          </w:tcPr>
          <w:p w14:paraId="4827ABE9" w14:textId="77777777" w:rsidR="00F87B27" w:rsidRPr="000B634A" w:rsidRDefault="00F87B27" w:rsidP="000B634A">
            <w:pPr>
              <w:pStyle w:val="TableText0"/>
              <w:spacing w:before="0" w:after="0"/>
              <w:jc w:val="center"/>
              <w:rPr>
                <w:sz w:val="22"/>
                <w:szCs w:val="22"/>
              </w:rPr>
            </w:pPr>
            <w:r w:rsidRPr="000B634A">
              <w:rPr>
                <w:sz w:val="22"/>
                <w:szCs w:val="22"/>
                <w:lang w:eastAsia="zh-CN"/>
              </w:rPr>
              <w:t>乌拉圭</w:t>
            </w:r>
          </w:p>
        </w:tc>
        <w:tc>
          <w:tcPr>
            <w:tcW w:w="2777" w:type="dxa"/>
            <w:vAlign w:val="center"/>
          </w:tcPr>
          <w:p w14:paraId="4827ABEA" w14:textId="77777777" w:rsidR="00F87B27" w:rsidRPr="000B634A" w:rsidRDefault="00F87B27" w:rsidP="000B634A">
            <w:pPr>
              <w:pStyle w:val="TableText0"/>
              <w:spacing w:before="0" w:after="0"/>
              <w:jc w:val="center"/>
              <w:rPr>
                <w:sz w:val="22"/>
                <w:szCs w:val="22"/>
              </w:rPr>
            </w:pPr>
            <w:r w:rsidRPr="000B634A">
              <w:rPr>
                <w:sz w:val="22"/>
                <w:szCs w:val="22"/>
              </w:rPr>
              <w:t>58 180.00</w:t>
            </w:r>
          </w:p>
        </w:tc>
      </w:tr>
      <w:tr w:rsidR="00F87B27" w:rsidRPr="000D07F5" w14:paraId="4827ABEE" w14:textId="77777777" w:rsidTr="000B634A">
        <w:trPr>
          <w:jc w:val="center"/>
        </w:trPr>
        <w:tc>
          <w:tcPr>
            <w:tcW w:w="2752" w:type="dxa"/>
            <w:vAlign w:val="center"/>
          </w:tcPr>
          <w:p w14:paraId="4827ABEC" w14:textId="77777777" w:rsidR="00F87B27" w:rsidRPr="000B634A" w:rsidRDefault="00F87B27" w:rsidP="000B634A">
            <w:pPr>
              <w:pStyle w:val="TableText0"/>
              <w:spacing w:before="0" w:after="0"/>
              <w:jc w:val="center"/>
              <w:rPr>
                <w:sz w:val="22"/>
                <w:szCs w:val="22"/>
              </w:rPr>
            </w:pPr>
            <w:r w:rsidRPr="000B634A">
              <w:rPr>
                <w:sz w:val="22"/>
                <w:szCs w:val="22"/>
                <w:lang w:eastAsia="zh-CN"/>
              </w:rPr>
              <w:t>美</w:t>
            </w:r>
            <w:r w:rsidRPr="000B634A">
              <w:rPr>
                <w:rFonts w:hint="eastAsia"/>
                <w:sz w:val="22"/>
                <w:szCs w:val="22"/>
                <w:lang w:eastAsia="zh-CN"/>
              </w:rPr>
              <w:t>利坚合众</w:t>
            </w:r>
            <w:r w:rsidRPr="000B634A">
              <w:rPr>
                <w:sz w:val="22"/>
                <w:szCs w:val="22"/>
                <w:lang w:eastAsia="zh-CN"/>
              </w:rPr>
              <w:t>国</w:t>
            </w:r>
          </w:p>
        </w:tc>
        <w:tc>
          <w:tcPr>
            <w:tcW w:w="2777" w:type="dxa"/>
            <w:vAlign w:val="center"/>
          </w:tcPr>
          <w:p w14:paraId="4827ABED" w14:textId="77777777" w:rsidR="00F87B27" w:rsidRPr="000B634A" w:rsidRDefault="00F87B27" w:rsidP="000B634A">
            <w:pPr>
              <w:pStyle w:val="TableText0"/>
              <w:spacing w:before="0" w:after="0"/>
              <w:jc w:val="center"/>
              <w:rPr>
                <w:sz w:val="22"/>
                <w:szCs w:val="22"/>
              </w:rPr>
            </w:pPr>
            <w:r w:rsidRPr="000B634A">
              <w:rPr>
                <w:sz w:val="22"/>
                <w:szCs w:val="22"/>
              </w:rPr>
              <w:t>276 178.00</w:t>
            </w:r>
          </w:p>
        </w:tc>
      </w:tr>
      <w:tr w:rsidR="00F87B27" w:rsidRPr="000D07F5" w14:paraId="4827ABF1" w14:textId="77777777" w:rsidTr="000B634A">
        <w:trPr>
          <w:jc w:val="center"/>
        </w:trPr>
        <w:tc>
          <w:tcPr>
            <w:tcW w:w="2752" w:type="dxa"/>
            <w:vAlign w:val="center"/>
          </w:tcPr>
          <w:p w14:paraId="4827ABEF" w14:textId="77777777" w:rsidR="00F87B27" w:rsidRPr="000B634A" w:rsidRDefault="00F87B27" w:rsidP="000B634A">
            <w:pPr>
              <w:pStyle w:val="TableText0"/>
              <w:spacing w:before="0" w:after="0"/>
              <w:jc w:val="center"/>
              <w:rPr>
                <w:sz w:val="22"/>
                <w:szCs w:val="22"/>
                <w:lang w:eastAsia="zh-CN"/>
              </w:rPr>
            </w:pPr>
            <w:r w:rsidRPr="000B634A">
              <w:rPr>
                <w:sz w:val="22"/>
                <w:szCs w:val="22"/>
                <w:lang w:eastAsia="zh-CN"/>
              </w:rPr>
              <w:t>委内瑞拉</w:t>
            </w:r>
            <w:r w:rsidRPr="000B634A">
              <w:rPr>
                <w:sz w:val="22"/>
                <w:szCs w:val="22"/>
                <w:lang w:eastAsia="zh-CN"/>
              </w:rPr>
              <w:t>/</w:t>
            </w:r>
            <w:r w:rsidRPr="000B634A">
              <w:rPr>
                <w:sz w:val="22"/>
                <w:szCs w:val="22"/>
                <w:lang w:eastAsia="zh-CN"/>
              </w:rPr>
              <w:t>安第斯卫星协会</w:t>
            </w:r>
          </w:p>
        </w:tc>
        <w:tc>
          <w:tcPr>
            <w:tcW w:w="2777" w:type="dxa"/>
            <w:vAlign w:val="center"/>
          </w:tcPr>
          <w:p w14:paraId="4827ABF0" w14:textId="77777777" w:rsidR="00F87B27" w:rsidRPr="000B634A" w:rsidRDefault="00F87B27" w:rsidP="000B634A">
            <w:pPr>
              <w:pStyle w:val="TableText0"/>
              <w:spacing w:before="0" w:after="0"/>
              <w:jc w:val="center"/>
              <w:rPr>
                <w:sz w:val="22"/>
                <w:szCs w:val="22"/>
              </w:rPr>
            </w:pPr>
            <w:r w:rsidRPr="000B634A">
              <w:rPr>
                <w:sz w:val="22"/>
                <w:szCs w:val="22"/>
              </w:rPr>
              <w:t>29 400.00</w:t>
            </w:r>
          </w:p>
        </w:tc>
      </w:tr>
      <w:tr w:rsidR="00F87B27" w:rsidRPr="000D07F5" w14:paraId="4827ABF4" w14:textId="77777777" w:rsidTr="000B634A">
        <w:trPr>
          <w:jc w:val="center"/>
        </w:trPr>
        <w:tc>
          <w:tcPr>
            <w:tcW w:w="2752" w:type="dxa"/>
            <w:vAlign w:val="center"/>
          </w:tcPr>
          <w:p w14:paraId="4827ABF2" w14:textId="77777777" w:rsidR="00F87B27" w:rsidRPr="000B634A" w:rsidRDefault="00F87B27" w:rsidP="000B634A">
            <w:pPr>
              <w:pStyle w:val="TableText0"/>
              <w:spacing w:before="0" w:after="0"/>
              <w:jc w:val="center"/>
              <w:rPr>
                <w:sz w:val="22"/>
                <w:szCs w:val="22"/>
              </w:rPr>
            </w:pPr>
            <w:r w:rsidRPr="000B634A">
              <w:rPr>
                <w:sz w:val="22"/>
                <w:szCs w:val="22"/>
                <w:lang w:eastAsia="zh-CN"/>
              </w:rPr>
              <w:t>越南</w:t>
            </w:r>
          </w:p>
        </w:tc>
        <w:tc>
          <w:tcPr>
            <w:tcW w:w="2777" w:type="dxa"/>
            <w:vAlign w:val="center"/>
          </w:tcPr>
          <w:p w14:paraId="4827ABF3" w14:textId="77777777" w:rsidR="00F87B27" w:rsidRPr="000B634A" w:rsidRDefault="00F87B27" w:rsidP="000B634A">
            <w:pPr>
              <w:pStyle w:val="TableText0"/>
              <w:spacing w:before="0" w:after="0"/>
              <w:jc w:val="center"/>
              <w:rPr>
                <w:sz w:val="22"/>
                <w:szCs w:val="22"/>
              </w:rPr>
            </w:pPr>
            <w:r w:rsidRPr="000B634A">
              <w:rPr>
                <w:sz w:val="22"/>
                <w:szCs w:val="22"/>
              </w:rPr>
              <w:t>34 400.00</w:t>
            </w:r>
          </w:p>
        </w:tc>
      </w:tr>
      <w:tr w:rsidR="00F87B27" w:rsidRPr="000D07F5" w14:paraId="4827ABF7" w14:textId="77777777" w:rsidTr="000B634A">
        <w:trPr>
          <w:jc w:val="center"/>
        </w:trPr>
        <w:tc>
          <w:tcPr>
            <w:tcW w:w="2752" w:type="dxa"/>
            <w:vAlign w:val="center"/>
          </w:tcPr>
          <w:p w14:paraId="4827ABF5" w14:textId="77777777" w:rsidR="00F87B27" w:rsidRPr="000B634A" w:rsidRDefault="00F87B27" w:rsidP="000B634A">
            <w:pPr>
              <w:pStyle w:val="TableText0"/>
              <w:spacing w:before="0" w:after="0"/>
              <w:jc w:val="center"/>
              <w:rPr>
                <w:b/>
                <w:bCs/>
                <w:sz w:val="22"/>
                <w:szCs w:val="22"/>
              </w:rPr>
            </w:pPr>
            <w:r w:rsidRPr="000B634A">
              <w:rPr>
                <w:b/>
                <w:bCs/>
                <w:sz w:val="22"/>
                <w:szCs w:val="22"/>
                <w:lang w:eastAsia="zh-CN"/>
              </w:rPr>
              <w:t>合计</w:t>
            </w:r>
          </w:p>
        </w:tc>
        <w:tc>
          <w:tcPr>
            <w:tcW w:w="2777" w:type="dxa"/>
            <w:vAlign w:val="center"/>
          </w:tcPr>
          <w:p w14:paraId="4827ABF6" w14:textId="77777777" w:rsidR="00F87B27" w:rsidRPr="000B634A" w:rsidRDefault="00F87B27" w:rsidP="000B634A">
            <w:pPr>
              <w:pStyle w:val="TableText0"/>
              <w:spacing w:before="0" w:after="0"/>
              <w:jc w:val="center"/>
              <w:rPr>
                <w:sz w:val="22"/>
                <w:szCs w:val="22"/>
              </w:rPr>
            </w:pPr>
            <w:r w:rsidRPr="000B634A">
              <w:rPr>
                <w:sz w:val="22"/>
                <w:szCs w:val="22"/>
              </w:rPr>
              <w:t>2 619 117.00</w:t>
            </w:r>
          </w:p>
        </w:tc>
      </w:tr>
    </w:tbl>
    <w:p w14:paraId="4827ABF8" w14:textId="77777777" w:rsidR="00F87B27" w:rsidRDefault="00F87B27" w:rsidP="00F87B27">
      <w:pPr>
        <w:rPr>
          <w:lang w:val="fr-FR" w:eastAsia="zh-CN"/>
        </w:rPr>
      </w:pPr>
    </w:p>
    <w:p w14:paraId="4827ABF9" w14:textId="77777777" w:rsidR="00E77AE7" w:rsidRPr="008B32FB" w:rsidRDefault="00E77AE7" w:rsidP="008B32FB">
      <w:pPr>
        <w:pStyle w:val="AnnexNotitle"/>
        <w:rPr>
          <w:b w:val="0"/>
          <w:lang w:val="fr-FR" w:eastAsia="zh-CN"/>
        </w:rPr>
      </w:pPr>
      <w:r w:rsidRPr="008B32FB">
        <w:rPr>
          <w:b w:val="0"/>
          <w:lang w:val="fr-FR" w:eastAsia="zh-CN"/>
        </w:rPr>
        <w:t>根据第</w:t>
      </w:r>
      <w:r w:rsidRPr="008B32FB">
        <w:rPr>
          <w:rFonts w:hint="eastAsia"/>
          <w:b w:val="0"/>
          <w:lang w:eastAsia="zh-CN"/>
        </w:rPr>
        <w:t>545</w:t>
      </w:r>
      <w:r w:rsidRPr="008B32FB">
        <w:rPr>
          <w:b w:val="0"/>
          <w:lang w:val="fr-FR" w:eastAsia="zh-CN"/>
        </w:rPr>
        <w:t>号决定</w:t>
      </w:r>
      <w:r w:rsidRPr="008B32FB">
        <w:rPr>
          <w:b w:val="0"/>
          <w:lang w:eastAsia="zh-CN"/>
        </w:rPr>
        <w:t>（</w:t>
      </w:r>
      <w:r w:rsidRPr="008B32FB">
        <w:rPr>
          <w:b w:val="0"/>
          <w:lang w:val="fr-FR" w:eastAsia="zh-CN"/>
        </w:rPr>
        <w:t>理事会</w:t>
      </w:r>
      <w:r w:rsidRPr="008B32FB">
        <w:rPr>
          <w:b w:val="0"/>
          <w:lang w:eastAsia="zh-CN"/>
        </w:rPr>
        <w:t>2007</w:t>
      </w:r>
      <w:r w:rsidRPr="008B32FB">
        <w:rPr>
          <w:b w:val="0"/>
          <w:lang w:val="fr-FR" w:eastAsia="zh-CN"/>
        </w:rPr>
        <w:t>年会议</w:t>
      </w:r>
      <w:r w:rsidRPr="008B32FB">
        <w:rPr>
          <w:b w:val="0"/>
          <w:lang w:eastAsia="zh-CN"/>
        </w:rPr>
        <w:t>）</w:t>
      </w:r>
      <w:r w:rsidRPr="008B32FB">
        <w:rPr>
          <w:rFonts w:ascii="STKaiti" w:eastAsia="STKaiti" w:hAnsi="STKaiti"/>
          <w:b w:val="0"/>
          <w:lang w:eastAsia="zh-CN"/>
        </w:rPr>
        <w:t>进一步</w:t>
      </w:r>
      <w:r w:rsidRPr="008B32FB">
        <w:rPr>
          <w:rFonts w:ascii="STKaiti" w:eastAsia="STKaiti" w:hAnsi="STKaiti"/>
          <w:b w:val="0"/>
          <w:lang w:val="fr-FR" w:eastAsia="zh-CN"/>
        </w:rPr>
        <w:t>做出决定</w:t>
      </w:r>
      <w:r w:rsidRPr="008B32FB">
        <w:rPr>
          <w:b w:val="0"/>
          <w:lang w:val="fr-FR" w:eastAsia="zh-CN"/>
        </w:rPr>
        <w:t>1</w:t>
      </w:r>
      <w:r w:rsidR="00490FC9" w:rsidRPr="008B32FB">
        <w:rPr>
          <w:b w:val="0"/>
          <w:lang w:val="fr-FR" w:eastAsia="zh-CN"/>
        </w:rPr>
        <w:br/>
      </w:r>
      <w:r w:rsidRPr="008B32FB">
        <w:rPr>
          <w:b w:val="0"/>
          <w:lang w:val="fr-FR" w:eastAsia="zh-CN"/>
        </w:rPr>
        <w:t>列出的主管部门</w:t>
      </w:r>
      <w:r w:rsidRPr="008B32FB">
        <w:rPr>
          <w:rFonts w:hint="eastAsia"/>
          <w:b w:val="0"/>
          <w:lang w:val="fr-FR" w:eastAsia="zh-CN"/>
        </w:rPr>
        <w:t>和</w:t>
      </w:r>
      <w:r w:rsidRPr="008B32FB">
        <w:rPr>
          <w:b w:val="0"/>
          <w:lang w:val="fr-FR" w:eastAsia="zh-CN"/>
        </w:rPr>
        <w:t>修订</w:t>
      </w:r>
      <w:r w:rsidRPr="008B32FB">
        <w:rPr>
          <w:rFonts w:hint="eastAsia"/>
          <w:b w:val="0"/>
          <w:lang w:val="fr-FR" w:eastAsia="zh-CN"/>
        </w:rPr>
        <w:t>后</w:t>
      </w:r>
      <w:r w:rsidRPr="008B32FB">
        <w:rPr>
          <w:b w:val="0"/>
          <w:lang w:val="fr-FR" w:eastAsia="zh-CN"/>
        </w:rPr>
        <w:t>费用</w:t>
      </w:r>
      <w:r w:rsidRPr="008B32FB">
        <w:rPr>
          <w:rFonts w:hint="eastAsia"/>
          <w:b w:val="0"/>
          <w:lang w:val="fr-FR" w:eastAsia="zh-CN"/>
        </w:rPr>
        <w:t>的</w:t>
      </w:r>
      <w:r w:rsidRPr="008B32FB">
        <w:rPr>
          <w:b w:val="0"/>
          <w:lang w:val="fr-FR" w:eastAsia="zh-CN"/>
        </w:rPr>
        <w:t>清单</w:t>
      </w:r>
    </w:p>
    <w:tbl>
      <w:tblPr>
        <w:tblStyle w:val="TableGrid"/>
        <w:tblW w:w="0" w:type="auto"/>
        <w:jc w:val="center"/>
        <w:tblLook w:val="01E0" w:firstRow="1" w:lastRow="1" w:firstColumn="1" w:lastColumn="1" w:noHBand="0" w:noVBand="0"/>
      </w:tblPr>
      <w:tblGrid>
        <w:gridCol w:w="2972"/>
        <w:gridCol w:w="3544"/>
      </w:tblGrid>
      <w:tr w:rsidR="00E77AE7" w:rsidRPr="009F6765" w14:paraId="4827ABFC" w14:textId="77777777" w:rsidTr="00F87B27">
        <w:trPr>
          <w:trHeight w:val="417"/>
          <w:jc w:val="center"/>
        </w:trPr>
        <w:tc>
          <w:tcPr>
            <w:tcW w:w="2972" w:type="dxa"/>
            <w:vAlign w:val="center"/>
          </w:tcPr>
          <w:p w14:paraId="4827ABFA" w14:textId="77777777" w:rsidR="00E77AE7" w:rsidRPr="009F6765" w:rsidRDefault="00E77AE7" w:rsidP="00F87B27">
            <w:pPr>
              <w:pStyle w:val="TableHead0"/>
              <w:rPr>
                <w:lang w:eastAsia="zh-CN"/>
              </w:rPr>
            </w:pPr>
            <w:r w:rsidRPr="009F6765">
              <w:rPr>
                <w:lang w:eastAsia="zh-CN"/>
              </w:rPr>
              <w:t>主管部门</w:t>
            </w:r>
          </w:p>
        </w:tc>
        <w:tc>
          <w:tcPr>
            <w:tcW w:w="3544" w:type="dxa"/>
            <w:vAlign w:val="center"/>
          </w:tcPr>
          <w:p w14:paraId="4827ABFB" w14:textId="77777777" w:rsidR="00E77AE7" w:rsidRPr="009F6765" w:rsidRDefault="00E77AE7" w:rsidP="00F87B27">
            <w:pPr>
              <w:pStyle w:val="TableHead0"/>
              <w:rPr>
                <w:u w:val="single"/>
                <w:lang w:val="fr-FR" w:eastAsia="zh-CN"/>
              </w:rPr>
            </w:pPr>
            <w:r w:rsidRPr="009F6765">
              <w:rPr>
                <w:lang w:val="fr-FR" w:eastAsia="zh-CN"/>
              </w:rPr>
              <w:t>修订</w:t>
            </w:r>
            <w:r w:rsidRPr="009F6765">
              <w:rPr>
                <w:rFonts w:hint="eastAsia"/>
                <w:lang w:val="fr-FR" w:eastAsia="zh-CN"/>
              </w:rPr>
              <w:t>后</w:t>
            </w:r>
            <w:r w:rsidRPr="009F6765">
              <w:rPr>
                <w:lang w:val="fr-FR" w:eastAsia="zh-CN"/>
              </w:rPr>
              <w:t>的总费用（瑞郎）</w:t>
            </w:r>
          </w:p>
        </w:tc>
      </w:tr>
      <w:tr w:rsidR="00E77AE7" w:rsidRPr="009F6765" w14:paraId="4827ABFF" w14:textId="77777777" w:rsidTr="00F87B27">
        <w:trPr>
          <w:jc w:val="center"/>
        </w:trPr>
        <w:tc>
          <w:tcPr>
            <w:tcW w:w="2972" w:type="dxa"/>
            <w:vAlign w:val="center"/>
          </w:tcPr>
          <w:p w14:paraId="4827ABFD" w14:textId="77777777" w:rsidR="00E77AE7" w:rsidRPr="000B634A" w:rsidRDefault="00E77AE7" w:rsidP="000B634A">
            <w:pPr>
              <w:pStyle w:val="TableText0"/>
              <w:spacing w:before="0" w:after="0"/>
              <w:jc w:val="center"/>
              <w:rPr>
                <w:sz w:val="22"/>
                <w:szCs w:val="22"/>
                <w:lang w:eastAsia="zh-CN"/>
              </w:rPr>
            </w:pPr>
            <w:r w:rsidRPr="000B634A">
              <w:rPr>
                <w:sz w:val="22"/>
                <w:szCs w:val="22"/>
                <w:lang w:eastAsia="zh-CN"/>
              </w:rPr>
              <w:t>澳大利亚</w:t>
            </w:r>
          </w:p>
        </w:tc>
        <w:tc>
          <w:tcPr>
            <w:tcW w:w="3544" w:type="dxa"/>
            <w:vAlign w:val="center"/>
          </w:tcPr>
          <w:p w14:paraId="4827ABFE" w14:textId="77777777" w:rsidR="00E77AE7" w:rsidRPr="000B634A" w:rsidRDefault="00E77AE7" w:rsidP="000B634A">
            <w:pPr>
              <w:pStyle w:val="TableText0"/>
              <w:spacing w:before="0" w:after="0"/>
              <w:jc w:val="center"/>
              <w:rPr>
                <w:sz w:val="22"/>
                <w:szCs w:val="22"/>
                <w:lang w:eastAsia="zh-CN"/>
              </w:rPr>
            </w:pPr>
            <w:r w:rsidRPr="000B634A">
              <w:rPr>
                <w:sz w:val="22"/>
                <w:szCs w:val="22"/>
                <w:lang w:eastAsia="zh-CN"/>
              </w:rPr>
              <w:t>13 300.00</w:t>
            </w:r>
          </w:p>
        </w:tc>
      </w:tr>
      <w:tr w:rsidR="00E77AE7" w:rsidRPr="009F6765" w14:paraId="4827AC02" w14:textId="77777777" w:rsidTr="00F87B27">
        <w:trPr>
          <w:jc w:val="center"/>
        </w:trPr>
        <w:tc>
          <w:tcPr>
            <w:tcW w:w="2972" w:type="dxa"/>
            <w:vAlign w:val="center"/>
          </w:tcPr>
          <w:p w14:paraId="4827AC00" w14:textId="77777777" w:rsidR="00E77AE7" w:rsidRPr="000B634A" w:rsidRDefault="00E77AE7" w:rsidP="000B634A">
            <w:pPr>
              <w:pStyle w:val="TableText0"/>
              <w:spacing w:before="0" w:after="0"/>
              <w:jc w:val="center"/>
              <w:rPr>
                <w:sz w:val="22"/>
                <w:szCs w:val="22"/>
                <w:lang w:eastAsia="zh-CN"/>
              </w:rPr>
            </w:pPr>
            <w:r w:rsidRPr="000B634A">
              <w:rPr>
                <w:sz w:val="22"/>
                <w:szCs w:val="22"/>
                <w:lang w:eastAsia="zh-CN"/>
              </w:rPr>
              <w:t>白俄罗斯</w:t>
            </w:r>
          </w:p>
        </w:tc>
        <w:tc>
          <w:tcPr>
            <w:tcW w:w="3544" w:type="dxa"/>
            <w:vAlign w:val="center"/>
          </w:tcPr>
          <w:p w14:paraId="4827AC01" w14:textId="77777777" w:rsidR="00E77AE7" w:rsidRPr="000B634A" w:rsidRDefault="00E77AE7" w:rsidP="000B634A">
            <w:pPr>
              <w:pStyle w:val="TableText0"/>
              <w:spacing w:before="0" w:after="0"/>
              <w:jc w:val="center"/>
              <w:rPr>
                <w:sz w:val="22"/>
                <w:szCs w:val="22"/>
                <w:lang w:eastAsia="zh-CN"/>
              </w:rPr>
            </w:pPr>
            <w:r w:rsidRPr="000B634A">
              <w:rPr>
                <w:sz w:val="22"/>
                <w:szCs w:val="22"/>
                <w:lang w:eastAsia="zh-CN"/>
              </w:rPr>
              <w:t>52 500.00</w:t>
            </w:r>
          </w:p>
        </w:tc>
      </w:tr>
      <w:tr w:rsidR="00E77AE7" w:rsidRPr="009F6765" w14:paraId="4827AC05" w14:textId="77777777" w:rsidTr="00F87B27">
        <w:trPr>
          <w:jc w:val="center"/>
        </w:trPr>
        <w:tc>
          <w:tcPr>
            <w:tcW w:w="2972" w:type="dxa"/>
            <w:vAlign w:val="center"/>
          </w:tcPr>
          <w:p w14:paraId="4827AC03" w14:textId="77777777" w:rsidR="00E77AE7" w:rsidRPr="000B634A" w:rsidRDefault="00E77AE7" w:rsidP="000B634A">
            <w:pPr>
              <w:pStyle w:val="TableText0"/>
              <w:spacing w:before="0" w:after="0"/>
              <w:jc w:val="center"/>
              <w:rPr>
                <w:sz w:val="22"/>
                <w:szCs w:val="22"/>
                <w:lang w:eastAsia="zh-CN"/>
              </w:rPr>
            </w:pPr>
            <w:r w:rsidRPr="000B634A">
              <w:rPr>
                <w:sz w:val="22"/>
                <w:szCs w:val="22"/>
                <w:lang w:eastAsia="zh-CN"/>
              </w:rPr>
              <w:t>以色列</w:t>
            </w:r>
          </w:p>
        </w:tc>
        <w:tc>
          <w:tcPr>
            <w:tcW w:w="3544" w:type="dxa"/>
            <w:vAlign w:val="center"/>
          </w:tcPr>
          <w:p w14:paraId="4827AC04" w14:textId="77777777" w:rsidR="00E77AE7" w:rsidRPr="000B634A" w:rsidRDefault="00E77AE7" w:rsidP="000B634A">
            <w:pPr>
              <w:pStyle w:val="TableText0"/>
              <w:spacing w:before="0" w:after="0"/>
              <w:jc w:val="center"/>
              <w:rPr>
                <w:sz w:val="22"/>
                <w:szCs w:val="22"/>
                <w:lang w:eastAsia="zh-CN"/>
              </w:rPr>
            </w:pPr>
            <w:r w:rsidRPr="000B634A">
              <w:rPr>
                <w:sz w:val="22"/>
                <w:szCs w:val="22"/>
                <w:lang w:eastAsia="zh-CN"/>
              </w:rPr>
              <w:t>12 310.00</w:t>
            </w:r>
          </w:p>
        </w:tc>
      </w:tr>
      <w:tr w:rsidR="00E77AE7" w:rsidRPr="009F6765" w14:paraId="4827AC08" w14:textId="77777777" w:rsidTr="00F87B27">
        <w:trPr>
          <w:jc w:val="center"/>
        </w:trPr>
        <w:tc>
          <w:tcPr>
            <w:tcW w:w="2972" w:type="dxa"/>
            <w:vAlign w:val="center"/>
          </w:tcPr>
          <w:p w14:paraId="4827AC06" w14:textId="77777777" w:rsidR="00E77AE7" w:rsidRPr="000B634A" w:rsidRDefault="00E77AE7" w:rsidP="000B634A">
            <w:pPr>
              <w:pStyle w:val="TableText0"/>
              <w:spacing w:before="0" w:after="0"/>
              <w:jc w:val="center"/>
              <w:rPr>
                <w:sz w:val="22"/>
                <w:szCs w:val="22"/>
                <w:lang w:eastAsia="zh-CN"/>
              </w:rPr>
            </w:pPr>
            <w:r w:rsidRPr="000B634A">
              <w:rPr>
                <w:sz w:val="22"/>
                <w:szCs w:val="22"/>
                <w:lang w:eastAsia="zh-CN"/>
              </w:rPr>
              <w:t>俄罗斯</w:t>
            </w:r>
            <w:r w:rsidRPr="000B634A">
              <w:rPr>
                <w:rFonts w:hint="eastAsia"/>
                <w:sz w:val="22"/>
                <w:szCs w:val="22"/>
                <w:lang w:eastAsia="zh-CN"/>
              </w:rPr>
              <w:t>联邦</w:t>
            </w:r>
          </w:p>
        </w:tc>
        <w:tc>
          <w:tcPr>
            <w:tcW w:w="3544" w:type="dxa"/>
            <w:vAlign w:val="center"/>
          </w:tcPr>
          <w:p w14:paraId="4827AC07" w14:textId="77777777" w:rsidR="00E77AE7" w:rsidRPr="000B634A" w:rsidRDefault="00E77AE7" w:rsidP="000B634A">
            <w:pPr>
              <w:pStyle w:val="TableText0"/>
              <w:spacing w:before="0" w:after="0"/>
              <w:jc w:val="center"/>
              <w:rPr>
                <w:sz w:val="22"/>
                <w:szCs w:val="22"/>
                <w:lang w:eastAsia="zh-CN"/>
              </w:rPr>
            </w:pPr>
            <w:r w:rsidRPr="000B634A">
              <w:rPr>
                <w:sz w:val="22"/>
                <w:szCs w:val="22"/>
                <w:lang w:eastAsia="zh-CN"/>
              </w:rPr>
              <w:t>21 000.00</w:t>
            </w:r>
          </w:p>
        </w:tc>
      </w:tr>
      <w:tr w:rsidR="00E77AE7" w:rsidRPr="009F6765" w14:paraId="4827AC0B" w14:textId="77777777" w:rsidTr="00F87B27">
        <w:trPr>
          <w:jc w:val="center"/>
        </w:trPr>
        <w:tc>
          <w:tcPr>
            <w:tcW w:w="2972" w:type="dxa"/>
            <w:vAlign w:val="center"/>
          </w:tcPr>
          <w:p w14:paraId="4827AC09" w14:textId="77777777" w:rsidR="00E77AE7" w:rsidRPr="000B634A" w:rsidRDefault="00E77AE7" w:rsidP="000B634A">
            <w:pPr>
              <w:pStyle w:val="TableText0"/>
              <w:spacing w:before="0" w:after="0"/>
              <w:jc w:val="center"/>
              <w:rPr>
                <w:sz w:val="22"/>
                <w:szCs w:val="22"/>
                <w:lang w:eastAsia="zh-CN"/>
              </w:rPr>
            </w:pPr>
            <w:r w:rsidRPr="000B634A">
              <w:rPr>
                <w:sz w:val="22"/>
                <w:szCs w:val="22"/>
                <w:lang w:eastAsia="zh-CN"/>
              </w:rPr>
              <w:t>美</w:t>
            </w:r>
            <w:r w:rsidRPr="000B634A">
              <w:rPr>
                <w:rFonts w:hint="eastAsia"/>
                <w:sz w:val="22"/>
                <w:szCs w:val="22"/>
                <w:lang w:eastAsia="zh-CN"/>
              </w:rPr>
              <w:t>利坚合众</w:t>
            </w:r>
            <w:r w:rsidRPr="000B634A">
              <w:rPr>
                <w:sz w:val="22"/>
                <w:szCs w:val="22"/>
                <w:lang w:eastAsia="zh-CN"/>
              </w:rPr>
              <w:t>国</w:t>
            </w:r>
          </w:p>
        </w:tc>
        <w:tc>
          <w:tcPr>
            <w:tcW w:w="3544" w:type="dxa"/>
            <w:vAlign w:val="center"/>
          </w:tcPr>
          <w:p w14:paraId="4827AC0A" w14:textId="77777777" w:rsidR="00E77AE7" w:rsidRPr="000B634A" w:rsidRDefault="00E77AE7" w:rsidP="000B634A">
            <w:pPr>
              <w:pStyle w:val="TableText0"/>
              <w:spacing w:before="0" w:after="0"/>
              <w:jc w:val="center"/>
              <w:rPr>
                <w:sz w:val="22"/>
                <w:szCs w:val="22"/>
                <w:lang w:eastAsia="zh-CN"/>
              </w:rPr>
            </w:pPr>
            <w:r w:rsidRPr="000B634A">
              <w:rPr>
                <w:sz w:val="22"/>
                <w:szCs w:val="22"/>
                <w:lang w:eastAsia="zh-CN"/>
              </w:rPr>
              <w:t>39 253.00</w:t>
            </w:r>
          </w:p>
        </w:tc>
      </w:tr>
      <w:tr w:rsidR="00E77AE7" w:rsidRPr="009F6765" w14:paraId="4827AC0E" w14:textId="77777777" w:rsidTr="00F87B27">
        <w:trPr>
          <w:jc w:val="center"/>
        </w:trPr>
        <w:tc>
          <w:tcPr>
            <w:tcW w:w="2972" w:type="dxa"/>
            <w:vAlign w:val="center"/>
          </w:tcPr>
          <w:p w14:paraId="4827AC0C" w14:textId="77777777" w:rsidR="00E77AE7" w:rsidRPr="000B634A" w:rsidRDefault="00E77AE7" w:rsidP="000B634A">
            <w:pPr>
              <w:pStyle w:val="TableText0"/>
              <w:spacing w:before="0" w:after="0"/>
              <w:jc w:val="center"/>
              <w:rPr>
                <w:b/>
                <w:bCs/>
                <w:sz w:val="22"/>
                <w:szCs w:val="22"/>
                <w:lang w:eastAsia="zh-CN"/>
              </w:rPr>
            </w:pPr>
            <w:r w:rsidRPr="000B634A">
              <w:rPr>
                <w:b/>
                <w:bCs/>
                <w:sz w:val="22"/>
                <w:szCs w:val="22"/>
                <w:lang w:eastAsia="zh-CN"/>
              </w:rPr>
              <w:t>合计</w:t>
            </w:r>
          </w:p>
        </w:tc>
        <w:tc>
          <w:tcPr>
            <w:tcW w:w="3544" w:type="dxa"/>
            <w:vAlign w:val="center"/>
          </w:tcPr>
          <w:p w14:paraId="4827AC0D" w14:textId="77777777" w:rsidR="00E77AE7" w:rsidRPr="000B634A" w:rsidRDefault="00E77AE7" w:rsidP="000B634A">
            <w:pPr>
              <w:pStyle w:val="TableText0"/>
              <w:spacing w:before="0" w:after="0"/>
              <w:jc w:val="center"/>
              <w:rPr>
                <w:sz w:val="22"/>
                <w:szCs w:val="22"/>
                <w:lang w:eastAsia="zh-CN"/>
              </w:rPr>
            </w:pPr>
            <w:r w:rsidRPr="000B634A">
              <w:rPr>
                <w:sz w:val="22"/>
                <w:szCs w:val="22"/>
                <w:lang w:eastAsia="zh-CN"/>
              </w:rPr>
              <w:t>138 363.00</w:t>
            </w:r>
          </w:p>
        </w:tc>
      </w:tr>
    </w:tbl>
    <w:p w14:paraId="4827AC0F" w14:textId="77777777" w:rsidR="00213E28" w:rsidRDefault="00E77AE7" w:rsidP="00213E28">
      <w:pPr>
        <w:pStyle w:val="Endtext"/>
        <w:rPr>
          <w:lang w:val="en-US" w:eastAsia="zh-CN"/>
        </w:rPr>
      </w:pPr>
      <w:bookmarkStart w:id="206" w:name="OLE_LINK1"/>
      <w:bookmarkStart w:id="207" w:name="OLE_LINK2"/>
      <w:r w:rsidRPr="00331B63">
        <w:rPr>
          <w:rFonts w:ascii="STKaiti" w:hAnsi="STKaiti" w:hint="eastAsia"/>
          <w:bCs/>
          <w:lang w:eastAsia="zh-CN"/>
        </w:rPr>
        <w:t>参阅</w:t>
      </w:r>
      <w:r>
        <w:rPr>
          <w:rFonts w:hint="eastAsia"/>
          <w:bCs/>
          <w:lang w:eastAsia="zh-CN"/>
        </w:rPr>
        <w:t>：</w:t>
      </w:r>
      <w:r w:rsidR="00D62A5D">
        <w:rPr>
          <w:bCs/>
          <w:lang w:eastAsia="zh-CN"/>
        </w:rPr>
        <w:tab/>
      </w:r>
      <w:hyperlink r:id="rId123" w:history="1">
        <w:r w:rsidR="00213E28" w:rsidRPr="00DE4B88">
          <w:rPr>
            <w:rStyle w:val="Hyperlink"/>
            <w:lang w:eastAsia="zh-CN"/>
          </w:rPr>
          <w:t>C07/85</w:t>
        </w:r>
      </w:hyperlink>
      <w:r w:rsidR="00213E28">
        <w:rPr>
          <w:rFonts w:hint="eastAsia"/>
          <w:lang w:eastAsia="zh-CN"/>
        </w:rPr>
        <w:t>和</w:t>
      </w:r>
      <w:hyperlink r:id="rId124" w:history="1">
        <w:r w:rsidR="00213E28" w:rsidRPr="00DE4B88">
          <w:rPr>
            <w:rStyle w:val="Hyperlink"/>
            <w:lang w:eastAsia="zh-CN"/>
          </w:rPr>
          <w:t>C07/104</w:t>
        </w:r>
      </w:hyperlink>
      <w:r w:rsidR="00213E28">
        <w:rPr>
          <w:rFonts w:hint="eastAsia"/>
          <w:lang w:val="en-US" w:eastAsia="zh-CN"/>
        </w:rPr>
        <w:t>号文件。</w:t>
      </w:r>
    </w:p>
    <w:p w14:paraId="4827AC10" w14:textId="77777777" w:rsidR="008B32FB" w:rsidRDefault="008B32FB" w:rsidP="008B32FB">
      <w:pPr>
        <w:jc w:val="center"/>
        <w:rPr>
          <w:lang w:eastAsia="zh-CN"/>
        </w:rPr>
      </w:pPr>
      <w:bookmarkStart w:id="208" w:name="_Toc185237644"/>
      <w:bookmarkEnd w:id="206"/>
      <w:bookmarkEnd w:id="207"/>
      <w:r>
        <w:rPr>
          <w:lang w:eastAsia="zh-CN"/>
        </w:rPr>
        <w:t>______________</w:t>
      </w:r>
    </w:p>
    <w:p w14:paraId="4827AC11" w14:textId="77777777" w:rsidR="00BD4B44" w:rsidRDefault="00BD4B44">
      <w:pPr>
        <w:tabs>
          <w:tab w:val="clear" w:pos="794"/>
          <w:tab w:val="clear" w:pos="1191"/>
          <w:tab w:val="clear" w:pos="1588"/>
          <w:tab w:val="clear" w:pos="1985"/>
        </w:tabs>
        <w:overflowPunct/>
        <w:autoSpaceDE/>
        <w:autoSpaceDN/>
        <w:adjustRightInd/>
        <w:spacing w:before="0"/>
        <w:jc w:val="left"/>
        <w:textAlignment w:val="auto"/>
        <w:rPr>
          <w:lang w:val="fr-FR" w:eastAsia="zh-CN"/>
        </w:rPr>
      </w:pPr>
      <w:r>
        <w:rPr>
          <w:lang w:val="fr-FR" w:eastAsia="zh-CN"/>
        </w:rPr>
        <w:br w:type="page"/>
      </w:r>
    </w:p>
    <w:p w14:paraId="4827AC32" w14:textId="77777777" w:rsidR="00CA0F4E" w:rsidRPr="00B4523C" w:rsidRDefault="00CA0F4E" w:rsidP="001B5FA0">
      <w:pPr>
        <w:pStyle w:val="ResNo"/>
        <w:outlineLvl w:val="0"/>
        <w:rPr>
          <w:rFonts w:eastAsia="Times New Roman"/>
          <w:lang w:eastAsia="zh-CN"/>
        </w:rPr>
      </w:pPr>
      <w:bookmarkStart w:id="209" w:name="_Toc531706282"/>
      <w:bookmarkStart w:id="210" w:name="_Toc531706877"/>
      <w:bookmarkStart w:id="211" w:name="_Toc531768369"/>
      <w:bookmarkStart w:id="212" w:name="_Toc16085680"/>
      <w:bookmarkStart w:id="213" w:name="_Toc86395484"/>
      <w:bookmarkEnd w:id="208"/>
      <w:r w:rsidRPr="00B4523C">
        <w:rPr>
          <w:rFonts w:asciiTheme="minorEastAsia" w:hAnsiTheme="minorEastAsia" w:hint="eastAsia"/>
          <w:lang w:eastAsia="zh-CN"/>
        </w:rPr>
        <w:lastRenderedPageBreak/>
        <w:t>第</w:t>
      </w:r>
      <w:r w:rsidRPr="00B4523C">
        <w:rPr>
          <w:rFonts w:eastAsia="Times New Roman"/>
          <w:lang w:eastAsia="zh-CN"/>
        </w:rPr>
        <w:t>603</w:t>
      </w:r>
      <w:r w:rsidRPr="00B4523C">
        <w:rPr>
          <w:rFonts w:asciiTheme="minorEastAsia" w:hAnsiTheme="minorEastAsia" w:hint="eastAsia"/>
          <w:lang w:eastAsia="zh-CN"/>
        </w:rPr>
        <w:t>号决定</w:t>
      </w:r>
      <w:r>
        <w:rPr>
          <w:rFonts w:asciiTheme="minorEastAsia" w:hAnsiTheme="minorEastAsia" w:hint="eastAsia"/>
          <w:lang w:eastAsia="zh-CN"/>
        </w:rPr>
        <w:t>（</w:t>
      </w:r>
      <w:r w:rsidRPr="00CA0F4E">
        <w:rPr>
          <w:lang w:eastAsia="zh-CN"/>
        </w:rPr>
        <w:t>C17</w:t>
      </w:r>
      <w:r>
        <w:rPr>
          <w:rFonts w:asciiTheme="minorEastAsia" w:hAnsiTheme="minorEastAsia"/>
          <w:lang w:eastAsia="zh-CN"/>
        </w:rPr>
        <w:t>）</w:t>
      </w:r>
      <w:bookmarkEnd w:id="209"/>
      <w:bookmarkEnd w:id="210"/>
      <w:bookmarkEnd w:id="211"/>
      <w:bookmarkEnd w:id="212"/>
      <w:bookmarkEnd w:id="213"/>
    </w:p>
    <w:p w14:paraId="4827AC33" w14:textId="77777777" w:rsidR="00CA0F4E" w:rsidRPr="00B4523C" w:rsidRDefault="00CA0F4E" w:rsidP="004A322B">
      <w:pPr>
        <w:pStyle w:val="Restitle"/>
        <w:rPr>
          <w:lang w:eastAsia="zh-CN"/>
        </w:rPr>
      </w:pPr>
      <w:bookmarkStart w:id="214" w:name="_Toc531706283"/>
      <w:bookmarkStart w:id="215" w:name="_Toc531706878"/>
      <w:bookmarkStart w:id="216" w:name="_Toc531768370"/>
      <w:bookmarkStart w:id="217" w:name="_Toc16085681"/>
      <w:bookmarkStart w:id="218" w:name="_Toc86395485"/>
      <w:r w:rsidRPr="00B4523C">
        <w:rPr>
          <w:rFonts w:hint="eastAsia"/>
          <w:lang w:eastAsia="zh-CN"/>
        </w:rPr>
        <w:t>外部审计员（意大利审计院）的授权续期两年</w:t>
      </w:r>
      <w:bookmarkEnd w:id="214"/>
      <w:bookmarkEnd w:id="215"/>
      <w:bookmarkEnd w:id="216"/>
      <w:bookmarkEnd w:id="217"/>
      <w:bookmarkEnd w:id="218"/>
    </w:p>
    <w:p w14:paraId="4827AC34" w14:textId="77777777" w:rsidR="00CA0F4E" w:rsidRPr="00B4523C" w:rsidRDefault="00CA0F4E" w:rsidP="00E51375">
      <w:pPr>
        <w:pStyle w:val="Normalaftertitle0"/>
      </w:pPr>
      <w:r w:rsidRPr="00B4523C">
        <w:rPr>
          <w:rFonts w:hint="eastAsia"/>
        </w:rPr>
        <w:t>理事会，</w:t>
      </w:r>
    </w:p>
    <w:p w14:paraId="4827AC35" w14:textId="77777777" w:rsidR="00CA0F4E" w:rsidRPr="00B4523C" w:rsidRDefault="00CA0F4E" w:rsidP="00CA0F4E">
      <w:pPr>
        <w:pStyle w:val="Call"/>
        <w:rPr>
          <w:lang w:eastAsia="zh-CN"/>
        </w:rPr>
      </w:pPr>
      <w:r w:rsidRPr="00B4523C">
        <w:rPr>
          <w:rFonts w:hint="eastAsia"/>
          <w:lang w:eastAsia="zh-CN"/>
        </w:rPr>
        <w:t>经审查</w:t>
      </w:r>
    </w:p>
    <w:p w14:paraId="4827AC36" w14:textId="77777777" w:rsidR="00CA0F4E" w:rsidRPr="00B4523C" w:rsidRDefault="00F71B18" w:rsidP="00CA0F4E">
      <w:pPr>
        <w:ind w:firstLineChars="200" w:firstLine="480"/>
        <w:rPr>
          <w:lang w:eastAsia="zh-CN"/>
        </w:rPr>
      </w:pPr>
      <w:hyperlink r:id="rId125" w:history="1">
        <w:r w:rsidR="00CA0F4E" w:rsidRPr="00B4523C">
          <w:rPr>
            <w:rStyle w:val="Hyperlink"/>
            <w:szCs w:val="24"/>
            <w:lang w:eastAsia="zh-CN"/>
          </w:rPr>
          <w:t>C17/58</w:t>
        </w:r>
      </w:hyperlink>
      <w:r w:rsidR="00CA0F4E" w:rsidRPr="00B4523C">
        <w:rPr>
          <w:rFonts w:hint="eastAsia"/>
          <w:lang w:eastAsia="zh-CN"/>
        </w:rPr>
        <w:t>号文件，</w:t>
      </w:r>
    </w:p>
    <w:p w14:paraId="4827AC37" w14:textId="77777777" w:rsidR="00CA0F4E" w:rsidRPr="00B4523C" w:rsidRDefault="00CA0F4E" w:rsidP="00CA0F4E">
      <w:pPr>
        <w:pStyle w:val="Call"/>
        <w:rPr>
          <w:lang w:eastAsia="zh-CN"/>
        </w:rPr>
      </w:pPr>
      <w:r w:rsidRPr="00B4523C">
        <w:rPr>
          <w:rFonts w:hint="eastAsia"/>
          <w:lang w:eastAsia="zh-CN"/>
        </w:rPr>
        <w:t>考虑到</w:t>
      </w:r>
    </w:p>
    <w:p w14:paraId="4827AC38" w14:textId="77777777" w:rsidR="00CA0F4E" w:rsidRPr="00B4523C" w:rsidRDefault="00F71B18" w:rsidP="00CA0F4E">
      <w:pPr>
        <w:ind w:firstLineChars="200" w:firstLine="480"/>
        <w:rPr>
          <w:lang w:eastAsia="zh-CN"/>
        </w:rPr>
      </w:pPr>
      <w:hyperlink r:id="rId126" w:history="1">
        <w:r w:rsidR="00CA0F4E" w:rsidRPr="00B4523C">
          <w:rPr>
            <w:rStyle w:val="Hyperlink"/>
            <w:rFonts w:cs="Calibri" w:hint="eastAsia"/>
            <w:szCs w:val="24"/>
            <w:lang w:eastAsia="zh-CN"/>
          </w:rPr>
          <w:t>第</w:t>
        </w:r>
        <w:r w:rsidR="00CA0F4E" w:rsidRPr="00B4523C">
          <w:rPr>
            <w:rStyle w:val="Hyperlink"/>
            <w:rFonts w:cs="Calibri" w:hint="eastAsia"/>
            <w:szCs w:val="24"/>
            <w:lang w:eastAsia="zh-CN"/>
          </w:rPr>
          <w:t>94</w:t>
        </w:r>
        <w:r w:rsidR="00CA0F4E" w:rsidRPr="00B4523C">
          <w:rPr>
            <w:rStyle w:val="Hyperlink"/>
            <w:rFonts w:cs="Calibri" w:hint="eastAsia"/>
            <w:szCs w:val="24"/>
            <w:lang w:eastAsia="zh-CN"/>
          </w:rPr>
          <w:t>号决议</w:t>
        </w:r>
      </w:hyperlink>
      <w:r w:rsidR="00CA0F4E" w:rsidRPr="00B4523C">
        <w:rPr>
          <w:rFonts w:hint="eastAsia"/>
          <w:lang w:eastAsia="zh-CN"/>
        </w:rPr>
        <w:t>（</w:t>
      </w:r>
      <w:r w:rsidR="00CA0F4E" w:rsidRPr="00B4523C">
        <w:rPr>
          <w:rFonts w:hint="eastAsia"/>
          <w:lang w:eastAsia="zh-CN"/>
        </w:rPr>
        <w:t>2014</w:t>
      </w:r>
      <w:r w:rsidR="00CA0F4E" w:rsidRPr="00B4523C">
        <w:rPr>
          <w:rFonts w:hint="eastAsia"/>
          <w:lang w:eastAsia="zh-CN"/>
        </w:rPr>
        <w:t>年，釜山，修订版）、</w:t>
      </w:r>
      <w:hyperlink r:id="rId127" w:history="1">
        <w:r w:rsidR="00CA0F4E" w:rsidRPr="00B4523C">
          <w:rPr>
            <w:rStyle w:val="Hyperlink"/>
            <w:rFonts w:hint="eastAsia"/>
            <w:szCs w:val="24"/>
            <w:lang w:eastAsia="zh-CN"/>
          </w:rPr>
          <w:t>第</w:t>
        </w:r>
        <w:r w:rsidR="00CA0F4E" w:rsidRPr="00B4523C">
          <w:rPr>
            <w:rStyle w:val="Hyperlink"/>
            <w:szCs w:val="24"/>
            <w:lang w:eastAsia="zh-CN"/>
          </w:rPr>
          <w:t>566</w:t>
        </w:r>
        <w:r w:rsidR="00CA0F4E" w:rsidRPr="00B4523C">
          <w:rPr>
            <w:rStyle w:val="Hyperlink"/>
            <w:rFonts w:hint="eastAsia"/>
            <w:szCs w:val="24"/>
            <w:lang w:eastAsia="zh-CN"/>
          </w:rPr>
          <w:t>号决定</w:t>
        </w:r>
      </w:hyperlink>
      <w:r w:rsidR="00CA0F4E" w:rsidRPr="00B4523C">
        <w:rPr>
          <w:rFonts w:hint="eastAsia"/>
          <w:lang w:eastAsia="zh-CN"/>
        </w:rPr>
        <w:t>和</w:t>
      </w:r>
      <w:hyperlink r:id="rId128" w:history="1">
        <w:r w:rsidR="00CA0F4E" w:rsidRPr="00B4523C">
          <w:rPr>
            <w:rStyle w:val="Hyperlink"/>
            <w:rFonts w:hint="eastAsia"/>
            <w:szCs w:val="24"/>
            <w:lang w:eastAsia="zh-CN"/>
          </w:rPr>
          <w:t>第</w:t>
        </w:r>
        <w:r w:rsidR="00CA0F4E" w:rsidRPr="00B4523C">
          <w:rPr>
            <w:rStyle w:val="Hyperlink"/>
            <w:szCs w:val="24"/>
            <w:lang w:eastAsia="zh-CN"/>
          </w:rPr>
          <w:t>586</w:t>
        </w:r>
      </w:hyperlink>
      <w:r w:rsidR="00CA0F4E" w:rsidRPr="00B4523C">
        <w:rPr>
          <w:rStyle w:val="Hyperlink"/>
          <w:rFonts w:hint="eastAsia"/>
          <w:szCs w:val="24"/>
          <w:lang w:eastAsia="zh-CN"/>
        </w:rPr>
        <w:t>号</w:t>
      </w:r>
      <w:r w:rsidR="00CA0F4E" w:rsidRPr="00B4523C">
        <w:rPr>
          <w:rStyle w:val="Hyperlink"/>
          <w:szCs w:val="24"/>
          <w:lang w:eastAsia="zh-CN"/>
        </w:rPr>
        <w:t>决定</w:t>
      </w:r>
      <w:r w:rsidR="00CA0F4E" w:rsidRPr="00B4523C">
        <w:rPr>
          <w:rFonts w:hint="eastAsia"/>
          <w:lang w:eastAsia="zh-CN"/>
        </w:rPr>
        <w:t>，</w:t>
      </w:r>
    </w:p>
    <w:p w14:paraId="4827AC39" w14:textId="77777777" w:rsidR="00CA0F4E" w:rsidRPr="00B4523C" w:rsidRDefault="00CA0F4E" w:rsidP="00CA0F4E">
      <w:pPr>
        <w:pStyle w:val="Call"/>
        <w:rPr>
          <w:lang w:eastAsia="zh-CN"/>
        </w:rPr>
      </w:pPr>
      <w:r w:rsidRPr="00B4523C">
        <w:rPr>
          <w:rFonts w:hint="eastAsia"/>
          <w:lang w:eastAsia="zh-CN"/>
        </w:rPr>
        <w:t>顾及</w:t>
      </w:r>
    </w:p>
    <w:p w14:paraId="4827AC3A" w14:textId="77777777" w:rsidR="00CA0F4E" w:rsidRPr="00B4523C" w:rsidRDefault="00F71B18" w:rsidP="00CA0F4E">
      <w:pPr>
        <w:ind w:firstLineChars="200" w:firstLine="480"/>
        <w:rPr>
          <w:lang w:eastAsia="zh-CN"/>
        </w:rPr>
      </w:pPr>
      <w:hyperlink r:id="rId129" w:history="1">
        <w:r w:rsidR="00CA0F4E" w:rsidRPr="00B4523C">
          <w:rPr>
            <w:rStyle w:val="Hyperlink"/>
            <w:rFonts w:hint="eastAsia"/>
            <w:szCs w:val="24"/>
            <w:lang w:eastAsia="zh-CN"/>
          </w:rPr>
          <w:t>《财务规则》第</w:t>
        </w:r>
        <w:r w:rsidR="00CA0F4E" w:rsidRPr="00B4523C">
          <w:rPr>
            <w:rStyle w:val="Hyperlink"/>
            <w:szCs w:val="24"/>
            <w:lang w:eastAsia="zh-CN"/>
          </w:rPr>
          <w:t>28</w:t>
        </w:r>
        <w:r w:rsidR="00CA0F4E" w:rsidRPr="00B4523C">
          <w:rPr>
            <w:rStyle w:val="Hyperlink"/>
            <w:rFonts w:hint="eastAsia"/>
            <w:szCs w:val="24"/>
            <w:lang w:eastAsia="zh-CN"/>
          </w:rPr>
          <w:t>条</w:t>
        </w:r>
      </w:hyperlink>
      <w:r w:rsidR="00CA0F4E" w:rsidRPr="00B4523C">
        <w:rPr>
          <w:rFonts w:hint="eastAsia"/>
          <w:lang w:eastAsia="zh-CN"/>
        </w:rPr>
        <w:t>，</w:t>
      </w:r>
    </w:p>
    <w:p w14:paraId="4827AC3B" w14:textId="77777777" w:rsidR="00CA0F4E" w:rsidRPr="00B4523C" w:rsidRDefault="00CA0F4E" w:rsidP="00CA0F4E">
      <w:pPr>
        <w:pStyle w:val="Call"/>
        <w:rPr>
          <w:lang w:eastAsia="zh-CN"/>
        </w:rPr>
      </w:pPr>
      <w:r w:rsidRPr="00B4523C">
        <w:rPr>
          <w:rFonts w:hint="eastAsia"/>
          <w:lang w:eastAsia="zh-CN"/>
        </w:rPr>
        <w:t>做出决定</w:t>
      </w:r>
    </w:p>
    <w:p w14:paraId="4827AC3C" w14:textId="77777777" w:rsidR="00CA0F4E" w:rsidRPr="00B4523C" w:rsidRDefault="00CA0F4E" w:rsidP="00CA0F4E">
      <w:pPr>
        <w:ind w:firstLineChars="200" w:firstLine="480"/>
        <w:rPr>
          <w:lang w:eastAsia="zh-CN"/>
        </w:rPr>
      </w:pPr>
      <w:r w:rsidRPr="00B4523C">
        <w:rPr>
          <w:rFonts w:hint="eastAsia"/>
          <w:lang w:eastAsia="zh-CN"/>
        </w:rPr>
        <w:t>将国际电联外部审计员（意大利审计院）的授权续期两年，以便进行国际电联</w:t>
      </w:r>
      <w:r w:rsidRPr="00B4523C">
        <w:rPr>
          <w:lang w:eastAsia="zh-CN"/>
        </w:rPr>
        <w:t>2018</w:t>
      </w:r>
      <w:r w:rsidRPr="00B4523C">
        <w:rPr>
          <w:rFonts w:hint="eastAsia"/>
          <w:lang w:eastAsia="zh-CN"/>
        </w:rPr>
        <w:t>和</w:t>
      </w:r>
      <w:r w:rsidRPr="00B4523C">
        <w:rPr>
          <w:lang w:eastAsia="zh-CN"/>
        </w:rPr>
        <w:t>2019</w:t>
      </w:r>
      <w:r w:rsidRPr="00B4523C">
        <w:rPr>
          <w:rFonts w:hint="eastAsia"/>
          <w:lang w:eastAsia="zh-CN"/>
        </w:rPr>
        <w:t>年度财务报表的审计，</w:t>
      </w:r>
    </w:p>
    <w:p w14:paraId="4827AC3D" w14:textId="77777777" w:rsidR="00CA0F4E" w:rsidRPr="00B4523C" w:rsidRDefault="00CA0F4E" w:rsidP="00CA0F4E">
      <w:pPr>
        <w:pStyle w:val="Call"/>
        <w:rPr>
          <w:lang w:eastAsia="zh-CN"/>
        </w:rPr>
      </w:pPr>
      <w:r w:rsidRPr="00B4523C">
        <w:rPr>
          <w:rFonts w:hint="eastAsia"/>
          <w:lang w:eastAsia="zh-CN"/>
        </w:rPr>
        <w:t>责成秘书长</w:t>
      </w:r>
    </w:p>
    <w:p w14:paraId="4827AC3E" w14:textId="77777777" w:rsidR="00CA0F4E" w:rsidRPr="00B4523C" w:rsidRDefault="00CA0F4E" w:rsidP="00CA0F4E">
      <w:pPr>
        <w:ind w:firstLineChars="200" w:firstLine="480"/>
        <w:rPr>
          <w:lang w:eastAsia="zh-CN"/>
        </w:rPr>
      </w:pPr>
      <w:r w:rsidRPr="00B4523C">
        <w:rPr>
          <w:rFonts w:hint="eastAsia"/>
          <w:lang w:eastAsia="zh-CN"/>
        </w:rPr>
        <w:t>请意大利最高审计机构（意大利审计院）的院长注意本决定。</w:t>
      </w:r>
    </w:p>
    <w:p w14:paraId="4827AC3F" w14:textId="77777777" w:rsidR="00CA0F4E" w:rsidRPr="00A6429D" w:rsidRDefault="00CA0F4E" w:rsidP="00CA0F4E">
      <w:pPr>
        <w:pStyle w:val="Endtext"/>
        <w:rPr>
          <w:lang w:val="en-GB" w:eastAsia="zh-CN"/>
        </w:rPr>
      </w:pPr>
      <w:r w:rsidRPr="00DA7A9F">
        <w:rPr>
          <w:rFonts w:ascii="STKaiti" w:hAnsi="STKaiti" w:hint="eastAsia"/>
          <w:bCs/>
          <w:lang w:eastAsia="zh-CN"/>
        </w:rPr>
        <w:t>参阅</w:t>
      </w:r>
      <w:r w:rsidRPr="00A6429D">
        <w:rPr>
          <w:rFonts w:hint="eastAsia"/>
          <w:bCs/>
          <w:lang w:val="en-GB" w:eastAsia="zh-CN"/>
        </w:rPr>
        <w:t>：</w:t>
      </w:r>
      <w:r w:rsidR="00907DF5">
        <w:rPr>
          <w:bCs/>
          <w:lang w:val="en-GB" w:eastAsia="zh-CN"/>
        </w:rPr>
        <w:tab/>
      </w:r>
      <w:hyperlink r:id="rId130" w:history="1">
        <w:r w:rsidRPr="008B7431">
          <w:rPr>
            <w:rStyle w:val="Hyperlink"/>
            <w:lang w:eastAsia="zh-CN"/>
          </w:rPr>
          <w:t>C17/13</w:t>
        </w:r>
        <w:r>
          <w:rPr>
            <w:rStyle w:val="Hyperlink"/>
            <w:lang w:eastAsia="zh-CN"/>
          </w:rPr>
          <w:t>9</w:t>
        </w:r>
      </w:hyperlink>
      <w:r>
        <w:rPr>
          <w:rFonts w:hint="eastAsia"/>
          <w:lang w:val="fr-FR" w:eastAsia="zh-CN"/>
        </w:rPr>
        <w:t>和</w:t>
      </w:r>
      <w:hyperlink r:id="rId131" w:history="1">
        <w:r w:rsidRPr="003D0791">
          <w:rPr>
            <w:rStyle w:val="Hyperlink"/>
            <w:lang w:eastAsia="zh-CN"/>
          </w:rPr>
          <w:t>C17/140</w:t>
        </w:r>
      </w:hyperlink>
      <w:r>
        <w:rPr>
          <w:rFonts w:hint="eastAsia"/>
          <w:lang w:eastAsia="zh-CN"/>
        </w:rPr>
        <w:t>号</w:t>
      </w:r>
      <w:r>
        <w:rPr>
          <w:lang w:eastAsia="zh-CN"/>
        </w:rPr>
        <w:t>文件</w:t>
      </w:r>
      <w:r w:rsidRPr="00C44E8B">
        <w:rPr>
          <w:lang w:eastAsia="zh-CN"/>
        </w:rPr>
        <w:t>。</w:t>
      </w:r>
    </w:p>
    <w:p w14:paraId="4827AC40" w14:textId="77777777" w:rsidR="000028BB" w:rsidRDefault="000028BB" w:rsidP="000028BB">
      <w:pPr>
        <w:jc w:val="center"/>
        <w:rPr>
          <w:lang w:eastAsia="zh-CN"/>
        </w:rPr>
      </w:pPr>
      <w:bookmarkStart w:id="219" w:name="_Toc531706284"/>
      <w:bookmarkStart w:id="220" w:name="_Toc531706879"/>
      <w:bookmarkStart w:id="221" w:name="_Toc531768371"/>
      <w:r>
        <w:rPr>
          <w:lang w:eastAsia="zh-CN"/>
        </w:rPr>
        <w:t>______________</w:t>
      </w:r>
    </w:p>
    <w:p w14:paraId="4827AD63" w14:textId="77777777" w:rsidR="002A1C49" w:rsidRDefault="002A1C49" w:rsidP="001B5FA0">
      <w:pPr>
        <w:pStyle w:val="ResNo"/>
        <w:outlineLvl w:val="0"/>
        <w:rPr>
          <w:lang w:eastAsia="zh-CN"/>
        </w:rPr>
      </w:pPr>
      <w:bookmarkStart w:id="222" w:name="_Toc16085686"/>
      <w:bookmarkStart w:id="223" w:name="_Toc86395486"/>
      <w:bookmarkEnd w:id="219"/>
      <w:bookmarkEnd w:id="220"/>
      <w:bookmarkEnd w:id="221"/>
      <w:r>
        <w:rPr>
          <w:rFonts w:hint="eastAsia"/>
          <w:lang w:eastAsia="zh-CN"/>
        </w:rPr>
        <w:t>第</w:t>
      </w:r>
      <w:r>
        <w:rPr>
          <w:lang w:eastAsia="zh-CN"/>
        </w:rPr>
        <w:t>613</w:t>
      </w:r>
      <w:r>
        <w:rPr>
          <w:rFonts w:hint="eastAsia"/>
          <w:lang w:eastAsia="zh-CN"/>
        </w:rPr>
        <w:t>号决定（</w:t>
      </w:r>
      <w:r>
        <w:rPr>
          <w:rFonts w:hint="eastAsia"/>
          <w:lang w:eastAsia="zh-CN"/>
        </w:rPr>
        <w:t>C</w:t>
      </w:r>
      <w:r>
        <w:rPr>
          <w:lang w:eastAsia="zh-CN"/>
        </w:rPr>
        <w:t>19</w:t>
      </w:r>
      <w:r>
        <w:rPr>
          <w:rFonts w:hint="eastAsia"/>
          <w:lang w:eastAsia="zh-CN"/>
        </w:rPr>
        <w:t>）</w:t>
      </w:r>
      <w:bookmarkEnd w:id="222"/>
      <w:bookmarkEnd w:id="223"/>
    </w:p>
    <w:p w14:paraId="4827AD64" w14:textId="77777777" w:rsidR="002A1C49" w:rsidRPr="00E17B32" w:rsidRDefault="002A1C49" w:rsidP="002A1C49">
      <w:pPr>
        <w:pStyle w:val="Restitle"/>
        <w:rPr>
          <w:lang w:eastAsia="zh-CN"/>
        </w:rPr>
      </w:pPr>
      <w:bookmarkStart w:id="224" w:name="_Toc16085687"/>
      <w:bookmarkStart w:id="225" w:name="_Toc86395487"/>
      <w:r w:rsidRPr="00E17B32">
        <w:rPr>
          <w:rFonts w:hint="eastAsia"/>
          <w:lang w:eastAsia="zh-CN"/>
        </w:rPr>
        <w:t>在一家区域代表处发生欺诈案</w:t>
      </w:r>
      <w:r>
        <w:rPr>
          <w:rFonts w:hint="eastAsia"/>
          <w:lang w:eastAsia="zh-CN"/>
        </w:rPr>
        <w:t>之</w:t>
      </w:r>
      <w:r w:rsidRPr="00E17B32">
        <w:rPr>
          <w:rFonts w:hint="eastAsia"/>
          <w:lang w:eastAsia="zh-CN"/>
        </w:rPr>
        <w:t>后进行的普通审计</w:t>
      </w:r>
      <w:bookmarkEnd w:id="224"/>
      <w:bookmarkEnd w:id="225"/>
    </w:p>
    <w:p w14:paraId="4827AD65" w14:textId="77777777" w:rsidR="002A1C49" w:rsidRPr="007C7769" w:rsidRDefault="002A1C49" w:rsidP="002A1C49">
      <w:pPr>
        <w:pStyle w:val="Normalaftertitle"/>
        <w:rPr>
          <w:lang w:eastAsia="zh-CN"/>
        </w:rPr>
      </w:pPr>
      <w:r w:rsidRPr="007C7769">
        <w:rPr>
          <w:rFonts w:hint="eastAsia"/>
          <w:lang w:eastAsia="zh-CN"/>
        </w:rPr>
        <w:t>理事会，</w:t>
      </w:r>
    </w:p>
    <w:p w14:paraId="4827AD66" w14:textId="77777777" w:rsidR="002A1C49" w:rsidRDefault="002A1C49" w:rsidP="002A1C49">
      <w:pPr>
        <w:pStyle w:val="Call"/>
        <w:rPr>
          <w:iCs/>
          <w:lang w:eastAsia="zh-CN"/>
        </w:rPr>
      </w:pPr>
      <w:r w:rsidRPr="00AA4475">
        <w:rPr>
          <w:rFonts w:hint="eastAsia"/>
          <w:lang w:eastAsia="zh-CN"/>
        </w:rPr>
        <w:t>深</w:t>
      </w:r>
      <w:r>
        <w:rPr>
          <w:rFonts w:hint="eastAsia"/>
          <w:lang w:eastAsia="zh-CN"/>
        </w:rPr>
        <w:t>度</w:t>
      </w:r>
      <w:r w:rsidRPr="00AA4475">
        <w:rPr>
          <w:rFonts w:hint="eastAsia"/>
          <w:lang w:eastAsia="zh-CN"/>
        </w:rPr>
        <w:t>关切</w:t>
      </w:r>
    </w:p>
    <w:p w14:paraId="4827AD67" w14:textId="77777777" w:rsidR="002A1C49" w:rsidRPr="00514321" w:rsidRDefault="002A1C49" w:rsidP="002A1C49">
      <w:pPr>
        <w:ind w:firstLineChars="200" w:firstLine="480"/>
        <w:rPr>
          <w:lang w:eastAsia="zh-CN"/>
        </w:rPr>
      </w:pPr>
      <w:r w:rsidRPr="00514321">
        <w:rPr>
          <w:rFonts w:hint="eastAsia"/>
          <w:lang w:eastAsia="zh-CN"/>
        </w:rPr>
        <w:t>最近揭露</w:t>
      </w:r>
      <w:r>
        <w:rPr>
          <w:rFonts w:hint="eastAsia"/>
          <w:lang w:eastAsia="zh-CN"/>
        </w:rPr>
        <w:t>出</w:t>
      </w:r>
      <w:r w:rsidRPr="00514321">
        <w:rPr>
          <w:rFonts w:hint="eastAsia"/>
          <w:lang w:eastAsia="zh-CN"/>
        </w:rPr>
        <w:t>的</w:t>
      </w:r>
      <w:r>
        <w:rPr>
          <w:rFonts w:hint="eastAsia"/>
          <w:lang w:eastAsia="zh-CN"/>
        </w:rPr>
        <w:t>侵吞资金</w:t>
      </w:r>
      <w:r w:rsidRPr="00514321">
        <w:rPr>
          <w:rFonts w:hint="eastAsia"/>
          <w:lang w:eastAsia="zh-CN"/>
        </w:rPr>
        <w:t>行为，</w:t>
      </w:r>
      <w:r>
        <w:rPr>
          <w:rFonts w:hint="eastAsia"/>
          <w:lang w:eastAsia="zh-CN"/>
        </w:rPr>
        <w:t>尤其是</w:t>
      </w:r>
      <w:r w:rsidRPr="00514321">
        <w:rPr>
          <w:rFonts w:hint="eastAsia"/>
          <w:lang w:eastAsia="zh-CN"/>
        </w:rPr>
        <w:t>其规模</w:t>
      </w:r>
      <w:r>
        <w:rPr>
          <w:rFonts w:hint="eastAsia"/>
          <w:lang w:eastAsia="zh-CN"/>
        </w:rPr>
        <w:t>之大</w:t>
      </w:r>
      <w:r w:rsidRPr="00514321">
        <w:rPr>
          <w:rFonts w:hint="eastAsia"/>
          <w:lang w:eastAsia="zh-CN"/>
        </w:rPr>
        <w:t>、</w:t>
      </w:r>
      <w:r>
        <w:rPr>
          <w:rFonts w:hint="eastAsia"/>
          <w:lang w:eastAsia="zh-CN"/>
        </w:rPr>
        <w:t>犯罪之</w:t>
      </w:r>
      <w:r w:rsidRPr="00514321">
        <w:rPr>
          <w:rFonts w:hint="eastAsia"/>
          <w:lang w:eastAsia="zh-CN"/>
        </w:rPr>
        <w:t>易</w:t>
      </w:r>
      <w:r>
        <w:rPr>
          <w:rFonts w:hint="eastAsia"/>
          <w:lang w:eastAsia="zh-CN"/>
        </w:rPr>
        <w:t>以及现有侦查</w:t>
      </w:r>
      <w:r w:rsidRPr="00514321">
        <w:rPr>
          <w:rFonts w:hint="eastAsia"/>
          <w:lang w:eastAsia="zh-CN"/>
        </w:rPr>
        <w:t>机制</w:t>
      </w:r>
      <w:r>
        <w:rPr>
          <w:rFonts w:hint="eastAsia"/>
          <w:lang w:eastAsia="zh-CN"/>
        </w:rPr>
        <w:t>之</w:t>
      </w:r>
      <w:r w:rsidRPr="00514321">
        <w:rPr>
          <w:rFonts w:hint="eastAsia"/>
          <w:lang w:eastAsia="zh-CN"/>
        </w:rPr>
        <w:t>薄弱，</w:t>
      </w:r>
    </w:p>
    <w:p w14:paraId="4827AD68" w14:textId="77777777" w:rsidR="002A1C49" w:rsidRPr="00EC3211" w:rsidRDefault="002A1C49" w:rsidP="002A1C49">
      <w:pPr>
        <w:pStyle w:val="Call"/>
        <w:rPr>
          <w:lang w:eastAsia="zh-CN"/>
        </w:rPr>
      </w:pPr>
      <w:r>
        <w:rPr>
          <w:rFonts w:hint="eastAsia"/>
          <w:lang w:eastAsia="zh-CN"/>
        </w:rPr>
        <w:t>承</w:t>
      </w:r>
      <w:r w:rsidRPr="00B75F78">
        <w:rPr>
          <w:rFonts w:hint="eastAsia"/>
          <w:lang w:eastAsia="zh-CN"/>
        </w:rPr>
        <w:t>认</w:t>
      </w:r>
      <w:r>
        <w:rPr>
          <w:rFonts w:hint="eastAsia"/>
          <w:lang w:eastAsia="zh-CN"/>
        </w:rPr>
        <w:t>有必要</w:t>
      </w:r>
    </w:p>
    <w:p w14:paraId="4827AD69" w14:textId="77777777" w:rsidR="002A1C49" w:rsidRDefault="002A1C49" w:rsidP="002A1C49">
      <w:pPr>
        <w:ind w:firstLineChars="200" w:firstLine="480"/>
        <w:rPr>
          <w:lang w:eastAsia="zh-CN"/>
        </w:rPr>
      </w:pPr>
      <w:r w:rsidRPr="00320C12">
        <w:rPr>
          <w:rFonts w:hint="eastAsia"/>
          <w:lang w:eastAsia="zh-CN"/>
        </w:rPr>
        <w:t>建立有效的监督和审计机制、启用有效的人员、流程、政策和程序体制，明确所有流程和批准程序的授权，以便能够及时采取适当行动来解决此类关切问题，其中包括通过采用能够反映出调查流程独立性的最佳做法、强有力的道德规范职能以及鼓励发现和研究解决体制缺陷的企业文化，</w:t>
      </w:r>
    </w:p>
    <w:p w14:paraId="4827AD6A" w14:textId="77777777" w:rsidR="002A1C49" w:rsidRPr="00033274" w:rsidRDefault="002A1C49" w:rsidP="002A1C49">
      <w:pPr>
        <w:pStyle w:val="Call"/>
        <w:rPr>
          <w:lang w:eastAsia="zh-CN"/>
        </w:rPr>
      </w:pPr>
      <w:r>
        <w:rPr>
          <w:rFonts w:hint="eastAsia"/>
          <w:lang w:eastAsia="zh-CN"/>
        </w:rPr>
        <w:t>认识到</w:t>
      </w:r>
    </w:p>
    <w:p w14:paraId="4827AD6B" w14:textId="77777777" w:rsidR="002A1C49" w:rsidRPr="00320C12" w:rsidRDefault="002A1C49" w:rsidP="002A1C49">
      <w:pPr>
        <w:ind w:firstLineChars="200" w:firstLine="480"/>
        <w:rPr>
          <w:lang w:eastAsia="zh-CN"/>
        </w:rPr>
      </w:pPr>
      <w:r w:rsidRPr="00320C12">
        <w:rPr>
          <w:rFonts w:hint="eastAsia"/>
          <w:lang w:eastAsia="zh-CN"/>
        </w:rPr>
        <w:t>国际电联工作人员的承诺、工作质量和诚信，</w:t>
      </w:r>
    </w:p>
    <w:p w14:paraId="4827AD6C" w14:textId="77777777" w:rsidR="008019EE" w:rsidRDefault="008019EE">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lang w:eastAsia="zh-CN"/>
        </w:rPr>
        <w:br w:type="page"/>
      </w:r>
    </w:p>
    <w:p w14:paraId="4827AD6D" w14:textId="77777777" w:rsidR="002A1C49" w:rsidRDefault="002A1C49" w:rsidP="002A1C49">
      <w:pPr>
        <w:pStyle w:val="Call"/>
        <w:rPr>
          <w:lang w:eastAsia="zh-CN"/>
        </w:rPr>
      </w:pPr>
      <w:r>
        <w:rPr>
          <w:rFonts w:hint="eastAsia"/>
          <w:lang w:eastAsia="zh-CN"/>
        </w:rPr>
        <w:lastRenderedPageBreak/>
        <w:t>进一步认识到</w:t>
      </w:r>
    </w:p>
    <w:p w14:paraId="4827AD6E" w14:textId="77777777" w:rsidR="002A1C49" w:rsidRPr="00320C12" w:rsidRDefault="002A1C49" w:rsidP="002A1C49">
      <w:pPr>
        <w:ind w:firstLineChars="200" w:firstLine="480"/>
        <w:rPr>
          <w:lang w:eastAsia="zh-CN"/>
        </w:rPr>
      </w:pPr>
      <w:r w:rsidRPr="00320C12">
        <w:rPr>
          <w:rFonts w:hint="eastAsia"/>
          <w:lang w:eastAsia="zh-CN"/>
        </w:rPr>
        <w:t>由于举报人采取的行动，这些侵吞资金的行为得以被揭露，而且需要采取进一步行动，加强本组织对举报人的保护，</w:t>
      </w:r>
    </w:p>
    <w:p w14:paraId="4827AD6F" w14:textId="77777777" w:rsidR="002A1C49" w:rsidRPr="00114637" w:rsidRDefault="002A1C49" w:rsidP="002A1C49">
      <w:pPr>
        <w:pStyle w:val="Call"/>
        <w:rPr>
          <w:lang w:eastAsia="zh-CN"/>
        </w:rPr>
      </w:pPr>
      <w:r w:rsidRPr="00114637">
        <w:rPr>
          <w:rFonts w:hint="eastAsia"/>
          <w:lang w:eastAsia="zh-CN"/>
        </w:rPr>
        <w:t>感谢</w:t>
      </w:r>
    </w:p>
    <w:p w14:paraId="4827AD70" w14:textId="77777777" w:rsidR="002A1C49" w:rsidRPr="00320C12" w:rsidRDefault="002A1C49" w:rsidP="002A1C49">
      <w:pPr>
        <w:ind w:firstLineChars="200" w:firstLine="480"/>
        <w:rPr>
          <w:lang w:eastAsia="zh-CN"/>
        </w:rPr>
      </w:pPr>
      <w:r w:rsidRPr="00320C12">
        <w:rPr>
          <w:rFonts w:hint="eastAsia"/>
          <w:lang w:eastAsia="zh-CN"/>
        </w:rPr>
        <w:t>泰王国政府有意协助对最近发现的</w:t>
      </w:r>
      <w:r>
        <w:rPr>
          <w:rFonts w:hint="eastAsia"/>
          <w:lang w:eastAsia="zh-CN"/>
        </w:rPr>
        <w:t>在国际电联</w:t>
      </w:r>
      <w:r w:rsidRPr="00320C12">
        <w:rPr>
          <w:rFonts w:hint="eastAsia"/>
          <w:lang w:eastAsia="zh-CN"/>
        </w:rPr>
        <w:t>亚洲及太平洋区域</w:t>
      </w:r>
      <w:r>
        <w:rPr>
          <w:rFonts w:hint="eastAsia"/>
          <w:lang w:eastAsia="zh-CN"/>
        </w:rPr>
        <w:t>代表</w:t>
      </w:r>
      <w:r w:rsidRPr="00320C12">
        <w:rPr>
          <w:rFonts w:hint="eastAsia"/>
          <w:lang w:eastAsia="zh-CN"/>
        </w:rPr>
        <w:t>处</w:t>
      </w:r>
      <w:r>
        <w:rPr>
          <w:rFonts w:hint="eastAsia"/>
          <w:lang w:eastAsia="zh-CN"/>
        </w:rPr>
        <w:t>发生</w:t>
      </w:r>
      <w:r w:rsidRPr="00320C12">
        <w:rPr>
          <w:rFonts w:hint="eastAsia"/>
          <w:lang w:eastAsia="zh-CN"/>
        </w:rPr>
        <w:t>的不当行为</w:t>
      </w:r>
      <w:r>
        <w:rPr>
          <w:rFonts w:hint="eastAsia"/>
          <w:lang w:eastAsia="zh-CN"/>
        </w:rPr>
        <w:t>开展</w:t>
      </w:r>
      <w:r w:rsidRPr="00320C12">
        <w:rPr>
          <w:rFonts w:hint="eastAsia"/>
          <w:lang w:eastAsia="zh-CN"/>
        </w:rPr>
        <w:t>进一步调查，</w:t>
      </w:r>
    </w:p>
    <w:p w14:paraId="4827AD71" w14:textId="77777777" w:rsidR="002A1C49" w:rsidRPr="00114637" w:rsidRDefault="002A1C49" w:rsidP="002A1C49">
      <w:pPr>
        <w:pStyle w:val="Call"/>
        <w:rPr>
          <w:lang w:eastAsia="zh-CN"/>
        </w:rPr>
      </w:pPr>
      <w:r w:rsidRPr="00114637">
        <w:rPr>
          <w:rFonts w:hint="eastAsia"/>
          <w:lang w:eastAsia="zh-CN"/>
        </w:rPr>
        <w:t>回顾</w:t>
      </w:r>
    </w:p>
    <w:p w14:paraId="4827AD72" w14:textId="77777777" w:rsidR="002A1C49" w:rsidRPr="00320C12" w:rsidRDefault="002A1C49" w:rsidP="002A1C49">
      <w:pPr>
        <w:ind w:firstLineChars="200" w:firstLine="480"/>
        <w:rPr>
          <w:lang w:eastAsia="zh-CN"/>
        </w:rPr>
      </w:pPr>
      <w:r w:rsidRPr="00320C12">
        <w:rPr>
          <w:rFonts w:hint="eastAsia"/>
          <w:lang w:eastAsia="zh-CN"/>
        </w:rPr>
        <w:t>国际电联在勤奋、谨慎和有效管理</w:t>
      </w:r>
      <w:r>
        <w:rPr>
          <w:rFonts w:hint="eastAsia"/>
          <w:lang w:eastAsia="zh-CN"/>
        </w:rPr>
        <w:t>由</w:t>
      </w:r>
      <w:r w:rsidRPr="00320C12">
        <w:rPr>
          <w:rFonts w:hint="eastAsia"/>
          <w:lang w:eastAsia="zh-CN"/>
        </w:rPr>
        <w:t>捐赠成员和捐赠者委托其处置</w:t>
      </w:r>
      <w:r>
        <w:rPr>
          <w:rFonts w:hint="eastAsia"/>
          <w:lang w:eastAsia="zh-CN"/>
        </w:rPr>
        <w:t>的</w:t>
      </w:r>
      <w:r w:rsidRPr="00320C12">
        <w:rPr>
          <w:rFonts w:hint="eastAsia"/>
          <w:lang w:eastAsia="zh-CN"/>
        </w:rPr>
        <w:t>资金方面的声誉至关重要，</w:t>
      </w:r>
    </w:p>
    <w:p w14:paraId="4827AD73" w14:textId="77777777" w:rsidR="002A1C49" w:rsidRPr="00E1508A" w:rsidRDefault="002A1C49" w:rsidP="002A1C49">
      <w:pPr>
        <w:pStyle w:val="Call"/>
        <w:rPr>
          <w:lang w:eastAsia="zh-CN"/>
        </w:rPr>
      </w:pPr>
      <w:r w:rsidRPr="00114637">
        <w:rPr>
          <w:lang w:eastAsia="zh-CN"/>
        </w:rPr>
        <w:t>经</w:t>
      </w:r>
      <w:r>
        <w:rPr>
          <w:rFonts w:hint="eastAsia"/>
          <w:lang w:eastAsia="zh-CN"/>
        </w:rPr>
        <w:t>审议</w:t>
      </w:r>
    </w:p>
    <w:p w14:paraId="4827AD74" w14:textId="77777777" w:rsidR="002A1C49" w:rsidRPr="00514321" w:rsidRDefault="002A1C49" w:rsidP="002A1C49">
      <w:pPr>
        <w:spacing w:after="120"/>
        <w:ind w:firstLineChars="200" w:firstLine="480"/>
        <w:rPr>
          <w:lang w:eastAsia="zh-CN"/>
        </w:rPr>
      </w:pPr>
      <w:r w:rsidRPr="00320C12">
        <w:rPr>
          <w:rFonts w:hint="eastAsia"/>
          <w:lang w:eastAsia="zh-CN"/>
        </w:rPr>
        <w:t>外部审计员关于处理</w:t>
      </w:r>
      <w:r>
        <w:rPr>
          <w:rFonts w:hint="eastAsia"/>
          <w:lang w:eastAsia="zh-CN"/>
        </w:rPr>
        <w:t>在</w:t>
      </w:r>
      <w:r w:rsidRPr="00320C12">
        <w:rPr>
          <w:rFonts w:hint="eastAsia"/>
          <w:lang w:eastAsia="zh-CN"/>
        </w:rPr>
        <w:t>国际电联发生的欺诈案的特别报告和建议（</w:t>
      </w:r>
      <w:hyperlink r:id="rId132" w:history="1">
        <w:r>
          <w:rPr>
            <w:rStyle w:val="Hyperlink"/>
            <w:szCs w:val="24"/>
            <w:lang w:eastAsia="zh-CN"/>
          </w:rPr>
          <w:t>C19/106</w:t>
        </w:r>
      </w:hyperlink>
      <w:r w:rsidRPr="00320C12">
        <w:rPr>
          <w:rFonts w:hint="eastAsia"/>
          <w:lang w:eastAsia="zh-CN"/>
        </w:rPr>
        <w:t>号文件、秘书长的答复和</w:t>
      </w:r>
      <w:hyperlink r:id="rId133" w:history="1">
        <w:r>
          <w:rPr>
            <w:rStyle w:val="Hyperlink"/>
            <w:szCs w:val="24"/>
            <w:lang w:eastAsia="zh-CN"/>
          </w:rPr>
          <w:t>C19/108</w:t>
        </w:r>
      </w:hyperlink>
      <w:r w:rsidRPr="00320C12">
        <w:rPr>
          <w:rFonts w:hint="eastAsia"/>
          <w:lang w:eastAsia="zh-CN"/>
        </w:rPr>
        <w:t>号文件），其中包括所有审计建议，特别是建议</w:t>
      </w:r>
      <w:r w:rsidRPr="00320C12">
        <w:rPr>
          <w:rFonts w:hint="eastAsia"/>
          <w:lang w:eastAsia="zh-CN"/>
        </w:rPr>
        <w:t>9</w:t>
      </w:r>
      <w:r w:rsidRPr="00320C12">
        <w:rPr>
          <w:rFonts w:hint="eastAsia"/>
          <w:lang w:eastAsia="zh-CN"/>
        </w:rPr>
        <w:t>和</w:t>
      </w:r>
      <w:r w:rsidRPr="00320C12">
        <w:rPr>
          <w:rFonts w:hint="eastAsia"/>
          <w:lang w:eastAsia="zh-CN"/>
        </w:rPr>
        <w:t>11</w:t>
      </w:r>
      <w:r w:rsidRPr="00320C12">
        <w:rPr>
          <w:rFonts w:hint="eastAsia"/>
          <w:lang w:eastAsia="zh-CN"/>
        </w:rPr>
        <w:t>以及</w:t>
      </w:r>
      <w:r>
        <w:rPr>
          <w:rFonts w:hint="eastAsia"/>
          <w:lang w:eastAsia="zh-CN"/>
        </w:rPr>
        <w:t>C</w:t>
      </w:r>
      <w:r>
        <w:rPr>
          <w:lang w:eastAsia="zh-CN"/>
        </w:rPr>
        <w:t>19/106</w:t>
      </w:r>
      <w:r>
        <w:rPr>
          <w:rFonts w:hint="eastAsia"/>
          <w:lang w:eastAsia="zh-CN"/>
        </w:rPr>
        <w:t>号文件的</w:t>
      </w:r>
      <w:r w:rsidRPr="00320C12">
        <w:rPr>
          <w:rFonts w:hint="eastAsia"/>
          <w:lang w:eastAsia="zh-CN"/>
        </w:rPr>
        <w:t>内容提要第四点，</w:t>
      </w:r>
    </w:p>
    <w:p w14:paraId="4827AD75" w14:textId="77777777" w:rsidR="002A1C49" w:rsidRPr="00114637" w:rsidRDefault="002A1C49" w:rsidP="002A1C49">
      <w:pPr>
        <w:pStyle w:val="Call"/>
        <w:rPr>
          <w:lang w:eastAsia="zh-CN"/>
        </w:rPr>
      </w:pPr>
      <w:r>
        <w:rPr>
          <w:rFonts w:hint="eastAsia"/>
          <w:lang w:eastAsia="zh-CN"/>
        </w:rPr>
        <w:t>有意</w:t>
      </w:r>
    </w:p>
    <w:p w14:paraId="4827AD76" w14:textId="77777777" w:rsidR="002A1C49" w:rsidRPr="00BC6BFA" w:rsidRDefault="002A1C49" w:rsidP="002A1C49">
      <w:pPr>
        <w:ind w:firstLineChars="200" w:firstLine="480"/>
        <w:rPr>
          <w:lang w:eastAsia="zh-CN"/>
        </w:rPr>
      </w:pPr>
      <w:r w:rsidRPr="00BC6BFA">
        <w:rPr>
          <w:rFonts w:hint="eastAsia"/>
          <w:lang w:eastAsia="zh-CN"/>
        </w:rPr>
        <w:t>对国际电联有可能发生资金盗用</w:t>
      </w:r>
      <w:r w:rsidRPr="00BC6BFA">
        <w:rPr>
          <w:rFonts w:hint="eastAsia"/>
          <w:lang w:eastAsia="zh-CN"/>
        </w:rPr>
        <w:t>/</w:t>
      </w:r>
      <w:r w:rsidRPr="00BC6BFA">
        <w:rPr>
          <w:rFonts w:hint="eastAsia"/>
          <w:lang w:eastAsia="zh-CN"/>
        </w:rPr>
        <w:t>挪用的所有活动</w:t>
      </w:r>
      <w:r>
        <w:rPr>
          <w:rFonts w:hint="eastAsia"/>
          <w:lang w:eastAsia="zh-CN"/>
        </w:rPr>
        <w:t>开展</w:t>
      </w:r>
      <w:r w:rsidRPr="00BC6BFA">
        <w:rPr>
          <w:rFonts w:hint="eastAsia"/>
          <w:lang w:eastAsia="zh-CN"/>
        </w:rPr>
        <w:t>调查，确保理事会成员对改革进程进行监督，并且确定是否需要进一步改革，</w:t>
      </w:r>
    </w:p>
    <w:p w14:paraId="4827AD77" w14:textId="77777777" w:rsidR="002A1C49" w:rsidRPr="00E1508A" w:rsidRDefault="002A1C49" w:rsidP="002A1C49">
      <w:pPr>
        <w:pStyle w:val="Call"/>
        <w:rPr>
          <w:lang w:eastAsia="zh-CN"/>
        </w:rPr>
      </w:pPr>
      <w:r w:rsidRPr="00E1508A">
        <w:rPr>
          <w:rFonts w:hint="eastAsia"/>
          <w:lang w:eastAsia="zh-CN"/>
        </w:rPr>
        <w:t>做出决</w:t>
      </w:r>
      <w:r>
        <w:rPr>
          <w:rFonts w:hint="eastAsia"/>
          <w:lang w:eastAsia="zh-CN"/>
        </w:rPr>
        <w:t>定，责成秘书长</w:t>
      </w:r>
    </w:p>
    <w:p w14:paraId="4827AD78" w14:textId="77777777" w:rsidR="002A1C49" w:rsidRPr="00514321" w:rsidRDefault="002A1C49" w:rsidP="002A1C49">
      <w:pPr>
        <w:rPr>
          <w:lang w:eastAsia="zh-CN"/>
        </w:rPr>
      </w:pPr>
      <w:r>
        <w:rPr>
          <w:rFonts w:cstheme="minorHAnsi"/>
          <w:szCs w:val="28"/>
          <w:lang w:eastAsia="zh-CN"/>
        </w:rPr>
        <w:t>1</w:t>
      </w:r>
      <w:r>
        <w:rPr>
          <w:rFonts w:cstheme="minorHAnsi"/>
          <w:szCs w:val="28"/>
          <w:lang w:eastAsia="zh-CN"/>
        </w:rPr>
        <w:tab/>
      </w:r>
      <w:r w:rsidRPr="00514321">
        <w:rPr>
          <w:rFonts w:hint="eastAsia"/>
          <w:lang w:eastAsia="zh-CN"/>
        </w:rPr>
        <w:t>授权一家专门从事调查金融犯罪的外部企业对国际电信联盟进行法</w:t>
      </w:r>
      <w:r>
        <w:rPr>
          <w:rFonts w:hint="eastAsia"/>
          <w:lang w:eastAsia="zh-CN"/>
        </w:rPr>
        <w:t>务</w:t>
      </w:r>
      <w:r w:rsidRPr="00514321">
        <w:rPr>
          <w:rFonts w:hint="eastAsia"/>
          <w:lang w:eastAsia="zh-CN"/>
        </w:rPr>
        <w:t>审计，以查明过去</w:t>
      </w:r>
      <w:r>
        <w:rPr>
          <w:rFonts w:hint="eastAsia"/>
          <w:lang w:eastAsia="zh-CN"/>
        </w:rPr>
        <w:t>10</w:t>
      </w:r>
      <w:r w:rsidRPr="00514321">
        <w:rPr>
          <w:rFonts w:hint="eastAsia"/>
          <w:lang w:eastAsia="zh-CN"/>
        </w:rPr>
        <w:t>年中的任何欺诈或其他</w:t>
      </w:r>
      <w:r>
        <w:rPr>
          <w:rFonts w:hint="eastAsia"/>
          <w:lang w:eastAsia="zh-CN"/>
        </w:rPr>
        <w:t>财务</w:t>
      </w:r>
      <w:r w:rsidRPr="00514321">
        <w:rPr>
          <w:rFonts w:hint="eastAsia"/>
          <w:lang w:eastAsia="zh-CN"/>
        </w:rPr>
        <w:t>不当行为；</w:t>
      </w:r>
    </w:p>
    <w:p w14:paraId="4827AD79" w14:textId="77777777" w:rsidR="002A1C49" w:rsidRPr="00514321" w:rsidRDefault="002A1C49" w:rsidP="002A1C49">
      <w:pPr>
        <w:rPr>
          <w:lang w:eastAsia="zh-CN"/>
        </w:rPr>
      </w:pPr>
      <w:r>
        <w:rPr>
          <w:rFonts w:cstheme="minorHAnsi"/>
          <w:szCs w:val="28"/>
          <w:lang w:eastAsia="zh-CN"/>
        </w:rPr>
        <w:t>2</w:t>
      </w:r>
      <w:r>
        <w:rPr>
          <w:rFonts w:cstheme="minorHAnsi"/>
          <w:szCs w:val="28"/>
          <w:lang w:eastAsia="zh-CN"/>
        </w:rPr>
        <w:tab/>
      </w:r>
      <w:r w:rsidRPr="00514321">
        <w:rPr>
          <w:rFonts w:hint="eastAsia"/>
          <w:lang w:eastAsia="zh-CN"/>
        </w:rPr>
        <w:t>在投标前，与</w:t>
      </w:r>
      <w:r w:rsidRPr="00F55773">
        <w:rPr>
          <w:lang w:eastAsia="zh-CN"/>
        </w:rPr>
        <w:t>独立管理顾问委员会（</w:t>
      </w:r>
      <w:r w:rsidRPr="00F55773">
        <w:rPr>
          <w:lang w:eastAsia="zh-CN"/>
        </w:rPr>
        <w:t>IMAC</w:t>
      </w:r>
      <w:r w:rsidRPr="00F55773">
        <w:rPr>
          <w:rFonts w:hint="eastAsia"/>
          <w:lang w:eastAsia="zh-CN"/>
        </w:rPr>
        <w:t>）</w:t>
      </w:r>
      <w:r>
        <w:rPr>
          <w:rFonts w:hint="eastAsia"/>
          <w:lang w:eastAsia="zh-CN"/>
        </w:rPr>
        <w:t>磋</w:t>
      </w:r>
      <w:r w:rsidRPr="00514321">
        <w:rPr>
          <w:rFonts w:hint="eastAsia"/>
          <w:lang w:eastAsia="zh-CN"/>
        </w:rPr>
        <w:t>商，制定外部企业的职</w:t>
      </w:r>
      <w:r>
        <w:rPr>
          <w:rFonts w:hint="eastAsia"/>
          <w:lang w:eastAsia="zh-CN"/>
        </w:rPr>
        <w:t>责</w:t>
      </w:r>
      <w:r w:rsidRPr="00514321">
        <w:rPr>
          <w:rFonts w:hint="eastAsia"/>
          <w:lang w:eastAsia="zh-CN"/>
        </w:rPr>
        <w:t>范围，以确保</w:t>
      </w:r>
      <w:r>
        <w:rPr>
          <w:rFonts w:hint="eastAsia"/>
          <w:lang w:eastAsia="zh-CN"/>
        </w:rPr>
        <w:t>相关方能够了解本</w:t>
      </w:r>
      <w:r w:rsidRPr="00514321">
        <w:rPr>
          <w:rFonts w:hint="eastAsia"/>
          <w:lang w:eastAsia="zh-CN"/>
        </w:rPr>
        <w:t>组织</w:t>
      </w:r>
      <w:r>
        <w:rPr>
          <w:rFonts w:hint="eastAsia"/>
          <w:lang w:eastAsia="zh-CN"/>
        </w:rPr>
        <w:t>在</w:t>
      </w:r>
      <w:r w:rsidRPr="00514321">
        <w:rPr>
          <w:rFonts w:hint="eastAsia"/>
          <w:lang w:eastAsia="zh-CN"/>
        </w:rPr>
        <w:t>欺诈</w:t>
      </w:r>
      <w:r>
        <w:rPr>
          <w:rFonts w:hint="eastAsia"/>
          <w:lang w:eastAsia="zh-CN"/>
        </w:rPr>
        <w:t>方面</w:t>
      </w:r>
      <w:r w:rsidRPr="00514321">
        <w:rPr>
          <w:rFonts w:hint="eastAsia"/>
          <w:lang w:eastAsia="zh-CN"/>
        </w:rPr>
        <w:t>的</w:t>
      </w:r>
      <w:r>
        <w:rPr>
          <w:rFonts w:hint="eastAsia"/>
          <w:lang w:eastAsia="zh-CN"/>
        </w:rPr>
        <w:t>漏洞</w:t>
      </w:r>
      <w:r w:rsidRPr="00514321">
        <w:rPr>
          <w:rFonts w:hint="eastAsia"/>
          <w:lang w:eastAsia="zh-CN"/>
        </w:rPr>
        <w:t>，包括但不</w:t>
      </w:r>
      <w:r>
        <w:rPr>
          <w:rFonts w:hint="eastAsia"/>
          <w:lang w:eastAsia="zh-CN"/>
        </w:rPr>
        <w:t>局</w:t>
      </w:r>
      <w:r w:rsidRPr="00514321">
        <w:rPr>
          <w:rFonts w:hint="eastAsia"/>
          <w:lang w:eastAsia="zh-CN"/>
        </w:rPr>
        <w:t>限于国际电联内部</w:t>
      </w:r>
      <w:r>
        <w:rPr>
          <w:rFonts w:hint="eastAsia"/>
          <w:lang w:eastAsia="zh-CN"/>
        </w:rPr>
        <w:t>审计员</w:t>
      </w:r>
      <w:r w:rsidRPr="00514321">
        <w:rPr>
          <w:rFonts w:hint="eastAsia"/>
          <w:lang w:eastAsia="zh-CN"/>
        </w:rPr>
        <w:t>、外部审计员</w:t>
      </w:r>
      <w:r>
        <w:rPr>
          <w:rFonts w:hint="eastAsia"/>
          <w:lang w:eastAsia="zh-CN"/>
        </w:rPr>
        <w:t>以及</w:t>
      </w:r>
      <w:r>
        <w:rPr>
          <w:rFonts w:cstheme="minorHAnsi"/>
          <w:szCs w:val="28"/>
          <w:lang w:eastAsia="zh-CN"/>
        </w:rPr>
        <w:t>IMAC</w:t>
      </w:r>
      <w:r>
        <w:rPr>
          <w:rFonts w:hint="eastAsia"/>
          <w:lang w:eastAsia="zh-CN"/>
        </w:rPr>
        <w:t>的</w:t>
      </w:r>
      <w:r w:rsidRPr="00514321">
        <w:rPr>
          <w:rFonts w:hint="eastAsia"/>
          <w:lang w:eastAsia="zh-CN"/>
        </w:rPr>
        <w:t>报告和建议中已经确定的</w:t>
      </w:r>
      <w:r>
        <w:rPr>
          <w:rFonts w:hint="eastAsia"/>
          <w:lang w:eastAsia="zh-CN"/>
        </w:rPr>
        <w:t>漏洞</w:t>
      </w:r>
      <w:r w:rsidRPr="00514321">
        <w:rPr>
          <w:rFonts w:hint="eastAsia"/>
          <w:lang w:eastAsia="zh-CN"/>
        </w:rPr>
        <w:t>；</w:t>
      </w:r>
    </w:p>
    <w:p w14:paraId="4827AD7A" w14:textId="77777777" w:rsidR="002A1C49" w:rsidRPr="00514321" w:rsidRDefault="002A1C49" w:rsidP="002A1C49">
      <w:pPr>
        <w:rPr>
          <w:lang w:eastAsia="zh-CN"/>
        </w:rPr>
      </w:pPr>
      <w:r>
        <w:rPr>
          <w:rFonts w:cstheme="minorHAnsi"/>
          <w:szCs w:val="28"/>
          <w:lang w:eastAsia="zh-CN"/>
        </w:rPr>
        <w:t>3</w:t>
      </w:r>
      <w:r>
        <w:rPr>
          <w:rFonts w:cstheme="minorHAnsi"/>
          <w:szCs w:val="28"/>
          <w:lang w:eastAsia="zh-CN"/>
        </w:rPr>
        <w:tab/>
      </w:r>
      <w:r>
        <w:rPr>
          <w:rFonts w:hint="eastAsia"/>
          <w:lang w:eastAsia="zh-CN"/>
        </w:rPr>
        <w:t>确保审计应以事实确定，除</w:t>
      </w:r>
      <w:r w:rsidRPr="00514321">
        <w:rPr>
          <w:rFonts w:hint="eastAsia"/>
          <w:lang w:eastAsia="zh-CN"/>
        </w:rPr>
        <w:t>国际电联亚洲及太平洋区域</w:t>
      </w:r>
      <w:r>
        <w:rPr>
          <w:rFonts w:hint="eastAsia"/>
          <w:lang w:eastAsia="zh-CN"/>
        </w:rPr>
        <w:t>代表</w:t>
      </w:r>
      <w:r w:rsidRPr="00514321">
        <w:rPr>
          <w:rFonts w:hint="eastAsia"/>
          <w:lang w:eastAsia="zh-CN"/>
        </w:rPr>
        <w:t>处的已知</w:t>
      </w:r>
      <w:r>
        <w:rPr>
          <w:rFonts w:hint="eastAsia"/>
          <w:lang w:eastAsia="zh-CN"/>
        </w:rPr>
        <w:t>欺诈案</w:t>
      </w:r>
      <w:r w:rsidRPr="00514321">
        <w:rPr>
          <w:rFonts w:hint="eastAsia"/>
          <w:lang w:eastAsia="zh-CN"/>
        </w:rPr>
        <w:t>之外，</w:t>
      </w:r>
      <w:r>
        <w:rPr>
          <w:rFonts w:hint="eastAsia"/>
          <w:lang w:eastAsia="zh-CN"/>
        </w:rPr>
        <w:t>本</w:t>
      </w:r>
      <w:r w:rsidRPr="00514321">
        <w:rPr>
          <w:rFonts w:hint="eastAsia"/>
          <w:lang w:eastAsia="zh-CN"/>
        </w:rPr>
        <w:t>组织是否还遭受了进一步的损失或伤害；</w:t>
      </w:r>
    </w:p>
    <w:p w14:paraId="4827AD7B" w14:textId="77777777" w:rsidR="002A1C49" w:rsidRDefault="002A1C49" w:rsidP="002A1C49">
      <w:pPr>
        <w:rPr>
          <w:rFonts w:cstheme="minorHAnsi"/>
          <w:szCs w:val="24"/>
          <w:lang w:eastAsia="zh-CN"/>
        </w:rPr>
      </w:pPr>
      <w:r>
        <w:rPr>
          <w:rFonts w:cstheme="minorHAnsi"/>
          <w:szCs w:val="24"/>
          <w:lang w:eastAsia="zh-CN"/>
        </w:rPr>
        <w:t>4</w:t>
      </w:r>
      <w:r>
        <w:rPr>
          <w:rFonts w:cstheme="minorHAnsi"/>
          <w:szCs w:val="24"/>
          <w:lang w:eastAsia="zh-CN"/>
        </w:rPr>
        <w:tab/>
      </w:r>
      <w:r w:rsidRPr="00514321">
        <w:rPr>
          <w:rFonts w:hint="eastAsia"/>
          <w:lang w:eastAsia="zh-CN"/>
        </w:rPr>
        <w:t>追回损失的资金并采取行动，</w:t>
      </w:r>
      <w:r>
        <w:rPr>
          <w:rFonts w:hint="eastAsia"/>
          <w:lang w:eastAsia="zh-CN"/>
        </w:rPr>
        <w:t>其中</w:t>
      </w:r>
      <w:r w:rsidRPr="00514321">
        <w:rPr>
          <w:rFonts w:hint="eastAsia"/>
          <w:lang w:eastAsia="zh-CN"/>
        </w:rPr>
        <w:t>包括必要时对犯罪人和任何其他实体提起法律诉讼；</w:t>
      </w:r>
    </w:p>
    <w:p w14:paraId="4827AD7C" w14:textId="77777777" w:rsidR="002A1C49" w:rsidRPr="00514321" w:rsidRDefault="002A1C49" w:rsidP="002A1C49">
      <w:pPr>
        <w:rPr>
          <w:lang w:eastAsia="zh-CN"/>
        </w:rPr>
      </w:pPr>
      <w:r>
        <w:rPr>
          <w:rFonts w:cstheme="minorHAnsi"/>
          <w:szCs w:val="24"/>
          <w:lang w:eastAsia="zh-CN"/>
        </w:rPr>
        <w:t>5</w:t>
      </w:r>
      <w:r>
        <w:rPr>
          <w:rFonts w:cstheme="minorHAnsi"/>
          <w:szCs w:val="24"/>
          <w:lang w:eastAsia="zh-CN"/>
        </w:rPr>
        <w:tab/>
      </w:r>
      <w:r w:rsidRPr="00514321">
        <w:rPr>
          <w:rFonts w:hint="eastAsia"/>
          <w:lang w:eastAsia="zh-CN"/>
        </w:rPr>
        <w:t>向理事会</w:t>
      </w:r>
      <w:r w:rsidRPr="00514321">
        <w:rPr>
          <w:rFonts w:hint="eastAsia"/>
          <w:lang w:eastAsia="zh-CN"/>
        </w:rPr>
        <w:t>2021</w:t>
      </w:r>
      <w:r w:rsidRPr="00514321">
        <w:rPr>
          <w:rFonts w:hint="eastAsia"/>
          <w:lang w:eastAsia="zh-CN"/>
        </w:rPr>
        <w:t>年会议提交上述企业的最后报告；</w:t>
      </w:r>
      <w:r>
        <w:rPr>
          <w:rFonts w:hint="eastAsia"/>
          <w:lang w:eastAsia="zh-CN"/>
        </w:rPr>
        <w:t>此类</w:t>
      </w:r>
      <w:r w:rsidRPr="00514321">
        <w:rPr>
          <w:rFonts w:hint="eastAsia"/>
          <w:lang w:eastAsia="zh-CN"/>
        </w:rPr>
        <w:t>报告包括关于加强国际电联内部控制和管理问责制的建议；</w:t>
      </w:r>
      <w:r>
        <w:rPr>
          <w:rFonts w:hint="eastAsia"/>
          <w:lang w:eastAsia="zh-CN"/>
        </w:rPr>
        <w:t>而且</w:t>
      </w:r>
      <w:r w:rsidRPr="00514321">
        <w:rPr>
          <w:rFonts w:hint="eastAsia"/>
          <w:lang w:eastAsia="zh-CN"/>
        </w:rPr>
        <w:t>临时报告应在</w:t>
      </w:r>
      <w:r w:rsidRPr="00514321">
        <w:rPr>
          <w:rFonts w:hint="eastAsia"/>
          <w:lang w:eastAsia="zh-CN"/>
        </w:rPr>
        <w:t>CWG-FHR</w:t>
      </w:r>
      <w:r w:rsidRPr="00514321">
        <w:rPr>
          <w:rFonts w:hint="eastAsia"/>
          <w:lang w:eastAsia="zh-CN"/>
        </w:rPr>
        <w:t>会议上提供</w:t>
      </w:r>
      <w:r>
        <w:rPr>
          <w:rFonts w:hint="eastAsia"/>
          <w:lang w:eastAsia="zh-CN"/>
        </w:rPr>
        <w:t>，并且提供</w:t>
      </w:r>
      <w:r w:rsidRPr="00514321">
        <w:rPr>
          <w:rFonts w:hint="eastAsia"/>
          <w:lang w:eastAsia="zh-CN"/>
        </w:rPr>
        <w:t>给</w:t>
      </w:r>
      <w:r>
        <w:rPr>
          <w:rFonts w:cstheme="minorHAnsi"/>
          <w:szCs w:val="24"/>
          <w:lang w:eastAsia="zh-CN"/>
        </w:rPr>
        <w:t>IMAC</w:t>
      </w:r>
      <w:r w:rsidRPr="00514321">
        <w:rPr>
          <w:rFonts w:hint="eastAsia"/>
          <w:lang w:eastAsia="zh-CN"/>
        </w:rPr>
        <w:t>和理事会</w:t>
      </w:r>
      <w:r w:rsidRPr="00514321">
        <w:rPr>
          <w:rFonts w:hint="eastAsia"/>
          <w:lang w:eastAsia="zh-CN"/>
        </w:rPr>
        <w:t>2020</w:t>
      </w:r>
      <w:r w:rsidRPr="00514321">
        <w:rPr>
          <w:rFonts w:hint="eastAsia"/>
          <w:lang w:eastAsia="zh-CN"/>
        </w:rPr>
        <w:t>年</w:t>
      </w:r>
      <w:r>
        <w:rPr>
          <w:rFonts w:hint="eastAsia"/>
          <w:lang w:eastAsia="zh-CN"/>
        </w:rPr>
        <w:t>会议</w:t>
      </w:r>
      <w:r w:rsidRPr="00514321">
        <w:rPr>
          <w:rFonts w:hint="eastAsia"/>
          <w:lang w:eastAsia="zh-CN"/>
        </w:rPr>
        <w:t>，以便</w:t>
      </w:r>
      <w:r>
        <w:rPr>
          <w:rFonts w:hint="eastAsia"/>
          <w:lang w:eastAsia="zh-CN"/>
        </w:rPr>
        <w:t>酌情</w:t>
      </w:r>
      <w:r w:rsidRPr="00514321">
        <w:rPr>
          <w:rFonts w:hint="eastAsia"/>
          <w:lang w:eastAsia="zh-CN"/>
        </w:rPr>
        <w:t>采取必要的行动，</w:t>
      </w:r>
    </w:p>
    <w:p w14:paraId="4827AD7D" w14:textId="77777777" w:rsidR="002A1C49" w:rsidRPr="00E1508A" w:rsidRDefault="002A1C49" w:rsidP="002A1C49">
      <w:pPr>
        <w:pStyle w:val="Call"/>
        <w:rPr>
          <w:lang w:eastAsia="zh-CN"/>
        </w:rPr>
      </w:pPr>
      <w:r>
        <w:rPr>
          <w:rFonts w:hint="eastAsia"/>
          <w:lang w:eastAsia="zh-CN"/>
        </w:rPr>
        <w:t>进一步</w:t>
      </w:r>
      <w:r w:rsidRPr="00E1508A">
        <w:rPr>
          <w:rFonts w:hint="eastAsia"/>
          <w:lang w:eastAsia="zh-CN"/>
        </w:rPr>
        <w:t>做出决</w:t>
      </w:r>
      <w:r>
        <w:rPr>
          <w:rFonts w:hint="eastAsia"/>
          <w:lang w:eastAsia="zh-CN"/>
        </w:rPr>
        <w:t>定</w:t>
      </w:r>
    </w:p>
    <w:p w14:paraId="4827AD7E" w14:textId="77777777" w:rsidR="002A1C49" w:rsidRDefault="002A1C49" w:rsidP="002A1C49">
      <w:pPr>
        <w:ind w:firstLineChars="200" w:firstLine="480"/>
        <w:rPr>
          <w:rFonts w:cstheme="minorBidi"/>
          <w:szCs w:val="24"/>
          <w:lang w:eastAsia="zh-CN"/>
        </w:rPr>
      </w:pPr>
      <w:r w:rsidRPr="00514321">
        <w:rPr>
          <w:rFonts w:hint="eastAsia"/>
          <w:lang w:eastAsia="zh-CN"/>
        </w:rPr>
        <w:t>根据理事会相关决定，从</w:t>
      </w:r>
      <w:r>
        <w:rPr>
          <w:rFonts w:hint="eastAsia"/>
          <w:lang w:eastAsia="zh-CN"/>
        </w:rPr>
        <w:t>2018</w:t>
      </w:r>
      <w:r>
        <w:rPr>
          <w:rFonts w:hint="eastAsia"/>
          <w:lang w:eastAsia="zh-CN"/>
        </w:rPr>
        <w:t>年</w:t>
      </w:r>
      <w:r w:rsidRPr="00514321">
        <w:rPr>
          <w:rFonts w:hint="eastAsia"/>
          <w:lang w:eastAsia="zh-CN"/>
        </w:rPr>
        <w:t>预算执行节余中</w:t>
      </w:r>
      <w:r>
        <w:rPr>
          <w:rFonts w:hint="eastAsia"/>
          <w:lang w:eastAsia="zh-CN"/>
        </w:rPr>
        <w:t>初步</w:t>
      </w:r>
      <w:r w:rsidRPr="00514321">
        <w:rPr>
          <w:rFonts w:hint="eastAsia"/>
          <w:lang w:eastAsia="zh-CN"/>
        </w:rPr>
        <w:t>拨款</w:t>
      </w:r>
      <w:r w:rsidRPr="00514321">
        <w:rPr>
          <w:rFonts w:hint="eastAsia"/>
          <w:lang w:eastAsia="zh-CN"/>
        </w:rPr>
        <w:t>110</w:t>
      </w:r>
      <w:r w:rsidRPr="00514321">
        <w:rPr>
          <w:rFonts w:hint="eastAsia"/>
          <w:lang w:eastAsia="zh-CN"/>
        </w:rPr>
        <w:t>万</w:t>
      </w:r>
      <w:r>
        <w:rPr>
          <w:rFonts w:hint="eastAsia"/>
          <w:lang w:eastAsia="zh-CN"/>
        </w:rPr>
        <w:t>瑞郎，</w:t>
      </w:r>
      <w:r w:rsidRPr="00514321">
        <w:rPr>
          <w:rFonts w:hint="eastAsia"/>
          <w:lang w:eastAsia="zh-CN"/>
        </w:rPr>
        <w:t>资助</w:t>
      </w:r>
      <w:r>
        <w:rPr>
          <w:rFonts w:hint="eastAsia"/>
          <w:lang w:eastAsia="zh-CN"/>
        </w:rPr>
        <w:t>这项</w:t>
      </w:r>
      <w:r w:rsidRPr="00514321">
        <w:rPr>
          <w:rFonts w:hint="eastAsia"/>
          <w:lang w:eastAsia="zh-CN"/>
        </w:rPr>
        <w:t>法</w:t>
      </w:r>
      <w:r>
        <w:rPr>
          <w:rFonts w:hint="eastAsia"/>
          <w:lang w:eastAsia="zh-CN"/>
        </w:rPr>
        <w:t>务</w:t>
      </w:r>
      <w:r w:rsidRPr="00514321">
        <w:rPr>
          <w:rFonts w:hint="eastAsia"/>
          <w:lang w:eastAsia="zh-CN"/>
        </w:rPr>
        <w:t>审计</w:t>
      </w:r>
      <w:r>
        <w:rPr>
          <w:rFonts w:hint="eastAsia"/>
          <w:lang w:eastAsia="zh-CN"/>
        </w:rPr>
        <w:t>；财务</w:t>
      </w:r>
      <w:r w:rsidRPr="00514321">
        <w:rPr>
          <w:rFonts w:hint="eastAsia"/>
          <w:lang w:eastAsia="zh-CN"/>
        </w:rPr>
        <w:t>拨款可由理事会</w:t>
      </w:r>
      <w:r w:rsidRPr="00514321">
        <w:rPr>
          <w:rFonts w:hint="eastAsia"/>
          <w:lang w:eastAsia="zh-CN"/>
        </w:rPr>
        <w:t>2020</w:t>
      </w:r>
      <w:r w:rsidRPr="00514321">
        <w:rPr>
          <w:rFonts w:hint="eastAsia"/>
          <w:lang w:eastAsia="zh-CN"/>
        </w:rPr>
        <w:t>年</w:t>
      </w:r>
      <w:r>
        <w:rPr>
          <w:rFonts w:hint="eastAsia"/>
          <w:lang w:eastAsia="zh-CN"/>
        </w:rPr>
        <w:t>会议进行</w:t>
      </w:r>
      <w:r w:rsidRPr="00514321">
        <w:rPr>
          <w:rFonts w:hint="eastAsia"/>
          <w:lang w:eastAsia="zh-CN"/>
        </w:rPr>
        <w:t>审查，</w:t>
      </w:r>
    </w:p>
    <w:p w14:paraId="4827AD7F" w14:textId="77777777" w:rsidR="008019EE" w:rsidRDefault="008019EE">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lang w:eastAsia="zh-CN"/>
        </w:rPr>
        <w:br w:type="page"/>
      </w:r>
    </w:p>
    <w:p w14:paraId="4827AD80" w14:textId="77777777" w:rsidR="002A1C49" w:rsidRPr="00E1508A" w:rsidRDefault="002A1C49" w:rsidP="002A1C49">
      <w:pPr>
        <w:pStyle w:val="Call"/>
        <w:rPr>
          <w:lang w:eastAsia="zh-CN"/>
        </w:rPr>
      </w:pPr>
      <w:r>
        <w:rPr>
          <w:rFonts w:hint="eastAsia"/>
          <w:lang w:eastAsia="zh-CN"/>
        </w:rPr>
        <w:lastRenderedPageBreak/>
        <w:t>进一步责成理事会财务和人力资源工作组</w:t>
      </w:r>
    </w:p>
    <w:p w14:paraId="4827AD81" w14:textId="77777777" w:rsidR="002A1C49" w:rsidRPr="00BC6BFA" w:rsidRDefault="002A1C49" w:rsidP="002A1C49">
      <w:pPr>
        <w:ind w:firstLineChars="200" w:firstLine="480"/>
        <w:rPr>
          <w:lang w:eastAsia="zh-CN"/>
        </w:rPr>
      </w:pPr>
      <w:r w:rsidRPr="00BC6BFA">
        <w:rPr>
          <w:rFonts w:hint="eastAsia"/>
          <w:lang w:eastAsia="zh-CN"/>
        </w:rPr>
        <w:t>根据审计结论，并且与道德规范办公室和内部审计处磋商，向国际电联理事会提出行动建议，从而根据联合国全系统最佳做法和联合国联合检查组的适用建议，加强国际电联监督和审计职能、道德规范框架和调查程序的独立性，并且在审慎的情况下，针对任何相关事项向联合国联合检查组提出咨询意见，</w:t>
      </w:r>
    </w:p>
    <w:p w14:paraId="4827AD82" w14:textId="77777777" w:rsidR="002A1C49" w:rsidRPr="00E1508A" w:rsidRDefault="002A1C49" w:rsidP="002A1C49">
      <w:pPr>
        <w:pStyle w:val="Call"/>
        <w:rPr>
          <w:lang w:eastAsia="zh-CN"/>
        </w:rPr>
      </w:pPr>
      <w:r w:rsidRPr="00463EC9">
        <w:rPr>
          <w:rFonts w:hint="eastAsia"/>
          <w:lang w:eastAsia="zh-CN"/>
        </w:rPr>
        <w:t>请</w:t>
      </w:r>
      <w:r>
        <w:rPr>
          <w:rFonts w:hint="eastAsia"/>
          <w:lang w:eastAsia="zh-CN"/>
        </w:rPr>
        <w:t>当</w:t>
      </w:r>
      <w:r w:rsidRPr="00463EC9">
        <w:rPr>
          <w:rFonts w:hint="eastAsia"/>
          <w:lang w:eastAsia="zh-CN"/>
        </w:rPr>
        <w:t>前和</w:t>
      </w:r>
      <w:r>
        <w:rPr>
          <w:rFonts w:hint="eastAsia"/>
          <w:lang w:eastAsia="zh-CN"/>
        </w:rPr>
        <w:t>之</w:t>
      </w:r>
      <w:r w:rsidRPr="00463EC9">
        <w:rPr>
          <w:rFonts w:hint="eastAsia"/>
          <w:lang w:eastAsia="zh-CN"/>
        </w:rPr>
        <w:t>前与国际电联签订合同的成员、管理层、工作人员、专家和服务提供商</w:t>
      </w:r>
    </w:p>
    <w:p w14:paraId="4827AD83" w14:textId="77777777" w:rsidR="002A1C49" w:rsidRPr="00BC6BFA" w:rsidRDefault="002A1C49" w:rsidP="002A1C49">
      <w:pPr>
        <w:ind w:firstLineChars="200" w:firstLine="480"/>
        <w:rPr>
          <w:lang w:eastAsia="zh-CN"/>
        </w:rPr>
      </w:pPr>
      <w:r w:rsidRPr="00BC6BFA">
        <w:rPr>
          <w:rFonts w:hint="eastAsia"/>
          <w:lang w:eastAsia="zh-CN"/>
        </w:rPr>
        <w:t>为恢复国际电联的诚信进行充分合作并且提供所有必要的支持，</w:t>
      </w:r>
    </w:p>
    <w:p w14:paraId="4827AD84" w14:textId="77777777" w:rsidR="002A1C49" w:rsidRPr="00E1508A" w:rsidRDefault="002A1C49" w:rsidP="002A1C49">
      <w:pPr>
        <w:pStyle w:val="Call"/>
        <w:rPr>
          <w:lang w:eastAsia="zh-CN"/>
        </w:rPr>
      </w:pPr>
      <w:r>
        <w:rPr>
          <w:rFonts w:hint="eastAsia"/>
          <w:lang w:eastAsia="zh-CN"/>
        </w:rPr>
        <w:t>鼓励</w:t>
      </w:r>
    </w:p>
    <w:p w14:paraId="4827AD85" w14:textId="77777777" w:rsidR="002A1C49" w:rsidRDefault="002A1C49" w:rsidP="002A1C49">
      <w:pPr>
        <w:ind w:firstLineChars="200" w:firstLine="480"/>
        <w:rPr>
          <w:lang w:eastAsia="zh-CN"/>
        </w:rPr>
      </w:pPr>
      <w:r w:rsidRPr="00BC6BFA">
        <w:rPr>
          <w:rFonts w:hint="eastAsia"/>
          <w:lang w:eastAsia="zh-CN"/>
        </w:rPr>
        <w:t>了解可能会损害国际电联利益的错误行为的其他潜在揭发者能够挺身而出。</w:t>
      </w:r>
    </w:p>
    <w:p w14:paraId="4827AD86" w14:textId="77777777" w:rsidR="00490C62" w:rsidRPr="00A6429D" w:rsidRDefault="00490C62" w:rsidP="00490C62">
      <w:pPr>
        <w:pStyle w:val="Endtext"/>
        <w:rPr>
          <w:lang w:val="en-GB" w:eastAsia="zh-CN"/>
        </w:rPr>
      </w:pPr>
      <w:r w:rsidRPr="00DA7A9F">
        <w:rPr>
          <w:rFonts w:ascii="STKaiti" w:hAnsi="STKaiti" w:hint="eastAsia"/>
          <w:bCs/>
          <w:lang w:eastAsia="zh-CN"/>
        </w:rPr>
        <w:t>参阅</w:t>
      </w:r>
      <w:r w:rsidRPr="00A6429D">
        <w:rPr>
          <w:rFonts w:hint="eastAsia"/>
          <w:bCs/>
          <w:lang w:val="en-GB" w:eastAsia="zh-CN"/>
        </w:rPr>
        <w:t>：</w:t>
      </w:r>
      <w:r>
        <w:rPr>
          <w:bCs/>
          <w:lang w:val="en-GB" w:eastAsia="zh-CN"/>
        </w:rPr>
        <w:tab/>
      </w:r>
      <w:hyperlink r:id="rId134" w:history="1">
        <w:r w:rsidRPr="00DA03DB">
          <w:rPr>
            <w:rStyle w:val="Hyperlink"/>
            <w:lang w:eastAsia="zh-CN"/>
          </w:rPr>
          <w:t>C1</w:t>
        </w:r>
        <w:r>
          <w:rPr>
            <w:rStyle w:val="Hyperlink"/>
            <w:lang w:eastAsia="zh-CN"/>
          </w:rPr>
          <w:t>9</w:t>
        </w:r>
        <w:r w:rsidRPr="00DA03DB">
          <w:rPr>
            <w:rStyle w:val="Hyperlink"/>
            <w:lang w:eastAsia="zh-CN"/>
          </w:rPr>
          <w:t>/1</w:t>
        </w:r>
        <w:r>
          <w:rPr>
            <w:rStyle w:val="Hyperlink"/>
            <w:lang w:eastAsia="zh-CN"/>
          </w:rPr>
          <w:t>30</w:t>
        </w:r>
      </w:hyperlink>
      <w:r>
        <w:rPr>
          <w:rFonts w:hint="eastAsia"/>
          <w:lang w:val="fr-FR" w:eastAsia="zh-CN"/>
        </w:rPr>
        <w:t>和</w:t>
      </w:r>
      <w:hyperlink r:id="rId135" w:history="1">
        <w:r w:rsidRPr="003D0791">
          <w:rPr>
            <w:rStyle w:val="Hyperlink"/>
            <w:lang w:eastAsia="zh-CN"/>
          </w:rPr>
          <w:t>C1</w:t>
        </w:r>
        <w:r>
          <w:rPr>
            <w:rStyle w:val="Hyperlink"/>
            <w:lang w:eastAsia="zh-CN"/>
          </w:rPr>
          <w:t>9</w:t>
        </w:r>
        <w:r w:rsidRPr="003D0791">
          <w:rPr>
            <w:rStyle w:val="Hyperlink"/>
            <w:lang w:eastAsia="zh-CN"/>
          </w:rPr>
          <w:t>/1</w:t>
        </w:r>
        <w:r>
          <w:rPr>
            <w:rStyle w:val="Hyperlink"/>
            <w:lang w:eastAsia="zh-CN"/>
          </w:rPr>
          <w:t>20</w:t>
        </w:r>
      </w:hyperlink>
      <w:r>
        <w:rPr>
          <w:rFonts w:hint="eastAsia"/>
          <w:lang w:eastAsia="zh-CN"/>
        </w:rPr>
        <w:t>号</w:t>
      </w:r>
      <w:r>
        <w:rPr>
          <w:lang w:eastAsia="zh-CN"/>
        </w:rPr>
        <w:t>文件</w:t>
      </w:r>
      <w:r w:rsidRPr="00C44E8B">
        <w:rPr>
          <w:lang w:eastAsia="zh-CN"/>
        </w:rPr>
        <w:t>。</w:t>
      </w:r>
    </w:p>
    <w:p w14:paraId="4827AD87" w14:textId="77777777" w:rsidR="008E309D" w:rsidRDefault="002A1C49" w:rsidP="002A1C49">
      <w:pPr>
        <w:jc w:val="center"/>
        <w:rPr>
          <w:lang w:eastAsia="zh-CN"/>
        </w:rPr>
      </w:pPr>
      <w:r>
        <w:rPr>
          <w:lang w:eastAsia="zh-CN"/>
        </w:rPr>
        <w:t>______________</w:t>
      </w:r>
    </w:p>
    <w:p w14:paraId="4827AD88" w14:textId="77777777" w:rsidR="002A1C49" w:rsidRPr="002A1C49" w:rsidRDefault="002A1C49" w:rsidP="001B5FA0">
      <w:pPr>
        <w:pStyle w:val="ResNo"/>
        <w:outlineLvl w:val="0"/>
        <w:rPr>
          <w:lang w:eastAsia="zh-CN"/>
        </w:rPr>
      </w:pPr>
      <w:bookmarkStart w:id="226" w:name="_Toc16085688"/>
      <w:bookmarkStart w:id="227" w:name="_Toc86395488"/>
      <w:r w:rsidRPr="002A1C49">
        <w:rPr>
          <w:rFonts w:hint="eastAsia"/>
          <w:lang w:eastAsia="zh-CN"/>
        </w:rPr>
        <w:t>第</w:t>
      </w:r>
      <w:r w:rsidRPr="002A1C49">
        <w:rPr>
          <w:lang w:eastAsia="zh-CN"/>
        </w:rPr>
        <w:t>614</w:t>
      </w:r>
      <w:r w:rsidRPr="002A1C49">
        <w:rPr>
          <w:rFonts w:hint="eastAsia"/>
          <w:lang w:eastAsia="zh-CN"/>
        </w:rPr>
        <w:t>号决定</w:t>
      </w:r>
      <w:r w:rsidR="00576E60">
        <w:rPr>
          <w:rFonts w:hint="eastAsia"/>
          <w:lang w:eastAsia="zh-CN"/>
        </w:rPr>
        <w:t>（</w:t>
      </w:r>
      <w:r w:rsidR="00576E60">
        <w:rPr>
          <w:rFonts w:hint="eastAsia"/>
          <w:lang w:eastAsia="zh-CN"/>
        </w:rPr>
        <w:t>C</w:t>
      </w:r>
      <w:r w:rsidR="00576E60">
        <w:rPr>
          <w:lang w:eastAsia="zh-CN"/>
        </w:rPr>
        <w:t>19</w:t>
      </w:r>
      <w:r w:rsidR="00576E60">
        <w:rPr>
          <w:rFonts w:hint="eastAsia"/>
          <w:lang w:eastAsia="zh-CN"/>
        </w:rPr>
        <w:t>）</w:t>
      </w:r>
      <w:bookmarkEnd w:id="226"/>
      <w:bookmarkEnd w:id="227"/>
    </w:p>
    <w:p w14:paraId="4827AD89" w14:textId="77777777" w:rsidR="002A1C49" w:rsidRPr="0065618D" w:rsidRDefault="002A1C49" w:rsidP="002A1C49">
      <w:pPr>
        <w:pStyle w:val="Restitle"/>
        <w:rPr>
          <w:rFonts w:cs="Calibri"/>
          <w:lang w:eastAsia="zh-CN"/>
        </w:rPr>
      </w:pPr>
      <w:bookmarkStart w:id="228" w:name="_Toc16085689"/>
      <w:bookmarkStart w:id="229" w:name="_Toc86395489"/>
      <w:r w:rsidRPr="0065618D">
        <w:rPr>
          <w:rFonts w:cs="Calibri" w:hint="eastAsia"/>
          <w:lang w:eastAsia="zh-CN"/>
        </w:rPr>
        <w:t>对国际电联</w:t>
      </w:r>
      <w:r>
        <w:rPr>
          <w:rFonts w:cs="Calibri" w:hint="eastAsia"/>
          <w:lang w:eastAsia="zh-CN"/>
        </w:rPr>
        <w:t>账</w:t>
      </w:r>
      <w:r w:rsidRPr="0065618D">
        <w:rPr>
          <w:rFonts w:cs="Calibri" w:hint="eastAsia"/>
          <w:lang w:eastAsia="zh-CN"/>
        </w:rPr>
        <w:t>目的审计</w:t>
      </w:r>
      <w:bookmarkEnd w:id="228"/>
      <w:bookmarkEnd w:id="229"/>
    </w:p>
    <w:p w14:paraId="4827AD8A" w14:textId="77777777" w:rsidR="002A1C49" w:rsidRPr="003D0E1D" w:rsidRDefault="002A1C49" w:rsidP="00E51375">
      <w:pPr>
        <w:pStyle w:val="Normalaftertitle0"/>
      </w:pPr>
      <w:r>
        <w:rPr>
          <w:rFonts w:hint="eastAsia"/>
        </w:rPr>
        <w:t>理事会，</w:t>
      </w:r>
    </w:p>
    <w:p w14:paraId="4827AD8B" w14:textId="77777777" w:rsidR="002A1C49" w:rsidRPr="00043339" w:rsidRDefault="002A1C49" w:rsidP="002A1C49">
      <w:pPr>
        <w:pStyle w:val="Call"/>
        <w:rPr>
          <w:lang w:eastAsia="zh-CN"/>
        </w:rPr>
      </w:pPr>
      <w:r w:rsidRPr="00043339">
        <w:rPr>
          <w:rFonts w:hint="eastAsia"/>
          <w:lang w:eastAsia="zh-CN"/>
        </w:rPr>
        <w:t>考虑到</w:t>
      </w:r>
    </w:p>
    <w:p w14:paraId="4827AD8C" w14:textId="77777777" w:rsidR="002A1C49" w:rsidRPr="007E6567" w:rsidRDefault="002A1C49" w:rsidP="002A1C49">
      <w:pPr>
        <w:rPr>
          <w:lang w:eastAsia="zh-CN"/>
        </w:rPr>
      </w:pPr>
      <w:r w:rsidRPr="001D39EC">
        <w:rPr>
          <w:rFonts w:hint="eastAsia"/>
          <w:i/>
          <w:iCs/>
          <w:lang w:eastAsia="zh-CN"/>
        </w:rPr>
        <w:t>a)</w:t>
      </w:r>
      <w:r>
        <w:rPr>
          <w:rFonts w:hint="eastAsia"/>
          <w:lang w:eastAsia="zh-CN"/>
        </w:rPr>
        <w:tab/>
      </w:r>
      <w:r>
        <w:rPr>
          <w:rFonts w:hint="eastAsia"/>
          <w:lang w:eastAsia="zh-CN"/>
        </w:rPr>
        <w:t>第</w:t>
      </w:r>
      <w:r>
        <w:rPr>
          <w:rFonts w:hint="eastAsia"/>
          <w:lang w:eastAsia="zh-CN"/>
        </w:rPr>
        <w:t>94</w:t>
      </w:r>
      <w:r>
        <w:rPr>
          <w:rFonts w:hint="eastAsia"/>
          <w:lang w:eastAsia="zh-CN"/>
        </w:rPr>
        <w:t>号决议（</w:t>
      </w:r>
      <w:r>
        <w:rPr>
          <w:rFonts w:hint="eastAsia"/>
          <w:lang w:eastAsia="zh-CN"/>
        </w:rPr>
        <w:t>201</w:t>
      </w:r>
      <w:r>
        <w:rPr>
          <w:lang w:eastAsia="zh-CN"/>
        </w:rPr>
        <w:t>8</w:t>
      </w:r>
      <w:r>
        <w:rPr>
          <w:rFonts w:hint="eastAsia"/>
          <w:lang w:eastAsia="zh-CN"/>
        </w:rPr>
        <w:t>年，迪拜，修订版）；</w:t>
      </w:r>
    </w:p>
    <w:p w14:paraId="4827AD8D" w14:textId="77777777" w:rsidR="002A1C49" w:rsidRDefault="002A1C49" w:rsidP="002A1C49">
      <w:pPr>
        <w:rPr>
          <w:lang w:eastAsia="zh-CN"/>
        </w:rPr>
      </w:pPr>
      <w:r w:rsidRPr="001D39EC">
        <w:rPr>
          <w:rFonts w:hint="eastAsia"/>
          <w:i/>
          <w:iCs/>
          <w:lang w:eastAsia="zh-CN"/>
        </w:rPr>
        <w:t>b)</w:t>
      </w:r>
      <w:r>
        <w:rPr>
          <w:rFonts w:hint="eastAsia"/>
          <w:lang w:eastAsia="zh-CN"/>
        </w:rPr>
        <w:tab/>
      </w:r>
      <w:r>
        <w:rPr>
          <w:rFonts w:hint="eastAsia"/>
          <w:lang w:eastAsia="zh-CN"/>
        </w:rPr>
        <w:t>评估委员会关于遴选国际电联外部审计员的报告，</w:t>
      </w:r>
    </w:p>
    <w:p w14:paraId="4827AD8E" w14:textId="77777777" w:rsidR="002A1C49" w:rsidRPr="001D39EC" w:rsidRDefault="002A1C49" w:rsidP="002A1C49">
      <w:pPr>
        <w:pStyle w:val="Call"/>
        <w:rPr>
          <w:lang w:eastAsia="zh-CN"/>
        </w:rPr>
      </w:pPr>
      <w:r w:rsidRPr="00043339">
        <w:rPr>
          <w:rFonts w:hint="eastAsia"/>
          <w:lang w:eastAsia="zh-CN"/>
        </w:rPr>
        <w:t>顾及</w:t>
      </w:r>
    </w:p>
    <w:p w14:paraId="4827AD8F" w14:textId="77777777" w:rsidR="002A1C49" w:rsidRPr="007E6567" w:rsidRDefault="002A1C49" w:rsidP="002A1C49">
      <w:pPr>
        <w:ind w:firstLineChars="200" w:firstLine="480"/>
        <w:rPr>
          <w:lang w:eastAsia="zh-CN"/>
        </w:rPr>
      </w:pPr>
      <w:r>
        <w:rPr>
          <w:rFonts w:hint="eastAsia"/>
          <w:lang w:eastAsia="zh-CN"/>
        </w:rPr>
        <w:t>国际电联《财务条例和财务细则》（</w:t>
      </w:r>
      <w:r>
        <w:rPr>
          <w:rFonts w:hint="eastAsia"/>
          <w:lang w:eastAsia="zh-CN"/>
        </w:rPr>
        <w:t>2018</w:t>
      </w:r>
      <w:r>
        <w:rPr>
          <w:rFonts w:hint="eastAsia"/>
          <w:lang w:eastAsia="zh-CN"/>
        </w:rPr>
        <w:t>年），</w:t>
      </w:r>
    </w:p>
    <w:p w14:paraId="4827AD90" w14:textId="77777777" w:rsidR="002A1C49" w:rsidRPr="00043339" w:rsidRDefault="002A1C49" w:rsidP="002A1C49">
      <w:pPr>
        <w:pStyle w:val="Call"/>
        <w:rPr>
          <w:lang w:eastAsia="zh-CN"/>
        </w:rPr>
      </w:pPr>
      <w:r w:rsidRPr="00043339">
        <w:rPr>
          <w:rFonts w:hint="eastAsia"/>
          <w:lang w:eastAsia="zh-CN"/>
        </w:rPr>
        <w:t>做出决定</w:t>
      </w:r>
    </w:p>
    <w:p w14:paraId="4827AD91" w14:textId="77777777" w:rsidR="002A1C49" w:rsidRDefault="002A1C49" w:rsidP="002A1C49">
      <w:pPr>
        <w:rPr>
          <w:lang w:eastAsia="zh-CN"/>
        </w:rPr>
      </w:pPr>
      <w:r>
        <w:rPr>
          <w:color w:val="000000"/>
          <w:szCs w:val="24"/>
          <w:lang w:eastAsia="zh-CN"/>
        </w:rPr>
        <w:t>1</w:t>
      </w:r>
      <w:r>
        <w:rPr>
          <w:color w:val="000000"/>
          <w:szCs w:val="24"/>
          <w:lang w:eastAsia="zh-CN"/>
        </w:rPr>
        <w:tab/>
      </w:r>
      <w:r>
        <w:rPr>
          <w:color w:val="000000"/>
          <w:szCs w:val="24"/>
          <w:lang w:eastAsia="zh-CN"/>
        </w:rPr>
        <w:t>取消</w:t>
      </w:r>
      <w:r>
        <w:rPr>
          <w:rFonts w:hint="eastAsia"/>
          <w:color w:val="000000"/>
          <w:szCs w:val="24"/>
          <w:lang w:eastAsia="zh-CN"/>
        </w:rPr>
        <w:t>2</w:t>
      </w:r>
      <w:r>
        <w:rPr>
          <w:color w:val="000000"/>
          <w:szCs w:val="24"/>
          <w:lang w:eastAsia="zh-CN"/>
        </w:rPr>
        <w:t>018</w:t>
      </w:r>
      <w:r>
        <w:rPr>
          <w:color w:val="000000"/>
          <w:szCs w:val="24"/>
          <w:lang w:eastAsia="zh-CN"/>
        </w:rPr>
        <w:t>年</w:t>
      </w:r>
      <w:r>
        <w:rPr>
          <w:rFonts w:hint="eastAsia"/>
          <w:color w:val="000000"/>
          <w:szCs w:val="24"/>
          <w:lang w:eastAsia="zh-CN"/>
        </w:rPr>
        <w:t>1</w:t>
      </w:r>
      <w:r>
        <w:rPr>
          <w:color w:val="000000"/>
          <w:szCs w:val="24"/>
          <w:lang w:eastAsia="zh-CN"/>
        </w:rPr>
        <w:t>2</w:t>
      </w:r>
      <w:r>
        <w:rPr>
          <w:color w:val="000000"/>
          <w:szCs w:val="24"/>
          <w:lang w:eastAsia="zh-CN"/>
        </w:rPr>
        <w:t>月启动的国际电联外部审计员招标进程；</w:t>
      </w:r>
    </w:p>
    <w:p w14:paraId="4827AD92" w14:textId="77777777" w:rsidR="002A1C49" w:rsidRPr="001A18DC" w:rsidRDefault="002A1C49" w:rsidP="002A1C49">
      <w:pPr>
        <w:rPr>
          <w:lang w:eastAsia="zh-CN"/>
        </w:rPr>
      </w:pPr>
      <w:r>
        <w:rPr>
          <w:rFonts w:cs="Calibri"/>
          <w:szCs w:val="24"/>
          <w:lang w:eastAsia="zh-CN"/>
        </w:rPr>
        <w:t>2</w:t>
      </w:r>
      <w:r>
        <w:rPr>
          <w:rFonts w:cs="Calibri"/>
          <w:szCs w:val="24"/>
          <w:lang w:eastAsia="zh-CN"/>
        </w:rPr>
        <w:tab/>
      </w:r>
      <w:r>
        <w:rPr>
          <w:rFonts w:cs="Calibri"/>
          <w:szCs w:val="24"/>
          <w:lang w:eastAsia="zh-CN"/>
        </w:rPr>
        <w:t>在理事会本</w:t>
      </w:r>
      <w:r>
        <w:rPr>
          <w:rFonts w:cs="Calibri" w:hint="eastAsia"/>
          <w:szCs w:val="24"/>
          <w:lang w:eastAsia="zh-CN"/>
        </w:rPr>
        <w:t>届</w:t>
      </w:r>
      <w:r>
        <w:rPr>
          <w:rFonts w:cs="Calibri"/>
          <w:szCs w:val="24"/>
          <w:lang w:eastAsia="zh-CN"/>
        </w:rPr>
        <w:t>会议之后，</w:t>
      </w:r>
      <w:r>
        <w:rPr>
          <w:rFonts w:cs="Calibri" w:hint="eastAsia"/>
          <w:szCs w:val="24"/>
          <w:lang w:eastAsia="zh-CN"/>
        </w:rPr>
        <w:t>立即</w:t>
      </w:r>
      <w:r>
        <w:rPr>
          <w:rFonts w:cs="Calibri"/>
          <w:szCs w:val="24"/>
          <w:lang w:eastAsia="zh-CN"/>
        </w:rPr>
        <w:t>酌情采用相同的方法，重新</w:t>
      </w:r>
      <w:r>
        <w:rPr>
          <w:rFonts w:cs="Calibri" w:hint="eastAsia"/>
          <w:szCs w:val="24"/>
          <w:lang w:eastAsia="zh-CN"/>
        </w:rPr>
        <w:t>开始</w:t>
      </w:r>
      <w:r>
        <w:rPr>
          <w:rFonts w:cs="Calibri"/>
          <w:szCs w:val="24"/>
          <w:lang w:eastAsia="zh-CN"/>
        </w:rPr>
        <w:t>国际电联外部审计员</w:t>
      </w:r>
      <w:r>
        <w:rPr>
          <w:rFonts w:cs="Calibri" w:hint="eastAsia"/>
          <w:szCs w:val="24"/>
          <w:lang w:eastAsia="zh-CN"/>
        </w:rPr>
        <w:t>的</w:t>
      </w:r>
      <w:r>
        <w:rPr>
          <w:rFonts w:hint="eastAsia"/>
          <w:lang w:eastAsia="zh-CN"/>
        </w:rPr>
        <w:t>遴选进程；并且</w:t>
      </w:r>
    </w:p>
    <w:p w14:paraId="4827AD93" w14:textId="77777777" w:rsidR="002A1C49" w:rsidRPr="001A18DC" w:rsidRDefault="002A1C49" w:rsidP="002A1C49">
      <w:pPr>
        <w:rPr>
          <w:lang w:eastAsia="zh-CN"/>
        </w:rPr>
      </w:pPr>
      <w:r>
        <w:rPr>
          <w:rFonts w:cs="Calibri"/>
          <w:szCs w:val="24"/>
          <w:lang w:eastAsia="zh-CN"/>
        </w:rPr>
        <w:t>3</w:t>
      </w:r>
      <w:r>
        <w:rPr>
          <w:rFonts w:cs="Calibri"/>
          <w:szCs w:val="24"/>
          <w:lang w:eastAsia="zh-CN"/>
        </w:rPr>
        <w:tab/>
      </w:r>
      <w:r>
        <w:rPr>
          <w:rFonts w:cs="Calibri"/>
          <w:szCs w:val="24"/>
          <w:lang w:eastAsia="zh-CN"/>
        </w:rPr>
        <w:t>将现任外部审计员</w:t>
      </w:r>
      <w:r w:rsidRPr="000E2536">
        <w:rPr>
          <w:rFonts w:hint="eastAsia"/>
          <w:lang w:val="en-US" w:eastAsia="zh-CN"/>
        </w:rPr>
        <w:t>意大利</w:t>
      </w:r>
      <w:r>
        <w:rPr>
          <w:rFonts w:hint="eastAsia"/>
          <w:lang w:val="en-US" w:eastAsia="zh-CN"/>
        </w:rPr>
        <w:t>最高审计机构</w:t>
      </w:r>
      <w:r>
        <w:rPr>
          <w:rFonts w:hint="eastAsia"/>
          <w:lang w:val="en-US" w:eastAsia="zh-CN"/>
        </w:rPr>
        <w:t xml:space="preserve"> </w:t>
      </w:r>
      <w:r w:rsidRPr="00A8234D">
        <w:rPr>
          <w:lang w:val="en-US" w:eastAsia="zh-CN"/>
        </w:rPr>
        <w:t>–</w:t>
      </w:r>
      <w:r>
        <w:rPr>
          <w:lang w:val="en-US" w:eastAsia="zh-CN"/>
        </w:rPr>
        <w:t xml:space="preserve"> </w:t>
      </w:r>
      <w:r>
        <w:rPr>
          <w:rFonts w:hint="eastAsia"/>
          <w:lang w:val="en-US" w:eastAsia="zh-CN"/>
        </w:rPr>
        <w:t>意大利</w:t>
      </w:r>
      <w:r w:rsidRPr="00D05458">
        <w:rPr>
          <w:lang w:eastAsia="zh-CN"/>
        </w:rPr>
        <w:t>审计院</w:t>
      </w:r>
      <w:r>
        <w:rPr>
          <w:lang w:eastAsia="zh-CN"/>
        </w:rPr>
        <w:t>的任期再</w:t>
      </w:r>
      <w:r>
        <w:rPr>
          <w:rFonts w:hint="eastAsia"/>
          <w:lang w:eastAsia="zh-CN"/>
        </w:rPr>
        <w:t>延长两年，以审计国际电联</w:t>
      </w:r>
      <w:r>
        <w:rPr>
          <w:rFonts w:hint="eastAsia"/>
          <w:lang w:eastAsia="zh-CN"/>
        </w:rPr>
        <w:t>2</w:t>
      </w:r>
      <w:r>
        <w:rPr>
          <w:lang w:eastAsia="zh-CN"/>
        </w:rPr>
        <w:t>020</w:t>
      </w:r>
      <w:r>
        <w:rPr>
          <w:rFonts w:hint="eastAsia"/>
          <w:lang w:eastAsia="zh-CN"/>
        </w:rPr>
        <w:t>年</w:t>
      </w:r>
      <w:r>
        <w:rPr>
          <w:lang w:eastAsia="zh-CN"/>
        </w:rPr>
        <w:t>和</w:t>
      </w:r>
      <w:r>
        <w:rPr>
          <w:rFonts w:hint="eastAsia"/>
          <w:lang w:eastAsia="zh-CN"/>
        </w:rPr>
        <w:t>2</w:t>
      </w:r>
      <w:r>
        <w:rPr>
          <w:lang w:eastAsia="zh-CN"/>
        </w:rPr>
        <w:t>021</w:t>
      </w:r>
      <w:r>
        <w:rPr>
          <w:lang w:eastAsia="zh-CN"/>
        </w:rPr>
        <w:t>年财务报表，</w:t>
      </w:r>
    </w:p>
    <w:p w14:paraId="4827AD94" w14:textId="77777777" w:rsidR="00D32C40" w:rsidRDefault="00D32C40">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lang w:eastAsia="zh-CN"/>
        </w:rPr>
        <w:br w:type="page"/>
      </w:r>
    </w:p>
    <w:p w14:paraId="4827AD95" w14:textId="77777777" w:rsidR="002A1C49" w:rsidRPr="00043339" w:rsidRDefault="002A1C49" w:rsidP="002A1C49">
      <w:pPr>
        <w:pStyle w:val="Call"/>
        <w:rPr>
          <w:lang w:eastAsia="zh-CN"/>
        </w:rPr>
      </w:pPr>
      <w:r w:rsidRPr="00043339">
        <w:rPr>
          <w:rFonts w:hint="eastAsia"/>
          <w:lang w:eastAsia="zh-CN"/>
        </w:rPr>
        <w:lastRenderedPageBreak/>
        <w:t>责成秘书长</w:t>
      </w:r>
    </w:p>
    <w:p w14:paraId="4827AD96" w14:textId="77777777" w:rsidR="002A1C49" w:rsidRPr="00996384" w:rsidRDefault="002A1C49" w:rsidP="002A1C49">
      <w:pPr>
        <w:rPr>
          <w:lang w:eastAsia="zh-CN"/>
        </w:rPr>
      </w:pPr>
      <w:r>
        <w:rPr>
          <w:lang w:eastAsia="zh-CN"/>
        </w:rPr>
        <w:t>1</w:t>
      </w:r>
      <w:r>
        <w:rPr>
          <w:lang w:eastAsia="zh-CN"/>
        </w:rPr>
        <w:tab/>
      </w:r>
      <w:r>
        <w:rPr>
          <w:rFonts w:hint="eastAsia"/>
          <w:lang w:eastAsia="zh-CN"/>
        </w:rPr>
        <w:t>请意大利最高审计院的院长注意本决定，并且酌情修正与其签署的现行协议；</w:t>
      </w:r>
    </w:p>
    <w:p w14:paraId="4827AD97" w14:textId="77777777" w:rsidR="002A1C49" w:rsidRDefault="002A1C49" w:rsidP="002A1C49">
      <w:pPr>
        <w:rPr>
          <w:lang w:eastAsia="zh-CN"/>
        </w:rPr>
      </w:pPr>
      <w:r>
        <w:rPr>
          <w:lang w:eastAsia="zh-CN"/>
        </w:rPr>
        <w:t>2</w:t>
      </w:r>
      <w:r>
        <w:rPr>
          <w:lang w:eastAsia="zh-CN"/>
        </w:rPr>
        <w:tab/>
      </w:r>
      <w:r>
        <w:rPr>
          <w:lang w:eastAsia="zh-CN"/>
        </w:rPr>
        <w:t>向</w:t>
      </w:r>
      <w:r w:rsidRPr="000E2536">
        <w:rPr>
          <w:rFonts w:hint="eastAsia"/>
          <w:lang w:val="en-US" w:eastAsia="zh-CN"/>
        </w:rPr>
        <w:t>六个主要区域</w:t>
      </w:r>
      <w:r>
        <w:rPr>
          <w:rFonts w:hint="eastAsia"/>
          <w:lang w:val="en-US" w:eastAsia="zh-CN"/>
        </w:rPr>
        <w:t>性</w:t>
      </w:r>
      <w:r w:rsidRPr="000E2536">
        <w:rPr>
          <w:rFonts w:hint="eastAsia"/>
          <w:lang w:val="en-US" w:eastAsia="zh-CN"/>
        </w:rPr>
        <w:t>电信组织</w:t>
      </w:r>
      <w:r>
        <w:rPr>
          <w:rFonts w:hint="eastAsia"/>
          <w:lang w:val="en-US" w:eastAsia="zh-CN"/>
        </w:rPr>
        <w:t>发出通函</w:t>
      </w:r>
      <w:r w:rsidRPr="000E2536">
        <w:rPr>
          <w:rFonts w:hint="eastAsia"/>
          <w:lang w:val="en-US" w:eastAsia="zh-CN"/>
        </w:rPr>
        <w:t>，要求</w:t>
      </w:r>
      <w:r>
        <w:rPr>
          <w:rFonts w:hint="eastAsia"/>
          <w:lang w:val="en-US" w:eastAsia="zh-CN"/>
        </w:rPr>
        <w:t>它们提名参加新遴选进程的</w:t>
      </w:r>
      <w:r w:rsidRPr="000E2536">
        <w:rPr>
          <w:rFonts w:hint="eastAsia"/>
          <w:lang w:val="en-US" w:eastAsia="zh-CN"/>
        </w:rPr>
        <w:t>评估委员会</w:t>
      </w:r>
      <w:r>
        <w:rPr>
          <w:rFonts w:hint="eastAsia"/>
          <w:lang w:val="en-US" w:eastAsia="zh-CN"/>
        </w:rPr>
        <w:t>人选；</w:t>
      </w:r>
    </w:p>
    <w:p w14:paraId="4827AD98" w14:textId="77777777" w:rsidR="002A1C49" w:rsidRDefault="002A1C49" w:rsidP="002A1C49">
      <w:pPr>
        <w:rPr>
          <w:lang w:val="en-US" w:eastAsia="zh-CN"/>
        </w:rPr>
      </w:pPr>
      <w:r>
        <w:rPr>
          <w:lang w:eastAsia="zh-CN"/>
        </w:rPr>
        <w:t>3</w:t>
      </w:r>
      <w:r>
        <w:rPr>
          <w:lang w:eastAsia="zh-CN"/>
        </w:rPr>
        <w:tab/>
      </w:r>
      <w:r w:rsidRPr="000E2536">
        <w:rPr>
          <w:rFonts w:hint="eastAsia"/>
          <w:lang w:val="en-US" w:eastAsia="zh-CN"/>
        </w:rPr>
        <w:t>向评估委员会提供秘书支持，以便其能够向理事会提交建议，在</w:t>
      </w:r>
      <w:r>
        <w:rPr>
          <w:rFonts w:hint="eastAsia"/>
          <w:lang w:val="en-US" w:eastAsia="zh-CN"/>
        </w:rPr>
        <w:t>理事会</w:t>
      </w:r>
      <w:r w:rsidRPr="000E2536">
        <w:rPr>
          <w:rFonts w:hint="eastAsia"/>
          <w:lang w:val="en-US" w:eastAsia="zh-CN"/>
        </w:rPr>
        <w:t>2020</w:t>
      </w:r>
      <w:r w:rsidRPr="000E2536">
        <w:rPr>
          <w:rFonts w:hint="eastAsia"/>
          <w:lang w:val="en-US" w:eastAsia="zh-CN"/>
        </w:rPr>
        <w:t>年</w:t>
      </w:r>
      <w:r>
        <w:rPr>
          <w:rFonts w:hint="eastAsia"/>
          <w:lang w:val="en-US" w:eastAsia="zh-CN"/>
        </w:rPr>
        <w:t>会议</w:t>
      </w:r>
      <w:r w:rsidRPr="000E2536">
        <w:rPr>
          <w:rFonts w:hint="eastAsia"/>
          <w:lang w:val="en-US" w:eastAsia="zh-CN"/>
        </w:rPr>
        <w:t>上任命新的</w:t>
      </w:r>
      <w:r>
        <w:rPr>
          <w:rFonts w:hint="eastAsia"/>
          <w:lang w:val="en-US" w:eastAsia="zh-CN"/>
        </w:rPr>
        <w:t>外部</w:t>
      </w:r>
      <w:r w:rsidRPr="000E2536">
        <w:rPr>
          <w:rFonts w:hint="eastAsia"/>
          <w:lang w:val="en-US" w:eastAsia="zh-CN"/>
        </w:rPr>
        <w:t>审计员</w:t>
      </w:r>
      <w:r>
        <w:rPr>
          <w:rFonts w:hint="eastAsia"/>
          <w:lang w:val="en-US" w:eastAsia="zh-CN"/>
        </w:rPr>
        <w:t>。</w:t>
      </w:r>
    </w:p>
    <w:p w14:paraId="4827AD99" w14:textId="77777777" w:rsidR="00490C62" w:rsidRPr="00490C62" w:rsidRDefault="00490C62" w:rsidP="00490C62">
      <w:pPr>
        <w:pStyle w:val="Endtext"/>
        <w:rPr>
          <w:lang w:val="en-GB" w:eastAsia="zh-CN"/>
        </w:rPr>
      </w:pPr>
      <w:r w:rsidRPr="00DA7A9F">
        <w:rPr>
          <w:rFonts w:ascii="STKaiti" w:hAnsi="STKaiti" w:hint="eastAsia"/>
          <w:bCs/>
          <w:lang w:eastAsia="zh-CN"/>
        </w:rPr>
        <w:t>参阅</w:t>
      </w:r>
      <w:r w:rsidRPr="00A6429D">
        <w:rPr>
          <w:rFonts w:hint="eastAsia"/>
          <w:bCs/>
          <w:lang w:val="en-GB" w:eastAsia="zh-CN"/>
        </w:rPr>
        <w:t>：</w:t>
      </w:r>
      <w:r>
        <w:rPr>
          <w:bCs/>
          <w:lang w:val="en-GB" w:eastAsia="zh-CN"/>
        </w:rPr>
        <w:tab/>
      </w:r>
      <w:hyperlink r:id="rId136" w:history="1">
        <w:r w:rsidRPr="00DA03DB">
          <w:rPr>
            <w:rStyle w:val="Hyperlink"/>
            <w:lang w:eastAsia="zh-CN"/>
          </w:rPr>
          <w:t>C1</w:t>
        </w:r>
        <w:r>
          <w:rPr>
            <w:rStyle w:val="Hyperlink"/>
            <w:lang w:eastAsia="zh-CN"/>
          </w:rPr>
          <w:t>9</w:t>
        </w:r>
        <w:r w:rsidRPr="00DA03DB">
          <w:rPr>
            <w:rStyle w:val="Hyperlink"/>
            <w:lang w:eastAsia="zh-CN"/>
          </w:rPr>
          <w:t>/1</w:t>
        </w:r>
        <w:r>
          <w:rPr>
            <w:rStyle w:val="Hyperlink"/>
            <w:lang w:eastAsia="zh-CN"/>
          </w:rPr>
          <w:t>31</w:t>
        </w:r>
      </w:hyperlink>
      <w:r>
        <w:rPr>
          <w:rFonts w:hint="eastAsia"/>
          <w:lang w:val="fr-FR" w:eastAsia="zh-CN"/>
        </w:rPr>
        <w:t>和</w:t>
      </w:r>
      <w:hyperlink r:id="rId137" w:history="1">
        <w:r w:rsidRPr="003D0791">
          <w:rPr>
            <w:rStyle w:val="Hyperlink"/>
            <w:lang w:eastAsia="zh-CN"/>
          </w:rPr>
          <w:t>C1</w:t>
        </w:r>
        <w:r>
          <w:rPr>
            <w:rStyle w:val="Hyperlink"/>
            <w:lang w:eastAsia="zh-CN"/>
          </w:rPr>
          <w:t>9</w:t>
        </w:r>
        <w:r w:rsidRPr="003D0791">
          <w:rPr>
            <w:rStyle w:val="Hyperlink"/>
            <w:lang w:eastAsia="zh-CN"/>
          </w:rPr>
          <w:t>/1</w:t>
        </w:r>
        <w:r>
          <w:rPr>
            <w:rStyle w:val="Hyperlink"/>
            <w:lang w:eastAsia="zh-CN"/>
          </w:rPr>
          <w:t>20</w:t>
        </w:r>
      </w:hyperlink>
      <w:r>
        <w:rPr>
          <w:rFonts w:hint="eastAsia"/>
          <w:lang w:eastAsia="zh-CN"/>
        </w:rPr>
        <w:t>号</w:t>
      </w:r>
      <w:r>
        <w:rPr>
          <w:lang w:eastAsia="zh-CN"/>
        </w:rPr>
        <w:t>文件</w:t>
      </w:r>
      <w:r w:rsidRPr="00C44E8B">
        <w:rPr>
          <w:lang w:eastAsia="zh-CN"/>
        </w:rPr>
        <w:t>。</w:t>
      </w:r>
    </w:p>
    <w:p w14:paraId="4827AD9A" w14:textId="77777777" w:rsidR="00576E60" w:rsidRDefault="00576E60" w:rsidP="00576E60">
      <w:pPr>
        <w:jc w:val="center"/>
        <w:rPr>
          <w:lang w:eastAsia="zh-CN"/>
        </w:rPr>
      </w:pPr>
      <w:r>
        <w:rPr>
          <w:lang w:eastAsia="zh-CN"/>
        </w:rPr>
        <w:t>______________</w:t>
      </w:r>
    </w:p>
    <w:p w14:paraId="4827AD9B" w14:textId="77777777" w:rsidR="00576E60" w:rsidRDefault="00576E60" w:rsidP="001B5FA0">
      <w:pPr>
        <w:pStyle w:val="ResNo"/>
        <w:outlineLvl w:val="0"/>
        <w:rPr>
          <w:lang w:eastAsia="zh-CN"/>
        </w:rPr>
      </w:pPr>
      <w:bookmarkStart w:id="230" w:name="_Toc16085690"/>
      <w:bookmarkStart w:id="231" w:name="_Toc86395490"/>
      <w:r>
        <w:rPr>
          <w:rFonts w:hint="eastAsia"/>
          <w:lang w:eastAsia="zh-CN"/>
        </w:rPr>
        <w:t>第</w:t>
      </w:r>
      <w:r>
        <w:rPr>
          <w:rFonts w:hint="eastAsia"/>
          <w:lang w:eastAsia="zh-CN"/>
        </w:rPr>
        <w:t>615</w:t>
      </w:r>
      <w:r>
        <w:rPr>
          <w:rFonts w:hint="eastAsia"/>
          <w:lang w:eastAsia="zh-CN"/>
        </w:rPr>
        <w:t>号决定（</w:t>
      </w:r>
      <w:r>
        <w:rPr>
          <w:rFonts w:hint="eastAsia"/>
          <w:lang w:eastAsia="zh-CN"/>
        </w:rPr>
        <w:t>C</w:t>
      </w:r>
      <w:r>
        <w:rPr>
          <w:lang w:eastAsia="zh-CN"/>
        </w:rPr>
        <w:t>19</w:t>
      </w:r>
      <w:r>
        <w:rPr>
          <w:rFonts w:hint="eastAsia"/>
          <w:lang w:eastAsia="zh-CN"/>
        </w:rPr>
        <w:t>）</w:t>
      </w:r>
      <w:bookmarkEnd w:id="230"/>
      <w:bookmarkEnd w:id="231"/>
    </w:p>
    <w:p w14:paraId="4827AD9C" w14:textId="77777777" w:rsidR="00576E60" w:rsidRPr="00ED742F" w:rsidRDefault="00576E60" w:rsidP="00576E60">
      <w:pPr>
        <w:pStyle w:val="Restitle"/>
        <w:rPr>
          <w:lang w:eastAsia="zh-CN"/>
        </w:rPr>
      </w:pPr>
      <w:bookmarkStart w:id="232" w:name="_Toc16085691"/>
      <w:bookmarkStart w:id="233" w:name="_Toc86395491"/>
      <w:r w:rsidRPr="00ED742F">
        <w:rPr>
          <w:rFonts w:hint="eastAsia"/>
          <w:lang w:eastAsia="zh-CN"/>
        </w:rPr>
        <w:t>独立管理顾问委员会（</w:t>
      </w:r>
      <w:r w:rsidRPr="00ED742F">
        <w:rPr>
          <w:rFonts w:hint="eastAsia"/>
          <w:lang w:eastAsia="zh-CN"/>
        </w:rPr>
        <w:t>I</w:t>
      </w:r>
      <w:r w:rsidRPr="00ED742F">
        <w:rPr>
          <w:lang w:eastAsia="zh-CN"/>
        </w:rPr>
        <w:t>MAC</w:t>
      </w:r>
      <w:r w:rsidRPr="00ED742F">
        <w:rPr>
          <w:rFonts w:hint="eastAsia"/>
          <w:lang w:eastAsia="zh-CN"/>
        </w:rPr>
        <w:t>）委员的任命</w:t>
      </w:r>
      <w:bookmarkEnd w:id="232"/>
      <w:bookmarkEnd w:id="233"/>
    </w:p>
    <w:p w14:paraId="4827AD9D" w14:textId="77777777" w:rsidR="00576E60" w:rsidRPr="00ED742F" w:rsidRDefault="00576E60" w:rsidP="00E51375">
      <w:pPr>
        <w:pStyle w:val="Normalaftertitle0"/>
      </w:pPr>
      <w:r w:rsidRPr="00ED742F">
        <w:rPr>
          <w:rFonts w:hint="eastAsia"/>
        </w:rPr>
        <w:t>理事会，</w:t>
      </w:r>
    </w:p>
    <w:p w14:paraId="4827AD9E" w14:textId="77777777" w:rsidR="00576E60" w:rsidRPr="00ED742F" w:rsidRDefault="00576E60" w:rsidP="00576E60">
      <w:pPr>
        <w:pStyle w:val="Call"/>
        <w:rPr>
          <w:lang w:eastAsia="zh-CN"/>
        </w:rPr>
      </w:pPr>
      <w:r w:rsidRPr="00ED742F">
        <w:rPr>
          <w:rFonts w:hint="eastAsia"/>
          <w:lang w:eastAsia="zh-CN"/>
        </w:rPr>
        <w:t>考虑到</w:t>
      </w:r>
    </w:p>
    <w:p w14:paraId="4827AD9F" w14:textId="77777777" w:rsidR="00576E60" w:rsidRPr="00ED742F" w:rsidRDefault="00576E60" w:rsidP="00576E60">
      <w:pPr>
        <w:spacing w:before="80"/>
        <w:ind w:firstLineChars="200" w:firstLine="480"/>
        <w:rPr>
          <w:rFonts w:cs="Calibri"/>
          <w:lang w:eastAsia="zh-CN"/>
        </w:rPr>
      </w:pPr>
      <w:r w:rsidRPr="00ED742F">
        <w:rPr>
          <w:rFonts w:cs="Calibri"/>
          <w:lang w:eastAsia="zh-CN"/>
        </w:rPr>
        <w:t>IMAC</w:t>
      </w:r>
      <w:r w:rsidRPr="00ED742F">
        <w:rPr>
          <w:rFonts w:cs="Calibri"/>
          <w:lang w:eastAsia="zh-CN"/>
        </w:rPr>
        <w:t>遴选专委会</w:t>
      </w:r>
      <w:r w:rsidRPr="00ED742F">
        <w:rPr>
          <w:rFonts w:cs="Calibri" w:hint="eastAsia"/>
          <w:lang w:eastAsia="zh-CN"/>
        </w:rPr>
        <w:t>有关任命</w:t>
      </w:r>
      <w:r w:rsidRPr="00ED742F">
        <w:rPr>
          <w:rFonts w:cs="Calibri"/>
          <w:lang w:eastAsia="zh-CN"/>
        </w:rPr>
        <w:t>IMAC</w:t>
      </w:r>
      <w:r w:rsidRPr="00ED742F">
        <w:rPr>
          <w:rFonts w:cs="Calibri" w:hint="eastAsia"/>
          <w:lang w:eastAsia="zh-CN"/>
        </w:rPr>
        <w:t>委员的报告，</w:t>
      </w:r>
    </w:p>
    <w:p w14:paraId="4827ADA0" w14:textId="77777777" w:rsidR="00576E60" w:rsidRPr="00ED742F" w:rsidRDefault="00576E60" w:rsidP="00576E60">
      <w:pPr>
        <w:pStyle w:val="Call"/>
        <w:rPr>
          <w:lang w:eastAsia="zh-CN"/>
        </w:rPr>
      </w:pPr>
      <w:r w:rsidRPr="00ED742F">
        <w:rPr>
          <w:rFonts w:hint="eastAsia"/>
          <w:lang w:eastAsia="zh-CN"/>
        </w:rPr>
        <w:t>顾及</w:t>
      </w:r>
    </w:p>
    <w:p w14:paraId="4827ADA1" w14:textId="77777777" w:rsidR="00576E60" w:rsidRPr="00ED742F" w:rsidRDefault="00576E60" w:rsidP="00576E60">
      <w:pPr>
        <w:ind w:firstLineChars="200" w:firstLine="480"/>
        <w:rPr>
          <w:rFonts w:cs="Calibri"/>
          <w:lang w:eastAsia="zh-CN"/>
        </w:rPr>
      </w:pPr>
      <w:r w:rsidRPr="00ED742F">
        <w:rPr>
          <w:rFonts w:cs="Calibri" w:hint="eastAsia"/>
          <w:color w:val="000000"/>
          <w:szCs w:val="24"/>
          <w:lang w:eastAsia="zh-CN"/>
        </w:rPr>
        <w:t>第</w:t>
      </w:r>
      <w:r w:rsidRPr="00ED742F">
        <w:rPr>
          <w:rFonts w:cs="Calibri" w:hint="eastAsia"/>
          <w:color w:val="000000"/>
          <w:szCs w:val="24"/>
          <w:lang w:eastAsia="zh-CN"/>
        </w:rPr>
        <w:t>162</w:t>
      </w:r>
      <w:r w:rsidRPr="00ED742F">
        <w:rPr>
          <w:rFonts w:cs="Calibri" w:hint="eastAsia"/>
          <w:color w:val="000000"/>
          <w:szCs w:val="24"/>
          <w:lang w:eastAsia="zh-CN"/>
        </w:rPr>
        <w:t>号决议</w:t>
      </w:r>
      <w:r w:rsidRPr="00ED742F">
        <w:rPr>
          <w:rFonts w:cs="Calibri"/>
          <w:color w:val="000000"/>
          <w:szCs w:val="24"/>
          <w:lang w:eastAsia="zh-CN"/>
        </w:rPr>
        <w:t>（</w:t>
      </w:r>
      <w:r w:rsidRPr="00ED742F">
        <w:rPr>
          <w:rFonts w:cs="Calibri"/>
          <w:color w:val="000000"/>
          <w:szCs w:val="24"/>
          <w:lang w:eastAsia="zh-CN"/>
        </w:rPr>
        <w:t>201</w:t>
      </w:r>
      <w:r w:rsidRPr="00ED742F">
        <w:rPr>
          <w:rFonts w:cs="Calibri" w:hint="eastAsia"/>
          <w:color w:val="000000"/>
          <w:szCs w:val="24"/>
          <w:lang w:eastAsia="zh-CN"/>
        </w:rPr>
        <w:t>4</w:t>
      </w:r>
      <w:r w:rsidRPr="00ED742F">
        <w:rPr>
          <w:rFonts w:cs="Calibri"/>
          <w:color w:val="000000"/>
          <w:szCs w:val="24"/>
          <w:lang w:eastAsia="zh-CN"/>
        </w:rPr>
        <w:t>年，</w:t>
      </w:r>
      <w:r w:rsidRPr="00ED742F">
        <w:rPr>
          <w:rFonts w:cs="Calibri" w:hint="eastAsia"/>
          <w:color w:val="000000"/>
          <w:szCs w:val="24"/>
          <w:lang w:eastAsia="zh-CN"/>
        </w:rPr>
        <w:t>釜山，修订版</w:t>
      </w:r>
      <w:r w:rsidRPr="00ED742F">
        <w:rPr>
          <w:rFonts w:cs="Calibri"/>
          <w:color w:val="000000"/>
          <w:szCs w:val="24"/>
          <w:lang w:eastAsia="zh-CN"/>
        </w:rPr>
        <w:t>）</w:t>
      </w:r>
      <w:r w:rsidRPr="00ED742F">
        <w:rPr>
          <w:rFonts w:cs="Calibri" w:hint="eastAsia"/>
          <w:color w:val="000000"/>
          <w:szCs w:val="24"/>
          <w:lang w:eastAsia="zh-CN"/>
        </w:rPr>
        <w:t>附件所载的</w:t>
      </w:r>
      <w:r w:rsidRPr="00ED742F">
        <w:rPr>
          <w:rFonts w:cs="Calibri" w:hint="eastAsia"/>
          <w:color w:val="000000"/>
          <w:szCs w:val="24"/>
          <w:lang w:eastAsia="zh-CN"/>
        </w:rPr>
        <w:t>IMAC</w:t>
      </w:r>
      <w:r w:rsidRPr="00ED742F">
        <w:rPr>
          <w:rFonts w:cs="Calibri" w:hint="eastAsia"/>
          <w:color w:val="000000"/>
          <w:szCs w:val="24"/>
          <w:lang w:eastAsia="zh-CN"/>
        </w:rPr>
        <w:t>职责范围，</w:t>
      </w:r>
    </w:p>
    <w:p w14:paraId="4827ADA2" w14:textId="77777777" w:rsidR="00576E60" w:rsidRPr="00ED742F" w:rsidRDefault="00576E60" w:rsidP="00576E60">
      <w:pPr>
        <w:pStyle w:val="Call"/>
        <w:rPr>
          <w:lang w:eastAsia="zh-CN"/>
        </w:rPr>
      </w:pPr>
      <w:r w:rsidRPr="00ED742F">
        <w:rPr>
          <w:rFonts w:hint="eastAsia"/>
          <w:lang w:eastAsia="zh-CN"/>
        </w:rPr>
        <w:t>做出决定</w:t>
      </w:r>
    </w:p>
    <w:p w14:paraId="4827ADA3" w14:textId="77777777" w:rsidR="00576E60" w:rsidRPr="00ED742F" w:rsidRDefault="00576E60" w:rsidP="00576E60">
      <w:pPr>
        <w:rPr>
          <w:lang w:eastAsia="zh-CN"/>
        </w:rPr>
      </w:pPr>
      <w:r w:rsidRPr="00ED742F">
        <w:rPr>
          <w:lang w:eastAsia="zh-CN"/>
        </w:rPr>
        <w:t>1</w:t>
      </w:r>
      <w:r w:rsidRPr="00ED742F">
        <w:rPr>
          <w:lang w:eastAsia="zh-CN"/>
        </w:rPr>
        <w:tab/>
      </w:r>
      <w:r w:rsidRPr="00ED742F">
        <w:rPr>
          <w:rFonts w:hint="eastAsia"/>
          <w:lang w:eastAsia="zh-CN"/>
        </w:rPr>
        <w:t>任命下述五位独立专家为</w:t>
      </w:r>
      <w:r w:rsidRPr="00ED742F">
        <w:rPr>
          <w:rFonts w:hint="eastAsia"/>
          <w:lang w:eastAsia="zh-CN"/>
        </w:rPr>
        <w:t>IMAC</w:t>
      </w:r>
      <w:r w:rsidRPr="00ED742F">
        <w:rPr>
          <w:rFonts w:hint="eastAsia"/>
          <w:lang w:eastAsia="zh-CN"/>
        </w:rPr>
        <w:t>的委员，自</w:t>
      </w:r>
      <w:r w:rsidRPr="00ED742F">
        <w:rPr>
          <w:rFonts w:hint="eastAsia"/>
          <w:lang w:eastAsia="zh-CN"/>
        </w:rPr>
        <w:t>2020</w:t>
      </w:r>
      <w:r w:rsidRPr="00ED742F">
        <w:rPr>
          <w:rFonts w:hint="eastAsia"/>
          <w:lang w:eastAsia="zh-CN"/>
        </w:rPr>
        <w:t>年</w:t>
      </w:r>
      <w:r w:rsidRPr="00ED742F">
        <w:rPr>
          <w:rFonts w:hint="eastAsia"/>
          <w:lang w:eastAsia="zh-CN"/>
        </w:rPr>
        <w:t>1</w:t>
      </w:r>
      <w:r w:rsidRPr="00ED742F">
        <w:rPr>
          <w:rFonts w:hint="eastAsia"/>
          <w:lang w:eastAsia="zh-CN"/>
        </w:rPr>
        <w:t>月</w:t>
      </w:r>
      <w:r w:rsidRPr="00ED742F">
        <w:rPr>
          <w:rFonts w:hint="eastAsia"/>
          <w:lang w:eastAsia="zh-CN"/>
        </w:rPr>
        <w:t>1</w:t>
      </w:r>
      <w:r w:rsidRPr="00ED742F">
        <w:rPr>
          <w:rFonts w:hint="eastAsia"/>
          <w:lang w:eastAsia="zh-CN"/>
        </w:rPr>
        <w:t>日起上任，任期四年：</w:t>
      </w:r>
    </w:p>
    <w:p w14:paraId="4827ADA4" w14:textId="77777777" w:rsidR="00576E60" w:rsidRPr="00ED742F" w:rsidRDefault="00481C40" w:rsidP="00576E60">
      <w:pPr>
        <w:pStyle w:val="enumlev1"/>
        <w:rPr>
          <w:lang w:eastAsia="zh-CN"/>
        </w:rPr>
      </w:pPr>
      <w:r>
        <w:t>(</w:t>
      </w:r>
      <w:r w:rsidR="00576E60" w:rsidRPr="00ED742F">
        <w:t>a)</w:t>
      </w:r>
      <w:r w:rsidR="00576E60" w:rsidRPr="00ED742F">
        <w:tab/>
        <w:t>HAMMER Sarah</w:t>
      </w:r>
      <w:r w:rsidR="00576E60" w:rsidRPr="00ED742F">
        <w:rPr>
          <w:rFonts w:hint="eastAsia"/>
          <w:lang w:eastAsia="zh-CN"/>
        </w:rPr>
        <w:t>女士，美国国民；</w:t>
      </w:r>
    </w:p>
    <w:p w14:paraId="4827ADA5" w14:textId="77777777" w:rsidR="00576E60" w:rsidRPr="00ED742F" w:rsidRDefault="00481C40" w:rsidP="00576E60">
      <w:pPr>
        <w:pStyle w:val="enumlev1"/>
      </w:pPr>
      <w:r>
        <w:t>(</w:t>
      </w:r>
      <w:r w:rsidR="00576E60" w:rsidRPr="00ED742F">
        <w:t>b)</w:t>
      </w:r>
      <w:r w:rsidR="00576E60" w:rsidRPr="00ED742F">
        <w:tab/>
      </w:r>
      <w:r w:rsidR="00576E60" w:rsidRPr="00ED742F">
        <w:rPr>
          <w:color w:val="000000"/>
          <w:szCs w:val="24"/>
          <w:lang w:eastAsia="zh-CN"/>
        </w:rPr>
        <w:t>NARUKAVNIKOV Alexander</w:t>
      </w:r>
      <w:r w:rsidR="00576E60" w:rsidRPr="00ED742F">
        <w:rPr>
          <w:rFonts w:hint="eastAsia"/>
          <w:lang w:eastAsia="zh-CN"/>
        </w:rPr>
        <w:t>先生，俄罗斯联邦国民；</w:t>
      </w:r>
    </w:p>
    <w:p w14:paraId="4827ADA6" w14:textId="77777777" w:rsidR="00576E60" w:rsidRPr="00ED742F" w:rsidRDefault="00481C40" w:rsidP="00576E60">
      <w:pPr>
        <w:pStyle w:val="enumlev1"/>
        <w:rPr>
          <w:lang w:eastAsia="zh-CN"/>
        </w:rPr>
      </w:pPr>
      <w:r>
        <w:rPr>
          <w:lang w:eastAsia="zh-CN"/>
        </w:rPr>
        <w:t>(</w:t>
      </w:r>
      <w:r w:rsidR="00576E60" w:rsidRPr="00ED742F">
        <w:rPr>
          <w:lang w:eastAsia="zh-CN"/>
        </w:rPr>
        <w:t>c)</w:t>
      </w:r>
      <w:r w:rsidR="00576E60" w:rsidRPr="00ED742F">
        <w:rPr>
          <w:lang w:eastAsia="zh-CN"/>
        </w:rPr>
        <w:tab/>
        <w:t>NDOKO Honore</w:t>
      </w:r>
      <w:r w:rsidR="00576E60" w:rsidRPr="00ED742F">
        <w:rPr>
          <w:rFonts w:hint="eastAsia"/>
          <w:lang w:eastAsia="zh-CN"/>
        </w:rPr>
        <w:t>先生，喀麦隆国民；</w:t>
      </w:r>
    </w:p>
    <w:p w14:paraId="4827ADA7" w14:textId="77777777" w:rsidR="00576E60" w:rsidRPr="00ED742F" w:rsidRDefault="00481C40" w:rsidP="00576E60">
      <w:pPr>
        <w:pStyle w:val="enumlev1"/>
        <w:rPr>
          <w:lang w:eastAsia="zh-CN"/>
        </w:rPr>
      </w:pPr>
      <w:r>
        <w:rPr>
          <w:lang w:eastAsia="zh-CN"/>
        </w:rPr>
        <w:t>(</w:t>
      </w:r>
      <w:r w:rsidR="00576E60" w:rsidRPr="00ED742F">
        <w:rPr>
          <w:lang w:eastAsia="zh-CN"/>
        </w:rPr>
        <w:t>d)</w:t>
      </w:r>
      <w:r w:rsidR="00576E60" w:rsidRPr="00ED742F">
        <w:rPr>
          <w:lang w:eastAsia="zh-CN"/>
        </w:rPr>
        <w:tab/>
        <w:t>SCHNEIDER Henrique</w:t>
      </w:r>
      <w:r w:rsidR="00576E60" w:rsidRPr="00ED742F">
        <w:rPr>
          <w:rFonts w:hint="eastAsia"/>
          <w:lang w:eastAsia="zh-CN"/>
        </w:rPr>
        <w:t>先生，瑞士国民；</w:t>
      </w:r>
    </w:p>
    <w:p w14:paraId="4827ADA8" w14:textId="77777777" w:rsidR="00576E60" w:rsidRPr="00ED742F" w:rsidRDefault="00481C40" w:rsidP="00576E60">
      <w:pPr>
        <w:pStyle w:val="enumlev1"/>
        <w:rPr>
          <w:lang w:eastAsia="zh-CN"/>
        </w:rPr>
      </w:pPr>
      <w:r>
        <w:rPr>
          <w:lang w:eastAsia="zh-CN"/>
        </w:rPr>
        <w:t>(</w:t>
      </w:r>
      <w:r w:rsidR="00576E60" w:rsidRPr="00ED742F">
        <w:rPr>
          <w:lang w:eastAsia="zh-CN"/>
        </w:rPr>
        <w:t>e)</w:t>
      </w:r>
      <w:r w:rsidR="00576E60" w:rsidRPr="00ED742F">
        <w:rPr>
          <w:lang w:eastAsia="zh-CN"/>
        </w:rPr>
        <w:tab/>
      </w:r>
      <w:r w:rsidR="00576E60" w:rsidRPr="00ED742F">
        <w:rPr>
          <w:color w:val="000000"/>
          <w:szCs w:val="24"/>
          <w:lang w:eastAsia="zh-CN"/>
        </w:rPr>
        <w:t>VIKAMSKEY Kamlesh</w:t>
      </w:r>
      <w:r w:rsidR="00576E60" w:rsidRPr="00ED742F">
        <w:rPr>
          <w:rFonts w:hint="eastAsia"/>
          <w:color w:val="000000"/>
          <w:szCs w:val="24"/>
          <w:lang w:eastAsia="zh-CN"/>
        </w:rPr>
        <w:t>先生</w:t>
      </w:r>
      <w:r w:rsidR="00576E60" w:rsidRPr="00ED742F">
        <w:rPr>
          <w:rFonts w:hint="eastAsia"/>
          <w:lang w:eastAsia="zh-CN"/>
        </w:rPr>
        <w:t>，印度国民</w:t>
      </w:r>
      <w:r w:rsidR="00576E60">
        <w:rPr>
          <w:rFonts w:hint="eastAsia"/>
          <w:lang w:eastAsia="zh-CN"/>
        </w:rPr>
        <w:t>。</w:t>
      </w:r>
    </w:p>
    <w:p w14:paraId="4827ADA9" w14:textId="77777777" w:rsidR="00576E60" w:rsidRPr="00ED742F" w:rsidRDefault="00576E60" w:rsidP="00576E60">
      <w:pPr>
        <w:rPr>
          <w:rFonts w:cstheme="minorHAnsi"/>
          <w:szCs w:val="24"/>
          <w:lang w:eastAsia="zh-CN"/>
        </w:rPr>
      </w:pPr>
      <w:r w:rsidRPr="00ED742F">
        <w:rPr>
          <w:rFonts w:cstheme="minorHAnsi"/>
          <w:szCs w:val="24"/>
          <w:lang w:eastAsia="zh-CN"/>
        </w:rPr>
        <w:t>2</w:t>
      </w:r>
      <w:r w:rsidRPr="00ED742F">
        <w:rPr>
          <w:rFonts w:cstheme="minorHAnsi"/>
          <w:szCs w:val="24"/>
          <w:lang w:eastAsia="zh-CN"/>
        </w:rPr>
        <w:tab/>
      </w:r>
      <w:r>
        <w:rPr>
          <w:rFonts w:cstheme="minorHAnsi" w:hint="eastAsia"/>
          <w:szCs w:val="24"/>
          <w:lang w:eastAsia="zh-CN"/>
        </w:rPr>
        <w:t>现</w:t>
      </w:r>
      <w:r w:rsidRPr="00ED742F">
        <w:rPr>
          <w:rFonts w:hint="eastAsia"/>
          <w:lang w:eastAsia="zh-CN"/>
        </w:rPr>
        <w:t>将遴选专委会已根据第</w:t>
      </w:r>
      <w:r w:rsidRPr="00ED742F">
        <w:rPr>
          <w:rFonts w:hint="eastAsia"/>
          <w:lang w:eastAsia="zh-CN"/>
        </w:rPr>
        <w:t>162</w:t>
      </w:r>
      <w:r w:rsidRPr="00ED742F">
        <w:rPr>
          <w:rFonts w:hint="eastAsia"/>
          <w:lang w:eastAsia="zh-CN"/>
        </w:rPr>
        <w:t>号决议（</w:t>
      </w:r>
      <w:r w:rsidRPr="00ED742F">
        <w:rPr>
          <w:rFonts w:hint="eastAsia"/>
          <w:lang w:eastAsia="zh-CN"/>
        </w:rPr>
        <w:t>2014</w:t>
      </w:r>
      <w:r w:rsidRPr="00ED742F">
        <w:rPr>
          <w:rFonts w:hint="eastAsia"/>
          <w:lang w:eastAsia="zh-CN"/>
        </w:rPr>
        <w:t>年，釜山，修订版）向国际电联秘书处提交以下三（</w:t>
      </w:r>
      <w:r w:rsidRPr="00ED742F">
        <w:rPr>
          <w:lang w:eastAsia="zh-CN"/>
        </w:rPr>
        <w:t>3</w:t>
      </w:r>
      <w:r w:rsidRPr="00ED742F">
        <w:rPr>
          <w:rFonts w:hint="eastAsia"/>
          <w:lang w:eastAsia="zh-CN"/>
        </w:rPr>
        <w:t>）位合格候选人名单供理事会审议一事记录在案，以备在</w:t>
      </w:r>
      <w:r w:rsidRPr="00ED742F">
        <w:rPr>
          <w:rFonts w:hint="eastAsia"/>
          <w:lang w:eastAsia="zh-CN"/>
        </w:rPr>
        <w:t>I</w:t>
      </w:r>
      <w:r w:rsidRPr="00ED742F">
        <w:rPr>
          <w:lang w:eastAsia="zh-CN"/>
        </w:rPr>
        <w:t>MAC</w:t>
      </w:r>
      <w:r w:rsidRPr="00ED742F">
        <w:rPr>
          <w:rFonts w:hint="eastAsia"/>
          <w:lang w:eastAsia="zh-CN"/>
        </w:rPr>
        <w:t>任期内填补空缺之需：</w:t>
      </w:r>
    </w:p>
    <w:p w14:paraId="4827ADAA" w14:textId="77777777" w:rsidR="00576E60" w:rsidRPr="00ED742F" w:rsidRDefault="00481C40" w:rsidP="00576E60">
      <w:pPr>
        <w:pStyle w:val="enumlev1"/>
      </w:pPr>
      <w:r>
        <w:t>(</w:t>
      </w:r>
      <w:r w:rsidR="00576E60" w:rsidRPr="00ED742F">
        <w:t>a)</w:t>
      </w:r>
      <w:r w:rsidR="00576E60" w:rsidRPr="00ED742F">
        <w:tab/>
        <w:t>MALIK Bushra Naz</w:t>
      </w:r>
      <w:r w:rsidR="00576E60" w:rsidRPr="00ED742F">
        <w:rPr>
          <w:rFonts w:hint="eastAsia"/>
          <w:lang w:eastAsia="zh-CN"/>
        </w:rPr>
        <w:t>女士，巴基斯坦国民；</w:t>
      </w:r>
    </w:p>
    <w:p w14:paraId="4827ADAB" w14:textId="77777777" w:rsidR="00576E60" w:rsidRPr="00ED742F" w:rsidRDefault="00481C40" w:rsidP="00576E60">
      <w:pPr>
        <w:pStyle w:val="enumlev1"/>
      </w:pPr>
      <w:r>
        <w:t>(</w:t>
      </w:r>
      <w:r w:rsidR="00576E60" w:rsidRPr="00ED742F">
        <w:t>b)</w:t>
      </w:r>
      <w:r w:rsidR="00576E60" w:rsidRPr="00ED742F">
        <w:tab/>
        <w:t>MANOIU Madalina</w:t>
      </w:r>
      <w:r w:rsidR="00576E60" w:rsidRPr="00ED742F">
        <w:rPr>
          <w:rFonts w:hint="eastAsia"/>
          <w:lang w:eastAsia="zh-CN"/>
        </w:rPr>
        <w:t>女士，罗马尼亚国民；</w:t>
      </w:r>
    </w:p>
    <w:p w14:paraId="4827ADAC" w14:textId="77777777" w:rsidR="00576E60" w:rsidRDefault="00481C40" w:rsidP="00576E60">
      <w:pPr>
        <w:pStyle w:val="enumlev1"/>
        <w:rPr>
          <w:lang w:eastAsia="zh-CN"/>
        </w:rPr>
      </w:pPr>
      <w:r>
        <w:t>(</w:t>
      </w:r>
      <w:r w:rsidR="00576E60" w:rsidRPr="00ED742F">
        <w:t>c)</w:t>
      </w:r>
      <w:r w:rsidR="00576E60" w:rsidRPr="00ED742F">
        <w:tab/>
        <w:t>NIKITIN Fernando</w:t>
      </w:r>
      <w:r w:rsidR="00576E60" w:rsidRPr="00ED742F">
        <w:rPr>
          <w:rFonts w:hint="eastAsia"/>
          <w:lang w:eastAsia="zh-CN"/>
        </w:rPr>
        <w:t>先生，乌拉圭国民。</w:t>
      </w:r>
    </w:p>
    <w:p w14:paraId="4827ADAD" w14:textId="77777777" w:rsidR="00490C62" w:rsidRPr="00490C62" w:rsidRDefault="00490C62" w:rsidP="00490C62">
      <w:pPr>
        <w:pStyle w:val="Endtext"/>
        <w:rPr>
          <w:lang w:val="en-GB" w:eastAsia="zh-CN"/>
        </w:rPr>
      </w:pPr>
      <w:r w:rsidRPr="00DA7A9F">
        <w:rPr>
          <w:rFonts w:ascii="STKaiti" w:hAnsi="STKaiti" w:hint="eastAsia"/>
          <w:bCs/>
          <w:lang w:eastAsia="zh-CN"/>
        </w:rPr>
        <w:t>参阅</w:t>
      </w:r>
      <w:r w:rsidRPr="00A6429D">
        <w:rPr>
          <w:rFonts w:hint="eastAsia"/>
          <w:bCs/>
          <w:lang w:val="en-GB" w:eastAsia="zh-CN"/>
        </w:rPr>
        <w:t>：</w:t>
      </w:r>
      <w:r>
        <w:rPr>
          <w:bCs/>
          <w:lang w:val="en-GB" w:eastAsia="zh-CN"/>
        </w:rPr>
        <w:tab/>
      </w:r>
      <w:hyperlink r:id="rId138" w:history="1">
        <w:r w:rsidRPr="00DA03DB">
          <w:rPr>
            <w:rStyle w:val="Hyperlink"/>
            <w:lang w:eastAsia="zh-CN"/>
          </w:rPr>
          <w:t>C1</w:t>
        </w:r>
        <w:r>
          <w:rPr>
            <w:rStyle w:val="Hyperlink"/>
            <w:lang w:eastAsia="zh-CN"/>
          </w:rPr>
          <w:t>9</w:t>
        </w:r>
        <w:r w:rsidRPr="00DA03DB">
          <w:rPr>
            <w:rStyle w:val="Hyperlink"/>
            <w:lang w:eastAsia="zh-CN"/>
          </w:rPr>
          <w:t>/1</w:t>
        </w:r>
        <w:r>
          <w:rPr>
            <w:rStyle w:val="Hyperlink"/>
            <w:lang w:eastAsia="zh-CN"/>
          </w:rPr>
          <w:t>32</w:t>
        </w:r>
      </w:hyperlink>
      <w:r>
        <w:rPr>
          <w:rFonts w:hint="eastAsia"/>
          <w:lang w:val="fr-FR" w:eastAsia="zh-CN"/>
        </w:rPr>
        <w:t>和</w:t>
      </w:r>
      <w:hyperlink r:id="rId139" w:history="1">
        <w:r w:rsidRPr="003D0791">
          <w:rPr>
            <w:rStyle w:val="Hyperlink"/>
            <w:lang w:eastAsia="zh-CN"/>
          </w:rPr>
          <w:t>C1</w:t>
        </w:r>
        <w:r>
          <w:rPr>
            <w:rStyle w:val="Hyperlink"/>
            <w:lang w:eastAsia="zh-CN"/>
          </w:rPr>
          <w:t>9</w:t>
        </w:r>
        <w:r w:rsidRPr="003D0791">
          <w:rPr>
            <w:rStyle w:val="Hyperlink"/>
            <w:lang w:eastAsia="zh-CN"/>
          </w:rPr>
          <w:t>/1</w:t>
        </w:r>
        <w:r>
          <w:rPr>
            <w:rStyle w:val="Hyperlink"/>
            <w:lang w:eastAsia="zh-CN"/>
          </w:rPr>
          <w:t>20</w:t>
        </w:r>
      </w:hyperlink>
      <w:r>
        <w:rPr>
          <w:rFonts w:hint="eastAsia"/>
          <w:lang w:eastAsia="zh-CN"/>
        </w:rPr>
        <w:t>号</w:t>
      </w:r>
      <w:r>
        <w:rPr>
          <w:lang w:eastAsia="zh-CN"/>
        </w:rPr>
        <w:t>文件</w:t>
      </w:r>
      <w:r w:rsidRPr="00C44E8B">
        <w:rPr>
          <w:lang w:eastAsia="zh-CN"/>
        </w:rPr>
        <w:t>。</w:t>
      </w:r>
    </w:p>
    <w:p w14:paraId="4827ADAE" w14:textId="77777777" w:rsidR="00576E60" w:rsidRPr="00ED742F" w:rsidRDefault="00576E60" w:rsidP="00576E60">
      <w:pPr>
        <w:jc w:val="center"/>
        <w:rPr>
          <w:lang w:eastAsia="zh-CN"/>
        </w:rPr>
      </w:pPr>
      <w:r>
        <w:rPr>
          <w:lang w:eastAsia="zh-CN"/>
        </w:rPr>
        <w:t>______________</w:t>
      </w:r>
    </w:p>
    <w:p w14:paraId="4827ADAF" w14:textId="77777777" w:rsidR="00576E60" w:rsidRDefault="00576E60">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218176B9" w14:textId="098BFA5A" w:rsidR="00A80F72" w:rsidRPr="00A80F72" w:rsidRDefault="00A80F72" w:rsidP="00A80F72">
      <w:pPr>
        <w:pStyle w:val="DecNo"/>
        <w:outlineLvl w:val="0"/>
      </w:pPr>
      <w:bookmarkStart w:id="234" w:name="_Toc86395492"/>
      <w:bookmarkStart w:id="235" w:name="_Toc185237645"/>
      <w:bookmarkStart w:id="236" w:name="_Toc311469562"/>
      <w:bookmarkStart w:id="237" w:name="_Toc424115673"/>
      <w:bookmarkStart w:id="238" w:name="_Toc424116203"/>
      <w:bookmarkStart w:id="239" w:name="_Toc424116945"/>
      <w:bookmarkStart w:id="240" w:name="_Toc531706882"/>
      <w:bookmarkStart w:id="241" w:name="_Toc531707147"/>
      <w:bookmarkStart w:id="242" w:name="_Toc531768375"/>
      <w:r>
        <w:rPr>
          <w:rFonts w:hint="eastAsia"/>
        </w:rPr>
        <w:lastRenderedPageBreak/>
        <w:t>第</w:t>
      </w:r>
      <w:r>
        <w:t>62</w:t>
      </w:r>
      <w:r>
        <w:rPr>
          <w:rFonts w:hint="eastAsia"/>
        </w:rPr>
        <w:t>1</w:t>
      </w:r>
      <w:r>
        <w:rPr>
          <w:rFonts w:hint="eastAsia"/>
        </w:rPr>
        <w:t>号</w:t>
      </w:r>
      <w:r w:rsidRPr="00F21ABF">
        <w:rPr>
          <w:rFonts w:hint="eastAsia"/>
        </w:rPr>
        <w:t>决</w:t>
      </w:r>
      <w:r>
        <w:rPr>
          <w:rFonts w:hint="eastAsia"/>
        </w:rPr>
        <w:t>定（</w:t>
      </w:r>
      <w:r>
        <w:rPr>
          <w:rFonts w:hint="eastAsia"/>
        </w:rPr>
        <w:t>C</w:t>
      </w:r>
      <w:r>
        <w:t>20</w:t>
      </w:r>
      <w:r>
        <w:rPr>
          <w:rFonts w:hint="eastAsia"/>
        </w:rPr>
        <w:t>）</w:t>
      </w:r>
      <w:bookmarkEnd w:id="234"/>
    </w:p>
    <w:p w14:paraId="7EB451B9" w14:textId="77777777" w:rsidR="00A80F72" w:rsidRPr="00356F64" w:rsidRDefault="00A80F72" w:rsidP="00A80F72">
      <w:pPr>
        <w:pStyle w:val="Dectitle"/>
        <w:tabs>
          <w:tab w:val="left" w:pos="794"/>
          <w:tab w:val="left" w:pos="1191"/>
          <w:tab w:val="left" w:pos="1588"/>
        </w:tabs>
        <w:rPr>
          <w:rFonts w:eastAsia="Times New Roman" w:cs="Calibri"/>
          <w:sz w:val="22"/>
        </w:rPr>
      </w:pPr>
      <w:bookmarkStart w:id="243" w:name="_Toc86395493"/>
      <w:r w:rsidRPr="00356F64">
        <w:rPr>
          <w:rFonts w:hint="eastAsia"/>
        </w:rPr>
        <w:t>新外部审计员</w:t>
      </w:r>
      <w:bookmarkStart w:id="244" w:name="_Hlk42244888"/>
      <w:r w:rsidRPr="00356F64">
        <w:rPr>
          <w:rFonts w:hint="eastAsia"/>
        </w:rPr>
        <w:t>的任命</w:t>
      </w:r>
      <w:bookmarkEnd w:id="243"/>
    </w:p>
    <w:p w14:paraId="66B02116" w14:textId="77777777" w:rsidR="00A80F72" w:rsidRPr="00356F64" w:rsidRDefault="00A80F72" w:rsidP="00A80F72">
      <w:pPr>
        <w:overflowPunct/>
        <w:autoSpaceDE/>
        <w:autoSpaceDN/>
        <w:adjustRightInd/>
        <w:spacing w:before="320"/>
        <w:textAlignment w:val="auto"/>
        <w:rPr>
          <w:rFonts w:eastAsia="Times New Roman" w:cs="Calibri"/>
          <w:sz w:val="22"/>
          <w:lang w:eastAsia="zh-CN"/>
        </w:rPr>
      </w:pPr>
      <w:bookmarkStart w:id="245" w:name="_Hlk57715902"/>
      <w:r w:rsidRPr="00356F64">
        <w:rPr>
          <w:rFonts w:hint="eastAsia"/>
          <w:lang w:eastAsia="zh-CN"/>
        </w:rPr>
        <w:t>国际电联理事会，</w:t>
      </w:r>
      <w:bookmarkEnd w:id="245"/>
    </w:p>
    <w:p w14:paraId="0DF24500" w14:textId="77777777" w:rsidR="00A80F72" w:rsidRPr="00356F64" w:rsidRDefault="00A80F72" w:rsidP="00A80F72">
      <w:pPr>
        <w:pStyle w:val="call0"/>
        <w:rPr>
          <w:rFonts w:ascii="STKaiti" w:hAnsi="STKaiti"/>
          <w:lang w:eastAsia="zh-CN"/>
        </w:rPr>
      </w:pPr>
      <w:r w:rsidRPr="00356F64">
        <w:rPr>
          <w:rFonts w:ascii="STKaiti" w:hAnsi="STKaiti" w:hint="eastAsia"/>
          <w:lang w:eastAsia="zh-CN"/>
        </w:rPr>
        <w:t>考虑到</w:t>
      </w:r>
    </w:p>
    <w:p w14:paraId="224DDC15" w14:textId="77777777" w:rsidR="00A80F72" w:rsidRPr="00356F64" w:rsidRDefault="00A80F72" w:rsidP="00A80F72">
      <w:pPr>
        <w:tabs>
          <w:tab w:val="clear" w:pos="794"/>
          <w:tab w:val="clear" w:pos="1191"/>
          <w:tab w:val="clear" w:pos="1588"/>
          <w:tab w:val="clear" w:pos="1985"/>
          <w:tab w:val="left" w:pos="567"/>
        </w:tabs>
        <w:rPr>
          <w:rFonts w:eastAsia="MS Mincho" w:cs="Calibri"/>
          <w:sz w:val="22"/>
          <w:szCs w:val="22"/>
          <w:lang w:val="en-US" w:eastAsia="zh-CN"/>
        </w:rPr>
      </w:pPr>
      <w:r w:rsidRPr="00356F64">
        <w:rPr>
          <w:rFonts w:hint="eastAsia"/>
          <w:i/>
          <w:iCs/>
          <w:lang w:eastAsia="zh-CN"/>
        </w:rPr>
        <w:t>a)</w:t>
      </w:r>
      <w:r w:rsidRPr="00356F64">
        <w:rPr>
          <w:rFonts w:hint="eastAsia"/>
          <w:lang w:eastAsia="zh-CN"/>
        </w:rPr>
        <w:tab/>
      </w:r>
      <w:r w:rsidRPr="00356F64">
        <w:rPr>
          <w:rFonts w:hint="eastAsia"/>
          <w:lang w:eastAsia="zh-CN"/>
        </w:rPr>
        <w:t>第</w:t>
      </w:r>
      <w:r w:rsidRPr="00356F64">
        <w:rPr>
          <w:rFonts w:hint="eastAsia"/>
          <w:lang w:eastAsia="zh-CN"/>
        </w:rPr>
        <w:t>94</w:t>
      </w:r>
      <w:r w:rsidRPr="00356F64">
        <w:rPr>
          <w:rFonts w:hint="eastAsia"/>
          <w:lang w:eastAsia="zh-CN"/>
        </w:rPr>
        <w:t>号决议（</w:t>
      </w:r>
      <w:r w:rsidRPr="00356F64">
        <w:rPr>
          <w:rFonts w:hint="eastAsia"/>
          <w:lang w:eastAsia="zh-CN"/>
        </w:rPr>
        <w:t>201</w:t>
      </w:r>
      <w:r w:rsidRPr="00356F64">
        <w:rPr>
          <w:lang w:eastAsia="zh-CN"/>
        </w:rPr>
        <w:t>8</w:t>
      </w:r>
      <w:r w:rsidRPr="00356F64">
        <w:rPr>
          <w:rFonts w:hint="eastAsia"/>
          <w:lang w:eastAsia="zh-CN"/>
        </w:rPr>
        <w:t>年，迪拜，修订版）；</w:t>
      </w:r>
    </w:p>
    <w:p w14:paraId="2000C542" w14:textId="77777777" w:rsidR="00A80F72" w:rsidRPr="00356F64" w:rsidRDefault="00A80F72" w:rsidP="00A80F72">
      <w:pPr>
        <w:tabs>
          <w:tab w:val="clear" w:pos="794"/>
          <w:tab w:val="clear" w:pos="1191"/>
          <w:tab w:val="clear" w:pos="1588"/>
          <w:tab w:val="clear" w:pos="1985"/>
          <w:tab w:val="left" w:pos="567"/>
        </w:tabs>
        <w:rPr>
          <w:rFonts w:eastAsia="MS Mincho" w:cs="Calibri"/>
          <w:sz w:val="22"/>
          <w:szCs w:val="22"/>
          <w:lang w:val="en-US" w:eastAsia="zh-CN"/>
        </w:rPr>
      </w:pPr>
      <w:r w:rsidRPr="00356F64">
        <w:rPr>
          <w:rFonts w:eastAsia="MS Mincho" w:cs="Calibri"/>
          <w:i/>
          <w:iCs/>
          <w:sz w:val="22"/>
          <w:szCs w:val="22"/>
          <w:lang w:val="en-US" w:eastAsia="zh-CN"/>
        </w:rPr>
        <w:t>b)</w:t>
      </w:r>
      <w:r w:rsidRPr="00356F64">
        <w:rPr>
          <w:rFonts w:eastAsia="MS Mincho" w:cs="Calibri"/>
          <w:sz w:val="22"/>
          <w:szCs w:val="22"/>
          <w:lang w:val="en-US" w:eastAsia="zh-CN"/>
        </w:rPr>
        <w:tab/>
      </w:r>
      <w:hyperlink r:id="rId140" w:history="1">
        <w:r w:rsidRPr="00356F64">
          <w:rPr>
            <w:rFonts w:eastAsia="MS Mincho" w:cs="Calibri"/>
            <w:color w:val="0000FF"/>
            <w:sz w:val="22"/>
            <w:szCs w:val="22"/>
            <w:u w:val="single"/>
            <w:lang w:val="en-US" w:eastAsia="zh-CN"/>
          </w:rPr>
          <w:t>C20/49</w:t>
        </w:r>
      </w:hyperlink>
      <w:r w:rsidRPr="00356F64">
        <w:rPr>
          <w:rFonts w:hint="eastAsia"/>
          <w:lang w:eastAsia="zh-CN"/>
        </w:rPr>
        <w:t>号文件中评估委员会关于遴选国际电联外部审计员的报告，</w:t>
      </w:r>
    </w:p>
    <w:bookmarkEnd w:id="244"/>
    <w:p w14:paraId="589C2E38" w14:textId="77777777" w:rsidR="00A80F72" w:rsidRPr="00356F64" w:rsidRDefault="00A80F72" w:rsidP="00A80F72">
      <w:pPr>
        <w:pStyle w:val="call0"/>
        <w:rPr>
          <w:rFonts w:ascii="STKaiti" w:hAnsi="STKaiti"/>
          <w:lang w:eastAsia="zh-CN"/>
        </w:rPr>
      </w:pPr>
      <w:r w:rsidRPr="00356F64">
        <w:rPr>
          <w:rFonts w:ascii="STKaiti" w:hAnsi="STKaiti" w:hint="eastAsia"/>
          <w:lang w:eastAsia="zh-CN"/>
        </w:rPr>
        <w:t>顾及</w:t>
      </w:r>
    </w:p>
    <w:p w14:paraId="7AA611DA" w14:textId="77777777" w:rsidR="00A80F72" w:rsidRPr="00356F64" w:rsidRDefault="00A80F72" w:rsidP="00A80F72">
      <w:pPr>
        <w:ind w:firstLineChars="200" w:firstLine="480"/>
        <w:rPr>
          <w:lang w:eastAsia="zh-CN"/>
        </w:rPr>
      </w:pPr>
      <w:r w:rsidRPr="00356F64">
        <w:rPr>
          <w:rFonts w:hint="eastAsia"/>
          <w:lang w:eastAsia="zh-CN"/>
        </w:rPr>
        <w:t>国际电联《财务规则和财务细则》（</w:t>
      </w:r>
      <w:r w:rsidRPr="00356F64">
        <w:rPr>
          <w:rFonts w:hint="eastAsia"/>
          <w:lang w:eastAsia="zh-CN"/>
        </w:rPr>
        <w:t>201</w:t>
      </w:r>
      <w:r w:rsidRPr="00356F64">
        <w:rPr>
          <w:lang w:eastAsia="zh-CN"/>
        </w:rPr>
        <w:t>8</w:t>
      </w:r>
      <w:r w:rsidRPr="00356F64">
        <w:rPr>
          <w:rFonts w:hint="eastAsia"/>
          <w:lang w:eastAsia="zh-CN"/>
        </w:rPr>
        <w:t>年），</w:t>
      </w:r>
    </w:p>
    <w:p w14:paraId="5007CD88" w14:textId="77777777" w:rsidR="00A80F72" w:rsidRPr="00356F64" w:rsidRDefault="00A80F72" w:rsidP="00A80F72">
      <w:pPr>
        <w:pStyle w:val="call0"/>
        <w:rPr>
          <w:rFonts w:ascii="STKaiti" w:hAnsi="STKaiti"/>
          <w:lang w:eastAsia="zh-CN"/>
        </w:rPr>
      </w:pPr>
      <w:r w:rsidRPr="00356F64">
        <w:rPr>
          <w:rFonts w:ascii="STKaiti" w:hAnsi="STKaiti" w:hint="eastAsia"/>
          <w:lang w:eastAsia="zh-CN"/>
        </w:rPr>
        <w:t>做出决定</w:t>
      </w:r>
    </w:p>
    <w:p w14:paraId="5664C5A1" w14:textId="77777777" w:rsidR="00A80F72" w:rsidRPr="00356F64" w:rsidRDefault="00A80F72" w:rsidP="00A80F72">
      <w:pPr>
        <w:ind w:firstLineChars="200" w:firstLine="480"/>
        <w:rPr>
          <w:lang w:eastAsia="zh-CN"/>
        </w:rPr>
      </w:pPr>
      <w:r w:rsidRPr="00356F64">
        <w:rPr>
          <w:rFonts w:hint="eastAsia"/>
          <w:lang w:eastAsia="zh-CN"/>
        </w:rPr>
        <w:t>任命英国国家审计署作为国际电联的外部审计员，以便审计国际电联</w:t>
      </w:r>
      <w:r w:rsidRPr="00356F64">
        <w:rPr>
          <w:lang w:eastAsia="zh-CN"/>
        </w:rPr>
        <w:t>2022</w:t>
      </w:r>
      <w:r w:rsidRPr="00356F64">
        <w:rPr>
          <w:rFonts w:hint="eastAsia"/>
          <w:lang w:eastAsia="zh-CN"/>
        </w:rPr>
        <w:t>、</w:t>
      </w:r>
      <w:r w:rsidRPr="00356F64">
        <w:rPr>
          <w:lang w:eastAsia="zh-CN"/>
        </w:rPr>
        <w:t>2023</w:t>
      </w:r>
      <w:r w:rsidRPr="00356F64">
        <w:rPr>
          <w:rFonts w:hint="eastAsia"/>
          <w:lang w:eastAsia="zh-CN"/>
        </w:rPr>
        <w:t>、</w:t>
      </w:r>
      <w:r w:rsidRPr="00356F64">
        <w:rPr>
          <w:lang w:eastAsia="zh-CN"/>
        </w:rPr>
        <w:t>2024</w:t>
      </w:r>
      <w:r w:rsidRPr="00356F64">
        <w:rPr>
          <w:rFonts w:hint="eastAsia"/>
          <w:lang w:eastAsia="zh-CN"/>
        </w:rPr>
        <w:t>和</w:t>
      </w:r>
      <w:r w:rsidRPr="00356F64">
        <w:rPr>
          <w:lang w:eastAsia="zh-CN"/>
        </w:rPr>
        <w:t>2025</w:t>
      </w:r>
      <w:r w:rsidRPr="00356F64">
        <w:rPr>
          <w:rFonts w:hint="eastAsia"/>
          <w:lang w:eastAsia="zh-CN"/>
        </w:rPr>
        <w:t>年财务报表，</w:t>
      </w:r>
    </w:p>
    <w:p w14:paraId="72FE888D" w14:textId="77777777" w:rsidR="00A80F72" w:rsidRPr="00356F64" w:rsidRDefault="00A80F72" w:rsidP="00A80F72">
      <w:pPr>
        <w:pStyle w:val="call0"/>
        <w:rPr>
          <w:rFonts w:ascii="STKaiti" w:hAnsi="STKaiti"/>
          <w:lang w:eastAsia="zh-CN"/>
        </w:rPr>
      </w:pPr>
      <w:r w:rsidRPr="00356F64">
        <w:rPr>
          <w:rFonts w:ascii="STKaiti" w:hAnsi="STKaiti" w:hint="eastAsia"/>
          <w:lang w:eastAsia="zh-CN"/>
        </w:rPr>
        <w:t>责成秘书长</w:t>
      </w:r>
    </w:p>
    <w:p w14:paraId="29C98BF9" w14:textId="77777777" w:rsidR="00A80F72" w:rsidRDefault="00A80F72" w:rsidP="00A80F72">
      <w:pPr>
        <w:ind w:firstLineChars="200" w:firstLine="480"/>
        <w:rPr>
          <w:lang w:eastAsia="zh-CN"/>
        </w:rPr>
      </w:pPr>
      <w:r w:rsidRPr="003E19F1">
        <w:rPr>
          <w:rFonts w:hint="eastAsia"/>
          <w:lang w:eastAsia="zh-CN"/>
        </w:rPr>
        <w:t>请</w:t>
      </w:r>
      <w:bookmarkStart w:id="246" w:name="_Hlk58936580"/>
      <w:r w:rsidRPr="003E19F1">
        <w:rPr>
          <w:rFonts w:hint="eastAsia"/>
          <w:lang w:eastAsia="zh-CN"/>
        </w:rPr>
        <w:t>英国国家审计署审计</w:t>
      </w:r>
      <w:r w:rsidRPr="003E19F1">
        <w:rPr>
          <w:lang w:eastAsia="zh-CN"/>
        </w:rPr>
        <w:t>主</w:t>
      </w:r>
      <w:r w:rsidRPr="003E19F1">
        <w:rPr>
          <w:rFonts w:hint="eastAsia"/>
          <w:lang w:eastAsia="zh-CN"/>
        </w:rPr>
        <w:t>任兼</w:t>
      </w:r>
      <w:r w:rsidRPr="003E19F1">
        <w:rPr>
          <w:lang w:eastAsia="zh-CN"/>
        </w:rPr>
        <w:t>审计长</w:t>
      </w:r>
      <w:bookmarkEnd w:id="246"/>
      <w:r w:rsidRPr="003E19F1">
        <w:rPr>
          <w:rFonts w:hint="eastAsia"/>
          <w:lang w:eastAsia="zh-CN"/>
        </w:rPr>
        <w:t>注意本决定，并酌情与其签署协议。</w:t>
      </w:r>
    </w:p>
    <w:p w14:paraId="340BA7F3" w14:textId="64BD7B50" w:rsidR="00A80F72" w:rsidRPr="003E19F1" w:rsidRDefault="00EC2879" w:rsidP="00EC2879">
      <w:pPr>
        <w:pStyle w:val="Endtext"/>
        <w:rPr>
          <w:lang w:eastAsia="zh-CN"/>
        </w:rPr>
      </w:pPr>
      <w:r w:rsidRPr="00DA7A9F">
        <w:rPr>
          <w:rFonts w:ascii="STKaiti" w:hAnsi="STKaiti" w:hint="eastAsia"/>
          <w:bCs/>
          <w:lang w:eastAsia="zh-CN"/>
        </w:rPr>
        <w:t>参阅</w:t>
      </w:r>
      <w:r w:rsidRPr="00A6429D">
        <w:rPr>
          <w:rFonts w:hint="eastAsia"/>
          <w:bCs/>
          <w:lang w:val="en-GB" w:eastAsia="zh-CN"/>
        </w:rPr>
        <w:t>：</w:t>
      </w:r>
      <w:r>
        <w:rPr>
          <w:bCs/>
          <w:lang w:val="en-GB" w:eastAsia="zh-CN"/>
        </w:rPr>
        <w:tab/>
      </w:r>
      <w:hyperlink r:id="rId141" w:history="1">
        <w:r w:rsidRPr="00EC2879">
          <w:rPr>
            <w:rStyle w:val="Hyperlink"/>
            <w:lang w:val="en-GB" w:eastAsia="zh-CN"/>
          </w:rPr>
          <w:t>C20/83</w:t>
        </w:r>
      </w:hyperlink>
      <w:r>
        <w:rPr>
          <w:rFonts w:hint="eastAsia"/>
          <w:lang w:val="en-GB" w:eastAsia="zh-CN"/>
        </w:rPr>
        <w:t>、</w:t>
      </w:r>
      <w:hyperlink r:id="rId142" w:history="1">
        <w:r w:rsidRPr="00EC2879">
          <w:rPr>
            <w:rStyle w:val="Hyperlink"/>
            <w:lang w:val="en-GB" w:eastAsia="zh-CN"/>
          </w:rPr>
          <w:t>VC-2/13</w:t>
        </w:r>
      </w:hyperlink>
      <w:r>
        <w:rPr>
          <w:rFonts w:hint="eastAsia"/>
          <w:lang w:val="en-GB" w:eastAsia="zh-CN"/>
        </w:rPr>
        <w:t>和</w:t>
      </w:r>
      <w:hyperlink r:id="rId143" w:history="1">
        <w:r w:rsidRPr="00EC2879">
          <w:rPr>
            <w:rStyle w:val="Hyperlink"/>
            <w:lang w:val="en-GB" w:eastAsia="zh-CN"/>
          </w:rPr>
          <w:t>DM-20/1022</w:t>
        </w:r>
      </w:hyperlink>
      <w:r>
        <w:rPr>
          <w:rFonts w:hint="eastAsia"/>
          <w:lang w:eastAsia="zh-CN"/>
        </w:rPr>
        <w:t>号</w:t>
      </w:r>
      <w:r>
        <w:rPr>
          <w:lang w:eastAsia="zh-CN"/>
        </w:rPr>
        <w:t>文件</w:t>
      </w:r>
      <w:r w:rsidRPr="00C44E8B">
        <w:rPr>
          <w:lang w:eastAsia="zh-CN"/>
        </w:rPr>
        <w:t>。</w:t>
      </w:r>
    </w:p>
    <w:p w14:paraId="3E36DC9C" w14:textId="0FCB63D7" w:rsidR="00A80F72" w:rsidRDefault="00A80F72" w:rsidP="00A80F72">
      <w:pPr>
        <w:jc w:val="center"/>
        <w:rPr>
          <w:lang w:eastAsia="zh-CN"/>
        </w:rPr>
      </w:pPr>
      <w:r>
        <w:rPr>
          <w:lang w:eastAsia="zh-CN"/>
        </w:rPr>
        <w:t>______________</w:t>
      </w:r>
    </w:p>
    <w:p w14:paraId="4827AE77" w14:textId="27464757" w:rsidR="00113BE9" w:rsidRDefault="00113BE9">
      <w:pPr>
        <w:tabs>
          <w:tab w:val="clear" w:pos="794"/>
          <w:tab w:val="clear" w:pos="1191"/>
          <w:tab w:val="clear" w:pos="1588"/>
          <w:tab w:val="clear" w:pos="1985"/>
        </w:tabs>
        <w:overflowPunct/>
        <w:autoSpaceDE/>
        <w:autoSpaceDN/>
        <w:adjustRightInd/>
        <w:spacing w:before="0"/>
        <w:jc w:val="left"/>
        <w:textAlignment w:val="auto"/>
        <w:rPr>
          <w:b/>
          <w:bCs/>
          <w:lang w:eastAsia="zh-CN"/>
        </w:rPr>
      </w:pPr>
    </w:p>
    <w:p w14:paraId="2E8F5CBF" w14:textId="0F0E1AB3" w:rsidR="00113BE9" w:rsidRPr="00113BE9" w:rsidRDefault="00113BE9" w:rsidP="00113BE9">
      <w:pPr>
        <w:pStyle w:val="DecNo"/>
        <w:outlineLvl w:val="0"/>
        <w:rPr>
          <w:szCs w:val="28"/>
        </w:rPr>
      </w:pPr>
      <w:bookmarkStart w:id="247" w:name="_Toc86395494"/>
      <w:r>
        <w:rPr>
          <w:rFonts w:hint="eastAsia"/>
          <w:szCs w:val="28"/>
        </w:rPr>
        <w:t>第</w:t>
      </w:r>
      <w:r>
        <w:t>622</w:t>
      </w:r>
      <w:r>
        <w:rPr>
          <w:rFonts w:hint="eastAsia"/>
          <w:szCs w:val="28"/>
        </w:rPr>
        <w:t>号</w:t>
      </w:r>
      <w:r w:rsidRPr="00F21ABF">
        <w:rPr>
          <w:rFonts w:hint="eastAsia"/>
          <w:szCs w:val="28"/>
        </w:rPr>
        <w:t>决</w:t>
      </w:r>
      <w:r>
        <w:rPr>
          <w:rFonts w:hint="eastAsia"/>
          <w:szCs w:val="28"/>
        </w:rPr>
        <w:t>定（</w:t>
      </w:r>
      <w:r>
        <w:rPr>
          <w:rFonts w:hint="eastAsia"/>
          <w:szCs w:val="28"/>
        </w:rPr>
        <w:t>C</w:t>
      </w:r>
      <w:r>
        <w:rPr>
          <w:szCs w:val="28"/>
        </w:rPr>
        <w:t>20</w:t>
      </w:r>
      <w:r>
        <w:rPr>
          <w:rFonts w:hint="eastAsia"/>
          <w:szCs w:val="28"/>
        </w:rPr>
        <w:t>）</w:t>
      </w:r>
      <w:bookmarkEnd w:id="247"/>
    </w:p>
    <w:p w14:paraId="4CE5DDA8" w14:textId="77777777" w:rsidR="00113BE9" w:rsidRPr="00C02F66" w:rsidRDefault="00113BE9" w:rsidP="00113BE9">
      <w:pPr>
        <w:pStyle w:val="Dectitle"/>
        <w:tabs>
          <w:tab w:val="left" w:pos="794"/>
          <w:tab w:val="left" w:pos="1191"/>
          <w:tab w:val="left" w:pos="1588"/>
        </w:tabs>
        <w:rPr>
          <w:rFonts w:eastAsia="Times New Roman"/>
          <w:b w:val="0"/>
          <w:szCs w:val="28"/>
        </w:rPr>
      </w:pPr>
      <w:bookmarkStart w:id="248" w:name="_Toc86395495"/>
      <w:r w:rsidRPr="00C02F66">
        <w:rPr>
          <w:rFonts w:hint="eastAsia"/>
          <w:szCs w:val="28"/>
        </w:rPr>
        <w:t>欠款利息和不可回收债务的注销</w:t>
      </w:r>
      <w:bookmarkEnd w:id="248"/>
    </w:p>
    <w:p w14:paraId="297560CE" w14:textId="77777777" w:rsidR="00113BE9" w:rsidRPr="00C02F66" w:rsidRDefault="00113BE9" w:rsidP="006645D9">
      <w:pPr>
        <w:overflowPunct/>
        <w:autoSpaceDE/>
        <w:autoSpaceDN/>
        <w:adjustRightInd/>
        <w:spacing w:before="320" w:line="360" w:lineRule="auto"/>
        <w:textAlignment w:val="auto"/>
        <w:rPr>
          <w:rFonts w:eastAsia="Times New Roman"/>
          <w:sz w:val="22"/>
          <w:lang w:eastAsia="zh-CN"/>
        </w:rPr>
      </w:pPr>
      <w:bookmarkStart w:id="249" w:name="_Hlk57716073"/>
      <w:r w:rsidRPr="00C02F66">
        <w:rPr>
          <w:rFonts w:hint="eastAsia"/>
          <w:lang w:eastAsia="zh-CN"/>
        </w:rPr>
        <w:t>国际电联理事会，</w:t>
      </w:r>
      <w:bookmarkEnd w:id="249"/>
    </w:p>
    <w:p w14:paraId="170F9275" w14:textId="77777777" w:rsidR="00113BE9" w:rsidRPr="00C02F66" w:rsidRDefault="00113BE9" w:rsidP="006645D9">
      <w:pPr>
        <w:pStyle w:val="call0"/>
        <w:spacing w:line="360" w:lineRule="auto"/>
        <w:rPr>
          <w:rFonts w:ascii="STKaiti" w:hAnsi="STKaiti"/>
          <w:lang w:eastAsia="zh-CN"/>
        </w:rPr>
      </w:pPr>
      <w:r w:rsidRPr="00C02F66">
        <w:rPr>
          <w:rFonts w:ascii="STKaiti" w:hAnsi="STKaiti" w:hint="eastAsia"/>
          <w:lang w:eastAsia="zh-CN"/>
        </w:rPr>
        <w:t>经审议</w:t>
      </w:r>
    </w:p>
    <w:p w14:paraId="4B726141" w14:textId="77777777" w:rsidR="00113BE9" w:rsidRPr="00C02F66" w:rsidRDefault="00113BE9" w:rsidP="006645D9">
      <w:pPr>
        <w:spacing w:line="360" w:lineRule="auto"/>
        <w:ind w:firstLineChars="200" w:firstLine="480"/>
        <w:rPr>
          <w:lang w:eastAsia="zh-CN"/>
        </w:rPr>
      </w:pPr>
      <w:r w:rsidRPr="00C02F66">
        <w:rPr>
          <w:rFonts w:hint="eastAsia"/>
          <w:lang w:eastAsia="zh-CN"/>
        </w:rPr>
        <w:t>秘书长关于欠款和欠款专账的报告</w:t>
      </w:r>
      <w:r w:rsidRPr="00C02F66">
        <w:rPr>
          <w:rFonts w:hint="eastAsia"/>
          <w:lang w:val="en-US" w:eastAsia="zh-CN"/>
        </w:rPr>
        <w:t>（</w:t>
      </w:r>
      <w:hyperlink r:id="rId144" w:history="1">
        <w:r w:rsidRPr="00C02F66">
          <w:rPr>
            <w:rFonts w:eastAsia="Times New Roman"/>
            <w:color w:val="0000FF"/>
            <w:u w:val="single"/>
            <w:lang w:eastAsia="zh-CN"/>
          </w:rPr>
          <w:t>C20/11(Rev.1)</w:t>
        </w:r>
      </w:hyperlink>
      <w:r w:rsidRPr="00C02F66">
        <w:rPr>
          <w:rFonts w:ascii="SimSun" w:hAnsi="SimSun" w:cs="SimSun" w:hint="eastAsia"/>
          <w:color w:val="0000FF"/>
          <w:u w:val="single"/>
          <w:lang w:val="fr-FR" w:eastAsia="zh-CN"/>
        </w:rPr>
        <w:t>号文件</w:t>
      </w:r>
      <w:r w:rsidRPr="00C02F66">
        <w:rPr>
          <w:rFonts w:hint="eastAsia"/>
          <w:lang w:val="en-US" w:eastAsia="zh-CN"/>
        </w:rPr>
        <w:t>）</w:t>
      </w:r>
      <w:r w:rsidRPr="00C02F66">
        <w:rPr>
          <w:rFonts w:hint="eastAsia"/>
          <w:lang w:eastAsia="zh-CN"/>
        </w:rPr>
        <w:t>，</w:t>
      </w:r>
    </w:p>
    <w:p w14:paraId="7E09D0C7" w14:textId="77777777" w:rsidR="00113BE9" w:rsidRPr="00C02F66" w:rsidRDefault="00113BE9" w:rsidP="006645D9">
      <w:pPr>
        <w:pStyle w:val="call0"/>
        <w:spacing w:line="360" w:lineRule="auto"/>
        <w:rPr>
          <w:rFonts w:ascii="STKaiti" w:hAnsi="STKaiti"/>
          <w:lang w:val="en-US" w:eastAsia="zh-CN"/>
        </w:rPr>
      </w:pPr>
      <w:r w:rsidRPr="00C02F66">
        <w:rPr>
          <w:rFonts w:ascii="STKaiti" w:hAnsi="STKaiti" w:hint="eastAsia"/>
          <w:lang w:eastAsia="zh-CN"/>
        </w:rPr>
        <w:t>做出决定</w:t>
      </w:r>
    </w:p>
    <w:p w14:paraId="74B1CE34" w14:textId="6D716B86" w:rsidR="006645D9" w:rsidRDefault="00113BE9" w:rsidP="006645D9">
      <w:pPr>
        <w:spacing w:line="360" w:lineRule="auto"/>
        <w:ind w:firstLineChars="200" w:firstLine="480"/>
        <w:rPr>
          <w:lang w:val="en-US" w:eastAsia="zh-CN"/>
        </w:rPr>
      </w:pPr>
      <w:r w:rsidRPr="00C02F66">
        <w:rPr>
          <w:rFonts w:hint="eastAsia"/>
          <w:lang w:eastAsia="zh-CN"/>
        </w:rPr>
        <w:t>批准从借方账目储备金提取相应款项，注销总计为</w:t>
      </w:r>
      <w:r w:rsidRPr="00C02F66">
        <w:rPr>
          <w:b/>
          <w:bCs/>
          <w:lang w:val="en-US" w:eastAsia="zh-CN"/>
        </w:rPr>
        <w:t>2 720 252.63</w:t>
      </w:r>
      <w:r w:rsidRPr="00C02F66">
        <w:rPr>
          <w:rFonts w:hint="eastAsia"/>
          <w:b/>
          <w:bCs/>
          <w:lang w:eastAsia="zh-CN"/>
        </w:rPr>
        <w:t>瑞郎</w:t>
      </w:r>
      <w:r w:rsidRPr="00C02F66">
        <w:rPr>
          <w:rFonts w:hint="eastAsia"/>
          <w:lang w:eastAsia="zh-CN"/>
        </w:rPr>
        <w:t>的欠款利息和不可回收债务</w:t>
      </w:r>
      <w:r w:rsidRPr="00C02F66">
        <w:rPr>
          <w:rFonts w:hint="eastAsia"/>
          <w:lang w:val="en-US" w:eastAsia="zh-CN"/>
        </w:rPr>
        <w:t>。请参阅下表中的详细信息。</w:t>
      </w:r>
    </w:p>
    <w:p w14:paraId="48ECAF3D" w14:textId="4E2B9FE8" w:rsidR="00411719" w:rsidRDefault="00411719">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4020"/>
        <w:gridCol w:w="960"/>
        <w:gridCol w:w="1080"/>
        <w:gridCol w:w="1120"/>
        <w:gridCol w:w="1180"/>
      </w:tblGrid>
      <w:tr w:rsidR="006645D9" w:rsidRPr="00F2736F" w14:paraId="5B869FA3" w14:textId="77777777" w:rsidTr="00442968">
        <w:trPr>
          <w:trHeight w:val="315"/>
          <w:tblHeader/>
        </w:trPr>
        <w:tc>
          <w:tcPr>
            <w:tcW w:w="1200" w:type="dxa"/>
            <w:shd w:val="clear" w:color="000000" w:fill="C0C0C0"/>
            <w:noWrap/>
            <w:vAlign w:val="center"/>
            <w:hideMark/>
          </w:tcPr>
          <w:p w14:paraId="3B0B8875" w14:textId="35C64974" w:rsidR="006645D9" w:rsidRPr="00F2736F" w:rsidRDefault="006645D9" w:rsidP="006645D9">
            <w:pPr>
              <w:pStyle w:val="Tablehead"/>
              <w:rPr>
                <w:sz w:val="18"/>
                <w:szCs w:val="18"/>
              </w:rPr>
            </w:pPr>
            <w:r w:rsidRPr="006645D9">
              <w:rPr>
                <w:rFonts w:ascii="SimSun" w:hAnsi="SimSun" w:cs="Microsoft YaHei" w:hint="eastAsia"/>
                <w:sz w:val="20"/>
              </w:rPr>
              <w:lastRenderedPageBreak/>
              <w:t>国家</w:t>
            </w:r>
          </w:p>
        </w:tc>
        <w:tc>
          <w:tcPr>
            <w:tcW w:w="4020" w:type="dxa"/>
            <w:shd w:val="clear" w:color="000000" w:fill="C0C0C0"/>
            <w:noWrap/>
            <w:vAlign w:val="center"/>
            <w:hideMark/>
          </w:tcPr>
          <w:p w14:paraId="447ECD6A" w14:textId="03C0E32A" w:rsidR="006645D9" w:rsidRPr="00F2736F" w:rsidRDefault="006645D9" w:rsidP="006645D9">
            <w:pPr>
              <w:pStyle w:val="Tablehead"/>
              <w:rPr>
                <w:sz w:val="18"/>
                <w:szCs w:val="18"/>
              </w:rPr>
            </w:pPr>
            <w:r w:rsidRPr="006645D9">
              <w:rPr>
                <w:rFonts w:ascii="SimSun" w:hAnsi="SimSun" w:cs="Microsoft YaHei" w:hint="eastAsia"/>
                <w:sz w:val="20"/>
              </w:rPr>
              <w:t>公司名称</w:t>
            </w:r>
          </w:p>
        </w:tc>
        <w:tc>
          <w:tcPr>
            <w:tcW w:w="960" w:type="dxa"/>
            <w:shd w:val="clear" w:color="000000" w:fill="C0C0C0"/>
            <w:noWrap/>
            <w:vAlign w:val="center"/>
            <w:hideMark/>
          </w:tcPr>
          <w:p w14:paraId="4F9B3E56" w14:textId="78F4E8AA" w:rsidR="006645D9" w:rsidRPr="00F2736F" w:rsidRDefault="006645D9" w:rsidP="006645D9">
            <w:pPr>
              <w:pStyle w:val="Tablehead"/>
              <w:rPr>
                <w:sz w:val="18"/>
                <w:szCs w:val="18"/>
              </w:rPr>
            </w:pPr>
            <w:r w:rsidRPr="006645D9">
              <w:rPr>
                <w:rFonts w:ascii="SimSun" w:hAnsi="SimSun" w:cs="Microsoft YaHei" w:hint="eastAsia"/>
                <w:sz w:val="20"/>
              </w:rPr>
              <w:t>年度</w:t>
            </w:r>
          </w:p>
        </w:tc>
        <w:tc>
          <w:tcPr>
            <w:tcW w:w="1080" w:type="dxa"/>
            <w:shd w:val="clear" w:color="000000" w:fill="C0C0C0"/>
            <w:noWrap/>
            <w:vAlign w:val="center"/>
            <w:hideMark/>
          </w:tcPr>
          <w:p w14:paraId="11B3597D" w14:textId="0DF5E938" w:rsidR="006645D9" w:rsidRPr="00F2736F" w:rsidRDefault="006645D9" w:rsidP="006645D9">
            <w:pPr>
              <w:pStyle w:val="Tablehead"/>
              <w:rPr>
                <w:sz w:val="18"/>
                <w:szCs w:val="18"/>
              </w:rPr>
            </w:pPr>
            <w:r w:rsidRPr="006645D9">
              <w:rPr>
                <w:rFonts w:ascii="SimSun" w:hAnsi="SimSun" w:cs="Microsoft YaHei" w:hint="eastAsia"/>
                <w:sz w:val="20"/>
              </w:rPr>
              <w:t>本金</w:t>
            </w:r>
          </w:p>
        </w:tc>
        <w:tc>
          <w:tcPr>
            <w:tcW w:w="1120" w:type="dxa"/>
            <w:shd w:val="clear" w:color="000000" w:fill="C0C0C0"/>
            <w:noWrap/>
            <w:vAlign w:val="center"/>
            <w:hideMark/>
          </w:tcPr>
          <w:p w14:paraId="287CC7A2" w14:textId="6CA93DD9" w:rsidR="006645D9" w:rsidRPr="00F2736F" w:rsidRDefault="006645D9" w:rsidP="006645D9">
            <w:pPr>
              <w:pStyle w:val="Tablehead"/>
              <w:rPr>
                <w:sz w:val="18"/>
                <w:szCs w:val="18"/>
              </w:rPr>
            </w:pPr>
            <w:r w:rsidRPr="006645D9">
              <w:rPr>
                <w:rFonts w:ascii="SimSun" w:hAnsi="SimSun" w:cs="Microsoft YaHei" w:hint="eastAsia"/>
                <w:sz w:val="20"/>
              </w:rPr>
              <w:t>利息</w:t>
            </w:r>
          </w:p>
        </w:tc>
        <w:tc>
          <w:tcPr>
            <w:tcW w:w="1180" w:type="dxa"/>
            <w:shd w:val="clear" w:color="000000" w:fill="C0C0C0"/>
            <w:noWrap/>
            <w:vAlign w:val="center"/>
            <w:hideMark/>
          </w:tcPr>
          <w:p w14:paraId="560366AB" w14:textId="7F9BDF54" w:rsidR="006645D9" w:rsidRPr="00F2736F" w:rsidRDefault="006645D9" w:rsidP="006645D9">
            <w:pPr>
              <w:pStyle w:val="Tablehead"/>
              <w:rPr>
                <w:sz w:val="18"/>
                <w:szCs w:val="18"/>
              </w:rPr>
            </w:pPr>
            <w:r w:rsidRPr="006645D9">
              <w:rPr>
                <w:rFonts w:ascii="SimSun" w:hAnsi="SimSun" w:cs="Microsoft YaHei" w:hint="eastAsia"/>
                <w:sz w:val="20"/>
              </w:rPr>
              <w:t>合计</w:t>
            </w:r>
          </w:p>
        </w:tc>
      </w:tr>
      <w:tr w:rsidR="006645D9" w:rsidRPr="00FB13C1" w14:paraId="6847B249" w14:textId="77777777" w:rsidTr="00442968">
        <w:trPr>
          <w:trHeight w:val="283"/>
        </w:trPr>
        <w:tc>
          <w:tcPr>
            <w:tcW w:w="1200" w:type="dxa"/>
            <w:shd w:val="clear" w:color="000000" w:fill="FFFFFF"/>
            <w:vAlign w:val="center"/>
            <w:hideMark/>
          </w:tcPr>
          <w:p w14:paraId="56A7112C" w14:textId="2A77ACE3" w:rsidR="006645D9" w:rsidRPr="006645D9" w:rsidRDefault="006645D9" w:rsidP="006645D9">
            <w:pPr>
              <w:pStyle w:val="Tabletext"/>
              <w:jc w:val="left"/>
              <w:rPr>
                <w:sz w:val="20"/>
              </w:rPr>
            </w:pPr>
            <w:r w:rsidRPr="006645D9">
              <w:rPr>
                <w:rFonts w:cs="Calibri" w:hint="eastAsia"/>
                <w:color w:val="000000"/>
                <w:sz w:val="20"/>
                <w:lang w:val="en-US" w:eastAsia="zh-CN"/>
              </w:rPr>
              <w:t>比利时</w:t>
            </w:r>
          </w:p>
        </w:tc>
        <w:tc>
          <w:tcPr>
            <w:tcW w:w="4020" w:type="dxa"/>
            <w:shd w:val="clear" w:color="auto" w:fill="auto"/>
            <w:vAlign w:val="center"/>
            <w:hideMark/>
          </w:tcPr>
          <w:p w14:paraId="624AA078" w14:textId="71C0E526" w:rsidR="006645D9" w:rsidRPr="006645D9" w:rsidRDefault="006645D9" w:rsidP="006645D9">
            <w:pPr>
              <w:pStyle w:val="Tabletext"/>
              <w:jc w:val="left"/>
              <w:rPr>
                <w:sz w:val="20"/>
              </w:rPr>
            </w:pPr>
            <w:r w:rsidRPr="006645D9">
              <w:rPr>
                <w:rFonts w:cs="Calibri"/>
                <w:color w:val="000000"/>
                <w:sz w:val="20"/>
                <w:lang w:val="en-US" w:eastAsia="zh-CN"/>
              </w:rPr>
              <w:t>AnSem, Heverlee</w:t>
            </w:r>
          </w:p>
        </w:tc>
        <w:tc>
          <w:tcPr>
            <w:tcW w:w="960" w:type="dxa"/>
            <w:shd w:val="clear" w:color="000000" w:fill="FFFFFF"/>
            <w:noWrap/>
            <w:vAlign w:val="center"/>
            <w:hideMark/>
          </w:tcPr>
          <w:p w14:paraId="63FB137A" w14:textId="4AAEE226" w:rsidR="006645D9" w:rsidRPr="00F2736F" w:rsidRDefault="006645D9" w:rsidP="006645D9">
            <w:pPr>
              <w:pStyle w:val="Tabletext"/>
              <w:jc w:val="left"/>
              <w:rPr>
                <w:sz w:val="16"/>
                <w:szCs w:val="16"/>
              </w:rPr>
            </w:pPr>
            <w:r w:rsidRPr="00C02F66">
              <w:rPr>
                <w:rFonts w:cs="Calibri"/>
                <w:sz w:val="16"/>
                <w:szCs w:val="16"/>
                <w:lang w:eastAsia="en-GB"/>
              </w:rPr>
              <w:t>2010</w:t>
            </w:r>
          </w:p>
        </w:tc>
        <w:tc>
          <w:tcPr>
            <w:tcW w:w="1080" w:type="dxa"/>
            <w:shd w:val="clear" w:color="auto" w:fill="auto"/>
            <w:noWrap/>
            <w:vAlign w:val="center"/>
            <w:hideMark/>
          </w:tcPr>
          <w:p w14:paraId="32272123" w14:textId="0DEFF0AA" w:rsidR="006645D9" w:rsidRPr="00F2736F" w:rsidRDefault="006645D9" w:rsidP="006645D9">
            <w:pPr>
              <w:pStyle w:val="Tabletext"/>
              <w:jc w:val="left"/>
              <w:rPr>
                <w:sz w:val="16"/>
                <w:szCs w:val="16"/>
              </w:rPr>
            </w:pPr>
            <w:r w:rsidRPr="00C02F66">
              <w:rPr>
                <w:rFonts w:cs="Calibri"/>
                <w:sz w:val="16"/>
                <w:szCs w:val="16"/>
                <w:lang w:eastAsia="en-GB"/>
              </w:rPr>
              <w:t>0.00</w:t>
            </w:r>
          </w:p>
        </w:tc>
        <w:tc>
          <w:tcPr>
            <w:tcW w:w="1120" w:type="dxa"/>
            <w:shd w:val="clear" w:color="auto" w:fill="auto"/>
            <w:noWrap/>
            <w:vAlign w:val="center"/>
            <w:hideMark/>
          </w:tcPr>
          <w:p w14:paraId="222F122F" w14:textId="4621D065" w:rsidR="006645D9" w:rsidRPr="00F2736F" w:rsidRDefault="006645D9" w:rsidP="006645D9">
            <w:pPr>
              <w:pStyle w:val="Tabletext"/>
              <w:rPr>
                <w:sz w:val="16"/>
                <w:szCs w:val="16"/>
              </w:rPr>
            </w:pPr>
            <w:r w:rsidRPr="00C02F66">
              <w:rPr>
                <w:rFonts w:cs="Calibri"/>
                <w:sz w:val="16"/>
                <w:szCs w:val="16"/>
                <w:lang w:eastAsia="en-GB"/>
              </w:rPr>
              <w:t>7,980.05</w:t>
            </w:r>
          </w:p>
        </w:tc>
        <w:tc>
          <w:tcPr>
            <w:tcW w:w="1180" w:type="dxa"/>
            <w:shd w:val="clear" w:color="auto" w:fill="auto"/>
            <w:noWrap/>
            <w:vAlign w:val="center"/>
            <w:hideMark/>
          </w:tcPr>
          <w:p w14:paraId="02D96015" w14:textId="5203F842" w:rsidR="006645D9" w:rsidRPr="00F2736F" w:rsidRDefault="006645D9" w:rsidP="006645D9">
            <w:pPr>
              <w:pStyle w:val="Tabletext"/>
              <w:rPr>
                <w:sz w:val="16"/>
                <w:szCs w:val="16"/>
              </w:rPr>
            </w:pPr>
            <w:r w:rsidRPr="00C02F66">
              <w:rPr>
                <w:rFonts w:cs="Calibri"/>
                <w:sz w:val="16"/>
                <w:szCs w:val="16"/>
                <w:lang w:eastAsia="en-GB"/>
              </w:rPr>
              <w:t>7,980.05</w:t>
            </w:r>
          </w:p>
        </w:tc>
      </w:tr>
      <w:tr w:rsidR="006645D9" w:rsidRPr="00FB13C1" w14:paraId="77368CC3" w14:textId="77777777" w:rsidTr="00442968">
        <w:trPr>
          <w:trHeight w:val="283"/>
        </w:trPr>
        <w:tc>
          <w:tcPr>
            <w:tcW w:w="6180" w:type="dxa"/>
            <w:gridSpan w:val="3"/>
            <w:shd w:val="clear" w:color="auto" w:fill="auto"/>
            <w:noWrap/>
            <w:vAlign w:val="center"/>
            <w:hideMark/>
          </w:tcPr>
          <w:p w14:paraId="218F7E41" w14:textId="313BFBDC" w:rsidR="006645D9" w:rsidRPr="006645D9" w:rsidRDefault="006645D9" w:rsidP="006645D9">
            <w:pPr>
              <w:pStyle w:val="Tabletext"/>
              <w:jc w:val="center"/>
              <w:rPr>
                <w:b/>
                <w:bCs/>
                <w:i/>
                <w:iCs/>
                <w:sz w:val="20"/>
              </w:rPr>
            </w:pPr>
            <w:r w:rsidRPr="006645D9">
              <w:rPr>
                <w:rFonts w:eastAsia="STKaiti" w:cs="Calibri"/>
                <w:b/>
                <w:bCs/>
                <w:sz w:val="20"/>
                <w:lang w:eastAsia="zh-CN"/>
              </w:rPr>
              <w:t>3.2</w:t>
            </w:r>
            <w:r w:rsidRPr="006645D9">
              <w:rPr>
                <w:rFonts w:eastAsia="STKaiti" w:cs="Calibri" w:hint="eastAsia"/>
                <w:b/>
                <w:bCs/>
                <w:sz w:val="20"/>
                <w:lang w:eastAsia="zh-CN"/>
              </w:rPr>
              <w:t>小计</w:t>
            </w:r>
          </w:p>
        </w:tc>
        <w:tc>
          <w:tcPr>
            <w:tcW w:w="1080" w:type="dxa"/>
            <w:shd w:val="clear" w:color="auto" w:fill="auto"/>
            <w:noWrap/>
            <w:vAlign w:val="center"/>
            <w:hideMark/>
          </w:tcPr>
          <w:p w14:paraId="18EB4507" w14:textId="7E1C406C" w:rsidR="006645D9" w:rsidRPr="00F2736F" w:rsidRDefault="006645D9" w:rsidP="006645D9">
            <w:pPr>
              <w:pStyle w:val="Tabletext"/>
              <w:jc w:val="left"/>
              <w:rPr>
                <w:b/>
                <w:bCs/>
                <w:sz w:val="16"/>
                <w:szCs w:val="16"/>
              </w:rPr>
            </w:pPr>
            <w:r w:rsidRPr="00C02F66">
              <w:rPr>
                <w:rFonts w:cs="Calibri"/>
                <w:b/>
                <w:bCs/>
                <w:sz w:val="16"/>
                <w:szCs w:val="16"/>
                <w:lang w:eastAsia="en-GB"/>
              </w:rPr>
              <w:t>0.00</w:t>
            </w:r>
          </w:p>
        </w:tc>
        <w:tc>
          <w:tcPr>
            <w:tcW w:w="1120" w:type="dxa"/>
            <w:shd w:val="clear" w:color="auto" w:fill="auto"/>
            <w:noWrap/>
            <w:vAlign w:val="center"/>
            <w:hideMark/>
          </w:tcPr>
          <w:p w14:paraId="14C3E6FA" w14:textId="66E1074C" w:rsidR="006645D9" w:rsidRPr="00F2736F" w:rsidRDefault="006645D9" w:rsidP="006645D9">
            <w:pPr>
              <w:pStyle w:val="Tabletext"/>
              <w:rPr>
                <w:b/>
                <w:bCs/>
                <w:sz w:val="16"/>
                <w:szCs w:val="16"/>
              </w:rPr>
            </w:pPr>
            <w:r w:rsidRPr="00C02F66">
              <w:rPr>
                <w:rFonts w:cs="Calibri"/>
                <w:b/>
                <w:bCs/>
                <w:sz w:val="16"/>
                <w:szCs w:val="16"/>
                <w:lang w:eastAsia="en-GB"/>
              </w:rPr>
              <w:t>7,980.05</w:t>
            </w:r>
          </w:p>
        </w:tc>
        <w:tc>
          <w:tcPr>
            <w:tcW w:w="1180" w:type="dxa"/>
            <w:shd w:val="clear" w:color="auto" w:fill="auto"/>
            <w:noWrap/>
            <w:vAlign w:val="center"/>
            <w:hideMark/>
          </w:tcPr>
          <w:p w14:paraId="3A80B899" w14:textId="3196AA20" w:rsidR="006645D9" w:rsidRPr="00F2736F" w:rsidRDefault="006645D9" w:rsidP="006645D9">
            <w:pPr>
              <w:pStyle w:val="Tabletext"/>
              <w:rPr>
                <w:b/>
                <w:bCs/>
                <w:sz w:val="16"/>
                <w:szCs w:val="16"/>
              </w:rPr>
            </w:pPr>
            <w:r w:rsidRPr="00C02F66">
              <w:rPr>
                <w:rFonts w:cs="Calibri"/>
                <w:b/>
                <w:bCs/>
                <w:sz w:val="16"/>
                <w:szCs w:val="16"/>
                <w:lang w:eastAsia="en-GB"/>
              </w:rPr>
              <w:t>7,980.05</w:t>
            </w:r>
          </w:p>
        </w:tc>
      </w:tr>
      <w:tr w:rsidR="006645D9" w:rsidRPr="00FB13C1" w14:paraId="3948D492" w14:textId="77777777" w:rsidTr="00442968">
        <w:trPr>
          <w:trHeight w:val="283"/>
        </w:trPr>
        <w:tc>
          <w:tcPr>
            <w:tcW w:w="1200" w:type="dxa"/>
            <w:shd w:val="clear" w:color="auto" w:fill="auto"/>
            <w:noWrap/>
            <w:vAlign w:val="center"/>
            <w:hideMark/>
          </w:tcPr>
          <w:p w14:paraId="02C3041D" w14:textId="0FD5F1C7" w:rsidR="006645D9" w:rsidRPr="006645D9" w:rsidRDefault="006645D9" w:rsidP="006645D9">
            <w:pPr>
              <w:pStyle w:val="Tabletext"/>
              <w:jc w:val="left"/>
              <w:rPr>
                <w:sz w:val="20"/>
              </w:rPr>
            </w:pPr>
            <w:r w:rsidRPr="006645D9">
              <w:rPr>
                <w:rFonts w:cs="Calibri" w:hint="eastAsia"/>
                <w:color w:val="000000"/>
                <w:sz w:val="20"/>
                <w:lang w:val="en-US" w:eastAsia="zh-CN"/>
              </w:rPr>
              <w:t>阿尔及利亚</w:t>
            </w:r>
          </w:p>
        </w:tc>
        <w:tc>
          <w:tcPr>
            <w:tcW w:w="4020" w:type="dxa"/>
            <w:shd w:val="clear" w:color="auto" w:fill="auto"/>
            <w:noWrap/>
            <w:vAlign w:val="center"/>
            <w:hideMark/>
          </w:tcPr>
          <w:p w14:paraId="0E8175F9" w14:textId="799568FF" w:rsidR="006645D9" w:rsidRPr="006645D9" w:rsidRDefault="006645D9" w:rsidP="006645D9">
            <w:pPr>
              <w:pStyle w:val="Tabletext"/>
              <w:jc w:val="left"/>
              <w:rPr>
                <w:sz w:val="20"/>
              </w:rPr>
            </w:pPr>
            <w:r w:rsidRPr="006645D9">
              <w:rPr>
                <w:rFonts w:cs="Calibri"/>
                <w:color w:val="000000"/>
                <w:sz w:val="20"/>
                <w:lang w:val="en-US" w:eastAsia="zh-CN"/>
              </w:rPr>
              <w:t>Orascom Telecom Algérie</w:t>
            </w:r>
            <w:r w:rsidRPr="006645D9">
              <w:rPr>
                <w:rFonts w:cs="Calibri" w:hint="eastAsia"/>
                <w:color w:val="000000"/>
                <w:sz w:val="20"/>
                <w:lang w:val="en-US" w:eastAsia="zh-CN"/>
              </w:rPr>
              <w:t>，阿尔及尔</w:t>
            </w:r>
          </w:p>
        </w:tc>
        <w:tc>
          <w:tcPr>
            <w:tcW w:w="960" w:type="dxa"/>
            <w:shd w:val="clear" w:color="auto" w:fill="auto"/>
            <w:noWrap/>
            <w:vAlign w:val="center"/>
            <w:hideMark/>
          </w:tcPr>
          <w:p w14:paraId="17979619" w14:textId="6FA0B55B" w:rsidR="006645D9" w:rsidRPr="00F2736F" w:rsidRDefault="006645D9" w:rsidP="006645D9">
            <w:pPr>
              <w:pStyle w:val="Tabletext"/>
              <w:jc w:val="left"/>
              <w:rPr>
                <w:sz w:val="16"/>
                <w:szCs w:val="16"/>
              </w:rPr>
            </w:pPr>
            <w:r w:rsidRPr="00C02F66">
              <w:rPr>
                <w:rFonts w:cs="Calibri"/>
                <w:sz w:val="16"/>
                <w:szCs w:val="16"/>
                <w:lang w:eastAsia="en-GB"/>
              </w:rPr>
              <w:t>2010</w:t>
            </w:r>
          </w:p>
        </w:tc>
        <w:tc>
          <w:tcPr>
            <w:tcW w:w="1080" w:type="dxa"/>
            <w:shd w:val="clear" w:color="auto" w:fill="auto"/>
            <w:noWrap/>
            <w:vAlign w:val="center"/>
            <w:hideMark/>
          </w:tcPr>
          <w:p w14:paraId="2D65EFE3" w14:textId="39E29CD6" w:rsidR="006645D9" w:rsidRPr="00F2736F" w:rsidRDefault="006645D9" w:rsidP="006645D9">
            <w:pPr>
              <w:pStyle w:val="Tabletext"/>
              <w:jc w:val="left"/>
              <w:rPr>
                <w:sz w:val="16"/>
                <w:szCs w:val="16"/>
              </w:rPr>
            </w:pPr>
            <w:r w:rsidRPr="00C02F66">
              <w:rPr>
                <w:rFonts w:cs="Calibri"/>
                <w:color w:val="000000"/>
                <w:sz w:val="16"/>
                <w:szCs w:val="16"/>
                <w:lang w:eastAsia="en-GB"/>
              </w:rPr>
              <w:t>3.975,00</w:t>
            </w:r>
          </w:p>
        </w:tc>
        <w:tc>
          <w:tcPr>
            <w:tcW w:w="1120" w:type="dxa"/>
            <w:shd w:val="clear" w:color="auto" w:fill="auto"/>
            <w:noWrap/>
            <w:vAlign w:val="center"/>
            <w:hideMark/>
          </w:tcPr>
          <w:p w14:paraId="3AB090C9" w14:textId="45A08CA4" w:rsidR="006645D9" w:rsidRPr="00F2736F" w:rsidRDefault="006645D9" w:rsidP="006645D9">
            <w:pPr>
              <w:pStyle w:val="Tabletext"/>
              <w:rPr>
                <w:sz w:val="16"/>
                <w:szCs w:val="16"/>
              </w:rPr>
            </w:pPr>
            <w:r w:rsidRPr="00C02F66">
              <w:rPr>
                <w:rFonts w:cs="Calibri"/>
                <w:color w:val="000000"/>
                <w:sz w:val="16"/>
                <w:szCs w:val="16"/>
                <w:lang w:eastAsia="en-GB"/>
              </w:rPr>
              <w:t>2.992,55</w:t>
            </w:r>
          </w:p>
        </w:tc>
        <w:tc>
          <w:tcPr>
            <w:tcW w:w="1180" w:type="dxa"/>
            <w:shd w:val="clear" w:color="auto" w:fill="auto"/>
            <w:noWrap/>
            <w:vAlign w:val="center"/>
            <w:hideMark/>
          </w:tcPr>
          <w:p w14:paraId="22AF4723" w14:textId="2EA064C6" w:rsidR="006645D9" w:rsidRPr="00F2736F" w:rsidRDefault="006645D9" w:rsidP="006645D9">
            <w:pPr>
              <w:pStyle w:val="Tabletext"/>
              <w:rPr>
                <w:sz w:val="16"/>
                <w:szCs w:val="16"/>
              </w:rPr>
            </w:pPr>
            <w:r w:rsidRPr="00C02F66">
              <w:rPr>
                <w:rFonts w:cs="Calibri"/>
                <w:color w:val="000000"/>
                <w:sz w:val="16"/>
                <w:szCs w:val="16"/>
                <w:lang w:eastAsia="en-GB"/>
              </w:rPr>
              <w:t>6.967,55</w:t>
            </w:r>
          </w:p>
        </w:tc>
      </w:tr>
      <w:tr w:rsidR="006645D9" w:rsidRPr="00FB13C1" w14:paraId="6BE4916E" w14:textId="77777777" w:rsidTr="00442968">
        <w:trPr>
          <w:trHeight w:val="454"/>
        </w:trPr>
        <w:tc>
          <w:tcPr>
            <w:tcW w:w="1200" w:type="dxa"/>
            <w:shd w:val="clear" w:color="auto" w:fill="auto"/>
            <w:noWrap/>
            <w:vAlign w:val="center"/>
            <w:hideMark/>
          </w:tcPr>
          <w:p w14:paraId="3A0FAA20" w14:textId="69B01CA9" w:rsidR="006645D9" w:rsidRPr="006645D9" w:rsidRDefault="006645D9" w:rsidP="006645D9">
            <w:pPr>
              <w:pStyle w:val="Tabletext"/>
              <w:jc w:val="left"/>
              <w:rPr>
                <w:sz w:val="20"/>
              </w:rPr>
            </w:pPr>
            <w:r w:rsidRPr="006645D9">
              <w:rPr>
                <w:rFonts w:cs="Calibri" w:hint="eastAsia"/>
                <w:color w:val="000000"/>
                <w:sz w:val="20"/>
                <w:lang w:val="en-US" w:eastAsia="zh-CN"/>
              </w:rPr>
              <w:t>阿根廷</w:t>
            </w:r>
          </w:p>
        </w:tc>
        <w:tc>
          <w:tcPr>
            <w:tcW w:w="4020" w:type="dxa"/>
            <w:shd w:val="clear" w:color="auto" w:fill="auto"/>
            <w:vAlign w:val="center"/>
            <w:hideMark/>
          </w:tcPr>
          <w:p w14:paraId="05FE533D" w14:textId="0A349AB3" w:rsidR="006645D9" w:rsidRPr="006645D9" w:rsidRDefault="006645D9" w:rsidP="006645D9">
            <w:pPr>
              <w:pStyle w:val="Tabletext"/>
              <w:jc w:val="left"/>
              <w:rPr>
                <w:sz w:val="20"/>
                <w:lang w:val="es-ES"/>
              </w:rPr>
            </w:pPr>
            <w:r w:rsidRPr="006645D9">
              <w:rPr>
                <w:rFonts w:cs="Calibri"/>
                <w:color w:val="000000"/>
                <w:sz w:val="20"/>
                <w:lang w:val="en-US" w:eastAsia="zh-CN"/>
              </w:rPr>
              <w:t>Cooperativa Telefónica</w:t>
            </w:r>
            <w:r w:rsidRPr="006645D9">
              <w:rPr>
                <w:rFonts w:cs="Calibri"/>
                <w:color w:val="000000"/>
                <w:sz w:val="20"/>
                <w:lang w:val="en-US" w:eastAsia="zh-CN"/>
              </w:rPr>
              <w:br/>
              <w:t>López Camelo (COTELCAM)</w:t>
            </w:r>
            <w:r w:rsidRPr="006645D9">
              <w:rPr>
                <w:rFonts w:cs="Calibri" w:hint="eastAsia"/>
                <w:color w:val="000000"/>
                <w:sz w:val="20"/>
                <w:lang w:val="en-US" w:eastAsia="zh-CN"/>
              </w:rPr>
              <w:t>，布宜诺斯艾利斯</w:t>
            </w:r>
          </w:p>
        </w:tc>
        <w:tc>
          <w:tcPr>
            <w:tcW w:w="960" w:type="dxa"/>
            <w:shd w:val="clear" w:color="auto" w:fill="auto"/>
            <w:noWrap/>
            <w:vAlign w:val="center"/>
            <w:hideMark/>
          </w:tcPr>
          <w:p w14:paraId="08CBF4D3" w14:textId="170B0B45" w:rsidR="006645D9" w:rsidRPr="00F2736F" w:rsidRDefault="006645D9" w:rsidP="006645D9">
            <w:pPr>
              <w:pStyle w:val="Tabletext"/>
              <w:jc w:val="left"/>
              <w:rPr>
                <w:sz w:val="16"/>
                <w:szCs w:val="16"/>
              </w:rPr>
            </w:pPr>
            <w:r w:rsidRPr="00C02F66">
              <w:rPr>
                <w:rFonts w:cs="Calibri"/>
                <w:sz w:val="16"/>
                <w:szCs w:val="16"/>
                <w:lang w:eastAsia="en-GB"/>
              </w:rPr>
              <w:t>2003-2006</w:t>
            </w:r>
          </w:p>
        </w:tc>
        <w:tc>
          <w:tcPr>
            <w:tcW w:w="1080" w:type="dxa"/>
            <w:shd w:val="clear" w:color="auto" w:fill="auto"/>
            <w:noWrap/>
            <w:vAlign w:val="center"/>
            <w:hideMark/>
          </w:tcPr>
          <w:p w14:paraId="137BF5D5" w14:textId="51AD0C55" w:rsidR="006645D9" w:rsidRPr="00F2736F" w:rsidRDefault="006645D9" w:rsidP="006645D9">
            <w:pPr>
              <w:pStyle w:val="Tabletext"/>
              <w:jc w:val="left"/>
              <w:rPr>
                <w:sz w:val="16"/>
                <w:szCs w:val="16"/>
              </w:rPr>
            </w:pPr>
            <w:r w:rsidRPr="00C02F66">
              <w:rPr>
                <w:rFonts w:cs="Calibri"/>
                <w:color w:val="000000"/>
                <w:sz w:val="16"/>
                <w:szCs w:val="16"/>
                <w:lang w:eastAsia="en-GB"/>
              </w:rPr>
              <w:t>15.787,50</w:t>
            </w:r>
          </w:p>
        </w:tc>
        <w:tc>
          <w:tcPr>
            <w:tcW w:w="1120" w:type="dxa"/>
            <w:shd w:val="clear" w:color="auto" w:fill="auto"/>
            <w:noWrap/>
            <w:vAlign w:val="center"/>
            <w:hideMark/>
          </w:tcPr>
          <w:p w14:paraId="1592A22E" w14:textId="1630317E" w:rsidR="006645D9" w:rsidRPr="00F2736F" w:rsidRDefault="006645D9" w:rsidP="006645D9">
            <w:pPr>
              <w:pStyle w:val="Tabletext"/>
              <w:rPr>
                <w:sz w:val="16"/>
                <w:szCs w:val="16"/>
              </w:rPr>
            </w:pPr>
            <w:r w:rsidRPr="00C02F66">
              <w:rPr>
                <w:rFonts w:cs="Calibri"/>
                <w:color w:val="000000"/>
                <w:sz w:val="16"/>
                <w:szCs w:val="16"/>
                <w:lang w:eastAsia="en-GB"/>
              </w:rPr>
              <w:t>22.394,60</w:t>
            </w:r>
          </w:p>
        </w:tc>
        <w:tc>
          <w:tcPr>
            <w:tcW w:w="1180" w:type="dxa"/>
            <w:shd w:val="clear" w:color="auto" w:fill="auto"/>
            <w:noWrap/>
            <w:vAlign w:val="center"/>
            <w:hideMark/>
          </w:tcPr>
          <w:p w14:paraId="35648239" w14:textId="37576467" w:rsidR="006645D9" w:rsidRPr="00F2736F" w:rsidRDefault="006645D9" w:rsidP="006645D9">
            <w:pPr>
              <w:pStyle w:val="Tabletext"/>
              <w:rPr>
                <w:sz w:val="16"/>
                <w:szCs w:val="16"/>
              </w:rPr>
            </w:pPr>
            <w:r w:rsidRPr="00C02F66">
              <w:rPr>
                <w:rFonts w:cs="Calibri"/>
                <w:color w:val="000000"/>
                <w:sz w:val="16"/>
                <w:szCs w:val="16"/>
                <w:lang w:eastAsia="en-GB"/>
              </w:rPr>
              <w:t>38.182,10</w:t>
            </w:r>
          </w:p>
        </w:tc>
      </w:tr>
      <w:tr w:rsidR="006645D9" w:rsidRPr="00FB13C1" w14:paraId="71E610BB" w14:textId="77777777" w:rsidTr="00442968">
        <w:trPr>
          <w:trHeight w:val="283"/>
        </w:trPr>
        <w:tc>
          <w:tcPr>
            <w:tcW w:w="1200" w:type="dxa"/>
            <w:shd w:val="clear" w:color="auto" w:fill="auto"/>
            <w:noWrap/>
            <w:vAlign w:val="center"/>
            <w:hideMark/>
          </w:tcPr>
          <w:p w14:paraId="3AAC292A" w14:textId="398E16B4" w:rsidR="006645D9" w:rsidRPr="006645D9" w:rsidRDefault="006645D9" w:rsidP="006645D9">
            <w:pPr>
              <w:pStyle w:val="Tabletext"/>
              <w:jc w:val="left"/>
              <w:rPr>
                <w:sz w:val="20"/>
              </w:rPr>
            </w:pPr>
            <w:r w:rsidRPr="006645D9">
              <w:rPr>
                <w:rFonts w:cs="Calibri" w:hint="eastAsia"/>
                <w:color w:val="000000"/>
                <w:sz w:val="20"/>
                <w:lang w:val="en-US" w:eastAsia="zh-CN"/>
              </w:rPr>
              <w:t>阿根廷</w:t>
            </w:r>
          </w:p>
        </w:tc>
        <w:tc>
          <w:tcPr>
            <w:tcW w:w="4020" w:type="dxa"/>
            <w:shd w:val="clear" w:color="000000" w:fill="FFFFFF"/>
            <w:vAlign w:val="center"/>
            <w:hideMark/>
          </w:tcPr>
          <w:p w14:paraId="79B40200" w14:textId="627E982C" w:rsidR="006645D9" w:rsidRPr="006645D9" w:rsidRDefault="006645D9" w:rsidP="006645D9">
            <w:pPr>
              <w:pStyle w:val="Tabletext"/>
              <w:jc w:val="left"/>
              <w:rPr>
                <w:sz w:val="20"/>
              </w:rPr>
            </w:pPr>
            <w:r w:rsidRPr="006645D9">
              <w:rPr>
                <w:rFonts w:cs="Calibri"/>
                <w:color w:val="000000"/>
                <w:sz w:val="20"/>
                <w:lang w:val="en-US" w:eastAsia="zh-CN"/>
              </w:rPr>
              <w:t>Impsat Corp., Buenos Aires</w:t>
            </w:r>
          </w:p>
        </w:tc>
        <w:tc>
          <w:tcPr>
            <w:tcW w:w="960" w:type="dxa"/>
            <w:shd w:val="clear" w:color="000000" w:fill="FFFFFF"/>
            <w:vAlign w:val="center"/>
            <w:hideMark/>
          </w:tcPr>
          <w:p w14:paraId="09BDC0BA" w14:textId="0BB06683" w:rsidR="006645D9" w:rsidRPr="00F2736F" w:rsidRDefault="006645D9" w:rsidP="006645D9">
            <w:pPr>
              <w:pStyle w:val="Tabletext"/>
              <w:jc w:val="left"/>
              <w:rPr>
                <w:sz w:val="16"/>
                <w:szCs w:val="16"/>
              </w:rPr>
            </w:pPr>
            <w:r w:rsidRPr="00C02F66">
              <w:rPr>
                <w:rFonts w:cs="Calibri"/>
                <w:sz w:val="16"/>
                <w:szCs w:val="16"/>
                <w:lang w:eastAsia="en-GB"/>
              </w:rPr>
              <w:t>1999</w:t>
            </w:r>
            <w:r w:rsidRPr="00C02F66">
              <w:rPr>
                <w:sz w:val="16"/>
              </w:rPr>
              <w:t>-2006</w:t>
            </w:r>
          </w:p>
        </w:tc>
        <w:tc>
          <w:tcPr>
            <w:tcW w:w="1080" w:type="dxa"/>
            <w:shd w:val="clear" w:color="000000" w:fill="FFFFFF"/>
            <w:vAlign w:val="center"/>
            <w:hideMark/>
          </w:tcPr>
          <w:p w14:paraId="4F974376" w14:textId="45CFCE1F" w:rsidR="006645D9" w:rsidRPr="00F2736F" w:rsidRDefault="006645D9" w:rsidP="006645D9">
            <w:pPr>
              <w:pStyle w:val="Tabletext"/>
              <w:jc w:val="left"/>
              <w:rPr>
                <w:sz w:val="16"/>
                <w:szCs w:val="16"/>
              </w:rPr>
            </w:pPr>
            <w:r w:rsidRPr="00C02F66">
              <w:rPr>
                <w:rFonts w:cs="Calibri"/>
                <w:color w:val="000000"/>
                <w:sz w:val="16"/>
                <w:szCs w:val="16"/>
                <w:lang w:eastAsia="en-GB"/>
              </w:rPr>
              <w:t>23.662,50</w:t>
            </w:r>
          </w:p>
        </w:tc>
        <w:tc>
          <w:tcPr>
            <w:tcW w:w="1120" w:type="dxa"/>
            <w:shd w:val="clear" w:color="auto" w:fill="auto"/>
            <w:noWrap/>
            <w:vAlign w:val="center"/>
            <w:hideMark/>
          </w:tcPr>
          <w:p w14:paraId="7903DFEE" w14:textId="78D4BD79" w:rsidR="006645D9" w:rsidRPr="00F2736F" w:rsidRDefault="006645D9" w:rsidP="006645D9">
            <w:pPr>
              <w:pStyle w:val="Tabletext"/>
              <w:rPr>
                <w:sz w:val="16"/>
                <w:szCs w:val="16"/>
              </w:rPr>
            </w:pPr>
            <w:r w:rsidRPr="00C02F66">
              <w:rPr>
                <w:rFonts w:cs="Calibri"/>
                <w:color w:val="000000"/>
                <w:sz w:val="16"/>
                <w:szCs w:val="16"/>
                <w:lang w:eastAsia="en-GB"/>
              </w:rPr>
              <w:t>37.308,</w:t>
            </w:r>
            <w:r w:rsidRPr="00C02F66">
              <w:rPr>
                <w:color w:val="000000"/>
                <w:sz w:val="16"/>
              </w:rPr>
              <w:t>20</w:t>
            </w:r>
          </w:p>
        </w:tc>
        <w:tc>
          <w:tcPr>
            <w:tcW w:w="1180" w:type="dxa"/>
            <w:shd w:val="clear" w:color="auto" w:fill="auto"/>
            <w:noWrap/>
            <w:vAlign w:val="center"/>
            <w:hideMark/>
          </w:tcPr>
          <w:p w14:paraId="24B2940A" w14:textId="0530BEF5" w:rsidR="006645D9" w:rsidRPr="00F2736F" w:rsidRDefault="006645D9" w:rsidP="006645D9">
            <w:pPr>
              <w:pStyle w:val="Tabletext"/>
              <w:rPr>
                <w:sz w:val="16"/>
                <w:szCs w:val="16"/>
              </w:rPr>
            </w:pPr>
            <w:r w:rsidRPr="00C02F66">
              <w:rPr>
                <w:rFonts w:cs="Calibri"/>
                <w:color w:val="000000"/>
                <w:sz w:val="16"/>
                <w:szCs w:val="16"/>
                <w:lang w:eastAsia="en-GB"/>
              </w:rPr>
              <w:t>60.970,70</w:t>
            </w:r>
          </w:p>
        </w:tc>
      </w:tr>
      <w:tr w:rsidR="006645D9" w:rsidRPr="00FB13C1" w14:paraId="7A001A7A" w14:textId="77777777" w:rsidTr="00442968">
        <w:trPr>
          <w:trHeight w:val="283"/>
        </w:trPr>
        <w:tc>
          <w:tcPr>
            <w:tcW w:w="1200" w:type="dxa"/>
            <w:shd w:val="clear" w:color="auto" w:fill="auto"/>
            <w:noWrap/>
            <w:vAlign w:val="center"/>
            <w:hideMark/>
          </w:tcPr>
          <w:p w14:paraId="221CD29E" w14:textId="22CD16B2" w:rsidR="006645D9" w:rsidRPr="006645D9" w:rsidRDefault="006645D9" w:rsidP="006645D9">
            <w:pPr>
              <w:pStyle w:val="Tabletext"/>
              <w:jc w:val="left"/>
              <w:rPr>
                <w:sz w:val="20"/>
              </w:rPr>
            </w:pPr>
            <w:r w:rsidRPr="006645D9">
              <w:rPr>
                <w:rFonts w:cs="Calibri" w:hint="eastAsia"/>
                <w:color w:val="000000"/>
                <w:sz w:val="20"/>
                <w:lang w:val="en-US" w:eastAsia="zh-CN"/>
              </w:rPr>
              <w:t>白俄罗斯</w:t>
            </w:r>
          </w:p>
        </w:tc>
        <w:tc>
          <w:tcPr>
            <w:tcW w:w="4020" w:type="dxa"/>
            <w:shd w:val="clear" w:color="000000" w:fill="FFFFFF"/>
            <w:vAlign w:val="center"/>
            <w:hideMark/>
          </w:tcPr>
          <w:p w14:paraId="46C8B477" w14:textId="78572C10" w:rsidR="006645D9" w:rsidRPr="006645D9" w:rsidRDefault="006645D9" w:rsidP="006645D9">
            <w:pPr>
              <w:pStyle w:val="Tabletext"/>
              <w:jc w:val="left"/>
              <w:rPr>
                <w:sz w:val="20"/>
              </w:rPr>
            </w:pPr>
            <w:r w:rsidRPr="006645D9">
              <w:rPr>
                <w:rFonts w:cs="Calibri"/>
                <w:color w:val="000000"/>
                <w:sz w:val="20"/>
                <w:lang w:val="en-US" w:eastAsia="zh-CN"/>
              </w:rPr>
              <w:t>Belarsat LLC</w:t>
            </w:r>
            <w:r w:rsidRPr="006645D9">
              <w:rPr>
                <w:rFonts w:cs="Calibri" w:hint="eastAsia"/>
                <w:color w:val="000000"/>
                <w:sz w:val="20"/>
                <w:lang w:val="en-US" w:eastAsia="zh-CN"/>
              </w:rPr>
              <w:t>，明斯克</w:t>
            </w:r>
          </w:p>
        </w:tc>
        <w:tc>
          <w:tcPr>
            <w:tcW w:w="960" w:type="dxa"/>
            <w:shd w:val="clear" w:color="000000" w:fill="FFFFFF"/>
            <w:vAlign w:val="center"/>
            <w:hideMark/>
          </w:tcPr>
          <w:p w14:paraId="1CC0147F" w14:textId="65779C9C" w:rsidR="006645D9" w:rsidRPr="00F2736F" w:rsidRDefault="006645D9" w:rsidP="006645D9">
            <w:pPr>
              <w:pStyle w:val="Tabletext"/>
              <w:jc w:val="left"/>
              <w:rPr>
                <w:sz w:val="16"/>
                <w:szCs w:val="16"/>
              </w:rPr>
            </w:pPr>
            <w:r w:rsidRPr="00C02F66">
              <w:rPr>
                <w:rFonts w:cs="Calibri"/>
                <w:sz w:val="16"/>
                <w:szCs w:val="16"/>
                <w:lang w:eastAsia="en-GB"/>
              </w:rPr>
              <w:t>2009-2010</w:t>
            </w:r>
          </w:p>
        </w:tc>
        <w:tc>
          <w:tcPr>
            <w:tcW w:w="1080" w:type="dxa"/>
            <w:shd w:val="clear" w:color="000000" w:fill="FFFFFF"/>
            <w:vAlign w:val="center"/>
            <w:hideMark/>
          </w:tcPr>
          <w:p w14:paraId="0FDF08C2" w14:textId="35DE170C" w:rsidR="006645D9" w:rsidRPr="00F2736F" w:rsidRDefault="006645D9" w:rsidP="006645D9">
            <w:pPr>
              <w:pStyle w:val="Tabletext"/>
              <w:jc w:val="left"/>
              <w:rPr>
                <w:sz w:val="16"/>
                <w:szCs w:val="16"/>
              </w:rPr>
            </w:pPr>
            <w:r w:rsidRPr="00C02F66">
              <w:rPr>
                <w:rFonts w:cs="Calibri"/>
                <w:sz w:val="16"/>
                <w:szCs w:val="16"/>
                <w:lang w:eastAsia="en-GB"/>
              </w:rPr>
              <w:t>12,366.20</w:t>
            </w:r>
          </w:p>
        </w:tc>
        <w:tc>
          <w:tcPr>
            <w:tcW w:w="1120" w:type="dxa"/>
            <w:shd w:val="clear" w:color="000000" w:fill="FFFFFF"/>
            <w:vAlign w:val="center"/>
            <w:hideMark/>
          </w:tcPr>
          <w:p w14:paraId="7A5FABED" w14:textId="0488D42E" w:rsidR="006645D9" w:rsidRPr="00F2736F" w:rsidRDefault="006645D9" w:rsidP="006645D9">
            <w:pPr>
              <w:pStyle w:val="Tabletext"/>
              <w:rPr>
                <w:sz w:val="16"/>
                <w:szCs w:val="16"/>
              </w:rPr>
            </w:pPr>
            <w:r w:rsidRPr="00C02F66">
              <w:rPr>
                <w:rFonts w:cs="Calibri"/>
                <w:sz w:val="16"/>
                <w:szCs w:val="16"/>
                <w:lang w:eastAsia="en-GB"/>
              </w:rPr>
              <w:t>9,673.30</w:t>
            </w:r>
          </w:p>
        </w:tc>
        <w:tc>
          <w:tcPr>
            <w:tcW w:w="1180" w:type="dxa"/>
            <w:shd w:val="clear" w:color="000000" w:fill="FFFFFF"/>
            <w:vAlign w:val="center"/>
            <w:hideMark/>
          </w:tcPr>
          <w:p w14:paraId="43539ECE" w14:textId="1BE535E5" w:rsidR="006645D9" w:rsidRPr="00F2736F" w:rsidRDefault="006645D9" w:rsidP="006645D9">
            <w:pPr>
              <w:pStyle w:val="Tabletext"/>
              <w:rPr>
                <w:sz w:val="16"/>
                <w:szCs w:val="16"/>
              </w:rPr>
            </w:pPr>
            <w:r w:rsidRPr="00C02F66">
              <w:rPr>
                <w:rFonts w:cs="Calibri"/>
                <w:sz w:val="16"/>
                <w:szCs w:val="16"/>
                <w:lang w:eastAsia="en-GB"/>
              </w:rPr>
              <w:t>22,039.50</w:t>
            </w:r>
          </w:p>
        </w:tc>
      </w:tr>
      <w:tr w:rsidR="006645D9" w:rsidRPr="00FB13C1" w14:paraId="797671DD" w14:textId="77777777" w:rsidTr="00442968">
        <w:trPr>
          <w:trHeight w:val="283"/>
        </w:trPr>
        <w:tc>
          <w:tcPr>
            <w:tcW w:w="1200" w:type="dxa"/>
            <w:shd w:val="clear" w:color="auto" w:fill="auto"/>
            <w:noWrap/>
            <w:vAlign w:val="center"/>
            <w:hideMark/>
          </w:tcPr>
          <w:p w14:paraId="7104ABC2" w14:textId="2026E014" w:rsidR="006645D9" w:rsidRPr="006645D9" w:rsidRDefault="006645D9" w:rsidP="006645D9">
            <w:pPr>
              <w:pStyle w:val="Tabletext"/>
              <w:jc w:val="left"/>
              <w:rPr>
                <w:sz w:val="20"/>
              </w:rPr>
            </w:pPr>
            <w:r w:rsidRPr="006645D9">
              <w:rPr>
                <w:rFonts w:cs="Calibri" w:hint="eastAsia"/>
                <w:color w:val="000000"/>
                <w:sz w:val="20"/>
                <w:lang w:val="en-US" w:eastAsia="zh-CN"/>
              </w:rPr>
              <w:t>加拿大</w:t>
            </w:r>
          </w:p>
        </w:tc>
        <w:tc>
          <w:tcPr>
            <w:tcW w:w="4020" w:type="dxa"/>
            <w:shd w:val="clear" w:color="auto" w:fill="auto"/>
            <w:vAlign w:val="center"/>
            <w:hideMark/>
          </w:tcPr>
          <w:p w14:paraId="5B3E31FA" w14:textId="5A64C432" w:rsidR="006645D9" w:rsidRPr="006645D9" w:rsidRDefault="006645D9" w:rsidP="006645D9">
            <w:pPr>
              <w:pStyle w:val="Tabletext"/>
              <w:jc w:val="left"/>
              <w:rPr>
                <w:sz w:val="20"/>
              </w:rPr>
            </w:pPr>
            <w:r w:rsidRPr="006645D9">
              <w:rPr>
                <w:rFonts w:cs="Calibri"/>
                <w:color w:val="000000"/>
                <w:sz w:val="20"/>
                <w:lang w:val="en-US" w:eastAsia="zh-CN"/>
              </w:rPr>
              <w:t>Avvasi Inc, Waterloo</w:t>
            </w:r>
          </w:p>
        </w:tc>
        <w:tc>
          <w:tcPr>
            <w:tcW w:w="960" w:type="dxa"/>
            <w:shd w:val="clear" w:color="auto" w:fill="auto"/>
            <w:noWrap/>
            <w:vAlign w:val="center"/>
            <w:hideMark/>
          </w:tcPr>
          <w:p w14:paraId="7C103170" w14:textId="1460855A" w:rsidR="006645D9" w:rsidRPr="00F2736F" w:rsidRDefault="006645D9" w:rsidP="006645D9">
            <w:pPr>
              <w:pStyle w:val="Tabletext"/>
              <w:jc w:val="left"/>
              <w:rPr>
                <w:sz w:val="16"/>
                <w:szCs w:val="16"/>
              </w:rPr>
            </w:pPr>
            <w:r w:rsidRPr="00C02F66">
              <w:rPr>
                <w:sz w:val="16"/>
              </w:rPr>
              <w:t>2015</w:t>
            </w:r>
          </w:p>
        </w:tc>
        <w:tc>
          <w:tcPr>
            <w:tcW w:w="1080" w:type="dxa"/>
            <w:shd w:val="clear" w:color="auto" w:fill="auto"/>
            <w:noWrap/>
            <w:vAlign w:val="center"/>
            <w:hideMark/>
          </w:tcPr>
          <w:p w14:paraId="14458BED" w14:textId="54E3D8D1" w:rsidR="006645D9" w:rsidRPr="00F2736F" w:rsidRDefault="006645D9" w:rsidP="006645D9">
            <w:pPr>
              <w:pStyle w:val="Tabletext"/>
              <w:jc w:val="left"/>
              <w:rPr>
                <w:sz w:val="16"/>
                <w:szCs w:val="16"/>
              </w:rPr>
            </w:pPr>
            <w:r w:rsidRPr="00C02F66">
              <w:rPr>
                <w:rFonts w:cs="Calibri"/>
                <w:color w:val="000000"/>
                <w:sz w:val="16"/>
                <w:szCs w:val="16"/>
                <w:lang w:eastAsia="en-GB"/>
              </w:rPr>
              <w:t>10.600,</w:t>
            </w:r>
            <w:r w:rsidRPr="00C02F66">
              <w:rPr>
                <w:color w:val="000000"/>
                <w:sz w:val="16"/>
              </w:rPr>
              <w:t>00</w:t>
            </w:r>
          </w:p>
        </w:tc>
        <w:tc>
          <w:tcPr>
            <w:tcW w:w="1120" w:type="dxa"/>
            <w:shd w:val="clear" w:color="auto" w:fill="auto"/>
            <w:noWrap/>
            <w:vAlign w:val="center"/>
            <w:hideMark/>
          </w:tcPr>
          <w:p w14:paraId="4B15CEDA" w14:textId="10CBA729" w:rsidR="006645D9" w:rsidRPr="00F2736F" w:rsidRDefault="006645D9" w:rsidP="006645D9">
            <w:pPr>
              <w:pStyle w:val="Tabletext"/>
              <w:rPr>
                <w:sz w:val="16"/>
                <w:szCs w:val="16"/>
              </w:rPr>
            </w:pPr>
            <w:r w:rsidRPr="00C02F66">
              <w:rPr>
                <w:rFonts w:cs="Calibri"/>
                <w:color w:val="000000"/>
                <w:sz w:val="16"/>
                <w:szCs w:val="16"/>
                <w:lang w:eastAsia="en-GB"/>
              </w:rPr>
              <w:t>2.498,20</w:t>
            </w:r>
          </w:p>
        </w:tc>
        <w:tc>
          <w:tcPr>
            <w:tcW w:w="1180" w:type="dxa"/>
            <w:shd w:val="clear" w:color="auto" w:fill="auto"/>
            <w:noWrap/>
            <w:vAlign w:val="center"/>
            <w:hideMark/>
          </w:tcPr>
          <w:p w14:paraId="1EAD4D2D" w14:textId="5F1DD1BA" w:rsidR="006645D9" w:rsidRPr="00F2736F" w:rsidRDefault="006645D9" w:rsidP="006645D9">
            <w:pPr>
              <w:pStyle w:val="Tabletext"/>
              <w:rPr>
                <w:sz w:val="16"/>
                <w:szCs w:val="16"/>
              </w:rPr>
            </w:pPr>
            <w:r w:rsidRPr="00C02F66">
              <w:rPr>
                <w:rFonts w:cs="Calibri"/>
                <w:color w:val="000000"/>
                <w:sz w:val="16"/>
                <w:szCs w:val="16"/>
                <w:lang w:eastAsia="en-GB"/>
              </w:rPr>
              <w:t>13.098,20</w:t>
            </w:r>
          </w:p>
        </w:tc>
      </w:tr>
      <w:tr w:rsidR="006645D9" w:rsidRPr="00FB13C1" w14:paraId="26782CE5" w14:textId="77777777" w:rsidTr="00442968">
        <w:trPr>
          <w:trHeight w:val="283"/>
        </w:trPr>
        <w:tc>
          <w:tcPr>
            <w:tcW w:w="1200" w:type="dxa"/>
            <w:shd w:val="clear" w:color="auto" w:fill="auto"/>
            <w:noWrap/>
            <w:vAlign w:val="center"/>
            <w:hideMark/>
          </w:tcPr>
          <w:p w14:paraId="4FFB262B" w14:textId="276F80A9" w:rsidR="006645D9" w:rsidRPr="006645D9" w:rsidRDefault="006645D9" w:rsidP="006645D9">
            <w:pPr>
              <w:pStyle w:val="Tabletext"/>
              <w:jc w:val="left"/>
              <w:rPr>
                <w:sz w:val="20"/>
              </w:rPr>
            </w:pPr>
            <w:r w:rsidRPr="006645D9">
              <w:rPr>
                <w:rFonts w:cs="Calibri" w:hint="eastAsia"/>
                <w:color w:val="000000"/>
                <w:sz w:val="20"/>
                <w:lang w:val="en-US" w:eastAsia="zh-CN"/>
              </w:rPr>
              <w:t>法国</w:t>
            </w:r>
          </w:p>
        </w:tc>
        <w:tc>
          <w:tcPr>
            <w:tcW w:w="4020" w:type="dxa"/>
            <w:shd w:val="clear" w:color="auto" w:fill="auto"/>
            <w:vAlign w:val="center"/>
            <w:hideMark/>
          </w:tcPr>
          <w:p w14:paraId="70F41543" w14:textId="67664E3B" w:rsidR="006645D9" w:rsidRPr="006645D9" w:rsidRDefault="006645D9" w:rsidP="006645D9">
            <w:pPr>
              <w:pStyle w:val="Tabletext"/>
              <w:jc w:val="left"/>
              <w:rPr>
                <w:sz w:val="20"/>
                <w:lang w:val="fr-FR"/>
              </w:rPr>
            </w:pPr>
            <w:r w:rsidRPr="006645D9">
              <w:rPr>
                <w:rFonts w:cs="Calibri"/>
                <w:color w:val="000000"/>
                <w:sz w:val="20"/>
                <w:lang w:val="fr-CH" w:eastAsia="zh-CN"/>
              </w:rPr>
              <w:t>VIABLE France Sarl</w:t>
            </w:r>
            <w:r w:rsidRPr="006645D9">
              <w:rPr>
                <w:rFonts w:cs="Calibri" w:hint="eastAsia"/>
                <w:color w:val="000000"/>
                <w:sz w:val="20"/>
                <w:lang w:val="fr-CH" w:eastAsia="zh-CN"/>
              </w:rPr>
              <w:t>，</w:t>
            </w:r>
            <w:r w:rsidRPr="006645D9">
              <w:rPr>
                <w:rFonts w:cs="Calibri" w:hint="eastAsia"/>
                <w:color w:val="000000"/>
                <w:sz w:val="20"/>
                <w:lang w:val="en-US" w:eastAsia="zh-CN"/>
              </w:rPr>
              <w:t>巴黎</w:t>
            </w:r>
          </w:p>
        </w:tc>
        <w:tc>
          <w:tcPr>
            <w:tcW w:w="960" w:type="dxa"/>
            <w:shd w:val="clear" w:color="auto" w:fill="auto"/>
            <w:noWrap/>
            <w:vAlign w:val="center"/>
            <w:hideMark/>
          </w:tcPr>
          <w:p w14:paraId="5EE09CC8" w14:textId="1538C24F" w:rsidR="006645D9" w:rsidRPr="00F2736F" w:rsidRDefault="006645D9" w:rsidP="006645D9">
            <w:pPr>
              <w:pStyle w:val="Tabletext"/>
              <w:jc w:val="left"/>
              <w:rPr>
                <w:sz w:val="16"/>
                <w:szCs w:val="16"/>
              </w:rPr>
            </w:pPr>
            <w:r w:rsidRPr="00C02F66">
              <w:rPr>
                <w:sz w:val="16"/>
              </w:rPr>
              <w:t>2010-2012</w:t>
            </w:r>
          </w:p>
        </w:tc>
        <w:tc>
          <w:tcPr>
            <w:tcW w:w="1080" w:type="dxa"/>
            <w:shd w:val="clear" w:color="auto" w:fill="auto"/>
            <w:noWrap/>
            <w:vAlign w:val="center"/>
            <w:hideMark/>
          </w:tcPr>
          <w:p w14:paraId="69EB7ECB" w14:textId="678BB546" w:rsidR="006645D9" w:rsidRPr="00F2736F" w:rsidRDefault="006645D9" w:rsidP="006645D9">
            <w:pPr>
              <w:pStyle w:val="Tabletext"/>
              <w:jc w:val="left"/>
              <w:rPr>
                <w:sz w:val="16"/>
                <w:szCs w:val="16"/>
              </w:rPr>
            </w:pPr>
            <w:r w:rsidRPr="00C02F66">
              <w:rPr>
                <w:rFonts w:cs="Calibri"/>
                <w:color w:val="000000"/>
                <w:sz w:val="16"/>
                <w:szCs w:val="16"/>
                <w:lang w:eastAsia="en-GB"/>
              </w:rPr>
              <w:t>11.925,</w:t>
            </w:r>
            <w:r w:rsidRPr="00C02F66">
              <w:rPr>
                <w:color w:val="000000"/>
                <w:sz w:val="16"/>
              </w:rPr>
              <w:t>00</w:t>
            </w:r>
          </w:p>
        </w:tc>
        <w:tc>
          <w:tcPr>
            <w:tcW w:w="1120" w:type="dxa"/>
            <w:shd w:val="clear" w:color="auto" w:fill="auto"/>
            <w:noWrap/>
            <w:vAlign w:val="center"/>
            <w:hideMark/>
          </w:tcPr>
          <w:p w14:paraId="0A6C1F4B" w14:textId="6A122F98" w:rsidR="006645D9" w:rsidRPr="00F2736F" w:rsidRDefault="006645D9" w:rsidP="006645D9">
            <w:pPr>
              <w:pStyle w:val="Tabletext"/>
              <w:rPr>
                <w:sz w:val="16"/>
                <w:szCs w:val="16"/>
              </w:rPr>
            </w:pPr>
            <w:r w:rsidRPr="00C02F66">
              <w:rPr>
                <w:rFonts w:cs="Calibri"/>
                <w:color w:val="000000"/>
                <w:sz w:val="16"/>
                <w:szCs w:val="16"/>
                <w:lang w:eastAsia="en-GB"/>
              </w:rPr>
              <w:t>1.170,30</w:t>
            </w:r>
          </w:p>
        </w:tc>
        <w:tc>
          <w:tcPr>
            <w:tcW w:w="1180" w:type="dxa"/>
            <w:shd w:val="clear" w:color="auto" w:fill="auto"/>
            <w:noWrap/>
            <w:vAlign w:val="center"/>
            <w:hideMark/>
          </w:tcPr>
          <w:p w14:paraId="70F94926" w14:textId="07DD69BE" w:rsidR="006645D9" w:rsidRPr="00F2736F" w:rsidRDefault="006645D9" w:rsidP="006645D9">
            <w:pPr>
              <w:pStyle w:val="Tabletext"/>
              <w:rPr>
                <w:sz w:val="16"/>
                <w:szCs w:val="16"/>
              </w:rPr>
            </w:pPr>
            <w:r w:rsidRPr="00C02F66">
              <w:rPr>
                <w:rFonts w:cs="Calibri"/>
                <w:color w:val="000000"/>
                <w:sz w:val="16"/>
                <w:szCs w:val="16"/>
                <w:lang w:eastAsia="en-GB"/>
              </w:rPr>
              <w:t>13.095,30</w:t>
            </w:r>
          </w:p>
        </w:tc>
      </w:tr>
      <w:tr w:rsidR="006645D9" w:rsidRPr="00FB13C1" w14:paraId="65C6AC8F" w14:textId="77777777" w:rsidTr="00442968">
        <w:trPr>
          <w:trHeight w:val="454"/>
        </w:trPr>
        <w:tc>
          <w:tcPr>
            <w:tcW w:w="1200" w:type="dxa"/>
            <w:shd w:val="clear" w:color="auto" w:fill="auto"/>
            <w:noWrap/>
            <w:vAlign w:val="center"/>
            <w:hideMark/>
          </w:tcPr>
          <w:p w14:paraId="6B5F0ADB" w14:textId="130D09BD" w:rsidR="006645D9" w:rsidRPr="006645D9" w:rsidRDefault="006645D9" w:rsidP="006645D9">
            <w:pPr>
              <w:pStyle w:val="Tabletext"/>
              <w:jc w:val="left"/>
              <w:rPr>
                <w:sz w:val="20"/>
              </w:rPr>
            </w:pPr>
            <w:r w:rsidRPr="006645D9">
              <w:rPr>
                <w:rFonts w:cs="Calibri" w:hint="eastAsia"/>
                <w:color w:val="000000"/>
                <w:sz w:val="20"/>
                <w:lang w:val="en-US" w:eastAsia="zh-CN"/>
              </w:rPr>
              <w:t>海地</w:t>
            </w:r>
          </w:p>
        </w:tc>
        <w:tc>
          <w:tcPr>
            <w:tcW w:w="4020" w:type="dxa"/>
            <w:shd w:val="clear" w:color="auto" w:fill="auto"/>
            <w:vAlign w:val="center"/>
            <w:hideMark/>
          </w:tcPr>
          <w:p w14:paraId="38306035" w14:textId="5EEEAAA8" w:rsidR="006645D9" w:rsidRPr="006645D9" w:rsidRDefault="006645D9" w:rsidP="006645D9">
            <w:pPr>
              <w:pStyle w:val="Tabletext"/>
              <w:jc w:val="left"/>
              <w:rPr>
                <w:sz w:val="20"/>
                <w:lang w:val="fr-CH"/>
              </w:rPr>
            </w:pPr>
            <w:r w:rsidRPr="006645D9">
              <w:rPr>
                <w:rFonts w:cs="Calibri" w:hint="eastAsia"/>
                <w:color w:val="000000"/>
                <w:sz w:val="20"/>
                <w:lang w:val="en-US" w:eastAsia="zh-CN"/>
              </w:rPr>
              <w:t>海地国际电信公司</w:t>
            </w:r>
            <w:r w:rsidRPr="006645D9">
              <w:rPr>
                <w:rFonts w:cs="Calibri"/>
                <w:color w:val="000000"/>
                <w:sz w:val="20"/>
                <w:lang w:val="fr-CH" w:eastAsia="zh-CN"/>
              </w:rPr>
              <w:t>（</w:t>
            </w:r>
            <w:r w:rsidRPr="006645D9">
              <w:rPr>
                <w:rFonts w:cs="Calibri"/>
                <w:color w:val="000000"/>
                <w:sz w:val="20"/>
                <w:lang w:val="fr-CH" w:eastAsia="zh-CN"/>
              </w:rPr>
              <w:t>HaiTel S.A.</w:t>
            </w:r>
            <w:r w:rsidRPr="006645D9">
              <w:rPr>
                <w:rFonts w:cs="Calibri"/>
                <w:color w:val="000000"/>
                <w:sz w:val="20"/>
                <w:lang w:val="fr-CH" w:eastAsia="zh-CN"/>
              </w:rPr>
              <w:t>）</w:t>
            </w:r>
            <w:r w:rsidRPr="006645D9">
              <w:rPr>
                <w:rFonts w:cs="Calibri" w:hint="eastAsia"/>
                <w:color w:val="000000"/>
                <w:sz w:val="20"/>
                <w:lang w:val="fr-CH" w:eastAsia="zh-CN"/>
              </w:rPr>
              <w:t>，</w:t>
            </w:r>
            <w:r w:rsidRPr="006645D9">
              <w:rPr>
                <w:rFonts w:cs="Calibri"/>
                <w:color w:val="000000"/>
                <w:sz w:val="20"/>
                <w:lang w:val="fr-CH" w:eastAsia="zh-CN"/>
              </w:rPr>
              <w:t>Pétion-Ville</w:t>
            </w:r>
          </w:p>
        </w:tc>
        <w:tc>
          <w:tcPr>
            <w:tcW w:w="960" w:type="dxa"/>
            <w:shd w:val="clear" w:color="auto" w:fill="auto"/>
            <w:noWrap/>
            <w:vAlign w:val="center"/>
            <w:hideMark/>
          </w:tcPr>
          <w:p w14:paraId="32E7936B" w14:textId="3290C49D" w:rsidR="006645D9" w:rsidRPr="00F2736F" w:rsidRDefault="006645D9" w:rsidP="006645D9">
            <w:pPr>
              <w:pStyle w:val="Tabletext"/>
              <w:jc w:val="left"/>
              <w:rPr>
                <w:sz w:val="16"/>
                <w:szCs w:val="16"/>
              </w:rPr>
            </w:pPr>
            <w:r w:rsidRPr="00C02F66">
              <w:rPr>
                <w:sz w:val="16"/>
              </w:rPr>
              <w:t>2008</w:t>
            </w:r>
          </w:p>
        </w:tc>
        <w:tc>
          <w:tcPr>
            <w:tcW w:w="1080" w:type="dxa"/>
            <w:shd w:val="clear" w:color="auto" w:fill="auto"/>
            <w:noWrap/>
            <w:vAlign w:val="center"/>
            <w:hideMark/>
          </w:tcPr>
          <w:p w14:paraId="790F3241" w14:textId="2A43123E" w:rsidR="006645D9" w:rsidRPr="00F2736F" w:rsidRDefault="006645D9" w:rsidP="006645D9">
            <w:pPr>
              <w:pStyle w:val="Tabletext"/>
              <w:jc w:val="left"/>
              <w:rPr>
                <w:sz w:val="16"/>
                <w:szCs w:val="16"/>
              </w:rPr>
            </w:pPr>
            <w:r w:rsidRPr="00C02F66">
              <w:rPr>
                <w:rFonts w:cs="Calibri"/>
                <w:color w:val="000000"/>
                <w:sz w:val="16"/>
                <w:szCs w:val="16"/>
                <w:lang w:eastAsia="en-GB"/>
              </w:rPr>
              <w:t>31.800,</w:t>
            </w:r>
            <w:r w:rsidRPr="00C02F66">
              <w:rPr>
                <w:color w:val="000000"/>
                <w:sz w:val="16"/>
              </w:rPr>
              <w:t>00</w:t>
            </w:r>
          </w:p>
        </w:tc>
        <w:tc>
          <w:tcPr>
            <w:tcW w:w="1120" w:type="dxa"/>
            <w:shd w:val="clear" w:color="auto" w:fill="auto"/>
            <w:noWrap/>
            <w:vAlign w:val="center"/>
            <w:hideMark/>
          </w:tcPr>
          <w:p w14:paraId="5707E544" w14:textId="5BAD8040" w:rsidR="006645D9" w:rsidRPr="00F2736F" w:rsidRDefault="006645D9" w:rsidP="006645D9">
            <w:pPr>
              <w:pStyle w:val="Tabletext"/>
              <w:rPr>
                <w:sz w:val="16"/>
                <w:szCs w:val="16"/>
              </w:rPr>
            </w:pPr>
            <w:r w:rsidRPr="00C02F66">
              <w:rPr>
                <w:rFonts w:cs="Calibri"/>
                <w:color w:val="000000"/>
                <w:sz w:val="16"/>
                <w:szCs w:val="16"/>
                <w:lang w:eastAsia="en-GB"/>
              </w:rPr>
              <w:t>30.829,55</w:t>
            </w:r>
          </w:p>
        </w:tc>
        <w:tc>
          <w:tcPr>
            <w:tcW w:w="1180" w:type="dxa"/>
            <w:shd w:val="clear" w:color="auto" w:fill="auto"/>
            <w:noWrap/>
            <w:vAlign w:val="center"/>
            <w:hideMark/>
          </w:tcPr>
          <w:p w14:paraId="64F35311" w14:textId="5B65FDA1" w:rsidR="006645D9" w:rsidRPr="00F2736F" w:rsidRDefault="006645D9" w:rsidP="006645D9">
            <w:pPr>
              <w:pStyle w:val="Tabletext"/>
              <w:rPr>
                <w:sz w:val="16"/>
                <w:szCs w:val="16"/>
              </w:rPr>
            </w:pPr>
            <w:r w:rsidRPr="00C02F66">
              <w:rPr>
                <w:rFonts w:cs="Calibri"/>
                <w:color w:val="000000"/>
                <w:sz w:val="16"/>
                <w:szCs w:val="16"/>
                <w:lang w:eastAsia="en-GB"/>
              </w:rPr>
              <w:t>62.629,55</w:t>
            </w:r>
          </w:p>
        </w:tc>
      </w:tr>
      <w:tr w:rsidR="006645D9" w:rsidRPr="00FB13C1" w14:paraId="12D1C292" w14:textId="77777777" w:rsidTr="00442968">
        <w:trPr>
          <w:trHeight w:val="454"/>
        </w:trPr>
        <w:tc>
          <w:tcPr>
            <w:tcW w:w="1200" w:type="dxa"/>
            <w:shd w:val="clear" w:color="000000" w:fill="FFFFFF"/>
            <w:noWrap/>
            <w:vAlign w:val="center"/>
            <w:hideMark/>
          </w:tcPr>
          <w:p w14:paraId="11D6CDAF" w14:textId="45C8E777" w:rsidR="006645D9" w:rsidRPr="006645D9" w:rsidRDefault="006645D9" w:rsidP="006645D9">
            <w:pPr>
              <w:pStyle w:val="Tabletext"/>
              <w:jc w:val="left"/>
              <w:rPr>
                <w:sz w:val="20"/>
              </w:rPr>
            </w:pPr>
            <w:r w:rsidRPr="006645D9">
              <w:rPr>
                <w:rFonts w:cs="Calibri" w:hint="eastAsia"/>
                <w:color w:val="000000"/>
                <w:sz w:val="20"/>
                <w:lang w:val="en-US" w:eastAsia="zh-CN"/>
              </w:rPr>
              <w:t>印度</w:t>
            </w:r>
          </w:p>
        </w:tc>
        <w:tc>
          <w:tcPr>
            <w:tcW w:w="4020" w:type="dxa"/>
            <w:shd w:val="clear" w:color="000000" w:fill="FFFFFF"/>
            <w:vAlign w:val="center"/>
            <w:hideMark/>
          </w:tcPr>
          <w:p w14:paraId="789D5CFB" w14:textId="78B3FF00" w:rsidR="006645D9" w:rsidRPr="006645D9" w:rsidRDefault="006645D9" w:rsidP="006645D9">
            <w:pPr>
              <w:pStyle w:val="Tabletext"/>
              <w:jc w:val="left"/>
              <w:rPr>
                <w:sz w:val="20"/>
                <w:lang w:val="fr-CH"/>
              </w:rPr>
            </w:pPr>
            <w:r w:rsidRPr="006645D9">
              <w:rPr>
                <w:rFonts w:cs="Calibri"/>
                <w:color w:val="000000"/>
                <w:sz w:val="20"/>
                <w:lang w:val="en-US" w:eastAsia="zh-CN"/>
              </w:rPr>
              <w:t>Reliance Communications</w:t>
            </w:r>
            <w:r w:rsidRPr="006645D9">
              <w:rPr>
                <w:rFonts w:cs="Calibri"/>
                <w:color w:val="000000"/>
                <w:sz w:val="20"/>
                <w:lang w:val="en-US" w:eastAsia="zh-CN"/>
              </w:rPr>
              <w:br/>
            </w:r>
            <w:r w:rsidRPr="006645D9">
              <w:rPr>
                <w:rFonts w:cs="Calibri"/>
                <w:color w:val="000000"/>
                <w:sz w:val="20"/>
                <w:lang w:val="en-US" w:eastAsia="zh-CN"/>
              </w:rPr>
              <w:t>（</w:t>
            </w:r>
            <w:r w:rsidRPr="006645D9">
              <w:rPr>
                <w:rFonts w:cs="Calibri" w:hint="eastAsia"/>
                <w:color w:val="000000"/>
                <w:sz w:val="20"/>
                <w:lang w:val="en-US" w:eastAsia="zh-CN"/>
              </w:rPr>
              <w:t>原</w:t>
            </w:r>
            <w:r w:rsidRPr="006645D9">
              <w:rPr>
                <w:rFonts w:cs="Calibri"/>
                <w:color w:val="000000"/>
                <w:sz w:val="20"/>
                <w:lang w:val="en-US" w:eastAsia="zh-CN"/>
              </w:rPr>
              <w:t>Reliance Infocomm Ltd.</w:t>
            </w:r>
            <w:r w:rsidRPr="006645D9">
              <w:rPr>
                <w:rFonts w:cs="Calibri"/>
                <w:color w:val="000000"/>
                <w:sz w:val="20"/>
                <w:lang w:val="en-US" w:eastAsia="zh-CN"/>
              </w:rPr>
              <w:t>）</w:t>
            </w:r>
            <w:r w:rsidRPr="006645D9">
              <w:rPr>
                <w:rFonts w:cs="Calibri" w:hint="eastAsia"/>
                <w:color w:val="000000"/>
                <w:sz w:val="20"/>
                <w:lang w:val="en-US" w:eastAsia="zh-CN"/>
              </w:rPr>
              <w:t>，</w:t>
            </w:r>
            <w:r w:rsidRPr="006645D9">
              <w:rPr>
                <w:rFonts w:cs="Calibri"/>
                <w:color w:val="000000"/>
                <w:sz w:val="20"/>
                <w:lang w:val="en-US" w:eastAsia="zh-CN"/>
              </w:rPr>
              <w:t>Navi Mumbai</w:t>
            </w:r>
          </w:p>
        </w:tc>
        <w:tc>
          <w:tcPr>
            <w:tcW w:w="960" w:type="dxa"/>
            <w:shd w:val="clear" w:color="000000" w:fill="FFFFFF"/>
            <w:noWrap/>
            <w:vAlign w:val="center"/>
            <w:hideMark/>
          </w:tcPr>
          <w:p w14:paraId="4805020B" w14:textId="4813003D" w:rsidR="006645D9" w:rsidRPr="00F2736F" w:rsidRDefault="006645D9" w:rsidP="006645D9">
            <w:pPr>
              <w:pStyle w:val="Tabletext"/>
              <w:jc w:val="left"/>
              <w:rPr>
                <w:sz w:val="16"/>
                <w:szCs w:val="16"/>
              </w:rPr>
            </w:pPr>
            <w:r w:rsidRPr="00C02F66">
              <w:rPr>
                <w:rFonts w:cs="Calibri"/>
                <w:sz w:val="16"/>
                <w:szCs w:val="16"/>
                <w:lang w:eastAsia="en-GB"/>
              </w:rPr>
              <w:t>2009</w:t>
            </w:r>
          </w:p>
        </w:tc>
        <w:tc>
          <w:tcPr>
            <w:tcW w:w="1080" w:type="dxa"/>
            <w:shd w:val="clear" w:color="000000" w:fill="FFFFFF"/>
            <w:noWrap/>
            <w:vAlign w:val="center"/>
            <w:hideMark/>
          </w:tcPr>
          <w:p w14:paraId="032C3964" w14:textId="53FC73EC" w:rsidR="006645D9" w:rsidRPr="00F2736F" w:rsidRDefault="006645D9" w:rsidP="006645D9">
            <w:pPr>
              <w:pStyle w:val="Tabletext"/>
              <w:jc w:val="left"/>
              <w:rPr>
                <w:sz w:val="16"/>
                <w:szCs w:val="16"/>
              </w:rPr>
            </w:pPr>
            <w:r w:rsidRPr="00C02F66">
              <w:rPr>
                <w:rFonts w:cs="Calibri"/>
                <w:color w:val="000000"/>
                <w:sz w:val="16"/>
                <w:szCs w:val="16"/>
                <w:lang w:eastAsia="en-GB"/>
              </w:rPr>
              <w:t>67.575,00</w:t>
            </w:r>
          </w:p>
        </w:tc>
        <w:tc>
          <w:tcPr>
            <w:tcW w:w="1120" w:type="dxa"/>
            <w:shd w:val="clear" w:color="000000" w:fill="FFFFFF"/>
            <w:noWrap/>
            <w:vAlign w:val="center"/>
            <w:hideMark/>
          </w:tcPr>
          <w:p w14:paraId="52A25930" w14:textId="4233477B" w:rsidR="006645D9" w:rsidRPr="00F2736F" w:rsidRDefault="006645D9" w:rsidP="006645D9">
            <w:pPr>
              <w:pStyle w:val="Tabletext"/>
              <w:rPr>
                <w:sz w:val="16"/>
                <w:szCs w:val="16"/>
              </w:rPr>
            </w:pPr>
            <w:r w:rsidRPr="00C02F66">
              <w:rPr>
                <w:rFonts w:cs="Calibri"/>
                <w:color w:val="000000"/>
                <w:sz w:val="16"/>
                <w:szCs w:val="16"/>
                <w:lang w:eastAsia="en-GB"/>
              </w:rPr>
              <w:t>57.979,60</w:t>
            </w:r>
          </w:p>
        </w:tc>
        <w:tc>
          <w:tcPr>
            <w:tcW w:w="1180" w:type="dxa"/>
            <w:shd w:val="clear" w:color="000000" w:fill="FFFFFF"/>
            <w:noWrap/>
            <w:vAlign w:val="center"/>
            <w:hideMark/>
          </w:tcPr>
          <w:p w14:paraId="3944788E" w14:textId="68B0AF4A" w:rsidR="006645D9" w:rsidRPr="00F2736F" w:rsidRDefault="006645D9" w:rsidP="006645D9">
            <w:pPr>
              <w:pStyle w:val="Tabletext"/>
              <w:rPr>
                <w:sz w:val="16"/>
                <w:szCs w:val="16"/>
              </w:rPr>
            </w:pPr>
            <w:r w:rsidRPr="00C02F66">
              <w:rPr>
                <w:rFonts w:cs="Calibri"/>
                <w:color w:val="000000"/>
                <w:sz w:val="16"/>
                <w:szCs w:val="16"/>
                <w:lang w:eastAsia="en-GB"/>
              </w:rPr>
              <w:t>125.554,60</w:t>
            </w:r>
          </w:p>
        </w:tc>
      </w:tr>
      <w:tr w:rsidR="006645D9" w:rsidRPr="00FB13C1" w14:paraId="14EE0F60" w14:textId="77777777" w:rsidTr="00442968">
        <w:trPr>
          <w:trHeight w:val="283"/>
        </w:trPr>
        <w:tc>
          <w:tcPr>
            <w:tcW w:w="1200" w:type="dxa"/>
            <w:shd w:val="clear" w:color="auto" w:fill="auto"/>
            <w:noWrap/>
            <w:vAlign w:val="center"/>
            <w:hideMark/>
          </w:tcPr>
          <w:p w14:paraId="14220C7F" w14:textId="38D99A2D" w:rsidR="006645D9" w:rsidRPr="006645D9" w:rsidRDefault="006645D9" w:rsidP="006645D9">
            <w:pPr>
              <w:pStyle w:val="Tabletext"/>
              <w:jc w:val="left"/>
              <w:rPr>
                <w:sz w:val="20"/>
              </w:rPr>
            </w:pPr>
            <w:r w:rsidRPr="006645D9">
              <w:rPr>
                <w:rFonts w:cs="Calibri" w:hint="eastAsia"/>
                <w:color w:val="000000"/>
                <w:sz w:val="20"/>
                <w:lang w:val="en-US" w:eastAsia="zh-CN"/>
              </w:rPr>
              <w:t>印度尼西亚</w:t>
            </w:r>
          </w:p>
        </w:tc>
        <w:tc>
          <w:tcPr>
            <w:tcW w:w="4020" w:type="dxa"/>
            <w:shd w:val="clear" w:color="auto" w:fill="auto"/>
            <w:noWrap/>
            <w:vAlign w:val="center"/>
            <w:hideMark/>
          </w:tcPr>
          <w:p w14:paraId="7946131D" w14:textId="095C8477" w:rsidR="006645D9" w:rsidRPr="006645D9" w:rsidRDefault="006645D9" w:rsidP="006645D9">
            <w:pPr>
              <w:pStyle w:val="Tabletext"/>
              <w:jc w:val="left"/>
              <w:rPr>
                <w:sz w:val="20"/>
              </w:rPr>
            </w:pPr>
            <w:r w:rsidRPr="006645D9">
              <w:rPr>
                <w:rFonts w:cs="Calibri"/>
                <w:color w:val="000000"/>
                <w:sz w:val="20"/>
                <w:lang w:val="en-US" w:eastAsia="zh-CN"/>
              </w:rPr>
              <w:t>PT Bakrie Telecom Tbk</w:t>
            </w:r>
            <w:r w:rsidRPr="006645D9">
              <w:rPr>
                <w:rFonts w:cs="Calibri" w:hint="eastAsia"/>
                <w:color w:val="000000"/>
                <w:sz w:val="20"/>
                <w:lang w:val="en-US" w:eastAsia="zh-CN"/>
              </w:rPr>
              <w:t>，雅加达</w:t>
            </w:r>
          </w:p>
        </w:tc>
        <w:tc>
          <w:tcPr>
            <w:tcW w:w="960" w:type="dxa"/>
            <w:shd w:val="clear" w:color="auto" w:fill="auto"/>
            <w:noWrap/>
            <w:vAlign w:val="center"/>
            <w:hideMark/>
          </w:tcPr>
          <w:p w14:paraId="10583B78" w14:textId="231EFF8E" w:rsidR="006645D9" w:rsidRPr="00F2736F" w:rsidRDefault="006645D9" w:rsidP="006645D9">
            <w:pPr>
              <w:pStyle w:val="Tabletext"/>
              <w:jc w:val="left"/>
              <w:rPr>
                <w:sz w:val="16"/>
                <w:szCs w:val="16"/>
              </w:rPr>
            </w:pPr>
            <w:r w:rsidRPr="00C02F66">
              <w:rPr>
                <w:rFonts w:cs="Calibri"/>
                <w:sz w:val="16"/>
                <w:szCs w:val="16"/>
                <w:lang w:eastAsia="en-GB"/>
              </w:rPr>
              <w:t>1997-</w:t>
            </w:r>
            <w:r w:rsidRPr="00C02F66">
              <w:rPr>
                <w:sz w:val="16"/>
              </w:rPr>
              <w:t>2002</w:t>
            </w:r>
          </w:p>
        </w:tc>
        <w:tc>
          <w:tcPr>
            <w:tcW w:w="1080" w:type="dxa"/>
            <w:shd w:val="clear" w:color="auto" w:fill="auto"/>
            <w:noWrap/>
            <w:vAlign w:val="center"/>
            <w:hideMark/>
          </w:tcPr>
          <w:p w14:paraId="23EE2EDB" w14:textId="394271FA" w:rsidR="006645D9" w:rsidRPr="00F2736F" w:rsidRDefault="006645D9" w:rsidP="006645D9">
            <w:pPr>
              <w:pStyle w:val="Tabletext"/>
              <w:jc w:val="left"/>
              <w:rPr>
                <w:sz w:val="16"/>
                <w:szCs w:val="16"/>
              </w:rPr>
            </w:pPr>
            <w:r w:rsidRPr="00C02F66">
              <w:rPr>
                <w:rFonts w:cs="Calibri"/>
                <w:color w:val="000000"/>
                <w:sz w:val="16"/>
                <w:szCs w:val="16"/>
                <w:lang w:eastAsia="en-GB"/>
              </w:rPr>
              <w:t>21.752,05</w:t>
            </w:r>
          </w:p>
        </w:tc>
        <w:tc>
          <w:tcPr>
            <w:tcW w:w="1120" w:type="dxa"/>
            <w:shd w:val="clear" w:color="auto" w:fill="auto"/>
            <w:noWrap/>
            <w:vAlign w:val="center"/>
            <w:hideMark/>
          </w:tcPr>
          <w:p w14:paraId="03884D3F" w14:textId="429D93D4" w:rsidR="006645D9" w:rsidRPr="00F2736F" w:rsidRDefault="006645D9" w:rsidP="006645D9">
            <w:pPr>
              <w:pStyle w:val="Tabletext"/>
              <w:rPr>
                <w:sz w:val="16"/>
                <w:szCs w:val="16"/>
              </w:rPr>
            </w:pPr>
            <w:r w:rsidRPr="00C02F66">
              <w:rPr>
                <w:rFonts w:cs="Calibri"/>
                <w:color w:val="000000"/>
                <w:sz w:val="16"/>
                <w:szCs w:val="16"/>
                <w:lang w:eastAsia="en-GB"/>
              </w:rPr>
              <w:t>42.734,20</w:t>
            </w:r>
          </w:p>
        </w:tc>
        <w:tc>
          <w:tcPr>
            <w:tcW w:w="1180" w:type="dxa"/>
            <w:shd w:val="clear" w:color="auto" w:fill="auto"/>
            <w:noWrap/>
            <w:vAlign w:val="center"/>
            <w:hideMark/>
          </w:tcPr>
          <w:p w14:paraId="1F081A84" w14:textId="6C219CB1" w:rsidR="006645D9" w:rsidRPr="00F2736F" w:rsidRDefault="006645D9" w:rsidP="006645D9">
            <w:pPr>
              <w:pStyle w:val="Tabletext"/>
              <w:rPr>
                <w:sz w:val="16"/>
                <w:szCs w:val="16"/>
              </w:rPr>
            </w:pPr>
            <w:r w:rsidRPr="00C02F66">
              <w:rPr>
                <w:rFonts w:cs="Calibri"/>
                <w:color w:val="000000"/>
                <w:sz w:val="16"/>
                <w:szCs w:val="16"/>
                <w:lang w:eastAsia="en-GB"/>
              </w:rPr>
              <w:t>64.486,25</w:t>
            </w:r>
          </w:p>
        </w:tc>
      </w:tr>
      <w:tr w:rsidR="006645D9" w:rsidRPr="00FB13C1" w14:paraId="25769799" w14:textId="77777777" w:rsidTr="00442968">
        <w:trPr>
          <w:trHeight w:val="283"/>
        </w:trPr>
        <w:tc>
          <w:tcPr>
            <w:tcW w:w="1200" w:type="dxa"/>
            <w:shd w:val="clear" w:color="auto" w:fill="auto"/>
            <w:noWrap/>
            <w:vAlign w:val="center"/>
            <w:hideMark/>
          </w:tcPr>
          <w:p w14:paraId="0BD08C0D" w14:textId="6DB375DA" w:rsidR="006645D9" w:rsidRPr="006645D9" w:rsidRDefault="006645D9" w:rsidP="006645D9">
            <w:pPr>
              <w:pStyle w:val="Tabletext"/>
              <w:jc w:val="left"/>
              <w:rPr>
                <w:sz w:val="20"/>
              </w:rPr>
            </w:pPr>
            <w:r w:rsidRPr="006645D9">
              <w:rPr>
                <w:rFonts w:cs="Calibri" w:hint="eastAsia"/>
                <w:color w:val="000000"/>
                <w:sz w:val="20"/>
                <w:lang w:val="en-US" w:eastAsia="zh-CN"/>
              </w:rPr>
              <w:t>以色列</w:t>
            </w:r>
          </w:p>
        </w:tc>
        <w:tc>
          <w:tcPr>
            <w:tcW w:w="4020" w:type="dxa"/>
            <w:shd w:val="clear" w:color="000000" w:fill="FFFFFF"/>
            <w:vAlign w:val="center"/>
            <w:hideMark/>
          </w:tcPr>
          <w:p w14:paraId="5A998EB6" w14:textId="2CFB2FC4" w:rsidR="006645D9" w:rsidRPr="006645D9" w:rsidRDefault="006645D9" w:rsidP="006645D9">
            <w:pPr>
              <w:pStyle w:val="Tabletext"/>
              <w:jc w:val="left"/>
              <w:rPr>
                <w:sz w:val="20"/>
              </w:rPr>
            </w:pPr>
            <w:r w:rsidRPr="006645D9">
              <w:rPr>
                <w:rFonts w:cs="Calibri"/>
                <w:color w:val="000000"/>
                <w:sz w:val="20"/>
                <w:lang w:val="en-US" w:eastAsia="zh-CN"/>
              </w:rPr>
              <w:t>Gilat</w:t>
            </w:r>
            <w:r w:rsidRPr="006645D9">
              <w:rPr>
                <w:rFonts w:cs="Calibri" w:hint="eastAsia"/>
                <w:color w:val="000000"/>
                <w:sz w:val="20"/>
                <w:lang w:val="en-US" w:eastAsia="zh-CN"/>
              </w:rPr>
              <w:t>卫星网络公司，</w:t>
            </w:r>
            <w:r w:rsidRPr="006645D9">
              <w:rPr>
                <w:rFonts w:cs="Calibri"/>
                <w:color w:val="000000"/>
                <w:sz w:val="20"/>
                <w:lang w:val="en-US" w:eastAsia="zh-CN"/>
              </w:rPr>
              <w:t>Petah Tikva</w:t>
            </w:r>
          </w:p>
        </w:tc>
        <w:tc>
          <w:tcPr>
            <w:tcW w:w="960" w:type="dxa"/>
            <w:shd w:val="clear" w:color="000000" w:fill="FFFFFF"/>
            <w:vAlign w:val="center"/>
            <w:hideMark/>
          </w:tcPr>
          <w:p w14:paraId="5004BA9A" w14:textId="0E92D887" w:rsidR="006645D9" w:rsidRPr="00F2736F" w:rsidRDefault="006645D9" w:rsidP="006645D9">
            <w:pPr>
              <w:pStyle w:val="Tabletext"/>
              <w:jc w:val="left"/>
              <w:rPr>
                <w:sz w:val="16"/>
                <w:szCs w:val="16"/>
              </w:rPr>
            </w:pPr>
            <w:r w:rsidRPr="00C02F66">
              <w:rPr>
                <w:rFonts w:cs="Calibri"/>
                <w:sz w:val="16"/>
                <w:szCs w:val="16"/>
                <w:lang w:eastAsia="en-GB"/>
              </w:rPr>
              <w:t>1997-2002</w:t>
            </w:r>
          </w:p>
        </w:tc>
        <w:tc>
          <w:tcPr>
            <w:tcW w:w="1080" w:type="dxa"/>
            <w:shd w:val="clear" w:color="000000" w:fill="FFFFFF"/>
            <w:vAlign w:val="center"/>
            <w:hideMark/>
          </w:tcPr>
          <w:p w14:paraId="607781A8" w14:textId="5FA70606" w:rsidR="006645D9" w:rsidRPr="00F2736F" w:rsidRDefault="006645D9" w:rsidP="006645D9">
            <w:pPr>
              <w:pStyle w:val="Tabletext"/>
              <w:jc w:val="left"/>
              <w:rPr>
                <w:sz w:val="16"/>
                <w:szCs w:val="16"/>
              </w:rPr>
            </w:pPr>
            <w:r w:rsidRPr="00C02F66">
              <w:rPr>
                <w:rFonts w:cs="Calibri"/>
                <w:color w:val="000000"/>
                <w:sz w:val="16"/>
                <w:szCs w:val="16"/>
                <w:lang w:eastAsia="en-GB"/>
              </w:rPr>
              <w:t>36.000,00</w:t>
            </w:r>
          </w:p>
        </w:tc>
        <w:tc>
          <w:tcPr>
            <w:tcW w:w="1120" w:type="dxa"/>
            <w:shd w:val="clear" w:color="auto" w:fill="auto"/>
            <w:noWrap/>
            <w:vAlign w:val="center"/>
            <w:hideMark/>
          </w:tcPr>
          <w:p w14:paraId="63B5F075" w14:textId="61AFF2DA" w:rsidR="006645D9" w:rsidRPr="00F2736F" w:rsidRDefault="006645D9" w:rsidP="006645D9">
            <w:pPr>
              <w:pStyle w:val="Tabletext"/>
              <w:rPr>
                <w:sz w:val="16"/>
                <w:szCs w:val="16"/>
              </w:rPr>
            </w:pPr>
            <w:r w:rsidRPr="00C02F66">
              <w:rPr>
                <w:rFonts w:cs="Calibri"/>
                <w:color w:val="000000"/>
                <w:sz w:val="16"/>
                <w:szCs w:val="16"/>
                <w:lang w:eastAsia="en-GB"/>
              </w:rPr>
              <w:t>77.629,75</w:t>
            </w:r>
          </w:p>
        </w:tc>
        <w:tc>
          <w:tcPr>
            <w:tcW w:w="1180" w:type="dxa"/>
            <w:shd w:val="clear" w:color="auto" w:fill="auto"/>
            <w:noWrap/>
            <w:vAlign w:val="center"/>
            <w:hideMark/>
          </w:tcPr>
          <w:p w14:paraId="55D69DF5" w14:textId="64AE4C39" w:rsidR="006645D9" w:rsidRPr="00F2736F" w:rsidRDefault="006645D9" w:rsidP="006645D9">
            <w:pPr>
              <w:pStyle w:val="Tabletext"/>
              <w:rPr>
                <w:sz w:val="16"/>
                <w:szCs w:val="16"/>
              </w:rPr>
            </w:pPr>
            <w:r w:rsidRPr="00C02F66">
              <w:rPr>
                <w:rFonts w:cs="Calibri"/>
                <w:color w:val="000000"/>
                <w:sz w:val="16"/>
                <w:szCs w:val="16"/>
                <w:lang w:eastAsia="en-GB"/>
              </w:rPr>
              <w:t>113.629,75</w:t>
            </w:r>
          </w:p>
        </w:tc>
      </w:tr>
      <w:tr w:rsidR="006645D9" w:rsidRPr="00FB13C1" w14:paraId="3E4E306F" w14:textId="77777777" w:rsidTr="00442968">
        <w:trPr>
          <w:trHeight w:val="283"/>
        </w:trPr>
        <w:tc>
          <w:tcPr>
            <w:tcW w:w="1200" w:type="dxa"/>
            <w:shd w:val="clear" w:color="auto" w:fill="auto"/>
            <w:noWrap/>
            <w:vAlign w:val="center"/>
            <w:hideMark/>
          </w:tcPr>
          <w:p w14:paraId="51A28905" w14:textId="0F445A8F" w:rsidR="006645D9" w:rsidRPr="006645D9" w:rsidRDefault="006645D9" w:rsidP="006645D9">
            <w:pPr>
              <w:pStyle w:val="Tabletext"/>
              <w:jc w:val="left"/>
              <w:rPr>
                <w:sz w:val="20"/>
              </w:rPr>
            </w:pPr>
            <w:r w:rsidRPr="006645D9">
              <w:rPr>
                <w:rFonts w:cs="Calibri" w:hint="eastAsia"/>
                <w:color w:val="000000"/>
                <w:sz w:val="20"/>
                <w:lang w:val="en-US" w:eastAsia="zh-CN"/>
              </w:rPr>
              <w:t>以色列</w:t>
            </w:r>
          </w:p>
        </w:tc>
        <w:tc>
          <w:tcPr>
            <w:tcW w:w="4020" w:type="dxa"/>
            <w:shd w:val="clear" w:color="auto" w:fill="auto"/>
            <w:vAlign w:val="center"/>
            <w:hideMark/>
          </w:tcPr>
          <w:p w14:paraId="636F66BF" w14:textId="20D92A85" w:rsidR="006645D9" w:rsidRPr="006645D9" w:rsidRDefault="006645D9" w:rsidP="006645D9">
            <w:pPr>
              <w:pStyle w:val="Tabletext"/>
              <w:jc w:val="left"/>
              <w:rPr>
                <w:sz w:val="20"/>
              </w:rPr>
            </w:pPr>
            <w:r w:rsidRPr="006645D9">
              <w:rPr>
                <w:rFonts w:cs="Calibri"/>
                <w:color w:val="000000"/>
                <w:sz w:val="20"/>
                <w:lang w:val="en-US" w:eastAsia="zh-CN"/>
              </w:rPr>
              <w:t>Telrad Networks Ltd, Lod</w:t>
            </w:r>
          </w:p>
        </w:tc>
        <w:tc>
          <w:tcPr>
            <w:tcW w:w="960" w:type="dxa"/>
            <w:shd w:val="clear" w:color="auto" w:fill="auto"/>
            <w:noWrap/>
            <w:vAlign w:val="center"/>
            <w:hideMark/>
          </w:tcPr>
          <w:p w14:paraId="43C596BC" w14:textId="47749A9C" w:rsidR="006645D9" w:rsidRPr="00F2736F" w:rsidRDefault="006645D9" w:rsidP="006645D9">
            <w:pPr>
              <w:pStyle w:val="Tabletext"/>
              <w:jc w:val="left"/>
              <w:rPr>
                <w:sz w:val="16"/>
                <w:szCs w:val="16"/>
              </w:rPr>
            </w:pPr>
            <w:r w:rsidRPr="00C02F66">
              <w:rPr>
                <w:rFonts w:cs="Calibri"/>
                <w:sz w:val="16"/>
                <w:szCs w:val="16"/>
                <w:lang w:eastAsia="en-GB"/>
              </w:rPr>
              <w:t>1998-2006</w:t>
            </w:r>
          </w:p>
        </w:tc>
        <w:tc>
          <w:tcPr>
            <w:tcW w:w="1080" w:type="dxa"/>
            <w:shd w:val="clear" w:color="auto" w:fill="auto"/>
            <w:noWrap/>
            <w:vAlign w:val="center"/>
            <w:hideMark/>
          </w:tcPr>
          <w:p w14:paraId="0E3492FA" w14:textId="6DF95133" w:rsidR="006645D9" w:rsidRPr="00F2736F" w:rsidRDefault="006645D9" w:rsidP="006645D9">
            <w:pPr>
              <w:pStyle w:val="Tabletext"/>
              <w:jc w:val="left"/>
              <w:rPr>
                <w:sz w:val="16"/>
                <w:szCs w:val="16"/>
              </w:rPr>
            </w:pPr>
            <w:r w:rsidRPr="00C02F66">
              <w:rPr>
                <w:rFonts w:cs="Calibri"/>
                <w:color w:val="000000"/>
                <w:sz w:val="16"/>
                <w:szCs w:val="16"/>
                <w:lang w:eastAsia="en-GB"/>
              </w:rPr>
              <w:t>39.450,</w:t>
            </w:r>
            <w:r w:rsidRPr="00C02F66">
              <w:rPr>
                <w:color w:val="000000"/>
                <w:sz w:val="16"/>
              </w:rPr>
              <w:t>00</w:t>
            </w:r>
          </w:p>
        </w:tc>
        <w:tc>
          <w:tcPr>
            <w:tcW w:w="1120" w:type="dxa"/>
            <w:shd w:val="clear" w:color="auto" w:fill="auto"/>
            <w:noWrap/>
            <w:vAlign w:val="center"/>
            <w:hideMark/>
          </w:tcPr>
          <w:p w14:paraId="11F72AC9" w14:textId="5840BF44" w:rsidR="006645D9" w:rsidRPr="00F2736F" w:rsidRDefault="006645D9" w:rsidP="006645D9">
            <w:pPr>
              <w:pStyle w:val="Tabletext"/>
              <w:rPr>
                <w:sz w:val="16"/>
                <w:szCs w:val="16"/>
              </w:rPr>
            </w:pPr>
            <w:r w:rsidRPr="00C02F66">
              <w:rPr>
                <w:rFonts w:cs="Calibri"/>
                <w:color w:val="000000"/>
                <w:sz w:val="16"/>
                <w:szCs w:val="16"/>
                <w:lang w:eastAsia="en-GB"/>
              </w:rPr>
              <w:t>59.</w:t>
            </w:r>
            <w:r w:rsidRPr="00C02F66">
              <w:rPr>
                <w:color w:val="000000"/>
                <w:sz w:val="16"/>
              </w:rPr>
              <w:t>681</w:t>
            </w:r>
            <w:r w:rsidRPr="00C02F66">
              <w:rPr>
                <w:rFonts w:cs="Calibri"/>
                <w:color w:val="000000"/>
                <w:sz w:val="16"/>
                <w:szCs w:val="16"/>
                <w:lang w:eastAsia="en-GB"/>
              </w:rPr>
              <w:t>,35</w:t>
            </w:r>
          </w:p>
        </w:tc>
        <w:tc>
          <w:tcPr>
            <w:tcW w:w="1180" w:type="dxa"/>
            <w:shd w:val="clear" w:color="auto" w:fill="auto"/>
            <w:noWrap/>
            <w:vAlign w:val="center"/>
            <w:hideMark/>
          </w:tcPr>
          <w:p w14:paraId="523109B4" w14:textId="78FA4677" w:rsidR="006645D9" w:rsidRPr="00F2736F" w:rsidRDefault="006645D9" w:rsidP="006645D9">
            <w:pPr>
              <w:pStyle w:val="Tabletext"/>
              <w:rPr>
                <w:sz w:val="16"/>
                <w:szCs w:val="16"/>
              </w:rPr>
            </w:pPr>
            <w:r w:rsidRPr="00C02F66">
              <w:rPr>
                <w:rFonts w:cs="Calibri"/>
                <w:color w:val="000000"/>
                <w:sz w:val="16"/>
                <w:szCs w:val="16"/>
                <w:lang w:eastAsia="en-GB"/>
              </w:rPr>
              <w:t>99.131,35</w:t>
            </w:r>
          </w:p>
        </w:tc>
      </w:tr>
      <w:tr w:rsidR="006645D9" w:rsidRPr="00FB13C1" w14:paraId="31A94110" w14:textId="77777777" w:rsidTr="00442968">
        <w:trPr>
          <w:trHeight w:val="283"/>
        </w:trPr>
        <w:tc>
          <w:tcPr>
            <w:tcW w:w="1200" w:type="dxa"/>
            <w:shd w:val="clear" w:color="auto" w:fill="auto"/>
            <w:noWrap/>
            <w:vAlign w:val="center"/>
            <w:hideMark/>
          </w:tcPr>
          <w:p w14:paraId="58A4D755" w14:textId="0212CE0C" w:rsidR="006645D9" w:rsidRPr="006645D9" w:rsidRDefault="006645D9" w:rsidP="006645D9">
            <w:pPr>
              <w:pStyle w:val="Tabletext"/>
              <w:jc w:val="left"/>
              <w:rPr>
                <w:sz w:val="20"/>
              </w:rPr>
            </w:pPr>
            <w:r w:rsidRPr="006645D9">
              <w:rPr>
                <w:rFonts w:cs="Calibri" w:hint="eastAsia"/>
                <w:color w:val="000000"/>
                <w:sz w:val="20"/>
                <w:lang w:val="en-US" w:eastAsia="zh-CN"/>
              </w:rPr>
              <w:t>意大利</w:t>
            </w:r>
          </w:p>
        </w:tc>
        <w:tc>
          <w:tcPr>
            <w:tcW w:w="4020" w:type="dxa"/>
            <w:shd w:val="clear" w:color="auto" w:fill="auto"/>
            <w:noWrap/>
            <w:vAlign w:val="center"/>
            <w:hideMark/>
          </w:tcPr>
          <w:p w14:paraId="46E5BCE2" w14:textId="4BB75DD2" w:rsidR="006645D9" w:rsidRPr="006645D9" w:rsidRDefault="006645D9" w:rsidP="006645D9">
            <w:pPr>
              <w:pStyle w:val="Tabletext"/>
              <w:jc w:val="left"/>
              <w:rPr>
                <w:sz w:val="20"/>
                <w:lang w:val="fr-CH"/>
              </w:rPr>
            </w:pPr>
            <w:r w:rsidRPr="006645D9">
              <w:rPr>
                <w:rFonts w:cs="Calibri"/>
                <w:color w:val="000000"/>
                <w:sz w:val="20"/>
                <w:lang w:val="en-US" w:eastAsia="zh-CN"/>
              </w:rPr>
              <w:t>Leonardo</w:t>
            </w:r>
            <w:r w:rsidRPr="006645D9">
              <w:rPr>
                <w:rFonts w:cs="Calibri"/>
                <w:color w:val="000000"/>
                <w:sz w:val="20"/>
                <w:lang w:val="en-US" w:eastAsia="zh-CN"/>
              </w:rPr>
              <w:t>（</w:t>
            </w:r>
            <w:r w:rsidRPr="006645D9">
              <w:rPr>
                <w:rFonts w:cs="Calibri" w:hint="eastAsia"/>
                <w:color w:val="000000"/>
                <w:sz w:val="20"/>
                <w:lang w:val="en-US" w:eastAsia="zh-CN"/>
              </w:rPr>
              <w:t>原</w:t>
            </w:r>
            <w:r w:rsidRPr="006645D9">
              <w:rPr>
                <w:rFonts w:cs="Calibri"/>
                <w:color w:val="000000"/>
                <w:sz w:val="20"/>
                <w:lang w:val="en-US" w:eastAsia="zh-CN"/>
              </w:rPr>
              <w:t>Selex Communications S.p.A.</w:t>
            </w:r>
            <w:r w:rsidRPr="006645D9">
              <w:rPr>
                <w:rFonts w:cs="Calibri"/>
                <w:color w:val="000000"/>
                <w:sz w:val="20"/>
                <w:lang w:val="en-US" w:eastAsia="zh-CN"/>
              </w:rPr>
              <w:t>）</w:t>
            </w:r>
            <w:r w:rsidRPr="006645D9">
              <w:rPr>
                <w:rFonts w:cs="Calibri" w:hint="eastAsia"/>
                <w:color w:val="000000"/>
                <w:sz w:val="20"/>
                <w:lang w:val="en-US" w:eastAsia="zh-CN"/>
              </w:rPr>
              <w:t>，罗马</w:t>
            </w:r>
          </w:p>
        </w:tc>
        <w:tc>
          <w:tcPr>
            <w:tcW w:w="960" w:type="dxa"/>
            <w:shd w:val="clear" w:color="auto" w:fill="auto"/>
            <w:noWrap/>
            <w:vAlign w:val="center"/>
            <w:hideMark/>
          </w:tcPr>
          <w:p w14:paraId="768BFE3E" w14:textId="44998B6B" w:rsidR="006645D9" w:rsidRPr="00F2736F" w:rsidRDefault="006645D9" w:rsidP="006645D9">
            <w:pPr>
              <w:pStyle w:val="Tabletext"/>
              <w:jc w:val="left"/>
              <w:rPr>
                <w:sz w:val="16"/>
                <w:szCs w:val="16"/>
              </w:rPr>
            </w:pPr>
            <w:r w:rsidRPr="00C02F66">
              <w:rPr>
                <w:rFonts w:cs="Calibri"/>
                <w:sz w:val="16"/>
                <w:szCs w:val="16"/>
                <w:lang w:eastAsia="en-GB"/>
              </w:rPr>
              <w:t>2001-2007</w:t>
            </w:r>
          </w:p>
        </w:tc>
        <w:tc>
          <w:tcPr>
            <w:tcW w:w="1080" w:type="dxa"/>
            <w:shd w:val="clear" w:color="auto" w:fill="auto"/>
            <w:noWrap/>
            <w:vAlign w:val="center"/>
            <w:hideMark/>
          </w:tcPr>
          <w:p w14:paraId="73A5900C" w14:textId="2B37169A" w:rsidR="006645D9" w:rsidRPr="00F2736F" w:rsidRDefault="006645D9" w:rsidP="006645D9">
            <w:pPr>
              <w:pStyle w:val="Tabletext"/>
              <w:jc w:val="left"/>
              <w:rPr>
                <w:sz w:val="16"/>
                <w:szCs w:val="16"/>
              </w:rPr>
            </w:pPr>
            <w:r w:rsidRPr="00C02F66">
              <w:rPr>
                <w:rFonts w:cs="Calibri"/>
                <w:color w:val="000000"/>
                <w:sz w:val="16"/>
                <w:szCs w:val="16"/>
                <w:lang w:eastAsia="en-GB"/>
              </w:rPr>
              <w:t>254.400,</w:t>
            </w:r>
            <w:r w:rsidRPr="00C02F66">
              <w:rPr>
                <w:color w:val="000000"/>
                <w:sz w:val="16"/>
              </w:rPr>
              <w:t>00</w:t>
            </w:r>
          </w:p>
        </w:tc>
        <w:tc>
          <w:tcPr>
            <w:tcW w:w="1120" w:type="dxa"/>
            <w:shd w:val="clear" w:color="auto" w:fill="auto"/>
            <w:noWrap/>
            <w:vAlign w:val="center"/>
            <w:hideMark/>
          </w:tcPr>
          <w:p w14:paraId="3194228F" w14:textId="4CF8F151" w:rsidR="006645D9" w:rsidRPr="00F2736F" w:rsidRDefault="006645D9" w:rsidP="006645D9">
            <w:pPr>
              <w:pStyle w:val="Tabletext"/>
              <w:rPr>
                <w:sz w:val="16"/>
                <w:szCs w:val="16"/>
              </w:rPr>
            </w:pPr>
            <w:r w:rsidRPr="00C02F66">
              <w:rPr>
                <w:rFonts w:cs="Calibri"/>
                <w:color w:val="000000"/>
                <w:sz w:val="16"/>
                <w:szCs w:val="16"/>
                <w:lang w:eastAsia="en-GB"/>
              </w:rPr>
              <w:t>324.693,00</w:t>
            </w:r>
          </w:p>
        </w:tc>
        <w:tc>
          <w:tcPr>
            <w:tcW w:w="1180" w:type="dxa"/>
            <w:shd w:val="clear" w:color="auto" w:fill="auto"/>
            <w:noWrap/>
            <w:vAlign w:val="center"/>
            <w:hideMark/>
          </w:tcPr>
          <w:p w14:paraId="1AFE87B7" w14:textId="30A8298D" w:rsidR="006645D9" w:rsidRPr="00F2736F" w:rsidRDefault="006645D9" w:rsidP="006645D9">
            <w:pPr>
              <w:pStyle w:val="Tabletext"/>
              <w:rPr>
                <w:sz w:val="16"/>
                <w:szCs w:val="16"/>
              </w:rPr>
            </w:pPr>
            <w:r w:rsidRPr="00C02F66">
              <w:rPr>
                <w:rFonts w:cs="Calibri"/>
                <w:color w:val="000000"/>
                <w:sz w:val="16"/>
                <w:szCs w:val="16"/>
                <w:lang w:eastAsia="en-GB"/>
              </w:rPr>
              <w:t>579.093,00</w:t>
            </w:r>
          </w:p>
        </w:tc>
      </w:tr>
      <w:tr w:rsidR="006645D9" w:rsidRPr="00FB13C1" w14:paraId="57A292D1" w14:textId="77777777" w:rsidTr="00442968">
        <w:trPr>
          <w:trHeight w:val="283"/>
        </w:trPr>
        <w:tc>
          <w:tcPr>
            <w:tcW w:w="1200" w:type="dxa"/>
            <w:shd w:val="clear" w:color="auto" w:fill="auto"/>
            <w:noWrap/>
            <w:vAlign w:val="center"/>
            <w:hideMark/>
          </w:tcPr>
          <w:p w14:paraId="4531C486" w14:textId="6EDA86D1" w:rsidR="006645D9" w:rsidRPr="006645D9" w:rsidRDefault="006645D9" w:rsidP="006645D9">
            <w:pPr>
              <w:pStyle w:val="Tabletext"/>
              <w:jc w:val="left"/>
              <w:rPr>
                <w:sz w:val="20"/>
              </w:rPr>
            </w:pPr>
            <w:r w:rsidRPr="006645D9">
              <w:rPr>
                <w:rFonts w:cs="Calibri" w:hint="eastAsia"/>
                <w:color w:val="000000"/>
                <w:sz w:val="20"/>
                <w:lang w:val="en-US" w:eastAsia="zh-CN"/>
              </w:rPr>
              <w:t>韩国</w:t>
            </w:r>
          </w:p>
        </w:tc>
        <w:tc>
          <w:tcPr>
            <w:tcW w:w="4020" w:type="dxa"/>
            <w:shd w:val="clear" w:color="auto" w:fill="auto"/>
            <w:noWrap/>
            <w:vAlign w:val="center"/>
            <w:hideMark/>
          </w:tcPr>
          <w:p w14:paraId="214D2DFC" w14:textId="62D971C6" w:rsidR="006645D9" w:rsidRPr="006645D9" w:rsidRDefault="006645D9" w:rsidP="006645D9">
            <w:pPr>
              <w:pStyle w:val="Tabletext"/>
              <w:jc w:val="left"/>
              <w:rPr>
                <w:sz w:val="20"/>
              </w:rPr>
            </w:pPr>
            <w:r w:rsidRPr="006645D9">
              <w:rPr>
                <w:rFonts w:cs="Calibri" w:hint="eastAsia"/>
                <w:color w:val="000000"/>
                <w:sz w:val="20"/>
                <w:lang w:val="en-US" w:eastAsia="zh-CN"/>
              </w:rPr>
              <w:t>韩国</w:t>
            </w:r>
            <w:r w:rsidRPr="006645D9">
              <w:rPr>
                <w:rFonts w:cs="Calibri"/>
                <w:color w:val="000000"/>
                <w:sz w:val="20"/>
                <w:lang w:val="en-US" w:eastAsia="zh-CN"/>
              </w:rPr>
              <w:t>SUNY</w:t>
            </w:r>
            <w:r w:rsidRPr="006645D9">
              <w:rPr>
                <w:rFonts w:cs="Calibri" w:hint="eastAsia"/>
                <w:color w:val="000000"/>
                <w:sz w:val="20"/>
                <w:lang w:val="en-US" w:eastAsia="zh-CN"/>
              </w:rPr>
              <w:t>，仁川</w:t>
            </w:r>
          </w:p>
        </w:tc>
        <w:tc>
          <w:tcPr>
            <w:tcW w:w="960" w:type="dxa"/>
            <w:shd w:val="clear" w:color="auto" w:fill="auto"/>
            <w:noWrap/>
            <w:vAlign w:val="center"/>
            <w:hideMark/>
          </w:tcPr>
          <w:p w14:paraId="28E9E634" w14:textId="3FDFE5F3" w:rsidR="006645D9" w:rsidRPr="00F2736F" w:rsidRDefault="006645D9" w:rsidP="006645D9">
            <w:pPr>
              <w:pStyle w:val="Tabletext"/>
              <w:jc w:val="left"/>
              <w:rPr>
                <w:sz w:val="16"/>
                <w:szCs w:val="16"/>
              </w:rPr>
            </w:pPr>
            <w:r w:rsidRPr="00C02F66">
              <w:rPr>
                <w:rFonts w:cs="Calibri"/>
                <w:sz w:val="16"/>
                <w:szCs w:val="16"/>
                <w:lang w:eastAsia="en-GB"/>
              </w:rPr>
              <w:t>2018</w:t>
            </w:r>
          </w:p>
        </w:tc>
        <w:tc>
          <w:tcPr>
            <w:tcW w:w="1080" w:type="dxa"/>
            <w:shd w:val="clear" w:color="auto" w:fill="auto"/>
            <w:noWrap/>
            <w:vAlign w:val="center"/>
            <w:hideMark/>
          </w:tcPr>
          <w:p w14:paraId="30312193" w14:textId="1BC51C3C" w:rsidR="006645D9" w:rsidRPr="00F2736F" w:rsidRDefault="006645D9" w:rsidP="006645D9">
            <w:pPr>
              <w:pStyle w:val="Tabletext"/>
              <w:jc w:val="left"/>
              <w:rPr>
                <w:sz w:val="16"/>
                <w:szCs w:val="16"/>
              </w:rPr>
            </w:pPr>
            <w:r w:rsidRPr="00C02F66">
              <w:rPr>
                <w:rFonts w:cs="Calibri"/>
                <w:color w:val="000000"/>
                <w:sz w:val="16"/>
                <w:szCs w:val="16"/>
                <w:lang w:eastAsia="en-GB"/>
              </w:rPr>
              <w:t>1.821,88</w:t>
            </w:r>
          </w:p>
        </w:tc>
        <w:tc>
          <w:tcPr>
            <w:tcW w:w="1120" w:type="dxa"/>
            <w:shd w:val="clear" w:color="auto" w:fill="auto"/>
            <w:noWrap/>
            <w:vAlign w:val="center"/>
            <w:hideMark/>
          </w:tcPr>
          <w:p w14:paraId="67E1BF38" w14:textId="6331A6A4" w:rsidR="006645D9" w:rsidRPr="00F2736F" w:rsidRDefault="006645D9" w:rsidP="006645D9">
            <w:pPr>
              <w:pStyle w:val="Tabletext"/>
              <w:rPr>
                <w:sz w:val="16"/>
                <w:szCs w:val="16"/>
              </w:rPr>
            </w:pPr>
            <w:r w:rsidRPr="00C02F66">
              <w:rPr>
                <w:rFonts w:cs="Calibri"/>
                <w:color w:val="000000"/>
                <w:sz w:val="16"/>
                <w:szCs w:val="16"/>
                <w:lang w:eastAsia="en-GB"/>
              </w:rPr>
              <w:t>181,75</w:t>
            </w:r>
          </w:p>
        </w:tc>
        <w:tc>
          <w:tcPr>
            <w:tcW w:w="1180" w:type="dxa"/>
            <w:shd w:val="clear" w:color="auto" w:fill="auto"/>
            <w:noWrap/>
            <w:vAlign w:val="center"/>
            <w:hideMark/>
          </w:tcPr>
          <w:p w14:paraId="5A71B7BC" w14:textId="6C3B6936" w:rsidR="006645D9" w:rsidRPr="00F2736F" w:rsidRDefault="006645D9" w:rsidP="006645D9">
            <w:pPr>
              <w:pStyle w:val="Tabletext"/>
              <w:rPr>
                <w:sz w:val="16"/>
                <w:szCs w:val="16"/>
              </w:rPr>
            </w:pPr>
            <w:r w:rsidRPr="00C02F66">
              <w:rPr>
                <w:rFonts w:cs="Calibri"/>
                <w:color w:val="000000"/>
                <w:sz w:val="16"/>
                <w:szCs w:val="16"/>
                <w:lang w:eastAsia="en-GB"/>
              </w:rPr>
              <w:t>2.003,63</w:t>
            </w:r>
          </w:p>
        </w:tc>
      </w:tr>
      <w:tr w:rsidR="006645D9" w:rsidRPr="00FB13C1" w14:paraId="0F11FC22" w14:textId="77777777" w:rsidTr="00442968">
        <w:trPr>
          <w:trHeight w:val="283"/>
        </w:trPr>
        <w:tc>
          <w:tcPr>
            <w:tcW w:w="1200" w:type="dxa"/>
            <w:shd w:val="clear" w:color="auto" w:fill="auto"/>
            <w:noWrap/>
            <w:vAlign w:val="center"/>
            <w:hideMark/>
          </w:tcPr>
          <w:p w14:paraId="12E74EDE" w14:textId="3C6DE663" w:rsidR="006645D9" w:rsidRPr="006645D9" w:rsidRDefault="006645D9" w:rsidP="006645D9">
            <w:pPr>
              <w:pStyle w:val="Tabletext"/>
              <w:jc w:val="left"/>
              <w:rPr>
                <w:sz w:val="20"/>
              </w:rPr>
            </w:pPr>
            <w:r w:rsidRPr="006645D9">
              <w:rPr>
                <w:rFonts w:cs="Calibri" w:hint="eastAsia"/>
                <w:color w:val="000000"/>
                <w:sz w:val="20"/>
                <w:lang w:val="en-US" w:eastAsia="zh-CN"/>
              </w:rPr>
              <w:t>黎巴嫩</w:t>
            </w:r>
          </w:p>
        </w:tc>
        <w:tc>
          <w:tcPr>
            <w:tcW w:w="4020" w:type="dxa"/>
            <w:shd w:val="clear" w:color="auto" w:fill="auto"/>
            <w:noWrap/>
            <w:vAlign w:val="center"/>
            <w:hideMark/>
          </w:tcPr>
          <w:p w14:paraId="4EC9668D" w14:textId="3C1E5E1C" w:rsidR="006645D9" w:rsidRPr="006645D9" w:rsidRDefault="006645D9" w:rsidP="006645D9">
            <w:pPr>
              <w:pStyle w:val="Tabletext"/>
              <w:jc w:val="left"/>
              <w:rPr>
                <w:sz w:val="20"/>
              </w:rPr>
            </w:pPr>
            <w:r w:rsidRPr="006645D9">
              <w:rPr>
                <w:rFonts w:cs="Calibri"/>
                <w:color w:val="000000"/>
                <w:sz w:val="20"/>
                <w:lang w:val="en-US" w:eastAsia="zh-CN"/>
              </w:rPr>
              <w:t>Al-Iktissad Wal-Aamal</w:t>
            </w:r>
            <w:r w:rsidRPr="006645D9">
              <w:rPr>
                <w:rFonts w:cs="Calibri" w:hint="eastAsia"/>
                <w:color w:val="000000"/>
                <w:sz w:val="20"/>
                <w:lang w:val="en-US" w:eastAsia="zh-CN"/>
              </w:rPr>
              <w:t>集团，贝鲁特</w:t>
            </w:r>
          </w:p>
        </w:tc>
        <w:tc>
          <w:tcPr>
            <w:tcW w:w="960" w:type="dxa"/>
            <w:shd w:val="clear" w:color="auto" w:fill="auto"/>
            <w:noWrap/>
            <w:vAlign w:val="center"/>
            <w:hideMark/>
          </w:tcPr>
          <w:p w14:paraId="1F700924" w14:textId="35C0B73E" w:rsidR="006645D9" w:rsidRPr="00F2736F" w:rsidRDefault="006645D9" w:rsidP="006645D9">
            <w:pPr>
              <w:pStyle w:val="Tabletext"/>
              <w:jc w:val="left"/>
              <w:rPr>
                <w:sz w:val="16"/>
                <w:szCs w:val="16"/>
              </w:rPr>
            </w:pPr>
            <w:r w:rsidRPr="00C02F66">
              <w:rPr>
                <w:rFonts w:cs="Calibri"/>
                <w:sz w:val="16"/>
                <w:szCs w:val="16"/>
                <w:lang w:eastAsia="en-GB"/>
              </w:rPr>
              <w:t>2015</w:t>
            </w:r>
          </w:p>
        </w:tc>
        <w:tc>
          <w:tcPr>
            <w:tcW w:w="1080" w:type="dxa"/>
            <w:shd w:val="clear" w:color="auto" w:fill="auto"/>
            <w:noWrap/>
            <w:vAlign w:val="center"/>
            <w:hideMark/>
          </w:tcPr>
          <w:p w14:paraId="281B5C5B" w14:textId="3DAF5E10" w:rsidR="006645D9" w:rsidRPr="00F2736F" w:rsidRDefault="006645D9" w:rsidP="006645D9">
            <w:pPr>
              <w:pStyle w:val="Tabletext"/>
              <w:jc w:val="left"/>
              <w:rPr>
                <w:sz w:val="16"/>
                <w:szCs w:val="16"/>
              </w:rPr>
            </w:pPr>
            <w:r w:rsidRPr="00C02F66">
              <w:rPr>
                <w:rFonts w:cs="Calibri"/>
                <w:color w:val="000000"/>
                <w:sz w:val="16"/>
                <w:szCs w:val="16"/>
                <w:lang w:eastAsia="en-GB"/>
              </w:rPr>
              <w:t>3.975,</w:t>
            </w:r>
            <w:r w:rsidRPr="00C02F66">
              <w:rPr>
                <w:color w:val="000000"/>
                <w:sz w:val="16"/>
              </w:rPr>
              <w:t>00</w:t>
            </w:r>
          </w:p>
        </w:tc>
        <w:tc>
          <w:tcPr>
            <w:tcW w:w="1120" w:type="dxa"/>
            <w:shd w:val="clear" w:color="auto" w:fill="auto"/>
            <w:noWrap/>
            <w:vAlign w:val="center"/>
            <w:hideMark/>
          </w:tcPr>
          <w:p w14:paraId="3CB2E454" w14:textId="3D9BF845" w:rsidR="006645D9" w:rsidRPr="00F2736F" w:rsidRDefault="006645D9" w:rsidP="006645D9">
            <w:pPr>
              <w:pStyle w:val="Tabletext"/>
              <w:rPr>
                <w:sz w:val="16"/>
                <w:szCs w:val="16"/>
              </w:rPr>
            </w:pPr>
            <w:r w:rsidRPr="00C02F66">
              <w:rPr>
                <w:rFonts w:cs="Calibri"/>
                <w:color w:val="000000"/>
                <w:sz w:val="16"/>
                <w:szCs w:val="16"/>
                <w:lang w:eastAsia="en-GB"/>
              </w:rPr>
              <w:t>1.231,</w:t>
            </w:r>
            <w:r w:rsidRPr="00C02F66">
              <w:rPr>
                <w:color w:val="000000"/>
                <w:sz w:val="16"/>
              </w:rPr>
              <w:t>55</w:t>
            </w:r>
          </w:p>
        </w:tc>
        <w:tc>
          <w:tcPr>
            <w:tcW w:w="1180" w:type="dxa"/>
            <w:shd w:val="clear" w:color="auto" w:fill="auto"/>
            <w:noWrap/>
            <w:vAlign w:val="center"/>
            <w:hideMark/>
          </w:tcPr>
          <w:p w14:paraId="35EE391E" w14:textId="70300AA0" w:rsidR="006645D9" w:rsidRPr="00F2736F" w:rsidRDefault="006645D9" w:rsidP="006645D9">
            <w:pPr>
              <w:pStyle w:val="Tabletext"/>
              <w:rPr>
                <w:sz w:val="16"/>
                <w:szCs w:val="16"/>
              </w:rPr>
            </w:pPr>
            <w:r w:rsidRPr="00C02F66">
              <w:rPr>
                <w:rFonts w:cs="Calibri"/>
                <w:color w:val="000000"/>
                <w:sz w:val="16"/>
                <w:szCs w:val="16"/>
                <w:lang w:eastAsia="en-GB"/>
              </w:rPr>
              <w:t>5.206,</w:t>
            </w:r>
            <w:r w:rsidRPr="00C02F66">
              <w:rPr>
                <w:color w:val="000000"/>
                <w:sz w:val="16"/>
              </w:rPr>
              <w:t>55</w:t>
            </w:r>
          </w:p>
        </w:tc>
      </w:tr>
      <w:tr w:rsidR="006645D9" w:rsidRPr="00FB13C1" w14:paraId="64C4E421" w14:textId="77777777" w:rsidTr="00442968">
        <w:trPr>
          <w:trHeight w:val="283"/>
        </w:trPr>
        <w:tc>
          <w:tcPr>
            <w:tcW w:w="1200" w:type="dxa"/>
            <w:shd w:val="clear" w:color="auto" w:fill="auto"/>
            <w:noWrap/>
            <w:vAlign w:val="center"/>
            <w:hideMark/>
          </w:tcPr>
          <w:p w14:paraId="40025BB9" w14:textId="74F53455" w:rsidR="006645D9" w:rsidRPr="006645D9" w:rsidRDefault="006645D9" w:rsidP="006645D9">
            <w:pPr>
              <w:pStyle w:val="Tabletext"/>
              <w:jc w:val="left"/>
              <w:rPr>
                <w:sz w:val="20"/>
              </w:rPr>
            </w:pPr>
            <w:r w:rsidRPr="006645D9">
              <w:rPr>
                <w:rFonts w:cs="Calibri" w:hint="eastAsia"/>
                <w:color w:val="000000"/>
                <w:sz w:val="20"/>
                <w:lang w:val="en-US" w:eastAsia="zh-CN"/>
              </w:rPr>
              <w:t>黎巴嫩</w:t>
            </w:r>
          </w:p>
        </w:tc>
        <w:tc>
          <w:tcPr>
            <w:tcW w:w="4020" w:type="dxa"/>
            <w:shd w:val="clear" w:color="auto" w:fill="auto"/>
            <w:noWrap/>
            <w:vAlign w:val="center"/>
            <w:hideMark/>
          </w:tcPr>
          <w:p w14:paraId="3585AAF7" w14:textId="6C4D80CA" w:rsidR="006645D9" w:rsidRPr="006645D9" w:rsidRDefault="006645D9" w:rsidP="006645D9">
            <w:pPr>
              <w:pStyle w:val="Tabletext"/>
              <w:jc w:val="left"/>
              <w:rPr>
                <w:sz w:val="20"/>
              </w:rPr>
            </w:pPr>
            <w:r w:rsidRPr="006645D9">
              <w:rPr>
                <w:rFonts w:cs="Calibri"/>
                <w:color w:val="000000"/>
                <w:sz w:val="20"/>
                <w:lang w:val="en-US" w:eastAsia="zh-CN"/>
              </w:rPr>
              <w:t>IMDI, Sal offshore</w:t>
            </w:r>
            <w:r w:rsidRPr="006645D9">
              <w:rPr>
                <w:rFonts w:cs="Calibri" w:hint="eastAsia"/>
                <w:color w:val="000000"/>
                <w:sz w:val="20"/>
                <w:lang w:val="en-US" w:eastAsia="zh-CN"/>
              </w:rPr>
              <w:t>，贝鲁特</w:t>
            </w:r>
          </w:p>
        </w:tc>
        <w:tc>
          <w:tcPr>
            <w:tcW w:w="960" w:type="dxa"/>
            <w:shd w:val="clear" w:color="auto" w:fill="auto"/>
            <w:noWrap/>
            <w:vAlign w:val="center"/>
            <w:hideMark/>
          </w:tcPr>
          <w:p w14:paraId="63FC88A4" w14:textId="237BFF62" w:rsidR="006645D9" w:rsidRPr="00F2736F" w:rsidRDefault="006645D9" w:rsidP="006645D9">
            <w:pPr>
              <w:pStyle w:val="Tabletext"/>
              <w:jc w:val="left"/>
              <w:rPr>
                <w:sz w:val="16"/>
                <w:szCs w:val="16"/>
              </w:rPr>
            </w:pPr>
            <w:r w:rsidRPr="00C02F66">
              <w:rPr>
                <w:sz w:val="16"/>
              </w:rPr>
              <w:t>2011</w:t>
            </w:r>
          </w:p>
        </w:tc>
        <w:tc>
          <w:tcPr>
            <w:tcW w:w="1080" w:type="dxa"/>
            <w:shd w:val="clear" w:color="auto" w:fill="auto"/>
            <w:noWrap/>
            <w:vAlign w:val="center"/>
            <w:hideMark/>
          </w:tcPr>
          <w:p w14:paraId="6A12DD48" w14:textId="3060DBC3" w:rsidR="006645D9" w:rsidRPr="00F2736F" w:rsidRDefault="006645D9" w:rsidP="006645D9">
            <w:pPr>
              <w:pStyle w:val="Tabletext"/>
              <w:jc w:val="left"/>
              <w:rPr>
                <w:sz w:val="16"/>
                <w:szCs w:val="16"/>
              </w:rPr>
            </w:pPr>
            <w:r w:rsidRPr="00C02F66">
              <w:rPr>
                <w:rFonts w:cs="Calibri"/>
                <w:color w:val="000000"/>
                <w:sz w:val="16"/>
                <w:szCs w:val="16"/>
                <w:lang w:eastAsia="en-GB"/>
              </w:rPr>
              <w:t>3.975,</w:t>
            </w:r>
            <w:r w:rsidRPr="00C02F66">
              <w:rPr>
                <w:color w:val="000000"/>
                <w:sz w:val="16"/>
              </w:rPr>
              <w:t>00</w:t>
            </w:r>
          </w:p>
        </w:tc>
        <w:tc>
          <w:tcPr>
            <w:tcW w:w="1120" w:type="dxa"/>
            <w:shd w:val="clear" w:color="auto" w:fill="auto"/>
            <w:noWrap/>
            <w:vAlign w:val="center"/>
            <w:hideMark/>
          </w:tcPr>
          <w:p w14:paraId="70C00DF6" w14:textId="19833125" w:rsidR="006645D9" w:rsidRPr="00F2736F" w:rsidRDefault="006645D9" w:rsidP="006645D9">
            <w:pPr>
              <w:pStyle w:val="Tabletext"/>
              <w:rPr>
                <w:sz w:val="16"/>
                <w:szCs w:val="16"/>
              </w:rPr>
            </w:pPr>
            <w:r w:rsidRPr="00C02F66">
              <w:rPr>
                <w:rFonts w:cs="Calibri"/>
                <w:color w:val="000000"/>
                <w:sz w:val="16"/>
                <w:szCs w:val="16"/>
                <w:lang w:eastAsia="en-GB"/>
              </w:rPr>
              <w:t>2.598,15</w:t>
            </w:r>
          </w:p>
        </w:tc>
        <w:tc>
          <w:tcPr>
            <w:tcW w:w="1180" w:type="dxa"/>
            <w:shd w:val="clear" w:color="auto" w:fill="auto"/>
            <w:noWrap/>
            <w:vAlign w:val="center"/>
            <w:hideMark/>
          </w:tcPr>
          <w:p w14:paraId="12E48B69" w14:textId="1C045C13" w:rsidR="006645D9" w:rsidRPr="00F2736F" w:rsidRDefault="006645D9" w:rsidP="006645D9">
            <w:pPr>
              <w:pStyle w:val="Tabletext"/>
              <w:rPr>
                <w:sz w:val="16"/>
                <w:szCs w:val="16"/>
              </w:rPr>
            </w:pPr>
            <w:r w:rsidRPr="00C02F66">
              <w:rPr>
                <w:rFonts w:cs="Calibri"/>
                <w:color w:val="000000"/>
                <w:sz w:val="16"/>
                <w:szCs w:val="16"/>
                <w:lang w:eastAsia="en-GB"/>
              </w:rPr>
              <w:t>6.573,</w:t>
            </w:r>
            <w:r w:rsidRPr="00C02F66">
              <w:rPr>
                <w:color w:val="000000"/>
                <w:sz w:val="16"/>
              </w:rPr>
              <w:t>15</w:t>
            </w:r>
          </w:p>
        </w:tc>
      </w:tr>
      <w:tr w:rsidR="006645D9" w:rsidRPr="00FB13C1" w14:paraId="24491796" w14:textId="77777777" w:rsidTr="00442968">
        <w:trPr>
          <w:trHeight w:val="283"/>
        </w:trPr>
        <w:tc>
          <w:tcPr>
            <w:tcW w:w="1200" w:type="dxa"/>
            <w:shd w:val="clear" w:color="auto" w:fill="auto"/>
            <w:noWrap/>
            <w:vAlign w:val="center"/>
            <w:hideMark/>
          </w:tcPr>
          <w:p w14:paraId="7070AD89" w14:textId="1C8D9422" w:rsidR="006645D9" w:rsidRPr="006645D9" w:rsidRDefault="006645D9" w:rsidP="006645D9">
            <w:pPr>
              <w:pStyle w:val="Tabletext"/>
              <w:jc w:val="left"/>
              <w:rPr>
                <w:sz w:val="20"/>
              </w:rPr>
            </w:pPr>
            <w:r w:rsidRPr="006645D9">
              <w:rPr>
                <w:rFonts w:cs="Calibri" w:hint="eastAsia"/>
                <w:color w:val="000000"/>
                <w:sz w:val="20"/>
                <w:lang w:val="en-US" w:eastAsia="zh-CN"/>
              </w:rPr>
              <w:t>巴基斯坦</w:t>
            </w:r>
          </w:p>
        </w:tc>
        <w:tc>
          <w:tcPr>
            <w:tcW w:w="4020" w:type="dxa"/>
            <w:shd w:val="clear" w:color="auto" w:fill="auto"/>
            <w:noWrap/>
            <w:vAlign w:val="center"/>
            <w:hideMark/>
          </w:tcPr>
          <w:p w14:paraId="2DBE6206" w14:textId="749F6DC0" w:rsidR="006645D9" w:rsidRPr="006645D9" w:rsidRDefault="006645D9" w:rsidP="006645D9">
            <w:pPr>
              <w:pStyle w:val="Tabletext"/>
              <w:jc w:val="left"/>
              <w:rPr>
                <w:sz w:val="20"/>
              </w:rPr>
            </w:pPr>
            <w:r w:rsidRPr="006645D9">
              <w:rPr>
                <w:rFonts w:cs="Calibri"/>
                <w:color w:val="000000"/>
                <w:sz w:val="20"/>
                <w:lang w:eastAsia="zh-CN"/>
              </w:rPr>
              <w:t>Sysnet Pakistan (Pvt</w:t>
            </w:r>
            <w:r w:rsidRPr="006645D9">
              <w:rPr>
                <w:rFonts w:cs="Calibri" w:hint="eastAsia"/>
                <w:color w:val="000000"/>
                <w:sz w:val="20"/>
                <w:lang w:eastAsia="zh-CN"/>
              </w:rPr>
              <w:t>)</w:t>
            </w:r>
            <w:r w:rsidRPr="006645D9">
              <w:rPr>
                <w:rFonts w:cs="Calibri"/>
                <w:color w:val="000000"/>
                <w:sz w:val="20"/>
                <w:lang w:eastAsia="zh-CN"/>
              </w:rPr>
              <w:t xml:space="preserve"> Ltd.</w:t>
            </w:r>
            <w:r w:rsidRPr="006645D9">
              <w:rPr>
                <w:rFonts w:cs="Calibri" w:hint="eastAsia"/>
                <w:color w:val="000000"/>
                <w:sz w:val="20"/>
                <w:lang w:eastAsia="zh-CN"/>
              </w:rPr>
              <w:t>，</w:t>
            </w:r>
            <w:r w:rsidRPr="006645D9">
              <w:rPr>
                <w:rFonts w:cs="Calibri" w:hint="eastAsia"/>
                <w:color w:val="000000"/>
                <w:sz w:val="20"/>
                <w:lang w:val="en-US" w:eastAsia="zh-CN"/>
              </w:rPr>
              <w:t>卡拉奇</w:t>
            </w:r>
          </w:p>
        </w:tc>
        <w:tc>
          <w:tcPr>
            <w:tcW w:w="960" w:type="dxa"/>
            <w:shd w:val="clear" w:color="auto" w:fill="auto"/>
            <w:noWrap/>
            <w:vAlign w:val="center"/>
            <w:hideMark/>
          </w:tcPr>
          <w:p w14:paraId="7BC34064" w14:textId="430B165B" w:rsidR="006645D9" w:rsidRPr="00F2736F" w:rsidRDefault="006645D9" w:rsidP="006645D9">
            <w:pPr>
              <w:pStyle w:val="Tabletext"/>
              <w:jc w:val="left"/>
              <w:rPr>
                <w:sz w:val="16"/>
                <w:szCs w:val="16"/>
              </w:rPr>
            </w:pPr>
            <w:r w:rsidRPr="00C02F66">
              <w:rPr>
                <w:rFonts w:cs="Calibri"/>
                <w:sz w:val="16"/>
                <w:szCs w:val="16"/>
                <w:lang w:eastAsia="en-GB"/>
              </w:rPr>
              <w:t>2003-2006</w:t>
            </w:r>
          </w:p>
        </w:tc>
        <w:tc>
          <w:tcPr>
            <w:tcW w:w="1080" w:type="dxa"/>
            <w:shd w:val="clear" w:color="auto" w:fill="auto"/>
            <w:noWrap/>
            <w:vAlign w:val="center"/>
            <w:hideMark/>
          </w:tcPr>
          <w:p w14:paraId="0C8A2FB9" w14:textId="1DD84A5C" w:rsidR="006645D9" w:rsidRPr="00F2736F" w:rsidRDefault="006645D9" w:rsidP="006645D9">
            <w:pPr>
              <w:pStyle w:val="Tabletext"/>
              <w:jc w:val="left"/>
              <w:rPr>
                <w:sz w:val="16"/>
                <w:szCs w:val="16"/>
              </w:rPr>
            </w:pPr>
            <w:r w:rsidRPr="00C02F66">
              <w:rPr>
                <w:rFonts w:cs="Calibri"/>
                <w:color w:val="000000"/>
                <w:sz w:val="16"/>
                <w:szCs w:val="16"/>
                <w:lang w:eastAsia="en-GB"/>
              </w:rPr>
              <w:t>13.818,</w:t>
            </w:r>
            <w:r w:rsidRPr="00C02F66">
              <w:rPr>
                <w:color w:val="000000"/>
                <w:sz w:val="16"/>
              </w:rPr>
              <w:t>75</w:t>
            </w:r>
          </w:p>
        </w:tc>
        <w:tc>
          <w:tcPr>
            <w:tcW w:w="1120" w:type="dxa"/>
            <w:shd w:val="clear" w:color="auto" w:fill="auto"/>
            <w:noWrap/>
            <w:vAlign w:val="center"/>
            <w:hideMark/>
          </w:tcPr>
          <w:p w14:paraId="2C557532" w14:textId="38DDAA5F" w:rsidR="006645D9" w:rsidRPr="00F2736F" w:rsidRDefault="006645D9" w:rsidP="006645D9">
            <w:pPr>
              <w:pStyle w:val="Tabletext"/>
              <w:rPr>
                <w:sz w:val="16"/>
                <w:szCs w:val="16"/>
              </w:rPr>
            </w:pPr>
            <w:r w:rsidRPr="00C02F66">
              <w:rPr>
                <w:rFonts w:cs="Calibri"/>
                <w:color w:val="000000"/>
                <w:sz w:val="16"/>
                <w:szCs w:val="16"/>
                <w:lang w:eastAsia="en-GB"/>
              </w:rPr>
              <w:t>18.961,55</w:t>
            </w:r>
          </w:p>
        </w:tc>
        <w:tc>
          <w:tcPr>
            <w:tcW w:w="1180" w:type="dxa"/>
            <w:shd w:val="clear" w:color="auto" w:fill="auto"/>
            <w:noWrap/>
            <w:vAlign w:val="center"/>
            <w:hideMark/>
          </w:tcPr>
          <w:p w14:paraId="657DC05A" w14:textId="18270FE2" w:rsidR="006645D9" w:rsidRPr="00F2736F" w:rsidRDefault="006645D9" w:rsidP="006645D9">
            <w:pPr>
              <w:pStyle w:val="Tabletext"/>
              <w:rPr>
                <w:sz w:val="16"/>
                <w:szCs w:val="16"/>
              </w:rPr>
            </w:pPr>
            <w:r w:rsidRPr="00C02F66">
              <w:rPr>
                <w:rFonts w:cs="Calibri"/>
                <w:color w:val="000000"/>
                <w:sz w:val="16"/>
                <w:szCs w:val="16"/>
                <w:lang w:eastAsia="en-GB"/>
              </w:rPr>
              <w:t>32.780,30</w:t>
            </w:r>
          </w:p>
        </w:tc>
      </w:tr>
      <w:tr w:rsidR="006645D9" w:rsidRPr="00FB13C1" w14:paraId="323EC292" w14:textId="77777777" w:rsidTr="00442968">
        <w:trPr>
          <w:trHeight w:val="454"/>
        </w:trPr>
        <w:tc>
          <w:tcPr>
            <w:tcW w:w="1200" w:type="dxa"/>
            <w:shd w:val="clear" w:color="auto" w:fill="auto"/>
            <w:noWrap/>
            <w:vAlign w:val="center"/>
            <w:hideMark/>
          </w:tcPr>
          <w:p w14:paraId="231A95A2" w14:textId="65063445" w:rsidR="006645D9" w:rsidRPr="006645D9" w:rsidRDefault="006645D9" w:rsidP="006645D9">
            <w:pPr>
              <w:pStyle w:val="Tabletext"/>
              <w:keepNext/>
              <w:keepLines/>
              <w:jc w:val="left"/>
              <w:rPr>
                <w:sz w:val="20"/>
              </w:rPr>
            </w:pPr>
            <w:r w:rsidRPr="006645D9">
              <w:rPr>
                <w:rFonts w:cs="Calibri" w:hint="eastAsia"/>
                <w:color w:val="000000"/>
                <w:sz w:val="20"/>
                <w:lang w:val="en-US" w:eastAsia="zh-CN"/>
              </w:rPr>
              <w:t>多哥</w:t>
            </w:r>
          </w:p>
        </w:tc>
        <w:tc>
          <w:tcPr>
            <w:tcW w:w="4020" w:type="dxa"/>
            <w:shd w:val="clear" w:color="auto" w:fill="auto"/>
            <w:vAlign w:val="center"/>
            <w:hideMark/>
          </w:tcPr>
          <w:p w14:paraId="4DEB2DE9" w14:textId="1691735C" w:rsidR="006645D9" w:rsidRPr="006645D9" w:rsidRDefault="006645D9" w:rsidP="006645D9">
            <w:pPr>
              <w:pStyle w:val="Tabletext"/>
              <w:keepNext/>
              <w:keepLines/>
              <w:jc w:val="left"/>
              <w:rPr>
                <w:sz w:val="20"/>
                <w:lang w:val="fr-CH" w:eastAsia="zh-CN"/>
              </w:rPr>
            </w:pPr>
            <w:r w:rsidRPr="006645D9">
              <w:rPr>
                <w:rFonts w:cs="Calibri" w:hint="eastAsia"/>
                <w:color w:val="000000"/>
                <w:sz w:val="20"/>
                <w:lang w:val="en-US" w:eastAsia="zh-CN"/>
              </w:rPr>
              <w:t>洛美电信维护中心（</w:t>
            </w:r>
            <w:r w:rsidRPr="006645D9">
              <w:rPr>
                <w:rFonts w:cs="Calibri"/>
                <w:color w:val="000000"/>
                <w:sz w:val="20"/>
                <w:lang w:val="en-US" w:eastAsia="zh-CN"/>
              </w:rPr>
              <w:t>CMTL</w:t>
            </w:r>
            <w:r w:rsidRPr="006645D9">
              <w:rPr>
                <w:rFonts w:cs="Calibri"/>
                <w:color w:val="000000"/>
                <w:sz w:val="20"/>
                <w:lang w:val="en-US" w:eastAsia="zh-CN"/>
              </w:rPr>
              <w:t>）</w:t>
            </w:r>
            <w:r w:rsidRPr="006645D9">
              <w:rPr>
                <w:rFonts w:cs="Calibri" w:hint="eastAsia"/>
                <w:color w:val="000000"/>
                <w:sz w:val="20"/>
                <w:lang w:val="en-US" w:eastAsia="zh-CN"/>
              </w:rPr>
              <w:t>，洛美</w:t>
            </w:r>
          </w:p>
        </w:tc>
        <w:tc>
          <w:tcPr>
            <w:tcW w:w="960" w:type="dxa"/>
            <w:shd w:val="clear" w:color="auto" w:fill="auto"/>
            <w:noWrap/>
            <w:vAlign w:val="center"/>
            <w:hideMark/>
          </w:tcPr>
          <w:p w14:paraId="524D171D" w14:textId="4C3EDE79" w:rsidR="006645D9" w:rsidRPr="00F2736F" w:rsidRDefault="006645D9" w:rsidP="006645D9">
            <w:pPr>
              <w:pStyle w:val="Tabletext"/>
              <w:keepNext/>
              <w:keepLines/>
              <w:jc w:val="left"/>
              <w:rPr>
                <w:sz w:val="16"/>
                <w:szCs w:val="16"/>
              </w:rPr>
            </w:pPr>
            <w:r w:rsidRPr="00C02F66">
              <w:rPr>
                <w:rFonts w:cs="Calibri"/>
                <w:sz w:val="16"/>
                <w:szCs w:val="16"/>
                <w:lang w:eastAsia="en-GB"/>
              </w:rPr>
              <w:t>2003-2007</w:t>
            </w:r>
          </w:p>
        </w:tc>
        <w:tc>
          <w:tcPr>
            <w:tcW w:w="1080" w:type="dxa"/>
            <w:shd w:val="clear" w:color="auto" w:fill="auto"/>
            <w:noWrap/>
            <w:vAlign w:val="center"/>
            <w:hideMark/>
          </w:tcPr>
          <w:p w14:paraId="727C9AB5" w14:textId="77A90403" w:rsidR="006645D9" w:rsidRPr="00F2736F" w:rsidRDefault="006645D9" w:rsidP="006645D9">
            <w:pPr>
              <w:pStyle w:val="Tabletext"/>
              <w:keepNext/>
              <w:keepLines/>
              <w:jc w:val="left"/>
              <w:rPr>
                <w:sz w:val="16"/>
                <w:szCs w:val="16"/>
              </w:rPr>
            </w:pPr>
            <w:r w:rsidRPr="00C02F66">
              <w:rPr>
                <w:rFonts w:cs="Calibri"/>
                <w:color w:val="000000"/>
                <w:sz w:val="16"/>
                <w:szCs w:val="16"/>
                <w:lang w:eastAsia="en-GB"/>
              </w:rPr>
              <w:t>101.137,50</w:t>
            </w:r>
          </w:p>
        </w:tc>
        <w:tc>
          <w:tcPr>
            <w:tcW w:w="1120" w:type="dxa"/>
            <w:shd w:val="clear" w:color="auto" w:fill="auto"/>
            <w:noWrap/>
            <w:vAlign w:val="center"/>
            <w:hideMark/>
          </w:tcPr>
          <w:p w14:paraId="31481687" w14:textId="23D4EF84" w:rsidR="006645D9" w:rsidRPr="00F2736F" w:rsidRDefault="006645D9" w:rsidP="006645D9">
            <w:pPr>
              <w:pStyle w:val="Tabletext"/>
              <w:keepNext/>
              <w:keepLines/>
              <w:rPr>
                <w:sz w:val="16"/>
                <w:szCs w:val="16"/>
              </w:rPr>
            </w:pPr>
            <w:r w:rsidRPr="00C02F66">
              <w:rPr>
                <w:rFonts w:cs="Calibri"/>
                <w:color w:val="000000"/>
                <w:sz w:val="16"/>
                <w:szCs w:val="16"/>
                <w:lang w:eastAsia="en-GB"/>
              </w:rPr>
              <w:t>149.640,95</w:t>
            </w:r>
          </w:p>
        </w:tc>
        <w:tc>
          <w:tcPr>
            <w:tcW w:w="1180" w:type="dxa"/>
            <w:shd w:val="clear" w:color="auto" w:fill="auto"/>
            <w:noWrap/>
            <w:vAlign w:val="center"/>
            <w:hideMark/>
          </w:tcPr>
          <w:p w14:paraId="35950DCA" w14:textId="75240633" w:rsidR="006645D9" w:rsidRPr="00F2736F" w:rsidRDefault="006645D9" w:rsidP="006645D9">
            <w:pPr>
              <w:pStyle w:val="Tabletext"/>
              <w:keepNext/>
              <w:keepLines/>
              <w:rPr>
                <w:sz w:val="16"/>
                <w:szCs w:val="16"/>
              </w:rPr>
            </w:pPr>
            <w:r w:rsidRPr="00C02F66">
              <w:rPr>
                <w:rFonts w:cs="Calibri"/>
                <w:color w:val="000000"/>
                <w:sz w:val="16"/>
                <w:szCs w:val="16"/>
                <w:lang w:eastAsia="en-GB"/>
              </w:rPr>
              <w:t>250.778,45</w:t>
            </w:r>
          </w:p>
        </w:tc>
      </w:tr>
      <w:tr w:rsidR="006645D9" w:rsidRPr="00FB13C1" w14:paraId="5EA22A2D" w14:textId="77777777" w:rsidTr="00442968">
        <w:trPr>
          <w:trHeight w:val="315"/>
        </w:trPr>
        <w:tc>
          <w:tcPr>
            <w:tcW w:w="1200" w:type="dxa"/>
            <w:shd w:val="clear" w:color="auto" w:fill="auto"/>
            <w:noWrap/>
            <w:vAlign w:val="center"/>
            <w:hideMark/>
          </w:tcPr>
          <w:p w14:paraId="2CBB19C1" w14:textId="0D808411" w:rsidR="006645D9" w:rsidRPr="006645D9" w:rsidRDefault="006645D9" w:rsidP="006645D9">
            <w:pPr>
              <w:pStyle w:val="Tabletext"/>
              <w:keepNext/>
              <w:keepLines/>
              <w:jc w:val="left"/>
              <w:rPr>
                <w:sz w:val="20"/>
              </w:rPr>
            </w:pPr>
            <w:r w:rsidRPr="006645D9">
              <w:rPr>
                <w:rFonts w:cs="Calibri" w:hint="eastAsia"/>
                <w:color w:val="000000"/>
                <w:sz w:val="20"/>
                <w:lang w:val="en-US" w:eastAsia="zh-CN"/>
              </w:rPr>
              <w:t>英国</w:t>
            </w:r>
          </w:p>
        </w:tc>
        <w:tc>
          <w:tcPr>
            <w:tcW w:w="4020" w:type="dxa"/>
            <w:shd w:val="clear" w:color="auto" w:fill="auto"/>
            <w:noWrap/>
            <w:vAlign w:val="center"/>
            <w:hideMark/>
          </w:tcPr>
          <w:p w14:paraId="20D7DC3A" w14:textId="2A909468" w:rsidR="006645D9" w:rsidRPr="006645D9" w:rsidRDefault="006645D9" w:rsidP="006645D9">
            <w:pPr>
              <w:pStyle w:val="Tabletext"/>
              <w:keepNext/>
              <w:keepLines/>
              <w:jc w:val="left"/>
              <w:rPr>
                <w:sz w:val="20"/>
              </w:rPr>
            </w:pPr>
            <w:r w:rsidRPr="006645D9">
              <w:rPr>
                <w:rFonts w:cs="Calibri"/>
                <w:color w:val="000000"/>
                <w:sz w:val="20"/>
                <w:lang w:val="en-US" w:eastAsia="zh-CN"/>
              </w:rPr>
              <w:t>Times Publications Ltd.</w:t>
            </w:r>
            <w:r w:rsidRPr="006645D9">
              <w:rPr>
                <w:rFonts w:cs="Calibri" w:hint="eastAsia"/>
                <w:color w:val="000000"/>
                <w:sz w:val="20"/>
                <w:lang w:val="en-US" w:eastAsia="zh-CN"/>
              </w:rPr>
              <w:t>，伦敦</w:t>
            </w:r>
          </w:p>
        </w:tc>
        <w:tc>
          <w:tcPr>
            <w:tcW w:w="960" w:type="dxa"/>
            <w:shd w:val="clear" w:color="auto" w:fill="auto"/>
            <w:noWrap/>
            <w:vAlign w:val="center"/>
            <w:hideMark/>
          </w:tcPr>
          <w:p w14:paraId="1428721E" w14:textId="3CCA6556" w:rsidR="006645D9" w:rsidRPr="00F2736F" w:rsidRDefault="006645D9" w:rsidP="006645D9">
            <w:pPr>
              <w:pStyle w:val="Tabletext"/>
              <w:keepNext/>
              <w:keepLines/>
              <w:jc w:val="left"/>
              <w:rPr>
                <w:sz w:val="16"/>
                <w:szCs w:val="16"/>
              </w:rPr>
            </w:pPr>
            <w:r w:rsidRPr="00C02F66">
              <w:rPr>
                <w:rFonts w:cs="Calibri"/>
                <w:sz w:val="16"/>
                <w:szCs w:val="16"/>
                <w:lang w:eastAsia="en-GB"/>
              </w:rPr>
              <w:t>1998-2002</w:t>
            </w:r>
          </w:p>
        </w:tc>
        <w:tc>
          <w:tcPr>
            <w:tcW w:w="1080" w:type="dxa"/>
            <w:shd w:val="clear" w:color="auto" w:fill="auto"/>
            <w:noWrap/>
            <w:vAlign w:val="center"/>
            <w:hideMark/>
          </w:tcPr>
          <w:p w14:paraId="6EAEA297" w14:textId="49679C7D" w:rsidR="006645D9" w:rsidRPr="00F2736F" w:rsidRDefault="006645D9" w:rsidP="006645D9">
            <w:pPr>
              <w:pStyle w:val="Tabletext"/>
              <w:keepNext/>
              <w:keepLines/>
              <w:jc w:val="left"/>
              <w:rPr>
                <w:sz w:val="16"/>
                <w:szCs w:val="16"/>
              </w:rPr>
            </w:pPr>
            <w:r w:rsidRPr="00C02F66">
              <w:rPr>
                <w:rFonts w:cs="Calibri"/>
                <w:color w:val="000000"/>
                <w:sz w:val="16"/>
                <w:szCs w:val="16"/>
                <w:lang w:eastAsia="en-GB"/>
              </w:rPr>
              <w:t>29.775,</w:t>
            </w:r>
            <w:r w:rsidRPr="00C02F66">
              <w:rPr>
                <w:color w:val="000000"/>
                <w:sz w:val="16"/>
              </w:rPr>
              <w:t>00</w:t>
            </w:r>
          </w:p>
        </w:tc>
        <w:tc>
          <w:tcPr>
            <w:tcW w:w="1120" w:type="dxa"/>
            <w:shd w:val="clear" w:color="auto" w:fill="auto"/>
            <w:noWrap/>
            <w:vAlign w:val="center"/>
            <w:hideMark/>
          </w:tcPr>
          <w:p w14:paraId="3CA075D0" w14:textId="2A55845F" w:rsidR="006645D9" w:rsidRPr="00F2736F" w:rsidRDefault="006645D9" w:rsidP="006645D9">
            <w:pPr>
              <w:pStyle w:val="Tabletext"/>
              <w:keepNext/>
              <w:keepLines/>
              <w:rPr>
                <w:sz w:val="16"/>
                <w:szCs w:val="16"/>
              </w:rPr>
            </w:pPr>
            <w:r w:rsidRPr="00C02F66">
              <w:rPr>
                <w:rFonts w:cs="Calibri"/>
                <w:color w:val="000000"/>
                <w:sz w:val="16"/>
                <w:szCs w:val="16"/>
                <w:lang w:eastAsia="en-GB"/>
              </w:rPr>
              <w:t>57.560,25</w:t>
            </w:r>
          </w:p>
        </w:tc>
        <w:tc>
          <w:tcPr>
            <w:tcW w:w="1180" w:type="dxa"/>
            <w:shd w:val="clear" w:color="auto" w:fill="auto"/>
            <w:noWrap/>
            <w:vAlign w:val="center"/>
            <w:hideMark/>
          </w:tcPr>
          <w:p w14:paraId="72D4893F" w14:textId="53134448" w:rsidR="006645D9" w:rsidRPr="00F2736F" w:rsidRDefault="006645D9" w:rsidP="006645D9">
            <w:pPr>
              <w:pStyle w:val="Tabletext"/>
              <w:keepNext/>
              <w:keepLines/>
              <w:rPr>
                <w:sz w:val="16"/>
                <w:szCs w:val="16"/>
              </w:rPr>
            </w:pPr>
            <w:r w:rsidRPr="00C02F66">
              <w:rPr>
                <w:rFonts w:cs="Calibri"/>
                <w:color w:val="000000"/>
                <w:sz w:val="16"/>
                <w:szCs w:val="16"/>
                <w:lang w:eastAsia="en-GB"/>
              </w:rPr>
              <w:t>87.335,25</w:t>
            </w:r>
          </w:p>
        </w:tc>
      </w:tr>
      <w:tr w:rsidR="006645D9" w:rsidRPr="00FB13C1" w14:paraId="47B62F64" w14:textId="77777777" w:rsidTr="00442968">
        <w:trPr>
          <w:trHeight w:val="283"/>
        </w:trPr>
        <w:tc>
          <w:tcPr>
            <w:tcW w:w="1200" w:type="dxa"/>
            <w:shd w:val="clear" w:color="auto" w:fill="auto"/>
            <w:noWrap/>
            <w:vAlign w:val="center"/>
            <w:hideMark/>
          </w:tcPr>
          <w:p w14:paraId="0E38D698" w14:textId="275D8022" w:rsidR="006645D9" w:rsidRPr="006645D9" w:rsidRDefault="006645D9" w:rsidP="006645D9">
            <w:pPr>
              <w:pStyle w:val="Tabletext"/>
              <w:keepNext/>
              <w:keepLines/>
              <w:jc w:val="left"/>
              <w:rPr>
                <w:sz w:val="20"/>
              </w:rPr>
            </w:pPr>
            <w:r w:rsidRPr="006645D9">
              <w:rPr>
                <w:rFonts w:cs="Calibri" w:hint="eastAsia"/>
                <w:color w:val="000000"/>
                <w:sz w:val="20"/>
                <w:lang w:val="en-US" w:eastAsia="zh-CN"/>
              </w:rPr>
              <w:t>美国</w:t>
            </w:r>
          </w:p>
        </w:tc>
        <w:tc>
          <w:tcPr>
            <w:tcW w:w="4020" w:type="dxa"/>
            <w:shd w:val="clear" w:color="auto" w:fill="auto"/>
            <w:noWrap/>
            <w:vAlign w:val="center"/>
            <w:hideMark/>
          </w:tcPr>
          <w:p w14:paraId="358D3B51" w14:textId="091B62BD" w:rsidR="006645D9" w:rsidRPr="006645D9" w:rsidRDefault="006645D9" w:rsidP="006645D9">
            <w:pPr>
              <w:pStyle w:val="Tabletext"/>
              <w:keepNext/>
              <w:keepLines/>
              <w:jc w:val="left"/>
              <w:rPr>
                <w:sz w:val="20"/>
              </w:rPr>
            </w:pPr>
            <w:r w:rsidRPr="006645D9">
              <w:rPr>
                <w:rFonts w:cs="Calibri"/>
                <w:color w:val="000000"/>
                <w:sz w:val="20"/>
                <w:lang w:val="en-US" w:eastAsia="zh-CN"/>
              </w:rPr>
              <w:t>Calient Networks, Inc., San Jose</w:t>
            </w:r>
          </w:p>
        </w:tc>
        <w:tc>
          <w:tcPr>
            <w:tcW w:w="960" w:type="dxa"/>
            <w:shd w:val="clear" w:color="auto" w:fill="auto"/>
            <w:noWrap/>
            <w:vAlign w:val="center"/>
            <w:hideMark/>
          </w:tcPr>
          <w:p w14:paraId="062971D0" w14:textId="09C8C6A2" w:rsidR="006645D9" w:rsidRPr="00F2736F" w:rsidRDefault="006645D9" w:rsidP="006645D9">
            <w:pPr>
              <w:pStyle w:val="Tabletext"/>
              <w:keepNext/>
              <w:keepLines/>
              <w:jc w:val="left"/>
              <w:rPr>
                <w:sz w:val="16"/>
                <w:szCs w:val="16"/>
              </w:rPr>
            </w:pPr>
            <w:r w:rsidRPr="00C02F66">
              <w:rPr>
                <w:rFonts w:cs="Calibri"/>
                <w:sz w:val="16"/>
                <w:szCs w:val="16"/>
                <w:lang w:eastAsia="en-GB"/>
              </w:rPr>
              <w:t>2003-2006</w:t>
            </w:r>
          </w:p>
        </w:tc>
        <w:tc>
          <w:tcPr>
            <w:tcW w:w="1080" w:type="dxa"/>
            <w:shd w:val="clear" w:color="auto" w:fill="auto"/>
            <w:noWrap/>
            <w:vAlign w:val="center"/>
            <w:hideMark/>
          </w:tcPr>
          <w:p w14:paraId="7EFFF4CD" w14:textId="1A279127" w:rsidR="006645D9" w:rsidRPr="00F2736F" w:rsidRDefault="006645D9" w:rsidP="006645D9">
            <w:pPr>
              <w:pStyle w:val="Tabletext"/>
              <w:keepNext/>
              <w:keepLines/>
              <w:jc w:val="left"/>
              <w:rPr>
                <w:sz w:val="16"/>
                <w:szCs w:val="16"/>
              </w:rPr>
            </w:pPr>
            <w:r w:rsidRPr="00C02F66">
              <w:rPr>
                <w:rFonts w:cs="Calibri"/>
                <w:color w:val="000000"/>
                <w:sz w:val="16"/>
                <w:szCs w:val="16"/>
                <w:lang w:eastAsia="en-GB"/>
              </w:rPr>
              <w:t>126.300,</w:t>
            </w:r>
            <w:r w:rsidRPr="00C02F66">
              <w:rPr>
                <w:color w:val="000000"/>
                <w:sz w:val="16"/>
              </w:rPr>
              <w:t>00</w:t>
            </w:r>
          </w:p>
        </w:tc>
        <w:tc>
          <w:tcPr>
            <w:tcW w:w="1120" w:type="dxa"/>
            <w:shd w:val="clear" w:color="auto" w:fill="auto"/>
            <w:noWrap/>
            <w:vAlign w:val="center"/>
            <w:hideMark/>
          </w:tcPr>
          <w:p w14:paraId="3C5F5E2D" w14:textId="20D855A6" w:rsidR="006645D9" w:rsidRPr="00F2736F" w:rsidRDefault="006645D9" w:rsidP="006645D9">
            <w:pPr>
              <w:pStyle w:val="Tabletext"/>
              <w:keepNext/>
              <w:keepLines/>
              <w:rPr>
                <w:sz w:val="16"/>
                <w:szCs w:val="16"/>
              </w:rPr>
            </w:pPr>
            <w:r w:rsidRPr="00C02F66">
              <w:rPr>
                <w:rFonts w:cs="Calibri"/>
                <w:color w:val="000000"/>
                <w:sz w:val="16"/>
                <w:szCs w:val="16"/>
                <w:lang w:eastAsia="en-GB"/>
              </w:rPr>
              <w:t>161.865,80</w:t>
            </w:r>
          </w:p>
        </w:tc>
        <w:tc>
          <w:tcPr>
            <w:tcW w:w="1180" w:type="dxa"/>
            <w:shd w:val="clear" w:color="auto" w:fill="auto"/>
            <w:noWrap/>
            <w:vAlign w:val="center"/>
            <w:hideMark/>
          </w:tcPr>
          <w:p w14:paraId="31ACA802" w14:textId="797DD476" w:rsidR="006645D9" w:rsidRPr="00F2736F" w:rsidRDefault="006645D9" w:rsidP="006645D9">
            <w:pPr>
              <w:pStyle w:val="Tabletext"/>
              <w:keepNext/>
              <w:keepLines/>
              <w:rPr>
                <w:sz w:val="16"/>
                <w:szCs w:val="16"/>
              </w:rPr>
            </w:pPr>
            <w:r w:rsidRPr="00C02F66">
              <w:rPr>
                <w:rFonts w:cs="Calibri"/>
                <w:color w:val="000000"/>
                <w:sz w:val="16"/>
                <w:szCs w:val="16"/>
                <w:lang w:eastAsia="en-GB"/>
              </w:rPr>
              <w:t>288.165,80</w:t>
            </w:r>
          </w:p>
        </w:tc>
      </w:tr>
      <w:tr w:rsidR="006645D9" w:rsidRPr="00FB13C1" w14:paraId="32BF3C66" w14:textId="77777777" w:rsidTr="00442968">
        <w:trPr>
          <w:trHeight w:val="283"/>
        </w:trPr>
        <w:tc>
          <w:tcPr>
            <w:tcW w:w="1200" w:type="dxa"/>
            <w:shd w:val="clear" w:color="auto" w:fill="auto"/>
            <w:noWrap/>
            <w:vAlign w:val="center"/>
            <w:hideMark/>
          </w:tcPr>
          <w:p w14:paraId="3344E0ED" w14:textId="75A46C22" w:rsidR="006645D9" w:rsidRPr="006645D9" w:rsidRDefault="006645D9" w:rsidP="006645D9">
            <w:pPr>
              <w:pStyle w:val="Tabletext"/>
              <w:keepNext/>
              <w:keepLines/>
              <w:jc w:val="left"/>
              <w:rPr>
                <w:sz w:val="20"/>
              </w:rPr>
            </w:pPr>
            <w:r w:rsidRPr="006645D9">
              <w:rPr>
                <w:rFonts w:cs="Calibri" w:hint="eastAsia"/>
                <w:color w:val="000000"/>
                <w:sz w:val="20"/>
                <w:lang w:val="en-US" w:eastAsia="zh-CN"/>
              </w:rPr>
              <w:t>美国</w:t>
            </w:r>
          </w:p>
        </w:tc>
        <w:tc>
          <w:tcPr>
            <w:tcW w:w="4020" w:type="dxa"/>
            <w:shd w:val="clear" w:color="auto" w:fill="auto"/>
            <w:noWrap/>
            <w:vAlign w:val="center"/>
            <w:hideMark/>
          </w:tcPr>
          <w:p w14:paraId="7475B684" w14:textId="72FA8148" w:rsidR="006645D9" w:rsidRPr="006645D9" w:rsidRDefault="006645D9" w:rsidP="006645D9">
            <w:pPr>
              <w:pStyle w:val="Tabletext"/>
              <w:keepNext/>
              <w:keepLines/>
              <w:jc w:val="left"/>
              <w:rPr>
                <w:sz w:val="20"/>
              </w:rPr>
            </w:pPr>
            <w:r w:rsidRPr="006645D9">
              <w:rPr>
                <w:rFonts w:cs="Calibri"/>
                <w:color w:val="000000"/>
                <w:sz w:val="20"/>
                <w:lang w:val="en-US" w:eastAsia="zh-CN"/>
              </w:rPr>
              <w:t>Ezenia, Inc., Nashua</w:t>
            </w:r>
          </w:p>
        </w:tc>
        <w:tc>
          <w:tcPr>
            <w:tcW w:w="960" w:type="dxa"/>
            <w:shd w:val="clear" w:color="auto" w:fill="auto"/>
            <w:noWrap/>
            <w:vAlign w:val="center"/>
            <w:hideMark/>
          </w:tcPr>
          <w:p w14:paraId="62E7DEA9" w14:textId="71D823E4" w:rsidR="006645D9" w:rsidRPr="00F2736F" w:rsidRDefault="006645D9" w:rsidP="006645D9">
            <w:pPr>
              <w:pStyle w:val="Tabletext"/>
              <w:keepNext/>
              <w:keepLines/>
              <w:jc w:val="left"/>
              <w:rPr>
                <w:sz w:val="16"/>
                <w:szCs w:val="16"/>
              </w:rPr>
            </w:pPr>
            <w:r w:rsidRPr="00C02F66">
              <w:rPr>
                <w:rFonts w:cs="Calibri"/>
                <w:sz w:val="16"/>
                <w:szCs w:val="16"/>
                <w:lang w:eastAsia="en-GB"/>
              </w:rPr>
              <w:t>2000-2006</w:t>
            </w:r>
          </w:p>
        </w:tc>
        <w:tc>
          <w:tcPr>
            <w:tcW w:w="1080" w:type="dxa"/>
            <w:shd w:val="clear" w:color="auto" w:fill="auto"/>
            <w:noWrap/>
            <w:vAlign w:val="center"/>
            <w:hideMark/>
          </w:tcPr>
          <w:p w14:paraId="7455EB35" w14:textId="0E0BB3FF" w:rsidR="006645D9" w:rsidRPr="00F2736F" w:rsidRDefault="006645D9" w:rsidP="006645D9">
            <w:pPr>
              <w:pStyle w:val="Tabletext"/>
              <w:keepNext/>
              <w:keepLines/>
              <w:jc w:val="left"/>
              <w:rPr>
                <w:sz w:val="16"/>
                <w:szCs w:val="16"/>
              </w:rPr>
            </w:pPr>
            <w:r w:rsidRPr="00C02F66">
              <w:rPr>
                <w:rFonts w:cs="Calibri"/>
                <w:color w:val="000000"/>
                <w:sz w:val="16"/>
                <w:szCs w:val="16"/>
                <w:lang w:eastAsia="en-GB"/>
              </w:rPr>
              <w:t>157.</w:t>
            </w:r>
            <w:r w:rsidRPr="00C02F66">
              <w:rPr>
                <w:color w:val="000000"/>
                <w:sz w:val="16"/>
              </w:rPr>
              <w:t>800</w:t>
            </w:r>
            <w:r w:rsidRPr="00C02F66">
              <w:rPr>
                <w:rFonts w:cs="Calibri"/>
                <w:color w:val="000000"/>
                <w:sz w:val="16"/>
                <w:szCs w:val="16"/>
                <w:lang w:eastAsia="en-GB"/>
              </w:rPr>
              <w:t>,</w:t>
            </w:r>
            <w:r w:rsidRPr="00C02F66">
              <w:rPr>
                <w:color w:val="000000"/>
                <w:sz w:val="16"/>
              </w:rPr>
              <w:t>00</w:t>
            </w:r>
          </w:p>
        </w:tc>
        <w:tc>
          <w:tcPr>
            <w:tcW w:w="1120" w:type="dxa"/>
            <w:shd w:val="clear" w:color="auto" w:fill="auto"/>
            <w:noWrap/>
            <w:vAlign w:val="center"/>
            <w:hideMark/>
          </w:tcPr>
          <w:p w14:paraId="1F2D4D16" w14:textId="4523BA5E" w:rsidR="006645D9" w:rsidRPr="00F2736F" w:rsidRDefault="006645D9" w:rsidP="006645D9">
            <w:pPr>
              <w:pStyle w:val="Tabletext"/>
              <w:keepNext/>
              <w:keepLines/>
              <w:rPr>
                <w:sz w:val="16"/>
                <w:szCs w:val="16"/>
              </w:rPr>
            </w:pPr>
            <w:r w:rsidRPr="00C02F66">
              <w:rPr>
                <w:rFonts w:cs="Calibri"/>
                <w:color w:val="000000"/>
                <w:sz w:val="16"/>
                <w:szCs w:val="16"/>
                <w:lang w:eastAsia="en-GB"/>
              </w:rPr>
              <w:t>213.652,25</w:t>
            </w:r>
          </w:p>
        </w:tc>
        <w:tc>
          <w:tcPr>
            <w:tcW w:w="1180" w:type="dxa"/>
            <w:shd w:val="clear" w:color="auto" w:fill="auto"/>
            <w:noWrap/>
            <w:vAlign w:val="center"/>
            <w:hideMark/>
          </w:tcPr>
          <w:p w14:paraId="27F31026" w14:textId="63085641" w:rsidR="006645D9" w:rsidRPr="00F2736F" w:rsidRDefault="006645D9" w:rsidP="006645D9">
            <w:pPr>
              <w:pStyle w:val="Tabletext"/>
              <w:keepNext/>
              <w:keepLines/>
              <w:rPr>
                <w:sz w:val="16"/>
                <w:szCs w:val="16"/>
              </w:rPr>
            </w:pPr>
            <w:r w:rsidRPr="00C02F66">
              <w:rPr>
                <w:rFonts w:cs="Calibri"/>
                <w:color w:val="000000"/>
                <w:sz w:val="16"/>
                <w:szCs w:val="16"/>
                <w:lang w:eastAsia="en-GB"/>
              </w:rPr>
              <w:t>371.452,25</w:t>
            </w:r>
          </w:p>
        </w:tc>
      </w:tr>
      <w:tr w:rsidR="006645D9" w:rsidRPr="00FB13C1" w14:paraId="0F33FFF4" w14:textId="77777777" w:rsidTr="00442968">
        <w:trPr>
          <w:trHeight w:val="454"/>
        </w:trPr>
        <w:tc>
          <w:tcPr>
            <w:tcW w:w="1200" w:type="dxa"/>
            <w:shd w:val="clear" w:color="auto" w:fill="auto"/>
            <w:noWrap/>
            <w:vAlign w:val="center"/>
            <w:hideMark/>
          </w:tcPr>
          <w:p w14:paraId="6D7CF08A" w14:textId="60171131" w:rsidR="006645D9" w:rsidRPr="006645D9" w:rsidRDefault="006645D9" w:rsidP="006645D9">
            <w:pPr>
              <w:pStyle w:val="Tabletext"/>
              <w:keepNext/>
              <w:keepLines/>
              <w:jc w:val="left"/>
              <w:rPr>
                <w:sz w:val="20"/>
              </w:rPr>
            </w:pPr>
            <w:r w:rsidRPr="006645D9">
              <w:rPr>
                <w:rFonts w:cs="Calibri" w:hint="eastAsia"/>
                <w:color w:val="000000"/>
                <w:sz w:val="20"/>
                <w:lang w:val="en-US" w:eastAsia="zh-CN"/>
              </w:rPr>
              <w:t>美国</w:t>
            </w:r>
          </w:p>
        </w:tc>
        <w:tc>
          <w:tcPr>
            <w:tcW w:w="4020" w:type="dxa"/>
            <w:shd w:val="clear" w:color="auto" w:fill="auto"/>
            <w:vAlign w:val="center"/>
            <w:hideMark/>
          </w:tcPr>
          <w:p w14:paraId="6D24D604" w14:textId="194DCC8C" w:rsidR="006645D9" w:rsidRPr="006645D9" w:rsidRDefault="006645D9" w:rsidP="006645D9">
            <w:pPr>
              <w:pStyle w:val="Tabletext"/>
              <w:keepNext/>
              <w:keepLines/>
              <w:jc w:val="left"/>
              <w:rPr>
                <w:sz w:val="20"/>
              </w:rPr>
            </w:pPr>
            <w:r w:rsidRPr="006645D9">
              <w:rPr>
                <w:rFonts w:cs="Calibri"/>
                <w:color w:val="000000"/>
                <w:sz w:val="20"/>
                <w:lang w:val="en-US" w:eastAsia="zh-CN"/>
              </w:rPr>
              <w:t>The Gores Technology Group LLC</w:t>
            </w:r>
            <w:r w:rsidRPr="006645D9">
              <w:rPr>
                <w:rFonts w:cs="Calibri" w:hint="eastAsia"/>
                <w:color w:val="000000"/>
                <w:sz w:val="20"/>
                <w:lang w:val="en-US" w:eastAsia="zh-CN"/>
              </w:rPr>
              <w:t>，洛杉矶</w:t>
            </w:r>
            <w:r w:rsidRPr="006645D9">
              <w:rPr>
                <w:rFonts w:cs="Calibri"/>
                <w:color w:val="000000"/>
                <w:sz w:val="20"/>
                <w:lang w:val="en-US" w:eastAsia="zh-CN"/>
              </w:rPr>
              <w:br/>
            </w:r>
            <w:r w:rsidRPr="006645D9">
              <w:rPr>
                <w:rFonts w:cs="Calibri" w:hint="eastAsia"/>
                <w:color w:val="000000"/>
                <w:sz w:val="20"/>
                <w:lang w:val="en-US" w:eastAsia="zh-CN"/>
              </w:rPr>
              <w:t>（原</w:t>
            </w:r>
            <w:r w:rsidRPr="006645D9">
              <w:rPr>
                <w:rFonts w:cs="Calibri"/>
                <w:color w:val="000000"/>
                <w:sz w:val="20"/>
                <w:lang w:val="en-US" w:eastAsia="zh-CN"/>
              </w:rPr>
              <w:t>Forgent Networks Inc.</w:t>
            </w:r>
            <w:r w:rsidRPr="006645D9">
              <w:rPr>
                <w:rFonts w:cs="Calibri"/>
                <w:color w:val="000000"/>
                <w:sz w:val="20"/>
                <w:lang w:val="en-US" w:eastAsia="zh-CN"/>
              </w:rPr>
              <w:t>）</w:t>
            </w:r>
          </w:p>
        </w:tc>
        <w:tc>
          <w:tcPr>
            <w:tcW w:w="960" w:type="dxa"/>
            <w:shd w:val="clear" w:color="auto" w:fill="auto"/>
            <w:noWrap/>
            <w:vAlign w:val="center"/>
            <w:hideMark/>
          </w:tcPr>
          <w:p w14:paraId="39334945" w14:textId="783712C6" w:rsidR="006645D9" w:rsidRPr="00F2736F" w:rsidRDefault="006645D9" w:rsidP="006645D9">
            <w:pPr>
              <w:pStyle w:val="Tabletext"/>
              <w:keepNext/>
              <w:keepLines/>
              <w:jc w:val="left"/>
              <w:rPr>
                <w:sz w:val="16"/>
                <w:szCs w:val="16"/>
              </w:rPr>
            </w:pPr>
            <w:r w:rsidRPr="00C02F66">
              <w:rPr>
                <w:rFonts w:cs="Calibri"/>
                <w:sz w:val="16"/>
                <w:szCs w:val="16"/>
                <w:lang w:eastAsia="en-GB"/>
              </w:rPr>
              <w:t>1998-2006</w:t>
            </w:r>
          </w:p>
        </w:tc>
        <w:tc>
          <w:tcPr>
            <w:tcW w:w="1080" w:type="dxa"/>
            <w:shd w:val="clear" w:color="auto" w:fill="auto"/>
            <w:noWrap/>
            <w:vAlign w:val="center"/>
            <w:hideMark/>
          </w:tcPr>
          <w:p w14:paraId="7F8EB29B" w14:textId="460C65D8" w:rsidR="006645D9" w:rsidRPr="00F2736F" w:rsidRDefault="006645D9" w:rsidP="006645D9">
            <w:pPr>
              <w:pStyle w:val="Tabletext"/>
              <w:keepNext/>
              <w:keepLines/>
              <w:jc w:val="left"/>
              <w:rPr>
                <w:sz w:val="16"/>
                <w:szCs w:val="16"/>
              </w:rPr>
            </w:pPr>
            <w:r w:rsidRPr="00C02F66">
              <w:rPr>
                <w:rFonts w:cs="Calibri"/>
                <w:color w:val="000000"/>
                <w:sz w:val="16"/>
                <w:szCs w:val="16"/>
                <w:lang w:eastAsia="en-GB"/>
              </w:rPr>
              <w:t>185.133,</w:t>
            </w:r>
            <w:r w:rsidRPr="00C02F66">
              <w:rPr>
                <w:color w:val="000000"/>
                <w:sz w:val="16"/>
              </w:rPr>
              <w:t>30</w:t>
            </w:r>
          </w:p>
        </w:tc>
        <w:tc>
          <w:tcPr>
            <w:tcW w:w="1120" w:type="dxa"/>
            <w:shd w:val="clear" w:color="auto" w:fill="auto"/>
            <w:noWrap/>
            <w:vAlign w:val="center"/>
            <w:hideMark/>
          </w:tcPr>
          <w:p w14:paraId="2066DCA5" w14:textId="31701564" w:rsidR="006645D9" w:rsidRPr="00F2736F" w:rsidRDefault="006645D9" w:rsidP="006645D9">
            <w:pPr>
              <w:pStyle w:val="Tabletext"/>
              <w:keepNext/>
              <w:keepLines/>
              <w:rPr>
                <w:sz w:val="16"/>
                <w:szCs w:val="16"/>
              </w:rPr>
            </w:pPr>
            <w:r w:rsidRPr="00C02F66">
              <w:rPr>
                <w:rFonts w:cs="Calibri"/>
                <w:color w:val="000000"/>
                <w:sz w:val="16"/>
                <w:szCs w:val="16"/>
                <w:lang w:eastAsia="en-GB"/>
              </w:rPr>
              <w:t>239.814,70</w:t>
            </w:r>
          </w:p>
        </w:tc>
        <w:tc>
          <w:tcPr>
            <w:tcW w:w="1180" w:type="dxa"/>
            <w:shd w:val="clear" w:color="auto" w:fill="auto"/>
            <w:noWrap/>
            <w:vAlign w:val="center"/>
            <w:hideMark/>
          </w:tcPr>
          <w:p w14:paraId="252B74FE" w14:textId="4F701592" w:rsidR="006645D9" w:rsidRPr="00F2736F" w:rsidRDefault="006645D9" w:rsidP="006645D9">
            <w:pPr>
              <w:pStyle w:val="Tabletext"/>
              <w:keepNext/>
              <w:keepLines/>
              <w:rPr>
                <w:sz w:val="16"/>
                <w:szCs w:val="16"/>
              </w:rPr>
            </w:pPr>
            <w:r w:rsidRPr="00C02F66">
              <w:rPr>
                <w:rFonts w:cs="Calibri"/>
                <w:color w:val="000000"/>
                <w:sz w:val="16"/>
                <w:szCs w:val="16"/>
                <w:lang w:eastAsia="en-GB"/>
              </w:rPr>
              <w:t>424.948,00</w:t>
            </w:r>
          </w:p>
        </w:tc>
      </w:tr>
      <w:tr w:rsidR="006645D9" w:rsidRPr="00FB13C1" w14:paraId="727D9E51" w14:textId="77777777" w:rsidTr="00442968">
        <w:trPr>
          <w:trHeight w:val="283"/>
        </w:trPr>
        <w:tc>
          <w:tcPr>
            <w:tcW w:w="1200" w:type="dxa"/>
            <w:shd w:val="clear" w:color="auto" w:fill="auto"/>
            <w:noWrap/>
            <w:vAlign w:val="center"/>
            <w:hideMark/>
          </w:tcPr>
          <w:p w14:paraId="58EEF8A6" w14:textId="69C6C2F1" w:rsidR="006645D9" w:rsidRPr="006645D9" w:rsidRDefault="006645D9" w:rsidP="006645D9">
            <w:pPr>
              <w:pStyle w:val="Tabletext"/>
              <w:keepNext/>
              <w:keepLines/>
              <w:jc w:val="left"/>
              <w:rPr>
                <w:sz w:val="20"/>
              </w:rPr>
            </w:pPr>
            <w:r w:rsidRPr="006645D9">
              <w:rPr>
                <w:rFonts w:cs="Calibri" w:hint="eastAsia"/>
                <w:color w:val="000000"/>
                <w:sz w:val="20"/>
                <w:lang w:val="en-US" w:eastAsia="zh-CN"/>
              </w:rPr>
              <w:t>美国</w:t>
            </w:r>
          </w:p>
        </w:tc>
        <w:tc>
          <w:tcPr>
            <w:tcW w:w="4020" w:type="dxa"/>
            <w:shd w:val="clear" w:color="auto" w:fill="auto"/>
            <w:noWrap/>
            <w:vAlign w:val="center"/>
            <w:hideMark/>
          </w:tcPr>
          <w:p w14:paraId="62C5DD4E" w14:textId="49BDD0A7" w:rsidR="006645D9" w:rsidRPr="006645D9" w:rsidRDefault="006645D9" w:rsidP="006645D9">
            <w:pPr>
              <w:pStyle w:val="Tabletext"/>
              <w:keepNext/>
              <w:keepLines/>
              <w:jc w:val="left"/>
              <w:rPr>
                <w:sz w:val="20"/>
              </w:rPr>
            </w:pPr>
            <w:r w:rsidRPr="006645D9">
              <w:rPr>
                <w:rFonts w:cs="Calibri"/>
                <w:color w:val="000000"/>
                <w:sz w:val="20"/>
                <w:lang w:val="en-US" w:eastAsia="zh-CN"/>
              </w:rPr>
              <w:t>WI-FI Alliance</w:t>
            </w:r>
            <w:r w:rsidRPr="006645D9">
              <w:rPr>
                <w:rFonts w:cs="Calibri"/>
                <w:color w:val="000000"/>
                <w:sz w:val="20"/>
                <w:lang w:val="en-US" w:eastAsia="zh-CN"/>
              </w:rPr>
              <w:t>（</w:t>
            </w:r>
            <w:r w:rsidRPr="006645D9">
              <w:rPr>
                <w:rFonts w:cs="Calibri" w:hint="eastAsia"/>
                <w:color w:val="000000"/>
                <w:sz w:val="20"/>
                <w:lang w:val="en-US" w:eastAsia="zh-CN"/>
              </w:rPr>
              <w:t>原</w:t>
            </w:r>
            <w:r w:rsidRPr="006645D9">
              <w:rPr>
                <w:rFonts w:cs="Calibri"/>
                <w:color w:val="000000"/>
                <w:sz w:val="20"/>
                <w:lang w:val="en-US" w:eastAsia="zh-CN"/>
              </w:rPr>
              <w:t>Wireless Gigabit Alliance</w:t>
            </w:r>
            <w:r w:rsidRPr="006645D9">
              <w:rPr>
                <w:rFonts w:cs="Calibri"/>
                <w:color w:val="000000"/>
                <w:sz w:val="20"/>
                <w:lang w:val="en-US" w:eastAsia="zh-CN"/>
              </w:rPr>
              <w:t>）</w:t>
            </w:r>
            <w:r w:rsidRPr="006645D9">
              <w:rPr>
                <w:rFonts w:cs="Calibri" w:hint="eastAsia"/>
                <w:color w:val="000000"/>
                <w:sz w:val="20"/>
                <w:lang w:val="en-US" w:eastAsia="zh-CN"/>
              </w:rPr>
              <w:t>，奥斯汀</w:t>
            </w:r>
          </w:p>
        </w:tc>
        <w:tc>
          <w:tcPr>
            <w:tcW w:w="960" w:type="dxa"/>
            <w:shd w:val="clear" w:color="auto" w:fill="auto"/>
            <w:noWrap/>
            <w:vAlign w:val="center"/>
            <w:hideMark/>
          </w:tcPr>
          <w:p w14:paraId="5BC7F3D8" w14:textId="51FFA2C6" w:rsidR="006645D9" w:rsidRPr="00F2736F" w:rsidRDefault="006645D9" w:rsidP="006645D9">
            <w:pPr>
              <w:pStyle w:val="Tabletext"/>
              <w:keepNext/>
              <w:keepLines/>
              <w:jc w:val="left"/>
              <w:rPr>
                <w:sz w:val="16"/>
                <w:szCs w:val="16"/>
              </w:rPr>
            </w:pPr>
            <w:r w:rsidRPr="00C02F66">
              <w:rPr>
                <w:sz w:val="16"/>
              </w:rPr>
              <w:t>2013</w:t>
            </w:r>
          </w:p>
        </w:tc>
        <w:tc>
          <w:tcPr>
            <w:tcW w:w="1080" w:type="dxa"/>
            <w:shd w:val="clear" w:color="auto" w:fill="auto"/>
            <w:noWrap/>
            <w:vAlign w:val="center"/>
            <w:hideMark/>
          </w:tcPr>
          <w:p w14:paraId="20E27EA3" w14:textId="45544719" w:rsidR="006645D9" w:rsidRPr="00F2736F" w:rsidRDefault="006645D9" w:rsidP="006645D9">
            <w:pPr>
              <w:pStyle w:val="Tabletext"/>
              <w:keepNext/>
              <w:keepLines/>
              <w:jc w:val="left"/>
              <w:rPr>
                <w:sz w:val="16"/>
                <w:szCs w:val="16"/>
              </w:rPr>
            </w:pPr>
            <w:r w:rsidRPr="00C02F66">
              <w:rPr>
                <w:rFonts w:cs="Calibri"/>
                <w:color w:val="000000"/>
                <w:sz w:val="16"/>
                <w:szCs w:val="16"/>
                <w:lang w:eastAsia="en-GB"/>
              </w:rPr>
              <w:t>31.800,</w:t>
            </w:r>
            <w:r w:rsidRPr="00C02F66">
              <w:rPr>
                <w:color w:val="000000"/>
                <w:sz w:val="16"/>
              </w:rPr>
              <w:t>00</w:t>
            </w:r>
          </w:p>
        </w:tc>
        <w:tc>
          <w:tcPr>
            <w:tcW w:w="1120" w:type="dxa"/>
            <w:shd w:val="clear" w:color="auto" w:fill="auto"/>
            <w:noWrap/>
            <w:vAlign w:val="center"/>
            <w:hideMark/>
          </w:tcPr>
          <w:p w14:paraId="2C20EC89" w14:textId="07E26076" w:rsidR="006645D9" w:rsidRPr="00F2736F" w:rsidRDefault="006645D9" w:rsidP="006645D9">
            <w:pPr>
              <w:pStyle w:val="Tabletext"/>
              <w:keepNext/>
              <w:keepLines/>
              <w:rPr>
                <w:sz w:val="16"/>
                <w:szCs w:val="16"/>
              </w:rPr>
            </w:pPr>
            <w:r w:rsidRPr="00C02F66">
              <w:rPr>
                <w:rFonts w:cs="Calibri"/>
                <w:color w:val="000000"/>
                <w:sz w:val="16"/>
                <w:szCs w:val="16"/>
                <w:lang w:eastAsia="en-GB"/>
              </w:rPr>
              <w:t>12.351,35</w:t>
            </w:r>
          </w:p>
        </w:tc>
        <w:tc>
          <w:tcPr>
            <w:tcW w:w="1180" w:type="dxa"/>
            <w:shd w:val="clear" w:color="auto" w:fill="auto"/>
            <w:noWrap/>
            <w:vAlign w:val="center"/>
            <w:hideMark/>
          </w:tcPr>
          <w:p w14:paraId="061F1BE4" w14:textId="6991F889" w:rsidR="006645D9" w:rsidRPr="00F2736F" w:rsidRDefault="006645D9" w:rsidP="006645D9">
            <w:pPr>
              <w:pStyle w:val="Tabletext"/>
              <w:keepNext/>
              <w:keepLines/>
              <w:rPr>
                <w:sz w:val="16"/>
                <w:szCs w:val="16"/>
              </w:rPr>
            </w:pPr>
            <w:r w:rsidRPr="00C02F66">
              <w:rPr>
                <w:rFonts w:cs="Calibri"/>
                <w:color w:val="000000"/>
                <w:sz w:val="16"/>
                <w:szCs w:val="16"/>
                <w:lang w:eastAsia="en-GB"/>
              </w:rPr>
              <w:t>44.151,35</w:t>
            </w:r>
          </w:p>
        </w:tc>
      </w:tr>
      <w:tr w:rsidR="006645D9" w:rsidRPr="00FB13C1" w14:paraId="36B30955" w14:textId="77777777" w:rsidTr="00442968">
        <w:trPr>
          <w:trHeight w:val="283"/>
        </w:trPr>
        <w:tc>
          <w:tcPr>
            <w:tcW w:w="6180" w:type="dxa"/>
            <w:gridSpan w:val="3"/>
            <w:shd w:val="clear" w:color="auto" w:fill="auto"/>
            <w:noWrap/>
            <w:vAlign w:val="center"/>
            <w:hideMark/>
          </w:tcPr>
          <w:p w14:paraId="582F74DF" w14:textId="1CB9CC30" w:rsidR="006645D9" w:rsidRPr="00F2736F" w:rsidRDefault="006645D9" w:rsidP="006645D9">
            <w:pPr>
              <w:pStyle w:val="Tabletext"/>
              <w:keepNext/>
              <w:keepLines/>
              <w:jc w:val="center"/>
              <w:rPr>
                <w:b/>
                <w:bCs/>
                <w:i/>
                <w:iCs/>
                <w:sz w:val="16"/>
                <w:szCs w:val="16"/>
              </w:rPr>
            </w:pPr>
            <w:r w:rsidRPr="00C02F66">
              <w:rPr>
                <w:rFonts w:eastAsia="STKaiti" w:cs="Calibri"/>
                <w:b/>
                <w:bCs/>
                <w:sz w:val="20"/>
                <w:lang w:eastAsia="zh-CN"/>
              </w:rPr>
              <w:t>3.3</w:t>
            </w:r>
            <w:r w:rsidRPr="00C02F66">
              <w:rPr>
                <w:rFonts w:eastAsia="STKaiti" w:cs="Calibri" w:hint="eastAsia"/>
                <w:b/>
                <w:bCs/>
                <w:sz w:val="20"/>
                <w:lang w:eastAsia="zh-CN"/>
              </w:rPr>
              <w:t>小计</w:t>
            </w:r>
          </w:p>
        </w:tc>
        <w:tc>
          <w:tcPr>
            <w:tcW w:w="1080" w:type="dxa"/>
            <w:shd w:val="clear" w:color="auto" w:fill="auto"/>
            <w:noWrap/>
            <w:vAlign w:val="center"/>
            <w:hideMark/>
          </w:tcPr>
          <w:p w14:paraId="2FA37B22" w14:textId="5537463A" w:rsidR="006645D9" w:rsidRPr="00F2736F" w:rsidRDefault="006645D9" w:rsidP="006645D9">
            <w:pPr>
              <w:pStyle w:val="Tabletext"/>
              <w:keepNext/>
              <w:keepLines/>
              <w:jc w:val="left"/>
              <w:rPr>
                <w:b/>
                <w:bCs/>
                <w:sz w:val="16"/>
                <w:szCs w:val="16"/>
              </w:rPr>
            </w:pPr>
            <w:r w:rsidRPr="00C02F66">
              <w:rPr>
                <w:rFonts w:cs="Calibri"/>
                <w:b/>
                <w:bCs/>
                <w:sz w:val="16"/>
                <w:szCs w:val="16"/>
                <w:lang w:eastAsia="en-GB"/>
              </w:rPr>
              <w:t>1,184,829.68</w:t>
            </w:r>
          </w:p>
        </w:tc>
        <w:tc>
          <w:tcPr>
            <w:tcW w:w="1120" w:type="dxa"/>
            <w:shd w:val="clear" w:color="auto" w:fill="auto"/>
            <w:noWrap/>
            <w:vAlign w:val="center"/>
            <w:hideMark/>
          </w:tcPr>
          <w:p w14:paraId="2DB7A550" w14:textId="179DFCC8" w:rsidR="006645D9" w:rsidRPr="00F2736F" w:rsidRDefault="006645D9" w:rsidP="006645D9">
            <w:pPr>
              <w:pStyle w:val="Tabletext"/>
              <w:keepNext/>
              <w:keepLines/>
              <w:rPr>
                <w:b/>
                <w:bCs/>
                <w:sz w:val="16"/>
                <w:szCs w:val="16"/>
              </w:rPr>
            </w:pPr>
            <w:r w:rsidRPr="00C02F66">
              <w:rPr>
                <w:rFonts w:cs="Calibri"/>
                <w:b/>
                <w:bCs/>
                <w:sz w:val="16"/>
                <w:szCs w:val="16"/>
                <w:lang w:eastAsia="en-GB"/>
              </w:rPr>
              <w:t>1,527,442.90</w:t>
            </w:r>
          </w:p>
        </w:tc>
        <w:tc>
          <w:tcPr>
            <w:tcW w:w="1180" w:type="dxa"/>
            <w:shd w:val="clear" w:color="auto" w:fill="auto"/>
            <w:noWrap/>
            <w:vAlign w:val="center"/>
            <w:hideMark/>
          </w:tcPr>
          <w:p w14:paraId="794DBF5B" w14:textId="03B5250F" w:rsidR="006645D9" w:rsidRPr="00F2736F" w:rsidRDefault="006645D9" w:rsidP="006645D9">
            <w:pPr>
              <w:pStyle w:val="Tabletext"/>
              <w:keepNext/>
              <w:keepLines/>
              <w:rPr>
                <w:b/>
                <w:bCs/>
                <w:sz w:val="16"/>
                <w:szCs w:val="16"/>
              </w:rPr>
            </w:pPr>
            <w:r w:rsidRPr="00C02F66">
              <w:rPr>
                <w:rFonts w:cs="Calibri"/>
                <w:b/>
                <w:bCs/>
                <w:sz w:val="16"/>
                <w:szCs w:val="16"/>
                <w:lang w:eastAsia="en-GB"/>
              </w:rPr>
              <w:t>2,712,272.58</w:t>
            </w:r>
          </w:p>
        </w:tc>
      </w:tr>
      <w:tr w:rsidR="006645D9" w:rsidRPr="00FB13C1" w14:paraId="569CAC32" w14:textId="77777777" w:rsidTr="00442968">
        <w:trPr>
          <w:trHeight w:val="283"/>
        </w:trPr>
        <w:tc>
          <w:tcPr>
            <w:tcW w:w="6180" w:type="dxa"/>
            <w:gridSpan w:val="3"/>
            <w:shd w:val="clear" w:color="auto" w:fill="auto"/>
            <w:noWrap/>
            <w:vAlign w:val="center"/>
            <w:hideMark/>
          </w:tcPr>
          <w:p w14:paraId="0D79E4B6" w14:textId="67A811AF" w:rsidR="006645D9" w:rsidRPr="00F2736F" w:rsidRDefault="006645D9" w:rsidP="006645D9">
            <w:pPr>
              <w:pStyle w:val="Tabletext"/>
              <w:keepNext/>
              <w:keepLines/>
              <w:jc w:val="left"/>
              <w:rPr>
                <w:b/>
                <w:bCs/>
                <w:sz w:val="16"/>
                <w:szCs w:val="16"/>
              </w:rPr>
            </w:pPr>
            <w:r w:rsidRPr="00C02F66">
              <w:rPr>
                <w:rFonts w:cs="Calibri" w:hint="eastAsia"/>
                <w:b/>
                <w:bCs/>
                <w:sz w:val="20"/>
                <w:lang w:eastAsia="zh-CN"/>
              </w:rPr>
              <w:t>总计</w:t>
            </w:r>
          </w:p>
        </w:tc>
        <w:tc>
          <w:tcPr>
            <w:tcW w:w="1080" w:type="dxa"/>
            <w:shd w:val="clear" w:color="auto" w:fill="auto"/>
            <w:noWrap/>
            <w:vAlign w:val="center"/>
            <w:hideMark/>
          </w:tcPr>
          <w:p w14:paraId="1847E400" w14:textId="6C0A6F86" w:rsidR="006645D9" w:rsidRPr="00F2736F" w:rsidRDefault="006645D9" w:rsidP="006645D9">
            <w:pPr>
              <w:pStyle w:val="Tabletext"/>
              <w:keepNext/>
              <w:keepLines/>
              <w:jc w:val="left"/>
              <w:rPr>
                <w:b/>
                <w:bCs/>
                <w:sz w:val="16"/>
                <w:szCs w:val="16"/>
              </w:rPr>
            </w:pPr>
            <w:r w:rsidRPr="00C02F66">
              <w:rPr>
                <w:rFonts w:cs="Calibri"/>
                <w:b/>
                <w:bCs/>
                <w:sz w:val="16"/>
                <w:szCs w:val="16"/>
                <w:lang w:eastAsia="en-GB"/>
              </w:rPr>
              <w:t>1,184,829.68</w:t>
            </w:r>
          </w:p>
        </w:tc>
        <w:tc>
          <w:tcPr>
            <w:tcW w:w="1120" w:type="dxa"/>
            <w:shd w:val="clear" w:color="auto" w:fill="auto"/>
            <w:noWrap/>
            <w:vAlign w:val="center"/>
            <w:hideMark/>
          </w:tcPr>
          <w:p w14:paraId="19028B3A" w14:textId="3341950C" w:rsidR="006645D9" w:rsidRPr="00F2736F" w:rsidRDefault="006645D9" w:rsidP="006645D9">
            <w:pPr>
              <w:pStyle w:val="Tabletext"/>
              <w:keepNext/>
              <w:keepLines/>
              <w:rPr>
                <w:b/>
                <w:bCs/>
                <w:sz w:val="16"/>
                <w:szCs w:val="16"/>
              </w:rPr>
            </w:pPr>
            <w:r w:rsidRPr="00C02F66">
              <w:rPr>
                <w:rFonts w:cs="Calibri"/>
                <w:b/>
                <w:bCs/>
                <w:sz w:val="16"/>
                <w:szCs w:val="16"/>
                <w:lang w:eastAsia="en-GB"/>
              </w:rPr>
              <w:t>1,535,422.95</w:t>
            </w:r>
          </w:p>
        </w:tc>
        <w:tc>
          <w:tcPr>
            <w:tcW w:w="1180" w:type="dxa"/>
            <w:shd w:val="clear" w:color="auto" w:fill="auto"/>
            <w:noWrap/>
            <w:vAlign w:val="center"/>
            <w:hideMark/>
          </w:tcPr>
          <w:p w14:paraId="11A3DE87" w14:textId="6DB841A8" w:rsidR="006645D9" w:rsidRPr="00F2736F" w:rsidRDefault="006645D9" w:rsidP="006645D9">
            <w:pPr>
              <w:pStyle w:val="Tabletext"/>
              <w:keepNext/>
              <w:keepLines/>
              <w:rPr>
                <w:b/>
                <w:bCs/>
                <w:sz w:val="16"/>
                <w:szCs w:val="16"/>
              </w:rPr>
            </w:pPr>
            <w:r w:rsidRPr="00C02F66">
              <w:rPr>
                <w:rFonts w:cs="Calibri"/>
                <w:b/>
                <w:bCs/>
                <w:sz w:val="16"/>
                <w:szCs w:val="16"/>
                <w:lang w:eastAsia="en-GB"/>
              </w:rPr>
              <w:t>2,720,252.63</w:t>
            </w:r>
          </w:p>
        </w:tc>
      </w:tr>
    </w:tbl>
    <w:p w14:paraId="3306327B" w14:textId="79D39A11" w:rsidR="003A1C4B" w:rsidRPr="00113BE9" w:rsidRDefault="00113BE9" w:rsidP="00113BE9">
      <w:pPr>
        <w:pStyle w:val="Endtext"/>
        <w:rPr>
          <w:b/>
          <w:bCs/>
          <w:lang w:val="en-US" w:eastAsia="zh-CN"/>
        </w:rPr>
      </w:pPr>
      <w:r w:rsidRPr="00DA7A9F">
        <w:rPr>
          <w:rFonts w:ascii="STKaiti" w:hAnsi="STKaiti" w:hint="eastAsia"/>
          <w:bCs/>
          <w:lang w:eastAsia="zh-CN"/>
        </w:rPr>
        <w:t>参阅</w:t>
      </w:r>
      <w:r w:rsidRPr="00A6429D">
        <w:rPr>
          <w:rFonts w:hint="eastAsia"/>
          <w:bCs/>
          <w:lang w:val="en-GB" w:eastAsia="zh-CN"/>
        </w:rPr>
        <w:t>：</w:t>
      </w:r>
      <w:r>
        <w:rPr>
          <w:bCs/>
          <w:lang w:val="en-GB" w:eastAsia="zh-CN"/>
        </w:rPr>
        <w:tab/>
      </w:r>
      <w:hyperlink r:id="rId145" w:history="1">
        <w:r w:rsidRPr="00113BE9">
          <w:rPr>
            <w:rStyle w:val="Hyperlink"/>
            <w:lang w:val="en-GB" w:eastAsia="zh-CN"/>
          </w:rPr>
          <w:t>C20/84</w:t>
        </w:r>
      </w:hyperlink>
      <w:r>
        <w:rPr>
          <w:rFonts w:hint="eastAsia"/>
          <w:lang w:val="en-GB" w:eastAsia="zh-CN"/>
        </w:rPr>
        <w:t>、</w:t>
      </w:r>
      <w:hyperlink r:id="rId146" w:history="1">
        <w:r w:rsidRPr="00113BE9">
          <w:rPr>
            <w:rStyle w:val="Hyperlink"/>
            <w:lang w:val="fr-FR" w:eastAsia="zh-CN"/>
          </w:rPr>
          <w:t>VC-2/14</w:t>
        </w:r>
      </w:hyperlink>
      <w:r>
        <w:rPr>
          <w:rFonts w:hint="eastAsia"/>
          <w:lang w:val="en-GB" w:eastAsia="zh-CN"/>
        </w:rPr>
        <w:t>和</w:t>
      </w:r>
      <w:hyperlink r:id="rId147" w:history="1">
        <w:r w:rsidRPr="00113BE9">
          <w:rPr>
            <w:rStyle w:val="Hyperlink"/>
            <w:lang w:val="en-GB" w:eastAsia="zh-CN"/>
          </w:rPr>
          <w:t>DM-20/1022</w:t>
        </w:r>
      </w:hyperlink>
      <w:r>
        <w:rPr>
          <w:rFonts w:hint="eastAsia"/>
          <w:lang w:eastAsia="zh-CN"/>
        </w:rPr>
        <w:t>号</w:t>
      </w:r>
      <w:r>
        <w:rPr>
          <w:lang w:eastAsia="zh-CN"/>
        </w:rPr>
        <w:t>文件</w:t>
      </w:r>
      <w:r w:rsidRPr="00C44E8B">
        <w:rPr>
          <w:lang w:eastAsia="zh-CN"/>
        </w:rPr>
        <w:t>。</w:t>
      </w:r>
    </w:p>
    <w:p w14:paraId="46498002" w14:textId="77777777" w:rsidR="006645D9" w:rsidRDefault="006645D9" w:rsidP="00A11C8C">
      <w:pPr>
        <w:pStyle w:val="Reasons"/>
        <w:rPr>
          <w:lang w:eastAsia="zh-CN"/>
        </w:rPr>
      </w:pPr>
    </w:p>
    <w:p w14:paraId="4827AE79" w14:textId="27659741" w:rsidR="003A1C4B" w:rsidRPr="006645D9" w:rsidRDefault="006645D9" w:rsidP="006645D9">
      <w:pPr>
        <w:jc w:val="center"/>
        <w:rPr>
          <w:lang w:eastAsia="zh-CN"/>
        </w:rPr>
      </w:pPr>
      <w:r>
        <w:rPr>
          <w:lang w:eastAsia="zh-CN"/>
        </w:rPr>
        <w:t>_____________</w:t>
      </w:r>
    </w:p>
    <w:p w14:paraId="4827AE7C" w14:textId="77777777" w:rsidR="003A1C4B" w:rsidRDefault="003A1C4B">
      <w:pPr>
        <w:tabs>
          <w:tab w:val="clear" w:pos="794"/>
          <w:tab w:val="clear" w:pos="1191"/>
          <w:tab w:val="clear" w:pos="1588"/>
          <w:tab w:val="clear" w:pos="1985"/>
        </w:tabs>
        <w:overflowPunct/>
        <w:autoSpaceDE/>
        <w:autoSpaceDN/>
        <w:adjustRightInd/>
        <w:spacing w:before="0"/>
        <w:jc w:val="left"/>
        <w:textAlignment w:val="auto"/>
        <w:rPr>
          <w:b/>
          <w:bCs/>
          <w:lang w:eastAsia="zh-CN"/>
        </w:rPr>
      </w:pPr>
    </w:p>
    <w:p w14:paraId="4827AE7D" w14:textId="4CB620DF" w:rsidR="00662D13" w:rsidRDefault="00662D13">
      <w:pPr>
        <w:tabs>
          <w:tab w:val="clear" w:pos="794"/>
          <w:tab w:val="clear" w:pos="1191"/>
          <w:tab w:val="clear" w:pos="1588"/>
          <w:tab w:val="clear" w:pos="1985"/>
        </w:tabs>
        <w:overflowPunct/>
        <w:autoSpaceDE/>
        <w:autoSpaceDN/>
        <w:adjustRightInd/>
        <w:spacing w:before="0"/>
        <w:jc w:val="left"/>
        <w:textAlignment w:val="auto"/>
        <w:rPr>
          <w:b/>
          <w:bCs/>
          <w:lang w:eastAsia="zh-CN"/>
        </w:rPr>
      </w:pPr>
      <w:r>
        <w:rPr>
          <w:b/>
          <w:bCs/>
          <w:lang w:eastAsia="zh-CN"/>
        </w:rPr>
        <w:br w:type="page"/>
      </w:r>
    </w:p>
    <w:p w14:paraId="5EB23067" w14:textId="368E9CEC" w:rsidR="00662D13" w:rsidRPr="00662D13" w:rsidRDefault="00662D13" w:rsidP="00662D13">
      <w:pPr>
        <w:pStyle w:val="DecNo"/>
        <w:outlineLvl w:val="0"/>
        <w:rPr>
          <w:b/>
          <w:lang w:val="en-US"/>
        </w:rPr>
      </w:pPr>
      <w:bookmarkStart w:id="250" w:name="_Toc86395496"/>
      <w:r w:rsidRPr="00770FC3">
        <w:rPr>
          <w:rFonts w:hint="eastAsia"/>
          <w:lang w:val="fr-CH"/>
        </w:rPr>
        <w:lastRenderedPageBreak/>
        <w:t>第</w:t>
      </w:r>
      <w:r w:rsidRPr="00770FC3">
        <w:rPr>
          <w:lang w:val="en-US"/>
        </w:rPr>
        <w:t>624</w:t>
      </w:r>
      <w:r w:rsidRPr="00770FC3">
        <w:rPr>
          <w:rFonts w:hint="eastAsia"/>
          <w:lang w:val="fr-CH"/>
        </w:rPr>
        <w:t>号决定</w:t>
      </w:r>
      <w:r>
        <w:rPr>
          <w:rFonts w:hint="eastAsia"/>
          <w:lang w:val="fr-CH"/>
        </w:rPr>
        <w:t>（</w:t>
      </w:r>
      <w:r>
        <w:rPr>
          <w:rFonts w:hint="eastAsia"/>
          <w:lang w:val="fr-CH"/>
        </w:rPr>
        <w:t>C</w:t>
      </w:r>
      <w:r>
        <w:rPr>
          <w:lang w:val="fr-CH"/>
        </w:rPr>
        <w:t>21</w:t>
      </w:r>
      <w:r>
        <w:rPr>
          <w:rFonts w:hint="eastAsia"/>
          <w:lang w:val="fr-CH"/>
        </w:rPr>
        <w:t>）</w:t>
      </w:r>
      <w:bookmarkEnd w:id="250"/>
    </w:p>
    <w:p w14:paraId="74F7CDA2" w14:textId="77777777" w:rsidR="00662D13" w:rsidRPr="00770FC3" w:rsidRDefault="00662D13" w:rsidP="00662D13">
      <w:pPr>
        <w:pStyle w:val="Dectitle"/>
        <w:tabs>
          <w:tab w:val="left" w:pos="794"/>
          <w:tab w:val="left" w:pos="1191"/>
          <w:tab w:val="left" w:pos="1588"/>
        </w:tabs>
      </w:pPr>
      <w:bookmarkStart w:id="251" w:name="_Toc86395497"/>
      <w:r w:rsidRPr="00770FC3">
        <w:rPr>
          <w:rFonts w:hint="eastAsia"/>
          <w:lang w:val="en-US"/>
        </w:rPr>
        <w:t>欠款利息和不可回收债务的注销</w:t>
      </w:r>
      <w:bookmarkEnd w:id="251"/>
    </w:p>
    <w:p w14:paraId="6198C778" w14:textId="77777777" w:rsidR="00662D13" w:rsidRPr="00770FC3" w:rsidRDefault="00662D13" w:rsidP="00662D13">
      <w:pPr>
        <w:pStyle w:val="Normalaftertitle0"/>
        <w:rPr>
          <w:lang w:val="en-US"/>
        </w:rPr>
      </w:pPr>
      <w:r w:rsidRPr="00770FC3">
        <w:rPr>
          <w:rFonts w:hint="eastAsia"/>
          <w:lang w:val="en-US"/>
        </w:rPr>
        <w:t>国际电联理事会，</w:t>
      </w:r>
    </w:p>
    <w:p w14:paraId="3D293E1B" w14:textId="77777777" w:rsidR="00662D13" w:rsidRPr="00770FC3" w:rsidRDefault="00662D13" w:rsidP="00662D13">
      <w:pPr>
        <w:pStyle w:val="Call"/>
        <w:rPr>
          <w:lang w:val="en-US" w:eastAsia="zh-CN"/>
        </w:rPr>
      </w:pPr>
      <w:r w:rsidRPr="00770FC3">
        <w:rPr>
          <w:rFonts w:hint="eastAsia"/>
          <w:lang w:val="en-US" w:eastAsia="zh-CN"/>
        </w:rPr>
        <w:t>经审查</w:t>
      </w:r>
    </w:p>
    <w:p w14:paraId="724060C8" w14:textId="77777777" w:rsidR="00662D13" w:rsidRPr="00770FC3" w:rsidRDefault="00662D13" w:rsidP="00662D13">
      <w:pPr>
        <w:pStyle w:val="NormalCH"/>
        <w:ind w:firstLine="480"/>
        <w:rPr>
          <w:lang w:val="en-US"/>
        </w:rPr>
      </w:pPr>
      <w:r w:rsidRPr="00770FC3">
        <w:rPr>
          <w:rFonts w:hint="eastAsia"/>
          <w:lang w:val="en-US"/>
        </w:rPr>
        <w:t>秘书长关于欠款和欠款专账的报告（</w:t>
      </w:r>
      <w:hyperlink r:id="rId148" w:history="1">
        <w:r w:rsidRPr="001621F2">
          <w:rPr>
            <w:rStyle w:val="Hyperlink"/>
            <w:rFonts w:eastAsia="Times New Roman"/>
            <w:lang w:val="en-US"/>
          </w:rPr>
          <w:t>C21/11</w:t>
        </w:r>
        <w:r w:rsidRPr="001621F2">
          <w:rPr>
            <w:rStyle w:val="Hyperlink"/>
            <w:rFonts w:ascii="SimSun" w:hAnsi="SimSun" w:cs="SimSun" w:hint="eastAsia"/>
            <w:lang w:val="fr-FR"/>
          </w:rPr>
          <w:t>号文件</w:t>
        </w:r>
      </w:hyperlink>
      <w:r w:rsidRPr="00770FC3">
        <w:rPr>
          <w:rFonts w:hint="eastAsia"/>
          <w:lang w:val="en-US"/>
        </w:rPr>
        <w:t>），</w:t>
      </w:r>
    </w:p>
    <w:p w14:paraId="2ACDC3BB" w14:textId="77777777" w:rsidR="00662D13" w:rsidRPr="00770FC3" w:rsidRDefault="00662D13" w:rsidP="00662D13">
      <w:pPr>
        <w:pStyle w:val="Call"/>
        <w:rPr>
          <w:lang w:val="en-US" w:eastAsia="zh-CN"/>
        </w:rPr>
      </w:pPr>
      <w:r w:rsidRPr="00770FC3">
        <w:rPr>
          <w:rFonts w:hint="eastAsia"/>
          <w:lang w:val="en-US" w:eastAsia="zh-CN"/>
        </w:rPr>
        <w:t>做出决定</w:t>
      </w:r>
    </w:p>
    <w:p w14:paraId="32DAA624" w14:textId="0BAB8ED9" w:rsidR="00662D13" w:rsidRDefault="00662D13" w:rsidP="00662D13">
      <w:pPr>
        <w:pStyle w:val="NormalCH"/>
        <w:ind w:firstLine="480"/>
        <w:rPr>
          <w:lang w:val="en-US"/>
        </w:rPr>
      </w:pPr>
      <w:r w:rsidRPr="00770FC3">
        <w:rPr>
          <w:rFonts w:hint="eastAsia"/>
          <w:lang w:val="en-US"/>
        </w:rPr>
        <w:t>批准从借方账目储备金提取相应款项，注销总计为</w:t>
      </w:r>
      <w:r w:rsidRPr="00770FC3">
        <w:rPr>
          <w:rFonts w:eastAsia="Times New Roman"/>
          <w:b/>
          <w:bCs/>
          <w:lang w:val="en-US"/>
        </w:rPr>
        <w:t>3 001 808.34</w:t>
      </w:r>
      <w:r w:rsidRPr="00770FC3">
        <w:rPr>
          <w:rFonts w:hint="eastAsia"/>
          <w:b/>
          <w:bCs/>
          <w:lang w:val="en-US"/>
        </w:rPr>
        <w:t>瑞郎</w:t>
      </w:r>
      <w:r w:rsidRPr="00770FC3">
        <w:rPr>
          <w:rFonts w:hint="eastAsia"/>
          <w:lang w:val="en-US"/>
        </w:rPr>
        <w:t>的欠款利息和不可回收债务。请参阅下表中的详细信息。</w:t>
      </w:r>
    </w:p>
    <w:p w14:paraId="4F93E430" w14:textId="77777777" w:rsidR="00442968" w:rsidRPr="00442968" w:rsidRDefault="00442968" w:rsidP="00442968">
      <w:pPr>
        <w:rPr>
          <w:lang w:val="en-US" w:eastAsia="zh-CN"/>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4020"/>
        <w:gridCol w:w="960"/>
        <w:gridCol w:w="1080"/>
        <w:gridCol w:w="1125"/>
        <w:gridCol w:w="1180"/>
      </w:tblGrid>
      <w:tr w:rsidR="00442968" w:rsidRPr="00C92C03" w14:paraId="1E43C044" w14:textId="77777777" w:rsidTr="00B57A10">
        <w:trPr>
          <w:trHeight w:val="315"/>
          <w:tblHeader/>
        </w:trPr>
        <w:tc>
          <w:tcPr>
            <w:tcW w:w="1200" w:type="dxa"/>
            <w:shd w:val="clear" w:color="000000" w:fill="C0C0C0"/>
            <w:noWrap/>
            <w:vAlign w:val="center"/>
            <w:hideMark/>
          </w:tcPr>
          <w:p w14:paraId="5BB9D90B" w14:textId="3C665A9C" w:rsidR="00442968" w:rsidRPr="00C92C03" w:rsidRDefault="00442968" w:rsidP="00442968">
            <w:pPr>
              <w:overflowPunct/>
              <w:autoSpaceDE/>
              <w:autoSpaceDN/>
              <w:adjustRightInd/>
              <w:spacing w:before="0"/>
              <w:jc w:val="center"/>
              <w:textAlignment w:val="auto"/>
              <w:rPr>
                <w:b/>
                <w:bCs/>
                <w:color w:val="000000"/>
                <w:sz w:val="16"/>
                <w:szCs w:val="16"/>
                <w:lang w:eastAsia="en-GB"/>
              </w:rPr>
            </w:pPr>
            <w:r w:rsidRPr="009121E5">
              <w:rPr>
                <w:rFonts w:ascii="SimSun" w:hAnsi="SimSun" w:cs="Calibri" w:hint="eastAsia"/>
                <w:b/>
                <w:bCs/>
                <w:color w:val="000000"/>
                <w:sz w:val="17"/>
                <w:szCs w:val="17"/>
                <w:lang w:val="en-US"/>
              </w:rPr>
              <w:t>国家</w:t>
            </w:r>
          </w:p>
        </w:tc>
        <w:tc>
          <w:tcPr>
            <w:tcW w:w="4020" w:type="dxa"/>
            <w:shd w:val="clear" w:color="000000" w:fill="C0C0C0"/>
            <w:noWrap/>
            <w:vAlign w:val="center"/>
            <w:hideMark/>
          </w:tcPr>
          <w:p w14:paraId="03C85E69" w14:textId="7A2A3577" w:rsidR="00442968" w:rsidRPr="00C92C03" w:rsidRDefault="00442968" w:rsidP="00442968">
            <w:pPr>
              <w:overflowPunct/>
              <w:autoSpaceDE/>
              <w:autoSpaceDN/>
              <w:adjustRightInd/>
              <w:spacing w:before="0"/>
              <w:jc w:val="center"/>
              <w:textAlignment w:val="auto"/>
              <w:rPr>
                <w:b/>
                <w:bCs/>
                <w:color w:val="000000"/>
                <w:sz w:val="16"/>
                <w:szCs w:val="16"/>
                <w:lang w:eastAsia="en-GB"/>
              </w:rPr>
            </w:pPr>
            <w:r w:rsidRPr="009121E5">
              <w:rPr>
                <w:rFonts w:cs="Calibri" w:hint="eastAsia"/>
                <w:b/>
                <w:bCs/>
                <w:color w:val="000000"/>
                <w:sz w:val="17"/>
                <w:szCs w:val="17"/>
                <w:lang w:val="en-US"/>
              </w:rPr>
              <w:t>公司名称</w:t>
            </w:r>
          </w:p>
        </w:tc>
        <w:tc>
          <w:tcPr>
            <w:tcW w:w="960" w:type="dxa"/>
            <w:shd w:val="clear" w:color="000000" w:fill="C0C0C0"/>
            <w:noWrap/>
            <w:vAlign w:val="center"/>
            <w:hideMark/>
          </w:tcPr>
          <w:p w14:paraId="38DA9EEA" w14:textId="29082881" w:rsidR="00442968" w:rsidRPr="00C92C03" w:rsidRDefault="00442968" w:rsidP="00442968">
            <w:pPr>
              <w:overflowPunct/>
              <w:autoSpaceDE/>
              <w:autoSpaceDN/>
              <w:adjustRightInd/>
              <w:spacing w:before="0"/>
              <w:jc w:val="center"/>
              <w:textAlignment w:val="auto"/>
              <w:rPr>
                <w:b/>
                <w:bCs/>
                <w:color w:val="000000"/>
                <w:sz w:val="16"/>
                <w:szCs w:val="16"/>
                <w:lang w:eastAsia="en-GB"/>
              </w:rPr>
            </w:pPr>
            <w:r w:rsidRPr="009121E5">
              <w:rPr>
                <w:rFonts w:cs="Calibri" w:hint="eastAsia"/>
                <w:b/>
                <w:bCs/>
                <w:color w:val="000000"/>
                <w:sz w:val="17"/>
                <w:szCs w:val="17"/>
                <w:lang w:val="en-US"/>
              </w:rPr>
              <w:t>年度</w:t>
            </w:r>
          </w:p>
        </w:tc>
        <w:tc>
          <w:tcPr>
            <w:tcW w:w="1080" w:type="dxa"/>
            <w:shd w:val="clear" w:color="000000" w:fill="C0C0C0"/>
            <w:noWrap/>
            <w:vAlign w:val="center"/>
            <w:hideMark/>
          </w:tcPr>
          <w:p w14:paraId="360F3666" w14:textId="4D20FCAA" w:rsidR="00442968" w:rsidRPr="00C92C03" w:rsidRDefault="00442968" w:rsidP="00442968">
            <w:pPr>
              <w:overflowPunct/>
              <w:autoSpaceDE/>
              <w:autoSpaceDN/>
              <w:adjustRightInd/>
              <w:spacing w:before="0"/>
              <w:jc w:val="center"/>
              <w:textAlignment w:val="auto"/>
              <w:rPr>
                <w:b/>
                <w:bCs/>
                <w:color w:val="000000"/>
                <w:sz w:val="16"/>
                <w:szCs w:val="16"/>
                <w:lang w:eastAsia="en-GB"/>
              </w:rPr>
            </w:pPr>
            <w:r w:rsidRPr="009121E5">
              <w:rPr>
                <w:rFonts w:cs="Calibri" w:hint="eastAsia"/>
                <w:b/>
                <w:bCs/>
                <w:color w:val="000000"/>
                <w:sz w:val="17"/>
                <w:szCs w:val="17"/>
                <w:lang w:val="en-US"/>
              </w:rPr>
              <w:t>本金</w:t>
            </w:r>
          </w:p>
        </w:tc>
        <w:tc>
          <w:tcPr>
            <w:tcW w:w="1120" w:type="dxa"/>
            <w:shd w:val="clear" w:color="000000" w:fill="C0C0C0"/>
            <w:noWrap/>
            <w:vAlign w:val="center"/>
            <w:hideMark/>
          </w:tcPr>
          <w:p w14:paraId="00A6B429" w14:textId="14766C37" w:rsidR="00442968" w:rsidRPr="00C92C03" w:rsidRDefault="00442968" w:rsidP="00442968">
            <w:pPr>
              <w:overflowPunct/>
              <w:autoSpaceDE/>
              <w:autoSpaceDN/>
              <w:adjustRightInd/>
              <w:spacing w:before="0"/>
              <w:jc w:val="center"/>
              <w:textAlignment w:val="auto"/>
              <w:rPr>
                <w:b/>
                <w:bCs/>
                <w:color w:val="000000"/>
                <w:sz w:val="16"/>
                <w:szCs w:val="16"/>
                <w:lang w:eastAsia="en-GB"/>
              </w:rPr>
            </w:pPr>
            <w:r w:rsidRPr="009121E5">
              <w:rPr>
                <w:rFonts w:cs="Calibri" w:hint="eastAsia"/>
                <w:b/>
                <w:bCs/>
                <w:color w:val="000000"/>
                <w:sz w:val="17"/>
                <w:szCs w:val="17"/>
                <w:lang w:val="en-US"/>
              </w:rPr>
              <w:t>利息</w:t>
            </w:r>
          </w:p>
        </w:tc>
        <w:tc>
          <w:tcPr>
            <w:tcW w:w="1180" w:type="dxa"/>
            <w:shd w:val="clear" w:color="000000" w:fill="C0C0C0"/>
            <w:noWrap/>
            <w:vAlign w:val="center"/>
            <w:hideMark/>
          </w:tcPr>
          <w:p w14:paraId="165A38DA" w14:textId="21B501FA" w:rsidR="00442968" w:rsidRPr="00C92C03" w:rsidRDefault="00442968" w:rsidP="00442968">
            <w:pPr>
              <w:overflowPunct/>
              <w:autoSpaceDE/>
              <w:autoSpaceDN/>
              <w:adjustRightInd/>
              <w:spacing w:before="0"/>
              <w:jc w:val="center"/>
              <w:textAlignment w:val="auto"/>
              <w:rPr>
                <w:b/>
                <w:bCs/>
                <w:color w:val="000000"/>
                <w:sz w:val="16"/>
                <w:szCs w:val="16"/>
                <w:lang w:eastAsia="en-GB"/>
              </w:rPr>
            </w:pPr>
            <w:r w:rsidRPr="009121E5">
              <w:rPr>
                <w:rFonts w:cs="Calibri" w:hint="eastAsia"/>
                <w:b/>
                <w:bCs/>
                <w:color w:val="000000"/>
                <w:sz w:val="17"/>
                <w:szCs w:val="17"/>
                <w:lang w:val="en-US"/>
              </w:rPr>
              <w:t>合计</w:t>
            </w:r>
          </w:p>
        </w:tc>
      </w:tr>
      <w:tr w:rsidR="00442968" w:rsidRPr="00C92C03" w14:paraId="2FFEC348" w14:textId="77777777" w:rsidTr="00B57A10">
        <w:trPr>
          <w:trHeight w:val="315"/>
        </w:trPr>
        <w:tc>
          <w:tcPr>
            <w:tcW w:w="1200" w:type="dxa"/>
            <w:shd w:val="clear" w:color="000000" w:fill="FFFFFF"/>
            <w:vAlign w:val="center"/>
            <w:hideMark/>
          </w:tcPr>
          <w:p w14:paraId="2833B11B" w14:textId="1F84838F" w:rsidR="00442968" w:rsidRPr="00C92C03" w:rsidRDefault="00442968" w:rsidP="00442968">
            <w:pPr>
              <w:overflowPunct/>
              <w:autoSpaceDE/>
              <w:autoSpaceDN/>
              <w:adjustRightInd/>
              <w:spacing w:before="0"/>
              <w:textAlignment w:val="auto"/>
              <w:rPr>
                <w:sz w:val="16"/>
                <w:szCs w:val="16"/>
                <w:lang w:eastAsia="en-GB"/>
              </w:rPr>
            </w:pPr>
            <w:r w:rsidRPr="009121E5">
              <w:rPr>
                <w:rFonts w:cs="Calibri" w:hint="eastAsia"/>
                <w:sz w:val="17"/>
                <w:szCs w:val="17"/>
                <w:lang w:val="en-US"/>
              </w:rPr>
              <w:t>喀麦隆</w:t>
            </w:r>
          </w:p>
        </w:tc>
        <w:tc>
          <w:tcPr>
            <w:tcW w:w="4020" w:type="dxa"/>
            <w:shd w:val="clear" w:color="000000" w:fill="FFFFFF"/>
            <w:vAlign w:val="center"/>
            <w:hideMark/>
          </w:tcPr>
          <w:p w14:paraId="621E2413" w14:textId="5BF0D3D1" w:rsidR="00442968" w:rsidRPr="00C92C03" w:rsidRDefault="00442968" w:rsidP="00442968">
            <w:pPr>
              <w:overflowPunct/>
              <w:autoSpaceDE/>
              <w:autoSpaceDN/>
              <w:adjustRightInd/>
              <w:spacing w:before="0"/>
              <w:textAlignment w:val="auto"/>
              <w:rPr>
                <w:sz w:val="16"/>
                <w:szCs w:val="16"/>
                <w:lang w:val="fr-FR" w:eastAsia="en-GB"/>
              </w:rPr>
            </w:pPr>
            <w:r w:rsidRPr="009121E5">
              <w:rPr>
                <w:rFonts w:cs="Calibri" w:hint="eastAsia"/>
                <w:sz w:val="17"/>
                <w:szCs w:val="17"/>
                <w:lang w:val="fr-FR"/>
              </w:rPr>
              <w:t>邮电部</w:t>
            </w:r>
          </w:p>
        </w:tc>
        <w:tc>
          <w:tcPr>
            <w:tcW w:w="960" w:type="dxa"/>
            <w:shd w:val="clear" w:color="000000" w:fill="FFFFFF"/>
            <w:noWrap/>
            <w:vAlign w:val="center"/>
            <w:hideMark/>
          </w:tcPr>
          <w:p w14:paraId="395AC522" w14:textId="70D941DB" w:rsidR="00442968" w:rsidRPr="00C92C03" w:rsidRDefault="00442968" w:rsidP="00442968">
            <w:pPr>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2014-2020</w:t>
            </w:r>
          </w:p>
        </w:tc>
        <w:tc>
          <w:tcPr>
            <w:tcW w:w="1080" w:type="dxa"/>
            <w:shd w:val="clear" w:color="000000" w:fill="FFFFFF"/>
            <w:noWrap/>
            <w:vAlign w:val="center"/>
            <w:hideMark/>
          </w:tcPr>
          <w:p w14:paraId="6A496B70" w14:textId="452F8E8E"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0.00</w:t>
            </w:r>
          </w:p>
        </w:tc>
        <w:tc>
          <w:tcPr>
            <w:tcW w:w="1120" w:type="dxa"/>
            <w:shd w:val="clear" w:color="000000" w:fill="FFFFFF"/>
            <w:noWrap/>
            <w:vAlign w:val="center"/>
            <w:hideMark/>
          </w:tcPr>
          <w:p w14:paraId="1DAB8979" w14:textId="66455166"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164,445.35</w:t>
            </w:r>
          </w:p>
        </w:tc>
        <w:tc>
          <w:tcPr>
            <w:tcW w:w="1180" w:type="dxa"/>
            <w:shd w:val="clear" w:color="000000" w:fill="FFFFFF"/>
            <w:noWrap/>
            <w:vAlign w:val="center"/>
            <w:hideMark/>
          </w:tcPr>
          <w:p w14:paraId="58C59C01" w14:textId="0CE05102"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164,445.35</w:t>
            </w:r>
          </w:p>
        </w:tc>
      </w:tr>
      <w:tr w:rsidR="00442968" w:rsidRPr="00C92C03" w14:paraId="1DD465FD" w14:textId="77777777" w:rsidTr="00B57A10">
        <w:trPr>
          <w:trHeight w:val="465"/>
        </w:trPr>
        <w:tc>
          <w:tcPr>
            <w:tcW w:w="1200" w:type="dxa"/>
            <w:shd w:val="clear" w:color="000000" w:fill="FFFFFF"/>
            <w:noWrap/>
            <w:vAlign w:val="center"/>
            <w:hideMark/>
          </w:tcPr>
          <w:p w14:paraId="5B9670BB" w14:textId="05DF3CDD" w:rsidR="00442968" w:rsidRPr="00C92C03" w:rsidRDefault="00442968" w:rsidP="00442968">
            <w:pPr>
              <w:overflowPunct/>
              <w:autoSpaceDE/>
              <w:autoSpaceDN/>
              <w:adjustRightInd/>
              <w:spacing w:before="0"/>
              <w:textAlignment w:val="auto"/>
              <w:rPr>
                <w:color w:val="000000"/>
                <w:sz w:val="16"/>
                <w:szCs w:val="16"/>
                <w:lang w:eastAsia="en-GB"/>
              </w:rPr>
            </w:pPr>
            <w:r w:rsidRPr="009121E5">
              <w:rPr>
                <w:rFonts w:cs="Calibri" w:hint="eastAsia"/>
                <w:color w:val="000000"/>
                <w:sz w:val="17"/>
                <w:szCs w:val="17"/>
                <w:lang w:val="en-US"/>
              </w:rPr>
              <w:t>伊朗</w:t>
            </w:r>
          </w:p>
        </w:tc>
        <w:tc>
          <w:tcPr>
            <w:tcW w:w="4020" w:type="dxa"/>
            <w:shd w:val="clear" w:color="000000" w:fill="FFFFFF"/>
            <w:vAlign w:val="center"/>
            <w:hideMark/>
          </w:tcPr>
          <w:p w14:paraId="356F8C07" w14:textId="7A1BD457" w:rsidR="00442968" w:rsidRPr="00C92C03" w:rsidRDefault="00442968" w:rsidP="00442968">
            <w:pPr>
              <w:overflowPunct/>
              <w:autoSpaceDE/>
              <w:autoSpaceDN/>
              <w:adjustRightInd/>
              <w:spacing w:before="0"/>
              <w:textAlignment w:val="auto"/>
              <w:rPr>
                <w:color w:val="000000"/>
                <w:sz w:val="16"/>
                <w:szCs w:val="16"/>
                <w:lang w:eastAsia="zh-CN"/>
              </w:rPr>
            </w:pPr>
            <w:r w:rsidRPr="009121E5">
              <w:rPr>
                <w:rFonts w:cs="Calibri" w:hint="eastAsia"/>
                <w:color w:val="000000"/>
                <w:sz w:val="17"/>
                <w:szCs w:val="17"/>
                <w:lang w:val="en-US" w:eastAsia="zh-CN"/>
              </w:rPr>
              <w:t>信息通信技术部（</w:t>
            </w:r>
            <w:r w:rsidRPr="009121E5">
              <w:rPr>
                <w:rFonts w:cs="Calibri"/>
                <w:color w:val="000000"/>
                <w:sz w:val="17"/>
                <w:szCs w:val="17"/>
                <w:lang w:val="en-US" w:eastAsia="zh-CN"/>
              </w:rPr>
              <w:t>MICT</w:t>
            </w:r>
            <w:r w:rsidRPr="009121E5">
              <w:rPr>
                <w:rFonts w:cs="Calibri" w:hint="eastAsia"/>
                <w:color w:val="000000"/>
                <w:sz w:val="17"/>
                <w:szCs w:val="17"/>
                <w:lang w:val="en-US" w:eastAsia="zh-CN"/>
              </w:rPr>
              <w:t>）</w:t>
            </w:r>
          </w:p>
        </w:tc>
        <w:tc>
          <w:tcPr>
            <w:tcW w:w="960" w:type="dxa"/>
            <w:shd w:val="clear" w:color="000000" w:fill="FFFFFF"/>
            <w:noWrap/>
            <w:vAlign w:val="center"/>
            <w:hideMark/>
          </w:tcPr>
          <w:p w14:paraId="135BB712" w14:textId="68E7296C" w:rsidR="00442968" w:rsidRPr="00C92C03" w:rsidRDefault="00442968" w:rsidP="00442968">
            <w:pPr>
              <w:overflowPunct/>
              <w:autoSpaceDE/>
              <w:autoSpaceDN/>
              <w:adjustRightInd/>
              <w:spacing w:before="0"/>
              <w:jc w:val="center"/>
              <w:textAlignment w:val="auto"/>
              <w:rPr>
                <w:color w:val="000000"/>
                <w:sz w:val="16"/>
                <w:szCs w:val="16"/>
                <w:lang w:eastAsia="en-GB"/>
              </w:rPr>
            </w:pPr>
            <w:r w:rsidRPr="009121E5">
              <w:rPr>
                <w:rFonts w:cs="Calibri"/>
                <w:color w:val="000000"/>
                <w:sz w:val="17"/>
                <w:szCs w:val="17"/>
                <w:lang w:val="en-US" w:eastAsia="en-GB"/>
              </w:rPr>
              <w:t>2016-2019</w:t>
            </w:r>
          </w:p>
        </w:tc>
        <w:tc>
          <w:tcPr>
            <w:tcW w:w="1080" w:type="dxa"/>
            <w:shd w:val="clear" w:color="000000" w:fill="FFFFFF"/>
            <w:noWrap/>
            <w:vAlign w:val="center"/>
            <w:hideMark/>
          </w:tcPr>
          <w:p w14:paraId="408AEECD" w14:textId="66BB06C3"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0.00</w:t>
            </w:r>
          </w:p>
        </w:tc>
        <w:tc>
          <w:tcPr>
            <w:tcW w:w="1120" w:type="dxa"/>
            <w:shd w:val="clear" w:color="000000" w:fill="FFFFFF"/>
            <w:noWrap/>
            <w:vAlign w:val="center"/>
            <w:hideMark/>
          </w:tcPr>
          <w:p w14:paraId="2CF81055" w14:textId="73F5C49B"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79,660.45</w:t>
            </w:r>
          </w:p>
        </w:tc>
        <w:tc>
          <w:tcPr>
            <w:tcW w:w="1180" w:type="dxa"/>
            <w:shd w:val="clear" w:color="000000" w:fill="FFFFFF"/>
            <w:noWrap/>
            <w:vAlign w:val="center"/>
            <w:hideMark/>
          </w:tcPr>
          <w:p w14:paraId="439748E6" w14:textId="0F4323ED"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79,660.45</w:t>
            </w:r>
          </w:p>
        </w:tc>
      </w:tr>
      <w:tr w:rsidR="00442968" w:rsidRPr="00C92C03" w14:paraId="59BA0958" w14:textId="77777777" w:rsidTr="00B57A10">
        <w:trPr>
          <w:trHeight w:val="465"/>
        </w:trPr>
        <w:tc>
          <w:tcPr>
            <w:tcW w:w="1200" w:type="dxa"/>
            <w:shd w:val="clear" w:color="000000" w:fill="FFFFFF"/>
            <w:vAlign w:val="center"/>
            <w:hideMark/>
          </w:tcPr>
          <w:p w14:paraId="78596ADB" w14:textId="4F83565F" w:rsidR="00442968" w:rsidRPr="00C92C03" w:rsidRDefault="00442968" w:rsidP="00442968">
            <w:pPr>
              <w:overflowPunct/>
              <w:autoSpaceDE/>
              <w:autoSpaceDN/>
              <w:adjustRightInd/>
              <w:spacing w:before="0"/>
              <w:textAlignment w:val="auto"/>
              <w:rPr>
                <w:sz w:val="16"/>
                <w:szCs w:val="16"/>
                <w:lang w:eastAsia="en-GB"/>
              </w:rPr>
            </w:pPr>
            <w:r w:rsidRPr="009121E5">
              <w:rPr>
                <w:rFonts w:cs="Calibri" w:hint="eastAsia"/>
                <w:sz w:val="17"/>
                <w:szCs w:val="17"/>
                <w:lang w:val="en-US" w:eastAsia="en-GB"/>
              </w:rPr>
              <w:t>塔吉克斯坦</w:t>
            </w:r>
          </w:p>
        </w:tc>
        <w:tc>
          <w:tcPr>
            <w:tcW w:w="4020" w:type="dxa"/>
            <w:shd w:val="clear" w:color="000000" w:fill="FFFFFF"/>
            <w:vAlign w:val="center"/>
            <w:hideMark/>
          </w:tcPr>
          <w:p w14:paraId="19654C7F" w14:textId="0A869334" w:rsidR="00442968" w:rsidRPr="00C92C03" w:rsidRDefault="00442968" w:rsidP="00442968">
            <w:pPr>
              <w:overflowPunct/>
              <w:autoSpaceDE/>
              <w:autoSpaceDN/>
              <w:adjustRightInd/>
              <w:spacing w:before="0"/>
              <w:textAlignment w:val="auto"/>
              <w:rPr>
                <w:sz w:val="16"/>
                <w:szCs w:val="16"/>
                <w:lang w:eastAsia="zh-CN"/>
              </w:rPr>
            </w:pPr>
            <w:r w:rsidRPr="009121E5">
              <w:rPr>
                <w:rFonts w:cs="Calibri" w:hint="eastAsia"/>
                <w:sz w:val="17"/>
                <w:szCs w:val="17"/>
                <w:lang w:val="en-US" w:eastAsia="zh-CN"/>
              </w:rPr>
              <w:t>塔吉克斯坦共和国政府通信部</w:t>
            </w:r>
          </w:p>
        </w:tc>
        <w:tc>
          <w:tcPr>
            <w:tcW w:w="960" w:type="dxa"/>
            <w:shd w:val="clear" w:color="000000" w:fill="FFFFFF"/>
            <w:noWrap/>
            <w:vAlign w:val="center"/>
            <w:hideMark/>
          </w:tcPr>
          <w:p w14:paraId="5E345E34" w14:textId="48069218" w:rsidR="00442968" w:rsidRPr="00C92C03" w:rsidRDefault="00442968" w:rsidP="00442968">
            <w:pPr>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2011</w:t>
            </w:r>
          </w:p>
        </w:tc>
        <w:tc>
          <w:tcPr>
            <w:tcW w:w="1080" w:type="dxa"/>
            <w:shd w:val="clear" w:color="000000" w:fill="FFFFFF"/>
            <w:noWrap/>
            <w:vAlign w:val="center"/>
            <w:hideMark/>
          </w:tcPr>
          <w:p w14:paraId="1A0EE854" w14:textId="384A70FB"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0.00</w:t>
            </w:r>
          </w:p>
        </w:tc>
        <w:tc>
          <w:tcPr>
            <w:tcW w:w="1120" w:type="dxa"/>
            <w:shd w:val="clear" w:color="000000" w:fill="FFFFFF"/>
            <w:noWrap/>
            <w:vAlign w:val="center"/>
            <w:hideMark/>
          </w:tcPr>
          <w:p w14:paraId="48F3A686" w14:textId="305FEC2A"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511,822.30</w:t>
            </w:r>
          </w:p>
        </w:tc>
        <w:tc>
          <w:tcPr>
            <w:tcW w:w="1180" w:type="dxa"/>
            <w:shd w:val="clear" w:color="000000" w:fill="FFFFFF"/>
            <w:noWrap/>
            <w:vAlign w:val="center"/>
            <w:hideMark/>
          </w:tcPr>
          <w:p w14:paraId="46482B83" w14:textId="2777201F"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511,822.30</w:t>
            </w:r>
          </w:p>
        </w:tc>
      </w:tr>
      <w:tr w:rsidR="00442968" w:rsidRPr="00C92C03" w14:paraId="03BF9E40" w14:textId="77777777" w:rsidTr="00B57A10">
        <w:trPr>
          <w:trHeight w:val="315"/>
        </w:trPr>
        <w:tc>
          <w:tcPr>
            <w:tcW w:w="6180" w:type="dxa"/>
            <w:gridSpan w:val="3"/>
            <w:shd w:val="clear" w:color="auto" w:fill="auto"/>
            <w:noWrap/>
            <w:vAlign w:val="center"/>
            <w:hideMark/>
          </w:tcPr>
          <w:p w14:paraId="51055D1E" w14:textId="5412AC4B" w:rsidR="00442968" w:rsidRPr="00C92C03" w:rsidRDefault="00442968" w:rsidP="00442968">
            <w:pPr>
              <w:overflowPunct/>
              <w:autoSpaceDE/>
              <w:autoSpaceDN/>
              <w:adjustRightInd/>
              <w:spacing w:before="0"/>
              <w:jc w:val="center"/>
              <w:textAlignment w:val="auto"/>
              <w:rPr>
                <w:b/>
                <w:bCs/>
                <w:i/>
                <w:iCs/>
                <w:sz w:val="16"/>
                <w:szCs w:val="16"/>
                <w:lang w:eastAsia="en-GB"/>
              </w:rPr>
            </w:pPr>
            <w:r w:rsidRPr="009121E5">
              <w:rPr>
                <w:rFonts w:cs="Calibri"/>
                <w:b/>
                <w:bCs/>
                <w:sz w:val="17"/>
                <w:szCs w:val="17"/>
                <w:lang w:val="en-US" w:eastAsia="en-GB"/>
              </w:rPr>
              <w:t>3.2</w:t>
            </w:r>
            <w:r w:rsidRPr="009121E5">
              <w:rPr>
                <w:rFonts w:ascii="STKaiti" w:eastAsia="STKaiti" w:hAnsi="STKaiti" w:cs="Microsoft YaHei" w:hint="eastAsia"/>
                <w:b/>
                <w:bCs/>
                <w:sz w:val="17"/>
                <w:szCs w:val="17"/>
                <w:lang w:val="en-US" w:eastAsia="en-GB"/>
              </w:rPr>
              <w:t>小计</w:t>
            </w:r>
          </w:p>
        </w:tc>
        <w:tc>
          <w:tcPr>
            <w:tcW w:w="1080" w:type="dxa"/>
            <w:shd w:val="clear" w:color="auto" w:fill="auto"/>
            <w:noWrap/>
            <w:vAlign w:val="center"/>
            <w:hideMark/>
          </w:tcPr>
          <w:p w14:paraId="55D2342B" w14:textId="29B69870" w:rsidR="00442968" w:rsidRPr="00C92C03" w:rsidRDefault="00442968" w:rsidP="00442968">
            <w:pPr>
              <w:overflowPunct/>
              <w:autoSpaceDE/>
              <w:autoSpaceDN/>
              <w:adjustRightInd/>
              <w:spacing w:before="0"/>
              <w:jc w:val="right"/>
              <w:textAlignment w:val="auto"/>
              <w:rPr>
                <w:b/>
                <w:bCs/>
                <w:color w:val="000000"/>
                <w:sz w:val="16"/>
                <w:szCs w:val="16"/>
                <w:lang w:eastAsia="en-GB"/>
              </w:rPr>
            </w:pPr>
            <w:r w:rsidRPr="009121E5">
              <w:rPr>
                <w:rFonts w:cs="Calibri"/>
                <w:b/>
                <w:bCs/>
                <w:color w:val="000000"/>
                <w:sz w:val="17"/>
                <w:szCs w:val="17"/>
                <w:lang w:val="en-US" w:eastAsia="en-GB"/>
              </w:rPr>
              <w:t>0.00</w:t>
            </w:r>
          </w:p>
        </w:tc>
        <w:tc>
          <w:tcPr>
            <w:tcW w:w="1120" w:type="dxa"/>
            <w:shd w:val="clear" w:color="auto" w:fill="auto"/>
            <w:noWrap/>
            <w:vAlign w:val="center"/>
            <w:hideMark/>
          </w:tcPr>
          <w:p w14:paraId="7C284184" w14:textId="4D367060" w:rsidR="00442968" w:rsidRPr="00C92C03" w:rsidRDefault="00442968" w:rsidP="00442968">
            <w:pPr>
              <w:overflowPunct/>
              <w:autoSpaceDE/>
              <w:autoSpaceDN/>
              <w:adjustRightInd/>
              <w:spacing w:before="0"/>
              <w:jc w:val="right"/>
              <w:textAlignment w:val="auto"/>
              <w:rPr>
                <w:b/>
                <w:bCs/>
                <w:color w:val="000000"/>
                <w:sz w:val="16"/>
                <w:szCs w:val="16"/>
                <w:lang w:eastAsia="en-GB"/>
              </w:rPr>
            </w:pPr>
            <w:r w:rsidRPr="009121E5">
              <w:rPr>
                <w:rFonts w:cs="Calibri"/>
                <w:b/>
                <w:bCs/>
                <w:color w:val="000000"/>
                <w:sz w:val="17"/>
                <w:szCs w:val="17"/>
                <w:lang w:val="en-US" w:eastAsia="en-GB"/>
              </w:rPr>
              <w:t>755,928.10</w:t>
            </w:r>
          </w:p>
        </w:tc>
        <w:tc>
          <w:tcPr>
            <w:tcW w:w="1180" w:type="dxa"/>
            <w:shd w:val="clear" w:color="auto" w:fill="auto"/>
            <w:noWrap/>
            <w:vAlign w:val="center"/>
            <w:hideMark/>
          </w:tcPr>
          <w:p w14:paraId="2F66545F" w14:textId="60C1AA5F" w:rsidR="00442968" w:rsidRPr="00C92C03" w:rsidRDefault="00442968" w:rsidP="00442968">
            <w:pPr>
              <w:overflowPunct/>
              <w:autoSpaceDE/>
              <w:autoSpaceDN/>
              <w:adjustRightInd/>
              <w:spacing w:before="0"/>
              <w:jc w:val="right"/>
              <w:textAlignment w:val="auto"/>
              <w:rPr>
                <w:b/>
                <w:bCs/>
                <w:color w:val="000000"/>
                <w:sz w:val="16"/>
                <w:szCs w:val="16"/>
                <w:lang w:eastAsia="en-GB"/>
              </w:rPr>
            </w:pPr>
            <w:r w:rsidRPr="009121E5">
              <w:rPr>
                <w:rFonts w:cs="Calibri"/>
                <w:b/>
                <w:bCs/>
                <w:color w:val="000000"/>
                <w:sz w:val="17"/>
                <w:szCs w:val="17"/>
                <w:lang w:val="en-US" w:eastAsia="en-GB"/>
              </w:rPr>
              <w:t>755,928.10</w:t>
            </w:r>
          </w:p>
        </w:tc>
      </w:tr>
      <w:tr w:rsidR="00442968" w:rsidRPr="00C92C03" w14:paraId="1F78BCCB" w14:textId="77777777" w:rsidTr="00B57A10">
        <w:trPr>
          <w:trHeight w:val="315"/>
        </w:trPr>
        <w:tc>
          <w:tcPr>
            <w:tcW w:w="1200" w:type="dxa"/>
            <w:shd w:val="clear" w:color="000000" w:fill="FFFFFF"/>
            <w:vAlign w:val="center"/>
            <w:hideMark/>
          </w:tcPr>
          <w:p w14:paraId="6926B9A4" w14:textId="46D90BE9" w:rsidR="00442968" w:rsidRPr="00C92C03" w:rsidRDefault="00442968" w:rsidP="00442968">
            <w:pPr>
              <w:overflowPunct/>
              <w:autoSpaceDE/>
              <w:autoSpaceDN/>
              <w:adjustRightInd/>
              <w:spacing w:before="0"/>
              <w:textAlignment w:val="auto"/>
              <w:rPr>
                <w:sz w:val="16"/>
                <w:szCs w:val="16"/>
                <w:lang w:eastAsia="en-GB"/>
              </w:rPr>
            </w:pPr>
            <w:r w:rsidRPr="009121E5">
              <w:rPr>
                <w:rFonts w:cs="Calibri" w:hint="eastAsia"/>
                <w:sz w:val="17"/>
                <w:szCs w:val="17"/>
                <w:lang w:val="en-US" w:eastAsia="en-GB"/>
              </w:rPr>
              <w:t>阿尔及利亚</w:t>
            </w:r>
          </w:p>
        </w:tc>
        <w:tc>
          <w:tcPr>
            <w:tcW w:w="4020" w:type="dxa"/>
            <w:shd w:val="clear" w:color="000000" w:fill="FFFFFF"/>
            <w:vAlign w:val="center"/>
            <w:hideMark/>
          </w:tcPr>
          <w:p w14:paraId="0DACB1DB" w14:textId="27986C79" w:rsidR="00442968" w:rsidRPr="00442968" w:rsidRDefault="00442968" w:rsidP="00442968">
            <w:pPr>
              <w:overflowPunct/>
              <w:autoSpaceDE/>
              <w:autoSpaceDN/>
              <w:adjustRightInd/>
              <w:spacing w:before="0"/>
              <w:textAlignment w:val="auto"/>
              <w:rPr>
                <w:sz w:val="16"/>
                <w:szCs w:val="16"/>
                <w:lang w:val="es-ES" w:eastAsia="en-GB"/>
              </w:rPr>
            </w:pPr>
            <w:r w:rsidRPr="009121E5">
              <w:rPr>
                <w:rFonts w:cs="Calibri"/>
                <w:sz w:val="17"/>
                <w:szCs w:val="17"/>
                <w:lang w:val="es-ES" w:eastAsia="en-GB"/>
              </w:rPr>
              <w:t>Wataniya Telecom Algérie Spa</w:t>
            </w:r>
            <w:r w:rsidRPr="009121E5">
              <w:rPr>
                <w:rFonts w:cs="Calibri" w:hint="eastAsia"/>
                <w:sz w:val="17"/>
                <w:szCs w:val="17"/>
                <w:lang w:val="es-ES"/>
              </w:rPr>
              <w:t>，阿尔及尔</w:t>
            </w:r>
          </w:p>
        </w:tc>
        <w:tc>
          <w:tcPr>
            <w:tcW w:w="960" w:type="dxa"/>
            <w:shd w:val="clear" w:color="000000" w:fill="FFFFFF"/>
            <w:vAlign w:val="center"/>
            <w:hideMark/>
          </w:tcPr>
          <w:p w14:paraId="352FD9E7" w14:textId="40B2C34F" w:rsidR="00442968" w:rsidRPr="00C92C03" w:rsidRDefault="00442968" w:rsidP="00442968">
            <w:pPr>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2005-2007</w:t>
            </w:r>
          </w:p>
        </w:tc>
        <w:tc>
          <w:tcPr>
            <w:tcW w:w="1080" w:type="dxa"/>
            <w:shd w:val="clear" w:color="000000" w:fill="FFFFFF"/>
            <w:vAlign w:val="center"/>
            <w:hideMark/>
          </w:tcPr>
          <w:p w14:paraId="07C7475E" w14:textId="5F18BB7C"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3,975.00</w:t>
            </w:r>
          </w:p>
        </w:tc>
        <w:tc>
          <w:tcPr>
            <w:tcW w:w="1120" w:type="dxa"/>
            <w:shd w:val="clear" w:color="000000" w:fill="FFFFFF"/>
            <w:vAlign w:val="center"/>
            <w:hideMark/>
          </w:tcPr>
          <w:p w14:paraId="03098977" w14:textId="16444724"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4,947.90</w:t>
            </w:r>
          </w:p>
        </w:tc>
        <w:tc>
          <w:tcPr>
            <w:tcW w:w="1180" w:type="dxa"/>
            <w:shd w:val="clear" w:color="000000" w:fill="FFFFFF"/>
            <w:vAlign w:val="center"/>
            <w:hideMark/>
          </w:tcPr>
          <w:p w14:paraId="1FEB4312" w14:textId="000610D6"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8,922.90</w:t>
            </w:r>
          </w:p>
        </w:tc>
      </w:tr>
      <w:tr w:rsidR="00442968" w:rsidRPr="00C92C03" w14:paraId="43379114" w14:textId="77777777" w:rsidTr="00B57A10">
        <w:trPr>
          <w:trHeight w:val="315"/>
        </w:trPr>
        <w:tc>
          <w:tcPr>
            <w:tcW w:w="1200" w:type="dxa"/>
            <w:shd w:val="clear" w:color="000000" w:fill="FFFFFF"/>
            <w:vAlign w:val="center"/>
            <w:hideMark/>
          </w:tcPr>
          <w:p w14:paraId="75EF8B83" w14:textId="0D7FBEA7" w:rsidR="00442968" w:rsidRPr="00C92C03" w:rsidRDefault="00442968" w:rsidP="00442968">
            <w:pPr>
              <w:overflowPunct/>
              <w:autoSpaceDE/>
              <w:autoSpaceDN/>
              <w:adjustRightInd/>
              <w:spacing w:before="0"/>
              <w:textAlignment w:val="auto"/>
              <w:rPr>
                <w:sz w:val="16"/>
                <w:szCs w:val="16"/>
                <w:lang w:eastAsia="en-GB"/>
              </w:rPr>
            </w:pPr>
            <w:r w:rsidRPr="009121E5">
              <w:rPr>
                <w:rFonts w:cs="Calibri" w:hint="eastAsia"/>
                <w:sz w:val="17"/>
                <w:szCs w:val="17"/>
                <w:lang w:val="en-US"/>
              </w:rPr>
              <w:t>埃及</w:t>
            </w:r>
          </w:p>
        </w:tc>
        <w:tc>
          <w:tcPr>
            <w:tcW w:w="4020" w:type="dxa"/>
            <w:shd w:val="clear" w:color="000000" w:fill="FFFFFF"/>
            <w:vAlign w:val="center"/>
            <w:hideMark/>
          </w:tcPr>
          <w:p w14:paraId="01C823A5" w14:textId="3A214A29" w:rsidR="00442968" w:rsidRPr="00C92C03" w:rsidRDefault="00442968" w:rsidP="00442968">
            <w:pPr>
              <w:overflowPunct/>
              <w:autoSpaceDE/>
              <w:autoSpaceDN/>
              <w:adjustRightInd/>
              <w:spacing w:before="0"/>
              <w:textAlignment w:val="auto"/>
              <w:rPr>
                <w:sz w:val="16"/>
                <w:szCs w:val="16"/>
                <w:lang w:eastAsia="zh-CN"/>
              </w:rPr>
            </w:pPr>
            <w:r w:rsidRPr="009121E5">
              <w:rPr>
                <w:rFonts w:cs="Calibri"/>
                <w:sz w:val="17"/>
                <w:szCs w:val="17"/>
                <w:lang w:val="en-US" w:eastAsia="zh-CN"/>
              </w:rPr>
              <w:t>Barko</w:t>
            </w:r>
            <w:r w:rsidRPr="009121E5">
              <w:rPr>
                <w:rFonts w:cs="Calibri" w:hint="eastAsia"/>
                <w:sz w:val="17"/>
                <w:szCs w:val="17"/>
                <w:lang w:val="en-US" w:eastAsia="zh-CN"/>
              </w:rPr>
              <w:t>电话通信公司，开罗</w:t>
            </w:r>
          </w:p>
        </w:tc>
        <w:tc>
          <w:tcPr>
            <w:tcW w:w="960" w:type="dxa"/>
            <w:shd w:val="clear" w:color="000000" w:fill="FFFFFF"/>
            <w:vAlign w:val="center"/>
            <w:hideMark/>
          </w:tcPr>
          <w:p w14:paraId="760C1893" w14:textId="31D00F3A" w:rsidR="00442968" w:rsidRPr="00C92C03" w:rsidRDefault="00442968" w:rsidP="00442968">
            <w:pPr>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2002-2006</w:t>
            </w:r>
          </w:p>
        </w:tc>
        <w:tc>
          <w:tcPr>
            <w:tcW w:w="1080" w:type="dxa"/>
            <w:shd w:val="clear" w:color="000000" w:fill="FFFFFF"/>
            <w:vAlign w:val="center"/>
            <w:hideMark/>
          </w:tcPr>
          <w:p w14:paraId="4917C2FB" w14:textId="0B723664"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19,068.75</w:t>
            </w:r>
          </w:p>
        </w:tc>
        <w:tc>
          <w:tcPr>
            <w:tcW w:w="1120" w:type="dxa"/>
            <w:shd w:val="clear" w:color="000000" w:fill="FFFFFF"/>
            <w:vAlign w:val="center"/>
            <w:hideMark/>
          </w:tcPr>
          <w:p w14:paraId="2F9FE03D" w14:textId="29B5DE63"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30,824.35</w:t>
            </w:r>
          </w:p>
        </w:tc>
        <w:tc>
          <w:tcPr>
            <w:tcW w:w="1180" w:type="dxa"/>
            <w:shd w:val="clear" w:color="000000" w:fill="FFFFFF"/>
            <w:vAlign w:val="center"/>
            <w:hideMark/>
          </w:tcPr>
          <w:p w14:paraId="236A61D3" w14:textId="3575A210"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49,893.10</w:t>
            </w:r>
          </w:p>
        </w:tc>
      </w:tr>
      <w:tr w:rsidR="00442968" w:rsidRPr="00C92C03" w14:paraId="7BC1AA1C" w14:textId="77777777" w:rsidTr="00B57A10">
        <w:trPr>
          <w:trHeight w:val="315"/>
        </w:trPr>
        <w:tc>
          <w:tcPr>
            <w:tcW w:w="1200" w:type="dxa"/>
            <w:shd w:val="clear" w:color="000000" w:fill="FFFFFF"/>
            <w:vAlign w:val="center"/>
            <w:hideMark/>
          </w:tcPr>
          <w:p w14:paraId="45C5734C" w14:textId="617EBEAB" w:rsidR="00442968" w:rsidRPr="00C92C03" w:rsidRDefault="00442968" w:rsidP="00442968">
            <w:pPr>
              <w:overflowPunct/>
              <w:autoSpaceDE/>
              <w:autoSpaceDN/>
              <w:adjustRightInd/>
              <w:spacing w:before="0"/>
              <w:textAlignment w:val="auto"/>
              <w:rPr>
                <w:sz w:val="16"/>
                <w:szCs w:val="16"/>
                <w:lang w:eastAsia="en-GB"/>
              </w:rPr>
            </w:pPr>
            <w:r w:rsidRPr="009121E5">
              <w:rPr>
                <w:rFonts w:cs="Calibri" w:hint="eastAsia"/>
                <w:sz w:val="17"/>
                <w:szCs w:val="17"/>
                <w:lang w:val="en-US" w:eastAsia="en-GB"/>
              </w:rPr>
              <w:t>埃及</w:t>
            </w:r>
          </w:p>
        </w:tc>
        <w:tc>
          <w:tcPr>
            <w:tcW w:w="4020" w:type="dxa"/>
            <w:shd w:val="clear" w:color="000000" w:fill="FFFFFF"/>
            <w:vAlign w:val="center"/>
            <w:hideMark/>
          </w:tcPr>
          <w:p w14:paraId="42E50BF1" w14:textId="111E38B2" w:rsidR="00442968" w:rsidRPr="00C92C03" w:rsidRDefault="00442968" w:rsidP="00442968">
            <w:pPr>
              <w:overflowPunct/>
              <w:autoSpaceDE/>
              <w:autoSpaceDN/>
              <w:adjustRightInd/>
              <w:spacing w:before="0"/>
              <w:textAlignment w:val="auto"/>
              <w:rPr>
                <w:sz w:val="16"/>
                <w:szCs w:val="16"/>
                <w:lang w:eastAsia="en-GB"/>
              </w:rPr>
            </w:pPr>
            <w:r w:rsidRPr="009121E5">
              <w:rPr>
                <w:rFonts w:cs="Calibri"/>
                <w:sz w:val="17"/>
                <w:szCs w:val="17"/>
                <w:lang w:val="en-US" w:eastAsia="en-GB"/>
              </w:rPr>
              <w:t>LINKdotNET</w:t>
            </w:r>
            <w:r w:rsidRPr="009121E5">
              <w:rPr>
                <w:rFonts w:cs="Calibri" w:hint="eastAsia"/>
                <w:sz w:val="17"/>
                <w:szCs w:val="17"/>
                <w:lang w:val="es-ES"/>
              </w:rPr>
              <w:t>，</w:t>
            </w:r>
            <w:r w:rsidRPr="009121E5">
              <w:rPr>
                <w:rFonts w:cs="Calibri" w:hint="eastAsia"/>
                <w:sz w:val="17"/>
                <w:szCs w:val="17"/>
                <w:lang w:val="en-US"/>
              </w:rPr>
              <w:t>开罗</w:t>
            </w:r>
          </w:p>
        </w:tc>
        <w:tc>
          <w:tcPr>
            <w:tcW w:w="960" w:type="dxa"/>
            <w:shd w:val="clear" w:color="000000" w:fill="FFFFFF"/>
            <w:vAlign w:val="center"/>
            <w:hideMark/>
          </w:tcPr>
          <w:p w14:paraId="6807F484" w14:textId="58505325" w:rsidR="00442968" w:rsidRPr="00C92C03" w:rsidRDefault="00442968" w:rsidP="00442968">
            <w:pPr>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2008-2009</w:t>
            </w:r>
          </w:p>
        </w:tc>
        <w:tc>
          <w:tcPr>
            <w:tcW w:w="1080" w:type="dxa"/>
            <w:shd w:val="clear" w:color="000000" w:fill="FFFFFF"/>
            <w:vAlign w:val="center"/>
            <w:hideMark/>
          </w:tcPr>
          <w:p w14:paraId="143C4F3C" w14:textId="40CB4D69"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3,975.00</w:t>
            </w:r>
          </w:p>
        </w:tc>
        <w:tc>
          <w:tcPr>
            <w:tcW w:w="1120" w:type="dxa"/>
            <w:shd w:val="clear" w:color="000000" w:fill="FFFFFF"/>
            <w:vAlign w:val="center"/>
            <w:hideMark/>
          </w:tcPr>
          <w:p w14:paraId="68B87E1F" w14:textId="1BC0FB84"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3,975.65</w:t>
            </w:r>
          </w:p>
        </w:tc>
        <w:tc>
          <w:tcPr>
            <w:tcW w:w="1180" w:type="dxa"/>
            <w:shd w:val="clear" w:color="000000" w:fill="FFFFFF"/>
            <w:vAlign w:val="center"/>
            <w:hideMark/>
          </w:tcPr>
          <w:p w14:paraId="08CB567D" w14:textId="54026CF9"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7,950.65</w:t>
            </w:r>
          </w:p>
        </w:tc>
      </w:tr>
      <w:tr w:rsidR="00442968" w:rsidRPr="00C92C03" w14:paraId="00CFADC8" w14:textId="77777777" w:rsidTr="00B57A10">
        <w:trPr>
          <w:trHeight w:val="315"/>
        </w:trPr>
        <w:tc>
          <w:tcPr>
            <w:tcW w:w="1200" w:type="dxa"/>
            <w:shd w:val="clear" w:color="000000" w:fill="FFFFFF"/>
            <w:vAlign w:val="center"/>
            <w:hideMark/>
          </w:tcPr>
          <w:p w14:paraId="4FA7F6EC" w14:textId="43557617" w:rsidR="00442968" w:rsidRPr="00C92C03" w:rsidRDefault="00442968" w:rsidP="00442968">
            <w:pPr>
              <w:overflowPunct/>
              <w:autoSpaceDE/>
              <w:autoSpaceDN/>
              <w:adjustRightInd/>
              <w:spacing w:before="0"/>
              <w:textAlignment w:val="auto"/>
              <w:rPr>
                <w:sz w:val="16"/>
                <w:szCs w:val="16"/>
                <w:lang w:eastAsia="en-GB"/>
              </w:rPr>
            </w:pPr>
            <w:r w:rsidRPr="009121E5">
              <w:rPr>
                <w:rFonts w:cs="Calibri" w:hint="eastAsia"/>
                <w:sz w:val="17"/>
                <w:szCs w:val="17"/>
                <w:lang w:val="en-US"/>
              </w:rPr>
              <w:t>埃及</w:t>
            </w:r>
          </w:p>
        </w:tc>
        <w:tc>
          <w:tcPr>
            <w:tcW w:w="4020" w:type="dxa"/>
            <w:shd w:val="clear" w:color="000000" w:fill="FFFFFF"/>
            <w:vAlign w:val="center"/>
            <w:hideMark/>
          </w:tcPr>
          <w:p w14:paraId="79B89439" w14:textId="5BAD8FC4" w:rsidR="00442968" w:rsidRPr="00C92C03" w:rsidRDefault="00442968" w:rsidP="00442968">
            <w:pPr>
              <w:overflowPunct/>
              <w:autoSpaceDE/>
              <w:autoSpaceDN/>
              <w:adjustRightInd/>
              <w:spacing w:before="0"/>
              <w:textAlignment w:val="auto"/>
              <w:rPr>
                <w:sz w:val="16"/>
                <w:szCs w:val="16"/>
                <w:lang w:eastAsia="en-GB"/>
              </w:rPr>
            </w:pPr>
            <w:r w:rsidRPr="009121E5">
              <w:rPr>
                <w:rFonts w:cs="Calibri"/>
                <w:sz w:val="17"/>
                <w:szCs w:val="17"/>
                <w:lang w:val="en-US" w:eastAsia="en-GB"/>
              </w:rPr>
              <w:t xml:space="preserve">Telecon </w:t>
            </w:r>
            <w:r w:rsidRPr="009121E5">
              <w:rPr>
                <w:rFonts w:cs="Calibri" w:hint="eastAsia"/>
                <w:sz w:val="17"/>
                <w:szCs w:val="17"/>
                <w:lang w:val="en-US"/>
              </w:rPr>
              <w:t>咨询公司，亚历山大港</w:t>
            </w:r>
          </w:p>
        </w:tc>
        <w:tc>
          <w:tcPr>
            <w:tcW w:w="960" w:type="dxa"/>
            <w:shd w:val="clear" w:color="000000" w:fill="FFFFFF"/>
            <w:vAlign w:val="center"/>
            <w:hideMark/>
          </w:tcPr>
          <w:p w14:paraId="391B3C67" w14:textId="0E4021D3" w:rsidR="00442968" w:rsidRPr="00C92C03" w:rsidRDefault="00442968" w:rsidP="00442968">
            <w:pPr>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2002-2006</w:t>
            </w:r>
          </w:p>
        </w:tc>
        <w:tc>
          <w:tcPr>
            <w:tcW w:w="1080" w:type="dxa"/>
            <w:shd w:val="clear" w:color="000000" w:fill="FFFFFF"/>
            <w:vAlign w:val="center"/>
            <w:hideMark/>
          </w:tcPr>
          <w:p w14:paraId="64E91242" w14:textId="36FFEBCC"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19,725.00</w:t>
            </w:r>
          </w:p>
        </w:tc>
        <w:tc>
          <w:tcPr>
            <w:tcW w:w="1120" w:type="dxa"/>
            <w:shd w:val="clear" w:color="000000" w:fill="FFFFFF"/>
            <w:vAlign w:val="center"/>
            <w:hideMark/>
          </w:tcPr>
          <w:p w14:paraId="5C6E5BD2" w14:textId="6013E047"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32,383.95</w:t>
            </w:r>
          </w:p>
        </w:tc>
        <w:tc>
          <w:tcPr>
            <w:tcW w:w="1180" w:type="dxa"/>
            <w:shd w:val="clear" w:color="000000" w:fill="FFFFFF"/>
            <w:vAlign w:val="center"/>
            <w:hideMark/>
          </w:tcPr>
          <w:p w14:paraId="10C56C12" w14:textId="2AC366B3"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52,108.95</w:t>
            </w:r>
          </w:p>
        </w:tc>
      </w:tr>
      <w:tr w:rsidR="00442968" w:rsidRPr="00C92C03" w14:paraId="22B5781F" w14:textId="77777777" w:rsidTr="00B57A10">
        <w:trPr>
          <w:trHeight w:val="315"/>
        </w:trPr>
        <w:tc>
          <w:tcPr>
            <w:tcW w:w="1200" w:type="dxa"/>
            <w:shd w:val="clear" w:color="000000" w:fill="FFFFFF"/>
            <w:vAlign w:val="center"/>
            <w:hideMark/>
          </w:tcPr>
          <w:p w14:paraId="3A4A90D2" w14:textId="47C25765" w:rsidR="00442968" w:rsidRPr="00C92C03" w:rsidRDefault="00442968" w:rsidP="00442968">
            <w:pPr>
              <w:overflowPunct/>
              <w:autoSpaceDE/>
              <w:autoSpaceDN/>
              <w:adjustRightInd/>
              <w:spacing w:before="0"/>
              <w:textAlignment w:val="auto"/>
              <w:rPr>
                <w:sz w:val="16"/>
                <w:szCs w:val="16"/>
                <w:lang w:eastAsia="en-GB"/>
              </w:rPr>
            </w:pPr>
            <w:r w:rsidRPr="009121E5">
              <w:rPr>
                <w:rFonts w:cs="Calibri" w:hint="eastAsia"/>
                <w:sz w:val="17"/>
                <w:szCs w:val="17"/>
                <w:lang w:val="en-US" w:eastAsia="en-GB"/>
              </w:rPr>
              <w:t>埃及</w:t>
            </w:r>
          </w:p>
        </w:tc>
        <w:tc>
          <w:tcPr>
            <w:tcW w:w="4020" w:type="dxa"/>
            <w:shd w:val="clear" w:color="000000" w:fill="FFFFFF"/>
            <w:vAlign w:val="center"/>
            <w:hideMark/>
          </w:tcPr>
          <w:p w14:paraId="59A2A6D9" w14:textId="57094821" w:rsidR="00442968" w:rsidRPr="00C92C03" w:rsidRDefault="00442968" w:rsidP="00442968">
            <w:pPr>
              <w:overflowPunct/>
              <w:autoSpaceDE/>
              <w:autoSpaceDN/>
              <w:adjustRightInd/>
              <w:spacing w:before="0"/>
              <w:textAlignment w:val="auto"/>
              <w:rPr>
                <w:sz w:val="16"/>
                <w:szCs w:val="16"/>
                <w:lang w:eastAsia="zh-CN"/>
              </w:rPr>
            </w:pPr>
            <w:r w:rsidRPr="009121E5">
              <w:rPr>
                <w:rFonts w:cs="Calibri" w:hint="eastAsia"/>
                <w:sz w:val="17"/>
                <w:szCs w:val="17"/>
                <w:lang w:val="en-US" w:eastAsia="zh-CN"/>
              </w:rPr>
              <w:t>国际贸易展览会，开罗</w:t>
            </w:r>
          </w:p>
        </w:tc>
        <w:tc>
          <w:tcPr>
            <w:tcW w:w="960" w:type="dxa"/>
            <w:shd w:val="clear" w:color="000000" w:fill="FFFFFF"/>
            <w:vAlign w:val="center"/>
            <w:hideMark/>
          </w:tcPr>
          <w:p w14:paraId="4FE7C0FA" w14:textId="7D7BDA95" w:rsidR="00442968" w:rsidRPr="00C92C03" w:rsidRDefault="00442968" w:rsidP="00442968">
            <w:pPr>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2000-2006</w:t>
            </w:r>
          </w:p>
        </w:tc>
        <w:tc>
          <w:tcPr>
            <w:tcW w:w="1080" w:type="dxa"/>
            <w:shd w:val="clear" w:color="000000" w:fill="FFFFFF"/>
            <w:vAlign w:val="center"/>
            <w:hideMark/>
          </w:tcPr>
          <w:p w14:paraId="08E3111D" w14:textId="4E3323AE"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24,975.00</w:t>
            </w:r>
          </w:p>
        </w:tc>
        <w:tc>
          <w:tcPr>
            <w:tcW w:w="1120" w:type="dxa"/>
            <w:shd w:val="clear" w:color="000000" w:fill="FFFFFF"/>
            <w:vAlign w:val="center"/>
            <w:hideMark/>
          </w:tcPr>
          <w:p w14:paraId="0A14344B" w14:textId="06E20FEB"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43,624.90</w:t>
            </w:r>
          </w:p>
        </w:tc>
        <w:tc>
          <w:tcPr>
            <w:tcW w:w="1180" w:type="dxa"/>
            <w:shd w:val="clear" w:color="000000" w:fill="FFFFFF"/>
            <w:vAlign w:val="center"/>
            <w:hideMark/>
          </w:tcPr>
          <w:p w14:paraId="4426E1E9" w14:textId="17FBA753"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68,599.90</w:t>
            </w:r>
          </w:p>
        </w:tc>
      </w:tr>
      <w:tr w:rsidR="00442968" w:rsidRPr="00C92C03" w14:paraId="2921A131" w14:textId="77777777" w:rsidTr="00B57A10">
        <w:trPr>
          <w:trHeight w:val="315"/>
        </w:trPr>
        <w:tc>
          <w:tcPr>
            <w:tcW w:w="1200" w:type="dxa"/>
            <w:shd w:val="clear" w:color="000000" w:fill="FFFFFF"/>
            <w:vAlign w:val="center"/>
            <w:hideMark/>
          </w:tcPr>
          <w:p w14:paraId="26CDF3E3" w14:textId="65C72EC1" w:rsidR="00442968" w:rsidRPr="00C92C03" w:rsidRDefault="00442968" w:rsidP="00442968">
            <w:pPr>
              <w:overflowPunct/>
              <w:autoSpaceDE/>
              <w:autoSpaceDN/>
              <w:adjustRightInd/>
              <w:spacing w:before="0"/>
              <w:textAlignment w:val="auto"/>
              <w:rPr>
                <w:sz w:val="16"/>
                <w:szCs w:val="16"/>
                <w:lang w:eastAsia="en-GB"/>
              </w:rPr>
            </w:pPr>
            <w:r w:rsidRPr="009121E5">
              <w:rPr>
                <w:rFonts w:cs="Calibri" w:hint="eastAsia"/>
                <w:sz w:val="17"/>
                <w:szCs w:val="17"/>
                <w:lang w:val="en-US" w:eastAsia="en-GB"/>
              </w:rPr>
              <w:t>印度</w:t>
            </w:r>
          </w:p>
        </w:tc>
        <w:tc>
          <w:tcPr>
            <w:tcW w:w="4020" w:type="dxa"/>
            <w:shd w:val="clear" w:color="000000" w:fill="FFFFFF"/>
            <w:vAlign w:val="center"/>
            <w:hideMark/>
          </w:tcPr>
          <w:p w14:paraId="46120EE6" w14:textId="77A41267" w:rsidR="00442968" w:rsidRPr="00C92C03" w:rsidRDefault="00442968" w:rsidP="00442968">
            <w:pPr>
              <w:overflowPunct/>
              <w:autoSpaceDE/>
              <w:autoSpaceDN/>
              <w:adjustRightInd/>
              <w:spacing w:before="0"/>
              <w:textAlignment w:val="auto"/>
              <w:rPr>
                <w:sz w:val="16"/>
                <w:szCs w:val="16"/>
                <w:lang w:eastAsia="en-GB"/>
              </w:rPr>
            </w:pPr>
            <w:r w:rsidRPr="009121E5">
              <w:rPr>
                <w:rFonts w:cs="Calibri"/>
                <w:sz w:val="17"/>
                <w:szCs w:val="17"/>
                <w:lang w:val="en-US" w:eastAsia="en-GB"/>
              </w:rPr>
              <w:t>TCIL</w:t>
            </w:r>
            <w:r w:rsidRPr="009121E5">
              <w:rPr>
                <w:rFonts w:cs="Calibri" w:hint="eastAsia"/>
                <w:sz w:val="17"/>
                <w:szCs w:val="17"/>
                <w:lang w:val="es-ES"/>
              </w:rPr>
              <w:t>，</w:t>
            </w:r>
            <w:r w:rsidRPr="009121E5">
              <w:rPr>
                <w:rFonts w:cs="Calibri" w:hint="eastAsia"/>
                <w:sz w:val="17"/>
                <w:szCs w:val="17"/>
                <w:lang w:val="en-US"/>
              </w:rPr>
              <w:t>新德里</w:t>
            </w:r>
          </w:p>
        </w:tc>
        <w:tc>
          <w:tcPr>
            <w:tcW w:w="960" w:type="dxa"/>
            <w:shd w:val="clear" w:color="000000" w:fill="FFFFFF"/>
            <w:vAlign w:val="center"/>
            <w:hideMark/>
          </w:tcPr>
          <w:p w14:paraId="3DD279AD" w14:textId="281E27D4" w:rsidR="00442968" w:rsidRPr="00C92C03" w:rsidRDefault="00442968" w:rsidP="00442968">
            <w:pPr>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2006-2007</w:t>
            </w:r>
          </w:p>
        </w:tc>
        <w:tc>
          <w:tcPr>
            <w:tcW w:w="1080" w:type="dxa"/>
            <w:shd w:val="clear" w:color="000000" w:fill="FFFFFF"/>
            <w:vAlign w:val="center"/>
            <w:hideMark/>
          </w:tcPr>
          <w:p w14:paraId="4E92BFCF" w14:textId="738E3C67"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63,600.00</w:t>
            </w:r>
          </w:p>
        </w:tc>
        <w:tc>
          <w:tcPr>
            <w:tcW w:w="1120" w:type="dxa"/>
            <w:shd w:val="clear" w:color="000000" w:fill="FFFFFF"/>
            <w:vAlign w:val="center"/>
            <w:hideMark/>
          </w:tcPr>
          <w:p w14:paraId="6ED5397E" w14:textId="2C766553"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81,363.35</w:t>
            </w:r>
          </w:p>
        </w:tc>
        <w:tc>
          <w:tcPr>
            <w:tcW w:w="1180" w:type="dxa"/>
            <w:shd w:val="clear" w:color="000000" w:fill="FFFFFF"/>
            <w:vAlign w:val="center"/>
            <w:hideMark/>
          </w:tcPr>
          <w:p w14:paraId="050B9A0D" w14:textId="5BC54D3C"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144,963.35</w:t>
            </w:r>
          </w:p>
        </w:tc>
      </w:tr>
      <w:tr w:rsidR="00442968" w:rsidRPr="00C92C03" w14:paraId="0B827571" w14:textId="77777777" w:rsidTr="00B57A10">
        <w:trPr>
          <w:trHeight w:val="315"/>
        </w:trPr>
        <w:tc>
          <w:tcPr>
            <w:tcW w:w="1200" w:type="dxa"/>
            <w:shd w:val="clear" w:color="000000" w:fill="FFFFFF"/>
            <w:vAlign w:val="center"/>
            <w:hideMark/>
          </w:tcPr>
          <w:p w14:paraId="0A319EAF" w14:textId="5E10C8BC" w:rsidR="00442968" w:rsidRPr="00C92C03" w:rsidRDefault="00442968" w:rsidP="00442968">
            <w:pPr>
              <w:overflowPunct/>
              <w:autoSpaceDE/>
              <w:autoSpaceDN/>
              <w:adjustRightInd/>
              <w:spacing w:before="0"/>
              <w:textAlignment w:val="auto"/>
              <w:rPr>
                <w:sz w:val="16"/>
                <w:szCs w:val="16"/>
                <w:lang w:eastAsia="en-GB"/>
              </w:rPr>
            </w:pPr>
            <w:r w:rsidRPr="009121E5">
              <w:rPr>
                <w:rFonts w:cs="Calibri" w:hint="eastAsia"/>
                <w:sz w:val="17"/>
                <w:szCs w:val="17"/>
                <w:lang w:val="en-US" w:eastAsia="en-GB"/>
              </w:rPr>
              <w:t>意大利</w:t>
            </w:r>
          </w:p>
        </w:tc>
        <w:tc>
          <w:tcPr>
            <w:tcW w:w="4020" w:type="dxa"/>
            <w:shd w:val="clear" w:color="000000" w:fill="FFFFFF"/>
            <w:vAlign w:val="center"/>
            <w:hideMark/>
          </w:tcPr>
          <w:p w14:paraId="2CA156CC" w14:textId="086A129B" w:rsidR="00442968" w:rsidRPr="00C92C03" w:rsidRDefault="00442968" w:rsidP="00442968">
            <w:pPr>
              <w:overflowPunct/>
              <w:autoSpaceDE/>
              <w:autoSpaceDN/>
              <w:adjustRightInd/>
              <w:spacing w:before="0"/>
              <w:textAlignment w:val="auto"/>
              <w:rPr>
                <w:sz w:val="16"/>
                <w:szCs w:val="16"/>
                <w:lang w:eastAsia="en-GB"/>
              </w:rPr>
            </w:pPr>
            <w:r w:rsidRPr="009121E5">
              <w:rPr>
                <w:rFonts w:cs="Calibri"/>
                <w:sz w:val="17"/>
                <w:szCs w:val="17"/>
                <w:lang w:val="en-US" w:eastAsia="en-GB"/>
              </w:rPr>
              <w:t>Aethra srl</w:t>
            </w:r>
            <w:r w:rsidRPr="009121E5">
              <w:rPr>
                <w:rFonts w:cs="Calibri" w:hint="eastAsia"/>
                <w:sz w:val="17"/>
                <w:szCs w:val="17"/>
                <w:lang w:val="es-ES"/>
              </w:rPr>
              <w:t>，</w:t>
            </w:r>
            <w:r w:rsidRPr="009121E5">
              <w:rPr>
                <w:rFonts w:cs="Calibri" w:hint="eastAsia"/>
                <w:sz w:val="17"/>
                <w:szCs w:val="17"/>
                <w:lang w:val="en-US" w:eastAsia="en-GB"/>
              </w:rPr>
              <w:t>安科纳</w:t>
            </w:r>
          </w:p>
        </w:tc>
        <w:tc>
          <w:tcPr>
            <w:tcW w:w="960" w:type="dxa"/>
            <w:shd w:val="clear" w:color="000000" w:fill="FFFFFF"/>
            <w:vAlign w:val="center"/>
            <w:hideMark/>
          </w:tcPr>
          <w:p w14:paraId="448BA4EE" w14:textId="2265E94F" w:rsidR="00442968" w:rsidRPr="00C92C03" w:rsidRDefault="00442968" w:rsidP="00442968">
            <w:pPr>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2007-2008</w:t>
            </w:r>
          </w:p>
        </w:tc>
        <w:tc>
          <w:tcPr>
            <w:tcW w:w="1080" w:type="dxa"/>
            <w:shd w:val="clear" w:color="000000" w:fill="FFFFFF"/>
            <w:vAlign w:val="center"/>
            <w:hideMark/>
          </w:tcPr>
          <w:p w14:paraId="3C43099D" w14:textId="30E3DC18"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31,800.00</w:t>
            </w:r>
          </w:p>
        </w:tc>
        <w:tc>
          <w:tcPr>
            <w:tcW w:w="1120" w:type="dxa"/>
            <w:shd w:val="clear" w:color="000000" w:fill="FFFFFF"/>
            <w:vAlign w:val="center"/>
            <w:hideMark/>
          </w:tcPr>
          <w:p w14:paraId="72D4ACFD" w14:textId="1F5E9C84"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3,476.45</w:t>
            </w:r>
          </w:p>
        </w:tc>
        <w:tc>
          <w:tcPr>
            <w:tcW w:w="1180" w:type="dxa"/>
            <w:shd w:val="clear" w:color="000000" w:fill="FFFFFF"/>
            <w:vAlign w:val="center"/>
            <w:hideMark/>
          </w:tcPr>
          <w:p w14:paraId="63FD67C2" w14:textId="26A35881"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35,276.45</w:t>
            </w:r>
          </w:p>
        </w:tc>
      </w:tr>
      <w:tr w:rsidR="00442968" w:rsidRPr="00C92C03" w14:paraId="0B49818C" w14:textId="77777777" w:rsidTr="00B57A10">
        <w:trPr>
          <w:trHeight w:val="315"/>
        </w:trPr>
        <w:tc>
          <w:tcPr>
            <w:tcW w:w="1200" w:type="dxa"/>
            <w:shd w:val="clear" w:color="000000" w:fill="FFFFFF"/>
            <w:vAlign w:val="center"/>
            <w:hideMark/>
          </w:tcPr>
          <w:p w14:paraId="26E01C1C" w14:textId="523540F3" w:rsidR="00442968" w:rsidRPr="00C92C03" w:rsidRDefault="00442968" w:rsidP="00442968">
            <w:pPr>
              <w:overflowPunct/>
              <w:autoSpaceDE/>
              <w:autoSpaceDN/>
              <w:adjustRightInd/>
              <w:spacing w:before="0"/>
              <w:textAlignment w:val="auto"/>
              <w:rPr>
                <w:sz w:val="16"/>
                <w:szCs w:val="16"/>
                <w:lang w:eastAsia="en-GB"/>
              </w:rPr>
            </w:pPr>
            <w:r w:rsidRPr="009121E5">
              <w:rPr>
                <w:rFonts w:cs="Calibri" w:hint="eastAsia"/>
                <w:sz w:val="17"/>
                <w:szCs w:val="17"/>
                <w:lang w:val="en-US"/>
              </w:rPr>
              <w:t>意大利</w:t>
            </w:r>
          </w:p>
        </w:tc>
        <w:tc>
          <w:tcPr>
            <w:tcW w:w="4020" w:type="dxa"/>
            <w:shd w:val="clear" w:color="000000" w:fill="FFFFFF"/>
            <w:vAlign w:val="center"/>
            <w:hideMark/>
          </w:tcPr>
          <w:p w14:paraId="7EA33084" w14:textId="6B3A80BF" w:rsidR="00442968" w:rsidRPr="00C92C03" w:rsidRDefault="00442968" w:rsidP="00442968">
            <w:pPr>
              <w:overflowPunct/>
              <w:autoSpaceDE/>
              <w:autoSpaceDN/>
              <w:adjustRightInd/>
              <w:spacing w:before="0"/>
              <w:textAlignment w:val="auto"/>
              <w:rPr>
                <w:sz w:val="16"/>
                <w:szCs w:val="16"/>
                <w:lang w:eastAsia="en-GB"/>
              </w:rPr>
            </w:pPr>
            <w:r w:rsidRPr="009121E5">
              <w:rPr>
                <w:rFonts w:cs="Calibri"/>
                <w:sz w:val="17"/>
                <w:szCs w:val="17"/>
                <w:lang w:val="en-US" w:eastAsia="en-GB"/>
              </w:rPr>
              <w:t>CommeProve Technologies SpA</w:t>
            </w:r>
            <w:r w:rsidRPr="009121E5">
              <w:rPr>
                <w:rFonts w:cs="Calibri" w:hint="eastAsia"/>
                <w:sz w:val="17"/>
                <w:szCs w:val="17"/>
                <w:lang w:val="es-ES"/>
              </w:rPr>
              <w:t>，</w:t>
            </w:r>
            <w:r w:rsidRPr="009121E5">
              <w:rPr>
                <w:rFonts w:cs="Calibri" w:hint="eastAsia"/>
                <w:sz w:val="17"/>
                <w:szCs w:val="17"/>
                <w:lang w:val="en-US"/>
              </w:rPr>
              <w:t>佛罗伦萨</w:t>
            </w:r>
          </w:p>
        </w:tc>
        <w:tc>
          <w:tcPr>
            <w:tcW w:w="960" w:type="dxa"/>
            <w:shd w:val="clear" w:color="000000" w:fill="FFFFFF"/>
            <w:vAlign w:val="center"/>
            <w:hideMark/>
          </w:tcPr>
          <w:p w14:paraId="558929B1" w14:textId="03E10882" w:rsidR="00442968" w:rsidRPr="00C92C03" w:rsidRDefault="00442968" w:rsidP="00442968">
            <w:pPr>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2018</w:t>
            </w:r>
          </w:p>
        </w:tc>
        <w:tc>
          <w:tcPr>
            <w:tcW w:w="1080" w:type="dxa"/>
            <w:shd w:val="clear" w:color="000000" w:fill="FFFFFF"/>
            <w:vAlign w:val="center"/>
            <w:hideMark/>
          </w:tcPr>
          <w:p w14:paraId="0A116151" w14:textId="60C885A4"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3,533.33</w:t>
            </w:r>
          </w:p>
        </w:tc>
        <w:tc>
          <w:tcPr>
            <w:tcW w:w="1120" w:type="dxa"/>
            <w:shd w:val="clear" w:color="000000" w:fill="FFFFFF"/>
            <w:vAlign w:val="center"/>
            <w:hideMark/>
          </w:tcPr>
          <w:p w14:paraId="57CF171F" w14:textId="4CB7F02D"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585.60</w:t>
            </w:r>
          </w:p>
        </w:tc>
        <w:tc>
          <w:tcPr>
            <w:tcW w:w="1180" w:type="dxa"/>
            <w:shd w:val="clear" w:color="000000" w:fill="FFFFFF"/>
            <w:vAlign w:val="center"/>
            <w:hideMark/>
          </w:tcPr>
          <w:p w14:paraId="3EB6F107" w14:textId="7149B786"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4,118.93</w:t>
            </w:r>
          </w:p>
        </w:tc>
      </w:tr>
      <w:tr w:rsidR="00442968" w:rsidRPr="00C92C03" w14:paraId="3F248CEA" w14:textId="77777777" w:rsidTr="00B57A10">
        <w:trPr>
          <w:trHeight w:val="315"/>
        </w:trPr>
        <w:tc>
          <w:tcPr>
            <w:tcW w:w="1200" w:type="dxa"/>
            <w:shd w:val="clear" w:color="000000" w:fill="FFFFFF"/>
            <w:vAlign w:val="center"/>
            <w:hideMark/>
          </w:tcPr>
          <w:p w14:paraId="1DFB8FD5" w14:textId="43219126" w:rsidR="00442968" w:rsidRPr="00C92C03" w:rsidRDefault="00442968" w:rsidP="00442968">
            <w:pPr>
              <w:overflowPunct/>
              <w:autoSpaceDE/>
              <w:autoSpaceDN/>
              <w:adjustRightInd/>
              <w:spacing w:before="0"/>
              <w:textAlignment w:val="auto"/>
              <w:rPr>
                <w:sz w:val="16"/>
                <w:szCs w:val="16"/>
                <w:lang w:eastAsia="en-GB"/>
              </w:rPr>
            </w:pPr>
            <w:r w:rsidRPr="009121E5">
              <w:rPr>
                <w:rFonts w:cs="Calibri" w:hint="eastAsia"/>
                <w:sz w:val="17"/>
                <w:szCs w:val="17"/>
                <w:lang w:val="en-US"/>
              </w:rPr>
              <w:t>意大利</w:t>
            </w:r>
          </w:p>
        </w:tc>
        <w:tc>
          <w:tcPr>
            <w:tcW w:w="4020" w:type="dxa"/>
            <w:shd w:val="clear" w:color="000000" w:fill="FFFFFF"/>
            <w:vAlign w:val="center"/>
            <w:hideMark/>
          </w:tcPr>
          <w:p w14:paraId="56C9AC27" w14:textId="5BC6DC50" w:rsidR="00442968" w:rsidRPr="00C92C03" w:rsidRDefault="00442968" w:rsidP="00442968">
            <w:pPr>
              <w:overflowPunct/>
              <w:autoSpaceDE/>
              <w:autoSpaceDN/>
              <w:adjustRightInd/>
              <w:spacing w:before="0"/>
              <w:textAlignment w:val="auto"/>
              <w:rPr>
                <w:sz w:val="16"/>
                <w:szCs w:val="16"/>
                <w:lang w:eastAsia="en-GB"/>
              </w:rPr>
            </w:pPr>
            <w:r w:rsidRPr="009121E5">
              <w:rPr>
                <w:rFonts w:cs="Calibri"/>
                <w:sz w:val="17"/>
                <w:szCs w:val="17"/>
                <w:lang w:val="en-US" w:eastAsia="en-GB"/>
              </w:rPr>
              <w:t>Sky Chance Trading</w:t>
            </w:r>
            <w:r w:rsidRPr="009121E5">
              <w:rPr>
                <w:rFonts w:cs="Calibri" w:hint="eastAsia"/>
                <w:sz w:val="17"/>
                <w:szCs w:val="17"/>
                <w:lang w:val="en-US"/>
              </w:rPr>
              <w:t>公司，罗马</w:t>
            </w:r>
          </w:p>
        </w:tc>
        <w:tc>
          <w:tcPr>
            <w:tcW w:w="960" w:type="dxa"/>
            <w:shd w:val="clear" w:color="000000" w:fill="FFFFFF"/>
            <w:vAlign w:val="center"/>
            <w:hideMark/>
          </w:tcPr>
          <w:p w14:paraId="11DE42D7" w14:textId="297347F8" w:rsidR="00442968" w:rsidRPr="00C92C03" w:rsidRDefault="00442968" w:rsidP="00442968">
            <w:pPr>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2020</w:t>
            </w:r>
          </w:p>
        </w:tc>
        <w:tc>
          <w:tcPr>
            <w:tcW w:w="1080" w:type="dxa"/>
            <w:shd w:val="clear" w:color="000000" w:fill="FFFFFF"/>
            <w:vAlign w:val="center"/>
            <w:hideMark/>
          </w:tcPr>
          <w:p w14:paraId="16B6F073" w14:textId="0357B694"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6,183.33</w:t>
            </w:r>
          </w:p>
        </w:tc>
        <w:tc>
          <w:tcPr>
            <w:tcW w:w="1120" w:type="dxa"/>
            <w:shd w:val="clear" w:color="000000" w:fill="FFFFFF"/>
            <w:vAlign w:val="center"/>
            <w:hideMark/>
          </w:tcPr>
          <w:p w14:paraId="0333240D" w14:textId="4CCE9CF1"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0.00</w:t>
            </w:r>
          </w:p>
        </w:tc>
        <w:tc>
          <w:tcPr>
            <w:tcW w:w="1180" w:type="dxa"/>
            <w:shd w:val="clear" w:color="000000" w:fill="FFFFFF"/>
            <w:vAlign w:val="center"/>
            <w:hideMark/>
          </w:tcPr>
          <w:p w14:paraId="5BFACA02" w14:textId="7A33992C"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6,183.33</w:t>
            </w:r>
          </w:p>
        </w:tc>
      </w:tr>
      <w:tr w:rsidR="00442968" w:rsidRPr="00C92C03" w14:paraId="54D23FC7" w14:textId="77777777" w:rsidTr="00B57A10">
        <w:trPr>
          <w:trHeight w:val="315"/>
        </w:trPr>
        <w:tc>
          <w:tcPr>
            <w:tcW w:w="1200" w:type="dxa"/>
            <w:shd w:val="clear" w:color="000000" w:fill="FFFFFF"/>
            <w:vAlign w:val="center"/>
            <w:hideMark/>
          </w:tcPr>
          <w:p w14:paraId="783EC3D9" w14:textId="09C4AD00" w:rsidR="00442968" w:rsidRPr="00C92C03" w:rsidRDefault="00442968" w:rsidP="00442968">
            <w:pPr>
              <w:overflowPunct/>
              <w:autoSpaceDE/>
              <w:autoSpaceDN/>
              <w:adjustRightInd/>
              <w:spacing w:before="0"/>
              <w:textAlignment w:val="auto"/>
              <w:rPr>
                <w:sz w:val="16"/>
                <w:szCs w:val="16"/>
                <w:lang w:eastAsia="en-GB"/>
              </w:rPr>
            </w:pPr>
            <w:r w:rsidRPr="009121E5">
              <w:rPr>
                <w:rFonts w:cs="Calibri" w:hint="eastAsia"/>
                <w:sz w:val="17"/>
                <w:szCs w:val="17"/>
                <w:lang w:val="en-US" w:eastAsia="en-GB"/>
              </w:rPr>
              <w:t>哈萨克斯坦</w:t>
            </w:r>
          </w:p>
        </w:tc>
        <w:tc>
          <w:tcPr>
            <w:tcW w:w="4020" w:type="dxa"/>
            <w:shd w:val="clear" w:color="000000" w:fill="FFFFFF"/>
            <w:vAlign w:val="center"/>
            <w:hideMark/>
          </w:tcPr>
          <w:p w14:paraId="1AEC49AE" w14:textId="44394D12" w:rsidR="00442968" w:rsidRPr="00C92C03" w:rsidRDefault="00442968" w:rsidP="00442968">
            <w:pPr>
              <w:overflowPunct/>
              <w:autoSpaceDE/>
              <w:autoSpaceDN/>
              <w:adjustRightInd/>
              <w:spacing w:before="0"/>
              <w:textAlignment w:val="auto"/>
              <w:rPr>
                <w:sz w:val="16"/>
                <w:szCs w:val="16"/>
                <w:lang w:eastAsia="zh-CN"/>
              </w:rPr>
            </w:pPr>
            <w:r w:rsidRPr="009121E5">
              <w:rPr>
                <w:rFonts w:cs="Calibri" w:hint="eastAsia"/>
                <w:sz w:val="17"/>
                <w:szCs w:val="17"/>
                <w:lang w:val="en-US" w:eastAsia="zh-CN"/>
              </w:rPr>
              <w:t>哈萨克交通和通信学院，阿拉木图</w:t>
            </w:r>
          </w:p>
        </w:tc>
        <w:tc>
          <w:tcPr>
            <w:tcW w:w="960" w:type="dxa"/>
            <w:shd w:val="clear" w:color="000000" w:fill="FFFFFF"/>
            <w:vAlign w:val="center"/>
            <w:hideMark/>
          </w:tcPr>
          <w:p w14:paraId="75D356C6" w14:textId="0DEFE7FA" w:rsidR="00442968" w:rsidRPr="00C92C03" w:rsidRDefault="00442968" w:rsidP="00442968">
            <w:pPr>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2008-2009</w:t>
            </w:r>
          </w:p>
        </w:tc>
        <w:tc>
          <w:tcPr>
            <w:tcW w:w="1080" w:type="dxa"/>
            <w:shd w:val="clear" w:color="000000" w:fill="FFFFFF"/>
            <w:vAlign w:val="center"/>
            <w:hideMark/>
          </w:tcPr>
          <w:p w14:paraId="47B4DD78" w14:textId="582CA27E"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4,306.25</w:t>
            </w:r>
          </w:p>
        </w:tc>
        <w:tc>
          <w:tcPr>
            <w:tcW w:w="1120" w:type="dxa"/>
            <w:shd w:val="clear" w:color="000000" w:fill="FFFFFF"/>
            <w:vAlign w:val="center"/>
            <w:hideMark/>
          </w:tcPr>
          <w:p w14:paraId="00A12209" w14:textId="3B3FF51C"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4,231.40</w:t>
            </w:r>
          </w:p>
        </w:tc>
        <w:tc>
          <w:tcPr>
            <w:tcW w:w="1180" w:type="dxa"/>
            <w:shd w:val="clear" w:color="000000" w:fill="FFFFFF"/>
            <w:vAlign w:val="center"/>
            <w:hideMark/>
          </w:tcPr>
          <w:p w14:paraId="40A353CA" w14:textId="7DC0790C"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8,537.65</w:t>
            </w:r>
          </w:p>
        </w:tc>
      </w:tr>
      <w:tr w:rsidR="00442968" w:rsidRPr="00C92C03" w14:paraId="48812732" w14:textId="77777777" w:rsidTr="00B57A10">
        <w:trPr>
          <w:trHeight w:val="315"/>
        </w:trPr>
        <w:tc>
          <w:tcPr>
            <w:tcW w:w="1200" w:type="dxa"/>
            <w:shd w:val="clear" w:color="000000" w:fill="FFFFFF"/>
            <w:vAlign w:val="center"/>
            <w:hideMark/>
          </w:tcPr>
          <w:p w14:paraId="20E5A0F8" w14:textId="3C41BA07" w:rsidR="00442968" w:rsidRPr="00C92C03" w:rsidRDefault="00442968" w:rsidP="00442968">
            <w:pPr>
              <w:overflowPunct/>
              <w:autoSpaceDE/>
              <w:autoSpaceDN/>
              <w:adjustRightInd/>
              <w:spacing w:before="0"/>
              <w:textAlignment w:val="auto"/>
              <w:rPr>
                <w:sz w:val="16"/>
                <w:szCs w:val="16"/>
                <w:lang w:eastAsia="en-GB"/>
              </w:rPr>
            </w:pPr>
            <w:r w:rsidRPr="009121E5">
              <w:rPr>
                <w:rFonts w:cs="Calibri" w:hint="eastAsia"/>
                <w:sz w:val="17"/>
                <w:szCs w:val="17"/>
                <w:lang w:val="en-US" w:eastAsia="en-GB"/>
              </w:rPr>
              <w:t>科威特</w:t>
            </w:r>
          </w:p>
        </w:tc>
        <w:tc>
          <w:tcPr>
            <w:tcW w:w="4020" w:type="dxa"/>
            <w:shd w:val="clear" w:color="000000" w:fill="FFFFFF"/>
            <w:vAlign w:val="center"/>
            <w:hideMark/>
          </w:tcPr>
          <w:p w14:paraId="245CFE3F" w14:textId="1792E34F" w:rsidR="00442968" w:rsidRPr="00C92C03" w:rsidRDefault="00442968" w:rsidP="00442968">
            <w:pPr>
              <w:overflowPunct/>
              <w:autoSpaceDE/>
              <w:autoSpaceDN/>
              <w:adjustRightInd/>
              <w:spacing w:before="0"/>
              <w:textAlignment w:val="auto"/>
              <w:rPr>
                <w:sz w:val="16"/>
                <w:szCs w:val="16"/>
                <w:lang w:eastAsia="zh-CN"/>
              </w:rPr>
            </w:pPr>
            <w:r w:rsidRPr="009121E5">
              <w:rPr>
                <w:rFonts w:cs="Calibri" w:hint="eastAsia"/>
                <w:sz w:val="17"/>
                <w:szCs w:val="17"/>
                <w:lang w:val="en-US" w:eastAsia="zh-CN"/>
              </w:rPr>
              <w:t>阿拉伯商业特许经营，夏威夷</w:t>
            </w:r>
          </w:p>
        </w:tc>
        <w:tc>
          <w:tcPr>
            <w:tcW w:w="960" w:type="dxa"/>
            <w:shd w:val="clear" w:color="000000" w:fill="FFFFFF"/>
            <w:vAlign w:val="center"/>
            <w:hideMark/>
          </w:tcPr>
          <w:p w14:paraId="1E927A8D" w14:textId="67D2539D" w:rsidR="00442968" w:rsidRPr="00C92C03" w:rsidRDefault="00442968" w:rsidP="00442968">
            <w:pPr>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2006-2007</w:t>
            </w:r>
          </w:p>
        </w:tc>
        <w:tc>
          <w:tcPr>
            <w:tcW w:w="1080" w:type="dxa"/>
            <w:shd w:val="clear" w:color="000000" w:fill="FFFFFF"/>
            <w:vAlign w:val="center"/>
            <w:hideMark/>
          </w:tcPr>
          <w:p w14:paraId="74742785" w14:textId="18C14F03"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7,950.00</w:t>
            </w:r>
          </w:p>
        </w:tc>
        <w:tc>
          <w:tcPr>
            <w:tcW w:w="1120" w:type="dxa"/>
            <w:shd w:val="clear" w:color="000000" w:fill="FFFFFF"/>
            <w:vAlign w:val="center"/>
            <w:hideMark/>
          </w:tcPr>
          <w:p w14:paraId="271D1147" w14:textId="7BD813A3"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10,170.60</w:t>
            </w:r>
          </w:p>
        </w:tc>
        <w:tc>
          <w:tcPr>
            <w:tcW w:w="1180" w:type="dxa"/>
            <w:shd w:val="clear" w:color="000000" w:fill="FFFFFF"/>
            <w:vAlign w:val="center"/>
            <w:hideMark/>
          </w:tcPr>
          <w:p w14:paraId="212CA34B" w14:textId="7346F8FF"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18,120.60</w:t>
            </w:r>
          </w:p>
        </w:tc>
      </w:tr>
      <w:tr w:rsidR="00442968" w:rsidRPr="00C92C03" w14:paraId="17DCCC1F" w14:textId="77777777" w:rsidTr="00B57A10">
        <w:trPr>
          <w:trHeight w:val="300"/>
        </w:trPr>
        <w:tc>
          <w:tcPr>
            <w:tcW w:w="1200" w:type="dxa"/>
            <w:shd w:val="clear" w:color="000000" w:fill="FFFFFF"/>
            <w:vAlign w:val="center"/>
            <w:hideMark/>
          </w:tcPr>
          <w:p w14:paraId="1DC996C9" w14:textId="0717FA5F" w:rsidR="00442968" w:rsidRPr="00C92C03" w:rsidRDefault="00442968" w:rsidP="00442968">
            <w:pPr>
              <w:overflowPunct/>
              <w:autoSpaceDE/>
              <w:autoSpaceDN/>
              <w:adjustRightInd/>
              <w:spacing w:before="0"/>
              <w:textAlignment w:val="auto"/>
              <w:rPr>
                <w:sz w:val="16"/>
                <w:szCs w:val="16"/>
                <w:lang w:eastAsia="en-GB"/>
              </w:rPr>
            </w:pPr>
            <w:r w:rsidRPr="009121E5">
              <w:rPr>
                <w:rFonts w:cs="Calibri" w:hint="eastAsia"/>
                <w:sz w:val="17"/>
                <w:szCs w:val="17"/>
                <w:lang w:val="en-US" w:eastAsia="en-GB"/>
              </w:rPr>
              <w:t>黎巴嫩</w:t>
            </w:r>
          </w:p>
        </w:tc>
        <w:tc>
          <w:tcPr>
            <w:tcW w:w="4020" w:type="dxa"/>
            <w:shd w:val="clear" w:color="000000" w:fill="FFFFFF"/>
            <w:vAlign w:val="center"/>
            <w:hideMark/>
          </w:tcPr>
          <w:p w14:paraId="59AA6CE4" w14:textId="3D510A4D" w:rsidR="00442968" w:rsidRPr="00C92C03" w:rsidRDefault="00442968" w:rsidP="00442968">
            <w:pPr>
              <w:overflowPunct/>
              <w:autoSpaceDE/>
              <w:autoSpaceDN/>
              <w:adjustRightInd/>
              <w:spacing w:before="0"/>
              <w:textAlignment w:val="auto"/>
              <w:rPr>
                <w:sz w:val="16"/>
                <w:szCs w:val="16"/>
                <w:lang w:eastAsia="en-GB"/>
              </w:rPr>
            </w:pPr>
            <w:r w:rsidRPr="009121E5">
              <w:rPr>
                <w:rFonts w:cs="Calibri"/>
                <w:sz w:val="17"/>
                <w:szCs w:val="17"/>
                <w:lang w:val="en-US" w:eastAsia="en-GB"/>
              </w:rPr>
              <w:t>Arabcom Hitek</w:t>
            </w:r>
            <w:r w:rsidRPr="009121E5">
              <w:rPr>
                <w:rFonts w:cs="Calibri" w:hint="eastAsia"/>
                <w:sz w:val="17"/>
                <w:szCs w:val="17"/>
                <w:lang w:val="en-US"/>
              </w:rPr>
              <w:t>，贝鲁特</w:t>
            </w:r>
          </w:p>
        </w:tc>
        <w:tc>
          <w:tcPr>
            <w:tcW w:w="960" w:type="dxa"/>
            <w:shd w:val="clear" w:color="000000" w:fill="FFFFFF"/>
            <w:vAlign w:val="center"/>
            <w:hideMark/>
          </w:tcPr>
          <w:p w14:paraId="7A2058CA" w14:textId="7F0AC1C2" w:rsidR="00442968" w:rsidRPr="00C92C03" w:rsidRDefault="00442968" w:rsidP="00442968">
            <w:pPr>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2001-2006</w:t>
            </w:r>
          </w:p>
        </w:tc>
        <w:tc>
          <w:tcPr>
            <w:tcW w:w="1080" w:type="dxa"/>
            <w:shd w:val="clear" w:color="000000" w:fill="FFFFFF"/>
            <w:vAlign w:val="center"/>
            <w:hideMark/>
          </w:tcPr>
          <w:p w14:paraId="45FB4826" w14:textId="683D8A31"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23,662.50</w:t>
            </w:r>
          </w:p>
        </w:tc>
        <w:tc>
          <w:tcPr>
            <w:tcW w:w="1120" w:type="dxa"/>
            <w:shd w:val="clear" w:color="000000" w:fill="FFFFFF"/>
            <w:vAlign w:val="center"/>
            <w:hideMark/>
          </w:tcPr>
          <w:p w14:paraId="540BC2EE" w14:textId="32E2737A"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40,770.85</w:t>
            </w:r>
          </w:p>
        </w:tc>
        <w:tc>
          <w:tcPr>
            <w:tcW w:w="1180" w:type="dxa"/>
            <w:shd w:val="clear" w:color="000000" w:fill="FFFFFF"/>
            <w:vAlign w:val="center"/>
            <w:hideMark/>
          </w:tcPr>
          <w:p w14:paraId="6241F83B" w14:textId="032786D2"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64,433.35</w:t>
            </w:r>
          </w:p>
        </w:tc>
      </w:tr>
      <w:tr w:rsidR="00442968" w:rsidRPr="00C92C03" w14:paraId="635BFFAC" w14:textId="77777777" w:rsidTr="00B57A10">
        <w:trPr>
          <w:trHeight w:val="300"/>
        </w:trPr>
        <w:tc>
          <w:tcPr>
            <w:tcW w:w="1200" w:type="dxa"/>
            <w:shd w:val="clear" w:color="000000" w:fill="FFFFFF"/>
            <w:vAlign w:val="center"/>
            <w:hideMark/>
          </w:tcPr>
          <w:p w14:paraId="0C8F8F31" w14:textId="2C798FC4" w:rsidR="00442968" w:rsidRPr="00C92C03" w:rsidRDefault="00442968" w:rsidP="00442968">
            <w:pPr>
              <w:overflowPunct/>
              <w:autoSpaceDE/>
              <w:autoSpaceDN/>
              <w:adjustRightInd/>
              <w:spacing w:before="0"/>
              <w:textAlignment w:val="auto"/>
              <w:rPr>
                <w:sz w:val="16"/>
                <w:szCs w:val="16"/>
                <w:lang w:eastAsia="en-GB"/>
              </w:rPr>
            </w:pPr>
            <w:r w:rsidRPr="009121E5">
              <w:rPr>
                <w:rFonts w:cs="Calibri" w:hint="eastAsia"/>
                <w:sz w:val="17"/>
                <w:szCs w:val="17"/>
                <w:lang w:val="en-US" w:eastAsia="en-GB"/>
              </w:rPr>
              <w:t>黎巴嫩</w:t>
            </w:r>
          </w:p>
        </w:tc>
        <w:tc>
          <w:tcPr>
            <w:tcW w:w="4020" w:type="dxa"/>
            <w:shd w:val="clear" w:color="000000" w:fill="FFFFFF"/>
            <w:vAlign w:val="center"/>
            <w:hideMark/>
          </w:tcPr>
          <w:p w14:paraId="7A74FAAD" w14:textId="1461A767" w:rsidR="00442968" w:rsidRPr="00C92C03" w:rsidRDefault="00442968" w:rsidP="00442968">
            <w:pPr>
              <w:overflowPunct/>
              <w:autoSpaceDE/>
              <w:autoSpaceDN/>
              <w:adjustRightInd/>
              <w:spacing w:before="0"/>
              <w:textAlignment w:val="auto"/>
              <w:rPr>
                <w:sz w:val="16"/>
                <w:szCs w:val="16"/>
                <w:lang w:eastAsia="zh-CN"/>
              </w:rPr>
            </w:pPr>
            <w:r w:rsidRPr="009121E5">
              <w:rPr>
                <w:rFonts w:cs="Calibri"/>
                <w:sz w:val="17"/>
                <w:szCs w:val="17"/>
                <w:lang w:val="en-US" w:eastAsia="zh-CN"/>
              </w:rPr>
              <w:t xml:space="preserve">ExiCon </w:t>
            </w:r>
            <w:r w:rsidRPr="009121E5">
              <w:rPr>
                <w:rFonts w:cs="Calibri" w:hint="eastAsia"/>
                <w:sz w:val="17"/>
                <w:szCs w:val="17"/>
                <w:lang w:val="en-US" w:eastAsia="zh-CN"/>
              </w:rPr>
              <w:t>国际集团，贝鲁特</w:t>
            </w:r>
          </w:p>
        </w:tc>
        <w:tc>
          <w:tcPr>
            <w:tcW w:w="960" w:type="dxa"/>
            <w:shd w:val="clear" w:color="000000" w:fill="FFFFFF"/>
            <w:vAlign w:val="center"/>
            <w:hideMark/>
          </w:tcPr>
          <w:p w14:paraId="74C1C1AB" w14:textId="532B5EB5" w:rsidR="00442968" w:rsidRPr="00C92C03" w:rsidRDefault="00442968" w:rsidP="00442968">
            <w:pPr>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2010-2011</w:t>
            </w:r>
          </w:p>
        </w:tc>
        <w:tc>
          <w:tcPr>
            <w:tcW w:w="1080" w:type="dxa"/>
            <w:shd w:val="clear" w:color="000000" w:fill="FFFFFF"/>
            <w:vAlign w:val="center"/>
            <w:hideMark/>
          </w:tcPr>
          <w:p w14:paraId="482FC305" w14:textId="5D175013"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3,975.00</w:t>
            </w:r>
          </w:p>
        </w:tc>
        <w:tc>
          <w:tcPr>
            <w:tcW w:w="1120" w:type="dxa"/>
            <w:shd w:val="clear" w:color="000000" w:fill="FFFFFF"/>
            <w:vAlign w:val="center"/>
            <w:hideMark/>
          </w:tcPr>
          <w:p w14:paraId="6B596111" w14:textId="44334757"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3,028.10</w:t>
            </w:r>
          </w:p>
        </w:tc>
        <w:tc>
          <w:tcPr>
            <w:tcW w:w="1180" w:type="dxa"/>
            <w:shd w:val="clear" w:color="000000" w:fill="FFFFFF"/>
            <w:vAlign w:val="center"/>
            <w:hideMark/>
          </w:tcPr>
          <w:p w14:paraId="5EEDC99A" w14:textId="299D9757"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7,003.10</w:t>
            </w:r>
          </w:p>
        </w:tc>
      </w:tr>
      <w:tr w:rsidR="00442968" w:rsidRPr="00C92C03" w14:paraId="646F4DAA" w14:textId="77777777" w:rsidTr="00B57A10">
        <w:trPr>
          <w:trHeight w:val="300"/>
        </w:trPr>
        <w:tc>
          <w:tcPr>
            <w:tcW w:w="1200" w:type="dxa"/>
            <w:shd w:val="clear" w:color="000000" w:fill="FFFFFF"/>
            <w:vAlign w:val="center"/>
            <w:hideMark/>
          </w:tcPr>
          <w:p w14:paraId="5B6C4472" w14:textId="7842FA88" w:rsidR="00442968" w:rsidRPr="00C92C03" w:rsidRDefault="00442968" w:rsidP="00442968">
            <w:pPr>
              <w:overflowPunct/>
              <w:autoSpaceDE/>
              <w:autoSpaceDN/>
              <w:adjustRightInd/>
              <w:spacing w:before="0"/>
              <w:textAlignment w:val="auto"/>
              <w:rPr>
                <w:sz w:val="16"/>
                <w:szCs w:val="16"/>
                <w:lang w:eastAsia="en-GB"/>
              </w:rPr>
            </w:pPr>
            <w:r w:rsidRPr="009121E5">
              <w:rPr>
                <w:rFonts w:cs="Calibri" w:hint="eastAsia"/>
                <w:sz w:val="17"/>
                <w:szCs w:val="17"/>
                <w:lang w:val="en-US" w:eastAsia="en-GB"/>
              </w:rPr>
              <w:t>黎巴嫩</w:t>
            </w:r>
          </w:p>
        </w:tc>
        <w:tc>
          <w:tcPr>
            <w:tcW w:w="4020" w:type="dxa"/>
            <w:shd w:val="clear" w:color="000000" w:fill="FFFFFF"/>
            <w:vAlign w:val="center"/>
            <w:hideMark/>
          </w:tcPr>
          <w:p w14:paraId="638AB6E2" w14:textId="50BE6ED0" w:rsidR="00442968" w:rsidRPr="00C92C03" w:rsidRDefault="00442968" w:rsidP="00442968">
            <w:pPr>
              <w:overflowPunct/>
              <w:autoSpaceDE/>
              <w:autoSpaceDN/>
              <w:adjustRightInd/>
              <w:spacing w:before="0"/>
              <w:textAlignment w:val="auto"/>
              <w:rPr>
                <w:sz w:val="16"/>
                <w:szCs w:val="16"/>
                <w:lang w:eastAsia="en-GB"/>
              </w:rPr>
            </w:pPr>
            <w:r w:rsidRPr="009121E5">
              <w:rPr>
                <w:rFonts w:cs="Calibri"/>
                <w:sz w:val="17"/>
                <w:szCs w:val="17"/>
                <w:lang w:val="en-US" w:eastAsia="en-GB"/>
              </w:rPr>
              <w:t>MTN/Investcom LLC</w:t>
            </w:r>
            <w:r w:rsidRPr="009121E5">
              <w:rPr>
                <w:rFonts w:cs="Calibri" w:hint="eastAsia"/>
                <w:sz w:val="17"/>
                <w:szCs w:val="17"/>
                <w:lang w:val="es-ES"/>
              </w:rPr>
              <w:t>，</w:t>
            </w:r>
            <w:r w:rsidRPr="009121E5">
              <w:rPr>
                <w:rFonts w:cs="Calibri" w:hint="eastAsia"/>
                <w:sz w:val="17"/>
                <w:szCs w:val="17"/>
                <w:lang w:val="en-US"/>
              </w:rPr>
              <w:t>贝鲁特</w:t>
            </w:r>
          </w:p>
        </w:tc>
        <w:tc>
          <w:tcPr>
            <w:tcW w:w="960" w:type="dxa"/>
            <w:shd w:val="clear" w:color="000000" w:fill="FFFFFF"/>
            <w:vAlign w:val="center"/>
            <w:hideMark/>
          </w:tcPr>
          <w:p w14:paraId="5B96E466" w14:textId="13A6382B" w:rsidR="00442968" w:rsidRPr="00C92C03" w:rsidRDefault="00442968" w:rsidP="00442968">
            <w:pPr>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2008</w:t>
            </w:r>
          </w:p>
        </w:tc>
        <w:tc>
          <w:tcPr>
            <w:tcW w:w="1080" w:type="dxa"/>
            <w:shd w:val="clear" w:color="000000" w:fill="FFFFFF"/>
            <w:vAlign w:val="center"/>
            <w:hideMark/>
          </w:tcPr>
          <w:p w14:paraId="46C51743" w14:textId="36069220"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3,975.00</w:t>
            </w:r>
          </w:p>
        </w:tc>
        <w:tc>
          <w:tcPr>
            <w:tcW w:w="1120" w:type="dxa"/>
            <w:shd w:val="clear" w:color="000000" w:fill="FFFFFF"/>
            <w:vAlign w:val="center"/>
            <w:hideMark/>
          </w:tcPr>
          <w:p w14:paraId="121A48FF" w14:textId="3FF890EC"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4,323.50</w:t>
            </w:r>
          </w:p>
        </w:tc>
        <w:tc>
          <w:tcPr>
            <w:tcW w:w="1180" w:type="dxa"/>
            <w:shd w:val="clear" w:color="000000" w:fill="FFFFFF"/>
            <w:vAlign w:val="center"/>
            <w:hideMark/>
          </w:tcPr>
          <w:p w14:paraId="156F2872" w14:textId="50EADCD5"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8,298.50</w:t>
            </w:r>
          </w:p>
        </w:tc>
      </w:tr>
      <w:tr w:rsidR="00442968" w:rsidRPr="00C92C03" w14:paraId="4B66206A" w14:textId="77777777" w:rsidTr="00B57A10">
        <w:trPr>
          <w:trHeight w:val="329"/>
        </w:trPr>
        <w:tc>
          <w:tcPr>
            <w:tcW w:w="1200" w:type="dxa"/>
            <w:shd w:val="clear" w:color="000000" w:fill="FFFFFF"/>
            <w:vAlign w:val="center"/>
            <w:hideMark/>
          </w:tcPr>
          <w:p w14:paraId="1D037210" w14:textId="304144D4" w:rsidR="00442968" w:rsidRPr="00C92C03" w:rsidRDefault="00442968" w:rsidP="00442968">
            <w:pPr>
              <w:overflowPunct/>
              <w:autoSpaceDE/>
              <w:autoSpaceDN/>
              <w:adjustRightInd/>
              <w:spacing w:before="0"/>
              <w:textAlignment w:val="auto"/>
              <w:rPr>
                <w:sz w:val="16"/>
                <w:szCs w:val="16"/>
                <w:lang w:eastAsia="en-GB"/>
              </w:rPr>
            </w:pPr>
            <w:r w:rsidRPr="009121E5">
              <w:rPr>
                <w:rFonts w:cs="Calibri" w:hint="eastAsia"/>
                <w:sz w:val="17"/>
                <w:szCs w:val="17"/>
                <w:lang w:val="en-US" w:eastAsia="en-GB"/>
              </w:rPr>
              <w:t>黎巴嫩</w:t>
            </w:r>
          </w:p>
        </w:tc>
        <w:tc>
          <w:tcPr>
            <w:tcW w:w="4020" w:type="dxa"/>
            <w:shd w:val="clear" w:color="000000" w:fill="FFFFFF"/>
            <w:vAlign w:val="center"/>
            <w:hideMark/>
          </w:tcPr>
          <w:p w14:paraId="283B9A98" w14:textId="655E0EDA" w:rsidR="00442968" w:rsidRPr="00C92C03" w:rsidRDefault="00442968" w:rsidP="00442968">
            <w:pPr>
              <w:overflowPunct/>
              <w:autoSpaceDE/>
              <w:autoSpaceDN/>
              <w:adjustRightInd/>
              <w:spacing w:before="0"/>
              <w:textAlignment w:val="auto"/>
              <w:rPr>
                <w:sz w:val="16"/>
                <w:szCs w:val="16"/>
                <w:lang w:eastAsia="zh-CN"/>
              </w:rPr>
            </w:pPr>
            <w:r w:rsidRPr="009121E5">
              <w:rPr>
                <w:rFonts w:cs="Calibri" w:hint="eastAsia"/>
                <w:sz w:val="17"/>
                <w:szCs w:val="17"/>
                <w:lang w:val="en-US" w:eastAsia="zh-CN"/>
              </w:rPr>
              <w:t>电信信息技术（</w:t>
            </w:r>
            <w:r w:rsidRPr="009121E5">
              <w:rPr>
                <w:rFonts w:cs="Calibri"/>
                <w:sz w:val="17"/>
                <w:szCs w:val="17"/>
                <w:lang w:val="en-US" w:eastAsia="zh-CN"/>
              </w:rPr>
              <w:t>TIT</w:t>
            </w:r>
            <w:r w:rsidRPr="009121E5">
              <w:rPr>
                <w:rFonts w:cs="Calibri" w:hint="eastAsia"/>
                <w:sz w:val="17"/>
                <w:szCs w:val="17"/>
                <w:lang w:val="en-US" w:eastAsia="zh-CN"/>
              </w:rPr>
              <w:t>），贝鲁特</w:t>
            </w:r>
          </w:p>
        </w:tc>
        <w:tc>
          <w:tcPr>
            <w:tcW w:w="960" w:type="dxa"/>
            <w:shd w:val="clear" w:color="000000" w:fill="FFFFFF"/>
            <w:vAlign w:val="center"/>
            <w:hideMark/>
          </w:tcPr>
          <w:p w14:paraId="11A67756" w14:textId="3ACB7D29" w:rsidR="00442968" w:rsidRPr="00C92C03" w:rsidRDefault="00442968" w:rsidP="00442968">
            <w:pPr>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2008</w:t>
            </w:r>
          </w:p>
        </w:tc>
        <w:tc>
          <w:tcPr>
            <w:tcW w:w="1080" w:type="dxa"/>
            <w:shd w:val="clear" w:color="000000" w:fill="FFFFFF"/>
            <w:vAlign w:val="center"/>
            <w:hideMark/>
          </w:tcPr>
          <w:p w14:paraId="3A3CE7F9" w14:textId="67F18A13"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25,000.00</w:t>
            </w:r>
          </w:p>
        </w:tc>
        <w:tc>
          <w:tcPr>
            <w:tcW w:w="1120" w:type="dxa"/>
            <w:shd w:val="clear" w:color="000000" w:fill="FFFFFF"/>
            <w:vAlign w:val="center"/>
            <w:hideMark/>
          </w:tcPr>
          <w:p w14:paraId="4D9C0B1B" w14:textId="2C9EEE5E"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25,304.80</w:t>
            </w:r>
          </w:p>
        </w:tc>
        <w:tc>
          <w:tcPr>
            <w:tcW w:w="1180" w:type="dxa"/>
            <w:shd w:val="clear" w:color="000000" w:fill="FFFFFF"/>
            <w:vAlign w:val="center"/>
            <w:hideMark/>
          </w:tcPr>
          <w:p w14:paraId="7662E7DE" w14:textId="5EF82600"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50,304.80</w:t>
            </w:r>
          </w:p>
        </w:tc>
      </w:tr>
      <w:tr w:rsidR="00442968" w:rsidRPr="00C92C03" w14:paraId="7D8DFA48" w14:textId="77777777" w:rsidTr="00B57A10">
        <w:trPr>
          <w:trHeight w:val="300"/>
        </w:trPr>
        <w:tc>
          <w:tcPr>
            <w:tcW w:w="1200" w:type="dxa"/>
            <w:shd w:val="clear" w:color="000000" w:fill="FFFFFF"/>
            <w:vAlign w:val="center"/>
            <w:hideMark/>
          </w:tcPr>
          <w:p w14:paraId="27F66A96" w14:textId="79DFC783" w:rsidR="00442968" w:rsidRPr="00C92C03" w:rsidRDefault="00442968" w:rsidP="00442968">
            <w:pPr>
              <w:overflowPunct/>
              <w:autoSpaceDE/>
              <w:autoSpaceDN/>
              <w:adjustRightInd/>
              <w:spacing w:before="0"/>
              <w:textAlignment w:val="auto"/>
              <w:rPr>
                <w:sz w:val="16"/>
                <w:szCs w:val="16"/>
                <w:lang w:eastAsia="en-GB"/>
              </w:rPr>
            </w:pPr>
            <w:r w:rsidRPr="009121E5">
              <w:rPr>
                <w:rFonts w:cs="Calibri" w:hint="eastAsia"/>
                <w:sz w:val="17"/>
                <w:szCs w:val="17"/>
                <w:lang w:val="en-US" w:eastAsia="en-GB"/>
              </w:rPr>
              <w:t>利比里亚</w:t>
            </w:r>
          </w:p>
        </w:tc>
        <w:tc>
          <w:tcPr>
            <w:tcW w:w="4020" w:type="dxa"/>
            <w:shd w:val="clear" w:color="000000" w:fill="FFFFFF"/>
            <w:vAlign w:val="center"/>
            <w:hideMark/>
          </w:tcPr>
          <w:p w14:paraId="3363BB6F" w14:textId="2A0921D8" w:rsidR="00442968" w:rsidRPr="00C92C03" w:rsidRDefault="00442968" w:rsidP="00442968">
            <w:pPr>
              <w:overflowPunct/>
              <w:autoSpaceDE/>
              <w:autoSpaceDN/>
              <w:adjustRightInd/>
              <w:spacing w:before="0"/>
              <w:textAlignment w:val="auto"/>
              <w:rPr>
                <w:sz w:val="16"/>
                <w:szCs w:val="16"/>
                <w:lang w:eastAsia="zh-CN"/>
              </w:rPr>
            </w:pPr>
            <w:r w:rsidRPr="009121E5">
              <w:rPr>
                <w:rFonts w:cs="Calibri" w:hint="eastAsia"/>
                <w:sz w:val="17"/>
                <w:szCs w:val="17"/>
                <w:lang w:val="en-US" w:eastAsia="zh-CN"/>
              </w:rPr>
              <w:t>西非电信有限公司，蒙罗维亚</w:t>
            </w:r>
          </w:p>
        </w:tc>
        <w:tc>
          <w:tcPr>
            <w:tcW w:w="960" w:type="dxa"/>
            <w:shd w:val="clear" w:color="000000" w:fill="FFFFFF"/>
            <w:vAlign w:val="center"/>
            <w:hideMark/>
          </w:tcPr>
          <w:p w14:paraId="141A5AFB" w14:textId="0C8F1E32" w:rsidR="00442968" w:rsidRPr="00C92C03" w:rsidRDefault="00442968" w:rsidP="00442968">
            <w:pPr>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2007</w:t>
            </w:r>
          </w:p>
        </w:tc>
        <w:tc>
          <w:tcPr>
            <w:tcW w:w="1080" w:type="dxa"/>
            <w:shd w:val="clear" w:color="000000" w:fill="FFFFFF"/>
            <w:vAlign w:val="center"/>
            <w:hideMark/>
          </w:tcPr>
          <w:p w14:paraId="522117DD" w14:textId="59E68D7F"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3,975.00</w:t>
            </w:r>
          </w:p>
        </w:tc>
        <w:tc>
          <w:tcPr>
            <w:tcW w:w="1120" w:type="dxa"/>
            <w:shd w:val="clear" w:color="000000" w:fill="FFFFFF"/>
            <w:vAlign w:val="center"/>
            <w:hideMark/>
          </w:tcPr>
          <w:p w14:paraId="5A9D5A77" w14:textId="32A93F35"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4,821.40</w:t>
            </w:r>
          </w:p>
        </w:tc>
        <w:tc>
          <w:tcPr>
            <w:tcW w:w="1180" w:type="dxa"/>
            <w:shd w:val="clear" w:color="000000" w:fill="FFFFFF"/>
            <w:vAlign w:val="center"/>
            <w:hideMark/>
          </w:tcPr>
          <w:p w14:paraId="61A4779F" w14:textId="3F430D23"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8,796.40</w:t>
            </w:r>
          </w:p>
        </w:tc>
      </w:tr>
      <w:tr w:rsidR="00442968" w:rsidRPr="00C92C03" w14:paraId="2B9BCEB5" w14:textId="77777777" w:rsidTr="00B57A10">
        <w:trPr>
          <w:trHeight w:val="300"/>
        </w:trPr>
        <w:tc>
          <w:tcPr>
            <w:tcW w:w="1200" w:type="dxa"/>
            <w:shd w:val="clear" w:color="000000" w:fill="FFFFFF"/>
            <w:vAlign w:val="center"/>
            <w:hideMark/>
          </w:tcPr>
          <w:p w14:paraId="4AC78F19" w14:textId="0068FBEA" w:rsidR="00442968" w:rsidRPr="00C92C03" w:rsidRDefault="00442968" w:rsidP="00442968">
            <w:pPr>
              <w:overflowPunct/>
              <w:autoSpaceDE/>
              <w:autoSpaceDN/>
              <w:adjustRightInd/>
              <w:spacing w:before="0"/>
              <w:textAlignment w:val="auto"/>
              <w:rPr>
                <w:sz w:val="16"/>
                <w:szCs w:val="16"/>
                <w:lang w:eastAsia="en-GB"/>
              </w:rPr>
            </w:pPr>
            <w:r w:rsidRPr="009121E5">
              <w:rPr>
                <w:rFonts w:cs="Calibri" w:hint="eastAsia"/>
                <w:sz w:val="17"/>
                <w:szCs w:val="17"/>
                <w:lang w:val="en-US" w:eastAsia="en-GB"/>
              </w:rPr>
              <w:t>毛里塔尼亚</w:t>
            </w:r>
          </w:p>
        </w:tc>
        <w:tc>
          <w:tcPr>
            <w:tcW w:w="4020" w:type="dxa"/>
            <w:shd w:val="clear" w:color="000000" w:fill="FFFFFF"/>
            <w:vAlign w:val="center"/>
            <w:hideMark/>
          </w:tcPr>
          <w:p w14:paraId="64C97E22" w14:textId="2D925399" w:rsidR="00442968" w:rsidRPr="00C92C03" w:rsidRDefault="00442968" w:rsidP="00442968">
            <w:pPr>
              <w:overflowPunct/>
              <w:autoSpaceDE/>
              <w:autoSpaceDN/>
              <w:adjustRightInd/>
              <w:spacing w:before="0"/>
              <w:textAlignment w:val="auto"/>
              <w:rPr>
                <w:sz w:val="16"/>
                <w:szCs w:val="16"/>
                <w:lang w:eastAsia="en-GB"/>
              </w:rPr>
            </w:pPr>
            <w:r w:rsidRPr="009121E5">
              <w:rPr>
                <w:rFonts w:cs="Calibri"/>
                <w:sz w:val="17"/>
                <w:szCs w:val="17"/>
                <w:lang w:val="en-US" w:eastAsia="en-GB"/>
              </w:rPr>
              <w:t>MAURITEL SA, Nouakchott</w:t>
            </w:r>
          </w:p>
        </w:tc>
        <w:tc>
          <w:tcPr>
            <w:tcW w:w="960" w:type="dxa"/>
            <w:shd w:val="clear" w:color="000000" w:fill="FFFFFF"/>
            <w:vAlign w:val="center"/>
            <w:hideMark/>
          </w:tcPr>
          <w:p w14:paraId="20F8C634" w14:textId="00E20D28" w:rsidR="00442968" w:rsidRPr="00C92C03" w:rsidRDefault="00442968" w:rsidP="00442968">
            <w:pPr>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2008</w:t>
            </w:r>
          </w:p>
        </w:tc>
        <w:tc>
          <w:tcPr>
            <w:tcW w:w="1080" w:type="dxa"/>
            <w:shd w:val="clear" w:color="000000" w:fill="FFFFFF"/>
            <w:vAlign w:val="center"/>
            <w:hideMark/>
          </w:tcPr>
          <w:p w14:paraId="02D8894B" w14:textId="7C4560D5"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35,775.00</w:t>
            </w:r>
          </w:p>
        </w:tc>
        <w:tc>
          <w:tcPr>
            <w:tcW w:w="1120" w:type="dxa"/>
            <w:shd w:val="clear" w:color="000000" w:fill="FFFFFF"/>
            <w:vAlign w:val="center"/>
            <w:hideMark/>
          </w:tcPr>
          <w:p w14:paraId="4817B1E6" w14:textId="0E16B73E"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38,910.85</w:t>
            </w:r>
          </w:p>
        </w:tc>
        <w:tc>
          <w:tcPr>
            <w:tcW w:w="1180" w:type="dxa"/>
            <w:shd w:val="clear" w:color="000000" w:fill="FFFFFF"/>
            <w:vAlign w:val="center"/>
            <w:hideMark/>
          </w:tcPr>
          <w:p w14:paraId="5010B27A" w14:textId="161E8A9C"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74,685.85</w:t>
            </w:r>
          </w:p>
        </w:tc>
      </w:tr>
      <w:tr w:rsidR="00442968" w:rsidRPr="00C92C03" w14:paraId="1F4D8B3B" w14:textId="77777777" w:rsidTr="00B57A10">
        <w:trPr>
          <w:trHeight w:val="300"/>
        </w:trPr>
        <w:tc>
          <w:tcPr>
            <w:tcW w:w="1200" w:type="dxa"/>
            <w:shd w:val="clear" w:color="000000" w:fill="FFFFFF"/>
            <w:vAlign w:val="center"/>
            <w:hideMark/>
          </w:tcPr>
          <w:p w14:paraId="1355CE2C" w14:textId="35E7949A" w:rsidR="00442968" w:rsidRPr="00C92C03" w:rsidRDefault="00442968" w:rsidP="00442968">
            <w:pPr>
              <w:overflowPunct/>
              <w:autoSpaceDE/>
              <w:autoSpaceDN/>
              <w:adjustRightInd/>
              <w:spacing w:before="0"/>
              <w:textAlignment w:val="auto"/>
              <w:rPr>
                <w:sz w:val="16"/>
                <w:szCs w:val="16"/>
                <w:lang w:eastAsia="en-GB"/>
              </w:rPr>
            </w:pPr>
            <w:r w:rsidRPr="009121E5">
              <w:rPr>
                <w:rFonts w:cs="Calibri" w:hint="eastAsia"/>
                <w:sz w:val="17"/>
                <w:szCs w:val="17"/>
                <w:lang w:val="en-US" w:eastAsia="en-GB"/>
              </w:rPr>
              <w:t>荷兰</w:t>
            </w:r>
          </w:p>
        </w:tc>
        <w:tc>
          <w:tcPr>
            <w:tcW w:w="4020" w:type="dxa"/>
            <w:shd w:val="clear" w:color="000000" w:fill="FFFFFF"/>
            <w:vAlign w:val="center"/>
            <w:hideMark/>
          </w:tcPr>
          <w:p w14:paraId="5DD32E59" w14:textId="01D6B0B5" w:rsidR="00442968" w:rsidRPr="00C92C03" w:rsidRDefault="00442968" w:rsidP="00442968">
            <w:pPr>
              <w:overflowPunct/>
              <w:autoSpaceDE/>
              <w:autoSpaceDN/>
              <w:adjustRightInd/>
              <w:spacing w:before="0"/>
              <w:textAlignment w:val="auto"/>
              <w:rPr>
                <w:sz w:val="16"/>
                <w:szCs w:val="16"/>
                <w:lang w:eastAsia="en-GB"/>
              </w:rPr>
            </w:pPr>
            <w:r w:rsidRPr="009121E5">
              <w:rPr>
                <w:rFonts w:cs="Calibri"/>
                <w:sz w:val="17"/>
                <w:szCs w:val="17"/>
                <w:lang w:val="en-US" w:eastAsia="en-GB"/>
              </w:rPr>
              <w:t>SMITCOMS N.V.</w:t>
            </w:r>
            <w:r w:rsidRPr="009121E5">
              <w:rPr>
                <w:rFonts w:cs="Calibri" w:hint="eastAsia"/>
                <w:sz w:val="17"/>
                <w:szCs w:val="17"/>
                <w:lang w:val="es-ES"/>
              </w:rPr>
              <w:t>，</w:t>
            </w:r>
            <w:r w:rsidRPr="009121E5">
              <w:rPr>
                <w:rFonts w:cs="Calibri" w:hint="eastAsia"/>
                <w:sz w:val="17"/>
                <w:szCs w:val="17"/>
                <w:lang w:val="en-US" w:eastAsia="en-GB"/>
              </w:rPr>
              <w:t>荷属圣马丁</w:t>
            </w:r>
          </w:p>
        </w:tc>
        <w:tc>
          <w:tcPr>
            <w:tcW w:w="960" w:type="dxa"/>
            <w:shd w:val="clear" w:color="000000" w:fill="FFFFFF"/>
            <w:vAlign w:val="center"/>
            <w:hideMark/>
          </w:tcPr>
          <w:p w14:paraId="09A5E74C" w14:textId="221AAEB9" w:rsidR="00442968" w:rsidRPr="00C92C03" w:rsidRDefault="00442968" w:rsidP="00442968">
            <w:pPr>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2004-2007</w:t>
            </w:r>
          </w:p>
        </w:tc>
        <w:tc>
          <w:tcPr>
            <w:tcW w:w="1080" w:type="dxa"/>
            <w:shd w:val="clear" w:color="000000" w:fill="FFFFFF"/>
            <w:vAlign w:val="center"/>
            <w:hideMark/>
          </w:tcPr>
          <w:p w14:paraId="3CA715B8" w14:textId="48743523"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253,200.00</w:t>
            </w:r>
          </w:p>
        </w:tc>
        <w:tc>
          <w:tcPr>
            <w:tcW w:w="1120" w:type="dxa"/>
            <w:shd w:val="clear" w:color="000000" w:fill="FFFFFF"/>
            <w:vAlign w:val="center"/>
            <w:hideMark/>
          </w:tcPr>
          <w:p w14:paraId="70F8F5C7" w14:textId="59D16C30"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359,330.80</w:t>
            </w:r>
          </w:p>
        </w:tc>
        <w:tc>
          <w:tcPr>
            <w:tcW w:w="1180" w:type="dxa"/>
            <w:shd w:val="clear" w:color="000000" w:fill="FFFFFF"/>
            <w:vAlign w:val="center"/>
            <w:hideMark/>
          </w:tcPr>
          <w:p w14:paraId="19F9CD81" w14:textId="22B7EE9F"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612,530.80</w:t>
            </w:r>
          </w:p>
        </w:tc>
      </w:tr>
      <w:tr w:rsidR="00442968" w:rsidRPr="00C92C03" w14:paraId="2B6BA3C3" w14:textId="77777777" w:rsidTr="00B57A10">
        <w:trPr>
          <w:trHeight w:val="300"/>
        </w:trPr>
        <w:tc>
          <w:tcPr>
            <w:tcW w:w="1200" w:type="dxa"/>
            <w:shd w:val="clear" w:color="000000" w:fill="FFFFFF"/>
            <w:vAlign w:val="center"/>
            <w:hideMark/>
          </w:tcPr>
          <w:p w14:paraId="7CE32734" w14:textId="037653F9" w:rsidR="00442968" w:rsidRPr="00C92C03" w:rsidRDefault="00442968" w:rsidP="00442968">
            <w:pPr>
              <w:overflowPunct/>
              <w:autoSpaceDE/>
              <w:autoSpaceDN/>
              <w:adjustRightInd/>
              <w:spacing w:before="0"/>
              <w:textAlignment w:val="auto"/>
              <w:rPr>
                <w:sz w:val="16"/>
                <w:szCs w:val="16"/>
                <w:lang w:eastAsia="en-GB"/>
              </w:rPr>
            </w:pPr>
            <w:r w:rsidRPr="009121E5">
              <w:rPr>
                <w:rFonts w:cs="Calibri" w:hint="eastAsia"/>
                <w:sz w:val="17"/>
                <w:szCs w:val="17"/>
                <w:lang w:val="en-US" w:eastAsia="en-GB"/>
              </w:rPr>
              <w:t>巴基斯坦</w:t>
            </w:r>
          </w:p>
        </w:tc>
        <w:tc>
          <w:tcPr>
            <w:tcW w:w="4020" w:type="dxa"/>
            <w:shd w:val="clear" w:color="000000" w:fill="FFFFFF"/>
            <w:vAlign w:val="center"/>
            <w:hideMark/>
          </w:tcPr>
          <w:p w14:paraId="3163EEC0" w14:textId="68C826D2" w:rsidR="00442968" w:rsidRPr="00C92C03" w:rsidRDefault="00442968" w:rsidP="00442968">
            <w:pPr>
              <w:overflowPunct/>
              <w:autoSpaceDE/>
              <w:autoSpaceDN/>
              <w:adjustRightInd/>
              <w:spacing w:before="0"/>
              <w:textAlignment w:val="auto"/>
              <w:rPr>
                <w:sz w:val="16"/>
                <w:szCs w:val="16"/>
                <w:lang w:eastAsia="en-GB"/>
              </w:rPr>
            </w:pPr>
            <w:r w:rsidRPr="009121E5">
              <w:rPr>
                <w:rFonts w:cs="Calibri"/>
                <w:sz w:val="17"/>
                <w:szCs w:val="17"/>
                <w:lang w:val="en-US" w:eastAsia="en-GB"/>
              </w:rPr>
              <w:t>Paktel Limited</w:t>
            </w:r>
            <w:r w:rsidRPr="009121E5">
              <w:rPr>
                <w:rFonts w:cs="Calibri" w:hint="eastAsia"/>
                <w:sz w:val="17"/>
                <w:szCs w:val="17"/>
                <w:lang w:val="es-ES"/>
              </w:rPr>
              <w:t>，</w:t>
            </w:r>
            <w:r w:rsidRPr="009121E5">
              <w:rPr>
                <w:rFonts w:cs="Calibri" w:hint="eastAsia"/>
                <w:sz w:val="17"/>
                <w:szCs w:val="17"/>
                <w:lang w:val="en-US"/>
              </w:rPr>
              <w:t>伊斯兰堡</w:t>
            </w:r>
          </w:p>
        </w:tc>
        <w:tc>
          <w:tcPr>
            <w:tcW w:w="960" w:type="dxa"/>
            <w:shd w:val="clear" w:color="000000" w:fill="FFFFFF"/>
            <w:vAlign w:val="center"/>
            <w:hideMark/>
          </w:tcPr>
          <w:p w14:paraId="61CB1523" w14:textId="76D8269E" w:rsidR="00442968" w:rsidRPr="00C92C03" w:rsidRDefault="00442968" w:rsidP="00442968">
            <w:pPr>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2007</w:t>
            </w:r>
          </w:p>
        </w:tc>
        <w:tc>
          <w:tcPr>
            <w:tcW w:w="1080" w:type="dxa"/>
            <w:shd w:val="clear" w:color="000000" w:fill="FFFFFF"/>
            <w:vAlign w:val="center"/>
            <w:hideMark/>
          </w:tcPr>
          <w:p w14:paraId="46F6D44E" w14:textId="22CC8407"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3,975.00</w:t>
            </w:r>
          </w:p>
        </w:tc>
        <w:tc>
          <w:tcPr>
            <w:tcW w:w="1120" w:type="dxa"/>
            <w:shd w:val="clear" w:color="000000" w:fill="FFFFFF"/>
            <w:vAlign w:val="center"/>
            <w:hideMark/>
          </w:tcPr>
          <w:p w14:paraId="063B8018" w14:textId="485FB549"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4,821.40</w:t>
            </w:r>
          </w:p>
        </w:tc>
        <w:tc>
          <w:tcPr>
            <w:tcW w:w="1180" w:type="dxa"/>
            <w:shd w:val="clear" w:color="000000" w:fill="FFFFFF"/>
            <w:vAlign w:val="center"/>
            <w:hideMark/>
          </w:tcPr>
          <w:p w14:paraId="33ADBE55" w14:textId="02E2AA31"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8,796.40</w:t>
            </w:r>
          </w:p>
        </w:tc>
      </w:tr>
      <w:tr w:rsidR="00442968" w:rsidRPr="00C92C03" w14:paraId="02E25ABD" w14:textId="77777777" w:rsidTr="00B57A10">
        <w:trPr>
          <w:trHeight w:val="300"/>
        </w:trPr>
        <w:tc>
          <w:tcPr>
            <w:tcW w:w="1200" w:type="dxa"/>
            <w:shd w:val="clear" w:color="000000" w:fill="FFFFFF"/>
            <w:vAlign w:val="center"/>
            <w:hideMark/>
          </w:tcPr>
          <w:p w14:paraId="5B76445C" w14:textId="5B305D57" w:rsidR="00442968" w:rsidRPr="00C92C03" w:rsidRDefault="00442968" w:rsidP="00442968">
            <w:pPr>
              <w:overflowPunct/>
              <w:autoSpaceDE/>
              <w:autoSpaceDN/>
              <w:adjustRightInd/>
              <w:spacing w:before="0"/>
              <w:textAlignment w:val="auto"/>
              <w:rPr>
                <w:sz w:val="16"/>
                <w:szCs w:val="16"/>
                <w:lang w:eastAsia="en-GB"/>
              </w:rPr>
            </w:pPr>
            <w:r w:rsidRPr="009121E5">
              <w:rPr>
                <w:rFonts w:cs="Calibri" w:hint="eastAsia"/>
                <w:sz w:val="17"/>
                <w:szCs w:val="17"/>
                <w:lang w:val="en-US" w:eastAsia="en-GB"/>
              </w:rPr>
              <w:t>菲律宾</w:t>
            </w:r>
          </w:p>
        </w:tc>
        <w:tc>
          <w:tcPr>
            <w:tcW w:w="4020" w:type="dxa"/>
            <w:shd w:val="clear" w:color="000000" w:fill="FFFFFF"/>
            <w:vAlign w:val="center"/>
            <w:hideMark/>
          </w:tcPr>
          <w:p w14:paraId="63295310" w14:textId="7B8326F6" w:rsidR="00442968" w:rsidRPr="00C92C03" w:rsidRDefault="00442968" w:rsidP="00442968">
            <w:pPr>
              <w:overflowPunct/>
              <w:autoSpaceDE/>
              <w:autoSpaceDN/>
              <w:adjustRightInd/>
              <w:spacing w:before="0"/>
              <w:textAlignment w:val="auto"/>
              <w:rPr>
                <w:sz w:val="16"/>
                <w:szCs w:val="16"/>
                <w:lang w:eastAsia="en-GB"/>
              </w:rPr>
            </w:pPr>
            <w:r w:rsidRPr="009121E5">
              <w:rPr>
                <w:rFonts w:cs="Calibri"/>
                <w:sz w:val="17"/>
                <w:szCs w:val="17"/>
                <w:lang w:val="en-US" w:eastAsia="en-GB"/>
              </w:rPr>
              <w:t>PhilCom</w:t>
            </w:r>
            <w:r w:rsidRPr="009121E5">
              <w:rPr>
                <w:rFonts w:cs="Calibri" w:hint="eastAsia"/>
                <w:sz w:val="17"/>
                <w:szCs w:val="17"/>
                <w:lang w:val="es-ES"/>
              </w:rPr>
              <w:t>，</w:t>
            </w:r>
            <w:r w:rsidRPr="009121E5">
              <w:rPr>
                <w:rFonts w:cs="Calibri" w:hint="eastAsia"/>
                <w:sz w:val="17"/>
                <w:szCs w:val="17"/>
                <w:lang w:val="en-US" w:eastAsia="en-GB"/>
              </w:rPr>
              <w:t>马卡蒂市</w:t>
            </w:r>
          </w:p>
        </w:tc>
        <w:tc>
          <w:tcPr>
            <w:tcW w:w="960" w:type="dxa"/>
            <w:shd w:val="clear" w:color="000000" w:fill="FFFFFF"/>
            <w:vAlign w:val="center"/>
            <w:hideMark/>
          </w:tcPr>
          <w:p w14:paraId="43647E41" w14:textId="0B4B43D2" w:rsidR="00442968" w:rsidRPr="00C92C03" w:rsidRDefault="00442968" w:rsidP="00442968">
            <w:pPr>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2007-2009</w:t>
            </w:r>
          </w:p>
        </w:tc>
        <w:tc>
          <w:tcPr>
            <w:tcW w:w="1080" w:type="dxa"/>
            <w:shd w:val="clear" w:color="000000" w:fill="FFFFFF"/>
            <w:vAlign w:val="center"/>
            <w:hideMark/>
          </w:tcPr>
          <w:p w14:paraId="014C5D9B" w14:textId="776DC51C"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3,975.00</w:t>
            </w:r>
          </w:p>
        </w:tc>
        <w:tc>
          <w:tcPr>
            <w:tcW w:w="1120" w:type="dxa"/>
            <w:shd w:val="clear" w:color="000000" w:fill="FFFFFF"/>
            <w:vAlign w:val="center"/>
            <w:hideMark/>
          </w:tcPr>
          <w:p w14:paraId="69AFBC8D" w14:textId="463964B6"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3,977.65</w:t>
            </w:r>
          </w:p>
        </w:tc>
        <w:tc>
          <w:tcPr>
            <w:tcW w:w="1180" w:type="dxa"/>
            <w:shd w:val="clear" w:color="000000" w:fill="FFFFFF"/>
            <w:vAlign w:val="center"/>
            <w:hideMark/>
          </w:tcPr>
          <w:p w14:paraId="15E164BD" w14:textId="0B50AF08"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7,952.65</w:t>
            </w:r>
          </w:p>
        </w:tc>
      </w:tr>
      <w:tr w:rsidR="00442968" w:rsidRPr="00C92C03" w14:paraId="68320CF1" w14:textId="77777777" w:rsidTr="00B57A10">
        <w:trPr>
          <w:trHeight w:val="300"/>
        </w:trPr>
        <w:tc>
          <w:tcPr>
            <w:tcW w:w="1200" w:type="dxa"/>
            <w:shd w:val="clear" w:color="000000" w:fill="FFFFFF"/>
            <w:vAlign w:val="center"/>
            <w:hideMark/>
          </w:tcPr>
          <w:p w14:paraId="40BFC15A" w14:textId="06707867" w:rsidR="00442968" w:rsidRPr="00C92C03" w:rsidRDefault="00442968" w:rsidP="00442968">
            <w:pPr>
              <w:keepNext/>
              <w:keepLines/>
              <w:overflowPunct/>
              <w:autoSpaceDE/>
              <w:autoSpaceDN/>
              <w:adjustRightInd/>
              <w:spacing w:before="0"/>
              <w:textAlignment w:val="auto"/>
              <w:rPr>
                <w:sz w:val="16"/>
                <w:szCs w:val="16"/>
                <w:lang w:eastAsia="en-GB"/>
              </w:rPr>
            </w:pPr>
            <w:r w:rsidRPr="009121E5">
              <w:rPr>
                <w:rFonts w:cs="Calibri" w:hint="eastAsia"/>
                <w:sz w:val="17"/>
                <w:szCs w:val="17"/>
                <w:lang w:val="en-US" w:eastAsia="en-GB"/>
              </w:rPr>
              <w:lastRenderedPageBreak/>
              <w:t>罗马尼亚</w:t>
            </w:r>
          </w:p>
        </w:tc>
        <w:tc>
          <w:tcPr>
            <w:tcW w:w="4020" w:type="dxa"/>
            <w:shd w:val="clear" w:color="000000" w:fill="FFFFFF"/>
            <w:vAlign w:val="center"/>
            <w:hideMark/>
          </w:tcPr>
          <w:p w14:paraId="1769787C" w14:textId="4159895A" w:rsidR="00442968" w:rsidRPr="00C92C03" w:rsidRDefault="00442968" w:rsidP="00442968">
            <w:pPr>
              <w:keepNext/>
              <w:keepLines/>
              <w:overflowPunct/>
              <w:autoSpaceDE/>
              <w:autoSpaceDN/>
              <w:adjustRightInd/>
              <w:spacing w:before="0"/>
              <w:textAlignment w:val="auto"/>
              <w:rPr>
                <w:sz w:val="16"/>
                <w:szCs w:val="16"/>
                <w:lang w:eastAsia="zh-CN"/>
              </w:rPr>
            </w:pPr>
            <w:r w:rsidRPr="009121E5">
              <w:rPr>
                <w:rFonts w:cs="Calibri" w:hint="eastAsia"/>
                <w:sz w:val="17"/>
                <w:szCs w:val="17"/>
                <w:lang w:val="en-US" w:eastAsia="zh-CN"/>
              </w:rPr>
              <w:t>布加勒斯特协会理工学院，布加勒斯特</w:t>
            </w:r>
          </w:p>
        </w:tc>
        <w:tc>
          <w:tcPr>
            <w:tcW w:w="960" w:type="dxa"/>
            <w:shd w:val="clear" w:color="000000" w:fill="FFFFFF"/>
            <w:vAlign w:val="center"/>
            <w:hideMark/>
          </w:tcPr>
          <w:p w14:paraId="443FEEE9" w14:textId="7F5DAC1E" w:rsidR="00442968" w:rsidRPr="00C92C03" w:rsidRDefault="00442968" w:rsidP="00442968">
            <w:pPr>
              <w:keepNext/>
              <w:keepLines/>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2009-2010</w:t>
            </w:r>
          </w:p>
        </w:tc>
        <w:tc>
          <w:tcPr>
            <w:tcW w:w="1080" w:type="dxa"/>
            <w:shd w:val="clear" w:color="000000" w:fill="FFFFFF"/>
            <w:vAlign w:val="center"/>
            <w:hideMark/>
          </w:tcPr>
          <w:p w14:paraId="63BD2D85" w14:textId="02B769B0" w:rsidR="00442968" w:rsidRPr="00C92C03" w:rsidRDefault="00442968" w:rsidP="00442968">
            <w:pPr>
              <w:keepNext/>
              <w:keepLines/>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3,975.00</w:t>
            </w:r>
          </w:p>
        </w:tc>
        <w:tc>
          <w:tcPr>
            <w:tcW w:w="1120" w:type="dxa"/>
            <w:shd w:val="clear" w:color="000000" w:fill="FFFFFF"/>
            <w:vAlign w:val="center"/>
            <w:hideMark/>
          </w:tcPr>
          <w:p w14:paraId="6B882F17" w14:textId="23F24B5A" w:rsidR="00442968" w:rsidRPr="00C92C03" w:rsidRDefault="00442968" w:rsidP="00442968">
            <w:pPr>
              <w:keepNext/>
              <w:keepLines/>
              <w:overflowPunct/>
              <w:autoSpaceDE/>
              <w:autoSpaceDN/>
              <w:adjustRightInd/>
              <w:spacing w:before="0"/>
              <w:jc w:val="right"/>
              <w:textAlignment w:val="auto"/>
              <w:rPr>
                <w:sz w:val="16"/>
                <w:szCs w:val="16"/>
                <w:lang w:eastAsia="en-GB"/>
              </w:rPr>
            </w:pPr>
            <w:r w:rsidRPr="009121E5">
              <w:rPr>
                <w:rFonts w:cs="Calibri"/>
                <w:sz w:val="17"/>
                <w:szCs w:val="17"/>
                <w:lang w:val="en-US" w:eastAsia="en-GB"/>
              </w:rPr>
              <w:t>3,503.90</w:t>
            </w:r>
          </w:p>
        </w:tc>
        <w:tc>
          <w:tcPr>
            <w:tcW w:w="1180" w:type="dxa"/>
            <w:shd w:val="clear" w:color="000000" w:fill="FFFFFF"/>
            <w:vAlign w:val="center"/>
            <w:hideMark/>
          </w:tcPr>
          <w:p w14:paraId="62837526" w14:textId="69101D19" w:rsidR="00442968" w:rsidRPr="00C92C03" w:rsidRDefault="00442968" w:rsidP="00442968">
            <w:pPr>
              <w:keepNext/>
              <w:keepLines/>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7,478.90</w:t>
            </w:r>
          </w:p>
        </w:tc>
      </w:tr>
      <w:tr w:rsidR="00442968" w:rsidRPr="00C92C03" w14:paraId="43B0D5A2" w14:textId="77777777" w:rsidTr="00B57A10">
        <w:trPr>
          <w:trHeight w:val="450"/>
        </w:trPr>
        <w:tc>
          <w:tcPr>
            <w:tcW w:w="1200" w:type="dxa"/>
            <w:shd w:val="clear" w:color="000000" w:fill="FFFFFF"/>
            <w:vAlign w:val="center"/>
            <w:hideMark/>
          </w:tcPr>
          <w:p w14:paraId="63276718" w14:textId="714F38EF" w:rsidR="00442968" w:rsidRPr="00C92C03" w:rsidRDefault="00442968" w:rsidP="00442968">
            <w:pPr>
              <w:keepNext/>
              <w:keepLines/>
              <w:overflowPunct/>
              <w:autoSpaceDE/>
              <w:autoSpaceDN/>
              <w:adjustRightInd/>
              <w:spacing w:before="0"/>
              <w:textAlignment w:val="auto"/>
              <w:rPr>
                <w:sz w:val="16"/>
                <w:szCs w:val="16"/>
                <w:lang w:eastAsia="en-GB"/>
              </w:rPr>
            </w:pPr>
            <w:r w:rsidRPr="009121E5">
              <w:rPr>
                <w:rFonts w:cs="Calibri" w:hint="eastAsia"/>
                <w:sz w:val="17"/>
                <w:szCs w:val="17"/>
                <w:lang w:val="en-US" w:eastAsia="en-GB"/>
              </w:rPr>
              <w:t>俄罗斯联邦</w:t>
            </w:r>
          </w:p>
        </w:tc>
        <w:tc>
          <w:tcPr>
            <w:tcW w:w="4020" w:type="dxa"/>
            <w:shd w:val="clear" w:color="000000" w:fill="FFFFFF"/>
            <w:vAlign w:val="center"/>
            <w:hideMark/>
          </w:tcPr>
          <w:p w14:paraId="79AAF2FC" w14:textId="71F3F5FC" w:rsidR="00442968" w:rsidRPr="00C92C03" w:rsidRDefault="00442968" w:rsidP="00442968">
            <w:pPr>
              <w:keepNext/>
              <w:keepLines/>
              <w:overflowPunct/>
              <w:autoSpaceDE/>
              <w:autoSpaceDN/>
              <w:adjustRightInd/>
              <w:spacing w:before="0"/>
              <w:textAlignment w:val="auto"/>
              <w:rPr>
                <w:sz w:val="16"/>
                <w:szCs w:val="16"/>
                <w:lang w:eastAsia="zh-CN"/>
              </w:rPr>
            </w:pPr>
            <w:r w:rsidRPr="009121E5">
              <w:rPr>
                <w:rFonts w:cs="Calibri"/>
                <w:sz w:val="17"/>
                <w:szCs w:val="17"/>
                <w:lang w:val="en-US" w:eastAsia="zh-CN"/>
              </w:rPr>
              <w:t>JSC</w:t>
            </w:r>
            <w:r w:rsidRPr="009121E5">
              <w:rPr>
                <w:rFonts w:cs="Calibri" w:hint="eastAsia"/>
                <w:sz w:val="17"/>
                <w:szCs w:val="17"/>
                <w:lang w:val="en-US" w:eastAsia="zh-CN"/>
              </w:rPr>
              <w:t>国家远程医疗机构，莫斯科</w:t>
            </w:r>
          </w:p>
        </w:tc>
        <w:tc>
          <w:tcPr>
            <w:tcW w:w="960" w:type="dxa"/>
            <w:shd w:val="clear" w:color="000000" w:fill="FFFFFF"/>
            <w:vAlign w:val="center"/>
            <w:hideMark/>
          </w:tcPr>
          <w:p w14:paraId="2E38A3A3" w14:textId="60D41B4B" w:rsidR="00442968" w:rsidRPr="00C92C03" w:rsidRDefault="00442968" w:rsidP="00442968">
            <w:pPr>
              <w:keepNext/>
              <w:keepLines/>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2012</w:t>
            </w:r>
          </w:p>
        </w:tc>
        <w:tc>
          <w:tcPr>
            <w:tcW w:w="1080" w:type="dxa"/>
            <w:shd w:val="clear" w:color="000000" w:fill="FFFFFF"/>
            <w:vAlign w:val="center"/>
            <w:hideMark/>
          </w:tcPr>
          <w:p w14:paraId="4DEA61E1" w14:textId="49A44C4F" w:rsidR="00442968" w:rsidRPr="00C92C03" w:rsidRDefault="00442968" w:rsidP="00442968">
            <w:pPr>
              <w:keepNext/>
              <w:keepLines/>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2,981.25</w:t>
            </w:r>
          </w:p>
        </w:tc>
        <w:tc>
          <w:tcPr>
            <w:tcW w:w="1120" w:type="dxa"/>
            <w:shd w:val="clear" w:color="000000" w:fill="FFFFFF"/>
            <w:vAlign w:val="center"/>
            <w:hideMark/>
          </w:tcPr>
          <w:p w14:paraId="33B9E163" w14:textId="725A5903" w:rsidR="00442968" w:rsidRPr="00C92C03" w:rsidRDefault="00442968" w:rsidP="00442968">
            <w:pPr>
              <w:keepNext/>
              <w:keepLines/>
              <w:overflowPunct/>
              <w:autoSpaceDE/>
              <w:autoSpaceDN/>
              <w:adjustRightInd/>
              <w:spacing w:before="0"/>
              <w:jc w:val="right"/>
              <w:textAlignment w:val="auto"/>
              <w:rPr>
                <w:sz w:val="16"/>
                <w:szCs w:val="16"/>
                <w:lang w:eastAsia="en-GB"/>
              </w:rPr>
            </w:pPr>
            <w:r w:rsidRPr="009121E5">
              <w:rPr>
                <w:rFonts w:cs="Calibri"/>
                <w:sz w:val="17"/>
                <w:szCs w:val="17"/>
                <w:lang w:val="en-US" w:eastAsia="en-GB"/>
              </w:rPr>
              <w:t>1,948.60</w:t>
            </w:r>
          </w:p>
        </w:tc>
        <w:tc>
          <w:tcPr>
            <w:tcW w:w="1180" w:type="dxa"/>
            <w:shd w:val="clear" w:color="000000" w:fill="FFFFFF"/>
            <w:vAlign w:val="center"/>
            <w:hideMark/>
          </w:tcPr>
          <w:p w14:paraId="7D0854F9" w14:textId="5238D0FD" w:rsidR="00442968" w:rsidRPr="00C92C03" w:rsidRDefault="00442968" w:rsidP="00442968">
            <w:pPr>
              <w:keepNext/>
              <w:keepLines/>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4,929.85</w:t>
            </w:r>
          </w:p>
        </w:tc>
      </w:tr>
      <w:tr w:rsidR="00442968" w:rsidRPr="00C92C03" w14:paraId="3B9F3D02" w14:textId="77777777" w:rsidTr="00B57A10">
        <w:trPr>
          <w:trHeight w:val="300"/>
        </w:trPr>
        <w:tc>
          <w:tcPr>
            <w:tcW w:w="1200" w:type="dxa"/>
            <w:shd w:val="clear" w:color="000000" w:fill="FFFFFF"/>
            <w:vAlign w:val="center"/>
            <w:hideMark/>
          </w:tcPr>
          <w:p w14:paraId="72008762" w14:textId="37754A61" w:rsidR="00442968" w:rsidRPr="00C92C03" w:rsidRDefault="00442968" w:rsidP="00442968">
            <w:pPr>
              <w:keepNext/>
              <w:keepLines/>
              <w:overflowPunct/>
              <w:autoSpaceDE/>
              <w:autoSpaceDN/>
              <w:adjustRightInd/>
              <w:spacing w:before="0"/>
              <w:textAlignment w:val="auto"/>
              <w:rPr>
                <w:sz w:val="16"/>
                <w:szCs w:val="16"/>
                <w:lang w:eastAsia="en-GB"/>
              </w:rPr>
            </w:pPr>
            <w:r w:rsidRPr="009121E5">
              <w:rPr>
                <w:rFonts w:cs="Calibri" w:hint="eastAsia"/>
                <w:sz w:val="17"/>
                <w:szCs w:val="17"/>
                <w:lang w:val="en-US" w:eastAsia="en-GB"/>
              </w:rPr>
              <w:t>索马里</w:t>
            </w:r>
          </w:p>
        </w:tc>
        <w:tc>
          <w:tcPr>
            <w:tcW w:w="4020" w:type="dxa"/>
            <w:shd w:val="clear" w:color="000000" w:fill="FFFFFF"/>
            <w:vAlign w:val="center"/>
            <w:hideMark/>
          </w:tcPr>
          <w:p w14:paraId="1956AB26" w14:textId="599F6DC7" w:rsidR="00442968" w:rsidRPr="00C92C03" w:rsidRDefault="00442968" w:rsidP="00442968">
            <w:pPr>
              <w:keepNext/>
              <w:keepLines/>
              <w:overflowPunct/>
              <w:autoSpaceDE/>
              <w:autoSpaceDN/>
              <w:adjustRightInd/>
              <w:spacing w:before="0"/>
              <w:textAlignment w:val="auto"/>
              <w:rPr>
                <w:sz w:val="16"/>
                <w:szCs w:val="16"/>
                <w:lang w:eastAsia="zh-CN"/>
              </w:rPr>
            </w:pPr>
            <w:r w:rsidRPr="009121E5">
              <w:rPr>
                <w:rFonts w:cs="Calibri" w:hint="eastAsia"/>
                <w:sz w:val="17"/>
                <w:szCs w:val="17"/>
                <w:lang w:val="en-US" w:eastAsia="zh-CN"/>
              </w:rPr>
              <w:t>索马里电信公司，摩加迪沙</w:t>
            </w:r>
          </w:p>
        </w:tc>
        <w:tc>
          <w:tcPr>
            <w:tcW w:w="960" w:type="dxa"/>
            <w:shd w:val="clear" w:color="000000" w:fill="FFFFFF"/>
            <w:vAlign w:val="center"/>
            <w:hideMark/>
          </w:tcPr>
          <w:p w14:paraId="2CF07DB0" w14:textId="36130041" w:rsidR="00442968" w:rsidRPr="00C92C03" w:rsidRDefault="00442968" w:rsidP="00442968">
            <w:pPr>
              <w:keepNext/>
              <w:keepLines/>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2005-2007</w:t>
            </w:r>
          </w:p>
        </w:tc>
        <w:tc>
          <w:tcPr>
            <w:tcW w:w="1080" w:type="dxa"/>
            <w:shd w:val="clear" w:color="000000" w:fill="FFFFFF"/>
            <w:vAlign w:val="center"/>
            <w:hideMark/>
          </w:tcPr>
          <w:p w14:paraId="21129B36" w14:textId="473AFF3D" w:rsidR="00442968" w:rsidRPr="00C92C03" w:rsidRDefault="00442968" w:rsidP="00442968">
            <w:pPr>
              <w:keepNext/>
              <w:keepLines/>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8,278.10</w:t>
            </w:r>
          </w:p>
        </w:tc>
        <w:tc>
          <w:tcPr>
            <w:tcW w:w="1120" w:type="dxa"/>
            <w:shd w:val="clear" w:color="000000" w:fill="FFFFFF"/>
            <w:vAlign w:val="center"/>
            <w:hideMark/>
          </w:tcPr>
          <w:p w14:paraId="61D92B06" w14:textId="7034071D" w:rsidR="00442968" w:rsidRPr="00C92C03" w:rsidRDefault="00442968" w:rsidP="00442968">
            <w:pPr>
              <w:keepNext/>
              <w:keepLines/>
              <w:overflowPunct/>
              <w:autoSpaceDE/>
              <w:autoSpaceDN/>
              <w:adjustRightInd/>
              <w:spacing w:before="0"/>
              <w:jc w:val="right"/>
              <w:textAlignment w:val="auto"/>
              <w:rPr>
                <w:sz w:val="16"/>
                <w:szCs w:val="16"/>
                <w:lang w:eastAsia="en-GB"/>
              </w:rPr>
            </w:pPr>
            <w:r w:rsidRPr="009121E5">
              <w:rPr>
                <w:rFonts w:cs="Calibri"/>
                <w:sz w:val="17"/>
                <w:szCs w:val="17"/>
                <w:lang w:val="en-US" w:eastAsia="en-GB"/>
              </w:rPr>
              <w:t>10,542.20</w:t>
            </w:r>
          </w:p>
        </w:tc>
        <w:tc>
          <w:tcPr>
            <w:tcW w:w="1180" w:type="dxa"/>
            <w:shd w:val="clear" w:color="000000" w:fill="FFFFFF"/>
            <w:vAlign w:val="center"/>
            <w:hideMark/>
          </w:tcPr>
          <w:p w14:paraId="63547F29" w14:textId="3A772A47" w:rsidR="00442968" w:rsidRPr="00C92C03" w:rsidRDefault="00442968" w:rsidP="00442968">
            <w:pPr>
              <w:keepNext/>
              <w:keepLines/>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18,820.30</w:t>
            </w:r>
          </w:p>
        </w:tc>
      </w:tr>
      <w:tr w:rsidR="00442968" w:rsidRPr="00C92C03" w14:paraId="0DB69595" w14:textId="77777777" w:rsidTr="00B57A10">
        <w:trPr>
          <w:trHeight w:val="300"/>
        </w:trPr>
        <w:tc>
          <w:tcPr>
            <w:tcW w:w="1200" w:type="dxa"/>
            <w:shd w:val="clear" w:color="000000" w:fill="FFFFFF"/>
            <w:vAlign w:val="center"/>
            <w:hideMark/>
          </w:tcPr>
          <w:p w14:paraId="66F44BE4" w14:textId="26B39CB0" w:rsidR="00442968" w:rsidRPr="00C92C03" w:rsidRDefault="00442968" w:rsidP="00442968">
            <w:pPr>
              <w:keepNext/>
              <w:keepLines/>
              <w:overflowPunct/>
              <w:autoSpaceDE/>
              <w:autoSpaceDN/>
              <w:adjustRightInd/>
              <w:spacing w:before="0"/>
              <w:textAlignment w:val="auto"/>
              <w:rPr>
                <w:sz w:val="16"/>
                <w:szCs w:val="16"/>
                <w:lang w:eastAsia="en-GB"/>
              </w:rPr>
            </w:pPr>
            <w:r w:rsidRPr="009121E5">
              <w:rPr>
                <w:rFonts w:cs="Calibri" w:hint="eastAsia"/>
                <w:sz w:val="17"/>
                <w:szCs w:val="17"/>
                <w:lang w:val="en-US" w:eastAsia="en-GB"/>
              </w:rPr>
              <w:t>南非</w:t>
            </w:r>
          </w:p>
        </w:tc>
        <w:tc>
          <w:tcPr>
            <w:tcW w:w="4020" w:type="dxa"/>
            <w:shd w:val="clear" w:color="000000" w:fill="FFFFFF"/>
            <w:vAlign w:val="center"/>
            <w:hideMark/>
          </w:tcPr>
          <w:p w14:paraId="451065AF" w14:textId="2BCFB7F1" w:rsidR="00442968" w:rsidRPr="00C92C03" w:rsidRDefault="00442968" w:rsidP="00442968">
            <w:pPr>
              <w:keepNext/>
              <w:keepLines/>
              <w:overflowPunct/>
              <w:autoSpaceDE/>
              <w:autoSpaceDN/>
              <w:adjustRightInd/>
              <w:spacing w:before="0"/>
              <w:textAlignment w:val="auto"/>
              <w:rPr>
                <w:sz w:val="16"/>
                <w:szCs w:val="16"/>
                <w:lang w:eastAsia="en-GB"/>
              </w:rPr>
            </w:pPr>
            <w:r w:rsidRPr="009121E5">
              <w:rPr>
                <w:rFonts w:cs="Calibri"/>
                <w:sz w:val="17"/>
                <w:szCs w:val="17"/>
                <w:lang w:val="en-US" w:eastAsia="en-GB"/>
              </w:rPr>
              <w:t xml:space="preserve">Cell C (Pty) </w:t>
            </w:r>
            <w:r w:rsidRPr="009121E5">
              <w:rPr>
                <w:rFonts w:cs="Calibri" w:hint="eastAsia"/>
                <w:sz w:val="17"/>
                <w:szCs w:val="17"/>
                <w:lang w:val="en-US"/>
              </w:rPr>
              <w:t>有限公司，本莫尔</w:t>
            </w:r>
          </w:p>
        </w:tc>
        <w:tc>
          <w:tcPr>
            <w:tcW w:w="960" w:type="dxa"/>
            <w:shd w:val="clear" w:color="000000" w:fill="FFFFFF"/>
            <w:vAlign w:val="center"/>
            <w:hideMark/>
          </w:tcPr>
          <w:p w14:paraId="2119CE15" w14:textId="06A4FBD4" w:rsidR="00442968" w:rsidRPr="00C92C03" w:rsidRDefault="00442968" w:rsidP="00442968">
            <w:pPr>
              <w:keepNext/>
              <w:keepLines/>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2004-2207</w:t>
            </w:r>
          </w:p>
        </w:tc>
        <w:tc>
          <w:tcPr>
            <w:tcW w:w="1080" w:type="dxa"/>
            <w:shd w:val="clear" w:color="000000" w:fill="FFFFFF"/>
            <w:vAlign w:val="center"/>
            <w:hideMark/>
          </w:tcPr>
          <w:p w14:paraId="7603B77E" w14:textId="5C76CF63" w:rsidR="00442968" w:rsidRPr="00C92C03" w:rsidRDefault="00442968" w:rsidP="00442968">
            <w:pPr>
              <w:keepNext/>
              <w:keepLines/>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245,475.00</w:t>
            </w:r>
          </w:p>
        </w:tc>
        <w:tc>
          <w:tcPr>
            <w:tcW w:w="1120" w:type="dxa"/>
            <w:shd w:val="clear" w:color="000000" w:fill="FFFFFF"/>
            <w:vAlign w:val="center"/>
            <w:hideMark/>
          </w:tcPr>
          <w:p w14:paraId="07A36200" w14:textId="51A8FD80" w:rsidR="00442968" w:rsidRPr="00C92C03" w:rsidRDefault="00442968" w:rsidP="00442968">
            <w:pPr>
              <w:keepNext/>
              <w:keepLines/>
              <w:overflowPunct/>
              <w:autoSpaceDE/>
              <w:autoSpaceDN/>
              <w:adjustRightInd/>
              <w:spacing w:before="0"/>
              <w:jc w:val="right"/>
              <w:textAlignment w:val="auto"/>
              <w:rPr>
                <w:sz w:val="16"/>
                <w:szCs w:val="16"/>
                <w:lang w:eastAsia="en-GB"/>
              </w:rPr>
            </w:pPr>
            <w:r w:rsidRPr="009121E5">
              <w:rPr>
                <w:rFonts w:cs="Calibri"/>
                <w:sz w:val="17"/>
                <w:szCs w:val="17"/>
                <w:lang w:val="en-US" w:eastAsia="en-GB"/>
              </w:rPr>
              <w:t>340,079.00</w:t>
            </w:r>
          </w:p>
        </w:tc>
        <w:tc>
          <w:tcPr>
            <w:tcW w:w="1180" w:type="dxa"/>
            <w:shd w:val="clear" w:color="000000" w:fill="FFFFFF"/>
            <w:vAlign w:val="center"/>
            <w:hideMark/>
          </w:tcPr>
          <w:p w14:paraId="21F34BFB" w14:textId="5CD14C57" w:rsidR="00442968" w:rsidRPr="00C92C03" w:rsidRDefault="00442968" w:rsidP="00442968">
            <w:pPr>
              <w:keepNext/>
              <w:keepLines/>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585,554.00</w:t>
            </w:r>
          </w:p>
        </w:tc>
      </w:tr>
      <w:tr w:rsidR="00442968" w:rsidRPr="00C92C03" w14:paraId="5F985A10" w14:textId="77777777" w:rsidTr="00B57A10">
        <w:trPr>
          <w:trHeight w:val="450"/>
        </w:trPr>
        <w:tc>
          <w:tcPr>
            <w:tcW w:w="1200" w:type="dxa"/>
            <w:shd w:val="clear" w:color="000000" w:fill="FFFFFF"/>
            <w:vAlign w:val="center"/>
            <w:hideMark/>
          </w:tcPr>
          <w:p w14:paraId="30952DDA" w14:textId="692B9618" w:rsidR="00442968" w:rsidRPr="00C92C03" w:rsidRDefault="00442968" w:rsidP="00442968">
            <w:pPr>
              <w:overflowPunct/>
              <w:autoSpaceDE/>
              <w:autoSpaceDN/>
              <w:adjustRightInd/>
              <w:spacing w:before="0"/>
              <w:textAlignment w:val="auto"/>
              <w:rPr>
                <w:sz w:val="16"/>
                <w:szCs w:val="16"/>
                <w:lang w:eastAsia="en-GB"/>
              </w:rPr>
            </w:pPr>
            <w:r w:rsidRPr="009121E5">
              <w:rPr>
                <w:rFonts w:cs="Calibri" w:hint="eastAsia"/>
                <w:sz w:val="17"/>
                <w:szCs w:val="17"/>
                <w:lang w:val="en-US"/>
              </w:rPr>
              <w:t>瑞士</w:t>
            </w:r>
          </w:p>
        </w:tc>
        <w:tc>
          <w:tcPr>
            <w:tcW w:w="4020" w:type="dxa"/>
            <w:shd w:val="clear" w:color="000000" w:fill="FFFFFF"/>
            <w:vAlign w:val="center"/>
            <w:hideMark/>
          </w:tcPr>
          <w:p w14:paraId="660CCAED" w14:textId="109EBA58" w:rsidR="00442968" w:rsidRPr="00C92C03" w:rsidRDefault="00442968" w:rsidP="00442968">
            <w:pPr>
              <w:overflowPunct/>
              <w:autoSpaceDE/>
              <w:autoSpaceDN/>
              <w:adjustRightInd/>
              <w:spacing w:before="0"/>
              <w:textAlignment w:val="auto"/>
              <w:rPr>
                <w:sz w:val="16"/>
                <w:szCs w:val="16"/>
                <w:lang w:eastAsia="en-GB"/>
              </w:rPr>
            </w:pPr>
            <w:r w:rsidRPr="009121E5">
              <w:rPr>
                <w:rFonts w:cs="Calibri"/>
                <w:sz w:val="17"/>
                <w:szCs w:val="17"/>
                <w:lang w:val="en-US" w:eastAsia="en-GB"/>
              </w:rPr>
              <w:t>Infovista SAS</w:t>
            </w:r>
            <w:r w:rsidRPr="009121E5">
              <w:rPr>
                <w:rFonts w:cs="Calibri" w:hint="eastAsia"/>
                <w:sz w:val="17"/>
                <w:szCs w:val="17"/>
                <w:lang w:val="en-US"/>
              </w:rPr>
              <w:t>（前</w:t>
            </w:r>
            <w:r w:rsidRPr="009121E5">
              <w:rPr>
                <w:rFonts w:cs="Calibri"/>
                <w:sz w:val="17"/>
                <w:szCs w:val="17"/>
                <w:lang w:val="en-US"/>
              </w:rPr>
              <w:t>Ascom</w:t>
            </w:r>
            <w:r w:rsidRPr="009121E5">
              <w:rPr>
                <w:rFonts w:cs="Calibri" w:hint="eastAsia"/>
                <w:sz w:val="17"/>
                <w:szCs w:val="17"/>
                <w:lang w:val="en-US"/>
              </w:rPr>
              <w:t>网络测试公司，</w:t>
            </w:r>
            <w:r w:rsidRPr="009121E5">
              <w:rPr>
                <w:rFonts w:cs="Calibri" w:hint="eastAsia"/>
                <w:color w:val="333333"/>
                <w:sz w:val="17"/>
                <w:szCs w:val="17"/>
                <w:shd w:val="clear" w:color="auto" w:fill="FFFFFF"/>
                <w:lang w:val="en-US"/>
              </w:rPr>
              <w:t>索洛图恩）</w:t>
            </w:r>
          </w:p>
        </w:tc>
        <w:tc>
          <w:tcPr>
            <w:tcW w:w="960" w:type="dxa"/>
            <w:shd w:val="clear" w:color="000000" w:fill="FFFFFF"/>
            <w:vAlign w:val="center"/>
            <w:hideMark/>
          </w:tcPr>
          <w:p w14:paraId="13D1D1EC" w14:textId="4B9CB9EF" w:rsidR="00442968" w:rsidRPr="00C92C03" w:rsidRDefault="00442968" w:rsidP="00442968">
            <w:pPr>
              <w:overflowPunct/>
              <w:autoSpaceDE/>
              <w:autoSpaceDN/>
              <w:adjustRightInd/>
              <w:spacing w:before="0"/>
              <w:jc w:val="center"/>
              <w:textAlignment w:val="auto"/>
              <w:rPr>
                <w:sz w:val="16"/>
                <w:szCs w:val="16"/>
                <w:lang w:eastAsia="en-GB"/>
              </w:rPr>
            </w:pPr>
            <w:r w:rsidRPr="009121E5">
              <w:rPr>
                <w:rFonts w:cs="Calibri"/>
                <w:sz w:val="17"/>
                <w:szCs w:val="17"/>
                <w:lang w:val="en-US"/>
              </w:rPr>
              <w:t>2018</w:t>
            </w:r>
          </w:p>
        </w:tc>
        <w:tc>
          <w:tcPr>
            <w:tcW w:w="1080" w:type="dxa"/>
            <w:shd w:val="clear" w:color="000000" w:fill="FFFFFF"/>
            <w:vAlign w:val="center"/>
            <w:hideMark/>
          </w:tcPr>
          <w:p w14:paraId="736F0CD1" w14:textId="4D9E5AD8"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eastAsia="Times New Roman" w:cs="Calibri"/>
                <w:sz w:val="17"/>
                <w:szCs w:val="17"/>
                <w:lang w:val="en-US" w:eastAsia="en-GB"/>
              </w:rPr>
              <w:t>10,600.00</w:t>
            </w:r>
          </w:p>
        </w:tc>
        <w:tc>
          <w:tcPr>
            <w:tcW w:w="1120" w:type="dxa"/>
            <w:shd w:val="clear" w:color="000000" w:fill="FFFFFF"/>
            <w:vAlign w:val="center"/>
            <w:hideMark/>
          </w:tcPr>
          <w:p w14:paraId="064BB613" w14:textId="32575675"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1,057.35</w:t>
            </w:r>
          </w:p>
        </w:tc>
        <w:tc>
          <w:tcPr>
            <w:tcW w:w="1180" w:type="dxa"/>
            <w:shd w:val="clear" w:color="000000" w:fill="FFFFFF"/>
            <w:vAlign w:val="center"/>
            <w:hideMark/>
          </w:tcPr>
          <w:p w14:paraId="2194AC07" w14:textId="1F8FC65F"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eastAsia="Times New Roman" w:cs="Calibri"/>
                <w:sz w:val="17"/>
                <w:szCs w:val="17"/>
                <w:lang w:val="en-US" w:eastAsia="en-GB"/>
              </w:rPr>
              <w:t>11,657.35</w:t>
            </w:r>
          </w:p>
        </w:tc>
      </w:tr>
      <w:tr w:rsidR="00442968" w:rsidRPr="00C92C03" w14:paraId="1FB4AA18" w14:textId="77777777" w:rsidTr="00B57A10">
        <w:trPr>
          <w:trHeight w:val="450"/>
        </w:trPr>
        <w:tc>
          <w:tcPr>
            <w:tcW w:w="1200" w:type="dxa"/>
            <w:shd w:val="clear" w:color="000000" w:fill="FFFFFF"/>
            <w:vAlign w:val="center"/>
            <w:hideMark/>
          </w:tcPr>
          <w:p w14:paraId="72C409A0" w14:textId="1D6023BC" w:rsidR="00442968" w:rsidRPr="00C92C03" w:rsidRDefault="00442968" w:rsidP="00442968">
            <w:pPr>
              <w:overflowPunct/>
              <w:autoSpaceDE/>
              <w:autoSpaceDN/>
              <w:adjustRightInd/>
              <w:spacing w:before="0"/>
              <w:textAlignment w:val="auto"/>
              <w:rPr>
                <w:sz w:val="16"/>
                <w:szCs w:val="16"/>
                <w:lang w:eastAsia="en-GB"/>
              </w:rPr>
            </w:pPr>
            <w:r w:rsidRPr="009121E5">
              <w:rPr>
                <w:rFonts w:cs="Calibri" w:hint="eastAsia"/>
                <w:sz w:val="17"/>
                <w:szCs w:val="17"/>
                <w:lang w:val="en-US" w:eastAsia="en-GB"/>
              </w:rPr>
              <w:t>阿拉伯叙利亚共和国</w:t>
            </w:r>
          </w:p>
        </w:tc>
        <w:tc>
          <w:tcPr>
            <w:tcW w:w="4020" w:type="dxa"/>
            <w:shd w:val="clear" w:color="000000" w:fill="FFFFFF"/>
            <w:vAlign w:val="center"/>
            <w:hideMark/>
          </w:tcPr>
          <w:p w14:paraId="65B23BF4" w14:textId="357ACD0C" w:rsidR="00442968" w:rsidRPr="00C92C03" w:rsidRDefault="00442968" w:rsidP="00442968">
            <w:pPr>
              <w:overflowPunct/>
              <w:autoSpaceDE/>
              <w:autoSpaceDN/>
              <w:adjustRightInd/>
              <w:spacing w:before="0"/>
              <w:textAlignment w:val="auto"/>
              <w:rPr>
                <w:sz w:val="16"/>
                <w:szCs w:val="16"/>
                <w:lang w:eastAsia="zh-CN"/>
              </w:rPr>
            </w:pPr>
            <w:r w:rsidRPr="009121E5">
              <w:rPr>
                <w:rFonts w:cs="Calibri" w:hint="eastAsia"/>
                <w:sz w:val="17"/>
                <w:szCs w:val="17"/>
                <w:lang w:val="en-US" w:eastAsia="zh-CN"/>
              </w:rPr>
              <w:t>阿拉伯区域</w:t>
            </w:r>
            <w:r w:rsidRPr="009121E5">
              <w:rPr>
                <w:rFonts w:cs="Calibri"/>
                <w:sz w:val="17"/>
                <w:szCs w:val="17"/>
                <w:lang w:val="en-US" w:eastAsia="zh-CN"/>
              </w:rPr>
              <w:t>Isps</w:t>
            </w:r>
            <w:r w:rsidRPr="009121E5">
              <w:rPr>
                <w:rFonts w:cs="Calibri" w:hint="eastAsia"/>
                <w:sz w:val="17"/>
                <w:szCs w:val="17"/>
                <w:lang w:val="en-US" w:eastAsia="zh-CN"/>
              </w:rPr>
              <w:t>协会（</w:t>
            </w:r>
            <w:r w:rsidRPr="009121E5">
              <w:rPr>
                <w:rFonts w:cs="Calibri"/>
                <w:sz w:val="17"/>
                <w:szCs w:val="17"/>
                <w:lang w:val="en-US" w:eastAsia="zh-CN"/>
              </w:rPr>
              <w:t>ARISPA</w:t>
            </w:r>
            <w:r w:rsidRPr="009121E5">
              <w:rPr>
                <w:rFonts w:cs="Calibri" w:hint="eastAsia"/>
                <w:sz w:val="17"/>
                <w:szCs w:val="17"/>
                <w:lang w:val="en-US" w:eastAsia="zh-CN"/>
              </w:rPr>
              <w:t>），大马士革</w:t>
            </w:r>
          </w:p>
        </w:tc>
        <w:tc>
          <w:tcPr>
            <w:tcW w:w="960" w:type="dxa"/>
            <w:shd w:val="clear" w:color="000000" w:fill="FFFFFF"/>
            <w:vAlign w:val="center"/>
            <w:hideMark/>
          </w:tcPr>
          <w:p w14:paraId="01B2F129" w14:textId="31E0A677" w:rsidR="00442968" w:rsidRPr="00C92C03" w:rsidRDefault="00442968" w:rsidP="00442968">
            <w:pPr>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2009</w:t>
            </w:r>
          </w:p>
        </w:tc>
        <w:tc>
          <w:tcPr>
            <w:tcW w:w="1080" w:type="dxa"/>
            <w:shd w:val="clear" w:color="000000" w:fill="FFFFFF"/>
            <w:vAlign w:val="center"/>
            <w:hideMark/>
          </w:tcPr>
          <w:p w14:paraId="48DA6C7D" w14:textId="5EBE08A0"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3,975.00</w:t>
            </w:r>
          </w:p>
        </w:tc>
        <w:tc>
          <w:tcPr>
            <w:tcW w:w="1120" w:type="dxa"/>
            <w:shd w:val="clear" w:color="000000" w:fill="FFFFFF"/>
            <w:vAlign w:val="center"/>
            <w:hideMark/>
          </w:tcPr>
          <w:p w14:paraId="7E80D2E5" w14:textId="1A61D1F8"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3,853.75</w:t>
            </w:r>
          </w:p>
        </w:tc>
        <w:tc>
          <w:tcPr>
            <w:tcW w:w="1180" w:type="dxa"/>
            <w:shd w:val="clear" w:color="000000" w:fill="FFFFFF"/>
            <w:vAlign w:val="center"/>
            <w:hideMark/>
          </w:tcPr>
          <w:p w14:paraId="2F27AA15" w14:textId="40B20E81"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7,828.75</w:t>
            </w:r>
          </w:p>
        </w:tc>
      </w:tr>
      <w:tr w:rsidR="00442968" w:rsidRPr="00C92C03" w14:paraId="3E4A7BD0" w14:textId="77777777" w:rsidTr="00B57A10">
        <w:trPr>
          <w:trHeight w:val="300"/>
        </w:trPr>
        <w:tc>
          <w:tcPr>
            <w:tcW w:w="1200" w:type="dxa"/>
            <w:shd w:val="clear" w:color="000000" w:fill="FFFFFF"/>
            <w:vAlign w:val="center"/>
            <w:hideMark/>
          </w:tcPr>
          <w:p w14:paraId="70EE129D" w14:textId="6DD84A2F" w:rsidR="00442968" w:rsidRPr="00C92C03" w:rsidRDefault="00442968" w:rsidP="00442968">
            <w:pPr>
              <w:overflowPunct/>
              <w:autoSpaceDE/>
              <w:autoSpaceDN/>
              <w:adjustRightInd/>
              <w:spacing w:before="0"/>
              <w:textAlignment w:val="auto"/>
              <w:rPr>
                <w:sz w:val="16"/>
                <w:szCs w:val="16"/>
                <w:lang w:eastAsia="en-GB"/>
              </w:rPr>
            </w:pPr>
            <w:r w:rsidRPr="009121E5">
              <w:rPr>
                <w:rFonts w:cs="Calibri" w:hint="eastAsia"/>
                <w:sz w:val="17"/>
                <w:szCs w:val="17"/>
                <w:lang w:val="en-US" w:eastAsia="en-GB"/>
              </w:rPr>
              <w:t>津巴布韦</w:t>
            </w:r>
          </w:p>
        </w:tc>
        <w:tc>
          <w:tcPr>
            <w:tcW w:w="4020" w:type="dxa"/>
            <w:shd w:val="clear" w:color="000000" w:fill="FFFFFF"/>
            <w:vAlign w:val="center"/>
            <w:hideMark/>
          </w:tcPr>
          <w:p w14:paraId="784CFE34" w14:textId="0A0341C2" w:rsidR="00442968" w:rsidRPr="00C92C03" w:rsidRDefault="00442968" w:rsidP="00442968">
            <w:pPr>
              <w:overflowPunct/>
              <w:autoSpaceDE/>
              <w:autoSpaceDN/>
              <w:adjustRightInd/>
              <w:spacing w:before="0"/>
              <w:textAlignment w:val="auto"/>
              <w:rPr>
                <w:sz w:val="16"/>
                <w:szCs w:val="16"/>
                <w:lang w:eastAsia="en-GB"/>
              </w:rPr>
            </w:pPr>
            <w:r w:rsidRPr="009121E5">
              <w:rPr>
                <w:rFonts w:cs="Calibri"/>
                <w:sz w:val="17"/>
                <w:szCs w:val="17"/>
                <w:lang w:val="en-US" w:eastAsia="en-GB"/>
              </w:rPr>
              <w:t>NetOne Cellular (Pvt.)</w:t>
            </w:r>
            <w:r w:rsidRPr="009121E5">
              <w:rPr>
                <w:rFonts w:cs="Calibri" w:hint="eastAsia"/>
                <w:sz w:val="17"/>
                <w:szCs w:val="17"/>
                <w:lang w:val="en-US"/>
              </w:rPr>
              <w:t>有限公司，哈拉雷</w:t>
            </w:r>
          </w:p>
        </w:tc>
        <w:tc>
          <w:tcPr>
            <w:tcW w:w="960" w:type="dxa"/>
            <w:shd w:val="clear" w:color="000000" w:fill="FFFFFF"/>
            <w:vAlign w:val="center"/>
            <w:hideMark/>
          </w:tcPr>
          <w:p w14:paraId="3CC103C2" w14:textId="6D7AAF94" w:rsidR="00442968" w:rsidRPr="00C92C03" w:rsidRDefault="00442968" w:rsidP="00442968">
            <w:pPr>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2003-2006</w:t>
            </w:r>
          </w:p>
        </w:tc>
        <w:tc>
          <w:tcPr>
            <w:tcW w:w="1080" w:type="dxa"/>
            <w:shd w:val="clear" w:color="000000" w:fill="FFFFFF"/>
            <w:vAlign w:val="center"/>
            <w:hideMark/>
          </w:tcPr>
          <w:p w14:paraId="53B9EE7C" w14:textId="49251C27"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118,910.58</w:t>
            </w:r>
          </w:p>
        </w:tc>
        <w:tc>
          <w:tcPr>
            <w:tcW w:w="1120" w:type="dxa"/>
            <w:shd w:val="clear" w:color="000000" w:fill="FFFFFF"/>
            <w:vAlign w:val="center"/>
            <w:hideMark/>
          </w:tcPr>
          <w:p w14:paraId="1EFEF00D" w14:textId="70DBCFD5"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232,804.60</w:t>
            </w:r>
          </w:p>
        </w:tc>
        <w:tc>
          <w:tcPr>
            <w:tcW w:w="1180" w:type="dxa"/>
            <w:shd w:val="clear" w:color="000000" w:fill="FFFFFF"/>
            <w:vAlign w:val="center"/>
            <w:hideMark/>
          </w:tcPr>
          <w:p w14:paraId="354BF6DE" w14:textId="7A37F1E0"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351,715.18</w:t>
            </w:r>
          </w:p>
        </w:tc>
      </w:tr>
      <w:tr w:rsidR="00442968" w:rsidRPr="00C92C03" w14:paraId="1269E25B" w14:textId="77777777" w:rsidTr="00B57A10">
        <w:trPr>
          <w:trHeight w:val="450"/>
        </w:trPr>
        <w:tc>
          <w:tcPr>
            <w:tcW w:w="1200" w:type="dxa"/>
            <w:shd w:val="clear" w:color="000000" w:fill="FFFFFF"/>
            <w:vAlign w:val="center"/>
            <w:hideMark/>
          </w:tcPr>
          <w:p w14:paraId="4A7CBA3F" w14:textId="76A38321" w:rsidR="00442968" w:rsidRPr="00C92C03" w:rsidRDefault="00442968" w:rsidP="00442968">
            <w:pPr>
              <w:overflowPunct/>
              <w:autoSpaceDE/>
              <w:autoSpaceDN/>
              <w:adjustRightInd/>
              <w:spacing w:before="0"/>
              <w:textAlignment w:val="auto"/>
              <w:rPr>
                <w:sz w:val="16"/>
                <w:szCs w:val="16"/>
                <w:lang w:eastAsia="zh-CN"/>
              </w:rPr>
            </w:pPr>
            <w:r w:rsidRPr="009121E5">
              <w:rPr>
                <w:rFonts w:cs="Calibri" w:hint="eastAsia"/>
                <w:sz w:val="17"/>
                <w:szCs w:val="17"/>
                <w:lang w:val="en-US" w:eastAsia="zh-CN"/>
              </w:rPr>
              <w:t>第</w:t>
            </w:r>
            <w:r w:rsidRPr="009121E5">
              <w:rPr>
                <w:rFonts w:cs="Calibri"/>
                <w:sz w:val="17"/>
                <w:szCs w:val="17"/>
                <w:lang w:val="en-US" w:eastAsia="zh-CN"/>
              </w:rPr>
              <w:t>99</w:t>
            </w:r>
            <w:r w:rsidRPr="009121E5">
              <w:rPr>
                <w:rFonts w:cs="Calibri" w:hint="eastAsia"/>
                <w:sz w:val="17"/>
                <w:szCs w:val="17"/>
                <w:lang w:val="en-US" w:eastAsia="zh-CN"/>
              </w:rPr>
              <w:t>号决议（</w:t>
            </w:r>
            <w:r w:rsidRPr="009121E5">
              <w:rPr>
                <w:rFonts w:cs="Calibri"/>
                <w:sz w:val="17"/>
                <w:szCs w:val="17"/>
                <w:lang w:val="en-US" w:eastAsia="zh-CN"/>
              </w:rPr>
              <w:t>2018</w:t>
            </w:r>
            <w:r w:rsidRPr="009121E5">
              <w:rPr>
                <w:rFonts w:cs="Calibri" w:hint="eastAsia"/>
                <w:sz w:val="17"/>
                <w:szCs w:val="17"/>
                <w:lang w:val="en-US" w:eastAsia="zh-CN"/>
              </w:rPr>
              <w:t>年，迪拜，修订版）</w:t>
            </w:r>
          </w:p>
        </w:tc>
        <w:tc>
          <w:tcPr>
            <w:tcW w:w="4020" w:type="dxa"/>
            <w:shd w:val="clear" w:color="000000" w:fill="FFFFFF"/>
            <w:vAlign w:val="center"/>
            <w:hideMark/>
          </w:tcPr>
          <w:p w14:paraId="2E01DB01" w14:textId="31A73C47" w:rsidR="00442968" w:rsidRPr="00C92C03" w:rsidRDefault="00442968" w:rsidP="00442968">
            <w:pPr>
              <w:overflowPunct/>
              <w:autoSpaceDE/>
              <w:autoSpaceDN/>
              <w:adjustRightInd/>
              <w:spacing w:before="0"/>
              <w:textAlignment w:val="auto"/>
              <w:rPr>
                <w:sz w:val="16"/>
                <w:szCs w:val="16"/>
                <w:lang w:eastAsia="zh-CN"/>
              </w:rPr>
            </w:pPr>
            <w:r w:rsidRPr="009121E5">
              <w:rPr>
                <w:rFonts w:cs="Calibri"/>
                <w:sz w:val="17"/>
                <w:szCs w:val="17"/>
                <w:lang w:val="en-US" w:eastAsia="zh-CN"/>
              </w:rPr>
              <w:t>BCI</w:t>
            </w:r>
            <w:r w:rsidRPr="009121E5">
              <w:rPr>
                <w:rFonts w:cs="Calibri" w:hint="eastAsia"/>
                <w:sz w:val="17"/>
                <w:szCs w:val="17"/>
                <w:lang w:val="en-US" w:eastAsia="zh-CN"/>
              </w:rPr>
              <w:t>通信和先进技术公司，拉马拉</w:t>
            </w:r>
          </w:p>
        </w:tc>
        <w:tc>
          <w:tcPr>
            <w:tcW w:w="960" w:type="dxa"/>
            <w:shd w:val="clear" w:color="000000" w:fill="FFFFFF"/>
            <w:vAlign w:val="center"/>
            <w:hideMark/>
          </w:tcPr>
          <w:p w14:paraId="183B8038" w14:textId="22A84DA2" w:rsidR="00442968" w:rsidRPr="00C92C03" w:rsidRDefault="00442968" w:rsidP="00442968">
            <w:pPr>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2007-2008</w:t>
            </w:r>
          </w:p>
        </w:tc>
        <w:tc>
          <w:tcPr>
            <w:tcW w:w="1080" w:type="dxa"/>
            <w:shd w:val="clear" w:color="000000" w:fill="FFFFFF"/>
            <w:vAlign w:val="center"/>
            <w:hideMark/>
          </w:tcPr>
          <w:p w14:paraId="3DB2A96E" w14:textId="641C7013"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4,968.75</w:t>
            </w:r>
          </w:p>
        </w:tc>
        <w:tc>
          <w:tcPr>
            <w:tcW w:w="1120" w:type="dxa"/>
            <w:shd w:val="clear" w:color="000000" w:fill="FFFFFF"/>
            <w:vAlign w:val="center"/>
            <w:hideMark/>
          </w:tcPr>
          <w:p w14:paraId="0A1AA693" w14:textId="708E7F30"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5,449.50</w:t>
            </w:r>
          </w:p>
        </w:tc>
        <w:tc>
          <w:tcPr>
            <w:tcW w:w="1180" w:type="dxa"/>
            <w:shd w:val="clear" w:color="000000" w:fill="FFFFFF"/>
            <w:vAlign w:val="center"/>
            <w:hideMark/>
          </w:tcPr>
          <w:p w14:paraId="3B74FF10" w14:textId="44747430"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10,418.25</w:t>
            </w:r>
          </w:p>
        </w:tc>
      </w:tr>
      <w:tr w:rsidR="00442968" w:rsidRPr="00C92C03" w14:paraId="0230DA4A" w14:textId="77777777" w:rsidTr="00B57A10">
        <w:trPr>
          <w:trHeight w:val="315"/>
        </w:trPr>
        <w:tc>
          <w:tcPr>
            <w:tcW w:w="6180" w:type="dxa"/>
            <w:gridSpan w:val="3"/>
            <w:shd w:val="clear" w:color="auto" w:fill="auto"/>
            <w:noWrap/>
            <w:vAlign w:val="center"/>
            <w:hideMark/>
          </w:tcPr>
          <w:p w14:paraId="031D72DC" w14:textId="31311BAA" w:rsidR="00442968" w:rsidRPr="00C92C03" w:rsidRDefault="00442968" w:rsidP="00442968">
            <w:pPr>
              <w:overflowPunct/>
              <w:autoSpaceDE/>
              <w:autoSpaceDN/>
              <w:adjustRightInd/>
              <w:spacing w:before="0"/>
              <w:jc w:val="center"/>
              <w:textAlignment w:val="auto"/>
              <w:rPr>
                <w:b/>
                <w:bCs/>
                <w:i/>
                <w:iCs/>
                <w:color w:val="000000"/>
                <w:sz w:val="16"/>
                <w:szCs w:val="16"/>
                <w:lang w:eastAsia="en-GB"/>
              </w:rPr>
            </w:pPr>
            <w:r w:rsidRPr="009121E5">
              <w:rPr>
                <w:rFonts w:cs="Calibri"/>
                <w:b/>
                <w:bCs/>
                <w:sz w:val="17"/>
                <w:szCs w:val="17"/>
                <w:lang w:val="en-US" w:eastAsia="en-GB"/>
              </w:rPr>
              <w:t>3.</w:t>
            </w:r>
            <w:r w:rsidRPr="009121E5">
              <w:rPr>
                <w:rFonts w:cs="Calibri"/>
                <w:b/>
                <w:bCs/>
                <w:sz w:val="17"/>
                <w:szCs w:val="17"/>
                <w:lang w:val="en-US"/>
              </w:rPr>
              <w:t>3</w:t>
            </w:r>
            <w:r w:rsidRPr="009121E5">
              <w:rPr>
                <w:rFonts w:ascii="STKaiti" w:eastAsia="STKaiti" w:hAnsi="STKaiti" w:cs="Microsoft YaHei" w:hint="eastAsia"/>
                <w:b/>
                <w:bCs/>
                <w:sz w:val="17"/>
                <w:szCs w:val="17"/>
                <w:lang w:val="en-US" w:eastAsia="en-GB"/>
              </w:rPr>
              <w:t>小计</w:t>
            </w:r>
          </w:p>
        </w:tc>
        <w:tc>
          <w:tcPr>
            <w:tcW w:w="1080" w:type="dxa"/>
            <w:shd w:val="clear" w:color="auto" w:fill="auto"/>
            <w:noWrap/>
            <w:vAlign w:val="center"/>
            <w:hideMark/>
          </w:tcPr>
          <w:p w14:paraId="1BCC256F" w14:textId="2A27A410" w:rsidR="00442968" w:rsidRPr="00C92C03" w:rsidRDefault="00442968" w:rsidP="00442968">
            <w:pPr>
              <w:overflowPunct/>
              <w:autoSpaceDE/>
              <w:autoSpaceDN/>
              <w:adjustRightInd/>
              <w:spacing w:before="0"/>
              <w:jc w:val="right"/>
              <w:textAlignment w:val="auto"/>
              <w:rPr>
                <w:b/>
                <w:bCs/>
                <w:color w:val="000000"/>
                <w:sz w:val="16"/>
                <w:szCs w:val="16"/>
                <w:lang w:eastAsia="en-GB"/>
              </w:rPr>
            </w:pPr>
            <w:r w:rsidRPr="009121E5">
              <w:rPr>
                <w:rFonts w:cs="Calibri"/>
                <w:b/>
                <w:bCs/>
                <w:color w:val="000000"/>
                <w:sz w:val="17"/>
                <w:szCs w:val="17"/>
                <w:lang w:val="en-US" w:eastAsia="en-GB"/>
              </w:rPr>
              <w:t>945,767.84</w:t>
            </w:r>
          </w:p>
        </w:tc>
        <w:tc>
          <w:tcPr>
            <w:tcW w:w="1120" w:type="dxa"/>
            <w:shd w:val="clear" w:color="auto" w:fill="auto"/>
            <w:noWrap/>
            <w:vAlign w:val="center"/>
            <w:hideMark/>
          </w:tcPr>
          <w:p w14:paraId="01C4E00F" w14:textId="699FBD78" w:rsidR="00442968" w:rsidRPr="00C92C03" w:rsidRDefault="00442968" w:rsidP="00442968">
            <w:pPr>
              <w:overflowPunct/>
              <w:autoSpaceDE/>
              <w:autoSpaceDN/>
              <w:adjustRightInd/>
              <w:spacing w:before="0"/>
              <w:jc w:val="right"/>
              <w:textAlignment w:val="auto"/>
              <w:rPr>
                <w:b/>
                <w:bCs/>
                <w:color w:val="000000"/>
                <w:sz w:val="16"/>
                <w:szCs w:val="16"/>
                <w:lang w:eastAsia="en-GB"/>
              </w:rPr>
            </w:pPr>
            <w:r w:rsidRPr="009121E5">
              <w:rPr>
                <w:rFonts w:cs="Calibri"/>
                <w:b/>
                <w:bCs/>
                <w:color w:val="000000"/>
                <w:sz w:val="17"/>
                <w:szCs w:val="17"/>
                <w:lang w:val="en-US" w:eastAsia="en-GB"/>
              </w:rPr>
              <w:t>1,300,112.40</w:t>
            </w:r>
          </w:p>
        </w:tc>
        <w:tc>
          <w:tcPr>
            <w:tcW w:w="1180" w:type="dxa"/>
            <w:shd w:val="clear" w:color="auto" w:fill="auto"/>
            <w:noWrap/>
            <w:vAlign w:val="center"/>
            <w:hideMark/>
          </w:tcPr>
          <w:p w14:paraId="78D44390" w14:textId="6EBCD69D" w:rsidR="00442968" w:rsidRPr="00C92C03" w:rsidRDefault="00442968" w:rsidP="00442968">
            <w:pPr>
              <w:overflowPunct/>
              <w:autoSpaceDE/>
              <w:autoSpaceDN/>
              <w:adjustRightInd/>
              <w:spacing w:before="0"/>
              <w:jc w:val="right"/>
              <w:textAlignment w:val="auto"/>
              <w:rPr>
                <w:b/>
                <w:bCs/>
                <w:color w:val="000000"/>
                <w:sz w:val="16"/>
                <w:szCs w:val="16"/>
                <w:lang w:eastAsia="en-GB"/>
              </w:rPr>
            </w:pPr>
            <w:r w:rsidRPr="009121E5">
              <w:rPr>
                <w:rFonts w:cs="Calibri"/>
                <w:b/>
                <w:bCs/>
                <w:color w:val="000000"/>
                <w:sz w:val="17"/>
                <w:szCs w:val="17"/>
                <w:lang w:val="en-US" w:eastAsia="en-GB"/>
              </w:rPr>
              <w:t>2,245,880.24</w:t>
            </w:r>
          </w:p>
        </w:tc>
      </w:tr>
      <w:tr w:rsidR="00442968" w:rsidRPr="00C92C03" w14:paraId="0EC61472" w14:textId="77777777" w:rsidTr="00B57A10">
        <w:trPr>
          <w:trHeight w:val="315"/>
        </w:trPr>
        <w:tc>
          <w:tcPr>
            <w:tcW w:w="6180" w:type="dxa"/>
            <w:gridSpan w:val="3"/>
            <w:shd w:val="clear" w:color="auto" w:fill="auto"/>
            <w:noWrap/>
            <w:vAlign w:val="center"/>
            <w:hideMark/>
          </w:tcPr>
          <w:p w14:paraId="2732ED60" w14:textId="69C6A58F" w:rsidR="00442968" w:rsidRPr="00C92C03" w:rsidRDefault="00442968" w:rsidP="00442968">
            <w:pPr>
              <w:overflowPunct/>
              <w:autoSpaceDE/>
              <w:autoSpaceDN/>
              <w:adjustRightInd/>
              <w:spacing w:before="0"/>
              <w:textAlignment w:val="auto"/>
              <w:rPr>
                <w:b/>
                <w:bCs/>
                <w:color w:val="000000"/>
                <w:sz w:val="16"/>
                <w:szCs w:val="16"/>
                <w:lang w:eastAsia="en-GB"/>
              </w:rPr>
            </w:pPr>
            <w:r w:rsidRPr="009121E5">
              <w:rPr>
                <w:rFonts w:ascii="SimSun" w:hAnsi="SimSun" w:cs="SimSun" w:hint="eastAsia"/>
                <w:b/>
                <w:bCs/>
                <w:color w:val="000000"/>
                <w:sz w:val="17"/>
                <w:szCs w:val="17"/>
                <w:lang w:val="en-US"/>
              </w:rPr>
              <w:t>总计</w:t>
            </w:r>
          </w:p>
        </w:tc>
        <w:tc>
          <w:tcPr>
            <w:tcW w:w="1080" w:type="dxa"/>
            <w:shd w:val="clear" w:color="auto" w:fill="auto"/>
            <w:noWrap/>
            <w:vAlign w:val="center"/>
            <w:hideMark/>
          </w:tcPr>
          <w:p w14:paraId="67C940F6" w14:textId="5DEB83CD" w:rsidR="00442968" w:rsidRPr="00C92C03" w:rsidRDefault="00442968" w:rsidP="00442968">
            <w:pPr>
              <w:overflowPunct/>
              <w:autoSpaceDE/>
              <w:autoSpaceDN/>
              <w:adjustRightInd/>
              <w:spacing w:before="0"/>
              <w:jc w:val="right"/>
              <w:textAlignment w:val="auto"/>
              <w:rPr>
                <w:b/>
                <w:bCs/>
                <w:color w:val="000000"/>
                <w:sz w:val="16"/>
                <w:szCs w:val="16"/>
                <w:lang w:eastAsia="en-GB"/>
              </w:rPr>
            </w:pPr>
            <w:r w:rsidRPr="009121E5">
              <w:rPr>
                <w:rFonts w:cs="Calibri"/>
                <w:b/>
                <w:bCs/>
                <w:color w:val="000000"/>
                <w:sz w:val="17"/>
                <w:szCs w:val="17"/>
                <w:lang w:val="en-US" w:eastAsia="en-GB"/>
              </w:rPr>
              <w:t>945,767.84</w:t>
            </w:r>
          </w:p>
        </w:tc>
        <w:tc>
          <w:tcPr>
            <w:tcW w:w="1120" w:type="dxa"/>
            <w:shd w:val="clear" w:color="auto" w:fill="auto"/>
            <w:noWrap/>
            <w:vAlign w:val="center"/>
            <w:hideMark/>
          </w:tcPr>
          <w:p w14:paraId="2ECDF9FB" w14:textId="4FEB692F" w:rsidR="00442968" w:rsidRPr="00C92C03" w:rsidRDefault="00442968" w:rsidP="00442968">
            <w:pPr>
              <w:overflowPunct/>
              <w:autoSpaceDE/>
              <w:autoSpaceDN/>
              <w:adjustRightInd/>
              <w:spacing w:before="0"/>
              <w:jc w:val="right"/>
              <w:textAlignment w:val="auto"/>
              <w:rPr>
                <w:b/>
                <w:bCs/>
                <w:color w:val="000000"/>
                <w:sz w:val="16"/>
                <w:szCs w:val="16"/>
                <w:lang w:eastAsia="en-GB"/>
              </w:rPr>
            </w:pPr>
            <w:r w:rsidRPr="009121E5">
              <w:rPr>
                <w:rFonts w:cs="Calibri"/>
                <w:b/>
                <w:bCs/>
                <w:color w:val="000000"/>
                <w:sz w:val="17"/>
                <w:szCs w:val="17"/>
                <w:lang w:val="en-US" w:eastAsia="en-GB"/>
              </w:rPr>
              <w:t>2,056,040.50</w:t>
            </w:r>
          </w:p>
        </w:tc>
        <w:tc>
          <w:tcPr>
            <w:tcW w:w="1180" w:type="dxa"/>
            <w:shd w:val="clear" w:color="auto" w:fill="auto"/>
            <w:noWrap/>
            <w:vAlign w:val="center"/>
            <w:hideMark/>
          </w:tcPr>
          <w:p w14:paraId="2EFBD924" w14:textId="4C539CDF" w:rsidR="00442968" w:rsidRPr="00C92C03" w:rsidRDefault="00442968" w:rsidP="00442968">
            <w:pPr>
              <w:overflowPunct/>
              <w:autoSpaceDE/>
              <w:autoSpaceDN/>
              <w:adjustRightInd/>
              <w:spacing w:before="0"/>
              <w:jc w:val="right"/>
              <w:textAlignment w:val="auto"/>
              <w:rPr>
                <w:b/>
                <w:bCs/>
                <w:color w:val="000000"/>
                <w:sz w:val="16"/>
                <w:szCs w:val="16"/>
                <w:lang w:eastAsia="en-GB"/>
              </w:rPr>
            </w:pPr>
            <w:r w:rsidRPr="009121E5">
              <w:rPr>
                <w:rFonts w:cs="Calibri"/>
                <w:b/>
                <w:bCs/>
                <w:color w:val="000000"/>
                <w:sz w:val="17"/>
                <w:szCs w:val="17"/>
                <w:lang w:val="en-US" w:eastAsia="en-GB"/>
              </w:rPr>
              <w:t>3,001,808.34</w:t>
            </w:r>
          </w:p>
        </w:tc>
      </w:tr>
    </w:tbl>
    <w:p w14:paraId="38BA7954" w14:textId="52AF8244" w:rsidR="00662D13" w:rsidRDefault="00662D13" w:rsidP="00662D13">
      <w:pPr>
        <w:pStyle w:val="Endtext"/>
        <w:rPr>
          <w:lang w:eastAsia="zh-CN"/>
        </w:rPr>
      </w:pPr>
      <w:r>
        <w:rPr>
          <w:rFonts w:hint="eastAsia"/>
          <w:lang w:eastAsia="zh-CN"/>
        </w:rPr>
        <w:t>参阅：</w:t>
      </w:r>
      <w:r w:rsidRPr="00662D13">
        <w:rPr>
          <w:lang w:eastAsia="zh-CN"/>
        </w:rPr>
        <w:tab/>
      </w:r>
      <w:hyperlink r:id="rId149" w:history="1">
        <w:r w:rsidRPr="00662D13">
          <w:rPr>
            <w:rStyle w:val="Hyperlink"/>
            <w:lang w:eastAsia="zh-CN"/>
          </w:rPr>
          <w:t>C21/11</w:t>
        </w:r>
      </w:hyperlink>
      <w:r>
        <w:rPr>
          <w:rFonts w:hint="eastAsia"/>
          <w:lang w:eastAsia="zh-CN"/>
        </w:rPr>
        <w:t>、</w:t>
      </w:r>
      <w:hyperlink r:id="rId150" w:history="1">
        <w:r w:rsidRPr="00662D13">
          <w:rPr>
            <w:rStyle w:val="Hyperlink"/>
            <w:lang w:eastAsia="zh-CN"/>
          </w:rPr>
          <w:t>C21/DT/3</w:t>
        </w:r>
      </w:hyperlink>
      <w:r>
        <w:rPr>
          <w:rFonts w:hint="eastAsia"/>
          <w:lang w:eastAsia="zh-CN"/>
        </w:rPr>
        <w:t>、</w:t>
      </w:r>
      <w:hyperlink r:id="rId151" w:history="1">
        <w:r w:rsidRPr="00662D13">
          <w:rPr>
            <w:rStyle w:val="Hyperlink"/>
            <w:lang w:eastAsia="zh-CN"/>
          </w:rPr>
          <w:t>C21/87</w:t>
        </w:r>
      </w:hyperlink>
      <w:r>
        <w:rPr>
          <w:rFonts w:hint="eastAsia"/>
          <w:lang w:eastAsia="zh-CN"/>
        </w:rPr>
        <w:t>和</w:t>
      </w:r>
      <w:hyperlink r:id="rId152" w:history="1">
        <w:r w:rsidRPr="00662D13">
          <w:rPr>
            <w:rStyle w:val="Hyperlink"/>
            <w:lang w:eastAsia="zh-CN"/>
          </w:rPr>
          <w:t>DM-21/1017</w:t>
        </w:r>
      </w:hyperlink>
      <w:r>
        <w:rPr>
          <w:rFonts w:hint="eastAsia"/>
          <w:lang w:eastAsia="zh-CN"/>
        </w:rPr>
        <w:t>号文件</w:t>
      </w:r>
    </w:p>
    <w:p w14:paraId="6B270CDD" w14:textId="6F9B6D3C" w:rsidR="00662D13" w:rsidRDefault="00662D13" w:rsidP="00662D13">
      <w:pPr>
        <w:spacing w:before="840"/>
        <w:jc w:val="center"/>
        <w:rPr>
          <w:lang w:eastAsia="zh-CN"/>
        </w:rPr>
      </w:pPr>
      <w:r>
        <w:rPr>
          <w:lang w:eastAsia="zh-CN"/>
        </w:rPr>
        <w:t>______________</w:t>
      </w:r>
    </w:p>
    <w:p w14:paraId="0217F471" w14:textId="77777777" w:rsidR="003A1C4B" w:rsidRDefault="003A1C4B">
      <w:pPr>
        <w:tabs>
          <w:tab w:val="clear" w:pos="794"/>
          <w:tab w:val="clear" w:pos="1191"/>
          <w:tab w:val="clear" w:pos="1588"/>
          <w:tab w:val="clear" w:pos="1985"/>
        </w:tabs>
        <w:overflowPunct/>
        <w:autoSpaceDE/>
        <w:autoSpaceDN/>
        <w:adjustRightInd/>
        <w:spacing w:before="0"/>
        <w:jc w:val="left"/>
        <w:textAlignment w:val="auto"/>
        <w:rPr>
          <w:b/>
          <w:bCs/>
          <w:lang w:eastAsia="zh-CN"/>
        </w:rPr>
      </w:pPr>
    </w:p>
    <w:p w14:paraId="4827AE7E" w14:textId="77777777" w:rsidR="003A1C4B" w:rsidRDefault="003A1C4B">
      <w:pPr>
        <w:tabs>
          <w:tab w:val="clear" w:pos="794"/>
          <w:tab w:val="clear" w:pos="1191"/>
          <w:tab w:val="clear" w:pos="1588"/>
          <w:tab w:val="clear" w:pos="1985"/>
        </w:tabs>
        <w:overflowPunct/>
        <w:autoSpaceDE/>
        <w:autoSpaceDN/>
        <w:adjustRightInd/>
        <w:spacing w:before="0"/>
        <w:jc w:val="left"/>
        <w:textAlignment w:val="auto"/>
        <w:rPr>
          <w:b/>
          <w:bCs/>
          <w:lang w:eastAsia="zh-CN"/>
        </w:rPr>
      </w:pPr>
    </w:p>
    <w:p w14:paraId="4827AE80" w14:textId="77777777" w:rsidR="003A1C4B" w:rsidRDefault="003A1C4B">
      <w:pPr>
        <w:tabs>
          <w:tab w:val="clear" w:pos="794"/>
          <w:tab w:val="clear" w:pos="1191"/>
          <w:tab w:val="clear" w:pos="1588"/>
          <w:tab w:val="clear" w:pos="1985"/>
        </w:tabs>
        <w:overflowPunct/>
        <w:autoSpaceDE/>
        <w:autoSpaceDN/>
        <w:adjustRightInd/>
        <w:spacing w:before="0"/>
        <w:jc w:val="left"/>
        <w:textAlignment w:val="auto"/>
        <w:rPr>
          <w:b/>
          <w:bCs/>
          <w:lang w:eastAsia="zh-CN"/>
        </w:rPr>
      </w:pPr>
    </w:p>
    <w:p w14:paraId="4827AE81" w14:textId="77777777" w:rsidR="003A1C4B" w:rsidRDefault="003A1C4B">
      <w:pPr>
        <w:tabs>
          <w:tab w:val="clear" w:pos="794"/>
          <w:tab w:val="clear" w:pos="1191"/>
          <w:tab w:val="clear" w:pos="1588"/>
          <w:tab w:val="clear" w:pos="1985"/>
        </w:tabs>
        <w:overflowPunct/>
        <w:autoSpaceDE/>
        <w:autoSpaceDN/>
        <w:adjustRightInd/>
        <w:spacing w:before="0"/>
        <w:jc w:val="left"/>
        <w:textAlignment w:val="auto"/>
        <w:rPr>
          <w:b/>
          <w:bCs/>
          <w:lang w:eastAsia="zh-CN"/>
        </w:rPr>
      </w:pPr>
    </w:p>
    <w:p w14:paraId="4827AE82" w14:textId="77777777" w:rsidR="003A1C4B" w:rsidRDefault="003A1C4B">
      <w:pPr>
        <w:tabs>
          <w:tab w:val="clear" w:pos="794"/>
          <w:tab w:val="clear" w:pos="1191"/>
          <w:tab w:val="clear" w:pos="1588"/>
          <w:tab w:val="clear" w:pos="1985"/>
        </w:tabs>
        <w:overflowPunct/>
        <w:autoSpaceDE/>
        <w:autoSpaceDN/>
        <w:adjustRightInd/>
        <w:spacing w:before="0"/>
        <w:jc w:val="left"/>
        <w:textAlignment w:val="auto"/>
        <w:rPr>
          <w:b/>
          <w:bCs/>
          <w:lang w:eastAsia="zh-CN"/>
        </w:rPr>
      </w:pPr>
    </w:p>
    <w:p w14:paraId="4827AE83" w14:textId="77777777" w:rsidR="003A1C4B" w:rsidRDefault="003A1C4B">
      <w:pPr>
        <w:tabs>
          <w:tab w:val="clear" w:pos="794"/>
          <w:tab w:val="clear" w:pos="1191"/>
          <w:tab w:val="clear" w:pos="1588"/>
          <w:tab w:val="clear" w:pos="1985"/>
        </w:tabs>
        <w:overflowPunct/>
        <w:autoSpaceDE/>
        <w:autoSpaceDN/>
        <w:adjustRightInd/>
        <w:spacing w:before="0"/>
        <w:jc w:val="left"/>
        <w:textAlignment w:val="auto"/>
        <w:rPr>
          <w:b/>
          <w:bCs/>
          <w:lang w:eastAsia="zh-CN"/>
        </w:rPr>
      </w:pPr>
    </w:p>
    <w:p w14:paraId="4827AE84" w14:textId="77777777" w:rsidR="003A1C4B" w:rsidRDefault="003A1C4B">
      <w:pPr>
        <w:tabs>
          <w:tab w:val="clear" w:pos="794"/>
          <w:tab w:val="clear" w:pos="1191"/>
          <w:tab w:val="clear" w:pos="1588"/>
          <w:tab w:val="clear" w:pos="1985"/>
        </w:tabs>
        <w:overflowPunct/>
        <w:autoSpaceDE/>
        <w:autoSpaceDN/>
        <w:adjustRightInd/>
        <w:spacing w:before="0"/>
        <w:jc w:val="left"/>
        <w:textAlignment w:val="auto"/>
        <w:rPr>
          <w:b/>
          <w:bCs/>
          <w:lang w:eastAsia="zh-CN"/>
        </w:rPr>
      </w:pPr>
    </w:p>
    <w:p w14:paraId="4827AE85" w14:textId="77777777" w:rsidR="003A1C4B" w:rsidRDefault="003A1C4B">
      <w:pPr>
        <w:tabs>
          <w:tab w:val="clear" w:pos="794"/>
          <w:tab w:val="clear" w:pos="1191"/>
          <w:tab w:val="clear" w:pos="1588"/>
          <w:tab w:val="clear" w:pos="1985"/>
        </w:tabs>
        <w:overflowPunct/>
        <w:autoSpaceDE/>
        <w:autoSpaceDN/>
        <w:adjustRightInd/>
        <w:spacing w:before="0"/>
        <w:jc w:val="left"/>
        <w:textAlignment w:val="auto"/>
        <w:rPr>
          <w:b/>
          <w:bCs/>
          <w:lang w:eastAsia="zh-CN"/>
        </w:rPr>
      </w:pPr>
    </w:p>
    <w:p w14:paraId="4827AE86" w14:textId="77777777" w:rsidR="003A1C4B" w:rsidRDefault="003A1C4B">
      <w:pPr>
        <w:tabs>
          <w:tab w:val="clear" w:pos="794"/>
          <w:tab w:val="clear" w:pos="1191"/>
          <w:tab w:val="clear" w:pos="1588"/>
          <w:tab w:val="clear" w:pos="1985"/>
        </w:tabs>
        <w:overflowPunct/>
        <w:autoSpaceDE/>
        <w:autoSpaceDN/>
        <w:adjustRightInd/>
        <w:spacing w:before="0"/>
        <w:jc w:val="left"/>
        <w:textAlignment w:val="auto"/>
        <w:rPr>
          <w:b/>
          <w:bCs/>
          <w:lang w:eastAsia="zh-CN"/>
        </w:rPr>
      </w:pPr>
    </w:p>
    <w:p w14:paraId="4827AE87" w14:textId="77777777" w:rsidR="003A1C4B" w:rsidRDefault="003A1C4B">
      <w:pPr>
        <w:tabs>
          <w:tab w:val="clear" w:pos="794"/>
          <w:tab w:val="clear" w:pos="1191"/>
          <w:tab w:val="clear" w:pos="1588"/>
          <w:tab w:val="clear" w:pos="1985"/>
        </w:tabs>
        <w:overflowPunct/>
        <w:autoSpaceDE/>
        <w:autoSpaceDN/>
        <w:adjustRightInd/>
        <w:spacing w:before="0"/>
        <w:jc w:val="left"/>
        <w:textAlignment w:val="auto"/>
        <w:rPr>
          <w:b/>
          <w:bCs/>
          <w:lang w:eastAsia="zh-CN"/>
        </w:rPr>
      </w:pPr>
    </w:p>
    <w:p w14:paraId="4827AE88" w14:textId="77777777" w:rsidR="003A1C4B" w:rsidRDefault="003A1C4B">
      <w:pPr>
        <w:tabs>
          <w:tab w:val="clear" w:pos="794"/>
          <w:tab w:val="clear" w:pos="1191"/>
          <w:tab w:val="clear" w:pos="1588"/>
          <w:tab w:val="clear" w:pos="1985"/>
        </w:tabs>
        <w:overflowPunct/>
        <w:autoSpaceDE/>
        <w:autoSpaceDN/>
        <w:adjustRightInd/>
        <w:spacing w:before="0"/>
        <w:jc w:val="left"/>
        <w:textAlignment w:val="auto"/>
        <w:rPr>
          <w:b/>
          <w:bCs/>
          <w:lang w:eastAsia="zh-CN"/>
        </w:rPr>
      </w:pPr>
    </w:p>
    <w:p w14:paraId="4827AE89" w14:textId="77777777" w:rsidR="003A1C4B" w:rsidRDefault="003A1C4B">
      <w:pPr>
        <w:tabs>
          <w:tab w:val="clear" w:pos="794"/>
          <w:tab w:val="clear" w:pos="1191"/>
          <w:tab w:val="clear" w:pos="1588"/>
          <w:tab w:val="clear" w:pos="1985"/>
        </w:tabs>
        <w:overflowPunct/>
        <w:autoSpaceDE/>
        <w:autoSpaceDN/>
        <w:adjustRightInd/>
        <w:spacing w:before="0"/>
        <w:jc w:val="left"/>
        <w:textAlignment w:val="auto"/>
        <w:rPr>
          <w:b/>
          <w:bCs/>
          <w:lang w:eastAsia="zh-CN"/>
        </w:rPr>
        <w:sectPr w:rsidR="003A1C4B" w:rsidSect="008B32FB">
          <w:headerReference w:type="even" r:id="rId153"/>
          <w:headerReference w:type="default" r:id="rId154"/>
          <w:footerReference w:type="default" r:id="rId155"/>
          <w:headerReference w:type="first" r:id="rId156"/>
          <w:footerReference w:type="first" r:id="rId157"/>
          <w:pgSz w:w="11907" w:h="16834" w:code="9"/>
          <w:pgMar w:top="1418" w:right="1134" w:bottom="1134" w:left="1134" w:header="737" w:footer="567" w:gutter="0"/>
          <w:paperSrc w:first="15" w:other="15"/>
          <w:cols w:space="720"/>
          <w:vAlign w:val="both"/>
          <w:titlePg/>
        </w:sectPr>
      </w:pPr>
    </w:p>
    <w:p w14:paraId="4827AE8A" w14:textId="77777777" w:rsidR="00F11D1D" w:rsidRPr="00946E1A" w:rsidRDefault="00F11D1D" w:rsidP="00946E1A">
      <w:pPr>
        <w:pStyle w:val="ChapNo"/>
        <w:spacing w:before="240"/>
        <w:rPr>
          <w:b w:val="0"/>
          <w:bCs/>
          <w:lang w:eastAsia="zh-CN"/>
        </w:rPr>
      </w:pPr>
      <w:bookmarkStart w:id="252" w:name="_Toc16085694"/>
      <w:bookmarkStart w:id="253" w:name="_Toc16173300"/>
      <w:bookmarkStart w:id="254" w:name="_Toc16173757"/>
      <w:bookmarkStart w:id="255" w:name="_Toc86395498"/>
      <w:r w:rsidRPr="00946E1A">
        <w:rPr>
          <w:b w:val="0"/>
          <w:bCs/>
          <w:lang w:eastAsia="zh-CN"/>
        </w:rPr>
        <w:lastRenderedPageBreak/>
        <w:t>2</w:t>
      </w:r>
      <w:r w:rsidRPr="00946E1A">
        <w:rPr>
          <w:b w:val="0"/>
          <w:bCs/>
          <w:lang w:eastAsia="zh-CN"/>
        </w:rPr>
        <w:tab/>
      </w:r>
      <w:bookmarkEnd w:id="189"/>
      <w:r w:rsidR="00B35960" w:rsidRPr="00946E1A">
        <w:rPr>
          <w:rFonts w:hint="eastAsia"/>
          <w:b w:val="0"/>
          <w:bCs/>
          <w:lang w:eastAsia="zh-CN"/>
        </w:rPr>
        <w:t>人事</w:t>
      </w:r>
      <w:bookmarkEnd w:id="190"/>
      <w:bookmarkEnd w:id="191"/>
      <w:bookmarkEnd w:id="192"/>
      <w:bookmarkEnd w:id="235"/>
      <w:bookmarkEnd w:id="236"/>
      <w:bookmarkEnd w:id="237"/>
      <w:bookmarkEnd w:id="238"/>
      <w:bookmarkEnd w:id="239"/>
      <w:bookmarkEnd w:id="240"/>
      <w:bookmarkEnd w:id="241"/>
      <w:bookmarkEnd w:id="242"/>
      <w:bookmarkEnd w:id="252"/>
      <w:bookmarkEnd w:id="253"/>
      <w:bookmarkEnd w:id="254"/>
      <w:bookmarkEnd w:id="255"/>
    </w:p>
    <w:p w14:paraId="4827AE8B" w14:textId="77777777" w:rsidR="00F11D1D" w:rsidRPr="008853B4" w:rsidRDefault="00F11D1D" w:rsidP="00946E1A">
      <w:pPr>
        <w:pStyle w:val="Chaptitle"/>
        <w:rPr>
          <w:lang w:eastAsia="zh-CN"/>
        </w:rPr>
      </w:pPr>
      <w:bookmarkStart w:id="256" w:name="_Toc81880046"/>
      <w:bookmarkStart w:id="257" w:name="_Toc161224004"/>
      <w:bookmarkStart w:id="258" w:name="_Toc161732050"/>
      <w:bookmarkStart w:id="259" w:name="_Toc161740977"/>
      <w:bookmarkStart w:id="260" w:name="_Toc185237646"/>
      <w:bookmarkStart w:id="261" w:name="_Toc311469563"/>
      <w:bookmarkStart w:id="262" w:name="_Toc405194269"/>
      <w:bookmarkStart w:id="263" w:name="_Toc424116946"/>
      <w:bookmarkStart w:id="264" w:name="_Toc531706287"/>
      <w:bookmarkStart w:id="265" w:name="_Toc531706883"/>
      <w:bookmarkStart w:id="266" w:name="_Toc531768376"/>
      <w:bookmarkStart w:id="267" w:name="_Toc16085695"/>
      <w:bookmarkStart w:id="268" w:name="_Toc86395499"/>
      <w:r w:rsidRPr="008853B4">
        <w:rPr>
          <w:lang w:eastAsia="zh-CN"/>
        </w:rPr>
        <w:t>2.1</w:t>
      </w:r>
      <w:r w:rsidRPr="008853B4">
        <w:rPr>
          <w:lang w:eastAsia="zh-CN"/>
        </w:rPr>
        <w:tab/>
      </w:r>
      <w:bookmarkEnd w:id="256"/>
      <w:r w:rsidR="00B35960" w:rsidRPr="008853B4">
        <w:rPr>
          <w:rFonts w:hint="eastAsia"/>
          <w:lang w:eastAsia="zh-CN"/>
        </w:rPr>
        <w:t>就业条件</w:t>
      </w:r>
      <w:bookmarkEnd w:id="257"/>
      <w:bookmarkEnd w:id="258"/>
      <w:bookmarkEnd w:id="259"/>
      <w:bookmarkEnd w:id="260"/>
      <w:bookmarkEnd w:id="261"/>
      <w:bookmarkEnd w:id="262"/>
      <w:bookmarkEnd w:id="263"/>
      <w:bookmarkEnd w:id="264"/>
      <w:bookmarkEnd w:id="265"/>
      <w:bookmarkEnd w:id="266"/>
      <w:bookmarkEnd w:id="267"/>
      <w:bookmarkEnd w:id="268"/>
    </w:p>
    <w:p w14:paraId="4827AE8C" w14:textId="77777777" w:rsidR="00EB3A18" w:rsidRDefault="00B35960" w:rsidP="001B5FA0">
      <w:pPr>
        <w:pStyle w:val="ResNo"/>
        <w:outlineLvl w:val="0"/>
        <w:rPr>
          <w:lang w:eastAsia="zh-CN"/>
        </w:rPr>
      </w:pPr>
      <w:bookmarkStart w:id="269" w:name="_Toc424116947"/>
      <w:bookmarkStart w:id="270" w:name="_Toc531706288"/>
      <w:bookmarkStart w:id="271" w:name="_Toc531706884"/>
      <w:bookmarkStart w:id="272" w:name="_Toc531768377"/>
      <w:bookmarkStart w:id="273" w:name="_Toc16085696"/>
      <w:bookmarkStart w:id="274" w:name="_Toc86395500"/>
      <w:bookmarkStart w:id="275" w:name="_Toc63839039"/>
      <w:bookmarkStart w:id="276" w:name="_Toc161224005"/>
      <w:bookmarkStart w:id="277" w:name="_Toc161732051"/>
      <w:bookmarkStart w:id="278" w:name="_Toc161740978"/>
      <w:bookmarkStart w:id="279" w:name="_Toc185237647"/>
      <w:bookmarkStart w:id="280" w:name="_Toc311469564"/>
      <w:r w:rsidRPr="005964F0">
        <w:rPr>
          <w:rFonts w:hint="eastAsia"/>
          <w:lang w:eastAsia="zh-CN"/>
        </w:rPr>
        <w:t>第</w:t>
      </w:r>
      <w:r w:rsidRPr="005964F0">
        <w:rPr>
          <w:lang w:eastAsia="zh-CN"/>
        </w:rPr>
        <w:t>260</w:t>
      </w:r>
      <w:r w:rsidRPr="005964F0">
        <w:rPr>
          <w:rFonts w:hint="eastAsia"/>
          <w:lang w:eastAsia="zh-CN"/>
        </w:rPr>
        <w:t>号决议</w:t>
      </w:r>
      <w:r w:rsidR="00EB3A18">
        <w:rPr>
          <w:rFonts w:hint="eastAsia"/>
          <w:lang w:eastAsia="zh-CN"/>
        </w:rPr>
        <w:t>（</w:t>
      </w:r>
      <w:r w:rsidR="00EB3A18" w:rsidRPr="00C3403A">
        <w:rPr>
          <w:lang w:eastAsia="zh-CN"/>
        </w:rPr>
        <w:t>C-1952</w:t>
      </w:r>
      <w:r w:rsidR="00EB3A18">
        <w:rPr>
          <w:rFonts w:hint="eastAsia"/>
          <w:lang w:eastAsia="zh-CN"/>
        </w:rPr>
        <w:t>，</w:t>
      </w:r>
      <w:r w:rsidR="00EB3A18" w:rsidRPr="00C3403A">
        <w:rPr>
          <w:rFonts w:hint="eastAsia"/>
          <w:lang w:eastAsia="zh-CN"/>
        </w:rPr>
        <w:t>最后修正</w:t>
      </w:r>
      <w:r w:rsidR="00EB3A18" w:rsidRPr="00C3403A">
        <w:rPr>
          <w:lang w:eastAsia="zh-CN"/>
        </w:rPr>
        <w:t>C-1954</w:t>
      </w:r>
      <w:r w:rsidR="00EB3A18">
        <w:rPr>
          <w:rFonts w:hint="eastAsia"/>
          <w:lang w:eastAsia="zh-CN"/>
        </w:rPr>
        <w:t>）</w:t>
      </w:r>
      <w:bookmarkEnd w:id="269"/>
      <w:bookmarkEnd w:id="270"/>
      <w:bookmarkEnd w:id="271"/>
      <w:bookmarkEnd w:id="272"/>
      <w:bookmarkEnd w:id="273"/>
      <w:bookmarkEnd w:id="274"/>
    </w:p>
    <w:p w14:paraId="4827AE8D" w14:textId="77777777" w:rsidR="00F11D1D" w:rsidRPr="00EB3A18" w:rsidRDefault="00B35960" w:rsidP="00EB3A18">
      <w:pPr>
        <w:pStyle w:val="Restitle"/>
        <w:rPr>
          <w:lang w:eastAsia="zh-CN"/>
        </w:rPr>
      </w:pPr>
      <w:bookmarkStart w:id="281" w:name="_Toc424116204"/>
      <w:bookmarkStart w:id="282" w:name="_Toc424116948"/>
      <w:bookmarkStart w:id="283" w:name="_Toc460248051"/>
      <w:bookmarkStart w:id="284" w:name="_Toc531706289"/>
      <w:bookmarkStart w:id="285" w:name="_Toc531706885"/>
      <w:bookmarkStart w:id="286" w:name="_Toc531768378"/>
      <w:bookmarkStart w:id="287" w:name="_Toc16085697"/>
      <w:bookmarkStart w:id="288" w:name="_Toc86395501"/>
      <w:bookmarkEnd w:id="275"/>
      <w:r w:rsidRPr="00EB3A18">
        <w:rPr>
          <w:rFonts w:hint="eastAsia"/>
          <w:lang w:eastAsia="zh-CN"/>
        </w:rPr>
        <w:t>兵役假</w:t>
      </w:r>
      <w:bookmarkEnd w:id="276"/>
      <w:bookmarkEnd w:id="277"/>
      <w:bookmarkEnd w:id="278"/>
      <w:bookmarkEnd w:id="279"/>
      <w:bookmarkEnd w:id="280"/>
      <w:bookmarkEnd w:id="281"/>
      <w:bookmarkEnd w:id="282"/>
      <w:bookmarkEnd w:id="283"/>
      <w:bookmarkEnd w:id="284"/>
      <w:bookmarkEnd w:id="285"/>
      <w:bookmarkEnd w:id="286"/>
      <w:bookmarkEnd w:id="287"/>
      <w:bookmarkEnd w:id="288"/>
    </w:p>
    <w:p w14:paraId="4827AE8E" w14:textId="77777777" w:rsidR="004F1192" w:rsidRPr="00410648" w:rsidRDefault="004F1192" w:rsidP="00410648">
      <w:pPr>
        <w:pStyle w:val="Normalaftertitle"/>
        <w:rPr>
          <w:lang w:eastAsia="zh-CN"/>
        </w:rPr>
      </w:pPr>
      <w:r w:rsidRPr="00410648">
        <w:rPr>
          <w:rFonts w:hint="eastAsia"/>
          <w:lang w:eastAsia="zh-CN"/>
        </w:rPr>
        <w:t>理事会，</w:t>
      </w:r>
    </w:p>
    <w:p w14:paraId="4827AE8F" w14:textId="77777777" w:rsidR="004F1192" w:rsidRDefault="004F1192" w:rsidP="00EB3A18">
      <w:pPr>
        <w:ind w:firstLineChars="200" w:firstLine="480"/>
        <w:rPr>
          <w:lang w:eastAsia="zh-CN"/>
        </w:rPr>
      </w:pPr>
      <w:r>
        <w:rPr>
          <w:rFonts w:eastAsia="STKaiti" w:hint="eastAsia"/>
          <w:lang w:eastAsia="zh-CN"/>
        </w:rPr>
        <w:t>考虑到</w:t>
      </w:r>
      <w:r>
        <w:rPr>
          <w:rFonts w:ascii="SimSun" w:hAnsi="SimSun" w:hint="eastAsia"/>
          <w:lang w:eastAsia="zh-CN"/>
        </w:rPr>
        <w:t>在</w:t>
      </w:r>
      <w:r>
        <w:rPr>
          <w:rFonts w:hint="eastAsia"/>
          <w:lang w:eastAsia="zh-CN"/>
        </w:rPr>
        <w:t>国际电联职员获准服兵役期间，无论其服役期长短，该职员的薪金和与征召令有关的任何费用均应由该职员的兵役征召国承担，</w:t>
      </w:r>
    </w:p>
    <w:p w14:paraId="4827AE90" w14:textId="77777777" w:rsidR="004F1192" w:rsidRDefault="004F1192" w:rsidP="00EB3A18">
      <w:pPr>
        <w:ind w:firstLineChars="200" w:firstLine="480"/>
        <w:rPr>
          <w:lang w:eastAsia="zh-CN"/>
        </w:rPr>
      </w:pPr>
      <w:r>
        <w:rPr>
          <w:rFonts w:eastAsia="STKaiti" w:hint="eastAsia"/>
          <w:lang w:eastAsia="zh-CN"/>
        </w:rPr>
        <w:t>做出决议</w:t>
      </w:r>
      <w:r w:rsidR="007C4F9C" w:rsidRPr="007C4F9C">
        <w:rPr>
          <w:rFonts w:hint="eastAsia"/>
          <w:iCs/>
          <w:lang w:eastAsia="zh-CN"/>
        </w:rPr>
        <w:t>，</w:t>
      </w:r>
      <w:r>
        <w:rPr>
          <w:rFonts w:hint="eastAsia"/>
          <w:lang w:eastAsia="zh-CN"/>
        </w:rPr>
        <w:t>国际电联在其职员应征服兵役时不承担任何费用，</w:t>
      </w:r>
    </w:p>
    <w:p w14:paraId="4827AE91" w14:textId="77777777" w:rsidR="004F1192" w:rsidRDefault="004F1192" w:rsidP="00EB3A18">
      <w:pPr>
        <w:ind w:firstLineChars="200" w:firstLine="480"/>
        <w:rPr>
          <w:lang w:eastAsia="zh-CN"/>
        </w:rPr>
      </w:pPr>
      <w:r>
        <w:rPr>
          <w:rFonts w:eastAsia="STKaiti" w:hint="eastAsia"/>
          <w:lang w:eastAsia="zh-CN"/>
        </w:rPr>
        <w:t>请秘书长</w:t>
      </w:r>
      <w:r>
        <w:rPr>
          <w:rFonts w:hint="eastAsia"/>
          <w:lang w:eastAsia="zh-CN"/>
        </w:rPr>
        <w:t>执行本决定。</w:t>
      </w:r>
    </w:p>
    <w:p w14:paraId="4827AE92" w14:textId="77777777" w:rsidR="00F11D1D" w:rsidRPr="00D746C3" w:rsidRDefault="004F1192" w:rsidP="00EB3A18">
      <w:pPr>
        <w:pStyle w:val="Endtext"/>
        <w:rPr>
          <w:lang w:eastAsia="zh-CN"/>
        </w:rPr>
      </w:pPr>
      <w:r>
        <w:rPr>
          <w:rFonts w:hint="eastAsia"/>
          <w:lang w:eastAsia="zh-CN"/>
        </w:rPr>
        <w:t>参阅</w:t>
      </w:r>
      <w:r>
        <w:rPr>
          <w:rFonts w:ascii="STKaiti" w:hAnsi="SimSun" w:hint="eastAsia"/>
          <w:lang w:eastAsia="zh-CN"/>
        </w:rPr>
        <w:t>：</w:t>
      </w:r>
      <w:r>
        <w:rPr>
          <w:lang w:eastAsia="zh-CN"/>
        </w:rPr>
        <w:tab/>
        <w:t>1606/CA9</w:t>
      </w:r>
      <w:r>
        <w:rPr>
          <w:rFonts w:ascii="SimSun" w:hAnsi="SimSun" w:hint="eastAsia"/>
          <w:lang w:eastAsia="zh-CN"/>
        </w:rPr>
        <w:t>号文件</w:t>
      </w:r>
      <w:r>
        <w:rPr>
          <w:lang w:eastAsia="zh-CN"/>
        </w:rPr>
        <w:t>（</w:t>
      </w:r>
      <w:r>
        <w:rPr>
          <w:lang w:eastAsia="zh-CN"/>
        </w:rPr>
        <w:t>1954</w:t>
      </w:r>
      <w:r>
        <w:rPr>
          <w:rFonts w:hint="eastAsia"/>
          <w:lang w:eastAsia="zh-CN"/>
        </w:rPr>
        <w:t>年</w:t>
      </w:r>
      <w:r>
        <w:rPr>
          <w:lang w:eastAsia="zh-CN"/>
        </w:rPr>
        <w:t>）</w:t>
      </w:r>
      <w:r>
        <w:rPr>
          <w:rFonts w:ascii="SimSun" w:hAnsi="SimSun" w:hint="eastAsia"/>
          <w:lang w:eastAsia="zh-CN"/>
        </w:rPr>
        <w:t>。</w:t>
      </w:r>
    </w:p>
    <w:p w14:paraId="4827AE93" w14:textId="77777777" w:rsidR="00481C40" w:rsidRDefault="00481C40" w:rsidP="00481C40">
      <w:pPr>
        <w:jc w:val="center"/>
        <w:rPr>
          <w:lang w:eastAsia="zh-CN"/>
        </w:rPr>
      </w:pPr>
      <w:bookmarkStart w:id="289" w:name="_Toc424116949"/>
      <w:bookmarkStart w:id="290" w:name="_Toc531706290"/>
      <w:bookmarkStart w:id="291" w:name="_Toc531706886"/>
      <w:bookmarkStart w:id="292" w:name="_Toc531768379"/>
      <w:bookmarkStart w:id="293" w:name="_Toc161224006"/>
      <w:bookmarkStart w:id="294" w:name="_Toc161732052"/>
      <w:bookmarkStart w:id="295" w:name="_Toc161740979"/>
      <w:bookmarkStart w:id="296" w:name="_Toc63839040"/>
      <w:bookmarkStart w:id="297" w:name="_Toc78271301"/>
      <w:bookmarkStart w:id="298" w:name="_Toc81880048"/>
      <w:bookmarkStart w:id="299" w:name="_Toc185237648"/>
      <w:bookmarkStart w:id="300" w:name="_Toc311469565"/>
      <w:r>
        <w:rPr>
          <w:lang w:eastAsia="zh-CN"/>
        </w:rPr>
        <w:t>______________</w:t>
      </w:r>
    </w:p>
    <w:p w14:paraId="4827AE94" w14:textId="77777777" w:rsidR="00EB3A18" w:rsidRPr="00EB3A18" w:rsidRDefault="004F1192" w:rsidP="001B5FA0">
      <w:pPr>
        <w:pStyle w:val="ResNo"/>
        <w:outlineLvl w:val="0"/>
        <w:rPr>
          <w:lang w:eastAsia="zh-CN"/>
        </w:rPr>
      </w:pPr>
      <w:bookmarkStart w:id="301" w:name="_Toc16085698"/>
      <w:bookmarkStart w:id="302" w:name="_Toc86395502"/>
      <w:r w:rsidRPr="00EB3A18">
        <w:rPr>
          <w:rFonts w:hint="eastAsia"/>
          <w:lang w:eastAsia="zh-CN"/>
        </w:rPr>
        <w:t>第</w:t>
      </w:r>
      <w:r w:rsidRPr="00EB3A18">
        <w:rPr>
          <w:lang w:eastAsia="zh-CN"/>
        </w:rPr>
        <w:t>261</w:t>
      </w:r>
      <w:r w:rsidRPr="00EB3A18">
        <w:rPr>
          <w:rFonts w:hint="eastAsia"/>
          <w:lang w:eastAsia="zh-CN"/>
        </w:rPr>
        <w:t>号决议</w:t>
      </w:r>
      <w:r w:rsidR="00EB3A18">
        <w:rPr>
          <w:rFonts w:hint="eastAsia"/>
          <w:lang w:eastAsia="zh-CN"/>
        </w:rPr>
        <w:t>（</w:t>
      </w:r>
      <w:r w:rsidR="00EB3A18">
        <w:rPr>
          <w:lang w:eastAsia="zh-CN"/>
        </w:rPr>
        <w:t>C-1952</w:t>
      </w:r>
      <w:r w:rsidR="00EB3A18">
        <w:rPr>
          <w:rFonts w:hint="eastAsia"/>
          <w:lang w:eastAsia="zh-CN"/>
        </w:rPr>
        <w:t>）</w:t>
      </w:r>
      <w:bookmarkEnd w:id="289"/>
      <w:bookmarkEnd w:id="290"/>
      <w:bookmarkEnd w:id="291"/>
      <w:bookmarkEnd w:id="292"/>
      <w:bookmarkEnd w:id="301"/>
      <w:bookmarkEnd w:id="302"/>
    </w:p>
    <w:p w14:paraId="4827AE95" w14:textId="77777777" w:rsidR="00F11D1D" w:rsidRPr="00EB3A18" w:rsidRDefault="00494BF8" w:rsidP="00EB3A18">
      <w:pPr>
        <w:pStyle w:val="Restitle"/>
        <w:rPr>
          <w:lang w:eastAsia="zh-CN"/>
        </w:rPr>
      </w:pPr>
      <w:bookmarkStart w:id="303" w:name="_Toc424116205"/>
      <w:bookmarkStart w:id="304" w:name="_Toc424116950"/>
      <w:bookmarkStart w:id="305" w:name="_Toc460248053"/>
      <w:bookmarkStart w:id="306" w:name="_Toc531706291"/>
      <w:bookmarkStart w:id="307" w:name="_Toc531706887"/>
      <w:bookmarkStart w:id="308" w:name="_Toc531768380"/>
      <w:bookmarkStart w:id="309" w:name="_Toc16085699"/>
      <w:bookmarkStart w:id="310" w:name="_Toc86395503"/>
      <w:r w:rsidRPr="00EB3A18">
        <w:rPr>
          <w:rFonts w:hint="eastAsia"/>
          <w:lang w:eastAsia="zh-CN"/>
        </w:rPr>
        <w:t>易于调动</w:t>
      </w:r>
      <w:r w:rsidR="004F1192" w:rsidRPr="00EB3A18">
        <w:rPr>
          <w:rFonts w:hint="eastAsia"/>
          <w:lang w:eastAsia="zh-CN"/>
        </w:rPr>
        <w:t>的国际电联官员</w:t>
      </w:r>
      <w:r w:rsidRPr="00EB3A18">
        <w:rPr>
          <w:rFonts w:hint="eastAsia"/>
          <w:lang w:eastAsia="zh-CN"/>
        </w:rPr>
        <w:t>的</w:t>
      </w:r>
      <w:r w:rsidR="004F1192" w:rsidRPr="00EB3A18">
        <w:rPr>
          <w:rFonts w:hint="eastAsia"/>
          <w:lang w:eastAsia="zh-CN"/>
        </w:rPr>
        <w:t>家</w:t>
      </w:r>
      <w:r w:rsidRPr="00EB3A18">
        <w:rPr>
          <w:rFonts w:hint="eastAsia"/>
          <w:lang w:eastAsia="zh-CN"/>
        </w:rPr>
        <w:t>属的地位</w:t>
      </w:r>
      <w:bookmarkEnd w:id="293"/>
      <w:bookmarkEnd w:id="294"/>
      <w:bookmarkEnd w:id="295"/>
      <w:bookmarkEnd w:id="296"/>
      <w:bookmarkEnd w:id="297"/>
      <w:bookmarkEnd w:id="298"/>
      <w:bookmarkEnd w:id="299"/>
      <w:bookmarkEnd w:id="300"/>
      <w:bookmarkEnd w:id="303"/>
      <w:bookmarkEnd w:id="304"/>
      <w:bookmarkEnd w:id="305"/>
      <w:bookmarkEnd w:id="306"/>
      <w:bookmarkEnd w:id="307"/>
      <w:bookmarkEnd w:id="308"/>
      <w:bookmarkEnd w:id="309"/>
      <w:bookmarkEnd w:id="310"/>
    </w:p>
    <w:p w14:paraId="4827AE96" w14:textId="77777777" w:rsidR="004F1192" w:rsidRPr="00410648" w:rsidRDefault="004F1192" w:rsidP="00410648">
      <w:pPr>
        <w:pStyle w:val="Normalaftertitle"/>
        <w:rPr>
          <w:lang w:eastAsia="zh-CN"/>
        </w:rPr>
      </w:pPr>
      <w:r w:rsidRPr="00410648">
        <w:rPr>
          <w:rFonts w:hint="eastAsia"/>
          <w:lang w:eastAsia="zh-CN"/>
        </w:rPr>
        <w:t>理事会，</w:t>
      </w:r>
    </w:p>
    <w:p w14:paraId="4827AE97" w14:textId="77777777" w:rsidR="004F1192" w:rsidRDefault="004F1192" w:rsidP="00B64353">
      <w:pPr>
        <w:pStyle w:val="call0"/>
        <w:spacing w:before="60" w:line="300" w:lineRule="exact"/>
        <w:rPr>
          <w:lang w:eastAsia="zh-CN"/>
        </w:rPr>
      </w:pPr>
      <w:r>
        <w:rPr>
          <w:rFonts w:hint="eastAsia"/>
          <w:lang w:eastAsia="zh-CN"/>
        </w:rPr>
        <w:t>考虑到</w:t>
      </w:r>
    </w:p>
    <w:p w14:paraId="4827AE98" w14:textId="77777777" w:rsidR="004F1192" w:rsidRDefault="004F1192" w:rsidP="00B64353">
      <w:pPr>
        <w:rPr>
          <w:lang w:eastAsia="zh-CN"/>
        </w:rPr>
      </w:pPr>
      <w:r w:rsidRPr="009A101E">
        <w:rPr>
          <w:i/>
          <w:iCs/>
          <w:lang w:eastAsia="zh-CN"/>
        </w:rPr>
        <w:t>a</w:t>
      </w:r>
      <w:r w:rsidR="000E6A83" w:rsidRPr="009A101E">
        <w:rPr>
          <w:i/>
          <w:iCs/>
          <w:lang w:eastAsia="zh-CN"/>
        </w:rPr>
        <w:t>)</w:t>
      </w:r>
      <w:r w:rsidR="000E6A83">
        <w:rPr>
          <w:lang w:eastAsia="zh-CN"/>
        </w:rPr>
        <w:tab/>
      </w:r>
      <w:r>
        <w:rPr>
          <w:rFonts w:hint="eastAsia"/>
          <w:lang w:eastAsia="zh-CN"/>
        </w:rPr>
        <w:t>第</w:t>
      </w:r>
      <w:r>
        <w:rPr>
          <w:lang w:eastAsia="zh-CN"/>
        </w:rPr>
        <w:t>260</w:t>
      </w:r>
      <w:r>
        <w:rPr>
          <w:rFonts w:hint="eastAsia"/>
          <w:lang w:eastAsia="zh-CN"/>
        </w:rPr>
        <w:t>号决议；</w:t>
      </w:r>
    </w:p>
    <w:p w14:paraId="4827AE99" w14:textId="77777777" w:rsidR="004F1192" w:rsidRDefault="004F1192" w:rsidP="00B64353">
      <w:pPr>
        <w:rPr>
          <w:lang w:eastAsia="zh-CN"/>
        </w:rPr>
      </w:pPr>
      <w:r w:rsidRPr="009A101E">
        <w:rPr>
          <w:i/>
          <w:iCs/>
          <w:lang w:eastAsia="zh-CN"/>
        </w:rPr>
        <w:t>b</w:t>
      </w:r>
      <w:r w:rsidR="000E6A83" w:rsidRPr="009A101E">
        <w:rPr>
          <w:i/>
          <w:iCs/>
          <w:lang w:eastAsia="zh-CN"/>
        </w:rPr>
        <w:t>)</w:t>
      </w:r>
      <w:r w:rsidR="000E6A83">
        <w:rPr>
          <w:lang w:eastAsia="zh-CN"/>
        </w:rPr>
        <w:tab/>
      </w:r>
      <w:r>
        <w:rPr>
          <w:rFonts w:hint="eastAsia"/>
          <w:lang w:eastAsia="zh-CN"/>
        </w:rPr>
        <w:t>在两次世界大战中国际电联职员的状况；</w:t>
      </w:r>
    </w:p>
    <w:p w14:paraId="4827AE9A" w14:textId="77777777" w:rsidR="004F1192" w:rsidRDefault="004F1192" w:rsidP="00B64353">
      <w:pPr>
        <w:rPr>
          <w:lang w:eastAsia="zh-CN"/>
        </w:rPr>
      </w:pPr>
      <w:r w:rsidRPr="009A101E">
        <w:rPr>
          <w:i/>
          <w:iCs/>
          <w:lang w:eastAsia="zh-CN"/>
        </w:rPr>
        <w:t>c</w:t>
      </w:r>
      <w:r w:rsidR="000E6A83" w:rsidRPr="009A101E">
        <w:rPr>
          <w:i/>
          <w:iCs/>
          <w:lang w:eastAsia="zh-CN"/>
        </w:rPr>
        <w:t>)</w:t>
      </w:r>
      <w:r w:rsidR="000E6A83">
        <w:rPr>
          <w:lang w:eastAsia="zh-CN"/>
        </w:rPr>
        <w:tab/>
      </w:r>
      <w:r>
        <w:rPr>
          <w:rFonts w:hint="eastAsia"/>
          <w:lang w:eastAsia="zh-CN"/>
        </w:rPr>
        <w:t>由于国际电联职员的国际化而使遥远国</w:t>
      </w:r>
      <w:r w:rsidR="003641CE">
        <w:rPr>
          <w:rFonts w:hint="eastAsia"/>
          <w:lang w:eastAsia="zh-CN"/>
        </w:rPr>
        <w:t>度</w:t>
      </w:r>
      <w:r>
        <w:rPr>
          <w:rFonts w:hint="eastAsia"/>
          <w:lang w:eastAsia="zh-CN"/>
        </w:rPr>
        <w:t>的国民来到日内瓦；</w:t>
      </w:r>
    </w:p>
    <w:p w14:paraId="4827AE9B" w14:textId="77777777" w:rsidR="004F1192" w:rsidRDefault="004F1192" w:rsidP="00B64353">
      <w:pPr>
        <w:rPr>
          <w:lang w:eastAsia="zh-CN"/>
        </w:rPr>
      </w:pPr>
      <w:r w:rsidRPr="009A101E">
        <w:rPr>
          <w:i/>
          <w:iCs/>
          <w:lang w:eastAsia="zh-CN"/>
        </w:rPr>
        <w:t>d</w:t>
      </w:r>
      <w:r w:rsidR="000E6A83" w:rsidRPr="009A101E">
        <w:rPr>
          <w:i/>
          <w:iCs/>
          <w:lang w:eastAsia="zh-CN"/>
        </w:rPr>
        <w:t>)</w:t>
      </w:r>
      <w:r w:rsidR="000E6A83">
        <w:rPr>
          <w:lang w:eastAsia="zh-CN"/>
        </w:rPr>
        <w:tab/>
      </w:r>
      <w:r>
        <w:rPr>
          <w:rFonts w:hint="eastAsia"/>
          <w:lang w:eastAsia="zh-CN"/>
        </w:rPr>
        <w:t>如果国际电联官员</w:t>
      </w:r>
      <w:r w:rsidR="00A15C58">
        <w:rPr>
          <w:rFonts w:hint="eastAsia"/>
          <w:lang w:eastAsia="zh-CN"/>
        </w:rPr>
        <w:t>应</w:t>
      </w:r>
      <w:r>
        <w:rPr>
          <w:rFonts w:hint="eastAsia"/>
          <w:lang w:eastAsia="zh-CN"/>
        </w:rPr>
        <w:t>征</w:t>
      </w:r>
      <w:r w:rsidR="00A15C58">
        <w:rPr>
          <w:rFonts w:hint="eastAsia"/>
          <w:lang w:eastAsia="zh-CN"/>
        </w:rPr>
        <w:t>入伍</w:t>
      </w:r>
      <w:r>
        <w:rPr>
          <w:rFonts w:hint="eastAsia"/>
          <w:lang w:eastAsia="zh-CN"/>
        </w:rPr>
        <w:t>，会给其家庭状况带来问题，</w:t>
      </w:r>
    </w:p>
    <w:p w14:paraId="4827AE9C" w14:textId="77777777" w:rsidR="004F1192" w:rsidRPr="00D334B9" w:rsidRDefault="004F1192" w:rsidP="00B64353">
      <w:pPr>
        <w:pStyle w:val="call0"/>
        <w:rPr>
          <w:i/>
          <w:iCs/>
          <w:szCs w:val="22"/>
          <w:lang w:eastAsia="zh-CN"/>
        </w:rPr>
      </w:pPr>
      <w:r w:rsidRPr="00D334B9">
        <w:rPr>
          <w:rFonts w:hint="eastAsia"/>
          <w:iCs/>
          <w:szCs w:val="22"/>
          <w:lang w:eastAsia="zh-CN"/>
        </w:rPr>
        <w:t>做出决议，临时采取以下行动：</w:t>
      </w:r>
    </w:p>
    <w:p w14:paraId="4827AE9D" w14:textId="77777777" w:rsidR="004F1192" w:rsidRDefault="004F1192" w:rsidP="00B64353">
      <w:pPr>
        <w:rPr>
          <w:lang w:eastAsia="zh-CN"/>
        </w:rPr>
      </w:pPr>
      <w:r>
        <w:rPr>
          <w:lang w:eastAsia="zh-CN"/>
        </w:rPr>
        <w:t>1</w:t>
      </w:r>
      <w:r w:rsidR="00BC233A">
        <w:rPr>
          <w:lang w:eastAsia="zh-CN"/>
        </w:rPr>
        <w:tab/>
      </w:r>
      <w:r>
        <w:rPr>
          <w:rFonts w:hint="eastAsia"/>
          <w:lang w:eastAsia="zh-CN"/>
        </w:rPr>
        <w:t>如所涉及国家的主管当局不能为一</w:t>
      </w:r>
      <w:r w:rsidR="00A15C58">
        <w:rPr>
          <w:rFonts w:hint="eastAsia"/>
          <w:lang w:eastAsia="zh-CN"/>
        </w:rPr>
        <w:t>应</w:t>
      </w:r>
      <w:r>
        <w:rPr>
          <w:rFonts w:hint="eastAsia"/>
          <w:lang w:eastAsia="zh-CN"/>
        </w:rPr>
        <w:t>征</w:t>
      </w:r>
      <w:r w:rsidR="00A15C58">
        <w:rPr>
          <w:rFonts w:hint="eastAsia"/>
          <w:lang w:eastAsia="zh-CN"/>
        </w:rPr>
        <w:t>入伍</w:t>
      </w:r>
      <w:r>
        <w:rPr>
          <w:rFonts w:hint="eastAsia"/>
          <w:lang w:eastAsia="zh-CN"/>
        </w:rPr>
        <w:t>回原籍国的官员的家庭做出回国安排，则由国际电联承担他们的回国费用；</w:t>
      </w:r>
    </w:p>
    <w:p w14:paraId="4827AE9E" w14:textId="77777777" w:rsidR="00640176" w:rsidRDefault="00640176">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AE9F" w14:textId="77777777" w:rsidR="004F1192" w:rsidRDefault="004F1192" w:rsidP="00B64353">
      <w:pPr>
        <w:rPr>
          <w:lang w:eastAsia="zh-CN"/>
        </w:rPr>
      </w:pPr>
      <w:r>
        <w:rPr>
          <w:lang w:eastAsia="zh-CN"/>
        </w:rPr>
        <w:lastRenderedPageBreak/>
        <w:t>2</w:t>
      </w:r>
      <w:r w:rsidR="00BC233A">
        <w:rPr>
          <w:lang w:eastAsia="zh-CN"/>
        </w:rPr>
        <w:tab/>
      </w:r>
      <w:r>
        <w:rPr>
          <w:rFonts w:hint="eastAsia"/>
          <w:lang w:eastAsia="zh-CN"/>
        </w:rPr>
        <w:t>如证实不可能安排其家属回国，则国际电联向其家属支付该相关官员基本薪金的一半；</w:t>
      </w:r>
    </w:p>
    <w:p w14:paraId="4827AEA0" w14:textId="77777777" w:rsidR="004F1192" w:rsidRDefault="004F1192" w:rsidP="00B64353">
      <w:pPr>
        <w:rPr>
          <w:lang w:eastAsia="zh-CN"/>
        </w:rPr>
      </w:pPr>
      <w:r>
        <w:rPr>
          <w:lang w:eastAsia="zh-CN"/>
        </w:rPr>
        <w:t>3</w:t>
      </w:r>
      <w:r w:rsidR="00BC233A">
        <w:rPr>
          <w:lang w:eastAsia="zh-CN"/>
        </w:rPr>
        <w:tab/>
      </w:r>
      <w:r>
        <w:rPr>
          <w:rFonts w:hint="eastAsia"/>
          <w:lang w:eastAsia="zh-CN"/>
        </w:rPr>
        <w:t>上段不适用于那些尽管可做出回国安排，但因个人原因自行拒绝回国的</w:t>
      </w:r>
      <w:r w:rsidR="00A15C58">
        <w:rPr>
          <w:rFonts w:hint="eastAsia"/>
          <w:lang w:eastAsia="zh-CN"/>
        </w:rPr>
        <w:t>应</w:t>
      </w:r>
      <w:r>
        <w:rPr>
          <w:rFonts w:hint="eastAsia"/>
          <w:lang w:eastAsia="zh-CN"/>
        </w:rPr>
        <w:t>征</w:t>
      </w:r>
      <w:r w:rsidR="00A15C58">
        <w:rPr>
          <w:rFonts w:hint="eastAsia"/>
          <w:lang w:eastAsia="zh-CN"/>
        </w:rPr>
        <w:t>入伍</w:t>
      </w:r>
      <w:r>
        <w:rPr>
          <w:rFonts w:hint="eastAsia"/>
          <w:lang w:eastAsia="zh-CN"/>
        </w:rPr>
        <w:t>官员的家属，同样也不适用于瑞士国籍官员的家属；</w:t>
      </w:r>
    </w:p>
    <w:p w14:paraId="4827AEA1" w14:textId="77777777" w:rsidR="004F1192" w:rsidRDefault="004F1192" w:rsidP="00B64353">
      <w:pPr>
        <w:rPr>
          <w:lang w:eastAsia="zh-CN"/>
        </w:rPr>
      </w:pPr>
      <w:r>
        <w:rPr>
          <w:lang w:eastAsia="zh-CN"/>
        </w:rPr>
        <w:t>4</w:t>
      </w:r>
      <w:r w:rsidR="00BC233A">
        <w:rPr>
          <w:lang w:eastAsia="zh-CN"/>
        </w:rPr>
        <w:tab/>
      </w:r>
      <w:r>
        <w:rPr>
          <w:rFonts w:hint="eastAsia"/>
          <w:lang w:eastAsia="zh-CN"/>
        </w:rPr>
        <w:t>国际电联将负责向国际电联官员家属的国籍所属国追索因本决议而产生的费用。</w:t>
      </w:r>
    </w:p>
    <w:p w14:paraId="4827AEA2" w14:textId="77777777" w:rsidR="00F11D1D" w:rsidRPr="00EB3A18" w:rsidRDefault="004F1192" w:rsidP="00EB3A18">
      <w:pPr>
        <w:pStyle w:val="Endtext"/>
        <w:rPr>
          <w:lang w:eastAsia="zh-CN"/>
        </w:rPr>
      </w:pPr>
      <w:r w:rsidRPr="00EB3A18">
        <w:rPr>
          <w:rFonts w:hint="eastAsia"/>
          <w:lang w:eastAsia="zh-CN"/>
        </w:rPr>
        <w:t>参阅：</w:t>
      </w:r>
      <w:r w:rsidRPr="00EB3A18">
        <w:rPr>
          <w:lang w:eastAsia="zh-CN"/>
        </w:rPr>
        <w:tab/>
        <w:t>1239/CA7</w:t>
      </w:r>
      <w:r w:rsidRPr="00EB3A18">
        <w:rPr>
          <w:rFonts w:hint="eastAsia"/>
          <w:lang w:eastAsia="zh-CN"/>
        </w:rPr>
        <w:t>号文件</w:t>
      </w:r>
      <w:r w:rsidRPr="00EB3A18">
        <w:rPr>
          <w:lang w:eastAsia="zh-CN"/>
        </w:rPr>
        <w:t>（</w:t>
      </w:r>
      <w:r w:rsidRPr="00EB3A18">
        <w:rPr>
          <w:lang w:eastAsia="zh-CN"/>
        </w:rPr>
        <w:t>1952</w:t>
      </w:r>
      <w:r w:rsidRPr="00EB3A18">
        <w:rPr>
          <w:rFonts w:hint="eastAsia"/>
          <w:lang w:eastAsia="zh-CN"/>
        </w:rPr>
        <w:t>年</w:t>
      </w:r>
      <w:r w:rsidRPr="00EB3A18">
        <w:rPr>
          <w:lang w:eastAsia="zh-CN"/>
        </w:rPr>
        <w:t>）</w:t>
      </w:r>
      <w:r w:rsidRPr="00EB3A18">
        <w:rPr>
          <w:rFonts w:hint="eastAsia"/>
          <w:lang w:eastAsia="zh-CN"/>
        </w:rPr>
        <w:t>。</w:t>
      </w:r>
    </w:p>
    <w:p w14:paraId="4827AEA3" w14:textId="77777777" w:rsidR="00481C40" w:rsidRDefault="00481C40" w:rsidP="00481C40">
      <w:pPr>
        <w:jc w:val="center"/>
        <w:rPr>
          <w:lang w:eastAsia="zh-CN"/>
        </w:rPr>
      </w:pPr>
      <w:bookmarkStart w:id="311" w:name="_Toc424116951"/>
      <w:bookmarkStart w:id="312" w:name="_Toc531706292"/>
      <w:bookmarkStart w:id="313" w:name="_Toc531706888"/>
      <w:bookmarkStart w:id="314" w:name="_Toc531768381"/>
      <w:bookmarkStart w:id="315" w:name="_Toc161224007"/>
      <w:bookmarkStart w:id="316" w:name="_Toc161732053"/>
      <w:bookmarkStart w:id="317" w:name="_Toc161740980"/>
      <w:bookmarkStart w:id="318" w:name="_Toc185237649"/>
      <w:bookmarkStart w:id="319" w:name="_Toc311469566"/>
      <w:r>
        <w:rPr>
          <w:lang w:eastAsia="zh-CN"/>
        </w:rPr>
        <w:t>______________</w:t>
      </w:r>
    </w:p>
    <w:p w14:paraId="4827AEA4" w14:textId="77777777" w:rsidR="00EB3A18" w:rsidRDefault="004F1192" w:rsidP="00A75FB5">
      <w:pPr>
        <w:pStyle w:val="ResNo"/>
        <w:outlineLvl w:val="0"/>
        <w:rPr>
          <w:lang w:eastAsia="zh-CN"/>
        </w:rPr>
      </w:pPr>
      <w:bookmarkStart w:id="320" w:name="_Toc16085700"/>
      <w:bookmarkStart w:id="321" w:name="_Toc86395504"/>
      <w:r w:rsidRPr="00F36B07">
        <w:rPr>
          <w:rFonts w:hint="eastAsia"/>
          <w:lang w:eastAsia="zh-CN"/>
        </w:rPr>
        <w:t>第</w:t>
      </w:r>
      <w:r w:rsidRPr="00F36B07">
        <w:rPr>
          <w:rFonts w:hint="eastAsia"/>
          <w:lang w:eastAsia="zh-CN"/>
        </w:rPr>
        <w:t>626</w:t>
      </w:r>
      <w:r w:rsidRPr="00F36B07">
        <w:rPr>
          <w:rFonts w:hint="eastAsia"/>
          <w:lang w:eastAsia="zh-CN"/>
        </w:rPr>
        <w:t>号决议</w:t>
      </w:r>
      <w:r w:rsidR="008063E0">
        <w:rPr>
          <w:rFonts w:hint="eastAsia"/>
          <w:lang w:eastAsia="zh-CN"/>
        </w:rPr>
        <w:t>（</w:t>
      </w:r>
      <w:r w:rsidR="00EB3A18" w:rsidRPr="00D334B9">
        <w:rPr>
          <w:lang w:eastAsia="zh-CN"/>
        </w:rPr>
        <w:t>C-1968</w:t>
      </w:r>
      <w:r w:rsidR="00EB3A18" w:rsidRPr="00D334B9">
        <w:rPr>
          <w:rFonts w:hint="eastAsia"/>
          <w:lang w:eastAsia="zh-CN"/>
        </w:rPr>
        <w:t>，最后修正</w:t>
      </w:r>
      <w:r w:rsidR="00EB3A18" w:rsidRPr="00D334B9">
        <w:rPr>
          <w:lang w:eastAsia="zh-CN"/>
        </w:rPr>
        <w:t>C-1984</w:t>
      </w:r>
      <w:r w:rsidR="008063E0">
        <w:rPr>
          <w:rFonts w:hint="eastAsia"/>
          <w:lang w:eastAsia="zh-CN"/>
        </w:rPr>
        <w:t>）</w:t>
      </w:r>
      <w:bookmarkEnd w:id="311"/>
      <w:bookmarkEnd w:id="312"/>
      <w:bookmarkEnd w:id="313"/>
      <w:bookmarkEnd w:id="314"/>
      <w:bookmarkEnd w:id="320"/>
      <w:bookmarkEnd w:id="321"/>
    </w:p>
    <w:p w14:paraId="4827AEA5" w14:textId="77777777" w:rsidR="00F11D1D" w:rsidRPr="00EB3A18" w:rsidRDefault="004F1192" w:rsidP="00EB3A18">
      <w:pPr>
        <w:pStyle w:val="Restitle"/>
        <w:rPr>
          <w:lang w:eastAsia="zh-CN"/>
        </w:rPr>
      </w:pPr>
      <w:bookmarkStart w:id="322" w:name="_Toc424116206"/>
      <w:bookmarkStart w:id="323" w:name="_Toc424116952"/>
      <w:bookmarkStart w:id="324" w:name="_Toc460248055"/>
      <w:bookmarkStart w:id="325" w:name="_Toc531706293"/>
      <w:bookmarkStart w:id="326" w:name="_Toc531706889"/>
      <w:bookmarkStart w:id="327" w:name="_Toc531768382"/>
      <w:bookmarkStart w:id="328" w:name="_Toc16085701"/>
      <w:bookmarkStart w:id="329" w:name="_Toc86395505"/>
      <w:r w:rsidRPr="00EB3A18">
        <w:rPr>
          <w:rFonts w:hint="eastAsia"/>
          <w:lang w:eastAsia="zh-CN"/>
        </w:rPr>
        <w:t>职位空缺的公布</w:t>
      </w:r>
      <w:bookmarkEnd w:id="315"/>
      <w:bookmarkEnd w:id="316"/>
      <w:bookmarkEnd w:id="317"/>
      <w:bookmarkEnd w:id="318"/>
      <w:bookmarkEnd w:id="319"/>
      <w:bookmarkEnd w:id="322"/>
      <w:bookmarkEnd w:id="323"/>
      <w:bookmarkEnd w:id="324"/>
      <w:bookmarkEnd w:id="325"/>
      <w:bookmarkEnd w:id="326"/>
      <w:bookmarkEnd w:id="327"/>
      <w:bookmarkEnd w:id="328"/>
      <w:bookmarkEnd w:id="329"/>
    </w:p>
    <w:p w14:paraId="4827AEA6" w14:textId="77777777" w:rsidR="004F1192" w:rsidRDefault="004F1192" w:rsidP="00DA228B">
      <w:pPr>
        <w:pStyle w:val="Normalaftertitle"/>
        <w:rPr>
          <w:lang w:eastAsia="zh-CN"/>
        </w:rPr>
      </w:pPr>
      <w:r>
        <w:rPr>
          <w:rFonts w:hint="eastAsia"/>
          <w:lang w:eastAsia="zh-CN"/>
        </w:rPr>
        <w:t>理事会，</w:t>
      </w:r>
    </w:p>
    <w:p w14:paraId="4827AEA7" w14:textId="77777777" w:rsidR="004F1192" w:rsidRDefault="004F1192" w:rsidP="00B64353">
      <w:pPr>
        <w:pStyle w:val="Call"/>
        <w:rPr>
          <w:lang w:eastAsia="zh-CN"/>
        </w:rPr>
      </w:pPr>
      <w:r>
        <w:rPr>
          <w:rFonts w:hint="eastAsia"/>
          <w:lang w:eastAsia="zh-CN"/>
        </w:rPr>
        <w:t>鉴于</w:t>
      </w:r>
    </w:p>
    <w:p w14:paraId="4827AEA8" w14:textId="77777777" w:rsidR="004F1192" w:rsidRDefault="004F1192" w:rsidP="00B64353">
      <w:pPr>
        <w:rPr>
          <w:lang w:eastAsia="zh-CN"/>
        </w:rPr>
      </w:pPr>
      <w:r w:rsidRPr="00E053C4">
        <w:rPr>
          <w:i/>
          <w:iCs/>
          <w:lang w:eastAsia="zh-CN"/>
        </w:rPr>
        <w:t>a</w:t>
      </w:r>
      <w:r w:rsidR="000E6A83" w:rsidRPr="00E053C4">
        <w:rPr>
          <w:i/>
          <w:iCs/>
          <w:lang w:eastAsia="zh-CN"/>
        </w:rPr>
        <w:t>)</w:t>
      </w:r>
      <w:r w:rsidR="000E6A83">
        <w:rPr>
          <w:lang w:eastAsia="zh-CN"/>
        </w:rPr>
        <w:tab/>
      </w:r>
      <w:r>
        <w:rPr>
          <w:lang w:eastAsia="zh-CN"/>
        </w:rPr>
        <w:t>1982</w:t>
      </w:r>
      <w:r>
        <w:rPr>
          <w:rFonts w:hint="eastAsia"/>
          <w:lang w:eastAsia="zh-CN"/>
        </w:rPr>
        <w:t>年内罗毕全权代表大会第</w:t>
      </w:r>
      <w:r>
        <w:rPr>
          <w:lang w:eastAsia="zh-CN"/>
        </w:rPr>
        <w:t>58</w:t>
      </w:r>
      <w:r>
        <w:rPr>
          <w:rFonts w:hint="eastAsia"/>
          <w:lang w:eastAsia="zh-CN"/>
        </w:rPr>
        <w:t>号决议的条款责成理事会对国际电联职员地域分配的问题不断进行研究，以便实现更广泛、更具代表性的分布；</w:t>
      </w:r>
    </w:p>
    <w:p w14:paraId="4827AEA9" w14:textId="77777777" w:rsidR="004F1192" w:rsidRDefault="004F1192" w:rsidP="00B64353">
      <w:pPr>
        <w:rPr>
          <w:lang w:eastAsia="zh-CN"/>
        </w:rPr>
      </w:pPr>
      <w:r w:rsidRPr="00E053C4">
        <w:rPr>
          <w:i/>
          <w:iCs/>
          <w:lang w:eastAsia="zh-CN"/>
        </w:rPr>
        <w:t>b</w:t>
      </w:r>
      <w:r w:rsidR="000E6A83" w:rsidRPr="00E053C4">
        <w:rPr>
          <w:i/>
          <w:iCs/>
          <w:lang w:eastAsia="zh-CN"/>
        </w:rPr>
        <w:t>)</w:t>
      </w:r>
      <w:r w:rsidR="000E6A83">
        <w:rPr>
          <w:lang w:eastAsia="zh-CN"/>
        </w:rPr>
        <w:tab/>
      </w:r>
      <w:r>
        <w:rPr>
          <w:rFonts w:hint="eastAsia"/>
          <w:lang w:eastAsia="zh-CN"/>
        </w:rPr>
        <w:t>在理事会第</w:t>
      </w:r>
      <w:r>
        <w:rPr>
          <w:lang w:eastAsia="zh-CN"/>
        </w:rPr>
        <w:t>33</w:t>
      </w:r>
      <w:r>
        <w:rPr>
          <w:rFonts w:hint="eastAsia"/>
          <w:lang w:eastAsia="zh-CN"/>
        </w:rPr>
        <w:t>届会议上批准的定级标准所规定的语言要求方面，发展中国家的应聘人员可能会遇到困难，尽管他们可能符合其它方面的条件，</w:t>
      </w:r>
    </w:p>
    <w:p w14:paraId="4827AEAA" w14:textId="77777777" w:rsidR="004F1192" w:rsidRDefault="004F1192" w:rsidP="00B64353">
      <w:pPr>
        <w:rPr>
          <w:lang w:eastAsia="zh-CN"/>
        </w:rPr>
      </w:pPr>
      <w:r>
        <w:rPr>
          <w:lang w:eastAsia="zh-CN"/>
        </w:rPr>
        <w:tab/>
      </w:r>
      <w:r>
        <w:rPr>
          <w:rFonts w:eastAsia="STKaiti" w:hint="eastAsia"/>
          <w:lang w:eastAsia="zh-CN"/>
        </w:rPr>
        <w:t>做出决议，</w:t>
      </w:r>
      <w:r>
        <w:rPr>
          <w:rFonts w:ascii="SimSun" w:hAnsi="SimSun" w:hint="eastAsia"/>
          <w:lang w:eastAsia="zh-CN"/>
        </w:rPr>
        <w:t>授权放宽</w:t>
      </w:r>
      <w:r>
        <w:rPr>
          <w:rFonts w:hint="eastAsia"/>
          <w:lang w:eastAsia="zh-CN"/>
        </w:rPr>
        <w:t>定级标准的要求，以便当此类国家的应聘人员充分掌握国际电联的一种工作语文时，其申请可以得到考虑，</w:t>
      </w:r>
    </w:p>
    <w:p w14:paraId="4827AEAB" w14:textId="77777777" w:rsidR="004F1192" w:rsidRDefault="004F1192" w:rsidP="00B64353">
      <w:pPr>
        <w:rPr>
          <w:lang w:eastAsia="zh-CN"/>
        </w:rPr>
      </w:pPr>
      <w:r>
        <w:rPr>
          <w:lang w:eastAsia="zh-CN"/>
        </w:rPr>
        <w:tab/>
      </w:r>
      <w:r>
        <w:rPr>
          <w:rFonts w:eastAsia="STKaiti" w:hint="eastAsia"/>
          <w:lang w:eastAsia="zh-CN"/>
        </w:rPr>
        <w:t>责成秘书长</w:t>
      </w:r>
      <w:r>
        <w:rPr>
          <w:rFonts w:ascii="SimSun" w:hAnsi="SimSun" w:hint="eastAsia"/>
          <w:lang w:eastAsia="zh-CN"/>
        </w:rPr>
        <w:t>在公布职位空缺的通函中向各成员通报此情况。</w:t>
      </w:r>
    </w:p>
    <w:p w14:paraId="4827AEAC" w14:textId="77777777" w:rsidR="00F11D1D" w:rsidRPr="002E405F" w:rsidRDefault="004F1192" w:rsidP="008063E0">
      <w:pPr>
        <w:pStyle w:val="Endtext"/>
        <w:rPr>
          <w:lang w:val="fr-FR" w:eastAsia="zh-CN"/>
        </w:rPr>
      </w:pPr>
      <w:r>
        <w:rPr>
          <w:rFonts w:hint="eastAsia"/>
          <w:lang w:eastAsia="zh-CN"/>
        </w:rPr>
        <w:t>参阅</w:t>
      </w:r>
      <w:r>
        <w:rPr>
          <w:rFonts w:ascii="STKaiti" w:hAnsi="SimSun" w:hint="eastAsia"/>
          <w:lang w:eastAsia="zh-CN"/>
        </w:rPr>
        <w:t>：</w:t>
      </w:r>
      <w:r>
        <w:rPr>
          <w:lang w:eastAsia="zh-CN"/>
        </w:rPr>
        <w:tab/>
        <w:t>3828/CA23</w:t>
      </w:r>
      <w:r>
        <w:rPr>
          <w:lang w:eastAsia="zh-CN"/>
        </w:rPr>
        <w:t>（</w:t>
      </w:r>
      <w:r>
        <w:rPr>
          <w:lang w:eastAsia="zh-CN"/>
        </w:rPr>
        <w:t>1968</w:t>
      </w:r>
      <w:r>
        <w:rPr>
          <w:rFonts w:hint="eastAsia"/>
          <w:lang w:eastAsia="zh-CN"/>
        </w:rPr>
        <w:t>年</w:t>
      </w:r>
      <w:r>
        <w:rPr>
          <w:lang w:eastAsia="zh-CN"/>
        </w:rPr>
        <w:t>）</w:t>
      </w:r>
      <w:r>
        <w:rPr>
          <w:rFonts w:hint="eastAsia"/>
          <w:lang w:eastAsia="zh-CN"/>
        </w:rPr>
        <w:t>、</w:t>
      </w:r>
      <w:r>
        <w:rPr>
          <w:lang w:eastAsia="zh-CN"/>
        </w:rPr>
        <w:t>5703/CA36</w:t>
      </w:r>
      <w:r>
        <w:rPr>
          <w:lang w:eastAsia="zh-CN"/>
        </w:rPr>
        <w:t>（</w:t>
      </w:r>
      <w:r>
        <w:rPr>
          <w:lang w:eastAsia="zh-CN"/>
        </w:rPr>
        <w:t>1981</w:t>
      </w:r>
      <w:r>
        <w:rPr>
          <w:rFonts w:hint="eastAsia"/>
          <w:lang w:eastAsia="zh-CN"/>
        </w:rPr>
        <w:t>年</w:t>
      </w:r>
      <w:r>
        <w:rPr>
          <w:lang w:eastAsia="zh-CN"/>
        </w:rPr>
        <w:t>）</w:t>
      </w:r>
      <w:r>
        <w:rPr>
          <w:rFonts w:hint="eastAsia"/>
          <w:lang w:eastAsia="zh-CN"/>
        </w:rPr>
        <w:t>、</w:t>
      </w:r>
      <w:r>
        <w:rPr>
          <w:lang w:eastAsia="zh-CN"/>
        </w:rPr>
        <w:t>6197/CA39</w:t>
      </w:r>
      <w:r>
        <w:rPr>
          <w:lang w:eastAsia="zh-CN"/>
        </w:rPr>
        <w:t>（</w:t>
      </w:r>
      <w:r>
        <w:rPr>
          <w:lang w:eastAsia="zh-CN"/>
        </w:rPr>
        <w:t>1984</w:t>
      </w:r>
      <w:r>
        <w:rPr>
          <w:rFonts w:hint="eastAsia"/>
          <w:lang w:eastAsia="zh-CN"/>
        </w:rPr>
        <w:t>年</w:t>
      </w:r>
      <w:r>
        <w:rPr>
          <w:lang w:eastAsia="zh-CN"/>
        </w:rPr>
        <w:t>）</w:t>
      </w:r>
      <w:r>
        <w:rPr>
          <w:rFonts w:ascii="SimSun" w:hAnsi="SimSun" w:hint="eastAsia"/>
          <w:lang w:eastAsia="zh-CN"/>
        </w:rPr>
        <w:t>号文件。</w:t>
      </w:r>
    </w:p>
    <w:p w14:paraId="4827AEAD" w14:textId="77777777" w:rsidR="00481C40" w:rsidRDefault="00481C40" w:rsidP="00481C40">
      <w:pPr>
        <w:jc w:val="center"/>
        <w:rPr>
          <w:lang w:eastAsia="zh-CN"/>
        </w:rPr>
      </w:pPr>
      <w:bookmarkStart w:id="330" w:name="_Toc63839042"/>
      <w:bookmarkStart w:id="331" w:name="_Toc78271303"/>
      <w:bookmarkStart w:id="332" w:name="_Toc81880050"/>
      <w:bookmarkStart w:id="333" w:name="_Toc161224008"/>
      <w:bookmarkStart w:id="334" w:name="_Toc161732054"/>
      <w:bookmarkStart w:id="335" w:name="_Toc161740981"/>
      <w:bookmarkStart w:id="336" w:name="_Toc185237650"/>
      <w:bookmarkStart w:id="337" w:name="_Toc311469567"/>
      <w:r>
        <w:rPr>
          <w:lang w:eastAsia="zh-CN"/>
        </w:rPr>
        <w:t>______________</w:t>
      </w:r>
    </w:p>
    <w:p w14:paraId="4827AEAE" w14:textId="77777777" w:rsidR="00481C40" w:rsidRDefault="00481C40">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EAF" w14:textId="77777777" w:rsidR="00D32C40" w:rsidRDefault="00D32C40">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EB0" w14:textId="77777777" w:rsidR="00763587" w:rsidRDefault="00763587">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EB1" w14:textId="77777777" w:rsidR="00763587" w:rsidRDefault="00763587">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EB2" w14:textId="77777777" w:rsidR="00640176" w:rsidRDefault="00640176">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AEB3" w14:textId="77777777" w:rsidR="008063E0" w:rsidRDefault="004F1192" w:rsidP="00A75FB5">
      <w:pPr>
        <w:pStyle w:val="ResNo"/>
        <w:outlineLvl w:val="0"/>
        <w:rPr>
          <w:lang w:eastAsia="zh-CN"/>
        </w:rPr>
      </w:pPr>
      <w:bookmarkStart w:id="338" w:name="_Toc424116953"/>
      <w:bookmarkStart w:id="339" w:name="_Toc531706294"/>
      <w:bookmarkStart w:id="340" w:name="_Toc531706890"/>
      <w:bookmarkStart w:id="341" w:name="_Toc531768383"/>
      <w:bookmarkStart w:id="342" w:name="_Toc16085702"/>
      <w:bookmarkStart w:id="343" w:name="_Toc86395506"/>
      <w:r>
        <w:rPr>
          <w:rFonts w:hint="eastAsia"/>
          <w:lang w:eastAsia="zh-CN"/>
        </w:rPr>
        <w:lastRenderedPageBreak/>
        <w:t>第</w:t>
      </w:r>
      <w:r w:rsidR="00F11D1D" w:rsidRPr="00D746C3">
        <w:rPr>
          <w:lang w:eastAsia="zh-CN"/>
        </w:rPr>
        <w:t>647</w:t>
      </w:r>
      <w:r>
        <w:rPr>
          <w:rFonts w:hint="eastAsia"/>
          <w:lang w:eastAsia="zh-CN"/>
        </w:rPr>
        <w:t>号决议</w:t>
      </w:r>
      <w:bookmarkEnd w:id="330"/>
      <w:bookmarkEnd w:id="331"/>
      <w:bookmarkEnd w:id="332"/>
      <w:r w:rsidR="008063E0">
        <w:rPr>
          <w:rFonts w:hint="eastAsia"/>
          <w:lang w:eastAsia="zh-CN"/>
        </w:rPr>
        <w:t>（</w:t>
      </w:r>
      <w:r w:rsidR="008063E0" w:rsidRPr="00C3403A">
        <w:rPr>
          <w:lang w:eastAsia="zh-CN"/>
        </w:rPr>
        <w:t>C-1969</w:t>
      </w:r>
      <w:r w:rsidR="008063E0" w:rsidRPr="00C3403A">
        <w:rPr>
          <w:rFonts w:hint="eastAsia"/>
          <w:lang w:eastAsia="zh-CN"/>
        </w:rPr>
        <w:t>，最后修正</w:t>
      </w:r>
      <w:r w:rsidR="008063E0" w:rsidRPr="00C3403A">
        <w:rPr>
          <w:lang w:eastAsia="zh-CN"/>
        </w:rPr>
        <w:t>C03</w:t>
      </w:r>
      <w:r w:rsidR="008063E0">
        <w:rPr>
          <w:rFonts w:hint="eastAsia"/>
          <w:lang w:eastAsia="zh-CN"/>
        </w:rPr>
        <w:t>）</w:t>
      </w:r>
      <w:bookmarkEnd w:id="338"/>
      <w:bookmarkEnd w:id="339"/>
      <w:bookmarkEnd w:id="340"/>
      <w:bookmarkEnd w:id="341"/>
      <w:bookmarkEnd w:id="342"/>
      <w:bookmarkEnd w:id="343"/>
    </w:p>
    <w:p w14:paraId="4827AEB4" w14:textId="77777777" w:rsidR="00F11D1D" w:rsidRPr="008063E0" w:rsidRDefault="004F1192" w:rsidP="008063E0">
      <w:pPr>
        <w:pStyle w:val="Restitle"/>
        <w:rPr>
          <w:lang w:eastAsia="zh-CN"/>
        </w:rPr>
      </w:pPr>
      <w:bookmarkStart w:id="344" w:name="_Toc424116207"/>
      <w:bookmarkStart w:id="345" w:name="_Toc424116954"/>
      <w:bookmarkStart w:id="346" w:name="_Toc460248057"/>
      <w:bookmarkStart w:id="347" w:name="_Toc531706295"/>
      <w:bookmarkStart w:id="348" w:name="_Toc531706891"/>
      <w:bookmarkStart w:id="349" w:name="_Toc531768384"/>
      <w:bookmarkStart w:id="350" w:name="_Toc16085703"/>
      <w:bookmarkStart w:id="351" w:name="_Toc86395507"/>
      <w:r w:rsidRPr="008063E0">
        <w:rPr>
          <w:rFonts w:hint="eastAsia"/>
          <w:lang w:eastAsia="zh-CN"/>
        </w:rPr>
        <w:t>联合国共同制度薪酬条件的变更</w:t>
      </w:r>
      <w:bookmarkEnd w:id="333"/>
      <w:bookmarkEnd w:id="334"/>
      <w:bookmarkEnd w:id="335"/>
      <w:bookmarkEnd w:id="336"/>
      <w:bookmarkEnd w:id="337"/>
      <w:bookmarkEnd w:id="344"/>
      <w:bookmarkEnd w:id="345"/>
      <w:bookmarkEnd w:id="346"/>
      <w:bookmarkEnd w:id="347"/>
      <w:bookmarkEnd w:id="348"/>
      <w:bookmarkEnd w:id="349"/>
      <w:bookmarkEnd w:id="350"/>
      <w:bookmarkEnd w:id="351"/>
    </w:p>
    <w:p w14:paraId="4827AEB5" w14:textId="77777777" w:rsidR="004F1192" w:rsidRDefault="004F1192" w:rsidP="00DA228B">
      <w:pPr>
        <w:pStyle w:val="Normalaftertitle"/>
        <w:rPr>
          <w:lang w:eastAsia="zh-CN"/>
        </w:rPr>
      </w:pPr>
      <w:r>
        <w:rPr>
          <w:rFonts w:hint="eastAsia"/>
          <w:lang w:eastAsia="zh-CN"/>
        </w:rPr>
        <w:t>理事会，</w:t>
      </w:r>
    </w:p>
    <w:p w14:paraId="4827AEB6" w14:textId="77777777" w:rsidR="004F1192" w:rsidRDefault="004F1192" w:rsidP="008063E0">
      <w:pPr>
        <w:ind w:firstLineChars="200" w:firstLine="480"/>
        <w:rPr>
          <w:lang w:eastAsia="zh-CN"/>
        </w:rPr>
      </w:pPr>
      <w:r>
        <w:rPr>
          <w:rFonts w:eastAsia="STKaiti" w:hint="eastAsia"/>
          <w:lang w:eastAsia="zh-CN"/>
        </w:rPr>
        <w:t>鉴于</w:t>
      </w:r>
      <w:r>
        <w:rPr>
          <w:rFonts w:ascii="STKaiti" w:eastAsia="STKaiti" w:hint="eastAsia"/>
          <w:lang w:eastAsia="zh-CN"/>
        </w:rPr>
        <w:t>《</w:t>
      </w:r>
      <w:r>
        <w:rPr>
          <w:rFonts w:hint="eastAsia"/>
          <w:lang w:eastAsia="zh-CN"/>
        </w:rPr>
        <w:t>国际电信公约》（</w:t>
      </w:r>
      <w:r>
        <w:rPr>
          <w:lang w:eastAsia="zh-CN"/>
        </w:rPr>
        <w:t>1992</w:t>
      </w:r>
      <w:r>
        <w:rPr>
          <w:rFonts w:hint="eastAsia"/>
          <w:lang w:eastAsia="zh-CN"/>
        </w:rPr>
        <w:t>年，日内瓦）第</w:t>
      </w:r>
      <w:r>
        <w:rPr>
          <w:lang w:eastAsia="zh-CN"/>
        </w:rPr>
        <w:t>64</w:t>
      </w:r>
      <w:r>
        <w:rPr>
          <w:rFonts w:hint="eastAsia"/>
          <w:lang w:eastAsia="zh-CN"/>
        </w:rPr>
        <w:t>至</w:t>
      </w:r>
      <w:r>
        <w:rPr>
          <w:lang w:eastAsia="zh-CN"/>
        </w:rPr>
        <w:t>68</w:t>
      </w:r>
      <w:r>
        <w:rPr>
          <w:rFonts w:hint="eastAsia"/>
          <w:lang w:eastAsia="zh-CN"/>
        </w:rPr>
        <w:t>款的规定，</w:t>
      </w:r>
    </w:p>
    <w:p w14:paraId="4827AEB7" w14:textId="77777777" w:rsidR="004F1192" w:rsidRDefault="004F1192" w:rsidP="008063E0">
      <w:pPr>
        <w:ind w:firstLineChars="200" w:firstLine="480"/>
        <w:rPr>
          <w:lang w:eastAsia="zh-CN"/>
        </w:rPr>
      </w:pPr>
      <w:r>
        <w:rPr>
          <w:rFonts w:eastAsia="STKaiti" w:hint="eastAsia"/>
          <w:lang w:eastAsia="zh-CN"/>
        </w:rPr>
        <w:t>责成秘书长</w:t>
      </w:r>
      <w:r>
        <w:rPr>
          <w:rFonts w:hint="eastAsia"/>
          <w:lang w:eastAsia="zh-CN"/>
        </w:rPr>
        <w:t>根据理事会随后将采取的行动：</w:t>
      </w:r>
    </w:p>
    <w:p w14:paraId="4827AEB8" w14:textId="77777777" w:rsidR="004F1192" w:rsidRDefault="004F1192" w:rsidP="00B64353">
      <w:pPr>
        <w:rPr>
          <w:lang w:eastAsia="zh-CN"/>
        </w:rPr>
      </w:pPr>
      <w:r>
        <w:rPr>
          <w:lang w:eastAsia="zh-CN"/>
        </w:rPr>
        <w:t>1</w:t>
      </w:r>
      <w:r w:rsidR="00BC233A">
        <w:rPr>
          <w:lang w:eastAsia="zh-CN"/>
        </w:rPr>
        <w:tab/>
      </w:r>
      <w:r>
        <w:rPr>
          <w:rFonts w:hint="eastAsia"/>
          <w:lang w:eastAsia="zh-CN"/>
        </w:rPr>
        <w:t>当联合国共同制度通过的对资深顾问、专业和一般事务职类职员的基本等级表、就职地点补贴调整数与等级、加班费和各种津贴等做出的变更适用于日内瓦时，进行相应的变更；</w:t>
      </w:r>
    </w:p>
    <w:p w14:paraId="4827AEB9" w14:textId="77777777" w:rsidR="003641CE" w:rsidRDefault="004F1192" w:rsidP="00B64353">
      <w:pPr>
        <w:rPr>
          <w:lang w:eastAsia="zh-CN"/>
        </w:rPr>
      </w:pPr>
      <w:r>
        <w:rPr>
          <w:lang w:eastAsia="zh-CN"/>
        </w:rPr>
        <w:t>2</w:t>
      </w:r>
      <w:r w:rsidR="00BC233A">
        <w:rPr>
          <w:lang w:eastAsia="zh-CN"/>
        </w:rPr>
        <w:tab/>
      </w:r>
      <w:r w:rsidR="003641CE">
        <w:rPr>
          <w:rFonts w:hint="eastAsia"/>
          <w:lang w:eastAsia="zh-CN"/>
        </w:rPr>
        <w:t>介绍因这些变更而需对《人事规则》和《人事细则》进行的修正，但其中不包括那些不属于共同制度范围的对《人事规则》的修正，这些修正必须提交理事会批准；</w:t>
      </w:r>
    </w:p>
    <w:p w14:paraId="4827AEBA" w14:textId="77777777" w:rsidR="004F1192" w:rsidRDefault="003641CE" w:rsidP="00B64353">
      <w:pPr>
        <w:rPr>
          <w:lang w:eastAsia="zh-CN"/>
        </w:rPr>
      </w:pPr>
      <w:r>
        <w:rPr>
          <w:rFonts w:hint="eastAsia"/>
          <w:lang w:eastAsia="zh-CN"/>
        </w:rPr>
        <w:t>3</w:t>
      </w:r>
      <w:r w:rsidR="00BC233A">
        <w:rPr>
          <w:rFonts w:hint="eastAsia"/>
          <w:lang w:eastAsia="zh-CN"/>
        </w:rPr>
        <w:tab/>
      </w:r>
      <w:r w:rsidR="004F1192">
        <w:rPr>
          <w:rFonts w:hint="eastAsia"/>
          <w:lang w:eastAsia="zh-CN"/>
        </w:rPr>
        <w:t>向理事会下届会议提交一份包括所有材料在内的完整的报告，说明所采取行动的必要性，并提交一份说明财务影响的报表。</w:t>
      </w:r>
    </w:p>
    <w:p w14:paraId="4827AEBB" w14:textId="77777777" w:rsidR="00F11D1D" w:rsidRPr="00781F81" w:rsidRDefault="004F1192" w:rsidP="008063E0">
      <w:pPr>
        <w:pStyle w:val="Endtext"/>
        <w:rPr>
          <w:lang w:val="en-GB"/>
        </w:rPr>
      </w:pPr>
      <w:r>
        <w:rPr>
          <w:rFonts w:hint="eastAsia"/>
          <w:lang w:eastAsia="zh-CN"/>
        </w:rPr>
        <w:t>参阅</w:t>
      </w:r>
      <w:r w:rsidRPr="00781F81">
        <w:rPr>
          <w:rFonts w:ascii="STKaiti" w:hAnsi="SimSun" w:hint="eastAsia"/>
          <w:lang w:val="en-GB" w:eastAsia="zh-CN"/>
        </w:rPr>
        <w:t>：</w:t>
      </w:r>
      <w:r w:rsidRPr="00781F81">
        <w:rPr>
          <w:lang w:val="en-GB"/>
        </w:rPr>
        <w:tab/>
        <w:t>3977/CA24</w:t>
      </w:r>
      <w:r w:rsidRPr="00781F81">
        <w:rPr>
          <w:lang w:val="en-GB"/>
        </w:rPr>
        <w:t>（</w:t>
      </w:r>
      <w:r w:rsidRPr="00781F81">
        <w:rPr>
          <w:lang w:val="en-GB"/>
        </w:rPr>
        <w:t>1969</w:t>
      </w:r>
      <w:r>
        <w:rPr>
          <w:rFonts w:hint="eastAsia"/>
          <w:lang w:eastAsia="zh-CN"/>
        </w:rPr>
        <w:t>年</w:t>
      </w:r>
      <w:r w:rsidRPr="00781F81">
        <w:rPr>
          <w:lang w:val="en-GB"/>
        </w:rPr>
        <w:t>）</w:t>
      </w:r>
      <w:r>
        <w:rPr>
          <w:rFonts w:hint="eastAsia"/>
          <w:lang w:eastAsia="zh-CN"/>
        </w:rPr>
        <w:t>、</w:t>
      </w:r>
      <w:r w:rsidRPr="00781F81">
        <w:rPr>
          <w:lang w:val="en-GB"/>
        </w:rPr>
        <w:t>4965/CA31</w:t>
      </w:r>
      <w:r w:rsidRPr="00781F81">
        <w:rPr>
          <w:lang w:val="en-GB"/>
        </w:rPr>
        <w:t>（</w:t>
      </w:r>
      <w:r w:rsidRPr="00781F81">
        <w:rPr>
          <w:lang w:val="en-GB"/>
        </w:rPr>
        <w:t>1976</w:t>
      </w:r>
      <w:r>
        <w:rPr>
          <w:rFonts w:hint="eastAsia"/>
          <w:lang w:eastAsia="zh-CN"/>
        </w:rPr>
        <w:t>年</w:t>
      </w:r>
      <w:r w:rsidRPr="00781F81">
        <w:rPr>
          <w:lang w:val="en-GB"/>
        </w:rPr>
        <w:t>）</w:t>
      </w:r>
      <w:r>
        <w:rPr>
          <w:rFonts w:hint="eastAsia"/>
          <w:lang w:eastAsia="zh-CN"/>
        </w:rPr>
        <w:t>、</w:t>
      </w:r>
      <w:r w:rsidRPr="00781F81">
        <w:rPr>
          <w:lang w:val="en-GB"/>
        </w:rPr>
        <w:t>6197/CA39</w:t>
      </w:r>
      <w:r w:rsidRPr="00781F81">
        <w:rPr>
          <w:lang w:val="en-GB"/>
        </w:rPr>
        <w:t>（</w:t>
      </w:r>
      <w:r w:rsidRPr="00781F81">
        <w:rPr>
          <w:lang w:val="en-GB"/>
        </w:rPr>
        <w:t>1984</w:t>
      </w:r>
      <w:r>
        <w:rPr>
          <w:rFonts w:hint="eastAsia"/>
          <w:lang w:eastAsia="zh-CN"/>
        </w:rPr>
        <w:t>年</w:t>
      </w:r>
      <w:r w:rsidRPr="00781F81">
        <w:rPr>
          <w:lang w:val="en-GB"/>
        </w:rPr>
        <w:t>）</w:t>
      </w:r>
      <w:r>
        <w:rPr>
          <w:rFonts w:hint="eastAsia"/>
          <w:lang w:eastAsia="zh-CN"/>
        </w:rPr>
        <w:t>、</w:t>
      </w:r>
      <w:r w:rsidRPr="00781F81">
        <w:rPr>
          <w:lang w:val="en-GB"/>
        </w:rPr>
        <w:t>6658</w:t>
      </w:r>
      <w:r>
        <w:rPr>
          <w:rFonts w:ascii="SimSun" w:hAnsi="SimSun" w:hint="eastAsia"/>
          <w:lang w:eastAsia="zh-CN"/>
        </w:rPr>
        <w:t>和</w:t>
      </w:r>
      <w:r w:rsidR="003641CE" w:rsidRPr="00781F81">
        <w:rPr>
          <w:rFonts w:ascii="SimSun" w:hAnsi="SimSun"/>
          <w:lang w:val="en-GB" w:eastAsia="zh-CN"/>
        </w:rPr>
        <w:br/>
      </w:r>
      <w:r w:rsidRPr="00781F81">
        <w:rPr>
          <w:lang w:val="en-GB"/>
        </w:rPr>
        <w:t>6694/CA42</w:t>
      </w:r>
      <w:r w:rsidRPr="00781F81">
        <w:rPr>
          <w:lang w:val="en-GB"/>
        </w:rPr>
        <w:t>（</w:t>
      </w:r>
      <w:r w:rsidRPr="00781F81">
        <w:rPr>
          <w:lang w:val="en-GB"/>
        </w:rPr>
        <w:t>1987</w:t>
      </w:r>
      <w:r>
        <w:rPr>
          <w:rFonts w:hint="eastAsia"/>
          <w:lang w:eastAsia="zh-CN"/>
        </w:rPr>
        <w:t>年</w:t>
      </w:r>
      <w:r w:rsidRPr="00781F81">
        <w:rPr>
          <w:lang w:val="en-GB"/>
        </w:rPr>
        <w:t>）</w:t>
      </w:r>
      <w:r>
        <w:rPr>
          <w:rFonts w:hint="eastAsia"/>
          <w:lang w:eastAsia="zh-CN"/>
        </w:rPr>
        <w:t>、</w:t>
      </w:r>
      <w:r w:rsidRPr="00781F81">
        <w:rPr>
          <w:lang w:val="en-GB"/>
        </w:rPr>
        <w:t>C97/106</w:t>
      </w:r>
      <w:r>
        <w:rPr>
          <w:rFonts w:ascii="SimSun" w:hAnsi="SimSun" w:hint="eastAsia"/>
          <w:lang w:eastAsia="zh-CN"/>
        </w:rPr>
        <w:t>、</w:t>
      </w:r>
      <w:r w:rsidRPr="00781F81">
        <w:rPr>
          <w:lang w:val="en-GB"/>
        </w:rPr>
        <w:t>C97/123</w:t>
      </w:r>
      <w:r>
        <w:rPr>
          <w:rFonts w:hint="eastAsia"/>
          <w:lang w:eastAsia="zh-CN"/>
        </w:rPr>
        <w:t>、</w:t>
      </w:r>
      <w:hyperlink r:id="rId158" w:history="1">
        <w:r w:rsidR="008063E0" w:rsidRPr="009D46CC">
          <w:rPr>
            <w:rStyle w:val="Hyperlink"/>
            <w:lang w:val="en-US"/>
          </w:rPr>
          <w:t>C03/58</w:t>
        </w:r>
      </w:hyperlink>
      <w:r w:rsidR="008063E0">
        <w:rPr>
          <w:rFonts w:hint="eastAsia"/>
          <w:lang w:val="en-US" w:eastAsia="zh-CN"/>
        </w:rPr>
        <w:t>和</w:t>
      </w:r>
      <w:hyperlink r:id="rId159" w:history="1">
        <w:r w:rsidR="008063E0" w:rsidRPr="009D46CC">
          <w:rPr>
            <w:rStyle w:val="Hyperlink"/>
            <w:lang w:val="en-US"/>
          </w:rPr>
          <w:t>C03/66</w:t>
        </w:r>
      </w:hyperlink>
      <w:r>
        <w:rPr>
          <w:rFonts w:ascii="SimSun" w:hAnsi="SimSun" w:hint="eastAsia"/>
          <w:lang w:eastAsia="zh-CN"/>
        </w:rPr>
        <w:t>号文件。</w:t>
      </w:r>
    </w:p>
    <w:p w14:paraId="4827AEBC" w14:textId="77777777" w:rsidR="00481C40" w:rsidRDefault="00481C40" w:rsidP="00481C40">
      <w:pPr>
        <w:jc w:val="center"/>
        <w:rPr>
          <w:lang w:eastAsia="zh-CN"/>
        </w:rPr>
      </w:pPr>
      <w:bookmarkStart w:id="352" w:name="_Toc63839043"/>
      <w:bookmarkStart w:id="353" w:name="_Toc78271304"/>
      <w:bookmarkStart w:id="354" w:name="_Toc81880051"/>
      <w:bookmarkStart w:id="355" w:name="_Toc424116955"/>
      <w:bookmarkStart w:id="356" w:name="_Toc531706296"/>
      <w:bookmarkStart w:id="357" w:name="_Toc531706892"/>
      <w:bookmarkStart w:id="358" w:name="_Toc531768385"/>
      <w:bookmarkStart w:id="359" w:name="_Toc161224009"/>
      <w:bookmarkStart w:id="360" w:name="_Toc161732055"/>
      <w:bookmarkStart w:id="361" w:name="_Toc161740982"/>
      <w:bookmarkStart w:id="362" w:name="_Toc185237651"/>
      <w:bookmarkStart w:id="363" w:name="_Toc311469568"/>
      <w:r>
        <w:rPr>
          <w:lang w:eastAsia="zh-CN"/>
        </w:rPr>
        <w:t>______________</w:t>
      </w:r>
    </w:p>
    <w:p w14:paraId="4827AEBD" w14:textId="77777777" w:rsidR="008063E0" w:rsidRPr="008063E0" w:rsidRDefault="004F1192" w:rsidP="00A75FB5">
      <w:pPr>
        <w:pStyle w:val="ResNo"/>
        <w:outlineLvl w:val="0"/>
        <w:rPr>
          <w:lang w:eastAsia="zh-CN"/>
        </w:rPr>
      </w:pPr>
      <w:bookmarkStart w:id="364" w:name="_Toc16085704"/>
      <w:bookmarkStart w:id="365" w:name="_Toc86395508"/>
      <w:r w:rsidRPr="008063E0">
        <w:rPr>
          <w:rFonts w:hint="eastAsia"/>
          <w:lang w:eastAsia="zh-CN"/>
        </w:rPr>
        <w:t>第</w:t>
      </w:r>
      <w:r w:rsidR="00F11D1D" w:rsidRPr="008063E0">
        <w:rPr>
          <w:lang w:eastAsia="zh-CN"/>
        </w:rPr>
        <w:t>685</w:t>
      </w:r>
      <w:r w:rsidRPr="008063E0">
        <w:rPr>
          <w:rFonts w:hint="eastAsia"/>
          <w:lang w:eastAsia="zh-CN"/>
        </w:rPr>
        <w:t>号决议</w:t>
      </w:r>
      <w:bookmarkEnd w:id="352"/>
      <w:bookmarkEnd w:id="353"/>
      <w:bookmarkEnd w:id="354"/>
      <w:r w:rsidR="008063E0">
        <w:rPr>
          <w:rFonts w:hint="eastAsia"/>
          <w:lang w:eastAsia="zh-CN"/>
        </w:rPr>
        <w:t>（</w:t>
      </w:r>
      <w:r w:rsidR="008063E0" w:rsidRPr="008063E0">
        <w:rPr>
          <w:lang w:eastAsia="zh-CN"/>
        </w:rPr>
        <w:t>C-1971</w:t>
      </w:r>
      <w:r w:rsidR="008063E0" w:rsidRPr="008063E0">
        <w:rPr>
          <w:rFonts w:hint="eastAsia"/>
          <w:lang w:eastAsia="zh-CN"/>
        </w:rPr>
        <w:t>，最后修正</w:t>
      </w:r>
      <w:r w:rsidR="008063E0" w:rsidRPr="008063E0">
        <w:rPr>
          <w:lang w:eastAsia="zh-CN"/>
        </w:rPr>
        <w:t>C-1981</w:t>
      </w:r>
      <w:r w:rsidR="008063E0">
        <w:rPr>
          <w:rFonts w:hint="eastAsia"/>
          <w:lang w:eastAsia="zh-CN"/>
        </w:rPr>
        <w:t>）</w:t>
      </w:r>
      <w:bookmarkEnd w:id="355"/>
      <w:bookmarkEnd w:id="356"/>
      <w:bookmarkEnd w:id="357"/>
      <w:bookmarkEnd w:id="358"/>
      <w:bookmarkEnd w:id="364"/>
      <w:bookmarkEnd w:id="365"/>
    </w:p>
    <w:p w14:paraId="4827AEBE" w14:textId="77777777" w:rsidR="00F11D1D" w:rsidRPr="008063E0" w:rsidRDefault="004F1192" w:rsidP="008063E0">
      <w:pPr>
        <w:pStyle w:val="Restitle"/>
        <w:rPr>
          <w:lang w:eastAsia="zh-CN"/>
        </w:rPr>
      </w:pPr>
      <w:bookmarkStart w:id="366" w:name="_Toc424116208"/>
      <w:bookmarkStart w:id="367" w:name="_Toc424116956"/>
      <w:bookmarkStart w:id="368" w:name="_Toc460248059"/>
      <w:bookmarkStart w:id="369" w:name="_Toc531706297"/>
      <w:bookmarkStart w:id="370" w:name="_Toc531706893"/>
      <w:bookmarkStart w:id="371" w:name="_Toc531768386"/>
      <w:bookmarkStart w:id="372" w:name="_Toc16085705"/>
      <w:bookmarkStart w:id="373" w:name="_Toc86395509"/>
      <w:r w:rsidRPr="008063E0">
        <w:rPr>
          <w:rFonts w:hint="eastAsia"/>
          <w:lang w:eastAsia="zh-CN"/>
        </w:rPr>
        <w:t>国际招聘程序</w:t>
      </w:r>
      <w:bookmarkEnd w:id="359"/>
      <w:bookmarkEnd w:id="360"/>
      <w:bookmarkEnd w:id="361"/>
      <w:bookmarkEnd w:id="362"/>
      <w:bookmarkEnd w:id="363"/>
      <w:bookmarkEnd w:id="366"/>
      <w:bookmarkEnd w:id="367"/>
      <w:bookmarkEnd w:id="368"/>
      <w:bookmarkEnd w:id="369"/>
      <w:bookmarkEnd w:id="370"/>
      <w:bookmarkEnd w:id="371"/>
      <w:bookmarkEnd w:id="372"/>
      <w:bookmarkEnd w:id="373"/>
    </w:p>
    <w:p w14:paraId="4827AEBF" w14:textId="77777777" w:rsidR="004F1192" w:rsidRDefault="004F1192" w:rsidP="00DA228B">
      <w:pPr>
        <w:pStyle w:val="Normalaftertitle"/>
        <w:rPr>
          <w:lang w:eastAsia="zh-CN"/>
        </w:rPr>
      </w:pPr>
      <w:r>
        <w:rPr>
          <w:rFonts w:hint="eastAsia"/>
          <w:lang w:eastAsia="zh-CN"/>
        </w:rPr>
        <w:t>理事会，</w:t>
      </w:r>
    </w:p>
    <w:p w14:paraId="4827AEC0" w14:textId="77777777" w:rsidR="004F1192" w:rsidRDefault="004F1192" w:rsidP="008063E0">
      <w:pPr>
        <w:ind w:firstLineChars="200" w:firstLine="480"/>
        <w:rPr>
          <w:lang w:eastAsia="zh-CN"/>
        </w:rPr>
      </w:pPr>
      <w:r>
        <w:rPr>
          <w:rFonts w:eastAsia="STKaiti" w:hint="eastAsia"/>
          <w:lang w:eastAsia="zh-CN"/>
        </w:rPr>
        <w:t>考虑到</w:t>
      </w:r>
      <w:r>
        <w:rPr>
          <w:rFonts w:hint="eastAsia"/>
          <w:lang w:eastAsia="zh-CN"/>
        </w:rPr>
        <w:t>《人事规则和人事细则》的有关规定，</w:t>
      </w:r>
    </w:p>
    <w:p w14:paraId="4827AEC1" w14:textId="77777777" w:rsidR="004F1192" w:rsidRDefault="004F1192" w:rsidP="008063E0">
      <w:pPr>
        <w:ind w:firstLineChars="200" w:firstLine="480"/>
        <w:rPr>
          <w:lang w:eastAsia="zh-CN"/>
        </w:rPr>
      </w:pPr>
      <w:r>
        <w:rPr>
          <w:rFonts w:eastAsia="STKaiti" w:hint="eastAsia"/>
          <w:lang w:eastAsia="zh-CN"/>
        </w:rPr>
        <w:t>经审议</w:t>
      </w:r>
      <w:r>
        <w:rPr>
          <w:rFonts w:ascii="SimSun" w:hAnsi="SimSun" w:hint="eastAsia"/>
          <w:lang w:eastAsia="zh-CN"/>
        </w:rPr>
        <w:t>秘书长有关国际电联职员国际招聘的报告，</w:t>
      </w:r>
    </w:p>
    <w:p w14:paraId="4827AEC2" w14:textId="77777777" w:rsidR="004F1192" w:rsidRDefault="004F1192" w:rsidP="008063E0">
      <w:pPr>
        <w:ind w:firstLineChars="200" w:firstLine="480"/>
        <w:rPr>
          <w:lang w:eastAsia="zh-CN"/>
        </w:rPr>
      </w:pPr>
      <w:r>
        <w:rPr>
          <w:rFonts w:eastAsia="STKaiti" w:hint="eastAsia"/>
          <w:lang w:eastAsia="zh-CN"/>
        </w:rPr>
        <w:t>请国际电联成员</w:t>
      </w:r>
      <w:r w:rsidR="003641CE">
        <w:rPr>
          <w:rFonts w:eastAsia="STKaiti" w:hint="eastAsia"/>
          <w:lang w:eastAsia="zh-CN"/>
        </w:rPr>
        <w:t>国</w:t>
      </w:r>
      <w:r>
        <w:rPr>
          <w:rFonts w:ascii="SimSun" w:hAnsi="SimSun" w:hint="eastAsia"/>
          <w:lang w:eastAsia="zh-CN"/>
        </w:rPr>
        <w:t>与秘书长通力合作，以确保国际电联能有最精明强干与正直的职员提供服务。</w:t>
      </w:r>
    </w:p>
    <w:p w14:paraId="4827AEC3" w14:textId="77777777" w:rsidR="00F11D1D" w:rsidRPr="002E405F" w:rsidRDefault="004F1192" w:rsidP="008063E0">
      <w:pPr>
        <w:pStyle w:val="Endtext"/>
        <w:rPr>
          <w:lang w:val="fr-FR" w:eastAsia="zh-CN"/>
        </w:rPr>
      </w:pPr>
      <w:r>
        <w:rPr>
          <w:rFonts w:hint="eastAsia"/>
          <w:lang w:eastAsia="zh-CN"/>
        </w:rPr>
        <w:t>参阅</w:t>
      </w:r>
      <w:r>
        <w:rPr>
          <w:rFonts w:ascii="STKaiti" w:hAnsi="SimSun" w:hint="eastAsia"/>
          <w:lang w:eastAsia="zh-CN"/>
        </w:rPr>
        <w:t>：</w:t>
      </w:r>
      <w:r>
        <w:rPr>
          <w:lang w:eastAsia="zh-CN"/>
        </w:rPr>
        <w:tab/>
        <w:t>4253/CA26</w:t>
      </w:r>
      <w:r>
        <w:rPr>
          <w:lang w:eastAsia="zh-CN"/>
        </w:rPr>
        <w:t>（</w:t>
      </w:r>
      <w:r>
        <w:rPr>
          <w:lang w:eastAsia="zh-CN"/>
        </w:rPr>
        <w:t>1971</w:t>
      </w:r>
      <w:r>
        <w:rPr>
          <w:rFonts w:hint="eastAsia"/>
          <w:lang w:eastAsia="zh-CN"/>
        </w:rPr>
        <w:t>年</w:t>
      </w:r>
      <w:r>
        <w:rPr>
          <w:lang w:eastAsia="zh-CN"/>
        </w:rPr>
        <w:t>）</w:t>
      </w:r>
      <w:r>
        <w:rPr>
          <w:rFonts w:hint="eastAsia"/>
          <w:lang w:eastAsia="zh-CN"/>
        </w:rPr>
        <w:t>、</w:t>
      </w:r>
      <w:r>
        <w:rPr>
          <w:lang w:eastAsia="zh-CN"/>
        </w:rPr>
        <w:t>4965/CA31</w:t>
      </w:r>
      <w:r>
        <w:rPr>
          <w:lang w:eastAsia="zh-CN"/>
        </w:rPr>
        <w:t>（</w:t>
      </w:r>
      <w:r>
        <w:rPr>
          <w:lang w:eastAsia="zh-CN"/>
        </w:rPr>
        <w:t>1976</w:t>
      </w:r>
      <w:r>
        <w:rPr>
          <w:rFonts w:hint="eastAsia"/>
          <w:lang w:eastAsia="zh-CN"/>
        </w:rPr>
        <w:t>年</w:t>
      </w:r>
      <w:r>
        <w:rPr>
          <w:lang w:eastAsia="zh-CN"/>
        </w:rPr>
        <w:t>）</w:t>
      </w:r>
      <w:r>
        <w:rPr>
          <w:rFonts w:hint="eastAsia"/>
          <w:lang w:eastAsia="zh-CN"/>
        </w:rPr>
        <w:t>、</w:t>
      </w:r>
      <w:r>
        <w:rPr>
          <w:lang w:eastAsia="zh-CN"/>
        </w:rPr>
        <w:t>5703/CA36</w:t>
      </w:r>
      <w:r>
        <w:rPr>
          <w:lang w:eastAsia="zh-CN"/>
        </w:rPr>
        <w:t>（</w:t>
      </w:r>
      <w:r>
        <w:rPr>
          <w:lang w:eastAsia="zh-CN"/>
        </w:rPr>
        <w:t>1981</w:t>
      </w:r>
      <w:r>
        <w:rPr>
          <w:rFonts w:hint="eastAsia"/>
          <w:lang w:eastAsia="zh-CN"/>
        </w:rPr>
        <w:t>年</w:t>
      </w:r>
      <w:r>
        <w:rPr>
          <w:lang w:eastAsia="zh-CN"/>
        </w:rPr>
        <w:t>）</w:t>
      </w:r>
      <w:r>
        <w:rPr>
          <w:rFonts w:ascii="SimSun" w:hAnsi="SimSun" w:hint="eastAsia"/>
          <w:lang w:eastAsia="zh-CN"/>
        </w:rPr>
        <w:t>号文件。</w:t>
      </w:r>
    </w:p>
    <w:p w14:paraId="4827AEC4" w14:textId="77777777" w:rsidR="00D32C40" w:rsidRDefault="00D32C40" w:rsidP="00D32C40">
      <w:pPr>
        <w:jc w:val="center"/>
        <w:rPr>
          <w:lang w:eastAsia="zh-CN"/>
        </w:rPr>
      </w:pPr>
      <w:bookmarkStart w:id="374" w:name="_Toc161224010"/>
      <w:bookmarkStart w:id="375" w:name="_Toc161732056"/>
      <w:bookmarkStart w:id="376" w:name="_Toc161740983"/>
      <w:bookmarkStart w:id="377" w:name="_Toc185237652"/>
      <w:bookmarkStart w:id="378" w:name="_Toc311469569"/>
      <w:r>
        <w:rPr>
          <w:lang w:eastAsia="zh-CN"/>
        </w:rPr>
        <w:t>______________</w:t>
      </w:r>
    </w:p>
    <w:p w14:paraId="4827AEC5" w14:textId="77777777" w:rsidR="00763587" w:rsidRDefault="00763587">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EC6" w14:textId="77777777" w:rsidR="00640176" w:rsidRDefault="00640176">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AEC7" w14:textId="77777777" w:rsidR="008063E0" w:rsidRDefault="004F1192" w:rsidP="00A75FB5">
      <w:pPr>
        <w:pStyle w:val="ResNo"/>
        <w:outlineLvl w:val="0"/>
        <w:rPr>
          <w:lang w:eastAsia="zh-CN"/>
        </w:rPr>
      </w:pPr>
      <w:bookmarkStart w:id="379" w:name="_Toc424116957"/>
      <w:bookmarkStart w:id="380" w:name="_Toc531706298"/>
      <w:bookmarkStart w:id="381" w:name="_Toc531706894"/>
      <w:bookmarkStart w:id="382" w:name="_Toc531768387"/>
      <w:bookmarkStart w:id="383" w:name="_Toc16085706"/>
      <w:bookmarkStart w:id="384" w:name="_Toc86395510"/>
      <w:r w:rsidRPr="00F36B07">
        <w:rPr>
          <w:rFonts w:hint="eastAsia"/>
          <w:lang w:eastAsia="zh-CN"/>
        </w:rPr>
        <w:lastRenderedPageBreak/>
        <w:t>第</w:t>
      </w:r>
      <w:r w:rsidRPr="00F36B07">
        <w:rPr>
          <w:lang w:eastAsia="zh-CN"/>
        </w:rPr>
        <w:t>792</w:t>
      </w:r>
      <w:r w:rsidRPr="00F36B07">
        <w:rPr>
          <w:rFonts w:hint="eastAsia"/>
          <w:lang w:eastAsia="zh-CN"/>
        </w:rPr>
        <w:t>号决议</w:t>
      </w:r>
      <w:r w:rsidR="008063E0">
        <w:rPr>
          <w:rFonts w:hint="eastAsia"/>
          <w:lang w:eastAsia="zh-CN"/>
        </w:rPr>
        <w:t>（</w:t>
      </w:r>
      <w:r w:rsidR="008063E0" w:rsidRPr="009764AB">
        <w:rPr>
          <w:lang w:eastAsia="zh-CN"/>
        </w:rPr>
        <w:t>C-1977</w:t>
      </w:r>
      <w:r w:rsidR="008063E0" w:rsidRPr="009764AB">
        <w:rPr>
          <w:rFonts w:hint="eastAsia"/>
          <w:lang w:eastAsia="zh-CN"/>
        </w:rPr>
        <w:t>，最后修正</w:t>
      </w:r>
      <w:r w:rsidR="008063E0" w:rsidRPr="009764AB">
        <w:rPr>
          <w:lang w:eastAsia="zh-CN"/>
        </w:rPr>
        <w:t>C-1981</w:t>
      </w:r>
      <w:r w:rsidR="008063E0">
        <w:rPr>
          <w:rFonts w:hint="eastAsia"/>
          <w:lang w:eastAsia="zh-CN"/>
        </w:rPr>
        <w:t>）</w:t>
      </w:r>
      <w:bookmarkEnd w:id="379"/>
      <w:bookmarkEnd w:id="380"/>
      <w:bookmarkEnd w:id="381"/>
      <w:bookmarkEnd w:id="382"/>
      <w:bookmarkEnd w:id="383"/>
      <w:bookmarkEnd w:id="384"/>
    </w:p>
    <w:p w14:paraId="4827AEC8" w14:textId="77777777" w:rsidR="004F1192" w:rsidRPr="008063E0" w:rsidRDefault="004F1192" w:rsidP="008063E0">
      <w:pPr>
        <w:pStyle w:val="Restitle"/>
        <w:rPr>
          <w:lang w:eastAsia="zh-CN"/>
        </w:rPr>
      </w:pPr>
      <w:bookmarkStart w:id="385" w:name="_Toc424116209"/>
      <w:bookmarkStart w:id="386" w:name="_Toc424116958"/>
      <w:bookmarkStart w:id="387" w:name="_Toc460248061"/>
      <w:bookmarkStart w:id="388" w:name="_Toc531706299"/>
      <w:bookmarkStart w:id="389" w:name="_Toc531706895"/>
      <w:bookmarkStart w:id="390" w:name="_Toc531768388"/>
      <w:bookmarkStart w:id="391" w:name="_Toc16085707"/>
      <w:bookmarkStart w:id="392" w:name="_Toc86395511"/>
      <w:r w:rsidRPr="008063E0">
        <w:rPr>
          <w:rFonts w:hint="eastAsia"/>
          <w:lang w:eastAsia="zh-CN"/>
        </w:rPr>
        <w:t>《人事规则和人事细则》的建议修正案</w:t>
      </w:r>
      <w:bookmarkEnd w:id="374"/>
      <w:bookmarkEnd w:id="375"/>
      <w:bookmarkEnd w:id="376"/>
      <w:bookmarkEnd w:id="377"/>
      <w:bookmarkEnd w:id="378"/>
      <w:bookmarkEnd w:id="385"/>
      <w:bookmarkEnd w:id="386"/>
      <w:bookmarkEnd w:id="387"/>
      <w:bookmarkEnd w:id="388"/>
      <w:bookmarkEnd w:id="389"/>
      <w:bookmarkEnd w:id="390"/>
      <w:bookmarkEnd w:id="391"/>
      <w:bookmarkEnd w:id="392"/>
    </w:p>
    <w:p w14:paraId="4827AEC9" w14:textId="77777777" w:rsidR="004F1192" w:rsidRDefault="004F1192" w:rsidP="00DA228B">
      <w:pPr>
        <w:pStyle w:val="Normalaftertitle"/>
        <w:rPr>
          <w:lang w:eastAsia="zh-CN"/>
        </w:rPr>
      </w:pPr>
      <w:r w:rsidRPr="00C3403A">
        <w:rPr>
          <w:rFonts w:hint="eastAsia"/>
          <w:lang w:eastAsia="zh-CN"/>
        </w:rPr>
        <w:t>理事会</w:t>
      </w:r>
      <w:r w:rsidR="00E30296">
        <w:rPr>
          <w:rFonts w:hint="eastAsia"/>
          <w:lang w:eastAsia="zh-CN"/>
        </w:rPr>
        <w:t>，</w:t>
      </w:r>
    </w:p>
    <w:p w14:paraId="4827AECA" w14:textId="77777777" w:rsidR="004F1192" w:rsidRDefault="004F1192" w:rsidP="008063E0">
      <w:pPr>
        <w:ind w:firstLineChars="200" w:firstLine="480"/>
        <w:rPr>
          <w:lang w:eastAsia="zh-CN"/>
        </w:rPr>
      </w:pPr>
      <w:r>
        <w:rPr>
          <w:rFonts w:eastAsia="STKaiti" w:hint="eastAsia"/>
          <w:lang w:eastAsia="zh-CN"/>
        </w:rPr>
        <w:t>经审议</w:t>
      </w:r>
      <w:r>
        <w:rPr>
          <w:rFonts w:hint="eastAsia"/>
          <w:lang w:eastAsia="zh-CN"/>
        </w:rPr>
        <w:t>秘书长有关《人事规则和人事细则》中与选任官员相关部分和《人事规则和人事细则》中与委任职员相关部分的建议修正案的报告，</w:t>
      </w:r>
    </w:p>
    <w:p w14:paraId="4827AECB" w14:textId="77777777" w:rsidR="004F1192" w:rsidRDefault="004F1192" w:rsidP="008063E0">
      <w:pPr>
        <w:ind w:firstLineChars="200" w:firstLine="480"/>
        <w:rPr>
          <w:lang w:eastAsia="zh-CN"/>
        </w:rPr>
      </w:pPr>
      <w:r>
        <w:rPr>
          <w:rFonts w:eastAsia="STKaiti" w:hint="eastAsia"/>
          <w:lang w:eastAsia="zh-CN"/>
        </w:rPr>
        <w:t>授权秘书长</w:t>
      </w:r>
      <w:r>
        <w:rPr>
          <w:rFonts w:hint="eastAsia"/>
          <w:lang w:eastAsia="zh-CN"/>
        </w:rPr>
        <w:t>今后在对《人事规则和人事细则》中与选任官员相关部分和</w:t>
      </w:r>
      <w:r>
        <w:rPr>
          <w:lang w:eastAsia="zh-CN"/>
        </w:rPr>
        <w:t>/</w:t>
      </w:r>
      <w:r>
        <w:rPr>
          <w:rFonts w:hint="eastAsia"/>
          <w:lang w:eastAsia="zh-CN"/>
        </w:rPr>
        <w:t>或《人事规则和人事细则》中与委任职员相关部分进行修正时，对于那些必要的、删除过时提法的修正或进行很小的编辑性修改、且不会产生实质性影响的修正，不必事先征得理事会的批准。</w:t>
      </w:r>
    </w:p>
    <w:p w14:paraId="4827AECC" w14:textId="77777777" w:rsidR="00F11D1D" w:rsidRPr="00D746C3" w:rsidRDefault="004F1192" w:rsidP="008063E0">
      <w:pPr>
        <w:pStyle w:val="Endtext"/>
        <w:rPr>
          <w:lang w:eastAsia="zh-CN"/>
        </w:rPr>
      </w:pPr>
      <w:r>
        <w:rPr>
          <w:rFonts w:hint="eastAsia"/>
          <w:lang w:eastAsia="zh-CN"/>
        </w:rPr>
        <w:t>参阅</w:t>
      </w:r>
      <w:r w:rsidRPr="008063E0">
        <w:rPr>
          <w:rFonts w:hint="eastAsia"/>
          <w:lang w:eastAsia="zh-CN"/>
        </w:rPr>
        <w:t>：</w:t>
      </w:r>
      <w:r>
        <w:rPr>
          <w:lang w:eastAsia="zh-CN"/>
        </w:rPr>
        <w:tab/>
        <w:t>5125/CA32</w:t>
      </w:r>
      <w:r>
        <w:rPr>
          <w:lang w:eastAsia="zh-CN"/>
        </w:rPr>
        <w:t>（</w:t>
      </w:r>
      <w:r>
        <w:rPr>
          <w:lang w:eastAsia="zh-CN"/>
        </w:rPr>
        <w:t>1977</w:t>
      </w:r>
      <w:r>
        <w:rPr>
          <w:rFonts w:hint="eastAsia"/>
          <w:lang w:eastAsia="zh-CN"/>
        </w:rPr>
        <w:t>年</w:t>
      </w:r>
      <w:r>
        <w:rPr>
          <w:lang w:eastAsia="zh-CN"/>
        </w:rPr>
        <w:t>）</w:t>
      </w:r>
      <w:r w:rsidR="00A15C58">
        <w:rPr>
          <w:rFonts w:hint="eastAsia"/>
          <w:lang w:eastAsia="zh-CN"/>
        </w:rPr>
        <w:t>、</w:t>
      </w:r>
      <w:r>
        <w:rPr>
          <w:lang w:eastAsia="zh-CN"/>
        </w:rPr>
        <w:t>5703/CA36</w:t>
      </w:r>
      <w:r>
        <w:rPr>
          <w:lang w:eastAsia="zh-CN"/>
        </w:rPr>
        <w:t>（</w:t>
      </w:r>
      <w:r>
        <w:rPr>
          <w:lang w:eastAsia="zh-CN"/>
        </w:rPr>
        <w:t>1981</w:t>
      </w:r>
      <w:r>
        <w:rPr>
          <w:rFonts w:hint="eastAsia"/>
          <w:lang w:eastAsia="zh-CN"/>
        </w:rPr>
        <w:t>年</w:t>
      </w:r>
      <w:r>
        <w:rPr>
          <w:lang w:eastAsia="zh-CN"/>
        </w:rPr>
        <w:t>）</w:t>
      </w:r>
      <w:r>
        <w:rPr>
          <w:rFonts w:hint="eastAsia"/>
          <w:lang w:eastAsia="zh-CN"/>
        </w:rPr>
        <w:t>号文件。</w:t>
      </w:r>
    </w:p>
    <w:p w14:paraId="4827AECD" w14:textId="77777777" w:rsidR="00D32C40" w:rsidRDefault="00D32C40" w:rsidP="00D32C40">
      <w:pPr>
        <w:jc w:val="center"/>
        <w:rPr>
          <w:lang w:eastAsia="zh-CN"/>
        </w:rPr>
      </w:pPr>
      <w:bookmarkStart w:id="393" w:name="_Toc424116959"/>
      <w:bookmarkStart w:id="394" w:name="_Toc531706300"/>
      <w:bookmarkStart w:id="395" w:name="_Toc531706896"/>
      <w:bookmarkStart w:id="396" w:name="_Toc531768389"/>
      <w:bookmarkStart w:id="397" w:name="_Toc161224011"/>
      <w:bookmarkStart w:id="398" w:name="_Toc161732057"/>
      <w:bookmarkStart w:id="399" w:name="_Toc161740984"/>
      <w:bookmarkStart w:id="400" w:name="_Toc185237653"/>
      <w:bookmarkStart w:id="401" w:name="_Toc311469570"/>
      <w:r>
        <w:rPr>
          <w:lang w:eastAsia="zh-CN"/>
        </w:rPr>
        <w:t>______________</w:t>
      </w:r>
    </w:p>
    <w:p w14:paraId="4827AECE" w14:textId="77777777" w:rsidR="008063E0" w:rsidRPr="008063E0" w:rsidRDefault="004F1192" w:rsidP="00A75FB5">
      <w:pPr>
        <w:pStyle w:val="ResNo"/>
        <w:outlineLvl w:val="0"/>
        <w:rPr>
          <w:lang w:eastAsia="zh-CN"/>
        </w:rPr>
      </w:pPr>
      <w:bookmarkStart w:id="402" w:name="_Toc16085708"/>
      <w:bookmarkStart w:id="403" w:name="_Toc86395512"/>
      <w:r w:rsidRPr="008063E0">
        <w:rPr>
          <w:rFonts w:hint="eastAsia"/>
          <w:lang w:eastAsia="zh-CN"/>
        </w:rPr>
        <w:t>第</w:t>
      </w:r>
      <w:r w:rsidRPr="008063E0">
        <w:rPr>
          <w:lang w:eastAsia="zh-CN"/>
        </w:rPr>
        <w:t>1004</w:t>
      </w:r>
      <w:r w:rsidRPr="008063E0">
        <w:rPr>
          <w:rFonts w:hint="eastAsia"/>
          <w:lang w:eastAsia="zh-CN"/>
        </w:rPr>
        <w:t>号决议</w:t>
      </w:r>
      <w:r w:rsidR="008063E0">
        <w:rPr>
          <w:rFonts w:hint="eastAsia"/>
          <w:lang w:eastAsia="zh-CN"/>
        </w:rPr>
        <w:t>（</w:t>
      </w:r>
      <w:r w:rsidR="008063E0" w:rsidRPr="008063E0">
        <w:rPr>
          <w:lang w:eastAsia="zh-CN"/>
        </w:rPr>
        <w:t>C-1990</w:t>
      </w:r>
      <w:r w:rsidR="008063E0">
        <w:rPr>
          <w:rFonts w:hint="eastAsia"/>
          <w:lang w:eastAsia="zh-CN"/>
        </w:rPr>
        <w:t>）</w:t>
      </w:r>
      <w:bookmarkEnd w:id="393"/>
      <w:bookmarkEnd w:id="394"/>
      <w:bookmarkEnd w:id="395"/>
      <w:bookmarkEnd w:id="396"/>
      <w:bookmarkEnd w:id="402"/>
      <w:bookmarkEnd w:id="403"/>
    </w:p>
    <w:p w14:paraId="4827AECF" w14:textId="77777777" w:rsidR="004F1192" w:rsidRPr="008063E0" w:rsidRDefault="004F1192" w:rsidP="00410648">
      <w:pPr>
        <w:pStyle w:val="Restitle"/>
        <w:spacing w:before="0"/>
        <w:rPr>
          <w:lang w:eastAsia="zh-CN"/>
        </w:rPr>
      </w:pPr>
      <w:bookmarkStart w:id="404" w:name="_Toc424116210"/>
      <w:bookmarkStart w:id="405" w:name="_Toc424116960"/>
      <w:bookmarkStart w:id="406" w:name="_Toc460248063"/>
      <w:bookmarkStart w:id="407" w:name="_Toc531706301"/>
      <w:bookmarkStart w:id="408" w:name="_Toc531706897"/>
      <w:bookmarkStart w:id="409" w:name="_Toc531768390"/>
      <w:bookmarkStart w:id="410" w:name="_Toc16085709"/>
      <w:bookmarkStart w:id="411" w:name="_Toc86395513"/>
      <w:r w:rsidRPr="008063E0">
        <w:rPr>
          <w:rFonts w:hint="eastAsia"/>
          <w:lang w:eastAsia="zh-CN"/>
        </w:rPr>
        <w:t>与国际电联活动有关的特权、豁免和便利</w:t>
      </w:r>
      <w:bookmarkEnd w:id="397"/>
      <w:bookmarkEnd w:id="398"/>
      <w:bookmarkEnd w:id="399"/>
      <w:bookmarkEnd w:id="400"/>
      <w:bookmarkEnd w:id="401"/>
      <w:bookmarkEnd w:id="404"/>
      <w:bookmarkEnd w:id="405"/>
      <w:bookmarkEnd w:id="406"/>
      <w:bookmarkEnd w:id="407"/>
      <w:bookmarkEnd w:id="408"/>
      <w:bookmarkEnd w:id="409"/>
      <w:bookmarkEnd w:id="410"/>
      <w:bookmarkEnd w:id="411"/>
    </w:p>
    <w:p w14:paraId="4827AED0" w14:textId="77777777" w:rsidR="004F1192" w:rsidRDefault="004F1192" w:rsidP="00DA228B">
      <w:pPr>
        <w:pStyle w:val="Normalaftertitle"/>
        <w:rPr>
          <w:lang w:eastAsia="zh-CN"/>
        </w:rPr>
      </w:pPr>
      <w:r w:rsidRPr="00C3403A">
        <w:rPr>
          <w:rFonts w:hint="eastAsia"/>
          <w:lang w:eastAsia="zh-CN"/>
        </w:rPr>
        <w:t>理事会</w:t>
      </w:r>
      <w:r w:rsidR="003C3C8F">
        <w:rPr>
          <w:rFonts w:hint="eastAsia"/>
          <w:lang w:eastAsia="zh-CN"/>
        </w:rPr>
        <w:t>，</w:t>
      </w:r>
    </w:p>
    <w:p w14:paraId="4827AED1" w14:textId="77777777" w:rsidR="004F1192" w:rsidRDefault="004F1192" w:rsidP="00203DAA">
      <w:pPr>
        <w:ind w:firstLineChars="200" w:firstLine="480"/>
        <w:rPr>
          <w:lang w:eastAsia="zh-CN"/>
        </w:rPr>
      </w:pPr>
      <w:r>
        <w:rPr>
          <w:rFonts w:eastAsia="STKaiti" w:hint="eastAsia"/>
          <w:lang w:eastAsia="zh-CN"/>
        </w:rPr>
        <w:t>意识到</w:t>
      </w:r>
      <w:r>
        <w:rPr>
          <w:rFonts w:hint="eastAsia"/>
          <w:lang w:eastAsia="zh-CN"/>
        </w:rPr>
        <w:t>国际电联的许多活动，如大会和会议（包括区域性电信展和论坛）、研讨会、出席区域性活动和出差以及与实施技术援助与合作项目有关的服务等，不仅在国际电联所在地进行，而且在很大程度上在国际电联各成员国的领土上进行，</w:t>
      </w:r>
    </w:p>
    <w:p w14:paraId="4827AED2" w14:textId="77777777" w:rsidR="004F1192" w:rsidRDefault="004F1192" w:rsidP="00203DAA">
      <w:pPr>
        <w:ind w:firstLineChars="200" w:firstLine="480"/>
        <w:rPr>
          <w:lang w:eastAsia="zh-CN"/>
        </w:rPr>
      </w:pPr>
      <w:r>
        <w:rPr>
          <w:rFonts w:eastAsia="STKaiti" w:hint="eastAsia"/>
          <w:lang w:eastAsia="zh-CN"/>
        </w:rPr>
        <w:t>注意到</w:t>
      </w:r>
      <w:r w:rsidRPr="00D62A5D">
        <w:rPr>
          <w:rFonts w:hint="eastAsia"/>
          <w:lang w:eastAsia="zh-CN"/>
        </w:rPr>
        <w:t>《</w:t>
      </w:r>
      <w:r>
        <w:rPr>
          <w:rFonts w:hint="eastAsia"/>
          <w:lang w:eastAsia="zh-CN"/>
        </w:rPr>
        <w:t>国际电信公约》</w:t>
      </w:r>
      <w:r>
        <w:rPr>
          <w:lang w:eastAsia="zh-CN"/>
        </w:rPr>
        <w:t>（</w:t>
      </w:r>
      <w:r>
        <w:rPr>
          <w:lang w:eastAsia="zh-CN"/>
        </w:rPr>
        <w:t>1982</w:t>
      </w:r>
      <w:r>
        <w:rPr>
          <w:rFonts w:hint="eastAsia"/>
          <w:lang w:eastAsia="zh-CN"/>
        </w:rPr>
        <w:t>年，内罗毕</w:t>
      </w:r>
      <w:r>
        <w:rPr>
          <w:lang w:eastAsia="zh-CN"/>
        </w:rPr>
        <w:t>）</w:t>
      </w:r>
      <w:r>
        <w:rPr>
          <w:rFonts w:hint="eastAsia"/>
          <w:lang w:eastAsia="zh-CN"/>
        </w:rPr>
        <w:t>第</w:t>
      </w:r>
      <w:r>
        <w:rPr>
          <w:lang w:eastAsia="zh-CN"/>
        </w:rPr>
        <w:t>17</w:t>
      </w:r>
      <w:r>
        <w:rPr>
          <w:rFonts w:hint="eastAsia"/>
          <w:lang w:eastAsia="zh-CN"/>
        </w:rPr>
        <w:t>条规定“国际电联应在其所有成员国的领土上享有履行其职能和实现其宗旨所需的法律行为能力”，</w:t>
      </w:r>
    </w:p>
    <w:p w14:paraId="4827AED3" w14:textId="77777777" w:rsidR="004F1192" w:rsidRDefault="004F1192" w:rsidP="00203DAA">
      <w:pPr>
        <w:ind w:firstLineChars="200" w:firstLine="480"/>
        <w:rPr>
          <w:lang w:eastAsia="zh-CN"/>
        </w:rPr>
      </w:pPr>
      <w:r>
        <w:rPr>
          <w:rFonts w:eastAsia="STKaiti" w:hint="eastAsia"/>
          <w:lang w:eastAsia="zh-CN"/>
        </w:rPr>
        <w:t>考虑到</w:t>
      </w:r>
      <w:r>
        <w:rPr>
          <w:rFonts w:hint="eastAsia"/>
          <w:lang w:eastAsia="zh-CN"/>
        </w:rPr>
        <w:t>国际</w:t>
      </w:r>
      <w:r>
        <w:rPr>
          <w:rFonts w:ascii="SimSun" w:hAnsi="SimSun" w:hint="eastAsia"/>
          <w:lang w:eastAsia="zh-CN"/>
        </w:rPr>
        <w:t>电联上述活动必须在能够提供特权、豁免和便利</w:t>
      </w:r>
      <w:r>
        <w:rPr>
          <w:rFonts w:hint="eastAsia"/>
          <w:lang w:eastAsia="zh-CN"/>
        </w:rPr>
        <w:t>的情况下开展，</w:t>
      </w:r>
    </w:p>
    <w:p w14:paraId="4827AED4" w14:textId="77777777" w:rsidR="004F1192" w:rsidRDefault="004F1192" w:rsidP="00203DAA">
      <w:pPr>
        <w:ind w:firstLineChars="200" w:firstLine="480"/>
        <w:rPr>
          <w:lang w:eastAsia="zh-CN"/>
        </w:rPr>
      </w:pPr>
      <w:r>
        <w:rPr>
          <w:rFonts w:eastAsia="STKaiti" w:hint="eastAsia"/>
          <w:lang w:eastAsia="zh-CN"/>
        </w:rPr>
        <w:t>忆及</w:t>
      </w:r>
      <w:r>
        <w:rPr>
          <w:rFonts w:ascii="SimSun" w:hAnsi="SimSun" w:hint="eastAsia"/>
          <w:lang w:eastAsia="zh-CN"/>
        </w:rPr>
        <w:t>联合国大会于</w:t>
      </w:r>
      <w:r>
        <w:rPr>
          <w:lang w:eastAsia="zh-CN"/>
        </w:rPr>
        <w:t>1947</w:t>
      </w:r>
      <w:r>
        <w:rPr>
          <w:rFonts w:ascii="SimSun" w:hAnsi="SimSun" w:hint="eastAsia"/>
          <w:lang w:eastAsia="zh-CN"/>
        </w:rPr>
        <w:t>年</w:t>
      </w:r>
      <w:r w:rsidRPr="0042050E">
        <w:rPr>
          <w:lang w:eastAsia="zh-CN"/>
        </w:rPr>
        <w:t>11</w:t>
      </w:r>
      <w:r w:rsidRPr="0042050E">
        <w:rPr>
          <w:rFonts w:hAnsi="SimSun"/>
          <w:lang w:eastAsia="zh-CN"/>
        </w:rPr>
        <w:t>月</w:t>
      </w:r>
      <w:r w:rsidRPr="0042050E">
        <w:rPr>
          <w:lang w:eastAsia="zh-CN"/>
        </w:rPr>
        <w:t>21</w:t>
      </w:r>
      <w:r w:rsidRPr="0042050E">
        <w:rPr>
          <w:rFonts w:hAnsi="SimSun"/>
          <w:lang w:eastAsia="zh-CN"/>
        </w:rPr>
        <w:t>日</w:t>
      </w:r>
      <w:r>
        <w:rPr>
          <w:rFonts w:ascii="SimSun" w:hAnsi="SimSun" w:hint="eastAsia"/>
          <w:lang w:eastAsia="zh-CN"/>
        </w:rPr>
        <w:t>批准的、得到国际电联承认的“专门机构特权和豁免公约”明确规定国际电联作为联合国专门机构之一，在开展其活动时所需的此类特权、豁免和便利，</w:t>
      </w:r>
    </w:p>
    <w:p w14:paraId="4827AED5" w14:textId="77777777" w:rsidR="004F1192" w:rsidRDefault="004F1192" w:rsidP="00203DAA">
      <w:pPr>
        <w:ind w:firstLineChars="200" w:firstLine="480"/>
        <w:rPr>
          <w:lang w:eastAsia="zh-CN"/>
        </w:rPr>
      </w:pPr>
      <w:r>
        <w:rPr>
          <w:rFonts w:eastAsia="STKaiti" w:hint="eastAsia"/>
          <w:lang w:eastAsia="zh-CN"/>
        </w:rPr>
        <w:t>同时忆及</w:t>
      </w:r>
      <w:r>
        <w:rPr>
          <w:rFonts w:ascii="SimSun" w:hAnsi="SimSun" w:hint="eastAsia"/>
          <w:lang w:eastAsia="zh-CN"/>
        </w:rPr>
        <w:t>有关后一项公约的第</w:t>
      </w:r>
      <w:r>
        <w:rPr>
          <w:lang w:eastAsia="zh-CN"/>
        </w:rPr>
        <w:t>193</w:t>
      </w:r>
      <w:r>
        <w:rPr>
          <w:rFonts w:ascii="SimSun" w:hAnsi="SimSun" w:hint="eastAsia"/>
          <w:lang w:eastAsia="zh-CN"/>
        </w:rPr>
        <w:t>号决议以及有关“国际电联成员</w:t>
      </w:r>
      <w:r w:rsidR="003641CE">
        <w:rPr>
          <w:rFonts w:ascii="SimSun" w:hAnsi="SimSun" w:hint="eastAsia"/>
          <w:lang w:eastAsia="zh-CN"/>
        </w:rPr>
        <w:t>国</w:t>
      </w:r>
      <w:r>
        <w:rPr>
          <w:rFonts w:ascii="SimSun" w:hAnsi="SimSun" w:hint="eastAsia"/>
          <w:lang w:eastAsia="zh-CN"/>
        </w:rPr>
        <w:t>代表团参加国际电联大会与会议”的第</w:t>
      </w:r>
      <w:r>
        <w:rPr>
          <w:lang w:eastAsia="zh-CN"/>
        </w:rPr>
        <w:t>304</w:t>
      </w:r>
      <w:r>
        <w:rPr>
          <w:rFonts w:ascii="SimSun" w:hAnsi="SimSun" w:hint="eastAsia"/>
          <w:lang w:eastAsia="zh-CN"/>
        </w:rPr>
        <w:t>号决定，</w:t>
      </w:r>
    </w:p>
    <w:p w14:paraId="4827AED6" w14:textId="77777777" w:rsidR="00640176" w:rsidRDefault="00640176">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rFonts w:eastAsia="STKaiti"/>
          <w:lang w:eastAsia="zh-CN"/>
        </w:rPr>
        <w:br w:type="page"/>
      </w:r>
    </w:p>
    <w:p w14:paraId="4827AED7" w14:textId="77777777" w:rsidR="004F1192" w:rsidRDefault="004F1192" w:rsidP="00203DAA">
      <w:pPr>
        <w:ind w:firstLineChars="200" w:firstLine="480"/>
        <w:rPr>
          <w:lang w:eastAsia="zh-CN"/>
        </w:rPr>
      </w:pPr>
      <w:r>
        <w:rPr>
          <w:rFonts w:eastAsia="STKaiti" w:hint="eastAsia"/>
          <w:lang w:eastAsia="zh-CN"/>
        </w:rPr>
        <w:lastRenderedPageBreak/>
        <w:t>然而，注意到</w:t>
      </w:r>
      <w:r>
        <w:rPr>
          <w:rFonts w:ascii="SimSun" w:hAnsi="SimSun" w:hint="eastAsia"/>
          <w:lang w:eastAsia="zh-CN"/>
        </w:rPr>
        <w:t>国际电联有相当数量的成员</w:t>
      </w:r>
      <w:r w:rsidR="003641CE">
        <w:rPr>
          <w:rFonts w:ascii="SimSun" w:hAnsi="SimSun" w:hint="eastAsia"/>
          <w:lang w:eastAsia="zh-CN"/>
        </w:rPr>
        <w:t>国</w:t>
      </w:r>
      <w:r>
        <w:rPr>
          <w:rFonts w:ascii="SimSun" w:hAnsi="SimSun" w:hint="eastAsia"/>
          <w:lang w:eastAsia="zh-CN"/>
        </w:rPr>
        <w:t>，即，接近半数的成员</w:t>
      </w:r>
      <w:r w:rsidR="003641CE">
        <w:rPr>
          <w:rFonts w:ascii="SimSun" w:hAnsi="SimSun" w:hint="eastAsia"/>
          <w:lang w:eastAsia="zh-CN"/>
        </w:rPr>
        <w:t>国</w:t>
      </w:r>
      <w:r>
        <w:rPr>
          <w:rFonts w:ascii="SimSun" w:hAnsi="SimSun" w:hint="eastAsia"/>
          <w:lang w:eastAsia="zh-CN"/>
        </w:rPr>
        <w:t>，或是</w:t>
      </w:r>
      <w:r w:rsidR="003641CE">
        <w:rPr>
          <w:rFonts w:ascii="SimSun" w:hAnsi="SimSun" w:hint="eastAsia"/>
          <w:lang w:eastAsia="zh-CN"/>
        </w:rPr>
        <w:t>根本</w:t>
      </w:r>
      <w:r>
        <w:rPr>
          <w:rFonts w:ascii="SimSun" w:hAnsi="SimSun" w:hint="eastAsia"/>
          <w:lang w:eastAsia="zh-CN"/>
        </w:rPr>
        <w:t>没有加入后一项公约，或是</w:t>
      </w:r>
      <w:r w:rsidR="003641CE">
        <w:rPr>
          <w:rFonts w:ascii="SimSun" w:hAnsi="SimSun" w:hint="eastAsia"/>
          <w:lang w:eastAsia="zh-CN"/>
        </w:rPr>
        <w:t>在不适用于国际电联的情况下</w:t>
      </w:r>
      <w:r>
        <w:rPr>
          <w:rFonts w:ascii="SimSun" w:hAnsi="SimSun" w:hint="eastAsia"/>
          <w:lang w:eastAsia="zh-CN"/>
        </w:rPr>
        <w:t>加入了该公约，</w:t>
      </w:r>
    </w:p>
    <w:p w14:paraId="4827AED8" w14:textId="77777777" w:rsidR="004F1192" w:rsidRDefault="004F1192" w:rsidP="00203DAA">
      <w:pPr>
        <w:ind w:firstLineChars="200" w:firstLine="480"/>
        <w:rPr>
          <w:lang w:eastAsia="zh-CN"/>
        </w:rPr>
      </w:pPr>
      <w:r>
        <w:rPr>
          <w:rFonts w:eastAsia="STKaiti" w:hint="eastAsia"/>
          <w:lang w:eastAsia="zh-CN"/>
        </w:rPr>
        <w:t>深信</w:t>
      </w:r>
      <w:r>
        <w:rPr>
          <w:rFonts w:ascii="SimSun" w:hAnsi="SimSun" w:hint="eastAsia"/>
          <w:lang w:eastAsia="zh-CN"/>
        </w:rPr>
        <w:t>从国际电联的利益出发，在或是加入后一项公约并使其适用于国际电联，或是正式宣布将使所述公约的条款适用于国际电联的活动，或提供足够的特权与豁免的国际电联成员国的领土上开展诸如上述国际电联的活动是不可避免的，</w:t>
      </w:r>
    </w:p>
    <w:p w14:paraId="4827AED9" w14:textId="77777777" w:rsidR="004F1192" w:rsidRPr="009764AB" w:rsidRDefault="004F1192" w:rsidP="00B64353">
      <w:pPr>
        <w:pStyle w:val="call0"/>
        <w:rPr>
          <w:rFonts w:ascii="STKaiti" w:hAnsi="STKaiti"/>
          <w:i/>
          <w:iCs/>
          <w:szCs w:val="22"/>
          <w:lang w:eastAsia="zh-CN"/>
        </w:rPr>
      </w:pPr>
      <w:r w:rsidRPr="009764AB">
        <w:rPr>
          <w:rFonts w:ascii="STKaiti" w:hAnsi="STKaiti" w:hint="eastAsia"/>
          <w:iCs/>
          <w:szCs w:val="22"/>
          <w:lang w:eastAsia="zh-CN"/>
        </w:rPr>
        <w:t>做出决议</w:t>
      </w:r>
    </w:p>
    <w:p w14:paraId="4827AEDA" w14:textId="77777777" w:rsidR="004F1192" w:rsidRDefault="004F1192" w:rsidP="00B64353">
      <w:pPr>
        <w:rPr>
          <w:lang w:eastAsia="zh-CN"/>
        </w:rPr>
      </w:pPr>
      <w:r>
        <w:rPr>
          <w:lang w:eastAsia="zh-CN"/>
        </w:rPr>
        <w:t>1</w:t>
      </w:r>
      <w:r w:rsidR="00BC233A">
        <w:rPr>
          <w:lang w:eastAsia="zh-CN"/>
        </w:rPr>
        <w:tab/>
      </w:r>
      <w:r>
        <w:rPr>
          <w:rFonts w:hint="eastAsia"/>
          <w:lang w:eastAsia="zh-CN"/>
        </w:rPr>
        <w:t>敦促尚未如此行事的所有国际电联成员</w:t>
      </w:r>
      <w:r w:rsidR="003641CE">
        <w:rPr>
          <w:rFonts w:hint="eastAsia"/>
          <w:lang w:eastAsia="zh-CN"/>
        </w:rPr>
        <w:t>国</w:t>
      </w:r>
      <w:r>
        <w:rPr>
          <w:rFonts w:hint="eastAsia"/>
          <w:lang w:eastAsia="zh-CN"/>
        </w:rPr>
        <w:t>加入</w:t>
      </w:r>
      <w:r>
        <w:rPr>
          <w:lang w:eastAsia="zh-CN"/>
        </w:rPr>
        <w:t>1947</w:t>
      </w:r>
      <w:r>
        <w:rPr>
          <w:rFonts w:ascii="SimSun" w:hAnsi="SimSun" w:hint="eastAsia"/>
          <w:lang w:eastAsia="zh-CN"/>
        </w:rPr>
        <w:t>年</w:t>
      </w:r>
      <w:r w:rsidRPr="004944CE">
        <w:rPr>
          <w:lang w:eastAsia="zh-CN"/>
        </w:rPr>
        <w:t>11</w:t>
      </w:r>
      <w:r w:rsidRPr="004944CE">
        <w:rPr>
          <w:rFonts w:hAnsi="SimSun"/>
          <w:lang w:eastAsia="zh-CN"/>
        </w:rPr>
        <w:t>月</w:t>
      </w:r>
      <w:r w:rsidRPr="004944CE">
        <w:rPr>
          <w:lang w:eastAsia="zh-CN"/>
        </w:rPr>
        <w:t>21</w:t>
      </w:r>
      <w:r w:rsidRPr="004944CE">
        <w:rPr>
          <w:rFonts w:hAnsi="SimSun"/>
          <w:lang w:eastAsia="zh-CN"/>
        </w:rPr>
        <w:t>日</w:t>
      </w:r>
      <w:r>
        <w:rPr>
          <w:rFonts w:ascii="SimSun" w:hAnsi="SimSun" w:hint="eastAsia"/>
          <w:lang w:eastAsia="zh-CN"/>
        </w:rPr>
        <w:t>的《专门机构特权</w:t>
      </w:r>
      <w:r w:rsidR="00473BC6">
        <w:rPr>
          <w:rFonts w:ascii="SimSun" w:hAnsi="SimSun" w:hint="eastAsia"/>
          <w:lang w:eastAsia="zh-CN"/>
        </w:rPr>
        <w:t>与</w:t>
      </w:r>
      <w:r>
        <w:rPr>
          <w:rFonts w:ascii="SimSun" w:hAnsi="SimSun" w:hint="eastAsia"/>
          <w:lang w:eastAsia="zh-CN"/>
        </w:rPr>
        <w:t>豁免公约》并将其适用于</w:t>
      </w:r>
      <w:r>
        <w:rPr>
          <w:rFonts w:hint="eastAsia"/>
          <w:lang w:eastAsia="zh-CN"/>
        </w:rPr>
        <w:t>国际电信联盟（见所述公约第</w:t>
      </w:r>
      <w:r>
        <w:rPr>
          <w:lang w:eastAsia="zh-CN"/>
        </w:rPr>
        <w:t>41</w:t>
      </w:r>
      <w:r>
        <w:rPr>
          <w:rFonts w:hint="eastAsia"/>
          <w:lang w:eastAsia="zh-CN"/>
        </w:rPr>
        <w:t>节）</w:t>
      </w:r>
      <w:r>
        <w:rPr>
          <w:rFonts w:ascii="SimSun" w:hAnsi="SimSun" w:hint="eastAsia"/>
          <w:lang w:eastAsia="zh-CN"/>
        </w:rPr>
        <w:t>，</w:t>
      </w:r>
      <w:r>
        <w:rPr>
          <w:rFonts w:hint="eastAsia"/>
          <w:lang w:eastAsia="zh-CN"/>
        </w:rPr>
        <w:t>并敦促已加入该公约、但尚未使其适用于国际电联的所有成员</w:t>
      </w:r>
      <w:r w:rsidR="003641CE">
        <w:rPr>
          <w:rFonts w:hint="eastAsia"/>
          <w:lang w:eastAsia="zh-CN"/>
        </w:rPr>
        <w:t>国</w:t>
      </w:r>
      <w:r>
        <w:rPr>
          <w:rFonts w:hint="eastAsia"/>
          <w:lang w:eastAsia="zh-CN"/>
        </w:rPr>
        <w:t>照此办理，并“随后向联合国秘书长寄送一份书面通知”，说明它们“同意将此公约的条款适用于国际电信联盟”（见所述公约第</w:t>
      </w:r>
      <w:r>
        <w:rPr>
          <w:lang w:eastAsia="zh-CN"/>
        </w:rPr>
        <w:t>43</w:t>
      </w:r>
      <w:r>
        <w:rPr>
          <w:rFonts w:hint="eastAsia"/>
          <w:lang w:eastAsia="zh-CN"/>
        </w:rPr>
        <w:t>节）；</w:t>
      </w:r>
    </w:p>
    <w:p w14:paraId="4827AEDB" w14:textId="77777777" w:rsidR="004F1192" w:rsidRDefault="004F1192" w:rsidP="00B64353">
      <w:pPr>
        <w:rPr>
          <w:lang w:eastAsia="zh-CN"/>
        </w:rPr>
      </w:pPr>
      <w:r>
        <w:rPr>
          <w:lang w:eastAsia="zh-CN"/>
        </w:rPr>
        <w:t>2</w:t>
      </w:r>
      <w:r w:rsidR="00BC233A">
        <w:rPr>
          <w:lang w:eastAsia="zh-CN"/>
        </w:rPr>
        <w:tab/>
      </w:r>
      <w:r>
        <w:rPr>
          <w:rFonts w:hint="eastAsia"/>
          <w:lang w:eastAsia="zh-CN"/>
        </w:rPr>
        <w:t>呼吁尚未加入所述公约、或尚未寄送上述第</w:t>
      </w:r>
      <w:r>
        <w:rPr>
          <w:lang w:eastAsia="zh-CN"/>
        </w:rPr>
        <w:t>1</w:t>
      </w:r>
      <w:r>
        <w:rPr>
          <w:rFonts w:hint="eastAsia"/>
          <w:lang w:eastAsia="zh-CN"/>
        </w:rPr>
        <w:t>段所述的有关国际电联的书面通知的国际电联成员</w:t>
      </w:r>
      <w:r w:rsidR="003641CE">
        <w:rPr>
          <w:rFonts w:hint="eastAsia"/>
          <w:lang w:eastAsia="zh-CN"/>
        </w:rPr>
        <w:t>国</w:t>
      </w:r>
      <w:r>
        <w:rPr>
          <w:rFonts w:hint="eastAsia"/>
          <w:lang w:eastAsia="zh-CN"/>
        </w:rPr>
        <w:t>确保主管政府当局正式宣布《</w:t>
      </w:r>
      <w:r>
        <w:rPr>
          <w:rFonts w:ascii="SimSun" w:hAnsi="SimSun" w:hint="eastAsia"/>
          <w:lang w:eastAsia="zh-CN"/>
        </w:rPr>
        <w:t>专门机构特权</w:t>
      </w:r>
      <w:r w:rsidR="00473BC6">
        <w:rPr>
          <w:rFonts w:ascii="SimSun" w:hAnsi="SimSun" w:hint="eastAsia"/>
          <w:lang w:eastAsia="zh-CN"/>
        </w:rPr>
        <w:t>与</w:t>
      </w:r>
      <w:r>
        <w:rPr>
          <w:rFonts w:ascii="SimSun" w:hAnsi="SimSun" w:hint="eastAsia"/>
          <w:lang w:eastAsia="zh-CN"/>
        </w:rPr>
        <w:t>豁免公约》的条款适用于将在其领土上开展的国际电联的活动，或给予同等的特权和豁免；</w:t>
      </w:r>
    </w:p>
    <w:p w14:paraId="4827AEDC" w14:textId="77777777" w:rsidR="004F1192" w:rsidRDefault="004F1192" w:rsidP="00B64353">
      <w:pPr>
        <w:rPr>
          <w:lang w:eastAsia="zh-CN"/>
        </w:rPr>
      </w:pPr>
      <w:r>
        <w:rPr>
          <w:lang w:eastAsia="zh-CN"/>
        </w:rPr>
        <w:t>3</w:t>
      </w:r>
      <w:r w:rsidR="00BC233A">
        <w:rPr>
          <w:lang w:eastAsia="zh-CN"/>
        </w:rPr>
        <w:tab/>
      </w:r>
      <w:r>
        <w:rPr>
          <w:rFonts w:hint="eastAsia"/>
          <w:lang w:eastAsia="zh-CN"/>
        </w:rPr>
        <w:t>再次确认其上述第</w:t>
      </w:r>
      <w:r>
        <w:rPr>
          <w:lang w:eastAsia="zh-CN"/>
        </w:rPr>
        <w:t>193</w:t>
      </w:r>
      <w:r>
        <w:rPr>
          <w:rFonts w:hint="eastAsia"/>
          <w:lang w:eastAsia="zh-CN"/>
        </w:rPr>
        <w:t>号决议和第</w:t>
      </w:r>
      <w:r>
        <w:rPr>
          <w:lang w:eastAsia="zh-CN"/>
        </w:rPr>
        <w:t>304</w:t>
      </w:r>
      <w:r>
        <w:rPr>
          <w:rFonts w:hint="eastAsia"/>
          <w:lang w:eastAsia="zh-CN"/>
        </w:rPr>
        <w:t>号决定的条款仍继续适用，</w:t>
      </w:r>
    </w:p>
    <w:p w14:paraId="4827AEDD" w14:textId="77777777" w:rsidR="004F1192" w:rsidRPr="00410648" w:rsidRDefault="004F1192" w:rsidP="00B64353">
      <w:pPr>
        <w:pStyle w:val="call0"/>
        <w:rPr>
          <w:lang w:eastAsia="zh-CN"/>
        </w:rPr>
      </w:pPr>
      <w:r w:rsidRPr="00BB127F">
        <w:rPr>
          <w:rFonts w:hint="eastAsia"/>
          <w:iCs/>
          <w:szCs w:val="22"/>
          <w:lang w:eastAsia="zh-CN"/>
        </w:rPr>
        <w:t>责成</w:t>
      </w:r>
      <w:r w:rsidRPr="00410648">
        <w:rPr>
          <w:rFonts w:hint="eastAsia"/>
          <w:lang w:eastAsia="zh-CN"/>
        </w:rPr>
        <w:t>秘书长</w:t>
      </w:r>
    </w:p>
    <w:p w14:paraId="4827AEDE" w14:textId="77777777" w:rsidR="004F1192" w:rsidRDefault="004F1192" w:rsidP="00B64353">
      <w:pPr>
        <w:rPr>
          <w:lang w:eastAsia="zh-CN"/>
        </w:rPr>
      </w:pPr>
      <w:r>
        <w:rPr>
          <w:lang w:eastAsia="zh-CN"/>
        </w:rPr>
        <w:t>1</w:t>
      </w:r>
      <w:r w:rsidR="00BC233A">
        <w:rPr>
          <w:lang w:eastAsia="zh-CN"/>
        </w:rPr>
        <w:tab/>
      </w:r>
      <w:r>
        <w:rPr>
          <w:rFonts w:hint="eastAsia"/>
          <w:lang w:eastAsia="zh-CN"/>
        </w:rPr>
        <w:t>立即请国际电联的所有成员</w:t>
      </w:r>
      <w:r w:rsidR="003641CE">
        <w:rPr>
          <w:rFonts w:hint="eastAsia"/>
          <w:lang w:eastAsia="zh-CN"/>
        </w:rPr>
        <w:t>国</w:t>
      </w:r>
      <w:r>
        <w:rPr>
          <w:rFonts w:hint="eastAsia"/>
          <w:lang w:eastAsia="zh-CN"/>
        </w:rPr>
        <w:t>注意到本决议；</w:t>
      </w:r>
    </w:p>
    <w:p w14:paraId="4827AEDF" w14:textId="77777777" w:rsidR="004F1192" w:rsidRDefault="004F1192" w:rsidP="00B64353">
      <w:pPr>
        <w:rPr>
          <w:lang w:eastAsia="zh-CN"/>
        </w:rPr>
      </w:pPr>
      <w:r>
        <w:rPr>
          <w:lang w:eastAsia="zh-CN"/>
        </w:rPr>
        <w:t>2</w:t>
      </w:r>
      <w:r w:rsidR="00BC233A">
        <w:rPr>
          <w:lang w:eastAsia="zh-CN"/>
        </w:rPr>
        <w:tab/>
      </w:r>
      <w:r>
        <w:rPr>
          <w:rFonts w:hint="eastAsia"/>
          <w:lang w:eastAsia="zh-CN"/>
        </w:rPr>
        <w:t>在其权限范围内，尽一切努力确保本决议的条款得到适当实施，并在适当时向理事会通报他在这方面遇到的任何实际困难，包括在有关方面不遵守这些条款时他不得不采取的任何措施，特别是那些在理事会年会做出决定前就需开展的国际电联活动方面所采取的措施。</w:t>
      </w:r>
    </w:p>
    <w:p w14:paraId="4827AEE0" w14:textId="77777777" w:rsidR="00F11D1D" w:rsidRDefault="004F1192" w:rsidP="00203DAA">
      <w:pPr>
        <w:pStyle w:val="Endtext"/>
        <w:rPr>
          <w:rFonts w:ascii="SimSun" w:hAnsi="SimSun"/>
          <w:lang w:val="en-US" w:eastAsia="zh-CN"/>
        </w:rPr>
      </w:pPr>
      <w:r>
        <w:rPr>
          <w:rFonts w:hint="eastAsia"/>
          <w:lang w:eastAsia="zh-CN"/>
        </w:rPr>
        <w:t>参阅</w:t>
      </w:r>
      <w:r>
        <w:rPr>
          <w:rFonts w:ascii="STKaiti" w:hAnsi="SimSun" w:hint="eastAsia"/>
          <w:lang w:eastAsia="zh-CN"/>
        </w:rPr>
        <w:t>：</w:t>
      </w:r>
      <w:r>
        <w:rPr>
          <w:lang w:eastAsia="zh-CN"/>
        </w:rPr>
        <w:tab/>
        <w:t>7055</w:t>
      </w:r>
      <w:r>
        <w:rPr>
          <w:rFonts w:hint="eastAsia"/>
          <w:lang w:eastAsia="zh-CN"/>
        </w:rPr>
        <w:t>和</w:t>
      </w:r>
      <w:r>
        <w:rPr>
          <w:lang w:eastAsia="zh-CN"/>
        </w:rPr>
        <w:t>7074/CA45</w:t>
      </w:r>
      <w:r>
        <w:rPr>
          <w:rFonts w:ascii="SimSun" w:hAnsi="SimSun" w:hint="eastAsia"/>
          <w:lang w:eastAsia="zh-CN"/>
        </w:rPr>
        <w:t>号文件</w:t>
      </w:r>
      <w:r w:rsidR="00A15C58">
        <w:rPr>
          <w:lang w:eastAsia="zh-CN"/>
        </w:rPr>
        <w:t>（</w:t>
      </w:r>
      <w:r w:rsidR="00A15C58">
        <w:rPr>
          <w:lang w:eastAsia="zh-CN"/>
        </w:rPr>
        <w:t>1990</w:t>
      </w:r>
      <w:r w:rsidR="00A15C58">
        <w:rPr>
          <w:rFonts w:hint="eastAsia"/>
          <w:lang w:eastAsia="zh-CN"/>
        </w:rPr>
        <w:t>年</w:t>
      </w:r>
      <w:r w:rsidR="00A15C58">
        <w:rPr>
          <w:lang w:eastAsia="zh-CN"/>
        </w:rPr>
        <w:t>）</w:t>
      </w:r>
      <w:r>
        <w:rPr>
          <w:rFonts w:ascii="SimSun" w:hAnsi="SimSun" w:hint="eastAsia"/>
          <w:lang w:eastAsia="zh-CN"/>
        </w:rPr>
        <w:t>。</w:t>
      </w:r>
    </w:p>
    <w:p w14:paraId="4827AEE1" w14:textId="77777777" w:rsidR="00481C40" w:rsidRDefault="00481C40" w:rsidP="00481C40">
      <w:pPr>
        <w:jc w:val="center"/>
        <w:rPr>
          <w:lang w:eastAsia="zh-CN"/>
        </w:rPr>
      </w:pPr>
      <w:bookmarkStart w:id="412" w:name="_Toc161224012"/>
      <w:r>
        <w:rPr>
          <w:lang w:eastAsia="zh-CN"/>
        </w:rPr>
        <w:t>______________</w:t>
      </w:r>
    </w:p>
    <w:p w14:paraId="4827AEE2" w14:textId="77777777" w:rsidR="00110583" w:rsidRDefault="00110583" w:rsidP="00110583">
      <w:pPr>
        <w:rPr>
          <w:lang w:val="fr-FR" w:eastAsia="zh-CN"/>
        </w:rPr>
      </w:pPr>
    </w:p>
    <w:p w14:paraId="4827AEE3" w14:textId="77777777" w:rsidR="00D32C40" w:rsidRDefault="00D32C40" w:rsidP="00110583">
      <w:pPr>
        <w:rPr>
          <w:lang w:val="fr-FR" w:eastAsia="zh-CN"/>
        </w:rPr>
      </w:pPr>
    </w:p>
    <w:p w14:paraId="4827AEE4" w14:textId="77777777" w:rsidR="00763587" w:rsidRDefault="00763587" w:rsidP="00110583">
      <w:pPr>
        <w:rPr>
          <w:lang w:val="fr-FR" w:eastAsia="zh-CN"/>
        </w:rPr>
      </w:pPr>
    </w:p>
    <w:p w14:paraId="4827AEE5" w14:textId="77777777" w:rsidR="00110583" w:rsidRDefault="00110583" w:rsidP="00110583">
      <w:pPr>
        <w:rPr>
          <w:lang w:val="fr-FR" w:eastAsia="zh-CN"/>
        </w:rPr>
      </w:pPr>
    </w:p>
    <w:p w14:paraId="4827AEE6" w14:textId="77777777" w:rsidR="00110583" w:rsidRPr="00110583" w:rsidRDefault="00110583" w:rsidP="00110583">
      <w:pPr>
        <w:rPr>
          <w:lang w:val="fr-FR" w:eastAsia="zh-CN"/>
        </w:rPr>
      </w:pPr>
    </w:p>
    <w:p w14:paraId="4827AEE7" w14:textId="77777777" w:rsidR="00640176" w:rsidRDefault="00640176">
      <w:pPr>
        <w:tabs>
          <w:tab w:val="clear" w:pos="794"/>
          <w:tab w:val="clear" w:pos="1191"/>
          <w:tab w:val="clear" w:pos="1588"/>
          <w:tab w:val="clear" w:pos="1985"/>
        </w:tabs>
        <w:overflowPunct/>
        <w:autoSpaceDE/>
        <w:autoSpaceDN/>
        <w:adjustRightInd/>
        <w:spacing w:before="0"/>
        <w:jc w:val="left"/>
        <w:textAlignment w:val="auto"/>
        <w:rPr>
          <w:sz w:val="28"/>
          <w:lang w:eastAsia="zh-CN"/>
        </w:rPr>
      </w:pPr>
      <w:bookmarkStart w:id="413" w:name="_Toc161732058"/>
      <w:bookmarkStart w:id="414" w:name="_Toc161740985"/>
      <w:bookmarkStart w:id="415" w:name="_Toc185237654"/>
      <w:bookmarkStart w:id="416" w:name="_Toc311469571"/>
      <w:r>
        <w:rPr>
          <w:lang w:eastAsia="zh-CN"/>
        </w:rPr>
        <w:br w:type="page"/>
      </w:r>
    </w:p>
    <w:p w14:paraId="4827AEE8" w14:textId="77777777" w:rsidR="00203DAA" w:rsidRPr="00203DAA" w:rsidRDefault="004F1192" w:rsidP="00A75FB5">
      <w:pPr>
        <w:pStyle w:val="ResNo"/>
        <w:outlineLvl w:val="0"/>
        <w:rPr>
          <w:lang w:eastAsia="zh-CN"/>
        </w:rPr>
      </w:pPr>
      <w:bookmarkStart w:id="417" w:name="_Toc424116961"/>
      <w:bookmarkStart w:id="418" w:name="_Toc531706302"/>
      <w:bookmarkStart w:id="419" w:name="_Toc531706898"/>
      <w:bookmarkStart w:id="420" w:name="_Toc531768391"/>
      <w:bookmarkStart w:id="421" w:name="_Toc16085710"/>
      <w:bookmarkStart w:id="422" w:name="_Toc86395514"/>
      <w:r w:rsidRPr="00203DAA">
        <w:rPr>
          <w:rFonts w:hint="eastAsia"/>
          <w:lang w:eastAsia="zh-CN"/>
        </w:rPr>
        <w:lastRenderedPageBreak/>
        <w:t>第</w:t>
      </w:r>
      <w:r w:rsidRPr="00203DAA">
        <w:rPr>
          <w:lang w:eastAsia="zh-CN"/>
        </w:rPr>
        <w:t>1142</w:t>
      </w:r>
      <w:r w:rsidRPr="00203DAA">
        <w:rPr>
          <w:rFonts w:hint="eastAsia"/>
          <w:lang w:eastAsia="zh-CN"/>
        </w:rPr>
        <w:t>号决议</w:t>
      </w:r>
      <w:r w:rsidR="00203DAA">
        <w:rPr>
          <w:rFonts w:hint="eastAsia"/>
          <w:lang w:eastAsia="zh-CN"/>
        </w:rPr>
        <w:t>（</w:t>
      </w:r>
      <w:r w:rsidR="00203DAA" w:rsidRPr="00203DAA">
        <w:rPr>
          <w:lang w:eastAsia="zh-CN"/>
        </w:rPr>
        <w:t>C-1999</w:t>
      </w:r>
      <w:r w:rsidR="00203DAA">
        <w:rPr>
          <w:rFonts w:hint="eastAsia"/>
          <w:lang w:eastAsia="zh-CN"/>
        </w:rPr>
        <w:t>）</w:t>
      </w:r>
      <w:bookmarkEnd w:id="417"/>
      <w:bookmarkEnd w:id="418"/>
      <w:bookmarkEnd w:id="419"/>
      <w:bookmarkEnd w:id="420"/>
      <w:bookmarkEnd w:id="421"/>
      <w:bookmarkEnd w:id="422"/>
    </w:p>
    <w:p w14:paraId="4827AEE9" w14:textId="77777777" w:rsidR="004F1192" w:rsidRPr="00203DAA" w:rsidRDefault="004F1192" w:rsidP="00203DAA">
      <w:pPr>
        <w:pStyle w:val="Restitle"/>
        <w:rPr>
          <w:lang w:eastAsia="zh-CN"/>
        </w:rPr>
      </w:pPr>
      <w:bookmarkStart w:id="423" w:name="_Toc424116211"/>
      <w:bookmarkStart w:id="424" w:name="_Toc424116962"/>
      <w:bookmarkStart w:id="425" w:name="_Toc460248065"/>
      <w:bookmarkStart w:id="426" w:name="_Toc531706303"/>
      <w:bookmarkStart w:id="427" w:name="_Toc531706899"/>
      <w:bookmarkStart w:id="428" w:name="_Toc531768392"/>
      <w:bookmarkStart w:id="429" w:name="_Toc16085711"/>
      <w:bookmarkStart w:id="430" w:name="_Toc86395515"/>
      <w:r w:rsidRPr="00203DAA">
        <w:rPr>
          <w:rFonts w:hint="eastAsia"/>
          <w:lang w:eastAsia="zh-CN"/>
        </w:rPr>
        <w:t>职业病</w:t>
      </w:r>
      <w:bookmarkEnd w:id="412"/>
      <w:bookmarkEnd w:id="413"/>
      <w:bookmarkEnd w:id="414"/>
      <w:bookmarkEnd w:id="415"/>
      <w:bookmarkEnd w:id="416"/>
      <w:bookmarkEnd w:id="423"/>
      <w:bookmarkEnd w:id="424"/>
      <w:bookmarkEnd w:id="425"/>
      <w:bookmarkEnd w:id="426"/>
      <w:bookmarkEnd w:id="427"/>
      <w:bookmarkEnd w:id="428"/>
      <w:bookmarkEnd w:id="429"/>
      <w:bookmarkEnd w:id="430"/>
    </w:p>
    <w:p w14:paraId="4827AEEA" w14:textId="77777777" w:rsidR="004F1192" w:rsidRPr="00410648" w:rsidRDefault="004F1192" w:rsidP="00410648">
      <w:pPr>
        <w:pStyle w:val="Normalaftertitle"/>
        <w:rPr>
          <w:lang w:eastAsia="zh-CN"/>
        </w:rPr>
      </w:pPr>
      <w:r w:rsidRPr="00410648">
        <w:rPr>
          <w:rFonts w:hint="eastAsia"/>
          <w:lang w:eastAsia="zh-CN"/>
        </w:rPr>
        <w:t>理事会</w:t>
      </w:r>
      <w:r w:rsidR="00E30296" w:rsidRPr="00410648">
        <w:rPr>
          <w:rFonts w:hint="eastAsia"/>
          <w:lang w:eastAsia="zh-CN"/>
        </w:rPr>
        <w:t>，</w:t>
      </w:r>
    </w:p>
    <w:p w14:paraId="4827AEEB" w14:textId="77777777" w:rsidR="004F1192" w:rsidRDefault="004F1192" w:rsidP="00203DAA">
      <w:pPr>
        <w:ind w:firstLineChars="200" w:firstLine="480"/>
        <w:rPr>
          <w:lang w:eastAsia="zh-CN"/>
        </w:rPr>
      </w:pPr>
      <w:r>
        <w:rPr>
          <w:rFonts w:eastAsia="STKaiti" w:hint="eastAsia"/>
          <w:lang w:eastAsia="zh-CN"/>
        </w:rPr>
        <w:t>考虑到</w:t>
      </w:r>
      <w:r>
        <w:rPr>
          <w:rFonts w:hint="eastAsia"/>
          <w:lang w:eastAsia="zh-CN"/>
        </w:rPr>
        <w:t>全权代表大会通过的有关职业病的第</w:t>
      </w:r>
      <w:r w:rsidRPr="00FF0E1C">
        <w:rPr>
          <w:lang w:eastAsia="zh-CN"/>
        </w:rPr>
        <w:t>97</w:t>
      </w:r>
      <w:r w:rsidRPr="00FF0E1C">
        <w:rPr>
          <w:lang w:eastAsia="zh-CN"/>
        </w:rPr>
        <w:t>号决议（</w:t>
      </w:r>
      <w:r w:rsidRPr="00FF0E1C">
        <w:rPr>
          <w:lang w:eastAsia="zh-CN"/>
        </w:rPr>
        <w:t>1998</w:t>
      </w:r>
      <w:r w:rsidRPr="00FF0E1C">
        <w:rPr>
          <w:lang w:eastAsia="zh-CN"/>
        </w:rPr>
        <w:t>年</w:t>
      </w:r>
      <w:r>
        <w:rPr>
          <w:rFonts w:hint="eastAsia"/>
          <w:lang w:eastAsia="zh-CN"/>
        </w:rPr>
        <w:t>，明尼阿波利斯</w:t>
      </w:r>
      <w:r>
        <w:rPr>
          <w:lang w:eastAsia="zh-CN"/>
        </w:rPr>
        <w:t>）</w:t>
      </w:r>
      <w:r>
        <w:rPr>
          <w:rFonts w:hint="eastAsia"/>
          <w:lang w:eastAsia="zh-CN"/>
        </w:rPr>
        <w:t>，</w:t>
      </w:r>
    </w:p>
    <w:p w14:paraId="4827AEEC" w14:textId="77777777" w:rsidR="004F1192" w:rsidRDefault="004F1192" w:rsidP="00203DAA">
      <w:pPr>
        <w:pStyle w:val="Call"/>
        <w:rPr>
          <w:lang w:eastAsia="zh-CN"/>
        </w:rPr>
      </w:pPr>
      <w:r>
        <w:rPr>
          <w:rFonts w:hint="eastAsia"/>
          <w:lang w:eastAsia="zh-CN"/>
        </w:rPr>
        <w:t>做出决议，</w:t>
      </w:r>
      <w:r w:rsidRPr="00473BC6">
        <w:rPr>
          <w:rFonts w:ascii="STKaiti" w:hAnsi="STKaiti" w:hint="eastAsia"/>
          <w:lang w:eastAsia="zh-CN"/>
        </w:rPr>
        <w:t>责成秘书长</w:t>
      </w:r>
    </w:p>
    <w:p w14:paraId="4827AEED" w14:textId="77777777" w:rsidR="004F1192" w:rsidRDefault="00473BC6" w:rsidP="00203DAA">
      <w:pPr>
        <w:rPr>
          <w:lang w:eastAsia="zh-CN"/>
        </w:rPr>
      </w:pPr>
      <w:r w:rsidRPr="008D694A">
        <w:rPr>
          <w:rFonts w:hint="eastAsia"/>
          <w:i/>
          <w:iCs/>
          <w:lang w:eastAsia="zh-CN"/>
        </w:rPr>
        <w:t>a)</w:t>
      </w:r>
      <w:r w:rsidR="004F1192">
        <w:rPr>
          <w:lang w:eastAsia="zh-CN"/>
        </w:rPr>
        <w:tab/>
      </w:r>
      <w:r w:rsidR="004F1192">
        <w:rPr>
          <w:rFonts w:hint="eastAsia"/>
          <w:lang w:eastAsia="zh-CN"/>
        </w:rPr>
        <w:t>确保国际电联所在国现行的安全、卫生和环境标准适用于国际电联，并就此向理事会</w:t>
      </w:r>
      <w:r w:rsidR="004F1192" w:rsidRPr="00FF0E1C">
        <w:rPr>
          <w:lang w:eastAsia="zh-CN"/>
        </w:rPr>
        <w:t>2000</w:t>
      </w:r>
      <w:r w:rsidR="004F1192">
        <w:rPr>
          <w:rFonts w:hint="eastAsia"/>
          <w:lang w:eastAsia="zh-CN"/>
        </w:rPr>
        <w:t>年会议报告有关事宜；</w:t>
      </w:r>
    </w:p>
    <w:p w14:paraId="4827AEEE" w14:textId="77777777" w:rsidR="004F1192" w:rsidRDefault="00473BC6" w:rsidP="00B64353">
      <w:pPr>
        <w:rPr>
          <w:lang w:eastAsia="zh-CN"/>
        </w:rPr>
      </w:pPr>
      <w:r w:rsidRPr="008D694A">
        <w:rPr>
          <w:rFonts w:hint="eastAsia"/>
          <w:i/>
          <w:iCs/>
          <w:lang w:eastAsia="zh-CN"/>
        </w:rPr>
        <w:t>b)</w:t>
      </w:r>
      <w:r w:rsidR="004F1192">
        <w:rPr>
          <w:lang w:eastAsia="zh-CN"/>
        </w:rPr>
        <w:tab/>
      </w:r>
      <w:r w:rsidR="004F1192">
        <w:rPr>
          <w:rFonts w:ascii="SimSun" w:hAnsi="SimSun" w:hint="eastAsia"/>
          <w:lang w:eastAsia="zh-CN"/>
        </w:rPr>
        <w:t>继续研究如何对待因以前在国际电联工作而导致的疾病危险及其影响原国际电联职员健康的问题，并向理事会提交一份报告，以求在其</w:t>
      </w:r>
      <w:r w:rsidR="004F1192" w:rsidRPr="00FF0E1C">
        <w:rPr>
          <w:lang w:eastAsia="zh-CN"/>
        </w:rPr>
        <w:t>2000</w:t>
      </w:r>
      <w:r w:rsidR="004F1192" w:rsidRPr="00FF0E1C">
        <w:rPr>
          <w:rFonts w:hAnsi="SimSun"/>
          <w:lang w:eastAsia="zh-CN"/>
        </w:rPr>
        <w:t>年会</w:t>
      </w:r>
      <w:r w:rsidR="004F1192">
        <w:rPr>
          <w:rFonts w:ascii="SimSun" w:hAnsi="SimSun" w:hint="eastAsia"/>
          <w:lang w:eastAsia="zh-CN"/>
        </w:rPr>
        <w:t>议上作出决定。</w:t>
      </w:r>
    </w:p>
    <w:p w14:paraId="4827AEEF" w14:textId="77777777" w:rsidR="00F11D1D" w:rsidRPr="002E405F" w:rsidRDefault="004F1192" w:rsidP="00203DAA">
      <w:pPr>
        <w:pStyle w:val="Endtext"/>
        <w:rPr>
          <w:lang w:val="fr-FR" w:eastAsia="zh-CN"/>
        </w:rPr>
      </w:pPr>
      <w:r>
        <w:rPr>
          <w:rFonts w:hint="eastAsia"/>
          <w:lang w:eastAsia="zh-CN"/>
        </w:rPr>
        <w:t>参阅</w:t>
      </w:r>
      <w:r>
        <w:rPr>
          <w:rFonts w:ascii="STKaiti" w:hAnsi="SimSun" w:hint="eastAsia"/>
          <w:lang w:eastAsia="zh-CN"/>
        </w:rPr>
        <w:t>：</w:t>
      </w:r>
      <w:r w:rsidR="00E30296">
        <w:rPr>
          <w:rFonts w:ascii="STKaiti" w:hAnsi="SimSun" w:hint="eastAsia"/>
          <w:lang w:eastAsia="zh-CN"/>
        </w:rPr>
        <w:tab/>
      </w:r>
      <w:hyperlink r:id="rId160" w:history="1">
        <w:r w:rsidR="00203DAA" w:rsidRPr="009D46CC">
          <w:rPr>
            <w:rStyle w:val="Hyperlink"/>
            <w:lang w:val="fr-FR" w:eastAsia="zh-CN"/>
          </w:rPr>
          <w:t>C99/117</w:t>
        </w:r>
      </w:hyperlink>
      <w:r w:rsidR="00203DAA">
        <w:rPr>
          <w:rFonts w:hint="eastAsia"/>
          <w:lang w:val="fr-FR" w:eastAsia="zh-CN"/>
        </w:rPr>
        <w:t>和</w:t>
      </w:r>
      <w:hyperlink r:id="rId161" w:history="1">
        <w:r w:rsidR="00203DAA" w:rsidRPr="009D46CC">
          <w:rPr>
            <w:rStyle w:val="Hyperlink"/>
            <w:lang w:val="fr-FR" w:eastAsia="zh-CN"/>
          </w:rPr>
          <w:t>C99/132</w:t>
        </w:r>
      </w:hyperlink>
      <w:r>
        <w:rPr>
          <w:rFonts w:ascii="SimSun" w:hAnsi="SimSun" w:hint="eastAsia"/>
          <w:lang w:eastAsia="zh-CN"/>
        </w:rPr>
        <w:t>号文件。</w:t>
      </w:r>
    </w:p>
    <w:p w14:paraId="4827AEF0" w14:textId="77777777" w:rsidR="00481C40" w:rsidRDefault="00481C40" w:rsidP="00481C40">
      <w:pPr>
        <w:jc w:val="center"/>
        <w:rPr>
          <w:lang w:eastAsia="zh-CN"/>
        </w:rPr>
      </w:pPr>
      <w:bookmarkStart w:id="431" w:name="_Toc424116963"/>
      <w:bookmarkStart w:id="432" w:name="_Toc531706304"/>
      <w:bookmarkStart w:id="433" w:name="_Toc531706900"/>
      <w:bookmarkStart w:id="434" w:name="_Toc531768393"/>
      <w:bookmarkStart w:id="435" w:name="_Toc185237659"/>
      <w:bookmarkStart w:id="436" w:name="_Toc311469574"/>
      <w:r>
        <w:rPr>
          <w:lang w:eastAsia="zh-CN"/>
        </w:rPr>
        <w:t>______________</w:t>
      </w:r>
    </w:p>
    <w:p w14:paraId="4827AEF1" w14:textId="77777777" w:rsidR="009E3745" w:rsidRPr="009E3745" w:rsidRDefault="0077376D" w:rsidP="00A75FB5">
      <w:pPr>
        <w:pStyle w:val="ResNo"/>
        <w:outlineLvl w:val="0"/>
        <w:rPr>
          <w:lang w:eastAsia="zh-CN"/>
        </w:rPr>
      </w:pPr>
      <w:bookmarkStart w:id="437" w:name="_Toc16085712"/>
      <w:bookmarkStart w:id="438" w:name="_Toc86395516"/>
      <w:r w:rsidRPr="009E3745">
        <w:rPr>
          <w:rFonts w:hint="eastAsia"/>
          <w:lang w:eastAsia="zh-CN"/>
        </w:rPr>
        <w:t>第</w:t>
      </w:r>
      <w:r w:rsidRPr="009E3745">
        <w:rPr>
          <w:rFonts w:hint="eastAsia"/>
          <w:lang w:eastAsia="zh-CN"/>
        </w:rPr>
        <w:t>13</w:t>
      </w:r>
      <w:r w:rsidRPr="009E3745">
        <w:rPr>
          <w:lang w:eastAsia="zh-CN"/>
        </w:rPr>
        <w:t>69</w:t>
      </w:r>
      <w:r w:rsidRPr="009E3745">
        <w:rPr>
          <w:rFonts w:hint="eastAsia"/>
          <w:lang w:eastAsia="zh-CN"/>
        </w:rPr>
        <w:t>号决议</w:t>
      </w:r>
      <w:r w:rsidR="009E3745">
        <w:rPr>
          <w:rFonts w:hint="eastAsia"/>
          <w:lang w:eastAsia="zh-CN"/>
        </w:rPr>
        <w:t>（</w:t>
      </w:r>
      <w:r w:rsidR="009E3745" w:rsidRPr="009E3745">
        <w:rPr>
          <w:lang w:eastAsia="zh-CN"/>
        </w:rPr>
        <w:t>C14</w:t>
      </w:r>
      <w:r w:rsidR="009E3745">
        <w:rPr>
          <w:rFonts w:hint="eastAsia"/>
          <w:lang w:eastAsia="zh-CN"/>
        </w:rPr>
        <w:t>）</w:t>
      </w:r>
      <w:bookmarkEnd w:id="431"/>
      <w:bookmarkEnd w:id="432"/>
      <w:bookmarkEnd w:id="433"/>
      <w:bookmarkEnd w:id="434"/>
      <w:bookmarkEnd w:id="437"/>
      <w:bookmarkEnd w:id="438"/>
    </w:p>
    <w:p w14:paraId="4827AEF2" w14:textId="77777777" w:rsidR="0077376D" w:rsidRPr="009E3745" w:rsidRDefault="0077376D" w:rsidP="009E3745">
      <w:pPr>
        <w:pStyle w:val="Restitle"/>
        <w:rPr>
          <w:lang w:eastAsia="zh-CN"/>
        </w:rPr>
      </w:pPr>
      <w:bookmarkStart w:id="439" w:name="_Toc424116212"/>
      <w:bookmarkStart w:id="440" w:name="_Toc424116964"/>
      <w:bookmarkStart w:id="441" w:name="_Toc460248067"/>
      <w:bookmarkStart w:id="442" w:name="_Toc531706305"/>
      <w:bookmarkStart w:id="443" w:name="_Toc531706901"/>
      <w:bookmarkStart w:id="444" w:name="_Toc531768394"/>
      <w:bookmarkStart w:id="445" w:name="_Toc16085713"/>
      <w:bookmarkStart w:id="446" w:name="_Toc86395517"/>
      <w:r w:rsidRPr="009E3745">
        <w:rPr>
          <w:rFonts w:hint="eastAsia"/>
          <w:lang w:eastAsia="zh-CN"/>
        </w:rPr>
        <w:t>对适用于委任职员的《人事规则》的修正</w:t>
      </w:r>
      <w:bookmarkEnd w:id="439"/>
      <w:bookmarkEnd w:id="440"/>
      <w:bookmarkEnd w:id="441"/>
      <w:bookmarkEnd w:id="442"/>
      <w:bookmarkEnd w:id="443"/>
      <w:bookmarkEnd w:id="444"/>
      <w:bookmarkEnd w:id="445"/>
      <w:bookmarkEnd w:id="446"/>
    </w:p>
    <w:p w14:paraId="4827AEF3" w14:textId="77777777" w:rsidR="0077376D" w:rsidRDefault="0077376D" w:rsidP="00DA228B">
      <w:pPr>
        <w:pStyle w:val="Normalaftertitle"/>
        <w:rPr>
          <w:lang w:eastAsia="zh-CN"/>
        </w:rPr>
      </w:pPr>
      <w:r>
        <w:rPr>
          <w:lang w:eastAsia="zh-CN"/>
        </w:rPr>
        <w:t>理事会，</w:t>
      </w:r>
    </w:p>
    <w:p w14:paraId="4827AEF4" w14:textId="77777777" w:rsidR="0077376D" w:rsidRPr="002A4B74" w:rsidRDefault="0077376D" w:rsidP="0077376D">
      <w:pPr>
        <w:pStyle w:val="call0"/>
        <w:rPr>
          <w:rFonts w:ascii="STKaiti" w:hAnsi="STKaiti"/>
          <w:i/>
          <w:iCs/>
          <w:lang w:val="en-US" w:eastAsia="zh-CN"/>
        </w:rPr>
      </w:pPr>
      <w:r w:rsidRPr="002A4B74">
        <w:rPr>
          <w:rFonts w:ascii="STKaiti" w:hAnsi="STKaiti"/>
          <w:iCs/>
          <w:lang w:val="en-US" w:eastAsia="zh-CN"/>
        </w:rPr>
        <w:t>鉴于</w:t>
      </w:r>
    </w:p>
    <w:p w14:paraId="4827AEF5" w14:textId="77777777" w:rsidR="0077376D" w:rsidRPr="00E90E99" w:rsidRDefault="0077376D" w:rsidP="0077376D">
      <w:pPr>
        <w:ind w:firstLineChars="200" w:firstLine="480"/>
        <w:rPr>
          <w:lang w:eastAsia="zh-CN"/>
        </w:rPr>
      </w:pPr>
      <w:r w:rsidRPr="00E90E99">
        <w:rPr>
          <w:rFonts w:hint="eastAsia"/>
          <w:lang w:eastAsia="zh-CN"/>
        </w:rPr>
        <w:t>国际电联《公约》第</w:t>
      </w:r>
      <w:r w:rsidRPr="00E90E99">
        <w:rPr>
          <w:rFonts w:hint="eastAsia"/>
          <w:lang w:eastAsia="zh-CN"/>
        </w:rPr>
        <w:t>63</w:t>
      </w:r>
      <w:r w:rsidRPr="00E90E99">
        <w:rPr>
          <w:rFonts w:hint="eastAsia"/>
          <w:lang w:eastAsia="zh-CN"/>
        </w:rPr>
        <w:t>款和《人事规则》规则</w:t>
      </w:r>
      <w:r w:rsidRPr="00E90E99">
        <w:rPr>
          <w:rFonts w:hint="eastAsia"/>
          <w:lang w:eastAsia="zh-CN"/>
        </w:rPr>
        <w:t>12.1</w:t>
      </w:r>
      <w:r w:rsidRPr="00E90E99">
        <w:rPr>
          <w:rFonts w:hint="eastAsia"/>
          <w:lang w:eastAsia="zh-CN"/>
        </w:rPr>
        <w:t>，</w:t>
      </w:r>
    </w:p>
    <w:p w14:paraId="4827AEF6" w14:textId="77777777" w:rsidR="0077376D" w:rsidRPr="002A4B74" w:rsidRDefault="0077376D" w:rsidP="0077376D">
      <w:pPr>
        <w:pStyle w:val="call0"/>
        <w:rPr>
          <w:rFonts w:ascii="STKaiti" w:hAnsi="STKaiti"/>
          <w:i/>
          <w:iCs/>
          <w:lang w:val="en-US" w:eastAsia="zh-CN"/>
        </w:rPr>
      </w:pPr>
      <w:r w:rsidRPr="002A4B74">
        <w:rPr>
          <w:rFonts w:ascii="STKaiti" w:hAnsi="STKaiti"/>
          <w:iCs/>
          <w:lang w:val="en-US" w:eastAsia="zh-CN"/>
        </w:rPr>
        <w:t>经审议</w:t>
      </w:r>
    </w:p>
    <w:p w14:paraId="4827AEF7" w14:textId="77777777" w:rsidR="0077376D" w:rsidRDefault="0077376D" w:rsidP="0077376D">
      <w:pPr>
        <w:ind w:firstLineChars="200" w:firstLine="480"/>
        <w:rPr>
          <w:lang w:eastAsia="zh-CN"/>
        </w:rPr>
      </w:pPr>
      <w:r>
        <w:rPr>
          <w:rFonts w:hint="eastAsia"/>
          <w:lang w:eastAsia="zh-CN"/>
        </w:rPr>
        <w:t>秘书长有关制定</w:t>
      </w:r>
      <w:r>
        <w:rPr>
          <w:rFonts w:hint="eastAsia"/>
          <w:lang w:eastAsia="zh-CN"/>
        </w:rPr>
        <w:t>2014</w:t>
      </w:r>
      <w:r>
        <w:rPr>
          <w:rFonts w:hint="eastAsia"/>
          <w:lang w:eastAsia="zh-CN"/>
        </w:rPr>
        <w:t>年行动计划、</w:t>
      </w:r>
      <w:r>
        <w:rPr>
          <w:rFonts w:hint="eastAsia"/>
          <w:lang w:val="fr-FR" w:eastAsia="zh-CN"/>
        </w:rPr>
        <w:t>落实理事会于</w:t>
      </w:r>
      <w:r>
        <w:rPr>
          <w:lang w:val="en-US" w:eastAsia="zh-CN"/>
        </w:rPr>
        <w:t>2013</w:t>
      </w:r>
      <w:r>
        <w:rPr>
          <w:rFonts w:hint="eastAsia"/>
          <w:lang w:val="fr-FR" w:eastAsia="zh-CN"/>
        </w:rPr>
        <w:t>年批准的</w:t>
      </w:r>
      <w:r>
        <w:rPr>
          <w:rFonts w:hint="eastAsia"/>
          <w:lang w:eastAsia="zh-CN"/>
        </w:rPr>
        <w:t>国际电联促进两性平等和将性别问题纳入主流（</w:t>
      </w:r>
      <w:r w:rsidRPr="00D55F16">
        <w:rPr>
          <w:lang w:val="en-US" w:eastAsia="zh-CN"/>
        </w:rPr>
        <w:t>GEM</w:t>
      </w:r>
      <w:r>
        <w:rPr>
          <w:rFonts w:hint="eastAsia"/>
          <w:lang w:eastAsia="zh-CN"/>
        </w:rPr>
        <w:t>）政策的报告，</w:t>
      </w:r>
    </w:p>
    <w:p w14:paraId="4827AEF8" w14:textId="77777777" w:rsidR="0077376D" w:rsidRPr="002A4B74" w:rsidRDefault="0077376D" w:rsidP="0077376D">
      <w:pPr>
        <w:pStyle w:val="call0"/>
        <w:rPr>
          <w:rFonts w:ascii="STKaiti" w:hAnsi="STKaiti"/>
          <w:i/>
          <w:iCs/>
          <w:lang w:val="en-US" w:eastAsia="zh-CN"/>
        </w:rPr>
      </w:pPr>
      <w:r w:rsidRPr="002A4B74">
        <w:rPr>
          <w:rFonts w:ascii="STKaiti" w:hAnsi="STKaiti"/>
          <w:iCs/>
          <w:lang w:val="en-US" w:eastAsia="zh-CN"/>
        </w:rPr>
        <w:t>做出决议</w:t>
      </w:r>
    </w:p>
    <w:p w14:paraId="4827AEF9" w14:textId="77777777" w:rsidR="0077376D" w:rsidRDefault="0077376D" w:rsidP="0077376D">
      <w:pPr>
        <w:ind w:firstLineChars="200" w:firstLine="480"/>
        <w:rPr>
          <w:lang w:eastAsia="zh-CN"/>
        </w:rPr>
      </w:pPr>
      <w:r>
        <w:rPr>
          <w:rFonts w:hint="eastAsia"/>
          <w:lang w:eastAsia="zh-CN"/>
        </w:rPr>
        <w:t>批准本决议附件中所含的、</w:t>
      </w:r>
      <w:r w:rsidRPr="00D55F16">
        <w:rPr>
          <w:rFonts w:hint="eastAsia"/>
          <w:lang w:eastAsia="zh-CN"/>
        </w:rPr>
        <w:t>适用于委任职员的《人事规则》的拟议修正</w:t>
      </w:r>
      <w:r>
        <w:rPr>
          <w:rFonts w:hint="eastAsia"/>
          <w:lang w:eastAsia="zh-CN"/>
        </w:rPr>
        <w:t>案。</w:t>
      </w:r>
    </w:p>
    <w:p w14:paraId="4827AEFA" w14:textId="77777777" w:rsidR="008D694A" w:rsidRDefault="008D694A" w:rsidP="00481C40">
      <w:pPr>
        <w:spacing w:before="480"/>
        <w:rPr>
          <w:lang w:eastAsia="zh-CN"/>
        </w:rPr>
      </w:pPr>
      <w:r w:rsidRPr="008D694A">
        <w:rPr>
          <w:rFonts w:hint="eastAsia"/>
          <w:b/>
          <w:bCs/>
          <w:lang w:eastAsia="zh-CN"/>
        </w:rPr>
        <w:t>附件</w:t>
      </w:r>
      <w:r>
        <w:rPr>
          <w:rFonts w:hint="eastAsia"/>
          <w:b/>
          <w:bCs/>
          <w:lang w:eastAsia="zh-CN"/>
        </w:rPr>
        <w:t>：</w:t>
      </w:r>
      <w:r w:rsidRPr="008D694A">
        <w:rPr>
          <w:lang w:eastAsia="zh-CN"/>
        </w:rPr>
        <w:t>1</w:t>
      </w:r>
      <w:r w:rsidRPr="008D694A">
        <w:rPr>
          <w:lang w:eastAsia="zh-CN"/>
        </w:rPr>
        <w:t>件</w:t>
      </w:r>
    </w:p>
    <w:p w14:paraId="4827AEFB" w14:textId="77777777" w:rsidR="00D32C40" w:rsidRDefault="00D32C40">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EFC" w14:textId="77777777" w:rsidR="00E45492" w:rsidRDefault="00E45492">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EFD" w14:textId="77777777" w:rsidR="00D32C40" w:rsidRDefault="00D32C40">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EFE" w14:textId="77777777" w:rsidR="00806715" w:rsidRDefault="00806715">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AEFF" w14:textId="77777777" w:rsidR="009A7B93" w:rsidRDefault="0077376D" w:rsidP="009A7B93">
      <w:pPr>
        <w:pStyle w:val="AnnexNo"/>
        <w:rPr>
          <w:lang w:eastAsia="zh-CN"/>
        </w:rPr>
      </w:pPr>
      <w:bookmarkStart w:id="447" w:name="_Toc531706902"/>
      <w:r>
        <w:rPr>
          <w:rFonts w:hint="eastAsia"/>
          <w:lang w:eastAsia="zh-CN"/>
        </w:rPr>
        <w:lastRenderedPageBreak/>
        <w:t>附件</w:t>
      </w:r>
    </w:p>
    <w:p w14:paraId="4827AF00" w14:textId="77777777" w:rsidR="0077376D" w:rsidRPr="00377252" w:rsidRDefault="0077376D" w:rsidP="009A7B93">
      <w:pPr>
        <w:pStyle w:val="Annextitle"/>
        <w:rPr>
          <w:bCs/>
          <w:lang w:eastAsia="zh-CN"/>
        </w:rPr>
      </w:pPr>
      <w:r w:rsidRPr="00377252">
        <w:rPr>
          <w:rFonts w:hint="eastAsia"/>
          <w:lang w:eastAsia="zh-CN"/>
        </w:rPr>
        <w:t>对适用于委任职员的</w:t>
      </w:r>
      <w:r>
        <w:rPr>
          <w:lang w:eastAsia="zh-CN"/>
        </w:rPr>
        <w:br/>
      </w:r>
      <w:r w:rsidRPr="00377252">
        <w:rPr>
          <w:rFonts w:hint="eastAsia"/>
          <w:lang w:eastAsia="zh-CN"/>
        </w:rPr>
        <w:t>《人事规则》的修正</w:t>
      </w:r>
      <w:bookmarkEnd w:id="447"/>
    </w:p>
    <w:p w14:paraId="4827AF01" w14:textId="77777777" w:rsidR="0077376D" w:rsidRPr="00BC7E7B" w:rsidRDefault="0077376D" w:rsidP="00BC7E7B">
      <w:pPr>
        <w:pStyle w:val="Headingb"/>
        <w:tabs>
          <w:tab w:val="clear" w:pos="794"/>
          <w:tab w:val="clear" w:pos="1191"/>
          <w:tab w:val="left" w:pos="1204"/>
        </w:tabs>
        <w:rPr>
          <w:rFonts w:eastAsia="STKaiti" w:cstheme="minorHAnsi"/>
          <w:lang w:eastAsia="zh-CN"/>
        </w:rPr>
      </w:pPr>
      <w:bookmarkStart w:id="448" w:name="_Toc350868160"/>
      <w:r w:rsidRPr="00BC7E7B">
        <w:rPr>
          <w:rFonts w:eastAsia="STKaiti" w:cstheme="minorHAnsi"/>
          <w:lang w:eastAsia="zh-CN"/>
        </w:rPr>
        <w:t>规则</w:t>
      </w:r>
      <w:r w:rsidRPr="00BC7E7B">
        <w:rPr>
          <w:rFonts w:eastAsia="STKaiti" w:cstheme="minorHAnsi"/>
          <w:lang w:eastAsia="zh-CN"/>
        </w:rPr>
        <w:t>4.9</w:t>
      </w:r>
      <w:r w:rsidRPr="00BC7E7B">
        <w:rPr>
          <w:rFonts w:eastAsia="STKaiti" w:cstheme="minorHAnsi"/>
          <w:lang w:eastAsia="zh-CN"/>
        </w:rPr>
        <w:tab/>
      </w:r>
      <w:r w:rsidRPr="00BC7E7B">
        <w:rPr>
          <w:rFonts w:eastAsia="STKaiti" w:cstheme="minorHAnsi"/>
          <w:lang w:eastAsia="zh-CN"/>
        </w:rPr>
        <w:t>任命和晋升委员会</w:t>
      </w:r>
    </w:p>
    <w:bookmarkEnd w:id="448"/>
    <w:p w14:paraId="4827AF02" w14:textId="77777777" w:rsidR="0077376D" w:rsidRPr="00E90E99" w:rsidRDefault="0077376D" w:rsidP="0077376D">
      <w:pPr>
        <w:rPr>
          <w:lang w:eastAsia="zh-CN"/>
        </w:rPr>
      </w:pPr>
      <w:r w:rsidRPr="00E90E99">
        <w:rPr>
          <w:lang w:eastAsia="zh-CN"/>
        </w:rPr>
        <w:t>a)</w:t>
      </w:r>
      <w:r w:rsidRPr="00E90E99">
        <w:rPr>
          <w:lang w:eastAsia="zh-CN"/>
        </w:rPr>
        <w:tab/>
      </w:r>
      <w:r w:rsidRPr="00E90E99">
        <w:rPr>
          <w:rFonts w:hint="eastAsia"/>
          <w:lang w:eastAsia="zh-CN"/>
        </w:rPr>
        <w:t>秘书长须设立一个任命和晋升委员会，在空缺职位公布的情况下向他（并酌情向相关局的主任）提供咨询意见。</w:t>
      </w:r>
    </w:p>
    <w:p w14:paraId="4827AF03" w14:textId="77777777" w:rsidR="0077376D" w:rsidRPr="00E90E99" w:rsidRDefault="0077376D" w:rsidP="0077376D">
      <w:pPr>
        <w:rPr>
          <w:lang w:eastAsia="zh-CN"/>
        </w:rPr>
      </w:pPr>
      <w:r w:rsidRPr="00E90E99">
        <w:rPr>
          <w:lang w:eastAsia="zh-CN"/>
        </w:rPr>
        <w:t>b)</w:t>
      </w:r>
      <w:r w:rsidRPr="00E90E99">
        <w:rPr>
          <w:lang w:eastAsia="zh-CN"/>
        </w:rPr>
        <w:tab/>
      </w:r>
      <w:r w:rsidRPr="00E90E99">
        <w:rPr>
          <w:rFonts w:hint="eastAsia"/>
          <w:lang w:eastAsia="zh-CN"/>
        </w:rPr>
        <w:t>任命和晋升委员会须由国际电联总秘书处和每个局的代表各一名组成，在涉及一般事务职类（</w:t>
      </w:r>
      <w:r w:rsidRPr="00E90E99">
        <w:rPr>
          <w:lang w:eastAsia="zh-CN"/>
        </w:rPr>
        <w:t>G.1</w:t>
      </w:r>
      <w:r w:rsidRPr="00E90E99">
        <w:rPr>
          <w:rFonts w:hint="eastAsia"/>
          <w:lang w:eastAsia="zh-CN"/>
        </w:rPr>
        <w:t>至</w:t>
      </w:r>
      <w:r w:rsidRPr="00E90E99">
        <w:rPr>
          <w:lang w:eastAsia="zh-CN"/>
        </w:rPr>
        <w:t>G.7</w:t>
      </w:r>
      <w:r w:rsidRPr="00E90E99">
        <w:rPr>
          <w:rFonts w:hint="eastAsia"/>
          <w:lang w:eastAsia="zh-CN"/>
        </w:rPr>
        <w:t>）和专业职类（</w:t>
      </w:r>
      <w:r w:rsidRPr="00E90E99">
        <w:rPr>
          <w:lang w:eastAsia="zh-CN"/>
        </w:rPr>
        <w:t>P.1</w:t>
      </w:r>
      <w:r w:rsidRPr="00E90E99">
        <w:rPr>
          <w:rFonts w:hint="eastAsia"/>
          <w:lang w:eastAsia="zh-CN"/>
        </w:rPr>
        <w:t>至</w:t>
      </w:r>
      <w:r w:rsidRPr="00E90E99">
        <w:rPr>
          <w:lang w:eastAsia="zh-CN"/>
        </w:rPr>
        <w:t>P.5</w:t>
      </w:r>
      <w:r w:rsidRPr="00E90E99">
        <w:rPr>
          <w:rFonts w:hint="eastAsia"/>
          <w:lang w:eastAsia="zh-CN"/>
        </w:rPr>
        <w:t>）的职位时，还要有秘书长从职工委员会提交的名单中指定的两名职员代表或其候补代表的参与。秘书长在指定职员代表和候补代表时，须尽最大努力确保委员会在每个职类中均有男女双方职员的代表。人力资源管理部主任或其指定代表亦须以</w:t>
      </w:r>
      <w:r w:rsidRPr="004A04F7">
        <w:rPr>
          <w:rFonts w:ascii="STKaiti" w:eastAsia="STKaiti" w:hAnsi="STKaiti" w:hint="eastAsia"/>
          <w:lang w:eastAsia="zh-CN"/>
        </w:rPr>
        <w:t>当然</w:t>
      </w:r>
      <w:r w:rsidRPr="00E90E99">
        <w:rPr>
          <w:rFonts w:hint="eastAsia"/>
          <w:lang w:eastAsia="zh-CN"/>
        </w:rPr>
        <w:t>顾问的身份参加委员会的所有会议，并担任委员会的秘书。国际电联总秘书处和各局由下列人员代表：</w:t>
      </w:r>
    </w:p>
    <w:p w14:paraId="4827AF04" w14:textId="77777777" w:rsidR="0077376D" w:rsidRPr="00E90E99" w:rsidRDefault="0077376D" w:rsidP="00A17C31">
      <w:pPr>
        <w:pStyle w:val="enumlev1"/>
        <w:rPr>
          <w:lang w:eastAsia="zh-CN"/>
        </w:rPr>
      </w:pPr>
      <w:r w:rsidRPr="00E90E99">
        <w:rPr>
          <w:lang w:eastAsia="zh-CN"/>
        </w:rPr>
        <w:t>i)</w:t>
      </w:r>
      <w:r w:rsidRPr="00E90E99">
        <w:rPr>
          <w:lang w:eastAsia="zh-CN"/>
        </w:rPr>
        <w:tab/>
      </w:r>
      <w:r w:rsidRPr="00E90E99">
        <w:rPr>
          <w:rFonts w:hint="eastAsia"/>
          <w:lang w:eastAsia="zh-CN"/>
        </w:rPr>
        <w:t>由秘书长和各局主任</w:t>
      </w:r>
      <w:r w:rsidRPr="00E90E99">
        <w:rPr>
          <w:rStyle w:val="FootnoteReference"/>
        </w:rPr>
        <w:footnoteReference w:customMarkFollows="1" w:id="6"/>
        <w:sym w:font="Symbol" w:char="F02A"/>
      </w:r>
      <w:r w:rsidRPr="00E90E99">
        <w:rPr>
          <w:rFonts w:hint="eastAsia"/>
          <w:lang w:eastAsia="zh-CN"/>
        </w:rPr>
        <w:t>或其指定的</w:t>
      </w:r>
      <w:r w:rsidR="00A17C31">
        <w:rPr>
          <w:lang w:eastAsia="zh-CN"/>
        </w:rPr>
        <w:t>P.5</w:t>
      </w:r>
      <w:r w:rsidRPr="00E90E99">
        <w:rPr>
          <w:rFonts w:hint="eastAsia"/>
          <w:lang w:eastAsia="zh-CN"/>
        </w:rPr>
        <w:t>或更高级别代表，负责</w:t>
      </w:r>
      <w:r w:rsidR="00A17C31" w:rsidRPr="00E90E99">
        <w:rPr>
          <w:lang w:eastAsia="zh-CN"/>
        </w:rPr>
        <w:t>P.5</w:t>
      </w:r>
      <w:r w:rsidRPr="00E90E99">
        <w:rPr>
          <w:rFonts w:hint="eastAsia"/>
          <w:lang w:eastAsia="zh-CN"/>
        </w:rPr>
        <w:t>和更高级别的职位；</w:t>
      </w:r>
    </w:p>
    <w:p w14:paraId="4827AF05" w14:textId="77777777" w:rsidR="0077376D" w:rsidRPr="00E90E99" w:rsidRDefault="0077376D" w:rsidP="00A17C31">
      <w:pPr>
        <w:pStyle w:val="enumlev1"/>
        <w:rPr>
          <w:lang w:eastAsia="zh-CN"/>
        </w:rPr>
      </w:pPr>
      <w:r w:rsidRPr="00370A8B">
        <w:rPr>
          <w:lang w:eastAsia="zh-CN"/>
        </w:rPr>
        <w:t>ii)</w:t>
      </w:r>
      <w:r w:rsidRPr="00370A8B">
        <w:rPr>
          <w:lang w:eastAsia="zh-CN"/>
        </w:rPr>
        <w:tab/>
      </w:r>
      <w:r w:rsidRPr="00E90E99">
        <w:rPr>
          <w:rFonts w:hint="eastAsia"/>
          <w:lang w:eastAsia="zh-CN"/>
        </w:rPr>
        <w:t>由秘书长和主管相关局的主任分别指定的</w:t>
      </w:r>
      <w:r w:rsidR="00A17C31" w:rsidRPr="00A17C31">
        <w:rPr>
          <w:lang w:val="en-US" w:eastAsia="zh-CN"/>
        </w:rPr>
        <w:t xml:space="preserve"> </w:t>
      </w:r>
      <w:r w:rsidR="00A17C31" w:rsidRPr="008D694A">
        <w:rPr>
          <w:lang w:val="en-US" w:eastAsia="zh-CN"/>
        </w:rPr>
        <w:t>P</w:t>
      </w:r>
      <w:r w:rsidR="00A17C31" w:rsidRPr="008D694A">
        <w:rPr>
          <w:rFonts w:hint="eastAsia"/>
          <w:lang w:eastAsia="zh-CN"/>
        </w:rPr>
        <w:t>.5</w:t>
      </w:r>
      <w:r w:rsidRPr="00E90E99">
        <w:rPr>
          <w:rFonts w:hint="eastAsia"/>
          <w:lang w:eastAsia="zh-CN"/>
        </w:rPr>
        <w:t>或更高级别官员，负责</w:t>
      </w:r>
      <w:r w:rsidRPr="00E90E99">
        <w:rPr>
          <w:lang w:eastAsia="zh-CN"/>
        </w:rPr>
        <w:t>P.1</w:t>
      </w:r>
      <w:r w:rsidRPr="00E90E99">
        <w:rPr>
          <w:rFonts w:hint="eastAsia"/>
          <w:lang w:eastAsia="zh-CN"/>
        </w:rPr>
        <w:t>至</w:t>
      </w:r>
      <w:r w:rsidRPr="00E90E99">
        <w:rPr>
          <w:lang w:eastAsia="zh-CN"/>
        </w:rPr>
        <w:t>P.4</w:t>
      </w:r>
      <w:r w:rsidRPr="00E90E99">
        <w:rPr>
          <w:rFonts w:hint="eastAsia"/>
          <w:lang w:eastAsia="zh-CN"/>
        </w:rPr>
        <w:t>级的职位；</w:t>
      </w:r>
    </w:p>
    <w:p w14:paraId="4827AF06" w14:textId="77777777" w:rsidR="0077376D" w:rsidRPr="00E90E99" w:rsidRDefault="0077376D" w:rsidP="0077376D">
      <w:pPr>
        <w:pStyle w:val="enumlev1"/>
        <w:rPr>
          <w:lang w:eastAsia="zh-CN"/>
        </w:rPr>
      </w:pPr>
      <w:r w:rsidRPr="00E90E99">
        <w:rPr>
          <w:lang w:eastAsia="zh-CN"/>
        </w:rPr>
        <w:t>iii)</w:t>
      </w:r>
      <w:r w:rsidRPr="00E90E99">
        <w:rPr>
          <w:lang w:eastAsia="zh-CN"/>
        </w:rPr>
        <w:tab/>
      </w:r>
      <w:r w:rsidRPr="00E90E99">
        <w:rPr>
          <w:rFonts w:hint="eastAsia"/>
          <w:lang w:eastAsia="zh-CN"/>
        </w:rPr>
        <w:t>由秘书长和主管相关局的主任分别指定的</w:t>
      </w:r>
      <w:r w:rsidRPr="00E90E99">
        <w:rPr>
          <w:lang w:eastAsia="zh-CN"/>
        </w:rPr>
        <w:t>P.5</w:t>
      </w:r>
      <w:r w:rsidRPr="00E90E99">
        <w:rPr>
          <w:rFonts w:hint="eastAsia"/>
          <w:lang w:eastAsia="zh-CN"/>
        </w:rPr>
        <w:t>或更高级别官员，负责</w:t>
      </w:r>
      <w:r w:rsidRPr="00E90E99">
        <w:rPr>
          <w:lang w:eastAsia="zh-CN"/>
        </w:rPr>
        <w:t>G.1</w:t>
      </w:r>
      <w:r w:rsidRPr="00E90E99">
        <w:rPr>
          <w:rFonts w:hint="eastAsia"/>
          <w:lang w:eastAsia="zh-CN"/>
        </w:rPr>
        <w:t>至</w:t>
      </w:r>
      <w:r w:rsidRPr="00E90E99">
        <w:rPr>
          <w:lang w:eastAsia="zh-CN"/>
        </w:rPr>
        <w:t>G.7</w:t>
      </w:r>
      <w:r w:rsidRPr="00E90E99">
        <w:rPr>
          <w:rFonts w:hint="eastAsia"/>
          <w:lang w:eastAsia="zh-CN"/>
        </w:rPr>
        <w:t>级的职位。</w:t>
      </w:r>
    </w:p>
    <w:p w14:paraId="4827AF07" w14:textId="77777777" w:rsidR="0077376D" w:rsidRPr="00E90E99" w:rsidRDefault="0077376D" w:rsidP="0077376D">
      <w:pPr>
        <w:rPr>
          <w:lang w:eastAsia="zh-CN"/>
        </w:rPr>
      </w:pPr>
      <w:r w:rsidRPr="00E90E99">
        <w:rPr>
          <w:lang w:eastAsia="zh-CN"/>
        </w:rPr>
        <w:t>c)</w:t>
      </w:r>
      <w:r w:rsidRPr="00E90E99">
        <w:rPr>
          <w:lang w:eastAsia="zh-CN"/>
        </w:rPr>
        <w:tab/>
      </w:r>
      <w:r w:rsidRPr="00E90E99">
        <w:rPr>
          <w:rFonts w:hint="eastAsia"/>
          <w:lang w:eastAsia="zh-CN"/>
        </w:rPr>
        <w:t>除职员代表以外，任命和晋升委员会会议的所有与会者的职级，至少须与会议审议的职位相同。</w:t>
      </w:r>
    </w:p>
    <w:p w14:paraId="4827AF08" w14:textId="77777777" w:rsidR="0077376D" w:rsidRPr="00E90E99" w:rsidRDefault="0077376D" w:rsidP="0077376D">
      <w:pPr>
        <w:rPr>
          <w:lang w:eastAsia="zh-CN"/>
        </w:rPr>
      </w:pPr>
      <w:r w:rsidRPr="00E90E99">
        <w:rPr>
          <w:lang w:eastAsia="zh-CN"/>
        </w:rPr>
        <w:t>d)</w:t>
      </w:r>
      <w:r w:rsidRPr="00E90E99">
        <w:rPr>
          <w:lang w:eastAsia="zh-CN"/>
        </w:rPr>
        <w:tab/>
      </w:r>
      <w:r w:rsidRPr="00E90E99">
        <w:rPr>
          <w:rFonts w:hint="eastAsia"/>
          <w:lang w:eastAsia="zh-CN"/>
        </w:rPr>
        <w:t>委员会的会议须由职位级别最高的正式代表主持；在代表的职级相同时，由资历最长者主持。</w:t>
      </w:r>
    </w:p>
    <w:p w14:paraId="4827AF09" w14:textId="77777777" w:rsidR="0077376D" w:rsidRPr="00E90E99" w:rsidRDefault="0077376D" w:rsidP="0077376D">
      <w:pPr>
        <w:rPr>
          <w:lang w:eastAsia="zh-CN"/>
        </w:rPr>
      </w:pPr>
      <w:r w:rsidRPr="00E90E99">
        <w:rPr>
          <w:lang w:eastAsia="zh-CN"/>
        </w:rPr>
        <w:t>e)</w:t>
      </w:r>
      <w:r w:rsidRPr="00E90E99">
        <w:rPr>
          <w:lang w:eastAsia="zh-CN"/>
        </w:rPr>
        <w:tab/>
      </w:r>
      <w:r w:rsidRPr="00E90E99">
        <w:rPr>
          <w:rFonts w:hint="eastAsia"/>
          <w:lang w:eastAsia="zh-CN"/>
        </w:rPr>
        <w:t>任命和晋升委员会须制订自己的议事规则。其议程原则上保密。不过，其议事规则可授权向候选人传达某些信息。</w:t>
      </w:r>
    </w:p>
    <w:p w14:paraId="4827AF0A" w14:textId="77777777" w:rsidR="0077376D" w:rsidRPr="00E90E99" w:rsidRDefault="0077376D" w:rsidP="0077376D">
      <w:pPr>
        <w:rPr>
          <w:lang w:eastAsia="zh-CN"/>
        </w:rPr>
      </w:pPr>
      <w:r w:rsidRPr="00E90E99">
        <w:rPr>
          <w:lang w:eastAsia="zh-CN"/>
        </w:rPr>
        <w:t>f)</w:t>
      </w:r>
      <w:r w:rsidRPr="00E90E99">
        <w:rPr>
          <w:lang w:eastAsia="zh-CN"/>
        </w:rPr>
        <w:tab/>
      </w:r>
      <w:r w:rsidRPr="00E90E99">
        <w:rPr>
          <w:rFonts w:hint="eastAsia"/>
          <w:lang w:eastAsia="zh-CN"/>
        </w:rPr>
        <w:t>每当秘书长建议采取的任命或晋升决定与任命和晋升委员会的意见相左时，均须向理事会下届例会做出报告，并在理事会同意后做出最终决定。涉及晋升时，相关决定具有追溯效力。</w:t>
      </w:r>
    </w:p>
    <w:p w14:paraId="4827AF0B" w14:textId="77777777" w:rsidR="009E3745" w:rsidRPr="002A3D82" w:rsidRDefault="0077376D" w:rsidP="009E3745">
      <w:pPr>
        <w:pStyle w:val="Endtext"/>
        <w:rPr>
          <w:szCs w:val="22"/>
          <w:lang w:eastAsia="zh-CN"/>
        </w:rPr>
      </w:pPr>
      <w:r w:rsidRPr="00DA7A9F">
        <w:rPr>
          <w:rFonts w:ascii="STKaiti" w:hAnsi="STKaiti" w:hint="eastAsia"/>
          <w:lang w:eastAsia="zh-CN"/>
        </w:rPr>
        <w:t>参阅：</w:t>
      </w:r>
      <w:r w:rsidRPr="00DA7A9F">
        <w:rPr>
          <w:i/>
          <w:lang w:eastAsia="zh-CN"/>
        </w:rPr>
        <w:tab/>
      </w:r>
      <w:hyperlink r:id="rId162" w:history="1">
        <w:r w:rsidR="009E3745" w:rsidRPr="009D46CC">
          <w:rPr>
            <w:rStyle w:val="Hyperlink"/>
            <w:szCs w:val="22"/>
            <w:lang w:eastAsia="zh-CN"/>
          </w:rPr>
          <w:t>C14/99</w:t>
        </w:r>
      </w:hyperlink>
      <w:r w:rsidR="009E3745">
        <w:rPr>
          <w:rFonts w:hint="eastAsia"/>
          <w:szCs w:val="22"/>
          <w:lang w:eastAsia="zh-CN"/>
        </w:rPr>
        <w:t>和</w:t>
      </w:r>
      <w:hyperlink r:id="rId163" w:history="1">
        <w:r w:rsidR="009E3745" w:rsidRPr="009D46CC">
          <w:rPr>
            <w:rStyle w:val="Hyperlink"/>
            <w:szCs w:val="22"/>
            <w:lang w:eastAsia="zh-CN"/>
          </w:rPr>
          <w:t>C14/104</w:t>
        </w:r>
      </w:hyperlink>
      <w:r w:rsidR="009E3745">
        <w:rPr>
          <w:rFonts w:hint="eastAsia"/>
          <w:szCs w:val="22"/>
          <w:lang w:eastAsia="zh-CN"/>
        </w:rPr>
        <w:t>号</w:t>
      </w:r>
      <w:r w:rsidR="009E3745">
        <w:rPr>
          <w:szCs w:val="22"/>
          <w:lang w:eastAsia="zh-CN"/>
        </w:rPr>
        <w:t>文件。</w:t>
      </w:r>
    </w:p>
    <w:p w14:paraId="4827AF0C" w14:textId="77777777" w:rsidR="00481C40" w:rsidRDefault="00481C40" w:rsidP="00481C40">
      <w:pPr>
        <w:jc w:val="center"/>
        <w:rPr>
          <w:lang w:eastAsia="zh-CN"/>
        </w:rPr>
      </w:pPr>
      <w:r>
        <w:rPr>
          <w:lang w:eastAsia="zh-CN"/>
        </w:rPr>
        <w:t>______________</w:t>
      </w:r>
    </w:p>
    <w:p w14:paraId="4827AF0D" w14:textId="77777777" w:rsidR="00410648" w:rsidRDefault="00410648">
      <w:pPr>
        <w:tabs>
          <w:tab w:val="clear" w:pos="794"/>
          <w:tab w:val="clear" w:pos="1191"/>
          <w:tab w:val="clear" w:pos="1588"/>
          <w:tab w:val="clear" w:pos="1985"/>
        </w:tabs>
        <w:overflowPunct/>
        <w:autoSpaceDE/>
        <w:autoSpaceDN/>
        <w:adjustRightInd/>
        <w:spacing w:before="0"/>
        <w:jc w:val="left"/>
        <w:textAlignment w:val="auto"/>
        <w:rPr>
          <w:lang w:val="fr-FR" w:eastAsia="zh-CN"/>
        </w:rPr>
      </w:pPr>
      <w:r>
        <w:rPr>
          <w:lang w:val="fr-FR" w:eastAsia="zh-CN"/>
        </w:rPr>
        <w:br w:type="page"/>
      </w:r>
    </w:p>
    <w:p w14:paraId="4827AF0E" w14:textId="77777777" w:rsidR="00894D47" w:rsidRDefault="00894D47" w:rsidP="00A75FB5">
      <w:pPr>
        <w:pStyle w:val="ResNo"/>
        <w:outlineLvl w:val="0"/>
        <w:rPr>
          <w:b/>
          <w:bCs/>
          <w:lang w:eastAsia="zh-CN"/>
        </w:rPr>
      </w:pPr>
      <w:bookmarkStart w:id="449" w:name="_Toc531706308"/>
      <w:bookmarkStart w:id="450" w:name="_Toc531706905"/>
      <w:bookmarkStart w:id="451" w:name="_Toc531768397"/>
      <w:bookmarkStart w:id="452" w:name="_Toc16085714"/>
      <w:bookmarkStart w:id="453" w:name="_Toc86395518"/>
      <w:bookmarkStart w:id="454" w:name="_Toc424116967"/>
      <w:r>
        <w:rPr>
          <w:rFonts w:hint="eastAsia"/>
          <w:lang w:eastAsia="zh-CN"/>
        </w:rPr>
        <w:lastRenderedPageBreak/>
        <w:t>第</w:t>
      </w:r>
      <w:r>
        <w:rPr>
          <w:rFonts w:hint="eastAsia"/>
          <w:lang w:eastAsia="zh-CN"/>
        </w:rPr>
        <w:t>1392</w:t>
      </w:r>
      <w:r>
        <w:rPr>
          <w:rFonts w:hint="eastAsia"/>
          <w:lang w:eastAsia="zh-CN"/>
        </w:rPr>
        <w:t>号</w:t>
      </w:r>
      <w:r w:rsidRPr="002C400D">
        <w:rPr>
          <w:rFonts w:hint="eastAsia"/>
          <w:lang w:eastAsia="zh-CN"/>
        </w:rPr>
        <w:t>决议</w:t>
      </w:r>
      <w:r w:rsidRPr="00BC7E7B">
        <w:rPr>
          <w:rFonts w:hint="eastAsia"/>
          <w:lang w:eastAsia="zh-CN"/>
        </w:rPr>
        <w:t>（</w:t>
      </w:r>
      <w:r w:rsidR="00BC7E7B" w:rsidRPr="00BC7E7B">
        <w:rPr>
          <w:rFonts w:hint="eastAsia"/>
          <w:lang w:eastAsia="zh-CN"/>
        </w:rPr>
        <w:t>C</w:t>
      </w:r>
      <w:r w:rsidR="00BC7E7B" w:rsidRPr="00BC7E7B">
        <w:rPr>
          <w:lang w:eastAsia="zh-CN"/>
        </w:rPr>
        <w:t>18</w:t>
      </w:r>
      <w:r w:rsidRPr="00BC7E7B">
        <w:rPr>
          <w:rFonts w:hint="eastAsia"/>
          <w:lang w:eastAsia="zh-CN"/>
        </w:rPr>
        <w:t>）</w:t>
      </w:r>
      <w:bookmarkEnd w:id="449"/>
      <w:bookmarkEnd w:id="450"/>
      <w:bookmarkEnd w:id="451"/>
      <w:bookmarkEnd w:id="452"/>
      <w:bookmarkEnd w:id="453"/>
    </w:p>
    <w:p w14:paraId="4827AF0F" w14:textId="77777777" w:rsidR="00894D47" w:rsidRPr="002C400D" w:rsidRDefault="00894D47" w:rsidP="00894D47">
      <w:pPr>
        <w:pStyle w:val="Restitle"/>
        <w:spacing w:after="480"/>
        <w:rPr>
          <w:rFonts w:asciiTheme="minorHAnsi" w:hAnsiTheme="minorHAnsi"/>
          <w:lang w:eastAsia="zh-CN"/>
        </w:rPr>
      </w:pPr>
      <w:bookmarkStart w:id="455" w:name="_Toc531706309"/>
      <w:bookmarkStart w:id="456" w:name="_Toc531706906"/>
      <w:bookmarkStart w:id="457" w:name="_Toc531768398"/>
      <w:bookmarkStart w:id="458" w:name="_Toc16085715"/>
      <w:bookmarkStart w:id="459" w:name="_Toc86395519"/>
      <w:r w:rsidRPr="002C400D">
        <w:rPr>
          <w:rFonts w:asciiTheme="minorHAnsi" w:hAnsiTheme="minorHAnsi" w:hint="eastAsia"/>
          <w:lang w:eastAsia="zh-CN"/>
        </w:rPr>
        <w:t>适用于选任官员的《人事规则》</w:t>
      </w:r>
      <w:bookmarkEnd w:id="455"/>
      <w:bookmarkEnd w:id="456"/>
      <w:bookmarkEnd w:id="457"/>
      <w:bookmarkEnd w:id="458"/>
      <w:bookmarkEnd w:id="459"/>
    </w:p>
    <w:p w14:paraId="4827AF10" w14:textId="77777777" w:rsidR="00894D47" w:rsidRPr="002C400D" w:rsidRDefault="00894D47" w:rsidP="00E51375">
      <w:pPr>
        <w:pStyle w:val="Normalaftertitle0"/>
      </w:pPr>
      <w:r w:rsidRPr="002C400D">
        <w:rPr>
          <w:rFonts w:hint="eastAsia"/>
        </w:rPr>
        <w:t>理事会，</w:t>
      </w:r>
    </w:p>
    <w:p w14:paraId="4827AF11" w14:textId="77777777" w:rsidR="00894D47" w:rsidRPr="00D3180A" w:rsidRDefault="00894D47" w:rsidP="00894D47">
      <w:pPr>
        <w:pStyle w:val="call0"/>
        <w:rPr>
          <w:iCs/>
          <w:szCs w:val="24"/>
          <w:lang w:eastAsia="zh-CN"/>
        </w:rPr>
      </w:pPr>
      <w:r w:rsidRPr="002C400D">
        <w:rPr>
          <w:rFonts w:hint="eastAsia"/>
          <w:szCs w:val="24"/>
          <w:lang w:eastAsia="zh-CN"/>
        </w:rPr>
        <w:t>鉴于</w:t>
      </w:r>
    </w:p>
    <w:p w14:paraId="4827AF12" w14:textId="77777777" w:rsidR="00894D47" w:rsidRPr="002C400D" w:rsidRDefault="00894D47" w:rsidP="00894D47">
      <w:pPr>
        <w:rPr>
          <w:szCs w:val="24"/>
          <w:lang w:eastAsia="zh-CN"/>
        </w:rPr>
      </w:pPr>
      <w:r w:rsidRPr="00D3180A">
        <w:rPr>
          <w:i/>
          <w:iCs/>
          <w:szCs w:val="24"/>
          <w:lang w:eastAsia="zh-CN"/>
        </w:rPr>
        <w:t>a)</w:t>
      </w:r>
      <w:r w:rsidRPr="002C400D">
        <w:rPr>
          <w:szCs w:val="24"/>
          <w:lang w:eastAsia="zh-CN"/>
        </w:rPr>
        <w:tab/>
      </w:r>
      <w:r w:rsidRPr="002C400D">
        <w:rPr>
          <w:rFonts w:hint="eastAsia"/>
          <w:szCs w:val="24"/>
          <w:lang w:eastAsia="zh-CN"/>
        </w:rPr>
        <w:t>《国际电信联盟公约》第</w:t>
      </w:r>
      <w:r w:rsidRPr="002C400D">
        <w:rPr>
          <w:szCs w:val="24"/>
          <w:lang w:eastAsia="zh-CN"/>
        </w:rPr>
        <w:t>63</w:t>
      </w:r>
      <w:r w:rsidRPr="002C400D">
        <w:rPr>
          <w:rFonts w:hint="eastAsia"/>
          <w:szCs w:val="24"/>
          <w:lang w:eastAsia="zh-CN"/>
        </w:rPr>
        <w:t>款和《人事规则》关于选任官员的规则</w:t>
      </w:r>
      <w:r w:rsidRPr="002C400D">
        <w:rPr>
          <w:szCs w:val="24"/>
          <w:lang w:eastAsia="zh-CN"/>
        </w:rPr>
        <w:t>XI.1</w:t>
      </w:r>
      <w:r w:rsidRPr="002C400D">
        <w:rPr>
          <w:rFonts w:hint="eastAsia"/>
          <w:szCs w:val="24"/>
          <w:lang w:eastAsia="zh-CN"/>
        </w:rPr>
        <w:t>的规定；</w:t>
      </w:r>
    </w:p>
    <w:p w14:paraId="4827AF13" w14:textId="77777777" w:rsidR="00894D47" w:rsidRPr="002C400D" w:rsidRDefault="00894D47" w:rsidP="00894D47">
      <w:pPr>
        <w:rPr>
          <w:szCs w:val="24"/>
          <w:lang w:eastAsia="zh-CN"/>
        </w:rPr>
      </w:pPr>
      <w:r w:rsidRPr="00D3180A">
        <w:rPr>
          <w:i/>
          <w:iCs/>
          <w:szCs w:val="24"/>
          <w:lang w:eastAsia="zh-CN"/>
        </w:rPr>
        <w:t>b)</w:t>
      </w:r>
      <w:r w:rsidRPr="002C400D">
        <w:rPr>
          <w:szCs w:val="24"/>
          <w:lang w:eastAsia="zh-CN"/>
        </w:rPr>
        <w:tab/>
      </w:r>
      <w:r w:rsidRPr="002C400D">
        <w:rPr>
          <w:rFonts w:hint="eastAsia"/>
          <w:szCs w:val="24"/>
          <w:lang w:eastAsia="zh-CN"/>
        </w:rPr>
        <w:t>理事会</w:t>
      </w:r>
      <w:r w:rsidRPr="002C400D">
        <w:rPr>
          <w:rFonts w:hint="eastAsia"/>
          <w:szCs w:val="24"/>
          <w:lang w:eastAsia="zh-CN"/>
        </w:rPr>
        <w:t>2016</w:t>
      </w:r>
      <w:r w:rsidRPr="002C400D">
        <w:rPr>
          <w:rFonts w:hint="eastAsia"/>
          <w:szCs w:val="24"/>
          <w:lang w:eastAsia="zh-CN"/>
        </w:rPr>
        <w:t>年会议通过的第</w:t>
      </w:r>
      <w:r w:rsidRPr="002C400D">
        <w:rPr>
          <w:rFonts w:hint="eastAsia"/>
          <w:szCs w:val="24"/>
          <w:lang w:eastAsia="zh-CN"/>
        </w:rPr>
        <w:t>593</w:t>
      </w:r>
      <w:r w:rsidRPr="002C400D">
        <w:rPr>
          <w:rFonts w:hint="eastAsia"/>
          <w:szCs w:val="24"/>
          <w:lang w:eastAsia="zh-CN"/>
        </w:rPr>
        <w:t>号决定，赞同由国际公务员制度委员会提议并经联合国大会</w:t>
      </w:r>
      <w:r w:rsidRPr="002C400D">
        <w:rPr>
          <w:rFonts w:hint="eastAsia"/>
          <w:szCs w:val="24"/>
          <w:lang w:eastAsia="zh-CN"/>
        </w:rPr>
        <w:t>2015</w:t>
      </w:r>
      <w:r w:rsidRPr="002C400D">
        <w:rPr>
          <w:rFonts w:hint="eastAsia"/>
          <w:szCs w:val="24"/>
          <w:lang w:eastAsia="zh-CN"/>
        </w:rPr>
        <w:t>年</w:t>
      </w:r>
      <w:r w:rsidRPr="002C400D">
        <w:rPr>
          <w:rFonts w:hint="eastAsia"/>
          <w:szCs w:val="24"/>
          <w:lang w:eastAsia="zh-CN"/>
        </w:rPr>
        <w:t>12</w:t>
      </w:r>
      <w:r w:rsidRPr="002C400D">
        <w:rPr>
          <w:rFonts w:hint="eastAsia"/>
          <w:szCs w:val="24"/>
          <w:lang w:eastAsia="zh-CN"/>
        </w:rPr>
        <w:t>月</w:t>
      </w:r>
      <w:r w:rsidRPr="002C400D">
        <w:rPr>
          <w:rFonts w:hint="eastAsia"/>
          <w:szCs w:val="24"/>
          <w:lang w:eastAsia="zh-CN"/>
        </w:rPr>
        <w:t>23</w:t>
      </w:r>
      <w:r w:rsidRPr="002C400D">
        <w:rPr>
          <w:rFonts w:hint="eastAsia"/>
          <w:szCs w:val="24"/>
          <w:lang w:eastAsia="zh-CN"/>
        </w:rPr>
        <w:t>日第</w:t>
      </w:r>
      <w:r w:rsidRPr="002C400D">
        <w:rPr>
          <w:rFonts w:hint="eastAsia"/>
          <w:szCs w:val="24"/>
          <w:lang w:eastAsia="zh-CN"/>
        </w:rPr>
        <w:t>70/244</w:t>
      </w:r>
      <w:r w:rsidRPr="002C400D">
        <w:rPr>
          <w:rFonts w:hint="eastAsia"/>
          <w:szCs w:val="24"/>
          <w:lang w:eastAsia="zh-CN"/>
        </w:rPr>
        <w:t>号决议通过的针对专业及以上职类工作人员的新的整套报酬办法的各</w:t>
      </w:r>
      <w:r w:rsidRPr="002C400D">
        <w:rPr>
          <w:szCs w:val="24"/>
          <w:lang w:eastAsia="zh-CN"/>
        </w:rPr>
        <w:t>项要素</w:t>
      </w:r>
      <w:r w:rsidRPr="002C400D">
        <w:rPr>
          <w:rFonts w:hint="eastAsia"/>
          <w:szCs w:val="24"/>
          <w:lang w:eastAsia="zh-CN"/>
        </w:rPr>
        <w:t>；而且</w:t>
      </w:r>
    </w:p>
    <w:p w14:paraId="4827AF14" w14:textId="77777777" w:rsidR="00894D47" w:rsidRPr="002C400D" w:rsidRDefault="00894D47" w:rsidP="00894D47">
      <w:pPr>
        <w:rPr>
          <w:szCs w:val="24"/>
          <w:lang w:eastAsia="zh-CN"/>
        </w:rPr>
      </w:pPr>
      <w:r w:rsidRPr="00D3180A">
        <w:rPr>
          <w:i/>
          <w:iCs/>
          <w:szCs w:val="24"/>
          <w:lang w:eastAsia="zh-CN"/>
        </w:rPr>
        <w:t>c)</w:t>
      </w:r>
      <w:r w:rsidRPr="002C400D">
        <w:rPr>
          <w:szCs w:val="24"/>
          <w:lang w:eastAsia="zh-CN"/>
        </w:rPr>
        <w:tab/>
      </w:r>
      <w:r w:rsidRPr="002C400D">
        <w:rPr>
          <w:rFonts w:hint="eastAsia"/>
          <w:szCs w:val="24"/>
          <w:lang w:eastAsia="zh-CN"/>
        </w:rPr>
        <w:t>理事会第</w:t>
      </w:r>
      <w:r w:rsidRPr="002C400D">
        <w:rPr>
          <w:szCs w:val="24"/>
          <w:lang w:eastAsia="zh-CN"/>
        </w:rPr>
        <w:t>1388</w:t>
      </w:r>
      <w:r w:rsidRPr="002C400D">
        <w:rPr>
          <w:rFonts w:hint="eastAsia"/>
          <w:szCs w:val="24"/>
          <w:lang w:eastAsia="zh-CN"/>
        </w:rPr>
        <w:t>号决议决定，新的整套报酬办法的各</w:t>
      </w:r>
      <w:r w:rsidRPr="002C400D">
        <w:rPr>
          <w:szCs w:val="24"/>
          <w:lang w:eastAsia="zh-CN"/>
        </w:rPr>
        <w:t>项要素适用于选任官员</w:t>
      </w:r>
      <w:r w:rsidRPr="002C400D">
        <w:rPr>
          <w:rFonts w:hint="eastAsia"/>
          <w:szCs w:val="24"/>
          <w:lang w:eastAsia="zh-CN"/>
        </w:rPr>
        <w:t>并在同日生效，同时责成秘书长对适用于选任官员的《人事规则和人事细则》做相应修订，</w:t>
      </w:r>
    </w:p>
    <w:p w14:paraId="4827AF15" w14:textId="77777777" w:rsidR="00894D47" w:rsidRPr="00D3180A" w:rsidRDefault="00894D47" w:rsidP="00894D47">
      <w:pPr>
        <w:pStyle w:val="call0"/>
        <w:rPr>
          <w:iCs/>
          <w:szCs w:val="24"/>
          <w:lang w:eastAsia="zh-CN"/>
        </w:rPr>
      </w:pPr>
      <w:r w:rsidRPr="002C400D">
        <w:rPr>
          <w:rFonts w:hint="eastAsia"/>
          <w:szCs w:val="24"/>
          <w:lang w:eastAsia="zh-CN"/>
        </w:rPr>
        <w:t>经考虑到</w:t>
      </w:r>
    </w:p>
    <w:p w14:paraId="4827AF16" w14:textId="77777777" w:rsidR="00894D47" w:rsidRPr="002C400D" w:rsidRDefault="00894D47" w:rsidP="00894D47">
      <w:pPr>
        <w:ind w:firstLineChars="200" w:firstLine="480"/>
        <w:rPr>
          <w:szCs w:val="24"/>
          <w:lang w:eastAsia="zh-CN"/>
        </w:rPr>
      </w:pPr>
      <w:r>
        <w:rPr>
          <w:rFonts w:hint="eastAsia"/>
          <w:szCs w:val="24"/>
          <w:lang w:eastAsia="zh-CN"/>
        </w:rPr>
        <w:t>秘书长提交的</w:t>
      </w:r>
      <w:hyperlink r:id="rId164" w:history="1">
        <w:r w:rsidRPr="002C400D">
          <w:rPr>
            <w:rStyle w:val="Hyperlink"/>
            <w:szCs w:val="24"/>
            <w:lang w:eastAsia="zh-CN"/>
          </w:rPr>
          <w:t>C18/68</w:t>
        </w:r>
      </w:hyperlink>
      <w:r w:rsidRPr="002C400D">
        <w:rPr>
          <w:rStyle w:val="Hyperlink"/>
          <w:rFonts w:hint="eastAsia"/>
          <w:szCs w:val="24"/>
          <w:lang w:eastAsia="zh-CN"/>
        </w:rPr>
        <w:t>号</w:t>
      </w:r>
      <w:r w:rsidRPr="002C400D">
        <w:rPr>
          <w:rStyle w:val="Hyperlink"/>
          <w:szCs w:val="24"/>
          <w:lang w:eastAsia="zh-CN"/>
        </w:rPr>
        <w:t>文件</w:t>
      </w:r>
      <w:r w:rsidRPr="002C400D">
        <w:rPr>
          <w:rFonts w:hint="eastAsia"/>
          <w:szCs w:val="24"/>
          <w:lang w:eastAsia="zh-CN"/>
        </w:rPr>
        <w:t>，</w:t>
      </w:r>
    </w:p>
    <w:p w14:paraId="4827AF17" w14:textId="77777777" w:rsidR="00894D47" w:rsidRPr="002C400D" w:rsidRDefault="00894D47" w:rsidP="00894D47">
      <w:pPr>
        <w:pStyle w:val="call0"/>
        <w:rPr>
          <w:i/>
          <w:szCs w:val="24"/>
          <w:lang w:eastAsia="zh-CN"/>
        </w:rPr>
      </w:pPr>
      <w:r w:rsidRPr="002C400D">
        <w:rPr>
          <w:rFonts w:hint="eastAsia"/>
          <w:szCs w:val="24"/>
          <w:lang w:eastAsia="zh-CN"/>
        </w:rPr>
        <w:t>做出决议</w:t>
      </w:r>
    </w:p>
    <w:p w14:paraId="4827AF18" w14:textId="77777777" w:rsidR="00894D47" w:rsidRDefault="00894D47" w:rsidP="00894D47">
      <w:pPr>
        <w:ind w:firstLineChars="200" w:firstLine="480"/>
        <w:rPr>
          <w:szCs w:val="24"/>
          <w:lang w:eastAsia="zh-CN"/>
        </w:rPr>
      </w:pPr>
      <w:r w:rsidRPr="002C400D">
        <w:rPr>
          <w:rFonts w:hint="eastAsia"/>
          <w:szCs w:val="24"/>
          <w:lang w:eastAsia="zh-CN"/>
        </w:rPr>
        <w:t>批准本决议附件中适用于选任官员的《人事规则》拟议修正案。</w:t>
      </w:r>
    </w:p>
    <w:p w14:paraId="4827AF19" w14:textId="77777777" w:rsidR="00BC7E7B" w:rsidRDefault="00BC7E7B" w:rsidP="00BC7E7B">
      <w:pPr>
        <w:pStyle w:val="Endtext"/>
        <w:rPr>
          <w:rtl/>
          <w:cs/>
          <w:lang w:eastAsia="zh-CN"/>
        </w:rPr>
      </w:pPr>
      <w:r>
        <w:rPr>
          <w:rFonts w:hint="eastAsia"/>
          <w:lang w:eastAsia="zh-CN"/>
        </w:rPr>
        <w:t>参阅</w:t>
      </w:r>
      <w:r w:rsidRPr="00BC7E7B">
        <w:rPr>
          <w:rFonts w:hint="eastAsia"/>
          <w:lang w:val="en-GB" w:eastAsia="zh-CN"/>
        </w:rPr>
        <w:t>：</w:t>
      </w:r>
      <w:r w:rsidRPr="00BC7E7B">
        <w:rPr>
          <w:lang w:val="en-GB" w:eastAsia="zh-CN"/>
        </w:rPr>
        <w:tab/>
      </w:r>
      <w:hyperlink r:id="rId165" w:history="1">
        <w:r w:rsidRPr="00BC7E7B">
          <w:rPr>
            <w:rStyle w:val="Hyperlink"/>
            <w:lang w:val="en-GB"/>
          </w:rPr>
          <w:t>C18/116</w:t>
        </w:r>
      </w:hyperlink>
      <w:r>
        <w:rPr>
          <w:rFonts w:hint="eastAsia"/>
          <w:lang w:val="en-GB" w:eastAsia="zh-CN"/>
        </w:rPr>
        <w:t>和</w:t>
      </w:r>
      <w:hyperlink r:id="rId166" w:history="1">
        <w:r w:rsidRPr="00BC7E7B">
          <w:rPr>
            <w:rStyle w:val="Hyperlink"/>
            <w:lang w:val="en-GB"/>
          </w:rPr>
          <w:t>C18/121</w:t>
        </w:r>
      </w:hyperlink>
      <w:r>
        <w:rPr>
          <w:rFonts w:hint="eastAsia"/>
          <w:lang w:val="en-GB" w:eastAsia="zh-CN"/>
        </w:rPr>
        <w:t>号文件</w:t>
      </w:r>
      <w:r>
        <w:rPr>
          <w:lang w:val="en-GB" w:eastAsia="zh-CN"/>
        </w:rPr>
        <w:t>。</w:t>
      </w:r>
    </w:p>
    <w:p w14:paraId="4827AF1A" w14:textId="77777777" w:rsidR="00BC7E7B" w:rsidRPr="00BC7E7B" w:rsidRDefault="00BC7E7B" w:rsidP="00894D47">
      <w:pPr>
        <w:ind w:firstLineChars="200" w:firstLine="480"/>
        <w:rPr>
          <w:szCs w:val="24"/>
          <w:lang w:eastAsia="zh-CN"/>
        </w:rPr>
      </w:pPr>
    </w:p>
    <w:p w14:paraId="4827AF1B" w14:textId="77777777" w:rsidR="00BC7E7B" w:rsidRDefault="00BC7E7B" w:rsidP="00894D47">
      <w:pPr>
        <w:ind w:firstLineChars="200" w:firstLine="480"/>
        <w:rPr>
          <w:szCs w:val="24"/>
          <w:lang w:eastAsia="zh-CN"/>
        </w:rPr>
      </w:pPr>
    </w:p>
    <w:p w14:paraId="4827AF1C" w14:textId="77777777" w:rsidR="00D32C40" w:rsidRPr="00BC7E7B" w:rsidRDefault="00D32C40" w:rsidP="00894D47">
      <w:pPr>
        <w:ind w:firstLineChars="200" w:firstLine="480"/>
        <w:rPr>
          <w:szCs w:val="24"/>
          <w:lang w:eastAsia="zh-CN"/>
        </w:rPr>
      </w:pPr>
    </w:p>
    <w:p w14:paraId="4827AF1D" w14:textId="77777777" w:rsidR="00BC7E7B" w:rsidRPr="00BC7E7B" w:rsidRDefault="00BC7E7B" w:rsidP="00894D47">
      <w:pPr>
        <w:ind w:firstLineChars="200" w:firstLine="480"/>
        <w:rPr>
          <w:szCs w:val="24"/>
          <w:lang w:eastAsia="zh-CN"/>
        </w:rPr>
      </w:pPr>
    </w:p>
    <w:p w14:paraId="4827AF1E" w14:textId="77777777" w:rsidR="00BC7E7B" w:rsidRPr="00BC7E7B" w:rsidRDefault="00BC7E7B" w:rsidP="00894D47">
      <w:pPr>
        <w:ind w:firstLineChars="200" w:firstLine="480"/>
        <w:rPr>
          <w:szCs w:val="24"/>
          <w:lang w:eastAsia="zh-CN"/>
        </w:rPr>
      </w:pPr>
    </w:p>
    <w:p w14:paraId="4827AF1F" w14:textId="77777777" w:rsidR="00BC7E7B" w:rsidRPr="00BC7E7B" w:rsidRDefault="00BC7E7B" w:rsidP="00894D47">
      <w:pPr>
        <w:ind w:firstLineChars="200" w:firstLine="480"/>
        <w:rPr>
          <w:szCs w:val="24"/>
          <w:lang w:eastAsia="zh-CN"/>
        </w:rPr>
      </w:pPr>
    </w:p>
    <w:p w14:paraId="4827AF20" w14:textId="77777777" w:rsidR="00BC7E7B" w:rsidRPr="00BC7E7B" w:rsidRDefault="00BC7E7B" w:rsidP="00894D47">
      <w:pPr>
        <w:ind w:firstLineChars="200" w:firstLine="480"/>
        <w:rPr>
          <w:szCs w:val="24"/>
          <w:lang w:eastAsia="zh-CN"/>
        </w:rPr>
      </w:pPr>
    </w:p>
    <w:p w14:paraId="4827AF21" w14:textId="77777777" w:rsidR="00BC7E7B" w:rsidRPr="00BC7E7B" w:rsidRDefault="00BC7E7B" w:rsidP="00894D47">
      <w:pPr>
        <w:ind w:firstLineChars="200" w:firstLine="480"/>
        <w:rPr>
          <w:szCs w:val="24"/>
          <w:lang w:eastAsia="zh-CN"/>
        </w:rPr>
      </w:pPr>
    </w:p>
    <w:p w14:paraId="4827AF22" w14:textId="77777777" w:rsidR="00BC7E7B" w:rsidRPr="00BC7E7B" w:rsidRDefault="00BC7E7B" w:rsidP="00894D47">
      <w:pPr>
        <w:ind w:firstLineChars="200" w:firstLine="480"/>
        <w:rPr>
          <w:szCs w:val="24"/>
          <w:lang w:eastAsia="zh-CN"/>
        </w:rPr>
      </w:pPr>
    </w:p>
    <w:p w14:paraId="4827AF23" w14:textId="77777777" w:rsidR="00BC7E7B" w:rsidRPr="00BC7E7B" w:rsidRDefault="00BC7E7B" w:rsidP="00894D47">
      <w:pPr>
        <w:ind w:firstLineChars="200" w:firstLine="480"/>
        <w:rPr>
          <w:szCs w:val="24"/>
          <w:lang w:eastAsia="zh-CN"/>
        </w:rPr>
      </w:pPr>
    </w:p>
    <w:p w14:paraId="4827AF24" w14:textId="77777777" w:rsidR="00894D47" w:rsidRPr="00BC7E7B" w:rsidRDefault="00894D47" w:rsidP="00E51375">
      <w:pPr>
        <w:pStyle w:val="Normalaftertitle0"/>
        <w:sectPr w:rsidR="00894D47" w:rsidRPr="00BC7E7B" w:rsidSect="003A1C4B">
          <w:headerReference w:type="even" r:id="rId167"/>
          <w:headerReference w:type="default" r:id="rId168"/>
          <w:headerReference w:type="first" r:id="rId169"/>
          <w:type w:val="oddPage"/>
          <w:pgSz w:w="11907" w:h="16834" w:code="9"/>
          <w:pgMar w:top="1418" w:right="1134" w:bottom="1134" w:left="1134" w:header="737" w:footer="567" w:gutter="0"/>
          <w:paperSrc w:first="15" w:other="15"/>
          <w:cols w:space="720"/>
          <w:vAlign w:val="both"/>
          <w:titlePg/>
        </w:sectPr>
      </w:pPr>
    </w:p>
    <w:tbl>
      <w:tblPr>
        <w:tblStyle w:val="TableGrid"/>
        <w:tblW w:w="13989" w:type="dxa"/>
        <w:tblLayout w:type="fixed"/>
        <w:tblLook w:val="04A0" w:firstRow="1" w:lastRow="0" w:firstColumn="1" w:lastColumn="0" w:noHBand="0" w:noVBand="1"/>
        <w:tblPrChange w:id="460" w:author="Dalhen, Eric" w:date="2018-02-27T10:30:00Z">
          <w:tblPr>
            <w:tblStyle w:val="TableGrid"/>
            <w:tblW w:w="0" w:type="auto"/>
            <w:tblLook w:val="04A0" w:firstRow="1" w:lastRow="0" w:firstColumn="1" w:lastColumn="0" w:noHBand="0" w:noVBand="1"/>
          </w:tblPr>
        </w:tblPrChange>
      </w:tblPr>
      <w:tblGrid>
        <w:gridCol w:w="6799"/>
        <w:gridCol w:w="5403"/>
        <w:gridCol w:w="1787"/>
        <w:tblGridChange w:id="461">
          <w:tblGrid>
            <w:gridCol w:w="6799"/>
            <w:gridCol w:w="5403"/>
            <w:gridCol w:w="546"/>
            <w:gridCol w:w="645"/>
            <w:gridCol w:w="595"/>
            <w:gridCol w:w="1"/>
          </w:tblGrid>
        </w:tblGridChange>
      </w:tblGrid>
      <w:tr w:rsidR="00894D47" w:rsidRPr="00EF16B5" w14:paraId="4827AF28" w14:textId="77777777" w:rsidTr="00C53247">
        <w:trPr>
          <w:trPrChange w:id="462" w:author="Dalhen, Eric" w:date="2018-02-27T10:30:00Z">
            <w:trPr>
              <w:gridAfter w:val="0"/>
            </w:trPr>
          </w:trPrChange>
        </w:trPr>
        <w:tc>
          <w:tcPr>
            <w:tcW w:w="6799" w:type="dxa"/>
            <w:shd w:val="clear" w:color="auto" w:fill="365F91" w:themeFill="accent1" w:themeFillShade="BF"/>
            <w:tcPrChange w:id="463" w:author="Dalhen, Eric" w:date="2018-02-27T10:30:00Z">
              <w:tcPr>
                <w:tcW w:w="5665" w:type="dxa"/>
                <w:gridSpan w:val="3"/>
              </w:tcPr>
            </w:tcPrChange>
          </w:tcPr>
          <w:p w14:paraId="4827AF25" w14:textId="77777777" w:rsidR="00894D47" w:rsidRPr="00EF16B5" w:rsidRDefault="00894D47" w:rsidP="00C53247">
            <w:pPr>
              <w:pStyle w:val="Tablehead"/>
              <w:rPr>
                <w:rFonts w:ascii="Calibri" w:hAnsi="Calibri" w:cs="Calibri"/>
                <w:sz w:val="22"/>
                <w:szCs w:val="22"/>
                <w:lang w:val="en-US" w:eastAsia="zh-CN"/>
              </w:rPr>
            </w:pPr>
            <w:r w:rsidRPr="00EF16B5">
              <w:rPr>
                <w:rFonts w:ascii="Calibri" w:hAnsi="Calibri" w:cs="Calibri"/>
                <w:color w:val="FFFFFF" w:themeColor="background1"/>
                <w:sz w:val="22"/>
                <w:szCs w:val="22"/>
                <w:lang w:eastAsia="zh-CN"/>
              </w:rPr>
              <w:lastRenderedPageBreak/>
              <w:t>以修改符标出的《规则》修正案</w:t>
            </w:r>
          </w:p>
        </w:tc>
        <w:tc>
          <w:tcPr>
            <w:tcW w:w="5403" w:type="dxa"/>
            <w:shd w:val="clear" w:color="auto" w:fill="365F91" w:themeFill="accent1" w:themeFillShade="BF"/>
            <w:tcPrChange w:id="464" w:author="Dalhen, Eric" w:date="2018-02-27T10:30:00Z">
              <w:tcPr>
                <w:tcW w:w="5670" w:type="dxa"/>
              </w:tcPr>
            </w:tcPrChange>
          </w:tcPr>
          <w:p w14:paraId="4827AF26" w14:textId="77777777" w:rsidR="00894D47" w:rsidRPr="00EF16B5" w:rsidRDefault="00894D47" w:rsidP="00C53247">
            <w:pPr>
              <w:pStyle w:val="Tablehead"/>
              <w:rPr>
                <w:rFonts w:ascii="Calibri" w:hAnsi="Calibri" w:cs="Calibri"/>
                <w:bCs/>
                <w:sz w:val="22"/>
                <w:szCs w:val="22"/>
                <w:lang w:val="en-US"/>
              </w:rPr>
            </w:pPr>
            <w:r w:rsidRPr="00EF16B5">
              <w:rPr>
                <w:rFonts w:ascii="Calibri" w:hAnsi="Calibri" w:cs="Calibri"/>
                <w:bCs/>
                <w:color w:val="FFFFFF" w:themeColor="background1"/>
                <w:sz w:val="22"/>
                <w:szCs w:val="22"/>
              </w:rPr>
              <w:t>《规则》修正案</w:t>
            </w:r>
          </w:p>
        </w:tc>
        <w:tc>
          <w:tcPr>
            <w:tcW w:w="1787" w:type="dxa"/>
            <w:shd w:val="clear" w:color="auto" w:fill="365F91" w:themeFill="accent1" w:themeFillShade="BF"/>
            <w:tcPrChange w:id="465" w:author="Dalhen, Eric" w:date="2018-02-27T10:30:00Z">
              <w:tcPr>
                <w:tcW w:w="2653" w:type="dxa"/>
              </w:tcPr>
            </w:tcPrChange>
          </w:tcPr>
          <w:p w14:paraId="4827AF27" w14:textId="77777777" w:rsidR="00894D47" w:rsidRPr="00EF16B5" w:rsidRDefault="00894D47" w:rsidP="00C53247">
            <w:pPr>
              <w:pStyle w:val="Tablehead"/>
              <w:rPr>
                <w:rFonts w:ascii="Calibri" w:eastAsia="STKaiti" w:hAnsi="Calibri" w:cs="Calibri"/>
                <w:bCs/>
                <w:iCs/>
                <w:sz w:val="22"/>
                <w:szCs w:val="22"/>
                <w:lang w:val="en-US"/>
                <w:rPrChange w:id="466" w:author="Dalhen, Eric" w:date="2018-02-27T13:04:00Z">
                  <w:rPr>
                    <w:bCs/>
                    <w:sz w:val="16"/>
                    <w:szCs w:val="16"/>
                    <w:lang w:val="en-US"/>
                  </w:rPr>
                </w:rPrChange>
              </w:rPr>
            </w:pPr>
            <w:r w:rsidRPr="00EF16B5">
              <w:rPr>
                <w:rFonts w:ascii="Calibri" w:eastAsia="STKaiti" w:hAnsi="Calibri" w:cs="Calibri"/>
                <w:bCs/>
                <w:iCs/>
                <w:color w:val="FFFFFF" w:themeColor="background1"/>
                <w:sz w:val="22"/>
                <w:szCs w:val="22"/>
                <w:lang w:eastAsia="zh-CN"/>
              </w:rPr>
              <w:t>修改</w:t>
            </w:r>
            <w:r w:rsidRPr="00EF16B5">
              <w:rPr>
                <w:rFonts w:ascii="Calibri" w:eastAsia="STKaiti" w:hAnsi="Calibri" w:cs="Calibri"/>
                <w:bCs/>
                <w:iCs/>
                <w:color w:val="FFFFFF" w:themeColor="background1"/>
                <w:sz w:val="22"/>
                <w:szCs w:val="22"/>
              </w:rPr>
              <w:t>原</w:t>
            </w:r>
            <w:r w:rsidRPr="00EF16B5">
              <w:rPr>
                <w:rFonts w:ascii="Calibri" w:eastAsia="STKaiti" w:hAnsi="Calibri" w:cs="Calibri"/>
                <w:bCs/>
                <w:iCs/>
                <w:color w:val="FFFFFF" w:themeColor="background1"/>
                <w:sz w:val="22"/>
                <w:szCs w:val="22"/>
                <w:lang w:eastAsia="zh-CN"/>
              </w:rPr>
              <w:t>因</w:t>
            </w:r>
          </w:p>
        </w:tc>
      </w:tr>
      <w:tr w:rsidR="00894D47" w:rsidRPr="001223AF" w14:paraId="4827AF3E" w14:textId="77777777" w:rsidTr="000B634A">
        <w:trPr>
          <w:tblHeader/>
          <w:trPrChange w:id="467" w:author="Dalhen, Eric" w:date="2018-02-27T10:30:00Z">
            <w:trPr>
              <w:gridAfter w:val="0"/>
            </w:trPr>
          </w:trPrChange>
        </w:trPr>
        <w:tc>
          <w:tcPr>
            <w:tcW w:w="6799" w:type="dxa"/>
            <w:tcBorders>
              <w:bottom w:val="single" w:sz="4" w:space="0" w:color="auto"/>
            </w:tcBorders>
            <w:tcPrChange w:id="468" w:author="Dalhen, Eric" w:date="2018-02-27T10:30:00Z">
              <w:tcPr>
                <w:tcW w:w="5665" w:type="dxa"/>
                <w:gridSpan w:val="3"/>
              </w:tcPr>
            </w:tcPrChange>
          </w:tcPr>
          <w:p w14:paraId="4827AF29" w14:textId="77777777" w:rsidR="00894D47" w:rsidRPr="001223AF" w:rsidRDefault="00894D47" w:rsidP="002E3791">
            <w:pPr>
              <w:pStyle w:val="Heading2"/>
              <w:tabs>
                <w:tab w:val="clear" w:pos="1191"/>
                <w:tab w:val="left" w:pos="1305"/>
              </w:tabs>
              <w:outlineLvl w:val="1"/>
              <w:rPr>
                <w:rFonts w:cs="Calibri"/>
                <w:sz w:val="20"/>
              </w:rPr>
            </w:pPr>
            <w:r w:rsidRPr="001223AF">
              <w:rPr>
                <w:rFonts w:cs="Calibri"/>
                <w:sz w:val="20"/>
              </w:rPr>
              <w:t>CHAPTER II</w:t>
            </w:r>
            <w:r w:rsidRPr="001223AF">
              <w:rPr>
                <w:rFonts w:cs="Calibri"/>
                <w:sz w:val="20"/>
              </w:rPr>
              <w:tab/>
            </w:r>
            <w:r w:rsidRPr="001223AF">
              <w:rPr>
                <w:rFonts w:cs="Calibri"/>
                <w:sz w:val="20"/>
              </w:rPr>
              <w:tab/>
              <w:t>SALARIES AND ALLOWANCES</w:t>
            </w:r>
          </w:p>
          <w:p w14:paraId="4827AF2A" w14:textId="77777777" w:rsidR="00894D47" w:rsidRPr="001223AF" w:rsidRDefault="00894D47" w:rsidP="002E3791">
            <w:pPr>
              <w:pStyle w:val="Heading2"/>
              <w:tabs>
                <w:tab w:val="clear" w:pos="1191"/>
                <w:tab w:val="clear" w:pos="1588"/>
                <w:tab w:val="left" w:pos="1305"/>
              </w:tabs>
              <w:outlineLvl w:val="1"/>
              <w:rPr>
                <w:rFonts w:cs="Calibri"/>
                <w:sz w:val="20"/>
              </w:rPr>
            </w:pPr>
            <w:r w:rsidRPr="001223AF">
              <w:rPr>
                <w:rFonts w:cs="Calibri"/>
                <w:sz w:val="20"/>
              </w:rPr>
              <w:t>Regulation II.1</w:t>
            </w:r>
            <w:r w:rsidRPr="001223AF">
              <w:rPr>
                <w:rFonts w:cs="Calibri"/>
                <w:sz w:val="20"/>
              </w:rPr>
              <w:tab/>
              <w:t>Salaries and allowances</w:t>
            </w:r>
          </w:p>
          <w:p w14:paraId="4827AF2B" w14:textId="77777777" w:rsidR="00894D47" w:rsidRPr="001223AF" w:rsidRDefault="00894D47" w:rsidP="00894D47">
            <w:pPr>
              <w:rPr>
                <w:rFonts w:ascii="Calibri" w:hAnsi="Calibri" w:cs="Calibri"/>
                <w:sz w:val="20"/>
              </w:rPr>
            </w:pPr>
            <w:del w:id="469" w:author="Dalhen, Eric" w:date="2018-02-12T12:57:00Z">
              <w:r w:rsidRPr="001223AF" w:rsidDel="00B15F2C">
                <w:rPr>
                  <w:rFonts w:ascii="Calibri" w:hAnsi="Calibri" w:cs="Calibri"/>
                  <w:sz w:val="20"/>
                </w:rPr>
                <w:delText>a)</w:delText>
              </w:r>
            </w:del>
            <w:ins w:id="470" w:author="Dalhen, Eric" w:date="2018-02-12T12:57:00Z">
              <w:r w:rsidRPr="001223AF">
                <w:rPr>
                  <w:rFonts w:ascii="Calibri" w:hAnsi="Calibri" w:cs="Calibri"/>
                  <w:sz w:val="20"/>
                </w:rPr>
                <w:t>1.</w:t>
              </w:r>
            </w:ins>
            <w:r w:rsidRPr="001223AF">
              <w:rPr>
                <w:rFonts w:ascii="Calibri" w:hAnsi="Calibri" w:cs="Calibri"/>
                <w:sz w:val="20"/>
              </w:rPr>
              <w:tab/>
              <w:t xml:space="preserve">The salaries of elected officials shall be set in accordance with the provisions of Resolution 46 adopted by the Plenipotentiary Conference (Kyoto, 1994). A staff assessment shall be applied to the gross salaries at the rates specified in </w:t>
            </w:r>
            <w:del w:id="471" w:author="Dalhen, Eric" w:date="2018-02-27T12:43:00Z">
              <w:r w:rsidRPr="001223AF" w:rsidDel="00884968">
                <w:rPr>
                  <w:rFonts w:ascii="Calibri" w:hAnsi="Calibri" w:cs="Calibri"/>
                  <w:sz w:val="20"/>
                </w:rPr>
                <w:delText>paragraph c) of the present Regulation, as approved by the Council in its Resolution 998.</w:delText>
              </w:r>
            </w:del>
            <w:ins w:id="472" w:author="Dalhen, Eric" w:date="2018-02-27T12:43:00Z">
              <w:r w:rsidRPr="001223AF">
                <w:rPr>
                  <w:rFonts w:ascii="Calibri" w:hAnsi="Calibri" w:cs="Calibri"/>
                  <w:sz w:val="20"/>
                </w:rPr>
                <w:t xml:space="preserve">Annex III to </w:t>
              </w:r>
            </w:ins>
            <w:ins w:id="473" w:author="Dalhen, Eric" w:date="2018-02-27T12:44:00Z">
              <w:r w:rsidRPr="001223AF">
                <w:rPr>
                  <w:rFonts w:ascii="Calibri" w:hAnsi="Calibri" w:cs="Calibri"/>
                  <w:sz w:val="20"/>
                </w:rPr>
                <w:t>Staff</w:t>
              </w:r>
            </w:ins>
            <w:ins w:id="474" w:author="Dalhen, Eric" w:date="2018-02-27T12:43:00Z">
              <w:r w:rsidRPr="001223AF">
                <w:rPr>
                  <w:rFonts w:ascii="Calibri" w:hAnsi="Calibri" w:cs="Calibri"/>
                  <w:sz w:val="20"/>
                </w:rPr>
                <w:t xml:space="preserve"> Regulations</w:t>
              </w:r>
            </w:ins>
            <w:ins w:id="475" w:author="Dalhen, Eric" w:date="2018-02-27T12:45:00Z">
              <w:r w:rsidRPr="001223AF">
                <w:rPr>
                  <w:rFonts w:ascii="Calibri" w:hAnsi="Calibri" w:cs="Calibri"/>
                  <w:sz w:val="20"/>
                </w:rPr>
                <w:t>.</w:t>
              </w:r>
            </w:ins>
            <w:r w:rsidRPr="001223AF">
              <w:rPr>
                <w:rFonts w:ascii="Calibri" w:hAnsi="Calibri" w:cs="Calibri"/>
                <w:sz w:val="20"/>
              </w:rPr>
              <w:t xml:space="preserve"> The amount remaining after deduction of this assessment shall be the net salary.</w:t>
            </w:r>
          </w:p>
          <w:p w14:paraId="4827AF2C" w14:textId="77777777" w:rsidR="00894D47" w:rsidRPr="001223AF" w:rsidDel="00C909C3" w:rsidRDefault="00894D47" w:rsidP="00894D47">
            <w:pPr>
              <w:rPr>
                <w:del w:id="476" w:author="Dalhen, Eric" w:date="2018-02-12T12:55:00Z"/>
                <w:rFonts w:ascii="Calibri" w:hAnsi="Calibri" w:cs="Calibri"/>
                <w:sz w:val="20"/>
              </w:rPr>
            </w:pPr>
            <w:del w:id="477" w:author="Dalhen, Eric" w:date="2018-02-12T12:55:00Z">
              <w:r w:rsidRPr="001223AF" w:rsidDel="00C909C3">
                <w:rPr>
                  <w:rFonts w:ascii="Calibri" w:hAnsi="Calibri" w:cs="Calibri"/>
                  <w:sz w:val="20"/>
                </w:rPr>
                <w:delText>b)</w:delText>
              </w:r>
              <w:r w:rsidRPr="001223AF" w:rsidDel="00C909C3">
                <w:rPr>
                  <w:rFonts w:ascii="Calibri" w:hAnsi="Calibri" w:cs="Calibri"/>
                  <w:sz w:val="20"/>
                </w:rPr>
                <w:tab/>
                <w:delText>Except where otherwise provided in these Regulations and Rules, "salary" shall mean the net salary arrived at under paragraph a).</w:delText>
              </w:r>
            </w:del>
          </w:p>
          <w:p w14:paraId="4827AF2D" w14:textId="77777777" w:rsidR="00894D47" w:rsidRPr="001223AF" w:rsidDel="00C909C3" w:rsidRDefault="00894D47" w:rsidP="00894D47">
            <w:pPr>
              <w:rPr>
                <w:del w:id="478" w:author="Dalhen, Eric" w:date="2018-02-12T12:55:00Z"/>
                <w:rFonts w:ascii="Calibri" w:hAnsi="Calibri" w:cs="Calibri"/>
                <w:sz w:val="20"/>
              </w:rPr>
            </w:pPr>
            <w:del w:id="479" w:author="Dalhen, Eric" w:date="2018-02-12T12:55:00Z">
              <w:r w:rsidRPr="001223AF" w:rsidDel="00C909C3">
                <w:rPr>
                  <w:rFonts w:ascii="Calibri" w:hAnsi="Calibri" w:cs="Calibri"/>
                  <w:sz w:val="20"/>
                </w:rPr>
                <w:delText>c)</w:delText>
              </w:r>
              <w:r w:rsidRPr="001223AF" w:rsidDel="00C909C3">
                <w:rPr>
                  <w:rFonts w:ascii="Calibri" w:hAnsi="Calibri" w:cs="Calibri"/>
                  <w:sz w:val="20"/>
                </w:rPr>
                <w:tab/>
                <w:delText>i)</w:delText>
              </w:r>
              <w:r w:rsidRPr="001223AF" w:rsidDel="00C909C3">
                <w:rPr>
                  <w:rFonts w:ascii="Calibri" w:hAnsi="Calibri" w:cs="Calibri"/>
                  <w:sz w:val="20"/>
                </w:rPr>
                <w:tab/>
                <w:delText>The dependency rates of staff assessment shall apply when:</w:delText>
              </w:r>
            </w:del>
          </w:p>
          <w:p w14:paraId="4827AF2E" w14:textId="77777777" w:rsidR="00894D47" w:rsidRPr="001223AF" w:rsidDel="00C909C3" w:rsidRDefault="00894D47" w:rsidP="00894D47">
            <w:pPr>
              <w:pStyle w:val="enumlev2"/>
              <w:rPr>
                <w:del w:id="480" w:author="Dalhen, Eric" w:date="2018-02-12T12:55:00Z"/>
                <w:rFonts w:ascii="Calibri" w:hAnsi="Calibri" w:cs="Calibri"/>
                <w:sz w:val="20"/>
              </w:rPr>
            </w:pPr>
            <w:del w:id="481" w:author="Dalhen, Eric" w:date="2018-02-12T12:55:00Z">
              <w:r w:rsidRPr="001223AF" w:rsidDel="00C909C3">
                <w:rPr>
                  <w:rFonts w:ascii="Calibri" w:hAnsi="Calibri" w:cs="Calibri"/>
                  <w:sz w:val="20"/>
                </w:rPr>
                <w:delText>–</w:delText>
              </w:r>
              <w:r w:rsidRPr="001223AF" w:rsidDel="00C909C3">
                <w:rPr>
                  <w:rFonts w:ascii="Calibri" w:hAnsi="Calibri" w:cs="Calibri"/>
                  <w:sz w:val="20"/>
                </w:rPr>
                <w:tab/>
                <w:delText>the elected official’s spouse is recognized as a dependant under Regulation II.4; or</w:delText>
              </w:r>
              <w:bookmarkStart w:id="482" w:name="dsgno"/>
              <w:bookmarkEnd w:id="482"/>
            </w:del>
          </w:p>
          <w:p w14:paraId="4827AF2F" w14:textId="77777777" w:rsidR="00894D47" w:rsidRPr="001223AF" w:rsidDel="00C909C3" w:rsidRDefault="00894D47" w:rsidP="00894D47">
            <w:pPr>
              <w:pStyle w:val="enumlev2"/>
              <w:rPr>
                <w:del w:id="483" w:author="Dalhen, Eric" w:date="2018-02-12T12:55:00Z"/>
                <w:rFonts w:ascii="Calibri" w:hAnsi="Calibri" w:cs="Calibri"/>
                <w:sz w:val="20"/>
              </w:rPr>
            </w:pPr>
            <w:del w:id="484" w:author="Dalhen, Eric" w:date="2018-02-12T12:55:00Z">
              <w:r w:rsidRPr="001223AF" w:rsidDel="00C909C3">
                <w:rPr>
                  <w:rFonts w:ascii="Calibri" w:hAnsi="Calibri" w:cs="Calibri"/>
                  <w:sz w:val="20"/>
                </w:rPr>
                <w:delText>–</w:delText>
              </w:r>
              <w:r w:rsidRPr="001223AF" w:rsidDel="00C909C3">
                <w:rPr>
                  <w:rFonts w:ascii="Calibri" w:hAnsi="Calibri" w:cs="Calibri"/>
                  <w:sz w:val="20"/>
                </w:rPr>
                <w:tab/>
                <w:delText>a child is recognized as a dependent child under Regulation II.4.</w:delText>
              </w:r>
            </w:del>
          </w:p>
          <w:p w14:paraId="4827AF30" w14:textId="77777777" w:rsidR="00894D47" w:rsidRPr="001223AF" w:rsidRDefault="00894D47">
            <w:pPr>
              <w:pStyle w:val="enumlev2"/>
              <w:rPr>
                <w:rFonts w:ascii="Calibri" w:hAnsi="Calibri" w:cs="Calibri"/>
                <w:sz w:val="20"/>
              </w:rPr>
              <w:pPrChange w:id="485" w:author="Unknown" w:date="2018-02-27T12:44:00Z">
                <w:pPr>
                  <w:overflowPunct/>
                  <w:autoSpaceDE/>
                  <w:autoSpaceDN/>
                  <w:adjustRightInd/>
                  <w:spacing w:before="0"/>
                  <w:textAlignment w:val="auto"/>
                </w:pPr>
              </w:pPrChange>
            </w:pPr>
            <w:del w:id="486" w:author="Dalhen, Eric" w:date="2018-02-12T12:56:00Z">
              <w:r w:rsidRPr="001223AF" w:rsidDel="00B15F2C">
                <w:rPr>
                  <w:rFonts w:ascii="Calibri" w:hAnsi="Calibri" w:cs="Calibri"/>
                  <w:sz w:val="20"/>
                </w:rPr>
                <w:delText>ii)</w:delText>
              </w:r>
              <w:r w:rsidRPr="001223AF" w:rsidDel="00B15F2C">
                <w:rPr>
                  <w:rFonts w:ascii="Calibri" w:hAnsi="Calibri" w:cs="Calibri"/>
                  <w:sz w:val="20"/>
                </w:rPr>
                <w:tab/>
                <w:delText>Where both husband and wife are staff members of the Union, the United Nations or a specialized agency, whose salaries are subject to the staff assessment rates specified in Annex III to these Regulations, assessment shall apply to each at the single rate. If they have a dependent child or children, the dependency rate shall apply to the spouse having the higher salary level and the single rate to the other spouse.</w:delText>
              </w:r>
            </w:del>
          </w:p>
        </w:tc>
        <w:tc>
          <w:tcPr>
            <w:tcW w:w="5403" w:type="dxa"/>
            <w:tcBorders>
              <w:bottom w:val="single" w:sz="4" w:space="0" w:color="auto"/>
            </w:tcBorders>
            <w:tcPrChange w:id="487" w:author="Dalhen, Eric" w:date="2018-02-27T10:30:00Z">
              <w:tcPr>
                <w:tcW w:w="5670" w:type="dxa"/>
              </w:tcPr>
            </w:tcPrChange>
          </w:tcPr>
          <w:p w14:paraId="4827AF31" w14:textId="77777777" w:rsidR="00894D47" w:rsidRPr="001223AF" w:rsidRDefault="00894D47" w:rsidP="00894D47">
            <w:pPr>
              <w:pStyle w:val="Heading2"/>
              <w:outlineLvl w:val="1"/>
              <w:rPr>
                <w:rFonts w:cs="Calibri"/>
                <w:sz w:val="20"/>
                <w:lang w:eastAsia="zh-CN"/>
              </w:rPr>
            </w:pPr>
            <w:r w:rsidRPr="001223AF">
              <w:rPr>
                <w:rFonts w:cs="Calibri"/>
                <w:sz w:val="20"/>
                <w:lang w:eastAsia="zh-CN"/>
              </w:rPr>
              <w:t>第二章：</w:t>
            </w:r>
            <w:r w:rsidRPr="001223AF">
              <w:rPr>
                <w:rFonts w:cs="Calibri"/>
                <w:sz w:val="20"/>
                <w:lang w:eastAsia="zh-CN"/>
              </w:rPr>
              <w:tab/>
            </w:r>
            <w:r w:rsidRPr="001223AF">
              <w:rPr>
                <w:rFonts w:cs="Calibri"/>
                <w:sz w:val="20"/>
                <w:lang w:eastAsia="zh-CN"/>
              </w:rPr>
              <w:t>薪金和津贴</w:t>
            </w:r>
          </w:p>
          <w:p w14:paraId="4827AF32" w14:textId="77777777" w:rsidR="00894D47" w:rsidRPr="001223AF" w:rsidRDefault="00894D47" w:rsidP="00894D47">
            <w:pPr>
              <w:pStyle w:val="Heading2"/>
              <w:outlineLvl w:val="1"/>
              <w:rPr>
                <w:rFonts w:cs="Calibri"/>
                <w:sz w:val="20"/>
                <w:lang w:eastAsia="zh-CN"/>
              </w:rPr>
            </w:pPr>
            <w:r w:rsidRPr="001223AF">
              <w:rPr>
                <w:rFonts w:eastAsiaTheme="minorEastAsia" w:cs="Calibri"/>
                <w:bCs/>
                <w:sz w:val="20"/>
                <w:lang w:eastAsia="zh-CN"/>
              </w:rPr>
              <w:t>规则</w:t>
            </w:r>
            <w:r w:rsidR="00D13792" w:rsidRPr="001223AF">
              <w:rPr>
                <w:rFonts w:eastAsiaTheme="minorEastAsia" w:cs="Calibri"/>
                <w:bCs/>
                <w:sz w:val="20"/>
                <w:lang w:eastAsia="zh-CN"/>
              </w:rPr>
              <w:t xml:space="preserve"> </w:t>
            </w:r>
            <w:r w:rsidRPr="001223AF">
              <w:rPr>
                <w:rFonts w:eastAsiaTheme="minorEastAsia" w:cs="Calibri"/>
                <w:bCs/>
                <w:sz w:val="20"/>
                <w:lang w:eastAsia="zh-CN"/>
              </w:rPr>
              <w:t>II</w:t>
            </w:r>
            <w:r w:rsidRPr="001223AF">
              <w:rPr>
                <w:rFonts w:cs="Calibri"/>
                <w:sz w:val="20"/>
                <w:lang w:eastAsia="zh-CN"/>
              </w:rPr>
              <w:t>.1</w:t>
            </w:r>
            <w:r w:rsidRPr="001223AF">
              <w:rPr>
                <w:rFonts w:cs="Calibri"/>
                <w:sz w:val="20"/>
                <w:lang w:eastAsia="zh-CN"/>
              </w:rPr>
              <w:tab/>
            </w:r>
            <w:r w:rsidR="00D13792" w:rsidRPr="001223AF">
              <w:rPr>
                <w:rFonts w:cs="Calibri"/>
                <w:sz w:val="20"/>
                <w:lang w:eastAsia="zh-CN"/>
              </w:rPr>
              <w:tab/>
            </w:r>
            <w:r w:rsidRPr="001223AF">
              <w:rPr>
                <w:rFonts w:cs="Calibri"/>
                <w:sz w:val="20"/>
                <w:lang w:eastAsia="zh-CN"/>
              </w:rPr>
              <w:t>薪金和津贴</w:t>
            </w:r>
          </w:p>
          <w:p w14:paraId="4827AF33" w14:textId="77777777" w:rsidR="00894D47" w:rsidRPr="001223AF" w:rsidRDefault="00894D47" w:rsidP="008842DA">
            <w:pPr>
              <w:tabs>
                <w:tab w:val="clear" w:pos="794"/>
                <w:tab w:val="left" w:pos="601"/>
              </w:tabs>
              <w:rPr>
                <w:rFonts w:ascii="Calibri" w:hAnsi="Calibri" w:cs="Calibri"/>
                <w:sz w:val="20"/>
                <w:lang w:eastAsia="zh-CN"/>
              </w:rPr>
            </w:pPr>
            <w:r w:rsidRPr="001223AF">
              <w:rPr>
                <w:rFonts w:ascii="Calibri" w:hAnsi="Calibri" w:cs="Calibri"/>
                <w:sz w:val="20"/>
                <w:lang w:eastAsia="zh-CN"/>
              </w:rPr>
              <w:t>1</w:t>
            </w:r>
            <w:r w:rsidRPr="001223AF">
              <w:rPr>
                <w:rFonts w:ascii="Calibri" w:hAnsi="Calibri" w:cs="Calibri"/>
                <w:sz w:val="20"/>
                <w:lang w:eastAsia="zh-CN"/>
              </w:rPr>
              <w:tab/>
            </w:r>
            <w:r w:rsidRPr="001223AF">
              <w:rPr>
                <w:rFonts w:ascii="Calibri" w:hAnsi="Calibri" w:cs="Calibri"/>
                <w:sz w:val="20"/>
                <w:lang w:eastAsia="zh-CN"/>
              </w:rPr>
              <w:t>选任官员的薪金应根据全权代表大会（</w:t>
            </w:r>
            <w:r w:rsidRPr="001223AF">
              <w:rPr>
                <w:rFonts w:ascii="Calibri" w:hAnsi="Calibri" w:cs="Calibri"/>
                <w:sz w:val="20"/>
                <w:lang w:eastAsia="zh-CN"/>
              </w:rPr>
              <w:t>1994</w:t>
            </w:r>
            <w:r w:rsidRPr="001223AF">
              <w:rPr>
                <w:rFonts w:ascii="Calibri" w:hAnsi="Calibri" w:cs="Calibri"/>
                <w:sz w:val="20"/>
                <w:lang w:eastAsia="zh-CN"/>
              </w:rPr>
              <w:t>年，京都）第</w:t>
            </w:r>
            <w:r w:rsidRPr="001223AF">
              <w:rPr>
                <w:rFonts w:ascii="Calibri" w:hAnsi="Calibri" w:cs="Calibri"/>
                <w:sz w:val="20"/>
                <w:lang w:eastAsia="zh-CN"/>
              </w:rPr>
              <w:t>46</w:t>
            </w:r>
            <w:r w:rsidRPr="001223AF">
              <w:rPr>
                <w:rFonts w:ascii="Calibri" w:hAnsi="Calibri" w:cs="Calibri"/>
                <w:sz w:val="20"/>
                <w:lang w:eastAsia="zh-CN"/>
              </w:rPr>
              <w:t>号决议的规定确定。工作人员</w:t>
            </w:r>
            <w:r w:rsidRPr="001223AF">
              <w:rPr>
                <w:rFonts w:ascii="Calibri" w:hAnsi="Calibri" w:cs="Calibri"/>
                <w:sz w:val="20"/>
                <w:lang w:val="fr-FR" w:eastAsia="zh-CN"/>
              </w:rPr>
              <w:t>薪金税按照《人事规则》附件三规定的税率适用于薪金毛额。扣除这笔薪金税后的余留额即为净薪。</w:t>
            </w:r>
          </w:p>
        </w:tc>
        <w:tc>
          <w:tcPr>
            <w:tcW w:w="1787" w:type="dxa"/>
            <w:tcBorders>
              <w:bottom w:val="single" w:sz="4" w:space="0" w:color="auto"/>
            </w:tcBorders>
            <w:tcPrChange w:id="488" w:author="Dalhen, Eric" w:date="2018-02-27T10:30:00Z">
              <w:tcPr>
                <w:tcW w:w="2653" w:type="dxa"/>
              </w:tcPr>
            </w:tcPrChange>
          </w:tcPr>
          <w:p w14:paraId="4827AF34" w14:textId="77777777" w:rsidR="00894D47" w:rsidRPr="001223AF" w:rsidRDefault="00894D47" w:rsidP="00894D47">
            <w:pPr>
              <w:overflowPunct/>
              <w:autoSpaceDE/>
              <w:autoSpaceDN/>
              <w:adjustRightInd/>
              <w:spacing w:before="0"/>
              <w:textAlignment w:val="auto"/>
              <w:rPr>
                <w:rFonts w:ascii="Calibri" w:hAnsi="Calibri" w:cs="Calibri"/>
                <w:i/>
                <w:iCs/>
                <w:sz w:val="20"/>
                <w:lang w:val="en-US" w:eastAsia="zh-CN"/>
                <w:rPrChange w:id="489" w:author="Dalhen, Eric" w:date="2018-02-27T13:04:00Z">
                  <w:rPr>
                    <w:sz w:val="16"/>
                    <w:szCs w:val="16"/>
                    <w:lang w:val="en-US"/>
                  </w:rPr>
                </w:rPrChange>
              </w:rPr>
            </w:pPr>
          </w:p>
          <w:p w14:paraId="4827AF35" w14:textId="77777777" w:rsidR="00894D47" w:rsidRPr="001223AF" w:rsidRDefault="00894D47" w:rsidP="00894D47">
            <w:pPr>
              <w:overflowPunct/>
              <w:autoSpaceDE/>
              <w:autoSpaceDN/>
              <w:adjustRightInd/>
              <w:spacing w:before="0"/>
              <w:textAlignment w:val="auto"/>
              <w:rPr>
                <w:rFonts w:ascii="Calibri" w:hAnsi="Calibri" w:cs="Calibri"/>
                <w:i/>
                <w:iCs/>
                <w:sz w:val="20"/>
                <w:lang w:val="en-US" w:eastAsia="zh-CN"/>
                <w:rPrChange w:id="490" w:author="Dalhen, Eric" w:date="2018-02-27T13:04:00Z">
                  <w:rPr>
                    <w:sz w:val="16"/>
                    <w:szCs w:val="16"/>
                    <w:lang w:val="en-US"/>
                  </w:rPr>
                </w:rPrChange>
              </w:rPr>
            </w:pPr>
          </w:p>
          <w:p w14:paraId="4827AF36" w14:textId="77777777" w:rsidR="00894D47" w:rsidRPr="001223AF" w:rsidRDefault="00894D47" w:rsidP="00894D47">
            <w:pPr>
              <w:overflowPunct/>
              <w:autoSpaceDE/>
              <w:autoSpaceDN/>
              <w:adjustRightInd/>
              <w:spacing w:before="0"/>
              <w:textAlignment w:val="auto"/>
              <w:rPr>
                <w:rFonts w:ascii="Calibri" w:hAnsi="Calibri" w:cs="Calibri"/>
                <w:i/>
                <w:iCs/>
                <w:sz w:val="20"/>
                <w:lang w:val="en-US" w:eastAsia="zh-CN"/>
                <w:rPrChange w:id="491" w:author="Dalhen, Eric" w:date="2018-02-27T13:04:00Z">
                  <w:rPr>
                    <w:sz w:val="16"/>
                    <w:szCs w:val="16"/>
                    <w:lang w:val="en-US"/>
                  </w:rPr>
                </w:rPrChange>
              </w:rPr>
            </w:pPr>
          </w:p>
          <w:p w14:paraId="4827AF37" w14:textId="77777777" w:rsidR="00894D47" w:rsidRPr="001223AF" w:rsidRDefault="00894D47" w:rsidP="00894D47">
            <w:pPr>
              <w:overflowPunct/>
              <w:autoSpaceDE/>
              <w:autoSpaceDN/>
              <w:adjustRightInd/>
              <w:spacing w:before="0"/>
              <w:textAlignment w:val="auto"/>
              <w:rPr>
                <w:rFonts w:ascii="Calibri" w:hAnsi="Calibri" w:cs="Calibri"/>
                <w:i/>
                <w:iCs/>
                <w:sz w:val="20"/>
                <w:lang w:val="en-US" w:eastAsia="zh-CN"/>
                <w:rPrChange w:id="492" w:author="Dalhen, Eric" w:date="2018-02-27T13:04:00Z">
                  <w:rPr>
                    <w:sz w:val="16"/>
                    <w:szCs w:val="16"/>
                    <w:lang w:val="en-US"/>
                  </w:rPr>
                </w:rPrChange>
              </w:rPr>
            </w:pPr>
          </w:p>
          <w:p w14:paraId="4827AF38" w14:textId="77777777" w:rsidR="00756661" w:rsidRPr="001223AF" w:rsidRDefault="00756661" w:rsidP="00894D47">
            <w:pPr>
              <w:overflowPunct/>
              <w:autoSpaceDE/>
              <w:autoSpaceDN/>
              <w:adjustRightInd/>
              <w:spacing w:before="0"/>
              <w:textAlignment w:val="auto"/>
              <w:rPr>
                <w:rFonts w:ascii="Calibri" w:eastAsia="STKaiti" w:hAnsi="Calibri" w:cs="Calibri"/>
                <w:iCs/>
                <w:sz w:val="20"/>
                <w:lang w:eastAsia="zh-CN"/>
              </w:rPr>
            </w:pPr>
          </w:p>
          <w:p w14:paraId="4827AF39" w14:textId="77777777" w:rsidR="00F45DD5" w:rsidRPr="001223AF" w:rsidRDefault="00F45DD5" w:rsidP="00894D47">
            <w:pPr>
              <w:overflowPunct/>
              <w:autoSpaceDE/>
              <w:autoSpaceDN/>
              <w:adjustRightInd/>
              <w:spacing w:before="0"/>
              <w:textAlignment w:val="auto"/>
              <w:rPr>
                <w:rFonts w:ascii="Calibri" w:eastAsia="STKaiti" w:hAnsi="Calibri" w:cs="Calibri"/>
                <w:iCs/>
                <w:sz w:val="20"/>
                <w:lang w:eastAsia="zh-CN"/>
              </w:rPr>
            </w:pPr>
          </w:p>
          <w:p w14:paraId="4827AF3A" w14:textId="77777777" w:rsidR="00F45DD5" w:rsidRPr="001223AF" w:rsidRDefault="00F45DD5" w:rsidP="00894D47">
            <w:pPr>
              <w:overflowPunct/>
              <w:autoSpaceDE/>
              <w:autoSpaceDN/>
              <w:adjustRightInd/>
              <w:spacing w:before="0"/>
              <w:textAlignment w:val="auto"/>
              <w:rPr>
                <w:rFonts w:ascii="Calibri" w:eastAsia="STKaiti" w:hAnsi="Calibri" w:cs="Calibri"/>
                <w:iCs/>
                <w:sz w:val="20"/>
                <w:lang w:eastAsia="zh-CN"/>
              </w:rPr>
            </w:pPr>
          </w:p>
          <w:p w14:paraId="4827AF3B" w14:textId="77777777" w:rsidR="00F45DD5" w:rsidRPr="001223AF" w:rsidRDefault="00F45DD5" w:rsidP="00894D47">
            <w:pPr>
              <w:overflowPunct/>
              <w:autoSpaceDE/>
              <w:autoSpaceDN/>
              <w:adjustRightInd/>
              <w:spacing w:before="0"/>
              <w:textAlignment w:val="auto"/>
              <w:rPr>
                <w:rFonts w:ascii="Calibri" w:eastAsia="STKaiti" w:hAnsi="Calibri" w:cs="Calibri"/>
                <w:iCs/>
                <w:sz w:val="20"/>
                <w:lang w:eastAsia="zh-CN"/>
              </w:rPr>
            </w:pPr>
          </w:p>
          <w:p w14:paraId="4827AF3C" w14:textId="77777777" w:rsidR="001223AF" w:rsidRPr="001223AF" w:rsidRDefault="001223AF" w:rsidP="00894D47">
            <w:pPr>
              <w:overflowPunct/>
              <w:autoSpaceDE/>
              <w:autoSpaceDN/>
              <w:adjustRightInd/>
              <w:spacing w:before="0"/>
              <w:textAlignment w:val="auto"/>
              <w:rPr>
                <w:rFonts w:ascii="Calibri" w:eastAsia="STKaiti" w:hAnsi="Calibri" w:cs="Calibri"/>
                <w:iCs/>
                <w:sz w:val="20"/>
                <w:lang w:eastAsia="zh-CN"/>
              </w:rPr>
            </w:pPr>
          </w:p>
          <w:p w14:paraId="4827AF3D" w14:textId="77777777" w:rsidR="00894D47" w:rsidRPr="001223AF" w:rsidRDefault="00894D47" w:rsidP="00894D47">
            <w:pPr>
              <w:overflowPunct/>
              <w:autoSpaceDE/>
              <w:autoSpaceDN/>
              <w:adjustRightInd/>
              <w:spacing w:before="0"/>
              <w:textAlignment w:val="auto"/>
              <w:rPr>
                <w:rFonts w:ascii="Calibri" w:hAnsi="Calibri" w:cs="Calibri"/>
                <w:i/>
                <w:iCs/>
                <w:sz w:val="20"/>
                <w:lang w:val="en-US" w:eastAsia="zh-CN"/>
                <w:rPrChange w:id="493" w:author="Dalhen, Eric" w:date="2018-02-27T13:04:00Z">
                  <w:rPr>
                    <w:sz w:val="16"/>
                    <w:szCs w:val="16"/>
                    <w:lang w:val="en-US"/>
                  </w:rPr>
                </w:rPrChange>
              </w:rPr>
            </w:pPr>
            <w:r w:rsidRPr="001223AF">
              <w:rPr>
                <w:rFonts w:ascii="Calibri" w:eastAsia="STKaiti" w:hAnsi="Calibri" w:cs="Calibri"/>
                <w:iCs/>
                <w:sz w:val="20"/>
                <w:lang w:eastAsia="zh-CN"/>
              </w:rPr>
              <w:t>予以修正以便落实新的统一薪金表；</w:t>
            </w:r>
          </w:p>
        </w:tc>
      </w:tr>
      <w:tr w:rsidR="00894D47" w:rsidRPr="001223AF" w14:paraId="4827AF42" w14:textId="77777777" w:rsidTr="000B634A">
        <w:trPr>
          <w:tblHeader/>
        </w:trPr>
        <w:tc>
          <w:tcPr>
            <w:tcW w:w="6799" w:type="dxa"/>
            <w:tcBorders>
              <w:top w:val="single" w:sz="4" w:space="0" w:color="auto"/>
            </w:tcBorders>
          </w:tcPr>
          <w:p w14:paraId="4827AF3F" w14:textId="77777777" w:rsidR="00894D47" w:rsidRPr="001223AF" w:rsidRDefault="00894D47" w:rsidP="00894D47">
            <w:pPr>
              <w:rPr>
                <w:rFonts w:ascii="Calibri" w:hAnsi="Calibri" w:cs="Calibri"/>
                <w:sz w:val="20"/>
              </w:rPr>
            </w:pPr>
            <w:del w:id="494" w:author="Dalhen, Eric" w:date="2018-03-01T09:15:00Z">
              <w:r w:rsidRPr="001223AF" w:rsidDel="009D6A3C">
                <w:rPr>
                  <w:rFonts w:ascii="Calibri" w:hAnsi="Calibri" w:cs="Calibri"/>
                  <w:sz w:val="20"/>
                </w:rPr>
                <w:delText>d)</w:delText>
              </w:r>
            </w:del>
            <w:ins w:id="495" w:author="Dalhen, Eric" w:date="2018-03-01T09:15:00Z">
              <w:r w:rsidRPr="001223AF">
                <w:rPr>
                  <w:rFonts w:ascii="Calibri" w:hAnsi="Calibri" w:cs="Calibri"/>
                  <w:sz w:val="20"/>
                </w:rPr>
                <w:t>2.</w:t>
              </w:r>
            </w:ins>
            <w:r w:rsidRPr="001223AF">
              <w:rPr>
                <w:rFonts w:ascii="Calibri" w:hAnsi="Calibri" w:cs="Calibri"/>
                <w:sz w:val="20"/>
              </w:rPr>
              <w:tab/>
              <w:t>The assessment shall be calculated according to the rates set out in Annex III to these Regulations.</w:t>
            </w:r>
          </w:p>
        </w:tc>
        <w:tc>
          <w:tcPr>
            <w:tcW w:w="5403" w:type="dxa"/>
            <w:tcBorders>
              <w:top w:val="single" w:sz="4" w:space="0" w:color="auto"/>
            </w:tcBorders>
          </w:tcPr>
          <w:p w14:paraId="4827AF40" w14:textId="77777777" w:rsidR="00894D47" w:rsidRPr="00075D0A" w:rsidRDefault="00075D0A" w:rsidP="00075D0A">
            <w:pPr>
              <w:pStyle w:val="Heading2"/>
              <w:keepNext w:val="0"/>
              <w:keepLines w:val="0"/>
              <w:tabs>
                <w:tab w:val="clear" w:pos="1021"/>
                <w:tab w:val="left" w:pos="619"/>
              </w:tabs>
              <w:spacing w:before="120"/>
              <w:ind w:left="0" w:firstLine="0"/>
              <w:outlineLvl w:val="1"/>
              <w:rPr>
                <w:rFonts w:cs="Calibri"/>
                <w:b w:val="0"/>
                <w:color w:val="800000"/>
                <w:sz w:val="20"/>
                <w:lang w:eastAsia="zh-CN"/>
              </w:rPr>
            </w:pPr>
            <w:r w:rsidRPr="00075D0A">
              <w:rPr>
                <w:rFonts w:cs="Calibri"/>
                <w:b w:val="0"/>
                <w:sz w:val="20"/>
                <w:lang w:eastAsia="zh-CN"/>
              </w:rPr>
              <w:t>2</w:t>
            </w:r>
            <w:r w:rsidRPr="00075D0A">
              <w:rPr>
                <w:rFonts w:cs="Calibri"/>
                <w:b w:val="0"/>
                <w:sz w:val="20"/>
                <w:lang w:eastAsia="zh-CN"/>
              </w:rPr>
              <w:tab/>
            </w:r>
            <w:r w:rsidR="00894D47" w:rsidRPr="00075D0A">
              <w:rPr>
                <w:rFonts w:cs="Calibri"/>
                <w:b w:val="0"/>
                <w:sz w:val="20"/>
                <w:lang w:val="fr-FR" w:eastAsia="zh-CN"/>
              </w:rPr>
              <w:t>薪金税应按照本《规则》附件三所列税率计算。</w:t>
            </w:r>
          </w:p>
        </w:tc>
        <w:tc>
          <w:tcPr>
            <w:tcW w:w="1787" w:type="dxa"/>
            <w:tcBorders>
              <w:top w:val="single" w:sz="4" w:space="0" w:color="auto"/>
            </w:tcBorders>
          </w:tcPr>
          <w:p w14:paraId="4827AF41" w14:textId="77777777" w:rsidR="00894D47" w:rsidRPr="001223AF" w:rsidRDefault="00894D47" w:rsidP="00894D47">
            <w:pPr>
              <w:overflowPunct/>
              <w:autoSpaceDE/>
              <w:autoSpaceDN/>
              <w:adjustRightInd/>
              <w:spacing w:before="0"/>
              <w:textAlignment w:val="auto"/>
              <w:rPr>
                <w:rFonts w:ascii="Calibri" w:hAnsi="Calibri" w:cs="Calibri"/>
                <w:i/>
                <w:iCs/>
                <w:sz w:val="20"/>
                <w:lang w:val="en-US" w:eastAsia="zh-CN"/>
              </w:rPr>
            </w:pPr>
          </w:p>
        </w:tc>
      </w:tr>
    </w:tbl>
    <w:p w14:paraId="4827AF43" w14:textId="77777777" w:rsidR="00C53247" w:rsidRDefault="00C53247">
      <w:pPr>
        <w:rPr>
          <w:lang w:eastAsia="zh-CN"/>
        </w:rPr>
      </w:pPr>
    </w:p>
    <w:p w14:paraId="4827AF44" w14:textId="77777777" w:rsidR="00C53247" w:rsidRDefault="00C53247">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tbl>
      <w:tblPr>
        <w:tblStyle w:val="TableGrid"/>
        <w:tblW w:w="13989" w:type="dxa"/>
        <w:tblLayout w:type="fixed"/>
        <w:tblLook w:val="04A0" w:firstRow="1" w:lastRow="0" w:firstColumn="1" w:lastColumn="0" w:noHBand="0" w:noVBand="1"/>
        <w:tblPrChange w:id="496" w:author="Dalhen, Eric" w:date="2018-02-27T10:30:00Z">
          <w:tblPr>
            <w:tblStyle w:val="TableGrid"/>
            <w:tblW w:w="0" w:type="auto"/>
            <w:tblLook w:val="04A0" w:firstRow="1" w:lastRow="0" w:firstColumn="1" w:lastColumn="0" w:noHBand="0" w:noVBand="1"/>
          </w:tblPr>
        </w:tblPrChange>
      </w:tblPr>
      <w:tblGrid>
        <w:gridCol w:w="6700"/>
        <w:gridCol w:w="5502"/>
        <w:gridCol w:w="1787"/>
        <w:tblGridChange w:id="497">
          <w:tblGrid>
            <w:gridCol w:w="6700"/>
            <w:gridCol w:w="5502"/>
            <w:gridCol w:w="546"/>
            <w:gridCol w:w="645"/>
            <w:gridCol w:w="595"/>
            <w:gridCol w:w="1"/>
          </w:tblGrid>
        </w:tblGridChange>
      </w:tblGrid>
      <w:tr w:rsidR="00C53247" w:rsidRPr="00EF16B5" w14:paraId="4827AF48" w14:textId="77777777" w:rsidTr="00C42621">
        <w:trPr>
          <w:tblHeader/>
          <w:trPrChange w:id="498" w:author="Dalhen, Eric" w:date="2018-02-27T10:30:00Z">
            <w:trPr>
              <w:gridAfter w:val="0"/>
            </w:trPr>
          </w:trPrChange>
        </w:trPr>
        <w:tc>
          <w:tcPr>
            <w:tcW w:w="6700" w:type="dxa"/>
            <w:tcBorders>
              <w:bottom w:val="single" w:sz="4" w:space="0" w:color="auto"/>
            </w:tcBorders>
            <w:shd w:val="clear" w:color="auto" w:fill="365F91" w:themeFill="accent1" w:themeFillShade="BF"/>
            <w:tcPrChange w:id="499" w:author="Dalhen, Eric" w:date="2018-02-27T10:30:00Z">
              <w:tcPr>
                <w:tcW w:w="5665" w:type="dxa"/>
                <w:gridSpan w:val="3"/>
              </w:tcPr>
            </w:tcPrChange>
          </w:tcPr>
          <w:p w14:paraId="4827AF45" w14:textId="77777777" w:rsidR="00C53247" w:rsidRPr="00EF16B5" w:rsidRDefault="00C53247" w:rsidP="001C0DEA">
            <w:pPr>
              <w:pStyle w:val="Tablehead"/>
              <w:rPr>
                <w:rFonts w:cstheme="minorHAnsi"/>
                <w:sz w:val="22"/>
                <w:szCs w:val="22"/>
                <w:lang w:val="en-US" w:eastAsia="zh-CN"/>
              </w:rPr>
            </w:pPr>
            <w:r w:rsidRPr="00EF16B5">
              <w:rPr>
                <w:rFonts w:cstheme="minorHAnsi"/>
                <w:color w:val="FFFFFF" w:themeColor="background1"/>
                <w:sz w:val="22"/>
                <w:szCs w:val="22"/>
                <w:lang w:eastAsia="zh-CN"/>
              </w:rPr>
              <w:lastRenderedPageBreak/>
              <w:t>以修改符标出的《规则》修正案</w:t>
            </w:r>
          </w:p>
        </w:tc>
        <w:tc>
          <w:tcPr>
            <w:tcW w:w="5502" w:type="dxa"/>
            <w:tcBorders>
              <w:bottom w:val="single" w:sz="4" w:space="0" w:color="auto"/>
            </w:tcBorders>
            <w:shd w:val="clear" w:color="auto" w:fill="365F91" w:themeFill="accent1" w:themeFillShade="BF"/>
            <w:tcPrChange w:id="500" w:author="Dalhen, Eric" w:date="2018-02-27T10:30:00Z">
              <w:tcPr>
                <w:tcW w:w="5670" w:type="dxa"/>
              </w:tcPr>
            </w:tcPrChange>
          </w:tcPr>
          <w:p w14:paraId="4827AF46" w14:textId="77777777" w:rsidR="00C53247" w:rsidRPr="00EF16B5" w:rsidRDefault="00C53247" w:rsidP="001C0DEA">
            <w:pPr>
              <w:pStyle w:val="Tablehead"/>
              <w:rPr>
                <w:rFonts w:cstheme="minorHAnsi"/>
                <w:bCs/>
                <w:sz w:val="22"/>
                <w:szCs w:val="22"/>
                <w:lang w:val="en-US"/>
              </w:rPr>
            </w:pPr>
            <w:r w:rsidRPr="00EF16B5">
              <w:rPr>
                <w:rFonts w:cstheme="minorHAnsi"/>
                <w:bCs/>
                <w:color w:val="FFFFFF" w:themeColor="background1"/>
                <w:sz w:val="22"/>
                <w:szCs w:val="22"/>
              </w:rPr>
              <w:t>《规则》修正案</w:t>
            </w:r>
          </w:p>
        </w:tc>
        <w:tc>
          <w:tcPr>
            <w:tcW w:w="1787" w:type="dxa"/>
            <w:tcBorders>
              <w:bottom w:val="single" w:sz="4" w:space="0" w:color="auto"/>
            </w:tcBorders>
            <w:shd w:val="clear" w:color="auto" w:fill="365F91" w:themeFill="accent1" w:themeFillShade="BF"/>
            <w:tcPrChange w:id="501" w:author="Dalhen, Eric" w:date="2018-02-27T10:30:00Z">
              <w:tcPr>
                <w:tcW w:w="2653" w:type="dxa"/>
              </w:tcPr>
            </w:tcPrChange>
          </w:tcPr>
          <w:p w14:paraId="4827AF47" w14:textId="77777777" w:rsidR="00C53247" w:rsidRPr="00EF16B5" w:rsidRDefault="00C53247" w:rsidP="001C0DEA">
            <w:pPr>
              <w:pStyle w:val="Tablehead"/>
              <w:rPr>
                <w:rFonts w:eastAsia="STKaiti" w:cstheme="minorHAnsi"/>
                <w:bCs/>
                <w:iCs/>
                <w:sz w:val="22"/>
                <w:szCs w:val="22"/>
                <w:lang w:val="en-US"/>
                <w:rPrChange w:id="502" w:author="Dalhen, Eric" w:date="2018-02-27T13:04:00Z">
                  <w:rPr>
                    <w:bCs/>
                    <w:sz w:val="16"/>
                    <w:szCs w:val="16"/>
                    <w:lang w:val="en-US"/>
                  </w:rPr>
                </w:rPrChange>
              </w:rPr>
            </w:pPr>
            <w:r w:rsidRPr="00EF16B5">
              <w:rPr>
                <w:rFonts w:eastAsia="STKaiti" w:cstheme="minorHAnsi"/>
                <w:bCs/>
                <w:iCs/>
                <w:color w:val="FFFFFF" w:themeColor="background1"/>
                <w:sz w:val="22"/>
                <w:szCs w:val="22"/>
                <w:lang w:eastAsia="zh-CN"/>
              </w:rPr>
              <w:t>修改</w:t>
            </w:r>
            <w:r w:rsidRPr="00EF16B5">
              <w:rPr>
                <w:rFonts w:eastAsia="STKaiti" w:cstheme="minorHAnsi"/>
                <w:bCs/>
                <w:iCs/>
                <w:color w:val="FFFFFF" w:themeColor="background1"/>
                <w:sz w:val="22"/>
                <w:szCs w:val="22"/>
              </w:rPr>
              <w:t>原</w:t>
            </w:r>
            <w:r w:rsidRPr="00EF16B5">
              <w:rPr>
                <w:rFonts w:eastAsia="STKaiti" w:cstheme="minorHAnsi"/>
                <w:bCs/>
                <w:iCs/>
                <w:color w:val="FFFFFF" w:themeColor="background1"/>
                <w:sz w:val="22"/>
                <w:szCs w:val="22"/>
                <w:lang w:eastAsia="zh-CN"/>
              </w:rPr>
              <w:t>因</w:t>
            </w:r>
          </w:p>
        </w:tc>
      </w:tr>
      <w:tr w:rsidR="00894D47" w:rsidRPr="001223AF" w14:paraId="4827AF5B" w14:textId="77777777" w:rsidTr="00C42621">
        <w:trPr>
          <w:tblHeader/>
        </w:trPr>
        <w:tc>
          <w:tcPr>
            <w:tcW w:w="6700" w:type="dxa"/>
            <w:tcBorders>
              <w:bottom w:val="single" w:sz="4" w:space="0" w:color="auto"/>
            </w:tcBorders>
          </w:tcPr>
          <w:p w14:paraId="4827AF49" w14:textId="77777777" w:rsidR="00894D47" w:rsidRPr="001223AF" w:rsidRDefault="00894D47" w:rsidP="00C53247">
            <w:pPr>
              <w:pStyle w:val="Heading2"/>
              <w:keepNext w:val="0"/>
              <w:keepLines w:val="0"/>
              <w:outlineLvl w:val="1"/>
              <w:rPr>
                <w:rFonts w:asciiTheme="minorHAnsi" w:hAnsiTheme="minorHAnsi" w:cstheme="minorHAnsi"/>
                <w:sz w:val="20"/>
              </w:rPr>
            </w:pPr>
            <w:r w:rsidRPr="001223AF">
              <w:rPr>
                <w:rFonts w:asciiTheme="minorHAnsi" w:hAnsiTheme="minorHAnsi" w:cstheme="minorHAnsi"/>
                <w:sz w:val="20"/>
              </w:rPr>
              <w:t>Regulation II.3</w:t>
            </w:r>
            <w:r w:rsidRPr="001223AF">
              <w:rPr>
                <w:rFonts w:asciiTheme="minorHAnsi" w:hAnsiTheme="minorHAnsi" w:cstheme="minorHAnsi"/>
                <w:sz w:val="20"/>
              </w:rPr>
              <w:tab/>
              <w:t>Education grant</w:t>
            </w:r>
          </w:p>
          <w:p w14:paraId="4827AF4A" w14:textId="77777777" w:rsidR="00894D47" w:rsidRPr="001223AF" w:rsidDel="00F339D9" w:rsidRDefault="00894D47" w:rsidP="008842DA">
            <w:pPr>
              <w:pStyle w:val="Heading4"/>
              <w:tabs>
                <w:tab w:val="clear" w:pos="1021"/>
                <w:tab w:val="left" w:pos="783"/>
              </w:tabs>
              <w:outlineLvl w:val="3"/>
              <w:rPr>
                <w:del w:id="503" w:author="Dalhen, Eric" w:date="2018-02-15T15:27:00Z"/>
                <w:rFonts w:asciiTheme="minorHAnsi" w:hAnsiTheme="minorHAnsi" w:cstheme="minorHAnsi"/>
                <w:sz w:val="20"/>
              </w:rPr>
            </w:pPr>
            <w:del w:id="504" w:author="Dalhen, Eric" w:date="2018-02-15T15:27:00Z">
              <w:r w:rsidRPr="001223AF" w:rsidDel="00F339D9">
                <w:rPr>
                  <w:rFonts w:asciiTheme="minorHAnsi" w:hAnsiTheme="minorHAnsi" w:cstheme="minorHAnsi"/>
                  <w:sz w:val="20"/>
                </w:rPr>
                <w:delText>A.</w:delText>
              </w:r>
              <w:r w:rsidRPr="001223AF" w:rsidDel="00F339D9">
                <w:rPr>
                  <w:rFonts w:asciiTheme="minorHAnsi" w:hAnsiTheme="minorHAnsi" w:cstheme="minorHAnsi"/>
                  <w:sz w:val="20"/>
                </w:rPr>
                <w:tab/>
                <w:delText>Definitions</w:delText>
              </w:r>
            </w:del>
          </w:p>
          <w:p w14:paraId="4827AF4B" w14:textId="77777777" w:rsidR="00894D47" w:rsidRPr="001223AF" w:rsidDel="00F339D9" w:rsidRDefault="00894D47" w:rsidP="00894D47">
            <w:pPr>
              <w:rPr>
                <w:del w:id="505" w:author="Dalhen, Eric" w:date="2018-02-15T15:27:00Z"/>
                <w:rFonts w:cstheme="minorHAnsi"/>
                <w:sz w:val="20"/>
              </w:rPr>
            </w:pPr>
            <w:del w:id="506" w:author="Dalhen, Eric" w:date="2018-02-15T15:27:00Z">
              <w:r w:rsidRPr="001223AF" w:rsidDel="00F339D9">
                <w:rPr>
                  <w:rFonts w:cstheme="minorHAnsi"/>
                  <w:sz w:val="20"/>
                </w:rPr>
                <w:delText>1.</w:delText>
              </w:r>
              <w:r w:rsidRPr="001223AF" w:rsidDel="00F339D9">
                <w:rPr>
                  <w:rFonts w:cstheme="minorHAnsi"/>
                  <w:sz w:val="20"/>
                </w:rPr>
                <w:tab/>
                <w:delText>For the purposes of this Regulation:</w:delText>
              </w:r>
            </w:del>
          </w:p>
          <w:p w14:paraId="4827AF4C" w14:textId="77777777" w:rsidR="00894D47" w:rsidRPr="001223AF" w:rsidDel="00F339D9" w:rsidRDefault="00894D47" w:rsidP="00894D47">
            <w:pPr>
              <w:pStyle w:val="enumlev1"/>
              <w:rPr>
                <w:del w:id="507" w:author="Dalhen, Eric" w:date="2018-02-15T15:27:00Z"/>
                <w:rFonts w:cstheme="minorHAnsi"/>
                <w:sz w:val="20"/>
              </w:rPr>
            </w:pPr>
            <w:del w:id="508" w:author="Dalhen, Eric" w:date="2018-02-15T15:27:00Z">
              <w:r w:rsidRPr="001223AF" w:rsidDel="00F339D9">
                <w:rPr>
                  <w:rFonts w:cstheme="minorHAnsi"/>
                  <w:sz w:val="20"/>
                </w:rPr>
                <w:delText>a)</w:delText>
              </w:r>
              <w:r w:rsidRPr="001223AF" w:rsidDel="00F339D9">
                <w:rPr>
                  <w:rFonts w:cstheme="minorHAnsi"/>
                  <w:sz w:val="20"/>
                </w:rPr>
                <w:tab/>
                <w:delText>"</w:delText>
              </w:r>
              <w:r w:rsidRPr="001223AF" w:rsidDel="00F339D9">
                <w:rPr>
                  <w:rFonts w:cstheme="minorHAnsi"/>
                  <w:i/>
                  <w:sz w:val="20"/>
                </w:rPr>
                <w:delText>Child</w:delText>
              </w:r>
              <w:r w:rsidRPr="001223AF" w:rsidDel="00F339D9">
                <w:rPr>
                  <w:rFonts w:cstheme="minorHAnsi"/>
                  <w:sz w:val="20"/>
                </w:rPr>
                <w:delText>" shall be a child for whom the elected official has the responsibility in accordance with Regulation II.4. "</w:delText>
              </w:r>
              <w:r w:rsidRPr="001223AF" w:rsidDel="00F339D9">
                <w:rPr>
                  <w:rFonts w:cstheme="minorHAnsi"/>
                  <w:i/>
                  <w:sz w:val="20"/>
                </w:rPr>
                <w:delText>Disabled child</w:delText>
              </w:r>
              <w:r w:rsidRPr="001223AF" w:rsidDel="00F339D9">
                <w:rPr>
                  <w:rFonts w:cstheme="minorHAnsi"/>
                  <w:sz w:val="20"/>
                </w:rPr>
                <w:delText>" shall be a child who is unable, by reasons of physical or mental disability, to attend a normal educational institution and therefore requires special teaching or training to prepare him for full integration into society or, while attending a normal educational institution, requires special teaching or training to assist him in overcoming the disability.</w:delText>
              </w:r>
            </w:del>
          </w:p>
          <w:p w14:paraId="4827AF4D" w14:textId="77777777" w:rsidR="00894D47" w:rsidRPr="001223AF" w:rsidDel="00F339D9" w:rsidRDefault="00894D47" w:rsidP="00894D47">
            <w:pPr>
              <w:pStyle w:val="enumlev1"/>
              <w:rPr>
                <w:del w:id="509" w:author="Dalhen, Eric" w:date="2018-02-15T15:27:00Z"/>
                <w:rFonts w:cstheme="minorHAnsi"/>
                <w:sz w:val="20"/>
              </w:rPr>
            </w:pPr>
            <w:del w:id="510" w:author="Dalhen, Eric" w:date="2018-02-15T15:27:00Z">
              <w:r w:rsidRPr="001223AF" w:rsidDel="00F339D9">
                <w:rPr>
                  <w:rFonts w:cstheme="minorHAnsi"/>
                  <w:sz w:val="20"/>
                </w:rPr>
                <w:delText>b)</w:delText>
              </w:r>
              <w:r w:rsidRPr="001223AF" w:rsidDel="00F339D9">
                <w:rPr>
                  <w:rFonts w:cstheme="minorHAnsi"/>
                  <w:sz w:val="20"/>
                </w:rPr>
                <w:tab/>
                <w:delText>"</w:delText>
              </w:r>
              <w:r w:rsidRPr="001223AF" w:rsidDel="00F339D9">
                <w:rPr>
                  <w:rFonts w:cstheme="minorHAnsi"/>
                  <w:i/>
                  <w:sz w:val="20"/>
                </w:rPr>
                <w:delText>Home country</w:delText>
              </w:r>
              <w:r w:rsidRPr="001223AF" w:rsidDel="00F339D9">
                <w:rPr>
                  <w:rFonts w:cstheme="minorHAnsi"/>
                  <w:sz w:val="20"/>
                </w:rPr>
                <w:delText>" shall be the country of home leave of the elected official. If both parents are eligible staff members, "</w:delText>
              </w:r>
              <w:r w:rsidRPr="001223AF" w:rsidDel="00F339D9">
                <w:rPr>
                  <w:rFonts w:cstheme="minorHAnsi"/>
                  <w:i/>
                  <w:sz w:val="20"/>
                </w:rPr>
                <w:delText>home country</w:delText>
              </w:r>
              <w:r w:rsidRPr="001223AF" w:rsidDel="00F339D9">
                <w:rPr>
                  <w:rFonts w:cstheme="minorHAnsi"/>
                  <w:sz w:val="20"/>
                </w:rPr>
                <w:delText>" shall be the country of home leave of either parent.</w:delText>
              </w:r>
            </w:del>
          </w:p>
          <w:p w14:paraId="4827AF4E" w14:textId="77777777" w:rsidR="00894D47" w:rsidRPr="001223AF" w:rsidDel="00F339D9" w:rsidRDefault="00894D47" w:rsidP="00894D47">
            <w:pPr>
              <w:pStyle w:val="enumlev1"/>
              <w:rPr>
                <w:del w:id="511" w:author="Dalhen, Eric" w:date="2018-02-15T15:27:00Z"/>
                <w:rFonts w:cstheme="minorHAnsi"/>
                <w:sz w:val="20"/>
              </w:rPr>
            </w:pPr>
            <w:del w:id="512" w:author="Dalhen, Eric" w:date="2018-02-15T15:27:00Z">
              <w:r w:rsidRPr="001223AF" w:rsidDel="00F339D9">
                <w:rPr>
                  <w:rFonts w:cstheme="minorHAnsi"/>
                  <w:sz w:val="20"/>
                </w:rPr>
                <w:delText>c)</w:delText>
              </w:r>
              <w:r w:rsidRPr="001223AF" w:rsidDel="00F339D9">
                <w:rPr>
                  <w:rFonts w:cstheme="minorHAnsi"/>
                  <w:sz w:val="20"/>
                </w:rPr>
                <w:tab/>
                <w:delText>"</w:delText>
              </w:r>
              <w:r w:rsidRPr="001223AF" w:rsidDel="00F339D9">
                <w:rPr>
                  <w:rFonts w:cstheme="minorHAnsi"/>
                  <w:i/>
                  <w:sz w:val="20"/>
                </w:rPr>
                <w:delText>Duty station</w:delText>
              </w:r>
              <w:r w:rsidRPr="001223AF" w:rsidDel="00F339D9">
                <w:rPr>
                  <w:rFonts w:cstheme="minorHAnsi"/>
                  <w:sz w:val="20"/>
                </w:rPr>
                <w:delText>" shall be the area within a radius of 25 km of Union headquarters, including any area situated beyond the frontier of the country in which Union headquarters is located.</w:delText>
              </w:r>
            </w:del>
          </w:p>
          <w:p w14:paraId="4827AF4F" w14:textId="77777777" w:rsidR="00894D47" w:rsidRPr="001223AF" w:rsidDel="00F339D9" w:rsidRDefault="00894D47" w:rsidP="00894D47">
            <w:pPr>
              <w:pStyle w:val="enumlev1"/>
              <w:rPr>
                <w:del w:id="513" w:author="Dalhen, Eric" w:date="2018-02-15T15:27:00Z"/>
                <w:rFonts w:cstheme="minorHAnsi"/>
                <w:sz w:val="20"/>
              </w:rPr>
            </w:pPr>
            <w:del w:id="514" w:author="Dalhen, Eric" w:date="2018-02-15T15:27:00Z">
              <w:r w:rsidRPr="001223AF" w:rsidDel="00F339D9">
                <w:rPr>
                  <w:rFonts w:cstheme="minorHAnsi"/>
                  <w:sz w:val="20"/>
                </w:rPr>
                <w:delText>d)</w:delText>
              </w:r>
              <w:r w:rsidRPr="001223AF" w:rsidDel="00F339D9">
                <w:rPr>
                  <w:rFonts w:cstheme="minorHAnsi"/>
                  <w:sz w:val="20"/>
                </w:rPr>
                <w:tab/>
                <w:delText>"</w:delText>
              </w:r>
              <w:r w:rsidRPr="001223AF" w:rsidDel="00F339D9">
                <w:rPr>
                  <w:rFonts w:cstheme="minorHAnsi"/>
                  <w:i/>
                  <w:sz w:val="20"/>
                </w:rPr>
                <w:delText>Cost of attendance</w:delText>
              </w:r>
              <w:r w:rsidRPr="001223AF" w:rsidDel="00F339D9">
                <w:rPr>
                  <w:rFonts w:cstheme="minorHAnsi"/>
                  <w:sz w:val="20"/>
                </w:rPr>
                <w:delText>" shall include the cost of enrolment, prescribed textbooks, courses, examinations and diplomas and boarding fees, when applicable, but not school uniforms or optional charges. Where local conditions justify such provision, the cost of attendance may include the cost of midday meals, if these are provided by the school, and the cost of daily group transportation.</w:delText>
              </w:r>
            </w:del>
          </w:p>
          <w:p w14:paraId="4827AF50" w14:textId="77777777" w:rsidR="00806715" w:rsidRPr="001223AF" w:rsidRDefault="00894D47" w:rsidP="00806715">
            <w:pPr>
              <w:rPr>
                <w:rFonts w:cstheme="minorHAnsi"/>
                <w:sz w:val="20"/>
              </w:rPr>
            </w:pPr>
            <w:del w:id="515" w:author="Dalhen, Eric" w:date="2018-02-15T15:27:00Z">
              <w:r w:rsidRPr="001223AF" w:rsidDel="00F339D9">
                <w:rPr>
                  <w:rFonts w:cstheme="minorHAnsi"/>
                  <w:sz w:val="20"/>
                </w:rPr>
                <w:tab/>
                <w:delText>Local transport costs for disabled children may be refunded up to double the cost of normal daily group transportation.</w:delText>
              </w:r>
            </w:del>
          </w:p>
          <w:p w14:paraId="4827AF51" w14:textId="77777777" w:rsidR="00C42621" w:rsidRPr="001223AF" w:rsidRDefault="00C42621" w:rsidP="00806715">
            <w:pPr>
              <w:rPr>
                <w:rFonts w:cstheme="minorHAnsi"/>
                <w:sz w:val="20"/>
              </w:rPr>
            </w:pPr>
          </w:p>
        </w:tc>
        <w:tc>
          <w:tcPr>
            <w:tcW w:w="5502" w:type="dxa"/>
            <w:tcBorders>
              <w:bottom w:val="single" w:sz="4" w:space="0" w:color="auto"/>
            </w:tcBorders>
          </w:tcPr>
          <w:p w14:paraId="4827AF52" w14:textId="77777777" w:rsidR="00894D47" w:rsidRPr="001223AF" w:rsidRDefault="00894D47" w:rsidP="00894D47">
            <w:pPr>
              <w:overflowPunct/>
              <w:autoSpaceDE/>
              <w:autoSpaceDN/>
              <w:adjustRightInd/>
              <w:spacing w:before="0"/>
              <w:textAlignment w:val="auto"/>
              <w:rPr>
                <w:rFonts w:cstheme="minorHAnsi"/>
                <w:b/>
                <w:bCs/>
                <w:sz w:val="20"/>
              </w:rPr>
            </w:pPr>
          </w:p>
          <w:p w14:paraId="4827AF53" w14:textId="77777777" w:rsidR="00894D47" w:rsidRPr="001223AF" w:rsidRDefault="00894D47" w:rsidP="00D13792">
            <w:pPr>
              <w:tabs>
                <w:tab w:val="clear" w:pos="1191"/>
                <w:tab w:val="left" w:pos="1026"/>
              </w:tabs>
              <w:overflowPunct/>
              <w:autoSpaceDE/>
              <w:autoSpaceDN/>
              <w:adjustRightInd/>
              <w:spacing w:before="0"/>
              <w:textAlignment w:val="auto"/>
              <w:rPr>
                <w:rFonts w:cstheme="minorHAnsi"/>
                <w:b/>
                <w:bCs/>
                <w:sz w:val="20"/>
              </w:rPr>
            </w:pPr>
            <w:r w:rsidRPr="001223AF">
              <w:rPr>
                <w:rFonts w:eastAsiaTheme="minorEastAsia" w:cstheme="minorHAnsi"/>
                <w:b/>
                <w:bCs/>
                <w:sz w:val="20"/>
                <w:lang w:eastAsia="zh-CN"/>
              </w:rPr>
              <w:t>规则</w:t>
            </w:r>
            <w:r w:rsidRPr="001223AF">
              <w:rPr>
                <w:rFonts w:eastAsiaTheme="minorEastAsia" w:cstheme="minorHAnsi"/>
                <w:b/>
                <w:bCs/>
                <w:sz w:val="20"/>
                <w:lang w:eastAsia="zh-CN"/>
              </w:rPr>
              <w:t>II</w:t>
            </w:r>
            <w:r w:rsidRPr="001223AF">
              <w:rPr>
                <w:rFonts w:cstheme="minorHAnsi"/>
                <w:b/>
                <w:bCs/>
                <w:sz w:val="20"/>
              </w:rPr>
              <w:t>.3</w:t>
            </w:r>
            <w:r w:rsidRPr="001223AF">
              <w:rPr>
                <w:rFonts w:cstheme="minorHAnsi"/>
                <w:b/>
                <w:bCs/>
                <w:sz w:val="20"/>
              </w:rPr>
              <w:tab/>
            </w:r>
            <w:r w:rsidR="00D13792" w:rsidRPr="001223AF">
              <w:rPr>
                <w:rFonts w:cstheme="minorHAnsi"/>
                <w:b/>
                <w:bCs/>
                <w:sz w:val="20"/>
              </w:rPr>
              <w:tab/>
            </w:r>
            <w:r w:rsidRPr="001223AF">
              <w:rPr>
                <w:rFonts w:eastAsiaTheme="minorEastAsia" w:cstheme="minorHAnsi"/>
                <w:b/>
                <w:bCs/>
                <w:sz w:val="20"/>
                <w:lang w:val="en-US"/>
              </w:rPr>
              <w:t>教育补助金</w:t>
            </w:r>
          </w:p>
          <w:p w14:paraId="4827AF54" w14:textId="77777777" w:rsidR="00894D47" w:rsidRPr="001223AF" w:rsidRDefault="00894D47" w:rsidP="00894D47">
            <w:pPr>
              <w:overflowPunct/>
              <w:autoSpaceDE/>
              <w:autoSpaceDN/>
              <w:adjustRightInd/>
              <w:spacing w:before="0"/>
              <w:textAlignment w:val="auto"/>
              <w:rPr>
                <w:rFonts w:cstheme="minorHAnsi"/>
                <w:sz w:val="20"/>
                <w:lang w:val="en-US"/>
              </w:rPr>
            </w:pPr>
          </w:p>
        </w:tc>
        <w:tc>
          <w:tcPr>
            <w:tcW w:w="1787" w:type="dxa"/>
            <w:tcBorders>
              <w:bottom w:val="single" w:sz="4" w:space="0" w:color="auto"/>
            </w:tcBorders>
          </w:tcPr>
          <w:p w14:paraId="4827AF55" w14:textId="77777777" w:rsidR="00894D47" w:rsidRPr="001223AF" w:rsidRDefault="00894D47" w:rsidP="00894D47">
            <w:pPr>
              <w:overflowPunct/>
              <w:autoSpaceDE/>
              <w:autoSpaceDN/>
              <w:adjustRightInd/>
              <w:spacing w:before="0"/>
              <w:textAlignment w:val="auto"/>
              <w:rPr>
                <w:rFonts w:cstheme="minorHAnsi"/>
                <w:i/>
                <w:iCs/>
                <w:sz w:val="20"/>
                <w:lang w:val="en-US" w:eastAsia="zh-CN"/>
              </w:rPr>
            </w:pPr>
          </w:p>
          <w:p w14:paraId="4827AF56" w14:textId="77777777" w:rsidR="00894D47" w:rsidRPr="001223AF" w:rsidRDefault="00894D47" w:rsidP="00894D47">
            <w:pPr>
              <w:overflowPunct/>
              <w:autoSpaceDE/>
              <w:autoSpaceDN/>
              <w:adjustRightInd/>
              <w:spacing w:before="0"/>
              <w:textAlignment w:val="auto"/>
              <w:rPr>
                <w:rFonts w:cstheme="minorHAnsi"/>
                <w:i/>
                <w:iCs/>
                <w:sz w:val="20"/>
                <w:lang w:val="en-US" w:eastAsia="zh-CN"/>
              </w:rPr>
            </w:pPr>
          </w:p>
          <w:p w14:paraId="4827AF57" w14:textId="77777777" w:rsidR="00894D47" w:rsidRPr="001223AF" w:rsidRDefault="00894D47" w:rsidP="00894D47">
            <w:pPr>
              <w:spacing w:before="60" w:after="60"/>
              <w:rPr>
                <w:rFonts w:cstheme="minorHAnsi"/>
                <w:i/>
                <w:iCs/>
                <w:sz w:val="20"/>
                <w:lang w:eastAsia="zh-CN"/>
              </w:rPr>
            </w:pPr>
          </w:p>
          <w:p w14:paraId="4827AF58" w14:textId="77777777" w:rsidR="00894D47" w:rsidRPr="001223AF" w:rsidRDefault="00894D47" w:rsidP="00894D47">
            <w:pPr>
              <w:spacing w:before="60" w:after="60"/>
              <w:rPr>
                <w:rFonts w:cstheme="minorHAnsi"/>
                <w:i/>
                <w:iCs/>
                <w:sz w:val="20"/>
                <w:lang w:eastAsia="zh-CN"/>
              </w:rPr>
            </w:pPr>
          </w:p>
          <w:p w14:paraId="4827AF59" w14:textId="77777777" w:rsidR="00894D47" w:rsidRPr="001223AF" w:rsidRDefault="00894D47" w:rsidP="00894D47">
            <w:pPr>
              <w:spacing w:before="60" w:after="60"/>
              <w:rPr>
                <w:rFonts w:eastAsia="STKaiti" w:cstheme="minorHAnsi"/>
                <w:i/>
                <w:sz w:val="20"/>
                <w:lang w:eastAsia="zh-CN"/>
              </w:rPr>
            </w:pPr>
            <w:r w:rsidRPr="001223AF">
              <w:rPr>
                <w:rFonts w:eastAsia="STKaiti" w:cstheme="minorHAnsi"/>
                <w:iCs/>
                <w:sz w:val="20"/>
                <w:lang w:eastAsia="zh-CN"/>
              </w:rPr>
              <w:t>为保持《人事规则和人事细则》的简洁和文体同时顾及一致性起见，之前的第一段</w:t>
            </w:r>
            <w:r w:rsidRPr="001223AF">
              <w:rPr>
                <w:rFonts w:cstheme="minorHAnsi"/>
                <w:iCs/>
                <w:sz w:val="20"/>
                <w:lang w:eastAsia="zh-CN"/>
              </w:rPr>
              <w:t>“</w:t>
            </w:r>
            <w:r w:rsidRPr="001223AF">
              <w:rPr>
                <w:rFonts w:eastAsia="STKaiti" w:cstheme="minorHAnsi"/>
                <w:iCs/>
                <w:sz w:val="20"/>
                <w:lang w:eastAsia="zh-CN"/>
              </w:rPr>
              <w:t>定义</w:t>
            </w:r>
            <w:r w:rsidRPr="001223AF">
              <w:rPr>
                <w:rFonts w:cstheme="minorHAnsi"/>
                <w:iCs/>
                <w:sz w:val="20"/>
                <w:lang w:eastAsia="zh-CN"/>
              </w:rPr>
              <w:t>”</w:t>
            </w:r>
            <w:r w:rsidRPr="001223AF">
              <w:rPr>
                <w:rFonts w:eastAsia="STKaiti" w:cstheme="minorHAnsi"/>
                <w:iCs/>
                <w:sz w:val="20"/>
                <w:lang w:eastAsia="zh-CN"/>
              </w:rPr>
              <w:t>从《人事规则》移至《人事细则》；</w:t>
            </w:r>
          </w:p>
          <w:p w14:paraId="4827AF5A" w14:textId="77777777" w:rsidR="00894D47" w:rsidRPr="001223AF" w:rsidRDefault="00894D47" w:rsidP="00894D47">
            <w:pPr>
              <w:spacing w:before="60" w:after="60"/>
              <w:rPr>
                <w:rFonts w:cstheme="minorHAnsi"/>
                <w:i/>
                <w:iCs/>
                <w:sz w:val="20"/>
                <w:lang w:eastAsia="zh-CN"/>
                <w:rPrChange w:id="516" w:author="Dalhen, Eric" w:date="2018-02-27T13:04:00Z">
                  <w:rPr>
                    <w:sz w:val="16"/>
                    <w:szCs w:val="16"/>
                    <w:lang w:val="en-US"/>
                  </w:rPr>
                </w:rPrChange>
              </w:rPr>
            </w:pPr>
          </w:p>
        </w:tc>
      </w:tr>
    </w:tbl>
    <w:p w14:paraId="4827AF5C" w14:textId="77777777" w:rsidR="00F45DD5" w:rsidRDefault="00F45DD5">
      <w:pPr>
        <w:rPr>
          <w:lang w:eastAsia="zh-CN"/>
        </w:rPr>
      </w:pPr>
    </w:p>
    <w:tbl>
      <w:tblPr>
        <w:tblStyle w:val="TableGrid"/>
        <w:tblW w:w="13989" w:type="dxa"/>
        <w:tblLayout w:type="fixed"/>
        <w:tblLook w:val="04A0" w:firstRow="1" w:lastRow="0" w:firstColumn="1" w:lastColumn="0" w:noHBand="0" w:noVBand="1"/>
        <w:tblPrChange w:id="517" w:author="Dalhen, Eric" w:date="2018-02-27T10:30:00Z">
          <w:tblPr>
            <w:tblStyle w:val="TableGrid"/>
            <w:tblW w:w="0" w:type="auto"/>
            <w:tblLook w:val="04A0" w:firstRow="1" w:lastRow="0" w:firstColumn="1" w:lastColumn="0" w:noHBand="0" w:noVBand="1"/>
          </w:tblPr>
        </w:tblPrChange>
      </w:tblPr>
      <w:tblGrid>
        <w:gridCol w:w="6799"/>
        <w:gridCol w:w="5403"/>
        <w:gridCol w:w="1787"/>
        <w:tblGridChange w:id="518">
          <w:tblGrid>
            <w:gridCol w:w="6799"/>
            <w:gridCol w:w="5403"/>
            <w:gridCol w:w="546"/>
            <w:gridCol w:w="645"/>
            <w:gridCol w:w="595"/>
            <w:gridCol w:w="1"/>
          </w:tblGrid>
        </w:tblGridChange>
      </w:tblGrid>
      <w:tr w:rsidR="00806715" w:rsidRPr="00EF16B5" w14:paraId="4827AF60" w14:textId="77777777" w:rsidTr="002E3791">
        <w:trPr>
          <w:tblHeader/>
          <w:trPrChange w:id="519" w:author="Dalhen, Eric" w:date="2018-02-27T10:30:00Z">
            <w:trPr>
              <w:gridAfter w:val="0"/>
            </w:trPr>
          </w:trPrChange>
        </w:trPr>
        <w:tc>
          <w:tcPr>
            <w:tcW w:w="6799" w:type="dxa"/>
            <w:tcBorders>
              <w:bottom w:val="single" w:sz="4" w:space="0" w:color="auto"/>
            </w:tcBorders>
            <w:shd w:val="clear" w:color="auto" w:fill="365F91" w:themeFill="accent1" w:themeFillShade="BF"/>
            <w:tcPrChange w:id="520" w:author="Dalhen, Eric" w:date="2018-02-27T10:30:00Z">
              <w:tcPr>
                <w:tcW w:w="5665" w:type="dxa"/>
                <w:gridSpan w:val="3"/>
              </w:tcPr>
            </w:tcPrChange>
          </w:tcPr>
          <w:p w14:paraId="4827AF5D" w14:textId="77777777" w:rsidR="00806715" w:rsidRPr="00EF16B5" w:rsidRDefault="00806715" w:rsidP="00F45DD5">
            <w:pPr>
              <w:pStyle w:val="Tablehead"/>
              <w:keepLines/>
              <w:rPr>
                <w:rFonts w:cstheme="minorHAnsi"/>
                <w:sz w:val="22"/>
                <w:szCs w:val="22"/>
                <w:lang w:val="en-US" w:eastAsia="zh-CN"/>
              </w:rPr>
            </w:pPr>
            <w:r w:rsidRPr="00EF16B5">
              <w:rPr>
                <w:rFonts w:cstheme="minorHAnsi"/>
                <w:color w:val="FFFFFF" w:themeColor="background1"/>
                <w:sz w:val="22"/>
                <w:szCs w:val="22"/>
                <w:lang w:eastAsia="zh-CN"/>
              </w:rPr>
              <w:lastRenderedPageBreak/>
              <w:t>以修改符标出的《规则》修正案</w:t>
            </w:r>
          </w:p>
        </w:tc>
        <w:tc>
          <w:tcPr>
            <w:tcW w:w="5403" w:type="dxa"/>
            <w:tcBorders>
              <w:bottom w:val="single" w:sz="4" w:space="0" w:color="auto"/>
            </w:tcBorders>
            <w:shd w:val="clear" w:color="auto" w:fill="365F91" w:themeFill="accent1" w:themeFillShade="BF"/>
            <w:tcPrChange w:id="521" w:author="Dalhen, Eric" w:date="2018-02-27T10:30:00Z">
              <w:tcPr>
                <w:tcW w:w="5670" w:type="dxa"/>
              </w:tcPr>
            </w:tcPrChange>
          </w:tcPr>
          <w:p w14:paraId="4827AF5E" w14:textId="77777777" w:rsidR="00806715" w:rsidRPr="00EF16B5" w:rsidRDefault="00806715" w:rsidP="00BE7F32">
            <w:pPr>
              <w:pStyle w:val="Tablehead"/>
              <w:rPr>
                <w:rFonts w:cstheme="minorHAnsi"/>
                <w:bCs/>
                <w:sz w:val="22"/>
                <w:szCs w:val="22"/>
                <w:lang w:val="en-US"/>
              </w:rPr>
            </w:pPr>
            <w:r w:rsidRPr="00EF16B5">
              <w:rPr>
                <w:rFonts w:cstheme="minorHAnsi"/>
                <w:bCs/>
                <w:color w:val="FFFFFF" w:themeColor="background1"/>
                <w:sz w:val="22"/>
                <w:szCs w:val="22"/>
              </w:rPr>
              <w:t>《规则》修正案</w:t>
            </w:r>
          </w:p>
        </w:tc>
        <w:tc>
          <w:tcPr>
            <w:tcW w:w="1787" w:type="dxa"/>
            <w:tcBorders>
              <w:bottom w:val="single" w:sz="4" w:space="0" w:color="auto"/>
            </w:tcBorders>
            <w:shd w:val="clear" w:color="auto" w:fill="365F91" w:themeFill="accent1" w:themeFillShade="BF"/>
            <w:tcPrChange w:id="522" w:author="Dalhen, Eric" w:date="2018-02-27T10:30:00Z">
              <w:tcPr>
                <w:tcW w:w="2653" w:type="dxa"/>
              </w:tcPr>
            </w:tcPrChange>
          </w:tcPr>
          <w:p w14:paraId="4827AF5F" w14:textId="77777777" w:rsidR="00806715" w:rsidRPr="00EF16B5" w:rsidRDefault="00806715" w:rsidP="00BE7F32">
            <w:pPr>
              <w:pStyle w:val="Tablehead"/>
              <w:rPr>
                <w:rFonts w:eastAsia="STKaiti" w:cstheme="minorHAnsi"/>
                <w:bCs/>
                <w:iCs/>
                <w:sz w:val="22"/>
                <w:szCs w:val="22"/>
                <w:lang w:val="en-US"/>
                <w:rPrChange w:id="523" w:author="Dalhen, Eric" w:date="2018-02-27T13:04:00Z">
                  <w:rPr>
                    <w:bCs/>
                    <w:sz w:val="16"/>
                    <w:szCs w:val="16"/>
                    <w:lang w:val="en-US"/>
                  </w:rPr>
                </w:rPrChange>
              </w:rPr>
            </w:pPr>
            <w:r w:rsidRPr="00EF16B5">
              <w:rPr>
                <w:rFonts w:eastAsia="STKaiti" w:cstheme="minorHAnsi"/>
                <w:bCs/>
                <w:iCs/>
                <w:color w:val="FFFFFF" w:themeColor="background1"/>
                <w:sz w:val="22"/>
                <w:szCs w:val="22"/>
                <w:lang w:eastAsia="zh-CN"/>
              </w:rPr>
              <w:t>修改</w:t>
            </w:r>
            <w:r w:rsidRPr="00EF16B5">
              <w:rPr>
                <w:rFonts w:eastAsia="STKaiti" w:cstheme="minorHAnsi"/>
                <w:bCs/>
                <w:iCs/>
                <w:color w:val="FFFFFF" w:themeColor="background1"/>
                <w:sz w:val="22"/>
                <w:szCs w:val="22"/>
              </w:rPr>
              <w:t>原</w:t>
            </w:r>
            <w:r w:rsidRPr="00EF16B5">
              <w:rPr>
                <w:rFonts w:eastAsia="STKaiti" w:cstheme="minorHAnsi"/>
                <w:bCs/>
                <w:iCs/>
                <w:color w:val="FFFFFF" w:themeColor="background1"/>
                <w:sz w:val="22"/>
                <w:szCs w:val="22"/>
                <w:lang w:eastAsia="zh-CN"/>
              </w:rPr>
              <w:t>因</w:t>
            </w:r>
          </w:p>
        </w:tc>
      </w:tr>
      <w:tr w:rsidR="00D13792" w:rsidRPr="001223AF" w14:paraId="4827AF6D" w14:textId="77777777" w:rsidTr="00D32C40">
        <w:trPr>
          <w:trHeight w:val="7951"/>
          <w:tblHeader/>
        </w:trPr>
        <w:tc>
          <w:tcPr>
            <w:tcW w:w="6799" w:type="dxa"/>
            <w:tcBorders>
              <w:bottom w:val="single" w:sz="4" w:space="0" w:color="auto"/>
            </w:tcBorders>
          </w:tcPr>
          <w:p w14:paraId="4827AF61" w14:textId="77777777" w:rsidR="00C42621" w:rsidRPr="001223AF" w:rsidDel="00F339D9" w:rsidRDefault="00C42621" w:rsidP="00C42621">
            <w:pPr>
              <w:rPr>
                <w:del w:id="524" w:author="Dalhen, Eric" w:date="2018-02-15T15:27:00Z"/>
                <w:rFonts w:cstheme="minorHAnsi"/>
                <w:sz w:val="20"/>
              </w:rPr>
            </w:pPr>
            <w:del w:id="525" w:author="Dalhen, Eric" w:date="2018-02-15T15:27:00Z">
              <w:r w:rsidRPr="001223AF" w:rsidDel="00F339D9">
                <w:rPr>
                  <w:rFonts w:cstheme="minorHAnsi"/>
                  <w:sz w:val="20"/>
                </w:rPr>
                <w:delText>2</w:delText>
              </w:r>
            </w:del>
            <w:ins w:id="526" w:author="Dalhen, Eric" w:date="2018-02-15T15:27:00Z">
              <w:r w:rsidRPr="001223AF">
                <w:rPr>
                  <w:rFonts w:cstheme="minorHAnsi"/>
                  <w:sz w:val="20"/>
                </w:rPr>
                <w:t>1</w:t>
              </w:r>
            </w:ins>
            <w:r w:rsidRPr="001223AF">
              <w:rPr>
                <w:rFonts w:cstheme="minorHAnsi"/>
                <w:sz w:val="20"/>
              </w:rPr>
              <w:t>.</w:t>
            </w:r>
            <w:r w:rsidRPr="001223AF">
              <w:rPr>
                <w:rFonts w:cstheme="minorHAnsi"/>
                <w:sz w:val="20"/>
              </w:rPr>
              <w:tab/>
              <w:t>The Secretary-General shall establish terms and conditions under which</w:t>
            </w:r>
            <w:del w:id="527" w:author="Dalhen, Eric" w:date="2018-02-15T15:27:00Z">
              <w:r w:rsidRPr="001223AF" w:rsidDel="00F339D9">
                <w:rPr>
                  <w:rFonts w:cstheme="minorHAnsi"/>
                  <w:sz w:val="20"/>
                </w:rPr>
                <w:delText>:</w:delText>
              </w:r>
            </w:del>
          </w:p>
          <w:p w14:paraId="4827AF62" w14:textId="77777777" w:rsidR="00806715" w:rsidRPr="001223AF" w:rsidRDefault="00F45DD5" w:rsidP="00806715">
            <w:pPr>
              <w:keepNext/>
              <w:keepLines/>
              <w:rPr>
                <w:rFonts w:cstheme="minorHAnsi"/>
                <w:sz w:val="20"/>
              </w:rPr>
            </w:pPr>
            <w:del w:id="528" w:author="Dalhen, Eric" w:date="2018-02-15T15:27:00Z">
              <w:r w:rsidRPr="001223AF" w:rsidDel="00F339D9">
                <w:rPr>
                  <w:rFonts w:cstheme="minorHAnsi"/>
                  <w:sz w:val="20"/>
                </w:rPr>
                <w:delText>a)</w:delText>
              </w:r>
              <w:r w:rsidRPr="001223AF" w:rsidDel="00F339D9">
                <w:rPr>
                  <w:rFonts w:cstheme="minorHAnsi"/>
                  <w:sz w:val="20"/>
                </w:rPr>
                <w:tab/>
              </w:r>
            </w:del>
            <w:ins w:id="529" w:author="Dalhen, Eric" w:date="2018-02-15T15:28:00Z">
              <w:r w:rsidRPr="001223AF">
                <w:rPr>
                  <w:rFonts w:cstheme="minorHAnsi"/>
                  <w:sz w:val="20"/>
                </w:rPr>
                <w:t xml:space="preserve"> </w:t>
              </w:r>
            </w:ins>
            <w:r w:rsidRPr="001223AF">
              <w:rPr>
                <w:rFonts w:cstheme="minorHAnsi"/>
                <w:sz w:val="20"/>
              </w:rPr>
              <w:t xml:space="preserve">an education grant shall be available to an elected official of other than Swiss nationality whose child is in full-time attendance at a school, university, or similar educational institution of a type which will, in the opinion of the Secretary-General, facilitate the </w:t>
            </w:r>
            <w:ins w:id="530" w:author="Dalhen, Eric" w:date="2018-02-15T15:28:00Z">
              <w:r w:rsidRPr="001223AF">
                <w:rPr>
                  <w:rFonts w:cstheme="minorHAnsi"/>
                  <w:sz w:val="20"/>
                </w:rPr>
                <w:t xml:space="preserve">dependent </w:t>
              </w:r>
            </w:ins>
            <w:r w:rsidRPr="001223AF">
              <w:rPr>
                <w:rFonts w:cstheme="minorHAnsi"/>
                <w:sz w:val="20"/>
              </w:rPr>
              <w:t xml:space="preserve">child’s resettlement in the elected official’s </w:t>
            </w:r>
            <w:r w:rsidR="00806715" w:rsidRPr="001223AF">
              <w:rPr>
                <w:rFonts w:cstheme="minorHAnsi"/>
                <w:sz w:val="20"/>
              </w:rPr>
              <w:t>home country</w:t>
            </w:r>
            <w:del w:id="531" w:author="Dalhen, Eric" w:date="2018-02-27T12:47:00Z">
              <w:r w:rsidR="00806715" w:rsidRPr="001223AF" w:rsidDel="00884968">
                <w:rPr>
                  <w:rFonts w:cstheme="minorHAnsi"/>
                  <w:sz w:val="20"/>
                </w:rPr>
                <w:delText>. Travel costs of the child may also be paid for an outward and return journey once in each scholastic year between the educational institution and the duty station, such travel shall be by a route approved by the Secretary-General, but not in an amount exceeding the cost of such a journey between the home country and the duty station</w:delText>
              </w:r>
            </w:del>
            <w:r w:rsidR="00806715" w:rsidRPr="001223AF">
              <w:rPr>
                <w:rFonts w:cstheme="minorHAnsi"/>
                <w:sz w:val="20"/>
              </w:rPr>
              <w:t>;</w:t>
            </w:r>
          </w:p>
          <w:p w14:paraId="4827AF63" w14:textId="77777777" w:rsidR="00806715" w:rsidRPr="001223AF" w:rsidRDefault="00806715">
            <w:pPr>
              <w:pStyle w:val="enumlev1"/>
              <w:ind w:left="0" w:firstLine="0"/>
              <w:rPr>
                <w:rFonts w:cstheme="minorHAnsi"/>
                <w:sz w:val="20"/>
              </w:rPr>
              <w:pPrChange w:id="532" w:author="Unknown" w:date="2018-02-15T15:38:00Z">
                <w:pPr>
                  <w:pStyle w:val="enumlev1"/>
                </w:pPr>
              </w:pPrChange>
            </w:pPr>
            <w:del w:id="533" w:author="Dalhen, Eric" w:date="2018-02-15T15:34:00Z">
              <w:r w:rsidRPr="001223AF" w:rsidDel="00EC3B22">
                <w:rPr>
                  <w:rFonts w:cstheme="minorHAnsi"/>
                  <w:sz w:val="20"/>
                </w:rPr>
                <w:delText>b)</w:delText>
              </w:r>
              <w:r w:rsidRPr="001223AF" w:rsidDel="00EC3B22">
                <w:rPr>
                  <w:rFonts w:cstheme="minorHAnsi"/>
                  <w:sz w:val="20"/>
                </w:rPr>
                <w:tab/>
                <w:delText>an education grant shall also be available to an elected official serving in a country whose language is different from his own and who is obliged to pay tuition for the teaching of the mother tongue to a dependent child attending a local school, in which the instruction is given in a language other than his own;</w:delText>
              </w:r>
            </w:del>
          </w:p>
          <w:p w14:paraId="4827AF64" w14:textId="77777777" w:rsidR="00806715" w:rsidRPr="001223AF" w:rsidRDefault="00806715">
            <w:pPr>
              <w:pStyle w:val="enumlev1"/>
              <w:spacing w:before="120" w:after="120"/>
              <w:ind w:left="0" w:firstLine="0"/>
              <w:rPr>
                <w:ins w:id="534" w:author="Dalhen, Eric" w:date="2018-02-27T12:46:00Z"/>
                <w:rFonts w:cstheme="minorHAnsi"/>
                <w:sz w:val="20"/>
              </w:rPr>
              <w:pPrChange w:id="535" w:author="Unknown" w:date="2018-02-15T15:37:00Z">
                <w:pPr>
                  <w:pStyle w:val="enumlev1"/>
                </w:pPr>
              </w:pPrChange>
            </w:pPr>
            <w:ins w:id="536" w:author="Dalhen, Eric" w:date="2018-02-15T15:36:00Z">
              <w:r w:rsidRPr="001223AF">
                <w:rPr>
                  <w:rFonts w:cstheme="minorHAnsi"/>
                  <w:sz w:val="20"/>
                </w:rPr>
                <w:t>2.</w:t>
              </w:r>
            </w:ins>
            <w:del w:id="537" w:author="Dalhen, Eric" w:date="2018-02-15T15:36:00Z">
              <w:r w:rsidRPr="001223AF" w:rsidDel="00EC3B22">
                <w:rPr>
                  <w:rFonts w:cstheme="minorHAnsi"/>
                  <w:sz w:val="20"/>
                </w:rPr>
                <w:delText>c)</w:delText>
              </w:r>
            </w:del>
            <w:r w:rsidRPr="001223AF">
              <w:rPr>
                <w:rFonts w:cstheme="minorHAnsi"/>
                <w:sz w:val="20"/>
              </w:rPr>
              <w:tab/>
            </w:r>
            <w:ins w:id="538" w:author="Dalhen, Eric" w:date="2018-02-15T15:36:00Z">
              <w:r w:rsidRPr="001223AF">
                <w:rPr>
                  <w:rFonts w:cstheme="minorHAnsi"/>
                  <w:sz w:val="20"/>
                </w:rPr>
                <w:t>The Secretary-General shall also establish terms and conditions under which</w:t>
              </w:r>
              <w:r w:rsidRPr="001223AF" w:rsidDel="00CC26D8">
                <w:rPr>
                  <w:rFonts w:cstheme="minorHAnsi"/>
                  <w:sz w:val="20"/>
                </w:rPr>
                <w:t xml:space="preserve"> </w:t>
              </w:r>
            </w:ins>
            <w:r w:rsidRPr="001223AF">
              <w:rPr>
                <w:rFonts w:cstheme="minorHAnsi"/>
                <w:sz w:val="20"/>
              </w:rPr>
              <w:t>a</w:t>
            </w:r>
            <w:del w:id="539" w:author="Dalhen, Eric" w:date="2018-02-15T15:37:00Z">
              <w:r w:rsidRPr="001223AF" w:rsidDel="00EC3B22">
                <w:rPr>
                  <w:rFonts w:cstheme="minorHAnsi"/>
                  <w:sz w:val="20"/>
                </w:rPr>
                <w:delText>n</w:delText>
              </w:r>
            </w:del>
            <w:r w:rsidRPr="001223AF">
              <w:rPr>
                <w:rFonts w:cstheme="minorHAnsi"/>
                <w:sz w:val="20"/>
              </w:rPr>
              <w:t xml:space="preserve"> </w:t>
            </w:r>
            <w:ins w:id="540" w:author="Dalhen, Eric" w:date="2018-02-15T15:37:00Z">
              <w:r w:rsidRPr="001223AF">
                <w:rPr>
                  <w:rFonts w:cstheme="minorHAnsi"/>
                  <w:sz w:val="20"/>
                </w:rPr>
                <w:t xml:space="preserve">special </w:t>
              </w:r>
            </w:ins>
            <w:r w:rsidRPr="001223AF">
              <w:rPr>
                <w:rFonts w:cstheme="minorHAnsi"/>
                <w:sz w:val="20"/>
              </w:rPr>
              <w:t>education grant</w:t>
            </w:r>
            <w:ins w:id="541" w:author="Dalhen, Eric" w:date="2018-02-15T15:37:00Z">
              <w:r w:rsidRPr="001223AF">
                <w:rPr>
                  <w:rFonts w:cstheme="minorHAnsi"/>
                  <w:sz w:val="20"/>
                </w:rPr>
                <w:t xml:space="preserve">, non-cumulative with the grant payable under paragraph 1 above, </w:t>
              </w:r>
            </w:ins>
            <w:r w:rsidRPr="001223AF">
              <w:rPr>
                <w:rFonts w:cstheme="minorHAnsi"/>
                <w:sz w:val="20"/>
              </w:rPr>
              <w:t xml:space="preserve"> shall be made available to an elected official whether expatriate or not, provided he</w:t>
            </w:r>
            <w:ins w:id="542" w:author="Dalhen, Eric" w:date="2018-02-15T15:37:00Z">
              <w:r w:rsidRPr="001223AF">
                <w:rPr>
                  <w:rFonts w:cstheme="minorHAnsi"/>
                  <w:sz w:val="20"/>
                </w:rPr>
                <w:t>/she</w:t>
              </w:r>
            </w:ins>
            <w:r w:rsidRPr="001223AF">
              <w:rPr>
                <w:rFonts w:cstheme="minorHAnsi"/>
                <w:sz w:val="20"/>
              </w:rPr>
              <w:t xml:space="preserve"> has an appointment for one year or longer or has completed one year of continuous service</w:t>
            </w:r>
            <w:del w:id="543" w:author="Dalhen, Eric" w:date="2018-02-15T15:37:00Z">
              <w:r w:rsidRPr="001223AF" w:rsidDel="00EC3B22">
                <w:rPr>
                  <w:rFonts w:cstheme="minorHAnsi"/>
                  <w:sz w:val="20"/>
                </w:rPr>
                <w:delText>, for a disabled child</w:delText>
              </w:r>
            </w:del>
            <w:ins w:id="544" w:author="Dalhen, Eric" w:date="2018-02-15T15:37:00Z">
              <w:r w:rsidRPr="001223AF">
                <w:rPr>
                  <w:rFonts w:cstheme="minorHAnsi"/>
                  <w:sz w:val="20"/>
                </w:rPr>
                <w:t xml:space="preserve"> </w:t>
              </w:r>
              <w:r w:rsidRPr="001223AF">
                <w:rPr>
                  <w:rFonts w:cstheme="minorHAnsi"/>
                  <w:sz w:val="20"/>
                  <w:lang w:val="en-US"/>
                </w:rPr>
                <w:t>whose</w:t>
              </w:r>
              <w:r w:rsidRPr="001223AF">
                <w:rPr>
                  <w:rFonts w:cstheme="minorHAnsi"/>
                  <w:sz w:val="20"/>
                </w:rPr>
                <w:t xml:space="preserve"> child is unable, for reasons of physical or mental disability, to attend a normal educational institution and therefore requires special teaching or training to prepare him or her for full integration into society or, while attending a normal educational institution, requires special teaching or training to assist him or her in overcoming the disability</w:t>
              </w:r>
            </w:ins>
            <w:r w:rsidRPr="001223AF">
              <w:rPr>
                <w:rFonts w:cstheme="minorHAnsi"/>
                <w:sz w:val="20"/>
              </w:rPr>
              <w:t>.</w:t>
            </w:r>
          </w:p>
          <w:p w14:paraId="4827AF65" w14:textId="77777777" w:rsidR="00D13792" w:rsidRPr="001223AF" w:rsidRDefault="00806715" w:rsidP="00806715">
            <w:pPr>
              <w:pStyle w:val="enumlev1"/>
              <w:spacing w:before="120" w:after="120"/>
              <w:ind w:left="0" w:firstLine="0"/>
              <w:rPr>
                <w:rFonts w:cstheme="minorHAnsi"/>
                <w:sz w:val="20"/>
                <w:lang w:eastAsia="zh-CN"/>
              </w:rPr>
            </w:pPr>
            <w:ins w:id="545" w:author="Dalhen, Eric" w:date="2018-02-27T12:46:00Z">
              <w:r w:rsidRPr="001223AF">
                <w:rPr>
                  <w:rFonts w:cstheme="minorHAnsi"/>
                  <w:sz w:val="20"/>
                </w:rPr>
                <w:t>3.</w:t>
              </w:r>
              <w:r w:rsidRPr="001223AF">
                <w:rPr>
                  <w:rFonts w:cstheme="minorHAnsi"/>
                  <w:sz w:val="20"/>
                </w:rPr>
                <w:tab/>
                <w:t xml:space="preserve">Travel costs of a child of </w:t>
              </w:r>
            </w:ins>
            <w:ins w:id="546" w:author="Dalhen, Eric" w:date="2018-02-27T12:47:00Z">
              <w:r w:rsidRPr="001223AF">
                <w:rPr>
                  <w:rFonts w:cstheme="minorHAnsi"/>
                  <w:sz w:val="20"/>
                </w:rPr>
                <w:t>an elected official</w:t>
              </w:r>
            </w:ins>
            <w:ins w:id="547" w:author="Dalhen, Eric" w:date="2018-02-27T12:46:00Z">
              <w:r w:rsidRPr="001223AF">
                <w:rPr>
                  <w:rFonts w:cstheme="minorHAnsi"/>
                  <w:sz w:val="20"/>
                </w:rPr>
                <w:t xml:space="preserve"> in receipt of assistance for boarding-related expenses may also be paid, once in every school year, for an outward and return journey between the child’s educational institution and the </w:t>
              </w:r>
            </w:ins>
            <w:ins w:id="548" w:author="Dalhen, Eric" w:date="2018-02-27T12:47:00Z">
              <w:r w:rsidRPr="001223AF">
                <w:rPr>
                  <w:rFonts w:cstheme="minorHAnsi"/>
                  <w:sz w:val="20"/>
                </w:rPr>
                <w:t>elected official</w:t>
              </w:r>
            </w:ins>
            <w:ins w:id="549" w:author="Dalhen, Eric" w:date="2018-02-27T12:46:00Z">
              <w:r w:rsidRPr="001223AF">
                <w:rPr>
                  <w:rFonts w:cstheme="minorHAnsi"/>
                  <w:sz w:val="20"/>
                </w:rPr>
                <w:t>’s duty station. Such travel shall be by a route approved by the Secretary-General.</w:t>
              </w:r>
            </w:ins>
          </w:p>
        </w:tc>
        <w:tc>
          <w:tcPr>
            <w:tcW w:w="5403" w:type="dxa"/>
            <w:tcBorders>
              <w:bottom w:val="single" w:sz="4" w:space="0" w:color="auto"/>
            </w:tcBorders>
          </w:tcPr>
          <w:p w14:paraId="4827AF66" w14:textId="77777777" w:rsidR="00F45DD5" w:rsidRPr="001223AF" w:rsidRDefault="00C42621" w:rsidP="008842DA">
            <w:pPr>
              <w:pStyle w:val="enumlev1"/>
              <w:keepNext/>
              <w:keepLines/>
              <w:tabs>
                <w:tab w:val="clear" w:pos="794"/>
                <w:tab w:val="left" w:pos="601"/>
              </w:tabs>
              <w:spacing w:before="120" w:after="120"/>
              <w:ind w:left="0" w:firstLine="0"/>
              <w:rPr>
                <w:rFonts w:cstheme="minorHAnsi"/>
                <w:sz w:val="20"/>
                <w:lang w:eastAsia="zh-CN"/>
              </w:rPr>
            </w:pPr>
            <w:r w:rsidRPr="001223AF">
              <w:rPr>
                <w:rFonts w:cstheme="minorHAnsi"/>
                <w:sz w:val="20"/>
                <w:lang w:eastAsia="zh-CN"/>
              </w:rPr>
              <w:t>1</w:t>
            </w:r>
            <w:r w:rsidRPr="001223AF">
              <w:rPr>
                <w:rFonts w:cstheme="minorHAnsi"/>
                <w:sz w:val="20"/>
                <w:lang w:eastAsia="zh-CN"/>
              </w:rPr>
              <w:tab/>
            </w:r>
            <w:r w:rsidRPr="001223AF">
              <w:rPr>
                <w:rFonts w:eastAsiaTheme="minorEastAsia" w:cstheme="minorHAnsi"/>
                <w:sz w:val="20"/>
                <w:lang w:eastAsia="zh-CN"/>
              </w:rPr>
              <w:t>秘书长须制定条款和条件，规定凡瑞士以外国籍的选任官员，当其受扶养子女就读于全日制中小学、大学或</w:t>
            </w:r>
            <w:r w:rsidR="00F45DD5" w:rsidRPr="001223AF">
              <w:rPr>
                <w:rFonts w:eastAsiaTheme="minorEastAsia" w:cstheme="minorHAnsi"/>
                <w:sz w:val="20"/>
                <w:lang w:eastAsia="zh-CN"/>
              </w:rPr>
              <w:t>类似的教育机构，且秘书长认为这种教育有利于该子女在选任官员本国重新安置时，可以领取教育补助金；</w:t>
            </w:r>
          </w:p>
          <w:p w14:paraId="4827AF67" w14:textId="77777777" w:rsidR="00806715" w:rsidRPr="001223AF" w:rsidRDefault="00806715" w:rsidP="008842DA">
            <w:pPr>
              <w:pStyle w:val="enumlev1"/>
              <w:keepNext/>
              <w:keepLines/>
              <w:tabs>
                <w:tab w:val="clear" w:pos="794"/>
                <w:tab w:val="left" w:pos="601"/>
              </w:tabs>
              <w:spacing w:before="120" w:after="120"/>
              <w:ind w:left="0" w:firstLine="0"/>
              <w:rPr>
                <w:rFonts w:cstheme="minorHAnsi"/>
                <w:sz w:val="20"/>
                <w:lang w:eastAsia="zh-CN"/>
              </w:rPr>
            </w:pPr>
            <w:r w:rsidRPr="001223AF">
              <w:rPr>
                <w:rFonts w:cstheme="minorHAnsi"/>
                <w:sz w:val="20"/>
                <w:lang w:eastAsia="zh-CN"/>
              </w:rPr>
              <w:t>2</w:t>
            </w:r>
            <w:r w:rsidRPr="001223AF">
              <w:rPr>
                <w:rFonts w:cstheme="minorHAnsi"/>
                <w:sz w:val="20"/>
                <w:lang w:eastAsia="zh-CN"/>
              </w:rPr>
              <w:tab/>
            </w:r>
            <w:r w:rsidRPr="001223AF">
              <w:rPr>
                <w:rFonts w:eastAsiaTheme="minorEastAsia" w:cstheme="minorHAnsi"/>
                <w:sz w:val="20"/>
                <w:lang w:eastAsia="zh-CN"/>
              </w:rPr>
              <w:t>秘书长还须制定条款和条件，规定选任官员如有子女因身体残疾或精神残疾不能在普通教育机构求学，需要接受特殊教学或训练才能充分适应社会生活，或在普通教育机构求学时，需要接受特殊教育或训练才能克服其残障，无论该官员是否外派国外，只要任期达到一年或更长，或已经完成连续一年的服务，即可领取特殊教育补助金，该补助金不得与上述第</w:t>
            </w:r>
            <w:r w:rsidRPr="001223AF">
              <w:rPr>
                <w:rFonts w:eastAsiaTheme="minorEastAsia" w:cstheme="minorHAnsi"/>
                <w:sz w:val="20"/>
                <w:lang w:eastAsia="zh-CN"/>
              </w:rPr>
              <w:t>1</w:t>
            </w:r>
            <w:r w:rsidRPr="001223AF">
              <w:rPr>
                <w:rFonts w:eastAsiaTheme="minorEastAsia" w:cstheme="minorHAnsi"/>
                <w:sz w:val="20"/>
                <w:lang w:eastAsia="zh-CN"/>
              </w:rPr>
              <w:t>段所述补助金累积。</w:t>
            </w:r>
          </w:p>
          <w:p w14:paraId="4827AF68" w14:textId="77777777" w:rsidR="00D13792" w:rsidRPr="001223AF" w:rsidRDefault="00806715" w:rsidP="008842DA">
            <w:pPr>
              <w:pStyle w:val="enumlev1"/>
              <w:keepNext/>
              <w:keepLines/>
              <w:tabs>
                <w:tab w:val="clear" w:pos="794"/>
                <w:tab w:val="left" w:pos="601"/>
              </w:tabs>
              <w:spacing w:before="120" w:after="120"/>
              <w:ind w:left="0" w:firstLine="0"/>
              <w:rPr>
                <w:rFonts w:cstheme="minorHAnsi"/>
                <w:sz w:val="20"/>
                <w:lang w:eastAsia="zh-CN"/>
              </w:rPr>
            </w:pPr>
            <w:r w:rsidRPr="001223AF">
              <w:rPr>
                <w:rFonts w:cstheme="minorHAnsi"/>
                <w:sz w:val="20"/>
                <w:lang w:eastAsia="zh-CN"/>
              </w:rPr>
              <w:t>3</w:t>
            </w:r>
            <w:r w:rsidRPr="001223AF">
              <w:rPr>
                <w:rFonts w:cstheme="minorHAnsi"/>
                <w:sz w:val="20"/>
                <w:lang w:eastAsia="zh-CN"/>
              </w:rPr>
              <w:tab/>
            </w:r>
            <w:r w:rsidRPr="001223AF">
              <w:rPr>
                <w:rFonts w:eastAsiaTheme="minorEastAsia" w:cstheme="minorHAnsi"/>
                <w:sz w:val="20"/>
                <w:lang w:eastAsia="zh-CN"/>
              </w:rPr>
              <w:t>亦可向领取补助寄宿相关费用的选任官员子女支付每学年往返一次、在该子女教育机构与选任官员工作地点之间的旅费。此类旅行的路线须经秘书长批准。</w:t>
            </w:r>
          </w:p>
        </w:tc>
        <w:tc>
          <w:tcPr>
            <w:tcW w:w="1787" w:type="dxa"/>
            <w:tcBorders>
              <w:bottom w:val="single" w:sz="4" w:space="0" w:color="auto"/>
            </w:tcBorders>
          </w:tcPr>
          <w:p w14:paraId="4827AF69" w14:textId="77777777" w:rsidR="00C42621" w:rsidRPr="001223AF" w:rsidRDefault="00C42621" w:rsidP="00D32C40">
            <w:pPr>
              <w:keepNext/>
              <w:keepLines/>
              <w:tabs>
                <w:tab w:val="clear" w:pos="794"/>
                <w:tab w:val="left" w:pos="459"/>
              </w:tabs>
              <w:snapToGrid w:val="0"/>
              <w:spacing w:before="0"/>
              <w:rPr>
                <w:rFonts w:eastAsia="STKaiti" w:cstheme="minorHAnsi"/>
                <w:iCs/>
                <w:sz w:val="20"/>
                <w:lang w:eastAsia="zh-CN"/>
              </w:rPr>
            </w:pPr>
            <w:r w:rsidRPr="001223AF">
              <w:rPr>
                <w:rFonts w:eastAsia="STKaiti" w:cstheme="minorHAnsi"/>
                <w:iCs/>
                <w:sz w:val="20"/>
                <w:lang w:eastAsia="zh-CN"/>
              </w:rPr>
              <w:t>修正以前的第二段以便：</w:t>
            </w:r>
          </w:p>
          <w:p w14:paraId="4827AF6A" w14:textId="77777777" w:rsidR="00806715" w:rsidRPr="001223AF" w:rsidRDefault="00F45DD5" w:rsidP="00D32C40">
            <w:pPr>
              <w:keepNext/>
              <w:keepLines/>
              <w:tabs>
                <w:tab w:val="clear" w:pos="794"/>
                <w:tab w:val="left" w:pos="459"/>
              </w:tabs>
              <w:snapToGrid w:val="0"/>
              <w:spacing w:before="0"/>
              <w:rPr>
                <w:rFonts w:eastAsiaTheme="minorEastAsia" w:cstheme="minorHAnsi"/>
                <w:i/>
                <w:sz w:val="20"/>
                <w:lang w:eastAsia="zh-CN"/>
              </w:rPr>
            </w:pPr>
            <w:r w:rsidRPr="001223AF">
              <w:rPr>
                <w:rFonts w:eastAsia="STKaiti" w:cstheme="minorHAnsi"/>
                <w:iCs/>
                <w:sz w:val="20"/>
                <w:lang w:eastAsia="zh-CN"/>
              </w:rPr>
              <w:t>1</w:t>
            </w:r>
            <w:r w:rsidRPr="001223AF">
              <w:rPr>
                <w:rFonts w:eastAsia="STKaiti" w:cstheme="minorHAnsi"/>
                <w:iCs/>
                <w:sz w:val="20"/>
                <w:lang w:val="en-US" w:eastAsia="zh-CN"/>
              </w:rPr>
              <w:t xml:space="preserve">. </w:t>
            </w:r>
            <w:r w:rsidRPr="001223AF">
              <w:rPr>
                <w:rFonts w:eastAsia="STKaiti" w:cstheme="minorHAnsi"/>
                <w:iCs/>
                <w:sz w:val="20"/>
                <w:lang w:val="en-US" w:eastAsia="zh-CN"/>
              </w:rPr>
              <w:t>反映出联合国大会的决定：限制在</w:t>
            </w:r>
            <w:r w:rsidRPr="001223AF">
              <w:rPr>
                <w:rFonts w:eastAsia="STKaiti" w:cstheme="minorHAnsi"/>
                <w:iCs/>
                <w:sz w:val="20"/>
                <w:lang w:eastAsia="zh-CN"/>
              </w:rPr>
              <w:t>外地工作地</w:t>
            </w:r>
            <w:r w:rsidR="00806715" w:rsidRPr="001223AF">
              <w:rPr>
                <w:rFonts w:eastAsia="STKaiti" w:cstheme="minorHAnsi"/>
                <w:iCs/>
                <w:sz w:val="20"/>
                <w:lang w:eastAsia="zh-CN"/>
              </w:rPr>
              <w:t>点服务的工作人员的受扶养子女在指定工作地点以外就读寄宿中小学的寄宿相关费用的补助，并且为秘书长制定例外批准在总部工作地点服务的工作人员为受扶养子女领取寄宿补助的条件提供灵活性</w:t>
            </w:r>
            <w:r w:rsidR="00806715" w:rsidRPr="001223AF">
              <w:rPr>
                <w:rFonts w:eastAsiaTheme="minorEastAsia" w:cstheme="minorHAnsi"/>
                <w:iCs/>
                <w:sz w:val="20"/>
                <w:lang w:eastAsia="zh-CN"/>
              </w:rPr>
              <w:t>；</w:t>
            </w:r>
          </w:p>
          <w:p w14:paraId="4827AF6B" w14:textId="77777777" w:rsidR="00806715" w:rsidRPr="001223AF" w:rsidRDefault="00806715" w:rsidP="00D32C40">
            <w:pPr>
              <w:tabs>
                <w:tab w:val="clear" w:pos="794"/>
                <w:tab w:val="left" w:pos="459"/>
              </w:tabs>
              <w:snapToGrid w:val="0"/>
              <w:spacing w:before="0"/>
              <w:rPr>
                <w:rFonts w:eastAsia="STKaiti" w:cstheme="minorHAnsi"/>
                <w:i/>
                <w:sz w:val="20"/>
                <w:lang w:eastAsia="zh-CN"/>
              </w:rPr>
            </w:pPr>
            <w:r w:rsidRPr="001223AF">
              <w:rPr>
                <w:rFonts w:eastAsia="STKaiti" w:cstheme="minorHAnsi"/>
                <w:iCs/>
                <w:sz w:val="20"/>
                <w:lang w:eastAsia="zh-CN"/>
              </w:rPr>
              <w:t xml:space="preserve">2. </w:t>
            </w:r>
            <w:r w:rsidRPr="001223AF">
              <w:rPr>
                <w:rFonts w:eastAsia="STKaiti" w:cstheme="minorHAnsi"/>
                <w:iCs/>
                <w:sz w:val="20"/>
                <w:lang w:eastAsia="zh-CN"/>
              </w:rPr>
              <w:t>澄清支付给残疾子女的特殊教育补助金；</w:t>
            </w:r>
          </w:p>
          <w:p w14:paraId="4827AF6C" w14:textId="77777777" w:rsidR="00D13792" w:rsidRPr="001223AF" w:rsidRDefault="00806715" w:rsidP="00D32C40">
            <w:pPr>
              <w:snapToGrid w:val="0"/>
              <w:spacing w:before="0"/>
              <w:rPr>
                <w:rFonts w:eastAsia="STKaiti" w:cstheme="minorHAnsi"/>
                <w:iCs/>
                <w:sz w:val="20"/>
                <w:lang w:val="en-US" w:eastAsia="zh-CN"/>
              </w:rPr>
            </w:pPr>
            <w:r w:rsidRPr="001223AF">
              <w:rPr>
                <w:rFonts w:eastAsia="STKaiti" w:cstheme="minorHAnsi"/>
                <w:iCs/>
                <w:sz w:val="20"/>
                <w:lang w:eastAsia="zh-CN"/>
              </w:rPr>
              <w:t xml:space="preserve">3. </w:t>
            </w:r>
            <w:r w:rsidRPr="001223AF">
              <w:rPr>
                <w:rFonts w:eastAsia="STKaiti" w:cstheme="minorHAnsi"/>
                <w:iCs/>
                <w:sz w:val="20"/>
                <w:lang w:eastAsia="zh-CN"/>
              </w:rPr>
              <w:t>反映出在支付教育补助金时，母语学费包括在可受理费用中的事实，因而可以在《人事细则》进一步详述。</w:t>
            </w:r>
          </w:p>
        </w:tc>
      </w:tr>
    </w:tbl>
    <w:p w14:paraId="4827AF6E" w14:textId="77777777" w:rsidR="00806715" w:rsidRDefault="00806715">
      <w:pPr>
        <w:rPr>
          <w:lang w:eastAsia="zh-CN"/>
        </w:rPr>
      </w:pPr>
    </w:p>
    <w:tbl>
      <w:tblPr>
        <w:tblStyle w:val="TableGrid"/>
        <w:tblW w:w="13989" w:type="dxa"/>
        <w:tblLayout w:type="fixed"/>
        <w:tblLook w:val="04A0" w:firstRow="1" w:lastRow="0" w:firstColumn="1" w:lastColumn="0" w:noHBand="0" w:noVBand="1"/>
        <w:tblPrChange w:id="550" w:author="Dalhen, Eric" w:date="2018-02-27T10:30:00Z">
          <w:tblPr>
            <w:tblStyle w:val="TableGrid"/>
            <w:tblW w:w="0" w:type="auto"/>
            <w:tblLook w:val="04A0" w:firstRow="1" w:lastRow="0" w:firstColumn="1" w:lastColumn="0" w:noHBand="0" w:noVBand="1"/>
          </w:tblPr>
        </w:tblPrChange>
      </w:tblPr>
      <w:tblGrid>
        <w:gridCol w:w="6799"/>
        <w:gridCol w:w="5416"/>
        <w:gridCol w:w="1774"/>
        <w:tblGridChange w:id="551">
          <w:tblGrid>
            <w:gridCol w:w="6799"/>
            <w:gridCol w:w="5416"/>
            <w:gridCol w:w="533"/>
            <w:gridCol w:w="645"/>
            <w:gridCol w:w="595"/>
            <w:gridCol w:w="1"/>
          </w:tblGrid>
        </w:tblGridChange>
      </w:tblGrid>
      <w:tr w:rsidR="00806715" w:rsidRPr="00EF16B5" w14:paraId="4827AF72" w14:textId="77777777" w:rsidTr="00510CF0">
        <w:trPr>
          <w:tblHeader/>
          <w:trPrChange w:id="552" w:author="Dalhen, Eric" w:date="2018-02-27T10:30:00Z">
            <w:trPr>
              <w:gridAfter w:val="0"/>
            </w:trPr>
          </w:trPrChange>
        </w:trPr>
        <w:tc>
          <w:tcPr>
            <w:tcW w:w="6799" w:type="dxa"/>
            <w:shd w:val="clear" w:color="auto" w:fill="365F91" w:themeFill="accent1" w:themeFillShade="BF"/>
            <w:tcPrChange w:id="553" w:author="Dalhen, Eric" w:date="2018-02-27T10:30:00Z">
              <w:tcPr>
                <w:tcW w:w="5665" w:type="dxa"/>
                <w:gridSpan w:val="3"/>
              </w:tcPr>
            </w:tcPrChange>
          </w:tcPr>
          <w:p w14:paraId="4827AF6F" w14:textId="77777777" w:rsidR="00806715" w:rsidRPr="00EF16B5" w:rsidRDefault="00806715" w:rsidP="00BE7F32">
            <w:pPr>
              <w:pStyle w:val="Tablehead"/>
              <w:rPr>
                <w:rFonts w:ascii="Calibri" w:hAnsi="Calibri" w:cs="Calibri"/>
                <w:sz w:val="22"/>
                <w:szCs w:val="22"/>
                <w:lang w:val="en-US" w:eastAsia="zh-CN"/>
              </w:rPr>
            </w:pPr>
            <w:r w:rsidRPr="00EF16B5">
              <w:rPr>
                <w:rFonts w:ascii="Calibri" w:hAnsi="Calibri" w:cs="Calibri"/>
                <w:color w:val="FFFFFF" w:themeColor="background1"/>
                <w:sz w:val="22"/>
                <w:szCs w:val="22"/>
                <w:lang w:eastAsia="zh-CN"/>
              </w:rPr>
              <w:lastRenderedPageBreak/>
              <w:t>以修改符标出的《规则》修正案</w:t>
            </w:r>
          </w:p>
        </w:tc>
        <w:tc>
          <w:tcPr>
            <w:tcW w:w="5416" w:type="dxa"/>
            <w:shd w:val="clear" w:color="auto" w:fill="365F91" w:themeFill="accent1" w:themeFillShade="BF"/>
            <w:tcPrChange w:id="554" w:author="Dalhen, Eric" w:date="2018-02-27T10:30:00Z">
              <w:tcPr>
                <w:tcW w:w="5670" w:type="dxa"/>
              </w:tcPr>
            </w:tcPrChange>
          </w:tcPr>
          <w:p w14:paraId="4827AF70" w14:textId="77777777" w:rsidR="00806715" w:rsidRPr="00EF16B5" w:rsidRDefault="00806715" w:rsidP="00BE7F32">
            <w:pPr>
              <w:pStyle w:val="Tablehead"/>
              <w:rPr>
                <w:rFonts w:ascii="Calibri" w:hAnsi="Calibri" w:cs="Calibri"/>
                <w:bCs/>
                <w:sz w:val="22"/>
                <w:szCs w:val="22"/>
                <w:lang w:val="en-US"/>
              </w:rPr>
            </w:pPr>
            <w:r w:rsidRPr="00EF16B5">
              <w:rPr>
                <w:rFonts w:ascii="Calibri" w:hAnsi="Calibri" w:cs="Calibri"/>
                <w:bCs/>
                <w:color w:val="FFFFFF" w:themeColor="background1"/>
                <w:sz w:val="22"/>
                <w:szCs w:val="22"/>
              </w:rPr>
              <w:t>《规则》修正案</w:t>
            </w:r>
          </w:p>
        </w:tc>
        <w:tc>
          <w:tcPr>
            <w:tcW w:w="1774" w:type="dxa"/>
            <w:shd w:val="clear" w:color="auto" w:fill="365F91" w:themeFill="accent1" w:themeFillShade="BF"/>
            <w:tcPrChange w:id="555" w:author="Dalhen, Eric" w:date="2018-02-27T10:30:00Z">
              <w:tcPr>
                <w:tcW w:w="2653" w:type="dxa"/>
              </w:tcPr>
            </w:tcPrChange>
          </w:tcPr>
          <w:p w14:paraId="4827AF71" w14:textId="77777777" w:rsidR="00806715" w:rsidRPr="00EF16B5" w:rsidRDefault="00806715" w:rsidP="00BE7F32">
            <w:pPr>
              <w:pStyle w:val="Tablehead"/>
              <w:rPr>
                <w:rFonts w:ascii="Calibri" w:eastAsia="STKaiti" w:hAnsi="Calibri" w:cs="Calibri"/>
                <w:bCs/>
                <w:iCs/>
                <w:sz w:val="22"/>
                <w:szCs w:val="22"/>
                <w:lang w:val="en-US"/>
                <w:rPrChange w:id="556" w:author="Dalhen, Eric" w:date="2018-02-27T13:04:00Z">
                  <w:rPr>
                    <w:bCs/>
                    <w:sz w:val="16"/>
                    <w:szCs w:val="16"/>
                    <w:lang w:val="en-US"/>
                  </w:rPr>
                </w:rPrChange>
              </w:rPr>
            </w:pPr>
            <w:r w:rsidRPr="00EF16B5">
              <w:rPr>
                <w:rFonts w:ascii="Calibri" w:eastAsia="STKaiti" w:hAnsi="Calibri" w:cs="Calibri"/>
                <w:bCs/>
                <w:iCs/>
                <w:color w:val="FFFFFF" w:themeColor="background1"/>
                <w:sz w:val="22"/>
                <w:szCs w:val="22"/>
                <w:lang w:eastAsia="zh-CN"/>
              </w:rPr>
              <w:t>修改</w:t>
            </w:r>
            <w:r w:rsidRPr="00EF16B5">
              <w:rPr>
                <w:rFonts w:ascii="Calibri" w:eastAsia="STKaiti" w:hAnsi="Calibri" w:cs="Calibri"/>
                <w:bCs/>
                <w:iCs/>
                <w:color w:val="FFFFFF" w:themeColor="background1"/>
                <w:sz w:val="22"/>
                <w:szCs w:val="22"/>
              </w:rPr>
              <w:t>原</w:t>
            </w:r>
            <w:r w:rsidRPr="00EF16B5">
              <w:rPr>
                <w:rFonts w:ascii="Calibri" w:eastAsia="STKaiti" w:hAnsi="Calibri" w:cs="Calibri"/>
                <w:bCs/>
                <w:iCs/>
                <w:color w:val="FFFFFF" w:themeColor="background1"/>
                <w:sz w:val="22"/>
                <w:szCs w:val="22"/>
                <w:lang w:eastAsia="zh-CN"/>
              </w:rPr>
              <w:t>因</w:t>
            </w:r>
          </w:p>
        </w:tc>
      </w:tr>
      <w:tr w:rsidR="001223AF" w:rsidRPr="001223AF" w14:paraId="4827AF82" w14:textId="77777777" w:rsidTr="00510CF0">
        <w:trPr>
          <w:tblHeader/>
        </w:trPr>
        <w:tc>
          <w:tcPr>
            <w:tcW w:w="6799" w:type="dxa"/>
          </w:tcPr>
          <w:p w14:paraId="4827AF73" w14:textId="77777777" w:rsidR="001223AF" w:rsidRPr="001223AF" w:rsidRDefault="001223AF" w:rsidP="001223AF">
            <w:pPr>
              <w:pStyle w:val="Heading2"/>
              <w:keepNext w:val="0"/>
              <w:keepLines w:val="0"/>
              <w:spacing w:before="40" w:after="40"/>
              <w:outlineLvl w:val="1"/>
              <w:rPr>
                <w:rFonts w:cs="Calibri"/>
                <w:sz w:val="20"/>
              </w:rPr>
            </w:pPr>
            <w:r w:rsidRPr="001223AF">
              <w:rPr>
                <w:rFonts w:cs="Calibri"/>
                <w:sz w:val="20"/>
              </w:rPr>
              <w:t>Regulation II.4</w:t>
            </w:r>
            <w:r w:rsidRPr="001223AF">
              <w:rPr>
                <w:rFonts w:cs="Calibri"/>
                <w:sz w:val="20"/>
              </w:rPr>
              <w:tab/>
              <w:t>Dependency allowances</w:t>
            </w:r>
          </w:p>
          <w:p w14:paraId="4827AF74" w14:textId="77777777" w:rsidR="001223AF" w:rsidRPr="001223AF" w:rsidDel="00F0133A" w:rsidRDefault="001223AF" w:rsidP="001223AF">
            <w:pPr>
              <w:pStyle w:val="Heading5"/>
              <w:keepNext w:val="0"/>
              <w:keepLines w:val="0"/>
              <w:tabs>
                <w:tab w:val="clear" w:pos="1021"/>
                <w:tab w:val="left" w:pos="769"/>
              </w:tabs>
              <w:spacing w:before="40" w:after="40"/>
              <w:outlineLvl w:val="4"/>
              <w:rPr>
                <w:del w:id="557" w:author="Dalhen, Eric" w:date="2018-02-27T08:32:00Z"/>
                <w:rFonts w:cs="Calibri"/>
                <w:sz w:val="20"/>
              </w:rPr>
            </w:pPr>
            <w:del w:id="558" w:author="Dalhen, Eric" w:date="2018-02-27T08:32:00Z">
              <w:r w:rsidRPr="001223AF" w:rsidDel="00F0133A">
                <w:rPr>
                  <w:rFonts w:cs="Calibri"/>
                  <w:sz w:val="20"/>
                </w:rPr>
                <w:delText>1.</w:delText>
              </w:r>
              <w:r w:rsidRPr="001223AF" w:rsidDel="00F0133A">
                <w:rPr>
                  <w:rFonts w:cs="Calibri"/>
                  <w:sz w:val="20"/>
                </w:rPr>
                <w:tab/>
                <w:delText>Definition of dependency</w:delText>
              </w:r>
            </w:del>
          </w:p>
          <w:p w14:paraId="4827AF75" w14:textId="77777777" w:rsidR="001223AF" w:rsidRPr="001223AF" w:rsidDel="00F0133A" w:rsidRDefault="001223AF" w:rsidP="001223AF">
            <w:pPr>
              <w:tabs>
                <w:tab w:val="clear" w:pos="794"/>
                <w:tab w:val="left" w:pos="769"/>
              </w:tabs>
              <w:spacing w:before="40" w:after="40"/>
              <w:rPr>
                <w:del w:id="559" w:author="Dalhen, Eric" w:date="2018-02-27T08:32:00Z"/>
                <w:rFonts w:ascii="Calibri" w:hAnsi="Calibri" w:cs="Calibri"/>
                <w:bCs/>
                <w:sz w:val="20"/>
              </w:rPr>
            </w:pPr>
            <w:del w:id="560" w:author="Dalhen, Eric" w:date="2018-02-27T08:32:00Z">
              <w:r w:rsidRPr="001223AF" w:rsidDel="00F0133A">
                <w:rPr>
                  <w:rFonts w:ascii="Calibri" w:hAnsi="Calibri" w:cs="Calibri"/>
                  <w:bCs/>
                  <w:sz w:val="20"/>
                </w:rPr>
                <w:tab/>
                <w:delText>For the purposes of these Staff Regulations and Staff Rules:</w:delText>
              </w:r>
            </w:del>
          </w:p>
          <w:p w14:paraId="4827AF76" w14:textId="77777777" w:rsidR="001223AF" w:rsidRPr="001223AF" w:rsidRDefault="001223AF" w:rsidP="001223AF">
            <w:pPr>
              <w:pStyle w:val="Heading5"/>
              <w:keepNext w:val="0"/>
              <w:keepLines w:val="0"/>
              <w:tabs>
                <w:tab w:val="clear" w:pos="1021"/>
                <w:tab w:val="left" w:pos="769"/>
              </w:tabs>
              <w:spacing w:before="40" w:after="40"/>
              <w:ind w:left="0" w:firstLine="0"/>
              <w:outlineLvl w:val="4"/>
              <w:rPr>
                <w:rFonts w:cs="Calibri"/>
                <w:b w:val="0"/>
                <w:bCs/>
                <w:sz w:val="20"/>
              </w:rPr>
            </w:pPr>
            <w:del w:id="561" w:author="Dalhen, Eric" w:date="2018-02-27T08:32:00Z">
              <w:r w:rsidRPr="001223AF" w:rsidDel="00F0133A">
                <w:rPr>
                  <w:rFonts w:cs="Calibri"/>
                  <w:b w:val="0"/>
                  <w:bCs/>
                  <w:sz w:val="20"/>
                </w:rPr>
                <w:delText>a)</w:delText>
              </w:r>
              <w:r w:rsidRPr="001223AF" w:rsidDel="00F0133A">
                <w:rPr>
                  <w:rFonts w:cs="Calibri"/>
                  <w:b w:val="0"/>
                  <w:bCs/>
                  <w:sz w:val="20"/>
                </w:rPr>
                <w:tab/>
                <w:delText>A "</w:delText>
              </w:r>
              <w:r w:rsidRPr="001223AF" w:rsidDel="00F0133A">
                <w:rPr>
                  <w:rFonts w:cs="Calibri"/>
                  <w:b w:val="0"/>
                  <w:bCs/>
                  <w:i/>
                  <w:sz w:val="20"/>
                </w:rPr>
                <w:delText>dependant spouse</w:delText>
              </w:r>
              <w:r w:rsidRPr="001223AF" w:rsidDel="00F0133A">
                <w:rPr>
                  <w:rFonts w:cs="Calibri"/>
                  <w:b w:val="0"/>
                  <w:bCs/>
                  <w:sz w:val="20"/>
                </w:rPr>
                <w:delText>" shall be a spouse whose occupational earnings, if any, do not exceed the lowest entry level of the United Nations General Service gross salary scales in force on 1 January of the year concerned for the duty station in the country of the spouse’s place of work, provided that, in the case of staff in the Professional category or above, the amount shall not at any duty station be less than the equivalent of the lowest entry level at the base of the salary system (G-2, step 1, for New York).</w:delText>
              </w:r>
            </w:del>
          </w:p>
        </w:tc>
        <w:tc>
          <w:tcPr>
            <w:tcW w:w="5416" w:type="dxa"/>
            <w:vMerge w:val="restart"/>
          </w:tcPr>
          <w:p w14:paraId="4827AF77" w14:textId="77777777" w:rsidR="001223AF" w:rsidRPr="001223AF" w:rsidRDefault="001223AF" w:rsidP="001223AF">
            <w:pPr>
              <w:pStyle w:val="Heading2"/>
              <w:spacing w:before="40" w:after="40"/>
              <w:outlineLvl w:val="1"/>
              <w:rPr>
                <w:rFonts w:eastAsiaTheme="minorEastAsia" w:cs="Calibri"/>
                <w:bCs/>
                <w:sz w:val="20"/>
                <w:lang w:val="en-US" w:eastAsia="zh-CN"/>
              </w:rPr>
            </w:pPr>
            <w:r w:rsidRPr="001223AF">
              <w:rPr>
                <w:rFonts w:cs="Calibri"/>
                <w:sz w:val="20"/>
                <w:lang w:eastAsia="zh-CN"/>
              </w:rPr>
              <w:t>规则</w:t>
            </w:r>
            <w:r>
              <w:rPr>
                <w:rFonts w:cs="Calibri" w:hint="eastAsia"/>
                <w:sz w:val="20"/>
                <w:lang w:eastAsia="zh-CN"/>
              </w:rPr>
              <w:t xml:space="preserve"> </w:t>
            </w:r>
            <w:r w:rsidRPr="001223AF">
              <w:rPr>
                <w:rFonts w:cs="Calibri"/>
                <w:sz w:val="20"/>
                <w:lang w:eastAsia="zh-CN"/>
              </w:rPr>
              <w:t>II.4</w:t>
            </w:r>
            <w:r w:rsidRPr="001223AF">
              <w:rPr>
                <w:rFonts w:cs="Calibri"/>
                <w:sz w:val="20"/>
                <w:lang w:eastAsia="zh-CN"/>
              </w:rPr>
              <w:tab/>
            </w:r>
            <w:r w:rsidRPr="001223AF">
              <w:rPr>
                <w:rFonts w:cs="Calibri"/>
                <w:sz w:val="20"/>
                <w:lang w:eastAsia="zh-CN"/>
              </w:rPr>
              <w:tab/>
            </w:r>
            <w:r w:rsidRPr="001223AF">
              <w:rPr>
                <w:rFonts w:eastAsiaTheme="minorEastAsia" w:cs="Calibri"/>
                <w:bCs/>
                <w:sz w:val="20"/>
                <w:lang w:val="en-US" w:eastAsia="zh-CN"/>
              </w:rPr>
              <w:t>扶养津贴</w:t>
            </w:r>
          </w:p>
          <w:p w14:paraId="4827AF78" w14:textId="77777777" w:rsidR="001223AF" w:rsidRPr="001223AF" w:rsidRDefault="001223AF" w:rsidP="001223AF">
            <w:pPr>
              <w:rPr>
                <w:rFonts w:ascii="Calibri" w:hAnsi="Calibri" w:cs="Calibri"/>
                <w:lang w:val="en-US" w:eastAsia="zh-CN"/>
              </w:rPr>
            </w:pPr>
          </w:p>
          <w:p w14:paraId="4827AF79" w14:textId="77777777" w:rsidR="001223AF" w:rsidRPr="001223AF" w:rsidRDefault="001223AF" w:rsidP="001223AF">
            <w:pPr>
              <w:tabs>
                <w:tab w:val="clear" w:pos="794"/>
                <w:tab w:val="left" w:pos="601"/>
              </w:tabs>
              <w:spacing w:before="40" w:after="40"/>
              <w:rPr>
                <w:rFonts w:ascii="Calibri" w:eastAsiaTheme="minorEastAsia" w:hAnsi="Calibri" w:cs="Calibri"/>
                <w:sz w:val="20"/>
                <w:lang w:eastAsia="zh-CN"/>
              </w:rPr>
            </w:pPr>
            <w:r w:rsidRPr="001223AF">
              <w:rPr>
                <w:rFonts w:ascii="Calibri" w:eastAsiaTheme="minorEastAsia" w:hAnsi="Calibri" w:cs="Calibri"/>
                <w:iCs/>
                <w:sz w:val="20"/>
                <w:lang w:eastAsia="zh-CN"/>
              </w:rPr>
              <w:t>1</w:t>
            </w:r>
            <w:r w:rsidR="009A7B93">
              <w:rPr>
                <w:rFonts w:ascii="Calibri" w:eastAsiaTheme="minorEastAsia" w:hAnsi="Calibri" w:cs="Calibri"/>
                <w:iCs/>
                <w:sz w:val="20"/>
                <w:lang w:eastAsia="zh-CN"/>
              </w:rPr>
              <w:t>.</w:t>
            </w:r>
            <w:r w:rsidRPr="001223AF">
              <w:rPr>
                <w:rFonts w:ascii="Calibri" w:eastAsiaTheme="minorEastAsia" w:hAnsi="Calibri" w:cs="Calibri"/>
                <w:iCs/>
                <w:sz w:val="20"/>
                <w:lang w:eastAsia="zh-CN"/>
              </w:rPr>
              <w:tab/>
            </w:r>
            <w:r w:rsidRPr="001223AF">
              <w:rPr>
                <w:rFonts w:ascii="Calibri" w:eastAsiaTheme="minorEastAsia" w:hAnsi="Calibri" w:cs="Calibri"/>
                <w:iCs/>
                <w:sz w:val="20"/>
                <w:lang w:eastAsia="zh-CN"/>
              </w:rPr>
              <w:t>选任官员有权</w:t>
            </w:r>
            <w:r w:rsidRPr="001223AF">
              <w:rPr>
                <w:rFonts w:ascii="Calibri" w:eastAsiaTheme="minorEastAsia" w:hAnsi="Calibri" w:cs="Calibri"/>
                <w:sz w:val="20"/>
                <w:lang w:eastAsia="zh-CN"/>
              </w:rPr>
              <w:t>为其一位受扶养配偶、一名受扶养子女、一名残疾子女和一名二级一位受扶养人领取不计养恤金的扶养津贴。</w:t>
            </w:r>
          </w:p>
          <w:p w14:paraId="4827AF7A" w14:textId="77777777" w:rsidR="001223AF" w:rsidRPr="001223AF" w:rsidRDefault="001223AF" w:rsidP="001223AF">
            <w:pPr>
              <w:tabs>
                <w:tab w:val="clear" w:pos="794"/>
                <w:tab w:val="clear" w:pos="1191"/>
                <w:tab w:val="left" w:pos="601"/>
                <w:tab w:val="left" w:pos="885"/>
              </w:tabs>
              <w:spacing w:before="40" w:after="40"/>
              <w:ind w:left="885" w:hanging="885"/>
              <w:rPr>
                <w:rFonts w:ascii="Calibri" w:eastAsiaTheme="minorEastAsia" w:hAnsi="Calibri" w:cs="Calibri"/>
                <w:sz w:val="20"/>
                <w:lang w:val="en-US" w:eastAsia="zh-CN"/>
              </w:rPr>
            </w:pPr>
            <w:r w:rsidRPr="001223AF">
              <w:rPr>
                <w:rFonts w:ascii="Calibri" w:eastAsiaTheme="minorEastAsia" w:hAnsi="Calibri" w:cs="Calibri"/>
                <w:sz w:val="20"/>
                <w:lang w:eastAsia="zh-CN"/>
              </w:rPr>
              <w:t>2</w:t>
            </w:r>
            <w:r w:rsidR="009A7B93">
              <w:rPr>
                <w:rFonts w:ascii="Calibri" w:eastAsiaTheme="minorEastAsia" w:hAnsi="Calibri" w:cs="Calibri"/>
                <w:sz w:val="20"/>
                <w:lang w:eastAsia="zh-CN"/>
              </w:rPr>
              <w:t>.</w:t>
            </w:r>
            <w:r w:rsidRPr="001223AF">
              <w:rPr>
                <w:rFonts w:ascii="Calibri" w:eastAsiaTheme="minorEastAsia" w:hAnsi="Calibri" w:cs="Calibri"/>
                <w:sz w:val="20"/>
                <w:lang w:eastAsia="zh-CN"/>
              </w:rPr>
              <w:tab/>
              <w:t>a)</w:t>
            </w:r>
            <w:r w:rsidRPr="001223AF">
              <w:rPr>
                <w:rFonts w:ascii="Calibri" w:eastAsiaTheme="minorEastAsia" w:hAnsi="Calibri" w:cs="Calibri"/>
                <w:sz w:val="20"/>
                <w:lang w:eastAsia="zh-CN"/>
              </w:rPr>
              <w:tab/>
            </w:r>
            <w:r w:rsidRPr="001223AF">
              <w:rPr>
                <w:rFonts w:ascii="Calibri" w:eastAsiaTheme="minorEastAsia" w:hAnsi="Calibri" w:cs="Calibri"/>
                <w:iCs/>
                <w:sz w:val="20"/>
                <w:lang w:eastAsia="zh-CN"/>
              </w:rPr>
              <w:t>选任官员有权</w:t>
            </w:r>
            <w:r w:rsidRPr="001223AF">
              <w:rPr>
                <w:rFonts w:ascii="Calibri" w:eastAsiaTheme="minorEastAsia" w:hAnsi="Calibri" w:cs="Calibri"/>
                <w:sz w:val="20"/>
                <w:lang w:eastAsia="zh-CN"/>
              </w:rPr>
              <w:t>为其受扶养配偶领取配偶津贴。但是，</w:t>
            </w:r>
            <w:r w:rsidRPr="001223AF">
              <w:rPr>
                <w:rFonts w:ascii="Calibri" w:eastAsiaTheme="minorEastAsia" w:hAnsi="Calibri" w:cs="Calibri"/>
                <w:sz w:val="20"/>
                <w:lang w:val="en-US" w:eastAsia="zh-CN"/>
              </w:rPr>
              <w:t>当夫妻已合法分居时，秘书长须逐案决定是否支付这笔津贴。</w:t>
            </w:r>
          </w:p>
          <w:p w14:paraId="4827AF7B" w14:textId="77777777" w:rsidR="001223AF" w:rsidRPr="001223AF" w:rsidRDefault="001223AF" w:rsidP="001223AF">
            <w:pPr>
              <w:tabs>
                <w:tab w:val="clear" w:pos="794"/>
                <w:tab w:val="clear" w:pos="1191"/>
                <w:tab w:val="left" w:pos="601"/>
                <w:tab w:val="left" w:pos="885"/>
              </w:tabs>
              <w:spacing w:before="40" w:after="40"/>
              <w:ind w:left="885" w:hanging="885"/>
              <w:rPr>
                <w:rFonts w:ascii="Calibri" w:eastAsiaTheme="minorEastAsia" w:hAnsi="Calibri" w:cs="Calibri"/>
                <w:sz w:val="20"/>
                <w:lang w:eastAsia="zh-CN"/>
              </w:rPr>
            </w:pPr>
            <w:r w:rsidRPr="001223AF">
              <w:rPr>
                <w:rFonts w:ascii="Calibri" w:eastAsiaTheme="minorEastAsia" w:hAnsi="Calibri" w:cs="Calibri"/>
                <w:sz w:val="20"/>
                <w:lang w:eastAsia="zh-CN"/>
              </w:rPr>
              <w:tab/>
              <w:t>b)</w:t>
            </w:r>
            <w:r w:rsidRPr="001223AF">
              <w:rPr>
                <w:rFonts w:ascii="Calibri" w:eastAsiaTheme="minorEastAsia" w:hAnsi="Calibri" w:cs="Calibri"/>
                <w:sz w:val="20"/>
                <w:lang w:eastAsia="zh-CN"/>
              </w:rPr>
              <w:tab/>
            </w:r>
            <w:r w:rsidRPr="001223AF">
              <w:rPr>
                <w:rFonts w:ascii="Calibri" w:eastAsiaTheme="minorEastAsia" w:hAnsi="Calibri" w:cs="Calibri"/>
                <w:sz w:val="20"/>
                <w:lang w:val="fr-FR" w:eastAsia="zh-CN"/>
              </w:rPr>
              <w:t>选任官员须为每名受扶养子女领取一笔子女津贴</w:t>
            </w:r>
            <w:r w:rsidRPr="001223AF">
              <w:rPr>
                <w:rFonts w:ascii="Calibri" w:eastAsiaTheme="minorEastAsia" w:hAnsi="Calibri" w:cs="Calibri"/>
                <w:sz w:val="20"/>
                <w:lang w:eastAsia="zh-CN"/>
              </w:rPr>
              <w:t>，但在选任官员领取单亲津贴的情况下，不支付第一个受扶养子女的津贴。</w:t>
            </w:r>
          </w:p>
          <w:p w14:paraId="4827AF7C" w14:textId="77777777" w:rsidR="001223AF" w:rsidRPr="001223AF" w:rsidRDefault="001223AF" w:rsidP="001223AF">
            <w:pPr>
              <w:tabs>
                <w:tab w:val="clear" w:pos="794"/>
                <w:tab w:val="clear" w:pos="1191"/>
                <w:tab w:val="left" w:pos="601"/>
                <w:tab w:val="left" w:pos="885"/>
              </w:tabs>
              <w:spacing w:before="40" w:after="40"/>
              <w:ind w:left="885" w:hanging="885"/>
              <w:rPr>
                <w:rFonts w:ascii="Calibri" w:eastAsiaTheme="minorEastAsia" w:hAnsi="Calibri" w:cs="Calibri"/>
                <w:sz w:val="20"/>
                <w:lang w:eastAsia="zh-CN"/>
              </w:rPr>
            </w:pPr>
            <w:r w:rsidRPr="001223AF">
              <w:rPr>
                <w:rFonts w:ascii="Calibri" w:eastAsiaTheme="minorEastAsia" w:hAnsi="Calibri" w:cs="Calibri"/>
                <w:sz w:val="20"/>
                <w:lang w:eastAsia="zh-CN"/>
              </w:rPr>
              <w:tab/>
              <w:t>c)</w:t>
            </w:r>
            <w:r w:rsidRPr="001223AF">
              <w:rPr>
                <w:rFonts w:ascii="Calibri" w:eastAsiaTheme="minorEastAsia" w:hAnsi="Calibri" w:cs="Calibri"/>
                <w:sz w:val="20"/>
                <w:lang w:eastAsia="zh-CN"/>
              </w:rPr>
              <w:tab/>
            </w:r>
            <w:r w:rsidRPr="001223AF">
              <w:rPr>
                <w:rFonts w:ascii="Calibri" w:eastAsiaTheme="minorEastAsia" w:hAnsi="Calibri" w:cs="Calibri"/>
                <w:sz w:val="20"/>
                <w:lang w:val="fr-FR" w:eastAsia="zh-CN"/>
              </w:rPr>
              <w:t>单亲选任官员不再为第一个受扶养子女领取受扶养子女津贴</w:t>
            </w:r>
            <w:r w:rsidRPr="001223AF">
              <w:rPr>
                <w:rFonts w:ascii="Calibri" w:eastAsiaTheme="minorEastAsia" w:hAnsi="Calibri" w:cs="Calibri"/>
                <w:sz w:val="20"/>
                <w:lang w:eastAsia="zh-CN"/>
              </w:rPr>
              <w:t>，而是领取单亲津贴。</w:t>
            </w:r>
          </w:p>
          <w:p w14:paraId="4827AF7D" w14:textId="77777777" w:rsidR="001223AF" w:rsidRPr="001223AF" w:rsidRDefault="001223AF" w:rsidP="001223AF">
            <w:pPr>
              <w:tabs>
                <w:tab w:val="clear" w:pos="794"/>
                <w:tab w:val="clear" w:pos="1191"/>
                <w:tab w:val="left" w:pos="601"/>
                <w:tab w:val="left" w:pos="885"/>
              </w:tabs>
              <w:spacing w:before="40" w:after="40"/>
              <w:ind w:left="885" w:hanging="885"/>
              <w:rPr>
                <w:rFonts w:ascii="Calibri" w:eastAsiaTheme="minorEastAsia" w:hAnsi="Calibri" w:cs="Calibri"/>
                <w:sz w:val="20"/>
                <w:lang w:eastAsia="zh-CN"/>
              </w:rPr>
            </w:pPr>
            <w:r w:rsidRPr="001223AF">
              <w:rPr>
                <w:rFonts w:ascii="Calibri" w:eastAsiaTheme="minorEastAsia" w:hAnsi="Calibri" w:cs="Calibri"/>
                <w:sz w:val="20"/>
                <w:lang w:eastAsia="zh-CN"/>
              </w:rPr>
              <w:tab/>
              <w:t>d)</w:t>
            </w:r>
            <w:r w:rsidRPr="001223AF">
              <w:rPr>
                <w:rFonts w:ascii="Calibri" w:eastAsiaTheme="minorEastAsia" w:hAnsi="Calibri" w:cs="Calibri"/>
                <w:sz w:val="20"/>
                <w:lang w:eastAsia="zh-CN"/>
              </w:rPr>
              <w:tab/>
            </w:r>
            <w:r w:rsidRPr="001223AF">
              <w:rPr>
                <w:rFonts w:ascii="Calibri" w:eastAsiaTheme="minorEastAsia" w:hAnsi="Calibri" w:cs="Calibri"/>
                <w:sz w:val="20"/>
                <w:lang w:val="fr-FR" w:eastAsia="zh-CN"/>
              </w:rPr>
              <w:t>选任官员为每名残疾子女领取一笔特殊子女津贴</w:t>
            </w:r>
            <w:r w:rsidRPr="001223AF">
              <w:rPr>
                <w:rFonts w:ascii="Calibri" w:eastAsiaTheme="minorEastAsia" w:hAnsi="Calibri" w:cs="Calibri"/>
                <w:sz w:val="20"/>
                <w:lang w:eastAsia="zh-CN"/>
              </w:rPr>
              <w:t>。然而，如果选任官员有权为残疾子女领取单亲津贴，</w:t>
            </w:r>
            <w:r w:rsidRPr="001223AF">
              <w:rPr>
                <w:rFonts w:ascii="Calibri" w:eastAsiaTheme="minorEastAsia" w:hAnsi="Calibri" w:cs="Calibri"/>
                <w:sz w:val="20"/>
                <w:lang w:val="fr-FR" w:eastAsia="zh-CN"/>
              </w:rPr>
              <w:t>则该津贴须同于上述</w:t>
            </w:r>
            <w:r w:rsidRPr="001223AF">
              <w:rPr>
                <w:rFonts w:ascii="Calibri" w:eastAsiaTheme="minorEastAsia" w:hAnsi="Calibri" w:cs="Calibri"/>
                <w:sz w:val="20"/>
                <w:lang w:eastAsia="zh-CN"/>
              </w:rPr>
              <w:t>1 b)</w:t>
            </w:r>
            <w:r w:rsidRPr="001223AF">
              <w:rPr>
                <w:rFonts w:ascii="Calibri" w:eastAsiaTheme="minorEastAsia" w:hAnsi="Calibri" w:cs="Calibri"/>
                <w:sz w:val="20"/>
                <w:lang w:eastAsia="zh-CN"/>
              </w:rPr>
              <w:t>段提及的子女津贴。</w:t>
            </w:r>
          </w:p>
          <w:p w14:paraId="4827AF7E" w14:textId="77777777" w:rsidR="001223AF" w:rsidRPr="001223AF" w:rsidRDefault="001223AF" w:rsidP="001223AF">
            <w:pPr>
              <w:tabs>
                <w:tab w:val="clear" w:pos="794"/>
                <w:tab w:val="left" w:pos="601"/>
                <w:tab w:val="left" w:pos="891"/>
              </w:tabs>
              <w:spacing w:before="40" w:after="40"/>
              <w:ind w:left="885" w:hanging="885"/>
              <w:rPr>
                <w:rFonts w:ascii="Calibri" w:hAnsi="Calibri" w:cs="Calibri"/>
                <w:sz w:val="20"/>
                <w:lang w:eastAsia="zh-CN"/>
              </w:rPr>
            </w:pPr>
            <w:r w:rsidRPr="001223AF">
              <w:rPr>
                <w:rFonts w:ascii="Calibri" w:eastAsiaTheme="minorEastAsia" w:hAnsi="Calibri" w:cs="Calibri"/>
                <w:sz w:val="20"/>
                <w:lang w:eastAsia="zh-CN"/>
              </w:rPr>
              <w:tab/>
              <w:t>e)</w:t>
            </w:r>
            <w:r w:rsidRPr="001223AF">
              <w:rPr>
                <w:rFonts w:ascii="Calibri" w:eastAsiaTheme="minorEastAsia" w:hAnsi="Calibri" w:cs="Calibri"/>
                <w:sz w:val="20"/>
                <w:lang w:eastAsia="zh-CN"/>
              </w:rPr>
              <w:tab/>
            </w:r>
            <w:r w:rsidRPr="001223AF">
              <w:rPr>
                <w:rFonts w:ascii="Calibri" w:eastAsiaTheme="minorEastAsia" w:hAnsi="Calibri" w:cs="Calibri"/>
                <w:sz w:val="20"/>
                <w:lang w:eastAsia="zh-CN"/>
              </w:rPr>
              <w:t>如果选任官员没有受扶养配偶，则为或是一位受扶养父母、或是一位</w:t>
            </w:r>
            <w:r w:rsidRPr="001223AF">
              <w:rPr>
                <w:rFonts w:ascii="Calibri" w:eastAsiaTheme="minorEastAsia" w:hAnsi="Calibri" w:cs="Calibri"/>
                <w:sz w:val="20"/>
                <w:lang w:val="fr-FR" w:eastAsia="zh-CN"/>
              </w:rPr>
              <w:t>兄弟或一位姐妹领取一份二级扶养津贴</w:t>
            </w:r>
            <w:r w:rsidRPr="001223AF">
              <w:rPr>
                <w:rFonts w:ascii="Calibri" w:eastAsiaTheme="minorEastAsia" w:hAnsi="Calibri" w:cs="Calibri"/>
                <w:sz w:val="20"/>
                <w:lang w:eastAsia="zh-CN"/>
              </w:rPr>
              <w:t>。</w:t>
            </w:r>
          </w:p>
        </w:tc>
        <w:tc>
          <w:tcPr>
            <w:tcW w:w="1774" w:type="dxa"/>
            <w:vMerge w:val="restart"/>
          </w:tcPr>
          <w:p w14:paraId="4827AF7F" w14:textId="77777777" w:rsidR="001223AF" w:rsidRPr="001223AF" w:rsidRDefault="001223AF" w:rsidP="00C42621">
            <w:pPr>
              <w:spacing w:before="0" w:after="40"/>
              <w:rPr>
                <w:rFonts w:ascii="Calibri" w:eastAsia="STKaiti" w:hAnsi="Calibri" w:cs="Calibri"/>
                <w:i/>
                <w:sz w:val="20"/>
                <w:lang w:eastAsia="zh-CN"/>
              </w:rPr>
            </w:pPr>
            <w:r w:rsidRPr="001223AF">
              <w:rPr>
                <w:rFonts w:ascii="Calibri" w:eastAsia="STKaiti" w:hAnsi="Calibri" w:cs="Calibri"/>
                <w:iCs/>
                <w:sz w:val="20"/>
                <w:lang w:eastAsia="zh-CN"/>
              </w:rPr>
              <w:t>予以修正以便引入单亲津贴的概念，同时考虑到引入新的统一薪金表；为保持《人事规则和人事细则》的简洁和文体同时顾及一致性，将以前的第一段</w:t>
            </w:r>
            <w:r w:rsidRPr="001223AF">
              <w:rPr>
                <w:rFonts w:ascii="Calibri" w:eastAsia="STKaiti" w:hAnsi="Calibri" w:cs="Calibri"/>
                <w:iCs/>
                <w:sz w:val="20"/>
                <w:lang w:eastAsia="zh-CN"/>
              </w:rPr>
              <w:t>“</w:t>
            </w:r>
            <w:r w:rsidRPr="001223AF">
              <w:rPr>
                <w:rFonts w:ascii="Calibri" w:eastAsia="STKaiti" w:hAnsi="Calibri" w:cs="Calibri"/>
                <w:iCs/>
                <w:sz w:val="20"/>
                <w:lang w:eastAsia="zh-CN"/>
              </w:rPr>
              <w:t>定义</w:t>
            </w:r>
            <w:r w:rsidRPr="001223AF">
              <w:rPr>
                <w:rFonts w:ascii="Calibri" w:eastAsia="STKaiti" w:hAnsi="Calibri" w:cs="Calibri"/>
                <w:iCs/>
                <w:sz w:val="20"/>
                <w:lang w:eastAsia="zh-CN"/>
              </w:rPr>
              <w:t>”</w:t>
            </w:r>
            <w:r w:rsidRPr="001223AF">
              <w:rPr>
                <w:rFonts w:ascii="Calibri" w:eastAsia="STKaiti" w:hAnsi="Calibri" w:cs="Calibri"/>
                <w:iCs/>
                <w:sz w:val="20"/>
                <w:lang w:eastAsia="zh-CN"/>
              </w:rPr>
              <w:t>从《人事规则》移至《人事细则》；</w:t>
            </w:r>
          </w:p>
          <w:p w14:paraId="4827AF80" w14:textId="77777777" w:rsidR="001223AF" w:rsidRPr="001223AF" w:rsidRDefault="001223AF" w:rsidP="00C42621">
            <w:pPr>
              <w:spacing w:before="0" w:after="40"/>
              <w:rPr>
                <w:rFonts w:ascii="Calibri" w:eastAsia="STKaiti" w:hAnsi="Calibri" w:cs="Calibri"/>
                <w:iCs/>
                <w:sz w:val="20"/>
                <w:lang w:eastAsia="zh-CN"/>
              </w:rPr>
            </w:pPr>
            <w:r w:rsidRPr="001223AF">
              <w:rPr>
                <w:rFonts w:ascii="Calibri" w:eastAsia="STKaiti" w:hAnsi="Calibri" w:cs="Calibri"/>
                <w:iCs/>
                <w:sz w:val="20"/>
                <w:lang w:eastAsia="zh-CN"/>
              </w:rPr>
              <w:t>增加了新的</w:t>
            </w:r>
            <w:r w:rsidRPr="001223AF">
              <w:rPr>
                <w:rFonts w:ascii="Calibri" w:eastAsia="STKaiti" w:hAnsi="Calibri" w:cs="Calibri"/>
                <w:iCs/>
                <w:sz w:val="20"/>
                <w:lang w:eastAsia="zh-CN"/>
              </w:rPr>
              <w:t>2 a)</w:t>
            </w:r>
            <w:r w:rsidRPr="001223AF">
              <w:rPr>
                <w:rFonts w:ascii="Calibri" w:eastAsia="STKaiti" w:hAnsi="Calibri" w:cs="Calibri"/>
                <w:iCs/>
                <w:sz w:val="20"/>
                <w:lang w:eastAsia="zh-CN"/>
              </w:rPr>
              <w:t>至</w:t>
            </w:r>
            <w:r w:rsidRPr="001223AF">
              <w:rPr>
                <w:rFonts w:ascii="Calibri" w:eastAsia="STKaiti" w:hAnsi="Calibri" w:cs="Calibri"/>
                <w:iCs/>
                <w:sz w:val="20"/>
                <w:lang w:eastAsia="zh-CN"/>
              </w:rPr>
              <w:t>2 d)</w:t>
            </w:r>
            <w:r w:rsidRPr="001223AF">
              <w:rPr>
                <w:rFonts w:ascii="Calibri" w:eastAsia="STKaiti" w:hAnsi="Calibri" w:cs="Calibri"/>
                <w:iCs/>
                <w:sz w:val="20"/>
                <w:lang w:eastAsia="zh-CN"/>
              </w:rPr>
              <w:t>段以便从指定和相互协调的角度澄清扶养津贴框架；</w:t>
            </w:r>
          </w:p>
          <w:p w14:paraId="4827AF81" w14:textId="77777777" w:rsidR="001223AF" w:rsidRPr="001223AF" w:rsidRDefault="001223AF" w:rsidP="00C42621">
            <w:pPr>
              <w:spacing w:before="0" w:after="40"/>
              <w:rPr>
                <w:rFonts w:ascii="Calibri" w:eastAsia="STKaiti" w:hAnsi="Calibri" w:cs="Calibri"/>
                <w:iCs/>
                <w:sz w:val="20"/>
                <w:lang w:eastAsia="zh-CN"/>
              </w:rPr>
            </w:pPr>
            <w:r w:rsidRPr="001223AF">
              <w:rPr>
                <w:rFonts w:ascii="Calibri" w:eastAsia="STKaiti" w:hAnsi="Calibri" w:cs="Calibri"/>
                <w:iCs/>
                <w:sz w:val="20"/>
                <w:lang w:eastAsia="zh-CN"/>
              </w:rPr>
              <w:t>以前的</w:t>
            </w:r>
            <w:r w:rsidRPr="001223AF">
              <w:rPr>
                <w:rFonts w:ascii="Calibri" w:eastAsia="STKaiti" w:hAnsi="Calibri" w:cs="Calibri"/>
                <w:iCs/>
                <w:sz w:val="20"/>
                <w:lang w:eastAsia="zh-CN"/>
              </w:rPr>
              <w:t>1 d)</w:t>
            </w:r>
            <w:r w:rsidRPr="001223AF">
              <w:rPr>
                <w:rFonts w:ascii="Calibri" w:eastAsia="STKaiti" w:hAnsi="Calibri" w:cs="Calibri"/>
                <w:iCs/>
                <w:sz w:val="20"/>
                <w:lang w:eastAsia="zh-CN"/>
              </w:rPr>
              <w:t>段落由新的</w:t>
            </w:r>
            <w:r w:rsidRPr="001223AF">
              <w:rPr>
                <w:rFonts w:ascii="Calibri" w:eastAsia="STKaiti" w:hAnsi="Calibri" w:cs="Calibri"/>
                <w:iCs/>
                <w:sz w:val="20"/>
                <w:lang w:eastAsia="zh-CN"/>
              </w:rPr>
              <w:t>2 e)</w:t>
            </w:r>
            <w:r w:rsidRPr="001223AF">
              <w:rPr>
                <w:rFonts w:ascii="Calibri" w:eastAsia="STKaiti" w:hAnsi="Calibri" w:cs="Calibri"/>
                <w:iCs/>
                <w:sz w:val="20"/>
                <w:lang w:eastAsia="zh-CN"/>
              </w:rPr>
              <w:t>段落替代，以前的</w:t>
            </w:r>
            <w:r w:rsidRPr="001223AF">
              <w:rPr>
                <w:rFonts w:ascii="Calibri" w:eastAsia="STKaiti" w:hAnsi="Calibri" w:cs="Calibri"/>
                <w:iCs/>
                <w:sz w:val="20"/>
                <w:lang w:eastAsia="zh-CN"/>
              </w:rPr>
              <w:t>1 e)</w:t>
            </w:r>
            <w:r w:rsidRPr="001223AF">
              <w:rPr>
                <w:rFonts w:ascii="Calibri" w:eastAsia="STKaiti" w:hAnsi="Calibri" w:cs="Calibri"/>
                <w:iCs/>
                <w:sz w:val="20"/>
                <w:lang w:eastAsia="zh-CN"/>
              </w:rPr>
              <w:t>段落由新的</w:t>
            </w:r>
            <w:r w:rsidRPr="001223AF">
              <w:rPr>
                <w:rFonts w:ascii="Calibri" w:eastAsia="STKaiti" w:hAnsi="Calibri" w:cs="Calibri"/>
                <w:iCs/>
                <w:sz w:val="20"/>
                <w:lang w:eastAsia="zh-CN"/>
              </w:rPr>
              <w:t>2 f)</w:t>
            </w:r>
            <w:r w:rsidRPr="001223AF">
              <w:rPr>
                <w:rFonts w:ascii="Calibri" w:eastAsia="STKaiti" w:hAnsi="Calibri" w:cs="Calibri"/>
                <w:iCs/>
                <w:sz w:val="20"/>
                <w:lang w:eastAsia="zh-CN"/>
              </w:rPr>
              <w:t>段落替代。</w:t>
            </w:r>
          </w:p>
        </w:tc>
      </w:tr>
      <w:tr w:rsidR="001223AF" w:rsidRPr="001223AF" w14:paraId="4827AF8B" w14:textId="77777777" w:rsidTr="008877DC">
        <w:trPr>
          <w:trHeight w:val="5531"/>
          <w:tblHeader/>
        </w:trPr>
        <w:tc>
          <w:tcPr>
            <w:tcW w:w="6799" w:type="dxa"/>
          </w:tcPr>
          <w:p w14:paraId="4827AF83" w14:textId="77777777" w:rsidR="001223AF" w:rsidRPr="001223AF" w:rsidRDefault="001223AF">
            <w:pPr>
              <w:tabs>
                <w:tab w:val="clear" w:pos="794"/>
                <w:tab w:val="left" w:pos="769"/>
              </w:tabs>
              <w:spacing w:before="40" w:after="40"/>
              <w:rPr>
                <w:ins w:id="562" w:author="Dalhen, Eric" w:date="2018-02-27T08:19:00Z"/>
                <w:sz w:val="20"/>
              </w:rPr>
              <w:pPrChange w:id="563" w:author="Unknown" w:date="2018-02-27T08:19:00Z">
                <w:pPr>
                  <w:pStyle w:val="Default"/>
                </w:pPr>
              </w:pPrChange>
            </w:pPr>
            <w:ins w:id="564" w:author="Dalhen, Eric" w:date="2018-02-27T08:18:00Z">
              <w:r w:rsidRPr="001223AF">
                <w:rPr>
                  <w:rFonts w:ascii="Calibri" w:hAnsi="Calibri" w:cs="Calibri"/>
                  <w:sz w:val="20"/>
                </w:rPr>
                <w:t>1.</w:t>
              </w:r>
              <w:r w:rsidRPr="001223AF">
                <w:rPr>
                  <w:rFonts w:ascii="Calibri" w:hAnsi="Calibri" w:cs="Calibri"/>
                  <w:sz w:val="20"/>
                </w:rPr>
                <w:tab/>
              </w:r>
            </w:ins>
            <w:ins w:id="565" w:author="Dalhen, Eric" w:date="2018-02-27T08:19:00Z">
              <w:r w:rsidRPr="001223AF">
                <w:rPr>
                  <w:rFonts w:ascii="Calibri" w:hAnsi="Calibri" w:cs="Calibri"/>
                  <w:sz w:val="20"/>
                  <w:rPrChange w:id="566" w:author="Dalhen, Eric" w:date="2018-02-27T08:19:00Z">
                    <w:rPr>
                      <w:rFonts w:ascii="Times New Roman" w:eastAsia="Times New Roman" w:hAnsi="Times New Roman"/>
                      <w:lang w:eastAsia="zh-CN"/>
                    </w:rPr>
                  </w:rPrChange>
                </w:rPr>
                <w:t xml:space="preserve">Elected officials </w:t>
              </w:r>
              <w:r w:rsidRPr="001223AF">
                <w:rPr>
                  <w:rFonts w:ascii="Calibri" w:hAnsi="Calibri" w:cs="Calibri"/>
                  <w:color w:val="0000FF"/>
                  <w:sz w:val="20"/>
                  <w:rPrChange w:id="567" w:author="Dalhen, Eric" w:date="2018-02-27T08:19:00Z">
                    <w:rPr>
                      <w:rFonts w:ascii="Times New Roman" w:eastAsia="Times New Roman" w:hAnsi="Times New Roman"/>
                      <w:color w:val="0000FF"/>
                      <w:sz w:val="20"/>
                      <w:lang w:eastAsia="zh-CN"/>
                    </w:rPr>
                  </w:rPrChange>
                </w:rPr>
                <w:t xml:space="preserve">shall be entitled to receive non-pensionable dependency allowances for a dependent spouse, for a dependent child, for a disabled child and for a secondary dependant. </w:t>
              </w:r>
            </w:ins>
          </w:p>
          <w:p w14:paraId="4827AF84" w14:textId="77777777" w:rsidR="001223AF" w:rsidRPr="001223AF" w:rsidRDefault="001223AF">
            <w:pPr>
              <w:tabs>
                <w:tab w:val="clear" w:pos="794"/>
                <w:tab w:val="left" w:pos="587"/>
              </w:tabs>
              <w:spacing w:before="40" w:after="40"/>
              <w:ind w:left="879" w:hanging="850"/>
              <w:rPr>
                <w:ins w:id="568" w:author="Dalhen, Eric" w:date="2018-02-27T08:21:00Z"/>
                <w:rFonts w:ascii="Calibri" w:hAnsi="Calibri" w:cs="Calibri"/>
                <w:sz w:val="20"/>
              </w:rPr>
              <w:pPrChange w:id="569" w:author="Unknown" w:date="2018-02-27T08:27:00Z">
                <w:pPr/>
              </w:pPrChange>
            </w:pPr>
            <w:ins w:id="570" w:author="Dalhen, Eric" w:date="2018-02-27T08:20:00Z">
              <w:r w:rsidRPr="001223AF">
                <w:rPr>
                  <w:rFonts w:ascii="Calibri" w:hAnsi="Calibri" w:cs="Calibri"/>
                  <w:sz w:val="20"/>
                </w:rPr>
                <w:t>2.</w:t>
              </w:r>
              <w:r w:rsidRPr="001223AF">
                <w:rPr>
                  <w:rFonts w:ascii="Calibri" w:hAnsi="Calibri" w:cs="Calibri"/>
                  <w:sz w:val="20"/>
                </w:rPr>
                <w:tab/>
                <w:t>a)</w:t>
              </w:r>
              <w:r w:rsidRPr="001223AF">
                <w:rPr>
                  <w:rFonts w:ascii="Calibri" w:hAnsi="Calibri" w:cs="Calibri"/>
                  <w:sz w:val="20"/>
                </w:rPr>
                <w:tab/>
                <w:t xml:space="preserve">The </w:t>
              </w:r>
            </w:ins>
            <w:ins w:id="571" w:author="Dalhen, Eric" w:date="2018-02-27T08:21:00Z">
              <w:r w:rsidRPr="001223AF">
                <w:rPr>
                  <w:rFonts w:ascii="Calibri" w:hAnsi="Calibri" w:cs="Calibri"/>
                  <w:sz w:val="20"/>
                </w:rPr>
                <w:t>elected official</w:t>
              </w:r>
            </w:ins>
            <w:ins w:id="572" w:author="Dalhen, Eric" w:date="2018-02-27T08:20:00Z">
              <w:r w:rsidRPr="001223AF">
                <w:rPr>
                  <w:rFonts w:ascii="Calibri" w:hAnsi="Calibri" w:cs="Calibri"/>
                  <w:sz w:val="20"/>
                </w:rPr>
                <w:t xml:space="preserve"> shall receive a spouse allowance for his/her dependent spouse. However, </w:t>
              </w:r>
            </w:ins>
            <w:del w:id="573" w:author="Dalhen, Eric" w:date="2018-02-27T08:20:00Z">
              <w:r w:rsidRPr="001223AF" w:rsidDel="00B10035">
                <w:rPr>
                  <w:rFonts w:ascii="Calibri" w:hAnsi="Calibri" w:cs="Calibri"/>
                  <w:sz w:val="20"/>
                </w:rPr>
                <w:delText>W</w:delText>
              </w:r>
            </w:del>
            <w:ins w:id="574" w:author="Dalhen, Eric" w:date="2018-02-27T08:20:00Z">
              <w:r w:rsidRPr="001223AF">
                <w:rPr>
                  <w:rFonts w:ascii="Calibri" w:hAnsi="Calibri" w:cs="Calibri"/>
                  <w:sz w:val="20"/>
                </w:rPr>
                <w:t>w</w:t>
              </w:r>
            </w:ins>
            <w:r w:rsidRPr="001223AF">
              <w:rPr>
                <w:rFonts w:ascii="Calibri" w:hAnsi="Calibri" w:cs="Calibri"/>
                <w:sz w:val="20"/>
              </w:rPr>
              <w:t>hen husband and wife have been legally separated, the Secretary-General shall decide, in each case, whether the allowance shall be paid.</w:t>
            </w:r>
          </w:p>
          <w:p w14:paraId="4827AF85" w14:textId="77777777" w:rsidR="001223AF" w:rsidRPr="001223AF" w:rsidRDefault="001223AF">
            <w:pPr>
              <w:tabs>
                <w:tab w:val="clear" w:pos="794"/>
                <w:tab w:val="left" w:pos="886"/>
              </w:tabs>
              <w:spacing w:before="40" w:after="40"/>
              <w:ind w:left="879" w:hanging="284"/>
              <w:rPr>
                <w:ins w:id="575" w:author="Dalhen, Eric" w:date="2018-02-27T08:21:00Z"/>
                <w:rFonts w:ascii="Calibri" w:hAnsi="Calibri" w:cs="Calibri"/>
                <w:sz w:val="20"/>
              </w:rPr>
              <w:pPrChange w:id="576" w:author="Unknown" w:date="2018-02-27T08:27:00Z">
                <w:pPr>
                  <w:ind w:left="880" w:hanging="284"/>
                </w:pPr>
              </w:pPrChange>
            </w:pPr>
            <w:ins w:id="577" w:author="Dalhen, Eric" w:date="2018-02-27T08:21:00Z">
              <w:r w:rsidRPr="001223AF">
                <w:rPr>
                  <w:rFonts w:ascii="Calibri" w:hAnsi="Calibri" w:cs="Calibri"/>
                  <w:sz w:val="20"/>
                </w:rPr>
                <w:t>b)</w:t>
              </w:r>
            </w:ins>
            <w:ins w:id="578" w:author="Dalhen, Eric" w:date="2018-02-27T08:20:00Z">
              <w:r w:rsidRPr="001223AF">
                <w:rPr>
                  <w:rFonts w:ascii="Calibri" w:hAnsi="Calibri" w:cs="Calibri"/>
                  <w:sz w:val="20"/>
                </w:rPr>
                <w:tab/>
              </w:r>
            </w:ins>
            <w:ins w:id="579" w:author="Dalhen, Eric" w:date="2018-02-27T08:21:00Z">
              <w:r w:rsidRPr="001223AF">
                <w:rPr>
                  <w:rFonts w:ascii="Calibri" w:hAnsi="Calibri" w:cs="Calibri"/>
                  <w:sz w:val="20"/>
                </w:rPr>
                <w:t xml:space="preserve">The </w:t>
              </w:r>
            </w:ins>
            <w:ins w:id="580" w:author="Dalhen, Eric" w:date="2018-02-27T08:26:00Z">
              <w:r w:rsidRPr="001223AF">
                <w:rPr>
                  <w:rFonts w:ascii="Calibri" w:hAnsi="Calibri" w:cs="Calibri"/>
                  <w:sz w:val="20"/>
                </w:rPr>
                <w:t xml:space="preserve">elected official </w:t>
              </w:r>
            </w:ins>
            <w:ins w:id="581" w:author="Dalhen, Eric" w:date="2018-02-27T08:21:00Z">
              <w:r w:rsidRPr="001223AF">
                <w:rPr>
                  <w:rFonts w:ascii="Calibri" w:hAnsi="Calibri" w:cs="Calibri"/>
                  <w:sz w:val="20"/>
                </w:rPr>
                <w:t xml:space="preserve">shall receive a child allowance for each dependent child, except that the allowance shall not be paid in respect of the first dependent child if the </w:t>
              </w:r>
            </w:ins>
            <w:ins w:id="582" w:author="Dalhen, Eric" w:date="2018-02-27T08:26:00Z">
              <w:r w:rsidRPr="001223AF">
                <w:rPr>
                  <w:rFonts w:ascii="Calibri" w:hAnsi="Calibri" w:cs="Calibri"/>
                  <w:sz w:val="20"/>
                </w:rPr>
                <w:t xml:space="preserve">elected official </w:t>
              </w:r>
            </w:ins>
            <w:ins w:id="583" w:author="Dalhen, Eric" w:date="2018-02-27T08:21:00Z">
              <w:r w:rsidRPr="001223AF">
                <w:rPr>
                  <w:rFonts w:ascii="Calibri" w:hAnsi="Calibri" w:cs="Calibri"/>
                  <w:sz w:val="20"/>
                </w:rPr>
                <w:t>receives a single parent allowance.</w:t>
              </w:r>
            </w:ins>
          </w:p>
          <w:p w14:paraId="4827AF86" w14:textId="77777777" w:rsidR="001223AF" w:rsidRPr="001223AF" w:rsidRDefault="001223AF" w:rsidP="001223AF">
            <w:pPr>
              <w:tabs>
                <w:tab w:val="clear" w:pos="794"/>
                <w:tab w:val="left" w:pos="886"/>
              </w:tabs>
              <w:spacing w:before="40" w:after="40"/>
              <w:ind w:left="880" w:hanging="284"/>
              <w:rPr>
                <w:rFonts w:ascii="Calibri" w:hAnsi="Calibri" w:cs="Calibri"/>
                <w:sz w:val="20"/>
              </w:rPr>
            </w:pPr>
            <w:ins w:id="584" w:author="Dalhen, Eric" w:date="2018-02-27T08:21:00Z">
              <w:r w:rsidRPr="001223AF">
                <w:rPr>
                  <w:rFonts w:ascii="Calibri" w:hAnsi="Calibri" w:cs="Calibri"/>
                  <w:sz w:val="20"/>
                </w:rPr>
                <w:t>c)</w:t>
              </w:r>
            </w:ins>
            <w:ins w:id="585" w:author="Dalhen, Eric" w:date="2018-02-27T08:20:00Z">
              <w:r w:rsidRPr="001223AF">
                <w:rPr>
                  <w:rFonts w:ascii="Calibri" w:hAnsi="Calibri" w:cs="Calibri"/>
                  <w:sz w:val="20"/>
                </w:rPr>
                <w:tab/>
              </w:r>
            </w:ins>
            <w:ins w:id="586" w:author="Dalhen, Eric" w:date="2018-02-27T08:21:00Z">
              <w:r w:rsidRPr="001223AF">
                <w:rPr>
                  <w:rFonts w:ascii="Calibri" w:hAnsi="Calibri" w:cs="Calibri"/>
                  <w:sz w:val="20"/>
                  <w:u w:val="single"/>
                </w:rPr>
                <w:t>The</w:t>
              </w:r>
              <w:r w:rsidRPr="001223AF">
                <w:rPr>
                  <w:rFonts w:ascii="Calibri" w:hAnsi="Calibri" w:cs="Calibri"/>
                  <w:sz w:val="20"/>
                </w:rPr>
                <w:t xml:space="preserve"> </w:t>
              </w:r>
            </w:ins>
            <w:ins w:id="587" w:author="Dalhen, Eric" w:date="2018-02-27T08:26:00Z">
              <w:r w:rsidRPr="001223AF">
                <w:rPr>
                  <w:rFonts w:ascii="Calibri" w:hAnsi="Calibri" w:cs="Calibri"/>
                  <w:sz w:val="20"/>
                </w:rPr>
                <w:t xml:space="preserve">elected official </w:t>
              </w:r>
            </w:ins>
            <w:ins w:id="588" w:author="Dalhen, Eric" w:date="2018-02-27T08:21:00Z">
              <w:r w:rsidRPr="001223AF">
                <w:rPr>
                  <w:rFonts w:ascii="Calibri" w:hAnsi="Calibri" w:cs="Calibri"/>
                  <w:sz w:val="20"/>
                </w:rPr>
                <w:t>in the professional or higher category who is a single parent shall receive, in lieu of the dependent child allowance, a single parent allowance in respect of the first dependent child.</w:t>
              </w:r>
            </w:ins>
          </w:p>
          <w:p w14:paraId="4827AF87" w14:textId="77777777" w:rsidR="001223AF" w:rsidRPr="001223AF" w:rsidRDefault="001223AF" w:rsidP="001223AF">
            <w:pPr>
              <w:tabs>
                <w:tab w:val="clear" w:pos="794"/>
                <w:tab w:val="left" w:pos="880"/>
              </w:tabs>
              <w:spacing w:before="40" w:after="40"/>
              <w:ind w:left="880" w:hanging="284"/>
              <w:rPr>
                <w:rFonts w:ascii="Calibri" w:hAnsi="Calibri" w:cs="Calibri"/>
                <w:sz w:val="20"/>
              </w:rPr>
            </w:pPr>
            <w:ins w:id="589" w:author="Dalhen, Eric" w:date="2018-02-27T08:21:00Z">
              <w:r w:rsidRPr="001223AF">
                <w:rPr>
                  <w:rFonts w:ascii="Calibri" w:hAnsi="Calibri" w:cs="Calibri"/>
                  <w:sz w:val="20"/>
                </w:rPr>
                <w:t>d)</w:t>
              </w:r>
            </w:ins>
            <w:ins w:id="590" w:author="Dalhen, Eric" w:date="2018-02-27T08:20:00Z">
              <w:r w:rsidRPr="001223AF">
                <w:rPr>
                  <w:rFonts w:ascii="Calibri" w:hAnsi="Calibri" w:cs="Calibri"/>
                  <w:sz w:val="20"/>
                </w:rPr>
                <w:tab/>
              </w:r>
            </w:ins>
            <w:ins w:id="591" w:author="Dalhen, Eric" w:date="2018-02-27T08:21:00Z">
              <w:r w:rsidRPr="001223AF">
                <w:rPr>
                  <w:rFonts w:ascii="Calibri" w:hAnsi="Calibri" w:cs="Calibri"/>
                  <w:sz w:val="20"/>
                </w:rPr>
                <w:t xml:space="preserve">The </w:t>
              </w:r>
            </w:ins>
            <w:ins w:id="592" w:author="Dalhen, Eric" w:date="2018-02-27T08:26:00Z">
              <w:r w:rsidRPr="001223AF">
                <w:rPr>
                  <w:rFonts w:ascii="Calibri" w:hAnsi="Calibri" w:cs="Calibri"/>
                  <w:sz w:val="20"/>
                </w:rPr>
                <w:t xml:space="preserve">elected official </w:t>
              </w:r>
            </w:ins>
            <w:ins w:id="593" w:author="Dalhen, Eric" w:date="2018-02-27T08:21:00Z">
              <w:r w:rsidRPr="001223AF">
                <w:rPr>
                  <w:rFonts w:ascii="Calibri" w:hAnsi="Calibri" w:cs="Calibri"/>
                  <w:sz w:val="20"/>
                </w:rPr>
                <w:t xml:space="preserve">shall receive a special child allowance for each disabled child. However, if the </w:t>
              </w:r>
            </w:ins>
            <w:ins w:id="594" w:author="Dalhen, Eric" w:date="2018-02-27T08:26:00Z">
              <w:r w:rsidRPr="001223AF">
                <w:rPr>
                  <w:rFonts w:ascii="Calibri" w:hAnsi="Calibri" w:cs="Calibri"/>
                  <w:sz w:val="20"/>
                </w:rPr>
                <w:t xml:space="preserve">elected official </w:t>
              </w:r>
            </w:ins>
            <w:ins w:id="595" w:author="Dalhen, Eric" w:date="2018-02-27T08:21:00Z">
              <w:r w:rsidRPr="001223AF">
                <w:rPr>
                  <w:rFonts w:ascii="Calibri" w:hAnsi="Calibri" w:cs="Calibri"/>
                  <w:sz w:val="20"/>
                </w:rPr>
                <w:t>is entitled to the single parent allowance in respect of a disabled child, the allowance shall be the same as the child allowance referred to in paragraph 1.b) above.</w:t>
              </w:r>
            </w:ins>
          </w:p>
          <w:p w14:paraId="4827AF88" w14:textId="77777777" w:rsidR="001223AF" w:rsidRPr="001223AF" w:rsidRDefault="001223AF" w:rsidP="001223AF">
            <w:pPr>
              <w:tabs>
                <w:tab w:val="clear" w:pos="794"/>
                <w:tab w:val="left" w:pos="880"/>
              </w:tabs>
              <w:spacing w:before="40" w:after="40"/>
              <w:ind w:left="880" w:hanging="284"/>
              <w:rPr>
                <w:rFonts w:ascii="Calibri" w:hAnsi="Calibri" w:cs="Calibri"/>
                <w:sz w:val="20"/>
              </w:rPr>
            </w:pPr>
            <w:ins w:id="596" w:author="Dalhen, Eric" w:date="2018-02-27T08:26:00Z">
              <w:r w:rsidRPr="001223AF">
                <w:rPr>
                  <w:rFonts w:ascii="Calibri" w:hAnsi="Calibri" w:cs="Calibri"/>
                  <w:sz w:val="20"/>
                </w:rPr>
                <w:t>e)</w:t>
              </w:r>
              <w:r w:rsidRPr="001223AF">
                <w:rPr>
                  <w:rFonts w:ascii="Calibri" w:hAnsi="Calibri" w:cs="Calibri"/>
                  <w:sz w:val="20"/>
                </w:rPr>
                <w:tab/>
                <w:t xml:space="preserve">Where there is no dependent spouse, the </w:t>
              </w:r>
            </w:ins>
            <w:ins w:id="597" w:author="Dalhen, Eric" w:date="2018-02-27T08:27:00Z">
              <w:r w:rsidRPr="001223AF">
                <w:rPr>
                  <w:rFonts w:ascii="Calibri" w:hAnsi="Calibri" w:cs="Calibri"/>
                  <w:sz w:val="20"/>
                </w:rPr>
                <w:t>elected official</w:t>
              </w:r>
            </w:ins>
            <w:ins w:id="598" w:author="Dalhen, Eric" w:date="2018-02-27T08:26:00Z">
              <w:r w:rsidRPr="001223AF">
                <w:rPr>
                  <w:rFonts w:ascii="Calibri" w:hAnsi="Calibri" w:cs="Calibri"/>
                  <w:sz w:val="20"/>
                </w:rPr>
                <w:t xml:space="preserve"> shall receive a single secondary dependent allowance for either a dependent parent, a dependent brother or a dependent sister.</w:t>
              </w:r>
            </w:ins>
          </w:p>
        </w:tc>
        <w:tc>
          <w:tcPr>
            <w:tcW w:w="5416" w:type="dxa"/>
            <w:vMerge/>
          </w:tcPr>
          <w:p w14:paraId="4827AF89" w14:textId="77777777" w:rsidR="001223AF" w:rsidRPr="001223AF" w:rsidRDefault="001223AF" w:rsidP="001223AF">
            <w:pPr>
              <w:tabs>
                <w:tab w:val="left" w:pos="601"/>
              </w:tabs>
              <w:spacing w:before="40" w:after="40"/>
              <w:ind w:left="885" w:hanging="885"/>
              <w:rPr>
                <w:rFonts w:ascii="Calibri" w:hAnsi="Calibri" w:cs="Calibri"/>
                <w:sz w:val="20"/>
                <w:lang w:eastAsia="zh-CN"/>
              </w:rPr>
            </w:pPr>
          </w:p>
        </w:tc>
        <w:tc>
          <w:tcPr>
            <w:tcW w:w="1774" w:type="dxa"/>
            <w:vMerge/>
          </w:tcPr>
          <w:p w14:paraId="4827AF8A" w14:textId="77777777" w:rsidR="001223AF" w:rsidRPr="001223AF" w:rsidRDefault="001223AF" w:rsidP="00806715">
            <w:pPr>
              <w:spacing w:before="60" w:after="120"/>
              <w:rPr>
                <w:rFonts w:ascii="Calibri" w:eastAsia="STKaiti" w:hAnsi="Calibri" w:cs="Calibri"/>
                <w:iCs/>
                <w:sz w:val="20"/>
                <w:lang w:eastAsia="zh-CN"/>
              </w:rPr>
            </w:pPr>
          </w:p>
        </w:tc>
      </w:tr>
    </w:tbl>
    <w:p w14:paraId="4827AF8C" w14:textId="77777777" w:rsidR="00AC0F59" w:rsidRDefault="00AC0F59">
      <w:pPr>
        <w:rPr>
          <w:lang w:eastAsia="zh-CN"/>
        </w:rPr>
      </w:pPr>
    </w:p>
    <w:tbl>
      <w:tblPr>
        <w:tblStyle w:val="TableGrid"/>
        <w:tblW w:w="13989" w:type="dxa"/>
        <w:tblLayout w:type="fixed"/>
        <w:tblLook w:val="04A0" w:firstRow="1" w:lastRow="0" w:firstColumn="1" w:lastColumn="0" w:noHBand="0" w:noVBand="1"/>
        <w:tblPrChange w:id="599" w:author="Dalhen, Eric" w:date="2018-02-27T10:30:00Z">
          <w:tblPr>
            <w:tblStyle w:val="TableGrid"/>
            <w:tblW w:w="0" w:type="auto"/>
            <w:tblLook w:val="04A0" w:firstRow="1" w:lastRow="0" w:firstColumn="1" w:lastColumn="0" w:noHBand="0" w:noVBand="1"/>
          </w:tblPr>
        </w:tblPrChange>
      </w:tblPr>
      <w:tblGrid>
        <w:gridCol w:w="6799"/>
        <w:gridCol w:w="5430"/>
        <w:gridCol w:w="1760"/>
        <w:tblGridChange w:id="600">
          <w:tblGrid>
            <w:gridCol w:w="6799"/>
            <w:gridCol w:w="5430"/>
            <w:gridCol w:w="519"/>
            <w:gridCol w:w="645"/>
            <w:gridCol w:w="595"/>
            <w:gridCol w:w="1"/>
          </w:tblGrid>
        </w:tblGridChange>
      </w:tblGrid>
      <w:tr w:rsidR="00806715" w:rsidRPr="00EF16B5" w14:paraId="4827AF90" w14:textId="77777777" w:rsidTr="00756661">
        <w:trPr>
          <w:tblHeader/>
          <w:trPrChange w:id="601" w:author="Dalhen, Eric" w:date="2018-02-27T10:30:00Z">
            <w:trPr>
              <w:gridAfter w:val="0"/>
            </w:trPr>
          </w:trPrChange>
        </w:trPr>
        <w:tc>
          <w:tcPr>
            <w:tcW w:w="6799" w:type="dxa"/>
            <w:shd w:val="clear" w:color="auto" w:fill="365F91" w:themeFill="accent1" w:themeFillShade="BF"/>
            <w:tcPrChange w:id="602" w:author="Dalhen, Eric" w:date="2018-02-27T10:30:00Z">
              <w:tcPr>
                <w:tcW w:w="5665" w:type="dxa"/>
                <w:gridSpan w:val="3"/>
              </w:tcPr>
            </w:tcPrChange>
          </w:tcPr>
          <w:p w14:paraId="4827AF8D" w14:textId="77777777" w:rsidR="00806715" w:rsidRPr="00EF16B5" w:rsidRDefault="00806715" w:rsidP="00BE7F32">
            <w:pPr>
              <w:pStyle w:val="Tablehead"/>
              <w:rPr>
                <w:rFonts w:cstheme="minorHAnsi"/>
                <w:sz w:val="22"/>
                <w:szCs w:val="22"/>
                <w:lang w:val="en-US" w:eastAsia="zh-CN"/>
              </w:rPr>
            </w:pPr>
            <w:r w:rsidRPr="00EF16B5">
              <w:rPr>
                <w:rFonts w:cstheme="minorHAnsi"/>
                <w:color w:val="FFFFFF" w:themeColor="background1"/>
                <w:sz w:val="22"/>
                <w:szCs w:val="22"/>
                <w:lang w:eastAsia="zh-CN"/>
              </w:rPr>
              <w:lastRenderedPageBreak/>
              <w:t>以修改符标出的《规则》修正案</w:t>
            </w:r>
          </w:p>
        </w:tc>
        <w:tc>
          <w:tcPr>
            <w:tcW w:w="5430" w:type="dxa"/>
            <w:shd w:val="clear" w:color="auto" w:fill="365F91" w:themeFill="accent1" w:themeFillShade="BF"/>
            <w:tcPrChange w:id="603" w:author="Dalhen, Eric" w:date="2018-02-27T10:30:00Z">
              <w:tcPr>
                <w:tcW w:w="5670" w:type="dxa"/>
              </w:tcPr>
            </w:tcPrChange>
          </w:tcPr>
          <w:p w14:paraId="4827AF8E" w14:textId="77777777" w:rsidR="00806715" w:rsidRPr="00EF16B5" w:rsidRDefault="00806715" w:rsidP="00BE7F32">
            <w:pPr>
              <w:pStyle w:val="Tablehead"/>
              <w:rPr>
                <w:rFonts w:cstheme="minorHAnsi"/>
                <w:bCs/>
                <w:sz w:val="22"/>
                <w:szCs w:val="22"/>
                <w:lang w:val="en-US"/>
              </w:rPr>
            </w:pPr>
            <w:r w:rsidRPr="00EF16B5">
              <w:rPr>
                <w:rFonts w:cstheme="minorHAnsi"/>
                <w:bCs/>
                <w:color w:val="FFFFFF" w:themeColor="background1"/>
                <w:sz w:val="22"/>
                <w:szCs w:val="22"/>
              </w:rPr>
              <w:t>《规则》修正案</w:t>
            </w:r>
          </w:p>
        </w:tc>
        <w:tc>
          <w:tcPr>
            <w:tcW w:w="1760" w:type="dxa"/>
            <w:shd w:val="clear" w:color="auto" w:fill="365F91" w:themeFill="accent1" w:themeFillShade="BF"/>
            <w:tcPrChange w:id="604" w:author="Dalhen, Eric" w:date="2018-02-27T10:30:00Z">
              <w:tcPr>
                <w:tcW w:w="2653" w:type="dxa"/>
              </w:tcPr>
            </w:tcPrChange>
          </w:tcPr>
          <w:p w14:paraId="4827AF8F" w14:textId="77777777" w:rsidR="00806715" w:rsidRPr="00EF16B5" w:rsidRDefault="00806715" w:rsidP="00BE7F32">
            <w:pPr>
              <w:pStyle w:val="Tablehead"/>
              <w:rPr>
                <w:rFonts w:eastAsia="STKaiti" w:cstheme="minorHAnsi"/>
                <w:bCs/>
                <w:iCs/>
                <w:sz w:val="22"/>
                <w:szCs w:val="22"/>
                <w:lang w:val="en-US"/>
                <w:rPrChange w:id="605" w:author="Dalhen, Eric" w:date="2018-02-27T13:04:00Z">
                  <w:rPr>
                    <w:bCs/>
                    <w:sz w:val="16"/>
                    <w:szCs w:val="16"/>
                    <w:lang w:val="en-US"/>
                  </w:rPr>
                </w:rPrChange>
              </w:rPr>
            </w:pPr>
            <w:r w:rsidRPr="00EF16B5">
              <w:rPr>
                <w:rFonts w:eastAsia="STKaiti" w:cstheme="minorHAnsi"/>
                <w:bCs/>
                <w:iCs/>
                <w:color w:val="FFFFFF" w:themeColor="background1"/>
                <w:sz w:val="22"/>
                <w:szCs w:val="22"/>
                <w:lang w:eastAsia="zh-CN"/>
              </w:rPr>
              <w:t>修改</w:t>
            </w:r>
            <w:r w:rsidRPr="00EF16B5">
              <w:rPr>
                <w:rFonts w:eastAsia="STKaiti" w:cstheme="minorHAnsi"/>
                <w:bCs/>
                <w:iCs/>
                <w:color w:val="FFFFFF" w:themeColor="background1"/>
                <w:sz w:val="22"/>
                <w:szCs w:val="22"/>
              </w:rPr>
              <w:t>原</w:t>
            </w:r>
            <w:r w:rsidRPr="00EF16B5">
              <w:rPr>
                <w:rFonts w:eastAsia="STKaiti" w:cstheme="minorHAnsi"/>
                <w:bCs/>
                <w:iCs/>
                <w:color w:val="FFFFFF" w:themeColor="background1"/>
                <w:sz w:val="22"/>
                <w:szCs w:val="22"/>
                <w:lang w:eastAsia="zh-CN"/>
              </w:rPr>
              <w:t>因</w:t>
            </w:r>
          </w:p>
        </w:tc>
      </w:tr>
      <w:tr w:rsidR="00894D47" w:rsidRPr="001223AF" w14:paraId="4827AF99" w14:textId="77777777" w:rsidTr="00AC0F59">
        <w:trPr>
          <w:tblHeader/>
        </w:trPr>
        <w:tc>
          <w:tcPr>
            <w:tcW w:w="6799" w:type="dxa"/>
            <w:tcBorders>
              <w:bottom w:val="nil"/>
            </w:tcBorders>
          </w:tcPr>
          <w:p w14:paraId="4827AF91" w14:textId="77777777" w:rsidR="00894D47" w:rsidRPr="001223AF" w:rsidRDefault="00894D47">
            <w:pPr>
              <w:tabs>
                <w:tab w:val="clear" w:pos="794"/>
                <w:tab w:val="left" w:pos="880"/>
              </w:tabs>
              <w:spacing w:before="40" w:after="40"/>
              <w:ind w:left="880" w:hanging="284"/>
              <w:rPr>
                <w:rFonts w:cstheme="minorHAnsi"/>
                <w:sz w:val="20"/>
                <w:lang w:val="en-US"/>
                <w:rPrChange w:id="606" w:author="Dalhen, Eric" w:date="2018-02-27T08:26:00Z">
                  <w:rPr/>
                </w:rPrChange>
              </w:rPr>
              <w:pPrChange w:id="607" w:author="Unknown" w:date="2018-02-27T08:27:00Z">
                <w:pPr/>
              </w:pPrChange>
            </w:pPr>
            <w:ins w:id="608" w:author="Dalhen, Eric" w:date="2018-02-27T08:26:00Z">
              <w:r w:rsidRPr="001223AF">
                <w:rPr>
                  <w:rFonts w:cstheme="minorHAnsi"/>
                  <w:sz w:val="20"/>
                </w:rPr>
                <w:t>f)</w:t>
              </w:r>
              <w:r w:rsidRPr="001223AF">
                <w:rPr>
                  <w:rFonts w:cstheme="minorHAnsi"/>
                  <w:sz w:val="20"/>
                </w:rPr>
                <w:tab/>
              </w:r>
            </w:ins>
            <w:ins w:id="609" w:author="Dalhen, Eric" w:date="2018-02-27T08:27:00Z">
              <w:r w:rsidRPr="001223AF">
                <w:rPr>
                  <w:rFonts w:cstheme="minorHAnsi"/>
                  <w:sz w:val="20"/>
                </w:rPr>
                <w:t>With a view to avoiding duplication of benefits and in order to achieve equality of benefits between elected officials, the amount of any dependency allowance received by the elected official or by his/her spouse for a dependent child in the form of a grant from any source external to the Union, shall be deducted from an allowance paid to the elected official by the Union in respect of this dependent child.</w:t>
              </w:r>
            </w:ins>
          </w:p>
          <w:p w14:paraId="4827AF92" w14:textId="77777777" w:rsidR="00894D47" w:rsidRPr="001223AF" w:rsidDel="00B10035" w:rsidRDefault="00894D47" w:rsidP="001223AF">
            <w:pPr>
              <w:spacing w:before="40" w:after="40"/>
              <w:rPr>
                <w:del w:id="610" w:author="Dalhen, Eric" w:date="2018-02-27T08:23:00Z"/>
                <w:rFonts w:cstheme="minorHAnsi"/>
                <w:sz w:val="20"/>
              </w:rPr>
            </w:pPr>
            <w:del w:id="611" w:author="Dalhen, Eric" w:date="2018-02-27T08:23:00Z">
              <w:r w:rsidRPr="001223AF" w:rsidDel="00B10035">
                <w:rPr>
                  <w:rFonts w:cstheme="minorHAnsi"/>
                  <w:sz w:val="20"/>
                </w:rPr>
                <w:delText>b)</w:delText>
              </w:r>
              <w:r w:rsidRPr="001223AF" w:rsidDel="00B10035">
                <w:rPr>
                  <w:rFonts w:cstheme="minorHAnsi"/>
                  <w:sz w:val="20"/>
                </w:rPr>
                <w:tab/>
                <w:delText>A "</w:delText>
              </w:r>
              <w:r w:rsidRPr="001223AF" w:rsidDel="00B10035">
                <w:rPr>
                  <w:rFonts w:cstheme="minorHAnsi"/>
                  <w:i/>
                  <w:sz w:val="20"/>
                </w:rPr>
                <w:delText>dependant child</w:delText>
              </w:r>
              <w:r w:rsidRPr="001223AF" w:rsidDel="00B10035">
                <w:rPr>
                  <w:rFonts w:cstheme="minorHAnsi"/>
                  <w:sz w:val="20"/>
                </w:rPr>
                <w:delText>" shall be:</w:delText>
              </w:r>
            </w:del>
          </w:p>
          <w:p w14:paraId="4827AF93" w14:textId="77777777" w:rsidR="00894D47" w:rsidRPr="001223AF" w:rsidDel="00B10035" w:rsidRDefault="00894D47" w:rsidP="001223AF">
            <w:pPr>
              <w:pStyle w:val="enumlev1"/>
              <w:spacing w:before="40" w:after="40"/>
              <w:rPr>
                <w:del w:id="612" w:author="Dalhen, Eric" w:date="2018-02-27T08:23:00Z"/>
                <w:rFonts w:cstheme="minorHAnsi"/>
                <w:sz w:val="20"/>
              </w:rPr>
            </w:pPr>
            <w:del w:id="613" w:author="Dalhen, Eric" w:date="2018-02-27T08:23:00Z">
              <w:r w:rsidRPr="001223AF" w:rsidDel="00B10035">
                <w:rPr>
                  <w:rFonts w:cstheme="minorHAnsi"/>
                  <w:sz w:val="20"/>
                </w:rPr>
                <w:delText>i)</w:delText>
              </w:r>
              <w:r w:rsidRPr="001223AF" w:rsidDel="00B10035">
                <w:rPr>
                  <w:rFonts w:cstheme="minorHAnsi"/>
                  <w:sz w:val="20"/>
                </w:rPr>
                <w:tab/>
                <w:delText>an elected official’s natural or legally adopted child, or</w:delText>
              </w:r>
            </w:del>
          </w:p>
          <w:p w14:paraId="4827AF94" w14:textId="77777777" w:rsidR="00894D47" w:rsidRPr="001223AF" w:rsidDel="00B10035" w:rsidRDefault="00894D47" w:rsidP="001223AF">
            <w:pPr>
              <w:pStyle w:val="enumlev1"/>
              <w:spacing w:before="40" w:after="40"/>
              <w:rPr>
                <w:del w:id="614" w:author="Dalhen, Eric" w:date="2018-02-27T08:23:00Z"/>
                <w:rFonts w:cstheme="minorHAnsi"/>
                <w:sz w:val="20"/>
              </w:rPr>
            </w:pPr>
            <w:del w:id="615" w:author="Dalhen, Eric" w:date="2018-02-27T08:23:00Z">
              <w:r w:rsidRPr="001223AF" w:rsidDel="00B10035">
                <w:rPr>
                  <w:rFonts w:cstheme="minorHAnsi"/>
                  <w:sz w:val="20"/>
                </w:rPr>
                <w:delText>ii)</w:delText>
              </w:r>
              <w:r w:rsidRPr="001223AF" w:rsidDel="00B10035">
                <w:rPr>
                  <w:rFonts w:cstheme="minorHAnsi"/>
                  <w:sz w:val="20"/>
                </w:rPr>
                <w:tab/>
                <w:delText>an elected official’s stepchild, if residing with the elected official,</w:delText>
              </w:r>
            </w:del>
          </w:p>
          <w:p w14:paraId="4827AF95" w14:textId="77777777" w:rsidR="00806715" w:rsidRPr="001223AF" w:rsidRDefault="00894D47" w:rsidP="001223AF">
            <w:pPr>
              <w:spacing w:before="40" w:after="40"/>
              <w:rPr>
                <w:rFonts w:cstheme="minorHAnsi"/>
                <w:sz w:val="20"/>
              </w:rPr>
            </w:pPr>
            <w:del w:id="616" w:author="Dalhen, Eric" w:date="2018-02-27T08:23:00Z">
              <w:r w:rsidRPr="001223AF" w:rsidDel="00B10035">
                <w:rPr>
                  <w:rFonts w:cstheme="minorHAnsi"/>
                  <w:sz w:val="20"/>
                </w:rPr>
                <w:delText>under the age of 18 years or, if the child is in full-time attendance at a school or university (or similar educational institution), under the age of 21 years, for whom the elected official provides main and continuing support. The Secretary-General shall establish special conditions under which other children, who fulfil the age, school attendance and support requirements indicated above, may be regarded as dependent children of an elected official. If a child over the age of 18 years is physically or mentally incapacitated for substantial gainful employment, either permanently or for a period expected to be of long duration, the requirements as to school attendance and age shall be waived.</w:delText>
              </w:r>
            </w:del>
          </w:p>
        </w:tc>
        <w:tc>
          <w:tcPr>
            <w:tcW w:w="5430" w:type="dxa"/>
            <w:tcBorders>
              <w:bottom w:val="nil"/>
            </w:tcBorders>
          </w:tcPr>
          <w:p w14:paraId="4827AF96" w14:textId="77777777" w:rsidR="00894D47" w:rsidRPr="001223AF" w:rsidRDefault="00894D47" w:rsidP="001223AF">
            <w:pPr>
              <w:tabs>
                <w:tab w:val="clear" w:pos="794"/>
                <w:tab w:val="left" w:pos="601"/>
              </w:tabs>
              <w:spacing w:before="40" w:after="40"/>
              <w:ind w:left="885" w:hanging="885"/>
              <w:rPr>
                <w:rFonts w:eastAsiaTheme="minorEastAsia" w:cstheme="minorHAnsi"/>
                <w:sz w:val="20"/>
                <w:lang w:eastAsia="zh-CN"/>
              </w:rPr>
            </w:pPr>
            <w:r w:rsidRPr="001223AF">
              <w:rPr>
                <w:rFonts w:eastAsiaTheme="minorEastAsia" w:cstheme="minorHAnsi"/>
                <w:sz w:val="20"/>
                <w:lang w:eastAsia="zh-CN"/>
              </w:rPr>
              <w:tab/>
              <w:t>f)</w:t>
            </w:r>
            <w:r w:rsidRPr="001223AF">
              <w:rPr>
                <w:rFonts w:eastAsiaTheme="minorEastAsia" w:cstheme="minorHAnsi"/>
                <w:sz w:val="20"/>
                <w:lang w:eastAsia="zh-CN"/>
              </w:rPr>
              <w:tab/>
            </w:r>
            <w:r w:rsidRPr="001223AF">
              <w:rPr>
                <w:rFonts w:eastAsiaTheme="minorEastAsia" w:cstheme="minorHAnsi"/>
                <w:sz w:val="20"/>
                <w:lang w:val="fr-FR" w:eastAsia="zh-CN"/>
              </w:rPr>
              <w:t>为避免福利的重复发放</w:t>
            </w:r>
            <w:r w:rsidRPr="001223AF">
              <w:rPr>
                <w:rFonts w:eastAsiaTheme="minorEastAsia" w:cstheme="minorHAnsi"/>
                <w:sz w:val="20"/>
                <w:lang w:eastAsia="zh-CN"/>
              </w:rPr>
              <w:t>，同时为实现选任官员之间的福利平等，选任官员或其配偶从任何国际电联以外来源获得的补助金形式的任何扶养津贴的数额均须从国际电联针对一受扶养子女发放给选任官员的子女津贴中扣除。</w:t>
            </w:r>
          </w:p>
          <w:p w14:paraId="4827AF97" w14:textId="77777777" w:rsidR="00894D47" w:rsidRPr="001223AF" w:rsidRDefault="00894D47" w:rsidP="001223AF">
            <w:pPr>
              <w:overflowPunct/>
              <w:autoSpaceDE/>
              <w:autoSpaceDN/>
              <w:adjustRightInd/>
              <w:spacing w:before="40" w:after="40"/>
              <w:textAlignment w:val="auto"/>
              <w:rPr>
                <w:rFonts w:cstheme="minorHAnsi"/>
                <w:sz w:val="20"/>
                <w:lang w:val="en-US" w:eastAsia="zh-CN"/>
              </w:rPr>
            </w:pPr>
          </w:p>
        </w:tc>
        <w:tc>
          <w:tcPr>
            <w:tcW w:w="1760" w:type="dxa"/>
            <w:tcBorders>
              <w:bottom w:val="nil"/>
            </w:tcBorders>
          </w:tcPr>
          <w:p w14:paraId="4827AF98" w14:textId="77777777" w:rsidR="00894D47" w:rsidRPr="001223AF" w:rsidRDefault="00894D47" w:rsidP="00894D47">
            <w:pPr>
              <w:spacing w:before="60" w:after="120"/>
              <w:rPr>
                <w:rFonts w:cstheme="minorHAnsi"/>
                <w:i/>
                <w:iCs/>
                <w:sz w:val="20"/>
                <w:lang w:eastAsia="zh-CN"/>
                <w:rPrChange w:id="617" w:author="Dalhen, Eric" w:date="2018-02-27T13:04:00Z">
                  <w:rPr>
                    <w:sz w:val="16"/>
                    <w:szCs w:val="16"/>
                    <w:lang w:val="en-US"/>
                  </w:rPr>
                </w:rPrChange>
              </w:rPr>
            </w:pPr>
          </w:p>
        </w:tc>
      </w:tr>
      <w:tr w:rsidR="00756661" w:rsidRPr="001223AF" w14:paraId="4827AF9E" w14:textId="77777777" w:rsidTr="00AC0F59">
        <w:tc>
          <w:tcPr>
            <w:tcW w:w="6799" w:type="dxa"/>
            <w:tcBorders>
              <w:top w:val="nil"/>
            </w:tcBorders>
          </w:tcPr>
          <w:p w14:paraId="4827AF9A" w14:textId="77777777" w:rsidR="00756661" w:rsidRPr="001223AF" w:rsidRDefault="00756661" w:rsidP="001223AF">
            <w:pPr>
              <w:spacing w:before="40" w:after="40"/>
              <w:rPr>
                <w:rFonts w:cstheme="minorHAnsi"/>
                <w:sz w:val="20"/>
                <w:lang w:eastAsia="zh-CN"/>
              </w:rPr>
            </w:pPr>
            <w:r w:rsidRPr="001223AF">
              <w:rPr>
                <w:rFonts w:cstheme="minorHAnsi"/>
                <w:sz w:val="20"/>
                <w:lang w:eastAsia="zh-CN"/>
              </w:rPr>
              <w:tab/>
            </w:r>
            <w:del w:id="618" w:author="Dalhen, Eric" w:date="2018-02-27T08:25:00Z">
              <w:r w:rsidRPr="001223AF" w:rsidDel="00B10035">
                <w:rPr>
                  <w:rFonts w:cstheme="minorHAnsi"/>
                  <w:sz w:val="20"/>
                  <w:lang w:eastAsia="zh-CN"/>
                </w:rPr>
                <w:delText>An elected official claiming a child as dependant must certify that he has assumed responsibility for the main and continuing support of that child. Documentary evidence satisfactory to the Secretary-General, must always be produced in support of the claim in the following cases:</w:delText>
              </w:r>
            </w:del>
          </w:p>
          <w:p w14:paraId="4827AF9B" w14:textId="77777777" w:rsidR="00C42621" w:rsidRPr="001223AF" w:rsidRDefault="00C42621" w:rsidP="00933CC3">
            <w:pPr>
              <w:spacing w:before="40" w:after="40"/>
              <w:rPr>
                <w:rFonts w:cstheme="minorHAnsi"/>
                <w:lang w:eastAsia="zh-CN"/>
              </w:rPr>
            </w:pPr>
            <w:del w:id="619" w:author="Dalhen, Eric" w:date="2018-02-27T08:25:00Z">
              <w:r w:rsidRPr="001223AF" w:rsidDel="00B10035">
                <w:rPr>
                  <w:rFonts w:cstheme="minorHAnsi"/>
                  <w:sz w:val="20"/>
                  <w:lang w:eastAsia="zh-CN"/>
                </w:rPr>
                <w:delText>i)</w:delText>
              </w:r>
              <w:r w:rsidRPr="001223AF" w:rsidDel="00B10035">
                <w:rPr>
                  <w:rFonts w:cstheme="minorHAnsi"/>
                  <w:sz w:val="20"/>
                  <w:lang w:eastAsia="zh-CN"/>
                </w:rPr>
                <w:tab/>
                <w:delText>if divorce or legal separation has occurred and the natural or legally adopted child is not residing with the elected official;</w:delText>
              </w:r>
            </w:del>
          </w:p>
        </w:tc>
        <w:tc>
          <w:tcPr>
            <w:tcW w:w="5430" w:type="dxa"/>
            <w:tcBorders>
              <w:top w:val="nil"/>
            </w:tcBorders>
          </w:tcPr>
          <w:p w14:paraId="4827AF9C" w14:textId="77777777" w:rsidR="00756661" w:rsidRPr="001223AF" w:rsidRDefault="00756661" w:rsidP="001223AF">
            <w:pPr>
              <w:tabs>
                <w:tab w:val="clear" w:pos="794"/>
                <w:tab w:val="left" w:pos="601"/>
              </w:tabs>
              <w:spacing w:before="40" w:after="40"/>
              <w:rPr>
                <w:rFonts w:cstheme="minorHAnsi"/>
                <w:lang w:eastAsia="zh-CN"/>
              </w:rPr>
            </w:pPr>
            <w:r w:rsidRPr="001223AF">
              <w:rPr>
                <w:rFonts w:eastAsiaTheme="minorEastAsia" w:cstheme="minorHAnsi"/>
                <w:sz w:val="20"/>
                <w:lang w:eastAsia="zh-CN"/>
              </w:rPr>
              <w:t>3</w:t>
            </w:r>
            <w:r w:rsidR="009A7B93">
              <w:rPr>
                <w:rFonts w:eastAsiaTheme="minorEastAsia" w:cstheme="minorHAnsi"/>
                <w:sz w:val="20"/>
                <w:lang w:eastAsia="zh-CN"/>
              </w:rPr>
              <w:t>.</w:t>
            </w:r>
            <w:r w:rsidRPr="001223AF">
              <w:rPr>
                <w:rFonts w:eastAsiaTheme="minorEastAsia" w:cstheme="minorHAnsi"/>
                <w:sz w:val="20"/>
                <w:lang w:eastAsia="zh-CN"/>
              </w:rPr>
              <w:tab/>
            </w:r>
            <w:r w:rsidRPr="001223AF">
              <w:rPr>
                <w:rFonts w:eastAsiaTheme="minorEastAsia" w:cstheme="minorHAnsi"/>
                <w:bCs/>
                <w:iCs/>
                <w:sz w:val="20"/>
                <w:lang w:eastAsia="zh-CN"/>
              </w:rPr>
              <w:t>秘书长须根据国际公务员制度委员会的建议和决定，在《人事细则》中规定扶养津贴的领取条件和数额。</w:t>
            </w:r>
          </w:p>
        </w:tc>
        <w:tc>
          <w:tcPr>
            <w:tcW w:w="1760" w:type="dxa"/>
            <w:tcBorders>
              <w:top w:val="nil"/>
            </w:tcBorders>
          </w:tcPr>
          <w:p w14:paraId="4827AF9D" w14:textId="77777777" w:rsidR="00756661" w:rsidRPr="001223AF" w:rsidRDefault="00756661">
            <w:pPr>
              <w:rPr>
                <w:rFonts w:cstheme="minorHAnsi"/>
                <w:lang w:eastAsia="zh-CN"/>
              </w:rPr>
            </w:pPr>
          </w:p>
        </w:tc>
      </w:tr>
    </w:tbl>
    <w:p w14:paraId="4827AF9F" w14:textId="77777777" w:rsidR="00806715" w:rsidRDefault="00806715">
      <w:pPr>
        <w:rPr>
          <w:lang w:eastAsia="zh-CN"/>
        </w:rPr>
      </w:pPr>
    </w:p>
    <w:tbl>
      <w:tblPr>
        <w:tblStyle w:val="TableGrid"/>
        <w:tblW w:w="13989" w:type="dxa"/>
        <w:tblLayout w:type="fixed"/>
        <w:tblLook w:val="04A0" w:firstRow="1" w:lastRow="0" w:firstColumn="1" w:lastColumn="0" w:noHBand="0" w:noVBand="1"/>
        <w:tblPrChange w:id="620" w:author="Dalhen, Eric" w:date="2018-02-27T10:30:00Z">
          <w:tblPr>
            <w:tblStyle w:val="TableGrid"/>
            <w:tblW w:w="0" w:type="auto"/>
            <w:tblLook w:val="04A0" w:firstRow="1" w:lastRow="0" w:firstColumn="1" w:lastColumn="0" w:noHBand="0" w:noVBand="1"/>
          </w:tblPr>
        </w:tblPrChange>
      </w:tblPr>
      <w:tblGrid>
        <w:gridCol w:w="6799"/>
        <w:gridCol w:w="5403"/>
        <w:gridCol w:w="1787"/>
        <w:tblGridChange w:id="621">
          <w:tblGrid>
            <w:gridCol w:w="6799"/>
            <w:gridCol w:w="5403"/>
            <w:gridCol w:w="546"/>
            <w:gridCol w:w="645"/>
            <w:gridCol w:w="595"/>
            <w:gridCol w:w="1"/>
          </w:tblGrid>
        </w:tblGridChange>
      </w:tblGrid>
      <w:tr w:rsidR="00756661" w:rsidRPr="00EF16B5" w14:paraId="4827AFA3" w14:textId="77777777" w:rsidTr="00BE7F32">
        <w:trPr>
          <w:tblHeader/>
          <w:trPrChange w:id="622" w:author="Dalhen, Eric" w:date="2018-02-27T10:30:00Z">
            <w:trPr>
              <w:gridAfter w:val="0"/>
            </w:trPr>
          </w:trPrChange>
        </w:trPr>
        <w:tc>
          <w:tcPr>
            <w:tcW w:w="6799" w:type="dxa"/>
            <w:shd w:val="clear" w:color="auto" w:fill="365F91" w:themeFill="accent1" w:themeFillShade="BF"/>
            <w:tcPrChange w:id="623" w:author="Dalhen, Eric" w:date="2018-02-27T10:30:00Z">
              <w:tcPr>
                <w:tcW w:w="5665" w:type="dxa"/>
                <w:gridSpan w:val="3"/>
              </w:tcPr>
            </w:tcPrChange>
          </w:tcPr>
          <w:p w14:paraId="4827AFA0" w14:textId="77777777" w:rsidR="00756661" w:rsidRPr="00EF16B5" w:rsidRDefault="00756661" w:rsidP="00BE7F32">
            <w:pPr>
              <w:pStyle w:val="Tablehead"/>
              <w:rPr>
                <w:rFonts w:cstheme="minorHAnsi"/>
                <w:sz w:val="22"/>
                <w:szCs w:val="22"/>
                <w:lang w:val="en-US" w:eastAsia="zh-CN"/>
              </w:rPr>
            </w:pPr>
            <w:r w:rsidRPr="00EF16B5">
              <w:rPr>
                <w:rFonts w:cstheme="minorHAnsi"/>
                <w:color w:val="FFFFFF" w:themeColor="background1"/>
                <w:sz w:val="22"/>
                <w:szCs w:val="22"/>
                <w:lang w:eastAsia="zh-CN"/>
              </w:rPr>
              <w:lastRenderedPageBreak/>
              <w:t>以修改符标出的《规则》修正案</w:t>
            </w:r>
          </w:p>
        </w:tc>
        <w:tc>
          <w:tcPr>
            <w:tcW w:w="5403" w:type="dxa"/>
            <w:shd w:val="clear" w:color="auto" w:fill="365F91" w:themeFill="accent1" w:themeFillShade="BF"/>
            <w:tcPrChange w:id="624" w:author="Dalhen, Eric" w:date="2018-02-27T10:30:00Z">
              <w:tcPr>
                <w:tcW w:w="5670" w:type="dxa"/>
              </w:tcPr>
            </w:tcPrChange>
          </w:tcPr>
          <w:p w14:paraId="4827AFA1" w14:textId="77777777" w:rsidR="00756661" w:rsidRPr="00EF16B5" w:rsidRDefault="00756661" w:rsidP="00BE7F32">
            <w:pPr>
              <w:pStyle w:val="Tablehead"/>
              <w:rPr>
                <w:rFonts w:cstheme="minorHAnsi"/>
                <w:bCs/>
                <w:sz w:val="22"/>
                <w:szCs w:val="22"/>
                <w:lang w:val="en-US"/>
              </w:rPr>
            </w:pPr>
            <w:r w:rsidRPr="00EF16B5">
              <w:rPr>
                <w:rFonts w:cstheme="minorHAnsi"/>
                <w:bCs/>
                <w:color w:val="FFFFFF" w:themeColor="background1"/>
                <w:sz w:val="22"/>
                <w:szCs w:val="22"/>
              </w:rPr>
              <w:t>《规则》修正案</w:t>
            </w:r>
          </w:p>
        </w:tc>
        <w:tc>
          <w:tcPr>
            <w:tcW w:w="1787" w:type="dxa"/>
            <w:shd w:val="clear" w:color="auto" w:fill="365F91" w:themeFill="accent1" w:themeFillShade="BF"/>
            <w:tcPrChange w:id="625" w:author="Dalhen, Eric" w:date="2018-02-27T10:30:00Z">
              <w:tcPr>
                <w:tcW w:w="2653" w:type="dxa"/>
              </w:tcPr>
            </w:tcPrChange>
          </w:tcPr>
          <w:p w14:paraId="4827AFA2" w14:textId="77777777" w:rsidR="00756661" w:rsidRPr="00EF16B5" w:rsidRDefault="00756661" w:rsidP="00BE7F32">
            <w:pPr>
              <w:pStyle w:val="Tablehead"/>
              <w:rPr>
                <w:rFonts w:eastAsia="STKaiti" w:cstheme="minorHAnsi"/>
                <w:bCs/>
                <w:iCs/>
                <w:sz w:val="22"/>
                <w:szCs w:val="22"/>
                <w:lang w:val="en-US"/>
                <w:rPrChange w:id="626" w:author="Dalhen, Eric" w:date="2018-02-27T13:04:00Z">
                  <w:rPr>
                    <w:bCs/>
                    <w:sz w:val="16"/>
                    <w:szCs w:val="16"/>
                    <w:lang w:val="en-US"/>
                  </w:rPr>
                </w:rPrChange>
              </w:rPr>
            </w:pPr>
            <w:r w:rsidRPr="00EF16B5">
              <w:rPr>
                <w:rFonts w:eastAsia="STKaiti" w:cstheme="minorHAnsi"/>
                <w:bCs/>
                <w:iCs/>
                <w:color w:val="FFFFFF" w:themeColor="background1"/>
                <w:sz w:val="22"/>
                <w:szCs w:val="22"/>
                <w:lang w:eastAsia="zh-CN"/>
              </w:rPr>
              <w:t>修改</w:t>
            </w:r>
            <w:r w:rsidRPr="00EF16B5">
              <w:rPr>
                <w:rFonts w:eastAsia="STKaiti" w:cstheme="minorHAnsi"/>
                <w:bCs/>
                <w:iCs/>
                <w:color w:val="FFFFFF" w:themeColor="background1"/>
                <w:sz w:val="22"/>
                <w:szCs w:val="22"/>
              </w:rPr>
              <w:t>原</w:t>
            </w:r>
            <w:r w:rsidRPr="00EF16B5">
              <w:rPr>
                <w:rFonts w:eastAsia="STKaiti" w:cstheme="minorHAnsi"/>
                <w:bCs/>
                <w:iCs/>
                <w:color w:val="FFFFFF" w:themeColor="background1"/>
                <w:sz w:val="22"/>
                <w:szCs w:val="22"/>
                <w:lang w:eastAsia="zh-CN"/>
              </w:rPr>
              <w:t>因</w:t>
            </w:r>
          </w:p>
        </w:tc>
      </w:tr>
      <w:tr w:rsidR="00894D47" w:rsidRPr="001223AF" w14:paraId="4827AFAC" w14:textId="77777777" w:rsidTr="00806715">
        <w:trPr>
          <w:tblHeader/>
        </w:trPr>
        <w:tc>
          <w:tcPr>
            <w:tcW w:w="6799" w:type="dxa"/>
            <w:tcBorders>
              <w:top w:val="nil"/>
            </w:tcBorders>
          </w:tcPr>
          <w:p w14:paraId="4827AFA4" w14:textId="77777777" w:rsidR="00933CC3" w:rsidRPr="001223AF" w:rsidDel="00B10035" w:rsidRDefault="00933CC3">
            <w:pPr>
              <w:spacing w:before="40" w:after="40"/>
              <w:rPr>
                <w:del w:id="627" w:author="Dalhen, Eric" w:date="2018-02-27T08:25:00Z"/>
                <w:rFonts w:cstheme="minorHAnsi"/>
                <w:sz w:val="20"/>
              </w:rPr>
              <w:pPrChange w:id="628" w:author="Unknown" w:date="2018-02-27T08:25:00Z">
                <w:pPr>
                  <w:pStyle w:val="enumlev1"/>
                </w:pPr>
              </w:pPrChange>
            </w:pPr>
            <w:del w:id="629" w:author="Dalhen, Eric" w:date="2018-02-27T08:25:00Z">
              <w:r w:rsidRPr="001223AF" w:rsidDel="00B10035">
                <w:rPr>
                  <w:rFonts w:cstheme="minorHAnsi"/>
                  <w:sz w:val="20"/>
                </w:rPr>
                <w:delText>ii)</w:delText>
              </w:r>
              <w:r w:rsidRPr="001223AF" w:rsidDel="00B10035">
                <w:rPr>
                  <w:rFonts w:cstheme="minorHAnsi"/>
                  <w:sz w:val="20"/>
                </w:rPr>
                <w:tab/>
                <w:delText>where legal adoption is not possible and the child is residing with the elected official who has responsibility for him as a member of the family;</w:delText>
              </w:r>
            </w:del>
          </w:p>
          <w:p w14:paraId="4827AFA5" w14:textId="77777777" w:rsidR="00933CC3" w:rsidRPr="001223AF" w:rsidDel="00B10035" w:rsidRDefault="00933CC3">
            <w:pPr>
              <w:spacing w:before="40" w:after="40"/>
              <w:rPr>
                <w:del w:id="630" w:author="Dalhen, Eric" w:date="2018-02-27T08:25:00Z"/>
                <w:rFonts w:cstheme="minorHAnsi"/>
                <w:sz w:val="20"/>
              </w:rPr>
              <w:pPrChange w:id="631" w:author="Unknown" w:date="2018-02-27T08:25:00Z">
                <w:pPr>
                  <w:pStyle w:val="enumlev1"/>
                </w:pPr>
              </w:pPrChange>
            </w:pPr>
            <w:del w:id="632" w:author="Dalhen, Eric" w:date="2018-02-27T08:25:00Z">
              <w:r w:rsidRPr="001223AF" w:rsidDel="00B10035">
                <w:rPr>
                  <w:rFonts w:cstheme="minorHAnsi"/>
                  <w:sz w:val="20"/>
                </w:rPr>
                <w:delText>iii)</w:delText>
              </w:r>
              <w:r w:rsidRPr="001223AF" w:rsidDel="00B10035">
                <w:rPr>
                  <w:rFonts w:cstheme="minorHAnsi"/>
                  <w:sz w:val="20"/>
                </w:rPr>
                <w:tab/>
                <w:delText>if the child is married.</w:delText>
              </w:r>
            </w:del>
          </w:p>
          <w:p w14:paraId="4827AFA6" w14:textId="77777777" w:rsidR="00894D47" w:rsidRPr="001223AF" w:rsidDel="00B10035" w:rsidRDefault="00933CC3" w:rsidP="00933CC3">
            <w:pPr>
              <w:spacing w:before="40" w:after="40"/>
              <w:rPr>
                <w:del w:id="633" w:author="Dalhen, Eric" w:date="2018-02-27T08:25:00Z"/>
                <w:rFonts w:cstheme="minorHAnsi"/>
                <w:sz w:val="20"/>
              </w:rPr>
            </w:pPr>
            <w:del w:id="634" w:author="Dalhen, Eric" w:date="2018-02-27T08:25:00Z">
              <w:r w:rsidRPr="001223AF" w:rsidDel="00B10035">
                <w:rPr>
                  <w:rFonts w:cstheme="minorHAnsi"/>
                  <w:sz w:val="20"/>
                </w:rPr>
                <w:delText>c)</w:delText>
              </w:r>
              <w:r w:rsidRPr="001223AF" w:rsidDel="00B10035">
                <w:rPr>
                  <w:rFonts w:cstheme="minorHAnsi"/>
                  <w:sz w:val="20"/>
                </w:rPr>
                <w:tab/>
                <w:delText>A "</w:delText>
              </w:r>
              <w:r w:rsidRPr="001223AF" w:rsidDel="00B10035">
                <w:rPr>
                  <w:rFonts w:cstheme="minorHAnsi"/>
                  <w:i/>
                  <w:sz w:val="20"/>
                </w:rPr>
                <w:delText>secondary dependant</w:delText>
              </w:r>
              <w:r w:rsidRPr="001223AF" w:rsidDel="00B10035">
                <w:rPr>
                  <w:rFonts w:cstheme="minorHAnsi"/>
                  <w:sz w:val="20"/>
                </w:rPr>
                <w:delText>" shall be the father, mother, brother or sister of whose financial support the elected official provides one half or more, and in any case at least twice the amount of the dependency allowance, provided that the brother or sister fulfils the same age and school attendance requirements</w:delText>
              </w:r>
              <w:r w:rsidR="00894D47" w:rsidRPr="001223AF" w:rsidDel="00B10035">
                <w:rPr>
                  <w:rFonts w:cstheme="minorHAnsi"/>
                  <w:sz w:val="20"/>
                </w:rPr>
                <w:delText>established for a dependent child. If the brother or sister is physically or mentally incapacitated for substantial gainful employment, either permanently or for a period expected to be of long duration, the requirements as to school attendance and age shall be waived.</w:delText>
              </w:r>
            </w:del>
          </w:p>
          <w:p w14:paraId="4827AFA7" w14:textId="77777777" w:rsidR="00894D47" w:rsidRPr="001223AF" w:rsidRDefault="00894D47" w:rsidP="001223AF">
            <w:pPr>
              <w:spacing w:before="40" w:after="40"/>
              <w:rPr>
                <w:rFonts w:cstheme="minorHAnsi"/>
                <w:sz w:val="20"/>
              </w:rPr>
            </w:pPr>
            <w:del w:id="635" w:author="Dalhen, Eric" w:date="2018-02-27T08:25:00Z">
              <w:r w:rsidRPr="001223AF" w:rsidDel="00B10035">
                <w:rPr>
                  <w:rFonts w:cstheme="minorHAnsi"/>
                  <w:sz w:val="20"/>
                </w:rPr>
                <w:delText>d)</w:delText>
              </w:r>
              <w:r w:rsidRPr="001223AF" w:rsidDel="00B10035">
                <w:rPr>
                  <w:rFonts w:cstheme="minorHAnsi"/>
                  <w:sz w:val="20"/>
                </w:rPr>
                <w:tab/>
                <w:delText>A dependency allowance shall be paid in respect of not more than one dependant parent, brother or sister; such payment shall not be made where dependency benefit is being paid for a spouse.</w:delText>
              </w:r>
            </w:del>
          </w:p>
          <w:p w14:paraId="4827AFA8" w14:textId="77777777" w:rsidR="00894D47" w:rsidRPr="001223AF" w:rsidDel="00F0133A" w:rsidRDefault="00894D47" w:rsidP="001223AF">
            <w:pPr>
              <w:spacing w:before="40" w:after="40"/>
              <w:rPr>
                <w:del w:id="636" w:author="Dalhen, Eric" w:date="2018-02-27T08:27:00Z"/>
                <w:rFonts w:cstheme="minorHAnsi"/>
                <w:sz w:val="20"/>
              </w:rPr>
            </w:pPr>
            <w:del w:id="637" w:author="Dalhen, Eric" w:date="2018-02-27T08:27:00Z">
              <w:r w:rsidRPr="001223AF" w:rsidDel="00F0133A">
                <w:rPr>
                  <w:rFonts w:cstheme="minorHAnsi"/>
                  <w:sz w:val="20"/>
                </w:rPr>
                <w:delText>e)</w:delText>
              </w:r>
              <w:r w:rsidRPr="001223AF" w:rsidDel="00F0133A">
                <w:rPr>
                  <w:rFonts w:cstheme="minorHAnsi"/>
                  <w:sz w:val="20"/>
                </w:rPr>
                <w:tab/>
                <w:delText>With a view to avoiding duplication of benefits and in order to achieve equality between elected officials who receive dependency benefits under applicable laws in the form of governmental grants and elected officials who do not receive such dependency benefits, the Secretary-General shall prescribe conditions under which the dependency allowance for a child specified in Section 3 below, shall be payable only to the extent that the dependency benefits enjoyed by the elected official or his spouse under applicable laws amount to less than such a dependency allowance.</w:delText>
              </w:r>
            </w:del>
          </w:p>
          <w:p w14:paraId="4827AFA9" w14:textId="77777777" w:rsidR="00894D47" w:rsidRPr="001223AF" w:rsidRDefault="00894D47">
            <w:pPr>
              <w:spacing w:before="40" w:after="40"/>
              <w:rPr>
                <w:rFonts w:cstheme="minorHAnsi"/>
                <w:sz w:val="20"/>
                <w:lang w:val="en-US"/>
                <w:rPrChange w:id="638" w:author="Dalhen, Eric" w:date="2018-02-27T08:28:00Z">
                  <w:rPr/>
                </w:rPrChange>
              </w:rPr>
              <w:pPrChange w:id="639" w:author="Unknown" w:date="2018-02-27T08:29:00Z">
                <w:pPr>
                  <w:pStyle w:val="Heading2"/>
                  <w:outlineLvl w:val="1"/>
                </w:pPr>
              </w:pPrChange>
            </w:pPr>
            <w:ins w:id="640" w:author="Dalhen, Eric" w:date="2018-02-27T08:28:00Z">
              <w:r w:rsidRPr="001223AF">
                <w:rPr>
                  <w:rFonts w:cstheme="minorHAnsi"/>
                  <w:sz w:val="20"/>
                  <w:lang w:val="en-US"/>
                </w:rPr>
                <w:t xml:space="preserve">3. </w:t>
              </w:r>
            </w:ins>
            <w:ins w:id="641" w:author="Dalhen, Eric" w:date="2018-02-27T08:29:00Z">
              <w:r w:rsidRPr="001223AF">
                <w:rPr>
                  <w:rFonts w:cstheme="minorHAnsi"/>
                  <w:sz w:val="20"/>
                  <w:lang w:val="en-US"/>
                </w:rPr>
                <w:tab/>
              </w:r>
            </w:ins>
            <w:ins w:id="642" w:author="Dalhen, Eric" w:date="2018-02-27T08:28:00Z">
              <w:r w:rsidRPr="001223AF">
                <w:rPr>
                  <w:rFonts w:cstheme="minorHAnsi"/>
                  <w:sz w:val="20"/>
                  <w:lang w:val="en-US"/>
                </w:rPr>
                <w:t>On the basis of recommendations and decisions of the ICSC, the Secretary-General shall determine, in the Staff Rules, the conditions and amounts of the dependency allowances.</w:t>
              </w:r>
            </w:ins>
          </w:p>
        </w:tc>
        <w:tc>
          <w:tcPr>
            <w:tcW w:w="5403" w:type="dxa"/>
            <w:tcBorders>
              <w:top w:val="nil"/>
            </w:tcBorders>
          </w:tcPr>
          <w:p w14:paraId="4827AFAA" w14:textId="77777777" w:rsidR="00894D47" w:rsidRPr="001223AF" w:rsidRDefault="00894D47" w:rsidP="00894D47">
            <w:pPr>
              <w:overflowPunct/>
              <w:autoSpaceDE/>
              <w:autoSpaceDN/>
              <w:adjustRightInd/>
              <w:spacing w:before="0"/>
              <w:textAlignment w:val="auto"/>
              <w:rPr>
                <w:rFonts w:cstheme="minorHAnsi"/>
                <w:sz w:val="20"/>
                <w:lang w:val="en-US" w:eastAsia="zh-CN"/>
              </w:rPr>
            </w:pPr>
          </w:p>
        </w:tc>
        <w:tc>
          <w:tcPr>
            <w:tcW w:w="1787" w:type="dxa"/>
            <w:tcBorders>
              <w:top w:val="nil"/>
            </w:tcBorders>
          </w:tcPr>
          <w:p w14:paraId="4827AFAB" w14:textId="77777777" w:rsidR="00894D47" w:rsidRPr="001223AF" w:rsidRDefault="00894D47" w:rsidP="00894D47">
            <w:pPr>
              <w:overflowPunct/>
              <w:autoSpaceDE/>
              <w:autoSpaceDN/>
              <w:adjustRightInd/>
              <w:spacing w:before="0"/>
              <w:textAlignment w:val="auto"/>
              <w:rPr>
                <w:rFonts w:cstheme="minorHAnsi"/>
                <w:i/>
                <w:iCs/>
                <w:sz w:val="20"/>
                <w:lang w:val="en-US" w:eastAsia="zh-CN"/>
                <w:rPrChange w:id="643" w:author="Dalhen, Eric" w:date="2018-02-27T13:04:00Z">
                  <w:rPr>
                    <w:sz w:val="16"/>
                    <w:szCs w:val="16"/>
                    <w:lang w:val="en-US"/>
                  </w:rPr>
                </w:rPrChange>
              </w:rPr>
            </w:pPr>
          </w:p>
        </w:tc>
      </w:tr>
    </w:tbl>
    <w:p w14:paraId="4827AFAD" w14:textId="77777777" w:rsidR="00756661" w:rsidRDefault="00756661"/>
    <w:tbl>
      <w:tblPr>
        <w:tblStyle w:val="TableGrid"/>
        <w:tblW w:w="13989" w:type="dxa"/>
        <w:tblLayout w:type="fixed"/>
        <w:tblLook w:val="04A0" w:firstRow="1" w:lastRow="0" w:firstColumn="1" w:lastColumn="0" w:noHBand="0" w:noVBand="1"/>
        <w:tblPrChange w:id="644" w:author="Dalhen, Eric" w:date="2018-02-27T10:30:00Z">
          <w:tblPr>
            <w:tblStyle w:val="TableGrid"/>
            <w:tblW w:w="0" w:type="auto"/>
            <w:tblLook w:val="04A0" w:firstRow="1" w:lastRow="0" w:firstColumn="1" w:lastColumn="0" w:noHBand="0" w:noVBand="1"/>
          </w:tblPr>
        </w:tblPrChange>
      </w:tblPr>
      <w:tblGrid>
        <w:gridCol w:w="6799"/>
        <w:gridCol w:w="5403"/>
        <w:gridCol w:w="1787"/>
        <w:tblGridChange w:id="645">
          <w:tblGrid>
            <w:gridCol w:w="6799"/>
            <w:gridCol w:w="5403"/>
            <w:gridCol w:w="546"/>
            <w:gridCol w:w="645"/>
            <w:gridCol w:w="595"/>
            <w:gridCol w:w="1"/>
          </w:tblGrid>
        </w:tblGridChange>
      </w:tblGrid>
      <w:tr w:rsidR="00756661" w:rsidRPr="00EF16B5" w14:paraId="4827AFB1" w14:textId="77777777" w:rsidTr="00BE7F32">
        <w:trPr>
          <w:tblHeader/>
          <w:trPrChange w:id="646" w:author="Dalhen, Eric" w:date="2018-02-27T10:30:00Z">
            <w:trPr>
              <w:gridAfter w:val="0"/>
            </w:trPr>
          </w:trPrChange>
        </w:trPr>
        <w:tc>
          <w:tcPr>
            <w:tcW w:w="6799" w:type="dxa"/>
            <w:shd w:val="clear" w:color="auto" w:fill="365F91" w:themeFill="accent1" w:themeFillShade="BF"/>
            <w:tcPrChange w:id="647" w:author="Dalhen, Eric" w:date="2018-02-27T10:30:00Z">
              <w:tcPr>
                <w:tcW w:w="5665" w:type="dxa"/>
                <w:gridSpan w:val="3"/>
              </w:tcPr>
            </w:tcPrChange>
          </w:tcPr>
          <w:p w14:paraId="4827AFAE" w14:textId="77777777" w:rsidR="00756661" w:rsidRPr="00EF16B5" w:rsidRDefault="00756661" w:rsidP="00BE7F32">
            <w:pPr>
              <w:pStyle w:val="Tablehead"/>
              <w:rPr>
                <w:sz w:val="22"/>
                <w:szCs w:val="22"/>
                <w:lang w:val="en-US" w:eastAsia="zh-CN"/>
              </w:rPr>
            </w:pPr>
            <w:r w:rsidRPr="00EF16B5">
              <w:rPr>
                <w:rFonts w:hint="eastAsia"/>
                <w:color w:val="FFFFFF" w:themeColor="background1"/>
                <w:sz w:val="22"/>
                <w:szCs w:val="22"/>
                <w:lang w:eastAsia="zh-CN"/>
              </w:rPr>
              <w:lastRenderedPageBreak/>
              <w:t>以修改符标出的《规则》修正案</w:t>
            </w:r>
          </w:p>
        </w:tc>
        <w:tc>
          <w:tcPr>
            <w:tcW w:w="5403" w:type="dxa"/>
            <w:shd w:val="clear" w:color="auto" w:fill="365F91" w:themeFill="accent1" w:themeFillShade="BF"/>
            <w:tcPrChange w:id="648" w:author="Dalhen, Eric" w:date="2018-02-27T10:30:00Z">
              <w:tcPr>
                <w:tcW w:w="5670" w:type="dxa"/>
              </w:tcPr>
            </w:tcPrChange>
          </w:tcPr>
          <w:p w14:paraId="4827AFAF" w14:textId="77777777" w:rsidR="00756661" w:rsidRPr="00EF16B5" w:rsidRDefault="00756661" w:rsidP="00BE7F32">
            <w:pPr>
              <w:pStyle w:val="Tablehead"/>
              <w:rPr>
                <w:rFonts w:cs="Calibri"/>
                <w:bCs/>
                <w:sz w:val="22"/>
                <w:szCs w:val="22"/>
                <w:lang w:val="en-US"/>
              </w:rPr>
            </w:pPr>
            <w:r w:rsidRPr="00EF16B5">
              <w:rPr>
                <w:rFonts w:cs="Calibri" w:hint="eastAsia"/>
                <w:bCs/>
                <w:color w:val="FFFFFF" w:themeColor="background1"/>
                <w:sz w:val="22"/>
                <w:szCs w:val="22"/>
              </w:rPr>
              <w:t>《规则》修正案</w:t>
            </w:r>
          </w:p>
        </w:tc>
        <w:tc>
          <w:tcPr>
            <w:tcW w:w="1787" w:type="dxa"/>
            <w:shd w:val="clear" w:color="auto" w:fill="365F91" w:themeFill="accent1" w:themeFillShade="BF"/>
            <w:tcPrChange w:id="649" w:author="Dalhen, Eric" w:date="2018-02-27T10:30:00Z">
              <w:tcPr>
                <w:tcW w:w="2653" w:type="dxa"/>
              </w:tcPr>
            </w:tcPrChange>
          </w:tcPr>
          <w:p w14:paraId="4827AFB0" w14:textId="77777777" w:rsidR="00756661" w:rsidRPr="00EF16B5" w:rsidRDefault="00756661" w:rsidP="00BE7F32">
            <w:pPr>
              <w:pStyle w:val="Tablehead"/>
              <w:rPr>
                <w:rFonts w:eastAsia="STKaiti"/>
                <w:bCs/>
                <w:iCs/>
                <w:sz w:val="22"/>
                <w:szCs w:val="22"/>
                <w:lang w:val="en-US"/>
                <w:rPrChange w:id="650" w:author="Dalhen, Eric" w:date="2018-02-27T13:04:00Z">
                  <w:rPr>
                    <w:bCs/>
                    <w:sz w:val="16"/>
                    <w:szCs w:val="16"/>
                    <w:lang w:val="en-US"/>
                  </w:rPr>
                </w:rPrChange>
              </w:rPr>
            </w:pPr>
            <w:r w:rsidRPr="00EF16B5">
              <w:rPr>
                <w:rFonts w:ascii="Microsoft YaHei" w:eastAsia="STKaiti" w:hAnsi="Microsoft YaHei" w:cs="Microsoft YaHei" w:hint="eastAsia"/>
                <w:bCs/>
                <w:iCs/>
                <w:color w:val="FFFFFF" w:themeColor="background1"/>
                <w:sz w:val="22"/>
                <w:szCs w:val="22"/>
                <w:lang w:eastAsia="zh-CN"/>
              </w:rPr>
              <w:t>修改</w:t>
            </w:r>
            <w:r w:rsidRPr="00EF16B5">
              <w:rPr>
                <w:rFonts w:ascii="Microsoft YaHei" w:eastAsia="STKaiti" w:hAnsi="Microsoft YaHei" w:cs="Microsoft YaHei" w:hint="eastAsia"/>
                <w:bCs/>
                <w:iCs/>
                <w:color w:val="FFFFFF" w:themeColor="background1"/>
                <w:sz w:val="22"/>
                <w:szCs w:val="22"/>
              </w:rPr>
              <w:t>原</w:t>
            </w:r>
            <w:r w:rsidRPr="00EF16B5">
              <w:rPr>
                <w:rFonts w:ascii="Microsoft YaHei" w:eastAsia="STKaiti" w:hAnsi="Microsoft YaHei" w:cs="Microsoft YaHei" w:hint="eastAsia"/>
                <w:bCs/>
                <w:iCs/>
                <w:color w:val="FFFFFF" w:themeColor="background1"/>
                <w:sz w:val="22"/>
                <w:szCs w:val="22"/>
                <w:lang w:eastAsia="zh-CN"/>
              </w:rPr>
              <w:t>因</w:t>
            </w:r>
          </w:p>
        </w:tc>
      </w:tr>
      <w:tr w:rsidR="00894D47" w:rsidRPr="002C400D" w14:paraId="4827AFC9" w14:textId="77777777" w:rsidTr="00806715">
        <w:trPr>
          <w:tblHeader/>
        </w:trPr>
        <w:tc>
          <w:tcPr>
            <w:tcW w:w="6799" w:type="dxa"/>
          </w:tcPr>
          <w:p w14:paraId="4827AFB2" w14:textId="77777777" w:rsidR="00894D47" w:rsidRPr="002C400D" w:rsidRDefault="00894D47" w:rsidP="00390483">
            <w:pPr>
              <w:pStyle w:val="Heading1"/>
              <w:spacing w:before="240"/>
              <w:outlineLvl w:val="0"/>
              <w:rPr>
                <w:rFonts w:asciiTheme="minorHAnsi" w:hAnsiTheme="minorHAnsi"/>
                <w:sz w:val="20"/>
              </w:rPr>
            </w:pPr>
            <w:r w:rsidRPr="002C400D">
              <w:rPr>
                <w:rFonts w:asciiTheme="minorHAnsi" w:hAnsiTheme="minorHAnsi"/>
                <w:sz w:val="20"/>
              </w:rPr>
              <w:fldChar w:fldCharType="begin"/>
            </w:r>
            <w:r w:rsidRPr="002C400D">
              <w:rPr>
                <w:rFonts w:asciiTheme="minorHAnsi" w:hAnsiTheme="minorHAnsi"/>
                <w:sz w:val="20"/>
              </w:rPr>
              <w:instrText xml:space="preserve">include ch-x-e \* MERGEFORMAT </w:instrText>
            </w:r>
            <w:r w:rsidRPr="002C400D">
              <w:rPr>
                <w:rFonts w:asciiTheme="minorHAnsi" w:hAnsiTheme="minorHAnsi"/>
                <w:sz w:val="20"/>
              </w:rPr>
              <w:fldChar w:fldCharType="separate"/>
            </w:r>
            <w:bookmarkStart w:id="651" w:name="_Toc531707148"/>
            <w:r w:rsidRPr="002C400D">
              <w:rPr>
                <w:rFonts w:asciiTheme="minorHAnsi" w:hAnsiTheme="minorHAnsi"/>
                <w:sz w:val="20"/>
              </w:rPr>
              <w:t>CHAPTER X</w:t>
            </w:r>
            <w:r w:rsidRPr="002C400D">
              <w:rPr>
                <w:rFonts w:asciiTheme="minorHAnsi" w:hAnsiTheme="minorHAnsi"/>
                <w:sz w:val="20"/>
              </w:rPr>
              <w:tab/>
              <w:t>APPEALS</w:t>
            </w:r>
            <w:bookmarkEnd w:id="651"/>
          </w:p>
          <w:p w14:paraId="4827AFB3" w14:textId="77777777" w:rsidR="00894D47" w:rsidRPr="002C400D" w:rsidRDefault="00894D47" w:rsidP="00894D47">
            <w:pPr>
              <w:pStyle w:val="headfoot"/>
              <w:rPr>
                <w:rFonts w:asciiTheme="minorHAnsi" w:hAnsiTheme="minorHAnsi"/>
                <w:sz w:val="20"/>
              </w:rPr>
            </w:pPr>
          </w:p>
          <w:p w14:paraId="4827AFB4" w14:textId="77777777" w:rsidR="00894D47" w:rsidRPr="002C400D" w:rsidRDefault="00894D47" w:rsidP="00894D47">
            <w:pPr>
              <w:pStyle w:val="Heading2"/>
              <w:outlineLvl w:val="1"/>
              <w:rPr>
                <w:rFonts w:asciiTheme="minorHAnsi" w:hAnsiTheme="minorHAnsi"/>
                <w:sz w:val="20"/>
              </w:rPr>
            </w:pPr>
            <w:r w:rsidRPr="002C400D">
              <w:rPr>
                <w:rFonts w:asciiTheme="minorHAnsi" w:hAnsiTheme="minorHAnsi"/>
                <w:sz w:val="20"/>
              </w:rPr>
              <w:t>Regulation X.1</w:t>
            </w:r>
            <w:r w:rsidRPr="002C400D">
              <w:rPr>
                <w:rFonts w:asciiTheme="minorHAnsi" w:hAnsiTheme="minorHAnsi"/>
                <w:sz w:val="20"/>
              </w:rPr>
              <w:tab/>
              <w:t>Appeal Board</w:t>
            </w:r>
          </w:p>
          <w:p w14:paraId="4827AFB5" w14:textId="77777777" w:rsidR="00894D47" w:rsidRPr="002C400D" w:rsidRDefault="00894D47">
            <w:pPr>
              <w:rPr>
                <w:sz w:val="20"/>
              </w:rPr>
            </w:pPr>
            <w:r w:rsidRPr="002C400D">
              <w:rPr>
                <w:sz w:val="20"/>
              </w:rPr>
              <w:tab/>
              <w:t xml:space="preserve">Elected officials </w:t>
            </w:r>
            <w:ins w:id="652" w:author="Dalhen, Eric" w:date="2018-03-08T15:21:00Z">
              <w:r w:rsidRPr="002C400D">
                <w:rPr>
                  <w:sz w:val="20"/>
                </w:rPr>
                <w:t>may be called upon</w:t>
              </w:r>
            </w:ins>
            <w:del w:id="653" w:author="Dalhen, Eric" w:date="2018-03-08T15:21:00Z">
              <w:r w:rsidRPr="002C400D" w:rsidDel="00A90530">
                <w:rPr>
                  <w:sz w:val="20"/>
                </w:rPr>
                <w:delText>shall be required</w:delText>
              </w:r>
            </w:del>
            <w:r w:rsidRPr="002C400D">
              <w:rPr>
                <w:sz w:val="20"/>
              </w:rPr>
              <w:t xml:space="preserve"> to participate in the administrative </w:t>
            </w:r>
            <w:del w:id="654" w:author="Dalhen, Eric" w:date="2018-02-27T09:35:00Z">
              <w:r w:rsidRPr="002C400D" w:rsidDel="008B4088">
                <w:rPr>
                  <w:sz w:val="20"/>
                </w:rPr>
                <w:delText xml:space="preserve">machinery </w:delText>
              </w:r>
            </w:del>
            <w:ins w:id="655" w:author="Dalhen, Eric" w:date="2018-02-27T09:35:00Z">
              <w:r w:rsidRPr="002C400D">
                <w:rPr>
                  <w:sz w:val="20"/>
                </w:rPr>
                <w:t xml:space="preserve">body </w:t>
              </w:r>
            </w:ins>
            <w:r w:rsidRPr="002C400D">
              <w:rPr>
                <w:sz w:val="20"/>
              </w:rPr>
              <w:t>provided for under Regulation 11.1 and Rule 11.1.</w:t>
            </w:r>
            <w:del w:id="656" w:author="Dalhen, Eric" w:date="2018-03-06T17:55:00Z">
              <w:r w:rsidRPr="002C400D" w:rsidDel="003A7B36">
                <w:rPr>
                  <w:sz w:val="20"/>
                </w:rPr>
                <w:delText xml:space="preserve">1 </w:delText>
              </w:r>
            </w:del>
            <w:ins w:id="657" w:author="Dalhen, Eric" w:date="2018-03-06T17:55:00Z">
              <w:r w:rsidRPr="002C400D">
                <w:rPr>
                  <w:sz w:val="20"/>
                </w:rPr>
                <w:t xml:space="preserve">3 </w:t>
              </w:r>
            </w:ins>
            <w:r w:rsidRPr="002C400D">
              <w:rPr>
                <w:sz w:val="20"/>
              </w:rPr>
              <w:t>of the Staff Regulations and Staff Rules applicable to appointed staff members.</w:t>
            </w:r>
          </w:p>
          <w:p w14:paraId="4827AFB6" w14:textId="77777777" w:rsidR="00894D47" w:rsidRPr="002C400D" w:rsidRDefault="00894D47" w:rsidP="00894D47">
            <w:pPr>
              <w:pStyle w:val="Heading2"/>
              <w:outlineLvl w:val="1"/>
              <w:rPr>
                <w:rFonts w:asciiTheme="minorHAnsi" w:hAnsiTheme="minorHAnsi"/>
                <w:sz w:val="20"/>
              </w:rPr>
            </w:pPr>
            <w:r w:rsidRPr="002C400D">
              <w:rPr>
                <w:rFonts w:asciiTheme="minorHAnsi" w:hAnsiTheme="minorHAnsi"/>
                <w:sz w:val="20"/>
              </w:rPr>
              <w:t>Regulation X.2</w:t>
            </w:r>
            <w:r w:rsidRPr="002C400D">
              <w:rPr>
                <w:rFonts w:asciiTheme="minorHAnsi" w:hAnsiTheme="minorHAnsi"/>
                <w:sz w:val="20"/>
              </w:rPr>
              <w:tab/>
              <w:t>Administrative Tribunals</w:t>
            </w:r>
          </w:p>
          <w:p w14:paraId="4827AFB7" w14:textId="77777777" w:rsidR="00894D47" w:rsidRPr="002C400D" w:rsidRDefault="00894D47" w:rsidP="00894D47">
            <w:pPr>
              <w:rPr>
                <w:sz w:val="20"/>
              </w:rPr>
            </w:pPr>
            <w:r w:rsidRPr="002C400D">
              <w:rPr>
                <w:sz w:val="20"/>
              </w:rPr>
              <w:tab/>
              <w:t>An</w:t>
            </w:r>
            <w:ins w:id="658" w:author="Dalhen, Eric" w:date="2018-02-27T09:36:00Z">
              <w:r w:rsidRPr="002C400D">
                <w:rPr>
                  <w:sz w:val="20"/>
                </w:rPr>
                <w:t>y</w:t>
              </w:r>
            </w:ins>
            <w:r w:rsidRPr="002C400D">
              <w:rPr>
                <w:sz w:val="20"/>
              </w:rPr>
              <w:t xml:space="preserve"> elected official shall be entitled to appeal to the Administrative Tribunal of the International Labour Organization as provided in the Statute of the Tribunal, </w:t>
            </w:r>
            <w:del w:id="659" w:author="Dalhen, Eric" w:date="2018-02-27T09:36:00Z">
              <w:r w:rsidRPr="002C400D" w:rsidDel="008B4088">
                <w:rPr>
                  <w:sz w:val="20"/>
                </w:rPr>
                <w:delText xml:space="preserve">and </w:delText>
              </w:r>
            </w:del>
            <w:ins w:id="660" w:author="Dalhen, Eric" w:date="2018-02-27T09:36:00Z">
              <w:r w:rsidRPr="002C400D">
                <w:rPr>
                  <w:sz w:val="20"/>
                </w:rPr>
                <w:t xml:space="preserve">or </w:t>
              </w:r>
            </w:ins>
            <w:r w:rsidRPr="002C400D">
              <w:rPr>
                <w:sz w:val="20"/>
              </w:rPr>
              <w:t xml:space="preserve">to the United Nations </w:t>
            </w:r>
            <w:del w:id="661" w:author="Dalhen, Eric" w:date="2018-02-27T09:36:00Z">
              <w:r w:rsidRPr="002C400D" w:rsidDel="008B4088">
                <w:rPr>
                  <w:sz w:val="20"/>
                </w:rPr>
                <w:delText xml:space="preserve">Administrative </w:delText>
              </w:r>
            </w:del>
            <w:ins w:id="662" w:author="Dalhen, Eric" w:date="2018-02-27T09:36:00Z">
              <w:r w:rsidRPr="002C400D">
                <w:rPr>
                  <w:sz w:val="20"/>
                </w:rPr>
                <w:t xml:space="preserve">Appeals </w:t>
              </w:r>
            </w:ins>
            <w:r w:rsidRPr="002C400D">
              <w:rPr>
                <w:sz w:val="20"/>
              </w:rPr>
              <w:t>Tribunal with regard to appeals concerning the United Nations Joint Staff Pension Fund.</w:t>
            </w:r>
            <w:r w:rsidRPr="002C400D">
              <w:rPr>
                <w:sz w:val="20"/>
              </w:rPr>
              <w:fldChar w:fldCharType="end"/>
            </w:r>
          </w:p>
        </w:tc>
        <w:tc>
          <w:tcPr>
            <w:tcW w:w="5403" w:type="dxa"/>
          </w:tcPr>
          <w:p w14:paraId="4827AFB8" w14:textId="77777777" w:rsidR="00894D47" w:rsidRPr="002C400D" w:rsidRDefault="00894D47" w:rsidP="00390483">
            <w:pPr>
              <w:pStyle w:val="Heading1"/>
              <w:spacing w:before="240"/>
              <w:outlineLvl w:val="0"/>
              <w:rPr>
                <w:rFonts w:cs="Calibri"/>
                <w:sz w:val="20"/>
                <w:lang w:eastAsia="zh-CN"/>
              </w:rPr>
            </w:pPr>
            <w:r w:rsidRPr="002C400D">
              <w:rPr>
                <w:rFonts w:cs="Calibri"/>
                <w:sz w:val="20"/>
              </w:rPr>
              <w:fldChar w:fldCharType="begin"/>
            </w:r>
            <w:r w:rsidRPr="002C400D">
              <w:rPr>
                <w:rFonts w:cs="Calibri"/>
                <w:sz w:val="20"/>
                <w:lang w:eastAsia="zh-CN"/>
              </w:rPr>
              <w:instrText xml:space="preserve">include ch-x-e \* MERGEFORMAT </w:instrText>
            </w:r>
            <w:r w:rsidRPr="002C400D">
              <w:rPr>
                <w:rFonts w:cs="Calibri"/>
                <w:sz w:val="20"/>
              </w:rPr>
              <w:fldChar w:fldCharType="separate"/>
            </w:r>
            <w:bookmarkStart w:id="663" w:name="_Toc531707149"/>
            <w:r w:rsidRPr="002C400D">
              <w:rPr>
                <w:rFonts w:cs="Calibri" w:hint="eastAsia"/>
                <w:sz w:val="20"/>
                <w:lang w:eastAsia="zh-CN"/>
              </w:rPr>
              <w:t>第十章</w:t>
            </w:r>
            <w:r w:rsidRPr="002C400D">
              <w:rPr>
                <w:rFonts w:cs="Calibri"/>
                <w:sz w:val="20"/>
                <w:lang w:eastAsia="zh-CN"/>
              </w:rPr>
              <w:tab/>
            </w:r>
            <w:r w:rsidR="008842DA">
              <w:rPr>
                <w:rFonts w:cs="Calibri"/>
                <w:sz w:val="20"/>
                <w:lang w:eastAsia="zh-CN"/>
              </w:rPr>
              <w:tab/>
            </w:r>
            <w:r w:rsidRPr="002C400D">
              <w:rPr>
                <w:rFonts w:cs="Calibri" w:hint="eastAsia"/>
                <w:sz w:val="20"/>
                <w:lang w:eastAsia="zh-CN"/>
              </w:rPr>
              <w:t>上诉</w:t>
            </w:r>
            <w:bookmarkEnd w:id="663"/>
          </w:p>
          <w:p w14:paraId="4827AFB9" w14:textId="77777777" w:rsidR="00894D47" w:rsidRPr="002C400D" w:rsidRDefault="00894D47" w:rsidP="00894D47">
            <w:pPr>
              <w:pStyle w:val="headfoot"/>
              <w:rPr>
                <w:rFonts w:ascii="Calibri" w:hAnsi="Calibri" w:cs="Calibri"/>
                <w:color w:val="auto"/>
                <w:sz w:val="20"/>
                <w:lang w:eastAsia="zh-CN"/>
              </w:rPr>
            </w:pPr>
          </w:p>
          <w:p w14:paraId="4827AFBA" w14:textId="77777777" w:rsidR="00894D47" w:rsidRPr="002C400D" w:rsidRDefault="00894D47" w:rsidP="00894D47">
            <w:pPr>
              <w:pStyle w:val="Heading2"/>
              <w:outlineLvl w:val="1"/>
              <w:rPr>
                <w:rFonts w:cs="Calibri"/>
                <w:sz w:val="20"/>
                <w:lang w:eastAsia="zh-CN"/>
              </w:rPr>
            </w:pPr>
            <w:r w:rsidRPr="002C400D">
              <w:rPr>
                <w:rFonts w:cs="Calibri" w:hint="eastAsia"/>
                <w:sz w:val="20"/>
                <w:lang w:eastAsia="zh-CN"/>
              </w:rPr>
              <w:t>规则</w:t>
            </w:r>
            <w:r w:rsidRPr="002C400D">
              <w:rPr>
                <w:rFonts w:cs="Calibri" w:hint="eastAsia"/>
                <w:sz w:val="20"/>
                <w:lang w:eastAsia="zh-CN"/>
              </w:rPr>
              <w:t>X</w:t>
            </w:r>
            <w:r w:rsidRPr="002C400D">
              <w:rPr>
                <w:rFonts w:cs="Calibri"/>
                <w:sz w:val="20"/>
                <w:lang w:eastAsia="zh-CN"/>
              </w:rPr>
              <w:t>.1</w:t>
            </w:r>
            <w:r w:rsidRPr="002C400D">
              <w:rPr>
                <w:rFonts w:cs="Calibri"/>
                <w:sz w:val="20"/>
                <w:lang w:eastAsia="zh-CN"/>
              </w:rPr>
              <w:tab/>
            </w:r>
            <w:r w:rsidR="009A11FE">
              <w:rPr>
                <w:rFonts w:cs="Calibri"/>
                <w:sz w:val="20"/>
                <w:lang w:eastAsia="zh-CN"/>
              </w:rPr>
              <w:tab/>
            </w:r>
            <w:r w:rsidRPr="002C400D">
              <w:rPr>
                <w:rFonts w:cs="Calibri" w:hint="eastAsia"/>
                <w:sz w:val="20"/>
                <w:lang w:eastAsia="zh-CN"/>
              </w:rPr>
              <w:t>上诉委员会</w:t>
            </w:r>
          </w:p>
          <w:p w14:paraId="4827AFBB" w14:textId="77777777" w:rsidR="00894D47" w:rsidRPr="002C400D" w:rsidRDefault="00894D47" w:rsidP="008842DA">
            <w:pPr>
              <w:tabs>
                <w:tab w:val="clear" w:pos="794"/>
                <w:tab w:val="left" w:pos="563"/>
              </w:tabs>
              <w:rPr>
                <w:rFonts w:cs="Calibri"/>
                <w:sz w:val="20"/>
                <w:lang w:eastAsia="zh-CN"/>
              </w:rPr>
            </w:pPr>
            <w:r w:rsidRPr="002C400D">
              <w:rPr>
                <w:rFonts w:cs="Calibri"/>
                <w:sz w:val="20"/>
                <w:lang w:eastAsia="zh-CN"/>
              </w:rPr>
              <w:tab/>
            </w:r>
            <w:r w:rsidRPr="002C400D">
              <w:rPr>
                <w:rFonts w:cs="Calibri" w:hint="eastAsia"/>
                <w:sz w:val="20"/>
                <w:lang w:eastAsia="zh-CN"/>
              </w:rPr>
              <w:t>可要求选任官员参加适用于委任职员的规则</w:t>
            </w:r>
            <w:r w:rsidRPr="002C400D">
              <w:rPr>
                <w:rFonts w:cs="Calibri" w:hint="eastAsia"/>
                <w:sz w:val="20"/>
                <w:lang w:eastAsia="zh-CN"/>
              </w:rPr>
              <w:t>11.1</w:t>
            </w:r>
            <w:r w:rsidRPr="002C400D">
              <w:rPr>
                <w:rFonts w:cs="Calibri" w:hint="eastAsia"/>
                <w:sz w:val="20"/>
                <w:lang w:eastAsia="zh-CN"/>
              </w:rPr>
              <w:t>和细则</w:t>
            </w:r>
            <w:r w:rsidRPr="002C400D">
              <w:rPr>
                <w:rFonts w:cs="Calibri" w:hint="eastAsia"/>
                <w:sz w:val="20"/>
                <w:lang w:eastAsia="zh-CN"/>
              </w:rPr>
              <w:t>11.1.3</w:t>
            </w:r>
            <w:r w:rsidRPr="002C400D">
              <w:rPr>
                <w:rFonts w:cs="Calibri" w:hint="eastAsia"/>
                <w:sz w:val="20"/>
                <w:lang w:eastAsia="zh-CN"/>
              </w:rPr>
              <w:t>条中规定的行政机构。</w:t>
            </w:r>
          </w:p>
          <w:p w14:paraId="4827AFBC" w14:textId="77777777" w:rsidR="00EC2CBF" w:rsidRDefault="00EC2CBF" w:rsidP="00894D47">
            <w:pPr>
              <w:pStyle w:val="Heading2"/>
              <w:outlineLvl w:val="1"/>
              <w:rPr>
                <w:rFonts w:cs="Calibri"/>
                <w:sz w:val="20"/>
                <w:lang w:eastAsia="zh-CN"/>
              </w:rPr>
            </w:pPr>
          </w:p>
          <w:p w14:paraId="4827AFBD" w14:textId="77777777" w:rsidR="00894D47" w:rsidRPr="002C400D" w:rsidRDefault="00894D47" w:rsidP="00894D47">
            <w:pPr>
              <w:pStyle w:val="Heading2"/>
              <w:outlineLvl w:val="1"/>
              <w:rPr>
                <w:rFonts w:cs="Calibri"/>
                <w:sz w:val="20"/>
                <w:lang w:eastAsia="zh-CN"/>
              </w:rPr>
            </w:pPr>
            <w:r w:rsidRPr="002C400D">
              <w:rPr>
                <w:rFonts w:cs="Calibri" w:hint="eastAsia"/>
                <w:sz w:val="20"/>
                <w:lang w:eastAsia="zh-CN"/>
              </w:rPr>
              <w:t>规则</w:t>
            </w:r>
            <w:r w:rsidRPr="002C400D">
              <w:rPr>
                <w:rFonts w:cs="Calibri"/>
                <w:sz w:val="20"/>
                <w:lang w:eastAsia="zh-CN"/>
              </w:rPr>
              <w:t>X.2</w:t>
            </w:r>
            <w:r w:rsidRPr="002C400D">
              <w:rPr>
                <w:rFonts w:cs="Calibri"/>
                <w:sz w:val="20"/>
                <w:lang w:eastAsia="zh-CN"/>
              </w:rPr>
              <w:tab/>
            </w:r>
            <w:r w:rsidR="009A11FE">
              <w:rPr>
                <w:rFonts w:cs="Calibri"/>
                <w:sz w:val="20"/>
                <w:lang w:eastAsia="zh-CN"/>
              </w:rPr>
              <w:tab/>
            </w:r>
            <w:r w:rsidRPr="002C400D">
              <w:rPr>
                <w:rFonts w:cs="Calibri" w:hint="eastAsia"/>
                <w:sz w:val="20"/>
                <w:lang w:eastAsia="zh-CN"/>
              </w:rPr>
              <w:t>行政法庭</w:t>
            </w:r>
          </w:p>
          <w:p w14:paraId="4827AFBE" w14:textId="77777777" w:rsidR="00894D47" w:rsidRPr="002C400D" w:rsidRDefault="00894D47" w:rsidP="00894D47">
            <w:pPr>
              <w:pStyle w:val="NormalWeb"/>
              <w:spacing w:before="120"/>
              <w:rPr>
                <w:sz w:val="20"/>
                <w:lang w:eastAsia="zh-CN"/>
              </w:rPr>
            </w:pPr>
            <w:r w:rsidRPr="002C400D">
              <w:rPr>
                <w:rFonts w:ascii="Calibri" w:hAnsi="Calibri" w:cs="Calibri"/>
                <w:sz w:val="20"/>
                <w:lang w:eastAsia="zh-CN"/>
              </w:rPr>
              <w:tab/>
            </w:r>
            <w:r w:rsidRPr="002C400D">
              <w:rPr>
                <w:rFonts w:ascii="Calibri" w:hAnsi="Calibri" w:cs="Calibri" w:hint="eastAsia"/>
                <w:sz w:val="20"/>
                <w:szCs w:val="20"/>
                <w:lang w:eastAsia="zh-CN"/>
              </w:rPr>
              <w:t>根据《法庭规约》的规定，任何选任官员须有权向国际劳工组织行政法庭提出申诉，或就联合国合办职工养恤基金的问题向联合国申诉法庭提出申诉。</w:t>
            </w:r>
            <w:r w:rsidRPr="002C400D">
              <w:rPr>
                <w:rFonts w:ascii="Calibri" w:hAnsi="Calibri" w:cs="Calibri"/>
                <w:sz w:val="20"/>
              </w:rPr>
              <w:fldChar w:fldCharType="end"/>
            </w:r>
          </w:p>
        </w:tc>
        <w:tc>
          <w:tcPr>
            <w:tcW w:w="1787" w:type="dxa"/>
          </w:tcPr>
          <w:p w14:paraId="4827AFBF" w14:textId="77777777" w:rsidR="00894D47" w:rsidRPr="002C400D" w:rsidRDefault="00894D47" w:rsidP="00894D47">
            <w:pPr>
              <w:overflowPunct/>
              <w:autoSpaceDE/>
              <w:autoSpaceDN/>
              <w:adjustRightInd/>
              <w:spacing w:before="0"/>
              <w:textAlignment w:val="auto"/>
              <w:rPr>
                <w:i/>
                <w:iCs/>
                <w:sz w:val="20"/>
                <w:lang w:val="en-US" w:eastAsia="zh-CN"/>
              </w:rPr>
            </w:pPr>
          </w:p>
          <w:p w14:paraId="4827AFC0" w14:textId="77777777" w:rsidR="00894D47" w:rsidRPr="002C400D" w:rsidRDefault="00894D47" w:rsidP="00894D47">
            <w:pPr>
              <w:overflowPunct/>
              <w:autoSpaceDE/>
              <w:autoSpaceDN/>
              <w:adjustRightInd/>
              <w:spacing w:before="0"/>
              <w:textAlignment w:val="auto"/>
              <w:rPr>
                <w:i/>
                <w:iCs/>
                <w:sz w:val="20"/>
                <w:lang w:val="en-US" w:eastAsia="zh-CN"/>
              </w:rPr>
            </w:pPr>
          </w:p>
          <w:p w14:paraId="4827AFC1" w14:textId="77777777" w:rsidR="00894D47" w:rsidRPr="002C400D" w:rsidRDefault="00894D47" w:rsidP="00894D47">
            <w:pPr>
              <w:overflowPunct/>
              <w:autoSpaceDE/>
              <w:autoSpaceDN/>
              <w:adjustRightInd/>
              <w:spacing w:before="0"/>
              <w:textAlignment w:val="auto"/>
              <w:rPr>
                <w:i/>
                <w:iCs/>
                <w:sz w:val="20"/>
                <w:lang w:val="en-US" w:eastAsia="zh-CN"/>
              </w:rPr>
            </w:pPr>
          </w:p>
          <w:p w14:paraId="4827AFC2" w14:textId="77777777" w:rsidR="00894D47" w:rsidRPr="002C400D" w:rsidRDefault="00894D47" w:rsidP="00894D47">
            <w:pPr>
              <w:overflowPunct/>
              <w:autoSpaceDE/>
              <w:autoSpaceDN/>
              <w:adjustRightInd/>
              <w:spacing w:before="0"/>
              <w:textAlignment w:val="auto"/>
              <w:rPr>
                <w:i/>
                <w:iCs/>
                <w:sz w:val="20"/>
                <w:lang w:val="en-US" w:eastAsia="zh-CN"/>
              </w:rPr>
            </w:pPr>
          </w:p>
          <w:p w14:paraId="4827AFC3" w14:textId="77777777" w:rsidR="00894D47" w:rsidRPr="002C400D" w:rsidRDefault="00894D47" w:rsidP="00894D47">
            <w:pPr>
              <w:overflowPunct/>
              <w:autoSpaceDE/>
              <w:autoSpaceDN/>
              <w:adjustRightInd/>
              <w:spacing w:before="0"/>
              <w:textAlignment w:val="auto"/>
              <w:rPr>
                <w:i/>
                <w:iCs/>
                <w:sz w:val="20"/>
                <w:lang w:val="en-US" w:eastAsia="zh-CN"/>
              </w:rPr>
            </w:pPr>
          </w:p>
          <w:p w14:paraId="4827AFC4" w14:textId="77777777" w:rsidR="00894D47" w:rsidRPr="002C400D" w:rsidRDefault="00894D47" w:rsidP="00894D47">
            <w:pPr>
              <w:overflowPunct/>
              <w:autoSpaceDE/>
              <w:autoSpaceDN/>
              <w:adjustRightInd/>
              <w:spacing w:before="0"/>
              <w:textAlignment w:val="auto"/>
              <w:rPr>
                <w:i/>
                <w:iCs/>
                <w:sz w:val="20"/>
                <w:lang w:val="en-US" w:eastAsia="zh-CN"/>
              </w:rPr>
            </w:pPr>
          </w:p>
          <w:p w14:paraId="4827AFC5" w14:textId="77777777" w:rsidR="00894D47" w:rsidRDefault="00894D47" w:rsidP="00894D47">
            <w:pPr>
              <w:overflowPunct/>
              <w:autoSpaceDE/>
              <w:autoSpaceDN/>
              <w:adjustRightInd/>
              <w:spacing w:before="0"/>
              <w:textAlignment w:val="auto"/>
              <w:rPr>
                <w:i/>
                <w:iCs/>
                <w:sz w:val="20"/>
                <w:lang w:val="en-US" w:eastAsia="zh-CN"/>
              </w:rPr>
            </w:pPr>
          </w:p>
          <w:p w14:paraId="4827AFC6" w14:textId="77777777" w:rsidR="00894D47" w:rsidRPr="002C400D" w:rsidRDefault="00894D47" w:rsidP="00894D47">
            <w:pPr>
              <w:overflowPunct/>
              <w:autoSpaceDE/>
              <w:autoSpaceDN/>
              <w:adjustRightInd/>
              <w:spacing w:before="0"/>
              <w:textAlignment w:val="auto"/>
              <w:rPr>
                <w:i/>
                <w:iCs/>
                <w:sz w:val="20"/>
                <w:lang w:val="en-US" w:eastAsia="zh-CN"/>
              </w:rPr>
            </w:pPr>
          </w:p>
          <w:p w14:paraId="4827AFC7" w14:textId="77777777" w:rsidR="001223AF" w:rsidRDefault="001223AF" w:rsidP="00894D47">
            <w:pPr>
              <w:overflowPunct/>
              <w:autoSpaceDE/>
              <w:autoSpaceDN/>
              <w:adjustRightInd/>
              <w:spacing w:before="0"/>
              <w:textAlignment w:val="auto"/>
              <w:rPr>
                <w:rFonts w:eastAsia="STKaiti"/>
                <w:iCs/>
                <w:sz w:val="20"/>
                <w:lang w:eastAsia="zh-CN"/>
              </w:rPr>
            </w:pPr>
          </w:p>
          <w:p w14:paraId="4827AFC8" w14:textId="77777777" w:rsidR="00894D47" w:rsidRPr="002C400D" w:rsidRDefault="00894D47" w:rsidP="00894D47">
            <w:pPr>
              <w:overflowPunct/>
              <w:autoSpaceDE/>
              <w:autoSpaceDN/>
              <w:adjustRightInd/>
              <w:spacing w:before="0"/>
              <w:textAlignment w:val="auto"/>
              <w:rPr>
                <w:i/>
                <w:iCs/>
                <w:sz w:val="20"/>
                <w:lang w:val="en-US" w:eastAsia="zh-CN"/>
                <w:rPrChange w:id="664" w:author="Dalhen, Eric" w:date="2018-02-27T13:04:00Z">
                  <w:rPr>
                    <w:sz w:val="16"/>
                    <w:szCs w:val="16"/>
                    <w:lang w:val="en-US"/>
                  </w:rPr>
                </w:rPrChange>
              </w:rPr>
            </w:pPr>
            <w:r w:rsidRPr="002C400D">
              <w:rPr>
                <w:rFonts w:eastAsia="STKaiti"/>
                <w:iCs/>
                <w:sz w:val="20"/>
                <w:lang w:eastAsia="zh-CN"/>
              </w:rPr>
              <w:t>予以修正</w:t>
            </w:r>
            <w:r w:rsidRPr="002C400D">
              <w:rPr>
                <w:rFonts w:eastAsia="STKaiti" w:hint="eastAsia"/>
                <w:iCs/>
                <w:sz w:val="20"/>
                <w:lang w:eastAsia="zh-CN"/>
              </w:rPr>
              <w:t>，</w:t>
            </w:r>
            <w:r w:rsidRPr="002C400D">
              <w:rPr>
                <w:rFonts w:eastAsia="STKaiti"/>
                <w:iCs/>
                <w:sz w:val="20"/>
                <w:lang w:eastAsia="zh-CN"/>
              </w:rPr>
              <w:t>以反映</w:t>
            </w:r>
            <w:r w:rsidRPr="002C400D">
              <w:rPr>
                <w:rFonts w:eastAsia="STKaiti" w:hint="eastAsia"/>
                <w:iCs/>
                <w:sz w:val="20"/>
                <w:lang w:eastAsia="zh-CN"/>
              </w:rPr>
              <w:t>出联合国冲突解决机制的变化和编辑性修正</w:t>
            </w:r>
          </w:p>
        </w:tc>
      </w:tr>
      <w:tr w:rsidR="00894D47" w:rsidRPr="002C400D" w14:paraId="4827AFD4" w14:textId="77777777" w:rsidTr="00806715">
        <w:trPr>
          <w:tblHeader/>
        </w:trPr>
        <w:tc>
          <w:tcPr>
            <w:tcW w:w="6799" w:type="dxa"/>
          </w:tcPr>
          <w:p w14:paraId="4827AFCA" w14:textId="77777777" w:rsidR="00894D47" w:rsidRPr="002C400D" w:rsidRDefault="00894D47" w:rsidP="00894D47">
            <w:pPr>
              <w:pStyle w:val="Heading2"/>
              <w:outlineLvl w:val="1"/>
              <w:rPr>
                <w:rFonts w:asciiTheme="minorHAnsi" w:hAnsiTheme="minorHAnsi"/>
                <w:sz w:val="20"/>
              </w:rPr>
            </w:pPr>
            <w:r w:rsidRPr="002C400D">
              <w:rPr>
                <w:rFonts w:asciiTheme="minorHAnsi" w:hAnsiTheme="minorHAnsi"/>
                <w:sz w:val="20"/>
              </w:rPr>
              <w:t>Regulation X.3</w:t>
            </w:r>
            <w:r w:rsidRPr="002C400D">
              <w:rPr>
                <w:rFonts w:asciiTheme="minorHAnsi" w:hAnsiTheme="minorHAnsi"/>
                <w:sz w:val="20"/>
              </w:rPr>
              <w:tab/>
              <w:t>Appeals to the Administrative Tribunal</w:t>
            </w:r>
            <w:ins w:id="665" w:author="Dalhen, Eric" w:date="2018-02-27T09:40:00Z">
              <w:r w:rsidRPr="002C400D">
                <w:rPr>
                  <w:rFonts w:asciiTheme="minorHAnsi" w:hAnsiTheme="minorHAnsi"/>
                  <w:sz w:val="20"/>
                </w:rPr>
                <w:t>s</w:t>
              </w:r>
            </w:ins>
            <w:r w:rsidRPr="002C400D">
              <w:rPr>
                <w:rFonts w:asciiTheme="minorHAnsi" w:hAnsiTheme="minorHAnsi"/>
                <w:sz w:val="20"/>
              </w:rPr>
              <w:t xml:space="preserve"> by elected officials</w:t>
            </w:r>
          </w:p>
          <w:p w14:paraId="4827AFCB" w14:textId="77777777" w:rsidR="00894D47" w:rsidRPr="002C400D" w:rsidRDefault="00894D47" w:rsidP="00894D47">
            <w:pPr>
              <w:rPr>
                <w:sz w:val="20"/>
              </w:rPr>
            </w:pPr>
            <w:r w:rsidRPr="002C400D">
              <w:rPr>
                <w:sz w:val="20"/>
              </w:rPr>
              <w:tab/>
              <w:t>In the case of appeals which may be made to the Administrative Tribunal</w:t>
            </w:r>
            <w:ins w:id="666" w:author="Dalhen, Eric" w:date="2018-02-27T09:41:00Z">
              <w:r w:rsidRPr="002C400D">
                <w:rPr>
                  <w:sz w:val="20"/>
                </w:rPr>
                <w:t>s</w:t>
              </w:r>
            </w:ins>
            <w:r w:rsidRPr="002C400D">
              <w:rPr>
                <w:sz w:val="20"/>
              </w:rPr>
              <w:t xml:space="preserve"> by the Secretary-General, or by an elected official, the following procedure must be followed:</w:t>
            </w:r>
          </w:p>
          <w:p w14:paraId="4827AFCC" w14:textId="77777777" w:rsidR="00894D47" w:rsidRPr="002C400D" w:rsidRDefault="00894D47" w:rsidP="00894D47">
            <w:pPr>
              <w:pStyle w:val="enumlev1"/>
              <w:rPr>
                <w:sz w:val="20"/>
              </w:rPr>
            </w:pPr>
            <w:r w:rsidRPr="002C400D">
              <w:rPr>
                <w:sz w:val="20"/>
              </w:rPr>
              <w:t>a)</w:t>
            </w:r>
            <w:r w:rsidRPr="002C400D">
              <w:rPr>
                <w:sz w:val="20"/>
              </w:rPr>
              <w:tab/>
              <w:t>No appeal to the Tribunal</w:t>
            </w:r>
            <w:ins w:id="667" w:author="Dalhen, Eric" w:date="2018-02-27T09:41:00Z">
              <w:r w:rsidRPr="002C400D">
                <w:rPr>
                  <w:sz w:val="20"/>
                </w:rPr>
                <w:t>s</w:t>
              </w:r>
            </w:ins>
            <w:r w:rsidRPr="002C400D">
              <w:rPr>
                <w:sz w:val="20"/>
              </w:rPr>
              <w:t xml:space="preserve"> may be made by the Secretary-General until the matter has been considered by the Council of the Union.</w:t>
            </w:r>
          </w:p>
          <w:p w14:paraId="4827AFCD" w14:textId="77777777" w:rsidR="00894D47" w:rsidRPr="002C400D" w:rsidRDefault="00894D47" w:rsidP="00894D47">
            <w:pPr>
              <w:pStyle w:val="Heading1"/>
              <w:keepNext w:val="0"/>
              <w:keepLines w:val="0"/>
              <w:spacing w:before="86"/>
              <w:outlineLvl w:val="0"/>
              <w:rPr>
                <w:rFonts w:asciiTheme="minorHAnsi" w:hAnsiTheme="minorHAnsi"/>
                <w:b w:val="0"/>
                <w:bCs/>
                <w:sz w:val="20"/>
              </w:rPr>
            </w:pPr>
            <w:bookmarkStart w:id="668" w:name="_Toc531707150"/>
            <w:r w:rsidRPr="002C400D">
              <w:rPr>
                <w:rFonts w:asciiTheme="minorHAnsi" w:hAnsiTheme="minorHAnsi"/>
                <w:b w:val="0"/>
                <w:bCs/>
                <w:sz w:val="20"/>
              </w:rPr>
              <w:t>b)</w:t>
            </w:r>
            <w:r w:rsidRPr="002C400D">
              <w:rPr>
                <w:rFonts w:asciiTheme="minorHAnsi" w:hAnsiTheme="minorHAnsi"/>
                <w:b w:val="0"/>
                <w:bCs/>
                <w:sz w:val="20"/>
              </w:rPr>
              <w:tab/>
              <w:t>No appeal to the Tribunal</w:t>
            </w:r>
            <w:ins w:id="669" w:author="Dalhen, Eric" w:date="2018-02-27T09:41:00Z">
              <w:r w:rsidRPr="002C400D">
                <w:rPr>
                  <w:rFonts w:asciiTheme="minorHAnsi" w:hAnsiTheme="minorHAnsi"/>
                  <w:b w:val="0"/>
                  <w:bCs/>
                  <w:sz w:val="20"/>
                </w:rPr>
                <w:t>s</w:t>
              </w:r>
            </w:ins>
            <w:r w:rsidRPr="002C400D">
              <w:rPr>
                <w:rFonts w:asciiTheme="minorHAnsi" w:hAnsiTheme="minorHAnsi"/>
                <w:b w:val="0"/>
                <w:bCs/>
                <w:sz w:val="20"/>
              </w:rPr>
              <w:t xml:space="preserve"> may be made by other elected officials, alleging non-observance of the terms of appointment or of the provisions of the Staff Regulations or Staff Rules for elected officials until a final decision has been taken by the Secretary-General.</w:t>
            </w:r>
            <w:bookmarkEnd w:id="668"/>
          </w:p>
        </w:tc>
        <w:tc>
          <w:tcPr>
            <w:tcW w:w="5403" w:type="dxa"/>
          </w:tcPr>
          <w:p w14:paraId="4827AFCE" w14:textId="77777777" w:rsidR="00894D47" w:rsidRPr="002C400D" w:rsidRDefault="00894D47" w:rsidP="00894D47">
            <w:pPr>
              <w:pStyle w:val="Heading2"/>
              <w:outlineLvl w:val="1"/>
              <w:rPr>
                <w:rFonts w:cs="Calibri"/>
                <w:sz w:val="20"/>
                <w:lang w:eastAsia="zh-CN"/>
              </w:rPr>
            </w:pPr>
            <w:r w:rsidRPr="002C400D">
              <w:rPr>
                <w:rFonts w:cs="Calibri" w:hint="eastAsia"/>
                <w:sz w:val="20"/>
                <w:lang w:eastAsia="zh-CN"/>
              </w:rPr>
              <w:t>规则</w:t>
            </w:r>
            <w:r w:rsidRPr="002C400D">
              <w:rPr>
                <w:rFonts w:cs="Calibri" w:hint="eastAsia"/>
                <w:sz w:val="20"/>
                <w:lang w:eastAsia="zh-CN"/>
              </w:rPr>
              <w:t>X</w:t>
            </w:r>
            <w:r w:rsidRPr="002C400D">
              <w:rPr>
                <w:rFonts w:cs="Calibri"/>
                <w:sz w:val="20"/>
                <w:lang w:eastAsia="zh-CN"/>
              </w:rPr>
              <w:t>.3</w:t>
            </w:r>
            <w:r w:rsidRPr="002C400D">
              <w:rPr>
                <w:rFonts w:cs="Calibri"/>
                <w:sz w:val="20"/>
                <w:lang w:eastAsia="zh-CN"/>
              </w:rPr>
              <w:tab/>
            </w:r>
            <w:r w:rsidR="009A11FE">
              <w:rPr>
                <w:rFonts w:cs="Calibri"/>
                <w:sz w:val="20"/>
                <w:lang w:eastAsia="zh-CN"/>
              </w:rPr>
              <w:tab/>
            </w:r>
            <w:r w:rsidRPr="002C400D">
              <w:rPr>
                <w:rFonts w:cs="Calibri" w:hint="eastAsia"/>
                <w:sz w:val="20"/>
                <w:lang w:eastAsia="zh-CN"/>
              </w:rPr>
              <w:t>选任官员向行政法庭提起的申诉</w:t>
            </w:r>
          </w:p>
          <w:p w14:paraId="4827AFCF" w14:textId="77777777" w:rsidR="00894D47" w:rsidRPr="002C400D" w:rsidRDefault="00894D47" w:rsidP="008842DA">
            <w:pPr>
              <w:tabs>
                <w:tab w:val="clear" w:pos="794"/>
                <w:tab w:val="left" w:pos="563"/>
              </w:tabs>
              <w:rPr>
                <w:sz w:val="20"/>
                <w:lang w:eastAsia="zh-CN"/>
              </w:rPr>
            </w:pPr>
            <w:r w:rsidRPr="002C400D">
              <w:rPr>
                <w:sz w:val="20"/>
                <w:lang w:eastAsia="zh-CN"/>
              </w:rPr>
              <w:tab/>
            </w:r>
            <w:r w:rsidRPr="002C400D">
              <w:rPr>
                <w:rFonts w:asciiTheme="minorEastAsia" w:eastAsiaTheme="minorEastAsia" w:hAnsiTheme="minorEastAsia" w:hint="eastAsia"/>
                <w:sz w:val="20"/>
                <w:lang w:eastAsia="zh-CN"/>
              </w:rPr>
              <w:t>当秘书长或任一选任官员向行政法庭提出申诉时，必须遵守以下程序：</w:t>
            </w:r>
          </w:p>
          <w:p w14:paraId="4827AFD0" w14:textId="77777777" w:rsidR="00894D47" w:rsidRPr="002C400D" w:rsidRDefault="00894D47" w:rsidP="008842DA">
            <w:pPr>
              <w:pStyle w:val="enumlev1"/>
              <w:tabs>
                <w:tab w:val="clear" w:pos="794"/>
                <w:tab w:val="left" w:pos="563"/>
              </w:tabs>
              <w:ind w:left="563" w:hanging="563"/>
              <w:rPr>
                <w:rFonts w:cs="Calibri"/>
                <w:sz w:val="20"/>
                <w:lang w:eastAsia="zh-CN"/>
              </w:rPr>
            </w:pPr>
            <w:r w:rsidRPr="002C400D">
              <w:rPr>
                <w:rFonts w:cs="Calibri" w:hint="eastAsia"/>
                <w:sz w:val="20"/>
                <w:lang w:eastAsia="zh-CN"/>
              </w:rPr>
              <w:t>a</w:t>
            </w:r>
            <w:r w:rsidRPr="002C400D">
              <w:rPr>
                <w:rFonts w:cs="Calibri"/>
                <w:sz w:val="20"/>
                <w:lang w:eastAsia="zh-CN"/>
              </w:rPr>
              <w:t>)</w:t>
            </w:r>
            <w:r w:rsidRPr="002C400D">
              <w:rPr>
                <w:rFonts w:cs="Calibri"/>
                <w:sz w:val="20"/>
                <w:lang w:eastAsia="zh-CN"/>
              </w:rPr>
              <w:tab/>
            </w:r>
            <w:r w:rsidRPr="002C400D">
              <w:rPr>
                <w:rFonts w:cs="Calibri" w:hint="eastAsia"/>
                <w:sz w:val="20"/>
                <w:lang w:eastAsia="zh-CN"/>
              </w:rPr>
              <w:t>申诉案件未经国际电联理事会审议，秘书长不得向法庭提起申诉。</w:t>
            </w:r>
          </w:p>
          <w:p w14:paraId="4827AFD1" w14:textId="77777777" w:rsidR="00894D47" w:rsidRPr="002C400D" w:rsidRDefault="00756661" w:rsidP="008842DA">
            <w:pPr>
              <w:pStyle w:val="Heading1"/>
              <w:keepNext w:val="0"/>
              <w:keepLines w:val="0"/>
              <w:tabs>
                <w:tab w:val="left" w:pos="563"/>
              </w:tabs>
              <w:spacing w:before="86"/>
              <w:ind w:left="563" w:hanging="563"/>
              <w:outlineLvl w:val="0"/>
              <w:rPr>
                <w:rFonts w:asciiTheme="minorHAnsi" w:hAnsiTheme="minorHAnsi"/>
                <w:b w:val="0"/>
                <w:bCs/>
                <w:sz w:val="20"/>
                <w:lang w:eastAsia="zh-CN"/>
              </w:rPr>
            </w:pPr>
            <w:bookmarkStart w:id="670" w:name="_Toc531707151"/>
            <w:r>
              <w:rPr>
                <w:rFonts w:asciiTheme="minorHAnsi" w:hAnsiTheme="minorHAnsi"/>
                <w:b w:val="0"/>
                <w:bCs/>
                <w:sz w:val="20"/>
                <w:lang w:eastAsia="zh-CN"/>
              </w:rPr>
              <w:t>b)</w:t>
            </w:r>
            <w:r w:rsidR="00894D47" w:rsidRPr="002C400D">
              <w:rPr>
                <w:rFonts w:asciiTheme="minorHAnsi" w:hAnsiTheme="minorHAnsi"/>
                <w:b w:val="0"/>
                <w:bCs/>
                <w:sz w:val="20"/>
                <w:lang w:eastAsia="zh-CN"/>
              </w:rPr>
              <w:tab/>
            </w:r>
            <w:r w:rsidR="00894D47" w:rsidRPr="002C400D">
              <w:rPr>
                <w:rFonts w:asciiTheme="minorEastAsia" w:eastAsiaTheme="minorEastAsia" w:hAnsiTheme="minorEastAsia" w:hint="eastAsia"/>
                <w:b w:val="0"/>
                <w:bCs/>
                <w:sz w:val="20"/>
                <w:lang w:eastAsia="zh-CN"/>
              </w:rPr>
              <w:t>在秘书长做出最终决定之前，其他选任官员不得向法庭提出所谓的有关未遵守选任官员任用条款的《人事规则》或《人事细则》规定的申诉。</w:t>
            </w:r>
            <w:bookmarkEnd w:id="670"/>
          </w:p>
        </w:tc>
        <w:tc>
          <w:tcPr>
            <w:tcW w:w="1787" w:type="dxa"/>
          </w:tcPr>
          <w:p w14:paraId="4827AFD2" w14:textId="77777777" w:rsidR="00894D47" w:rsidRPr="002C400D" w:rsidRDefault="00894D47" w:rsidP="00894D47">
            <w:pPr>
              <w:overflowPunct/>
              <w:autoSpaceDE/>
              <w:autoSpaceDN/>
              <w:adjustRightInd/>
              <w:spacing w:before="0"/>
              <w:textAlignment w:val="auto"/>
              <w:rPr>
                <w:i/>
                <w:iCs/>
                <w:sz w:val="20"/>
                <w:lang w:val="en-US" w:eastAsia="zh-CN"/>
              </w:rPr>
            </w:pPr>
          </w:p>
          <w:p w14:paraId="4827AFD3" w14:textId="77777777" w:rsidR="00894D47" w:rsidRPr="002C400D" w:rsidRDefault="00894D47" w:rsidP="00894D47">
            <w:pPr>
              <w:overflowPunct/>
              <w:autoSpaceDE/>
              <w:autoSpaceDN/>
              <w:adjustRightInd/>
              <w:spacing w:before="0"/>
              <w:textAlignment w:val="auto"/>
              <w:rPr>
                <w:i/>
                <w:iCs/>
                <w:sz w:val="20"/>
                <w:lang w:val="en-US" w:eastAsia="zh-CN"/>
              </w:rPr>
            </w:pPr>
          </w:p>
        </w:tc>
      </w:tr>
    </w:tbl>
    <w:p w14:paraId="4827AFD5" w14:textId="77777777" w:rsidR="00894D47" w:rsidRDefault="00894D47" w:rsidP="00E51375">
      <w:pPr>
        <w:pStyle w:val="Normalaftertitle0"/>
        <w:sectPr w:rsidR="00894D47" w:rsidSect="00894D47">
          <w:headerReference w:type="first" r:id="rId170"/>
          <w:footerReference w:type="first" r:id="rId171"/>
          <w:pgSz w:w="16834" w:h="11907" w:orient="landscape"/>
          <w:pgMar w:top="1134" w:right="1418" w:bottom="1134" w:left="1418" w:header="720" w:footer="720" w:gutter="0"/>
          <w:paperSrc w:first="15" w:other="15"/>
          <w:cols w:space="720"/>
          <w:titlePg/>
          <w:docGrid w:linePitch="326"/>
        </w:sectPr>
      </w:pPr>
    </w:p>
    <w:p w14:paraId="4827AFD6" w14:textId="77777777" w:rsidR="00894D47" w:rsidRPr="002C400D" w:rsidRDefault="00894D47">
      <w:pPr>
        <w:pStyle w:val="Annextitle"/>
        <w:rPr>
          <w:lang w:val="en-US" w:eastAsia="zh-CN"/>
        </w:rPr>
        <w:pPrChange w:id="671" w:author="Dalhen, Eric" w:date="2018-02-15T16:27:00Z">
          <w:pPr>
            <w:overflowPunct/>
            <w:spacing w:before="0"/>
            <w:textAlignment w:val="auto"/>
          </w:pPr>
        </w:pPrChange>
      </w:pPr>
      <w:r w:rsidRPr="002C400D">
        <w:rPr>
          <w:rFonts w:hint="eastAsia"/>
          <w:lang w:val="en-US" w:eastAsia="zh-CN"/>
        </w:rPr>
        <w:lastRenderedPageBreak/>
        <w:t>适用于选任官员的《人事规则》和《人事细则》</w:t>
      </w:r>
    </w:p>
    <w:p w14:paraId="4827AFD7" w14:textId="77777777" w:rsidR="00894D47" w:rsidRPr="002C400D" w:rsidRDefault="00894D47">
      <w:pPr>
        <w:pStyle w:val="Annex"/>
        <w:rPr>
          <w:ins w:id="672" w:author="Dalhen, Eric" w:date="2018-02-15T16:28:00Z"/>
          <w:b/>
          <w:bCs/>
          <w:lang w:eastAsia="zh-CN"/>
        </w:rPr>
        <w:pPrChange w:id="673" w:author="Dalhen, Eric" w:date="2018-02-15T16:27:00Z">
          <w:pPr>
            <w:overflowPunct/>
            <w:spacing w:before="0"/>
            <w:textAlignment w:val="auto"/>
          </w:pPr>
        </w:pPrChange>
      </w:pPr>
      <w:r w:rsidRPr="002C400D">
        <w:rPr>
          <w:rFonts w:hint="eastAsia"/>
          <w:b/>
          <w:bCs/>
          <w:lang w:eastAsia="zh-CN"/>
        </w:rPr>
        <w:t>附件</w:t>
      </w:r>
    </w:p>
    <w:p w14:paraId="4827AFD8" w14:textId="77777777" w:rsidR="00894D47" w:rsidRPr="002C400D" w:rsidRDefault="00894D47" w:rsidP="00894D47">
      <w:pPr>
        <w:pStyle w:val="Annex"/>
        <w:rPr>
          <w:lang w:eastAsia="zh-CN"/>
        </w:rPr>
      </w:pPr>
      <w:r w:rsidRPr="002C400D">
        <w:rPr>
          <w:rFonts w:hint="eastAsia"/>
          <w:lang w:eastAsia="zh-CN"/>
        </w:rPr>
        <w:t>附件三</w:t>
      </w:r>
    </w:p>
    <w:p w14:paraId="4827AFD9" w14:textId="77777777" w:rsidR="00894D47" w:rsidRPr="002C400D" w:rsidRDefault="00894D47" w:rsidP="00894D47">
      <w:pPr>
        <w:pStyle w:val="Annextitle"/>
        <w:rPr>
          <w:lang w:eastAsia="zh-CN"/>
        </w:rPr>
      </w:pPr>
      <w:r w:rsidRPr="002C400D">
        <w:rPr>
          <w:rFonts w:hint="eastAsia"/>
          <w:lang w:eastAsia="zh-CN"/>
        </w:rPr>
        <w:t>工作人员薪金税率</w:t>
      </w:r>
    </w:p>
    <w:tbl>
      <w:tblPr>
        <w:tblW w:w="0" w:type="auto"/>
        <w:jc w:val="center"/>
        <w:tblBorders>
          <w:top w:val="nil"/>
          <w:left w:val="nil"/>
          <w:bottom w:val="nil"/>
          <w:right w:val="nil"/>
        </w:tblBorders>
        <w:tblLayout w:type="fixed"/>
        <w:tblLook w:val="0000" w:firstRow="0" w:lastRow="0" w:firstColumn="0" w:lastColumn="0" w:noHBand="0" w:noVBand="0"/>
        <w:tblPrChange w:id="674" w:author="Dalhen, Eric" w:date="2018-02-27T09:55:00Z">
          <w:tblPr>
            <w:tblW w:w="0" w:type="auto"/>
            <w:jc w:val="center"/>
            <w:tblBorders>
              <w:top w:val="nil"/>
              <w:left w:val="nil"/>
              <w:bottom w:val="nil"/>
              <w:right w:val="nil"/>
            </w:tblBorders>
            <w:tblLayout w:type="fixed"/>
            <w:tblLook w:val="0000" w:firstRow="0" w:lastRow="0" w:firstColumn="0" w:lastColumn="0" w:noHBand="0" w:noVBand="0"/>
          </w:tblPr>
        </w:tblPrChange>
      </w:tblPr>
      <w:tblGrid>
        <w:gridCol w:w="1418"/>
        <w:gridCol w:w="1418"/>
        <w:gridCol w:w="1418"/>
        <w:gridCol w:w="1559"/>
        <w:tblGridChange w:id="675">
          <w:tblGrid>
            <w:gridCol w:w="1276"/>
            <w:gridCol w:w="284"/>
            <w:gridCol w:w="850"/>
            <w:gridCol w:w="284"/>
            <w:gridCol w:w="894"/>
            <w:gridCol w:w="240"/>
            <w:gridCol w:w="284"/>
            <w:gridCol w:w="1270"/>
            <w:gridCol w:w="5"/>
            <w:gridCol w:w="284"/>
            <w:gridCol w:w="2551"/>
          </w:tblGrid>
        </w:tblGridChange>
      </w:tblGrid>
      <w:tr w:rsidR="00894D47" w:rsidRPr="002C400D" w14:paraId="4827AFDD" w14:textId="77777777" w:rsidTr="00894D47">
        <w:trPr>
          <w:trHeight w:val="99"/>
          <w:jc w:val="center"/>
          <w:ins w:id="676" w:author="Dalhen, Eric" w:date="2018-02-27T09:53:00Z"/>
          <w:trPrChange w:id="677" w:author="Dalhen, Eric" w:date="2018-02-27T09:55:00Z">
            <w:trPr>
              <w:trHeight w:val="99"/>
              <w:jc w:val="center"/>
            </w:trPr>
          </w:trPrChange>
        </w:trPr>
        <w:tc>
          <w:tcPr>
            <w:tcW w:w="2836" w:type="dxa"/>
            <w:gridSpan w:val="2"/>
            <w:tcBorders>
              <w:bottom w:val="single" w:sz="4" w:space="0" w:color="auto"/>
            </w:tcBorders>
            <w:tcPrChange w:id="678" w:author="Dalhen, Eric" w:date="2018-02-27T09:55:00Z">
              <w:tcPr>
                <w:tcW w:w="3588" w:type="dxa"/>
                <w:gridSpan w:val="5"/>
              </w:tcPr>
            </w:tcPrChange>
          </w:tcPr>
          <w:p w14:paraId="4827AFDA" w14:textId="77777777" w:rsidR="00894D47" w:rsidRPr="002C400D" w:rsidRDefault="00894D47">
            <w:pPr>
              <w:overflowPunct/>
              <w:spacing w:before="80" w:after="80"/>
              <w:jc w:val="center"/>
              <w:textAlignment w:val="auto"/>
              <w:rPr>
                <w:ins w:id="679" w:author="Dalhen, Eric" w:date="2018-02-27T09:53:00Z"/>
                <w:rFonts w:cs="Calibri"/>
                <w:color w:val="000000"/>
                <w:sz w:val="20"/>
                <w:lang w:val="en-US" w:eastAsia="zh-CN"/>
              </w:rPr>
              <w:pPrChange w:id="680" w:author="Dalhen, Eric" w:date="2018-02-27T09:53:00Z">
                <w:pPr>
                  <w:overflowPunct/>
                  <w:spacing w:before="0"/>
                  <w:textAlignment w:val="auto"/>
                </w:pPr>
              </w:pPrChange>
            </w:pPr>
            <w:ins w:id="681" w:author="Tang, Ting" w:date="2018-03-28T16:03:00Z">
              <w:r w:rsidRPr="002C400D">
                <w:rPr>
                  <w:rFonts w:cs="Calibri" w:hint="eastAsia"/>
                  <w:color w:val="000000"/>
                  <w:sz w:val="20"/>
                  <w:lang w:val="en-US" w:eastAsia="zh-CN"/>
                </w:rPr>
                <w:t>收入等级</w:t>
              </w:r>
            </w:ins>
          </w:p>
        </w:tc>
        <w:tc>
          <w:tcPr>
            <w:tcW w:w="1418" w:type="dxa"/>
            <w:tcPrChange w:id="682" w:author="Dalhen, Eric" w:date="2018-02-27T09:55:00Z">
              <w:tcPr>
                <w:tcW w:w="1794" w:type="dxa"/>
                <w:gridSpan w:val="3"/>
              </w:tcPr>
            </w:tcPrChange>
          </w:tcPr>
          <w:p w14:paraId="4827AFDB" w14:textId="77777777" w:rsidR="00894D47" w:rsidRPr="002C400D" w:rsidRDefault="00894D47" w:rsidP="009A11FE">
            <w:pPr>
              <w:overflowPunct/>
              <w:spacing w:before="80" w:after="80"/>
              <w:textAlignment w:val="auto"/>
              <w:rPr>
                <w:ins w:id="683" w:author="Dalhen, Eric" w:date="2018-02-27T09:53:00Z"/>
                <w:rFonts w:cs="Calibri"/>
                <w:color w:val="000000"/>
                <w:sz w:val="20"/>
                <w:lang w:val="en-US" w:eastAsia="zh-CN"/>
              </w:rPr>
            </w:pPr>
          </w:p>
        </w:tc>
        <w:tc>
          <w:tcPr>
            <w:tcW w:w="1559" w:type="dxa"/>
            <w:tcPrChange w:id="684" w:author="Dalhen, Eric" w:date="2018-02-27T09:55:00Z">
              <w:tcPr>
                <w:tcW w:w="2840" w:type="dxa"/>
                <w:gridSpan w:val="3"/>
              </w:tcPr>
            </w:tcPrChange>
          </w:tcPr>
          <w:p w14:paraId="4827AFDC" w14:textId="77777777" w:rsidR="00894D47" w:rsidRPr="002C400D" w:rsidRDefault="00894D47" w:rsidP="009A11FE">
            <w:pPr>
              <w:overflowPunct/>
              <w:spacing w:before="80" w:after="80"/>
              <w:textAlignment w:val="auto"/>
              <w:rPr>
                <w:ins w:id="685" w:author="Dalhen, Eric" w:date="2018-02-27T09:53:00Z"/>
                <w:rFonts w:cs="Calibri"/>
                <w:color w:val="000000"/>
                <w:sz w:val="20"/>
                <w:lang w:val="en-US" w:eastAsia="zh-CN"/>
              </w:rPr>
            </w:pPr>
          </w:p>
        </w:tc>
      </w:tr>
      <w:tr w:rsidR="00894D47" w:rsidRPr="002C400D" w14:paraId="4827AFE2" w14:textId="77777777" w:rsidTr="00894D47">
        <w:trPr>
          <w:trHeight w:val="99"/>
          <w:jc w:val="center"/>
          <w:ins w:id="686" w:author="Dalhen, Eric" w:date="2018-02-27T09:52:00Z"/>
          <w:trPrChange w:id="687" w:author="Dalhen, Eric" w:date="2018-02-27T09:55:00Z">
            <w:trPr>
              <w:gridAfter w:val="0"/>
              <w:trHeight w:val="99"/>
              <w:jc w:val="center"/>
            </w:trPr>
          </w:trPrChange>
        </w:trPr>
        <w:tc>
          <w:tcPr>
            <w:tcW w:w="1418" w:type="dxa"/>
            <w:tcBorders>
              <w:top w:val="single" w:sz="4" w:space="0" w:color="auto"/>
              <w:bottom w:val="single" w:sz="4" w:space="0" w:color="auto"/>
            </w:tcBorders>
            <w:tcPrChange w:id="688" w:author="Dalhen, Eric" w:date="2018-02-27T09:55:00Z">
              <w:tcPr>
                <w:tcW w:w="1276" w:type="dxa"/>
                <w:tcBorders>
                  <w:top w:val="single" w:sz="4" w:space="0" w:color="auto"/>
                  <w:bottom w:val="single" w:sz="4" w:space="0" w:color="auto"/>
                </w:tcBorders>
              </w:tcPr>
            </w:tcPrChange>
          </w:tcPr>
          <w:p w14:paraId="4827AFDE" w14:textId="77777777" w:rsidR="00894D47" w:rsidRPr="002C400D" w:rsidRDefault="00894D47">
            <w:pPr>
              <w:overflowPunct/>
              <w:spacing w:before="80" w:after="80"/>
              <w:jc w:val="center"/>
              <w:textAlignment w:val="auto"/>
              <w:rPr>
                <w:ins w:id="689" w:author="Dalhen, Eric" w:date="2018-02-27T09:52:00Z"/>
                <w:rFonts w:cs="Calibri"/>
                <w:color w:val="000000"/>
                <w:sz w:val="20"/>
                <w:lang w:val="en-US" w:eastAsia="zh-CN"/>
              </w:rPr>
              <w:pPrChange w:id="690" w:author="Dalhen, Eric" w:date="2018-02-27T09:54:00Z">
                <w:pPr>
                  <w:overflowPunct/>
                  <w:spacing w:before="0"/>
                  <w:textAlignment w:val="auto"/>
                </w:pPr>
              </w:pPrChange>
            </w:pPr>
            <w:ins w:id="691" w:author="Tang, Ting" w:date="2018-03-28T16:04:00Z">
              <w:r w:rsidRPr="002C400D">
                <w:rPr>
                  <w:rFonts w:cs="Calibri" w:hint="eastAsia"/>
                  <w:color w:val="000000"/>
                  <w:sz w:val="20"/>
                  <w:lang w:val="en-US" w:eastAsia="zh-CN"/>
                </w:rPr>
                <w:t>自</w:t>
              </w:r>
            </w:ins>
          </w:p>
        </w:tc>
        <w:tc>
          <w:tcPr>
            <w:tcW w:w="1418" w:type="dxa"/>
            <w:tcBorders>
              <w:top w:val="single" w:sz="4" w:space="0" w:color="auto"/>
              <w:bottom w:val="single" w:sz="4" w:space="0" w:color="auto"/>
            </w:tcBorders>
            <w:tcPrChange w:id="692" w:author="Dalhen, Eric" w:date="2018-02-27T09:55:00Z">
              <w:tcPr>
                <w:tcW w:w="1134" w:type="dxa"/>
                <w:gridSpan w:val="2"/>
                <w:tcBorders>
                  <w:top w:val="single" w:sz="4" w:space="0" w:color="auto"/>
                  <w:bottom w:val="single" w:sz="4" w:space="0" w:color="auto"/>
                </w:tcBorders>
              </w:tcPr>
            </w:tcPrChange>
          </w:tcPr>
          <w:p w14:paraId="4827AFDF" w14:textId="77777777" w:rsidR="00894D47" w:rsidRPr="002C400D" w:rsidRDefault="00894D47">
            <w:pPr>
              <w:overflowPunct/>
              <w:spacing w:before="80" w:after="80"/>
              <w:jc w:val="center"/>
              <w:textAlignment w:val="auto"/>
              <w:rPr>
                <w:ins w:id="693" w:author="Dalhen, Eric" w:date="2018-02-27T09:52:00Z"/>
                <w:rFonts w:cs="Calibri"/>
                <w:color w:val="000000"/>
                <w:sz w:val="20"/>
                <w:lang w:val="en-US" w:eastAsia="zh-CN"/>
              </w:rPr>
              <w:pPrChange w:id="694" w:author="Dalhen, Eric" w:date="2018-02-27T09:54:00Z">
                <w:pPr>
                  <w:overflowPunct/>
                  <w:spacing w:before="0"/>
                  <w:textAlignment w:val="auto"/>
                </w:pPr>
              </w:pPrChange>
            </w:pPr>
            <w:ins w:id="695" w:author="Tang, Ting" w:date="2018-03-28T16:04:00Z">
              <w:r w:rsidRPr="002C400D">
                <w:rPr>
                  <w:rFonts w:cs="Calibri" w:hint="eastAsia"/>
                  <w:color w:val="000000"/>
                  <w:sz w:val="20"/>
                  <w:lang w:val="en-US" w:eastAsia="zh-CN"/>
                </w:rPr>
                <w:t>至</w:t>
              </w:r>
            </w:ins>
          </w:p>
        </w:tc>
        <w:tc>
          <w:tcPr>
            <w:tcW w:w="1418" w:type="dxa"/>
            <w:tcBorders>
              <w:bottom w:val="single" w:sz="4" w:space="0" w:color="auto"/>
            </w:tcBorders>
            <w:tcPrChange w:id="696" w:author="Dalhen, Eric" w:date="2018-02-27T09:55:00Z">
              <w:tcPr>
                <w:tcW w:w="1418" w:type="dxa"/>
                <w:gridSpan w:val="3"/>
                <w:tcBorders>
                  <w:bottom w:val="single" w:sz="4" w:space="0" w:color="auto"/>
                </w:tcBorders>
              </w:tcPr>
            </w:tcPrChange>
          </w:tcPr>
          <w:p w14:paraId="4827AFE0" w14:textId="77777777" w:rsidR="00894D47" w:rsidRPr="002C400D" w:rsidRDefault="00894D47">
            <w:pPr>
              <w:overflowPunct/>
              <w:spacing w:before="80" w:after="80"/>
              <w:jc w:val="center"/>
              <w:textAlignment w:val="auto"/>
              <w:rPr>
                <w:ins w:id="697" w:author="Dalhen, Eric" w:date="2018-02-27T09:52:00Z"/>
                <w:rFonts w:cs="Calibri"/>
                <w:color w:val="000000"/>
                <w:sz w:val="20"/>
                <w:lang w:val="en-US" w:eastAsia="zh-CN"/>
              </w:rPr>
              <w:pPrChange w:id="698" w:author="Dalhen, Eric" w:date="2018-02-27T09:53:00Z">
                <w:pPr>
                  <w:overflowPunct/>
                  <w:spacing w:before="0"/>
                  <w:textAlignment w:val="auto"/>
                </w:pPr>
              </w:pPrChange>
            </w:pPr>
            <w:ins w:id="699" w:author="Tang, Ting" w:date="2018-04-03T09:33:00Z">
              <w:r w:rsidRPr="002C400D">
                <w:rPr>
                  <w:rFonts w:cs="Calibri" w:hint="eastAsia"/>
                  <w:color w:val="000000"/>
                  <w:sz w:val="20"/>
                  <w:lang w:val="en-US" w:eastAsia="zh-CN"/>
                </w:rPr>
                <w:t>收入</w:t>
              </w:r>
            </w:ins>
            <w:ins w:id="700" w:author="Shen, Guozhuang" w:date="2018-03-22T15:23:00Z">
              <w:r w:rsidRPr="002C400D">
                <w:rPr>
                  <w:rFonts w:cs="Calibri" w:hint="eastAsia"/>
                  <w:color w:val="000000"/>
                  <w:sz w:val="20"/>
                  <w:lang w:val="en-US" w:eastAsia="zh-CN"/>
                </w:rPr>
                <w:t>等级规模</w:t>
              </w:r>
            </w:ins>
          </w:p>
        </w:tc>
        <w:tc>
          <w:tcPr>
            <w:tcW w:w="1559" w:type="dxa"/>
            <w:tcBorders>
              <w:bottom w:val="single" w:sz="4" w:space="0" w:color="auto"/>
            </w:tcBorders>
            <w:tcPrChange w:id="701" w:author="Dalhen, Eric" w:date="2018-02-27T09:55:00Z">
              <w:tcPr>
                <w:tcW w:w="1559" w:type="dxa"/>
                <w:gridSpan w:val="3"/>
                <w:tcBorders>
                  <w:bottom w:val="single" w:sz="4" w:space="0" w:color="auto"/>
                </w:tcBorders>
              </w:tcPr>
            </w:tcPrChange>
          </w:tcPr>
          <w:p w14:paraId="4827AFE1" w14:textId="77777777" w:rsidR="00894D47" w:rsidRPr="002C400D" w:rsidRDefault="00894D47">
            <w:pPr>
              <w:overflowPunct/>
              <w:spacing w:before="80" w:after="80"/>
              <w:jc w:val="center"/>
              <w:textAlignment w:val="auto"/>
              <w:rPr>
                <w:ins w:id="702" w:author="Dalhen, Eric" w:date="2018-02-27T09:52:00Z"/>
                <w:rFonts w:cs="Calibri"/>
                <w:color w:val="000000"/>
                <w:sz w:val="20"/>
                <w:lang w:val="en-US" w:eastAsia="zh-CN"/>
              </w:rPr>
              <w:pPrChange w:id="703" w:author="Shen, Guozhuang" w:date="2018-03-22T15:23:00Z">
                <w:pPr>
                  <w:overflowPunct/>
                  <w:spacing w:before="0"/>
                  <w:textAlignment w:val="auto"/>
                </w:pPr>
              </w:pPrChange>
            </w:pPr>
            <w:ins w:id="704" w:author="Shen, Guozhuang" w:date="2018-03-22T15:23:00Z">
              <w:r w:rsidRPr="002C400D">
                <w:rPr>
                  <w:rFonts w:cs="Calibri" w:hint="eastAsia"/>
                  <w:color w:val="000000"/>
                  <w:sz w:val="20"/>
                  <w:lang w:val="en-US" w:eastAsia="zh-CN"/>
                </w:rPr>
                <w:t>纳税百分比</w:t>
              </w:r>
            </w:ins>
          </w:p>
        </w:tc>
      </w:tr>
      <w:tr w:rsidR="00894D47" w:rsidRPr="002C400D" w14:paraId="4827AFE7" w14:textId="77777777" w:rsidTr="00894D47">
        <w:trPr>
          <w:trHeight w:val="99"/>
          <w:jc w:val="center"/>
          <w:ins w:id="705" w:author="Dalhen, Eric" w:date="2018-02-27T09:52:00Z"/>
          <w:trPrChange w:id="706" w:author="Dalhen, Eric" w:date="2018-02-27T09:55:00Z">
            <w:trPr>
              <w:gridAfter w:val="0"/>
              <w:trHeight w:val="99"/>
              <w:jc w:val="center"/>
            </w:trPr>
          </w:trPrChange>
        </w:trPr>
        <w:tc>
          <w:tcPr>
            <w:tcW w:w="1418" w:type="dxa"/>
            <w:tcBorders>
              <w:top w:val="single" w:sz="4" w:space="0" w:color="auto"/>
              <w:bottom w:val="nil"/>
            </w:tcBorders>
            <w:tcPrChange w:id="707" w:author="Dalhen, Eric" w:date="2018-02-27T09:55:00Z">
              <w:tcPr>
                <w:tcW w:w="1276" w:type="dxa"/>
                <w:tcBorders>
                  <w:top w:val="single" w:sz="4" w:space="0" w:color="auto"/>
                  <w:bottom w:val="nil"/>
                </w:tcBorders>
              </w:tcPr>
            </w:tcPrChange>
          </w:tcPr>
          <w:p w14:paraId="4827AFE3" w14:textId="77777777" w:rsidR="00894D47" w:rsidRPr="002C400D" w:rsidRDefault="00894D47">
            <w:pPr>
              <w:overflowPunct/>
              <w:spacing w:before="80" w:after="80"/>
              <w:jc w:val="center"/>
              <w:textAlignment w:val="auto"/>
              <w:rPr>
                <w:ins w:id="708" w:author="Dalhen, Eric" w:date="2018-02-27T09:52:00Z"/>
                <w:rFonts w:cs="Calibri"/>
                <w:color w:val="000000"/>
                <w:sz w:val="20"/>
                <w:lang w:val="en-US" w:eastAsia="zh-CN"/>
              </w:rPr>
              <w:pPrChange w:id="709" w:author="Dalhen, Eric" w:date="2018-02-27T09:55:00Z">
                <w:pPr>
                  <w:overflowPunct/>
                  <w:spacing w:before="0"/>
                  <w:textAlignment w:val="auto"/>
                </w:pPr>
              </w:pPrChange>
            </w:pPr>
            <w:ins w:id="710" w:author="Dalhen, Eric" w:date="2018-02-27T09:52:00Z">
              <w:r w:rsidRPr="002C400D">
                <w:rPr>
                  <w:rFonts w:cs="Calibri"/>
                  <w:color w:val="000000"/>
                  <w:sz w:val="20"/>
                  <w:lang w:val="en-US" w:eastAsia="zh-CN"/>
                </w:rPr>
                <w:t>-</w:t>
              </w:r>
            </w:ins>
          </w:p>
        </w:tc>
        <w:tc>
          <w:tcPr>
            <w:tcW w:w="1418" w:type="dxa"/>
            <w:tcBorders>
              <w:top w:val="single" w:sz="4" w:space="0" w:color="auto"/>
              <w:bottom w:val="nil"/>
            </w:tcBorders>
            <w:tcPrChange w:id="711" w:author="Dalhen, Eric" w:date="2018-02-27T09:55:00Z">
              <w:tcPr>
                <w:tcW w:w="1134" w:type="dxa"/>
                <w:gridSpan w:val="2"/>
                <w:tcBorders>
                  <w:top w:val="single" w:sz="4" w:space="0" w:color="auto"/>
                  <w:bottom w:val="nil"/>
                </w:tcBorders>
              </w:tcPr>
            </w:tcPrChange>
          </w:tcPr>
          <w:p w14:paraId="4827AFE4" w14:textId="77777777" w:rsidR="00894D47" w:rsidRPr="002C400D" w:rsidRDefault="00894D47">
            <w:pPr>
              <w:overflowPunct/>
              <w:spacing w:before="80" w:after="80"/>
              <w:jc w:val="center"/>
              <w:textAlignment w:val="auto"/>
              <w:rPr>
                <w:ins w:id="712" w:author="Dalhen, Eric" w:date="2018-02-27T09:52:00Z"/>
                <w:rFonts w:cs="Calibri"/>
                <w:color w:val="000000"/>
                <w:sz w:val="20"/>
                <w:lang w:val="en-US" w:eastAsia="zh-CN"/>
              </w:rPr>
              <w:pPrChange w:id="713" w:author="Dalhen, Eric" w:date="2018-02-27T09:55:00Z">
                <w:pPr>
                  <w:overflowPunct/>
                  <w:spacing w:before="0"/>
                  <w:textAlignment w:val="auto"/>
                </w:pPr>
              </w:pPrChange>
            </w:pPr>
            <w:ins w:id="714" w:author="Dalhen, Eric" w:date="2018-02-27T09:52:00Z">
              <w:r w:rsidRPr="002C400D">
                <w:rPr>
                  <w:rFonts w:cs="Calibri"/>
                  <w:color w:val="000000"/>
                  <w:sz w:val="20"/>
                  <w:lang w:val="en-US" w:eastAsia="zh-CN"/>
                </w:rPr>
                <w:t>50 000</w:t>
              </w:r>
            </w:ins>
          </w:p>
        </w:tc>
        <w:tc>
          <w:tcPr>
            <w:tcW w:w="1418" w:type="dxa"/>
            <w:tcBorders>
              <w:top w:val="single" w:sz="4" w:space="0" w:color="auto"/>
              <w:bottom w:val="nil"/>
            </w:tcBorders>
            <w:tcPrChange w:id="715" w:author="Dalhen, Eric" w:date="2018-02-27T09:55:00Z">
              <w:tcPr>
                <w:tcW w:w="1418" w:type="dxa"/>
                <w:gridSpan w:val="3"/>
                <w:tcBorders>
                  <w:top w:val="single" w:sz="4" w:space="0" w:color="auto"/>
                  <w:bottom w:val="nil"/>
                </w:tcBorders>
              </w:tcPr>
            </w:tcPrChange>
          </w:tcPr>
          <w:p w14:paraId="4827AFE5" w14:textId="77777777" w:rsidR="00894D47" w:rsidRPr="002C400D" w:rsidRDefault="00894D47">
            <w:pPr>
              <w:overflowPunct/>
              <w:spacing w:before="80" w:after="80"/>
              <w:jc w:val="center"/>
              <w:textAlignment w:val="auto"/>
              <w:rPr>
                <w:ins w:id="716" w:author="Dalhen, Eric" w:date="2018-02-27T09:52:00Z"/>
                <w:rFonts w:cs="Calibri"/>
                <w:color w:val="000000"/>
                <w:sz w:val="20"/>
                <w:lang w:val="en-US" w:eastAsia="zh-CN"/>
              </w:rPr>
              <w:pPrChange w:id="717" w:author="Dalhen, Eric" w:date="2018-02-27T09:55:00Z">
                <w:pPr>
                  <w:overflowPunct/>
                  <w:spacing w:before="0"/>
                  <w:textAlignment w:val="auto"/>
                </w:pPr>
              </w:pPrChange>
            </w:pPr>
            <w:ins w:id="718" w:author="Dalhen, Eric" w:date="2018-02-27T09:52:00Z">
              <w:r w:rsidRPr="002C400D">
                <w:rPr>
                  <w:rFonts w:cs="Calibri"/>
                  <w:color w:val="000000"/>
                  <w:sz w:val="20"/>
                  <w:lang w:val="en-US" w:eastAsia="zh-CN"/>
                </w:rPr>
                <w:t>50 000</w:t>
              </w:r>
            </w:ins>
          </w:p>
        </w:tc>
        <w:tc>
          <w:tcPr>
            <w:tcW w:w="1559" w:type="dxa"/>
            <w:tcBorders>
              <w:top w:val="single" w:sz="4" w:space="0" w:color="auto"/>
              <w:bottom w:val="nil"/>
            </w:tcBorders>
            <w:tcPrChange w:id="719" w:author="Dalhen, Eric" w:date="2018-02-27T09:55:00Z">
              <w:tcPr>
                <w:tcW w:w="1559" w:type="dxa"/>
                <w:gridSpan w:val="3"/>
                <w:tcBorders>
                  <w:top w:val="single" w:sz="4" w:space="0" w:color="auto"/>
                  <w:bottom w:val="nil"/>
                </w:tcBorders>
              </w:tcPr>
            </w:tcPrChange>
          </w:tcPr>
          <w:p w14:paraId="4827AFE6" w14:textId="77777777" w:rsidR="00894D47" w:rsidRPr="002C400D" w:rsidRDefault="00894D47">
            <w:pPr>
              <w:overflowPunct/>
              <w:spacing w:before="80" w:after="80"/>
              <w:jc w:val="center"/>
              <w:textAlignment w:val="auto"/>
              <w:rPr>
                <w:ins w:id="720" w:author="Dalhen, Eric" w:date="2018-02-27T09:52:00Z"/>
                <w:rFonts w:cs="Calibri"/>
                <w:color w:val="000000"/>
                <w:sz w:val="20"/>
                <w:lang w:val="en-US" w:eastAsia="zh-CN"/>
              </w:rPr>
              <w:pPrChange w:id="721" w:author="Dalhen, Eric" w:date="2018-02-27T09:55:00Z">
                <w:pPr>
                  <w:overflowPunct/>
                  <w:spacing w:before="0"/>
                  <w:textAlignment w:val="auto"/>
                </w:pPr>
              </w:pPrChange>
            </w:pPr>
            <w:ins w:id="722" w:author="Dalhen, Eric" w:date="2018-02-27T09:52:00Z">
              <w:r w:rsidRPr="002C400D">
                <w:rPr>
                  <w:rFonts w:cs="Calibri"/>
                  <w:color w:val="000000"/>
                  <w:sz w:val="20"/>
                  <w:lang w:val="en-US" w:eastAsia="zh-CN"/>
                </w:rPr>
                <w:t>17</w:t>
              </w:r>
            </w:ins>
          </w:p>
        </w:tc>
      </w:tr>
      <w:tr w:rsidR="00894D47" w:rsidRPr="002C400D" w14:paraId="4827AFEC" w14:textId="77777777" w:rsidTr="00894D47">
        <w:trPr>
          <w:trHeight w:val="99"/>
          <w:jc w:val="center"/>
          <w:ins w:id="723" w:author="Dalhen, Eric" w:date="2018-02-27T09:52:00Z"/>
          <w:trPrChange w:id="724" w:author="Dalhen, Eric" w:date="2018-02-27T09:55:00Z">
            <w:trPr>
              <w:gridAfter w:val="0"/>
              <w:trHeight w:val="99"/>
              <w:jc w:val="center"/>
            </w:trPr>
          </w:trPrChange>
        </w:trPr>
        <w:tc>
          <w:tcPr>
            <w:tcW w:w="1418" w:type="dxa"/>
            <w:tcBorders>
              <w:top w:val="nil"/>
            </w:tcBorders>
            <w:tcPrChange w:id="725" w:author="Dalhen, Eric" w:date="2018-02-27T09:55:00Z">
              <w:tcPr>
                <w:tcW w:w="1560" w:type="dxa"/>
                <w:gridSpan w:val="2"/>
                <w:tcBorders>
                  <w:top w:val="nil"/>
                </w:tcBorders>
              </w:tcPr>
            </w:tcPrChange>
          </w:tcPr>
          <w:p w14:paraId="4827AFE8" w14:textId="77777777" w:rsidR="00894D47" w:rsidRPr="002C400D" w:rsidRDefault="00894D47">
            <w:pPr>
              <w:overflowPunct/>
              <w:spacing w:before="80" w:after="80"/>
              <w:jc w:val="center"/>
              <w:textAlignment w:val="auto"/>
              <w:rPr>
                <w:ins w:id="726" w:author="Dalhen, Eric" w:date="2018-02-27T09:52:00Z"/>
                <w:rFonts w:cs="Calibri"/>
                <w:color w:val="000000"/>
                <w:sz w:val="20"/>
                <w:lang w:val="en-US" w:eastAsia="zh-CN"/>
              </w:rPr>
              <w:pPrChange w:id="727" w:author="Dalhen, Eric" w:date="2018-02-27T09:55:00Z">
                <w:pPr>
                  <w:overflowPunct/>
                  <w:spacing w:before="0"/>
                  <w:textAlignment w:val="auto"/>
                </w:pPr>
              </w:pPrChange>
            </w:pPr>
            <w:ins w:id="728" w:author="Dalhen, Eric" w:date="2018-02-27T09:52:00Z">
              <w:r w:rsidRPr="002C400D">
                <w:rPr>
                  <w:rFonts w:cs="Calibri"/>
                  <w:color w:val="000000"/>
                  <w:sz w:val="20"/>
                  <w:lang w:val="en-US" w:eastAsia="zh-CN"/>
                </w:rPr>
                <w:t>50 000</w:t>
              </w:r>
            </w:ins>
          </w:p>
        </w:tc>
        <w:tc>
          <w:tcPr>
            <w:tcW w:w="1418" w:type="dxa"/>
            <w:tcBorders>
              <w:top w:val="nil"/>
            </w:tcBorders>
            <w:tcPrChange w:id="729" w:author="Dalhen, Eric" w:date="2018-02-27T09:55:00Z">
              <w:tcPr>
                <w:tcW w:w="1134" w:type="dxa"/>
                <w:gridSpan w:val="2"/>
                <w:tcBorders>
                  <w:top w:val="nil"/>
                </w:tcBorders>
              </w:tcPr>
            </w:tcPrChange>
          </w:tcPr>
          <w:p w14:paraId="4827AFE9" w14:textId="77777777" w:rsidR="00894D47" w:rsidRPr="002C400D" w:rsidRDefault="00894D47">
            <w:pPr>
              <w:overflowPunct/>
              <w:spacing w:before="80" w:after="80"/>
              <w:jc w:val="center"/>
              <w:textAlignment w:val="auto"/>
              <w:rPr>
                <w:ins w:id="730" w:author="Dalhen, Eric" w:date="2018-02-27T09:52:00Z"/>
                <w:rFonts w:cs="Calibri"/>
                <w:color w:val="000000"/>
                <w:sz w:val="20"/>
                <w:lang w:val="en-US" w:eastAsia="zh-CN"/>
              </w:rPr>
              <w:pPrChange w:id="731" w:author="Dalhen, Eric" w:date="2018-02-27T09:55:00Z">
                <w:pPr>
                  <w:overflowPunct/>
                  <w:spacing w:before="0"/>
                  <w:textAlignment w:val="auto"/>
                </w:pPr>
              </w:pPrChange>
            </w:pPr>
            <w:ins w:id="732" w:author="Dalhen, Eric" w:date="2018-02-27T09:52:00Z">
              <w:r w:rsidRPr="002C400D">
                <w:rPr>
                  <w:rFonts w:cs="Calibri"/>
                  <w:color w:val="000000"/>
                  <w:sz w:val="20"/>
                  <w:lang w:val="en-US" w:eastAsia="zh-CN"/>
                </w:rPr>
                <w:t>100 000</w:t>
              </w:r>
            </w:ins>
          </w:p>
        </w:tc>
        <w:tc>
          <w:tcPr>
            <w:tcW w:w="1418" w:type="dxa"/>
            <w:tcBorders>
              <w:top w:val="nil"/>
            </w:tcBorders>
            <w:tcPrChange w:id="733" w:author="Dalhen, Eric" w:date="2018-02-27T09:55:00Z">
              <w:tcPr>
                <w:tcW w:w="1418" w:type="dxa"/>
                <w:gridSpan w:val="3"/>
                <w:tcBorders>
                  <w:top w:val="nil"/>
                </w:tcBorders>
              </w:tcPr>
            </w:tcPrChange>
          </w:tcPr>
          <w:p w14:paraId="4827AFEA" w14:textId="77777777" w:rsidR="00894D47" w:rsidRPr="002C400D" w:rsidRDefault="00894D47">
            <w:pPr>
              <w:overflowPunct/>
              <w:spacing w:before="80" w:after="80"/>
              <w:jc w:val="center"/>
              <w:textAlignment w:val="auto"/>
              <w:rPr>
                <w:ins w:id="734" w:author="Dalhen, Eric" w:date="2018-02-27T09:52:00Z"/>
                <w:rFonts w:cs="Calibri"/>
                <w:color w:val="000000"/>
                <w:sz w:val="20"/>
                <w:lang w:val="en-US" w:eastAsia="zh-CN"/>
              </w:rPr>
              <w:pPrChange w:id="735" w:author="Dalhen, Eric" w:date="2018-02-27T09:55:00Z">
                <w:pPr>
                  <w:overflowPunct/>
                  <w:spacing w:before="0"/>
                  <w:textAlignment w:val="auto"/>
                </w:pPr>
              </w:pPrChange>
            </w:pPr>
            <w:ins w:id="736" w:author="Dalhen, Eric" w:date="2018-02-27T09:52:00Z">
              <w:r w:rsidRPr="002C400D">
                <w:rPr>
                  <w:rFonts w:cs="Calibri"/>
                  <w:color w:val="000000"/>
                  <w:sz w:val="20"/>
                  <w:lang w:val="en-US" w:eastAsia="zh-CN"/>
                </w:rPr>
                <w:t>50 000</w:t>
              </w:r>
            </w:ins>
          </w:p>
        </w:tc>
        <w:tc>
          <w:tcPr>
            <w:tcW w:w="1559" w:type="dxa"/>
            <w:tcBorders>
              <w:top w:val="nil"/>
            </w:tcBorders>
            <w:tcPrChange w:id="737" w:author="Dalhen, Eric" w:date="2018-02-27T09:55:00Z">
              <w:tcPr>
                <w:tcW w:w="1559" w:type="dxa"/>
                <w:gridSpan w:val="3"/>
                <w:tcBorders>
                  <w:top w:val="nil"/>
                </w:tcBorders>
              </w:tcPr>
            </w:tcPrChange>
          </w:tcPr>
          <w:p w14:paraId="4827AFEB" w14:textId="77777777" w:rsidR="00894D47" w:rsidRPr="002C400D" w:rsidRDefault="00894D47">
            <w:pPr>
              <w:overflowPunct/>
              <w:spacing w:before="80" w:after="80"/>
              <w:jc w:val="center"/>
              <w:textAlignment w:val="auto"/>
              <w:rPr>
                <w:ins w:id="738" w:author="Dalhen, Eric" w:date="2018-02-27T09:52:00Z"/>
                <w:rFonts w:cs="Calibri"/>
                <w:color w:val="000000"/>
                <w:sz w:val="20"/>
                <w:lang w:val="en-US" w:eastAsia="zh-CN"/>
              </w:rPr>
              <w:pPrChange w:id="739" w:author="Dalhen, Eric" w:date="2018-02-27T09:55:00Z">
                <w:pPr>
                  <w:overflowPunct/>
                  <w:spacing w:before="0"/>
                  <w:textAlignment w:val="auto"/>
                </w:pPr>
              </w:pPrChange>
            </w:pPr>
            <w:ins w:id="740" w:author="Dalhen, Eric" w:date="2018-02-27T09:52:00Z">
              <w:r w:rsidRPr="002C400D">
                <w:rPr>
                  <w:rFonts w:cs="Calibri"/>
                  <w:color w:val="000000"/>
                  <w:sz w:val="20"/>
                  <w:lang w:val="en-US" w:eastAsia="zh-CN"/>
                </w:rPr>
                <w:t>24</w:t>
              </w:r>
            </w:ins>
          </w:p>
        </w:tc>
      </w:tr>
      <w:tr w:rsidR="00894D47" w:rsidRPr="002C400D" w14:paraId="4827AFF1" w14:textId="77777777" w:rsidTr="00894D47">
        <w:trPr>
          <w:trHeight w:val="99"/>
          <w:jc w:val="center"/>
          <w:ins w:id="741" w:author="Dalhen, Eric" w:date="2018-02-27T09:52:00Z"/>
          <w:trPrChange w:id="742" w:author="Dalhen, Eric" w:date="2018-02-27T09:55:00Z">
            <w:trPr>
              <w:gridAfter w:val="0"/>
              <w:trHeight w:val="99"/>
              <w:jc w:val="center"/>
            </w:trPr>
          </w:trPrChange>
        </w:trPr>
        <w:tc>
          <w:tcPr>
            <w:tcW w:w="1418" w:type="dxa"/>
            <w:tcBorders>
              <w:bottom w:val="nil"/>
            </w:tcBorders>
            <w:tcPrChange w:id="743" w:author="Dalhen, Eric" w:date="2018-02-27T09:55:00Z">
              <w:tcPr>
                <w:tcW w:w="1560" w:type="dxa"/>
                <w:gridSpan w:val="2"/>
                <w:tcBorders>
                  <w:bottom w:val="nil"/>
                </w:tcBorders>
              </w:tcPr>
            </w:tcPrChange>
          </w:tcPr>
          <w:p w14:paraId="4827AFED" w14:textId="77777777" w:rsidR="00894D47" w:rsidRPr="002C400D" w:rsidRDefault="00894D47">
            <w:pPr>
              <w:overflowPunct/>
              <w:spacing w:before="80" w:after="80"/>
              <w:jc w:val="center"/>
              <w:textAlignment w:val="auto"/>
              <w:rPr>
                <w:ins w:id="744" w:author="Dalhen, Eric" w:date="2018-02-27T09:52:00Z"/>
                <w:rFonts w:cs="Calibri"/>
                <w:color w:val="000000"/>
                <w:sz w:val="20"/>
                <w:lang w:val="en-US" w:eastAsia="zh-CN"/>
              </w:rPr>
              <w:pPrChange w:id="745" w:author="Dalhen, Eric" w:date="2018-02-27T09:55:00Z">
                <w:pPr>
                  <w:overflowPunct/>
                  <w:spacing w:before="0"/>
                  <w:textAlignment w:val="auto"/>
                </w:pPr>
              </w:pPrChange>
            </w:pPr>
            <w:ins w:id="746" w:author="Dalhen, Eric" w:date="2018-02-27T09:52:00Z">
              <w:r w:rsidRPr="002C400D">
                <w:rPr>
                  <w:rFonts w:cs="Calibri"/>
                  <w:color w:val="000000"/>
                  <w:sz w:val="20"/>
                  <w:lang w:val="en-US" w:eastAsia="zh-CN"/>
                </w:rPr>
                <w:t>100 000</w:t>
              </w:r>
            </w:ins>
          </w:p>
        </w:tc>
        <w:tc>
          <w:tcPr>
            <w:tcW w:w="1418" w:type="dxa"/>
            <w:tcBorders>
              <w:bottom w:val="nil"/>
            </w:tcBorders>
            <w:tcPrChange w:id="747" w:author="Dalhen, Eric" w:date="2018-02-27T09:55:00Z">
              <w:tcPr>
                <w:tcW w:w="1134" w:type="dxa"/>
                <w:gridSpan w:val="2"/>
                <w:tcBorders>
                  <w:bottom w:val="nil"/>
                </w:tcBorders>
              </w:tcPr>
            </w:tcPrChange>
          </w:tcPr>
          <w:p w14:paraId="4827AFEE" w14:textId="77777777" w:rsidR="00894D47" w:rsidRPr="002C400D" w:rsidRDefault="00894D47">
            <w:pPr>
              <w:overflowPunct/>
              <w:spacing w:before="80" w:after="80"/>
              <w:jc w:val="center"/>
              <w:textAlignment w:val="auto"/>
              <w:rPr>
                <w:ins w:id="748" w:author="Dalhen, Eric" w:date="2018-02-27T09:52:00Z"/>
                <w:rFonts w:cs="Calibri"/>
                <w:color w:val="000000"/>
                <w:sz w:val="20"/>
                <w:lang w:val="en-US" w:eastAsia="zh-CN"/>
              </w:rPr>
              <w:pPrChange w:id="749" w:author="Dalhen, Eric" w:date="2018-02-27T09:55:00Z">
                <w:pPr>
                  <w:overflowPunct/>
                  <w:spacing w:before="0"/>
                  <w:textAlignment w:val="auto"/>
                </w:pPr>
              </w:pPrChange>
            </w:pPr>
            <w:ins w:id="750" w:author="Dalhen, Eric" w:date="2018-02-27T09:52:00Z">
              <w:r w:rsidRPr="002C400D">
                <w:rPr>
                  <w:rFonts w:cs="Calibri"/>
                  <w:color w:val="000000"/>
                  <w:sz w:val="20"/>
                  <w:lang w:val="en-US" w:eastAsia="zh-CN"/>
                </w:rPr>
                <w:t>150 000</w:t>
              </w:r>
            </w:ins>
          </w:p>
        </w:tc>
        <w:tc>
          <w:tcPr>
            <w:tcW w:w="1418" w:type="dxa"/>
            <w:tcBorders>
              <w:bottom w:val="nil"/>
            </w:tcBorders>
            <w:tcPrChange w:id="751" w:author="Dalhen, Eric" w:date="2018-02-27T09:55:00Z">
              <w:tcPr>
                <w:tcW w:w="1418" w:type="dxa"/>
                <w:gridSpan w:val="3"/>
                <w:tcBorders>
                  <w:bottom w:val="nil"/>
                </w:tcBorders>
              </w:tcPr>
            </w:tcPrChange>
          </w:tcPr>
          <w:p w14:paraId="4827AFEF" w14:textId="77777777" w:rsidR="00894D47" w:rsidRPr="002C400D" w:rsidRDefault="00894D47">
            <w:pPr>
              <w:overflowPunct/>
              <w:spacing w:before="80" w:after="80"/>
              <w:jc w:val="center"/>
              <w:textAlignment w:val="auto"/>
              <w:rPr>
                <w:ins w:id="752" w:author="Dalhen, Eric" w:date="2018-02-27T09:52:00Z"/>
                <w:rFonts w:cs="Calibri"/>
                <w:color w:val="000000"/>
                <w:sz w:val="20"/>
                <w:lang w:val="en-US" w:eastAsia="zh-CN"/>
              </w:rPr>
              <w:pPrChange w:id="753" w:author="Dalhen, Eric" w:date="2018-02-27T09:55:00Z">
                <w:pPr>
                  <w:overflowPunct/>
                  <w:spacing w:before="0"/>
                  <w:textAlignment w:val="auto"/>
                </w:pPr>
              </w:pPrChange>
            </w:pPr>
            <w:ins w:id="754" w:author="Dalhen, Eric" w:date="2018-02-27T09:52:00Z">
              <w:r w:rsidRPr="002C400D">
                <w:rPr>
                  <w:rFonts w:cs="Calibri"/>
                  <w:color w:val="000000"/>
                  <w:sz w:val="20"/>
                  <w:lang w:val="en-US" w:eastAsia="zh-CN"/>
                </w:rPr>
                <w:t>50 000</w:t>
              </w:r>
            </w:ins>
          </w:p>
        </w:tc>
        <w:tc>
          <w:tcPr>
            <w:tcW w:w="1559" w:type="dxa"/>
            <w:tcBorders>
              <w:bottom w:val="nil"/>
            </w:tcBorders>
            <w:tcPrChange w:id="755" w:author="Dalhen, Eric" w:date="2018-02-27T09:55:00Z">
              <w:tcPr>
                <w:tcW w:w="1559" w:type="dxa"/>
                <w:gridSpan w:val="3"/>
                <w:tcBorders>
                  <w:bottom w:val="nil"/>
                </w:tcBorders>
              </w:tcPr>
            </w:tcPrChange>
          </w:tcPr>
          <w:p w14:paraId="4827AFF0" w14:textId="77777777" w:rsidR="00894D47" w:rsidRPr="002C400D" w:rsidRDefault="00894D47">
            <w:pPr>
              <w:overflowPunct/>
              <w:spacing w:before="80" w:after="80"/>
              <w:jc w:val="center"/>
              <w:textAlignment w:val="auto"/>
              <w:rPr>
                <w:ins w:id="756" w:author="Dalhen, Eric" w:date="2018-02-27T09:52:00Z"/>
                <w:rFonts w:cs="Calibri"/>
                <w:color w:val="000000"/>
                <w:sz w:val="20"/>
                <w:lang w:val="en-US" w:eastAsia="zh-CN"/>
              </w:rPr>
              <w:pPrChange w:id="757" w:author="Dalhen, Eric" w:date="2018-02-27T09:55:00Z">
                <w:pPr>
                  <w:overflowPunct/>
                  <w:spacing w:before="0"/>
                  <w:textAlignment w:val="auto"/>
                </w:pPr>
              </w:pPrChange>
            </w:pPr>
            <w:ins w:id="758" w:author="Dalhen, Eric" w:date="2018-02-27T09:52:00Z">
              <w:r w:rsidRPr="002C400D">
                <w:rPr>
                  <w:rFonts w:cs="Calibri"/>
                  <w:color w:val="000000"/>
                  <w:sz w:val="20"/>
                  <w:lang w:val="en-US" w:eastAsia="zh-CN"/>
                </w:rPr>
                <w:t>30</w:t>
              </w:r>
            </w:ins>
          </w:p>
        </w:tc>
      </w:tr>
      <w:tr w:rsidR="00894D47" w:rsidRPr="002C400D" w14:paraId="4827AFF6" w14:textId="77777777" w:rsidTr="00894D47">
        <w:trPr>
          <w:trHeight w:val="99"/>
          <w:jc w:val="center"/>
          <w:ins w:id="759" w:author="Dalhen, Eric" w:date="2018-02-27T09:52:00Z"/>
          <w:trPrChange w:id="760" w:author="Dalhen, Eric" w:date="2018-02-27T09:55:00Z">
            <w:trPr>
              <w:gridAfter w:val="0"/>
              <w:trHeight w:val="99"/>
              <w:jc w:val="center"/>
            </w:trPr>
          </w:trPrChange>
        </w:trPr>
        <w:tc>
          <w:tcPr>
            <w:tcW w:w="1418" w:type="dxa"/>
            <w:tcBorders>
              <w:top w:val="nil"/>
              <w:bottom w:val="single" w:sz="4" w:space="0" w:color="auto"/>
            </w:tcBorders>
            <w:tcPrChange w:id="761" w:author="Dalhen, Eric" w:date="2018-02-27T09:55:00Z">
              <w:tcPr>
                <w:tcW w:w="1560" w:type="dxa"/>
                <w:gridSpan w:val="2"/>
                <w:tcBorders>
                  <w:top w:val="nil"/>
                  <w:bottom w:val="single" w:sz="4" w:space="0" w:color="auto"/>
                </w:tcBorders>
              </w:tcPr>
            </w:tcPrChange>
          </w:tcPr>
          <w:p w14:paraId="4827AFF2" w14:textId="77777777" w:rsidR="00894D47" w:rsidRPr="002C400D" w:rsidRDefault="00894D47">
            <w:pPr>
              <w:overflowPunct/>
              <w:spacing w:before="80" w:after="80"/>
              <w:jc w:val="center"/>
              <w:textAlignment w:val="auto"/>
              <w:rPr>
                <w:ins w:id="762" w:author="Dalhen, Eric" w:date="2018-02-27T09:52:00Z"/>
                <w:rFonts w:cs="Calibri"/>
                <w:color w:val="000000"/>
                <w:sz w:val="20"/>
                <w:lang w:val="en-US" w:eastAsia="zh-CN"/>
              </w:rPr>
              <w:pPrChange w:id="763" w:author="Dalhen, Eric" w:date="2018-02-27T09:55:00Z">
                <w:pPr>
                  <w:overflowPunct/>
                  <w:spacing w:before="0"/>
                  <w:textAlignment w:val="auto"/>
                </w:pPr>
              </w:pPrChange>
            </w:pPr>
            <w:ins w:id="764" w:author="Dalhen, Eric" w:date="2018-02-27T09:52:00Z">
              <w:r w:rsidRPr="002C400D">
                <w:rPr>
                  <w:rFonts w:cs="Calibri"/>
                  <w:color w:val="000000"/>
                  <w:sz w:val="20"/>
                  <w:lang w:val="en-US" w:eastAsia="zh-CN"/>
                </w:rPr>
                <w:t>150 000</w:t>
              </w:r>
            </w:ins>
          </w:p>
        </w:tc>
        <w:tc>
          <w:tcPr>
            <w:tcW w:w="1418" w:type="dxa"/>
            <w:tcBorders>
              <w:top w:val="nil"/>
              <w:bottom w:val="single" w:sz="4" w:space="0" w:color="auto"/>
            </w:tcBorders>
            <w:tcPrChange w:id="765" w:author="Dalhen, Eric" w:date="2018-02-27T09:55:00Z">
              <w:tcPr>
                <w:tcW w:w="1134" w:type="dxa"/>
                <w:gridSpan w:val="2"/>
                <w:tcBorders>
                  <w:top w:val="nil"/>
                  <w:bottom w:val="single" w:sz="4" w:space="0" w:color="auto"/>
                </w:tcBorders>
              </w:tcPr>
            </w:tcPrChange>
          </w:tcPr>
          <w:p w14:paraId="4827AFF3" w14:textId="77777777" w:rsidR="00894D47" w:rsidRPr="002C400D" w:rsidRDefault="00894D47">
            <w:pPr>
              <w:overflowPunct/>
              <w:spacing w:before="80" w:after="80"/>
              <w:jc w:val="center"/>
              <w:textAlignment w:val="auto"/>
              <w:rPr>
                <w:ins w:id="766" w:author="Dalhen, Eric" w:date="2018-02-27T09:52:00Z"/>
                <w:rFonts w:cs="Calibri"/>
                <w:color w:val="000000"/>
                <w:sz w:val="20"/>
                <w:lang w:val="en-US" w:eastAsia="zh-CN"/>
              </w:rPr>
              <w:pPrChange w:id="767" w:author="Dalhen, Eric" w:date="2018-02-27T09:55:00Z">
                <w:pPr>
                  <w:overflowPunct/>
                  <w:spacing w:before="0"/>
                  <w:textAlignment w:val="auto"/>
                </w:pPr>
              </w:pPrChange>
            </w:pPr>
            <w:ins w:id="768" w:author="Tang, Ting" w:date="2018-03-28T16:04:00Z">
              <w:r w:rsidRPr="002C400D">
                <w:rPr>
                  <w:rFonts w:cs="Calibri" w:hint="eastAsia"/>
                  <w:color w:val="000000"/>
                  <w:sz w:val="20"/>
                  <w:lang w:val="en-US" w:eastAsia="zh-CN"/>
                </w:rPr>
                <w:t>更多</w:t>
              </w:r>
            </w:ins>
          </w:p>
        </w:tc>
        <w:tc>
          <w:tcPr>
            <w:tcW w:w="1418" w:type="dxa"/>
            <w:tcBorders>
              <w:top w:val="nil"/>
              <w:bottom w:val="single" w:sz="4" w:space="0" w:color="auto"/>
            </w:tcBorders>
            <w:tcPrChange w:id="769" w:author="Dalhen, Eric" w:date="2018-02-27T09:55:00Z">
              <w:tcPr>
                <w:tcW w:w="1418" w:type="dxa"/>
                <w:gridSpan w:val="3"/>
                <w:tcBorders>
                  <w:top w:val="nil"/>
                  <w:bottom w:val="single" w:sz="4" w:space="0" w:color="auto"/>
                </w:tcBorders>
              </w:tcPr>
            </w:tcPrChange>
          </w:tcPr>
          <w:p w14:paraId="4827AFF4" w14:textId="77777777" w:rsidR="00894D47" w:rsidRPr="002C400D" w:rsidRDefault="00894D47">
            <w:pPr>
              <w:overflowPunct/>
              <w:spacing w:before="80" w:after="80"/>
              <w:jc w:val="center"/>
              <w:textAlignment w:val="auto"/>
              <w:rPr>
                <w:ins w:id="770" w:author="Dalhen, Eric" w:date="2018-02-27T09:52:00Z"/>
                <w:rFonts w:cs="Calibri"/>
                <w:color w:val="000000"/>
                <w:sz w:val="20"/>
                <w:lang w:val="en-US" w:eastAsia="zh-CN"/>
              </w:rPr>
              <w:pPrChange w:id="771" w:author="Dalhen, Eric" w:date="2018-02-27T09:55:00Z">
                <w:pPr>
                  <w:overflowPunct/>
                  <w:spacing w:before="0"/>
                  <w:textAlignment w:val="auto"/>
                </w:pPr>
              </w:pPrChange>
            </w:pPr>
            <w:ins w:id="772" w:author="Dalhen, Eric" w:date="2018-02-27T09:52:00Z">
              <w:r w:rsidRPr="002C400D">
                <w:rPr>
                  <w:rFonts w:cs="Calibri"/>
                  <w:color w:val="000000"/>
                  <w:sz w:val="20"/>
                  <w:lang w:val="en-US" w:eastAsia="zh-CN"/>
                </w:rPr>
                <w:t>-</w:t>
              </w:r>
            </w:ins>
          </w:p>
        </w:tc>
        <w:tc>
          <w:tcPr>
            <w:tcW w:w="1559" w:type="dxa"/>
            <w:tcBorders>
              <w:top w:val="nil"/>
              <w:bottom w:val="single" w:sz="4" w:space="0" w:color="auto"/>
            </w:tcBorders>
            <w:tcPrChange w:id="773" w:author="Dalhen, Eric" w:date="2018-02-27T09:55:00Z">
              <w:tcPr>
                <w:tcW w:w="1559" w:type="dxa"/>
                <w:gridSpan w:val="3"/>
                <w:tcBorders>
                  <w:top w:val="nil"/>
                  <w:bottom w:val="single" w:sz="4" w:space="0" w:color="auto"/>
                </w:tcBorders>
              </w:tcPr>
            </w:tcPrChange>
          </w:tcPr>
          <w:p w14:paraId="4827AFF5" w14:textId="77777777" w:rsidR="00894D47" w:rsidRPr="002C400D" w:rsidRDefault="00894D47">
            <w:pPr>
              <w:overflowPunct/>
              <w:spacing w:before="80" w:after="80"/>
              <w:jc w:val="center"/>
              <w:textAlignment w:val="auto"/>
              <w:rPr>
                <w:ins w:id="774" w:author="Dalhen, Eric" w:date="2018-02-27T09:52:00Z"/>
                <w:rFonts w:cs="Calibri"/>
                <w:color w:val="000000"/>
                <w:sz w:val="20"/>
                <w:lang w:val="en-US" w:eastAsia="zh-CN"/>
              </w:rPr>
              <w:pPrChange w:id="775" w:author="Dalhen, Eric" w:date="2018-02-27T09:55:00Z">
                <w:pPr>
                  <w:overflowPunct/>
                  <w:spacing w:before="0"/>
                  <w:textAlignment w:val="auto"/>
                </w:pPr>
              </w:pPrChange>
            </w:pPr>
            <w:ins w:id="776" w:author="Dalhen, Eric" w:date="2018-02-27T09:52:00Z">
              <w:r w:rsidRPr="002C400D">
                <w:rPr>
                  <w:rFonts w:cs="Calibri"/>
                  <w:color w:val="000000"/>
                  <w:sz w:val="20"/>
                  <w:lang w:val="en-US" w:eastAsia="zh-CN"/>
                </w:rPr>
                <w:t>34</w:t>
              </w:r>
            </w:ins>
          </w:p>
        </w:tc>
      </w:tr>
    </w:tbl>
    <w:p w14:paraId="4827AFF7" w14:textId="77777777" w:rsidR="00EF16B5" w:rsidRDefault="00EF16B5" w:rsidP="00EF16B5"/>
    <w:p w14:paraId="4827AFF8" w14:textId="77777777" w:rsidR="00894D47" w:rsidRPr="002C400D" w:rsidDel="009B4D06" w:rsidRDefault="00894D47" w:rsidP="00894D47">
      <w:pPr>
        <w:pStyle w:val="AnnexRef0"/>
        <w:keepLines/>
        <w:rPr>
          <w:del w:id="777" w:author="Dalhen, Eric" w:date="2018-02-27T09:52:00Z"/>
        </w:rPr>
      </w:pPr>
      <w:del w:id="778" w:author="Dalhen, Eric" w:date="2018-02-27T09:52:00Z">
        <w:r w:rsidRPr="002C400D" w:rsidDel="009B4D06">
          <w:delText>(Effective: 1 March 1995)</w:delText>
        </w:r>
      </w:del>
    </w:p>
    <w:tbl>
      <w:tblPr>
        <w:tblW w:w="0" w:type="auto"/>
        <w:jc w:val="center"/>
        <w:tblLayout w:type="fixed"/>
        <w:tblLook w:val="0000" w:firstRow="0" w:lastRow="0" w:firstColumn="0" w:lastColumn="0" w:noHBand="0" w:noVBand="0"/>
      </w:tblPr>
      <w:tblGrid>
        <w:gridCol w:w="2835"/>
        <w:gridCol w:w="2835"/>
      </w:tblGrid>
      <w:tr w:rsidR="00894D47" w:rsidRPr="002C400D" w:rsidDel="009B4D06" w14:paraId="4827AFFA" w14:textId="77777777" w:rsidTr="00894D47">
        <w:trPr>
          <w:cantSplit/>
          <w:jc w:val="center"/>
          <w:del w:id="779" w:author="Dalhen, Eric" w:date="2018-02-27T09:52:00Z"/>
        </w:trPr>
        <w:tc>
          <w:tcPr>
            <w:tcW w:w="5670" w:type="dxa"/>
            <w:gridSpan w:val="2"/>
            <w:tcBorders>
              <w:top w:val="single" w:sz="6" w:space="0" w:color="auto"/>
              <w:left w:val="single" w:sz="6" w:space="0" w:color="auto"/>
              <w:bottom w:val="single" w:sz="6" w:space="0" w:color="auto"/>
              <w:right w:val="single" w:sz="6" w:space="0" w:color="auto"/>
            </w:tcBorders>
          </w:tcPr>
          <w:p w14:paraId="4827AFF9" w14:textId="77777777" w:rsidR="00894D47" w:rsidRPr="002C400D" w:rsidDel="009B4D06" w:rsidRDefault="00894D47" w:rsidP="00894D47">
            <w:pPr>
              <w:pStyle w:val="TableText0"/>
              <w:spacing w:before="57" w:after="57"/>
              <w:jc w:val="center"/>
              <w:rPr>
                <w:del w:id="780" w:author="Dalhen, Eric" w:date="2018-02-27T09:52:00Z"/>
              </w:rPr>
            </w:pPr>
            <w:del w:id="781" w:author="Dalhen, Eric" w:date="2018-02-27T09:52:00Z">
              <w:r w:rsidRPr="002C400D" w:rsidDel="009B4D06">
                <w:delText>Assessment  (per cent)</w:delText>
              </w:r>
            </w:del>
          </w:p>
        </w:tc>
      </w:tr>
      <w:tr w:rsidR="00894D47" w:rsidRPr="002C400D" w:rsidDel="009B4D06" w14:paraId="4827AFFD" w14:textId="77777777" w:rsidTr="00894D47">
        <w:trPr>
          <w:cantSplit/>
          <w:jc w:val="center"/>
          <w:del w:id="782" w:author="Dalhen, Eric" w:date="2018-02-27T09:52:00Z"/>
        </w:trPr>
        <w:tc>
          <w:tcPr>
            <w:tcW w:w="2835" w:type="dxa"/>
            <w:tcBorders>
              <w:top w:val="single" w:sz="6" w:space="0" w:color="auto"/>
              <w:left w:val="single" w:sz="6" w:space="0" w:color="auto"/>
              <w:bottom w:val="single" w:sz="6" w:space="0" w:color="auto"/>
              <w:right w:val="single" w:sz="6" w:space="0" w:color="auto"/>
            </w:tcBorders>
          </w:tcPr>
          <w:p w14:paraId="4827AFFB" w14:textId="77777777" w:rsidR="00894D47" w:rsidRPr="002C400D" w:rsidDel="009B4D06" w:rsidRDefault="00894D47" w:rsidP="00894D47">
            <w:pPr>
              <w:pStyle w:val="TableText0"/>
              <w:spacing w:before="170" w:after="57"/>
              <w:jc w:val="center"/>
              <w:rPr>
                <w:del w:id="783" w:author="Dalhen, Eric" w:date="2018-02-27T09:52:00Z"/>
              </w:rPr>
            </w:pPr>
            <w:del w:id="784" w:author="Dalhen, Eric" w:date="2018-02-27T09:52:00Z">
              <w:r w:rsidRPr="002C400D" w:rsidDel="009B4D06">
                <w:delText>Total assessable payments per year</w:delText>
              </w:r>
              <w:r w:rsidRPr="002C400D" w:rsidDel="009B4D06">
                <w:br/>
                <w:delText>(in US dollars)</w:delText>
              </w:r>
            </w:del>
          </w:p>
        </w:tc>
        <w:tc>
          <w:tcPr>
            <w:tcW w:w="2835" w:type="dxa"/>
            <w:tcBorders>
              <w:top w:val="single" w:sz="6" w:space="0" w:color="auto"/>
              <w:left w:val="single" w:sz="6" w:space="0" w:color="auto"/>
              <w:bottom w:val="single" w:sz="6" w:space="0" w:color="auto"/>
              <w:right w:val="single" w:sz="6" w:space="0" w:color="auto"/>
            </w:tcBorders>
          </w:tcPr>
          <w:p w14:paraId="4827AFFC" w14:textId="77777777" w:rsidR="00894D47" w:rsidRPr="002C400D" w:rsidDel="009B4D06" w:rsidRDefault="00894D47" w:rsidP="00894D47">
            <w:pPr>
              <w:pStyle w:val="TableText0"/>
              <w:spacing w:before="57" w:after="57"/>
              <w:jc w:val="center"/>
              <w:rPr>
                <w:del w:id="785" w:author="Dalhen, Eric" w:date="2018-02-27T09:52:00Z"/>
              </w:rPr>
            </w:pPr>
            <w:del w:id="786" w:author="Dalhen, Eric" w:date="2018-02-27T09:52:00Z">
              <w:r w:rsidRPr="002C400D" w:rsidDel="009B4D06">
                <w:delText>Staff assessment rates for purposes of pensionable remuneration</w:delText>
              </w:r>
              <w:r w:rsidRPr="002C400D" w:rsidDel="009B4D06">
                <w:br/>
                <w:delText>and pensions</w:delText>
              </w:r>
            </w:del>
          </w:p>
        </w:tc>
      </w:tr>
      <w:tr w:rsidR="00894D47" w:rsidRPr="002C400D" w:rsidDel="009B4D06" w14:paraId="4827B00E" w14:textId="77777777" w:rsidTr="00894D47">
        <w:trPr>
          <w:cantSplit/>
          <w:jc w:val="center"/>
          <w:del w:id="787" w:author="Dalhen, Eric" w:date="2018-02-27T09:52:00Z"/>
        </w:trPr>
        <w:tc>
          <w:tcPr>
            <w:tcW w:w="2835" w:type="dxa"/>
            <w:tcBorders>
              <w:top w:val="single" w:sz="6" w:space="0" w:color="auto"/>
              <w:left w:val="single" w:sz="6" w:space="0" w:color="auto"/>
              <w:bottom w:val="single" w:sz="6" w:space="0" w:color="auto"/>
              <w:right w:val="single" w:sz="6" w:space="0" w:color="auto"/>
            </w:tcBorders>
          </w:tcPr>
          <w:p w14:paraId="4827AFFE" w14:textId="77777777" w:rsidR="00894D47" w:rsidRPr="002C400D" w:rsidDel="009B4D06" w:rsidRDefault="00894D47" w:rsidP="00894D47">
            <w:pPr>
              <w:pStyle w:val="TableText0"/>
              <w:spacing w:after="11"/>
              <w:jc w:val="center"/>
              <w:rPr>
                <w:del w:id="788" w:author="Dalhen, Eric" w:date="2018-02-27T09:52:00Z"/>
              </w:rPr>
            </w:pPr>
            <w:del w:id="789" w:author="Dalhen, Eric" w:date="2018-02-27T09:52:00Z">
              <w:r w:rsidRPr="002C400D" w:rsidDel="009B4D06">
                <w:delText>First</w:delText>
              </w:r>
              <w:r w:rsidRPr="002C400D" w:rsidDel="009B4D06">
                <w:tab/>
              </w:r>
              <w:r w:rsidRPr="002C400D" w:rsidDel="009B4D06">
                <w:tab/>
                <w:delText>15,000</w:delText>
              </w:r>
            </w:del>
          </w:p>
          <w:p w14:paraId="4827AFFF" w14:textId="77777777" w:rsidR="00894D47" w:rsidRPr="002C400D" w:rsidDel="009B4D06" w:rsidRDefault="00894D47" w:rsidP="00894D47">
            <w:pPr>
              <w:pStyle w:val="TableText0"/>
              <w:spacing w:before="29" w:after="11"/>
              <w:jc w:val="center"/>
              <w:rPr>
                <w:del w:id="790" w:author="Dalhen, Eric" w:date="2018-02-27T09:52:00Z"/>
              </w:rPr>
            </w:pPr>
            <w:del w:id="791" w:author="Dalhen, Eric" w:date="2018-02-27T09:52:00Z">
              <w:r w:rsidRPr="002C400D" w:rsidDel="009B4D06">
                <w:delText>Next</w:delText>
              </w:r>
              <w:r w:rsidRPr="002C400D" w:rsidDel="009B4D06">
                <w:tab/>
              </w:r>
              <w:r w:rsidRPr="002C400D" w:rsidDel="009B4D06">
                <w:tab/>
                <w:delText>10,000</w:delText>
              </w:r>
            </w:del>
          </w:p>
          <w:p w14:paraId="4827B000" w14:textId="77777777" w:rsidR="00894D47" w:rsidRPr="002C400D" w:rsidDel="009B4D06" w:rsidRDefault="00894D47" w:rsidP="00894D47">
            <w:pPr>
              <w:pStyle w:val="TableText0"/>
              <w:spacing w:before="29" w:after="11"/>
              <w:jc w:val="center"/>
              <w:rPr>
                <w:del w:id="792" w:author="Dalhen, Eric" w:date="2018-02-27T09:52:00Z"/>
              </w:rPr>
            </w:pPr>
            <w:del w:id="793" w:author="Dalhen, Eric" w:date="2018-02-27T09:52:00Z">
              <w:r w:rsidRPr="002C400D" w:rsidDel="009B4D06">
                <w:tab/>
              </w:r>
              <w:r w:rsidRPr="002C400D" w:rsidDel="009B4D06">
                <w:tab/>
                <w:delText>10,000</w:delText>
              </w:r>
            </w:del>
          </w:p>
          <w:p w14:paraId="4827B001" w14:textId="77777777" w:rsidR="00894D47" w:rsidRPr="002C400D" w:rsidDel="009B4D06" w:rsidRDefault="00894D47" w:rsidP="00894D47">
            <w:pPr>
              <w:pStyle w:val="TableText0"/>
              <w:spacing w:before="29" w:after="11"/>
              <w:jc w:val="center"/>
              <w:rPr>
                <w:del w:id="794" w:author="Dalhen, Eric" w:date="2018-02-27T09:52:00Z"/>
              </w:rPr>
            </w:pPr>
            <w:del w:id="795" w:author="Dalhen, Eric" w:date="2018-02-27T09:52:00Z">
              <w:r w:rsidRPr="002C400D" w:rsidDel="009B4D06">
                <w:tab/>
              </w:r>
              <w:r w:rsidRPr="002C400D" w:rsidDel="009B4D06">
                <w:tab/>
                <w:delText>20,000</w:delText>
              </w:r>
            </w:del>
          </w:p>
          <w:p w14:paraId="4827B002" w14:textId="77777777" w:rsidR="00894D47" w:rsidRPr="002C400D" w:rsidDel="009B4D06" w:rsidRDefault="00894D47" w:rsidP="00894D47">
            <w:pPr>
              <w:pStyle w:val="TableText0"/>
              <w:spacing w:before="29" w:after="11"/>
              <w:jc w:val="center"/>
              <w:rPr>
                <w:del w:id="796" w:author="Dalhen, Eric" w:date="2018-02-27T09:52:00Z"/>
              </w:rPr>
            </w:pPr>
            <w:del w:id="797" w:author="Dalhen, Eric" w:date="2018-02-27T09:52:00Z">
              <w:r w:rsidRPr="002C400D" w:rsidDel="009B4D06">
                <w:tab/>
              </w:r>
              <w:r w:rsidRPr="002C400D" w:rsidDel="009B4D06">
                <w:tab/>
                <w:delText>20,000</w:delText>
              </w:r>
            </w:del>
          </w:p>
          <w:p w14:paraId="4827B003" w14:textId="77777777" w:rsidR="00894D47" w:rsidRPr="002C400D" w:rsidDel="009B4D06" w:rsidRDefault="00894D47" w:rsidP="00894D47">
            <w:pPr>
              <w:pStyle w:val="TableText0"/>
              <w:spacing w:before="29" w:after="11"/>
              <w:jc w:val="center"/>
              <w:rPr>
                <w:del w:id="798" w:author="Dalhen, Eric" w:date="2018-02-27T09:52:00Z"/>
              </w:rPr>
            </w:pPr>
            <w:del w:id="799" w:author="Dalhen, Eric" w:date="2018-02-27T09:52:00Z">
              <w:r w:rsidRPr="002C400D" w:rsidDel="009B4D06">
                <w:tab/>
              </w:r>
              <w:r w:rsidRPr="002C400D" w:rsidDel="009B4D06">
                <w:tab/>
                <w:delText>20,000</w:delText>
              </w:r>
            </w:del>
          </w:p>
          <w:p w14:paraId="4827B004" w14:textId="77777777" w:rsidR="00894D47" w:rsidRPr="002C400D" w:rsidDel="009B4D06" w:rsidRDefault="00894D47" w:rsidP="00894D47">
            <w:pPr>
              <w:pStyle w:val="TableText0"/>
              <w:spacing w:before="29" w:after="11"/>
              <w:jc w:val="center"/>
              <w:rPr>
                <w:del w:id="800" w:author="Dalhen, Eric" w:date="2018-02-27T09:52:00Z"/>
              </w:rPr>
            </w:pPr>
            <w:del w:id="801" w:author="Dalhen, Eric" w:date="2018-02-27T09:52:00Z">
              <w:r w:rsidRPr="002C400D" w:rsidDel="009B4D06">
                <w:tab/>
              </w:r>
              <w:r w:rsidRPr="002C400D" w:rsidDel="009B4D06">
                <w:tab/>
                <w:delText>30,000</w:delText>
              </w:r>
            </w:del>
          </w:p>
          <w:p w14:paraId="4827B005" w14:textId="77777777" w:rsidR="00894D47" w:rsidRPr="002C400D" w:rsidDel="009B4D06" w:rsidRDefault="00894D47" w:rsidP="00894D47">
            <w:pPr>
              <w:pStyle w:val="TableText0"/>
              <w:jc w:val="center"/>
              <w:rPr>
                <w:del w:id="802" w:author="Dalhen, Eric" w:date="2018-02-27T09:52:00Z"/>
              </w:rPr>
            </w:pPr>
            <w:del w:id="803" w:author="Dalhen, Eric" w:date="2018-02-27T09:52:00Z">
              <w:r w:rsidRPr="002C400D" w:rsidDel="009B4D06">
                <w:delText>Remaining assessable payments</w:delText>
              </w:r>
            </w:del>
          </w:p>
        </w:tc>
        <w:tc>
          <w:tcPr>
            <w:tcW w:w="2835" w:type="dxa"/>
            <w:tcBorders>
              <w:top w:val="single" w:sz="6" w:space="0" w:color="auto"/>
              <w:left w:val="single" w:sz="6" w:space="0" w:color="auto"/>
              <w:bottom w:val="single" w:sz="6" w:space="0" w:color="auto"/>
              <w:right w:val="single" w:sz="6" w:space="0" w:color="auto"/>
            </w:tcBorders>
          </w:tcPr>
          <w:p w14:paraId="4827B006" w14:textId="77777777" w:rsidR="00894D47" w:rsidRPr="002C400D" w:rsidDel="009B4D06" w:rsidRDefault="00894D47" w:rsidP="00894D47">
            <w:pPr>
              <w:pStyle w:val="TableText0"/>
              <w:spacing w:after="11"/>
              <w:jc w:val="center"/>
              <w:rPr>
                <w:del w:id="804" w:author="Dalhen, Eric" w:date="2018-02-27T09:52:00Z"/>
              </w:rPr>
            </w:pPr>
            <w:del w:id="805" w:author="Dalhen, Eric" w:date="2018-02-27T09:52:00Z">
              <w:r w:rsidRPr="002C400D" w:rsidDel="009B4D06">
                <w:delText> 4</w:delText>
              </w:r>
            </w:del>
          </w:p>
          <w:p w14:paraId="4827B007" w14:textId="77777777" w:rsidR="00894D47" w:rsidRPr="002C400D" w:rsidDel="009B4D06" w:rsidRDefault="00894D47" w:rsidP="00894D47">
            <w:pPr>
              <w:pStyle w:val="TableText0"/>
              <w:spacing w:before="29" w:after="11"/>
              <w:jc w:val="center"/>
              <w:rPr>
                <w:del w:id="806" w:author="Dalhen, Eric" w:date="2018-02-27T09:52:00Z"/>
              </w:rPr>
            </w:pPr>
            <w:del w:id="807" w:author="Dalhen, Eric" w:date="2018-02-27T09:52:00Z">
              <w:r w:rsidRPr="002C400D" w:rsidDel="009B4D06">
                <w:delText>20</w:delText>
              </w:r>
            </w:del>
          </w:p>
          <w:p w14:paraId="4827B008" w14:textId="77777777" w:rsidR="00894D47" w:rsidRPr="002C400D" w:rsidDel="009B4D06" w:rsidRDefault="00894D47" w:rsidP="00894D47">
            <w:pPr>
              <w:pStyle w:val="TableText0"/>
              <w:spacing w:before="29" w:after="12"/>
              <w:jc w:val="center"/>
              <w:rPr>
                <w:del w:id="808" w:author="Dalhen, Eric" w:date="2018-02-27T09:52:00Z"/>
              </w:rPr>
            </w:pPr>
            <w:del w:id="809" w:author="Dalhen, Eric" w:date="2018-02-27T09:52:00Z">
              <w:r w:rsidRPr="002C400D" w:rsidDel="009B4D06">
                <w:delText>25</w:delText>
              </w:r>
            </w:del>
          </w:p>
          <w:p w14:paraId="4827B009" w14:textId="77777777" w:rsidR="00894D47" w:rsidRPr="002C400D" w:rsidDel="009B4D06" w:rsidRDefault="00894D47" w:rsidP="00894D47">
            <w:pPr>
              <w:pStyle w:val="TableText0"/>
              <w:spacing w:before="29" w:after="12"/>
              <w:jc w:val="center"/>
              <w:rPr>
                <w:del w:id="810" w:author="Dalhen, Eric" w:date="2018-02-27T09:52:00Z"/>
              </w:rPr>
            </w:pPr>
            <w:del w:id="811" w:author="Dalhen, Eric" w:date="2018-02-27T09:52:00Z">
              <w:r w:rsidRPr="002C400D" w:rsidDel="009B4D06">
                <w:delText>29</w:delText>
              </w:r>
            </w:del>
          </w:p>
          <w:p w14:paraId="4827B00A" w14:textId="77777777" w:rsidR="00894D47" w:rsidRPr="002C400D" w:rsidDel="009B4D06" w:rsidRDefault="00894D47" w:rsidP="00894D47">
            <w:pPr>
              <w:pStyle w:val="TableText0"/>
              <w:spacing w:before="29" w:after="12"/>
              <w:jc w:val="center"/>
              <w:rPr>
                <w:del w:id="812" w:author="Dalhen, Eric" w:date="2018-02-27T09:52:00Z"/>
              </w:rPr>
            </w:pPr>
            <w:del w:id="813" w:author="Dalhen, Eric" w:date="2018-02-27T09:52:00Z">
              <w:r w:rsidRPr="002C400D" w:rsidDel="009B4D06">
                <w:delText>32</w:delText>
              </w:r>
            </w:del>
          </w:p>
          <w:p w14:paraId="4827B00B" w14:textId="77777777" w:rsidR="00894D47" w:rsidRPr="002C400D" w:rsidDel="009B4D06" w:rsidRDefault="00894D47" w:rsidP="00894D47">
            <w:pPr>
              <w:pStyle w:val="TableText0"/>
              <w:spacing w:before="29" w:after="12"/>
              <w:jc w:val="center"/>
              <w:rPr>
                <w:del w:id="814" w:author="Dalhen, Eric" w:date="2018-02-27T09:52:00Z"/>
              </w:rPr>
            </w:pPr>
            <w:del w:id="815" w:author="Dalhen, Eric" w:date="2018-02-27T09:52:00Z">
              <w:r w:rsidRPr="002C400D" w:rsidDel="009B4D06">
                <w:delText>35</w:delText>
              </w:r>
            </w:del>
          </w:p>
          <w:p w14:paraId="4827B00C" w14:textId="77777777" w:rsidR="00894D47" w:rsidRPr="002C400D" w:rsidDel="009B4D06" w:rsidRDefault="00894D47" w:rsidP="00894D47">
            <w:pPr>
              <w:pStyle w:val="TableText0"/>
              <w:spacing w:before="29" w:after="12"/>
              <w:jc w:val="center"/>
              <w:rPr>
                <w:del w:id="816" w:author="Dalhen, Eric" w:date="2018-02-27T09:52:00Z"/>
              </w:rPr>
            </w:pPr>
            <w:del w:id="817" w:author="Dalhen, Eric" w:date="2018-02-27T09:52:00Z">
              <w:r w:rsidRPr="002C400D" w:rsidDel="009B4D06">
                <w:delText>37</w:delText>
              </w:r>
            </w:del>
          </w:p>
          <w:p w14:paraId="4827B00D" w14:textId="77777777" w:rsidR="00894D47" w:rsidRPr="002C400D" w:rsidDel="009B4D06" w:rsidRDefault="00894D47" w:rsidP="00894D47">
            <w:pPr>
              <w:pStyle w:val="TableText0"/>
              <w:jc w:val="center"/>
              <w:rPr>
                <w:del w:id="818" w:author="Dalhen, Eric" w:date="2018-02-27T09:52:00Z"/>
              </w:rPr>
            </w:pPr>
            <w:del w:id="819" w:author="Dalhen, Eric" w:date="2018-02-27T09:52:00Z">
              <w:r w:rsidRPr="002C400D" w:rsidDel="009B4D06">
                <w:delText>39</w:delText>
              </w:r>
            </w:del>
          </w:p>
        </w:tc>
      </w:tr>
    </w:tbl>
    <w:p w14:paraId="4827B00F" w14:textId="77777777" w:rsidR="00894D47" w:rsidRDefault="00894D47" w:rsidP="00E51375">
      <w:pPr>
        <w:pStyle w:val="Normalaftertitle0"/>
      </w:pPr>
    </w:p>
    <w:p w14:paraId="4827B010" w14:textId="77777777" w:rsidR="00933CC3" w:rsidRDefault="00933CC3" w:rsidP="00933CC3">
      <w:pPr>
        <w:rPr>
          <w:lang w:val="zh-CN" w:eastAsia="zh-CN"/>
        </w:rPr>
      </w:pPr>
    </w:p>
    <w:p w14:paraId="4827B011" w14:textId="77777777" w:rsidR="00933CC3" w:rsidRDefault="00933CC3" w:rsidP="00933CC3">
      <w:pPr>
        <w:rPr>
          <w:lang w:val="zh-CN" w:eastAsia="zh-CN"/>
        </w:rPr>
      </w:pPr>
    </w:p>
    <w:p w14:paraId="4827B012" w14:textId="77777777" w:rsidR="00933CC3" w:rsidRDefault="00933CC3">
      <w:pPr>
        <w:tabs>
          <w:tab w:val="clear" w:pos="794"/>
          <w:tab w:val="clear" w:pos="1191"/>
          <w:tab w:val="clear" w:pos="1588"/>
          <w:tab w:val="clear" w:pos="1985"/>
        </w:tabs>
        <w:overflowPunct/>
        <w:autoSpaceDE/>
        <w:autoSpaceDN/>
        <w:adjustRightInd/>
        <w:spacing w:before="0"/>
        <w:jc w:val="left"/>
        <w:textAlignment w:val="auto"/>
        <w:rPr>
          <w:lang w:val="zh-CN" w:eastAsia="zh-CN"/>
        </w:rPr>
      </w:pPr>
      <w:r>
        <w:rPr>
          <w:lang w:val="zh-CN" w:eastAsia="zh-CN"/>
        </w:rPr>
        <w:br w:type="page"/>
      </w:r>
    </w:p>
    <w:p w14:paraId="4827B013" w14:textId="77777777" w:rsidR="00933CC3" w:rsidRPr="00933CC3" w:rsidRDefault="00933CC3" w:rsidP="00933CC3">
      <w:pPr>
        <w:rPr>
          <w:lang w:val="zh-CN" w:eastAsia="zh-CN"/>
        </w:rPr>
      </w:pPr>
    </w:p>
    <w:tbl>
      <w:tblPr>
        <w:tblW w:w="0" w:type="auto"/>
        <w:jc w:val="center"/>
        <w:tblLayout w:type="fixed"/>
        <w:tblLook w:val="0000" w:firstRow="0" w:lastRow="0" w:firstColumn="0" w:lastColumn="0" w:noHBand="0" w:noVBand="0"/>
      </w:tblPr>
      <w:tblGrid>
        <w:gridCol w:w="2616"/>
        <w:gridCol w:w="2552"/>
        <w:gridCol w:w="2552"/>
      </w:tblGrid>
      <w:tr w:rsidR="00894D47" w:rsidRPr="002C400D" w:rsidDel="009B4D06" w14:paraId="4827B016" w14:textId="77777777" w:rsidTr="00894D47">
        <w:trPr>
          <w:cantSplit/>
          <w:jc w:val="center"/>
          <w:del w:id="820" w:author="Dalhen, Eric" w:date="2018-02-27T09:52:00Z"/>
        </w:trPr>
        <w:tc>
          <w:tcPr>
            <w:tcW w:w="2616" w:type="dxa"/>
            <w:tcBorders>
              <w:top w:val="single" w:sz="6" w:space="0" w:color="auto"/>
              <w:left w:val="single" w:sz="6" w:space="0" w:color="auto"/>
              <w:right w:val="single" w:sz="6" w:space="0" w:color="auto"/>
            </w:tcBorders>
          </w:tcPr>
          <w:p w14:paraId="4827B014" w14:textId="77777777" w:rsidR="00894D47" w:rsidRPr="002C400D" w:rsidDel="009B4D06" w:rsidRDefault="00894D47" w:rsidP="00894D47">
            <w:pPr>
              <w:pStyle w:val="TableText0"/>
              <w:spacing w:before="0" w:after="0"/>
              <w:jc w:val="center"/>
              <w:rPr>
                <w:del w:id="821" w:author="Dalhen, Eric" w:date="2018-02-27T09:52:00Z"/>
              </w:rPr>
            </w:pPr>
            <w:del w:id="822" w:author="Dalhen, Eric" w:date="2018-02-27T09:52:00Z">
              <w:r w:rsidRPr="002C400D" w:rsidDel="009B4D06">
                <w:br/>
              </w:r>
              <w:r w:rsidRPr="002C400D" w:rsidDel="009B4D06">
                <w:br/>
                <w:delText>Total assessable payments per year</w:delText>
              </w:r>
            </w:del>
          </w:p>
        </w:tc>
        <w:tc>
          <w:tcPr>
            <w:tcW w:w="5104" w:type="dxa"/>
            <w:gridSpan w:val="2"/>
            <w:tcBorders>
              <w:top w:val="single" w:sz="6" w:space="0" w:color="auto"/>
              <w:bottom w:val="single" w:sz="6" w:space="0" w:color="auto"/>
              <w:right w:val="single" w:sz="6" w:space="0" w:color="auto"/>
            </w:tcBorders>
          </w:tcPr>
          <w:p w14:paraId="4827B015" w14:textId="77777777" w:rsidR="00894D47" w:rsidRPr="002C400D" w:rsidDel="009B4D06" w:rsidRDefault="00894D47" w:rsidP="00894D47">
            <w:pPr>
              <w:pStyle w:val="TableText0"/>
              <w:spacing w:before="170" w:after="57"/>
              <w:jc w:val="center"/>
              <w:rPr>
                <w:del w:id="823" w:author="Dalhen, Eric" w:date="2018-02-27T09:52:00Z"/>
              </w:rPr>
            </w:pPr>
            <w:del w:id="824" w:author="Dalhen, Eric" w:date="2018-02-27T09:52:00Z">
              <w:r w:rsidRPr="002C400D" w:rsidDel="009B4D06">
                <w:delText>Staff assessment rates used in conjunction with gross base</w:delText>
              </w:r>
              <w:r w:rsidRPr="002C400D" w:rsidDel="009B4D06">
                <w:br/>
                <w:delText>salaries and the gross amounts of separation payments</w:delText>
              </w:r>
              <w:r w:rsidRPr="002C400D" w:rsidDel="009B4D06">
                <w:br/>
                <w:delText>(per cent)</w:delText>
              </w:r>
            </w:del>
          </w:p>
        </w:tc>
      </w:tr>
      <w:tr w:rsidR="00894D47" w:rsidRPr="002C400D" w:rsidDel="009B4D06" w14:paraId="4827B01A" w14:textId="77777777" w:rsidTr="00894D47">
        <w:trPr>
          <w:cantSplit/>
          <w:jc w:val="center"/>
          <w:del w:id="825" w:author="Dalhen, Eric" w:date="2018-02-27T09:52:00Z"/>
        </w:trPr>
        <w:tc>
          <w:tcPr>
            <w:tcW w:w="2616" w:type="dxa"/>
            <w:tcBorders>
              <w:left w:val="single" w:sz="6" w:space="0" w:color="auto"/>
              <w:bottom w:val="single" w:sz="6" w:space="0" w:color="auto"/>
              <w:right w:val="single" w:sz="6" w:space="0" w:color="auto"/>
            </w:tcBorders>
          </w:tcPr>
          <w:p w14:paraId="4827B017" w14:textId="77777777" w:rsidR="00894D47" w:rsidRPr="002C400D" w:rsidDel="009B4D06" w:rsidRDefault="00894D47" w:rsidP="00894D47">
            <w:pPr>
              <w:pStyle w:val="TableText0"/>
              <w:spacing w:before="0" w:after="0"/>
              <w:jc w:val="center"/>
              <w:rPr>
                <w:del w:id="826" w:author="Dalhen, Eric" w:date="2018-02-27T09:52:00Z"/>
              </w:rPr>
            </w:pPr>
            <w:del w:id="827" w:author="Dalhen, Eric" w:date="2018-02-27T09:52:00Z">
              <w:r w:rsidRPr="002C400D" w:rsidDel="009B4D06">
                <w:delText>(in US dollars)</w:delText>
              </w:r>
            </w:del>
          </w:p>
        </w:tc>
        <w:tc>
          <w:tcPr>
            <w:tcW w:w="2552" w:type="dxa"/>
            <w:tcBorders>
              <w:top w:val="single" w:sz="6" w:space="0" w:color="auto"/>
              <w:left w:val="single" w:sz="6" w:space="0" w:color="auto"/>
              <w:bottom w:val="single" w:sz="6" w:space="0" w:color="auto"/>
              <w:right w:val="single" w:sz="6" w:space="0" w:color="auto"/>
            </w:tcBorders>
          </w:tcPr>
          <w:p w14:paraId="4827B018" w14:textId="77777777" w:rsidR="00894D47" w:rsidRPr="002C400D" w:rsidDel="009B4D06" w:rsidRDefault="00894D47" w:rsidP="00894D47">
            <w:pPr>
              <w:pStyle w:val="TableText0"/>
              <w:spacing w:before="57" w:after="57"/>
              <w:jc w:val="center"/>
              <w:rPr>
                <w:del w:id="828" w:author="Dalhen, Eric" w:date="2018-02-27T09:52:00Z"/>
              </w:rPr>
            </w:pPr>
            <w:del w:id="829" w:author="Dalhen, Eric" w:date="2018-02-27T09:52:00Z">
              <w:r w:rsidRPr="002C400D" w:rsidDel="009B4D06">
                <w:delText>Elected official with an eligible dependent spouse or</w:delText>
              </w:r>
              <w:r w:rsidRPr="002C400D" w:rsidDel="009B4D06">
                <w:br/>
                <w:delText>dependent child</w:delText>
              </w:r>
            </w:del>
          </w:p>
        </w:tc>
        <w:tc>
          <w:tcPr>
            <w:tcW w:w="2552" w:type="dxa"/>
            <w:tcBorders>
              <w:top w:val="single" w:sz="6" w:space="0" w:color="auto"/>
              <w:left w:val="single" w:sz="6" w:space="0" w:color="auto"/>
              <w:bottom w:val="single" w:sz="6" w:space="0" w:color="auto"/>
              <w:right w:val="single" w:sz="6" w:space="0" w:color="auto"/>
            </w:tcBorders>
          </w:tcPr>
          <w:p w14:paraId="4827B019" w14:textId="77777777" w:rsidR="00894D47" w:rsidRPr="002C400D" w:rsidDel="009B4D06" w:rsidRDefault="00894D47" w:rsidP="00894D47">
            <w:pPr>
              <w:pStyle w:val="TableText0"/>
              <w:spacing w:before="57" w:after="57"/>
              <w:jc w:val="center"/>
              <w:rPr>
                <w:del w:id="830" w:author="Dalhen, Eric" w:date="2018-02-27T09:52:00Z"/>
              </w:rPr>
            </w:pPr>
            <w:del w:id="831" w:author="Dalhen, Eric" w:date="2018-02-27T09:52:00Z">
              <w:r w:rsidRPr="002C400D" w:rsidDel="009B4D06">
                <w:delText>Elected official with neither an eligible dependent spouse nor dependent child</w:delText>
              </w:r>
            </w:del>
          </w:p>
        </w:tc>
      </w:tr>
      <w:tr w:rsidR="00894D47" w:rsidRPr="002C400D" w:rsidDel="009B4D06" w14:paraId="4827B020" w14:textId="77777777" w:rsidTr="00894D47">
        <w:trPr>
          <w:cantSplit/>
          <w:jc w:val="center"/>
          <w:del w:id="832" w:author="Dalhen, Eric" w:date="2018-02-27T09:52:00Z"/>
        </w:trPr>
        <w:tc>
          <w:tcPr>
            <w:tcW w:w="2616" w:type="dxa"/>
            <w:tcBorders>
              <w:top w:val="single" w:sz="6" w:space="0" w:color="auto"/>
              <w:left w:val="single" w:sz="6" w:space="0" w:color="auto"/>
              <w:bottom w:val="single" w:sz="6" w:space="0" w:color="auto"/>
              <w:right w:val="single" w:sz="6" w:space="0" w:color="auto"/>
            </w:tcBorders>
          </w:tcPr>
          <w:p w14:paraId="4827B01B" w14:textId="77777777" w:rsidR="00894D47" w:rsidRPr="002C400D" w:rsidDel="009B4D06" w:rsidRDefault="00894D47" w:rsidP="00894D47">
            <w:pPr>
              <w:pStyle w:val="TableText0"/>
              <w:jc w:val="center"/>
              <w:rPr>
                <w:del w:id="833" w:author="Dalhen, Eric" w:date="2018-02-27T09:52:00Z"/>
              </w:rPr>
            </w:pPr>
            <w:del w:id="834" w:author="Dalhen, Eric" w:date="2018-02-27T09:52:00Z">
              <w:r w:rsidRPr="002C400D" w:rsidDel="009B4D06">
                <w:delText>First</w:delText>
              </w:r>
              <w:r w:rsidRPr="002C400D" w:rsidDel="009B4D06">
                <w:tab/>
              </w:r>
              <w:r w:rsidRPr="002C400D" w:rsidDel="009B4D06">
                <w:tab/>
                <w:delText>15,000</w:delText>
              </w:r>
              <w:r w:rsidRPr="002C400D" w:rsidDel="009B4D06">
                <w:br/>
                <w:delText>Next</w:delText>
              </w:r>
              <w:r w:rsidRPr="002C400D" w:rsidDel="009B4D06">
                <w:tab/>
              </w:r>
              <w:r w:rsidRPr="002C400D" w:rsidDel="009B4D06">
                <w:tab/>
                <w:delText> 5,000</w:delText>
              </w:r>
              <w:r w:rsidRPr="002C400D" w:rsidDel="009B4D06">
                <w:br/>
              </w:r>
              <w:r w:rsidRPr="002C400D" w:rsidDel="009B4D06">
                <w:tab/>
              </w:r>
              <w:r w:rsidRPr="002C400D" w:rsidDel="009B4D06">
                <w:tab/>
                <w:delText> 5,000</w:delText>
              </w:r>
              <w:r w:rsidRPr="002C400D" w:rsidDel="009B4D06">
                <w:br/>
              </w:r>
              <w:r w:rsidRPr="002C400D" w:rsidDel="009B4D06">
                <w:tab/>
              </w:r>
              <w:r w:rsidRPr="002C400D" w:rsidDel="009B4D06">
                <w:tab/>
                <w:delText> 5,000</w:delText>
              </w:r>
              <w:r w:rsidRPr="002C400D" w:rsidDel="009B4D06">
                <w:br/>
              </w:r>
              <w:r w:rsidRPr="002C400D" w:rsidDel="009B4D06">
                <w:tab/>
              </w:r>
              <w:r w:rsidRPr="002C400D" w:rsidDel="009B4D06">
                <w:tab/>
                <w:delText> 5,000</w:delText>
              </w:r>
              <w:r w:rsidRPr="002C400D" w:rsidDel="009B4D06">
                <w:br/>
              </w:r>
              <w:r w:rsidRPr="002C400D" w:rsidDel="009B4D06">
                <w:tab/>
              </w:r>
              <w:r w:rsidRPr="002C400D" w:rsidDel="009B4D06">
                <w:tab/>
                <w:delText>10,000</w:delText>
              </w:r>
              <w:r w:rsidRPr="002C400D" w:rsidDel="009B4D06">
                <w:br/>
              </w:r>
              <w:r w:rsidRPr="002C400D" w:rsidDel="009B4D06">
                <w:tab/>
              </w:r>
              <w:r w:rsidRPr="002C400D" w:rsidDel="009B4D06">
                <w:tab/>
                <w:delText>10,000</w:delText>
              </w:r>
              <w:r w:rsidRPr="002C400D" w:rsidDel="009B4D06">
                <w:br/>
              </w:r>
              <w:r w:rsidRPr="002C400D" w:rsidDel="009B4D06">
                <w:tab/>
              </w:r>
              <w:r w:rsidRPr="002C400D" w:rsidDel="009B4D06">
                <w:tab/>
                <w:delText>10,000</w:delText>
              </w:r>
              <w:r w:rsidRPr="002C400D" w:rsidDel="009B4D06">
                <w:br/>
              </w:r>
              <w:r w:rsidRPr="002C400D" w:rsidDel="009B4D06">
                <w:tab/>
              </w:r>
              <w:r w:rsidRPr="002C400D" w:rsidDel="009B4D06">
                <w:tab/>
                <w:delText>10,000</w:delText>
              </w:r>
              <w:r w:rsidRPr="002C400D" w:rsidDel="009B4D06">
                <w:br/>
              </w:r>
              <w:r w:rsidRPr="002C400D" w:rsidDel="009B4D06">
                <w:tab/>
              </w:r>
              <w:r w:rsidRPr="002C400D" w:rsidDel="009B4D06">
                <w:tab/>
                <w:delText>15,000</w:delText>
              </w:r>
              <w:r w:rsidRPr="002C400D" w:rsidDel="009B4D06">
                <w:br/>
              </w:r>
              <w:r w:rsidRPr="002C400D" w:rsidDel="009B4D06">
                <w:tab/>
              </w:r>
              <w:r w:rsidRPr="002C400D" w:rsidDel="009B4D06">
                <w:tab/>
                <w:delText>20,000</w:delText>
              </w:r>
              <w:r w:rsidRPr="002C400D" w:rsidDel="009B4D06">
                <w:br/>
                <w:delText>Remaining assessable payments</w:delText>
              </w:r>
            </w:del>
          </w:p>
        </w:tc>
        <w:tc>
          <w:tcPr>
            <w:tcW w:w="2552" w:type="dxa"/>
            <w:tcBorders>
              <w:top w:val="single" w:sz="6" w:space="0" w:color="auto"/>
              <w:left w:val="single" w:sz="6" w:space="0" w:color="auto"/>
              <w:bottom w:val="single" w:sz="6" w:space="0" w:color="auto"/>
              <w:right w:val="single" w:sz="6" w:space="0" w:color="auto"/>
            </w:tcBorders>
          </w:tcPr>
          <w:p w14:paraId="4827B01C" w14:textId="77777777" w:rsidR="00894D47" w:rsidRPr="002C400D" w:rsidDel="009B4D06" w:rsidRDefault="00894D47" w:rsidP="00894D47">
            <w:pPr>
              <w:pStyle w:val="TableText0"/>
              <w:jc w:val="center"/>
              <w:rPr>
                <w:del w:id="835" w:author="Dalhen, Eric" w:date="2018-02-27T09:52:00Z"/>
              </w:rPr>
            </w:pPr>
            <w:del w:id="836" w:author="Dalhen, Eric" w:date="2018-02-27T09:52:00Z">
              <w:r w:rsidRPr="002C400D" w:rsidDel="009B4D06">
                <w:delText xml:space="preserve">  9.0</w:delText>
              </w:r>
              <w:r w:rsidRPr="002C400D" w:rsidDel="009B4D06">
                <w:br/>
                <w:delText>21.0</w:delText>
              </w:r>
              <w:r w:rsidRPr="002C400D" w:rsidDel="009B4D06">
                <w:br/>
                <w:delText>25.0</w:delText>
              </w:r>
              <w:r w:rsidRPr="002C400D" w:rsidDel="009B4D06">
                <w:br/>
                <w:delText>29.0</w:delText>
              </w:r>
              <w:r w:rsidRPr="002C400D" w:rsidDel="009B4D06">
                <w:br/>
                <w:delText>32.0</w:delText>
              </w:r>
              <w:r w:rsidRPr="002C400D" w:rsidDel="009B4D06">
                <w:br/>
                <w:delText>35.0</w:delText>
              </w:r>
              <w:r w:rsidRPr="002C400D" w:rsidDel="009B4D06">
                <w:br/>
                <w:delText>37.0</w:delText>
              </w:r>
              <w:r w:rsidRPr="002C400D" w:rsidDel="009B4D06">
                <w:br/>
                <w:delText>39.0</w:delText>
              </w:r>
              <w:r w:rsidRPr="002C400D" w:rsidDel="009B4D06">
                <w:br/>
                <w:delText>40.0</w:delText>
              </w:r>
              <w:r w:rsidRPr="002C400D" w:rsidDel="009B4D06">
                <w:br/>
                <w:delText>41.0</w:delText>
              </w:r>
              <w:r w:rsidRPr="002C400D" w:rsidDel="009B4D06">
                <w:br/>
                <w:delText>42.0</w:delText>
              </w:r>
            </w:del>
          </w:p>
          <w:p w14:paraId="4827B01D" w14:textId="77777777" w:rsidR="00894D47" w:rsidRPr="002C400D" w:rsidDel="009B4D06" w:rsidRDefault="00894D47" w:rsidP="00894D47">
            <w:pPr>
              <w:pStyle w:val="TableText0"/>
              <w:spacing w:before="0"/>
              <w:jc w:val="center"/>
              <w:rPr>
                <w:del w:id="837" w:author="Dalhen, Eric" w:date="2018-02-27T09:52:00Z"/>
              </w:rPr>
            </w:pPr>
            <w:del w:id="838" w:author="Dalhen, Eric" w:date="2018-02-27T09:52:00Z">
              <w:r w:rsidRPr="002C400D" w:rsidDel="009B4D06">
                <w:delText>43.0</w:delText>
              </w:r>
            </w:del>
          </w:p>
        </w:tc>
        <w:tc>
          <w:tcPr>
            <w:tcW w:w="2552" w:type="dxa"/>
            <w:tcBorders>
              <w:top w:val="single" w:sz="6" w:space="0" w:color="auto"/>
              <w:left w:val="single" w:sz="6" w:space="0" w:color="auto"/>
              <w:bottom w:val="single" w:sz="6" w:space="0" w:color="auto"/>
              <w:right w:val="single" w:sz="6" w:space="0" w:color="auto"/>
            </w:tcBorders>
          </w:tcPr>
          <w:p w14:paraId="4827B01E" w14:textId="77777777" w:rsidR="00894D47" w:rsidRPr="002C400D" w:rsidDel="009B4D06" w:rsidRDefault="00894D47" w:rsidP="00894D47">
            <w:pPr>
              <w:pStyle w:val="TableText0"/>
              <w:jc w:val="center"/>
              <w:rPr>
                <w:del w:id="839" w:author="Dalhen, Eric" w:date="2018-02-27T09:52:00Z"/>
              </w:rPr>
            </w:pPr>
            <w:del w:id="840" w:author="Dalhen, Eric" w:date="2018-02-27T09:52:00Z">
              <w:r w:rsidRPr="002C400D" w:rsidDel="009B4D06">
                <w:delText>12.4</w:delText>
              </w:r>
              <w:r w:rsidRPr="002C400D" w:rsidDel="009B4D06">
                <w:br/>
                <w:delText>26.9</w:delText>
              </w:r>
              <w:r w:rsidRPr="002C400D" w:rsidDel="009B4D06">
                <w:br/>
                <w:delText>30.3</w:delText>
              </w:r>
              <w:r w:rsidRPr="002C400D" w:rsidDel="009B4D06">
                <w:br/>
                <w:delText>34.6</w:delText>
              </w:r>
              <w:r w:rsidRPr="002C400D" w:rsidDel="009B4D06">
                <w:br/>
                <w:delText>36.9</w:delText>
              </w:r>
              <w:r w:rsidRPr="002C400D" w:rsidDel="009B4D06">
                <w:br/>
                <w:delText>40.5</w:delText>
              </w:r>
              <w:r w:rsidRPr="002C400D" w:rsidDel="009B4D06">
                <w:br/>
                <w:delText>42.7</w:delText>
              </w:r>
              <w:r w:rsidRPr="002C400D" w:rsidDel="009B4D06">
                <w:br/>
                <w:delText>44.5</w:delText>
              </w:r>
              <w:r w:rsidRPr="002C400D" w:rsidDel="009B4D06">
                <w:br/>
                <w:delText>45.4</w:delText>
              </w:r>
              <w:r w:rsidRPr="002C400D" w:rsidDel="009B4D06">
                <w:br/>
                <w:delText>46.0</w:delText>
              </w:r>
              <w:r w:rsidRPr="002C400D" w:rsidDel="009B4D06">
                <w:br/>
                <w:delText>50.0</w:delText>
              </w:r>
            </w:del>
          </w:p>
          <w:p w14:paraId="4827B01F" w14:textId="77777777" w:rsidR="00894D47" w:rsidRPr="002C400D" w:rsidDel="009B4D06" w:rsidRDefault="00894D47" w:rsidP="00894D47">
            <w:pPr>
              <w:pStyle w:val="TableText0"/>
              <w:spacing w:before="0"/>
              <w:jc w:val="center"/>
              <w:rPr>
                <w:del w:id="841" w:author="Dalhen, Eric" w:date="2018-02-27T09:52:00Z"/>
              </w:rPr>
            </w:pPr>
            <w:del w:id="842" w:author="Dalhen, Eric" w:date="2018-02-27T09:52:00Z">
              <w:r w:rsidRPr="002C400D" w:rsidDel="009B4D06">
                <w:delText>52.5</w:delText>
              </w:r>
            </w:del>
          </w:p>
        </w:tc>
      </w:tr>
    </w:tbl>
    <w:p w14:paraId="4827B021" w14:textId="77777777" w:rsidR="00933CC3" w:rsidRDefault="00933CC3" w:rsidP="00933CC3">
      <w:pPr>
        <w:rPr>
          <w:lang w:eastAsia="zh-CN"/>
        </w:rPr>
      </w:pPr>
    </w:p>
    <w:p w14:paraId="4827B022" w14:textId="77777777" w:rsidR="00933CC3" w:rsidRDefault="00933CC3" w:rsidP="00933CC3">
      <w:pPr>
        <w:rPr>
          <w:lang w:eastAsia="zh-CN"/>
        </w:rPr>
      </w:pPr>
    </w:p>
    <w:p w14:paraId="4827B023" w14:textId="77777777" w:rsidR="00933CC3" w:rsidRDefault="00933CC3" w:rsidP="00933CC3">
      <w:pPr>
        <w:rPr>
          <w:lang w:eastAsia="zh-CN"/>
        </w:rPr>
      </w:pPr>
    </w:p>
    <w:p w14:paraId="4827B024" w14:textId="77777777" w:rsidR="00894D47" w:rsidRPr="002C400D" w:rsidRDefault="00894D47" w:rsidP="00894D47">
      <w:pPr>
        <w:pStyle w:val="Annex"/>
        <w:spacing w:before="0"/>
        <w:rPr>
          <w:lang w:eastAsia="zh-CN"/>
        </w:rPr>
      </w:pPr>
      <w:r w:rsidRPr="002C400D">
        <w:rPr>
          <w:rFonts w:hint="eastAsia"/>
          <w:lang w:eastAsia="zh-CN"/>
        </w:rPr>
        <w:t>附件四</w:t>
      </w:r>
    </w:p>
    <w:p w14:paraId="4827B025" w14:textId="77777777" w:rsidR="00894D47" w:rsidRPr="002C400D" w:rsidRDefault="00894D47">
      <w:pPr>
        <w:pStyle w:val="Annextitle"/>
        <w:rPr>
          <w:ins w:id="843" w:author="Dalhen, Eric" w:date="2018-02-27T09:58:00Z"/>
          <w:lang w:eastAsia="zh-CN"/>
        </w:rPr>
        <w:pPrChange w:id="844" w:author="Tang, Ting" w:date="2018-04-03T09:35:00Z">
          <w:pPr>
            <w:pStyle w:val="AnnexTitle0"/>
            <w:spacing w:before="120"/>
          </w:pPr>
        </w:pPrChange>
      </w:pPr>
      <w:del w:id="845" w:author="Tang, Ting" w:date="2018-04-03T09:35:00Z">
        <w:r w:rsidRPr="002C400D" w:rsidDel="00DD089B">
          <w:rPr>
            <w:rFonts w:hint="eastAsia"/>
            <w:lang w:eastAsia="zh-CN"/>
          </w:rPr>
          <w:delText>应享以当地货币计算的</w:delText>
        </w:r>
      </w:del>
      <w:r w:rsidRPr="002C400D">
        <w:rPr>
          <w:rFonts w:hint="eastAsia"/>
          <w:lang w:eastAsia="zh-CN"/>
        </w:rPr>
        <w:t>教育补助金</w:t>
      </w:r>
      <w:del w:id="846" w:author="Tang, Ting" w:date="2018-04-03T09:35:00Z">
        <w:r w:rsidRPr="002C400D" w:rsidDel="00DD089B">
          <w:rPr>
            <w:rFonts w:hint="eastAsia"/>
            <w:lang w:eastAsia="zh-CN"/>
          </w:rPr>
          <w:delText>表格</w:delText>
        </w:r>
      </w:del>
    </w:p>
    <w:p w14:paraId="4827B026" w14:textId="77777777" w:rsidR="00894D47" w:rsidRPr="002C400D" w:rsidRDefault="00894D47" w:rsidP="00894D47">
      <w:pPr>
        <w:jc w:val="center"/>
        <w:rPr>
          <w:lang w:eastAsia="zh-CN"/>
        </w:rPr>
      </w:pPr>
      <w:ins w:id="847" w:author="Tang, Ting" w:date="2018-03-28T16:06:00Z">
        <w:r w:rsidRPr="002C400D">
          <w:rPr>
            <w:rFonts w:hint="eastAsia"/>
            <w:b/>
            <w:bCs/>
            <w:color w:val="0000FF"/>
            <w:szCs w:val="24"/>
            <w:lang w:eastAsia="zh-CN"/>
          </w:rPr>
          <w:t>全球滑动报销比率表</w:t>
        </w:r>
      </w:ins>
      <w:r w:rsidRPr="002C400D">
        <w:rPr>
          <w:lang w:eastAsia="zh-CN"/>
          <w:rPrChange w:id="848" w:author="Dalhen, Eric" w:date="2018-02-27T09:58:00Z">
            <w:rPr>
              <w:rFonts w:ascii="TiAes New Roman" w:hAnsi="TiAes New Roman"/>
            </w:rPr>
          </w:rPrChange>
        </w:rPr>
        <w:cr/>
      </w:r>
      <w:r w:rsidRPr="002C400D">
        <w:rPr>
          <w:rFonts w:hint="eastAsia"/>
          <w:lang w:eastAsia="zh-CN"/>
        </w:rPr>
        <w:t>（自</w:t>
      </w:r>
      <w:del w:id="849" w:author="Tang, Ting" w:date="2018-03-28T16:06:00Z">
        <w:r w:rsidRPr="002C400D" w:rsidDel="00E543DC">
          <w:rPr>
            <w:rFonts w:hint="eastAsia"/>
            <w:lang w:eastAsia="zh-CN"/>
          </w:rPr>
          <w:delText>1995</w:delText>
        </w:r>
      </w:del>
      <w:ins w:id="850" w:author="Tang, Ting" w:date="2018-03-28T16:07:00Z">
        <w:r w:rsidRPr="002C400D">
          <w:rPr>
            <w:rFonts w:hint="eastAsia"/>
            <w:lang w:eastAsia="zh-CN"/>
          </w:rPr>
          <w:t>2018</w:t>
        </w:r>
      </w:ins>
      <w:r w:rsidRPr="002C400D">
        <w:rPr>
          <w:rFonts w:hint="eastAsia"/>
          <w:lang w:eastAsia="zh-CN"/>
        </w:rPr>
        <w:t>年</w:t>
      </w:r>
      <w:r w:rsidRPr="002C400D">
        <w:rPr>
          <w:rFonts w:hint="eastAsia"/>
          <w:lang w:eastAsia="zh-CN"/>
        </w:rPr>
        <w:t>1</w:t>
      </w:r>
      <w:r w:rsidRPr="002C400D">
        <w:rPr>
          <w:rFonts w:hint="eastAsia"/>
          <w:lang w:eastAsia="zh-CN"/>
        </w:rPr>
        <w:t>月</w:t>
      </w:r>
      <w:r w:rsidRPr="002C400D">
        <w:rPr>
          <w:rFonts w:hint="eastAsia"/>
          <w:lang w:eastAsia="zh-CN"/>
        </w:rPr>
        <w:t>1</w:t>
      </w:r>
      <w:r w:rsidRPr="002C400D">
        <w:rPr>
          <w:rFonts w:hint="eastAsia"/>
          <w:lang w:eastAsia="zh-CN"/>
        </w:rPr>
        <w:t>日已开学的学年起生效）</w:t>
      </w:r>
    </w:p>
    <w:p w14:paraId="4827B027" w14:textId="77777777" w:rsidR="00894D47" w:rsidRPr="002C400D" w:rsidRDefault="00894D47" w:rsidP="00894D47">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51" w:author="Dalhen, Eric" w:date="2018-02-27T09:58:00Z">
          <w:tblPr>
            <w:tblW w:w="0" w:type="auto"/>
            <w:tblInd w:w="-108" w:type="dxa"/>
            <w:tblBorders>
              <w:top w:val="nil"/>
              <w:left w:val="nil"/>
              <w:bottom w:val="nil"/>
              <w:right w:val="nil"/>
            </w:tblBorders>
            <w:tblLayout w:type="fixed"/>
            <w:tblLook w:val="0000" w:firstRow="0" w:lastRow="0" w:firstColumn="0" w:lastColumn="0" w:noHBand="0" w:noVBand="0"/>
          </w:tblPr>
        </w:tblPrChange>
      </w:tblPr>
      <w:tblGrid>
        <w:gridCol w:w="2190"/>
        <w:gridCol w:w="2190"/>
        <w:tblGridChange w:id="852">
          <w:tblGrid>
            <w:gridCol w:w="2190"/>
            <w:gridCol w:w="2190"/>
          </w:tblGrid>
        </w:tblGridChange>
      </w:tblGrid>
      <w:tr w:rsidR="00894D47" w:rsidRPr="002C400D" w14:paraId="4827B02A" w14:textId="77777777" w:rsidTr="00894D47">
        <w:trPr>
          <w:trHeight w:val="205"/>
          <w:jc w:val="center"/>
          <w:ins w:id="853" w:author="Dalhen, Eric" w:date="2018-02-27T09:58:00Z"/>
          <w:trPrChange w:id="854" w:author="Dalhen, Eric" w:date="2018-02-27T09:58:00Z">
            <w:trPr>
              <w:trHeight w:val="205"/>
            </w:trPr>
          </w:trPrChange>
        </w:trPr>
        <w:tc>
          <w:tcPr>
            <w:tcW w:w="2190" w:type="dxa"/>
            <w:tcPrChange w:id="855" w:author="Dalhen, Eric" w:date="2018-02-27T09:58:00Z">
              <w:tcPr>
                <w:tcW w:w="2190" w:type="dxa"/>
              </w:tcPr>
            </w:tcPrChange>
          </w:tcPr>
          <w:p w14:paraId="4827B028" w14:textId="77777777" w:rsidR="00894D47" w:rsidRPr="002C400D" w:rsidRDefault="00894D47" w:rsidP="009A7B93">
            <w:pPr>
              <w:overflowPunct/>
              <w:spacing w:before="80" w:after="80"/>
              <w:jc w:val="center"/>
              <w:textAlignment w:val="auto"/>
              <w:rPr>
                <w:ins w:id="856" w:author="Dalhen, Eric" w:date="2018-02-27T09:58:00Z"/>
                <w:color w:val="000000"/>
                <w:sz w:val="20"/>
                <w:lang w:val="en-US" w:eastAsia="zh-CN"/>
              </w:rPr>
            </w:pPr>
            <w:ins w:id="857" w:author="Tang, Ting" w:date="2018-03-28T16:07:00Z">
              <w:r w:rsidRPr="002C400D">
                <w:rPr>
                  <w:rFonts w:hint="eastAsia"/>
                  <w:color w:val="000000"/>
                  <w:sz w:val="20"/>
                  <w:lang w:val="en-US" w:eastAsia="zh-CN"/>
                </w:rPr>
                <w:t>申报额（美元）</w:t>
              </w:r>
            </w:ins>
          </w:p>
        </w:tc>
        <w:tc>
          <w:tcPr>
            <w:tcW w:w="2190" w:type="dxa"/>
            <w:tcPrChange w:id="858" w:author="Dalhen, Eric" w:date="2018-02-27T09:58:00Z">
              <w:tcPr>
                <w:tcW w:w="2190" w:type="dxa"/>
              </w:tcPr>
            </w:tcPrChange>
          </w:tcPr>
          <w:p w14:paraId="4827B029" w14:textId="77777777" w:rsidR="00894D47" w:rsidRPr="002C400D" w:rsidRDefault="00894D47">
            <w:pPr>
              <w:overflowPunct/>
              <w:spacing w:before="80" w:after="80"/>
              <w:jc w:val="center"/>
              <w:textAlignment w:val="auto"/>
              <w:rPr>
                <w:ins w:id="859" w:author="Dalhen, Eric" w:date="2018-02-27T09:58:00Z"/>
                <w:color w:val="000000"/>
                <w:sz w:val="20"/>
                <w:lang w:val="en-US" w:eastAsia="zh-CN"/>
              </w:rPr>
              <w:pPrChange w:id="860" w:author="Dalhen, Eric" w:date="2018-02-27T09:58:00Z">
                <w:pPr>
                  <w:overflowPunct/>
                  <w:spacing w:before="0"/>
                  <w:textAlignment w:val="auto"/>
                </w:pPr>
              </w:pPrChange>
            </w:pPr>
            <w:ins w:id="861" w:author="Tang, Ting" w:date="2018-03-28T16:07:00Z">
              <w:r w:rsidRPr="002C400D">
                <w:rPr>
                  <w:rFonts w:hint="eastAsia"/>
                  <w:color w:val="000000"/>
                  <w:sz w:val="20"/>
                  <w:lang w:val="en-US" w:eastAsia="zh-CN"/>
                </w:rPr>
                <w:t>报销率（百分比）</w:t>
              </w:r>
            </w:ins>
          </w:p>
        </w:tc>
      </w:tr>
      <w:tr w:rsidR="00894D47" w:rsidRPr="002C400D" w14:paraId="4827B02D" w14:textId="77777777" w:rsidTr="00894D47">
        <w:trPr>
          <w:trHeight w:val="90"/>
          <w:jc w:val="center"/>
          <w:ins w:id="862" w:author="Dalhen, Eric" w:date="2018-02-27T09:58:00Z"/>
          <w:trPrChange w:id="863" w:author="Dalhen, Eric" w:date="2018-02-27T09:58:00Z">
            <w:trPr>
              <w:trHeight w:val="90"/>
            </w:trPr>
          </w:trPrChange>
        </w:trPr>
        <w:tc>
          <w:tcPr>
            <w:tcW w:w="2190" w:type="dxa"/>
            <w:tcPrChange w:id="864" w:author="Dalhen, Eric" w:date="2018-02-27T09:58:00Z">
              <w:tcPr>
                <w:tcW w:w="2190" w:type="dxa"/>
              </w:tcPr>
            </w:tcPrChange>
          </w:tcPr>
          <w:p w14:paraId="4827B02B" w14:textId="77777777" w:rsidR="00894D47" w:rsidRPr="002C400D" w:rsidRDefault="00894D47" w:rsidP="009A7B93">
            <w:pPr>
              <w:overflowPunct/>
              <w:spacing w:before="80" w:after="80"/>
              <w:jc w:val="center"/>
              <w:textAlignment w:val="auto"/>
              <w:rPr>
                <w:ins w:id="865" w:author="Dalhen, Eric" w:date="2018-02-27T09:58:00Z"/>
                <w:color w:val="000000"/>
                <w:sz w:val="20"/>
                <w:lang w:val="en-US" w:eastAsia="zh-CN"/>
              </w:rPr>
            </w:pPr>
            <w:ins w:id="866" w:author="Dalhen, Eric" w:date="2018-02-27T09:58:00Z">
              <w:r w:rsidRPr="002C400D">
                <w:rPr>
                  <w:color w:val="000000"/>
                  <w:sz w:val="20"/>
                  <w:lang w:val="en-US" w:eastAsia="zh-CN"/>
                </w:rPr>
                <w:t>0 - 11,600</w:t>
              </w:r>
            </w:ins>
          </w:p>
        </w:tc>
        <w:tc>
          <w:tcPr>
            <w:tcW w:w="2190" w:type="dxa"/>
            <w:tcPrChange w:id="867" w:author="Dalhen, Eric" w:date="2018-02-27T09:58:00Z">
              <w:tcPr>
                <w:tcW w:w="2190" w:type="dxa"/>
              </w:tcPr>
            </w:tcPrChange>
          </w:tcPr>
          <w:p w14:paraId="4827B02C" w14:textId="77777777" w:rsidR="00894D47" w:rsidRPr="002C400D" w:rsidRDefault="00894D47">
            <w:pPr>
              <w:overflowPunct/>
              <w:spacing w:before="80" w:after="80"/>
              <w:jc w:val="center"/>
              <w:textAlignment w:val="auto"/>
              <w:rPr>
                <w:ins w:id="868" w:author="Dalhen, Eric" w:date="2018-02-27T09:58:00Z"/>
                <w:color w:val="000000"/>
                <w:sz w:val="20"/>
                <w:lang w:val="en-US" w:eastAsia="zh-CN"/>
              </w:rPr>
              <w:pPrChange w:id="869" w:author="Dalhen, Eric" w:date="2018-02-27T09:58:00Z">
                <w:pPr>
                  <w:overflowPunct/>
                  <w:spacing w:before="0"/>
                  <w:textAlignment w:val="auto"/>
                </w:pPr>
              </w:pPrChange>
            </w:pPr>
            <w:ins w:id="870" w:author="Dalhen, Eric" w:date="2018-02-27T09:58:00Z">
              <w:r w:rsidRPr="002C400D">
                <w:rPr>
                  <w:color w:val="000000"/>
                  <w:sz w:val="20"/>
                  <w:lang w:val="en-US" w:eastAsia="zh-CN"/>
                </w:rPr>
                <w:t>86</w:t>
              </w:r>
            </w:ins>
          </w:p>
        </w:tc>
      </w:tr>
      <w:tr w:rsidR="00894D47" w:rsidRPr="002C400D" w14:paraId="4827B030" w14:textId="77777777" w:rsidTr="00894D47">
        <w:trPr>
          <w:trHeight w:val="90"/>
          <w:jc w:val="center"/>
          <w:ins w:id="871" w:author="Dalhen, Eric" w:date="2018-02-27T09:58:00Z"/>
          <w:trPrChange w:id="872" w:author="Dalhen, Eric" w:date="2018-02-27T09:58:00Z">
            <w:trPr>
              <w:trHeight w:val="90"/>
            </w:trPr>
          </w:trPrChange>
        </w:trPr>
        <w:tc>
          <w:tcPr>
            <w:tcW w:w="2190" w:type="dxa"/>
            <w:tcPrChange w:id="873" w:author="Dalhen, Eric" w:date="2018-02-27T09:58:00Z">
              <w:tcPr>
                <w:tcW w:w="2190" w:type="dxa"/>
              </w:tcPr>
            </w:tcPrChange>
          </w:tcPr>
          <w:p w14:paraId="4827B02E" w14:textId="77777777" w:rsidR="00894D47" w:rsidRPr="002C400D" w:rsidRDefault="00894D47" w:rsidP="009A7B93">
            <w:pPr>
              <w:overflowPunct/>
              <w:spacing w:before="80" w:after="80"/>
              <w:jc w:val="center"/>
              <w:textAlignment w:val="auto"/>
              <w:rPr>
                <w:ins w:id="874" w:author="Dalhen, Eric" w:date="2018-02-27T09:58:00Z"/>
                <w:color w:val="000000"/>
                <w:sz w:val="20"/>
                <w:lang w:val="en-US" w:eastAsia="zh-CN"/>
              </w:rPr>
            </w:pPr>
            <w:ins w:id="875" w:author="Dalhen, Eric" w:date="2018-02-27T09:58:00Z">
              <w:r w:rsidRPr="002C400D">
                <w:rPr>
                  <w:color w:val="000000"/>
                  <w:sz w:val="20"/>
                  <w:lang w:val="en-US" w:eastAsia="zh-CN"/>
                </w:rPr>
                <w:t>11,601 – 17,400</w:t>
              </w:r>
            </w:ins>
          </w:p>
        </w:tc>
        <w:tc>
          <w:tcPr>
            <w:tcW w:w="2190" w:type="dxa"/>
            <w:tcPrChange w:id="876" w:author="Dalhen, Eric" w:date="2018-02-27T09:58:00Z">
              <w:tcPr>
                <w:tcW w:w="2190" w:type="dxa"/>
              </w:tcPr>
            </w:tcPrChange>
          </w:tcPr>
          <w:p w14:paraId="4827B02F" w14:textId="77777777" w:rsidR="00894D47" w:rsidRPr="002C400D" w:rsidRDefault="00894D47">
            <w:pPr>
              <w:overflowPunct/>
              <w:spacing w:before="80" w:after="80"/>
              <w:jc w:val="center"/>
              <w:textAlignment w:val="auto"/>
              <w:rPr>
                <w:ins w:id="877" w:author="Dalhen, Eric" w:date="2018-02-27T09:58:00Z"/>
                <w:color w:val="000000"/>
                <w:sz w:val="20"/>
                <w:lang w:val="en-US" w:eastAsia="zh-CN"/>
              </w:rPr>
              <w:pPrChange w:id="878" w:author="Dalhen, Eric" w:date="2018-02-27T09:58:00Z">
                <w:pPr>
                  <w:overflowPunct/>
                  <w:spacing w:before="0"/>
                  <w:textAlignment w:val="auto"/>
                </w:pPr>
              </w:pPrChange>
            </w:pPr>
            <w:ins w:id="879" w:author="Dalhen, Eric" w:date="2018-02-27T09:58:00Z">
              <w:r w:rsidRPr="002C400D">
                <w:rPr>
                  <w:color w:val="000000"/>
                  <w:sz w:val="20"/>
                  <w:lang w:val="en-US" w:eastAsia="zh-CN"/>
                </w:rPr>
                <w:t>81</w:t>
              </w:r>
            </w:ins>
          </w:p>
        </w:tc>
      </w:tr>
      <w:tr w:rsidR="00894D47" w:rsidRPr="002C400D" w14:paraId="4827B033" w14:textId="77777777" w:rsidTr="00894D47">
        <w:trPr>
          <w:trHeight w:val="90"/>
          <w:jc w:val="center"/>
          <w:ins w:id="880" w:author="Dalhen, Eric" w:date="2018-02-27T09:58:00Z"/>
          <w:trPrChange w:id="881" w:author="Dalhen, Eric" w:date="2018-02-27T09:58:00Z">
            <w:trPr>
              <w:trHeight w:val="90"/>
            </w:trPr>
          </w:trPrChange>
        </w:trPr>
        <w:tc>
          <w:tcPr>
            <w:tcW w:w="2190" w:type="dxa"/>
            <w:tcPrChange w:id="882" w:author="Dalhen, Eric" w:date="2018-02-27T09:58:00Z">
              <w:tcPr>
                <w:tcW w:w="2190" w:type="dxa"/>
              </w:tcPr>
            </w:tcPrChange>
          </w:tcPr>
          <w:p w14:paraId="4827B031" w14:textId="77777777" w:rsidR="00894D47" w:rsidRPr="002C400D" w:rsidRDefault="00894D47" w:rsidP="009A7B93">
            <w:pPr>
              <w:overflowPunct/>
              <w:spacing w:before="80" w:after="80"/>
              <w:jc w:val="center"/>
              <w:textAlignment w:val="auto"/>
              <w:rPr>
                <w:ins w:id="883" w:author="Dalhen, Eric" w:date="2018-02-27T09:58:00Z"/>
                <w:color w:val="000000"/>
                <w:sz w:val="20"/>
                <w:lang w:val="en-US" w:eastAsia="zh-CN"/>
              </w:rPr>
            </w:pPr>
            <w:ins w:id="884" w:author="Dalhen, Eric" w:date="2018-02-27T09:58:00Z">
              <w:r w:rsidRPr="002C400D">
                <w:rPr>
                  <w:color w:val="000000"/>
                  <w:sz w:val="20"/>
                  <w:lang w:val="en-US" w:eastAsia="zh-CN"/>
                </w:rPr>
                <w:t>17,401 – 23,200</w:t>
              </w:r>
            </w:ins>
          </w:p>
        </w:tc>
        <w:tc>
          <w:tcPr>
            <w:tcW w:w="2190" w:type="dxa"/>
            <w:tcPrChange w:id="885" w:author="Dalhen, Eric" w:date="2018-02-27T09:58:00Z">
              <w:tcPr>
                <w:tcW w:w="2190" w:type="dxa"/>
              </w:tcPr>
            </w:tcPrChange>
          </w:tcPr>
          <w:p w14:paraId="4827B032" w14:textId="77777777" w:rsidR="00894D47" w:rsidRPr="002C400D" w:rsidRDefault="00894D47">
            <w:pPr>
              <w:overflowPunct/>
              <w:spacing w:before="80" w:after="80"/>
              <w:jc w:val="center"/>
              <w:textAlignment w:val="auto"/>
              <w:rPr>
                <w:ins w:id="886" w:author="Dalhen, Eric" w:date="2018-02-27T09:58:00Z"/>
                <w:color w:val="000000"/>
                <w:sz w:val="20"/>
                <w:lang w:val="en-US" w:eastAsia="zh-CN"/>
              </w:rPr>
              <w:pPrChange w:id="887" w:author="Dalhen, Eric" w:date="2018-02-27T09:58:00Z">
                <w:pPr>
                  <w:overflowPunct/>
                  <w:spacing w:before="0"/>
                  <w:textAlignment w:val="auto"/>
                </w:pPr>
              </w:pPrChange>
            </w:pPr>
            <w:ins w:id="888" w:author="Dalhen, Eric" w:date="2018-02-27T09:58:00Z">
              <w:r w:rsidRPr="002C400D">
                <w:rPr>
                  <w:color w:val="000000"/>
                  <w:sz w:val="20"/>
                  <w:lang w:val="en-US" w:eastAsia="zh-CN"/>
                </w:rPr>
                <w:t>76</w:t>
              </w:r>
            </w:ins>
          </w:p>
        </w:tc>
      </w:tr>
      <w:tr w:rsidR="00894D47" w:rsidRPr="002C400D" w14:paraId="4827B036" w14:textId="77777777" w:rsidTr="00894D47">
        <w:trPr>
          <w:trHeight w:val="90"/>
          <w:jc w:val="center"/>
          <w:ins w:id="889" w:author="Dalhen, Eric" w:date="2018-02-27T09:58:00Z"/>
          <w:trPrChange w:id="890" w:author="Dalhen, Eric" w:date="2018-02-27T09:58:00Z">
            <w:trPr>
              <w:trHeight w:val="90"/>
            </w:trPr>
          </w:trPrChange>
        </w:trPr>
        <w:tc>
          <w:tcPr>
            <w:tcW w:w="2190" w:type="dxa"/>
            <w:tcPrChange w:id="891" w:author="Dalhen, Eric" w:date="2018-02-27T09:58:00Z">
              <w:tcPr>
                <w:tcW w:w="2190" w:type="dxa"/>
              </w:tcPr>
            </w:tcPrChange>
          </w:tcPr>
          <w:p w14:paraId="4827B034" w14:textId="77777777" w:rsidR="00894D47" w:rsidRPr="002C400D" w:rsidRDefault="00894D47" w:rsidP="009A7B93">
            <w:pPr>
              <w:overflowPunct/>
              <w:spacing w:before="80" w:after="80"/>
              <w:jc w:val="center"/>
              <w:textAlignment w:val="auto"/>
              <w:rPr>
                <w:ins w:id="892" w:author="Dalhen, Eric" w:date="2018-02-27T09:58:00Z"/>
                <w:color w:val="000000"/>
                <w:sz w:val="20"/>
                <w:lang w:val="en-US" w:eastAsia="zh-CN"/>
              </w:rPr>
            </w:pPr>
            <w:ins w:id="893" w:author="Dalhen, Eric" w:date="2018-02-27T09:58:00Z">
              <w:r w:rsidRPr="002C400D">
                <w:rPr>
                  <w:color w:val="000000"/>
                  <w:sz w:val="20"/>
                  <w:lang w:val="en-US" w:eastAsia="zh-CN"/>
                </w:rPr>
                <w:t>23,201 – 29,000</w:t>
              </w:r>
            </w:ins>
          </w:p>
        </w:tc>
        <w:tc>
          <w:tcPr>
            <w:tcW w:w="2190" w:type="dxa"/>
            <w:tcPrChange w:id="894" w:author="Dalhen, Eric" w:date="2018-02-27T09:58:00Z">
              <w:tcPr>
                <w:tcW w:w="2190" w:type="dxa"/>
              </w:tcPr>
            </w:tcPrChange>
          </w:tcPr>
          <w:p w14:paraId="4827B035" w14:textId="77777777" w:rsidR="00894D47" w:rsidRPr="002C400D" w:rsidRDefault="00894D47">
            <w:pPr>
              <w:overflowPunct/>
              <w:spacing w:before="80" w:after="80"/>
              <w:jc w:val="center"/>
              <w:textAlignment w:val="auto"/>
              <w:rPr>
                <w:ins w:id="895" w:author="Dalhen, Eric" w:date="2018-02-27T09:58:00Z"/>
                <w:color w:val="000000"/>
                <w:sz w:val="20"/>
                <w:lang w:val="en-US" w:eastAsia="zh-CN"/>
              </w:rPr>
              <w:pPrChange w:id="896" w:author="Dalhen, Eric" w:date="2018-02-27T09:58:00Z">
                <w:pPr>
                  <w:overflowPunct/>
                  <w:spacing w:before="0"/>
                  <w:textAlignment w:val="auto"/>
                </w:pPr>
              </w:pPrChange>
            </w:pPr>
            <w:ins w:id="897" w:author="Dalhen, Eric" w:date="2018-02-27T09:58:00Z">
              <w:r w:rsidRPr="002C400D">
                <w:rPr>
                  <w:color w:val="000000"/>
                  <w:sz w:val="20"/>
                  <w:lang w:val="en-US" w:eastAsia="zh-CN"/>
                </w:rPr>
                <w:t>71</w:t>
              </w:r>
            </w:ins>
          </w:p>
        </w:tc>
      </w:tr>
      <w:tr w:rsidR="00894D47" w:rsidRPr="002C400D" w14:paraId="4827B039" w14:textId="77777777" w:rsidTr="00894D47">
        <w:trPr>
          <w:trHeight w:val="90"/>
          <w:jc w:val="center"/>
          <w:ins w:id="898" w:author="Dalhen, Eric" w:date="2018-02-27T09:58:00Z"/>
          <w:trPrChange w:id="899" w:author="Dalhen, Eric" w:date="2018-02-27T09:58:00Z">
            <w:trPr>
              <w:trHeight w:val="90"/>
            </w:trPr>
          </w:trPrChange>
        </w:trPr>
        <w:tc>
          <w:tcPr>
            <w:tcW w:w="2190" w:type="dxa"/>
            <w:tcPrChange w:id="900" w:author="Dalhen, Eric" w:date="2018-02-27T09:58:00Z">
              <w:tcPr>
                <w:tcW w:w="2190" w:type="dxa"/>
              </w:tcPr>
            </w:tcPrChange>
          </w:tcPr>
          <w:p w14:paraId="4827B037" w14:textId="77777777" w:rsidR="00894D47" w:rsidRPr="002C400D" w:rsidRDefault="00894D47" w:rsidP="009A7B93">
            <w:pPr>
              <w:overflowPunct/>
              <w:spacing w:before="80" w:after="80"/>
              <w:jc w:val="center"/>
              <w:textAlignment w:val="auto"/>
              <w:rPr>
                <w:ins w:id="901" w:author="Dalhen, Eric" w:date="2018-02-27T09:58:00Z"/>
                <w:color w:val="000000"/>
                <w:sz w:val="20"/>
                <w:lang w:val="en-US" w:eastAsia="zh-CN"/>
              </w:rPr>
            </w:pPr>
            <w:ins w:id="902" w:author="Dalhen, Eric" w:date="2018-02-27T09:58:00Z">
              <w:r w:rsidRPr="002C400D">
                <w:rPr>
                  <w:color w:val="000000"/>
                  <w:sz w:val="20"/>
                  <w:lang w:val="en-US" w:eastAsia="zh-CN"/>
                </w:rPr>
                <w:t>29,001 – 34,800</w:t>
              </w:r>
            </w:ins>
          </w:p>
        </w:tc>
        <w:tc>
          <w:tcPr>
            <w:tcW w:w="2190" w:type="dxa"/>
            <w:tcPrChange w:id="903" w:author="Dalhen, Eric" w:date="2018-02-27T09:58:00Z">
              <w:tcPr>
                <w:tcW w:w="2190" w:type="dxa"/>
              </w:tcPr>
            </w:tcPrChange>
          </w:tcPr>
          <w:p w14:paraId="4827B038" w14:textId="77777777" w:rsidR="00894D47" w:rsidRPr="002C400D" w:rsidRDefault="00894D47">
            <w:pPr>
              <w:overflowPunct/>
              <w:spacing w:before="80" w:after="80"/>
              <w:jc w:val="center"/>
              <w:textAlignment w:val="auto"/>
              <w:rPr>
                <w:ins w:id="904" w:author="Dalhen, Eric" w:date="2018-02-27T09:58:00Z"/>
                <w:color w:val="000000"/>
                <w:sz w:val="20"/>
                <w:lang w:val="en-US" w:eastAsia="zh-CN"/>
              </w:rPr>
              <w:pPrChange w:id="905" w:author="Dalhen, Eric" w:date="2018-02-27T09:58:00Z">
                <w:pPr>
                  <w:overflowPunct/>
                  <w:spacing w:before="0"/>
                  <w:textAlignment w:val="auto"/>
                </w:pPr>
              </w:pPrChange>
            </w:pPr>
            <w:ins w:id="906" w:author="Dalhen, Eric" w:date="2018-02-27T09:58:00Z">
              <w:r w:rsidRPr="002C400D">
                <w:rPr>
                  <w:color w:val="000000"/>
                  <w:sz w:val="20"/>
                  <w:lang w:val="en-US" w:eastAsia="zh-CN"/>
                </w:rPr>
                <w:t>66</w:t>
              </w:r>
            </w:ins>
          </w:p>
        </w:tc>
      </w:tr>
      <w:tr w:rsidR="00894D47" w:rsidRPr="002C400D" w14:paraId="4827B03C" w14:textId="77777777" w:rsidTr="00894D47">
        <w:trPr>
          <w:trHeight w:val="90"/>
          <w:jc w:val="center"/>
          <w:ins w:id="907" w:author="Dalhen, Eric" w:date="2018-02-27T09:58:00Z"/>
          <w:trPrChange w:id="908" w:author="Dalhen, Eric" w:date="2018-02-27T09:58:00Z">
            <w:trPr>
              <w:trHeight w:val="90"/>
            </w:trPr>
          </w:trPrChange>
        </w:trPr>
        <w:tc>
          <w:tcPr>
            <w:tcW w:w="2190" w:type="dxa"/>
            <w:tcPrChange w:id="909" w:author="Dalhen, Eric" w:date="2018-02-27T09:58:00Z">
              <w:tcPr>
                <w:tcW w:w="2190" w:type="dxa"/>
              </w:tcPr>
            </w:tcPrChange>
          </w:tcPr>
          <w:p w14:paraId="4827B03A" w14:textId="77777777" w:rsidR="00894D47" w:rsidRPr="002C400D" w:rsidRDefault="00894D47" w:rsidP="009A7B93">
            <w:pPr>
              <w:overflowPunct/>
              <w:spacing w:before="80" w:after="80"/>
              <w:jc w:val="center"/>
              <w:textAlignment w:val="auto"/>
              <w:rPr>
                <w:ins w:id="910" w:author="Dalhen, Eric" w:date="2018-02-27T09:58:00Z"/>
                <w:color w:val="000000"/>
                <w:sz w:val="20"/>
                <w:lang w:val="en-US" w:eastAsia="zh-CN"/>
              </w:rPr>
            </w:pPr>
            <w:ins w:id="911" w:author="Dalhen, Eric" w:date="2018-02-27T09:58:00Z">
              <w:r w:rsidRPr="002C400D">
                <w:rPr>
                  <w:color w:val="000000"/>
                  <w:sz w:val="20"/>
                  <w:lang w:val="en-US" w:eastAsia="zh-CN"/>
                </w:rPr>
                <w:t>34,801 – 40,600</w:t>
              </w:r>
            </w:ins>
          </w:p>
        </w:tc>
        <w:tc>
          <w:tcPr>
            <w:tcW w:w="2190" w:type="dxa"/>
            <w:tcPrChange w:id="912" w:author="Dalhen, Eric" w:date="2018-02-27T09:58:00Z">
              <w:tcPr>
                <w:tcW w:w="2190" w:type="dxa"/>
              </w:tcPr>
            </w:tcPrChange>
          </w:tcPr>
          <w:p w14:paraId="4827B03B" w14:textId="77777777" w:rsidR="00894D47" w:rsidRPr="002C400D" w:rsidRDefault="00894D47">
            <w:pPr>
              <w:overflowPunct/>
              <w:spacing w:before="80" w:after="80"/>
              <w:jc w:val="center"/>
              <w:textAlignment w:val="auto"/>
              <w:rPr>
                <w:ins w:id="913" w:author="Dalhen, Eric" w:date="2018-02-27T09:58:00Z"/>
                <w:color w:val="000000"/>
                <w:sz w:val="20"/>
                <w:lang w:val="en-US" w:eastAsia="zh-CN"/>
              </w:rPr>
              <w:pPrChange w:id="914" w:author="Dalhen, Eric" w:date="2018-02-27T09:58:00Z">
                <w:pPr>
                  <w:overflowPunct/>
                  <w:spacing w:before="0"/>
                  <w:textAlignment w:val="auto"/>
                </w:pPr>
              </w:pPrChange>
            </w:pPr>
            <w:ins w:id="915" w:author="Dalhen, Eric" w:date="2018-02-27T09:58:00Z">
              <w:r w:rsidRPr="002C400D">
                <w:rPr>
                  <w:color w:val="000000"/>
                  <w:sz w:val="20"/>
                  <w:lang w:val="en-US" w:eastAsia="zh-CN"/>
                </w:rPr>
                <w:t>61</w:t>
              </w:r>
            </w:ins>
          </w:p>
        </w:tc>
      </w:tr>
      <w:tr w:rsidR="00894D47" w:rsidRPr="002C400D" w14:paraId="4827B03F" w14:textId="77777777" w:rsidTr="00894D47">
        <w:trPr>
          <w:trHeight w:val="90"/>
          <w:jc w:val="center"/>
          <w:ins w:id="916" w:author="Dalhen, Eric" w:date="2018-02-27T09:58:00Z"/>
          <w:trPrChange w:id="917" w:author="Dalhen, Eric" w:date="2018-02-27T09:58:00Z">
            <w:trPr>
              <w:trHeight w:val="90"/>
            </w:trPr>
          </w:trPrChange>
        </w:trPr>
        <w:tc>
          <w:tcPr>
            <w:tcW w:w="2190" w:type="dxa"/>
            <w:tcPrChange w:id="918" w:author="Dalhen, Eric" w:date="2018-02-27T09:58:00Z">
              <w:tcPr>
                <w:tcW w:w="2190" w:type="dxa"/>
              </w:tcPr>
            </w:tcPrChange>
          </w:tcPr>
          <w:p w14:paraId="4827B03D" w14:textId="77777777" w:rsidR="00894D47" w:rsidRPr="002C400D" w:rsidRDefault="00894D47" w:rsidP="009A7B93">
            <w:pPr>
              <w:overflowPunct/>
              <w:spacing w:before="80" w:after="80"/>
              <w:jc w:val="center"/>
              <w:textAlignment w:val="auto"/>
              <w:rPr>
                <w:ins w:id="919" w:author="Dalhen, Eric" w:date="2018-02-27T09:58:00Z"/>
                <w:color w:val="000000"/>
                <w:sz w:val="20"/>
                <w:lang w:val="en-US" w:eastAsia="zh-CN"/>
              </w:rPr>
            </w:pPr>
            <w:ins w:id="920" w:author="Dalhen, Eric" w:date="2018-02-27T09:58:00Z">
              <w:r w:rsidRPr="002C400D">
                <w:rPr>
                  <w:color w:val="000000"/>
                  <w:sz w:val="20"/>
                  <w:lang w:val="en-US" w:eastAsia="zh-CN"/>
                </w:rPr>
                <w:t>&gt; 40,601</w:t>
              </w:r>
            </w:ins>
          </w:p>
        </w:tc>
        <w:tc>
          <w:tcPr>
            <w:tcW w:w="2190" w:type="dxa"/>
            <w:tcPrChange w:id="921" w:author="Dalhen, Eric" w:date="2018-02-27T09:58:00Z">
              <w:tcPr>
                <w:tcW w:w="2190" w:type="dxa"/>
              </w:tcPr>
            </w:tcPrChange>
          </w:tcPr>
          <w:p w14:paraId="4827B03E" w14:textId="77777777" w:rsidR="00894D47" w:rsidRPr="002C400D" w:rsidRDefault="00894D47">
            <w:pPr>
              <w:overflowPunct/>
              <w:spacing w:before="80" w:after="80"/>
              <w:jc w:val="center"/>
              <w:textAlignment w:val="auto"/>
              <w:rPr>
                <w:ins w:id="922" w:author="Dalhen, Eric" w:date="2018-02-27T09:58:00Z"/>
                <w:color w:val="000000"/>
                <w:sz w:val="20"/>
                <w:lang w:val="en-US" w:eastAsia="zh-CN"/>
              </w:rPr>
              <w:pPrChange w:id="923" w:author="Dalhen, Eric" w:date="2018-02-27T09:58:00Z">
                <w:pPr>
                  <w:overflowPunct/>
                  <w:spacing w:before="0"/>
                  <w:textAlignment w:val="auto"/>
                </w:pPr>
              </w:pPrChange>
            </w:pPr>
            <w:ins w:id="924" w:author="Dalhen, Eric" w:date="2018-02-27T09:58:00Z">
              <w:r w:rsidRPr="002C400D">
                <w:rPr>
                  <w:color w:val="000000"/>
                  <w:sz w:val="20"/>
                  <w:lang w:val="en-US" w:eastAsia="zh-CN"/>
                </w:rPr>
                <w:t>0</w:t>
              </w:r>
            </w:ins>
          </w:p>
        </w:tc>
      </w:tr>
    </w:tbl>
    <w:p w14:paraId="4827B040" w14:textId="77777777" w:rsidR="00933CC3" w:rsidRDefault="00933CC3" w:rsidP="00C53247">
      <w:pPr>
        <w:rPr>
          <w:lang w:eastAsia="zh-CN"/>
        </w:rPr>
      </w:pPr>
    </w:p>
    <w:p w14:paraId="4827B041" w14:textId="77777777" w:rsidR="00933CC3" w:rsidRDefault="00933CC3" w:rsidP="00C53247">
      <w:pPr>
        <w:rPr>
          <w:lang w:eastAsia="zh-CN"/>
        </w:rPr>
      </w:pPr>
    </w:p>
    <w:p w14:paraId="4827B042" w14:textId="77777777" w:rsidR="00933CC3" w:rsidRDefault="00933CC3" w:rsidP="00C53247">
      <w:pPr>
        <w:rPr>
          <w:lang w:eastAsia="zh-CN"/>
        </w:rPr>
      </w:pPr>
    </w:p>
    <w:p w14:paraId="4827B043" w14:textId="77777777" w:rsidR="00933CC3" w:rsidRDefault="00933CC3" w:rsidP="00C53247">
      <w:pPr>
        <w:rPr>
          <w:lang w:eastAsia="zh-CN"/>
        </w:rPr>
      </w:pPr>
    </w:p>
    <w:p w14:paraId="4827B044" w14:textId="77777777" w:rsidR="00933CC3" w:rsidRDefault="00933CC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045" w14:textId="77777777" w:rsidR="00933CC3" w:rsidRDefault="00933CC3">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046" w14:textId="77777777" w:rsidR="00933CC3" w:rsidRDefault="00933CC3">
      <w:pPr>
        <w:tabs>
          <w:tab w:val="clear" w:pos="794"/>
          <w:tab w:val="clear" w:pos="1191"/>
          <w:tab w:val="clear" w:pos="1588"/>
          <w:tab w:val="clear" w:pos="1985"/>
        </w:tabs>
        <w:overflowPunct/>
        <w:autoSpaceDE/>
        <w:autoSpaceDN/>
        <w:adjustRightInd/>
        <w:spacing w:before="0"/>
        <w:jc w:val="left"/>
        <w:textAlignment w:val="auto"/>
        <w:rPr>
          <w:lang w:eastAsia="zh-CN"/>
        </w:rPr>
      </w:pPr>
    </w:p>
    <w:tbl>
      <w:tblPr>
        <w:tblW w:w="0" w:type="auto"/>
        <w:jc w:val="center"/>
        <w:tblLayout w:type="fixed"/>
        <w:tblCellMar>
          <w:left w:w="79" w:type="dxa"/>
          <w:right w:w="79" w:type="dxa"/>
        </w:tblCellMar>
        <w:tblLook w:val="0000" w:firstRow="0" w:lastRow="0" w:firstColumn="0" w:lastColumn="0" w:noHBand="0" w:noVBand="0"/>
      </w:tblPr>
      <w:tblGrid>
        <w:gridCol w:w="3467"/>
        <w:gridCol w:w="1418"/>
        <w:gridCol w:w="1418"/>
        <w:gridCol w:w="1418"/>
      </w:tblGrid>
      <w:tr w:rsidR="00894D47" w:rsidRPr="002C400D" w14:paraId="4827B04B"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47" w14:textId="77777777" w:rsidR="00894D47" w:rsidRPr="002C400D" w:rsidRDefault="00894D47" w:rsidP="00894D47">
            <w:pPr>
              <w:pStyle w:val="TableText0"/>
              <w:spacing w:before="100"/>
              <w:jc w:val="center"/>
            </w:pPr>
            <w:del w:id="925" w:author="Dalhen, Eric" w:date="2018-02-27T09:58:00Z">
              <w:r w:rsidRPr="002C400D" w:rsidDel="009B4D06">
                <w:br/>
                <w:delText>Currency</w:delText>
              </w:r>
            </w:del>
          </w:p>
        </w:tc>
        <w:tc>
          <w:tcPr>
            <w:tcW w:w="1418" w:type="dxa"/>
            <w:tcBorders>
              <w:top w:val="single" w:sz="6" w:space="0" w:color="auto"/>
              <w:bottom w:val="single" w:sz="6" w:space="0" w:color="auto"/>
              <w:right w:val="single" w:sz="6" w:space="0" w:color="auto"/>
            </w:tcBorders>
          </w:tcPr>
          <w:p w14:paraId="4827B048" w14:textId="77777777" w:rsidR="00894D47" w:rsidRPr="002C400D" w:rsidRDefault="00894D47" w:rsidP="00894D47">
            <w:pPr>
              <w:pStyle w:val="TableText0"/>
              <w:jc w:val="center"/>
            </w:pPr>
            <w:del w:id="926" w:author="Dalhen, Eric" w:date="2018-02-27T09:58:00Z">
              <w:r w:rsidRPr="002C400D" w:rsidDel="009B4D06">
                <w:delText>Maximum allowable educational expenses*</w:delText>
              </w:r>
            </w:del>
          </w:p>
        </w:tc>
        <w:tc>
          <w:tcPr>
            <w:tcW w:w="1418" w:type="dxa"/>
            <w:tcBorders>
              <w:top w:val="single" w:sz="6" w:space="0" w:color="auto"/>
              <w:bottom w:val="single" w:sz="6" w:space="0" w:color="auto"/>
              <w:right w:val="single" w:sz="6" w:space="0" w:color="auto"/>
            </w:tcBorders>
          </w:tcPr>
          <w:p w14:paraId="4827B049" w14:textId="77777777" w:rsidR="00894D47" w:rsidRPr="002C400D" w:rsidRDefault="00894D47" w:rsidP="00894D47">
            <w:pPr>
              <w:pStyle w:val="TableText0"/>
              <w:jc w:val="center"/>
            </w:pPr>
            <w:del w:id="927" w:author="Dalhen, Eric" w:date="2018-02-27T09:58:00Z">
              <w:r w:rsidRPr="002C400D" w:rsidDel="009B4D06">
                <w:br/>
                <w:delText>Maximum education grant</w:delText>
              </w:r>
            </w:del>
          </w:p>
        </w:tc>
        <w:tc>
          <w:tcPr>
            <w:tcW w:w="1418" w:type="dxa"/>
            <w:tcBorders>
              <w:top w:val="single" w:sz="6" w:space="0" w:color="auto"/>
              <w:bottom w:val="single" w:sz="6" w:space="0" w:color="auto"/>
              <w:right w:val="single" w:sz="6" w:space="0" w:color="auto"/>
            </w:tcBorders>
          </w:tcPr>
          <w:p w14:paraId="4827B04A" w14:textId="77777777" w:rsidR="00894D47" w:rsidRPr="002C400D" w:rsidRDefault="00894D47" w:rsidP="00894D47">
            <w:pPr>
              <w:pStyle w:val="TableText0"/>
              <w:jc w:val="center"/>
            </w:pPr>
            <w:del w:id="928" w:author="Dalhen, Eric" w:date="2018-02-27T09:58:00Z">
              <w:r w:rsidRPr="002C400D" w:rsidDel="009B4D06">
                <w:br/>
                <w:delText>Flat rate for boarding</w:delText>
              </w:r>
            </w:del>
          </w:p>
        </w:tc>
      </w:tr>
      <w:tr w:rsidR="00894D47" w:rsidRPr="002C400D" w14:paraId="4827B050"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4C" w14:textId="77777777" w:rsidR="00894D47" w:rsidRPr="002C400D" w:rsidRDefault="00894D47" w:rsidP="00894D47">
            <w:pPr>
              <w:pStyle w:val="TableText0"/>
              <w:spacing w:before="50" w:after="50"/>
              <w:ind w:left="29"/>
            </w:pPr>
            <w:del w:id="929" w:author="Dalhen, Eric" w:date="2018-02-27T09:58:00Z">
              <w:r w:rsidRPr="002C400D" w:rsidDel="009B4D06">
                <w:delText>Austrian schilling</w:delText>
              </w:r>
            </w:del>
          </w:p>
        </w:tc>
        <w:tc>
          <w:tcPr>
            <w:tcW w:w="1418" w:type="dxa"/>
            <w:tcBorders>
              <w:top w:val="single" w:sz="6" w:space="0" w:color="auto"/>
              <w:bottom w:val="single" w:sz="6" w:space="0" w:color="auto"/>
              <w:right w:val="single" w:sz="6" w:space="0" w:color="auto"/>
            </w:tcBorders>
          </w:tcPr>
          <w:p w14:paraId="4827B04D" w14:textId="77777777" w:rsidR="00894D47" w:rsidRPr="002C400D" w:rsidRDefault="00894D47" w:rsidP="00894D47">
            <w:pPr>
              <w:pStyle w:val="TableText0"/>
              <w:spacing w:before="50" w:after="50"/>
              <w:ind w:right="170"/>
              <w:jc w:val="right"/>
            </w:pPr>
            <w:del w:id="930" w:author="Dalhen, Eric" w:date="2018-02-27T09:58:00Z">
              <w:r w:rsidRPr="002C400D" w:rsidDel="009B4D06">
                <w:delText>152,100</w:delText>
              </w:r>
            </w:del>
          </w:p>
        </w:tc>
        <w:tc>
          <w:tcPr>
            <w:tcW w:w="1418" w:type="dxa"/>
            <w:tcBorders>
              <w:top w:val="single" w:sz="6" w:space="0" w:color="auto"/>
              <w:bottom w:val="single" w:sz="6" w:space="0" w:color="auto"/>
              <w:right w:val="single" w:sz="6" w:space="0" w:color="auto"/>
            </w:tcBorders>
          </w:tcPr>
          <w:p w14:paraId="4827B04E" w14:textId="77777777" w:rsidR="00894D47" w:rsidRPr="002C400D" w:rsidRDefault="00894D47" w:rsidP="00894D47">
            <w:pPr>
              <w:pStyle w:val="TableText0"/>
              <w:spacing w:before="50" w:after="50"/>
              <w:ind w:right="170"/>
              <w:jc w:val="right"/>
            </w:pPr>
            <w:del w:id="931" w:author="Dalhen, Eric" w:date="2018-02-27T09:58:00Z">
              <w:r w:rsidRPr="002C400D" w:rsidDel="009B4D06">
                <w:delText>114,075</w:delText>
              </w:r>
            </w:del>
          </w:p>
        </w:tc>
        <w:tc>
          <w:tcPr>
            <w:tcW w:w="1418" w:type="dxa"/>
            <w:tcBorders>
              <w:top w:val="single" w:sz="6" w:space="0" w:color="auto"/>
              <w:bottom w:val="single" w:sz="6" w:space="0" w:color="auto"/>
              <w:right w:val="single" w:sz="6" w:space="0" w:color="auto"/>
            </w:tcBorders>
          </w:tcPr>
          <w:p w14:paraId="4827B04F" w14:textId="77777777" w:rsidR="00894D47" w:rsidRPr="002C400D" w:rsidRDefault="00894D47" w:rsidP="00894D47">
            <w:pPr>
              <w:pStyle w:val="TableText0"/>
              <w:spacing w:before="50" w:after="50"/>
              <w:ind w:right="170"/>
              <w:jc w:val="right"/>
            </w:pPr>
            <w:del w:id="932" w:author="Dalhen, Eric" w:date="2018-02-27T09:58:00Z">
              <w:r w:rsidRPr="002C400D" w:rsidDel="009B4D06">
                <w:delText>33,800</w:delText>
              </w:r>
            </w:del>
          </w:p>
        </w:tc>
      </w:tr>
      <w:tr w:rsidR="00894D47" w:rsidRPr="002C400D" w14:paraId="4827B055"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51" w14:textId="77777777" w:rsidR="00894D47" w:rsidRPr="002C400D" w:rsidRDefault="00894D47" w:rsidP="00894D47">
            <w:pPr>
              <w:pStyle w:val="TableText0"/>
              <w:spacing w:before="50" w:after="50"/>
              <w:ind w:left="29"/>
            </w:pPr>
            <w:del w:id="933" w:author="Dalhen, Eric" w:date="2018-02-27T09:58:00Z">
              <w:r w:rsidRPr="002C400D" w:rsidDel="009B4D06">
                <w:delText>Belgian franc</w:delText>
              </w:r>
            </w:del>
          </w:p>
        </w:tc>
        <w:tc>
          <w:tcPr>
            <w:tcW w:w="1418" w:type="dxa"/>
            <w:tcBorders>
              <w:top w:val="single" w:sz="6" w:space="0" w:color="auto"/>
              <w:bottom w:val="single" w:sz="6" w:space="0" w:color="auto"/>
              <w:right w:val="single" w:sz="6" w:space="0" w:color="auto"/>
            </w:tcBorders>
          </w:tcPr>
          <w:p w14:paraId="4827B052" w14:textId="77777777" w:rsidR="00894D47" w:rsidRPr="002C400D" w:rsidRDefault="00894D47" w:rsidP="00894D47">
            <w:pPr>
              <w:pStyle w:val="TableText0"/>
              <w:spacing w:before="50" w:after="50"/>
              <w:ind w:right="170"/>
              <w:jc w:val="right"/>
            </w:pPr>
            <w:del w:id="934" w:author="Dalhen, Eric" w:date="2018-02-27T09:58:00Z">
              <w:r w:rsidRPr="002C400D" w:rsidDel="009B4D06">
                <w:delText>423,000</w:delText>
              </w:r>
            </w:del>
          </w:p>
        </w:tc>
        <w:tc>
          <w:tcPr>
            <w:tcW w:w="1418" w:type="dxa"/>
            <w:tcBorders>
              <w:top w:val="single" w:sz="6" w:space="0" w:color="auto"/>
              <w:bottom w:val="single" w:sz="6" w:space="0" w:color="auto"/>
              <w:right w:val="single" w:sz="6" w:space="0" w:color="auto"/>
            </w:tcBorders>
          </w:tcPr>
          <w:p w14:paraId="4827B053" w14:textId="77777777" w:rsidR="00894D47" w:rsidRPr="002C400D" w:rsidRDefault="00894D47" w:rsidP="00894D47">
            <w:pPr>
              <w:pStyle w:val="TableText0"/>
              <w:spacing w:before="50" w:after="50"/>
              <w:ind w:right="170"/>
              <w:jc w:val="right"/>
            </w:pPr>
            <w:del w:id="935" w:author="Dalhen, Eric" w:date="2018-02-27T09:58:00Z">
              <w:r w:rsidRPr="002C400D" w:rsidDel="009B4D06">
                <w:delText>317,250</w:delText>
              </w:r>
            </w:del>
          </w:p>
        </w:tc>
        <w:tc>
          <w:tcPr>
            <w:tcW w:w="1418" w:type="dxa"/>
            <w:tcBorders>
              <w:top w:val="single" w:sz="6" w:space="0" w:color="auto"/>
              <w:bottom w:val="single" w:sz="6" w:space="0" w:color="auto"/>
              <w:right w:val="single" w:sz="6" w:space="0" w:color="auto"/>
            </w:tcBorders>
          </w:tcPr>
          <w:p w14:paraId="4827B054" w14:textId="77777777" w:rsidR="00894D47" w:rsidRPr="002C400D" w:rsidRDefault="00894D47" w:rsidP="00894D47">
            <w:pPr>
              <w:pStyle w:val="TableText0"/>
              <w:spacing w:before="50" w:after="50"/>
              <w:ind w:right="170"/>
              <w:jc w:val="right"/>
            </w:pPr>
            <w:del w:id="936" w:author="Dalhen, Eric" w:date="2018-02-27T09:58:00Z">
              <w:r w:rsidRPr="002C400D" w:rsidDel="009B4D06">
                <w:delText>94,000</w:delText>
              </w:r>
            </w:del>
          </w:p>
        </w:tc>
      </w:tr>
      <w:tr w:rsidR="00894D47" w:rsidRPr="002C400D" w14:paraId="4827B05A"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56" w14:textId="77777777" w:rsidR="00894D47" w:rsidRPr="002C400D" w:rsidRDefault="00894D47" w:rsidP="00894D47">
            <w:pPr>
              <w:pStyle w:val="TableText0"/>
              <w:spacing w:before="50" w:after="50"/>
              <w:ind w:left="29"/>
            </w:pPr>
            <w:del w:id="937" w:author="Dalhen, Eric" w:date="2018-02-27T09:58:00Z">
              <w:r w:rsidRPr="002C400D" w:rsidDel="009B4D06">
                <w:delText>Danish krone</w:delText>
              </w:r>
            </w:del>
          </w:p>
        </w:tc>
        <w:tc>
          <w:tcPr>
            <w:tcW w:w="1418" w:type="dxa"/>
            <w:tcBorders>
              <w:top w:val="single" w:sz="6" w:space="0" w:color="auto"/>
              <w:bottom w:val="single" w:sz="6" w:space="0" w:color="auto"/>
              <w:right w:val="single" w:sz="6" w:space="0" w:color="auto"/>
            </w:tcBorders>
          </w:tcPr>
          <w:p w14:paraId="4827B057" w14:textId="77777777" w:rsidR="00894D47" w:rsidRPr="002C400D" w:rsidRDefault="00894D47" w:rsidP="00894D47">
            <w:pPr>
              <w:pStyle w:val="TableText0"/>
              <w:spacing w:before="50" w:after="50"/>
              <w:ind w:right="170"/>
              <w:jc w:val="right"/>
            </w:pPr>
            <w:del w:id="938" w:author="Dalhen, Eric" w:date="2018-02-27T09:58:00Z">
              <w:r w:rsidRPr="002C400D" w:rsidDel="009B4D06">
                <w:delText>77,400</w:delText>
              </w:r>
            </w:del>
          </w:p>
        </w:tc>
        <w:tc>
          <w:tcPr>
            <w:tcW w:w="1418" w:type="dxa"/>
            <w:tcBorders>
              <w:top w:val="single" w:sz="6" w:space="0" w:color="auto"/>
              <w:bottom w:val="single" w:sz="6" w:space="0" w:color="auto"/>
              <w:right w:val="single" w:sz="6" w:space="0" w:color="auto"/>
            </w:tcBorders>
          </w:tcPr>
          <w:p w14:paraId="4827B058" w14:textId="77777777" w:rsidR="00894D47" w:rsidRPr="002C400D" w:rsidRDefault="00894D47" w:rsidP="00894D47">
            <w:pPr>
              <w:pStyle w:val="TableText0"/>
              <w:spacing w:before="50" w:after="50"/>
              <w:ind w:right="170"/>
              <w:jc w:val="right"/>
            </w:pPr>
            <w:del w:id="939" w:author="Dalhen, Eric" w:date="2018-02-27T09:58:00Z">
              <w:r w:rsidRPr="002C400D" w:rsidDel="009B4D06">
                <w:delText>58,050</w:delText>
              </w:r>
            </w:del>
          </w:p>
        </w:tc>
        <w:tc>
          <w:tcPr>
            <w:tcW w:w="1418" w:type="dxa"/>
            <w:tcBorders>
              <w:top w:val="single" w:sz="6" w:space="0" w:color="auto"/>
              <w:bottom w:val="single" w:sz="6" w:space="0" w:color="auto"/>
              <w:right w:val="single" w:sz="6" w:space="0" w:color="auto"/>
            </w:tcBorders>
          </w:tcPr>
          <w:p w14:paraId="4827B059" w14:textId="77777777" w:rsidR="00894D47" w:rsidRPr="002C400D" w:rsidRDefault="00894D47" w:rsidP="00894D47">
            <w:pPr>
              <w:pStyle w:val="TableText0"/>
              <w:spacing w:before="50" w:after="50"/>
              <w:ind w:right="170"/>
              <w:jc w:val="right"/>
            </w:pPr>
            <w:del w:id="940" w:author="Dalhen, Eric" w:date="2018-02-27T09:58:00Z">
              <w:r w:rsidRPr="002C400D" w:rsidDel="009B4D06">
                <w:delText>17,200</w:delText>
              </w:r>
            </w:del>
          </w:p>
        </w:tc>
      </w:tr>
      <w:tr w:rsidR="00894D47" w:rsidRPr="002C400D" w14:paraId="4827B05F"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5B" w14:textId="77777777" w:rsidR="00894D47" w:rsidRPr="002C400D" w:rsidRDefault="00894D47" w:rsidP="00894D47">
            <w:pPr>
              <w:pStyle w:val="TableText0"/>
              <w:spacing w:before="50" w:after="50"/>
              <w:ind w:left="29"/>
            </w:pPr>
            <w:del w:id="941" w:author="Dalhen, Eric" w:date="2018-02-27T09:58:00Z">
              <w:r w:rsidRPr="002C400D" w:rsidDel="009B4D06">
                <w:delText>Deutsche mark</w:delText>
              </w:r>
            </w:del>
          </w:p>
        </w:tc>
        <w:tc>
          <w:tcPr>
            <w:tcW w:w="1418" w:type="dxa"/>
            <w:tcBorders>
              <w:top w:val="single" w:sz="6" w:space="0" w:color="auto"/>
              <w:bottom w:val="single" w:sz="6" w:space="0" w:color="auto"/>
              <w:right w:val="single" w:sz="6" w:space="0" w:color="auto"/>
            </w:tcBorders>
          </w:tcPr>
          <w:p w14:paraId="4827B05C" w14:textId="77777777" w:rsidR="00894D47" w:rsidRPr="002C400D" w:rsidRDefault="00894D47" w:rsidP="00894D47">
            <w:pPr>
              <w:pStyle w:val="TableText0"/>
              <w:spacing w:before="50" w:after="50"/>
              <w:ind w:right="170"/>
              <w:jc w:val="right"/>
            </w:pPr>
            <w:del w:id="942" w:author="Dalhen, Eric" w:date="2018-02-27T09:58:00Z">
              <w:r w:rsidRPr="002C400D" w:rsidDel="009B4D06">
                <w:delText>29,035</w:delText>
              </w:r>
            </w:del>
          </w:p>
        </w:tc>
        <w:tc>
          <w:tcPr>
            <w:tcW w:w="1418" w:type="dxa"/>
            <w:tcBorders>
              <w:top w:val="single" w:sz="6" w:space="0" w:color="auto"/>
              <w:bottom w:val="single" w:sz="6" w:space="0" w:color="auto"/>
              <w:right w:val="single" w:sz="6" w:space="0" w:color="auto"/>
            </w:tcBorders>
          </w:tcPr>
          <w:p w14:paraId="4827B05D" w14:textId="77777777" w:rsidR="00894D47" w:rsidRPr="002C400D" w:rsidRDefault="00894D47" w:rsidP="00894D47">
            <w:pPr>
              <w:pStyle w:val="TableText0"/>
              <w:spacing w:before="50" w:after="50"/>
              <w:ind w:right="170"/>
              <w:jc w:val="right"/>
            </w:pPr>
            <w:del w:id="943" w:author="Dalhen, Eric" w:date="2018-02-27T09:58:00Z">
              <w:r w:rsidRPr="002C400D" w:rsidDel="009B4D06">
                <w:delText>21,775</w:delText>
              </w:r>
            </w:del>
          </w:p>
        </w:tc>
        <w:tc>
          <w:tcPr>
            <w:tcW w:w="1418" w:type="dxa"/>
            <w:tcBorders>
              <w:top w:val="single" w:sz="6" w:space="0" w:color="auto"/>
              <w:bottom w:val="single" w:sz="6" w:space="0" w:color="auto"/>
              <w:right w:val="single" w:sz="6" w:space="0" w:color="auto"/>
            </w:tcBorders>
          </w:tcPr>
          <w:p w14:paraId="4827B05E" w14:textId="77777777" w:rsidR="00894D47" w:rsidRPr="002C400D" w:rsidRDefault="00894D47" w:rsidP="00894D47">
            <w:pPr>
              <w:pStyle w:val="TableText0"/>
              <w:spacing w:before="50" w:after="50"/>
              <w:ind w:right="170"/>
              <w:jc w:val="right"/>
            </w:pPr>
            <w:del w:id="944" w:author="Dalhen, Eric" w:date="2018-02-27T09:58:00Z">
              <w:r w:rsidRPr="002C400D" w:rsidDel="009B4D06">
                <w:delText>6,454</w:delText>
              </w:r>
            </w:del>
          </w:p>
        </w:tc>
      </w:tr>
      <w:tr w:rsidR="00894D47" w:rsidRPr="002C400D" w14:paraId="4827B064"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60" w14:textId="77777777" w:rsidR="00894D47" w:rsidRPr="002C400D" w:rsidRDefault="00894D47" w:rsidP="00894D47">
            <w:pPr>
              <w:pStyle w:val="TableText0"/>
              <w:spacing w:before="50" w:after="50"/>
              <w:ind w:left="29"/>
            </w:pPr>
            <w:del w:id="945" w:author="Dalhen, Eric" w:date="2018-02-27T09:58:00Z">
              <w:r w:rsidRPr="002C400D" w:rsidDel="009B4D06">
                <w:delText>Finnish markka</w:delText>
              </w:r>
            </w:del>
          </w:p>
        </w:tc>
        <w:tc>
          <w:tcPr>
            <w:tcW w:w="1418" w:type="dxa"/>
            <w:tcBorders>
              <w:top w:val="single" w:sz="6" w:space="0" w:color="auto"/>
              <w:bottom w:val="single" w:sz="6" w:space="0" w:color="auto"/>
              <w:right w:val="single" w:sz="6" w:space="0" w:color="auto"/>
            </w:tcBorders>
          </w:tcPr>
          <w:p w14:paraId="4827B061" w14:textId="77777777" w:rsidR="00894D47" w:rsidRPr="002C400D" w:rsidRDefault="00894D47" w:rsidP="00894D47">
            <w:pPr>
              <w:pStyle w:val="TableText0"/>
              <w:spacing w:before="50" w:after="50"/>
              <w:ind w:right="170"/>
              <w:jc w:val="right"/>
            </w:pPr>
            <w:del w:id="946" w:author="Dalhen, Eric" w:date="2018-02-27T09:58:00Z">
              <w:r w:rsidRPr="002C400D" w:rsidDel="009B4D06">
                <w:delText>54,000</w:delText>
              </w:r>
            </w:del>
          </w:p>
        </w:tc>
        <w:tc>
          <w:tcPr>
            <w:tcW w:w="1418" w:type="dxa"/>
            <w:tcBorders>
              <w:top w:val="single" w:sz="6" w:space="0" w:color="auto"/>
              <w:bottom w:val="single" w:sz="6" w:space="0" w:color="auto"/>
              <w:right w:val="single" w:sz="6" w:space="0" w:color="auto"/>
            </w:tcBorders>
          </w:tcPr>
          <w:p w14:paraId="4827B062" w14:textId="77777777" w:rsidR="00894D47" w:rsidRPr="002C400D" w:rsidRDefault="00894D47" w:rsidP="00894D47">
            <w:pPr>
              <w:pStyle w:val="TableText0"/>
              <w:spacing w:before="50" w:after="50"/>
              <w:ind w:right="170"/>
              <w:jc w:val="right"/>
            </w:pPr>
            <w:del w:id="947" w:author="Dalhen, Eric" w:date="2018-02-27T09:58:00Z">
              <w:r w:rsidRPr="002C400D" w:rsidDel="009B4D06">
                <w:delText>40,500</w:delText>
              </w:r>
            </w:del>
          </w:p>
        </w:tc>
        <w:tc>
          <w:tcPr>
            <w:tcW w:w="1418" w:type="dxa"/>
            <w:tcBorders>
              <w:top w:val="single" w:sz="6" w:space="0" w:color="auto"/>
              <w:bottom w:val="single" w:sz="6" w:space="0" w:color="auto"/>
              <w:right w:val="single" w:sz="6" w:space="0" w:color="auto"/>
            </w:tcBorders>
          </w:tcPr>
          <w:p w14:paraId="4827B063" w14:textId="77777777" w:rsidR="00894D47" w:rsidRPr="002C400D" w:rsidRDefault="00894D47" w:rsidP="00894D47">
            <w:pPr>
              <w:pStyle w:val="TableText0"/>
              <w:spacing w:before="50" w:after="50"/>
              <w:ind w:right="170"/>
              <w:jc w:val="right"/>
            </w:pPr>
            <w:del w:id="948" w:author="Dalhen, Eric" w:date="2018-02-27T09:58:00Z">
              <w:r w:rsidRPr="002C400D" w:rsidDel="009B4D06">
                <w:delText>12,000</w:delText>
              </w:r>
            </w:del>
          </w:p>
        </w:tc>
      </w:tr>
      <w:tr w:rsidR="00894D47" w:rsidRPr="002C400D" w14:paraId="4827B069"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65" w14:textId="77777777" w:rsidR="00894D47" w:rsidRPr="002C400D" w:rsidRDefault="00894D47" w:rsidP="00894D47">
            <w:pPr>
              <w:pStyle w:val="TableText0"/>
              <w:spacing w:before="50" w:after="50"/>
              <w:ind w:left="29"/>
            </w:pPr>
            <w:del w:id="949" w:author="Dalhen, Eric" w:date="2018-02-27T09:58:00Z">
              <w:r w:rsidRPr="002C400D" w:rsidDel="009B4D06">
                <w:delText>French franc</w:delText>
              </w:r>
            </w:del>
          </w:p>
        </w:tc>
        <w:tc>
          <w:tcPr>
            <w:tcW w:w="1418" w:type="dxa"/>
            <w:tcBorders>
              <w:top w:val="single" w:sz="6" w:space="0" w:color="auto"/>
              <w:bottom w:val="single" w:sz="6" w:space="0" w:color="auto"/>
              <w:right w:val="single" w:sz="6" w:space="0" w:color="auto"/>
            </w:tcBorders>
          </w:tcPr>
          <w:p w14:paraId="4827B066" w14:textId="77777777" w:rsidR="00894D47" w:rsidRPr="002C400D" w:rsidRDefault="00894D47" w:rsidP="00894D47">
            <w:pPr>
              <w:pStyle w:val="TableText0"/>
              <w:spacing w:before="50" w:after="50"/>
              <w:ind w:right="170"/>
              <w:jc w:val="right"/>
            </w:pPr>
            <w:del w:id="950" w:author="Dalhen, Eric" w:date="2018-02-27T09:58:00Z">
              <w:r w:rsidRPr="002C400D" w:rsidDel="009B4D06">
                <w:delText>61,200</w:delText>
              </w:r>
            </w:del>
          </w:p>
        </w:tc>
        <w:tc>
          <w:tcPr>
            <w:tcW w:w="1418" w:type="dxa"/>
            <w:tcBorders>
              <w:top w:val="single" w:sz="6" w:space="0" w:color="auto"/>
              <w:bottom w:val="single" w:sz="6" w:space="0" w:color="auto"/>
              <w:right w:val="single" w:sz="6" w:space="0" w:color="auto"/>
            </w:tcBorders>
          </w:tcPr>
          <w:p w14:paraId="4827B067" w14:textId="77777777" w:rsidR="00894D47" w:rsidRPr="002C400D" w:rsidRDefault="00894D47" w:rsidP="00894D47">
            <w:pPr>
              <w:pStyle w:val="TableText0"/>
              <w:spacing w:before="50" w:after="50"/>
              <w:ind w:right="170"/>
              <w:jc w:val="right"/>
            </w:pPr>
            <w:del w:id="951" w:author="Dalhen, Eric" w:date="2018-02-27T09:58:00Z">
              <w:r w:rsidRPr="002C400D" w:rsidDel="009B4D06">
                <w:delText>45,900</w:delText>
              </w:r>
            </w:del>
          </w:p>
        </w:tc>
        <w:tc>
          <w:tcPr>
            <w:tcW w:w="1418" w:type="dxa"/>
            <w:tcBorders>
              <w:top w:val="single" w:sz="6" w:space="0" w:color="auto"/>
              <w:bottom w:val="single" w:sz="6" w:space="0" w:color="auto"/>
              <w:right w:val="single" w:sz="6" w:space="0" w:color="auto"/>
            </w:tcBorders>
          </w:tcPr>
          <w:p w14:paraId="4827B068" w14:textId="77777777" w:rsidR="00894D47" w:rsidRPr="002C400D" w:rsidRDefault="00894D47" w:rsidP="00894D47">
            <w:pPr>
              <w:pStyle w:val="TableText0"/>
              <w:spacing w:before="50" w:after="50"/>
              <w:ind w:right="170"/>
              <w:jc w:val="right"/>
            </w:pPr>
            <w:del w:id="952" w:author="Dalhen, Eric" w:date="2018-02-27T09:58:00Z">
              <w:r w:rsidRPr="002C400D" w:rsidDel="009B4D06">
                <w:delText>13,600</w:delText>
              </w:r>
            </w:del>
          </w:p>
        </w:tc>
      </w:tr>
      <w:tr w:rsidR="00894D47" w:rsidRPr="002C400D" w14:paraId="4827B06E"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6A" w14:textId="77777777" w:rsidR="00894D47" w:rsidRPr="002C400D" w:rsidRDefault="00894D47" w:rsidP="00894D47">
            <w:pPr>
              <w:pStyle w:val="TableText0"/>
              <w:spacing w:before="50" w:after="50"/>
              <w:ind w:left="29"/>
            </w:pPr>
            <w:del w:id="953" w:author="Dalhen, Eric" w:date="2018-02-27T09:58:00Z">
              <w:r w:rsidRPr="002C400D" w:rsidDel="009B4D06">
                <w:delText>Irish pound</w:delText>
              </w:r>
            </w:del>
          </w:p>
        </w:tc>
        <w:tc>
          <w:tcPr>
            <w:tcW w:w="1418" w:type="dxa"/>
            <w:tcBorders>
              <w:top w:val="single" w:sz="6" w:space="0" w:color="auto"/>
              <w:bottom w:val="single" w:sz="6" w:space="0" w:color="auto"/>
              <w:right w:val="single" w:sz="6" w:space="0" w:color="auto"/>
            </w:tcBorders>
          </w:tcPr>
          <w:p w14:paraId="4827B06B" w14:textId="77777777" w:rsidR="00894D47" w:rsidRPr="002C400D" w:rsidRDefault="00894D47" w:rsidP="00894D47">
            <w:pPr>
              <w:pStyle w:val="TableText0"/>
              <w:spacing w:before="50" w:after="50"/>
              <w:ind w:right="170"/>
              <w:jc w:val="right"/>
            </w:pPr>
            <w:del w:id="954" w:author="Dalhen, Eric" w:date="2018-02-27T09:58:00Z">
              <w:r w:rsidRPr="002C400D" w:rsidDel="009B4D06">
                <w:delText>6,561</w:delText>
              </w:r>
            </w:del>
          </w:p>
        </w:tc>
        <w:tc>
          <w:tcPr>
            <w:tcW w:w="1418" w:type="dxa"/>
            <w:tcBorders>
              <w:top w:val="single" w:sz="6" w:space="0" w:color="auto"/>
              <w:bottom w:val="single" w:sz="6" w:space="0" w:color="auto"/>
              <w:right w:val="single" w:sz="6" w:space="0" w:color="auto"/>
            </w:tcBorders>
          </w:tcPr>
          <w:p w14:paraId="4827B06C" w14:textId="77777777" w:rsidR="00894D47" w:rsidRPr="002C400D" w:rsidRDefault="00894D47" w:rsidP="00894D47">
            <w:pPr>
              <w:pStyle w:val="TableText0"/>
              <w:spacing w:before="50" w:after="50"/>
              <w:ind w:right="170"/>
              <w:jc w:val="right"/>
            </w:pPr>
            <w:del w:id="955" w:author="Dalhen, Eric" w:date="2018-02-27T09:58:00Z">
              <w:r w:rsidRPr="002C400D" w:rsidDel="009B4D06">
                <w:delText>4,921</w:delText>
              </w:r>
            </w:del>
          </w:p>
        </w:tc>
        <w:tc>
          <w:tcPr>
            <w:tcW w:w="1418" w:type="dxa"/>
            <w:tcBorders>
              <w:top w:val="single" w:sz="6" w:space="0" w:color="auto"/>
              <w:bottom w:val="single" w:sz="6" w:space="0" w:color="auto"/>
              <w:right w:val="single" w:sz="6" w:space="0" w:color="auto"/>
            </w:tcBorders>
          </w:tcPr>
          <w:p w14:paraId="4827B06D" w14:textId="77777777" w:rsidR="00894D47" w:rsidRPr="002C400D" w:rsidRDefault="00894D47" w:rsidP="00894D47">
            <w:pPr>
              <w:pStyle w:val="TableText0"/>
              <w:spacing w:before="50" w:after="50"/>
              <w:ind w:right="170"/>
              <w:jc w:val="right"/>
            </w:pPr>
            <w:del w:id="956" w:author="Dalhen, Eric" w:date="2018-02-27T09:58:00Z">
              <w:r w:rsidRPr="002C400D" w:rsidDel="009B4D06">
                <w:delText>1,458</w:delText>
              </w:r>
            </w:del>
          </w:p>
        </w:tc>
      </w:tr>
      <w:tr w:rsidR="00894D47" w:rsidRPr="002C400D" w14:paraId="4827B073"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6F" w14:textId="77777777" w:rsidR="00894D47" w:rsidRPr="002C400D" w:rsidRDefault="00894D47" w:rsidP="00894D47">
            <w:pPr>
              <w:pStyle w:val="TableText0"/>
              <w:spacing w:before="50" w:after="50"/>
              <w:ind w:left="29"/>
            </w:pPr>
            <w:del w:id="957" w:author="Dalhen, Eric" w:date="2018-02-27T09:58:00Z">
              <w:r w:rsidRPr="002C400D" w:rsidDel="009B4D06">
                <w:delText>Italian lira</w:delText>
              </w:r>
            </w:del>
          </w:p>
        </w:tc>
        <w:tc>
          <w:tcPr>
            <w:tcW w:w="1418" w:type="dxa"/>
            <w:tcBorders>
              <w:top w:val="single" w:sz="6" w:space="0" w:color="auto"/>
              <w:bottom w:val="single" w:sz="6" w:space="0" w:color="auto"/>
              <w:right w:val="single" w:sz="6" w:space="0" w:color="auto"/>
            </w:tcBorders>
          </w:tcPr>
          <w:p w14:paraId="4827B070" w14:textId="77777777" w:rsidR="00894D47" w:rsidRPr="002C400D" w:rsidRDefault="00894D47" w:rsidP="00894D47">
            <w:pPr>
              <w:pStyle w:val="TableText0"/>
              <w:spacing w:before="50" w:after="50"/>
              <w:ind w:right="170"/>
              <w:jc w:val="right"/>
            </w:pPr>
            <w:del w:id="958" w:author="Dalhen, Eric" w:date="2018-02-27T09:58:00Z">
              <w:r w:rsidRPr="002C400D" w:rsidDel="009B4D06">
                <w:delText>19,800,000</w:delText>
              </w:r>
            </w:del>
          </w:p>
        </w:tc>
        <w:tc>
          <w:tcPr>
            <w:tcW w:w="1418" w:type="dxa"/>
            <w:tcBorders>
              <w:top w:val="single" w:sz="6" w:space="0" w:color="auto"/>
              <w:bottom w:val="single" w:sz="6" w:space="0" w:color="auto"/>
              <w:right w:val="single" w:sz="6" w:space="0" w:color="auto"/>
            </w:tcBorders>
          </w:tcPr>
          <w:p w14:paraId="4827B071" w14:textId="77777777" w:rsidR="00894D47" w:rsidRPr="002C400D" w:rsidRDefault="00894D47" w:rsidP="00894D47">
            <w:pPr>
              <w:pStyle w:val="TableText0"/>
              <w:spacing w:before="50" w:after="50"/>
              <w:ind w:right="170"/>
              <w:jc w:val="right"/>
            </w:pPr>
            <w:del w:id="959" w:author="Dalhen, Eric" w:date="2018-02-27T09:58:00Z">
              <w:r w:rsidRPr="002C400D" w:rsidDel="009B4D06">
                <w:delText>14,850,000</w:delText>
              </w:r>
            </w:del>
          </w:p>
        </w:tc>
        <w:tc>
          <w:tcPr>
            <w:tcW w:w="1418" w:type="dxa"/>
            <w:tcBorders>
              <w:top w:val="single" w:sz="6" w:space="0" w:color="auto"/>
              <w:bottom w:val="single" w:sz="6" w:space="0" w:color="auto"/>
              <w:right w:val="single" w:sz="6" w:space="0" w:color="auto"/>
            </w:tcBorders>
          </w:tcPr>
          <w:p w14:paraId="4827B072" w14:textId="77777777" w:rsidR="00894D47" w:rsidRPr="002C400D" w:rsidRDefault="00894D47" w:rsidP="00894D47">
            <w:pPr>
              <w:pStyle w:val="TableText0"/>
              <w:spacing w:before="50" w:after="50"/>
              <w:ind w:right="170"/>
              <w:jc w:val="right"/>
            </w:pPr>
            <w:del w:id="960" w:author="Dalhen, Eric" w:date="2018-02-27T09:58:00Z">
              <w:r w:rsidRPr="002C400D" w:rsidDel="009B4D06">
                <w:delText>4,400,000</w:delText>
              </w:r>
            </w:del>
          </w:p>
        </w:tc>
      </w:tr>
      <w:tr w:rsidR="00894D47" w:rsidRPr="002C400D" w14:paraId="4827B078"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74" w14:textId="77777777" w:rsidR="00894D47" w:rsidRPr="002C400D" w:rsidRDefault="00894D47" w:rsidP="00894D47">
            <w:pPr>
              <w:pStyle w:val="TableText0"/>
              <w:spacing w:before="50" w:after="50"/>
              <w:ind w:left="29"/>
            </w:pPr>
            <w:del w:id="961" w:author="Dalhen, Eric" w:date="2018-02-27T09:58:00Z">
              <w:r w:rsidRPr="002C400D" w:rsidDel="009B4D06">
                <w:delText>Japanese yen</w:delText>
              </w:r>
            </w:del>
          </w:p>
        </w:tc>
        <w:tc>
          <w:tcPr>
            <w:tcW w:w="1418" w:type="dxa"/>
            <w:tcBorders>
              <w:top w:val="single" w:sz="6" w:space="0" w:color="auto"/>
              <w:bottom w:val="single" w:sz="6" w:space="0" w:color="auto"/>
              <w:right w:val="single" w:sz="6" w:space="0" w:color="auto"/>
            </w:tcBorders>
          </w:tcPr>
          <w:p w14:paraId="4827B075" w14:textId="77777777" w:rsidR="00894D47" w:rsidRPr="002C400D" w:rsidRDefault="00894D47" w:rsidP="00894D47">
            <w:pPr>
              <w:pStyle w:val="TableText0"/>
              <w:spacing w:before="50" w:after="50"/>
              <w:ind w:right="170"/>
              <w:jc w:val="right"/>
            </w:pPr>
            <w:del w:id="962" w:author="Dalhen, Eric" w:date="2018-02-27T09:58:00Z">
              <w:r w:rsidRPr="002C400D" w:rsidDel="009B4D06">
                <w:delText>2,115,000</w:delText>
              </w:r>
            </w:del>
          </w:p>
        </w:tc>
        <w:tc>
          <w:tcPr>
            <w:tcW w:w="1418" w:type="dxa"/>
            <w:tcBorders>
              <w:top w:val="single" w:sz="6" w:space="0" w:color="auto"/>
              <w:bottom w:val="single" w:sz="6" w:space="0" w:color="auto"/>
              <w:right w:val="single" w:sz="6" w:space="0" w:color="auto"/>
            </w:tcBorders>
          </w:tcPr>
          <w:p w14:paraId="4827B076" w14:textId="77777777" w:rsidR="00894D47" w:rsidRPr="002C400D" w:rsidRDefault="00894D47" w:rsidP="00894D47">
            <w:pPr>
              <w:pStyle w:val="TableText0"/>
              <w:spacing w:before="50" w:after="50"/>
              <w:ind w:right="170"/>
              <w:jc w:val="right"/>
            </w:pPr>
            <w:del w:id="963" w:author="Dalhen, Eric" w:date="2018-02-27T09:58:00Z">
              <w:r w:rsidRPr="002C400D" w:rsidDel="009B4D06">
                <w:delText>1,586,250</w:delText>
              </w:r>
            </w:del>
          </w:p>
        </w:tc>
        <w:tc>
          <w:tcPr>
            <w:tcW w:w="1418" w:type="dxa"/>
            <w:tcBorders>
              <w:top w:val="single" w:sz="6" w:space="0" w:color="auto"/>
              <w:bottom w:val="single" w:sz="6" w:space="0" w:color="auto"/>
              <w:right w:val="single" w:sz="6" w:space="0" w:color="auto"/>
            </w:tcBorders>
          </w:tcPr>
          <w:p w14:paraId="4827B077" w14:textId="77777777" w:rsidR="00894D47" w:rsidRPr="002C400D" w:rsidRDefault="00894D47" w:rsidP="00894D47">
            <w:pPr>
              <w:pStyle w:val="TableText0"/>
              <w:spacing w:before="50" w:after="50"/>
              <w:ind w:right="170"/>
              <w:jc w:val="right"/>
            </w:pPr>
            <w:del w:id="964" w:author="Dalhen, Eric" w:date="2018-02-27T09:58:00Z">
              <w:r w:rsidRPr="002C400D" w:rsidDel="009B4D06">
                <w:delText>470,000</w:delText>
              </w:r>
            </w:del>
          </w:p>
        </w:tc>
      </w:tr>
      <w:tr w:rsidR="00894D47" w:rsidRPr="002C400D" w14:paraId="4827B07D"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79" w14:textId="77777777" w:rsidR="00894D47" w:rsidRPr="002C400D" w:rsidRDefault="00894D47" w:rsidP="00894D47">
            <w:pPr>
              <w:pStyle w:val="TableText0"/>
              <w:spacing w:before="50" w:after="50"/>
              <w:ind w:left="29"/>
            </w:pPr>
            <w:del w:id="965" w:author="Dalhen, Eric" w:date="2018-02-27T09:58:00Z">
              <w:r w:rsidRPr="002C400D" w:rsidDel="009B4D06">
                <w:delText>Luxembourg franc</w:delText>
              </w:r>
            </w:del>
          </w:p>
        </w:tc>
        <w:tc>
          <w:tcPr>
            <w:tcW w:w="1418" w:type="dxa"/>
            <w:tcBorders>
              <w:top w:val="single" w:sz="6" w:space="0" w:color="auto"/>
              <w:bottom w:val="single" w:sz="6" w:space="0" w:color="auto"/>
              <w:right w:val="single" w:sz="6" w:space="0" w:color="auto"/>
            </w:tcBorders>
          </w:tcPr>
          <w:p w14:paraId="4827B07A" w14:textId="77777777" w:rsidR="00894D47" w:rsidRPr="002C400D" w:rsidRDefault="00894D47" w:rsidP="00894D47">
            <w:pPr>
              <w:pStyle w:val="TableText0"/>
              <w:spacing w:before="50" w:after="50"/>
              <w:ind w:right="170"/>
              <w:jc w:val="right"/>
            </w:pPr>
            <w:del w:id="966" w:author="Dalhen, Eric" w:date="2018-02-27T09:58:00Z">
              <w:r w:rsidRPr="002C400D" w:rsidDel="009B4D06">
                <w:delText>423,000</w:delText>
              </w:r>
            </w:del>
          </w:p>
        </w:tc>
        <w:tc>
          <w:tcPr>
            <w:tcW w:w="1418" w:type="dxa"/>
            <w:tcBorders>
              <w:top w:val="single" w:sz="6" w:space="0" w:color="auto"/>
              <w:bottom w:val="single" w:sz="6" w:space="0" w:color="auto"/>
              <w:right w:val="single" w:sz="6" w:space="0" w:color="auto"/>
            </w:tcBorders>
          </w:tcPr>
          <w:p w14:paraId="4827B07B" w14:textId="77777777" w:rsidR="00894D47" w:rsidRPr="002C400D" w:rsidRDefault="00894D47" w:rsidP="00894D47">
            <w:pPr>
              <w:pStyle w:val="TableText0"/>
              <w:spacing w:before="50" w:after="50"/>
              <w:ind w:right="170"/>
              <w:jc w:val="right"/>
            </w:pPr>
            <w:del w:id="967" w:author="Dalhen, Eric" w:date="2018-02-27T09:58:00Z">
              <w:r w:rsidRPr="002C400D" w:rsidDel="009B4D06">
                <w:delText>317,250</w:delText>
              </w:r>
            </w:del>
          </w:p>
        </w:tc>
        <w:tc>
          <w:tcPr>
            <w:tcW w:w="1418" w:type="dxa"/>
            <w:tcBorders>
              <w:top w:val="single" w:sz="6" w:space="0" w:color="auto"/>
              <w:bottom w:val="single" w:sz="6" w:space="0" w:color="auto"/>
              <w:right w:val="single" w:sz="6" w:space="0" w:color="auto"/>
            </w:tcBorders>
          </w:tcPr>
          <w:p w14:paraId="4827B07C" w14:textId="77777777" w:rsidR="00894D47" w:rsidRPr="002C400D" w:rsidRDefault="00894D47" w:rsidP="00894D47">
            <w:pPr>
              <w:pStyle w:val="TableText0"/>
              <w:spacing w:before="50" w:after="50"/>
              <w:ind w:right="170"/>
              <w:jc w:val="right"/>
            </w:pPr>
            <w:del w:id="968" w:author="Dalhen, Eric" w:date="2018-02-27T09:58:00Z">
              <w:r w:rsidRPr="002C400D" w:rsidDel="009B4D06">
                <w:delText>94,000</w:delText>
              </w:r>
            </w:del>
          </w:p>
        </w:tc>
      </w:tr>
      <w:tr w:rsidR="00894D47" w:rsidRPr="002C400D" w14:paraId="4827B082"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7E" w14:textId="77777777" w:rsidR="00894D47" w:rsidRPr="002C400D" w:rsidRDefault="00894D47" w:rsidP="00894D47">
            <w:pPr>
              <w:pStyle w:val="TableText0"/>
              <w:spacing w:before="50" w:after="50"/>
              <w:ind w:left="29"/>
            </w:pPr>
            <w:del w:id="969" w:author="Dalhen, Eric" w:date="2018-02-27T09:58:00Z">
              <w:r w:rsidRPr="002C400D" w:rsidDel="009B4D06">
                <w:delText>Netherlands guilder</w:delText>
              </w:r>
            </w:del>
          </w:p>
        </w:tc>
        <w:tc>
          <w:tcPr>
            <w:tcW w:w="1418" w:type="dxa"/>
            <w:tcBorders>
              <w:top w:val="single" w:sz="6" w:space="0" w:color="auto"/>
              <w:bottom w:val="single" w:sz="6" w:space="0" w:color="auto"/>
              <w:right w:val="single" w:sz="6" w:space="0" w:color="auto"/>
            </w:tcBorders>
          </w:tcPr>
          <w:p w14:paraId="4827B07F" w14:textId="77777777" w:rsidR="00894D47" w:rsidRPr="002C400D" w:rsidRDefault="00894D47" w:rsidP="00894D47">
            <w:pPr>
              <w:pStyle w:val="TableText0"/>
              <w:spacing w:before="50" w:after="50"/>
              <w:ind w:right="170"/>
              <w:jc w:val="right"/>
            </w:pPr>
            <w:del w:id="970" w:author="Dalhen, Eric" w:date="2018-02-27T09:58:00Z">
              <w:r w:rsidRPr="002C400D" w:rsidDel="009B4D06">
                <w:delText>27,000</w:delText>
              </w:r>
            </w:del>
          </w:p>
        </w:tc>
        <w:tc>
          <w:tcPr>
            <w:tcW w:w="1418" w:type="dxa"/>
            <w:tcBorders>
              <w:top w:val="single" w:sz="6" w:space="0" w:color="auto"/>
              <w:bottom w:val="single" w:sz="6" w:space="0" w:color="auto"/>
              <w:right w:val="single" w:sz="6" w:space="0" w:color="auto"/>
            </w:tcBorders>
          </w:tcPr>
          <w:p w14:paraId="4827B080" w14:textId="77777777" w:rsidR="00894D47" w:rsidRPr="002C400D" w:rsidRDefault="00894D47" w:rsidP="00894D47">
            <w:pPr>
              <w:pStyle w:val="TableText0"/>
              <w:spacing w:before="50" w:after="50"/>
              <w:ind w:right="170"/>
              <w:jc w:val="right"/>
            </w:pPr>
            <w:del w:id="971" w:author="Dalhen, Eric" w:date="2018-02-27T09:58:00Z">
              <w:r w:rsidRPr="002C400D" w:rsidDel="009B4D06">
                <w:delText>20,250</w:delText>
              </w:r>
            </w:del>
          </w:p>
        </w:tc>
        <w:tc>
          <w:tcPr>
            <w:tcW w:w="1418" w:type="dxa"/>
            <w:tcBorders>
              <w:top w:val="single" w:sz="6" w:space="0" w:color="auto"/>
              <w:bottom w:val="single" w:sz="6" w:space="0" w:color="auto"/>
              <w:right w:val="single" w:sz="6" w:space="0" w:color="auto"/>
            </w:tcBorders>
          </w:tcPr>
          <w:p w14:paraId="4827B081" w14:textId="77777777" w:rsidR="00894D47" w:rsidRPr="002C400D" w:rsidRDefault="00894D47" w:rsidP="00894D47">
            <w:pPr>
              <w:pStyle w:val="TableText0"/>
              <w:spacing w:before="50" w:after="50"/>
              <w:ind w:right="170"/>
              <w:jc w:val="right"/>
            </w:pPr>
            <w:del w:id="972" w:author="Dalhen, Eric" w:date="2018-02-27T09:58:00Z">
              <w:r w:rsidRPr="002C400D" w:rsidDel="009B4D06">
                <w:delText>6,000</w:delText>
              </w:r>
            </w:del>
          </w:p>
        </w:tc>
      </w:tr>
      <w:tr w:rsidR="00894D47" w:rsidRPr="002C400D" w14:paraId="4827B087"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83" w14:textId="77777777" w:rsidR="00894D47" w:rsidRPr="002C400D" w:rsidRDefault="00894D47" w:rsidP="00894D47">
            <w:pPr>
              <w:pStyle w:val="TableText0"/>
              <w:spacing w:before="50" w:after="50"/>
              <w:ind w:left="29"/>
            </w:pPr>
            <w:del w:id="973" w:author="Dalhen, Eric" w:date="2018-02-27T09:58:00Z">
              <w:r w:rsidRPr="002C400D" w:rsidDel="009B4D06">
                <w:delText>Norwegian krone</w:delText>
              </w:r>
            </w:del>
          </w:p>
        </w:tc>
        <w:tc>
          <w:tcPr>
            <w:tcW w:w="1418" w:type="dxa"/>
            <w:tcBorders>
              <w:top w:val="single" w:sz="6" w:space="0" w:color="auto"/>
              <w:bottom w:val="single" w:sz="6" w:space="0" w:color="auto"/>
              <w:right w:val="single" w:sz="6" w:space="0" w:color="auto"/>
            </w:tcBorders>
          </w:tcPr>
          <w:p w14:paraId="4827B084" w14:textId="77777777" w:rsidR="00894D47" w:rsidRPr="002C400D" w:rsidRDefault="00894D47" w:rsidP="00894D47">
            <w:pPr>
              <w:pStyle w:val="TableText0"/>
              <w:spacing w:before="50" w:after="50"/>
              <w:ind w:right="170"/>
              <w:jc w:val="right"/>
            </w:pPr>
            <w:del w:id="974" w:author="Dalhen, Eric" w:date="2018-02-27T09:58:00Z">
              <w:r w:rsidRPr="002C400D" w:rsidDel="009B4D06">
                <w:delText>63,900</w:delText>
              </w:r>
            </w:del>
          </w:p>
        </w:tc>
        <w:tc>
          <w:tcPr>
            <w:tcW w:w="1418" w:type="dxa"/>
            <w:tcBorders>
              <w:top w:val="single" w:sz="6" w:space="0" w:color="auto"/>
              <w:bottom w:val="single" w:sz="6" w:space="0" w:color="auto"/>
              <w:right w:val="single" w:sz="6" w:space="0" w:color="auto"/>
            </w:tcBorders>
          </w:tcPr>
          <w:p w14:paraId="4827B085" w14:textId="77777777" w:rsidR="00894D47" w:rsidRPr="002C400D" w:rsidRDefault="00894D47" w:rsidP="00894D47">
            <w:pPr>
              <w:pStyle w:val="TableText0"/>
              <w:spacing w:before="50" w:after="50"/>
              <w:ind w:right="170"/>
              <w:jc w:val="right"/>
            </w:pPr>
            <w:del w:id="975" w:author="Dalhen, Eric" w:date="2018-02-27T09:58:00Z">
              <w:r w:rsidRPr="002C400D" w:rsidDel="009B4D06">
                <w:delText>47,925</w:delText>
              </w:r>
            </w:del>
          </w:p>
        </w:tc>
        <w:tc>
          <w:tcPr>
            <w:tcW w:w="1418" w:type="dxa"/>
            <w:tcBorders>
              <w:top w:val="single" w:sz="6" w:space="0" w:color="auto"/>
              <w:bottom w:val="single" w:sz="6" w:space="0" w:color="auto"/>
              <w:right w:val="single" w:sz="6" w:space="0" w:color="auto"/>
            </w:tcBorders>
          </w:tcPr>
          <w:p w14:paraId="4827B086" w14:textId="77777777" w:rsidR="00894D47" w:rsidRPr="002C400D" w:rsidRDefault="00894D47" w:rsidP="00894D47">
            <w:pPr>
              <w:pStyle w:val="TableText0"/>
              <w:spacing w:before="50" w:after="50"/>
              <w:ind w:right="170"/>
              <w:jc w:val="right"/>
            </w:pPr>
            <w:del w:id="976" w:author="Dalhen, Eric" w:date="2018-02-27T09:58:00Z">
              <w:r w:rsidRPr="002C400D" w:rsidDel="009B4D06">
                <w:delText>14,200</w:delText>
              </w:r>
            </w:del>
          </w:p>
        </w:tc>
      </w:tr>
      <w:tr w:rsidR="00894D47" w:rsidRPr="002C400D" w14:paraId="4827B08C"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88" w14:textId="77777777" w:rsidR="00894D47" w:rsidRPr="002C400D" w:rsidRDefault="00894D47" w:rsidP="00894D47">
            <w:pPr>
              <w:pStyle w:val="TableText0"/>
              <w:spacing w:before="50" w:after="50"/>
              <w:ind w:left="29"/>
            </w:pPr>
            <w:del w:id="977" w:author="Dalhen, Eric" w:date="2018-02-27T09:58:00Z">
              <w:r w:rsidRPr="002C400D" w:rsidDel="009B4D06">
                <w:delText>Spanish peseta</w:delText>
              </w:r>
            </w:del>
          </w:p>
        </w:tc>
        <w:tc>
          <w:tcPr>
            <w:tcW w:w="1418" w:type="dxa"/>
            <w:tcBorders>
              <w:top w:val="single" w:sz="6" w:space="0" w:color="auto"/>
              <w:bottom w:val="single" w:sz="6" w:space="0" w:color="auto"/>
              <w:right w:val="single" w:sz="6" w:space="0" w:color="auto"/>
            </w:tcBorders>
          </w:tcPr>
          <w:p w14:paraId="4827B089" w14:textId="77777777" w:rsidR="00894D47" w:rsidRPr="002C400D" w:rsidRDefault="00894D47" w:rsidP="00894D47">
            <w:pPr>
              <w:pStyle w:val="TableText0"/>
              <w:spacing w:before="50" w:after="50"/>
              <w:ind w:right="170"/>
              <w:jc w:val="right"/>
            </w:pPr>
            <w:del w:id="978" w:author="Dalhen, Eric" w:date="2018-02-27T09:58:00Z">
              <w:r w:rsidRPr="002C400D" w:rsidDel="009B4D06">
                <w:delText>1,572,710</w:delText>
              </w:r>
            </w:del>
          </w:p>
        </w:tc>
        <w:tc>
          <w:tcPr>
            <w:tcW w:w="1418" w:type="dxa"/>
            <w:tcBorders>
              <w:top w:val="single" w:sz="6" w:space="0" w:color="auto"/>
              <w:bottom w:val="single" w:sz="6" w:space="0" w:color="auto"/>
              <w:right w:val="single" w:sz="6" w:space="0" w:color="auto"/>
            </w:tcBorders>
          </w:tcPr>
          <w:p w14:paraId="4827B08A" w14:textId="77777777" w:rsidR="00894D47" w:rsidRPr="002C400D" w:rsidRDefault="00894D47" w:rsidP="00894D47">
            <w:pPr>
              <w:pStyle w:val="TableText0"/>
              <w:spacing w:before="50" w:after="50"/>
              <w:ind w:right="170"/>
              <w:jc w:val="right"/>
            </w:pPr>
            <w:del w:id="979" w:author="Dalhen, Eric" w:date="2018-02-27T09:58:00Z">
              <w:r w:rsidRPr="002C400D" w:rsidDel="009B4D06">
                <w:delText>1,179,530</w:delText>
              </w:r>
            </w:del>
          </w:p>
        </w:tc>
        <w:tc>
          <w:tcPr>
            <w:tcW w:w="1418" w:type="dxa"/>
            <w:tcBorders>
              <w:top w:val="single" w:sz="6" w:space="0" w:color="auto"/>
              <w:bottom w:val="single" w:sz="6" w:space="0" w:color="auto"/>
              <w:right w:val="single" w:sz="6" w:space="0" w:color="auto"/>
            </w:tcBorders>
          </w:tcPr>
          <w:p w14:paraId="4827B08B" w14:textId="77777777" w:rsidR="00894D47" w:rsidRPr="002C400D" w:rsidRDefault="00894D47" w:rsidP="00894D47">
            <w:pPr>
              <w:pStyle w:val="TableText0"/>
              <w:spacing w:before="50" w:after="50"/>
              <w:ind w:right="170"/>
              <w:jc w:val="right"/>
            </w:pPr>
            <w:del w:id="980" w:author="Dalhen, Eric" w:date="2018-02-27T09:58:00Z">
              <w:r w:rsidRPr="002C400D" w:rsidDel="009B4D06">
                <w:delText>349,556</w:delText>
              </w:r>
            </w:del>
          </w:p>
        </w:tc>
      </w:tr>
      <w:tr w:rsidR="00894D47" w:rsidRPr="002C400D" w14:paraId="4827B091"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8D" w14:textId="77777777" w:rsidR="00894D47" w:rsidRPr="002C400D" w:rsidRDefault="00894D47" w:rsidP="00894D47">
            <w:pPr>
              <w:pStyle w:val="TableText0"/>
              <w:spacing w:before="50" w:after="50"/>
              <w:ind w:left="29"/>
            </w:pPr>
            <w:del w:id="981" w:author="Dalhen, Eric" w:date="2018-02-27T09:58:00Z">
              <w:r w:rsidRPr="002C400D" w:rsidDel="009B4D06">
                <w:delText>Swedish krona</w:delText>
              </w:r>
            </w:del>
          </w:p>
        </w:tc>
        <w:tc>
          <w:tcPr>
            <w:tcW w:w="1418" w:type="dxa"/>
            <w:tcBorders>
              <w:top w:val="single" w:sz="6" w:space="0" w:color="auto"/>
              <w:bottom w:val="single" w:sz="6" w:space="0" w:color="auto"/>
              <w:right w:val="single" w:sz="6" w:space="0" w:color="auto"/>
            </w:tcBorders>
          </w:tcPr>
          <w:p w14:paraId="4827B08E" w14:textId="77777777" w:rsidR="00894D47" w:rsidRPr="002C400D" w:rsidRDefault="00894D47" w:rsidP="00894D47">
            <w:pPr>
              <w:pStyle w:val="TableText0"/>
              <w:spacing w:before="50" w:after="50"/>
              <w:ind w:right="170"/>
              <w:jc w:val="right"/>
            </w:pPr>
            <w:del w:id="982" w:author="Dalhen, Eric" w:date="2018-02-27T09:58:00Z">
              <w:r w:rsidRPr="002C400D" w:rsidDel="009B4D06">
                <w:delText>83,250</w:delText>
              </w:r>
            </w:del>
          </w:p>
        </w:tc>
        <w:tc>
          <w:tcPr>
            <w:tcW w:w="1418" w:type="dxa"/>
            <w:tcBorders>
              <w:top w:val="single" w:sz="6" w:space="0" w:color="auto"/>
              <w:bottom w:val="single" w:sz="6" w:space="0" w:color="auto"/>
              <w:right w:val="single" w:sz="6" w:space="0" w:color="auto"/>
            </w:tcBorders>
          </w:tcPr>
          <w:p w14:paraId="4827B08F" w14:textId="77777777" w:rsidR="00894D47" w:rsidRPr="002C400D" w:rsidRDefault="00894D47" w:rsidP="00894D47">
            <w:pPr>
              <w:pStyle w:val="TableText0"/>
              <w:spacing w:before="50" w:after="50"/>
              <w:ind w:right="170"/>
              <w:jc w:val="right"/>
            </w:pPr>
            <w:del w:id="983" w:author="Dalhen, Eric" w:date="2018-02-27T09:58:00Z">
              <w:r w:rsidRPr="002C400D" w:rsidDel="009B4D06">
                <w:delText>62,438</w:delText>
              </w:r>
            </w:del>
          </w:p>
        </w:tc>
        <w:tc>
          <w:tcPr>
            <w:tcW w:w="1418" w:type="dxa"/>
            <w:tcBorders>
              <w:top w:val="single" w:sz="6" w:space="0" w:color="auto"/>
              <w:bottom w:val="single" w:sz="6" w:space="0" w:color="auto"/>
              <w:right w:val="single" w:sz="6" w:space="0" w:color="auto"/>
            </w:tcBorders>
          </w:tcPr>
          <w:p w14:paraId="4827B090" w14:textId="77777777" w:rsidR="00894D47" w:rsidRPr="002C400D" w:rsidRDefault="00894D47" w:rsidP="00894D47">
            <w:pPr>
              <w:pStyle w:val="TableText0"/>
              <w:spacing w:before="50" w:after="50"/>
              <w:ind w:right="170"/>
              <w:jc w:val="right"/>
            </w:pPr>
            <w:del w:id="984" w:author="Dalhen, Eric" w:date="2018-02-27T09:58:00Z">
              <w:r w:rsidRPr="002C400D" w:rsidDel="009B4D06">
                <w:delText>18,500</w:delText>
              </w:r>
            </w:del>
          </w:p>
        </w:tc>
      </w:tr>
      <w:tr w:rsidR="00894D47" w:rsidRPr="002C400D" w14:paraId="4827B096"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92" w14:textId="77777777" w:rsidR="00894D47" w:rsidRPr="002C400D" w:rsidRDefault="00894D47" w:rsidP="00894D47">
            <w:pPr>
              <w:pStyle w:val="TableText0"/>
              <w:spacing w:before="50" w:after="50"/>
              <w:ind w:left="29"/>
            </w:pPr>
            <w:del w:id="985" w:author="Dalhen, Eric" w:date="2018-02-27T09:58:00Z">
              <w:r w:rsidRPr="002C400D" w:rsidDel="009B4D06">
                <w:delText>Swiss franc</w:delText>
              </w:r>
            </w:del>
          </w:p>
        </w:tc>
        <w:tc>
          <w:tcPr>
            <w:tcW w:w="1418" w:type="dxa"/>
            <w:tcBorders>
              <w:top w:val="single" w:sz="6" w:space="0" w:color="auto"/>
              <w:bottom w:val="single" w:sz="6" w:space="0" w:color="auto"/>
              <w:right w:val="single" w:sz="6" w:space="0" w:color="auto"/>
            </w:tcBorders>
          </w:tcPr>
          <w:p w14:paraId="4827B093" w14:textId="77777777" w:rsidR="00894D47" w:rsidRPr="002C400D" w:rsidRDefault="00894D47" w:rsidP="00894D47">
            <w:pPr>
              <w:pStyle w:val="TableText0"/>
              <w:spacing w:before="50" w:after="50"/>
              <w:ind w:right="170"/>
              <w:jc w:val="right"/>
            </w:pPr>
            <w:del w:id="986" w:author="Dalhen, Eric" w:date="2018-02-27T09:58:00Z">
              <w:r w:rsidRPr="002C400D" w:rsidDel="009B4D06">
                <w:delText>20,097</w:delText>
              </w:r>
            </w:del>
          </w:p>
        </w:tc>
        <w:tc>
          <w:tcPr>
            <w:tcW w:w="1418" w:type="dxa"/>
            <w:tcBorders>
              <w:top w:val="single" w:sz="6" w:space="0" w:color="auto"/>
              <w:bottom w:val="single" w:sz="6" w:space="0" w:color="auto"/>
              <w:right w:val="single" w:sz="6" w:space="0" w:color="auto"/>
            </w:tcBorders>
          </w:tcPr>
          <w:p w14:paraId="4827B094" w14:textId="77777777" w:rsidR="00894D47" w:rsidRPr="002C400D" w:rsidRDefault="00894D47" w:rsidP="00894D47">
            <w:pPr>
              <w:pStyle w:val="TableText0"/>
              <w:spacing w:before="50" w:after="50"/>
              <w:ind w:right="170"/>
              <w:jc w:val="right"/>
            </w:pPr>
            <w:del w:id="987" w:author="Dalhen, Eric" w:date="2018-02-27T09:58:00Z">
              <w:r w:rsidRPr="002C400D" w:rsidDel="009B4D06">
                <w:delText>15,070</w:delText>
              </w:r>
            </w:del>
          </w:p>
        </w:tc>
        <w:tc>
          <w:tcPr>
            <w:tcW w:w="1418" w:type="dxa"/>
            <w:tcBorders>
              <w:top w:val="single" w:sz="6" w:space="0" w:color="auto"/>
              <w:bottom w:val="single" w:sz="6" w:space="0" w:color="auto"/>
              <w:right w:val="single" w:sz="6" w:space="0" w:color="auto"/>
            </w:tcBorders>
          </w:tcPr>
          <w:p w14:paraId="4827B095" w14:textId="77777777" w:rsidR="00894D47" w:rsidRPr="002C400D" w:rsidRDefault="00894D47" w:rsidP="00894D47">
            <w:pPr>
              <w:pStyle w:val="TableText0"/>
              <w:spacing w:before="50" w:after="50"/>
              <w:ind w:right="170"/>
              <w:jc w:val="right"/>
            </w:pPr>
            <w:del w:id="988" w:author="Dalhen, Eric" w:date="2018-02-27T09:58:00Z">
              <w:r w:rsidRPr="002C400D" w:rsidDel="009B4D06">
                <w:delText>4,466</w:delText>
              </w:r>
            </w:del>
          </w:p>
        </w:tc>
      </w:tr>
      <w:tr w:rsidR="00894D47" w:rsidRPr="002C400D" w14:paraId="4827B09B"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97" w14:textId="77777777" w:rsidR="00894D47" w:rsidRPr="002C400D" w:rsidRDefault="00894D47" w:rsidP="00894D47">
            <w:pPr>
              <w:pStyle w:val="TableText0"/>
              <w:spacing w:before="50" w:after="50"/>
              <w:ind w:left="29"/>
            </w:pPr>
            <w:del w:id="989" w:author="Dalhen, Eric" w:date="2018-02-27T09:58:00Z">
              <w:r w:rsidRPr="002C400D" w:rsidDel="009B4D06">
                <w:delText>United Kingdom pound sterling</w:delText>
              </w:r>
            </w:del>
          </w:p>
        </w:tc>
        <w:tc>
          <w:tcPr>
            <w:tcW w:w="1418" w:type="dxa"/>
            <w:tcBorders>
              <w:top w:val="single" w:sz="6" w:space="0" w:color="auto"/>
              <w:bottom w:val="single" w:sz="6" w:space="0" w:color="auto"/>
              <w:right w:val="single" w:sz="6" w:space="0" w:color="auto"/>
            </w:tcBorders>
          </w:tcPr>
          <w:p w14:paraId="4827B098" w14:textId="77777777" w:rsidR="00894D47" w:rsidRPr="002C400D" w:rsidRDefault="00894D47" w:rsidP="00894D47">
            <w:pPr>
              <w:pStyle w:val="TableText0"/>
              <w:spacing w:before="50" w:after="50"/>
              <w:ind w:right="170"/>
              <w:jc w:val="right"/>
            </w:pPr>
            <w:del w:id="990" w:author="Dalhen, Eric" w:date="2018-02-27T09:58:00Z">
              <w:r w:rsidRPr="002C400D" w:rsidDel="009B4D06">
                <w:delText>11,250</w:delText>
              </w:r>
            </w:del>
          </w:p>
        </w:tc>
        <w:tc>
          <w:tcPr>
            <w:tcW w:w="1418" w:type="dxa"/>
            <w:tcBorders>
              <w:top w:val="single" w:sz="6" w:space="0" w:color="auto"/>
              <w:bottom w:val="single" w:sz="6" w:space="0" w:color="auto"/>
              <w:right w:val="single" w:sz="6" w:space="0" w:color="auto"/>
            </w:tcBorders>
          </w:tcPr>
          <w:p w14:paraId="4827B099" w14:textId="77777777" w:rsidR="00894D47" w:rsidRPr="002C400D" w:rsidRDefault="00894D47" w:rsidP="00894D47">
            <w:pPr>
              <w:pStyle w:val="TableText0"/>
              <w:spacing w:before="50" w:after="50"/>
              <w:ind w:right="170"/>
              <w:jc w:val="right"/>
            </w:pPr>
            <w:del w:id="991" w:author="Dalhen, Eric" w:date="2018-02-27T09:58:00Z">
              <w:r w:rsidRPr="002C400D" w:rsidDel="009B4D06">
                <w:delText>8,438</w:delText>
              </w:r>
            </w:del>
          </w:p>
        </w:tc>
        <w:tc>
          <w:tcPr>
            <w:tcW w:w="1418" w:type="dxa"/>
            <w:tcBorders>
              <w:top w:val="single" w:sz="6" w:space="0" w:color="auto"/>
              <w:bottom w:val="single" w:sz="6" w:space="0" w:color="auto"/>
              <w:right w:val="single" w:sz="6" w:space="0" w:color="auto"/>
            </w:tcBorders>
          </w:tcPr>
          <w:p w14:paraId="4827B09A" w14:textId="77777777" w:rsidR="00894D47" w:rsidRPr="002C400D" w:rsidRDefault="00894D47" w:rsidP="00894D47">
            <w:pPr>
              <w:pStyle w:val="TableText0"/>
              <w:spacing w:before="50" w:after="50"/>
              <w:ind w:right="170"/>
              <w:jc w:val="right"/>
            </w:pPr>
            <w:del w:id="992" w:author="Dalhen, Eric" w:date="2018-02-27T09:58:00Z">
              <w:r w:rsidRPr="002C400D" w:rsidDel="009B4D06">
                <w:delText>2,500</w:delText>
              </w:r>
            </w:del>
          </w:p>
        </w:tc>
      </w:tr>
      <w:tr w:rsidR="00894D47" w:rsidRPr="002C400D" w14:paraId="4827B0A0"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9C" w14:textId="77777777" w:rsidR="00894D47" w:rsidRPr="002C400D" w:rsidRDefault="00894D47" w:rsidP="00894D47">
            <w:pPr>
              <w:pStyle w:val="TableText0"/>
              <w:spacing w:before="50" w:after="50"/>
              <w:ind w:left="29"/>
            </w:pPr>
            <w:del w:id="993" w:author="Dalhen, Eric" w:date="2018-02-27T09:58:00Z">
              <w:r w:rsidRPr="002C400D" w:rsidDel="009B4D06">
                <w:delText>United States dollar</w:delText>
              </w:r>
            </w:del>
          </w:p>
        </w:tc>
        <w:tc>
          <w:tcPr>
            <w:tcW w:w="1418" w:type="dxa"/>
            <w:tcBorders>
              <w:top w:val="single" w:sz="6" w:space="0" w:color="auto"/>
              <w:bottom w:val="single" w:sz="6" w:space="0" w:color="auto"/>
              <w:right w:val="single" w:sz="6" w:space="0" w:color="auto"/>
            </w:tcBorders>
          </w:tcPr>
          <w:p w14:paraId="4827B09D" w14:textId="77777777" w:rsidR="00894D47" w:rsidRPr="002C400D" w:rsidRDefault="00894D47" w:rsidP="00894D47">
            <w:pPr>
              <w:pStyle w:val="TableText0"/>
              <w:spacing w:before="50" w:after="50"/>
              <w:ind w:right="170"/>
              <w:jc w:val="right"/>
            </w:pPr>
            <w:del w:id="994" w:author="Dalhen, Eric" w:date="2018-02-27T09:58:00Z">
              <w:r w:rsidRPr="002C400D" w:rsidDel="009B4D06">
                <w:delText>16,900</w:delText>
              </w:r>
            </w:del>
          </w:p>
        </w:tc>
        <w:tc>
          <w:tcPr>
            <w:tcW w:w="1418" w:type="dxa"/>
            <w:tcBorders>
              <w:top w:val="single" w:sz="6" w:space="0" w:color="auto"/>
              <w:bottom w:val="single" w:sz="6" w:space="0" w:color="auto"/>
              <w:right w:val="single" w:sz="6" w:space="0" w:color="auto"/>
            </w:tcBorders>
          </w:tcPr>
          <w:p w14:paraId="4827B09E" w14:textId="77777777" w:rsidR="00894D47" w:rsidRPr="002C400D" w:rsidRDefault="00894D47" w:rsidP="00894D47">
            <w:pPr>
              <w:pStyle w:val="TableText0"/>
              <w:spacing w:before="50" w:after="50"/>
              <w:ind w:right="170"/>
              <w:jc w:val="right"/>
            </w:pPr>
            <w:del w:id="995" w:author="Dalhen, Eric" w:date="2018-02-27T09:58:00Z">
              <w:r w:rsidRPr="002C400D" w:rsidDel="009B4D06">
                <w:delText>12,675</w:delText>
              </w:r>
            </w:del>
          </w:p>
        </w:tc>
        <w:tc>
          <w:tcPr>
            <w:tcW w:w="1418" w:type="dxa"/>
            <w:tcBorders>
              <w:top w:val="single" w:sz="6" w:space="0" w:color="auto"/>
              <w:bottom w:val="single" w:sz="6" w:space="0" w:color="auto"/>
              <w:right w:val="single" w:sz="6" w:space="0" w:color="auto"/>
            </w:tcBorders>
          </w:tcPr>
          <w:p w14:paraId="4827B09F" w14:textId="77777777" w:rsidR="00894D47" w:rsidRPr="002C400D" w:rsidRDefault="00894D47" w:rsidP="00894D47">
            <w:pPr>
              <w:pStyle w:val="TableText0"/>
              <w:spacing w:before="50" w:after="50"/>
              <w:ind w:right="170"/>
              <w:jc w:val="right"/>
            </w:pPr>
            <w:del w:id="996" w:author="Dalhen, Eric" w:date="2018-02-27T09:58:00Z">
              <w:r w:rsidRPr="002C400D" w:rsidDel="009B4D06">
                <w:delText>3,770</w:delText>
              </w:r>
            </w:del>
          </w:p>
        </w:tc>
      </w:tr>
      <w:tr w:rsidR="00894D47" w:rsidRPr="002C400D" w14:paraId="4827B0A5"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A1" w14:textId="77777777" w:rsidR="00894D47" w:rsidRPr="002C400D" w:rsidRDefault="00894D47" w:rsidP="00933CC3">
            <w:pPr>
              <w:pStyle w:val="TableText0"/>
              <w:spacing w:before="50" w:after="50"/>
              <w:ind w:left="29"/>
              <w:jc w:val="left"/>
            </w:pPr>
            <w:del w:id="997" w:author="Dalhen, Eric" w:date="2018-02-27T09:58:00Z">
              <w:r w:rsidRPr="002C400D" w:rsidDel="009B4D06">
                <w:delText>United States dollar</w:delText>
              </w:r>
              <w:r w:rsidRPr="002C400D" w:rsidDel="009B4D06">
                <w:br/>
                <w:delText>(maxima applicable to expenses incurred in all other currencies not listed above</w:delText>
              </w:r>
              <w:r w:rsidRPr="002C400D" w:rsidDel="009B4D06">
                <w:rPr>
                  <w:position w:val="6"/>
                  <w:sz w:val="14"/>
                  <w:szCs w:val="14"/>
                </w:rPr>
                <w:delText>1)</w:delText>
              </w:r>
              <w:r w:rsidRPr="002C400D" w:rsidDel="009B4D06">
                <w:delText>)</w:delText>
              </w:r>
            </w:del>
          </w:p>
        </w:tc>
        <w:tc>
          <w:tcPr>
            <w:tcW w:w="1418" w:type="dxa"/>
            <w:tcBorders>
              <w:top w:val="single" w:sz="6" w:space="0" w:color="auto"/>
              <w:bottom w:val="single" w:sz="6" w:space="0" w:color="auto"/>
              <w:right w:val="single" w:sz="6" w:space="0" w:color="auto"/>
            </w:tcBorders>
          </w:tcPr>
          <w:p w14:paraId="4827B0A2" w14:textId="77777777" w:rsidR="00894D47" w:rsidRPr="002C400D" w:rsidRDefault="00894D47" w:rsidP="00894D47">
            <w:pPr>
              <w:pStyle w:val="TableText0"/>
              <w:spacing w:before="50" w:after="50"/>
              <w:ind w:right="170"/>
              <w:jc w:val="right"/>
            </w:pPr>
            <w:del w:id="998" w:author="Dalhen, Eric" w:date="2018-02-27T09:58:00Z">
              <w:r w:rsidRPr="002C400D" w:rsidDel="009B4D06">
                <w:br/>
              </w:r>
              <w:r w:rsidRPr="002C400D" w:rsidDel="009B4D06">
                <w:br/>
              </w:r>
              <w:r w:rsidRPr="002C400D" w:rsidDel="009B4D06">
                <w:br/>
                <w:delText>13,000</w:delText>
              </w:r>
            </w:del>
          </w:p>
        </w:tc>
        <w:tc>
          <w:tcPr>
            <w:tcW w:w="1418" w:type="dxa"/>
            <w:tcBorders>
              <w:top w:val="single" w:sz="6" w:space="0" w:color="auto"/>
              <w:bottom w:val="single" w:sz="6" w:space="0" w:color="auto"/>
              <w:right w:val="single" w:sz="6" w:space="0" w:color="auto"/>
            </w:tcBorders>
          </w:tcPr>
          <w:p w14:paraId="4827B0A3" w14:textId="77777777" w:rsidR="00894D47" w:rsidRPr="002C400D" w:rsidRDefault="00894D47" w:rsidP="00894D47">
            <w:pPr>
              <w:pStyle w:val="TableText0"/>
              <w:spacing w:before="50" w:after="50"/>
              <w:ind w:right="170"/>
              <w:jc w:val="right"/>
            </w:pPr>
            <w:del w:id="999" w:author="Dalhen, Eric" w:date="2018-02-27T09:58:00Z">
              <w:r w:rsidRPr="002C400D" w:rsidDel="009B4D06">
                <w:br/>
              </w:r>
              <w:r w:rsidRPr="002C400D" w:rsidDel="009B4D06">
                <w:br/>
              </w:r>
              <w:r w:rsidRPr="002C400D" w:rsidDel="009B4D06">
                <w:br/>
                <w:delText>9,750</w:delText>
              </w:r>
            </w:del>
          </w:p>
        </w:tc>
        <w:tc>
          <w:tcPr>
            <w:tcW w:w="1418" w:type="dxa"/>
            <w:tcBorders>
              <w:top w:val="single" w:sz="6" w:space="0" w:color="auto"/>
              <w:bottom w:val="single" w:sz="6" w:space="0" w:color="auto"/>
              <w:right w:val="single" w:sz="6" w:space="0" w:color="auto"/>
            </w:tcBorders>
          </w:tcPr>
          <w:p w14:paraId="4827B0A4" w14:textId="77777777" w:rsidR="00894D47" w:rsidRPr="002C400D" w:rsidRDefault="00894D47" w:rsidP="00894D47">
            <w:pPr>
              <w:pStyle w:val="TableText0"/>
              <w:spacing w:before="50" w:after="50"/>
              <w:ind w:right="170"/>
              <w:jc w:val="right"/>
            </w:pPr>
            <w:del w:id="1000" w:author="Dalhen, Eric" w:date="2018-02-27T09:58:00Z">
              <w:r w:rsidRPr="002C400D" w:rsidDel="009B4D06">
                <w:br/>
              </w:r>
              <w:r w:rsidRPr="002C400D" w:rsidDel="009B4D06">
                <w:br/>
              </w:r>
              <w:r w:rsidRPr="002C400D" w:rsidDel="009B4D06">
                <w:br/>
                <w:delText>2,900</w:delText>
              </w:r>
            </w:del>
          </w:p>
        </w:tc>
      </w:tr>
      <w:tr w:rsidR="00933CC3" w:rsidRPr="002C400D" w14:paraId="4827B0A8" w14:textId="77777777" w:rsidTr="00933CC3">
        <w:trPr>
          <w:cantSplit/>
          <w:trHeight w:val="1105"/>
          <w:jc w:val="center"/>
        </w:trPr>
        <w:tc>
          <w:tcPr>
            <w:tcW w:w="7721" w:type="dxa"/>
            <w:gridSpan w:val="4"/>
            <w:tcBorders>
              <w:top w:val="single" w:sz="6" w:space="0" w:color="auto"/>
              <w:left w:val="single" w:sz="6" w:space="0" w:color="auto"/>
              <w:bottom w:val="single" w:sz="6" w:space="0" w:color="auto"/>
              <w:right w:val="single" w:sz="6" w:space="0" w:color="auto"/>
            </w:tcBorders>
          </w:tcPr>
          <w:p w14:paraId="4827B0A6" w14:textId="77777777" w:rsidR="00933CC3" w:rsidRPr="00933CC3" w:rsidDel="004E7254" w:rsidRDefault="00933CC3" w:rsidP="00933CC3">
            <w:pPr>
              <w:pStyle w:val="TableLegend0"/>
              <w:tabs>
                <w:tab w:val="left" w:pos="284"/>
              </w:tabs>
              <w:spacing w:before="0" w:after="0"/>
              <w:ind w:left="284" w:right="113" w:hanging="284"/>
              <w:rPr>
                <w:del w:id="1001" w:author="Dalhen, Eric" w:date="2018-02-27T09:59:00Z"/>
                <w:szCs w:val="18"/>
              </w:rPr>
            </w:pPr>
            <w:del w:id="1002" w:author="Dalhen, Eric" w:date="2018-02-27T09:59:00Z">
              <w:r w:rsidRPr="00933CC3" w:rsidDel="004E7254">
                <w:rPr>
                  <w:szCs w:val="18"/>
                </w:rPr>
                <w:delText>*</w:delText>
              </w:r>
              <w:r w:rsidRPr="00933CC3" w:rsidDel="004E7254">
                <w:rPr>
                  <w:szCs w:val="18"/>
                </w:rPr>
                <w:tab/>
                <w:delText>The amounts indicated under maximum allowable educational expenses shall also constitute the “maximum special education grant” under Regulation II.3, part H (Special education grant for disabled children).</w:delText>
              </w:r>
            </w:del>
          </w:p>
          <w:p w14:paraId="4827B0A7" w14:textId="77777777" w:rsidR="00933CC3" w:rsidRPr="00933CC3" w:rsidDel="009B4D06" w:rsidRDefault="00933CC3" w:rsidP="00933CC3">
            <w:pPr>
              <w:tabs>
                <w:tab w:val="clear" w:pos="794"/>
                <w:tab w:val="clear" w:pos="1191"/>
                <w:tab w:val="clear" w:pos="1588"/>
                <w:tab w:val="clear" w:pos="1985"/>
                <w:tab w:val="left" w:pos="254"/>
              </w:tabs>
              <w:overflowPunct/>
              <w:autoSpaceDE/>
              <w:autoSpaceDN/>
              <w:adjustRightInd/>
              <w:spacing w:before="0"/>
              <w:jc w:val="left"/>
              <w:textAlignment w:val="auto"/>
              <w:rPr>
                <w:sz w:val="18"/>
                <w:szCs w:val="18"/>
                <w:lang w:val="fr-CH"/>
              </w:rPr>
            </w:pPr>
            <w:del w:id="1003" w:author="Dalhen, Eric" w:date="2018-02-27T09:59:00Z">
              <w:r w:rsidRPr="00933CC3" w:rsidDel="004E7254">
                <w:rPr>
                  <w:position w:val="6"/>
                  <w:sz w:val="18"/>
                  <w:szCs w:val="18"/>
                  <w:lang w:val="fr-CH"/>
                </w:rPr>
                <w:delText>1</w:delText>
              </w:r>
              <w:r w:rsidRPr="00933CC3" w:rsidDel="004E7254">
                <w:rPr>
                  <w:position w:val="6"/>
                  <w:sz w:val="18"/>
                  <w:szCs w:val="18"/>
                  <w:lang w:val="fr-CH"/>
                </w:rPr>
                <w:tab/>
              </w:r>
              <w:r w:rsidRPr="00933CC3" w:rsidDel="004E7254">
                <w:rPr>
                  <w:sz w:val="18"/>
                  <w:szCs w:val="18"/>
                  <w:lang w:val="fr-CH"/>
                </w:rPr>
                <w:delText>Maxima applicable to the 14 Communauté financière africaine franc countries.</w:delText>
              </w:r>
            </w:del>
          </w:p>
        </w:tc>
      </w:tr>
    </w:tbl>
    <w:p w14:paraId="4827B0A9" w14:textId="77777777" w:rsidR="006F4DAA" w:rsidRDefault="006F4DAA" w:rsidP="006F4DAA">
      <w:pPr>
        <w:jc w:val="center"/>
        <w:rPr>
          <w:lang w:eastAsia="zh-CN"/>
        </w:rPr>
      </w:pPr>
      <w:r>
        <w:rPr>
          <w:lang w:eastAsia="zh-CN"/>
        </w:rPr>
        <w:t>______________</w:t>
      </w:r>
    </w:p>
    <w:p w14:paraId="4827B0AA" w14:textId="77777777" w:rsidR="00C53247" w:rsidRDefault="00C53247" w:rsidP="00894D47">
      <w:pPr>
        <w:tabs>
          <w:tab w:val="clear" w:pos="794"/>
          <w:tab w:val="clear" w:pos="1191"/>
          <w:tab w:val="clear" w:pos="1588"/>
          <w:tab w:val="clear" w:pos="1985"/>
        </w:tabs>
        <w:overflowPunct/>
        <w:autoSpaceDE/>
        <w:autoSpaceDN/>
        <w:adjustRightInd/>
        <w:spacing w:before="0"/>
        <w:jc w:val="left"/>
        <w:textAlignment w:val="auto"/>
        <w:rPr>
          <w:lang w:val="fr-CH" w:eastAsia="zh-CN"/>
        </w:rPr>
      </w:pPr>
    </w:p>
    <w:p w14:paraId="4827B0AB" w14:textId="38043E8E" w:rsidR="009A11FE" w:rsidRDefault="009A11FE" w:rsidP="00894D47">
      <w:pPr>
        <w:tabs>
          <w:tab w:val="clear" w:pos="794"/>
          <w:tab w:val="clear" w:pos="1191"/>
          <w:tab w:val="clear" w:pos="1588"/>
          <w:tab w:val="clear" w:pos="1985"/>
        </w:tabs>
        <w:overflowPunct/>
        <w:autoSpaceDE/>
        <w:autoSpaceDN/>
        <w:adjustRightInd/>
        <w:spacing w:before="0"/>
        <w:jc w:val="left"/>
        <w:textAlignment w:val="auto"/>
        <w:rPr>
          <w:lang w:val="fr-CH" w:eastAsia="zh-CN"/>
        </w:rPr>
      </w:pPr>
    </w:p>
    <w:p w14:paraId="15E08D0E" w14:textId="77777777" w:rsidR="006D3A93" w:rsidRDefault="006D3A93" w:rsidP="00894D47">
      <w:pPr>
        <w:tabs>
          <w:tab w:val="clear" w:pos="794"/>
          <w:tab w:val="clear" w:pos="1191"/>
          <w:tab w:val="clear" w:pos="1588"/>
          <w:tab w:val="clear" w:pos="1985"/>
        </w:tabs>
        <w:overflowPunct/>
        <w:autoSpaceDE/>
        <w:autoSpaceDN/>
        <w:adjustRightInd/>
        <w:spacing w:before="0"/>
        <w:jc w:val="left"/>
        <w:textAlignment w:val="auto"/>
        <w:rPr>
          <w:lang w:val="fr-CH" w:eastAsia="zh-CN"/>
        </w:rPr>
      </w:pPr>
    </w:p>
    <w:p w14:paraId="4827B0AC" w14:textId="77777777" w:rsidR="00C53247" w:rsidRDefault="00C53247" w:rsidP="00894D47">
      <w:pPr>
        <w:tabs>
          <w:tab w:val="clear" w:pos="794"/>
          <w:tab w:val="clear" w:pos="1191"/>
          <w:tab w:val="clear" w:pos="1588"/>
          <w:tab w:val="clear" w:pos="1985"/>
        </w:tabs>
        <w:overflowPunct/>
        <w:autoSpaceDE/>
        <w:autoSpaceDN/>
        <w:adjustRightInd/>
        <w:spacing w:before="0"/>
        <w:jc w:val="left"/>
        <w:textAlignment w:val="auto"/>
        <w:rPr>
          <w:lang w:val="fr-CH" w:eastAsia="zh-CN"/>
        </w:rPr>
      </w:pPr>
    </w:p>
    <w:p w14:paraId="4827B0AD" w14:textId="77777777" w:rsidR="00C53247" w:rsidRDefault="00C53247" w:rsidP="00894D47">
      <w:pPr>
        <w:tabs>
          <w:tab w:val="clear" w:pos="794"/>
          <w:tab w:val="clear" w:pos="1191"/>
          <w:tab w:val="clear" w:pos="1588"/>
          <w:tab w:val="clear" w:pos="1985"/>
        </w:tabs>
        <w:overflowPunct/>
        <w:autoSpaceDE/>
        <w:autoSpaceDN/>
        <w:adjustRightInd/>
        <w:spacing w:before="0"/>
        <w:jc w:val="left"/>
        <w:textAlignment w:val="auto"/>
        <w:rPr>
          <w:lang w:val="fr-CH" w:eastAsia="zh-CN"/>
        </w:rPr>
      </w:pPr>
    </w:p>
    <w:p w14:paraId="4827B0AE" w14:textId="77777777" w:rsidR="00894D47" w:rsidRDefault="00894D47" w:rsidP="00894D47">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0AF" w14:textId="6815661C" w:rsidR="006F4DAA" w:rsidRDefault="006F4DAA" w:rsidP="00A75FB5">
      <w:pPr>
        <w:pStyle w:val="ResNo"/>
        <w:spacing w:before="840"/>
        <w:outlineLvl w:val="0"/>
        <w:rPr>
          <w:lang w:eastAsia="zh-CN"/>
        </w:rPr>
      </w:pPr>
      <w:bookmarkStart w:id="1004" w:name="_Toc16085716"/>
      <w:bookmarkStart w:id="1005" w:name="_Toc86395520"/>
      <w:bookmarkStart w:id="1006" w:name="_Toc531706310"/>
      <w:bookmarkStart w:id="1007" w:name="_Toc531706907"/>
      <w:bookmarkStart w:id="1008" w:name="_Toc531768399"/>
      <w:r>
        <w:rPr>
          <w:rFonts w:hint="eastAsia"/>
          <w:lang w:eastAsia="zh-CN"/>
        </w:rPr>
        <w:lastRenderedPageBreak/>
        <w:t>第</w:t>
      </w:r>
      <w:r>
        <w:rPr>
          <w:lang w:eastAsia="zh-CN"/>
        </w:rPr>
        <w:t>1</w:t>
      </w:r>
      <w:r w:rsidR="006D3A93">
        <w:rPr>
          <w:rFonts w:hint="eastAsia"/>
          <w:lang w:eastAsia="zh-CN"/>
        </w:rPr>
        <w:t>406</w:t>
      </w:r>
      <w:r>
        <w:rPr>
          <w:rFonts w:hint="eastAsia"/>
          <w:lang w:eastAsia="zh-CN"/>
        </w:rPr>
        <w:t>号决议（</w:t>
      </w:r>
      <w:r>
        <w:rPr>
          <w:rFonts w:hint="eastAsia"/>
          <w:lang w:eastAsia="zh-CN"/>
        </w:rPr>
        <w:t>C</w:t>
      </w:r>
      <w:r w:rsidR="006D3A93">
        <w:rPr>
          <w:rFonts w:hint="eastAsia"/>
          <w:lang w:eastAsia="zh-CN"/>
        </w:rPr>
        <w:t>21</w:t>
      </w:r>
      <w:r>
        <w:rPr>
          <w:rFonts w:hint="eastAsia"/>
          <w:lang w:eastAsia="zh-CN"/>
        </w:rPr>
        <w:t>）</w:t>
      </w:r>
      <w:bookmarkEnd w:id="1004"/>
      <w:bookmarkEnd w:id="1005"/>
    </w:p>
    <w:p w14:paraId="4827B0B0" w14:textId="1771B7CD" w:rsidR="006F4DAA" w:rsidRPr="00E00820" w:rsidRDefault="006D3A93" w:rsidP="006F4DAA">
      <w:pPr>
        <w:pStyle w:val="Restitle"/>
        <w:rPr>
          <w:lang w:eastAsia="zh-CN"/>
        </w:rPr>
      </w:pPr>
      <w:bookmarkStart w:id="1009" w:name="_Toc86395521"/>
      <w:r w:rsidRPr="006D3A93">
        <w:rPr>
          <w:rFonts w:hint="eastAsia"/>
          <w:lang w:eastAsia="zh-CN"/>
        </w:rPr>
        <w:t>国际电联选任官员的服务条件</w:t>
      </w:r>
      <w:bookmarkEnd w:id="1009"/>
    </w:p>
    <w:p w14:paraId="3FB67BD9" w14:textId="77777777" w:rsidR="006D3A93" w:rsidRPr="00767E99" w:rsidRDefault="006D3A93" w:rsidP="006D3A93">
      <w:pPr>
        <w:pStyle w:val="Normalaftertitle0"/>
        <w:rPr>
          <w:rFonts w:ascii="Times New Roman" w:eastAsia="Times New Roman" w:hAnsi="Times New Roman"/>
        </w:rPr>
      </w:pPr>
      <w:r w:rsidRPr="00767E99">
        <w:rPr>
          <w:rFonts w:hint="eastAsia"/>
        </w:rPr>
        <w:t>国际电联理事会</w:t>
      </w:r>
      <w:r>
        <w:rPr>
          <w:rFonts w:hint="eastAsia"/>
        </w:rPr>
        <w:t>，</w:t>
      </w:r>
    </w:p>
    <w:p w14:paraId="56BA03A1" w14:textId="77777777" w:rsidR="006D3A93" w:rsidRPr="00767E99" w:rsidRDefault="006D3A93" w:rsidP="006D3A93">
      <w:pPr>
        <w:pStyle w:val="Call"/>
        <w:rPr>
          <w:lang w:eastAsia="zh-CN"/>
        </w:rPr>
      </w:pPr>
      <w:r w:rsidRPr="00767E99">
        <w:rPr>
          <w:rFonts w:hint="eastAsia"/>
          <w:lang w:eastAsia="zh-CN"/>
        </w:rPr>
        <w:t>鉴于</w:t>
      </w:r>
    </w:p>
    <w:p w14:paraId="392A227D" w14:textId="77777777" w:rsidR="006D3A93" w:rsidRPr="00767E99" w:rsidRDefault="006D3A93" w:rsidP="006D3A93">
      <w:pPr>
        <w:pStyle w:val="NormalCH"/>
        <w:ind w:firstLine="480"/>
      </w:pPr>
      <w:r w:rsidRPr="00767E99">
        <w:rPr>
          <w:rFonts w:hint="eastAsia"/>
        </w:rPr>
        <w:t>全权代表大会通过的第</w:t>
      </w:r>
      <w:r w:rsidRPr="00767E99">
        <w:t>46</w:t>
      </w:r>
      <w:r w:rsidRPr="00767E99">
        <w:rPr>
          <w:rFonts w:hint="eastAsia"/>
        </w:rPr>
        <w:t>号决议（</w:t>
      </w:r>
      <w:r w:rsidRPr="00767E99">
        <w:t>1994</w:t>
      </w:r>
      <w:r w:rsidRPr="00767E99">
        <w:rPr>
          <w:rFonts w:hint="eastAsia"/>
        </w:rPr>
        <w:t>年，京都），</w:t>
      </w:r>
    </w:p>
    <w:p w14:paraId="2079D793" w14:textId="77777777" w:rsidR="006D3A93" w:rsidRPr="00767E99" w:rsidRDefault="006D3A93" w:rsidP="006D3A93">
      <w:pPr>
        <w:pStyle w:val="Call"/>
        <w:rPr>
          <w:rFonts w:ascii="Calibri" w:eastAsia="Times New Roman" w:hAnsi="Calibri"/>
          <w:i/>
          <w:lang w:eastAsia="zh-CN"/>
        </w:rPr>
      </w:pPr>
      <w:r w:rsidRPr="00767E99">
        <w:rPr>
          <w:rFonts w:hint="eastAsia"/>
          <w:lang w:eastAsia="zh-CN"/>
        </w:rPr>
        <w:t>经审议</w:t>
      </w:r>
    </w:p>
    <w:p w14:paraId="7D4FE4C9" w14:textId="77777777" w:rsidR="006D3A93" w:rsidRPr="00767E99" w:rsidRDefault="006D3A93" w:rsidP="006D3A93">
      <w:pPr>
        <w:pStyle w:val="NormalCH"/>
        <w:ind w:firstLine="480"/>
        <w:rPr>
          <w:lang w:val="en-US"/>
        </w:rPr>
      </w:pPr>
      <w:r w:rsidRPr="00767E99">
        <w:rPr>
          <w:rFonts w:hint="eastAsia"/>
        </w:rPr>
        <w:t>秘书长根据第</w:t>
      </w:r>
      <w:r w:rsidRPr="00767E99">
        <w:t>7</w:t>
      </w:r>
      <w:r>
        <w:t>5</w:t>
      </w:r>
      <w:r w:rsidRPr="00767E99">
        <w:rPr>
          <w:rFonts w:hint="eastAsia"/>
        </w:rPr>
        <w:t>届联合国大会做出的关于服务条件的决定（</w:t>
      </w:r>
      <w:r w:rsidRPr="00767E99">
        <w:t>20</w:t>
      </w:r>
      <w:r>
        <w:t>20</w:t>
      </w:r>
      <w:r w:rsidRPr="00767E99">
        <w:rPr>
          <w:rFonts w:hint="eastAsia"/>
        </w:rPr>
        <w:t>年</w:t>
      </w:r>
      <w:r w:rsidRPr="00767E99">
        <w:t>12</w:t>
      </w:r>
      <w:r w:rsidRPr="00767E99">
        <w:rPr>
          <w:rFonts w:hint="eastAsia"/>
        </w:rPr>
        <w:t>月</w:t>
      </w:r>
      <w:r>
        <w:t>31</w:t>
      </w:r>
      <w:r w:rsidRPr="00767E99">
        <w:rPr>
          <w:rFonts w:hint="eastAsia"/>
        </w:rPr>
        <w:t>日第</w:t>
      </w:r>
      <w:r w:rsidRPr="00767E99">
        <w:rPr>
          <w:szCs w:val="24"/>
          <w:lang w:val="en-US"/>
        </w:rPr>
        <w:t>7</w:t>
      </w:r>
      <w:r>
        <w:rPr>
          <w:szCs w:val="24"/>
          <w:lang w:val="en-US"/>
        </w:rPr>
        <w:t>5</w:t>
      </w:r>
      <w:r w:rsidRPr="00767E99">
        <w:rPr>
          <w:szCs w:val="24"/>
          <w:lang w:val="en-US"/>
        </w:rPr>
        <w:t>/2</w:t>
      </w:r>
      <w:r>
        <w:rPr>
          <w:szCs w:val="24"/>
          <w:lang w:val="en-US"/>
        </w:rPr>
        <w:t>4</w:t>
      </w:r>
      <w:r w:rsidRPr="00767E99">
        <w:rPr>
          <w:szCs w:val="24"/>
          <w:lang w:val="en-US"/>
        </w:rPr>
        <w:t>5</w:t>
      </w:r>
      <w:r>
        <w:rPr>
          <w:szCs w:val="24"/>
          <w:lang w:val="en-US"/>
        </w:rPr>
        <w:t>A</w:t>
      </w:r>
      <w:r w:rsidRPr="00767E99">
        <w:rPr>
          <w:rFonts w:hint="eastAsia"/>
        </w:rPr>
        <w:t>号决议）针对在联合国共同制度内采取的措施所做的报告，</w:t>
      </w:r>
    </w:p>
    <w:p w14:paraId="7D08F0AC" w14:textId="77777777" w:rsidR="006D3A93" w:rsidRPr="00767E99" w:rsidRDefault="006D3A93" w:rsidP="006D3A93">
      <w:pPr>
        <w:pStyle w:val="Call"/>
        <w:rPr>
          <w:rFonts w:eastAsia="Times New Roman"/>
          <w:i/>
          <w:lang w:eastAsia="zh-CN"/>
        </w:rPr>
      </w:pPr>
      <w:r w:rsidRPr="00767E99">
        <w:rPr>
          <w:rFonts w:hint="eastAsia"/>
          <w:lang w:eastAsia="zh-CN"/>
        </w:rPr>
        <w:t>做出决议</w:t>
      </w:r>
    </w:p>
    <w:p w14:paraId="5B05E7D9" w14:textId="77777777" w:rsidR="006D3A93" w:rsidRPr="00767E99" w:rsidRDefault="006D3A93" w:rsidP="006D3A93">
      <w:pPr>
        <w:pStyle w:val="NormalCH"/>
        <w:spacing w:after="240"/>
        <w:ind w:firstLine="480"/>
      </w:pPr>
      <w:r w:rsidRPr="00767E99">
        <w:rPr>
          <w:rFonts w:hint="eastAsia"/>
        </w:rPr>
        <w:t>批准国际电联选任官员的下列薪金（自</w:t>
      </w:r>
      <w:r w:rsidRPr="00767E99">
        <w:t>202</w:t>
      </w:r>
      <w:r>
        <w:t>1</w:t>
      </w:r>
      <w:r w:rsidRPr="00767E99">
        <w:rPr>
          <w:rFonts w:hint="eastAsia"/>
        </w:rPr>
        <w:t>年</w:t>
      </w:r>
      <w:r w:rsidRPr="00767E99">
        <w:t>1</w:t>
      </w:r>
      <w:r w:rsidRPr="00767E99">
        <w:rPr>
          <w:rFonts w:hint="eastAsia"/>
        </w:rPr>
        <w:t>月</w:t>
      </w:r>
      <w:r w:rsidRPr="00767E99">
        <w:t>1</w:t>
      </w:r>
      <w:r w:rsidRPr="00767E99">
        <w:rPr>
          <w:rFonts w:hint="eastAsia"/>
        </w:rPr>
        <w:t>日起生效）和</w:t>
      </w:r>
      <w:r w:rsidRPr="00767E99">
        <w:rPr>
          <w:rFonts w:cs="Arial" w:hint="eastAsia"/>
          <w:szCs w:val="24"/>
          <w:lang w:val="en-US"/>
        </w:rPr>
        <w:t>应计养恤金薪酬</w:t>
      </w:r>
      <w:r w:rsidRPr="00767E99">
        <w:rPr>
          <w:rFonts w:hint="eastAsia"/>
        </w:rPr>
        <w:t>（自</w:t>
      </w:r>
      <w:r w:rsidRPr="00767E99">
        <w:t>202</w:t>
      </w:r>
      <w:r>
        <w:t>1</w:t>
      </w:r>
      <w:r w:rsidRPr="00767E99">
        <w:rPr>
          <w:rFonts w:hint="eastAsia"/>
        </w:rPr>
        <w:t>年</w:t>
      </w:r>
      <w:r w:rsidRPr="00767E99">
        <w:t>2</w:t>
      </w:r>
      <w:r w:rsidRPr="00767E99">
        <w:rPr>
          <w:rFonts w:hint="eastAsia"/>
        </w:rPr>
        <w:t>月</w:t>
      </w:r>
      <w:r w:rsidRPr="00767E99">
        <w:t>1</w:t>
      </w:r>
      <w:r w:rsidRPr="00767E99">
        <w:rPr>
          <w:rFonts w:hint="eastAsia"/>
        </w:rPr>
        <w:t>日起生效）：</w:t>
      </w:r>
    </w:p>
    <w:tbl>
      <w:tblPr>
        <w:tblpPr w:leftFromText="180" w:rightFromText="180" w:vertAnchor="text" w:tblpXSpec="center"/>
        <w:tblW w:w="0" w:type="auto"/>
        <w:tblCellMar>
          <w:left w:w="0" w:type="dxa"/>
          <w:right w:w="0" w:type="dxa"/>
        </w:tblCellMar>
        <w:tblLook w:val="04A0" w:firstRow="1" w:lastRow="0" w:firstColumn="1" w:lastColumn="0" w:noHBand="0" w:noVBand="1"/>
      </w:tblPr>
      <w:tblGrid>
        <w:gridCol w:w="2092"/>
        <w:gridCol w:w="2728"/>
        <w:gridCol w:w="2020"/>
        <w:gridCol w:w="2181"/>
      </w:tblGrid>
      <w:tr w:rsidR="006D3A93" w:rsidRPr="00767E99" w14:paraId="3A54EEC8" w14:textId="77777777" w:rsidTr="0067111E">
        <w:tc>
          <w:tcPr>
            <w:tcW w:w="2092" w:type="dxa"/>
            <w:vMerge w:val="restart"/>
            <w:tcBorders>
              <w:left w:val="nil"/>
              <w:bottom w:val="single" w:sz="8" w:space="0" w:color="auto"/>
              <w:right w:val="single" w:sz="8" w:space="0" w:color="auto"/>
            </w:tcBorders>
            <w:tcMar>
              <w:top w:w="0" w:type="dxa"/>
              <w:left w:w="108" w:type="dxa"/>
              <w:bottom w:w="0" w:type="dxa"/>
              <w:right w:w="108" w:type="dxa"/>
            </w:tcMar>
          </w:tcPr>
          <w:p w14:paraId="0C9C694B" w14:textId="77777777" w:rsidR="006D3A93" w:rsidRPr="00767E99" w:rsidRDefault="006D3A93" w:rsidP="0067111E">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imes New Roman" w:hAnsi="Times New Roman"/>
                <w:b/>
                <w:szCs w:val="24"/>
                <w:lang w:val="en-US" w:eastAsia="zh-CN"/>
              </w:rPr>
            </w:pPr>
          </w:p>
        </w:tc>
        <w:tc>
          <w:tcPr>
            <w:tcW w:w="6929" w:type="dxa"/>
            <w:gridSpan w:val="3"/>
            <w:tcBorders>
              <w:top w:val="single" w:sz="8" w:space="0" w:color="auto"/>
              <w:left w:val="single" w:sz="8" w:space="0" w:color="auto"/>
              <w:bottom w:val="single" w:sz="8" w:space="0" w:color="auto"/>
              <w:right w:val="single" w:sz="8" w:space="0" w:color="auto"/>
            </w:tcBorders>
          </w:tcPr>
          <w:p w14:paraId="67802694" w14:textId="77777777" w:rsidR="006D3A93" w:rsidRPr="00767E99" w:rsidRDefault="006D3A93" w:rsidP="0067111E">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120"/>
              <w:jc w:val="center"/>
              <w:rPr>
                <w:rFonts w:ascii="Times New Roman" w:hAnsi="Times New Roman"/>
                <w:b/>
                <w:szCs w:val="24"/>
                <w:lang w:val="en-US"/>
              </w:rPr>
            </w:pPr>
            <w:r w:rsidRPr="00767E99">
              <w:rPr>
                <w:rFonts w:ascii="Times New Roman" w:hAnsi="Times New Roman" w:hint="eastAsia"/>
                <w:b/>
                <w:szCs w:val="24"/>
                <w:lang w:val="en-US"/>
              </w:rPr>
              <w:t>年金额（美元）</w:t>
            </w:r>
          </w:p>
        </w:tc>
      </w:tr>
      <w:tr w:rsidR="006D3A93" w:rsidRPr="00767E99" w14:paraId="33707EFA" w14:textId="77777777" w:rsidTr="0067111E">
        <w:tc>
          <w:tcPr>
            <w:tcW w:w="2092" w:type="dxa"/>
            <w:vMerge/>
            <w:tcBorders>
              <w:left w:val="nil"/>
              <w:bottom w:val="single" w:sz="8" w:space="0" w:color="auto"/>
              <w:right w:val="single" w:sz="8" w:space="0" w:color="auto"/>
            </w:tcBorders>
            <w:tcMar>
              <w:top w:w="0" w:type="dxa"/>
              <w:left w:w="108" w:type="dxa"/>
              <w:bottom w:w="0" w:type="dxa"/>
              <w:right w:w="108" w:type="dxa"/>
            </w:tcMar>
          </w:tcPr>
          <w:p w14:paraId="67594186" w14:textId="77777777" w:rsidR="006D3A93" w:rsidRPr="00767E99" w:rsidRDefault="006D3A93" w:rsidP="0067111E">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imes New Roman" w:hAnsi="Times New Roman"/>
                <w:b/>
                <w:szCs w:val="24"/>
                <w:lang w:val="en-US"/>
              </w:rPr>
            </w:pPr>
          </w:p>
        </w:tc>
        <w:tc>
          <w:tcPr>
            <w:tcW w:w="27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33ADD5" w14:textId="77777777" w:rsidR="006D3A93" w:rsidRPr="00DC167D" w:rsidRDefault="006D3A93" w:rsidP="0067111E">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cs="Calibri"/>
                <w:b/>
                <w:szCs w:val="24"/>
                <w:lang w:val="en-US"/>
              </w:rPr>
            </w:pPr>
            <w:r w:rsidRPr="00DC167D">
              <w:rPr>
                <w:rFonts w:cs="Calibri" w:hint="eastAsia"/>
                <w:b/>
                <w:szCs w:val="24"/>
                <w:lang w:val="en-US"/>
              </w:rPr>
              <w:t>毛额</w:t>
            </w:r>
          </w:p>
          <w:p w14:paraId="67A0C3C1" w14:textId="77777777" w:rsidR="006D3A93" w:rsidRPr="00DC167D" w:rsidRDefault="006D3A93" w:rsidP="0067111E">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cs="Calibri"/>
                <w:bCs/>
                <w:szCs w:val="24"/>
                <w:lang w:val="en-US"/>
              </w:rPr>
            </w:pPr>
            <w:r w:rsidRPr="00DC167D">
              <w:rPr>
                <w:rFonts w:cs="Calibri" w:hint="eastAsia"/>
                <w:bCs/>
                <w:szCs w:val="24"/>
                <w:lang w:val="en-US"/>
              </w:rPr>
              <w:t>（</w:t>
            </w:r>
            <w:r w:rsidRPr="00DC167D">
              <w:rPr>
                <w:rFonts w:cs="Calibri"/>
                <w:bCs/>
                <w:szCs w:val="24"/>
                <w:lang w:val="en-US"/>
              </w:rPr>
              <w:t>2021</w:t>
            </w:r>
            <w:r w:rsidRPr="00DC167D">
              <w:rPr>
                <w:rFonts w:cs="Calibri" w:hint="eastAsia"/>
                <w:bCs/>
                <w:szCs w:val="24"/>
                <w:lang w:val="en-US"/>
              </w:rPr>
              <w:t>年</w:t>
            </w:r>
            <w:r w:rsidRPr="00DC167D">
              <w:rPr>
                <w:rFonts w:cs="Calibri"/>
                <w:bCs/>
                <w:szCs w:val="24"/>
                <w:lang w:val="en-US"/>
              </w:rPr>
              <w:t>1</w:t>
            </w:r>
            <w:r w:rsidRPr="00DC167D">
              <w:rPr>
                <w:rFonts w:cs="Calibri" w:hint="eastAsia"/>
                <w:bCs/>
                <w:szCs w:val="24"/>
                <w:lang w:val="en-US"/>
              </w:rPr>
              <w:t>月</w:t>
            </w:r>
            <w:r w:rsidRPr="00DC167D">
              <w:rPr>
                <w:rFonts w:cs="Calibri"/>
                <w:bCs/>
                <w:szCs w:val="24"/>
                <w:lang w:val="en-US"/>
              </w:rPr>
              <w:t>1</w:t>
            </w:r>
            <w:r w:rsidRPr="00DC167D">
              <w:rPr>
                <w:rFonts w:cs="Calibri" w:hint="eastAsia"/>
                <w:bCs/>
                <w:szCs w:val="24"/>
                <w:lang w:val="en-US"/>
              </w:rPr>
              <w:t>日）</w:t>
            </w:r>
          </w:p>
        </w:tc>
        <w:tc>
          <w:tcPr>
            <w:tcW w:w="2020" w:type="dxa"/>
            <w:tcBorders>
              <w:top w:val="single" w:sz="8" w:space="0" w:color="auto"/>
              <w:left w:val="single" w:sz="8" w:space="0" w:color="auto"/>
              <w:bottom w:val="single" w:sz="8" w:space="0" w:color="auto"/>
              <w:right w:val="single" w:sz="8" w:space="0" w:color="auto"/>
            </w:tcBorders>
            <w:hideMark/>
          </w:tcPr>
          <w:p w14:paraId="1D82BB3A" w14:textId="77777777" w:rsidR="006D3A93" w:rsidRPr="00DC167D" w:rsidRDefault="006D3A93" w:rsidP="0067111E">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cs="Calibri"/>
                <w:b/>
                <w:szCs w:val="24"/>
                <w:lang w:val="en-US"/>
              </w:rPr>
            </w:pPr>
            <w:r w:rsidRPr="00DC167D">
              <w:rPr>
                <w:rFonts w:cs="Calibri" w:hint="eastAsia"/>
                <w:b/>
                <w:szCs w:val="24"/>
                <w:lang w:val="en-US"/>
              </w:rPr>
              <w:t>净额</w:t>
            </w:r>
          </w:p>
          <w:p w14:paraId="3B555A11" w14:textId="77777777" w:rsidR="006D3A93" w:rsidRPr="00DC167D" w:rsidRDefault="006D3A93" w:rsidP="0067111E">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cs="Calibri"/>
                <w:b/>
                <w:szCs w:val="24"/>
                <w:lang w:val="en-US"/>
              </w:rPr>
            </w:pPr>
            <w:r w:rsidRPr="00DC167D">
              <w:rPr>
                <w:rFonts w:cs="Calibri" w:hint="eastAsia"/>
                <w:bCs/>
                <w:szCs w:val="24"/>
                <w:lang w:val="en-US"/>
              </w:rPr>
              <w:t>（</w:t>
            </w:r>
            <w:r w:rsidRPr="00DC167D">
              <w:rPr>
                <w:rFonts w:cs="Calibri"/>
                <w:bCs/>
                <w:szCs w:val="24"/>
                <w:lang w:val="en-US"/>
              </w:rPr>
              <w:t>2021</w:t>
            </w:r>
            <w:r w:rsidRPr="00DC167D">
              <w:rPr>
                <w:rFonts w:cs="Calibri" w:hint="eastAsia"/>
                <w:bCs/>
                <w:szCs w:val="24"/>
                <w:lang w:val="en-US"/>
              </w:rPr>
              <w:t>年</w:t>
            </w:r>
            <w:r w:rsidRPr="00DC167D">
              <w:rPr>
                <w:rFonts w:cs="Calibri"/>
                <w:bCs/>
                <w:szCs w:val="24"/>
                <w:lang w:val="en-US"/>
              </w:rPr>
              <w:t>1</w:t>
            </w:r>
            <w:r w:rsidRPr="00DC167D">
              <w:rPr>
                <w:rFonts w:cs="Calibri" w:hint="eastAsia"/>
                <w:bCs/>
                <w:szCs w:val="24"/>
                <w:lang w:val="en-US"/>
              </w:rPr>
              <w:t>月</w:t>
            </w:r>
            <w:r w:rsidRPr="00DC167D">
              <w:rPr>
                <w:rFonts w:cs="Calibri"/>
                <w:bCs/>
                <w:szCs w:val="24"/>
                <w:lang w:val="en-US"/>
              </w:rPr>
              <w:t>1</w:t>
            </w:r>
            <w:r w:rsidRPr="00DC167D">
              <w:rPr>
                <w:rFonts w:cs="Calibri" w:hint="eastAsia"/>
                <w:bCs/>
                <w:szCs w:val="24"/>
                <w:lang w:val="en-US"/>
              </w:rPr>
              <w:t>日）</w:t>
            </w:r>
          </w:p>
        </w:tc>
        <w:tc>
          <w:tcPr>
            <w:tcW w:w="21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46D0847" w14:textId="77777777" w:rsidR="006D3A93" w:rsidRPr="00DC167D" w:rsidRDefault="006D3A93" w:rsidP="0067111E">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cs="Calibri"/>
                <w:b/>
                <w:szCs w:val="24"/>
                <w:lang w:val="en-US" w:eastAsia="zh-CN"/>
              </w:rPr>
            </w:pPr>
            <w:r w:rsidRPr="00DC167D">
              <w:rPr>
                <w:rFonts w:cs="Calibri" w:hint="eastAsia"/>
                <w:b/>
                <w:szCs w:val="24"/>
                <w:lang w:val="en-US" w:eastAsia="zh-CN"/>
              </w:rPr>
              <w:t>应计养恤金薪酬</w:t>
            </w:r>
          </w:p>
          <w:p w14:paraId="75E37E48" w14:textId="77777777" w:rsidR="006D3A93" w:rsidRPr="00DC167D" w:rsidRDefault="006D3A93" w:rsidP="0067111E">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cs="Calibri"/>
                <w:b/>
                <w:szCs w:val="24"/>
                <w:lang w:val="en-US" w:eastAsia="zh-CN"/>
              </w:rPr>
            </w:pPr>
            <w:r w:rsidRPr="00DC167D">
              <w:rPr>
                <w:rFonts w:cs="Calibri" w:hint="eastAsia"/>
                <w:bCs/>
                <w:szCs w:val="24"/>
                <w:lang w:val="en-US" w:eastAsia="zh-CN"/>
              </w:rPr>
              <w:t>（</w:t>
            </w:r>
            <w:r w:rsidRPr="00DC167D">
              <w:rPr>
                <w:rFonts w:cs="Calibri"/>
                <w:bCs/>
                <w:szCs w:val="24"/>
                <w:lang w:val="en-US" w:eastAsia="zh-CN"/>
              </w:rPr>
              <w:t>2021</w:t>
            </w:r>
            <w:r w:rsidRPr="00DC167D">
              <w:rPr>
                <w:rFonts w:cs="Calibri" w:hint="eastAsia"/>
                <w:bCs/>
                <w:szCs w:val="24"/>
                <w:lang w:val="en-US" w:eastAsia="zh-CN"/>
              </w:rPr>
              <w:t>年</w:t>
            </w:r>
            <w:r w:rsidRPr="00DC167D">
              <w:rPr>
                <w:rFonts w:cs="Calibri"/>
                <w:bCs/>
                <w:szCs w:val="24"/>
                <w:lang w:val="en-US" w:eastAsia="zh-CN"/>
              </w:rPr>
              <w:t>2</w:t>
            </w:r>
            <w:r w:rsidRPr="00DC167D">
              <w:rPr>
                <w:rFonts w:cs="Calibri" w:hint="eastAsia"/>
                <w:bCs/>
                <w:szCs w:val="24"/>
                <w:lang w:val="en-US" w:eastAsia="zh-CN"/>
              </w:rPr>
              <w:t>月</w:t>
            </w:r>
            <w:r w:rsidRPr="00DC167D">
              <w:rPr>
                <w:rFonts w:cs="Calibri"/>
                <w:bCs/>
                <w:szCs w:val="24"/>
                <w:lang w:val="en-US" w:eastAsia="zh-CN"/>
              </w:rPr>
              <w:t>1</w:t>
            </w:r>
            <w:r w:rsidRPr="00DC167D">
              <w:rPr>
                <w:rFonts w:cs="Calibri" w:hint="eastAsia"/>
                <w:bCs/>
                <w:szCs w:val="24"/>
                <w:lang w:val="en-US" w:eastAsia="zh-CN"/>
              </w:rPr>
              <w:t>日）</w:t>
            </w:r>
          </w:p>
        </w:tc>
      </w:tr>
      <w:tr w:rsidR="006D3A93" w:rsidRPr="00767E99" w14:paraId="679E3308" w14:textId="77777777" w:rsidTr="0067111E">
        <w:tc>
          <w:tcPr>
            <w:tcW w:w="20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DC4092B" w14:textId="77777777" w:rsidR="006D3A93" w:rsidRPr="00767E99" w:rsidRDefault="006D3A93" w:rsidP="0067111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lang w:val="en-US"/>
              </w:rPr>
            </w:pPr>
            <w:r w:rsidRPr="00767E99">
              <w:rPr>
                <w:rFonts w:hint="eastAsia"/>
                <w:lang w:val="en-US"/>
              </w:rPr>
              <w:t>秘书长</w:t>
            </w:r>
          </w:p>
        </w:tc>
        <w:tc>
          <w:tcPr>
            <w:tcW w:w="27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A0BA58" w14:textId="77777777" w:rsidR="006D3A93" w:rsidRPr="00767E99" w:rsidRDefault="006D3A93" w:rsidP="0067111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PMingLiU-ExtB"/>
                <w:szCs w:val="24"/>
                <w:lang w:val="en-US"/>
              </w:rPr>
            </w:pPr>
            <w:r w:rsidRPr="003E45DB">
              <w:t>248’512</w:t>
            </w:r>
          </w:p>
        </w:tc>
        <w:tc>
          <w:tcPr>
            <w:tcW w:w="2020" w:type="dxa"/>
            <w:tcBorders>
              <w:top w:val="single" w:sz="8" w:space="0" w:color="auto"/>
              <w:left w:val="single" w:sz="8" w:space="0" w:color="auto"/>
              <w:bottom w:val="single" w:sz="8" w:space="0" w:color="auto"/>
              <w:right w:val="single" w:sz="8" w:space="0" w:color="auto"/>
            </w:tcBorders>
            <w:hideMark/>
          </w:tcPr>
          <w:p w14:paraId="0519A866" w14:textId="77777777" w:rsidR="006D3A93" w:rsidRPr="00767E99" w:rsidRDefault="006D3A93" w:rsidP="0067111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PMingLiU-ExtB"/>
                <w:szCs w:val="24"/>
                <w:lang w:val="en-US"/>
              </w:rPr>
            </w:pPr>
            <w:r w:rsidRPr="003E45DB">
              <w:t>179’518</w:t>
            </w:r>
          </w:p>
        </w:tc>
        <w:tc>
          <w:tcPr>
            <w:tcW w:w="21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45E1025" w14:textId="77777777" w:rsidR="006D3A93" w:rsidRPr="00767E99" w:rsidRDefault="006D3A93" w:rsidP="0067111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PMingLiU-ExtB"/>
                <w:szCs w:val="24"/>
                <w:lang w:val="en-US"/>
              </w:rPr>
            </w:pPr>
            <w:r w:rsidRPr="003E45DB">
              <w:t>395’098</w:t>
            </w:r>
          </w:p>
        </w:tc>
      </w:tr>
      <w:tr w:rsidR="006D3A93" w:rsidRPr="00767E99" w14:paraId="7CE85177" w14:textId="77777777" w:rsidTr="0067111E">
        <w:tc>
          <w:tcPr>
            <w:tcW w:w="20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B18A0B5" w14:textId="77777777" w:rsidR="006D3A93" w:rsidRPr="00767E99" w:rsidRDefault="006D3A93" w:rsidP="0067111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lang w:val="en-US"/>
              </w:rPr>
            </w:pPr>
            <w:r w:rsidRPr="00767E99">
              <w:rPr>
                <w:rFonts w:hint="eastAsia"/>
                <w:lang w:val="en-US"/>
              </w:rPr>
              <w:t>副秘书长和各局主任</w:t>
            </w:r>
          </w:p>
        </w:tc>
        <w:tc>
          <w:tcPr>
            <w:tcW w:w="27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ADA21B0" w14:textId="77777777" w:rsidR="006D3A93" w:rsidRPr="00767E99" w:rsidRDefault="006D3A93" w:rsidP="0067111E">
            <w:pPr>
              <w:keepNext/>
              <w:keepLines/>
              <w:spacing w:before="160" w:after="80" w:line="254" w:lineRule="auto"/>
              <w:jc w:val="center"/>
              <w:rPr>
                <w:rFonts w:eastAsia="PMingLiU-ExtB" w:cs="Arial"/>
                <w:caps/>
                <w:szCs w:val="24"/>
                <w:lang w:val="en-US"/>
              </w:rPr>
            </w:pPr>
            <w:r w:rsidRPr="003E45DB">
              <w:t>226’185</w:t>
            </w:r>
          </w:p>
        </w:tc>
        <w:tc>
          <w:tcPr>
            <w:tcW w:w="2020" w:type="dxa"/>
            <w:tcBorders>
              <w:top w:val="single" w:sz="8" w:space="0" w:color="auto"/>
              <w:left w:val="single" w:sz="8" w:space="0" w:color="auto"/>
              <w:bottom w:val="single" w:sz="8" w:space="0" w:color="auto"/>
              <w:right w:val="single" w:sz="8" w:space="0" w:color="auto"/>
            </w:tcBorders>
            <w:hideMark/>
          </w:tcPr>
          <w:p w14:paraId="5D4B1FEC" w14:textId="77777777" w:rsidR="006D3A93" w:rsidRPr="00767E99" w:rsidRDefault="006D3A93" w:rsidP="0067111E">
            <w:pPr>
              <w:keepNext/>
              <w:keepLines/>
              <w:spacing w:before="160" w:after="80" w:line="254" w:lineRule="auto"/>
              <w:jc w:val="center"/>
              <w:rPr>
                <w:rFonts w:eastAsia="PMingLiU-ExtB" w:cs="Arial"/>
                <w:caps/>
                <w:szCs w:val="24"/>
                <w:lang w:val="en-US"/>
              </w:rPr>
            </w:pPr>
            <w:r w:rsidRPr="003E45DB">
              <w:t>164’782</w:t>
            </w:r>
          </w:p>
        </w:tc>
        <w:tc>
          <w:tcPr>
            <w:tcW w:w="21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6148969" w14:textId="77777777" w:rsidR="006D3A93" w:rsidRPr="00767E99" w:rsidRDefault="006D3A93" w:rsidP="0067111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60" w:after="40"/>
              <w:jc w:val="center"/>
              <w:rPr>
                <w:rFonts w:eastAsia="PMingLiU-ExtB"/>
                <w:szCs w:val="24"/>
                <w:lang w:val="en-US"/>
              </w:rPr>
            </w:pPr>
            <w:r w:rsidRPr="003E45DB">
              <w:t>366’439</w:t>
            </w:r>
          </w:p>
        </w:tc>
      </w:tr>
    </w:tbl>
    <w:p w14:paraId="25B431CE" w14:textId="1C719CE0" w:rsidR="00950BCF" w:rsidRDefault="00FA6F5A" w:rsidP="00FA6F5A">
      <w:pPr>
        <w:pStyle w:val="Endtext"/>
        <w:rPr>
          <w:lang w:eastAsia="zh-CN"/>
        </w:rPr>
      </w:pPr>
      <w:r w:rsidRPr="000401C5">
        <w:rPr>
          <w:rFonts w:ascii="STKaiti" w:hAnsi="STKaiti" w:hint="eastAsia"/>
          <w:lang w:eastAsia="zh-CN"/>
        </w:rPr>
        <w:t>参阅</w:t>
      </w:r>
      <w:r w:rsidRPr="00FA6F5A">
        <w:rPr>
          <w:rFonts w:ascii="SimSun" w:eastAsia="SimSun" w:hAnsi="SimSun" w:hint="eastAsia"/>
          <w:lang w:eastAsia="zh-CN"/>
        </w:rPr>
        <w:t>：</w:t>
      </w:r>
      <w:r>
        <w:rPr>
          <w:rFonts w:ascii="STKaiti" w:hAnsi="STKaiti"/>
          <w:lang w:eastAsia="zh-CN"/>
        </w:rPr>
        <w:tab/>
      </w:r>
      <w:hyperlink r:id="rId172" w:history="1">
        <w:r w:rsidR="006D3A93" w:rsidRPr="006D3A93">
          <w:rPr>
            <w:rStyle w:val="Hyperlink"/>
            <w:lang w:val="en-GB" w:eastAsia="zh-CN"/>
          </w:rPr>
          <w:t>C21/23</w:t>
        </w:r>
      </w:hyperlink>
      <w:r w:rsidR="006D3A93">
        <w:rPr>
          <w:rFonts w:hint="eastAsia"/>
          <w:lang w:val="en-GB" w:eastAsia="zh-CN"/>
        </w:rPr>
        <w:t>、</w:t>
      </w:r>
      <w:hyperlink r:id="rId173" w:history="1">
        <w:r w:rsidR="006D3A93" w:rsidRPr="006D3A93">
          <w:rPr>
            <w:rStyle w:val="Hyperlink"/>
            <w:lang w:val="en-GB" w:eastAsia="zh-CN"/>
          </w:rPr>
          <w:t>C21/88</w:t>
        </w:r>
      </w:hyperlink>
      <w:r w:rsidR="006D3A93">
        <w:rPr>
          <w:rFonts w:hint="eastAsia"/>
          <w:lang w:val="en-GB" w:eastAsia="zh-CN"/>
        </w:rPr>
        <w:t>和</w:t>
      </w:r>
      <w:hyperlink r:id="rId174" w:history="1">
        <w:r w:rsidR="006D3A93" w:rsidRPr="006D3A93">
          <w:rPr>
            <w:rStyle w:val="Hyperlink"/>
            <w:lang w:val="en-GB" w:eastAsia="zh-CN"/>
          </w:rPr>
          <w:t>DM-21/1017</w:t>
        </w:r>
      </w:hyperlink>
      <w:r>
        <w:rPr>
          <w:rFonts w:hint="eastAsia"/>
          <w:lang w:eastAsia="zh-CN"/>
        </w:rPr>
        <w:t>号文件。</w:t>
      </w:r>
    </w:p>
    <w:p w14:paraId="4827B0D9" w14:textId="00A4EB73" w:rsidR="006F4DAA" w:rsidRDefault="00950BCF" w:rsidP="00FA6F5A">
      <w:pPr>
        <w:jc w:val="center"/>
        <w:rPr>
          <w:lang w:eastAsia="zh-CN"/>
        </w:rPr>
      </w:pPr>
      <w:r>
        <w:rPr>
          <w:lang w:eastAsia="zh-CN"/>
        </w:rPr>
        <w:t>______________</w:t>
      </w:r>
    </w:p>
    <w:p w14:paraId="51E94230" w14:textId="4D9C0648" w:rsidR="006D3A93" w:rsidRDefault="006D3A93" w:rsidP="006D3A93">
      <w:pPr>
        <w:tabs>
          <w:tab w:val="clear" w:pos="794"/>
          <w:tab w:val="clear" w:pos="1191"/>
          <w:tab w:val="clear" w:pos="1588"/>
          <w:tab w:val="clear" w:pos="1985"/>
        </w:tabs>
        <w:overflowPunct/>
        <w:autoSpaceDE/>
        <w:autoSpaceDN/>
        <w:adjustRightInd/>
        <w:spacing w:before="0"/>
        <w:jc w:val="left"/>
        <w:textAlignment w:val="auto"/>
        <w:rPr>
          <w:lang w:eastAsia="zh-CN"/>
        </w:rPr>
      </w:pPr>
    </w:p>
    <w:p w14:paraId="75A9C7E1" w14:textId="0D65E6C5" w:rsidR="006D3A93" w:rsidRDefault="006D3A93" w:rsidP="006D3A93">
      <w:pPr>
        <w:tabs>
          <w:tab w:val="clear" w:pos="794"/>
          <w:tab w:val="clear" w:pos="1191"/>
          <w:tab w:val="clear" w:pos="1588"/>
          <w:tab w:val="clear" w:pos="1985"/>
        </w:tabs>
        <w:overflowPunct/>
        <w:autoSpaceDE/>
        <w:autoSpaceDN/>
        <w:adjustRightInd/>
        <w:spacing w:before="0"/>
        <w:jc w:val="left"/>
        <w:textAlignment w:val="auto"/>
        <w:rPr>
          <w:lang w:eastAsia="zh-CN"/>
        </w:rPr>
      </w:pPr>
    </w:p>
    <w:p w14:paraId="1952D9ED" w14:textId="1A7F2215" w:rsidR="006D3A93" w:rsidRDefault="006D3A93" w:rsidP="006D3A93">
      <w:pPr>
        <w:tabs>
          <w:tab w:val="clear" w:pos="794"/>
          <w:tab w:val="clear" w:pos="1191"/>
          <w:tab w:val="clear" w:pos="1588"/>
          <w:tab w:val="clear" w:pos="1985"/>
        </w:tabs>
        <w:overflowPunct/>
        <w:autoSpaceDE/>
        <w:autoSpaceDN/>
        <w:adjustRightInd/>
        <w:spacing w:before="0"/>
        <w:jc w:val="left"/>
        <w:textAlignment w:val="auto"/>
        <w:rPr>
          <w:lang w:eastAsia="zh-CN"/>
        </w:rPr>
      </w:pPr>
    </w:p>
    <w:p w14:paraId="1A4B2FF6" w14:textId="77777777" w:rsidR="006D3A93" w:rsidRDefault="006D3A93" w:rsidP="006D3A93">
      <w:pPr>
        <w:tabs>
          <w:tab w:val="clear" w:pos="794"/>
          <w:tab w:val="clear" w:pos="1191"/>
          <w:tab w:val="clear" w:pos="1588"/>
          <w:tab w:val="clear" w:pos="1985"/>
        </w:tabs>
        <w:overflowPunct/>
        <w:autoSpaceDE/>
        <w:autoSpaceDN/>
        <w:adjustRightInd/>
        <w:spacing w:before="0"/>
        <w:jc w:val="left"/>
        <w:textAlignment w:val="auto"/>
        <w:rPr>
          <w:lang w:eastAsia="zh-CN"/>
        </w:rPr>
      </w:pPr>
    </w:p>
    <w:p w14:paraId="79992520" w14:textId="42A701B2" w:rsidR="006D3A93" w:rsidRDefault="006D3A93">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0DA" w14:textId="77777777" w:rsidR="009E3745" w:rsidRPr="009E3745" w:rsidRDefault="00E77AE7" w:rsidP="00A75FB5">
      <w:pPr>
        <w:pStyle w:val="DecNo"/>
        <w:outlineLvl w:val="0"/>
      </w:pPr>
      <w:bookmarkStart w:id="1010" w:name="_Toc16085718"/>
      <w:bookmarkStart w:id="1011" w:name="_Toc86395522"/>
      <w:r w:rsidRPr="009E3745">
        <w:rPr>
          <w:rFonts w:hint="eastAsia"/>
        </w:rPr>
        <w:lastRenderedPageBreak/>
        <w:t>第</w:t>
      </w:r>
      <w:r w:rsidRPr="009E3745">
        <w:rPr>
          <w:rFonts w:hint="eastAsia"/>
        </w:rPr>
        <w:t>548</w:t>
      </w:r>
      <w:r w:rsidRPr="009E3745">
        <w:rPr>
          <w:rFonts w:hint="eastAsia"/>
        </w:rPr>
        <w:t>号决定</w:t>
      </w:r>
      <w:r w:rsidR="009E3745">
        <w:rPr>
          <w:rFonts w:hint="eastAsia"/>
        </w:rPr>
        <w:t>（</w:t>
      </w:r>
      <w:r w:rsidR="009E3745" w:rsidRPr="009E3745">
        <w:t>C07</w:t>
      </w:r>
      <w:r w:rsidR="009E3745">
        <w:rPr>
          <w:rFonts w:hint="eastAsia"/>
        </w:rPr>
        <w:t>）</w:t>
      </w:r>
      <w:bookmarkEnd w:id="454"/>
      <w:bookmarkEnd w:id="1006"/>
      <w:bookmarkEnd w:id="1007"/>
      <w:bookmarkEnd w:id="1008"/>
      <w:bookmarkEnd w:id="1010"/>
      <w:bookmarkEnd w:id="1011"/>
    </w:p>
    <w:p w14:paraId="4827B0DB" w14:textId="77777777" w:rsidR="00E77AE7" w:rsidRPr="00E77AE7" w:rsidRDefault="00E77AE7" w:rsidP="009E3745">
      <w:pPr>
        <w:pStyle w:val="Dectitle"/>
        <w:rPr>
          <w:lang w:val="en-US"/>
        </w:rPr>
      </w:pPr>
      <w:bookmarkStart w:id="1012" w:name="_Toc424116968"/>
      <w:bookmarkStart w:id="1013" w:name="_Toc460248071"/>
      <w:bookmarkStart w:id="1014" w:name="_Toc531706311"/>
      <w:bookmarkStart w:id="1015" w:name="_Toc531706908"/>
      <w:bookmarkStart w:id="1016" w:name="_Toc531768400"/>
      <w:bookmarkStart w:id="1017" w:name="_Toc16085719"/>
      <w:bookmarkStart w:id="1018" w:name="_Toc86395523"/>
      <w:r w:rsidRPr="00B04BFC">
        <w:t>选任官员的服务条件</w:t>
      </w:r>
      <w:r w:rsidRPr="00B04BFC">
        <w:rPr>
          <w:lang w:val="zh-CN"/>
        </w:rPr>
        <w:t>专项住房补贴</w:t>
      </w:r>
      <w:bookmarkEnd w:id="435"/>
      <w:bookmarkEnd w:id="436"/>
      <w:bookmarkEnd w:id="1012"/>
      <w:bookmarkEnd w:id="1013"/>
      <w:bookmarkEnd w:id="1014"/>
      <w:bookmarkEnd w:id="1015"/>
      <w:bookmarkEnd w:id="1016"/>
      <w:bookmarkEnd w:id="1017"/>
      <w:bookmarkEnd w:id="1018"/>
    </w:p>
    <w:p w14:paraId="4827B0DC" w14:textId="77777777" w:rsidR="00E77AE7" w:rsidRPr="000610A4" w:rsidRDefault="00E77AE7" w:rsidP="00883E65">
      <w:pPr>
        <w:pStyle w:val="Normalaftertitle"/>
        <w:rPr>
          <w:lang w:eastAsia="zh-CN"/>
        </w:rPr>
      </w:pPr>
      <w:r w:rsidRPr="000610A4">
        <w:rPr>
          <w:lang w:eastAsia="zh-CN"/>
        </w:rPr>
        <w:t>理事会，</w:t>
      </w:r>
    </w:p>
    <w:p w14:paraId="4827B0DD" w14:textId="77777777" w:rsidR="00E77AE7" w:rsidRPr="00C3403A" w:rsidRDefault="00E77AE7" w:rsidP="00B64353">
      <w:pPr>
        <w:pStyle w:val="Call"/>
        <w:rPr>
          <w:lang w:eastAsia="zh-CN"/>
        </w:rPr>
      </w:pPr>
      <w:r w:rsidRPr="00C3403A">
        <w:rPr>
          <w:lang w:eastAsia="zh-CN"/>
        </w:rPr>
        <w:t>考虑到</w:t>
      </w:r>
    </w:p>
    <w:p w14:paraId="4827B0DE" w14:textId="77777777" w:rsidR="00E77AE7" w:rsidRPr="00B04BFC" w:rsidRDefault="00E77AE7" w:rsidP="009E3745">
      <w:pPr>
        <w:ind w:firstLineChars="200" w:firstLine="480"/>
        <w:rPr>
          <w:lang w:val="zh-CN" w:eastAsia="zh-CN"/>
        </w:rPr>
      </w:pPr>
      <w:r w:rsidRPr="00B04BFC">
        <w:rPr>
          <w:lang w:val="zh-CN" w:eastAsia="zh-CN"/>
        </w:rPr>
        <w:t>国际电联所在地的住房市场限制以及适用于共同制度各组织行政首长住房条件的最低工作和居住安全标准（</w:t>
      </w:r>
      <w:r w:rsidRPr="00B04BFC">
        <w:rPr>
          <w:lang w:val="zh-CN" w:eastAsia="zh-CN"/>
        </w:rPr>
        <w:t>MORSS</w:t>
      </w:r>
      <w:r w:rsidRPr="00B04BFC">
        <w:rPr>
          <w:lang w:val="zh-CN" w:eastAsia="zh-CN"/>
        </w:rPr>
        <w:t>）的规定对选任官员住房条件的相关限制，</w:t>
      </w:r>
    </w:p>
    <w:p w14:paraId="4827B0DF" w14:textId="77777777" w:rsidR="00E77AE7" w:rsidRPr="00C3403A" w:rsidRDefault="00E77AE7" w:rsidP="00B64353">
      <w:pPr>
        <w:pStyle w:val="Call"/>
        <w:rPr>
          <w:rStyle w:val="StyleCallSTKaitiChar"/>
          <w:lang w:eastAsia="zh-CN"/>
        </w:rPr>
      </w:pPr>
      <w:r w:rsidRPr="00C3403A">
        <w:rPr>
          <w:lang w:eastAsia="zh-CN"/>
        </w:rPr>
        <w:t>经审查</w:t>
      </w:r>
    </w:p>
    <w:p w14:paraId="4827B0E0" w14:textId="77777777" w:rsidR="00E77AE7" w:rsidRPr="00B04BFC" w:rsidRDefault="00E77AE7" w:rsidP="009E3745">
      <w:pPr>
        <w:tabs>
          <w:tab w:val="clear" w:pos="794"/>
          <w:tab w:val="left" w:pos="567"/>
        </w:tabs>
        <w:ind w:firstLineChars="200" w:firstLine="480"/>
        <w:rPr>
          <w:lang w:eastAsia="zh-CN"/>
        </w:rPr>
      </w:pPr>
      <w:r w:rsidRPr="00E21348">
        <w:rPr>
          <w:lang w:val="zh-CN" w:eastAsia="zh-CN"/>
        </w:rPr>
        <w:t>理事会</w:t>
      </w:r>
      <w:r w:rsidRPr="00B04BFC">
        <w:rPr>
          <w:lang w:val="zh-CN" w:eastAsia="zh-CN"/>
        </w:rPr>
        <w:t>2007</w:t>
      </w:r>
      <w:r w:rsidRPr="00E21348">
        <w:rPr>
          <w:lang w:val="zh-CN" w:eastAsia="zh-CN"/>
        </w:rPr>
        <w:t>年会议</w:t>
      </w:r>
      <w:r w:rsidRPr="00B04BFC">
        <w:rPr>
          <w:lang w:val="zh-CN" w:eastAsia="zh-CN"/>
        </w:rPr>
        <w:t>C07/54</w:t>
      </w:r>
      <w:r w:rsidRPr="00E21348">
        <w:rPr>
          <w:lang w:val="zh-CN" w:eastAsia="zh-CN"/>
        </w:rPr>
        <w:t>号文件中提出的建议，</w:t>
      </w:r>
    </w:p>
    <w:p w14:paraId="4827B0E1" w14:textId="77777777" w:rsidR="00E77AE7" w:rsidRPr="00C3403A" w:rsidRDefault="00E77AE7" w:rsidP="00B64353">
      <w:pPr>
        <w:pStyle w:val="Call"/>
        <w:rPr>
          <w:rStyle w:val="StyleCallSTKaitiChar"/>
          <w:lang w:eastAsia="zh-CN"/>
        </w:rPr>
      </w:pPr>
      <w:r w:rsidRPr="00C3403A">
        <w:rPr>
          <w:lang w:eastAsia="zh-CN"/>
        </w:rPr>
        <w:t>做出决定</w:t>
      </w:r>
    </w:p>
    <w:p w14:paraId="4827B0E2" w14:textId="77777777" w:rsidR="00E77AE7" w:rsidRPr="00584C20" w:rsidRDefault="00E77AE7" w:rsidP="00B64353">
      <w:pPr>
        <w:pStyle w:val="enumlev1"/>
        <w:rPr>
          <w:lang w:eastAsia="zh-CN"/>
        </w:rPr>
      </w:pPr>
      <w:r w:rsidRPr="00584C20">
        <w:rPr>
          <w:lang w:eastAsia="zh-CN"/>
        </w:rPr>
        <w:t>–</w:t>
      </w:r>
      <w:r w:rsidRPr="00584C20">
        <w:rPr>
          <w:lang w:eastAsia="zh-CN"/>
        </w:rPr>
        <w:tab/>
      </w:r>
      <w:r w:rsidRPr="00584C20">
        <w:rPr>
          <w:lang w:eastAsia="zh-CN"/>
        </w:rPr>
        <w:t>批准针对秘书长、副秘书长和各局主任设立一项专项住房补贴，每年根据</w:t>
      </w:r>
      <w:r w:rsidRPr="00584C20">
        <w:rPr>
          <w:lang w:eastAsia="zh-CN"/>
        </w:rPr>
        <w:t>C07/54</w:t>
      </w:r>
      <w:r w:rsidRPr="00584C20">
        <w:rPr>
          <w:lang w:eastAsia="zh-CN"/>
        </w:rPr>
        <w:t>号文件中规定的条件发放；</w:t>
      </w:r>
    </w:p>
    <w:p w14:paraId="4827B0E3" w14:textId="77777777" w:rsidR="00E77AE7" w:rsidRPr="00584C20" w:rsidRDefault="00E77AE7" w:rsidP="00B64353">
      <w:pPr>
        <w:pStyle w:val="enumlev1"/>
        <w:rPr>
          <w:lang w:eastAsia="zh-CN"/>
        </w:rPr>
      </w:pPr>
      <w:r w:rsidRPr="00584C20">
        <w:rPr>
          <w:lang w:eastAsia="zh-CN"/>
        </w:rPr>
        <w:t>–</w:t>
      </w:r>
      <w:r w:rsidRPr="00584C20">
        <w:rPr>
          <w:lang w:eastAsia="zh-CN"/>
        </w:rPr>
        <w:tab/>
      </w:r>
      <w:r w:rsidRPr="00584C20">
        <w:rPr>
          <w:lang w:eastAsia="zh-CN"/>
        </w:rPr>
        <w:t>在上述选任官员任职期间，此专项住房补贴的金额定为：秘书长每年</w:t>
      </w:r>
      <w:r w:rsidRPr="00584C20">
        <w:rPr>
          <w:lang w:eastAsia="zh-CN"/>
        </w:rPr>
        <w:t>71</w:t>
      </w:r>
      <w:r>
        <w:rPr>
          <w:lang w:val="en-US" w:eastAsia="zh-CN"/>
        </w:rPr>
        <w:t> </w:t>
      </w:r>
      <w:r w:rsidRPr="00584C20">
        <w:rPr>
          <w:lang w:eastAsia="zh-CN"/>
        </w:rPr>
        <w:t>400</w:t>
      </w:r>
      <w:r w:rsidRPr="00584C20">
        <w:rPr>
          <w:lang w:eastAsia="zh-CN"/>
        </w:rPr>
        <w:t>瑞郎，副秘书长和各局主任的补贴</w:t>
      </w:r>
      <w:r w:rsidRPr="00584C20">
        <w:rPr>
          <w:rFonts w:hint="eastAsia"/>
          <w:lang w:eastAsia="zh-CN"/>
        </w:rPr>
        <w:t>金</w:t>
      </w:r>
      <w:r w:rsidRPr="00584C20">
        <w:rPr>
          <w:lang w:eastAsia="zh-CN"/>
        </w:rPr>
        <w:t>额为</w:t>
      </w:r>
      <w:r w:rsidRPr="00584C20">
        <w:rPr>
          <w:rFonts w:hint="eastAsia"/>
          <w:lang w:eastAsia="zh-CN"/>
        </w:rPr>
        <w:t>上述金</w:t>
      </w:r>
      <w:r w:rsidRPr="00584C20">
        <w:rPr>
          <w:lang w:eastAsia="zh-CN"/>
        </w:rPr>
        <w:t>额的</w:t>
      </w:r>
      <w:r w:rsidRPr="00584C20">
        <w:rPr>
          <w:lang w:eastAsia="zh-CN"/>
        </w:rPr>
        <w:t>50</w:t>
      </w:r>
      <w:r>
        <w:rPr>
          <w:rFonts w:hint="eastAsia"/>
          <w:lang w:eastAsia="zh-CN"/>
        </w:rPr>
        <w:t>%</w:t>
      </w:r>
      <w:r w:rsidRPr="00584C20">
        <w:rPr>
          <w:lang w:eastAsia="zh-CN"/>
        </w:rPr>
        <w:t>，自本决定通过</w:t>
      </w:r>
      <w:r w:rsidRPr="00584C20">
        <w:rPr>
          <w:rFonts w:hint="eastAsia"/>
          <w:lang w:eastAsia="zh-CN"/>
        </w:rPr>
        <w:t>之</w:t>
      </w:r>
      <w:r w:rsidRPr="00584C20">
        <w:rPr>
          <w:lang w:eastAsia="zh-CN"/>
        </w:rPr>
        <w:t>日起生效；</w:t>
      </w:r>
    </w:p>
    <w:p w14:paraId="4827B0E4" w14:textId="77777777" w:rsidR="00E77AE7" w:rsidRDefault="00E77AE7" w:rsidP="00B64353">
      <w:pPr>
        <w:pStyle w:val="enumlev1"/>
        <w:rPr>
          <w:lang w:eastAsia="zh-CN"/>
        </w:rPr>
      </w:pPr>
      <w:r w:rsidRPr="00584C20">
        <w:rPr>
          <w:lang w:eastAsia="zh-CN"/>
        </w:rPr>
        <w:t>–</w:t>
      </w:r>
      <w:r w:rsidRPr="00584C20">
        <w:rPr>
          <w:lang w:eastAsia="zh-CN"/>
        </w:rPr>
        <w:tab/>
      </w:r>
      <w:r w:rsidRPr="00584C20">
        <w:rPr>
          <w:lang w:eastAsia="zh-CN"/>
        </w:rPr>
        <w:t>可根据</w:t>
      </w:r>
      <w:r w:rsidRPr="00584C20">
        <w:rPr>
          <w:lang w:eastAsia="zh-CN"/>
        </w:rPr>
        <w:t>C07/54</w:t>
      </w:r>
      <w:r w:rsidRPr="00584C20">
        <w:rPr>
          <w:lang w:eastAsia="zh-CN"/>
        </w:rPr>
        <w:t>号文件中规定的条件对专项住房补贴的年度金额进行调整。</w:t>
      </w:r>
    </w:p>
    <w:p w14:paraId="4827B0E5" w14:textId="77777777" w:rsidR="00E77AE7" w:rsidRPr="00B04BFC" w:rsidRDefault="00E77AE7" w:rsidP="006E63DC">
      <w:pPr>
        <w:pStyle w:val="Endtext"/>
        <w:rPr>
          <w:lang w:val="zh-CN" w:eastAsia="zh-CN"/>
        </w:rPr>
      </w:pPr>
      <w:r w:rsidRPr="000401C5">
        <w:rPr>
          <w:rFonts w:ascii="STKaiti" w:hAnsi="STKaiti" w:hint="eastAsia"/>
          <w:lang w:eastAsia="zh-CN"/>
        </w:rPr>
        <w:t>参阅</w:t>
      </w:r>
      <w:r w:rsidRPr="007C3110">
        <w:rPr>
          <w:rFonts w:ascii="STKaiti" w:hAnsi="STKaiti" w:hint="eastAsia"/>
          <w:lang w:eastAsia="zh-CN"/>
        </w:rPr>
        <w:t>：</w:t>
      </w:r>
      <w:r w:rsidR="006E63DC">
        <w:rPr>
          <w:rFonts w:ascii="STKaiti" w:hAnsi="STKaiti"/>
          <w:lang w:eastAsia="zh-CN"/>
        </w:rPr>
        <w:tab/>
      </w:r>
      <w:hyperlink r:id="rId175" w:history="1">
        <w:r w:rsidR="006E63DC" w:rsidRPr="006E63DC">
          <w:rPr>
            <w:rStyle w:val="Hyperlink"/>
            <w:szCs w:val="22"/>
            <w:lang w:val="es-ES_tradnl" w:eastAsia="zh-CN"/>
          </w:rPr>
          <w:t>C07/98</w:t>
        </w:r>
      </w:hyperlink>
      <w:r w:rsidRPr="006E63DC">
        <w:rPr>
          <w:rFonts w:hint="eastAsia"/>
          <w:lang w:eastAsia="zh-CN"/>
        </w:rPr>
        <w:t>和</w:t>
      </w:r>
      <w:hyperlink r:id="rId176" w:history="1">
        <w:r w:rsidR="00640176" w:rsidRPr="006E63DC">
          <w:rPr>
            <w:rStyle w:val="Hyperlink"/>
            <w:szCs w:val="22"/>
            <w:lang w:val="es-ES_tradnl" w:eastAsia="zh-CN"/>
          </w:rPr>
          <w:t>C07/105</w:t>
        </w:r>
      </w:hyperlink>
      <w:r>
        <w:rPr>
          <w:rFonts w:hint="eastAsia"/>
          <w:lang w:eastAsia="zh-CN"/>
        </w:rPr>
        <w:t>号文件。</w:t>
      </w:r>
    </w:p>
    <w:p w14:paraId="4827B0E6" w14:textId="77777777" w:rsidR="006F4DAA" w:rsidRDefault="006F4DAA" w:rsidP="006F4DAA">
      <w:pPr>
        <w:jc w:val="center"/>
        <w:rPr>
          <w:lang w:eastAsia="zh-CN"/>
        </w:rPr>
      </w:pPr>
      <w:r>
        <w:rPr>
          <w:lang w:eastAsia="zh-CN"/>
        </w:rPr>
        <w:t>______________</w:t>
      </w:r>
    </w:p>
    <w:p w14:paraId="4827B0E7" w14:textId="77777777" w:rsidR="006F4DAA" w:rsidRDefault="006F4DA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0E8" w14:textId="77777777" w:rsidR="00933CC3" w:rsidRDefault="00933CC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0EE" w14:textId="77777777" w:rsidR="006F4DAA" w:rsidRDefault="006F4DA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0EF" w14:textId="77777777" w:rsidR="005F4232" w:rsidRDefault="005F423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0F0" w14:textId="77777777" w:rsidR="005F4232" w:rsidRDefault="005F4232" w:rsidP="00A75FB5">
      <w:pPr>
        <w:pStyle w:val="DecNo"/>
        <w:outlineLvl w:val="0"/>
      </w:pPr>
      <w:bookmarkStart w:id="1019" w:name="_Toc531706312"/>
      <w:bookmarkStart w:id="1020" w:name="_Toc531706909"/>
      <w:bookmarkStart w:id="1021" w:name="_Toc531768401"/>
      <w:bookmarkStart w:id="1022" w:name="_Toc16085720"/>
      <w:bookmarkStart w:id="1023" w:name="_Toc86395524"/>
      <w:r w:rsidRPr="007C1781">
        <w:rPr>
          <w:rFonts w:hint="eastAsia"/>
        </w:rPr>
        <w:lastRenderedPageBreak/>
        <w:t>第</w:t>
      </w:r>
      <w:r w:rsidRPr="007C1781">
        <w:t>59</w:t>
      </w:r>
      <w:r>
        <w:t>3</w:t>
      </w:r>
      <w:r w:rsidRPr="007C1781">
        <w:rPr>
          <w:rFonts w:hint="eastAsia"/>
        </w:rPr>
        <w:t>号决定</w:t>
      </w:r>
      <w:r>
        <w:rPr>
          <w:rFonts w:hint="eastAsia"/>
          <w:lang w:val="en-US"/>
        </w:rPr>
        <w:t>（</w:t>
      </w:r>
      <w:r>
        <w:rPr>
          <w:rFonts w:hint="eastAsia"/>
          <w:lang w:val="en-US"/>
        </w:rPr>
        <w:t>C1</w:t>
      </w:r>
      <w:r>
        <w:rPr>
          <w:lang w:val="en-US"/>
        </w:rPr>
        <w:t>6</w:t>
      </w:r>
      <w:r>
        <w:rPr>
          <w:rFonts w:hint="eastAsia"/>
          <w:lang w:val="en-US"/>
        </w:rPr>
        <w:t>）</w:t>
      </w:r>
      <w:bookmarkEnd w:id="1019"/>
      <w:bookmarkEnd w:id="1020"/>
      <w:bookmarkEnd w:id="1021"/>
      <w:bookmarkEnd w:id="1022"/>
      <w:bookmarkEnd w:id="1023"/>
    </w:p>
    <w:p w14:paraId="4827B0F1" w14:textId="77777777" w:rsidR="005F4232" w:rsidRPr="007C74C0" w:rsidRDefault="005F4232" w:rsidP="005F4232">
      <w:pPr>
        <w:pStyle w:val="Restitle"/>
        <w:rPr>
          <w:lang w:eastAsia="zh-CN"/>
        </w:rPr>
      </w:pPr>
      <w:bookmarkStart w:id="1024" w:name="_Toc460248075"/>
      <w:bookmarkStart w:id="1025" w:name="_Toc531706313"/>
      <w:bookmarkStart w:id="1026" w:name="_Toc531706910"/>
      <w:bookmarkStart w:id="1027" w:name="_Toc531768402"/>
      <w:bookmarkStart w:id="1028" w:name="_Toc16085721"/>
      <w:bookmarkStart w:id="1029" w:name="_Toc86395525"/>
      <w:r>
        <w:rPr>
          <w:rFonts w:hint="eastAsia"/>
          <w:lang w:eastAsia="zh-CN"/>
        </w:rPr>
        <w:t>适用于</w:t>
      </w:r>
      <w:r>
        <w:rPr>
          <w:lang w:eastAsia="zh-CN"/>
        </w:rPr>
        <w:t>委任工作人员的《</w:t>
      </w:r>
      <w:r>
        <w:rPr>
          <w:rFonts w:hint="eastAsia"/>
          <w:lang w:eastAsia="zh-CN"/>
        </w:rPr>
        <w:t>人事</w:t>
      </w:r>
      <w:r>
        <w:rPr>
          <w:lang w:eastAsia="zh-CN"/>
        </w:rPr>
        <w:t>规则》</w:t>
      </w:r>
      <w:r>
        <w:rPr>
          <w:rFonts w:hint="eastAsia"/>
          <w:lang w:eastAsia="zh-CN"/>
        </w:rPr>
        <w:t>修正</w:t>
      </w:r>
      <w:r>
        <w:rPr>
          <w:lang w:eastAsia="zh-CN"/>
        </w:rPr>
        <w:t>案</w:t>
      </w:r>
      <w:bookmarkEnd w:id="1024"/>
      <w:bookmarkEnd w:id="1025"/>
      <w:bookmarkEnd w:id="1026"/>
      <w:bookmarkEnd w:id="1027"/>
      <w:bookmarkEnd w:id="1028"/>
      <w:bookmarkEnd w:id="1029"/>
    </w:p>
    <w:p w14:paraId="4827B0F2" w14:textId="77777777" w:rsidR="005F4232" w:rsidRPr="00F371FC" w:rsidRDefault="005F4232" w:rsidP="00E51375">
      <w:pPr>
        <w:pStyle w:val="Normalaftertitle0"/>
      </w:pPr>
      <w:r w:rsidRPr="00F371FC">
        <w:rPr>
          <w:rFonts w:hint="eastAsia"/>
        </w:rPr>
        <w:t>理事会</w:t>
      </w:r>
    </w:p>
    <w:p w14:paraId="4827B0F3" w14:textId="77777777" w:rsidR="005F4232" w:rsidRPr="00F371FC" w:rsidRDefault="005F4232" w:rsidP="005F4232">
      <w:pPr>
        <w:pStyle w:val="call0"/>
        <w:rPr>
          <w:rFonts w:ascii="STKaiti" w:hAnsi="STKaiti"/>
          <w:i/>
          <w:iCs/>
          <w:szCs w:val="24"/>
          <w:lang w:eastAsia="zh-CN"/>
        </w:rPr>
      </w:pPr>
      <w:r w:rsidRPr="00F371FC">
        <w:rPr>
          <w:rFonts w:ascii="STKaiti" w:hAnsi="STKaiti" w:hint="eastAsia"/>
          <w:iCs/>
          <w:szCs w:val="24"/>
          <w:lang w:eastAsia="zh-CN"/>
        </w:rPr>
        <w:t>鉴于</w:t>
      </w:r>
    </w:p>
    <w:p w14:paraId="4827B0F4" w14:textId="77777777" w:rsidR="005F4232" w:rsidRPr="00F371FC" w:rsidRDefault="005F4232" w:rsidP="005F4232">
      <w:pPr>
        <w:ind w:firstLineChars="200" w:firstLine="480"/>
        <w:rPr>
          <w:szCs w:val="24"/>
          <w:lang w:eastAsia="zh-CN"/>
        </w:rPr>
      </w:pPr>
      <w:r w:rsidRPr="00F371FC">
        <w:rPr>
          <w:rFonts w:hint="eastAsia"/>
          <w:szCs w:val="24"/>
          <w:lang w:eastAsia="zh-CN"/>
        </w:rPr>
        <w:t>国际电信</w:t>
      </w:r>
      <w:r w:rsidRPr="00F371FC">
        <w:rPr>
          <w:szCs w:val="24"/>
          <w:lang w:eastAsia="zh-CN"/>
        </w:rPr>
        <w:t>联盟《</w:t>
      </w:r>
      <w:r w:rsidRPr="00F371FC">
        <w:rPr>
          <w:rFonts w:hint="eastAsia"/>
          <w:szCs w:val="24"/>
          <w:lang w:eastAsia="zh-CN"/>
        </w:rPr>
        <w:t>公约</w:t>
      </w:r>
      <w:r w:rsidRPr="00F371FC">
        <w:rPr>
          <w:szCs w:val="24"/>
          <w:lang w:eastAsia="zh-CN"/>
        </w:rPr>
        <w:t>》</w:t>
      </w:r>
      <w:r w:rsidRPr="00F371FC">
        <w:rPr>
          <w:rFonts w:hint="eastAsia"/>
          <w:szCs w:val="24"/>
          <w:lang w:eastAsia="zh-CN"/>
        </w:rPr>
        <w:t>第</w:t>
      </w:r>
      <w:r w:rsidRPr="00F371FC">
        <w:rPr>
          <w:rFonts w:hint="eastAsia"/>
          <w:szCs w:val="24"/>
          <w:lang w:eastAsia="zh-CN"/>
        </w:rPr>
        <w:t>63</w:t>
      </w:r>
      <w:r w:rsidRPr="00F371FC">
        <w:rPr>
          <w:rFonts w:hint="eastAsia"/>
          <w:szCs w:val="24"/>
          <w:lang w:eastAsia="zh-CN"/>
        </w:rPr>
        <w:t>款</w:t>
      </w:r>
      <w:r w:rsidRPr="00F371FC">
        <w:rPr>
          <w:szCs w:val="24"/>
          <w:lang w:eastAsia="zh-CN"/>
        </w:rPr>
        <w:t>以及适用于委任工作人员的《</w:t>
      </w:r>
      <w:r w:rsidRPr="00F371FC">
        <w:rPr>
          <w:rFonts w:hint="eastAsia"/>
          <w:szCs w:val="24"/>
          <w:lang w:eastAsia="zh-CN"/>
        </w:rPr>
        <w:t>人事</w:t>
      </w:r>
      <w:r w:rsidRPr="00F371FC">
        <w:rPr>
          <w:szCs w:val="24"/>
          <w:lang w:eastAsia="zh-CN"/>
        </w:rPr>
        <w:t>规则》</w:t>
      </w:r>
      <w:r w:rsidRPr="00F371FC">
        <w:rPr>
          <w:rFonts w:hint="eastAsia"/>
          <w:szCs w:val="24"/>
          <w:lang w:eastAsia="zh-CN"/>
        </w:rPr>
        <w:t>规则</w:t>
      </w:r>
      <w:r w:rsidRPr="00F371FC">
        <w:rPr>
          <w:rFonts w:hint="eastAsia"/>
          <w:szCs w:val="24"/>
          <w:lang w:eastAsia="zh-CN"/>
        </w:rPr>
        <w:t>12.1</w:t>
      </w:r>
      <w:r w:rsidRPr="00F371FC">
        <w:rPr>
          <w:szCs w:val="24"/>
          <w:lang w:eastAsia="zh-CN"/>
        </w:rPr>
        <w:t>，</w:t>
      </w:r>
    </w:p>
    <w:p w14:paraId="4827B0F5" w14:textId="77777777" w:rsidR="005F4232" w:rsidRPr="00F371FC" w:rsidRDefault="005F4232" w:rsidP="005F4232">
      <w:pPr>
        <w:pStyle w:val="call0"/>
        <w:rPr>
          <w:szCs w:val="24"/>
          <w:lang w:eastAsia="zh-CN"/>
        </w:rPr>
      </w:pPr>
      <w:r w:rsidRPr="00F371FC">
        <w:rPr>
          <w:rFonts w:ascii="STKaiti" w:hAnsi="STKaiti" w:hint="eastAsia"/>
          <w:iCs/>
          <w:szCs w:val="24"/>
          <w:lang w:eastAsia="zh-CN"/>
        </w:rPr>
        <w:t>经</w:t>
      </w:r>
      <w:r w:rsidRPr="00F371FC">
        <w:rPr>
          <w:rFonts w:ascii="STKaiti" w:hAnsi="STKaiti"/>
          <w:iCs/>
          <w:szCs w:val="24"/>
          <w:lang w:eastAsia="zh-CN"/>
        </w:rPr>
        <w:t>审议</w:t>
      </w:r>
    </w:p>
    <w:p w14:paraId="4827B0F6" w14:textId="77777777" w:rsidR="005F4232" w:rsidRPr="00F371FC" w:rsidRDefault="005F4232" w:rsidP="005F4232">
      <w:pPr>
        <w:rPr>
          <w:szCs w:val="24"/>
          <w:lang w:eastAsia="zh-CN"/>
        </w:rPr>
      </w:pPr>
      <w:r w:rsidRPr="00F371FC">
        <w:rPr>
          <w:rFonts w:hint="eastAsia"/>
          <w:szCs w:val="24"/>
          <w:lang w:eastAsia="zh-CN"/>
        </w:rPr>
        <w:t>1</w:t>
      </w:r>
      <w:r w:rsidRPr="00F371FC">
        <w:rPr>
          <w:rFonts w:hint="eastAsia"/>
          <w:szCs w:val="24"/>
          <w:lang w:eastAsia="zh-CN"/>
        </w:rPr>
        <w:tab/>
      </w:r>
      <w:r w:rsidRPr="00F371FC">
        <w:rPr>
          <w:rFonts w:hint="eastAsia"/>
          <w:szCs w:val="24"/>
          <w:lang w:eastAsia="zh-CN"/>
        </w:rPr>
        <w:t>联合国</w:t>
      </w:r>
      <w:r w:rsidRPr="00F371FC">
        <w:rPr>
          <w:szCs w:val="24"/>
          <w:lang w:eastAsia="zh-CN"/>
        </w:rPr>
        <w:t>大会于</w:t>
      </w:r>
      <w:r w:rsidRPr="00F371FC">
        <w:rPr>
          <w:rFonts w:hint="eastAsia"/>
          <w:szCs w:val="24"/>
          <w:lang w:eastAsia="zh-CN"/>
        </w:rPr>
        <w:t>2015</w:t>
      </w:r>
      <w:r w:rsidRPr="00F371FC">
        <w:rPr>
          <w:rFonts w:hint="eastAsia"/>
          <w:szCs w:val="24"/>
          <w:lang w:eastAsia="zh-CN"/>
        </w:rPr>
        <w:t>年</w:t>
      </w:r>
      <w:r w:rsidRPr="00F371FC">
        <w:rPr>
          <w:rFonts w:hint="eastAsia"/>
          <w:szCs w:val="24"/>
          <w:lang w:eastAsia="zh-CN"/>
        </w:rPr>
        <w:t>12</w:t>
      </w:r>
      <w:r w:rsidRPr="00F371FC">
        <w:rPr>
          <w:rFonts w:hint="eastAsia"/>
          <w:szCs w:val="24"/>
          <w:lang w:eastAsia="zh-CN"/>
        </w:rPr>
        <w:t>月</w:t>
      </w:r>
      <w:r w:rsidRPr="00F371FC">
        <w:rPr>
          <w:rFonts w:hint="eastAsia"/>
          <w:szCs w:val="24"/>
          <w:lang w:eastAsia="zh-CN"/>
        </w:rPr>
        <w:t>23</w:t>
      </w:r>
      <w:r w:rsidRPr="00F371FC">
        <w:rPr>
          <w:rFonts w:hint="eastAsia"/>
          <w:szCs w:val="24"/>
          <w:lang w:eastAsia="zh-CN"/>
        </w:rPr>
        <w:t>日</w:t>
      </w:r>
      <w:r w:rsidRPr="00F371FC">
        <w:rPr>
          <w:szCs w:val="24"/>
          <w:lang w:eastAsia="zh-CN"/>
        </w:rPr>
        <w:t>通过的、有关</w:t>
      </w:r>
      <w:r w:rsidRPr="00F371FC">
        <w:rPr>
          <w:rFonts w:hint="eastAsia"/>
          <w:szCs w:val="24"/>
          <w:lang w:eastAsia="zh-CN"/>
        </w:rPr>
        <w:t>国际</w:t>
      </w:r>
      <w:r w:rsidRPr="00F371FC">
        <w:rPr>
          <w:szCs w:val="24"/>
          <w:lang w:eastAsia="zh-CN"/>
        </w:rPr>
        <w:t>公务员制度委员会提议的、针对专业及以上职类工作人员</w:t>
      </w:r>
      <w:r w:rsidRPr="00F371FC">
        <w:rPr>
          <w:rFonts w:hint="eastAsia"/>
          <w:szCs w:val="24"/>
          <w:lang w:eastAsia="zh-CN"/>
        </w:rPr>
        <w:t>的</w:t>
      </w:r>
      <w:r w:rsidRPr="00F371FC">
        <w:rPr>
          <w:szCs w:val="24"/>
          <w:lang w:eastAsia="zh-CN"/>
        </w:rPr>
        <w:t>新</w:t>
      </w:r>
      <w:r w:rsidRPr="00F371FC">
        <w:rPr>
          <w:rFonts w:hint="eastAsia"/>
          <w:szCs w:val="24"/>
          <w:lang w:eastAsia="zh-CN"/>
        </w:rPr>
        <w:t>的</w:t>
      </w:r>
      <w:r w:rsidRPr="00F371FC">
        <w:rPr>
          <w:szCs w:val="24"/>
          <w:lang w:eastAsia="zh-CN"/>
        </w:rPr>
        <w:t>整套报酬办法的第</w:t>
      </w:r>
      <w:r w:rsidRPr="00F371FC">
        <w:rPr>
          <w:rFonts w:hint="eastAsia"/>
          <w:szCs w:val="24"/>
          <w:lang w:eastAsia="zh-CN"/>
        </w:rPr>
        <w:t>70</w:t>
      </w:r>
      <w:r w:rsidRPr="00F371FC">
        <w:rPr>
          <w:szCs w:val="24"/>
          <w:lang w:eastAsia="zh-CN"/>
        </w:rPr>
        <w:t>/244</w:t>
      </w:r>
      <w:r w:rsidRPr="00F371FC">
        <w:rPr>
          <w:rFonts w:hint="eastAsia"/>
          <w:szCs w:val="24"/>
          <w:lang w:eastAsia="zh-CN"/>
        </w:rPr>
        <w:t>号</w:t>
      </w:r>
      <w:r w:rsidRPr="00F371FC">
        <w:rPr>
          <w:szCs w:val="24"/>
          <w:lang w:eastAsia="zh-CN"/>
        </w:rPr>
        <w:t>决议；</w:t>
      </w:r>
    </w:p>
    <w:p w14:paraId="4827B0F7" w14:textId="77777777" w:rsidR="005F4232" w:rsidRPr="00F371FC" w:rsidRDefault="005F4232" w:rsidP="005F4232">
      <w:pPr>
        <w:rPr>
          <w:szCs w:val="24"/>
          <w:lang w:eastAsia="zh-CN"/>
        </w:rPr>
      </w:pPr>
      <w:r w:rsidRPr="00F371FC">
        <w:rPr>
          <w:szCs w:val="24"/>
          <w:lang w:eastAsia="zh-CN"/>
        </w:rPr>
        <w:t>2</w:t>
      </w:r>
      <w:r w:rsidRPr="00F371FC">
        <w:rPr>
          <w:szCs w:val="24"/>
          <w:lang w:eastAsia="zh-CN"/>
        </w:rPr>
        <w:tab/>
      </w:r>
      <w:r w:rsidRPr="00F371FC">
        <w:rPr>
          <w:rFonts w:hint="eastAsia"/>
          <w:szCs w:val="24"/>
          <w:lang w:eastAsia="zh-CN"/>
        </w:rPr>
        <w:t>秘书长</w:t>
      </w:r>
      <w:r w:rsidRPr="00F371FC">
        <w:rPr>
          <w:szCs w:val="24"/>
          <w:lang w:eastAsia="zh-CN"/>
        </w:rPr>
        <w:t>向理事会</w:t>
      </w:r>
      <w:r w:rsidRPr="00F371FC">
        <w:rPr>
          <w:rFonts w:hint="eastAsia"/>
          <w:szCs w:val="24"/>
          <w:lang w:eastAsia="zh-CN"/>
        </w:rPr>
        <w:t>2016</w:t>
      </w:r>
      <w:r w:rsidRPr="00F371FC">
        <w:rPr>
          <w:rFonts w:hint="eastAsia"/>
          <w:szCs w:val="24"/>
          <w:lang w:eastAsia="zh-CN"/>
        </w:rPr>
        <w:t>年</w:t>
      </w:r>
      <w:r w:rsidRPr="00F371FC">
        <w:rPr>
          <w:szCs w:val="24"/>
          <w:lang w:eastAsia="zh-CN"/>
        </w:rPr>
        <w:t>会议提交的</w:t>
      </w:r>
      <w:hyperlink r:id="rId177" w:history="1">
        <w:r>
          <w:rPr>
            <w:rStyle w:val="Hyperlink"/>
            <w:lang w:eastAsia="zh-CN"/>
          </w:rPr>
          <w:t>C16/64</w:t>
        </w:r>
      </w:hyperlink>
      <w:r w:rsidRPr="00F371FC">
        <w:rPr>
          <w:rFonts w:hint="eastAsia"/>
          <w:szCs w:val="24"/>
          <w:lang w:eastAsia="zh-CN"/>
        </w:rPr>
        <w:t>号</w:t>
      </w:r>
      <w:r w:rsidRPr="00F371FC">
        <w:rPr>
          <w:szCs w:val="24"/>
          <w:lang w:eastAsia="zh-CN"/>
        </w:rPr>
        <w:t>文件所含报告，</w:t>
      </w:r>
    </w:p>
    <w:p w14:paraId="4827B0F8" w14:textId="77777777" w:rsidR="005F4232" w:rsidRPr="00F371FC" w:rsidRDefault="005F4232" w:rsidP="005F4232">
      <w:pPr>
        <w:pStyle w:val="call0"/>
        <w:rPr>
          <w:szCs w:val="24"/>
          <w:lang w:eastAsia="zh-CN"/>
        </w:rPr>
      </w:pPr>
      <w:r w:rsidRPr="00F371FC">
        <w:rPr>
          <w:rFonts w:ascii="STKaiti" w:hAnsi="STKaiti" w:hint="eastAsia"/>
          <w:iCs/>
          <w:szCs w:val="24"/>
          <w:lang w:eastAsia="zh-CN"/>
        </w:rPr>
        <w:t>做出决定</w:t>
      </w:r>
    </w:p>
    <w:p w14:paraId="4827B0F9" w14:textId="77777777" w:rsidR="005F4232" w:rsidRPr="00F371FC" w:rsidRDefault="005F4232" w:rsidP="005F4232">
      <w:pPr>
        <w:rPr>
          <w:szCs w:val="24"/>
          <w:lang w:eastAsia="zh-CN"/>
        </w:rPr>
      </w:pPr>
      <w:r w:rsidRPr="00F371FC">
        <w:rPr>
          <w:szCs w:val="24"/>
          <w:lang w:eastAsia="zh-CN"/>
        </w:rPr>
        <w:t>1</w:t>
      </w:r>
      <w:r w:rsidRPr="00F371FC">
        <w:rPr>
          <w:szCs w:val="24"/>
          <w:lang w:eastAsia="zh-CN"/>
        </w:rPr>
        <w:tab/>
      </w:r>
      <w:r w:rsidRPr="00F371FC">
        <w:rPr>
          <w:rFonts w:hint="eastAsia"/>
          <w:szCs w:val="24"/>
          <w:lang w:eastAsia="zh-CN"/>
        </w:rPr>
        <w:t>批准采用</w:t>
      </w:r>
      <w:r w:rsidRPr="00F371FC">
        <w:rPr>
          <w:szCs w:val="24"/>
          <w:lang w:eastAsia="zh-CN"/>
        </w:rPr>
        <w:t>针对专业及以上职类工作人员的新</w:t>
      </w:r>
      <w:r w:rsidRPr="00F371FC">
        <w:rPr>
          <w:rFonts w:hint="eastAsia"/>
          <w:szCs w:val="24"/>
          <w:lang w:eastAsia="zh-CN"/>
        </w:rPr>
        <w:t>的</w:t>
      </w:r>
      <w:r w:rsidRPr="00F371FC">
        <w:rPr>
          <w:szCs w:val="24"/>
          <w:lang w:eastAsia="zh-CN"/>
        </w:rPr>
        <w:t>整套报酬办法；</w:t>
      </w:r>
    </w:p>
    <w:p w14:paraId="4827B0FA" w14:textId="77777777" w:rsidR="005F4232" w:rsidRPr="00F371FC" w:rsidRDefault="005F4232" w:rsidP="005F4232">
      <w:pPr>
        <w:rPr>
          <w:szCs w:val="24"/>
          <w:lang w:eastAsia="zh-CN"/>
        </w:rPr>
      </w:pPr>
      <w:r w:rsidRPr="00F371FC">
        <w:rPr>
          <w:szCs w:val="24"/>
          <w:lang w:eastAsia="zh-CN"/>
        </w:rPr>
        <w:t>2</w:t>
      </w:r>
      <w:r w:rsidRPr="00F371FC">
        <w:rPr>
          <w:szCs w:val="24"/>
          <w:lang w:eastAsia="zh-CN"/>
        </w:rPr>
        <w:tab/>
      </w:r>
      <w:r w:rsidRPr="00F371FC">
        <w:rPr>
          <w:rFonts w:hint="eastAsia"/>
          <w:szCs w:val="24"/>
          <w:lang w:eastAsia="zh-CN"/>
        </w:rPr>
        <w:t>批准</w:t>
      </w:r>
      <w:r w:rsidRPr="00F371FC">
        <w:rPr>
          <w:szCs w:val="24"/>
          <w:lang w:eastAsia="zh-CN"/>
        </w:rPr>
        <w:t>本决</w:t>
      </w:r>
      <w:r w:rsidRPr="00F371FC">
        <w:rPr>
          <w:rFonts w:hint="eastAsia"/>
          <w:szCs w:val="24"/>
          <w:lang w:eastAsia="zh-CN"/>
        </w:rPr>
        <w:t>定</w:t>
      </w:r>
      <w:r w:rsidRPr="00F371FC">
        <w:rPr>
          <w:szCs w:val="24"/>
          <w:lang w:eastAsia="zh-CN"/>
        </w:rPr>
        <w:t>附件所含的适用于委任工作人员的《</w:t>
      </w:r>
      <w:r w:rsidRPr="00F371FC">
        <w:rPr>
          <w:rFonts w:hint="eastAsia"/>
          <w:szCs w:val="24"/>
          <w:lang w:eastAsia="zh-CN"/>
        </w:rPr>
        <w:t>人事</w:t>
      </w:r>
      <w:r w:rsidRPr="00F371FC">
        <w:rPr>
          <w:szCs w:val="24"/>
          <w:lang w:eastAsia="zh-CN"/>
        </w:rPr>
        <w:t>规则》</w:t>
      </w:r>
      <w:r w:rsidRPr="00F371FC">
        <w:rPr>
          <w:rFonts w:hint="eastAsia"/>
          <w:szCs w:val="24"/>
          <w:lang w:eastAsia="zh-CN"/>
        </w:rPr>
        <w:t>修正</w:t>
      </w:r>
      <w:r w:rsidRPr="00F371FC">
        <w:rPr>
          <w:szCs w:val="24"/>
          <w:lang w:eastAsia="zh-CN"/>
        </w:rPr>
        <w:t>案，其生效日期为本决议附件</w:t>
      </w:r>
      <w:r w:rsidRPr="00F371FC">
        <w:rPr>
          <w:rFonts w:hint="eastAsia"/>
          <w:szCs w:val="24"/>
          <w:lang w:eastAsia="zh-CN"/>
        </w:rPr>
        <w:t>1</w:t>
      </w:r>
      <w:r w:rsidRPr="00F371FC">
        <w:rPr>
          <w:rFonts w:hint="eastAsia"/>
          <w:szCs w:val="24"/>
          <w:lang w:eastAsia="zh-CN"/>
        </w:rPr>
        <w:t>确立</w:t>
      </w:r>
      <w:r w:rsidRPr="00F371FC">
        <w:rPr>
          <w:szCs w:val="24"/>
          <w:lang w:eastAsia="zh-CN"/>
        </w:rPr>
        <w:t>的日期</w:t>
      </w:r>
      <w:r w:rsidRPr="00F371FC">
        <w:rPr>
          <w:rFonts w:hint="eastAsia"/>
          <w:szCs w:val="24"/>
          <w:lang w:eastAsia="zh-CN"/>
        </w:rPr>
        <w:t>；</w:t>
      </w:r>
    </w:p>
    <w:p w14:paraId="4827B0FB" w14:textId="77777777" w:rsidR="005F4232" w:rsidRPr="00F371FC" w:rsidRDefault="005F4232" w:rsidP="005F4232">
      <w:pPr>
        <w:rPr>
          <w:szCs w:val="24"/>
          <w:lang w:eastAsia="zh-CN"/>
        </w:rPr>
      </w:pPr>
      <w:r w:rsidRPr="00F371FC">
        <w:rPr>
          <w:szCs w:val="24"/>
          <w:lang w:eastAsia="zh-CN"/>
        </w:rPr>
        <w:t>3</w:t>
      </w:r>
      <w:r w:rsidRPr="00F371FC">
        <w:rPr>
          <w:szCs w:val="24"/>
          <w:lang w:eastAsia="zh-CN"/>
        </w:rPr>
        <w:tab/>
      </w:r>
      <w:r w:rsidRPr="00F371FC">
        <w:rPr>
          <w:rFonts w:hint="eastAsia"/>
          <w:szCs w:val="24"/>
          <w:lang w:eastAsia="zh-CN"/>
        </w:rPr>
        <w:t>授权</w:t>
      </w:r>
      <w:r w:rsidRPr="00F371FC">
        <w:rPr>
          <w:szCs w:val="24"/>
          <w:lang w:eastAsia="zh-CN"/>
        </w:rPr>
        <w:t>秘书长</w:t>
      </w:r>
      <w:r w:rsidRPr="00F371FC">
        <w:rPr>
          <w:rFonts w:hint="eastAsia"/>
          <w:szCs w:val="24"/>
          <w:lang w:eastAsia="zh-CN"/>
        </w:rPr>
        <w:t>对于</w:t>
      </w:r>
      <w:r w:rsidRPr="00F371FC">
        <w:rPr>
          <w:szCs w:val="24"/>
          <w:lang w:eastAsia="zh-CN"/>
        </w:rPr>
        <w:t>在上述</w:t>
      </w:r>
      <w:r w:rsidRPr="00F371FC">
        <w:rPr>
          <w:rFonts w:ascii="STKaiti" w:eastAsia="STKaiti" w:hAnsi="STKaiti" w:cstheme="minorBidi"/>
          <w:iCs/>
          <w:szCs w:val="24"/>
          <w:lang w:val="en-US" w:eastAsia="zh-CN"/>
        </w:rPr>
        <w:t>做出决定</w:t>
      </w:r>
      <w:r w:rsidRPr="00F371FC">
        <w:rPr>
          <w:szCs w:val="24"/>
          <w:lang w:eastAsia="zh-CN"/>
        </w:rPr>
        <w:t>第</w:t>
      </w:r>
      <w:r w:rsidRPr="00F371FC">
        <w:rPr>
          <w:rFonts w:hint="eastAsia"/>
          <w:szCs w:val="24"/>
          <w:lang w:eastAsia="zh-CN"/>
        </w:rPr>
        <w:t>2</w:t>
      </w:r>
      <w:r w:rsidRPr="00F371FC">
        <w:rPr>
          <w:rFonts w:hint="eastAsia"/>
          <w:szCs w:val="24"/>
          <w:lang w:eastAsia="zh-CN"/>
        </w:rPr>
        <w:t>段</w:t>
      </w:r>
      <w:r w:rsidRPr="00F371FC">
        <w:rPr>
          <w:szCs w:val="24"/>
          <w:lang w:eastAsia="zh-CN"/>
        </w:rPr>
        <w:t>所述实施日期</w:t>
      </w:r>
      <w:r w:rsidRPr="00F371FC">
        <w:rPr>
          <w:rFonts w:hint="eastAsia"/>
          <w:szCs w:val="24"/>
          <w:lang w:eastAsia="zh-CN"/>
        </w:rPr>
        <w:t>前已经</w:t>
      </w:r>
      <w:r w:rsidRPr="00F371FC">
        <w:rPr>
          <w:szCs w:val="24"/>
          <w:lang w:eastAsia="zh-CN"/>
        </w:rPr>
        <w:t>在职</w:t>
      </w:r>
      <w:r w:rsidRPr="00F371FC">
        <w:rPr>
          <w:rFonts w:hint="eastAsia"/>
          <w:szCs w:val="24"/>
          <w:lang w:eastAsia="zh-CN"/>
        </w:rPr>
        <w:t>、</w:t>
      </w:r>
      <w:r w:rsidRPr="00F371FC">
        <w:rPr>
          <w:szCs w:val="24"/>
          <w:lang w:eastAsia="zh-CN"/>
        </w:rPr>
        <w:t>且</w:t>
      </w:r>
      <w:r w:rsidRPr="00F371FC">
        <w:rPr>
          <w:rFonts w:hint="eastAsia"/>
          <w:szCs w:val="24"/>
          <w:lang w:eastAsia="zh-CN"/>
        </w:rPr>
        <w:t>直至</w:t>
      </w:r>
      <w:r w:rsidRPr="00F371FC">
        <w:rPr>
          <w:szCs w:val="24"/>
          <w:lang w:eastAsia="zh-CN"/>
        </w:rPr>
        <w:t>这些日期</w:t>
      </w:r>
      <w:r w:rsidRPr="00F371FC">
        <w:rPr>
          <w:rFonts w:hint="eastAsia"/>
          <w:szCs w:val="24"/>
          <w:lang w:eastAsia="zh-CN"/>
        </w:rPr>
        <w:t>及之</w:t>
      </w:r>
      <w:r w:rsidRPr="00F371FC">
        <w:rPr>
          <w:szCs w:val="24"/>
          <w:lang w:eastAsia="zh-CN"/>
        </w:rPr>
        <w:t>前享受相关待遇和福利的工作人员采用</w:t>
      </w:r>
      <w:hyperlink r:id="rId178" w:history="1">
        <w:r>
          <w:rPr>
            <w:rStyle w:val="Hyperlink"/>
            <w:lang w:eastAsia="zh-CN"/>
          </w:rPr>
          <w:t>C16/64</w:t>
        </w:r>
      </w:hyperlink>
      <w:r w:rsidRPr="00F371FC">
        <w:rPr>
          <w:rFonts w:hint="eastAsia"/>
          <w:szCs w:val="24"/>
          <w:lang w:eastAsia="zh-CN"/>
        </w:rPr>
        <w:t>号</w:t>
      </w:r>
      <w:r w:rsidRPr="00F371FC">
        <w:rPr>
          <w:szCs w:val="24"/>
          <w:lang w:eastAsia="zh-CN"/>
        </w:rPr>
        <w:t>文件</w:t>
      </w:r>
      <w:r w:rsidRPr="00F371FC">
        <w:rPr>
          <w:rFonts w:hint="eastAsia"/>
          <w:szCs w:val="24"/>
          <w:lang w:eastAsia="zh-CN"/>
        </w:rPr>
        <w:t>中</w:t>
      </w:r>
      <w:r w:rsidRPr="00F371FC">
        <w:rPr>
          <w:szCs w:val="24"/>
          <w:lang w:eastAsia="zh-CN"/>
        </w:rPr>
        <w:t>提交理事会</w:t>
      </w:r>
      <w:r w:rsidRPr="00F371FC">
        <w:rPr>
          <w:rFonts w:hint="eastAsia"/>
          <w:szCs w:val="24"/>
          <w:lang w:eastAsia="zh-CN"/>
        </w:rPr>
        <w:t>的</w:t>
      </w:r>
      <w:r w:rsidRPr="00F371FC">
        <w:rPr>
          <w:szCs w:val="24"/>
          <w:lang w:eastAsia="zh-CN"/>
        </w:rPr>
        <w:t>报告</w:t>
      </w:r>
      <w:r w:rsidRPr="00F371FC">
        <w:rPr>
          <w:rFonts w:hint="eastAsia"/>
          <w:szCs w:val="24"/>
          <w:lang w:eastAsia="zh-CN"/>
        </w:rPr>
        <w:t>附件</w:t>
      </w:r>
      <w:r w:rsidRPr="00F371FC">
        <w:rPr>
          <w:rFonts w:hint="eastAsia"/>
          <w:szCs w:val="24"/>
          <w:lang w:eastAsia="zh-CN"/>
        </w:rPr>
        <w:t>5</w:t>
      </w:r>
      <w:r w:rsidRPr="00F371FC">
        <w:rPr>
          <w:rFonts w:hint="eastAsia"/>
          <w:szCs w:val="24"/>
          <w:lang w:eastAsia="zh-CN"/>
        </w:rPr>
        <w:t>所</w:t>
      </w:r>
      <w:r w:rsidRPr="00F371FC">
        <w:rPr>
          <w:szCs w:val="24"/>
          <w:lang w:eastAsia="zh-CN"/>
        </w:rPr>
        <w:t>含的过渡</w:t>
      </w:r>
      <w:r w:rsidRPr="00F371FC">
        <w:rPr>
          <w:rFonts w:hint="eastAsia"/>
          <w:szCs w:val="24"/>
          <w:lang w:eastAsia="zh-CN"/>
        </w:rPr>
        <w:t>措施</w:t>
      </w:r>
      <w:r w:rsidRPr="00F371FC">
        <w:rPr>
          <w:szCs w:val="24"/>
          <w:lang w:eastAsia="zh-CN"/>
        </w:rPr>
        <w:t>，</w:t>
      </w:r>
    </w:p>
    <w:p w14:paraId="4827B0FC" w14:textId="77777777" w:rsidR="005F4232" w:rsidRPr="00F371FC" w:rsidRDefault="005F4232" w:rsidP="005F4232">
      <w:pPr>
        <w:pStyle w:val="call0"/>
        <w:rPr>
          <w:szCs w:val="24"/>
          <w:lang w:eastAsia="zh-CN"/>
        </w:rPr>
      </w:pPr>
      <w:r w:rsidRPr="00F371FC">
        <w:rPr>
          <w:rFonts w:ascii="STKaiti" w:hAnsi="STKaiti" w:hint="eastAsia"/>
          <w:iCs/>
          <w:szCs w:val="24"/>
          <w:lang w:eastAsia="zh-CN"/>
        </w:rPr>
        <w:t>责成</w:t>
      </w:r>
      <w:r w:rsidRPr="00F371FC">
        <w:rPr>
          <w:rFonts w:ascii="STKaiti" w:hAnsi="STKaiti"/>
          <w:iCs/>
          <w:szCs w:val="24"/>
          <w:lang w:eastAsia="zh-CN"/>
        </w:rPr>
        <w:t>秘书长</w:t>
      </w:r>
    </w:p>
    <w:p w14:paraId="4827B0FD" w14:textId="77777777" w:rsidR="005F4232" w:rsidRDefault="005F4232" w:rsidP="005F4232">
      <w:pPr>
        <w:snapToGrid w:val="0"/>
        <w:spacing w:after="120"/>
        <w:ind w:firstLineChars="200" w:firstLine="480"/>
        <w:rPr>
          <w:szCs w:val="24"/>
          <w:lang w:eastAsia="zh-CN"/>
        </w:rPr>
      </w:pPr>
      <w:r w:rsidRPr="00F371FC">
        <w:rPr>
          <w:rFonts w:hint="eastAsia"/>
          <w:szCs w:val="24"/>
          <w:lang w:eastAsia="zh-CN"/>
        </w:rPr>
        <w:t>落实</w:t>
      </w:r>
      <w:r w:rsidRPr="00F371FC">
        <w:rPr>
          <w:szCs w:val="24"/>
          <w:lang w:eastAsia="zh-CN"/>
        </w:rPr>
        <w:t>本决定并定期向理事会报告</w:t>
      </w:r>
      <w:r w:rsidRPr="00F371FC">
        <w:rPr>
          <w:rFonts w:hint="eastAsia"/>
          <w:szCs w:val="24"/>
          <w:lang w:eastAsia="zh-CN"/>
        </w:rPr>
        <w:t>。</w:t>
      </w:r>
    </w:p>
    <w:p w14:paraId="4827B0FE" w14:textId="77777777" w:rsidR="005F4232" w:rsidRDefault="005F4232" w:rsidP="006F4DAA">
      <w:pPr>
        <w:spacing w:before="840"/>
        <w:rPr>
          <w:lang w:eastAsia="zh-CN"/>
        </w:rPr>
      </w:pPr>
      <w:r w:rsidRPr="009E3745">
        <w:rPr>
          <w:rFonts w:hint="eastAsia"/>
          <w:b/>
          <w:bCs/>
          <w:lang w:eastAsia="zh-CN"/>
        </w:rPr>
        <w:t>附件</w:t>
      </w:r>
      <w:r>
        <w:rPr>
          <w:rFonts w:hint="eastAsia"/>
          <w:lang w:eastAsia="zh-CN"/>
        </w:rPr>
        <w:t>：</w:t>
      </w:r>
      <w:r w:rsidRPr="00B349C9">
        <w:rPr>
          <w:lang w:eastAsia="zh-CN"/>
        </w:rPr>
        <w:t>1</w:t>
      </w:r>
      <w:r w:rsidRPr="00B349C9">
        <w:rPr>
          <w:lang w:eastAsia="zh-CN"/>
        </w:rPr>
        <w:t>件</w:t>
      </w:r>
    </w:p>
    <w:p w14:paraId="4827B0FF" w14:textId="77777777" w:rsidR="005F4232" w:rsidRPr="0009651A" w:rsidRDefault="005F4232" w:rsidP="005F4232">
      <w:pPr>
        <w:pStyle w:val="AnnexNo"/>
        <w:rPr>
          <w:lang w:eastAsia="zh-CN"/>
        </w:rPr>
      </w:pPr>
      <w:bookmarkStart w:id="1030" w:name="_Toc531706911"/>
      <w:r w:rsidRPr="00F94BA4">
        <w:rPr>
          <w:rFonts w:hint="eastAsia"/>
          <w:lang w:eastAsia="zh-CN"/>
        </w:rPr>
        <w:t>附件</w:t>
      </w:r>
      <w:r>
        <w:rPr>
          <w:lang w:eastAsia="zh-CN"/>
        </w:rPr>
        <w:t>A</w:t>
      </w:r>
      <w:bookmarkEnd w:id="1030"/>
    </w:p>
    <w:p w14:paraId="4827B100" w14:textId="77777777" w:rsidR="005F4232" w:rsidRPr="00764003" w:rsidRDefault="005F4232" w:rsidP="005F4232">
      <w:pPr>
        <w:pStyle w:val="Annextitle"/>
        <w:rPr>
          <w:lang w:eastAsia="zh-CN"/>
        </w:rPr>
      </w:pPr>
      <w:r w:rsidRPr="00764003">
        <w:rPr>
          <w:lang w:eastAsia="zh-CN"/>
        </w:rPr>
        <w:t>《人事规则》</w:t>
      </w:r>
    </w:p>
    <w:p w14:paraId="4827B101" w14:textId="77777777" w:rsidR="005F4232" w:rsidRDefault="005F4232" w:rsidP="005F4232">
      <w:pPr>
        <w:pStyle w:val="Note"/>
        <w:ind w:firstLineChars="200" w:firstLine="480"/>
        <w:rPr>
          <w:lang w:eastAsia="zh-CN"/>
        </w:rPr>
      </w:pPr>
      <w:r w:rsidRPr="00717E86">
        <w:rPr>
          <w:lang w:eastAsia="zh-CN"/>
        </w:rPr>
        <w:t>《人事规则》拟议</w:t>
      </w:r>
      <w:r w:rsidRPr="00717E86">
        <w:rPr>
          <w:rFonts w:hint="eastAsia"/>
          <w:lang w:eastAsia="zh-CN"/>
        </w:rPr>
        <w:t>修正在</w:t>
      </w:r>
      <w:hyperlink r:id="rId179" w:history="1">
        <w:r w:rsidRPr="005F4232">
          <w:rPr>
            <w:rStyle w:val="Hyperlink"/>
            <w:szCs w:val="24"/>
            <w:lang w:eastAsia="zh-CN"/>
          </w:rPr>
          <w:t>C16/64</w:t>
        </w:r>
      </w:hyperlink>
      <w:r w:rsidRPr="005F4232">
        <w:rPr>
          <w:rFonts w:hint="eastAsia"/>
          <w:lang w:eastAsia="zh-CN"/>
        </w:rPr>
        <w:t>号文件</w:t>
      </w:r>
      <w:r w:rsidRPr="00717E86">
        <w:rPr>
          <w:lang w:eastAsia="zh-CN"/>
        </w:rPr>
        <w:t>附件</w:t>
      </w:r>
      <w:r w:rsidRPr="00717E86">
        <w:rPr>
          <w:rFonts w:hint="eastAsia"/>
          <w:lang w:eastAsia="zh-CN"/>
        </w:rPr>
        <w:t>6</w:t>
      </w:r>
      <w:r w:rsidRPr="00717E86">
        <w:rPr>
          <w:lang w:eastAsia="zh-CN"/>
        </w:rPr>
        <w:t>中提供</w:t>
      </w:r>
      <w:r w:rsidRPr="00717E86">
        <w:rPr>
          <w:rFonts w:hint="eastAsia"/>
          <w:lang w:eastAsia="zh-CN"/>
        </w:rPr>
        <w:t>。</w:t>
      </w:r>
    </w:p>
    <w:p w14:paraId="4827B102" w14:textId="77777777" w:rsidR="005F4232" w:rsidRPr="00B04BFC" w:rsidRDefault="005F4232" w:rsidP="005F4232">
      <w:pPr>
        <w:pStyle w:val="Endtext"/>
        <w:rPr>
          <w:lang w:val="zh-CN" w:eastAsia="zh-CN"/>
        </w:rPr>
      </w:pPr>
      <w:r w:rsidRPr="000401C5">
        <w:rPr>
          <w:rFonts w:ascii="STKaiti" w:hAnsi="STKaiti" w:hint="eastAsia"/>
          <w:lang w:eastAsia="zh-CN"/>
        </w:rPr>
        <w:t>参阅</w:t>
      </w:r>
      <w:r w:rsidRPr="007C3110">
        <w:rPr>
          <w:rFonts w:ascii="STKaiti" w:hAnsi="STKaiti" w:hint="eastAsia"/>
          <w:lang w:eastAsia="zh-CN"/>
        </w:rPr>
        <w:t>：</w:t>
      </w:r>
      <w:r w:rsidRPr="00D746C3">
        <w:rPr>
          <w:i/>
          <w:lang w:eastAsia="zh-CN"/>
        </w:rPr>
        <w:tab/>
      </w:r>
      <w:hyperlink r:id="rId180" w:history="1">
        <w:r w:rsidRPr="009D46CC">
          <w:rPr>
            <w:rStyle w:val="Hyperlink"/>
            <w:lang w:val="fr-FR" w:eastAsia="zh-CN"/>
          </w:rPr>
          <w:t>C1</w:t>
        </w:r>
        <w:r>
          <w:rPr>
            <w:rStyle w:val="Hyperlink"/>
            <w:lang w:val="fr-FR" w:eastAsia="zh-CN"/>
          </w:rPr>
          <w:t>6</w:t>
        </w:r>
        <w:r w:rsidRPr="009D46CC">
          <w:rPr>
            <w:rStyle w:val="Hyperlink"/>
            <w:lang w:val="fr-FR" w:eastAsia="zh-CN"/>
          </w:rPr>
          <w:t>/122</w:t>
        </w:r>
      </w:hyperlink>
      <w:r>
        <w:rPr>
          <w:rFonts w:cs="Calibri" w:hint="eastAsia"/>
          <w:szCs w:val="24"/>
          <w:lang w:eastAsia="zh-CN"/>
        </w:rPr>
        <w:t>和</w:t>
      </w:r>
      <w:hyperlink r:id="rId181" w:history="1">
        <w:r w:rsidRPr="009D46CC">
          <w:rPr>
            <w:rStyle w:val="Hyperlink"/>
            <w:lang w:val="fr-FR" w:eastAsia="zh-CN"/>
          </w:rPr>
          <w:t>C1</w:t>
        </w:r>
        <w:r>
          <w:rPr>
            <w:rStyle w:val="Hyperlink"/>
            <w:lang w:val="fr-FR" w:eastAsia="zh-CN"/>
          </w:rPr>
          <w:t>6</w:t>
        </w:r>
        <w:r w:rsidRPr="009D46CC">
          <w:rPr>
            <w:rStyle w:val="Hyperlink"/>
            <w:lang w:val="fr-FR" w:eastAsia="zh-CN"/>
          </w:rPr>
          <w:t>/1</w:t>
        </w:r>
        <w:r>
          <w:rPr>
            <w:rStyle w:val="Hyperlink"/>
            <w:lang w:val="fr-FR" w:eastAsia="zh-CN"/>
          </w:rPr>
          <w:t>38</w:t>
        </w:r>
      </w:hyperlink>
      <w:r>
        <w:rPr>
          <w:rFonts w:hint="eastAsia"/>
          <w:lang w:eastAsia="zh-CN"/>
        </w:rPr>
        <w:t>号文件。</w:t>
      </w:r>
    </w:p>
    <w:p w14:paraId="4827B103" w14:textId="77777777" w:rsidR="006F4DAA" w:rsidRDefault="006F4DAA" w:rsidP="006F4DAA">
      <w:pPr>
        <w:jc w:val="center"/>
        <w:rPr>
          <w:lang w:eastAsia="zh-CN"/>
        </w:rPr>
      </w:pPr>
      <w:r>
        <w:rPr>
          <w:lang w:eastAsia="zh-CN"/>
        </w:rPr>
        <w:t>______________</w:t>
      </w:r>
    </w:p>
    <w:p w14:paraId="4827B104" w14:textId="77777777" w:rsidR="006F4DAA" w:rsidRDefault="006F4DA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105" w14:textId="77777777" w:rsidR="00933CC3" w:rsidRDefault="00933CC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106" w14:textId="77777777" w:rsidR="00933CC3" w:rsidRDefault="00933CC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107" w14:textId="77777777" w:rsidR="005F4232" w:rsidRDefault="005F423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108" w14:textId="77777777" w:rsidR="005F4232" w:rsidRDefault="005F4232" w:rsidP="00A75FB5">
      <w:pPr>
        <w:pStyle w:val="DecNo"/>
        <w:outlineLvl w:val="0"/>
      </w:pPr>
      <w:bookmarkStart w:id="1031" w:name="_Toc531706314"/>
      <w:bookmarkStart w:id="1032" w:name="_Toc531706912"/>
      <w:bookmarkStart w:id="1033" w:name="_Toc531768403"/>
      <w:bookmarkStart w:id="1034" w:name="_Toc16085722"/>
      <w:bookmarkStart w:id="1035" w:name="_Toc86395526"/>
      <w:r w:rsidRPr="007C1781">
        <w:rPr>
          <w:rFonts w:hint="eastAsia"/>
        </w:rPr>
        <w:lastRenderedPageBreak/>
        <w:t>第</w:t>
      </w:r>
      <w:r w:rsidRPr="007C1781">
        <w:t>59</w:t>
      </w:r>
      <w:r>
        <w:t>7</w:t>
      </w:r>
      <w:r w:rsidRPr="007C1781">
        <w:rPr>
          <w:rFonts w:hint="eastAsia"/>
        </w:rPr>
        <w:t>号决定</w:t>
      </w:r>
      <w:r>
        <w:rPr>
          <w:rFonts w:hint="eastAsia"/>
          <w:lang w:val="en-US"/>
        </w:rPr>
        <w:t>（</w:t>
      </w:r>
      <w:r>
        <w:rPr>
          <w:rFonts w:hint="eastAsia"/>
          <w:lang w:val="en-US"/>
        </w:rPr>
        <w:t>C1</w:t>
      </w:r>
      <w:r>
        <w:rPr>
          <w:lang w:val="en-US"/>
        </w:rPr>
        <w:t>6</w:t>
      </w:r>
      <w:r>
        <w:rPr>
          <w:rFonts w:hint="eastAsia"/>
          <w:lang w:val="en-US"/>
        </w:rPr>
        <w:t>）</w:t>
      </w:r>
      <w:bookmarkEnd w:id="1031"/>
      <w:bookmarkEnd w:id="1032"/>
      <w:bookmarkEnd w:id="1033"/>
      <w:bookmarkEnd w:id="1034"/>
      <w:bookmarkEnd w:id="1035"/>
    </w:p>
    <w:p w14:paraId="4827B109" w14:textId="77777777" w:rsidR="005F4232" w:rsidRPr="007B1A03" w:rsidRDefault="005F4232" w:rsidP="005F4232">
      <w:pPr>
        <w:pStyle w:val="Restitle"/>
        <w:rPr>
          <w:lang w:eastAsia="zh-CN"/>
        </w:rPr>
      </w:pPr>
      <w:bookmarkStart w:id="1036" w:name="_Toc460248079"/>
      <w:bookmarkStart w:id="1037" w:name="_Toc531706315"/>
      <w:bookmarkStart w:id="1038" w:name="_Toc531706913"/>
      <w:bookmarkStart w:id="1039" w:name="_Toc531768404"/>
      <w:bookmarkStart w:id="1040" w:name="_Toc16085723"/>
      <w:bookmarkStart w:id="1041" w:name="_Toc86395527"/>
      <w:r w:rsidRPr="007B1A03">
        <w:rPr>
          <w:rFonts w:hint="eastAsia"/>
          <w:lang w:eastAsia="zh-CN"/>
        </w:rPr>
        <w:t>适用于</w:t>
      </w:r>
      <w:r w:rsidRPr="007B1A03">
        <w:rPr>
          <w:lang w:eastAsia="zh-CN"/>
        </w:rPr>
        <w:t>委任</w:t>
      </w:r>
      <w:r>
        <w:rPr>
          <w:rFonts w:hint="eastAsia"/>
          <w:lang w:eastAsia="zh-CN"/>
        </w:rPr>
        <w:t>工作</w:t>
      </w:r>
      <w:r>
        <w:rPr>
          <w:lang w:eastAsia="zh-CN"/>
        </w:rPr>
        <w:t>人</w:t>
      </w:r>
      <w:r w:rsidRPr="007B1A03">
        <w:rPr>
          <w:lang w:eastAsia="zh-CN"/>
        </w:rPr>
        <w:t>员的</w:t>
      </w:r>
      <w:r w:rsidRPr="007B1A03">
        <w:rPr>
          <w:rFonts w:hint="eastAsia"/>
          <w:lang w:eastAsia="zh-CN"/>
        </w:rPr>
        <w:t>《</w:t>
      </w:r>
      <w:r w:rsidRPr="007B1A03">
        <w:rPr>
          <w:lang w:eastAsia="zh-CN"/>
        </w:rPr>
        <w:t>人事规则》修正</w:t>
      </w:r>
      <w:r>
        <w:rPr>
          <w:rFonts w:hint="eastAsia"/>
          <w:lang w:eastAsia="zh-CN"/>
        </w:rPr>
        <w:t>案</w:t>
      </w:r>
      <w:bookmarkEnd w:id="1036"/>
      <w:bookmarkEnd w:id="1037"/>
      <w:bookmarkEnd w:id="1038"/>
      <w:bookmarkEnd w:id="1039"/>
      <w:bookmarkEnd w:id="1040"/>
      <w:bookmarkEnd w:id="1041"/>
    </w:p>
    <w:p w14:paraId="4827B10A" w14:textId="77777777" w:rsidR="005F4232" w:rsidRPr="00BD4199" w:rsidRDefault="005F4232" w:rsidP="00E51375">
      <w:pPr>
        <w:pStyle w:val="Normalaftertitle0"/>
      </w:pPr>
      <w:r w:rsidRPr="00BD4199">
        <w:rPr>
          <w:rFonts w:hint="eastAsia"/>
        </w:rPr>
        <w:t>理事会</w:t>
      </w:r>
      <w:r>
        <w:rPr>
          <w:rFonts w:hint="eastAsia"/>
        </w:rPr>
        <w:t>，</w:t>
      </w:r>
    </w:p>
    <w:p w14:paraId="4827B10B" w14:textId="77777777" w:rsidR="005F4232" w:rsidRPr="00BD4199" w:rsidRDefault="005F4232" w:rsidP="005F4232">
      <w:pPr>
        <w:pStyle w:val="call0"/>
        <w:rPr>
          <w:lang w:eastAsia="zh-CN"/>
        </w:rPr>
      </w:pPr>
      <w:r w:rsidRPr="00763105">
        <w:rPr>
          <w:rFonts w:ascii="Calibri" w:hAnsi="Calibri" w:hint="eastAsia"/>
          <w:lang w:eastAsia="zh-CN"/>
        </w:rPr>
        <w:t>鉴于</w:t>
      </w:r>
    </w:p>
    <w:p w14:paraId="4827B10C" w14:textId="77777777" w:rsidR="005F4232" w:rsidRPr="00537DDE" w:rsidRDefault="005F4232" w:rsidP="005F4232">
      <w:pPr>
        <w:ind w:firstLineChars="200" w:firstLine="480"/>
        <w:rPr>
          <w:lang w:eastAsia="zh-CN"/>
        </w:rPr>
      </w:pPr>
      <w:r>
        <w:rPr>
          <w:rFonts w:hint="eastAsia"/>
          <w:lang w:eastAsia="zh-CN"/>
        </w:rPr>
        <w:t>国际电信</w:t>
      </w:r>
      <w:r>
        <w:rPr>
          <w:lang w:eastAsia="zh-CN"/>
        </w:rPr>
        <w:t>联盟《公约》第</w:t>
      </w:r>
      <w:r w:rsidRPr="00537DDE">
        <w:rPr>
          <w:lang w:eastAsia="zh-CN"/>
        </w:rPr>
        <w:t>63</w:t>
      </w:r>
      <w:r>
        <w:rPr>
          <w:rFonts w:hint="eastAsia"/>
          <w:lang w:eastAsia="zh-CN"/>
        </w:rPr>
        <w:t>款</w:t>
      </w:r>
      <w:r>
        <w:rPr>
          <w:lang w:eastAsia="zh-CN"/>
        </w:rPr>
        <w:t>和适用于委任</w:t>
      </w:r>
      <w:r>
        <w:rPr>
          <w:rFonts w:hint="eastAsia"/>
          <w:lang w:eastAsia="zh-CN"/>
        </w:rPr>
        <w:t>工作</w:t>
      </w:r>
      <w:r>
        <w:rPr>
          <w:lang w:eastAsia="zh-CN"/>
        </w:rPr>
        <w:t>人员的《人事规则》规则</w:t>
      </w:r>
      <w:r w:rsidRPr="00537DDE">
        <w:rPr>
          <w:lang w:eastAsia="zh-CN"/>
        </w:rPr>
        <w:t>12.1</w:t>
      </w:r>
      <w:r>
        <w:rPr>
          <w:rFonts w:hint="eastAsia"/>
          <w:lang w:eastAsia="zh-CN"/>
        </w:rPr>
        <w:t>，</w:t>
      </w:r>
    </w:p>
    <w:p w14:paraId="4827B10D" w14:textId="77777777" w:rsidR="005F4232" w:rsidRPr="00BD4199" w:rsidRDefault="005F4232" w:rsidP="005F4232">
      <w:pPr>
        <w:pStyle w:val="call0"/>
        <w:rPr>
          <w:lang w:eastAsia="zh-CN"/>
        </w:rPr>
      </w:pPr>
      <w:r>
        <w:rPr>
          <w:rFonts w:ascii="Calibri" w:hAnsi="Calibri" w:hint="eastAsia"/>
          <w:lang w:eastAsia="zh-CN"/>
        </w:rPr>
        <w:t>经</w:t>
      </w:r>
      <w:r>
        <w:rPr>
          <w:rFonts w:ascii="Calibri" w:hAnsi="Calibri"/>
          <w:lang w:eastAsia="zh-CN"/>
        </w:rPr>
        <w:t>审议</w:t>
      </w:r>
    </w:p>
    <w:p w14:paraId="4827B10E" w14:textId="77777777" w:rsidR="005F4232" w:rsidRPr="00537DDE" w:rsidRDefault="005F4232" w:rsidP="005F4232">
      <w:pPr>
        <w:ind w:firstLineChars="200" w:firstLine="480"/>
        <w:rPr>
          <w:lang w:eastAsia="zh-CN"/>
        </w:rPr>
      </w:pPr>
      <w:r>
        <w:rPr>
          <w:rFonts w:hint="eastAsia"/>
          <w:lang w:eastAsia="zh-CN"/>
        </w:rPr>
        <w:t>秘书长通过</w:t>
      </w:r>
      <w:hyperlink r:id="rId182" w:history="1">
        <w:r w:rsidRPr="00817537">
          <w:rPr>
            <w:rStyle w:val="Hyperlink"/>
            <w:lang w:eastAsia="zh-CN"/>
          </w:rPr>
          <w:t>C16/60</w:t>
        </w:r>
      </w:hyperlink>
      <w:r w:rsidRPr="00BD4199">
        <w:rPr>
          <w:rFonts w:hint="eastAsia"/>
          <w:lang w:eastAsia="zh-CN"/>
        </w:rPr>
        <w:t>号</w:t>
      </w:r>
      <w:r w:rsidRPr="00BD4199">
        <w:rPr>
          <w:lang w:eastAsia="zh-CN"/>
        </w:rPr>
        <w:t>文件向理事会</w:t>
      </w:r>
      <w:r>
        <w:rPr>
          <w:rFonts w:hint="eastAsia"/>
          <w:lang w:eastAsia="zh-CN"/>
        </w:rPr>
        <w:t>2016</w:t>
      </w:r>
      <w:r>
        <w:rPr>
          <w:rFonts w:hint="eastAsia"/>
          <w:lang w:eastAsia="zh-CN"/>
        </w:rPr>
        <w:t>年</w:t>
      </w:r>
      <w:r>
        <w:rPr>
          <w:lang w:eastAsia="zh-CN"/>
        </w:rPr>
        <w:t>会议</w:t>
      </w:r>
      <w:r>
        <w:rPr>
          <w:rFonts w:hint="eastAsia"/>
          <w:lang w:eastAsia="zh-CN"/>
        </w:rPr>
        <w:t>提交的报告</w:t>
      </w:r>
      <w:r>
        <w:rPr>
          <w:lang w:eastAsia="zh-CN"/>
        </w:rPr>
        <w:t>，</w:t>
      </w:r>
    </w:p>
    <w:p w14:paraId="4827B10F" w14:textId="77777777" w:rsidR="005F4232" w:rsidRPr="00BD4199" w:rsidRDefault="005F4232" w:rsidP="005F4232">
      <w:pPr>
        <w:pStyle w:val="call0"/>
        <w:rPr>
          <w:lang w:eastAsia="zh-CN"/>
        </w:rPr>
      </w:pPr>
      <w:r w:rsidRPr="00763105">
        <w:rPr>
          <w:rFonts w:ascii="Calibri" w:hAnsi="Calibri" w:hint="eastAsia"/>
          <w:lang w:eastAsia="zh-CN"/>
        </w:rPr>
        <w:t>做出</w:t>
      </w:r>
      <w:r w:rsidRPr="00763105">
        <w:rPr>
          <w:rFonts w:ascii="Calibri" w:hAnsi="Calibri"/>
          <w:lang w:eastAsia="zh-CN"/>
        </w:rPr>
        <w:t>决定</w:t>
      </w:r>
    </w:p>
    <w:p w14:paraId="4827B110" w14:textId="77777777" w:rsidR="005F4232" w:rsidRPr="00A6126E" w:rsidRDefault="005F4232" w:rsidP="005F4232">
      <w:pPr>
        <w:tabs>
          <w:tab w:val="left" w:pos="567"/>
          <w:tab w:val="left" w:pos="1134"/>
          <w:tab w:val="left" w:pos="1701"/>
          <w:tab w:val="left" w:pos="2268"/>
          <w:tab w:val="left" w:pos="2835"/>
        </w:tabs>
        <w:ind w:firstLineChars="200" w:firstLine="480"/>
        <w:rPr>
          <w:rFonts w:eastAsiaTheme="minorHAnsi"/>
          <w:lang w:eastAsia="zh-CN"/>
        </w:rPr>
      </w:pPr>
      <w:r w:rsidRPr="00BD4199">
        <w:rPr>
          <w:rFonts w:hint="eastAsia"/>
          <w:lang w:eastAsia="zh-CN"/>
        </w:rPr>
        <w:t>批准本</w:t>
      </w:r>
      <w:r w:rsidRPr="00BD4199">
        <w:rPr>
          <w:lang w:eastAsia="zh-CN"/>
        </w:rPr>
        <w:t>决定附件所含</w:t>
      </w:r>
      <w:r>
        <w:rPr>
          <w:rFonts w:hint="eastAsia"/>
          <w:lang w:eastAsia="zh-CN"/>
        </w:rPr>
        <w:t>的</w:t>
      </w:r>
      <w:r w:rsidRPr="00BD4199">
        <w:rPr>
          <w:lang w:eastAsia="zh-CN"/>
        </w:rPr>
        <w:t>适用于委任</w:t>
      </w:r>
      <w:r>
        <w:rPr>
          <w:rFonts w:hint="eastAsia"/>
          <w:lang w:eastAsia="zh-CN"/>
        </w:rPr>
        <w:t>工作</w:t>
      </w:r>
      <w:r>
        <w:rPr>
          <w:lang w:eastAsia="zh-CN"/>
        </w:rPr>
        <w:t>人</w:t>
      </w:r>
      <w:r w:rsidRPr="00BD4199">
        <w:rPr>
          <w:lang w:eastAsia="zh-CN"/>
        </w:rPr>
        <w:t>员的</w:t>
      </w:r>
      <w:r>
        <w:rPr>
          <w:lang w:eastAsia="zh-CN"/>
        </w:rPr>
        <w:t>《人事规则》修正</w:t>
      </w:r>
      <w:r>
        <w:rPr>
          <w:rFonts w:hint="eastAsia"/>
          <w:lang w:eastAsia="zh-CN"/>
        </w:rPr>
        <w:t>案。</w:t>
      </w:r>
    </w:p>
    <w:p w14:paraId="4827B111" w14:textId="77777777" w:rsidR="005F4232" w:rsidRPr="00FF05A3" w:rsidRDefault="005F4232" w:rsidP="005F4232">
      <w:pPr>
        <w:pStyle w:val="AnnexNo"/>
        <w:rPr>
          <w:lang w:eastAsia="zh-CN"/>
        </w:rPr>
      </w:pPr>
      <w:bookmarkStart w:id="1042" w:name="_Toc531706914"/>
      <w:r w:rsidRPr="007C1781">
        <w:rPr>
          <w:rFonts w:hint="eastAsia"/>
          <w:lang w:eastAsia="zh-CN"/>
        </w:rPr>
        <w:t>第</w:t>
      </w:r>
      <w:r w:rsidRPr="007C1781">
        <w:rPr>
          <w:lang w:eastAsia="zh-CN"/>
        </w:rPr>
        <w:t>59</w:t>
      </w:r>
      <w:r>
        <w:rPr>
          <w:lang w:eastAsia="zh-CN"/>
        </w:rPr>
        <w:t>7</w:t>
      </w:r>
      <w:r w:rsidRPr="007C1781">
        <w:rPr>
          <w:rFonts w:hint="eastAsia"/>
          <w:lang w:eastAsia="zh-CN"/>
        </w:rPr>
        <w:t>号</w:t>
      </w:r>
      <w:r w:rsidRPr="00FF05A3">
        <w:rPr>
          <w:rFonts w:hint="eastAsia"/>
          <w:lang w:eastAsia="zh-CN"/>
        </w:rPr>
        <w:t>决定</w:t>
      </w:r>
      <w:r w:rsidRPr="00FF05A3">
        <w:rPr>
          <w:lang w:eastAsia="zh-CN"/>
        </w:rPr>
        <w:t>附件</w:t>
      </w:r>
      <w:bookmarkEnd w:id="1042"/>
    </w:p>
    <w:p w14:paraId="4827B112" w14:textId="77777777" w:rsidR="005F4232" w:rsidRDefault="005F4232" w:rsidP="005F4232">
      <w:pPr>
        <w:pStyle w:val="Annextitle"/>
        <w:rPr>
          <w:lang w:eastAsia="zh-CN"/>
        </w:rPr>
      </w:pPr>
      <w:r>
        <w:rPr>
          <w:rFonts w:hint="eastAsia"/>
          <w:lang w:eastAsia="zh-CN"/>
        </w:rPr>
        <w:t>适用于</w:t>
      </w:r>
      <w:r>
        <w:rPr>
          <w:lang w:eastAsia="zh-CN"/>
        </w:rPr>
        <w:t>委任</w:t>
      </w:r>
      <w:r>
        <w:rPr>
          <w:rFonts w:hint="eastAsia"/>
          <w:lang w:eastAsia="zh-CN"/>
        </w:rPr>
        <w:t>工作人员</w:t>
      </w:r>
      <w:r>
        <w:rPr>
          <w:lang w:eastAsia="zh-CN"/>
        </w:rPr>
        <w:t>的《人事规则》</w:t>
      </w:r>
    </w:p>
    <w:p w14:paraId="4827B113" w14:textId="77777777" w:rsidR="005F4232" w:rsidRPr="002C6FDC" w:rsidRDefault="005F4232" w:rsidP="002C6FDC">
      <w:pPr>
        <w:pStyle w:val="Annextitle"/>
        <w:keepNext w:val="0"/>
        <w:keepLines w:val="0"/>
        <w:spacing w:after="240"/>
        <w:jc w:val="left"/>
        <w:rPr>
          <w:rFonts w:ascii="SimSun" w:hAnsi="SimSun"/>
          <w:lang w:eastAsia="zh-CN"/>
        </w:rPr>
      </w:pPr>
      <w:bookmarkStart w:id="1043" w:name="_Toc531707152"/>
      <w:r w:rsidRPr="002C6FDC">
        <w:rPr>
          <w:rFonts w:ascii="SimSun" w:hAnsi="SimSun" w:cs="Microsoft YaHei" w:hint="eastAsia"/>
          <w:lang w:eastAsia="zh-CN"/>
        </w:rPr>
        <w:t>第十一章</w:t>
      </w:r>
      <w:r w:rsidRPr="002C6FDC">
        <w:rPr>
          <w:rFonts w:ascii="SimSun" w:hAnsi="SimSun"/>
          <w:lang w:eastAsia="zh-CN"/>
        </w:rPr>
        <w:tab/>
      </w:r>
      <w:r w:rsidRPr="002C6FDC">
        <w:rPr>
          <w:rFonts w:ascii="SimSun" w:hAnsi="SimSun" w:cs="Microsoft YaHei" w:hint="eastAsia"/>
          <w:lang w:eastAsia="zh-CN"/>
        </w:rPr>
        <w:t>申诉</w:t>
      </w:r>
      <w:bookmarkEnd w:id="1043"/>
    </w:p>
    <w:p w14:paraId="4827B114" w14:textId="77777777" w:rsidR="005F4232" w:rsidRPr="002C6FDC" w:rsidRDefault="005F4232" w:rsidP="00E51375">
      <w:pPr>
        <w:pStyle w:val="Normalaftertitle0"/>
      </w:pPr>
      <w:bookmarkStart w:id="1044" w:name="_Toc531510678"/>
      <w:bookmarkStart w:id="1045" w:name="_Toc531515412"/>
      <w:bookmarkStart w:id="1046" w:name="_Toc21318905"/>
      <w:bookmarkStart w:id="1047" w:name="_Toc45626722"/>
      <w:bookmarkStart w:id="1048" w:name="_Toc50877686"/>
      <w:bookmarkStart w:id="1049" w:name="_Toc50879518"/>
      <w:bookmarkStart w:id="1050" w:name="_Toc50879709"/>
      <w:bookmarkStart w:id="1051" w:name="_Toc350868256"/>
      <w:r w:rsidRPr="002C6FDC">
        <w:t>规则</w:t>
      </w:r>
      <w:r w:rsidRPr="002C6FDC">
        <w:t>11.1</w:t>
      </w:r>
      <w:r w:rsidRPr="002C6FDC">
        <w:tab/>
      </w:r>
      <w:bookmarkEnd w:id="1044"/>
      <w:bookmarkEnd w:id="1045"/>
      <w:bookmarkEnd w:id="1046"/>
      <w:bookmarkEnd w:id="1047"/>
      <w:bookmarkEnd w:id="1048"/>
      <w:bookmarkEnd w:id="1049"/>
      <w:bookmarkEnd w:id="1050"/>
      <w:bookmarkEnd w:id="1051"/>
      <w:r w:rsidRPr="002C6FDC">
        <w:t>申诉</w:t>
      </w:r>
    </w:p>
    <w:p w14:paraId="4827B115" w14:textId="77777777" w:rsidR="005F4232" w:rsidRPr="006A6262" w:rsidRDefault="005F4232" w:rsidP="005F4232">
      <w:pPr>
        <w:rPr>
          <w:lang w:val="en-US" w:eastAsia="zh-CN"/>
        </w:rPr>
      </w:pPr>
      <w:r w:rsidRPr="006A6262">
        <w:rPr>
          <w:lang w:eastAsia="zh-CN"/>
        </w:rPr>
        <w:t>1</w:t>
      </w:r>
      <w:r w:rsidRPr="006A6262">
        <w:rPr>
          <w:lang w:eastAsia="zh-CN"/>
        </w:rPr>
        <w:tab/>
      </w:r>
      <w:r w:rsidRPr="006A6262">
        <w:rPr>
          <w:rFonts w:hint="eastAsia"/>
          <w:lang w:val="en-US" w:eastAsia="zh-CN"/>
        </w:rPr>
        <w:t>秘书长须建立一个有</w:t>
      </w:r>
      <w:r>
        <w:rPr>
          <w:rFonts w:hint="eastAsia"/>
          <w:lang w:val="en-US" w:eastAsia="zh-CN"/>
        </w:rPr>
        <w:t>工作人员</w:t>
      </w:r>
      <w:r w:rsidRPr="006A6262">
        <w:rPr>
          <w:rFonts w:hint="eastAsia"/>
          <w:lang w:val="en-US" w:eastAsia="zh-CN"/>
        </w:rPr>
        <w:t>参与的行政管理机构。</w:t>
      </w:r>
      <w:r w:rsidRPr="006A6262">
        <w:rPr>
          <w:rFonts w:hint="eastAsia"/>
          <w:lang w:eastAsia="zh-CN"/>
        </w:rPr>
        <w:t>当</w:t>
      </w:r>
      <w:r>
        <w:rPr>
          <w:rFonts w:hint="eastAsia"/>
          <w:lang w:eastAsia="zh-CN"/>
        </w:rPr>
        <w:t>工作人员</w:t>
      </w:r>
      <w:r w:rsidRPr="006A6262">
        <w:rPr>
          <w:rFonts w:hint="eastAsia"/>
          <w:lang w:eastAsia="zh-CN"/>
        </w:rPr>
        <w:t>针对</w:t>
      </w:r>
      <w:r w:rsidRPr="006A6262">
        <w:rPr>
          <w:lang w:eastAsia="zh-CN"/>
        </w:rPr>
        <w:t>一项行政决定</w:t>
      </w:r>
      <w:r w:rsidRPr="006A6262">
        <w:rPr>
          <w:rFonts w:hint="eastAsia"/>
          <w:lang w:eastAsia="zh-CN"/>
        </w:rPr>
        <w:t>进行</w:t>
      </w:r>
      <w:r w:rsidRPr="006A6262">
        <w:rPr>
          <w:lang w:eastAsia="zh-CN"/>
        </w:rPr>
        <w:t>申诉，</w:t>
      </w:r>
      <w:r w:rsidRPr="006A6262">
        <w:rPr>
          <w:rFonts w:hint="eastAsia"/>
          <w:lang w:eastAsia="zh-CN"/>
        </w:rPr>
        <w:t>提出未对其履行包括所有相关《人事规则和人事细则》在内的任用条款的指控、或质疑行政处分时，</w:t>
      </w:r>
      <w:r w:rsidRPr="006A6262">
        <w:rPr>
          <w:rFonts w:hint="eastAsia"/>
          <w:lang w:val="en-US" w:eastAsia="zh-CN"/>
        </w:rPr>
        <w:t>秘书长可向该机构征求意见。</w:t>
      </w:r>
    </w:p>
    <w:p w14:paraId="4827B116" w14:textId="77777777" w:rsidR="005F4232" w:rsidRPr="006A6262" w:rsidRDefault="005F4232" w:rsidP="005F4232">
      <w:pPr>
        <w:rPr>
          <w:lang w:eastAsia="zh-CN"/>
        </w:rPr>
      </w:pPr>
      <w:r w:rsidRPr="006A6262">
        <w:rPr>
          <w:lang w:eastAsia="zh-CN"/>
        </w:rPr>
        <w:t>2</w:t>
      </w:r>
      <w:r w:rsidRPr="006A6262">
        <w:rPr>
          <w:lang w:eastAsia="zh-CN"/>
        </w:rPr>
        <w:tab/>
      </w:r>
      <w:r w:rsidRPr="006A6262">
        <w:rPr>
          <w:rFonts w:hint="eastAsia"/>
          <w:lang w:eastAsia="zh-CN"/>
        </w:rPr>
        <w:t>除非本</w:t>
      </w:r>
      <w:r w:rsidRPr="006A6262">
        <w:rPr>
          <w:lang w:eastAsia="zh-CN"/>
        </w:rPr>
        <w:t>《人事规则或人事细则》另有规定，</w:t>
      </w:r>
      <w:r w:rsidRPr="006A6262">
        <w:rPr>
          <w:rFonts w:hint="eastAsia"/>
          <w:lang w:eastAsia="zh-CN"/>
        </w:rPr>
        <w:t>否则在</w:t>
      </w:r>
      <w:r w:rsidRPr="006A6262">
        <w:rPr>
          <w:lang w:eastAsia="zh-CN"/>
        </w:rPr>
        <w:t>本章中，</w:t>
      </w:r>
      <w:r w:rsidRPr="006A6262">
        <w:rPr>
          <w:rFonts w:ascii="SimSun" w:hAnsi="SimSun" w:hint="eastAsia"/>
          <w:lang w:eastAsia="zh-CN"/>
        </w:rPr>
        <w:t>“</w:t>
      </w:r>
      <w:r>
        <w:rPr>
          <w:rFonts w:ascii="SimSun" w:hAnsi="SimSun" w:hint="eastAsia"/>
          <w:lang w:eastAsia="zh-CN"/>
        </w:rPr>
        <w:t>工作人员</w:t>
      </w:r>
      <w:r w:rsidRPr="006A6262">
        <w:rPr>
          <w:rFonts w:ascii="SimSun" w:hAnsi="SimSun"/>
          <w:lang w:eastAsia="zh-CN"/>
        </w:rPr>
        <w:t>”</w:t>
      </w:r>
      <w:r w:rsidRPr="006A6262">
        <w:rPr>
          <w:lang w:eastAsia="zh-CN"/>
        </w:rPr>
        <w:t>一词须</w:t>
      </w:r>
      <w:r w:rsidRPr="006A6262">
        <w:rPr>
          <w:rFonts w:hint="eastAsia"/>
          <w:lang w:eastAsia="zh-CN"/>
        </w:rPr>
        <w:t>理解</w:t>
      </w:r>
      <w:r w:rsidRPr="006A6262">
        <w:rPr>
          <w:lang w:eastAsia="zh-CN"/>
        </w:rPr>
        <w:t>为</w:t>
      </w:r>
      <w:r w:rsidRPr="006A6262">
        <w:rPr>
          <w:rFonts w:hint="eastAsia"/>
          <w:lang w:eastAsia="zh-CN"/>
        </w:rPr>
        <w:t>同</w:t>
      </w:r>
      <w:r w:rsidRPr="006A6262">
        <w:rPr>
          <w:lang w:eastAsia="zh-CN"/>
        </w:rPr>
        <w:t>指在职</w:t>
      </w:r>
      <w:r>
        <w:rPr>
          <w:rFonts w:hint="eastAsia"/>
          <w:lang w:eastAsia="zh-CN"/>
        </w:rPr>
        <w:t>工作</w:t>
      </w:r>
      <w:r>
        <w:rPr>
          <w:lang w:eastAsia="zh-CN"/>
        </w:rPr>
        <w:t>人</w:t>
      </w:r>
      <w:r w:rsidRPr="006A6262">
        <w:rPr>
          <w:lang w:eastAsia="zh-CN"/>
        </w:rPr>
        <w:t>员</w:t>
      </w:r>
      <w:r w:rsidRPr="006A6262">
        <w:rPr>
          <w:rFonts w:hint="eastAsia"/>
          <w:lang w:eastAsia="zh-CN"/>
        </w:rPr>
        <w:t>和</w:t>
      </w:r>
      <w:r w:rsidRPr="006A6262">
        <w:rPr>
          <w:lang w:eastAsia="zh-CN"/>
        </w:rPr>
        <w:t>前</w:t>
      </w:r>
      <w:r>
        <w:rPr>
          <w:rFonts w:hint="eastAsia"/>
          <w:lang w:eastAsia="zh-CN"/>
        </w:rPr>
        <w:t>工作</w:t>
      </w:r>
      <w:r>
        <w:rPr>
          <w:lang w:eastAsia="zh-CN"/>
        </w:rPr>
        <w:t>人</w:t>
      </w:r>
      <w:r w:rsidRPr="006A6262">
        <w:rPr>
          <w:lang w:eastAsia="zh-CN"/>
        </w:rPr>
        <w:t>员。</w:t>
      </w:r>
    </w:p>
    <w:p w14:paraId="4827B117" w14:textId="77777777" w:rsidR="005F4232" w:rsidRPr="006A6262" w:rsidRDefault="005F4232" w:rsidP="00E51375">
      <w:pPr>
        <w:pStyle w:val="Normalaftertitle0"/>
        <w:rPr>
          <w:b/>
        </w:rPr>
      </w:pPr>
      <w:bookmarkStart w:id="1052" w:name="_Toc531510680"/>
      <w:bookmarkStart w:id="1053" w:name="_Toc531515414"/>
      <w:bookmarkStart w:id="1054" w:name="_Toc21318907"/>
      <w:bookmarkStart w:id="1055" w:name="_Toc45626723"/>
      <w:bookmarkStart w:id="1056" w:name="_Toc50877688"/>
      <w:bookmarkStart w:id="1057" w:name="_Toc50879520"/>
      <w:bookmarkStart w:id="1058" w:name="_Toc50879711"/>
      <w:bookmarkStart w:id="1059" w:name="_Toc350868258"/>
      <w:r w:rsidRPr="002C6FDC">
        <w:rPr>
          <w:rFonts w:hint="eastAsia"/>
        </w:rPr>
        <w:t>规则</w:t>
      </w:r>
      <w:r w:rsidRPr="002C6FDC">
        <w:t>11.2</w:t>
      </w:r>
      <w:r w:rsidRPr="002C6FDC">
        <w:tab/>
      </w:r>
      <w:bookmarkEnd w:id="1052"/>
      <w:bookmarkEnd w:id="1053"/>
      <w:bookmarkEnd w:id="1054"/>
      <w:bookmarkEnd w:id="1055"/>
      <w:bookmarkEnd w:id="1056"/>
      <w:bookmarkEnd w:id="1057"/>
      <w:bookmarkEnd w:id="1058"/>
      <w:bookmarkEnd w:id="1059"/>
      <w:r w:rsidRPr="002C6FDC">
        <w:rPr>
          <w:rFonts w:hint="eastAsia"/>
        </w:rPr>
        <w:t>行政</w:t>
      </w:r>
      <w:r w:rsidRPr="002C6FDC">
        <w:t>法庭</w:t>
      </w:r>
    </w:p>
    <w:p w14:paraId="4827B118" w14:textId="77777777" w:rsidR="005F4232" w:rsidRPr="00A6126E" w:rsidRDefault="005F4232" w:rsidP="005F4232">
      <w:pPr>
        <w:tabs>
          <w:tab w:val="left" w:pos="567"/>
          <w:tab w:val="left" w:pos="1134"/>
          <w:tab w:val="left" w:pos="1701"/>
          <w:tab w:val="left" w:pos="2268"/>
          <w:tab w:val="left" w:pos="2835"/>
        </w:tabs>
        <w:ind w:firstLineChars="200" w:firstLine="480"/>
        <w:rPr>
          <w:rFonts w:eastAsiaTheme="majorEastAsia"/>
          <w:u w:val="single"/>
          <w:lang w:eastAsia="zh-CN"/>
        </w:rPr>
      </w:pPr>
      <w:r w:rsidRPr="006A6262">
        <w:rPr>
          <w:rFonts w:hint="eastAsia"/>
          <w:lang w:eastAsia="zh-CN"/>
        </w:rPr>
        <w:t>根据国际劳工组织行政法庭《规约》的规定，</w:t>
      </w:r>
      <w:r>
        <w:rPr>
          <w:rFonts w:hint="eastAsia"/>
          <w:lang w:eastAsia="zh-CN"/>
        </w:rPr>
        <w:t>工作人</w:t>
      </w:r>
      <w:r w:rsidRPr="006A6262">
        <w:rPr>
          <w:rFonts w:hint="eastAsia"/>
          <w:lang w:eastAsia="zh-CN"/>
        </w:rPr>
        <w:t>员须有权向该法庭提起申诉，或就联合国合办</w:t>
      </w:r>
      <w:r>
        <w:rPr>
          <w:rFonts w:hint="eastAsia"/>
          <w:lang w:eastAsia="zh-CN"/>
        </w:rPr>
        <w:t>工作人员</w:t>
      </w:r>
      <w:r w:rsidRPr="006A6262">
        <w:rPr>
          <w:rFonts w:hint="eastAsia"/>
          <w:lang w:eastAsia="zh-CN"/>
        </w:rPr>
        <w:t>养恤基金问题向联合国申诉法庭提起申诉。</w:t>
      </w:r>
    </w:p>
    <w:p w14:paraId="4827B119" w14:textId="77777777" w:rsidR="00D965D1" w:rsidRPr="00B04BFC" w:rsidRDefault="00D965D1" w:rsidP="00D965D1">
      <w:pPr>
        <w:pStyle w:val="Endtext"/>
        <w:rPr>
          <w:lang w:val="zh-CN" w:eastAsia="zh-CN"/>
        </w:rPr>
      </w:pPr>
      <w:r w:rsidRPr="000401C5">
        <w:rPr>
          <w:rFonts w:ascii="STKaiti" w:hAnsi="STKaiti" w:hint="eastAsia"/>
          <w:lang w:eastAsia="zh-CN"/>
        </w:rPr>
        <w:t>参阅</w:t>
      </w:r>
      <w:r w:rsidRPr="007C3110">
        <w:rPr>
          <w:rFonts w:ascii="STKaiti" w:hAnsi="STKaiti" w:hint="eastAsia"/>
          <w:lang w:eastAsia="zh-CN"/>
        </w:rPr>
        <w:t>：</w:t>
      </w:r>
      <w:r w:rsidRPr="00D746C3">
        <w:rPr>
          <w:i/>
          <w:lang w:eastAsia="zh-CN"/>
        </w:rPr>
        <w:tab/>
      </w:r>
      <w:hyperlink r:id="rId183" w:history="1">
        <w:r w:rsidRPr="009D46CC">
          <w:rPr>
            <w:rStyle w:val="Hyperlink"/>
            <w:lang w:val="fr-FR" w:eastAsia="zh-CN"/>
          </w:rPr>
          <w:t>C1</w:t>
        </w:r>
        <w:r>
          <w:rPr>
            <w:rStyle w:val="Hyperlink"/>
            <w:lang w:val="fr-FR" w:eastAsia="zh-CN"/>
          </w:rPr>
          <w:t>6</w:t>
        </w:r>
        <w:r w:rsidRPr="009D46CC">
          <w:rPr>
            <w:rStyle w:val="Hyperlink"/>
            <w:lang w:val="fr-FR" w:eastAsia="zh-CN"/>
          </w:rPr>
          <w:t>/122</w:t>
        </w:r>
      </w:hyperlink>
      <w:r>
        <w:rPr>
          <w:rFonts w:cs="Calibri" w:hint="eastAsia"/>
          <w:szCs w:val="24"/>
          <w:lang w:eastAsia="zh-CN"/>
        </w:rPr>
        <w:t>和</w:t>
      </w:r>
      <w:hyperlink r:id="rId184" w:history="1">
        <w:r w:rsidRPr="009D46CC">
          <w:rPr>
            <w:rStyle w:val="Hyperlink"/>
            <w:lang w:val="fr-FR" w:eastAsia="zh-CN"/>
          </w:rPr>
          <w:t>C1</w:t>
        </w:r>
        <w:r>
          <w:rPr>
            <w:rStyle w:val="Hyperlink"/>
            <w:lang w:val="fr-FR" w:eastAsia="zh-CN"/>
          </w:rPr>
          <w:t>6</w:t>
        </w:r>
        <w:r w:rsidRPr="009D46CC">
          <w:rPr>
            <w:rStyle w:val="Hyperlink"/>
            <w:lang w:val="fr-FR" w:eastAsia="zh-CN"/>
          </w:rPr>
          <w:t>/1</w:t>
        </w:r>
        <w:r>
          <w:rPr>
            <w:rStyle w:val="Hyperlink"/>
            <w:lang w:val="fr-FR" w:eastAsia="zh-CN"/>
          </w:rPr>
          <w:t>42</w:t>
        </w:r>
      </w:hyperlink>
      <w:r>
        <w:rPr>
          <w:rFonts w:hint="eastAsia"/>
          <w:lang w:eastAsia="zh-CN"/>
        </w:rPr>
        <w:t>号文件。</w:t>
      </w:r>
    </w:p>
    <w:p w14:paraId="4827B11A" w14:textId="77777777" w:rsidR="006F4DAA" w:rsidRDefault="006F4DAA" w:rsidP="006F4DAA">
      <w:pPr>
        <w:jc w:val="center"/>
        <w:rPr>
          <w:lang w:eastAsia="zh-CN"/>
        </w:rPr>
      </w:pPr>
      <w:r>
        <w:rPr>
          <w:lang w:eastAsia="zh-CN"/>
        </w:rPr>
        <w:t>______________</w:t>
      </w:r>
    </w:p>
    <w:p w14:paraId="4827B11B" w14:textId="77777777" w:rsidR="00BC002B" w:rsidRDefault="00BC002B" w:rsidP="009E3745">
      <w:pPr>
        <w:jc w:val="left"/>
        <w:rPr>
          <w:lang w:eastAsia="zh-CN"/>
        </w:rPr>
      </w:pPr>
    </w:p>
    <w:p w14:paraId="4827B11C" w14:textId="77777777" w:rsidR="005F4232" w:rsidRDefault="005F4232" w:rsidP="009E3745">
      <w:pPr>
        <w:jc w:val="left"/>
        <w:rPr>
          <w:lang w:eastAsia="zh-CN"/>
        </w:rPr>
        <w:sectPr w:rsidR="005F4232" w:rsidSect="00AE37E2">
          <w:headerReference w:type="even" r:id="rId185"/>
          <w:headerReference w:type="default" r:id="rId186"/>
          <w:headerReference w:type="first" r:id="rId187"/>
          <w:footnotePr>
            <w:pos w:val="beneathText"/>
          </w:footnotePr>
          <w:endnotePr>
            <w:numFmt w:val="decimal"/>
          </w:endnotePr>
          <w:pgSz w:w="11907" w:h="16840" w:code="9"/>
          <w:pgMar w:top="1418" w:right="1134" w:bottom="1134" w:left="1134" w:header="737" w:footer="567" w:gutter="0"/>
          <w:cols w:space="720"/>
          <w:vAlign w:val="both"/>
          <w:titlePg/>
        </w:sectPr>
      </w:pPr>
    </w:p>
    <w:p w14:paraId="4827B11D" w14:textId="77777777" w:rsidR="00F11D1D" w:rsidRPr="008853B4" w:rsidRDefault="00F11D1D" w:rsidP="007672B3">
      <w:pPr>
        <w:pStyle w:val="Chaptitle"/>
        <w:rPr>
          <w:lang w:eastAsia="zh-CN"/>
        </w:rPr>
      </w:pPr>
      <w:bookmarkStart w:id="1060" w:name="_Toc81880058"/>
      <w:bookmarkStart w:id="1061" w:name="_Toc161224015"/>
      <w:bookmarkStart w:id="1062" w:name="_Toc161732061"/>
      <w:bookmarkStart w:id="1063" w:name="_Toc161740988"/>
      <w:bookmarkStart w:id="1064" w:name="_Toc185237660"/>
      <w:bookmarkStart w:id="1065" w:name="_Toc311469575"/>
      <w:bookmarkStart w:id="1066" w:name="_Toc424116971"/>
      <w:bookmarkStart w:id="1067" w:name="_Toc531706316"/>
      <w:bookmarkStart w:id="1068" w:name="_Toc531706915"/>
      <w:bookmarkStart w:id="1069" w:name="_Toc531768405"/>
      <w:bookmarkStart w:id="1070" w:name="_Toc16085724"/>
      <w:bookmarkStart w:id="1071" w:name="_Toc86395528"/>
      <w:r w:rsidRPr="008853B4">
        <w:rPr>
          <w:lang w:eastAsia="zh-CN"/>
        </w:rPr>
        <w:lastRenderedPageBreak/>
        <w:t>2.2</w:t>
      </w:r>
      <w:r w:rsidRPr="008853B4">
        <w:rPr>
          <w:lang w:eastAsia="zh-CN"/>
        </w:rPr>
        <w:tab/>
      </w:r>
      <w:bookmarkEnd w:id="1060"/>
      <w:r w:rsidR="005354B3" w:rsidRPr="008853B4">
        <w:rPr>
          <w:rFonts w:hint="eastAsia"/>
          <w:lang w:eastAsia="zh-CN"/>
        </w:rPr>
        <w:t>人力资源管理</w:t>
      </w:r>
      <w:bookmarkEnd w:id="1061"/>
      <w:bookmarkEnd w:id="1062"/>
      <w:bookmarkEnd w:id="1063"/>
      <w:bookmarkEnd w:id="1064"/>
      <w:bookmarkEnd w:id="1065"/>
      <w:bookmarkEnd w:id="1066"/>
      <w:bookmarkEnd w:id="1067"/>
      <w:bookmarkEnd w:id="1068"/>
      <w:bookmarkEnd w:id="1069"/>
      <w:bookmarkEnd w:id="1070"/>
      <w:bookmarkEnd w:id="1071"/>
    </w:p>
    <w:p w14:paraId="4827B11E" w14:textId="77777777" w:rsidR="009E3745" w:rsidRDefault="00AE7F4C" w:rsidP="00A75FB5">
      <w:pPr>
        <w:pStyle w:val="ResNo"/>
        <w:outlineLvl w:val="0"/>
        <w:rPr>
          <w:lang w:eastAsia="zh-CN"/>
        </w:rPr>
      </w:pPr>
      <w:bookmarkStart w:id="1072" w:name="_Toc424116972"/>
      <w:bookmarkStart w:id="1073" w:name="_Toc531706317"/>
      <w:bookmarkStart w:id="1074" w:name="_Toc531706916"/>
      <w:bookmarkStart w:id="1075" w:name="_Toc531768406"/>
      <w:bookmarkStart w:id="1076" w:name="_Toc16085725"/>
      <w:bookmarkStart w:id="1077" w:name="_Toc86395529"/>
      <w:bookmarkStart w:id="1078" w:name="_Toc161224016"/>
      <w:bookmarkStart w:id="1079" w:name="_Toc161732062"/>
      <w:bookmarkStart w:id="1080" w:name="_Toc161740989"/>
      <w:bookmarkStart w:id="1081" w:name="_Toc185237661"/>
      <w:bookmarkStart w:id="1082" w:name="_Toc311469576"/>
      <w:r w:rsidRPr="001D7115">
        <w:rPr>
          <w:rFonts w:hint="eastAsia"/>
          <w:lang w:eastAsia="zh-CN"/>
        </w:rPr>
        <w:t>第</w:t>
      </w:r>
      <w:r w:rsidRPr="001D7115">
        <w:rPr>
          <w:lang w:eastAsia="zh-CN"/>
        </w:rPr>
        <w:t>1106</w:t>
      </w:r>
      <w:r w:rsidRPr="001D7115">
        <w:rPr>
          <w:rFonts w:hint="eastAsia"/>
          <w:lang w:eastAsia="zh-CN"/>
        </w:rPr>
        <w:t>号决议</w:t>
      </w:r>
      <w:r w:rsidR="00104CF7">
        <w:rPr>
          <w:rFonts w:hint="eastAsia"/>
          <w:lang w:eastAsia="zh-CN"/>
        </w:rPr>
        <w:t>（</w:t>
      </w:r>
      <w:r w:rsidR="00104CF7" w:rsidRPr="005F65E0">
        <w:rPr>
          <w:lang w:val="en-US" w:eastAsia="zh-CN"/>
        </w:rPr>
        <w:t>C-1996</w:t>
      </w:r>
      <w:r w:rsidR="00104CF7" w:rsidRPr="005F65E0">
        <w:rPr>
          <w:rFonts w:hint="eastAsia"/>
          <w:lang w:val="en-US" w:eastAsia="zh-CN"/>
        </w:rPr>
        <w:t>，最后修</w:t>
      </w:r>
      <w:r w:rsidR="00933CC3">
        <w:rPr>
          <w:rFonts w:hint="eastAsia"/>
          <w:lang w:val="en-US" w:eastAsia="zh-CN"/>
        </w:rPr>
        <w:t>正</w:t>
      </w:r>
      <w:r w:rsidR="00933CC3">
        <w:rPr>
          <w:lang w:val="en-US" w:eastAsia="zh-CN"/>
        </w:rPr>
        <w:t>C</w:t>
      </w:r>
      <w:r w:rsidR="00104CF7" w:rsidRPr="005F65E0">
        <w:rPr>
          <w:lang w:val="en-US" w:eastAsia="zh-CN"/>
        </w:rPr>
        <w:t>01</w:t>
      </w:r>
      <w:r w:rsidR="00104CF7">
        <w:rPr>
          <w:rFonts w:hint="eastAsia"/>
          <w:lang w:val="en-US" w:eastAsia="zh-CN"/>
        </w:rPr>
        <w:t>）</w:t>
      </w:r>
      <w:bookmarkEnd w:id="1072"/>
      <w:bookmarkEnd w:id="1073"/>
      <w:bookmarkEnd w:id="1074"/>
      <w:bookmarkEnd w:id="1075"/>
      <w:bookmarkEnd w:id="1076"/>
      <w:bookmarkEnd w:id="1077"/>
    </w:p>
    <w:p w14:paraId="4827B11F" w14:textId="77777777" w:rsidR="00AE7F4C" w:rsidRPr="00EF16B5" w:rsidRDefault="00AE7F4C" w:rsidP="00104CF7">
      <w:pPr>
        <w:pStyle w:val="Restitle"/>
        <w:rPr>
          <w:b w:val="0"/>
          <w:bCs/>
          <w:szCs w:val="28"/>
          <w:lang w:eastAsia="zh-CN"/>
        </w:rPr>
      </w:pPr>
      <w:bookmarkStart w:id="1083" w:name="_Toc424116214"/>
      <w:bookmarkStart w:id="1084" w:name="_Toc424116973"/>
      <w:bookmarkStart w:id="1085" w:name="_Toc460248082"/>
      <w:bookmarkStart w:id="1086" w:name="_Toc531706318"/>
      <w:bookmarkStart w:id="1087" w:name="_Toc531706917"/>
      <w:bookmarkStart w:id="1088" w:name="_Toc531768407"/>
      <w:bookmarkStart w:id="1089" w:name="_Toc16085726"/>
      <w:bookmarkStart w:id="1090" w:name="_Toc86395530"/>
      <w:r>
        <w:rPr>
          <w:rFonts w:hint="eastAsia"/>
          <w:lang w:eastAsia="zh-CN"/>
        </w:rPr>
        <w:t>人力资源管理三方顾问组建议的实施</w:t>
      </w:r>
      <w:bookmarkEnd w:id="1078"/>
      <w:bookmarkEnd w:id="1079"/>
      <w:bookmarkEnd w:id="1080"/>
      <w:bookmarkEnd w:id="1081"/>
      <w:bookmarkEnd w:id="1082"/>
      <w:bookmarkEnd w:id="1083"/>
      <w:bookmarkEnd w:id="1084"/>
      <w:bookmarkEnd w:id="1085"/>
      <w:bookmarkEnd w:id="1086"/>
      <w:bookmarkEnd w:id="1087"/>
      <w:bookmarkEnd w:id="1088"/>
      <w:bookmarkEnd w:id="1089"/>
      <w:bookmarkEnd w:id="1090"/>
    </w:p>
    <w:p w14:paraId="4827B120" w14:textId="77777777" w:rsidR="005354B3" w:rsidRDefault="005354B3" w:rsidP="00B64353">
      <w:pPr>
        <w:pStyle w:val="Normalaftertitle"/>
        <w:spacing w:before="200"/>
        <w:rPr>
          <w:lang w:eastAsia="zh-CN"/>
        </w:rPr>
      </w:pPr>
      <w:r>
        <w:rPr>
          <w:rFonts w:hint="eastAsia"/>
          <w:lang w:eastAsia="zh-CN"/>
        </w:rPr>
        <w:t>理事会，</w:t>
      </w:r>
    </w:p>
    <w:p w14:paraId="4827B121" w14:textId="77777777" w:rsidR="005354B3" w:rsidRPr="005F65E0" w:rsidRDefault="005354B3" w:rsidP="00B64353">
      <w:pPr>
        <w:pStyle w:val="call0"/>
        <w:rPr>
          <w:rFonts w:ascii="STKaiti" w:hAnsi="STKaiti"/>
          <w:bCs/>
          <w:i/>
          <w:iCs/>
          <w:szCs w:val="22"/>
          <w:lang w:eastAsia="zh-CN"/>
        </w:rPr>
      </w:pPr>
      <w:r w:rsidRPr="005F65E0">
        <w:rPr>
          <w:rFonts w:ascii="STKaiti" w:hAnsi="STKaiti" w:hint="eastAsia"/>
          <w:iCs/>
          <w:szCs w:val="22"/>
          <w:lang w:eastAsia="zh-CN"/>
        </w:rPr>
        <w:t>忆及</w:t>
      </w:r>
    </w:p>
    <w:p w14:paraId="4827B122" w14:textId="77777777" w:rsidR="005354B3" w:rsidRDefault="005354B3" w:rsidP="00B64353">
      <w:pPr>
        <w:spacing w:line="320" w:lineRule="exact"/>
        <w:rPr>
          <w:lang w:eastAsia="zh-CN"/>
        </w:rPr>
      </w:pPr>
      <w:r w:rsidRPr="00104CF7">
        <w:rPr>
          <w:i/>
          <w:iCs/>
          <w:lang w:eastAsia="zh-CN"/>
        </w:rPr>
        <w:t>a</w:t>
      </w:r>
      <w:r w:rsidR="000E6A83" w:rsidRPr="00104CF7">
        <w:rPr>
          <w:i/>
          <w:iCs/>
          <w:lang w:eastAsia="zh-CN"/>
        </w:rPr>
        <w:t>)</w:t>
      </w:r>
      <w:r w:rsidR="000E6A83">
        <w:rPr>
          <w:lang w:eastAsia="zh-CN"/>
        </w:rPr>
        <w:tab/>
      </w:r>
      <w:r>
        <w:rPr>
          <w:rFonts w:hint="eastAsia"/>
          <w:lang w:eastAsia="zh-CN"/>
        </w:rPr>
        <w:t>全权代表大会（</w:t>
      </w:r>
      <w:r>
        <w:rPr>
          <w:lang w:eastAsia="zh-CN"/>
        </w:rPr>
        <w:t>1994</w:t>
      </w:r>
      <w:r>
        <w:rPr>
          <w:rFonts w:hint="eastAsia"/>
          <w:lang w:eastAsia="zh-CN"/>
        </w:rPr>
        <w:t>年，京都）通过的第</w:t>
      </w:r>
      <w:r>
        <w:rPr>
          <w:lang w:eastAsia="zh-CN"/>
        </w:rPr>
        <w:t>1</w:t>
      </w:r>
      <w:r>
        <w:rPr>
          <w:rFonts w:hint="eastAsia"/>
          <w:lang w:eastAsia="zh-CN"/>
        </w:rPr>
        <w:t>号决议认识到，有必要对国际电联的管理体系</w:t>
      </w:r>
      <w:r>
        <w:rPr>
          <w:lang w:eastAsia="zh-CN"/>
        </w:rPr>
        <w:t>（</w:t>
      </w:r>
      <w:r>
        <w:rPr>
          <w:rFonts w:hint="eastAsia"/>
          <w:lang w:eastAsia="zh-CN"/>
        </w:rPr>
        <w:t>包括其人力资源管理体系</w:t>
      </w:r>
      <w:r>
        <w:rPr>
          <w:lang w:eastAsia="zh-CN"/>
        </w:rPr>
        <w:t>）</w:t>
      </w:r>
      <w:r>
        <w:rPr>
          <w:rFonts w:hint="eastAsia"/>
          <w:lang w:eastAsia="zh-CN"/>
        </w:rPr>
        <w:t>进行调整；</w:t>
      </w:r>
    </w:p>
    <w:p w14:paraId="4827B123" w14:textId="77777777" w:rsidR="005354B3" w:rsidRDefault="005354B3" w:rsidP="00B64353">
      <w:pPr>
        <w:spacing w:line="320" w:lineRule="exact"/>
        <w:rPr>
          <w:lang w:eastAsia="zh-CN"/>
        </w:rPr>
      </w:pPr>
      <w:r w:rsidRPr="00104CF7">
        <w:rPr>
          <w:i/>
          <w:iCs/>
          <w:lang w:eastAsia="zh-CN"/>
        </w:rPr>
        <w:t>b</w:t>
      </w:r>
      <w:r w:rsidR="000E6A83" w:rsidRPr="00104CF7">
        <w:rPr>
          <w:i/>
          <w:iCs/>
          <w:lang w:eastAsia="zh-CN"/>
        </w:rPr>
        <w:t>)</w:t>
      </w:r>
      <w:r w:rsidR="000E6A83">
        <w:rPr>
          <w:lang w:eastAsia="zh-CN"/>
        </w:rPr>
        <w:tab/>
      </w:r>
      <w:r>
        <w:rPr>
          <w:rFonts w:hint="eastAsia"/>
          <w:lang w:eastAsia="zh-CN"/>
        </w:rPr>
        <w:t>在其</w:t>
      </w:r>
      <w:r>
        <w:rPr>
          <w:lang w:eastAsia="zh-CN"/>
        </w:rPr>
        <w:t>1996</w:t>
      </w:r>
      <w:r>
        <w:rPr>
          <w:rFonts w:hint="eastAsia"/>
          <w:lang w:eastAsia="zh-CN"/>
        </w:rPr>
        <w:t>年会议上通过的成立人力资源三方顾问组的第</w:t>
      </w:r>
      <w:r>
        <w:rPr>
          <w:lang w:eastAsia="zh-CN"/>
        </w:rPr>
        <w:t>1095</w:t>
      </w:r>
      <w:r>
        <w:rPr>
          <w:rFonts w:hint="eastAsia"/>
          <w:lang w:eastAsia="zh-CN"/>
        </w:rPr>
        <w:t>号决议，</w:t>
      </w:r>
    </w:p>
    <w:p w14:paraId="4827B124" w14:textId="77777777" w:rsidR="005354B3" w:rsidRDefault="005354B3" w:rsidP="00B64353">
      <w:pPr>
        <w:spacing w:line="320" w:lineRule="exact"/>
        <w:rPr>
          <w:lang w:eastAsia="zh-CN"/>
        </w:rPr>
      </w:pPr>
      <w:r>
        <w:rPr>
          <w:lang w:eastAsia="zh-CN"/>
        </w:rPr>
        <w:tab/>
      </w:r>
      <w:r>
        <w:rPr>
          <w:rFonts w:eastAsia="STKaiti" w:hint="eastAsia"/>
          <w:lang w:eastAsia="zh-CN"/>
        </w:rPr>
        <w:t>考虑到</w:t>
      </w:r>
      <w:r>
        <w:rPr>
          <w:rFonts w:hint="eastAsia"/>
          <w:lang w:eastAsia="zh-CN"/>
        </w:rPr>
        <w:t>联合国大会</w:t>
      </w:r>
      <w:r>
        <w:rPr>
          <w:lang w:eastAsia="zh-CN"/>
        </w:rPr>
        <w:t>1996</w:t>
      </w:r>
      <w:r>
        <w:rPr>
          <w:rFonts w:hint="eastAsia"/>
          <w:lang w:eastAsia="zh-CN"/>
        </w:rPr>
        <w:t>年第</w:t>
      </w:r>
      <w:r>
        <w:rPr>
          <w:lang w:eastAsia="zh-CN"/>
        </w:rPr>
        <w:t>51</w:t>
      </w:r>
      <w:r>
        <w:rPr>
          <w:rFonts w:hint="eastAsia"/>
          <w:lang w:eastAsia="zh-CN"/>
        </w:rPr>
        <w:t>届会议上通过的第</w:t>
      </w:r>
      <w:r>
        <w:rPr>
          <w:lang w:eastAsia="zh-CN"/>
        </w:rPr>
        <w:t>51/216</w:t>
      </w:r>
      <w:r>
        <w:rPr>
          <w:rFonts w:hint="eastAsia"/>
          <w:lang w:eastAsia="zh-CN"/>
        </w:rPr>
        <w:t>号决议（联合国共同制度），特别是其中的</w:t>
      </w:r>
      <w:r>
        <w:rPr>
          <w:lang w:eastAsia="zh-CN"/>
        </w:rPr>
        <w:t>C.7</w:t>
      </w:r>
      <w:r>
        <w:rPr>
          <w:rFonts w:hint="eastAsia"/>
          <w:lang w:eastAsia="zh-CN"/>
        </w:rPr>
        <w:t>节，</w:t>
      </w:r>
    </w:p>
    <w:p w14:paraId="4827B125" w14:textId="77777777" w:rsidR="005354B3" w:rsidRDefault="005354B3" w:rsidP="00B64353">
      <w:pPr>
        <w:spacing w:line="320" w:lineRule="exact"/>
        <w:rPr>
          <w:lang w:eastAsia="zh-CN"/>
        </w:rPr>
      </w:pPr>
      <w:r>
        <w:rPr>
          <w:lang w:eastAsia="zh-CN"/>
        </w:rPr>
        <w:tab/>
      </w:r>
      <w:r w:rsidRPr="003339C1">
        <w:rPr>
          <w:rFonts w:eastAsia="STKaiti" w:hint="eastAsia"/>
          <w:iCs/>
          <w:szCs w:val="22"/>
          <w:lang w:eastAsia="zh-CN"/>
        </w:rPr>
        <w:t>经审议</w:t>
      </w:r>
      <w:r w:rsidR="005F65E0">
        <w:rPr>
          <w:lang w:eastAsia="zh-CN"/>
        </w:rPr>
        <w:t>C97/45</w:t>
      </w:r>
      <w:r>
        <w:rPr>
          <w:rFonts w:hint="eastAsia"/>
          <w:lang w:eastAsia="zh-CN"/>
        </w:rPr>
        <w:t>号文件中的人力资源管理三方顾问组的报告，</w:t>
      </w:r>
    </w:p>
    <w:p w14:paraId="4827B126" w14:textId="77777777" w:rsidR="005354B3" w:rsidRPr="005F65E0" w:rsidRDefault="005354B3" w:rsidP="00B64353">
      <w:pPr>
        <w:pStyle w:val="call0"/>
        <w:rPr>
          <w:rFonts w:ascii="STKaiti" w:hAnsi="STKaiti"/>
          <w:i/>
          <w:iCs/>
          <w:szCs w:val="22"/>
          <w:lang w:eastAsia="zh-CN"/>
        </w:rPr>
      </w:pPr>
      <w:r w:rsidRPr="005F65E0">
        <w:rPr>
          <w:rFonts w:ascii="STKaiti" w:hAnsi="STKaiti" w:hint="eastAsia"/>
          <w:iCs/>
          <w:szCs w:val="22"/>
          <w:lang w:eastAsia="zh-CN"/>
        </w:rPr>
        <w:t>做出决议</w:t>
      </w:r>
    </w:p>
    <w:p w14:paraId="4827B127" w14:textId="77777777" w:rsidR="005354B3" w:rsidRDefault="005354B3" w:rsidP="00B64353">
      <w:pPr>
        <w:spacing w:line="320" w:lineRule="exact"/>
        <w:rPr>
          <w:lang w:eastAsia="zh-CN"/>
        </w:rPr>
      </w:pPr>
      <w:r w:rsidRPr="002D08A8">
        <w:rPr>
          <w:b/>
          <w:lang w:eastAsia="zh-CN"/>
        </w:rPr>
        <w:t>1</w:t>
      </w:r>
      <w:r>
        <w:rPr>
          <w:lang w:eastAsia="zh-CN"/>
        </w:rPr>
        <w:tab/>
        <w:t>a</w:t>
      </w:r>
      <w:r w:rsidR="000E6A83">
        <w:rPr>
          <w:lang w:eastAsia="zh-CN"/>
        </w:rPr>
        <w:t>)</w:t>
      </w:r>
      <w:r w:rsidR="000E6A83">
        <w:rPr>
          <w:lang w:eastAsia="zh-CN"/>
        </w:rPr>
        <w:tab/>
      </w:r>
      <w:r>
        <w:rPr>
          <w:rFonts w:hint="eastAsia"/>
          <w:lang w:eastAsia="zh-CN"/>
        </w:rPr>
        <w:t>实行一种荣誉奖励制度，奖励人数有限的职员，以体现对他们在某个年度做出的优秀业绩或具体成就的承认；</w:t>
      </w:r>
    </w:p>
    <w:p w14:paraId="4827B128" w14:textId="77777777" w:rsidR="005354B3" w:rsidRDefault="005354B3" w:rsidP="00B64353">
      <w:pPr>
        <w:widowControl w:val="0"/>
        <w:tabs>
          <w:tab w:val="clear" w:pos="794"/>
          <w:tab w:val="clear" w:pos="1191"/>
          <w:tab w:val="clear" w:pos="1588"/>
          <w:tab w:val="clear" w:pos="1985"/>
          <w:tab w:val="left" w:pos="-28"/>
          <w:tab w:val="left" w:pos="1276"/>
        </w:tabs>
        <w:spacing w:line="320" w:lineRule="exact"/>
        <w:ind w:left="-42" w:firstLine="893"/>
        <w:textAlignment w:val="auto"/>
        <w:rPr>
          <w:lang w:eastAsia="zh-CN"/>
        </w:rPr>
      </w:pPr>
      <w:r>
        <w:rPr>
          <w:lang w:eastAsia="zh-CN"/>
        </w:rPr>
        <w:t>b</w:t>
      </w:r>
      <w:r w:rsidR="000E6A83">
        <w:rPr>
          <w:lang w:eastAsia="zh-CN"/>
        </w:rPr>
        <w:t>)</w:t>
      </w:r>
      <w:r w:rsidR="000E6A83">
        <w:rPr>
          <w:lang w:eastAsia="zh-CN"/>
        </w:rPr>
        <w:tab/>
      </w:r>
      <w:r>
        <w:rPr>
          <w:rFonts w:hint="eastAsia"/>
          <w:lang w:eastAsia="zh-CN"/>
        </w:rPr>
        <w:t>该制度应根据三方顾问组提议、并在其报告（</w:t>
      </w:r>
      <w:r>
        <w:rPr>
          <w:lang w:eastAsia="zh-CN"/>
        </w:rPr>
        <w:t>C97/45</w:t>
      </w:r>
      <w:r>
        <w:rPr>
          <w:rFonts w:hint="eastAsia"/>
          <w:lang w:eastAsia="zh-CN"/>
        </w:rPr>
        <w:t>号文件附件</w:t>
      </w:r>
      <w:r>
        <w:rPr>
          <w:lang w:eastAsia="zh-CN"/>
        </w:rPr>
        <w:t>2</w:t>
      </w:r>
      <w:r>
        <w:rPr>
          <w:rFonts w:hint="eastAsia"/>
          <w:lang w:eastAsia="zh-CN"/>
        </w:rPr>
        <w:t>）中描述的标准和程序实施；</w:t>
      </w:r>
    </w:p>
    <w:p w14:paraId="4827B129" w14:textId="77777777" w:rsidR="005354B3" w:rsidRDefault="005354B3" w:rsidP="00B64353">
      <w:pPr>
        <w:tabs>
          <w:tab w:val="clear" w:pos="794"/>
          <w:tab w:val="clear" w:pos="1191"/>
          <w:tab w:val="left" w:pos="851"/>
          <w:tab w:val="left" w:pos="1288"/>
        </w:tabs>
        <w:spacing w:line="320" w:lineRule="exact"/>
        <w:rPr>
          <w:lang w:eastAsia="zh-CN"/>
        </w:rPr>
      </w:pPr>
      <w:r>
        <w:rPr>
          <w:lang w:eastAsia="zh-CN"/>
        </w:rPr>
        <w:tab/>
        <w:t>c</w:t>
      </w:r>
      <w:r w:rsidR="000E6A83">
        <w:rPr>
          <w:lang w:eastAsia="zh-CN"/>
        </w:rPr>
        <w:t>)</w:t>
      </w:r>
      <w:r w:rsidR="000E6A83">
        <w:rPr>
          <w:lang w:eastAsia="zh-CN"/>
        </w:rPr>
        <w:tab/>
      </w:r>
      <w:r>
        <w:rPr>
          <w:rFonts w:hint="eastAsia"/>
          <w:lang w:eastAsia="zh-CN"/>
        </w:rPr>
        <w:t>获奖的职员人数不应超过各职类</w:t>
      </w:r>
      <w:r>
        <w:rPr>
          <w:rFonts w:hint="eastAsia"/>
          <w:lang w:eastAsia="zh-CN"/>
        </w:rPr>
        <w:t xml:space="preserve"> </w:t>
      </w:r>
      <w:r>
        <w:rPr>
          <w:rFonts w:hint="eastAsia"/>
          <w:lang w:eastAsia="zh-CN"/>
        </w:rPr>
        <w:t>（即，</w:t>
      </w:r>
      <w:r w:rsidR="00BF47AA">
        <w:rPr>
          <w:rFonts w:hint="eastAsia"/>
          <w:lang w:eastAsia="zh-CN"/>
        </w:rPr>
        <w:t>专业及专业以上职类</w:t>
      </w:r>
      <w:r>
        <w:rPr>
          <w:rFonts w:hint="eastAsia"/>
          <w:lang w:eastAsia="zh-CN"/>
        </w:rPr>
        <w:t>和一般事务职类）委任职员总数的</w:t>
      </w:r>
      <w:r>
        <w:rPr>
          <w:lang w:eastAsia="zh-CN"/>
        </w:rPr>
        <w:t>5%</w:t>
      </w:r>
      <w:r>
        <w:rPr>
          <w:rFonts w:hint="eastAsia"/>
          <w:lang w:eastAsia="zh-CN"/>
        </w:rPr>
        <w:t>；</w:t>
      </w:r>
    </w:p>
    <w:p w14:paraId="4827B12A" w14:textId="77777777" w:rsidR="005354B3" w:rsidRDefault="005354B3" w:rsidP="00B64353">
      <w:pPr>
        <w:tabs>
          <w:tab w:val="clear" w:pos="794"/>
          <w:tab w:val="clear" w:pos="1191"/>
          <w:tab w:val="left" w:pos="840"/>
          <w:tab w:val="left" w:pos="1302"/>
        </w:tabs>
        <w:spacing w:line="320" w:lineRule="exact"/>
        <w:rPr>
          <w:lang w:eastAsia="zh-CN"/>
        </w:rPr>
      </w:pPr>
      <w:r>
        <w:rPr>
          <w:lang w:eastAsia="zh-CN"/>
        </w:rPr>
        <w:tab/>
        <w:t>d</w:t>
      </w:r>
      <w:r w:rsidR="000E6A83">
        <w:rPr>
          <w:lang w:eastAsia="zh-CN"/>
        </w:rPr>
        <w:t>)</w:t>
      </w:r>
      <w:r w:rsidR="000E6A83">
        <w:rPr>
          <w:lang w:eastAsia="zh-CN"/>
        </w:rPr>
        <w:tab/>
      </w:r>
      <w:r>
        <w:rPr>
          <w:rFonts w:hint="eastAsia"/>
          <w:lang w:eastAsia="zh-CN"/>
        </w:rPr>
        <w:t>试行两年荣誉奖励制度；</w:t>
      </w:r>
    </w:p>
    <w:p w14:paraId="4827B12B" w14:textId="77777777" w:rsidR="005354B3" w:rsidRDefault="005354B3" w:rsidP="00B64353">
      <w:pPr>
        <w:tabs>
          <w:tab w:val="clear" w:pos="794"/>
          <w:tab w:val="clear" w:pos="1191"/>
          <w:tab w:val="left" w:pos="840"/>
          <w:tab w:val="left" w:pos="1302"/>
        </w:tabs>
        <w:spacing w:line="320" w:lineRule="exact"/>
        <w:rPr>
          <w:lang w:eastAsia="zh-CN"/>
        </w:rPr>
      </w:pPr>
      <w:r w:rsidRPr="002D08A8">
        <w:rPr>
          <w:b/>
          <w:bCs/>
          <w:lang w:eastAsia="zh-CN"/>
        </w:rPr>
        <w:t>2</w:t>
      </w:r>
      <w:r>
        <w:rPr>
          <w:lang w:eastAsia="zh-CN"/>
        </w:rPr>
        <w:tab/>
        <w:t>a</w:t>
      </w:r>
      <w:r w:rsidR="000E6A83">
        <w:rPr>
          <w:lang w:eastAsia="zh-CN"/>
        </w:rPr>
        <w:t>)</w:t>
      </w:r>
      <w:r w:rsidR="000E6A83">
        <w:rPr>
          <w:lang w:eastAsia="zh-CN"/>
        </w:rPr>
        <w:tab/>
      </w:r>
      <w:r>
        <w:rPr>
          <w:rFonts w:hint="eastAsia"/>
          <w:lang w:eastAsia="zh-CN"/>
        </w:rPr>
        <w:t>实行一种个人晋升制度，以鼓励那些从事职业发展机会有限</w:t>
      </w:r>
      <w:r w:rsidR="00BF47AA">
        <w:rPr>
          <w:rFonts w:hint="eastAsia"/>
          <w:lang w:eastAsia="zh-CN"/>
        </w:rPr>
        <w:t>的</w:t>
      </w:r>
      <w:r>
        <w:rPr>
          <w:rFonts w:hint="eastAsia"/>
          <w:lang w:eastAsia="zh-CN"/>
        </w:rPr>
        <w:t>工种工作的职员有可能享受与晋升机会更多的职员同等的待遇；</w:t>
      </w:r>
    </w:p>
    <w:p w14:paraId="4827B12C" w14:textId="77777777" w:rsidR="005354B3" w:rsidRDefault="005354B3" w:rsidP="00B64353">
      <w:pPr>
        <w:tabs>
          <w:tab w:val="clear" w:pos="794"/>
          <w:tab w:val="clear" w:pos="1191"/>
          <w:tab w:val="left" w:pos="840"/>
          <w:tab w:val="left" w:pos="1302"/>
        </w:tabs>
        <w:spacing w:line="320" w:lineRule="exact"/>
        <w:rPr>
          <w:lang w:eastAsia="zh-CN"/>
        </w:rPr>
      </w:pPr>
      <w:r>
        <w:rPr>
          <w:lang w:eastAsia="zh-CN"/>
        </w:rPr>
        <w:tab/>
        <w:t>b</w:t>
      </w:r>
      <w:r w:rsidR="000E6A83">
        <w:rPr>
          <w:lang w:eastAsia="zh-CN"/>
        </w:rPr>
        <w:t>)</w:t>
      </w:r>
      <w:r w:rsidR="000E6A83">
        <w:rPr>
          <w:lang w:eastAsia="zh-CN"/>
        </w:rPr>
        <w:tab/>
      </w:r>
      <w:r>
        <w:rPr>
          <w:rFonts w:hint="eastAsia"/>
          <w:lang w:eastAsia="zh-CN"/>
        </w:rPr>
        <w:t>该计划应根据在三方顾问组提议、并在其报告（</w:t>
      </w:r>
      <w:r>
        <w:rPr>
          <w:rFonts w:hint="eastAsia"/>
          <w:lang w:eastAsia="zh-CN"/>
        </w:rPr>
        <w:t>C</w:t>
      </w:r>
      <w:r>
        <w:rPr>
          <w:lang w:eastAsia="zh-CN"/>
        </w:rPr>
        <w:t>97/45</w:t>
      </w:r>
      <w:r>
        <w:rPr>
          <w:rFonts w:hint="eastAsia"/>
          <w:lang w:eastAsia="zh-CN"/>
        </w:rPr>
        <w:t>号文件附件</w:t>
      </w:r>
      <w:r>
        <w:rPr>
          <w:lang w:eastAsia="zh-CN"/>
        </w:rPr>
        <w:t>3</w:t>
      </w:r>
      <w:r>
        <w:rPr>
          <w:rFonts w:hint="eastAsia"/>
          <w:lang w:eastAsia="zh-CN"/>
        </w:rPr>
        <w:t>）中描述的标准和程序实施；</w:t>
      </w:r>
    </w:p>
    <w:p w14:paraId="4827B12D" w14:textId="77777777" w:rsidR="005354B3" w:rsidRDefault="005354B3" w:rsidP="00B64353">
      <w:pPr>
        <w:tabs>
          <w:tab w:val="clear" w:pos="794"/>
          <w:tab w:val="clear" w:pos="1191"/>
          <w:tab w:val="left" w:pos="840"/>
          <w:tab w:val="left" w:pos="1302"/>
        </w:tabs>
        <w:spacing w:line="320" w:lineRule="exact"/>
        <w:rPr>
          <w:lang w:eastAsia="zh-CN"/>
        </w:rPr>
      </w:pPr>
      <w:r>
        <w:rPr>
          <w:lang w:eastAsia="zh-CN"/>
        </w:rPr>
        <w:tab/>
        <w:t>c</w:t>
      </w:r>
      <w:r w:rsidR="000E6A83">
        <w:rPr>
          <w:lang w:eastAsia="zh-CN"/>
        </w:rPr>
        <w:t>)</w:t>
      </w:r>
      <w:r w:rsidR="000E6A83">
        <w:rPr>
          <w:lang w:eastAsia="zh-CN"/>
        </w:rPr>
        <w:tab/>
      </w:r>
      <w:r>
        <w:rPr>
          <w:rFonts w:hint="eastAsia"/>
          <w:lang w:eastAsia="zh-CN"/>
        </w:rPr>
        <w:t>获个人晋升的职员人数不应超过职位总数的</w:t>
      </w:r>
      <w:r>
        <w:rPr>
          <w:lang w:eastAsia="zh-CN"/>
        </w:rPr>
        <w:t>5%</w:t>
      </w:r>
      <w:r>
        <w:rPr>
          <w:rFonts w:hint="eastAsia"/>
          <w:lang w:eastAsia="zh-CN"/>
        </w:rPr>
        <w:t>；</w:t>
      </w:r>
    </w:p>
    <w:p w14:paraId="4827B12E" w14:textId="77777777" w:rsidR="005354B3" w:rsidRDefault="005354B3" w:rsidP="00B64353">
      <w:pPr>
        <w:tabs>
          <w:tab w:val="clear" w:pos="794"/>
          <w:tab w:val="clear" w:pos="1191"/>
          <w:tab w:val="left" w:pos="840"/>
          <w:tab w:val="left" w:pos="1302"/>
        </w:tabs>
        <w:spacing w:line="320" w:lineRule="exact"/>
        <w:rPr>
          <w:lang w:eastAsia="zh-CN"/>
        </w:rPr>
      </w:pPr>
      <w:r>
        <w:rPr>
          <w:lang w:eastAsia="zh-CN"/>
        </w:rPr>
        <w:tab/>
        <w:t>d</w:t>
      </w:r>
      <w:r w:rsidR="000E6A83">
        <w:rPr>
          <w:lang w:eastAsia="zh-CN"/>
        </w:rPr>
        <w:t>)</w:t>
      </w:r>
      <w:r w:rsidR="000E6A83">
        <w:rPr>
          <w:lang w:eastAsia="zh-CN"/>
        </w:rPr>
        <w:tab/>
      </w:r>
      <w:r>
        <w:rPr>
          <w:rFonts w:hint="eastAsia"/>
          <w:lang w:eastAsia="zh-CN"/>
        </w:rPr>
        <w:t>所确定和实施的个人晋升标准应在实施一段时间后予以重新审议，并在必要时进行修改，以便使其更符合实际情况，</w:t>
      </w:r>
    </w:p>
    <w:p w14:paraId="4827B12F" w14:textId="77777777" w:rsidR="00933CC3" w:rsidRDefault="00933CC3">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szCs w:val="22"/>
          <w:lang w:eastAsia="zh-CN"/>
        </w:rPr>
      </w:pPr>
      <w:r>
        <w:rPr>
          <w:rFonts w:ascii="STKaiti" w:hAnsi="STKaiti"/>
          <w:iCs/>
          <w:szCs w:val="22"/>
          <w:lang w:eastAsia="zh-CN"/>
        </w:rPr>
        <w:br w:type="page"/>
      </w:r>
    </w:p>
    <w:p w14:paraId="4827B130" w14:textId="77777777" w:rsidR="005354B3" w:rsidRPr="005F65E0" w:rsidRDefault="005354B3" w:rsidP="00B64353">
      <w:pPr>
        <w:pStyle w:val="call0"/>
        <w:rPr>
          <w:rFonts w:ascii="STKaiti" w:hAnsi="STKaiti"/>
          <w:i/>
          <w:iCs/>
          <w:szCs w:val="22"/>
          <w:lang w:eastAsia="zh-CN"/>
        </w:rPr>
      </w:pPr>
      <w:r w:rsidRPr="005F65E0">
        <w:rPr>
          <w:rFonts w:ascii="STKaiti" w:hAnsi="STKaiti" w:hint="eastAsia"/>
          <w:iCs/>
          <w:szCs w:val="22"/>
          <w:lang w:eastAsia="zh-CN"/>
        </w:rPr>
        <w:lastRenderedPageBreak/>
        <w:t>进一步做出决议</w:t>
      </w:r>
    </w:p>
    <w:p w14:paraId="4827B131" w14:textId="77777777" w:rsidR="005354B3" w:rsidRDefault="005354B3" w:rsidP="00104CF7">
      <w:pPr>
        <w:ind w:firstLineChars="200" w:firstLine="480"/>
        <w:rPr>
          <w:lang w:val="en-US" w:eastAsia="zh-CN"/>
        </w:rPr>
      </w:pPr>
      <w:r>
        <w:rPr>
          <w:rFonts w:hint="eastAsia"/>
          <w:lang w:eastAsia="zh-CN"/>
        </w:rPr>
        <w:t>为给下届全权代表大会做好准备，人力资源管理三方顾问组应在理事会</w:t>
      </w:r>
      <w:r>
        <w:rPr>
          <w:rFonts w:hint="eastAsia"/>
          <w:lang w:eastAsia="zh-CN"/>
        </w:rPr>
        <w:t>1998</w:t>
      </w:r>
      <w:r>
        <w:rPr>
          <w:rFonts w:hint="eastAsia"/>
          <w:lang w:eastAsia="zh-CN"/>
        </w:rPr>
        <w:t>年会议之前继续开展工作，包括召开一次会议，会议的职责范围与第</w:t>
      </w:r>
      <w:r>
        <w:rPr>
          <w:lang w:eastAsia="zh-CN"/>
        </w:rPr>
        <w:t>1095</w:t>
      </w:r>
      <w:r>
        <w:rPr>
          <w:rFonts w:hint="eastAsia"/>
          <w:lang w:eastAsia="zh-CN"/>
        </w:rPr>
        <w:t>号决议中规定的相同，并采用同样的程序，</w:t>
      </w:r>
    </w:p>
    <w:p w14:paraId="4827B132" w14:textId="77777777" w:rsidR="005354B3" w:rsidRPr="00364022" w:rsidRDefault="005354B3" w:rsidP="00364022">
      <w:pPr>
        <w:pStyle w:val="Call"/>
        <w:rPr>
          <w:lang w:eastAsia="zh-CN"/>
        </w:rPr>
      </w:pPr>
      <w:r w:rsidRPr="005F65E0">
        <w:rPr>
          <w:rFonts w:ascii="STKaiti" w:hAnsi="STKaiti" w:hint="eastAsia"/>
          <w:iCs/>
          <w:szCs w:val="22"/>
          <w:lang w:eastAsia="zh-CN"/>
        </w:rPr>
        <w:t>责成</w:t>
      </w:r>
      <w:r w:rsidRPr="00364022">
        <w:rPr>
          <w:rFonts w:hint="eastAsia"/>
          <w:lang w:eastAsia="zh-CN"/>
        </w:rPr>
        <w:t>秘书长</w:t>
      </w:r>
    </w:p>
    <w:p w14:paraId="4827B133" w14:textId="77777777" w:rsidR="005354B3" w:rsidRDefault="005354B3" w:rsidP="00B64353">
      <w:pPr>
        <w:spacing w:line="320" w:lineRule="exact"/>
        <w:rPr>
          <w:lang w:eastAsia="zh-CN"/>
        </w:rPr>
      </w:pPr>
      <w:r>
        <w:rPr>
          <w:bCs/>
          <w:lang w:eastAsia="zh-CN"/>
        </w:rPr>
        <w:t>1</w:t>
      </w:r>
      <w:r>
        <w:rPr>
          <w:bCs/>
          <w:lang w:eastAsia="zh-CN"/>
        </w:rPr>
        <w:tab/>
      </w:r>
      <w:r>
        <w:rPr>
          <w:rFonts w:hint="eastAsia"/>
          <w:lang w:eastAsia="zh-CN"/>
        </w:rPr>
        <w:t>根据本决议中所规定的条件实行荣誉奖励制度和个人晋升制度；</w:t>
      </w:r>
    </w:p>
    <w:p w14:paraId="4827B134" w14:textId="77777777" w:rsidR="005354B3" w:rsidRDefault="005354B3" w:rsidP="00364022">
      <w:pPr>
        <w:rPr>
          <w:lang w:eastAsia="zh-CN"/>
        </w:rPr>
      </w:pPr>
      <w:r>
        <w:rPr>
          <w:bCs/>
          <w:lang w:eastAsia="zh-CN"/>
        </w:rPr>
        <w:t>2</w:t>
      </w:r>
      <w:r>
        <w:rPr>
          <w:bCs/>
          <w:lang w:eastAsia="zh-CN"/>
        </w:rPr>
        <w:tab/>
      </w:r>
      <w:r>
        <w:rPr>
          <w:rFonts w:hint="eastAsia"/>
          <w:lang w:eastAsia="zh-CN"/>
        </w:rPr>
        <w:t>研究因实行这些制度而可能导致的对现行《人事规则和人事细则》的必要修正，并在必要时起草对规则的建议修正案，提交理事会下届会议审议；</w:t>
      </w:r>
    </w:p>
    <w:p w14:paraId="4827B135" w14:textId="77777777" w:rsidR="00BF47AA" w:rsidRDefault="005354B3" w:rsidP="00364022">
      <w:pPr>
        <w:rPr>
          <w:lang w:eastAsia="zh-CN"/>
        </w:rPr>
      </w:pPr>
      <w:r>
        <w:rPr>
          <w:bCs/>
          <w:lang w:eastAsia="zh-CN"/>
        </w:rPr>
        <w:t>3</w:t>
      </w:r>
      <w:r>
        <w:rPr>
          <w:bCs/>
          <w:lang w:eastAsia="zh-CN"/>
        </w:rPr>
        <w:tab/>
      </w:r>
      <w:r>
        <w:rPr>
          <w:rFonts w:hint="eastAsia"/>
          <w:lang w:eastAsia="zh-CN"/>
        </w:rPr>
        <w:t>向理事会每一届会议汇报有关荣誉奖励制度和个人晋升制度的实行情况；</w:t>
      </w:r>
    </w:p>
    <w:p w14:paraId="4827B136" w14:textId="77777777" w:rsidR="005354B3" w:rsidRDefault="005354B3" w:rsidP="00364022">
      <w:pPr>
        <w:rPr>
          <w:lang w:eastAsia="zh-CN"/>
        </w:rPr>
      </w:pPr>
      <w:r>
        <w:rPr>
          <w:bCs/>
          <w:lang w:eastAsia="zh-CN"/>
        </w:rPr>
        <w:t>4</w:t>
      </w:r>
      <w:r>
        <w:rPr>
          <w:bCs/>
          <w:lang w:eastAsia="zh-CN"/>
        </w:rPr>
        <w:tab/>
      </w:r>
      <w:r>
        <w:rPr>
          <w:rFonts w:hint="eastAsia"/>
          <w:lang w:eastAsia="zh-CN"/>
        </w:rPr>
        <w:t>向理事会通报联合国大会第</w:t>
      </w:r>
      <w:r>
        <w:rPr>
          <w:lang w:eastAsia="zh-CN"/>
        </w:rPr>
        <w:t>51/216</w:t>
      </w:r>
      <w:r>
        <w:rPr>
          <w:rFonts w:hint="eastAsia"/>
          <w:lang w:eastAsia="zh-CN"/>
        </w:rPr>
        <w:t>号决议所提及的国际电联与共同制度内其他机构进行的协调情况；</w:t>
      </w:r>
    </w:p>
    <w:p w14:paraId="4827B137" w14:textId="77777777" w:rsidR="005354B3" w:rsidRDefault="005354B3" w:rsidP="00364022">
      <w:pPr>
        <w:rPr>
          <w:lang w:eastAsia="zh-CN"/>
        </w:rPr>
      </w:pPr>
      <w:r>
        <w:rPr>
          <w:bCs/>
          <w:lang w:eastAsia="zh-CN"/>
        </w:rPr>
        <w:t>5</w:t>
      </w:r>
      <w:r>
        <w:rPr>
          <w:bCs/>
          <w:lang w:eastAsia="zh-CN"/>
        </w:rPr>
        <w:tab/>
      </w:r>
      <w:r>
        <w:rPr>
          <w:rFonts w:hint="eastAsia"/>
          <w:lang w:eastAsia="zh-CN"/>
        </w:rPr>
        <w:t>在资金允许的情况下，继续向</w:t>
      </w:r>
      <w:r>
        <w:rPr>
          <w:rFonts w:hint="eastAsia"/>
          <w:bCs/>
          <w:lang w:eastAsia="zh-CN"/>
        </w:rPr>
        <w:t>三方顾问组</w:t>
      </w:r>
      <w:r>
        <w:rPr>
          <w:rFonts w:hint="eastAsia"/>
          <w:lang w:eastAsia="zh-CN"/>
        </w:rPr>
        <w:t>的工作提供支持。</w:t>
      </w:r>
    </w:p>
    <w:p w14:paraId="4827B138" w14:textId="77777777" w:rsidR="00104CF7" w:rsidRPr="00FB432E" w:rsidRDefault="005354B3" w:rsidP="00104CF7">
      <w:pPr>
        <w:pStyle w:val="Endtext"/>
        <w:rPr>
          <w:lang w:val="fr-FR" w:eastAsia="zh-CN"/>
        </w:rPr>
      </w:pPr>
      <w:r>
        <w:rPr>
          <w:rFonts w:hint="eastAsia"/>
          <w:lang w:eastAsia="zh-CN"/>
        </w:rPr>
        <w:t>参阅</w:t>
      </w:r>
      <w:r w:rsidRPr="00A52D31">
        <w:rPr>
          <w:rFonts w:ascii="STKaiti" w:hAnsi="STKaiti" w:hint="eastAsia"/>
          <w:lang w:eastAsia="zh-CN"/>
        </w:rPr>
        <w:t>：</w:t>
      </w:r>
      <w:r>
        <w:rPr>
          <w:lang w:eastAsia="zh-CN"/>
        </w:rPr>
        <w:tab/>
        <w:t>C96/114</w:t>
      </w:r>
      <w:r>
        <w:rPr>
          <w:rFonts w:hint="eastAsia"/>
          <w:lang w:eastAsia="zh-CN"/>
        </w:rPr>
        <w:t>、</w:t>
      </w:r>
      <w:r>
        <w:rPr>
          <w:lang w:eastAsia="zh-CN"/>
        </w:rPr>
        <w:t>C96/123</w:t>
      </w:r>
      <w:r>
        <w:rPr>
          <w:rFonts w:hint="eastAsia"/>
          <w:lang w:eastAsia="zh-CN"/>
        </w:rPr>
        <w:t>、</w:t>
      </w:r>
      <w:hyperlink r:id="rId188" w:history="1">
        <w:r w:rsidR="00104CF7" w:rsidRPr="00B64CA6">
          <w:rPr>
            <w:rStyle w:val="Hyperlink"/>
            <w:lang w:val="fr-FR" w:eastAsia="zh-CN"/>
          </w:rPr>
          <w:t>C2001/113</w:t>
        </w:r>
      </w:hyperlink>
      <w:r w:rsidR="00104CF7">
        <w:rPr>
          <w:rFonts w:hint="eastAsia"/>
          <w:lang w:val="fr-FR" w:eastAsia="zh-CN"/>
        </w:rPr>
        <w:t>和</w:t>
      </w:r>
      <w:hyperlink r:id="rId189" w:history="1">
        <w:r w:rsidR="00104CF7" w:rsidRPr="00B64CA6">
          <w:rPr>
            <w:rStyle w:val="Hyperlink"/>
            <w:lang w:val="fr-FR" w:eastAsia="zh-CN"/>
          </w:rPr>
          <w:t>C2001/130</w:t>
        </w:r>
      </w:hyperlink>
      <w:r w:rsidR="00104CF7">
        <w:rPr>
          <w:rFonts w:hint="eastAsia"/>
          <w:lang w:val="fr-FR" w:eastAsia="zh-CN"/>
        </w:rPr>
        <w:t>号</w:t>
      </w:r>
      <w:r w:rsidR="00104CF7">
        <w:rPr>
          <w:lang w:val="fr-FR" w:eastAsia="zh-CN"/>
        </w:rPr>
        <w:t>文件。</w:t>
      </w:r>
    </w:p>
    <w:p w14:paraId="4827B139" w14:textId="77777777" w:rsidR="00E07F98" w:rsidRDefault="00E07F98" w:rsidP="00E07F98">
      <w:pPr>
        <w:jc w:val="center"/>
        <w:rPr>
          <w:lang w:eastAsia="zh-CN"/>
        </w:rPr>
      </w:pPr>
      <w:bookmarkStart w:id="1091" w:name="_Toc424116974"/>
      <w:bookmarkStart w:id="1092" w:name="_Toc531706319"/>
      <w:bookmarkStart w:id="1093" w:name="_Toc531706918"/>
      <w:bookmarkStart w:id="1094" w:name="_Toc531768408"/>
      <w:bookmarkStart w:id="1095" w:name="_Toc161224017"/>
      <w:bookmarkStart w:id="1096" w:name="_Toc161732063"/>
      <w:bookmarkStart w:id="1097" w:name="_Toc161740990"/>
      <w:bookmarkStart w:id="1098" w:name="_Toc185237662"/>
      <w:bookmarkStart w:id="1099" w:name="_Toc311469577"/>
      <w:r>
        <w:rPr>
          <w:lang w:eastAsia="zh-CN"/>
        </w:rPr>
        <w:t>______________</w:t>
      </w:r>
    </w:p>
    <w:p w14:paraId="4827B13A" w14:textId="77777777" w:rsidR="00104CF7" w:rsidRPr="00104CF7" w:rsidRDefault="005354B3" w:rsidP="00A75FB5">
      <w:pPr>
        <w:pStyle w:val="ResNo"/>
        <w:outlineLvl w:val="0"/>
        <w:rPr>
          <w:lang w:eastAsia="zh-CN"/>
        </w:rPr>
      </w:pPr>
      <w:bookmarkStart w:id="1100" w:name="_Toc16085727"/>
      <w:bookmarkStart w:id="1101" w:name="_Toc86395531"/>
      <w:r w:rsidRPr="00104CF7">
        <w:rPr>
          <w:rFonts w:hint="eastAsia"/>
          <w:lang w:eastAsia="zh-CN"/>
        </w:rPr>
        <w:t>第</w:t>
      </w:r>
      <w:r w:rsidRPr="00104CF7">
        <w:rPr>
          <w:lang w:eastAsia="zh-CN"/>
        </w:rPr>
        <w:t>1107</w:t>
      </w:r>
      <w:r w:rsidRPr="00104CF7">
        <w:rPr>
          <w:rFonts w:hint="eastAsia"/>
          <w:lang w:eastAsia="zh-CN"/>
        </w:rPr>
        <w:t>号决议</w:t>
      </w:r>
      <w:r w:rsidR="00104CF7" w:rsidRPr="00104CF7">
        <w:rPr>
          <w:rFonts w:hint="eastAsia"/>
          <w:lang w:eastAsia="zh-CN"/>
        </w:rPr>
        <w:t>（</w:t>
      </w:r>
      <w:r w:rsidR="00104CF7" w:rsidRPr="00104CF7">
        <w:rPr>
          <w:lang w:eastAsia="zh-CN"/>
        </w:rPr>
        <w:t>C-1997</w:t>
      </w:r>
      <w:r w:rsidR="00104CF7">
        <w:rPr>
          <w:rFonts w:hint="eastAsia"/>
          <w:lang w:eastAsia="zh-CN"/>
        </w:rPr>
        <w:t>）</w:t>
      </w:r>
      <w:bookmarkEnd w:id="1091"/>
      <w:bookmarkEnd w:id="1092"/>
      <w:bookmarkEnd w:id="1093"/>
      <w:bookmarkEnd w:id="1094"/>
      <w:bookmarkEnd w:id="1100"/>
      <w:bookmarkEnd w:id="1101"/>
    </w:p>
    <w:p w14:paraId="4827B13B" w14:textId="77777777" w:rsidR="005354B3" w:rsidRPr="00104CF7" w:rsidRDefault="005354B3" w:rsidP="00104CF7">
      <w:pPr>
        <w:pStyle w:val="Restitle"/>
        <w:rPr>
          <w:lang w:eastAsia="zh-CN"/>
        </w:rPr>
      </w:pPr>
      <w:bookmarkStart w:id="1102" w:name="_Toc424116215"/>
      <w:bookmarkStart w:id="1103" w:name="_Toc424116975"/>
      <w:bookmarkStart w:id="1104" w:name="_Toc460248084"/>
      <w:bookmarkStart w:id="1105" w:name="_Toc531706320"/>
      <w:bookmarkStart w:id="1106" w:name="_Toc531706919"/>
      <w:bookmarkStart w:id="1107" w:name="_Toc531768409"/>
      <w:bookmarkStart w:id="1108" w:name="_Toc16085728"/>
      <w:bookmarkStart w:id="1109" w:name="_Toc86395532"/>
      <w:r w:rsidRPr="00104CF7">
        <w:rPr>
          <w:rFonts w:hint="eastAsia"/>
          <w:lang w:eastAsia="zh-CN"/>
        </w:rPr>
        <w:t>职位叙级</w:t>
      </w:r>
      <w:bookmarkEnd w:id="1095"/>
      <w:bookmarkEnd w:id="1096"/>
      <w:bookmarkEnd w:id="1097"/>
      <w:bookmarkEnd w:id="1098"/>
      <w:bookmarkEnd w:id="1099"/>
      <w:bookmarkEnd w:id="1102"/>
      <w:bookmarkEnd w:id="1103"/>
      <w:bookmarkEnd w:id="1104"/>
      <w:bookmarkEnd w:id="1105"/>
      <w:bookmarkEnd w:id="1106"/>
      <w:bookmarkEnd w:id="1107"/>
      <w:bookmarkEnd w:id="1108"/>
      <w:bookmarkEnd w:id="1109"/>
    </w:p>
    <w:p w14:paraId="4827B13C" w14:textId="77777777" w:rsidR="005354B3" w:rsidRPr="00364022" w:rsidRDefault="005354B3" w:rsidP="00364022">
      <w:pPr>
        <w:pStyle w:val="Normalaftertitle"/>
        <w:rPr>
          <w:lang w:eastAsia="zh-CN"/>
        </w:rPr>
      </w:pPr>
      <w:r w:rsidRPr="00364022">
        <w:rPr>
          <w:rFonts w:hint="eastAsia"/>
          <w:lang w:eastAsia="zh-CN"/>
        </w:rPr>
        <w:t>理事会，</w:t>
      </w:r>
    </w:p>
    <w:p w14:paraId="4827B13D" w14:textId="77777777" w:rsidR="005354B3" w:rsidRDefault="005354B3" w:rsidP="00957261">
      <w:pPr>
        <w:ind w:firstLineChars="200" w:firstLine="480"/>
        <w:rPr>
          <w:lang w:eastAsia="zh-CN"/>
        </w:rPr>
      </w:pPr>
      <w:r>
        <w:rPr>
          <w:rFonts w:eastAsia="STKaiti" w:hint="eastAsia"/>
          <w:lang w:eastAsia="zh-CN"/>
        </w:rPr>
        <w:t>鉴于</w:t>
      </w:r>
      <w:r>
        <w:rPr>
          <w:rFonts w:ascii="SimSun" w:hint="eastAsia"/>
          <w:lang w:eastAsia="zh-CN"/>
        </w:rPr>
        <w:t>国际电信联盟《公</w:t>
      </w:r>
      <w:r w:rsidRPr="00EB77F4">
        <w:rPr>
          <w:lang w:eastAsia="zh-CN"/>
        </w:rPr>
        <w:t>约》（</w:t>
      </w:r>
      <w:r w:rsidRPr="00EB77F4">
        <w:rPr>
          <w:lang w:eastAsia="zh-CN"/>
        </w:rPr>
        <w:t>1992</w:t>
      </w:r>
      <w:r w:rsidRPr="00EB77F4">
        <w:rPr>
          <w:lang w:eastAsia="zh-CN"/>
        </w:rPr>
        <w:t>年</w:t>
      </w:r>
      <w:r>
        <w:rPr>
          <w:rFonts w:hint="eastAsia"/>
          <w:lang w:eastAsia="zh-CN"/>
        </w:rPr>
        <w:t>，</w:t>
      </w:r>
      <w:r w:rsidRPr="00EB77F4">
        <w:rPr>
          <w:lang w:eastAsia="zh-CN"/>
        </w:rPr>
        <w:t>日内瓦）第</w:t>
      </w:r>
      <w:r w:rsidRPr="00EB77F4">
        <w:rPr>
          <w:lang w:eastAsia="zh-CN"/>
        </w:rPr>
        <w:t>70</w:t>
      </w:r>
      <w:r w:rsidRPr="00EB77F4">
        <w:rPr>
          <w:lang w:eastAsia="zh-CN"/>
        </w:rPr>
        <w:t>和</w:t>
      </w:r>
      <w:r w:rsidRPr="00EB77F4">
        <w:rPr>
          <w:lang w:eastAsia="zh-CN"/>
        </w:rPr>
        <w:t>71</w:t>
      </w:r>
      <w:r w:rsidRPr="00EB77F4">
        <w:rPr>
          <w:lang w:eastAsia="zh-CN"/>
        </w:rPr>
        <w:t>款</w:t>
      </w:r>
      <w:r>
        <w:rPr>
          <w:rFonts w:ascii="SimSun"/>
          <w:lang w:eastAsia="zh-CN"/>
        </w:rPr>
        <w:t>,</w:t>
      </w:r>
    </w:p>
    <w:p w14:paraId="4827B13E" w14:textId="77777777" w:rsidR="005354B3" w:rsidRPr="00EB77F4" w:rsidRDefault="005354B3" w:rsidP="00957261">
      <w:pPr>
        <w:ind w:firstLineChars="200" w:firstLine="480"/>
        <w:rPr>
          <w:lang w:eastAsia="zh-CN"/>
        </w:rPr>
      </w:pPr>
      <w:r>
        <w:rPr>
          <w:rFonts w:eastAsia="STKaiti" w:hint="eastAsia"/>
          <w:lang w:eastAsia="zh-CN"/>
        </w:rPr>
        <w:t>授权秘书长</w:t>
      </w:r>
      <w:r w:rsidRPr="00EB77F4">
        <w:rPr>
          <w:lang w:eastAsia="zh-CN"/>
        </w:rPr>
        <w:t>在与协调委员会商议后</w:t>
      </w:r>
      <w:r w:rsidR="00951E48">
        <w:rPr>
          <w:rFonts w:hint="eastAsia"/>
          <w:lang w:eastAsia="zh-CN"/>
        </w:rPr>
        <w:t>，</w:t>
      </w:r>
      <w:r w:rsidRPr="00EB77F4">
        <w:rPr>
          <w:lang w:eastAsia="zh-CN"/>
        </w:rPr>
        <w:t>在确有必要时并按照颁布的定级标准</w:t>
      </w:r>
      <w:r w:rsidR="00951E48">
        <w:rPr>
          <w:rFonts w:hint="eastAsia"/>
          <w:lang w:eastAsia="zh-CN"/>
        </w:rPr>
        <w:t>，</w:t>
      </w:r>
      <w:r w:rsidRPr="00EB77F4">
        <w:rPr>
          <w:lang w:eastAsia="zh-CN"/>
        </w:rPr>
        <w:t>对一般事务和专业职类中</w:t>
      </w:r>
      <w:r w:rsidRPr="00EB77F4">
        <w:rPr>
          <w:lang w:eastAsia="zh-CN"/>
        </w:rPr>
        <w:t>G.1</w:t>
      </w:r>
      <w:r w:rsidRPr="00EB77F4">
        <w:rPr>
          <w:lang w:eastAsia="zh-CN"/>
        </w:rPr>
        <w:t>至</w:t>
      </w:r>
      <w:r w:rsidRPr="00EB77F4">
        <w:rPr>
          <w:lang w:eastAsia="zh-CN"/>
        </w:rPr>
        <w:t>P.5</w:t>
      </w:r>
      <w:r w:rsidRPr="00EB77F4">
        <w:rPr>
          <w:lang w:eastAsia="zh-CN"/>
        </w:rPr>
        <w:t>级的常设员额重新分级</w:t>
      </w:r>
      <w:r w:rsidR="00951E48">
        <w:rPr>
          <w:rFonts w:hint="eastAsia"/>
          <w:lang w:eastAsia="zh-CN"/>
        </w:rPr>
        <w:t>，</w:t>
      </w:r>
      <w:r w:rsidRPr="00EB77F4">
        <w:rPr>
          <w:lang w:eastAsia="zh-CN"/>
        </w:rPr>
        <w:t>但造成的费用不得超过国际电联预算中划拔给上述职类常设员额的拨款（基本薪金</w:t>
      </w:r>
      <w:r w:rsidR="00951E48">
        <w:rPr>
          <w:rFonts w:hint="eastAsia"/>
          <w:lang w:eastAsia="zh-CN"/>
        </w:rPr>
        <w:t>，</w:t>
      </w:r>
      <w:r w:rsidRPr="00EB77F4">
        <w:rPr>
          <w:lang w:eastAsia="zh-CN"/>
        </w:rPr>
        <w:t>任职地点补贴调整数和养恤金基金与职工健康保险基金的</w:t>
      </w:r>
      <w:r w:rsidRPr="00EB77F4">
        <w:rPr>
          <w:lang w:val="en-US" w:eastAsia="zh-CN"/>
        </w:rPr>
        <w:t>缴款）的</w:t>
      </w:r>
      <w:r w:rsidRPr="00EB77F4">
        <w:rPr>
          <w:lang w:val="en-US" w:eastAsia="zh-CN"/>
        </w:rPr>
        <w:t>0.1%</w:t>
      </w:r>
      <w:r w:rsidRPr="00EB77F4">
        <w:rPr>
          <w:lang w:val="en-US" w:eastAsia="zh-CN"/>
        </w:rPr>
        <w:t>的限额</w:t>
      </w:r>
      <w:r w:rsidR="00951E48">
        <w:rPr>
          <w:rFonts w:hint="eastAsia"/>
          <w:lang w:val="en-US" w:eastAsia="zh-CN"/>
        </w:rPr>
        <w:t>，</w:t>
      </w:r>
    </w:p>
    <w:p w14:paraId="4827B13F" w14:textId="77777777" w:rsidR="005354B3" w:rsidRDefault="005354B3" w:rsidP="00957261">
      <w:pPr>
        <w:ind w:firstLineChars="200" w:firstLine="480"/>
        <w:rPr>
          <w:lang w:eastAsia="zh-CN"/>
        </w:rPr>
      </w:pPr>
      <w:r>
        <w:rPr>
          <w:rFonts w:eastAsia="STKaiti" w:hint="eastAsia"/>
          <w:lang w:eastAsia="zh-CN"/>
        </w:rPr>
        <w:t>责成秘书长</w:t>
      </w:r>
      <w:r>
        <w:rPr>
          <w:rFonts w:hint="eastAsia"/>
          <w:lang w:val="en-US" w:eastAsia="zh-CN"/>
        </w:rPr>
        <w:t>每年向理事会报告按照本决议所采取的行动。</w:t>
      </w:r>
    </w:p>
    <w:p w14:paraId="4827B140" w14:textId="77777777" w:rsidR="005354B3" w:rsidRDefault="005354B3" w:rsidP="00957261">
      <w:pPr>
        <w:ind w:firstLineChars="200" w:firstLine="480"/>
        <w:rPr>
          <w:lang w:eastAsia="zh-CN"/>
        </w:rPr>
      </w:pPr>
      <w:r>
        <w:rPr>
          <w:rFonts w:hint="eastAsia"/>
          <w:lang w:eastAsia="zh-CN"/>
        </w:rPr>
        <w:t>本决议废除第</w:t>
      </w:r>
      <w:r w:rsidRPr="00951E48">
        <w:rPr>
          <w:lang w:eastAsia="zh-CN"/>
        </w:rPr>
        <w:t>1046</w:t>
      </w:r>
      <w:r>
        <w:rPr>
          <w:rFonts w:hint="eastAsia"/>
          <w:lang w:eastAsia="zh-CN"/>
        </w:rPr>
        <w:t>号决议。</w:t>
      </w:r>
    </w:p>
    <w:p w14:paraId="4827B141" w14:textId="77777777" w:rsidR="00F11D1D" w:rsidRPr="00D746C3" w:rsidRDefault="005354B3" w:rsidP="00883E65">
      <w:pPr>
        <w:pStyle w:val="Endtext"/>
        <w:rPr>
          <w:lang w:eastAsia="zh-CN"/>
        </w:rPr>
      </w:pPr>
      <w:r>
        <w:rPr>
          <w:rFonts w:hint="eastAsia"/>
          <w:lang w:eastAsia="zh-CN"/>
        </w:rPr>
        <w:t>参阅</w:t>
      </w:r>
      <w:r>
        <w:rPr>
          <w:rFonts w:ascii="STKaiti" w:hAnsi="SimSun" w:hint="eastAsia"/>
          <w:lang w:eastAsia="zh-CN"/>
        </w:rPr>
        <w:t>：</w:t>
      </w:r>
      <w:r>
        <w:rPr>
          <w:lang w:eastAsia="zh-CN"/>
        </w:rPr>
        <w:tab/>
        <w:t>C97/115</w:t>
      </w:r>
      <w:r>
        <w:rPr>
          <w:rFonts w:ascii="SimSun" w:hAnsi="SimSun" w:hint="eastAsia"/>
          <w:lang w:eastAsia="zh-CN"/>
        </w:rPr>
        <w:t>和</w:t>
      </w:r>
      <w:r>
        <w:rPr>
          <w:lang w:eastAsia="zh-CN"/>
        </w:rPr>
        <w:t>C97/123</w:t>
      </w:r>
      <w:r>
        <w:rPr>
          <w:rFonts w:ascii="SimSun" w:hAnsi="SimSun" w:hint="eastAsia"/>
          <w:lang w:eastAsia="zh-CN"/>
        </w:rPr>
        <w:t>号文件。</w:t>
      </w:r>
    </w:p>
    <w:p w14:paraId="4827B142" w14:textId="77777777" w:rsidR="00E07F98" w:rsidRDefault="00E07F98" w:rsidP="00E07F98">
      <w:pPr>
        <w:jc w:val="center"/>
        <w:rPr>
          <w:lang w:eastAsia="zh-CN"/>
        </w:rPr>
      </w:pPr>
      <w:bookmarkStart w:id="1110" w:name="_Toc424116976"/>
      <w:bookmarkStart w:id="1111" w:name="_Toc531706321"/>
      <w:bookmarkStart w:id="1112" w:name="_Toc531706920"/>
      <w:bookmarkStart w:id="1113" w:name="_Toc531768410"/>
      <w:bookmarkStart w:id="1114" w:name="_Toc161224018"/>
      <w:bookmarkStart w:id="1115" w:name="_Toc161732064"/>
      <w:bookmarkStart w:id="1116" w:name="_Toc161740991"/>
      <w:bookmarkStart w:id="1117" w:name="_Toc185237663"/>
      <w:bookmarkStart w:id="1118" w:name="_Toc311469578"/>
      <w:r>
        <w:rPr>
          <w:lang w:eastAsia="zh-CN"/>
        </w:rPr>
        <w:t>______________</w:t>
      </w:r>
    </w:p>
    <w:p w14:paraId="4827B143" w14:textId="77777777" w:rsidR="00D82819" w:rsidRDefault="00D82819">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144" w14:textId="77777777" w:rsidR="00957261" w:rsidRPr="00957261" w:rsidRDefault="005354B3" w:rsidP="00A75FB5">
      <w:pPr>
        <w:pStyle w:val="ResNo"/>
        <w:outlineLvl w:val="0"/>
        <w:rPr>
          <w:lang w:eastAsia="zh-CN"/>
        </w:rPr>
      </w:pPr>
      <w:bookmarkStart w:id="1119" w:name="_Toc16085729"/>
      <w:bookmarkStart w:id="1120" w:name="_Toc86395533"/>
      <w:r w:rsidRPr="00957261">
        <w:rPr>
          <w:rFonts w:hint="eastAsia"/>
          <w:lang w:eastAsia="zh-CN"/>
        </w:rPr>
        <w:lastRenderedPageBreak/>
        <w:t>第</w:t>
      </w:r>
      <w:r w:rsidRPr="00957261">
        <w:rPr>
          <w:lang w:eastAsia="zh-CN"/>
        </w:rPr>
        <w:t>1108</w:t>
      </w:r>
      <w:r w:rsidRPr="00957261">
        <w:rPr>
          <w:rFonts w:hint="eastAsia"/>
          <w:lang w:eastAsia="zh-CN"/>
        </w:rPr>
        <w:t>号决议</w:t>
      </w:r>
      <w:r w:rsidR="00957261">
        <w:rPr>
          <w:rFonts w:hint="eastAsia"/>
          <w:lang w:eastAsia="zh-CN"/>
        </w:rPr>
        <w:t>（</w:t>
      </w:r>
      <w:r w:rsidR="00957261" w:rsidRPr="00957261">
        <w:rPr>
          <w:lang w:eastAsia="zh-CN"/>
        </w:rPr>
        <w:t>C-1997</w:t>
      </w:r>
      <w:r w:rsidR="00957261">
        <w:rPr>
          <w:rFonts w:hint="eastAsia"/>
          <w:lang w:eastAsia="zh-CN"/>
        </w:rPr>
        <w:t>）</w:t>
      </w:r>
      <w:bookmarkEnd w:id="1110"/>
      <w:bookmarkEnd w:id="1111"/>
      <w:bookmarkEnd w:id="1112"/>
      <w:bookmarkEnd w:id="1113"/>
      <w:bookmarkEnd w:id="1119"/>
      <w:bookmarkEnd w:id="1120"/>
    </w:p>
    <w:p w14:paraId="4827B145" w14:textId="77777777" w:rsidR="005354B3" w:rsidRPr="00957261" w:rsidRDefault="005354B3" w:rsidP="00957261">
      <w:pPr>
        <w:pStyle w:val="Restitle"/>
        <w:rPr>
          <w:lang w:eastAsia="zh-CN"/>
        </w:rPr>
      </w:pPr>
      <w:bookmarkStart w:id="1121" w:name="_Toc424116216"/>
      <w:bookmarkStart w:id="1122" w:name="_Toc424116977"/>
      <w:bookmarkStart w:id="1123" w:name="_Toc460248086"/>
      <w:bookmarkStart w:id="1124" w:name="_Toc531706322"/>
      <w:bookmarkStart w:id="1125" w:name="_Toc531706921"/>
      <w:bookmarkStart w:id="1126" w:name="_Toc531768411"/>
      <w:bookmarkStart w:id="1127" w:name="_Toc16085730"/>
      <w:bookmarkStart w:id="1128" w:name="_Toc86395534"/>
      <w:r w:rsidRPr="00957261">
        <w:rPr>
          <w:rFonts w:hint="eastAsia"/>
          <w:lang w:eastAsia="zh-CN"/>
        </w:rPr>
        <w:t>职位管理</w:t>
      </w:r>
      <w:bookmarkEnd w:id="1114"/>
      <w:bookmarkEnd w:id="1115"/>
      <w:bookmarkEnd w:id="1116"/>
      <w:bookmarkEnd w:id="1117"/>
      <w:bookmarkEnd w:id="1118"/>
      <w:bookmarkEnd w:id="1121"/>
      <w:bookmarkEnd w:id="1122"/>
      <w:bookmarkEnd w:id="1123"/>
      <w:bookmarkEnd w:id="1124"/>
      <w:bookmarkEnd w:id="1125"/>
      <w:bookmarkEnd w:id="1126"/>
      <w:bookmarkEnd w:id="1127"/>
      <w:bookmarkEnd w:id="1128"/>
    </w:p>
    <w:p w14:paraId="4827B146" w14:textId="77777777" w:rsidR="005354B3" w:rsidRDefault="005354B3" w:rsidP="00B64353">
      <w:pPr>
        <w:pStyle w:val="Normalaftertitle"/>
        <w:spacing w:before="200"/>
        <w:rPr>
          <w:lang w:eastAsia="zh-CN"/>
        </w:rPr>
      </w:pPr>
      <w:r>
        <w:rPr>
          <w:rFonts w:hint="eastAsia"/>
          <w:lang w:eastAsia="zh-CN"/>
        </w:rPr>
        <w:t>理事会</w:t>
      </w:r>
      <w:r w:rsidR="00A52D31">
        <w:rPr>
          <w:rFonts w:hint="eastAsia"/>
          <w:lang w:eastAsia="zh-CN"/>
        </w:rPr>
        <w:t>，</w:t>
      </w:r>
    </w:p>
    <w:p w14:paraId="4827B147" w14:textId="77777777" w:rsidR="005354B3" w:rsidRDefault="005354B3" w:rsidP="00B64353">
      <w:pPr>
        <w:rPr>
          <w:lang w:eastAsia="zh-CN"/>
        </w:rPr>
      </w:pPr>
      <w:r>
        <w:rPr>
          <w:lang w:eastAsia="zh-CN"/>
        </w:rPr>
        <w:tab/>
      </w:r>
      <w:r>
        <w:rPr>
          <w:rFonts w:eastAsia="STKaiti" w:hint="eastAsia"/>
          <w:lang w:eastAsia="zh-CN"/>
        </w:rPr>
        <w:t>鉴于</w:t>
      </w:r>
      <w:r>
        <w:rPr>
          <w:rFonts w:ascii="SimSun" w:hAnsi="SimSun" w:hint="eastAsia"/>
          <w:lang w:eastAsia="zh-CN"/>
        </w:rPr>
        <w:t>国际电信联盟《公约》</w:t>
      </w:r>
      <w:r>
        <w:rPr>
          <w:rFonts w:ascii="SimSun" w:hAnsi="SimSun"/>
          <w:lang w:eastAsia="zh-CN"/>
        </w:rPr>
        <w:t>（</w:t>
      </w:r>
      <w:r w:rsidRPr="004270B8">
        <w:rPr>
          <w:lang w:eastAsia="zh-CN"/>
        </w:rPr>
        <w:t>1992</w:t>
      </w:r>
      <w:r>
        <w:rPr>
          <w:rFonts w:ascii="SimSun" w:hAnsi="SimSun" w:hint="eastAsia"/>
          <w:lang w:eastAsia="zh-CN"/>
        </w:rPr>
        <w:t>年</w:t>
      </w:r>
      <w:r>
        <w:rPr>
          <w:rFonts w:ascii="SimSun" w:hAnsi="SimSun"/>
          <w:lang w:eastAsia="zh-CN"/>
        </w:rPr>
        <w:t>,</w:t>
      </w:r>
      <w:r>
        <w:rPr>
          <w:rFonts w:ascii="SimSun" w:hAnsi="SimSun" w:hint="eastAsia"/>
          <w:lang w:eastAsia="zh-CN"/>
        </w:rPr>
        <w:t>日内瓦</w:t>
      </w:r>
      <w:r>
        <w:rPr>
          <w:rFonts w:ascii="SimSun" w:hAnsi="SimSun"/>
          <w:lang w:eastAsia="zh-CN"/>
        </w:rPr>
        <w:t>）</w:t>
      </w:r>
      <w:r>
        <w:rPr>
          <w:rFonts w:ascii="SimSun" w:hAnsi="SimSun" w:hint="eastAsia"/>
          <w:lang w:eastAsia="zh-CN"/>
        </w:rPr>
        <w:t>第</w:t>
      </w:r>
      <w:r w:rsidRPr="00A1737B">
        <w:rPr>
          <w:lang w:eastAsia="zh-CN"/>
        </w:rPr>
        <w:t>70</w:t>
      </w:r>
      <w:r w:rsidRPr="00A1737B">
        <w:rPr>
          <w:rFonts w:hAnsi="SimSun"/>
          <w:lang w:eastAsia="zh-CN"/>
        </w:rPr>
        <w:t>和</w:t>
      </w:r>
      <w:r w:rsidRPr="00A1737B">
        <w:rPr>
          <w:lang w:eastAsia="zh-CN"/>
        </w:rPr>
        <w:t>71</w:t>
      </w:r>
      <w:r>
        <w:rPr>
          <w:rFonts w:ascii="SimSun" w:hAnsi="SimSun" w:hint="eastAsia"/>
          <w:lang w:eastAsia="zh-CN"/>
        </w:rPr>
        <w:t>款</w:t>
      </w:r>
      <w:r w:rsidR="00A52D31">
        <w:rPr>
          <w:rFonts w:ascii="SimSun" w:hAnsi="SimSun" w:hint="eastAsia"/>
          <w:lang w:eastAsia="zh-CN"/>
        </w:rPr>
        <w:t>，</w:t>
      </w:r>
    </w:p>
    <w:p w14:paraId="4827B148" w14:textId="77777777" w:rsidR="005354B3" w:rsidRPr="006E63DC" w:rsidRDefault="005354B3" w:rsidP="00957261">
      <w:pPr>
        <w:rPr>
          <w:lang w:val="en-US" w:eastAsia="zh-CN"/>
        </w:rPr>
      </w:pPr>
      <w:r>
        <w:rPr>
          <w:lang w:eastAsia="zh-CN"/>
        </w:rPr>
        <w:tab/>
      </w:r>
      <w:r>
        <w:rPr>
          <w:rFonts w:eastAsia="STKaiti" w:hint="eastAsia"/>
          <w:lang w:eastAsia="zh-CN"/>
        </w:rPr>
        <w:t>授权</w:t>
      </w:r>
      <w:r w:rsidRPr="00A1737B">
        <w:rPr>
          <w:rFonts w:eastAsia="STKaiti"/>
          <w:lang w:eastAsia="zh-CN"/>
        </w:rPr>
        <w:t>秘书长</w:t>
      </w:r>
      <w:r w:rsidRPr="00A1737B">
        <w:rPr>
          <w:lang w:eastAsia="zh-CN"/>
        </w:rPr>
        <w:t>在与协调委员会商议后</w:t>
      </w:r>
      <w:r>
        <w:rPr>
          <w:rFonts w:hint="eastAsia"/>
          <w:lang w:eastAsia="zh-CN"/>
        </w:rPr>
        <w:t>，</w:t>
      </w:r>
      <w:r w:rsidRPr="00A1737B">
        <w:rPr>
          <w:lang w:eastAsia="zh-CN"/>
        </w:rPr>
        <w:t>设立或取消一般事务和专业职类中</w:t>
      </w:r>
      <w:r w:rsidRPr="00A1737B">
        <w:rPr>
          <w:lang w:eastAsia="zh-CN"/>
        </w:rPr>
        <w:t>G.1</w:t>
      </w:r>
      <w:r w:rsidRPr="00A1737B">
        <w:rPr>
          <w:lang w:eastAsia="zh-CN"/>
        </w:rPr>
        <w:t>至</w:t>
      </w:r>
      <w:r w:rsidRPr="00A1737B">
        <w:rPr>
          <w:lang w:eastAsia="zh-CN"/>
        </w:rPr>
        <w:t>P.5</w:t>
      </w:r>
      <w:r w:rsidRPr="00A1737B">
        <w:rPr>
          <w:lang w:eastAsia="zh-CN"/>
        </w:rPr>
        <w:t>级的职位</w:t>
      </w:r>
      <w:r>
        <w:rPr>
          <w:rFonts w:hint="eastAsia"/>
          <w:lang w:eastAsia="zh-CN"/>
        </w:rPr>
        <w:t>，</w:t>
      </w:r>
      <w:r w:rsidRPr="00A1737B">
        <w:rPr>
          <w:lang w:eastAsia="zh-CN"/>
        </w:rPr>
        <w:t>但支出不得超出理事会批准的国际电联预算中总秘书处和各局人员费用和其他人</w:t>
      </w:r>
      <w:r>
        <w:rPr>
          <w:rFonts w:ascii="SimSun" w:hint="eastAsia"/>
          <w:lang w:eastAsia="zh-CN"/>
        </w:rPr>
        <w:t>员费用的预算拨款</w:t>
      </w:r>
      <w:r>
        <w:rPr>
          <w:rFonts w:ascii="SimSun"/>
          <w:lang w:eastAsia="zh-CN"/>
        </w:rPr>
        <w:t>,</w:t>
      </w:r>
    </w:p>
    <w:p w14:paraId="4827B149" w14:textId="77777777" w:rsidR="005354B3" w:rsidRDefault="005354B3" w:rsidP="00957261">
      <w:pPr>
        <w:rPr>
          <w:lang w:eastAsia="zh-CN"/>
        </w:rPr>
      </w:pPr>
      <w:r>
        <w:rPr>
          <w:lang w:eastAsia="zh-CN"/>
        </w:rPr>
        <w:tab/>
      </w:r>
      <w:r>
        <w:rPr>
          <w:rFonts w:eastAsia="STKaiti" w:hint="eastAsia"/>
          <w:lang w:eastAsia="zh-CN"/>
        </w:rPr>
        <w:t>责成秘书长</w:t>
      </w:r>
      <w:r>
        <w:rPr>
          <w:rFonts w:hint="eastAsia"/>
          <w:lang w:eastAsia="zh-CN"/>
        </w:rPr>
        <w:t>每年向理事会报告按照本决议所采取的行动。</w:t>
      </w:r>
    </w:p>
    <w:p w14:paraId="4827B14A" w14:textId="77777777" w:rsidR="00F11D1D" w:rsidRPr="002E405F" w:rsidRDefault="005354B3" w:rsidP="00957261">
      <w:pPr>
        <w:pStyle w:val="Endtext"/>
        <w:rPr>
          <w:lang w:val="fr-FR" w:eastAsia="zh-CN"/>
        </w:rPr>
      </w:pPr>
      <w:r>
        <w:rPr>
          <w:rFonts w:hint="eastAsia"/>
          <w:lang w:eastAsia="zh-CN"/>
        </w:rPr>
        <w:t>参阅</w:t>
      </w:r>
      <w:r>
        <w:rPr>
          <w:rFonts w:ascii="STKaiti" w:hAnsi="SimSun" w:hint="eastAsia"/>
          <w:lang w:eastAsia="zh-CN"/>
        </w:rPr>
        <w:t>：</w:t>
      </w:r>
      <w:r>
        <w:rPr>
          <w:lang w:eastAsia="zh-CN"/>
        </w:rPr>
        <w:tab/>
        <w:t>C97/116</w:t>
      </w:r>
      <w:r>
        <w:rPr>
          <w:rFonts w:ascii="SimSun" w:hAnsi="SimSun" w:hint="eastAsia"/>
          <w:lang w:eastAsia="zh-CN"/>
        </w:rPr>
        <w:t>和</w:t>
      </w:r>
      <w:r>
        <w:rPr>
          <w:lang w:eastAsia="zh-CN"/>
        </w:rPr>
        <w:t>C97/123</w:t>
      </w:r>
      <w:r>
        <w:rPr>
          <w:rFonts w:ascii="SimSun" w:hAnsi="SimSun" w:hint="eastAsia"/>
          <w:lang w:eastAsia="zh-CN"/>
        </w:rPr>
        <w:t>号文件。</w:t>
      </w:r>
    </w:p>
    <w:p w14:paraId="4827B14B" w14:textId="77777777" w:rsidR="00E07F98" w:rsidRDefault="00E07F98" w:rsidP="00E07F98">
      <w:pPr>
        <w:jc w:val="center"/>
        <w:rPr>
          <w:lang w:eastAsia="zh-CN"/>
        </w:rPr>
      </w:pPr>
      <w:bookmarkStart w:id="1129" w:name="_Toc424116978"/>
      <w:bookmarkStart w:id="1130" w:name="_Toc531706323"/>
      <w:bookmarkStart w:id="1131" w:name="_Toc531706922"/>
      <w:bookmarkStart w:id="1132" w:name="_Toc531768412"/>
      <w:bookmarkStart w:id="1133" w:name="_Toc161224019"/>
      <w:bookmarkStart w:id="1134" w:name="_Toc161732065"/>
      <w:bookmarkStart w:id="1135" w:name="_Toc161740992"/>
      <w:bookmarkStart w:id="1136" w:name="_Toc185237664"/>
      <w:bookmarkStart w:id="1137" w:name="_Toc311469579"/>
      <w:r>
        <w:rPr>
          <w:lang w:eastAsia="zh-CN"/>
        </w:rPr>
        <w:t>______________</w:t>
      </w:r>
    </w:p>
    <w:p w14:paraId="4827B14C" w14:textId="77777777" w:rsidR="00957261" w:rsidRPr="00957261" w:rsidRDefault="005354B3" w:rsidP="00A75FB5">
      <w:pPr>
        <w:pStyle w:val="ResNo"/>
        <w:outlineLvl w:val="0"/>
        <w:rPr>
          <w:lang w:eastAsia="zh-CN"/>
        </w:rPr>
      </w:pPr>
      <w:bookmarkStart w:id="1138" w:name="_Toc16085731"/>
      <w:bookmarkStart w:id="1139" w:name="_Toc86395535"/>
      <w:r w:rsidRPr="00957261">
        <w:rPr>
          <w:rFonts w:hint="eastAsia"/>
          <w:lang w:eastAsia="zh-CN"/>
        </w:rPr>
        <w:t>第</w:t>
      </w:r>
      <w:r w:rsidRPr="00957261">
        <w:rPr>
          <w:lang w:eastAsia="zh-CN"/>
        </w:rPr>
        <w:t>1187</w:t>
      </w:r>
      <w:r w:rsidRPr="00957261">
        <w:rPr>
          <w:rFonts w:hint="eastAsia"/>
          <w:lang w:eastAsia="zh-CN"/>
        </w:rPr>
        <w:t>号决议</w:t>
      </w:r>
      <w:r w:rsidR="00957261">
        <w:rPr>
          <w:rFonts w:hint="eastAsia"/>
          <w:lang w:eastAsia="zh-CN"/>
        </w:rPr>
        <w:t>（</w:t>
      </w:r>
      <w:r w:rsidR="00D82819">
        <w:rPr>
          <w:lang w:eastAsia="zh-CN"/>
        </w:rPr>
        <w:t>C</w:t>
      </w:r>
      <w:r w:rsidR="00957261" w:rsidRPr="00957261">
        <w:rPr>
          <w:lang w:eastAsia="zh-CN"/>
        </w:rPr>
        <w:t>01</w:t>
      </w:r>
      <w:r w:rsidR="00957261">
        <w:rPr>
          <w:rFonts w:hint="eastAsia"/>
          <w:lang w:eastAsia="zh-CN"/>
        </w:rPr>
        <w:t>）</w:t>
      </w:r>
      <w:bookmarkEnd w:id="1129"/>
      <w:bookmarkEnd w:id="1130"/>
      <w:bookmarkEnd w:id="1131"/>
      <w:bookmarkEnd w:id="1132"/>
      <w:bookmarkEnd w:id="1138"/>
      <w:bookmarkEnd w:id="1139"/>
    </w:p>
    <w:p w14:paraId="4827B14D" w14:textId="77777777" w:rsidR="005354B3" w:rsidRPr="00957261" w:rsidRDefault="005354B3" w:rsidP="00957261">
      <w:pPr>
        <w:pStyle w:val="Restitle"/>
        <w:rPr>
          <w:lang w:eastAsia="zh-CN"/>
        </w:rPr>
      </w:pPr>
      <w:bookmarkStart w:id="1140" w:name="_Toc424116217"/>
      <w:bookmarkStart w:id="1141" w:name="_Toc424116979"/>
      <w:bookmarkStart w:id="1142" w:name="_Toc460248088"/>
      <w:bookmarkStart w:id="1143" w:name="_Toc531706324"/>
      <w:bookmarkStart w:id="1144" w:name="_Toc531706923"/>
      <w:bookmarkStart w:id="1145" w:name="_Toc531768413"/>
      <w:bookmarkStart w:id="1146" w:name="_Toc16085732"/>
      <w:bookmarkStart w:id="1147" w:name="_Toc86395536"/>
      <w:r>
        <w:rPr>
          <w:rFonts w:hint="eastAsia"/>
          <w:lang w:eastAsia="zh-CN"/>
        </w:rPr>
        <w:t>国际电联人力资源管理、政策与实践方面的性别问题</w:t>
      </w:r>
      <w:bookmarkEnd w:id="1133"/>
      <w:bookmarkEnd w:id="1134"/>
      <w:bookmarkEnd w:id="1135"/>
      <w:bookmarkEnd w:id="1136"/>
      <w:bookmarkEnd w:id="1137"/>
      <w:bookmarkEnd w:id="1140"/>
      <w:bookmarkEnd w:id="1141"/>
      <w:bookmarkEnd w:id="1142"/>
      <w:bookmarkEnd w:id="1143"/>
      <w:bookmarkEnd w:id="1144"/>
      <w:bookmarkEnd w:id="1145"/>
      <w:bookmarkEnd w:id="1146"/>
      <w:bookmarkEnd w:id="1147"/>
    </w:p>
    <w:p w14:paraId="4827B14E" w14:textId="77777777" w:rsidR="005354B3" w:rsidRDefault="005354B3" w:rsidP="00B64353">
      <w:pPr>
        <w:pStyle w:val="Normalaftertitle"/>
        <w:spacing w:before="200"/>
        <w:rPr>
          <w:lang w:val="fr-FR" w:eastAsia="zh-CN"/>
        </w:rPr>
      </w:pPr>
      <w:r>
        <w:rPr>
          <w:rFonts w:hint="eastAsia"/>
          <w:lang w:eastAsia="zh-CN"/>
        </w:rPr>
        <w:t>理事会，</w:t>
      </w:r>
    </w:p>
    <w:p w14:paraId="4827B14F" w14:textId="77777777" w:rsidR="005354B3" w:rsidRPr="005F65E0" w:rsidRDefault="005354B3" w:rsidP="00B64353">
      <w:pPr>
        <w:pStyle w:val="call0"/>
        <w:rPr>
          <w:rFonts w:ascii="STKaiti" w:hAnsi="STKaiti"/>
          <w:i/>
          <w:iCs/>
          <w:szCs w:val="22"/>
          <w:lang w:val="fr-FR" w:eastAsia="zh-CN"/>
        </w:rPr>
      </w:pPr>
      <w:r w:rsidRPr="005F65E0">
        <w:rPr>
          <w:rFonts w:ascii="STKaiti" w:hAnsi="STKaiti" w:hint="eastAsia"/>
          <w:iCs/>
          <w:szCs w:val="22"/>
          <w:lang w:eastAsia="zh-CN"/>
        </w:rPr>
        <w:t>注意到</w:t>
      </w:r>
    </w:p>
    <w:p w14:paraId="4827B150" w14:textId="77777777" w:rsidR="005354B3" w:rsidRDefault="005354B3" w:rsidP="00B64353">
      <w:pPr>
        <w:rPr>
          <w:lang w:val="fr-FR" w:eastAsia="zh-CN"/>
        </w:rPr>
      </w:pPr>
      <w:r w:rsidRPr="00D965D1">
        <w:rPr>
          <w:i/>
          <w:iCs/>
          <w:lang w:val="fr-FR" w:eastAsia="zh-CN"/>
        </w:rPr>
        <w:t>a</w:t>
      </w:r>
      <w:r w:rsidR="000E6A83" w:rsidRPr="00D965D1">
        <w:rPr>
          <w:i/>
          <w:iCs/>
          <w:lang w:val="fr-FR" w:eastAsia="zh-CN"/>
        </w:rPr>
        <w:t>)</w:t>
      </w:r>
      <w:r w:rsidR="000E6A83">
        <w:rPr>
          <w:lang w:val="fr-FR" w:eastAsia="zh-CN"/>
        </w:rPr>
        <w:tab/>
      </w:r>
      <w:r>
        <w:rPr>
          <w:rFonts w:hint="eastAsia"/>
          <w:lang w:val="de-DE" w:eastAsia="zh-CN"/>
        </w:rPr>
        <w:t>关于将性别问题纳入国际电联工作的第</w:t>
      </w:r>
      <w:r>
        <w:rPr>
          <w:lang w:val="de-DE" w:eastAsia="zh-CN"/>
        </w:rPr>
        <w:t>70</w:t>
      </w:r>
      <w:r>
        <w:rPr>
          <w:rFonts w:hint="eastAsia"/>
          <w:lang w:val="de-DE" w:eastAsia="zh-CN"/>
        </w:rPr>
        <w:t>号决议（</w:t>
      </w:r>
      <w:r>
        <w:rPr>
          <w:lang w:val="de-DE" w:eastAsia="zh-CN"/>
        </w:rPr>
        <w:t>1998</w:t>
      </w:r>
      <w:r>
        <w:rPr>
          <w:rFonts w:hint="eastAsia"/>
          <w:lang w:val="de-DE" w:eastAsia="zh-CN"/>
        </w:rPr>
        <w:t>年，明尼阿波利斯），该决议：</w:t>
      </w:r>
    </w:p>
    <w:p w14:paraId="4827B151" w14:textId="77777777" w:rsidR="005354B3" w:rsidRDefault="005354B3" w:rsidP="005A7571">
      <w:pPr>
        <w:pStyle w:val="enumlev1"/>
        <w:rPr>
          <w:lang w:eastAsia="zh-CN"/>
        </w:rPr>
      </w:pPr>
      <w:r>
        <w:rPr>
          <w:lang w:eastAsia="zh-CN"/>
        </w:rPr>
        <w:t>–</w:t>
      </w:r>
      <w:r>
        <w:rPr>
          <w:lang w:eastAsia="zh-CN"/>
        </w:rPr>
        <w:tab/>
      </w:r>
      <w:r>
        <w:rPr>
          <w:rFonts w:hint="eastAsia"/>
          <w:lang w:val="de-DE" w:eastAsia="zh-CN"/>
        </w:rPr>
        <w:t>责成理事会确</w:t>
      </w:r>
      <w:r w:rsidR="00FB3D26">
        <w:rPr>
          <w:rFonts w:hint="eastAsia"/>
          <w:lang w:val="de-DE" w:eastAsia="zh-CN"/>
        </w:rPr>
        <w:t>保在现有资源内、在每次预算中为实施与性别有关的措施提供适当资金；</w:t>
      </w:r>
    </w:p>
    <w:p w14:paraId="4827B152" w14:textId="77777777" w:rsidR="005354B3" w:rsidRDefault="005354B3" w:rsidP="005A7571">
      <w:pPr>
        <w:pStyle w:val="enumlev1"/>
        <w:rPr>
          <w:lang w:eastAsia="zh-CN"/>
        </w:rPr>
      </w:pPr>
      <w:r>
        <w:rPr>
          <w:lang w:eastAsia="zh-CN"/>
        </w:rPr>
        <w:t>–</w:t>
      </w:r>
      <w:r>
        <w:rPr>
          <w:lang w:eastAsia="zh-CN"/>
        </w:rPr>
        <w:tab/>
      </w:r>
      <w:r>
        <w:rPr>
          <w:rFonts w:hint="eastAsia"/>
          <w:lang w:val="de-DE" w:eastAsia="zh-CN"/>
        </w:rPr>
        <w:t>责成秘书长通过提供开展工作的必要手段，方便国际电联性别问题牵头人的工作</w:t>
      </w:r>
      <w:r w:rsidR="00FB3D26">
        <w:rPr>
          <w:rFonts w:hint="eastAsia"/>
          <w:lang w:val="de-DE" w:eastAsia="zh-CN"/>
        </w:rPr>
        <w:t>；</w:t>
      </w:r>
    </w:p>
    <w:p w14:paraId="4827B153" w14:textId="77777777" w:rsidR="005354B3" w:rsidRDefault="005354B3" w:rsidP="005A7571">
      <w:pPr>
        <w:pStyle w:val="enumlev1"/>
        <w:rPr>
          <w:lang w:eastAsia="zh-CN"/>
        </w:rPr>
      </w:pPr>
      <w:r>
        <w:rPr>
          <w:lang w:eastAsia="zh-CN"/>
        </w:rPr>
        <w:t>–</w:t>
      </w:r>
      <w:r>
        <w:rPr>
          <w:lang w:eastAsia="zh-CN"/>
        </w:rPr>
        <w:tab/>
      </w:r>
      <w:r>
        <w:rPr>
          <w:rFonts w:hint="eastAsia"/>
          <w:lang w:val="de-DE" w:eastAsia="zh-CN"/>
        </w:rPr>
        <w:t>责成秘书长和各局主任每年就所取得的进展向理事会报告；</w:t>
      </w:r>
    </w:p>
    <w:p w14:paraId="4827B154" w14:textId="77777777" w:rsidR="005354B3" w:rsidRDefault="005354B3" w:rsidP="00B64353">
      <w:pPr>
        <w:rPr>
          <w:lang w:eastAsia="zh-CN"/>
        </w:rPr>
      </w:pPr>
      <w:r w:rsidRPr="00D965D1">
        <w:rPr>
          <w:i/>
          <w:iCs/>
          <w:lang w:eastAsia="zh-CN"/>
        </w:rPr>
        <w:t>b</w:t>
      </w:r>
      <w:r w:rsidR="000E6A83" w:rsidRPr="00D965D1">
        <w:rPr>
          <w:i/>
          <w:iCs/>
          <w:lang w:eastAsia="zh-CN"/>
        </w:rPr>
        <w:t>)</w:t>
      </w:r>
      <w:r w:rsidR="000E6A83">
        <w:rPr>
          <w:lang w:eastAsia="zh-CN"/>
        </w:rPr>
        <w:tab/>
      </w:r>
      <w:r>
        <w:rPr>
          <w:rFonts w:hint="eastAsia"/>
          <w:lang w:val="en-US" w:eastAsia="zh-CN"/>
        </w:rPr>
        <w:t>世界电信发展大会第</w:t>
      </w:r>
      <w:r>
        <w:rPr>
          <w:lang w:val="en-US" w:eastAsia="zh-CN"/>
        </w:rPr>
        <w:t>7</w:t>
      </w:r>
      <w:r>
        <w:rPr>
          <w:rFonts w:hint="eastAsia"/>
          <w:lang w:val="en-US" w:eastAsia="zh-CN"/>
        </w:rPr>
        <w:t>号决议（</w:t>
      </w:r>
      <w:r>
        <w:rPr>
          <w:lang w:val="en-US" w:eastAsia="zh-CN"/>
        </w:rPr>
        <w:t>1998</w:t>
      </w:r>
      <w:r>
        <w:rPr>
          <w:rFonts w:hint="eastAsia"/>
          <w:lang w:val="en-US" w:eastAsia="zh-CN"/>
        </w:rPr>
        <w:t>年，瓦莱塔）；</w:t>
      </w:r>
    </w:p>
    <w:p w14:paraId="4827B155" w14:textId="77777777" w:rsidR="005354B3" w:rsidRDefault="005354B3" w:rsidP="00B64353">
      <w:pPr>
        <w:rPr>
          <w:lang w:eastAsia="zh-CN"/>
        </w:rPr>
      </w:pPr>
      <w:r w:rsidRPr="00D965D1">
        <w:rPr>
          <w:i/>
          <w:iCs/>
          <w:lang w:eastAsia="zh-CN"/>
        </w:rPr>
        <w:t>c</w:t>
      </w:r>
      <w:r w:rsidR="000E6A83" w:rsidRPr="00D965D1">
        <w:rPr>
          <w:i/>
          <w:iCs/>
          <w:lang w:eastAsia="zh-CN"/>
        </w:rPr>
        <w:t>)</w:t>
      </w:r>
      <w:r w:rsidR="000E6A83">
        <w:rPr>
          <w:lang w:eastAsia="zh-CN"/>
        </w:rPr>
        <w:tab/>
      </w:r>
      <w:r>
        <w:rPr>
          <w:rFonts w:hint="eastAsia"/>
          <w:lang w:eastAsia="zh-CN"/>
        </w:rPr>
        <w:t>有</w:t>
      </w:r>
      <w:r>
        <w:rPr>
          <w:rFonts w:hint="eastAsia"/>
          <w:lang w:val="en-US" w:eastAsia="zh-CN"/>
        </w:rPr>
        <w:t>关国际电联职员性别不均衡以及缺少解决这种不均衡状况的行动计划的</w:t>
      </w:r>
      <w:r>
        <w:rPr>
          <w:lang w:val="en-US" w:eastAsia="zh-CN"/>
        </w:rPr>
        <w:t>C2001/37</w:t>
      </w:r>
      <w:r>
        <w:rPr>
          <w:rFonts w:hint="eastAsia"/>
          <w:lang w:val="en-US" w:eastAsia="zh-CN"/>
        </w:rPr>
        <w:t>号文件</w:t>
      </w:r>
      <w:r>
        <w:rPr>
          <w:lang w:val="en-US" w:eastAsia="zh-CN"/>
        </w:rPr>
        <w:t>R11b</w:t>
      </w:r>
      <w:r w:rsidR="00021B2E">
        <w:rPr>
          <w:lang w:val="en-US" w:eastAsia="zh-CN"/>
        </w:rPr>
        <w:t>)</w:t>
      </w:r>
      <w:r>
        <w:rPr>
          <w:rFonts w:hint="eastAsia"/>
          <w:lang w:val="en-US" w:eastAsia="zh-CN"/>
        </w:rPr>
        <w:t>；</w:t>
      </w:r>
    </w:p>
    <w:p w14:paraId="4827B156" w14:textId="77777777" w:rsidR="005354B3" w:rsidRDefault="005354B3" w:rsidP="00B64353">
      <w:pPr>
        <w:rPr>
          <w:lang w:eastAsia="zh-CN"/>
        </w:rPr>
      </w:pPr>
      <w:r w:rsidRPr="00D965D1">
        <w:rPr>
          <w:i/>
          <w:iCs/>
          <w:lang w:eastAsia="zh-CN"/>
        </w:rPr>
        <w:t>d</w:t>
      </w:r>
      <w:r w:rsidR="000E6A83" w:rsidRPr="00D965D1">
        <w:rPr>
          <w:i/>
          <w:iCs/>
          <w:lang w:eastAsia="zh-CN"/>
        </w:rPr>
        <w:t>)</w:t>
      </w:r>
      <w:r w:rsidR="000E6A83">
        <w:rPr>
          <w:lang w:eastAsia="zh-CN"/>
        </w:rPr>
        <w:tab/>
      </w:r>
      <w:r>
        <w:rPr>
          <w:rFonts w:hint="eastAsia"/>
          <w:lang w:val="en-US" w:eastAsia="zh-CN"/>
        </w:rPr>
        <w:t>有关一项行动计划和解决地域和性别代表性的建议程序的</w:t>
      </w:r>
      <w:r>
        <w:rPr>
          <w:lang w:val="en-US" w:eastAsia="zh-CN"/>
        </w:rPr>
        <w:t>C2001/48</w:t>
      </w:r>
      <w:r w:rsidR="00FB3D26">
        <w:rPr>
          <w:rFonts w:hint="eastAsia"/>
          <w:lang w:val="en-US" w:eastAsia="zh-CN"/>
        </w:rPr>
        <w:t>号文件，</w:t>
      </w:r>
    </w:p>
    <w:p w14:paraId="4827B157" w14:textId="77777777" w:rsidR="00D82819" w:rsidRDefault="00D82819">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szCs w:val="22"/>
          <w:lang w:eastAsia="zh-CN"/>
        </w:rPr>
      </w:pPr>
      <w:r>
        <w:rPr>
          <w:rFonts w:ascii="STKaiti" w:hAnsi="STKaiti"/>
          <w:iCs/>
          <w:szCs w:val="22"/>
          <w:lang w:eastAsia="zh-CN"/>
        </w:rPr>
        <w:br w:type="page"/>
      </w:r>
    </w:p>
    <w:p w14:paraId="4827B158" w14:textId="77777777" w:rsidR="005354B3" w:rsidRPr="005F65E0" w:rsidRDefault="005354B3" w:rsidP="00B64353">
      <w:pPr>
        <w:pStyle w:val="call0"/>
        <w:rPr>
          <w:rFonts w:ascii="STKaiti" w:hAnsi="STKaiti"/>
          <w:i/>
          <w:iCs/>
          <w:szCs w:val="22"/>
          <w:lang w:eastAsia="zh-CN"/>
        </w:rPr>
      </w:pPr>
      <w:r w:rsidRPr="005F65E0">
        <w:rPr>
          <w:rFonts w:ascii="STKaiti" w:hAnsi="STKaiti" w:hint="eastAsia"/>
          <w:iCs/>
          <w:szCs w:val="22"/>
          <w:lang w:eastAsia="zh-CN"/>
        </w:rPr>
        <w:lastRenderedPageBreak/>
        <w:t>进一步注意到</w:t>
      </w:r>
    </w:p>
    <w:p w14:paraId="4827B159" w14:textId="77777777" w:rsidR="005354B3" w:rsidRDefault="005354B3" w:rsidP="00B64353">
      <w:pPr>
        <w:rPr>
          <w:lang w:eastAsia="zh-CN"/>
        </w:rPr>
      </w:pPr>
      <w:r w:rsidRPr="00D965D1">
        <w:rPr>
          <w:i/>
          <w:iCs/>
          <w:lang w:eastAsia="zh-CN"/>
        </w:rPr>
        <w:t>a</w:t>
      </w:r>
      <w:r w:rsidR="000E6A83" w:rsidRPr="00D965D1">
        <w:rPr>
          <w:i/>
          <w:iCs/>
          <w:lang w:eastAsia="zh-CN"/>
        </w:rPr>
        <w:t>)</w:t>
      </w:r>
      <w:r w:rsidR="000E6A83">
        <w:rPr>
          <w:lang w:eastAsia="zh-CN"/>
        </w:rPr>
        <w:tab/>
      </w:r>
      <w:r>
        <w:rPr>
          <w:lang w:val="en-US" w:eastAsia="zh-CN"/>
        </w:rPr>
        <w:t>ITU-D</w:t>
      </w:r>
      <w:r>
        <w:rPr>
          <w:rFonts w:hint="eastAsia"/>
          <w:lang w:val="en-US" w:eastAsia="zh-CN"/>
        </w:rPr>
        <w:t>性别问题任务组的建议，即，电信发展局应成立一个有专职人员的性别</w:t>
      </w:r>
      <w:r w:rsidR="00BF47AA">
        <w:rPr>
          <w:rFonts w:hint="eastAsia"/>
          <w:lang w:val="en-US" w:eastAsia="zh-CN"/>
        </w:rPr>
        <w:t>问题</w:t>
      </w:r>
      <w:r>
        <w:rPr>
          <w:rFonts w:hint="eastAsia"/>
          <w:lang w:val="en-US" w:eastAsia="zh-CN"/>
        </w:rPr>
        <w:t>处，以落实马耳他瓦莱塔第</w:t>
      </w:r>
      <w:r>
        <w:rPr>
          <w:lang w:val="en-US" w:eastAsia="zh-CN"/>
        </w:rPr>
        <w:t>7</w:t>
      </w:r>
      <w:r>
        <w:rPr>
          <w:rFonts w:hint="eastAsia"/>
          <w:lang w:val="en-US" w:eastAsia="zh-CN"/>
        </w:rPr>
        <w:t>号决议和明尼阿波利斯第</w:t>
      </w:r>
      <w:r>
        <w:rPr>
          <w:lang w:val="en-US" w:eastAsia="zh-CN"/>
        </w:rPr>
        <w:t>70</w:t>
      </w:r>
      <w:r>
        <w:rPr>
          <w:rFonts w:hint="eastAsia"/>
          <w:lang w:val="en-US" w:eastAsia="zh-CN"/>
        </w:rPr>
        <w:t>号决议中所确立的目标</w:t>
      </w:r>
      <w:r w:rsidR="00FB3D26">
        <w:rPr>
          <w:rFonts w:hint="eastAsia"/>
          <w:lang w:val="en-US" w:eastAsia="zh-CN"/>
        </w:rPr>
        <w:t>；</w:t>
      </w:r>
    </w:p>
    <w:p w14:paraId="4827B15A" w14:textId="77777777" w:rsidR="005354B3" w:rsidRDefault="005354B3" w:rsidP="00B64353">
      <w:pPr>
        <w:rPr>
          <w:lang w:eastAsia="zh-CN"/>
        </w:rPr>
      </w:pPr>
      <w:r w:rsidRPr="00D965D1">
        <w:rPr>
          <w:i/>
          <w:iCs/>
          <w:lang w:eastAsia="zh-CN"/>
        </w:rPr>
        <w:t>b</w:t>
      </w:r>
      <w:r w:rsidR="000E6A83" w:rsidRPr="00D965D1">
        <w:rPr>
          <w:i/>
          <w:iCs/>
          <w:lang w:eastAsia="zh-CN"/>
        </w:rPr>
        <w:t>)</w:t>
      </w:r>
      <w:r w:rsidR="000E6A83">
        <w:rPr>
          <w:lang w:eastAsia="zh-CN"/>
        </w:rPr>
        <w:tab/>
      </w:r>
      <w:r>
        <w:rPr>
          <w:lang w:val="en-US" w:eastAsia="zh-CN"/>
        </w:rPr>
        <w:t>7</w:t>
      </w:r>
      <w:r>
        <w:rPr>
          <w:rFonts w:hint="eastAsia"/>
          <w:lang w:val="en-US" w:eastAsia="zh-CN"/>
        </w:rPr>
        <w:t>月份将由经社理事会通过的关于提高妇女地位的整个共同制度的</w:t>
      </w:r>
      <w:r>
        <w:rPr>
          <w:rFonts w:hint="eastAsia"/>
          <w:lang w:val="en-US" w:eastAsia="zh-CN"/>
        </w:rPr>
        <w:t>2002-06</w:t>
      </w:r>
      <w:r w:rsidR="00FB3D26">
        <w:rPr>
          <w:rFonts w:hint="eastAsia"/>
          <w:lang w:val="en-US" w:eastAsia="zh-CN"/>
        </w:rPr>
        <w:t>中期计划，其中包括国际电联的建议和计划，</w:t>
      </w:r>
    </w:p>
    <w:p w14:paraId="4827B15B" w14:textId="77777777" w:rsidR="005354B3" w:rsidRPr="005F65E0" w:rsidRDefault="005354B3" w:rsidP="00B64353">
      <w:pPr>
        <w:pStyle w:val="call0"/>
        <w:rPr>
          <w:rFonts w:ascii="STKaiti" w:hAnsi="STKaiti"/>
          <w:i/>
          <w:iCs/>
          <w:szCs w:val="22"/>
          <w:lang w:eastAsia="zh-CN"/>
        </w:rPr>
      </w:pPr>
      <w:r w:rsidRPr="005F65E0">
        <w:rPr>
          <w:rFonts w:ascii="STKaiti" w:hAnsi="STKaiti" w:hint="eastAsia"/>
          <w:iCs/>
          <w:szCs w:val="22"/>
          <w:lang w:eastAsia="zh-CN"/>
        </w:rPr>
        <w:t>相信</w:t>
      </w:r>
    </w:p>
    <w:p w14:paraId="4827B15C" w14:textId="77777777" w:rsidR="005354B3" w:rsidRDefault="005354B3" w:rsidP="00B64353">
      <w:pPr>
        <w:rPr>
          <w:lang w:eastAsia="zh-CN"/>
        </w:rPr>
      </w:pPr>
      <w:r w:rsidRPr="00D965D1">
        <w:rPr>
          <w:i/>
          <w:iCs/>
          <w:lang w:eastAsia="zh-CN"/>
        </w:rPr>
        <w:t>a</w:t>
      </w:r>
      <w:r w:rsidR="000E6A83" w:rsidRPr="00D965D1">
        <w:rPr>
          <w:i/>
          <w:iCs/>
          <w:lang w:eastAsia="zh-CN"/>
        </w:rPr>
        <w:t>)</w:t>
      </w:r>
      <w:r w:rsidR="000E6A83">
        <w:rPr>
          <w:lang w:eastAsia="zh-CN"/>
        </w:rPr>
        <w:tab/>
      </w:r>
      <w:r>
        <w:rPr>
          <w:rFonts w:hint="eastAsia"/>
          <w:lang w:eastAsia="zh-CN"/>
        </w:rPr>
        <w:t>通过妇女参加国际电联</w:t>
      </w:r>
      <w:r w:rsidR="00BF47AA">
        <w:rPr>
          <w:rFonts w:hint="eastAsia"/>
          <w:lang w:eastAsia="zh-CN"/>
        </w:rPr>
        <w:t>政策和实践的各个阶段，国际电联可以从占世界人口一半的巨大、丰富</w:t>
      </w:r>
      <w:r>
        <w:rPr>
          <w:rFonts w:hint="eastAsia"/>
          <w:lang w:eastAsia="zh-CN"/>
        </w:rPr>
        <w:t>资源中受益；</w:t>
      </w:r>
    </w:p>
    <w:p w14:paraId="4827B15D" w14:textId="77777777" w:rsidR="005354B3" w:rsidRDefault="005354B3" w:rsidP="00B64353">
      <w:pPr>
        <w:rPr>
          <w:lang w:eastAsia="zh-CN"/>
        </w:rPr>
      </w:pPr>
      <w:r w:rsidRPr="00D965D1">
        <w:rPr>
          <w:i/>
          <w:iCs/>
          <w:lang w:eastAsia="zh-CN"/>
        </w:rPr>
        <w:t>b</w:t>
      </w:r>
      <w:r w:rsidR="000E6A83" w:rsidRPr="00D965D1">
        <w:rPr>
          <w:i/>
          <w:iCs/>
          <w:lang w:eastAsia="zh-CN"/>
        </w:rPr>
        <w:t>)</w:t>
      </w:r>
      <w:r w:rsidR="000E6A83">
        <w:rPr>
          <w:lang w:eastAsia="zh-CN"/>
        </w:rPr>
        <w:tab/>
      </w:r>
      <w:r>
        <w:rPr>
          <w:rFonts w:hint="eastAsia"/>
          <w:lang w:eastAsia="zh-CN"/>
        </w:rPr>
        <w:t>在国际电联的政策和实践中（包括招聘与出版、雇用、培训和教育、调动和升迁机会、国际电联所有机构领导的选拔和国际电联的选举中，性别均衡和区域代表性一样，均应得到考虑，</w:t>
      </w:r>
    </w:p>
    <w:p w14:paraId="4827B15E" w14:textId="77777777" w:rsidR="005354B3" w:rsidRPr="005F65E0" w:rsidRDefault="005354B3" w:rsidP="00B64353">
      <w:pPr>
        <w:pStyle w:val="call0"/>
        <w:rPr>
          <w:rFonts w:ascii="STKaiti" w:hAnsi="STKaiti"/>
          <w:i/>
          <w:iCs/>
          <w:szCs w:val="22"/>
          <w:lang w:eastAsia="zh-CN"/>
        </w:rPr>
      </w:pPr>
      <w:r w:rsidRPr="005F65E0">
        <w:rPr>
          <w:rFonts w:ascii="STKaiti" w:hAnsi="STKaiti" w:hint="eastAsia"/>
          <w:iCs/>
          <w:szCs w:val="22"/>
          <w:lang w:eastAsia="zh-CN"/>
        </w:rPr>
        <w:t>考虑到</w:t>
      </w:r>
    </w:p>
    <w:p w14:paraId="4827B15F" w14:textId="77777777" w:rsidR="005354B3" w:rsidRDefault="005354B3" w:rsidP="00B64353">
      <w:pPr>
        <w:tabs>
          <w:tab w:val="left" w:pos="510"/>
        </w:tabs>
        <w:rPr>
          <w:lang w:eastAsia="zh-CN"/>
        </w:rPr>
      </w:pPr>
      <w:r>
        <w:rPr>
          <w:rFonts w:hint="eastAsia"/>
          <w:lang w:eastAsia="zh-CN"/>
        </w:rPr>
        <w:tab/>
      </w:r>
      <w:r>
        <w:rPr>
          <w:rFonts w:hint="eastAsia"/>
          <w:lang w:eastAsia="zh-CN"/>
        </w:rPr>
        <w:t>理事会</w:t>
      </w:r>
      <w:r>
        <w:rPr>
          <w:lang w:eastAsia="zh-CN"/>
        </w:rPr>
        <w:t>2001</w:t>
      </w:r>
      <w:r>
        <w:rPr>
          <w:rFonts w:hint="eastAsia"/>
          <w:lang w:eastAsia="zh-CN"/>
        </w:rPr>
        <w:t>年会议没有收到有关根据第</w:t>
      </w:r>
      <w:r>
        <w:rPr>
          <w:lang w:eastAsia="zh-CN"/>
        </w:rPr>
        <w:t>70</w:t>
      </w:r>
      <w:r>
        <w:rPr>
          <w:rFonts w:hint="eastAsia"/>
          <w:lang w:eastAsia="zh-CN"/>
        </w:rPr>
        <w:t>号决议提高对性别问题认识的进展报告，</w:t>
      </w:r>
    </w:p>
    <w:p w14:paraId="4827B160" w14:textId="77777777" w:rsidR="005354B3" w:rsidRPr="005F65E0" w:rsidRDefault="005354B3" w:rsidP="00B64353">
      <w:pPr>
        <w:pStyle w:val="call0"/>
        <w:rPr>
          <w:rFonts w:ascii="STKaiti" w:hAnsi="STKaiti"/>
          <w:i/>
          <w:iCs/>
          <w:szCs w:val="22"/>
          <w:lang w:eastAsia="zh-CN"/>
        </w:rPr>
      </w:pPr>
      <w:r w:rsidRPr="005F65E0">
        <w:rPr>
          <w:rFonts w:ascii="STKaiti" w:hAnsi="STKaiti" w:hint="eastAsia"/>
          <w:iCs/>
          <w:szCs w:val="22"/>
          <w:lang w:eastAsia="zh-CN"/>
        </w:rPr>
        <w:t>做出决议</w:t>
      </w:r>
    </w:p>
    <w:p w14:paraId="4827B161" w14:textId="77777777" w:rsidR="005354B3" w:rsidRDefault="005354B3" w:rsidP="00B64353">
      <w:pPr>
        <w:rPr>
          <w:lang w:eastAsia="zh-CN"/>
        </w:rPr>
      </w:pPr>
      <w:r>
        <w:rPr>
          <w:iCs/>
          <w:lang w:eastAsia="zh-CN"/>
        </w:rPr>
        <w:t>1</w:t>
      </w:r>
      <w:r>
        <w:rPr>
          <w:i/>
          <w:lang w:eastAsia="zh-CN"/>
        </w:rPr>
        <w:tab/>
      </w:r>
      <w:r>
        <w:rPr>
          <w:rFonts w:hint="eastAsia"/>
          <w:lang w:eastAsia="zh-CN"/>
        </w:rPr>
        <w:t>鼓励成员国和部门成员为国际电联的领导职位和选任职位提名合格的妇女候选人，并为国际电联的职员职位，特别是专业及</w:t>
      </w:r>
      <w:r w:rsidR="00BF47AA">
        <w:rPr>
          <w:rFonts w:hint="eastAsia"/>
          <w:lang w:eastAsia="zh-CN"/>
        </w:rPr>
        <w:t>专业以上</w:t>
      </w:r>
      <w:r>
        <w:rPr>
          <w:rFonts w:hint="eastAsia"/>
          <w:lang w:eastAsia="zh-CN"/>
        </w:rPr>
        <w:t>职位建议合格的妇女候选人；</w:t>
      </w:r>
    </w:p>
    <w:p w14:paraId="4827B162" w14:textId="77777777" w:rsidR="005354B3" w:rsidRDefault="005354B3" w:rsidP="00B64353">
      <w:pPr>
        <w:rPr>
          <w:lang w:eastAsia="zh-CN"/>
        </w:rPr>
      </w:pPr>
      <w:r>
        <w:rPr>
          <w:lang w:eastAsia="zh-CN"/>
        </w:rPr>
        <w:t>2</w:t>
      </w:r>
      <w:r>
        <w:rPr>
          <w:lang w:eastAsia="zh-CN"/>
        </w:rPr>
        <w:tab/>
      </w:r>
      <w:r>
        <w:rPr>
          <w:rFonts w:hint="eastAsia"/>
          <w:lang w:eastAsia="zh-CN"/>
        </w:rPr>
        <w:t>要求秘书长在现有预算限制内划拔适当资源，用于设立一处理性别问题的全职人员职位，</w:t>
      </w:r>
    </w:p>
    <w:p w14:paraId="4827B163" w14:textId="77777777" w:rsidR="005354B3" w:rsidRPr="005F65E0" w:rsidRDefault="005354B3" w:rsidP="00B64353">
      <w:pPr>
        <w:pStyle w:val="call0"/>
        <w:rPr>
          <w:rFonts w:ascii="STKaiti" w:hAnsi="STKaiti"/>
          <w:i/>
          <w:iCs/>
          <w:szCs w:val="22"/>
          <w:lang w:eastAsia="zh-CN"/>
        </w:rPr>
      </w:pPr>
      <w:r w:rsidRPr="005F65E0">
        <w:rPr>
          <w:rFonts w:ascii="STKaiti" w:hAnsi="STKaiti" w:hint="eastAsia"/>
          <w:iCs/>
          <w:szCs w:val="22"/>
          <w:lang w:eastAsia="zh-CN"/>
        </w:rPr>
        <w:t>请秘书长</w:t>
      </w:r>
    </w:p>
    <w:p w14:paraId="4827B164" w14:textId="77777777" w:rsidR="005354B3" w:rsidRDefault="005354B3" w:rsidP="00B64353">
      <w:pPr>
        <w:rPr>
          <w:lang w:eastAsia="zh-CN"/>
        </w:rPr>
      </w:pPr>
      <w:r>
        <w:rPr>
          <w:lang w:eastAsia="zh-CN"/>
        </w:rPr>
        <w:t>1</w:t>
      </w:r>
      <w:r>
        <w:rPr>
          <w:lang w:eastAsia="zh-CN"/>
        </w:rPr>
        <w:tab/>
      </w:r>
      <w:r>
        <w:rPr>
          <w:rFonts w:hint="eastAsia"/>
          <w:lang w:val="en-US" w:eastAsia="zh-CN"/>
        </w:rPr>
        <w:t>制定行动计划和程序，立即解决国际电联职员中的性别不均衡问题，特别是在</w:t>
      </w:r>
      <w:r w:rsidR="00BF47AA">
        <w:rPr>
          <w:rFonts w:hint="eastAsia"/>
          <w:lang w:val="en-US" w:eastAsia="zh-CN"/>
        </w:rPr>
        <w:t>专业及专业以上职类</w:t>
      </w:r>
      <w:r>
        <w:rPr>
          <w:rFonts w:hint="eastAsia"/>
          <w:lang w:val="en-US" w:eastAsia="zh-CN"/>
        </w:rPr>
        <w:t>的性别不均衡问题，并将此行动计划和程序以及关于其实施情况和有效性的信息一并提交给理事会</w:t>
      </w:r>
      <w:r>
        <w:rPr>
          <w:lang w:val="en-US" w:eastAsia="zh-CN"/>
        </w:rPr>
        <w:t>2002</w:t>
      </w:r>
      <w:r>
        <w:rPr>
          <w:rFonts w:hint="eastAsia"/>
          <w:lang w:val="en-US" w:eastAsia="zh-CN"/>
        </w:rPr>
        <w:t>年会议</w:t>
      </w:r>
      <w:r w:rsidR="00AB0A2B">
        <w:rPr>
          <w:rFonts w:hint="eastAsia"/>
          <w:lang w:val="en-US" w:eastAsia="zh-CN"/>
        </w:rPr>
        <w:t>；</w:t>
      </w:r>
    </w:p>
    <w:p w14:paraId="4827B165" w14:textId="77777777" w:rsidR="005354B3" w:rsidRDefault="005354B3" w:rsidP="00B64353">
      <w:pPr>
        <w:rPr>
          <w:lang w:eastAsia="zh-CN"/>
        </w:rPr>
      </w:pPr>
      <w:r>
        <w:rPr>
          <w:lang w:eastAsia="zh-CN"/>
        </w:rPr>
        <w:t>2</w:t>
      </w:r>
      <w:r>
        <w:rPr>
          <w:lang w:eastAsia="zh-CN"/>
        </w:rPr>
        <w:tab/>
      </w:r>
      <w:r>
        <w:rPr>
          <w:rFonts w:hint="eastAsia"/>
          <w:lang w:val="en-US" w:eastAsia="zh-CN"/>
        </w:rPr>
        <w:t>对《人事规则》提出适当的修改，以便更好地推进国际电联性别问题的改观</w:t>
      </w:r>
      <w:r w:rsidR="00AB0A2B">
        <w:rPr>
          <w:rFonts w:hint="eastAsia"/>
          <w:lang w:val="en-US" w:eastAsia="zh-CN"/>
        </w:rPr>
        <w:t>，</w:t>
      </w:r>
    </w:p>
    <w:p w14:paraId="4827B166" w14:textId="77777777" w:rsidR="005354B3" w:rsidRPr="005F65E0" w:rsidRDefault="005354B3" w:rsidP="00B64353">
      <w:pPr>
        <w:pStyle w:val="call0"/>
        <w:rPr>
          <w:rFonts w:ascii="STKaiti" w:hAnsi="STKaiti"/>
          <w:i/>
          <w:iCs/>
          <w:szCs w:val="22"/>
          <w:lang w:eastAsia="zh-CN"/>
        </w:rPr>
      </w:pPr>
      <w:r w:rsidRPr="005F65E0">
        <w:rPr>
          <w:rFonts w:ascii="STKaiti" w:hAnsi="STKaiti" w:hint="eastAsia"/>
          <w:iCs/>
          <w:szCs w:val="22"/>
          <w:lang w:eastAsia="zh-CN"/>
        </w:rPr>
        <w:t>责成秘书长和各局主任</w:t>
      </w:r>
    </w:p>
    <w:p w14:paraId="4827B167" w14:textId="77777777" w:rsidR="005354B3" w:rsidRDefault="005354B3" w:rsidP="00957261">
      <w:pPr>
        <w:ind w:firstLineChars="200" w:firstLine="480"/>
        <w:rPr>
          <w:lang w:eastAsia="zh-CN"/>
        </w:rPr>
      </w:pPr>
      <w:r>
        <w:rPr>
          <w:rFonts w:hint="eastAsia"/>
          <w:lang w:val="en-US" w:eastAsia="zh-CN"/>
        </w:rPr>
        <w:t>向理事会</w:t>
      </w:r>
      <w:r>
        <w:rPr>
          <w:lang w:val="en-US" w:eastAsia="zh-CN"/>
        </w:rPr>
        <w:t>2002</w:t>
      </w:r>
      <w:r>
        <w:rPr>
          <w:rFonts w:hint="eastAsia"/>
          <w:lang w:val="en-US" w:eastAsia="zh-CN"/>
        </w:rPr>
        <w:t>年会议报告在将性别问题纳入总秘书处和各部门工作方面所取得的进展。</w:t>
      </w:r>
    </w:p>
    <w:p w14:paraId="4827B168" w14:textId="77777777" w:rsidR="00957261" w:rsidRPr="00C76172" w:rsidRDefault="005354B3" w:rsidP="00957261">
      <w:pPr>
        <w:pStyle w:val="Endtext"/>
        <w:rPr>
          <w:lang w:val="fr-FR" w:eastAsia="zh-CN"/>
        </w:rPr>
      </w:pPr>
      <w:r>
        <w:rPr>
          <w:rFonts w:hint="eastAsia"/>
          <w:lang w:eastAsia="zh-CN"/>
        </w:rPr>
        <w:t>参阅</w:t>
      </w:r>
      <w:r w:rsidRPr="00066BA7">
        <w:rPr>
          <w:rFonts w:ascii="STKaiti" w:hAnsi="STKaiti" w:hint="eastAsia"/>
          <w:lang w:eastAsia="zh-CN"/>
        </w:rPr>
        <w:t>：</w:t>
      </w:r>
      <w:r w:rsidR="00FB3D26">
        <w:rPr>
          <w:lang w:eastAsia="zh-CN"/>
        </w:rPr>
        <w:tab/>
      </w:r>
      <w:hyperlink r:id="rId190" w:history="1">
        <w:r w:rsidR="00957261" w:rsidRPr="00B64CA6">
          <w:rPr>
            <w:rStyle w:val="Hyperlink"/>
            <w:lang w:val="fr-FR" w:eastAsia="zh-CN"/>
          </w:rPr>
          <w:t>C2001/123</w:t>
        </w:r>
      </w:hyperlink>
      <w:r w:rsidR="00957261">
        <w:rPr>
          <w:rFonts w:hint="eastAsia"/>
          <w:lang w:val="fr-FR" w:eastAsia="zh-CN"/>
        </w:rPr>
        <w:t>和</w:t>
      </w:r>
      <w:hyperlink r:id="rId191" w:history="1">
        <w:r w:rsidR="00957261" w:rsidRPr="00B64CA6">
          <w:rPr>
            <w:rStyle w:val="Hyperlink"/>
            <w:lang w:val="fr-FR" w:eastAsia="zh-CN"/>
          </w:rPr>
          <w:t>C2001/132</w:t>
        </w:r>
      </w:hyperlink>
      <w:r w:rsidR="00957261">
        <w:rPr>
          <w:rFonts w:hint="eastAsia"/>
          <w:lang w:val="fr-FR" w:eastAsia="zh-CN"/>
        </w:rPr>
        <w:t>号</w:t>
      </w:r>
      <w:r w:rsidR="00957261">
        <w:rPr>
          <w:lang w:val="fr-FR" w:eastAsia="zh-CN"/>
        </w:rPr>
        <w:t>文件。</w:t>
      </w:r>
    </w:p>
    <w:p w14:paraId="4827B169" w14:textId="77777777" w:rsidR="00E07F98" w:rsidRDefault="00E07F98" w:rsidP="00E07F98">
      <w:pPr>
        <w:jc w:val="center"/>
        <w:rPr>
          <w:lang w:eastAsia="zh-CN"/>
        </w:rPr>
      </w:pPr>
      <w:bookmarkStart w:id="1148" w:name="_Toc63839083"/>
      <w:bookmarkStart w:id="1149" w:name="_Toc78271317"/>
      <w:bookmarkStart w:id="1150" w:name="_Toc81880065"/>
      <w:r>
        <w:rPr>
          <w:lang w:eastAsia="zh-CN"/>
        </w:rPr>
        <w:t>______________</w:t>
      </w:r>
    </w:p>
    <w:p w14:paraId="4827B16A" w14:textId="77777777" w:rsidR="009E2B08" w:rsidRPr="00D746C3" w:rsidRDefault="009E2B08" w:rsidP="00B64353">
      <w:pPr>
        <w:rPr>
          <w:sz w:val="2"/>
          <w:szCs w:val="2"/>
          <w:lang w:eastAsia="zh-CN"/>
        </w:rPr>
      </w:pPr>
    </w:p>
    <w:p w14:paraId="4827B16B" w14:textId="77777777" w:rsidR="00AE37E2" w:rsidRDefault="00AE37E2">
      <w:pPr>
        <w:tabs>
          <w:tab w:val="clear" w:pos="794"/>
          <w:tab w:val="clear" w:pos="1191"/>
          <w:tab w:val="clear" w:pos="1588"/>
          <w:tab w:val="clear" w:pos="1985"/>
        </w:tabs>
        <w:overflowPunct/>
        <w:autoSpaceDE/>
        <w:autoSpaceDN/>
        <w:adjustRightInd/>
        <w:spacing w:before="0"/>
        <w:jc w:val="left"/>
        <w:textAlignment w:val="auto"/>
        <w:rPr>
          <w:sz w:val="28"/>
          <w:lang w:eastAsia="zh-CN"/>
        </w:rPr>
      </w:pPr>
      <w:bookmarkStart w:id="1151" w:name="_Toc424116980"/>
      <w:bookmarkStart w:id="1152" w:name="_Toc531706325"/>
      <w:bookmarkStart w:id="1153" w:name="_Toc531706924"/>
      <w:bookmarkStart w:id="1154" w:name="_Toc531768414"/>
      <w:bookmarkStart w:id="1155" w:name="_Toc311469580"/>
      <w:bookmarkStart w:id="1156" w:name="_Toc161224022"/>
      <w:bookmarkStart w:id="1157" w:name="_Toc161732068"/>
      <w:bookmarkStart w:id="1158" w:name="_Toc161740995"/>
      <w:bookmarkStart w:id="1159" w:name="_Toc185237667"/>
      <w:bookmarkEnd w:id="1148"/>
      <w:bookmarkEnd w:id="1149"/>
      <w:bookmarkEnd w:id="1150"/>
      <w:r>
        <w:rPr>
          <w:lang w:eastAsia="zh-CN"/>
        </w:rPr>
        <w:br w:type="page"/>
      </w:r>
    </w:p>
    <w:p w14:paraId="4827B16C" w14:textId="62FED77B" w:rsidR="00957261" w:rsidRPr="00957261" w:rsidRDefault="008B1B16" w:rsidP="00A75FB5">
      <w:pPr>
        <w:pStyle w:val="ResNo"/>
        <w:outlineLvl w:val="0"/>
        <w:rPr>
          <w:lang w:eastAsia="zh-CN"/>
        </w:rPr>
      </w:pPr>
      <w:bookmarkStart w:id="1160" w:name="_Toc16085733"/>
      <w:bookmarkStart w:id="1161" w:name="_Toc16088724"/>
      <w:bookmarkStart w:id="1162" w:name="_Toc86395537"/>
      <w:r w:rsidRPr="00957261">
        <w:rPr>
          <w:rFonts w:hint="eastAsia"/>
          <w:lang w:eastAsia="zh-CN"/>
        </w:rPr>
        <w:lastRenderedPageBreak/>
        <w:t>第</w:t>
      </w:r>
      <w:r w:rsidRPr="00957261">
        <w:rPr>
          <w:lang w:eastAsia="zh-CN"/>
        </w:rPr>
        <w:t>1299</w:t>
      </w:r>
      <w:r w:rsidRPr="00957261">
        <w:rPr>
          <w:rFonts w:hint="eastAsia"/>
          <w:lang w:eastAsia="zh-CN"/>
        </w:rPr>
        <w:t>号决议</w:t>
      </w:r>
      <w:r w:rsidR="00957261">
        <w:rPr>
          <w:rFonts w:hint="eastAsia"/>
          <w:lang w:eastAsia="zh-CN"/>
        </w:rPr>
        <w:t>（</w:t>
      </w:r>
      <w:r w:rsidR="00957261" w:rsidRPr="00957261">
        <w:rPr>
          <w:lang w:eastAsia="zh-CN"/>
        </w:rPr>
        <w:t>C</w:t>
      </w:r>
      <w:r w:rsidR="00957261" w:rsidRPr="00957261">
        <w:rPr>
          <w:rFonts w:hint="eastAsia"/>
          <w:lang w:eastAsia="zh-CN"/>
        </w:rPr>
        <w:t>08</w:t>
      </w:r>
      <w:r w:rsidR="00BE57DC">
        <w:rPr>
          <w:rFonts w:hint="eastAsia"/>
          <w:lang w:eastAsia="zh-CN"/>
        </w:rPr>
        <w:t>，</w:t>
      </w:r>
      <w:r w:rsidR="00BE57DC" w:rsidRPr="00BE57DC">
        <w:rPr>
          <w:rFonts w:hint="eastAsia"/>
          <w:lang w:eastAsia="zh-CN"/>
        </w:rPr>
        <w:t>C20</w:t>
      </w:r>
      <w:r w:rsidR="00BE57DC" w:rsidRPr="00BE57DC">
        <w:rPr>
          <w:rFonts w:hint="eastAsia"/>
          <w:lang w:eastAsia="zh-CN"/>
        </w:rPr>
        <w:t>最后修正</w:t>
      </w:r>
      <w:r w:rsidR="00957261">
        <w:rPr>
          <w:rFonts w:hint="eastAsia"/>
          <w:lang w:eastAsia="zh-CN"/>
        </w:rPr>
        <w:t>）</w:t>
      </w:r>
      <w:bookmarkEnd w:id="1151"/>
      <w:bookmarkEnd w:id="1152"/>
      <w:bookmarkEnd w:id="1153"/>
      <w:bookmarkEnd w:id="1154"/>
      <w:bookmarkEnd w:id="1160"/>
      <w:bookmarkEnd w:id="1161"/>
      <w:bookmarkEnd w:id="1162"/>
    </w:p>
    <w:p w14:paraId="4827B16D" w14:textId="1E5A7D89" w:rsidR="008B1B16" w:rsidRPr="00957261" w:rsidRDefault="00DF1313" w:rsidP="00957261">
      <w:pPr>
        <w:pStyle w:val="Restitle"/>
        <w:rPr>
          <w:lang w:eastAsia="zh-CN"/>
        </w:rPr>
      </w:pPr>
      <w:bookmarkStart w:id="1163" w:name="_Toc86395538"/>
      <w:bookmarkEnd w:id="1155"/>
      <w:r w:rsidRPr="00DF1313">
        <w:rPr>
          <w:rFonts w:hint="eastAsia"/>
          <w:lang w:eastAsia="zh-CN"/>
        </w:rPr>
        <w:t>国际电联人力资源战略规划</w:t>
      </w:r>
      <w:bookmarkEnd w:id="1163"/>
    </w:p>
    <w:p w14:paraId="4827B16E" w14:textId="1D900DD5" w:rsidR="008B1B16" w:rsidRPr="00DC48F0" w:rsidRDefault="00786890" w:rsidP="00E51375">
      <w:pPr>
        <w:pStyle w:val="Normalaftertitle0"/>
      </w:pPr>
      <w:r w:rsidRPr="00786890">
        <w:rPr>
          <w:rFonts w:hint="eastAsia"/>
        </w:rPr>
        <w:t>国际电联理事会，</w:t>
      </w:r>
    </w:p>
    <w:p w14:paraId="4827B16F" w14:textId="7825374E" w:rsidR="008B1B16" w:rsidRPr="002A61A3" w:rsidRDefault="0063448D" w:rsidP="00B64353">
      <w:pPr>
        <w:pStyle w:val="Call"/>
        <w:rPr>
          <w:lang w:eastAsia="zh-CN"/>
        </w:rPr>
      </w:pPr>
      <w:r>
        <w:rPr>
          <w:rFonts w:hint="eastAsia"/>
          <w:lang w:eastAsia="zh-CN"/>
        </w:rPr>
        <w:t>认识</w:t>
      </w:r>
      <w:r w:rsidR="008B1B16" w:rsidRPr="002A61A3">
        <w:rPr>
          <w:rFonts w:hint="eastAsia"/>
          <w:lang w:eastAsia="zh-CN"/>
        </w:rPr>
        <w:t>到</w:t>
      </w:r>
    </w:p>
    <w:p w14:paraId="36397EF1" w14:textId="77777777" w:rsidR="00576F17" w:rsidRPr="00B71205" w:rsidRDefault="00576F17" w:rsidP="00576F17">
      <w:pPr>
        <w:rPr>
          <w:szCs w:val="24"/>
          <w:lang w:eastAsia="zh-CN"/>
        </w:rPr>
      </w:pPr>
      <w:r w:rsidRPr="00B71205">
        <w:rPr>
          <w:i/>
          <w:iCs/>
          <w:szCs w:val="24"/>
          <w:lang w:eastAsia="zh-CN"/>
        </w:rPr>
        <w:t>a)</w:t>
      </w:r>
      <w:r w:rsidRPr="00B71205">
        <w:rPr>
          <w:i/>
          <w:iCs/>
          <w:szCs w:val="24"/>
          <w:lang w:eastAsia="zh-CN"/>
        </w:rPr>
        <w:tab/>
      </w:r>
      <w:r w:rsidRPr="00B71205">
        <w:rPr>
          <w:rFonts w:ascii="Arial" w:hAnsi="Arial" w:cs="Arial"/>
          <w:color w:val="333333"/>
          <w:szCs w:val="24"/>
          <w:shd w:val="clear" w:color="auto" w:fill="FFFFFF"/>
          <w:lang w:eastAsia="zh-CN"/>
        </w:rPr>
        <w:t>国际电联《</w:t>
      </w:r>
      <w:r w:rsidRPr="00B71205">
        <w:rPr>
          <w:rFonts w:ascii="Arial" w:hAnsi="Arial" w:cs="Arial" w:hint="eastAsia"/>
          <w:color w:val="333333"/>
          <w:szCs w:val="24"/>
          <w:shd w:val="clear" w:color="auto" w:fill="FFFFFF"/>
          <w:lang w:eastAsia="zh-CN"/>
        </w:rPr>
        <w:t>组织法</w:t>
      </w:r>
      <w:r w:rsidRPr="00B71205">
        <w:rPr>
          <w:rFonts w:ascii="Arial" w:hAnsi="Arial" w:cs="Arial"/>
          <w:color w:val="333333"/>
          <w:szCs w:val="24"/>
          <w:shd w:val="clear" w:color="auto" w:fill="FFFFFF"/>
          <w:lang w:eastAsia="zh-CN"/>
        </w:rPr>
        <w:t>》第</w:t>
      </w:r>
      <w:r w:rsidRPr="00B71205">
        <w:rPr>
          <w:rFonts w:ascii="Arial" w:hAnsi="Arial" w:cs="Arial"/>
          <w:color w:val="333333"/>
          <w:szCs w:val="24"/>
          <w:shd w:val="clear" w:color="auto" w:fill="FFFFFF"/>
          <w:lang w:eastAsia="zh-CN"/>
        </w:rPr>
        <w:t>154</w:t>
      </w:r>
      <w:r w:rsidRPr="00B71205">
        <w:rPr>
          <w:rFonts w:ascii="Arial" w:hAnsi="Arial" w:cs="Arial" w:hint="eastAsia"/>
          <w:color w:val="333333"/>
          <w:szCs w:val="24"/>
          <w:shd w:val="clear" w:color="auto" w:fill="FFFFFF"/>
          <w:lang w:eastAsia="zh-CN"/>
        </w:rPr>
        <w:t>款</w:t>
      </w:r>
      <w:r w:rsidRPr="00B71205">
        <w:rPr>
          <w:rFonts w:ascii="Arial" w:hAnsi="Arial" w:cs="Arial"/>
          <w:color w:val="333333"/>
          <w:szCs w:val="24"/>
          <w:shd w:val="clear" w:color="auto" w:fill="FFFFFF"/>
          <w:lang w:eastAsia="zh-CN"/>
        </w:rPr>
        <w:t>规定，国际电联在</w:t>
      </w:r>
      <w:r w:rsidRPr="00B71205">
        <w:rPr>
          <w:rFonts w:ascii="Arial" w:hAnsi="Arial" w:cs="Arial" w:hint="eastAsia"/>
          <w:color w:val="333333"/>
          <w:szCs w:val="24"/>
          <w:shd w:val="clear" w:color="auto" w:fill="FFFFFF"/>
          <w:lang w:eastAsia="zh-CN"/>
        </w:rPr>
        <w:t>招聘</w:t>
      </w:r>
      <w:r w:rsidRPr="00B71205">
        <w:rPr>
          <w:rFonts w:ascii="Arial" w:hAnsi="Arial" w:cs="Arial"/>
          <w:color w:val="333333"/>
          <w:szCs w:val="24"/>
          <w:shd w:val="clear" w:color="auto" w:fill="FFFFFF"/>
          <w:lang w:eastAsia="zh-CN"/>
        </w:rPr>
        <w:t>工作人员和确定服务条件时应</w:t>
      </w:r>
      <w:r>
        <w:rPr>
          <w:rFonts w:ascii="Arial" w:hAnsi="Arial" w:cs="Arial" w:hint="eastAsia"/>
          <w:color w:val="333333"/>
          <w:szCs w:val="24"/>
          <w:shd w:val="clear" w:color="auto" w:fill="FFFFFF"/>
          <w:lang w:eastAsia="zh-CN"/>
        </w:rPr>
        <w:t>将</w:t>
      </w:r>
      <w:r w:rsidRPr="00B71205">
        <w:rPr>
          <w:rFonts w:ascii="Arial" w:hAnsi="Arial" w:cs="Arial"/>
          <w:color w:val="333333"/>
          <w:szCs w:val="24"/>
          <w:shd w:val="clear" w:color="auto" w:fill="FFFFFF"/>
          <w:lang w:eastAsia="zh-CN"/>
        </w:rPr>
        <w:t>为</w:t>
      </w:r>
      <w:r w:rsidRPr="00B71205">
        <w:rPr>
          <w:rFonts w:ascii="Arial" w:hAnsi="Arial" w:cs="Arial" w:hint="eastAsia"/>
          <w:color w:val="333333"/>
          <w:szCs w:val="24"/>
          <w:shd w:val="clear" w:color="auto" w:fill="FFFFFF"/>
          <w:lang w:eastAsia="zh-CN"/>
        </w:rPr>
        <w:t>国际电联</w:t>
      </w:r>
      <w:r w:rsidRPr="00B71205">
        <w:rPr>
          <w:rFonts w:ascii="Arial" w:hAnsi="Arial" w:cs="Arial"/>
          <w:color w:val="333333"/>
          <w:szCs w:val="24"/>
          <w:shd w:val="clear" w:color="auto" w:fill="FFFFFF"/>
          <w:lang w:eastAsia="zh-CN"/>
        </w:rPr>
        <w:t>确保最高的效率、能力和</w:t>
      </w:r>
      <w:r w:rsidRPr="00B71205">
        <w:rPr>
          <w:rFonts w:ascii="Arial" w:hAnsi="Arial" w:cs="Arial" w:hint="eastAsia"/>
          <w:color w:val="333333"/>
          <w:szCs w:val="24"/>
          <w:shd w:val="clear" w:color="auto" w:fill="FFFFFF"/>
          <w:lang w:eastAsia="zh-CN"/>
        </w:rPr>
        <w:t>道德</w:t>
      </w:r>
      <w:r w:rsidRPr="00B71205">
        <w:rPr>
          <w:rFonts w:ascii="Arial" w:hAnsi="Arial" w:cs="Arial"/>
          <w:color w:val="333333"/>
          <w:szCs w:val="24"/>
          <w:shd w:val="clear" w:color="auto" w:fill="FFFFFF"/>
          <w:lang w:eastAsia="zh-CN"/>
        </w:rPr>
        <w:t>标准的必要性</w:t>
      </w:r>
      <w:r>
        <w:rPr>
          <w:rFonts w:ascii="Arial" w:hAnsi="Arial" w:cs="Arial" w:hint="eastAsia"/>
          <w:color w:val="333333"/>
          <w:szCs w:val="24"/>
          <w:shd w:val="clear" w:color="auto" w:fill="FFFFFF"/>
          <w:lang w:eastAsia="zh-CN"/>
        </w:rPr>
        <w:t>作为</w:t>
      </w:r>
      <w:r w:rsidRPr="00B71205">
        <w:rPr>
          <w:rFonts w:ascii="Arial" w:hAnsi="Arial" w:cs="Arial"/>
          <w:color w:val="333333"/>
          <w:szCs w:val="24"/>
          <w:shd w:val="clear" w:color="auto" w:fill="FFFFFF"/>
          <w:lang w:eastAsia="zh-CN"/>
        </w:rPr>
        <w:t>首要考虑</w:t>
      </w:r>
      <w:r>
        <w:rPr>
          <w:rFonts w:ascii="Arial" w:hAnsi="Arial" w:cs="Arial" w:hint="eastAsia"/>
          <w:color w:val="333333"/>
          <w:szCs w:val="24"/>
          <w:shd w:val="clear" w:color="auto" w:fill="FFFFFF"/>
          <w:lang w:eastAsia="zh-CN"/>
        </w:rPr>
        <w:t>；</w:t>
      </w:r>
    </w:p>
    <w:p w14:paraId="61DC22C6" w14:textId="77777777" w:rsidR="00576F17" w:rsidRDefault="00576F17" w:rsidP="00576F17">
      <w:pPr>
        <w:rPr>
          <w:szCs w:val="24"/>
          <w:lang w:eastAsia="zh-CN"/>
        </w:rPr>
      </w:pPr>
      <w:r w:rsidRPr="00B71205">
        <w:rPr>
          <w:i/>
          <w:iCs/>
          <w:szCs w:val="24"/>
          <w:lang w:eastAsia="zh-CN"/>
        </w:rPr>
        <w:t>b)</w:t>
      </w:r>
      <w:r w:rsidRPr="00B71205">
        <w:rPr>
          <w:szCs w:val="24"/>
          <w:lang w:eastAsia="zh-CN"/>
        </w:rPr>
        <w:tab/>
      </w:r>
      <w:r w:rsidRPr="00B71205">
        <w:rPr>
          <w:rFonts w:hint="eastAsia"/>
          <w:szCs w:val="24"/>
          <w:lang w:eastAsia="zh-CN"/>
        </w:rPr>
        <w:t>第</w:t>
      </w:r>
      <w:r w:rsidRPr="00B71205">
        <w:rPr>
          <w:rFonts w:hint="eastAsia"/>
          <w:szCs w:val="24"/>
          <w:lang w:eastAsia="zh-CN"/>
        </w:rPr>
        <w:t>71</w:t>
      </w:r>
      <w:r w:rsidRPr="00B71205">
        <w:rPr>
          <w:rFonts w:hint="eastAsia"/>
          <w:szCs w:val="24"/>
          <w:lang w:eastAsia="zh-CN"/>
        </w:rPr>
        <w:t>号决议（</w:t>
      </w:r>
      <w:r w:rsidRPr="00B71205">
        <w:rPr>
          <w:rFonts w:hint="eastAsia"/>
          <w:szCs w:val="24"/>
          <w:lang w:eastAsia="zh-CN"/>
        </w:rPr>
        <w:t>2018</w:t>
      </w:r>
      <w:r w:rsidRPr="00B71205">
        <w:rPr>
          <w:rFonts w:hint="eastAsia"/>
          <w:szCs w:val="24"/>
          <w:lang w:eastAsia="zh-CN"/>
        </w:rPr>
        <w:t>年，迪拜，修订版）在其附件</w:t>
      </w:r>
      <w:r w:rsidRPr="00B71205">
        <w:rPr>
          <w:rFonts w:hint="eastAsia"/>
          <w:szCs w:val="24"/>
          <w:lang w:eastAsia="zh-CN"/>
        </w:rPr>
        <w:t>1</w:t>
      </w:r>
      <w:r w:rsidRPr="00B71205">
        <w:rPr>
          <w:rFonts w:hint="eastAsia"/>
          <w:szCs w:val="24"/>
          <w:lang w:eastAsia="zh-CN"/>
        </w:rPr>
        <w:t>表</w:t>
      </w:r>
      <w:r w:rsidRPr="00B71205">
        <w:rPr>
          <w:rFonts w:hint="eastAsia"/>
          <w:szCs w:val="24"/>
          <w:lang w:eastAsia="zh-CN"/>
        </w:rPr>
        <w:t>11</w:t>
      </w:r>
      <w:r w:rsidRPr="00B71205">
        <w:rPr>
          <w:rFonts w:hint="eastAsia"/>
          <w:szCs w:val="24"/>
          <w:lang w:eastAsia="zh-CN"/>
        </w:rPr>
        <w:t>中确立，作为目标，</w:t>
      </w:r>
      <w:r w:rsidRPr="00B71205">
        <w:rPr>
          <w:rFonts w:eastAsiaTheme="minorEastAsia" w:hint="eastAsia"/>
          <w:szCs w:val="24"/>
          <w:lang w:eastAsia="zh-CN"/>
        </w:rPr>
        <w:t>在有利的工作环境中确保人力资源的高效利用</w:t>
      </w:r>
      <w:r w:rsidRPr="00B71205">
        <w:rPr>
          <w:rFonts w:hint="eastAsia"/>
          <w:szCs w:val="24"/>
          <w:lang w:eastAsia="zh-CN"/>
        </w:rPr>
        <w:t>，并且</w:t>
      </w:r>
      <w:r w:rsidRPr="00B71205">
        <w:rPr>
          <w:rFonts w:eastAsiaTheme="minorEastAsia" w:hint="eastAsia"/>
          <w:szCs w:val="24"/>
          <w:lang w:eastAsia="zh-CN"/>
        </w:rPr>
        <w:t>制定和落实能够促进员工队伍可持续发展且</w:t>
      </w:r>
      <w:r>
        <w:rPr>
          <w:rFonts w:eastAsiaTheme="minorEastAsia" w:hint="eastAsia"/>
          <w:szCs w:val="24"/>
          <w:lang w:eastAsia="zh-CN"/>
        </w:rPr>
        <w:t>令</w:t>
      </w:r>
      <w:r w:rsidRPr="00B71205">
        <w:rPr>
          <w:rFonts w:eastAsiaTheme="minorEastAsia" w:hint="eastAsia"/>
          <w:szCs w:val="24"/>
          <w:lang w:eastAsia="zh-CN"/>
        </w:rPr>
        <w:t>员工对工作满意的人力资源框架，其中包括职业发展和培训等内容</w:t>
      </w:r>
      <w:r w:rsidRPr="00B71205">
        <w:rPr>
          <w:rFonts w:hint="eastAsia"/>
          <w:szCs w:val="24"/>
          <w:lang w:eastAsia="zh-CN"/>
        </w:rPr>
        <w:t>；</w:t>
      </w:r>
    </w:p>
    <w:p w14:paraId="4827B170" w14:textId="4FD60DCC" w:rsidR="008B1B16" w:rsidRPr="00576F17" w:rsidRDefault="00576F17" w:rsidP="00576F17">
      <w:pPr>
        <w:rPr>
          <w:szCs w:val="24"/>
          <w:lang w:eastAsia="zh-CN"/>
        </w:rPr>
      </w:pPr>
      <w:r w:rsidRPr="00B71205">
        <w:rPr>
          <w:i/>
          <w:iCs/>
          <w:szCs w:val="24"/>
          <w:lang w:eastAsia="zh-CN"/>
        </w:rPr>
        <w:t>c)</w:t>
      </w:r>
      <w:r w:rsidRPr="00B71205">
        <w:rPr>
          <w:i/>
          <w:iCs/>
          <w:szCs w:val="24"/>
          <w:lang w:eastAsia="zh-CN"/>
        </w:rPr>
        <w:tab/>
      </w:r>
      <w:r w:rsidRPr="00B71205">
        <w:rPr>
          <w:rFonts w:hint="eastAsia"/>
          <w:szCs w:val="24"/>
          <w:lang w:eastAsia="zh-CN"/>
        </w:rPr>
        <w:t>有关人力资源管理和开发的第</w:t>
      </w:r>
      <w:r w:rsidRPr="00B71205">
        <w:rPr>
          <w:szCs w:val="24"/>
          <w:lang w:eastAsia="zh-CN"/>
        </w:rPr>
        <w:t>48</w:t>
      </w:r>
      <w:r w:rsidRPr="00B71205">
        <w:rPr>
          <w:rFonts w:hint="eastAsia"/>
          <w:szCs w:val="24"/>
          <w:lang w:eastAsia="zh-CN"/>
        </w:rPr>
        <w:t>号决议（</w:t>
      </w:r>
      <w:r w:rsidRPr="00B71205">
        <w:rPr>
          <w:rFonts w:hint="eastAsia"/>
          <w:szCs w:val="24"/>
          <w:lang w:eastAsia="zh-CN"/>
        </w:rPr>
        <w:t>20</w:t>
      </w:r>
      <w:r w:rsidRPr="00B71205">
        <w:rPr>
          <w:szCs w:val="24"/>
          <w:lang w:eastAsia="zh-CN"/>
        </w:rPr>
        <w:t>18</w:t>
      </w:r>
      <w:r w:rsidRPr="00B71205">
        <w:rPr>
          <w:rFonts w:hint="eastAsia"/>
          <w:szCs w:val="24"/>
          <w:lang w:eastAsia="zh-CN"/>
        </w:rPr>
        <w:t>年，迪拜，修订版）认识到国际电联的人力资源及其有效管理对于实现</w:t>
      </w:r>
      <w:r w:rsidRPr="00B71205">
        <w:rPr>
          <w:szCs w:val="24"/>
          <w:lang w:eastAsia="zh-CN"/>
        </w:rPr>
        <w:t>2020-2023</w:t>
      </w:r>
      <w:r w:rsidRPr="00B71205">
        <w:rPr>
          <w:rFonts w:hint="eastAsia"/>
          <w:szCs w:val="24"/>
          <w:lang w:eastAsia="zh-CN"/>
        </w:rPr>
        <w:t>年的目标极具价值，并且</w:t>
      </w:r>
      <w:r>
        <w:rPr>
          <w:rFonts w:hint="eastAsia"/>
          <w:szCs w:val="24"/>
          <w:lang w:eastAsia="zh-CN"/>
        </w:rPr>
        <w:t>含有</w:t>
      </w:r>
      <w:r w:rsidRPr="00B71205">
        <w:rPr>
          <w:rFonts w:hint="eastAsia"/>
          <w:szCs w:val="24"/>
          <w:lang w:eastAsia="zh-CN"/>
        </w:rPr>
        <w:t>研究解决国际电联人力资源规划和管理相关问题的决议和决定</w:t>
      </w:r>
      <w:r>
        <w:rPr>
          <w:rFonts w:hint="eastAsia"/>
          <w:szCs w:val="24"/>
          <w:lang w:eastAsia="zh-CN"/>
        </w:rPr>
        <w:t>的</w:t>
      </w:r>
      <w:r w:rsidRPr="00B71205">
        <w:rPr>
          <w:rFonts w:hint="eastAsia"/>
          <w:szCs w:val="24"/>
          <w:lang w:eastAsia="zh-CN"/>
        </w:rPr>
        <w:t>参引，</w:t>
      </w:r>
    </w:p>
    <w:p w14:paraId="4827B171" w14:textId="77777777" w:rsidR="008B1B16" w:rsidRPr="00B51DB4" w:rsidRDefault="008B1B16" w:rsidP="00B64353">
      <w:pPr>
        <w:pStyle w:val="Call"/>
        <w:rPr>
          <w:lang w:eastAsia="zh-CN"/>
        </w:rPr>
      </w:pPr>
      <w:r w:rsidRPr="00B51DB4">
        <w:rPr>
          <w:rFonts w:hint="eastAsia"/>
          <w:lang w:eastAsia="zh-CN"/>
        </w:rPr>
        <w:t>注意到</w:t>
      </w:r>
    </w:p>
    <w:p w14:paraId="620C0C68" w14:textId="77777777" w:rsidR="0063448D" w:rsidRDefault="0063448D" w:rsidP="0063448D">
      <w:pPr>
        <w:tabs>
          <w:tab w:val="left" w:pos="851"/>
        </w:tabs>
        <w:rPr>
          <w:szCs w:val="24"/>
          <w:lang w:eastAsia="zh-CN"/>
        </w:rPr>
      </w:pPr>
      <w:r w:rsidRPr="00B71205">
        <w:rPr>
          <w:rFonts w:hint="eastAsia"/>
          <w:i/>
          <w:iCs/>
          <w:szCs w:val="24"/>
          <w:lang w:eastAsia="zh-CN"/>
        </w:rPr>
        <w:t>a</w:t>
      </w:r>
      <w:r w:rsidRPr="00B71205">
        <w:rPr>
          <w:i/>
          <w:iCs/>
          <w:szCs w:val="24"/>
          <w:lang w:eastAsia="zh-CN"/>
        </w:rPr>
        <w:t>)</w:t>
      </w:r>
      <w:r w:rsidRPr="00B71205">
        <w:rPr>
          <w:szCs w:val="24"/>
          <w:lang w:eastAsia="zh-CN"/>
        </w:rPr>
        <w:tab/>
      </w:r>
      <w:r w:rsidRPr="00B71205">
        <w:rPr>
          <w:rFonts w:hint="eastAsia"/>
          <w:szCs w:val="24"/>
          <w:lang w:eastAsia="zh-CN"/>
        </w:rPr>
        <w:t>第</w:t>
      </w:r>
      <w:r w:rsidRPr="00B71205">
        <w:rPr>
          <w:szCs w:val="24"/>
          <w:lang w:eastAsia="zh-CN"/>
        </w:rPr>
        <w:t>48</w:t>
      </w:r>
      <w:r w:rsidRPr="00B71205">
        <w:rPr>
          <w:rFonts w:hint="eastAsia"/>
          <w:szCs w:val="24"/>
          <w:lang w:eastAsia="zh-CN"/>
        </w:rPr>
        <w:t>号决议</w:t>
      </w:r>
      <w:r w:rsidRPr="00B71205">
        <w:rPr>
          <w:rFonts w:ascii="STKaiti" w:eastAsia="STKaiti" w:hAnsi="STKaiti" w:hint="eastAsia"/>
          <w:szCs w:val="24"/>
          <w:lang w:eastAsia="zh-CN"/>
        </w:rPr>
        <w:t>特别</w:t>
      </w:r>
      <w:r w:rsidRPr="00B71205">
        <w:rPr>
          <w:rFonts w:hint="eastAsia"/>
          <w:szCs w:val="24"/>
          <w:lang w:eastAsia="zh-CN"/>
        </w:rPr>
        <w:t>责成秘书长在协调委员会的协助下并与</w:t>
      </w:r>
      <w:r>
        <w:rPr>
          <w:rFonts w:hint="eastAsia"/>
          <w:szCs w:val="24"/>
          <w:lang w:eastAsia="zh-CN"/>
        </w:rPr>
        <w:t>各</w:t>
      </w:r>
      <w:r w:rsidRPr="00B71205">
        <w:rPr>
          <w:rFonts w:hint="eastAsia"/>
          <w:szCs w:val="24"/>
          <w:lang w:eastAsia="zh-CN"/>
        </w:rPr>
        <w:t>区域代表处协作，制定并执行符合国际电联战略和财务规划的四年期</w:t>
      </w:r>
      <w:r>
        <w:rPr>
          <w:rFonts w:hint="eastAsia"/>
          <w:szCs w:val="24"/>
          <w:lang w:eastAsia="zh-CN"/>
        </w:rPr>
        <w:t>《</w:t>
      </w:r>
      <w:r w:rsidRPr="00B71205">
        <w:rPr>
          <w:rFonts w:hint="eastAsia"/>
          <w:szCs w:val="24"/>
          <w:lang w:eastAsia="zh-CN"/>
        </w:rPr>
        <w:t>人力资源战略规划</w:t>
      </w:r>
      <w:r>
        <w:rPr>
          <w:rFonts w:hint="eastAsia"/>
          <w:szCs w:val="24"/>
          <w:lang w:eastAsia="zh-CN"/>
        </w:rPr>
        <w:t>》</w:t>
      </w:r>
      <w:r w:rsidRPr="00B71205">
        <w:rPr>
          <w:rFonts w:hint="eastAsia"/>
          <w:szCs w:val="24"/>
          <w:lang w:eastAsia="zh-CN"/>
        </w:rPr>
        <w:t>（</w:t>
      </w:r>
      <w:r w:rsidRPr="00B71205">
        <w:rPr>
          <w:rFonts w:hint="eastAsia"/>
          <w:szCs w:val="24"/>
          <w:lang w:eastAsia="zh-CN"/>
        </w:rPr>
        <w:t>HRSP</w:t>
      </w:r>
      <w:r w:rsidRPr="00B71205">
        <w:rPr>
          <w:rFonts w:hint="eastAsia"/>
          <w:szCs w:val="24"/>
          <w:lang w:eastAsia="zh-CN"/>
        </w:rPr>
        <w:t>），以满足国际电联、其成员和员</w:t>
      </w:r>
      <w:r>
        <w:rPr>
          <w:rFonts w:hint="eastAsia"/>
          <w:szCs w:val="24"/>
          <w:lang w:eastAsia="zh-CN"/>
        </w:rPr>
        <w:t>工</w:t>
      </w:r>
      <w:r w:rsidRPr="00B71205">
        <w:rPr>
          <w:rFonts w:hint="eastAsia"/>
          <w:szCs w:val="24"/>
          <w:lang w:eastAsia="zh-CN"/>
        </w:rPr>
        <w:t>的需要；</w:t>
      </w:r>
    </w:p>
    <w:p w14:paraId="4827B172" w14:textId="133E8F4C" w:rsidR="008B1B16" w:rsidRPr="0063448D" w:rsidRDefault="0063448D" w:rsidP="0063448D">
      <w:pPr>
        <w:tabs>
          <w:tab w:val="left" w:pos="851"/>
        </w:tabs>
        <w:rPr>
          <w:szCs w:val="24"/>
          <w:lang w:eastAsia="zh-CN"/>
        </w:rPr>
      </w:pPr>
      <w:r w:rsidRPr="00B71205">
        <w:rPr>
          <w:rFonts w:hint="eastAsia"/>
          <w:i/>
          <w:iCs/>
          <w:szCs w:val="24"/>
          <w:lang w:eastAsia="zh-CN"/>
        </w:rPr>
        <w:t>b</w:t>
      </w:r>
      <w:r w:rsidRPr="00B71205">
        <w:rPr>
          <w:i/>
          <w:iCs/>
          <w:szCs w:val="24"/>
          <w:lang w:eastAsia="zh-CN"/>
        </w:rPr>
        <w:t>)</w:t>
      </w:r>
      <w:r w:rsidRPr="00B71205">
        <w:rPr>
          <w:szCs w:val="24"/>
          <w:lang w:eastAsia="zh-CN"/>
        </w:rPr>
        <w:tab/>
      </w:r>
      <w:r w:rsidRPr="00B71205">
        <w:rPr>
          <w:rFonts w:hint="eastAsia"/>
          <w:szCs w:val="24"/>
          <w:lang w:eastAsia="zh-CN"/>
        </w:rPr>
        <w:t>根据第</w:t>
      </w:r>
      <w:r w:rsidRPr="00B71205">
        <w:rPr>
          <w:rFonts w:hint="eastAsia"/>
          <w:szCs w:val="24"/>
          <w:lang w:eastAsia="zh-CN"/>
        </w:rPr>
        <w:t>48</w:t>
      </w:r>
      <w:r w:rsidRPr="00B71205">
        <w:rPr>
          <w:rFonts w:hint="eastAsia"/>
          <w:szCs w:val="24"/>
          <w:lang w:eastAsia="zh-CN"/>
        </w:rPr>
        <w:t>号决议，有必要改进并实施旨在促进委任职员公平地域分配和男女平等的招聘政策和程序，</w:t>
      </w:r>
    </w:p>
    <w:p w14:paraId="4827B173" w14:textId="18EA69B7" w:rsidR="008B1B16" w:rsidRPr="00B51DB4" w:rsidRDefault="00EB3E2D" w:rsidP="00B64353">
      <w:pPr>
        <w:pStyle w:val="Call"/>
        <w:rPr>
          <w:lang w:eastAsia="zh-CN"/>
        </w:rPr>
      </w:pPr>
      <w:r w:rsidRPr="00EB3E2D">
        <w:rPr>
          <w:rFonts w:hint="eastAsia"/>
          <w:lang w:eastAsia="zh-CN"/>
        </w:rPr>
        <w:t>考虑到</w:t>
      </w:r>
    </w:p>
    <w:p w14:paraId="4827B174" w14:textId="1D78AABF" w:rsidR="008B1B16" w:rsidRDefault="00993A48" w:rsidP="00957261">
      <w:pPr>
        <w:ind w:firstLineChars="200" w:firstLine="480"/>
        <w:rPr>
          <w:lang w:eastAsia="zh-CN"/>
        </w:rPr>
      </w:pPr>
      <w:r w:rsidRPr="00993A48">
        <w:rPr>
          <w:rFonts w:hint="eastAsia"/>
          <w:lang w:eastAsia="zh-CN"/>
        </w:rPr>
        <w:t>长期的人力资源规划对于国际电联员工的适当管理和开发、继任规划的做出以有效满足国际电联需求至关重要，</w:t>
      </w:r>
    </w:p>
    <w:p w14:paraId="4827B175" w14:textId="77777777" w:rsidR="008B1B16" w:rsidRPr="00B51DB4" w:rsidRDefault="008B1B16" w:rsidP="00B64353">
      <w:pPr>
        <w:pStyle w:val="Call"/>
        <w:rPr>
          <w:lang w:eastAsia="zh-CN"/>
        </w:rPr>
      </w:pPr>
      <w:r w:rsidRPr="00B51DB4">
        <w:rPr>
          <w:rFonts w:hint="eastAsia"/>
          <w:lang w:eastAsia="zh-CN"/>
        </w:rPr>
        <w:t>做出决议</w:t>
      </w:r>
    </w:p>
    <w:p w14:paraId="77569F19" w14:textId="77777777" w:rsidR="004061C7" w:rsidRPr="00B71205" w:rsidRDefault="004061C7" w:rsidP="004061C7">
      <w:pPr>
        <w:rPr>
          <w:szCs w:val="24"/>
          <w:lang w:eastAsia="zh-CN"/>
        </w:rPr>
      </w:pPr>
      <w:r w:rsidRPr="00B71205">
        <w:rPr>
          <w:szCs w:val="24"/>
          <w:lang w:eastAsia="zh-CN"/>
        </w:rPr>
        <w:t>1</w:t>
      </w:r>
      <w:r w:rsidRPr="00B71205">
        <w:rPr>
          <w:szCs w:val="24"/>
          <w:lang w:eastAsia="zh-CN"/>
        </w:rPr>
        <w:tab/>
      </w:r>
      <w:r w:rsidRPr="00B71205">
        <w:rPr>
          <w:rFonts w:hint="eastAsia"/>
          <w:szCs w:val="24"/>
          <w:lang w:eastAsia="zh-CN"/>
        </w:rPr>
        <w:t>批准根据第</w:t>
      </w:r>
      <w:r w:rsidRPr="00B71205">
        <w:rPr>
          <w:rFonts w:hint="eastAsia"/>
          <w:szCs w:val="24"/>
          <w:lang w:eastAsia="zh-CN"/>
        </w:rPr>
        <w:t>48</w:t>
      </w:r>
      <w:r w:rsidRPr="00B71205">
        <w:rPr>
          <w:rFonts w:hint="eastAsia"/>
          <w:szCs w:val="24"/>
          <w:lang w:eastAsia="zh-CN"/>
        </w:rPr>
        <w:t>号决议（</w:t>
      </w:r>
      <w:r w:rsidRPr="00B71205">
        <w:rPr>
          <w:rFonts w:hint="eastAsia"/>
          <w:szCs w:val="24"/>
          <w:lang w:eastAsia="zh-CN"/>
        </w:rPr>
        <w:t>2018</w:t>
      </w:r>
      <w:r w:rsidRPr="00B71205">
        <w:rPr>
          <w:rFonts w:hint="eastAsia"/>
          <w:szCs w:val="24"/>
          <w:lang w:eastAsia="zh-CN"/>
        </w:rPr>
        <w:t>年，迪拜，修订版）</w:t>
      </w:r>
      <w:r w:rsidRPr="00B71205">
        <w:rPr>
          <w:rFonts w:ascii="STKaiti" w:eastAsia="STKaiti" w:hAnsi="STKaiti" w:hint="eastAsia"/>
          <w:szCs w:val="24"/>
          <w:lang w:eastAsia="zh-CN"/>
        </w:rPr>
        <w:t>责成秘书长第2段</w:t>
      </w:r>
      <w:r w:rsidRPr="00B71205">
        <w:rPr>
          <w:rFonts w:hint="eastAsia"/>
          <w:szCs w:val="24"/>
          <w:lang w:eastAsia="zh-CN"/>
        </w:rPr>
        <w:t>制定的</w:t>
      </w:r>
      <w:r w:rsidRPr="00B71205">
        <w:rPr>
          <w:rFonts w:hint="eastAsia"/>
          <w:szCs w:val="24"/>
          <w:lang w:eastAsia="zh-CN"/>
        </w:rPr>
        <w:t>2020-2023</w:t>
      </w:r>
      <w:r w:rsidRPr="00B71205">
        <w:rPr>
          <w:rFonts w:hint="eastAsia"/>
          <w:szCs w:val="24"/>
          <w:lang w:eastAsia="zh-CN"/>
        </w:rPr>
        <w:t>年四年期</w:t>
      </w:r>
      <w:r>
        <w:rPr>
          <w:rFonts w:hint="eastAsia"/>
          <w:szCs w:val="24"/>
          <w:lang w:eastAsia="zh-CN"/>
        </w:rPr>
        <w:t>《</w:t>
      </w:r>
      <w:r w:rsidRPr="00B71205">
        <w:rPr>
          <w:rFonts w:hint="eastAsia"/>
          <w:szCs w:val="24"/>
          <w:lang w:eastAsia="zh-CN"/>
        </w:rPr>
        <w:t>人力资源战略规划</w:t>
      </w:r>
      <w:r>
        <w:rPr>
          <w:rFonts w:hint="eastAsia"/>
          <w:szCs w:val="24"/>
          <w:lang w:eastAsia="zh-CN"/>
        </w:rPr>
        <w:t>》</w:t>
      </w:r>
      <w:r w:rsidRPr="00B71205">
        <w:rPr>
          <w:rFonts w:hint="eastAsia"/>
          <w:szCs w:val="24"/>
          <w:lang w:eastAsia="zh-CN"/>
        </w:rPr>
        <w:t>（</w:t>
      </w:r>
      <w:r w:rsidRPr="00B71205">
        <w:rPr>
          <w:rFonts w:hint="eastAsia"/>
          <w:szCs w:val="24"/>
          <w:lang w:eastAsia="zh-CN"/>
        </w:rPr>
        <w:t>H</w:t>
      </w:r>
      <w:r w:rsidRPr="00B71205">
        <w:rPr>
          <w:szCs w:val="24"/>
          <w:lang w:eastAsia="zh-CN"/>
        </w:rPr>
        <w:t>RSP</w:t>
      </w:r>
      <w:r w:rsidRPr="00B71205">
        <w:rPr>
          <w:rFonts w:hint="eastAsia"/>
          <w:szCs w:val="24"/>
          <w:lang w:eastAsia="zh-CN"/>
        </w:rPr>
        <w:t>）；</w:t>
      </w:r>
    </w:p>
    <w:p w14:paraId="6C6AFD7C" w14:textId="77777777" w:rsidR="004061C7" w:rsidRDefault="004061C7" w:rsidP="004061C7">
      <w:pPr>
        <w:rPr>
          <w:szCs w:val="24"/>
          <w:lang w:eastAsia="zh-CN"/>
        </w:rPr>
      </w:pPr>
      <w:r w:rsidRPr="00B71205">
        <w:rPr>
          <w:szCs w:val="24"/>
          <w:lang w:eastAsia="zh-CN"/>
        </w:rPr>
        <w:t>2</w:t>
      </w:r>
      <w:r w:rsidRPr="00B71205">
        <w:rPr>
          <w:szCs w:val="24"/>
          <w:lang w:eastAsia="zh-CN"/>
        </w:rPr>
        <w:tab/>
      </w:r>
      <w:r w:rsidRPr="00B71205">
        <w:rPr>
          <w:rFonts w:hint="eastAsia"/>
          <w:szCs w:val="24"/>
          <w:lang w:eastAsia="zh-CN"/>
        </w:rPr>
        <w:t>审议</w:t>
      </w:r>
      <w:r>
        <w:rPr>
          <w:rFonts w:hint="eastAsia"/>
          <w:szCs w:val="24"/>
          <w:lang w:eastAsia="zh-CN"/>
        </w:rPr>
        <w:t>在</w:t>
      </w:r>
      <w:r w:rsidRPr="00B71205">
        <w:rPr>
          <w:rFonts w:hint="eastAsia"/>
          <w:szCs w:val="24"/>
          <w:lang w:eastAsia="zh-CN"/>
        </w:rPr>
        <w:t>2020</w:t>
      </w:r>
      <w:r w:rsidRPr="00B71205">
        <w:rPr>
          <w:rFonts w:hint="eastAsia"/>
          <w:szCs w:val="24"/>
          <w:lang w:eastAsia="zh-CN"/>
        </w:rPr>
        <w:t>至</w:t>
      </w:r>
      <w:r w:rsidRPr="00B71205">
        <w:rPr>
          <w:rFonts w:hint="eastAsia"/>
          <w:szCs w:val="24"/>
          <w:lang w:eastAsia="zh-CN"/>
        </w:rPr>
        <w:t>2023</w:t>
      </w:r>
      <w:r w:rsidRPr="00B71205">
        <w:rPr>
          <w:rFonts w:hint="eastAsia"/>
          <w:szCs w:val="24"/>
          <w:lang w:eastAsia="zh-CN"/>
        </w:rPr>
        <w:t>年理事会会议期间理事们提交的文稿，以</w:t>
      </w:r>
      <w:r>
        <w:rPr>
          <w:rFonts w:hint="eastAsia"/>
          <w:szCs w:val="24"/>
          <w:lang w:eastAsia="zh-CN"/>
        </w:rPr>
        <w:t>研究</w:t>
      </w:r>
      <w:r w:rsidRPr="00B71205">
        <w:rPr>
          <w:rFonts w:hint="eastAsia"/>
          <w:szCs w:val="24"/>
          <w:lang w:eastAsia="zh-CN"/>
        </w:rPr>
        <w:t>解决第</w:t>
      </w:r>
      <w:r w:rsidRPr="00B71205">
        <w:rPr>
          <w:rFonts w:hint="eastAsia"/>
          <w:szCs w:val="24"/>
          <w:lang w:eastAsia="zh-CN"/>
        </w:rPr>
        <w:t>48</w:t>
      </w:r>
      <w:r w:rsidRPr="00B71205">
        <w:rPr>
          <w:rFonts w:hint="eastAsia"/>
          <w:szCs w:val="24"/>
          <w:lang w:eastAsia="zh-CN"/>
        </w:rPr>
        <w:t>号决议（</w:t>
      </w:r>
      <w:r w:rsidRPr="00B71205">
        <w:rPr>
          <w:rFonts w:hint="eastAsia"/>
          <w:szCs w:val="24"/>
          <w:lang w:eastAsia="zh-CN"/>
        </w:rPr>
        <w:t>2018</w:t>
      </w:r>
      <w:r w:rsidRPr="00B71205">
        <w:rPr>
          <w:rFonts w:hint="eastAsia"/>
          <w:szCs w:val="24"/>
          <w:lang w:eastAsia="zh-CN"/>
        </w:rPr>
        <w:t>年，迪拜，修订版）各附件所列问题</w:t>
      </w:r>
      <w:r>
        <w:rPr>
          <w:rFonts w:hint="eastAsia"/>
          <w:szCs w:val="24"/>
          <w:lang w:eastAsia="zh-CN"/>
        </w:rPr>
        <w:t>，</w:t>
      </w:r>
      <w:r w:rsidRPr="00B71205">
        <w:rPr>
          <w:rFonts w:hint="eastAsia"/>
          <w:szCs w:val="24"/>
          <w:lang w:eastAsia="zh-CN"/>
        </w:rPr>
        <w:t>并</w:t>
      </w:r>
      <w:r>
        <w:rPr>
          <w:rFonts w:hint="eastAsia"/>
          <w:szCs w:val="24"/>
          <w:lang w:eastAsia="zh-CN"/>
        </w:rPr>
        <w:t>且</w:t>
      </w:r>
      <w:r w:rsidRPr="00B71205">
        <w:rPr>
          <w:rFonts w:hint="eastAsia"/>
          <w:szCs w:val="24"/>
          <w:lang w:eastAsia="zh-CN"/>
        </w:rPr>
        <w:t>确保所考虑和采取的</w:t>
      </w:r>
      <w:r>
        <w:rPr>
          <w:rFonts w:hint="eastAsia"/>
          <w:szCs w:val="24"/>
          <w:lang w:eastAsia="zh-CN"/>
        </w:rPr>
        <w:t>任何</w:t>
      </w:r>
      <w:r w:rsidRPr="00B71205">
        <w:rPr>
          <w:rFonts w:hint="eastAsia"/>
          <w:szCs w:val="24"/>
          <w:lang w:eastAsia="zh-CN"/>
        </w:rPr>
        <w:t>措施均有助于实施</w:t>
      </w:r>
      <w:r w:rsidRPr="00B71205">
        <w:rPr>
          <w:rFonts w:hint="eastAsia"/>
          <w:szCs w:val="24"/>
          <w:lang w:eastAsia="zh-CN"/>
        </w:rPr>
        <w:t>HRSP</w:t>
      </w:r>
      <w:r w:rsidRPr="00B71205">
        <w:rPr>
          <w:rFonts w:hint="eastAsia"/>
          <w:szCs w:val="24"/>
          <w:lang w:eastAsia="zh-CN"/>
        </w:rPr>
        <w:t>；</w:t>
      </w:r>
    </w:p>
    <w:p w14:paraId="4827B176" w14:textId="293BE722" w:rsidR="008B1B16" w:rsidRDefault="004061C7" w:rsidP="004061C7">
      <w:pPr>
        <w:rPr>
          <w:rFonts w:asciiTheme="minorEastAsia" w:eastAsiaTheme="minorEastAsia" w:hAnsiTheme="minorEastAsia"/>
          <w:szCs w:val="24"/>
          <w:lang w:eastAsia="zh-CN"/>
        </w:rPr>
      </w:pPr>
      <w:r w:rsidRPr="00B71205">
        <w:rPr>
          <w:szCs w:val="24"/>
          <w:lang w:eastAsia="zh-CN"/>
        </w:rPr>
        <w:t>3</w:t>
      </w:r>
      <w:r w:rsidRPr="00B71205">
        <w:rPr>
          <w:szCs w:val="24"/>
          <w:lang w:eastAsia="zh-CN"/>
        </w:rPr>
        <w:tab/>
      </w:r>
      <w:r w:rsidRPr="00B71205">
        <w:rPr>
          <w:rFonts w:asciiTheme="minorEastAsia" w:eastAsiaTheme="minorEastAsia" w:hAnsiTheme="minorEastAsia" w:hint="eastAsia"/>
          <w:szCs w:val="24"/>
          <w:lang w:eastAsia="zh-CN"/>
        </w:rPr>
        <w:t>审议秘书长关于落实H</w:t>
      </w:r>
      <w:r w:rsidRPr="00B71205">
        <w:rPr>
          <w:rFonts w:asciiTheme="minorEastAsia" w:eastAsiaTheme="minorEastAsia" w:hAnsiTheme="minorEastAsia"/>
          <w:szCs w:val="24"/>
          <w:lang w:eastAsia="zh-CN"/>
        </w:rPr>
        <w:t>RSP</w:t>
      </w:r>
      <w:r w:rsidRPr="00B71205">
        <w:rPr>
          <w:rFonts w:asciiTheme="minorEastAsia" w:eastAsiaTheme="minorEastAsia" w:hAnsiTheme="minorEastAsia" w:hint="eastAsia"/>
          <w:szCs w:val="24"/>
          <w:lang w:eastAsia="zh-CN"/>
        </w:rPr>
        <w:t>和第48号决议的年度报告并</w:t>
      </w:r>
      <w:r>
        <w:rPr>
          <w:rFonts w:asciiTheme="minorEastAsia" w:eastAsiaTheme="minorEastAsia" w:hAnsiTheme="minorEastAsia" w:hint="eastAsia"/>
          <w:szCs w:val="24"/>
          <w:lang w:eastAsia="zh-CN"/>
        </w:rPr>
        <w:t>且</w:t>
      </w:r>
      <w:r w:rsidRPr="00B71205">
        <w:rPr>
          <w:rFonts w:asciiTheme="minorEastAsia" w:eastAsiaTheme="minorEastAsia" w:hAnsiTheme="minorEastAsia" w:hint="eastAsia"/>
          <w:szCs w:val="24"/>
          <w:lang w:eastAsia="zh-CN"/>
        </w:rPr>
        <w:t>就</w:t>
      </w:r>
      <w:r>
        <w:rPr>
          <w:rFonts w:asciiTheme="minorEastAsia" w:eastAsiaTheme="minorEastAsia" w:hAnsiTheme="minorEastAsia" w:hint="eastAsia"/>
          <w:szCs w:val="24"/>
          <w:lang w:eastAsia="zh-CN"/>
        </w:rPr>
        <w:t>所需</w:t>
      </w:r>
      <w:r w:rsidRPr="00B71205">
        <w:rPr>
          <w:rFonts w:asciiTheme="minorEastAsia" w:eastAsiaTheme="minorEastAsia" w:hAnsiTheme="minorEastAsia" w:hint="eastAsia"/>
          <w:szCs w:val="24"/>
          <w:lang w:eastAsia="zh-CN"/>
        </w:rPr>
        <w:t>措施做出决定，</w:t>
      </w:r>
    </w:p>
    <w:p w14:paraId="7A1ECA61" w14:textId="0A46F2F0" w:rsidR="00D019FA" w:rsidRDefault="00D019FA">
      <w:pPr>
        <w:tabs>
          <w:tab w:val="clear" w:pos="794"/>
          <w:tab w:val="clear" w:pos="1191"/>
          <w:tab w:val="clear" w:pos="1588"/>
          <w:tab w:val="clear" w:pos="1985"/>
        </w:tabs>
        <w:overflowPunct/>
        <w:autoSpaceDE/>
        <w:autoSpaceDN/>
        <w:adjustRightInd/>
        <w:spacing w:before="0"/>
        <w:jc w:val="left"/>
        <w:textAlignment w:val="auto"/>
        <w:rPr>
          <w:szCs w:val="24"/>
          <w:lang w:eastAsia="zh-CN"/>
        </w:rPr>
      </w:pPr>
      <w:r>
        <w:rPr>
          <w:szCs w:val="24"/>
          <w:lang w:eastAsia="zh-CN"/>
        </w:rPr>
        <w:br w:type="page"/>
      </w:r>
    </w:p>
    <w:p w14:paraId="4827B177" w14:textId="67610F39" w:rsidR="008B1B16" w:rsidRPr="00B51DB4" w:rsidRDefault="004B7D06" w:rsidP="00B64353">
      <w:pPr>
        <w:pStyle w:val="Call"/>
        <w:rPr>
          <w:lang w:eastAsia="zh-CN"/>
        </w:rPr>
      </w:pPr>
      <w:r w:rsidRPr="004B7D06">
        <w:rPr>
          <w:rFonts w:hint="eastAsia"/>
          <w:lang w:eastAsia="zh-CN"/>
        </w:rPr>
        <w:lastRenderedPageBreak/>
        <w:t>进一步做出决议，责成秘书长</w:t>
      </w:r>
    </w:p>
    <w:p w14:paraId="0B51483B" w14:textId="77777777" w:rsidR="00434463" w:rsidRDefault="00434463" w:rsidP="00434463">
      <w:pPr>
        <w:rPr>
          <w:szCs w:val="24"/>
          <w:lang w:eastAsia="zh-CN"/>
        </w:rPr>
      </w:pPr>
      <w:r w:rsidRPr="00B71205">
        <w:rPr>
          <w:szCs w:val="24"/>
          <w:lang w:eastAsia="zh-CN"/>
        </w:rPr>
        <w:t>1</w:t>
      </w:r>
      <w:r w:rsidRPr="00B71205">
        <w:rPr>
          <w:szCs w:val="24"/>
          <w:lang w:eastAsia="zh-CN"/>
        </w:rPr>
        <w:tab/>
      </w:r>
      <w:r w:rsidRPr="00B71205">
        <w:rPr>
          <w:rFonts w:eastAsiaTheme="minorEastAsia" w:cstheme="minorHAnsi" w:hint="eastAsia"/>
          <w:szCs w:val="24"/>
          <w:lang w:eastAsia="zh-CN"/>
        </w:rPr>
        <w:t>与国际电联职工委员会合作，根据上述</w:t>
      </w:r>
      <w:r w:rsidRPr="00B71205">
        <w:rPr>
          <w:rFonts w:ascii="STKaiti" w:eastAsia="STKaiti" w:hAnsi="STKaiti" w:cstheme="minorHAnsi" w:hint="eastAsia"/>
          <w:szCs w:val="24"/>
          <w:lang w:eastAsia="zh-CN"/>
        </w:rPr>
        <w:t>做出决议</w:t>
      </w:r>
      <w:r w:rsidRPr="00B71205">
        <w:rPr>
          <w:rFonts w:eastAsiaTheme="minorEastAsia" w:cstheme="minorHAnsi"/>
          <w:szCs w:val="24"/>
          <w:lang w:eastAsia="zh-CN"/>
        </w:rPr>
        <w:t>2</w:t>
      </w:r>
      <w:r w:rsidRPr="00B71205">
        <w:rPr>
          <w:rFonts w:eastAsiaTheme="minorEastAsia" w:cstheme="minorHAnsi" w:hint="eastAsia"/>
          <w:szCs w:val="24"/>
          <w:lang w:eastAsia="zh-CN"/>
        </w:rPr>
        <w:t>，对</w:t>
      </w:r>
      <w:r w:rsidRPr="00B71205">
        <w:rPr>
          <w:rFonts w:eastAsiaTheme="minorEastAsia" w:cstheme="minorHAnsi"/>
          <w:szCs w:val="24"/>
          <w:lang w:eastAsia="zh-CN"/>
        </w:rPr>
        <w:t>HRSP</w:t>
      </w:r>
      <w:r w:rsidRPr="00B71205">
        <w:rPr>
          <w:rFonts w:eastAsiaTheme="minorEastAsia" w:cstheme="minorHAnsi" w:hint="eastAsia"/>
          <w:szCs w:val="24"/>
          <w:lang w:eastAsia="zh-CN"/>
        </w:rPr>
        <w:t>做出必要修改，并且将更新后的</w:t>
      </w:r>
      <w:r w:rsidRPr="00B71205">
        <w:rPr>
          <w:rFonts w:eastAsiaTheme="minorEastAsia" w:cstheme="minorHAnsi"/>
          <w:szCs w:val="24"/>
          <w:lang w:eastAsia="zh-CN"/>
        </w:rPr>
        <w:t>HRSP</w:t>
      </w:r>
      <w:r w:rsidRPr="00B71205">
        <w:rPr>
          <w:rFonts w:eastAsiaTheme="minorEastAsia" w:cstheme="minorHAnsi" w:hint="eastAsia"/>
          <w:szCs w:val="24"/>
          <w:lang w:eastAsia="zh-CN"/>
        </w:rPr>
        <w:t>提交理事会审议；</w:t>
      </w:r>
    </w:p>
    <w:p w14:paraId="4827B178" w14:textId="446C56F8" w:rsidR="008B1B16" w:rsidRPr="00434463" w:rsidRDefault="00434463" w:rsidP="00434463">
      <w:pPr>
        <w:rPr>
          <w:szCs w:val="24"/>
          <w:lang w:eastAsia="zh-CN"/>
        </w:rPr>
      </w:pPr>
      <w:r w:rsidRPr="00B71205">
        <w:rPr>
          <w:szCs w:val="24"/>
          <w:lang w:eastAsia="zh-CN"/>
        </w:rPr>
        <w:t>2</w:t>
      </w:r>
      <w:r w:rsidRPr="00B71205">
        <w:rPr>
          <w:szCs w:val="24"/>
          <w:lang w:eastAsia="zh-CN"/>
        </w:rPr>
        <w:tab/>
      </w:r>
      <w:r w:rsidRPr="00B71205">
        <w:rPr>
          <w:rFonts w:eastAsiaTheme="minorEastAsia" w:cstheme="minorHAnsi" w:hint="eastAsia"/>
          <w:szCs w:val="24"/>
          <w:lang w:eastAsia="zh-CN"/>
        </w:rPr>
        <w:t>监督国际公务员制度委员会（</w:t>
      </w:r>
      <w:r w:rsidRPr="00B71205">
        <w:rPr>
          <w:rFonts w:eastAsiaTheme="minorEastAsia" w:cstheme="minorHAnsi"/>
          <w:szCs w:val="24"/>
          <w:lang w:eastAsia="zh-CN"/>
        </w:rPr>
        <w:t>ICSC</w:t>
      </w:r>
      <w:r w:rsidRPr="00B71205">
        <w:rPr>
          <w:rFonts w:eastAsiaTheme="minorEastAsia" w:cstheme="minorHAnsi" w:hint="eastAsia"/>
          <w:szCs w:val="24"/>
          <w:lang w:eastAsia="zh-CN"/>
        </w:rPr>
        <w:t>）提出、并经联合国大会批准的</w:t>
      </w:r>
      <w:r>
        <w:rPr>
          <w:rFonts w:eastAsiaTheme="minorEastAsia" w:cstheme="minorHAnsi" w:hint="eastAsia"/>
          <w:szCs w:val="24"/>
          <w:lang w:eastAsia="zh-CN"/>
        </w:rPr>
        <w:t>各项</w:t>
      </w:r>
      <w:r w:rsidRPr="00B71205">
        <w:rPr>
          <w:rFonts w:eastAsiaTheme="minorEastAsia" w:cstheme="minorHAnsi" w:hint="eastAsia"/>
          <w:szCs w:val="24"/>
          <w:lang w:eastAsia="zh-CN"/>
        </w:rPr>
        <w:t>建议，以</w:t>
      </w:r>
      <w:r>
        <w:rPr>
          <w:rFonts w:eastAsiaTheme="minorEastAsia" w:cstheme="minorHAnsi" w:hint="eastAsia"/>
          <w:szCs w:val="24"/>
          <w:lang w:eastAsia="zh-CN"/>
        </w:rPr>
        <w:t>便</w:t>
      </w:r>
      <w:r w:rsidRPr="00B71205">
        <w:rPr>
          <w:rFonts w:eastAsiaTheme="minorEastAsia" w:cstheme="minorHAnsi" w:hint="eastAsia"/>
          <w:szCs w:val="24"/>
          <w:lang w:eastAsia="zh-CN"/>
        </w:rPr>
        <w:t>根据理事会通过的规定和程序</w:t>
      </w:r>
      <w:r>
        <w:rPr>
          <w:rFonts w:eastAsiaTheme="minorEastAsia" w:cstheme="minorHAnsi" w:hint="eastAsia"/>
          <w:szCs w:val="24"/>
          <w:lang w:eastAsia="zh-CN"/>
        </w:rPr>
        <w:t>，</w:t>
      </w:r>
      <w:r w:rsidRPr="00B71205">
        <w:rPr>
          <w:rFonts w:eastAsiaTheme="minorEastAsia" w:cstheme="minorHAnsi" w:hint="eastAsia"/>
          <w:szCs w:val="24"/>
          <w:lang w:eastAsia="zh-CN"/>
        </w:rPr>
        <w:t>对适用于委任职员的国际电联《人事规则和人事</w:t>
      </w:r>
      <w:r>
        <w:rPr>
          <w:rFonts w:eastAsiaTheme="minorEastAsia" w:cstheme="minorHAnsi" w:hint="eastAsia"/>
          <w:szCs w:val="24"/>
          <w:lang w:eastAsia="zh-CN"/>
        </w:rPr>
        <w:t>细</w:t>
      </w:r>
      <w:r w:rsidRPr="00B71205">
        <w:rPr>
          <w:rFonts w:eastAsiaTheme="minorEastAsia" w:cstheme="minorHAnsi" w:hint="eastAsia"/>
          <w:szCs w:val="24"/>
          <w:lang w:eastAsia="zh-CN"/>
        </w:rPr>
        <w:t>则》做出必要修改。</w:t>
      </w:r>
    </w:p>
    <w:p w14:paraId="4827B179" w14:textId="3028D338" w:rsidR="00957261" w:rsidRPr="00C76172" w:rsidRDefault="008B1B16" w:rsidP="00957261">
      <w:pPr>
        <w:pStyle w:val="Endtext"/>
        <w:rPr>
          <w:lang w:val="fr-FR" w:eastAsia="zh-CN"/>
        </w:rPr>
      </w:pPr>
      <w:r w:rsidRPr="00A15C58">
        <w:rPr>
          <w:rFonts w:ascii="STKaiti" w:hAnsi="STKaiti" w:hint="eastAsia"/>
          <w:lang w:eastAsia="zh-CN"/>
        </w:rPr>
        <w:t>参阅：</w:t>
      </w:r>
      <w:hyperlink r:id="rId192" w:history="1">
        <w:r w:rsidR="00957261" w:rsidRPr="00B64CA6">
          <w:rPr>
            <w:rStyle w:val="Hyperlink"/>
            <w:lang w:val="fr-FR" w:eastAsia="zh-CN"/>
          </w:rPr>
          <w:t>C08/100</w:t>
        </w:r>
      </w:hyperlink>
      <w:r w:rsidR="00957261">
        <w:rPr>
          <w:rFonts w:hint="eastAsia"/>
          <w:lang w:val="fr-FR" w:eastAsia="zh-CN"/>
        </w:rPr>
        <w:t>和</w:t>
      </w:r>
      <w:hyperlink r:id="rId193" w:history="1">
        <w:r w:rsidR="00957261" w:rsidRPr="00B64CA6">
          <w:rPr>
            <w:rStyle w:val="Hyperlink"/>
            <w:lang w:val="fr-FR" w:eastAsia="zh-CN"/>
          </w:rPr>
          <w:t>C08/106</w:t>
        </w:r>
      </w:hyperlink>
      <w:r w:rsidR="008B393C">
        <w:rPr>
          <w:rFonts w:hint="eastAsia"/>
          <w:lang w:val="fr-FR" w:eastAsia="zh-CN"/>
        </w:rPr>
        <w:t>；</w:t>
      </w:r>
      <w:hyperlink r:id="rId194" w:history="1">
        <w:r w:rsidR="00D019FA" w:rsidRPr="00D019FA">
          <w:rPr>
            <w:rStyle w:val="Hyperlink"/>
            <w:lang w:val="en-GB" w:eastAsia="zh-CN"/>
          </w:rPr>
          <w:t>C20/79</w:t>
        </w:r>
      </w:hyperlink>
      <w:r w:rsidR="00D019FA">
        <w:rPr>
          <w:rFonts w:hint="eastAsia"/>
          <w:lang w:val="en-GB" w:eastAsia="zh-CN"/>
        </w:rPr>
        <w:t>、</w:t>
      </w:r>
      <w:hyperlink r:id="rId195" w:history="1">
        <w:r w:rsidR="00D019FA" w:rsidRPr="00D019FA">
          <w:rPr>
            <w:rStyle w:val="Hyperlink"/>
            <w:lang w:val="en-GB" w:eastAsia="zh-CN"/>
          </w:rPr>
          <w:t>VC-2/10</w:t>
        </w:r>
      </w:hyperlink>
      <w:r w:rsidR="00D019FA">
        <w:rPr>
          <w:rFonts w:hint="eastAsia"/>
          <w:lang w:val="en-GB" w:eastAsia="zh-CN"/>
        </w:rPr>
        <w:t>和</w:t>
      </w:r>
      <w:hyperlink r:id="rId196" w:history="1">
        <w:r w:rsidR="00D019FA" w:rsidRPr="00D019FA">
          <w:rPr>
            <w:rStyle w:val="Hyperlink"/>
            <w:lang w:val="en-GB" w:eastAsia="zh-CN"/>
          </w:rPr>
          <w:t>DM-20/1022</w:t>
        </w:r>
      </w:hyperlink>
      <w:r w:rsidR="008B393C">
        <w:rPr>
          <w:rFonts w:hint="eastAsia"/>
          <w:lang w:val="fr-FR" w:eastAsia="zh-CN"/>
        </w:rPr>
        <w:t>号</w:t>
      </w:r>
      <w:r w:rsidR="00957261">
        <w:rPr>
          <w:lang w:val="fr-FR" w:eastAsia="zh-CN"/>
        </w:rPr>
        <w:t>文件。</w:t>
      </w:r>
    </w:p>
    <w:p w14:paraId="4827B17A" w14:textId="77777777" w:rsidR="00E07F98" w:rsidRDefault="00E07F98" w:rsidP="00E07F98">
      <w:pPr>
        <w:jc w:val="center"/>
        <w:rPr>
          <w:lang w:eastAsia="zh-CN"/>
        </w:rPr>
      </w:pPr>
      <w:bookmarkStart w:id="1164" w:name="_Toc424116982"/>
      <w:bookmarkStart w:id="1165" w:name="_Toc311469581"/>
      <w:r>
        <w:rPr>
          <w:lang w:eastAsia="zh-CN"/>
        </w:rPr>
        <w:t>______________</w:t>
      </w:r>
    </w:p>
    <w:p w14:paraId="4827B17B" w14:textId="77777777" w:rsidR="00957261" w:rsidRDefault="005354B3" w:rsidP="00A75FB5">
      <w:pPr>
        <w:pStyle w:val="DecNo"/>
        <w:outlineLvl w:val="0"/>
      </w:pPr>
      <w:bookmarkStart w:id="1166" w:name="_Toc531706327"/>
      <w:bookmarkStart w:id="1167" w:name="_Toc531706926"/>
      <w:bookmarkStart w:id="1168" w:name="_Toc531768416"/>
      <w:bookmarkStart w:id="1169" w:name="_Toc16085735"/>
      <w:bookmarkStart w:id="1170" w:name="_Toc86395539"/>
      <w:r w:rsidRPr="001D7115">
        <w:rPr>
          <w:rFonts w:hint="eastAsia"/>
        </w:rPr>
        <w:t>第</w:t>
      </w:r>
      <w:r w:rsidRPr="001D7115">
        <w:t>2</w:t>
      </w:r>
      <w:r w:rsidRPr="001D7115">
        <w:rPr>
          <w:rFonts w:hint="eastAsia"/>
        </w:rPr>
        <w:t>号决定</w:t>
      </w:r>
      <w:r w:rsidR="00957261">
        <w:rPr>
          <w:rFonts w:hint="eastAsia"/>
        </w:rPr>
        <w:t>（</w:t>
      </w:r>
      <w:r w:rsidR="00957261" w:rsidRPr="002F08E4">
        <w:t>C-1948</w:t>
      </w:r>
      <w:r w:rsidR="00957261" w:rsidRPr="002F08E4">
        <w:rPr>
          <w:rFonts w:hint="eastAsia"/>
        </w:rPr>
        <w:t>，最后修正</w:t>
      </w:r>
      <w:r w:rsidR="00957261" w:rsidRPr="002F08E4">
        <w:t>C-1981</w:t>
      </w:r>
      <w:r w:rsidR="00957261">
        <w:rPr>
          <w:rFonts w:hint="eastAsia"/>
        </w:rPr>
        <w:t>）</w:t>
      </w:r>
      <w:bookmarkEnd w:id="1164"/>
      <w:bookmarkEnd w:id="1166"/>
      <w:bookmarkEnd w:id="1167"/>
      <w:bookmarkEnd w:id="1168"/>
      <w:bookmarkEnd w:id="1169"/>
      <w:bookmarkEnd w:id="1170"/>
    </w:p>
    <w:p w14:paraId="4827B17C" w14:textId="77777777" w:rsidR="005354B3" w:rsidRPr="00957261" w:rsidRDefault="005354B3" w:rsidP="00883E65">
      <w:pPr>
        <w:pStyle w:val="Dectitle"/>
      </w:pPr>
      <w:bookmarkStart w:id="1171" w:name="_Toc424116983"/>
      <w:bookmarkStart w:id="1172" w:name="_Toc460248092"/>
      <w:bookmarkStart w:id="1173" w:name="_Toc531706328"/>
      <w:bookmarkStart w:id="1174" w:name="_Toc531706927"/>
      <w:bookmarkStart w:id="1175" w:name="_Toc531768417"/>
      <w:bookmarkStart w:id="1176" w:name="_Toc16085736"/>
      <w:bookmarkStart w:id="1177" w:name="_Toc86395540"/>
      <w:r w:rsidRPr="00957261">
        <w:rPr>
          <w:rFonts w:hint="eastAsia"/>
        </w:rPr>
        <w:t>长期和临时职位及</w:t>
      </w:r>
      <w:r w:rsidR="00BF47AA" w:rsidRPr="00957261">
        <w:rPr>
          <w:rFonts w:hint="eastAsia"/>
        </w:rPr>
        <w:t>任</w:t>
      </w:r>
      <w:r w:rsidRPr="00957261">
        <w:rPr>
          <w:rFonts w:hint="eastAsia"/>
        </w:rPr>
        <w:t>职人员</w:t>
      </w:r>
      <w:r w:rsidR="00BF47AA" w:rsidRPr="00957261">
        <w:rPr>
          <w:rFonts w:hint="eastAsia"/>
        </w:rPr>
        <w:t>名单</w:t>
      </w:r>
      <w:bookmarkEnd w:id="1156"/>
      <w:bookmarkEnd w:id="1157"/>
      <w:bookmarkEnd w:id="1158"/>
      <w:bookmarkEnd w:id="1159"/>
      <w:bookmarkEnd w:id="1165"/>
      <w:bookmarkEnd w:id="1171"/>
      <w:bookmarkEnd w:id="1172"/>
      <w:bookmarkEnd w:id="1173"/>
      <w:bookmarkEnd w:id="1174"/>
      <w:bookmarkEnd w:id="1175"/>
      <w:bookmarkEnd w:id="1176"/>
      <w:bookmarkEnd w:id="1177"/>
    </w:p>
    <w:p w14:paraId="4827B17D" w14:textId="77777777" w:rsidR="005354B3" w:rsidRDefault="005354B3" w:rsidP="00B64353">
      <w:pPr>
        <w:pStyle w:val="Normalaftertitle"/>
        <w:spacing w:before="200"/>
        <w:rPr>
          <w:lang w:eastAsia="zh-CN"/>
        </w:rPr>
      </w:pPr>
      <w:r>
        <w:rPr>
          <w:rFonts w:hint="eastAsia"/>
          <w:lang w:eastAsia="zh-CN"/>
        </w:rPr>
        <w:t>理事会，</w:t>
      </w:r>
    </w:p>
    <w:p w14:paraId="4827B17E" w14:textId="77777777" w:rsidR="005354B3" w:rsidRDefault="005354B3" w:rsidP="00957261">
      <w:pPr>
        <w:ind w:firstLineChars="200" w:firstLine="480"/>
        <w:rPr>
          <w:lang w:eastAsia="zh-CN"/>
        </w:rPr>
      </w:pPr>
      <w:r>
        <w:rPr>
          <w:rFonts w:eastAsia="STKaiti" w:hint="eastAsia"/>
          <w:lang w:eastAsia="zh-CN"/>
        </w:rPr>
        <w:t>做出决定，</w:t>
      </w:r>
      <w:r>
        <w:rPr>
          <w:rFonts w:hint="eastAsia"/>
          <w:lang w:eastAsia="zh-CN"/>
        </w:rPr>
        <w:t>每年应向职员公布一份持长期或定期合同的官员名单，同时注明其职位。</w:t>
      </w:r>
    </w:p>
    <w:p w14:paraId="4827B17F" w14:textId="77777777" w:rsidR="00F11D1D" w:rsidRPr="00D746C3" w:rsidRDefault="005354B3" w:rsidP="00957261">
      <w:pPr>
        <w:pStyle w:val="Endtext"/>
        <w:rPr>
          <w:lang w:eastAsia="zh-CN"/>
        </w:rPr>
      </w:pPr>
      <w:r>
        <w:rPr>
          <w:rFonts w:hint="eastAsia"/>
          <w:lang w:eastAsia="zh-CN"/>
        </w:rPr>
        <w:t>参阅</w:t>
      </w:r>
      <w:r w:rsidRPr="00066BA7">
        <w:rPr>
          <w:rFonts w:ascii="STKaiti" w:hAnsi="STKaiti" w:hint="eastAsia"/>
          <w:lang w:eastAsia="zh-CN"/>
        </w:rPr>
        <w:t>：</w:t>
      </w:r>
      <w:r>
        <w:rPr>
          <w:lang w:eastAsia="zh-CN"/>
        </w:rPr>
        <w:tab/>
        <w:t>267/CA3</w:t>
      </w:r>
      <w:r>
        <w:rPr>
          <w:lang w:eastAsia="zh-CN"/>
        </w:rPr>
        <w:t>（</w:t>
      </w:r>
      <w:r>
        <w:rPr>
          <w:lang w:eastAsia="zh-CN"/>
        </w:rPr>
        <w:t>1948</w:t>
      </w:r>
      <w:r>
        <w:rPr>
          <w:rFonts w:hint="eastAsia"/>
          <w:lang w:eastAsia="zh-CN"/>
        </w:rPr>
        <w:t>年</w:t>
      </w:r>
      <w:r>
        <w:rPr>
          <w:lang w:eastAsia="zh-CN"/>
        </w:rPr>
        <w:t>）</w:t>
      </w:r>
      <w:r>
        <w:rPr>
          <w:rFonts w:hint="eastAsia"/>
          <w:lang w:eastAsia="zh-CN"/>
        </w:rPr>
        <w:t>、</w:t>
      </w:r>
      <w:r>
        <w:rPr>
          <w:lang w:eastAsia="zh-CN"/>
        </w:rPr>
        <w:t>5703/CA36</w:t>
      </w:r>
      <w:r>
        <w:rPr>
          <w:lang w:eastAsia="zh-CN"/>
        </w:rPr>
        <w:t>（</w:t>
      </w:r>
      <w:r>
        <w:rPr>
          <w:lang w:eastAsia="zh-CN"/>
        </w:rPr>
        <w:t>1981</w:t>
      </w:r>
      <w:r>
        <w:rPr>
          <w:rFonts w:hint="eastAsia"/>
          <w:lang w:eastAsia="zh-CN"/>
        </w:rPr>
        <w:t>年</w:t>
      </w:r>
      <w:r>
        <w:rPr>
          <w:lang w:eastAsia="zh-CN"/>
        </w:rPr>
        <w:t>）</w:t>
      </w:r>
      <w:r>
        <w:rPr>
          <w:rFonts w:hint="eastAsia"/>
          <w:lang w:eastAsia="zh-CN"/>
        </w:rPr>
        <w:t>号文件。</w:t>
      </w:r>
    </w:p>
    <w:p w14:paraId="4827B180" w14:textId="548E5FAD" w:rsidR="00E07F98" w:rsidRDefault="00E07F98" w:rsidP="00E07F98">
      <w:pPr>
        <w:jc w:val="center"/>
        <w:rPr>
          <w:lang w:eastAsia="zh-CN"/>
        </w:rPr>
      </w:pPr>
      <w:bookmarkStart w:id="1178" w:name="_Toc161224023"/>
      <w:bookmarkStart w:id="1179" w:name="_Toc161732069"/>
      <w:bookmarkStart w:id="1180" w:name="_Toc161740996"/>
      <w:bookmarkStart w:id="1181" w:name="_Toc424116984"/>
      <w:bookmarkStart w:id="1182" w:name="_Toc531706329"/>
      <w:bookmarkStart w:id="1183" w:name="_Toc531706928"/>
      <w:bookmarkStart w:id="1184" w:name="_Toc531768418"/>
      <w:bookmarkStart w:id="1185" w:name="_Toc185237668"/>
      <w:bookmarkStart w:id="1186" w:name="_Toc311469582"/>
      <w:r>
        <w:rPr>
          <w:lang w:eastAsia="zh-CN"/>
        </w:rPr>
        <w:t>______________</w:t>
      </w:r>
    </w:p>
    <w:p w14:paraId="74F95825" w14:textId="3AA988A5" w:rsidR="0025580E" w:rsidRDefault="0025580E" w:rsidP="00E07F98">
      <w:pPr>
        <w:jc w:val="center"/>
        <w:rPr>
          <w:lang w:eastAsia="zh-CN"/>
        </w:rPr>
      </w:pPr>
    </w:p>
    <w:p w14:paraId="14EC0167" w14:textId="78B0E5B6" w:rsidR="0025580E" w:rsidRDefault="0025580E" w:rsidP="00E07F98">
      <w:pPr>
        <w:jc w:val="center"/>
        <w:rPr>
          <w:lang w:eastAsia="zh-CN"/>
        </w:rPr>
      </w:pPr>
    </w:p>
    <w:p w14:paraId="35696DA8" w14:textId="28A0874C" w:rsidR="0025580E" w:rsidRDefault="0025580E" w:rsidP="00E07F98">
      <w:pPr>
        <w:jc w:val="center"/>
        <w:rPr>
          <w:lang w:eastAsia="zh-CN"/>
        </w:rPr>
      </w:pPr>
    </w:p>
    <w:p w14:paraId="31732A1B" w14:textId="2A2309D4" w:rsidR="0025580E" w:rsidRDefault="0025580E" w:rsidP="00E07F98">
      <w:pPr>
        <w:jc w:val="center"/>
        <w:rPr>
          <w:lang w:eastAsia="zh-CN"/>
        </w:rPr>
      </w:pPr>
    </w:p>
    <w:p w14:paraId="1D3CD073" w14:textId="41159BBA" w:rsidR="0025580E" w:rsidRDefault="0025580E" w:rsidP="00E07F98">
      <w:pPr>
        <w:jc w:val="center"/>
        <w:rPr>
          <w:lang w:eastAsia="zh-CN"/>
        </w:rPr>
      </w:pPr>
    </w:p>
    <w:p w14:paraId="75040123" w14:textId="35ACA25D" w:rsidR="0025580E" w:rsidRDefault="0025580E" w:rsidP="00E07F98">
      <w:pPr>
        <w:jc w:val="center"/>
        <w:rPr>
          <w:lang w:eastAsia="zh-CN"/>
        </w:rPr>
      </w:pPr>
    </w:p>
    <w:p w14:paraId="3ADD8CFF" w14:textId="6076E9DA" w:rsidR="0025580E" w:rsidRDefault="0025580E" w:rsidP="00E07F98">
      <w:pPr>
        <w:jc w:val="center"/>
        <w:rPr>
          <w:lang w:eastAsia="zh-CN"/>
        </w:rPr>
      </w:pPr>
    </w:p>
    <w:p w14:paraId="4CF63A85" w14:textId="77777777" w:rsidR="0025580E" w:rsidRDefault="0025580E" w:rsidP="00E07F98">
      <w:pPr>
        <w:jc w:val="center"/>
        <w:rPr>
          <w:lang w:eastAsia="zh-CN"/>
        </w:rPr>
      </w:pPr>
    </w:p>
    <w:p w14:paraId="18472E17" w14:textId="1C4C9B66" w:rsidR="0025580E" w:rsidRDefault="0025580E" w:rsidP="00E07F98">
      <w:pPr>
        <w:jc w:val="center"/>
        <w:rPr>
          <w:lang w:eastAsia="zh-CN"/>
        </w:rPr>
      </w:pPr>
    </w:p>
    <w:p w14:paraId="41F26408" w14:textId="561137AA" w:rsidR="0025580E" w:rsidRDefault="0025580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181" w14:textId="77777777" w:rsidR="00957261" w:rsidRDefault="005354B3" w:rsidP="00A75FB5">
      <w:pPr>
        <w:pStyle w:val="DecNo"/>
        <w:outlineLvl w:val="0"/>
      </w:pPr>
      <w:bookmarkStart w:id="1187" w:name="_Toc16085737"/>
      <w:bookmarkStart w:id="1188" w:name="_Toc86395541"/>
      <w:r w:rsidRPr="001D7115">
        <w:rPr>
          <w:rFonts w:hint="eastAsia"/>
        </w:rPr>
        <w:lastRenderedPageBreak/>
        <w:t>第</w:t>
      </w:r>
      <w:r w:rsidRPr="001D7115">
        <w:t>517</w:t>
      </w:r>
      <w:r w:rsidRPr="001D7115">
        <w:rPr>
          <w:rFonts w:hint="eastAsia"/>
        </w:rPr>
        <w:t>号决定</w:t>
      </w:r>
      <w:bookmarkEnd w:id="1178"/>
      <w:bookmarkEnd w:id="1179"/>
      <w:bookmarkEnd w:id="1180"/>
      <w:r w:rsidR="00957261">
        <w:rPr>
          <w:rFonts w:hint="eastAsia"/>
        </w:rPr>
        <w:t>（</w:t>
      </w:r>
      <w:r w:rsidR="00957261">
        <w:t>C0</w:t>
      </w:r>
      <w:r w:rsidR="00957261">
        <w:rPr>
          <w:rFonts w:hint="eastAsia"/>
        </w:rPr>
        <w:t>4</w:t>
      </w:r>
      <w:r w:rsidR="00957261">
        <w:rPr>
          <w:rFonts w:hint="eastAsia"/>
        </w:rPr>
        <w:t>，</w:t>
      </w:r>
      <w:r w:rsidR="00257CB5" w:rsidRPr="002F08E4">
        <w:rPr>
          <w:rFonts w:hint="eastAsia"/>
        </w:rPr>
        <w:t>最后修正</w:t>
      </w:r>
      <w:r w:rsidR="00957261">
        <w:rPr>
          <w:lang w:val="en-US"/>
        </w:rPr>
        <w:t>C09</w:t>
      </w:r>
      <w:r w:rsidR="00957261">
        <w:rPr>
          <w:rFonts w:hint="eastAsia"/>
          <w:lang w:val="en-US"/>
        </w:rPr>
        <w:t>）</w:t>
      </w:r>
      <w:bookmarkEnd w:id="1181"/>
      <w:bookmarkEnd w:id="1182"/>
      <w:bookmarkEnd w:id="1183"/>
      <w:bookmarkEnd w:id="1184"/>
      <w:bookmarkEnd w:id="1187"/>
      <w:bookmarkEnd w:id="1188"/>
    </w:p>
    <w:p w14:paraId="4827B182" w14:textId="77777777" w:rsidR="005354B3" w:rsidRPr="009A11FE" w:rsidRDefault="006C2DD9" w:rsidP="00883E65">
      <w:pPr>
        <w:pStyle w:val="Dectitle"/>
        <w:rPr>
          <w:bCs/>
          <w:szCs w:val="28"/>
        </w:rPr>
      </w:pPr>
      <w:bookmarkStart w:id="1189" w:name="_Toc424116985"/>
      <w:bookmarkStart w:id="1190" w:name="_Toc460248094"/>
      <w:bookmarkStart w:id="1191" w:name="_Toc531706330"/>
      <w:bookmarkStart w:id="1192" w:name="_Toc531706929"/>
      <w:bookmarkStart w:id="1193" w:name="_Toc531768419"/>
      <w:bookmarkStart w:id="1194" w:name="_Toc16085738"/>
      <w:bookmarkStart w:id="1195" w:name="_Toc86395542"/>
      <w:r w:rsidRPr="001D7115">
        <w:rPr>
          <w:rFonts w:hint="eastAsia"/>
        </w:rPr>
        <w:t>加强</w:t>
      </w:r>
      <w:r>
        <w:rPr>
          <w:rFonts w:hint="eastAsia"/>
        </w:rPr>
        <w:t>国际电联管理层</w:t>
      </w:r>
      <w:r w:rsidRPr="001D7115">
        <w:rPr>
          <w:rFonts w:hint="eastAsia"/>
        </w:rPr>
        <w:t>与国际电联职工委员会之间的对话</w:t>
      </w:r>
      <w:bookmarkEnd w:id="1185"/>
      <w:bookmarkEnd w:id="1186"/>
      <w:bookmarkEnd w:id="1189"/>
      <w:bookmarkEnd w:id="1190"/>
      <w:bookmarkEnd w:id="1191"/>
      <w:bookmarkEnd w:id="1192"/>
      <w:bookmarkEnd w:id="1193"/>
      <w:bookmarkEnd w:id="1194"/>
      <w:bookmarkEnd w:id="1195"/>
    </w:p>
    <w:p w14:paraId="4827B183" w14:textId="77777777" w:rsidR="006C2DD9" w:rsidRPr="0062274E" w:rsidRDefault="006C2DD9" w:rsidP="00883E65">
      <w:pPr>
        <w:pStyle w:val="Normalaftertitle"/>
        <w:rPr>
          <w:lang w:eastAsia="zh-CN"/>
        </w:rPr>
      </w:pPr>
      <w:r w:rsidRPr="00480470">
        <w:rPr>
          <w:rFonts w:hint="eastAsia"/>
          <w:lang w:eastAsia="zh-CN"/>
        </w:rPr>
        <w:t>理事会</w:t>
      </w:r>
      <w:r w:rsidRPr="0062274E">
        <w:rPr>
          <w:rFonts w:hint="eastAsia"/>
          <w:lang w:eastAsia="zh-CN"/>
        </w:rPr>
        <w:t>，</w:t>
      </w:r>
    </w:p>
    <w:p w14:paraId="4827B184" w14:textId="77777777" w:rsidR="006C2DD9" w:rsidRPr="00574C7A" w:rsidRDefault="006C2DD9" w:rsidP="00B64353">
      <w:pPr>
        <w:pStyle w:val="Call"/>
        <w:rPr>
          <w:lang w:eastAsia="zh-CN"/>
        </w:rPr>
      </w:pPr>
      <w:r w:rsidRPr="00574C7A">
        <w:rPr>
          <w:rFonts w:hint="eastAsia"/>
          <w:lang w:eastAsia="zh-CN"/>
        </w:rPr>
        <w:t>考虑到</w:t>
      </w:r>
    </w:p>
    <w:p w14:paraId="4827B185" w14:textId="77777777" w:rsidR="006C2DD9" w:rsidRDefault="006C2DD9" w:rsidP="00B64353">
      <w:pPr>
        <w:rPr>
          <w:lang w:val="en-US" w:eastAsia="zh-CN"/>
        </w:rPr>
      </w:pPr>
      <w:r w:rsidRPr="005A7571">
        <w:rPr>
          <w:i/>
          <w:iCs/>
          <w:lang w:val="en-US" w:eastAsia="zh-CN"/>
        </w:rPr>
        <w:t>a)</w:t>
      </w:r>
      <w:r>
        <w:rPr>
          <w:lang w:val="en-US" w:eastAsia="zh-CN"/>
        </w:rPr>
        <w:tab/>
      </w:r>
      <w:r>
        <w:rPr>
          <w:rFonts w:hint="eastAsia"/>
          <w:lang w:val="en-US" w:eastAsia="zh-CN"/>
        </w:rPr>
        <w:t>根据第</w:t>
      </w:r>
      <w:r>
        <w:rPr>
          <w:rFonts w:hint="eastAsia"/>
          <w:lang w:val="en-US" w:eastAsia="zh-CN"/>
        </w:rPr>
        <w:t>48</w:t>
      </w:r>
      <w:r>
        <w:rPr>
          <w:rFonts w:hint="eastAsia"/>
          <w:lang w:val="en-US" w:eastAsia="zh-CN"/>
        </w:rPr>
        <w:t>号决议（</w:t>
      </w:r>
      <w:r>
        <w:rPr>
          <w:rFonts w:hint="eastAsia"/>
          <w:lang w:val="en-US" w:eastAsia="zh-CN"/>
        </w:rPr>
        <w:t>2006</w:t>
      </w:r>
      <w:r>
        <w:rPr>
          <w:rFonts w:hint="eastAsia"/>
          <w:lang w:val="en-US" w:eastAsia="zh-CN"/>
        </w:rPr>
        <w:t>年，安塔利亚，修订版）（人力资源管理和开发）</w:t>
      </w:r>
      <w:r>
        <w:rPr>
          <w:rFonts w:ascii="STKaiti" w:eastAsia="STKaiti" w:hAnsi="STKaiti" w:hint="eastAsia"/>
          <w:lang w:val="en-US" w:eastAsia="zh-CN"/>
        </w:rPr>
        <w:t>做出决议1</w:t>
      </w:r>
      <w:r>
        <w:rPr>
          <w:rFonts w:ascii="SimSun" w:hAnsi="STKaiti" w:hint="eastAsia"/>
          <w:lang w:val="en-US" w:eastAsia="zh-CN"/>
        </w:rPr>
        <w:t>的规定</w:t>
      </w:r>
      <w:r>
        <w:rPr>
          <w:rFonts w:hint="eastAsia"/>
          <w:lang w:val="en-US" w:eastAsia="zh-CN"/>
        </w:rPr>
        <w:t>，国际电联人力资源的管理和开发应与国际电联的目标和活动及联合国共同制度相一致；</w:t>
      </w:r>
    </w:p>
    <w:p w14:paraId="4827B186" w14:textId="77777777" w:rsidR="006C2DD9" w:rsidRDefault="006C2DD9" w:rsidP="00B64353">
      <w:pPr>
        <w:rPr>
          <w:lang w:eastAsia="zh-CN"/>
        </w:rPr>
      </w:pPr>
      <w:r w:rsidRPr="005A7571">
        <w:rPr>
          <w:i/>
          <w:iCs/>
          <w:lang w:val="en-US" w:eastAsia="zh-CN"/>
        </w:rPr>
        <w:t>b)</w:t>
      </w:r>
      <w:r>
        <w:rPr>
          <w:lang w:val="en-US" w:eastAsia="zh-CN"/>
        </w:rPr>
        <w:tab/>
      </w:r>
      <w:r>
        <w:rPr>
          <w:rFonts w:hint="eastAsia"/>
          <w:lang w:val="en-US" w:eastAsia="zh-CN"/>
        </w:rPr>
        <w:t>根据第</w:t>
      </w:r>
      <w:r>
        <w:rPr>
          <w:rFonts w:hint="eastAsia"/>
          <w:lang w:val="en-US" w:eastAsia="zh-CN"/>
        </w:rPr>
        <w:t>48</w:t>
      </w:r>
      <w:r>
        <w:rPr>
          <w:rFonts w:hint="eastAsia"/>
          <w:lang w:val="en-US" w:eastAsia="zh-CN"/>
        </w:rPr>
        <w:t>号决议</w:t>
      </w:r>
      <w:r>
        <w:rPr>
          <w:rFonts w:ascii="STKaiti" w:eastAsia="STKaiti" w:hAnsi="STKaiti" w:hint="eastAsia"/>
          <w:lang w:val="en-US" w:eastAsia="zh-CN"/>
        </w:rPr>
        <w:t>做出决议2</w:t>
      </w:r>
      <w:r>
        <w:rPr>
          <w:rFonts w:ascii="SimSun" w:hAnsi="STKaiti" w:hint="eastAsia"/>
          <w:lang w:val="en-US" w:eastAsia="zh-CN"/>
        </w:rPr>
        <w:t>的规定</w:t>
      </w:r>
      <w:r>
        <w:rPr>
          <w:rFonts w:hint="eastAsia"/>
          <w:lang w:val="en-US" w:eastAsia="zh-CN"/>
        </w:rPr>
        <w:t>，应采用联合国大会批准的国际公务员制度委员会的建议，</w:t>
      </w:r>
    </w:p>
    <w:p w14:paraId="4827B187" w14:textId="77777777" w:rsidR="006C2DD9" w:rsidRPr="00574C7A" w:rsidRDefault="006C2DD9" w:rsidP="00B64353">
      <w:pPr>
        <w:pStyle w:val="Call"/>
        <w:rPr>
          <w:lang w:eastAsia="zh-CN"/>
        </w:rPr>
      </w:pPr>
      <w:r w:rsidRPr="00574C7A">
        <w:rPr>
          <w:rFonts w:hint="eastAsia"/>
          <w:lang w:eastAsia="zh-CN"/>
        </w:rPr>
        <w:t>进一步考虑到</w:t>
      </w:r>
    </w:p>
    <w:p w14:paraId="4827B188" w14:textId="77777777" w:rsidR="006C2DD9" w:rsidRDefault="006C2DD9" w:rsidP="00957261">
      <w:pPr>
        <w:ind w:firstLineChars="200" w:firstLine="480"/>
        <w:rPr>
          <w:lang w:eastAsia="zh-CN"/>
        </w:rPr>
      </w:pPr>
      <w:r>
        <w:rPr>
          <w:rFonts w:hint="eastAsia"/>
          <w:lang w:eastAsia="zh-CN"/>
        </w:rPr>
        <w:t>按照适用于委任职员的《人事规则》第</w:t>
      </w:r>
      <w:r>
        <w:rPr>
          <w:lang w:eastAsia="zh-CN"/>
        </w:rPr>
        <w:t>8.1</w:t>
      </w:r>
      <w:r>
        <w:rPr>
          <w:rFonts w:hint="eastAsia"/>
          <w:lang w:eastAsia="zh-CN"/>
        </w:rPr>
        <w:t>条的规定，承认职员的结社权，同时承认职工委员会有权在秘书长面前代表职员的利益，</w:t>
      </w:r>
      <w:r>
        <w:rPr>
          <w:lang w:eastAsia="zh-CN"/>
        </w:rPr>
        <w:t xml:space="preserve"> </w:t>
      </w:r>
    </w:p>
    <w:p w14:paraId="4827B189" w14:textId="77777777" w:rsidR="006C2DD9" w:rsidRPr="00574C7A" w:rsidRDefault="006C2DD9" w:rsidP="00B64353">
      <w:pPr>
        <w:pStyle w:val="Call"/>
        <w:rPr>
          <w:lang w:eastAsia="zh-CN"/>
        </w:rPr>
      </w:pPr>
      <w:r>
        <w:rPr>
          <w:rFonts w:hint="eastAsia"/>
          <w:lang w:eastAsia="zh-CN"/>
        </w:rPr>
        <w:t>顾及</w:t>
      </w:r>
    </w:p>
    <w:p w14:paraId="4827B18A" w14:textId="77777777" w:rsidR="006C2DD9" w:rsidRDefault="006C2DD9" w:rsidP="00957261">
      <w:pPr>
        <w:ind w:firstLineChars="200" w:firstLine="480"/>
        <w:rPr>
          <w:lang w:eastAsia="zh-CN"/>
        </w:rPr>
      </w:pPr>
      <w:r>
        <w:rPr>
          <w:rFonts w:hint="eastAsia"/>
          <w:lang w:eastAsia="zh-CN"/>
        </w:rPr>
        <w:t>职员通过职工委员会表达的关注，即，需加强就职员福利和管理，包括有关职员任命、晋升和解聘等政策问题、人力资源战略、预算问题和法定委员会委员的委任等问题每月定期与国际电联管理层进行的磋商，</w:t>
      </w:r>
    </w:p>
    <w:p w14:paraId="4827B18B" w14:textId="77777777" w:rsidR="006C2DD9" w:rsidRPr="00574C7A" w:rsidRDefault="006C2DD9" w:rsidP="00B64353">
      <w:pPr>
        <w:pStyle w:val="Call"/>
        <w:rPr>
          <w:lang w:eastAsia="zh-CN"/>
        </w:rPr>
      </w:pPr>
      <w:r w:rsidRPr="00574C7A">
        <w:rPr>
          <w:rFonts w:hint="eastAsia"/>
          <w:lang w:eastAsia="zh-CN"/>
        </w:rPr>
        <w:t>做出决定，责成秘书长</w:t>
      </w:r>
    </w:p>
    <w:p w14:paraId="4827B18C" w14:textId="77777777" w:rsidR="006C2DD9" w:rsidRDefault="006C2DD9" w:rsidP="00957261">
      <w:pPr>
        <w:ind w:firstLineChars="200" w:firstLine="480"/>
        <w:rPr>
          <w:lang w:eastAsia="zh-CN"/>
        </w:rPr>
      </w:pPr>
      <w:r>
        <w:rPr>
          <w:rFonts w:hint="eastAsia"/>
          <w:lang w:eastAsia="zh-CN"/>
        </w:rPr>
        <w:t>立即着手审议加强职工委员会与秘书长或其指定代表以及与各局主任或其指定代表之间对话的方式，并拟定进展报告，提交理事会人力资源管理三方小组和理事会未来各届会议审议，报告可包括是否需要修正《人事规则和人事细则》的内容。</w:t>
      </w:r>
    </w:p>
    <w:p w14:paraId="4827B18D" w14:textId="77777777" w:rsidR="00957261" w:rsidRDefault="005354B3" w:rsidP="00957261">
      <w:pPr>
        <w:pStyle w:val="Endtext"/>
        <w:rPr>
          <w:lang w:val="fr-FR" w:eastAsia="zh-CN"/>
        </w:rPr>
      </w:pPr>
      <w:r w:rsidRPr="00134016">
        <w:rPr>
          <w:rFonts w:hint="eastAsia"/>
          <w:lang w:val="fr-FR" w:eastAsia="zh-CN"/>
        </w:rPr>
        <w:t>参阅</w:t>
      </w:r>
      <w:r w:rsidR="00957261">
        <w:rPr>
          <w:rFonts w:hint="eastAsia"/>
          <w:lang w:val="fr-FR" w:eastAsia="zh-CN"/>
        </w:rPr>
        <w:t>：</w:t>
      </w:r>
      <w:r w:rsidR="002B009C" w:rsidRPr="00134016">
        <w:rPr>
          <w:lang w:val="fr-FR" w:eastAsia="zh-CN"/>
        </w:rPr>
        <w:tab/>
      </w:r>
      <w:hyperlink r:id="rId197" w:history="1">
        <w:r w:rsidR="00957261" w:rsidRPr="00B64CA6">
          <w:rPr>
            <w:rStyle w:val="Hyperlink"/>
            <w:lang w:val="fr-FR" w:eastAsia="zh-CN"/>
          </w:rPr>
          <w:t>C04/75</w:t>
        </w:r>
      </w:hyperlink>
      <w:r w:rsidR="00BF3436">
        <w:rPr>
          <w:rFonts w:hint="eastAsia"/>
          <w:lang w:val="fr-FR" w:eastAsia="zh-CN"/>
        </w:rPr>
        <w:t>、</w:t>
      </w:r>
      <w:hyperlink r:id="rId198" w:history="1">
        <w:r w:rsidR="00957261" w:rsidRPr="00B64CA6">
          <w:rPr>
            <w:rStyle w:val="Hyperlink"/>
            <w:lang w:val="fr-FR" w:eastAsia="zh-CN"/>
          </w:rPr>
          <w:t>C04/103</w:t>
        </w:r>
      </w:hyperlink>
      <w:r w:rsidR="00BF3436">
        <w:rPr>
          <w:rFonts w:hint="eastAsia"/>
          <w:lang w:val="fr-FR" w:eastAsia="zh-CN"/>
        </w:rPr>
        <w:t>、</w:t>
      </w:r>
      <w:hyperlink r:id="rId199" w:history="1">
        <w:r w:rsidR="00957261" w:rsidRPr="00B64CA6">
          <w:rPr>
            <w:rStyle w:val="Hyperlink"/>
            <w:lang w:val="fr-FR" w:eastAsia="zh-CN"/>
          </w:rPr>
          <w:t>C09/113</w:t>
        </w:r>
      </w:hyperlink>
      <w:r w:rsidR="00957261">
        <w:rPr>
          <w:rFonts w:hint="eastAsia"/>
          <w:lang w:val="fr-FR" w:eastAsia="zh-CN"/>
        </w:rPr>
        <w:t>和</w:t>
      </w:r>
      <w:hyperlink r:id="rId200" w:history="1">
        <w:r w:rsidR="00957261" w:rsidRPr="00B64CA6">
          <w:rPr>
            <w:rStyle w:val="Hyperlink"/>
            <w:lang w:val="fr-FR" w:eastAsia="zh-CN"/>
          </w:rPr>
          <w:t>C09/121</w:t>
        </w:r>
      </w:hyperlink>
      <w:r w:rsidR="00957261">
        <w:rPr>
          <w:rFonts w:hint="eastAsia"/>
          <w:lang w:val="fr-FR" w:eastAsia="zh-CN"/>
        </w:rPr>
        <w:t>号</w:t>
      </w:r>
      <w:r w:rsidR="00957261">
        <w:rPr>
          <w:lang w:val="fr-FR" w:eastAsia="zh-CN"/>
        </w:rPr>
        <w:t>文件。</w:t>
      </w:r>
    </w:p>
    <w:p w14:paraId="4827B18E" w14:textId="77777777" w:rsidR="00E07F98" w:rsidRDefault="00E07F98" w:rsidP="00E07F98">
      <w:pPr>
        <w:jc w:val="center"/>
        <w:rPr>
          <w:lang w:eastAsia="zh-CN"/>
        </w:rPr>
      </w:pPr>
      <w:bookmarkStart w:id="1196" w:name="_Toc424116986"/>
      <w:bookmarkStart w:id="1197" w:name="_Toc531706331"/>
      <w:bookmarkStart w:id="1198" w:name="_Toc531706930"/>
      <w:bookmarkStart w:id="1199" w:name="_Toc531768420"/>
      <w:r>
        <w:rPr>
          <w:lang w:eastAsia="zh-CN"/>
        </w:rPr>
        <w:t>______________</w:t>
      </w:r>
    </w:p>
    <w:p w14:paraId="4827B18F" w14:textId="77777777" w:rsidR="00AE37E2" w:rsidRDefault="00AE37E2">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190" w14:textId="77777777" w:rsidR="00AE37E2" w:rsidRDefault="00AE37E2">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191" w14:textId="77777777" w:rsidR="00AE37E2" w:rsidRDefault="00AE37E2">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192" w14:textId="77777777" w:rsidR="00AE37E2" w:rsidRDefault="00AE37E2">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193" w14:textId="77777777" w:rsidR="00AE37E2" w:rsidRDefault="00AE37E2">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194" w14:textId="77777777" w:rsidR="00AE37E2" w:rsidRDefault="00AE37E2">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195" w14:textId="77777777" w:rsidR="00AE37E2" w:rsidRDefault="00AE37E2">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196" w14:textId="77777777" w:rsidR="00957261" w:rsidRDefault="00DE34F4" w:rsidP="00A75FB5">
      <w:pPr>
        <w:pStyle w:val="DecNo"/>
        <w:outlineLvl w:val="0"/>
      </w:pPr>
      <w:bookmarkStart w:id="1200" w:name="_Toc16085739"/>
      <w:bookmarkStart w:id="1201" w:name="_Toc86395543"/>
      <w:r w:rsidRPr="00E716BF">
        <w:rPr>
          <w:rFonts w:hint="eastAsia"/>
        </w:rPr>
        <w:lastRenderedPageBreak/>
        <w:t>第</w:t>
      </w:r>
      <w:r w:rsidRPr="00E716BF">
        <w:t>5</w:t>
      </w:r>
      <w:r>
        <w:t>82</w:t>
      </w:r>
      <w:r w:rsidRPr="00E716BF">
        <w:rPr>
          <w:rFonts w:hint="eastAsia"/>
        </w:rPr>
        <w:t>号决定</w:t>
      </w:r>
      <w:r w:rsidR="00957261">
        <w:rPr>
          <w:rFonts w:hint="eastAsia"/>
        </w:rPr>
        <w:t>（</w:t>
      </w:r>
      <w:r w:rsidR="00957261">
        <w:t>C15-</w:t>
      </w:r>
      <w:r w:rsidR="00957261">
        <w:rPr>
          <w:lang w:val="en-US"/>
        </w:rPr>
        <w:t>EXT</w:t>
      </w:r>
      <w:r w:rsidR="00957261">
        <w:rPr>
          <w:rFonts w:hint="eastAsia"/>
          <w:lang w:val="en-US"/>
        </w:rPr>
        <w:t>）</w:t>
      </w:r>
      <w:bookmarkEnd w:id="1196"/>
      <w:bookmarkEnd w:id="1197"/>
      <w:bookmarkEnd w:id="1198"/>
      <w:bookmarkEnd w:id="1199"/>
      <w:bookmarkEnd w:id="1200"/>
      <w:bookmarkEnd w:id="1201"/>
    </w:p>
    <w:p w14:paraId="4827B197" w14:textId="77777777" w:rsidR="00DE34F4" w:rsidRPr="00957261" w:rsidRDefault="00DE34F4" w:rsidP="00883E65">
      <w:pPr>
        <w:pStyle w:val="Dectitle"/>
      </w:pPr>
      <w:bookmarkStart w:id="1202" w:name="_Toc424116987"/>
      <w:bookmarkStart w:id="1203" w:name="_Toc460248096"/>
      <w:bookmarkStart w:id="1204" w:name="_Toc531706332"/>
      <w:bookmarkStart w:id="1205" w:name="_Toc531706931"/>
      <w:bookmarkStart w:id="1206" w:name="_Toc531768421"/>
      <w:bookmarkStart w:id="1207" w:name="_Toc16085740"/>
      <w:bookmarkStart w:id="1208" w:name="_Toc86395544"/>
      <w:r w:rsidRPr="00957261">
        <w:rPr>
          <w:rFonts w:hint="eastAsia"/>
        </w:rPr>
        <w:t>自愿离职和提前退休计划</w:t>
      </w:r>
      <w:bookmarkEnd w:id="1202"/>
      <w:bookmarkEnd w:id="1203"/>
      <w:bookmarkEnd w:id="1204"/>
      <w:bookmarkEnd w:id="1205"/>
      <w:bookmarkEnd w:id="1206"/>
      <w:bookmarkEnd w:id="1207"/>
      <w:bookmarkEnd w:id="1208"/>
    </w:p>
    <w:p w14:paraId="4827B198" w14:textId="77777777" w:rsidR="00DE34F4" w:rsidRPr="00A04DE5" w:rsidRDefault="00DE34F4" w:rsidP="00883E65">
      <w:pPr>
        <w:pStyle w:val="Normalaftertitle"/>
        <w:rPr>
          <w:lang w:eastAsia="zh-CN"/>
        </w:rPr>
      </w:pPr>
      <w:r>
        <w:rPr>
          <w:rFonts w:hint="eastAsia"/>
          <w:lang w:eastAsia="zh-CN"/>
        </w:rPr>
        <w:t>理事会，</w:t>
      </w:r>
    </w:p>
    <w:p w14:paraId="4827B199" w14:textId="77777777" w:rsidR="00DE34F4" w:rsidRPr="00176B34" w:rsidRDefault="00DE34F4" w:rsidP="00DE34F4">
      <w:pPr>
        <w:pStyle w:val="Call"/>
        <w:rPr>
          <w:lang w:eastAsia="zh-CN"/>
        </w:rPr>
      </w:pPr>
      <w:r w:rsidRPr="00176B34">
        <w:rPr>
          <w:rFonts w:hint="eastAsia"/>
          <w:lang w:eastAsia="zh-CN"/>
        </w:rPr>
        <w:t>鉴于</w:t>
      </w:r>
    </w:p>
    <w:p w14:paraId="4827B19A" w14:textId="77777777" w:rsidR="00DE34F4" w:rsidRPr="00A04DE5" w:rsidRDefault="00DE34F4" w:rsidP="00D01B3D">
      <w:pPr>
        <w:ind w:firstLineChars="200" w:firstLine="480"/>
        <w:rPr>
          <w:lang w:eastAsia="zh-CN"/>
        </w:rPr>
      </w:pPr>
      <w:r>
        <w:rPr>
          <w:rFonts w:hint="eastAsia"/>
          <w:lang w:eastAsia="zh-CN"/>
        </w:rPr>
        <w:t>全权代表大会通过的第</w:t>
      </w:r>
      <w:r>
        <w:rPr>
          <w:rFonts w:hint="eastAsia"/>
          <w:lang w:eastAsia="zh-CN"/>
        </w:rPr>
        <w:t>5</w:t>
      </w:r>
      <w:r>
        <w:rPr>
          <w:rFonts w:hint="eastAsia"/>
          <w:lang w:eastAsia="zh-CN"/>
        </w:rPr>
        <w:t>号决定（</w:t>
      </w:r>
      <w:r>
        <w:rPr>
          <w:rFonts w:hint="eastAsia"/>
          <w:lang w:eastAsia="zh-CN"/>
        </w:rPr>
        <w:t>201</w:t>
      </w:r>
      <w:r>
        <w:rPr>
          <w:lang w:eastAsia="zh-CN"/>
        </w:rPr>
        <w:t>4</w:t>
      </w:r>
      <w:r>
        <w:rPr>
          <w:rFonts w:hint="eastAsia"/>
          <w:lang w:eastAsia="zh-CN"/>
        </w:rPr>
        <w:t>年，釜山，修订版），</w:t>
      </w:r>
    </w:p>
    <w:p w14:paraId="4827B19B" w14:textId="77777777" w:rsidR="00DE34F4" w:rsidRPr="00A04DE5" w:rsidRDefault="00DE34F4" w:rsidP="00DE34F4">
      <w:pPr>
        <w:pStyle w:val="Call"/>
        <w:rPr>
          <w:lang w:eastAsia="zh-CN"/>
        </w:rPr>
      </w:pPr>
      <w:r w:rsidRPr="00176B34">
        <w:rPr>
          <w:rFonts w:hint="eastAsia"/>
          <w:lang w:eastAsia="zh-CN"/>
        </w:rPr>
        <w:t>考虑到</w:t>
      </w:r>
    </w:p>
    <w:p w14:paraId="4827B19C" w14:textId="77777777" w:rsidR="00DE34F4" w:rsidRPr="00A04DE5" w:rsidRDefault="00DE34F4" w:rsidP="00D01B3D">
      <w:pPr>
        <w:ind w:firstLineChars="200" w:firstLine="480"/>
        <w:rPr>
          <w:lang w:eastAsia="zh-CN"/>
        </w:rPr>
      </w:pPr>
      <w:r>
        <w:rPr>
          <w:rFonts w:hint="eastAsia"/>
          <w:lang w:eastAsia="zh-CN"/>
        </w:rPr>
        <w:t>秘书长有关拟议自愿离职（</w:t>
      </w:r>
      <w:r>
        <w:rPr>
          <w:rFonts w:hint="eastAsia"/>
          <w:lang w:eastAsia="zh-CN"/>
        </w:rPr>
        <w:t>VOLSEP</w:t>
      </w:r>
      <w:r>
        <w:rPr>
          <w:rFonts w:hint="eastAsia"/>
          <w:lang w:eastAsia="zh-CN"/>
        </w:rPr>
        <w:t>）和提前退休措施的报告符合国际电联法律文件，</w:t>
      </w:r>
    </w:p>
    <w:p w14:paraId="4827B19D" w14:textId="77777777" w:rsidR="00DE34F4" w:rsidRPr="00A04DE5" w:rsidRDefault="00DE34F4" w:rsidP="00DE34F4">
      <w:pPr>
        <w:pStyle w:val="Call"/>
        <w:rPr>
          <w:lang w:eastAsia="zh-CN"/>
        </w:rPr>
      </w:pPr>
      <w:r>
        <w:rPr>
          <w:rFonts w:hint="eastAsia"/>
          <w:lang w:eastAsia="zh-CN"/>
        </w:rPr>
        <w:t>做出</w:t>
      </w:r>
      <w:r w:rsidRPr="00176B34">
        <w:rPr>
          <w:rFonts w:hint="eastAsia"/>
          <w:lang w:eastAsia="zh-CN"/>
        </w:rPr>
        <w:t>决定</w:t>
      </w:r>
    </w:p>
    <w:p w14:paraId="4827B19E" w14:textId="77777777" w:rsidR="00DE34F4" w:rsidRPr="00A04DE5" w:rsidRDefault="00DE34F4" w:rsidP="00DE34F4">
      <w:pPr>
        <w:ind w:firstLineChars="200" w:firstLine="480"/>
        <w:rPr>
          <w:lang w:eastAsia="zh-CN"/>
        </w:rPr>
      </w:pPr>
      <w:r>
        <w:rPr>
          <w:rFonts w:hint="eastAsia"/>
          <w:lang w:eastAsia="zh-CN"/>
        </w:rPr>
        <w:t>批准实施该拟议自愿离职</w:t>
      </w:r>
      <w:r>
        <w:rPr>
          <w:rFonts w:hint="eastAsia"/>
          <w:lang w:eastAsia="zh-CN"/>
        </w:rPr>
        <w:t>/</w:t>
      </w:r>
      <w:r>
        <w:rPr>
          <w:rFonts w:hint="eastAsia"/>
          <w:lang w:eastAsia="zh-CN"/>
        </w:rPr>
        <w:t>提前退休计划，同时从储备金账目中最多提取</w:t>
      </w:r>
      <w:r>
        <w:rPr>
          <w:rFonts w:hint="eastAsia"/>
          <w:lang w:eastAsia="zh-CN"/>
        </w:rPr>
        <w:t>300</w:t>
      </w:r>
      <w:r>
        <w:rPr>
          <w:rFonts w:hint="eastAsia"/>
          <w:lang w:eastAsia="zh-CN"/>
        </w:rPr>
        <w:t>万瑞郎，</w:t>
      </w:r>
    </w:p>
    <w:p w14:paraId="4827B19F" w14:textId="77777777" w:rsidR="00DE34F4" w:rsidRPr="00465678" w:rsidRDefault="00DE34F4" w:rsidP="00DE34F4">
      <w:pPr>
        <w:pStyle w:val="Call"/>
        <w:rPr>
          <w:lang w:eastAsia="zh-CN"/>
        </w:rPr>
      </w:pPr>
      <w:r w:rsidRPr="00176B34">
        <w:rPr>
          <w:rFonts w:hint="eastAsia"/>
          <w:lang w:eastAsia="zh-CN"/>
        </w:rPr>
        <w:t>责成秘书长</w:t>
      </w:r>
    </w:p>
    <w:p w14:paraId="4827B1A0" w14:textId="77777777" w:rsidR="00DE34F4" w:rsidRDefault="00DE34F4" w:rsidP="00DE34F4">
      <w:pPr>
        <w:ind w:firstLineChars="200" w:firstLine="480"/>
        <w:rPr>
          <w:lang w:eastAsia="zh-CN"/>
        </w:rPr>
      </w:pPr>
      <w:r>
        <w:rPr>
          <w:rFonts w:hint="eastAsia"/>
          <w:lang w:eastAsia="zh-CN"/>
        </w:rPr>
        <w:t>在必要的情况下实施上述计划，并向理事会报告。</w:t>
      </w:r>
    </w:p>
    <w:p w14:paraId="4827B1A1" w14:textId="77777777" w:rsidR="00D01B3D" w:rsidRDefault="00DE34F4" w:rsidP="00D01B3D">
      <w:pPr>
        <w:pStyle w:val="Endtext"/>
        <w:rPr>
          <w:lang w:val="en-US" w:eastAsia="zh-CN"/>
        </w:rPr>
      </w:pPr>
      <w:r w:rsidRPr="00F72312">
        <w:rPr>
          <w:rFonts w:hint="eastAsia"/>
          <w:lang w:eastAsia="zh-CN"/>
        </w:rPr>
        <w:t>参阅</w:t>
      </w:r>
      <w:r w:rsidR="00D01B3D">
        <w:rPr>
          <w:rFonts w:hint="eastAsia"/>
          <w:lang w:eastAsia="zh-CN"/>
        </w:rPr>
        <w:t>：</w:t>
      </w:r>
      <w:r w:rsidRPr="00F72312">
        <w:rPr>
          <w:rFonts w:hint="eastAsia"/>
          <w:iCs w:val="0"/>
          <w:lang w:eastAsia="zh-CN"/>
        </w:rPr>
        <w:tab/>
      </w:r>
      <w:hyperlink r:id="rId201" w:history="1">
        <w:r w:rsidR="00D01B3D" w:rsidRPr="00B64CA6">
          <w:rPr>
            <w:rStyle w:val="Hyperlink"/>
            <w:lang w:val="en-US" w:eastAsia="zh-CN"/>
          </w:rPr>
          <w:t>C15-EXT/6</w:t>
        </w:r>
      </w:hyperlink>
      <w:r w:rsidR="00D01B3D">
        <w:rPr>
          <w:rFonts w:hint="eastAsia"/>
          <w:lang w:val="en-US" w:eastAsia="zh-CN"/>
        </w:rPr>
        <w:t>和</w:t>
      </w:r>
      <w:hyperlink r:id="rId202" w:history="1">
        <w:r w:rsidR="00D01B3D" w:rsidRPr="00B64CA6">
          <w:rPr>
            <w:rStyle w:val="Hyperlink"/>
            <w:lang w:val="en-US" w:eastAsia="zh-CN"/>
          </w:rPr>
          <w:t>C15-EXT/7</w:t>
        </w:r>
      </w:hyperlink>
      <w:r w:rsidR="00D01B3D">
        <w:rPr>
          <w:rFonts w:hint="eastAsia"/>
          <w:lang w:val="en-US" w:eastAsia="zh-CN"/>
        </w:rPr>
        <w:t>号</w:t>
      </w:r>
      <w:r w:rsidR="00D01B3D">
        <w:rPr>
          <w:lang w:val="en-US" w:eastAsia="zh-CN"/>
        </w:rPr>
        <w:t>文件。</w:t>
      </w:r>
    </w:p>
    <w:p w14:paraId="4827B1A2" w14:textId="77777777" w:rsidR="00E07F98" w:rsidRDefault="00E07F98" w:rsidP="00E07F98">
      <w:pPr>
        <w:jc w:val="center"/>
        <w:rPr>
          <w:lang w:eastAsia="zh-CN"/>
        </w:rPr>
      </w:pPr>
      <w:r>
        <w:rPr>
          <w:lang w:eastAsia="zh-CN"/>
        </w:rPr>
        <w:t>______________</w:t>
      </w:r>
    </w:p>
    <w:p w14:paraId="4827B1A3" w14:textId="77777777" w:rsidR="00DA0926" w:rsidRPr="008E4E05" w:rsidRDefault="00DA0926" w:rsidP="00A75FB5">
      <w:pPr>
        <w:pStyle w:val="ResNo"/>
        <w:spacing w:before="600"/>
        <w:outlineLvl w:val="0"/>
        <w:rPr>
          <w:b/>
          <w:bCs/>
          <w:lang w:val="en-US" w:eastAsia="zh-CN"/>
        </w:rPr>
      </w:pPr>
      <w:bookmarkStart w:id="1209" w:name="_Toc531706333"/>
      <w:bookmarkStart w:id="1210" w:name="_Toc531706932"/>
      <w:bookmarkStart w:id="1211" w:name="_Toc531768422"/>
      <w:bookmarkStart w:id="1212" w:name="_Toc16085741"/>
      <w:bookmarkStart w:id="1213" w:name="_Toc86395545"/>
      <w:r>
        <w:rPr>
          <w:rFonts w:hint="eastAsia"/>
          <w:lang w:val="en-US" w:eastAsia="zh-CN"/>
        </w:rPr>
        <w:t>第</w:t>
      </w:r>
      <w:r>
        <w:rPr>
          <w:rFonts w:hint="eastAsia"/>
          <w:lang w:val="en-US" w:eastAsia="zh-CN"/>
        </w:rPr>
        <w:t>605</w:t>
      </w:r>
      <w:r>
        <w:rPr>
          <w:rFonts w:hint="eastAsia"/>
          <w:lang w:val="en-US" w:eastAsia="zh-CN"/>
        </w:rPr>
        <w:t>号</w:t>
      </w:r>
      <w:r w:rsidRPr="002C400D">
        <w:rPr>
          <w:rFonts w:hint="eastAsia"/>
          <w:lang w:val="en-US" w:eastAsia="zh-CN"/>
        </w:rPr>
        <w:t>决定</w:t>
      </w:r>
      <w:r w:rsidRPr="008E4E05">
        <w:rPr>
          <w:rFonts w:hint="eastAsia"/>
          <w:bCs/>
          <w:lang w:val="en-US" w:eastAsia="zh-CN"/>
        </w:rPr>
        <w:t>（</w:t>
      </w:r>
      <w:r>
        <w:rPr>
          <w:rFonts w:hint="eastAsia"/>
          <w:bCs/>
          <w:lang w:val="en-US" w:eastAsia="zh-CN"/>
        </w:rPr>
        <w:t>C</w:t>
      </w:r>
      <w:r>
        <w:rPr>
          <w:bCs/>
          <w:lang w:val="en-US" w:eastAsia="zh-CN"/>
        </w:rPr>
        <w:t>18</w:t>
      </w:r>
      <w:r w:rsidRPr="008E4E05">
        <w:rPr>
          <w:bCs/>
          <w:lang w:val="en-US" w:eastAsia="zh-CN"/>
        </w:rPr>
        <w:t>）</w:t>
      </w:r>
      <w:bookmarkEnd w:id="1209"/>
      <w:bookmarkEnd w:id="1210"/>
      <w:bookmarkEnd w:id="1211"/>
      <w:bookmarkEnd w:id="1212"/>
      <w:bookmarkEnd w:id="1213"/>
    </w:p>
    <w:p w14:paraId="4827B1A4" w14:textId="77777777" w:rsidR="00DA0926" w:rsidRPr="00201A56" w:rsidRDefault="00DA0926" w:rsidP="00DA0926">
      <w:pPr>
        <w:pStyle w:val="Restitle"/>
        <w:rPr>
          <w:szCs w:val="28"/>
          <w:lang w:val="en-US" w:eastAsia="zh-CN"/>
        </w:rPr>
      </w:pPr>
      <w:bookmarkStart w:id="1214" w:name="_Toc531706334"/>
      <w:bookmarkStart w:id="1215" w:name="_Toc531706933"/>
      <w:bookmarkStart w:id="1216" w:name="_Toc531768423"/>
      <w:bookmarkStart w:id="1217" w:name="_Toc16085742"/>
      <w:bookmarkStart w:id="1218" w:name="_Toc86395546"/>
      <w:r w:rsidRPr="00201A56">
        <w:rPr>
          <w:rFonts w:hint="eastAsia"/>
          <w:szCs w:val="28"/>
          <w:lang w:val="en-US" w:eastAsia="zh-CN"/>
        </w:rPr>
        <w:t>设立</w:t>
      </w:r>
      <w:r w:rsidRPr="00201A56">
        <w:rPr>
          <w:szCs w:val="28"/>
          <w:lang w:val="en-US" w:eastAsia="zh-CN"/>
        </w:rPr>
        <w:t>国际电联独联体</w:t>
      </w:r>
      <w:r w:rsidRPr="00201A56">
        <w:rPr>
          <w:rFonts w:hint="eastAsia"/>
          <w:szCs w:val="28"/>
          <w:lang w:val="en-US" w:eastAsia="zh-CN"/>
        </w:rPr>
        <w:t>区域</w:t>
      </w:r>
      <w:r w:rsidRPr="00201A56">
        <w:rPr>
          <w:szCs w:val="28"/>
          <w:lang w:val="en-US" w:eastAsia="zh-CN"/>
        </w:rPr>
        <w:t>的</w:t>
      </w:r>
      <w:r w:rsidRPr="00201A56">
        <w:rPr>
          <w:rFonts w:hint="eastAsia"/>
          <w:szCs w:val="28"/>
          <w:lang w:val="en-US" w:eastAsia="zh-CN"/>
        </w:rPr>
        <w:t>区域代表</w:t>
      </w:r>
      <w:r w:rsidRPr="00201A56">
        <w:rPr>
          <w:szCs w:val="28"/>
          <w:lang w:val="en-US" w:eastAsia="zh-CN"/>
        </w:rPr>
        <w:t>处主任</w:t>
      </w:r>
      <w:r>
        <w:rPr>
          <w:rFonts w:hint="eastAsia"/>
          <w:szCs w:val="28"/>
          <w:lang w:val="en-US" w:eastAsia="zh-CN"/>
        </w:rPr>
        <w:t>的</w:t>
      </w:r>
      <w:r w:rsidRPr="00201A56">
        <w:rPr>
          <w:szCs w:val="28"/>
          <w:lang w:val="en-US" w:eastAsia="zh-CN"/>
        </w:rPr>
        <w:t>D1</w:t>
      </w:r>
      <w:r w:rsidRPr="00201A56">
        <w:rPr>
          <w:rFonts w:hint="eastAsia"/>
          <w:szCs w:val="28"/>
          <w:lang w:val="en-US" w:eastAsia="zh-CN"/>
        </w:rPr>
        <w:t>级职位</w:t>
      </w:r>
      <w:bookmarkEnd w:id="1214"/>
      <w:bookmarkEnd w:id="1215"/>
      <w:bookmarkEnd w:id="1216"/>
      <w:bookmarkEnd w:id="1217"/>
      <w:bookmarkEnd w:id="1218"/>
    </w:p>
    <w:p w14:paraId="4827B1A5" w14:textId="77777777" w:rsidR="00DA0926" w:rsidRPr="002C400D" w:rsidRDefault="00DA0926" w:rsidP="00E51375">
      <w:pPr>
        <w:pStyle w:val="Normalaftertitle0"/>
      </w:pPr>
      <w:r w:rsidRPr="002C400D">
        <w:rPr>
          <w:rFonts w:hint="eastAsia"/>
        </w:rPr>
        <w:t>理事会，</w:t>
      </w:r>
    </w:p>
    <w:p w14:paraId="4827B1A6" w14:textId="77777777" w:rsidR="00DA0926" w:rsidRDefault="00DA0926" w:rsidP="00DA0926">
      <w:pPr>
        <w:pStyle w:val="call0"/>
        <w:rPr>
          <w:lang w:val="en-US" w:eastAsia="zh-CN"/>
        </w:rPr>
      </w:pPr>
      <w:bookmarkStart w:id="1219" w:name="lt_pId053"/>
      <w:r>
        <w:rPr>
          <w:rFonts w:hint="eastAsia"/>
          <w:lang w:val="en-US" w:eastAsia="zh-CN"/>
        </w:rPr>
        <w:t>鉴于</w:t>
      </w:r>
    </w:p>
    <w:p w14:paraId="4827B1A7" w14:textId="77777777" w:rsidR="00DA0926" w:rsidRPr="002C400D" w:rsidRDefault="00DA0926" w:rsidP="00DA0926">
      <w:pPr>
        <w:snapToGrid w:val="0"/>
        <w:spacing w:after="120"/>
        <w:ind w:firstLineChars="200" w:firstLine="480"/>
        <w:rPr>
          <w:szCs w:val="24"/>
          <w:lang w:val="en-US" w:eastAsia="zh-CN"/>
        </w:rPr>
      </w:pPr>
      <w:r w:rsidRPr="002C400D">
        <w:rPr>
          <w:szCs w:val="24"/>
          <w:lang w:val="en-US" w:eastAsia="zh-CN"/>
        </w:rPr>
        <w:t>国际</w:t>
      </w:r>
      <w:r w:rsidRPr="002C400D">
        <w:rPr>
          <w:rFonts w:hint="eastAsia"/>
          <w:szCs w:val="24"/>
          <w:lang w:val="en-US" w:eastAsia="zh-CN"/>
        </w:rPr>
        <w:t>电信联盟</w:t>
      </w:r>
      <w:r w:rsidRPr="002C400D">
        <w:rPr>
          <w:szCs w:val="24"/>
          <w:lang w:val="en-US" w:eastAsia="zh-CN"/>
        </w:rPr>
        <w:t>《</w:t>
      </w:r>
      <w:r w:rsidRPr="002C400D">
        <w:rPr>
          <w:rFonts w:hint="eastAsia"/>
          <w:szCs w:val="24"/>
          <w:lang w:val="en-US" w:eastAsia="zh-CN"/>
        </w:rPr>
        <w:t>公约</w:t>
      </w:r>
      <w:r w:rsidRPr="002C400D">
        <w:rPr>
          <w:szCs w:val="24"/>
          <w:lang w:val="en-US" w:eastAsia="zh-CN"/>
        </w:rPr>
        <w:t>》（</w:t>
      </w:r>
      <w:r w:rsidRPr="002C400D">
        <w:rPr>
          <w:rFonts w:hint="eastAsia"/>
          <w:szCs w:val="24"/>
          <w:lang w:val="en-US" w:eastAsia="zh-CN"/>
        </w:rPr>
        <w:t>1992</w:t>
      </w:r>
      <w:r w:rsidRPr="002C400D">
        <w:rPr>
          <w:rFonts w:hint="eastAsia"/>
          <w:szCs w:val="24"/>
          <w:lang w:val="en-US" w:eastAsia="zh-CN"/>
        </w:rPr>
        <w:t>年</w:t>
      </w:r>
      <w:r w:rsidRPr="002C400D">
        <w:rPr>
          <w:szCs w:val="24"/>
          <w:lang w:val="en-US" w:eastAsia="zh-CN"/>
        </w:rPr>
        <w:t>，日内瓦）</w:t>
      </w:r>
      <w:r w:rsidRPr="002C400D">
        <w:rPr>
          <w:rFonts w:hint="eastAsia"/>
          <w:szCs w:val="24"/>
          <w:lang w:val="en-US" w:eastAsia="zh-CN"/>
        </w:rPr>
        <w:t>第</w:t>
      </w:r>
      <w:r w:rsidRPr="002C400D">
        <w:rPr>
          <w:rFonts w:hint="eastAsia"/>
          <w:szCs w:val="24"/>
          <w:lang w:val="en-US" w:eastAsia="zh-CN"/>
        </w:rPr>
        <w:t>70</w:t>
      </w:r>
      <w:r w:rsidRPr="002C400D">
        <w:rPr>
          <w:rFonts w:hint="eastAsia"/>
          <w:szCs w:val="24"/>
          <w:lang w:val="en-US" w:eastAsia="zh-CN"/>
        </w:rPr>
        <w:t>和</w:t>
      </w:r>
      <w:r w:rsidRPr="002C400D">
        <w:rPr>
          <w:rFonts w:hint="eastAsia"/>
          <w:szCs w:val="24"/>
          <w:lang w:val="en-US" w:eastAsia="zh-CN"/>
        </w:rPr>
        <w:t>71</w:t>
      </w:r>
      <w:r w:rsidRPr="002C400D">
        <w:rPr>
          <w:rFonts w:hint="eastAsia"/>
          <w:szCs w:val="24"/>
          <w:lang w:val="en-US" w:eastAsia="zh-CN"/>
        </w:rPr>
        <w:t>款</w:t>
      </w:r>
      <w:r w:rsidRPr="002C400D">
        <w:rPr>
          <w:szCs w:val="24"/>
          <w:lang w:val="en-US" w:eastAsia="zh-CN"/>
        </w:rPr>
        <w:t>的规定</w:t>
      </w:r>
      <w:r w:rsidRPr="002C400D">
        <w:rPr>
          <w:rFonts w:hint="eastAsia"/>
          <w:szCs w:val="24"/>
          <w:lang w:val="en-US" w:eastAsia="zh-CN"/>
        </w:rPr>
        <w:t>，</w:t>
      </w:r>
      <w:bookmarkEnd w:id="1219"/>
    </w:p>
    <w:p w14:paraId="4827B1A8" w14:textId="77777777" w:rsidR="00DA0926" w:rsidRDefault="00DA0926" w:rsidP="00DA0926">
      <w:pPr>
        <w:pStyle w:val="call0"/>
        <w:rPr>
          <w:lang w:val="en-US" w:eastAsia="zh-CN"/>
        </w:rPr>
      </w:pPr>
      <w:r w:rsidRPr="00084781">
        <w:rPr>
          <w:rFonts w:hint="eastAsia"/>
          <w:lang w:val="en-US" w:eastAsia="zh-CN"/>
        </w:rPr>
        <w:t>注意到</w:t>
      </w:r>
    </w:p>
    <w:p w14:paraId="4827B1A9" w14:textId="77777777" w:rsidR="00DA0926" w:rsidRPr="002C400D" w:rsidRDefault="00DA0926" w:rsidP="00DA0926">
      <w:pPr>
        <w:snapToGrid w:val="0"/>
        <w:spacing w:after="120"/>
        <w:ind w:firstLineChars="200" w:firstLine="480"/>
        <w:rPr>
          <w:lang w:val="en-US" w:eastAsia="zh-CN"/>
        </w:rPr>
      </w:pPr>
      <w:r w:rsidRPr="002C400D">
        <w:rPr>
          <w:rFonts w:hint="eastAsia"/>
          <w:lang w:val="en-US" w:eastAsia="zh-CN"/>
        </w:rPr>
        <w:t>提交理事会</w:t>
      </w:r>
      <w:r w:rsidRPr="002C400D">
        <w:rPr>
          <w:rFonts w:hint="eastAsia"/>
          <w:lang w:val="en-US" w:eastAsia="zh-CN"/>
        </w:rPr>
        <w:t>2012</w:t>
      </w:r>
      <w:r w:rsidRPr="002C400D">
        <w:rPr>
          <w:rFonts w:hint="eastAsia"/>
          <w:lang w:val="en-US" w:eastAsia="zh-CN"/>
        </w:rPr>
        <w:t>年会议</w:t>
      </w:r>
      <w:r>
        <w:rPr>
          <w:rFonts w:hint="eastAsia"/>
          <w:lang w:val="en-US" w:eastAsia="zh-CN"/>
        </w:rPr>
        <w:t>、有</w:t>
      </w:r>
      <w:r>
        <w:rPr>
          <w:lang w:val="en-US" w:eastAsia="zh-CN"/>
        </w:rPr>
        <w:t>关</w:t>
      </w:r>
      <w:r>
        <w:rPr>
          <w:rFonts w:hint="eastAsia"/>
          <w:lang w:val="en-US" w:eastAsia="zh-CN"/>
        </w:rPr>
        <w:t>确立区域代表处和地区办事处</w:t>
      </w:r>
      <w:r w:rsidRPr="002C400D">
        <w:rPr>
          <w:rFonts w:hint="eastAsia"/>
          <w:lang w:val="en-US" w:eastAsia="zh-CN"/>
        </w:rPr>
        <w:t>标准结构的</w:t>
      </w:r>
      <w:r w:rsidRPr="002C400D">
        <w:rPr>
          <w:lang w:val="en-US" w:eastAsia="zh-CN"/>
        </w:rPr>
        <w:t>C12/25</w:t>
      </w:r>
      <w:r w:rsidRPr="002C400D">
        <w:rPr>
          <w:rFonts w:hint="eastAsia"/>
          <w:lang w:val="en-US" w:eastAsia="zh-CN"/>
        </w:rPr>
        <w:t>号文件提供了必要的灵活性，</w:t>
      </w:r>
    </w:p>
    <w:p w14:paraId="4827B1AA" w14:textId="77777777" w:rsidR="00DA0926" w:rsidRPr="002C400D" w:rsidRDefault="00DA0926" w:rsidP="00DA0926">
      <w:pPr>
        <w:pStyle w:val="call0"/>
        <w:rPr>
          <w:i/>
          <w:iCs/>
          <w:lang w:val="en-US" w:eastAsia="zh-CN"/>
        </w:rPr>
      </w:pPr>
      <w:r w:rsidRPr="002C400D">
        <w:rPr>
          <w:rFonts w:hint="eastAsia"/>
          <w:lang w:val="en-US" w:eastAsia="zh-CN"/>
        </w:rPr>
        <w:t>做出决定</w:t>
      </w:r>
    </w:p>
    <w:p w14:paraId="4827B1AB" w14:textId="77777777" w:rsidR="00DA0926" w:rsidRPr="002C400D" w:rsidRDefault="00DA0926" w:rsidP="00DA0926">
      <w:pPr>
        <w:rPr>
          <w:lang w:val="en-US" w:eastAsia="zh-CN"/>
        </w:rPr>
      </w:pPr>
      <w:r>
        <w:rPr>
          <w:lang w:val="en-US" w:eastAsia="zh-CN"/>
        </w:rPr>
        <w:t>1</w:t>
      </w:r>
      <w:r w:rsidRPr="002C400D">
        <w:rPr>
          <w:lang w:val="en-US" w:eastAsia="zh-CN"/>
        </w:rPr>
        <w:tab/>
      </w:r>
      <w:r w:rsidRPr="002C400D">
        <w:rPr>
          <w:rFonts w:hint="eastAsia"/>
          <w:lang w:val="en-US" w:eastAsia="zh-CN"/>
        </w:rPr>
        <w:t>在全权代表大会和理事会批准的财务限额内，批准国际电联独联体区域</w:t>
      </w:r>
      <w:r w:rsidRPr="002C400D">
        <w:rPr>
          <w:rFonts w:asciiTheme="minorEastAsia" w:eastAsiaTheme="minorEastAsia" w:hAnsiTheme="minorEastAsia" w:hint="eastAsia"/>
          <w:lang w:val="en-US" w:eastAsia="zh-CN"/>
        </w:rPr>
        <w:t>代表处</w:t>
      </w:r>
      <w:r w:rsidRPr="002C400D">
        <w:rPr>
          <w:rFonts w:hint="eastAsia"/>
          <w:lang w:val="en-US" w:eastAsia="zh-CN"/>
        </w:rPr>
        <w:t>的拟议结构，同时铭记，该结构是在标准结构基础上确立的</w:t>
      </w:r>
      <w:r>
        <w:rPr>
          <w:rFonts w:hint="eastAsia"/>
          <w:lang w:val="en-US" w:eastAsia="zh-CN"/>
        </w:rPr>
        <w:t>；</w:t>
      </w:r>
      <w:r w:rsidRPr="002C400D">
        <w:rPr>
          <w:rFonts w:hint="eastAsia"/>
          <w:lang w:val="en-US" w:eastAsia="zh-CN"/>
        </w:rPr>
        <w:t>今后对该结构的任何</w:t>
      </w:r>
      <w:r>
        <w:rPr>
          <w:rFonts w:hint="eastAsia"/>
          <w:lang w:val="en-US" w:eastAsia="zh-CN"/>
        </w:rPr>
        <w:t>变更</w:t>
      </w:r>
      <w:r w:rsidRPr="002C400D">
        <w:rPr>
          <w:rFonts w:hint="eastAsia"/>
          <w:lang w:val="en-US" w:eastAsia="zh-CN"/>
        </w:rPr>
        <w:t>须符合与设立职位相关的适用程序（</w:t>
      </w:r>
      <w:r w:rsidRPr="002C400D">
        <w:rPr>
          <w:rFonts w:asciiTheme="minorEastAsia" w:eastAsiaTheme="minorEastAsia" w:hAnsiTheme="minorEastAsia" w:hint="eastAsia"/>
          <w:lang w:val="en-US" w:eastAsia="zh-CN"/>
        </w:rPr>
        <w:t>有关职位管理的理事会第</w:t>
      </w:r>
      <w:r w:rsidRPr="002C400D">
        <w:rPr>
          <w:lang w:val="en-US" w:eastAsia="zh-CN"/>
        </w:rPr>
        <w:t>1108</w:t>
      </w:r>
      <w:r w:rsidRPr="002C400D">
        <w:rPr>
          <w:rFonts w:asciiTheme="minorEastAsia" w:eastAsiaTheme="minorEastAsia" w:hAnsiTheme="minorEastAsia" w:hint="eastAsia"/>
          <w:lang w:val="en-US" w:eastAsia="zh-CN"/>
        </w:rPr>
        <w:t>号决议</w:t>
      </w:r>
      <w:r w:rsidRPr="002C400D">
        <w:rPr>
          <w:rFonts w:hint="eastAsia"/>
          <w:lang w:val="en-US" w:eastAsia="zh-CN"/>
        </w:rPr>
        <w:t>）；</w:t>
      </w:r>
    </w:p>
    <w:p w14:paraId="4827B1AC" w14:textId="77777777" w:rsidR="00DA0926" w:rsidRDefault="00DA0926" w:rsidP="00DA0926">
      <w:pPr>
        <w:rPr>
          <w:szCs w:val="24"/>
          <w:lang w:val="en-US" w:eastAsia="zh-CN"/>
        </w:rPr>
      </w:pPr>
      <w:r>
        <w:rPr>
          <w:lang w:val="en-US" w:eastAsia="zh-CN"/>
        </w:rPr>
        <w:t>2</w:t>
      </w:r>
      <w:r w:rsidRPr="002C400D">
        <w:rPr>
          <w:lang w:val="en-US" w:eastAsia="zh-CN"/>
        </w:rPr>
        <w:tab/>
      </w:r>
      <w:r w:rsidRPr="002C400D">
        <w:rPr>
          <w:rFonts w:hint="eastAsia"/>
          <w:szCs w:val="24"/>
          <w:lang w:val="en-US" w:eastAsia="zh-CN"/>
        </w:rPr>
        <w:t>批准</w:t>
      </w:r>
      <w:r w:rsidRPr="002C400D">
        <w:rPr>
          <w:szCs w:val="24"/>
          <w:lang w:val="en-US" w:eastAsia="zh-CN"/>
        </w:rPr>
        <w:t>在</w:t>
      </w:r>
      <w:r w:rsidRPr="002C400D">
        <w:rPr>
          <w:rFonts w:hint="eastAsia"/>
          <w:szCs w:val="24"/>
          <w:lang w:val="en-US" w:eastAsia="zh-CN"/>
        </w:rPr>
        <w:t>电</w:t>
      </w:r>
      <w:r w:rsidRPr="002C400D">
        <w:rPr>
          <w:szCs w:val="24"/>
          <w:lang w:val="en-US" w:eastAsia="zh-CN"/>
        </w:rPr>
        <w:t>信发展局</w:t>
      </w:r>
      <w:r w:rsidRPr="002C400D">
        <w:rPr>
          <w:rFonts w:hint="eastAsia"/>
          <w:szCs w:val="24"/>
          <w:lang w:val="en-US" w:eastAsia="zh-CN"/>
        </w:rPr>
        <w:t>内设立驻俄罗斯</w:t>
      </w:r>
      <w:r w:rsidRPr="002C400D">
        <w:rPr>
          <w:szCs w:val="24"/>
          <w:lang w:val="en-US" w:eastAsia="zh-CN"/>
        </w:rPr>
        <w:t>联邦莫斯科</w:t>
      </w:r>
      <w:r>
        <w:rPr>
          <w:rFonts w:hint="eastAsia"/>
          <w:szCs w:val="24"/>
          <w:lang w:val="en-US" w:eastAsia="zh-CN"/>
        </w:rPr>
        <w:t>的</w:t>
      </w:r>
      <w:r w:rsidRPr="002C400D">
        <w:rPr>
          <w:szCs w:val="24"/>
          <w:lang w:val="en-US" w:eastAsia="zh-CN"/>
        </w:rPr>
        <w:t>国际电联独联体区域代表处主任职位，级别为</w:t>
      </w:r>
      <w:r w:rsidRPr="002C400D">
        <w:rPr>
          <w:szCs w:val="24"/>
          <w:lang w:val="en-US" w:eastAsia="zh-CN"/>
        </w:rPr>
        <w:t>D1</w:t>
      </w:r>
      <w:r w:rsidRPr="002C400D">
        <w:rPr>
          <w:rFonts w:hint="eastAsia"/>
          <w:szCs w:val="24"/>
          <w:lang w:val="en-US" w:eastAsia="zh-CN"/>
        </w:rPr>
        <w:t>。</w:t>
      </w:r>
    </w:p>
    <w:p w14:paraId="4827B1AD" w14:textId="77777777" w:rsidR="00DA0926" w:rsidRPr="009E3BE9" w:rsidRDefault="00DA0926" w:rsidP="00DA0926">
      <w:pPr>
        <w:pStyle w:val="Endtext"/>
        <w:rPr>
          <w:lang w:eastAsia="zh-CN"/>
        </w:rPr>
      </w:pPr>
      <w:r>
        <w:rPr>
          <w:rFonts w:hint="eastAsia"/>
          <w:lang w:eastAsia="zh-CN"/>
        </w:rPr>
        <w:t>参阅：</w:t>
      </w:r>
      <w:r w:rsidRPr="009E3BE9">
        <w:rPr>
          <w:lang w:eastAsia="zh-CN"/>
        </w:rPr>
        <w:tab/>
      </w:r>
      <w:hyperlink r:id="rId203" w:history="1">
        <w:r w:rsidRPr="009E3BE9">
          <w:rPr>
            <w:rStyle w:val="Hyperlink"/>
            <w:lang w:eastAsia="zh-CN"/>
          </w:rPr>
          <w:t>C18/113</w:t>
        </w:r>
      </w:hyperlink>
      <w:r>
        <w:rPr>
          <w:rFonts w:hint="eastAsia"/>
          <w:lang w:eastAsia="zh-CN"/>
        </w:rPr>
        <w:t>和</w:t>
      </w:r>
      <w:hyperlink r:id="rId204" w:history="1">
        <w:r w:rsidRPr="009E3BE9">
          <w:rPr>
            <w:rStyle w:val="Hyperlink"/>
            <w:lang w:eastAsia="zh-CN"/>
          </w:rPr>
          <w:t>C18/121</w:t>
        </w:r>
      </w:hyperlink>
      <w:r>
        <w:rPr>
          <w:rFonts w:hint="eastAsia"/>
          <w:lang w:eastAsia="zh-CN"/>
        </w:rPr>
        <w:t>号文件</w:t>
      </w:r>
      <w:r>
        <w:rPr>
          <w:lang w:eastAsia="zh-CN"/>
        </w:rPr>
        <w:t>。</w:t>
      </w:r>
    </w:p>
    <w:p w14:paraId="4827B1AE" w14:textId="77777777" w:rsidR="001C0DEA" w:rsidRDefault="00E07F98" w:rsidP="00AE37E2">
      <w:pPr>
        <w:jc w:val="center"/>
        <w:rPr>
          <w:lang w:eastAsia="zh-CN"/>
        </w:rPr>
      </w:pPr>
      <w:r>
        <w:rPr>
          <w:lang w:eastAsia="zh-CN"/>
        </w:rPr>
        <w:t>______________</w:t>
      </w:r>
    </w:p>
    <w:p w14:paraId="4827B1AF" w14:textId="77777777" w:rsidR="001C0DEA" w:rsidRDefault="001C0DEA" w:rsidP="001C0DEA">
      <w:pPr>
        <w:jc w:val="left"/>
        <w:rPr>
          <w:lang w:eastAsia="zh-CN"/>
        </w:rPr>
        <w:sectPr w:rsidR="001C0DEA" w:rsidSect="009A11FE">
          <w:headerReference w:type="even" r:id="rId205"/>
          <w:headerReference w:type="default" r:id="rId206"/>
          <w:headerReference w:type="first" r:id="rId207"/>
          <w:footnotePr>
            <w:pos w:val="beneathText"/>
          </w:footnotePr>
          <w:endnotePr>
            <w:numFmt w:val="decimal"/>
          </w:endnotePr>
          <w:pgSz w:w="11907" w:h="16840" w:code="9"/>
          <w:pgMar w:top="1418" w:right="1134" w:bottom="1134" w:left="1134" w:header="737" w:footer="567" w:gutter="0"/>
          <w:cols w:space="720"/>
          <w:vAlign w:val="both"/>
          <w:titlePg/>
        </w:sectPr>
      </w:pPr>
    </w:p>
    <w:p w14:paraId="4827B1B0" w14:textId="77777777" w:rsidR="00F11D1D" w:rsidRPr="008853B4" w:rsidRDefault="00F11D1D" w:rsidP="007672B3">
      <w:pPr>
        <w:pStyle w:val="Chaptitle"/>
        <w:rPr>
          <w:lang w:eastAsia="zh-CN"/>
        </w:rPr>
      </w:pPr>
      <w:bookmarkStart w:id="1220" w:name="_Toc81880068"/>
      <w:bookmarkStart w:id="1221" w:name="_Toc161224024"/>
      <w:bookmarkStart w:id="1222" w:name="_Toc161732070"/>
      <w:bookmarkStart w:id="1223" w:name="_Toc161740997"/>
      <w:bookmarkStart w:id="1224" w:name="_Toc185237669"/>
      <w:bookmarkStart w:id="1225" w:name="_Toc311469586"/>
      <w:bookmarkStart w:id="1226" w:name="_Toc424116988"/>
      <w:bookmarkStart w:id="1227" w:name="_Toc531706335"/>
      <w:bookmarkStart w:id="1228" w:name="_Toc531706934"/>
      <w:bookmarkStart w:id="1229" w:name="_Toc531768424"/>
      <w:bookmarkStart w:id="1230" w:name="_Toc16085743"/>
      <w:bookmarkStart w:id="1231" w:name="_Toc86395547"/>
      <w:r w:rsidRPr="008853B4">
        <w:rPr>
          <w:lang w:eastAsia="zh-CN"/>
        </w:rPr>
        <w:lastRenderedPageBreak/>
        <w:t>2.3</w:t>
      </w:r>
      <w:r w:rsidRPr="008853B4">
        <w:rPr>
          <w:lang w:eastAsia="zh-CN"/>
        </w:rPr>
        <w:tab/>
      </w:r>
      <w:bookmarkEnd w:id="1220"/>
      <w:r w:rsidR="005354B3" w:rsidRPr="008853B4">
        <w:rPr>
          <w:rFonts w:ascii="SimSun" w:hAnsi="SimSun" w:cs="SimSun" w:hint="eastAsia"/>
          <w:lang w:eastAsia="zh-CN"/>
        </w:rPr>
        <w:t>养恤金</w:t>
      </w:r>
      <w:bookmarkEnd w:id="1221"/>
      <w:bookmarkEnd w:id="1222"/>
      <w:bookmarkEnd w:id="1223"/>
      <w:bookmarkEnd w:id="1224"/>
      <w:bookmarkEnd w:id="1225"/>
      <w:bookmarkEnd w:id="1226"/>
      <w:bookmarkEnd w:id="1227"/>
      <w:bookmarkEnd w:id="1228"/>
      <w:bookmarkEnd w:id="1229"/>
      <w:bookmarkEnd w:id="1230"/>
      <w:bookmarkEnd w:id="1231"/>
    </w:p>
    <w:p w14:paraId="4827B1B1" w14:textId="77777777" w:rsidR="003474B7" w:rsidRPr="003474B7" w:rsidRDefault="002B5AFD" w:rsidP="00A75FB5">
      <w:pPr>
        <w:pStyle w:val="ResNo"/>
        <w:outlineLvl w:val="0"/>
        <w:rPr>
          <w:lang w:eastAsia="zh-CN"/>
        </w:rPr>
      </w:pPr>
      <w:bookmarkStart w:id="1232" w:name="_Toc424116989"/>
      <w:bookmarkStart w:id="1233" w:name="_Toc531706336"/>
      <w:bookmarkStart w:id="1234" w:name="_Toc531706935"/>
      <w:bookmarkStart w:id="1235" w:name="_Toc531768425"/>
      <w:bookmarkStart w:id="1236" w:name="_Toc16085744"/>
      <w:bookmarkStart w:id="1237" w:name="_Toc86395548"/>
      <w:bookmarkStart w:id="1238" w:name="_Toc161224025"/>
      <w:bookmarkStart w:id="1239" w:name="_Toc161732071"/>
      <w:bookmarkStart w:id="1240" w:name="_Toc161740998"/>
      <w:bookmarkStart w:id="1241" w:name="_Toc63839085"/>
      <w:bookmarkStart w:id="1242" w:name="_Toc185237670"/>
      <w:bookmarkStart w:id="1243" w:name="_Toc311469587"/>
      <w:bookmarkStart w:id="1244" w:name="_Toc63839086"/>
      <w:bookmarkStart w:id="1245" w:name="_Toc78271321"/>
      <w:bookmarkStart w:id="1246" w:name="_Toc81880070"/>
      <w:r w:rsidRPr="003474B7">
        <w:rPr>
          <w:rFonts w:hint="eastAsia"/>
          <w:lang w:eastAsia="zh-CN"/>
        </w:rPr>
        <w:t>第</w:t>
      </w:r>
      <w:r w:rsidRPr="003474B7">
        <w:rPr>
          <w:lang w:eastAsia="zh-CN"/>
        </w:rPr>
        <w:t>440</w:t>
      </w:r>
      <w:r w:rsidRPr="003474B7">
        <w:rPr>
          <w:rFonts w:hint="eastAsia"/>
          <w:lang w:eastAsia="zh-CN"/>
        </w:rPr>
        <w:t>号决议</w:t>
      </w:r>
      <w:r w:rsidR="003474B7">
        <w:rPr>
          <w:rFonts w:hint="eastAsia"/>
          <w:lang w:eastAsia="zh-CN"/>
        </w:rPr>
        <w:t>（</w:t>
      </w:r>
      <w:r w:rsidR="003474B7" w:rsidRPr="003474B7">
        <w:rPr>
          <w:lang w:eastAsia="zh-CN"/>
        </w:rPr>
        <w:t>C-1960</w:t>
      </w:r>
      <w:r w:rsidR="003474B7">
        <w:rPr>
          <w:rFonts w:hint="eastAsia"/>
          <w:lang w:eastAsia="zh-CN"/>
        </w:rPr>
        <w:t>）</w:t>
      </w:r>
      <w:bookmarkEnd w:id="1232"/>
      <w:bookmarkEnd w:id="1233"/>
      <w:bookmarkEnd w:id="1234"/>
      <w:bookmarkEnd w:id="1235"/>
      <w:bookmarkEnd w:id="1236"/>
      <w:bookmarkEnd w:id="1237"/>
    </w:p>
    <w:p w14:paraId="4827B1B2" w14:textId="77777777" w:rsidR="002B5AFD" w:rsidRPr="003474B7" w:rsidRDefault="002B5AFD" w:rsidP="003474B7">
      <w:pPr>
        <w:pStyle w:val="Restitle"/>
        <w:rPr>
          <w:lang w:eastAsia="zh-CN"/>
        </w:rPr>
      </w:pPr>
      <w:bookmarkStart w:id="1247" w:name="_Toc424116219"/>
      <w:bookmarkStart w:id="1248" w:name="_Toc424116990"/>
      <w:bookmarkStart w:id="1249" w:name="_Toc460248099"/>
      <w:bookmarkStart w:id="1250" w:name="_Toc531706337"/>
      <w:bookmarkStart w:id="1251" w:name="_Toc531706936"/>
      <w:bookmarkStart w:id="1252" w:name="_Toc531768426"/>
      <w:bookmarkStart w:id="1253" w:name="_Toc16085745"/>
      <w:bookmarkStart w:id="1254" w:name="_Toc86395549"/>
      <w:r w:rsidRPr="003474B7">
        <w:rPr>
          <w:rFonts w:hint="eastAsia"/>
          <w:lang w:eastAsia="zh-CN"/>
        </w:rPr>
        <w:t>国际电联职员退休和福利基金资金的投资</w:t>
      </w:r>
      <w:bookmarkEnd w:id="1238"/>
      <w:bookmarkEnd w:id="1239"/>
      <w:bookmarkEnd w:id="1240"/>
      <w:bookmarkEnd w:id="1241"/>
      <w:bookmarkEnd w:id="1242"/>
      <w:bookmarkEnd w:id="1243"/>
      <w:bookmarkEnd w:id="1247"/>
      <w:bookmarkEnd w:id="1248"/>
      <w:bookmarkEnd w:id="1249"/>
      <w:bookmarkEnd w:id="1250"/>
      <w:bookmarkEnd w:id="1251"/>
      <w:bookmarkEnd w:id="1252"/>
      <w:bookmarkEnd w:id="1253"/>
      <w:bookmarkEnd w:id="1254"/>
    </w:p>
    <w:p w14:paraId="4827B1B3" w14:textId="77777777" w:rsidR="002B5AFD" w:rsidRDefault="002B5AFD" w:rsidP="00B64353">
      <w:pPr>
        <w:pStyle w:val="Normalaftertitle"/>
        <w:spacing w:before="200"/>
        <w:rPr>
          <w:lang w:eastAsia="zh-CN"/>
        </w:rPr>
      </w:pPr>
      <w:r>
        <w:rPr>
          <w:rFonts w:hint="eastAsia"/>
          <w:lang w:eastAsia="zh-CN"/>
        </w:rPr>
        <w:t>理事会，</w:t>
      </w:r>
    </w:p>
    <w:p w14:paraId="4827B1B4" w14:textId="77777777" w:rsidR="002B5AFD" w:rsidRPr="002F08E4" w:rsidRDefault="002B5AFD" w:rsidP="00B64353">
      <w:pPr>
        <w:pStyle w:val="call0"/>
        <w:rPr>
          <w:rFonts w:ascii="STKaiti" w:hAnsi="STKaiti"/>
          <w:i/>
          <w:iCs/>
          <w:szCs w:val="22"/>
          <w:lang w:eastAsia="zh-CN"/>
        </w:rPr>
      </w:pPr>
      <w:r w:rsidRPr="002F08E4">
        <w:rPr>
          <w:rFonts w:ascii="STKaiti" w:hAnsi="STKaiti" w:hint="eastAsia"/>
          <w:iCs/>
          <w:szCs w:val="22"/>
          <w:lang w:eastAsia="zh-CN"/>
        </w:rPr>
        <w:t>考虑到</w:t>
      </w:r>
    </w:p>
    <w:p w14:paraId="4827B1B5" w14:textId="77777777" w:rsidR="002B5AFD" w:rsidRDefault="002B5AFD" w:rsidP="003474B7">
      <w:pPr>
        <w:rPr>
          <w:lang w:eastAsia="zh-CN"/>
        </w:rPr>
      </w:pPr>
      <w:r w:rsidRPr="005A7571">
        <w:rPr>
          <w:i/>
          <w:iCs/>
          <w:lang w:eastAsia="zh-CN"/>
        </w:rPr>
        <w:t>a</w:t>
      </w:r>
      <w:r w:rsidR="000E6A83" w:rsidRPr="005A7571">
        <w:rPr>
          <w:i/>
          <w:iCs/>
          <w:lang w:eastAsia="zh-CN"/>
        </w:rPr>
        <w:t>)</w:t>
      </w:r>
      <w:r w:rsidR="000E6A83">
        <w:rPr>
          <w:lang w:eastAsia="zh-CN"/>
        </w:rPr>
        <w:tab/>
      </w:r>
      <w:r>
        <w:rPr>
          <w:rFonts w:hint="eastAsia"/>
          <w:lang w:val="fr-FR" w:eastAsia="zh-CN"/>
        </w:rPr>
        <w:t>（</w:t>
      </w:r>
      <w:r>
        <w:rPr>
          <w:rFonts w:hint="eastAsia"/>
          <w:lang w:eastAsia="zh-CN"/>
        </w:rPr>
        <w:t>在转至联合国合办职员养恤基金后</w:t>
      </w:r>
      <w:r>
        <w:rPr>
          <w:rFonts w:hint="eastAsia"/>
          <w:lang w:val="fr-FR" w:eastAsia="zh-CN"/>
        </w:rPr>
        <w:t>）</w:t>
      </w:r>
      <w:r>
        <w:rPr>
          <w:rFonts w:hint="eastAsia"/>
          <w:lang w:eastAsia="zh-CN"/>
        </w:rPr>
        <w:t>除在道义上负责</w:t>
      </w:r>
      <w:r>
        <w:rPr>
          <w:rFonts w:hint="eastAsia"/>
          <w:lang w:val="fr-FR" w:eastAsia="zh-CN"/>
        </w:rPr>
        <w:t>直至</w:t>
      </w:r>
      <w:r>
        <w:rPr>
          <w:lang w:val="fr-FR" w:eastAsia="zh-CN"/>
        </w:rPr>
        <w:t>1960</w:t>
      </w:r>
      <w:r>
        <w:rPr>
          <w:rFonts w:hint="eastAsia"/>
          <w:lang w:eastAsia="zh-CN"/>
        </w:rPr>
        <w:t>年仍由管理委员会托管</w:t>
      </w:r>
      <w:r>
        <w:rPr>
          <w:rFonts w:hint="eastAsia"/>
          <w:lang w:val="fr-FR" w:eastAsia="zh-CN"/>
        </w:rPr>
        <w:t>的</w:t>
      </w:r>
      <w:r>
        <w:rPr>
          <w:rFonts w:hint="eastAsia"/>
          <w:lang w:eastAsia="zh-CN"/>
        </w:rPr>
        <w:t>基金以外</w:t>
      </w:r>
      <w:r>
        <w:rPr>
          <w:rFonts w:hint="eastAsia"/>
          <w:lang w:val="fr-FR" w:eastAsia="zh-CN"/>
        </w:rPr>
        <w:t>，</w:t>
      </w:r>
      <w:r w:rsidRPr="00EB77F4">
        <w:rPr>
          <w:lang w:val="fr-FR" w:eastAsia="zh-CN"/>
        </w:rPr>
        <w:t>国际电联对应由</w:t>
      </w:r>
      <w:r w:rsidRPr="00EB77F4">
        <w:rPr>
          <w:rFonts w:hAnsi="SimSun"/>
          <w:lang w:eastAsia="zh-CN"/>
        </w:rPr>
        <w:t>职员退休和福利基金</w:t>
      </w:r>
      <w:r w:rsidRPr="00EB77F4">
        <w:rPr>
          <w:lang w:val="fr-FR" w:eastAsia="zh-CN"/>
        </w:rPr>
        <w:t>支付的退休及其他养恤金向职员提供了财政担保（《</w:t>
      </w:r>
      <w:r w:rsidRPr="00EB77F4">
        <w:rPr>
          <w:rFonts w:hAnsi="SimSun"/>
          <w:lang w:eastAsia="zh-CN"/>
        </w:rPr>
        <w:t>职员退休和福利基金条例》第</w:t>
      </w:r>
      <w:r w:rsidRPr="00EB77F4">
        <w:rPr>
          <w:lang w:val="fr-FR" w:eastAsia="zh-CN"/>
        </w:rPr>
        <w:t>7</w:t>
      </w:r>
      <w:r w:rsidRPr="00EB77F4">
        <w:rPr>
          <w:rFonts w:hAnsi="SimSun"/>
          <w:lang w:eastAsia="zh-CN"/>
        </w:rPr>
        <w:t>版</w:t>
      </w:r>
      <w:r w:rsidRPr="00EB77F4">
        <w:rPr>
          <w:rFonts w:hAnsi="SimSun"/>
          <w:lang w:val="fr-FR" w:eastAsia="zh-CN"/>
        </w:rPr>
        <w:t>，</w:t>
      </w:r>
      <w:r w:rsidRPr="00EB77F4">
        <w:rPr>
          <w:rFonts w:hAnsi="SimSun"/>
          <w:lang w:eastAsia="zh-CN"/>
        </w:rPr>
        <w:t>第</w:t>
      </w:r>
      <w:r w:rsidRPr="00EB77F4">
        <w:rPr>
          <w:lang w:val="fr-FR" w:eastAsia="zh-CN"/>
        </w:rPr>
        <w:t>1</w:t>
      </w:r>
      <w:r w:rsidRPr="00EB77F4">
        <w:rPr>
          <w:rFonts w:hAnsi="SimSun"/>
          <w:lang w:eastAsia="zh-CN"/>
        </w:rPr>
        <w:t>、</w:t>
      </w:r>
      <w:r w:rsidRPr="00EB77F4">
        <w:rPr>
          <w:lang w:val="fr-FR" w:eastAsia="zh-CN"/>
        </w:rPr>
        <w:t>2</w:t>
      </w:r>
      <w:r w:rsidRPr="00EB77F4">
        <w:rPr>
          <w:rFonts w:hAnsi="SimSun"/>
          <w:lang w:eastAsia="zh-CN"/>
        </w:rPr>
        <w:t>和</w:t>
      </w:r>
      <w:r w:rsidRPr="00EB77F4">
        <w:rPr>
          <w:lang w:val="fr-FR" w:eastAsia="zh-CN"/>
        </w:rPr>
        <w:t>84</w:t>
      </w:r>
      <w:r w:rsidRPr="00EB77F4">
        <w:rPr>
          <w:rFonts w:hAnsi="SimSun"/>
          <w:lang w:eastAsia="zh-CN"/>
        </w:rPr>
        <w:t>条</w:t>
      </w:r>
      <w:r w:rsidRPr="00EB77F4">
        <w:rPr>
          <w:rFonts w:hAnsi="SimSun"/>
          <w:lang w:val="fr-FR" w:eastAsia="zh-CN"/>
        </w:rPr>
        <w:t>）</w:t>
      </w:r>
      <w:r w:rsidRPr="00EB77F4">
        <w:rPr>
          <w:lang w:val="fr-FR" w:eastAsia="zh-CN"/>
        </w:rPr>
        <w:t>；</w:t>
      </w:r>
    </w:p>
    <w:p w14:paraId="4827B1B6" w14:textId="77777777" w:rsidR="002B5AFD" w:rsidRDefault="002B5AFD" w:rsidP="00B64353">
      <w:pPr>
        <w:rPr>
          <w:lang w:eastAsia="zh-CN"/>
        </w:rPr>
      </w:pPr>
      <w:r w:rsidRPr="005A7571">
        <w:rPr>
          <w:i/>
          <w:iCs/>
          <w:lang w:eastAsia="zh-CN"/>
        </w:rPr>
        <w:t>b</w:t>
      </w:r>
      <w:r w:rsidR="000E6A83" w:rsidRPr="005A7571">
        <w:rPr>
          <w:i/>
          <w:iCs/>
          <w:lang w:eastAsia="zh-CN"/>
        </w:rPr>
        <w:t>)</w:t>
      </w:r>
      <w:r w:rsidR="000E6A83">
        <w:rPr>
          <w:lang w:eastAsia="zh-CN"/>
        </w:rPr>
        <w:tab/>
      </w:r>
      <w:r>
        <w:rPr>
          <w:rFonts w:hint="eastAsia"/>
          <w:lang w:val="fr-FR" w:eastAsia="zh-CN"/>
        </w:rPr>
        <w:t>职员退休和福利基金的债务以瑞士法郎表示</w:t>
      </w:r>
      <w:r>
        <w:rPr>
          <w:rFonts w:ascii="SimSun" w:hAnsi="SimSun" w:hint="eastAsia"/>
          <w:lang w:val="fr-FR" w:eastAsia="zh-CN"/>
        </w:rPr>
        <w:t>；</w:t>
      </w:r>
    </w:p>
    <w:p w14:paraId="4827B1B7" w14:textId="77777777" w:rsidR="002B5AFD" w:rsidRDefault="002B5AFD" w:rsidP="00B64353">
      <w:pPr>
        <w:rPr>
          <w:lang w:eastAsia="zh-CN"/>
        </w:rPr>
      </w:pPr>
      <w:r w:rsidRPr="005A7571">
        <w:rPr>
          <w:i/>
          <w:iCs/>
          <w:lang w:eastAsia="zh-CN"/>
        </w:rPr>
        <w:t>c</w:t>
      </w:r>
      <w:r w:rsidR="000E6A83" w:rsidRPr="005A7571">
        <w:rPr>
          <w:i/>
          <w:iCs/>
          <w:lang w:eastAsia="zh-CN"/>
        </w:rPr>
        <w:t>)</w:t>
      </w:r>
      <w:r w:rsidR="000E6A83">
        <w:rPr>
          <w:lang w:eastAsia="zh-CN"/>
        </w:rPr>
        <w:tab/>
      </w:r>
      <w:r>
        <w:rPr>
          <w:rFonts w:hint="eastAsia"/>
          <w:lang w:val="fr-FR" w:eastAsia="zh-CN"/>
        </w:rPr>
        <w:t>精算</w:t>
      </w:r>
      <w:r>
        <w:rPr>
          <w:rFonts w:hint="eastAsia"/>
          <w:lang w:eastAsia="zh-CN"/>
        </w:rPr>
        <w:t>计算按</w:t>
      </w:r>
      <w:r w:rsidR="002232AC">
        <w:rPr>
          <w:lang w:val="fr-FR" w:eastAsia="zh-CN"/>
        </w:rPr>
        <w:t>3</w:t>
      </w:r>
      <w:r>
        <w:rPr>
          <w:lang w:val="fr-FR" w:eastAsia="zh-CN"/>
        </w:rPr>
        <w:t>%</w:t>
      </w:r>
      <w:r>
        <w:rPr>
          <w:rFonts w:hint="eastAsia"/>
          <w:lang w:eastAsia="zh-CN"/>
        </w:rPr>
        <w:t>的利息进行</w:t>
      </w:r>
      <w:r>
        <w:rPr>
          <w:rFonts w:hint="eastAsia"/>
          <w:lang w:val="fr-FR" w:eastAsia="zh-CN"/>
        </w:rPr>
        <w:t>，</w:t>
      </w:r>
      <w:r>
        <w:rPr>
          <w:rFonts w:hint="eastAsia"/>
          <w:lang w:eastAsia="zh-CN"/>
        </w:rPr>
        <w:t>但</w:t>
      </w:r>
      <w:r>
        <w:rPr>
          <w:rFonts w:hint="eastAsia"/>
          <w:lang w:val="fr-FR" w:eastAsia="zh-CN"/>
        </w:rPr>
        <w:t>瑞士联邦承认的国际电联瑞士法郎活期</w:t>
      </w:r>
      <w:r w:rsidR="00E8383D">
        <w:rPr>
          <w:rFonts w:hint="eastAsia"/>
          <w:lang w:val="fr-FR" w:eastAsia="zh-CN"/>
        </w:rPr>
        <w:t>账户</w:t>
      </w:r>
      <w:r>
        <w:rPr>
          <w:rFonts w:hint="eastAsia"/>
          <w:lang w:val="fr-FR" w:eastAsia="zh-CN"/>
        </w:rPr>
        <w:t>和瑞士联邦支持的信用债券的利息多于</w:t>
      </w:r>
      <w:r w:rsidR="002232AC">
        <w:rPr>
          <w:lang w:val="fr-FR" w:eastAsia="zh-CN"/>
        </w:rPr>
        <w:t>3</w:t>
      </w:r>
      <w:r>
        <w:rPr>
          <w:lang w:val="fr-FR" w:eastAsia="zh-CN"/>
        </w:rPr>
        <w:t>%</w:t>
      </w:r>
      <w:r>
        <w:rPr>
          <w:rFonts w:hint="eastAsia"/>
          <w:lang w:val="fr-FR" w:eastAsia="zh-CN"/>
        </w:rPr>
        <w:t>，</w:t>
      </w:r>
    </w:p>
    <w:p w14:paraId="4827B1B8" w14:textId="77777777" w:rsidR="002B5AFD" w:rsidRDefault="002B5AFD" w:rsidP="00B64353">
      <w:pPr>
        <w:rPr>
          <w:lang w:eastAsia="zh-CN"/>
        </w:rPr>
      </w:pPr>
      <w:r>
        <w:rPr>
          <w:lang w:eastAsia="zh-CN"/>
        </w:rPr>
        <w:tab/>
      </w:r>
      <w:r>
        <w:rPr>
          <w:rFonts w:eastAsia="STKaiti" w:hint="eastAsia"/>
          <w:lang w:eastAsia="zh-CN"/>
        </w:rPr>
        <w:t>建议</w:t>
      </w:r>
      <w:r>
        <w:rPr>
          <w:rFonts w:hint="eastAsia"/>
          <w:lang w:eastAsia="zh-CN"/>
        </w:rPr>
        <w:t>管理委员会仍将</w:t>
      </w:r>
      <w:r>
        <w:rPr>
          <w:rFonts w:hint="eastAsia"/>
          <w:lang w:val="fr-FR" w:eastAsia="zh-CN"/>
        </w:rPr>
        <w:t>支付退休及其他养恤金的</w:t>
      </w:r>
      <w:r>
        <w:rPr>
          <w:rFonts w:ascii="SimSun" w:hAnsi="SimSun" w:hint="eastAsia"/>
          <w:lang w:eastAsia="zh-CN"/>
        </w:rPr>
        <w:t>职员退休和福利基金的资金放在瑞士联邦的活期</w:t>
      </w:r>
      <w:r w:rsidR="00E8383D">
        <w:rPr>
          <w:rFonts w:ascii="SimSun" w:hAnsi="SimSun" w:hint="eastAsia"/>
          <w:lang w:eastAsia="zh-CN"/>
        </w:rPr>
        <w:t>账户</w:t>
      </w:r>
      <w:r>
        <w:rPr>
          <w:rFonts w:ascii="SimSun" w:hAnsi="SimSun" w:hint="eastAsia"/>
          <w:lang w:eastAsia="zh-CN"/>
        </w:rPr>
        <w:t>中或以</w:t>
      </w:r>
      <w:r>
        <w:rPr>
          <w:rFonts w:hint="eastAsia"/>
          <w:lang w:val="fr-FR" w:eastAsia="zh-CN"/>
        </w:rPr>
        <w:t>瑞士联邦支持的信用债券的形式存储</w:t>
      </w:r>
      <w:r>
        <w:rPr>
          <w:rFonts w:ascii="SimSun" w:hAnsi="SimSun" w:hint="eastAsia"/>
          <w:lang w:val="fr-FR" w:eastAsia="zh-CN"/>
        </w:rPr>
        <w:t>，</w:t>
      </w:r>
      <w:r>
        <w:rPr>
          <w:rFonts w:hint="eastAsia"/>
          <w:lang w:val="fr-FR" w:eastAsia="zh-CN"/>
        </w:rPr>
        <w:t>并避免进行任何没有同等安全性的投资。</w:t>
      </w:r>
    </w:p>
    <w:p w14:paraId="4827B1B9" w14:textId="77777777" w:rsidR="002B5AFD" w:rsidRDefault="002B5AFD" w:rsidP="003474B7">
      <w:pPr>
        <w:pStyle w:val="Endtext"/>
        <w:rPr>
          <w:rFonts w:ascii="SimSun" w:hAnsi="SimSun"/>
          <w:lang w:eastAsia="zh-CN"/>
        </w:rPr>
      </w:pPr>
      <w:r>
        <w:rPr>
          <w:rFonts w:hint="eastAsia"/>
          <w:lang w:eastAsia="zh-CN"/>
        </w:rPr>
        <w:t>参阅</w:t>
      </w:r>
      <w:r w:rsidRPr="00CB6206">
        <w:rPr>
          <w:rFonts w:ascii="STKaiti" w:hAnsi="STKaiti" w:hint="eastAsia"/>
          <w:lang w:eastAsia="zh-CN"/>
        </w:rPr>
        <w:t>：</w:t>
      </w:r>
      <w:r>
        <w:rPr>
          <w:lang w:eastAsia="zh-CN"/>
        </w:rPr>
        <w:tab/>
        <w:t>2499/CA15</w:t>
      </w:r>
      <w:r>
        <w:rPr>
          <w:rFonts w:ascii="SimSun" w:hAnsi="SimSun" w:hint="eastAsia"/>
          <w:lang w:eastAsia="zh-CN"/>
        </w:rPr>
        <w:t>号文件</w:t>
      </w:r>
      <w:r>
        <w:rPr>
          <w:lang w:eastAsia="zh-CN"/>
        </w:rPr>
        <w:t>（</w:t>
      </w:r>
      <w:r>
        <w:rPr>
          <w:lang w:eastAsia="zh-CN"/>
        </w:rPr>
        <w:t>1960</w:t>
      </w:r>
      <w:r>
        <w:rPr>
          <w:rFonts w:hint="eastAsia"/>
          <w:lang w:eastAsia="zh-CN"/>
        </w:rPr>
        <w:t>年</w:t>
      </w:r>
      <w:r>
        <w:rPr>
          <w:lang w:eastAsia="zh-CN"/>
        </w:rPr>
        <w:t>）</w:t>
      </w:r>
      <w:r>
        <w:rPr>
          <w:rFonts w:ascii="SimSun" w:hAnsi="SimSun" w:hint="eastAsia"/>
          <w:lang w:eastAsia="zh-CN"/>
        </w:rPr>
        <w:t>。</w:t>
      </w:r>
    </w:p>
    <w:p w14:paraId="4827B1BA" w14:textId="77777777" w:rsidR="00E07F98" w:rsidRDefault="00E07F98" w:rsidP="00E07F98">
      <w:pPr>
        <w:jc w:val="center"/>
        <w:rPr>
          <w:lang w:eastAsia="zh-CN"/>
        </w:rPr>
      </w:pPr>
      <w:bookmarkStart w:id="1255" w:name="_Toc424116991"/>
      <w:bookmarkStart w:id="1256" w:name="_Toc531706338"/>
      <w:bookmarkStart w:id="1257" w:name="_Toc531706937"/>
      <w:bookmarkStart w:id="1258" w:name="_Toc531768427"/>
      <w:bookmarkStart w:id="1259" w:name="_Toc161224026"/>
      <w:bookmarkStart w:id="1260" w:name="_Toc161732072"/>
      <w:bookmarkStart w:id="1261" w:name="_Toc161740999"/>
      <w:bookmarkStart w:id="1262" w:name="_Toc185237671"/>
      <w:bookmarkStart w:id="1263" w:name="_Toc311469588"/>
      <w:bookmarkEnd w:id="1244"/>
      <w:bookmarkEnd w:id="1245"/>
      <w:bookmarkEnd w:id="1246"/>
      <w:r>
        <w:rPr>
          <w:lang w:eastAsia="zh-CN"/>
        </w:rPr>
        <w:t>______________</w:t>
      </w:r>
    </w:p>
    <w:p w14:paraId="4827B1BB" w14:textId="77777777" w:rsidR="003474B7" w:rsidRPr="003474B7" w:rsidRDefault="002B5AFD" w:rsidP="00A75FB5">
      <w:pPr>
        <w:pStyle w:val="ResNo"/>
        <w:outlineLvl w:val="0"/>
        <w:rPr>
          <w:lang w:eastAsia="zh-CN"/>
        </w:rPr>
      </w:pPr>
      <w:bookmarkStart w:id="1264" w:name="_Toc16085746"/>
      <w:bookmarkStart w:id="1265" w:name="_Toc86395550"/>
      <w:r w:rsidRPr="003474B7">
        <w:rPr>
          <w:rFonts w:hint="eastAsia"/>
          <w:lang w:eastAsia="zh-CN"/>
        </w:rPr>
        <w:t>第</w:t>
      </w:r>
      <w:r w:rsidRPr="003474B7">
        <w:rPr>
          <w:lang w:eastAsia="zh-CN"/>
        </w:rPr>
        <w:t>463</w:t>
      </w:r>
      <w:r w:rsidRPr="003474B7">
        <w:rPr>
          <w:rFonts w:hint="eastAsia"/>
          <w:lang w:eastAsia="zh-CN"/>
        </w:rPr>
        <w:t>号决议</w:t>
      </w:r>
      <w:r w:rsidR="003474B7">
        <w:rPr>
          <w:rFonts w:hint="eastAsia"/>
          <w:lang w:eastAsia="zh-CN"/>
        </w:rPr>
        <w:t>（</w:t>
      </w:r>
      <w:r w:rsidR="003474B7" w:rsidRPr="003474B7">
        <w:rPr>
          <w:lang w:eastAsia="zh-CN"/>
        </w:rPr>
        <w:t>C-1961</w:t>
      </w:r>
      <w:r w:rsidR="003474B7">
        <w:rPr>
          <w:rFonts w:hint="eastAsia"/>
          <w:lang w:eastAsia="zh-CN"/>
        </w:rPr>
        <w:t>）</w:t>
      </w:r>
      <w:bookmarkEnd w:id="1255"/>
      <w:bookmarkEnd w:id="1256"/>
      <w:bookmarkEnd w:id="1257"/>
      <w:bookmarkEnd w:id="1258"/>
      <w:bookmarkEnd w:id="1264"/>
      <w:bookmarkEnd w:id="1265"/>
    </w:p>
    <w:p w14:paraId="4827B1BC" w14:textId="77777777" w:rsidR="002B5AFD" w:rsidRPr="003474B7" w:rsidRDefault="002B5AFD" w:rsidP="003474B7">
      <w:pPr>
        <w:pStyle w:val="Restitle"/>
        <w:rPr>
          <w:lang w:eastAsia="zh-CN"/>
        </w:rPr>
      </w:pPr>
      <w:bookmarkStart w:id="1266" w:name="_Toc424116220"/>
      <w:bookmarkStart w:id="1267" w:name="_Toc424116992"/>
      <w:bookmarkStart w:id="1268" w:name="_Toc460248101"/>
      <w:bookmarkStart w:id="1269" w:name="_Toc531706339"/>
      <w:bookmarkStart w:id="1270" w:name="_Toc531706938"/>
      <w:bookmarkStart w:id="1271" w:name="_Toc531768428"/>
      <w:bookmarkStart w:id="1272" w:name="_Toc16085747"/>
      <w:bookmarkStart w:id="1273" w:name="_Toc86395551"/>
      <w:r>
        <w:rPr>
          <w:rFonts w:hint="eastAsia"/>
          <w:lang w:eastAsia="zh-CN"/>
        </w:rPr>
        <w:t>国际电联职员退休和福利基金的精</w:t>
      </w:r>
      <w:r w:rsidRPr="003474B7">
        <w:rPr>
          <w:rFonts w:hint="eastAsia"/>
          <w:lang w:eastAsia="zh-CN"/>
        </w:rPr>
        <w:t>算基础</w:t>
      </w:r>
      <w:bookmarkEnd w:id="1259"/>
      <w:bookmarkEnd w:id="1260"/>
      <w:bookmarkEnd w:id="1261"/>
      <w:bookmarkEnd w:id="1262"/>
      <w:bookmarkEnd w:id="1263"/>
      <w:bookmarkEnd w:id="1266"/>
      <w:bookmarkEnd w:id="1267"/>
      <w:bookmarkEnd w:id="1268"/>
      <w:bookmarkEnd w:id="1269"/>
      <w:bookmarkEnd w:id="1270"/>
      <w:bookmarkEnd w:id="1271"/>
      <w:bookmarkEnd w:id="1272"/>
      <w:bookmarkEnd w:id="1273"/>
    </w:p>
    <w:p w14:paraId="4827B1BD" w14:textId="77777777" w:rsidR="002B5AFD" w:rsidRDefault="002B5AFD" w:rsidP="00B64353">
      <w:pPr>
        <w:pStyle w:val="Normalaftertitle"/>
        <w:spacing w:before="200"/>
        <w:rPr>
          <w:lang w:eastAsia="zh-CN"/>
        </w:rPr>
      </w:pPr>
      <w:r>
        <w:rPr>
          <w:rFonts w:hint="eastAsia"/>
          <w:lang w:eastAsia="zh-CN"/>
        </w:rPr>
        <w:t>理事会，</w:t>
      </w:r>
    </w:p>
    <w:p w14:paraId="4827B1BE" w14:textId="77777777" w:rsidR="002B5AFD" w:rsidRDefault="002B5AFD" w:rsidP="003474B7">
      <w:pPr>
        <w:ind w:firstLineChars="200" w:firstLine="480"/>
        <w:rPr>
          <w:lang w:eastAsia="zh-CN"/>
        </w:rPr>
      </w:pPr>
      <w:r>
        <w:rPr>
          <w:rFonts w:eastAsia="STKaiti" w:hint="eastAsia"/>
          <w:lang w:eastAsia="zh-CN"/>
        </w:rPr>
        <w:t>鉴于</w:t>
      </w:r>
      <w:r>
        <w:rPr>
          <w:rFonts w:hint="eastAsia"/>
          <w:lang w:eastAsia="zh-CN"/>
        </w:rPr>
        <w:t>秘书长提交的</w:t>
      </w:r>
      <w:r>
        <w:rPr>
          <w:rFonts w:ascii="SimSun" w:hAnsi="SimSun" w:hint="eastAsia"/>
          <w:lang w:eastAsia="zh-CN"/>
        </w:rPr>
        <w:t>国际电联职员退休和福利基金</w:t>
      </w:r>
      <w:r>
        <w:rPr>
          <w:rFonts w:hint="eastAsia"/>
          <w:lang w:eastAsia="zh-CN"/>
        </w:rPr>
        <w:t>管理委员会的提案（</w:t>
      </w:r>
      <w:r>
        <w:rPr>
          <w:lang w:eastAsia="zh-CN"/>
        </w:rPr>
        <w:t>2634/CA16</w:t>
      </w:r>
      <w:r>
        <w:rPr>
          <w:rFonts w:hint="eastAsia"/>
          <w:lang w:eastAsia="zh-CN"/>
        </w:rPr>
        <w:t>号文件），</w:t>
      </w:r>
    </w:p>
    <w:p w14:paraId="4827B1BF" w14:textId="77777777" w:rsidR="002B5AFD" w:rsidRDefault="002B5AFD" w:rsidP="003474B7">
      <w:pPr>
        <w:ind w:firstLineChars="200" w:firstLine="480"/>
        <w:rPr>
          <w:lang w:eastAsia="zh-CN"/>
        </w:rPr>
      </w:pPr>
      <w:r>
        <w:rPr>
          <w:rFonts w:eastAsia="STKaiti" w:hint="eastAsia"/>
          <w:lang w:eastAsia="zh-CN"/>
        </w:rPr>
        <w:t>考虑到</w:t>
      </w:r>
      <w:r>
        <w:rPr>
          <w:rFonts w:hint="eastAsia"/>
          <w:lang w:eastAsia="zh-CN"/>
        </w:rPr>
        <w:t>用于计算基金的现行精算基础已过时，而且管理委员会所咨询的精算师批准通过提议的修订基础，</w:t>
      </w:r>
    </w:p>
    <w:p w14:paraId="4827B1C0" w14:textId="77777777" w:rsidR="002B5AFD" w:rsidRDefault="002B5AFD" w:rsidP="003474B7">
      <w:pPr>
        <w:ind w:firstLineChars="200" w:firstLine="480"/>
        <w:rPr>
          <w:lang w:eastAsia="zh-CN"/>
        </w:rPr>
      </w:pPr>
      <w:r>
        <w:rPr>
          <w:rFonts w:eastAsia="STKaiti" w:hint="eastAsia"/>
          <w:lang w:eastAsia="zh-CN"/>
        </w:rPr>
        <w:t>做出决议</w:t>
      </w:r>
      <w:r>
        <w:rPr>
          <w:rFonts w:ascii="STKaiti" w:eastAsia="STKaiti" w:hint="eastAsia"/>
          <w:lang w:eastAsia="zh-CN"/>
        </w:rPr>
        <w:t>，</w:t>
      </w:r>
      <w:r>
        <w:rPr>
          <w:rFonts w:hint="eastAsia"/>
          <w:lang w:eastAsia="zh-CN"/>
        </w:rPr>
        <w:t>自</w:t>
      </w:r>
      <w:r>
        <w:rPr>
          <w:lang w:eastAsia="zh-CN"/>
        </w:rPr>
        <w:t>1961</w:t>
      </w:r>
      <w:r>
        <w:rPr>
          <w:rFonts w:hint="eastAsia"/>
          <w:lang w:eastAsia="zh-CN"/>
        </w:rPr>
        <w:t>年</w:t>
      </w:r>
      <w:r w:rsidRPr="00FF0E1C">
        <w:rPr>
          <w:lang w:eastAsia="zh-CN"/>
        </w:rPr>
        <w:t>7</w:t>
      </w:r>
      <w:r w:rsidRPr="00FF0E1C">
        <w:rPr>
          <w:lang w:eastAsia="zh-CN"/>
        </w:rPr>
        <w:t>月</w:t>
      </w:r>
      <w:r w:rsidRPr="00FF0E1C">
        <w:rPr>
          <w:lang w:eastAsia="zh-CN"/>
        </w:rPr>
        <w:t>1</w:t>
      </w:r>
      <w:r>
        <w:rPr>
          <w:rFonts w:hint="eastAsia"/>
          <w:lang w:eastAsia="zh-CN"/>
        </w:rPr>
        <w:t>日起，将瑞士联邦联邦保险基金</w:t>
      </w:r>
      <w:r>
        <w:rPr>
          <w:lang w:eastAsia="zh-CN"/>
        </w:rPr>
        <w:t>A</w:t>
      </w:r>
      <w:r>
        <w:rPr>
          <w:rFonts w:hint="eastAsia"/>
          <w:lang w:eastAsia="zh-CN"/>
        </w:rPr>
        <w:t>类款的保险统计基础</w:t>
      </w:r>
      <w:r>
        <w:rPr>
          <w:lang w:eastAsia="zh-CN"/>
        </w:rPr>
        <w:t>EVK/1960</w:t>
      </w:r>
      <w:r>
        <w:rPr>
          <w:rFonts w:hint="eastAsia"/>
          <w:lang w:eastAsia="zh-CN"/>
        </w:rPr>
        <w:t>用于基金的计算。</w:t>
      </w:r>
    </w:p>
    <w:p w14:paraId="4827B1C1" w14:textId="77777777" w:rsidR="00F11D1D" w:rsidRPr="00D746C3" w:rsidRDefault="002B5AFD" w:rsidP="003474B7">
      <w:pPr>
        <w:pStyle w:val="Endtext"/>
        <w:rPr>
          <w:lang w:eastAsia="zh-CN"/>
        </w:rPr>
      </w:pPr>
      <w:r>
        <w:rPr>
          <w:rFonts w:hint="eastAsia"/>
          <w:lang w:eastAsia="zh-CN"/>
        </w:rPr>
        <w:t>参阅</w:t>
      </w:r>
      <w:r w:rsidRPr="00CB6206">
        <w:rPr>
          <w:rFonts w:ascii="STKaiti" w:hAnsi="STKaiti" w:hint="eastAsia"/>
          <w:lang w:eastAsia="zh-CN"/>
        </w:rPr>
        <w:t>：</w:t>
      </w:r>
      <w:r>
        <w:rPr>
          <w:lang w:eastAsia="zh-CN"/>
        </w:rPr>
        <w:tab/>
        <w:t>2710/CA16</w:t>
      </w:r>
      <w:r>
        <w:rPr>
          <w:rFonts w:ascii="SimSun" w:hAnsi="SimSun" w:hint="eastAsia"/>
          <w:lang w:eastAsia="zh-CN"/>
        </w:rPr>
        <w:t>号文件</w:t>
      </w:r>
      <w:r>
        <w:rPr>
          <w:lang w:eastAsia="zh-CN"/>
        </w:rPr>
        <w:t>（</w:t>
      </w:r>
      <w:r>
        <w:rPr>
          <w:lang w:eastAsia="zh-CN"/>
        </w:rPr>
        <w:t>1961</w:t>
      </w:r>
      <w:r>
        <w:rPr>
          <w:rFonts w:hint="eastAsia"/>
          <w:lang w:eastAsia="zh-CN"/>
        </w:rPr>
        <w:t>年</w:t>
      </w:r>
      <w:r>
        <w:rPr>
          <w:lang w:eastAsia="zh-CN"/>
        </w:rPr>
        <w:t>）</w:t>
      </w:r>
      <w:r>
        <w:rPr>
          <w:rFonts w:ascii="SimSun" w:hAnsi="SimSun" w:hint="eastAsia"/>
          <w:lang w:eastAsia="zh-CN"/>
        </w:rPr>
        <w:t>。</w:t>
      </w:r>
    </w:p>
    <w:p w14:paraId="4827B1C2" w14:textId="77777777" w:rsidR="00AE37E2" w:rsidRDefault="00E07F98" w:rsidP="00E07F98">
      <w:pPr>
        <w:jc w:val="center"/>
        <w:rPr>
          <w:lang w:eastAsia="zh-CN"/>
        </w:rPr>
      </w:pPr>
      <w:bookmarkStart w:id="1274" w:name="_Toc424116993"/>
      <w:bookmarkStart w:id="1275" w:name="_Toc531706340"/>
      <w:bookmarkStart w:id="1276" w:name="_Toc531706939"/>
      <w:bookmarkStart w:id="1277" w:name="_Toc531768429"/>
      <w:bookmarkStart w:id="1278" w:name="_Toc161224027"/>
      <w:bookmarkStart w:id="1279" w:name="_Toc161732073"/>
      <w:bookmarkStart w:id="1280" w:name="_Toc161741000"/>
      <w:bookmarkStart w:id="1281" w:name="_Toc185237672"/>
      <w:bookmarkStart w:id="1282" w:name="_Toc311469589"/>
      <w:r>
        <w:rPr>
          <w:lang w:eastAsia="zh-CN"/>
        </w:rPr>
        <w:t>______________</w:t>
      </w:r>
    </w:p>
    <w:p w14:paraId="4827B1C3" w14:textId="77777777" w:rsidR="00AE37E2" w:rsidRDefault="00AE37E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1C4" w14:textId="77777777" w:rsidR="003474B7" w:rsidRPr="003474B7" w:rsidRDefault="002B5AFD" w:rsidP="00A75FB5">
      <w:pPr>
        <w:pStyle w:val="ResNo"/>
        <w:outlineLvl w:val="0"/>
        <w:rPr>
          <w:lang w:eastAsia="zh-CN"/>
        </w:rPr>
      </w:pPr>
      <w:bookmarkStart w:id="1283" w:name="_Toc16085748"/>
      <w:bookmarkStart w:id="1284" w:name="_Toc86395552"/>
      <w:r w:rsidRPr="003474B7">
        <w:rPr>
          <w:rFonts w:hint="eastAsia"/>
          <w:lang w:eastAsia="zh-CN"/>
        </w:rPr>
        <w:lastRenderedPageBreak/>
        <w:t>第</w:t>
      </w:r>
      <w:r w:rsidRPr="003474B7">
        <w:rPr>
          <w:lang w:eastAsia="zh-CN"/>
        </w:rPr>
        <w:t>559</w:t>
      </w:r>
      <w:r w:rsidRPr="003474B7">
        <w:rPr>
          <w:rFonts w:hint="eastAsia"/>
          <w:lang w:eastAsia="zh-CN"/>
        </w:rPr>
        <w:t>号决议</w:t>
      </w:r>
      <w:r w:rsidR="003474B7">
        <w:rPr>
          <w:rFonts w:hint="eastAsia"/>
          <w:lang w:eastAsia="zh-CN"/>
        </w:rPr>
        <w:t>（</w:t>
      </w:r>
      <w:r w:rsidR="003474B7" w:rsidRPr="003474B7">
        <w:rPr>
          <w:lang w:eastAsia="zh-CN"/>
        </w:rPr>
        <w:t>C-1965</w:t>
      </w:r>
      <w:r w:rsidR="00257CB5">
        <w:rPr>
          <w:rFonts w:hint="eastAsia"/>
          <w:lang w:eastAsia="zh-CN"/>
        </w:rPr>
        <w:t>，</w:t>
      </w:r>
      <w:r w:rsidR="00257CB5">
        <w:rPr>
          <w:rFonts w:hint="eastAsia"/>
          <w:lang w:val="en-US" w:eastAsia="zh-CN"/>
        </w:rPr>
        <w:t>最后</w:t>
      </w:r>
      <w:r w:rsidR="00257CB5">
        <w:rPr>
          <w:lang w:val="en-US" w:eastAsia="zh-CN"/>
        </w:rPr>
        <w:t>修正</w:t>
      </w:r>
      <w:r w:rsidR="00257CB5">
        <w:rPr>
          <w:lang w:val="en-US" w:eastAsia="zh-CN"/>
        </w:rPr>
        <w:t>C-1984</w:t>
      </w:r>
      <w:r w:rsidR="003474B7">
        <w:rPr>
          <w:rFonts w:hint="eastAsia"/>
          <w:lang w:eastAsia="zh-CN"/>
        </w:rPr>
        <w:t>）</w:t>
      </w:r>
      <w:bookmarkEnd w:id="1274"/>
      <w:bookmarkEnd w:id="1275"/>
      <w:bookmarkEnd w:id="1276"/>
      <w:bookmarkEnd w:id="1277"/>
      <w:bookmarkEnd w:id="1283"/>
      <w:bookmarkEnd w:id="1284"/>
    </w:p>
    <w:p w14:paraId="4827B1C5" w14:textId="77777777" w:rsidR="002B5AFD" w:rsidRPr="003474B7" w:rsidRDefault="002B5AFD" w:rsidP="00ED4C6F">
      <w:pPr>
        <w:pStyle w:val="Restitle"/>
        <w:spacing w:before="0"/>
        <w:rPr>
          <w:lang w:eastAsia="zh-CN"/>
        </w:rPr>
      </w:pPr>
      <w:bookmarkStart w:id="1285" w:name="_Toc424116221"/>
      <w:bookmarkStart w:id="1286" w:name="_Toc424116994"/>
      <w:bookmarkStart w:id="1287" w:name="_Toc460248103"/>
      <w:bookmarkStart w:id="1288" w:name="_Toc531706341"/>
      <w:bookmarkStart w:id="1289" w:name="_Toc531706940"/>
      <w:bookmarkStart w:id="1290" w:name="_Toc531768430"/>
      <w:bookmarkStart w:id="1291" w:name="_Toc16085749"/>
      <w:bookmarkStart w:id="1292" w:name="_Toc86395553"/>
      <w:r w:rsidRPr="003474B7">
        <w:rPr>
          <w:rFonts w:hint="eastAsia"/>
          <w:lang w:eastAsia="zh-CN"/>
        </w:rPr>
        <w:t>职员退休和福利基金受益人的生活费津贴</w:t>
      </w:r>
      <w:bookmarkEnd w:id="1278"/>
      <w:bookmarkEnd w:id="1279"/>
      <w:bookmarkEnd w:id="1280"/>
      <w:bookmarkEnd w:id="1281"/>
      <w:bookmarkEnd w:id="1282"/>
      <w:bookmarkEnd w:id="1285"/>
      <w:bookmarkEnd w:id="1286"/>
      <w:bookmarkEnd w:id="1287"/>
      <w:bookmarkEnd w:id="1288"/>
      <w:bookmarkEnd w:id="1289"/>
      <w:bookmarkEnd w:id="1290"/>
      <w:bookmarkEnd w:id="1291"/>
      <w:bookmarkEnd w:id="1292"/>
    </w:p>
    <w:p w14:paraId="4827B1C6" w14:textId="77777777" w:rsidR="002B5AFD" w:rsidRDefault="002B5AFD" w:rsidP="00B64353">
      <w:pPr>
        <w:pStyle w:val="Normalaftertitle"/>
        <w:spacing w:before="200"/>
        <w:rPr>
          <w:lang w:eastAsia="zh-CN"/>
        </w:rPr>
      </w:pPr>
      <w:r>
        <w:rPr>
          <w:rFonts w:hint="eastAsia"/>
          <w:lang w:eastAsia="zh-CN"/>
        </w:rPr>
        <w:t>理事会</w:t>
      </w:r>
      <w:r w:rsidR="00CB6206">
        <w:rPr>
          <w:rFonts w:hint="eastAsia"/>
          <w:lang w:eastAsia="zh-CN"/>
        </w:rPr>
        <w:t>，</w:t>
      </w:r>
    </w:p>
    <w:p w14:paraId="4827B1C7" w14:textId="77777777" w:rsidR="002B5AFD" w:rsidRDefault="002B5AFD" w:rsidP="003474B7">
      <w:pPr>
        <w:ind w:firstLineChars="200" w:firstLine="480"/>
        <w:rPr>
          <w:lang w:eastAsia="zh-CN"/>
        </w:rPr>
      </w:pPr>
      <w:r>
        <w:rPr>
          <w:rFonts w:eastAsia="STKaiti" w:hint="eastAsia"/>
          <w:lang w:eastAsia="zh-CN"/>
        </w:rPr>
        <w:t>铭记</w:t>
      </w:r>
      <w:r>
        <w:rPr>
          <w:lang w:eastAsia="zh-CN"/>
        </w:rPr>
        <w:t>1982</w:t>
      </w:r>
      <w:r>
        <w:rPr>
          <w:rFonts w:hint="eastAsia"/>
          <w:lang w:eastAsia="zh-CN"/>
        </w:rPr>
        <w:t>年内罗毕《国际电信公约》的第</w:t>
      </w:r>
      <w:r>
        <w:rPr>
          <w:lang w:eastAsia="zh-CN"/>
        </w:rPr>
        <w:t>262</w:t>
      </w:r>
      <w:r>
        <w:rPr>
          <w:rFonts w:hint="eastAsia"/>
          <w:lang w:eastAsia="zh-CN"/>
        </w:rPr>
        <w:t>款，</w:t>
      </w:r>
    </w:p>
    <w:p w14:paraId="4827B1C8" w14:textId="77777777" w:rsidR="002B5AFD" w:rsidRDefault="002B5AFD" w:rsidP="003474B7">
      <w:pPr>
        <w:ind w:firstLineChars="200" w:firstLine="480"/>
        <w:rPr>
          <w:lang w:eastAsia="zh-CN"/>
        </w:rPr>
      </w:pPr>
      <w:r>
        <w:rPr>
          <w:rFonts w:eastAsia="STKaiti" w:hint="eastAsia"/>
          <w:lang w:eastAsia="zh-CN"/>
        </w:rPr>
        <w:t>考虑到</w:t>
      </w:r>
      <w:r>
        <w:rPr>
          <w:rFonts w:hint="eastAsia"/>
          <w:lang w:eastAsia="zh-CN"/>
        </w:rPr>
        <w:t>联合国大会第</w:t>
      </w:r>
      <w:r>
        <w:rPr>
          <w:lang w:eastAsia="zh-CN"/>
        </w:rPr>
        <w:t>19</w:t>
      </w:r>
      <w:r>
        <w:rPr>
          <w:rFonts w:hint="eastAsia"/>
          <w:lang w:eastAsia="zh-CN"/>
        </w:rPr>
        <w:t>届会议所通过的第</w:t>
      </w:r>
      <w:r>
        <w:rPr>
          <w:lang w:eastAsia="zh-CN"/>
        </w:rPr>
        <w:t>2007</w:t>
      </w:r>
      <w:r>
        <w:rPr>
          <w:rFonts w:hint="eastAsia"/>
          <w:lang w:eastAsia="zh-CN"/>
        </w:rPr>
        <w:t>号决议，</w:t>
      </w:r>
    </w:p>
    <w:p w14:paraId="4827B1C9" w14:textId="77777777" w:rsidR="00195C52" w:rsidRDefault="002B5AFD" w:rsidP="003474B7">
      <w:pPr>
        <w:ind w:firstLineChars="200" w:firstLine="480"/>
        <w:rPr>
          <w:lang w:eastAsia="zh-CN"/>
        </w:rPr>
      </w:pPr>
      <w:r>
        <w:rPr>
          <w:rFonts w:eastAsia="STKaiti" w:hint="eastAsia"/>
          <w:lang w:eastAsia="zh-CN"/>
        </w:rPr>
        <w:t>经审查</w:t>
      </w:r>
      <w:r>
        <w:rPr>
          <w:rFonts w:hint="eastAsia"/>
          <w:lang w:eastAsia="zh-CN"/>
        </w:rPr>
        <w:t>秘书长在</w:t>
      </w:r>
      <w:r>
        <w:rPr>
          <w:lang w:eastAsia="zh-CN"/>
        </w:rPr>
        <w:t>3325/CA20</w:t>
      </w:r>
      <w:r>
        <w:rPr>
          <w:rFonts w:hint="eastAsia"/>
          <w:lang w:eastAsia="zh-CN"/>
        </w:rPr>
        <w:t>号文件中提出的提案，</w:t>
      </w:r>
    </w:p>
    <w:p w14:paraId="4827B1CA" w14:textId="77777777" w:rsidR="002B5AFD" w:rsidRDefault="002B5AFD" w:rsidP="003474B7">
      <w:pPr>
        <w:ind w:firstLineChars="200" w:firstLine="480"/>
        <w:rPr>
          <w:lang w:eastAsia="zh-CN"/>
        </w:rPr>
      </w:pPr>
      <w:r>
        <w:rPr>
          <w:rFonts w:eastAsia="STKaiti" w:hint="eastAsia"/>
          <w:lang w:eastAsia="zh-CN"/>
        </w:rPr>
        <w:t>做出决议</w:t>
      </w:r>
      <w:r>
        <w:rPr>
          <w:rFonts w:ascii="STKaiti" w:eastAsia="STKaiti" w:hAnsi="SimSun" w:hint="eastAsia"/>
          <w:lang w:eastAsia="zh-CN"/>
        </w:rPr>
        <w:t>，</w:t>
      </w:r>
      <w:r>
        <w:rPr>
          <w:rFonts w:ascii="SimSun" w:hAnsi="SimSun" w:hint="eastAsia"/>
          <w:lang w:eastAsia="zh-CN"/>
        </w:rPr>
        <w:t>自</w:t>
      </w:r>
      <w:r>
        <w:rPr>
          <w:lang w:eastAsia="zh-CN"/>
        </w:rPr>
        <w:t>196</w:t>
      </w:r>
      <w:r w:rsidRPr="00EB77F4">
        <w:rPr>
          <w:lang w:eastAsia="zh-CN"/>
        </w:rPr>
        <w:t>5</w:t>
      </w:r>
      <w:r w:rsidRPr="00EB77F4">
        <w:rPr>
          <w:rFonts w:hAnsi="SimSun"/>
          <w:lang w:eastAsia="zh-CN"/>
        </w:rPr>
        <w:t>年</w:t>
      </w:r>
      <w:r w:rsidRPr="00EB77F4">
        <w:rPr>
          <w:lang w:eastAsia="zh-CN"/>
        </w:rPr>
        <w:t>3</w:t>
      </w:r>
      <w:r w:rsidRPr="00EB77F4">
        <w:rPr>
          <w:rFonts w:hAnsi="SimSun"/>
          <w:lang w:eastAsia="zh-CN"/>
        </w:rPr>
        <w:t>月</w:t>
      </w:r>
      <w:r w:rsidRPr="00EB77F4">
        <w:rPr>
          <w:lang w:eastAsia="zh-CN"/>
        </w:rPr>
        <w:t>1</w:t>
      </w:r>
      <w:r w:rsidRPr="00EB77F4">
        <w:rPr>
          <w:rFonts w:hAnsi="SimSun"/>
          <w:lang w:eastAsia="zh-CN"/>
        </w:rPr>
        <w:t>日起，支付给国际电联职员退休和福利基金受益人的生活费津贴</w:t>
      </w:r>
      <w:r w:rsidRPr="00EB77F4">
        <w:rPr>
          <w:lang w:eastAsia="zh-CN"/>
        </w:rPr>
        <w:t>将根据</w:t>
      </w:r>
      <w:r w:rsidRPr="00EB77F4">
        <w:rPr>
          <w:lang w:eastAsia="zh-CN"/>
        </w:rPr>
        <w:t>3325/CA20</w:t>
      </w:r>
      <w:r w:rsidRPr="00EB77F4">
        <w:rPr>
          <w:lang w:eastAsia="zh-CN"/>
        </w:rPr>
        <w:t>号文件中所述方法重新计算。</w:t>
      </w:r>
    </w:p>
    <w:p w14:paraId="4827B1CB" w14:textId="77777777" w:rsidR="00F11D1D" w:rsidRPr="002E405F" w:rsidRDefault="002B5AFD" w:rsidP="003474B7">
      <w:pPr>
        <w:pStyle w:val="Endtext"/>
        <w:rPr>
          <w:lang w:val="fr-FR" w:eastAsia="zh-CN"/>
        </w:rPr>
      </w:pPr>
      <w:r>
        <w:rPr>
          <w:rFonts w:hint="eastAsia"/>
          <w:lang w:eastAsia="zh-CN"/>
        </w:rPr>
        <w:t>参阅</w:t>
      </w:r>
      <w:r w:rsidRPr="00CB6206">
        <w:rPr>
          <w:rFonts w:ascii="STKaiti" w:hAnsi="STKaiti" w:hint="eastAsia"/>
          <w:lang w:eastAsia="zh-CN"/>
        </w:rPr>
        <w:t>：</w:t>
      </w:r>
      <w:r>
        <w:rPr>
          <w:lang w:eastAsia="zh-CN"/>
        </w:rPr>
        <w:tab/>
        <w:t>3439/CA20</w:t>
      </w:r>
      <w:r>
        <w:rPr>
          <w:lang w:eastAsia="zh-CN"/>
        </w:rPr>
        <w:t>（</w:t>
      </w:r>
      <w:r>
        <w:rPr>
          <w:lang w:eastAsia="zh-CN"/>
        </w:rPr>
        <w:t>1965</w:t>
      </w:r>
      <w:r>
        <w:rPr>
          <w:rFonts w:hint="eastAsia"/>
          <w:lang w:eastAsia="zh-CN"/>
        </w:rPr>
        <w:t>年</w:t>
      </w:r>
      <w:r>
        <w:rPr>
          <w:lang w:eastAsia="zh-CN"/>
        </w:rPr>
        <w:t>）</w:t>
      </w:r>
      <w:r>
        <w:rPr>
          <w:rFonts w:hint="eastAsia"/>
          <w:lang w:eastAsia="zh-CN"/>
        </w:rPr>
        <w:t>、</w:t>
      </w:r>
      <w:r>
        <w:rPr>
          <w:lang w:eastAsia="zh-CN"/>
        </w:rPr>
        <w:t>4965/CA31</w:t>
      </w:r>
      <w:r>
        <w:rPr>
          <w:lang w:eastAsia="zh-CN"/>
        </w:rPr>
        <w:t>（</w:t>
      </w:r>
      <w:r>
        <w:rPr>
          <w:lang w:eastAsia="zh-CN"/>
        </w:rPr>
        <w:t>1976</w:t>
      </w:r>
      <w:r>
        <w:rPr>
          <w:rFonts w:hint="eastAsia"/>
          <w:lang w:eastAsia="zh-CN"/>
        </w:rPr>
        <w:t>年</w:t>
      </w:r>
      <w:r>
        <w:rPr>
          <w:lang w:eastAsia="zh-CN"/>
        </w:rPr>
        <w:t>）</w:t>
      </w:r>
      <w:r>
        <w:rPr>
          <w:rFonts w:hint="eastAsia"/>
          <w:lang w:eastAsia="zh-CN"/>
        </w:rPr>
        <w:t>和</w:t>
      </w:r>
      <w:r>
        <w:rPr>
          <w:lang w:eastAsia="zh-CN"/>
        </w:rPr>
        <w:t>6197/CA39</w:t>
      </w:r>
      <w:r>
        <w:rPr>
          <w:lang w:eastAsia="zh-CN"/>
        </w:rPr>
        <w:t>（</w:t>
      </w:r>
      <w:r>
        <w:rPr>
          <w:lang w:eastAsia="zh-CN"/>
        </w:rPr>
        <w:t>1984</w:t>
      </w:r>
      <w:r>
        <w:rPr>
          <w:rFonts w:hint="eastAsia"/>
          <w:lang w:eastAsia="zh-CN"/>
        </w:rPr>
        <w:t>年</w:t>
      </w:r>
      <w:r>
        <w:rPr>
          <w:lang w:eastAsia="zh-CN"/>
        </w:rPr>
        <w:t>）</w:t>
      </w:r>
      <w:r>
        <w:rPr>
          <w:rFonts w:ascii="SimSun" w:hAnsi="SimSun" w:hint="eastAsia"/>
          <w:lang w:eastAsia="zh-CN"/>
        </w:rPr>
        <w:t>号文件。</w:t>
      </w:r>
    </w:p>
    <w:p w14:paraId="4827B1CC" w14:textId="77777777" w:rsidR="00E07F98" w:rsidRDefault="00E07F98" w:rsidP="00E07F98">
      <w:pPr>
        <w:jc w:val="center"/>
        <w:rPr>
          <w:lang w:eastAsia="zh-CN"/>
        </w:rPr>
      </w:pPr>
      <w:bookmarkStart w:id="1293" w:name="_Toc424116995"/>
      <w:bookmarkStart w:id="1294" w:name="_Toc531706342"/>
      <w:bookmarkStart w:id="1295" w:name="_Toc531706941"/>
      <w:bookmarkStart w:id="1296" w:name="_Toc531768431"/>
      <w:bookmarkStart w:id="1297" w:name="_Toc161224028"/>
      <w:bookmarkStart w:id="1298" w:name="_Toc161732074"/>
      <w:bookmarkStart w:id="1299" w:name="_Toc161741001"/>
      <w:bookmarkStart w:id="1300" w:name="_Toc185237673"/>
      <w:bookmarkStart w:id="1301" w:name="_Toc311469590"/>
      <w:r>
        <w:rPr>
          <w:lang w:eastAsia="zh-CN"/>
        </w:rPr>
        <w:t>______________</w:t>
      </w:r>
    </w:p>
    <w:p w14:paraId="4827B1CD" w14:textId="77777777" w:rsidR="003474B7" w:rsidRPr="003474B7" w:rsidRDefault="00F13B79" w:rsidP="00A75FB5">
      <w:pPr>
        <w:pStyle w:val="ResNo"/>
        <w:outlineLvl w:val="0"/>
        <w:rPr>
          <w:lang w:eastAsia="zh-CN"/>
        </w:rPr>
      </w:pPr>
      <w:bookmarkStart w:id="1302" w:name="_Toc16085750"/>
      <w:bookmarkStart w:id="1303" w:name="_Toc86395554"/>
      <w:r w:rsidRPr="003474B7">
        <w:rPr>
          <w:rFonts w:hint="eastAsia"/>
          <w:lang w:eastAsia="zh-CN"/>
        </w:rPr>
        <w:t>第</w:t>
      </w:r>
      <w:r w:rsidRPr="003474B7">
        <w:rPr>
          <w:lang w:eastAsia="zh-CN"/>
        </w:rPr>
        <w:t>589</w:t>
      </w:r>
      <w:r w:rsidRPr="003474B7">
        <w:rPr>
          <w:rFonts w:hint="eastAsia"/>
          <w:lang w:eastAsia="zh-CN"/>
        </w:rPr>
        <w:t>号决议</w:t>
      </w:r>
      <w:r w:rsidR="003474B7">
        <w:rPr>
          <w:rFonts w:hint="eastAsia"/>
          <w:lang w:eastAsia="zh-CN"/>
        </w:rPr>
        <w:t>（</w:t>
      </w:r>
      <w:r w:rsidR="003474B7" w:rsidRPr="003474B7">
        <w:rPr>
          <w:lang w:eastAsia="zh-CN"/>
        </w:rPr>
        <w:t>C-1966</w:t>
      </w:r>
      <w:r w:rsidR="00257CB5">
        <w:rPr>
          <w:rFonts w:hint="eastAsia"/>
          <w:lang w:eastAsia="zh-CN"/>
        </w:rPr>
        <w:t>，</w:t>
      </w:r>
      <w:r w:rsidR="00257CB5">
        <w:rPr>
          <w:rFonts w:hint="eastAsia"/>
          <w:lang w:val="en-US" w:eastAsia="zh-CN"/>
        </w:rPr>
        <w:t>最后</w:t>
      </w:r>
      <w:r w:rsidR="00257CB5">
        <w:rPr>
          <w:lang w:val="en-US" w:eastAsia="zh-CN"/>
        </w:rPr>
        <w:t>修正</w:t>
      </w:r>
      <w:r w:rsidR="00257CB5">
        <w:rPr>
          <w:lang w:val="en-US" w:eastAsia="zh-CN"/>
        </w:rPr>
        <w:t>C-1984</w:t>
      </w:r>
      <w:r w:rsidR="003474B7">
        <w:rPr>
          <w:rFonts w:hint="eastAsia"/>
          <w:lang w:eastAsia="zh-CN"/>
        </w:rPr>
        <w:t>）</w:t>
      </w:r>
      <w:bookmarkEnd w:id="1293"/>
      <w:bookmarkEnd w:id="1294"/>
      <w:bookmarkEnd w:id="1295"/>
      <w:bookmarkEnd w:id="1296"/>
      <w:bookmarkEnd w:id="1302"/>
      <w:bookmarkEnd w:id="1303"/>
    </w:p>
    <w:p w14:paraId="4827B1CE" w14:textId="77777777" w:rsidR="00F13B79" w:rsidRPr="003474B7" w:rsidRDefault="00F13B79" w:rsidP="00ED4C6F">
      <w:pPr>
        <w:pStyle w:val="Restitle"/>
        <w:spacing w:before="0"/>
        <w:rPr>
          <w:lang w:eastAsia="zh-CN"/>
        </w:rPr>
      </w:pPr>
      <w:bookmarkStart w:id="1304" w:name="_Toc424116222"/>
      <w:bookmarkStart w:id="1305" w:name="_Toc424116996"/>
      <w:bookmarkStart w:id="1306" w:name="_Toc460248105"/>
      <w:bookmarkStart w:id="1307" w:name="_Toc531706343"/>
      <w:bookmarkStart w:id="1308" w:name="_Toc531706942"/>
      <w:bookmarkStart w:id="1309" w:name="_Toc531768432"/>
      <w:bookmarkStart w:id="1310" w:name="_Toc16085751"/>
      <w:bookmarkStart w:id="1311" w:name="_Toc86395555"/>
      <w:r>
        <w:rPr>
          <w:rFonts w:hint="eastAsia"/>
          <w:lang w:eastAsia="zh-CN"/>
        </w:rPr>
        <w:t>支付给国际电联职员退休和福利基金受益人的生活费津贴</w:t>
      </w:r>
      <w:bookmarkEnd w:id="1297"/>
      <w:bookmarkEnd w:id="1298"/>
      <w:bookmarkEnd w:id="1299"/>
      <w:bookmarkEnd w:id="1300"/>
      <w:bookmarkEnd w:id="1301"/>
      <w:bookmarkEnd w:id="1304"/>
      <w:bookmarkEnd w:id="1305"/>
      <w:bookmarkEnd w:id="1306"/>
      <w:bookmarkEnd w:id="1307"/>
      <w:bookmarkEnd w:id="1308"/>
      <w:bookmarkEnd w:id="1309"/>
      <w:bookmarkEnd w:id="1310"/>
      <w:bookmarkEnd w:id="1311"/>
    </w:p>
    <w:p w14:paraId="4827B1CF" w14:textId="77777777" w:rsidR="00F13B79" w:rsidRDefault="00F13B79" w:rsidP="00B64353">
      <w:pPr>
        <w:pStyle w:val="Normalaftertitle"/>
        <w:spacing w:before="200"/>
        <w:rPr>
          <w:lang w:eastAsia="zh-CN"/>
        </w:rPr>
      </w:pPr>
      <w:r>
        <w:rPr>
          <w:rFonts w:hint="eastAsia"/>
          <w:lang w:eastAsia="zh-CN"/>
        </w:rPr>
        <w:t>理事会，</w:t>
      </w:r>
    </w:p>
    <w:p w14:paraId="4827B1D0" w14:textId="77777777" w:rsidR="00F13B79" w:rsidRDefault="00F13B79" w:rsidP="003474B7">
      <w:pPr>
        <w:ind w:firstLineChars="200" w:firstLine="480"/>
        <w:rPr>
          <w:lang w:eastAsia="zh-CN"/>
        </w:rPr>
      </w:pPr>
      <w:r>
        <w:rPr>
          <w:rFonts w:eastAsia="STKaiti" w:hint="eastAsia"/>
          <w:lang w:eastAsia="zh-CN"/>
        </w:rPr>
        <w:t>鉴于</w:t>
      </w:r>
      <w:r>
        <w:rPr>
          <w:lang w:eastAsia="zh-CN"/>
        </w:rPr>
        <w:t>1965</w:t>
      </w:r>
      <w:r>
        <w:rPr>
          <w:rFonts w:hint="eastAsia"/>
          <w:lang w:eastAsia="zh-CN"/>
        </w:rPr>
        <w:t>年《</w:t>
      </w:r>
      <w:r w:rsidRPr="0097404D">
        <w:rPr>
          <w:rFonts w:hint="eastAsia"/>
          <w:lang w:eastAsia="zh-CN"/>
        </w:rPr>
        <w:t>蒙特勒</w:t>
      </w:r>
      <w:r>
        <w:rPr>
          <w:rFonts w:hint="eastAsia"/>
          <w:lang w:eastAsia="zh-CN"/>
        </w:rPr>
        <w:t>公约》、</w:t>
      </w:r>
      <w:r>
        <w:rPr>
          <w:lang w:eastAsia="zh-CN"/>
        </w:rPr>
        <w:t>1973</w:t>
      </w:r>
      <w:r>
        <w:rPr>
          <w:rFonts w:hint="eastAsia"/>
          <w:lang w:eastAsia="zh-CN"/>
        </w:rPr>
        <w:t>年《马拉加</w:t>
      </w:r>
      <w:r>
        <w:rPr>
          <w:lang w:eastAsia="zh-CN"/>
        </w:rPr>
        <w:t>-</w:t>
      </w:r>
      <w:r>
        <w:rPr>
          <w:rFonts w:hint="eastAsia"/>
          <w:lang w:eastAsia="zh-CN"/>
        </w:rPr>
        <w:t>托雷莫里诺斯公约》和</w:t>
      </w:r>
      <w:r>
        <w:rPr>
          <w:lang w:eastAsia="zh-CN"/>
        </w:rPr>
        <w:t>1982</w:t>
      </w:r>
      <w:r>
        <w:rPr>
          <w:rFonts w:hint="eastAsia"/>
          <w:lang w:eastAsia="zh-CN"/>
        </w:rPr>
        <w:t>年《内罗毕公约》的条款，</w:t>
      </w:r>
    </w:p>
    <w:p w14:paraId="4827B1D1" w14:textId="77777777" w:rsidR="00F13B79" w:rsidRDefault="00F13B79" w:rsidP="003474B7">
      <w:pPr>
        <w:ind w:firstLineChars="200" w:firstLine="480"/>
        <w:rPr>
          <w:lang w:eastAsia="zh-CN"/>
        </w:rPr>
      </w:pPr>
      <w:r>
        <w:rPr>
          <w:rFonts w:eastAsia="STKaiti" w:hint="eastAsia"/>
          <w:lang w:eastAsia="zh-CN"/>
        </w:rPr>
        <w:t>考虑到</w:t>
      </w:r>
      <w:r>
        <w:rPr>
          <w:rFonts w:hint="eastAsia"/>
          <w:lang w:eastAsia="zh-CN"/>
        </w:rPr>
        <w:t>联合国大会第</w:t>
      </w:r>
      <w:r>
        <w:rPr>
          <w:lang w:eastAsia="zh-CN"/>
        </w:rPr>
        <w:t>20</w:t>
      </w:r>
      <w:r>
        <w:rPr>
          <w:rFonts w:hint="eastAsia"/>
          <w:lang w:eastAsia="zh-CN"/>
        </w:rPr>
        <w:t>届会议所通过的第</w:t>
      </w:r>
      <w:r>
        <w:rPr>
          <w:lang w:eastAsia="zh-CN"/>
        </w:rPr>
        <w:t>2122</w:t>
      </w:r>
      <w:r>
        <w:rPr>
          <w:rFonts w:hint="eastAsia"/>
          <w:lang w:eastAsia="zh-CN"/>
        </w:rPr>
        <w:t>号决议，</w:t>
      </w:r>
    </w:p>
    <w:p w14:paraId="4827B1D2" w14:textId="77777777" w:rsidR="00F13B79" w:rsidRDefault="00F13B79" w:rsidP="003474B7">
      <w:pPr>
        <w:ind w:firstLineChars="200" w:firstLine="480"/>
        <w:rPr>
          <w:lang w:eastAsia="zh-CN"/>
        </w:rPr>
      </w:pPr>
      <w:r>
        <w:rPr>
          <w:rFonts w:eastAsia="STKaiti" w:hint="eastAsia"/>
          <w:lang w:eastAsia="zh-CN"/>
        </w:rPr>
        <w:t>做出决议</w:t>
      </w:r>
      <w:r>
        <w:rPr>
          <w:rFonts w:eastAsia="STKaiti" w:hint="eastAsia"/>
          <w:iCs/>
          <w:lang w:eastAsia="zh-CN"/>
        </w:rPr>
        <w:t>，</w:t>
      </w:r>
      <w:r>
        <w:rPr>
          <w:rFonts w:ascii="SimSun" w:hAnsi="SimSun" w:hint="eastAsia"/>
          <w:lang w:eastAsia="zh-CN"/>
        </w:rPr>
        <w:t>自</w:t>
      </w:r>
      <w:r>
        <w:rPr>
          <w:lang w:eastAsia="zh-CN"/>
        </w:rPr>
        <w:t>1965</w:t>
      </w:r>
      <w:r>
        <w:rPr>
          <w:rFonts w:ascii="SimSun" w:hAnsi="SimSun" w:hint="eastAsia"/>
          <w:lang w:eastAsia="zh-CN"/>
        </w:rPr>
        <w:t>年</w:t>
      </w:r>
      <w:r w:rsidRPr="00711909">
        <w:rPr>
          <w:lang w:eastAsia="zh-CN"/>
        </w:rPr>
        <w:t>3</w:t>
      </w:r>
      <w:r w:rsidRPr="00711909">
        <w:rPr>
          <w:rFonts w:hAnsi="SimSun"/>
          <w:lang w:eastAsia="zh-CN"/>
        </w:rPr>
        <w:t>月</w:t>
      </w:r>
      <w:r w:rsidRPr="00711909">
        <w:rPr>
          <w:lang w:eastAsia="zh-CN"/>
        </w:rPr>
        <w:t>1</w:t>
      </w:r>
      <w:r>
        <w:rPr>
          <w:rFonts w:ascii="SimSun" w:hAnsi="SimSun" w:hint="eastAsia"/>
          <w:lang w:eastAsia="zh-CN"/>
        </w:rPr>
        <w:t>日起，支付给国际电联职员退休和福利基金受益人的生活费津贴</w:t>
      </w:r>
      <w:r>
        <w:rPr>
          <w:rFonts w:hint="eastAsia"/>
          <w:lang w:eastAsia="zh-CN"/>
        </w:rPr>
        <w:t>将根据联合</w:t>
      </w:r>
      <w:r w:rsidRPr="0097404D">
        <w:rPr>
          <w:rFonts w:hint="eastAsia"/>
          <w:color w:val="000000"/>
          <w:lang w:eastAsia="zh-CN"/>
        </w:rPr>
        <w:t>国合办</w:t>
      </w:r>
      <w:r>
        <w:rPr>
          <w:rFonts w:hint="eastAsia"/>
          <w:lang w:eastAsia="zh-CN"/>
        </w:rPr>
        <w:t>工作人员养恤基金采用的指数体系进行调整。</w:t>
      </w:r>
    </w:p>
    <w:p w14:paraId="4827B1D3" w14:textId="77777777" w:rsidR="00F11D1D" w:rsidRPr="002E405F" w:rsidRDefault="00F13B79" w:rsidP="003474B7">
      <w:pPr>
        <w:pStyle w:val="Endtext"/>
        <w:rPr>
          <w:lang w:val="fr-FR" w:eastAsia="zh-CN"/>
        </w:rPr>
      </w:pPr>
      <w:r>
        <w:rPr>
          <w:rFonts w:hint="eastAsia"/>
          <w:lang w:eastAsia="zh-CN"/>
        </w:rPr>
        <w:t>参阅</w:t>
      </w:r>
      <w:r w:rsidRPr="00CB6206">
        <w:rPr>
          <w:rFonts w:ascii="STKaiti" w:hAnsi="STKaiti" w:hint="eastAsia"/>
          <w:lang w:eastAsia="zh-CN"/>
        </w:rPr>
        <w:t>：</w:t>
      </w:r>
      <w:r>
        <w:rPr>
          <w:lang w:eastAsia="zh-CN"/>
        </w:rPr>
        <w:tab/>
        <w:t>3605/CA21</w:t>
      </w:r>
      <w:r>
        <w:rPr>
          <w:lang w:eastAsia="zh-CN"/>
        </w:rPr>
        <w:t>（</w:t>
      </w:r>
      <w:r>
        <w:rPr>
          <w:lang w:eastAsia="zh-CN"/>
        </w:rPr>
        <w:t>1966</w:t>
      </w:r>
      <w:r>
        <w:rPr>
          <w:rFonts w:hint="eastAsia"/>
          <w:lang w:eastAsia="zh-CN"/>
        </w:rPr>
        <w:t>年</w:t>
      </w:r>
      <w:r>
        <w:rPr>
          <w:lang w:eastAsia="zh-CN"/>
        </w:rPr>
        <w:t>）</w:t>
      </w:r>
      <w:r>
        <w:rPr>
          <w:rFonts w:hint="eastAsia"/>
          <w:lang w:eastAsia="zh-CN"/>
        </w:rPr>
        <w:t>、</w:t>
      </w:r>
      <w:r>
        <w:rPr>
          <w:lang w:eastAsia="zh-CN"/>
        </w:rPr>
        <w:t>4965/CA31</w:t>
      </w:r>
      <w:r>
        <w:rPr>
          <w:lang w:eastAsia="zh-CN"/>
        </w:rPr>
        <w:t>（</w:t>
      </w:r>
      <w:r>
        <w:rPr>
          <w:lang w:eastAsia="zh-CN"/>
        </w:rPr>
        <w:t>1976</w:t>
      </w:r>
      <w:r>
        <w:rPr>
          <w:rFonts w:hint="eastAsia"/>
          <w:lang w:eastAsia="zh-CN"/>
        </w:rPr>
        <w:t>年</w:t>
      </w:r>
      <w:r>
        <w:rPr>
          <w:lang w:eastAsia="zh-CN"/>
        </w:rPr>
        <w:t>）</w:t>
      </w:r>
      <w:r>
        <w:rPr>
          <w:rFonts w:hint="eastAsia"/>
          <w:lang w:eastAsia="zh-CN"/>
        </w:rPr>
        <w:t>和</w:t>
      </w:r>
      <w:r>
        <w:rPr>
          <w:lang w:eastAsia="zh-CN"/>
        </w:rPr>
        <w:t>6197/CA39</w:t>
      </w:r>
      <w:r>
        <w:rPr>
          <w:lang w:eastAsia="zh-CN"/>
        </w:rPr>
        <w:t>（</w:t>
      </w:r>
      <w:r>
        <w:rPr>
          <w:lang w:eastAsia="zh-CN"/>
        </w:rPr>
        <w:t>1984</w:t>
      </w:r>
      <w:r>
        <w:rPr>
          <w:rFonts w:hint="eastAsia"/>
          <w:lang w:eastAsia="zh-CN"/>
        </w:rPr>
        <w:t>年</w:t>
      </w:r>
      <w:r>
        <w:rPr>
          <w:lang w:eastAsia="zh-CN"/>
        </w:rPr>
        <w:t>）</w:t>
      </w:r>
      <w:r>
        <w:rPr>
          <w:rFonts w:ascii="SimSun" w:hAnsi="SimSun" w:hint="eastAsia"/>
          <w:lang w:eastAsia="zh-CN"/>
        </w:rPr>
        <w:t>号文件。</w:t>
      </w:r>
    </w:p>
    <w:p w14:paraId="4827B1D4" w14:textId="77777777" w:rsidR="00E07F98" w:rsidRDefault="00E07F98" w:rsidP="00E07F98">
      <w:pPr>
        <w:jc w:val="center"/>
        <w:rPr>
          <w:lang w:eastAsia="zh-CN"/>
        </w:rPr>
      </w:pPr>
      <w:bookmarkStart w:id="1312" w:name="_Toc161224029"/>
      <w:bookmarkStart w:id="1313" w:name="_Toc161732075"/>
      <w:bookmarkStart w:id="1314" w:name="_Toc161741002"/>
      <w:bookmarkStart w:id="1315" w:name="_Toc185237674"/>
      <w:bookmarkStart w:id="1316" w:name="_Toc311469591"/>
      <w:r>
        <w:rPr>
          <w:lang w:eastAsia="zh-CN"/>
        </w:rPr>
        <w:t>______________</w:t>
      </w:r>
    </w:p>
    <w:p w14:paraId="4827B1D5" w14:textId="77777777" w:rsidR="00BF3436" w:rsidRDefault="00BF3436">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1D6" w14:textId="77777777" w:rsidR="003526EF" w:rsidRDefault="003526EF">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1D7" w14:textId="77777777" w:rsidR="002F3C26" w:rsidRPr="002F3C26" w:rsidRDefault="00F13B79" w:rsidP="00A75FB5">
      <w:pPr>
        <w:pStyle w:val="ResNo"/>
        <w:outlineLvl w:val="0"/>
        <w:rPr>
          <w:lang w:eastAsia="zh-CN"/>
        </w:rPr>
      </w:pPr>
      <w:bookmarkStart w:id="1317" w:name="_Toc424116997"/>
      <w:bookmarkStart w:id="1318" w:name="_Toc531706344"/>
      <w:bookmarkStart w:id="1319" w:name="_Toc531706943"/>
      <w:bookmarkStart w:id="1320" w:name="_Toc531768433"/>
      <w:bookmarkStart w:id="1321" w:name="_Toc16085752"/>
      <w:bookmarkStart w:id="1322" w:name="_Toc86395556"/>
      <w:r w:rsidRPr="002F3C26">
        <w:rPr>
          <w:rFonts w:hint="eastAsia"/>
          <w:lang w:eastAsia="zh-CN"/>
        </w:rPr>
        <w:lastRenderedPageBreak/>
        <w:t>第</w:t>
      </w:r>
      <w:r w:rsidRPr="002F3C26">
        <w:rPr>
          <w:lang w:eastAsia="zh-CN"/>
        </w:rPr>
        <w:t>1211</w:t>
      </w:r>
      <w:r w:rsidRPr="002F3C26">
        <w:rPr>
          <w:rFonts w:hint="eastAsia"/>
          <w:lang w:eastAsia="zh-CN"/>
        </w:rPr>
        <w:t>号决议</w:t>
      </w:r>
      <w:r w:rsidR="002F3C26">
        <w:rPr>
          <w:rFonts w:hint="eastAsia"/>
          <w:lang w:eastAsia="zh-CN"/>
        </w:rPr>
        <w:t>（</w:t>
      </w:r>
      <w:r w:rsidR="002F3C26" w:rsidRPr="002F3C26">
        <w:rPr>
          <w:lang w:eastAsia="zh-CN"/>
        </w:rPr>
        <w:t>C03</w:t>
      </w:r>
      <w:r w:rsidR="00AE37E2">
        <w:rPr>
          <w:lang w:eastAsia="zh-CN"/>
        </w:rPr>
        <w:t>-</w:t>
      </w:r>
      <w:r w:rsidR="002F3C26" w:rsidRPr="002F3C26">
        <w:rPr>
          <w:lang w:eastAsia="zh-CN"/>
        </w:rPr>
        <w:t>ADD</w:t>
      </w:r>
      <w:r w:rsidR="002F3C26">
        <w:rPr>
          <w:rFonts w:hint="eastAsia"/>
          <w:lang w:eastAsia="zh-CN"/>
        </w:rPr>
        <w:t>）</w:t>
      </w:r>
      <w:bookmarkEnd w:id="1317"/>
      <w:bookmarkEnd w:id="1318"/>
      <w:bookmarkEnd w:id="1319"/>
      <w:bookmarkEnd w:id="1320"/>
      <w:bookmarkEnd w:id="1321"/>
      <w:bookmarkEnd w:id="1322"/>
    </w:p>
    <w:p w14:paraId="4827B1D8" w14:textId="77777777" w:rsidR="00F13B79" w:rsidRPr="002F3C26" w:rsidRDefault="00F13B79" w:rsidP="002F3C26">
      <w:pPr>
        <w:pStyle w:val="Restitle"/>
        <w:rPr>
          <w:lang w:eastAsia="zh-CN"/>
        </w:rPr>
      </w:pPr>
      <w:bookmarkStart w:id="1323" w:name="_Toc424116223"/>
      <w:bookmarkStart w:id="1324" w:name="_Toc424116998"/>
      <w:bookmarkStart w:id="1325" w:name="_Toc460248107"/>
      <w:bookmarkStart w:id="1326" w:name="_Toc531706345"/>
      <w:bookmarkStart w:id="1327" w:name="_Toc531706944"/>
      <w:bookmarkStart w:id="1328" w:name="_Toc531768434"/>
      <w:bookmarkStart w:id="1329" w:name="_Toc16085753"/>
      <w:bookmarkStart w:id="1330" w:name="_Toc86395557"/>
      <w:r w:rsidRPr="002F3C26">
        <w:rPr>
          <w:rFonts w:hint="eastAsia"/>
          <w:lang w:eastAsia="zh-CN"/>
        </w:rPr>
        <w:t>国际电联职员退休和福利基金的法定利率</w:t>
      </w:r>
      <w:bookmarkEnd w:id="1312"/>
      <w:bookmarkEnd w:id="1313"/>
      <w:bookmarkEnd w:id="1314"/>
      <w:bookmarkEnd w:id="1315"/>
      <w:bookmarkEnd w:id="1316"/>
      <w:bookmarkEnd w:id="1323"/>
      <w:bookmarkEnd w:id="1324"/>
      <w:bookmarkEnd w:id="1325"/>
      <w:bookmarkEnd w:id="1326"/>
      <w:bookmarkEnd w:id="1327"/>
      <w:bookmarkEnd w:id="1328"/>
      <w:bookmarkEnd w:id="1329"/>
      <w:bookmarkEnd w:id="1330"/>
    </w:p>
    <w:p w14:paraId="4827B1D9" w14:textId="77777777" w:rsidR="00F13B79" w:rsidRPr="00364022" w:rsidRDefault="00F13B79" w:rsidP="00364022">
      <w:pPr>
        <w:pStyle w:val="Normalaftertitle"/>
        <w:rPr>
          <w:lang w:eastAsia="zh-CN"/>
        </w:rPr>
      </w:pPr>
      <w:r w:rsidRPr="00364022">
        <w:rPr>
          <w:rFonts w:hint="eastAsia"/>
          <w:lang w:eastAsia="zh-CN"/>
        </w:rPr>
        <w:t>理事会，</w:t>
      </w:r>
    </w:p>
    <w:p w14:paraId="4827B1DA" w14:textId="77777777" w:rsidR="00F13B79" w:rsidRDefault="00F13B79" w:rsidP="00364022">
      <w:pPr>
        <w:pStyle w:val="Call"/>
        <w:rPr>
          <w:rFonts w:ascii="STKaiti" w:hAnsi="SimSun"/>
          <w:lang w:eastAsia="zh-CN"/>
        </w:rPr>
      </w:pPr>
      <w:r>
        <w:rPr>
          <w:rFonts w:hint="eastAsia"/>
          <w:lang w:eastAsia="zh-CN"/>
        </w:rPr>
        <w:t>鉴于</w:t>
      </w:r>
    </w:p>
    <w:p w14:paraId="4827B1DB" w14:textId="77777777" w:rsidR="00F13B79" w:rsidRDefault="00F13B79" w:rsidP="002F3C26">
      <w:pPr>
        <w:ind w:firstLineChars="200" w:firstLine="480"/>
        <w:rPr>
          <w:lang w:eastAsia="zh-CN"/>
        </w:rPr>
      </w:pPr>
      <w:r>
        <w:rPr>
          <w:rFonts w:hint="eastAsia"/>
          <w:lang w:eastAsia="zh-CN"/>
        </w:rPr>
        <w:t>由秘书长提交的国际电联职员退休和福利基金（</w:t>
      </w:r>
      <w:r>
        <w:rPr>
          <w:lang w:eastAsia="zh-CN"/>
        </w:rPr>
        <w:t>SS&amp;B</w:t>
      </w:r>
      <w:r>
        <w:rPr>
          <w:rFonts w:hint="eastAsia"/>
          <w:lang w:eastAsia="zh-CN"/>
        </w:rPr>
        <w:t>）管理委员会的提议（</w:t>
      </w:r>
      <w:r>
        <w:rPr>
          <w:lang w:eastAsia="zh-CN"/>
        </w:rPr>
        <w:t>C03-ADD/6</w:t>
      </w:r>
      <w:r>
        <w:rPr>
          <w:rFonts w:hint="eastAsia"/>
          <w:lang w:eastAsia="zh-CN"/>
        </w:rPr>
        <w:t>号文件），</w:t>
      </w:r>
    </w:p>
    <w:p w14:paraId="4827B1DC" w14:textId="77777777" w:rsidR="00F13B79" w:rsidRDefault="00F13B79" w:rsidP="00364022">
      <w:pPr>
        <w:pStyle w:val="Call"/>
        <w:rPr>
          <w:lang w:val="en-US" w:eastAsia="zh-CN"/>
        </w:rPr>
      </w:pPr>
      <w:r>
        <w:rPr>
          <w:rFonts w:hint="eastAsia"/>
          <w:lang w:eastAsia="zh-CN"/>
        </w:rPr>
        <w:t>考虑到</w:t>
      </w:r>
    </w:p>
    <w:p w14:paraId="4827B1DD" w14:textId="77777777" w:rsidR="00F13B79" w:rsidRDefault="00F13B79" w:rsidP="002F3C26">
      <w:pPr>
        <w:ind w:firstLineChars="200" w:firstLine="480"/>
        <w:rPr>
          <w:lang w:eastAsia="zh-CN"/>
        </w:rPr>
      </w:pPr>
      <w:r>
        <w:rPr>
          <w:rFonts w:hint="eastAsia"/>
          <w:lang w:eastAsia="zh-CN"/>
        </w:rPr>
        <w:t>该基金的投资收益现在很容易足敷支出且管理委员会建议取消法定利率，</w:t>
      </w:r>
    </w:p>
    <w:p w14:paraId="4827B1DE" w14:textId="77777777" w:rsidR="00F13B79" w:rsidRPr="00364022" w:rsidRDefault="00F13B79" w:rsidP="00364022">
      <w:pPr>
        <w:pStyle w:val="Call"/>
        <w:rPr>
          <w:lang w:eastAsia="zh-CN"/>
        </w:rPr>
      </w:pPr>
      <w:r>
        <w:rPr>
          <w:rFonts w:hint="eastAsia"/>
          <w:lang w:eastAsia="zh-CN"/>
        </w:rPr>
        <w:t>做出</w:t>
      </w:r>
      <w:r w:rsidRPr="00364022">
        <w:rPr>
          <w:rFonts w:hint="eastAsia"/>
          <w:lang w:eastAsia="zh-CN"/>
        </w:rPr>
        <w:t>决议</w:t>
      </w:r>
    </w:p>
    <w:p w14:paraId="4827B1DF" w14:textId="77777777" w:rsidR="00F13B79" w:rsidRDefault="002232AC" w:rsidP="002F3C26">
      <w:pPr>
        <w:rPr>
          <w:lang w:eastAsia="zh-CN"/>
        </w:rPr>
      </w:pPr>
      <w:r>
        <w:rPr>
          <w:lang w:eastAsia="zh-CN"/>
        </w:rPr>
        <w:t>1</w:t>
      </w:r>
      <w:r w:rsidR="00F13B79">
        <w:rPr>
          <w:lang w:eastAsia="zh-CN"/>
        </w:rPr>
        <w:tab/>
      </w:r>
      <w:r w:rsidR="00F13B79">
        <w:rPr>
          <w:rFonts w:hint="eastAsia"/>
          <w:lang w:eastAsia="zh-CN"/>
        </w:rPr>
        <w:t>在职员退休和福利基金（</w:t>
      </w:r>
      <w:r w:rsidR="00F13B79">
        <w:rPr>
          <w:lang w:eastAsia="zh-CN"/>
        </w:rPr>
        <w:t>SS&amp;B</w:t>
      </w:r>
      <w:r w:rsidR="00F13B79">
        <w:rPr>
          <w:rFonts w:hint="eastAsia"/>
          <w:lang w:eastAsia="zh-CN"/>
        </w:rPr>
        <w:t>）的第</w:t>
      </w:r>
      <w:r w:rsidR="00F13B79">
        <w:rPr>
          <w:lang w:eastAsia="zh-CN"/>
        </w:rPr>
        <w:t>86</w:t>
      </w:r>
      <w:r w:rsidR="00F13B79">
        <w:rPr>
          <w:rFonts w:hint="eastAsia"/>
          <w:lang w:eastAsia="zh-CN"/>
        </w:rPr>
        <w:t>条中取消该项基金的法定利率，追溯至</w:t>
      </w:r>
      <w:r w:rsidR="00F13B79">
        <w:rPr>
          <w:lang w:eastAsia="zh-CN"/>
        </w:rPr>
        <w:t>2003</w:t>
      </w:r>
      <w:r w:rsidR="00F13B79">
        <w:rPr>
          <w:rFonts w:hint="eastAsia"/>
          <w:lang w:eastAsia="zh-CN"/>
        </w:rPr>
        <w:t>年</w:t>
      </w:r>
      <w:r w:rsidR="00F13B79">
        <w:rPr>
          <w:lang w:eastAsia="zh-CN"/>
        </w:rPr>
        <w:t>1</w:t>
      </w:r>
      <w:r w:rsidR="00F13B79">
        <w:rPr>
          <w:rFonts w:hint="eastAsia"/>
          <w:lang w:eastAsia="zh-CN"/>
        </w:rPr>
        <w:t>月</w:t>
      </w:r>
      <w:r w:rsidR="00F13B79">
        <w:rPr>
          <w:lang w:eastAsia="zh-CN"/>
        </w:rPr>
        <w:t>1</w:t>
      </w:r>
      <w:r w:rsidR="00F13B79">
        <w:rPr>
          <w:rFonts w:hint="eastAsia"/>
          <w:lang w:eastAsia="zh-CN"/>
        </w:rPr>
        <w:t>日生效；</w:t>
      </w:r>
    </w:p>
    <w:p w14:paraId="4827B1E0" w14:textId="77777777" w:rsidR="00F13B79" w:rsidRDefault="002232AC" w:rsidP="002F3C26">
      <w:pPr>
        <w:rPr>
          <w:lang w:val="en-US" w:eastAsia="zh-CN"/>
        </w:rPr>
      </w:pPr>
      <w:r>
        <w:rPr>
          <w:lang w:eastAsia="zh-CN"/>
        </w:rPr>
        <w:t>2</w:t>
      </w:r>
      <w:r w:rsidR="00F13B79">
        <w:rPr>
          <w:lang w:eastAsia="zh-CN"/>
        </w:rPr>
        <w:tab/>
      </w:r>
      <w:r w:rsidR="00F13B79">
        <w:rPr>
          <w:rFonts w:hint="eastAsia"/>
          <w:lang w:eastAsia="zh-CN"/>
        </w:rPr>
        <w:t>批准本决议附录中对《职员退休和福利基金规则》第</w:t>
      </w:r>
      <w:r w:rsidR="00F13B79">
        <w:rPr>
          <w:lang w:eastAsia="zh-CN"/>
        </w:rPr>
        <w:t>86</w:t>
      </w:r>
      <w:r w:rsidR="00F13B79">
        <w:rPr>
          <w:rFonts w:hint="eastAsia"/>
          <w:lang w:eastAsia="zh-CN"/>
        </w:rPr>
        <w:t>条第</w:t>
      </w:r>
      <w:r w:rsidR="00F13B79">
        <w:rPr>
          <w:lang w:eastAsia="zh-CN"/>
        </w:rPr>
        <w:t>4</w:t>
      </w:r>
      <w:r w:rsidR="00F13B79">
        <w:rPr>
          <w:rFonts w:hint="eastAsia"/>
          <w:lang w:eastAsia="zh-CN"/>
        </w:rPr>
        <w:t>段的修正。</w:t>
      </w:r>
    </w:p>
    <w:p w14:paraId="4827B1E1" w14:textId="77777777" w:rsidR="00BA0A22" w:rsidRDefault="00F13B79" w:rsidP="00A75FB5">
      <w:pPr>
        <w:pStyle w:val="AppendixNotitle"/>
        <w:outlineLvl w:val="0"/>
        <w:rPr>
          <w:lang w:eastAsia="zh-CN"/>
        </w:rPr>
      </w:pPr>
      <w:bookmarkStart w:id="1331" w:name="_Toc185237675"/>
      <w:bookmarkStart w:id="1332" w:name="_Toc404936543"/>
      <w:bookmarkStart w:id="1333" w:name="_Toc424115674"/>
      <w:bookmarkStart w:id="1334" w:name="_Toc424116224"/>
      <w:bookmarkStart w:id="1335" w:name="_Toc424116999"/>
      <w:bookmarkStart w:id="1336" w:name="_Toc460248108"/>
      <w:bookmarkStart w:id="1337" w:name="_Toc490555962"/>
      <w:bookmarkStart w:id="1338" w:name="_Toc531706346"/>
      <w:bookmarkStart w:id="1339" w:name="_Toc531772197"/>
      <w:bookmarkStart w:id="1340" w:name="_Toc532982789"/>
      <w:bookmarkStart w:id="1341" w:name="_Toc535853137"/>
      <w:bookmarkStart w:id="1342" w:name="_Toc16085754"/>
      <w:r w:rsidRPr="007E43A8">
        <w:rPr>
          <w:rFonts w:ascii="SimSun" w:hAnsi="SimSun" w:cs="SimSun" w:hint="eastAsia"/>
          <w:b w:val="0"/>
          <w:bCs/>
          <w:lang w:eastAsia="zh-CN"/>
        </w:rPr>
        <w:t>（第</w:t>
      </w:r>
      <w:r w:rsidRPr="007E43A8">
        <w:rPr>
          <w:b w:val="0"/>
          <w:bCs/>
          <w:lang w:eastAsia="zh-CN"/>
        </w:rPr>
        <w:t>1211</w:t>
      </w:r>
      <w:r w:rsidRPr="007E43A8">
        <w:rPr>
          <w:rFonts w:ascii="SimSun" w:hAnsi="SimSun" w:cs="SimSun" w:hint="eastAsia"/>
          <w:b w:val="0"/>
          <w:bCs/>
          <w:lang w:eastAsia="zh-CN"/>
        </w:rPr>
        <w:t>号决议）</w:t>
      </w:r>
      <w:r w:rsidRPr="007E43A8">
        <w:rPr>
          <w:rFonts w:hint="eastAsia"/>
          <w:lang w:eastAsia="zh-CN"/>
        </w:rPr>
        <w:br/>
      </w:r>
      <w:r w:rsidRPr="007E43A8">
        <w:rPr>
          <w:rFonts w:ascii="SimSun" w:hAnsi="SimSun" w:cs="SimSun" w:hint="eastAsia"/>
          <w:lang w:eastAsia="zh-CN"/>
        </w:rPr>
        <w:t>附录</w:t>
      </w:r>
      <w:bookmarkEnd w:id="1331"/>
    </w:p>
    <w:p w14:paraId="4827B1E2" w14:textId="77777777" w:rsidR="002F08E4" w:rsidRPr="007E43A8" w:rsidRDefault="00F13B79" w:rsidP="00B64353">
      <w:pPr>
        <w:pStyle w:val="AppendixNotitle"/>
        <w:rPr>
          <w:rStyle w:val="AppendixtitleChar"/>
          <w:b/>
          <w:szCs w:val="28"/>
          <w:lang w:eastAsia="zh-CN"/>
        </w:rPr>
      </w:pPr>
      <w:r w:rsidRPr="007E43A8">
        <w:rPr>
          <w:rStyle w:val="AppendixtitleChar"/>
          <w:rFonts w:ascii="SimSun" w:hAnsi="SimSun" w:cs="SimSun" w:hint="eastAsia"/>
          <w:b/>
          <w:szCs w:val="28"/>
          <w:lang w:eastAsia="zh-CN"/>
        </w:rPr>
        <w:t>对《国际电联职员退休和福利基金规则》</w:t>
      </w:r>
      <w:r w:rsidRPr="007E43A8">
        <w:rPr>
          <w:rStyle w:val="AppendixtitleChar"/>
          <w:b/>
          <w:szCs w:val="28"/>
          <w:lang w:eastAsia="zh-CN"/>
        </w:rPr>
        <w:br/>
      </w:r>
      <w:r w:rsidRPr="007E43A8">
        <w:rPr>
          <w:rStyle w:val="AppendixtitleChar"/>
          <w:rFonts w:ascii="SimSun" w:hAnsi="SimSun" w:cs="SimSun" w:hint="eastAsia"/>
          <w:b/>
          <w:szCs w:val="28"/>
          <w:lang w:eastAsia="zh-CN"/>
        </w:rPr>
        <w:t>第</w:t>
      </w:r>
      <w:r w:rsidRPr="007E43A8">
        <w:rPr>
          <w:rStyle w:val="AppendixtitleChar"/>
          <w:b/>
          <w:szCs w:val="28"/>
          <w:lang w:eastAsia="zh-CN"/>
        </w:rPr>
        <w:t>86</w:t>
      </w:r>
      <w:r w:rsidRPr="007E43A8">
        <w:rPr>
          <w:rStyle w:val="AppendixtitleChar"/>
          <w:rFonts w:ascii="SimSun" w:hAnsi="SimSun" w:cs="SimSun" w:hint="eastAsia"/>
          <w:b/>
          <w:szCs w:val="28"/>
          <w:lang w:eastAsia="zh-CN"/>
        </w:rPr>
        <w:t>条第</w:t>
      </w:r>
      <w:r w:rsidRPr="007E43A8">
        <w:rPr>
          <w:rStyle w:val="AppendixtitleChar"/>
          <w:b/>
          <w:szCs w:val="28"/>
          <w:lang w:eastAsia="zh-CN"/>
        </w:rPr>
        <w:t>4</w:t>
      </w:r>
      <w:r w:rsidRPr="007E43A8">
        <w:rPr>
          <w:rStyle w:val="AppendixtitleChar"/>
          <w:rFonts w:ascii="SimSun" w:hAnsi="SimSun" w:cs="SimSun" w:hint="eastAsia"/>
          <w:b/>
          <w:szCs w:val="28"/>
          <w:lang w:eastAsia="zh-CN"/>
        </w:rPr>
        <w:t>段的修正</w:t>
      </w:r>
      <w:bookmarkEnd w:id="1332"/>
      <w:bookmarkEnd w:id="1333"/>
      <w:bookmarkEnd w:id="1334"/>
      <w:bookmarkEnd w:id="1335"/>
      <w:bookmarkEnd w:id="1336"/>
      <w:bookmarkEnd w:id="1337"/>
      <w:bookmarkEnd w:id="1338"/>
      <w:bookmarkEnd w:id="1339"/>
      <w:bookmarkEnd w:id="1340"/>
      <w:bookmarkEnd w:id="1341"/>
      <w:bookmarkEnd w:id="1342"/>
    </w:p>
    <w:p w14:paraId="4827B1E3" w14:textId="77777777" w:rsidR="00E07F98" w:rsidRDefault="00E07F98" w:rsidP="00E07F98">
      <w:pPr>
        <w:jc w:val="center"/>
        <w:rPr>
          <w:lang w:eastAsia="zh-CN"/>
        </w:rPr>
      </w:pPr>
      <w:r>
        <w:rPr>
          <w:lang w:eastAsia="zh-CN"/>
        </w:rPr>
        <w:t>______________</w:t>
      </w:r>
    </w:p>
    <w:p w14:paraId="4827B1E4" w14:textId="77777777" w:rsidR="00F13B79" w:rsidRPr="007E43A8" w:rsidRDefault="00F13B79" w:rsidP="00B64353">
      <w:pPr>
        <w:pStyle w:val="SectionNo"/>
        <w:rPr>
          <w:lang w:eastAsia="zh-CN"/>
        </w:rPr>
      </w:pPr>
      <w:r w:rsidRPr="007E43A8">
        <w:rPr>
          <w:rFonts w:ascii="SimSun" w:hAnsi="SimSun" w:cs="SimSun" w:hint="eastAsia"/>
          <w:lang w:eastAsia="zh-CN"/>
        </w:rPr>
        <w:t>第八节</w:t>
      </w:r>
    </w:p>
    <w:p w14:paraId="4827B1E5" w14:textId="77777777" w:rsidR="00F13B79" w:rsidRPr="007E43A8" w:rsidRDefault="00F13B79" w:rsidP="00B64353">
      <w:pPr>
        <w:pStyle w:val="Sectiontitle"/>
        <w:spacing w:before="240"/>
        <w:rPr>
          <w:lang w:eastAsia="zh-CN"/>
        </w:rPr>
      </w:pPr>
      <w:bookmarkStart w:id="1343" w:name="_Toc311469592"/>
      <w:bookmarkStart w:id="1344" w:name="_Toc405194272"/>
      <w:bookmarkStart w:id="1345" w:name="_Toc424117000"/>
      <w:bookmarkStart w:id="1346" w:name="_Toc460248109"/>
      <w:bookmarkStart w:id="1347" w:name="_Toc490555963"/>
      <w:bookmarkStart w:id="1348" w:name="_Toc531706347"/>
      <w:r w:rsidRPr="007E43A8">
        <w:rPr>
          <w:rFonts w:ascii="SimSun" w:hAnsi="SimSun" w:cs="SimSun" w:hint="eastAsia"/>
          <w:lang w:eastAsia="zh-CN"/>
        </w:rPr>
        <w:t>财务管理和基金的管理</w:t>
      </w:r>
      <w:bookmarkEnd w:id="1343"/>
      <w:bookmarkEnd w:id="1344"/>
      <w:bookmarkEnd w:id="1345"/>
      <w:bookmarkEnd w:id="1346"/>
      <w:bookmarkEnd w:id="1347"/>
      <w:bookmarkEnd w:id="1348"/>
    </w:p>
    <w:p w14:paraId="4827B1E6" w14:textId="77777777" w:rsidR="00050CE0" w:rsidRPr="007E43A8" w:rsidRDefault="00F13B79" w:rsidP="00B64353">
      <w:pPr>
        <w:pStyle w:val="ArtNo"/>
        <w:rPr>
          <w:lang w:eastAsia="zh-CN"/>
        </w:rPr>
      </w:pPr>
      <w:r w:rsidRPr="007E43A8">
        <w:rPr>
          <w:rFonts w:ascii="SimSun" w:hAnsi="SimSun" w:cs="SimSun" w:hint="eastAsia"/>
          <w:lang w:eastAsia="zh-CN"/>
        </w:rPr>
        <w:t>第</w:t>
      </w:r>
      <w:r w:rsidRPr="007E43A8">
        <w:rPr>
          <w:lang w:eastAsia="zh-CN"/>
        </w:rPr>
        <w:t>86</w:t>
      </w:r>
      <w:r w:rsidRPr="007E43A8">
        <w:rPr>
          <w:rFonts w:ascii="SimSun" w:hAnsi="SimSun" w:cs="SimSun" w:hint="eastAsia"/>
          <w:lang w:eastAsia="zh-CN"/>
        </w:rPr>
        <w:t>条</w:t>
      </w:r>
    </w:p>
    <w:p w14:paraId="4827B1E7" w14:textId="77777777" w:rsidR="00F13B79" w:rsidRPr="007E43A8" w:rsidRDefault="00F13B79" w:rsidP="00B64353">
      <w:pPr>
        <w:pStyle w:val="Arttitle"/>
        <w:rPr>
          <w:lang w:eastAsia="zh-CN"/>
        </w:rPr>
      </w:pPr>
      <w:r w:rsidRPr="007E43A8">
        <w:rPr>
          <w:rFonts w:ascii="SimSun" w:hAnsi="SimSun" w:cs="SimSun" w:hint="eastAsia"/>
          <w:lang w:eastAsia="zh-CN"/>
        </w:rPr>
        <w:t>财务管理</w:t>
      </w:r>
    </w:p>
    <w:p w14:paraId="4827B1E8" w14:textId="77777777" w:rsidR="00F13B79" w:rsidRDefault="00F13B79" w:rsidP="00B64353">
      <w:pPr>
        <w:spacing w:before="0"/>
        <w:rPr>
          <w:lang w:eastAsia="zh-CN"/>
        </w:rPr>
      </w:pPr>
      <w:r>
        <w:rPr>
          <w:rFonts w:eastAsia="STKaiti" w:hint="eastAsia"/>
          <w:lang w:eastAsia="zh-CN"/>
        </w:rPr>
        <w:t>现案文</w:t>
      </w:r>
    </w:p>
    <w:p w14:paraId="4827B1E9" w14:textId="77777777" w:rsidR="00F13B79" w:rsidRDefault="00F13B79" w:rsidP="00B64353">
      <w:pPr>
        <w:rPr>
          <w:lang w:eastAsia="zh-CN"/>
        </w:rPr>
      </w:pPr>
      <w:r>
        <w:rPr>
          <w:lang w:eastAsia="zh-CN"/>
        </w:rPr>
        <w:t>4</w:t>
      </w:r>
      <w:r>
        <w:rPr>
          <w:lang w:eastAsia="zh-CN"/>
        </w:rPr>
        <w:tab/>
      </w:r>
      <w:r>
        <w:rPr>
          <w:rFonts w:hint="eastAsia"/>
          <w:lang w:eastAsia="zh-CN"/>
        </w:rPr>
        <w:t>基金的资产应以信托证券方式投资。如每年净利</w:t>
      </w:r>
      <w:r>
        <w:rPr>
          <w:rFonts w:hint="eastAsia"/>
          <w:lang w:val="en-US" w:eastAsia="zh-CN"/>
        </w:rPr>
        <w:t>息</w:t>
      </w:r>
      <w:r>
        <w:rPr>
          <w:rFonts w:hint="eastAsia"/>
          <w:lang w:eastAsia="zh-CN"/>
        </w:rPr>
        <w:t>收益低于</w:t>
      </w:r>
      <w:r>
        <w:rPr>
          <w:rFonts w:hint="eastAsia"/>
          <w:lang w:eastAsia="zh-CN"/>
        </w:rPr>
        <w:t>2.5%</w:t>
      </w:r>
      <w:r>
        <w:rPr>
          <w:rFonts w:hint="eastAsia"/>
          <w:lang w:eastAsia="zh-CN"/>
        </w:rPr>
        <w:t>，国际电联应将其补贴至</w:t>
      </w:r>
      <w:r>
        <w:rPr>
          <w:rFonts w:hint="eastAsia"/>
          <w:lang w:eastAsia="zh-CN"/>
        </w:rPr>
        <w:t>2.5</w:t>
      </w:r>
      <w:r>
        <w:rPr>
          <w:lang w:eastAsia="zh-CN"/>
        </w:rPr>
        <w:t>%</w:t>
      </w:r>
      <w:r>
        <w:rPr>
          <w:rFonts w:hint="eastAsia"/>
          <w:lang w:eastAsia="zh-CN"/>
        </w:rPr>
        <w:t>。</w:t>
      </w:r>
    </w:p>
    <w:p w14:paraId="4827B1EA" w14:textId="77777777" w:rsidR="003526EF" w:rsidRDefault="003526EF">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rFonts w:eastAsia="STKaiti"/>
          <w:lang w:eastAsia="zh-CN"/>
        </w:rPr>
        <w:br w:type="page"/>
      </w:r>
    </w:p>
    <w:p w14:paraId="4827B1EB" w14:textId="77777777" w:rsidR="00F13B79" w:rsidRDefault="00F13B79" w:rsidP="00B64353">
      <w:pPr>
        <w:rPr>
          <w:i/>
          <w:lang w:eastAsia="zh-CN"/>
        </w:rPr>
      </w:pPr>
      <w:r>
        <w:rPr>
          <w:rFonts w:eastAsia="STKaiti" w:hint="eastAsia"/>
          <w:lang w:eastAsia="zh-CN"/>
        </w:rPr>
        <w:lastRenderedPageBreak/>
        <w:t>修正案文</w:t>
      </w:r>
    </w:p>
    <w:p w14:paraId="4827B1EC" w14:textId="77777777" w:rsidR="00F13B79" w:rsidRDefault="00F13B79" w:rsidP="00B64353">
      <w:pPr>
        <w:rPr>
          <w:lang w:eastAsia="zh-CN"/>
        </w:rPr>
      </w:pPr>
      <w:r>
        <w:rPr>
          <w:lang w:eastAsia="zh-CN"/>
        </w:rPr>
        <w:t>4</w:t>
      </w:r>
      <w:r>
        <w:rPr>
          <w:lang w:eastAsia="zh-CN"/>
        </w:rPr>
        <w:tab/>
      </w:r>
      <w:r>
        <w:rPr>
          <w:rFonts w:hint="eastAsia"/>
          <w:lang w:eastAsia="zh-CN"/>
        </w:rPr>
        <w:t>基金的资产应以信托证券方式投资。</w:t>
      </w:r>
    </w:p>
    <w:p w14:paraId="4827B1ED" w14:textId="77777777" w:rsidR="002F3C26" w:rsidRPr="00A92C17" w:rsidRDefault="00F13B79" w:rsidP="002F3C26">
      <w:pPr>
        <w:pStyle w:val="Endtext"/>
        <w:rPr>
          <w:lang w:val="en-US" w:eastAsia="zh-CN"/>
        </w:rPr>
      </w:pPr>
      <w:r>
        <w:rPr>
          <w:rFonts w:hint="eastAsia"/>
          <w:lang w:eastAsia="zh-CN"/>
        </w:rPr>
        <w:t>参阅</w:t>
      </w:r>
      <w:r w:rsidR="002F3C26">
        <w:rPr>
          <w:rFonts w:ascii="STKaiti" w:hAnsi="STKaiti" w:hint="eastAsia"/>
          <w:iCs w:val="0"/>
          <w:lang w:eastAsia="zh-CN"/>
        </w:rPr>
        <w:t>：</w:t>
      </w:r>
      <w:hyperlink r:id="rId208" w:history="1">
        <w:r w:rsidR="002F3C26" w:rsidRPr="00B64CA6">
          <w:rPr>
            <w:rStyle w:val="Hyperlink"/>
            <w:lang w:val="en-US" w:eastAsia="zh-CN"/>
          </w:rPr>
          <w:t>C03-ADD/30</w:t>
        </w:r>
      </w:hyperlink>
      <w:r w:rsidR="002F3C26">
        <w:rPr>
          <w:rFonts w:hint="eastAsia"/>
          <w:lang w:val="en-US" w:eastAsia="zh-CN"/>
        </w:rPr>
        <w:t>和</w:t>
      </w:r>
      <w:hyperlink r:id="rId209" w:history="1">
        <w:r w:rsidR="002F3C26" w:rsidRPr="00B64CA6">
          <w:rPr>
            <w:rStyle w:val="Hyperlink"/>
            <w:lang w:val="en-US" w:eastAsia="zh-CN"/>
          </w:rPr>
          <w:t>C03-ADD/35</w:t>
        </w:r>
      </w:hyperlink>
      <w:r w:rsidR="002F3C26">
        <w:rPr>
          <w:rFonts w:hint="eastAsia"/>
          <w:lang w:val="en-US" w:eastAsia="zh-CN"/>
        </w:rPr>
        <w:t>号</w:t>
      </w:r>
      <w:r w:rsidR="002F3C26">
        <w:rPr>
          <w:lang w:val="en-US" w:eastAsia="zh-CN"/>
        </w:rPr>
        <w:t>文件。</w:t>
      </w:r>
    </w:p>
    <w:p w14:paraId="4827B1EE" w14:textId="77777777" w:rsidR="00E07F98" w:rsidRDefault="00E07F98" w:rsidP="00E07F98">
      <w:pPr>
        <w:jc w:val="center"/>
        <w:rPr>
          <w:lang w:eastAsia="zh-CN"/>
        </w:rPr>
      </w:pPr>
      <w:bookmarkStart w:id="1349" w:name="_Toc424117001"/>
      <w:bookmarkStart w:id="1350" w:name="_Toc531706348"/>
      <w:bookmarkStart w:id="1351" w:name="_Toc531706945"/>
      <w:bookmarkStart w:id="1352" w:name="_Toc531768435"/>
      <w:r>
        <w:rPr>
          <w:lang w:eastAsia="zh-CN"/>
        </w:rPr>
        <w:t>______________</w:t>
      </w:r>
    </w:p>
    <w:p w14:paraId="4827B1EF" w14:textId="77777777" w:rsidR="00A82F62" w:rsidRDefault="00A82F62" w:rsidP="00A75FB5">
      <w:pPr>
        <w:pStyle w:val="ResNo"/>
        <w:outlineLvl w:val="0"/>
        <w:rPr>
          <w:rFonts w:ascii="Calibri" w:hAnsi="Calibri"/>
          <w:lang w:eastAsia="zh-CN"/>
        </w:rPr>
      </w:pPr>
      <w:bookmarkStart w:id="1353" w:name="_Toc16085755"/>
      <w:bookmarkStart w:id="1354" w:name="_Toc86395558"/>
      <w:bookmarkStart w:id="1355" w:name="lt_pId046"/>
      <w:bookmarkStart w:id="1356" w:name="_Toc531706350"/>
      <w:bookmarkStart w:id="1357" w:name="_Toc531706947"/>
      <w:bookmarkStart w:id="1358" w:name="_Toc531768437"/>
      <w:bookmarkEnd w:id="1349"/>
      <w:bookmarkEnd w:id="1350"/>
      <w:bookmarkEnd w:id="1351"/>
      <w:bookmarkEnd w:id="1352"/>
      <w:r>
        <w:rPr>
          <w:rFonts w:hint="eastAsia"/>
          <w:lang w:eastAsia="zh-CN"/>
        </w:rPr>
        <w:t>第</w:t>
      </w:r>
      <w:r>
        <w:rPr>
          <w:rFonts w:ascii="Calibri" w:hAnsi="Calibri"/>
          <w:lang w:eastAsia="zh-CN"/>
        </w:rPr>
        <w:t>1394</w:t>
      </w:r>
      <w:r>
        <w:rPr>
          <w:rFonts w:ascii="Calibri" w:hAnsi="Calibri" w:hint="eastAsia"/>
          <w:lang w:eastAsia="zh-CN"/>
        </w:rPr>
        <w:t>号</w:t>
      </w:r>
      <w:r>
        <w:rPr>
          <w:rFonts w:ascii="Calibri" w:hAnsi="Calibri"/>
          <w:lang w:eastAsia="zh-CN"/>
        </w:rPr>
        <w:t>决议</w:t>
      </w:r>
      <w:r>
        <w:rPr>
          <w:rFonts w:ascii="Calibri" w:hAnsi="Calibri" w:hint="eastAsia"/>
          <w:lang w:eastAsia="zh-CN"/>
        </w:rPr>
        <w:t>（</w:t>
      </w:r>
      <w:r>
        <w:rPr>
          <w:rFonts w:ascii="Calibri" w:hAnsi="Calibri"/>
          <w:lang w:eastAsia="zh-CN"/>
        </w:rPr>
        <w:t>C19-EXT</w:t>
      </w:r>
      <w:r>
        <w:rPr>
          <w:rFonts w:ascii="Calibri" w:hAnsi="Calibri" w:hint="eastAsia"/>
          <w:lang w:eastAsia="zh-CN"/>
        </w:rPr>
        <w:t>）</w:t>
      </w:r>
      <w:bookmarkEnd w:id="1353"/>
      <w:bookmarkEnd w:id="1354"/>
    </w:p>
    <w:p w14:paraId="4827B1F0" w14:textId="77777777" w:rsidR="00490334" w:rsidRPr="00EF1249" w:rsidRDefault="00490334" w:rsidP="00490334">
      <w:pPr>
        <w:pStyle w:val="Restitle"/>
        <w:rPr>
          <w:lang w:eastAsia="zh-CN"/>
        </w:rPr>
      </w:pPr>
      <w:bookmarkStart w:id="1359" w:name="_Toc16085756"/>
      <w:bookmarkStart w:id="1360" w:name="_Toc86395559"/>
      <w:r w:rsidRPr="004F229A">
        <w:rPr>
          <w:rFonts w:hint="eastAsia"/>
          <w:lang w:eastAsia="zh-CN"/>
        </w:rPr>
        <w:t>国际电联职员养恤金委员会的成员结构</w:t>
      </w:r>
      <w:bookmarkEnd w:id="1359"/>
      <w:bookmarkEnd w:id="1360"/>
    </w:p>
    <w:p w14:paraId="4827B1F1" w14:textId="77777777" w:rsidR="00490334" w:rsidRPr="00A04DE5" w:rsidRDefault="00490334" w:rsidP="00E51375">
      <w:pPr>
        <w:pStyle w:val="Normalaftertitle0"/>
      </w:pPr>
      <w:r>
        <w:rPr>
          <w:rFonts w:hint="eastAsia"/>
        </w:rPr>
        <w:t>理事会，</w:t>
      </w:r>
    </w:p>
    <w:p w14:paraId="4827B1F2" w14:textId="77777777" w:rsidR="00490334" w:rsidRPr="007E3426" w:rsidRDefault="00490334" w:rsidP="00490334">
      <w:pPr>
        <w:pStyle w:val="Call"/>
        <w:rPr>
          <w:lang w:eastAsia="zh-CN"/>
        </w:rPr>
      </w:pPr>
      <w:r w:rsidRPr="007E3426">
        <w:rPr>
          <w:rFonts w:hint="eastAsia"/>
          <w:lang w:eastAsia="zh-CN"/>
        </w:rPr>
        <w:t>考虑到</w:t>
      </w:r>
    </w:p>
    <w:p w14:paraId="4827B1F3" w14:textId="77777777" w:rsidR="00490334" w:rsidRPr="00F14CC8" w:rsidRDefault="00490334" w:rsidP="00490334">
      <w:pPr>
        <w:ind w:firstLineChars="200" w:firstLine="480"/>
        <w:rPr>
          <w:lang w:eastAsia="zh-CN"/>
        </w:rPr>
      </w:pPr>
      <w:r>
        <w:rPr>
          <w:rFonts w:hint="eastAsia"/>
          <w:lang w:eastAsia="zh-CN"/>
        </w:rPr>
        <w:t>联合国合办职员养恤基金的条例和细则的规定，</w:t>
      </w:r>
    </w:p>
    <w:p w14:paraId="4827B1F4" w14:textId="77777777" w:rsidR="00490334" w:rsidRPr="004F229A" w:rsidRDefault="00490334" w:rsidP="00490334">
      <w:pPr>
        <w:pStyle w:val="Call"/>
        <w:rPr>
          <w:lang w:eastAsia="zh-CN"/>
        </w:rPr>
      </w:pPr>
      <w:r w:rsidRPr="004F229A">
        <w:rPr>
          <w:rFonts w:hint="eastAsia"/>
          <w:lang w:eastAsia="zh-CN"/>
        </w:rPr>
        <w:t>考虑到</w:t>
      </w:r>
    </w:p>
    <w:p w14:paraId="4827B1F5" w14:textId="77777777" w:rsidR="00490334" w:rsidRPr="00F14CC8" w:rsidRDefault="00490334" w:rsidP="00490334">
      <w:pPr>
        <w:ind w:firstLineChars="200" w:firstLine="480"/>
        <w:rPr>
          <w:lang w:eastAsia="zh-CN"/>
        </w:rPr>
      </w:pPr>
      <w:r>
        <w:rPr>
          <w:rFonts w:hint="eastAsia"/>
          <w:lang w:eastAsia="zh-CN"/>
        </w:rPr>
        <w:t>理事会在养恤金委员会代表席位空缺时有必要更换这些代表，</w:t>
      </w:r>
    </w:p>
    <w:p w14:paraId="4827B1F6" w14:textId="77777777" w:rsidR="00490334" w:rsidRPr="004F229A" w:rsidRDefault="00490334" w:rsidP="00490334">
      <w:pPr>
        <w:pStyle w:val="Call"/>
        <w:rPr>
          <w:lang w:eastAsia="zh-CN"/>
        </w:rPr>
      </w:pPr>
      <w:r w:rsidRPr="004F229A">
        <w:rPr>
          <w:rFonts w:hint="eastAsia"/>
          <w:lang w:eastAsia="zh-CN"/>
        </w:rPr>
        <w:t>做出决议</w:t>
      </w:r>
    </w:p>
    <w:p w14:paraId="4827B1F7" w14:textId="77777777" w:rsidR="00490334" w:rsidRPr="00F14CC8" w:rsidRDefault="00490334" w:rsidP="00490334">
      <w:pPr>
        <w:ind w:firstLineChars="200" w:firstLine="480"/>
        <w:rPr>
          <w:lang w:eastAsia="zh-CN"/>
        </w:rPr>
      </w:pPr>
      <w:r>
        <w:rPr>
          <w:rFonts w:hint="eastAsia"/>
          <w:lang w:eastAsia="zh-CN"/>
        </w:rPr>
        <w:t>指定以下成员国代表理事会参加国际电联职员养恤金委员会，任期截至下届全权代表大会后举行的理事会非常会议：</w:t>
      </w:r>
    </w:p>
    <w:p w14:paraId="4827B1F8" w14:textId="77777777" w:rsidR="00490334" w:rsidRPr="00F14CC8" w:rsidRDefault="00490334" w:rsidP="00490334">
      <w:pPr>
        <w:pStyle w:val="enumlev1"/>
        <w:rPr>
          <w:lang w:eastAsia="zh-CN"/>
        </w:rPr>
      </w:pPr>
      <w:r>
        <w:rPr>
          <w:rFonts w:hint="eastAsia"/>
          <w:lang w:eastAsia="zh-CN"/>
        </w:rPr>
        <w:t>1</w:t>
      </w:r>
      <w:r w:rsidR="00BA0A22">
        <w:rPr>
          <w:lang w:eastAsia="zh-CN"/>
        </w:rPr>
        <w:t>.</w:t>
      </w:r>
      <w:r>
        <w:rPr>
          <w:rFonts w:hint="eastAsia"/>
          <w:lang w:eastAsia="zh-CN"/>
        </w:rPr>
        <w:tab/>
      </w:r>
      <w:r>
        <w:rPr>
          <w:rFonts w:hint="eastAsia"/>
          <w:lang w:eastAsia="zh-CN"/>
        </w:rPr>
        <w:t>成员</w:t>
      </w:r>
    </w:p>
    <w:p w14:paraId="4827B1F9" w14:textId="77777777" w:rsidR="00490334" w:rsidRPr="00F14CC8" w:rsidRDefault="00490334" w:rsidP="00490334">
      <w:pPr>
        <w:pStyle w:val="enumlev2"/>
        <w:rPr>
          <w:lang w:eastAsia="zh-CN"/>
        </w:rPr>
      </w:pPr>
      <w:r>
        <w:rPr>
          <w:lang w:eastAsia="zh-CN"/>
        </w:rPr>
        <w:t>–</w:t>
      </w:r>
      <w:r>
        <w:rPr>
          <w:rFonts w:hint="eastAsia"/>
          <w:lang w:eastAsia="zh-CN"/>
        </w:rPr>
        <w:tab/>
      </w:r>
      <w:r w:rsidRPr="00A81393">
        <w:rPr>
          <w:rFonts w:ascii="SimSun" w:hAnsi="SimSun"/>
          <w:lang w:eastAsia="zh-CN"/>
        </w:rPr>
        <w:t>布基纳法索</w:t>
      </w:r>
    </w:p>
    <w:p w14:paraId="4827B1FA" w14:textId="77777777" w:rsidR="00490334" w:rsidRDefault="00490334" w:rsidP="00490334">
      <w:pPr>
        <w:pStyle w:val="enumlev2"/>
        <w:rPr>
          <w:lang w:eastAsia="zh-CN"/>
        </w:rPr>
      </w:pPr>
      <w:r>
        <w:rPr>
          <w:lang w:eastAsia="zh-CN"/>
        </w:rPr>
        <w:t>–</w:t>
      </w:r>
      <w:r>
        <w:rPr>
          <w:rFonts w:hint="eastAsia"/>
          <w:lang w:eastAsia="zh-CN"/>
        </w:rPr>
        <w:tab/>
      </w:r>
      <w:r w:rsidRPr="00A81393">
        <w:rPr>
          <w:rFonts w:ascii="SimSun" w:hAnsi="SimSun"/>
          <w:lang w:eastAsia="zh-CN"/>
        </w:rPr>
        <w:t>捷克共和国</w:t>
      </w:r>
    </w:p>
    <w:p w14:paraId="4827B1FB" w14:textId="77777777" w:rsidR="00490334" w:rsidRPr="00F14CC8" w:rsidRDefault="00490334" w:rsidP="00490334">
      <w:pPr>
        <w:pStyle w:val="enumlev2"/>
        <w:rPr>
          <w:lang w:eastAsia="zh-CN"/>
        </w:rPr>
      </w:pPr>
      <w:r>
        <w:rPr>
          <w:lang w:eastAsia="zh-CN"/>
        </w:rPr>
        <w:t>–</w:t>
      </w:r>
      <w:r>
        <w:rPr>
          <w:rFonts w:hint="eastAsia"/>
          <w:lang w:eastAsia="zh-CN"/>
        </w:rPr>
        <w:tab/>
      </w:r>
      <w:r w:rsidRPr="00524E9E">
        <w:rPr>
          <w:rFonts w:ascii="SimSun" w:hAnsi="SimSun"/>
          <w:lang w:eastAsia="zh-CN"/>
        </w:rPr>
        <w:t>美利坚合众国</w:t>
      </w:r>
    </w:p>
    <w:p w14:paraId="4827B1FC" w14:textId="77777777" w:rsidR="00490334" w:rsidRPr="00F14CC8" w:rsidRDefault="00490334" w:rsidP="00490334">
      <w:pPr>
        <w:pStyle w:val="enumlev1"/>
        <w:rPr>
          <w:lang w:eastAsia="zh-CN"/>
        </w:rPr>
      </w:pPr>
      <w:r>
        <w:rPr>
          <w:rFonts w:hint="eastAsia"/>
          <w:lang w:eastAsia="zh-CN"/>
        </w:rPr>
        <w:t>2</w:t>
      </w:r>
      <w:r w:rsidR="00BA0A22">
        <w:rPr>
          <w:lang w:eastAsia="zh-CN"/>
        </w:rPr>
        <w:t>.</w:t>
      </w:r>
      <w:r>
        <w:rPr>
          <w:rFonts w:hint="eastAsia"/>
          <w:lang w:eastAsia="zh-CN"/>
        </w:rPr>
        <w:tab/>
      </w:r>
      <w:r>
        <w:rPr>
          <w:rFonts w:hint="eastAsia"/>
          <w:lang w:eastAsia="zh-CN"/>
        </w:rPr>
        <w:t>候补成员</w:t>
      </w:r>
    </w:p>
    <w:p w14:paraId="4827B1FD" w14:textId="77777777" w:rsidR="00490334" w:rsidRPr="00F14CC8" w:rsidRDefault="00490334" w:rsidP="00490334">
      <w:pPr>
        <w:pStyle w:val="enumlev2"/>
        <w:rPr>
          <w:lang w:eastAsia="zh-CN"/>
        </w:rPr>
      </w:pPr>
      <w:r>
        <w:rPr>
          <w:lang w:eastAsia="zh-CN"/>
        </w:rPr>
        <w:t>–</w:t>
      </w:r>
      <w:r>
        <w:rPr>
          <w:rFonts w:hint="eastAsia"/>
          <w:lang w:eastAsia="zh-CN"/>
        </w:rPr>
        <w:tab/>
      </w:r>
      <w:r w:rsidRPr="00524E9E">
        <w:rPr>
          <w:rFonts w:ascii="SimSun" w:hAnsi="SimSun"/>
          <w:lang w:eastAsia="zh-CN"/>
        </w:rPr>
        <w:t>加拿大</w:t>
      </w:r>
    </w:p>
    <w:p w14:paraId="4827B1FE" w14:textId="77777777" w:rsidR="00490334" w:rsidRDefault="00490334" w:rsidP="00490334">
      <w:pPr>
        <w:pStyle w:val="enumlev2"/>
        <w:rPr>
          <w:rFonts w:ascii="SimSun" w:hAnsi="SimSun"/>
          <w:lang w:eastAsia="zh-CN"/>
        </w:rPr>
      </w:pPr>
      <w:r>
        <w:rPr>
          <w:lang w:eastAsia="zh-CN"/>
        </w:rPr>
        <w:t>–</w:t>
      </w:r>
      <w:r>
        <w:rPr>
          <w:rFonts w:hint="eastAsia"/>
          <w:lang w:eastAsia="zh-CN"/>
        </w:rPr>
        <w:tab/>
      </w:r>
      <w:r w:rsidRPr="00524E9E">
        <w:rPr>
          <w:rFonts w:ascii="SimSun" w:hAnsi="SimSun"/>
          <w:lang w:eastAsia="zh-CN"/>
        </w:rPr>
        <w:t>印度（共和国）</w:t>
      </w:r>
    </w:p>
    <w:p w14:paraId="4827B1FF" w14:textId="77777777" w:rsidR="00490334" w:rsidRPr="00F14CC8" w:rsidRDefault="00490334" w:rsidP="00490334">
      <w:pPr>
        <w:pStyle w:val="enumlev2"/>
        <w:rPr>
          <w:lang w:eastAsia="zh-CN"/>
        </w:rPr>
      </w:pPr>
      <w:r>
        <w:rPr>
          <w:lang w:eastAsia="zh-CN"/>
        </w:rPr>
        <w:t>–</w:t>
      </w:r>
      <w:r>
        <w:rPr>
          <w:rFonts w:hint="eastAsia"/>
          <w:lang w:eastAsia="zh-CN"/>
        </w:rPr>
        <w:tab/>
      </w:r>
      <w:r w:rsidRPr="00524E9E">
        <w:rPr>
          <w:rFonts w:ascii="SimSun" w:hAnsi="SimSun"/>
          <w:lang w:eastAsia="zh-CN"/>
        </w:rPr>
        <w:t>意大利</w:t>
      </w:r>
    </w:p>
    <w:p w14:paraId="4827B200" w14:textId="77777777" w:rsidR="00490334" w:rsidRPr="004F229A" w:rsidRDefault="00490334" w:rsidP="00490334">
      <w:pPr>
        <w:pStyle w:val="Call"/>
        <w:rPr>
          <w:lang w:eastAsia="zh-CN"/>
        </w:rPr>
      </w:pPr>
      <w:r w:rsidRPr="004F229A">
        <w:rPr>
          <w:rFonts w:hint="eastAsia"/>
          <w:lang w:eastAsia="zh-CN"/>
        </w:rPr>
        <w:t>请这些成员国</w:t>
      </w:r>
    </w:p>
    <w:p w14:paraId="4827B201" w14:textId="77777777" w:rsidR="00490334" w:rsidRDefault="00490334" w:rsidP="00490334">
      <w:pPr>
        <w:ind w:firstLineChars="200" w:firstLine="480"/>
        <w:rPr>
          <w:lang w:val="en-US" w:eastAsia="zh-CN"/>
        </w:rPr>
      </w:pPr>
      <w:r>
        <w:rPr>
          <w:rFonts w:hint="eastAsia"/>
          <w:lang w:val="en-US" w:eastAsia="zh-CN"/>
        </w:rPr>
        <w:t>指定一位代表，任期三年，只要该成员国依然是国际电联理事会的成员，其任期即可延续。</w:t>
      </w:r>
    </w:p>
    <w:p w14:paraId="4827B202" w14:textId="77777777" w:rsidR="0059313F" w:rsidRPr="00174DF2" w:rsidRDefault="0059313F" w:rsidP="0059313F">
      <w:pPr>
        <w:pStyle w:val="Endtext"/>
        <w:rPr>
          <w:lang w:val="en-US" w:eastAsia="zh-CN"/>
        </w:rPr>
      </w:pPr>
      <w:r w:rsidRPr="00F72312">
        <w:rPr>
          <w:rFonts w:hint="eastAsia"/>
          <w:lang w:eastAsia="zh-CN"/>
        </w:rPr>
        <w:t>参阅</w:t>
      </w:r>
      <w:r>
        <w:rPr>
          <w:rFonts w:hint="eastAsia"/>
          <w:lang w:eastAsia="zh-CN"/>
        </w:rPr>
        <w:t>：</w:t>
      </w:r>
      <w:r w:rsidRPr="00F72312">
        <w:rPr>
          <w:rFonts w:hint="eastAsia"/>
          <w:iCs w:val="0"/>
          <w:lang w:eastAsia="zh-CN"/>
        </w:rPr>
        <w:tab/>
      </w:r>
      <w:hyperlink r:id="rId210" w:history="1">
        <w:r w:rsidRPr="00E84A37">
          <w:rPr>
            <w:rStyle w:val="Hyperlink"/>
            <w:lang w:val="en-US" w:eastAsia="zh-CN"/>
          </w:rPr>
          <w:t>C19-EXT/3</w:t>
        </w:r>
      </w:hyperlink>
      <w:r>
        <w:rPr>
          <w:rFonts w:hint="eastAsia"/>
          <w:lang w:val="en-US" w:eastAsia="zh-CN"/>
        </w:rPr>
        <w:t>和</w:t>
      </w:r>
      <w:hyperlink r:id="rId211" w:history="1">
        <w:r w:rsidRPr="00E84A37">
          <w:rPr>
            <w:rStyle w:val="Hyperlink"/>
            <w:lang w:val="en-US" w:eastAsia="zh-CN"/>
          </w:rPr>
          <w:t>C19-EXT/4</w:t>
        </w:r>
      </w:hyperlink>
      <w:r>
        <w:rPr>
          <w:rFonts w:hint="eastAsia"/>
          <w:lang w:val="en-US" w:eastAsia="zh-CN"/>
        </w:rPr>
        <w:t>号</w:t>
      </w:r>
      <w:r>
        <w:rPr>
          <w:lang w:val="en-US" w:eastAsia="zh-CN"/>
        </w:rPr>
        <w:t>文件。</w:t>
      </w:r>
    </w:p>
    <w:p w14:paraId="4827B203" w14:textId="77777777" w:rsidR="00490334" w:rsidRDefault="00490334" w:rsidP="00490334">
      <w:pPr>
        <w:jc w:val="center"/>
        <w:rPr>
          <w:lang w:eastAsia="zh-CN"/>
        </w:rPr>
      </w:pPr>
      <w:r>
        <w:rPr>
          <w:lang w:eastAsia="zh-CN"/>
        </w:rPr>
        <w:t>______________</w:t>
      </w:r>
    </w:p>
    <w:p w14:paraId="4827B204" w14:textId="77777777" w:rsidR="0059313F" w:rsidRDefault="0059313F">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205" w14:textId="77777777" w:rsidR="00A82F62" w:rsidRDefault="00A82F62">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206" w14:textId="77777777" w:rsidR="00D965D1" w:rsidRDefault="00D965D1" w:rsidP="00892DD1">
      <w:pPr>
        <w:pStyle w:val="DecNo"/>
        <w:outlineLvl w:val="0"/>
      </w:pPr>
      <w:bookmarkStart w:id="1361" w:name="_Toc16085757"/>
      <w:bookmarkStart w:id="1362" w:name="_Toc86395560"/>
      <w:r>
        <w:rPr>
          <w:rFonts w:hint="eastAsia"/>
        </w:rPr>
        <w:lastRenderedPageBreak/>
        <w:t>第</w:t>
      </w:r>
      <w:bookmarkEnd w:id="1355"/>
      <w:r>
        <w:rPr>
          <w:rFonts w:hint="eastAsia"/>
        </w:rPr>
        <w:t>59</w:t>
      </w:r>
      <w:r>
        <w:t>5</w:t>
      </w:r>
      <w:r>
        <w:rPr>
          <w:rFonts w:hint="eastAsia"/>
        </w:rPr>
        <w:t>号决定（</w:t>
      </w:r>
      <w:r>
        <w:t>C1</w:t>
      </w:r>
      <w:r w:rsidRPr="003474B7">
        <w:t>6</w:t>
      </w:r>
      <w:r>
        <w:rPr>
          <w:rFonts w:hint="eastAsia"/>
        </w:rPr>
        <w:t>）</w:t>
      </w:r>
      <w:bookmarkEnd w:id="1356"/>
      <w:bookmarkEnd w:id="1357"/>
      <w:bookmarkEnd w:id="1358"/>
      <w:bookmarkEnd w:id="1361"/>
      <w:bookmarkEnd w:id="1362"/>
    </w:p>
    <w:p w14:paraId="4827B207" w14:textId="77777777" w:rsidR="00D965D1" w:rsidRPr="007E77A9" w:rsidRDefault="00D965D1" w:rsidP="00D965D1">
      <w:pPr>
        <w:pStyle w:val="Restitle"/>
        <w:rPr>
          <w:rFonts w:eastAsia="Times New Roman"/>
          <w:lang w:eastAsia="zh-CN"/>
        </w:rPr>
      </w:pPr>
      <w:bookmarkStart w:id="1363" w:name="lt_pId047"/>
      <w:bookmarkStart w:id="1364" w:name="_Toc460248113"/>
      <w:bookmarkStart w:id="1365" w:name="_Toc531706351"/>
      <w:bookmarkStart w:id="1366" w:name="_Toc531706948"/>
      <w:bookmarkStart w:id="1367" w:name="_Toc531768438"/>
      <w:bookmarkStart w:id="1368" w:name="_Toc16085758"/>
      <w:bookmarkStart w:id="1369" w:name="_Toc86395561"/>
      <w:r w:rsidRPr="00A343E6">
        <w:rPr>
          <w:rFonts w:hint="eastAsia"/>
          <w:lang w:eastAsia="zh-CN"/>
        </w:rPr>
        <w:t>《国际电信联盟职员退休和福利基金规则》</w:t>
      </w:r>
      <w:r w:rsidR="00AE37E2">
        <w:rPr>
          <w:lang w:eastAsia="zh-CN"/>
        </w:rPr>
        <w:br/>
      </w:r>
      <w:r w:rsidRPr="00A343E6">
        <w:rPr>
          <w:rFonts w:hint="eastAsia"/>
          <w:lang w:eastAsia="zh-CN"/>
        </w:rPr>
        <w:t>第</w:t>
      </w:r>
      <w:r w:rsidRPr="00A343E6">
        <w:rPr>
          <w:rFonts w:eastAsia="Times New Roman" w:hint="eastAsia"/>
          <w:lang w:eastAsia="zh-CN"/>
        </w:rPr>
        <w:t>5</w:t>
      </w:r>
      <w:r w:rsidRPr="00A343E6">
        <w:rPr>
          <w:rFonts w:hint="eastAsia"/>
          <w:lang w:val="en-US" w:eastAsia="zh-CN"/>
        </w:rPr>
        <w:t>条修正</w:t>
      </w:r>
      <w:bookmarkEnd w:id="1363"/>
      <w:r>
        <w:rPr>
          <w:rFonts w:hint="eastAsia"/>
          <w:lang w:val="en-US" w:eastAsia="zh-CN"/>
        </w:rPr>
        <w:t>案</w:t>
      </w:r>
      <w:bookmarkEnd w:id="1364"/>
      <w:bookmarkEnd w:id="1365"/>
      <w:bookmarkEnd w:id="1366"/>
      <w:bookmarkEnd w:id="1367"/>
      <w:bookmarkEnd w:id="1368"/>
      <w:bookmarkEnd w:id="1369"/>
    </w:p>
    <w:p w14:paraId="4827B208" w14:textId="77777777" w:rsidR="00D965D1" w:rsidRPr="007E77A9" w:rsidRDefault="00D965D1" w:rsidP="00E51375">
      <w:pPr>
        <w:pStyle w:val="Normalaftertitle0"/>
        <w:rPr>
          <w:rFonts w:eastAsia="Times New Roman"/>
        </w:rPr>
      </w:pPr>
      <w:bookmarkStart w:id="1370" w:name="lt_pId048"/>
      <w:r>
        <w:rPr>
          <w:rFonts w:hint="eastAsia"/>
        </w:rPr>
        <w:t>理事会</w:t>
      </w:r>
      <w:bookmarkEnd w:id="1370"/>
    </w:p>
    <w:p w14:paraId="4827B209" w14:textId="77777777" w:rsidR="00D965D1" w:rsidRPr="00CE7DF2" w:rsidRDefault="00D965D1" w:rsidP="00D965D1">
      <w:pPr>
        <w:pStyle w:val="call0"/>
        <w:rPr>
          <w:i/>
          <w:iCs/>
          <w:lang w:val="en-US" w:eastAsia="zh-CN"/>
        </w:rPr>
      </w:pPr>
      <w:bookmarkStart w:id="1371" w:name="lt_pId049"/>
      <w:r w:rsidRPr="00CE7DF2">
        <w:rPr>
          <w:rFonts w:hint="eastAsia"/>
          <w:iCs/>
          <w:lang w:val="en-US" w:eastAsia="zh-CN"/>
        </w:rPr>
        <w:t>经审议</w:t>
      </w:r>
      <w:bookmarkEnd w:id="1371"/>
    </w:p>
    <w:p w14:paraId="4827B20A" w14:textId="77777777" w:rsidR="00D965D1" w:rsidRPr="007E77A9" w:rsidRDefault="00D965D1" w:rsidP="00D965D1">
      <w:pPr>
        <w:ind w:firstLineChars="200" w:firstLine="480"/>
        <w:rPr>
          <w:rFonts w:eastAsia="Times New Roman"/>
          <w:lang w:val="en-US" w:eastAsia="zh-CN"/>
        </w:rPr>
      </w:pPr>
      <w:bookmarkStart w:id="1372" w:name="lt_pId050"/>
      <w:r>
        <w:rPr>
          <w:rFonts w:hint="eastAsia"/>
          <w:lang w:val="en-US" w:eastAsia="zh-CN"/>
        </w:rPr>
        <w:t>2016</w:t>
      </w:r>
      <w:r>
        <w:rPr>
          <w:rFonts w:hint="eastAsia"/>
          <w:lang w:val="en-US" w:eastAsia="zh-CN"/>
        </w:rPr>
        <w:t>年会议的</w:t>
      </w:r>
      <w:hyperlink r:id="rId212" w:history="1">
        <w:r w:rsidRPr="00D965D1">
          <w:rPr>
            <w:rFonts w:eastAsia="Times New Roman"/>
            <w:color w:val="0000FF"/>
            <w:szCs w:val="24"/>
            <w:u w:val="single"/>
            <w:lang w:eastAsia="zh-CN"/>
          </w:rPr>
          <w:t>C16/104</w:t>
        </w:r>
      </w:hyperlink>
      <w:r>
        <w:rPr>
          <w:rFonts w:hint="eastAsia"/>
          <w:lang w:val="en-US" w:eastAsia="zh-CN"/>
        </w:rPr>
        <w:t>号文件，</w:t>
      </w:r>
      <w:bookmarkEnd w:id="1372"/>
    </w:p>
    <w:p w14:paraId="4827B20B" w14:textId="77777777" w:rsidR="00D965D1" w:rsidRPr="00A343E6" w:rsidRDefault="00D965D1" w:rsidP="00D965D1">
      <w:pPr>
        <w:pStyle w:val="call0"/>
        <w:rPr>
          <w:rFonts w:ascii="STKaiti" w:hAnsi="STKaiti"/>
          <w:szCs w:val="24"/>
          <w:lang w:val="en-US" w:eastAsia="zh-CN"/>
        </w:rPr>
      </w:pPr>
      <w:bookmarkStart w:id="1373" w:name="lt_pId051"/>
      <w:r w:rsidRPr="00CE7DF2">
        <w:rPr>
          <w:rFonts w:hint="eastAsia"/>
          <w:iCs/>
          <w:lang w:val="en-US" w:eastAsia="zh-CN"/>
        </w:rPr>
        <w:t>做出决定</w:t>
      </w:r>
      <w:bookmarkEnd w:id="1373"/>
    </w:p>
    <w:p w14:paraId="4827B20C" w14:textId="77777777" w:rsidR="00D965D1" w:rsidRDefault="00D965D1" w:rsidP="00D965D1">
      <w:pPr>
        <w:tabs>
          <w:tab w:val="left" w:pos="567"/>
          <w:tab w:val="left" w:pos="1134"/>
          <w:tab w:val="left" w:pos="1701"/>
          <w:tab w:val="left" w:pos="2268"/>
          <w:tab w:val="left" w:pos="2835"/>
        </w:tabs>
        <w:ind w:firstLineChars="200" w:firstLine="480"/>
        <w:rPr>
          <w:lang w:eastAsia="zh-CN"/>
        </w:rPr>
      </w:pPr>
      <w:bookmarkStart w:id="1374" w:name="lt_pId052"/>
      <w:r>
        <w:rPr>
          <w:rFonts w:hint="eastAsia"/>
          <w:lang w:eastAsia="zh-CN"/>
        </w:rPr>
        <w:t>通过上述文件所含的</w:t>
      </w:r>
      <w:r>
        <w:rPr>
          <w:lang w:eastAsia="zh-CN"/>
        </w:rPr>
        <w:t>有关</w:t>
      </w:r>
      <w:r w:rsidRPr="00A343E6">
        <w:rPr>
          <w:rFonts w:hint="eastAsia"/>
          <w:lang w:eastAsia="zh-CN"/>
        </w:rPr>
        <w:t>《国际电信联盟职员退休和福利基金规则》第</w:t>
      </w:r>
      <w:r w:rsidRPr="00A343E6">
        <w:rPr>
          <w:rFonts w:hint="eastAsia"/>
          <w:lang w:eastAsia="zh-CN"/>
        </w:rPr>
        <w:t>5</w:t>
      </w:r>
      <w:r w:rsidRPr="00A343E6">
        <w:rPr>
          <w:lang w:eastAsia="zh-CN"/>
        </w:rPr>
        <w:t>条的修正</w:t>
      </w:r>
      <w:r>
        <w:rPr>
          <w:rFonts w:hint="eastAsia"/>
          <w:lang w:eastAsia="zh-CN"/>
        </w:rPr>
        <w:t>案。</w:t>
      </w:r>
      <w:bookmarkEnd w:id="1374"/>
    </w:p>
    <w:p w14:paraId="4827B20D" w14:textId="77777777" w:rsidR="00D965D1" w:rsidRPr="00174DF2" w:rsidRDefault="00D965D1" w:rsidP="00D965D1">
      <w:pPr>
        <w:pStyle w:val="Endtext"/>
        <w:rPr>
          <w:lang w:val="en-US" w:eastAsia="zh-CN"/>
        </w:rPr>
      </w:pPr>
      <w:r w:rsidRPr="00F72312">
        <w:rPr>
          <w:rFonts w:hint="eastAsia"/>
          <w:lang w:eastAsia="zh-CN"/>
        </w:rPr>
        <w:t>参阅</w:t>
      </w:r>
      <w:r>
        <w:rPr>
          <w:rFonts w:hint="eastAsia"/>
          <w:lang w:eastAsia="zh-CN"/>
        </w:rPr>
        <w:t>：</w:t>
      </w:r>
      <w:r w:rsidRPr="00F72312">
        <w:rPr>
          <w:rFonts w:hint="eastAsia"/>
          <w:iCs w:val="0"/>
          <w:lang w:eastAsia="zh-CN"/>
        </w:rPr>
        <w:tab/>
      </w:r>
      <w:hyperlink r:id="rId213" w:history="1">
        <w:r w:rsidRPr="009D46CC">
          <w:rPr>
            <w:rStyle w:val="Hyperlink"/>
            <w:lang w:val="fr-FR" w:eastAsia="zh-CN"/>
          </w:rPr>
          <w:t>C1</w:t>
        </w:r>
        <w:r>
          <w:rPr>
            <w:rStyle w:val="Hyperlink"/>
            <w:lang w:val="fr-FR" w:eastAsia="zh-CN"/>
          </w:rPr>
          <w:t>6</w:t>
        </w:r>
        <w:r w:rsidRPr="009D46CC">
          <w:rPr>
            <w:rStyle w:val="Hyperlink"/>
            <w:lang w:val="fr-FR" w:eastAsia="zh-CN"/>
          </w:rPr>
          <w:t>/122</w:t>
        </w:r>
      </w:hyperlink>
      <w:r>
        <w:rPr>
          <w:rFonts w:hint="eastAsia"/>
          <w:lang w:val="fr-FR" w:eastAsia="zh-CN"/>
        </w:rPr>
        <w:t>和</w:t>
      </w:r>
      <w:hyperlink r:id="rId214" w:history="1">
        <w:r w:rsidRPr="009D46CC">
          <w:rPr>
            <w:rStyle w:val="Hyperlink"/>
            <w:lang w:val="fr-FR" w:eastAsia="zh-CN"/>
          </w:rPr>
          <w:t>C1</w:t>
        </w:r>
        <w:r>
          <w:rPr>
            <w:rStyle w:val="Hyperlink"/>
            <w:lang w:val="fr-FR" w:eastAsia="zh-CN"/>
          </w:rPr>
          <w:t>6</w:t>
        </w:r>
        <w:r w:rsidRPr="009D46CC">
          <w:rPr>
            <w:rStyle w:val="Hyperlink"/>
            <w:lang w:val="fr-FR" w:eastAsia="zh-CN"/>
          </w:rPr>
          <w:t>/1</w:t>
        </w:r>
        <w:r>
          <w:rPr>
            <w:rStyle w:val="Hyperlink"/>
            <w:lang w:val="fr-FR" w:eastAsia="zh-CN"/>
          </w:rPr>
          <w:t>40</w:t>
        </w:r>
      </w:hyperlink>
      <w:r>
        <w:rPr>
          <w:rFonts w:hint="eastAsia"/>
          <w:lang w:val="en-US" w:eastAsia="zh-CN"/>
        </w:rPr>
        <w:t>号</w:t>
      </w:r>
      <w:r>
        <w:rPr>
          <w:lang w:val="en-US" w:eastAsia="zh-CN"/>
        </w:rPr>
        <w:t>文件。</w:t>
      </w:r>
    </w:p>
    <w:p w14:paraId="4827B20E" w14:textId="77777777" w:rsidR="00793F78" w:rsidRDefault="00793F78" w:rsidP="00793F78">
      <w:pPr>
        <w:jc w:val="center"/>
        <w:rPr>
          <w:lang w:eastAsia="zh-CN"/>
        </w:rPr>
      </w:pPr>
      <w:bookmarkStart w:id="1375" w:name="_Toc531706352"/>
      <w:bookmarkStart w:id="1376" w:name="_Toc531706949"/>
      <w:bookmarkStart w:id="1377" w:name="_Toc531768439"/>
      <w:r>
        <w:rPr>
          <w:lang w:eastAsia="zh-CN"/>
        </w:rPr>
        <w:t>______________</w:t>
      </w:r>
    </w:p>
    <w:p w14:paraId="4827B20F" w14:textId="77777777" w:rsidR="00D965D1" w:rsidRPr="00A343E6" w:rsidRDefault="00D965D1" w:rsidP="00A75FB5">
      <w:pPr>
        <w:pStyle w:val="ResNo"/>
        <w:outlineLvl w:val="0"/>
        <w:rPr>
          <w:lang w:eastAsia="zh-CN"/>
        </w:rPr>
      </w:pPr>
      <w:bookmarkStart w:id="1378" w:name="_Toc16085759"/>
      <w:bookmarkStart w:id="1379" w:name="_Toc86395562"/>
      <w:r>
        <w:rPr>
          <w:rFonts w:eastAsiaTheme="minorEastAsia" w:hint="eastAsia"/>
          <w:lang w:eastAsia="zh-CN"/>
        </w:rPr>
        <w:t>第</w:t>
      </w:r>
      <w:r>
        <w:rPr>
          <w:rFonts w:eastAsia="Times New Roman"/>
          <w:lang w:eastAsia="zh-CN"/>
        </w:rPr>
        <w:t>596</w:t>
      </w:r>
      <w:r>
        <w:rPr>
          <w:rFonts w:eastAsiaTheme="minorEastAsia" w:hint="eastAsia"/>
          <w:lang w:eastAsia="zh-CN"/>
        </w:rPr>
        <w:t>号</w:t>
      </w:r>
      <w:r>
        <w:rPr>
          <w:rFonts w:hint="eastAsia"/>
          <w:lang w:eastAsia="zh-CN"/>
        </w:rPr>
        <w:t>决定（</w:t>
      </w:r>
      <w:r>
        <w:rPr>
          <w:lang w:eastAsia="zh-CN"/>
        </w:rPr>
        <w:t>C1</w:t>
      </w:r>
      <w:r w:rsidRPr="003474B7">
        <w:rPr>
          <w:lang w:eastAsia="zh-CN"/>
        </w:rPr>
        <w:t>6</w:t>
      </w:r>
      <w:r>
        <w:rPr>
          <w:rFonts w:hint="eastAsia"/>
          <w:lang w:eastAsia="zh-CN"/>
        </w:rPr>
        <w:t>）</w:t>
      </w:r>
      <w:bookmarkEnd w:id="1375"/>
      <w:bookmarkEnd w:id="1376"/>
      <w:bookmarkEnd w:id="1377"/>
      <w:bookmarkEnd w:id="1378"/>
      <w:bookmarkEnd w:id="1379"/>
    </w:p>
    <w:p w14:paraId="4827B210" w14:textId="77777777" w:rsidR="00D965D1" w:rsidRDefault="00D965D1" w:rsidP="00D965D1">
      <w:pPr>
        <w:pStyle w:val="Restitle"/>
        <w:rPr>
          <w:lang w:eastAsia="zh-CN"/>
        </w:rPr>
      </w:pPr>
      <w:bookmarkStart w:id="1380" w:name="_Toc460248115"/>
      <w:bookmarkStart w:id="1381" w:name="_Toc531706353"/>
      <w:bookmarkStart w:id="1382" w:name="_Toc531706950"/>
      <w:bookmarkStart w:id="1383" w:name="_Toc531768440"/>
      <w:bookmarkStart w:id="1384" w:name="_Toc16085760"/>
      <w:bookmarkStart w:id="1385" w:name="_Toc86395563"/>
      <w:r w:rsidRPr="0085345E">
        <w:rPr>
          <w:rFonts w:hint="eastAsia"/>
          <w:lang w:eastAsia="zh-CN"/>
        </w:rPr>
        <w:t>国际电信联盟职员退休和福利基金资产的最终处置</w:t>
      </w:r>
      <w:bookmarkEnd w:id="1380"/>
      <w:bookmarkEnd w:id="1381"/>
      <w:bookmarkEnd w:id="1382"/>
      <w:bookmarkEnd w:id="1383"/>
      <w:bookmarkEnd w:id="1384"/>
      <w:bookmarkEnd w:id="1385"/>
    </w:p>
    <w:p w14:paraId="4827B211" w14:textId="77777777" w:rsidR="00D965D1" w:rsidRPr="007E77A9" w:rsidRDefault="00D965D1" w:rsidP="00E51375">
      <w:pPr>
        <w:pStyle w:val="Normalaftertitle0"/>
        <w:rPr>
          <w:rFonts w:eastAsia="Times New Roman"/>
        </w:rPr>
      </w:pPr>
      <w:r>
        <w:rPr>
          <w:rFonts w:hint="eastAsia"/>
        </w:rPr>
        <w:t>理事会</w:t>
      </w:r>
    </w:p>
    <w:p w14:paraId="4827B212" w14:textId="77777777" w:rsidR="00D965D1" w:rsidRPr="001B5A53" w:rsidRDefault="00D965D1" w:rsidP="00D965D1">
      <w:pPr>
        <w:pStyle w:val="Call"/>
        <w:rPr>
          <w:lang w:val="en-US" w:eastAsia="zh-CN"/>
        </w:rPr>
      </w:pPr>
      <w:r>
        <w:rPr>
          <w:rFonts w:hint="eastAsia"/>
          <w:lang w:val="en-US" w:eastAsia="zh-CN"/>
        </w:rPr>
        <w:t>经</w:t>
      </w:r>
      <w:r>
        <w:rPr>
          <w:lang w:val="en-US" w:eastAsia="zh-CN"/>
        </w:rPr>
        <w:t>审议</w:t>
      </w:r>
    </w:p>
    <w:p w14:paraId="4827B213" w14:textId="77777777" w:rsidR="00D965D1" w:rsidRPr="007E77A9" w:rsidRDefault="00D965D1" w:rsidP="00D965D1">
      <w:pPr>
        <w:ind w:firstLineChars="200" w:firstLine="480"/>
        <w:rPr>
          <w:rFonts w:eastAsia="Times New Roman"/>
          <w:lang w:val="en-US" w:eastAsia="zh-CN"/>
        </w:rPr>
      </w:pPr>
      <w:r>
        <w:rPr>
          <w:rFonts w:hint="eastAsia"/>
          <w:lang w:val="en-US" w:eastAsia="zh-CN"/>
        </w:rPr>
        <w:t>2016</w:t>
      </w:r>
      <w:r>
        <w:rPr>
          <w:rFonts w:hint="eastAsia"/>
          <w:lang w:val="en-US" w:eastAsia="zh-CN"/>
        </w:rPr>
        <w:t>年会议</w:t>
      </w:r>
      <w:hyperlink r:id="rId215" w:history="1">
        <w:r>
          <w:rPr>
            <w:rStyle w:val="Hyperlink"/>
            <w:iCs/>
            <w:lang w:eastAsia="zh-CN"/>
          </w:rPr>
          <w:t>C16/105</w:t>
        </w:r>
      </w:hyperlink>
      <w:r>
        <w:rPr>
          <w:rFonts w:hint="eastAsia"/>
          <w:lang w:val="en-US" w:eastAsia="zh-CN"/>
        </w:rPr>
        <w:t>号文件，</w:t>
      </w:r>
    </w:p>
    <w:p w14:paraId="4827B214" w14:textId="77777777" w:rsidR="00D965D1" w:rsidRPr="00CD7FB9" w:rsidRDefault="00D965D1" w:rsidP="00D965D1">
      <w:pPr>
        <w:pStyle w:val="Call"/>
        <w:rPr>
          <w:lang w:val="en-US" w:eastAsia="zh-CN"/>
        </w:rPr>
      </w:pPr>
      <w:r w:rsidRPr="00CD7FB9">
        <w:rPr>
          <w:rFonts w:hint="eastAsia"/>
          <w:lang w:val="en-US" w:eastAsia="zh-CN"/>
        </w:rPr>
        <w:t>做出决定</w:t>
      </w:r>
    </w:p>
    <w:p w14:paraId="4827B215" w14:textId="77777777" w:rsidR="00D965D1" w:rsidRDefault="00D965D1" w:rsidP="00D965D1">
      <w:pPr>
        <w:ind w:firstLineChars="200" w:firstLine="480"/>
        <w:rPr>
          <w:rFonts w:eastAsiaTheme="minorEastAsia"/>
          <w:color w:val="000000"/>
          <w:lang w:eastAsia="zh-CN"/>
        </w:rPr>
      </w:pPr>
      <w:r w:rsidRPr="003059C9">
        <w:rPr>
          <w:rFonts w:hint="eastAsia"/>
          <w:lang w:val="en-US" w:eastAsia="zh-CN"/>
        </w:rPr>
        <w:t>从养恤基金结余款项中向</w:t>
      </w:r>
    </w:p>
    <w:p w14:paraId="4827B216" w14:textId="77777777" w:rsidR="00D965D1" w:rsidRDefault="00D965D1" w:rsidP="00D965D1">
      <w:pPr>
        <w:pStyle w:val="enumlev1"/>
        <w:rPr>
          <w:color w:val="000000"/>
          <w:lang w:eastAsia="zh-CN"/>
        </w:rPr>
      </w:pPr>
      <w:r w:rsidRPr="00925441">
        <w:rPr>
          <w:rFonts w:eastAsia="Times New Roman"/>
          <w:lang w:eastAsia="zh-CN"/>
        </w:rPr>
        <w:t>a)</w:t>
      </w:r>
      <w:r w:rsidRPr="00925441">
        <w:rPr>
          <w:rFonts w:eastAsia="Times New Roman"/>
          <w:lang w:eastAsia="zh-CN"/>
        </w:rPr>
        <w:tab/>
      </w:r>
      <w:r>
        <w:rPr>
          <w:rFonts w:hint="eastAsia"/>
          <w:lang w:eastAsia="zh-CN"/>
        </w:rPr>
        <w:t>救助基金最多转账</w:t>
      </w:r>
      <w:r>
        <w:rPr>
          <w:rFonts w:eastAsia="Times New Roman"/>
          <w:color w:val="000000"/>
          <w:lang w:eastAsia="zh-CN"/>
        </w:rPr>
        <w:t xml:space="preserve">100 </w:t>
      </w:r>
      <w:r w:rsidRPr="00925441">
        <w:rPr>
          <w:rFonts w:eastAsia="Times New Roman"/>
          <w:color w:val="000000"/>
          <w:lang w:eastAsia="zh-CN"/>
        </w:rPr>
        <w:t>000</w:t>
      </w:r>
      <w:r>
        <w:rPr>
          <w:rFonts w:hint="eastAsia"/>
          <w:color w:val="000000"/>
          <w:lang w:eastAsia="zh-CN"/>
        </w:rPr>
        <w:t>瑞郎，</w:t>
      </w:r>
    </w:p>
    <w:p w14:paraId="4827B217" w14:textId="77777777" w:rsidR="00D965D1" w:rsidRDefault="00D965D1" w:rsidP="00D965D1">
      <w:pPr>
        <w:pStyle w:val="enumlev1"/>
        <w:rPr>
          <w:lang w:eastAsia="zh-CN"/>
        </w:rPr>
      </w:pPr>
      <w:r w:rsidRPr="00925441">
        <w:rPr>
          <w:rFonts w:eastAsia="Times New Roman"/>
          <w:color w:val="000000"/>
          <w:lang w:eastAsia="zh-CN"/>
        </w:rPr>
        <w:t>b)</w:t>
      </w:r>
      <w:r w:rsidRPr="00925441">
        <w:rPr>
          <w:rFonts w:eastAsia="Times New Roman"/>
          <w:color w:val="000000"/>
          <w:lang w:eastAsia="zh-CN"/>
        </w:rPr>
        <w:tab/>
      </w:r>
      <w:r w:rsidRPr="00E37C0C">
        <w:rPr>
          <w:rFonts w:hint="eastAsia"/>
          <w:lang w:eastAsia="zh-CN"/>
        </w:rPr>
        <w:t>向健康保险保证基金转账剩余的</w:t>
      </w:r>
      <w:r>
        <w:rPr>
          <w:rFonts w:eastAsia="Times New Roman"/>
          <w:color w:val="000000"/>
          <w:lang w:eastAsia="zh-CN"/>
        </w:rPr>
        <w:t xml:space="preserve">1 446 </w:t>
      </w:r>
      <w:r w:rsidRPr="00925441">
        <w:rPr>
          <w:rFonts w:eastAsia="Times New Roman"/>
          <w:color w:val="000000"/>
          <w:lang w:eastAsia="zh-CN"/>
        </w:rPr>
        <w:t>449.39</w:t>
      </w:r>
      <w:r>
        <w:rPr>
          <w:rFonts w:hint="eastAsia"/>
          <w:color w:val="000000"/>
          <w:lang w:eastAsia="zh-CN"/>
        </w:rPr>
        <w:t>瑞郎余款。</w:t>
      </w:r>
    </w:p>
    <w:p w14:paraId="4827B218" w14:textId="77777777" w:rsidR="00D965D1" w:rsidRPr="00174DF2" w:rsidRDefault="00D965D1" w:rsidP="00D965D1">
      <w:pPr>
        <w:pStyle w:val="Endtext"/>
        <w:rPr>
          <w:lang w:val="en-US" w:eastAsia="zh-CN"/>
        </w:rPr>
      </w:pPr>
      <w:r w:rsidRPr="00F72312">
        <w:rPr>
          <w:rFonts w:hint="eastAsia"/>
          <w:lang w:eastAsia="zh-CN"/>
        </w:rPr>
        <w:t>参阅</w:t>
      </w:r>
      <w:r>
        <w:rPr>
          <w:rFonts w:hint="eastAsia"/>
          <w:lang w:eastAsia="zh-CN"/>
        </w:rPr>
        <w:t>：</w:t>
      </w:r>
      <w:r w:rsidRPr="00F72312">
        <w:rPr>
          <w:rFonts w:hint="eastAsia"/>
          <w:iCs w:val="0"/>
          <w:lang w:eastAsia="zh-CN"/>
        </w:rPr>
        <w:tab/>
      </w:r>
      <w:hyperlink r:id="rId216" w:history="1">
        <w:r w:rsidRPr="009D46CC">
          <w:rPr>
            <w:rStyle w:val="Hyperlink"/>
            <w:lang w:val="fr-FR" w:eastAsia="zh-CN"/>
          </w:rPr>
          <w:t>C1</w:t>
        </w:r>
        <w:r>
          <w:rPr>
            <w:rStyle w:val="Hyperlink"/>
            <w:lang w:val="fr-FR" w:eastAsia="zh-CN"/>
          </w:rPr>
          <w:t>6</w:t>
        </w:r>
        <w:r w:rsidRPr="009D46CC">
          <w:rPr>
            <w:rStyle w:val="Hyperlink"/>
            <w:lang w:val="fr-FR" w:eastAsia="zh-CN"/>
          </w:rPr>
          <w:t>/122</w:t>
        </w:r>
      </w:hyperlink>
      <w:r>
        <w:rPr>
          <w:rFonts w:hint="eastAsia"/>
          <w:lang w:val="fr-FR" w:eastAsia="zh-CN"/>
        </w:rPr>
        <w:t>和</w:t>
      </w:r>
      <w:hyperlink r:id="rId217" w:history="1">
        <w:r w:rsidRPr="009D46CC">
          <w:rPr>
            <w:rStyle w:val="Hyperlink"/>
            <w:lang w:val="fr-FR" w:eastAsia="zh-CN"/>
          </w:rPr>
          <w:t>C1</w:t>
        </w:r>
        <w:r>
          <w:rPr>
            <w:rStyle w:val="Hyperlink"/>
            <w:lang w:val="fr-FR" w:eastAsia="zh-CN"/>
          </w:rPr>
          <w:t>6</w:t>
        </w:r>
        <w:r w:rsidRPr="009D46CC">
          <w:rPr>
            <w:rStyle w:val="Hyperlink"/>
            <w:lang w:val="fr-FR" w:eastAsia="zh-CN"/>
          </w:rPr>
          <w:t>/1</w:t>
        </w:r>
        <w:r>
          <w:rPr>
            <w:rStyle w:val="Hyperlink"/>
            <w:lang w:val="fr-FR" w:eastAsia="zh-CN"/>
          </w:rPr>
          <w:t>41</w:t>
        </w:r>
      </w:hyperlink>
      <w:r>
        <w:rPr>
          <w:rFonts w:hint="eastAsia"/>
          <w:lang w:val="en-US" w:eastAsia="zh-CN"/>
        </w:rPr>
        <w:t>号</w:t>
      </w:r>
      <w:r>
        <w:rPr>
          <w:lang w:val="en-US" w:eastAsia="zh-CN"/>
        </w:rPr>
        <w:t>文件。</w:t>
      </w:r>
    </w:p>
    <w:p w14:paraId="4827B219" w14:textId="77777777" w:rsidR="00793F78" w:rsidRDefault="00793F78" w:rsidP="00793F78">
      <w:pPr>
        <w:jc w:val="center"/>
        <w:rPr>
          <w:lang w:eastAsia="zh-CN"/>
        </w:rPr>
      </w:pPr>
      <w:r>
        <w:rPr>
          <w:lang w:eastAsia="zh-CN"/>
        </w:rPr>
        <w:t>______________</w:t>
      </w:r>
    </w:p>
    <w:p w14:paraId="4827B21A" w14:textId="77777777" w:rsidR="00D965D1" w:rsidRDefault="00D965D1" w:rsidP="002F3C26">
      <w:pPr>
        <w:jc w:val="left"/>
        <w:rPr>
          <w:lang w:eastAsia="zh-CN"/>
        </w:rPr>
      </w:pPr>
    </w:p>
    <w:p w14:paraId="4827B21B" w14:textId="77777777" w:rsidR="003C22D4" w:rsidRDefault="003C22D4" w:rsidP="002F3C26">
      <w:pPr>
        <w:jc w:val="left"/>
        <w:rPr>
          <w:lang w:eastAsia="zh-CN"/>
        </w:rPr>
      </w:pPr>
    </w:p>
    <w:p w14:paraId="4827B21C" w14:textId="77777777" w:rsidR="00F11D1D" w:rsidRPr="00793F78" w:rsidRDefault="00F11D1D" w:rsidP="002F3C26">
      <w:pPr>
        <w:spacing w:before="60"/>
        <w:jc w:val="left"/>
        <w:rPr>
          <w:szCs w:val="24"/>
          <w:lang w:eastAsia="zh-CN"/>
        </w:rPr>
      </w:pPr>
    </w:p>
    <w:p w14:paraId="4827B21D" w14:textId="77777777" w:rsidR="003F42D6" w:rsidRPr="00D746C3" w:rsidRDefault="003F42D6" w:rsidP="002F3C26">
      <w:pPr>
        <w:rPr>
          <w:lang w:eastAsia="zh-CN"/>
        </w:rPr>
        <w:sectPr w:rsidR="003F42D6" w:rsidRPr="00D746C3" w:rsidSect="00E07F98">
          <w:headerReference w:type="even" r:id="rId218"/>
          <w:headerReference w:type="default" r:id="rId219"/>
          <w:footerReference w:type="default" r:id="rId220"/>
          <w:headerReference w:type="first" r:id="rId221"/>
          <w:footnotePr>
            <w:pos w:val="beneathText"/>
          </w:footnotePr>
          <w:endnotePr>
            <w:numFmt w:val="decimal"/>
          </w:endnotePr>
          <w:pgSz w:w="11907" w:h="16840" w:code="9"/>
          <w:pgMar w:top="1418" w:right="1134" w:bottom="1134" w:left="1134" w:header="737" w:footer="567" w:gutter="284"/>
          <w:cols w:space="720"/>
          <w:vAlign w:val="both"/>
          <w:titlePg/>
        </w:sectPr>
      </w:pPr>
    </w:p>
    <w:p w14:paraId="4827B21E" w14:textId="77777777" w:rsidR="00F11D1D" w:rsidRPr="0077192A" w:rsidRDefault="00F11D1D" w:rsidP="007672B3">
      <w:pPr>
        <w:pStyle w:val="Chaptitle"/>
        <w:rPr>
          <w:lang w:eastAsia="zh-CN"/>
        </w:rPr>
      </w:pPr>
      <w:bookmarkStart w:id="1386" w:name="_Toc81880076"/>
      <w:bookmarkStart w:id="1387" w:name="_Toc161224031"/>
      <w:bookmarkStart w:id="1388" w:name="_Toc161732077"/>
      <w:bookmarkStart w:id="1389" w:name="_Toc161741004"/>
      <w:bookmarkStart w:id="1390" w:name="_Toc185237677"/>
      <w:bookmarkStart w:id="1391" w:name="_Toc311469594"/>
      <w:bookmarkStart w:id="1392" w:name="_Toc424117003"/>
      <w:bookmarkStart w:id="1393" w:name="_Toc531706354"/>
      <w:bookmarkStart w:id="1394" w:name="_Toc531706951"/>
      <w:bookmarkStart w:id="1395" w:name="_Toc531768441"/>
      <w:bookmarkStart w:id="1396" w:name="_Toc16085761"/>
      <w:bookmarkStart w:id="1397" w:name="_Toc86395564"/>
      <w:r w:rsidRPr="0077192A">
        <w:rPr>
          <w:lang w:eastAsia="zh-CN"/>
        </w:rPr>
        <w:lastRenderedPageBreak/>
        <w:t>2.4</w:t>
      </w:r>
      <w:r w:rsidRPr="0077192A">
        <w:rPr>
          <w:lang w:eastAsia="zh-CN"/>
        </w:rPr>
        <w:tab/>
      </w:r>
      <w:bookmarkEnd w:id="1386"/>
      <w:r w:rsidR="00F13B79" w:rsidRPr="0077192A">
        <w:rPr>
          <w:rFonts w:hint="eastAsia"/>
          <w:lang w:eastAsia="zh-CN"/>
        </w:rPr>
        <w:t>其它人事事宜</w:t>
      </w:r>
      <w:bookmarkEnd w:id="1387"/>
      <w:bookmarkEnd w:id="1388"/>
      <w:bookmarkEnd w:id="1389"/>
      <w:bookmarkEnd w:id="1390"/>
      <w:bookmarkEnd w:id="1391"/>
      <w:bookmarkEnd w:id="1392"/>
      <w:bookmarkEnd w:id="1393"/>
      <w:bookmarkEnd w:id="1394"/>
      <w:bookmarkEnd w:id="1395"/>
      <w:bookmarkEnd w:id="1396"/>
      <w:bookmarkEnd w:id="1397"/>
    </w:p>
    <w:p w14:paraId="4827B21F" w14:textId="77777777" w:rsidR="002F3C26" w:rsidRPr="002F3C26" w:rsidRDefault="00F13B79" w:rsidP="00A75FB5">
      <w:pPr>
        <w:pStyle w:val="ResNo"/>
        <w:outlineLvl w:val="0"/>
        <w:rPr>
          <w:lang w:eastAsia="zh-CN"/>
        </w:rPr>
      </w:pPr>
      <w:bookmarkStart w:id="1398" w:name="_Toc424117004"/>
      <w:bookmarkStart w:id="1399" w:name="_Toc531706355"/>
      <w:bookmarkStart w:id="1400" w:name="_Toc531706952"/>
      <w:bookmarkStart w:id="1401" w:name="_Toc531768442"/>
      <w:bookmarkStart w:id="1402" w:name="_Toc16085762"/>
      <w:bookmarkStart w:id="1403" w:name="_Toc86395565"/>
      <w:bookmarkStart w:id="1404" w:name="_Toc161224032"/>
      <w:bookmarkStart w:id="1405" w:name="_Toc161732078"/>
      <w:bookmarkStart w:id="1406" w:name="_Toc161741005"/>
      <w:bookmarkStart w:id="1407" w:name="_Toc185237678"/>
      <w:bookmarkStart w:id="1408" w:name="_Toc311469595"/>
      <w:r w:rsidRPr="002F3C26">
        <w:rPr>
          <w:rFonts w:hint="eastAsia"/>
          <w:lang w:eastAsia="zh-CN"/>
        </w:rPr>
        <w:t>第</w:t>
      </w:r>
      <w:r w:rsidRPr="002F3C26">
        <w:rPr>
          <w:lang w:eastAsia="zh-CN"/>
        </w:rPr>
        <w:t>105</w:t>
      </w:r>
      <w:r w:rsidRPr="002F3C26">
        <w:rPr>
          <w:rFonts w:hint="eastAsia"/>
          <w:lang w:eastAsia="zh-CN"/>
        </w:rPr>
        <w:t>号决议</w:t>
      </w:r>
      <w:r w:rsidR="002F3C26">
        <w:rPr>
          <w:rFonts w:hint="eastAsia"/>
          <w:lang w:eastAsia="zh-CN"/>
        </w:rPr>
        <w:t>（</w:t>
      </w:r>
      <w:r w:rsidR="002F3C26" w:rsidRPr="002F3C26">
        <w:rPr>
          <w:lang w:eastAsia="zh-CN"/>
        </w:rPr>
        <w:t>C-1948</w:t>
      </w:r>
      <w:r w:rsidR="002F3C26" w:rsidRPr="002F3C26">
        <w:rPr>
          <w:rFonts w:hint="eastAsia"/>
          <w:lang w:eastAsia="zh-CN"/>
        </w:rPr>
        <w:t>，最后修正</w:t>
      </w:r>
      <w:r w:rsidR="002F3C26" w:rsidRPr="002F3C26">
        <w:rPr>
          <w:lang w:eastAsia="zh-CN"/>
        </w:rPr>
        <w:t>C-1952</w:t>
      </w:r>
      <w:r w:rsidR="002F3C26">
        <w:rPr>
          <w:rFonts w:hint="eastAsia"/>
          <w:lang w:eastAsia="zh-CN"/>
        </w:rPr>
        <w:t>）</w:t>
      </w:r>
      <w:bookmarkEnd w:id="1398"/>
      <w:bookmarkEnd w:id="1399"/>
      <w:bookmarkEnd w:id="1400"/>
      <w:bookmarkEnd w:id="1401"/>
      <w:bookmarkEnd w:id="1402"/>
      <w:bookmarkEnd w:id="1403"/>
    </w:p>
    <w:p w14:paraId="4827B220" w14:textId="77777777" w:rsidR="00F13B79" w:rsidRPr="002F3C26" w:rsidRDefault="00F13B79" w:rsidP="002F3C26">
      <w:pPr>
        <w:pStyle w:val="Restitle"/>
        <w:rPr>
          <w:lang w:eastAsia="zh-CN"/>
        </w:rPr>
      </w:pPr>
      <w:bookmarkStart w:id="1409" w:name="_Toc424116226"/>
      <w:bookmarkStart w:id="1410" w:name="_Toc424117005"/>
      <w:bookmarkStart w:id="1411" w:name="_Toc460248118"/>
      <w:bookmarkStart w:id="1412" w:name="_Toc531706356"/>
      <w:bookmarkStart w:id="1413" w:name="_Toc531706953"/>
      <w:bookmarkStart w:id="1414" w:name="_Toc531768443"/>
      <w:bookmarkStart w:id="1415" w:name="_Toc16085763"/>
      <w:bookmarkStart w:id="1416" w:name="_Toc86395566"/>
      <w:r w:rsidRPr="002F3C26">
        <w:rPr>
          <w:rFonts w:hint="eastAsia"/>
          <w:lang w:eastAsia="zh-CN"/>
        </w:rPr>
        <w:t>向国际电联官员发放联合国通行证</w:t>
      </w:r>
      <w:bookmarkEnd w:id="1404"/>
      <w:bookmarkEnd w:id="1405"/>
      <w:bookmarkEnd w:id="1406"/>
      <w:bookmarkEnd w:id="1407"/>
      <w:bookmarkEnd w:id="1408"/>
      <w:bookmarkEnd w:id="1409"/>
      <w:bookmarkEnd w:id="1410"/>
      <w:bookmarkEnd w:id="1411"/>
      <w:bookmarkEnd w:id="1412"/>
      <w:bookmarkEnd w:id="1413"/>
      <w:bookmarkEnd w:id="1414"/>
      <w:bookmarkEnd w:id="1415"/>
      <w:bookmarkEnd w:id="1416"/>
    </w:p>
    <w:p w14:paraId="4827B221" w14:textId="77777777" w:rsidR="00F13B79" w:rsidRPr="00364022" w:rsidRDefault="00F13B79" w:rsidP="00364022">
      <w:pPr>
        <w:pStyle w:val="Normalaftertitle"/>
        <w:rPr>
          <w:lang w:eastAsia="zh-CN"/>
        </w:rPr>
      </w:pPr>
      <w:r w:rsidRPr="00364022">
        <w:rPr>
          <w:rFonts w:hint="eastAsia"/>
          <w:lang w:eastAsia="zh-CN"/>
        </w:rPr>
        <w:t>理事会</w:t>
      </w:r>
      <w:r w:rsidR="00C519E7" w:rsidRPr="00364022">
        <w:rPr>
          <w:rFonts w:hint="eastAsia"/>
          <w:lang w:eastAsia="zh-CN"/>
        </w:rPr>
        <w:t>，</w:t>
      </w:r>
    </w:p>
    <w:p w14:paraId="4827B222" w14:textId="77777777" w:rsidR="00F13B79" w:rsidRDefault="00F13B79" w:rsidP="002F3C26">
      <w:pPr>
        <w:ind w:firstLineChars="200" w:firstLine="480"/>
        <w:rPr>
          <w:lang w:eastAsia="zh-CN"/>
        </w:rPr>
      </w:pPr>
      <w:r>
        <w:rPr>
          <w:rFonts w:eastAsia="STKaiti" w:hint="eastAsia"/>
          <w:lang w:eastAsia="zh-CN"/>
        </w:rPr>
        <w:t>经审议</w:t>
      </w:r>
      <w:r>
        <w:rPr>
          <w:rFonts w:hint="eastAsia"/>
          <w:lang w:eastAsia="zh-CN"/>
        </w:rPr>
        <w:t>国际电联秘书长与联合国秘书长就向国际电联官员发放联合国通行证所应遵循的程序达成的安排，该安排已经其第三次会议批准</w:t>
      </w:r>
      <w:r w:rsidR="00C519E7">
        <w:rPr>
          <w:rFonts w:hint="eastAsia"/>
          <w:lang w:eastAsia="zh-CN"/>
        </w:rPr>
        <w:t>，</w:t>
      </w:r>
    </w:p>
    <w:p w14:paraId="4827B223" w14:textId="77777777" w:rsidR="00F13B79" w:rsidRDefault="00F13B79" w:rsidP="002F3C26">
      <w:pPr>
        <w:ind w:firstLineChars="200" w:firstLine="480"/>
        <w:rPr>
          <w:lang w:eastAsia="zh-CN"/>
        </w:rPr>
      </w:pPr>
      <w:r>
        <w:rPr>
          <w:rFonts w:eastAsia="STKaiti" w:hint="eastAsia"/>
          <w:lang w:eastAsia="zh-CN"/>
        </w:rPr>
        <w:t>考虑到</w:t>
      </w:r>
      <w:r w:rsidRPr="009A54EF">
        <w:rPr>
          <w:rFonts w:hint="eastAsia"/>
          <w:lang w:eastAsia="zh-CN"/>
        </w:rPr>
        <w:t>方便的做法是</w:t>
      </w:r>
      <w:r>
        <w:rPr>
          <w:rFonts w:hint="eastAsia"/>
          <w:lang w:eastAsia="zh-CN"/>
        </w:rPr>
        <w:t>将该安排视为永久性安排，除非任何一方提前六个月提出废约要求，</w:t>
      </w:r>
    </w:p>
    <w:p w14:paraId="4827B224" w14:textId="77777777" w:rsidR="00F13B79" w:rsidRPr="00050CE0" w:rsidRDefault="00F13B79" w:rsidP="00B64353">
      <w:pPr>
        <w:pStyle w:val="call0"/>
        <w:rPr>
          <w:rFonts w:ascii="STKaiti" w:hAnsi="STKaiti"/>
          <w:i/>
          <w:iCs/>
          <w:szCs w:val="22"/>
          <w:lang w:eastAsia="zh-CN"/>
        </w:rPr>
      </w:pPr>
      <w:r w:rsidRPr="00050CE0">
        <w:rPr>
          <w:rFonts w:ascii="STKaiti" w:hAnsi="STKaiti" w:hint="eastAsia"/>
          <w:iCs/>
          <w:szCs w:val="22"/>
          <w:lang w:eastAsia="zh-CN"/>
        </w:rPr>
        <w:t>做出决议</w:t>
      </w:r>
    </w:p>
    <w:p w14:paraId="4827B225" w14:textId="77777777" w:rsidR="00F13B79" w:rsidRDefault="00F13B79" w:rsidP="00B64353">
      <w:pPr>
        <w:spacing w:before="100" w:line="320" w:lineRule="atLeast"/>
        <w:rPr>
          <w:lang w:eastAsia="zh-CN"/>
        </w:rPr>
      </w:pPr>
      <w:r>
        <w:rPr>
          <w:lang w:eastAsia="zh-CN"/>
        </w:rPr>
        <w:t>1</w:t>
      </w:r>
      <w:r w:rsidR="00BC233A">
        <w:rPr>
          <w:lang w:eastAsia="zh-CN"/>
        </w:rPr>
        <w:tab/>
      </w:r>
      <w:r>
        <w:rPr>
          <w:rFonts w:hint="eastAsia"/>
          <w:lang w:eastAsia="zh-CN"/>
        </w:rPr>
        <w:t>批准该安排的下述新案文</w:t>
      </w:r>
      <w:r w:rsidR="00F72312">
        <w:rPr>
          <w:rFonts w:hint="eastAsia"/>
          <w:lang w:eastAsia="zh-CN"/>
        </w:rPr>
        <w:t>；</w:t>
      </w:r>
    </w:p>
    <w:p w14:paraId="4827B226" w14:textId="77777777" w:rsidR="00F13B79" w:rsidRDefault="00F13B79" w:rsidP="00B64353">
      <w:pPr>
        <w:spacing w:before="100" w:line="320" w:lineRule="atLeast"/>
        <w:rPr>
          <w:lang w:eastAsia="zh-CN"/>
        </w:rPr>
      </w:pPr>
      <w:r>
        <w:rPr>
          <w:lang w:eastAsia="zh-CN"/>
        </w:rPr>
        <w:t>2</w:t>
      </w:r>
      <w:r w:rsidR="00BC233A">
        <w:rPr>
          <w:lang w:eastAsia="zh-CN"/>
        </w:rPr>
        <w:tab/>
      </w:r>
      <w:r>
        <w:rPr>
          <w:rFonts w:hint="eastAsia"/>
          <w:lang w:eastAsia="zh-CN"/>
        </w:rPr>
        <w:t>秘书长可为总秘书处、国际频登会、或两个国际咨询委员会的任何（长期、临时或超编）官员因公出差或</w:t>
      </w:r>
      <w:r w:rsidR="00BF47AA">
        <w:rPr>
          <w:rFonts w:hint="eastAsia"/>
          <w:lang w:eastAsia="zh-CN"/>
        </w:rPr>
        <w:t>度</w:t>
      </w:r>
      <w:r>
        <w:rPr>
          <w:rFonts w:hint="eastAsia"/>
          <w:lang w:eastAsia="zh-CN"/>
        </w:rPr>
        <w:t>假申请通行证。</w:t>
      </w:r>
    </w:p>
    <w:p w14:paraId="4827B227" w14:textId="77777777" w:rsidR="00F13B79" w:rsidRPr="005D3194" w:rsidRDefault="00F13B79" w:rsidP="00B64353">
      <w:pPr>
        <w:tabs>
          <w:tab w:val="clear" w:pos="794"/>
          <w:tab w:val="clear" w:pos="1191"/>
          <w:tab w:val="left" w:pos="1276"/>
        </w:tabs>
        <w:spacing w:before="240" w:after="240" w:line="320" w:lineRule="atLeast"/>
        <w:jc w:val="center"/>
        <w:rPr>
          <w:szCs w:val="24"/>
          <w:lang w:eastAsia="zh-CN"/>
        </w:rPr>
      </w:pPr>
      <w:r w:rsidRPr="005D3194">
        <w:rPr>
          <w:rFonts w:hint="eastAsia"/>
          <w:szCs w:val="24"/>
          <w:lang w:eastAsia="zh-CN"/>
        </w:rPr>
        <w:t>关于向国际电联官员发放联合国通行证问题的安排</w:t>
      </w:r>
    </w:p>
    <w:p w14:paraId="4827B228" w14:textId="77777777" w:rsidR="00F13B79" w:rsidRDefault="002228B0" w:rsidP="00B64353">
      <w:pPr>
        <w:rPr>
          <w:lang w:eastAsia="zh-CN"/>
        </w:rPr>
      </w:pPr>
      <w:r>
        <w:rPr>
          <w:rFonts w:hint="eastAsia"/>
          <w:lang w:eastAsia="zh-CN"/>
        </w:rPr>
        <w:t>一、</w:t>
      </w:r>
      <w:r w:rsidR="00F13B79">
        <w:rPr>
          <w:lang w:eastAsia="zh-CN"/>
        </w:rPr>
        <w:tab/>
      </w:r>
      <w:r w:rsidR="00F13B79">
        <w:rPr>
          <w:rFonts w:hint="eastAsia"/>
          <w:lang w:eastAsia="zh-CN"/>
        </w:rPr>
        <w:t>联合国秘书处将根据以下条件向国际电信联盟官员发放联合国通行证：</w:t>
      </w:r>
    </w:p>
    <w:p w14:paraId="4827B229" w14:textId="77777777" w:rsidR="00F13B79" w:rsidRDefault="00F13B79" w:rsidP="000418CD">
      <w:pPr>
        <w:pStyle w:val="enumlev1"/>
        <w:rPr>
          <w:lang w:eastAsia="zh-CN"/>
        </w:rPr>
      </w:pPr>
      <w:r>
        <w:rPr>
          <w:lang w:eastAsia="zh-CN"/>
        </w:rPr>
        <w:t>1</w:t>
      </w:r>
      <w:r w:rsidR="00BC233A">
        <w:rPr>
          <w:lang w:eastAsia="zh-CN"/>
        </w:rPr>
        <w:tab/>
      </w:r>
      <w:r>
        <w:rPr>
          <w:rFonts w:hint="eastAsia"/>
          <w:lang w:eastAsia="zh-CN"/>
        </w:rPr>
        <w:t>除当地招聘的、按小时支付薪酬的人员外，国际电信联盟的所有人员均被视为第一节中所指的国际电信联盟的官员。</w:t>
      </w:r>
    </w:p>
    <w:p w14:paraId="4827B22A" w14:textId="77777777" w:rsidR="00F13B79" w:rsidRDefault="00F13B79" w:rsidP="000418CD">
      <w:pPr>
        <w:pStyle w:val="enumlev1"/>
        <w:rPr>
          <w:lang w:eastAsia="zh-CN"/>
        </w:rPr>
      </w:pPr>
      <w:r>
        <w:rPr>
          <w:lang w:eastAsia="zh-CN"/>
        </w:rPr>
        <w:t>2</w:t>
      </w:r>
      <w:r w:rsidR="00BC233A">
        <w:rPr>
          <w:lang w:eastAsia="zh-CN"/>
        </w:rPr>
        <w:tab/>
      </w:r>
      <w:r>
        <w:rPr>
          <w:rFonts w:hint="eastAsia"/>
          <w:lang w:eastAsia="zh-CN"/>
        </w:rPr>
        <w:t>联合国通行证的申请应由国际电信联盟秘书长或其指定的人员提出。该申请应说明该官员是因公出差还是回国探亲，申请应附带以下文件：</w:t>
      </w:r>
    </w:p>
    <w:p w14:paraId="4827B22B" w14:textId="77777777" w:rsidR="00F13B79" w:rsidRPr="003526EF" w:rsidRDefault="00F13B79" w:rsidP="000418CD">
      <w:pPr>
        <w:pStyle w:val="enumlev2"/>
        <w:rPr>
          <w:lang w:eastAsia="zh-CN"/>
        </w:rPr>
      </w:pPr>
      <w:r w:rsidRPr="003526EF">
        <w:rPr>
          <w:lang w:eastAsia="zh-CN"/>
        </w:rPr>
        <w:t>a</w:t>
      </w:r>
      <w:r w:rsidR="000E6A83" w:rsidRPr="003526EF">
        <w:rPr>
          <w:lang w:eastAsia="zh-CN"/>
        </w:rPr>
        <w:t>)</w:t>
      </w:r>
      <w:r w:rsidR="000E6A83" w:rsidRPr="003526EF">
        <w:rPr>
          <w:lang w:eastAsia="zh-CN"/>
        </w:rPr>
        <w:tab/>
      </w:r>
      <w:r w:rsidRPr="003526EF">
        <w:rPr>
          <w:rFonts w:hint="eastAsia"/>
          <w:lang w:eastAsia="zh-CN"/>
        </w:rPr>
        <w:t>一份申请通行证的官员填写并签名的表格，并应经国际电信联盟秘书长或其指定代表审查并认定其内容准确无误；</w:t>
      </w:r>
    </w:p>
    <w:p w14:paraId="4827B22C" w14:textId="77777777" w:rsidR="00F13B79" w:rsidRPr="003526EF" w:rsidRDefault="00F13B79" w:rsidP="000418CD">
      <w:pPr>
        <w:pStyle w:val="enumlev2"/>
      </w:pPr>
      <w:r w:rsidRPr="003526EF">
        <w:t>b</w:t>
      </w:r>
      <w:r w:rsidR="000E6A83" w:rsidRPr="003526EF">
        <w:t>)</w:t>
      </w:r>
      <w:r w:rsidR="000E6A83" w:rsidRPr="003526EF">
        <w:tab/>
      </w:r>
      <w:r w:rsidRPr="003526EF">
        <w:rPr>
          <w:rFonts w:hint="eastAsia"/>
        </w:rPr>
        <w:t>申请人的两张照片。</w:t>
      </w:r>
    </w:p>
    <w:p w14:paraId="4827B22D" w14:textId="77777777" w:rsidR="00F13B79" w:rsidRDefault="00F13B79" w:rsidP="000418CD">
      <w:pPr>
        <w:pStyle w:val="enumlev1"/>
        <w:rPr>
          <w:lang w:eastAsia="zh-CN"/>
        </w:rPr>
      </w:pPr>
      <w:r>
        <w:t>3</w:t>
      </w:r>
      <w:r w:rsidR="00BC233A">
        <w:tab/>
      </w:r>
      <w:r>
        <w:rPr>
          <w:rFonts w:hint="eastAsia"/>
          <w:lang w:eastAsia="zh-CN"/>
        </w:rPr>
        <w:t>应向护照和签证科</w:t>
      </w:r>
      <w:r>
        <w:t>（</w:t>
      </w:r>
      <w:r>
        <w:t>Transportation Service of the United</w:t>
      </w:r>
      <w:r>
        <w:rPr>
          <w:lang w:eastAsia="zh-CN"/>
        </w:rPr>
        <w:t xml:space="preserve"> N</w:t>
      </w:r>
      <w:r>
        <w:t xml:space="preserve">ations, </w:t>
      </w:r>
      <w:smartTag w:uri="urn:schemas-microsoft-com:office:smarttags" w:element="address">
        <w:smartTag w:uri="urn:schemas-microsoft-com:office:smarttags" w:element="Street">
          <w:r>
            <w:t>405</w:t>
          </w:r>
          <w:r>
            <w:rPr>
              <w:lang w:eastAsia="zh-CN"/>
            </w:rPr>
            <w:t xml:space="preserve"> E</w:t>
          </w:r>
          <w:r>
            <w:t>ast 42nd Street</w:t>
          </w:r>
        </w:smartTag>
        <w:r>
          <w:t xml:space="preserve">, </w:t>
        </w:r>
        <w:smartTag w:uri="urn:schemas-microsoft-com:office:smarttags" w:element="PlaceName">
          <w:smartTag w:uri="urn:schemas-microsoft-com:office:smarttags" w:element="City">
            <w:r>
              <w:t>New</w:t>
            </w:r>
            <w:r>
              <w:rPr>
                <w:lang w:eastAsia="zh-CN"/>
              </w:rPr>
              <w:t xml:space="preserve"> Y</w:t>
            </w:r>
            <w:r>
              <w:t>ork</w:t>
            </w:r>
          </w:smartTag>
        </w:smartTag>
      </w:smartTag>
      <w:r>
        <w:t>, NY</w:t>
      </w:r>
      <w:r>
        <w:t>）</w:t>
      </w:r>
      <w:r>
        <w:rPr>
          <w:rFonts w:hint="eastAsia"/>
          <w:lang w:eastAsia="zh-CN"/>
        </w:rPr>
        <w:t>提交通行证的申请。但如遇紧急情况，可向联合国驻日内瓦办事处提交申请。该处在此情况下可颁发通行证。</w:t>
      </w:r>
    </w:p>
    <w:p w14:paraId="4827B22E" w14:textId="77777777" w:rsidR="00F13B79" w:rsidRDefault="00F13B79" w:rsidP="000418CD">
      <w:pPr>
        <w:pStyle w:val="enumlev1"/>
        <w:rPr>
          <w:lang w:eastAsia="zh-CN"/>
        </w:rPr>
      </w:pPr>
      <w:r>
        <w:rPr>
          <w:lang w:eastAsia="zh-CN"/>
        </w:rPr>
        <w:t>4</w:t>
      </w:r>
      <w:r w:rsidR="00BC233A">
        <w:rPr>
          <w:lang w:eastAsia="zh-CN"/>
        </w:rPr>
        <w:tab/>
      </w:r>
      <w:r>
        <w:rPr>
          <w:rFonts w:hint="eastAsia"/>
          <w:lang w:eastAsia="zh-CN"/>
        </w:rPr>
        <w:t>国际电信联盟秘书长应向联合国护照和签证科</w:t>
      </w:r>
      <w:r>
        <w:rPr>
          <w:lang w:eastAsia="zh-CN"/>
        </w:rPr>
        <w:t>（</w:t>
      </w:r>
      <w:r>
        <w:rPr>
          <w:lang w:eastAsia="zh-CN"/>
        </w:rPr>
        <w:t>Transportation Service of the United Nations</w:t>
      </w:r>
      <w:r>
        <w:rPr>
          <w:lang w:eastAsia="zh-CN"/>
        </w:rPr>
        <w:t>）</w:t>
      </w:r>
      <w:r>
        <w:rPr>
          <w:rFonts w:hint="eastAsia"/>
          <w:lang w:eastAsia="zh-CN"/>
        </w:rPr>
        <w:t>提供将获授权认定第</w:t>
      </w:r>
      <w:r>
        <w:rPr>
          <w:lang w:eastAsia="zh-CN"/>
        </w:rPr>
        <w:t>3</w:t>
      </w:r>
      <w:r>
        <w:rPr>
          <w:rFonts w:hint="eastAsia"/>
          <w:lang w:eastAsia="zh-CN"/>
        </w:rPr>
        <w:t>节所述申请表格中内容准确无误的官员的签名样本。</w:t>
      </w:r>
    </w:p>
    <w:p w14:paraId="4827B22F" w14:textId="77777777" w:rsidR="003C22D4" w:rsidRDefault="003C22D4">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230" w14:textId="77777777" w:rsidR="00F13B79" w:rsidRDefault="00F13B79" w:rsidP="000418CD">
      <w:pPr>
        <w:pStyle w:val="enumlev1"/>
        <w:rPr>
          <w:lang w:eastAsia="zh-CN"/>
        </w:rPr>
      </w:pPr>
      <w:r>
        <w:rPr>
          <w:lang w:eastAsia="zh-CN"/>
        </w:rPr>
        <w:lastRenderedPageBreak/>
        <w:t>5</w:t>
      </w:r>
      <w:r w:rsidR="00BC233A">
        <w:rPr>
          <w:lang w:eastAsia="zh-CN"/>
        </w:rPr>
        <w:tab/>
      </w:r>
      <w:r>
        <w:rPr>
          <w:rFonts w:hint="eastAsia"/>
          <w:lang w:eastAsia="zh-CN"/>
        </w:rPr>
        <w:t>向国际电信联盟官员颁发联合国通行证时还需遵守其它可能适用于向联合国官员颁发通行证的条件。</w:t>
      </w:r>
    </w:p>
    <w:p w14:paraId="4827B231" w14:textId="77777777" w:rsidR="00F13B79" w:rsidRDefault="00F13B79" w:rsidP="000418CD">
      <w:pPr>
        <w:pStyle w:val="enumlev1"/>
        <w:rPr>
          <w:lang w:eastAsia="zh-CN"/>
        </w:rPr>
      </w:pPr>
      <w:r>
        <w:rPr>
          <w:lang w:eastAsia="zh-CN"/>
        </w:rPr>
        <w:tab/>
      </w:r>
      <w:r>
        <w:rPr>
          <w:rFonts w:hint="eastAsia"/>
          <w:lang w:eastAsia="zh-CN"/>
        </w:rPr>
        <w:t>联合国秘书长将立即将这些条件告知国际电信联盟秘书长。</w:t>
      </w:r>
    </w:p>
    <w:p w14:paraId="4827B232" w14:textId="77777777" w:rsidR="00F13B79" w:rsidRDefault="00F13B79" w:rsidP="000418CD">
      <w:pPr>
        <w:pStyle w:val="enumlev1"/>
        <w:rPr>
          <w:lang w:eastAsia="zh-CN"/>
        </w:rPr>
      </w:pPr>
      <w:r>
        <w:rPr>
          <w:lang w:eastAsia="zh-CN"/>
        </w:rPr>
        <w:t>6</w:t>
      </w:r>
      <w:r w:rsidR="00BC233A">
        <w:rPr>
          <w:lang w:eastAsia="zh-CN"/>
        </w:rPr>
        <w:tab/>
      </w:r>
      <w:r>
        <w:rPr>
          <w:rFonts w:hint="eastAsia"/>
          <w:lang w:eastAsia="zh-CN"/>
        </w:rPr>
        <w:t>向国际电信联盟官员颁发的通行证将注明官员的级别。通行证将包括一份以五种语言书写的声明，大意为，根据《联合国特权与豁免公约》第</w:t>
      </w:r>
      <w:r>
        <w:rPr>
          <w:lang w:eastAsia="zh-CN"/>
        </w:rPr>
        <w:t>28</w:t>
      </w:r>
      <w:r>
        <w:rPr>
          <w:rFonts w:hint="eastAsia"/>
          <w:lang w:eastAsia="zh-CN"/>
        </w:rPr>
        <w:t>节以及建立该组织与联合国关系的协议的相关章节，向某一专门机构的人员颁发该通行证。</w:t>
      </w:r>
    </w:p>
    <w:p w14:paraId="4827B233" w14:textId="77777777" w:rsidR="00F13B79" w:rsidRDefault="00F13B79" w:rsidP="000418CD">
      <w:pPr>
        <w:pStyle w:val="enumlev1"/>
        <w:rPr>
          <w:lang w:eastAsia="zh-CN"/>
        </w:rPr>
      </w:pPr>
      <w:r>
        <w:rPr>
          <w:lang w:eastAsia="zh-CN"/>
        </w:rPr>
        <w:t>7</w:t>
      </w:r>
      <w:r w:rsidR="00BC233A">
        <w:rPr>
          <w:lang w:eastAsia="zh-CN"/>
        </w:rPr>
        <w:tab/>
      </w:r>
      <w:r>
        <w:rPr>
          <w:rFonts w:hint="eastAsia"/>
          <w:lang w:eastAsia="zh-CN"/>
        </w:rPr>
        <w:t>在本安排有效的前提下，应</w:t>
      </w:r>
      <w:r>
        <w:rPr>
          <w:rFonts w:ascii="SimSun" w:hAnsi="SimSun" w:hint="eastAsia"/>
          <w:lang w:eastAsia="zh-CN"/>
        </w:rPr>
        <w:t>国际电信联盟</w:t>
      </w:r>
      <w:r>
        <w:rPr>
          <w:rFonts w:hint="eastAsia"/>
          <w:lang w:eastAsia="zh-CN"/>
        </w:rPr>
        <w:t>秘书长</w:t>
      </w:r>
      <w:r>
        <w:rPr>
          <w:rFonts w:ascii="SimSun" w:hAnsi="SimSun" w:hint="eastAsia"/>
          <w:lang w:eastAsia="zh-CN"/>
        </w:rPr>
        <w:t>或其指定代表</w:t>
      </w:r>
      <w:r>
        <w:rPr>
          <w:rFonts w:hint="eastAsia"/>
          <w:lang w:eastAsia="zh-CN"/>
        </w:rPr>
        <w:t>的要求，联合国秘书长将对</w:t>
      </w:r>
      <w:r>
        <w:rPr>
          <w:rFonts w:ascii="SimSun" w:hAnsi="SimSun" w:hint="eastAsia"/>
          <w:lang w:eastAsia="zh-CN"/>
        </w:rPr>
        <w:t>颁发给国际电信联盟官员的过期的通行证予以延期。</w:t>
      </w:r>
    </w:p>
    <w:p w14:paraId="4827B234" w14:textId="77777777" w:rsidR="00F13B79" w:rsidRDefault="00F13B79" w:rsidP="000418CD">
      <w:pPr>
        <w:pStyle w:val="enumlev1"/>
        <w:rPr>
          <w:lang w:eastAsia="zh-CN"/>
        </w:rPr>
      </w:pPr>
      <w:r>
        <w:rPr>
          <w:lang w:eastAsia="zh-CN"/>
        </w:rPr>
        <w:t>8</w:t>
      </w:r>
      <w:r w:rsidR="00BC233A">
        <w:rPr>
          <w:lang w:eastAsia="zh-CN"/>
        </w:rPr>
        <w:tab/>
      </w:r>
      <w:r>
        <w:rPr>
          <w:rFonts w:hint="eastAsia"/>
          <w:lang w:eastAsia="zh-CN"/>
        </w:rPr>
        <w:t>联合国秘书处应尽快向提出申请和延期通行证的国际电信联盟的指定代表发放通行证。收到通行证后，该指定代表应通知妥收。</w:t>
      </w:r>
    </w:p>
    <w:p w14:paraId="4827B235" w14:textId="77777777" w:rsidR="00F13B79" w:rsidRDefault="00F13B79" w:rsidP="000418CD">
      <w:pPr>
        <w:pStyle w:val="enumlev1"/>
        <w:rPr>
          <w:lang w:eastAsia="zh-CN"/>
        </w:rPr>
      </w:pPr>
      <w:r>
        <w:rPr>
          <w:lang w:eastAsia="zh-CN"/>
        </w:rPr>
        <w:t>9</w:t>
      </w:r>
      <w:r w:rsidR="00BC233A">
        <w:rPr>
          <w:lang w:eastAsia="zh-CN"/>
        </w:rPr>
        <w:tab/>
      </w:r>
      <w:r>
        <w:rPr>
          <w:rFonts w:ascii="SimSun" w:hAnsi="SimSun" w:hint="eastAsia"/>
          <w:lang w:eastAsia="zh-CN"/>
        </w:rPr>
        <w:t>国际电信联盟同意采取一切必要行政措施避免通行证的丢失或失窃。</w:t>
      </w:r>
      <w:r>
        <w:rPr>
          <w:rFonts w:hint="eastAsia"/>
          <w:lang w:eastAsia="zh-CN"/>
        </w:rPr>
        <w:t>一旦出现</w:t>
      </w:r>
      <w:r>
        <w:rPr>
          <w:rFonts w:ascii="SimSun" w:hAnsi="SimSun" w:hint="eastAsia"/>
          <w:lang w:eastAsia="zh-CN"/>
        </w:rPr>
        <w:t>通行证丢失或失窃的情况，它将立即通知</w:t>
      </w:r>
      <w:r>
        <w:rPr>
          <w:rFonts w:hint="eastAsia"/>
          <w:lang w:eastAsia="zh-CN"/>
        </w:rPr>
        <w:t>护照和签证科，并说明</w:t>
      </w:r>
      <w:r>
        <w:rPr>
          <w:rFonts w:ascii="SimSun" w:hAnsi="SimSun" w:hint="eastAsia"/>
          <w:lang w:eastAsia="zh-CN"/>
        </w:rPr>
        <w:t>丢失或失窃发生时的具体情况。</w:t>
      </w:r>
    </w:p>
    <w:p w14:paraId="4827B236" w14:textId="77777777" w:rsidR="00F13B79" w:rsidRDefault="00F13B79" w:rsidP="000418CD">
      <w:pPr>
        <w:pStyle w:val="enumlev1"/>
        <w:rPr>
          <w:lang w:eastAsia="zh-CN"/>
        </w:rPr>
      </w:pPr>
      <w:r>
        <w:rPr>
          <w:lang w:eastAsia="zh-CN"/>
        </w:rPr>
        <w:t>10</w:t>
      </w:r>
      <w:r w:rsidR="00BC233A">
        <w:rPr>
          <w:lang w:eastAsia="zh-CN"/>
        </w:rPr>
        <w:tab/>
      </w:r>
      <w:r>
        <w:rPr>
          <w:rFonts w:hint="eastAsia"/>
          <w:lang w:eastAsia="zh-CN"/>
        </w:rPr>
        <w:t>如不延期，此类</w:t>
      </w:r>
      <w:r>
        <w:rPr>
          <w:rFonts w:ascii="SimSun" w:hAnsi="SimSun" w:hint="eastAsia"/>
          <w:lang w:eastAsia="zh-CN"/>
        </w:rPr>
        <w:t>通行证将在颁发日之后一年过期。国际电信联盟同意在以下情况下立即向联合国交回发给其官员的所有通行证：</w:t>
      </w:r>
    </w:p>
    <w:p w14:paraId="4827B237" w14:textId="77777777" w:rsidR="00F13B79" w:rsidRDefault="00F13B79" w:rsidP="00B64353">
      <w:pPr>
        <w:pStyle w:val="enumlev2"/>
        <w:tabs>
          <w:tab w:val="left" w:pos="1206"/>
        </w:tabs>
        <w:ind w:left="1620" w:hanging="810"/>
        <w:rPr>
          <w:lang w:eastAsia="zh-CN"/>
        </w:rPr>
      </w:pPr>
      <w:r>
        <w:rPr>
          <w:lang w:eastAsia="zh-CN"/>
        </w:rPr>
        <w:t>a</w:t>
      </w:r>
      <w:r w:rsidR="000E6A83">
        <w:rPr>
          <w:rFonts w:hint="eastAsia"/>
          <w:lang w:eastAsia="zh-CN"/>
        </w:rPr>
        <w:t>)</w:t>
      </w:r>
      <w:r w:rsidR="000E6A83">
        <w:rPr>
          <w:rFonts w:hint="eastAsia"/>
          <w:lang w:eastAsia="zh-CN"/>
        </w:rPr>
        <w:tab/>
      </w:r>
      <w:r>
        <w:rPr>
          <w:rFonts w:hint="eastAsia"/>
          <w:lang w:eastAsia="zh-CN"/>
        </w:rPr>
        <w:t>在通行证失效时，除非已授权延期；</w:t>
      </w:r>
    </w:p>
    <w:p w14:paraId="4827B238" w14:textId="77777777" w:rsidR="00F13B79" w:rsidRDefault="00F13B79" w:rsidP="00B64353">
      <w:pPr>
        <w:pStyle w:val="enumlev2"/>
        <w:tabs>
          <w:tab w:val="left" w:pos="1206"/>
        </w:tabs>
        <w:ind w:left="1620" w:hanging="810"/>
        <w:rPr>
          <w:lang w:eastAsia="zh-CN"/>
        </w:rPr>
      </w:pPr>
      <w:r>
        <w:rPr>
          <w:lang w:eastAsia="zh-CN"/>
        </w:rPr>
        <w:t>b</w:t>
      </w:r>
      <w:r w:rsidR="000E6A83">
        <w:rPr>
          <w:rFonts w:hint="eastAsia"/>
          <w:lang w:eastAsia="zh-CN"/>
        </w:rPr>
        <w:t>)</w:t>
      </w:r>
      <w:r w:rsidR="00C519E7">
        <w:rPr>
          <w:rFonts w:hint="eastAsia"/>
          <w:lang w:eastAsia="zh-CN"/>
        </w:rPr>
        <w:tab/>
      </w:r>
      <w:r>
        <w:rPr>
          <w:rFonts w:hint="eastAsia"/>
          <w:lang w:eastAsia="zh-CN"/>
        </w:rPr>
        <w:t>如持证人不再为第</w:t>
      </w:r>
      <w:r>
        <w:rPr>
          <w:lang w:eastAsia="zh-CN"/>
        </w:rPr>
        <w:t>1</w:t>
      </w:r>
      <w:r>
        <w:rPr>
          <w:rFonts w:hint="eastAsia"/>
          <w:lang w:eastAsia="zh-CN"/>
        </w:rPr>
        <w:t>段意义内的</w:t>
      </w:r>
      <w:r>
        <w:rPr>
          <w:rFonts w:ascii="SimSun" w:hAnsi="SimSun" w:hint="eastAsia"/>
          <w:lang w:eastAsia="zh-CN"/>
        </w:rPr>
        <w:t>国际电信联盟官员。</w:t>
      </w:r>
    </w:p>
    <w:p w14:paraId="4827B239" w14:textId="77777777" w:rsidR="00F13B79" w:rsidRDefault="002228B0" w:rsidP="00B64353">
      <w:pPr>
        <w:rPr>
          <w:lang w:eastAsia="zh-CN"/>
        </w:rPr>
      </w:pPr>
      <w:r>
        <w:rPr>
          <w:rFonts w:hint="eastAsia"/>
          <w:lang w:eastAsia="zh-CN"/>
        </w:rPr>
        <w:t>二、</w:t>
      </w:r>
      <w:r w:rsidR="00F13B79">
        <w:rPr>
          <w:lang w:eastAsia="zh-CN"/>
        </w:rPr>
        <w:tab/>
      </w:r>
      <w:r w:rsidR="00F13B79">
        <w:rPr>
          <w:rFonts w:hint="eastAsia"/>
          <w:lang w:eastAsia="zh-CN"/>
        </w:rPr>
        <w:t>本协议被视为已于</w:t>
      </w:r>
      <w:r w:rsidR="00F13B79">
        <w:rPr>
          <w:lang w:eastAsia="zh-CN"/>
        </w:rPr>
        <w:t>1949</w:t>
      </w:r>
      <w:r w:rsidR="00F13B79">
        <w:rPr>
          <w:rFonts w:hint="eastAsia"/>
          <w:lang w:eastAsia="zh-CN"/>
        </w:rPr>
        <w:t>年</w:t>
      </w:r>
      <w:r w:rsidR="00F13B79">
        <w:rPr>
          <w:lang w:eastAsia="zh-CN"/>
        </w:rPr>
        <w:t>8</w:t>
      </w:r>
      <w:r w:rsidR="00F13B79">
        <w:rPr>
          <w:rFonts w:hint="eastAsia"/>
          <w:lang w:eastAsia="zh-CN"/>
        </w:rPr>
        <w:t>月</w:t>
      </w:r>
      <w:r w:rsidR="00F13B79">
        <w:rPr>
          <w:lang w:eastAsia="zh-CN"/>
        </w:rPr>
        <w:t>1</w:t>
      </w:r>
      <w:r w:rsidR="00F13B79">
        <w:rPr>
          <w:rFonts w:hint="eastAsia"/>
          <w:lang w:eastAsia="zh-CN"/>
        </w:rPr>
        <w:t>日生效，并在任何一方以书面形式提出废止前保持有效。提出的废止将在另一方，即联合国秘书长或</w:t>
      </w:r>
      <w:r w:rsidR="00F13B79">
        <w:rPr>
          <w:rFonts w:ascii="SimSun" w:hAnsi="SimSun" w:hint="eastAsia"/>
          <w:lang w:eastAsia="zh-CN"/>
        </w:rPr>
        <w:t>国际电信联盟秘书长</w:t>
      </w:r>
      <w:r w:rsidR="00F13B79">
        <w:rPr>
          <w:rFonts w:hint="eastAsia"/>
          <w:lang w:eastAsia="zh-CN"/>
        </w:rPr>
        <w:t>收到此通知日的六个月后生效。</w:t>
      </w:r>
    </w:p>
    <w:p w14:paraId="4827B23A" w14:textId="77777777" w:rsidR="00F11D1D" w:rsidRPr="002E405F" w:rsidRDefault="00F13B79" w:rsidP="002F3C26">
      <w:pPr>
        <w:pStyle w:val="Endtext"/>
        <w:rPr>
          <w:lang w:val="fr-FR" w:eastAsia="zh-CN"/>
        </w:rPr>
      </w:pPr>
      <w:r>
        <w:rPr>
          <w:rFonts w:hint="eastAsia"/>
          <w:lang w:eastAsia="zh-CN"/>
        </w:rPr>
        <w:t>参阅</w:t>
      </w:r>
      <w:r>
        <w:rPr>
          <w:rFonts w:ascii="STKaiti" w:hAnsi="SimSun" w:hint="eastAsia"/>
          <w:lang w:eastAsia="zh-CN"/>
        </w:rPr>
        <w:t>：</w:t>
      </w:r>
      <w:r>
        <w:rPr>
          <w:lang w:eastAsia="zh-CN"/>
        </w:rPr>
        <w:tab/>
        <w:t>286/CA3</w:t>
      </w:r>
      <w:r>
        <w:rPr>
          <w:lang w:eastAsia="zh-CN"/>
        </w:rPr>
        <w:t>（</w:t>
      </w:r>
      <w:r>
        <w:rPr>
          <w:lang w:eastAsia="zh-CN"/>
        </w:rPr>
        <w:t>1948</w:t>
      </w:r>
      <w:r>
        <w:rPr>
          <w:rFonts w:hint="eastAsia"/>
          <w:lang w:eastAsia="zh-CN"/>
        </w:rPr>
        <w:t>年</w:t>
      </w:r>
      <w:r>
        <w:rPr>
          <w:lang w:eastAsia="zh-CN"/>
        </w:rPr>
        <w:t>）</w:t>
      </w:r>
      <w:r>
        <w:rPr>
          <w:rFonts w:hint="eastAsia"/>
          <w:lang w:eastAsia="zh-CN"/>
        </w:rPr>
        <w:t>、</w:t>
      </w:r>
      <w:r>
        <w:rPr>
          <w:lang w:eastAsia="zh-CN"/>
        </w:rPr>
        <w:t>1238/CA7</w:t>
      </w:r>
      <w:r>
        <w:rPr>
          <w:lang w:eastAsia="zh-CN"/>
        </w:rPr>
        <w:t>（</w:t>
      </w:r>
      <w:r>
        <w:rPr>
          <w:lang w:eastAsia="zh-CN"/>
        </w:rPr>
        <w:t>1952</w:t>
      </w:r>
      <w:r>
        <w:rPr>
          <w:rFonts w:hint="eastAsia"/>
          <w:lang w:eastAsia="zh-CN"/>
        </w:rPr>
        <w:t>年</w:t>
      </w:r>
      <w:r>
        <w:rPr>
          <w:lang w:eastAsia="zh-CN"/>
        </w:rPr>
        <w:t>）</w:t>
      </w:r>
      <w:r>
        <w:rPr>
          <w:rFonts w:ascii="SimSun" w:hAnsi="SimSun" w:hint="eastAsia"/>
          <w:lang w:eastAsia="zh-CN"/>
        </w:rPr>
        <w:t>号文件。</w:t>
      </w:r>
    </w:p>
    <w:p w14:paraId="4827B23B" w14:textId="77777777" w:rsidR="00793F78" w:rsidRDefault="00793F78" w:rsidP="00793F78">
      <w:pPr>
        <w:jc w:val="center"/>
        <w:rPr>
          <w:lang w:eastAsia="zh-CN"/>
        </w:rPr>
      </w:pPr>
      <w:bookmarkStart w:id="1417" w:name="_Toc161224033"/>
      <w:bookmarkStart w:id="1418" w:name="_Toc161732079"/>
      <w:bookmarkStart w:id="1419" w:name="_Toc161741006"/>
      <w:bookmarkStart w:id="1420" w:name="_Toc185237679"/>
      <w:bookmarkStart w:id="1421" w:name="_Toc311469596"/>
      <w:r>
        <w:rPr>
          <w:lang w:eastAsia="zh-CN"/>
        </w:rPr>
        <w:t>______________</w:t>
      </w:r>
    </w:p>
    <w:p w14:paraId="4827B23C" w14:textId="77777777" w:rsidR="003C22D4" w:rsidRDefault="003C22D4">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23D" w14:textId="77777777" w:rsidR="003C22D4" w:rsidRDefault="003C22D4">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23E" w14:textId="77777777" w:rsidR="003C22D4" w:rsidRDefault="003C22D4">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23F" w14:textId="77777777" w:rsidR="003C22D4" w:rsidRDefault="003C22D4">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240" w14:textId="77777777" w:rsidR="003526EF" w:rsidRDefault="003526EF">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241" w14:textId="77777777" w:rsidR="002F3C26" w:rsidRDefault="00F13B79" w:rsidP="00A75FB5">
      <w:pPr>
        <w:pStyle w:val="ResNo"/>
        <w:outlineLvl w:val="0"/>
        <w:rPr>
          <w:lang w:eastAsia="zh-CN"/>
        </w:rPr>
      </w:pPr>
      <w:bookmarkStart w:id="1422" w:name="_Toc424117006"/>
      <w:bookmarkStart w:id="1423" w:name="_Toc531706357"/>
      <w:bookmarkStart w:id="1424" w:name="_Toc531706954"/>
      <w:bookmarkStart w:id="1425" w:name="_Toc531768444"/>
      <w:bookmarkStart w:id="1426" w:name="_Toc16085764"/>
      <w:bookmarkStart w:id="1427" w:name="_Toc86395567"/>
      <w:r>
        <w:rPr>
          <w:rFonts w:hint="eastAsia"/>
          <w:lang w:eastAsia="zh-CN"/>
        </w:rPr>
        <w:lastRenderedPageBreak/>
        <w:t>第</w:t>
      </w:r>
      <w:r>
        <w:rPr>
          <w:lang w:eastAsia="zh-CN"/>
        </w:rPr>
        <w:t>747</w:t>
      </w:r>
      <w:r>
        <w:rPr>
          <w:rFonts w:hint="eastAsia"/>
          <w:lang w:eastAsia="zh-CN"/>
        </w:rPr>
        <w:t>号</w:t>
      </w:r>
      <w:r w:rsidRPr="00364FD0">
        <w:rPr>
          <w:rFonts w:hint="eastAsia"/>
          <w:lang w:eastAsia="zh-CN"/>
        </w:rPr>
        <w:t>决</w:t>
      </w:r>
      <w:r>
        <w:rPr>
          <w:rFonts w:hint="eastAsia"/>
          <w:lang w:eastAsia="zh-CN"/>
        </w:rPr>
        <w:t>议</w:t>
      </w:r>
      <w:r w:rsidR="002F3C26">
        <w:rPr>
          <w:rFonts w:hint="eastAsia"/>
          <w:lang w:val="en-US" w:eastAsia="zh-CN"/>
        </w:rPr>
        <w:t>（</w:t>
      </w:r>
      <w:r w:rsidR="002F3C26" w:rsidRPr="002B0F0F">
        <w:rPr>
          <w:lang w:eastAsia="zh-CN"/>
        </w:rPr>
        <w:t>C-1975</w:t>
      </w:r>
      <w:r w:rsidR="002F3C26" w:rsidRPr="002B0F0F">
        <w:rPr>
          <w:rFonts w:hint="eastAsia"/>
          <w:lang w:eastAsia="zh-CN"/>
        </w:rPr>
        <w:t>，最后修正</w:t>
      </w:r>
      <w:r w:rsidR="002F3C26" w:rsidRPr="002B0F0F">
        <w:rPr>
          <w:lang w:eastAsia="zh-CN"/>
        </w:rPr>
        <w:t>C-1976</w:t>
      </w:r>
      <w:r w:rsidR="002F3C26">
        <w:rPr>
          <w:rFonts w:hint="eastAsia"/>
          <w:lang w:eastAsia="zh-CN"/>
        </w:rPr>
        <w:t>）</w:t>
      </w:r>
      <w:bookmarkEnd w:id="1422"/>
      <w:bookmarkEnd w:id="1423"/>
      <w:bookmarkEnd w:id="1424"/>
      <w:bookmarkEnd w:id="1425"/>
      <w:bookmarkEnd w:id="1426"/>
      <w:bookmarkEnd w:id="1427"/>
    </w:p>
    <w:p w14:paraId="4827B242" w14:textId="77777777" w:rsidR="00F13B79" w:rsidRPr="002F3C26" w:rsidRDefault="00F13B79" w:rsidP="00793F78">
      <w:pPr>
        <w:pStyle w:val="Restitle"/>
        <w:rPr>
          <w:lang w:eastAsia="zh-CN"/>
        </w:rPr>
      </w:pPr>
      <w:bookmarkStart w:id="1428" w:name="_Toc424116227"/>
      <w:bookmarkStart w:id="1429" w:name="_Toc424117007"/>
      <w:bookmarkStart w:id="1430" w:name="_Toc460248120"/>
      <w:bookmarkStart w:id="1431" w:name="_Toc531706358"/>
      <w:bookmarkStart w:id="1432" w:name="_Toc531706955"/>
      <w:bookmarkStart w:id="1433" w:name="_Toc531768445"/>
      <w:bookmarkStart w:id="1434" w:name="_Toc16085765"/>
      <w:bookmarkStart w:id="1435" w:name="_Toc86395568"/>
      <w:r w:rsidRPr="00793F78">
        <w:rPr>
          <w:rFonts w:hint="eastAsia"/>
          <w:lang w:eastAsia="zh-CN"/>
        </w:rPr>
        <w:t>国际公务员制度委员会</w:t>
      </w:r>
      <w:bookmarkEnd w:id="1417"/>
      <w:bookmarkEnd w:id="1418"/>
      <w:bookmarkEnd w:id="1419"/>
      <w:bookmarkEnd w:id="1420"/>
      <w:bookmarkEnd w:id="1421"/>
      <w:bookmarkEnd w:id="1428"/>
      <w:bookmarkEnd w:id="1429"/>
      <w:bookmarkEnd w:id="1430"/>
      <w:bookmarkEnd w:id="1431"/>
      <w:bookmarkEnd w:id="1432"/>
      <w:bookmarkEnd w:id="1433"/>
      <w:bookmarkEnd w:id="1434"/>
      <w:bookmarkEnd w:id="1435"/>
    </w:p>
    <w:p w14:paraId="4827B243" w14:textId="77777777" w:rsidR="00F13B79" w:rsidRPr="00364022" w:rsidRDefault="00F13B79" w:rsidP="00364022">
      <w:pPr>
        <w:pStyle w:val="Normalaftertitle"/>
        <w:rPr>
          <w:lang w:eastAsia="zh-CN"/>
        </w:rPr>
      </w:pPr>
      <w:r w:rsidRPr="00364022">
        <w:rPr>
          <w:rFonts w:hint="eastAsia"/>
          <w:lang w:eastAsia="zh-CN"/>
        </w:rPr>
        <w:t>理事会，</w:t>
      </w:r>
    </w:p>
    <w:p w14:paraId="4827B244" w14:textId="77777777" w:rsidR="00F13B79" w:rsidRDefault="00F13B79" w:rsidP="002F3C26">
      <w:pPr>
        <w:ind w:firstLineChars="200" w:firstLine="480"/>
        <w:rPr>
          <w:lang w:eastAsia="zh-CN"/>
        </w:rPr>
      </w:pPr>
      <w:r>
        <w:rPr>
          <w:rFonts w:eastAsia="STKaiti" w:hint="eastAsia"/>
          <w:lang w:eastAsia="zh-CN"/>
        </w:rPr>
        <w:t>注意到</w:t>
      </w:r>
      <w:r>
        <w:rPr>
          <w:lang w:eastAsia="zh-CN"/>
        </w:rPr>
        <w:t>4713/CA30</w:t>
      </w:r>
      <w:r>
        <w:rPr>
          <w:rFonts w:ascii="SimSun" w:hAnsi="SimSun" w:hint="eastAsia"/>
          <w:lang w:eastAsia="zh-CN"/>
        </w:rPr>
        <w:t>号文件中秘书长的报告，</w:t>
      </w:r>
    </w:p>
    <w:p w14:paraId="4827B245" w14:textId="77777777" w:rsidR="00F13B79" w:rsidRDefault="00F13B79" w:rsidP="002F3C26">
      <w:pPr>
        <w:ind w:firstLineChars="200" w:firstLine="480"/>
        <w:rPr>
          <w:rFonts w:eastAsia="STKaiti"/>
          <w:lang w:eastAsia="zh-CN"/>
        </w:rPr>
      </w:pPr>
      <w:r>
        <w:rPr>
          <w:rFonts w:eastAsia="STKaiti" w:hint="eastAsia"/>
          <w:lang w:eastAsia="zh-CN"/>
        </w:rPr>
        <w:t>做出决议，</w:t>
      </w:r>
      <w:r>
        <w:rPr>
          <w:rFonts w:hint="eastAsia"/>
          <w:lang w:eastAsia="zh-CN"/>
        </w:rPr>
        <w:t>接受联合国第二十九届大会第</w:t>
      </w:r>
      <w:r>
        <w:rPr>
          <w:lang w:eastAsia="zh-CN"/>
        </w:rPr>
        <w:t>3357</w:t>
      </w:r>
      <w:r>
        <w:rPr>
          <w:rFonts w:hint="eastAsia"/>
          <w:lang w:eastAsia="zh-CN"/>
        </w:rPr>
        <w:t>号决议</w:t>
      </w:r>
      <w:r>
        <w:rPr>
          <w:lang w:eastAsia="zh-CN"/>
        </w:rPr>
        <w:t>（</w:t>
      </w:r>
      <w:r>
        <w:rPr>
          <w:rFonts w:hint="eastAsia"/>
          <w:lang w:eastAsia="zh-CN"/>
        </w:rPr>
        <w:t>第二十九届大会</w:t>
      </w:r>
      <w:r>
        <w:rPr>
          <w:lang w:eastAsia="zh-CN"/>
        </w:rPr>
        <w:t>）</w:t>
      </w:r>
      <w:r>
        <w:rPr>
          <w:rFonts w:hint="eastAsia"/>
          <w:lang w:eastAsia="zh-CN"/>
        </w:rPr>
        <w:t>制定的国际公务员制度委员会章程</w:t>
      </w:r>
      <w:r>
        <w:rPr>
          <w:rFonts w:eastAsia="STKaiti" w:hint="eastAsia"/>
          <w:lang w:eastAsia="zh-CN"/>
        </w:rPr>
        <w:t>。</w:t>
      </w:r>
    </w:p>
    <w:p w14:paraId="4827B246" w14:textId="77777777" w:rsidR="00F11D1D" w:rsidRPr="00D746C3" w:rsidRDefault="00F13B79" w:rsidP="002F3C26">
      <w:pPr>
        <w:pStyle w:val="Endtext"/>
        <w:rPr>
          <w:lang w:eastAsia="zh-CN"/>
        </w:rPr>
      </w:pPr>
      <w:r>
        <w:rPr>
          <w:rFonts w:hint="eastAsia"/>
          <w:lang w:eastAsia="zh-CN"/>
        </w:rPr>
        <w:t>参阅</w:t>
      </w:r>
      <w:r>
        <w:rPr>
          <w:rFonts w:ascii="STKaiti" w:hAnsi="SimSun" w:hint="eastAsia"/>
          <w:lang w:eastAsia="zh-CN"/>
        </w:rPr>
        <w:t>：</w:t>
      </w:r>
      <w:r>
        <w:rPr>
          <w:lang w:eastAsia="zh-CN"/>
        </w:rPr>
        <w:tab/>
        <w:t>4786/CA30</w:t>
      </w:r>
      <w:r>
        <w:rPr>
          <w:lang w:eastAsia="zh-CN"/>
        </w:rPr>
        <w:t>（</w:t>
      </w:r>
      <w:r>
        <w:rPr>
          <w:lang w:eastAsia="zh-CN"/>
        </w:rPr>
        <w:t>1975</w:t>
      </w:r>
      <w:r>
        <w:rPr>
          <w:rFonts w:hint="eastAsia"/>
          <w:lang w:eastAsia="zh-CN"/>
        </w:rPr>
        <w:t>年</w:t>
      </w:r>
      <w:r>
        <w:rPr>
          <w:lang w:eastAsia="zh-CN"/>
        </w:rPr>
        <w:t>）</w:t>
      </w:r>
      <w:r>
        <w:rPr>
          <w:rFonts w:hint="eastAsia"/>
          <w:lang w:eastAsia="zh-CN"/>
        </w:rPr>
        <w:t>、</w:t>
      </w:r>
      <w:r>
        <w:rPr>
          <w:lang w:eastAsia="zh-CN"/>
        </w:rPr>
        <w:t>4965/CA31</w:t>
      </w:r>
      <w:r>
        <w:rPr>
          <w:lang w:eastAsia="zh-CN"/>
        </w:rPr>
        <w:t>（</w:t>
      </w:r>
      <w:r>
        <w:rPr>
          <w:lang w:eastAsia="zh-CN"/>
        </w:rPr>
        <w:t>1976</w:t>
      </w:r>
      <w:r>
        <w:rPr>
          <w:rFonts w:hint="eastAsia"/>
          <w:lang w:eastAsia="zh-CN"/>
        </w:rPr>
        <w:t>年</w:t>
      </w:r>
      <w:r>
        <w:rPr>
          <w:lang w:eastAsia="zh-CN"/>
        </w:rPr>
        <w:t>）</w:t>
      </w:r>
      <w:r>
        <w:rPr>
          <w:rFonts w:ascii="SimSun" w:hAnsi="SimSun" w:hint="eastAsia"/>
          <w:lang w:eastAsia="zh-CN"/>
        </w:rPr>
        <w:t>号文件。</w:t>
      </w:r>
    </w:p>
    <w:p w14:paraId="4827B247" w14:textId="77777777" w:rsidR="00793F78" w:rsidRDefault="00793F78" w:rsidP="00793F78">
      <w:pPr>
        <w:jc w:val="center"/>
        <w:rPr>
          <w:lang w:eastAsia="zh-CN"/>
        </w:rPr>
      </w:pPr>
      <w:bookmarkStart w:id="1436" w:name="_Toc424117008"/>
      <w:bookmarkStart w:id="1437" w:name="_Toc531706359"/>
      <w:bookmarkStart w:id="1438" w:name="_Toc531706956"/>
      <w:bookmarkStart w:id="1439" w:name="_Toc531768446"/>
      <w:bookmarkStart w:id="1440" w:name="_Toc161224034"/>
      <w:bookmarkStart w:id="1441" w:name="_Toc161732080"/>
      <w:bookmarkStart w:id="1442" w:name="_Toc161741007"/>
      <w:bookmarkStart w:id="1443" w:name="_Toc185237680"/>
      <w:bookmarkStart w:id="1444" w:name="_Toc311469597"/>
      <w:r>
        <w:rPr>
          <w:lang w:eastAsia="zh-CN"/>
        </w:rPr>
        <w:t>______________</w:t>
      </w:r>
    </w:p>
    <w:p w14:paraId="4827B248" w14:textId="77777777" w:rsidR="002F3C26" w:rsidRDefault="00F13B79" w:rsidP="00A75FB5">
      <w:pPr>
        <w:pStyle w:val="ResNo"/>
        <w:outlineLvl w:val="0"/>
        <w:rPr>
          <w:lang w:eastAsia="zh-CN"/>
        </w:rPr>
      </w:pPr>
      <w:bookmarkStart w:id="1445" w:name="_Toc16085766"/>
      <w:bookmarkStart w:id="1446" w:name="_Toc86395569"/>
      <w:r>
        <w:rPr>
          <w:rFonts w:hint="eastAsia"/>
          <w:lang w:eastAsia="zh-CN"/>
        </w:rPr>
        <w:t>第</w:t>
      </w:r>
      <w:r>
        <w:rPr>
          <w:lang w:eastAsia="zh-CN"/>
        </w:rPr>
        <w:t>3</w:t>
      </w:r>
      <w:r w:rsidRPr="00364FD0">
        <w:rPr>
          <w:lang w:eastAsia="zh-CN"/>
        </w:rPr>
        <w:t>9</w:t>
      </w:r>
      <w:r>
        <w:rPr>
          <w:lang w:eastAsia="zh-CN"/>
        </w:rPr>
        <w:t>9</w:t>
      </w:r>
      <w:r>
        <w:rPr>
          <w:rFonts w:hint="eastAsia"/>
          <w:lang w:eastAsia="zh-CN"/>
        </w:rPr>
        <w:t>号决定</w:t>
      </w:r>
      <w:r w:rsidR="00883E65">
        <w:rPr>
          <w:rFonts w:hint="eastAsia"/>
          <w:lang w:eastAsia="zh-CN"/>
        </w:rPr>
        <w:t>（</w:t>
      </w:r>
      <w:r w:rsidR="002F3C26" w:rsidRPr="002F3C26">
        <w:rPr>
          <w:lang w:eastAsia="zh-CN"/>
        </w:rPr>
        <w:t>C-1983</w:t>
      </w:r>
      <w:r w:rsidR="002F3C26" w:rsidRPr="002F3C26">
        <w:rPr>
          <w:rFonts w:hint="eastAsia"/>
          <w:lang w:eastAsia="zh-CN"/>
        </w:rPr>
        <w:t>，最后修正</w:t>
      </w:r>
      <w:r w:rsidR="00883E65">
        <w:rPr>
          <w:lang w:eastAsia="zh-CN"/>
        </w:rPr>
        <w:t>C-1990</w:t>
      </w:r>
      <w:r w:rsidR="00883E65">
        <w:rPr>
          <w:rFonts w:hint="eastAsia"/>
          <w:lang w:eastAsia="zh-CN"/>
        </w:rPr>
        <w:t>）</w:t>
      </w:r>
      <w:bookmarkEnd w:id="1436"/>
      <w:bookmarkEnd w:id="1437"/>
      <w:bookmarkEnd w:id="1438"/>
      <w:bookmarkEnd w:id="1439"/>
      <w:bookmarkEnd w:id="1445"/>
      <w:bookmarkEnd w:id="1446"/>
    </w:p>
    <w:p w14:paraId="4827B249" w14:textId="77777777" w:rsidR="00F13B79" w:rsidRPr="002F3C26" w:rsidRDefault="00F13B79" w:rsidP="003C22D4">
      <w:pPr>
        <w:pStyle w:val="Dectitle"/>
      </w:pPr>
      <w:bookmarkStart w:id="1447" w:name="_Toc424116228"/>
      <w:bookmarkStart w:id="1448" w:name="_Toc424117009"/>
      <w:bookmarkStart w:id="1449" w:name="_Toc460248122"/>
      <w:bookmarkStart w:id="1450" w:name="_Toc531706360"/>
      <w:bookmarkStart w:id="1451" w:name="_Toc531706957"/>
      <w:bookmarkStart w:id="1452" w:name="_Toc531768447"/>
      <w:bookmarkStart w:id="1453" w:name="_Toc16085767"/>
      <w:bookmarkStart w:id="1454" w:name="_Toc86395570"/>
      <w:r w:rsidRPr="002F3C26">
        <w:rPr>
          <w:rFonts w:hint="eastAsia"/>
        </w:rPr>
        <w:t>职工代表</w:t>
      </w:r>
      <w:bookmarkEnd w:id="1440"/>
      <w:bookmarkEnd w:id="1441"/>
      <w:bookmarkEnd w:id="1442"/>
      <w:bookmarkEnd w:id="1443"/>
      <w:bookmarkEnd w:id="1444"/>
      <w:bookmarkEnd w:id="1447"/>
      <w:bookmarkEnd w:id="1448"/>
      <w:bookmarkEnd w:id="1449"/>
      <w:bookmarkEnd w:id="1450"/>
      <w:bookmarkEnd w:id="1451"/>
      <w:bookmarkEnd w:id="1452"/>
      <w:bookmarkEnd w:id="1453"/>
      <w:bookmarkEnd w:id="1454"/>
    </w:p>
    <w:p w14:paraId="4827B24A" w14:textId="77777777" w:rsidR="00F13B79" w:rsidRPr="00364022" w:rsidRDefault="00F13B79" w:rsidP="00364022">
      <w:pPr>
        <w:pStyle w:val="Normalaftertitle"/>
        <w:rPr>
          <w:lang w:eastAsia="zh-CN"/>
        </w:rPr>
      </w:pPr>
      <w:r w:rsidRPr="00364022">
        <w:rPr>
          <w:rFonts w:hint="eastAsia"/>
          <w:lang w:eastAsia="zh-CN"/>
        </w:rPr>
        <w:t>理事会，</w:t>
      </w:r>
    </w:p>
    <w:p w14:paraId="4827B24B" w14:textId="77777777" w:rsidR="00F13B79" w:rsidRDefault="00F13B79" w:rsidP="002F3C26">
      <w:pPr>
        <w:ind w:firstLineChars="200" w:firstLine="480"/>
        <w:rPr>
          <w:lang w:eastAsia="zh-CN"/>
        </w:rPr>
      </w:pPr>
      <w:r>
        <w:rPr>
          <w:rFonts w:eastAsia="STKaiti" w:hint="eastAsia"/>
          <w:lang w:eastAsia="zh-CN"/>
        </w:rPr>
        <w:t>经审议</w:t>
      </w:r>
      <w:r>
        <w:rPr>
          <w:rFonts w:hint="eastAsia"/>
          <w:lang w:eastAsia="zh-CN"/>
        </w:rPr>
        <w:t>职员参与管理的问题并认识到职工代表的重要性，</w:t>
      </w:r>
    </w:p>
    <w:p w14:paraId="4827B24C" w14:textId="77777777" w:rsidR="00F13B79" w:rsidRDefault="00F13B79" w:rsidP="002F3C26">
      <w:pPr>
        <w:ind w:firstLineChars="200" w:firstLine="480"/>
        <w:rPr>
          <w:lang w:eastAsia="zh-CN"/>
        </w:rPr>
      </w:pPr>
      <w:r>
        <w:rPr>
          <w:rFonts w:eastAsia="STKaiti" w:hint="eastAsia"/>
          <w:lang w:eastAsia="zh-CN"/>
        </w:rPr>
        <w:t>做出决定，</w:t>
      </w:r>
      <w:r>
        <w:rPr>
          <w:rFonts w:hint="eastAsia"/>
          <w:lang w:eastAsia="zh-CN"/>
        </w:rPr>
        <w:t>职工委员会的主席和秘书可</w:t>
      </w:r>
      <w:r w:rsidR="003C68A4">
        <w:rPr>
          <w:rFonts w:hint="eastAsia"/>
          <w:lang w:eastAsia="zh-CN"/>
        </w:rPr>
        <w:t>以合理脱产</w:t>
      </w:r>
      <w:r>
        <w:rPr>
          <w:rFonts w:hint="eastAsia"/>
          <w:lang w:eastAsia="zh-CN"/>
        </w:rPr>
        <w:t>部分时间，最多分别为</w:t>
      </w:r>
      <w:r>
        <w:rPr>
          <w:lang w:eastAsia="zh-CN"/>
        </w:rPr>
        <w:t>50%</w:t>
      </w:r>
      <w:r>
        <w:rPr>
          <w:rFonts w:hint="eastAsia"/>
          <w:lang w:eastAsia="zh-CN"/>
        </w:rPr>
        <w:t>和</w:t>
      </w:r>
      <w:r>
        <w:rPr>
          <w:lang w:eastAsia="zh-CN"/>
        </w:rPr>
        <w:t>30%</w:t>
      </w:r>
      <w:r>
        <w:rPr>
          <w:rFonts w:hint="eastAsia"/>
          <w:lang w:eastAsia="zh-CN"/>
        </w:rPr>
        <w:t>。</w:t>
      </w:r>
    </w:p>
    <w:p w14:paraId="4827B24D" w14:textId="77777777" w:rsidR="00F13B79" w:rsidRDefault="00F13B79" w:rsidP="002F3C26">
      <w:pPr>
        <w:pStyle w:val="Endtext"/>
        <w:rPr>
          <w:lang w:eastAsia="zh-CN"/>
        </w:rPr>
      </w:pPr>
      <w:r>
        <w:rPr>
          <w:rFonts w:hint="eastAsia"/>
          <w:lang w:eastAsia="zh-CN"/>
        </w:rPr>
        <w:t>参阅</w:t>
      </w:r>
      <w:r w:rsidRPr="00C519E7">
        <w:rPr>
          <w:rFonts w:ascii="STKaiti" w:hAnsi="STKaiti" w:hint="eastAsia"/>
          <w:lang w:eastAsia="zh-CN"/>
        </w:rPr>
        <w:t>：</w:t>
      </w:r>
      <w:r>
        <w:rPr>
          <w:lang w:eastAsia="zh-CN"/>
        </w:rPr>
        <w:tab/>
        <w:t>5955</w:t>
      </w:r>
      <w:r>
        <w:rPr>
          <w:rFonts w:hint="eastAsia"/>
          <w:lang w:eastAsia="zh-CN"/>
        </w:rPr>
        <w:t>、</w:t>
      </w:r>
      <w:r>
        <w:rPr>
          <w:lang w:eastAsia="zh-CN"/>
        </w:rPr>
        <w:t>5980</w:t>
      </w:r>
      <w:r>
        <w:rPr>
          <w:rFonts w:hint="eastAsia"/>
          <w:lang w:eastAsia="zh-CN"/>
        </w:rPr>
        <w:t>、</w:t>
      </w:r>
      <w:r>
        <w:rPr>
          <w:lang w:eastAsia="zh-CN"/>
        </w:rPr>
        <w:t>6022</w:t>
      </w:r>
      <w:r>
        <w:rPr>
          <w:rFonts w:hint="eastAsia"/>
          <w:lang w:eastAsia="zh-CN"/>
        </w:rPr>
        <w:t>号和</w:t>
      </w:r>
      <w:r>
        <w:rPr>
          <w:lang w:eastAsia="zh-CN"/>
        </w:rPr>
        <w:t>6031/CA38</w:t>
      </w:r>
      <w:r>
        <w:rPr>
          <w:lang w:eastAsia="zh-CN"/>
        </w:rPr>
        <w:t>（</w:t>
      </w:r>
      <w:r>
        <w:rPr>
          <w:lang w:eastAsia="zh-CN"/>
        </w:rPr>
        <w:t>1983</w:t>
      </w:r>
      <w:r>
        <w:rPr>
          <w:rFonts w:hint="eastAsia"/>
          <w:lang w:eastAsia="zh-CN"/>
        </w:rPr>
        <w:t>年</w:t>
      </w:r>
      <w:r>
        <w:rPr>
          <w:lang w:eastAsia="zh-CN"/>
        </w:rPr>
        <w:t>）</w:t>
      </w:r>
      <w:r>
        <w:rPr>
          <w:rFonts w:hint="eastAsia"/>
          <w:lang w:eastAsia="zh-CN"/>
        </w:rPr>
        <w:t>、</w:t>
      </w:r>
      <w:r>
        <w:rPr>
          <w:lang w:eastAsia="zh-CN"/>
        </w:rPr>
        <w:t>7065</w:t>
      </w:r>
      <w:r>
        <w:rPr>
          <w:rFonts w:hint="eastAsia"/>
          <w:lang w:eastAsia="zh-CN"/>
        </w:rPr>
        <w:t>和</w:t>
      </w:r>
      <w:r>
        <w:rPr>
          <w:lang w:eastAsia="zh-CN"/>
        </w:rPr>
        <w:t>7076/CA45</w:t>
      </w:r>
      <w:r w:rsidR="003C68A4">
        <w:rPr>
          <w:lang w:eastAsia="zh-CN"/>
        </w:rPr>
        <w:t>（</w:t>
      </w:r>
      <w:r w:rsidR="003C68A4">
        <w:rPr>
          <w:lang w:eastAsia="zh-CN"/>
        </w:rPr>
        <w:t>1990</w:t>
      </w:r>
      <w:r w:rsidR="003C68A4">
        <w:rPr>
          <w:rFonts w:hint="eastAsia"/>
          <w:lang w:eastAsia="zh-CN"/>
        </w:rPr>
        <w:t>年</w:t>
      </w:r>
      <w:r w:rsidR="003C68A4">
        <w:rPr>
          <w:lang w:eastAsia="zh-CN"/>
        </w:rPr>
        <w:t>）</w:t>
      </w:r>
      <w:r>
        <w:rPr>
          <w:rFonts w:hint="eastAsia"/>
          <w:lang w:eastAsia="zh-CN"/>
        </w:rPr>
        <w:t>号</w:t>
      </w:r>
      <w:r w:rsidR="003526EF">
        <w:rPr>
          <w:lang w:eastAsia="zh-CN"/>
        </w:rPr>
        <w:br/>
      </w:r>
      <w:r>
        <w:rPr>
          <w:rFonts w:hint="eastAsia"/>
          <w:lang w:eastAsia="zh-CN"/>
        </w:rPr>
        <w:t>文件。</w:t>
      </w:r>
    </w:p>
    <w:p w14:paraId="4827B24E" w14:textId="77777777" w:rsidR="00D965D1" w:rsidRPr="00793F78" w:rsidRDefault="00793F78" w:rsidP="00793F78">
      <w:pPr>
        <w:jc w:val="center"/>
        <w:rPr>
          <w:lang w:eastAsia="zh-CN"/>
        </w:rPr>
      </w:pPr>
      <w:r>
        <w:rPr>
          <w:lang w:eastAsia="zh-CN"/>
        </w:rPr>
        <w:t>______________</w:t>
      </w:r>
    </w:p>
    <w:p w14:paraId="4827B24F" w14:textId="77777777" w:rsidR="00D965D1" w:rsidRDefault="00D965D1" w:rsidP="00B64353">
      <w:pPr>
        <w:rPr>
          <w:lang w:val="en-US" w:eastAsia="zh-CN"/>
        </w:rPr>
      </w:pPr>
    </w:p>
    <w:p w14:paraId="4827B250" w14:textId="77777777" w:rsidR="00D965D1" w:rsidRDefault="00D965D1" w:rsidP="00B64353">
      <w:pPr>
        <w:rPr>
          <w:lang w:val="en-US" w:eastAsia="zh-CN"/>
        </w:rPr>
      </w:pPr>
    </w:p>
    <w:p w14:paraId="4827B251" w14:textId="77777777" w:rsidR="003C22D4" w:rsidRDefault="003C22D4" w:rsidP="00B64353">
      <w:pPr>
        <w:rPr>
          <w:lang w:val="en-US" w:eastAsia="zh-CN"/>
        </w:rPr>
      </w:pPr>
    </w:p>
    <w:p w14:paraId="4827B252" w14:textId="77777777" w:rsidR="00793F78" w:rsidRDefault="00793F78" w:rsidP="00B64353">
      <w:pPr>
        <w:rPr>
          <w:lang w:val="en-US" w:eastAsia="zh-CN"/>
        </w:rPr>
      </w:pPr>
    </w:p>
    <w:p w14:paraId="4827B253" w14:textId="77777777" w:rsidR="00793F78" w:rsidRDefault="00793F78" w:rsidP="00B64353">
      <w:pPr>
        <w:rPr>
          <w:lang w:val="en-US" w:eastAsia="zh-CN"/>
        </w:rPr>
      </w:pPr>
    </w:p>
    <w:p w14:paraId="4827B254" w14:textId="77777777" w:rsidR="00D965D1" w:rsidRDefault="00D965D1" w:rsidP="00B64353">
      <w:pPr>
        <w:rPr>
          <w:lang w:val="en-US" w:eastAsia="zh-CN"/>
        </w:rPr>
      </w:pPr>
    </w:p>
    <w:p w14:paraId="4827B255" w14:textId="77777777" w:rsidR="00D965D1" w:rsidRDefault="00D965D1" w:rsidP="00B64353">
      <w:pPr>
        <w:rPr>
          <w:lang w:val="en-US" w:eastAsia="zh-CN"/>
        </w:rPr>
      </w:pPr>
    </w:p>
    <w:p w14:paraId="4827B256" w14:textId="77777777" w:rsidR="00D965D1" w:rsidRDefault="00D965D1" w:rsidP="00B64353">
      <w:pPr>
        <w:rPr>
          <w:lang w:val="en-US" w:eastAsia="zh-CN"/>
        </w:rPr>
      </w:pPr>
    </w:p>
    <w:p w14:paraId="4827B257" w14:textId="77777777" w:rsidR="00D965D1" w:rsidRDefault="00D965D1" w:rsidP="00D965D1">
      <w:pPr>
        <w:rPr>
          <w:lang w:val="en-US" w:eastAsia="zh-CN"/>
        </w:rPr>
      </w:pPr>
      <w:bookmarkStart w:id="1455" w:name="_Toc81880080"/>
      <w:bookmarkStart w:id="1456" w:name="_Toc161224035"/>
      <w:bookmarkStart w:id="1457" w:name="_Toc161732081"/>
      <w:bookmarkStart w:id="1458" w:name="_Toc161741008"/>
    </w:p>
    <w:p w14:paraId="4827B258" w14:textId="77777777" w:rsidR="00D965D1" w:rsidRPr="002712AA" w:rsidRDefault="00D965D1" w:rsidP="00D965D1">
      <w:pPr>
        <w:rPr>
          <w:lang w:val="en-US" w:eastAsia="zh-CN"/>
        </w:rPr>
        <w:sectPr w:rsidR="00D965D1" w:rsidRPr="002712AA" w:rsidSect="00793F78">
          <w:headerReference w:type="even" r:id="rId222"/>
          <w:headerReference w:type="default" r:id="rId223"/>
          <w:footerReference w:type="default" r:id="rId224"/>
          <w:headerReference w:type="first" r:id="rId225"/>
          <w:footnotePr>
            <w:pos w:val="beneathText"/>
          </w:footnotePr>
          <w:endnotePr>
            <w:numFmt w:val="decimal"/>
          </w:endnotePr>
          <w:pgSz w:w="11907" w:h="16840" w:code="9"/>
          <w:pgMar w:top="1418" w:right="1134" w:bottom="1134" w:left="1134" w:header="737" w:footer="567" w:gutter="284"/>
          <w:cols w:space="720"/>
          <w:vAlign w:val="both"/>
          <w:titlePg/>
        </w:sectPr>
      </w:pPr>
    </w:p>
    <w:p w14:paraId="4827B259" w14:textId="77777777" w:rsidR="00F11D1D" w:rsidRPr="002959C8" w:rsidRDefault="00F11D1D" w:rsidP="007672B3">
      <w:pPr>
        <w:pStyle w:val="ChapNo"/>
        <w:spacing w:before="240"/>
        <w:rPr>
          <w:b w:val="0"/>
          <w:bCs/>
          <w:lang w:eastAsia="zh-CN"/>
        </w:rPr>
      </w:pPr>
      <w:bookmarkStart w:id="1459" w:name="_Toc185237681"/>
      <w:bookmarkStart w:id="1460" w:name="_Toc311469598"/>
      <w:bookmarkStart w:id="1461" w:name="_Toc424115675"/>
      <w:bookmarkStart w:id="1462" w:name="_Toc424116229"/>
      <w:bookmarkStart w:id="1463" w:name="_Toc424117010"/>
      <w:bookmarkStart w:id="1464" w:name="_Toc531706958"/>
      <w:bookmarkStart w:id="1465" w:name="_Toc531707153"/>
      <w:bookmarkStart w:id="1466" w:name="_Toc531768448"/>
      <w:bookmarkStart w:id="1467" w:name="_Toc16085768"/>
      <w:bookmarkStart w:id="1468" w:name="_Toc16173301"/>
      <w:bookmarkStart w:id="1469" w:name="_Toc16173758"/>
      <w:bookmarkStart w:id="1470" w:name="_Toc86395571"/>
      <w:r w:rsidRPr="002959C8">
        <w:rPr>
          <w:b w:val="0"/>
          <w:bCs/>
          <w:lang w:eastAsia="zh-CN"/>
        </w:rPr>
        <w:lastRenderedPageBreak/>
        <w:t>3</w:t>
      </w:r>
      <w:r w:rsidRPr="002959C8">
        <w:rPr>
          <w:b w:val="0"/>
          <w:bCs/>
          <w:lang w:eastAsia="zh-CN"/>
        </w:rPr>
        <w:tab/>
      </w:r>
      <w:bookmarkEnd w:id="1455"/>
      <w:r w:rsidR="00F13B79" w:rsidRPr="002959C8">
        <w:rPr>
          <w:rFonts w:hint="eastAsia"/>
          <w:b w:val="0"/>
          <w:bCs/>
          <w:lang w:eastAsia="zh-CN"/>
        </w:rPr>
        <w:t>大会和会议</w:t>
      </w:r>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p>
    <w:p w14:paraId="4827B25A" w14:textId="77777777" w:rsidR="00F11D1D" w:rsidRPr="0077192A" w:rsidRDefault="00F11D1D" w:rsidP="007672B3">
      <w:pPr>
        <w:pStyle w:val="Chaptitle"/>
        <w:rPr>
          <w:lang w:eastAsia="zh-CN"/>
        </w:rPr>
      </w:pPr>
      <w:bookmarkStart w:id="1471" w:name="_Toc81880081"/>
      <w:bookmarkStart w:id="1472" w:name="_Toc161224036"/>
      <w:bookmarkStart w:id="1473" w:name="_Toc161732082"/>
      <w:bookmarkStart w:id="1474" w:name="_Toc161741009"/>
      <w:bookmarkStart w:id="1475" w:name="_Toc185237682"/>
      <w:bookmarkStart w:id="1476" w:name="_Toc311469599"/>
      <w:bookmarkStart w:id="1477" w:name="_Toc424117011"/>
      <w:bookmarkStart w:id="1478" w:name="_Toc531706361"/>
      <w:bookmarkStart w:id="1479" w:name="_Toc531706959"/>
      <w:bookmarkStart w:id="1480" w:name="_Toc531768449"/>
      <w:bookmarkStart w:id="1481" w:name="_Toc16085769"/>
      <w:bookmarkStart w:id="1482" w:name="_Toc86395572"/>
      <w:r w:rsidRPr="0077192A">
        <w:rPr>
          <w:lang w:eastAsia="zh-CN"/>
        </w:rPr>
        <w:t>3.1</w:t>
      </w:r>
      <w:r w:rsidRPr="0077192A">
        <w:rPr>
          <w:lang w:eastAsia="zh-CN"/>
        </w:rPr>
        <w:tab/>
      </w:r>
      <w:bookmarkEnd w:id="1471"/>
      <w:r w:rsidR="00F13B79" w:rsidRPr="0077192A">
        <w:rPr>
          <w:rFonts w:hint="eastAsia"/>
          <w:lang w:eastAsia="zh-CN"/>
        </w:rPr>
        <w:t>总则</w:t>
      </w:r>
      <w:bookmarkEnd w:id="1472"/>
      <w:bookmarkEnd w:id="1473"/>
      <w:bookmarkEnd w:id="1474"/>
      <w:bookmarkEnd w:id="1475"/>
      <w:bookmarkEnd w:id="1476"/>
      <w:bookmarkEnd w:id="1477"/>
      <w:bookmarkEnd w:id="1478"/>
      <w:bookmarkEnd w:id="1479"/>
      <w:bookmarkEnd w:id="1480"/>
      <w:bookmarkEnd w:id="1481"/>
      <w:bookmarkEnd w:id="1482"/>
    </w:p>
    <w:p w14:paraId="4827B25B" w14:textId="77777777" w:rsidR="00DE46A7" w:rsidRDefault="00AE7F4C" w:rsidP="00A75FB5">
      <w:pPr>
        <w:pStyle w:val="ResNo"/>
        <w:outlineLvl w:val="0"/>
        <w:rPr>
          <w:lang w:eastAsia="zh-CN"/>
        </w:rPr>
      </w:pPr>
      <w:bookmarkStart w:id="1483" w:name="_Toc424117012"/>
      <w:bookmarkStart w:id="1484" w:name="_Toc531706362"/>
      <w:bookmarkStart w:id="1485" w:name="_Toc531706960"/>
      <w:bookmarkStart w:id="1486" w:name="_Toc531768450"/>
      <w:bookmarkStart w:id="1487" w:name="_Toc16085770"/>
      <w:bookmarkStart w:id="1488" w:name="_Toc86395573"/>
      <w:bookmarkStart w:id="1489" w:name="_Toc161224037"/>
      <w:bookmarkStart w:id="1490" w:name="_Toc161732083"/>
      <w:bookmarkStart w:id="1491" w:name="_Toc161741010"/>
      <w:bookmarkStart w:id="1492" w:name="_Toc63839097"/>
      <w:bookmarkStart w:id="1493" w:name="_Toc185237683"/>
      <w:bookmarkStart w:id="1494" w:name="_Toc311469600"/>
      <w:r>
        <w:rPr>
          <w:rFonts w:hint="eastAsia"/>
          <w:lang w:eastAsia="zh-CN"/>
        </w:rPr>
        <w:t>第</w:t>
      </w:r>
      <w:r>
        <w:rPr>
          <w:lang w:eastAsia="zh-CN"/>
        </w:rPr>
        <w:t>83</w:t>
      </w:r>
      <w:r>
        <w:rPr>
          <w:rFonts w:hint="eastAsia"/>
          <w:lang w:eastAsia="zh-CN"/>
        </w:rPr>
        <w:t>号决议</w:t>
      </w:r>
      <w:r w:rsidR="00DE46A7">
        <w:rPr>
          <w:rFonts w:hint="eastAsia"/>
          <w:lang w:eastAsia="zh-CN"/>
        </w:rPr>
        <w:t>（</w:t>
      </w:r>
      <w:r w:rsidR="00DE46A7" w:rsidRPr="00471F2A">
        <w:rPr>
          <w:lang w:eastAsia="zh-CN"/>
        </w:rPr>
        <w:t>C-1948</w:t>
      </w:r>
      <w:r w:rsidR="00DE46A7" w:rsidRPr="00471F2A">
        <w:rPr>
          <w:rFonts w:hint="eastAsia"/>
          <w:lang w:eastAsia="zh-CN"/>
        </w:rPr>
        <w:t>，最后修正</w:t>
      </w:r>
      <w:r w:rsidR="00DE46A7" w:rsidRPr="00471F2A">
        <w:rPr>
          <w:lang w:eastAsia="zh-CN"/>
        </w:rPr>
        <w:t>C-1990</w:t>
      </w:r>
      <w:r w:rsidR="00DE46A7">
        <w:rPr>
          <w:rFonts w:hint="eastAsia"/>
          <w:lang w:eastAsia="zh-CN"/>
        </w:rPr>
        <w:t>）</w:t>
      </w:r>
      <w:bookmarkEnd w:id="1483"/>
      <w:bookmarkEnd w:id="1484"/>
      <w:bookmarkEnd w:id="1485"/>
      <w:bookmarkEnd w:id="1486"/>
      <w:bookmarkEnd w:id="1487"/>
      <w:bookmarkEnd w:id="1488"/>
    </w:p>
    <w:p w14:paraId="4827B25C" w14:textId="77777777" w:rsidR="00AE7F4C" w:rsidRPr="00DE46A7" w:rsidRDefault="00AE7F4C" w:rsidP="00DE46A7">
      <w:pPr>
        <w:pStyle w:val="Restitle"/>
        <w:rPr>
          <w:lang w:eastAsia="zh-CN"/>
        </w:rPr>
      </w:pPr>
      <w:bookmarkStart w:id="1495" w:name="_Toc424116230"/>
      <w:bookmarkStart w:id="1496" w:name="_Toc424117013"/>
      <w:bookmarkStart w:id="1497" w:name="_Toc460248126"/>
      <w:bookmarkStart w:id="1498" w:name="_Toc531706363"/>
      <w:bookmarkStart w:id="1499" w:name="_Toc531706961"/>
      <w:bookmarkStart w:id="1500" w:name="_Toc531768451"/>
      <w:bookmarkStart w:id="1501" w:name="_Toc16085771"/>
      <w:bookmarkStart w:id="1502" w:name="_Toc86395574"/>
      <w:r>
        <w:rPr>
          <w:rFonts w:hint="eastAsia"/>
          <w:lang w:eastAsia="zh-CN"/>
        </w:rPr>
        <w:t>大会和会议的组织、资金来源和账目的清算</w:t>
      </w:r>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p>
    <w:p w14:paraId="4827B25D" w14:textId="77777777" w:rsidR="00F13B79" w:rsidRPr="00364022" w:rsidRDefault="00F13B79" w:rsidP="00364022">
      <w:pPr>
        <w:pStyle w:val="Normalaftertitle"/>
        <w:rPr>
          <w:lang w:eastAsia="zh-CN"/>
        </w:rPr>
      </w:pPr>
      <w:r w:rsidRPr="00364022">
        <w:rPr>
          <w:rFonts w:hint="eastAsia"/>
          <w:lang w:eastAsia="zh-CN"/>
        </w:rPr>
        <w:t>理事会，</w:t>
      </w:r>
    </w:p>
    <w:p w14:paraId="4827B25E" w14:textId="77777777" w:rsidR="00F13B79" w:rsidRDefault="00F13B79" w:rsidP="00B64353">
      <w:pPr>
        <w:pStyle w:val="Call"/>
        <w:rPr>
          <w:lang w:eastAsia="zh-CN"/>
        </w:rPr>
      </w:pPr>
      <w:r>
        <w:rPr>
          <w:rFonts w:hint="eastAsia"/>
          <w:lang w:eastAsia="zh-CN"/>
        </w:rPr>
        <w:t>考虑到</w:t>
      </w:r>
    </w:p>
    <w:p w14:paraId="4827B25F" w14:textId="77777777" w:rsidR="00F13B79" w:rsidRDefault="00F13B79" w:rsidP="00DE46A7">
      <w:pPr>
        <w:rPr>
          <w:lang w:eastAsia="zh-CN"/>
        </w:rPr>
      </w:pPr>
      <w:r w:rsidRPr="005114E2">
        <w:rPr>
          <w:i/>
          <w:iCs/>
          <w:lang w:eastAsia="zh-CN"/>
        </w:rPr>
        <w:t>a</w:t>
      </w:r>
      <w:r w:rsidR="000E6A83" w:rsidRPr="005114E2">
        <w:rPr>
          <w:i/>
          <w:iCs/>
          <w:lang w:eastAsia="zh-CN"/>
        </w:rPr>
        <w:t>)</w:t>
      </w:r>
      <w:r w:rsidR="000E6A83">
        <w:rPr>
          <w:lang w:eastAsia="zh-CN"/>
        </w:rPr>
        <w:tab/>
      </w:r>
      <w:r>
        <w:rPr>
          <w:rFonts w:hint="eastAsia"/>
          <w:lang w:eastAsia="zh-CN"/>
        </w:rPr>
        <w:t>国际电联的所有大会和会议在物质提供、记</w:t>
      </w:r>
      <w:r w:rsidR="00492D09">
        <w:rPr>
          <w:rFonts w:hint="eastAsia"/>
          <w:lang w:eastAsia="zh-CN"/>
        </w:rPr>
        <w:t>账</w:t>
      </w:r>
      <w:r>
        <w:rPr>
          <w:rFonts w:hint="eastAsia"/>
          <w:lang w:eastAsia="zh-CN"/>
        </w:rPr>
        <w:t>和</w:t>
      </w:r>
      <w:r w:rsidR="00E8383D">
        <w:rPr>
          <w:rFonts w:hint="eastAsia"/>
          <w:lang w:eastAsia="zh-CN"/>
        </w:rPr>
        <w:t>账目</w:t>
      </w:r>
      <w:r>
        <w:rPr>
          <w:rFonts w:hint="eastAsia"/>
          <w:lang w:eastAsia="zh-CN"/>
        </w:rPr>
        <w:t>清</w:t>
      </w:r>
      <w:r w:rsidR="00BF47AA">
        <w:rPr>
          <w:rFonts w:hint="eastAsia"/>
          <w:lang w:eastAsia="zh-CN"/>
        </w:rPr>
        <w:t>理</w:t>
      </w:r>
      <w:r>
        <w:rPr>
          <w:rFonts w:hint="eastAsia"/>
          <w:lang w:eastAsia="zh-CN"/>
        </w:rPr>
        <w:t>方面均应统一组织</w:t>
      </w:r>
      <w:r w:rsidR="00E40D62">
        <w:rPr>
          <w:rFonts w:hint="eastAsia"/>
          <w:lang w:eastAsia="zh-CN"/>
        </w:rPr>
        <w:t>；</w:t>
      </w:r>
    </w:p>
    <w:p w14:paraId="4827B260" w14:textId="77777777" w:rsidR="00F13B79" w:rsidRDefault="00F13B79" w:rsidP="00DE46A7">
      <w:pPr>
        <w:rPr>
          <w:lang w:eastAsia="zh-CN"/>
        </w:rPr>
      </w:pPr>
      <w:r w:rsidRPr="005114E2">
        <w:rPr>
          <w:i/>
          <w:iCs/>
          <w:lang w:eastAsia="zh-CN"/>
        </w:rPr>
        <w:t>b</w:t>
      </w:r>
      <w:r w:rsidR="000E6A83" w:rsidRPr="005114E2">
        <w:rPr>
          <w:i/>
          <w:iCs/>
          <w:lang w:eastAsia="zh-CN"/>
        </w:rPr>
        <w:t>)</w:t>
      </w:r>
      <w:r w:rsidR="000E6A83">
        <w:rPr>
          <w:lang w:eastAsia="zh-CN"/>
        </w:rPr>
        <w:tab/>
      </w:r>
      <w:r>
        <w:rPr>
          <w:rFonts w:hint="eastAsia"/>
          <w:lang w:eastAsia="zh-CN"/>
        </w:rPr>
        <w:t>《内罗毕公约》</w:t>
      </w:r>
      <w:r>
        <w:rPr>
          <w:lang w:eastAsia="zh-CN"/>
        </w:rPr>
        <w:t>（</w:t>
      </w:r>
      <w:r>
        <w:rPr>
          <w:lang w:eastAsia="zh-CN"/>
        </w:rPr>
        <w:t>1982</w:t>
      </w:r>
      <w:r>
        <w:rPr>
          <w:rFonts w:hint="eastAsia"/>
          <w:lang w:eastAsia="zh-CN"/>
        </w:rPr>
        <w:t>年</w:t>
      </w:r>
      <w:r>
        <w:rPr>
          <w:lang w:eastAsia="zh-CN"/>
        </w:rPr>
        <w:t>）</w:t>
      </w:r>
      <w:r>
        <w:rPr>
          <w:rFonts w:hint="eastAsia"/>
          <w:lang w:eastAsia="zh-CN"/>
        </w:rPr>
        <w:t>第</w:t>
      </w:r>
      <w:r>
        <w:rPr>
          <w:lang w:eastAsia="zh-CN"/>
        </w:rPr>
        <w:t>107</w:t>
      </w:r>
      <w:r>
        <w:rPr>
          <w:rFonts w:hint="eastAsia"/>
          <w:lang w:eastAsia="zh-CN"/>
        </w:rPr>
        <w:t>至</w:t>
      </w:r>
      <w:r>
        <w:rPr>
          <w:lang w:eastAsia="zh-CN"/>
        </w:rPr>
        <w:t>109</w:t>
      </w:r>
      <w:r w:rsidR="00E40D62">
        <w:rPr>
          <w:rFonts w:hint="eastAsia"/>
          <w:lang w:eastAsia="zh-CN"/>
        </w:rPr>
        <w:t>款所述的大会和会议不应超出理事会批准的支出限额；</w:t>
      </w:r>
    </w:p>
    <w:p w14:paraId="4827B261" w14:textId="77777777" w:rsidR="00F13B79" w:rsidRDefault="00F13B79" w:rsidP="00DE46A7">
      <w:pPr>
        <w:rPr>
          <w:lang w:eastAsia="zh-CN"/>
        </w:rPr>
      </w:pPr>
      <w:r w:rsidRPr="005114E2">
        <w:rPr>
          <w:i/>
          <w:iCs/>
          <w:lang w:eastAsia="zh-CN"/>
        </w:rPr>
        <w:t>c</w:t>
      </w:r>
      <w:r w:rsidR="000E6A83" w:rsidRPr="005114E2">
        <w:rPr>
          <w:i/>
          <w:iCs/>
          <w:lang w:eastAsia="zh-CN"/>
        </w:rPr>
        <w:t>)</w:t>
      </w:r>
      <w:r w:rsidR="000E6A83">
        <w:rPr>
          <w:lang w:eastAsia="zh-CN"/>
        </w:rPr>
        <w:tab/>
      </w:r>
      <w:r>
        <w:rPr>
          <w:rFonts w:hint="eastAsia"/>
          <w:lang w:eastAsia="zh-CN"/>
        </w:rPr>
        <w:t>应尽一切努力减少大会和会议的支出，对于那些未列入年度预算的大会的支出，应加速对与会者会费份额的回收；</w:t>
      </w:r>
    </w:p>
    <w:p w14:paraId="4827B262" w14:textId="77777777" w:rsidR="00F13B79" w:rsidRDefault="00F13B79" w:rsidP="00DE46A7">
      <w:pPr>
        <w:rPr>
          <w:lang w:eastAsia="zh-CN"/>
        </w:rPr>
      </w:pPr>
      <w:r w:rsidRPr="005114E2">
        <w:rPr>
          <w:i/>
          <w:iCs/>
          <w:lang w:eastAsia="zh-CN"/>
        </w:rPr>
        <w:t>d</w:t>
      </w:r>
      <w:r w:rsidR="000E6A83" w:rsidRPr="005114E2">
        <w:rPr>
          <w:i/>
          <w:iCs/>
          <w:lang w:eastAsia="zh-CN"/>
        </w:rPr>
        <w:t>)</w:t>
      </w:r>
      <w:r w:rsidR="000E6A83">
        <w:rPr>
          <w:lang w:eastAsia="zh-CN"/>
        </w:rPr>
        <w:tab/>
      </w:r>
      <w:r>
        <w:rPr>
          <w:rFonts w:hint="eastAsia"/>
          <w:lang w:eastAsia="zh-CN"/>
        </w:rPr>
        <w:t>最好在与邀请国政府达成的筹备大会和会议的协议中包括有关取消、推迟或变更地点的条款，以避免此种情况给国际电联造成不必要的影响，</w:t>
      </w:r>
    </w:p>
    <w:p w14:paraId="4827B263" w14:textId="77777777" w:rsidR="00F13B79" w:rsidRDefault="00F13B79" w:rsidP="00DE46A7">
      <w:pPr>
        <w:rPr>
          <w:lang w:eastAsia="zh-CN"/>
        </w:rPr>
      </w:pPr>
      <w:r>
        <w:rPr>
          <w:lang w:eastAsia="zh-CN"/>
        </w:rPr>
        <w:tab/>
      </w:r>
      <w:r>
        <w:rPr>
          <w:rFonts w:eastAsia="STKaiti" w:hint="eastAsia"/>
          <w:lang w:eastAsia="zh-CN"/>
        </w:rPr>
        <w:t>做出决议</w:t>
      </w:r>
      <w:r>
        <w:rPr>
          <w:rFonts w:ascii="STKaiti" w:eastAsia="STKaiti" w:hAnsi="SimSun" w:hint="eastAsia"/>
          <w:lang w:eastAsia="zh-CN"/>
        </w:rPr>
        <w:t>，</w:t>
      </w:r>
      <w:r>
        <w:rPr>
          <w:rFonts w:ascii="SimSun" w:hAnsi="SimSun" w:hint="eastAsia"/>
          <w:lang w:eastAsia="zh-CN"/>
        </w:rPr>
        <w:t>对国际电联主办的所有</w:t>
      </w:r>
      <w:r>
        <w:rPr>
          <w:rFonts w:hint="eastAsia"/>
          <w:lang w:eastAsia="zh-CN"/>
        </w:rPr>
        <w:t>大会和会议适用如下条款：</w:t>
      </w:r>
    </w:p>
    <w:p w14:paraId="4827B264" w14:textId="77777777" w:rsidR="00F13B79" w:rsidRPr="00DE46A7" w:rsidRDefault="00510C29" w:rsidP="00DE46A7">
      <w:pPr>
        <w:pStyle w:val="Headingi"/>
        <w:rPr>
          <w:lang w:eastAsia="zh-CN"/>
        </w:rPr>
      </w:pPr>
      <w:r>
        <w:rPr>
          <w:lang w:eastAsia="zh-CN"/>
        </w:rPr>
        <w:t>A</w:t>
      </w:r>
      <w:r w:rsidR="00F13B79" w:rsidRPr="00DE46A7">
        <w:rPr>
          <w:lang w:eastAsia="zh-CN"/>
        </w:rPr>
        <w:tab/>
      </w:r>
      <w:r w:rsidR="00F13B79" w:rsidRPr="00DE46A7">
        <w:rPr>
          <w:rFonts w:hint="eastAsia"/>
          <w:lang w:eastAsia="zh-CN"/>
        </w:rPr>
        <w:t>有邀请国政府时大会和会议的组织</w:t>
      </w:r>
    </w:p>
    <w:p w14:paraId="4827B265" w14:textId="77777777" w:rsidR="00F13B79" w:rsidRDefault="00F13B79" w:rsidP="00DE46A7">
      <w:pPr>
        <w:rPr>
          <w:lang w:eastAsia="zh-CN"/>
        </w:rPr>
      </w:pPr>
      <w:r>
        <w:rPr>
          <w:lang w:eastAsia="zh-CN"/>
        </w:rPr>
        <w:t>1</w:t>
      </w:r>
      <w:r w:rsidR="00BC233A">
        <w:rPr>
          <w:lang w:eastAsia="zh-CN"/>
        </w:rPr>
        <w:tab/>
      </w:r>
      <w:r>
        <w:rPr>
          <w:rFonts w:hint="eastAsia"/>
          <w:lang w:eastAsia="zh-CN"/>
        </w:rPr>
        <w:t>在秘书长认为适当时，将与邀请国政府谈判签定一项有关国际电联总秘书处和该邀请国政府之间安排的协议，以便向大会或会议提供顺利开展工作的必要物质手段；</w:t>
      </w:r>
    </w:p>
    <w:p w14:paraId="4827B266" w14:textId="77777777" w:rsidR="00F13B79" w:rsidRDefault="00F13B79" w:rsidP="00DE46A7">
      <w:pPr>
        <w:rPr>
          <w:lang w:eastAsia="zh-CN"/>
        </w:rPr>
      </w:pPr>
      <w:r>
        <w:rPr>
          <w:lang w:eastAsia="zh-CN"/>
        </w:rPr>
        <w:t>2</w:t>
      </w:r>
      <w:r w:rsidR="00BC233A">
        <w:rPr>
          <w:lang w:eastAsia="zh-CN"/>
        </w:rPr>
        <w:tab/>
      </w:r>
      <w:r>
        <w:rPr>
          <w:rFonts w:hint="eastAsia"/>
          <w:lang w:eastAsia="zh-CN"/>
        </w:rPr>
        <w:t>这份将明确双方各自职能的协议在原则上应以</w:t>
      </w:r>
      <w:r>
        <w:rPr>
          <w:lang w:eastAsia="zh-CN"/>
        </w:rPr>
        <w:t>166/CA3</w:t>
      </w:r>
      <w:r>
        <w:rPr>
          <w:rFonts w:hint="eastAsia"/>
          <w:lang w:eastAsia="zh-CN"/>
        </w:rPr>
        <w:t>号文件所述的安排为基础。为考虑到每个邀请国政府的意见，特别是该政府能够免费提供的服务，协议可以与上述安排有所不同；</w:t>
      </w:r>
    </w:p>
    <w:p w14:paraId="4827B267" w14:textId="77777777" w:rsidR="00F13B79" w:rsidRDefault="00F13B79" w:rsidP="00DE46A7">
      <w:pPr>
        <w:rPr>
          <w:lang w:eastAsia="zh-CN"/>
        </w:rPr>
      </w:pPr>
      <w:r>
        <w:rPr>
          <w:lang w:eastAsia="zh-CN"/>
        </w:rPr>
        <w:t>3</w:t>
      </w:r>
      <w:r w:rsidR="00BC233A">
        <w:rPr>
          <w:lang w:eastAsia="zh-CN"/>
        </w:rPr>
        <w:tab/>
      </w:r>
      <w:r>
        <w:rPr>
          <w:rFonts w:hint="eastAsia"/>
          <w:lang w:eastAsia="zh-CN"/>
        </w:rPr>
        <w:t>然而，为了避免总秘书处介入其不应负责的事务，将达成的协议不应涉及与实施《公约》有关的任何问题，因为此类问题完全属于大会或会议，或邀请国政府的权限范围；</w:t>
      </w:r>
    </w:p>
    <w:p w14:paraId="4827B268" w14:textId="77777777" w:rsidR="003526EF" w:rsidRDefault="003526EF">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269" w14:textId="77777777" w:rsidR="00F13B79" w:rsidRDefault="00F13B79" w:rsidP="00DE46A7">
      <w:pPr>
        <w:rPr>
          <w:lang w:eastAsia="zh-CN"/>
        </w:rPr>
      </w:pPr>
      <w:r>
        <w:rPr>
          <w:lang w:eastAsia="zh-CN"/>
        </w:rPr>
        <w:lastRenderedPageBreak/>
        <w:t>4</w:t>
      </w:r>
      <w:r w:rsidR="00BC233A">
        <w:rPr>
          <w:lang w:eastAsia="zh-CN"/>
        </w:rPr>
        <w:tab/>
      </w:r>
      <w:r>
        <w:rPr>
          <w:rFonts w:hint="eastAsia"/>
          <w:lang w:eastAsia="zh-CN"/>
        </w:rPr>
        <w:t>协议尤其不应包括有关各主管部门在参加大会方面的权利或有关大会议事规则的条款。</w:t>
      </w:r>
    </w:p>
    <w:p w14:paraId="4827B26A" w14:textId="77777777" w:rsidR="00F13B79" w:rsidRPr="00DE46A7" w:rsidRDefault="00510C29" w:rsidP="00DE46A7">
      <w:pPr>
        <w:pStyle w:val="Headingi"/>
        <w:rPr>
          <w:lang w:eastAsia="zh-CN"/>
        </w:rPr>
      </w:pPr>
      <w:r>
        <w:rPr>
          <w:lang w:eastAsia="zh-CN"/>
        </w:rPr>
        <w:t>B</w:t>
      </w:r>
      <w:r w:rsidR="00F13B79" w:rsidRPr="00DE46A7">
        <w:rPr>
          <w:lang w:eastAsia="zh-CN"/>
        </w:rPr>
        <w:tab/>
      </w:r>
      <w:r w:rsidR="00F13B79" w:rsidRPr="00DE46A7">
        <w:rPr>
          <w:rFonts w:hint="eastAsia"/>
          <w:lang w:eastAsia="zh-CN"/>
        </w:rPr>
        <w:t>有邀请国政府时大会和会议的资金来源</w:t>
      </w:r>
    </w:p>
    <w:p w14:paraId="4827B26B" w14:textId="77777777" w:rsidR="00F13B79" w:rsidRDefault="00F13B79" w:rsidP="00DE46A7">
      <w:pPr>
        <w:rPr>
          <w:lang w:eastAsia="zh-CN"/>
        </w:rPr>
      </w:pPr>
      <w:r>
        <w:rPr>
          <w:rFonts w:hint="eastAsia"/>
          <w:lang w:eastAsia="zh-CN"/>
        </w:rPr>
        <w:t>与邀请国政府达成的协议应尽可能基于以下情况：</w:t>
      </w:r>
    </w:p>
    <w:p w14:paraId="4827B26C" w14:textId="77777777" w:rsidR="00F13B79" w:rsidRDefault="00F13B79" w:rsidP="00DE46A7">
      <w:pPr>
        <w:rPr>
          <w:lang w:eastAsia="zh-CN"/>
        </w:rPr>
      </w:pPr>
      <w:r>
        <w:rPr>
          <w:lang w:eastAsia="zh-CN"/>
        </w:rPr>
        <w:t>5</w:t>
      </w:r>
      <w:r w:rsidR="00BC233A">
        <w:rPr>
          <w:lang w:eastAsia="zh-CN"/>
        </w:rPr>
        <w:tab/>
      </w:r>
      <w:r>
        <w:rPr>
          <w:rFonts w:hint="eastAsia"/>
          <w:lang w:eastAsia="zh-CN"/>
        </w:rPr>
        <w:t>在邀请国政府不负担支出的情况下，它应垫付租用和筹备场地、文件复制与分发、支付当地招聘的秘书处人员工资、购买各种用品、购买或租用办公设备和任何有助于大会和会议工作的其他设备的必要资金；</w:t>
      </w:r>
    </w:p>
    <w:p w14:paraId="4827B26D" w14:textId="77777777" w:rsidR="00F13B79" w:rsidRDefault="00F13B79" w:rsidP="00DE46A7">
      <w:pPr>
        <w:rPr>
          <w:lang w:eastAsia="zh-CN"/>
        </w:rPr>
      </w:pPr>
      <w:r>
        <w:rPr>
          <w:lang w:eastAsia="zh-CN"/>
        </w:rPr>
        <w:t>6</w:t>
      </w:r>
      <w:r w:rsidR="00BC233A">
        <w:rPr>
          <w:lang w:eastAsia="zh-CN"/>
        </w:rPr>
        <w:tab/>
      </w:r>
      <w:r>
        <w:rPr>
          <w:rFonts w:hint="eastAsia"/>
          <w:lang w:eastAsia="zh-CN"/>
        </w:rPr>
        <w:t>这些费用应尽快由国际电联总秘书处退还给邀请国政府；</w:t>
      </w:r>
    </w:p>
    <w:p w14:paraId="4827B26E" w14:textId="77777777" w:rsidR="00F13B79" w:rsidRDefault="00F13B79" w:rsidP="00DE46A7">
      <w:pPr>
        <w:rPr>
          <w:lang w:eastAsia="zh-CN"/>
        </w:rPr>
      </w:pPr>
      <w:r>
        <w:rPr>
          <w:lang w:eastAsia="zh-CN"/>
        </w:rPr>
        <w:t>7</w:t>
      </w:r>
      <w:r w:rsidR="00BC233A">
        <w:rPr>
          <w:lang w:eastAsia="zh-CN"/>
        </w:rPr>
        <w:tab/>
      </w:r>
      <w:r>
        <w:rPr>
          <w:rFonts w:hint="eastAsia"/>
          <w:lang w:eastAsia="zh-CN"/>
        </w:rPr>
        <w:t>邀请国政府应承担与接待委员会有关的费用以及可能为代表们组织的娱乐活动和其他文娱活动的费用；</w:t>
      </w:r>
    </w:p>
    <w:p w14:paraId="4827B26F" w14:textId="77777777" w:rsidR="00F13B79" w:rsidRDefault="00F13B79" w:rsidP="00DE46A7">
      <w:pPr>
        <w:rPr>
          <w:lang w:eastAsia="zh-CN"/>
        </w:rPr>
      </w:pPr>
      <w:r>
        <w:rPr>
          <w:lang w:eastAsia="zh-CN"/>
        </w:rPr>
        <w:t>8</w:t>
      </w:r>
      <w:r w:rsidR="00BC233A">
        <w:rPr>
          <w:lang w:eastAsia="zh-CN"/>
        </w:rPr>
        <w:tab/>
      </w:r>
      <w:r>
        <w:rPr>
          <w:rFonts w:hint="eastAsia"/>
          <w:lang w:eastAsia="zh-CN"/>
        </w:rPr>
        <w:t>在其</w:t>
      </w:r>
      <w:r w:rsidR="00BF47AA">
        <w:rPr>
          <w:rFonts w:hint="eastAsia"/>
          <w:lang w:eastAsia="zh-CN"/>
        </w:rPr>
        <w:t>它</w:t>
      </w:r>
      <w:r>
        <w:rPr>
          <w:rFonts w:hint="eastAsia"/>
          <w:lang w:eastAsia="zh-CN"/>
        </w:rPr>
        <w:t>费用方面，秘书长也应尽量从邀请国政府获取必要的垫付资金，这些资金将尽快由国际电联总秘书处退还；</w:t>
      </w:r>
    </w:p>
    <w:p w14:paraId="4827B270" w14:textId="77777777" w:rsidR="00F13B79" w:rsidRDefault="00F13B79" w:rsidP="00DE46A7">
      <w:pPr>
        <w:rPr>
          <w:lang w:eastAsia="zh-CN"/>
        </w:rPr>
      </w:pPr>
      <w:r>
        <w:rPr>
          <w:lang w:eastAsia="zh-CN"/>
        </w:rPr>
        <w:t>9</w:t>
      </w:r>
      <w:r w:rsidR="00BC233A">
        <w:rPr>
          <w:lang w:eastAsia="zh-CN"/>
        </w:rPr>
        <w:tab/>
      </w:r>
      <w:r>
        <w:rPr>
          <w:rFonts w:hint="eastAsia"/>
          <w:lang w:eastAsia="zh-CN"/>
        </w:rPr>
        <w:t>除非理事会为相关某一年度或几个年度提供适当拨款，否则不得根据《内罗毕公约》</w:t>
      </w:r>
      <w:r>
        <w:rPr>
          <w:lang w:eastAsia="zh-CN"/>
        </w:rPr>
        <w:t>（</w:t>
      </w:r>
      <w:r>
        <w:rPr>
          <w:lang w:eastAsia="zh-CN"/>
        </w:rPr>
        <w:t>1982</w:t>
      </w:r>
      <w:r>
        <w:rPr>
          <w:rFonts w:hint="eastAsia"/>
          <w:lang w:eastAsia="zh-CN"/>
        </w:rPr>
        <w:t>年</w:t>
      </w:r>
      <w:r>
        <w:rPr>
          <w:lang w:eastAsia="zh-CN"/>
        </w:rPr>
        <w:t>）</w:t>
      </w:r>
      <w:r>
        <w:rPr>
          <w:rFonts w:hint="eastAsia"/>
          <w:lang w:eastAsia="zh-CN"/>
        </w:rPr>
        <w:t>的第</w:t>
      </w:r>
      <w:r>
        <w:rPr>
          <w:lang w:eastAsia="zh-CN"/>
        </w:rPr>
        <w:t>107</w:t>
      </w:r>
      <w:r>
        <w:rPr>
          <w:rFonts w:hint="eastAsia"/>
          <w:lang w:eastAsia="zh-CN"/>
        </w:rPr>
        <w:t>至</w:t>
      </w:r>
      <w:r>
        <w:rPr>
          <w:lang w:eastAsia="zh-CN"/>
        </w:rPr>
        <w:t>109</w:t>
      </w:r>
      <w:r>
        <w:rPr>
          <w:rFonts w:hint="eastAsia"/>
          <w:lang w:eastAsia="zh-CN"/>
        </w:rPr>
        <w:t>款召开大会或会议。当理事会批准此类拨款时，它应已掌握有与邀请国政府签订的协议，但是在特殊情况下，亦可根据秘书长日后即将签订的协议先行批准拨款。无论如何，协议的条款以及拨款数量必须在《公约》第</w:t>
      </w:r>
      <w:r>
        <w:rPr>
          <w:lang w:eastAsia="zh-CN"/>
        </w:rPr>
        <w:t>475</w:t>
      </w:r>
      <w:r>
        <w:rPr>
          <w:rFonts w:hint="eastAsia"/>
          <w:lang w:eastAsia="zh-CN"/>
        </w:rPr>
        <w:t>至</w:t>
      </w:r>
      <w:r>
        <w:rPr>
          <w:lang w:eastAsia="zh-CN"/>
        </w:rPr>
        <w:t>479</w:t>
      </w:r>
      <w:r>
        <w:rPr>
          <w:rFonts w:hint="eastAsia"/>
          <w:lang w:eastAsia="zh-CN"/>
        </w:rPr>
        <w:t>款提及的预算控制委员会的第一次会议上提请该委员会注意；</w:t>
      </w:r>
    </w:p>
    <w:p w14:paraId="4827B271" w14:textId="77777777" w:rsidR="00F13B79" w:rsidRDefault="00F13B79" w:rsidP="00DE46A7">
      <w:pPr>
        <w:rPr>
          <w:lang w:eastAsia="zh-CN"/>
        </w:rPr>
      </w:pPr>
      <w:r>
        <w:rPr>
          <w:lang w:eastAsia="zh-CN"/>
        </w:rPr>
        <w:t>10</w:t>
      </w:r>
      <w:r w:rsidR="00BC233A">
        <w:rPr>
          <w:lang w:eastAsia="zh-CN"/>
        </w:rPr>
        <w:tab/>
      </w:r>
      <w:r>
        <w:rPr>
          <w:rFonts w:hint="eastAsia"/>
          <w:lang w:eastAsia="zh-CN"/>
        </w:rPr>
        <w:t>对于根据</w:t>
      </w:r>
      <w:r>
        <w:rPr>
          <w:lang w:eastAsia="zh-CN"/>
        </w:rPr>
        <w:t>1982</w:t>
      </w:r>
      <w:r>
        <w:rPr>
          <w:rFonts w:hint="eastAsia"/>
          <w:lang w:eastAsia="zh-CN"/>
        </w:rPr>
        <w:t>年《内罗毕公约》第</w:t>
      </w:r>
      <w:r>
        <w:rPr>
          <w:lang w:eastAsia="zh-CN"/>
        </w:rPr>
        <w:t>115</w:t>
      </w:r>
      <w:r>
        <w:rPr>
          <w:rFonts w:hint="eastAsia"/>
          <w:lang w:eastAsia="zh-CN"/>
        </w:rPr>
        <w:t>款举办的大会和会议，如果理事会在大会或会议开始之前召开理事会会议的话，协议和预算草案应提交给理事会。如果理事会不开会，则须由预算控制委员会在其第一次会议上对协议和预算草案予以批准；</w:t>
      </w:r>
    </w:p>
    <w:p w14:paraId="4827B272" w14:textId="77777777" w:rsidR="00F13B79" w:rsidRDefault="00F13B79" w:rsidP="00DE46A7">
      <w:pPr>
        <w:rPr>
          <w:lang w:eastAsia="zh-CN"/>
        </w:rPr>
      </w:pPr>
      <w:r>
        <w:rPr>
          <w:lang w:eastAsia="zh-CN"/>
        </w:rPr>
        <w:t>11</w:t>
      </w:r>
      <w:r w:rsidR="00BC233A">
        <w:rPr>
          <w:lang w:eastAsia="zh-CN"/>
        </w:rPr>
        <w:tab/>
      </w:r>
      <w:r>
        <w:rPr>
          <w:rFonts w:hint="eastAsia"/>
          <w:lang w:eastAsia="zh-CN"/>
        </w:rPr>
        <w:t>与邀请国政府签订的协议必须包含有关因国际电联的有权机构通过的决定而导致大会或会议取消或推迟、或变更会议地点的条款：</w:t>
      </w:r>
    </w:p>
    <w:p w14:paraId="4827B273" w14:textId="77777777" w:rsidR="00F13B79" w:rsidRDefault="00F13B79" w:rsidP="00DE46A7">
      <w:pPr>
        <w:rPr>
          <w:lang w:eastAsia="zh-CN"/>
        </w:rPr>
      </w:pPr>
      <w:r>
        <w:rPr>
          <w:lang w:eastAsia="zh-CN"/>
        </w:rPr>
        <w:t>11.1</w:t>
      </w:r>
      <w:r>
        <w:rPr>
          <w:lang w:eastAsia="zh-CN"/>
        </w:rPr>
        <w:tab/>
      </w:r>
      <w:r>
        <w:rPr>
          <w:rFonts w:hint="eastAsia"/>
          <w:lang w:eastAsia="zh-CN"/>
        </w:rPr>
        <w:t>在这种情况下，一般应明确规定，若邀请国政府未同意由其支付某些支出，而这些支出亦不可或缺且不可取消或减少时，国际电联仅应向邀请国政府支付该政府承诺的费用或大会筹备中实际的支出；</w:t>
      </w:r>
    </w:p>
    <w:p w14:paraId="4827B274" w14:textId="77777777" w:rsidR="00F13B79" w:rsidRDefault="00F13B79" w:rsidP="00DE46A7">
      <w:pPr>
        <w:rPr>
          <w:lang w:eastAsia="zh-CN"/>
        </w:rPr>
      </w:pPr>
      <w:r>
        <w:rPr>
          <w:lang w:eastAsia="zh-CN"/>
        </w:rPr>
        <w:t>11.2</w:t>
      </w:r>
      <w:r>
        <w:rPr>
          <w:lang w:eastAsia="zh-CN"/>
        </w:rPr>
        <w:tab/>
      </w:r>
      <w:r>
        <w:rPr>
          <w:rFonts w:hint="eastAsia"/>
          <w:lang w:eastAsia="zh-CN"/>
        </w:rPr>
        <w:t>如果筹备大会会场的费用由国际电联承担，协议应规定出应完成的具体工程的细节及其费用，而且应在保证顺利组织大会的条件下尽量节省；</w:t>
      </w:r>
    </w:p>
    <w:p w14:paraId="4827B275" w14:textId="77777777" w:rsidR="00F13B79" w:rsidRDefault="00F13B79" w:rsidP="00DE46A7">
      <w:pPr>
        <w:rPr>
          <w:lang w:eastAsia="zh-CN"/>
        </w:rPr>
      </w:pPr>
      <w:r>
        <w:rPr>
          <w:lang w:eastAsia="zh-CN"/>
        </w:rPr>
        <w:t>11.3</w:t>
      </w:r>
      <w:r>
        <w:rPr>
          <w:lang w:eastAsia="zh-CN"/>
        </w:rPr>
        <w:tab/>
      </w:r>
      <w:r>
        <w:rPr>
          <w:rFonts w:hint="eastAsia"/>
          <w:lang w:eastAsia="zh-CN"/>
        </w:rPr>
        <w:t>除极特殊情况外，为代表、工作人员等预定</w:t>
      </w:r>
      <w:r w:rsidR="00BF47AA">
        <w:rPr>
          <w:rFonts w:hint="eastAsia"/>
          <w:lang w:eastAsia="zh-CN"/>
        </w:rPr>
        <w:t>酒</w:t>
      </w:r>
      <w:r>
        <w:rPr>
          <w:rFonts w:hint="eastAsia"/>
          <w:lang w:eastAsia="zh-CN"/>
        </w:rPr>
        <w:t>店不应给国际电联带来任何财务方面的责任，</w:t>
      </w:r>
    </w:p>
    <w:p w14:paraId="4827B276" w14:textId="77777777" w:rsidR="00075D0A" w:rsidRDefault="00075D0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277" w14:textId="77777777" w:rsidR="00F13B79" w:rsidRDefault="00F13B79" w:rsidP="00DE46A7">
      <w:pPr>
        <w:rPr>
          <w:lang w:eastAsia="zh-CN"/>
        </w:rPr>
      </w:pPr>
      <w:r>
        <w:rPr>
          <w:lang w:eastAsia="zh-CN"/>
        </w:rPr>
        <w:lastRenderedPageBreak/>
        <w:t>12</w:t>
      </w:r>
      <w:r w:rsidR="00BC233A">
        <w:rPr>
          <w:lang w:eastAsia="zh-CN"/>
        </w:rPr>
        <w:tab/>
      </w:r>
      <w:r>
        <w:rPr>
          <w:rFonts w:hint="eastAsia"/>
          <w:lang w:eastAsia="zh-CN"/>
        </w:rPr>
        <w:t>如果邀请国政府发生变化宣布不能在商定的地点或时间举办大会或会议，则国际电联不负责邀请国政府在筹备大会或会议时所支付的费用，</w:t>
      </w:r>
    </w:p>
    <w:p w14:paraId="4827B278" w14:textId="77777777" w:rsidR="00F13B79" w:rsidRDefault="00F13B79" w:rsidP="00DE46A7">
      <w:pPr>
        <w:rPr>
          <w:lang w:eastAsia="zh-CN"/>
        </w:rPr>
      </w:pPr>
      <w:r>
        <w:rPr>
          <w:lang w:eastAsia="zh-CN"/>
        </w:rPr>
        <w:t>13</w:t>
      </w:r>
      <w:r w:rsidR="00BC233A">
        <w:rPr>
          <w:lang w:eastAsia="zh-CN"/>
        </w:rPr>
        <w:tab/>
      </w:r>
      <w:r>
        <w:rPr>
          <w:rFonts w:hint="eastAsia"/>
          <w:lang w:eastAsia="zh-CN"/>
        </w:rPr>
        <w:t>根据邀请国政府的要求，而且兑换条件合适的话，该国政府对国际电联所欠的会费可部分以当地货币支付，该支付部分应能满足以该货币结算大会支出的需要。</w:t>
      </w:r>
    </w:p>
    <w:p w14:paraId="4827B279" w14:textId="77777777" w:rsidR="00F13B79" w:rsidRDefault="00510C29" w:rsidP="00DE46A7">
      <w:pPr>
        <w:pStyle w:val="Headingi"/>
        <w:rPr>
          <w:lang w:eastAsia="zh-CN"/>
        </w:rPr>
      </w:pPr>
      <w:r>
        <w:rPr>
          <w:lang w:eastAsia="zh-CN"/>
        </w:rPr>
        <w:t>C</w:t>
      </w:r>
      <w:r w:rsidR="00F13B79">
        <w:rPr>
          <w:lang w:eastAsia="zh-CN"/>
        </w:rPr>
        <w:tab/>
      </w:r>
      <w:r w:rsidR="00F13B79">
        <w:rPr>
          <w:rFonts w:hint="eastAsia"/>
          <w:lang w:eastAsia="zh-CN"/>
        </w:rPr>
        <w:t>未列入年度预算的大会支出</w:t>
      </w:r>
      <w:r w:rsidR="00E8383D">
        <w:rPr>
          <w:rFonts w:hint="eastAsia"/>
          <w:lang w:eastAsia="zh-CN"/>
        </w:rPr>
        <w:t>账目</w:t>
      </w:r>
      <w:r w:rsidR="00F13B79">
        <w:rPr>
          <w:rFonts w:hint="eastAsia"/>
          <w:lang w:eastAsia="zh-CN"/>
        </w:rPr>
        <w:t>的结算</w:t>
      </w:r>
    </w:p>
    <w:p w14:paraId="4827B27A" w14:textId="77777777" w:rsidR="00F13B79" w:rsidRDefault="00F13B79" w:rsidP="00DE46A7">
      <w:pPr>
        <w:rPr>
          <w:lang w:eastAsia="zh-CN"/>
        </w:rPr>
      </w:pPr>
      <w:r>
        <w:rPr>
          <w:lang w:eastAsia="zh-CN"/>
        </w:rPr>
        <w:t>14</w:t>
      </w:r>
      <w:r w:rsidR="00BC233A">
        <w:rPr>
          <w:lang w:eastAsia="zh-CN"/>
        </w:rPr>
        <w:tab/>
      </w:r>
      <w:r>
        <w:rPr>
          <w:rFonts w:hint="eastAsia"/>
          <w:lang w:eastAsia="zh-CN"/>
        </w:rPr>
        <w:t>为尽可能减少瑞士联邦政府提供的任何预垫款的利息总额，参加这些大会的与会者的会费份额应毫无拖欠，立即收取。为此：</w:t>
      </w:r>
    </w:p>
    <w:p w14:paraId="4827B27B" w14:textId="77777777" w:rsidR="00F13B79" w:rsidRDefault="00F13B79" w:rsidP="00DE46A7">
      <w:pPr>
        <w:rPr>
          <w:lang w:eastAsia="zh-CN"/>
        </w:rPr>
      </w:pPr>
      <w:r>
        <w:rPr>
          <w:lang w:eastAsia="zh-CN"/>
        </w:rPr>
        <w:t>14.1</w:t>
      </w:r>
      <w:r>
        <w:rPr>
          <w:lang w:eastAsia="zh-CN"/>
        </w:rPr>
        <w:tab/>
      </w:r>
      <w:r>
        <w:rPr>
          <w:rFonts w:hint="eastAsia"/>
          <w:lang w:eastAsia="zh-CN"/>
        </w:rPr>
        <w:t>当一届大会召开的时间跨越下一个财政年度时，秘书长应向各主管部门或组织转交一份它们对当前财政年度发生费用所该应分摊的份额账目，</w:t>
      </w:r>
    </w:p>
    <w:p w14:paraId="4827B27C" w14:textId="77777777" w:rsidR="00F13B79" w:rsidRDefault="00F13B79" w:rsidP="00DE46A7">
      <w:pPr>
        <w:rPr>
          <w:lang w:eastAsia="zh-CN"/>
        </w:rPr>
      </w:pPr>
      <w:r>
        <w:rPr>
          <w:lang w:eastAsia="zh-CN"/>
        </w:rPr>
        <w:t>14.2</w:t>
      </w:r>
      <w:r>
        <w:rPr>
          <w:lang w:eastAsia="zh-CN"/>
        </w:rPr>
        <w:tab/>
      </w:r>
      <w:r>
        <w:rPr>
          <w:rFonts w:hint="eastAsia"/>
          <w:lang w:eastAsia="zh-CN"/>
        </w:rPr>
        <w:t>如果在大会闭幕时，最终</w:t>
      </w:r>
      <w:r w:rsidR="00E8383D">
        <w:rPr>
          <w:rFonts w:hint="eastAsia"/>
          <w:lang w:eastAsia="zh-CN"/>
        </w:rPr>
        <w:t>账目</w:t>
      </w:r>
      <w:r>
        <w:rPr>
          <w:rFonts w:hint="eastAsia"/>
          <w:lang w:eastAsia="zh-CN"/>
        </w:rPr>
        <w:t>似乎不可能在一个月内确定，则秘书长应根据闭幕全体会议上批准的支出报表，立即向与会者提供一份其费用分摊额的临时</w:t>
      </w:r>
      <w:r w:rsidR="00E8383D">
        <w:rPr>
          <w:rFonts w:hint="eastAsia"/>
          <w:lang w:eastAsia="zh-CN"/>
        </w:rPr>
        <w:t>账目</w:t>
      </w:r>
      <w:r>
        <w:rPr>
          <w:rFonts w:hint="eastAsia"/>
          <w:lang w:eastAsia="zh-CN"/>
        </w:rPr>
        <w:t>；当</w:t>
      </w:r>
      <w:r w:rsidR="00E8383D">
        <w:rPr>
          <w:rFonts w:hint="eastAsia"/>
          <w:lang w:eastAsia="zh-CN"/>
        </w:rPr>
        <w:t>账目</w:t>
      </w:r>
      <w:r>
        <w:rPr>
          <w:rFonts w:hint="eastAsia"/>
          <w:lang w:eastAsia="zh-CN"/>
        </w:rPr>
        <w:t>最终结清时，如果仍有差额需要结付，将随后另寄一份报账单。</w:t>
      </w:r>
    </w:p>
    <w:p w14:paraId="4827B27D" w14:textId="77777777" w:rsidR="00F13B79" w:rsidRDefault="00510C29" w:rsidP="00DE46A7">
      <w:pPr>
        <w:pStyle w:val="Headingi"/>
        <w:rPr>
          <w:i/>
          <w:iCs/>
          <w:lang w:eastAsia="zh-CN"/>
        </w:rPr>
      </w:pPr>
      <w:r>
        <w:rPr>
          <w:lang w:eastAsia="zh-CN"/>
        </w:rPr>
        <w:t>D</w:t>
      </w:r>
      <w:r w:rsidR="00F13B79">
        <w:rPr>
          <w:lang w:eastAsia="zh-CN"/>
        </w:rPr>
        <w:tab/>
      </w:r>
      <w:r w:rsidR="00F13B79">
        <w:rPr>
          <w:rFonts w:hint="eastAsia"/>
          <w:lang w:eastAsia="zh-CN"/>
        </w:rPr>
        <w:t>大会在财务事宜方面的特权限制</w:t>
      </w:r>
    </w:p>
    <w:p w14:paraId="4827B27E" w14:textId="77777777" w:rsidR="00F13B79" w:rsidRDefault="00F13B79" w:rsidP="00DE46A7">
      <w:pPr>
        <w:rPr>
          <w:lang w:eastAsia="zh-CN"/>
        </w:rPr>
      </w:pPr>
      <w:r>
        <w:rPr>
          <w:lang w:eastAsia="zh-CN"/>
        </w:rPr>
        <w:t>15</w:t>
      </w:r>
      <w:r w:rsidR="00BC233A">
        <w:rPr>
          <w:lang w:eastAsia="zh-CN"/>
        </w:rPr>
        <w:tab/>
      </w:r>
      <w:r>
        <w:rPr>
          <w:rFonts w:hint="eastAsia"/>
          <w:lang w:eastAsia="zh-CN"/>
        </w:rPr>
        <w:t>除《内罗毕公约》</w:t>
      </w:r>
      <w:r>
        <w:rPr>
          <w:lang w:eastAsia="zh-CN"/>
        </w:rPr>
        <w:t>（</w:t>
      </w:r>
      <w:r>
        <w:rPr>
          <w:lang w:eastAsia="zh-CN"/>
        </w:rPr>
        <w:t>1982</w:t>
      </w:r>
      <w:r>
        <w:rPr>
          <w:rFonts w:hint="eastAsia"/>
          <w:lang w:eastAsia="zh-CN"/>
        </w:rPr>
        <w:t>年</w:t>
      </w:r>
      <w:r>
        <w:rPr>
          <w:lang w:eastAsia="zh-CN"/>
        </w:rPr>
        <w:t>）</w:t>
      </w:r>
      <w:r>
        <w:rPr>
          <w:rFonts w:hint="eastAsia"/>
          <w:lang w:eastAsia="zh-CN"/>
        </w:rPr>
        <w:t>第</w:t>
      </w:r>
      <w:r>
        <w:rPr>
          <w:lang w:eastAsia="zh-CN"/>
        </w:rPr>
        <w:t>54</w:t>
      </w:r>
      <w:r>
        <w:rPr>
          <w:rFonts w:hint="eastAsia"/>
          <w:lang w:eastAsia="zh-CN"/>
        </w:rPr>
        <w:t>条规定的程序外，在原会议结束后，大会无权对今后同一大会的未来会议，或今后的大会进行安排；</w:t>
      </w:r>
    </w:p>
    <w:p w14:paraId="4827B27F" w14:textId="77777777" w:rsidR="00F13B79" w:rsidRDefault="00F13B79" w:rsidP="00DE46A7">
      <w:pPr>
        <w:rPr>
          <w:lang w:eastAsia="zh-CN"/>
        </w:rPr>
      </w:pPr>
      <w:r>
        <w:rPr>
          <w:lang w:eastAsia="zh-CN"/>
        </w:rPr>
        <w:t>16</w:t>
      </w:r>
      <w:r w:rsidR="00BC233A">
        <w:rPr>
          <w:lang w:eastAsia="zh-CN"/>
        </w:rPr>
        <w:tab/>
      </w:r>
      <w:r>
        <w:rPr>
          <w:rFonts w:hint="eastAsia"/>
          <w:lang w:eastAsia="zh-CN"/>
        </w:rPr>
        <w:t>除全权代表大会以外，其他大会均无权授权秘书长要求邀请国政府垫付资金或要求瑞士联邦政府垫付资金。只有在《公约》和全权代表大会、或理事会指导原则有所规定的情况下，秘书长才能如此行事；</w:t>
      </w:r>
    </w:p>
    <w:p w14:paraId="4827B280" w14:textId="77777777" w:rsidR="00F13B79" w:rsidRDefault="00F13B79" w:rsidP="00DE46A7">
      <w:pPr>
        <w:rPr>
          <w:lang w:eastAsia="zh-CN"/>
        </w:rPr>
      </w:pPr>
      <w:r>
        <w:rPr>
          <w:lang w:eastAsia="zh-CN"/>
        </w:rPr>
        <w:t>17</w:t>
      </w:r>
      <w:r w:rsidR="00BC233A">
        <w:rPr>
          <w:lang w:eastAsia="zh-CN"/>
        </w:rPr>
        <w:tab/>
      </w:r>
      <w:r>
        <w:rPr>
          <w:rFonts w:hint="eastAsia"/>
          <w:lang w:eastAsia="zh-CN"/>
        </w:rPr>
        <w:t>各行政大会和咨询委员会的全会必须遵照《内罗毕公约》</w:t>
      </w:r>
      <w:r>
        <w:rPr>
          <w:lang w:eastAsia="zh-CN"/>
        </w:rPr>
        <w:t>（</w:t>
      </w:r>
      <w:r>
        <w:rPr>
          <w:lang w:eastAsia="zh-CN"/>
        </w:rPr>
        <w:t>1982</w:t>
      </w:r>
      <w:r>
        <w:rPr>
          <w:rFonts w:hint="eastAsia"/>
          <w:lang w:eastAsia="zh-CN"/>
        </w:rPr>
        <w:t>年</w:t>
      </w:r>
      <w:r>
        <w:rPr>
          <w:lang w:eastAsia="zh-CN"/>
        </w:rPr>
        <w:t>）</w:t>
      </w:r>
      <w:r>
        <w:rPr>
          <w:rFonts w:hint="eastAsia"/>
          <w:lang w:eastAsia="zh-CN"/>
        </w:rPr>
        <w:t>的第</w:t>
      </w:r>
      <w:r>
        <w:rPr>
          <w:lang w:eastAsia="zh-CN"/>
        </w:rPr>
        <w:t>627</w:t>
      </w:r>
      <w:r>
        <w:rPr>
          <w:rFonts w:hint="eastAsia"/>
          <w:lang w:eastAsia="zh-CN"/>
        </w:rPr>
        <w:t>和</w:t>
      </w:r>
      <w:r>
        <w:rPr>
          <w:lang w:eastAsia="zh-CN"/>
        </w:rPr>
        <w:t>628</w:t>
      </w:r>
      <w:r>
        <w:rPr>
          <w:rFonts w:hint="eastAsia"/>
          <w:lang w:eastAsia="zh-CN"/>
        </w:rPr>
        <w:t>款的规定。</w:t>
      </w:r>
    </w:p>
    <w:p w14:paraId="4827B281" w14:textId="77777777" w:rsidR="00F13B79" w:rsidRDefault="00510C29" w:rsidP="00DE46A7">
      <w:pPr>
        <w:pStyle w:val="Headingi"/>
        <w:rPr>
          <w:lang w:eastAsia="zh-CN"/>
        </w:rPr>
      </w:pPr>
      <w:r>
        <w:rPr>
          <w:lang w:eastAsia="zh-CN"/>
        </w:rPr>
        <w:t>E</w:t>
      </w:r>
      <w:r w:rsidR="00F13B79">
        <w:rPr>
          <w:lang w:eastAsia="zh-CN"/>
        </w:rPr>
        <w:tab/>
      </w:r>
      <w:r w:rsidR="00F13B79">
        <w:rPr>
          <w:rFonts w:hint="eastAsia"/>
          <w:lang w:eastAsia="zh-CN"/>
        </w:rPr>
        <w:t>大会或会议最后案文的出版</w:t>
      </w:r>
    </w:p>
    <w:p w14:paraId="4827B282" w14:textId="77777777" w:rsidR="00F13B79" w:rsidRDefault="00F13B79" w:rsidP="00DE46A7">
      <w:pPr>
        <w:rPr>
          <w:lang w:eastAsia="zh-CN"/>
        </w:rPr>
      </w:pPr>
      <w:r>
        <w:rPr>
          <w:lang w:eastAsia="zh-CN"/>
        </w:rPr>
        <w:t>18</w:t>
      </w:r>
      <w:r w:rsidR="00BC233A">
        <w:rPr>
          <w:lang w:eastAsia="zh-CN"/>
        </w:rPr>
        <w:tab/>
      </w:r>
      <w:r>
        <w:rPr>
          <w:rFonts w:hint="eastAsia"/>
          <w:lang w:eastAsia="zh-CN"/>
        </w:rPr>
        <w:t>原则上来讲，大会或会议批准的最后案文，无论其印制方法如何，均应由总秘书处在其通常的出版处、以成本最低的方式出版；</w:t>
      </w:r>
    </w:p>
    <w:p w14:paraId="4827B283" w14:textId="77777777" w:rsidR="00F13B79" w:rsidRDefault="00F13B79" w:rsidP="00DE46A7">
      <w:pPr>
        <w:rPr>
          <w:lang w:eastAsia="zh-CN"/>
        </w:rPr>
      </w:pPr>
      <w:r>
        <w:rPr>
          <w:lang w:eastAsia="zh-CN"/>
        </w:rPr>
        <w:t>19</w:t>
      </w:r>
      <w:r w:rsidR="00BC233A">
        <w:rPr>
          <w:lang w:eastAsia="zh-CN"/>
        </w:rPr>
        <w:tab/>
      </w:r>
      <w:r>
        <w:rPr>
          <w:rFonts w:hint="eastAsia"/>
          <w:lang w:eastAsia="zh-CN"/>
        </w:rPr>
        <w:t>然而，在公认情况紧急和大会或会议提出特殊要求的情况下，可以忽视此项规定；</w:t>
      </w:r>
    </w:p>
    <w:p w14:paraId="4827B284" w14:textId="77777777" w:rsidR="00F13B79" w:rsidRDefault="00F13B79" w:rsidP="00DE46A7">
      <w:pPr>
        <w:rPr>
          <w:lang w:eastAsia="zh-CN"/>
        </w:rPr>
      </w:pPr>
      <w:r>
        <w:rPr>
          <w:lang w:eastAsia="zh-CN"/>
        </w:rPr>
        <w:t>20</w:t>
      </w:r>
      <w:r w:rsidR="00BC233A">
        <w:rPr>
          <w:lang w:eastAsia="zh-CN"/>
        </w:rPr>
        <w:tab/>
      </w:r>
      <w:r>
        <w:rPr>
          <w:rFonts w:hint="eastAsia"/>
          <w:lang w:eastAsia="zh-CN"/>
        </w:rPr>
        <w:t>除向有关人员分发作为大会文件的最后案文外，不应免费向参加大会或会议的与会者提供更多份数的最后案文。</w:t>
      </w:r>
    </w:p>
    <w:p w14:paraId="4827B285" w14:textId="77777777" w:rsidR="003C22D4" w:rsidRDefault="003C22D4">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lang w:eastAsia="zh-CN"/>
        </w:rPr>
        <w:br w:type="page"/>
      </w:r>
    </w:p>
    <w:p w14:paraId="4827B286" w14:textId="77777777" w:rsidR="00F13B79" w:rsidRPr="00DE46A7" w:rsidRDefault="00510C29" w:rsidP="00DE46A7">
      <w:pPr>
        <w:pStyle w:val="Headingi"/>
        <w:rPr>
          <w:lang w:eastAsia="zh-CN"/>
        </w:rPr>
      </w:pPr>
      <w:r>
        <w:rPr>
          <w:lang w:eastAsia="zh-CN"/>
        </w:rPr>
        <w:lastRenderedPageBreak/>
        <w:t>F</w:t>
      </w:r>
      <w:r w:rsidR="00F13B79" w:rsidRPr="00DE46A7">
        <w:rPr>
          <w:lang w:eastAsia="zh-CN"/>
        </w:rPr>
        <w:tab/>
      </w:r>
      <w:r w:rsidR="00BF47AA" w:rsidRPr="00DE46A7">
        <w:rPr>
          <w:rFonts w:hint="eastAsia"/>
          <w:lang w:eastAsia="zh-CN"/>
        </w:rPr>
        <w:t>国际咨询委员会（</w:t>
      </w:r>
      <w:r w:rsidR="00F13B79" w:rsidRPr="00DE46A7">
        <w:rPr>
          <w:lang w:eastAsia="zh-CN"/>
        </w:rPr>
        <w:t>CCI</w:t>
      </w:r>
      <w:r w:rsidR="00BF47AA" w:rsidRPr="00DE46A7">
        <w:rPr>
          <w:rFonts w:hint="eastAsia"/>
          <w:lang w:eastAsia="zh-CN"/>
        </w:rPr>
        <w:t>）的</w:t>
      </w:r>
      <w:r w:rsidR="00F13B79" w:rsidRPr="00DE46A7">
        <w:rPr>
          <w:rFonts w:hint="eastAsia"/>
          <w:lang w:eastAsia="zh-CN"/>
        </w:rPr>
        <w:t>全会与研究组</w:t>
      </w:r>
    </w:p>
    <w:p w14:paraId="4827B287" w14:textId="77777777" w:rsidR="00F13B79" w:rsidRDefault="00F13B79" w:rsidP="00DE46A7">
      <w:pPr>
        <w:rPr>
          <w:lang w:eastAsia="zh-CN"/>
        </w:rPr>
      </w:pPr>
      <w:r>
        <w:rPr>
          <w:lang w:eastAsia="zh-CN"/>
        </w:rPr>
        <w:t>21</w:t>
      </w:r>
      <w:r w:rsidR="00BC233A">
        <w:rPr>
          <w:lang w:eastAsia="zh-CN"/>
        </w:rPr>
        <w:tab/>
      </w:r>
      <w:r>
        <w:rPr>
          <w:rFonts w:hint="eastAsia"/>
          <w:lang w:eastAsia="zh-CN"/>
        </w:rPr>
        <w:t>本决议的条款适用于</w:t>
      </w:r>
      <w:r>
        <w:rPr>
          <w:lang w:eastAsia="zh-CN"/>
        </w:rPr>
        <w:t>CCI</w:t>
      </w:r>
      <w:r>
        <w:rPr>
          <w:rFonts w:hint="eastAsia"/>
          <w:lang w:eastAsia="zh-CN"/>
        </w:rPr>
        <w:t>全会和研究组会议，秘书长经与</w:t>
      </w:r>
      <w:r>
        <w:rPr>
          <w:lang w:eastAsia="zh-CN"/>
        </w:rPr>
        <w:t>CCI</w:t>
      </w:r>
      <w:r>
        <w:rPr>
          <w:rFonts w:hint="eastAsia"/>
          <w:lang w:eastAsia="zh-CN"/>
        </w:rPr>
        <w:t>有关主任协商后，应为这些会议做出必要的行政和财务安排。</w:t>
      </w:r>
    </w:p>
    <w:p w14:paraId="4827B288" w14:textId="77777777" w:rsidR="00F11D1D" w:rsidRPr="00364022" w:rsidRDefault="00F13B79" w:rsidP="00364022">
      <w:pPr>
        <w:pStyle w:val="EndnoteText"/>
      </w:pPr>
      <w:r w:rsidRPr="00364022">
        <w:rPr>
          <w:rFonts w:hint="eastAsia"/>
        </w:rPr>
        <w:t>参阅：</w:t>
      </w:r>
      <w:r w:rsidRPr="00364022">
        <w:tab/>
        <w:t>265/CA3</w:t>
      </w:r>
      <w:r w:rsidRPr="00364022">
        <w:t>（</w:t>
      </w:r>
      <w:r w:rsidRPr="00364022">
        <w:t>1948</w:t>
      </w:r>
      <w:r w:rsidRPr="00364022">
        <w:rPr>
          <w:rFonts w:hint="eastAsia"/>
        </w:rPr>
        <w:t>年</w:t>
      </w:r>
      <w:r w:rsidRPr="00364022">
        <w:t>）</w:t>
      </w:r>
      <w:r w:rsidRPr="00364022">
        <w:rPr>
          <w:rFonts w:hint="eastAsia"/>
        </w:rPr>
        <w:t>、</w:t>
      </w:r>
      <w:r w:rsidRPr="00364022">
        <w:t>558/CA4</w:t>
      </w:r>
      <w:r w:rsidRPr="00364022">
        <w:t>（</w:t>
      </w:r>
      <w:r w:rsidRPr="00364022">
        <w:t>1949</w:t>
      </w:r>
      <w:r w:rsidRPr="00364022">
        <w:rPr>
          <w:rFonts w:hint="eastAsia"/>
        </w:rPr>
        <w:t>年</w:t>
      </w:r>
      <w:r w:rsidRPr="00364022">
        <w:t>）</w:t>
      </w:r>
      <w:r w:rsidRPr="00364022">
        <w:rPr>
          <w:rFonts w:hint="eastAsia"/>
        </w:rPr>
        <w:t>、</w:t>
      </w:r>
      <w:r w:rsidRPr="00364022">
        <w:t>806/CA5</w:t>
      </w:r>
      <w:r w:rsidRPr="00364022">
        <w:t>（</w:t>
      </w:r>
      <w:r w:rsidRPr="00364022">
        <w:t>1950</w:t>
      </w:r>
      <w:r w:rsidRPr="00364022">
        <w:rPr>
          <w:rFonts w:hint="eastAsia"/>
        </w:rPr>
        <w:t>年</w:t>
      </w:r>
      <w:r w:rsidRPr="00364022">
        <w:t>）</w:t>
      </w:r>
      <w:r w:rsidRPr="00364022">
        <w:rPr>
          <w:rFonts w:hint="eastAsia"/>
        </w:rPr>
        <w:t>、</w:t>
      </w:r>
      <w:r w:rsidRPr="00364022">
        <w:t>1606/CA9</w:t>
      </w:r>
      <w:r w:rsidR="00364022">
        <w:br/>
      </w:r>
      <w:r w:rsidRPr="00364022">
        <w:t>（</w:t>
      </w:r>
      <w:r w:rsidRPr="00364022">
        <w:t>1954</w:t>
      </w:r>
      <w:r w:rsidRPr="00364022">
        <w:rPr>
          <w:rFonts w:hint="eastAsia"/>
        </w:rPr>
        <w:t>年</w:t>
      </w:r>
      <w:r w:rsidRPr="00364022">
        <w:t>）</w:t>
      </w:r>
      <w:r w:rsidRPr="00364022">
        <w:rPr>
          <w:rFonts w:hint="eastAsia"/>
        </w:rPr>
        <w:t>、</w:t>
      </w:r>
      <w:r w:rsidRPr="00364022">
        <w:t>2499/CA15</w:t>
      </w:r>
      <w:r w:rsidRPr="00364022">
        <w:t>（</w:t>
      </w:r>
      <w:r w:rsidRPr="00364022">
        <w:t>1960</w:t>
      </w:r>
      <w:r w:rsidRPr="00364022">
        <w:rPr>
          <w:rFonts w:hint="eastAsia"/>
        </w:rPr>
        <w:t>年</w:t>
      </w:r>
      <w:r w:rsidRPr="00364022">
        <w:t>）</w:t>
      </w:r>
      <w:r w:rsidRPr="00364022">
        <w:rPr>
          <w:rFonts w:hint="eastAsia"/>
        </w:rPr>
        <w:t>、</w:t>
      </w:r>
      <w:r w:rsidRPr="00364022">
        <w:t>4965/CA31</w:t>
      </w:r>
      <w:r w:rsidRPr="00364022">
        <w:t>（</w:t>
      </w:r>
      <w:r w:rsidRPr="00364022">
        <w:t>1976</w:t>
      </w:r>
      <w:r w:rsidRPr="00364022">
        <w:rPr>
          <w:rFonts w:hint="eastAsia"/>
        </w:rPr>
        <w:t>年</w:t>
      </w:r>
      <w:r w:rsidRPr="00364022">
        <w:t>）</w:t>
      </w:r>
      <w:r w:rsidRPr="00364022">
        <w:rPr>
          <w:rFonts w:hint="eastAsia"/>
        </w:rPr>
        <w:t>、</w:t>
      </w:r>
      <w:r w:rsidRPr="00364022">
        <w:t>6197/CA39</w:t>
      </w:r>
      <w:r w:rsidR="00364022">
        <w:br/>
      </w:r>
      <w:r w:rsidRPr="00364022">
        <w:t>（</w:t>
      </w:r>
      <w:r w:rsidRPr="00364022">
        <w:t>1984</w:t>
      </w:r>
      <w:r w:rsidRPr="00364022">
        <w:rPr>
          <w:rFonts w:hint="eastAsia"/>
        </w:rPr>
        <w:t>年</w:t>
      </w:r>
      <w:r w:rsidRPr="00364022">
        <w:t>）</w:t>
      </w:r>
      <w:r w:rsidRPr="00364022">
        <w:rPr>
          <w:rFonts w:hint="eastAsia"/>
        </w:rPr>
        <w:t>、</w:t>
      </w:r>
      <w:r w:rsidRPr="00364022">
        <w:t>6963/CA45</w:t>
      </w:r>
      <w:r w:rsidRPr="00364022">
        <w:rPr>
          <w:rFonts w:hint="eastAsia"/>
        </w:rPr>
        <w:t>、</w:t>
      </w:r>
      <w:r w:rsidRPr="00364022">
        <w:t>7052/CA45</w:t>
      </w:r>
      <w:r w:rsidRPr="00364022">
        <w:rPr>
          <w:rFonts w:hint="eastAsia"/>
        </w:rPr>
        <w:t>和</w:t>
      </w:r>
      <w:r w:rsidRPr="00364022">
        <w:t>7041/CA45</w:t>
      </w:r>
      <w:r w:rsidRPr="00364022">
        <w:t>（</w:t>
      </w:r>
      <w:r w:rsidRPr="00364022">
        <w:t>1990</w:t>
      </w:r>
      <w:r w:rsidRPr="00364022">
        <w:rPr>
          <w:rFonts w:hint="eastAsia"/>
        </w:rPr>
        <w:t>年</w:t>
      </w:r>
      <w:r w:rsidRPr="00364022">
        <w:t>）</w:t>
      </w:r>
      <w:r w:rsidRPr="00364022">
        <w:rPr>
          <w:rFonts w:hint="eastAsia"/>
        </w:rPr>
        <w:t>号文件。</w:t>
      </w:r>
    </w:p>
    <w:p w14:paraId="4827B289" w14:textId="77777777" w:rsidR="00793F78" w:rsidRDefault="00793F78" w:rsidP="00793F78">
      <w:pPr>
        <w:jc w:val="center"/>
        <w:rPr>
          <w:lang w:eastAsia="zh-CN"/>
        </w:rPr>
      </w:pPr>
      <w:bookmarkStart w:id="1503" w:name="_Toc424117014"/>
      <w:bookmarkStart w:id="1504" w:name="_Toc531706364"/>
      <w:bookmarkStart w:id="1505" w:name="_Toc531706962"/>
      <w:bookmarkStart w:id="1506" w:name="_Toc531768452"/>
      <w:bookmarkStart w:id="1507" w:name="_Toc161224038"/>
      <w:bookmarkStart w:id="1508" w:name="_Toc161732084"/>
      <w:bookmarkStart w:id="1509" w:name="_Toc161741011"/>
      <w:bookmarkStart w:id="1510" w:name="_Toc63839099"/>
      <w:bookmarkStart w:id="1511" w:name="_Toc185237684"/>
      <w:bookmarkStart w:id="1512" w:name="_Toc311469601"/>
      <w:r>
        <w:rPr>
          <w:lang w:eastAsia="zh-CN"/>
        </w:rPr>
        <w:t>______________</w:t>
      </w:r>
    </w:p>
    <w:p w14:paraId="4827B28A" w14:textId="77777777" w:rsidR="00DE46A7" w:rsidRDefault="00AE7F4C" w:rsidP="00A75FB5">
      <w:pPr>
        <w:pStyle w:val="ResNo"/>
        <w:outlineLvl w:val="0"/>
        <w:rPr>
          <w:lang w:eastAsia="zh-CN"/>
        </w:rPr>
      </w:pPr>
      <w:bookmarkStart w:id="1513" w:name="_Toc16085772"/>
      <w:bookmarkStart w:id="1514" w:name="_Toc86395575"/>
      <w:r>
        <w:rPr>
          <w:rFonts w:hint="eastAsia"/>
          <w:lang w:eastAsia="zh-CN"/>
        </w:rPr>
        <w:t>第</w:t>
      </w:r>
      <w:r>
        <w:rPr>
          <w:lang w:eastAsia="zh-CN"/>
        </w:rPr>
        <w:t>7</w:t>
      </w:r>
      <w:r w:rsidRPr="00A32F01">
        <w:rPr>
          <w:lang w:eastAsia="zh-CN"/>
        </w:rPr>
        <w:t>41</w:t>
      </w:r>
      <w:r>
        <w:rPr>
          <w:rFonts w:hint="eastAsia"/>
          <w:lang w:eastAsia="zh-CN"/>
        </w:rPr>
        <w:t>号决议</w:t>
      </w:r>
      <w:r w:rsidR="00DE46A7">
        <w:rPr>
          <w:rFonts w:hint="eastAsia"/>
          <w:lang w:eastAsia="zh-CN"/>
        </w:rPr>
        <w:t>（</w:t>
      </w:r>
      <w:r w:rsidR="00DE46A7" w:rsidRPr="002B0F0F">
        <w:rPr>
          <w:lang w:eastAsia="zh-CN"/>
        </w:rPr>
        <w:t>C-1974</w:t>
      </w:r>
      <w:r w:rsidR="00DE46A7" w:rsidRPr="002B0F0F">
        <w:rPr>
          <w:rFonts w:hint="eastAsia"/>
          <w:lang w:eastAsia="zh-CN"/>
        </w:rPr>
        <w:t>，最后修正</w:t>
      </w:r>
      <w:r w:rsidR="00DE46A7" w:rsidRPr="002B0F0F">
        <w:rPr>
          <w:lang w:eastAsia="zh-CN"/>
        </w:rPr>
        <w:t>C-1984</w:t>
      </w:r>
      <w:r w:rsidR="00DE46A7">
        <w:rPr>
          <w:rFonts w:hint="eastAsia"/>
          <w:lang w:eastAsia="zh-CN"/>
        </w:rPr>
        <w:t>）</w:t>
      </w:r>
      <w:bookmarkEnd w:id="1503"/>
      <w:bookmarkEnd w:id="1504"/>
      <w:bookmarkEnd w:id="1505"/>
      <w:bookmarkEnd w:id="1506"/>
      <w:bookmarkEnd w:id="1513"/>
      <w:bookmarkEnd w:id="1514"/>
    </w:p>
    <w:p w14:paraId="4827B28B" w14:textId="77777777" w:rsidR="00AE7F4C" w:rsidRPr="002B0F0F" w:rsidRDefault="00AE7F4C" w:rsidP="00DE46A7">
      <w:pPr>
        <w:pStyle w:val="Restitle"/>
        <w:rPr>
          <w:lang w:eastAsia="zh-CN"/>
        </w:rPr>
      </w:pPr>
      <w:bookmarkStart w:id="1515" w:name="_Toc424116231"/>
      <w:bookmarkStart w:id="1516" w:name="_Toc424117015"/>
      <w:bookmarkStart w:id="1517" w:name="_Toc460248128"/>
      <w:bookmarkStart w:id="1518" w:name="_Toc531706365"/>
      <w:bookmarkStart w:id="1519" w:name="_Toc531706963"/>
      <w:bookmarkStart w:id="1520" w:name="_Toc531768453"/>
      <w:bookmarkStart w:id="1521" w:name="_Toc16085773"/>
      <w:bookmarkStart w:id="1522" w:name="_Toc86395576"/>
      <w:r>
        <w:rPr>
          <w:rFonts w:hint="eastAsia"/>
          <w:lang w:eastAsia="zh-CN"/>
        </w:rPr>
        <w:t>有关解放组织参加国际电联会议的条件</w:t>
      </w:r>
      <w:bookmarkEnd w:id="1507"/>
      <w:bookmarkEnd w:id="1508"/>
      <w:bookmarkEnd w:id="1509"/>
      <w:bookmarkEnd w:id="1510"/>
      <w:bookmarkEnd w:id="1511"/>
      <w:bookmarkEnd w:id="1512"/>
      <w:bookmarkEnd w:id="1515"/>
      <w:bookmarkEnd w:id="1516"/>
      <w:bookmarkEnd w:id="1517"/>
      <w:bookmarkEnd w:id="1518"/>
      <w:bookmarkEnd w:id="1519"/>
      <w:bookmarkEnd w:id="1520"/>
      <w:bookmarkEnd w:id="1521"/>
      <w:bookmarkEnd w:id="1522"/>
    </w:p>
    <w:p w14:paraId="4827B28C" w14:textId="77777777" w:rsidR="00F13B79" w:rsidRDefault="00F13B79" w:rsidP="00B64353">
      <w:pPr>
        <w:pStyle w:val="Normalaftertitle"/>
        <w:rPr>
          <w:lang w:eastAsia="zh-CN"/>
        </w:rPr>
      </w:pPr>
      <w:r>
        <w:rPr>
          <w:rFonts w:hint="eastAsia"/>
          <w:lang w:eastAsia="zh-CN"/>
        </w:rPr>
        <w:t>理事会，</w:t>
      </w:r>
    </w:p>
    <w:p w14:paraId="4827B28D" w14:textId="77777777" w:rsidR="00F13B79" w:rsidRDefault="00F13B79" w:rsidP="00DE46A7">
      <w:pPr>
        <w:rPr>
          <w:lang w:eastAsia="zh-CN"/>
        </w:rPr>
      </w:pPr>
      <w:r>
        <w:rPr>
          <w:lang w:eastAsia="zh-CN"/>
        </w:rPr>
        <w:tab/>
      </w:r>
      <w:r>
        <w:rPr>
          <w:rFonts w:eastAsia="STKaiti" w:hint="eastAsia"/>
          <w:lang w:eastAsia="zh-CN"/>
        </w:rPr>
        <w:t>考虑到</w:t>
      </w:r>
      <w:r>
        <w:rPr>
          <w:lang w:eastAsia="zh-CN"/>
        </w:rPr>
        <w:t>1982</w:t>
      </w:r>
      <w:r>
        <w:rPr>
          <w:rFonts w:hint="eastAsia"/>
          <w:lang w:eastAsia="zh-CN"/>
        </w:rPr>
        <w:t>年内罗毕全权代表大会有关解放组织作为观察员参加国际电联会议的第</w:t>
      </w:r>
      <w:r>
        <w:rPr>
          <w:lang w:eastAsia="zh-CN"/>
        </w:rPr>
        <w:t>4</w:t>
      </w:r>
      <w:r>
        <w:rPr>
          <w:rFonts w:hint="eastAsia"/>
          <w:lang w:eastAsia="zh-CN"/>
        </w:rPr>
        <w:t>号决议，</w:t>
      </w:r>
    </w:p>
    <w:p w14:paraId="4827B28E" w14:textId="77777777" w:rsidR="00F13B79" w:rsidRDefault="00F13B79" w:rsidP="00DE46A7">
      <w:pPr>
        <w:rPr>
          <w:lang w:eastAsia="zh-CN"/>
        </w:rPr>
      </w:pPr>
      <w:r>
        <w:rPr>
          <w:lang w:eastAsia="zh-CN"/>
        </w:rPr>
        <w:tab/>
      </w:r>
      <w:r>
        <w:rPr>
          <w:rFonts w:eastAsia="STKaiti" w:hint="eastAsia"/>
          <w:lang w:eastAsia="zh-CN"/>
        </w:rPr>
        <w:t>进一步考虑到</w:t>
      </w:r>
      <w:r>
        <w:rPr>
          <w:rFonts w:hint="eastAsia"/>
          <w:lang w:eastAsia="zh-CN"/>
        </w:rPr>
        <w:t>联合国承认非洲统一组织和阿拉伯国家联盟承认的解放组织，</w:t>
      </w:r>
    </w:p>
    <w:p w14:paraId="4827B28F" w14:textId="77777777" w:rsidR="00F13B79" w:rsidRDefault="00F13B79" w:rsidP="00DE46A7">
      <w:pPr>
        <w:rPr>
          <w:lang w:eastAsia="zh-CN"/>
        </w:rPr>
      </w:pPr>
      <w:r>
        <w:rPr>
          <w:lang w:eastAsia="zh-CN"/>
        </w:rPr>
        <w:tab/>
      </w:r>
      <w:r>
        <w:rPr>
          <w:rFonts w:eastAsia="STKaiti" w:hint="eastAsia"/>
          <w:lang w:eastAsia="zh-CN"/>
        </w:rPr>
        <w:t>做出决议，</w:t>
      </w:r>
      <w:r>
        <w:rPr>
          <w:rFonts w:hint="eastAsia"/>
          <w:lang w:eastAsia="zh-CN"/>
        </w:rPr>
        <w:t>以下解放组织可以在任何时候出席国际电联的会议：</w:t>
      </w:r>
    </w:p>
    <w:p w14:paraId="4827B290" w14:textId="77777777" w:rsidR="00F13B79" w:rsidRDefault="00510C29" w:rsidP="00DE46A7">
      <w:pPr>
        <w:pStyle w:val="Headingi"/>
        <w:rPr>
          <w:lang w:eastAsia="zh-CN"/>
        </w:rPr>
      </w:pPr>
      <w:r>
        <w:rPr>
          <w:lang w:eastAsia="zh-CN"/>
        </w:rPr>
        <w:t>A</w:t>
      </w:r>
      <w:r w:rsidR="00F13B79">
        <w:rPr>
          <w:lang w:eastAsia="zh-CN"/>
        </w:rPr>
        <w:tab/>
      </w:r>
      <w:r w:rsidR="00F13B79">
        <w:rPr>
          <w:rFonts w:hint="eastAsia"/>
          <w:lang w:eastAsia="zh-CN"/>
        </w:rPr>
        <w:t>非洲统一组织</w:t>
      </w:r>
      <w:r w:rsidR="00F13B79">
        <w:rPr>
          <w:lang w:eastAsia="zh-CN"/>
        </w:rPr>
        <w:t>（</w:t>
      </w:r>
      <w:r w:rsidR="00F13B79">
        <w:rPr>
          <w:lang w:eastAsia="zh-CN"/>
        </w:rPr>
        <w:t>OAU</w:t>
      </w:r>
      <w:r w:rsidR="00F13B79">
        <w:rPr>
          <w:lang w:eastAsia="zh-CN"/>
        </w:rPr>
        <w:t>）</w:t>
      </w:r>
      <w:r w:rsidR="00F13B79">
        <w:rPr>
          <w:rFonts w:hint="eastAsia"/>
          <w:lang w:eastAsia="zh-CN"/>
        </w:rPr>
        <w:t>承认的解放运动：</w:t>
      </w:r>
    </w:p>
    <w:p w14:paraId="4827B291" w14:textId="77777777" w:rsidR="00DE46A7" w:rsidRDefault="00F13B79" w:rsidP="00DE46A7">
      <w:pPr>
        <w:pStyle w:val="enumlev2"/>
        <w:rPr>
          <w:lang w:eastAsia="zh-CN"/>
        </w:rPr>
      </w:pPr>
      <w:r>
        <w:rPr>
          <w:rFonts w:hint="eastAsia"/>
          <w:lang w:eastAsia="zh-CN"/>
        </w:rPr>
        <w:t>西南非人民组织（</w:t>
      </w:r>
      <w:r>
        <w:rPr>
          <w:lang w:eastAsia="zh-CN"/>
        </w:rPr>
        <w:t>SWAPO</w:t>
      </w:r>
      <w:r>
        <w:rPr>
          <w:rFonts w:hint="eastAsia"/>
          <w:lang w:eastAsia="zh-CN"/>
        </w:rPr>
        <w:t>）</w:t>
      </w:r>
    </w:p>
    <w:p w14:paraId="4827B292" w14:textId="77777777" w:rsidR="00DE46A7" w:rsidRDefault="00F13B79" w:rsidP="00DE46A7">
      <w:pPr>
        <w:pStyle w:val="enumlev2"/>
        <w:rPr>
          <w:lang w:eastAsia="zh-CN"/>
        </w:rPr>
      </w:pPr>
      <w:r>
        <w:rPr>
          <w:rFonts w:hint="eastAsia"/>
          <w:lang w:eastAsia="zh-CN"/>
        </w:rPr>
        <w:t>阿扎尼亚泛非主义者大会</w:t>
      </w:r>
    </w:p>
    <w:p w14:paraId="4827B293" w14:textId="77777777" w:rsidR="00F13B79" w:rsidRDefault="00F13B79" w:rsidP="00DE46A7">
      <w:pPr>
        <w:pStyle w:val="enumlev2"/>
        <w:rPr>
          <w:lang w:eastAsia="zh-CN"/>
        </w:rPr>
      </w:pPr>
      <w:r>
        <w:rPr>
          <w:rFonts w:hint="eastAsia"/>
          <w:lang w:eastAsia="zh-CN"/>
        </w:rPr>
        <w:t>南非非洲人国民大会</w:t>
      </w:r>
    </w:p>
    <w:p w14:paraId="4827B294" w14:textId="77777777" w:rsidR="00F13B79" w:rsidRDefault="00510C29" w:rsidP="00DE46A7">
      <w:pPr>
        <w:pStyle w:val="Headingi"/>
        <w:rPr>
          <w:i/>
          <w:iCs/>
          <w:lang w:eastAsia="zh-CN"/>
        </w:rPr>
      </w:pPr>
      <w:r>
        <w:rPr>
          <w:lang w:eastAsia="zh-CN"/>
        </w:rPr>
        <w:t>B</w:t>
      </w:r>
      <w:r w:rsidR="00F13B79">
        <w:rPr>
          <w:lang w:eastAsia="zh-CN"/>
        </w:rPr>
        <w:tab/>
      </w:r>
      <w:r w:rsidR="00F13B79">
        <w:rPr>
          <w:rFonts w:hint="eastAsia"/>
          <w:lang w:eastAsia="zh-CN"/>
        </w:rPr>
        <w:t>阿拉伯国家联盟承认的解放运动：</w:t>
      </w:r>
    </w:p>
    <w:p w14:paraId="4827B295" w14:textId="77777777" w:rsidR="00F13B79" w:rsidRDefault="00F13B79" w:rsidP="00DE46A7">
      <w:pPr>
        <w:pStyle w:val="enumlev2"/>
        <w:rPr>
          <w:lang w:eastAsia="zh-CN"/>
        </w:rPr>
      </w:pPr>
      <w:r>
        <w:rPr>
          <w:rFonts w:hint="eastAsia"/>
          <w:lang w:eastAsia="zh-CN"/>
        </w:rPr>
        <w:t>巴勒斯坦解放组织（</w:t>
      </w:r>
      <w:r>
        <w:rPr>
          <w:lang w:eastAsia="zh-CN"/>
        </w:rPr>
        <w:t>PLO</w:t>
      </w:r>
      <w:r>
        <w:rPr>
          <w:rFonts w:hint="eastAsia"/>
          <w:lang w:eastAsia="zh-CN"/>
        </w:rPr>
        <w:t>）</w:t>
      </w:r>
    </w:p>
    <w:p w14:paraId="4827B296" w14:textId="77777777" w:rsidR="009E10C4" w:rsidRDefault="00F13B79" w:rsidP="00DE46A7">
      <w:pPr>
        <w:rPr>
          <w:lang w:eastAsia="zh-CN"/>
        </w:rPr>
      </w:pPr>
      <w:r>
        <w:rPr>
          <w:lang w:eastAsia="zh-CN"/>
        </w:rPr>
        <w:tab/>
      </w:r>
      <w:r>
        <w:rPr>
          <w:rFonts w:eastAsia="STKaiti" w:hint="eastAsia"/>
          <w:lang w:eastAsia="zh-CN"/>
        </w:rPr>
        <w:t>责成秘书长</w:t>
      </w:r>
      <w:r>
        <w:rPr>
          <w:rFonts w:hint="eastAsia"/>
          <w:lang w:eastAsia="zh-CN"/>
        </w:rPr>
        <w:t>采取措施，实施本决议。</w:t>
      </w:r>
    </w:p>
    <w:p w14:paraId="4827B297" w14:textId="77777777" w:rsidR="003367A0" w:rsidRPr="00781F81" w:rsidRDefault="00F13B79" w:rsidP="00364022">
      <w:pPr>
        <w:pStyle w:val="Endtext"/>
        <w:rPr>
          <w:lang w:val="en-GB" w:eastAsia="zh-CN"/>
        </w:rPr>
      </w:pPr>
      <w:r>
        <w:rPr>
          <w:rFonts w:hint="eastAsia"/>
          <w:lang w:eastAsia="zh-CN"/>
        </w:rPr>
        <w:t>参阅</w:t>
      </w:r>
      <w:r w:rsidRPr="00781F81">
        <w:rPr>
          <w:rFonts w:ascii="STKaiti" w:hAnsi="STKaiti" w:hint="eastAsia"/>
          <w:lang w:val="en-GB" w:eastAsia="zh-CN"/>
        </w:rPr>
        <w:t>：</w:t>
      </w:r>
      <w:r w:rsidRPr="00781F81">
        <w:rPr>
          <w:lang w:val="en-GB" w:eastAsia="zh-CN"/>
        </w:rPr>
        <w:tab/>
        <w:t>4673/CA29</w:t>
      </w:r>
      <w:r w:rsidRPr="00781F81">
        <w:rPr>
          <w:lang w:val="en-GB" w:eastAsia="zh-CN"/>
        </w:rPr>
        <w:t>（</w:t>
      </w:r>
      <w:r w:rsidRPr="00781F81">
        <w:rPr>
          <w:lang w:val="en-GB" w:eastAsia="zh-CN"/>
        </w:rPr>
        <w:t>1974</w:t>
      </w:r>
      <w:r>
        <w:rPr>
          <w:rFonts w:hint="eastAsia"/>
          <w:lang w:eastAsia="zh-CN"/>
        </w:rPr>
        <w:t>年</w:t>
      </w:r>
      <w:r w:rsidRPr="00781F81">
        <w:rPr>
          <w:lang w:val="en-GB" w:eastAsia="zh-CN"/>
        </w:rPr>
        <w:t>）</w:t>
      </w:r>
      <w:r>
        <w:rPr>
          <w:rFonts w:hint="eastAsia"/>
          <w:lang w:eastAsia="zh-CN"/>
        </w:rPr>
        <w:t>、</w:t>
      </w:r>
      <w:r w:rsidRPr="00781F81">
        <w:rPr>
          <w:lang w:val="en-GB" w:eastAsia="zh-CN"/>
        </w:rPr>
        <w:t>4774/CA30</w:t>
      </w:r>
      <w:r w:rsidRPr="00781F81">
        <w:rPr>
          <w:lang w:val="en-GB" w:eastAsia="zh-CN"/>
        </w:rPr>
        <w:t>（</w:t>
      </w:r>
      <w:r w:rsidRPr="00781F81">
        <w:rPr>
          <w:lang w:val="en-GB" w:eastAsia="zh-CN"/>
        </w:rPr>
        <w:t>1975</w:t>
      </w:r>
      <w:r>
        <w:rPr>
          <w:rFonts w:hint="eastAsia"/>
          <w:lang w:eastAsia="zh-CN"/>
        </w:rPr>
        <w:t>年</w:t>
      </w:r>
      <w:r w:rsidRPr="00781F81">
        <w:rPr>
          <w:lang w:val="en-GB" w:eastAsia="zh-CN"/>
        </w:rPr>
        <w:t>）</w:t>
      </w:r>
      <w:r>
        <w:rPr>
          <w:rFonts w:hint="eastAsia"/>
          <w:lang w:eastAsia="zh-CN"/>
        </w:rPr>
        <w:t>、</w:t>
      </w:r>
      <w:r w:rsidRPr="00781F81">
        <w:rPr>
          <w:lang w:val="en-GB" w:eastAsia="zh-CN"/>
        </w:rPr>
        <w:t>4965/CA31</w:t>
      </w:r>
      <w:r w:rsidRPr="00781F81">
        <w:rPr>
          <w:lang w:val="en-GB" w:eastAsia="zh-CN"/>
        </w:rPr>
        <w:t>（</w:t>
      </w:r>
      <w:r w:rsidRPr="00781F81">
        <w:rPr>
          <w:lang w:val="en-GB" w:eastAsia="zh-CN"/>
        </w:rPr>
        <w:t>1976</w:t>
      </w:r>
      <w:r>
        <w:rPr>
          <w:rFonts w:hint="eastAsia"/>
          <w:lang w:eastAsia="zh-CN"/>
        </w:rPr>
        <w:t>年</w:t>
      </w:r>
      <w:r w:rsidRPr="00781F81">
        <w:rPr>
          <w:rFonts w:hint="eastAsia"/>
          <w:lang w:val="en-GB" w:eastAsia="zh-CN"/>
        </w:rPr>
        <w:t>）</w:t>
      </w:r>
      <w:r>
        <w:rPr>
          <w:rFonts w:hint="eastAsia"/>
          <w:lang w:eastAsia="zh-CN"/>
        </w:rPr>
        <w:t>、</w:t>
      </w:r>
      <w:r w:rsidRPr="00781F81">
        <w:rPr>
          <w:lang w:val="en-GB" w:eastAsia="zh-CN"/>
        </w:rPr>
        <w:t>6197/CA39</w:t>
      </w:r>
      <w:r w:rsidRPr="00781F81">
        <w:rPr>
          <w:lang w:val="en-GB" w:eastAsia="zh-CN"/>
        </w:rPr>
        <w:t>（</w:t>
      </w:r>
      <w:r w:rsidRPr="00781F81">
        <w:rPr>
          <w:lang w:val="en-GB" w:eastAsia="zh-CN"/>
        </w:rPr>
        <w:t>1984</w:t>
      </w:r>
      <w:r>
        <w:rPr>
          <w:rFonts w:hint="eastAsia"/>
          <w:lang w:eastAsia="zh-CN"/>
        </w:rPr>
        <w:t>年</w:t>
      </w:r>
      <w:r w:rsidRPr="00781F81">
        <w:rPr>
          <w:lang w:val="en-GB" w:eastAsia="zh-CN"/>
        </w:rPr>
        <w:t>）</w:t>
      </w:r>
      <w:r>
        <w:rPr>
          <w:rFonts w:hint="eastAsia"/>
          <w:lang w:eastAsia="zh-CN"/>
        </w:rPr>
        <w:t>号文件。</w:t>
      </w:r>
      <w:bookmarkStart w:id="1523" w:name="_Toc63839101"/>
    </w:p>
    <w:p w14:paraId="4827B298" w14:textId="77777777" w:rsidR="00793F78" w:rsidRDefault="00793F78" w:rsidP="00793F78">
      <w:pPr>
        <w:jc w:val="center"/>
        <w:rPr>
          <w:lang w:eastAsia="zh-CN"/>
        </w:rPr>
      </w:pPr>
      <w:bookmarkStart w:id="1524" w:name="_Toc424117016"/>
      <w:bookmarkStart w:id="1525" w:name="_Toc531706366"/>
      <w:bookmarkStart w:id="1526" w:name="_Toc531706964"/>
      <w:bookmarkStart w:id="1527" w:name="_Toc531768454"/>
      <w:bookmarkStart w:id="1528" w:name="_Toc161224039"/>
      <w:bookmarkStart w:id="1529" w:name="_Toc161732085"/>
      <w:bookmarkStart w:id="1530" w:name="_Toc161741012"/>
      <w:bookmarkStart w:id="1531" w:name="_Toc63839104"/>
      <w:bookmarkStart w:id="1532" w:name="_Toc185237685"/>
      <w:bookmarkStart w:id="1533" w:name="_Toc311469602"/>
      <w:bookmarkEnd w:id="1523"/>
      <w:r>
        <w:rPr>
          <w:lang w:eastAsia="zh-CN"/>
        </w:rPr>
        <w:t>______________</w:t>
      </w:r>
    </w:p>
    <w:p w14:paraId="4827B299" w14:textId="77777777" w:rsidR="003C22D4" w:rsidRDefault="003C22D4">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29A" w14:textId="77777777" w:rsidR="003C22D4" w:rsidRDefault="003C22D4">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29B" w14:textId="77777777" w:rsidR="003C22D4" w:rsidRDefault="003C22D4">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29C" w14:textId="77777777" w:rsidR="003C22D4" w:rsidRDefault="003C22D4">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29D" w14:textId="77777777" w:rsidR="003C22D4" w:rsidRDefault="003C22D4">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29E" w14:textId="77777777" w:rsidR="00DE46A7" w:rsidRPr="00DE46A7" w:rsidRDefault="00AE7F4C" w:rsidP="00CA7362">
      <w:pPr>
        <w:pStyle w:val="ResNo"/>
        <w:outlineLvl w:val="0"/>
        <w:rPr>
          <w:lang w:eastAsia="zh-CN"/>
        </w:rPr>
      </w:pPr>
      <w:bookmarkStart w:id="1534" w:name="_Toc16085774"/>
      <w:bookmarkStart w:id="1535" w:name="_Toc86395577"/>
      <w:r w:rsidRPr="00DE46A7">
        <w:rPr>
          <w:rFonts w:hint="eastAsia"/>
          <w:lang w:eastAsia="zh-CN"/>
        </w:rPr>
        <w:lastRenderedPageBreak/>
        <w:t>第</w:t>
      </w:r>
      <w:r w:rsidRPr="00DE46A7">
        <w:rPr>
          <w:lang w:eastAsia="zh-CN"/>
        </w:rPr>
        <w:t>1141</w:t>
      </w:r>
      <w:r w:rsidRPr="00DE46A7">
        <w:rPr>
          <w:rFonts w:hint="eastAsia"/>
          <w:lang w:eastAsia="zh-CN"/>
        </w:rPr>
        <w:t>号决议</w:t>
      </w:r>
      <w:r w:rsidR="00DE46A7">
        <w:rPr>
          <w:rFonts w:hint="eastAsia"/>
          <w:lang w:eastAsia="zh-CN"/>
        </w:rPr>
        <w:t>（</w:t>
      </w:r>
      <w:r w:rsidR="00DE46A7" w:rsidRPr="00DE46A7">
        <w:rPr>
          <w:lang w:eastAsia="zh-CN"/>
        </w:rPr>
        <w:t>C-1999</w:t>
      </w:r>
      <w:r w:rsidR="00DE46A7">
        <w:rPr>
          <w:rFonts w:hint="eastAsia"/>
          <w:lang w:eastAsia="zh-CN"/>
        </w:rPr>
        <w:t>）</w:t>
      </w:r>
      <w:bookmarkEnd w:id="1524"/>
      <w:bookmarkEnd w:id="1525"/>
      <w:bookmarkEnd w:id="1526"/>
      <w:bookmarkEnd w:id="1527"/>
      <w:bookmarkEnd w:id="1534"/>
      <w:bookmarkEnd w:id="1535"/>
    </w:p>
    <w:p w14:paraId="4827B29F" w14:textId="77777777" w:rsidR="009B3017" w:rsidRPr="00DE46A7" w:rsidRDefault="00AE7F4C" w:rsidP="00ED4C6F">
      <w:pPr>
        <w:pStyle w:val="Restitle"/>
        <w:spacing w:before="0"/>
        <w:rPr>
          <w:lang w:eastAsia="zh-CN"/>
        </w:rPr>
      </w:pPr>
      <w:bookmarkStart w:id="1536" w:name="_Toc424116232"/>
      <w:bookmarkStart w:id="1537" w:name="_Toc424117017"/>
      <w:bookmarkStart w:id="1538" w:name="_Toc460248130"/>
      <w:bookmarkStart w:id="1539" w:name="_Toc531706367"/>
      <w:bookmarkStart w:id="1540" w:name="_Toc531706965"/>
      <w:bookmarkStart w:id="1541" w:name="_Toc531768455"/>
      <w:bookmarkStart w:id="1542" w:name="_Toc16085775"/>
      <w:bookmarkStart w:id="1543" w:name="_Toc86395578"/>
      <w:r w:rsidRPr="00DE46A7">
        <w:rPr>
          <w:rFonts w:hint="eastAsia"/>
          <w:lang w:eastAsia="zh-CN"/>
        </w:rPr>
        <w:t>降低国际电联大会、全会和理事会</w:t>
      </w:r>
      <w:r w:rsidR="00DE46A7">
        <w:rPr>
          <w:lang w:eastAsia="zh-CN"/>
        </w:rPr>
        <w:br/>
      </w:r>
      <w:r w:rsidRPr="00DE46A7">
        <w:rPr>
          <w:rFonts w:hint="eastAsia"/>
          <w:lang w:eastAsia="zh-CN"/>
        </w:rPr>
        <w:t>文件制作的成本、减少数量</w:t>
      </w:r>
      <w:bookmarkEnd w:id="1528"/>
      <w:bookmarkEnd w:id="1529"/>
      <w:bookmarkEnd w:id="1530"/>
      <w:bookmarkEnd w:id="1531"/>
      <w:bookmarkEnd w:id="1532"/>
      <w:bookmarkEnd w:id="1533"/>
      <w:bookmarkEnd w:id="1536"/>
      <w:bookmarkEnd w:id="1537"/>
      <w:bookmarkEnd w:id="1538"/>
      <w:bookmarkEnd w:id="1539"/>
      <w:bookmarkEnd w:id="1540"/>
      <w:bookmarkEnd w:id="1541"/>
      <w:bookmarkEnd w:id="1542"/>
      <w:bookmarkEnd w:id="1543"/>
    </w:p>
    <w:p w14:paraId="4827B2A0" w14:textId="77777777" w:rsidR="00F13B79" w:rsidRPr="00364022" w:rsidRDefault="00F13B79" w:rsidP="00364022">
      <w:pPr>
        <w:pStyle w:val="Normalaftertitle"/>
        <w:rPr>
          <w:lang w:eastAsia="zh-CN"/>
        </w:rPr>
      </w:pPr>
      <w:r w:rsidRPr="00364022">
        <w:rPr>
          <w:rFonts w:hint="eastAsia"/>
          <w:lang w:eastAsia="zh-CN"/>
        </w:rPr>
        <w:t>理事会，</w:t>
      </w:r>
    </w:p>
    <w:p w14:paraId="4827B2A1" w14:textId="77777777" w:rsidR="00F13B79" w:rsidRDefault="00F13B79" w:rsidP="00B64353">
      <w:pPr>
        <w:pStyle w:val="Call"/>
        <w:rPr>
          <w:lang w:eastAsia="zh-CN"/>
        </w:rPr>
      </w:pPr>
      <w:r>
        <w:rPr>
          <w:rFonts w:hint="eastAsia"/>
          <w:lang w:eastAsia="zh-CN"/>
        </w:rPr>
        <w:t>考虑到</w:t>
      </w:r>
    </w:p>
    <w:p w14:paraId="4827B2A2" w14:textId="77777777" w:rsidR="00F13B79" w:rsidRDefault="00F13B79" w:rsidP="00B64353">
      <w:pPr>
        <w:rPr>
          <w:lang w:eastAsia="zh-CN"/>
        </w:rPr>
      </w:pPr>
      <w:r w:rsidRPr="005114E2">
        <w:rPr>
          <w:i/>
          <w:iCs/>
          <w:lang w:eastAsia="zh-CN"/>
        </w:rPr>
        <w:t>a</w:t>
      </w:r>
      <w:r w:rsidR="000E6A83" w:rsidRPr="005114E2">
        <w:rPr>
          <w:i/>
          <w:iCs/>
          <w:lang w:eastAsia="zh-CN"/>
        </w:rPr>
        <w:t>)</w:t>
      </w:r>
      <w:r w:rsidR="000E6A83">
        <w:rPr>
          <w:lang w:eastAsia="zh-CN"/>
        </w:rPr>
        <w:tab/>
      </w:r>
      <w:r>
        <w:rPr>
          <w:rFonts w:ascii="SimSun" w:hAnsi="SimSun" w:hint="eastAsia"/>
          <w:lang w:eastAsia="zh-CN"/>
        </w:rPr>
        <w:t>有关减少国际电联大会文件的数量和费用的第</w:t>
      </w:r>
      <w:r>
        <w:rPr>
          <w:lang w:eastAsia="zh-CN"/>
        </w:rPr>
        <w:t>104</w:t>
      </w:r>
      <w:r>
        <w:rPr>
          <w:rFonts w:ascii="SimSun" w:hAnsi="SimSun" w:hint="eastAsia"/>
          <w:lang w:eastAsia="zh-CN"/>
        </w:rPr>
        <w:t>号决议</w:t>
      </w:r>
      <w:r>
        <w:rPr>
          <w:rFonts w:ascii="SimSun" w:hAnsi="SimSun"/>
          <w:lang w:eastAsia="zh-CN"/>
        </w:rPr>
        <w:t>（</w:t>
      </w:r>
      <w:r>
        <w:rPr>
          <w:lang w:eastAsia="zh-CN"/>
        </w:rPr>
        <w:t>1998</w:t>
      </w:r>
      <w:r>
        <w:rPr>
          <w:rFonts w:ascii="SimSun" w:hAnsi="SimSun" w:hint="eastAsia"/>
          <w:lang w:eastAsia="zh-CN"/>
        </w:rPr>
        <w:t>年</w:t>
      </w:r>
      <w:r w:rsidR="00536D63">
        <w:rPr>
          <w:rFonts w:ascii="SimSun" w:hAnsi="SimSun" w:hint="eastAsia"/>
          <w:lang w:eastAsia="zh-CN"/>
        </w:rPr>
        <w:t>，</w:t>
      </w:r>
      <w:r>
        <w:rPr>
          <w:rFonts w:ascii="SimSun" w:hAnsi="SimSun" w:hint="eastAsia"/>
          <w:lang w:eastAsia="zh-CN"/>
        </w:rPr>
        <w:t>明尼阿波利斯</w:t>
      </w:r>
      <w:r>
        <w:rPr>
          <w:rFonts w:ascii="SimSun" w:hAnsi="SimSun"/>
          <w:lang w:eastAsia="zh-CN"/>
        </w:rPr>
        <w:t>）</w:t>
      </w:r>
      <w:r>
        <w:rPr>
          <w:rFonts w:ascii="SimSun" w:hAnsi="SimSun" w:hint="eastAsia"/>
          <w:lang w:eastAsia="zh-CN"/>
        </w:rPr>
        <w:t>；</w:t>
      </w:r>
    </w:p>
    <w:p w14:paraId="4827B2A3" w14:textId="77777777" w:rsidR="00F13B79" w:rsidRDefault="00F13B79" w:rsidP="00B64353">
      <w:pPr>
        <w:rPr>
          <w:lang w:eastAsia="zh-CN"/>
        </w:rPr>
      </w:pPr>
      <w:r w:rsidRPr="005114E2">
        <w:rPr>
          <w:i/>
          <w:iCs/>
          <w:lang w:eastAsia="zh-CN"/>
        </w:rPr>
        <w:t>b</w:t>
      </w:r>
      <w:r w:rsidR="000E6A83" w:rsidRPr="005114E2">
        <w:rPr>
          <w:i/>
          <w:iCs/>
          <w:lang w:eastAsia="zh-CN"/>
        </w:rPr>
        <w:t>)</w:t>
      </w:r>
      <w:r w:rsidR="000E6A83">
        <w:rPr>
          <w:lang w:eastAsia="zh-CN"/>
        </w:rPr>
        <w:tab/>
      </w:r>
      <w:r>
        <w:rPr>
          <w:rFonts w:ascii="SimSun" w:hAnsi="SimSun" w:hint="eastAsia"/>
          <w:lang w:eastAsia="zh-CN"/>
        </w:rPr>
        <w:t>有关国际电联文件和出版物的第</w:t>
      </w:r>
      <w:r>
        <w:rPr>
          <w:lang w:eastAsia="zh-CN"/>
        </w:rPr>
        <w:t>66</w:t>
      </w:r>
      <w:r>
        <w:rPr>
          <w:rFonts w:ascii="SimSun" w:hAnsi="SimSun" w:hint="eastAsia"/>
          <w:lang w:eastAsia="zh-CN"/>
        </w:rPr>
        <w:t>号决议</w:t>
      </w:r>
      <w:r>
        <w:rPr>
          <w:rFonts w:ascii="SimSun" w:hAnsi="SimSun"/>
          <w:lang w:eastAsia="zh-CN"/>
        </w:rPr>
        <w:t>（</w:t>
      </w:r>
      <w:r>
        <w:rPr>
          <w:lang w:eastAsia="zh-CN"/>
        </w:rPr>
        <w:t>1998</w:t>
      </w:r>
      <w:r>
        <w:rPr>
          <w:rFonts w:ascii="SimSun" w:hAnsi="SimSun" w:hint="eastAsia"/>
          <w:lang w:eastAsia="zh-CN"/>
        </w:rPr>
        <w:t>年，明尼阿波利斯</w:t>
      </w:r>
      <w:r w:rsidR="00536D63">
        <w:rPr>
          <w:rFonts w:ascii="SimSun" w:hAnsi="SimSun" w:hint="eastAsia"/>
          <w:lang w:eastAsia="zh-CN"/>
        </w:rPr>
        <w:t>，</w:t>
      </w:r>
      <w:r>
        <w:rPr>
          <w:rFonts w:ascii="SimSun" w:hAnsi="SimSun" w:hint="eastAsia"/>
          <w:lang w:eastAsia="zh-CN"/>
        </w:rPr>
        <w:t>修订版</w:t>
      </w:r>
      <w:r>
        <w:rPr>
          <w:rFonts w:ascii="SimSun" w:hAnsi="SimSun"/>
          <w:lang w:eastAsia="zh-CN"/>
        </w:rPr>
        <w:t>）</w:t>
      </w:r>
      <w:r>
        <w:rPr>
          <w:rFonts w:ascii="SimSun" w:hAnsi="SimSun" w:hint="eastAsia"/>
          <w:lang w:eastAsia="zh-CN"/>
        </w:rPr>
        <w:t>；</w:t>
      </w:r>
    </w:p>
    <w:p w14:paraId="4827B2A4" w14:textId="77777777" w:rsidR="00F13B79" w:rsidRDefault="00F13B79" w:rsidP="00B64353">
      <w:pPr>
        <w:rPr>
          <w:lang w:eastAsia="zh-CN"/>
        </w:rPr>
      </w:pPr>
      <w:r w:rsidRPr="005114E2">
        <w:rPr>
          <w:i/>
          <w:iCs/>
          <w:lang w:eastAsia="zh-CN"/>
        </w:rPr>
        <w:t>c</w:t>
      </w:r>
      <w:r w:rsidR="000E6A83" w:rsidRPr="005114E2">
        <w:rPr>
          <w:i/>
          <w:iCs/>
          <w:lang w:eastAsia="zh-CN"/>
        </w:rPr>
        <w:t>)</w:t>
      </w:r>
      <w:r w:rsidR="000E6A83">
        <w:rPr>
          <w:lang w:eastAsia="zh-CN"/>
        </w:rPr>
        <w:tab/>
      </w:r>
      <w:r>
        <w:rPr>
          <w:rFonts w:ascii="SimSun" w:hAnsi="SimSun" w:hint="eastAsia"/>
          <w:lang w:eastAsia="zh-CN"/>
        </w:rPr>
        <w:t>第</w:t>
      </w:r>
      <w:r>
        <w:rPr>
          <w:lang w:eastAsia="zh-CN"/>
        </w:rPr>
        <w:t>C99/15</w:t>
      </w:r>
      <w:r>
        <w:rPr>
          <w:rFonts w:ascii="SimSun" w:hAnsi="SimSun" w:hint="eastAsia"/>
          <w:lang w:eastAsia="zh-CN"/>
        </w:rPr>
        <w:t>号文件中秘书长关于实现减少大会文件数量和费用的方法和手段的报告，</w:t>
      </w:r>
    </w:p>
    <w:p w14:paraId="4827B2A5" w14:textId="77777777" w:rsidR="00F13B79" w:rsidRDefault="00F13B79" w:rsidP="00B64353">
      <w:pPr>
        <w:rPr>
          <w:lang w:eastAsia="zh-CN"/>
        </w:rPr>
      </w:pPr>
      <w:r>
        <w:rPr>
          <w:i/>
          <w:lang w:eastAsia="zh-CN"/>
        </w:rPr>
        <w:tab/>
      </w:r>
      <w:r>
        <w:rPr>
          <w:rFonts w:eastAsia="STKaiti" w:hint="eastAsia"/>
          <w:lang w:eastAsia="zh-CN"/>
        </w:rPr>
        <w:t>考虑到</w:t>
      </w:r>
      <w:r>
        <w:rPr>
          <w:rFonts w:ascii="SimSun" w:hAnsi="SimSun" w:hint="eastAsia"/>
          <w:lang w:eastAsia="zh-CN"/>
        </w:rPr>
        <w:t>无线电通信顾问组、电信标准化顾问组和电信发展顾问组</w:t>
      </w:r>
      <w:r w:rsidR="003C68A4">
        <w:rPr>
          <w:rFonts w:ascii="SimSun" w:hAnsi="SimSun" w:hint="eastAsia"/>
          <w:lang w:eastAsia="zh-CN"/>
        </w:rPr>
        <w:t>对此</w:t>
      </w:r>
      <w:r>
        <w:rPr>
          <w:rFonts w:ascii="SimSun" w:hAnsi="SimSun" w:hint="eastAsia"/>
          <w:lang w:eastAsia="zh-CN"/>
        </w:rPr>
        <w:t>的意见，</w:t>
      </w:r>
    </w:p>
    <w:p w14:paraId="4827B2A6" w14:textId="77777777" w:rsidR="00F13B79" w:rsidRDefault="00F13B79" w:rsidP="00B64353">
      <w:pPr>
        <w:pStyle w:val="Call"/>
        <w:rPr>
          <w:lang w:eastAsia="zh-CN"/>
        </w:rPr>
      </w:pPr>
      <w:r>
        <w:rPr>
          <w:rFonts w:hint="eastAsia"/>
          <w:lang w:eastAsia="zh-CN"/>
        </w:rPr>
        <w:t>做出决议</w:t>
      </w:r>
    </w:p>
    <w:p w14:paraId="4827B2A7" w14:textId="77777777" w:rsidR="00F13B79" w:rsidRDefault="00F13B79" w:rsidP="00B64353">
      <w:pPr>
        <w:rPr>
          <w:lang w:eastAsia="zh-CN"/>
        </w:rPr>
      </w:pPr>
      <w:r>
        <w:rPr>
          <w:lang w:eastAsia="zh-CN"/>
        </w:rPr>
        <w:t>1</w:t>
      </w:r>
      <w:r w:rsidR="00BC233A">
        <w:rPr>
          <w:lang w:eastAsia="zh-CN"/>
        </w:rPr>
        <w:tab/>
      </w:r>
      <w:r>
        <w:rPr>
          <w:rFonts w:ascii="SimSun" w:hAnsi="SimSun" w:hint="eastAsia"/>
          <w:lang w:eastAsia="zh-CN"/>
        </w:rPr>
        <w:t>根据第</w:t>
      </w:r>
      <w:r>
        <w:rPr>
          <w:lang w:eastAsia="zh-CN"/>
        </w:rPr>
        <w:t>104</w:t>
      </w:r>
      <w:r>
        <w:rPr>
          <w:rFonts w:hint="eastAsia"/>
          <w:lang w:eastAsia="zh-CN"/>
        </w:rPr>
        <w:t>号决议</w:t>
      </w:r>
      <w:r>
        <w:rPr>
          <w:lang w:eastAsia="zh-CN"/>
        </w:rPr>
        <w:t>（</w:t>
      </w:r>
      <w:r>
        <w:rPr>
          <w:lang w:eastAsia="zh-CN"/>
        </w:rPr>
        <w:t>1998</w:t>
      </w:r>
      <w:r>
        <w:rPr>
          <w:rFonts w:ascii="SimSun" w:hAnsi="SimSun" w:hint="eastAsia"/>
          <w:lang w:eastAsia="zh-CN"/>
        </w:rPr>
        <w:t>年，明尼阿波利斯</w:t>
      </w:r>
      <w:r>
        <w:rPr>
          <w:rFonts w:ascii="SimSun" w:hAnsi="SimSun"/>
          <w:lang w:eastAsia="zh-CN"/>
        </w:rPr>
        <w:t>）</w:t>
      </w:r>
      <w:r>
        <w:rPr>
          <w:rFonts w:ascii="SimSun" w:hAnsi="SimSun" w:hint="eastAsia"/>
          <w:lang w:eastAsia="zh-CN"/>
        </w:rPr>
        <w:t>，应努力</w:t>
      </w:r>
      <w:r w:rsidR="00624859">
        <w:rPr>
          <w:rFonts w:ascii="SimSun" w:hAnsi="SimSun" w:hint="eastAsia"/>
          <w:lang w:eastAsia="zh-CN"/>
        </w:rPr>
        <w:t>降低</w:t>
      </w:r>
      <w:r>
        <w:rPr>
          <w:rFonts w:ascii="SimSun" w:hAnsi="SimSun" w:hint="eastAsia"/>
          <w:lang w:eastAsia="zh-CN"/>
        </w:rPr>
        <w:t>国际电联会议文件</w:t>
      </w:r>
      <w:r w:rsidR="009E10C4">
        <w:rPr>
          <w:rFonts w:ascii="SimSun" w:hAnsi="SimSun" w:hint="eastAsia"/>
          <w:lang w:eastAsia="zh-CN"/>
        </w:rPr>
        <w:t>制作</w:t>
      </w:r>
      <w:r>
        <w:rPr>
          <w:rFonts w:ascii="SimSun" w:hAnsi="SimSun" w:hint="eastAsia"/>
          <w:lang w:eastAsia="zh-CN"/>
        </w:rPr>
        <w:t>的费用</w:t>
      </w:r>
      <w:r w:rsidR="00624859">
        <w:rPr>
          <w:rFonts w:ascii="SimSun" w:hAnsi="SimSun" w:hint="eastAsia"/>
          <w:lang w:eastAsia="zh-CN"/>
        </w:rPr>
        <w:t>、减少</w:t>
      </w:r>
      <w:r>
        <w:rPr>
          <w:rFonts w:ascii="SimSun" w:hAnsi="SimSun" w:hint="eastAsia"/>
          <w:lang w:eastAsia="zh-CN"/>
        </w:rPr>
        <w:t>数量；</w:t>
      </w:r>
    </w:p>
    <w:p w14:paraId="4827B2A8" w14:textId="77777777" w:rsidR="00F13B79" w:rsidRDefault="00F13B79" w:rsidP="00B64353">
      <w:pPr>
        <w:rPr>
          <w:lang w:eastAsia="zh-CN"/>
        </w:rPr>
      </w:pPr>
      <w:r>
        <w:rPr>
          <w:lang w:eastAsia="zh-CN"/>
        </w:rPr>
        <w:t>2</w:t>
      </w:r>
      <w:r w:rsidR="00BC233A">
        <w:rPr>
          <w:lang w:eastAsia="zh-CN"/>
        </w:rPr>
        <w:tab/>
      </w:r>
      <w:r>
        <w:rPr>
          <w:rFonts w:ascii="SimSun" w:hAnsi="SimSun" w:hint="eastAsia"/>
          <w:lang w:eastAsia="zh-CN"/>
        </w:rPr>
        <w:t>为此，大会、全会和理事会均应采用本决议附件</w:t>
      </w:r>
      <w:r w:rsidRPr="008C6002">
        <w:rPr>
          <w:lang w:eastAsia="zh-CN"/>
        </w:rPr>
        <w:t>A</w:t>
      </w:r>
      <w:r>
        <w:rPr>
          <w:rFonts w:ascii="SimSun" w:hAnsi="SimSun" w:hint="eastAsia"/>
          <w:lang w:eastAsia="zh-CN"/>
        </w:rPr>
        <w:t>中所述的措施，</w:t>
      </w:r>
    </w:p>
    <w:p w14:paraId="4827B2A9" w14:textId="77777777" w:rsidR="00F13B79" w:rsidRDefault="00F13B79" w:rsidP="00B64353">
      <w:pPr>
        <w:pStyle w:val="Call"/>
        <w:rPr>
          <w:lang w:eastAsia="zh-CN"/>
        </w:rPr>
      </w:pPr>
      <w:r>
        <w:rPr>
          <w:rFonts w:hint="eastAsia"/>
          <w:lang w:eastAsia="zh-CN"/>
        </w:rPr>
        <w:t>责成秘书长</w:t>
      </w:r>
    </w:p>
    <w:p w14:paraId="4827B2AA" w14:textId="77777777" w:rsidR="00F13B79" w:rsidRDefault="00F13B79" w:rsidP="00DE46A7">
      <w:pPr>
        <w:rPr>
          <w:lang w:eastAsia="zh-CN"/>
        </w:rPr>
      </w:pPr>
      <w:r>
        <w:rPr>
          <w:lang w:eastAsia="zh-CN"/>
        </w:rPr>
        <w:t>1</w:t>
      </w:r>
      <w:r w:rsidR="00BC233A">
        <w:rPr>
          <w:lang w:eastAsia="zh-CN"/>
        </w:rPr>
        <w:tab/>
      </w:r>
      <w:r>
        <w:rPr>
          <w:rFonts w:hint="eastAsia"/>
          <w:lang w:eastAsia="zh-CN"/>
        </w:rPr>
        <w:t>继续在秘书处努力压缩文件的篇幅，并确保文件能够及时提交；</w:t>
      </w:r>
    </w:p>
    <w:p w14:paraId="4827B2AB" w14:textId="77777777" w:rsidR="00F13B79" w:rsidRDefault="00F13B79" w:rsidP="00DE46A7">
      <w:pPr>
        <w:rPr>
          <w:lang w:eastAsia="zh-CN"/>
        </w:rPr>
      </w:pPr>
      <w:r>
        <w:rPr>
          <w:lang w:eastAsia="zh-CN"/>
        </w:rPr>
        <w:t>2</w:t>
      </w:r>
      <w:r w:rsidR="00BC233A">
        <w:rPr>
          <w:lang w:eastAsia="zh-CN"/>
        </w:rPr>
        <w:tab/>
      </w:r>
      <w:r>
        <w:rPr>
          <w:rFonts w:hint="eastAsia"/>
          <w:lang w:eastAsia="zh-CN"/>
        </w:rPr>
        <w:t>就文件的篇幅、格式与排版及可能的电子版应用</w:t>
      </w:r>
      <w:r>
        <w:rPr>
          <w:lang w:eastAsia="zh-CN"/>
        </w:rPr>
        <w:t>（</w:t>
      </w:r>
      <w:r>
        <w:rPr>
          <w:rFonts w:hint="eastAsia"/>
          <w:lang w:eastAsia="zh-CN"/>
        </w:rPr>
        <w:t>包括合适的模板</w:t>
      </w:r>
      <w:r>
        <w:rPr>
          <w:lang w:eastAsia="zh-CN"/>
        </w:rPr>
        <w:t>）</w:t>
      </w:r>
      <w:r>
        <w:rPr>
          <w:rFonts w:hint="eastAsia"/>
          <w:lang w:eastAsia="zh-CN"/>
        </w:rPr>
        <w:t>，编写适当的文件起草指导原则，并提供给每个大会、全会或理事会的作者；</w:t>
      </w:r>
    </w:p>
    <w:p w14:paraId="4827B2AC" w14:textId="77777777" w:rsidR="00F13B79" w:rsidRDefault="00F13B79" w:rsidP="00DE46A7">
      <w:pPr>
        <w:rPr>
          <w:lang w:eastAsia="zh-CN"/>
        </w:rPr>
      </w:pPr>
      <w:r>
        <w:rPr>
          <w:lang w:eastAsia="zh-CN"/>
        </w:rPr>
        <w:t>3</w:t>
      </w:r>
      <w:r w:rsidR="00BC233A">
        <w:rPr>
          <w:lang w:eastAsia="zh-CN"/>
        </w:rPr>
        <w:tab/>
      </w:r>
      <w:r>
        <w:rPr>
          <w:rFonts w:hint="eastAsia"/>
          <w:lang w:eastAsia="zh-CN"/>
        </w:rPr>
        <w:t>避免重新印制可以电子形式索取的现有纸页文件，并避免不断重新印发修正案文，除非有绝对充分的理由；同时，研究在条约性大会上省却每次审读时重新印制案文</w:t>
      </w:r>
      <w:r>
        <w:rPr>
          <w:lang w:eastAsia="zh-CN"/>
        </w:rPr>
        <w:t>（</w:t>
      </w:r>
      <w:r>
        <w:rPr>
          <w:rFonts w:hint="eastAsia"/>
          <w:lang w:eastAsia="zh-CN"/>
        </w:rPr>
        <w:t>白色，蓝色与粉色</w:t>
      </w:r>
      <w:r>
        <w:rPr>
          <w:lang w:eastAsia="zh-CN"/>
        </w:rPr>
        <w:t>）</w:t>
      </w:r>
      <w:r>
        <w:rPr>
          <w:rFonts w:hint="eastAsia"/>
          <w:lang w:eastAsia="zh-CN"/>
        </w:rPr>
        <w:t>的可能性，包括实际操作与法律方面的影响；</w:t>
      </w:r>
    </w:p>
    <w:p w14:paraId="4827B2AD" w14:textId="77777777" w:rsidR="00F13B79" w:rsidRDefault="00F13B79" w:rsidP="00DE46A7">
      <w:pPr>
        <w:rPr>
          <w:lang w:eastAsia="zh-CN"/>
        </w:rPr>
      </w:pPr>
      <w:r>
        <w:rPr>
          <w:lang w:eastAsia="zh-CN"/>
        </w:rPr>
        <w:t>4</w:t>
      </w:r>
      <w:r w:rsidR="00BC233A">
        <w:rPr>
          <w:lang w:eastAsia="zh-CN"/>
        </w:rPr>
        <w:tab/>
      </w:r>
      <w:r>
        <w:rPr>
          <w:rFonts w:hint="eastAsia"/>
          <w:lang w:eastAsia="zh-CN"/>
        </w:rPr>
        <w:t>研究会期与文件量的相互关系，旨在制定指示性标准；</w:t>
      </w:r>
    </w:p>
    <w:p w14:paraId="4827B2AE" w14:textId="77777777" w:rsidR="00F13B79" w:rsidRDefault="00F13B79" w:rsidP="00DE46A7">
      <w:pPr>
        <w:rPr>
          <w:lang w:eastAsia="zh-CN"/>
        </w:rPr>
      </w:pPr>
      <w:r>
        <w:rPr>
          <w:lang w:eastAsia="zh-CN"/>
        </w:rPr>
        <w:t>5</w:t>
      </w:r>
      <w:r w:rsidR="00BC233A">
        <w:rPr>
          <w:lang w:eastAsia="zh-CN"/>
        </w:rPr>
        <w:tab/>
      </w:r>
      <w:r>
        <w:rPr>
          <w:rFonts w:hint="eastAsia"/>
          <w:lang w:eastAsia="zh-CN"/>
        </w:rPr>
        <w:t>调查将适当的电源插座和本地网设施延伸到会议厅代表席位的可能性，</w:t>
      </w:r>
    </w:p>
    <w:p w14:paraId="4827B2AF" w14:textId="77777777" w:rsidR="00F13B79" w:rsidRDefault="00F13B79" w:rsidP="00B64353">
      <w:pPr>
        <w:rPr>
          <w:lang w:eastAsia="zh-CN"/>
        </w:rPr>
      </w:pPr>
      <w:r>
        <w:rPr>
          <w:i/>
          <w:lang w:eastAsia="zh-CN"/>
        </w:rPr>
        <w:tab/>
      </w:r>
      <w:r>
        <w:rPr>
          <w:rFonts w:eastAsia="STKaiti" w:hint="eastAsia"/>
          <w:lang w:eastAsia="zh-CN"/>
        </w:rPr>
        <w:t>鼓励成员国和部门成员</w:t>
      </w:r>
      <w:r>
        <w:rPr>
          <w:rFonts w:ascii="SimSun" w:hAnsi="SimSun" w:hint="eastAsia"/>
          <w:lang w:eastAsia="zh-CN"/>
        </w:rPr>
        <w:t>努力为减少文件量做出贡献，特别是尽量少要或不要纸页文件；尽可能地采用电子文件处理媒介；减少文稿篇幅；及时提交大会文件，</w:t>
      </w:r>
    </w:p>
    <w:p w14:paraId="4827B2B0" w14:textId="77777777" w:rsidR="003C22D4" w:rsidRDefault="003C22D4">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2B1" w14:textId="77777777" w:rsidR="00F13B79" w:rsidRDefault="00F13B79" w:rsidP="00B64353">
      <w:pPr>
        <w:rPr>
          <w:rFonts w:ascii="SimSun" w:hAnsi="SimSun"/>
          <w:lang w:eastAsia="zh-CN"/>
        </w:rPr>
      </w:pPr>
      <w:r>
        <w:rPr>
          <w:lang w:eastAsia="zh-CN"/>
        </w:rPr>
        <w:lastRenderedPageBreak/>
        <w:tab/>
      </w:r>
      <w:r>
        <w:rPr>
          <w:rFonts w:eastAsia="STKaiti" w:hint="eastAsia"/>
          <w:lang w:eastAsia="zh-CN"/>
        </w:rPr>
        <w:t>进一步责成秘书长</w:t>
      </w:r>
      <w:r>
        <w:rPr>
          <w:rFonts w:ascii="SimSun" w:hAnsi="SimSun" w:hint="eastAsia"/>
          <w:lang w:eastAsia="zh-CN"/>
        </w:rPr>
        <w:t>向</w:t>
      </w:r>
      <w:r w:rsidR="004E502C">
        <w:rPr>
          <w:rFonts w:ascii="SimSun" w:hAnsi="SimSun" w:hint="eastAsia"/>
          <w:lang w:eastAsia="zh-CN"/>
        </w:rPr>
        <w:t>理事会</w:t>
      </w:r>
      <w:r w:rsidRPr="008C6002">
        <w:rPr>
          <w:lang w:eastAsia="zh-CN"/>
        </w:rPr>
        <w:t>2000</w:t>
      </w:r>
      <w:r>
        <w:rPr>
          <w:rFonts w:ascii="SimSun" w:hAnsi="SimSun" w:hint="eastAsia"/>
          <w:lang w:eastAsia="zh-CN"/>
        </w:rPr>
        <w:t>年会</w:t>
      </w:r>
      <w:r w:rsidR="004E502C">
        <w:rPr>
          <w:rFonts w:ascii="SimSun" w:hAnsi="SimSun" w:hint="eastAsia"/>
          <w:lang w:eastAsia="zh-CN"/>
        </w:rPr>
        <w:t>议</w:t>
      </w:r>
      <w:r>
        <w:rPr>
          <w:rFonts w:ascii="SimSun" w:hAnsi="SimSun" w:hint="eastAsia"/>
          <w:lang w:eastAsia="zh-CN"/>
        </w:rPr>
        <w:t>提交有关本决议的实施及其对会议影响的报告，</w:t>
      </w:r>
    </w:p>
    <w:p w14:paraId="4827B2B2" w14:textId="77777777" w:rsidR="00F13B79" w:rsidRDefault="00F13B79" w:rsidP="00B64353">
      <w:pPr>
        <w:rPr>
          <w:lang w:eastAsia="zh-CN"/>
        </w:rPr>
      </w:pPr>
      <w:r>
        <w:rPr>
          <w:lang w:eastAsia="zh-CN"/>
        </w:rPr>
        <w:tab/>
      </w:r>
      <w:r>
        <w:rPr>
          <w:rFonts w:eastAsia="STKaiti" w:hint="eastAsia"/>
          <w:lang w:eastAsia="zh-CN"/>
        </w:rPr>
        <w:t>责成各局主任</w:t>
      </w:r>
      <w:r>
        <w:rPr>
          <w:rFonts w:ascii="SimSun" w:hAnsi="SimSun" w:hint="eastAsia"/>
          <w:lang w:eastAsia="zh-CN"/>
        </w:rPr>
        <w:t>将各顾问组制定的程序和经一次会议或全会试验后节约成果的报告提交给</w:t>
      </w:r>
      <w:r w:rsidR="004E502C">
        <w:rPr>
          <w:rFonts w:ascii="SimSun" w:hAnsi="SimSun" w:hint="eastAsia"/>
          <w:lang w:eastAsia="zh-CN"/>
        </w:rPr>
        <w:t>理事会</w:t>
      </w:r>
      <w:r>
        <w:rPr>
          <w:lang w:eastAsia="zh-CN"/>
        </w:rPr>
        <w:t>2000</w:t>
      </w:r>
      <w:r>
        <w:rPr>
          <w:rFonts w:ascii="SimSun" w:hAnsi="SimSun" w:hint="eastAsia"/>
          <w:lang w:eastAsia="zh-CN"/>
        </w:rPr>
        <w:t>年会</w:t>
      </w:r>
      <w:r w:rsidR="004E502C">
        <w:rPr>
          <w:rFonts w:ascii="SimSun" w:hAnsi="SimSun" w:hint="eastAsia"/>
          <w:lang w:eastAsia="zh-CN"/>
        </w:rPr>
        <w:t>议</w:t>
      </w:r>
      <w:r>
        <w:rPr>
          <w:rFonts w:ascii="SimSun" w:hAnsi="SimSun" w:hint="eastAsia"/>
          <w:lang w:eastAsia="zh-CN"/>
        </w:rPr>
        <w:t>，</w:t>
      </w:r>
    </w:p>
    <w:p w14:paraId="4827B2B3" w14:textId="77777777" w:rsidR="00F13B79" w:rsidRDefault="00F13B79" w:rsidP="00B64353">
      <w:pPr>
        <w:rPr>
          <w:rFonts w:ascii="SimSun" w:hAnsi="SimSun"/>
          <w:lang w:eastAsia="zh-CN"/>
        </w:rPr>
      </w:pPr>
      <w:r>
        <w:rPr>
          <w:lang w:eastAsia="zh-CN"/>
        </w:rPr>
        <w:tab/>
      </w:r>
      <w:r>
        <w:rPr>
          <w:rFonts w:eastAsia="STKaiti" w:hint="eastAsia"/>
          <w:lang w:eastAsia="zh-CN"/>
        </w:rPr>
        <w:t>责成电信发展局主任</w:t>
      </w:r>
      <w:r>
        <w:rPr>
          <w:rFonts w:ascii="SimSun" w:hAnsi="SimSun" w:hint="eastAsia"/>
          <w:lang w:eastAsia="zh-CN"/>
        </w:rPr>
        <w:t>在实施第</w:t>
      </w:r>
      <w:r w:rsidRPr="00346B99">
        <w:rPr>
          <w:lang w:eastAsia="zh-CN"/>
        </w:rPr>
        <w:t>66</w:t>
      </w:r>
      <w:r w:rsidRPr="00346B99">
        <w:rPr>
          <w:rFonts w:hAnsi="SimSun"/>
          <w:lang w:eastAsia="zh-CN"/>
        </w:rPr>
        <w:t>号</w:t>
      </w:r>
      <w:r>
        <w:rPr>
          <w:rFonts w:ascii="SimSun" w:hAnsi="SimSun" w:hint="eastAsia"/>
          <w:lang w:eastAsia="zh-CN"/>
        </w:rPr>
        <w:t>决议</w:t>
      </w:r>
      <w:r>
        <w:rPr>
          <w:rFonts w:ascii="SimSun" w:hAnsi="SimSun"/>
          <w:lang w:eastAsia="zh-CN"/>
        </w:rPr>
        <w:t>（</w:t>
      </w:r>
      <w:r>
        <w:rPr>
          <w:lang w:eastAsia="zh-CN"/>
        </w:rPr>
        <w:t>1998</w:t>
      </w:r>
      <w:r>
        <w:rPr>
          <w:rFonts w:ascii="SimSun" w:hAnsi="SimSun" w:hint="eastAsia"/>
          <w:lang w:eastAsia="zh-CN"/>
        </w:rPr>
        <w:t>年，明尼阿波利斯</w:t>
      </w:r>
      <w:r w:rsidR="0048229C">
        <w:rPr>
          <w:rFonts w:ascii="SimSun" w:hAnsi="SimSun" w:hint="eastAsia"/>
          <w:lang w:eastAsia="zh-CN"/>
        </w:rPr>
        <w:t>，</w:t>
      </w:r>
      <w:r>
        <w:rPr>
          <w:rFonts w:ascii="SimSun" w:hAnsi="SimSun" w:hint="eastAsia"/>
          <w:lang w:eastAsia="zh-CN"/>
        </w:rPr>
        <w:t>修订版</w:t>
      </w:r>
      <w:r>
        <w:rPr>
          <w:rFonts w:ascii="SimSun" w:hAnsi="SimSun"/>
          <w:lang w:eastAsia="zh-CN"/>
        </w:rPr>
        <w:t>）</w:t>
      </w:r>
      <w:r>
        <w:rPr>
          <w:rFonts w:ascii="SimSun" w:hAnsi="SimSun" w:hint="eastAsia"/>
          <w:lang w:eastAsia="zh-CN"/>
        </w:rPr>
        <w:t>时考虑到本决议。</w:t>
      </w:r>
    </w:p>
    <w:p w14:paraId="4827B2B4" w14:textId="77777777" w:rsidR="0044352A" w:rsidRDefault="0044352A" w:rsidP="00510C29">
      <w:pPr>
        <w:spacing w:before="240"/>
        <w:rPr>
          <w:rFonts w:ascii="SimSun" w:hAnsi="SimSun"/>
          <w:lang w:eastAsia="zh-CN"/>
        </w:rPr>
      </w:pPr>
      <w:r w:rsidRPr="0044352A">
        <w:rPr>
          <w:rFonts w:ascii="SimSun" w:hAnsi="SimSun" w:hint="eastAsia"/>
          <w:b/>
          <w:bCs/>
          <w:lang w:eastAsia="zh-CN"/>
        </w:rPr>
        <w:t>附件：</w:t>
      </w:r>
      <w:r w:rsidRPr="00364022">
        <w:rPr>
          <w:rFonts w:ascii="SimSun" w:hAnsi="SimSun"/>
          <w:lang w:eastAsia="zh-CN"/>
        </w:rPr>
        <w:t>1件</w:t>
      </w:r>
    </w:p>
    <w:p w14:paraId="4827B2B5" w14:textId="77777777" w:rsidR="009647B3" w:rsidRDefault="00F13B79" w:rsidP="009647B3">
      <w:pPr>
        <w:pStyle w:val="AnnexNotitle"/>
        <w:rPr>
          <w:szCs w:val="28"/>
          <w:lang w:eastAsia="zh-CN"/>
        </w:rPr>
      </w:pPr>
      <w:bookmarkStart w:id="1544" w:name="_Toc531706966"/>
      <w:r w:rsidRPr="002E7909">
        <w:rPr>
          <w:b w:val="0"/>
          <w:szCs w:val="28"/>
          <w:lang w:eastAsia="zh-CN"/>
        </w:rPr>
        <w:t>（</w:t>
      </w:r>
      <w:r w:rsidRPr="002E7909">
        <w:rPr>
          <w:rFonts w:hint="eastAsia"/>
          <w:b w:val="0"/>
          <w:szCs w:val="28"/>
          <w:lang w:eastAsia="zh-CN"/>
        </w:rPr>
        <w:t>第</w:t>
      </w:r>
      <w:r w:rsidRPr="002E7909">
        <w:rPr>
          <w:b w:val="0"/>
          <w:szCs w:val="28"/>
          <w:lang w:eastAsia="zh-CN"/>
        </w:rPr>
        <w:t>1141</w:t>
      </w:r>
      <w:r w:rsidRPr="002E7909">
        <w:rPr>
          <w:rFonts w:hint="eastAsia"/>
          <w:b w:val="0"/>
          <w:szCs w:val="28"/>
          <w:lang w:eastAsia="zh-CN"/>
        </w:rPr>
        <w:t>号决议</w:t>
      </w:r>
      <w:r w:rsidRPr="002E7909">
        <w:rPr>
          <w:b w:val="0"/>
          <w:szCs w:val="28"/>
          <w:lang w:eastAsia="zh-CN"/>
        </w:rPr>
        <w:t>）</w:t>
      </w:r>
      <w:bookmarkEnd w:id="1544"/>
    </w:p>
    <w:p w14:paraId="4827B2B6" w14:textId="77777777" w:rsidR="009647B3" w:rsidRPr="00510C29" w:rsidRDefault="00F13B79" w:rsidP="009647B3">
      <w:pPr>
        <w:pStyle w:val="AnnexNotitle"/>
        <w:rPr>
          <w:b w:val="0"/>
          <w:szCs w:val="28"/>
          <w:lang w:eastAsia="zh-CN"/>
        </w:rPr>
      </w:pPr>
      <w:bookmarkStart w:id="1545" w:name="_Toc531706967"/>
      <w:r w:rsidRPr="00510C29">
        <w:rPr>
          <w:rFonts w:hint="eastAsia"/>
          <w:b w:val="0"/>
          <w:szCs w:val="28"/>
          <w:lang w:eastAsia="zh-CN"/>
        </w:rPr>
        <w:t>附件</w:t>
      </w:r>
      <w:r w:rsidRPr="00510C29">
        <w:rPr>
          <w:b w:val="0"/>
          <w:szCs w:val="28"/>
          <w:lang w:eastAsia="zh-CN"/>
        </w:rPr>
        <w:t>A</w:t>
      </w:r>
      <w:bookmarkEnd w:id="1545"/>
    </w:p>
    <w:p w14:paraId="4827B2B7" w14:textId="77777777" w:rsidR="00F13B79" w:rsidRPr="002E7909" w:rsidRDefault="00F13B79" w:rsidP="00510C29">
      <w:pPr>
        <w:pStyle w:val="Annextitle"/>
        <w:rPr>
          <w:lang w:eastAsia="zh-CN"/>
        </w:rPr>
      </w:pPr>
      <w:bookmarkStart w:id="1546" w:name="_Toc531706968"/>
      <w:r w:rsidRPr="002E7909">
        <w:rPr>
          <w:rFonts w:hint="eastAsia"/>
          <w:lang w:eastAsia="zh-CN"/>
        </w:rPr>
        <w:t>为减少国际电联大会、全会和理事会文件量</w:t>
      </w:r>
      <w:r w:rsidR="00AB219E">
        <w:rPr>
          <w:lang w:val="en-US" w:eastAsia="zh-CN"/>
        </w:rPr>
        <w:br/>
      </w:r>
      <w:r w:rsidRPr="002E7909">
        <w:rPr>
          <w:rFonts w:hint="eastAsia"/>
          <w:lang w:eastAsia="zh-CN"/>
        </w:rPr>
        <w:t>和费用需采取的措施</w:t>
      </w:r>
      <w:bookmarkEnd w:id="1546"/>
    </w:p>
    <w:p w14:paraId="4827B2B8" w14:textId="77777777" w:rsidR="00F13B79" w:rsidRPr="0044352A" w:rsidRDefault="00F13B79" w:rsidP="0044352A">
      <w:pPr>
        <w:pStyle w:val="Heading1"/>
        <w:rPr>
          <w:lang w:eastAsia="zh-CN"/>
        </w:rPr>
      </w:pPr>
      <w:bookmarkStart w:id="1547" w:name="_Toc531707154"/>
      <w:r w:rsidRPr="0044352A">
        <w:rPr>
          <w:lang w:eastAsia="zh-CN"/>
        </w:rPr>
        <w:t>1</w:t>
      </w:r>
      <w:r w:rsidRPr="0044352A">
        <w:rPr>
          <w:lang w:eastAsia="zh-CN"/>
        </w:rPr>
        <w:tab/>
      </w:r>
      <w:r w:rsidRPr="0044352A">
        <w:rPr>
          <w:rFonts w:hint="eastAsia"/>
          <w:lang w:eastAsia="zh-CN"/>
        </w:rPr>
        <w:t>文件的翻译与印制</w:t>
      </w:r>
      <w:bookmarkEnd w:id="1547"/>
    </w:p>
    <w:p w14:paraId="4827B2B9" w14:textId="77777777" w:rsidR="00F13B79" w:rsidRDefault="00F13B79" w:rsidP="0044352A">
      <w:pPr>
        <w:pStyle w:val="Headingi"/>
        <w:rPr>
          <w:i/>
          <w:lang w:eastAsia="zh-CN"/>
        </w:rPr>
      </w:pPr>
      <w:r>
        <w:rPr>
          <w:lang w:eastAsia="zh-CN"/>
        </w:rPr>
        <w:t>a</w:t>
      </w:r>
      <w:r w:rsidR="000E6A83">
        <w:rPr>
          <w:lang w:eastAsia="zh-CN"/>
        </w:rPr>
        <w:t>)</w:t>
      </w:r>
      <w:r w:rsidR="000E6A83">
        <w:rPr>
          <w:lang w:eastAsia="zh-CN"/>
        </w:rPr>
        <w:tab/>
      </w:r>
      <w:r>
        <w:rPr>
          <w:rFonts w:hint="eastAsia"/>
          <w:lang w:eastAsia="zh-CN"/>
        </w:rPr>
        <w:t>全权代表大会、世界无线电通信大会、世界国际电信大会和理事会</w:t>
      </w:r>
    </w:p>
    <w:p w14:paraId="4827B2BA" w14:textId="77777777" w:rsidR="00F13B79" w:rsidRDefault="00F13B79" w:rsidP="0044352A">
      <w:pPr>
        <w:pStyle w:val="enumlev2"/>
        <w:rPr>
          <w:lang w:eastAsia="zh-CN"/>
        </w:rPr>
      </w:pPr>
      <w:r>
        <w:rPr>
          <w:lang w:eastAsia="zh-CN"/>
        </w:rPr>
        <w:t>•</w:t>
      </w:r>
      <w:r>
        <w:rPr>
          <w:lang w:eastAsia="zh-CN"/>
        </w:rPr>
        <w:tab/>
      </w:r>
      <w:r>
        <w:rPr>
          <w:rFonts w:hint="eastAsia"/>
          <w:lang w:eastAsia="zh-CN"/>
        </w:rPr>
        <w:t>成员国提交的提案、秘书处应大会或理事会的指示而产生的所有报告及任何由全体会议和委员会会议工作产生的文件都应以必要的语言翻译和出版</w:t>
      </w:r>
      <w:r w:rsidR="00EC401C">
        <w:rPr>
          <w:rStyle w:val="FootnoteReference"/>
          <w:lang w:eastAsia="zh-CN"/>
        </w:rPr>
        <w:footnoteReference w:customMarkFollows="1" w:id="7"/>
        <w:t>1</w:t>
      </w:r>
      <w:r>
        <w:rPr>
          <w:rFonts w:ascii="Arial Unicode MS" w:hAnsi="Arial Unicode MS" w:hint="eastAsia"/>
          <w:szCs w:val="24"/>
          <w:lang w:eastAsia="zh-CN"/>
        </w:rPr>
        <w:t>。</w:t>
      </w:r>
      <w:r>
        <w:rPr>
          <w:rFonts w:ascii="Arial Unicode MS" w:hAnsi="Arial Unicode MS"/>
          <w:szCs w:val="24"/>
          <w:lang w:eastAsia="zh-CN"/>
        </w:rPr>
        <w:t xml:space="preserve"> </w:t>
      </w:r>
    </w:p>
    <w:p w14:paraId="4827B2BB" w14:textId="77777777" w:rsidR="00F13B79" w:rsidRDefault="00F13B79" w:rsidP="0044352A">
      <w:pPr>
        <w:pStyle w:val="enumlev2"/>
        <w:rPr>
          <w:rFonts w:ascii="SimSun" w:hAnsi="SimSun"/>
          <w:lang w:eastAsia="zh-CN"/>
        </w:rPr>
      </w:pPr>
      <w:r>
        <w:rPr>
          <w:lang w:eastAsia="zh-CN"/>
        </w:rPr>
        <w:t>•</w:t>
      </w:r>
      <w:r>
        <w:rPr>
          <w:lang w:eastAsia="zh-CN"/>
        </w:rPr>
        <w:tab/>
      </w:r>
      <w:r>
        <w:rPr>
          <w:rFonts w:ascii="SimSun" w:hAnsi="SimSun" w:hint="eastAsia"/>
          <w:lang w:eastAsia="zh-CN"/>
        </w:rPr>
        <w:t>成员国提交的除提案以外的文稿应提交给大会或理事会的主席，该主席经与相关成员国和秘书长协商，可决定将其作为情况通报性文件处理并仅以原文版本印制或准与翻译该文稿的摘要。</w:t>
      </w:r>
    </w:p>
    <w:p w14:paraId="4827B2BC" w14:textId="77777777" w:rsidR="00F13B79" w:rsidRDefault="00F13B79" w:rsidP="0044352A">
      <w:pPr>
        <w:pStyle w:val="enumlev2"/>
        <w:rPr>
          <w:rFonts w:ascii="SimSun" w:hAnsi="SimSun"/>
          <w:lang w:eastAsia="zh-CN"/>
        </w:rPr>
      </w:pPr>
      <w:r>
        <w:rPr>
          <w:lang w:eastAsia="zh-CN"/>
        </w:rPr>
        <w:t>•</w:t>
      </w:r>
      <w:r>
        <w:rPr>
          <w:rFonts w:hint="eastAsia"/>
          <w:lang w:eastAsia="zh-CN"/>
        </w:rPr>
        <w:tab/>
      </w:r>
      <w:r>
        <w:rPr>
          <w:rFonts w:ascii="SimSun" w:hAnsi="SimSun" w:hint="eastAsia"/>
          <w:lang w:eastAsia="zh-CN"/>
        </w:rPr>
        <w:t>国际组织和观察员提交的文稿应视为情况通报文件，是否将这些文稿翻译成必要的语言</w:t>
      </w:r>
      <w:r w:rsidR="00A33723">
        <w:rPr>
          <w:rStyle w:val="FootnoteReference"/>
          <w:lang w:eastAsia="zh-CN"/>
        </w:rPr>
        <w:t>1</w:t>
      </w:r>
      <w:r>
        <w:rPr>
          <w:rFonts w:ascii="SimSun" w:hAnsi="SimSun" w:hint="eastAsia"/>
          <w:lang w:eastAsia="zh-CN"/>
        </w:rPr>
        <w:t>和</w:t>
      </w:r>
      <w:r>
        <w:rPr>
          <w:rFonts w:ascii="SimSun" w:hAnsi="SimSun"/>
          <w:lang w:eastAsia="zh-CN"/>
        </w:rPr>
        <w:t>/</w:t>
      </w:r>
      <w:r>
        <w:rPr>
          <w:rFonts w:ascii="SimSun" w:hAnsi="SimSun" w:hint="eastAsia"/>
          <w:lang w:eastAsia="zh-CN"/>
        </w:rPr>
        <w:t>或予以印制，应由大会或理事会主席授权。该主席经与秘书长和相关组织或观察员协商后，可决定授权翻译和</w:t>
      </w:r>
      <w:r>
        <w:rPr>
          <w:rFonts w:ascii="SimSun" w:hAnsi="SimSun"/>
          <w:lang w:eastAsia="zh-CN"/>
        </w:rPr>
        <w:t>/</w:t>
      </w:r>
      <w:r>
        <w:rPr>
          <w:rFonts w:ascii="SimSun" w:hAnsi="SimSun" w:hint="eastAsia"/>
          <w:lang w:eastAsia="zh-CN"/>
        </w:rPr>
        <w:t>或出版该文稿或该文稿的摘要。</w:t>
      </w:r>
    </w:p>
    <w:p w14:paraId="4827B2BD" w14:textId="77777777" w:rsidR="00F13B79" w:rsidRDefault="00F13B79" w:rsidP="0044352A">
      <w:pPr>
        <w:pStyle w:val="Headingi"/>
        <w:rPr>
          <w:lang w:eastAsia="zh-CN"/>
        </w:rPr>
      </w:pPr>
      <w:r>
        <w:rPr>
          <w:lang w:eastAsia="zh-CN"/>
        </w:rPr>
        <w:t>b</w:t>
      </w:r>
      <w:r w:rsidR="000E6A83">
        <w:rPr>
          <w:lang w:eastAsia="zh-CN"/>
        </w:rPr>
        <w:t>)</w:t>
      </w:r>
      <w:r w:rsidR="000E6A83">
        <w:rPr>
          <w:lang w:eastAsia="zh-CN"/>
        </w:rPr>
        <w:tab/>
      </w:r>
      <w:r>
        <w:rPr>
          <w:rFonts w:hint="eastAsia"/>
          <w:lang w:eastAsia="zh-CN"/>
        </w:rPr>
        <w:t>发展大会、全会和研究组</w:t>
      </w:r>
    </w:p>
    <w:p w14:paraId="4827B2BE" w14:textId="77777777" w:rsidR="00F13B79" w:rsidRDefault="00F13B79" w:rsidP="0044352A">
      <w:pPr>
        <w:pStyle w:val="enumlev2"/>
        <w:rPr>
          <w:lang w:eastAsia="zh-CN"/>
        </w:rPr>
      </w:pPr>
      <w:r>
        <w:rPr>
          <w:lang w:eastAsia="zh-CN"/>
        </w:rPr>
        <w:t>•</w:t>
      </w:r>
      <w:r>
        <w:rPr>
          <w:rFonts w:hint="eastAsia"/>
          <w:lang w:eastAsia="zh-CN"/>
        </w:rPr>
        <w:tab/>
      </w:r>
      <w:r>
        <w:rPr>
          <w:rFonts w:hint="eastAsia"/>
          <w:lang w:eastAsia="zh-CN"/>
        </w:rPr>
        <w:t>三个局的主任，应与其相关顾问组协商，研究并提出一个程序，以便根据第</w:t>
      </w:r>
      <w:r>
        <w:rPr>
          <w:lang w:eastAsia="zh-CN"/>
        </w:rPr>
        <w:t>104</w:t>
      </w:r>
      <w:r>
        <w:rPr>
          <w:rFonts w:hint="eastAsia"/>
          <w:lang w:eastAsia="zh-CN"/>
        </w:rPr>
        <w:t>号</w:t>
      </w:r>
      <w:r w:rsidR="00682E3A">
        <w:rPr>
          <w:rFonts w:hint="eastAsia"/>
          <w:lang w:eastAsia="zh-CN"/>
        </w:rPr>
        <w:t>决议</w:t>
      </w:r>
      <w:r>
        <w:rPr>
          <w:lang w:eastAsia="zh-CN"/>
        </w:rPr>
        <w:t>（</w:t>
      </w:r>
      <w:r>
        <w:rPr>
          <w:lang w:eastAsia="zh-CN"/>
        </w:rPr>
        <w:t>1998</w:t>
      </w:r>
      <w:r>
        <w:rPr>
          <w:rFonts w:hint="eastAsia"/>
          <w:lang w:eastAsia="zh-CN"/>
        </w:rPr>
        <w:t>年，明尼阿波利斯</w:t>
      </w:r>
      <w:r>
        <w:rPr>
          <w:lang w:eastAsia="zh-CN"/>
        </w:rPr>
        <w:t>）</w:t>
      </w:r>
      <w:r>
        <w:rPr>
          <w:rFonts w:hint="eastAsia"/>
          <w:lang w:eastAsia="zh-CN"/>
        </w:rPr>
        <w:t>的附件，在考虑到预算限制的基础上，将该程序用于文件的翻译与印制</w:t>
      </w:r>
      <w:r w:rsidR="00EC401C">
        <w:rPr>
          <w:rStyle w:val="FootnoteReference"/>
          <w:lang w:eastAsia="zh-CN"/>
        </w:rPr>
        <w:footnoteReference w:customMarkFollows="1" w:id="8"/>
        <w:t>2</w:t>
      </w:r>
      <w:r>
        <w:rPr>
          <w:rFonts w:hint="eastAsia"/>
          <w:lang w:eastAsia="zh-CN"/>
        </w:rPr>
        <w:t>。</w:t>
      </w:r>
      <w:r>
        <w:rPr>
          <w:rFonts w:ascii="Arial Unicode MS" w:eastAsia="Arial Unicode MS" w:hAnsi="Arial Unicode MS" w:cs="Arial Unicode MS"/>
          <w:szCs w:val="24"/>
          <w:lang w:eastAsia="zh-CN"/>
        </w:rPr>
        <w:t xml:space="preserve"> </w:t>
      </w:r>
    </w:p>
    <w:p w14:paraId="4827B2BF" w14:textId="77777777" w:rsidR="003C22D4" w:rsidRDefault="00F13B79" w:rsidP="0044352A">
      <w:pPr>
        <w:ind w:firstLineChars="200" w:firstLine="480"/>
        <w:rPr>
          <w:lang w:eastAsia="zh-CN"/>
        </w:rPr>
      </w:pPr>
      <w:r>
        <w:rPr>
          <w:rFonts w:hint="eastAsia"/>
          <w:lang w:eastAsia="zh-CN"/>
        </w:rPr>
        <w:t>在任何情况下，情况通报文件的处理都不应推迟其他文件的处理。</w:t>
      </w:r>
      <w:r>
        <w:rPr>
          <w:lang w:eastAsia="zh-CN"/>
        </w:rPr>
        <w:t xml:space="preserve"> </w:t>
      </w:r>
    </w:p>
    <w:p w14:paraId="4827B2C0" w14:textId="77777777" w:rsidR="003C22D4" w:rsidRDefault="003C22D4">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2C1" w14:textId="77777777" w:rsidR="00F13B79" w:rsidRPr="00FC01CD" w:rsidRDefault="00F13B79" w:rsidP="00B64353">
      <w:pPr>
        <w:pStyle w:val="Heading1"/>
        <w:rPr>
          <w:lang w:eastAsia="zh-CN"/>
        </w:rPr>
      </w:pPr>
      <w:bookmarkStart w:id="1548" w:name="_Toc531707155"/>
      <w:r w:rsidRPr="00707561">
        <w:rPr>
          <w:rFonts w:asciiTheme="minorHAnsi" w:hAnsiTheme="minorHAnsi" w:cstheme="minorHAnsi"/>
          <w:lang w:eastAsia="zh-CN"/>
        </w:rPr>
        <w:lastRenderedPageBreak/>
        <w:t>2</w:t>
      </w:r>
      <w:r w:rsidRPr="00707561">
        <w:rPr>
          <w:rFonts w:asciiTheme="minorHAnsi" w:hAnsiTheme="minorHAnsi" w:cstheme="minorHAnsi"/>
          <w:lang w:eastAsia="zh-CN"/>
        </w:rPr>
        <w:tab/>
      </w:r>
      <w:r w:rsidRPr="00FC01CD">
        <w:rPr>
          <w:rFonts w:hint="eastAsia"/>
          <w:lang w:eastAsia="zh-CN"/>
        </w:rPr>
        <w:t>文件的分发</w:t>
      </w:r>
      <w:bookmarkEnd w:id="1548"/>
    </w:p>
    <w:p w14:paraId="4827B2C2" w14:textId="77777777" w:rsidR="00F13B79" w:rsidRPr="009E10C4" w:rsidRDefault="00F13B79" w:rsidP="0044352A">
      <w:pPr>
        <w:pStyle w:val="Headingi"/>
        <w:rPr>
          <w:lang w:eastAsia="zh-CN"/>
        </w:rPr>
      </w:pPr>
      <w:r>
        <w:rPr>
          <w:lang w:eastAsia="zh-CN"/>
        </w:rPr>
        <w:t>a</w:t>
      </w:r>
      <w:r w:rsidR="000E6A83">
        <w:rPr>
          <w:lang w:eastAsia="zh-CN"/>
        </w:rPr>
        <w:t>)</w:t>
      </w:r>
      <w:r w:rsidR="000E6A83">
        <w:rPr>
          <w:lang w:eastAsia="zh-CN"/>
        </w:rPr>
        <w:tab/>
      </w:r>
      <w:r w:rsidRPr="009E10C4">
        <w:rPr>
          <w:rFonts w:hint="eastAsia"/>
          <w:lang w:eastAsia="zh-CN"/>
        </w:rPr>
        <w:t>全权代表大会、世界无线电通信大会、世界国际电信大会和理事会</w:t>
      </w:r>
    </w:p>
    <w:p w14:paraId="4827B2C3" w14:textId="77777777" w:rsidR="00F13B79" w:rsidRPr="009E10C4" w:rsidRDefault="003367A0" w:rsidP="0044352A">
      <w:pPr>
        <w:pStyle w:val="enumlev2"/>
        <w:rPr>
          <w:lang w:eastAsia="zh-CN"/>
        </w:rPr>
      </w:pPr>
      <w:r w:rsidRPr="009E10C4">
        <w:rPr>
          <w:lang w:eastAsia="zh-CN"/>
        </w:rPr>
        <w:t>•</w:t>
      </w:r>
      <w:r w:rsidRPr="009E10C4">
        <w:rPr>
          <w:lang w:eastAsia="zh-CN"/>
        </w:rPr>
        <w:tab/>
      </w:r>
      <w:r w:rsidR="00F13B79" w:rsidRPr="009E10C4">
        <w:rPr>
          <w:rFonts w:hint="eastAsia"/>
          <w:lang w:eastAsia="zh-CN"/>
        </w:rPr>
        <w:t>所有文件一俟提供，应尽快上网；文件印制一俟完成，应立即分发；并应建立大会或理事会专用的、经常更新的网页。</w:t>
      </w:r>
    </w:p>
    <w:p w14:paraId="4827B2C4" w14:textId="77777777" w:rsidR="00F13B79" w:rsidRPr="009E10C4" w:rsidRDefault="00F13B79" w:rsidP="0044352A">
      <w:pPr>
        <w:pStyle w:val="enumlev2"/>
        <w:rPr>
          <w:lang w:eastAsia="zh-CN"/>
        </w:rPr>
      </w:pPr>
      <w:r w:rsidRPr="009E10C4">
        <w:rPr>
          <w:lang w:eastAsia="zh-CN"/>
        </w:rPr>
        <w:t>•</w:t>
      </w:r>
      <w:r w:rsidRPr="009E10C4">
        <w:rPr>
          <w:lang w:eastAsia="zh-CN"/>
        </w:rPr>
        <w:tab/>
      </w:r>
      <w:r w:rsidRPr="009E10C4">
        <w:rPr>
          <w:rFonts w:hint="eastAsia"/>
          <w:lang w:eastAsia="zh-CN"/>
        </w:rPr>
        <w:t>对于会前和会后文件，应鼓励采用电子方式分发，对向那些仍希望以纸印形式获得文件的代表邮寄的纸印文件的数量应加以限制，每个成员国最多五份，每个部门成员仅发一份。</w:t>
      </w:r>
    </w:p>
    <w:p w14:paraId="4827B2C5" w14:textId="77777777" w:rsidR="00F13B79" w:rsidRPr="009E10C4" w:rsidRDefault="00F13B79" w:rsidP="0044352A">
      <w:pPr>
        <w:pStyle w:val="enumlev2"/>
        <w:rPr>
          <w:lang w:eastAsia="zh-CN"/>
        </w:rPr>
      </w:pPr>
      <w:r w:rsidRPr="009E10C4">
        <w:rPr>
          <w:lang w:eastAsia="zh-CN"/>
        </w:rPr>
        <w:t>•</w:t>
      </w:r>
      <w:r w:rsidRPr="009E10C4">
        <w:rPr>
          <w:lang w:eastAsia="zh-CN"/>
        </w:rPr>
        <w:tab/>
      </w:r>
      <w:r w:rsidRPr="009E10C4">
        <w:rPr>
          <w:rFonts w:hint="eastAsia"/>
          <w:lang w:eastAsia="zh-CN"/>
        </w:rPr>
        <w:t>除以纸印形式分发的文件外，在会议开始的第一天，将发给每位代表一张光盘</w:t>
      </w:r>
      <w:r w:rsidRPr="009E10C4">
        <w:rPr>
          <w:lang w:eastAsia="zh-CN"/>
        </w:rPr>
        <w:t>（</w:t>
      </w:r>
      <w:r w:rsidRPr="009E10C4">
        <w:rPr>
          <w:lang w:eastAsia="zh-CN"/>
        </w:rPr>
        <w:t>CD-ROM</w:t>
      </w:r>
      <w:r w:rsidRPr="009E10C4">
        <w:rPr>
          <w:lang w:eastAsia="zh-CN"/>
        </w:rPr>
        <w:t>）</w:t>
      </w:r>
      <w:r w:rsidRPr="009E10C4">
        <w:rPr>
          <w:rFonts w:hint="eastAsia"/>
          <w:lang w:eastAsia="zh-CN"/>
        </w:rPr>
        <w:t>，其中包括某截止日期前提交的所有输入文件，并在会议结束之日发给每位代表一张光盘</w:t>
      </w:r>
      <w:r w:rsidRPr="009E10C4">
        <w:rPr>
          <w:lang w:eastAsia="zh-CN"/>
        </w:rPr>
        <w:t>（</w:t>
      </w:r>
      <w:r w:rsidRPr="009E10C4">
        <w:rPr>
          <w:lang w:eastAsia="zh-CN"/>
        </w:rPr>
        <w:t>CD-ROM</w:t>
      </w:r>
      <w:r w:rsidRPr="009E10C4">
        <w:rPr>
          <w:lang w:eastAsia="zh-CN"/>
        </w:rPr>
        <w:t>）</w:t>
      </w:r>
      <w:r w:rsidRPr="009E10C4">
        <w:rPr>
          <w:rFonts w:hint="eastAsia"/>
          <w:lang w:eastAsia="zh-CN"/>
        </w:rPr>
        <w:t>，其中包括所有的工作文件和输出文件。</w:t>
      </w:r>
    </w:p>
    <w:p w14:paraId="4827B2C6" w14:textId="77777777" w:rsidR="00F13B79" w:rsidRPr="009E10C4" w:rsidRDefault="003367A0" w:rsidP="0044352A">
      <w:pPr>
        <w:pStyle w:val="enumlev2"/>
        <w:rPr>
          <w:lang w:eastAsia="zh-CN"/>
        </w:rPr>
      </w:pPr>
      <w:r w:rsidRPr="009E10C4">
        <w:rPr>
          <w:lang w:eastAsia="zh-CN"/>
        </w:rPr>
        <w:t>•</w:t>
      </w:r>
      <w:r w:rsidRPr="009E10C4">
        <w:rPr>
          <w:lang w:eastAsia="zh-CN"/>
        </w:rPr>
        <w:tab/>
      </w:r>
      <w:r w:rsidR="00F13B79" w:rsidRPr="009E10C4">
        <w:rPr>
          <w:rFonts w:hint="eastAsia"/>
          <w:lang w:eastAsia="zh-CN"/>
        </w:rPr>
        <w:t>超出上述限额的最终版本光盘</w:t>
      </w:r>
      <w:r w:rsidR="00F13B79" w:rsidRPr="009E10C4">
        <w:rPr>
          <w:lang w:eastAsia="zh-CN"/>
        </w:rPr>
        <w:t>（</w:t>
      </w:r>
      <w:r w:rsidR="00F13B79" w:rsidRPr="009E10C4">
        <w:rPr>
          <w:lang w:eastAsia="zh-CN"/>
        </w:rPr>
        <w:t>CD-ROM</w:t>
      </w:r>
      <w:r w:rsidR="00F13B79" w:rsidRPr="009E10C4">
        <w:rPr>
          <w:lang w:eastAsia="zh-CN"/>
        </w:rPr>
        <w:t>）</w:t>
      </w:r>
      <w:r w:rsidR="00F13B79" w:rsidRPr="009E10C4">
        <w:rPr>
          <w:rFonts w:hint="eastAsia"/>
          <w:lang w:eastAsia="zh-CN"/>
        </w:rPr>
        <w:t>与纸页文件将根据要求提供，付费方式与国际电联其他出版物相同。</w:t>
      </w:r>
    </w:p>
    <w:p w14:paraId="4827B2C7" w14:textId="77777777" w:rsidR="00F13B79" w:rsidRPr="009E10C4" w:rsidRDefault="00F13B79" w:rsidP="0044352A">
      <w:pPr>
        <w:pStyle w:val="Headingi"/>
        <w:rPr>
          <w:lang w:eastAsia="zh-CN"/>
        </w:rPr>
      </w:pPr>
      <w:r w:rsidRPr="009E10C4">
        <w:rPr>
          <w:lang w:eastAsia="zh-CN"/>
        </w:rPr>
        <w:t>b</w:t>
      </w:r>
      <w:r w:rsidR="000E6A83">
        <w:rPr>
          <w:lang w:eastAsia="zh-CN"/>
        </w:rPr>
        <w:t>)</w:t>
      </w:r>
      <w:r w:rsidR="000E6A83">
        <w:rPr>
          <w:lang w:eastAsia="zh-CN"/>
        </w:rPr>
        <w:tab/>
      </w:r>
      <w:r w:rsidRPr="009E10C4">
        <w:rPr>
          <w:rFonts w:hint="eastAsia"/>
          <w:lang w:eastAsia="zh-CN"/>
        </w:rPr>
        <w:t>发展大会、全会和研究组</w:t>
      </w:r>
    </w:p>
    <w:p w14:paraId="4827B2C8" w14:textId="77777777" w:rsidR="00F11D1D" w:rsidRDefault="00F13B79" w:rsidP="0044352A">
      <w:pPr>
        <w:pStyle w:val="enumlev2"/>
        <w:rPr>
          <w:lang w:eastAsia="zh-CN"/>
        </w:rPr>
      </w:pPr>
      <w:r w:rsidRPr="009E10C4">
        <w:rPr>
          <w:lang w:eastAsia="zh-CN"/>
        </w:rPr>
        <w:t>•</w:t>
      </w:r>
      <w:r w:rsidRPr="009E10C4">
        <w:rPr>
          <w:lang w:eastAsia="zh-CN"/>
        </w:rPr>
        <w:tab/>
      </w:r>
      <w:r w:rsidRPr="009E10C4">
        <w:rPr>
          <w:rFonts w:hint="eastAsia"/>
          <w:lang w:eastAsia="zh-CN"/>
        </w:rPr>
        <w:t>各局主任应与相关顾问组协商，将上述程序与各部门的具体要求结合起来。</w:t>
      </w:r>
    </w:p>
    <w:p w14:paraId="4827B2C9" w14:textId="77777777" w:rsidR="0044352A" w:rsidRDefault="0044352A" w:rsidP="0044352A">
      <w:pPr>
        <w:pStyle w:val="Endtext"/>
        <w:spacing w:before="60"/>
        <w:rPr>
          <w:lang w:eastAsia="zh-CN"/>
        </w:rPr>
      </w:pPr>
      <w:r>
        <w:rPr>
          <w:rFonts w:hint="eastAsia"/>
          <w:lang w:eastAsia="zh-CN"/>
        </w:rPr>
        <w:t>参阅</w:t>
      </w:r>
      <w:r>
        <w:rPr>
          <w:rFonts w:ascii="STKaiti" w:hAnsi="SimSun" w:hint="eastAsia"/>
          <w:lang w:eastAsia="zh-CN"/>
        </w:rPr>
        <w:t>：</w:t>
      </w:r>
      <w:r>
        <w:rPr>
          <w:rFonts w:hint="eastAsia"/>
          <w:lang w:eastAsia="zh-CN"/>
        </w:rPr>
        <w:tab/>
      </w:r>
      <w:hyperlink r:id="rId226" w:history="1">
        <w:r w:rsidRPr="00B64CA6">
          <w:rPr>
            <w:rStyle w:val="Hyperlink"/>
            <w:lang w:val="fr-FR" w:eastAsia="zh-CN"/>
          </w:rPr>
          <w:t>C99/116</w:t>
        </w:r>
      </w:hyperlink>
      <w:r>
        <w:rPr>
          <w:rFonts w:hint="eastAsia"/>
          <w:lang w:val="fr-FR" w:eastAsia="zh-CN"/>
        </w:rPr>
        <w:t>和</w:t>
      </w:r>
      <w:hyperlink r:id="rId227" w:history="1">
        <w:r w:rsidRPr="00B64CA6">
          <w:rPr>
            <w:rStyle w:val="Hyperlink"/>
            <w:lang w:val="fr-FR" w:eastAsia="zh-CN"/>
          </w:rPr>
          <w:t>C99/133</w:t>
        </w:r>
      </w:hyperlink>
      <w:r>
        <w:rPr>
          <w:rFonts w:hint="eastAsia"/>
          <w:lang w:val="fr-FR" w:eastAsia="zh-CN"/>
        </w:rPr>
        <w:t>号</w:t>
      </w:r>
      <w:r>
        <w:rPr>
          <w:lang w:val="fr-FR" w:eastAsia="zh-CN"/>
        </w:rPr>
        <w:t>文件。</w:t>
      </w:r>
    </w:p>
    <w:p w14:paraId="4827B2CA" w14:textId="77777777" w:rsidR="00793F78" w:rsidRDefault="00793F78" w:rsidP="00793F78">
      <w:pPr>
        <w:jc w:val="center"/>
        <w:rPr>
          <w:lang w:eastAsia="zh-CN"/>
        </w:rPr>
      </w:pPr>
      <w:bookmarkStart w:id="1549" w:name="_Toc161224040"/>
      <w:bookmarkStart w:id="1550" w:name="_Toc161732086"/>
      <w:bookmarkStart w:id="1551" w:name="_Toc161741013"/>
      <w:bookmarkStart w:id="1552" w:name="_Toc63839106"/>
      <w:bookmarkStart w:id="1553" w:name="_Toc185237686"/>
      <w:bookmarkStart w:id="1554" w:name="_Toc311469603"/>
      <w:r>
        <w:rPr>
          <w:lang w:eastAsia="zh-CN"/>
        </w:rPr>
        <w:t>______________</w:t>
      </w:r>
    </w:p>
    <w:p w14:paraId="4827B2CB" w14:textId="77777777" w:rsidR="0044352A" w:rsidRDefault="00AE7F4C" w:rsidP="00CA7362">
      <w:pPr>
        <w:pStyle w:val="DecNo"/>
        <w:outlineLvl w:val="0"/>
      </w:pPr>
      <w:bookmarkStart w:id="1555" w:name="_Toc424117018"/>
      <w:bookmarkStart w:id="1556" w:name="_Toc531706368"/>
      <w:bookmarkStart w:id="1557" w:name="_Toc531706969"/>
      <w:bookmarkStart w:id="1558" w:name="_Toc531768456"/>
      <w:bookmarkStart w:id="1559" w:name="_Toc16085776"/>
      <w:bookmarkStart w:id="1560" w:name="_Toc86395579"/>
      <w:r>
        <w:rPr>
          <w:rFonts w:hint="eastAsia"/>
        </w:rPr>
        <w:t>第</w:t>
      </w:r>
      <w:r>
        <w:t>304</w:t>
      </w:r>
      <w:r>
        <w:rPr>
          <w:rFonts w:hint="eastAsia"/>
        </w:rPr>
        <w:t>号决定</w:t>
      </w:r>
      <w:r w:rsidR="0044352A">
        <w:rPr>
          <w:rFonts w:hint="eastAsia"/>
        </w:rPr>
        <w:t>（</w:t>
      </w:r>
      <w:r w:rsidR="0044352A" w:rsidRPr="0044352A">
        <w:t>C-1963</w:t>
      </w:r>
      <w:r w:rsidR="0044352A" w:rsidRPr="0044352A">
        <w:rPr>
          <w:rFonts w:hint="eastAsia"/>
        </w:rPr>
        <w:t>，最后修正</w:t>
      </w:r>
      <w:r w:rsidR="0044352A" w:rsidRPr="0044352A">
        <w:t>C-1976</w:t>
      </w:r>
      <w:r w:rsidR="0044352A">
        <w:rPr>
          <w:rFonts w:hint="eastAsia"/>
        </w:rPr>
        <w:t>）</w:t>
      </w:r>
      <w:bookmarkEnd w:id="1555"/>
      <w:bookmarkEnd w:id="1556"/>
      <w:bookmarkEnd w:id="1557"/>
      <w:bookmarkEnd w:id="1558"/>
      <w:bookmarkEnd w:id="1559"/>
      <w:bookmarkEnd w:id="1560"/>
    </w:p>
    <w:p w14:paraId="4827B2CC" w14:textId="77777777" w:rsidR="00AE7F4C" w:rsidRPr="0044352A" w:rsidRDefault="00AE7F4C" w:rsidP="00ED4C6F">
      <w:pPr>
        <w:pStyle w:val="Dectitle"/>
        <w:spacing w:before="0"/>
      </w:pPr>
      <w:bookmarkStart w:id="1561" w:name="_Toc424117019"/>
      <w:bookmarkStart w:id="1562" w:name="_Toc460248132"/>
      <w:bookmarkStart w:id="1563" w:name="_Toc531706369"/>
      <w:bookmarkStart w:id="1564" w:name="_Toc531706970"/>
      <w:bookmarkStart w:id="1565" w:name="_Toc531768457"/>
      <w:bookmarkStart w:id="1566" w:name="_Toc16085777"/>
      <w:bookmarkStart w:id="1567" w:name="_Toc86395580"/>
      <w:r w:rsidRPr="0044352A">
        <w:rPr>
          <w:rFonts w:hint="eastAsia"/>
        </w:rPr>
        <w:t>国际电联成员国代表团参加</w:t>
      </w:r>
      <w:r w:rsidR="0044352A">
        <w:br/>
      </w:r>
      <w:r w:rsidRPr="0044352A">
        <w:rPr>
          <w:rFonts w:hint="eastAsia"/>
        </w:rPr>
        <w:t>国际电联的大会或会议</w:t>
      </w:r>
      <w:bookmarkEnd w:id="1549"/>
      <w:bookmarkEnd w:id="1550"/>
      <w:bookmarkEnd w:id="1551"/>
      <w:bookmarkEnd w:id="1552"/>
      <w:bookmarkEnd w:id="1553"/>
      <w:bookmarkEnd w:id="1554"/>
      <w:bookmarkEnd w:id="1561"/>
      <w:bookmarkEnd w:id="1562"/>
      <w:bookmarkEnd w:id="1563"/>
      <w:bookmarkEnd w:id="1564"/>
      <w:bookmarkEnd w:id="1565"/>
      <w:bookmarkEnd w:id="1566"/>
      <w:bookmarkEnd w:id="1567"/>
    </w:p>
    <w:p w14:paraId="4827B2CD" w14:textId="77777777" w:rsidR="00F13B79" w:rsidRDefault="00F13B79" w:rsidP="00117AD9">
      <w:pPr>
        <w:pStyle w:val="Normalaftertitle"/>
        <w:rPr>
          <w:lang w:eastAsia="zh-CN"/>
        </w:rPr>
      </w:pPr>
      <w:r>
        <w:rPr>
          <w:rFonts w:hint="eastAsia"/>
          <w:lang w:eastAsia="zh-CN"/>
        </w:rPr>
        <w:t>理事会，</w:t>
      </w:r>
    </w:p>
    <w:p w14:paraId="4827B2CE" w14:textId="77777777" w:rsidR="00F13B79" w:rsidRPr="0062508D" w:rsidRDefault="00F13B79" w:rsidP="00B64353">
      <w:pPr>
        <w:pStyle w:val="call0"/>
        <w:rPr>
          <w:rFonts w:ascii="STKaiti" w:hAnsi="STKaiti"/>
          <w:i/>
          <w:iCs/>
          <w:szCs w:val="22"/>
          <w:lang w:eastAsia="zh-CN"/>
        </w:rPr>
      </w:pPr>
      <w:r w:rsidRPr="0062508D">
        <w:rPr>
          <w:rFonts w:ascii="STKaiti" w:hAnsi="STKaiti" w:hint="eastAsia"/>
          <w:iCs/>
          <w:szCs w:val="22"/>
          <w:lang w:eastAsia="zh-CN"/>
        </w:rPr>
        <w:t>做出决定</w:t>
      </w:r>
    </w:p>
    <w:p w14:paraId="4827B2CF" w14:textId="77777777" w:rsidR="00F13B79" w:rsidRDefault="00F13B79" w:rsidP="0044352A">
      <w:pPr>
        <w:ind w:firstLineChars="200" w:firstLine="480"/>
        <w:rPr>
          <w:lang w:eastAsia="zh-CN"/>
        </w:rPr>
      </w:pPr>
      <w:r>
        <w:rPr>
          <w:rFonts w:ascii="SimSun" w:hAnsi="SimSun" w:hint="eastAsia"/>
          <w:lang w:eastAsia="zh-CN"/>
        </w:rPr>
        <w:t>鉴于《公约》的条款规定所有成员</w:t>
      </w:r>
      <w:r w:rsidR="00624859">
        <w:rPr>
          <w:rFonts w:ascii="SimSun" w:hAnsi="SimSun" w:hint="eastAsia"/>
          <w:lang w:eastAsia="zh-CN"/>
        </w:rPr>
        <w:t>国均</w:t>
      </w:r>
      <w:r>
        <w:rPr>
          <w:rFonts w:ascii="SimSun" w:hAnsi="SimSun" w:hint="eastAsia"/>
          <w:lang w:eastAsia="zh-CN"/>
        </w:rPr>
        <w:t>有权参加国际电联的大会和会议，秘书长在起草</w:t>
      </w:r>
      <w:r w:rsidR="003C68A4">
        <w:rPr>
          <w:rFonts w:hint="eastAsia"/>
          <w:lang w:eastAsia="zh-CN"/>
        </w:rPr>
        <w:t>有关国际电联</w:t>
      </w:r>
      <w:r w:rsidR="003C68A4">
        <w:rPr>
          <w:rFonts w:ascii="SimSun" w:hAnsi="SimSun" w:hint="eastAsia"/>
          <w:lang w:eastAsia="zh-CN"/>
        </w:rPr>
        <w:t>大会或会议安排的</w:t>
      </w:r>
      <w:r>
        <w:rPr>
          <w:rFonts w:ascii="SimSun" w:hAnsi="SimSun" w:hint="eastAsia"/>
          <w:lang w:eastAsia="zh-CN"/>
        </w:rPr>
        <w:t>与</w:t>
      </w:r>
      <w:r>
        <w:rPr>
          <w:rFonts w:hint="eastAsia"/>
          <w:lang w:eastAsia="zh-CN"/>
        </w:rPr>
        <w:t>邀请国政府</w:t>
      </w:r>
      <w:r w:rsidR="003C68A4">
        <w:rPr>
          <w:rFonts w:hint="eastAsia"/>
          <w:lang w:eastAsia="zh-CN"/>
        </w:rPr>
        <w:t>的</w:t>
      </w:r>
      <w:r>
        <w:rPr>
          <w:rFonts w:ascii="SimSun" w:hAnsi="SimSun" w:hint="eastAsia"/>
          <w:lang w:eastAsia="zh-CN"/>
        </w:rPr>
        <w:t>协议时，应在其中列入一</w:t>
      </w:r>
      <w:r w:rsidR="003C68A4">
        <w:rPr>
          <w:rFonts w:ascii="SimSun" w:hAnsi="SimSun" w:hint="eastAsia"/>
          <w:lang w:eastAsia="zh-CN"/>
        </w:rPr>
        <w:t>项</w:t>
      </w:r>
      <w:r>
        <w:rPr>
          <w:rFonts w:ascii="SimSun" w:hAnsi="SimSun" w:hint="eastAsia"/>
          <w:lang w:eastAsia="zh-CN"/>
        </w:rPr>
        <w:t>条款，</w:t>
      </w:r>
      <w:r>
        <w:rPr>
          <w:rFonts w:hint="eastAsia"/>
          <w:lang w:eastAsia="zh-CN"/>
        </w:rPr>
        <w:t>规定邀请国主管部门应毫无保留地实施《公约》的条款，并允许代表国际电联成员</w:t>
      </w:r>
      <w:r w:rsidR="00624859">
        <w:rPr>
          <w:rFonts w:hint="eastAsia"/>
          <w:lang w:eastAsia="zh-CN"/>
        </w:rPr>
        <w:t>国</w:t>
      </w:r>
      <w:r>
        <w:rPr>
          <w:rFonts w:hint="eastAsia"/>
          <w:lang w:eastAsia="zh-CN"/>
        </w:rPr>
        <w:t>及其他应邀机构参加会议的人员、国际电联官员及其家属进入该国境内，并允许在他们履行与</w:t>
      </w:r>
      <w:r>
        <w:rPr>
          <w:rFonts w:ascii="SimSun" w:hAnsi="SimSun" w:hint="eastAsia"/>
          <w:lang w:eastAsia="zh-CN"/>
        </w:rPr>
        <w:t>大会或会议相关的职能或出差期间在该国境内</w:t>
      </w:r>
      <w:r>
        <w:rPr>
          <w:rFonts w:hint="eastAsia"/>
          <w:lang w:eastAsia="zh-CN"/>
        </w:rPr>
        <w:t>逗留。</w:t>
      </w:r>
    </w:p>
    <w:p w14:paraId="4827B2D0" w14:textId="77777777" w:rsidR="00F11D1D" w:rsidRPr="00D746C3" w:rsidRDefault="00F13B79" w:rsidP="0044352A">
      <w:pPr>
        <w:pStyle w:val="EndnoteText"/>
        <w:rPr>
          <w:lang w:eastAsia="zh-CN"/>
        </w:rPr>
      </w:pPr>
      <w:r>
        <w:rPr>
          <w:rFonts w:eastAsia="STKaiti" w:hint="eastAsia"/>
          <w:lang w:eastAsia="zh-CN"/>
        </w:rPr>
        <w:t>参阅</w:t>
      </w:r>
      <w:r w:rsidRPr="003367A0">
        <w:rPr>
          <w:rFonts w:ascii="STKaiti" w:eastAsia="STKaiti" w:hAnsi="STKaiti" w:hint="eastAsia"/>
          <w:lang w:eastAsia="zh-CN"/>
        </w:rPr>
        <w:t>：</w:t>
      </w:r>
      <w:r>
        <w:rPr>
          <w:lang w:eastAsia="zh-CN"/>
        </w:rPr>
        <w:tab/>
        <w:t>3016/CA18</w:t>
      </w:r>
      <w:r>
        <w:rPr>
          <w:lang w:eastAsia="zh-CN"/>
        </w:rPr>
        <w:t>（</w:t>
      </w:r>
      <w:r>
        <w:rPr>
          <w:lang w:eastAsia="zh-CN"/>
        </w:rPr>
        <w:t>1963</w:t>
      </w:r>
      <w:r>
        <w:rPr>
          <w:rFonts w:hint="eastAsia"/>
          <w:lang w:eastAsia="zh-CN"/>
        </w:rPr>
        <w:t>年</w:t>
      </w:r>
      <w:r>
        <w:rPr>
          <w:lang w:eastAsia="zh-CN"/>
        </w:rPr>
        <w:t>）</w:t>
      </w:r>
      <w:r w:rsidR="003C68A4">
        <w:rPr>
          <w:rFonts w:hint="eastAsia"/>
          <w:lang w:eastAsia="zh-CN"/>
        </w:rPr>
        <w:t>、</w:t>
      </w:r>
      <w:r>
        <w:rPr>
          <w:lang w:eastAsia="zh-CN"/>
        </w:rPr>
        <w:t>4965/CA31</w:t>
      </w:r>
      <w:r>
        <w:rPr>
          <w:lang w:eastAsia="zh-CN"/>
        </w:rPr>
        <w:t>（</w:t>
      </w:r>
      <w:r>
        <w:rPr>
          <w:lang w:eastAsia="zh-CN"/>
        </w:rPr>
        <w:t>1976</w:t>
      </w:r>
      <w:r>
        <w:rPr>
          <w:rFonts w:hint="eastAsia"/>
          <w:lang w:eastAsia="zh-CN"/>
        </w:rPr>
        <w:t>年</w:t>
      </w:r>
      <w:r>
        <w:rPr>
          <w:lang w:eastAsia="zh-CN"/>
        </w:rPr>
        <w:t>）</w:t>
      </w:r>
      <w:r>
        <w:rPr>
          <w:rFonts w:ascii="SimSun" w:hAnsi="SimSun" w:hint="eastAsia"/>
          <w:lang w:eastAsia="zh-CN"/>
        </w:rPr>
        <w:t>号文件。</w:t>
      </w:r>
    </w:p>
    <w:p w14:paraId="4827B2D1" w14:textId="77777777" w:rsidR="00793F78" w:rsidRDefault="00793F78" w:rsidP="00793F78">
      <w:pPr>
        <w:jc w:val="center"/>
        <w:rPr>
          <w:lang w:eastAsia="zh-CN"/>
        </w:rPr>
      </w:pPr>
      <w:bookmarkStart w:id="1568" w:name="_Toc161224041"/>
      <w:bookmarkStart w:id="1569" w:name="_Toc161732087"/>
      <w:bookmarkStart w:id="1570" w:name="_Toc161741014"/>
      <w:bookmarkStart w:id="1571" w:name="_Toc185237687"/>
      <w:bookmarkStart w:id="1572" w:name="_Toc311469604"/>
      <w:bookmarkStart w:id="1573" w:name="_Toc424117020"/>
      <w:bookmarkStart w:id="1574" w:name="_Toc531706370"/>
      <w:bookmarkStart w:id="1575" w:name="_Toc531706971"/>
      <w:bookmarkStart w:id="1576" w:name="_Toc531768458"/>
      <w:r>
        <w:rPr>
          <w:lang w:eastAsia="zh-CN"/>
        </w:rPr>
        <w:t>______________</w:t>
      </w:r>
    </w:p>
    <w:p w14:paraId="4827B2D2" w14:textId="77777777" w:rsidR="003C22D4" w:rsidRDefault="003C22D4">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2D3" w14:textId="77777777" w:rsidR="00F13B79" w:rsidRDefault="00F13B79" w:rsidP="00CA7362">
      <w:pPr>
        <w:pStyle w:val="DecNo"/>
        <w:outlineLvl w:val="0"/>
      </w:pPr>
      <w:bookmarkStart w:id="1577" w:name="_Toc16085778"/>
      <w:bookmarkStart w:id="1578" w:name="_Toc86395581"/>
      <w:r>
        <w:rPr>
          <w:rFonts w:hint="eastAsia"/>
        </w:rPr>
        <w:lastRenderedPageBreak/>
        <w:t>第</w:t>
      </w:r>
      <w:r>
        <w:t>307</w:t>
      </w:r>
      <w:r>
        <w:rPr>
          <w:rFonts w:hint="eastAsia"/>
        </w:rPr>
        <w:t>号决定</w:t>
      </w:r>
      <w:bookmarkEnd w:id="1568"/>
      <w:bookmarkEnd w:id="1569"/>
      <w:bookmarkEnd w:id="1570"/>
      <w:r w:rsidR="0044352A">
        <w:rPr>
          <w:rFonts w:hint="eastAsia"/>
        </w:rPr>
        <w:t>（</w:t>
      </w:r>
      <w:r w:rsidRPr="0044352A">
        <w:t>C-1963</w:t>
      </w:r>
      <w:r w:rsidRPr="0044352A">
        <w:rPr>
          <w:rFonts w:hint="eastAsia"/>
        </w:rPr>
        <w:t>，最后修正</w:t>
      </w:r>
      <w:r w:rsidRPr="0044352A">
        <w:t>C-1976</w:t>
      </w:r>
      <w:bookmarkEnd w:id="1571"/>
      <w:bookmarkEnd w:id="1572"/>
      <w:r w:rsidR="0044352A">
        <w:rPr>
          <w:rFonts w:hint="eastAsia"/>
        </w:rPr>
        <w:t>）</w:t>
      </w:r>
      <w:bookmarkEnd w:id="1573"/>
      <w:bookmarkEnd w:id="1574"/>
      <w:bookmarkEnd w:id="1575"/>
      <w:bookmarkEnd w:id="1576"/>
      <w:bookmarkEnd w:id="1577"/>
      <w:bookmarkEnd w:id="1578"/>
    </w:p>
    <w:p w14:paraId="4827B2D4" w14:textId="77777777" w:rsidR="0044352A" w:rsidRPr="0044352A" w:rsidRDefault="0044352A" w:rsidP="00510C29">
      <w:pPr>
        <w:pStyle w:val="Dectitle"/>
      </w:pPr>
      <w:bookmarkStart w:id="1579" w:name="_Toc424117021"/>
      <w:bookmarkStart w:id="1580" w:name="_Toc460248134"/>
      <w:bookmarkStart w:id="1581" w:name="_Toc531706371"/>
      <w:bookmarkStart w:id="1582" w:name="_Toc531706972"/>
      <w:bookmarkStart w:id="1583" w:name="_Toc531768459"/>
      <w:bookmarkStart w:id="1584" w:name="_Toc16085779"/>
      <w:bookmarkStart w:id="1585" w:name="_Toc86395582"/>
      <w:r w:rsidRPr="00510C29">
        <w:rPr>
          <w:rFonts w:hint="eastAsia"/>
        </w:rPr>
        <w:t>区域性大会</w:t>
      </w:r>
      <w:bookmarkEnd w:id="1579"/>
      <w:bookmarkEnd w:id="1580"/>
      <w:bookmarkEnd w:id="1581"/>
      <w:bookmarkEnd w:id="1582"/>
      <w:bookmarkEnd w:id="1583"/>
      <w:bookmarkEnd w:id="1584"/>
      <w:bookmarkEnd w:id="1585"/>
    </w:p>
    <w:p w14:paraId="4827B2D5" w14:textId="77777777" w:rsidR="00F13B79" w:rsidRDefault="00F13B79" w:rsidP="00B64353">
      <w:pPr>
        <w:pStyle w:val="Normalaftertitle"/>
        <w:spacing w:before="200"/>
        <w:rPr>
          <w:lang w:eastAsia="zh-CN"/>
        </w:rPr>
      </w:pPr>
      <w:r>
        <w:rPr>
          <w:rFonts w:hint="eastAsia"/>
          <w:lang w:eastAsia="zh-CN"/>
        </w:rPr>
        <w:t>理事会，</w:t>
      </w:r>
    </w:p>
    <w:p w14:paraId="4827B2D6" w14:textId="77777777" w:rsidR="00F13B79" w:rsidRDefault="00F13B79" w:rsidP="0044352A">
      <w:pPr>
        <w:ind w:firstLineChars="200" w:firstLine="480"/>
        <w:rPr>
          <w:lang w:eastAsia="zh-CN"/>
        </w:rPr>
      </w:pPr>
      <w:r>
        <w:rPr>
          <w:rFonts w:eastAsia="STKaiti" w:hint="eastAsia"/>
          <w:lang w:eastAsia="zh-CN"/>
        </w:rPr>
        <w:t>做出决定</w:t>
      </w:r>
      <w:r>
        <w:rPr>
          <w:rFonts w:ascii="STKaiti" w:eastAsia="STKaiti" w:hint="eastAsia"/>
          <w:lang w:eastAsia="zh-CN"/>
        </w:rPr>
        <w:t>，</w:t>
      </w:r>
      <w:r>
        <w:rPr>
          <w:rFonts w:hint="eastAsia"/>
          <w:lang w:eastAsia="zh-CN"/>
        </w:rPr>
        <w:t>责成秘书长在召开任何国际电联的区域性大会时，正式通知所有国际电联成员</w:t>
      </w:r>
      <w:r w:rsidR="00624859">
        <w:rPr>
          <w:rFonts w:hint="eastAsia"/>
          <w:lang w:eastAsia="zh-CN"/>
        </w:rPr>
        <w:t>国</w:t>
      </w:r>
      <w:r>
        <w:rPr>
          <w:rFonts w:hint="eastAsia"/>
          <w:lang w:eastAsia="zh-CN"/>
        </w:rPr>
        <w:t>。</w:t>
      </w:r>
    </w:p>
    <w:p w14:paraId="4827B2D7" w14:textId="77777777" w:rsidR="00F11D1D" w:rsidRPr="00D746C3" w:rsidRDefault="00F13B79" w:rsidP="0044352A">
      <w:pPr>
        <w:pStyle w:val="EndnoteText"/>
        <w:rPr>
          <w:lang w:eastAsia="zh-CN"/>
        </w:rPr>
      </w:pPr>
      <w:r>
        <w:rPr>
          <w:rFonts w:eastAsia="STKaiti" w:hint="eastAsia"/>
          <w:lang w:eastAsia="zh-CN"/>
        </w:rPr>
        <w:t>参阅</w:t>
      </w:r>
      <w:r w:rsidRPr="003367A0">
        <w:rPr>
          <w:rFonts w:ascii="STKaiti" w:eastAsia="STKaiti" w:hAnsi="STKaiti" w:hint="eastAsia"/>
          <w:lang w:eastAsia="zh-CN"/>
        </w:rPr>
        <w:t>：</w:t>
      </w:r>
      <w:r>
        <w:rPr>
          <w:lang w:eastAsia="zh-CN"/>
        </w:rPr>
        <w:tab/>
        <w:t>3098/CA18</w:t>
      </w:r>
      <w:r>
        <w:rPr>
          <w:lang w:eastAsia="zh-CN"/>
        </w:rPr>
        <w:t>（</w:t>
      </w:r>
      <w:r>
        <w:rPr>
          <w:lang w:eastAsia="zh-CN"/>
        </w:rPr>
        <w:t>1963</w:t>
      </w:r>
      <w:r>
        <w:rPr>
          <w:rFonts w:hint="eastAsia"/>
          <w:lang w:eastAsia="zh-CN"/>
        </w:rPr>
        <w:t>年</w:t>
      </w:r>
      <w:r>
        <w:rPr>
          <w:lang w:eastAsia="zh-CN"/>
        </w:rPr>
        <w:t>）</w:t>
      </w:r>
      <w:r w:rsidR="003C68A4">
        <w:rPr>
          <w:rFonts w:hint="eastAsia"/>
          <w:lang w:eastAsia="zh-CN"/>
        </w:rPr>
        <w:t>、</w:t>
      </w:r>
      <w:r>
        <w:rPr>
          <w:lang w:eastAsia="zh-CN"/>
        </w:rPr>
        <w:t>4965/CA31</w:t>
      </w:r>
      <w:r>
        <w:rPr>
          <w:lang w:eastAsia="zh-CN"/>
        </w:rPr>
        <w:t>（</w:t>
      </w:r>
      <w:r>
        <w:rPr>
          <w:lang w:eastAsia="zh-CN"/>
        </w:rPr>
        <w:t>1976</w:t>
      </w:r>
      <w:r>
        <w:rPr>
          <w:rFonts w:hint="eastAsia"/>
          <w:lang w:eastAsia="zh-CN"/>
        </w:rPr>
        <w:t>年</w:t>
      </w:r>
      <w:r>
        <w:rPr>
          <w:lang w:eastAsia="zh-CN"/>
        </w:rPr>
        <w:t>）</w:t>
      </w:r>
      <w:r>
        <w:rPr>
          <w:rFonts w:ascii="SimSun" w:hAnsi="SimSun" w:hint="eastAsia"/>
          <w:lang w:eastAsia="zh-CN"/>
        </w:rPr>
        <w:t>号文件。</w:t>
      </w:r>
    </w:p>
    <w:p w14:paraId="4827B2D8" w14:textId="77777777" w:rsidR="00793F78" w:rsidRDefault="00793F78" w:rsidP="00793F78">
      <w:pPr>
        <w:jc w:val="center"/>
        <w:rPr>
          <w:lang w:eastAsia="zh-CN"/>
        </w:rPr>
      </w:pPr>
      <w:r>
        <w:rPr>
          <w:lang w:eastAsia="zh-CN"/>
        </w:rPr>
        <w:t>______________</w:t>
      </w:r>
    </w:p>
    <w:p w14:paraId="4827B2D9" w14:textId="77777777" w:rsidR="00AB219E" w:rsidRDefault="00AB219E" w:rsidP="00B64353">
      <w:pPr>
        <w:rPr>
          <w:lang w:eastAsia="zh-CN"/>
        </w:rPr>
      </w:pPr>
    </w:p>
    <w:p w14:paraId="4827B2DA" w14:textId="77777777" w:rsidR="003C22D4" w:rsidRDefault="003C22D4" w:rsidP="00B64353">
      <w:pPr>
        <w:rPr>
          <w:lang w:eastAsia="zh-CN"/>
        </w:rPr>
      </w:pPr>
    </w:p>
    <w:p w14:paraId="4827B2DB" w14:textId="77777777" w:rsidR="003C22D4" w:rsidRDefault="003C22D4" w:rsidP="00B64353">
      <w:pPr>
        <w:rPr>
          <w:lang w:eastAsia="zh-CN"/>
        </w:rPr>
      </w:pPr>
    </w:p>
    <w:p w14:paraId="4827B2DC" w14:textId="77777777" w:rsidR="003C22D4" w:rsidRDefault="003C22D4" w:rsidP="00B64353">
      <w:pPr>
        <w:rPr>
          <w:lang w:eastAsia="zh-CN"/>
        </w:rPr>
      </w:pPr>
    </w:p>
    <w:p w14:paraId="4827B2DD" w14:textId="77777777" w:rsidR="003C22D4" w:rsidRDefault="003C22D4" w:rsidP="00B64353">
      <w:pPr>
        <w:rPr>
          <w:lang w:eastAsia="zh-CN"/>
        </w:rPr>
      </w:pPr>
    </w:p>
    <w:p w14:paraId="4827B2DE" w14:textId="77777777" w:rsidR="003C22D4" w:rsidRDefault="003C22D4" w:rsidP="00B64353">
      <w:pPr>
        <w:rPr>
          <w:lang w:eastAsia="zh-CN"/>
        </w:rPr>
      </w:pPr>
    </w:p>
    <w:p w14:paraId="4827B2DF" w14:textId="77777777" w:rsidR="003C22D4" w:rsidRDefault="003C22D4" w:rsidP="00B64353">
      <w:pPr>
        <w:rPr>
          <w:lang w:eastAsia="zh-CN"/>
        </w:rPr>
      </w:pPr>
    </w:p>
    <w:p w14:paraId="4827B2E0" w14:textId="77777777" w:rsidR="003C22D4" w:rsidRDefault="003C22D4" w:rsidP="00B64353">
      <w:pPr>
        <w:rPr>
          <w:lang w:eastAsia="zh-CN"/>
        </w:rPr>
      </w:pPr>
    </w:p>
    <w:p w14:paraId="4827B2E1" w14:textId="77777777" w:rsidR="003C22D4" w:rsidRDefault="003C22D4" w:rsidP="00B64353">
      <w:pPr>
        <w:rPr>
          <w:lang w:eastAsia="zh-CN"/>
        </w:rPr>
      </w:pPr>
    </w:p>
    <w:p w14:paraId="4827B2E2" w14:textId="77777777" w:rsidR="003C22D4" w:rsidRDefault="003C22D4" w:rsidP="00B64353">
      <w:pPr>
        <w:rPr>
          <w:lang w:eastAsia="zh-CN"/>
        </w:rPr>
      </w:pPr>
    </w:p>
    <w:p w14:paraId="4827B2E3" w14:textId="77777777" w:rsidR="003C22D4" w:rsidRDefault="003C22D4" w:rsidP="00B64353">
      <w:pPr>
        <w:rPr>
          <w:lang w:eastAsia="zh-CN"/>
        </w:rPr>
      </w:pPr>
    </w:p>
    <w:p w14:paraId="4827B2E4" w14:textId="77777777" w:rsidR="003C22D4" w:rsidRDefault="003C22D4" w:rsidP="00B64353">
      <w:pPr>
        <w:rPr>
          <w:lang w:eastAsia="zh-CN"/>
        </w:rPr>
      </w:pPr>
    </w:p>
    <w:p w14:paraId="4827B2E5" w14:textId="77777777" w:rsidR="003C22D4" w:rsidRDefault="003C22D4" w:rsidP="00B64353">
      <w:pPr>
        <w:rPr>
          <w:lang w:eastAsia="zh-CN"/>
        </w:rPr>
      </w:pPr>
    </w:p>
    <w:p w14:paraId="4827B2E6" w14:textId="77777777" w:rsidR="003C22D4" w:rsidRDefault="003C22D4" w:rsidP="00B64353">
      <w:pPr>
        <w:rPr>
          <w:lang w:eastAsia="zh-CN"/>
        </w:rPr>
      </w:pPr>
    </w:p>
    <w:p w14:paraId="4827B2E7" w14:textId="77777777" w:rsidR="003C22D4" w:rsidRDefault="003C22D4" w:rsidP="00B64353">
      <w:pPr>
        <w:rPr>
          <w:lang w:eastAsia="zh-CN"/>
        </w:rPr>
      </w:pPr>
    </w:p>
    <w:p w14:paraId="4827B2E8" w14:textId="77777777" w:rsidR="003C22D4" w:rsidRDefault="003C22D4" w:rsidP="00B64353">
      <w:pPr>
        <w:rPr>
          <w:lang w:eastAsia="zh-CN"/>
        </w:rPr>
      </w:pPr>
    </w:p>
    <w:p w14:paraId="4827B2E9" w14:textId="77777777" w:rsidR="00793F78" w:rsidRPr="00793F78" w:rsidRDefault="00793F78" w:rsidP="00B64353">
      <w:pPr>
        <w:rPr>
          <w:lang w:eastAsia="zh-CN"/>
        </w:rPr>
      </w:pPr>
    </w:p>
    <w:p w14:paraId="4827B2EA" w14:textId="77777777" w:rsidR="00471F2A" w:rsidRDefault="00471F2A" w:rsidP="00B64353">
      <w:pPr>
        <w:rPr>
          <w:b/>
          <w:lang w:eastAsia="zh-CN"/>
        </w:rPr>
      </w:pPr>
    </w:p>
    <w:p w14:paraId="4827B2EB" w14:textId="77777777" w:rsidR="000F6AE3" w:rsidRDefault="000F6AE3" w:rsidP="00B64353">
      <w:pPr>
        <w:pStyle w:val="Chaptitle"/>
        <w:rPr>
          <w:lang w:eastAsia="zh-CN"/>
        </w:rPr>
        <w:sectPr w:rsidR="000F6AE3" w:rsidSect="00ED4C6F">
          <w:headerReference w:type="even" r:id="rId228"/>
          <w:headerReference w:type="default" r:id="rId229"/>
          <w:headerReference w:type="first" r:id="rId230"/>
          <w:footnotePr>
            <w:pos w:val="beneathText"/>
          </w:footnotePr>
          <w:endnotePr>
            <w:numFmt w:val="decimal"/>
          </w:endnotePr>
          <w:type w:val="oddPage"/>
          <w:pgSz w:w="11907" w:h="16840" w:code="9"/>
          <w:pgMar w:top="1418" w:right="1134" w:bottom="1134" w:left="1134" w:header="737" w:footer="567" w:gutter="284"/>
          <w:cols w:space="720"/>
          <w:vAlign w:val="both"/>
          <w:titlePg/>
        </w:sectPr>
      </w:pPr>
      <w:bookmarkStart w:id="1586" w:name="_Toc81880092"/>
      <w:bookmarkStart w:id="1587" w:name="_Toc161741015"/>
      <w:bookmarkStart w:id="1588" w:name="_Toc185237688"/>
    </w:p>
    <w:p w14:paraId="4827B2EC" w14:textId="77777777" w:rsidR="00F11D1D" w:rsidRPr="00AB219E" w:rsidRDefault="00F11D1D" w:rsidP="007D0CC6">
      <w:pPr>
        <w:pStyle w:val="Chaptitle"/>
        <w:rPr>
          <w:lang w:eastAsia="zh-CN"/>
        </w:rPr>
      </w:pPr>
      <w:bookmarkStart w:id="1589" w:name="_Toc311469605"/>
      <w:bookmarkStart w:id="1590" w:name="_Toc405194275"/>
      <w:bookmarkStart w:id="1591" w:name="_Toc424117022"/>
      <w:bookmarkStart w:id="1592" w:name="_Toc531706372"/>
      <w:bookmarkStart w:id="1593" w:name="_Toc531706973"/>
      <w:bookmarkStart w:id="1594" w:name="_Toc531768460"/>
      <w:bookmarkStart w:id="1595" w:name="_Toc16085780"/>
      <w:bookmarkStart w:id="1596" w:name="_Toc86395583"/>
      <w:r w:rsidRPr="00AB219E">
        <w:rPr>
          <w:lang w:eastAsia="zh-CN"/>
        </w:rPr>
        <w:lastRenderedPageBreak/>
        <w:t>3.2</w:t>
      </w:r>
      <w:r w:rsidRPr="00AB219E">
        <w:rPr>
          <w:lang w:eastAsia="zh-CN"/>
        </w:rPr>
        <w:tab/>
      </w:r>
      <w:bookmarkEnd w:id="1586"/>
      <w:r w:rsidR="00F13B79" w:rsidRPr="00AB219E">
        <w:rPr>
          <w:rFonts w:hint="eastAsia"/>
          <w:lang w:eastAsia="zh-CN"/>
        </w:rPr>
        <w:t>理事会</w:t>
      </w:r>
      <w:bookmarkEnd w:id="1587"/>
      <w:bookmarkEnd w:id="1588"/>
      <w:bookmarkEnd w:id="1589"/>
      <w:bookmarkEnd w:id="1590"/>
      <w:bookmarkEnd w:id="1591"/>
      <w:bookmarkEnd w:id="1592"/>
      <w:bookmarkEnd w:id="1593"/>
      <w:bookmarkEnd w:id="1594"/>
      <w:bookmarkEnd w:id="1595"/>
      <w:bookmarkEnd w:id="1596"/>
    </w:p>
    <w:p w14:paraId="4827B2ED" w14:textId="77777777" w:rsidR="0044352A" w:rsidRDefault="00F13B79" w:rsidP="00CA7362">
      <w:pPr>
        <w:pStyle w:val="ResNo"/>
        <w:outlineLvl w:val="0"/>
        <w:rPr>
          <w:lang w:eastAsia="zh-CN"/>
        </w:rPr>
      </w:pPr>
      <w:bookmarkStart w:id="1597" w:name="_Toc424117023"/>
      <w:bookmarkStart w:id="1598" w:name="_Toc531706373"/>
      <w:bookmarkStart w:id="1599" w:name="_Toc531706974"/>
      <w:bookmarkStart w:id="1600" w:name="_Toc531768461"/>
      <w:bookmarkStart w:id="1601" w:name="_Toc16085781"/>
      <w:bookmarkStart w:id="1602" w:name="_Toc86395584"/>
      <w:bookmarkStart w:id="1603" w:name="_Toc63839111"/>
      <w:bookmarkStart w:id="1604" w:name="_Toc161224042"/>
      <w:bookmarkStart w:id="1605" w:name="_Toc161732088"/>
      <w:bookmarkStart w:id="1606" w:name="_Toc161741016"/>
      <w:bookmarkStart w:id="1607" w:name="_Toc185237689"/>
      <w:bookmarkStart w:id="1608" w:name="_Toc311469606"/>
      <w:r>
        <w:rPr>
          <w:rFonts w:hint="eastAsia"/>
          <w:lang w:eastAsia="zh-CN"/>
        </w:rPr>
        <w:t>第</w:t>
      </w:r>
      <w:r>
        <w:rPr>
          <w:lang w:eastAsia="zh-CN"/>
        </w:rPr>
        <w:t>2</w:t>
      </w:r>
      <w:r>
        <w:rPr>
          <w:rFonts w:hint="eastAsia"/>
          <w:lang w:eastAsia="zh-CN"/>
        </w:rPr>
        <w:t>号决议</w:t>
      </w:r>
      <w:r w:rsidR="0044352A">
        <w:rPr>
          <w:rFonts w:hint="eastAsia"/>
          <w:lang w:eastAsia="zh-CN"/>
        </w:rPr>
        <w:t>（</w:t>
      </w:r>
      <w:r w:rsidR="0044352A" w:rsidRPr="0044352A">
        <w:rPr>
          <w:lang w:eastAsia="zh-CN"/>
        </w:rPr>
        <w:t>C-1948</w:t>
      </w:r>
      <w:r w:rsidR="0044352A" w:rsidRPr="0044352A">
        <w:rPr>
          <w:rFonts w:hint="eastAsia"/>
          <w:lang w:eastAsia="zh-CN"/>
        </w:rPr>
        <w:t>，最后修正</w:t>
      </w:r>
      <w:r w:rsidR="0044352A" w:rsidRPr="0044352A">
        <w:rPr>
          <w:lang w:eastAsia="zh-CN"/>
        </w:rPr>
        <w:t>C-1976</w:t>
      </w:r>
      <w:r w:rsidR="0044352A">
        <w:rPr>
          <w:rFonts w:hint="eastAsia"/>
          <w:lang w:eastAsia="zh-CN"/>
        </w:rPr>
        <w:t>）</w:t>
      </w:r>
      <w:bookmarkEnd w:id="1597"/>
      <w:bookmarkEnd w:id="1598"/>
      <w:bookmarkEnd w:id="1599"/>
      <w:bookmarkEnd w:id="1600"/>
      <w:bookmarkEnd w:id="1601"/>
      <w:bookmarkEnd w:id="1602"/>
    </w:p>
    <w:p w14:paraId="4827B2EE" w14:textId="77777777" w:rsidR="00F13B79" w:rsidRPr="0044352A" w:rsidRDefault="00F13B79" w:rsidP="0044352A">
      <w:pPr>
        <w:pStyle w:val="Restitle"/>
        <w:rPr>
          <w:lang w:eastAsia="zh-CN"/>
        </w:rPr>
      </w:pPr>
      <w:bookmarkStart w:id="1609" w:name="_Toc424116233"/>
      <w:bookmarkStart w:id="1610" w:name="_Toc424117024"/>
      <w:bookmarkStart w:id="1611" w:name="_Toc460248137"/>
      <w:bookmarkStart w:id="1612" w:name="_Toc531706374"/>
      <w:bookmarkStart w:id="1613" w:name="_Toc531706975"/>
      <w:bookmarkStart w:id="1614" w:name="_Toc531768462"/>
      <w:bookmarkStart w:id="1615" w:name="_Toc16085782"/>
      <w:bookmarkStart w:id="1616" w:name="_Toc86395585"/>
      <w:bookmarkEnd w:id="1603"/>
      <w:r w:rsidRPr="0044352A">
        <w:rPr>
          <w:rFonts w:hint="eastAsia"/>
          <w:lang w:eastAsia="zh-CN"/>
        </w:rPr>
        <w:t>理事国参加理事会会议</w:t>
      </w:r>
      <w:bookmarkEnd w:id="1604"/>
      <w:bookmarkEnd w:id="1605"/>
      <w:bookmarkEnd w:id="1606"/>
      <w:bookmarkEnd w:id="1607"/>
      <w:bookmarkEnd w:id="1608"/>
      <w:bookmarkEnd w:id="1609"/>
      <w:bookmarkEnd w:id="1610"/>
      <w:bookmarkEnd w:id="1611"/>
      <w:bookmarkEnd w:id="1612"/>
      <w:bookmarkEnd w:id="1613"/>
      <w:bookmarkEnd w:id="1614"/>
      <w:bookmarkEnd w:id="1615"/>
      <w:bookmarkEnd w:id="1616"/>
    </w:p>
    <w:p w14:paraId="4827B2EF" w14:textId="77777777" w:rsidR="00F13B79" w:rsidRPr="0044352A" w:rsidRDefault="00F13B79" w:rsidP="0044352A">
      <w:pPr>
        <w:pStyle w:val="Normalaftertitle"/>
        <w:rPr>
          <w:lang w:eastAsia="zh-CN"/>
        </w:rPr>
      </w:pPr>
      <w:r w:rsidRPr="0044352A">
        <w:rPr>
          <w:rFonts w:hint="eastAsia"/>
          <w:lang w:eastAsia="zh-CN"/>
        </w:rPr>
        <w:t>理事会，</w:t>
      </w:r>
    </w:p>
    <w:p w14:paraId="4827B2F0" w14:textId="77777777" w:rsidR="00F13B79" w:rsidRDefault="00F13B79" w:rsidP="0044352A">
      <w:pPr>
        <w:rPr>
          <w:lang w:eastAsia="zh-CN"/>
        </w:rPr>
      </w:pPr>
      <w:r>
        <w:rPr>
          <w:lang w:eastAsia="zh-CN"/>
        </w:rPr>
        <w:tab/>
      </w:r>
      <w:r>
        <w:rPr>
          <w:rFonts w:eastAsia="STKaiti" w:hint="eastAsia"/>
          <w:lang w:eastAsia="zh-CN"/>
        </w:rPr>
        <w:t>考虑到</w:t>
      </w:r>
      <w:r>
        <w:rPr>
          <w:rFonts w:hint="eastAsia"/>
          <w:lang w:eastAsia="zh-CN"/>
        </w:rPr>
        <w:t>理事国被赋予一个国际公众托拉斯的受托人的身份，</w:t>
      </w:r>
    </w:p>
    <w:p w14:paraId="4827B2F1" w14:textId="77777777" w:rsidR="00F13B79" w:rsidRDefault="00F13B79" w:rsidP="0044352A">
      <w:pPr>
        <w:rPr>
          <w:lang w:eastAsia="zh-CN"/>
        </w:rPr>
      </w:pPr>
      <w:r>
        <w:rPr>
          <w:lang w:eastAsia="zh-CN"/>
        </w:rPr>
        <w:tab/>
      </w:r>
      <w:r>
        <w:rPr>
          <w:rFonts w:eastAsia="STKaiti" w:hint="eastAsia"/>
          <w:lang w:eastAsia="zh-CN"/>
        </w:rPr>
        <w:t>表示希望，</w:t>
      </w:r>
      <w:r>
        <w:rPr>
          <w:rFonts w:hint="eastAsia"/>
          <w:lang w:eastAsia="zh-CN"/>
        </w:rPr>
        <w:t>这些理事国的代表应自会议开幕起，出席所有理事会会议。</w:t>
      </w:r>
    </w:p>
    <w:p w14:paraId="4827B2F2" w14:textId="77777777" w:rsidR="00F13B79" w:rsidRDefault="00F13B79" w:rsidP="0044352A">
      <w:pPr>
        <w:pStyle w:val="Endtext"/>
        <w:rPr>
          <w:rFonts w:ascii="SimSun" w:hAnsi="SimSun"/>
          <w:lang w:eastAsia="zh-CN"/>
        </w:rPr>
      </w:pPr>
      <w:r>
        <w:rPr>
          <w:rFonts w:hint="eastAsia"/>
          <w:lang w:eastAsia="zh-CN"/>
        </w:rPr>
        <w:t>参阅</w:t>
      </w:r>
      <w:r>
        <w:rPr>
          <w:rFonts w:ascii="STKaiti" w:hAnsi="SimSun" w:hint="eastAsia"/>
          <w:lang w:eastAsia="zh-CN"/>
        </w:rPr>
        <w:t>：</w:t>
      </w:r>
      <w:r>
        <w:rPr>
          <w:lang w:eastAsia="zh-CN"/>
        </w:rPr>
        <w:tab/>
        <w:t>72</w:t>
      </w:r>
      <w:r>
        <w:rPr>
          <w:lang w:eastAsia="zh-CN"/>
        </w:rPr>
        <w:t>（</w:t>
      </w:r>
      <w:r>
        <w:rPr>
          <w:rFonts w:hint="eastAsia"/>
          <w:lang w:eastAsia="zh-CN"/>
        </w:rPr>
        <w:t>修订版</w:t>
      </w:r>
      <w:r>
        <w:rPr>
          <w:lang w:eastAsia="zh-CN"/>
        </w:rPr>
        <w:t>）</w:t>
      </w:r>
      <w:r>
        <w:rPr>
          <w:lang w:eastAsia="zh-CN"/>
        </w:rPr>
        <w:t>/CA2</w:t>
      </w:r>
      <w:r>
        <w:rPr>
          <w:lang w:eastAsia="zh-CN"/>
        </w:rPr>
        <w:t>（</w:t>
      </w:r>
      <w:r>
        <w:rPr>
          <w:lang w:eastAsia="zh-CN"/>
        </w:rPr>
        <w:t>1948</w:t>
      </w:r>
      <w:r>
        <w:rPr>
          <w:rFonts w:hint="eastAsia"/>
          <w:lang w:eastAsia="zh-CN"/>
        </w:rPr>
        <w:t>年</w:t>
      </w:r>
      <w:r>
        <w:rPr>
          <w:lang w:eastAsia="zh-CN"/>
        </w:rPr>
        <w:t>）</w:t>
      </w:r>
      <w:r>
        <w:rPr>
          <w:rFonts w:hint="eastAsia"/>
          <w:lang w:eastAsia="zh-CN"/>
        </w:rPr>
        <w:t>，</w:t>
      </w:r>
      <w:r>
        <w:rPr>
          <w:lang w:eastAsia="zh-CN"/>
        </w:rPr>
        <w:t>1606/CA9</w:t>
      </w:r>
      <w:r>
        <w:rPr>
          <w:lang w:eastAsia="zh-CN"/>
        </w:rPr>
        <w:t>（</w:t>
      </w:r>
      <w:r>
        <w:rPr>
          <w:lang w:eastAsia="zh-CN"/>
        </w:rPr>
        <w:t>1954</w:t>
      </w:r>
      <w:r>
        <w:rPr>
          <w:rFonts w:hint="eastAsia"/>
          <w:lang w:eastAsia="zh-CN"/>
        </w:rPr>
        <w:t>年</w:t>
      </w:r>
      <w:r>
        <w:rPr>
          <w:lang w:eastAsia="zh-CN"/>
        </w:rPr>
        <w:t>）</w:t>
      </w:r>
      <w:r>
        <w:rPr>
          <w:rFonts w:hint="eastAsia"/>
          <w:lang w:eastAsia="zh-CN"/>
        </w:rPr>
        <w:t>，</w:t>
      </w:r>
      <w:r>
        <w:rPr>
          <w:lang w:eastAsia="zh-CN"/>
        </w:rPr>
        <w:t>4965/CA31</w:t>
      </w:r>
      <w:r>
        <w:rPr>
          <w:lang w:eastAsia="zh-CN"/>
        </w:rPr>
        <w:t>（</w:t>
      </w:r>
      <w:r>
        <w:rPr>
          <w:lang w:eastAsia="zh-CN"/>
        </w:rPr>
        <w:t>1976</w:t>
      </w:r>
      <w:r>
        <w:rPr>
          <w:rFonts w:hint="eastAsia"/>
          <w:lang w:eastAsia="zh-CN"/>
        </w:rPr>
        <w:t>年</w:t>
      </w:r>
      <w:r>
        <w:rPr>
          <w:lang w:eastAsia="zh-CN"/>
        </w:rPr>
        <w:t>）</w:t>
      </w:r>
      <w:r>
        <w:rPr>
          <w:rFonts w:ascii="SimSun" w:hAnsi="SimSun" w:hint="eastAsia"/>
          <w:lang w:eastAsia="zh-CN"/>
        </w:rPr>
        <w:t>号文件。</w:t>
      </w:r>
    </w:p>
    <w:p w14:paraId="4827B2F3" w14:textId="77777777" w:rsidR="00793F78" w:rsidRDefault="00793F78" w:rsidP="00793F78">
      <w:pPr>
        <w:jc w:val="center"/>
        <w:rPr>
          <w:lang w:eastAsia="zh-CN"/>
        </w:rPr>
      </w:pPr>
      <w:bookmarkStart w:id="1617" w:name="_Toc161224043"/>
      <w:bookmarkStart w:id="1618" w:name="_Toc161732089"/>
      <w:bookmarkStart w:id="1619" w:name="_Toc161741017"/>
      <w:bookmarkStart w:id="1620" w:name="_Toc63839112"/>
      <w:bookmarkStart w:id="1621" w:name="_Toc185237690"/>
      <w:bookmarkStart w:id="1622" w:name="_Toc311469607"/>
      <w:bookmarkStart w:id="1623" w:name="_Toc424117025"/>
      <w:bookmarkStart w:id="1624" w:name="_Toc531706375"/>
      <w:bookmarkStart w:id="1625" w:name="_Toc531706976"/>
      <w:bookmarkStart w:id="1626" w:name="_Toc531768463"/>
      <w:r>
        <w:rPr>
          <w:lang w:eastAsia="zh-CN"/>
        </w:rPr>
        <w:t>______________</w:t>
      </w:r>
    </w:p>
    <w:p w14:paraId="4827B2F4" w14:textId="77777777" w:rsidR="00AE7F4C" w:rsidRDefault="00AE7F4C" w:rsidP="00CA7362">
      <w:pPr>
        <w:pStyle w:val="ResNo"/>
        <w:outlineLvl w:val="0"/>
        <w:rPr>
          <w:lang w:eastAsia="zh-CN"/>
        </w:rPr>
      </w:pPr>
      <w:bookmarkStart w:id="1627" w:name="_Toc16085783"/>
      <w:bookmarkStart w:id="1628" w:name="_Toc86395586"/>
      <w:r>
        <w:rPr>
          <w:rFonts w:ascii="SimSun" w:hAnsi="SimSun" w:hint="eastAsia"/>
          <w:lang w:eastAsia="zh-CN"/>
        </w:rPr>
        <w:t>第</w:t>
      </w:r>
      <w:r w:rsidRPr="002A551B">
        <w:rPr>
          <w:lang w:eastAsia="zh-CN"/>
        </w:rPr>
        <w:t>687</w:t>
      </w:r>
      <w:r>
        <w:rPr>
          <w:rFonts w:ascii="SimSun" w:hAnsi="SimSun" w:hint="eastAsia"/>
          <w:lang w:eastAsia="zh-CN"/>
        </w:rPr>
        <w:t>号决议</w:t>
      </w:r>
      <w:bookmarkEnd w:id="1617"/>
      <w:bookmarkEnd w:id="1618"/>
      <w:bookmarkEnd w:id="1619"/>
      <w:r w:rsidR="0044352A">
        <w:rPr>
          <w:rFonts w:ascii="SimSun" w:hAnsi="SimSun" w:hint="eastAsia"/>
          <w:lang w:eastAsia="zh-CN"/>
        </w:rPr>
        <w:t>（</w:t>
      </w:r>
      <w:r w:rsidRPr="0062508D">
        <w:rPr>
          <w:lang w:eastAsia="zh-CN"/>
        </w:rPr>
        <w:t>C-1971</w:t>
      </w:r>
      <w:r w:rsidRPr="0062508D">
        <w:rPr>
          <w:rFonts w:hint="eastAsia"/>
          <w:lang w:eastAsia="zh-CN"/>
        </w:rPr>
        <w:t>，</w:t>
      </w:r>
      <w:r w:rsidRPr="0062508D">
        <w:rPr>
          <w:lang w:eastAsia="zh-CN"/>
        </w:rPr>
        <w:t>最后修正</w:t>
      </w:r>
      <w:r w:rsidRPr="0062508D">
        <w:rPr>
          <w:lang w:eastAsia="zh-CN"/>
        </w:rPr>
        <w:t>C-1976</w:t>
      </w:r>
      <w:bookmarkEnd w:id="1620"/>
      <w:bookmarkEnd w:id="1621"/>
      <w:bookmarkEnd w:id="1622"/>
      <w:r w:rsidR="0044352A">
        <w:rPr>
          <w:rFonts w:hint="eastAsia"/>
          <w:lang w:eastAsia="zh-CN"/>
        </w:rPr>
        <w:t>）</w:t>
      </w:r>
      <w:bookmarkEnd w:id="1623"/>
      <w:bookmarkEnd w:id="1624"/>
      <w:bookmarkEnd w:id="1625"/>
      <w:bookmarkEnd w:id="1626"/>
      <w:bookmarkEnd w:id="1627"/>
      <w:bookmarkEnd w:id="1628"/>
    </w:p>
    <w:p w14:paraId="4827B2F5" w14:textId="77777777" w:rsidR="0044352A" w:rsidRPr="0044352A" w:rsidRDefault="0044352A" w:rsidP="0044352A">
      <w:pPr>
        <w:pStyle w:val="Restitle"/>
        <w:rPr>
          <w:lang w:eastAsia="zh-CN"/>
        </w:rPr>
      </w:pPr>
      <w:bookmarkStart w:id="1629" w:name="_Toc424116234"/>
      <w:bookmarkStart w:id="1630" w:name="_Toc424117026"/>
      <w:bookmarkStart w:id="1631" w:name="_Toc460248139"/>
      <w:bookmarkStart w:id="1632" w:name="_Toc531706376"/>
      <w:bookmarkStart w:id="1633" w:name="_Toc531706977"/>
      <w:bookmarkStart w:id="1634" w:name="_Toc531768464"/>
      <w:bookmarkStart w:id="1635" w:name="_Toc16085784"/>
      <w:bookmarkStart w:id="1636" w:name="_Toc86395587"/>
      <w:r>
        <w:rPr>
          <w:rFonts w:hint="eastAsia"/>
          <w:lang w:eastAsia="zh-CN"/>
        </w:rPr>
        <w:t>理事国代表的差旅费和每日生活津贴</w:t>
      </w:r>
      <w:bookmarkEnd w:id="1629"/>
      <w:bookmarkEnd w:id="1630"/>
      <w:bookmarkEnd w:id="1631"/>
      <w:bookmarkEnd w:id="1632"/>
      <w:bookmarkEnd w:id="1633"/>
      <w:bookmarkEnd w:id="1634"/>
      <w:bookmarkEnd w:id="1635"/>
      <w:bookmarkEnd w:id="1636"/>
    </w:p>
    <w:p w14:paraId="4827B2F6" w14:textId="77777777" w:rsidR="00F13B79" w:rsidRPr="00ED4C6F" w:rsidRDefault="00F13B79" w:rsidP="00ED4C6F">
      <w:pPr>
        <w:pStyle w:val="Normalaftertitle"/>
        <w:rPr>
          <w:lang w:eastAsia="zh-CN"/>
        </w:rPr>
      </w:pPr>
      <w:r w:rsidRPr="00ED4C6F">
        <w:rPr>
          <w:rFonts w:hint="eastAsia"/>
          <w:lang w:eastAsia="zh-CN"/>
        </w:rPr>
        <w:t>理事会，</w:t>
      </w:r>
    </w:p>
    <w:p w14:paraId="4827B2F7" w14:textId="77777777" w:rsidR="00F13B79" w:rsidRDefault="00F13B79" w:rsidP="00B64353">
      <w:pPr>
        <w:rPr>
          <w:lang w:eastAsia="zh-CN"/>
        </w:rPr>
      </w:pPr>
      <w:r>
        <w:rPr>
          <w:lang w:eastAsia="zh-CN"/>
        </w:rPr>
        <w:tab/>
      </w:r>
      <w:r>
        <w:rPr>
          <w:rFonts w:ascii="STKaiti" w:eastAsia="STKaiti" w:hAnsi="SimSun" w:hint="eastAsia"/>
          <w:lang w:eastAsia="zh-CN"/>
        </w:rPr>
        <w:t>做出决议，</w:t>
      </w:r>
      <w:r>
        <w:rPr>
          <w:rFonts w:ascii="SimSun" w:hAnsi="SimSun" w:hint="eastAsia"/>
          <w:lang w:eastAsia="zh-CN"/>
        </w:rPr>
        <w:t>自理事会第</w:t>
      </w:r>
      <w:r>
        <w:rPr>
          <w:lang w:eastAsia="zh-CN"/>
        </w:rPr>
        <w:t>26</w:t>
      </w:r>
      <w:r>
        <w:rPr>
          <w:rFonts w:ascii="SimSun" w:hAnsi="SimSun" w:hint="eastAsia"/>
          <w:lang w:eastAsia="zh-CN"/>
        </w:rPr>
        <w:t>届会议起，</w:t>
      </w:r>
      <w:r>
        <w:rPr>
          <w:rFonts w:hint="eastAsia"/>
          <w:lang w:eastAsia="zh-CN"/>
        </w:rPr>
        <w:t>支付给</w:t>
      </w:r>
      <w:r>
        <w:rPr>
          <w:rFonts w:ascii="SimSun" w:hAnsi="SimSun" w:hint="eastAsia"/>
          <w:lang w:eastAsia="zh-CN"/>
        </w:rPr>
        <w:t>理事国代表的差旅费和</w:t>
      </w:r>
      <w:r w:rsidR="00624859">
        <w:rPr>
          <w:rFonts w:ascii="SimSun" w:hAnsi="SimSun" w:hint="eastAsia"/>
          <w:lang w:eastAsia="zh-CN"/>
        </w:rPr>
        <w:t>每日</w:t>
      </w:r>
      <w:r>
        <w:rPr>
          <w:rFonts w:ascii="SimSun" w:hAnsi="SimSun" w:hint="eastAsia"/>
          <w:lang w:eastAsia="zh-CN"/>
        </w:rPr>
        <w:t>生活津贴的费率将与联合国的高级官员费</w:t>
      </w:r>
      <w:r w:rsidR="003C68A4">
        <w:rPr>
          <w:rFonts w:ascii="SimSun" w:hAnsi="SimSun" w:hint="eastAsia"/>
          <w:lang w:eastAsia="zh-CN"/>
        </w:rPr>
        <w:t>率取齐，并根据世界卫生组织和国际劳工组织对其理事国实行的做法</w:t>
      </w:r>
      <w:r>
        <w:rPr>
          <w:rFonts w:ascii="SimSun" w:hAnsi="SimSun" w:hint="eastAsia"/>
          <w:lang w:eastAsia="zh-CN"/>
        </w:rPr>
        <w:t>确定。</w:t>
      </w:r>
    </w:p>
    <w:p w14:paraId="4827B2F8" w14:textId="77777777" w:rsidR="00F11D1D" w:rsidRDefault="00F13B79" w:rsidP="001278F7">
      <w:pPr>
        <w:pStyle w:val="Endtext"/>
        <w:rPr>
          <w:rFonts w:ascii="SimSun" w:hAnsi="SimSun"/>
          <w:lang w:eastAsia="zh-CN"/>
        </w:rPr>
      </w:pPr>
      <w:r>
        <w:rPr>
          <w:rFonts w:ascii="STKaiti" w:hAnsi="SimSun" w:hint="eastAsia"/>
          <w:lang w:eastAsia="zh-CN"/>
        </w:rPr>
        <w:t>参阅：</w:t>
      </w:r>
      <w:r>
        <w:rPr>
          <w:lang w:eastAsia="zh-CN"/>
        </w:rPr>
        <w:tab/>
        <w:t>4253/CA26</w:t>
      </w:r>
      <w:r>
        <w:rPr>
          <w:lang w:eastAsia="zh-CN"/>
        </w:rPr>
        <w:t>（</w:t>
      </w:r>
      <w:r>
        <w:rPr>
          <w:lang w:eastAsia="zh-CN"/>
        </w:rPr>
        <w:t>1971</w:t>
      </w:r>
      <w:r>
        <w:rPr>
          <w:rFonts w:hint="eastAsia"/>
          <w:lang w:eastAsia="zh-CN"/>
        </w:rPr>
        <w:t>年</w:t>
      </w:r>
      <w:r>
        <w:rPr>
          <w:lang w:eastAsia="zh-CN"/>
        </w:rPr>
        <w:t>）</w:t>
      </w:r>
      <w:r>
        <w:rPr>
          <w:rFonts w:hint="eastAsia"/>
          <w:lang w:eastAsia="zh-CN"/>
        </w:rPr>
        <w:t>，</w:t>
      </w:r>
      <w:r>
        <w:rPr>
          <w:lang w:eastAsia="zh-CN"/>
        </w:rPr>
        <w:t>4965/CA31</w:t>
      </w:r>
      <w:r>
        <w:rPr>
          <w:lang w:eastAsia="zh-CN"/>
        </w:rPr>
        <w:t>（</w:t>
      </w:r>
      <w:r>
        <w:rPr>
          <w:lang w:eastAsia="zh-CN"/>
        </w:rPr>
        <w:t>1976</w:t>
      </w:r>
      <w:r>
        <w:rPr>
          <w:rFonts w:hint="eastAsia"/>
          <w:lang w:eastAsia="zh-CN"/>
        </w:rPr>
        <w:t>年</w:t>
      </w:r>
      <w:r>
        <w:rPr>
          <w:lang w:eastAsia="zh-CN"/>
        </w:rPr>
        <w:t>）</w:t>
      </w:r>
      <w:r>
        <w:rPr>
          <w:rFonts w:ascii="SimSun" w:hAnsi="SimSun" w:hint="eastAsia"/>
          <w:lang w:eastAsia="zh-CN"/>
        </w:rPr>
        <w:t>号文件。</w:t>
      </w:r>
    </w:p>
    <w:p w14:paraId="4827B2F9" w14:textId="77777777" w:rsidR="00793F78" w:rsidRDefault="00793F78" w:rsidP="00793F78">
      <w:pPr>
        <w:jc w:val="center"/>
        <w:rPr>
          <w:lang w:eastAsia="zh-CN"/>
        </w:rPr>
      </w:pPr>
      <w:bookmarkStart w:id="1637" w:name="_Toc311469608"/>
      <w:bookmarkStart w:id="1638" w:name="_Toc161224047"/>
      <w:bookmarkStart w:id="1639" w:name="_Toc161732093"/>
      <w:bookmarkStart w:id="1640" w:name="_Toc161741021"/>
      <w:bookmarkStart w:id="1641" w:name="_Toc63839115"/>
      <w:bookmarkStart w:id="1642" w:name="_Toc185237692"/>
      <w:r>
        <w:rPr>
          <w:lang w:eastAsia="zh-CN"/>
        </w:rPr>
        <w:t>______________</w:t>
      </w:r>
    </w:p>
    <w:p w14:paraId="4827B2FA" w14:textId="77777777" w:rsidR="00A24F24" w:rsidRDefault="00A24F24">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2FB" w14:textId="77777777" w:rsidR="009647B3" w:rsidRDefault="009647B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2FC" w14:textId="77777777" w:rsidR="003C22D4" w:rsidRDefault="003C22D4">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2FD" w14:textId="77777777" w:rsidR="009647B3" w:rsidRDefault="009647B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2FE" w14:textId="77777777" w:rsidR="00A24F24" w:rsidRDefault="00A24F24">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2FF" w14:textId="77777777" w:rsidR="003526EF" w:rsidRDefault="003526EF">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300" w14:textId="77777777" w:rsidR="008877DC" w:rsidRPr="003D0651" w:rsidRDefault="008877DC" w:rsidP="00CA7362">
      <w:pPr>
        <w:pStyle w:val="ResNo"/>
        <w:outlineLvl w:val="0"/>
        <w:rPr>
          <w:lang w:eastAsia="zh-CN"/>
        </w:rPr>
      </w:pPr>
      <w:bookmarkStart w:id="1643" w:name="_Toc424117027"/>
      <w:bookmarkStart w:id="1644" w:name="_Toc531706377"/>
      <w:bookmarkStart w:id="1645" w:name="_Toc531706978"/>
      <w:bookmarkStart w:id="1646" w:name="_Toc531768465"/>
      <w:bookmarkStart w:id="1647" w:name="_Toc16085785"/>
      <w:bookmarkStart w:id="1648" w:name="_Toc86395588"/>
      <w:bookmarkStart w:id="1649" w:name="_Toc311469609"/>
      <w:bookmarkEnd w:id="1637"/>
      <w:r w:rsidRPr="001278F7">
        <w:rPr>
          <w:rFonts w:hint="eastAsia"/>
          <w:lang w:eastAsia="zh-CN"/>
        </w:rPr>
        <w:lastRenderedPageBreak/>
        <w:t>第</w:t>
      </w:r>
      <w:r w:rsidRPr="001278F7">
        <w:rPr>
          <w:rFonts w:hint="eastAsia"/>
          <w:lang w:eastAsia="zh-CN"/>
        </w:rPr>
        <w:t>1305</w:t>
      </w:r>
      <w:r>
        <w:rPr>
          <w:rFonts w:hint="eastAsia"/>
          <w:lang w:eastAsia="zh-CN"/>
        </w:rPr>
        <w:t>号</w:t>
      </w:r>
      <w:r w:rsidRPr="001278F7">
        <w:rPr>
          <w:rFonts w:hint="eastAsia"/>
          <w:lang w:eastAsia="zh-CN"/>
        </w:rPr>
        <w:t>决议</w:t>
      </w:r>
      <w:bookmarkEnd w:id="1643"/>
      <w:bookmarkEnd w:id="1644"/>
      <w:bookmarkEnd w:id="1645"/>
      <w:bookmarkEnd w:id="1646"/>
      <w:r w:rsidRPr="00E11C10">
        <w:rPr>
          <w:lang w:eastAsia="zh-CN"/>
        </w:rPr>
        <w:t>（</w:t>
      </w:r>
      <w:r>
        <w:rPr>
          <w:lang w:eastAsia="zh-CN"/>
        </w:rPr>
        <w:t>C09</w:t>
      </w:r>
      <w:r>
        <w:rPr>
          <w:rFonts w:hint="eastAsia"/>
          <w:lang w:eastAsia="zh-CN"/>
        </w:rPr>
        <w:t>，最后修正</w:t>
      </w:r>
      <w:r>
        <w:rPr>
          <w:rFonts w:hint="eastAsia"/>
          <w:lang w:eastAsia="zh-CN"/>
        </w:rPr>
        <w:t>C</w:t>
      </w:r>
      <w:r w:rsidRPr="00E11C10">
        <w:rPr>
          <w:lang w:eastAsia="zh-CN"/>
        </w:rPr>
        <w:t>19</w:t>
      </w:r>
      <w:r w:rsidRPr="00E11C10">
        <w:rPr>
          <w:lang w:eastAsia="zh-CN"/>
        </w:rPr>
        <w:t>）</w:t>
      </w:r>
      <w:bookmarkEnd w:id="1647"/>
      <w:bookmarkEnd w:id="1648"/>
    </w:p>
    <w:p w14:paraId="4827B301" w14:textId="77777777" w:rsidR="008877DC" w:rsidRPr="008E60EC" w:rsidRDefault="008877DC" w:rsidP="008877DC">
      <w:pPr>
        <w:pStyle w:val="Restitle"/>
        <w:rPr>
          <w:lang w:val="en-US" w:eastAsia="zh-CN"/>
        </w:rPr>
      </w:pPr>
      <w:bookmarkStart w:id="1650" w:name="_Toc424116235"/>
      <w:bookmarkStart w:id="1651" w:name="_Toc424117028"/>
      <w:bookmarkStart w:id="1652" w:name="_Toc460248141"/>
      <w:bookmarkStart w:id="1653" w:name="_Toc531706378"/>
      <w:bookmarkStart w:id="1654" w:name="_Toc531706979"/>
      <w:bookmarkStart w:id="1655" w:name="_Toc531768466"/>
      <w:bookmarkStart w:id="1656" w:name="_Toc16085786"/>
      <w:bookmarkStart w:id="1657" w:name="_Toc86395589"/>
      <w:r>
        <w:rPr>
          <w:rFonts w:hint="eastAsia"/>
          <w:lang w:val="en-US" w:eastAsia="zh-CN"/>
        </w:rPr>
        <w:t>确定</w:t>
      </w:r>
      <w:r w:rsidRPr="00312263">
        <w:rPr>
          <w:rFonts w:hint="eastAsia"/>
          <w:lang w:val="en-US" w:eastAsia="zh-CN"/>
        </w:rPr>
        <w:t>互联网</w:t>
      </w:r>
      <w:r>
        <w:rPr>
          <w:rFonts w:hint="eastAsia"/>
          <w:lang w:val="en-US" w:eastAsia="zh-CN"/>
        </w:rPr>
        <w:t>相关</w:t>
      </w:r>
      <w:r w:rsidRPr="00312263">
        <w:rPr>
          <w:rFonts w:hint="eastAsia"/>
          <w:lang w:val="en-US" w:eastAsia="zh-CN"/>
        </w:rPr>
        <w:t>公共政策问题专门组的</w:t>
      </w:r>
      <w:bookmarkEnd w:id="1650"/>
      <w:bookmarkEnd w:id="1651"/>
      <w:bookmarkEnd w:id="1652"/>
      <w:bookmarkEnd w:id="1653"/>
      <w:bookmarkEnd w:id="1654"/>
      <w:bookmarkEnd w:id="1655"/>
      <w:r>
        <w:rPr>
          <w:rFonts w:hint="eastAsia"/>
          <w:lang w:val="en-US" w:eastAsia="zh-CN"/>
        </w:rPr>
        <w:t>职责</w:t>
      </w:r>
      <w:bookmarkEnd w:id="1656"/>
      <w:bookmarkEnd w:id="1657"/>
    </w:p>
    <w:p w14:paraId="4827B302" w14:textId="77777777" w:rsidR="008877DC" w:rsidRPr="00BF61C4" w:rsidRDefault="008877DC" w:rsidP="008877DC">
      <w:pPr>
        <w:pStyle w:val="Normalaftertitle"/>
        <w:rPr>
          <w:lang w:eastAsia="zh-CN"/>
        </w:rPr>
      </w:pPr>
      <w:r>
        <w:rPr>
          <w:rFonts w:hint="eastAsia"/>
          <w:lang w:eastAsia="zh-CN"/>
        </w:rPr>
        <w:t>理事会，</w:t>
      </w:r>
    </w:p>
    <w:p w14:paraId="4827B303" w14:textId="77777777" w:rsidR="008877DC" w:rsidRPr="00116AE4" w:rsidRDefault="008877DC" w:rsidP="008877DC">
      <w:pPr>
        <w:pStyle w:val="Call"/>
        <w:rPr>
          <w:lang w:eastAsia="zh-CN"/>
        </w:rPr>
      </w:pPr>
      <w:r w:rsidRPr="00116AE4">
        <w:rPr>
          <w:rFonts w:hint="eastAsia"/>
          <w:lang w:eastAsia="zh-CN"/>
        </w:rPr>
        <w:t>认识到</w:t>
      </w:r>
    </w:p>
    <w:p w14:paraId="4827B304" w14:textId="77777777" w:rsidR="008877DC" w:rsidRPr="006141B1" w:rsidRDefault="008877DC" w:rsidP="008877DC">
      <w:pPr>
        <w:rPr>
          <w:lang w:val="en-US" w:eastAsia="zh-CN"/>
        </w:rPr>
      </w:pPr>
      <w:r w:rsidRPr="005114E2">
        <w:rPr>
          <w:i/>
          <w:iCs/>
          <w:lang w:val="en-US" w:eastAsia="zh-CN"/>
        </w:rPr>
        <w:t>a)</w:t>
      </w:r>
      <w:r>
        <w:rPr>
          <w:lang w:val="en-US" w:eastAsia="zh-CN"/>
        </w:rPr>
        <w:tab/>
      </w:r>
      <w:r>
        <w:rPr>
          <w:rFonts w:hint="eastAsia"/>
          <w:lang w:val="en-US" w:eastAsia="zh-CN"/>
        </w:rPr>
        <w:t>国际电联《组织法》第</w:t>
      </w:r>
      <w:r>
        <w:rPr>
          <w:rFonts w:hint="eastAsia"/>
          <w:lang w:val="en-US" w:eastAsia="zh-CN"/>
        </w:rPr>
        <w:t>10</w:t>
      </w:r>
      <w:r>
        <w:rPr>
          <w:rFonts w:hint="eastAsia"/>
          <w:lang w:val="en-US" w:eastAsia="zh-CN"/>
        </w:rPr>
        <w:t>条第</w:t>
      </w:r>
      <w:r>
        <w:rPr>
          <w:rFonts w:hint="eastAsia"/>
          <w:lang w:val="en-US" w:eastAsia="zh-CN"/>
        </w:rPr>
        <w:t>70 2</w:t>
      </w:r>
      <w:r>
        <w:rPr>
          <w:rFonts w:hint="eastAsia"/>
          <w:lang w:val="en-US" w:eastAsia="zh-CN"/>
        </w:rPr>
        <w:t>）款做出定义，作为国际电联的内部结构，国际电联理事会的职责之一是，</w:t>
      </w:r>
      <w:r>
        <w:rPr>
          <w:rFonts w:ascii="SimSun" w:hAnsi="SimSun" w:hint="eastAsia"/>
          <w:lang w:eastAsia="zh-CN"/>
        </w:rPr>
        <w:t>遵照全权代表大会确定的指导方针，审议内容广泛的电信政策问题，以确保国际电联的政策与战略充分适应电信环境的变化</w:t>
      </w:r>
      <w:r>
        <w:rPr>
          <w:rFonts w:hint="eastAsia"/>
          <w:lang w:val="en-US" w:eastAsia="zh-CN"/>
        </w:rPr>
        <w:t>；</w:t>
      </w:r>
    </w:p>
    <w:p w14:paraId="4827B305" w14:textId="77777777" w:rsidR="008877DC" w:rsidRDefault="008877DC" w:rsidP="008877DC">
      <w:pPr>
        <w:rPr>
          <w:lang w:val="en-US" w:eastAsia="zh-CN"/>
        </w:rPr>
      </w:pPr>
      <w:r w:rsidRPr="005114E2">
        <w:rPr>
          <w:i/>
          <w:iCs/>
          <w:lang w:val="en-US" w:eastAsia="zh-CN"/>
        </w:rPr>
        <w:t>b)</w:t>
      </w:r>
      <w:r>
        <w:rPr>
          <w:lang w:val="en-US" w:eastAsia="zh-CN"/>
        </w:rPr>
        <w:tab/>
      </w:r>
      <w:r>
        <w:rPr>
          <w:rFonts w:hint="eastAsia"/>
          <w:lang w:val="en-US" w:eastAsia="zh-CN"/>
        </w:rPr>
        <w:t>有关“</w:t>
      </w:r>
      <w:r w:rsidRPr="00FE61A0">
        <w:rPr>
          <w:rFonts w:hint="eastAsia"/>
          <w:lang w:eastAsia="zh-CN"/>
        </w:rPr>
        <w:t>国际电联在有关互联网和互联网资源（包括域名和地址）管理的国际公共政策问题方面作用</w:t>
      </w:r>
      <w:r>
        <w:rPr>
          <w:rFonts w:hint="eastAsia"/>
          <w:lang w:eastAsia="zh-CN"/>
        </w:rPr>
        <w:t>”的</w:t>
      </w:r>
      <w:r>
        <w:rPr>
          <w:rFonts w:hint="eastAsia"/>
          <w:lang w:val="en-US" w:eastAsia="zh-CN"/>
        </w:rPr>
        <w:t>国际电联第</w:t>
      </w:r>
      <w:r>
        <w:rPr>
          <w:rFonts w:hint="eastAsia"/>
          <w:lang w:val="en-US" w:eastAsia="zh-CN"/>
        </w:rPr>
        <w:t>102</w:t>
      </w:r>
      <w:r>
        <w:rPr>
          <w:rFonts w:hint="eastAsia"/>
          <w:lang w:val="en-US" w:eastAsia="zh-CN"/>
        </w:rPr>
        <w:t>号决议（</w:t>
      </w:r>
      <w:r>
        <w:rPr>
          <w:rFonts w:hint="eastAsia"/>
          <w:lang w:val="en-US" w:eastAsia="zh-CN"/>
        </w:rPr>
        <w:t>2006</w:t>
      </w:r>
      <w:r>
        <w:rPr>
          <w:rFonts w:hint="eastAsia"/>
          <w:lang w:val="en-US" w:eastAsia="zh-CN"/>
        </w:rPr>
        <w:t>年，安塔利亚，修订版）；</w:t>
      </w:r>
    </w:p>
    <w:p w14:paraId="4827B306" w14:textId="77777777" w:rsidR="008877DC" w:rsidRDefault="008877DC" w:rsidP="008877DC">
      <w:pPr>
        <w:rPr>
          <w:lang w:val="en-US" w:eastAsia="zh-CN"/>
        </w:rPr>
      </w:pPr>
      <w:r w:rsidRPr="005114E2">
        <w:rPr>
          <w:i/>
          <w:iCs/>
          <w:lang w:val="en-US" w:eastAsia="zh-CN"/>
        </w:rPr>
        <w:t>c)</w:t>
      </w:r>
      <w:r>
        <w:rPr>
          <w:rFonts w:hint="eastAsia"/>
          <w:lang w:val="en-US" w:eastAsia="zh-CN"/>
        </w:rPr>
        <w:tab/>
      </w:r>
      <w:r>
        <w:rPr>
          <w:rFonts w:hint="eastAsia"/>
          <w:lang w:val="en-US" w:eastAsia="zh-CN"/>
        </w:rPr>
        <w:t>有关</w:t>
      </w:r>
      <w:r w:rsidRPr="00FE61A0">
        <w:rPr>
          <w:rFonts w:hint="eastAsia"/>
          <w:color w:val="000000"/>
          <w:lang w:eastAsia="zh-CN"/>
        </w:rPr>
        <w:t>基于互联网协议的网络</w:t>
      </w:r>
      <w:r>
        <w:rPr>
          <w:rFonts w:hint="eastAsia"/>
          <w:lang w:val="en-US" w:eastAsia="zh-CN"/>
        </w:rPr>
        <w:t>的国际电联第</w:t>
      </w:r>
      <w:r>
        <w:rPr>
          <w:rFonts w:hint="eastAsia"/>
          <w:lang w:val="en-US" w:eastAsia="zh-CN"/>
        </w:rPr>
        <w:t>101</w:t>
      </w:r>
      <w:r>
        <w:rPr>
          <w:rFonts w:hint="eastAsia"/>
          <w:lang w:val="en-US" w:eastAsia="zh-CN"/>
        </w:rPr>
        <w:t>号决议（</w:t>
      </w:r>
      <w:r>
        <w:rPr>
          <w:rFonts w:hint="eastAsia"/>
          <w:lang w:val="en-US" w:eastAsia="zh-CN"/>
        </w:rPr>
        <w:t>2006</w:t>
      </w:r>
      <w:r>
        <w:rPr>
          <w:rFonts w:hint="eastAsia"/>
          <w:lang w:val="en-US" w:eastAsia="zh-CN"/>
        </w:rPr>
        <w:t>年，安塔利亚，修订版）；</w:t>
      </w:r>
    </w:p>
    <w:p w14:paraId="4827B307" w14:textId="77777777" w:rsidR="008877DC" w:rsidRDefault="008877DC" w:rsidP="008877DC">
      <w:pPr>
        <w:rPr>
          <w:lang w:val="en-US" w:eastAsia="zh-CN"/>
        </w:rPr>
      </w:pPr>
      <w:r w:rsidRPr="005114E2">
        <w:rPr>
          <w:i/>
          <w:iCs/>
          <w:lang w:val="en-US" w:eastAsia="zh-CN"/>
        </w:rPr>
        <w:t>d)</w:t>
      </w:r>
      <w:r>
        <w:rPr>
          <w:rFonts w:hint="eastAsia"/>
          <w:lang w:val="en-US" w:eastAsia="zh-CN"/>
        </w:rPr>
        <w:tab/>
      </w:r>
      <w:r>
        <w:rPr>
          <w:rFonts w:hint="eastAsia"/>
          <w:lang w:val="en-US" w:eastAsia="zh-CN"/>
        </w:rPr>
        <w:t>有关</w:t>
      </w:r>
      <w:r>
        <w:rPr>
          <w:rFonts w:hint="eastAsia"/>
          <w:lang w:eastAsia="zh-CN"/>
        </w:rPr>
        <w:t>成员国主管部门在国际化（多语文）域名管理中作用的</w:t>
      </w:r>
      <w:r>
        <w:rPr>
          <w:rFonts w:hint="eastAsia"/>
          <w:lang w:val="en-US" w:eastAsia="zh-CN"/>
        </w:rPr>
        <w:t>国际电联第</w:t>
      </w:r>
      <w:r>
        <w:rPr>
          <w:rFonts w:hint="eastAsia"/>
          <w:lang w:val="en-US" w:eastAsia="zh-CN"/>
        </w:rPr>
        <w:t>133</w:t>
      </w:r>
      <w:r>
        <w:rPr>
          <w:rFonts w:hint="eastAsia"/>
          <w:lang w:val="en-US" w:eastAsia="zh-CN"/>
        </w:rPr>
        <w:t>号决议（</w:t>
      </w:r>
      <w:r>
        <w:rPr>
          <w:rFonts w:hint="eastAsia"/>
          <w:lang w:val="en-US" w:eastAsia="zh-CN"/>
        </w:rPr>
        <w:t>2006</w:t>
      </w:r>
      <w:r>
        <w:rPr>
          <w:rFonts w:hint="eastAsia"/>
          <w:lang w:val="en-US" w:eastAsia="zh-CN"/>
        </w:rPr>
        <w:t>年，安塔利亚，修订版）；</w:t>
      </w:r>
    </w:p>
    <w:p w14:paraId="4827B308" w14:textId="77777777" w:rsidR="008877DC" w:rsidRPr="00845253" w:rsidRDefault="008877DC" w:rsidP="008877DC">
      <w:pPr>
        <w:rPr>
          <w:lang w:val="en-US" w:eastAsia="zh-CN"/>
        </w:rPr>
      </w:pPr>
      <w:r w:rsidRPr="005114E2">
        <w:rPr>
          <w:rFonts w:hint="eastAsia"/>
          <w:i/>
          <w:iCs/>
          <w:lang w:val="en-US" w:eastAsia="zh-CN"/>
        </w:rPr>
        <w:t>e</w:t>
      </w:r>
      <w:r w:rsidRPr="005114E2">
        <w:rPr>
          <w:i/>
          <w:iCs/>
          <w:lang w:val="en-US" w:eastAsia="zh-CN"/>
        </w:rPr>
        <w:t>)</w:t>
      </w:r>
      <w:r>
        <w:rPr>
          <w:rFonts w:hint="eastAsia"/>
          <w:lang w:val="en-US" w:eastAsia="zh-CN"/>
        </w:rPr>
        <w:tab/>
      </w:r>
      <w:r>
        <w:rPr>
          <w:rFonts w:hint="eastAsia"/>
          <w:lang w:val="en-US" w:eastAsia="zh-CN"/>
        </w:rPr>
        <w:t>有关“</w:t>
      </w:r>
      <w:r w:rsidRPr="00845253">
        <w:rPr>
          <w:lang w:val="en-US" w:eastAsia="zh-CN"/>
        </w:rPr>
        <w:t>ITU-T</w:t>
      </w:r>
      <w:r w:rsidRPr="00845253">
        <w:rPr>
          <w:rFonts w:hint="eastAsia"/>
          <w:lang w:val="en-US" w:eastAsia="zh-CN"/>
        </w:rPr>
        <w:t>在信息社会世界高峰会议成果落实中的贡献，</w:t>
      </w:r>
      <w:r>
        <w:rPr>
          <w:rFonts w:hint="eastAsia"/>
          <w:lang w:val="en-US" w:eastAsia="zh-CN"/>
        </w:rPr>
        <w:t>以及</w:t>
      </w:r>
      <w:r w:rsidRPr="00845253">
        <w:rPr>
          <w:rFonts w:hint="eastAsia"/>
          <w:lang w:val="en-US" w:eastAsia="zh-CN"/>
        </w:rPr>
        <w:t>成立</w:t>
      </w:r>
      <w:r>
        <w:rPr>
          <w:rFonts w:hint="eastAsia"/>
          <w:lang w:val="en-US" w:eastAsia="zh-CN"/>
        </w:rPr>
        <w:t>国际</w:t>
      </w:r>
      <w:r w:rsidRPr="00845253">
        <w:rPr>
          <w:rFonts w:hint="eastAsia"/>
          <w:lang w:val="en-US" w:eastAsia="zh-CN"/>
        </w:rPr>
        <w:t>互联网</w:t>
      </w:r>
      <w:r>
        <w:rPr>
          <w:rFonts w:hint="eastAsia"/>
          <w:lang w:val="en-US" w:eastAsia="zh-CN"/>
        </w:rPr>
        <w:t>相关</w:t>
      </w:r>
      <w:r w:rsidRPr="00845253">
        <w:rPr>
          <w:rFonts w:hint="eastAsia"/>
          <w:lang w:val="en-US" w:eastAsia="zh-CN"/>
        </w:rPr>
        <w:t>公共政策问题专门</w:t>
      </w:r>
      <w:r>
        <w:rPr>
          <w:rFonts w:hint="eastAsia"/>
          <w:lang w:val="en-US" w:eastAsia="zh-CN"/>
        </w:rPr>
        <w:t>组，作为理事会信息社会世界高峰会议工作组</w:t>
      </w:r>
      <w:r w:rsidRPr="00845253">
        <w:rPr>
          <w:rFonts w:hint="eastAsia"/>
          <w:lang w:val="en-US" w:eastAsia="zh-CN"/>
        </w:rPr>
        <w:t>一部分</w:t>
      </w:r>
      <w:r>
        <w:rPr>
          <w:rFonts w:hint="eastAsia"/>
          <w:lang w:val="en-US" w:eastAsia="zh-CN"/>
        </w:rPr>
        <w:t>”的世界电信标准化全会（</w:t>
      </w:r>
      <w:r w:rsidRPr="00B30116">
        <w:rPr>
          <w:rFonts w:hint="eastAsia"/>
          <w:lang w:eastAsia="zh-CN"/>
        </w:rPr>
        <w:t>WTSA</w:t>
      </w:r>
      <w:r>
        <w:rPr>
          <w:rFonts w:hint="eastAsia"/>
          <w:lang w:val="en-US" w:eastAsia="zh-CN"/>
        </w:rPr>
        <w:t>）第</w:t>
      </w:r>
      <w:r>
        <w:rPr>
          <w:rFonts w:hint="eastAsia"/>
          <w:lang w:val="en-US" w:eastAsia="zh-CN"/>
        </w:rPr>
        <w:t>75</w:t>
      </w:r>
      <w:r>
        <w:rPr>
          <w:rFonts w:hint="eastAsia"/>
          <w:lang w:val="en-US" w:eastAsia="zh-CN"/>
        </w:rPr>
        <w:t>号决议（</w:t>
      </w:r>
      <w:r>
        <w:rPr>
          <w:rFonts w:hint="eastAsia"/>
          <w:lang w:val="en-US" w:eastAsia="zh-CN"/>
        </w:rPr>
        <w:t>2008</w:t>
      </w:r>
      <w:r>
        <w:rPr>
          <w:rFonts w:hint="eastAsia"/>
          <w:lang w:val="en-US" w:eastAsia="zh-CN"/>
        </w:rPr>
        <w:t>年，约翰内斯堡）</w:t>
      </w:r>
      <w:r>
        <w:rPr>
          <w:rFonts w:ascii="SimSun" w:hAnsi="SimSun" w:hint="eastAsia"/>
          <w:lang w:val="en-US" w:eastAsia="zh-CN"/>
        </w:rPr>
        <w:t>；</w:t>
      </w:r>
    </w:p>
    <w:p w14:paraId="4827B309" w14:textId="77777777" w:rsidR="008877DC" w:rsidRPr="00B30116" w:rsidRDefault="008877DC" w:rsidP="008877DC">
      <w:pPr>
        <w:rPr>
          <w:lang w:eastAsia="zh-CN"/>
        </w:rPr>
      </w:pPr>
      <w:r w:rsidRPr="005114E2">
        <w:rPr>
          <w:rFonts w:hint="eastAsia"/>
          <w:i/>
          <w:iCs/>
          <w:lang w:eastAsia="zh-CN"/>
        </w:rPr>
        <w:t>f</w:t>
      </w:r>
      <w:r w:rsidRPr="005114E2">
        <w:rPr>
          <w:i/>
          <w:iCs/>
          <w:lang w:eastAsia="zh-CN"/>
        </w:rPr>
        <w:t>)</w:t>
      </w:r>
      <w:r w:rsidRPr="00B30116">
        <w:rPr>
          <w:lang w:eastAsia="zh-CN"/>
        </w:rPr>
        <w:tab/>
      </w:r>
      <w:r>
        <w:rPr>
          <w:rFonts w:hint="eastAsia"/>
          <w:lang w:eastAsia="zh-CN"/>
        </w:rPr>
        <w:t>有关</w:t>
      </w:r>
      <w:r w:rsidRPr="00B30116">
        <w:rPr>
          <w:lang w:eastAsia="zh-CN"/>
        </w:rPr>
        <w:t>国家代码顶级域名的</w:t>
      </w:r>
      <w:r w:rsidRPr="00B30116">
        <w:rPr>
          <w:rFonts w:hint="eastAsia"/>
          <w:lang w:eastAsia="zh-CN"/>
        </w:rPr>
        <w:t>WTSA</w:t>
      </w:r>
      <w:r w:rsidRPr="00B30116">
        <w:rPr>
          <w:lang w:eastAsia="zh-CN"/>
        </w:rPr>
        <w:t>第</w:t>
      </w:r>
      <w:r w:rsidRPr="00B30116">
        <w:rPr>
          <w:lang w:eastAsia="zh-CN"/>
        </w:rPr>
        <w:t>47</w:t>
      </w:r>
      <w:r w:rsidRPr="00B30116">
        <w:rPr>
          <w:lang w:eastAsia="zh-CN"/>
        </w:rPr>
        <w:t>号决议（</w:t>
      </w:r>
      <w:r w:rsidRPr="00B30116">
        <w:rPr>
          <w:lang w:eastAsia="zh-CN"/>
        </w:rPr>
        <w:t>2008</w:t>
      </w:r>
      <w:r w:rsidRPr="00B30116">
        <w:rPr>
          <w:lang w:eastAsia="zh-CN"/>
        </w:rPr>
        <w:t>年，约翰内斯堡，修订版）；</w:t>
      </w:r>
    </w:p>
    <w:p w14:paraId="4827B30A" w14:textId="77777777" w:rsidR="008877DC" w:rsidRPr="00B30116" w:rsidRDefault="008877DC" w:rsidP="008877DC">
      <w:pPr>
        <w:rPr>
          <w:lang w:eastAsia="zh-CN"/>
        </w:rPr>
      </w:pPr>
      <w:r w:rsidRPr="005114E2">
        <w:rPr>
          <w:rFonts w:hint="eastAsia"/>
          <w:i/>
          <w:iCs/>
          <w:lang w:eastAsia="zh-CN"/>
        </w:rPr>
        <w:t>g</w:t>
      </w:r>
      <w:r w:rsidRPr="005114E2">
        <w:rPr>
          <w:i/>
          <w:iCs/>
          <w:lang w:eastAsia="zh-CN"/>
        </w:rPr>
        <w:t>)</w:t>
      </w:r>
      <w:r w:rsidRPr="00B30116">
        <w:rPr>
          <w:lang w:eastAsia="zh-CN"/>
        </w:rPr>
        <w:tab/>
      </w:r>
      <w:r>
        <w:rPr>
          <w:rFonts w:hint="eastAsia"/>
          <w:lang w:eastAsia="zh-CN"/>
        </w:rPr>
        <w:t>有关</w:t>
      </w:r>
      <w:r w:rsidRPr="00B30116">
        <w:rPr>
          <w:rFonts w:hint="eastAsia"/>
          <w:lang w:eastAsia="zh-CN"/>
        </w:rPr>
        <w:t>国际化（多语言）域名的</w:t>
      </w:r>
      <w:r w:rsidRPr="00B30116">
        <w:rPr>
          <w:rFonts w:hint="eastAsia"/>
          <w:lang w:eastAsia="zh-CN"/>
        </w:rPr>
        <w:t>WTSA</w:t>
      </w:r>
      <w:r w:rsidRPr="00B30116">
        <w:rPr>
          <w:rFonts w:hint="eastAsia"/>
          <w:lang w:eastAsia="zh-CN"/>
        </w:rPr>
        <w:t>第</w:t>
      </w:r>
      <w:r w:rsidRPr="00B30116">
        <w:rPr>
          <w:lang w:eastAsia="zh-CN"/>
        </w:rPr>
        <w:t>48</w:t>
      </w:r>
      <w:r w:rsidRPr="00B30116">
        <w:rPr>
          <w:rFonts w:hint="eastAsia"/>
          <w:lang w:eastAsia="zh-CN"/>
        </w:rPr>
        <w:t>号决议（</w:t>
      </w:r>
      <w:r w:rsidRPr="00B30116">
        <w:rPr>
          <w:rFonts w:hint="eastAsia"/>
          <w:lang w:eastAsia="zh-CN"/>
        </w:rPr>
        <w:t>2008</w:t>
      </w:r>
      <w:r w:rsidRPr="00B30116">
        <w:rPr>
          <w:rFonts w:hint="eastAsia"/>
          <w:lang w:eastAsia="zh-CN"/>
        </w:rPr>
        <w:t>年，约翰内斯堡，修订版）；</w:t>
      </w:r>
    </w:p>
    <w:p w14:paraId="4827B30B" w14:textId="77777777" w:rsidR="008877DC" w:rsidRPr="00B30116" w:rsidRDefault="008877DC" w:rsidP="008877DC">
      <w:pPr>
        <w:rPr>
          <w:lang w:eastAsia="zh-CN"/>
        </w:rPr>
      </w:pPr>
      <w:r w:rsidRPr="005114E2">
        <w:rPr>
          <w:rFonts w:hint="eastAsia"/>
          <w:i/>
          <w:iCs/>
          <w:lang w:eastAsia="zh-CN"/>
        </w:rPr>
        <w:t>h</w:t>
      </w:r>
      <w:r w:rsidRPr="005114E2">
        <w:rPr>
          <w:i/>
          <w:iCs/>
          <w:lang w:eastAsia="zh-CN"/>
        </w:rPr>
        <w:t>)</w:t>
      </w:r>
      <w:r w:rsidRPr="00B30116">
        <w:rPr>
          <w:lang w:eastAsia="zh-CN"/>
        </w:rPr>
        <w:tab/>
      </w:r>
      <w:r>
        <w:rPr>
          <w:rFonts w:hint="eastAsia"/>
          <w:lang w:eastAsia="zh-CN"/>
        </w:rPr>
        <w:t>有关</w:t>
      </w:r>
      <w:r w:rsidRPr="00B30116">
        <w:rPr>
          <w:rFonts w:hint="eastAsia"/>
          <w:lang w:eastAsia="zh-CN"/>
        </w:rPr>
        <w:t>电话号码变址（</w:t>
      </w:r>
      <w:r w:rsidRPr="00B30116">
        <w:rPr>
          <w:rFonts w:hint="eastAsia"/>
          <w:lang w:eastAsia="zh-CN"/>
        </w:rPr>
        <w:t>ENUM</w:t>
      </w:r>
      <w:r w:rsidRPr="00B30116">
        <w:rPr>
          <w:rFonts w:hint="eastAsia"/>
          <w:lang w:eastAsia="zh-CN"/>
        </w:rPr>
        <w:t>）的</w:t>
      </w:r>
      <w:r w:rsidRPr="00B30116">
        <w:rPr>
          <w:rFonts w:hint="eastAsia"/>
          <w:lang w:eastAsia="zh-CN"/>
        </w:rPr>
        <w:t>WTSA</w:t>
      </w:r>
      <w:r w:rsidRPr="00B30116">
        <w:rPr>
          <w:rFonts w:hint="eastAsia"/>
          <w:lang w:eastAsia="zh-CN"/>
        </w:rPr>
        <w:t>第</w:t>
      </w:r>
      <w:r w:rsidRPr="00B30116">
        <w:rPr>
          <w:rFonts w:hint="eastAsia"/>
          <w:lang w:eastAsia="zh-CN"/>
        </w:rPr>
        <w:t>49</w:t>
      </w:r>
      <w:r w:rsidRPr="00B30116">
        <w:rPr>
          <w:rFonts w:hint="eastAsia"/>
          <w:lang w:eastAsia="zh-CN"/>
        </w:rPr>
        <w:t>号决议（</w:t>
      </w:r>
      <w:r w:rsidRPr="00B30116">
        <w:rPr>
          <w:rFonts w:hint="eastAsia"/>
          <w:lang w:eastAsia="zh-CN"/>
        </w:rPr>
        <w:t>2008</w:t>
      </w:r>
      <w:r w:rsidRPr="00B30116">
        <w:rPr>
          <w:rFonts w:hint="eastAsia"/>
          <w:lang w:eastAsia="zh-CN"/>
        </w:rPr>
        <w:t>年，约翰内斯堡，修订版）；</w:t>
      </w:r>
    </w:p>
    <w:p w14:paraId="4827B30C" w14:textId="77777777" w:rsidR="008877DC" w:rsidRPr="00B30116" w:rsidRDefault="008877DC" w:rsidP="008877DC">
      <w:pPr>
        <w:rPr>
          <w:lang w:eastAsia="zh-CN"/>
        </w:rPr>
      </w:pPr>
      <w:r w:rsidRPr="005114E2">
        <w:rPr>
          <w:rFonts w:hint="eastAsia"/>
          <w:i/>
          <w:iCs/>
          <w:lang w:eastAsia="zh-CN"/>
        </w:rPr>
        <w:t>i</w:t>
      </w:r>
      <w:r w:rsidRPr="005114E2">
        <w:rPr>
          <w:i/>
          <w:iCs/>
          <w:lang w:eastAsia="zh-CN"/>
        </w:rPr>
        <w:t>)</w:t>
      </w:r>
      <w:r w:rsidRPr="00B30116">
        <w:rPr>
          <w:lang w:eastAsia="zh-CN"/>
        </w:rPr>
        <w:tab/>
      </w:r>
      <w:r>
        <w:rPr>
          <w:rFonts w:hint="eastAsia"/>
          <w:lang w:eastAsia="zh-CN"/>
        </w:rPr>
        <w:t>有关</w:t>
      </w:r>
      <w:r w:rsidRPr="00B30116">
        <w:rPr>
          <w:rFonts w:hint="eastAsia"/>
          <w:lang w:eastAsia="zh-CN"/>
        </w:rPr>
        <w:t>网络安全的第</w:t>
      </w:r>
      <w:r w:rsidRPr="00B30116">
        <w:rPr>
          <w:rFonts w:hint="eastAsia"/>
          <w:lang w:eastAsia="zh-CN"/>
        </w:rPr>
        <w:t>50</w:t>
      </w:r>
      <w:r w:rsidRPr="00B30116">
        <w:rPr>
          <w:rFonts w:hint="eastAsia"/>
          <w:lang w:eastAsia="zh-CN"/>
        </w:rPr>
        <w:t>号决议（</w:t>
      </w:r>
      <w:r w:rsidRPr="00B30116">
        <w:rPr>
          <w:rFonts w:hint="eastAsia"/>
          <w:lang w:eastAsia="zh-CN"/>
        </w:rPr>
        <w:t>2008</w:t>
      </w:r>
      <w:r w:rsidRPr="00B30116">
        <w:rPr>
          <w:rFonts w:hint="eastAsia"/>
          <w:lang w:eastAsia="zh-CN"/>
        </w:rPr>
        <w:t>年，约翰内斯堡，修订版）</w:t>
      </w:r>
      <w:r>
        <w:rPr>
          <w:rFonts w:hint="eastAsia"/>
          <w:lang w:eastAsia="zh-CN"/>
        </w:rPr>
        <w:t>；</w:t>
      </w:r>
    </w:p>
    <w:p w14:paraId="4827B30D" w14:textId="77777777" w:rsidR="008877DC" w:rsidRPr="00B30116" w:rsidRDefault="008877DC" w:rsidP="008877DC">
      <w:pPr>
        <w:rPr>
          <w:lang w:eastAsia="zh-CN"/>
        </w:rPr>
      </w:pPr>
      <w:r w:rsidRPr="005114E2">
        <w:rPr>
          <w:rFonts w:hint="eastAsia"/>
          <w:i/>
          <w:iCs/>
          <w:lang w:eastAsia="zh-CN"/>
        </w:rPr>
        <w:t>j</w:t>
      </w:r>
      <w:r w:rsidRPr="005114E2">
        <w:rPr>
          <w:i/>
          <w:iCs/>
          <w:lang w:eastAsia="zh-CN"/>
        </w:rPr>
        <w:t>)</w:t>
      </w:r>
      <w:r w:rsidRPr="00B30116">
        <w:rPr>
          <w:lang w:eastAsia="zh-CN"/>
        </w:rPr>
        <w:tab/>
      </w:r>
      <w:r>
        <w:rPr>
          <w:rFonts w:hint="eastAsia"/>
          <w:lang w:eastAsia="zh-CN"/>
        </w:rPr>
        <w:t>有关利用技术手段</w:t>
      </w:r>
      <w:r w:rsidRPr="00B30116">
        <w:rPr>
          <w:rFonts w:hint="eastAsia"/>
          <w:lang w:eastAsia="zh-CN"/>
        </w:rPr>
        <w:t>抵制和打击垃圾信息的第</w:t>
      </w:r>
      <w:r w:rsidRPr="00B30116">
        <w:rPr>
          <w:rFonts w:hint="eastAsia"/>
          <w:lang w:eastAsia="zh-CN"/>
        </w:rPr>
        <w:t>52</w:t>
      </w:r>
      <w:r w:rsidRPr="00B30116">
        <w:rPr>
          <w:rFonts w:hint="eastAsia"/>
          <w:lang w:eastAsia="zh-CN"/>
        </w:rPr>
        <w:t>号决议（</w:t>
      </w:r>
      <w:r w:rsidRPr="00B30116">
        <w:rPr>
          <w:rFonts w:hint="eastAsia"/>
          <w:lang w:eastAsia="zh-CN"/>
        </w:rPr>
        <w:t>2008</w:t>
      </w:r>
      <w:r w:rsidRPr="00B30116">
        <w:rPr>
          <w:rFonts w:hint="eastAsia"/>
          <w:lang w:eastAsia="zh-CN"/>
        </w:rPr>
        <w:t>年，约翰内斯堡，修订版）；</w:t>
      </w:r>
    </w:p>
    <w:p w14:paraId="4827B30E" w14:textId="77777777" w:rsidR="008877DC" w:rsidRPr="00B30116" w:rsidRDefault="008877DC" w:rsidP="008877DC">
      <w:pPr>
        <w:rPr>
          <w:lang w:eastAsia="zh-CN"/>
        </w:rPr>
      </w:pPr>
      <w:r w:rsidRPr="005114E2">
        <w:rPr>
          <w:rFonts w:hint="eastAsia"/>
          <w:i/>
          <w:iCs/>
          <w:lang w:eastAsia="zh-CN"/>
        </w:rPr>
        <w:t>k</w:t>
      </w:r>
      <w:r w:rsidRPr="005114E2">
        <w:rPr>
          <w:i/>
          <w:iCs/>
          <w:lang w:eastAsia="zh-CN"/>
        </w:rPr>
        <w:t>)</w:t>
      </w:r>
      <w:r w:rsidRPr="00B30116">
        <w:rPr>
          <w:lang w:eastAsia="zh-CN"/>
        </w:rPr>
        <w:tab/>
      </w:r>
      <w:r>
        <w:rPr>
          <w:rFonts w:hint="eastAsia"/>
          <w:lang w:eastAsia="zh-CN"/>
        </w:rPr>
        <w:t>有关</w:t>
      </w:r>
      <w:r>
        <w:rPr>
          <w:rFonts w:hint="eastAsia"/>
          <w:lang w:eastAsia="zh-CN"/>
        </w:rPr>
        <w:t>IP</w:t>
      </w:r>
      <w:r>
        <w:rPr>
          <w:rFonts w:hint="eastAsia"/>
          <w:lang w:eastAsia="zh-CN"/>
        </w:rPr>
        <w:t>地址分配和鼓励</w:t>
      </w:r>
      <w:r>
        <w:rPr>
          <w:rFonts w:hint="eastAsia"/>
          <w:lang w:eastAsia="zh-CN"/>
        </w:rPr>
        <w:t>IPv6</w:t>
      </w:r>
      <w:r>
        <w:rPr>
          <w:rFonts w:hint="eastAsia"/>
          <w:lang w:eastAsia="zh-CN"/>
        </w:rPr>
        <w:t>部署的</w:t>
      </w:r>
      <w:r w:rsidRPr="00B30116">
        <w:rPr>
          <w:rFonts w:hint="eastAsia"/>
          <w:lang w:eastAsia="zh-CN"/>
        </w:rPr>
        <w:t>WTSA</w:t>
      </w:r>
      <w:r>
        <w:rPr>
          <w:rFonts w:hint="eastAsia"/>
          <w:lang w:eastAsia="zh-CN"/>
        </w:rPr>
        <w:t>第</w:t>
      </w:r>
      <w:r>
        <w:rPr>
          <w:rFonts w:hint="eastAsia"/>
          <w:lang w:eastAsia="zh-CN"/>
        </w:rPr>
        <w:t>64</w:t>
      </w:r>
      <w:r>
        <w:rPr>
          <w:rFonts w:hint="eastAsia"/>
          <w:lang w:eastAsia="zh-CN"/>
        </w:rPr>
        <w:t>号决议（</w:t>
      </w:r>
      <w:r>
        <w:rPr>
          <w:rFonts w:hint="eastAsia"/>
          <w:lang w:eastAsia="zh-CN"/>
        </w:rPr>
        <w:t>2008</w:t>
      </w:r>
      <w:r>
        <w:rPr>
          <w:rFonts w:hint="eastAsia"/>
          <w:lang w:eastAsia="zh-CN"/>
        </w:rPr>
        <w:t>年，约翰内斯堡）；</w:t>
      </w:r>
    </w:p>
    <w:p w14:paraId="4827B30F" w14:textId="77777777" w:rsidR="008877DC" w:rsidRPr="006141B1" w:rsidRDefault="008877DC" w:rsidP="008877DC">
      <w:pPr>
        <w:rPr>
          <w:lang w:val="en-US" w:eastAsia="zh-CN"/>
        </w:rPr>
      </w:pPr>
      <w:r w:rsidRPr="005114E2">
        <w:rPr>
          <w:rFonts w:hint="eastAsia"/>
          <w:i/>
          <w:iCs/>
          <w:lang w:val="en-US" w:eastAsia="zh-CN"/>
        </w:rPr>
        <w:t>l</w:t>
      </w:r>
      <w:r w:rsidRPr="005114E2">
        <w:rPr>
          <w:i/>
          <w:iCs/>
          <w:lang w:val="en-US" w:eastAsia="zh-CN"/>
        </w:rPr>
        <w:t>)</w:t>
      </w:r>
      <w:r>
        <w:rPr>
          <w:lang w:val="en-US" w:eastAsia="zh-CN"/>
        </w:rPr>
        <w:tab/>
      </w:r>
      <w:r>
        <w:rPr>
          <w:rFonts w:hint="eastAsia"/>
          <w:lang w:eastAsia="zh-CN"/>
        </w:rPr>
        <w:t>有关</w:t>
      </w:r>
      <w:r w:rsidRPr="00B30116">
        <w:rPr>
          <w:rFonts w:hint="eastAsia"/>
          <w:lang w:eastAsia="zh-CN"/>
        </w:rPr>
        <w:t>非歧视性接入和使用互联网资源的</w:t>
      </w:r>
      <w:r w:rsidRPr="00B30116">
        <w:rPr>
          <w:rFonts w:hint="eastAsia"/>
          <w:lang w:eastAsia="zh-CN"/>
        </w:rPr>
        <w:t>WTSA</w:t>
      </w:r>
      <w:r w:rsidRPr="00B30116">
        <w:rPr>
          <w:rFonts w:hint="eastAsia"/>
          <w:lang w:eastAsia="zh-CN"/>
        </w:rPr>
        <w:t>第</w:t>
      </w:r>
      <w:r w:rsidRPr="00B30116">
        <w:rPr>
          <w:rFonts w:hint="eastAsia"/>
          <w:lang w:eastAsia="zh-CN"/>
        </w:rPr>
        <w:t>69</w:t>
      </w:r>
      <w:r w:rsidRPr="00B30116">
        <w:rPr>
          <w:rFonts w:hint="eastAsia"/>
          <w:lang w:eastAsia="zh-CN"/>
        </w:rPr>
        <w:t>号决议（</w:t>
      </w:r>
      <w:r w:rsidRPr="00B30116">
        <w:rPr>
          <w:rFonts w:hint="eastAsia"/>
          <w:lang w:eastAsia="zh-CN"/>
        </w:rPr>
        <w:t>2008</w:t>
      </w:r>
      <w:r w:rsidRPr="00B30116">
        <w:rPr>
          <w:rFonts w:hint="eastAsia"/>
          <w:lang w:eastAsia="zh-CN"/>
        </w:rPr>
        <w:t>年，约翰内斯堡）；</w:t>
      </w:r>
    </w:p>
    <w:p w14:paraId="4827B310" w14:textId="77777777" w:rsidR="008877DC" w:rsidRDefault="008877DC" w:rsidP="008877DC">
      <w:pPr>
        <w:rPr>
          <w:lang w:val="en-US" w:eastAsia="zh-CN"/>
        </w:rPr>
      </w:pPr>
      <w:r w:rsidRPr="005114E2">
        <w:rPr>
          <w:rFonts w:hint="eastAsia"/>
          <w:i/>
          <w:iCs/>
          <w:lang w:val="en-US" w:eastAsia="zh-CN"/>
        </w:rPr>
        <w:t>m</w:t>
      </w:r>
      <w:r w:rsidRPr="005114E2">
        <w:rPr>
          <w:i/>
          <w:iCs/>
          <w:lang w:val="en-US" w:eastAsia="zh-CN"/>
        </w:rPr>
        <w:t>)</w:t>
      </w:r>
      <w:r>
        <w:rPr>
          <w:lang w:val="en-US" w:eastAsia="zh-CN"/>
        </w:rPr>
        <w:tab/>
      </w:r>
      <w:r>
        <w:rPr>
          <w:rFonts w:hint="eastAsia"/>
          <w:lang w:val="en-US" w:eastAsia="zh-CN"/>
        </w:rPr>
        <w:t>世界电信发展大会通过的项目</w:t>
      </w:r>
      <w:r>
        <w:rPr>
          <w:rFonts w:hint="eastAsia"/>
          <w:lang w:val="en-US" w:eastAsia="zh-CN"/>
        </w:rPr>
        <w:t>3</w:t>
      </w:r>
      <w:r>
        <w:rPr>
          <w:rFonts w:hint="eastAsia"/>
          <w:lang w:val="en-US" w:eastAsia="zh-CN"/>
        </w:rPr>
        <w:t>（</w:t>
      </w:r>
      <w:r>
        <w:rPr>
          <w:rFonts w:hint="eastAsia"/>
          <w:lang w:val="en-US" w:eastAsia="zh-CN"/>
        </w:rPr>
        <w:t>2006</w:t>
      </w:r>
      <w:r>
        <w:rPr>
          <w:rFonts w:hint="eastAsia"/>
          <w:lang w:val="en-US" w:eastAsia="zh-CN"/>
        </w:rPr>
        <w:t>年，多哈，修订版），该项目将网络安全作为其优先开展活动之一包括在内；</w:t>
      </w:r>
    </w:p>
    <w:p w14:paraId="4827B311" w14:textId="77777777" w:rsidR="008877DC" w:rsidRDefault="008877DC" w:rsidP="008877DC">
      <w:pPr>
        <w:rPr>
          <w:szCs w:val="28"/>
          <w:lang w:val="ru-RU" w:eastAsia="zh-CN"/>
        </w:rPr>
      </w:pPr>
      <w:r w:rsidRPr="005114E2">
        <w:rPr>
          <w:rFonts w:hint="eastAsia"/>
          <w:i/>
          <w:iCs/>
          <w:lang w:val="en-US" w:eastAsia="zh-CN"/>
        </w:rPr>
        <w:t>n)</w:t>
      </w:r>
      <w:r>
        <w:rPr>
          <w:rFonts w:hint="eastAsia"/>
          <w:lang w:val="en-US" w:eastAsia="zh-CN"/>
        </w:rPr>
        <w:tab/>
      </w:r>
      <w:r>
        <w:rPr>
          <w:rFonts w:hint="eastAsia"/>
          <w:lang w:val="en-US" w:eastAsia="zh-CN"/>
        </w:rPr>
        <w:t>理事会第</w:t>
      </w:r>
      <w:r>
        <w:rPr>
          <w:rFonts w:hint="eastAsia"/>
          <w:lang w:val="en-US" w:eastAsia="zh-CN"/>
        </w:rPr>
        <w:t>1282</w:t>
      </w:r>
      <w:r>
        <w:rPr>
          <w:rFonts w:hint="eastAsia"/>
          <w:lang w:val="en-US" w:eastAsia="zh-CN"/>
        </w:rPr>
        <w:t>号决议以及理事会</w:t>
      </w:r>
      <w:r>
        <w:rPr>
          <w:rFonts w:hint="eastAsia"/>
          <w:lang w:val="en-US" w:eastAsia="zh-CN"/>
        </w:rPr>
        <w:t>2008</w:t>
      </w:r>
      <w:r>
        <w:rPr>
          <w:rFonts w:hint="eastAsia"/>
          <w:lang w:val="en-US" w:eastAsia="zh-CN"/>
        </w:rPr>
        <w:t>年会议根据</w:t>
      </w:r>
      <w:r>
        <w:rPr>
          <w:rFonts w:hint="eastAsia"/>
          <w:lang w:val="en-US" w:eastAsia="zh-CN"/>
        </w:rPr>
        <w:t>WTSA</w:t>
      </w:r>
      <w:r>
        <w:rPr>
          <w:rFonts w:hint="eastAsia"/>
          <w:lang w:val="en-US" w:eastAsia="zh-CN"/>
        </w:rPr>
        <w:t>第</w:t>
      </w:r>
      <w:r>
        <w:rPr>
          <w:rFonts w:hint="eastAsia"/>
          <w:lang w:val="en-US" w:eastAsia="zh-CN"/>
        </w:rPr>
        <w:t>75</w:t>
      </w:r>
      <w:r>
        <w:rPr>
          <w:rFonts w:hint="eastAsia"/>
          <w:lang w:val="en-US" w:eastAsia="zh-CN"/>
        </w:rPr>
        <w:t>号决议（</w:t>
      </w:r>
      <w:r>
        <w:rPr>
          <w:rFonts w:hint="eastAsia"/>
          <w:lang w:val="en-US" w:eastAsia="zh-CN"/>
        </w:rPr>
        <w:t>2008</w:t>
      </w:r>
      <w:r>
        <w:rPr>
          <w:rFonts w:hint="eastAsia"/>
          <w:lang w:val="en-US" w:eastAsia="zh-CN"/>
        </w:rPr>
        <w:t>年，约翰内斯堡）对该决议做出的修正；</w:t>
      </w:r>
    </w:p>
    <w:p w14:paraId="4827B312" w14:textId="77777777" w:rsidR="008877DC" w:rsidRPr="0013782E" w:rsidRDefault="008877DC" w:rsidP="008877DC">
      <w:pPr>
        <w:rPr>
          <w:lang w:val="en-US" w:eastAsia="zh-CN"/>
        </w:rPr>
      </w:pPr>
      <w:r w:rsidRPr="005114E2">
        <w:rPr>
          <w:rFonts w:hint="eastAsia"/>
          <w:i/>
          <w:iCs/>
          <w:szCs w:val="28"/>
          <w:lang w:val="ru-RU" w:eastAsia="zh-CN"/>
        </w:rPr>
        <w:t>o)</w:t>
      </w:r>
      <w:r>
        <w:rPr>
          <w:rFonts w:hint="eastAsia"/>
          <w:szCs w:val="28"/>
          <w:lang w:val="ru-RU" w:eastAsia="zh-CN"/>
        </w:rPr>
        <w:tab/>
      </w:r>
      <w:r w:rsidRPr="007D160D">
        <w:rPr>
          <w:rFonts w:hint="eastAsia"/>
          <w:szCs w:val="28"/>
          <w:lang w:val="ru-RU" w:eastAsia="zh-CN"/>
        </w:rPr>
        <w:t>关于互联网相关公共政策问题的</w:t>
      </w:r>
      <w:r>
        <w:rPr>
          <w:rFonts w:hint="eastAsia"/>
          <w:lang w:val="en-US" w:eastAsia="zh-CN"/>
        </w:rPr>
        <w:t>世界电信政策论坛</w:t>
      </w:r>
      <w:r w:rsidRPr="007D160D">
        <w:rPr>
          <w:rFonts w:hint="eastAsia"/>
          <w:szCs w:val="28"/>
          <w:lang w:val="ru-RU" w:eastAsia="zh-CN"/>
        </w:rPr>
        <w:t>意见</w:t>
      </w:r>
      <w:r w:rsidRPr="007D160D">
        <w:rPr>
          <w:rFonts w:hint="eastAsia"/>
          <w:szCs w:val="28"/>
          <w:lang w:val="ru-RU" w:eastAsia="zh-CN"/>
        </w:rPr>
        <w:t>1</w:t>
      </w:r>
      <w:r>
        <w:rPr>
          <w:rFonts w:hint="eastAsia"/>
          <w:szCs w:val="28"/>
          <w:lang w:val="ru-RU" w:eastAsia="zh-CN"/>
        </w:rPr>
        <w:t>，</w:t>
      </w:r>
    </w:p>
    <w:p w14:paraId="4827B313" w14:textId="77777777" w:rsidR="003C22D4" w:rsidRDefault="003C22D4">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lang w:eastAsia="zh-CN"/>
        </w:rPr>
        <w:br w:type="page"/>
      </w:r>
    </w:p>
    <w:p w14:paraId="4827B314" w14:textId="77777777" w:rsidR="008877DC" w:rsidRPr="001D7B64" w:rsidRDefault="008877DC" w:rsidP="008877DC">
      <w:pPr>
        <w:pStyle w:val="Call"/>
        <w:rPr>
          <w:lang w:eastAsia="zh-CN"/>
        </w:rPr>
      </w:pPr>
      <w:r w:rsidRPr="00166A27">
        <w:rPr>
          <w:rFonts w:hint="eastAsia"/>
          <w:lang w:eastAsia="zh-CN"/>
        </w:rPr>
        <w:lastRenderedPageBreak/>
        <w:t>进一步认识到</w:t>
      </w:r>
    </w:p>
    <w:p w14:paraId="4827B315" w14:textId="77777777" w:rsidR="008877DC" w:rsidRPr="006141B1" w:rsidRDefault="008877DC" w:rsidP="008877DC">
      <w:pPr>
        <w:ind w:firstLineChars="200" w:firstLine="480"/>
        <w:rPr>
          <w:lang w:val="en-US" w:eastAsia="zh-CN"/>
        </w:rPr>
      </w:pPr>
      <w:r>
        <w:rPr>
          <w:rFonts w:hint="eastAsia"/>
          <w:lang w:val="en-US" w:eastAsia="zh-CN"/>
        </w:rPr>
        <w:t>根据</w:t>
      </w:r>
      <w:r>
        <w:rPr>
          <w:rFonts w:hint="eastAsia"/>
          <w:lang w:val="en-US" w:eastAsia="zh-CN"/>
        </w:rPr>
        <w:t>WTSA</w:t>
      </w:r>
      <w:r>
        <w:rPr>
          <w:rFonts w:hint="eastAsia"/>
          <w:lang w:val="en-US" w:eastAsia="zh-CN"/>
        </w:rPr>
        <w:t>第</w:t>
      </w:r>
      <w:r>
        <w:rPr>
          <w:rFonts w:hint="eastAsia"/>
          <w:lang w:val="en-US" w:eastAsia="zh-CN"/>
        </w:rPr>
        <w:t>75</w:t>
      </w:r>
      <w:r>
        <w:rPr>
          <w:rFonts w:hint="eastAsia"/>
          <w:lang w:val="en-US" w:eastAsia="zh-CN"/>
        </w:rPr>
        <w:t>号决议（</w:t>
      </w:r>
      <w:r>
        <w:rPr>
          <w:rFonts w:hint="eastAsia"/>
          <w:lang w:val="en-US" w:eastAsia="zh-CN"/>
        </w:rPr>
        <w:t>2008</w:t>
      </w:r>
      <w:r>
        <w:rPr>
          <w:rFonts w:hint="eastAsia"/>
          <w:lang w:val="en-US" w:eastAsia="zh-CN"/>
        </w:rPr>
        <w:t>年，约翰内斯堡）和理事会第</w:t>
      </w:r>
      <w:r>
        <w:rPr>
          <w:rFonts w:hint="eastAsia"/>
          <w:lang w:val="en-US" w:eastAsia="zh-CN"/>
        </w:rPr>
        <w:t>1282</w:t>
      </w:r>
      <w:r>
        <w:rPr>
          <w:rFonts w:hint="eastAsia"/>
          <w:lang w:val="en-US" w:eastAsia="zh-CN"/>
        </w:rPr>
        <w:t>号决议（</w:t>
      </w:r>
      <w:r>
        <w:rPr>
          <w:rFonts w:hint="eastAsia"/>
          <w:lang w:val="en-US" w:eastAsia="zh-CN"/>
        </w:rPr>
        <w:t>2008</w:t>
      </w:r>
      <w:r>
        <w:rPr>
          <w:rFonts w:hint="eastAsia"/>
          <w:lang w:val="en-US" w:eastAsia="zh-CN"/>
        </w:rPr>
        <w:t>年修订），</w:t>
      </w:r>
      <w:r>
        <w:rPr>
          <w:rFonts w:eastAsia="STKaiti" w:hint="eastAsia"/>
          <w:lang w:val="en-US" w:eastAsia="zh-CN"/>
        </w:rPr>
        <w:t>国际</w:t>
      </w:r>
      <w:r w:rsidRPr="00937191">
        <w:rPr>
          <w:rFonts w:eastAsia="STKaiti" w:hint="eastAsia"/>
          <w:lang w:val="en-US" w:eastAsia="zh-CN"/>
        </w:rPr>
        <w:t>互联网</w:t>
      </w:r>
      <w:r>
        <w:rPr>
          <w:rFonts w:eastAsia="STKaiti" w:hint="eastAsia"/>
          <w:lang w:val="en-US" w:eastAsia="zh-CN"/>
        </w:rPr>
        <w:t>相关公共政策问题专门</w:t>
      </w:r>
      <w:r w:rsidRPr="00937191">
        <w:rPr>
          <w:rFonts w:eastAsia="STKaiti" w:hint="eastAsia"/>
          <w:lang w:val="en-US" w:eastAsia="zh-CN"/>
        </w:rPr>
        <w:t>组</w:t>
      </w:r>
      <w:r>
        <w:rPr>
          <w:rFonts w:hint="eastAsia"/>
          <w:lang w:val="en-US" w:eastAsia="zh-CN"/>
        </w:rPr>
        <w:t>负责确定、研究和开展与国际互联网相关公共政策问题方面的事项，并且向国际电联成员传播其输出成果，</w:t>
      </w:r>
    </w:p>
    <w:p w14:paraId="4827B316" w14:textId="77777777" w:rsidR="008877DC" w:rsidRPr="005F2981" w:rsidRDefault="008877DC" w:rsidP="008877DC">
      <w:pPr>
        <w:pStyle w:val="Call"/>
        <w:rPr>
          <w:lang w:eastAsia="zh-CN"/>
        </w:rPr>
      </w:pPr>
      <w:r w:rsidRPr="00166A27">
        <w:rPr>
          <w:rFonts w:hint="eastAsia"/>
          <w:lang w:eastAsia="zh-CN"/>
        </w:rPr>
        <w:t>注意到</w:t>
      </w:r>
    </w:p>
    <w:p w14:paraId="4827B317" w14:textId="77777777" w:rsidR="008877DC" w:rsidRPr="0038743C" w:rsidRDefault="008877DC" w:rsidP="008877DC">
      <w:pPr>
        <w:rPr>
          <w:lang w:eastAsia="zh-CN"/>
        </w:rPr>
      </w:pPr>
      <w:r w:rsidRPr="005114E2">
        <w:rPr>
          <w:i/>
          <w:iCs/>
          <w:lang w:val="en-US" w:eastAsia="zh-CN"/>
        </w:rPr>
        <w:t>a)</w:t>
      </w:r>
      <w:r>
        <w:rPr>
          <w:lang w:val="en-US" w:eastAsia="zh-CN"/>
        </w:rPr>
        <w:tab/>
      </w:r>
      <w:r>
        <w:rPr>
          <w:rFonts w:hint="eastAsia"/>
          <w:lang w:val="en-US" w:eastAsia="zh-CN"/>
        </w:rPr>
        <w:t>国际</w:t>
      </w:r>
      <w:r w:rsidRPr="00202788">
        <w:rPr>
          <w:rFonts w:hint="eastAsia"/>
          <w:lang w:val="en-US" w:eastAsia="zh-CN"/>
        </w:rPr>
        <w:t>互联网</w:t>
      </w:r>
      <w:r>
        <w:rPr>
          <w:rFonts w:hint="eastAsia"/>
          <w:lang w:val="en-US" w:eastAsia="zh-CN"/>
        </w:rPr>
        <w:t>相关</w:t>
      </w:r>
      <w:r w:rsidRPr="00202788">
        <w:rPr>
          <w:rFonts w:hint="eastAsia"/>
          <w:lang w:val="en-US" w:eastAsia="zh-CN"/>
        </w:rPr>
        <w:t>公共政策问题专门组</w:t>
      </w:r>
      <w:r>
        <w:rPr>
          <w:rFonts w:hint="eastAsia"/>
          <w:lang w:eastAsia="zh-CN"/>
        </w:rPr>
        <w:t>第二次会议的成果，确定了在国际电联职责范围内被认为与</w:t>
      </w:r>
      <w:r>
        <w:rPr>
          <w:rFonts w:hint="eastAsia"/>
          <w:lang w:val="en-US" w:eastAsia="zh-CN"/>
        </w:rPr>
        <w:t>国际互联网公共政策问题相关的事项（包含在</w:t>
      </w:r>
      <w:r w:rsidRPr="00202788">
        <w:rPr>
          <w:rFonts w:hint="eastAsia"/>
          <w:lang w:val="en-US" w:eastAsia="zh-CN"/>
        </w:rPr>
        <w:t>专门组</w:t>
      </w:r>
      <w:r>
        <w:rPr>
          <w:rFonts w:hint="eastAsia"/>
          <w:lang w:val="en-US" w:eastAsia="zh-CN"/>
        </w:rPr>
        <w:t>主席提交给理事会</w:t>
      </w:r>
      <w:r>
        <w:rPr>
          <w:rFonts w:hint="eastAsia"/>
          <w:lang w:val="en-US" w:eastAsia="zh-CN"/>
        </w:rPr>
        <w:t>2009</w:t>
      </w:r>
      <w:r>
        <w:rPr>
          <w:rFonts w:hint="eastAsia"/>
          <w:lang w:val="en-US" w:eastAsia="zh-CN"/>
        </w:rPr>
        <w:t>年会议报告的附件</w:t>
      </w:r>
      <w:r>
        <w:rPr>
          <w:rFonts w:hint="eastAsia"/>
          <w:lang w:val="en-US" w:eastAsia="zh-CN"/>
        </w:rPr>
        <w:t>1</w:t>
      </w:r>
      <w:r>
        <w:rPr>
          <w:rFonts w:hint="eastAsia"/>
          <w:lang w:val="en-US" w:eastAsia="zh-CN"/>
        </w:rPr>
        <w:t>中）</w:t>
      </w:r>
      <w:r>
        <w:rPr>
          <w:rFonts w:hint="eastAsia"/>
          <w:lang w:eastAsia="zh-CN"/>
        </w:rPr>
        <w:t>；</w:t>
      </w:r>
    </w:p>
    <w:p w14:paraId="4827B318" w14:textId="77777777" w:rsidR="008877DC" w:rsidRDefault="008877DC" w:rsidP="008877DC">
      <w:pPr>
        <w:rPr>
          <w:bCs/>
          <w:lang w:eastAsia="zh-CN"/>
        </w:rPr>
      </w:pPr>
      <w:r w:rsidRPr="005114E2">
        <w:rPr>
          <w:i/>
          <w:iCs/>
          <w:lang w:val="en-US" w:eastAsia="zh-CN"/>
        </w:rPr>
        <w:t>b)</w:t>
      </w:r>
      <w:r>
        <w:rPr>
          <w:lang w:val="en-US" w:eastAsia="zh-CN"/>
        </w:rPr>
        <w:tab/>
      </w:r>
      <w:r w:rsidRPr="00F17C54">
        <w:rPr>
          <w:rFonts w:ascii="SimSun" w:hAnsi="SimSun" w:hint="eastAsia"/>
          <w:color w:val="000000"/>
          <w:lang w:eastAsia="zh-CN"/>
        </w:rPr>
        <w:t>《</w:t>
      </w:r>
      <w:r w:rsidRPr="00F17C54">
        <w:rPr>
          <w:rFonts w:ascii="SimSun" w:hAnsi="SimSun" w:hint="eastAsia"/>
          <w:bCs/>
          <w:lang w:eastAsia="zh-CN"/>
        </w:rPr>
        <w:t>信息社会</w:t>
      </w:r>
      <w:r w:rsidRPr="00F17C54">
        <w:rPr>
          <w:rFonts w:ascii="SimSun" w:hAnsi="SimSun"/>
          <w:bCs/>
          <w:lang w:eastAsia="zh-CN"/>
        </w:rPr>
        <w:t>突尼斯议程</w:t>
      </w:r>
      <w:r w:rsidRPr="00F17C54">
        <w:rPr>
          <w:rFonts w:ascii="SimSun" w:hAnsi="SimSun" w:hint="eastAsia"/>
          <w:bCs/>
          <w:lang w:eastAsia="zh-CN"/>
        </w:rPr>
        <w:t>》</w:t>
      </w:r>
      <w:r w:rsidRPr="00E9015E">
        <w:rPr>
          <w:rFonts w:hint="eastAsia"/>
          <w:bCs/>
          <w:lang w:eastAsia="zh-CN"/>
        </w:rPr>
        <w:t>（</w:t>
      </w:r>
      <w:r w:rsidRPr="00E9015E">
        <w:rPr>
          <w:rFonts w:hint="eastAsia"/>
          <w:bCs/>
          <w:lang w:eastAsia="zh-CN"/>
        </w:rPr>
        <w:t>2005</w:t>
      </w:r>
      <w:r w:rsidRPr="00E9015E">
        <w:rPr>
          <w:rFonts w:hint="eastAsia"/>
          <w:bCs/>
          <w:lang w:eastAsia="zh-CN"/>
        </w:rPr>
        <w:t>年，突尼斯）第</w:t>
      </w:r>
      <w:r w:rsidRPr="00E9015E">
        <w:rPr>
          <w:rFonts w:hint="eastAsia"/>
          <w:bCs/>
          <w:lang w:eastAsia="zh-CN"/>
        </w:rPr>
        <w:t>68</w:t>
      </w:r>
      <w:r w:rsidRPr="00E9015E">
        <w:rPr>
          <w:rFonts w:hint="eastAsia"/>
          <w:bCs/>
          <w:lang w:eastAsia="zh-CN"/>
        </w:rPr>
        <w:t>段</w:t>
      </w:r>
      <w:r>
        <w:rPr>
          <w:bCs/>
          <w:lang w:eastAsia="zh-CN"/>
        </w:rPr>
        <w:t>认识到，在国际互联网</w:t>
      </w:r>
      <w:r>
        <w:rPr>
          <w:rFonts w:hint="eastAsia"/>
          <w:bCs/>
          <w:lang w:eastAsia="zh-CN"/>
        </w:rPr>
        <w:t>管</w:t>
      </w:r>
      <w:r w:rsidRPr="00E9015E">
        <w:rPr>
          <w:bCs/>
          <w:lang w:eastAsia="zh-CN"/>
        </w:rPr>
        <w:t>理和确保互联网的稳定</w:t>
      </w:r>
      <w:r>
        <w:rPr>
          <w:bCs/>
          <w:lang w:eastAsia="zh-CN"/>
        </w:rPr>
        <w:t>性、安全性和连贯性方面，各国政府均应平等发挥作用并履行职责，</w:t>
      </w:r>
      <w:r>
        <w:rPr>
          <w:rFonts w:hint="eastAsia"/>
          <w:bCs/>
          <w:lang w:eastAsia="zh-CN"/>
        </w:rPr>
        <w:t>同时还</w:t>
      </w:r>
      <w:r>
        <w:rPr>
          <w:bCs/>
          <w:lang w:eastAsia="zh-CN"/>
        </w:rPr>
        <w:t>认识到，各国政府需要与</w:t>
      </w:r>
      <w:r>
        <w:rPr>
          <w:rFonts w:hint="eastAsia"/>
          <w:bCs/>
          <w:lang w:eastAsia="zh-CN"/>
        </w:rPr>
        <w:t>所有</w:t>
      </w:r>
      <w:r>
        <w:rPr>
          <w:bCs/>
          <w:lang w:eastAsia="zh-CN"/>
        </w:rPr>
        <w:t>利益</w:t>
      </w:r>
      <w:r>
        <w:rPr>
          <w:rFonts w:hint="eastAsia"/>
          <w:bCs/>
          <w:lang w:eastAsia="zh-CN"/>
        </w:rPr>
        <w:t>攸</w:t>
      </w:r>
      <w:r w:rsidRPr="00E9015E">
        <w:rPr>
          <w:bCs/>
          <w:lang w:eastAsia="zh-CN"/>
        </w:rPr>
        <w:t>关方协商</w:t>
      </w:r>
      <w:r>
        <w:rPr>
          <w:bCs/>
          <w:lang w:eastAsia="zh-CN"/>
        </w:rPr>
        <w:t>，</w:t>
      </w:r>
      <w:r w:rsidRPr="00E9015E">
        <w:rPr>
          <w:bCs/>
          <w:lang w:eastAsia="zh-CN"/>
        </w:rPr>
        <w:t>制定公共政策</w:t>
      </w:r>
      <w:r>
        <w:rPr>
          <w:rFonts w:hint="eastAsia"/>
          <w:bCs/>
          <w:lang w:eastAsia="zh-CN"/>
        </w:rPr>
        <w:t>；</w:t>
      </w:r>
    </w:p>
    <w:p w14:paraId="4827B319" w14:textId="77777777" w:rsidR="008877DC" w:rsidRDefault="008877DC" w:rsidP="008877DC">
      <w:pPr>
        <w:rPr>
          <w:lang w:eastAsia="zh-CN"/>
        </w:rPr>
      </w:pPr>
      <w:r w:rsidRPr="005114E2">
        <w:rPr>
          <w:rFonts w:hint="eastAsia"/>
          <w:i/>
          <w:iCs/>
          <w:lang w:eastAsia="zh-CN"/>
        </w:rPr>
        <w:t>c)</w:t>
      </w:r>
      <w:r>
        <w:rPr>
          <w:rFonts w:hint="eastAsia"/>
          <w:lang w:eastAsia="zh-CN"/>
        </w:rPr>
        <w:tab/>
      </w:r>
      <w:r w:rsidRPr="00F17C54">
        <w:rPr>
          <w:rFonts w:ascii="SimSun" w:hAnsi="SimSun" w:hint="eastAsia"/>
          <w:lang w:eastAsia="zh-CN"/>
        </w:rPr>
        <w:t>《</w:t>
      </w:r>
      <w:r w:rsidRPr="00F17C54">
        <w:rPr>
          <w:rFonts w:ascii="SimSun" w:hAnsi="SimSun"/>
          <w:lang w:eastAsia="zh-CN"/>
        </w:rPr>
        <w:t>信息社会突尼斯议程</w:t>
      </w:r>
      <w:r w:rsidRPr="00F17C54">
        <w:rPr>
          <w:rFonts w:ascii="SimSun" w:hAnsi="SimSun" w:hint="eastAsia"/>
          <w:lang w:eastAsia="zh-CN"/>
        </w:rPr>
        <w:t>》</w:t>
      </w:r>
      <w:r w:rsidRPr="00996EAB">
        <w:rPr>
          <w:rFonts w:hAnsi="SimSun"/>
          <w:lang w:eastAsia="zh-CN"/>
        </w:rPr>
        <w:t>第</w:t>
      </w:r>
      <w:r w:rsidRPr="00996EAB">
        <w:rPr>
          <w:lang w:eastAsia="zh-CN"/>
        </w:rPr>
        <w:t>6</w:t>
      </w:r>
      <w:r>
        <w:rPr>
          <w:rFonts w:hint="eastAsia"/>
          <w:lang w:eastAsia="zh-CN"/>
        </w:rPr>
        <w:t>3</w:t>
      </w:r>
      <w:r w:rsidRPr="00996EAB">
        <w:rPr>
          <w:rFonts w:hAnsi="SimSun"/>
          <w:lang w:eastAsia="zh-CN"/>
        </w:rPr>
        <w:t>段</w:t>
      </w:r>
      <w:r>
        <w:rPr>
          <w:rFonts w:hAnsi="SimSun" w:hint="eastAsia"/>
          <w:lang w:eastAsia="zh-CN"/>
        </w:rPr>
        <w:t>指出，各</w:t>
      </w:r>
      <w:r w:rsidRPr="00996EAB">
        <w:rPr>
          <w:lang w:eastAsia="zh-CN"/>
        </w:rPr>
        <w:t>国不应该</w:t>
      </w:r>
      <w:r>
        <w:rPr>
          <w:rFonts w:hint="eastAsia"/>
          <w:lang w:eastAsia="zh-CN"/>
        </w:rPr>
        <w:t>介入与</w:t>
      </w:r>
      <w:r w:rsidRPr="00996EAB">
        <w:rPr>
          <w:lang w:eastAsia="zh-CN"/>
        </w:rPr>
        <w:t>另一个国家的国家代码顶级域名（</w:t>
      </w:r>
      <w:r w:rsidRPr="00996EAB">
        <w:rPr>
          <w:lang w:eastAsia="zh-CN"/>
        </w:rPr>
        <w:t>ccTLD</w:t>
      </w:r>
      <w:r w:rsidRPr="00996EAB">
        <w:rPr>
          <w:lang w:eastAsia="zh-CN"/>
        </w:rPr>
        <w:t>）有关的决策</w:t>
      </w:r>
      <w:r>
        <w:rPr>
          <w:lang w:eastAsia="zh-CN"/>
        </w:rPr>
        <w:t>，</w:t>
      </w:r>
      <w:r>
        <w:rPr>
          <w:rFonts w:hint="eastAsia"/>
          <w:lang w:eastAsia="zh-CN"/>
        </w:rPr>
        <w:t>因为</w:t>
      </w:r>
      <w:r w:rsidRPr="00996EAB">
        <w:rPr>
          <w:lang w:eastAsia="zh-CN"/>
        </w:rPr>
        <w:t>每个国家在影响其</w:t>
      </w:r>
      <w:r w:rsidRPr="00996EAB">
        <w:rPr>
          <w:lang w:eastAsia="zh-CN"/>
        </w:rPr>
        <w:t>ccTLD</w:t>
      </w:r>
      <w:r w:rsidRPr="00996EAB">
        <w:rPr>
          <w:lang w:eastAsia="zh-CN"/>
        </w:rPr>
        <w:t>决策方面以各种方式表达和</w:t>
      </w:r>
      <w:r w:rsidRPr="00544039">
        <w:rPr>
          <w:lang w:eastAsia="zh-CN"/>
        </w:rPr>
        <w:t>确定的合法利益均需通过一个灵活</w:t>
      </w:r>
      <w:r>
        <w:rPr>
          <w:rFonts w:hint="eastAsia"/>
          <w:lang w:eastAsia="zh-CN"/>
        </w:rPr>
        <w:t>且</w:t>
      </w:r>
      <w:r w:rsidRPr="00544039">
        <w:rPr>
          <w:lang w:eastAsia="zh-CN"/>
        </w:rPr>
        <w:t>经</w:t>
      </w:r>
      <w:r>
        <w:rPr>
          <w:rFonts w:hint="eastAsia"/>
          <w:lang w:eastAsia="zh-CN"/>
        </w:rPr>
        <w:t>完</w:t>
      </w:r>
      <w:r w:rsidRPr="00544039">
        <w:rPr>
          <w:lang w:eastAsia="zh-CN"/>
        </w:rPr>
        <w:t>善的框架得到尊重、维护和解决</w:t>
      </w:r>
      <w:r>
        <w:rPr>
          <w:rFonts w:hint="eastAsia"/>
          <w:lang w:eastAsia="zh-CN"/>
        </w:rPr>
        <w:t>；</w:t>
      </w:r>
    </w:p>
    <w:p w14:paraId="4827B31A" w14:textId="77777777" w:rsidR="008877DC" w:rsidRDefault="008877DC" w:rsidP="008877DC">
      <w:pPr>
        <w:rPr>
          <w:lang w:eastAsia="zh-CN"/>
        </w:rPr>
      </w:pPr>
      <w:r w:rsidRPr="005114E2">
        <w:rPr>
          <w:rFonts w:hint="eastAsia"/>
          <w:i/>
          <w:iCs/>
          <w:lang w:eastAsia="zh-CN"/>
        </w:rPr>
        <w:t>d)</w:t>
      </w:r>
      <w:r>
        <w:rPr>
          <w:rFonts w:hint="eastAsia"/>
          <w:lang w:eastAsia="zh-CN"/>
        </w:rPr>
        <w:tab/>
      </w:r>
      <w:r w:rsidRPr="00F17C54">
        <w:rPr>
          <w:rFonts w:ascii="SimSun" w:hAnsi="SimSun" w:hint="eastAsia"/>
          <w:lang w:eastAsia="zh-CN"/>
        </w:rPr>
        <w:t>《</w:t>
      </w:r>
      <w:r w:rsidRPr="00F17C54">
        <w:rPr>
          <w:rFonts w:ascii="SimSun" w:hAnsi="SimSun"/>
          <w:lang w:eastAsia="zh-CN"/>
        </w:rPr>
        <w:t>信息社会突尼斯议程</w:t>
      </w:r>
      <w:r w:rsidRPr="00F17C54">
        <w:rPr>
          <w:rFonts w:ascii="SimSun" w:hAnsi="SimSun" w:hint="eastAsia"/>
          <w:lang w:eastAsia="zh-CN"/>
        </w:rPr>
        <w:t>》</w:t>
      </w:r>
      <w:r w:rsidRPr="00996EAB">
        <w:rPr>
          <w:rFonts w:hAnsi="SimSun"/>
          <w:lang w:eastAsia="zh-CN"/>
        </w:rPr>
        <w:t>第</w:t>
      </w:r>
      <w:r w:rsidRPr="00996EAB">
        <w:rPr>
          <w:lang w:eastAsia="zh-CN"/>
        </w:rPr>
        <w:t>6</w:t>
      </w:r>
      <w:r>
        <w:rPr>
          <w:rFonts w:hint="eastAsia"/>
          <w:lang w:eastAsia="zh-CN"/>
        </w:rPr>
        <w:t>5</w:t>
      </w:r>
      <w:r w:rsidRPr="00996EAB">
        <w:rPr>
          <w:rFonts w:hAnsi="SimSun"/>
          <w:lang w:eastAsia="zh-CN"/>
        </w:rPr>
        <w:t>段</w:t>
      </w:r>
      <w:r w:rsidRPr="00D04EAE">
        <w:rPr>
          <w:lang w:eastAsia="zh-CN"/>
        </w:rPr>
        <w:t>强调，</w:t>
      </w:r>
      <w:r>
        <w:rPr>
          <w:rFonts w:hint="eastAsia"/>
          <w:lang w:eastAsia="zh-CN"/>
        </w:rPr>
        <w:t>有必要</w:t>
      </w:r>
      <w:r w:rsidRPr="00D04EAE">
        <w:rPr>
          <w:lang w:eastAsia="zh-CN"/>
        </w:rPr>
        <w:t>让发展中国家最大限度地参与有关互联网</w:t>
      </w:r>
      <w:r>
        <w:rPr>
          <w:rFonts w:hint="eastAsia"/>
          <w:lang w:eastAsia="zh-CN"/>
        </w:rPr>
        <w:t>治理</w:t>
      </w:r>
      <w:r w:rsidRPr="00D04EAE">
        <w:rPr>
          <w:lang w:eastAsia="zh-CN"/>
        </w:rPr>
        <w:t>的决策过程（</w:t>
      </w:r>
      <w:r>
        <w:rPr>
          <w:rFonts w:hint="eastAsia"/>
          <w:lang w:eastAsia="zh-CN"/>
        </w:rPr>
        <w:t>以反映其</w:t>
      </w:r>
      <w:r w:rsidRPr="00D04EAE">
        <w:rPr>
          <w:lang w:eastAsia="zh-CN"/>
        </w:rPr>
        <w:t>利益）并参与发展和能力建设过程</w:t>
      </w:r>
      <w:r>
        <w:rPr>
          <w:rFonts w:hint="eastAsia"/>
          <w:lang w:eastAsia="zh-CN"/>
        </w:rPr>
        <w:t>；</w:t>
      </w:r>
    </w:p>
    <w:p w14:paraId="4827B31B" w14:textId="77777777" w:rsidR="008877DC" w:rsidRDefault="008877DC" w:rsidP="008877DC">
      <w:pPr>
        <w:rPr>
          <w:lang w:eastAsia="zh-CN"/>
        </w:rPr>
      </w:pPr>
      <w:r w:rsidRPr="005114E2">
        <w:rPr>
          <w:rFonts w:hint="eastAsia"/>
          <w:i/>
          <w:iCs/>
          <w:lang w:eastAsia="zh-CN"/>
        </w:rPr>
        <w:t>e)</w:t>
      </w:r>
      <w:r>
        <w:rPr>
          <w:rFonts w:hint="eastAsia"/>
          <w:lang w:eastAsia="zh-CN"/>
        </w:rPr>
        <w:tab/>
      </w:r>
      <w:r w:rsidRPr="00F17C54">
        <w:rPr>
          <w:rFonts w:ascii="SimSun" w:hAnsi="SimSun" w:hint="eastAsia"/>
          <w:lang w:eastAsia="zh-CN"/>
        </w:rPr>
        <w:t>《</w:t>
      </w:r>
      <w:r w:rsidRPr="00F17C54">
        <w:rPr>
          <w:rFonts w:ascii="SimSun" w:hAnsi="SimSun"/>
          <w:lang w:eastAsia="zh-CN"/>
        </w:rPr>
        <w:t>信息社会突尼斯议程</w:t>
      </w:r>
      <w:r w:rsidRPr="00F17C54">
        <w:rPr>
          <w:rFonts w:ascii="SimSun" w:hAnsi="SimSun" w:hint="eastAsia"/>
          <w:lang w:eastAsia="zh-CN"/>
        </w:rPr>
        <w:t>》</w:t>
      </w:r>
      <w:r w:rsidRPr="00996EAB">
        <w:rPr>
          <w:rFonts w:hAnsi="SimSun"/>
          <w:lang w:eastAsia="zh-CN"/>
        </w:rPr>
        <w:t>第</w:t>
      </w:r>
      <w:r w:rsidRPr="00996EAB">
        <w:rPr>
          <w:lang w:eastAsia="zh-CN"/>
        </w:rPr>
        <w:t>6</w:t>
      </w:r>
      <w:r>
        <w:rPr>
          <w:rFonts w:hint="eastAsia"/>
          <w:lang w:eastAsia="zh-CN"/>
        </w:rPr>
        <w:t>9</w:t>
      </w:r>
      <w:r w:rsidRPr="00996EAB">
        <w:rPr>
          <w:rFonts w:hAnsi="SimSun"/>
          <w:lang w:eastAsia="zh-CN"/>
        </w:rPr>
        <w:t>段</w:t>
      </w:r>
      <w:r w:rsidRPr="00D04EAE">
        <w:rPr>
          <w:lang w:eastAsia="zh-CN"/>
        </w:rPr>
        <w:t>强调</w:t>
      </w:r>
      <w:r>
        <w:rPr>
          <w:lang w:eastAsia="zh-CN"/>
        </w:rPr>
        <w:t>，</w:t>
      </w:r>
      <w:r>
        <w:rPr>
          <w:rFonts w:hint="eastAsia"/>
          <w:lang w:eastAsia="zh-CN"/>
        </w:rPr>
        <w:t>有必要</w:t>
      </w:r>
      <w:r w:rsidRPr="00202788">
        <w:rPr>
          <w:lang w:eastAsia="zh-CN"/>
        </w:rPr>
        <w:t>加强未来合作，使各国政府在互联网</w:t>
      </w:r>
      <w:r>
        <w:rPr>
          <w:rFonts w:hint="eastAsia"/>
          <w:lang w:eastAsia="zh-CN"/>
        </w:rPr>
        <w:t>相关</w:t>
      </w:r>
      <w:r w:rsidRPr="00202788">
        <w:rPr>
          <w:lang w:eastAsia="zh-CN"/>
        </w:rPr>
        <w:t>国际公共政策问题上（而不是在日常的技术和操作</w:t>
      </w:r>
      <w:r>
        <w:rPr>
          <w:rFonts w:hint="eastAsia"/>
          <w:lang w:eastAsia="zh-CN"/>
        </w:rPr>
        <w:t>事项方面</w:t>
      </w:r>
      <w:r w:rsidRPr="00202788">
        <w:rPr>
          <w:lang w:eastAsia="zh-CN"/>
        </w:rPr>
        <w:t>）平等发挥作用并履行职责，且不因此影响国际公共政策问题</w:t>
      </w:r>
      <w:r>
        <w:rPr>
          <w:rFonts w:hint="eastAsia"/>
          <w:lang w:eastAsia="zh-CN"/>
        </w:rPr>
        <w:t>，</w:t>
      </w:r>
    </w:p>
    <w:p w14:paraId="4827B31C" w14:textId="77777777" w:rsidR="008877DC" w:rsidRPr="005F2981" w:rsidRDefault="008877DC" w:rsidP="008877DC">
      <w:pPr>
        <w:pStyle w:val="Call"/>
        <w:rPr>
          <w:lang w:eastAsia="zh-CN"/>
        </w:rPr>
      </w:pPr>
      <w:r w:rsidRPr="00166A27">
        <w:rPr>
          <w:rFonts w:hint="eastAsia"/>
          <w:lang w:eastAsia="zh-CN"/>
        </w:rPr>
        <w:t>请成员国</w:t>
      </w:r>
    </w:p>
    <w:p w14:paraId="4827B31D" w14:textId="77777777" w:rsidR="008877DC" w:rsidRPr="00136328" w:rsidRDefault="008877DC" w:rsidP="008877DC">
      <w:pPr>
        <w:rPr>
          <w:lang w:eastAsia="zh-CN"/>
        </w:rPr>
      </w:pPr>
      <w:r>
        <w:rPr>
          <w:lang w:val="en-US" w:eastAsia="zh-CN"/>
        </w:rPr>
        <w:t>1</w:t>
      </w:r>
      <w:r>
        <w:rPr>
          <w:lang w:val="en-US" w:eastAsia="zh-CN"/>
        </w:rPr>
        <w:tab/>
      </w:r>
      <w:r>
        <w:rPr>
          <w:rFonts w:hint="eastAsia"/>
          <w:lang w:val="en-US" w:eastAsia="zh-CN"/>
        </w:rPr>
        <w:t>认识到附件</w:t>
      </w:r>
      <w:r>
        <w:rPr>
          <w:rFonts w:hint="eastAsia"/>
          <w:lang w:val="en-US" w:eastAsia="zh-CN"/>
        </w:rPr>
        <w:t>1</w:t>
      </w:r>
      <w:r>
        <w:rPr>
          <w:rFonts w:hint="eastAsia"/>
          <w:lang w:val="en-US" w:eastAsia="zh-CN"/>
        </w:rPr>
        <w:t>中议题清单所代表的国际电联在国际互联网公共政策问题方面的工作范围，该清单根据国际电联成员在全权代表大会、理事会和世界性大会上做出的决定而制定</w:t>
      </w:r>
      <w:r>
        <w:rPr>
          <w:rFonts w:hint="eastAsia"/>
          <w:lang w:eastAsia="zh-CN"/>
        </w:rPr>
        <w:t>；</w:t>
      </w:r>
    </w:p>
    <w:p w14:paraId="4827B31E" w14:textId="77777777" w:rsidR="008877DC" w:rsidRDefault="008877DC" w:rsidP="008877DC">
      <w:pPr>
        <w:rPr>
          <w:lang w:val="en-US" w:eastAsia="zh-CN"/>
        </w:rPr>
      </w:pPr>
      <w:r>
        <w:rPr>
          <w:lang w:val="en-US" w:eastAsia="zh-CN"/>
        </w:rPr>
        <w:t>2</w:t>
      </w:r>
      <w:r>
        <w:rPr>
          <w:lang w:val="en-US" w:eastAsia="zh-CN"/>
        </w:rPr>
        <w:tab/>
      </w:r>
      <w:r>
        <w:rPr>
          <w:rFonts w:hint="eastAsia"/>
          <w:lang w:val="en-US" w:eastAsia="zh-CN"/>
        </w:rPr>
        <w:t>详尽阐述各自对上述</w:t>
      </w:r>
      <w:r w:rsidRPr="0060497A">
        <w:rPr>
          <w:rFonts w:eastAsia="STKaiti" w:hint="eastAsia"/>
          <w:lang w:eastAsia="zh-CN"/>
        </w:rPr>
        <w:t>请成员国</w:t>
      </w:r>
      <w:r>
        <w:rPr>
          <w:rFonts w:eastAsia="STKaiti"/>
          <w:lang w:val="en-US" w:eastAsia="zh-CN"/>
        </w:rPr>
        <w:t>1</w:t>
      </w:r>
      <w:r>
        <w:rPr>
          <w:rFonts w:hint="eastAsia"/>
          <w:lang w:eastAsia="zh-CN"/>
        </w:rPr>
        <w:t>中所引述的每一个</w:t>
      </w:r>
      <w:r>
        <w:rPr>
          <w:rFonts w:hint="eastAsia"/>
          <w:lang w:val="en-US" w:eastAsia="zh-CN"/>
        </w:rPr>
        <w:t>国际互联网相关公共政策问题的立场，并且</w:t>
      </w:r>
      <w:r>
        <w:rPr>
          <w:rFonts w:hint="eastAsia"/>
          <w:bCs/>
          <w:lang w:eastAsia="zh-CN"/>
        </w:rPr>
        <w:t>针对</w:t>
      </w:r>
      <w:r>
        <w:rPr>
          <w:rFonts w:hint="eastAsia"/>
          <w:lang w:val="en-US" w:eastAsia="zh-CN"/>
        </w:rPr>
        <w:t>国际电联在</w:t>
      </w:r>
      <w:r>
        <w:rPr>
          <w:rFonts w:hint="eastAsia"/>
          <w:bCs/>
          <w:lang w:eastAsia="zh-CN"/>
        </w:rPr>
        <w:t>这些问题方面</w:t>
      </w:r>
      <w:r>
        <w:rPr>
          <w:rFonts w:hint="eastAsia"/>
          <w:lang w:val="en-US" w:eastAsia="zh-CN"/>
        </w:rPr>
        <w:t>的工作积极提交文稿，积极在这些方面为国际电联出谋划策，</w:t>
      </w:r>
    </w:p>
    <w:p w14:paraId="4827B31F" w14:textId="77777777" w:rsidR="008877DC" w:rsidRPr="005F2981" w:rsidRDefault="008877DC" w:rsidP="008877DC">
      <w:pPr>
        <w:pStyle w:val="Call"/>
        <w:rPr>
          <w:lang w:eastAsia="zh-CN"/>
        </w:rPr>
      </w:pPr>
      <w:r w:rsidRPr="00166A27">
        <w:rPr>
          <w:rFonts w:hint="eastAsia"/>
          <w:lang w:eastAsia="zh-CN"/>
        </w:rPr>
        <w:t>责成秘书长</w:t>
      </w:r>
    </w:p>
    <w:p w14:paraId="4827B320" w14:textId="77777777" w:rsidR="008877DC" w:rsidRPr="0010720A" w:rsidRDefault="008877DC" w:rsidP="008877DC">
      <w:pPr>
        <w:rPr>
          <w:lang w:eastAsia="zh-CN"/>
        </w:rPr>
      </w:pPr>
      <w:r w:rsidRPr="0010720A">
        <w:rPr>
          <w:rFonts w:hint="eastAsia"/>
          <w:lang w:eastAsia="zh-CN"/>
        </w:rPr>
        <w:t>1</w:t>
      </w:r>
      <w:r w:rsidRPr="0010720A">
        <w:rPr>
          <w:rFonts w:hint="eastAsia"/>
          <w:lang w:eastAsia="zh-CN"/>
        </w:rPr>
        <w:tab/>
      </w:r>
      <w:r w:rsidRPr="00447E6A">
        <w:rPr>
          <w:rFonts w:hint="eastAsia"/>
          <w:lang w:val="en-US" w:eastAsia="zh-CN"/>
        </w:rPr>
        <w:t>在现有预算资源范围内提供必要的支持</w:t>
      </w:r>
      <w:r w:rsidRPr="0010720A">
        <w:rPr>
          <w:rFonts w:hint="eastAsia"/>
          <w:lang w:eastAsia="zh-CN"/>
        </w:rPr>
        <w:t>，</w:t>
      </w:r>
      <w:r>
        <w:rPr>
          <w:rFonts w:hint="eastAsia"/>
          <w:lang w:eastAsia="zh-CN"/>
        </w:rPr>
        <w:t>以</w:t>
      </w:r>
      <w:r w:rsidRPr="0010720A">
        <w:rPr>
          <w:rFonts w:hint="eastAsia"/>
          <w:lang w:eastAsia="zh-CN"/>
        </w:rPr>
        <w:t>确保</w:t>
      </w:r>
      <w:r w:rsidRPr="008C306C">
        <w:rPr>
          <w:rFonts w:eastAsia="STKaiti" w:hint="eastAsia"/>
          <w:lang w:eastAsia="zh-CN"/>
        </w:rPr>
        <w:t>国际互联网公共政策问题专门组</w:t>
      </w:r>
      <w:r w:rsidRPr="0010720A">
        <w:rPr>
          <w:rFonts w:hint="eastAsia"/>
          <w:lang w:eastAsia="zh-CN"/>
        </w:rPr>
        <w:t>作为</w:t>
      </w:r>
      <w:r w:rsidRPr="008C306C">
        <w:rPr>
          <w:rFonts w:eastAsia="STKaiti"/>
          <w:lang w:eastAsia="zh-CN"/>
        </w:rPr>
        <w:t>WG-WSIS</w:t>
      </w:r>
      <w:r w:rsidRPr="0010720A">
        <w:rPr>
          <w:rFonts w:hint="eastAsia"/>
          <w:lang w:eastAsia="zh-CN"/>
        </w:rPr>
        <w:t>的一个组成部分，成功开展其工作；</w:t>
      </w:r>
    </w:p>
    <w:p w14:paraId="4827B321" w14:textId="77777777" w:rsidR="003C22D4" w:rsidRDefault="003C22D4">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322" w14:textId="77777777" w:rsidR="008877DC" w:rsidRPr="0010720A" w:rsidRDefault="008877DC" w:rsidP="008877DC">
      <w:pPr>
        <w:rPr>
          <w:lang w:eastAsia="zh-CN"/>
        </w:rPr>
      </w:pPr>
      <w:r w:rsidRPr="0010720A">
        <w:rPr>
          <w:rFonts w:hint="eastAsia"/>
          <w:lang w:eastAsia="zh-CN"/>
        </w:rPr>
        <w:lastRenderedPageBreak/>
        <w:t>2</w:t>
      </w:r>
      <w:r w:rsidRPr="0010720A">
        <w:rPr>
          <w:rFonts w:hint="eastAsia"/>
          <w:lang w:eastAsia="zh-CN"/>
        </w:rPr>
        <w:tab/>
      </w:r>
      <w:r w:rsidRPr="00447E6A">
        <w:rPr>
          <w:rFonts w:hint="eastAsia"/>
          <w:lang w:eastAsia="zh-CN"/>
        </w:rPr>
        <w:t>酌情向</w:t>
      </w:r>
      <w:r>
        <w:rPr>
          <w:rFonts w:hint="eastAsia"/>
          <w:lang w:eastAsia="zh-CN"/>
        </w:rPr>
        <w:t>所有</w:t>
      </w:r>
      <w:r w:rsidRPr="00447E6A">
        <w:rPr>
          <w:rFonts w:hint="eastAsia"/>
          <w:lang w:eastAsia="zh-CN"/>
        </w:rPr>
        <w:t>积极参与此</w:t>
      </w:r>
      <w:r>
        <w:rPr>
          <w:rFonts w:hint="eastAsia"/>
          <w:lang w:eastAsia="zh-CN"/>
        </w:rPr>
        <w:t>类</w:t>
      </w:r>
      <w:r w:rsidRPr="00447E6A">
        <w:rPr>
          <w:rFonts w:hint="eastAsia"/>
          <w:lang w:eastAsia="zh-CN"/>
        </w:rPr>
        <w:t>工作的</w:t>
      </w:r>
      <w:r>
        <w:rPr>
          <w:rFonts w:hint="eastAsia"/>
          <w:lang w:eastAsia="zh-CN"/>
        </w:rPr>
        <w:t>相关国际组织和</w:t>
      </w:r>
      <w:r w:rsidRPr="00447E6A">
        <w:rPr>
          <w:rFonts w:hint="eastAsia"/>
          <w:lang w:eastAsia="zh-CN"/>
        </w:rPr>
        <w:t>利益攸关方传播</w:t>
      </w:r>
      <w:r w:rsidRPr="00F15141">
        <w:rPr>
          <w:rFonts w:ascii="STKaiti" w:eastAsia="STKaiti" w:hAnsi="STKaiti" w:hint="eastAsia"/>
          <w:lang w:eastAsia="zh-CN"/>
        </w:rPr>
        <w:t>国际互联</w:t>
      </w:r>
      <w:r>
        <w:rPr>
          <w:rFonts w:ascii="STKaiti" w:eastAsia="STKaiti" w:hAnsi="STKaiti" w:hint="eastAsia"/>
          <w:lang w:eastAsia="zh-CN"/>
        </w:rPr>
        <w:t>网公共政策问题专门</w:t>
      </w:r>
      <w:r w:rsidRPr="00F15141">
        <w:rPr>
          <w:rFonts w:ascii="STKaiti" w:eastAsia="STKaiti" w:hAnsi="STKaiti" w:hint="eastAsia"/>
          <w:lang w:eastAsia="zh-CN"/>
        </w:rPr>
        <w:t>组</w:t>
      </w:r>
      <w:r w:rsidRPr="00447E6A">
        <w:rPr>
          <w:rFonts w:hint="eastAsia"/>
          <w:lang w:eastAsia="zh-CN"/>
        </w:rPr>
        <w:t>的报告</w:t>
      </w:r>
      <w:r w:rsidRPr="0010720A">
        <w:rPr>
          <w:rFonts w:hint="eastAsia"/>
          <w:lang w:eastAsia="zh-CN"/>
        </w:rPr>
        <w:t>，供其在决策</w:t>
      </w:r>
      <w:r>
        <w:rPr>
          <w:rFonts w:hint="eastAsia"/>
          <w:lang w:eastAsia="zh-CN"/>
        </w:rPr>
        <w:t>进程</w:t>
      </w:r>
      <w:r w:rsidRPr="0010720A">
        <w:rPr>
          <w:rFonts w:hint="eastAsia"/>
          <w:lang w:eastAsia="zh-CN"/>
        </w:rPr>
        <w:t>中审议；</w:t>
      </w:r>
    </w:p>
    <w:p w14:paraId="4827B323" w14:textId="77777777" w:rsidR="008877DC" w:rsidRDefault="008877DC" w:rsidP="008877DC">
      <w:pPr>
        <w:rPr>
          <w:lang w:eastAsia="zh-CN"/>
        </w:rPr>
      </w:pPr>
      <w:r w:rsidRPr="0010720A">
        <w:rPr>
          <w:rFonts w:hint="eastAsia"/>
          <w:lang w:eastAsia="zh-CN"/>
        </w:rPr>
        <w:t>3</w:t>
      </w:r>
      <w:r w:rsidRPr="0010720A">
        <w:rPr>
          <w:rFonts w:hint="eastAsia"/>
          <w:lang w:eastAsia="zh-CN"/>
        </w:rPr>
        <w:tab/>
      </w:r>
      <w:r w:rsidRPr="00447E6A">
        <w:rPr>
          <w:rFonts w:hint="eastAsia"/>
          <w:lang w:eastAsia="zh-CN"/>
        </w:rPr>
        <w:t>每年向理事会报告</w:t>
      </w:r>
      <w:r>
        <w:rPr>
          <w:rFonts w:hint="eastAsia"/>
          <w:lang w:eastAsia="zh-CN"/>
        </w:rPr>
        <w:t>针对</w:t>
      </w:r>
      <w:r w:rsidRPr="00447E6A">
        <w:rPr>
          <w:rFonts w:hint="eastAsia"/>
          <w:lang w:eastAsia="zh-CN"/>
        </w:rPr>
        <w:t>这些</w:t>
      </w:r>
      <w:r>
        <w:rPr>
          <w:rFonts w:hint="eastAsia"/>
          <w:lang w:eastAsia="zh-CN"/>
        </w:rPr>
        <w:t>议题所</w:t>
      </w:r>
      <w:r w:rsidRPr="00447E6A">
        <w:rPr>
          <w:rFonts w:hint="eastAsia"/>
          <w:lang w:eastAsia="zh-CN"/>
        </w:rPr>
        <w:t>开展的工作</w:t>
      </w:r>
      <w:r w:rsidRPr="0010720A">
        <w:rPr>
          <w:rFonts w:hint="eastAsia"/>
          <w:lang w:eastAsia="zh-CN"/>
        </w:rPr>
        <w:t>。</w:t>
      </w:r>
    </w:p>
    <w:p w14:paraId="4827B324" w14:textId="77777777" w:rsidR="008877DC" w:rsidRDefault="008877DC" w:rsidP="008877DC">
      <w:pPr>
        <w:spacing w:before="720"/>
        <w:rPr>
          <w:lang w:eastAsia="zh-CN"/>
        </w:rPr>
      </w:pPr>
      <w:r w:rsidRPr="001278F7">
        <w:rPr>
          <w:rFonts w:hint="eastAsia"/>
          <w:b/>
          <w:bCs/>
          <w:lang w:eastAsia="zh-CN"/>
        </w:rPr>
        <w:t>附件：</w:t>
      </w:r>
      <w:r w:rsidRPr="00364022">
        <w:rPr>
          <w:lang w:eastAsia="zh-CN"/>
        </w:rPr>
        <w:t>1</w:t>
      </w:r>
      <w:r w:rsidRPr="00364022">
        <w:rPr>
          <w:lang w:eastAsia="zh-CN"/>
        </w:rPr>
        <w:t>件</w:t>
      </w:r>
    </w:p>
    <w:p w14:paraId="4827B325" w14:textId="77777777" w:rsidR="008877DC" w:rsidRDefault="008877DC" w:rsidP="008877DC">
      <w:pPr>
        <w:pStyle w:val="AnnexNo"/>
        <w:spacing w:before="120" w:after="120"/>
        <w:rPr>
          <w:rFonts w:eastAsiaTheme="minorEastAsia" w:cstheme="minorHAnsi"/>
          <w:lang w:val="en-US" w:eastAsia="zh-CN"/>
        </w:rPr>
      </w:pPr>
      <w:bookmarkStart w:id="1658" w:name="_Toc531706980"/>
      <w:r w:rsidRPr="00150DD4">
        <w:rPr>
          <w:rFonts w:eastAsiaTheme="minorEastAsia" w:cstheme="minorHAnsi"/>
          <w:lang w:val="en-US" w:eastAsia="zh-CN"/>
        </w:rPr>
        <w:t>附件</w:t>
      </w:r>
      <w:bookmarkEnd w:id="1658"/>
    </w:p>
    <w:p w14:paraId="4827B326" w14:textId="77777777" w:rsidR="002B3014" w:rsidRPr="002B3014" w:rsidRDefault="002B3014" w:rsidP="002B3014">
      <w:pPr>
        <w:rPr>
          <w:lang w:val="en-US" w:eastAsia="zh-CN"/>
        </w:rPr>
      </w:pPr>
    </w:p>
    <w:tbl>
      <w:tblPr>
        <w:tblStyle w:val="TableGrid"/>
        <w:tblW w:w="9493" w:type="dxa"/>
        <w:tblLook w:val="01E0" w:firstRow="1" w:lastRow="1" w:firstColumn="1" w:lastColumn="1" w:noHBand="0" w:noVBand="0"/>
      </w:tblPr>
      <w:tblGrid>
        <w:gridCol w:w="541"/>
        <w:gridCol w:w="3070"/>
        <w:gridCol w:w="5882"/>
      </w:tblGrid>
      <w:tr w:rsidR="008877DC" w:rsidRPr="00356C82" w14:paraId="4827B32A" w14:textId="77777777" w:rsidTr="003C22D4">
        <w:trPr>
          <w:tblHeader/>
        </w:trPr>
        <w:tc>
          <w:tcPr>
            <w:tcW w:w="541" w:type="dxa"/>
            <w:shd w:val="clear" w:color="auto" w:fill="E0E0E0"/>
          </w:tcPr>
          <w:p w14:paraId="4827B327" w14:textId="77777777" w:rsidR="008877DC" w:rsidRPr="00356C82" w:rsidRDefault="008877DC" w:rsidP="00DE35A6">
            <w:pPr>
              <w:spacing w:before="40" w:after="40"/>
              <w:jc w:val="center"/>
              <w:rPr>
                <w:rFonts w:eastAsiaTheme="minorEastAsia" w:cstheme="minorHAnsi"/>
                <w:sz w:val="20"/>
              </w:rPr>
            </w:pPr>
          </w:p>
        </w:tc>
        <w:tc>
          <w:tcPr>
            <w:tcW w:w="3070" w:type="dxa"/>
            <w:shd w:val="clear" w:color="auto" w:fill="E0E0E0"/>
          </w:tcPr>
          <w:p w14:paraId="4827B328" w14:textId="77777777" w:rsidR="008877DC" w:rsidRPr="00356C82" w:rsidRDefault="008877DC" w:rsidP="00DE35A6">
            <w:pPr>
              <w:spacing w:before="40" w:after="40"/>
              <w:jc w:val="center"/>
              <w:rPr>
                <w:rFonts w:eastAsiaTheme="minorEastAsia" w:cstheme="minorHAnsi"/>
                <w:b/>
                <w:bCs/>
                <w:sz w:val="20"/>
              </w:rPr>
            </w:pPr>
            <w:r w:rsidRPr="00356C82">
              <w:rPr>
                <w:rFonts w:eastAsiaTheme="minorEastAsia" w:cstheme="minorHAnsi"/>
                <w:b/>
                <w:bCs/>
                <w:sz w:val="20"/>
              </w:rPr>
              <w:t>公共政策问题</w:t>
            </w:r>
          </w:p>
        </w:tc>
        <w:tc>
          <w:tcPr>
            <w:tcW w:w="5882" w:type="dxa"/>
            <w:shd w:val="clear" w:color="auto" w:fill="E0E0E0"/>
          </w:tcPr>
          <w:p w14:paraId="4827B329" w14:textId="77777777" w:rsidR="008877DC" w:rsidRPr="00356C82" w:rsidRDefault="008877DC" w:rsidP="00DE35A6">
            <w:pPr>
              <w:spacing w:before="40" w:after="40"/>
              <w:jc w:val="center"/>
              <w:rPr>
                <w:rFonts w:eastAsiaTheme="minorEastAsia" w:cstheme="minorHAnsi"/>
                <w:b/>
                <w:bCs/>
                <w:sz w:val="20"/>
                <w:lang w:eastAsia="zh-CN"/>
              </w:rPr>
            </w:pPr>
            <w:r w:rsidRPr="00356C82">
              <w:rPr>
                <w:rFonts w:eastAsiaTheme="minorEastAsia" w:cstheme="minorHAnsi"/>
                <w:b/>
                <w:bCs/>
                <w:sz w:val="20"/>
                <w:lang w:eastAsia="zh-CN"/>
              </w:rPr>
              <w:t>相关的国际电联职责范围</w:t>
            </w:r>
          </w:p>
        </w:tc>
      </w:tr>
      <w:tr w:rsidR="008877DC" w:rsidRPr="00150DD4" w14:paraId="4827B330" w14:textId="77777777" w:rsidTr="003C22D4">
        <w:trPr>
          <w:tblHeader/>
        </w:trPr>
        <w:tc>
          <w:tcPr>
            <w:tcW w:w="541" w:type="dxa"/>
          </w:tcPr>
          <w:p w14:paraId="4827B32B" w14:textId="77777777" w:rsidR="008877DC" w:rsidRPr="00150DD4" w:rsidRDefault="008877DC" w:rsidP="00DE35A6">
            <w:pPr>
              <w:pStyle w:val="Tabletext"/>
              <w:jc w:val="center"/>
              <w:rPr>
                <w:rFonts w:eastAsiaTheme="minorEastAsia" w:cstheme="minorHAnsi"/>
                <w:sz w:val="20"/>
              </w:rPr>
            </w:pPr>
            <w:r w:rsidRPr="00150DD4">
              <w:rPr>
                <w:rFonts w:eastAsiaTheme="minorEastAsia" w:cstheme="minorHAnsi"/>
                <w:sz w:val="20"/>
              </w:rPr>
              <w:t>1</w:t>
            </w:r>
          </w:p>
        </w:tc>
        <w:tc>
          <w:tcPr>
            <w:tcW w:w="3070" w:type="dxa"/>
          </w:tcPr>
          <w:p w14:paraId="4827B32C" w14:textId="77777777" w:rsidR="008877DC" w:rsidRPr="00150DD4" w:rsidRDefault="008877DC" w:rsidP="00DE35A6">
            <w:pPr>
              <w:pStyle w:val="NormalIndent"/>
              <w:tabs>
                <w:tab w:val="left" w:pos="213"/>
              </w:tabs>
              <w:spacing w:before="40" w:after="40"/>
              <w:ind w:left="57"/>
              <w:rPr>
                <w:rFonts w:eastAsiaTheme="minorEastAsia" w:cstheme="minorHAnsi"/>
                <w:sz w:val="20"/>
                <w:lang w:eastAsia="zh-CN"/>
              </w:rPr>
            </w:pPr>
            <w:r w:rsidRPr="00150DD4">
              <w:rPr>
                <w:rFonts w:eastAsiaTheme="minorEastAsia" w:cstheme="minorHAnsi"/>
                <w:sz w:val="20"/>
                <w:lang w:eastAsia="zh-CN"/>
              </w:rPr>
              <w:t>包括国际化（多语种）域名</w:t>
            </w:r>
            <w:r>
              <w:rPr>
                <w:rFonts w:eastAsiaTheme="minorEastAsia" w:cstheme="minorHAnsi" w:hint="eastAsia"/>
                <w:sz w:val="20"/>
                <w:lang w:eastAsia="zh-CN"/>
              </w:rPr>
              <w:t>在内的</w:t>
            </w:r>
            <w:r w:rsidRPr="00150DD4">
              <w:rPr>
                <w:rFonts w:eastAsiaTheme="minorEastAsia" w:cstheme="minorHAnsi"/>
                <w:sz w:val="20"/>
                <w:lang w:eastAsia="zh-CN"/>
              </w:rPr>
              <w:t>互联网</w:t>
            </w:r>
            <w:r>
              <w:rPr>
                <w:rFonts w:eastAsiaTheme="minorEastAsia" w:cstheme="minorHAnsi" w:hint="eastAsia"/>
                <w:sz w:val="20"/>
                <w:lang w:eastAsia="zh-CN"/>
              </w:rPr>
              <w:t>的</w:t>
            </w:r>
            <w:r w:rsidRPr="00150DD4">
              <w:rPr>
                <w:rFonts w:eastAsiaTheme="minorEastAsia" w:cstheme="minorHAnsi"/>
                <w:sz w:val="20"/>
                <w:lang w:eastAsia="zh-CN"/>
              </w:rPr>
              <w:t>多语</w:t>
            </w:r>
            <w:r>
              <w:rPr>
                <w:rFonts w:eastAsiaTheme="minorEastAsia" w:cstheme="minorHAnsi" w:hint="eastAsia"/>
                <w:sz w:val="20"/>
                <w:lang w:eastAsia="zh-CN"/>
              </w:rPr>
              <w:t>言化</w:t>
            </w:r>
          </w:p>
        </w:tc>
        <w:tc>
          <w:tcPr>
            <w:tcW w:w="5882" w:type="dxa"/>
          </w:tcPr>
          <w:p w14:paraId="4827B32D" w14:textId="77777777" w:rsidR="008877DC" w:rsidRPr="00150DD4" w:rsidRDefault="008877DC" w:rsidP="00DE35A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val="fr-CH" w:eastAsia="zh-CN"/>
              </w:rPr>
            </w:pPr>
            <w:r w:rsidRPr="00150DD4">
              <w:rPr>
                <w:rFonts w:eastAsiaTheme="minorEastAsia" w:cstheme="minorHAnsi"/>
                <w:sz w:val="20"/>
                <w:lang w:val="fr-FR" w:eastAsia="zh-CN"/>
              </w:rPr>
              <w:t>•</w:t>
            </w:r>
            <w:r w:rsidRPr="00150DD4">
              <w:rPr>
                <w:rFonts w:eastAsiaTheme="minorEastAsia" w:cstheme="minorHAnsi"/>
                <w:sz w:val="20"/>
                <w:lang w:val="fr-FR" w:eastAsia="zh-CN"/>
              </w:rPr>
              <w:tab/>
            </w:r>
            <w:hyperlink r:id="rId231" w:anchor="page=3" w:history="1">
              <w:r w:rsidRPr="0094280A">
                <w:rPr>
                  <w:rStyle w:val="Hyperlink"/>
                  <w:rFonts w:eastAsiaTheme="minorEastAsia" w:cstheme="minorHAnsi"/>
                  <w:sz w:val="20"/>
                  <w:lang w:eastAsia="zh-CN"/>
                </w:rPr>
                <w:t>PP</w:t>
              </w:r>
              <w:r w:rsidRPr="0094280A">
                <w:rPr>
                  <w:rStyle w:val="Hyperlink"/>
                  <w:rFonts w:eastAsiaTheme="minorEastAsia" w:cstheme="minorHAnsi"/>
                  <w:sz w:val="20"/>
                  <w:lang w:eastAsia="zh-CN"/>
                </w:rPr>
                <w:t>第</w:t>
              </w:r>
              <w:r w:rsidRPr="0094280A">
                <w:rPr>
                  <w:rStyle w:val="Hyperlink"/>
                  <w:rFonts w:eastAsiaTheme="minorEastAsia" w:cstheme="minorHAnsi"/>
                  <w:sz w:val="20"/>
                  <w:lang w:eastAsia="zh-CN"/>
                </w:rPr>
                <w:t>133</w:t>
              </w:r>
              <w:r w:rsidRPr="0094280A">
                <w:rPr>
                  <w:rStyle w:val="Hyperlink"/>
                  <w:rFonts w:eastAsiaTheme="minorEastAsia" w:cstheme="minorHAnsi"/>
                  <w:sz w:val="20"/>
                  <w:lang w:eastAsia="zh-CN"/>
                </w:rPr>
                <w:t>号决议</w:t>
              </w:r>
            </w:hyperlink>
            <w:r w:rsidRPr="00150DD4">
              <w:rPr>
                <w:rFonts w:eastAsiaTheme="minorEastAsia" w:cstheme="minorHAnsi"/>
                <w:sz w:val="20"/>
                <w:lang w:eastAsia="zh-CN"/>
              </w:rPr>
              <w:t>（</w:t>
            </w:r>
            <w:r w:rsidRPr="00150DD4">
              <w:rPr>
                <w:rFonts w:eastAsiaTheme="minorEastAsia" w:cstheme="minorHAnsi"/>
                <w:sz w:val="20"/>
                <w:lang w:eastAsia="zh-CN"/>
              </w:rPr>
              <w:t>2006</w:t>
            </w:r>
            <w:r w:rsidRPr="00150DD4">
              <w:rPr>
                <w:rFonts w:eastAsiaTheme="minorEastAsia" w:cstheme="minorHAnsi"/>
                <w:sz w:val="20"/>
                <w:lang w:eastAsia="zh-CN"/>
              </w:rPr>
              <w:t>年，安塔利亚，修订版）</w:t>
            </w:r>
          </w:p>
          <w:p w14:paraId="4827B32E" w14:textId="77777777" w:rsidR="008877DC" w:rsidRPr="00150DD4" w:rsidRDefault="008877DC" w:rsidP="00DE35A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val="fr-FR" w:eastAsia="zh-CN"/>
              </w:rPr>
            </w:pPr>
            <w:r w:rsidRPr="00150DD4">
              <w:rPr>
                <w:rFonts w:eastAsiaTheme="minorEastAsia" w:cstheme="minorHAnsi"/>
                <w:sz w:val="20"/>
                <w:lang w:val="fr-FR" w:eastAsia="zh-CN"/>
              </w:rPr>
              <w:t>•</w:t>
            </w:r>
            <w:r w:rsidRPr="00150DD4">
              <w:rPr>
                <w:rFonts w:eastAsiaTheme="minorEastAsia" w:cstheme="minorHAnsi"/>
                <w:sz w:val="20"/>
                <w:lang w:val="fr-FR" w:eastAsia="zh-CN"/>
              </w:rPr>
              <w:tab/>
            </w:r>
            <w:hyperlink r:id="rId232" w:anchor="page=3" w:history="1">
              <w:r w:rsidRPr="00150DD4">
                <w:rPr>
                  <w:rStyle w:val="Hyperlink"/>
                  <w:rFonts w:eastAsiaTheme="minorEastAsia" w:cstheme="minorHAnsi"/>
                  <w:sz w:val="20"/>
                  <w:lang w:eastAsia="zh-CN"/>
                </w:rPr>
                <w:t>WTSA</w:t>
              </w:r>
              <w:r w:rsidRPr="00150DD4">
                <w:rPr>
                  <w:rStyle w:val="Hyperlink"/>
                  <w:rFonts w:eastAsiaTheme="minorEastAsia" w:cstheme="minorHAnsi"/>
                  <w:sz w:val="20"/>
                  <w:lang w:eastAsia="zh-CN"/>
                </w:rPr>
                <w:t>第</w:t>
              </w:r>
              <w:r w:rsidRPr="00150DD4">
                <w:rPr>
                  <w:rStyle w:val="Hyperlink"/>
                  <w:rFonts w:eastAsiaTheme="minorEastAsia" w:cstheme="minorHAnsi"/>
                  <w:sz w:val="20"/>
                  <w:lang w:eastAsia="zh-CN"/>
                </w:rPr>
                <w:t>48</w:t>
              </w:r>
              <w:r w:rsidRPr="00150DD4">
                <w:rPr>
                  <w:rStyle w:val="Hyperlink"/>
                  <w:rFonts w:eastAsiaTheme="minorEastAsia" w:cstheme="minorHAnsi"/>
                  <w:sz w:val="20"/>
                  <w:lang w:eastAsia="zh-CN"/>
                </w:rPr>
                <w:t>号决议</w:t>
              </w:r>
            </w:hyperlink>
            <w:r w:rsidRPr="00150DD4">
              <w:rPr>
                <w:rFonts w:eastAsiaTheme="minorEastAsia" w:cstheme="minorHAnsi"/>
                <w:sz w:val="20"/>
                <w:lang w:eastAsia="zh-CN"/>
              </w:rPr>
              <w:t>（</w:t>
            </w:r>
            <w:r w:rsidRPr="00150DD4">
              <w:rPr>
                <w:rFonts w:eastAsiaTheme="minorEastAsia" w:cstheme="minorHAnsi"/>
                <w:sz w:val="20"/>
                <w:lang w:eastAsia="zh-CN"/>
              </w:rPr>
              <w:t>2008</w:t>
            </w:r>
            <w:r w:rsidRPr="00150DD4">
              <w:rPr>
                <w:rFonts w:eastAsiaTheme="minorEastAsia" w:cstheme="minorHAnsi"/>
                <w:sz w:val="20"/>
                <w:lang w:eastAsia="zh-CN"/>
              </w:rPr>
              <w:t>年，约翰内斯堡，修订版）</w:t>
            </w:r>
          </w:p>
          <w:p w14:paraId="4827B32F" w14:textId="77777777" w:rsidR="008877DC" w:rsidRPr="00150DD4" w:rsidRDefault="008877DC" w:rsidP="00DE35A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val="fr-FR" w:eastAsia="zh-CN"/>
              </w:rPr>
            </w:pPr>
            <w:r w:rsidRPr="00150DD4">
              <w:rPr>
                <w:rFonts w:eastAsiaTheme="minorEastAsia" w:cstheme="minorHAnsi"/>
                <w:sz w:val="20"/>
                <w:lang w:val="fr-FR" w:eastAsia="zh-CN"/>
              </w:rPr>
              <w:t>•</w:t>
            </w:r>
            <w:r w:rsidRPr="00150DD4">
              <w:rPr>
                <w:rFonts w:eastAsiaTheme="minorEastAsia" w:cstheme="minorHAnsi"/>
                <w:sz w:val="20"/>
                <w:lang w:val="fr-FR" w:eastAsia="zh-CN"/>
              </w:rPr>
              <w:tab/>
            </w:r>
            <w:hyperlink r:id="rId233" w:anchor="page=1" w:history="1">
              <w:r w:rsidRPr="00150DD4">
                <w:rPr>
                  <w:rStyle w:val="Hyperlink"/>
                  <w:rFonts w:eastAsiaTheme="minorEastAsia" w:cstheme="minorHAnsi"/>
                  <w:sz w:val="20"/>
                  <w:lang w:eastAsia="zh-CN"/>
                </w:rPr>
                <w:t>WTDC</w:t>
              </w:r>
              <w:r>
                <w:rPr>
                  <w:rStyle w:val="Hyperlink"/>
                  <w:rFonts w:eastAsiaTheme="minorEastAsia" w:cstheme="minorHAnsi" w:hint="eastAsia"/>
                  <w:sz w:val="20"/>
                  <w:lang w:eastAsia="zh-CN"/>
                </w:rPr>
                <w:t>项目</w:t>
              </w:r>
              <w:r w:rsidRPr="00150DD4">
                <w:rPr>
                  <w:rStyle w:val="Hyperlink"/>
                  <w:rFonts w:eastAsiaTheme="minorEastAsia" w:cstheme="minorHAnsi"/>
                  <w:sz w:val="20"/>
                  <w:lang w:eastAsia="zh-CN"/>
                </w:rPr>
                <w:t>3</w:t>
              </w:r>
            </w:hyperlink>
            <w:r w:rsidRPr="00150DD4">
              <w:rPr>
                <w:rFonts w:eastAsiaTheme="minorEastAsia" w:cstheme="minorHAnsi"/>
                <w:sz w:val="20"/>
                <w:lang w:eastAsia="zh-CN"/>
              </w:rPr>
              <w:t>（</w:t>
            </w:r>
            <w:r w:rsidRPr="00150DD4">
              <w:rPr>
                <w:rFonts w:eastAsiaTheme="minorEastAsia" w:cstheme="minorHAnsi"/>
                <w:sz w:val="20"/>
                <w:lang w:eastAsia="zh-CN"/>
              </w:rPr>
              <w:t>2006</w:t>
            </w:r>
            <w:r w:rsidRPr="00150DD4">
              <w:rPr>
                <w:rFonts w:eastAsiaTheme="minorEastAsia" w:cstheme="minorHAnsi"/>
                <w:sz w:val="20"/>
                <w:lang w:eastAsia="zh-CN"/>
              </w:rPr>
              <w:t>年，多哈，修订版）</w:t>
            </w:r>
          </w:p>
        </w:tc>
      </w:tr>
      <w:tr w:rsidR="008877DC" w:rsidRPr="00150DD4" w14:paraId="4827B335" w14:textId="77777777" w:rsidTr="003C22D4">
        <w:trPr>
          <w:tblHeader/>
        </w:trPr>
        <w:tc>
          <w:tcPr>
            <w:tcW w:w="541" w:type="dxa"/>
          </w:tcPr>
          <w:p w14:paraId="4827B331" w14:textId="77777777" w:rsidR="008877DC" w:rsidRPr="00150DD4" w:rsidRDefault="008877DC" w:rsidP="00DE35A6">
            <w:pPr>
              <w:pStyle w:val="Tabletext"/>
              <w:jc w:val="center"/>
              <w:rPr>
                <w:rFonts w:eastAsiaTheme="minorEastAsia" w:cstheme="minorHAnsi"/>
                <w:sz w:val="20"/>
              </w:rPr>
            </w:pPr>
            <w:r w:rsidRPr="00150DD4">
              <w:rPr>
                <w:rFonts w:eastAsiaTheme="minorEastAsia" w:cstheme="minorHAnsi"/>
                <w:sz w:val="20"/>
              </w:rPr>
              <w:t>2</w:t>
            </w:r>
          </w:p>
        </w:tc>
        <w:tc>
          <w:tcPr>
            <w:tcW w:w="3070" w:type="dxa"/>
          </w:tcPr>
          <w:p w14:paraId="4827B332" w14:textId="77777777" w:rsidR="008877DC" w:rsidRPr="00150DD4" w:rsidRDefault="008877DC" w:rsidP="00DE35A6">
            <w:pPr>
              <w:pStyle w:val="NormalIndent"/>
              <w:tabs>
                <w:tab w:val="left" w:pos="213"/>
              </w:tabs>
              <w:spacing w:before="40" w:after="40"/>
              <w:ind w:left="57"/>
              <w:rPr>
                <w:rFonts w:eastAsiaTheme="minorEastAsia" w:cstheme="minorHAnsi"/>
                <w:sz w:val="20"/>
              </w:rPr>
            </w:pPr>
            <w:r w:rsidRPr="00150DD4">
              <w:rPr>
                <w:rFonts w:eastAsiaTheme="minorEastAsia" w:cstheme="minorHAnsi"/>
                <w:sz w:val="20"/>
              </w:rPr>
              <w:t>国际互联网的连通性</w:t>
            </w:r>
          </w:p>
        </w:tc>
        <w:tc>
          <w:tcPr>
            <w:tcW w:w="5882" w:type="dxa"/>
          </w:tcPr>
          <w:p w14:paraId="4827B333" w14:textId="77777777" w:rsidR="008877DC" w:rsidRPr="00150DD4" w:rsidRDefault="008877DC" w:rsidP="00DE35A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val="fr-FR" w:eastAsia="zh-CN"/>
              </w:rPr>
            </w:pPr>
            <w:r w:rsidRPr="00150DD4">
              <w:rPr>
                <w:rFonts w:eastAsiaTheme="minorEastAsia" w:cstheme="minorHAnsi"/>
                <w:sz w:val="20"/>
                <w:lang w:val="fr-FR" w:eastAsia="zh-CN"/>
              </w:rPr>
              <w:t>•</w:t>
            </w:r>
            <w:r w:rsidRPr="00150DD4">
              <w:rPr>
                <w:rFonts w:eastAsiaTheme="minorEastAsia" w:cstheme="minorHAnsi"/>
                <w:sz w:val="20"/>
                <w:lang w:val="fr-FR" w:eastAsia="zh-CN"/>
              </w:rPr>
              <w:tab/>
            </w:r>
            <w:hyperlink r:id="rId234" w:history="1">
              <w:r w:rsidRPr="0094280A">
                <w:rPr>
                  <w:rStyle w:val="Hyperlink"/>
                  <w:rFonts w:eastAsiaTheme="minorEastAsia" w:cstheme="minorHAnsi"/>
                  <w:sz w:val="20"/>
                  <w:lang w:eastAsia="zh-CN"/>
                </w:rPr>
                <w:t>ITU-D</w:t>
              </w:r>
              <w:r w:rsidRPr="0094280A">
                <w:rPr>
                  <w:rStyle w:val="Hyperlink"/>
                  <w:rFonts w:eastAsiaTheme="minorEastAsia" w:cstheme="minorHAnsi"/>
                  <w:sz w:val="20"/>
                  <w:lang w:eastAsia="zh-CN"/>
                </w:rPr>
                <w:t>第</w:t>
              </w:r>
              <w:r w:rsidRPr="0094280A">
                <w:rPr>
                  <w:rStyle w:val="Hyperlink"/>
                  <w:rFonts w:eastAsiaTheme="minorEastAsia" w:cstheme="minorHAnsi"/>
                  <w:sz w:val="20"/>
                  <w:lang w:eastAsia="zh-CN"/>
                </w:rPr>
                <w:t>1</w:t>
              </w:r>
              <w:r w:rsidRPr="0094280A">
                <w:rPr>
                  <w:rStyle w:val="Hyperlink"/>
                  <w:rFonts w:eastAsiaTheme="minorEastAsia" w:cstheme="minorHAnsi"/>
                  <w:sz w:val="20"/>
                  <w:lang w:eastAsia="zh-CN"/>
                </w:rPr>
                <w:t>研究组，第</w:t>
              </w:r>
              <w:r w:rsidRPr="0094280A">
                <w:rPr>
                  <w:rStyle w:val="Hyperlink"/>
                  <w:rFonts w:eastAsiaTheme="minorEastAsia" w:cstheme="minorHAnsi"/>
                  <w:sz w:val="20"/>
                  <w:lang w:eastAsia="zh-CN"/>
                </w:rPr>
                <w:t>12-2/1</w:t>
              </w:r>
              <w:r w:rsidRPr="0094280A">
                <w:rPr>
                  <w:rStyle w:val="Hyperlink"/>
                  <w:rFonts w:eastAsiaTheme="minorEastAsia" w:cstheme="minorHAnsi"/>
                  <w:sz w:val="20"/>
                  <w:lang w:eastAsia="zh-CN"/>
                </w:rPr>
                <w:t>号课题</w:t>
              </w:r>
            </w:hyperlink>
          </w:p>
          <w:p w14:paraId="4827B334" w14:textId="77777777" w:rsidR="008877DC" w:rsidRPr="00150DD4" w:rsidRDefault="008877DC" w:rsidP="00DE35A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val="fr-FR" w:eastAsia="zh-CN"/>
              </w:rPr>
            </w:pPr>
            <w:r w:rsidRPr="00150DD4">
              <w:rPr>
                <w:rFonts w:eastAsiaTheme="minorEastAsia" w:cstheme="minorHAnsi"/>
                <w:sz w:val="20"/>
                <w:lang w:val="fr-FR" w:eastAsia="zh-CN"/>
              </w:rPr>
              <w:t>•</w:t>
            </w:r>
            <w:r w:rsidRPr="00150DD4">
              <w:rPr>
                <w:rFonts w:eastAsiaTheme="minorEastAsia" w:cstheme="minorHAnsi"/>
                <w:sz w:val="20"/>
                <w:lang w:val="fr-FR" w:eastAsia="zh-CN"/>
              </w:rPr>
              <w:tab/>
            </w:r>
            <w:hyperlink r:id="rId235" w:history="1">
              <w:r w:rsidRPr="00150DD4">
                <w:rPr>
                  <w:rStyle w:val="Hyperlink"/>
                  <w:rFonts w:eastAsiaTheme="minorEastAsia" w:cstheme="minorHAnsi"/>
                  <w:sz w:val="20"/>
                  <w:lang w:eastAsia="zh-CN"/>
                </w:rPr>
                <w:t>ITU-T</w:t>
              </w:r>
              <w:r w:rsidRPr="00150DD4">
                <w:rPr>
                  <w:rStyle w:val="Hyperlink"/>
                  <w:rFonts w:eastAsiaTheme="minorEastAsia" w:cstheme="minorHAnsi"/>
                  <w:sz w:val="20"/>
                  <w:lang w:eastAsia="zh-CN"/>
                </w:rPr>
                <w:t>第</w:t>
              </w:r>
              <w:r w:rsidRPr="00150DD4">
                <w:rPr>
                  <w:rStyle w:val="Hyperlink"/>
                  <w:rFonts w:eastAsiaTheme="minorEastAsia" w:cstheme="minorHAnsi"/>
                  <w:sz w:val="20"/>
                  <w:lang w:eastAsia="zh-CN"/>
                </w:rPr>
                <w:t>3</w:t>
              </w:r>
              <w:r w:rsidRPr="00150DD4">
                <w:rPr>
                  <w:rStyle w:val="Hyperlink"/>
                  <w:rFonts w:eastAsiaTheme="minorEastAsia" w:cstheme="minorHAnsi"/>
                  <w:sz w:val="20"/>
                  <w:lang w:eastAsia="zh-CN"/>
                </w:rPr>
                <w:t>研究组</w:t>
              </w:r>
            </w:hyperlink>
            <w:hyperlink r:id="rId236" w:history="1">
              <w:r w:rsidRPr="00150DD4">
                <w:rPr>
                  <w:rStyle w:val="Hyperlink"/>
                  <w:rFonts w:eastAsiaTheme="minorEastAsia" w:cstheme="minorHAnsi"/>
                  <w:sz w:val="20"/>
                  <w:lang w:eastAsia="zh-CN"/>
                </w:rPr>
                <w:t>（</w:t>
              </w:r>
              <w:r w:rsidRPr="00150DD4">
                <w:rPr>
                  <w:rStyle w:val="Hyperlink"/>
                  <w:rFonts w:eastAsiaTheme="minorEastAsia" w:cstheme="minorHAnsi"/>
                  <w:sz w:val="20"/>
                  <w:lang w:eastAsia="zh-CN"/>
                </w:rPr>
                <w:t>D.50</w:t>
              </w:r>
            </w:hyperlink>
            <w:r w:rsidRPr="00150DD4">
              <w:rPr>
                <w:rStyle w:val="Hyperlink"/>
                <w:rFonts w:eastAsiaTheme="minorEastAsia" w:cstheme="minorHAnsi"/>
                <w:sz w:val="20"/>
                <w:lang w:eastAsia="zh-CN"/>
              </w:rPr>
              <w:t>建议书）</w:t>
            </w:r>
          </w:p>
        </w:tc>
      </w:tr>
      <w:tr w:rsidR="008877DC" w:rsidRPr="00150DD4" w14:paraId="4827B33D" w14:textId="77777777" w:rsidTr="003C22D4">
        <w:trPr>
          <w:tblHeader/>
        </w:trPr>
        <w:tc>
          <w:tcPr>
            <w:tcW w:w="541" w:type="dxa"/>
          </w:tcPr>
          <w:p w14:paraId="4827B336" w14:textId="77777777" w:rsidR="008877DC" w:rsidRPr="00150DD4" w:rsidRDefault="008877DC" w:rsidP="00DE35A6">
            <w:pPr>
              <w:pStyle w:val="Tabletext"/>
              <w:jc w:val="center"/>
              <w:rPr>
                <w:rFonts w:eastAsiaTheme="minorEastAsia" w:cstheme="minorHAnsi"/>
                <w:sz w:val="20"/>
              </w:rPr>
            </w:pPr>
            <w:r w:rsidRPr="00150DD4">
              <w:rPr>
                <w:rFonts w:eastAsiaTheme="minorEastAsia" w:cstheme="minorHAnsi"/>
                <w:sz w:val="20"/>
              </w:rPr>
              <w:t>3</w:t>
            </w:r>
          </w:p>
        </w:tc>
        <w:tc>
          <w:tcPr>
            <w:tcW w:w="3070" w:type="dxa"/>
          </w:tcPr>
          <w:p w14:paraId="4827B337" w14:textId="77777777" w:rsidR="008877DC" w:rsidRDefault="008877DC" w:rsidP="00DE35A6">
            <w:pPr>
              <w:pStyle w:val="NormalIndent"/>
              <w:tabs>
                <w:tab w:val="left" w:pos="213"/>
              </w:tabs>
              <w:spacing w:before="40" w:after="40"/>
              <w:ind w:left="57"/>
              <w:rPr>
                <w:rFonts w:eastAsiaTheme="minorEastAsia" w:cstheme="minorHAnsi"/>
                <w:sz w:val="20"/>
                <w:lang w:eastAsia="zh-CN"/>
              </w:rPr>
            </w:pPr>
            <w:r w:rsidRPr="00150DD4">
              <w:rPr>
                <w:rFonts w:eastAsiaTheme="minorEastAsia" w:cstheme="minorHAnsi"/>
                <w:sz w:val="20"/>
                <w:lang w:eastAsia="zh-CN"/>
              </w:rPr>
              <w:t>互联网相关国际公共政策问题</w:t>
            </w:r>
            <w:r>
              <w:rPr>
                <w:rFonts w:eastAsiaTheme="minorEastAsia" w:cstheme="minorHAnsi" w:hint="eastAsia"/>
                <w:sz w:val="20"/>
                <w:lang w:eastAsia="zh-CN"/>
              </w:rPr>
              <w:t>以及</w:t>
            </w:r>
            <w:r w:rsidRPr="00150DD4">
              <w:rPr>
                <w:rFonts w:eastAsiaTheme="minorEastAsia" w:cstheme="minorHAnsi"/>
                <w:sz w:val="20"/>
                <w:lang w:eastAsia="zh-CN"/>
              </w:rPr>
              <w:t>对</w:t>
            </w:r>
            <w:r>
              <w:rPr>
                <w:rFonts w:eastAsiaTheme="minorEastAsia" w:cstheme="minorHAnsi" w:hint="eastAsia"/>
                <w:sz w:val="20"/>
                <w:lang w:eastAsia="zh-CN"/>
              </w:rPr>
              <w:t>于包括</w:t>
            </w:r>
            <w:r w:rsidRPr="00150DD4">
              <w:rPr>
                <w:rFonts w:eastAsiaTheme="minorEastAsia" w:cstheme="minorHAnsi"/>
                <w:sz w:val="20"/>
                <w:lang w:eastAsia="zh-CN"/>
              </w:rPr>
              <w:t>域名和地址</w:t>
            </w:r>
            <w:r>
              <w:rPr>
                <w:rFonts w:eastAsiaTheme="minorEastAsia" w:cstheme="minorHAnsi" w:hint="eastAsia"/>
                <w:sz w:val="20"/>
                <w:lang w:eastAsia="zh-CN"/>
              </w:rPr>
              <w:t>在内的</w:t>
            </w:r>
            <w:r w:rsidRPr="00150DD4">
              <w:rPr>
                <w:rFonts w:eastAsiaTheme="minorEastAsia" w:cstheme="minorHAnsi"/>
                <w:sz w:val="20"/>
                <w:lang w:eastAsia="zh-CN"/>
              </w:rPr>
              <w:t>互联网资源的管理</w:t>
            </w:r>
          </w:p>
          <w:p w14:paraId="4827B338" w14:textId="77777777" w:rsidR="008877DC" w:rsidRPr="00150DD4" w:rsidRDefault="008877DC" w:rsidP="00DE35A6">
            <w:pPr>
              <w:pStyle w:val="NormalIndent"/>
              <w:tabs>
                <w:tab w:val="left" w:pos="213"/>
              </w:tabs>
              <w:spacing w:before="40" w:after="40"/>
              <w:ind w:left="57"/>
              <w:rPr>
                <w:rFonts w:eastAsiaTheme="minorEastAsia" w:cstheme="minorHAnsi"/>
                <w:sz w:val="20"/>
                <w:lang w:eastAsia="zh-CN"/>
              </w:rPr>
            </w:pPr>
          </w:p>
        </w:tc>
        <w:tc>
          <w:tcPr>
            <w:tcW w:w="5882" w:type="dxa"/>
          </w:tcPr>
          <w:p w14:paraId="4827B339" w14:textId="77777777" w:rsidR="008877DC" w:rsidRPr="00CD4FE5" w:rsidRDefault="008877DC" w:rsidP="00DE35A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val="fr-CH" w:eastAsia="zh-CN"/>
              </w:rPr>
            </w:pPr>
            <w:r w:rsidRPr="00CD4FE5">
              <w:rPr>
                <w:rFonts w:eastAsiaTheme="minorEastAsia" w:cstheme="minorHAnsi"/>
                <w:sz w:val="20"/>
                <w:lang w:val="fr-FR" w:eastAsia="zh-CN"/>
              </w:rPr>
              <w:t>•</w:t>
            </w:r>
            <w:r w:rsidRPr="00CD4FE5">
              <w:rPr>
                <w:rFonts w:eastAsiaTheme="minorEastAsia" w:cstheme="minorHAnsi"/>
                <w:sz w:val="20"/>
                <w:lang w:val="fr-FR" w:eastAsia="zh-CN"/>
              </w:rPr>
              <w:tab/>
            </w:r>
            <w:r w:rsidRPr="00CD4FE5">
              <w:rPr>
                <w:rStyle w:val="Hyperlink"/>
                <w:rFonts w:eastAsiaTheme="minorEastAsia" w:cstheme="minorHAnsi"/>
                <w:sz w:val="20"/>
                <w:lang w:eastAsia="zh-CN"/>
              </w:rPr>
              <w:t>PP</w:t>
            </w:r>
            <w:r w:rsidRPr="00CD4FE5">
              <w:rPr>
                <w:rStyle w:val="Hyperlink"/>
                <w:rFonts w:eastAsiaTheme="minorEastAsia" w:cstheme="minorHAnsi"/>
                <w:sz w:val="20"/>
                <w:lang w:eastAsia="zh-CN"/>
              </w:rPr>
              <w:t>第</w:t>
            </w:r>
            <w:r w:rsidRPr="00CD4FE5">
              <w:rPr>
                <w:rStyle w:val="Hyperlink"/>
                <w:rFonts w:eastAsiaTheme="minorEastAsia" w:cstheme="minorHAnsi"/>
                <w:sz w:val="20"/>
                <w:lang w:eastAsia="zh-CN"/>
              </w:rPr>
              <w:t>101</w:t>
            </w:r>
            <w:r w:rsidRPr="00CD4FE5">
              <w:rPr>
                <w:rStyle w:val="Hyperlink"/>
                <w:rFonts w:eastAsiaTheme="minorEastAsia" w:cstheme="minorHAnsi" w:hint="eastAsia"/>
                <w:sz w:val="20"/>
                <w:lang w:eastAsia="zh-CN"/>
              </w:rPr>
              <w:t>和</w:t>
            </w:r>
            <w:hyperlink r:id="rId237" w:anchor="page=4" w:history="1">
              <w:r w:rsidRPr="00CD4FE5">
                <w:rPr>
                  <w:rStyle w:val="Hyperlink"/>
                  <w:sz w:val="18"/>
                  <w:szCs w:val="18"/>
                  <w:lang w:val="en-US" w:eastAsia="zh-CN"/>
                </w:rPr>
                <w:t>102</w:t>
              </w:r>
            </w:hyperlink>
            <w:r w:rsidRPr="00CD4FE5">
              <w:rPr>
                <w:rStyle w:val="Hyperlink"/>
                <w:rFonts w:eastAsiaTheme="minorEastAsia" w:cstheme="minorHAnsi"/>
                <w:sz w:val="20"/>
                <w:lang w:eastAsia="zh-CN"/>
              </w:rPr>
              <w:t>号决议</w:t>
            </w:r>
            <w:r w:rsidRPr="00CD4FE5">
              <w:rPr>
                <w:rFonts w:eastAsiaTheme="minorEastAsia" w:cstheme="minorHAnsi"/>
                <w:sz w:val="20"/>
                <w:lang w:eastAsia="zh-CN"/>
              </w:rPr>
              <w:t>（</w:t>
            </w:r>
            <w:r w:rsidRPr="00CD4FE5">
              <w:rPr>
                <w:rFonts w:eastAsiaTheme="minorEastAsia" w:cstheme="minorHAnsi"/>
                <w:sz w:val="20"/>
                <w:lang w:eastAsia="zh-CN"/>
              </w:rPr>
              <w:t>2006</w:t>
            </w:r>
            <w:r w:rsidRPr="00CD4FE5">
              <w:rPr>
                <w:rFonts w:eastAsiaTheme="minorEastAsia" w:cstheme="minorHAnsi"/>
                <w:sz w:val="20"/>
                <w:lang w:eastAsia="zh-CN"/>
              </w:rPr>
              <w:t>年，安塔利亚，修订版）</w:t>
            </w:r>
          </w:p>
          <w:p w14:paraId="4827B33A" w14:textId="77777777" w:rsidR="008877DC" w:rsidRPr="00CD4FE5" w:rsidRDefault="008877DC" w:rsidP="00DE35A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val="fr-FR" w:eastAsia="zh-CN"/>
              </w:rPr>
            </w:pPr>
            <w:r w:rsidRPr="00CD4FE5">
              <w:rPr>
                <w:rFonts w:eastAsiaTheme="minorEastAsia" w:cstheme="minorHAnsi"/>
                <w:sz w:val="20"/>
                <w:lang w:val="fr-FR" w:eastAsia="zh-CN"/>
              </w:rPr>
              <w:t>•</w:t>
            </w:r>
            <w:r w:rsidRPr="00CD4FE5">
              <w:rPr>
                <w:rFonts w:eastAsiaTheme="minorEastAsia" w:cstheme="minorHAnsi"/>
                <w:sz w:val="20"/>
                <w:lang w:val="fr-FR" w:eastAsia="zh-CN"/>
              </w:rPr>
              <w:tab/>
            </w:r>
            <w:hyperlink r:id="rId238" w:anchor="page=3" w:history="1">
              <w:r w:rsidRPr="00CD4FE5">
                <w:rPr>
                  <w:rStyle w:val="Hyperlink"/>
                  <w:rFonts w:eastAsiaTheme="minorEastAsia" w:cstheme="minorHAnsi"/>
                  <w:sz w:val="20"/>
                  <w:lang w:eastAsia="zh-CN"/>
                </w:rPr>
                <w:t>WTSA</w:t>
              </w:r>
              <w:r w:rsidRPr="00CD4FE5">
                <w:rPr>
                  <w:rStyle w:val="Hyperlink"/>
                  <w:rFonts w:eastAsiaTheme="minorEastAsia" w:cstheme="minorHAnsi"/>
                  <w:sz w:val="20"/>
                  <w:lang w:eastAsia="zh-CN"/>
                </w:rPr>
                <w:t>第</w:t>
              </w:r>
              <w:r w:rsidRPr="003A763A">
                <w:rPr>
                  <w:rStyle w:val="Hyperlink"/>
                  <w:rFonts w:eastAsiaTheme="minorEastAsia" w:cstheme="minorHAnsi"/>
                  <w:sz w:val="20"/>
                  <w:lang w:eastAsia="zh-CN"/>
                </w:rPr>
                <w:t>47</w:t>
              </w:r>
              <w:r w:rsidRPr="003A763A">
                <w:rPr>
                  <w:rStyle w:val="Hyperlink"/>
                  <w:rFonts w:eastAsiaTheme="minorEastAsia" w:cstheme="minorHAnsi"/>
                  <w:sz w:val="20"/>
                  <w:lang w:eastAsia="zh-CN"/>
                </w:rPr>
                <w:t>、</w:t>
              </w:r>
              <w:hyperlink r:id="rId239" w:anchor="page=3" w:history="1">
                <w:r w:rsidRPr="003A763A">
                  <w:rPr>
                    <w:rStyle w:val="Hyperlink"/>
                    <w:sz w:val="20"/>
                    <w:lang w:val="en-US" w:eastAsia="zh-CN"/>
                  </w:rPr>
                  <w:t>49</w:t>
                </w:r>
              </w:hyperlink>
              <w:r w:rsidRPr="003A763A">
                <w:rPr>
                  <w:rFonts w:eastAsiaTheme="minorEastAsia" w:hint="eastAsia"/>
                  <w:sz w:val="20"/>
                  <w:lang w:val="en-US" w:eastAsia="zh-CN"/>
                </w:rPr>
                <w:t>、</w:t>
              </w:r>
              <w:hyperlink r:id="rId240" w:anchor="page=3" w:history="1">
                <w:r w:rsidRPr="003A763A">
                  <w:rPr>
                    <w:rStyle w:val="Hyperlink"/>
                    <w:sz w:val="20"/>
                    <w:lang w:val="en-US" w:eastAsia="zh-CN"/>
                  </w:rPr>
                  <w:t>64</w:t>
                </w:r>
              </w:hyperlink>
              <w:r w:rsidRPr="003A763A">
                <w:rPr>
                  <w:sz w:val="20"/>
                  <w:lang w:val="en-US" w:eastAsia="zh-CN"/>
                </w:rPr>
                <w:t>、</w:t>
              </w:r>
              <w:hyperlink r:id="rId241" w:history="1">
                <w:r w:rsidRPr="003A763A">
                  <w:rPr>
                    <w:rStyle w:val="Hyperlink"/>
                    <w:sz w:val="20"/>
                    <w:lang w:val="en-US" w:eastAsia="zh-CN"/>
                  </w:rPr>
                  <w:t>69</w:t>
                </w:r>
              </w:hyperlink>
              <w:r w:rsidRPr="003A763A">
                <w:rPr>
                  <w:rFonts w:ascii="Microsoft YaHei" w:eastAsia="Microsoft YaHei" w:hAnsi="Microsoft YaHei" w:cs="Microsoft YaHei" w:hint="eastAsia"/>
                  <w:sz w:val="20"/>
                  <w:lang w:val="en-US" w:eastAsia="zh-CN"/>
                </w:rPr>
                <w:t>和</w:t>
              </w:r>
              <w:hyperlink r:id="rId242" w:anchor="page=4" w:history="1">
                <w:r w:rsidRPr="003A763A">
                  <w:rPr>
                    <w:rStyle w:val="Hyperlink"/>
                    <w:sz w:val="20"/>
                    <w:lang w:val="en-US" w:eastAsia="zh-CN"/>
                  </w:rPr>
                  <w:t>75</w:t>
                </w:r>
              </w:hyperlink>
              <w:r w:rsidRPr="003A763A">
                <w:rPr>
                  <w:rStyle w:val="Hyperlink"/>
                  <w:rFonts w:eastAsiaTheme="minorEastAsia" w:cstheme="minorHAnsi"/>
                  <w:sz w:val="20"/>
                  <w:lang w:eastAsia="zh-CN"/>
                </w:rPr>
                <w:t>号决议</w:t>
              </w:r>
            </w:hyperlink>
            <w:r w:rsidRPr="00CD4FE5">
              <w:rPr>
                <w:rFonts w:eastAsiaTheme="minorEastAsia" w:cstheme="minorHAnsi"/>
                <w:sz w:val="20"/>
                <w:lang w:eastAsia="zh-CN"/>
              </w:rPr>
              <w:t>（</w:t>
            </w:r>
            <w:r w:rsidRPr="00CD4FE5">
              <w:rPr>
                <w:rFonts w:eastAsiaTheme="minorEastAsia" w:cstheme="minorHAnsi"/>
                <w:sz w:val="20"/>
                <w:lang w:eastAsia="zh-CN"/>
              </w:rPr>
              <w:t>2008</w:t>
            </w:r>
            <w:r w:rsidRPr="00CD4FE5">
              <w:rPr>
                <w:rFonts w:eastAsiaTheme="minorEastAsia" w:cstheme="minorHAnsi"/>
                <w:sz w:val="20"/>
                <w:lang w:eastAsia="zh-CN"/>
              </w:rPr>
              <w:t>年，约翰内斯堡，修订版）</w:t>
            </w:r>
          </w:p>
          <w:p w14:paraId="4827B33B" w14:textId="77777777" w:rsidR="008877DC" w:rsidRPr="00CD4FE5" w:rsidRDefault="008877DC" w:rsidP="00DE35A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val="fr-FR" w:eastAsia="zh-CN"/>
              </w:rPr>
            </w:pPr>
            <w:r w:rsidRPr="00CD4FE5">
              <w:rPr>
                <w:rFonts w:eastAsiaTheme="minorEastAsia" w:cstheme="minorHAnsi"/>
                <w:sz w:val="20"/>
                <w:lang w:val="fr-FR" w:eastAsia="zh-CN"/>
              </w:rPr>
              <w:t>•</w:t>
            </w:r>
            <w:r w:rsidRPr="00CD4FE5">
              <w:rPr>
                <w:rFonts w:eastAsiaTheme="minorEastAsia" w:cstheme="minorHAnsi"/>
                <w:sz w:val="20"/>
                <w:lang w:val="fr-FR" w:eastAsia="zh-CN"/>
              </w:rPr>
              <w:tab/>
            </w:r>
            <w:hyperlink r:id="rId243" w:anchor="page=2" w:history="1">
              <w:r w:rsidRPr="003A763A">
                <w:rPr>
                  <w:rStyle w:val="Hyperlink"/>
                  <w:rFonts w:eastAsiaTheme="minorEastAsia" w:cstheme="minorHAnsi"/>
                  <w:sz w:val="20"/>
                  <w:lang w:eastAsia="zh-CN"/>
                </w:rPr>
                <w:t>第</w:t>
              </w:r>
              <w:r w:rsidRPr="003A763A">
                <w:rPr>
                  <w:rStyle w:val="Hyperlink"/>
                  <w:rFonts w:eastAsiaTheme="minorEastAsia" w:cstheme="minorHAnsi"/>
                  <w:sz w:val="20"/>
                  <w:lang w:eastAsia="zh-CN"/>
                </w:rPr>
                <w:t>1282</w:t>
              </w:r>
              <w:r w:rsidRPr="003A763A">
                <w:rPr>
                  <w:rStyle w:val="Hyperlink"/>
                  <w:rFonts w:eastAsiaTheme="minorEastAsia" w:cstheme="minorHAnsi"/>
                  <w:sz w:val="20"/>
                  <w:lang w:eastAsia="zh-CN"/>
                </w:rPr>
                <w:t>号决议</w:t>
              </w:r>
            </w:hyperlink>
            <w:r w:rsidRPr="00CD4FE5">
              <w:rPr>
                <w:rFonts w:eastAsiaTheme="minorEastAsia" w:cstheme="minorHAnsi"/>
                <w:sz w:val="20"/>
                <w:lang w:eastAsia="zh-CN"/>
              </w:rPr>
              <w:t>（</w:t>
            </w:r>
            <w:r w:rsidRPr="00CD4FE5">
              <w:rPr>
                <w:rFonts w:eastAsiaTheme="minorEastAsia" w:cstheme="minorHAnsi"/>
                <w:sz w:val="20"/>
                <w:lang w:eastAsia="zh-CN"/>
              </w:rPr>
              <w:t>2008</w:t>
            </w:r>
            <w:r w:rsidRPr="00CD4FE5">
              <w:rPr>
                <w:rFonts w:eastAsiaTheme="minorEastAsia" w:cstheme="minorHAnsi"/>
                <w:sz w:val="20"/>
                <w:lang w:eastAsia="zh-CN"/>
              </w:rPr>
              <w:t>年，修改版）</w:t>
            </w:r>
          </w:p>
          <w:p w14:paraId="4827B33C" w14:textId="77777777" w:rsidR="008877DC" w:rsidRPr="00CD4FE5" w:rsidRDefault="008877DC" w:rsidP="00DE35A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val="fr-FR"/>
              </w:rPr>
            </w:pPr>
            <w:r w:rsidRPr="00CD4FE5">
              <w:rPr>
                <w:rFonts w:eastAsiaTheme="minorEastAsia" w:cstheme="minorHAnsi"/>
                <w:sz w:val="20"/>
                <w:lang w:val="fr-FR"/>
              </w:rPr>
              <w:t>•</w:t>
            </w:r>
            <w:r w:rsidRPr="00CD4FE5">
              <w:rPr>
                <w:rFonts w:eastAsiaTheme="minorEastAsia" w:cstheme="minorHAnsi"/>
                <w:sz w:val="20"/>
                <w:lang w:val="fr-FR"/>
              </w:rPr>
              <w:tab/>
            </w:r>
            <w:hyperlink r:id="rId244" w:history="1">
              <w:r w:rsidRPr="003A763A">
                <w:rPr>
                  <w:rStyle w:val="Hyperlink"/>
                  <w:rFonts w:eastAsiaTheme="minorEastAsia" w:cstheme="minorHAnsi"/>
                  <w:sz w:val="20"/>
                </w:rPr>
                <w:t>WSIS AL C6</w:t>
              </w:r>
              <w:r w:rsidRPr="003A763A">
                <w:rPr>
                  <w:rStyle w:val="Hyperlink"/>
                  <w:rFonts w:eastAsiaTheme="minorEastAsia" w:cstheme="minorHAnsi"/>
                  <w:sz w:val="20"/>
                </w:rPr>
                <w:t>牵头推进方（</w:t>
              </w:r>
              <w:r w:rsidRPr="003A763A">
                <w:rPr>
                  <w:rStyle w:val="Hyperlink"/>
                  <w:rFonts w:eastAsiaTheme="minorEastAsia" w:cstheme="minorHAnsi"/>
                  <w:sz w:val="20"/>
                </w:rPr>
                <w:t>2005</w:t>
              </w:r>
              <w:r w:rsidRPr="003A763A">
                <w:rPr>
                  <w:rStyle w:val="Hyperlink"/>
                  <w:rFonts w:eastAsiaTheme="minorEastAsia" w:cstheme="minorHAnsi"/>
                  <w:sz w:val="20"/>
                </w:rPr>
                <w:t>年，突尼斯）</w:t>
              </w:r>
            </w:hyperlink>
          </w:p>
        </w:tc>
      </w:tr>
      <w:tr w:rsidR="008877DC" w:rsidRPr="00150DD4" w14:paraId="4827B345" w14:textId="77777777" w:rsidTr="003C22D4">
        <w:trPr>
          <w:tblHeader/>
        </w:trPr>
        <w:tc>
          <w:tcPr>
            <w:tcW w:w="541" w:type="dxa"/>
          </w:tcPr>
          <w:p w14:paraId="4827B33E" w14:textId="77777777" w:rsidR="008877DC" w:rsidRPr="00150DD4" w:rsidRDefault="008877DC" w:rsidP="00DE35A6">
            <w:pPr>
              <w:pStyle w:val="Tabletext"/>
              <w:jc w:val="center"/>
              <w:rPr>
                <w:rFonts w:eastAsiaTheme="minorEastAsia" w:cstheme="minorHAnsi"/>
                <w:sz w:val="20"/>
              </w:rPr>
            </w:pPr>
            <w:r w:rsidRPr="00150DD4">
              <w:rPr>
                <w:rFonts w:eastAsiaTheme="minorEastAsia" w:cstheme="minorHAnsi"/>
                <w:sz w:val="20"/>
              </w:rPr>
              <w:t>4</w:t>
            </w:r>
          </w:p>
        </w:tc>
        <w:tc>
          <w:tcPr>
            <w:tcW w:w="3070" w:type="dxa"/>
          </w:tcPr>
          <w:p w14:paraId="4827B33F" w14:textId="77777777" w:rsidR="008877DC" w:rsidRPr="00150DD4" w:rsidRDefault="008877DC" w:rsidP="00DE35A6">
            <w:pPr>
              <w:pStyle w:val="NormalIndent"/>
              <w:tabs>
                <w:tab w:val="left" w:pos="213"/>
              </w:tabs>
              <w:spacing w:before="40" w:after="40"/>
              <w:ind w:left="57"/>
              <w:rPr>
                <w:rFonts w:eastAsiaTheme="minorEastAsia" w:cstheme="minorHAnsi"/>
                <w:sz w:val="20"/>
                <w:lang w:eastAsia="zh-CN"/>
              </w:rPr>
            </w:pPr>
            <w:r w:rsidRPr="00150DD4">
              <w:rPr>
                <w:rFonts w:eastAsiaTheme="minorEastAsia" w:cstheme="minorHAnsi"/>
                <w:sz w:val="20"/>
                <w:lang w:eastAsia="zh-CN"/>
              </w:rPr>
              <w:t>互联网的安全性、连续性、可持续性和强健性</w:t>
            </w:r>
          </w:p>
        </w:tc>
        <w:tc>
          <w:tcPr>
            <w:tcW w:w="5882" w:type="dxa"/>
          </w:tcPr>
          <w:p w14:paraId="4827B340" w14:textId="77777777" w:rsidR="008877DC" w:rsidRPr="00CD4FE5" w:rsidRDefault="008877DC" w:rsidP="00DE35A6">
            <w:pPr>
              <w:tabs>
                <w:tab w:val="clear" w:pos="794"/>
                <w:tab w:val="clear" w:pos="1191"/>
                <w:tab w:val="clear" w:pos="1588"/>
                <w:tab w:val="clear" w:pos="1985"/>
                <w:tab w:val="left" w:pos="284"/>
              </w:tabs>
              <w:overflowPunct/>
              <w:adjustRightInd/>
              <w:spacing w:before="40" w:after="40"/>
              <w:ind w:left="284" w:hanging="284"/>
              <w:textAlignment w:val="auto"/>
              <w:rPr>
                <w:rFonts w:eastAsiaTheme="minorEastAsia" w:cstheme="minorHAnsi"/>
                <w:sz w:val="20"/>
                <w:lang w:eastAsia="zh-CN"/>
              </w:rPr>
            </w:pPr>
            <w:r w:rsidRPr="00CD4FE5">
              <w:rPr>
                <w:rFonts w:eastAsiaTheme="minorEastAsia" w:cstheme="minorHAnsi"/>
                <w:sz w:val="20"/>
                <w:lang w:val="fr-FR" w:eastAsia="zh-CN"/>
              </w:rPr>
              <w:t>•</w:t>
            </w:r>
            <w:r w:rsidRPr="00CD4FE5">
              <w:rPr>
                <w:rFonts w:eastAsiaTheme="minorEastAsia" w:cstheme="minorHAnsi"/>
                <w:sz w:val="20"/>
                <w:lang w:val="fr-FR" w:eastAsia="zh-CN"/>
              </w:rPr>
              <w:tab/>
            </w:r>
            <w:hyperlink r:id="rId245" w:anchor="page=4" w:history="1">
              <w:r w:rsidRPr="00CD4FE5">
                <w:rPr>
                  <w:rStyle w:val="Hyperlink"/>
                  <w:sz w:val="18"/>
                  <w:szCs w:val="18"/>
                  <w:lang w:val="en-US" w:eastAsia="zh-CN"/>
                </w:rPr>
                <w:t>PP</w:t>
              </w:r>
              <w:r w:rsidRPr="00CD4FE5">
                <w:rPr>
                  <w:rStyle w:val="Hyperlink"/>
                  <w:rFonts w:asciiTheme="minorEastAsia" w:eastAsiaTheme="minorEastAsia" w:hAnsiTheme="minorEastAsia" w:hint="eastAsia"/>
                  <w:sz w:val="18"/>
                  <w:szCs w:val="18"/>
                  <w:lang w:val="en-US" w:eastAsia="zh-CN"/>
                </w:rPr>
                <w:t>第</w:t>
              </w:r>
              <w:r w:rsidRPr="00CD4FE5">
                <w:rPr>
                  <w:rStyle w:val="Hyperlink"/>
                  <w:sz w:val="18"/>
                  <w:szCs w:val="18"/>
                  <w:lang w:val="en-US" w:eastAsia="zh-CN"/>
                </w:rPr>
                <w:t>102</w:t>
              </w:r>
              <w:r w:rsidRPr="00CD4FE5">
                <w:rPr>
                  <w:rStyle w:val="Hyperlink"/>
                  <w:rFonts w:asciiTheme="minorEastAsia" w:eastAsiaTheme="minorEastAsia" w:hAnsiTheme="minorEastAsia" w:hint="eastAsia"/>
                  <w:sz w:val="18"/>
                  <w:szCs w:val="18"/>
                  <w:lang w:val="en-US" w:eastAsia="zh-CN"/>
                </w:rPr>
                <w:t>号决议</w:t>
              </w:r>
            </w:hyperlink>
            <w:r w:rsidRPr="00CD4FE5">
              <w:rPr>
                <w:rFonts w:eastAsiaTheme="minorEastAsia" w:cstheme="minorHAnsi" w:hint="eastAsia"/>
                <w:sz w:val="20"/>
                <w:lang w:eastAsia="zh-CN"/>
              </w:rPr>
              <w:t>、</w:t>
            </w:r>
            <w:hyperlink r:id="rId246" w:anchor="page=4" w:history="1">
              <w:r w:rsidRPr="00CD4FE5">
                <w:rPr>
                  <w:rStyle w:val="Hyperlink"/>
                  <w:rFonts w:asciiTheme="minorEastAsia" w:eastAsiaTheme="minorEastAsia" w:hAnsiTheme="minorEastAsia" w:hint="eastAsia"/>
                  <w:sz w:val="18"/>
                  <w:szCs w:val="18"/>
                  <w:lang w:val="en-US" w:eastAsia="zh-CN"/>
                </w:rPr>
                <w:t>第1</w:t>
              </w:r>
              <w:r w:rsidRPr="00CD4FE5">
                <w:rPr>
                  <w:rStyle w:val="Hyperlink"/>
                  <w:sz w:val="18"/>
                  <w:szCs w:val="18"/>
                  <w:lang w:val="en-US" w:eastAsia="zh-CN"/>
                </w:rPr>
                <w:t>30</w:t>
              </w:r>
              <w:r w:rsidRPr="00CD4FE5">
                <w:rPr>
                  <w:rStyle w:val="Hyperlink"/>
                  <w:rFonts w:asciiTheme="minorEastAsia" w:eastAsiaTheme="minorEastAsia" w:hAnsiTheme="minorEastAsia" w:hint="eastAsia"/>
                  <w:sz w:val="18"/>
                  <w:szCs w:val="18"/>
                  <w:lang w:val="en-US" w:eastAsia="zh-CN"/>
                </w:rPr>
                <w:t>号决议</w:t>
              </w:r>
            </w:hyperlink>
            <w:r w:rsidRPr="00CD4FE5">
              <w:rPr>
                <w:rFonts w:eastAsiaTheme="minorEastAsia" w:cstheme="minorHAnsi" w:hint="eastAsia"/>
                <w:sz w:val="20"/>
                <w:lang w:eastAsia="zh-CN"/>
              </w:rPr>
              <w:t>（</w:t>
            </w:r>
            <w:r w:rsidRPr="00CD4FE5">
              <w:rPr>
                <w:rFonts w:eastAsiaTheme="minorEastAsia" w:cstheme="minorHAnsi"/>
                <w:sz w:val="20"/>
                <w:lang w:eastAsia="zh-CN"/>
              </w:rPr>
              <w:t>2006</w:t>
            </w:r>
            <w:r w:rsidRPr="00CD4FE5">
              <w:rPr>
                <w:rFonts w:eastAsiaTheme="minorEastAsia" w:cstheme="minorHAnsi" w:hint="eastAsia"/>
                <w:sz w:val="20"/>
                <w:lang w:eastAsia="zh-CN"/>
              </w:rPr>
              <w:t>年，安塔利亚，修订版）</w:t>
            </w:r>
          </w:p>
          <w:p w14:paraId="4827B341" w14:textId="77777777" w:rsidR="008877DC" w:rsidRPr="00CD4FE5" w:rsidRDefault="008877DC" w:rsidP="00DE35A6">
            <w:pPr>
              <w:tabs>
                <w:tab w:val="clear" w:pos="794"/>
                <w:tab w:val="clear" w:pos="1191"/>
                <w:tab w:val="clear" w:pos="1588"/>
                <w:tab w:val="clear" w:pos="1985"/>
                <w:tab w:val="left" w:pos="284"/>
              </w:tabs>
              <w:overflowPunct/>
              <w:adjustRightInd/>
              <w:spacing w:before="40" w:after="40"/>
              <w:ind w:left="284" w:hanging="284"/>
              <w:textAlignment w:val="auto"/>
              <w:rPr>
                <w:rFonts w:eastAsiaTheme="minorEastAsia" w:cstheme="minorHAnsi"/>
                <w:sz w:val="20"/>
                <w:lang w:eastAsia="zh-CN"/>
              </w:rPr>
            </w:pPr>
            <w:r w:rsidRPr="00CD4FE5">
              <w:rPr>
                <w:rFonts w:eastAsiaTheme="minorEastAsia" w:cstheme="minorHAnsi"/>
                <w:sz w:val="20"/>
                <w:lang w:val="fr-FR" w:eastAsia="zh-CN"/>
              </w:rPr>
              <w:t>•</w:t>
            </w:r>
            <w:r w:rsidRPr="00CD4FE5">
              <w:rPr>
                <w:rFonts w:eastAsiaTheme="minorEastAsia" w:cstheme="minorHAnsi"/>
                <w:sz w:val="20"/>
                <w:lang w:val="fr-FR" w:eastAsia="zh-CN"/>
              </w:rPr>
              <w:tab/>
            </w:r>
            <w:hyperlink r:id="rId247" w:anchor="page=3" w:history="1">
              <w:r w:rsidRPr="00CD4FE5">
                <w:rPr>
                  <w:rStyle w:val="Hyperlink"/>
                  <w:rFonts w:eastAsiaTheme="minorEastAsia" w:cstheme="minorHAnsi"/>
                  <w:sz w:val="20"/>
                  <w:lang w:eastAsia="zh-CN"/>
                </w:rPr>
                <w:t>WTDC</w:t>
              </w:r>
              <w:r w:rsidRPr="00CD4FE5">
                <w:rPr>
                  <w:rStyle w:val="Hyperlink"/>
                  <w:rFonts w:eastAsiaTheme="minorEastAsia" w:cstheme="minorHAnsi"/>
                  <w:sz w:val="20"/>
                  <w:lang w:eastAsia="zh-CN"/>
                </w:rPr>
                <w:t>第</w:t>
              </w:r>
              <w:r w:rsidRPr="00CD4FE5">
                <w:rPr>
                  <w:rStyle w:val="Hyperlink"/>
                  <w:rFonts w:eastAsiaTheme="minorEastAsia" w:cstheme="minorHAnsi"/>
                  <w:sz w:val="20"/>
                  <w:lang w:eastAsia="zh-CN"/>
                </w:rPr>
                <w:t>45</w:t>
              </w:r>
              <w:r w:rsidRPr="00CD4FE5">
                <w:rPr>
                  <w:rStyle w:val="Hyperlink"/>
                  <w:rFonts w:eastAsiaTheme="minorEastAsia" w:cstheme="minorHAnsi"/>
                  <w:sz w:val="20"/>
                  <w:lang w:eastAsia="zh-CN"/>
                </w:rPr>
                <w:t>号决议</w:t>
              </w:r>
            </w:hyperlink>
            <w:r w:rsidRPr="00CD4FE5">
              <w:rPr>
                <w:rFonts w:eastAsiaTheme="minorEastAsia" w:cstheme="minorHAnsi"/>
                <w:sz w:val="20"/>
                <w:lang w:eastAsia="zh-CN"/>
              </w:rPr>
              <w:t>、</w:t>
            </w:r>
            <w:hyperlink r:id="rId248" w:anchor="page=1" w:history="1">
              <w:r w:rsidRPr="00CD4FE5">
                <w:rPr>
                  <w:rStyle w:val="Hyperlink"/>
                  <w:rFonts w:eastAsiaTheme="minorEastAsia" w:cstheme="minorHAnsi" w:hint="eastAsia"/>
                  <w:sz w:val="20"/>
                  <w:lang w:eastAsia="zh-CN"/>
                </w:rPr>
                <w:t>项目</w:t>
              </w:r>
              <w:r w:rsidRPr="00CD4FE5">
                <w:rPr>
                  <w:rStyle w:val="Hyperlink"/>
                  <w:rFonts w:eastAsiaTheme="minorEastAsia" w:cstheme="minorHAnsi"/>
                  <w:sz w:val="20"/>
                  <w:lang w:eastAsia="zh-CN"/>
                </w:rPr>
                <w:t>3</w:t>
              </w:r>
            </w:hyperlink>
            <w:r w:rsidRPr="00CD4FE5">
              <w:rPr>
                <w:rFonts w:eastAsiaTheme="minorEastAsia" w:cstheme="minorHAnsi"/>
                <w:sz w:val="20"/>
                <w:lang w:eastAsia="zh-CN"/>
              </w:rPr>
              <w:t>（</w:t>
            </w:r>
            <w:r w:rsidRPr="00CD4FE5">
              <w:rPr>
                <w:rFonts w:eastAsiaTheme="minorEastAsia" w:cstheme="minorHAnsi"/>
                <w:sz w:val="20"/>
                <w:lang w:eastAsia="zh-CN"/>
              </w:rPr>
              <w:t>2006</w:t>
            </w:r>
            <w:r w:rsidRPr="00CD4FE5">
              <w:rPr>
                <w:rFonts w:eastAsiaTheme="minorEastAsia" w:cstheme="minorHAnsi"/>
                <w:sz w:val="20"/>
                <w:lang w:eastAsia="zh-CN"/>
              </w:rPr>
              <w:t>年，多哈，修订版）</w:t>
            </w:r>
          </w:p>
          <w:p w14:paraId="4827B342" w14:textId="77777777" w:rsidR="008877DC" w:rsidRPr="00CD4FE5" w:rsidRDefault="008877DC" w:rsidP="00DE35A6">
            <w:pPr>
              <w:tabs>
                <w:tab w:val="clear" w:pos="794"/>
                <w:tab w:val="clear" w:pos="1191"/>
                <w:tab w:val="clear" w:pos="1588"/>
                <w:tab w:val="clear" w:pos="1985"/>
                <w:tab w:val="left" w:pos="284"/>
              </w:tabs>
              <w:overflowPunct/>
              <w:adjustRightInd/>
              <w:spacing w:before="40" w:after="40"/>
              <w:ind w:left="284" w:hanging="284"/>
              <w:textAlignment w:val="auto"/>
              <w:rPr>
                <w:rFonts w:eastAsiaTheme="minorEastAsia" w:cstheme="minorHAnsi"/>
                <w:sz w:val="20"/>
                <w:lang w:eastAsia="zh-CN"/>
              </w:rPr>
            </w:pPr>
            <w:r w:rsidRPr="00CD4FE5">
              <w:rPr>
                <w:rFonts w:eastAsiaTheme="minorEastAsia" w:cstheme="minorHAnsi"/>
                <w:sz w:val="20"/>
                <w:lang w:val="fr-FR" w:eastAsia="zh-CN"/>
              </w:rPr>
              <w:t>•</w:t>
            </w:r>
            <w:r w:rsidRPr="00CD4FE5">
              <w:rPr>
                <w:rFonts w:eastAsiaTheme="minorEastAsia" w:cstheme="minorHAnsi"/>
                <w:sz w:val="20"/>
                <w:lang w:val="fr-FR" w:eastAsia="zh-CN"/>
              </w:rPr>
              <w:tab/>
            </w:r>
            <w:r w:rsidRPr="003A763A">
              <w:rPr>
                <w:rStyle w:val="Hyperlink"/>
                <w:rFonts w:eastAsiaTheme="minorEastAsia" w:cstheme="minorHAnsi"/>
                <w:sz w:val="20"/>
                <w:lang w:eastAsia="zh-CN"/>
              </w:rPr>
              <w:t>WTSA</w:t>
            </w:r>
            <w:r w:rsidRPr="003A763A">
              <w:rPr>
                <w:rStyle w:val="Hyperlink"/>
                <w:rFonts w:eastAsiaTheme="minorEastAsia" w:cstheme="minorHAnsi"/>
                <w:sz w:val="20"/>
                <w:lang w:eastAsia="zh-CN"/>
              </w:rPr>
              <w:t>第</w:t>
            </w:r>
            <w:r w:rsidRPr="003A763A">
              <w:rPr>
                <w:rStyle w:val="Hyperlink"/>
                <w:rFonts w:eastAsiaTheme="minorEastAsia" w:cstheme="minorHAnsi"/>
                <w:sz w:val="20"/>
                <w:lang w:eastAsia="zh-CN"/>
              </w:rPr>
              <w:t>50</w:t>
            </w:r>
            <w:r w:rsidRPr="003A763A">
              <w:rPr>
                <w:rStyle w:val="Hyperlink"/>
                <w:rFonts w:eastAsiaTheme="minorEastAsia" w:cstheme="minorHAnsi" w:hint="eastAsia"/>
                <w:sz w:val="20"/>
                <w:lang w:eastAsia="zh-CN"/>
              </w:rPr>
              <w:t>和</w:t>
            </w:r>
            <w:hyperlink r:id="rId249" w:anchor="page=4" w:history="1">
              <w:r w:rsidRPr="003A763A">
                <w:rPr>
                  <w:rStyle w:val="Hyperlink"/>
                  <w:sz w:val="20"/>
                  <w:lang w:val="en-US" w:eastAsia="zh-CN"/>
                </w:rPr>
                <w:t>52</w:t>
              </w:r>
            </w:hyperlink>
            <w:r w:rsidRPr="003A763A">
              <w:rPr>
                <w:rStyle w:val="Hyperlink"/>
                <w:rFonts w:eastAsiaTheme="minorEastAsia" w:cstheme="minorHAnsi"/>
                <w:sz w:val="20"/>
                <w:lang w:eastAsia="zh-CN"/>
              </w:rPr>
              <w:t>号决议</w:t>
            </w:r>
            <w:r w:rsidRPr="00CD4FE5">
              <w:rPr>
                <w:rFonts w:eastAsiaTheme="minorEastAsia" w:cstheme="minorHAnsi"/>
                <w:sz w:val="20"/>
                <w:lang w:eastAsia="zh-CN"/>
              </w:rPr>
              <w:t>（</w:t>
            </w:r>
            <w:r w:rsidRPr="00CD4FE5">
              <w:rPr>
                <w:rFonts w:eastAsiaTheme="minorEastAsia" w:cstheme="minorHAnsi"/>
                <w:sz w:val="20"/>
                <w:lang w:eastAsia="zh-CN"/>
              </w:rPr>
              <w:t>2008</w:t>
            </w:r>
            <w:r w:rsidRPr="00CD4FE5">
              <w:rPr>
                <w:rFonts w:eastAsiaTheme="minorEastAsia" w:cstheme="minorHAnsi"/>
                <w:sz w:val="20"/>
                <w:lang w:eastAsia="zh-CN"/>
              </w:rPr>
              <w:t>年，约翰内斯堡，修订版）</w:t>
            </w:r>
          </w:p>
          <w:p w14:paraId="4827B343" w14:textId="77777777" w:rsidR="008877DC" w:rsidRPr="00CD4FE5" w:rsidRDefault="008877DC" w:rsidP="00DE35A6">
            <w:pPr>
              <w:tabs>
                <w:tab w:val="clear" w:pos="794"/>
                <w:tab w:val="clear" w:pos="1191"/>
                <w:tab w:val="clear" w:pos="1588"/>
                <w:tab w:val="clear" w:pos="1985"/>
                <w:tab w:val="left" w:pos="284"/>
              </w:tabs>
              <w:overflowPunct/>
              <w:adjustRightInd/>
              <w:spacing w:before="40" w:after="40"/>
              <w:ind w:left="284" w:hanging="284"/>
              <w:textAlignment w:val="auto"/>
              <w:rPr>
                <w:rFonts w:eastAsiaTheme="minorEastAsia" w:cstheme="minorHAnsi"/>
                <w:sz w:val="20"/>
                <w:lang w:eastAsia="zh-CN"/>
              </w:rPr>
            </w:pPr>
            <w:r w:rsidRPr="00CD4FE5">
              <w:rPr>
                <w:rFonts w:eastAsiaTheme="minorEastAsia" w:cstheme="minorHAnsi"/>
                <w:sz w:val="20"/>
                <w:lang w:val="fr-FR" w:eastAsia="zh-CN"/>
              </w:rPr>
              <w:t>•</w:t>
            </w:r>
            <w:r w:rsidRPr="00CD4FE5">
              <w:rPr>
                <w:rFonts w:eastAsiaTheme="minorEastAsia" w:cstheme="minorHAnsi"/>
                <w:sz w:val="20"/>
                <w:lang w:val="fr-FR" w:eastAsia="zh-CN"/>
              </w:rPr>
              <w:tab/>
            </w:r>
            <w:hyperlink r:id="rId250" w:history="1">
              <w:r w:rsidRPr="00CD4FE5">
                <w:rPr>
                  <w:rStyle w:val="Hyperlink"/>
                  <w:rFonts w:eastAsiaTheme="minorEastAsia" w:cstheme="minorHAnsi"/>
                  <w:sz w:val="20"/>
                  <w:lang w:eastAsia="zh-CN"/>
                </w:rPr>
                <w:t>ITU-T</w:t>
              </w:r>
              <w:r w:rsidRPr="00CD4FE5">
                <w:rPr>
                  <w:rStyle w:val="Hyperlink"/>
                  <w:rFonts w:eastAsiaTheme="minorEastAsia" w:cstheme="minorHAnsi"/>
                  <w:sz w:val="20"/>
                  <w:lang w:eastAsia="zh-CN"/>
                </w:rPr>
                <w:t>第</w:t>
              </w:r>
              <w:r w:rsidRPr="00CD4FE5">
                <w:rPr>
                  <w:rStyle w:val="Hyperlink"/>
                  <w:rFonts w:eastAsiaTheme="minorEastAsia" w:cstheme="minorHAnsi"/>
                  <w:sz w:val="20"/>
                  <w:lang w:eastAsia="zh-CN"/>
                </w:rPr>
                <w:t>17</w:t>
              </w:r>
              <w:r w:rsidRPr="00CD4FE5">
                <w:rPr>
                  <w:rStyle w:val="Hyperlink"/>
                  <w:rFonts w:eastAsiaTheme="minorEastAsia" w:cstheme="minorHAnsi"/>
                  <w:sz w:val="20"/>
                  <w:lang w:eastAsia="zh-CN"/>
                </w:rPr>
                <w:t>研究组</w:t>
              </w:r>
            </w:hyperlink>
            <w:r w:rsidRPr="00CD4FE5">
              <w:rPr>
                <w:rFonts w:eastAsiaTheme="minorEastAsia" w:cstheme="minorHAnsi"/>
                <w:sz w:val="20"/>
                <w:lang w:eastAsia="zh-CN"/>
              </w:rPr>
              <w:t>、</w:t>
            </w:r>
            <w:hyperlink r:id="rId251" w:history="1">
              <w:r w:rsidRPr="00CD4FE5">
                <w:rPr>
                  <w:rStyle w:val="Hyperlink"/>
                  <w:rFonts w:eastAsiaTheme="minorEastAsia" w:cstheme="minorHAnsi"/>
                  <w:sz w:val="20"/>
                  <w:lang w:eastAsia="zh-CN"/>
                </w:rPr>
                <w:t>ITU-D</w:t>
              </w:r>
              <w:r w:rsidRPr="00CD4FE5">
                <w:rPr>
                  <w:rStyle w:val="Hyperlink"/>
                  <w:rFonts w:eastAsiaTheme="minorEastAsia" w:cstheme="minorHAnsi"/>
                  <w:sz w:val="20"/>
                  <w:lang w:eastAsia="zh-CN"/>
                </w:rPr>
                <w:t>第</w:t>
              </w:r>
              <w:r w:rsidRPr="00CD4FE5">
                <w:rPr>
                  <w:rStyle w:val="Hyperlink"/>
                  <w:rFonts w:eastAsiaTheme="minorEastAsia" w:cstheme="minorHAnsi"/>
                  <w:sz w:val="20"/>
                  <w:lang w:eastAsia="zh-CN"/>
                </w:rPr>
                <w:t>1</w:t>
              </w:r>
              <w:r w:rsidRPr="00CD4FE5">
                <w:rPr>
                  <w:rStyle w:val="Hyperlink"/>
                  <w:rFonts w:eastAsiaTheme="minorEastAsia" w:cstheme="minorHAnsi"/>
                  <w:sz w:val="20"/>
                  <w:lang w:eastAsia="zh-CN"/>
                </w:rPr>
                <w:t>研究组</w:t>
              </w:r>
            </w:hyperlink>
          </w:p>
          <w:p w14:paraId="4827B344" w14:textId="77777777" w:rsidR="008877DC" w:rsidRPr="00CD4FE5" w:rsidRDefault="008877DC" w:rsidP="00DE35A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val="fr-FR" w:eastAsia="zh-CN"/>
              </w:rPr>
            </w:pPr>
            <w:r w:rsidRPr="00CD4FE5">
              <w:rPr>
                <w:rFonts w:eastAsiaTheme="minorEastAsia" w:cstheme="minorHAnsi"/>
                <w:sz w:val="20"/>
                <w:lang w:val="fr-FR" w:eastAsia="zh-CN"/>
              </w:rPr>
              <w:t>•</w:t>
            </w:r>
            <w:r w:rsidRPr="00CD4FE5">
              <w:rPr>
                <w:rFonts w:eastAsiaTheme="minorEastAsia" w:cstheme="minorHAnsi"/>
                <w:sz w:val="20"/>
                <w:lang w:val="fr-FR" w:eastAsia="zh-CN"/>
              </w:rPr>
              <w:tab/>
            </w:r>
            <w:hyperlink r:id="rId252" w:anchor="page=7" w:history="1">
              <w:r w:rsidRPr="00CD4FE5">
                <w:rPr>
                  <w:rStyle w:val="Hyperlink"/>
                  <w:rFonts w:eastAsiaTheme="minorEastAsia" w:cstheme="minorHAnsi"/>
                  <w:spacing w:val="-4"/>
                  <w:sz w:val="20"/>
                  <w:lang w:eastAsia="zh-CN"/>
                </w:rPr>
                <w:t>PP</w:t>
              </w:r>
              <w:r w:rsidRPr="00CD4FE5">
                <w:rPr>
                  <w:rStyle w:val="Hyperlink"/>
                  <w:rFonts w:eastAsiaTheme="minorEastAsia" w:cstheme="minorHAnsi"/>
                  <w:spacing w:val="-4"/>
                  <w:sz w:val="20"/>
                  <w:lang w:eastAsia="zh-CN"/>
                </w:rPr>
                <w:t>第</w:t>
              </w:r>
              <w:r w:rsidRPr="00CD4FE5">
                <w:rPr>
                  <w:rStyle w:val="Hyperlink"/>
                  <w:rFonts w:eastAsiaTheme="minorEastAsia" w:cstheme="minorHAnsi"/>
                  <w:spacing w:val="-4"/>
                  <w:sz w:val="20"/>
                  <w:lang w:eastAsia="zh-CN"/>
                </w:rPr>
                <w:t>71</w:t>
              </w:r>
              <w:r w:rsidRPr="00CD4FE5">
                <w:rPr>
                  <w:rStyle w:val="Hyperlink"/>
                  <w:rFonts w:eastAsiaTheme="minorEastAsia" w:cstheme="minorHAnsi"/>
                  <w:spacing w:val="-4"/>
                  <w:sz w:val="20"/>
                  <w:lang w:eastAsia="zh-CN"/>
                </w:rPr>
                <w:t>号决议</w:t>
              </w:r>
              <w:r w:rsidRPr="00CD4FE5">
                <w:rPr>
                  <w:rStyle w:val="Hyperlink"/>
                  <w:rFonts w:eastAsiaTheme="minorEastAsia" w:cstheme="minorHAnsi"/>
                  <w:spacing w:val="-4"/>
                  <w:sz w:val="20"/>
                  <w:lang w:eastAsia="zh-CN"/>
                </w:rPr>
                <w:t xml:space="preserve"> – </w:t>
              </w:r>
              <w:r w:rsidRPr="00CD4FE5">
                <w:rPr>
                  <w:rStyle w:val="Hyperlink"/>
                  <w:rFonts w:eastAsiaTheme="minorEastAsia" w:cstheme="minorHAnsi"/>
                  <w:spacing w:val="-4"/>
                  <w:sz w:val="20"/>
                  <w:lang w:eastAsia="zh-CN"/>
                </w:rPr>
                <w:t>战略目标</w:t>
              </w:r>
              <w:r w:rsidRPr="00CD4FE5">
                <w:rPr>
                  <w:rStyle w:val="Hyperlink"/>
                  <w:rFonts w:eastAsiaTheme="minorEastAsia" w:cstheme="minorHAnsi"/>
                  <w:spacing w:val="-4"/>
                  <w:sz w:val="20"/>
                  <w:lang w:eastAsia="zh-CN"/>
                </w:rPr>
                <w:t>4</w:t>
              </w:r>
            </w:hyperlink>
            <w:r w:rsidRPr="00CD4FE5">
              <w:rPr>
                <w:rFonts w:eastAsiaTheme="minorEastAsia" w:cstheme="minorHAnsi"/>
                <w:spacing w:val="-4"/>
                <w:sz w:val="20"/>
                <w:lang w:eastAsia="zh-CN"/>
              </w:rPr>
              <w:t>（</w:t>
            </w:r>
            <w:r w:rsidRPr="00CD4FE5">
              <w:rPr>
                <w:rFonts w:eastAsiaTheme="minorEastAsia" w:cstheme="minorHAnsi"/>
                <w:spacing w:val="-4"/>
                <w:sz w:val="20"/>
                <w:lang w:eastAsia="zh-CN"/>
              </w:rPr>
              <w:t>2006</w:t>
            </w:r>
            <w:r w:rsidRPr="00CD4FE5">
              <w:rPr>
                <w:rFonts w:eastAsiaTheme="minorEastAsia" w:cstheme="minorHAnsi"/>
                <w:spacing w:val="-4"/>
                <w:sz w:val="20"/>
                <w:lang w:eastAsia="zh-CN"/>
              </w:rPr>
              <w:t>年，安塔利亚，修订版）</w:t>
            </w:r>
          </w:p>
        </w:tc>
      </w:tr>
      <w:tr w:rsidR="008877DC" w:rsidRPr="00150DD4" w14:paraId="4827B34C" w14:textId="77777777" w:rsidTr="003C22D4">
        <w:trPr>
          <w:tblHeader/>
        </w:trPr>
        <w:tc>
          <w:tcPr>
            <w:tcW w:w="541" w:type="dxa"/>
            <w:tcBorders>
              <w:bottom w:val="single" w:sz="4" w:space="0" w:color="auto"/>
            </w:tcBorders>
          </w:tcPr>
          <w:p w14:paraId="4827B346" w14:textId="77777777" w:rsidR="008877DC" w:rsidRPr="00150DD4" w:rsidRDefault="008877DC" w:rsidP="00DE35A6">
            <w:pPr>
              <w:pStyle w:val="Tabletext"/>
              <w:jc w:val="center"/>
              <w:rPr>
                <w:rFonts w:eastAsiaTheme="minorEastAsia" w:cstheme="minorHAnsi"/>
                <w:sz w:val="20"/>
              </w:rPr>
            </w:pPr>
            <w:r w:rsidRPr="00150DD4">
              <w:rPr>
                <w:rFonts w:eastAsiaTheme="minorEastAsia" w:cstheme="minorHAnsi"/>
                <w:sz w:val="20"/>
              </w:rPr>
              <w:t>5</w:t>
            </w:r>
          </w:p>
        </w:tc>
        <w:tc>
          <w:tcPr>
            <w:tcW w:w="3070" w:type="dxa"/>
            <w:tcBorders>
              <w:bottom w:val="single" w:sz="4" w:space="0" w:color="auto"/>
            </w:tcBorders>
          </w:tcPr>
          <w:p w14:paraId="4827B347" w14:textId="77777777" w:rsidR="008877DC" w:rsidRPr="00150DD4" w:rsidRDefault="008877DC" w:rsidP="00DE35A6">
            <w:pPr>
              <w:pStyle w:val="NormalIndent"/>
              <w:tabs>
                <w:tab w:val="left" w:pos="213"/>
              </w:tabs>
              <w:spacing w:before="40" w:after="40"/>
              <w:ind w:left="57"/>
              <w:rPr>
                <w:rFonts w:eastAsiaTheme="minorEastAsia" w:cstheme="minorHAnsi"/>
                <w:sz w:val="20"/>
              </w:rPr>
            </w:pPr>
            <w:r w:rsidRPr="00150DD4">
              <w:rPr>
                <w:rFonts w:eastAsiaTheme="minorEastAsia" w:cstheme="minorHAnsi"/>
                <w:sz w:val="20"/>
              </w:rPr>
              <w:t>打击网络犯罪</w:t>
            </w:r>
          </w:p>
        </w:tc>
        <w:tc>
          <w:tcPr>
            <w:tcW w:w="5882" w:type="dxa"/>
            <w:tcBorders>
              <w:bottom w:val="single" w:sz="4" w:space="0" w:color="auto"/>
            </w:tcBorders>
          </w:tcPr>
          <w:p w14:paraId="4827B348" w14:textId="77777777" w:rsidR="008877DC" w:rsidRPr="003A763A" w:rsidRDefault="008877DC" w:rsidP="00DE35A6">
            <w:pPr>
              <w:tabs>
                <w:tab w:val="clear" w:pos="794"/>
                <w:tab w:val="clear" w:pos="1191"/>
                <w:tab w:val="clear" w:pos="1588"/>
                <w:tab w:val="clear" w:pos="1985"/>
                <w:tab w:val="left" w:pos="284"/>
              </w:tabs>
              <w:overflowPunct/>
              <w:adjustRightInd/>
              <w:spacing w:before="40" w:after="40"/>
              <w:ind w:left="284" w:hanging="284"/>
              <w:textAlignment w:val="auto"/>
              <w:rPr>
                <w:rFonts w:eastAsiaTheme="minorEastAsia" w:cstheme="minorHAnsi"/>
                <w:sz w:val="20"/>
                <w:lang w:eastAsia="zh-CN"/>
              </w:rPr>
            </w:pPr>
            <w:r w:rsidRPr="003A763A">
              <w:rPr>
                <w:rFonts w:eastAsiaTheme="minorEastAsia" w:cstheme="minorHAnsi"/>
                <w:sz w:val="20"/>
                <w:lang w:eastAsia="zh-CN"/>
              </w:rPr>
              <w:t>•</w:t>
            </w:r>
            <w:r w:rsidRPr="003A763A">
              <w:rPr>
                <w:rFonts w:eastAsiaTheme="minorEastAsia" w:cstheme="minorHAnsi"/>
                <w:sz w:val="20"/>
                <w:lang w:eastAsia="zh-CN"/>
              </w:rPr>
              <w:tab/>
            </w:r>
            <w:hyperlink r:id="rId253" w:history="1">
              <w:r w:rsidRPr="003A763A">
                <w:rPr>
                  <w:rStyle w:val="Hyperlink"/>
                  <w:sz w:val="20"/>
                  <w:lang w:val="en-US" w:eastAsia="zh-CN"/>
                </w:rPr>
                <w:t>WSIS AL C5</w:t>
              </w:r>
              <w:r w:rsidRPr="003A763A">
                <w:rPr>
                  <w:rStyle w:val="Hyperlink"/>
                  <w:rFonts w:eastAsiaTheme="minorEastAsia" w:cstheme="minorHAnsi"/>
                  <w:sz w:val="20"/>
                  <w:lang w:eastAsia="zh-CN"/>
                </w:rPr>
                <w:t>牵头推进方（</w:t>
              </w:r>
              <w:r w:rsidRPr="003A763A">
                <w:rPr>
                  <w:rStyle w:val="Hyperlink"/>
                  <w:rFonts w:eastAsiaTheme="minorEastAsia" w:cstheme="minorHAnsi"/>
                  <w:sz w:val="20"/>
                  <w:lang w:eastAsia="zh-CN"/>
                </w:rPr>
                <w:t>2005</w:t>
              </w:r>
              <w:r w:rsidRPr="003A763A">
                <w:rPr>
                  <w:rStyle w:val="Hyperlink"/>
                  <w:rFonts w:eastAsiaTheme="minorEastAsia" w:cstheme="minorHAnsi"/>
                  <w:sz w:val="20"/>
                  <w:lang w:eastAsia="zh-CN"/>
                </w:rPr>
                <w:t>年，突尼斯）</w:t>
              </w:r>
            </w:hyperlink>
          </w:p>
          <w:p w14:paraId="4827B349" w14:textId="77777777" w:rsidR="008877DC" w:rsidRPr="00CD4FE5" w:rsidRDefault="008877DC" w:rsidP="00DE35A6">
            <w:pPr>
              <w:tabs>
                <w:tab w:val="clear" w:pos="794"/>
                <w:tab w:val="clear" w:pos="1191"/>
                <w:tab w:val="clear" w:pos="1588"/>
                <w:tab w:val="clear" w:pos="1985"/>
                <w:tab w:val="left" w:pos="284"/>
              </w:tabs>
              <w:overflowPunct/>
              <w:adjustRightInd/>
              <w:spacing w:before="40" w:after="40"/>
              <w:ind w:left="284" w:hanging="284"/>
              <w:textAlignment w:val="auto"/>
              <w:rPr>
                <w:rFonts w:eastAsiaTheme="minorEastAsia" w:cstheme="minorHAnsi"/>
                <w:sz w:val="20"/>
                <w:lang w:eastAsia="zh-CN"/>
              </w:rPr>
            </w:pPr>
            <w:r w:rsidRPr="00CD4FE5">
              <w:rPr>
                <w:rFonts w:eastAsiaTheme="minorEastAsia" w:cstheme="minorHAnsi"/>
                <w:sz w:val="20"/>
                <w:lang w:val="fr-FR" w:eastAsia="zh-CN"/>
              </w:rPr>
              <w:t>•</w:t>
            </w:r>
            <w:r w:rsidRPr="00CD4FE5">
              <w:rPr>
                <w:rFonts w:eastAsiaTheme="minorEastAsia" w:cstheme="minorHAnsi"/>
                <w:sz w:val="20"/>
                <w:lang w:val="fr-FR" w:eastAsia="zh-CN"/>
              </w:rPr>
              <w:tab/>
            </w:r>
            <w:hyperlink r:id="rId254" w:anchor="page=1" w:history="1">
              <w:r w:rsidRPr="00CD4FE5">
                <w:rPr>
                  <w:rStyle w:val="Hyperlink"/>
                  <w:rFonts w:eastAsiaTheme="minorEastAsia" w:cstheme="minorHAnsi"/>
                  <w:sz w:val="20"/>
                  <w:lang w:eastAsia="zh-CN"/>
                </w:rPr>
                <w:t>WTDC</w:t>
              </w:r>
              <w:r w:rsidRPr="00CD4FE5">
                <w:rPr>
                  <w:rStyle w:val="Hyperlink"/>
                  <w:rFonts w:eastAsiaTheme="minorEastAsia" w:cstheme="minorHAnsi" w:hint="eastAsia"/>
                  <w:sz w:val="20"/>
                  <w:lang w:eastAsia="zh-CN"/>
                </w:rPr>
                <w:t>项目</w:t>
              </w:r>
              <w:r w:rsidRPr="00CD4FE5">
                <w:rPr>
                  <w:rStyle w:val="Hyperlink"/>
                  <w:rFonts w:eastAsiaTheme="minorEastAsia" w:cstheme="minorHAnsi"/>
                  <w:sz w:val="20"/>
                  <w:lang w:eastAsia="zh-CN"/>
                </w:rPr>
                <w:t>3</w:t>
              </w:r>
            </w:hyperlink>
            <w:r w:rsidRPr="00CD4FE5">
              <w:rPr>
                <w:rFonts w:eastAsiaTheme="minorEastAsia" w:cstheme="minorHAnsi"/>
                <w:sz w:val="20"/>
                <w:lang w:eastAsia="zh-CN"/>
              </w:rPr>
              <w:t>（</w:t>
            </w:r>
            <w:r w:rsidRPr="00CD4FE5">
              <w:rPr>
                <w:rFonts w:eastAsiaTheme="minorEastAsia" w:cstheme="minorHAnsi"/>
                <w:sz w:val="20"/>
                <w:lang w:eastAsia="zh-CN"/>
              </w:rPr>
              <w:t>2006</w:t>
            </w:r>
            <w:r w:rsidRPr="00CD4FE5">
              <w:rPr>
                <w:rFonts w:eastAsiaTheme="minorEastAsia" w:cstheme="minorHAnsi"/>
                <w:sz w:val="20"/>
                <w:lang w:eastAsia="zh-CN"/>
              </w:rPr>
              <w:t>年，多哈，修订版）</w:t>
            </w:r>
          </w:p>
          <w:p w14:paraId="4827B34A" w14:textId="77777777" w:rsidR="008877DC" w:rsidRPr="00CD4FE5" w:rsidRDefault="008877DC" w:rsidP="00DE35A6">
            <w:pPr>
              <w:tabs>
                <w:tab w:val="clear" w:pos="794"/>
                <w:tab w:val="clear" w:pos="1191"/>
                <w:tab w:val="clear" w:pos="1588"/>
                <w:tab w:val="clear" w:pos="1985"/>
                <w:tab w:val="left" w:pos="284"/>
              </w:tabs>
              <w:overflowPunct/>
              <w:adjustRightInd/>
              <w:spacing w:before="40" w:after="40"/>
              <w:ind w:left="284" w:hanging="284"/>
              <w:textAlignment w:val="auto"/>
              <w:rPr>
                <w:rFonts w:eastAsiaTheme="minorEastAsia" w:cstheme="minorHAnsi"/>
                <w:spacing w:val="-4"/>
                <w:sz w:val="20"/>
                <w:lang w:eastAsia="zh-CN"/>
              </w:rPr>
            </w:pPr>
            <w:r w:rsidRPr="00CD4FE5">
              <w:rPr>
                <w:rFonts w:eastAsiaTheme="minorEastAsia" w:cstheme="minorHAnsi"/>
                <w:sz w:val="20"/>
                <w:lang w:val="fr-FR" w:eastAsia="zh-CN"/>
              </w:rPr>
              <w:t>•</w:t>
            </w:r>
            <w:r w:rsidRPr="00CD4FE5">
              <w:rPr>
                <w:rFonts w:eastAsiaTheme="minorEastAsia" w:cstheme="minorHAnsi"/>
                <w:sz w:val="20"/>
                <w:lang w:val="fr-FR" w:eastAsia="zh-CN"/>
              </w:rPr>
              <w:tab/>
            </w:r>
            <w:hyperlink r:id="rId255" w:anchor="page=7" w:history="1">
              <w:r w:rsidRPr="00CD4FE5">
                <w:rPr>
                  <w:rStyle w:val="Hyperlink"/>
                  <w:rFonts w:eastAsiaTheme="minorEastAsia" w:cstheme="minorHAnsi"/>
                  <w:spacing w:val="-4"/>
                  <w:sz w:val="20"/>
                  <w:lang w:eastAsia="zh-CN"/>
                </w:rPr>
                <w:t>PP</w:t>
              </w:r>
              <w:r w:rsidRPr="00CD4FE5">
                <w:rPr>
                  <w:rStyle w:val="Hyperlink"/>
                  <w:rFonts w:eastAsiaTheme="minorEastAsia" w:cstheme="minorHAnsi"/>
                  <w:spacing w:val="-4"/>
                  <w:sz w:val="20"/>
                  <w:lang w:eastAsia="zh-CN"/>
                </w:rPr>
                <w:t>第</w:t>
              </w:r>
              <w:r w:rsidRPr="00CD4FE5">
                <w:rPr>
                  <w:rStyle w:val="Hyperlink"/>
                  <w:rFonts w:eastAsiaTheme="minorEastAsia" w:cstheme="minorHAnsi"/>
                  <w:spacing w:val="-4"/>
                  <w:sz w:val="20"/>
                  <w:lang w:eastAsia="zh-CN"/>
                </w:rPr>
                <w:t>71</w:t>
              </w:r>
              <w:r w:rsidRPr="00CD4FE5">
                <w:rPr>
                  <w:rStyle w:val="Hyperlink"/>
                  <w:rFonts w:eastAsiaTheme="minorEastAsia" w:cstheme="minorHAnsi"/>
                  <w:spacing w:val="-4"/>
                  <w:sz w:val="20"/>
                  <w:lang w:eastAsia="zh-CN"/>
                </w:rPr>
                <w:t>号决议</w:t>
              </w:r>
              <w:r w:rsidRPr="00CD4FE5">
                <w:rPr>
                  <w:rStyle w:val="Hyperlink"/>
                  <w:rFonts w:eastAsiaTheme="minorEastAsia" w:cstheme="minorHAnsi"/>
                  <w:spacing w:val="-4"/>
                  <w:sz w:val="20"/>
                  <w:lang w:eastAsia="zh-CN"/>
                </w:rPr>
                <w:t xml:space="preserve"> – </w:t>
              </w:r>
              <w:r w:rsidRPr="00CD4FE5">
                <w:rPr>
                  <w:rStyle w:val="Hyperlink"/>
                  <w:rFonts w:eastAsiaTheme="minorEastAsia" w:cstheme="minorHAnsi"/>
                  <w:spacing w:val="-4"/>
                  <w:sz w:val="20"/>
                  <w:lang w:eastAsia="zh-CN"/>
                </w:rPr>
                <w:t>战略目标</w:t>
              </w:r>
              <w:r w:rsidRPr="00CD4FE5">
                <w:rPr>
                  <w:rStyle w:val="Hyperlink"/>
                  <w:rFonts w:eastAsiaTheme="minorEastAsia" w:cstheme="minorHAnsi"/>
                  <w:spacing w:val="-4"/>
                  <w:sz w:val="20"/>
                  <w:lang w:eastAsia="zh-CN"/>
                </w:rPr>
                <w:t>4</w:t>
              </w:r>
            </w:hyperlink>
            <w:r w:rsidRPr="00CD4FE5">
              <w:rPr>
                <w:rFonts w:eastAsiaTheme="minorEastAsia" w:cstheme="minorHAnsi"/>
                <w:spacing w:val="-4"/>
                <w:sz w:val="20"/>
                <w:lang w:eastAsia="zh-CN"/>
              </w:rPr>
              <w:t>（</w:t>
            </w:r>
            <w:r w:rsidRPr="00CD4FE5">
              <w:rPr>
                <w:rFonts w:eastAsiaTheme="minorEastAsia" w:cstheme="minorHAnsi"/>
                <w:spacing w:val="-4"/>
                <w:sz w:val="20"/>
                <w:lang w:eastAsia="zh-CN"/>
              </w:rPr>
              <w:t>2006</w:t>
            </w:r>
            <w:r w:rsidRPr="00CD4FE5">
              <w:rPr>
                <w:rFonts w:eastAsiaTheme="minorEastAsia" w:cstheme="minorHAnsi"/>
                <w:spacing w:val="-4"/>
                <w:sz w:val="20"/>
                <w:lang w:eastAsia="zh-CN"/>
              </w:rPr>
              <w:t>年，安塔利亚，修订版）</w:t>
            </w:r>
          </w:p>
          <w:p w14:paraId="4827B34B" w14:textId="77777777" w:rsidR="008877DC" w:rsidRPr="00CD4FE5" w:rsidRDefault="008877DC" w:rsidP="00DE35A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val="fr-FR"/>
              </w:rPr>
            </w:pPr>
            <w:r w:rsidRPr="00CD4FE5">
              <w:rPr>
                <w:rFonts w:eastAsiaTheme="minorEastAsia" w:cstheme="minorHAnsi"/>
                <w:sz w:val="20"/>
                <w:lang w:val="fr-FR"/>
              </w:rPr>
              <w:t>•</w:t>
            </w:r>
            <w:r w:rsidRPr="00CD4FE5">
              <w:rPr>
                <w:rFonts w:eastAsiaTheme="minorEastAsia" w:cstheme="minorHAnsi"/>
                <w:sz w:val="20"/>
                <w:lang w:val="fr-FR"/>
              </w:rPr>
              <w:tab/>
            </w:r>
            <w:hyperlink r:id="rId256" w:history="1">
              <w:r w:rsidRPr="00CD4FE5">
                <w:rPr>
                  <w:rStyle w:val="Hyperlink"/>
                  <w:rFonts w:eastAsiaTheme="minorEastAsia" w:cstheme="minorHAnsi"/>
                  <w:sz w:val="20"/>
                </w:rPr>
                <w:t>ITU-D</w:t>
              </w:r>
              <w:r w:rsidRPr="00CD4FE5">
                <w:rPr>
                  <w:rStyle w:val="Hyperlink"/>
                  <w:rFonts w:eastAsiaTheme="minorEastAsia" w:cstheme="minorHAnsi"/>
                  <w:sz w:val="20"/>
                </w:rPr>
                <w:t>第</w:t>
              </w:r>
              <w:r w:rsidRPr="00CD4FE5">
                <w:rPr>
                  <w:rStyle w:val="Hyperlink"/>
                  <w:rFonts w:eastAsiaTheme="minorEastAsia" w:cstheme="minorHAnsi"/>
                  <w:sz w:val="20"/>
                </w:rPr>
                <w:t>1</w:t>
              </w:r>
            </w:hyperlink>
            <w:r w:rsidRPr="00CD4FE5">
              <w:rPr>
                <w:rStyle w:val="Hyperlink"/>
                <w:rFonts w:eastAsiaTheme="minorEastAsia" w:cstheme="minorHAnsi"/>
                <w:sz w:val="20"/>
              </w:rPr>
              <w:t>研究组</w:t>
            </w:r>
          </w:p>
        </w:tc>
      </w:tr>
      <w:tr w:rsidR="003C22D4" w:rsidRPr="00CD4FE5" w14:paraId="4827B353" w14:textId="77777777" w:rsidTr="003C22D4">
        <w:tblPrEx>
          <w:tblLook w:val="04A0" w:firstRow="1" w:lastRow="0" w:firstColumn="1" w:lastColumn="0" w:noHBand="0" w:noVBand="1"/>
        </w:tblPrEx>
        <w:tc>
          <w:tcPr>
            <w:tcW w:w="541" w:type="dxa"/>
          </w:tcPr>
          <w:p w14:paraId="4827B34D" w14:textId="77777777" w:rsidR="003C22D4" w:rsidRPr="00150DD4" w:rsidRDefault="003C22D4" w:rsidP="003C22D4">
            <w:pPr>
              <w:pStyle w:val="Tabletext"/>
              <w:jc w:val="center"/>
              <w:rPr>
                <w:rFonts w:eastAsiaTheme="minorEastAsia" w:cstheme="minorHAnsi"/>
                <w:sz w:val="20"/>
                <w:lang w:val="en-US"/>
              </w:rPr>
            </w:pPr>
            <w:r w:rsidRPr="00150DD4">
              <w:rPr>
                <w:rFonts w:eastAsiaTheme="minorEastAsia" w:cstheme="minorHAnsi"/>
                <w:sz w:val="20"/>
                <w:lang w:val="en-US"/>
              </w:rPr>
              <w:t>6</w:t>
            </w:r>
          </w:p>
        </w:tc>
        <w:tc>
          <w:tcPr>
            <w:tcW w:w="3070" w:type="dxa"/>
          </w:tcPr>
          <w:p w14:paraId="4827B34E" w14:textId="77777777" w:rsidR="003C22D4" w:rsidRPr="00150DD4" w:rsidRDefault="003C22D4" w:rsidP="003C22D4">
            <w:pPr>
              <w:pStyle w:val="NormalIndent"/>
              <w:tabs>
                <w:tab w:val="left" w:pos="213"/>
              </w:tabs>
              <w:spacing w:before="40" w:after="40"/>
              <w:ind w:left="57"/>
              <w:rPr>
                <w:rFonts w:eastAsiaTheme="minorEastAsia" w:cstheme="minorHAnsi"/>
                <w:bCs/>
                <w:sz w:val="20"/>
              </w:rPr>
            </w:pPr>
            <w:r w:rsidRPr="00150DD4">
              <w:rPr>
                <w:rFonts w:eastAsiaTheme="minorEastAsia" w:cstheme="minorHAnsi"/>
                <w:bCs/>
                <w:sz w:val="20"/>
              </w:rPr>
              <w:t>有效应对垃圾信息</w:t>
            </w:r>
          </w:p>
        </w:tc>
        <w:tc>
          <w:tcPr>
            <w:tcW w:w="5882" w:type="dxa"/>
          </w:tcPr>
          <w:p w14:paraId="4827B34F" w14:textId="77777777" w:rsidR="003C22D4" w:rsidRPr="00CD4FE5" w:rsidRDefault="003C22D4" w:rsidP="003C22D4">
            <w:pPr>
              <w:tabs>
                <w:tab w:val="clear" w:pos="794"/>
                <w:tab w:val="clear" w:pos="1191"/>
                <w:tab w:val="clear" w:pos="1588"/>
                <w:tab w:val="clear" w:pos="1985"/>
                <w:tab w:val="left" w:pos="284"/>
              </w:tabs>
              <w:overflowPunct/>
              <w:adjustRightInd/>
              <w:spacing w:before="40" w:after="40"/>
              <w:ind w:left="284" w:hanging="284"/>
              <w:textAlignment w:val="auto"/>
              <w:rPr>
                <w:rFonts w:eastAsiaTheme="minorEastAsia" w:cstheme="minorHAnsi"/>
                <w:sz w:val="20"/>
                <w:lang w:eastAsia="zh-CN"/>
              </w:rPr>
            </w:pPr>
            <w:r w:rsidRPr="00CD4FE5">
              <w:rPr>
                <w:rFonts w:eastAsiaTheme="minorEastAsia" w:cstheme="minorHAnsi"/>
                <w:sz w:val="20"/>
                <w:lang w:val="fr-FR" w:eastAsia="zh-CN"/>
              </w:rPr>
              <w:t>•</w:t>
            </w:r>
            <w:r w:rsidRPr="00CD4FE5">
              <w:rPr>
                <w:rFonts w:eastAsiaTheme="minorEastAsia" w:cstheme="minorHAnsi"/>
                <w:sz w:val="20"/>
                <w:lang w:val="fr-FR" w:eastAsia="zh-CN"/>
              </w:rPr>
              <w:tab/>
            </w:r>
            <w:hyperlink r:id="rId257" w:history="1">
              <w:r w:rsidRPr="003A763A">
                <w:rPr>
                  <w:rStyle w:val="Hyperlink"/>
                  <w:sz w:val="20"/>
                  <w:lang w:val="en-US" w:eastAsia="zh-CN"/>
                </w:rPr>
                <w:t>WSIS AL C5</w:t>
              </w:r>
              <w:r w:rsidRPr="003A763A">
                <w:rPr>
                  <w:rStyle w:val="Hyperlink"/>
                  <w:rFonts w:eastAsiaTheme="minorEastAsia" w:cstheme="minorHAnsi"/>
                  <w:sz w:val="20"/>
                  <w:lang w:eastAsia="zh-CN"/>
                </w:rPr>
                <w:t>牵头推进方（</w:t>
              </w:r>
              <w:r w:rsidRPr="003A763A">
                <w:rPr>
                  <w:rStyle w:val="Hyperlink"/>
                  <w:rFonts w:eastAsiaTheme="minorEastAsia" w:cstheme="minorHAnsi"/>
                  <w:sz w:val="20"/>
                  <w:lang w:eastAsia="zh-CN"/>
                </w:rPr>
                <w:t>2005</w:t>
              </w:r>
              <w:r w:rsidRPr="003A763A">
                <w:rPr>
                  <w:rStyle w:val="Hyperlink"/>
                  <w:rFonts w:eastAsiaTheme="minorEastAsia" w:cstheme="minorHAnsi"/>
                  <w:sz w:val="20"/>
                  <w:lang w:eastAsia="zh-CN"/>
                </w:rPr>
                <w:t>年，突尼斯）</w:t>
              </w:r>
            </w:hyperlink>
          </w:p>
          <w:p w14:paraId="4827B350" w14:textId="77777777" w:rsidR="003C22D4" w:rsidRPr="00CD4FE5" w:rsidRDefault="003C22D4" w:rsidP="003C22D4">
            <w:pPr>
              <w:tabs>
                <w:tab w:val="clear" w:pos="794"/>
                <w:tab w:val="clear" w:pos="1191"/>
                <w:tab w:val="clear" w:pos="1588"/>
                <w:tab w:val="clear" w:pos="1985"/>
                <w:tab w:val="left" w:pos="284"/>
              </w:tabs>
              <w:overflowPunct/>
              <w:adjustRightInd/>
              <w:spacing w:before="40" w:after="40"/>
              <w:ind w:left="284" w:hanging="284"/>
              <w:textAlignment w:val="auto"/>
              <w:rPr>
                <w:rFonts w:eastAsiaTheme="minorEastAsia" w:cstheme="minorHAnsi"/>
                <w:sz w:val="20"/>
                <w:lang w:eastAsia="zh-CN"/>
              </w:rPr>
            </w:pPr>
            <w:r w:rsidRPr="00CD4FE5">
              <w:rPr>
                <w:rFonts w:eastAsiaTheme="minorEastAsia" w:cstheme="minorHAnsi"/>
                <w:sz w:val="20"/>
                <w:lang w:val="fr-FR" w:eastAsia="zh-CN"/>
              </w:rPr>
              <w:t>•</w:t>
            </w:r>
            <w:r w:rsidRPr="00CD4FE5">
              <w:rPr>
                <w:rFonts w:eastAsiaTheme="minorEastAsia" w:cstheme="minorHAnsi"/>
                <w:sz w:val="20"/>
                <w:lang w:val="fr-FR" w:eastAsia="zh-CN"/>
              </w:rPr>
              <w:tab/>
            </w:r>
            <w:hyperlink r:id="rId258" w:anchor="page=4" w:history="1">
              <w:r w:rsidRPr="00CD4FE5">
                <w:rPr>
                  <w:rStyle w:val="Hyperlink"/>
                  <w:rFonts w:eastAsiaTheme="minorEastAsia" w:cstheme="minorHAnsi"/>
                  <w:sz w:val="20"/>
                  <w:lang w:eastAsia="zh-CN"/>
                </w:rPr>
                <w:t>PP</w:t>
              </w:r>
              <w:r w:rsidRPr="00CD4FE5">
                <w:rPr>
                  <w:rStyle w:val="Hyperlink"/>
                  <w:rFonts w:eastAsiaTheme="minorEastAsia" w:cstheme="minorHAnsi"/>
                  <w:sz w:val="20"/>
                  <w:lang w:eastAsia="zh-CN"/>
                </w:rPr>
                <w:t>第</w:t>
              </w:r>
              <w:r w:rsidRPr="00CD4FE5">
                <w:rPr>
                  <w:rStyle w:val="Hyperlink"/>
                  <w:rFonts w:eastAsiaTheme="minorEastAsia" w:cstheme="minorHAnsi"/>
                  <w:sz w:val="20"/>
                  <w:lang w:eastAsia="zh-CN"/>
                </w:rPr>
                <w:t>130</w:t>
              </w:r>
              <w:r w:rsidRPr="00CD4FE5">
                <w:rPr>
                  <w:rStyle w:val="Hyperlink"/>
                  <w:rFonts w:eastAsiaTheme="minorEastAsia" w:cstheme="minorHAnsi"/>
                  <w:sz w:val="20"/>
                  <w:lang w:eastAsia="zh-CN"/>
                </w:rPr>
                <w:t>号决议</w:t>
              </w:r>
            </w:hyperlink>
            <w:r w:rsidRPr="00CD4FE5">
              <w:rPr>
                <w:rFonts w:eastAsiaTheme="minorEastAsia" w:cstheme="minorHAnsi"/>
                <w:sz w:val="20"/>
                <w:lang w:eastAsia="zh-CN"/>
              </w:rPr>
              <w:t>（</w:t>
            </w:r>
            <w:r w:rsidRPr="00CD4FE5">
              <w:rPr>
                <w:rFonts w:eastAsiaTheme="minorEastAsia" w:cstheme="minorHAnsi"/>
                <w:sz w:val="20"/>
                <w:lang w:eastAsia="zh-CN"/>
              </w:rPr>
              <w:t>2006</w:t>
            </w:r>
            <w:r w:rsidRPr="00CD4FE5">
              <w:rPr>
                <w:rFonts w:eastAsiaTheme="minorEastAsia" w:cstheme="minorHAnsi"/>
                <w:sz w:val="20"/>
                <w:lang w:eastAsia="zh-CN"/>
              </w:rPr>
              <w:t>年，安塔利亚，修订版）</w:t>
            </w:r>
          </w:p>
          <w:p w14:paraId="4827B351" w14:textId="77777777" w:rsidR="003C22D4" w:rsidRPr="00CD4FE5" w:rsidRDefault="003C22D4" w:rsidP="003C22D4">
            <w:pPr>
              <w:tabs>
                <w:tab w:val="clear" w:pos="794"/>
                <w:tab w:val="clear" w:pos="1191"/>
                <w:tab w:val="clear" w:pos="1588"/>
                <w:tab w:val="clear" w:pos="1985"/>
                <w:tab w:val="left" w:pos="284"/>
              </w:tabs>
              <w:overflowPunct/>
              <w:adjustRightInd/>
              <w:spacing w:before="40" w:after="40"/>
              <w:ind w:left="284" w:hanging="284"/>
              <w:textAlignment w:val="auto"/>
              <w:rPr>
                <w:rFonts w:eastAsiaTheme="minorEastAsia" w:cstheme="minorHAnsi"/>
                <w:sz w:val="20"/>
                <w:lang w:eastAsia="zh-CN"/>
              </w:rPr>
            </w:pPr>
            <w:r w:rsidRPr="00CD4FE5">
              <w:rPr>
                <w:rFonts w:eastAsiaTheme="minorEastAsia" w:cstheme="minorHAnsi"/>
                <w:sz w:val="20"/>
                <w:lang w:val="fr-FR" w:eastAsia="zh-CN"/>
              </w:rPr>
              <w:t>•</w:t>
            </w:r>
            <w:r w:rsidRPr="00CD4FE5">
              <w:rPr>
                <w:rFonts w:eastAsiaTheme="minorEastAsia" w:cstheme="minorHAnsi"/>
                <w:sz w:val="20"/>
                <w:lang w:val="fr-FR" w:eastAsia="zh-CN"/>
              </w:rPr>
              <w:tab/>
            </w:r>
            <w:hyperlink r:id="rId259" w:history="1">
              <w:r w:rsidRPr="00CD4FE5">
                <w:rPr>
                  <w:rStyle w:val="Hyperlink"/>
                  <w:rFonts w:eastAsiaTheme="minorEastAsia" w:cstheme="minorHAnsi"/>
                  <w:sz w:val="20"/>
                  <w:lang w:eastAsia="zh-CN"/>
                </w:rPr>
                <w:t>WTDC</w:t>
              </w:r>
              <w:r w:rsidRPr="00CD4FE5">
                <w:rPr>
                  <w:rStyle w:val="Hyperlink"/>
                  <w:rFonts w:eastAsiaTheme="minorEastAsia" w:cstheme="minorHAnsi" w:hint="eastAsia"/>
                  <w:sz w:val="20"/>
                  <w:lang w:eastAsia="zh-CN"/>
                </w:rPr>
                <w:t>项目</w:t>
              </w:r>
              <w:r w:rsidRPr="00CD4FE5">
                <w:rPr>
                  <w:rStyle w:val="Hyperlink"/>
                  <w:rFonts w:eastAsiaTheme="minorEastAsia" w:cstheme="minorHAnsi"/>
                  <w:sz w:val="20"/>
                  <w:lang w:eastAsia="zh-CN"/>
                </w:rPr>
                <w:t>3</w:t>
              </w:r>
            </w:hyperlink>
            <w:r w:rsidRPr="00CD4FE5">
              <w:rPr>
                <w:rFonts w:eastAsiaTheme="minorEastAsia" w:cstheme="minorHAnsi"/>
                <w:sz w:val="20"/>
                <w:lang w:eastAsia="zh-CN"/>
              </w:rPr>
              <w:t>、</w:t>
            </w:r>
            <w:hyperlink r:id="rId260" w:anchor="page=3" w:history="1">
              <w:r w:rsidRPr="00E867DB">
                <w:rPr>
                  <w:rStyle w:val="Hyperlink"/>
                  <w:rFonts w:eastAsiaTheme="minorEastAsia" w:cstheme="minorHAnsi"/>
                  <w:sz w:val="20"/>
                  <w:lang w:eastAsia="zh-CN"/>
                </w:rPr>
                <w:t>第</w:t>
              </w:r>
              <w:r w:rsidRPr="00E867DB">
                <w:rPr>
                  <w:rStyle w:val="Hyperlink"/>
                  <w:rFonts w:eastAsiaTheme="minorEastAsia" w:cstheme="minorHAnsi"/>
                  <w:sz w:val="20"/>
                  <w:lang w:eastAsia="zh-CN"/>
                </w:rPr>
                <w:t>45</w:t>
              </w:r>
              <w:r w:rsidRPr="00E867DB">
                <w:rPr>
                  <w:rStyle w:val="Hyperlink"/>
                  <w:rFonts w:eastAsiaTheme="minorEastAsia" w:cstheme="minorHAnsi"/>
                  <w:sz w:val="20"/>
                  <w:lang w:eastAsia="zh-CN"/>
                </w:rPr>
                <w:t>号决议</w:t>
              </w:r>
            </w:hyperlink>
            <w:r w:rsidRPr="00CD4FE5">
              <w:rPr>
                <w:rFonts w:eastAsiaTheme="minorEastAsia" w:cstheme="minorHAnsi"/>
                <w:sz w:val="20"/>
                <w:lang w:eastAsia="zh-CN"/>
              </w:rPr>
              <w:t>（</w:t>
            </w:r>
            <w:r w:rsidRPr="00CD4FE5">
              <w:rPr>
                <w:rFonts w:eastAsiaTheme="minorEastAsia" w:cstheme="minorHAnsi"/>
                <w:sz w:val="20"/>
                <w:lang w:eastAsia="zh-CN"/>
              </w:rPr>
              <w:t>2006</w:t>
            </w:r>
            <w:r w:rsidRPr="00CD4FE5">
              <w:rPr>
                <w:rFonts w:eastAsiaTheme="minorEastAsia" w:cstheme="minorHAnsi"/>
                <w:sz w:val="20"/>
                <w:lang w:eastAsia="zh-CN"/>
              </w:rPr>
              <w:t>年，多哈，修订版）</w:t>
            </w:r>
          </w:p>
          <w:p w14:paraId="4827B352" w14:textId="77777777" w:rsidR="003C22D4" w:rsidRPr="00CD4FE5" w:rsidRDefault="003C22D4" w:rsidP="003C2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val="fr-FR" w:eastAsia="zh-CN"/>
              </w:rPr>
            </w:pPr>
            <w:r w:rsidRPr="00CD4FE5">
              <w:rPr>
                <w:rFonts w:eastAsiaTheme="minorEastAsia" w:cstheme="minorHAnsi"/>
                <w:sz w:val="20"/>
                <w:lang w:val="fr-FR" w:eastAsia="zh-CN"/>
              </w:rPr>
              <w:t>•</w:t>
            </w:r>
            <w:r w:rsidRPr="00CD4FE5">
              <w:rPr>
                <w:rFonts w:eastAsiaTheme="minorEastAsia" w:cstheme="minorHAnsi"/>
                <w:sz w:val="20"/>
                <w:lang w:val="fr-FR" w:eastAsia="zh-CN"/>
              </w:rPr>
              <w:tab/>
            </w:r>
            <w:hyperlink r:id="rId261" w:anchor="page=4" w:history="1">
              <w:r w:rsidRPr="00CD4FE5">
                <w:rPr>
                  <w:rStyle w:val="Hyperlink"/>
                  <w:rFonts w:eastAsiaTheme="minorEastAsia" w:cstheme="minorHAnsi"/>
                  <w:sz w:val="20"/>
                  <w:lang w:eastAsia="zh-CN"/>
                </w:rPr>
                <w:t>WTSA</w:t>
              </w:r>
              <w:r w:rsidRPr="00CD4FE5">
                <w:rPr>
                  <w:rStyle w:val="Hyperlink"/>
                  <w:rFonts w:eastAsiaTheme="minorEastAsia" w:cstheme="minorHAnsi"/>
                  <w:sz w:val="20"/>
                  <w:lang w:eastAsia="zh-CN"/>
                </w:rPr>
                <w:t>第</w:t>
              </w:r>
              <w:r w:rsidRPr="00CD4FE5">
                <w:rPr>
                  <w:rStyle w:val="Hyperlink"/>
                  <w:rFonts w:eastAsiaTheme="minorEastAsia" w:cstheme="minorHAnsi"/>
                  <w:sz w:val="20"/>
                  <w:lang w:eastAsia="zh-CN"/>
                </w:rPr>
                <w:t>50</w:t>
              </w:r>
            </w:hyperlink>
            <w:r w:rsidRPr="00CD4FE5">
              <w:rPr>
                <w:rStyle w:val="Hyperlink"/>
                <w:rFonts w:eastAsiaTheme="minorEastAsia" w:cstheme="minorHAnsi"/>
                <w:sz w:val="20"/>
                <w:lang w:eastAsia="zh-CN"/>
              </w:rPr>
              <w:t>和</w:t>
            </w:r>
            <w:hyperlink r:id="rId262" w:anchor="page=4" w:history="1">
              <w:r w:rsidRPr="00E867DB">
                <w:rPr>
                  <w:rStyle w:val="Hyperlink"/>
                  <w:rFonts w:eastAsiaTheme="minorEastAsia" w:cstheme="minorHAnsi"/>
                  <w:sz w:val="20"/>
                  <w:lang w:eastAsia="zh-CN"/>
                </w:rPr>
                <w:t>52</w:t>
              </w:r>
              <w:r w:rsidRPr="00E867DB">
                <w:rPr>
                  <w:rStyle w:val="Hyperlink"/>
                  <w:rFonts w:eastAsiaTheme="minorEastAsia" w:cstheme="minorHAnsi"/>
                  <w:sz w:val="20"/>
                  <w:lang w:eastAsia="zh-CN"/>
                </w:rPr>
                <w:t>号决议</w:t>
              </w:r>
            </w:hyperlink>
            <w:r w:rsidRPr="00CD4FE5">
              <w:rPr>
                <w:rFonts w:eastAsiaTheme="minorEastAsia" w:cstheme="minorHAnsi"/>
                <w:sz w:val="20"/>
                <w:lang w:eastAsia="zh-CN"/>
              </w:rPr>
              <w:t>（</w:t>
            </w:r>
            <w:r w:rsidRPr="00CD4FE5">
              <w:rPr>
                <w:rFonts w:eastAsiaTheme="minorEastAsia" w:cstheme="minorHAnsi"/>
                <w:sz w:val="20"/>
                <w:lang w:eastAsia="zh-CN"/>
              </w:rPr>
              <w:t>2008</w:t>
            </w:r>
            <w:r w:rsidRPr="00CD4FE5">
              <w:rPr>
                <w:rFonts w:eastAsiaTheme="minorEastAsia" w:cstheme="minorHAnsi"/>
                <w:sz w:val="20"/>
                <w:lang w:eastAsia="zh-CN"/>
              </w:rPr>
              <w:t>年，约翰内斯堡，修订版）</w:t>
            </w:r>
          </w:p>
        </w:tc>
      </w:tr>
      <w:tr w:rsidR="003C22D4" w:rsidRPr="00CD4FE5" w14:paraId="4827B35B" w14:textId="77777777" w:rsidTr="003C22D4">
        <w:tblPrEx>
          <w:tblLook w:val="04A0" w:firstRow="1" w:lastRow="0" w:firstColumn="1" w:lastColumn="0" w:noHBand="0" w:noVBand="1"/>
        </w:tblPrEx>
        <w:tc>
          <w:tcPr>
            <w:tcW w:w="541" w:type="dxa"/>
          </w:tcPr>
          <w:p w14:paraId="4827B354" w14:textId="77777777" w:rsidR="003C22D4" w:rsidRPr="00150DD4" w:rsidRDefault="003C22D4" w:rsidP="003C22D4">
            <w:pPr>
              <w:pStyle w:val="Tabletext"/>
              <w:jc w:val="center"/>
              <w:rPr>
                <w:rFonts w:eastAsiaTheme="minorEastAsia" w:cstheme="minorHAnsi"/>
                <w:sz w:val="20"/>
              </w:rPr>
            </w:pPr>
            <w:r w:rsidRPr="00150DD4">
              <w:rPr>
                <w:rFonts w:eastAsiaTheme="minorEastAsia" w:cstheme="minorHAnsi"/>
                <w:sz w:val="20"/>
                <w:lang w:val="fr-FR" w:eastAsia="zh-CN"/>
              </w:rPr>
              <w:br w:type="page"/>
            </w:r>
            <w:r w:rsidRPr="00150DD4">
              <w:rPr>
                <w:rFonts w:eastAsiaTheme="minorEastAsia" w:cstheme="minorHAnsi"/>
                <w:sz w:val="20"/>
                <w:lang w:val="fr-FR" w:eastAsia="zh-CN"/>
              </w:rPr>
              <w:br w:type="page"/>
            </w:r>
            <w:r w:rsidRPr="00150DD4">
              <w:rPr>
                <w:rFonts w:eastAsiaTheme="minorEastAsia" w:cstheme="minorHAnsi"/>
                <w:sz w:val="20"/>
              </w:rPr>
              <w:t>7</w:t>
            </w:r>
          </w:p>
        </w:tc>
        <w:tc>
          <w:tcPr>
            <w:tcW w:w="3070" w:type="dxa"/>
          </w:tcPr>
          <w:p w14:paraId="4827B355" w14:textId="77777777" w:rsidR="003C22D4" w:rsidRPr="00150DD4" w:rsidRDefault="003C22D4" w:rsidP="003C22D4">
            <w:pPr>
              <w:pStyle w:val="NormalIndent"/>
              <w:tabs>
                <w:tab w:val="left" w:pos="213"/>
              </w:tabs>
              <w:spacing w:before="40" w:after="40"/>
              <w:ind w:left="57"/>
              <w:rPr>
                <w:rFonts w:eastAsiaTheme="minorEastAsia" w:cstheme="minorHAnsi"/>
                <w:sz w:val="20"/>
                <w:lang w:eastAsia="zh-CN"/>
              </w:rPr>
            </w:pPr>
            <w:r>
              <w:rPr>
                <w:rFonts w:eastAsiaTheme="minorEastAsia" w:cstheme="minorHAnsi" w:hint="eastAsia"/>
                <w:sz w:val="20"/>
                <w:lang w:eastAsia="zh-CN"/>
              </w:rPr>
              <w:t>与</w:t>
            </w:r>
            <w:r w:rsidRPr="00150DD4">
              <w:rPr>
                <w:rFonts w:eastAsiaTheme="minorEastAsia" w:cstheme="minorHAnsi"/>
                <w:sz w:val="20"/>
                <w:lang w:eastAsia="zh-CN"/>
              </w:rPr>
              <w:t>互联网的使用和滥用</w:t>
            </w:r>
            <w:r>
              <w:rPr>
                <w:rFonts w:eastAsiaTheme="minorEastAsia" w:cstheme="minorHAnsi" w:hint="eastAsia"/>
                <w:sz w:val="20"/>
                <w:lang w:eastAsia="zh-CN"/>
              </w:rPr>
              <w:t>相关的</w:t>
            </w:r>
            <w:r w:rsidRPr="00150DD4">
              <w:rPr>
                <w:rFonts w:eastAsiaTheme="minorEastAsia" w:cstheme="minorHAnsi"/>
                <w:sz w:val="20"/>
                <w:lang w:eastAsia="zh-CN"/>
              </w:rPr>
              <w:t>问题</w:t>
            </w:r>
          </w:p>
        </w:tc>
        <w:tc>
          <w:tcPr>
            <w:tcW w:w="5882" w:type="dxa"/>
          </w:tcPr>
          <w:p w14:paraId="4827B356" w14:textId="77777777" w:rsidR="003C22D4" w:rsidRPr="00CD4FE5" w:rsidRDefault="003C22D4" w:rsidP="003C2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eastAsia="zh-CN"/>
              </w:rPr>
            </w:pPr>
            <w:r w:rsidRPr="00CD4FE5">
              <w:rPr>
                <w:rFonts w:eastAsiaTheme="minorEastAsia" w:cstheme="minorHAnsi"/>
                <w:sz w:val="20"/>
                <w:lang w:eastAsia="zh-CN"/>
              </w:rPr>
              <w:t>•</w:t>
            </w:r>
            <w:r w:rsidRPr="00CD4FE5">
              <w:rPr>
                <w:rFonts w:eastAsiaTheme="minorEastAsia" w:cstheme="minorHAnsi"/>
                <w:sz w:val="20"/>
                <w:lang w:eastAsia="zh-CN"/>
              </w:rPr>
              <w:tab/>
            </w:r>
            <w:hyperlink r:id="rId263" w:history="1">
              <w:r w:rsidRPr="00CD4FE5">
                <w:rPr>
                  <w:rStyle w:val="Hyperlink"/>
                  <w:rFonts w:eastAsiaTheme="minorEastAsia" w:cstheme="minorHAnsi"/>
                  <w:sz w:val="20"/>
                  <w:lang w:eastAsia="zh-CN"/>
                </w:rPr>
                <w:t>WSIS AL C5</w:t>
              </w:r>
              <w:r w:rsidRPr="00CD4FE5">
                <w:rPr>
                  <w:rStyle w:val="Hyperlink"/>
                  <w:rFonts w:eastAsiaTheme="minorEastAsia" w:cstheme="minorHAnsi"/>
                  <w:sz w:val="20"/>
                  <w:lang w:eastAsia="zh-CN"/>
                </w:rPr>
                <w:t>牵头推进方（</w:t>
              </w:r>
              <w:r w:rsidRPr="00CD4FE5">
                <w:rPr>
                  <w:rStyle w:val="Hyperlink"/>
                  <w:rFonts w:eastAsiaTheme="minorEastAsia" w:cstheme="minorHAnsi"/>
                  <w:sz w:val="20"/>
                  <w:lang w:eastAsia="zh-CN"/>
                </w:rPr>
                <w:t>2005</w:t>
              </w:r>
              <w:r w:rsidRPr="00CD4FE5">
                <w:rPr>
                  <w:rStyle w:val="Hyperlink"/>
                  <w:rFonts w:eastAsiaTheme="minorEastAsia" w:cstheme="minorHAnsi"/>
                  <w:sz w:val="20"/>
                  <w:lang w:eastAsia="zh-CN"/>
                </w:rPr>
                <w:t>年，突尼斯）</w:t>
              </w:r>
              <w:r w:rsidRPr="00CD4FE5">
                <w:rPr>
                  <w:rStyle w:val="Hyperlink"/>
                  <w:rFonts w:eastAsiaTheme="minorEastAsia" w:cstheme="minorHAnsi"/>
                  <w:sz w:val="20"/>
                  <w:lang w:eastAsia="zh-CN"/>
                </w:rPr>
                <w:t xml:space="preserve"> </w:t>
              </w:r>
            </w:hyperlink>
          </w:p>
          <w:p w14:paraId="4827B357" w14:textId="77777777" w:rsidR="003C22D4" w:rsidRPr="00CD4FE5" w:rsidRDefault="003C22D4" w:rsidP="003C2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eastAsia="zh-CN"/>
              </w:rPr>
            </w:pPr>
            <w:r w:rsidRPr="00CD4FE5">
              <w:rPr>
                <w:rFonts w:eastAsiaTheme="minorEastAsia" w:cstheme="minorHAnsi"/>
                <w:sz w:val="20"/>
                <w:lang w:eastAsia="zh-CN"/>
              </w:rPr>
              <w:t>•</w:t>
            </w:r>
            <w:r w:rsidRPr="00CD4FE5">
              <w:rPr>
                <w:rFonts w:eastAsiaTheme="minorEastAsia" w:cstheme="minorHAnsi"/>
                <w:sz w:val="20"/>
                <w:lang w:eastAsia="zh-CN"/>
              </w:rPr>
              <w:tab/>
            </w:r>
            <w:hyperlink r:id="rId264" w:anchor="page=2" w:history="1">
              <w:r w:rsidRPr="00CD4FE5">
                <w:rPr>
                  <w:rStyle w:val="Hyperlink"/>
                  <w:rFonts w:eastAsiaTheme="minorEastAsia" w:cstheme="minorHAnsi"/>
                  <w:sz w:val="20"/>
                  <w:lang w:eastAsia="zh-CN"/>
                </w:rPr>
                <w:t>第</w:t>
              </w:r>
              <w:r w:rsidRPr="00CD4FE5">
                <w:rPr>
                  <w:rStyle w:val="Hyperlink"/>
                  <w:rFonts w:eastAsiaTheme="minorEastAsia" w:cstheme="minorHAnsi"/>
                  <w:sz w:val="20"/>
                  <w:lang w:eastAsia="zh-CN"/>
                </w:rPr>
                <w:t>1282</w:t>
              </w:r>
              <w:r w:rsidRPr="00CD4FE5">
                <w:rPr>
                  <w:rStyle w:val="Hyperlink"/>
                  <w:rFonts w:eastAsiaTheme="minorEastAsia" w:cstheme="minorHAnsi"/>
                  <w:sz w:val="20"/>
                  <w:lang w:eastAsia="zh-CN"/>
                </w:rPr>
                <w:t>号决议</w:t>
              </w:r>
              <w:r w:rsidRPr="00CD4FE5">
                <w:rPr>
                  <w:rFonts w:eastAsiaTheme="minorEastAsia" w:cstheme="minorHAnsi"/>
                  <w:sz w:val="20"/>
                  <w:lang w:eastAsia="zh-CN"/>
                </w:rPr>
                <w:t>（</w:t>
              </w:r>
              <w:r w:rsidRPr="00CD4FE5">
                <w:rPr>
                  <w:rFonts w:eastAsiaTheme="minorEastAsia" w:cstheme="minorHAnsi"/>
                  <w:sz w:val="20"/>
                  <w:lang w:eastAsia="zh-CN"/>
                </w:rPr>
                <w:t>2008</w:t>
              </w:r>
              <w:r w:rsidRPr="00CD4FE5">
                <w:rPr>
                  <w:rFonts w:eastAsiaTheme="minorEastAsia" w:cstheme="minorHAnsi"/>
                  <w:sz w:val="20"/>
                  <w:lang w:eastAsia="zh-CN"/>
                </w:rPr>
                <w:t>年，修改版）</w:t>
              </w:r>
            </w:hyperlink>
          </w:p>
          <w:p w14:paraId="4827B358" w14:textId="77777777" w:rsidR="003C22D4" w:rsidRPr="00CD4FE5" w:rsidRDefault="003C22D4" w:rsidP="003C2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val="fr-FR" w:eastAsia="zh-CN"/>
              </w:rPr>
            </w:pPr>
            <w:r w:rsidRPr="00CD4FE5">
              <w:rPr>
                <w:rFonts w:eastAsiaTheme="minorEastAsia" w:cstheme="minorHAnsi"/>
                <w:sz w:val="20"/>
                <w:lang w:val="fr-FR" w:eastAsia="zh-CN"/>
              </w:rPr>
              <w:t>•</w:t>
            </w:r>
            <w:r w:rsidRPr="00CD4FE5">
              <w:rPr>
                <w:rFonts w:eastAsiaTheme="minorEastAsia" w:cstheme="minorHAnsi"/>
                <w:sz w:val="20"/>
                <w:lang w:val="fr-FR" w:eastAsia="zh-CN"/>
              </w:rPr>
              <w:tab/>
            </w:r>
            <w:hyperlink r:id="rId265" w:anchor="page=1" w:history="1">
              <w:r w:rsidRPr="00CD4FE5">
                <w:rPr>
                  <w:rStyle w:val="Hyperlink"/>
                  <w:rFonts w:eastAsiaTheme="minorEastAsia" w:cstheme="minorHAnsi"/>
                  <w:sz w:val="20"/>
                  <w:lang w:eastAsia="zh-CN"/>
                </w:rPr>
                <w:t>WTDC</w:t>
              </w:r>
              <w:r w:rsidRPr="00CD4FE5">
                <w:rPr>
                  <w:rStyle w:val="Hyperlink"/>
                  <w:rFonts w:eastAsiaTheme="minorEastAsia" w:cstheme="minorHAnsi" w:hint="eastAsia"/>
                  <w:sz w:val="20"/>
                  <w:lang w:eastAsia="zh-CN"/>
                </w:rPr>
                <w:t>项目</w:t>
              </w:r>
              <w:r w:rsidRPr="00CD4FE5">
                <w:rPr>
                  <w:rStyle w:val="Hyperlink"/>
                  <w:rFonts w:eastAsiaTheme="minorEastAsia" w:cstheme="minorHAnsi"/>
                  <w:sz w:val="20"/>
                  <w:lang w:eastAsia="zh-CN"/>
                </w:rPr>
                <w:t>3</w:t>
              </w:r>
            </w:hyperlink>
            <w:r w:rsidRPr="00CD4FE5">
              <w:rPr>
                <w:rFonts w:eastAsiaTheme="minorEastAsia" w:cstheme="minorHAnsi"/>
                <w:sz w:val="20"/>
                <w:lang w:eastAsia="zh-CN"/>
              </w:rPr>
              <w:t>（</w:t>
            </w:r>
            <w:r w:rsidRPr="00CD4FE5">
              <w:rPr>
                <w:rFonts w:eastAsiaTheme="minorEastAsia" w:cstheme="minorHAnsi"/>
                <w:sz w:val="20"/>
                <w:lang w:eastAsia="zh-CN"/>
              </w:rPr>
              <w:t>2006</w:t>
            </w:r>
            <w:r w:rsidRPr="00CD4FE5">
              <w:rPr>
                <w:rFonts w:eastAsiaTheme="minorEastAsia" w:cstheme="minorHAnsi"/>
                <w:sz w:val="20"/>
                <w:lang w:eastAsia="zh-CN"/>
              </w:rPr>
              <w:t>年，多哈，修订版）</w:t>
            </w:r>
          </w:p>
          <w:p w14:paraId="4827B359" w14:textId="77777777" w:rsidR="003C22D4" w:rsidRPr="00CD4FE5" w:rsidRDefault="003C22D4" w:rsidP="003C2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val="fr-CH" w:eastAsia="zh-CN"/>
              </w:rPr>
            </w:pPr>
            <w:r w:rsidRPr="00CD4FE5">
              <w:rPr>
                <w:rFonts w:eastAsiaTheme="minorEastAsia" w:cstheme="minorHAnsi"/>
                <w:sz w:val="20"/>
                <w:lang w:val="fr-FR" w:eastAsia="zh-CN"/>
              </w:rPr>
              <w:t>•</w:t>
            </w:r>
            <w:r w:rsidRPr="00CD4FE5">
              <w:rPr>
                <w:rFonts w:eastAsiaTheme="minorEastAsia" w:cstheme="minorHAnsi"/>
                <w:sz w:val="20"/>
                <w:lang w:val="fr-FR" w:eastAsia="zh-CN"/>
              </w:rPr>
              <w:tab/>
            </w:r>
            <w:hyperlink r:id="rId266" w:anchor="page=4" w:history="1">
              <w:r w:rsidRPr="00CD4FE5">
                <w:rPr>
                  <w:rStyle w:val="Hyperlink"/>
                  <w:rFonts w:eastAsiaTheme="minorEastAsia" w:cstheme="minorHAnsi"/>
                  <w:sz w:val="20"/>
                  <w:lang w:eastAsia="zh-CN"/>
                </w:rPr>
                <w:t>PP</w:t>
              </w:r>
              <w:r w:rsidRPr="00CD4FE5">
                <w:rPr>
                  <w:rStyle w:val="Hyperlink"/>
                  <w:rFonts w:eastAsiaTheme="minorEastAsia" w:cstheme="minorHAnsi"/>
                  <w:sz w:val="20"/>
                  <w:lang w:eastAsia="zh-CN"/>
                </w:rPr>
                <w:t>第</w:t>
              </w:r>
              <w:r w:rsidRPr="00CD4FE5">
                <w:rPr>
                  <w:rStyle w:val="Hyperlink"/>
                  <w:rFonts w:eastAsiaTheme="minorEastAsia" w:cstheme="minorHAnsi"/>
                  <w:sz w:val="20"/>
                  <w:lang w:eastAsia="zh-CN"/>
                </w:rPr>
                <w:t>130</w:t>
              </w:r>
              <w:r w:rsidRPr="00CD4FE5">
                <w:rPr>
                  <w:rStyle w:val="Hyperlink"/>
                  <w:rFonts w:eastAsiaTheme="minorEastAsia" w:cstheme="minorHAnsi"/>
                  <w:sz w:val="20"/>
                  <w:lang w:eastAsia="zh-CN"/>
                </w:rPr>
                <w:t>号决议</w:t>
              </w:r>
            </w:hyperlink>
            <w:r w:rsidRPr="00CD4FE5">
              <w:rPr>
                <w:rFonts w:eastAsiaTheme="minorEastAsia" w:cstheme="minorHAnsi"/>
                <w:sz w:val="20"/>
                <w:lang w:eastAsia="zh-CN"/>
              </w:rPr>
              <w:t>（</w:t>
            </w:r>
            <w:r w:rsidRPr="00CD4FE5">
              <w:rPr>
                <w:rFonts w:eastAsiaTheme="minorEastAsia" w:cstheme="minorHAnsi"/>
                <w:sz w:val="20"/>
                <w:lang w:eastAsia="zh-CN"/>
              </w:rPr>
              <w:t>2006</w:t>
            </w:r>
            <w:r w:rsidRPr="00CD4FE5">
              <w:rPr>
                <w:rFonts w:eastAsiaTheme="minorEastAsia" w:cstheme="minorHAnsi"/>
                <w:sz w:val="20"/>
                <w:lang w:eastAsia="zh-CN"/>
              </w:rPr>
              <w:t>年，安塔利亚，修订版）</w:t>
            </w:r>
          </w:p>
          <w:p w14:paraId="4827B35A" w14:textId="77777777" w:rsidR="003C22D4" w:rsidRPr="00CD4FE5" w:rsidRDefault="003C22D4" w:rsidP="003C2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val="fr-FR" w:eastAsia="zh-CN"/>
              </w:rPr>
            </w:pPr>
            <w:r w:rsidRPr="00CD4FE5">
              <w:rPr>
                <w:rFonts w:eastAsiaTheme="minorEastAsia" w:cstheme="minorHAnsi"/>
                <w:sz w:val="20"/>
                <w:lang w:val="fr-FR" w:eastAsia="zh-CN"/>
              </w:rPr>
              <w:t>•</w:t>
            </w:r>
            <w:r w:rsidRPr="00CD4FE5">
              <w:rPr>
                <w:rFonts w:eastAsiaTheme="minorEastAsia" w:cstheme="minorHAnsi"/>
                <w:sz w:val="20"/>
                <w:lang w:val="fr-FR" w:eastAsia="zh-CN"/>
              </w:rPr>
              <w:tab/>
            </w:r>
            <w:hyperlink r:id="rId267" w:anchor="page=4" w:history="1">
              <w:hyperlink r:id="rId268" w:anchor="page=4" w:history="1">
                <w:r w:rsidRPr="00CD4FE5">
                  <w:rPr>
                    <w:rStyle w:val="Hyperlink"/>
                    <w:rFonts w:eastAsiaTheme="minorEastAsia" w:cstheme="minorHAnsi"/>
                    <w:sz w:val="20"/>
                    <w:lang w:eastAsia="zh-CN"/>
                  </w:rPr>
                  <w:t>WTSA</w:t>
                </w:r>
                <w:r w:rsidRPr="00CD4FE5">
                  <w:rPr>
                    <w:rStyle w:val="Hyperlink"/>
                    <w:rFonts w:eastAsiaTheme="minorEastAsia" w:cstheme="minorHAnsi"/>
                    <w:sz w:val="20"/>
                    <w:lang w:eastAsia="zh-CN"/>
                  </w:rPr>
                  <w:t>第</w:t>
                </w:r>
                <w:r w:rsidRPr="00CD4FE5">
                  <w:rPr>
                    <w:rStyle w:val="Hyperlink"/>
                    <w:rFonts w:eastAsiaTheme="minorEastAsia" w:cstheme="minorHAnsi"/>
                    <w:sz w:val="20"/>
                    <w:lang w:eastAsia="zh-CN"/>
                  </w:rPr>
                  <w:t>50</w:t>
                </w:r>
              </w:hyperlink>
              <w:r w:rsidRPr="00CD4FE5">
                <w:rPr>
                  <w:rStyle w:val="Hyperlink"/>
                  <w:rFonts w:eastAsiaTheme="minorEastAsia" w:cstheme="minorHAnsi"/>
                  <w:sz w:val="20"/>
                  <w:lang w:eastAsia="zh-CN"/>
                </w:rPr>
                <w:t>和</w:t>
              </w:r>
              <w:hyperlink r:id="rId269" w:anchor="page=4" w:history="1">
                <w:r w:rsidRPr="00E867DB">
                  <w:rPr>
                    <w:rStyle w:val="Hyperlink"/>
                    <w:rFonts w:eastAsiaTheme="minorEastAsia" w:cstheme="minorHAnsi"/>
                    <w:sz w:val="20"/>
                    <w:lang w:eastAsia="zh-CN"/>
                  </w:rPr>
                  <w:t>52</w:t>
                </w:r>
                <w:r w:rsidRPr="00E867DB">
                  <w:rPr>
                    <w:rStyle w:val="Hyperlink"/>
                    <w:rFonts w:eastAsiaTheme="minorEastAsia" w:cstheme="minorHAnsi"/>
                    <w:sz w:val="20"/>
                    <w:lang w:eastAsia="zh-CN"/>
                  </w:rPr>
                  <w:t>号决议</w:t>
                </w:r>
              </w:hyperlink>
            </w:hyperlink>
            <w:r w:rsidRPr="00CD4FE5">
              <w:rPr>
                <w:rFonts w:eastAsiaTheme="minorEastAsia" w:cstheme="minorHAnsi"/>
                <w:sz w:val="20"/>
                <w:lang w:eastAsia="zh-CN"/>
              </w:rPr>
              <w:t>（</w:t>
            </w:r>
            <w:r w:rsidRPr="00CD4FE5">
              <w:rPr>
                <w:rFonts w:eastAsiaTheme="minorEastAsia" w:cstheme="minorHAnsi"/>
                <w:sz w:val="20"/>
                <w:lang w:eastAsia="zh-CN"/>
              </w:rPr>
              <w:t>2008</w:t>
            </w:r>
            <w:r w:rsidRPr="00CD4FE5">
              <w:rPr>
                <w:rFonts w:eastAsiaTheme="minorEastAsia" w:cstheme="minorHAnsi"/>
                <w:sz w:val="20"/>
                <w:lang w:eastAsia="zh-CN"/>
              </w:rPr>
              <w:t>年，约翰内斯堡，修订版）</w:t>
            </w:r>
          </w:p>
        </w:tc>
      </w:tr>
    </w:tbl>
    <w:p w14:paraId="4827B35C" w14:textId="77777777" w:rsidR="008877DC" w:rsidRDefault="008877DC" w:rsidP="008877DC">
      <w:pPr>
        <w:tabs>
          <w:tab w:val="clear" w:pos="794"/>
          <w:tab w:val="clear" w:pos="1191"/>
          <w:tab w:val="clear" w:pos="1588"/>
          <w:tab w:val="clear" w:pos="1985"/>
          <w:tab w:val="left" w:pos="284"/>
        </w:tabs>
        <w:overflowPunct/>
        <w:adjustRightInd/>
        <w:spacing w:after="120"/>
        <w:ind w:left="284" w:hanging="284"/>
        <w:textAlignment w:val="auto"/>
        <w:rPr>
          <w:rFonts w:eastAsiaTheme="minorEastAsia" w:cstheme="minorHAnsi"/>
          <w:sz w:val="20"/>
          <w:lang w:val="fr-FR" w:eastAsia="zh-CN"/>
        </w:rPr>
      </w:pPr>
    </w:p>
    <w:p w14:paraId="4827B35D" w14:textId="77777777" w:rsidR="00510C29" w:rsidRDefault="00510C29">
      <w:pPr>
        <w:tabs>
          <w:tab w:val="clear" w:pos="794"/>
          <w:tab w:val="clear" w:pos="1191"/>
          <w:tab w:val="clear" w:pos="1588"/>
          <w:tab w:val="clear" w:pos="1985"/>
        </w:tabs>
        <w:overflowPunct/>
        <w:autoSpaceDE/>
        <w:autoSpaceDN/>
        <w:adjustRightInd/>
        <w:spacing w:before="0"/>
        <w:jc w:val="left"/>
        <w:textAlignment w:val="auto"/>
        <w:rPr>
          <w:rFonts w:eastAsiaTheme="minorEastAsia" w:cstheme="minorHAnsi"/>
          <w:sz w:val="20"/>
          <w:lang w:val="fr-FR" w:eastAsia="zh-CN"/>
        </w:rPr>
      </w:pPr>
      <w:r>
        <w:rPr>
          <w:rFonts w:eastAsiaTheme="minorEastAsia" w:cstheme="minorHAnsi"/>
          <w:sz w:val="20"/>
          <w:lang w:val="fr-FR" w:eastAsia="zh-CN"/>
        </w:rPr>
        <w:br w:type="page"/>
      </w:r>
    </w:p>
    <w:tbl>
      <w:tblPr>
        <w:tblStyle w:val="TableGrid"/>
        <w:tblW w:w="0" w:type="auto"/>
        <w:tblLook w:val="01E0" w:firstRow="1" w:lastRow="1" w:firstColumn="1" w:lastColumn="1" w:noHBand="0" w:noVBand="0"/>
      </w:tblPr>
      <w:tblGrid>
        <w:gridCol w:w="546"/>
        <w:gridCol w:w="3086"/>
        <w:gridCol w:w="5713"/>
      </w:tblGrid>
      <w:tr w:rsidR="008877DC" w:rsidRPr="00356C82" w14:paraId="4827B361" w14:textId="77777777" w:rsidTr="008877DC">
        <w:trPr>
          <w:tblHeader/>
        </w:trPr>
        <w:tc>
          <w:tcPr>
            <w:tcW w:w="546" w:type="dxa"/>
            <w:shd w:val="clear" w:color="auto" w:fill="E0E0E0"/>
          </w:tcPr>
          <w:p w14:paraId="4827B35E" w14:textId="77777777" w:rsidR="008877DC" w:rsidRPr="00356C82" w:rsidRDefault="008877DC" w:rsidP="00DE35A6">
            <w:pPr>
              <w:pageBreakBefore/>
              <w:spacing w:before="40" w:after="40"/>
              <w:jc w:val="center"/>
              <w:rPr>
                <w:rFonts w:eastAsiaTheme="minorEastAsia" w:cstheme="minorHAnsi"/>
                <w:sz w:val="20"/>
                <w:lang w:eastAsia="zh-CN"/>
              </w:rPr>
            </w:pPr>
          </w:p>
        </w:tc>
        <w:tc>
          <w:tcPr>
            <w:tcW w:w="3086" w:type="dxa"/>
            <w:shd w:val="clear" w:color="auto" w:fill="E0E0E0"/>
          </w:tcPr>
          <w:p w14:paraId="4827B35F" w14:textId="77777777" w:rsidR="008877DC" w:rsidRPr="00356C82" w:rsidRDefault="008877DC" w:rsidP="00DE35A6">
            <w:pPr>
              <w:spacing w:before="40" w:after="40"/>
              <w:jc w:val="center"/>
              <w:rPr>
                <w:rFonts w:eastAsiaTheme="minorEastAsia" w:cstheme="minorHAnsi"/>
                <w:b/>
                <w:bCs/>
                <w:sz w:val="20"/>
              </w:rPr>
            </w:pPr>
            <w:r w:rsidRPr="00356C82">
              <w:rPr>
                <w:rFonts w:eastAsiaTheme="minorEastAsia" w:cstheme="minorHAnsi"/>
                <w:b/>
                <w:bCs/>
                <w:sz w:val="20"/>
              </w:rPr>
              <w:t>公共政策问题</w:t>
            </w:r>
          </w:p>
        </w:tc>
        <w:tc>
          <w:tcPr>
            <w:tcW w:w="5713" w:type="dxa"/>
            <w:shd w:val="clear" w:color="auto" w:fill="E0E0E0"/>
          </w:tcPr>
          <w:p w14:paraId="4827B360" w14:textId="77777777" w:rsidR="008877DC" w:rsidRPr="00356C82" w:rsidRDefault="008877DC" w:rsidP="00DE35A6">
            <w:pPr>
              <w:spacing w:before="40" w:after="40"/>
              <w:jc w:val="center"/>
              <w:rPr>
                <w:rFonts w:eastAsiaTheme="minorEastAsia" w:cstheme="minorHAnsi"/>
                <w:b/>
                <w:bCs/>
                <w:sz w:val="20"/>
                <w:lang w:eastAsia="zh-CN"/>
              </w:rPr>
            </w:pPr>
            <w:r w:rsidRPr="00356C82">
              <w:rPr>
                <w:rFonts w:eastAsiaTheme="minorEastAsia" w:cstheme="minorHAnsi"/>
                <w:b/>
                <w:bCs/>
                <w:sz w:val="20"/>
                <w:lang w:eastAsia="zh-CN"/>
              </w:rPr>
              <w:t>相关的国际电联职责范围</w:t>
            </w:r>
          </w:p>
        </w:tc>
      </w:tr>
      <w:tr w:rsidR="008877DC" w:rsidRPr="00150DD4" w14:paraId="4827B366" w14:textId="77777777" w:rsidTr="008877DC">
        <w:trPr>
          <w:tblHeader/>
        </w:trPr>
        <w:tc>
          <w:tcPr>
            <w:tcW w:w="546" w:type="dxa"/>
          </w:tcPr>
          <w:p w14:paraId="4827B362" w14:textId="77777777" w:rsidR="008877DC" w:rsidRPr="00150DD4" w:rsidRDefault="008877DC" w:rsidP="00DE35A6">
            <w:pPr>
              <w:pStyle w:val="Tabletext"/>
              <w:jc w:val="center"/>
              <w:rPr>
                <w:rFonts w:eastAsiaTheme="minorEastAsia" w:cstheme="minorHAnsi"/>
                <w:sz w:val="20"/>
              </w:rPr>
            </w:pPr>
            <w:r w:rsidRPr="00150DD4">
              <w:rPr>
                <w:rFonts w:eastAsiaTheme="minorEastAsia" w:cstheme="minorHAnsi"/>
                <w:sz w:val="20"/>
              </w:rPr>
              <w:t>8</w:t>
            </w:r>
          </w:p>
        </w:tc>
        <w:tc>
          <w:tcPr>
            <w:tcW w:w="3086" w:type="dxa"/>
          </w:tcPr>
          <w:p w14:paraId="4827B363" w14:textId="77777777" w:rsidR="008877DC" w:rsidRPr="00150DD4" w:rsidRDefault="008877DC" w:rsidP="00DE35A6">
            <w:pPr>
              <w:pStyle w:val="NormalIndent"/>
              <w:tabs>
                <w:tab w:val="left" w:pos="213"/>
              </w:tabs>
              <w:spacing w:before="40" w:after="40"/>
              <w:ind w:left="57"/>
              <w:rPr>
                <w:rFonts w:eastAsiaTheme="minorEastAsia" w:cstheme="minorHAnsi"/>
                <w:sz w:val="20"/>
                <w:lang w:eastAsia="zh-CN"/>
              </w:rPr>
            </w:pPr>
            <w:r>
              <w:rPr>
                <w:rFonts w:eastAsiaTheme="minorEastAsia" w:cstheme="minorHAnsi" w:hint="eastAsia"/>
                <w:sz w:val="20"/>
                <w:lang w:eastAsia="zh-CN"/>
              </w:rPr>
              <w:t>服务</w:t>
            </w:r>
            <w:r w:rsidRPr="00150DD4">
              <w:rPr>
                <w:rFonts w:eastAsiaTheme="minorEastAsia" w:cstheme="minorHAnsi"/>
                <w:sz w:val="20"/>
                <w:lang w:eastAsia="zh-CN"/>
              </w:rPr>
              <w:t>的可用性、价格可承受性、可靠性和质量</w:t>
            </w:r>
            <w:r>
              <w:rPr>
                <w:rFonts w:eastAsiaTheme="minorEastAsia" w:cstheme="minorHAnsi"/>
                <w:sz w:val="20"/>
                <w:lang w:eastAsia="zh-CN"/>
              </w:rPr>
              <w:t>，</w:t>
            </w:r>
            <w:r w:rsidRPr="00150DD4">
              <w:rPr>
                <w:rFonts w:eastAsiaTheme="minorEastAsia" w:cstheme="minorHAnsi"/>
                <w:sz w:val="20"/>
                <w:lang w:eastAsia="zh-CN"/>
              </w:rPr>
              <w:t>尤其是</w:t>
            </w:r>
            <w:r>
              <w:rPr>
                <w:rFonts w:eastAsiaTheme="minorEastAsia" w:cstheme="minorHAnsi" w:hint="eastAsia"/>
                <w:sz w:val="20"/>
                <w:lang w:eastAsia="zh-CN"/>
              </w:rPr>
              <w:t>在</w:t>
            </w:r>
            <w:r w:rsidRPr="00150DD4">
              <w:rPr>
                <w:rFonts w:eastAsiaTheme="minorEastAsia" w:cstheme="minorHAnsi"/>
                <w:sz w:val="20"/>
                <w:lang w:eastAsia="zh-CN"/>
              </w:rPr>
              <w:t>发展中国家</w:t>
            </w:r>
          </w:p>
        </w:tc>
        <w:tc>
          <w:tcPr>
            <w:tcW w:w="5713" w:type="dxa"/>
          </w:tcPr>
          <w:p w14:paraId="4827B364" w14:textId="77777777" w:rsidR="008877DC" w:rsidRPr="00CD4FE5" w:rsidRDefault="008877DC" w:rsidP="00DE35A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eastAsia="zh-CN"/>
              </w:rPr>
            </w:pPr>
            <w:r w:rsidRPr="00CD4FE5">
              <w:rPr>
                <w:rFonts w:eastAsiaTheme="minorEastAsia" w:cstheme="minorHAnsi"/>
                <w:sz w:val="20"/>
                <w:lang w:eastAsia="zh-CN"/>
              </w:rPr>
              <w:t>•</w:t>
            </w:r>
            <w:r w:rsidRPr="00CD4FE5">
              <w:rPr>
                <w:rFonts w:eastAsiaTheme="minorEastAsia" w:cstheme="minorHAnsi"/>
                <w:sz w:val="20"/>
                <w:lang w:eastAsia="zh-CN"/>
              </w:rPr>
              <w:tab/>
            </w:r>
            <w:hyperlink r:id="rId270" w:history="1">
              <w:r w:rsidRPr="00CD4FE5">
                <w:rPr>
                  <w:rStyle w:val="Hyperlink"/>
                  <w:rFonts w:eastAsiaTheme="minorEastAsia" w:cstheme="minorHAnsi"/>
                  <w:sz w:val="20"/>
                  <w:lang w:eastAsia="zh-CN"/>
                </w:rPr>
                <w:t>WSIS AL C2</w:t>
              </w:r>
              <w:r w:rsidRPr="00CD4FE5">
                <w:rPr>
                  <w:rStyle w:val="Hyperlink"/>
                  <w:rFonts w:eastAsiaTheme="minorEastAsia" w:cstheme="minorHAnsi"/>
                  <w:sz w:val="20"/>
                  <w:lang w:eastAsia="zh-CN"/>
                </w:rPr>
                <w:t>牵头推进方（</w:t>
              </w:r>
              <w:r w:rsidRPr="00CD4FE5">
                <w:rPr>
                  <w:rStyle w:val="Hyperlink"/>
                  <w:rFonts w:eastAsiaTheme="minorEastAsia" w:cstheme="minorHAnsi"/>
                  <w:sz w:val="20"/>
                  <w:lang w:eastAsia="zh-CN"/>
                </w:rPr>
                <w:t>2005</w:t>
              </w:r>
              <w:r w:rsidRPr="00CD4FE5">
                <w:rPr>
                  <w:rStyle w:val="Hyperlink"/>
                  <w:rFonts w:eastAsiaTheme="minorEastAsia" w:cstheme="minorHAnsi"/>
                  <w:sz w:val="20"/>
                  <w:lang w:eastAsia="zh-CN"/>
                </w:rPr>
                <w:t>年，突尼斯）</w:t>
              </w:r>
            </w:hyperlink>
          </w:p>
          <w:p w14:paraId="4827B365" w14:textId="77777777" w:rsidR="008877DC" w:rsidRPr="00CD4FE5" w:rsidRDefault="008877DC" w:rsidP="00DE35A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eastAsia="zh-CN"/>
              </w:rPr>
            </w:pPr>
            <w:r w:rsidRPr="00CD4FE5">
              <w:rPr>
                <w:rFonts w:eastAsiaTheme="minorEastAsia" w:cstheme="minorHAnsi"/>
                <w:sz w:val="20"/>
                <w:lang w:eastAsia="zh-CN"/>
              </w:rPr>
              <w:t>•</w:t>
            </w:r>
            <w:r w:rsidRPr="00CD4FE5">
              <w:rPr>
                <w:rFonts w:eastAsiaTheme="minorEastAsia" w:cstheme="minorHAnsi"/>
                <w:sz w:val="20"/>
                <w:lang w:eastAsia="zh-CN"/>
              </w:rPr>
              <w:tab/>
            </w:r>
            <w:hyperlink r:id="rId271" w:anchor="page=2" w:history="1">
              <w:r w:rsidRPr="00CD4FE5">
                <w:rPr>
                  <w:rStyle w:val="Hyperlink"/>
                  <w:rFonts w:eastAsiaTheme="minorEastAsia" w:cstheme="minorHAnsi"/>
                  <w:sz w:val="20"/>
                  <w:lang w:eastAsia="zh-CN"/>
                </w:rPr>
                <w:t>第</w:t>
              </w:r>
              <w:r w:rsidRPr="00CD4FE5">
                <w:rPr>
                  <w:rStyle w:val="Hyperlink"/>
                  <w:rFonts w:eastAsiaTheme="minorEastAsia" w:cstheme="minorHAnsi"/>
                  <w:sz w:val="20"/>
                  <w:lang w:eastAsia="zh-CN"/>
                </w:rPr>
                <w:t>1282</w:t>
              </w:r>
              <w:r w:rsidRPr="00CD4FE5">
                <w:rPr>
                  <w:rStyle w:val="Hyperlink"/>
                  <w:rFonts w:eastAsiaTheme="minorEastAsia" w:cstheme="minorHAnsi"/>
                  <w:sz w:val="20"/>
                  <w:lang w:eastAsia="zh-CN"/>
                </w:rPr>
                <w:t>号决议</w:t>
              </w:r>
              <w:r w:rsidRPr="00CD4FE5">
                <w:rPr>
                  <w:rFonts w:eastAsiaTheme="minorEastAsia" w:cstheme="minorHAnsi"/>
                  <w:sz w:val="20"/>
                  <w:lang w:eastAsia="zh-CN"/>
                </w:rPr>
                <w:t>（</w:t>
              </w:r>
              <w:r w:rsidRPr="00CD4FE5">
                <w:rPr>
                  <w:rFonts w:eastAsiaTheme="minorEastAsia" w:cstheme="minorHAnsi"/>
                  <w:sz w:val="20"/>
                  <w:lang w:eastAsia="zh-CN"/>
                </w:rPr>
                <w:t>2008</w:t>
              </w:r>
              <w:r w:rsidRPr="00CD4FE5">
                <w:rPr>
                  <w:rFonts w:eastAsiaTheme="minorEastAsia" w:cstheme="minorHAnsi"/>
                  <w:sz w:val="20"/>
                  <w:lang w:eastAsia="zh-CN"/>
                </w:rPr>
                <w:t>年，修改版）</w:t>
              </w:r>
            </w:hyperlink>
          </w:p>
        </w:tc>
      </w:tr>
      <w:tr w:rsidR="008877DC" w:rsidRPr="00150DD4" w14:paraId="4827B36C" w14:textId="77777777" w:rsidTr="008877DC">
        <w:trPr>
          <w:tblHeader/>
        </w:trPr>
        <w:tc>
          <w:tcPr>
            <w:tcW w:w="546" w:type="dxa"/>
            <w:tcBorders>
              <w:bottom w:val="single" w:sz="4" w:space="0" w:color="auto"/>
            </w:tcBorders>
          </w:tcPr>
          <w:p w14:paraId="4827B367" w14:textId="77777777" w:rsidR="008877DC" w:rsidRPr="00150DD4" w:rsidRDefault="008877DC" w:rsidP="00DE35A6">
            <w:pPr>
              <w:pStyle w:val="Tabletext"/>
              <w:jc w:val="center"/>
              <w:rPr>
                <w:rFonts w:eastAsiaTheme="minorEastAsia" w:cstheme="minorHAnsi"/>
                <w:sz w:val="20"/>
              </w:rPr>
            </w:pPr>
            <w:r w:rsidRPr="00150DD4">
              <w:rPr>
                <w:rFonts w:eastAsiaTheme="minorEastAsia" w:cstheme="minorHAnsi"/>
                <w:sz w:val="20"/>
              </w:rPr>
              <w:t>9</w:t>
            </w:r>
          </w:p>
        </w:tc>
        <w:tc>
          <w:tcPr>
            <w:tcW w:w="3086" w:type="dxa"/>
            <w:tcBorders>
              <w:bottom w:val="single" w:sz="4" w:space="0" w:color="auto"/>
            </w:tcBorders>
          </w:tcPr>
          <w:p w14:paraId="4827B368" w14:textId="77777777" w:rsidR="008877DC" w:rsidRPr="00150DD4" w:rsidRDefault="008877DC" w:rsidP="00DE35A6">
            <w:pPr>
              <w:pStyle w:val="NormalIndent"/>
              <w:tabs>
                <w:tab w:val="left" w:pos="213"/>
              </w:tabs>
              <w:spacing w:before="40" w:after="40"/>
              <w:ind w:left="57"/>
              <w:rPr>
                <w:rFonts w:eastAsiaTheme="minorEastAsia" w:cstheme="minorHAnsi"/>
                <w:sz w:val="20"/>
                <w:lang w:eastAsia="zh-CN"/>
              </w:rPr>
            </w:pPr>
            <w:r>
              <w:rPr>
                <w:rFonts w:eastAsiaTheme="minorEastAsia" w:cstheme="minorHAnsi" w:hint="eastAsia"/>
                <w:sz w:val="20"/>
                <w:lang w:eastAsia="zh-CN"/>
              </w:rPr>
              <w:t>为</w:t>
            </w:r>
            <w:r w:rsidRPr="00150DD4">
              <w:rPr>
                <w:rFonts w:eastAsiaTheme="minorEastAsia" w:cstheme="minorHAnsi"/>
                <w:sz w:val="20"/>
                <w:lang w:eastAsia="zh-CN"/>
              </w:rPr>
              <w:t>发展中国家互联网治理方面的能力建设</w:t>
            </w:r>
            <w:r>
              <w:rPr>
                <w:rFonts w:eastAsiaTheme="minorEastAsia" w:cstheme="minorHAnsi" w:hint="eastAsia"/>
                <w:sz w:val="20"/>
                <w:lang w:eastAsia="zh-CN"/>
              </w:rPr>
              <w:t>做贡献</w:t>
            </w:r>
          </w:p>
        </w:tc>
        <w:tc>
          <w:tcPr>
            <w:tcW w:w="5713" w:type="dxa"/>
            <w:tcBorders>
              <w:bottom w:val="single" w:sz="4" w:space="0" w:color="auto"/>
            </w:tcBorders>
          </w:tcPr>
          <w:p w14:paraId="4827B369" w14:textId="77777777" w:rsidR="008877DC" w:rsidRPr="00CD4FE5" w:rsidRDefault="008877DC" w:rsidP="00DE35A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val="fr-FR" w:eastAsia="zh-CN"/>
              </w:rPr>
            </w:pPr>
            <w:r w:rsidRPr="00CD4FE5">
              <w:rPr>
                <w:rFonts w:eastAsiaTheme="minorEastAsia" w:cstheme="minorHAnsi"/>
                <w:sz w:val="20"/>
                <w:lang w:val="fr-FR" w:eastAsia="zh-CN"/>
              </w:rPr>
              <w:t>•</w:t>
            </w:r>
            <w:r w:rsidRPr="00CD4FE5">
              <w:rPr>
                <w:rFonts w:eastAsiaTheme="minorEastAsia" w:cstheme="minorHAnsi"/>
                <w:sz w:val="20"/>
                <w:lang w:val="fr-FR" w:eastAsia="zh-CN"/>
              </w:rPr>
              <w:tab/>
            </w:r>
            <w:hyperlink r:id="rId272" w:history="1">
              <w:r w:rsidRPr="00CD4FE5">
                <w:rPr>
                  <w:rStyle w:val="Hyperlink"/>
                  <w:rFonts w:eastAsiaTheme="minorEastAsia" w:cstheme="minorHAnsi"/>
                  <w:sz w:val="20"/>
                  <w:lang w:eastAsia="zh-CN"/>
                </w:rPr>
                <w:t>WTDC</w:t>
              </w:r>
              <w:r w:rsidRPr="00CD4FE5">
                <w:rPr>
                  <w:rStyle w:val="Hyperlink"/>
                  <w:rFonts w:eastAsiaTheme="minorEastAsia" w:cstheme="minorHAnsi"/>
                  <w:sz w:val="20"/>
                  <w:lang w:eastAsia="zh-CN"/>
                </w:rPr>
                <w:t>第</w:t>
              </w:r>
              <w:r w:rsidRPr="00CD4FE5">
                <w:rPr>
                  <w:rStyle w:val="Hyperlink"/>
                  <w:rFonts w:eastAsiaTheme="minorEastAsia" w:cstheme="minorHAnsi"/>
                  <w:sz w:val="20"/>
                  <w:lang w:eastAsia="zh-CN"/>
                </w:rPr>
                <w:t>17</w:t>
              </w:r>
              <w:r w:rsidRPr="00CD4FE5">
                <w:rPr>
                  <w:rStyle w:val="Hyperlink"/>
                  <w:rFonts w:eastAsiaTheme="minorEastAsia" w:cstheme="minorHAnsi"/>
                  <w:sz w:val="20"/>
                  <w:lang w:eastAsia="zh-CN"/>
                </w:rPr>
                <w:t>和</w:t>
              </w:r>
              <w:r w:rsidRPr="00CD4FE5">
                <w:rPr>
                  <w:rStyle w:val="Hyperlink"/>
                  <w:rFonts w:eastAsiaTheme="minorEastAsia" w:cstheme="minorHAnsi"/>
                  <w:sz w:val="20"/>
                  <w:lang w:eastAsia="zh-CN"/>
                </w:rPr>
                <w:t>20</w:t>
              </w:r>
              <w:r w:rsidRPr="00CD4FE5">
                <w:rPr>
                  <w:rStyle w:val="Hyperlink"/>
                  <w:rFonts w:eastAsiaTheme="minorEastAsia" w:cstheme="minorHAnsi"/>
                  <w:sz w:val="20"/>
                  <w:lang w:eastAsia="zh-CN"/>
                </w:rPr>
                <w:t>号决议</w:t>
              </w:r>
            </w:hyperlink>
            <w:r w:rsidRPr="00CD4FE5">
              <w:rPr>
                <w:rFonts w:eastAsiaTheme="minorEastAsia" w:cstheme="minorHAnsi"/>
                <w:sz w:val="20"/>
                <w:lang w:eastAsia="zh-CN"/>
              </w:rPr>
              <w:t>（</w:t>
            </w:r>
            <w:r w:rsidRPr="00CD4FE5">
              <w:rPr>
                <w:rFonts w:eastAsiaTheme="minorEastAsia" w:cstheme="minorHAnsi"/>
                <w:sz w:val="20"/>
                <w:lang w:eastAsia="zh-CN"/>
              </w:rPr>
              <w:t>2006</w:t>
            </w:r>
            <w:r w:rsidRPr="00CD4FE5">
              <w:rPr>
                <w:rFonts w:eastAsiaTheme="minorEastAsia" w:cstheme="minorHAnsi"/>
                <w:sz w:val="20"/>
                <w:lang w:eastAsia="zh-CN"/>
              </w:rPr>
              <w:t>年，多哈，修订版）</w:t>
            </w:r>
          </w:p>
          <w:p w14:paraId="4827B36A" w14:textId="77777777" w:rsidR="008877DC" w:rsidRPr="00CD4FE5" w:rsidRDefault="008877DC" w:rsidP="00DE35A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val="fr-FR" w:eastAsia="zh-CN"/>
              </w:rPr>
            </w:pPr>
            <w:r w:rsidRPr="00CD4FE5">
              <w:rPr>
                <w:rFonts w:eastAsiaTheme="minorEastAsia" w:cstheme="minorHAnsi"/>
                <w:sz w:val="20"/>
                <w:lang w:val="fr-FR" w:eastAsia="zh-CN"/>
              </w:rPr>
              <w:t>•</w:t>
            </w:r>
            <w:r w:rsidRPr="00CD4FE5">
              <w:rPr>
                <w:rFonts w:eastAsiaTheme="minorEastAsia" w:cstheme="minorHAnsi"/>
                <w:sz w:val="20"/>
                <w:lang w:val="fr-FR" w:eastAsia="zh-CN"/>
              </w:rPr>
              <w:tab/>
            </w:r>
            <w:hyperlink r:id="rId273" w:history="1">
              <w:r w:rsidRPr="00CD4FE5">
                <w:rPr>
                  <w:rStyle w:val="Hyperlink"/>
                  <w:rFonts w:eastAsiaTheme="minorEastAsia" w:cstheme="minorHAnsi"/>
                  <w:sz w:val="20"/>
                  <w:lang w:val="fr-FR" w:eastAsia="zh-CN"/>
                </w:rPr>
                <w:t>ITU-D</w:t>
              </w:r>
              <w:r w:rsidRPr="00CD4FE5">
                <w:rPr>
                  <w:rStyle w:val="Hyperlink"/>
                  <w:rFonts w:eastAsiaTheme="minorEastAsia" w:cstheme="minorHAnsi" w:hint="eastAsia"/>
                  <w:sz w:val="20"/>
                  <w:lang w:val="fr-FR" w:eastAsia="zh-CN"/>
                </w:rPr>
                <w:t>项目</w:t>
              </w:r>
              <w:r w:rsidRPr="00CD4FE5">
                <w:rPr>
                  <w:rStyle w:val="Hyperlink"/>
                  <w:rFonts w:eastAsiaTheme="minorEastAsia" w:cstheme="minorHAnsi"/>
                  <w:sz w:val="20"/>
                  <w:lang w:val="fr-FR" w:eastAsia="zh-CN"/>
                </w:rPr>
                <w:t>3</w:t>
              </w:r>
            </w:hyperlink>
            <w:r w:rsidRPr="00CD4FE5">
              <w:rPr>
                <w:rFonts w:eastAsiaTheme="minorEastAsia" w:cstheme="minorHAnsi"/>
                <w:sz w:val="20"/>
                <w:lang w:val="fr-FR" w:eastAsia="zh-CN"/>
              </w:rPr>
              <w:t>、</w:t>
            </w:r>
            <w:hyperlink r:id="rId274" w:history="1">
              <w:r w:rsidRPr="00CD4FE5">
                <w:rPr>
                  <w:rStyle w:val="Hyperlink"/>
                  <w:rFonts w:eastAsiaTheme="minorEastAsia" w:cstheme="minorHAnsi"/>
                  <w:sz w:val="20"/>
                  <w:lang w:val="fr-FR" w:eastAsia="zh-CN"/>
                </w:rPr>
                <w:t>ITU-D</w:t>
              </w:r>
              <w:r w:rsidRPr="00CD4FE5">
                <w:rPr>
                  <w:rStyle w:val="Hyperlink"/>
                  <w:rFonts w:eastAsiaTheme="minorEastAsia" w:cstheme="minorHAnsi" w:hint="eastAsia"/>
                  <w:sz w:val="20"/>
                  <w:lang w:val="fr-FR" w:eastAsia="zh-CN"/>
                </w:rPr>
                <w:t>项目</w:t>
              </w:r>
              <w:r w:rsidRPr="00CD4FE5">
                <w:rPr>
                  <w:rStyle w:val="Hyperlink"/>
                  <w:rFonts w:eastAsiaTheme="minorEastAsia" w:cstheme="minorHAnsi"/>
                  <w:sz w:val="20"/>
                  <w:lang w:val="fr-FR" w:eastAsia="zh-CN"/>
                </w:rPr>
                <w:t>5</w:t>
              </w:r>
            </w:hyperlink>
          </w:p>
          <w:p w14:paraId="4827B36B" w14:textId="77777777" w:rsidR="008877DC" w:rsidRPr="00CD4FE5" w:rsidRDefault="008877DC" w:rsidP="00DE35A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val="fr-FR" w:eastAsia="zh-CN"/>
              </w:rPr>
            </w:pPr>
            <w:r w:rsidRPr="00CD4FE5">
              <w:rPr>
                <w:rFonts w:eastAsiaTheme="minorEastAsia" w:cstheme="minorHAnsi"/>
                <w:sz w:val="20"/>
                <w:lang w:val="fr-FR" w:eastAsia="zh-CN"/>
              </w:rPr>
              <w:t>•</w:t>
            </w:r>
            <w:r w:rsidRPr="00CD4FE5">
              <w:rPr>
                <w:rFonts w:eastAsiaTheme="minorEastAsia" w:cstheme="minorHAnsi"/>
                <w:sz w:val="20"/>
                <w:lang w:val="fr-FR" w:eastAsia="zh-CN"/>
              </w:rPr>
              <w:tab/>
            </w:r>
            <w:hyperlink r:id="rId275" w:anchor="page=3" w:history="1">
              <w:r w:rsidRPr="00CD4FE5">
                <w:rPr>
                  <w:rStyle w:val="Hyperlink"/>
                  <w:rFonts w:eastAsiaTheme="minorEastAsia" w:cstheme="minorHAnsi"/>
                  <w:sz w:val="20"/>
                  <w:lang w:eastAsia="zh-CN"/>
                </w:rPr>
                <w:t>WTSA</w:t>
              </w:r>
              <w:r w:rsidRPr="00CD4FE5">
                <w:rPr>
                  <w:rStyle w:val="Hyperlink"/>
                  <w:rFonts w:eastAsiaTheme="minorEastAsia" w:cstheme="minorHAnsi"/>
                  <w:sz w:val="20"/>
                  <w:lang w:eastAsia="zh-CN"/>
                </w:rPr>
                <w:t>第</w:t>
              </w:r>
              <w:r w:rsidRPr="00CD4FE5">
                <w:rPr>
                  <w:rStyle w:val="Hyperlink"/>
                  <w:rFonts w:eastAsiaTheme="minorEastAsia" w:cstheme="minorHAnsi"/>
                  <w:sz w:val="20"/>
                  <w:lang w:eastAsia="zh-CN"/>
                </w:rPr>
                <w:t>64</w:t>
              </w:r>
              <w:r w:rsidRPr="00CD4FE5">
                <w:rPr>
                  <w:rStyle w:val="Hyperlink"/>
                  <w:rFonts w:eastAsiaTheme="minorEastAsia" w:cstheme="minorHAnsi"/>
                  <w:sz w:val="20"/>
                  <w:lang w:eastAsia="zh-CN"/>
                </w:rPr>
                <w:t>号决议</w:t>
              </w:r>
            </w:hyperlink>
            <w:r w:rsidRPr="00CD4FE5">
              <w:rPr>
                <w:rFonts w:eastAsiaTheme="minorEastAsia" w:cstheme="minorHAnsi"/>
                <w:sz w:val="20"/>
                <w:lang w:eastAsia="zh-CN"/>
              </w:rPr>
              <w:t>（</w:t>
            </w:r>
            <w:r w:rsidRPr="00CD4FE5">
              <w:rPr>
                <w:rFonts w:eastAsiaTheme="minorEastAsia" w:cstheme="minorHAnsi"/>
                <w:sz w:val="20"/>
                <w:lang w:eastAsia="zh-CN"/>
              </w:rPr>
              <w:t>2008</w:t>
            </w:r>
            <w:r w:rsidRPr="00CD4FE5">
              <w:rPr>
                <w:rFonts w:eastAsiaTheme="minorEastAsia" w:cstheme="minorHAnsi"/>
                <w:sz w:val="20"/>
                <w:lang w:eastAsia="zh-CN"/>
              </w:rPr>
              <w:t>年，约翰内斯堡，修订版）</w:t>
            </w:r>
          </w:p>
        </w:tc>
      </w:tr>
      <w:tr w:rsidR="008877DC" w:rsidRPr="00150DD4" w14:paraId="4827B372" w14:textId="77777777" w:rsidTr="008877DC">
        <w:trPr>
          <w:tblHeader/>
        </w:trPr>
        <w:tc>
          <w:tcPr>
            <w:tcW w:w="546" w:type="dxa"/>
          </w:tcPr>
          <w:p w14:paraId="4827B36D" w14:textId="77777777" w:rsidR="008877DC" w:rsidRPr="00150DD4" w:rsidRDefault="008877DC" w:rsidP="00DE35A6">
            <w:pPr>
              <w:pStyle w:val="Tabletext"/>
              <w:jc w:val="center"/>
              <w:rPr>
                <w:rFonts w:eastAsiaTheme="minorEastAsia" w:cstheme="minorHAnsi"/>
                <w:sz w:val="20"/>
              </w:rPr>
            </w:pPr>
            <w:r w:rsidRPr="00150DD4">
              <w:rPr>
                <w:rFonts w:eastAsiaTheme="minorEastAsia" w:cstheme="minorHAnsi"/>
                <w:sz w:val="20"/>
              </w:rPr>
              <w:t>10</w:t>
            </w:r>
          </w:p>
        </w:tc>
        <w:tc>
          <w:tcPr>
            <w:tcW w:w="3086" w:type="dxa"/>
          </w:tcPr>
          <w:p w14:paraId="4827B36E" w14:textId="77777777" w:rsidR="008877DC" w:rsidRPr="00150DD4" w:rsidRDefault="008877DC" w:rsidP="00DE35A6">
            <w:pPr>
              <w:pStyle w:val="NormalIndent"/>
              <w:tabs>
                <w:tab w:val="left" w:pos="213"/>
              </w:tabs>
              <w:spacing w:before="40" w:after="40"/>
              <w:ind w:left="57"/>
              <w:rPr>
                <w:rFonts w:eastAsiaTheme="minorEastAsia" w:cstheme="minorHAnsi"/>
                <w:sz w:val="20"/>
              </w:rPr>
            </w:pPr>
            <w:r w:rsidRPr="00150DD4">
              <w:rPr>
                <w:rFonts w:eastAsiaTheme="minorEastAsia" w:cstheme="minorHAnsi"/>
                <w:sz w:val="20"/>
              </w:rPr>
              <w:t>互联网的发展问题</w:t>
            </w:r>
          </w:p>
        </w:tc>
        <w:tc>
          <w:tcPr>
            <w:tcW w:w="5713" w:type="dxa"/>
          </w:tcPr>
          <w:p w14:paraId="4827B36F" w14:textId="77777777" w:rsidR="008877DC" w:rsidRPr="00CD4FE5" w:rsidRDefault="008877DC" w:rsidP="00DE35A6">
            <w:pPr>
              <w:pStyle w:val="Tabletext"/>
              <w:ind w:left="284" w:hanging="284"/>
              <w:rPr>
                <w:rFonts w:eastAsiaTheme="minorEastAsia" w:cstheme="minorHAnsi"/>
                <w:sz w:val="20"/>
                <w:lang w:eastAsia="zh-CN"/>
              </w:rPr>
            </w:pPr>
            <w:r w:rsidRPr="00CD4FE5">
              <w:rPr>
                <w:rFonts w:eastAsiaTheme="minorEastAsia" w:cstheme="minorHAnsi"/>
                <w:sz w:val="20"/>
                <w:lang w:val="fr-FR" w:eastAsia="zh-CN"/>
              </w:rPr>
              <w:t>•</w:t>
            </w:r>
            <w:r w:rsidRPr="00CD4FE5">
              <w:rPr>
                <w:rFonts w:eastAsiaTheme="minorEastAsia" w:cstheme="minorHAnsi"/>
                <w:sz w:val="20"/>
                <w:lang w:val="fr-FR" w:eastAsia="zh-CN"/>
              </w:rPr>
              <w:tab/>
            </w:r>
            <w:hyperlink r:id="rId276" w:history="1">
              <w:r w:rsidRPr="00CD4FE5">
                <w:rPr>
                  <w:rStyle w:val="Hyperlink"/>
                  <w:rFonts w:eastAsiaTheme="minorEastAsia" w:cstheme="minorHAnsi"/>
                  <w:sz w:val="20"/>
                  <w:lang w:eastAsia="zh-CN"/>
                </w:rPr>
                <w:t>WTDC</w:t>
              </w:r>
              <w:r w:rsidRPr="00CD4FE5">
                <w:rPr>
                  <w:rStyle w:val="Hyperlink"/>
                  <w:rFonts w:eastAsiaTheme="minorEastAsia" w:cstheme="minorHAnsi"/>
                  <w:sz w:val="20"/>
                  <w:lang w:eastAsia="zh-CN"/>
                </w:rPr>
                <w:t>第</w:t>
              </w:r>
              <w:r w:rsidRPr="00CD4FE5">
                <w:rPr>
                  <w:rStyle w:val="Hyperlink"/>
                  <w:rFonts w:eastAsiaTheme="minorEastAsia" w:cstheme="minorHAnsi"/>
                  <w:sz w:val="20"/>
                  <w:lang w:eastAsia="zh-CN"/>
                </w:rPr>
                <w:t>17</w:t>
              </w:r>
              <w:r w:rsidRPr="00CD4FE5">
                <w:rPr>
                  <w:rStyle w:val="Hyperlink"/>
                  <w:rFonts w:eastAsiaTheme="minorEastAsia" w:cstheme="minorHAnsi"/>
                  <w:sz w:val="20"/>
                  <w:lang w:eastAsia="zh-CN"/>
                </w:rPr>
                <w:t>和</w:t>
              </w:r>
              <w:r w:rsidRPr="00CD4FE5">
                <w:rPr>
                  <w:rStyle w:val="Hyperlink"/>
                  <w:rFonts w:eastAsiaTheme="minorEastAsia" w:cstheme="minorHAnsi"/>
                  <w:sz w:val="20"/>
                  <w:lang w:eastAsia="zh-CN"/>
                </w:rPr>
                <w:t>20</w:t>
              </w:r>
              <w:r w:rsidRPr="00CD4FE5">
                <w:rPr>
                  <w:rStyle w:val="Hyperlink"/>
                  <w:rFonts w:eastAsiaTheme="minorEastAsia" w:cstheme="minorHAnsi"/>
                  <w:sz w:val="20"/>
                  <w:lang w:eastAsia="zh-CN"/>
                </w:rPr>
                <w:t>号决议</w:t>
              </w:r>
            </w:hyperlink>
            <w:r w:rsidRPr="00CD4FE5">
              <w:rPr>
                <w:rFonts w:eastAsiaTheme="minorEastAsia" w:cstheme="minorHAnsi"/>
                <w:sz w:val="20"/>
                <w:lang w:eastAsia="zh-CN"/>
              </w:rPr>
              <w:t>（</w:t>
            </w:r>
            <w:r w:rsidRPr="00CD4FE5">
              <w:rPr>
                <w:rFonts w:eastAsiaTheme="minorEastAsia" w:cstheme="minorHAnsi"/>
                <w:sz w:val="20"/>
                <w:lang w:eastAsia="zh-CN"/>
              </w:rPr>
              <w:t>2006</w:t>
            </w:r>
            <w:r w:rsidRPr="00CD4FE5">
              <w:rPr>
                <w:rFonts w:eastAsiaTheme="minorEastAsia" w:cstheme="minorHAnsi"/>
                <w:sz w:val="20"/>
                <w:lang w:eastAsia="zh-CN"/>
              </w:rPr>
              <w:t>年，多哈，修订版）</w:t>
            </w:r>
          </w:p>
          <w:p w14:paraId="4827B370" w14:textId="77777777" w:rsidR="008877DC" w:rsidRPr="00CD4FE5" w:rsidRDefault="008877DC" w:rsidP="00DE35A6">
            <w:pPr>
              <w:pStyle w:val="Tabletext"/>
              <w:ind w:left="284" w:hanging="284"/>
              <w:rPr>
                <w:rFonts w:eastAsiaTheme="minorEastAsia" w:cstheme="minorHAnsi"/>
                <w:sz w:val="20"/>
                <w:lang w:eastAsia="zh-CN"/>
              </w:rPr>
            </w:pPr>
            <w:r w:rsidRPr="00CD4FE5">
              <w:rPr>
                <w:rFonts w:eastAsiaTheme="minorEastAsia" w:cstheme="minorHAnsi"/>
                <w:sz w:val="20"/>
                <w:lang w:val="fr-FR" w:eastAsia="zh-CN"/>
              </w:rPr>
              <w:t>•</w:t>
            </w:r>
            <w:r w:rsidRPr="00CD4FE5">
              <w:rPr>
                <w:rFonts w:eastAsiaTheme="minorEastAsia" w:cstheme="minorHAnsi"/>
                <w:sz w:val="20"/>
                <w:lang w:val="fr-FR" w:eastAsia="zh-CN"/>
              </w:rPr>
              <w:tab/>
            </w:r>
            <w:hyperlink r:id="rId277" w:anchor="page=4" w:history="1">
              <w:r w:rsidRPr="00CD4FE5">
                <w:rPr>
                  <w:rStyle w:val="Hyperlink"/>
                  <w:rFonts w:eastAsiaTheme="minorEastAsia" w:cstheme="minorHAnsi"/>
                  <w:sz w:val="20"/>
                  <w:lang w:eastAsia="zh-CN"/>
                </w:rPr>
                <w:t>WTSA</w:t>
              </w:r>
              <w:r w:rsidRPr="00CD4FE5">
                <w:rPr>
                  <w:rStyle w:val="Hyperlink"/>
                  <w:rFonts w:eastAsiaTheme="minorEastAsia" w:cstheme="minorHAnsi"/>
                  <w:sz w:val="20"/>
                  <w:lang w:eastAsia="zh-CN"/>
                </w:rPr>
                <w:t>第</w:t>
              </w:r>
              <w:r w:rsidRPr="00CD4FE5">
                <w:rPr>
                  <w:rStyle w:val="Hyperlink"/>
                  <w:rFonts w:eastAsiaTheme="minorEastAsia" w:cstheme="minorHAnsi"/>
                  <w:sz w:val="20"/>
                  <w:lang w:eastAsia="zh-CN"/>
                </w:rPr>
                <w:t>64</w:t>
              </w:r>
              <w:r w:rsidRPr="00CD4FE5">
                <w:rPr>
                  <w:rStyle w:val="Hyperlink"/>
                  <w:rFonts w:eastAsiaTheme="minorEastAsia" w:cstheme="minorHAnsi"/>
                  <w:sz w:val="20"/>
                  <w:lang w:eastAsia="zh-CN"/>
                </w:rPr>
                <w:t>和</w:t>
              </w:r>
              <w:r w:rsidRPr="00CD4FE5">
                <w:rPr>
                  <w:rStyle w:val="Hyperlink"/>
                  <w:rFonts w:eastAsiaTheme="minorEastAsia" w:cstheme="minorHAnsi"/>
                  <w:sz w:val="20"/>
                  <w:lang w:eastAsia="zh-CN"/>
                </w:rPr>
                <w:t>75</w:t>
              </w:r>
              <w:r w:rsidRPr="00CD4FE5">
                <w:rPr>
                  <w:rStyle w:val="Hyperlink"/>
                  <w:rFonts w:eastAsiaTheme="minorEastAsia" w:cstheme="minorHAnsi"/>
                  <w:sz w:val="20"/>
                  <w:lang w:eastAsia="zh-CN"/>
                </w:rPr>
                <w:t>号决议</w:t>
              </w:r>
            </w:hyperlink>
            <w:r w:rsidRPr="00CD4FE5">
              <w:rPr>
                <w:rFonts w:eastAsiaTheme="minorEastAsia" w:cstheme="minorHAnsi"/>
                <w:sz w:val="20"/>
                <w:lang w:eastAsia="zh-CN"/>
              </w:rPr>
              <w:t>（</w:t>
            </w:r>
            <w:r w:rsidRPr="00CD4FE5">
              <w:rPr>
                <w:rFonts w:eastAsiaTheme="minorEastAsia" w:cstheme="minorHAnsi"/>
                <w:sz w:val="20"/>
                <w:lang w:eastAsia="zh-CN"/>
              </w:rPr>
              <w:t>2008</w:t>
            </w:r>
            <w:r w:rsidRPr="00CD4FE5">
              <w:rPr>
                <w:rFonts w:eastAsiaTheme="minorEastAsia" w:cstheme="minorHAnsi"/>
                <w:sz w:val="20"/>
                <w:lang w:eastAsia="zh-CN"/>
              </w:rPr>
              <w:t>年，约翰内斯堡，修订版）</w:t>
            </w:r>
          </w:p>
          <w:p w14:paraId="4827B371" w14:textId="77777777" w:rsidR="008877DC" w:rsidRPr="00CD4FE5" w:rsidRDefault="008877DC" w:rsidP="00DE35A6">
            <w:pPr>
              <w:pStyle w:val="Tabletext"/>
              <w:ind w:left="284" w:hanging="284"/>
              <w:rPr>
                <w:rFonts w:eastAsiaTheme="minorEastAsia" w:cstheme="minorHAnsi"/>
                <w:sz w:val="20"/>
                <w:lang w:val="fr-FR" w:eastAsia="zh-CN"/>
              </w:rPr>
            </w:pPr>
            <w:r w:rsidRPr="00CD4FE5">
              <w:rPr>
                <w:rFonts w:eastAsiaTheme="minorEastAsia" w:cstheme="minorHAnsi"/>
                <w:sz w:val="20"/>
                <w:lang w:val="fr-FR" w:eastAsia="zh-CN"/>
              </w:rPr>
              <w:t>•</w:t>
            </w:r>
            <w:r w:rsidRPr="00CD4FE5">
              <w:rPr>
                <w:rFonts w:eastAsiaTheme="minorEastAsia" w:cstheme="minorHAnsi"/>
                <w:sz w:val="20"/>
                <w:lang w:val="fr-FR" w:eastAsia="zh-CN"/>
              </w:rPr>
              <w:tab/>
            </w:r>
            <w:hyperlink r:id="rId278" w:anchor="page=3" w:history="1">
              <w:r w:rsidRPr="00CD4FE5">
                <w:rPr>
                  <w:rStyle w:val="Hyperlink"/>
                  <w:rFonts w:eastAsiaTheme="minorEastAsia" w:cstheme="minorHAnsi"/>
                  <w:sz w:val="20"/>
                  <w:lang w:eastAsia="zh-CN"/>
                </w:rPr>
                <w:t>PP</w:t>
              </w:r>
              <w:r w:rsidRPr="00CD4FE5">
                <w:rPr>
                  <w:rStyle w:val="Hyperlink"/>
                  <w:rFonts w:eastAsiaTheme="minorEastAsia" w:cstheme="minorHAnsi"/>
                  <w:sz w:val="20"/>
                  <w:lang w:eastAsia="zh-CN"/>
                </w:rPr>
                <w:t>第</w:t>
              </w:r>
              <w:r w:rsidRPr="00CD4FE5">
                <w:rPr>
                  <w:rStyle w:val="Hyperlink"/>
                  <w:rFonts w:eastAsiaTheme="minorEastAsia" w:cstheme="minorHAnsi"/>
                  <w:sz w:val="20"/>
                  <w:lang w:eastAsia="zh-CN"/>
                </w:rPr>
                <w:t>101</w:t>
              </w:r>
              <w:r w:rsidRPr="00E867DB">
                <w:rPr>
                  <w:rStyle w:val="Hyperlink"/>
                  <w:rFonts w:eastAsiaTheme="minorEastAsia" w:cstheme="minorHAnsi"/>
                  <w:sz w:val="20"/>
                  <w:lang w:eastAsia="zh-CN"/>
                </w:rPr>
                <w:t>、</w:t>
              </w:r>
              <w:hyperlink r:id="rId279" w:anchor="page=4" w:history="1">
                <w:r w:rsidRPr="009F1B9C">
                  <w:rPr>
                    <w:rStyle w:val="Hyperlink"/>
                    <w:sz w:val="18"/>
                    <w:szCs w:val="18"/>
                    <w:lang w:val="en-US" w:eastAsia="zh-CN"/>
                  </w:rPr>
                  <w:t>102</w:t>
                </w:r>
              </w:hyperlink>
              <w:r w:rsidRPr="00CD4FE5">
                <w:rPr>
                  <w:rStyle w:val="Hyperlink"/>
                  <w:rFonts w:eastAsiaTheme="minorEastAsia" w:cstheme="minorHAnsi"/>
                  <w:sz w:val="20"/>
                  <w:lang w:eastAsia="zh-CN"/>
                </w:rPr>
                <w:t>和</w:t>
              </w:r>
              <w:r w:rsidRPr="00CD4FE5">
                <w:rPr>
                  <w:rStyle w:val="Hyperlink"/>
                  <w:rFonts w:eastAsiaTheme="minorEastAsia" w:cstheme="minorHAnsi"/>
                  <w:sz w:val="20"/>
                  <w:lang w:eastAsia="zh-CN"/>
                </w:rPr>
                <w:t>133</w:t>
              </w:r>
              <w:r w:rsidRPr="00CD4FE5">
                <w:rPr>
                  <w:rStyle w:val="Hyperlink"/>
                  <w:rFonts w:eastAsiaTheme="minorEastAsia" w:cstheme="minorHAnsi"/>
                  <w:sz w:val="20"/>
                  <w:lang w:eastAsia="zh-CN"/>
                </w:rPr>
                <w:t>号决议</w:t>
              </w:r>
            </w:hyperlink>
            <w:r w:rsidRPr="00CD4FE5">
              <w:rPr>
                <w:rFonts w:eastAsiaTheme="minorEastAsia" w:cstheme="minorHAnsi"/>
                <w:sz w:val="20"/>
                <w:lang w:eastAsia="zh-CN"/>
              </w:rPr>
              <w:t>（</w:t>
            </w:r>
            <w:r w:rsidRPr="00CD4FE5">
              <w:rPr>
                <w:rFonts w:eastAsiaTheme="minorEastAsia" w:cstheme="minorHAnsi"/>
                <w:sz w:val="20"/>
                <w:lang w:eastAsia="zh-CN"/>
              </w:rPr>
              <w:t>2006</w:t>
            </w:r>
            <w:r w:rsidRPr="00CD4FE5">
              <w:rPr>
                <w:rFonts w:eastAsiaTheme="minorEastAsia" w:cstheme="minorHAnsi"/>
                <w:sz w:val="20"/>
                <w:lang w:eastAsia="zh-CN"/>
              </w:rPr>
              <w:t>年，安塔利亚，修订版）</w:t>
            </w:r>
          </w:p>
        </w:tc>
      </w:tr>
      <w:tr w:rsidR="008877DC" w:rsidRPr="00150DD4" w14:paraId="4827B379" w14:textId="77777777" w:rsidTr="008877DC">
        <w:trPr>
          <w:tblHeader/>
        </w:trPr>
        <w:tc>
          <w:tcPr>
            <w:tcW w:w="546" w:type="dxa"/>
          </w:tcPr>
          <w:p w14:paraId="4827B373" w14:textId="77777777" w:rsidR="008877DC" w:rsidRPr="00150DD4" w:rsidRDefault="008877DC" w:rsidP="00DE35A6">
            <w:pPr>
              <w:pStyle w:val="Tabletext"/>
              <w:jc w:val="center"/>
              <w:rPr>
                <w:rFonts w:eastAsiaTheme="minorEastAsia" w:cstheme="minorHAnsi"/>
                <w:sz w:val="20"/>
              </w:rPr>
            </w:pPr>
            <w:r w:rsidRPr="00150DD4">
              <w:rPr>
                <w:rFonts w:eastAsiaTheme="minorEastAsia" w:cstheme="minorHAnsi"/>
                <w:sz w:val="20"/>
              </w:rPr>
              <w:t>11</w:t>
            </w:r>
          </w:p>
        </w:tc>
        <w:tc>
          <w:tcPr>
            <w:tcW w:w="3086" w:type="dxa"/>
          </w:tcPr>
          <w:p w14:paraId="4827B374" w14:textId="77777777" w:rsidR="008877DC" w:rsidRPr="00150DD4" w:rsidRDefault="008877DC" w:rsidP="00DE35A6">
            <w:pPr>
              <w:pStyle w:val="NormalIndent"/>
              <w:tabs>
                <w:tab w:val="left" w:pos="213"/>
              </w:tabs>
              <w:spacing w:before="40" w:after="40"/>
              <w:ind w:left="57"/>
              <w:rPr>
                <w:rFonts w:eastAsiaTheme="minorEastAsia" w:cstheme="minorHAnsi"/>
                <w:sz w:val="20"/>
                <w:lang w:eastAsia="zh-CN"/>
              </w:rPr>
            </w:pPr>
            <w:r w:rsidRPr="00150DD4">
              <w:rPr>
                <w:rFonts w:eastAsiaTheme="minorEastAsia" w:cstheme="minorHAnsi"/>
                <w:sz w:val="20"/>
                <w:lang w:eastAsia="zh-CN"/>
              </w:rPr>
              <w:t>尊重隐私和保护个人信息与数据</w:t>
            </w:r>
          </w:p>
        </w:tc>
        <w:tc>
          <w:tcPr>
            <w:tcW w:w="5713" w:type="dxa"/>
          </w:tcPr>
          <w:p w14:paraId="4827B375" w14:textId="77777777" w:rsidR="008877DC" w:rsidRPr="00CD4FE5" w:rsidRDefault="008877DC" w:rsidP="00DE35A6">
            <w:pPr>
              <w:pStyle w:val="Tabletext"/>
              <w:ind w:left="284" w:hanging="284"/>
              <w:rPr>
                <w:rFonts w:eastAsiaTheme="minorEastAsia" w:cstheme="minorHAnsi"/>
                <w:sz w:val="20"/>
                <w:lang w:val="fr-CH" w:eastAsia="zh-CN"/>
              </w:rPr>
            </w:pPr>
            <w:r w:rsidRPr="00CD4FE5">
              <w:rPr>
                <w:rFonts w:eastAsiaTheme="minorEastAsia" w:cstheme="minorHAnsi"/>
                <w:sz w:val="20"/>
                <w:lang w:val="fr-FR" w:eastAsia="zh-CN"/>
              </w:rPr>
              <w:t>•</w:t>
            </w:r>
            <w:r w:rsidRPr="00CD4FE5">
              <w:rPr>
                <w:rFonts w:eastAsiaTheme="minorEastAsia" w:cstheme="minorHAnsi"/>
                <w:sz w:val="20"/>
                <w:lang w:val="fr-FR" w:eastAsia="zh-CN"/>
              </w:rPr>
              <w:tab/>
            </w:r>
            <w:hyperlink r:id="rId280" w:anchor="page=4" w:history="1">
              <w:hyperlink r:id="rId281" w:anchor="page=4" w:history="1">
                <w:r w:rsidRPr="00CD4FE5">
                  <w:rPr>
                    <w:rStyle w:val="Hyperlink"/>
                    <w:rFonts w:eastAsiaTheme="minorEastAsia" w:cstheme="minorHAnsi"/>
                    <w:sz w:val="20"/>
                    <w:lang w:eastAsia="zh-CN"/>
                  </w:rPr>
                  <w:t>PP</w:t>
                </w:r>
                <w:r w:rsidRPr="00CD4FE5">
                  <w:rPr>
                    <w:rStyle w:val="Hyperlink"/>
                    <w:rFonts w:eastAsiaTheme="minorEastAsia" w:cstheme="minorHAnsi"/>
                    <w:sz w:val="20"/>
                    <w:lang w:eastAsia="zh-CN"/>
                  </w:rPr>
                  <w:t>第</w:t>
                </w:r>
                <w:r w:rsidRPr="00CD4FE5">
                  <w:rPr>
                    <w:rStyle w:val="Hyperlink"/>
                    <w:rFonts w:eastAsiaTheme="minorEastAsia" w:cstheme="minorHAnsi"/>
                    <w:sz w:val="20"/>
                    <w:lang w:eastAsia="zh-CN"/>
                  </w:rPr>
                  <w:t>130</w:t>
                </w:r>
                <w:r w:rsidRPr="00CD4FE5">
                  <w:rPr>
                    <w:rStyle w:val="Hyperlink"/>
                    <w:rFonts w:eastAsiaTheme="minorEastAsia" w:cstheme="minorHAnsi"/>
                    <w:sz w:val="20"/>
                    <w:lang w:eastAsia="zh-CN"/>
                  </w:rPr>
                  <w:t>号决议</w:t>
                </w:r>
              </w:hyperlink>
              <w:r w:rsidRPr="00CD4FE5">
                <w:rPr>
                  <w:rFonts w:eastAsiaTheme="minorEastAsia" w:cstheme="minorHAnsi"/>
                  <w:sz w:val="20"/>
                  <w:lang w:eastAsia="zh-CN"/>
                </w:rPr>
                <w:t>（</w:t>
              </w:r>
              <w:r w:rsidRPr="00CD4FE5">
                <w:rPr>
                  <w:rFonts w:eastAsiaTheme="minorEastAsia" w:cstheme="minorHAnsi"/>
                  <w:sz w:val="20"/>
                  <w:lang w:eastAsia="zh-CN"/>
                </w:rPr>
                <w:t>2006</w:t>
              </w:r>
              <w:r w:rsidRPr="00CD4FE5">
                <w:rPr>
                  <w:rFonts w:eastAsiaTheme="minorEastAsia" w:cstheme="minorHAnsi"/>
                  <w:sz w:val="20"/>
                  <w:lang w:eastAsia="zh-CN"/>
                </w:rPr>
                <w:t>年，安塔利亚，修订版）</w:t>
              </w:r>
            </w:hyperlink>
          </w:p>
          <w:p w14:paraId="4827B376" w14:textId="77777777" w:rsidR="008877DC" w:rsidRPr="00CD4FE5" w:rsidRDefault="008877DC" w:rsidP="00DE35A6">
            <w:pPr>
              <w:pStyle w:val="Tabletext"/>
              <w:ind w:left="284" w:hanging="284"/>
              <w:rPr>
                <w:rFonts w:eastAsiaTheme="minorEastAsia" w:cstheme="minorHAnsi"/>
                <w:sz w:val="20"/>
                <w:lang w:val="fr-FR" w:eastAsia="zh-CN"/>
              </w:rPr>
            </w:pPr>
            <w:r w:rsidRPr="00CD4FE5">
              <w:rPr>
                <w:rFonts w:eastAsiaTheme="minorEastAsia" w:cstheme="minorHAnsi"/>
                <w:sz w:val="20"/>
                <w:lang w:val="fr-FR" w:eastAsia="zh-CN"/>
              </w:rPr>
              <w:t>•</w:t>
            </w:r>
            <w:r w:rsidRPr="00CD4FE5">
              <w:rPr>
                <w:rFonts w:eastAsiaTheme="minorEastAsia" w:cstheme="minorHAnsi"/>
                <w:sz w:val="20"/>
                <w:lang w:val="fr-FR" w:eastAsia="zh-CN"/>
              </w:rPr>
              <w:tab/>
            </w:r>
            <w:hyperlink r:id="rId282" w:history="1">
              <w:r w:rsidRPr="00CD4FE5">
                <w:rPr>
                  <w:rStyle w:val="Hyperlink"/>
                  <w:rFonts w:eastAsiaTheme="minorEastAsia" w:cstheme="minorHAnsi"/>
                  <w:sz w:val="20"/>
                  <w:lang w:val="fr-CH" w:eastAsia="zh-CN"/>
                </w:rPr>
                <w:t>WSIS AL C5</w:t>
              </w:r>
              <w:r w:rsidRPr="00CD4FE5">
                <w:rPr>
                  <w:rStyle w:val="Hyperlink"/>
                  <w:rFonts w:eastAsiaTheme="minorEastAsia" w:cstheme="minorHAnsi"/>
                  <w:sz w:val="20"/>
                  <w:lang w:eastAsia="zh-CN"/>
                </w:rPr>
                <w:t>牵头推进方</w:t>
              </w:r>
              <w:r w:rsidRPr="00CD4FE5">
                <w:rPr>
                  <w:rStyle w:val="Hyperlink"/>
                  <w:rFonts w:eastAsiaTheme="minorEastAsia" w:cstheme="minorHAnsi"/>
                  <w:sz w:val="20"/>
                  <w:lang w:val="fr-CH" w:eastAsia="zh-CN"/>
                </w:rPr>
                <w:t>（</w:t>
              </w:r>
              <w:r w:rsidRPr="00CD4FE5">
                <w:rPr>
                  <w:rStyle w:val="Hyperlink"/>
                  <w:rFonts w:eastAsiaTheme="minorEastAsia" w:cstheme="minorHAnsi"/>
                  <w:sz w:val="20"/>
                  <w:lang w:val="fr-CH" w:eastAsia="zh-CN"/>
                </w:rPr>
                <w:t>2005</w:t>
              </w:r>
              <w:r w:rsidRPr="00CD4FE5">
                <w:rPr>
                  <w:rStyle w:val="Hyperlink"/>
                  <w:rFonts w:eastAsiaTheme="minorEastAsia" w:cstheme="minorHAnsi"/>
                  <w:sz w:val="20"/>
                  <w:lang w:eastAsia="zh-CN"/>
                </w:rPr>
                <w:t>年</w:t>
              </w:r>
              <w:r w:rsidRPr="00CD4FE5">
                <w:rPr>
                  <w:rStyle w:val="Hyperlink"/>
                  <w:rFonts w:eastAsiaTheme="minorEastAsia" w:cstheme="minorHAnsi"/>
                  <w:sz w:val="20"/>
                  <w:lang w:val="fr-CH" w:eastAsia="zh-CN"/>
                </w:rPr>
                <w:t>，</w:t>
              </w:r>
              <w:r w:rsidRPr="00CD4FE5">
                <w:rPr>
                  <w:rStyle w:val="Hyperlink"/>
                  <w:rFonts w:eastAsiaTheme="minorEastAsia" w:cstheme="minorHAnsi"/>
                  <w:sz w:val="20"/>
                  <w:lang w:eastAsia="zh-CN"/>
                </w:rPr>
                <w:t>突尼斯</w:t>
              </w:r>
              <w:r w:rsidRPr="00CD4FE5">
                <w:rPr>
                  <w:rStyle w:val="Hyperlink"/>
                  <w:rFonts w:eastAsiaTheme="minorEastAsia" w:cstheme="minorHAnsi"/>
                  <w:sz w:val="20"/>
                  <w:lang w:val="fr-CH" w:eastAsia="zh-CN"/>
                </w:rPr>
                <w:t>）</w:t>
              </w:r>
            </w:hyperlink>
          </w:p>
          <w:p w14:paraId="4827B377" w14:textId="77777777" w:rsidR="008877DC" w:rsidRPr="00CD4FE5" w:rsidRDefault="008877DC" w:rsidP="00DE35A6">
            <w:pPr>
              <w:pStyle w:val="Tabletext"/>
              <w:rPr>
                <w:rFonts w:eastAsiaTheme="minorEastAsia" w:cstheme="minorHAnsi"/>
                <w:sz w:val="20"/>
                <w:lang w:val="fr-FR" w:eastAsia="zh-CN"/>
              </w:rPr>
            </w:pPr>
            <w:r w:rsidRPr="00CD4FE5">
              <w:rPr>
                <w:rFonts w:eastAsiaTheme="minorEastAsia" w:cstheme="minorHAnsi"/>
                <w:sz w:val="20"/>
                <w:lang w:val="fr-FR" w:eastAsia="zh-CN"/>
              </w:rPr>
              <w:t>•</w:t>
            </w:r>
            <w:r w:rsidRPr="00CD4FE5">
              <w:rPr>
                <w:rFonts w:eastAsiaTheme="minorEastAsia" w:cstheme="minorHAnsi"/>
                <w:sz w:val="20"/>
                <w:lang w:val="fr-FR" w:eastAsia="zh-CN"/>
              </w:rPr>
              <w:tab/>
            </w:r>
            <w:hyperlink r:id="rId283" w:anchor="page=2" w:history="1">
              <w:r w:rsidRPr="00CD4FE5">
                <w:rPr>
                  <w:rStyle w:val="Hyperlink"/>
                  <w:rFonts w:eastAsiaTheme="minorEastAsia" w:cstheme="minorHAnsi"/>
                  <w:sz w:val="20"/>
                  <w:lang w:eastAsia="zh-CN"/>
                </w:rPr>
                <w:t>第</w:t>
              </w:r>
              <w:r w:rsidRPr="00CD4FE5">
                <w:rPr>
                  <w:rStyle w:val="Hyperlink"/>
                  <w:rFonts w:eastAsiaTheme="minorEastAsia" w:cstheme="minorHAnsi"/>
                  <w:sz w:val="20"/>
                  <w:lang w:val="fr-CH" w:eastAsia="zh-CN"/>
                </w:rPr>
                <w:t>1282</w:t>
              </w:r>
              <w:r w:rsidRPr="00CD4FE5">
                <w:rPr>
                  <w:rStyle w:val="Hyperlink"/>
                  <w:rFonts w:eastAsiaTheme="minorEastAsia" w:cstheme="minorHAnsi"/>
                  <w:sz w:val="20"/>
                  <w:lang w:eastAsia="zh-CN"/>
                </w:rPr>
                <w:t>号决议</w:t>
              </w:r>
              <w:r w:rsidRPr="00CD4FE5">
                <w:rPr>
                  <w:rFonts w:eastAsiaTheme="minorEastAsia" w:cstheme="minorHAnsi"/>
                  <w:sz w:val="20"/>
                  <w:lang w:val="fr-CH" w:eastAsia="zh-CN"/>
                </w:rPr>
                <w:t>（</w:t>
              </w:r>
              <w:r w:rsidRPr="00CD4FE5">
                <w:rPr>
                  <w:rFonts w:eastAsiaTheme="minorEastAsia" w:cstheme="minorHAnsi"/>
                  <w:sz w:val="20"/>
                  <w:lang w:val="fr-CH" w:eastAsia="zh-CN"/>
                </w:rPr>
                <w:t>2008</w:t>
              </w:r>
              <w:r w:rsidRPr="00CD4FE5">
                <w:rPr>
                  <w:rFonts w:eastAsiaTheme="minorEastAsia" w:cstheme="minorHAnsi"/>
                  <w:sz w:val="20"/>
                  <w:lang w:eastAsia="zh-CN"/>
                </w:rPr>
                <w:t>年</w:t>
              </w:r>
              <w:r w:rsidRPr="00CD4FE5">
                <w:rPr>
                  <w:rFonts w:eastAsiaTheme="minorEastAsia" w:cstheme="minorHAnsi"/>
                  <w:sz w:val="20"/>
                  <w:lang w:val="fr-CH" w:eastAsia="zh-CN"/>
                </w:rPr>
                <w:t>，</w:t>
              </w:r>
              <w:r w:rsidRPr="00CD4FE5">
                <w:rPr>
                  <w:rFonts w:eastAsiaTheme="minorEastAsia" w:cstheme="minorHAnsi"/>
                  <w:sz w:val="20"/>
                  <w:lang w:eastAsia="zh-CN"/>
                </w:rPr>
                <w:t>修改版</w:t>
              </w:r>
              <w:r w:rsidRPr="00CD4FE5">
                <w:rPr>
                  <w:rFonts w:eastAsiaTheme="minorEastAsia" w:cstheme="minorHAnsi"/>
                  <w:sz w:val="20"/>
                  <w:lang w:val="fr-CH" w:eastAsia="zh-CN"/>
                </w:rPr>
                <w:t>）</w:t>
              </w:r>
            </w:hyperlink>
          </w:p>
          <w:p w14:paraId="4827B378" w14:textId="77777777" w:rsidR="008877DC" w:rsidRPr="00CD4FE5" w:rsidRDefault="008877DC" w:rsidP="00DE35A6">
            <w:pPr>
              <w:pStyle w:val="Tabletext"/>
              <w:ind w:left="284" w:hanging="284"/>
              <w:rPr>
                <w:rFonts w:eastAsiaTheme="minorEastAsia" w:cstheme="minorHAnsi"/>
                <w:sz w:val="20"/>
                <w:lang w:val="fr-FR" w:eastAsia="zh-CN"/>
              </w:rPr>
            </w:pPr>
            <w:r w:rsidRPr="00CD4FE5">
              <w:rPr>
                <w:rFonts w:eastAsiaTheme="minorEastAsia" w:cstheme="minorHAnsi"/>
                <w:sz w:val="20"/>
                <w:lang w:val="fr-FR" w:eastAsia="zh-CN"/>
              </w:rPr>
              <w:t>•</w:t>
            </w:r>
            <w:r w:rsidRPr="00CD4FE5">
              <w:rPr>
                <w:rFonts w:eastAsiaTheme="minorEastAsia" w:cstheme="minorHAnsi"/>
                <w:sz w:val="20"/>
                <w:lang w:val="fr-FR" w:eastAsia="zh-CN"/>
              </w:rPr>
              <w:tab/>
            </w:r>
            <w:hyperlink r:id="rId284" w:anchor="page=7" w:history="1">
              <w:hyperlink r:id="rId285" w:anchor="page=7" w:history="1">
                <w:r w:rsidRPr="00CD4FE5">
                  <w:rPr>
                    <w:rStyle w:val="Hyperlink"/>
                    <w:rFonts w:eastAsiaTheme="minorEastAsia" w:cstheme="minorHAnsi"/>
                    <w:spacing w:val="-4"/>
                    <w:sz w:val="20"/>
                    <w:lang w:eastAsia="zh-CN"/>
                  </w:rPr>
                  <w:t>PP</w:t>
                </w:r>
                <w:r w:rsidRPr="00CD4FE5">
                  <w:rPr>
                    <w:rStyle w:val="Hyperlink"/>
                    <w:rFonts w:eastAsiaTheme="minorEastAsia" w:cstheme="minorHAnsi"/>
                    <w:spacing w:val="-4"/>
                    <w:sz w:val="20"/>
                    <w:lang w:eastAsia="zh-CN"/>
                  </w:rPr>
                  <w:t>第</w:t>
                </w:r>
                <w:r w:rsidRPr="00CD4FE5">
                  <w:rPr>
                    <w:rStyle w:val="Hyperlink"/>
                    <w:rFonts w:eastAsiaTheme="minorEastAsia" w:cstheme="minorHAnsi"/>
                    <w:spacing w:val="-4"/>
                    <w:sz w:val="20"/>
                    <w:lang w:eastAsia="zh-CN"/>
                  </w:rPr>
                  <w:t>71</w:t>
                </w:r>
                <w:r w:rsidRPr="00CD4FE5">
                  <w:rPr>
                    <w:rStyle w:val="Hyperlink"/>
                    <w:rFonts w:eastAsiaTheme="minorEastAsia" w:cstheme="minorHAnsi"/>
                    <w:spacing w:val="-4"/>
                    <w:sz w:val="20"/>
                    <w:lang w:eastAsia="zh-CN"/>
                  </w:rPr>
                  <w:t>号决议</w:t>
                </w:r>
                <w:r w:rsidRPr="00CD4FE5">
                  <w:rPr>
                    <w:rStyle w:val="Hyperlink"/>
                    <w:rFonts w:eastAsiaTheme="minorEastAsia" w:cstheme="minorHAnsi"/>
                    <w:spacing w:val="-4"/>
                    <w:sz w:val="20"/>
                    <w:lang w:eastAsia="zh-CN"/>
                  </w:rPr>
                  <w:t xml:space="preserve"> –  </w:t>
                </w:r>
                <w:r w:rsidRPr="00CD4FE5">
                  <w:rPr>
                    <w:rStyle w:val="Hyperlink"/>
                    <w:rFonts w:eastAsiaTheme="minorEastAsia" w:cstheme="minorHAnsi"/>
                    <w:spacing w:val="-4"/>
                    <w:sz w:val="20"/>
                    <w:lang w:eastAsia="zh-CN"/>
                  </w:rPr>
                  <w:t>战略目标</w:t>
                </w:r>
                <w:r w:rsidRPr="00CD4FE5">
                  <w:rPr>
                    <w:rStyle w:val="Hyperlink"/>
                    <w:rFonts w:eastAsiaTheme="minorEastAsia" w:cstheme="minorHAnsi"/>
                    <w:spacing w:val="-4"/>
                    <w:sz w:val="20"/>
                    <w:lang w:eastAsia="zh-CN"/>
                  </w:rPr>
                  <w:t>4</w:t>
                </w:r>
              </w:hyperlink>
              <w:r w:rsidRPr="00CD4FE5">
                <w:rPr>
                  <w:rFonts w:eastAsiaTheme="minorEastAsia" w:cstheme="minorHAnsi"/>
                  <w:spacing w:val="-4"/>
                  <w:sz w:val="20"/>
                  <w:lang w:eastAsia="zh-CN"/>
                </w:rPr>
                <w:t>（</w:t>
              </w:r>
              <w:r w:rsidRPr="00CD4FE5">
                <w:rPr>
                  <w:rFonts w:eastAsiaTheme="minorEastAsia" w:cstheme="minorHAnsi"/>
                  <w:spacing w:val="-4"/>
                  <w:sz w:val="20"/>
                  <w:lang w:eastAsia="zh-CN"/>
                </w:rPr>
                <w:t>2006</w:t>
              </w:r>
              <w:r w:rsidRPr="00CD4FE5">
                <w:rPr>
                  <w:rFonts w:eastAsiaTheme="minorEastAsia" w:cstheme="minorHAnsi"/>
                  <w:spacing w:val="-4"/>
                  <w:sz w:val="20"/>
                  <w:lang w:eastAsia="zh-CN"/>
                </w:rPr>
                <w:t>年，安塔利亚，修订版）</w:t>
              </w:r>
            </w:hyperlink>
          </w:p>
        </w:tc>
      </w:tr>
      <w:tr w:rsidR="008877DC" w:rsidRPr="00150DD4" w14:paraId="4827B381" w14:textId="77777777" w:rsidTr="008877DC">
        <w:trPr>
          <w:tblHeader/>
        </w:trPr>
        <w:tc>
          <w:tcPr>
            <w:tcW w:w="546" w:type="dxa"/>
          </w:tcPr>
          <w:p w14:paraId="4827B37A" w14:textId="77777777" w:rsidR="008877DC" w:rsidRPr="00150DD4" w:rsidRDefault="008877DC" w:rsidP="00DE35A6">
            <w:pPr>
              <w:pStyle w:val="Tabletext"/>
              <w:jc w:val="center"/>
              <w:rPr>
                <w:rFonts w:eastAsiaTheme="minorEastAsia" w:cstheme="minorHAnsi"/>
                <w:sz w:val="20"/>
              </w:rPr>
            </w:pPr>
            <w:r w:rsidRPr="00150DD4">
              <w:rPr>
                <w:rFonts w:eastAsiaTheme="minorEastAsia" w:cstheme="minorHAnsi"/>
                <w:sz w:val="20"/>
              </w:rPr>
              <w:t>12</w:t>
            </w:r>
          </w:p>
        </w:tc>
        <w:tc>
          <w:tcPr>
            <w:tcW w:w="3086" w:type="dxa"/>
          </w:tcPr>
          <w:p w14:paraId="4827B37B" w14:textId="77777777" w:rsidR="008877DC" w:rsidRPr="00150DD4" w:rsidRDefault="008877DC" w:rsidP="00DE35A6">
            <w:pPr>
              <w:pStyle w:val="TOC8"/>
              <w:keepNext/>
              <w:tabs>
                <w:tab w:val="left" w:pos="213"/>
              </w:tabs>
              <w:spacing w:before="40" w:after="40"/>
              <w:ind w:left="57" w:right="345" w:firstLine="17"/>
              <w:rPr>
                <w:rFonts w:eastAsiaTheme="minorEastAsia" w:cstheme="minorHAnsi"/>
                <w:sz w:val="20"/>
                <w:lang w:eastAsia="zh-CN"/>
              </w:rPr>
            </w:pPr>
            <w:r w:rsidRPr="00150DD4">
              <w:rPr>
                <w:rFonts w:eastAsiaTheme="minorEastAsia" w:cstheme="minorHAnsi"/>
                <w:sz w:val="20"/>
                <w:lang w:eastAsia="zh-CN"/>
              </w:rPr>
              <w:t>保护儿童和</w:t>
            </w:r>
            <w:r>
              <w:rPr>
                <w:rFonts w:eastAsiaTheme="minorEastAsia" w:cstheme="minorHAnsi" w:hint="eastAsia"/>
                <w:sz w:val="20"/>
                <w:lang w:eastAsia="zh-CN"/>
              </w:rPr>
              <w:t>年轻人</w:t>
            </w:r>
            <w:r w:rsidRPr="00150DD4">
              <w:rPr>
                <w:rFonts w:eastAsiaTheme="minorEastAsia" w:cstheme="minorHAnsi"/>
                <w:sz w:val="20"/>
                <w:lang w:eastAsia="zh-CN"/>
              </w:rPr>
              <w:t>免受</w:t>
            </w:r>
            <w:r>
              <w:rPr>
                <w:rFonts w:eastAsiaTheme="minorEastAsia" w:cstheme="minorHAnsi" w:hint="eastAsia"/>
                <w:sz w:val="20"/>
                <w:lang w:eastAsia="zh-CN"/>
              </w:rPr>
              <w:t>虐待和</w:t>
            </w:r>
            <w:r w:rsidRPr="00150DD4">
              <w:rPr>
                <w:rFonts w:eastAsiaTheme="minorEastAsia" w:cstheme="minorHAnsi"/>
                <w:sz w:val="20"/>
                <w:lang w:eastAsia="zh-CN"/>
              </w:rPr>
              <w:t>剥削</w:t>
            </w:r>
          </w:p>
        </w:tc>
        <w:tc>
          <w:tcPr>
            <w:tcW w:w="5713" w:type="dxa"/>
          </w:tcPr>
          <w:p w14:paraId="4827B37C" w14:textId="77777777" w:rsidR="008877DC" w:rsidRPr="00150DD4" w:rsidRDefault="008877DC" w:rsidP="00DE35A6">
            <w:pPr>
              <w:pStyle w:val="Tabletext"/>
              <w:ind w:left="284" w:hanging="284"/>
              <w:rPr>
                <w:rFonts w:eastAsiaTheme="minorEastAsia" w:cstheme="minorHAnsi"/>
                <w:sz w:val="20"/>
                <w:lang w:eastAsia="zh-CN"/>
              </w:rPr>
            </w:pPr>
            <w:r w:rsidRPr="00150DD4">
              <w:rPr>
                <w:rFonts w:eastAsiaTheme="minorEastAsia" w:cstheme="minorHAnsi"/>
                <w:sz w:val="20"/>
                <w:lang w:eastAsia="zh-CN"/>
              </w:rPr>
              <w:t>•</w:t>
            </w:r>
            <w:r w:rsidRPr="00150DD4">
              <w:rPr>
                <w:rFonts w:eastAsiaTheme="minorEastAsia" w:cstheme="minorHAnsi"/>
                <w:sz w:val="20"/>
                <w:lang w:eastAsia="zh-CN"/>
              </w:rPr>
              <w:tab/>
            </w:r>
            <w:hyperlink r:id="rId286" w:anchor="page=4" w:history="1">
              <w:r w:rsidRPr="00150DD4">
                <w:rPr>
                  <w:rStyle w:val="Hyperlink"/>
                  <w:rFonts w:eastAsiaTheme="minorEastAsia" w:cstheme="minorHAnsi"/>
                  <w:sz w:val="20"/>
                  <w:lang w:eastAsia="zh-CN"/>
                </w:rPr>
                <w:t>PP</w:t>
              </w:r>
              <w:r w:rsidRPr="00150DD4">
                <w:rPr>
                  <w:rStyle w:val="Hyperlink"/>
                  <w:rFonts w:eastAsiaTheme="minorEastAsia" w:cstheme="minorHAnsi"/>
                  <w:sz w:val="20"/>
                  <w:lang w:val="fr-FR" w:eastAsia="zh-CN"/>
                </w:rPr>
                <w:t>第</w:t>
              </w:r>
              <w:r w:rsidRPr="00150DD4">
                <w:rPr>
                  <w:rStyle w:val="Hyperlink"/>
                  <w:rFonts w:eastAsiaTheme="minorEastAsia" w:cstheme="minorHAnsi"/>
                  <w:sz w:val="20"/>
                  <w:lang w:eastAsia="zh-CN"/>
                </w:rPr>
                <w:t>130</w:t>
              </w:r>
              <w:r w:rsidRPr="00150DD4">
                <w:rPr>
                  <w:rStyle w:val="Hyperlink"/>
                  <w:rFonts w:eastAsiaTheme="minorEastAsia" w:cstheme="minorHAnsi"/>
                  <w:sz w:val="20"/>
                  <w:lang w:val="fr-FR" w:eastAsia="zh-CN"/>
                </w:rPr>
                <w:t>号决议</w:t>
              </w:r>
            </w:hyperlink>
            <w:r w:rsidRPr="00150DD4">
              <w:rPr>
                <w:rFonts w:eastAsiaTheme="minorEastAsia" w:cstheme="minorHAnsi"/>
                <w:sz w:val="20"/>
                <w:lang w:eastAsia="zh-CN"/>
              </w:rPr>
              <w:t>（</w:t>
            </w:r>
            <w:r w:rsidRPr="00150DD4">
              <w:rPr>
                <w:rFonts w:eastAsiaTheme="minorEastAsia" w:cstheme="minorHAnsi"/>
                <w:sz w:val="20"/>
                <w:lang w:eastAsia="zh-CN"/>
              </w:rPr>
              <w:t>2006</w:t>
            </w:r>
            <w:r w:rsidRPr="00150DD4">
              <w:rPr>
                <w:rFonts w:eastAsiaTheme="minorEastAsia" w:cstheme="minorHAnsi"/>
                <w:sz w:val="20"/>
                <w:lang w:eastAsia="zh-CN"/>
              </w:rPr>
              <w:t>年，安塔利亚，修订版）</w:t>
            </w:r>
          </w:p>
          <w:p w14:paraId="4827B37D" w14:textId="77777777" w:rsidR="008877DC" w:rsidRPr="00150DD4" w:rsidRDefault="008877DC" w:rsidP="00DE35A6">
            <w:pPr>
              <w:pStyle w:val="Tabletext"/>
              <w:ind w:left="284" w:hanging="284"/>
              <w:rPr>
                <w:rFonts w:eastAsiaTheme="minorEastAsia" w:cstheme="minorHAnsi"/>
                <w:sz w:val="20"/>
                <w:lang w:eastAsia="zh-CN"/>
              </w:rPr>
            </w:pPr>
            <w:r w:rsidRPr="00150DD4">
              <w:rPr>
                <w:rFonts w:eastAsiaTheme="minorEastAsia" w:cstheme="minorHAnsi"/>
                <w:sz w:val="20"/>
                <w:lang w:eastAsia="zh-CN"/>
              </w:rPr>
              <w:t>•</w:t>
            </w:r>
            <w:r w:rsidRPr="00150DD4">
              <w:rPr>
                <w:rFonts w:eastAsiaTheme="minorEastAsia" w:cstheme="minorHAnsi"/>
                <w:sz w:val="20"/>
                <w:lang w:eastAsia="zh-CN"/>
              </w:rPr>
              <w:tab/>
            </w:r>
            <w:hyperlink r:id="rId287" w:history="1">
              <w:r w:rsidRPr="00150DD4">
                <w:rPr>
                  <w:rStyle w:val="Hyperlink"/>
                  <w:rFonts w:eastAsiaTheme="minorEastAsia" w:cstheme="minorHAnsi"/>
                  <w:sz w:val="20"/>
                  <w:lang w:eastAsia="zh-CN"/>
                </w:rPr>
                <w:t>WSIS AL C5</w:t>
              </w:r>
              <w:r w:rsidRPr="00150DD4">
                <w:rPr>
                  <w:rStyle w:val="Hyperlink"/>
                  <w:rFonts w:eastAsiaTheme="minorEastAsia" w:cstheme="minorHAnsi"/>
                  <w:sz w:val="20"/>
                  <w:lang w:eastAsia="zh-CN"/>
                </w:rPr>
                <w:t>牵头推进方（</w:t>
              </w:r>
              <w:r w:rsidRPr="00150DD4">
                <w:rPr>
                  <w:rStyle w:val="Hyperlink"/>
                  <w:rFonts w:eastAsiaTheme="minorEastAsia" w:cstheme="minorHAnsi"/>
                  <w:sz w:val="20"/>
                  <w:lang w:eastAsia="zh-CN"/>
                </w:rPr>
                <w:t>2005</w:t>
              </w:r>
              <w:r w:rsidRPr="00150DD4">
                <w:rPr>
                  <w:rStyle w:val="Hyperlink"/>
                  <w:rFonts w:eastAsiaTheme="minorEastAsia" w:cstheme="minorHAnsi"/>
                  <w:sz w:val="20"/>
                  <w:lang w:eastAsia="zh-CN"/>
                </w:rPr>
                <w:t>年，突尼斯）</w:t>
              </w:r>
            </w:hyperlink>
          </w:p>
          <w:p w14:paraId="4827B37E" w14:textId="77777777" w:rsidR="008877DC" w:rsidRPr="00150DD4" w:rsidRDefault="008877DC" w:rsidP="00DE35A6">
            <w:pPr>
              <w:pStyle w:val="Tabletext"/>
              <w:ind w:left="284" w:hanging="284"/>
              <w:rPr>
                <w:rFonts w:eastAsiaTheme="minorEastAsia" w:cstheme="minorHAnsi"/>
                <w:lang w:eastAsia="zh-CN"/>
              </w:rPr>
            </w:pPr>
            <w:r w:rsidRPr="00150DD4">
              <w:rPr>
                <w:rFonts w:eastAsiaTheme="minorEastAsia" w:cstheme="minorHAnsi"/>
                <w:sz w:val="20"/>
                <w:lang w:val="fr-FR" w:eastAsia="zh-CN"/>
              </w:rPr>
              <w:t>•</w:t>
            </w:r>
            <w:r w:rsidRPr="00150DD4">
              <w:rPr>
                <w:rFonts w:eastAsiaTheme="minorEastAsia" w:cstheme="minorHAnsi"/>
                <w:sz w:val="20"/>
                <w:lang w:val="fr-FR" w:eastAsia="zh-CN"/>
              </w:rPr>
              <w:tab/>
            </w:r>
            <w:hyperlink r:id="rId288" w:anchor="page=7" w:history="1">
              <w:r w:rsidRPr="00150DD4">
                <w:rPr>
                  <w:rStyle w:val="Hyperlink"/>
                  <w:rFonts w:eastAsiaTheme="minorEastAsia" w:cstheme="minorHAnsi"/>
                  <w:sz w:val="20"/>
                  <w:lang w:val="fr-FR" w:eastAsia="zh-CN"/>
                </w:rPr>
                <w:t>PP</w:t>
              </w:r>
              <w:r w:rsidRPr="00150DD4">
                <w:rPr>
                  <w:rStyle w:val="Hyperlink"/>
                  <w:rFonts w:eastAsiaTheme="minorEastAsia" w:cstheme="minorHAnsi"/>
                  <w:sz w:val="20"/>
                  <w:lang w:val="fr-FR" w:eastAsia="zh-CN"/>
                </w:rPr>
                <w:t>第</w:t>
              </w:r>
              <w:r w:rsidRPr="00150DD4">
                <w:rPr>
                  <w:rStyle w:val="Hyperlink"/>
                  <w:rFonts w:eastAsiaTheme="minorEastAsia" w:cstheme="minorHAnsi"/>
                  <w:sz w:val="20"/>
                  <w:lang w:val="fr-FR" w:eastAsia="zh-CN"/>
                </w:rPr>
                <w:t>71</w:t>
              </w:r>
              <w:r w:rsidRPr="00150DD4">
                <w:rPr>
                  <w:rStyle w:val="Hyperlink"/>
                  <w:rFonts w:eastAsiaTheme="minorEastAsia" w:cstheme="minorHAnsi"/>
                  <w:sz w:val="20"/>
                  <w:lang w:val="fr-FR" w:eastAsia="zh-CN"/>
                </w:rPr>
                <w:t>号决议</w:t>
              </w:r>
              <w:r>
                <w:rPr>
                  <w:rStyle w:val="Hyperlink"/>
                  <w:rFonts w:eastAsiaTheme="minorEastAsia" w:cstheme="minorHAnsi" w:hint="eastAsia"/>
                  <w:sz w:val="20"/>
                  <w:lang w:val="fr-FR" w:eastAsia="zh-CN"/>
                </w:rPr>
                <w:t xml:space="preserve"> </w:t>
              </w:r>
              <w:r w:rsidRPr="00150DD4">
                <w:rPr>
                  <w:rStyle w:val="Hyperlink"/>
                  <w:rFonts w:eastAsiaTheme="minorEastAsia" w:cstheme="minorHAnsi"/>
                  <w:sz w:val="20"/>
                  <w:lang w:val="fr-FR" w:eastAsia="zh-CN"/>
                </w:rPr>
                <w:t xml:space="preserve">– </w:t>
              </w:r>
              <w:r w:rsidRPr="00150DD4">
                <w:rPr>
                  <w:rStyle w:val="Hyperlink"/>
                  <w:rFonts w:eastAsiaTheme="minorEastAsia" w:cstheme="minorHAnsi"/>
                  <w:sz w:val="20"/>
                  <w:lang w:val="fr-FR" w:eastAsia="zh-CN"/>
                </w:rPr>
                <w:t>战略目标</w:t>
              </w:r>
              <w:r w:rsidRPr="00150DD4">
                <w:rPr>
                  <w:rStyle w:val="Hyperlink"/>
                  <w:rFonts w:eastAsiaTheme="minorEastAsia" w:cstheme="minorHAnsi"/>
                  <w:sz w:val="20"/>
                  <w:lang w:val="fr-FR" w:eastAsia="zh-CN"/>
                </w:rPr>
                <w:t>4</w:t>
              </w:r>
            </w:hyperlink>
            <w:r w:rsidRPr="00150DD4">
              <w:rPr>
                <w:rFonts w:eastAsiaTheme="minorEastAsia" w:cstheme="minorHAnsi"/>
                <w:sz w:val="20"/>
                <w:lang w:eastAsia="zh-CN"/>
              </w:rPr>
              <w:t>（</w:t>
            </w:r>
            <w:r w:rsidRPr="00150DD4">
              <w:rPr>
                <w:rFonts w:eastAsiaTheme="minorEastAsia" w:cstheme="minorHAnsi"/>
                <w:sz w:val="20"/>
                <w:lang w:eastAsia="zh-CN"/>
              </w:rPr>
              <w:t>2006</w:t>
            </w:r>
            <w:r w:rsidRPr="00150DD4">
              <w:rPr>
                <w:rFonts w:eastAsiaTheme="minorEastAsia" w:cstheme="minorHAnsi"/>
                <w:sz w:val="20"/>
                <w:lang w:eastAsia="zh-CN"/>
              </w:rPr>
              <w:t>年，安塔利亚，修订版）</w:t>
            </w:r>
          </w:p>
          <w:p w14:paraId="4827B37F" w14:textId="77777777" w:rsidR="008877DC" w:rsidRPr="00150DD4" w:rsidRDefault="008877DC" w:rsidP="00DE35A6">
            <w:pPr>
              <w:pStyle w:val="Tabletext"/>
              <w:rPr>
                <w:rFonts w:eastAsiaTheme="minorEastAsia" w:cstheme="minorHAnsi"/>
                <w:sz w:val="20"/>
                <w:lang w:val="fr-FR" w:eastAsia="zh-CN"/>
              </w:rPr>
            </w:pPr>
            <w:r w:rsidRPr="00150DD4">
              <w:rPr>
                <w:rFonts w:eastAsiaTheme="minorEastAsia" w:cstheme="minorHAnsi"/>
                <w:sz w:val="20"/>
                <w:lang w:val="fr-FR" w:eastAsia="zh-CN"/>
              </w:rPr>
              <w:t>•</w:t>
            </w:r>
            <w:r w:rsidRPr="00150DD4">
              <w:rPr>
                <w:rFonts w:eastAsiaTheme="minorEastAsia" w:cstheme="minorHAnsi"/>
                <w:sz w:val="20"/>
                <w:lang w:val="fr-FR" w:eastAsia="zh-CN"/>
              </w:rPr>
              <w:tab/>
            </w:r>
            <w:hyperlink r:id="rId289" w:anchor="page=2" w:history="1">
              <w:r w:rsidRPr="00150DD4">
                <w:rPr>
                  <w:rStyle w:val="Hyperlink"/>
                  <w:rFonts w:eastAsiaTheme="minorEastAsia" w:cstheme="minorHAnsi"/>
                  <w:sz w:val="20"/>
                  <w:lang w:val="fr-FR" w:eastAsia="zh-CN"/>
                </w:rPr>
                <w:t>第</w:t>
              </w:r>
              <w:r w:rsidRPr="00150DD4">
                <w:rPr>
                  <w:rStyle w:val="Hyperlink"/>
                  <w:rFonts w:eastAsiaTheme="minorEastAsia" w:cstheme="minorHAnsi"/>
                  <w:sz w:val="20"/>
                  <w:lang w:val="fr-FR" w:eastAsia="zh-CN"/>
                </w:rPr>
                <w:t>1282</w:t>
              </w:r>
              <w:r w:rsidRPr="00150DD4">
                <w:rPr>
                  <w:rStyle w:val="Hyperlink"/>
                  <w:rFonts w:eastAsiaTheme="minorEastAsia" w:cstheme="minorHAnsi"/>
                  <w:sz w:val="20"/>
                  <w:lang w:val="fr-FR" w:eastAsia="zh-CN"/>
                </w:rPr>
                <w:t>号决议</w:t>
              </w:r>
            </w:hyperlink>
            <w:r w:rsidRPr="00150DD4">
              <w:rPr>
                <w:rFonts w:eastAsiaTheme="minorEastAsia" w:cstheme="minorHAnsi"/>
                <w:sz w:val="20"/>
                <w:lang w:val="fr-FR" w:eastAsia="zh-CN"/>
              </w:rPr>
              <w:t>（</w:t>
            </w:r>
            <w:r w:rsidRPr="00150DD4">
              <w:rPr>
                <w:rFonts w:eastAsiaTheme="minorEastAsia" w:cstheme="minorHAnsi"/>
                <w:sz w:val="20"/>
                <w:lang w:val="fr-FR" w:eastAsia="zh-CN"/>
              </w:rPr>
              <w:t>2008</w:t>
            </w:r>
            <w:r w:rsidRPr="00150DD4">
              <w:rPr>
                <w:rFonts w:eastAsiaTheme="minorEastAsia" w:cstheme="minorHAnsi"/>
                <w:sz w:val="20"/>
                <w:lang w:val="fr-FR" w:eastAsia="zh-CN"/>
              </w:rPr>
              <w:t>年，修改版）</w:t>
            </w:r>
          </w:p>
          <w:p w14:paraId="4827B380" w14:textId="77777777" w:rsidR="008877DC" w:rsidRPr="00150DD4" w:rsidRDefault="008877DC" w:rsidP="00DE35A6">
            <w:pPr>
              <w:pStyle w:val="Tabletext"/>
              <w:ind w:left="284" w:hanging="284"/>
              <w:rPr>
                <w:rFonts w:eastAsiaTheme="minorEastAsia" w:cstheme="minorHAnsi"/>
                <w:sz w:val="20"/>
                <w:lang w:val="fr-FR"/>
              </w:rPr>
            </w:pPr>
            <w:r w:rsidRPr="00150DD4">
              <w:rPr>
                <w:rFonts w:eastAsiaTheme="minorEastAsia" w:cstheme="minorHAnsi"/>
                <w:sz w:val="20"/>
                <w:lang w:val="fr-FR"/>
              </w:rPr>
              <w:t>•</w:t>
            </w:r>
            <w:r w:rsidRPr="00150DD4">
              <w:rPr>
                <w:rFonts w:eastAsiaTheme="minorEastAsia" w:cstheme="minorHAnsi"/>
                <w:sz w:val="20"/>
                <w:lang w:val="fr-FR"/>
              </w:rPr>
              <w:tab/>
            </w:r>
            <w:hyperlink r:id="rId290" w:history="1">
              <w:r w:rsidRPr="00150DD4">
                <w:rPr>
                  <w:rStyle w:val="Hyperlink"/>
                  <w:rFonts w:eastAsiaTheme="minorEastAsia" w:cstheme="minorHAnsi"/>
                  <w:sz w:val="20"/>
                  <w:lang w:val="fr-FR" w:eastAsia="zh-CN"/>
                </w:rPr>
                <w:t>ITU-D</w:t>
              </w:r>
              <w:r>
                <w:rPr>
                  <w:rStyle w:val="Hyperlink"/>
                  <w:rFonts w:eastAsiaTheme="minorEastAsia" w:cstheme="minorHAnsi" w:hint="eastAsia"/>
                  <w:sz w:val="20"/>
                  <w:lang w:val="fr-FR" w:eastAsia="zh-CN"/>
                </w:rPr>
                <w:t>项目</w:t>
              </w:r>
              <w:r w:rsidRPr="00150DD4">
                <w:rPr>
                  <w:rStyle w:val="Hyperlink"/>
                  <w:rFonts w:eastAsiaTheme="minorEastAsia" w:cstheme="minorHAnsi"/>
                  <w:sz w:val="20"/>
                  <w:lang w:val="fr-FR" w:eastAsia="zh-CN"/>
                </w:rPr>
                <w:t>3</w:t>
              </w:r>
            </w:hyperlink>
            <w:r w:rsidRPr="00150DD4">
              <w:rPr>
                <w:rFonts w:eastAsiaTheme="minorEastAsia" w:cstheme="minorHAnsi"/>
                <w:sz w:val="20"/>
                <w:lang w:val="fr-FR" w:eastAsia="zh-CN"/>
              </w:rPr>
              <w:t>、</w:t>
            </w:r>
            <w:hyperlink r:id="rId291" w:history="1">
              <w:r w:rsidRPr="00150DD4">
                <w:rPr>
                  <w:rStyle w:val="Hyperlink"/>
                  <w:rFonts w:eastAsiaTheme="minorEastAsia" w:cstheme="minorHAnsi"/>
                  <w:sz w:val="20"/>
                  <w:lang w:val="fr-FR" w:eastAsia="zh-CN"/>
                </w:rPr>
                <w:t>ITU-T</w:t>
              </w:r>
              <w:r w:rsidRPr="00150DD4">
                <w:rPr>
                  <w:rStyle w:val="Hyperlink"/>
                  <w:rFonts w:eastAsiaTheme="minorEastAsia" w:cstheme="minorHAnsi"/>
                  <w:sz w:val="20"/>
                  <w:lang w:val="fr-FR" w:eastAsia="zh-CN"/>
                </w:rPr>
                <w:t>第</w:t>
              </w:r>
              <w:r w:rsidRPr="00150DD4">
                <w:rPr>
                  <w:rStyle w:val="Hyperlink"/>
                  <w:rFonts w:eastAsiaTheme="minorEastAsia" w:cstheme="minorHAnsi"/>
                  <w:sz w:val="20"/>
                  <w:lang w:val="fr-FR" w:eastAsia="zh-CN"/>
                </w:rPr>
                <w:t>17</w:t>
              </w:r>
              <w:r w:rsidRPr="00150DD4">
                <w:rPr>
                  <w:rStyle w:val="Hyperlink"/>
                  <w:rFonts w:eastAsiaTheme="minorEastAsia" w:cstheme="minorHAnsi"/>
                  <w:sz w:val="20"/>
                  <w:lang w:val="fr-FR" w:eastAsia="zh-CN"/>
                </w:rPr>
                <w:t>研究组</w:t>
              </w:r>
            </w:hyperlink>
          </w:p>
        </w:tc>
      </w:tr>
      <w:tr w:rsidR="008877DC" w:rsidRPr="00150DD4" w14:paraId="4827B385" w14:textId="77777777" w:rsidTr="008877DC">
        <w:trPr>
          <w:tblHeader/>
        </w:trPr>
        <w:tc>
          <w:tcPr>
            <w:tcW w:w="546" w:type="dxa"/>
          </w:tcPr>
          <w:p w14:paraId="4827B382" w14:textId="77777777" w:rsidR="008877DC" w:rsidRPr="00EF0566" w:rsidRDefault="008877DC" w:rsidP="00DE35A6">
            <w:pPr>
              <w:spacing w:before="40" w:after="40"/>
              <w:rPr>
                <w:sz w:val="20"/>
                <w:lang w:val="en-US"/>
              </w:rPr>
            </w:pPr>
            <w:r w:rsidRPr="00EF0566">
              <w:rPr>
                <w:sz w:val="20"/>
                <w:lang w:val="en-US"/>
              </w:rPr>
              <w:t>13</w:t>
            </w:r>
          </w:p>
        </w:tc>
        <w:tc>
          <w:tcPr>
            <w:tcW w:w="3086" w:type="dxa"/>
          </w:tcPr>
          <w:p w14:paraId="4827B383" w14:textId="77777777" w:rsidR="008877DC" w:rsidRPr="00EF0566" w:rsidRDefault="008877DC" w:rsidP="00DE35A6">
            <w:pPr>
              <w:pStyle w:val="TOC8"/>
              <w:keepNext/>
              <w:tabs>
                <w:tab w:val="left" w:pos="213"/>
              </w:tabs>
              <w:spacing w:before="40" w:after="40"/>
              <w:ind w:left="57" w:right="345" w:firstLine="17"/>
              <w:rPr>
                <w:rFonts w:eastAsiaTheme="minorEastAsia" w:cstheme="minorHAnsi"/>
                <w:sz w:val="20"/>
                <w:lang w:eastAsia="zh-CN"/>
              </w:rPr>
            </w:pPr>
            <w:bookmarkStart w:id="1659" w:name="_Toc2083479"/>
            <w:bookmarkStart w:id="1660" w:name="_Toc536172442"/>
            <w:r w:rsidRPr="00EF0566">
              <w:rPr>
                <w:rFonts w:eastAsiaTheme="minorEastAsia" w:cstheme="minorHAnsi" w:hint="eastAsia"/>
                <w:sz w:val="20"/>
                <w:lang w:eastAsia="zh-CN"/>
              </w:rPr>
              <w:t>过顶业务（</w:t>
            </w:r>
            <w:r w:rsidRPr="00EF0566">
              <w:rPr>
                <w:rFonts w:eastAsiaTheme="minorEastAsia" w:cstheme="minorHAnsi"/>
                <w:sz w:val="20"/>
                <w:lang w:eastAsia="zh-CN"/>
              </w:rPr>
              <w:t>OTT</w:t>
            </w:r>
            <w:r w:rsidRPr="00EF0566">
              <w:rPr>
                <w:rFonts w:eastAsiaTheme="minorEastAsia" w:cstheme="minorHAnsi" w:hint="eastAsia"/>
                <w:sz w:val="20"/>
                <w:lang w:eastAsia="zh-CN"/>
              </w:rPr>
              <w:t>）</w:t>
            </w:r>
            <w:bookmarkEnd w:id="1659"/>
            <w:bookmarkEnd w:id="1660"/>
          </w:p>
        </w:tc>
        <w:tc>
          <w:tcPr>
            <w:tcW w:w="5713" w:type="dxa"/>
          </w:tcPr>
          <w:p w14:paraId="4827B384" w14:textId="77777777" w:rsidR="008877DC" w:rsidRPr="00EF0566" w:rsidRDefault="008877DC" w:rsidP="00356C82">
            <w:pPr>
              <w:pStyle w:val="Tabletext"/>
              <w:ind w:left="284" w:hanging="284"/>
              <w:rPr>
                <w:sz w:val="20"/>
                <w:lang w:val="en-US" w:eastAsia="zh-CN"/>
              </w:rPr>
            </w:pPr>
            <w:r w:rsidRPr="00F96A42">
              <w:rPr>
                <w:sz w:val="20"/>
                <w:lang w:val="en-US" w:eastAsia="zh-CN"/>
              </w:rPr>
              <w:t>•</w:t>
            </w:r>
            <w:r>
              <w:rPr>
                <w:sz w:val="20"/>
                <w:lang w:val="en-US" w:eastAsia="zh-CN"/>
              </w:rPr>
              <w:tab/>
            </w:r>
            <w:hyperlink r:id="rId292" w:history="1">
              <w:r w:rsidR="00356C82" w:rsidRPr="00356C82">
                <w:rPr>
                  <w:rStyle w:val="Hyperlink"/>
                  <w:rFonts w:hint="eastAsia"/>
                  <w:sz w:val="20"/>
                  <w:lang w:val="en-US" w:eastAsia="zh-CN"/>
                </w:rPr>
                <w:t>第</w:t>
              </w:r>
              <w:r w:rsidR="00356C82" w:rsidRPr="00356C82">
                <w:rPr>
                  <w:rStyle w:val="Hyperlink"/>
                  <w:sz w:val="20"/>
                  <w:lang w:val="en-US" w:eastAsia="zh-CN"/>
                </w:rPr>
                <w:t>206</w:t>
              </w:r>
              <w:r w:rsidR="00356C82" w:rsidRPr="00356C82">
                <w:rPr>
                  <w:rStyle w:val="Hyperlink"/>
                  <w:rFonts w:hint="eastAsia"/>
                  <w:sz w:val="20"/>
                  <w:lang w:val="en-US" w:eastAsia="zh-CN"/>
                </w:rPr>
                <w:t>号决议（</w:t>
              </w:r>
              <w:r w:rsidR="00356C82" w:rsidRPr="00356C82">
                <w:rPr>
                  <w:rStyle w:val="Hyperlink"/>
                  <w:rFonts w:hint="eastAsia"/>
                  <w:sz w:val="20"/>
                  <w:lang w:val="en-US" w:eastAsia="zh-CN"/>
                </w:rPr>
                <w:t>2018</w:t>
              </w:r>
              <w:r w:rsidR="00356C82" w:rsidRPr="00356C82">
                <w:rPr>
                  <w:rStyle w:val="Hyperlink"/>
                  <w:rFonts w:hint="eastAsia"/>
                  <w:sz w:val="20"/>
                  <w:lang w:val="en-US" w:eastAsia="zh-CN"/>
                </w:rPr>
                <w:t>年，迪拜）</w:t>
              </w:r>
            </w:hyperlink>
          </w:p>
        </w:tc>
      </w:tr>
    </w:tbl>
    <w:p w14:paraId="4827B386" w14:textId="77777777" w:rsidR="008877DC" w:rsidRPr="000D569C" w:rsidRDefault="008877DC" w:rsidP="008877DC">
      <w:pPr>
        <w:pStyle w:val="Endtext"/>
        <w:rPr>
          <w:szCs w:val="22"/>
          <w:lang w:val="en-US" w:eastAsia="zh-CN"/>
        </w:rPr>
      </w:pPr>
      <w:r>
        <w:rPr>
          <w:rFonts w:ascii="STKaiti" w:hAnsi="SimSun" w:hint="eastAsia"/>
          <w:lang w:eastAsia="zh-CN"/>
        </w:rPr>
        <w:t>参阅：</w:t>
      </w:r>
      <w:r>
        <w:rPr>
          <w:lang w:eastAsia="zh-CN"/>
        </w:rPr>
        <w:tab/>
      </w:r>
      <w:hyperlink r:id="rId293" w:history="1">
        <w:r w:rsidR="00DE35A6" w:rsidRPr="00601E88">
          <w:rPr>
            <w:rStyle w:val="Hyperlink"/>
            <w:lang w:eastAsia="zh-CN"/>
          </w:rPr>
          <w:t>C09/105</w:t>
        </w:r>
      </w:hyperlink>
      <w:r w:rsidR="00DE35A6">
        <w:rPr>
          <w:rFonts w:hint="eastAsia"/>
          <w:lang w:eastAsia="zh-CN"/>
        </w:rPr>
        <w:t>、</w:t>
      </w:r>
      <w:hyperlink r:id="rId294" w:history="1">
        <w:r w:rsidR="00DE35A6" w:rsidRPr="00601E88">
          <w:rPr>
            <w:rStyle w:val="Hyperlink"/>
            <w:lang w:eastAsia="zh-CN"/>
          </w:rPr>
          <w:t>C09/118</w:t>
        </w:r>
      </w:hyperlink>
      <w:r w:rsidR="00DE35A6">
        <w:rPr>
          <w:rFonts w:hint="eastAsia"/>
          <w:lang w:eastAsia="zh-CN"/>
        </w:rPr>
        <w:t>、</w:t>
      </w:r>
      <w:hyperlink r:id="rId295" w:history="1">
        <w:r w:rsidR="00DE35A6" w:rsidRPr="00026596">
          <w:rPr>
            <w:rStyle w:val="Hyperlink"/>
            <w:lang w:eastAsia="zh-CN"/>
          </w:rPr>
          <w:t>C19/136</w:t>
        </w:r>
      </w:hyperlink>
      <w:r w:rsidR="00DE35A6">
        <w:rPr>
          <w:rFonts w:hint="eastAsia"/>
          <w:szCs w:val="22"/>
          <w:lang w:val="en-US" w:eastAsia="zh-CN"/>
        </w:rPr>
        <w:t>和</w:t>
      </w:r>
      <w:hyperlink r:id="rId296" w:history="1">
        <w:r w:rsidR="00DE35A6" w:rsidRPr="00026596">
          <w:rPr>
            <w:rStyle w:val="Hyperlink"/>
            <w:lang w:eastAsia="zh-CN"/>
          </w:rPr>
          <w:t>C19/113</w:t>
        </w:r>
      </w:hyperlink>
      <w:r>
        <w:rPr>
          <w:rFonts w:hint="eastAsia"/>
          <w:szCs w:val="22"/>
          <w:lang w:val="en-US" w:eastAsia="zh-CN"/>
        </w:rPr>
        <w:t>号</w:t>
      </w:r>
      <w:r>
        <w:rPr>
          <w:szCs w:val="22"/>
          <w:lang w:val="en-US" w:eastAsia="zh-CN"/>
        </w:rPr>
        <w:t>文件。</w:t>
      </w:r>
    </w:p>
    <w:p w14:paraId="4827B387" w14:textId="77777777" w:rsidR="00DE35A6" w:rsidRPr="00150DD4" w:rsidRDefault="00DE35A6" w:rsidP="00DE35A6">
      <w:pPr>
        <w:jc w:val="center"/>
        <w:rPr>
          <w:rFonts w:eastAsiaTheme="minorEastAsia" w:cstheme="minorHAnsi"/>
          <w:lang w:eastAsia="zh-CN"/>
        </w:rPr>
      </w:pPr>
      <w:r>
        <w:rPr>
          <w:lang w:eastAsia="zh-CN"/>
        </w:rPr>
        <w:t>______________</w:t>
      </w:r>
    </w:p>
    <w:p w14:paraId="4827B388" w14:textId="77777777" w:rsidR="001278F7" w:rsidRPr="001278F7" w:rsidRDefault="001278F7" w:rsidP="00CA7362">
      <w:pPr>
        <w:pStyle w:val="ResNo"/>
        <w:outlineLvl w:val="0"/>
        <w:rPr>
          <w:lang w:eastAsia="zh-CN"/>
        </w:rPr>
      </w:pPr>
      <w:bookmarkStart w:id="1661" w:name="_Toc424117029"/>
      <w:bookmarkStart w:id="1662" w:name="_Toc531706379"/>
      <w:bookmarkStart w:id="1663" w:name="_Toc531706981"/>
      <w:bookmarkStart w:id="1664" w:name="_Toc531768467"/>
      <w:bookmarkStart w:id="1665" w:name="_Toc16085787"/>
      <w:bookmarkStart w:id="1666" w:name="_Toc86395590"/>
      <w:r w:rsidRPr="001278F7">
        <w:rPr>
          <w:rFonts w:hint="eastAsia"/>
          <w:lang w:eastAsia="zh-CN"/>
        </w:rPr>
        <w:t>第</w:t>
      </w:r>
      <w:r w:rsidRPr="001278F7">
        <w:rPr>
          <w:rFonts w:hint="eastAsia"/>
          <w:lang w:eastAsia="zh-CN"/>
        </w:rPr>
        <w:t>1306</w:t>
      </w:r>
      <w:r w:rsidRPr="001278F7">
        <w:rPr>
          <w:rFonts w:hint="eastAsia"/>
          <w:lang w:eastAsia="zh-CN"/>
        </w:rPr>
        <w:t>号决议</w:t>
      </w:r>
      <w:r>
        <w:rPr>
          <w:rFonts w:hint="eastAsia"/>
          <w:lang w:eastAsia="zh-CN"/>
        </w:rPr>
        <w:t>（</w:t>
      </w:r>
      <w:r w:rsidRPr="001278F7">
        <w:rPr>
          <w:rFonts w:hint="eastAsia"/>
          <w:lang w:eastAsia="zh-CN"/>
        </w:rPr>
        <w:t>C09</w:t>
      </w:r>
      <w:r w:rsidR="00F43CD8">
        <w:rPr>
          <w:rFonts w:hint="eastAsia"/>
          <w:lang w:eastAsia="zh-CN"/>
        </w:rPr>
        <w:t>，</w:t>
      </w:r>
      <w:r w:rsidR="00F43CD8">
        <w:rPr>
          <w:rFonts w:hint="eastAsia"/>
          <w:lang w:val="en-US" w:eastAsia="zh-CN"/>
        </w:rPr>
        <w:t>最后</w:t>
      </w:r>
      <w:r w:rsidR="00F43CD8">
        <w:rPr>
          <w:lang w:val="en-US" w:eastAsia="zh-CN"/>
        </w:rPr>
        <w:t>修</w:t>
      </w:r>
      <w:r w:rsidR="00356C82">
        <w:rPr>
          <w:rFonts w:hint="eastAsia"/>
          <w:lang w:val="en-US" w:eastAsia="zh-CN"/>
        </w:rPr>
        <w:t>正</w:t>
      </w:r>
      <w:r w:rsidR="00356C82">
        <w:rPr>
          <w:lang w:val="en-US" w:eastAsia="zh-CN"/>
        </w:rPr>
        <w:t>C15</w:t>
      </w:r>
      <w:r>
        <w:rPr>
          <w:rFonts w:hint="eastAsia"/>
          <w:lang w:eastAsia="zh-CN"/>
        </w:rPr>
        <w:t>）</w:t>
      </w:r>
      <w:bookmarkEnd w:id="1649"/>
      <w:bookmarkEnd w:id="1661"/>
      <w:bookmarkEnd w:id="1662"/>
      <w:bookmarkEnd w:id="1663"/>
      <w:bookmarkEnd w:id="1664"/>
      <w:bookmarkEnd w:id="1665"/>
      <w:bookmarkEnd w:id="1666"/>
    </w:p>
    <w:p w14:paraId="4827B389" w14:textId="77777777" w:rsidR="001278F7" w:rsidRPr="00F43CD8" w:rsidRDefault="00F43CD8" w:rsidP="00ED4C6F">
      <w:pPr>
        <w:pStyle w:val="Restitle"/>
        <w:spacing w:before="0"/>
        <w:rPr>
          <w:b w:val="0"/>
          <w:bCs/>
          <w:lang w:eastAsia="zh-CN"/>
        </w:rPr>
      </w:pPr>
      <w:bookmarkStart w:id="1667" w:name="_Toc424116236"/>
      <w:bookmarkStart w:id="1668" w:name="_Toc424117030"/>
      <w:bookmarkStart w:id="1669" w:name="_Toc460248143"/>
      <w:bookmarkStart w:id="1670" w:name="_Toc531706380"/>
      <w:bookmarkStart w:id="1671" w:name="_Toc531706982"/>
      <w:bookmarkStart w:id="1672" w:name="_Toc531768468"/>
      <w:bookmarkStart w:id="1673" w:name="_Toc16085788"/>
      <w:bookmarkStart w:id="1674" w:name="_Toc86395591"/>
      <w:r w:rsidRPr="00C22DDC">
        <w:rPr>
          <w:rFonts w:hint="eastAsia"/>
          <w:lang w:val="fr-CH" w:eastAsia="zh-CN"/>
        </w:rPr>
        <w:t>理事会保护上网儿童工作组</w:t>
      </w:r>
      <w:bookmarkEnd w:id="1667"/>
      <w:bookmarkEnd w:id="1668"/>
      <w:bookmarkEnd w:id="1669"/>
      <w:bookmarkEnd w:id="1670"/>
      <w:bookmarkEnd w:id="1671"/>
      <w:bookmarkEnd w:id="1672"/>
      <w:bookmarkEnd w:id="1673"/>
      <w:bookmarkEnd w:id="1674"/>
    </w:p>
    <w:p w14:paraId="4827B38A" w14:textId="77777777" w:rsidR="00F43CD8" w:rsidRPr="0088171E" w:rsidRDefault="00F43CD8" w:rsidP="00364022">
      <w:pPr>
        <w:pStyle w:val="Normalaftertitle"/>
        <w:rPr>
          <w:lang w:eastAsia="zh-CN"/>
        </w:rPr>
      </w:pPr>
      <w:r>
        <w:rPr>
          <w:rFonts w:hint="eastAsia"/>
          <w:lang w:eastAsia="zh-CN"/>
        </w:rPr>
        <w:t>理事会，</w:t>
      </w:r>
    </w:p>
    <w:p w14:paraId="4827B38B" w14:textId="77777777" w:rsidR="00F43CD8" w:rsidRPr="00BB71BD" w:rsidRDefault="00F43CD8" w:rsidP="00F43CD8">
      <w:pPr>
        <w:pStyle w:val="Call"/>
        <w:rPr>
          <w:lang w:eastAsia="zh-CN"/>
        </w:rPr>
      </w:pPr>
      <w:r w:rsidRPr="00BB71BD">
        <w:rPr>
          <w:rFonts w:hint="eastAsia"/>
          <w:lang w:eastAsia="zh-CN"/>
        </w:rPr>
        <w:t>考虑到</w:t>
      </w:r>
    </w:p>
    <w:p w14:paraId="4827B38C" w14:textId="77777777" w:rsidR="00F43CD8" w:rsidRPr="0088171E" w:rsidRDefault="00F43CD8" w:rsidP="00F43CD8">
      <w:pPr>
        <w:rPr>
          <w:lang w:eastAsia="zh-CN"/>
        </w:rPr>
      </w:pPr>
      <w:r w:rsidRPr="004970A7">
        <w:rPr>
          <w:rFonts w:hint="eastAsia"/>
          <w:i/>
          <w:iCs/>
          <w:lang w:eastAsia="zh-CN"/>
        </w:rPr>
        <w:t>a)</w:t>
      </w:r>
      <w:r>
        <w:rPr>
          <w:rFonts w:hint="eastAsia"/>
          <w:lang w:eastAsia="zh-CN"/>
        </w:rPr>
        <w:tab/>
      </w:r>
      <w:r>
        <w:rPr>
          <w:rFonts w:hint="eastAsia"/>
          <w:lang w:eastAsia="zh-CN"/>
        </w:rPr>
        <w:t>国际电联的宗旨</w:t>
      </w:r>
      <w:r>
        <w:rPr>
          <w:rFonts w:ascii="STKaiti" w:eastAsia="STKaiti" w:hAnsi="STKaiti" w:hint="eastAsia"/>
          <w:lang w:eastAsia="zh-CN"/>
        </w:rPr>
        <w:t>主要</w:t>
      </w:r>
      <w:r w:rsidRPr="00A01F27">
        <w:rPr>
          <w:rFonts w:ascii="STKaiti" w:eastAsia="STKaiti" w:hAnsi="STKaiti" w:hint="eastAsia"/>
          <w:lang w:eastAsia="zh-CN"/>
        </w:rPr>
        <w:t>是</w:t>
      </w:r>
      <w:r>
        <w:rPr>
          <w:rFonts w:hint="eastAsia"/>
          <w:lang w:eastAsia="zh-CN"/>
        </w:rPr>
        <w:t>在国际层面促进采用广泛的电信</w:t>
      </w:r>
      <w:r>
        <w:rPr>
          <w:rFonts w:hint="eastAsia"/>
          <w:lang w:eastAsia="zh-CN"/>
        </w:rPr>
        <w:t>/</w:t>
      </w:r>
      <w:r>
        <w:rPr>
          <w:rFonts w:hint="eastAsia"/>
          <w:lang w:eastAsia="zh-CN"/>
        </w:rPr>
        <w:t>信息通信技术（</w:t>
      </w:r>
      <w:r w:rsidRPr="0088171E">
        <w:rPr>
          <w:lang w:eastAsia="zh-CN"/>
        </w:rPr>
        <w:t>ICT</w:t>
      </w:r>
      <w:r>
        <w:rPr>
          <w:rFonts w:hint="eastAsia"/>
          <w:lang w:eastAsia="zh-CN"/>
        </w:rPr>
        <w:t>），协助将新电信技术带来的福祉传播给世界上所有居民，并协调成员国和部门成员在实现这些目标方面开展的工作；</w:t>
      </w:r>
    </w:p>
    <w:p w14:paraId="4827B38D" w14:textId="77777777" w:rsidR="00F43CD8" w:rsidRPr="0088171E" w:rsidRDefault="00F43CD8" w:rsidP="00F43CD8">
      <w:pPr>
        <w:rPr>
          <w:lang w:eastAsia="zh-CN"/>
        </w:rPr>
      </w:pPr>
      <w:r>
        <w:rPr>
          <w:i/>
          <w:iCs/>
          <w:lang w:eastAsia="zh-CN"/>
        </w:rPr>
        <w:t>b</w:t>
      </w:r>
      <w:r w:rsidRPr="004970A7">
        <w:rPr>
          <w:rFonts w:hint="eastAsia"/>
          <w:i/>
          <w:iCs/>
          <w:lang w:eastAsia="zh-CN"/>
        </w:rPr>
        <w:t>)</w:t>
      </w:r>
      <w:r>
        <w:rPr>
          <w:rFonts w:hint="eastAsia"/>
          <w:lang w:eastAsia="zh-CN"/>
        </w:rPr>
        <w:tab/>
      </w:r>
      <w:r>
        <w:rPr>
          <w:rFonts w:hint="eastAsia"/>
          <w:lang w:eastAsia="zh-CN"/>
        </w:rPr>
        <w:t>互联网在为全世界儿童提供教育、丰富课程和帮助各国儿童之间克服语言及其他障碍方面日益发挥着重要和宝贵的作用；</w:t>
      </w:r>
    </w:p>
    <w:p w14:paraId="4827B38E" w14:textId="77777777" w:rsidR="00F43CD8" w:rsidRPr="0088171E" w:rsidRDefault="00F43CD8" w:rsidP="00F43CD8">
      <w:pPr>
        <w:rPr>
          <w:lang w:eastAsia="zh-CN"/>
        </w:rPr>
      </w:pPr>
      <w:r>
        <w:rPr>
          <w:i/>
          <w:iCs/>
          <w:lang w:eastAsia="zh-CN"/>
        </w:rPr>
        <w:t>c</w:t>
      </w:r>
      <w:r w:rsidRPr="004970A7">
        <w:rPr>
          <w:rFonts w:hint="eastAsia"/>
          <w:i/>
          <w:iCs/>
          <w:lang w:eastAsia="zh-CN"/>
        </w:rPr>
        <w:t>)</w:t>
      </w:r>
      <w:r>
        <w:rPr>
          <w:rFonts w:hint="eastAsia"/>
          <w:lang w:eastAsia="zh-CN"/>
        </w:rPr>
        <w:tab/>
      </w:r>
      <w:r>
        <w:rPr>
          <w:rFonts w:hint="eastAsia"/>
          <w:lang w:eastAsia="zh-CN"/>
        </w:rPr>
        <w:t>互联网已成为儿童多种不同教育、文化和娱乐活动的一个主要平台；</w:t>
      </w:r>
    </w:p>
    <w:p w14:paraId="4827B38F" w14:textId="77777777" w:rsidR="003C22D4" w:rsidRDefault="003C22D4">
      <w:pPr>
        <w:tabs>
          <w:tab w:val="clear" w:pos="794"/>
          <w:tab w:val="clear" w:pos="1191"/>
          <w:tab w:val="clear" w:pos="1588"/>
          <w:tab w:val="clear" w:pos="1985"/>
        </w:tabs>
        <w:overflowPunct/>
        <w:autoSpaceDE/>
        <w:autoSpaceDN/>
        <w:adjustRightInd/>
        <w:spacing w:before="0"/>
        <w:jc w:val="left"/>
        <w:textAlignment w:val="auto"/>
        <w:rPr>
          <w:i/>
          <w:iCs/>
          <w:lang w:eastAsia="zh-CN"/>
        </w:rPr>
      </w:pPr>
      <w:r>
        <w:rPr>
          <w:i/>
          <w:iCs/>
          <w:lang w:eastAsia="zh-CN"/>
        </w:rPr>
        <w:br w:type="page"/>
      </w:r>
    </w:p>
    <w:p w14:paraId="4827B390" w14:textId="77777777" w:rsidR="00F43CD8" w:rsidRPr="00091367" w:rsidRDefault="00F43CD8" w:rsidP="00F43CD8">
      <w:pPr>
        <w:rPr>
          <w:lang w:eastAsia="zh-CN"/>
        </w:rPr>
      </w:pPr>
      <w:r>
        <w:rPr>
          <w:i/>
          <w:iCs/>
          <w:lang w:eastAsia="zh-CN"/>
        </w:rPr>
        <w:lastRenderedPageBreak/>
        <w:t>d</w:t>
      </w:r>
      <w:r w:rsidRPr="004970A7">
        <w:rPr>
          <w:rFonts w:hint="eastAsia"/>
          <w:i/>
          <w:iCs/>
          <w:lang w:eastAsia="zh-CN"/>
        </w:rPr>
        <w:t>)</w:t>
      </w:r>
      <w:r>
        <w:rPr>
          <w:rFonts w:hint="eastAsia"/>
          <w:lang w:eastAsia="zh-CN"/>
        </w:rPr>
        <w:tab/>
      </w:r>
      <w:r>
        <w:rPr>
          <w:rFonts w:hint="eastAsia"/>
          <w:lang w:eastAsia="zh-CN"/>
        </w:rPr>
        <w:t>儿童是最为活跃的在线参与群体之一；</w:t>
      </w:r>
    </w:p>
    <w:p w14:paraId="4827B391" w14:textId="77777777" w:rsidR="00F43CD8" w:rsidRPr="00D450CF" w:rsidRDefault="00F43CD8" w:rsidP="00F43CD8">
      <w:pPr>
        <w:rPr>
          <w:lang w:eastAsia="zh-CN"/>
        </w:rPr>
      </w:pPr>
      <w:r>
        <w:rPr>
          <w:i/>
          <w:iCs/>
          <w:lang w:eastAsia="zh-CN"/>
        </w:rPr>
        <w:t>e</w:t>
      </w:r>
      <w:r w:rsidRPr="004970A7">
        <w:rPr>
          <w:rFonts w:hint="eastAsia"/>
          <w:i/>
          <w:iCs/>
          <w:lang w:eastAsia="zh-CN"/>
        </w:rPr>
        <w:t>)</w:t>
      </w:r>
      <w:r>
        <w:rPr>
          <w:rFonts w:hint="eastAsia"/>
          <w:lang w:eastAsia="zh-CN"/>
        </w:rPr>
        <w:tab/>
      </w:r>
      <w:r>
        <w:rPr>
          <w:rFonts w:hint="eastAsia"/>
          <w:lang w:eastAsia="zh-CN"/>
        </w:rPr>
        <w:t>儿童是在年龄、能力、身体素质等方面各不相同的多元化群体；</w:t>
      </w:r>
    </w:p>
    <w:p w14:paraId="4827B392" w14:textId="77777777" w:rsidR="00F43CD8" w:rsidRPr="00D450CF" w:rsidRDefault="00F43CD8" w:rsidP="00F43CD8">
      <w:pPr>
        <w:rPr>
          <w:lang w:eastAsia="zh-CN"/>
        </w:rPr>
      </w:pPr>
      <w:r>
        <w:rPr>
          <w:i/>
          <w:iCs/>
          <w:lang w:eastAsia="zh-CN"/>
        </w:rPr>
        <w:t>f)</w:t>
      </w:r>
      <w:r>
        <w:rPr>
          <w:rFonts w:hint="eastAsia"/>
          <w:lang w:eastAsia="zh-CN"/>
        </w:rPr>
        <w:tab/>
      </w:r>
      <w:r>
        <w:rPr>
          <w:rFonts w:hint="eastAsia"/>
          <w:lang w:eastAsia="zh-CN"/>
        </w:rPr>
        <w:t>家长、监护人及教育者并非总是了解儿童在互联网上进行的活动；</w:t>
      </w:r>
    </w:p>
    <w:p w14:paraId="4827B393" w14:textId="77777777" w:rsidR="00F43CD8" w:rsidRPr="00D450CF" w:rsidRDefault="00F43CD8" w:rsidP="00F43CD8">
      <w:pPr>
        <w:rPr>
          <w:lang w:eastAsia="zh-CN"/>
        </w:rPr>
      </w:pPr>
      <w:r>
        <w:rPr>
          <w:i/>
          <w:iCs/>
          <w:lang w:eastAsia="zh-CN"/>
        </w:rPr>
        <w:t>g)</w:t>
      </w:r>
      <w:r>
        <w:rPr>
          <w:rFonts w:hint="eastAsia"/>
          <w:lang w:eastAsia="zh-CN"/>
        </w:rPr>
        <w:tab/>
      </w:r>
      <w:r>
        <w:rPr>
          <w:rFonts w:hint="eastAsia"/>
          <w:lang w:eastAsia="zh-CN"/>
        </w:rPr>
        <w:t>儿童可能由于疏漏误入成人网站，或可能接触到不适宜的内容；</w:t>
      </w:r>
    </w:p>
    <w:p w14:paraId="4827B394" w14:textId="77777777" w:rsidR="00F43CD8" w:rsidRPr="00D450CF" w:rsidRDefault="00F43CD8" w:rsidP="00F43CD8">
      <w:pPr>
        <w:rPr>
          <w:lang w:eastAsia="zh-CN"/>
        </w:rPr>
      </w:pPr>
      <w:r>
        <w:rPr>
          <w:i/>
          <w:iCs/>
          <w:lang w:eastAsia="zh-CN"/>
        </w:rPr>
        <w:t>h)</w:t>
      </w:r>
      <w:r>
        <w:rPr>
          <w:rFonts w:hint="eastAsia"/>
          <w:lang w:eastAsia="zh-CN"/>
        </w:rPr>
        <w:tab/>
      </w:r>
      <w:r>
        <w:rPr>
          <w:rFonts w:hint="eastAsia"/>
          <w:lang w:eastAsia="zh-CN"/>
        </w:rPr>
        <w:t>为解决儿童网络安全问题，在国际层面积极主动采取措施保护在线儿童至关重要；</w:t>
      </w:r>
    </w:p>
    <w:p w14:paraId="4827B395" w14:textId="77777777" w:rsidR="00F43CD8" w:rsidRPr="00D450CF" w:rsidRDefault="00F43CD8" w:rsidP="00F43CD8">
      <w:pPr>
        <w:rPr>
          <w:lang w:eastAsia="zh-CN"/>
        </w:rPr>
      </w:pPr>
      <w:r>
        <w:rPr>
          <w:i/>
          <w:iCs/>
          <w:lang w:eastAsia="zh-CN"/>
        </w:rPr>
        <w:t>i)</w:t>
      </w:r>
      <w:r>
        <w:rPr>
          <w:rFonts w:hint="eastAsia"/>
          <w:lang w:eastAsia="zh-CN"/>
        </w:rPr>
        <w:tab/>
      </w:r>
      <w:r>
        <w:rPr>
          <w:rFonts w:hint="eastAsia"/>
          <w:lang w:eastAsia="zh-CN"/>
        </w:rPr>
        <w:t>保护在线儿童是值得全球关注的议题，并须列入国际社会全球议程的重点之中；</w:t>
      </w:r>
    </w:p>
    <w:p w14:paraId="4827B396" w14:textId="77777777" w:rsidR="00F43CD8" w:rsidRPr="0088171E" w:rsidRDefault="00F43CD8" w:rsidP="00F43CD8">
      <w:pPr>
        <w:rPr>
          <w:lang w:eastAsia="zh-CN"/>
        </w:rPr>
      </w:pPr>
      <w:r>
        <w:rPr>
          <w:i/>
          <w:iCs/>
          <w:lang w:eastAsia="zh-CN"/>
        </w:rPr>
        <w:t>j)</w:t>
      </w:r>
      <w:r>
        <w:rPr>
          <w:rFonts w:hint="eastAsia"/>
          <w:lang w:eastAsia="zh-CN"/>
        </w:rPr>
        <w:tab/>
      </w:r>
      <w:r>
        <w:rPr>
          <w:rFonts w:hint="eastAsia"/>
          <w:lang w:eastAsia="zh-CN"/>
        </w:rPr>
        <w:t>在信息社会世界高峰会议（</w:t>
      </w:r>
      <w:r w:rsidRPr="0088171E">
        <w:rPr>
          <w:lang w:eastAsia="zh-CN"/>
        </w:rPr>
        <w:t>WSIS</w:t>
      </w:r>
      <w:r>
        <w:rPr>
          <w:rFonts w:hint="eastAsia"/>
          <w:lang w:eastAsia="zh-CN"/>
        </w:rPr>
        <w:t>）（</w:t>
      </w:r>
      <w:r>
        <w:rPr>
          <w:rFonts w:hint="eastAsia"/>
          <w:lang w:eastAsia="zh-CN"/>
        </w:rPr>
        <w:t>2005</w:t>
      </w:r>
      <w:r>
        <w:rPr>
          <w:rFonts w:hint="eastAsia"/>
          <w:lang w:eastAsia="zh-CN"/>
        </w:rPr>
        <w:t>年，突尼斯）期间，信息社会认识到了儿童和青年的需要以及在网络世界保护他们的必要性；《突尼斯承诺》指出：</w:t>
      </w:r>
    </w:p>
    <w:p w14:paraId="4827B397" w14:textId="77777777" w:rsidR="00F43CD8" w:rsidRPr="00066176" w:rsidRDefault="00F43CD8" w:rsidP="00F43CD8">
      <w:pPr>
        <w:pStyle w:val="enumlev1"/>
        <w:ind w:firstLine="0"/>
        <w:rPr>
          <w:lang w:eastAsia="zh-CN"/>
        </w:rPr>
      </w:pPr>
      <w:r w:rsidRPr="00EB6291">
        <w:rPr>
          <w:rFonts w:hint="eastAsia"/>
          <w:lang w:eastAsia="zh-CN"/>
        </w:rPr>
        <w:t>“</w:t>
      </w:r>
      <w:r w:rsidRPr="003B0025">
        <w:rPr>
          <w:rFonts w:eastAsia="STKaiti"/>
          <w:lang w:eastAsia="zh-CN"/>
        </w:rPr>
        <w:t>我们认识到信息通信技术</w:t>
      </w:r>
      <w:r>
        <w:rPr>
          <w:rFonts w:eastAsia="STKaiti" w:hint="eastAsia"/>
          <w:lang w:eastAsia="zh-CN"/>
        </w:rPr>
        <w:t>（</w:t>
      </w:r>
      <w:r>
        <w:rPr>
          <w:rFonts w:eastAsia="STKaiti"/>
          <w:lang w:eastAsia="zh-CN"/>
        </w:rPr>
        <w:t>ICT</w:t>
      </w:r>
      <w:r>
        <w:rPr>
          <w:rFonts w:eastAsia="STKaiti"/>
          <w:lang w:eastAsia="zh-CN"/>
        </w:rPr>
        <w:t>）</w:t>
      </w:r>
      <w:r w:rsidRPr="003B0025">
        <w:rPr>
          <w:rFonts w:eastAsia="STKaiti"/>
          <w:lang w:eastAsia="zh-CN"/>
        </w:rPr>
        <w:t>在保护和促进儿童成长方面的作用。我们将采取更有力的行动，保护儿童在信息通信技术方面的权利，避免他们因为这类技术而受到虐待。因此，我们强调要将儿童的最大利益放在首位</w:t>
      </w:r>
      <w:r w:rsidRPr="003B0025">
        <w:rPr>
          <w:rFonts w:eastAsia="STKaiti"/>
          <w:lang w:eastAsia="zh-CN"/>
        </w:rPr>
        <w:t>”</w:t>
      </w:r>
      <w:r w:rsidRPr="003B0025">
        <w:rPr>
          <w:rFonts w:eastAsia="STKaiti"/>
          <w:lang w:eastAsia="zh-CN"/>
        </w:rPr>
        <w:t>（第</w:t>
      </w:r>
      <w:r w:rsidRPr="003B0025">
        <w:rPr>
          <w:rFonts w:eastAsia="STKaiti"/>
          <w:lang w:eastAsia="zh-CN"/>
        </w:rPr>
        <w:t>24</w:t>
      </w:r>
      <w:r w:rsidRPr="003B0025">
        <w:rPr>
          <w:rFonts w:eastAsia="STKaiti"/>
          <w:lang w:eastAsia="zh-CN"/>
        </w:rPr>
        <w:t>段）</w:t>
      </w:r>
      <w:r>
        <w:rPr>
          <w:rFonts w:hint="eastAsia"/>
          <w:lang w:eastAsia="zh-CN"/>
        </w:rPr>
        <w:t>；</w:t>
      </w:r>
    </w:p>
    <w:p w14:paraId="4827B398" w14:textId="77777777" w:rsidR="00F43CD8" w:rsidRPr="001550EB" w:rsidRDefault="00F43CD8" w:rsidP="00510C29">
      <w:pPr>
        <w:ind w:firstLineChars="354" w:firstLine="850"/>
        <w:rPr>
          <w:rFonts w:ascii="STKaiti" w:hAnsi="STKaiti"/>
          <w:lang w:eastAsia="zh-CN"/>
        </w:rPr>
      </w:pPr>
      <w:r w:rsidRPr="001550EB">
        <w:rPr>
          <w:rFonts w:ascii="STKaiti" w:hAnsi="STKaiti" w:hint="eastAsia"/>
          <w:lang w:eastAsia="zh-CN"/>
        </w:rPr>
        <w:t>《突尼斯议程》指出：</w:t>
      </w:r>
    </w:p>
    <w:p w14:paraId="4827B399" w14:textId="77777777" w:rsidR="00F43CD8" w:rsidRPr="00EB6291" w:rsidRDefault="00F43CD8" w:rsidP="00F43CD8">
      <w:pPr>
        <w:pStyle w:val="enumlev1"/>
        <w:keepLines/>
        <w:ind w:firstLine="0"/>
        <w:rPr>
          <w:szCs w:val="24"/>
          <w:lang w:eastAsia="zh-CN"/>
        </w:rPr>
      </w:pPr>
      <w:r w:rsidRPr="00EB6291">
        <w:rPr>
          <w:rFonts w:hint="eastAsia"/>
          <w:szCs w:val="24"/>
          <w:lang w:eastAsia="zh-CN"/>
        </w:rPr>
        <w:t>“</w:t>
      </w:r>
      <w:r w:rsidRPr="00EB6291">
        <w:rPr>
          <w:rFonts w:eastAsia="STKaiti" w:hint="eastAsia"/>
          <w:szCs w:val="24"/>
          <w:lang w:eastAsia="zh-CN"/>
        </w:rPr>
        <w:t>我们认识到</w:t>
      </w:r>
      <w:r w:rsidRPr="00EB6291">
        <w:rPr>
          <w:rFonts w:eastAsia="STKaiti" w:hint="eastAsia"/>
          <w:szCs w:val="24"/>
          <w:lang w:eastAsia="zh-CN"/>
        </w:rPr>
        <w:t>ICT</w:t>
      </w:r>
      <w:r w:rsidRPr="00EB6291">
        <w:rPr>
          <w:rFonts w:eastAsia="STKaiti" w:hint="eastAsia"/>
          <w:szCs w:val="24"/>
          <w:lang w:eastAsia="zh-CN"/>
        </w:rPr>
        <w:t>在</w:t>
      </w:r>
      <w:r w:rsidRPr="00EC4983">
        <w:rPr>
          <w:rFonts w:eastAsia="STKaiti" w:hint="eastAsia"/>
          <w:lang w:eastAsia="zh-CN"/>
        </w:rPr>
        <w:t>经济</w:t>
      </w:r>
      <w:r w:rsidRPr="00EB6291">
        <w:rPr>
          <w:rFonts w:eastAsia="STKaiti" w:hint="eastAsia"/>
          <w:szCs w:val="24"/>
          <w:lang w:eastAsia="zh-CN"/>
        </w:rPr>
        <w:t>增长和发展中的作用，因此我们重申，将致力于为所有人公平和平等地提供信息和知识。我们还致力于</w:t>
      </w:r>
      <w:r w:rsidRPr="00EB6291">
        <w:rPr>
          <w:rFonts w:eastAsia="STKaiti" w:hint="eastAsia"/>
          <w:szCs w:val="24"/>
          <w:lang w:eastAsia="zh-CN"/>
        </w:rPr>
        <w:t>[...]</w:t>
      </w:r>
      <w:r w:rsidRPr="00EB6291">
        <w:rPr>
          <w:rFonts w:eastAsia="STKaiti"/>
          <w:szCs w:val="24"/>
          <w:lang w:eastAsia="zh-CN"/>
        </w:rPr>
        <w:t>实现达成国际共识的发展目的和</w:t>
      </w:r>
      <w:r w:rsidRPr="00EB6291">
        <w:rPr>
          <w:rFonts w:eastAsia="STKaiti" w:hint="eastAsia"/>
          <w:szCs w:val="24"/>
          <w:lang w:eastAsia="zh-CN"/>
        </w:rPr>
        <w:t>目标，包括《千年发展目标》：</w:t>
      </w:r>
      <w:r w:rsidRPr="00EB6291">
        <w:rPr>
          <w:rFonts w:eastAsia="STKaiti" w:hint="eastAsia"/>
          <w:szCs w:val="24"/>
          <w:lang w:eastAsia="zh-CN"/>
        </w:rPr>
        <w:t>[...]</w:t>
      </w:r>
      <w:r w:rsidRPr="00EB6291">
        <w:rPr>
          <w:rFonts w:eastAsia="STKaiti" w:hint="eastAsia"/>
          <w:szCs w:val="24"/>
          <w:lang w:eastAsia="zh-CN"/>
        </w:rPr>
        <w:t>在国家行动计划和信息通信战略中纳入监管、自我监管和其他有效的政策和框架，以及保护儿童与青年</w:t>
      </w:r>
      <w:r w:rsidRPr="00EB6291">
        <w:rPr>
          <w:rFonts w:eastAsia="STKaiti"/>
          <w:szCs w:val="24"/>
          <w:lang w:eastAsia="zh-CN"/>
        </w:rPr>
        <w:t>免</w:t>
      </w:r>
      <w:r w:rsidRPr="00EB6291">
        <w:rPr>
          <w:rFonts w:eastAsia="STKaiti" w:hint="eastAsia"/>
          <w:szCs w:val="24"/>
          <w:lang w:eastAsia="zh-CN"/>
        </w:rPr>
        <w:t>受以</w:t>
      </w:r>
      <w:r w:rsidRPr="00EB6291">
        <w:rPr>
          <w:rFonts w:eastAsia="STKaiti"/>
          <w:szCs w:val="24"/>
          <w:lang w:eastAsia="zh-CN"/>
        </w:rPr>
        <w:t>ICT</w:t>
      </w:r>
      <w:r w:rsidRPr="00EB6291">
        <w:rPr>
          <w:rFonts w:eastAsia="STKaiti" w:hint="eastAsia"/>
          <w:szCs w:val="24"/>
          <w:lang w:eastAsia="zh-CN"/>
        </w:rPr>
        <w:t>为手段进行</w:t>
      </w:r>
      <w:r w:rsidRPr="00EB6291">
        <w:rPr>
          <w:rFonts w:eastAsia="STKaiti"/>
          <w:szCs w:val="24"/>
          <w:lang w:eastAsia="zh-CN"/>
        </w:rPr>
        <w:t>的虐待和</w:t>
      </w:r>
      <w:r w:rsidRPr="00EB6291">
        <w:rPr>
          <w:rFonts w:eastAsia="STKaiti" w:hint="eastAsia"/>
          <w:szCs w:val="24"/>
          <w:lang w:eastAsia="zh-CN"/>
        </w:rPr>
        <w:t>剥削的内容</w:t>
      </w:r>
      <w:r w:rsidRPr="00EB6291">
        <w:rPr>
          <w:rFonts w:ascii="SimSun" w:hAnsi="SimSun" w:hint="eastAsia"/>
          <w:szCs w:val="24"/>
          <w:lang w:eastAsia="zh-CN"/>
        </w:rPr>
        <w:t>”</w:t>
      </w:r>
      <w:r w:rsidRPr="00EB6291">
        <w:rPr>
          <w:rFonts w:eastAsia="STKaiti" w:hint="eastAsia"/>
          <w:szCs w:val="24"/>
          <w:lang w:eastAsia="zh-CN"/>
        </w:rPr>
        <w:t>（第</w:t>
      </w:r>
      <w:r w:rsidRPr="00EB6291">
        <w:rPr>
          <w:rFonts w:eastAsia="STKaiti" w:hint="eastAsia"/>
          <w:szCs w:val="24"/>
          <w:lang w:eastAsia="zh-CN"/>
        </w:rPr>
        <w:t>90q</w:t>
      </w:r>
      <w:r w:rsidRPr="00EB6291">
        <w:rPr>
          <w:rFonts w:eastAsia="STKaiti" w:hint="eastAsia"/>
          <w:szCs w:val="24"/>
          <w:lang w:eastAsia="zh-CN"/>
        </w:rPr>
        <w:t>段）；</w:t>
      </w:r>
    </w:p>
    <w:p w14:paraId="4827B39A" w14:textId="77777777" w:rsidR="00F43CD8" w:rsidRPr="00BB71BD" w:rsidRDefault="00F43CD8" w:rsidP="00F43CD8">
      <w:pPr>
        <w:pStyle w:val="Call"/>
        <w:rPr>
          <w:lang w:eastAsia="zh-CN"/>
        </w:rPr>
      </w:pPr>
      <w:r w:rsidRPr="00BB71BD">
        <w:rPr>
          <w:rFonts w:hint="eastAsia"/>
          <w:lang w:eastAsia="zh-CN"/>
        </w:rPr>
        <w:t>认识到</w:t>
      </w:r>
    </w:p>
    <w:p w14:paraId="4827B39B" w14:textId="77777777" w:rsidR="00F43CD8" w:rsidRPr="00091367" w:rsidRDefault="00F43CD8" w:rsidP="00F43CD8">
      <w:pPr>
        <w:rPr>
          <w:lang w:eastAsia="zh-CN"/>
        </w:rPr>
      </w:pPr>
      <w:r w:rsidRPr="004970A7">
        <w:rPr>
          <w:rFonts w:hint="eastAsia"/>
          <w:i/>
          <w:iCs/>
          <w:lang w:eastAsia="zh-CN"/>
        </w:rPr>
        <w:t>a)</w:t>
      </w:r>
      <w:r>
        <w:rPr>
          <w:rFonts w:hint="eastAsia"/>
          <w:lang w:eastAsia="zh-CN"/>
        </w:rPr>
        <w:tab/>
      </w:r>
      <w:r>
        <w:rPr>
          <w:rFonts w:hint="eastAsia"/>
          <w:lang w:eastAsia="zh-CN"/>
        </w:rPr>
        <w:t>目前在地方、国家、区域和国际层面开展的保护在线儿童的工作；</w:t>
      </w:r>
    </w:p>
    <w:p w14:paraId="4827B39C" w14:textId="77777777" w:rsidR="00F43CD8" w:rsidRPr="00D450CF" w:rsidRDefault="00F43CD8" w:rsidP="00F43CD8">
      <w:pPr>
        <w:rPr>
          <w:lang w:eastAsia="zh-CN"/>
        </w:rPr>
      </w:pPr>
      <w:r>
        <w:rPr>
          <w:i/>
          <w:iCs/>
          <w:lang w:eastAsia="zh-CN"/>
        </w:rPr>
        <w:t>b</w:t>
      </w:r>
      <w:r w:rsidRPr="004970A7">
        <w:rPr>
          <w:rFonts w:hint="eastAsia"/>
          <w:i/>
          <w:iCs/>
          <w:lang w:eastAsia="zh-CN"/>
        </w:rPr>
        <w:t>)</w:t>
      </w:r>
      <w:r>
        <w:rPr>
          <w:rFonts w:hint="eastAsia"/>
          <w:lang w:eastAsia="zh-CN"/>
        </w:rPr>
        <w:tab/>
      </w:r>
      <w:r>
        <w:rPr>
          <w:rFonts w:hint="eastAsia"/>
          <w:lang w:eastAsia="zh-CN" w:bidi="ar-EG"/>
        </w:rPr>
        <w:t>有关</w:t>
      </w:r>
      <w:r w:rsidRPr="006A68A4">
        <w:rPr>
          <w:rFonts w:hint="eastAsia"/>
          <w:lang w:eastAsia="zh-CN"/>
        </w:rPr>
        <w:t>国际电联在保护</w:t>
      </w:r>
      <w:r>
        <w:rPr>
          <w:rFonts w:hint="eastAsia"/>
          <w:lang w:eastAsia="zh-CN"/>
        </w:rPr>
        <w:t>上网儿童</w:t>
      </w:r>
      <w:r w:rsidRPr="006A68A4">
        <w:rPr>
          <w:rFonts w:hint="eastAsia"/>
          <w:lang w:eastAsia="zh-CN"/>
        </w:rPr>
        <w:t>方面的作用</w:t>
      </w:r>
      <w:r>
        <w:rPr>
          <w:rFonts w:hint="eastAsia"/>
          <w:lang w:eastAsia="zh-CN"/>
        </w:rPr>
        <w:t>的国</w:t>
      </w:r>
      <w:r>
        <w:rPr>
          <w:lang w:eastAsia="zh-CN"/>
        </w:rPr>
        <w:t>际电联全权代表大会</w:t>
      </w:r>
      <w:r w:rsidRPr="00DA3650">
        <w:rPr>
          <w:rFonts w:hint="eastAsia"/>
          <w:lang w:eastAsia="zh-CN"/>
        </w:rPr>
        <w:t>第</w:t>
      </w:r>
      <w:r>
        <w:rPr>
          <w:lang w:eastAsia="zh-CN"/>
        </w:rPr>
        <w:t>179</w:t>
      </w:r>
      <w:r w:rsidRPr="00DA3650">
        <w:rPr>
          <w:rFonts w:hint="eastAsia"/>
          <w:lang w:eastAsia="zh-CN"/>
        </w:rPr>
        <w:t>号决议</w:t>
      </w:r>
      <w:r w:rsidRPr="006A68A4">
        <w:rPr>
          <w:rFonts w:hint="eastAsia"/>
          <w:lang w:eastAsia="zh-CN" w:bidi="ar-EG"/>
        </w:rPr>
        <w:t>（</w:t>
      </w:r>
      <w:r>
        <w:rPr>
          <w:rFonts w:hint="eastAsia"/>
          <w:lang w:eastAsia="zh-CN" w:bidi="ar-EG"/>
        </w:rPr>
        <w:t>2014</w:t>
      </w:r>
      <w:r>
        <w:rPr>
          <w:rFonts w:hint="eastAsia"/>
          <w:lang w:eastAsia="zh-CN" w:bidi="ar-EG"/>
        </w:rPr>
        <w:t>年，釜山，修订版</w:t>
      </w:r>
      <w:r w:rsidRPr="006A68A4">
        <w:rPr>
          <w:rFonts w:hint="eastAsia"/>
          <w:lang w:eastAsia="zh-CN" w:bidi="ar-EG"/>
        </w:rPr>
        <w:t>）</w:t>
      </w:r>
      <w:r>
        <w:rPr>
          <w:rFonts w:hint="eastAsia"/>
          <w:lang w:eastAsia="zh-CN"/>
        </w:rPr>
        <w:t>；</w:t>
      </w:r>
    </w:p>
    <w:p w14:paraId="4827B39D" w14:textId="77777777" w:rsidR="00F43CD8" w:rsidRDefault="00F43CD8" w:rsidP="00F43CD8">
      <w:pPr>
        <w:rPr>
          <w:lang w:eastAsia="zh-CN"/>
        </w:rPr>
      </w:pPr>
      <w:r>
        <w:rPr>
          <w:i/>
          <w:iCs/>
          <w:lang w:eastAsia="zh-CN"/>
        </w:rPr>
        <w:t>c</w:t>
      </w:r>
      <w:r w:rsidRPr="004970A7">
        <w:rPr>
          <w:rFonts w:hint="eastAsia"/>
          <w:i/>
          <w:iCs/>
          <w:lang w:eastAsia="zh-CN"/>
        </w:rPr>
        <w:t>)</w:t>
      </w:r>
      <w:r>
        <w:rPr>
          <w:rFonts w:hint="eastAsia"/>
          <w:lang w:eastAsia="zh-CN"/>
        </w:rPr>
        <w:tab/>
      </w:r>
      <w:r>
        <w:rPr>
          <w:rFonts w:hint="eastAsia"/>
          <w:lang w:eastAsia="zh-CN"/>
        </w:rPr>
        <w:t>有关国际电联电信发展部门（</w:t>
      </w:r>
      <w:r>
        <w:rPr>
          <w:lang w:eastAsia="zh-CN"/>
        </w:rPr>
        <w:t>ITU-D</w:t>
      </w:r>
      <w:r>
        <w:rPr>
          <w:lang w:eastAsia="zh-CN"/>
        </w:rPr>
        <w:t>）</w:t>
      </w:r>
      <w:r>
        <w:rPr>
          <w:rFonts w:hint="eastAsia"/>
          <w:lang w:eastAsia="zh-CN"/>
        </w:rPr>
        <w:t>在保护上网儿童方面</w:t>
      </w:r>
      <w:r>
        <w:rPr>
          <w:lang w:eastAsia="zh-CN"/>
        </w:rPr>
        <w:t>的</w:t>
      </w:r>
      <w:r>
        <w:rPr>
          <w:rFonts w:hint="eastAsia"/>
          <w:lang w:eastAsia="zh-CN"/>
        </w:rPr>
        <w:t>作用的世界电信发展大会（</w:t>
      </w:r>
      <w:r>
        <w:rPr>
          <w:lang w:eastAsia="zh-CN"/>
        </w:rPr>
        <w:t>WTDC</w:t>
      </w:r>
      <w:r>
        <w:rPr>
          <w:lang w:eastAsia="zh-CN"/>
        </w:rPr>
        <w:t>）</w:t>
      </w:r>
      <w:r>
        <w:rPr>
          <w:rFonts w:hint="eastAsia"/>
          <w:lang w:eastAsia="zh-CN"/>
        </w:rPr>
        <w:t>第</w:t>
      </w:r>
      <w:r>
        <w:rPr>
          <w:rFonts w:hint="eastAsia"/>
          <w:lang w:eastAsia="zh-CN"/>
        </w:rPr>
        <w:t>67</w:t>
      </w:r>
      <w:r>
        <w:rPr>
          <w:rFonts w:hint="eastAsia"/>
          <w:lang w:eastAsia="zh-CN"/>
        </w:rPr>
        <w:t>号决议（</w:t>
      </w:r>
      <w:r>
        <w:rPr>
          <w:rFonts w:hint="eastAsia"/>
          <w:lang w:eastAsia="zh-CN"/>
        </w:rPr>
        <w:t>2014</w:t>
      </w:r>
      <w:r>
        <w:rPr>
          <w:rFonts w:hint="eastAsia"/>
          <w:lang w:eastAsia="zh-CN"/>
        </w:rPr>
        <w:t>年，迪拜，修订版）；</w:t>
      </w:r>
    </w:p>
    <w:p w14:paraId="4827B39E" w14:textId="77777777" w:rsidR="00F43CD8" w:rsidRDefault="00F43CD8" w:rsidP="00F43CD8">
      <w:pPr>
        <w:rPr>
          <w:lang w:eastAsia="zh-CN"/>
        </w:rPr>
      </w:pPr>
      <w:r>
        <w:rPr>
          <w:i/>
          <w:iCs/>
          <w:lang w:eastAsia="zh-CN"/>
        </w:rPr>
        <w:t>d</w:t>
      </w:r>
      <w:r w:rsidRPr="004970A7">
        <w:rPr>
          <w:rFonts w:hint="eastAsia"/>
          <w:i/>
          <w:iCs/>
          <w:lang w:eastAsia="zh-CN"/>
        </w:rPr>
        <w:t>)</w:t>
      </w:r>
      <w:r>
        <w:rPr>
          <w:rFonts w:hint="eastAsia"/>
          <w:lang w:eastAsia="zh-CN"/>
        </w:rPr>
        <w:tab/>
      </w:r>
      <w:r w:rsidRPr="005D4CC8">
        <w:rPr>
          <w:lang w:eastAsia="zh-CN"/>
        </w:rPr>
        <w:t>有关加强在网络安全（包括打击和制止垃圾信息）领域合作的机制的</w:t>
      </w:r>
      <w:r>
        <w:rPr>
          <w:rFonts w:hint="eastAsia"/>
          <w:lang w:eastAsia="zh-CN"/>
        </w:rPr>
        <w:t>WTDC</w:t>
      </w:r>
      <w:r w:rsidRPr="005D4CC8">
        <w:rPr>
          <w:lang w:eastAsia="zh-CN"/>
        </w:rPr>
        <w:t>第</w:t>
      </w:r>
      <w:r w:rsidRPr="005D4CC8">
        <w:rPr>
          <w:lang w:eastAsia="zh-CN"/>
        </w:rPr>
        <w:t>45</w:t>
      </w:r>
      <w:r w:rsidRPr="005D4CC8">
        <w:rPr>
          <w:lang w:eastAsia="zh-CN"/>
        </w:rPr>
        <w:t>号决</w:t>
      </w:r>
      <w:r w:rsidRPr="005D4CC8">
        <w:rPr>
          <w:rFonts w:hint="eastAsia"/>
          <w:lang w:eastAsia="zh-CN"/>
        </w:rPr>
        <w:t>议</w:t>
      </w:r>
      <w:r>
        <w:rPr>
          <w:rFonts w:hint="eastAsia"/>
          <w:lang w:eastAsia="zh-CN"/>
        </w:rPr>
        <w:t>（</w:t>
      </w:r>
      <w:r>
        <w:rPr>
          <w:rFonts w:hint="eastAsia"/>
          <w:lang w:eastAsia="zh-CN"/>
        </w:rPr>
        <w:t>2014</w:t>
      </w:r>
      <w:r>
        <w:rPr>
          <w:rFonts w:hint="eastAsia"/>
          <w:lang w:eastAsia="zh-CN"/>
        </w:rPr>
        <w:t>年，迪拜，修订版）；</w:t>
      </w:r>
    </w:p>
    <w:p w14:paraId="4827B39F" w14:textId="77777777" w:rsidR="00F43CD8" w:rsidRPr="00D450CF" w:rsidRDefault="00F43CD8" w:rsidP="00F43CD8">
      <w:pPr>
        <w:rPr>
          <w:lang w:eastAsia="zh-CN"/>
        </w:rPr>
      </w:pPr>
      <w:r>
        <w:rPr>
          <w:i/>
          <w:iCs/>
          <w:lang w:eastAsia="zh-CN"/>
        </w:rPr>
        <w:t>e</w:t>
      </w:r>
      <w:r w:rsidRPr="004970A7">
        <w:rPr>
          <w:rFonts w:hint="eastAsia"/>
          <w:i/>
          <w:iCs/>
          <w:lang w:eastAsia="zh-CN"/>
        </w:rPr>
        <w:t>)</w:t>
      </w:r>
      <w:r>
        <w:rPr>
          <w:rFonts w:hint="eastAsia"/>
          <w:lang w:eastAsia="zh-CN"/>
        </w:rPr>
        <w:tab/>
      </w:r>
      <w:r>
        <w:rPr>
          <w:rFonts w:hint="eastAsia"/>
          <w:lang w:eastAsia="zh-CN"/>
        </w:rPr>
        <w:t>有关无障碍接入的</w:t>
      </w:r>
      <w:r w:rsidRPr="00262B3D">
        <w:rPr>
          <w:rFonts w:hint="eastAsia"/>
          <w:lang w:eastAsia="zh-CN"/>
        </w:rPr>
        <w:t>第</w:t>
      </w:r>
      <w:r w:rsidRPr="00262B3D">
        <w:rPr>
          <w:rFonts w:hint="eastAsia"/>
          <w:lang w:eastAsia="zh-CN"/>
        </w:rPr>
        <w:t>175</w:t>
      </w:r>
      <w:r w:rsidRPr="00262B3D">
        <w:rPr>
          <w:rFonts w:hint="eastAsia"/>
          <w:lang w:eastAsia="zh-CN"/>
        </w:rPr>
        <w:t>号决议（</w:t>
      </w:r>
      <w:r w:rsidRPr="00262B3D">
        <w:rPr>
          <w:rFonts w:hint="eastAsia"/>
          <w:lang w:eastAsia="zh-CN"/>
        </w:rPr>
        <w:t>2014</w:t>
      </w:r>
      <w:r w:rsidRPr="00262B3D">
        <w:rPr>
          <w:rFonts w:hint="eastAsia"/>
          <w:lang w:eastAsia="zh-CN"/>
        </w:rPr>
        <w:t>年，釜山，修订版）</w:t>
      </w:r>
      <w:r>
        <w:rPr>
          <w:rFonts w:hint="eastAsia"/>
          <w:lang w:eastAsia="zh-CN"/>
        </w:rPr>
        <w:t>，</w:t>
      </w:r>
    </w:p>
    <w:p w14:paraId="4827B3A0" w14:textId="77777777" w:rsidR="00F43CD8" w:rsidRPr="00BB71BD" w:rsidRDefault="00F43CD8" w:rsidP="00F43CD8">
      <w:pPr>
        <w:pStyle w:val="Call"/>
        <w:rPr>
          <w:lang w:eastAsia="zh-CN"/>
        </w:rPr>
      </w:pPr>
      <w:r w:rsidRPr="00BB71BD">
        <w:rPr>
          <w:rFonts w:hint="eastAsia"/>
          <w:lang w:eastAsia="zh-CN"/>
        </w:rPr>
        <w:t>忆及</w:t>
      </w:r>
    </w:p>
    <w:p w14:paraId="4827B3A1" w14:textId="77777777" w:rsidR="00F43CD8" w:rsidRPr="001959BA" w:rsidRDefault="00F43CD8" w:rsidP="00F43CD8">
      <w:pPr>
        <w:overflowPunct/>
        <w:autoSpaceDE/>
        <w:autoSpaceDN/>
        <w:adjustRightInd/>
        <w:ind w:firstLineChars="200" w:firstLine="480"/>
        <w:textAlignment w:val="auto"/>
        <w:rPr>
          <w:szCs w:val="24"/>
          <w:lang w:eastAsia="zh-CN"/>
        </w:rPr>
      </w:pPr>
      <w:r w:rsidRPr="00262B3D">
        <w:rPr>
          <w:rFonts w:hint="eastAsia"/>
          <w:szCs w:val="24"/>
          <w:lang w:eastAsia="zh-CN"/>
        </w:rPr>
        <w:t>WSIS+10</w:t>
      </w:r>
      <w:r w:rsidRPr="00262B3D">
        <w:rPr>
          <w:rFonts w:hint="eastAsia"/>
          <w:szCs w:val="24"/>
          <w:lang w:eastAsia="zh-CN"/>
        </w:rPr>
        <w:t>高级别活动</w:t>
      </w:r>
      <w:r>
        <w:rPr>
          <w:rFonts w:hint="eastAsia"/>
          <w:szCs w:val="24"/>
          <w:lang w:eastAsia="zh-CN"/>
        </w:rPr>
        <w:t>的成果文件，</w:t>
      </w:r>
    </w:p>
    <w:p w14:paraId="4827B3A2" w14:textId="77777777" w:rsidR="003C22D4" w:rsidRDefault="003C22D4">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lang w:eastAsia="zh-CN"/>
        </w:rPr>
        <w:br w:type="page"/>
      </w:r>
    </w:p>
    <w:p w14:paraId="4827B3A3" w14:textId="77777777" w:rsidR="00F43CD8" w:rsidRPr="00BB71BD" w:rsidRDefault="00F43CD8" w:rsidP="00F43CD8">
      <w:pPr>
        <w:pStyle w:val="Call"/>
        <w:rPr>
          <w:lang w:eastAsia="zh-CN"/>
        </w:rPr>
      </w:pPr>
      <w:r w:rsidRPr="00BB71BD">
        <w:rPr>
          <w:rFonts w:hint="eastAsia"/>
          <w:lang w:eastAsia="zh-CN"/>
        </w:rPr>
        <w:lastRenderedPageBreak/>
        <w:t>做出决议</w:t>
      </w:r>
    </w:p>
    <w:p w14:paraId="4827B3A4" w14:textId="77777777" w:rsidR="00F43CD8" w:rsidRPr="0066054F" w:rsidRDefault="00F43CD8" w:rsidP="00F43CD8">
      <w:pPr>
        <w:rPr>
          <w:lang w:eastAsia="zh-CN"/>
        </w:rPr>
      </w:pPr>
      <w:r w:rsidRPr="00D450CF">
        <w:rPr>
          <w:lang w:eastAsia="zh-CN"/>
        </w:rPr>
        <w:t>1</w:t>
      </w:r>
      <w:r w:rsidRPr="00D450CF">
        <w:rPr>
          <w:lang w:eastAsia="zh-CN"/>
        </w:rPr>
        <w:tab/>
      </w:r>
      <w:r w:rsidRPr="006A68A4">
        <w:rPr>
          <w:rFonts w:hint="eastAsia"/>
          <w:lang w:eastAsia="zh-CN"/>
        </w:rPr>
        <w:t>保留</w:t>
      </w:r>
      <w:r>
        <w:rPr>
          <w:rFonts w:hint="eastAsia"/>
          <w:lang w:eastAsia="zh-CN"/>
        </w:rPr>
        <w:t>理事会</w:t>
      </w:r>
      <w:r w:rsidRPr="006A68A4">
        <w:rPr>
          <w:rFonts w:hint="eastAsia"/>
          <w:lang w:eastAsia="zh-CN"/>
        </w:rPr>
        <w:t>保护</w:t>
      </w:r>
      <w:r>
        <w:rPr>
          <w:rFonts w:hint="eastAsia"/>
          <w:lang w:eastAsia="zh-CN"/>
        </w:rPr>
        <w:t>上网儿童</w:t>
      </w:r>
      <w:r w:rsidRPr="006A68A4">
        <w:rPr>
          <w:rFonts w:hint="eastAsia"/>
          <w:lang w:eastAsia="zh-CN"/>
        </w:rPr>
        <w:t>工作组</w:t>
      </w:r>
      <w:r>
        <w:rPr>
          <w:rFonts w:hint="eastAsia"/>
          <w:lang w:eastAsia="zh-CN"/>
        </w:rPr>
        <w:t>（</w:t>
      </w:r>
      <w:r w:rsidRPr="00B93076">
        <w:rPr>
          <w:color w:val="000000"/>
          <w:lang w:eastAsia="zh-CN"/>
        </w:rPr>
        <w:t>CWG-COP</w:t>
      </w:r>
      <w:r>
        <w:rPr>
          <w:rFonts w:hint="eastAsia"/>
          <w:color w:val="000000"/>
          <w:lang w:eastAsia="zh-CN"/>
        </w:rPr>
        <w:t>）</w:t>
      </w:r>
      <w:r w:rsidRPr="006A68A4">
        <w:rPr>
          <w:rFonts w:hint="eastAsia"/>
          <w:lang w:eastAsia="zh-CN"/>
        </w:rPr>
        <w:t>，</w:t>
      </w:r>
      <w:r>
        <w:rPr>
          <w:rFonts w:hint="eastAsia"/>
          <w:lang w:eastAsia="zh-CN"/>
        </w:rPr>
        <w:t>以</w:t>
      </w:r>
      <w:r w:rsidRPr="006A68A4">
        <w:rPr>
          <w:rFonts w:hint="eastAsia"/>
          <w:lang w:eastAsia="zh-CN"/>
        </w:rPr>
        <w:t>便成员就国际电联在保护</w:t>
      </w:r>
      <w:r>
        <w:rPr>
          <w:rFonts w:hint="eastAsia"/>
          <w:lang w:eastAsia="zh-CN"/>
        </w:rPr>
        <w:t>上网儿童</w:t>
      </w:r>
      <w:r w:rsidRPr="006A68A4">
        <w:rPr>
          <w:rFonts w:hint="eastAsia"/>
          <w:lang w:eastAsia="zh-CN"/>
        </w:rPr>
        <w:t>方面的作用提出输入意见和指导</w:t>
      </w:r>
      <w:r>
        <w:rPr>
          <w:rFonts w:hint="eastAsia"/>
          <w:lang w:eastAsia="zh-CN"/>
        </w:rPr>
        <w:t>，其职责范围如下：</w:t>
      </w:r>
    </w:p>
    <w:p w14:paraId="4827B3A5" w14:textId="77777777" w:rsidR="00F43CD8" w:rsidRPr="0088171E" w:rsidRDefault="005114E2" w:rsidP="00F43CD8">
      <w:pPr>
        <w:rPr>
          <w:lang w:eastAsia="zh-CN"/>
        </w:rPr>
      </w:pPr>
      <w:r>
        <w:rPr>
          <w:lang w:eastAsia="zh-CN"/>
        </w:rPr>
        <w:tab/>
      </w:r>
      <w:r w:rsidR="00F43CD8">
        <w:rPr>
          <w:lang w:eastAsia="zh-CN"/>
        </w:rPr>
        <w:t>1.1</w:t>
      </w:r>
      <w:r w:rsidR="00F43CD8">
        <w:rPr>
          <w:rFonts w:hint="eastAsia"/>
          <w:lang w:eastAsia="zh-CN"/>
        </w:rPr>
        <w:tab/>
      </w:r>
      <w:r w:rsidR="00F43CD8">
        <w:rPr>
          <w:rFonts w:hint="eastAsia"/>
          <w:lang w:eastAsia="zh-CN"/>
        </w:rPr>
        <w:t>交流看法，并推进有关该议题的工作；</w:t>
      </w:r>
    </w:p>
    <w:p w14:paraId="4827B3A6" w14:textId="77777777" w:rsidR="00F43CD8" w:rsidRDefault="005114E2" w:rsidP="00F43CD8">
      <w:pPr>
        <w:rPr>
          <w:lang w:eastAsia="zh-CN"/>
        </w:rPr>
      </w:pPr>
      <w:r>
        <w:rPr>
          <w:lang w:eastAsia="zh-CN"/>
        </w:rPr>
        <w:tab/>
      </w:r>
      <w:r w:rsidR="00F43CD8">
        <w:rPr>
          <w:lang w:eastAsia="zh-CN"/>
        </w:rPr>
        <w:t>1.2</w:t>
      </w:r>
      <w:r w:rsidR="00F43CD8">
        <w:rPr>
          <w:rFonts w:hint="eastAsia"/>
          <w:lang w:eastAsia="zh-CN"/>
        </w:rPr>
        <w:tab/>
      </w:r>
      <w:r w:rsidR="00F43CD8">
        <w:rPr>
          <w:rFonts w:hint="eastAsia"/>
          <w:lang w:eastAsia="zh-CN"/>
        </w:rPr>
        <w:t>每年向理事会报告该工作组的活动；</w:t>
      </w:r>
    </w:p>
    <w:p w14:paraId="4827B3A7" w14:textId="77777777" w:rsidR="00F43CD8" w:rsidRPr="00D450CF" w:rsidRDefault="00F43CD8" w:rsidP="00F43CD8">
      <w:pPr>
        <w:rPr>
          <w:szCs w:val="24"/>
          <w:lang w:eastAsia="zh-CN"/>
        </w:rPr>
      </w:pPr>
      <w:r w:rsidRPr="00D450CF">
        <w:rPr>
          <w:szCs w:val="24"/>
          <w:lang w:eastAsia="zh-CN"/>
        </w:rPr>
        <w:t>2</w:t>
      </w:r>
      <w:r w:rsidRPr="00D450CF">
        <w:rPr>
          <w:szCs w:val="24"/>
          <w:lang w:eastAsia="zh-CN"/>
        </w:rPr>
        <w:tab/>
      </w:r>
      <w:r>
        <w:rPr>
          <w:rFonts w:hint="eastAsia"/>
          <w:szCs w:val="24"/>
          <w:lang w:eastAsia="zh-CN"/>
        </w:rPr>
        <w:t>促进</w:t>
      </w:r>
      <w:r>
        <w:rPr>
          <w:rFonts w:hint="eastAsia"/>
          <w:lang w:eastAsia="zh-CN"/>
        </w:rPr>
        <w:t>所有相关利益攸关方均能参与</w:t>
      </w:r>
      <w:r>
        <w:rPr>
          <w:rFonts w:hint="eastAsia"/>
          <w:lang w:eastAsia="zh-CN"/>
        </w:rPr>
        <w:t>CWG</w:t>
      </w:r>
      <w:r>
        <w:rPr>
          <w:lang w:eastAsia="zh-CN"/>
        </w:rPr>
        <w:t xml:space="preserve"> COP</w:t>
      </w:r>
      <w:r>
        <w:rPr>
          <w:rFonts w:hint="eastAsia"/>
          <w:lang w:eastAsia="zh-CN"/>
        </w:rPr>
        <w:t>的</w:t>
      </w:r>
      <w:r>
        <w:rPr>
          <w:lang w:eastAsia="zh-CN"/>
        </w:rPr>
        <w:t>工作</w:t>
      </w:r>
      <w:r>
        <w:rPr>
          <w:rFonts w:hint="eastAsia"/>
          <w:lang w:eastAsia="zh-CN"/>
        </w:rPr>
        <w:t>并为之做出贡献，以便在落实第</w:t>
      </w:r>
      <w:r>
        <w:rPr>
          <w:rFonts w:hint="eastAsia"/>
          <w:lang w:eastAsia="zh-CN"/>
        </w:rPr>
        <w:t>179</w:t>
      </w:r>
      <w:r>
        <w:rPr>
          <w:rFonts w:hint="eastAsia"/>
          <w:lang w:eastAsia="zh-CN"/>
        </w:rPr>
        <w:t>号决议（</w:t>
      </w:r>
      <w:r>
        <w:rPr>
          <w:rFonts w:hint="eastAsia"/>
          <w:lang w:eastAsia="zh-CN"/>
        </w:rPr>
        <w:t>2014</w:t>
      </w:r>
      <w:r>
        <w:rPr>
          <w:rFonts w:hint="eastAsia"/>
          <w:lang w:eastAsia="zh-CN"/>
        </w:rPr>
        <w:t>年，釜山</w:t>
      </w:r>
      <w:r>
        <w:rPr>
          <w:lang w:eastAsia="zh-CN"/>
        </w:rPr>
        <w:t>，</w:t>
      </w:r>
      <w:r>
        <w:rPr>
          <w:rFonts w:hint="eastAsia"/>
          <w:lang w:eastAsia="zh-CN"/>
        </w:rPr>
        <w:t>修订版</w:t>
      </w:r>
      <w:r>
        <w:rPr>
          <w:lang w:eastAsia="zh-CN"/>
        </w:rPr>
        <w:t>）</w:t>
      </w:r>
      <w:r>
        <w:rPr>
          <w:rFonts w:hint="eastAsia"/>
          <w:lang w:eastAsia="zh-CN"/>
        </w:rPr>
        <w:t>过程中开展最大程度的协作；</w:t>
      </w:r>
    </w:p>
    <w:p w14:paraId="4827B3A8" w14:textId="77777777" w:rsidR="00F43CD8" w:rsidRPr="00D450CF" w:rsidRDefault="00F43CD8" w:rsidP="00F43CD8">
      <w:pPr>
        <w:rPr>
          <w:szCs w:val="24"/>
          <w:lang w:eastAsia="zh-CN"/>
        </w:rPr>
      </w:pPr>
      <w:r w:rsidRPr="00D450CF">
        <w:rPr>
          <w:szCs w:val="24"/>
          <w:lang w:eastAsia="zh-CN"/>
        </w:rPr>
        <w:t>3</w:t>
      </w:r>
      <w:r w:rsidRPr="00D450CF">
        <w:rPr>
          <w:szCs w:val="24"/>
          <w:lang w:eastAsia="zh-CN"/>
        </w:rPr>
        <w:tab/>
      </w:r>
      <w:r>
        <w:rPr>
          <w:rFonts w:hint="eastAsia"/>
          <w:lang w:eastAsia="zh-CN"/>
        </w:rPr>
        <w:t>鼓励</w:t>
      </w:r>
      <w:r w:rsidRPr="00D450CF">
        <w:rPr>
          <w:szCs w:val="24"/>
          <w:lang w:eastAsia="zh-CN"/>
        </w:rPr>
        <w:t>CWG-COP</w:t>
      </w:r>
      <w:r>
        <w:rPr>
          <w:rFonts w:asciiTheme="majorEastAsia" w:eastAsiaTheme="majorEastAsia" w:hAnsiTheme="majorEastAsia" w:cstheme="minorHAnsi" w:hint="eastAsia"/>
          <w:lang w:eastAsia="zh-CN"/>
        </w:rPr>
        <w:t>在其会议召开之前开展针对青年人的为期一天的在线磋商，以听取他们有关保护上网儿童各项事宜的意见和看法；</w:t>
      </w:r>
    </w:p>
    <w:p w14:paraId="4827B3A9" w14:textId="77777777" w:rsidR="00F43CD8" w:rsidRPr="00D450CF" w:rsidRDefault="00F43CD8" w:rsidP="00F43CD8">
      <w:pPr>
        <w:rPr>
          <w:szCs w:val="24"/>
          <w:lang w:eastAsia="zh-CN"/>
        </w:rPr>
      </w:pPr>
      <w:r w:rsidRPr="00D450CF">
        <w:rPr>
          <w:szCs w:val="24"/>
          <w:lang w:eastAsia="zh-CN"/>
        </w:rPr>
        <w:t>4</w:t>
      </w:r>
      <w:r w:rsidRPr="00D450CF">
        <w:rPr>
          <w:szCs w:val="24"/>
          <w:lang w:eastAsia="zh-CN"/>
        </w:rPr>
        <w:tab/>
      </w:r>
      <w:r w:rsidRPr="00C47566">
        <w:rPr>
          <w:rFonts w:hint="eastAsia"/>
          <w:lang w:eastAsia="zh-CN"/>
        </w:rPr>
        <w:t>继续不设密码地公开提供所有有关保护上网儿童问题的</w:t>
      </w:r>
      <w:r>
        <w:rPr>
          <w:rFonts w:hint="eastAsia"/>
          <w:lang w:eastAsia="zh-CN"/>
        </w:rPr>
        <w:t>输出</w:t>
      </w:r>
      <w:r w:rsidRPr="00C47566">
        <w:rPr>
          <w:rFonts w:hint="eastAsia"/>
          <w:lang w:eastAsia="zh-CN"/>
        </w:rPr>
        <w:t>文件</w:t>
      </w:r>
      <w:r>
        <w:rPr>
          <w:rFonts w:hint="eastAsia"/>
          <w:lang w:eastAsia="zh-CN"/>
        </w:rPr>
        <w:t>；</w:t>
      </w:r>
    </w:p>
    <w:p w14:paraId="4827B3AA" w14:textId="77777777" w:rsidR="00F43CD8" w:rsidRPr="00D450CF" w:rsidRDefault="00F43CD8" w:rsidP="00F43CD8">
      <w:pPr>
        <w:rPr>
          <w:szCs w:val="24"/>
          <w:lang w:eastAsia="zh-CN"/>
        </w:rPr>
      </w:pPr>
      <w:r w:rsidRPr="00D450CF">
        <w:rPr>
          <w:szCs w:val="24"/>
          <w:lang w:eastAsia="zh-CN"/>
        </w:rPr>
        <w:t>5</w:t>
      </w:r>
      <w:r w:rsidRPr="00D450CF">
        <w:rPr>
          <w:szCs w:val="24"/>
          <w:lang w:eastAsia="zh-CN"/>
        </w:rPr>
        <w:tab/>
      </w:r>
      <w:r>
        <w:rPr>
          <w:rFonts w:hint="eastAsia"/>
          <w:szCs w:val="24"/>
          <w:lang w:eastAsia="zh-CN"/>
        </w:rPr>
        <w:t>就围绕这些议题开展的活动和取得的成就编制最后报告草案，其中酌情包括供进一步考虑的建议，供理事会</w:t>
      </w:r>
      <w:r w:rsidRPr="00D450CF">
        <w:rPr>
          <w:szCs w:val="24"/>
          <w:lang w:eastAsia="zh-CN"/>
        </w:rPr>
        <w:t>2018</w:t>
      </w:r>
      <w:r>
        <w:rPr>
          <w:rFonts w:hint="eastAsia"/>
          <w:szCs w:val="24"/>
          <w:lang w:eastAsia="zh-CN"/>
        </w:rPr>
        <w:t>年会议审议，并提交</w:t>
      </w:r>
      <w:r w:rsidRPr="00D450CF">
        <w:rPr>
          <w:szCs w:val="24"/>
          <w:lang w:eastAsia="zh-CN"/>
        </w:rPr>
        <w:t>2018</w:t>
      </w:r>
      <w:r>
        <w:rPr>
          <w:rFonts w:hint="eastAsia"/>
          <w:szCs w:val="24"/>
          <w:lang w:eastAsia="zh-CN"/>
        </w:rPr>
        <w:t>年全权代表大会。</w:t>
      </w:r>
    </w:p>
    <w:p w14:paraId="4827B3AB" w14:textId="77777777" w:rsidR="00F43CD8" w:rsidRPr="000D569C" w:rsidRDefault="009D2116" w:rsidP="00F43CD8">
      <w:pPr>
        <w:pStyle w:val="Endtext"/>
        <w:rPr>
          <w:szCs w:val="22"/>
          <w:lang w:val="en-US" w:eastAsia="zh-CN"/>
        </w:rPr>
      </w:pPr>
      <w:r>
        <w:rPr>
          <w:rFonts w:ascii="STKaiti" w:hAnsi="SimSun" w:hint="eastAsia"/>
          <w:lang w:eastAsia="zh-CN"/>
        </w:rPr>
        <w:t>参阅：</w:t>
      </w:r>
      <w:r w:rsidR="000B3748">
        <w:rPr>
          <w:lang w:eastAsia="zh-CN"/>
        </w:rPr>
        <w:tab/>
      </w:r>
      <w:hyperlink r:id="rId297" w:history="1">
        <w:r w:rsidR="00F43CD8" w:rsidRPr="00705BD5">
          <w:rPr>
            <w:rStyle w:val="Hyperlink"/>
            <w:szCs w:val="22"/>
            <w:lang w:val="en-US" w:eastAsia="zh-CN"/>
          </w:rPr>
          <w:t>C09/108(Rev.1)</w:t>
        </w:r>
      </w:hyperlink>
      <w:r w:rsidR="00F43CD8">
        <w:rPr>
          <w:rFonts w:hint="eastAsia"/>
          <w:szCs w:val="22"/>
          <w:lang w:val="en-US" w:eastAsia="zh-CN"/>
        </w:rPr>
        <w:t>和</w:t>
      </w:r>
      <w:hyperlink r:id="rId298" w:history="1">
        <w:r w:rsidR="00F43CD8" w:rsidRPr="00705BD5">
          <w:rPr>
            <w:rStyle w:val="Hyperlink"/>
            <w:szCs w:val="22"/>
            <w:lang w:val="en-US" w:eastAsia="zh-CN"/>
          </w:rPr>
          <w:t>C09/120</w:t>
        </w:r>
      </w:hyperlink>
      <w:r w:rsidR="00510C29">
        <w:rPr>
          <w:rFonts w:hint="eastAsia"/>
          <w:szCs w:val="22"/>
          <w:lang w:val="en-US" w:eastAsia="zh-CN"/>
        </w:rPr>
        <w:t>、</w:t>
      </w:r>
      <w:hyperlink r:id="rId299" w:history="1">
        <w:r w:rsidR="00F43CD8" w:rsidRPr="00705BD5">
          <w:rPr>
            <w:rStyle w:val="Hyperlink"/>
            <w:szCs w:val="22"/>
            <w:lang w:val="en-US" w:eastAsia="zh-CN"/>
          </w:rPr>
          <w:t>C15/109</w:t>
        </w:r>
      </w:hyperlink>
      <w:r w:rsidR="00F43CD8">
        <w:rPr>
          <w:rFonts w:hint="eastAsia"/>
          <w:szCs w:val="22"/>
          <w:lang w:val="en-US" w:eastAsia="zh-CN"/>
        </w:rPr>
        <w:t>和</w:t>
      </w:r>
      <w:hyperlink r:id="rId300" w:history="1">
        <w:r w:rsidR="00F43CD8" w:rsidRPr="00705BD5">
          <w:rPr>
            <w:rStyle w:val="Hyperlink"/>
            <w:szCs w:val="22"/>
            <w:lang w:val="en-US" w:eastAsia="zh-CN"/>
          </w:rPr>
          <w:t>C15/102</w:t>
        </w:r>
      </w:hyperlink>
      <w:r w:rsidR="00F43CD8">
        <w:rPr>
          <w:rFonts w:hint="eastAsia"/>
          <w:szCs w:val="22"/>
          <w:lang w:val="en-US" w:eastAsia="zh-CN"/>
        </w:rPr>
        <w:t>号</w:t>
      </w:r>
      <w:r w:rsidR="00F43CD8">
        <w:rPr>
          <w:szCs w:val="22"/>
          <w:lang w:val="en-US" w:eastAsia="zh-CN"/>
        </w:rPr>
        <w:t>文件。</w:t>
      </w:r>
    </w:p>
    <w:p w14:paraId="4827B3AC" w14:textId="77777777" w:rsidR="00356C82" w:rsidRDefault="00356C82" w:rsidP="00356C82">
      <w:pPr>
        <w:jc w:val="center"/>
        <w:rPr>
          <w:lang w:eastAsia="zh-CN"/>
        </w:rPr>
      </w:pPr>
      <w:bookmarkStart w:id="1675" w:name="_Toc531706381"/>
      <w:bookmarkStart w:id="1676" w:name="_Toc531706983"/>
      <w:bookmarkStart w:id="1677" w:name="_Toc531768469"/>
      <w:bookmarkStart w:id="1678" w:name="_Toc424117031"/>
      <w:bookmarkStart w:id="1679" w:name="_Toc311469611"/>
      <w:r>
        <w:rPr>
          <w:lang w:eastAsia="zh-CN"/>
        </w:rPr>
        <w:t>______________</w:t>
      </w:r>
    </w:p>
    <w:p w14:paraId="4827B3AD" w14:textId="77777777" w:rsidR="003C22D4" w:rsidRDefault="003C22D4" w:rsidP="00CA7362">
      <w:pPr>
        <w:pStyle w:val="ResNo"/>
        <w:outlineLvl w:val="0"/>
        <w:rPr>
          <w:lang w:eastAsia="zh-CN"/>
        </w:rPr>
      </w:pPr>
      <w:bookmarkStart w:id="1680" w:name="_Toc16085789"/>
      <w:bookmarkStart w:id="1681" w:name="_Toc86395592"/>
      <w:bookmarkEnd w:id="1675"/>
      <w:bookmarkEnd w:id="1676"/>
      <w:bookmarkEnd w:id="1677"/>
      <w:bookmarkEnd w:id="1678"/>
      <w:bookmarkEnd w:id="1679"/>
      <w:r w:rsidRPr="00442851">
        <w:rPr>
          <w:rFonts w:hint="eastAsia"/>
          <w:lang w:eastAsia="zh-CN"/>
        </w:rPr>
        <w:t>第</w:t>
      </w:r>
      <w:r w:rsidRPr="00442851">
        <w:rPr>
          <w:lang w:eastAsia="zh-CN"/>
        </w:rPr>
        <w:t>1332</w:t>
      </w:r>
      <w:r w:rsidRPr="00442851">
        <w:rPr>
          <w:rFonts w:hint="eastAsia"/>
          <w:lang w:eastAsia="zh-CN"/>
        </w:rPr>
        <w:t>号决议（</w:t>
      </w:r>
      <w:r>
        <w:rPr>
          <w:rFonts w:hint="eastAsia"/>
          <w:lang w:eastAsia="zh-CN"/>
        </w:rPr>
        <w:t>C</w:t>
      </w:r>
      <w:r>
        <w:rPr>
          <w:lang w:eastAsia="zh-CN"/>
        </w:rPr>
        <w:t>11</w:t>
      </w:r>
      <w:r>
        <w:rPr>
          <w:rFonts w:hint="eastAsia"/>
          <w:lang w:eastAsia="zh-CN"/>
        </w:rPr>
        <w:t>，最后修正</w:t>
      </w:r>
      <w:r>
        <w:rPr>
          <w:lang w:eastAsia="zh-CN"/>
        </w:rPr>
        <w:t>C</w:t>
      </w:r>
      <w:r>
        <w:rPr>
          <w:rFonts w:hint="eastAsia"/>
          <w:lang w:eastAsia="zh-CN"/>
        </w:rPr>
        <w:t>19</w:t>
      </w:r>
      <w:r w:rsidRPr="00442851">
        <w:rPr>
          <w:rFonts w:hint="eastAsia"/>
          <w:lang w:eastAsia="zh-CN"/>
        </w:rPr>
        <w:t>）</w:t>
      </w:r>
      <w:bookmarkEnd w:id="1680"/>
      <w:bookmarkEnd w:id="1681"/>
    </w:p>
    <w:p w14:paraId="4827B3AE" w14:textId="77777777" w:rsidR="003C22D4" w:rsidRPr="00442851" w:rsidRDefault="003C22D4" w:rsidP="003C22D4">
      <w:pPr>
        <w:pStyle w:val="Restitle"/>
        <w:rPr>
          <w:lang w:eastAsia="zh-CN"/>
        </w:rPr>
      </w:pPr>
      <w:bookmarkStart w:id="1682" w:name="_Toc424563282"/>
      <w:bookmarkStart w:id="1683" w:name="_Toc460248145"/>
      <w:bookmarkStart w:id="1684" w:name="_Toc16085790"/>
      <w:bookmarkStart w:id="1685" w:name="_Toc86395593"/>
      <w:r w:rsidRPr="00442851">
        <w:rPr>
          <w:rFonts w:hint="eastAsia"/>
          <w:lang w:eastAsia="zh-CN"/>
        </w:rPr>
        <w:t>国际电联在落实信息社会世界峰会（</w:t>
      </w:r>
      <w:r w:rsidRPr="00442851">
        <w:rPr>
          <w:rFonts w:hint="eastAsia"/>
          <w:lang w:eastAsia="zh-CN"/>
        </w:rPr>
        <w:t>WSIS</w:t>
      </w:r>
      <w:r w:rsidRPr="00442851">
        <w:rPr>
          <w:rFonts w:hint="eastAsia"/>
          <w:lang w:eastAsia="zh-CN"/>
        </w:rPr>
        <w:t>）成果</w:t>
      </w:r>
      <w:r>
        <w:rPr>
          <w:rFonts w:hint="eastAsia"/>
          <w:lang w:eastAsia="zh-CN"/>
        </w:rPr>
        <w:t>和</w:t>
      </w:r>
      <w:r>
        <w:rPr>
          <w:lang w:eastAsia="zh-CN"/>
        </w:rPr>
        <w:br/>
      </w:r>
      <w:r w:rsidRPr="00442851">
        <w:rPr>
          <w:rFonts w:hint="eastAsia"/>
          <w:lang w:eastAsia="zh-CN"/>
        </w:rPr>
        <w:t>《</w:t>
      </w:r>
      <w:r w:rsidRPr="00442851">
        <w:rPr>
          <w:rFonts w:hint="eastAsia"/>
          <w:lang w:eastAsia="zh-CN"/>
        </w:rPr>
        <w:t>2030</w:t>
      </w:r>
      <w:r w:rsidRPr="00442851">
        <w:rPr>
          <w:rFonts w:hint="eastAsia"/>
          <w:lang w:eastAsia="zh-CN"/>
        </w:rPr>
        <w:t>年可持续发展议程》</w:t>
      </w:r>
      <w:bookmarkEnd w:id="1682"/>
      <w:bookmarkEnd w:id="1683"/>
      <w:r w:rsidRPr="00442851">
        <w:rPr>
          <w:rFonts w:hint="eastAsia"/>
          <w:lang w:eastAsia="zh-CN"/>
        </w:rPr>
        <w:t>方面的作用</w:t>
      </w:r>
      <w:bookmarkEnd w:id="1684"/>
      <w:bookmarkEnd w:id="1685"/>
    </w:p>
    <w:p w14:paraId="4827B3AF" w14:textId="77777777" w:rsidR="003C22D4" w:rsidRPr="00B465F3" w:rsidRDefault="003C22D4" w:rsidP="003C22D4">
      <w:pPr>
        <w:spacing w:before="360"/>
        <w:rPr>
          <w:rFonts w:eastAsiaTheme="minorEastAsia"/>
          <w:lang w:eastAsia="zh-CN"/>
        </w:rPr>
      </w:pPr>
      <w:r w:rsidRPr="00B465F3">
        <w:rPr>
          <w:rFonts w:eastAsiaTheme="minorEastAsia" w:cs="Microsoft YaHei"/>
          <w:lang w:eastAsia="zh-CN"/>
        </w:rPr>
        <w:t>理事会，</w:t>
      </w:r>
    </w:p>
    <w:p w14:paraId="4827B3B0" w14:textId="77777777" w:rsidR="003C22D4" w:rsidRPr="00D831F0" w:rsidRDefault="003C22D4" w:rsidP="003C22D4">
      <w:pPr>
        <w:pStyle w:val="Call"/>
        <w:rPr>
          <w:lang w:eastAsia="zh-CN"/>
        </w:rPr>
      </w:pPr>
      <w:bookmarkStart w:id="1686" w:name="Formula"/>
      <w:bookmarkStart w:id="1687" w:name="MainStory"/>
      <w:bookmarkEnd w:id="1686"/>
      <w:bookmarkEnd w:id="1687"/>
      <w:r w:rsidRPr="00D831F0">
        <w:rPr>
          <w:lang w:eastAsia="zh-CN"/>
        </w:rPr>
        <w:t>忆及</w:t>
      </w:r>
    </w:p>
    <w:p w14:paraId="4827B3B1" w14:textId="77777777" w:rsidR="003C22D4" w:rsidRPr="00B465F3" w:rsidRDefault="003C22D4" w:rsidP="003C22D4">
      <w:pPr>
        <w:rPr>
          <w:rFonts w:eastAsiaTheme="minorEastAsia"/>
          <w:lang w:eastAsia="zh-CN"/>
        </w:rPr>
      </w:pPr>
      <w:r w:rsidRPr="00930AD7">
        <w:rPr>
          <w:rFonts w:eastAsiaTheme="minorEastAsia"/>
          <w:i/>
          <w:iCs/>
          <w:lang w:eastAsia="zh-CN"/>
        </w:rPr>
        <w:t>a)</w:t>
      </w:r>
      <w:r w:rsidRPr="00B465F3">
        <w:rPr>
          <w:rFonts w:eastAsiaTheme="minorEastAsia"/>
          <w:lang w:eastAsia="zh-CN"/>
        </w:rPr>
        <w:tab/>
      </w:r>
      <w:r w:rsidRPr="00B465F3">
        <w:rPr>
          <w:rFonts w:eastAsiaTheme="minorEastAsia" w:cs="Microsoft YaHei"/>
          <w:lang w:eastAsia="zh-CN"/>
        </w:rPr>
        <w:t>关于国际电联在落实信息社会世界</w:t>
      </w:r>
      <w:r>
        <w:rPr>
          <w:rFonts w:eastAsiaTheme="minorEastAsia" w:cs="Microsoft YaHei" w:hint="eastAsia"/>
          <w:lang w:eastAsia="zh-CN"/>
        </w:rPr>
        <w:t>高</w:t>
      </w:r>
      <w:r>
        <w:rPr>
          <w:rFonts w:eastAsiaTheme="minorEastAsia" w:cs="Microsoft YaHei"/>
          <w:lang w:eastAsia="zh-CN"/>
        </w:rPr>
        <w:t>峰</w:t>
      </w:r>
      <w:r>
        <w:rPr>
          <w:rFonts w:eastAsiaTheme="minorEastAsia" w:cs="Microsoft YaHei" w:hint="eastAsia"/>
          <w:lang w:eastAsia="zh-CN"/>
        </w:rPr>
        <w:t>会议</w:t>
      </w:r>
      <w:r w:rsidRPr="00B465F3">
        <w:rPr>
          <w:rFonts w:eastAsiaTheme="minorEastAsia" w:cs="Microsoft YaHei"/>
          <w:lang w:eastAsia="zh-CN"/>
        </w:rPr>
        <w:t>（</w:t>
      </w:r>
      <w:r w:rsidRPr="00B465F3">
        <w:rPr>
          <w:rFonts w:eastAsiaTheme="minorEastAsia"/>
          <w:lang w:eastAsia="zh-CN"/>
        </w:rPr>
        <w:t>WSIS</w:t>
      </w:r>
      <w:r w:rsidRPr="00B465F3">
        <w:rPr>
          <w:rFonts w:eastAsiaTheme="minorEastAsia" w:cs="Microsoft YaHei"/>
          <w:lang w:eastAsia="zh-CN"/>
        </w:rPr>
        <w:t>）成果</w:t>
      </w:r>
      <w:r>
        <w:rPr>
          <w:rFonts w:hint="eastAsia"/>
          <w:lang w:eastAsia="zh-CN"/>
        </w:rPr>
        <w:t>和</w:t>
      </w:r>
      <w:r>
        <w:rPr>
          <w:rFonts w:hint="eastAsia"/>
          <w:lang w:eastAsia="zh-CN"/>
        </w:rPr>
        <w:t>2030</w:t>
      </w:r>
      <w:r>
        <w:rPr>
          <w:rFonts w:hint="eastAsia"/>
          <w:lang w:eastAsia="zh-CN"/>
        </w:rPr>
        <w:t>年可持续发展议程及其跟进和审查进程中</w:t>
      </w:r>
      <w:r w:rsidRPr="00B465F3">
        <w:rPr>
          <w:rFonts w:eastAsiaTheme="minorEastAsia" w:cs="Microsoft YaHei"/>
          <w:lang w:eastAsia="zh-CN"/>
        </w:rPr>
        <w:t>作用的第</w:t>
      </w:r>
      <w:r w:rsidRPr="00B465F3">
        <w:rPr>
          <w:rFonts w:eastAsiaTheme="minorEastAsia"/>
          <w:lang w:eastAsia="zh-CN"/>
        </w:rPr>
        <w:t>140</w:t>
      </w:r>
      <w:r w:rsidRPr="00B465F3">
        <w:rPr>
          <w:rFonts w:eastAsiaTheme="minorEastAsia" w:cs="Microsoft YaHei"/>
          <w:lang w:eastAsia="zh-CN"/>
        </w:rPr>
        <w:t>号决议（</w:t>
      </w:r>
      <w:r w:rsidRPr="00B465F3">
        <w:rPr>
          <w:rFonts w:eastAsiaTheme="minorEastAsia"/>
          <w:lang w:eastAsia="zh-CN"/>
        </w:rPr>
        <w:t>201</w:t>
      </w:r>
      <w:r>
        <w:rPr>
          <w:rFonts w:eastAsiaTheme="minorEastAsia" w:hint="eastAsia"/>
          <w:lang w:eastAsia="zh-CN"/>
        </w:rPr>
        <w:t>8</w:t>
      </w:r>
      <w:r w:rsidRPr="00B465F3">
        <w:rPr>
          <w:rFonts w:eastAsiaTheme="minorEastAsia" w:cs="Microsoft YaHei"/>
          <w:lang w:eastAsia="zh-CN"/>
        </w:rPr>
        <w:t>年，</w:t>
      </w:r>
      <w:r>
        <w:rPr>
          <w:rFonts w:eastAsiaTheme="minorEastAsia" w:cs="Microsoft YaHei" w:hint="eastAsia"/>
          <w:lang w:eastAsia="zh-CN"/>
        </w:rPr>
        <w:t>迪拜</w:t>
      </w:r>
      <w:r w:rsidRPr="00B465F3">
        <w:rPr>
          <w:rFonts w:eastAsiaTheme="minorEastAsia" w:cs="Microsoft YaHei"/>
          <w:lang w:eastAsia="zh-CN"/>
        </w:rPr>
        <w:t>，修订版）；</w:t>
      </w:r>
    </w:p>
    <w:p w14:paraId="4827B3B2" w14:textId="77777777" w:rsidR="003C22D4" w:rsidRPr="00B465F3" w:rsidRDefault="003C22D4" w:rsidP="003C22D4">
      <w:pPr>
        <w:rPr>
          <w:rFonts w:eastAsiaTheme="minorEastAsia"/>
          <w:lang w:eastAsia="zh-CN"/>
        </w:rPr>
      </w:pPr>
      <w:r w:rsidRPr="00930AD7">
        <w:rPr>
          <w:rFonts w:eastAsiaTheme="minorEastAsia"/>
          <w:i/>
          <w:iCs/>
          <w:lang w:eastAsia="zh-CN"/>
        </w:rPr>
        <w:t>b)</w:t>
      </w:r>
      <w:r w:rsidRPr="00B465F3">
        <w:rPr>
          <w:rFonts w:eastAsiaTheme="minorEastAsia"/>
          <w:lang w:eastAsia="zh-CN"/>
        </w:rPr>
        <w:tab/>
      </w:r>
      <w:r w:rsidRPr="00B465F3">
        <w:rPr>
          <w:rFonts w:eastAsiaTheme="minorEastAsia" w:cs="Microsoft YaHei"/>
          <w:lang w:eastAsia="zh-CN"/>
        </w:rPr>
        <w:t>关于将性别平等观点纳入国际电联</w:t>
      </w:r>
      <w:r>
        <w:rPr>
          <w:rFonts w:eastAsiaTheme="minorEastAsia" w:cs="Microsoft YaHei" w:hint="eastAsia"/>
          <w:lang w:eastAsia="zh-CN"/>
        </w:rPr>
        <w:t>的</w:t>
      </w:r>
      <w:r>
        <w:rPr>
          <w:rFonts w:eastAsiaTheme="minorEastAsia" w:cs="Microsoft YaHei"/>
          <w:lang w:eastAsia="zh-CN"/>
        </w:rPr>
        <w:t>主要</w:t>
      </w:r>
      <w:r w:rsidRPr="00B465F3">
        <w:rPr>
          <w:rFonts w:eastAsiaTheme="minorEastAsia" w:cs="Microsoft YaHei"/>
          <w:lang w:eastAsia="zh-CN"/>
        </w:rPr>
        <w:t>工作、促进性别平等并通过信息通信技术</w:t>
      </w:r>
      <w:r>
        <w:rPr>
          <w:rFonts w:eastAsiaTheme="minorEastAsia" w:cs="Microsoft YaHei" w:hint="eastAsia"/>
          <w:lang w:eastAsia="zh-CN"/>
        </w:rPr>
        <w:t>增强</w:t>
      </w:r>
      <w:r w:rsidRPr="00B465F3">
        <w:rPr>
          <w:rFonts w:eastAsiaTheme="minorEastAsia" w:cs="Microsoft YaHei"/>
          <w:lang w:eastAsia="zh-CN"/>
        </w:rPr>
        <w:t>女</w:t>
      </w:r>
      <w:r>
        <w:rPr>
          <w:rFonts w:eastAsiaTheme="minorEastAsia" w:cs="Microsoft YaHei" w:hint="eastAsia"/>
          <w:lang w:eastAsia="zh-CN"/>
        </w:rPr>
        <w:t>性</w:t>
      </w:r>
      <w:r w:rsidRPr="00B465F3">
        <w:rPr>
          <w:rFonts w:eastAsiaTheme="minorEastAsia" w:cs="Microsoft YaHei"/>
          <w:lang w:eastAsia="zh-CN"/>
        </w:rPr>
        <w:t>权能的第</w:t>
      </w:r>
      <w:r w:rsidRPr="00B465F3">
        <w:rPr>
          <w:rFonts w:eastAsiaTheme="minorEastAsia"/>
          <w:lang w:eastAsia="zh-CN"/>
        </w:rPr>
        <w:t>70</w:t>
      </w:r>
      <w:r w:rsidRPr="00B465F3">
        <w:rPr>
          <w:rFonts w:eastAsiaTheme="minorEastAsia" w:cs="Microsoft YaHei"/>
          <w:lang w:eastAsia="zh-CN"/>
        </w:rPr>
        <w:t>号决议（</w:t>
      </w:r>
      <w:r w:rsidRPr="00B465F3">
        <w:rPr>
          <w:rFonts w:eastAsiaTheme="minorEastAsia"/>
          <w:lang w:eastAsia="zh-CN"/>
        </w:rPr>
        <w:t>201</w:t>
      </w:r>
      <w:r>
        <w:rPr>
          <w:rFonts w:eastAsiaTheme="minorEastAsia"/>
          <w:lang w:eastAsia="zh-CN"/>
        </w:rPr>
        <w:t>8</w:t>
      </w:r>
      <w:r w:rsidRPr="00B465F3">
        <w:rPr>
          <w:rFonts w:eastAsiaTheme="minorEastAsia" w:cs="Microsoft YaHei"/>
          <w:lang w:eastAsia="zh-CN"/>
        </w:rPr>
        <w:t>年，</w:t>
      </w:r>
      <w:r>
        <w:rPr>
          <w:rFonts w:eastAsiaTheme="minorEastAsia" w:cs="Microsoft YaHei" w:hint="eastAsia"/>
          <w:lang w:eastAsia="zh-CN"/>
        </w:rPr>
        <w:t>迪拜</w:t>
      </w:r>
      <w:r w:rsidRPr="00B465F3">
        <w:rPr>
          <w:rFonts w:eastAsiaTheme="minorEastAsia" w:cs="Microsoft YaHei"/>
          <w:lang w:eastAsia="zh-CN"/>
        </w:rPr>
        <w:t>，修订版）；</w:t>
      </w:r>
    </w:p>
    <w:p w14:paraId="4827B3B3" w14:textId="77777777" w:rsidR="003C22D4" w:rsidRPr="00B465F3" w:rsidRDefault="003C22D4" w:rsidP="003C22D4">
      <w:pPr>
        <w:rPr>
          <w:rFonts w:eastAsiaTheme="minorEastAsia"/>
          <w:lang w:eastAsia="zh-CN"/>
        </w:rPr>
      </w:pPr>
      <w:r w:rsidRPr="00930AD7">
        <w:rPr>
          <w:rFonts w:eastAsiaTheme="minorEastAsia"/>
          <w:i/>
          <w:iCs/>
          <w:lang w:eastAsia="zh-CN"/>
        </w:rPr>
        <w:t>c)</w:t>
      </w:r>
      <w:r w:rsidRPr="00B465F3">
        <w:rPr>
          <w:rFonts w:eastAsiaTheme="minorEastAsia"/>
          <w:lang w:eastAsia="zh-CN"/>
        </w:rPr>
        <w:tab/>
      </w:r>
      <w:r w:rsidRPr="00B465F3">
        <w:rPr>
          <w:rFonts w:eastAsiaTheme="minorEastAsia" w:cs="Microsoft YaHei"/>
          <w:lang w:eastAsia="zh-CN"/>
        </w:rPr>
        <w:t>关于国际电联在</w:t>
      </w:r>
      <w:r>
        <w:rPr>
          <w:rFonts w:eastAsiaTheme="minorEastAsia" w:cs="Microsoft YaHei" w:hint="eastAsia"/>
          <w:lang w:eastAsia="zh-CN"/>
        </w:rPr>
        <w:t>有关</w:t>
      </w:r>
      <w:r w:rsidRPr="00B465F3">
        <w:rPr>
          <w:rFonts w:eastAsiaTheme="minorEastAsia" w:cs="Microsoft YaHei"/>
          <w:lang w:eastAsia="zh-CN"/>
        </w:rPr>
        <w:t>互联网和互联网资源</w:t>
      </w:r>
      <w:r>
        <w:rPr>
          <w:rFonts w:eastAsiaTheme="minorEastAsia" w:cs="Microsoft YaHei" w:hint="eastAsia"/>
          <w:lang w:eastAsia="zh-CN"/>
        </w:rPr>
        <w:t>（</w:t>
      </w:r>
      <w:r>
        <w:rPr>
          <w:rFonts w:eastAsiaTheme="minorEastAsia" w:cs="Microsoft YaHei"/>
          <w:lang w:eastAsia="zh-CN"/>
        </w:rPr>
        <w:t>包括</w:t>
      </w:r>
      <w:r w:rsidRPr="00B465F3">
        <w:rPr>
          <w:rFonts w:eastAsiaTheme="minorEastAsia" w:cs="Microsoft YaHei"/>
          <w:lang w:eastAsia="zh-CN"/>
        </w:rPr>
        <w:t>域名</w:t>
      </w:r>
      <w:r>
        <w:rPr>
          <w:rFonts w:eastAsiaTheme="minorEastAsia" w:cs="Microsoft YaHei" w:hint="eastAsia"/>
          <w:lang w:eastAsia="zh-CN"/>
        </w:rPr>
        <w:t>和</w:t>
      </w:r>
      <w:r w:rsidRPr="00B465F3">
        <w:rPr>
          <w:rFonts w:eastAsiaTheme="minorEastAsia" w:cs="Microsoft YaHei"/>
          <w:lang w:eastAsia="zh-CN"/>
        </w:rPr>
        <w:t>地址</w:t>
      </w:r>
      <w:r>
        <w:rPr>
          <w:rFonts w:eastAsiaTheme="minorEastAsia" w:cs="Microsoft YaHei" w:hint="eastAsia"/>
          <w:lang w:eastAsia="zh-CN"/>
        </w:rPr>
        <w:t>）</w:t>
      </w:r>
      <w:r w:rsidRPr="00B465F3">
        <w:rPr>
          <w:rFonts w:eastAsiaTheme="minorEastAsia" w:cs="Microsoft YaHei"/>
          <w:lang w:eastAsia="zh-CN"/>
        </w:rPr>
        <w:t>管理的国际公共政策</w:t>
      </w:r>
      <w:r>
        <w:rPr>
          <w:rFonts w:eastAsiaTheme="minorEastAsia" w:cs="Microsoft YaHei" w:hint="eastAsia"/>
          <w:lang w:eastAsia="zh-CN"/>
        </w:rPr>
        <w:t>问题</w:t>
      </w:r>
      <w:r>
        <w:rPr>
          <w:rFonts w:eastAsiaTheme="minorEastAsia" w:cs="Microsoft YaHei"/>
          <w:lang w:eastAsia="zh-CN"/>
        </w:rPr>
        <w:t>方面</w:t>
      </w:r>
      <w:r w:rsidRPr="00B465F3">
        <w:rPr>
          <w:rFonts w:eastAsiaTheme="minorEastAsia" w:cs="Microsoft YaHei"/>
          <w:lang w:eastAsia="zh-CN"/>
        </w:rPr>
        <w:t>作用的第</w:t>
      </w:r>
      <w:r w:rsidRPr="00B465F3">
        <w:rPr>
          <w:rFonts w:eastAsiaTheme="minorEastAsia"/>
          <w:lang w:eastAsia="zh-CN"/>
        </w:rPr>
        <w:t>102</w:t>
      </w:r>
      <w:r w:rsidRPr="00B465F3">
        <w:rPr>
          <w:rFonts w:eastAsiaTheme="minorEastAsia" w:cs="Microsoft YaHei"/>
          <w:lang w:eastAsia="zh-CN"/>
        </w:rPr>
        <w:t>号决议（</w:t>
      </w:r>
      <w:r w:rsidRPr="00B465F3">
        <w:rPr>
          <w:rFonts w:eastAsiaTheme="minorEastAsia"/>
          <w:lang w:eastAsia="zh-CN"/>
        </w:rPr>
        <w:t>201</w:t>
      </w:r>
      <w:r>
        <w:rPr>
          <w:rFonts w:eastAsiaTheme="minorEastAsia"/>
          <w:lang w:eastAsia="zh-CN"/>
        </w:rPr>
        <w:t>8</w:t>
      </w:r>
      <w:r w:rsidRPr="00B465F3">
        <w:rPr>
          <w:rFonts w:eastAsiaTheme="minorEastAsia" w:cs="Microsoft YaHei"/>
          <w:lang w:eastAsia="zh-CN"/>
        </w:rPr>
        <w:t>年，</w:t>
      </w:r>
      <w:r>
        <w:rPr>
          <w:rFonts w:eastAsiaTheme="minorEastAsia" w:cs="Microsoft YaHei" w:hint="eastAsia"/>
          <w:lang w:eastAsia="zh-CN"/>
        </w:rPr>
        <w:t>迪拜</w:t>
      </w:r>
      <w:r w:rsidRPr="00B465F3">
        <w:rPr>
          <w:rFonts w:eastAsiaTheme="minorEastAsia" w:cs="Microsoft YaHei"/>
          <w:lang w:eastAsia="zh-CN"/>
        </w:rPr>
        <w:t>，修订版）；</w:t>
      </w:r>
    </w:p>
    <w:p w14:paraId="4827B3B4" w14:textId="77777777" w:rsidR="003C22D4" w:rsidRPr="00B465F3" w:rsidRDefault="003C22D4" w:rsidP="003C22D4">
      <w:pPr>
        <w:rPr>
          <w:rFonts w:eastAsiaTheme="minorEastAsia"/>
          <w:lang w:eastAsia="zh-CN"/>
        </w:rPr>
      </w:pPr>
      <w:r w:rsidRPr="00930AD7">
        <w:rPr>
          <w:rFonts w:eastAsiaTheme="minorEastAsia"/>
          <w:i/>
          <w:iCs/>
          <w:lang w:eastAsia="zh-CN"/>
        </w:rPr>
        <w:t>d)</w:t>
      </w:r>
      <w:r w:rsidRPr="00B465F3">
        <w:rPr>
          <w:rFonts w:eastAsiaTheme="minorEastAsia"/>
          <w:lang w:eastAsia="zh-CN"/>
        </w:rPr>
        <w:tab/>
      </w:r>
      <w:r w:rsidRPr="00B465F3">
        <w:rPr>
          <w:rFonts w:eastAsiaTheme="minorEastAsia" w:cs="Microsoft YaHei"/>
          <w:lang w:eastAsia="zh-CN"/>
        </w:rPr>
        <w:t>关于残疾人和有具体需求人士无障碍</w:t>
      </w:r>
      <w:r>
        <w:rPr>
          <w:rFonts w:eastAsiaTheme="minorEastAsia" w:cs="Microsoft YaHei" w:hint="eastAsia"/>
          <w:lang w:eastAsia="zh-CN"/>
        </w:rPr>
        <w:t>地</w:t>
      </w:r>
      <w:r w:rsidRPr="00B465F3">
        <w:rPr>
          <w:rFonts w:eastAsiaTheme="minorEastAsia" w:cs="Microsoft YaHei"/>
          <w:lang w:eastAsia="zh-CN"/>
        </w:rPr>
        <w:t>获取电信</w:t>
      </w:r>
      <w:r w:rsidRPr="00B465F3">
        <w:rPr>
          <w:rFonts w:eastAsiaTheme="minorEastAsia"/>
          <w:lang w:eastAsia="zh-CN"/>
        </w:rPr>
        <w:t>/</w:t>
      </w:r>
      <w:r w:rsidRPr="00B465F3">
        <w:rPr>
          <w:rFonts w:eastAsiaTheme="minorEastAsia" w:cs="Microsoft YaHei"/>
          <w:lang w:eastAsia="zh-CN"/>
        </w:rPr>
        <w:t>信息通信技术（</w:t>
      </w:r>
      <w:r w:rsidRPr="00B465F3">
        <w:rPr>
          <w:rFonts w:eastAsiaTheme="minorEastAsia"/>
          <w:lang w:eastAsia="zh-CN"/>
        </w:rPr>
        <w:t>ICT</w:t>
      </w:r>
      <w:r w:rsidRPr="00B465F3">
        <w:rPr>
          <w:rFonts w:eastAsiaTheme="minorEastAsia" w:cs="Microsoft YaHei"/>
          <w:lang w:eastAsia="zh-CN"/>
        </w:rPr>
        <w:t>）的全权代表大会第</w:t>
      </w:r>
      <w:r w:rsidRPr="00B465F3">
        <w:rPr>
          <w:rFonts w:eastAsiaTheme="minorEastAsia"/>
          <w:lang w:eastAsia="zh-CN"/>
        </w:rPr>
        <w:t>175</w:t>
      </w:r>
      <w:r w:rsidRPr="00B465F3">
        <w:rPr>
          <w:rFonts w:eastAsiaTheme="minorEastAsia" w:cs="Microsoft YaHei"/>
          <w:lang w:eastAsia="zh-CN"/>
        </w:rPr>
        <w:t>号决议（</w:t>
      </w:r>
      <w:r w:rsidRPr="00B465F3">
        <w:rPr>
          <w:rFonts w:eastAsiaTheme="minorEastAsia"/>
          <w:lang w:eastAsia="zh-CN"/>
        </w:rPr>
        <w:t>201</w:t>
      </w:r>
      <w:r>
        <w:rPr>
          <w:rFonts w:eastAsiaTheme="minorEastAsia"/>
          <w:lang w:eastAsia="zh-CN"/>
        </w:rPr>
        <w:t>8</w:t>
      </w:r>
      <w:r w:rsidRPr="00B465F3">
        <w:rPr>
          <w:rFonts w:eastAsiaTheme="minorEastAsia" w:cs="Microsoft YaHei"/>
          <w:lang w:eastAsia="zh-CN"/>
        </w:rPr>
        <w:t>年，</w:t>
      </w:r>
      <w:r>
        <w:rPr>
          <w:rFonts w:eastAsiaTheme="minorEastAsia" w:cs="Microsoft YaHei" w:hint="eastAsia"/>
          <w:lang w:eastAsia="zh-CN"/>
        </w:rPr>
        <w:t>迪拜</w:t>
      </w:r>
      <w:r w:rsidRPr="00B465F3">
        <w:rPr>
          <w:rFonts w:eastAsiaTheme="minorEastAsia" w:cs="Microsoft YaHei"/>
          <w:lang w:eastAsia="zh-CN"/>
        </w:rPr>
        <w:t>，修订版）；</w:t>
      </w:r>
    </w:p>
    <w:p w14:paraId="4827B3B5" w14:textId="77777777" w:rsidR="003C22D4" w:rsidRPr="00B465F3" w:rsidRDefault="003C22D4" w:rsidP="003C22D4">
      <w:pPr>
        <w:rPr>
          <w:rFonts w:eastAsiaTheme="minorEastAsia"/>
          <w:lang w:eastAsia="zh-CN"/>
        </w:rPr>
      </w:pPr>
      <w:r w:rsidRPr="00930AD7">
        <w:rPr>
          <w:rFonts w:eastAsiaTheme="minorEastAsia"/>
          <w:i/>
          <w:iCs/>
          <w:lang w:eastAsia="zh-CN"/>
        </w:rPr>
        <w:t>e)</w:t>
      </w:r>
      <w:r w:rsidRPr="00B465F3">
        <w:rPr>
          <w:rFonts w:eastAsiaTheme="minorEastAsia"/>
          <w:lang w:eastAsia="zh-CN"/>
        </w:rPr>
        <w:tab/>
      </w:r>
      <w:r w:rsidRPr="00B465F3">
        <w:rPr>
          <w:rFonts w:eastAsiaTheme="minorEastAsia" w:cs="Microsoft YaHei"/>
          <w:lang w:eastAsia="zh-CN"/>
        </w:rPr>
        <w:t>关于</w:t>
      </w:r>
      <w:r>
        <w:rPr>
          <w:rFonts w:eastAsiaTheme="minorEastAsia" w:cs="Microsoft YaHei" w:hint="eastAsia"/>
          <w:lang w:eastAsia="zh-CN"/>
        </w:rPr>
        <w:t>为</w:t>
      </w:r>
      <w:r w:rsidRPr="00B465F3">
        <w:rPr>
          <w:rFonts w:eastAsiaTheme="minorEastAsia" w:cs="Microsoft YaHei"/>
          <w:lang w:eastAsia="zh-CN"/>
        </w:rPr>
        <w:t>促进</w:t>
      </w:r>
      <w:r>
        <w:rPr>
          <w:rFonts w:hint="eastAsia"/>
          <w:lang w:eastAsia="zh-CN"/>
        </w:rPr>
        <w:t>可持续发展实现（包括宽带在内的）</w:t>
      </w:r>
      <w:r w:rsidRPr="00B465F3">
        <w:rPr>
          <w:rFonts w:eastAsiaTheme="minorEastAsia" w:cs="Microsoft YaHei"/>
          <w:lang w:eastAsia="zh-CN"/>
        </w:rPr>
        <w:t>全球电信</w:t>
      </w:r>
      <w:r w:rsidRPr="00B465F3">
        <w:rPr>
          <w:rFonts w:eastAsiaTheme="minorEastAsia"/>
          <w:lang w:eastAsia="zh-CN"/>
        </w:rPr>
        <w:t>/</w:t>
      </w:r>
      <w:r w:rsidRPr="00B465F3">
        <w:rPr>
          <w:rFonts w:eastAsiaTheme="minorEastAsia" w:cs="Microsoft YaHei"/>
          <w:lang w:eastAsia="zh-CN"/>
        </w:rPr>
        <w:t>信息通信技术</w:t>
      </w:r>
      <w:r w:rsidRPr="00CC36B8">
        <w:rPr>
          <w:rFonts w:ascii="SimSun" w:hAnsi="SimSun" w:cs="Calibri"/>
          <w:lang w:eastAsia="zh-CN"/>
        </w:rPr>
        <w:t>“</w:t>
      </w:r>
      <w:r w:rsidRPr="00B465F3">
        <w:rPr>
          <w:rFonts w:eastAsiaTheme="minorEastAsia" w:cs="Microsoft YaHei"/>
          <w:lang w:eastAsia="zh-CN"/>
        </w:rPr>
        <w:t>连通目标</w:t>
      </w:r>
      <w:r w:rsidRPr="00B465F3">
        <w:rPr>
          <w:rFonts w:eastAsiaTheme="minorEastAsia"/>
          <w:lang w:eastAsia="zh-CN"/>
        </w:rPr>
        <w:t>2020</w:t>
      </w:r>
      <w:r w:rsidRPr="00CC36B8">
        <w:rPr>
          <w:rFonts w:ascii="SimSun" w:hAnsi="SimSun" w:cs="Calibri"/>
          <w:lang w:eastAsia="zh-CN"/>
        </w:rPr>
        <w:t>”</w:t>
      </w:r>
      <w:r w:rsidRPr="00B465F3">
        <w:rPr>
          <w:rFonts w:eastAsiaTheme="minorEastAsia" w:cs="Microsoft YaHei"/>
          <w:lang w:eastAsia="zh-CN"/>
        </w:rPr>
        <w:t>议程的全权代表大会第</w:t>
      </w:r>
      <w:r w:rsidRPr="00B465F3">
        <w:rPr>
          <w:rFonts w:eastAsiaTheme="minorEastAsia"/>
          <w:lang w:eastAsia="zh-CN"/>
        </w:rPr>
        <w:t>200</w:t>
      </w:r>
      <w:r w:rsidRPr="00B465F3">
        <w:rPr>
          <w:rFonts w:eastAsiaTheme="minorEastAsia" w:cs="Microsoft YaHei"/>
          <w:lang w:eastAsia="zh-CN"/>
        </w:rPr>
        <w:t>号决议（</w:t>
      </w:r>
      <w:r w:rsidRPr="00B465F3">
        <w:rPr>
          <w:rFonts w:eastAsiaTheme="minorEastAsia"/>
          <w:lang w:eastAsia="zh-CN"/>
        </w:rPr>
        <w:t>201</w:t>
      </w:r>
      <w:r>
        <w:rPr>
          <w:rFonts w:eastAsiaTheme="minorEastAsia"/>
          <w:lang w:eastAsia="zh-CN"/>
        </w:rPr>
        <w:t>8</w:t>
      </w:r>
      <w:r w:rsidRPr="00B465F3">
        <w:rPr>
          <w:rFonts w:eastAsiaTheme="minorEastAsia" w:cs="Microsoft YaHei"/>
          <w:lang w:eastAsia="zh-CN"/>
        </w:rPr>
        <w:t>年，</w:t>
      </w:r>
      <w:r>
        <w:rPr>
          <w:rFonts w:eastAsiaTheme="minorEastAsia" w:cs="Microsoft YaHei" w:hint="eastAsia"/>
          <w:lang w:eastAsia="zh-CN"/>
        </w:rPr>
        <w:t>迪拜，修订版</w:t>
      </w:r>
      <w:r w:rsidRPr="00B465F3">
        <w:rPr>
          <w:rFonts w:eastAsiaTheme="minorEastAsia" w:cs="Microsoft YaHei"/>
          <w:lang w:eastAsia="zh-CN"/>
        </w:rPr>
        <w:t>）；</w:t>
      </w:r>
    </w:p>
    <w:p w14:paraId="4827B3B6" w14:textId="77777777" w:rsidR="0082299F" w:rsidRDefault="0082299F">
      <w:pPr>
        <w:tabs>
          <w:tab w:val="clear" w:pos="794"/>
          <w:tab w:val="clear" w:pos="1191"/>
          <w:tab w:val="clear" w:pos="1588"/>
          <w:tab w:val="clear" w:pos="1985"/>
        </w:tabs>
        <w:overflowPunct/>
        <w:autoSpaceDE/>
        <w:autoSpaceDN/>
        <w:adjustRightInd/>
        <w:spacing w:before="0"/>
        <w:jc w:val="left"/>
        <w:textAlignment w:val="auto"/>
        <w:rPr>
          <w:i/>
          <w:iCs/>
          <w:szCs w:val="24"/>
          <w:lang w:eastAsia="zh-CN"/>
        </w:rPr>
      </w:pPr>
      <w:r>
        <w:rPr>
          <w:i/>
          <w:iCs/>
          <w:szCs w:val="24"/>
          <w:lang w:eastAsia="zh-CN"/>
        </w:rPr>
        <w:br w:type="page"/>
      </w:r>
    </w:p>
    <w:p w14:paraId="4827B3B7" w14:textId="77777777" w:rsidR="003C22D4" w:rsidRDefault="003C22D4" w:rsidP="003C22D4">
      <w:pPr>
        <w:rPr>
          <w:szCs w:val="24"/>
          <w:lang w:eastAsia="zh-CN"/>
        </w:rPr>
      </w:pPr>
      <w:r w:rsidRPr="00DE0E4B">
        <w:rPr>
          <w:i/>
          <w:iCs/>
          <w:szCs w:val="24"/>
          <w:lang w:eastAsia="zh-CN"/>
        </w:rPr>
        <w:lastRenderedPageBreak/>
        <w:t>f)</w:t>
      </w:r>
      <w:r>
        <w:rPr>
          <w:szCs w:val="24"/>
          <w:lang w:eastAsia="zh-CN"/>
        </w:rPr>
        <w:tab/>
      </w:r>
      <w:r>
        <w:rPr>
          <w:rFonts w:eastAsiaTheme="minorEastAsia" w:hint="eastAsia"/>
          <w:lang w:eastAsia="zh-CN"/>
        </w:rPr>
        <w:t>有关国际电联各部门在落实</w:t>
      </w:r>
      <w:r>
        <w:rPr>
          <w:rFonts w:eastAsiaTheme="minorEastAsia" w:hint="eastAsia"/>
          <w:lang w:eastAsia="zh-CN"/>
        </w:rPr>
        <w:t>W</w:t>
      </w:r>
      <w:r>
        <w:rPr>
          <w:rFonts w:eastAsiaTheme="minorEastAsia"/>
          <w:lang w:eastAsia="zh-CN"/>
        </w:rPr>
        <w:t>SIS</w:t>
      </w:r>
      <w:r>
        <w:rPr>
          <w:rFonts w:eastAsiaTheme="minorEastAsia" w:hint="eastAsia"/>
          <w:lang w:eastAsia="zh-CN"/>
        </w:rPr>
        <w:t>成果和</w:t>
      </w:r>
      <w:r>
        <w:rPr>
          <w:rFonts w:eastAsiaTheme="minorEastAsia" w:hint="eastAsia"/>
          <w:lang w:eastAsia="zh-CN"/>
        </w:rPr>
        <w:t>2030</w:t>
      </w:r>
      <w:r>
        <w:rPr>
          <w:rFonts w:eastAsiaTheme="minorEastAsia" w:hint="eastAsia"/>
          <w:lang w:eastAsia="zh-CN"/>
        </w:rPr>
        <w:t>年可持续发展议程方面作用的各相关部门决议；</w:t>
      </w:r>
    </w:p>
    <w:p w14:paraId="4827B3B8" w14:textId="77777777" w:rsidR="003C22D4" w:rsidRPr="00B465F3" w:rsidRDefault="003C22D4" w:rsidP="003C22D4">
      <w:pPr>
        <w:rPr>
          <w:rFonts w:eastAsiaTheme="minorEastAsia"/>
          <w:lang w:eastAsia="zh-CN"/>
        </w:rPr>
      </w:pPr>
      <w:r>
        <w:rPr>
          <w:rFonts w:eastAsiaTheme="minorEastAsia"/>
          <w:i/>
          <w:iCs/>
          <w:lang w:eastAsia="zh-CN"/>
        </w:rPr>
        <w:t>g</w:t>
      </w:r>
      <w:r w:rsidRPr="00930AD7">
        <w:rPr>
          <w:rFonts w:eastAsiaTheme="minorEastAsia"/>
          <w:i/>
          <w:iCs/>
          <w:lang w:eastAsia="zh-CN"/>
        </w:rPr>
        <w:t>)</w:t>
      </w:r>
      <w:r w:rsidRPr="00B465F3">
        <w:rPr>
          <w:rFonts w:eastAsiaTheme="minorEastAsia"/>
          <w:lang w:eastAsia="zh-CN"/>
        </w:rPr>
        <w:tab/>
      </w:r>
      <w:r w:rsidRPr="00B465F3">
        <w:rPr>
          <w:rFonts w:eastAsiaTheme="minorEastAsia" w:cs="Microsoft YaHei"/>
          <w:lang w:eastAsia="zh-CN"/>
        </w:rPr>
        <w:t>联合国大会第</w:t>
      </w:r>
      <w:r w:rsidRPr="00D956AC">
        <w:rPr>
          <w:lang w:val="fr-CH" w:eastAsia="zh-CN"/>
        </w:rPr>
        <w:t>A/70/125</w:t>
      </w:r>
      <w:r w:rsidRPr="00B465F3">
        <w:rPr>
          <w:rFonts w:eastAsiaTheme="minorEastAsia" w:cs="Microsoft YaHei"/>
          <w:lang w:eastAsia="zh-CN"/>
        </w:rPr>
        <w:t>号决议</w:t>
      </w:r>
      <w:r>
        <w:rPr>
          <w:rFonts w:eastAsiaTheme="minorEastAsia" w:cs="Microsoft YaHei" w:hint="eastAsia"/>
          <w:lang w:eastAsia="zh-CN"/>
        </w:rPr>
        <w:t>“有关</w:t>
      </w:r>
      <w:r w:rsidRPr="00B465F3">
        <w:rPr>
          <w:rFonts w:eastAsiaTheme="minorEastAsia" w:cs="Microsoft YaHei"/>
          <w:lang w:eastAsia="zh-CN"/>
        </w:rPr>
        <w:t>联合国大会信息社会世界峰会成果落实全面审查高级别会议的成果文件</w:t>
      </w:r>
      <w:r>
        <w:rPr>
          <w:rFonts w:eastAsiaTheme="minorEastAsia" w:cs="Microsoft YaHei" w:hint="eastAsia"/>
          <w:lang w:eastAsia="zh-CN"/>
        </w:rPr>
        <w:t>”</w:t>
      </w:r>
      <w:r w:rsidRPr="00B465F3">
        <w:rPr>
          <w:rFonts w:eastAsiaTheme="minorEastAsia" w:cs="Microsoft YaHei"/>
          <w:lang w:eastAsia="zh-CN"/>
        </w:rPr>
        <w:t>；</w:t>
      </w:r>
    </w:p>
    <w:p w14:paraId="4827B3B9" w14:textId="77777777" w:rsidR="003C22D4" w:rsidRPr="00B465F3" w:rsidRDefault="003C22D4" w:rsidP="003C22D4">
      <w:pPr>
        <w:rPr>
          <w:rFonts w:eastAsiaTheme="minorEastAsia"/>
          <w:lang w:eastAsia="zh-CN"/>
        </w:rPr>
      </w:pPr>
      <w:r>
        <w:rPr>
          <w:rFonts w:eastAsiaTheme="minorEastAsia"/>
          <w:i/>
          <w:iCs/>
          <w:lang w:eastAsia="zh-CN"/>
        </w:rPr>
        <w:t>h</w:t>
      </w:r>
      <w:r w:rsidRPr="00930AD7">
        <w:rPr>
          <w:rFonts w:eastAsiaTheme="minorEastAsia"/>
          <w:i/>
          <w:iCs/>
          <w:lang w:eastAsia="zh-CN"/>
        </w:rPr>
        <w:t>)</w:t>
      </w:r>
      <w:r w:rsidRPr="00B465F3">
        <w:rPr>
          <w:rFonts w:eastAsiaTheme="minorEastAsia"/>
          <w:lang w:eastAsia="zh-CN"/>
        </w:rPr>
        <w:tab/>
      </w:r>
      <w:r w:rsidRPr="00B465F3">
        <w:rPr>
          <w:rFonts w:eastAsiaTheme="minorEastAsia" w:cs="Microsoft YaHei"/>
          <w:lang w:eastAsia="zh-CN"/>
        </w:rPr>
        <w:t>联合国大会第</w:t>
      </w:r>
      <w:r w:rsidRPr="00D956AC">
        <w:rPr>
          <w:lang w:val="fr-CH" w:eastAsia="zh-CN"/>
        </w:rPr>
        <w:t>A/70/1</w:t>
      </w:r>
      <w:r w:rsidRPr="00B465F3">
        <w:rPr>
          <w:rFonts w:eastAsiaTheme="minorEastAsia" w:cs="Microsoft YaHei"/>
          <w:lang w:eastAsia="zh-CN"/>
        </w:rPr>
        <w:t>号决议</w:t>
      </w:r>
      <w:r w:rsidRPr="00CC36B8">
        <w:rPr>
          <w:rFonts w:ascii="SimSun" w:hAnsi="SimSun"/>
          <w:lang w:eastAsia="zh-CN"/>
        </w:rPr>
        <w:t>“</w:t>
      </w:r>
      <w:r w:rsidRPr="00B465F3">
        <w:rPr>
          <w:rFonts w:eastAsiaTheme="minorEastAsia" w:cs="Microsoft YaHei"/>
          <w:lang w:eastAsia="zh-CN"/>
        </w:rPr>
        <w:t>改变我们的世界：</w:t>
      </w:r>
      <w:r>
        <w:rPr>
          <w:rFonts w:eastAsiaTheme="minorEastAsia" w:cs="Microsoft YaHei" w:hint="eastAsia"/>
          <w:lang w:eastAsia="zh-CN"/>
        </w:rPr>
        <w:t>《</w:t>
      </w:r>
      <w:r w:rsidRPr="00B465F3">
        <w:rPr>
          <w:rFonts w:eastAsiaTheme="minorEastAsia"/>
          <w:lang w:eastAsia="zh-CN"/>
        </w:rPr>
        <w:t>2030</w:t>
      </w:r>
      <w:r w:rsidRPr="00B465F3">
        <w:rPr>
          <w:rFonts w:eastAsiaTheme="minorEastAsia" w:cs="Microsoft YaHei"/>
          <w:lang w:eastAsia="zh-CN"/>
        </w:rPr>
        <w:t>年可持续发展议程</w:t>
      </w:r>
      <w:r>
        <w:rPr>
          <w:rFonts w:eastAsiaTheme="minorEastAsia" w:cs="Microsoft YaHei" w:hint="eastAsia"/>
          <w:lang w:eastAsia="zh-CN"/>
        </w:rPr>
        <w:t>》</w:t>
      </w:r>
      <w:r w:rsidRPr="00CC36B8">
        <w:rPr>
          <w:rFonts w:ascii="SimSun" w:hAnsi="SimSun"/>
          <w:lang w:eastAsia="zh-CN"/>
        </w:rPr>
        <w:t>”</w:t>
      </w:r>
      <w:r w:rsidRPr="00B465F3">
        <w:rPr>
          <w:rFonts w:eastAsiaTheme="minorEastAsia" w:cs="Microsoft YaHei"/>
          <w:lang w:eastAsia="zh-CN"/>
        </w:rPr>
        <w:t>；</w:t>
      </w:r>
    </w:p>
    <w:p w14:paraId="4827B3BA" w14:textId="77777777" w:rsidR="003C22D4" w:rsidRPr="00B465F3" w:rsidRDefault="003C22D4" w:rsidP="003C22D4">
      <w:pPr>
        <w:rPr>
          <w:rFonts w:eastAsiaTheme="minorEastAsia"/>
          <w:lang w:eastAsia="zh-CN"/>
        </w:rPr>
      </w:pPr>
      <w:r>
        <w:rPr>
          <w:rFonts w:eastAsiaTheme="minorEastAsia"/>
          <w:i/>
          <w:iCs/>
          <w:lang w:eastAsia="zh-CN"/>
        </w:rPr>
        <w:t>i</w:t>
      </w:r>
      <w:r w:rsidRPr="00930AD7">
        <w:rPr>
          <w:rFonts w:eastAsiaTheme="minorEastAsia"/>
          <w:i/>
          <w:iCs/>
          <w:lang w:eastAsia="zh-CN"/>
        </w:rPr>
        <w:t>)</w:t>
      </w:r>
      <w:r w:rsidRPr="00B465F3">
        <w:rPr>
          <w:rFonts w:eastAsiaTheme="minorEastAsia"/>
          <w:lang w:eastAsia="zh-CN"/>
        </w:rPr>
        <w:tab/>
      </w:r>
      <w:r w:rsidRPr="00B465F3">
        <w:rPr>
          <w:rFonts w:eastAsiaTheme="minorEastAsia" w:cs="Microsoft YaHei"/>
          <w:lang w:eastAsia="zh-CN"/>
        </w:rPr>
        <w:t>在由国际电联协调的</w:t>
      </w:r>
      <w:r w:rsidRPr="00B465F3">
        <w:rPr>
          <w:rFonts w:eastAsiaTheme="minorEastAsia"/>
          <w:lang w:eastAsia="zh-CN"/>
        </w:rPr>
        <w:t>WSIS+10</w:t>
      </w:r>
      <w:r w:rsidRPr="00B465F3">
        <w:rPr>
          <w:rFonts w:eastAsiaTheme="minorEastAsia" w:cs="Microsoft YaHei"/>
          <w:lang w:eastAsia="zh-CN"/>
        </w:rPr>
        <w:t>高级别活动（</w:t>
      </w:r>
      <w:r w:rsidRPr="00B465F3">
        <w:rPr>
          <w:rFonts w:eastAsiaTheme="minorEastAsia"/>
          <w:lang w:eastAsia="zh-CN"/>
        </w:rPr>
        <w:t>2014</w:t>
      </w:r>
      <w:r w:rsidRPr="00B465F3">
        <w:rPr>
          <w:rFonts w:eastAsiaTheme="minorEastAsia" w:cs="Microsoft YaHei"/>
          <w:lang w:eastAsia="zh-CN"/>
        </w:rPr>
        <w:t>年，日内瓦）上通过</w:t>
      </w:r>
      <w:r>
        <w:rPr>
          <w:rFonts w:eastAsiaTheme="minorEastAsia" w:cs="Microsoft YaHei" w:hint="eastAsia"/>
          <w:lang w:eastAsia="zh-CN"/>
        </w:rPr>
        <w:t>并</w:t>
      </w:r>
      <w:r w:rsidRPr="00B465F3">
        <w:rPr>
          <w:rFonts w:eastAsiaTheme="minorEastAsia" w:cs="Microsoft YaHei"/>
          <w:lang w:eastAsia="zh-CN"/>
        </w:rPr>
        <w:t>经全权代表大会（</w:t>
      </w:r>
      <w:r w:rsidRPr="00B465F3">
        <w:rPr>
          <w:rFonts w:eastAsiaTheme="minorEastAsia"/>
          <w:lang w:eastAsia="zh-CN"/>
        </w:rPr>
        <w:t>2014</w:t>
      </w:r>
      <w:r w:rsidRPr="00B465F3">
        <w:rPr>
          <w:rFonts w:eastAsiaTheme="minorEastAsia" w:cs="Microsoft YaHei"/>
          <w:lang w:eastAsia="zh-CN"/>
        </w:rPr>
        <w:t>年，釜山）批准的有关落实信息社会世界峰会成果的</w:t>
      </w:r>
      <w:r w:rsidRPr="00B465F3">
        <w:rPr>
          <w:rFonts w:eastAsiaTheme="minorEastAsia"/>
          <w:lang w:eastAsia="zh-CN"/>
        </w:rPr>
        <w:t>WSIS+10</w:t>
      </w:r>
      <w:r w:rsidRPr="00B465F3">
        <w:rPr>
          <w:rFonts w:eastAsiaTheme="minorEastAsia" w:cs="Microsoft YaHei"/>
          <w:lang w:eastAsia="zh-CN"/>
        </w:rPr>
        <w:t>声明和有关</w:t>
      </w:r>
      <w:r w:rsidRPr="00B465F3">
        <w:rPr>
          <w:rFonts w:eastAsiaTheme="minorEastAsia"/>
          <w:lang w:eastAsia="zh-CN"/>
        </w:rPr>
        <w:t>2015</w:t>
      </w:r>
      <w:r w:rsidRPr="00B465F3">
        <w:rPr>
          <w:rFonts w:eastAsiaTheme="minorEastAsia" w:cs="Microsoft YaHei"/>
          <w:lang w:eastAsia="zh-CN"/>
        </w:rPr>
        <w:t>年后</w:t>
      </w:r>
      <w:r w:rsidRPr="00B465F3">
        <w:rPr>
          <w:rFonts w:eastAsiaTheme="minorEastAsia"/>
          <w:lang w:eastAsia="zh-CN"/>
        </w:rPr>
        <w:t>WSIS</w:t>
      </w:r>
      <w:r w:rsidRPr="00B465F3">
        <w:rPr>
          <w:rFonts w:eastAsiaTheme="minorEastAsia" w:cs="Microsoft YaHei"/>
          <w:lang w:eastAsia="zh-CN"/>
        </w:rPr>
        <w:t>工作的</w:t>
      </w:r>
      <w:r w:rsidRPr="00B465F3">
        <w:rPr>
          <w:rFonts w:eastAsiaTheme="minorEastAsia"/>
          <w:lang w:eastAsia="zh-CN"/>
        </w:rPr>
        <w:t>WSIS+10</w:t>
      </w:r>
      <w:r w:rsidRPr="00B465F3">
        <w:rPr>
          <w:rFonts w:eastAsiaTheme="minorEastAsia" w:cs="Microsoft YaHei"/>
          <w:lang w:eastAsia="zh-CN"/>
        </w:rPr>
        <w:t>愿景已作为输入内容提交</w:t>
      </w:r>
      <w:r>
        <w:rPr>
          <w:rFonts w:eastAsiaTheme="minorEastAsia" w:cs="Microsoft YaHei" w:hint="eastAsia"/>
          <w:lang w:eastAsia="zh-CN"/>
        </w:rPr>
        <w:t>联大组织的</w:t>
      </w:r>
      <w:r w:rsidRPr="00B465F3">
        <w:rPr>
          <w:rFonts w:eastAsiaTheme="minorEastAsia"/>
          <w:lang w:eastAsia="zh-CN"/>
        </w:rPr>
        <w:t>WSIS</w:t>
      </w:r>
      <w:r w:rsidRPr="00B465F3">
        <w:rPr>
          <w:rFonts w:eastAsiaTheme="minorEastAsia" w:cs="Microsoft YaHei"/>
          <w:lang w:eastAsia="zh-CN"/>
        </w:rPr>
        <w:t>全面审</w:t>
      </w:r>
      <w:r w:rsidRPr="00B465F3">
        <w:rPr>
          <w:rFonts w:eastAsiaTheme="minorEastAsia"/>
          <w:lang w:eastAsia="zh-CN"/>
        </w:rPr>
        <w:t>查</w:t>
      </w:r>
      <w:r>
        <w:rPr>
          <w:rFonts w:eastAsiaTheme="minorEastAsia" w:hint="eastAsia"/>
          <w:lang w:eastAsia="zh-CN"/>
        </w:rPr>
        <w:t>工作</w:t>
      </w:r>
      <w:r w:rsidRPr="00B465F3">
        <w:rPr>
          <w:rFonts w:eastAsiaTheme="minorEastAsia"/>
          <w:lang w:eastAsia="zh-CN"/>
        </w:rPr>
        <w:t>，</w:t>
      </w:r>
    </w:p>
    <w:p w14:paraId="4827B3BB" w14:textId="77777777" w:rsidR="003C22D4" w:rsidRPr="00D831F0" w:rsidRDefault="003C22D4" w:rsidP="003C22D4">
      <w:pPr>
        <w:pStyle w:val="Call"/>
        <w:rPr>
          <w:lang w:eastAsia="zh-CN"/>
        </w:rPr>
      </w:pPr>
      <w:r w:rsidRPr="00D831F0">
        <w:rPr>
          <w:lang w:eastAsia="zh-CN"/>
        </w:rPr>
        <w:t>考虑到</w:t>
      </w:r>
    </w:p>
    <w:p w14:paraId="4827B3BC" w14:textId="77777777" w:rsidR="003C22D4" w:rsidRPr="00B465F3" w:rsidRDefault="003C22D4" w:rsidP="003C22D4">
      <w:pPr>
        <w:rPr>
          <w:rFonts w:eastAsiaTheme="minorEastAsia"/>
          <w:lang w:eastAsia="zh-CN"/>
        </w:rPr>
      </w:pPr>
      <w:r w:rsidRPr="00930AD7">
        <w:rPr>
          <w:rFonts w:eastAsiaTheme="minorEastAsia"/>
          <w:i/>
          <w:iCs/>
          <w:lang w:eastAsia="zh-CN"/>
        </w:rPr>
        <w:t>a)</w:t>
      </w:r>
      <w:r w:rsidRPr="00B465F3">
        <w:rPr>
          <w:rFonts w:eastAsiaTheme="minorEastAsia"/>
          <w:lang w:eastAsia="zh-CN"/>
        </w:rPr>
        <w:tab/>
      </w:r>
      <w:r w:rsidRPr="00B465F3">
        <w:rPr>
          <w:rFonts w:eastAsiaTheme="minorEastAsia" w:cs="Microsoft YaHei"/>
          <w:lang w:eastAsia="zh-CN"/>
        </w:rPr>
        <w:t>国际电联在拓展信息社会的全球视野方面发挥着关键作用；</w:t>
      </w:r>
    </w:p>
    <w:p w14:paraId="4827B3BD" w14:textId="77777777" w:rsidR="003C22D4" w:rsidRPr="00B465F3" w:rsidRDefault="003C22D4" w:rsidP="003C22D4">
      <w:pPr>
        <w:rPr>
          <w:rFonts w:eastAsiaTheme="minorEastAsia"/>
          <w:lang w:eastAsia="zh-CN"/>
        </w:rPr>
      </w:pPr>
      <w:r w:rsidRPr="00930AD7">
        <w:rPr>
          <w:rFonts w:eastAsiaTheme="minorEastAsia"/>
          <w:i/>
          <w:iCs/>
          <w:lang w:eastAsia="zh-CN"/>
        </w:rPr>
        <w:t>b)</w:t>
      </w:r>
      <w:r w:rsidRPr="00B465F3">
        <w:rPr>
          <w:rFonts w:eastAsiaTheme="minorEastAsia"/>
          <w:lang w:eastAsia="zh-CN"/>
        </w:rPr>
        <w:tab/>
      </w:r>
      <w:r w:rsidRPr="00B465F3">
        <w:rPr>
          <w:rFonts w:eastAsiaTheme="minorEastAsia" w:cs="Microsoft YaHei"/>
          <w:lang w:eastAsia="zh-CN"/>
        </w:rPr>
        <w:t>在根据</w:t>
      </w:r>
      <w:r w:rsidRPr="00B465F3">
        <w:rPr>
          <w:rFonts w:eastAsiaTheme="minorEastAsia"/>
          <w:lang w:eastAsia="zh-CN"/>
        </w:rPr>
        <w:t>2014</w:t>
      </w:r>
      <w:r w:rsidRPr="00B465F3">
        <w:rPr>
          <w:rFonts w:eastAsiaTheme="minorEastAsia" w:cs="Microsoft YaHei"/>
          <w:lang w:eastAsia="zh-CN"/>
        </w:rPr>
        <w:t>年全权代表大会的号召、</w:t>
      </w:r>
      <w:r>
        <w:rPr>
          <w:rFonts w:eastAsiaTheme="minorEastAsia" w:cs="Microsoft YaHei" w:hint="eastAsia"/>
          <w:lang w:eastAsia="zh-CN"/>
        </w:rPr>
        <w:t>推动</w:t>
      </w:r>
      <w:r w:rsidRPr="00B465F3">
        <w:rPr>
          <w:rFonts w:eastAsiaTheme="minorEastAsia" w:cs="Microsoft YaHei"/>
          <w:lang w:eastAsia="zh-CN"/>
        </w:rPr>
        <w:t>成员国针对国际电联在落实</w:t>
      </w:r>
      <w:r w:rsidRPr="00B465F3">
        <w:rPr>
          <w:rFonts w:eastAsiaTheme="minorEastAsia"/>
          <w:lang w:eastAsia="zh-CN"/>
        </w:rPr>
        <w:t>WSIS</w:t>
      </w:r>
      <w:r w:rsidRPr="00B465F3">
        <w:rPr>
          <w:rFonts w:eastAsiaTheme="minorEastAsia" w:cs="Microsoft YaHei"/>
          <w:lang w:eastAsia="zh-CN"/>
        </w:rPr>
        <w:t>成果方面的作用提供输入意见方面，</w:t>
      </w:r>
      <w:r>
        <w:rPr>
          <w:rFonts w:eastAsiaTheme="minorEastAsia" w:cs="Microsoft YaHei" w:hint="eastAsia"/>
          <w:lang w:eastAsia="zh-CN"/>
        </w:rPr>
        <w:t>理事会信息社会世界峰会和可持续发展目标工作组（</w:t>
      </w:r>
      <w:r>
        <w:rPr>
          <w:lang w:eastAsia="zh-CN"/>
        </w:rPr>
        <w:t>C</w:t>
      </w:r>
      <w:r w:rsidRPr="00A75D0F">
        <w:rPr>
          <w:lang w:eastAsia="zh-CN"/>
        </w:rPr>
        <w:t>WG-WSIS</w:t>
      </w:r>
      <w:r>
        <w:rPr>
          <w:lang w:eastAsia="zh-CN"/>
        </w:rPr>
        <w:t>&amp;SDG</w:t>
      </w:r>
      <w:r>
        <w:rPr>
          <w:lang w:eastAsia="zh-CN"/>
        </w:rPr>
        <w:t>）</w:t>
      </w:r>
      <w:r w:rsidRPr="00B465F3">
        <w:rPr>
          <w:rFonts w:eastAsiaTheme="minorEastAsia" w:cs="Microsoft YaHei"/>
          <w:lang w:eastAsia="zh-CN"/>
        </w:rPr>
        <w:t>已</w:t>
      </w:r>
      <w:r>
        <w:rPr>
          <w:rFonts w:eastAsiaTheme="minorEastAsia" w:cs="Microsoft YaHei" w:hint="eastAsia"/>
          <w:lang w:eastAsia="zh-CN"/>
        </w:rPr>
        <w:t>自行</w:t>
      </w:r>
      <w:r w:rsidRPr="00B465F3">
        <w:rPr>
          <w:rFonts w:eastAsiaTheme="minorEastAsia" w:cs="Microsoft YaHei"/>
          <w:lang w:eastAsia="zh-CN"/>
        </w:rPr>
        <w:t>证明</w:t>
      </w:r>
      <w:r>
        <w:rPr>
          <w:rFonts w:eastAsiaTheme="minorEastAsia" w:cs="Microsoft YaHei" w:hint="eastAsia"/>
          <w:lang w:eastAsia="zh-CN"/>
        </w:rPr>
        <w:t>为</w:t>
      </w:r>
      <w:r w:rsidRPr="00B465F3">
        <w:rPr>
          <w:rFonts w:eastAsiaTheme="minorEastAsia" w:cs="Microsoft YaHei"/>
          <w:lang w:eastAsia="zh-CN"/>
        </w:rPr>
        <w:t>成功机制；</w:t>
      </w:r>
    </w:p>
    <w:p w14:paraId="4827B3BE" w14:textId="77777777" w:rsidR="003C22D4" w:rsidRPr="00B465F3" w:rsidRDefault="003C22D4" w:rsidP="003C22D4">
      <w:pPr>
        <w:rPr>
          <w:rFonts w:eastAsiaTheme="minorEastAsia"/>
          <w:lang w:eastAsia="zh-CN"/>
        </w:rPr>
      </w:pPr>
      <w:r w:rsidRPr="00930AD7">
        <w:rPr>
          <w:rFonts w:eastAsiaTheme="minorEastAsia"/>
          <w:i/>
          <w:iCs/>
          <w:lang w:eastAsia="zh-CN"/>
        </w:rPr>
        <w:t>c)</w:t>
      </w:r>
      <w:r w:rsidRPr="00B465F3">
        <w:rPr>
          <w:rFonts w:eastAsiaTheme="minorEastAsia"/>
          <w:lang w:eastAsia="zh-CN"/>
        </w:rPr>
        <w:tab/>
      </w:r>
      <w:r>
        <w:rPr>
          <w:lang w:eastAsia="zh-CN"/>
        </w:rPr>
        <w:t>C</w:t>
      </w:r>
      <w:r w:rsidRPr="00A75D0F">
        <w:rPr>
          <w:lang w:eastAsia="zh-CN"/>
        </w:rPr>
        <w:t>WG-WSIS</w:t>
      </w:r>
      <w:r>
        <w:rPr>
          <w:lang w:eastAsia="zh-CN"/>
        </w:rPr>
        <w:t>&amp;SDG</w:t>
      </w:r>
      <w:r w:rsidRPr="00B465F3">
        <w:rPr>
          <w:rFonts w:eastAsiaTheme="minorEastAsia" w:cs="Microsoft YaHei"/>
          <w:lang w:eastAsia="zh-CN"/>
        </w:rPr>
        <w:t>建议，在落实</w:t>
      </w:r>
      <w:r w:rsidRPr="00B465F3">
        <w:rPr>
          <w:rFonts w:eastAsiaTheme="minorEastAsia"/>
          <w:lang w:eastAsia="zh-CN"/>
        </w:rPr>
        <w:t>WSIS</w:t>
      </w:r>
      <w:r w:rsidRPr="00B465F3">
        <w:rPr>
          <w:rFonts w:eastAsiaTheme="minorEastAsia" w:cs="Microsoft YaHei"/>
          <w:lang w:eastAsia="zh-CN"/>
        </w:rPr>
        <w:t>成果方面，除为国际电联《战略规划》划拨的正常预算资源</w:t>
      </w:r>
      <w:r>
        <w:rPr>
          <w:rFonts w:eastAsiaTheme="minorEastAsia" w:cs="Microsoft YaHei" w:hint="eastAsia"/>
          <w:lang w:eastAsia="zh-CN"/>
        </w:rPr>
        <w:t>之</w:t>
      </w:r>
      <w:r w:rsidRPr="00B465F3">
        <w:rPr>
          <w:rFonts w:eastAsiaTheme="minorEastAsia" w:cs="Microsoft YaHei"/>
          <w:lang w:eastAsia="zh-CN"/>
        </w:rPr>
        <w:t>外，理事会应考虑确定预算外资源的可能性；</w:t>
      </w:r>
    </w:p>
    <w:p w14:paraId="4827B3BF" w14:textId="77777777" w:rsidR="003C22D4" w:rsidRPr="00B465F3" w:rsidRDefault="003C22D4" w:rsidP="003C22D4">
      <w:pPr>
        <w:rPr>
          <w:rFonts w:eastAsiaTheme="minorEastAsia"/>
          <w:lang w:eastAsia="zh-CN"/>
        </w:rPr>
      </w:pPr>
      <w:r w:rsidRPr="00930AD7">
        <w:rPr>
          <w:rFonts w:eastAsiaTheme="minorEastAsia"/>
          <w:i/>
          <w:iCs/>
          <w:lang w:eastAsia="zh-CN"/>
        </w:rPr>
        <w:t>d)</w:t>
      </w:r>
      <w:r w:rsidRPr="00B465F3">
        <w:rPr>
          <w:rFonts w:eastAsiaTheme="minorEastAsia"/>
          <w:lang w:eastAsia="zh-CN"/>
        </w:rPr>
        <w:tab/>
      </w:r>
      <w:r w:rsidRPr="00B465F3">
        <w:rPr>
          <w:rFonts w:eastAsiaTheme="minorEastAsia" w:cs="Microsoft YaHei"/>
          <w:lang w:eastAsia="zh-CN"/>
        </w:rPr>
        <w:t>第</w:t>
      </w:r>
      <w:r w:rsidRPr="00B465F3">
        <w:rPr>
          <w:rFonts w:eastAsiaTheme="minorEastAsia"/>
          <w:lang w:eastAsia="zh-CN"/>
        </w:rPr>
        <w:t>140</w:t>
      </w:r>
      <w:r w:rsidRPr="00B465F3">
        <w:rPr>
          <w:rFonts w:eastAsiaTheme="minorEastAsia" w:cs="Microsoft YaHei"/>
          <w:lang w:eastAsia="zh-CN"/>
        </w:rPr>
        <w:t>号决议（</w:t>
      </w:r>
      <w:r w:rsidRPr="00B465F3">
        <w:rPr>
          <w:rFonts w:eastAsiaTheme="minorEastAsia"/>
          <w:lang w:eastAsia="zh-CN"/>
        </w:rPr>
        <w:t>201</w:t>
      </w:r>
      <w:r>
        <w:rPr>
          <w:rFonts w:eastAsiaTheme="minorEastAsia"/>
          <w:lang w:eastAsia="zh-CN"/>
        </w:rPr>
        <w:t>8</w:t>
      </w:r>
      <w:r w:rsidRPr="00B465F3">
        <w:rPr>
          <w:rFonts w:eastAsiaTheme="minorEastAsia" w:cs="Microsoft YaHei"/>
          <w:lang w:eastAsia="zh-CN"/>
        </w:rPr>
        <w:t>年，</w:t>
      </w:r>
      <w:r>
        <w:rPr>
          <w:rFonts w:eastAsiaTheme="minorEastAsia" w:cs="Microsoft YaHei" w:hint="eastAsia"/>
          <w:lang w:eastAsia="zh-CN"/>
        </w:rPr>
        <w:t>迪拜</w:t>
      </w:r>
      <w:r w:rsidRPr="00B465F3">
        <w:rPr>
          <w:rFonts w:eastAsiaTheme="minorEastAsia" w:cs="Microsoft YaHei"/>
          <w:lang w:eastAsia="zh-CN"/>
        </w:rPr>
        <w:t>，修订版）强调</w:t>
      </w:r>
      <w:r>
        <w:rPr>
          <w:rFonts w:eastAsiaTheme="minorEastAsia" w:cs="Microsoft YaHei" w:hint="eastAsia"/>
          <w:lang w:eastAsia="zh-CN"/>
        </w:rPr>
        <w:t>了</w:t>
      </w:r>
      <w:r w:rsidRPr="00B465F3">
        <w:rPr>
          <w:rFonts w:eastAsiaTheme="minorEastAsia" w:cs="Microsoft YaHei"/>
          <w:lang w:eastAsia="zh-CN"/>
        </w:rPr>
        <w:t>国际电联在信息通信技术（</w:t>
      </w:r>
      <w:r w:rsidRPr="00B465F3">
        <w:rPr>
          <w:rFonts w:eastAsiaTheme="minorEastAsia"/>
          <w:lang w:eastAsia="zh-CN"/>
        </w:rPr>
        <w:t>ICT</w:t>
      </w:r>
      <w:r w:rsidRPr="00B465F3">
        <w:rPr>
          <w:rFonts w:eastAsiaTheme="minorEastAsia" w:cs="Microsoft YaHei"/>
          <w:lang w:eastAsia="zh-CN"/>
        </w:rPr>
        <w:t>）领域的核心能力（即，协助弥合数字鸿沟、开展国际和区域性合作、进行无线电频谱管理、制定标准和传播信息）对</w:t>
      </w:r>
      <w:r>
        <w:rPr>
          <w:rFonts w:eastAsiaTheme="minorEastAsia" w:cs="Microsoft YaHei" w:hint="eastAsia"/>
          <w:lang w:eastAsia="zh-CN"/>
        </w:rPr>
        <w:t>于</w:t>
      </w:r>
      <w:r w:rsidRPr="00B465F3">
        <w:rPr>
          <w:rFonts w:eastAsiaTheme="minorEastAsia" w:cs="Microsoft YaHei"/>
          <w:lang w:eastAsia="zh-CN"/>
        </w:rPr>
        <w:t>建设信息社会至关重要；</w:t>
      </w:r>
    </w:p>
    <w:p w14:paraId="4827B3C0" w14:textId="77777777" w:rsidR="003C22D4" w:rsidRPr="00B465F3" w:rsidRDefault="003C22D4" w:rsidP="003C22D4">
      <w:pPr>
        <w:rPr>
          <w:rFonts w:eastAsiaTheme="minorEastAsia"/>
          <w:lang w:eastAsia="zh-CN"/>
        </w:rPr>
      </w:pPr>
      <w:r w:rsidRPr="00930AD7">
        <w:rPr>
          <w:rFonts w:eastAsiaTheme="minorEastAsia"/>
          <w:i/>
          <w:iCs/>
          <w:lang w:eastAsia="zh-CN"/>
        </w:rPr>
        <w:t>e)</w:t>
      </w:r>
      <w:r w:rsidRPr="00B465F3">
        <w:rPr>
          <w:rFonts w:eastAsiaTheme="minorEastAsia"/>
          <w:lang w:eastAsia="zh-CN"/>
        </w:rPr>
        <w:tab/>
      </w:r>
      <w:r w:rsidRPr="00B465F3">
        <w:rPr>
          <w:rFonts w:eastAsiaTheme="minorEastAsia" w:cs="Microsoft YaHei"/>
          <w:lang w:eastAsia="zh-CN"/>
        </w:rPr>
        <w:t>第</w:t>
      </w:r>
      <w:r w:rsidRPr="00B465F3">
        <w:rPr>
          <w:rFonts w:eastAsiaTheme="minorEastAsia"/>
          <w:lang w:eastAsia="zh-CN"/>
        </w:rPr>
        <w:t>140</w:t>
      </w:r>
      <w:r w:rsidRPr="00B465F3">
        <w:rPr>
          <w:rFonts w:eastAsiaTheme="minorEastAsia" w:cs="Microsoft YaHei"/>
          <w:lang w:eastAsia="zh-CN"/>
        </w:rPr>
        <w:t>号决议（</w:t>
      </w:r>
      <w:r w:rsidRPr="00B465F3">
        <w:rPr>
          <w:rFonts w:eastAsiaTheme="minorEastAsia"/>
          <w:lang w:eastAsia="zh-CN"/>
        </w:rPr>
        <w:t>201</w:t>
      </w:r>
      <w:r>
        <w:rPr>
          <w:rFonts w:eastAsiaTheme="minorEastAsia"/>
          <w:lang w:eastAsia="zh-CN"/>
        </w:rPr>
        <w:t>8</w:t>
      </w:r>
      <w:r w:rsidRPr="00B465F3">
        <w:rPr>
          <w:rFonts w:eastAsiaTheme="minorEastAsia" w:cs="Microsoft YaHei"/>
          <w:lang w:eastAsia="zh-CN"/>
        </w:rPr>
        <w:t>年，</w:t>
      </w:r>
      <w:r>
        <w:rPr>
          <w:rFonts w:eastAsiaTheme="minorEastAsia" w:cs="Microsoft YaHei" w:hint="eastAsia"/>
          <w:lang w:eastAsia="zh-CN"/>
        </w:rPr>
        <w:t>迪拜</w:t>
      </w:r>
      <w:r w:rsidRPr="00B465F3">
        <w:rPr>
          <w:rFonts w:eastAsiaTheme="minorEastAsia" w:cs="Microsoft YaHei"/>
          <w:lang w:eastAsia="zh-CN"/>
        </w:rPr>
        <w:t>，修订版）要求国际电联在</w:t>
      </w:r>
      <w:r w:rsidRPr="00B465F3">
        <w:rPr>
          <w:rFonts w:eastAsiaTheme="minorEastAsia"/>
          <w:lang w:eastAsia="zh-CN"/>
        </w:rPr>
        <w:t>20</w:t>
      </w:r>
      <w:r>
        <w:rPr>
          <w:rFonts w:eastAsiaTheme="minorEastAsia"/>
          <w:lang w:eastAsia="zh-CN"/>
        </w:rPr>
        <w:t>22</w:t>
      </w:r>
      <w:r w:rsidRPr="00B465F3">
        <w:rPr>
          <w:rFonts w:eastAsiaTheme="minorEastAsia" w:cs="Microsoft YaHei"/>
          <w:lang w:eastAsia="zh-CN"/>
        </w:rPr>
        <w:t>年向全权代表大会提交有关落实</w:t>
      </w:r>
      <w:r w:rsidRPr="00B465F3">
        <w:rPr>
          <w:rFonts w:eastAsiaTheme="minorEastAsia"/>
          <w:lang w:eastAsia="zh-CN"/>
        </w:rPr>
        <w:t>WSIS</w:t>
      </w:r>
      <w:r w:rsidRPr="00B465F3">
        <w:rPr>
          <w:rFonts w:eastAsiaTheme="minorEastAsia" w:cs="Microsoft YaHei"/>
          <w:lang w:eastAsia="zh-CN"/>
        </w:rPr>
        <w:t>成果</w:t>
      </w:r>
      <w:r>
        <w:rPr>
          <w:rFonts w:eastAsiaTheme="minorEastAsia" w:cs="Microsoft YaHei" w:hint="eastAsia"/>
          <w:lang w:eastAsia="zh-CN"/>
        </w:rPr>
        <w:t>及</w:t>
      </w:r>
      <w:r>
        <w:rPr>
          <w:rFonts w:eastAsiaTheme="minorEastAsia" w:cs="Microsoft YaHei" w:hint="eastAsia"/>
          <w:lang w:eastAsia="zh-CN"/>
        </w:rPr>
        <w:t>2030</w:t>
      </w:r>
      <w:r>
        <w:rPr>
          <w:rFonts w:eastAsiaTheme="minorEastAsia" w:cs="Microsoft YaHei" w:hint="eastAsia"/>
          <w:lang w:eastAsia="zh-CN"/>
        </w:rPr>
        <w:t>年可持续发展议程</w:t>
      </w:r>
      <w:r w:rsidRPr="00B465F3">
        <w:rPr>
          <w:rFonts w:eastAsiaTheme="minorEastAsia" w:cs="Microsoft YaHei"/>
          <w:lang w:eastAsia="zh-CN"/>
        </w:rPr>
        <w:t>的进展报告，</w:t>
      </w:r>
      <w:r>
        <w:rPr>
          <w:rFonts w:eastAsiaTheme="minorEastAsia" w:cs="Microsoft YaHei" w:hint="eastAsia"/>
          <w:lang w:eastAsia="zh-CN"/>
        </w:rPr>
        <w:t>同时注意到电信</w:t>
      </w:r>
      <w:r>
        <w:rPr>
          <w:rFonts w:eastAsiaTheme="minorEastAsia" w:cs="Microsoft YaHei" w:hint="eastAsia"/>
          <w:lang w:eastAsia="zh-CN"/>
        </w:rPr>
        <w:t>/</w:t>
      </w:r>
      <w:r>
        <w:rPr>
          <w:rFonts w:eastAsiaTheme="minorEastAsia" w:cs="Microsoft YaHei"/>
          <w:lang w:eastAsia="zh-CN"/>
        </w:rPr>
        <w:t>ICT</w:t>
      </w:r>
      <w:r>
        <w:rPr>
          <w:rFonts w:eastAsiaTheme="minorEastAsia" w:cs="Microsoft YaHei" w:hint="eastAsia"/>
          <w:lang w:eastAsia="zh-CN"/>
        </w:rPr>
        <w:t>对数字经济的贡献，并且</w:t>
      </w:r>
      <w:r w:rsidRPr="00B465F3">
        <w:rPr>
          <w:rFonts w:eastAsiaTheme="minorEastAsia" w:cs="Microsoft YaHei"/>
          <w:lang w:eastAsia="zh-CN"/>
        </w:rPr>
        <w:t>要求理事会保留</w:t>
      </w:r>
      <w:r>
        <w:rPr>
          <w:rFonts w:eastAsiaTheme="minorEastAsia" w:cs="Microsoft YaHei" w:hint="eastAsia"/>
          <w:lang w:eastAsia="zh-CN"/>
        </w:rPr>
        <w:t>此</w:t>
      </w:r>
      <w:r w:rsidRPr="00B465F3">
        <w:rPr>
          <w:rFonts w:eastAsiaTheme="minorEastAsia" w:cs="Microsoft YaHei"/>
          <w:lang w:eastAsia="zh-CN"/>
        </w:rPr>
        <w:t>工作组，从而：</w:t>
      </w:r>
    </w:p>
    <w:p w14:paraId="4827B3C1" w14:textId="77777777" w:rsidR="003C22D4" w:rsidRPr="00C50472" w:rsidRDefault="003C22D4" w:rsidP="003C22D4">
      <w:pPr>
        <w:ind w:firstLineChars="200" w:firstLine="480"/>
        <w:rPr>
          <w:lang w:eastAsia="zh-CN"/>
        </w:rPr>
      </w:pPr>
      <w:r w:rsidRPr="00C50472">
        <w:rPr>
          <w:rFonts w:hint="eastAsia"/>
          <w:lang w:eastAsia="zh-CN"/>
        </w:rPr>
        <w:t>方便</w:t>
      </w:r>
      <w:r w:rsidRPr="00C50472">
        <w:rPr>
          <w:lang w:eastAsia="zh-CN"/>
        </w:rPr>
        <w:t>成员</w:t>
      </w:r>
      <w:r>
        <w:rPr>
          <w:rFonts w:hint="eastAsia"/>
          <w:lang w:eastAsia="zh-CN"/>
        </w:rPr>
        <w:t>针对</w:t>
      </w:r>
      <w:r w:rsidRPr="00C50472">
        <w:rPr>
          <w:lang w:eastAsia="zh-CN"/>
        </w:rPr>
        <w:t>国际电联落实</w:t>
      </w:r>
      <w:r w:rsidRPr="00C50472">
        <w:rPr>
          <w:rFonts w:hint="eastAsia"/>
          <w:lang w:eastAsia="zh-CN"/>
        </w:rPr>
        <w:t>相关</w:t>
      </w:r>
      <w:r w:rsidRPr="00C50472">
        <w:rPr>
          <w:lang w:eastAsia="zh-CN"/>
        </w:rPr>
        <w:t>WSIS</w:t>
      </w:r>
      <w:r w:rsidRPr="00C50472">
        <w:rPr>
          <w:lang w:eastAsia="zh-CN"/>
        </w:rPr>
        <w:t>成果的工作提</w:t>
      </w:r>
      <w:r>
        <w:rPr>
          <w:rFonts w:hint="eastAsia"/>
          <w:lang w:eastAsia="zh-CN"/>
        </w:rPr>
        <w:t>出</w:t>
      </w:r>
      <w:r w:rsidRPr="00C50472">
        <w:rPr>
          <w:lang w:eastAsia="zh-CN"/>
        </w:rPr>
        <w:t>输入意见并</w:t>
      </w:r>
      <w:r w:rsidRPr="00C50472">
        <w:rPr>
          <w:rFonts w:hint="eastAsia"/>
          <w:lang w:eastAsia="zh-CN"/>
        </w:rPr>
        <w:t>提供</w:t>
      </w:r>
      <w:r w:rsidRPr="00C50472">
        <w:rPr>
          <w:lang w:eastAsia="zh-CN"/>
        </w:rPr>
        <w:t>指导</w:t>
      </w:r>
      <w:r w:rsidRPr="00C50472">
        <w:rPr>
          <w:rFonts w:hint="eastAsia"/>
          <w:lang w:eastAsia="zh-CN"/>
        </w:rPr>
        <w:t>，</w:t>
      </w:r>
      <w:r>
        <w:rPr>
          <w:rFonts w:hint="eastAsia"/>
          <w:lang w:eastAsia="zh-CN"/>
        </w:rPr>
        <w:t>并且</w:t>
      </w:r>
      <w:r w:rsidRPr="00C50472">
        <w:rPr>
          <w:rFonts w:hint="eastAsia"/>
          <w:lang w:eastAsia="zh-CN"/>
        </w:rPr>
        <w:t>助力实现</w:t>
      </w:r>
      <w:r w:rsidRPr="00C50472">
        <w:rPr>
          <w:lang w:eastAsia="zh-CN"/>
        </w:rPr>
        <w:t>SDG</w:t>
      </w:r>
      <w:r w:rsidRPr="00C50472">
        <w:rPr>
          <w:lang w:eastAsia="zh-CN"/>
        </w:rPr>
        <w:t>，</w:t>
      </w:r>
    </w:p>
    <w:p w14:paraId="4827B3C2" w14:textId="77777777" w:rsidR="003C22D4" w:rsidRPr="00B465F3" w:rsidRDefault="003C22D4" w:rsidP="003C22D4">
      <w:pPr>
        <w:ind w:firstLineChars="200" w:firstLine="480"/>
        <w:rPr>
          <w:rFonts w:eastAsiaTheme="minorEastAsia"/>
          <w:lang w:eastAsia="zh-CN"/>
        </w:rPr>
      </w:pPr>
      <w:r w:rsidRPr="00B465F3">
        <w:rPr>
          <w:rFonts w:eastAsiaTheme="minorEastAsia" w:cs="Microsoft YaHei"/>
          <w:lang w:eastAsia="zh-CN"/>
        </w:rPr>
        <w:t>要求理事会：</w:t>
      </w:r>
    </w:p>
    <w:p w14:paraId="4827B3C3" w14:textId="77777777" w:rsidR="003C22D4" w:rsidRPr="00B465F3" w:rsidRDefault="003C22D4" w:rsidP="0082299F">
      <w:pPr>
        <w:pStyle w:val="enumlev1"/>
        <w:rPr>
          <w:rFonts w:eastAsiaTheme="minorEastAsia"/>
          <w:lang w:eastAsia="zh-CN"/>
        </w:rPr>
      </w:pPr>
      <w:r w:rsidRPr="00B465F3">
        <w:rPr>
          <w:rFonts w:eastAsiaTheme="minorEastAsia"/>
          <w:lang w:eastAsia="zh-CN"/>
        </w:rPr>
        <w:t>i)</w:t>
      </w:r>
      <w:r w:rsidRPr="00B465F3">
        <w:rPr>
          <w:rFonts w:eastAsiaTheme="minorEastAsia"/>
          <w:lang w:eastAsia="zh-CN"/>
        </w:rPr>
        <w:tab/>
      </w:r>
      <w:r w:rsidRPr="00D76348">
        <w:rPr>
          <w:lang w:eastAsia="zh-CN"/>
        </w:rPr>
        <w:t>监督、审议并酌情讨论国际电联开展的落实</w:t>
      </w:r>
      <w:r w:rsidRPr="00D76348">
        <w:rPr>
          <w:lang w:eastAsia="zh-CN"/>
        </w:rPr>
        <w:t>WSIS</w:t>
      </w:r>
      <w:r w:rsidRPr="00D76348">
        <w:rPr>
          <w:lang w:eastAsia="zh-CN"/>
        </w:rPr>
        <w:t>成果</w:t>
      </w:r>
      <w:r>
        <w:rPr>
          <w:rFonts w:hint="eastAsia"/>
          <w:lang w:eastAsia="zh-CN"/>
        </w:rPr>
        <w:t>和</w:t>
      </w:r>
      <w:r w:rsidRPr="00D76348">
        <w:rPr>
          <w:rFonts w:hint="eastAsia"/>
          <w:lang w:eastAsia="zh-CN"/>
        </w:rPr>
        <w:t>实现</w:t>
      </w:r>
      <w:r w:rsidRPr="00D76348">
        <w:rPr>
          <w:lang w:eastAsia="zh-CN"/>
        </w:rPr>
        <w:t>SDG</w:t>
      </w:r>
      <w:r>
        <w:rPr>
          <w:rFonts w:hint="eastAsia"/>
          <w:lang w:eastAsia="zh-CN"/>
        </w:rPr>
        <w:t>的</w:t>
      </w:r>
      <w:r w:rsidRPr="00D76348">
        <w:rPr>
          <w:lang w:eastAsia="zh-CN"/>
        </w:rPr>
        <w:t>工作及相关活动，并在全权代表大会确定的财务限制内酌情提供资源；</w:t>
      </w:r>
    </w:p>
    <w:p w14:paraId="4827B3C4" w14:textId="77777777" w:rsidR="003C22D4" w:rsidRPr="009C445C" w:rsidRDefault="003C22D4" w:rsidP="0082299F">
      <w:pPr>
        <w:pStyle w:val="enumlev1"/>
        <w:rPr>
          <w:highlight w:val="yellow"/>
          <w:lang w:eastAsia="zh-CN"/>
        </w:rPr>
      </w:pPr>
      <w:r>
        <w:rPr>
          <w:lang w:eastAsia="zh-CN"/>
        </w:rPr>
        <w:t>ii)</w:t>
      </w:r>
      <w:r>
        <w:rPr>
          <w:lang w:eastAsia="zh-CN"/>
        </w:rPr>
        <w:tab/>
      </w:r>
      <w:r>
        <w:rPr>
          <w:rFonts w:hint="eastAsia"/>
          <w:lang w:eastAsia="zh-CN"/>
        </w:rPr>
        <w:t>按照</w:t>
      </w:r>
      <w:r w:rsidRPr="005C6E82">
        <w:rPr>
          <w:rFonts w:ascii="STKaiti" w:eastAsia="STKaiti" w:hAnsi="STKaiti" w:hint="eastAsia"/>
          <w:lang w:eastAsia="zh-CN"/>
        </w:rPr>
        <w:t>做出决议</w:t>
      </w:r>
      <w:r w:rsidRPr="002C5C24">
        <w:rPr>
          <w:rFonts w:hint="eastAsia"/>
          <w:lang w:eastAsia="zh-CN"/>
        </w:rPr>
        <w:t>5</w:t>
      </w:r>
      <w:r>
        <w:rPr>
          <w:rFonts w:hint="eastAsia"/>
          <w:lang w:eastAsia="zh-CN"/>
        </w:rPr>
        <w:t>“</w:t>
      </w:r>
      <w:r>
        <w:rPr>
          <w:color w:val="000000"/>
          <w:lang w:eastAsia="zh-CN"/>
        </w:rPr>
        <w:t>国际电联应继续</w:t>
      </w:r>
      <w:r>
        <w:rPr>
          <w:rFonts w:hint="eastAsia"/>
          <w:lang w:eastAsia="zh-CN"/>
        </w:rPr>
        <w:t>开展其落实</w:t>
      </w:r>
      <w:r>
        <w:rPr>
          <w:rFonts w:hint="eastAsia"/>
          <w:lang w:eastAsia="zh-CN"/>
        </w:rPr>
        <w:t>WSIS</w:t>
      </w:r>
      <w:r>
        <w:rPr>
          <w:rFonts w:hint="eastAsia"/>
          <w:lang w:eastAsia="zh-CN"/>
        </w:rPr>
        <w:t>成果和实现</w:t>
      </w:r>
      <w:r>
        <w:rPr>
          <w:rFonts w:hint="eastAsia"/>
          <w:lang w:eastAsia="zh-CN"/>
        </w:rPr>
        <w:t>2015</w:t>
      </w:r>
      <w:r>
        <w:rPr>
          <w:rFonts w:hint="eastAsia"/>
          <w:lang w:eastAsia="zh-CN"/>
        </w:rPr>
        <w:t>年之后</w:t>
      </w:r>
      <w:r>
        <w:rPr>
          <w:rFonts w:hint="eastAsia"/>
          <w:lang w:eastAsia="zh-CN"/>
        </w:rPr>
        <w:t>W</w:t>
      </w:r>
      <w:r>
        <w:rPr>
          <w:lang w:eastAsia="zh-CN"/>
        </w:rPr>
        <w:t>SIS</w:t>
      </w:r>
      <w:r>
        <w:rPr>
          <w:rFonts w:hint="eastAsia"/>
          <w:lang w:eastAsia="zh-CN"/>
        </w:rPr>
        <w:t>愿景的工作，并且</w:t>
      </w:r>
      <w:r>
        <w:rPr>
          <w:color w:val="000000"/>
          <w:lang w:eastAsia="zh-CN"/>
        </w:rPr>
        <w:t>开展其职责内的活动，</w:t>
      </w:r>
      <w:r>
        <w:rPr>
          <w:rFonts w:hint="eastAsia"/>
          <w:color w:val="000000"/>
          <w:lang w:eastAsia="zh-CN"/>
        </w:rPr>
        <w:t>同时</w:t>
      </w:r>
      <w:r>
        <w:rPr>
          <w:color w:val="000000"/>
          <w:lang w:eastAsia="zh-CN"/>
        </w:rPr>
        <w:t>酌情与其它利益攸关方一起</w:t>
      </w:r>
      <w:r>
        <w:rPr>
          <w:rFonts w:hint="eastAsia"/>
          <w:color w:val="000000"/>
          <w:lang w:eastAsia="zh-CN"/>
        </w:rPr>
        <w:t>参与”，</w:t>
      </w:r>
      <w:r w:rsidRPr="002C5C24">
        <w:rPr>
          <w:rFonts w:hint="eastAsia"/>
          <w:lang w:eastAsia="zh-CN"/>
        </w:rPr>
        <w:t>监督国际电联适应信息社会的状况</w:t>
      </w:r>
      <w:r>
        <w:rPr>
          <w:rFonts w:hint="eastAsia"/>
          <w:color w:val="000000"/>
          <w:lang w:eastAsia="zh-CN"/>
        </w:rPr>
        <w:t>；</w:t>
      </w:r>
    </w:p>
    <w:p w14:paraId="4827B3C5" w14:textId="77777777" w:rsidR="003C22D4" w:rsidRPr="003A1C74" w:rsidRDefault="003C22D4" w:rsidP="0082299F">
      <w:pPr>
        <w:pStyle w:val="enumlev1"/>
        <w:rPr>
          <w:lang w:eastAsia="zh-CN"/>
        </w:rPr>
      </w:pPr>
      <w:r w:rsidRPr="003A1C74">
        <w:rPr>
          <w:lang w:eastAsia="zh-CN"/>
        </w:rPr>
        <w:t>iii)</w:t>
      </w:r>
      <w:r w:rsidRPr="003A1C74">
        <w:rPr>
          <w:lang w:eastAsia="zh-CN"/>
        </w:rPr>
        <w:tab/>
      </w:r>
      <w:r>
        <w:rPr>
          <w:rFonts w:hint="eastAsia"/>
          <w:lang w:eastAsia="zh-CN"/>
        </w:rPr>
        <w:t>起草并向</w:t>
      </w:r>
      <w:r w:rsidRPr="00F93482">
        <w:rPr>
          <w:rFonts w:hint="eastAsia"/>
          <w:lang w:eastAsia="zh-CN"/>
        </w:rPr>
        <w:t>联大</w:t>
      </w:r>
      <w:r w:rsidRPr="00F93482">
        <w:rPr>
          <w:rFonts w:hint="eastAsia"/>
          <w:lang w:eastAsia="zh-CN"/>
        </w:rPr>
        <w:t>2019</w:t>
      </w:r>
      <w:r w:rsidRPr="00F93482">
        <w:rPr>
          <w:rFonts w:hint="eastAsia"/>
          <w:lang w:eastAsia="zh-CN"/>
        </w:rPr>
        <w:t>年高级别政治论坛</w:t>
      </w:r>
      <w:r>
        <w:rPr>
          <w:rFonts w:hint="eastAsia"/>
          <w:lang w:eastAsia="zh-CN"/>
        </w:rPr>
        <w:t>提交有关国际电联</w:t>
      </w:r>
      <w:r w:rsidRPr="008D64E8">
        <w:rPr>
          <w:lang w:eastAsia="zh-CN"/>
        </w:rPr>
        <w:t>2015-2019</w:t>
      </w:r>
      <w:r>
        <w:rPr>
          <w:rFonts w:hint="eastAsia"/>
          <w:lang w:eastAsia="zh-CN"/>
        </w:rPr>
        <w:t>年为落实</w:t>
      </w:r>
      <w:r>
        <w:rPr>
          <w:rFonts w:eastAsiaTheme="minorEastAsia" w:cs="Microsoft YaHei" w:hint="eastAsia"/>
          <w:lang w:eastAsia="zh-CN"/>
        </w:rPr>
        <w:t>2030</w:t>
      </w:r>
      <w:r>
        <w:rPr>
          <w:rFonts w:eastAsiaTheme="minorEastAsia" w:cs="Microsoft YaHei" w:hint="eastAsia"/>
          <w:lang w:eastAsia="zh-CN"/>
        </w:rPr>
        <w:t>年可持续发展议程所做贡献的报告；</w:t>
      </w:r>
    </w:p>
    <w:p w14:paraId="4827B3C6" w14:textId="77777777" w:rsidR="0082299F" w:rsidRDefault="0082299F">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3C7" w14:textId="77777777" w:rsidR="003C22D4" w:rsidRPr="003A1C74" w:rsidRDefault="003C22D4" w:rsidP="0082299F">
      <w:pPr>
        <w:pStyle w:val="enumlev1"/>
        <w:rPr>
          <w:lang w:eastAsia="zh-CN"/>
        </w:rPr>
      </w:pPr>
      <w:r w:rsidRPr="003A1C74">
        <w:rPr>
          <w:lang w:eastAsia="zh-CN"/>
        </w:rPr>
        <w:lastRenderedPageBreak/>
        <w:t>iv)</w:t>
      </w:r>
      <w:r w:rsidRPr="003A1C74">
        <w:rPr>
          <w:lang w:eastAsia="zh-CN"/>
        </w:rPr>
        <w:tab/>
      </w:r>
      <w:r>
        <w:rPr>
          <w:rFonts w:hint="eastAsia"/>
          <w:lang w:eastAsia="zh-CN"/>
        </w:rPr>
        <w:t>通过</w:t>
      </w:r>
      <w:r w:rsidRPr="00A2150D">
        <w:rPr>
          <w:lang w:eastAsia="zh-CN"/>
        </w:rPr>
        <w:t>CWG-WSIS&amp;SDG</w:t>
      </w:r>
      <w:r>
        <w:rPr>
          <w:rFonts w:hint="eastAsia"/>
          <w:lang w:eastAsia="zh-CN"/>
        </w:rPr>
        <w:t>审议并改进：</w:t>
      </w:r>
    </w:p>
    <w:p w14:paraId="4827B3C8" w14:textId="77777777" w:rsidR="003C22D4" w:rsidRPr="003A1C74" w:rsidRDefault="003C22D4" w:rsidP="0082299F">
      <w:pPr>
        <w:pStyle w:val="enumlev2"/>
        <w:rPr>
          <w:lang w:eastAsia="zh-CN"/>
        </w:rPr>
      </w:pPr>
      <w:r w:rsidRPr="003A1C74">
        <w:rPr>
          <w:lang w:eastAsia="zh-CN"/>
        </w:rPr>
        <w:t>–</w:t>
      </w:r>
      <w:r w:rsidRPr="003A1C74">
        <w:rPr>
          <w:lang w:eastAsia="zh-CN"/>
        </w:rPr>
        <w:tab/>
      </w:r>
      <w:r>
        <w:rPr>
          <w:rFonts w:hint="eastAsia"/>
          <w:lang w:eastAsia="zh-CN"/>
        </w:rPr>
        <w:t>国际电联开展的落实</w:t>
      </w:r>
      <w:r w:rsidRPr="00D057B1">
        <w:rPr>
          <w:rFonts w:hint="eastAsia"/>
          <w:lang w:eastAsia="zh-CN"/>
        </w:rPr>
        <w:t>WSIS</w:t>
      </w:r>
      <w:r w:rsidRPr="00D057B1">
        <w:rPr>
          <w:rFonts w:hint="eastAsia"/>
          <w:lang w:eastAsia="zh-CN"/>
        </w:rPr>
        <w:t>成果</w:t>
      </w:r>
      <w:r>
        <w:rPr>
          <w:rFonts w:hint="eastAsia"/>
          <w:lang w:eastAsia="zh-CN"/>
        </w:rPr>
        <w:t>以及</w:t>
      </w:r>
      <w:r w:rsidRPr="00D057B1">
        <w:rPr>
          <w:rFonts w:hint="eastAsia"/>
          <w:lang w:eastAsia="zh-CN"/>
        </w:rPr>
        <w:t>实现</w:t>
      </w:r>
      <w:r w:rsidRPr="00D057B1">
        <w:rPr>
          <w:rFonts w:hint="eastAsia"/>
          <w:lang w:eastAsia="zh-CN"/>
        </w:rPr>
        <w:t>SDG</w:t>
      </w:r>
      <w:r>
        <w:rPr>
          <w:rFonts w:hint="eastAsia"/>
          <w:lang w:eastAsia="zh-CN"/>
        </w:rPr>
        <w:t>的活动；</w:t>
      </w:r>
    </w:p>
    <w:p w14:paraId="4827B3C9" w14:textId="77777777" w:rsidR="003C22D4" w:rsidRPr="003A1C74" w:rsidRDefault="003C22D4" w:rsidP="0082299F">
      <w:pPr>
        <w:pStyle w:val="enumlev2"/>
        <w:rPr>
          <w:lang w:eastAsia="zh-CN"/>
        </w:rPr>
      </w:pPr>
      <w:r w:rsidRPr="003A1C74">
        <w:rPr>
          <w:lang w:eastAsia="zh-CN"/>
        </w:rPr>
        <w:t>–</w:t>
      </w:r>
      <w:r w:rsidRPr="003A1C74">
        <w:rPr>
          <w:lang w:eastAsia="zh-CN"/>
        </w:rPr>
        <w:tab/>
      </w:r>
      <w:r>
        <w:rPr>
          <w:lang w:eastAsia="zh-CN"/>
        </w:rPr>
        <w:t>WSIS</w:t>
      </w:r>
      <w:r>
        <w:rPr>
          <w:rFonts w:hint="eastAsia"/>
          <w:lang w:eastAsia="zh-CN"/>
        </w:rPr>
        <w:t>评奖活动的规则和导则，以利于所有利益攸关方使用国际电联六种正式语文参与相关工作，使相关活动更加有效且更为简化，并符合所有利益攸关方的利益；</w:t>
      </w:r>
    </w:p>
    <w:p w14:paraId="4827B3CA" w14:textId="77777777" w:rsidR="003C22D4" w:rsidRPr="003A1C74" w:rsidRDefault="003C22D4" w:rsidP="0082299F">
      <w:pPr>
        <w:pStyle w:val="enumlev2"/>
        <w:rPr>
          <w:lang w:eastAsia="zh-CN"/>
        </w:rPr>
      </w:pPr>
      <w:r w:rsidRPr="003A1C74">
        <w:rPr>
          <w:lang w:eastAsia="zh-CN"/>
        </w:rPr>
        <w:t>–</w:t>
      </w:r>
      <w:r w:rsidRPr="003A1C74">
        <w:rPr>
          <w:lang w:eastAsia="zh-CN"/>
        </w:rPr>
        <w:tab/>
      </w:r>
      <w:r>
        <w:rPr>
          <w:rFonts w:hint="eastAsia"/>
          <w:lang w:eastAsia="zh-CN"/>
        </w:rPr>
        <w:t>在联合国各项有关</w:t>
      </w:r>
      <w:r>
        <w:rPr>
          <w:rFonts w:hint="eastAsia"/>
          <w:lang w:eastAsia="zh-CN"/>
        </w:rPr>
        <w:t>W</w:t>
      </w:r>
      <w:r>
        <w:rPr>
          <w:lang w:eastAsia="zh-CN"/>
        </w:rPr>
        <w:t>SIS</w:t>
      </w:r>
      <w:r>
        <w:rPr>
          <w:rFonts w:hint="eastAsia"/>
          <w:lang w:eastAsia="zh-CN"/>
        </w:rPr>
        <w:t>和</w:t>
      </w:r>
      <w:r>
        <w:rPr>
          <w:rFonts w:hint="eastAsia"/>
          <w:lang w:eastAsia="zh-CN"/>
        </w:rPr>
        <w:t>S</w:t>
      </w:r>
      <w:r>
        <w:rPr>
          <w:lang w:eastAsia="zh-CN"/>
        </w:rPr>
        <w:t>DG</w:t>
      </w:r>
      <w:r>
        <w:rPr>
          <w:rFonts w:hint="eastAsia"/>
          <w:lang w:eastAsia="zh-CN"/>
        </w:rPr>
        <w:t>相关活动中宣传</w:t>
      </w:r>
      <w:r>
        <w:rPr>
          <w:lang w:eastAsia="zh-CN"/>
        </w:rPr>
        <w:t>WSIS</w:t>
      </w:r>
      <w:r>
        <w:rPr>
          <w:rFonts w:hint="eastAsia"/>
          <w:lang w:eastAsia="zh-CN"/>
        </w:rPr>
        <w:t>各奖项得主，</w:t>
      </w:r>
    </w:p>
    <w:p w14:paraId="4827B3CB" w14:textId="77777777" w:rsidR="003C22D4" w:rsidRPr="00093F70" w:rsidRDefault="003C22D4" w:rsidP="003C22D4">
      <w:pPr>
        <w:ind w:firstLineChars="200" w:firstLine="480"/>
        <w:rPr>
          <w:lang w:eastAsia="zh-CN"/>
        </w:rPr>
      </w:pPr>
      <w:r>
        <w:rPr>
          <w:rFonts w:hint="eastAsia"/>
          <w:lang w:eastAsia="zh-CN"/>
        </w:rPr>
        <w:t>并邀请国际电联成员：</w:t>
      </w:r>
    </w:p>
    <w:p w14:paraId="4827B3CC" w14:textId="77777777" w:rsidR="003C22D4" w:rsidRDefault="0082299F" w:rsidP="0082299F">
      <w:pPr>
        <w:ind w:left="756" w:hanging="756"/>
        <w:rPr>
          <w:lang w:eastAsia="zh-CN"/>
        </w:rPr>
      </w:pPr>
      <w:r w:rsidRPr="002F02DC">
        <w:rPr>
          <w:lang w:eastAsia="zh-CN"/>
        </w:rPr>
        <w:tab/>
      </w:r>
      <w:r w:rsidR="003C22D4">
        <w:rPr>
          <w:rFonts w:hint="eastAsia"/>
          <w:lang w:eastAsia="zh-CN"/>
        </w:rPr>
        <w:t>积极参与落实</w:t>
      </w:r>
      <w:r w:rsidR="003C22D4">
        <w:rPr>
          <w:rFonts w:hint="eastAsia"/>
          <w:lang w:eastAsia="zh-CN"/>
        </w:rPr>
        <w:t>WSIS</w:t>
      </w:r>
      <w:r w:rsidR="003C22D4">
        <w:rPr>
          <w:rFonts w:hint="eastAsia"/>
          <w:lang w:eastAsia="zh-CN"/>
        </w:rPr>
        <w:t>成果和实现</w:t>
      </w:r>
      <w:r w:rsidR="003C22D4">
        <w:rPr>
          <w:lang w:eastAsia="zh-CN"/>
        </w:rPr>
        <w:t>SDG</w:t>
      </w:r>
      <w:r w:rsidR="003C22D4">
        <w:rPr>
          <w:rFonts w:hint="eastAsia"/>
          <w:lang w:eastAsia="zh-CN"/>
        </w:rPr>
        <w:t>的工作，为</w:t>
      </w:r>
      <w:r w:rsidR="003C22D4">
        <w:rPr>
          <w:rFonts w:hint="eastAsia"/>
          <w:lang w:eastAsia="zh-CN"/>
        </w:rPr>
        <w:t>W</w:t>
      </w:r>
      <w:r w:rsidR="003C22D4">
        <w:rPr>
          <w:lang w:eastAsia="zh-CN"/>
        </w:rPr>
        <w:t>SIS</w:t>
      </w:r>
      <w:r w:rsidR="003C22D4">
        <w:rPr>
          <w:rFonts w:hint="eastAsia"/>
          <w:lang w:eastAsia="zh-CN"/>
        </w:rPr>
        <w:t>论坛和国际电联维护的</w:t>
      </w:r>
      <w:r w:rsidR="003C22D4">
        <w:rPr>
          <w:rFonts w:hint="eastAsia"/>
          <w:lang w:eastAsia="zh-CN"/>
        </w:rPr>
        <w:t>WSIS</w:t>
      </w:r>
      <w:r w:rsidR="003C22D4">
        <w:rPr>
          <w:rFonts w:hint="eastAsia"/>
          <w:lang w:eastAsia="zh-CN"/>
        </w:rPr>
        <w:t>清点工作数据库以及</w:t>
      </w:r>
      <w:r w:rsidR="003C22D4">
        <w:rPr>
          <w:rFonts w:hint="eastAsia"/>
          <w:lang w:eastAsia="zh-CN"/>
        </w:rPr>
        <w:t>W</w:t>
      </w:r>
      <w:r w:rsidR="003C22D4">
        <w:rPr>
          <w:lang w:eastAsia="zh-CN"/>
        </w:rPr>
        <w:t>SIS</w:t>
      </w:r>
      <w:r w:rsidR="003C22D4">
        <w:rPr>
          <w:rFonts w:hint="eastAsia"/>
          <w:lang w:eastAsia="zh-CN"/>
        </w:rPr>
        <w:t>评奖活动做出贡献，积极参加</w:t>
      </w:r>
      <w:r w:rsidR="003C22D4">
        <w:rPr>
          <w:rFonts w:hint="eastAsia"/>
          <w:lang w:val="en-US" w:eastAsia="zh-CN"/>
        </w:rPr>
        <w:t>CWG-</w:t>
      </w:r>
      <w:r w:rsidR="003C22D4">
        <w:rPr>
          <w:lang w:val="en-US" w:eastAsia="zh-CN"/>
        </w:rPr>
        <w:t>WSIS&amp;</w:t>
      </w:r>
      <w:r w:rsidR="003C22D4" w:rsidRPr="007B496D">
        <w:rPr>
          <w:lang w:val="en-US" w:eastAsia="zh-CN"/>
        </w:rPr>
        <w:t>SDG</w:t>
      </w:r>
      <w:r w:rsidR="003C22D4">
        <w:rPr>
          <w:rFonts w:hint="eastAsia"/>
          <w:lang w:eastAsia="zh-CN"/>
        </w:rPr>
        <w:t>的活动以及国际电联进一步适应建设包容性信息社会和实现</w:t>
      </w:r>
      <w:r w:rsidR="003C22D4">
        <w:rPr>
          <w:rFonts w:hint="eastAsia"/>
          <w:lang w:eastAsia="zh-CN"/>
        </w:rPr>
        <w:t>S</w:t>
      </w:r>
      <w:r w:rsidR="003C22D4">
        <w:rPr>
          <w:lang w:eastAsia="zh-CN"/>
        </w:rPr>
        <w:t>DG</w:t>
      </w:r>
      <w:r w:rsidR="003C22D4">
        <w:rPr>
          <w:rFonts w:hint="eastAsia"/>
          <w:lang w:eastAsia="zh-CN"/>
        </w:rPr>
        <w:t>的工作；</w:t>
      </w:r>
    </w:p>
    <w:p w14:paraId="4827B3CD" w14:textId="77777777" w:rsidR="003C22D4" w:rsidRPr="007E0E7A" w:rsidRDefault="003C22D4" w:rsidP="003C22D4">
      <w:pPr>
        <w:rPr>
          <w:rFonts w:eastAsiaTheme="minorEastAsia" w:cs="Microsoft YaHei"/>
          <w:lang w:eastAsia="zh-CN"/>
        </w:rPr>
      </w:pPr>
      <w:r w:rsidRPr="00930AD7">
        <w:rPr>
          <w:rFonts w:eastAsiaTheme="minorEastAsia"/>
          <w:i/>
          <w:iCs/>
          <w:lang w:eastAsia="zh-CN"/>
        </w:rPr>
        <w:t>f)</w:t>
      </w:r>
      <w:r w:rsidRPr="00B465F3">
        <w:rPr>
          <w:rFonts w:eastAsiaTheme="minorEastAsia"/>
          <w:lang w:eastAsia="zh-CN"/>
        </w:rPr>
        <w:tab/>
      </w:r>
      <w:r w:rsidRPr="00B465F3">
        <w:rPr>
          <w:rFonts w:eastAsiaTheme="minorEastAsia" w:cs="Microsoft YaHei"/>
          <w:lang w:eastAsia="zh-CN"/>
        </w:rPr>
        <w:t>第</w:t>
      </w:r>
      <w:r w:rsidRPr="00B465F3">
        <w:rPr>
          <w:rFonts w:eastAsiaTheme="minorEastAsia"/>
          <w:lang w:eastAsia="zh-CN"/>
        </w:rPr>
        <w:t>102</w:t>
      </w:r>
      <w:r w:rsidRPr="00B465F3">
        <w:rPr>
          <w:rFonts w:eastAsiaTheme="minorEastAsia" w:cs="Microsoft YaHei"/>
          <w:lang w:eastAsia="zh-CN"/>
        </w:rPr>
        <w:t>号决议（</w:t>
      </w:r>
      <w:r w:rsidRPr="00B465F3">
        <w:rPr>
          <w:rFonts w:eastAsiaTheme="minorEastAsia"/>
          <w:lang w:eastAsia="zh-CN"/>
        </w:rPr>
        <w:t>201</w:t>
      </w:r>
      <w:r>
        <w:rPr>
          <w:rFonts w:eastAsiaTheme="minorEastAsia"/>
          <w:lang w:eastAsia="zh-CN"/>
        </w:rPr>
        <w:t>8</w:t>
      </w:r>
      <w:r w:rsidRPr="00B465F3">
        <w:rPr>
          <w:rFonts w:eastAsiaTheme="minorEastAsia" w:cs="Microsoft YaHei"/>
          <w:lang w:eastAsia="zh-CN"/>
        </w:rPr>
        <w:t>年，</w:t>
      </w:r>
      <w:r>
        <w:rPr>
          <w:rFonts w:eastAsiaTheme="minorEastAsia" w:cs="Microsoft YaHei" w:hint="eastAsia"/>
          <w:lang w:eastAsia="zh-CN"/>
        </w:rPr>
        <w:t>迪拜</w:t>
      </w:r>
      <w:r w:rsidRPr="00B465F3">
        <w:rPr>
          <w:rFonts w:eastAsiaTheme="minorEastAsia" w:cs="Microsoft YaHei"/>
          <w:lang w:eastAsia="zh-CN"/>
        </w:rPr>
        <w:t>，修订版）的考虑到、认识到和强调部分的内容受到《突尼斯议程》（</w:t>
      </w:r>
      <w:r w:rsidRPr="00B465F3">
        <w:rPr>
          <w:rFonts w:eastAsiaTheme="minorEastAsia"/>
          <w:lang w:eastAsia="zh-CN"/>
        </w:rPr>
        <w:t>WSIS</w:t>
      </w:r>
      <w:r w:rsidRPr="00B465F3">
        <w:rPr>
          <w:rFonts w:eastAsiaTheme="minorEastAsia" w:cs="Microsoft YaHei"/>
          <w:lang w:eastAsia="zh-CN"/>
        </w:rPr>
        <w:t>相关会议成果）有关互联网管理的第</w:t>
      </w:r>
      <w:r w:rsidRPr="00B465F3">
        <w:rPr>
          <w:rFonts w:eastAsiaTheme="minorEastAsia"/>
          <w:lang w:eastAsia="zh-CN"/>
        </w:rPr>
        <w:t>29-82</w:t>
      </w:r>
      <w:r w:rsidRPr="00B465F3">
        <w:rPr>
          <w:rFonts w:eastAsiaTheme="minorEastAsia" w:cs="Microsoft YaHei"/>
          <w:lang w:eastAsia="zh-CN"/>
        </w:rPr>
        <w:t>段的启</w:t>
      </w:r>
      <w:r>
        <w:rPr>
          <w:rFonts w:eastAsiaTheme="minorEastAsia" w:cs="Microsoft YaHei" w:hint="eastAsia"/>
          <w:lang w:eastAsia="zh-CN"/>
        </w:rPr>
        <w:t>发</w:t>
      </w:r>
      <w:r w:rsidRPr="00B465F3">
        <w:rPr>
          <w:rFonts w:eastAsiaTheme="minorEastAsia" w:cs="Microsoft YaHei"/>
          <w:lang w:eastAsia="zh-CN"/>
        </w:rPr>
        <w:t>并做出决议，</w:t>
      </w:r>
      <w:r>
        <w:rPr>
          <w:rFonts w:ascii="SimSun" w:hAnsi="SimSun" w:cs="SimSun" w:hint="eastAsia"/>
          <w:lang w:eastAsia="zh-CN"/>
        </w:rPr>
        <w:t>寻</w:t>
      </w:r>
      <w:r>
        <w:rPr>
          <w:rFonts w:hint="eastAsia"/>
          <w:lang w:eastAsia="zh-CN"/>
        </w:rPr>
        <w:t>求方法和途径，并且酌情通过合作协议，在新兴电信</w:t>
      </w:r>
      <w:r>
        <w:rPr>
          <w:lang w:eastAsia="zh-CN"/>
        </w:rPr>
        <w:t>/ICT</w:t>
      </w:r>
      <w:r>
        <w:rPr>
          <w:rFonts w:hint="eastAsia"/>
          <w:lang w:eastAsia="zh-CN"/>
        </w:rPr>
        <w:t>的背景下扩大国际电联同参与发展基于</w:t>
      </w:r>
      <w:r>
        <w:rPr>
          <w:lang w:eastAsia="zh-CN"/>
        </w:rPr>
        <w:t>IP</w:t>
      </w:r>
      <w:r>
        <w:rPr>
          <w:rFonts w:hint="eastAsia"/>
          <w:lang w:eastAsia="zh-CN"/>
        </w:rPr>
        <w:t>网络和未来互联网的相关组织</w:t>
      </w:r>
      <w:r w:rsidRPr="00D831F0">
        <w:rPr>
          <w:rFonts w:eastAsiaTheme="minorEastAsia"/>
          <w:vertAlign w:val="superscript"/>
          <w:lang w:eastAsia="zh-CN"/>
        </w:rPr>
        <w:footnoteReference w:customMarkFollows="1" w:id="9"/>
        <w:t>1</w:t>
      </w:r>
      <w:r>
        <w:rPr>
          <w:rFonts w:hint="eastAsia"/>
          <w:lang w:eastAsia="zh-CN"/>
        </w:rPr>
        <w:t>的互惠协作与合作，以便加强</w:t>
      </w:r>
      <w:r>
        <w:rPr>
          <w:rFonts w:ascii="SimSun" w:hAnsi="SimSun" w:cs="SimSun" w:hint="eastAsia"/>
          <w:lang w:eastAsia="zh-CN"/>
        </w:rPr>
        <w:t>国际电联在互联网管理方面的作用并推动成员国更多地参与互联网治理，确保全球社会获得</w:t>
      </w:r>
      <w:r>
        <w:rPr>
          <w:rFonts w:ascii="SimSun" w:hAnsi="SimSun" w:cs="SimSun" w:hint="eastAsia"/>
          <w:color w:val="000000"/>
          <w:szCs w:val="24"/>
          <w:lang w:eastAsia="zh-CN"/>
        </w:rPr>
        <w:t>最大惠益并且推动价格可承受的国际互连互通</w:t>
      </w:r>
      <w:r>
        <w:rPr>
          <w:rFonts w:eastAsiaTheme="minorEastAsia" w:cs="Microsoft YaHei" w:hint="eastAsia"/>
          <w:lang w:eastAsia="zh-CN"/>
        </w:rPr>
        <w:t>，</w:t>
      </w:r>
    </w:p>
    <w:p w14:paraId="4827B3CE" w14:textId="77777777" w:rsidR="003C22D4" w:rsidRPr="008E39D8" w:rsidRDefault="003C22D4" w:rsidP="003C22D4">
      <w:pPr>
        <w:pStyle w:val="Call"/>
        <w:rPr>
          <w:lang w:eastAsia="zh-CN"/>
        </w:rPr>
      </w:pPr>
      <w:r w:rsidRPr="008E39D8">
        <w:rPr>
          <w:lang w:eastAsia="zh-CN"/>
        </w:rPr>
        <w:t>认识到</w:t>
      </w:r>
    </w:p>
    <w:p w14:paraId="4827B3CF" w14:textId="77777777" w:rsidR="003C22D4" w:rsidRPr="00B465F3" w:rsidRDefault="003C22D4" w:rsidP="003C22D4">
      <w:pPr>
        <w:rPr>
          <w:rFonts w:eastAsiaTheme="minorEastAsia"/>
          <w:lang w:eastAsia="zh-CN"/>
        </w:rPr>
      </w:pPr>
      <w:r w:rsidRPr="00930AD7">
        <w:rPr>
          <w:rFonts w:eastAsiaTheme="minorEastAsia"/>
          <w:i/>
          <w:iCs/>
          <w:lang w:eastAsia="zh-CN"/>
        </w:rPr>
        <w:t>a)</w:t>
      </w:r>
      <w:r w:rsidRPr="00B465F3">
        <w:rPr>
          <w:rFonts w:eastAsiaTheme="minorEastAsia"/>
          <w:lang w:eastAsia="zh-CN"/>
        </w:rPr>
        <w:tab/>
      </w:r>
      <w:r w:rsidRPr="00B465F3">
        <w:rPr>
          <w:rFonts w:eastAsiaTheme="minorEastAsia" w:cs="Microsoft YaHei"/>
          <w:lang w:eastAsia="zh-CN"/>
        </w:rPr>
        <w:t>国际电联</w:t>
      </w:r>
      <w:r>
        <w:rPr>
          <w:rFonts w:eastAsiaTheme="minorEastAsia" w:cs="Microsoft YaHei" w:hint="eastAsia"/>
          <w:lang w:eastAsia="zh-CN"/>
        </w:rPr>
        <w:t>承诺在</w:t>
      </w:r>
      <w:r w:rsidRPr="00B465F3">
        <w:rPr>
          <w:rFonts w:eastAsiaTheme="minorEastAsia" w:cs="Microsoft YaHei"/>
          <w:lang w:eastAsia="zh-CN"/>
        </w:rPr>
        <w:t>其</w:t>
      </w:r>
      <w:r>
        <w:rPr>
          <w:rFonts w:eastAsiaTheme="minorEastAsia" w:cs="Microsoft YaHei" w:hint="eastAsia"/>
          <w:lang w:eastAsia="zh-CN"/>
        </w:rPr>
        <w:t>职责范围</w:t>
      </w:r>
      <w:r w:rsidRPr="00B465F3">
        <w:rPr>
          <w:rFonts w:eastAsiaTheme="minorEastAsia" w:cs="Microsoft YaHei"/>
          <w:lang w:eastAsia="zh-CN"/>
        </w:rPr>
        <w:t>内</w:t>
      </w:r>
      <w:r>
        <w:rPr>
          <w:rFonts w:eastAsiaTheme="minorEastAsia" w:cs="Microsoft YaHei" w:hint="eastAsia"/>
          <w:lang w:eastAsia="zh-CN"/>
        </w:rPr>
        <w:t>落实</w:t>
      </w:r>
      <w:r w:rsidRPr="00B465F3">
        <w:rPr>
          <w:rFonts w:eastAsiaTheme="minorEastAsia"/>
          <w:lang w:eastAsia="zh-CN"/>
        </w:rPr>
        <w:t>WSIS</w:t>
      </w:r>
      <w:r>
        <w:rPr>
          <w:rFonts w:eastAsiaTheme="minorEastAsia" w:cs="Microsoft YaHei" w:hint="eastAsia"/>
          <w:lang w:eastAsia="zh-CN"/>
        </w:rPr>
        <w:t>成果和实现</w:t>
      </w:r>
      <w:r>
        <w:rPr>
          <w:rFonts w:eastAsiaTheme="minorEastAsia" w:cs="Microsoft YaHei" w:hint="eastAsia"/>
          <w:lang w:eastAsia="zh-CN"/>
        </w:rPr>
        <w:t>S</w:t>
      </w:r>
      <w:r>
        <w:rPr>
          <w:rFonts w:eastAsiaTheme="minorEastAsia" w:cs="Microsoft YaHei"/>
          <w:lang w:eastAsia="zh-CN"/>
        </w:rPr>
        <w:t>DG</w:t>
      </w:r>
      <w:r w:rsidRPr="00B465F3">
        <w:rPr>
          <w:rFonts w:eastAsiaTheme="minorEastAsia" w:cs="Microsoft YaHei"/>
          <w:lang w:eastAsia="zh-CN"/>
        </w:rPr>
        <w:t>，将此作为国际电联最重要的总体目标之一；</w:t>
      </w:r>
    </w:p>
    <w:p w14:paraId="4827B3D0" w14:textId="77777777" w:rsidR="003C22D4" w:rsidRPr="007E0E7A" w:rsidRDefault="003C22D4" w:rsidP="003C22D4">
      <w:pPr>
        <w:rPr>
          <w:rFonts w:ascii="Microsoft YaHei" w:eastAsia="Microsoft YaHei" w:hAnsi="Microsoft YaHei" w:cs="Microsoft YaHei"/>
          <w:color w:val="000000"/>
          <w:sz w:val="20"/>
          <w:lang w:eastAsia="zh-CN"/>
        </w:rPr>
      </w:pPr>
      <w:r w:rsidRPr="00930AD7">
        <w:rPr>
          <w:rFonts w:eastAsiaTheme="minorEastAsia"/>
          <w:i/>
          <w:iCs/>
          <w:lang w:eastAsia="zh-CN"/>
        </w:rPr>
        <w:t>b)</w:t>
      </w:r>
      <w:r w:rsidRPr="00B465F3">
        <w:rPr>
          <w:rFonts w:eastAsiaTheme="minorEastAsia"/>
          <w:lang w:eastAsia="zh-CN"/>
        </w:rPr>
        <w:tab/>
      </w:r>
      <w:r w:rsidRPr="007E0E7A">
        <w:rPr>
          <w:rFonts w:eastAsiaTheme="minorEastAsia" w:cs="Microsoft YaHei"/>
          <w:lang w:eastAsia="zh-CN"/>
        </w:rPr>
        <w:t>联合国大会</w:t>
      </w:r>
      <w:r w:rsidRPr="00B465F3">
        <w:rPr>
          <w:rFonts w:eastAsiaTheme="minorEastAsia" w:cs="Microsoft YaHei"/>
          <w:lang w:eastAsia="zh-CN"/>
        </w:rPr>
        <w:t>关于</w:t>
      </w:r>
      <w:r w:rsidRPr="007E0E7A">
        <w:rPr>
          <w:rFonts w:eastAsiaTheme="minorEastAsia" w:cs="Microsoft YaHei"/>
          <w:lang w:eastAsia="zh-CN"/>
        </w:rPr>
        <w:t>全面审查</w:t>
      </w:r>
      <w:r w:rsidRPr="007E0E7A">
        <w:rPr>
          <w:rFonts w:eastAsiaTheme="minorEastAsia" w:cs="Microsoft YaHei"/>
          <w:lang w:eastAsia="zh-CN"/>
        </w:rPr>
        <w:t>WSIS</w:t>
      </w:r>
      <w:r w:rsidRPr="007E0E7A">
        <w:rPr>
          <w:rFonts w:eastAsiaTheme="minorEastAsia" w:cs="Microsoft YaHei"/>
          <w:lang w:eastAsia="zh-CN"/>
        </w:rPr>
        <w:t>成果落实</w:t>
      </w:r>
      <w:r w:rsidRPr="007E0E7A">
        <w:rPr>
          <w:rFonts w:eastAsiaTheme="minorEastAsia" w:cs="Microsoft YaHei" w:hint="eastAsia"/>
          <w:lang w:eastAsia="zh-CN"/>
        </w:rPr>
        <w:t>的</w:t>
      </w:r>
      <w:r w:rsidRPr="007E0E7A">
        <w:rPr>
          <w:rFonts w:eastAsiaTheme="minorEastAsia" w:cs="Microsoft YaHei"/>
          <w:lang w:eastAsia="zh-CN"/>
        </w:rPr>
        <w:t>成果文</w:t>
      </w:r>
      <w:r w:rsidRPr="007E0E7A">
        <w:rPr>
          <w:rFonts w:eastAsiaTheme="minorEastAsia" w:cs="Microsoft YaHei" w:hint="eastAsia"/>
          <w:lang w:eastAsia="zh-CN"/>
        </w:rPr>
        <w:t>件</w:t>
      </w:r>
      <w:r w:rsidRPr="007E0E7A">
        <w:rPr>
          <w:rFonts w:eastAsiaTheme="minorEastAsia" w:cs="Microsoft YaHei"/>
          <w:lang w:eastAsia="zh-CN"/>
        </w:rPr>
        <w:t>，</w:t>
      </w:r>
      <w:r w:rsidRPr="00B465F3">
        <w:rPr>
          <w:rFonts w:eastAsiaTheme="minorEastAsia" w:cs="Microsoft YaHei"/>
          <w:lang w:eastAsia="zh-CN"/>
        </w:rPr>
        <w:t>对</w:t>
      </w:r>
      <w:r>
        <w:rPr>
          <w:rFonts w:eastAsiaTheme="minorEastAsia" w:cs="Microsoft YaHei" w:hint="eastAsia"/>
          <w:lang w:eastAsia="zh-CN"/>
        </w:rPr>
        <w:t>于</w:t>
      </w:r>
      <w:r w:rsidRPr="00B465F3">
        <w:rPr>
          <w:rFonts w:eastAsiaTheme="minorEastAsia" w:cs="Microsoft YaHei"/>
          <w:lang w:eastAsia="zh-CN"/>
        </w:rPr>
        <w:t>国际电联</w:t>
      </w:r>
      <w:r>
        <w:rPr>
          <w:rFonts w:eastAsiaTheme="minorEastAsia" w:cs="Microsoft YaHei" w:hint="eastAsia"/>
          <w:lang w:eastAsia="zh-CN"/>
        </w:rPr>
        <w:t>各项</w:t>
      </w:r>
      <w:r w:rsidRPr="00B465F3">
        <w:rPr>
          <w:rFonts w:eastAsiaTheme="minorEastAsia" w:cs="Microsoft YaHei"/>
          <w:lang w:eastAsia="zh-CN"/>
        </w:rPr>
        <w:t>活动</w:t>
      </w:r>
      <w:r>
        <w:rPr>
          <w:rFonts w:eastAsiaTheme="minorEastAsia" w:cs="Microsoft YaHei" w:hint="eastAsia"/>
          <w:lang w:eastAsia="zh-CN"/>
        </w:rPr>
        <w:t>具有</w:t>
      </w:r>
      <w:r w:rsidRPr="00B465F3">
        <w:rPr>
          <w:rFonts w:eastAsiaTheme="minorEastAsia" w:cs="Microsoft YaHei"/>
          <w:lang w:eastAsia="zh-CN"/>
        </w:rPr>
        <w:t>实质性影响；</w:t>
      </w:r>
    </w:p>
    <w:p w14:paraId="4827B3D1" w14:textId="77777777" w:rsidR="003C22D4" w:rsidRPr="00B465F3" w:rsidRDefault="003C22D4" w:rsidP="003C22D4">
      <w:pPr>
        <w:rPr>
          <w:rFonts w:eastAsiaTheme="minorEastAsia"/>
          <w:lang w:eastAsia="zh-CN"/>
        </w:rPr>
      </w:pPr>
      <w:r w:rsidRPr="00930AD7">
        <w:rPr>
          <w:rFonts w:eastAsiaTheme="minorEastAsia"/>
          <w:i/>
          <w:iCs/>
          <w:lang w:eastAsia="zh-CN"/>
        </w:rPr>
        <w:t>c)</w:t>
      </w:r>
      <w:r w:rsidRPr="00B465F3">
        <w:rPr>
          <w:rFonts w:eastAsiaTheme="minorEastAsia"/>
          <w:lang w:eastAsia="zh-CN"/>
        </w:rPr>
        <w:tab/>
      </w:r>
      <w:r w:rsidRPr="00B465F3">
        <w:rPr>
          <w:rFonts w:eastAsiaTheme="minorEastAsia" w:cs="Microsoft YaHei"/>
          <w:lang w:eastAsia="zh-CN"/>
        </w:rPr>
        <w:t>《</w:t>
      </w:r>
      <w:r w:rsidRPr="00B465F3">
        <w:rPr>
          <w:rFonts w:eastAsiaTheme="minorEastAsia"/>
          <w:lang w:eastAsia="zh-CN"/>
        </w:rPr>
        <w:t>2030</w:t>
      </w:r>
      <w:r w:rsidRPr="00B465F3">
        <w:rPr>
          <w:rFonts w:eastAsiaTheme="minorEastAsia" w:cs="Microsoft YaHei"/>
          <w:lang w:eastAsia="zh-CN"/>
        </w:rPr>
        <w:t>年可持续发展议程》</w:t>
      </w:r>
      <w:r>
        <w:rPr>
          <w:rFonts w:eastAsiaTheme="minorEastAsia" w:cs="Microsoft YaHei" w:hint="eastAsia"/>
          <w:lang w:eastAsia="zh-CN"/>
        </w:rPr>
        <w:t>对于</w:t>
      </w:r>
      <w:r w:rsidRPr="00B465F3">
        <w:rPr>
          <w:rFonts w:eastAsiaTheme="minorEastAsia" w:cs="Microsoft YaHei"/>
          <w:lang w:eastAsia="zh-CN"/>
        </w:rPr>
        <w:t>国际电联各项活动</w:t>
      </w:r>
      <w:r>
        <w:rPr>
          <w:rFonts w:eastAsiaTheme="minorEastAsia" w:cs="Microsoft YaHei" w:hint="eastAsia"/>
          <w:lang w:eastAsia="zh-CN"/>
        </w:rPr>
        <w:t>具有</w:t>
      </w:r>
      <w:r w:rsidRPr="00B465F3">
        <w:rPr>
          <w:rFonts w:eastAsiaTheme="minorEastAsia" w:cs="Microsoft YaHei"/>
          <w:lang w:eastAsia="zh-CN"/>
        </w:rPr>
        <w:t>实质</w:t>
      </w:r>
      <w:r>
        <w:rPr>
          <w:rFonts w:eastAsiaTheme="minorEastAsia" w:cs="Microsoft YaHei" w:hint="eastAsia"/>
          <w:lang w:eastAsia="zh-CN"/>
        </w:rPr>
        <w:t>性</w:t>
      </w:r>
      <w:r w:rsidRPr="00B465F3">
        <w:rPr>
          <w:rFonts w:eastAsiaTheme="minorEastAsia" w:cs="Microsoft YaHei"/>
          <w:lang w:eastAsia="zh-CN"/>
        </w:rPr>
        <w:t>影响，</w:t>
      </w:r>
    </w:p>
    <w:p w14:paraId="4827B3D2" w14:textId="77777777" w:rsidR="003C22D4" w:rsidRPr="00964204" w:rsidRDefault="003C22D4" w:rsidP="003C22D4">
      <w:pPr>
        <w:pStyle w:val="Call"/>
        <w:rPr>
          <w:lang w:eastAsia="zh-CN"/>
        </w:rPr>
      </w:pPr>
      <w:r w:rsidRPr="00964204">
        <w:rPr>
          <w:lang w:eastAsia="zh-CN"/>
        </w:rPr>
        <w:t>注意到</w:t>
      </w:r>
    </w:p>
    <w:p w14:paraId="4827B3D3" w14:textId="77777777" w:rsidR="003C22D4" w:rsidRPr="00B465F3" w:rsidRDefault="003C22D4" w:rsidP="003C22D4">
      <w:pPr>
        <w:ind w:firstLineChars="200" w:firstLine="480"/>
        <w:rPr>
          <w:rFonts w:eastAsiaTheme="minorEastAsia"/>
          <w:lang w:eastAsia="zh-CN"/>
        </w:rPr>
      </w:pPr>
      <w:r w:rsidRPr="00B465F3">
        <w:rPr>
          <w:rFonts w:eastAsiaTheme="minorEastAsia" w:cs="Microsoft YaHei"/>
          <w:lang w:eastAsia="zh-CN"/>
        </w:rPr>
        <w:t>国际电联秘书长成立了国际电联</w:t>
      </w:r>
      <w:r w:rsidRPr="00B465F3">
        <w:rPr>
          <w:rFonts w:eastAsiaTheme="minorEastAsia"/>
          <w:lang w:eastAsia="zh-CN"/>
        </w:rPr>
        <w:t>WSIS</w:t>
      </w:r>
      <w:r>
        <w:rPr>
          <w:rFonts w:eastAsiaTheme="minorEastAsia"/>
          <w:lang w:eastAsia="zh-CN"/>
        </w:rPr>
        <w:t>&amp;SDG</w:t>
      </w:r>
      <w:r w:rsidRPr="00B465F3">
        <w:rPr>
          <w:rFonts w:eastAsiaTheme="minorEastAsia" w:cs="Microsoft YaHei"/>
          <w:lang w:eastAsia="zh-CN"/>
        </w:rPr>
        <w:t>任务组，其作用在于制定战略</w:t>
      </w:r>
      <w:r>
        <w:rPr>
          <w:rFonts w:eastAsiaTheme="minorEastAsia" w:cs="Microsoft YaHei" w:hint="eastAsia"/>
          <w:lang w:eastAsia="zh-CN"/>
        </w:rPr>
        <w:t>并且</w:t>
      </w:r>
      <w:r w:rsidRPr="00B465F3">
        <w:rPr>
          <w:rFonts w:eastAsiaTheme="minorEastAsia" w:cs="Microsoft YaHei"/>
          <w:lang w:eastAsia="zh-CN"/>
        </w:rPr>
        <w:t>协调国际电联</w:t>
      </w:r>
      <w:r>
        <w:rPr>
          <w:rFonts w:eastAsiaTheme="minorEastAsia" w:cs="Microsoft YaHei" w:hint="eastAsia"/>
          <w:lang w:eastAsia="zh-CN"/>
        </w:rPr>
        <w:t>与</w:t>
      </w:r>
      <w:r w:rsidRPr="00B465F3">
        <w:rPr>
          <w:rFonts w:eastAsiaTheme="minorEastAsia"/>
          <w:lang w:eastAsia="zh-CN"/>
        </w:rPr>
        <w:t>WSIS</w:t>
      </w:r>
      <w:r>
        <w:rPr>
          <w:rFonts w:eastAsiaTheme="minorEastAsia" w:hint="eastAsia"/>
          <w:lang w:eastAsia="zh-CN"/>
        </w:rPr>
        <w:t>和</w:t>
      </w:r>
      <w:r>
        <w:rPr>
          <w:rFonts w:eastAsiaTheme="minorEastAsia" w:hint="eastAsia"/>
          <w:lang w:eastAsia="zh-CN"/>
        </w:rPr>
        <w:t>S</w:t>
      </w:r>
      <w:r>
        <w:rPr>
          <w:rFonts w:eastAsiaTheme="minorEastAsia"/>
          <w:lang w:eastAsia="zh-CN"/>
        </w:rPr>
        <w:t>DG</w:t>
      </w:r>
      <w:r>
        <w:rPr>
          <w:rFonts w:eastAsiaTheme="minorEastAsia" w:hint="eastAsia"/>
          <w:lang w:eastAsia="zh-CN"/>
        </w:rPr>
        <w:t>相关的</w:t>
      </w:r>
      <w:r w:rsidRPr="00B465F3">
        <w:rPr>
          <w:rFonts w:eastAsiaTheme="minorEastAsia" w:cs="Microsoft YaHei"/>
          <w:lang w:eastAsia="zh-CN"/>
        </w:rPr>
        <w:t>政策</w:t>
      </w:r>
      <w:r>
        <w:rPr>
          <w:rFonts w:eastAsiaTheme="minorEastAsia" w:cs="Microsoft YaHei" w:hint="eastAsia"/>
          <w:lang w:eastAsia="zh-CN"/>
        </w:rPr>
        <w:t>与</w:t>
      </w:r>
      <w:r w:rsidRPr="00B465F3">
        <w:rPr>
          <w:rFonts w:eastAsiaTheme="minorEastAsia" w:cs="Microsoft YaHei"/>
          <w:lang w:eastAsia="zh-CN"/>
        </w:rPr>
        <w:t>活动，</w:t>
      </w:r>
      <w:r>
        <w:rPr>
          <w:rFonts w:eastAsiaTheme="minorEastAsia" w:cs="Microsoft YaHei" w:hint="eastAsia"/>
          <w:lang w:eastAsia="zh-CN"/>
        </w:rPr>
        <w:t>此</w:t>
      </w:r>
      <w:r w:rsidRPr="00B465F3">
        <w:rPr>
          <w:rFonts w:eastAsiaTheme="minorEastAsia" w:cs="Microsoft YaHei"/>
          <w:lang w:eastAsia="zh-CN"/>
        </w:rPr>
        <w:t>任务组主席由副秘书长</w:t>
      </w:r>
      <w:r>
        <w:rPr>
          <w:rFonts w:eastAsiaTheme="minorEastAsia" w:cs="Microsoft YaHei" w:hint="eastAsia"/>
          <w:lang w:eastAsia="zh-CN"/>
        </w:rPr>
        <w:t>担任</w:t>
      </w:r>
      <w:r w:rsidRPr="00B465F3">
        <w:rPr>
          <w:rFonts w:eastAsiaTheme="minorEastAsia" w:cs="Microsoft YaHei"/>
          <w:lang w:eastAsia="zh-CN"/>
        </w:rPr>
        <w:t>，</w:t>
      </w:r>
    </w:p>
    <w:p w14:paraId="4827B3D4" w14:textId="77777777" w:rsidR="003C22D4" w:rsidRPr="008E39D8" w:rsidRDefault="003C22D4" w:rsidP="003C22D4">
      <w:pPr>
        <w:pStyle w:val="Call"/>
        <w:rPr>
          <w:lang w:eastAsia="zh-CN"/>
        </w:rPr>
      </w:pPr>
      <w:r w:rsidRPr="008E39D8">
        <w:rPr>
          <w:lang w:eastAsia="zh-CN"/>
        </w:rPr>
        <w:t>做出决议</w:t>
      </w:r>
    </w:p>
    <w:p w14:paraId="4827B3D5" w14:textId="77777777" w:rsidR="003C22D4" w:rsidRPr="00B465F3" w:rsidRDefault="003C22D4" w:rsidP="003C22D4">
      <w:pPr>
        <w:rPr>
          <w:rFonts w:eastAsiaTheme="minorEastAsia"/>
          <w:lang w:eastAsia="zh-CN"/>
        </w:rPr>
      </w:pPr>
      <w:r w:rsidRPr="00B465F3">
        <w:rPr>
          <w:rFonts w:eastAsiaTheme="minorEastAsia"/>
          <w:lang w:eastAsia="zh-CN"/>
        </w:rPr>
        <w:t>1</w:t>
      </w:r>
      <w:r w:rsidRPr="00B465F3">
        <w:rPr>
          <w:rFonts w:eastAsiaTheme="minorEastAsia"/>
          <w:lang w:eastAsia="zh-CN"/>
        </w:rPr>
        <w:tab/>
      </w:r>
      <w:r w:rsidRPr="00B465F3">
        <w:rPr>
          <w:rFonts w:eastAsiaTheme="minorEastAsia" w:cs="Microsoft YaHei"/>
          <w:lang w:eastAsia="zh-CN"/>
        </w:rPr>
        <w:t>如《突尼斯议程》第</w:t>
      </w:r>
      <w:r w:rsidRPr="00B465F3">
        <w:rPr>
          <w:rFonts w:eastAsiaTheme="minorEastAsia"/>
          <w:lang w:eastAsia="zh-CN"/>
        </w:rPr>
        <w:t>109</w:t>
      </w:r>
      <w:r w:rsidRPr="00B465F3">
        <w:rPr>
          <w:rFonts w:eastAsiaTheme="minorEastAsia" w:cs="Microsoft YaHei"/>
          <w:lang w:eastAsia="zh-CN"/>
        </w:rPr>
        <w:t>段所述，国际电联应与联合国教科文组织（</w:t>
      </w:r>
      <w:r w:rsidRPr="00B465F3">
        <w:rPr>
          <w:rFonts w:eastAsiaTheme="minorEastAsia"/>
          <w:lang w:eastAsia="zh-CN"/>
        </w:rPr>
        <w:t>UNESCO</w:t>
      </w:r>
      <w:r w:rsidRPr="00B465F3">
        <w:rPr>
          <w:rFonts w:eastAsiaTheme="minorEastAsia" w:cs="Microsoft YaHei"/>
          <w:lang w:eastAsia="zh-CN"/>
        </w:rPr>
        <w:t>）和联合国开发计划署（</w:t>
      </w:r>
      <w:r w:rsidRPr="00B465F3">
        <w:rPr>
          <w:rFonts w:eastAsiaTheme="minorEastAsia"/>
          <w:lang w:eastAsia="zh-CN"/>
        </w:rPr>
        <w:t>UNDP</w:t>
      </w:r>
      <w:r w:rsidRPr="00B465F3">
        <w:rPr>
          <w:rFonts w:eastAsiaTheme="minorEastAsia" w:cs="Microsoft YaHei"/>
          <w:lang w:eastAsia="zh-CN"/>
        </w:rPr>
        <w:t>）一道，在</w:t>
      </w:r>
      <w:r w:rsidRPr="00B465F3">
        <w:rPr>
          <w:rFonts w:eastAsiaTheme="minorEastAsia"/>
          <w:lang w:eastAsia="zh-CN"/>
        </w:rPr>
        <w:t>WSIS</w:t>
      </w:r>
      <w:r>
        <w:rPr>
          <w:rFonts w:eastAsiaTheme="minorEastAsia" w:cs="Microsoft YaHei"/>
          <w:lang w:eastAsia="zh-CN"/>
        </w:rPr>
        <w:t>成果落实进程中发挥主</w:t>
      </w:r>
      <w:r>
        <w:rPr>
          <w:rFonts w:eastAsiaTheme="minorEastAsia" w:cs="Microsoft YaHei" w:hint="eastAsia"/>
          <w:lang w:eastAsia="zh-CN"/>
        </w:rPr>
        <w:t>要推动</w:t>
      </w:r>
      <w:r w:rsidRPr="00B465F3">
        <w:rPr>
          <w:rFonts w:eastAsiaTheme="minorEastAsia" w:cs="Microsoft YaHei"/>
          <w:lang w:eastAsia="zh-CN"/>
        </w:rPr>
        <w:t>作用；</w:t>
      </w:r>
    </w:p>
    <w:p w14:paraId="4827B3D6" w14:textId="77777777" w:rsidR="0082299F" w:rsidRDefault="0082299F">
      <w:pPr>
        <w:tabs>
          <w:tab w:val="clear" w:pos="794"/>
          <w:tab w:val="clear" w:pos="1191"/>
          <w:tab w:val="clear" w:pos="1588"/>
          <w:tab w:val="clear" w:pos="1985"/>
        </w:tabs>
        <w:overflowPunct/>
        <w:autoSpaceDE/>
        <w:autoSpaceDN/>
        <w:adjustRightInd/>
        <w:spacing w:before="0"/>
        <w:jc w:val="left"/>
        <w:textAlignment w:val="auto"/>
        <w:rPr>
          <w:rFonts w:eastAsiaTheme="minorEastAsia"/>
          <w:lang w:eastAsia="zh-CN"/>
        </w:rPr>
      </w:pPr>
    </w:p>
    <w:p w14:paraId="4827B3D7" w14:textId="77777777" w:rsidR="0082299F" w:rsidRDefault="0082299F">
      <w:pPr>
        <w:tabs>
          <w:tab w:val="clear" w:pos="794"/>
          <w:tab w:val="clear" w:pos="1191"/>
          <w:tab w:val="clear" w:pos="1588"/>
          <w:tab w:val="clear" w:pos="1985"/>
        </w:tabs>
        <w:overflowPunct/>
        <w:autoSpaceDE/>
        <w:autoSpaceDN/>
        <w:adjustRightInd/>
        <w:spacing w:before="0"/>
        <w:jc w:val="left"/>
        <w:textAlignment w:val="auto"/>
        <w:rPr>
          <w:rFonts w:eastAsiaTheme="minorEastAsia"/>
          <w:lang w:eastAsia="zh-CN"/>
        </w:rPr>
      </w:pPr>
      <w:r>
        <w:rPr>
          <w:rFonts w:eastAsiaTheme="minorEastAsia"/>
          <w:lang w:eastAsia="zh-CN"/>
        </w:rPr>
        <w:br w:type="page"/>
      </w:r>
    </w:p>
    <w:p w14:paraId="4827B3D8" w14:textId="77777777" w:rsidR="003C22D4" w:rsidRPr="00B465F3" w:rsidRDefault="003C22D4" w:rsidP="003C22D4">
      <w:pPr>
        <w:rPr>
          <w:rFonts w:eastAsiaTheme="minorEastAsia"/>
          <w:lang w:eastAsia="zh-CN"/>
        </w:rPr>
      </w:pPr>
      <w:r w:rsidRPr="00B465F3">
        <w:rPr>
          <w:rFonts w:eastAsiaTheme="minorEastAsia"/>
          <w:lang w:eastAsia="zh-CN"/>
        </w:rPr>
        <w:lastRenderedPageBreak/>
        <w:t>2</w:t>
      </w:r>
      <w:r w:rsidRPr="00B465F3">
        <w:rPr>
          <w:rFonts w:eastAsiaTheme="minorEastAsia"/>
          <w:lang w:eastAsia="zh-CN"/>
        </w:rPr>
        <w:tab/>
      </w:r>
      <w:r w:rsidRPr="00B465F3">
        <w:rPr>
          <w:rFonts w:eastAsiaTheme="minorEastAsia" w:cs="Microsoft YaHei"/>
          <w:lang w:eastAsia="zh-CN"/>
        </w:rPr>
        <w:t>国际电联应继续协调</w:t>
      </w:r>
      <w:r w:rsidRPr="00B465F3">
        <w:rPr>
          <w:rFonts w:eastAsiaTheme="minorEastAsia"/>
          <w:lang w:eastAsia="zh-CN"/>
        </w:rPr>
        <w:t>WSIS</w:t>
      </w:r>
      <w:r w:rsidRPr="00B465F3">
        <w:rPr>
          <w:rFonts w:eastAsiaTheme="minorEastAsia" w:cs="Microsoft YaHei"/>
          <w:lang w:eastAsia="zh-CN"/>
        </w:rPr>
        <w:t>论坛、世界电信和信息社会日（</w:t>
      </w:r>
      <w:r w:rsidRPr="00B465F3">
        <w:rPr>
          <w:rFonts w:eastAsiaTheme="minorEastAsia"/>
          <w:lang w:eastAsia="zh-CN"/>
        </w:rPr>
        <w:t>WTISD</w:t>
      </w:r>
      <w:r w:rsidRPr="00B465F3">
        <w:rPr>
          <w:rFonts w:eastAsiaTheme="minorEastAsia" w:cs="Microsoft YaHei"/>
          <w:lang w:eastAsia="zh-CN"/>
        </w:rPr>
        <w:t>）以及</w:t>
      </w:r>
      <w:r w:rsidRPr="00B465F3">
        <w:rPr>
          <w:rFonts w:eastAsiaTheme="minorEastAsia"/>
          <w:lang w:eastAsia="zh-CN"/>
        </w:rPr>
        <w:t>WSIS</w:t>
      </w:r>
      <w:r w:rsidRPr="00B465F3">
        <w:rPr>
          <w:rFonts w:eastAsiaTheme="minorEastAsia" w:cs="Microsoft YaHei"/>
          <w:lang w:eastAsia="zh-CN"/>
        </w:rPr>
        <w:t>项目奖</w:t>
      </w:r>
      <w:r>
        <w:rPr>
          <w:rFonts w:eastAsiaTheme="minorEastAsia" w:cs="Microsoft YaHei" w:hint="eastAsia"/>
          <w:lang w:eastAsia="zh-CN"/>
        </w:rPr>
        <w:t>活动</w:t>
      </w:r>
      <w:r>
        <w:rPr>
          <w:rFonts w:eastAsiaTheme="minorEastAsia" w:cs="Microsoft YaHei"/>
          <w:lang w:eastAsia="zh-CN"/>
        </w:rPr>
        <w:t>，</w:t>
      </w:r>
      <w:r>
        <w:rPr>
          <w:rFonts w:eastAsiaTheme="minorEastAsia" w:cs="Microsoft YaHei" w:hint="eastAsia"/>
          <w:lang w:eastAsia="zh-CN"/>
        </w:rPr>
        <w:t>并且维护</w:t>
      </w:r>
      <w:r w:rsidRPr="00B465F3">
        <w:rPr>
          <w:rFonts w:eastAsiaTheme="minorEastAsia"/>
          <w:lang w:eastAsia="zh-CN"/>
        </w:rPr>
        <w:t>WSIS</w:t>
      </w:r>
      <w:r w:rsidRPr="00B465F3">
        <w:rPr>
          <w:rFonts w:eastAsiaTheme="minorEastAsia" w:cs="Microsoft YaHei"/>
          <w:lang w:eastAsia="zh-CN"/>
        </w:rPr>
        <w:t>清点</w:t>
      </w:r>
      <w:r>
        <w:rPr>
          <w:rFonts w:eastAsiaTheme="minorEastAsia" w:cs="Microsoft YaHei" w:hint="eastAsia"/>
          <w:lang w:eastAsia="zh-CN"/>
        </w:rPr>
        <w:t>工作</w:t>
      </w:r>
      <w:r w:rsidRPr="00B465F3">
        <w:rPr>
          <w:rFonts w:eastAsiaTheme="minorEastAsia" w:cs="Microsoft YaHei"/>
          <w:lang w:eastAsia="zh-CN"/>
        </w:rPr>
        <w:t>数据库，</w:t>
      </w:r>
      <w:r>
        <w:rPr>
          <w:rFonts w:eastAsiaTheme="minorEastAsia" w:cs="Microsoft YaHei" w:hint="eastAsia"/>
          <w:lang w:eastAsia="zh-CN"/>
        </w:rPr>
        <w:t>而且</w:t>
      </w:r>
      <w:r w:rsidRPr="00B465F3">
        <w:rPr>
          <w:rFonts w:eastAsiaTheme="minorEastAsia" w:cs="Microsoft YaHei"/>
          <w:lang w:eastAsia="zh-CN"/>
        </w:rPr>
        <w:t>继续协调和支持衡量信息通信技术促发展伙伴关系活动；</w:t>
      </w:r>
    </w:p>
    <w:p w14:paraId="4827B3D9" w14:textId="77777777" w:rsidR="003C22D4" w:rsidRPr="00B465F3" w:rsidRDefault="003C22D4" w:rsidP="003C22D4">
      <w:pPr>
        <w:rPr>
          <w:rFonts w:eastAsiaTheme="minorEastAsia"/>
          <w:lang w:eastAsia="zh-CN"/>
        </w:rPr>
      </w:pPr>
      <w:r w:rsidRPr="00B465F3">
        <w:rPr>
          <w:rFonts w:eastAsiaTheme="minorEastAsia"/>
          <w:lang w:eastAsia="zh-CN"/>
        </w:rPr>
        <w:t>3</w:t>
      </w:r>
      <w:r w:rsidRPr="00B465F3">
        <w:rPr>
          <w:rFonts w:eastAsiaTheme="minorEastAsia"/>
          <w:lang w:eastAsia="zh-CN"/>
        </w:rPr>
        <w:tab/>
      </w:r>
      <w:r w:rsidRPr="00B465F3">
        <w:rPr>
          <w:rFonts w:eastAsiaTheme="minorEastAsia" w:cs="Microsoft YaHei"/>
          <w:lang w:eastAsia="zh-CN"/>
        </w:rPr>
        <w:t>在国际电联</w:t>
      </w:r>
      <w:r>
        <w:rPr>
          <w:rFonts w:eastAsiaTheme="minorEastAsia" w:cs="Microsoft YaHei" w:hint="eastAsia"/>
          <w:lang w:eastAsia="zh-CN"/>
        </w:rPr>
        <w:t>的</w:t>
      </w:r>
      <w:r w:rsidRPr="00B465F3">
        <w:rPr>
          <w:rFonts w:eastAsiaTheme="minorEastAsia" w:cs="Microsoft YaHei"/>
          <w:lang w:eastAsia="zh-CN"/>
        </w:rPr>
        <w:t>职</w:t>
      </w:r>
      <w:r>
        <w:rPr>
          <w:rFonts w:eastAsiaTheme="minorEastAsia" w:cs="Microsoft YaHei" w:hint="eastAsia"/>
          <w:lang w:eastAsia="zh-CN"/>
        </w:rPr>
        <w:t>责</w:t>
      </w:r>
      <w:r w:rsidRPr="00B465F3">
        <w:rPr>
          <w:rFonts w:eastAsiaTheme="minorEastAsia" w:cs="Microsoft YaHei"/>
          <w:lang w:eastAsia="zh-CN"/>
        </w:rPr>
        <w:t>范围内</w:t>
      </w:r>
      <w:r>
        <w:rPr>
          <w:rFonts w:eastAsiaTheme="minorEastAsia" w:cs="Microsoft YaHei" w:hint="eastAsia"/>
          <w:lang w:eastAsia="zh-CN"/>
        </w:rPr>
        <w:t>和</w:t>
      </w:r>
      <w:r w:rsidRPr="00B465F3">
        <w:rPr>
          <w:rFonts w:eastAsiaTheme="minorEastAsia" w:cs="Microsoft YaHei"/>
          <w:lang w:eastAsia="zh-CN"/>
        </w:rPr>
        <w:t>财务规划和双年度预算划拨资源</w:t>
      </w:r>
      <w:r>
        <w:rPr>
          <w:rFonts w:eastAsiaTheme="minorEastAsia" w:cs="Microsoft YaHei" w:hint="eastAsia"/>
          <w:lang w:eastAsia="zh-CN"/>
        </w:rPr>
        <w:t>的</w:t>
      </w:r>
      <w:r w:rsidRPr="00B465F3">
        <w:rPr>
          <w:rFonts w:eastAsiaTheme="minorEastAsia" w:cs="Microsoft YaHei"/>
          <w:lang w:eastAsia="zh-CN"/>
        </w:rPr>
        <w:t>范围内，通过理事会</w:t>
      </w:r>
      <w:r w:rsidRPr="00B465F3">
        <w:rPr>
          <w:rFonts w:eastAsiaTheme="minorEastAsia"/>
          <w:lang w:eastAsia="zh-CN"/>
        </w:rPr>
        <w:t>WSIS</w:t>
      </w:r>
      <w:r>
        <w:rPr>
          <w:szCs w:val="24"/>
          <w:lang w:eastAsia="zh-CN"/>
        </w:rPr>
        <w:t>&amp;SDG</w:t>
      </w:r>
      <w:r w:rsidRPr="00B465F3">
        <w:rPr>
          <w:rFonts w:eastAsiaTheme="minorEastAsia" w:cs="Microsoft YaHei"/>
          <w:lang w:eastAsia="zh-CN"/>
        </w:rPr>
        <w:t>工作组，</w:t>
      </w:r>
      <w:r>
        <w:rPr>
          <w:rFonts w:eastAsiaTheme="minorEastAsia" w:cs="Microsoft YaHei" w:hint="eastAsia"/>
          <w:lang w:eastAsia="zh-CN"/>
        </w:rPr>
        <w:t>包括通过以下方式</w:t>
      </w:r>
      <w:r w:rsidRPr="00B465F3">
        <w:rPr>
          <w:rFonts w:eastAsiaTheme="minorEastAsia" w:cs="Microsoft YaHei"/>
          <w:lang w:eastAsia="zh-CN"/>
        </w:rPr>
        <w:t>将</w:t>
      </w:r>
      <w:r>
        <w:rPr>
          <w:rFonts w:eastAsiaTheme="minorEastAsia" w:cs="Microsoft YaHei" w:hint="eastAsia"/>
          <w:lang w:eastAsia="zh-CN"/>
        </w:rPr>
        <w:t>WSIS</w:t>
      </w:r>
      <w:r w:rsidRPr="00B465F3">
        <w:rPr>
          <w:rFonts w:eastAsiaTheme="minorEastAsia" w:cs="Microsoft YaHei"/>
          <w:lang w:eastAsia="zh-CN"/>
        </w:rPr>
        <w:t>框架作为帮助国际电联实现</w:t>
      </w:r>
      <w:r w:rsidRPr="00B465F3">
        <w:rPr>
          <w:rFonts w:eastAsiaTheme="minorEastAsia"/>
          <w:lang w:eastAsia="zh-CN"/>
        </w:rPr>
        <w:t>2030</w:t>
      </w:r>
      <w:r w:rsidRPr="00B465F3">
        <w:rPr>
          <w:rFonts w:eastAsiaTheme="minorEastAsia" w:cs="Microsoft YaHei"/>
          <w:lang w:eastAsia="zh-CN"/>
        </w:rPr>
        <w:t>年议程的</w:t>
      </w:r>
      <w:r>
        <w:rPr>
          <w:rFonts w:eastAsiaTheme="minorEastAsia" w:cs="Microsoft YaHei" w:hint="eastAsia"/>
          <w:lang w:eastAsia="zh-CN"/>
        </w:rPr>
        <w:t>基础，同时关注联合国机构开发的</w:t>
      </w:r>
      <w:r w:rsidRPr="00B465F3">
        <w:rPr>
          <w:rFonts w:eastAsiaTheme="minorEastAsia"/>
          <w:lang w:eastAsia="zh-CN"/>
        </w:rPr>
        <w:t>WSIS</w:t>
      </w:r>
      <w:r>
        <w:rPr>
          <w:szCs w:val="24"/>
          <w:lang w:eastAsia="zh-CN"/>
        </w:rPr>
        <w:t>-SDG</w:t>
      </w:r>
      <w:r>
        <w:rPr>
          <w:rFonts w:hint="eastAsia"/>
          <w:szCs w:val="24"/>
          <w:lang w:eastAsia="zh-CN"/>
        </w:rPr>
        <w:t>查对表</w:t>
      </w:r>
      <w:r w:rsidRPr="00B465F3">
        <w:rPr>
          <w:rFonts w:eastAsiaTheme="minorEastAsia" w:cs="Microsoft YaHei"/>
          <w:lang w:eastAsia="zh-CN"/>
        </w:rPr>
        <w:t>：</w:t>
      </w:r>
    </w:p>
    <w:p w14:paraId="4827B3DA" w14:textId="77777777" w:rsidR="003C22D4" w:rsidRPr="00B465F3" w:rsidRDefault="003C22D4" w:rsidP="003C22D4">
      <w:pPr>
        <w:pStyle w:val="enumlev1"/>
        <w:rPr>
          <w:lang w:eastAsia="zh-CN"/>
        </w:rPr>
      </w:pPr>
      <w:r>
        <w:rPr>
          <w:rFonts w:hint="eastAsia"/>
          <w:lang w:eastAsia="zh-CN"/>
        </w:rPr>
        <w:t>a)</w:t>
      </w:r>
      <w:r>
        <w:rPr>
          <w:lang w:eastAsia="zh-CN"/>
        </w:rPr>
        <w:tab/>
      </w:r>
      <w:r w:rsidRPr="00B465F3">
        <w:rPr>
          <w:lang w:eastAsia="zh-CN"/>
        </w:rPr>
        <w:t>更新</w:t>
      </w:r>
      <w:r w:rsidRPr="00B465F3">
        <w:rPr>
          <w:lang w:eastAsia="zh-CN"/>
        </w:rPr>
        <w:t>WSIS C2</w:t>
      </w:r>
      <w:r w:rsidRPr="00B465F3">
        <w:rPr>
          <w:lang w:eastAsia="zh-CN"/>
        </w:rPr>
        <w:t>、</w:t>
      </w:r>
      <w:r w:rsidRPr="00B465F3">
        <w:rPr>
          <w:lang w:eastAsia="zh-CN"/>
        </w:rPr>
        <w:t>C5</w:t>
      </w:r>
      <w:r w:rsidRPr="00B465F3">
        <w:rPr>
          <w:lang w:eastAsia="zh-CN"/>
        </w:rPr>
        <w:t>和</w:t>
      </w:r>
      <w:r w:rsidRPr="00B465F3">
        <w:rPr>
          <w:lang w:eastAsia="zh-CN"/>
        </w:rPr>
        <w:t>C6</w:t>
      </w:r>
      <w:r w:rsidRPr="00B465F3">
        <w:rPr>
          <w:lang w:eastAsia="zh-CN"/>
        </w:rPr>
        <w:t>行动方面的路线图，以</w:t>
      </w:r>
      <w:r>
        <w:rPr>
          <w:rFonts w:hint="eastAsia"/>
          <w:lang w:eastAsia="zh-CN"/>
        </w:rPr>
        <w:t>便</w:t>
      </w:r>
      <w:r w:rsidRPr="00B465F3">
        <w:rPr>
          <w:lang w:eastAsia="zh-CN"/>
        </w:rPr>
        <w:t>将目前已在开展、旨在实现</w:t>
      </w:r>
      <w:r>
        <w:rPr>
          <w:rFonts w:hint="eastAsia"/>
          <w:lang w:eastAsia="zh-CN"/>
        </w:rPr>
        <w:t>《</w:t>
      </w:r>
      <w:r w:rsidRPr="00B465F3">
        <w:rPr>
          <w:lang w:eastAsia="zh-CN"/>
        </w:rPr>
        <w:t>2030</w:t>
      </w:r>
      <w:r w:rsidRPr="00B465F3">
        <w:rPr>
          <w:lang w:eastAsia="zh-CN"/>
        </w:rPr>
        <w:t>年可持续发展议程</w:t>
      </w:r>
      <w:r>
        <w:rPr>
          <w:rFonts w:hint="eastAsia"/>
          <w:lang w:eastAsia="zh-CN"/>
        </w:rPr>
        <w:t>》</w:t>
      </w:r>
      <w:r w:rsidRPr="00B465F3">
        <w:rPr>
          <w:lang w:eastAsia="zh-CN"/>
        </w:rPr>
        <w:t>的活动</w:t>
      </w:r>
      <w:r>
        <w:rPr>
          <w:rFonts w:hint="eastAsia"/>
          <w:lang w:eastAsia="zh-CN"/>
        </w:rPr>
        <w:t>考虑</w:t>
      </w:r>
      <w:r>
        <w:rPr>
          <w:lang w:eastAsia="zh-CN"/>
        </w:rPr>
        <w:t>在内</w:t>
      </w:r>
      <w:r w:rsidRPr="00B465F3">
        <w:rPr>
          <w:lang w:eastAsia="zh-CN"/>
        </w:rPr>
        <w:t>；</w:t>
      </w:r>
    </w:p>
    <w:p w14:paraId="4827B3DB" w14:textId="77777777" w:rsidR="003C22D4" w:rsidRPr="00B465F3" w:rsidRDefault="003C22D4" w:rsidP="003C22D4">
      <w:pPr>
        <w:pStyle w:val="enumlev1"/>
        <w:rPr>
          <w:lang w:eastAsia="zh-CN"/>
        </w:rPr>
      </w:pPr>
      <w:r>
        <w:rPr>
          <w:rFonts w:hint="eastAsia"/>
          <w:lang w:eastAsia="zh-CN"/>
        </w:rPr>
        <w:t>b)</w:t>
      </w:r>
      <w:r>
        <w:rPr>
          <w:rFonts w:hint="eastAsia"/>
          <w:lang w:eastAsia="zh-CN"/>
        </w:rPr>
        <w:tab/>
      </w:r>
      <w:r w:rsidRPr="00B465F3">
        <w:rPr>
          <w:lang w:eastAsia="zh-CN"/>
        </w:rPr>
        <w:t>酌情为</w:t>
      </w:r>
      <w:r>
        <w:rPr>
          <w:rFonts w:hint="eastAsia"/>
          <w:lang w:eastAsia="zh-CN"/>
        </w:rPr>
        <w:t>亦与《</w:t>
      </w:r>
      <w:r w:rsidRPr="00B465F3">
        <w:rPr>
          <w:lang w:eastAsia="zh-CN"/>
        </w:rPr>
        <w:t>2030</w:t>
      </w:r>
      <w:r w:rsidRPr="00B465F3">
        <w:rPr>
          <w:lang w:eastAsia="zh-CN"/>
        </w:rPr>
        <w:t>年可持续发展</w:t>
      </w:r>
      <w:r>
        <w:rPr>
          <w:rFonts w:hint="eastAsia"/>
          <w:lang w:eastAsia="zh-CN"/>
        </w:rPr>
        <w:t>议程</w:t>
      </w:r>
      <w:r>
        <w:rPr>
          <w:lang w:eastAsia="zh-CN"/>
        </w:rPr>
        <w:t>》</w:t>
      </w:r>
      <w:r>
        <w:rPr>
          <w:rFonts w:hint="eastAsia"/>
          <w:lang w:eastAsia="zh-CN"/>
        </w:rPr>
        <w:t>相关</w:t>
      </w:r>
      <w:r w:rsidRPr="00B465F3">
        <w:rPr>
          <w:lang w:eastAsia="zh-CN"/>
        </w:rPr>
        <w:t>的</w:t>
      </w:r>
      <w:r w:rsidRPr="00B465F3">
        <w:rPr>
          <w:lang w:eastAsia="zh-CN"/>
        </w:rPr>
        <w:t>WSIS C1</w:t>
      </w:r>
      <w:r w:rsidRPr="00B465F3">
        <w:rPr>
          <w:lang w:eastAsia="zh-CN"/>
        </w:rPr>
        <w:t>、</w:t>
      </w:r>
      <w:r w:rsidRPr="00B465F3">
        <w:rPr>
          <w:lang w:eastAsia="zh-CN"/>
        </w:rPr>
        <w:t>C3</w:t>
      </w:r>
      <w:r w:rsidRPr="00B465F3">
        <w:rPr>
          <w:lang w:eastAsia="zh-CN"/>
        </w:rPr>
        <w:t>、</w:t>
      </w:r>
      <w:r w:rsidRPr="00B465F3">
        <w:rPr>
          <w:lang w:eastAsia="zh-CN"/>
        </w:rPr>
        <w:t>C4</w:t>
      </w:r>
      <w:r w:rsidRPr="00B465F3">
        <w:rPr>
          <w:lang w:eastAsia="zh-CN"/>
        </w:rPr>
        <w:t>、</w:t>
      </w:r>
      <w:r w:rsidRPr="00B465F3">
        <w:rPr>
          <w:lang w:eastAsia="zh-CN"/>
        </w:rPr>
        <w:t>C7</w:t>
      </w:r>
      <w:r w:rsidRPr="00B465F3">
        <w:rPr>
          <w:lang w:eastAsia="zh-CN"/>
        </w:rPr>
        <w:t>、</w:t>
      </w:r>
      <w:r w:rsidRPr="00B465F3">
        <w:rPr>
          <w:lang w:eastAsia="zh-CN"/>
        </w:rPr>
        <w:t>C8</w:t>
      </w:r>
      <w:r w:rsidRPr="00B465F3">
        <w:rPr>
          <w:lang w:eastAsia="zh-CN"/>
        </w:rPr>
        <w:t>、</w:t>
      </w:r>
      <w:r w:rsidRPr="00B465F3">
        <w:rPr>
          <w:lang w:eastAsia="zh-CN"/>
        </w:rPr>
        <w:t>C9</w:t>
      </w:r>
      <w:r w:rsidRPr="00B465F3">
        <w:rPr>
          <w:lang w:eastAsia="zh-CN"/>
        </w:rPr>
        <w:t>和</w:t>
      </w:r>
      <w:r w:rsidRPr="00B465F3">
        <w:rPr>
          <w:lang w:eastAsia="zh-CN"/>
        </w:rPr>
        <w:t>C11</w:t>
      </w:r>
      <w:r w:rsidRPr="00B465F3">
        <w:rPr>
          <w:lang w:eastAsia="zh-CN"/>
        </w:rPr>
        <w:t>行动方面的路线图</w:t>
      </w:r>
      <w:r w:rsidRPr="00B465F3">
        <w:rPr>
          <w:lang w:eastAsia="zh-CN"/>
        </w:rPr>
        <w:t>/</w:t>
      </w:r>
      <w:r w:rsidRPr="00B465F3">
        <w:rPr>
          <w:lang w:eastAsia="zh-CN"/>
        </w:rPr>
        <w:t>工作计划提供输入</w:t>
      </w:r>
      <w:r>
        <w:rPr>
          <w:rFonts w:hint="eastAsia"/>
          <w:lang w:eastAsia="zh-CN"/>
        </w:rPr>
        <w:t>内容</w:t>
      </w:r>
      <w:r w:rsidRPr="00B465F3">
        <w:rPr>
          <w:lang w:eastAsia="zh-CN"/>
        </w:rPr>
        <w:t>；</w:t>
      </w:r>
    </w:p>
    <w:p w14:paraId="4827B3DC" w14:textId="77777777" w:rsidR="003C22D4" w:rsidRPr="00B465F3" w:rsidRDefault="003C22D4" w:rsidP="003C22D4">
      <w:pPr>
        <w:rPr>
          <w:rFonts w:eastAsiaTheme="minorEastAsia"/>
          <w:lang w:eastAsia="zh-CN"/>
        </w:rPr>
      </w:pPr>
      <w:r w:rsidRPr="00B465F3">
        <w:rPr>
          <w:rFonts w:eastAsiaTheme="minorEastAsia"/>
          <w:lang w:eastAsia="zh-CN"/>
        </w:rPr>
        <w:t>4</w:t>
      </w:r>
      <w:r w:rsidRPr="00B465F3">
        <w:rPr>
          <w:rFonts w:eastAsiaTheme="minorEastAsia"/>
          <w:lang w:eastAsia="zh-CN"/>
        </w:rPr>
        <w:tab/>
      </w:r>
      <w:r w:rsidRPr="00B465F3">
        <w:rPr>
          <w:rFonts w:eastAsiaTheme="minorEastAsia" w:cs="Microsoft YaHei"/>
          <w:lang w:eastAsia="zh-CN"/>
        </w:rPr>
        <w:t>向</w:t>
      </w:r>
      <w:r>
        <w:rPr>
          <w:rFonts w:eastAsiaTheme="minorEastAsia" w:cs="Microsoft YaHei" w:hint="eastAsia"/>
          <w:lang w:eastAsia="zh-CN"/>
        </w:rPr>
        <w:t>所有</w:t>
      </w:r>
      <w:r w:rsidRPr="00B465F3">
        <w:rPr>
          <w:rFonts w:eastAsiaTheme="minorEastAsia" w:cs="Microsoft YaHei"/>
          <w:lang w:eastAsia="zh-CN"/>
        </w:rPr>
        <w:t>国际电联成员开放的理事会</w:t>
      </w:r>
      <w:r w:rsidRPr="00B465F3">
        <w:rPr>
          <w:rFonts w:eastAsiaTheme="minorEastAsia"/>
          <w:lang w:eastAsia="zh-CN"/>
        </w:rPr>
        <w:t>WSIS</w:t>
      </w:r>
      <w:r>
        <w:rPr>
          <w:szCs w:val="24"/>
          <w:lang w:eastAsia="zh-CN"/>
        </w:rPr>
        <w:t>&amp;SDG</w:t>
      </w:r>
      <w:r w:rsidRPr="00B465F3">
        <w:rPr>
          <w:rFonts w:eastAsiaTheme="minorEastAsia" w:cs="Microsoft YaHei"/>
          <w:lang w:eastAsia="zh-CN"/>
        </w:rPr>
        <w:t>工作组应按照附件</w:t>
      </w:r>
      <w:r>
        <w:rPr>
          <w:rFonts w:eastAsiaTheme="minorEastAsia" w:cs="Microsoft YaHei" w:hint="eastAsia"/>
          <w:lang w:eastAsia="zh-CN"/>
        </w:rPr>
        <w:t>中</w:t>
      </w:r>
      <w:r w:rsidRPr="00B465F3">
        <w:rPr>
          <w:rFonts w:eastAsiaTheme="minorEastAsia" w:cs="Microsoft YaHei"/>
          <w:lang w:eastAsia="zh-CN"/>
        </w:rPr>
        <w:t>的职责范围继续开展工作，</w:t>
      </w:r>
    </w:p>
    <w:p w14:paraId="4827B3DD" w14:textId="77777777" w:rsidR="003C22D4" w:rsidRPr="008E39D8" w:rsidRDefault="003C22D4" w:rsidP="003C22D4">
      <w:pPr>
        <w:pStyle w:val="Call"/>
        <w:rPr>
          <w:lang w:eastAsia="zh-CN"/>
        </w:rPr>
      </w:pPr>
      <w:r w:rsidRPr="008E39D8">
        <w:rPr>
          <w:lang w:eastAsia="zh-CN"/>
        </w:rPr>
        <w:t>责成秘书长</w:t>
      </w:r>
    </w:p>
    <w:p w14:paraId="4827B3DE" w14:textId="77777777" w:rsidR="003C22D4" w:rsidRPr="00B465F3" w:rsidRDefault="003C22D4" w:rsidP="003C22D4">
      <w:pPr>
        <w:rPr>
          <w:rFonts w:eastAsiaTheme="minorEastAsia"/>
          <w:lang w:eastAsia="zh-CN"/>
        </w:rPr>
      </w:pPr>
      <w:r w:rsidRPr="00B465F3">
        <w:rPr>
          <w:rFonts w:eastAsiaTheme="minorEastAsia"/>
          <w:lang w:eastAsia="zh-CN"/>
        </w:rPr>
        <w:t>1</w:t>
      </w:r>
      <w:r w:rsidRPr="00B465F3">
        <w:rPr>
          <w:rFonts w:eastAsiaTheme="minorEastAsia"/>
          <w:lang w:eastAsia="zh-CN"/>
        </w:rPr>
        <w:tab/>
      </w:r>
      <w:r w:rsidRPr="00B465F3">
        <w:rPr>
          <w:rFonts w:eastAsiaTheme="minorEastAsia" w:cs="Microsoft YaHei"/>
          <w:lang w:eastAsia="zh-CN"/>
        </w:rPr>
        <w:t>定期更新</w:t>
      </w:r>
      <w:r>
        <w:rPr>
          <w:rFonts w:eastAsiaTheme="minorEastAsia" w:cs="Microsoft YaHei" w:hint="eastAsia"/>
          <w:lang w:eastAsia="zh-CN"/>
        </w:rPr>
        <w:t>WSIS</w:t>
      </w:r>
      <w:r>
        <w:rPr>
          <w:rFonts w:eastAsiaTheme="minorEastAsia" w:cs="Microsoft YaHei" w:hint="eastAsia"/>
          <w:lang w:eastAsia="zh-CN"/>
        </w:rPr>
        <w:t>成果</w:t>
      </w:r>
      <w:r w:rsidRPr="00B465F3">
        <w:rPr>
          <w:rFonts w:eastAsiaTheme="minorEastAsia" w:cs="Microsoft YaHei"/>
          <w:lang w:eastAsia="zh-CN"/>
        </w:rPr>
        <w:t>落实</w:t>
      </w:r>
      <w:r>
        <w:rPr>
          <w:rFonts w:eastAsiaTheme="minorEastAsia" w:cs="Microsoft YaHei" w:hint="eastAsia"/>
          <w:lang w:eastAsia="zh-CN"/>
        </w:rPr>
        <w:t>活动中</w:t>
      </w:r>
      <w:r w:rsidRPr="00B465F3">
        <w:rPr>
          <w:rFonts w:eastAsiaTheme="minorEastAsia" w:cs="Microsoft YaHei"/>
          <w:lang w:eastAsia="zh-CN"/>
        </w:rPr>
        <w:t>国际电联职责范围内的</w:t>
      </w:r>
      <w:r>
        <w:rPr>
          <w:rFonts w:eastAsiaTheme="minorEastAsia" w:cs="Microsoft YaHei" w:hint="eastAsia"/>
          <w:lang w:eastAsia="zh-CN"/>
        </w:rPr>
        <w:t>活动</w:t>
      </w:r>
      <w:r w:rsidRPr="00B465F3">
        <w:rPr>
          <w:rFonts w:eastAsiaTheme="minorEastAsia" w:cs="Microsoft YaHei"/>
          <w:lang w:eastAsia="zh-CN"/>
        </w:rPr>
        <w:t>路线图，</w:t>
      </w:r>
      <w:r>
        <w:rPr>
          <w:rFonts w:eastAsiaTheme="minorEastAsia" w:cs="Microsoft YaHei" w:hint="eastAsia"/>
          <w:lang w:eastAsia="zh-CN"/>
        </w:rPr>
        <w:t>同时顾及</w:t>
      </w:r>
      <w:r w:rsidRPr="00B465F3">
        <w:rPr>
          <w:rFonts w:eastAsiaTheme="minorEastAsia" w:cs="Microsoft YaHei"/>
          <w:lang w:eastAsia="zh-CN"/>
        </w:rPr>
        <w:t>《</w:t>
      </w:r>
      <w:r w:rsidRPr="00B465F3">
        <w:rPr>
          <w:rFonts w:eastAsiaTheme="minorEastAsia"/>
          <w:lang w:eastAsia="zh-CN"/>
        </w:rPr>
        <w:t>2030</w:t>
      </w:r>
      <w:r w:rsidRPr="00B465F3">
        <w:rPr>
          <w:rFonts w:eastAsiaTheme="minorEastAsia" w:cs="Microsoft YaHei"/>
          <w:lang w:eastAsia="zh-CN"/>
        </w:rPr>
        <w:t>年可持续发展议程》和</w:t>
      </w:r>
      <w:r w:rsidRPr="00EB53F4">
        <w:rPr>
          <w:rFonts w:ascii="SimSun" w:hAnsi="SimSun"/>
          <w:lang w:eastAsia="zh-CN"/>
        </w:rPr>
        <w:t>“</w:t>
      </w:r>
      <w:r w:rsidRPr="00B465F3">
        <w:rPr>
          <w:rFonts w:eastAsiaTheme="minorEastAsia" w:cs="Microsoft YaHei"/>
          <w:lang w:eastAsia="zh-CN"/>
        </w:rPr>
        <w:t>连通目标</w:t>
      </w:r>
      <w:r w:rsidRPr="00B465F3">
        <w:rPr>
          <w:rFonts w:eastAsiaTheme="minorEastAsia"/>
          <w:lang w:eastAsia="zh-CN"/>
        </w:rPr>
        <w:t>20</w:t>
      </w:r>
      <w:r>
        <w:rPr>
          <w:rFonts w:eastAsiaTheme="minorEastAsia"/>
          <w:lang w:eastAsia="zh-CN"/>
        </w:rPr>
        <w:t>3</w:t>
      </w:r>
      <w:r w:rsidRPr="00B465F3">
        <w:rPr>
          <w:rFonts w:eastAsiaTheme="minorEastAsia"/>
          <w:lang w:eastAsia="zh-CN"/>
        </w:rPr>
        <w:t>0</w:t>
      </w:r>
      <w:r w:rsidRPr="00EB53F4">
        <w:rPr>
          <w:rFonts w:ascii="SimSun" w:hAnsi="SimSun"/>
          <w:lang w:eastAsia="zh-CN"/>
        </w:rPr>
        <w:t>”</w:t>
      </w:r>
      <w:r w:rsidRPr="00B465F3">
        <w:rPr>
          <w:rFonts w:eastAsiaTheme="minorEastAsia" w:cs="Microsoft YaHei"/>
          <w:lang w:eastAsia="zh-CN"/>
        </w:rPr>
        <w:t>，</w:t>
      </w:r>
      <w:r>
        <w:rPr>
          <w:rFonts w:eastAsiaTheme="minorEastAsia" w:cs="Microsoft YaHei" w:hint="eastAsia"/>
          <w:lang w:eastAsia="zh-CN"/>
        </w:rPr>
        <w:t>并且</w:t>
      </w:r>
      <w:r w:rsidRPr="00B465F3">
        <w:rPr>
          <w:rFonts w:eastAsiaTheme="minorEastAsia" w:cs="Microsoft YaHei"/>
          <w:lang w:eastAsia="zh-CN"/>
        </w:rPr>
        <w:t>通过</w:t>
      </w:r>
      <w:r>
        <w:rPr>
          <w:lang w:eastAsia="zh-CN"/>
        </w:rPr>
        <w:t>CWG-WSIS&amp;SDG</w:t>
      </w:r>
      <w:r w:rsidRPr="00B465F3">
        <w:rPr>
          <w:rFonts w:eastAsiaTheme="minorEastAsia" w:cs="Microsoft YaHei"/>
          <w:lang w:eastAsia="zh-CN"/>
        </w:rPr>
        <w:t>提交理事会；</w:t>
      </w:r>
    </w:p>
    <w:p w14:paraId="4827B3DF" w14:textId="77777777" w:rsidR="003C22D4" w:rsidRPr="00B465F3" w:rsidRDefault="003C22D4" w:rsidP="003C22D4">
      <w:pPr>
        <w:rPr>
          <w:rFonts w:eastAsiaTheme="minorEastAsia"/>
          <w:lang w:eastAsia="zh-CN"/>
        </w:rPr>
      </w:pPr>
      <w:r w:rsidRPr="00B465F3">
        <w:rPr>
          <w:rFonts w:eastAsiaTheme="minorEastAsia"/>
          <w:lang w:eastAsia="zh-CN"/>
        </w:rPr>
        <w:t>2</w:t>
      </w:r>
      <w:r w:rsidRPr="00B465F3">
        <w:rPr>
          <w:rFonts w:eastAsiaTheme="minorEastAsia"/>
          <w:lang w:eastAsia="zh-CN"/>
        </w:rPr>
        <w:tab/>
      </w:r>
      <w:r w:rsidRPr="00B465F3">
        <w:rPr>
          <w:rFonts w:eastAsiaTheme="minorEastAsia" w:cs="Microsoft YaHei"/>
          <w:lang w:eastAsia="zh-CN"/>
        </w:rPr>
        <w:t>确保</w:t>
      </w:r>
      <w:r>
        <w:rPr>
          <w:rFonts w:eastAsiaTheme="minorEastAsia" w:cs="Microsoft YaHei" w:hint="eastAsia"/>
          <w:lang w:eastAsia="zh-CN"/>
        </w:rPr>
        <w:t>与</w:t>
      </w:r>
      <w:r w:rsidRPr="00B465F3">
        <w:rPr>
          <w:rFonts w:eastAsiaTheme="minorEastAsia"/>
          <w:lang w:eastAsia="zh-CN"/>
        </w:rPr>
        <w:t>2030</w:t>
      </w:r>
      <w:r w:rsidRPr="00B465F3">
        <w:rPr>
          <w:rFonts w:eastAsiaTheme="minorEastAsia" w:cs="Microsoft YaHei"/>
          <w:lang w:eastAsia="zh-CN"/>
        </w:rPr>
        <w:t>年</w:t>
      </w:r>
      <w:r>
        <w:rPr>
          <w:rFonts w:eastAsiaTheme="minorEastAsia" w:cs="Microsoft YaHei" w:hint="eastAsia"/>
          <w:lang w:eastAsia="zh-CN"/>
        </w:rPr>
        <w:t>可持续发展</w:t>
      </w:r>
      <w:r w:rsidRPr="00B465F3">
        <w:rPr>
          <w:rFonts w:eastAsiaTheme="minorEastAsia" w:cs="Microsoft YaHei"/>
          <w:lang w:eastAsia="zh-CN"/>
        </w:rPr>
        <w:t>议程</w:t>
      </w:r>
      <w:r>
        <w:rPr>
          <w:rFonts w:eastAsiaTheme="minorEastAsia" w:cs="Microsoft YaHei" w:hint="eastAsia"/>
          <w:lang w:eastAsia="zh-CN"/>
        </w:rPr>
        <w:t>相关</w:t>
      </w:r>
      <w:r w:rsidRPr="00B465F3">
        <w:rPr>
          <w:rFonts w:eastAsiaTheme="minorEastAsia" w:cs="Microsoft YaHei"/>
          <w:lang w:eastAsia="zh-CN"/>
        </w:rPr>
        <w:t>的</w:t>
      </w:r>
      <w:r>
        <w:rPr>
          <w:rFonts w:eastAsiaTheme="minorEastAsia" w:cs="Microsoft YaHei" w:hint="eastAsia"/>
          <w:lang w:eastAsia="zh-CN"/>
        </w:rPr>
        <w:t>国际电联</w:t>
      </w:r>
      <w:r w:rsidRPr="00B465F3">
        <w:rPr>
          <w:rFonts w:eastAsiaTheme="minorEastAsia" w:cs="Microsoft YaHei"/>
          <w:lang w:eastAsia="zh-CN"/>
        </w:rPr>
        <w:t>活动</w:t>
      </w:r>
      <w:r>
        <w:rPr>
          <w:rFonts w:eastAsiaTheme="minorEastAsia" w:cs="Microsoft YaHei" w:hint="eastAsia"/>
          <w:lang w:eastAsia="zh-CN"/>
        </w:rPr>
        <w:t>的开展严格与</w:t>
      </w:r>
      <w:r w:rsidRPr="00B465F3">
        <w:rPr>
          <w:rFonts w:eastAsiaTheme="minorEastAsia"/>
          <w:lang w:eastAsia="zh-CN"/>
        </w:rPr>
        <w:t>WSIS</w:t>
      </w:r>
      <w:r>
        <w:rPr>
          <w:rFonts w:eastAsiaTheme="minorEastAsia" w:hint="eastAsia"/>
          <w:lang w:eastAsia="zh-CN"/>
        </w:rPr>
        <w:t>进程保持一致，并且</w:t>
      </w:r>
      <w:r w:rsidRPr="00B465F3">
        <w:rPr>
          <w:rFonts w:eastAsiaTheme="minorEastAsia" w:cs="Microsoft YaHei"/>
          <w:lang w:eastAsia="zh-CN"/>
        </w:rPr>
        <w:t>按其职责范围</w:t>
      </w:r>
      <w:r>
        <w:rPr>
          <w:rFonts w:eastAsiaTheme="minorEastAsia" w:cs="Microsoft YaHei"/>
          <w:lang w:eastAsia="zh-CN"/>
        </w:rPr>
        <w:t>、在已确</w:t>
      </w:r>
      <w:r>
        <w:rPr>
          <w:rFonts w:eastAsiaTheme="minorEastAsia" w:cs="Microsoft YaHei" w:hint="eastAsia"/>
          <w:lang w:eastAsia="zh-CN"/>
        </w:rPr>
        <w:t>定</w:t>
      </w:r>
      <w:r w:rsidRPr="00B465F3">
        <w:rPr>
          <w:rFonts w:eastAsiaTheme="minorEastAsia" w:cs="Microsoft YaHei"/>
          <w:lang w:eastAsia="zh-CN"/>
        </w:rPr>
        <w:t>的政策和程序</w:t>
      </w:r>
      <w:r>
        <w:rPr>
          <w:rFonts w:eastAsiaTheme="minorEastAsia" w:cs="Microsoft YaHei" w:hint="eastAsia"/>
          <w:lang w:eastAsia="zh-CN"/>
        </w:rPr>
        <w:t>之内</w:t>
      </w:r>
      <w:r w:rsidRPr="00B465F3">
        <w:rPr>
          <w:rFonts w:eastAsiaTheme="minorEastAsia" w:cs="Microsoft YaHei"/>
          <w:lang w:eastAsia="zh-CN"/>
        </w:rPr>
        <w:t>以及财务规划和双年度预算已为之划拨的资源范围内开展；</w:t>
      </w:r>
    </w:p>
    <w:p w14:paraId="4827B3E0" w14:textId="77777777" w:rsidR="003C22D4" w:rsidRPr="00B465F3" w:rsidRDefault="003C22D4" w:rsidP="003C22D4">
      <w:pPr>
        <w:rPr>
          <w:rFonts w:eastAsiaTheme="minorEastAsia"/>
          <w:lang w:eastAsia="zh-CN"/>
        </w:rPr>
      </w:pPr>
      <w:r w:rsidRPr="00B465F3">
        <w:rPr>
          <w:rFonts w:eastAsiaTheme="minorEastAsia"/>
          <w:lang w:eastAsia="zh-CN"/>
        </w:rPr>
        <w:t>3</w:t>
      </w:r>
      <w:r w:rsidRPr="00B465F3">
        <w:rPr>
          <w:rFonts w:eastAsiaTheme="minorEastAsia"/>
          <w:lang w:eastAsia="zh-CN"/>
        </w:rPr>
        <w:tab/>
      </w:r>
      <w:r>
        <w:rPr>
          <w:rFonts w:eastAsiaTheme="minorEastAsia" w:hint="eastAsia"/>
          <w:lang w:eastAsia="zh-CN"/>
        </w:rPr>
        <w:t>针对</w:t>
      </w:r>
      <w:r w:rsidRPr="00B465F3">
        <w:rPr>
          <w:rFonts w:eastAsiaTheme="minorEastAsia" w:cs="Microsoft YaHei"/>
          <w:lang w:eastAsia="zh-CN"/>
        </w:rPr>
        <w:t>国际电联</w:t>
      </w:r>
      <w:r>
        <w:rPr>
          <w:rFonts w:eastAsiaTheme="minorEastAsia" w:cs="Microsoft YaHei" w:hint="eastAsia"/>
          <w:lang w:eastAsia="zh-CN"/>
        </w:rPr>
        <w:t>开展的</w:t>
      </w:r>
      <w:r w:rsidRPr="00B465F3">
        <w:rPr>
          <w:rFonts w:eastAsiaTheme="minorEastAsia"/>
          <w:lang w:eastAsia="zh-CN"/>
        </w:rPr>
        <w:t>WSIS</w:t>
      </w:r>
      <w:r w:rsidRPr="00B465F3">
        <w:rPr>
          <w:rFonts w:eastAsiaTheme="minorEastAsia" w:cs="Microsoft YaHei"/>
          <w:lang w:eastAsia="zh-CN"/>
        </w:rPr>
        <w:t>成果</w:t>
      </w:r>
      <w:r>
        <w:rPr>
          <w:rFonts w:eastAsiaTheme="minorEastAsia" w:cs="Microsoft YaHei" w:hint="eastAsia"/>
          <w:lang w:eastAsia="zh-CN"/>
        </w:rPr>
        <w:t>落实</w:t>
      </w:r>
      <w:r w:rsidRPr="00B465F3">
        <w:rPr>
          <w:rFonts w:eastAsiaTheme="minorEastAsia" w:cs="Microsoft YaHei"/>
          <w:lang w:eastAsia="zh-CN"/>
        </w:rPr>
        <w:t>和《</w:t>
      </w:r>
      <w:r w:rsidRPr="00B465F3">
        <w:rPr>
          <w:rFonts w:eastAsiaTheme="minorEastAsia"/>
          <w:lang w:eastAsia="zh-CN"/>
        </w:rPr>
        <w:t>2030</w:t>
      </w:r>
      <w:r w:rsidRPr="00B465F3">
        <w:rPr>
          <w:rFonts w:eastAsiaTheme="minorEastAsia" w:cs="Microsoft YaHei"/>
          <w:lang w:eastAsia="zh-CN"/>
        </w:rPr>
        <w:t>年可持续发展议程》</w:t>
      </w:r>
      <w:r>
        <w:rPr>
          <w:rFonts w:eastAsiaTheme="minorEastAsia" w:cs="Microsoft YaHei" w:hint="eastAsia"/>
          <w:lang w:eastAsia="zh-CN"/>
        </w:rPr>
        <w:t>相关活动起草</w:t>
      </w:r>
      <w:r w:rsidRPr="00B465F3">
        <w:rPr>
          <w:rFonts w:eastAsiaTheme="minorEastAsia" w:cs="Microsoft YaHei"/>
          <w:lang w:eastAsia="zh-CN"/>
        </w:rPr>
        <w:t>最终</w:t>
      </w:r>
      <w:r>
        <w:rPr>
          <w:rFonts w:eastAsiaTheme="minorEastAsia" w:cs="Microsoft YaHei" w:hint="eastAsia"/>
          <w:lang w:eastAsia="zh-CN"/>
        </w:rPr>
        <w:t>的</w:t>
      </w:r>
      <w:r w:rsidRPr="00B465F3">
        <w:rPr>
          <w:rFonts w:eastAsiaTheme="minorEastAsia" w:cs="Microsoft YaHei"/>
          <w:lang w:eastAsia="zh-CN"/>
        </w:rPr>
        <w:t>全面报告</w:t>
      </w:r>
      <w:r>
        <w:rPr>
          <w:rFonts w:eastAsiaTheme="minorEastAsia" w:cs="Microsoft YaHei"/>
          <w:lang w:eastAsia="zh-CN"/>
        </w:rPr>
        <w:t>，</w:t>
      </w:r>
      <w:r>
        <w:rPr>
          <w:rFonts w:eastAsiaTheme="minorEastAsia" w:cs="Microsoft YaHei" w:hint="eastAsia"/>
          <w:lang w:eastAsia="zh-CN"/>
        </w:rPr>
        <w:t>与</w:t>
      </w:r>
      <w:r w:rsidRPr="00B465F3">
        <w:rPr>
          <w:rFonts w:eastAsiaTheme="minorEastAsia" w:cs="Microsoft YaHei"/>
          <w:lang w:eastAsia="zh-CN"/>
        </w:rPr>
        <w:t>有关进一步活动的建议</w:t>
      </w:r>
      <w:r>
        <w:rPr>
          <w:rFonts w:eastAsiaTheme="minorEastAsia" w:cs="Microsoft YaHei" w:hint="eastAsia"/>
          <w:lang w:eastAsia="zh-CN"/>
        </w:rPr>
        <w:t>一道</w:t>
      </w:r>
      <w:r w:rsidRPr="00B465F3">
        <w:rPr>
          <w:rFonts w:eastAsiaTheme="minorEastAsia" w:cs="Microsoft YaHei"/>
          <w:lang w:eastAsia="zh-CN"/>
        </w:rPr>
        <w:t>，通过</w:t>
      </w:r>
      <w:r>
        <w:rPr>
          <w:lang w:eastAsia="zh-CN"/>
        </w:rPr>
        <w:t>CWG-WSIS&amp;SDG</w:t>
      </w:r>
      <w:r w:rsidRPr="00B465F3">
        <w:rPr>
          <w:rFonts w:eastAsiaTheme="minorEastAsia" w:cs="Microsoft YaHei"/>
          <w:lang w:eastAsia="zh-CN"/>
        </w:rPr>
        <w:t>提交理事会</w:t>
      </w:r>
      <w:r w:rsidRPr="00B465F3">
        <w:rPr>
          <w:rFonts w:eastAsiaTheme="minorEastAsia"/>
          <w:lang w:eastAsia="zh-CN"/>
        </w:rPr>
        <w:t>20</w:t>
      </w:r>
      <w:r>
        <w:rPr>
          <w:rFonts w:eastAsiaTheme="minorEastAsia"/>
          <w:lang w:eastAsia="zh-CN"/>
        </w:rPr>
        <w:t>22</w:t>
      </w:r>
      <w:r w:rsidRPr="00B465F3">
        <w:rPr>
          <w:rFonts w:eastAsiaTheme="minorEastAsia" w:cs="Microsoft YaHei"/>
          <w:lang w:eastAsia="zh-CN"/>
        </w:rPr>
        <w:t>年会议；</w:t>
      </w:r>
    </w:p>
    <w:p w14:paraId="4827B3E1" w14:textId="77777777" w:rsidR="003C22D4" w:rsidRPr="00B465F3" w:rsidRDefault="003C22D4" w:rsidP="003C22D4">
      <w:pPr>
        <w:rPr>
          <w:rFonts w:eastAsiaTheme="minorEastAsia"/>
          <w:lang w:eastAsia="zh-CN"/>
        </w:rPr>
      </w:pPr>
      <w:r w:rsidRPr="00B465F3">
        <w:rPr>
          <w:rFonts w:eastAsiaTheme="minorEastAsia"/>
          <w:lang w:eastAsia="zh-CN"/>
        </w:rPr>
        <w:t>4</w:t>
      </w:r>
      <w:r w:rsidRPr="00B465F3">
        <w:rPr>
          <w:rFonts w:eastAsiaTheme="minorEastAsia"/>
          <w:lang w:eastAsia="zh-CN"/>
        </w:rPr>
        <w:tab/>
      </w:r>
      <w:r w:rsidRPr="00B465F3">
        <w:rPr>
          <w:rFonts w:eastAsiaTheme="minorEastAsia" w:cs="Microsoft YaHei"/>
          <w:lang w:eastAsia="zh-CN"/>
        </w:rPr>
        <w:t>通过科学技术促发展委员会，每年</w:t>
      </w:r>
      <w:r>
        <w:rPr>
          <w:rFonts w:eastAsiaTheme="minorEastAsia" w:cs="Microsoft YaHei" w:hint="eastAsia"/>
          <w:lang w:eastAsia="zh-CN"/>
        </w:rPr>
        <w:t>向</w:t>
      </w:r>
      <w:r w:rsidRPr="00B465F3">
        <w:rPr>
          <w:rFonts w:eastAsiaTheme="minorEastAsia" w:cs="Microsoft YaHei"/>
          <w:lang w:eastAsia="zh-CN"/>
        </w:rPr>
        <w:t>经社理事会（</w:t>
      </w:r>
      <w:r w:rsidRPr="00B465F3">
        <w:rPr>
          <w:rFonts w:eastAsiaTheme="minorEastAsia"/>
          <w:lang w:eastAsia="zh-CN"/>
        </w:rPr>
        <w:t>ECOSOC</w:t>
      </w:r>
      <w:r w:rsidRPr="00B465F3">
        <w:rPr>
          <w:rFonts w:eastAsiaTheme="minorEastAsia" w:cs="Microsoft YaHei"/>
          <w:lang w:eastAsia="zh-CN"/>
        </w:rPr>
        <w:t>）</w:t>
      </w:r>
      <w:r>
        <w:rPr>
          <w:rFonts w:eastAsiaTheme="minorEastAsia" w:cs="Microsoft YaHei" w:hint="eastAsia"/>
          <w:lang w:eastAsia="zh-CN"/>
        </w:rPr>
        <w:t>汇报</w:t>
      </w:r>
      <w:r w:rsidRPr="00B465F3">
        <w:rPr>
          <w:rFonts w:eastAsiaTheme="minorEastAsia" w:cs="Microsoft YaHei"/>
          <w:lang w:eastAsia="zh-CN"/>
        </w:rPr>
        <w:t>国际电联作为牵头方的</w:t>
      </w:r>
      <w:r w:rsidRPr="00B465F3">
        <w:rPr>
          <w:rFonts w:eastAsiaTheme="minorEastAsia"/>
          <w:lang w:eastAsia="zh-CN"/>
        </w:rPr>
        <w:t>WSIS</w:t>
      </w:r>
      <w:r>
        <w:rPr>
          <w:rFonts w:eastAsiaTheme="minorEastAsia" w:hint="eastAsia"/>
          <w:lang w:eastAsia="zh-CN"/>
        </w:rPr>
        <w:t>各</w:t>
      </w:r>
      <w:r w:rsidRPr="00B465F3">
        <w:rPr>
          <w:rFonts w:eastAsiaTheme="minorEastAsia" w:cs="Microsoft YaHei"/>
          <w:lang w:eastAsia="zh-CN"/>
        </w:rPr>
        <w:t>行动方面</w:t>
      </w:r>
      <w:r>
        <w:rPr>
          <w:rFonts w:eastAsiaTheme="minorEastAsia" w:cs="Microsoft YaHei" w:hint="eastAsia"/>
          <w:lang w:eastAsia="zh-CN"/>
        </w:rPr>
        <w:t>所取得</w:t>
      </w:r>
      <w:r w:rsidRPr="00B465F3">
        <w:rPr>
          <w:rFonts w:eastAsiaTheme="minorEastAsia" w:cs="Microsoft YaHei"/>
          <w:lang w:eastAsia="zh-CN"/>
        </w:rPr>
        <w:t>的落实进展，</w:t>
      </w:r>
      <w:r>
        <w:rPr>
          <w:rFonts w:eastAsiaTheme="minorEastAsia" w:cs="Microsoft YaHei" w:hint="eastAsia"/>
          <w:lang w:eastAsia="zh-CN"/>
        </w:rPr>
        <w:t>并</w:t>
      </w:r>
      <w:r>
        <w:rPr>
          <w:rFonts w:eastAsiaTheme="minorEastAsia" w:cs="Microsoft YaHei"/>
          <w:lang w:eastAsia="zh-CN"/>
        </w:rPr>
        <w:t>将此报告提交</w:t>
      </w:r>
      <w:r w:rsidRPr="00B465F3">
        <w:rPr>
          <w:rFonts w:eastAsiaTheme="minorEastAsia"/>
          <w:lang w:eastAsia="zh-CN"/>
        </w:rPr>
        <w:t>CWG-WSIS</w:t>
      </w:r>
      <w:r>
        <w:rPr>
          <w:szCs w:val="24"/>
          <w:lang w:eastAsia="zh-CN"/>
        </w:rPr>
        <w:t>&amp;SDG</w:t>
      </w:r>
      <w:r w:rsidRPr="00B465F3">
        <w:rPr>
          <w:rFonts w:eastAsiaTheme="minorEastAsia" w:cs="Microsoft YaHei"/>
          <w:lang w:eastAsia="zh-CN"/>
        </w:rPr>
        <w:t>；</w:t>
      </w:r>
    </w:p>
    <w:p w14:paraId="4827B3E2" w14:textId="77777777" w:rsidR="003C22D4" w:rsidRPr="00B465F3" w:rsidRDefault="003C22D4" w:rsidP="003C22D4">
      <w:pPr>
        <w:rPr>
          <w:rFonts w:eastAsiaTheme="minorEastAsia"/>
          <w:lang w:eastAsia="zh-CN"/>
        </w:rPr>
      </w:pPr>
      <w:r w:rsidRPr="00B465F3">
        <w:rPr>
          <w:rFonts w:eastAsiaTheme="minorEastAsia"/>
          <w:lang w:eastAsia="zh-CN"/>
        </w:rPr>
        <w:t>5</w:t>
      </w:r>
      <w:r w:rsidRPr="00B465F3">
        <w:rPr>
          <w:rFonts w:eastAsiaTheme="minorEastAsia"/>
          <w:lang w:eastAsia="zh-CN"/>
        </w:rPr>
        <w:tab/>
      </w:r>
      <w:r w:rsidRPr="00B465F3">
        <w:rPr>
          <w:rFonts w:eastAsiaTheme="minorEastAsia" w:cs="Microsoft YaHei"/>
          <w:lang w:eastAsia="zh-CN"/>
        </w:rPr>
        <w:t>通过第</w:t>
      </w:r>
      <w:r w:rsidRPr="00B465F3">
        <w:rPr>
          <w:rFonts w:eastAsiaTheme="minorEastAsia"/>
          <w:lang w:eastAsia="zh-CN"/>
        </w:rPr>
        <w:t>A/70/1</w:t>
      </w:r>
      <w:r w:rsidRPr="00B465F3">
        <w:rPr>
          <w:rFonts w:eastAsiaTheme="minorEastAsia" w:cs="Microsoft YaHei"/>
          <w:lang w:eastAsia="zh-CN"/>
        </w:rPr>
        <w:t>号决议建立的机制，每年向经社理事会高层政治论坛（</w:t>
      </w:r>
      <w:r w:rsidRPr="00B465F3">
        <w:rPr>
          <w:rFonts w:eastAsiaTheme="minorEastAsia"/>
          <w:lang w:eastAsia="zh-CN"/>
        </w:rPr>
        <w:t>HLPF</w:t>
      </w:r>
      <w:r w:rsidRPr="00B465F3">
        <w:rPr>
          <w:rFonts w:eastAsiaTheme="minorEastAsia" w:cs="Microsoft YaHei"/>
          <w:lang w:eastAsia="zh-CN"/>
        </w:rPr>
        <w:t>）</w:t>
      </w:r>
      <w:r>
        <w:rPr>
          <w:rFonts w:eastAsiaTheme="minorEastAsia" w:cs="Microsoft YaHei" w:hint="eastAsia"/>
          <w:lang w:eastAsia="zh-CN"/>
        </w:rPr>
        <w:t>及联大</w:t>
      </w:r>
      <w:r>
        <w:rPr>
          <w:rFonts w:eastAsiaTheme="minorEastAsia" w:cs="Microsoft YaHei" w:hint="eastAsia"/>
          <w:lang w:eastAsia="zh-CN"/>
        </w:rPr>
        <w:t>2019</w:t>
      </w:r>
      <w:r>
        <w:rPr>
          <w:rFonts w:eastAsiaTheme="minorEastAsia" w:cs="Microsoft YaHei" w:hint="eastAsia"/>
          <w:lang w:eastAsia="zh-CN"/>
        </w:rPr>
        <w:t>年</w:t>
      </w:r>
      <w:r w:rsidRPr="00B465F3">
        <w:rPr>
          <w:rFonts w:eastAsiaTheme="minorEastAsia" w:cs="Microsoft YaHei"/>
          <w:lang w:eastAsia="zh-CN"/>
        </w:rPr>
        <w:t>高</w:t>
      </w:r>
      <w:r>
        <w:rPr>
          <w:rFonts w:eastAsiaTheme="minorEastAsia" w:cs="Microsoft YaHei" w:hint="eastAsia"/>
          <w:lang w:eastAsia="zh-CN"/>
        </w:rPr>
        <w:t>级别</w:t>
      </w:r>
      <w:r w:rsidRPr="00B465F3">
        <w:rPr>
          <w:rFonts w:eastAsiaTheme="minorEastAsia" w:cs="Microsoft YaHei"/>
          <w:lang w:eastAsia="zh-CN"/>
        </w:rPr>
        <w:t>政治论坛提交</w:t>
      </w:r>
      <w:r>
        <w:rPr>
          <w:rFonts w:eastAsiaTheme="minorEastAsia" w:cs="Microsoft YaHei" w:hint="eastAsia"/>
          <w:lang w:eastAsia="zh-CN"/>
        </w:rPr>
        <w:t>有关</w:t>
      </w:r>
      <w:r w:rsidRPr="00B465F3">
        <w:rPr>
          <w:rFonts w:eastAsiaTheme="minorEastAsia" w:cs="Microsoft YaHei"/>
          <w:lang w:eastAsia="zh-CN"/>
        </w:rPr>
        <w:t>国际电联</w:t>
      </w:r>
      <w:r>
        <w:rPr>
          <w:rFonts w:eastAsiaTheme="minorEastAsia" w:cs="Microsoft YaHei" w:hint="eastAsia"/>
          <w:lang w:eastAsia="zh-CN"/>
        </w:rPr>
        <w:t>所开展</w:t>
      </w:r>
      <w:r>
        <w:rPr>
          <w:rFonts w:eastAsiaTheme="minorEastAsia" w:cs="Microsoft YaHei"/>
          <w:lang w:eastAsia="zh-CN"/>
        </w:rPr>
        <w:t>的相关</w:t>
      </w:r>
      <w:r w:rsidRPr="00B465F3">
        <w:rPr>
          <w:rFonts w:eastAsiaTheme="minorEastAsia" w:cs="Microsoft YaHei"/>
          <w:lang w:eastAsia="zh-CN"/>
        </w:rPr>
        <w:t>活动</w:t>
      </w:r>
      <w:r>
        <w:rPr>
          <w:rFonts w:eastAsiaTheme="minorEastAsia" w:cs="Microsoft YaHei" w:hint="eastAsia"/>
          <w:lang w:eastAsia="zh-CN"/>
        </w:rPr>
        <w:t>的</w:t>
      </w:r>
      <w:r w:rsidRPr="00B465F3">
        <w:rPr>
          <w:rFonts w:eastAsiaTheme="minorEastAsia" w:cs="Microsoft YaHei"/>
          <w:lang w:eastAsia="zh-CN"/>
        </w:rPr>
        <w:t>文稿，并将报告提交</w:t>
      </w:r>
      <w:r>
        <w:rPr>
          <w:lang w:eastAsia="zh-CN"/>
        </w:rPr>
        <w:t>CWG-WSIS&amp;SDG</w:t>
      </w:r>
      <w:r w:rsidRPr="00B465F3">
        <w:rPr>
          <w:rFonts w:eastAsiaTheme="minorEastAsia" w:cs="Microsoft YaHei"/>
          <w:lang w:eastAsia="zh-CN"/>
        </w:rPr>
        <w:t>；</w:t>
      </w:r>
    </w:p>
    <w:p w14:paraId="4827B3E3" w14:textId="77777777" w:rsidR="003C22D4" w:rsidRPr="00B465F3" w:rsidRDefault="003C22D4" w:rsidP="003C22D4">
      <w:pPr>
        <w:rPr>
          <w:rFonts w:eastAsiaTheme="minorEastAsia"/>
          <w:lang w:eastAsia="zh-CN"/>
        </w:rPr>
      </w:pPr>
      <w:r w:rsidRPr="00B465F3">
        <w:rPr>
          <w:rFonts w:eastAsiaTheme="minorEastAsia"/>
          <w:lang w:eastAsia="zh-CN"/>
        </w:rPr>
        <w:t>6</w:t>
      </w:r>
      <w:r w:rsidRPr="00B465F3">
        <w:rPr>
          <w:rFonts w:eastAsiaTheme="minorEastAsia"/>
          <w:lang w:eastAsia="zh-CN"/>
        </w:rPr>
        <w:tab/>
      </w:r>
      <w:r>
        <w:rPr>
          <w:rFonts w:eastAsiaTheme="minorEastAsia" w:hint="eastAsia"/>
          <w:lang w:eastAsia="zh-CN"/>
        </w:rPr>
        <w:t>每年</w:t>
      </w:r>
      <w:r w:rsidRPr="00B465F3">
        <w:rPr>
          <w:rFonts w:eastAsiaTheme="minorEastAsia" w:cs="Microsoft YaHei"/>
          <w:lang w:eastAsia="zh-CN"/>
        </w:rPr>
        <w:t>向国际电联理事会提</w:t>
      </w:r>
      <w:r>
        <w:rPr>
          <w:rFonts w:eastAsiaTheme="minorEastAsia" w:cs="Microsoft YaHei" w:hint="eastAsia"/>
          <w:lang w:eastAsia="zh-CN"/>
        </w:rPr>
        <w:t>交</w:t>
      </w:r>
      <w:r w:rsidRPr="00B465F3">
        <w:rPr>
          <w:rFonts w:eastAsiaTheme="minorEastAsia" w:cs="Microsoft YaHei"/>
          <w:lang w:eastAsia="zh-CN"/>
        </w:rPr>
        <w:t>一份综合报告，详细</w:t>
      </w:r>
      <w:r>
        <w:rPr>
          <w:rFonts w:eastAsiaTheme="minorEastAsia" w:cs="Microsoft YaHei" w:hint="eastAsia"/>
          <w:lang w:eastAsia="zh-CN"/>
        </w:rPr>
        <w:t>说</w:t>
      </w:r>
      <w:r w:rsidRPr="00B465F3">
        <w:rPr>
          <w:rFonts w:eastAsiaTheme="minorEastAsia" w:cs="Microsoft YaHei"/>
          <w:lang w:eastAsia="zh-CN"/>
        </w:rPr>
        <w:t>明国际电联就</w:t>
      </w:r>
      <w:r>
        <w:rPr>
          <w:rFonts w:eastAsiaTheme="minorEastAsia" w:cs="Microsoft YaHei" w:hint="eastAsia"/>
          <w:lang w:eastAsia="zh-CN"/>
        </w:rPr>
        <w:t>这些</w:t>
      </w:r>
      <w:r w:rsidRPr="00B465F3">
        <w:rPr>
          <w:rFonts w:eastAsiaTheme="minorEastAsia" w:cs="Microsoft YaHei"/>
          <w:lang w:eastAsia="zh-CN"/>
        </w:rPr>
        <w:t>议题开展的活动、采取的行动和</w:t>
      </w:r>
      <w:r>
        <w:rPr>
          <w:rFonts w:eastAsiaTheme="minorEastAsia" w:cs="Microsoft YaHei" w:hint="eastAsia"/>
          <w:lang w:eastAsia="zh-CN"/>
        </w:rPr>
        <w:t>从事</w:t>
      </w:r>
      <w:r>
        <w:rPr>
          <w:rFonts w:eastAsiaTheme="minorEastAsia" w:cs="Microsoft YaHei"/>
          <w:lang w:eastAsia="zh-CN"/>
        </w:rPr>
        <w:t>的工作</w:t>
      </w:r>
      <w:r w:rsidRPr="00B465F3">
        <w:rPr>
          <w:rFonts w:eastAsiaTheme="minorEastAsia" w:cs="Microsoft YaHei"/>
          <w:lang w:eastAsia="zh-CN"/>
        </w:rPr>
        <w:t>，供理事会审议并做出决定；</w:t>
      </w:r>
    </w:p>
    <w:p w14:paraId="4827B3E4" w14:textId="77777777" w:rsidR="003C22D4" w:rsidRPr="00D3649B" w:rsidRDefault="003C22D4" w:rsidP="003C22D4">
      <w:pPr>
        <w:rPr>
          <w:lang w:eastAsia="zh-CN"/>
        </w:rPr>
      </w:pPr>
      <w:r>
        <w:rPr>
          <w:rFonts w:eastAsiaTheme="minorEastAsia" w:cs="Microsoft YaHei"/>
          <w:lang w:eastAsia="zh-CN"/>
        </w:rPr>
        <w:t>7</w:t>
      </w:r>
      <w:r>
        <w:rPr>
          <w:rFonts w:eastAsiaTheme="minorEastAsia" w:cs="Microsoft YaHei"/>
          <w:lang w:eastAsia="zh-CN"/>
        </w:rPr>
        <w:tab/>
      </w:r>
      <w:r w:rsidRPr="007545A7">
        <w:rPr>
          <w:rFonts w:hint="eastAsia"/>
          <w:lang w:eastAsia="zh-CN"/>
        </w:rPr>
        <w:t>请联合国信息社会</w:t>
      </w:r>
      <w:r>
        <w:rPr>
          <w:rFonts w:hint="eastAsia"/>
          <w:lang w:eastAsia="zh-CN"/>
        </w:rPr>
        <w:t>小</w:t>
      </w:r>
      <w:r w:rsidRPr="007545A7">
        <w:rPr>
          <w:rFonts w:hint="eastAsia"/>
          <w:lang w:eastAsia="zh-CN"/>
        </w:rPr>
        <w:t>组（</w:t>
      </w:r>
      <w:r w:rsidRPr="007545A7">
        <w:rPr>
          <w:rFonts w:hint="eastAsia"/>
          <w:lang w:eastAsia="zh-CN"/>
        </w:rPr>
        <w:t>UNGIS</w:t>
      </w:r>
      <w:r w:rsidRPr="007545A7">
        <w:rPr>
          <w:rFonts w:hint="eastAsia"/>
          <w:lang w:eastAsia="zh-CN"/>
        </w:rPr>
        <w:t>）</w:t>
      </w:r>
      <w:r>
        <w:rPr>
          <w:rFonts w:hint="eastAsia"/>
          <w:lang w:eastAsia="zh-CN"/>
        </w:rPr>
        <w:t>根据</w:t>
      </w:r>
      <w:r w:rsidRPr="007545A7">
        <w:rPr>
          <w:rFonts w:hint="eastAsia"/>
          <w:lang w:eastAsia="zh-CN"/>
        </w:rPr>
        <w:t>全面审查</w:t>
      </w:r>
      <w:r w:rsidRPr="007545A7">
        <w:rPr>
          <w:rFonts w:hint="eastAsia"/>
          <w:lang w:eastAsia="zh-CN"/>
        </w:rPr>
        <w:t>WSIS</w:t>
      </w:r>
      <w:r w:rsidRPr="007545A7">
        <w:rPr>
          <w:rFonts w:hint="eastAsia"/>
          <w:lang w:eastAsia="zh-CN"/>
        </w:rPr>
        <w:t>成果落实工作的结果</w:t>
      </w:r>
      <w:r>
        <w:rPr>
          <w:rFonts w:hint="eastAsia"/>
          <w:lang w:eastAsia="zh-CN"/>
        </w:rPr>
        <w:t>和</w:t>
      </w:r>
      <w:r>
        <w:rPr>
          <w:lang w:eastAsia="zh-CN"/>
        </w:rPr>
        <w:t>《</w:t>
      </w:r>
      <w:r>
        <w:rPr>
          <w:rFonts w:hint="eastAsia"/>
          <w:lang w:eastAsia="zh-CN"/>
        </w:rPr>
        <w:t>2030</w:t>
      </w:r>
      <w:r>
        <w:rPr>
          <w:rFonts w:hint="eastAsia"/>
          <w:lang w:eastAsia="zh-CN"/>
        </w:rPr>
        <w:t>年</w:t>
      </w:r>
      <w:r>
        <w:rPr>
          <w:lang w:eastAsia="zh-CN"/>
        </w:rPr>
        <w:t>可持续发展议程》</w:t>
      </w:r>
      <w:r w:rsidRPr="007545A7">
        <w:rPr>
          <w:rFonts w:hint="eastAsia"/>
          <w:lang w:eastAsia="zh-CN"/>
        </w:rPr>
        <w:t>，</w:t>
      </w:r>
      <w:r>
        <w:rPr>
          <w:rFonts w:hint="eastAsia"/>
          <w:lang w:eastAsia="zh-CN"/>
        </w:rPr>
        <w:t>协调</w:t>
      </w:r>
      <w:r>
        <w:rPr>
          <w:lang w:eastAsia="zh-CN"/>
        </w:rPr>
        <w:t>一致地开展</w:t>
      </w:r>
      <w:r>
        <w:rPr>
          <w:rFonts w:hint="eastAsia"/>
          <w:lang w:eastAsia="zh-CN"/>
        </w:rPr>
        <w:t>推进</w:t>
      </w:r>
      <w:r w:rsidRPr="007545A7">
        <w:rPr>
          <w:rFonts w:hint="eastAsia"/>
          <w:lang w:eastAsia="zh-CN"/>
        </w:rPr>
        <w:t>信息社会向知识社会过渡的活动；</w:t>
      </w:r>
    </w:p>
    <w:p w14:paraId="4827B3E5" w14:textId="77777777" w:rsidR="0082299F" w:rsidRDefault="0082299F">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3E6" w14:textId="77777777" w:rsidR="003C22D4" w:rsidRDefault="003C22D4" w:rsidP="003C22D4">
      <w:pPr>
        <w:rPr>
          <w:lang w:eastAsia="zh-CN"/>
        </w:rPr>
      </w:pPr>
      <w:r>
        <w:rPr>
          <w:rFonts w:hint="eastAsia"/>
          <w:lang w:eastAsia="zh-CN"/>
        </w:rPr>
        <w:lastRenderedPageBreak/>
        <w:t>8</w:t>
      </w:r>
      <w:r>
        <w:rPr>
          <w:rFonts w:hint="eastAsia"/>
          <w:lang w:eastAsia="zh-CN"/>
        </w:rPr>
        <w:tab/>
      </w:r>
      <w:r>
        <w:rPr>
          <w:rFonts w:hint="eastAsia"/>
          <w:lang w:eastAsia="zh-CN"/>
        </w:rPr>
        <w:t>继续协调</w:t>
      </w:r>
      <w:r>
        <w:rPr>
          <w:rFonts w:hint="eastAsia"/>
          <w:lang w:eastAsia="zh-CN"/>
        </w:rPr>
        <w:t>WSIS</w:t>
      </w:r>
      <w:r>
        <w:rPr>
          <w:rFonts w:hint="eastAsia"/>
          <w:lang w:eastAsia="zh-CN"/>
        </w:rPr>
        <w:t>论坛，将其作为</w:t>
      </w:r>
      <w:r>
        <w:rPr>
          <w:rFonts w:hint="eastAsia"/>
          <w:lang w:eastAsia="zh-CN"/>
        </w:rPr>
        <w:t>WSIS</w:t>
      </w:r>
      <w:r>
        <w:rPr>
          <w:rFonts w:hint="eastAsia"/>
          <w:lang w:eastAsia="zh-CN"/>
        </w:rPr>
        <w:t>利益攸关多方开展讨论和分享最佳做法的平台，同时顾及</w:t>
      </w:r>
      <w:r>
        <w:rPr>
          <w:lang w:eastAsia="zh-CN"/>
        </w:rPr>
        <w:t>《</w:t>
      </w:r>
      <w:r>
        <w:rPr>
          <w:rFonts w:hint="eastAsia"/>
          <w:lang w:eastAsia="zh-CN"/>
        </w:rPr>
        <w:t>2030</w:t>
      </w:r>
      <w:r>
        <w:rPr>
          <w:rFonts w:hint="eastAsia"/>
          <w:lang w:eastAsia="zh-CN"/>
        </w:rPr>
        <w:t>年</w:t>
      </w:r>
      <w:r>
        <w:rPr>
          <w:lang w:eastAsia="zh-CN"/>
        </w:rPr>
        <w:t>可持续发展议程》</w:t>
      </w:r>
      <w:r>
        <w:rPr>
          <w:rFonts w:hint="eastAsia"/>
          <w:lang w:eastAsia="zh-CN"/>
        </w:rPr>
        <w:t>；</w:t>
      </w:r>
    </w:p>
    <w:p w14:paraId="4827B3E7" w14:textId="77777777" w:rsidR="003C22D4" w:rsidRDefault="003C22D4" w:rsidP="003C22D4">
      <w:pPr>
        <w:rPr>
          <w:lang w:eastAsia="zh-CN"/>
        </w:rPr>
      </w:pPr>
      <w:r>
        <w:rPr>
          <w:rFonts w:hint="eastAsia"/>
          <w:lang w:eastAsia="zh-CN"/>
        </w:rPr>
        <w:t>9</w:t>
      </w:r>
      <w:r>
        <w:rPr>
          <w:rFonts w:hint="eastAsia"/>
          <w:lang w:eastAsia="zh-CN"/>
        </w:rPr>
        <w:tab/>
      </w:r>
      <w:r>
        <w:rPr>
          <w:rFonts w:hint="eastAsia"/>
          <w:lang w:eastAsia="zh-CN"/>
        </w:rPr>
        <w:t>根据</w:t>
      </w:r>
      <w:r>
        <w:rPr>
          <w:lang w:eastAsia="zh-CN"/>
        </w:rPr>
        <w:t>《</w:t>
      </w:r>
      <w:r>
        <w:rPr>
          <w:rFonts w:hint="eastAsia"/>
          <w:lang w:eastAsia="zh-CN"/>
        </w:rPr>
        <w:t>2030</w:t>
      </w:r>
      <w:r>
        <w:rPr>
          <w:rFonts w:hint="eastAsia"/>
          <w:lang w:eastAsia="zh-CN"/>
        </w:rPr>
        <w:t>年</w:t>
      </w:r>
      <w:r>
        <w:rPr>
          <w:lang w:eastAsia="zh-CN"/>
        </w:rPr>
        <w:t>可持续发展议程》</w:t>
      </w:r>
      <w:r>
        <w:rPr>
          <w:rFonts w:hint="eastAsia"/>
          <w:lang w:eastAsia="zh-CN"/>
        </w:rPr>
        <w:t>对</w:t>
      </w:r>
      <w:r>
        <w:rPr>
          <w:rFonts w:hint="eastAsia"/>
          <w:lang w:eastAsia="zh-CN"/>
        </w:rPr>
        <w:t>WSIS</w:t>
      </w:r>
      <w:r>
        <w:rPr>
          <w:rFonts w:hint="eastAsia"/>
          <w:lang w:eastAsia="zh-CN"/>
        </w:rPr>
        <w:t>清点工作数据库和</w:t>
      </w:r>
      <w:r>
        <w:rPr>
          <w:rFonts w:hint="eastAsia"/>
          <w:lang w:eastAsia="zh-CN"/>
        </w:rPr>
        <w:t>WSIS</w:t>
      </w:r>
      <w:r>
        <w:rPr>
          <w:rFonts w:hint="eastAsia"/>
          <w:lang w:eastAsia="zh-CN"/>
        </w:rPr>
        <w:t>项目奖大赛进行调整；</w:t>
      </w:r>
    </w:p>
    <w:p w14:paraId="4827B3E8" w14:textId="77777777" w:rsidR="003C22D4" w:rsidRPr="00D3649B" w:rsidRDefault="003C22D4" w:rsidP="003C22D4">
      <w:pPr>
        <w:rPr>
          <w:lang w:eastAsia="zh-CN"/>
        </w:rPr>
      </w:pPr>
      <w:r>
        <w:rPr>
          <w:rFonts w:hint="eastAsia"/>
          <w:lang w:eastAsia="zh-CN"/>
        </w:rPr>
        <w:t>10</w:t>
      </w:r>
      <w:r w:rsidRPr="00D3649B">
        <w:rPr>
          <w:lang w:eastAsia="zh-CN"/>
        </w:rPr>
        <w:tab/>
      </w:r>
      <w:r w:rsidRPr="007545A7">
        <w:rPr>
          <w:rFonts w:hint="eastAsia"/>
          <w:lang w:eastAsia="zh-CN"/>
        </w:rPr>
        <w:t>在</w:t>
      </w:r>
      <w:r w:rsidRPr="007545A7">
        <w:rPr>
          <w:lang w:eastAsia="zh-CN"/>
        </w:rPr>
        <w:t>WSIS</w:t>
      </w:r>
      <w:r>
        <w:rPr>
          <w:lang w:eastAsia="zh-CN"/>
        </w:rPr>
        <w:t>&amp;SDG</w:t>
      </w:r>
      <w:r w:rsidRPr="007545A7">
        <w:rPr>
          <w:rFonts w:hint="eastAsia"/>
          <w:lang w:eastAsia="zh-CN"/>
        </w:rPr>
        <w:t>任务组的活动中</w:t>
      </w:r>
      <w:r>
        <w:rPr>
          <w:rFonts w:hint="eastAsia"/>
          <w:lang w:eastAsia="zh-CN"/>
        </w:rPr>
        <w:t>顾及</w:t>
      </w:r>
      <w:r>
        <w:rPr>
          <w:lang w:eastAsia="zh-CN"/>
        </w:rPr>
        <w:t>C</w:t>
      </w:r>
      <w:r w:rsidRPr="00A75D0F">
        <w:rPr>
          <w:lang w:eastAsia="zh-CN"/>
        </w:rPr>
        <w:t>WG-WSIS</w:t>
      </w:r>
      <w:r>
        <w:rPr>
          <w:lang w:eastAsia="zh-CN"/>
        </w:rPr>
        <w:t>&amp;SDG</w:t>
      </w:r>
      <w:r w:rsidRPr="007545A7">
        <w:rPr>
          <w:rFonts w:hint="eastAsia"/>
          <w:lang w:eastAsia="zh-CN"/>
        </w:rPr>
        <w:t>的工作成果；</w:t>
      </w:r>
    </w:p>
    <w:p w14:paraId="4827B3E9" w14:textId="77777777" w:rsidR="003C22D4" w:rsidRPr="00D3649B" w:rsidRDefault="003C22D4" w:rsidP="003C22D4">
      <w:pPr>
        <w:rPr>
          <w:lang w:eastAsia="zh-CN"/>
        </w:rPr>
      </w:pPr>
      <w:r>
        <w:rPr>
          <w:rFonts w:hint="eastAsia"/>
          <w:lang w:eastAsia="zh-CN"/>
        </w:rPr>
        <w:t>11</w:t>
      </w:r>
      <w:r w:rsidRPr="00D3649B">
        <w:rPr>
          <w:lang w:eastAsia="zh-CN"/>
        </w:rPr>
        <w:tab/>
      </w:r>
      <w:r>
        <w:rPr>
          <w:rFonts w:hint="eastAsia"/>
          <w:lang w:eastAsia="zh-CN"/>
        </w:rPr>
        <w:t>通过建立合作伙伴和战略联盟之类的机制，维护</w:t>
      </w:r>
      <w:r w:rsidRPr="007545A7">
        <w:rPr>
          <w:rFonts w:hint="eastAsia"/>
          <w:lang w:eastAsia="zh-CN"/>
        </w:rPr>
        <w:t>旨在支持</w:t>
      </w:r>
      <w:r>
        <w:rPr>
          <w:rFonts w:hint="eastAsia"/>
          <w:lang w:eastAsia="zh-CN"/>
        </w:rPr>
        <w:t>国际电联</w:t>
      </w:r>
      <w:r w:rsidRPr="007545A7">
        <w:rPr>
          <w:rFonts w:hint="eastAsia"/>
          <w:lang w:eastAsia="zh-CN"/>
        </w:rPr>
        <w:t>WSIS</w:t>
      </w:r>
      <w:r w:rsidRPr="007545A7">
        <w:rPr>
          <w:rFonts w:hint="eastAsia"/>
          <w:lang w:eastAsia="zh-CN"/>
        </w:rPr>
        <w:t>成果落实活动的</w:t>
      </w:r>
      <w:r>
        <w:rPr>
          <w:rFonts w:hint="eastAsia"/>
          <w:lang w:eastAsia="zh-CN"/>
        </w:rPr>
        <w:t>WSIS</w:t>
      </w:r>
      <w:r w:rsidRPr="007545A7">
        <w:rPr>
          <w:rFonts w:hint="eastAsia"/>
          <w:lang w:eastAsia="zh-CN"/>
        </w:rPr>
        <w:t>专项信托基金，</w:t>
      </w:r>
      <w:r>
        <w:rPr>
          <w:rFonts w:hint="eastAsia"/>
          <w:lang w:eastAsia="zh-CN"/>
        </w:rPr>
        <w:t>并且</w:t>
      </w:r>
      <w:r w:rsidRPr="007545A7">
        <w:rPr>
          <w:rFonts w:hint="eastAsia"/>
          <w:lang w:eastAsia="zh-CN"/>
        </w:rPr>
        <w:t>请</w:t>
      </w:r>
      <w:r>
        <w:rPr>
          <w:rFonts w:hint="eastAsia"/>
          <w:lang w:eastAsia="zh-CN"/>
        </w:rPr>
        <w:t>国际电联</w:t>
      </w:r>
      <w:r w:rsidRPr="007545A7">
        <w:rPr>
          <w:rFonts w:hint="eastAsia"/>
          <w:lang w:eastAsia="zh-CN"/>
        </w:rPr>
        <w:t>成员进行自愿捐款，</w:t>
      </w:r>
    </w:p>
    <w:p w14:paraId="4827B3EA" w14:textId="77777777" w:rsidR="003C22D4" w:rsidRPr="00D3649B" w:rsidRDefault="003C22D4" w:rsidP="003C22D4">
      <w:pPr>
        <w:pStyle w:val="Call"/>
        <w:rPr>
          <w:lang w:eastAsia="zh-CN"/>
        </w:rPr>
      </w:pPr>
      <w:r w:rsidRPr="004F730B">
        <w:rPr>
          <w:rFonts w:hint="eastAsia"/>
          <w:lang w:eastAsia="zh-CN"/>
        </w:rPr>
        <w:t>责成秘书长和各局主任</w:t>
      </w:r>
    </w:p>
    <w:p w14:paraId="4827B3EB" w14:textId="77777777" w:rsidR="003C22D4" w:rsidRPr="007545A7" w:rsidRDefault="003C22D4" w:rsidP="003C22D4">
      <w:pPr>
        <w:rPr>
          <w:lang w:eastAsia="zh-CN"/>
        </w:rPr>
      </w:pPr>
      <w:r w:rsidRPr="007545A7">
        <w:rPr>
          <w:rFonts w:hint="eastAsia"/>
          <w:lang w:eastAsia="zh-CN"/>
        </w:rPr>
        <w:t>1</w:t>
      </w:r>
      <w:r w:rsidRPr="007545A7">
        <w:rPr>
          <w:rFonts w:hint="eastAsia"/>
          <w:lang w:eastAsia="zh-CN"/>
        </w:rPr>
        <w:tab/>
      </w:r>
      <w:r w:rsidRPr="007545A7">
        <w:rPr>
          <w:rFonts w:hint="eastAsia"/>
          <w:lang w:eastAsia="zh-CN"/>
        </w:rPr>
        <w:t>除</w:t>
      </w:r>
      <w:r w:rsidRPr="007545A7">
        <w:rPr>
          <w:lang w:eastAsia="zh-CN"/>
        </w:rPr>
        <w:t>WSIS C2</w:t>
      </w:r>
      <w:r w:rsidRPr="007545A7">
        <w:rPr>
          <w:rFonts w:hint="eastAsia"/>
          <w:lang w:eastAsia="zh-CN"/>
        </w:rPr>
        <w:t>、</w:t>
      </w:r>
      <w:r w:rsidRPr="007545A7">
        <w:rPr>
          <w:lang w:eastAsia="zh-CN"/>
        </w:rPr>
        <w:t>C5</w:t>
      </w:r>
      <w:r w:rsidRPr="007545A7">
        <w:rPr>
          <w:rFonts w:hint="eastAsia"/>
          <w:lang w:eastAsia="zh-CN"/>
        </w:rPr>
        <w:t>和</w:t>
      </w:r>
      <w:r w:rsidRPr="007545A7">
        <w:rPr>
          <w:rFonts w:hint="eastAsia"/>
          <w:lang w:eastAsia="zh-CN"/>
        </w:rPr>
        <w:t>C6</w:t>
      </w:r>
      <w:r w:rsidRPr="007545A7">
        <w:rPr>
          <w:rFonts w:hint="eastAsia"/>
          <w:lang w:eastAsia="zh-CN"/>
        </w:rPr>
        <w:t>行动方面的牵头方外，针对国际电联</w:t>
      </w:r>
      <w:r>
        <w:rPr>
          <w:rFonts w:hint="eastAsia"/>
          <w:lang w:eastAsia="zh-CN"/>
        </w:rPr>
        <w:t>身</w:t>
      </w:r>
      <w:r w:rsidRPr="007545A7">
        <w:rPr>
          <w:rFonts w:hint="eastAsia"/>
          <w:lang w:eastAsia="zh-CN"/>
        </w:rPr>
        <w:t>为共同</w:t>
      </w:r>
      <w:r>
        <w:rPr>
          <w:rFonts w:hint="eastAsia"/>
          <w:lang w:eastAsia="zh-CN"/>
        </w:rPr>
        <w:t>推</w:t>
      </w:r>
      <w:r w:rsidRPr="007545A7">
        <w:rPr>
          <w:rFonts w:hint="eastAsia"/>
          <w:lang w:eastAsia="zh-CN"/>
        </w:rPr>
        <w:t>进方或</w:t>
      </w:r>
      <w:r>
        <w:rPr>
          <w:rFonts w:hint="eastAsia"/>
          <w:lang w:eastAsia="zh-CN"/>
        </w:rPr>
        <w:t>酌情作为伙伴</w:t>
      </w:r>
      <w:r w:rsidRPr="007545A7">
        <w:rPr>
          <w:rFonts w:hint="eastAsia"/>
          <w:lang w:eastAsia="zh-CN"/>
        </w:rPr>
        <w:t>的</w:t>
      </w:r>
      <w:r w:rsidRPr="007545A7">
        <w:rPr>
          <w:lang w:eastAsia="zh-CN"/>
        </w:rPr>
        <w:t>C1</w:t>
      </w:r>
      <w:r w:rsidRPr="007545A7">
        <w:rPr>
          <w:rFonts w:hint="eastAsia"/>
          <w:lang w:eastAsia="zh-CN"/>
        </w:rPr>
        <w:t>、</w:t>
      </w:r>
      <w:r w:rsidRPr="007545A7">
        <w:rPr>
          <w:lang w:eastAsia="zh-CN"/>
        </w:rPr>
        <w:t>C3</w:t>
      </w:r>
      <w:r w:rsidRPr="007545A7">
        <w:rPr>
          <w:rFonts w:hint="eastAsia"/>
          <w:lang w:eastAsia="zh-CN"/>
        </w:rPr>
        <w:t>、</w:t>
      </w:r>
      <w:r w:rsidRPr="007545A7">
        <w:rPr>
          <w:lang w:eastAsia="zh-CN"/>
        </w:rPr>
        <w:t>C4</w:t>
      </w:r>
      <w:r w:rsidRPr="007545A7">
        <w:rPr>
          <w:rFonts w:hint="eastAsia"/>
          <w:lang w:eastAsia="zh-CN"/>
        </w:rPr>
        <w:t>、</w:t>
      </w:r>
      <w:r w:rsidRPr="007545A7">
        <w:rPr>
          <w:lang w:eastAsia="zh-CN"/>
        </w:rPr>
        <w:t>C7</w:t>
      </w:r>
      <w:r w:rsidRPr="007545A7">
        <w:rPr>
          <w:rFonts w:hint="eastAsia"/>
          <w:lang w:eastAsia="zh-CN"/>
        </w:rPr>
        <w:t>、</w:t>
      </w:r>
      <w:r w:rsidRPr="007545A7">
        <w:rPr>
          <w:lang w:eastAsia="zh-CN"/>
        </w:rPr>
        <w:t>C8</w:t>
      </w:r>
      <w:r w:rsidRPr="007545A7">
        <w:rPr>
          <w:rFonts w:hint="eastAsia"/>
          <w:lang w:eastAsia="zh-CN"/>
        </w:rPr>
        <w:t>、</w:t>
      </w:r>
      <w:r w:rsidRPr="007545A7">
        <w:rPr>
          <w:rFonts w:hint="eastAsia"/>
          <w:lang w:eastAsia="zh-CN"/>
        </w:rPr>
        <w:t>C9</w:t>
      </w:r>
      <w:r w:rsidRPr="007545A7">
        <w:rPr>
          <w:rFonts w:hint="eastAsia"/>
          <w:lang w:eastAsia="zh-CN"/>
        </w:rPr>
        <w:t>和</w:t>
      </w:r>
      <w:r w:rsidRPr="007545A7">
        <w:rPr>
          <w:lang w:eastAsia="zh-CN"/>
        </w:rPr>
        <w:t>C11</w:t>
      </w:r>
      <w:r w:rsidRPr="007545A7">
        <w:rPr>
          <w:rFonts w:hint="eastAsia"/>
          <w:lang w:eastAsia="zh-CN"/>
        </w:rPr>
        <w:t>各行动方面指定</w:t>
      </w:r>
      <w:r>
        <w:rPr>
          <w:rFonts w:hint="eastAsia"/>
          <w:lang w:eastAsia="zh-CN"/>
        </w:rPr>
        <w:t>国际电联</w:t>
      </w:r>
      <w:r w:rsidRPr="007545A7">
        <w:rPr>
          <w:rFonts w:hint="eastAsia"/>
          <w:lang w:eastAsia="zh-CN"/>
        </w:rPr>
        <w:t>其它牵头方；</w:t>
      </w:r>
    </w:p>
    <w:p w14:paraId="4827B3EC" w14:textId="77777777" w:rsidR="003C22D4" w:rsidRPr="007545A7" w:rsidRDefault="003C22D4" w:rsidP="003C22D4">
      <w:pPr>
        <w:rPr>
          <w:lang w:eastAsia="zh-CN"/>
        </w:rPr>
      </w:pPr>
      <w:r w:rsidRPr="007545A7">
        <w:rPr>
          <w:rFonts w:hint="eastAsia"/>
          <w:lang w:eastAsia="zh-CN"/>
        </w:rPr>
        <w:t>2</w:t>
      </w:r>
      <w:r w:rsidRPr="007545A7">
        <w:rPr>
          <w:rFonts w:hint="eastAsia"/>
          <w:lang w:eastAsia="zh-CN"/>
        </w:rPr>
        <w:tab/>
      </w:r>
      <w:r>
        <w:rPr>
          <w:rFonts w:hint="eastAsia"/>
          <w:lang w:eastAsia="zh-CN"/>
        </w:rPr>
        <w:t>为</w:t>
      </w:r>
      <w:r>
        <w:rPr>
          <w:lang w:eastAsia="zh-CN"/>
        </w:rPr>
        <w:t>落实</w:t>
      </w:r>
      <w:r w:rsidRPr="007545A7">
        <w:rPr>
          <w:rFonts w:hint="eastAsia"/>
          <w:lang w:eastAsia="zh-CN"/>
        </w:rPr>
        <w:t>上述各行动方面</w:t>
      </w:r>
      <w:r>
        <w:rPr>
          <w:rFonts w:hint="eastAsia"/>
          <w:lang w:eastAsia="zh-CN"/>
        </w:rPr>
        <w:t>，</w:t>
      </w:r>
      <w:r w:rsidRPr="007545A7">
        <w:rPr>
          <w:rFonts w:hint="eastAsia"/>
          <w:lang w:eastAsia="zh-CN"/>
        </w:rPr>
        <w:t>制定具体任务和截止期限，</w:t>
      </w:r>
      <w:r>
        <w:rPr>
          <w:rFonts w:hint="eastAsia"/>
          <w:lang w:eastAsia="zh-CN"/>
        </w:rPr>
        <w:t>同时顾及</w:t>
      </w:r>
      <w:r>
        <w:rPr>
          <w:lang w:eastAsia="zh-CN"/>
        </w:rPr>
        <w:t>《</w:t>
      </w:r>
      <w:r>
        <w:rPr>
          <w:rFonts w:hint="eastAsia"/>
          <w:lang w:eastAsia="zh-CN"/>
        </w:rPr>
        <w:t>2030</w:t>
      </w:r>
      <w:r>
        <w:rPr>
          <w:rFonts w:hint="eastAsia"/>
          <w:lang w:eastAsia="zh-CN"/>
        </w:rPr>
        <w:t>年</w:t>
      </w:r>
      <w:r>
        <w:rPr>
          <w:lang w:eastAsia="zh-CN"/>
        </w:rPr>
        <w:t>可持续发展议程》</w:t>
      </w:r>
      <w:r w:rsidRPr="007545A7">
        <w:rPr>
          <w:rFonts w:hint="eastAsia"/>
          <w:lang w:eastAsia="zh-CN"/>
        </w:rPr>
        <w:t>，并将其纳入总秘书处和各部门的运作规划；</w:t>
      </w:r>
    </w:p>
    <w:p w14:paraId="4827B3ED" w14:textId="77777777" w:rsidR="003C22D4" w:rsidRPr="00D3649B" w:rsidRDefault="003C22D4" w:rsidP="003C22D4">
      <w:pPr>
        <w:rPr>
          <w:lang w:eastAsia="zh-CN"/>
        </w:rPr>
      </w:pPr>
      <w:r w:rsidRPr="007545A7">
        <w:rPr>
          <w:lang w:eastAsia="zh-CN"/>
        </w:rPr>
        <w:t>3</w:t>
      </w:r>
      <w:r w:rsidRPr="007545A7">
        <w:rPr>
          <w:lang w:eastAsia="zh-CN"/>
        </w:rPr>
        <w:tab/>
      </w:r>
      <w:r>
        <w:rPr>
          <w:rFonts w:hint="eastAsia"/>
          <w:lang w:eastAsia="zh-CN"/>
        </w:rPr>
        <w:t>在</w:t>
      </w:r>
      <w:r w:rsidRPr="007545A7">
        <w:rPr>
          <w:rFonts w:hint="eastAsia"/>
          <w:lang w:eastAsia="zh-CN"/>
        </w:rPr>
        <w:t>酌情为无线电通信全会（</w:t>
      </w:r>
      <w:r w:rsidRPr="007545A7">
        <w:rPr>
          <w:rFonts w:hint="eastAsia"/>
          <w:lang w:eastAsia="zh-CN"/>
        </w:rPr>
        <w:t>RA</w:t>
      </w:r>
      <w:r w:rsidRPr="007545A7">
        <w:rPr>
          <w:lang w:eastAsia="zh-CN"/>
        </w:rPr>
        <w:t>）</w:t>
      </w:r>
      <w:r w:rsidRPr="007545A7">
        <w:rPr>
          <w:rFonts w:hint="eastAsia"/>
          <w:lang w:eastAsia="zh-CN"/>
        </w:rPr>
        <w:t>、</w:t>
      </w:r>
      <w:r>
        <w:rPr>
          <w:rFonts w:hint="eastAsia"/>
          <w:lang w:eastAsia="zh-CN"/>
        </w:rPr>
        <w:t>世界无线电通信大会（</w:t>
      </w:r>
      <w:r>
        <w:rPr>
          <w:rFonts w:hint="eastAsia"/>
          <w:lang w:eastAsia="zh-CN"/>
        </w:rPr>
        <w:t>WRC</w:t>
      </w:r>
      <w:r>
        <w:rPr>
          <w:rFonts w:hint="eastAsia"/>
          <w:lang w:eastAsia="zh-CN"/>
        </w:rPr>
        <w:t>）、</w:t>
      </w:r>
      <w:r w:rsidRPr="007545A7">
        <w:rPr>
          <w:rFonts w:hint="eastAsia"/>
          <w:lang w:eastAsia="zh-CN"/>
        </w:rPr>
        <w:t>世界电信标准化全会（</w:t>
      </w:r>
      <w:r w:rsidRPr="007545A7">
        <w:rPr>
          <w:rFonts w:hint="eastAsia"/>
          <w:lang w:eastAsia="zh-CN"/>
        </w:rPr>
        <w:t>WTSA</w:t>
      </w:r>
      <w:r w:rsidRPr="007545A7">
        <w:rPr>
          <w:rFonts w:hint="eastAsia"/>
          <w:lang w:eastAsia="zh-CN"/>
        </w:rPr>
        <w:t>）、世界电信发展大会（</w:t>
      </w:r>
      <w:r w:rsidRPr="007545A7">
        <w:rPr>
          <w:rFonts w:hint="eastAsia"/>
          <w:lang w:eastAsia="zh-CN"/>
        </w:rPr>
        <w:t>WTDC</w:t>
      </w:r>
      <w:r w:rsidRPr="007545A7">
        <w:rPr>
          <w:rFonts w:hint="eastAsia"/>
          <w:lang w:eastAsia="zh-CN"/>
        </w:rPr>
        <w:t>）和全权代表大会（</w:t>
      </w:r>
      <w:r w:rsidRPr="007545A7">
        <w:rPr>
          <w:rFonts w:hint="eastAsia"/>
          <w:lang w:eastAsia="zh-CN"/>
        </w:rPr>
        <w:t>PP</w:t>
      </w:r>
      <w:r w:rsidRPr="007545A7">
        <w:rPr>
          <w:rFonts w:hint="eastAsia"/>
          <w:lang w:eastAsia="zh-CN"/>
        </w:rPr>
        <w:t>）进行的筹备工作中，</w:t>
      </w:r>
      <w:r>
        <w:rPr>
          <w:rFonts w:hint="eastAsia"/>
          <w:lang w:eastAsia="zh-CN"/>
        </w:rPr>
        <w:t>顾及</w:t>
      </w:r>
      <w:r w:rsidRPr="007545A7">
        <w:rPr>
          <w:rFonts w:hint="eastAsia"/>
          <w:lang w:eastAsia="zh-CN"/>
        </w:rPr>
        <w:t>国际电联</w:t>
      </w:r>
      <w:r>
        <w:rPr>
          <w:rFonts w:hint="eastAsia"/>
          <w:lang w:eastAsia="zh-CN"/>
        </w:rPr>
        <w:t>所开展的与</w:t>
      </w:r>
      <w:r w:rsidRPr="007545A7">
        <w:rPr>
          <w:lang w:eastAsia="zh-CN"/>
        </w:rPr>
        <w:t>WSIS</w:t>
      </w:r>
      <w:r w:rsidRPr="007545A7">
        <w:rPr>
          <w:rFonts w:hint="eastAsia"/>
          <w:lang w:eastAsia="zh-CN"/>
        </w:rPr>
        <w:t>输出成果</w:t>
      </w:r>
      <w:r>
        <w:rPr>
          <w:rFonts w:hint="eastAsia"/>
          <w:lang w:eastAsia="zh-CN"/>
        </w:rPr>
        <w:t>落实相关和实现可持续发展目标相关</w:t>
      </w:r>
      <w:r w:rsidRPr="007545A7">
        <w:rPr>
          <w:rFonts w:hint="eastAsia"/>
          <w:lang w:eastAsia="zh-CN"/>
        </w:rPr>
        <w:t>的任务；</w:t>
      </w:r>
    </w:p>
    <w:p w14:paraId="4827B3EE" w14:textId="77777777" w:rsidR="003C22D4" w:rsidRDefault="003C22D4" w:rsidP="003C22D4">
      <w:pPr>
        <w:rPr>
          <w:lang w:eastAsia="zh-CN"/>
        </w:rPr>
      </w:pPr>
      <w:r>
        <w:rPr>
          <w:rFonts w:hint="eastAsia"/>
          <w:lang w:eastAsia="zh-CN"/>
        </w:rPr>
        <w:t>4</w:t>
      </w:r>
      <w:r>
        <w:rPr>
          <w:rFonts w:hint="eastAsia"/>
          <w:lang w:eastAsia="zh-CN"/>
        </w:rPr>
        <w:tab/>
      </w:r>
      <w:r>
        <w:rPr>
          <w:rFonts w:hint="eastAsia"/>
          <w:lang w:eastAsia="zh-CN"/>
        </w:rPr>
        <w:t>更新向理事会</w:t>
      </w:r>
      <w:r>
        <w:rPr>
          <w:rFonts w:hint="eastAsia"/>
          <w:lang w:eastAsia="zh-CN"/>
        </w:rPr>
        <w:t>2018</w:t>
      </w:r>
      <w:r>
        <w:rPr>
          <w:rFonts w:hint="eastAsia"/>
          <w:lang w:eastAsia="zh-CN"/>
        </w:rPr>
        <w:t>年会议提交的路线图草案，</w:t>
      </w:r>
      <w:r>
        <w:rPr>
          <w:rFonts w:hint="eastAsia"/>
          <w:color w:val="000000"/>
          <w:lang w:eastAsia="zh-CN"/>
        </w:rPr>
        <w:t>以便</w:t>
      </w:r>
      <w:r>
        <w:rPr>
          <w:color w:val="000000"/>
          <w:lang w:eastAsia="zh-CN"/>
        </w:rPr>
        <w:t>反映出</w:t>
      </w:r>
      <w:r>
        <w:rPr>
          <w:rFonts w:hint="eastAsia"/>
          <w:color w:val="000000"/>
          <w:lang w:eastAsia="zh-CN"/>
        </w:rPr>
        <w:t>可以</w:t>
      </w:r>
      <w:r>
        <w:rPr>
          <w:color w:val="000000"/>
          <w:lang w:eastAsia="zh-CN"/>
        </w:rPr>
        <w:t>如何利用</w:t>
      </w:r>
      <w:r>
        <w:rPr>
          <w:color w:val="000000"/>
          <w:lang w:eastAsia="zh-CN"/>
        </w:rPr>
        <w:t>WSIS</w:t>
      </w:r>
      <w:r>
        <w:rPr>
          <w:color w:val="000000"/>
          <w:lang w:eastAsia="zh-CN"/>
        </w:rPr>
        <w:t>框架帮助实现《</w:t>
      </w:r>
      <w:r>
        <w:rPr>
          <w:color w:val="000000"/>
          <w:lang w:eastAsia="zh-CN"/>
        </w:rPr>
        <w:t>2030</w:t>
      </w:r>
      <w:r>
        <w:rPr>
          <w:color w:val="000000"/>
          <w:lang w:eastAsia="zh-CN"/>
        </w:rPr>
        <w:t>年可持续发展议程》</w:t>
      </w:r>
      <w:r>
        <w:rPr>
          <w:rFonts w:hint="eastAsia"/>
          <w:color w:val="000000"/>
          <w:lang w:eastAsia="zh-CN"/>
        </w:rPr>
        <w:t>，同时顾及“连通目标</w:t>
      </w:r>
      <w:r>
        <w:rPr>
          <w:rFonts w:hint="eastAsia"/>
          <w:color w:val="000000"/>
          <w:lang w:eastAsia="zh-CN"/>
        </w:rPr>
        <w:t>2030</w:t>
      </w:r>
      <w:r>
        <w:rPr>
          <w:rFonts w:hint="eastAsia"/>
          <w:color w:val="000000"/>
          <w:lang w:eastAsia="zh-CN"/>
        </w:rPr>
        <w:t>”议程；</w:t>
      </w:r>
    </w:p>
    <w:p w14:paraId="4827B3EF" w14:textId="77777777" w:rsidR="003C22D4" w:rsidRPr="00D3649B" w:rsidRDefault="003C22D4" w:rsidP="003C22D4">
      <w:pPr>
        <w:rPr>
          <w:lang w:eastAsia="zh-CN"/>
        </w:rPr>
      </w:pPr>
      <w:r>
        <w:rPr>
          <w:rFonts w:hint="eastAsia"/>
          <w:lang w:eastAsia="zh-CN"/>
        </w:rPr>
        <w:t>5</w:t>
      </w:r>
      <w:r w:rsidRPr="00D3649B">
        <w:rPr>
          <w:lang w:eastAsia="zh-CN"/>
        </w:rPr>
        <w:tab/>
      </w:r>
      <w:r w:rsidRPr="007545A7">
        <w:rPr>
          <w:rFonts w:hint="eastAsia"/>
          <w:lang w:eastAsia="zh-CN"/>
        </w:rPr>
        <w:t>继续</w:t>
      </w:r>
      <w:r>
        <w:rPr>
          <w:rFonts w:hint="eastAsia"/>
          <w:lang w:eastAsia="zh-CN"/>
        </w:rPr>
        <w:t>整合</w:t>
      </w:r>
      <w:r>
        <w:rPr>
          <w:rFonts w:hint="eastAsia"/>
          <w:lang w:eastAsia="zh-CN"/>
        </w:rPr>
        <w:t>ITU-D</w:t>
      </w:r>
      <w:r w:rsidRPr="007545A7">
        <w:rPr>
          <w:rFonts w:hint="eastAsia"/>
          <w:lang w:eastAsia="zh-CN"/>
        </w:rPr>
        <w:t>行动计划</w:t>
      </w:r>
      <w:r>
        <w:rPr>
          <w:rFonts w:hint="eastAsia"/>
          <w:lang w:eastAsia="zh-CN"/>
        </w:rPr>
        <w:t>的实施</w:t>
      </w:r>
      <w:r w:rsidRPr="007545A7">
        <w:rPr>
          <w:rFonts w:hint="eastAsia"/>
          <w:lang w:eastAsia="zh-CN"/>
        </w:rPr>
        <w:t>，特别是第</w:t>
      </w:r>
      <w:r w:rsidRPr="007545A7">
        <w:rPr>
          <w:lang w:eastAsia="zh-CN"/>
        </w:rPr>
        <w:t>30</w:t>
      </w:r>
      <w:r w:rsidRPr="007545A7">
        <w:rPr>
          <w:rFonts w:hint="eastAsia"/>
          <w:lang w:eastAsia="zh-CN"/>
        </w:rPr>
        <w:t>号决议的落实工作</w:t>
      </w:r>
      <w:r>
        <w:rPr>
          <w:rFonts w:hint="eastAsia"/>
          <w:lang w:eastAsia="zh-CN"/>
        </w:rPr>
        <w:t>，在</w:t>
      </w:r>
      <w:r w:rsidRPr="007545A7">
        <w:rPr>
          <w:rFonts w:hint="eastAsia"/>
          <w:lang w:eastAsia="zh-CN"/>
        </w:rPr>
        <w:t>制定适当的</w:t>
      </w:r>
      <w:r>
        <w:rPr>
          <w:rFonts w:hint="eastAsia"/>
          <w:lang w:eastAsia="zh-CN"/>
        </w:rPr>
        <w:t>衡量</w:t>
      </w:r>
      <w:r w:rsidRPr="007545A7">
        <w:rPr>
          <w:rFonts w:hint="eastAsia"/>
          <w:lang w:eastAsia="zh-CN"/>
        </w:rPr>
        <w:t>方法</w:t>
      </w:r>
      <w:r>
        <w:rPr>
          <w:rFonts w:hint="eastAsia"/>
          <w:lang w:eastAsia="zh-CN"/>
        </w:rPr>
        <w:t>方面付出特别的努力</w:t>
      </w:r>
      <w:r w:rsidRPr="007545A7">
        <w:rPr>
          <w:rFonts w:hint="eastAsia"/>
          <w:lang w:eastAsia="zh-CN"/>
        </w:rPr>
        <w:t>，同时考虑到国际电联在衡量信息通信技术（</w:t>
      </w:r>
      <w:r w:rsidRPr="007545A7">
        <w:rPr>
          <w:rFonts w:hint="eastAsia"/>
          <w:lang w:eastAsia="zh-CN"/>
        </w:rPr>
        <w:t>ICT</w:t>
      </w:r>
      <w:r w:rsidRPr="007545A7">
        <w:rPr>
          <w:rFonts w:hint="eastAsia"/>
          <w:lang w:eastAsia="zh-CN"/>
        </w:rPr>
        <w:t>）促发展伙伴关系中的主导作用</w:t>
      </w:r>
      <w:r>
        <w:rPr>
          <w:rFonts w:hint="eastAsia"/>
          <w:lang w:eastAsia="zh-CN"/>
        </w:rPr>
        <w:t>，</w:t>
      </w:r>
    </w:p>
    <w:p w14:paraId="4827B3F0" w14:textId="77777777" w:rsidR="003C22D4" w:rsidRPr="00D3649B" w:rsidRDefault="003C22D4" w:rsidP="003C22D4">
      <w:pPr>
        <w:pStyle w:val="Call"/>
        <w:rPr>
          <w:lang w:eastAsia="zh-CN"/>
        </w:rPr>
      </w:pPr>
      <w:r w:rsidRPr="00870CA2">
        <w:rPr>
          <w:rFonts w:hint="eastAsia"/>
          <w:lang w:eastAsia="zh-CN"/>
        </w:rPr>
        <w:t>鼓励成员国</w:t>
      </w:r>
      <w:r>
        <w:rPr>
          <w:rFonts w:hint="eastAsia"/>
          <w:lang w:eastAsia="zh-CN"/>
        </w:rPr>
        <w:t>、</w:t>
      </w:r>
      <w:r w:rsidRPr="00870CA2">
        <w:rPr>
          <w:rFonts w:hint="eastAsia"/>
          <w:lang w:eastAsia="zh-CN"/>
        </w:rPr>
        <w:t>部门成员</w:t>
      </w:r>
      <w:r>
        <w:rPr>
          <w:rFonts w:hint="eastAsia"/>
          <w:lang w:eastAsia="zh-CN"/>
        </w:rPr>
        <w:t>和所有利益攸关方</w:t>
      </w:r>
    </w:p>
    <w:p w14:paraId="4827B3F1" w14:textId="77777777" w:rsidR="003C22D4" w:rsidRPr="007545A7" w:rsidRDefault="003C22D4" w:rsidP="003C22D4">
      <w:pPr>
        <w:rPr>
          <w:lang w:eastAsia="zh-CN"/>
        </w:rPr>
      </w:pPr>
      <w:r w:rsidRPr="007545A7">
        <w:rPr>
          <w:rFonts w:hint="eastAsia"/>
          <w:lang w:eastAsia="zh-CN"/>
        </w:rPr>
        <w:t>1</w:t>
      </w:r>
      <w:r w:rsidRPr="007545A7">
        <w:rPr>
          <w:rFonts w:hint="eastAsia"/>
          <w:lang w:eastAsia="zh-CN"/>
        </w:rPr>
        <w:tab/>
      </w:r>
      <w:r w:rsidRPr="007545A7">
        <w:rPr>
          <w:rFonts w:hint="eastAsia"/>
          <w:lang w:eastAsia="zh-CN"/>
        </w:rPr>
        <w:t>积极参与</w:t>
      </w:r>
      <w:r w:rsidRPr="007545A7">
        <w:rPr>
          <w:rFonts w:hint="eastAsia"/>
          <w:lang w:eastAsia="zh-CN"/>
        </w:rPr>
        <w:t>WSIS</w:t>
      </w:r>
      <w:r w:rsidRPr="007545A7">
        <w:rPr>
          <w:rFonts w:hint="eastAsia"/>
          <w:lang w:eastAsia="zh-CN"/>
        </w:rPr>
        <w:t>成果落实的活动、</w:t>
      </w:r>
      <w:r>
        <w:rPr>
          <w:rFonts w:hint="eastAsia"/>
          <w:lang w:eastAsia="zh-CN"/>
        </w:rPr>
        <w:t>C</w:t>
      </w:r>
      <w:r w:rsidRPr="007545A7">
        <w:rPr>
          <w:rFonts w:hint="eastAsia"/>
          <w:lang w:eastAsia="zh-CN"/>
        </w:rPr>
        <w:t>WG-WSIS</w:t>
      </w:r>
      <w:r>
        <w:rPr>
          <w:lang w:eastAsia="zh-CN"/>
        </w:rPr>
        <w:t>&amp;SDG</w:t>
      </w:r>
      <w:r w:rsidRPr="007545A7">
        <w:rPr>
          <w:rFonts w:hint="eastAsia"/>
          <w:lang w:eastAsia="zh-CN"/>
        </w:rPr>
        <w:t>的</w:t>
      </w:r>
      <w:r>
        <w:rPr>
          <w:rFonts w:hint="eastAsia"/>
          <w:lang w:eastAsia="zh-CN"/>
        </w:rPr>
        <w:t>活动以及</w:t>
      </w:r>
      <w:r w:rsidRPr="007545A7">
        <w:rPr>
          <w:rFonts w:hint="eastAsia"/>
          <w:lang w:eastAsia="zh-CN"/>
        </w:rPr>
        <w:t>国际电联</w:t>
      </w:r>
      <w:r>
        <w:rPr>
          <w:rFonts w:hint="eastAsia"/>
          <w:lang w:eastAsia="zh-CN"/>
        </w:rPr>
        <w:t>开展的</w:t>
      </w:r>
      <w:r w:rsidRPr="007545A7">
        <w:rPr>
          <w:rFonts w:hint="eastAsia"/>
          <w:lang w:eastAsia="zh-CN"/>
        </w:rPr>
        <w:t>进一步适应信息社会的活动；</w:t>
      </w:r>
    </w:p>
    <w:p w14:paraId="4827B3F2" w14:textId="77777777" w:rsidR="003C22D4" w:rsidRDefault="003C22D4" w:rsidP="003C22D4">
      <w:pPr>
        <w:rPr>
          <w:lang w:eastAsia="zh-CN"/>
        </w:rPr>
      </w:pPr>
      <w:r>
        <w:rPr>
          <w:rFonts w:hint="eastAsia"/>
          <w:lang w:eastAsia="zh-CN"/>
        </w:rPr>
        <w:t>2</w:t>
      </w:r>
      <w:r>
        <w:rPr>
          <w:rFonts w:hint="eastAsia"/>
          <w:lang w:eastAsia="zh-CN"/>
        </w:rPr>
        <w:tab/>
      </w:r>
      <w:r>
        <w:rPr>
          <w:color w:val="000000"/>
          <w:lang w:eastAsia="zh-CN"/>
        </w:rPr>
        <w:t>积极参加国际电联开展的</w:t>
      </w:r>
      <w:r>
        <w:rPr>
          <w:color w:val="000000"/>
          <w:lang w:eastAsia="zh-CN"/>
        </w:rPr>
        <w:t>WSIS</w:t>
      </w:r>
      <w:r>
        <w:rPr>
          <w:color w:val="000000"/>
          <w:lang w:eastAsia="zh-CN"/>
        </w:rPr>
        <w:t>成果落实活动、旨在</w:t>
      </w:r>
      <w:r>
        <w:rPr>
          <w:rFonts w:hint="eastAsia"/>
          <w:color w:val="000000"/>
          <w:lang w:eastAsia="zh-CN"/>
        </w:rPr>
        <w:t>酌情</w:t>
      </w:r>
      <w:r>
        <w:rPr>
          <w:color w:val="000000"/>
          <w:lang w:eastAsia="zh-CN"/>
        </w:rPr>
        <w:t>支持实现</w:t>
      </w:r>
      <w:r>
        <w:rPr>
          <w:color w:val="000000"/>
          <w:lang w:eastAsia="zh-CN"/>
        </w:rPr>
        <w:t>2030</w:t>
      </w:r>
      <w:r>
        <w:rPr>
          <w:color w:val="000000"/>
          <w:lang w:eastAsia="zh-CN"/>
        </w:rPr>
        <w:t>年</w:t>
      </w:r>
      <w:r>
        <w:rPr>
          <w:rFonts w:hint="eastAsia"/>
          <w:color w:val="000000"/>
          <w:lang w:eastAsia="zh-CN"/>
        </w:rPr>
        <w:t>可持续发展</w:t>
      </w:r>
      <w:r>
        <w:rPr>
          <w:color w:val="000000"/>
          <w:lang w:eastAsia="zh-CN"/>
        </w:rPr>
        <w:t>议程的</w:t>
      </w:r>
      <w:r>
        <w:rPr>
          <w:rFonts w:hint="eastAsia"/>
          <w:color w:val="000000"/>
          <w:lang w:eastAsia="zh-CN"/>
        </w:rPr>
        <w:t>；</w:t>
      </w:r>
    </w:p>
    <w:p w14:paraId="4827B3F3" w14:textId="77777777" w:rsidR="003C22D4" w:rsidRPr="007545A7" w:rsidRDefault="003C22D4" w:rsidP="003C22D4">
      <w:pPr>
        <w:rPr>
          <w:lang w:eastAsia="zh-CN"/>
        </w:rPr>
      </w:pPr>
      <w:r>
        <w:rPr>
          <w:rFonts w:hint="eastAsia"/>
          <w:lang w:eastAsia="zh-CN"/>
        </w:rPr>
        <w:t>3</w:t>
      </w:r>
      <w:r w:rsidRPr="007545A7">
        <w:rPr>
          <w:rFonts w:hint="eastAsia"/>
          <w:lang w:eastAsia="zh-CN"/>
        </w:rPr>
        <w:tab/>
      </w:r>
      <w:r w:rsidRPr="007545A7">
        <w:rPr>
          <w:rFonts w:hint="eastAsia"/>
          <w:lang w:eastAsia="zh-CN"/>
        </w:rPr>
        <w:t>向</w:t>
      </w:r>
      <w:r>
        <w:rPr>
          <w:rFonts w:hint="eastAsia"/>
          <w:lang w:eastAsia="zh-CN"/>
        </w:rPr>
        <w:t>WSIS</w:t>
      </w:r>
      <w:r w:rsidRPr="007545A7">
        <w:rPr>
          <w:rFonts w:hint="eastAsia"/>
          <w:lang w:eastAsia="zh-CN"/>
        </w:rPr>
        <w:t>信托基金提供自愿捐助，以便</w:t>
      </w:r>
      <w:r>
        <w:rPr>
          <w:rFonts w:hint="eastAsia"/>
          <w:lang w:eastAsia="zh-CN"/>
        </w:rPr>
        <w:t>支持与</w:t>
      </w:r>
      <w:r w:rsidRPr="007545A7">
        <w:rPr>
          <w:rFonts w:hint="eastAsia"/>
          <w:lang w:eastAsia="zh-CN"/>
        </w:rPr>
        <w:t>信息社会世界峰会成果</w:t>
      </w:r>
      <w:r>
        <w:rPr>
          <w:rFonts w:hint="eastAsia"/>
          <w:lang w:eastAsia="zh-CN"/>
        </w:rPr>
        <w:t>落实和实现</w:t>
      </w:r>
      <w:r>
        <w:rPr>
          <w:lang w:eastAsia="zh-CN"/>
        </w:rPr>
        <w:t>SDG</w:t>
      </w:r>
      <w:r w:rsidRPr="007545A7">
        <w:rPr>
          <w:rFonts w:hint="eastAsia"/>
          <w:lang w:eastAsia="zh-CN"/>
        </w:rPr>
        <w:t>相关</w:t>
      </w:r>
      <w:r>
        <w:rPr>
          <w:rFonts w:hint="eastAsia"/>
          <w:lang w:eastAsia="zh-CN"/>
        </w:rPr>
        <w:t>的</w:t>
      </w:r>
      <w:r w:rsidRPr="007545A7">
        <w:rPr>
          <w:rFonts w:hint="eastAsia"/>
          <w:lang w:eastAsia="zh-CN"/>
        </w:rPr>
        <w:t>活动；</w:t>
      </w:r>
    </w:p>
    <w:p w14:paraId="4827B3F4" w14:textId="77777777" w:rsidR="003C22D4" w:rsidRPr="00870CA2" w:rsidRDefault="003C22D4" w:rsidP="003C22D4">
      <w:pPr>
        <w:rPr>
          <w:lang w:val="fr-CH" w:eastAsia="zh-CN"/>
        </w:rPr>
      </w:pPr>
      <w:r>
        <w:rPr>
          <w:rFonts w:hint="eastAsia"/>
          <w:lang w:eastAsia="zh-CN"/>
        </w:rPr>
        <w:t>4</w:t>
      </w:r>
      <w:r w:rsidRPr="007545A7">
        <w:rPr>
          <w:rFonts w:hint="eastAsia"/>
          <w:lang w:eastAsia="zh-CN"/>
        </w:rPr>
        <w:tab/>
      </w:r>
      <w:r>
        <w:rPr>
          <w:rFonts w:hint="eastAsia"/>
          <w:lang w:eastAsia="zh-CN"/>
        </w:rPr>
        <w:t>继续向</w:t>
      </w:r>
      <w:r w:rsidRPr="007545A7">
        <w:rPr>
          <w:rFonts w:hint="eastAsia"/>
          <w:lang w:eastAsia="zh-CN"/>
        </w:rPr>
        <w:t>国际电联</w:t>
      </w:r>
      <w:r>
        <w:rPr>
          <w:rFonts w:hint="eastAsia"/>
          <w:lang w:eastAsia="zh-CN"/>
        </w:rPr>
        <w:t>维护</w:t>
      </w:r>
      <w:r w:rsidRPr="007545A7">
        <w:rPr>
          <w:rFonts w:hint="eastAsia"/>
          <w:lang w:eastAsia="zh-CN"/>
        </w:rPr>
        <w:t>的</w:t>
      </w:r>
      <w:r w:rsidRPr="007545A7">
        <w:rPr>
          <w:rFonts w:hint="eastAsia"/>
          <w:lang w:eastAsia="zh-CN"/>
        </w:rPr>
        <w:t>WSIS</w:t>
      </w:r>
      <w:r>
        <w:rPr>
          <w:rFonts w:hint="eastAsia"/>
          <w:lang w:eastAsia="zh-CN"/>
        </w:rPr>
        <w:t>公共</w:t>
      </w:r>
      <w:r w:rsidRPr="007545A7">
        <w:rPr>
          <w:rFonts w:hint="eastAsia"/>
          <w:lang w:eastAsia="zh-CN"/>
        </w:rPr>
        <w:t>清点</w:t>
      </w:r>
      <w:r>
        <w:rPr>
          <w:rFonts w:hint="eastAsia"/>
          <w:lang w:eastAsia="zh-CN"/>
        </w:rPr>
        <w:t>工作</w:t>
      </w:r>
      <w:r w:rsidRPr="007545A7">
        <w:rPr>
          <w:rFonts w:hint="eastAsia"/>
          <w:lang w:eastAsia="zh-CN"/>
        </w:rPr>
        <w:t>数据库提供有关</w:t>
      </w:r>
      <w:r>
        <w:rPr>
          <w:rFonts w:hint="eastAsia"/>
          <w:lang w:eastAsia="zh-CN"/>
        </w:rPr>
        <w:t>各自的</w:t>
      </w:r>
      <w:r w:rsidRPr="007545A7">
        <w:rPr>
          <w:rFonts w:hint="eastAsia"/>
          <w:lang w:eastAsia="zh-CN"/>
        </w:rPr>
        <w:t>活动信息</w:t>
      </w:r>
      <w:r>
        <w:rPr>
          <w:rFonts w:hint="eastAsia"/>
          <w:lang w:eastAsia="zh-CN"/>
        </w:rPr>
        <w:t>；</w:t>
      </w:r>
    </w:p>
    <w:p w14:paraId="4827B3F5" w14:textId="77777777" w:rsidR="003C22D4" w:rsidRPr="00D3649B" w:rsidRDefault="003C22D4" w:rsidP="003C22D4">
      <w:pPr>
        <w:rPr>
          <w:lang w:eastAsia="zh-CN"/>
        </w:rPr>
      </w:pPr>
      <w:r>
        <w:rPr>
          <w:rFonts w:hint="eastAsia"/>
          <w:lang w:eastAsia="zh-CN"/>
        </w:rPr>
        <w:t>5</w:t>
      </w:r>
      <w:r w:rsidRPr="00D3649B">
        <w:rPr>
          <w:lang w:eastAsia="zh-CN"/>
        </w:rPr>
        <w:tab/>
      </w:r>
      <w:r>
        <w:rPr>
          <w:rFonts w:hint="eastAsia"/>
          <w:lang w:eastAsia="zh-CN"/>
        </w:rPr>
        <w:t>继续为</w:t>
      </w:r>
      <w:r>
        <w:rPr>
          <w:lang w:eastAsia="zh-CN"/>
        </w:rPr>
        <w:t>年度</w:t>
      </w:r>
      <w:r>
        <w:rPr>
          <w:lang w:eastAsia="zh-CN"/>
        </w:rPr>
        <w:t>WSIS</w:t>
      </w:r>
      <w:r>
        <w:rPr>
          <w:lang w:eastAsia="zh-CN"/>
        </w:rPr>
        <w:t>项目奖</w:t>
      </w:r>
      <w:r>
        <w:rPr>
          <w:rFonts w:hint="eastAsia"/>
          <w:lang w:eastAsia="zh-CN"/>
        </w:rPr>
        <w:t>候选项目提名</w:t>
      </w:r>
      <w:r>
        <w:rPr>
          <w:lang w:eastAsia="zh-CN"/>
        </w:rPr>
        <w:t>；</w:t>
      </w:r>
    </w:p>
    <w:p w14:paraId="4827B3F6" w14:textId="77777777" w:rsidR="0082299F" w:rsidRDefault="0082299F">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3F7" w14:textId="77777777" w:rsidR="003C22D4" w:rsidRPr="00D3649B" w:rsidRDefault="003C22D4" w:rsidP="003C22D4">
      <w:pPr>
        <w:rPr>
          <w:lang w:eastAsia="zh-CN"/>
        </w:rPr>
      </w:pPr>
      <w:r w:rsidRPr="00D3649B">
        <w:rPr>
          <w:lang w:eastAsia="zh-CN"/>
        </w:rPr>
        <w:lastRenderedPageBreak/>
        <w:t>6</w:t>
      </w:r>
      <w:r w:rsidRPr="00D3649B">
        <w:rPr>
          <w:lang w:eastAsia="zh-CN"/>
        </w:rPr>
        <w:tab/>
      </w:r>
      <w:r>
        <w:rPr>
          <w:rFonts w:hint="eastAsia"/>
          <w:lang w:eastAsia="zh-CN"/>
        </w:rPr>
        <w:t>鼓励国际电联成员及其他相关利益攸关方酌情参与支持</w:t>
      </w:r>
      <w:r w:rsidRPr="00A525BA">
        <w:rPr>
          <w:lang w:eastAsia="zh-CN"/>
        </w:rPr>
        <w:t>WSIS</w:t>
      </w:r>
      <w:r>
        <w:rPr>
          <w:rFonts w:hint="eastAsia"/>
          <w:lang w:eastAsia="zh-CN"/>
        </w:rPr>
        <w:t>成果落实和实现</w:t>
      </w:r>
      <w:r>
        <w:rPr>
          <w:rFonts w:hint="eastAsia"/>
          <w:lang w:eastAsia="zh-CN"/>
        </w:rPr>
        <w:t>S</w:t>
      </w:r>
      <w:r>
        <w:rPr>
          <w:lang w:eastAsia="zh-CN"/>
        </w:rPr>
        <w:t>DG</w:t>
      </w:r>
      <w:r>
        <w:rPr>
          <w:rFonts w:hint="eastAsia"/>
          <w:lang w:eastAsia="zh-CN"/>
        </w:rPr>
        <w:t>的国际电联活动。</w:t>
      </w:r>
    </w:p>
    <w:p w14:paraId="4827B3F8" w14:textId="77777777" w:rsidR="003C22D4" w:rsidRPr="00D3649B" w:rsidRDefault="003C22D4" w:rsidP="0082299F">
      <w:pPr>
        <w:spacing w:before="600"/>
        <w:rPr>
          <w:lang w:eastAsia="zh-CN"/>
        </w:rPr>
      </w:pPr>
      <w:r w:rsidRPr="001D06D0">
        <w:rPr>
          <w:rFonts w:hint="eastAsia"/>
          <w:b/>
          <w:bCs/>
          <w:lang w:eastAsia="zh-CN"/>
        </w:rPr>
        <w:t>附件：</w:t>
      </w:r>
      <w:r w:rsidRPr="00364022">
        <w:rPr>
          <w:lang w:eastAsia="zh-CN"/>
        </w:rPr>
        <w:t>1</w:t>
      </w:r>
      <w:r w:rsidRPr="00364022">
        <w:rPr>
          <w:lang w:eastAsia="zh-CN"/>
        </w:rPr>
        <w:t>件</w:t>
      </w:r>
    </w:p>
    <w:p w14:paraId="4827B3F9" w14:textId="77777777" w:rsidR="003C22D4" w:rsidRPr="00870CA2" w:rsidRDefault="003C22D4" w:rsidP="003C22D4">
      <w:pPr>
        <w:pStyle w:val="AnnexNo"/>
        <w:rPr>
          <w:lang w:eastAsia="zh-CN"/>
        </w:rPr>
      </w:pPr>
      <w:r w:rsidRPr="00870CA2">
        <w:rPr>
          <w:rFonts w:hint="eastAsia"/>
          <w:lang w:eastAsia="zh-CN"/>
        </w:rPr>
        <w:t>附件</w:t>
      </w:r>
    </w:p>
    <w:p w14:paraId="4827B3FA" w14:textId="77777777" w:rsidR="003C22D4" w:rsidRPr="00221A66" w:rsidRDefault="003C22D4" w:rsidP="003C22D4">
      <w:pPr>
        <w:pStyle w:val="Annextitle"/>
        <w:rPr>
          <w:rFonts w:ascii="Calibri" w:hAnsi="Calibri" w:cs="Calibri"/>
          <w:lang w:eastAsia="zh-CN"/>
        </w:rPr>
      </w:pPr>
      <w:r w:rsidRPr="00870CA2">
        <w:rPr>
          <w:rFonts w:hint="eastAsia"/>
          <w:lang w:eastAsia="zh-CN"/>
        </w:rPr>
        <w:t>理事会信息社会世界</w:t>
      </w:r>
      <w:r w:rsidRPr="00221A66">
        <w:rPr>
          <w:rFonts w:ascii="Calibri" w:hAnsi="Calibri" w:cs="Calibri" w:hint="eastAsia"/>
          <w:lang w:eastAsia="zh-CN"/>
        </w:rPr>
        <w:t>峰会和可持续发展目标工作组</w:t>
      </w:r>
      <w:r>
        <w:rPr>
          <w:rFonts w:ascii="Calibri" w:hAnsi="Calibri" w:cs="Calibri"/>
          <w:lang w:eastAsia="zh-CN"/>
        </w:rPr>
        <w:br/>
      </w:r>
      <w:r w:rsidRPr="00221A66">
        <w:rPr>
          <w:rFonts w:ascii="Calibri" w:hAnsi="Calibri" w:cs="Calibri" w:hint="eastAsia"/>
          <w:lang w:eastAsia="zh-CN"/>
        </w:rPr>
        <w:t>（</w:t>
      </w:r>
      <w:r w:rsidRPr="00221A66">
        <w:rPr>
          <w:rFonts w:ascii="Calibri" w:hAnsi="Calibri" w:cs="Calibri" w:hint="eastAsia"/>
          <w:lang w:eastAsia="zh-CN"/>
        </w:rPr>
        <w:t>C</w:t>
      </w:r>
      <w:r w:rsidRPr="00221A66">
        <w:rPr>
          <w:rFonts w:ascii="Calibri" w:hAnsi="Calibri" w:cs="Calibri"/>
          <w:lang w:eastAsia="zh-CN"/>
        </w:rPr>
        <w:t>WG-WSIS&amp;SDG</w:t>
      </w:r>
      <w:r w:rsidRPr="00221A66">
        <w:rPr>
          <w:rFonts w:ascii="Calibri" w:hAnsi="Calibri" w:cs="Calibri" w:hint="eastAsia"/>
          <w:lang w:eastAsia="zh-CN"/>
        </w:rPr>
        <w:t>）的职责范围</w:t>
      </w:r>
    </w:p>
    <w:p w14:paraId="4827B3FB" w14:textId="77777777" w:rsidR="003C22D4" w:rsidRPr="00870CA2" w:rsidRDefault="003C22D4" w:rsidP="003C22D4">
      <w:pPr>
        <w:rPr>
          <w:lang w:eastAsia="zh-CN"/>
        </w:rPr>
      </w:pPr>
      <w:r w:rsidRPr="00870CA2">
        <w:rPr>
          <w:lang w:eastAsia="zh-CN"/>
        </w:rPr>
        <w:t>a)</w:t>
      </w:r>
      <w:r w:rsidRPr="00870CA2">
        <w:rPr>
          <w:lang w:eastAsia="zh-CN"/>
        </w:rPr>
        <w:tab/>
      </w:r>
      <w:r w:rsidRPr="00870CA2">
        <w:rPr>
          <w:rFonts w:hint="eastAsia"/>
          <w:lang w:eastAsia="zh-CN"/>
        </w:rPr>
        <w:t>通过定期会议和通函、问卷调查表或其它适当查询方式，推动成员</w:t>
      </w:r>
      <w:r>
        <w:rPr>
          <w:rFonts w:hint="eastAsia"/>
          <w:lang w:eastAsia="zh-CN"/>
        </w:rPr>
        <w:t>向</w:t>
      </w:r>
      <w:r w:rsidRPr="00870CA2">
        <w:rPr>
          <w:rFonts w:hint="eastAsia"/>
          <w:lang w:eastAsia="zh-CN"/>
        </w:rPr>
        <w:t>国际电联</w:t>
      </w:r>
      <w:r>
        <w:rPr>
          <w:rFonts w:hint="eastAsia"/>
          <w:lang w:eastAsia="zh-CN"/>
        </w:rPr>
        <w:t>开展的</w:t>
      </w:r>
      <w:r w:rsidRPr="00870CA2">
        <w:rPr>
          <w:lang w:eastAsia="zh-CN"/>
        </w:rPr>
        <w:t>WSIS</w:t>
      </w:r>
      <w:r w:rsidRPr="00870CA2">
        <w:rPr>
          <w:rFonts w:hint="eastAsia"/>
          <w:lang w:eastAsia="zh-CN"/>
        </w:rPr>
        <w:t>成果</w:t>
      </w:r>
      <w:r>
        <w:rPr>
          <w:rFonts w:hint="eastAsia"/>
          <w:lang w:eastAsia="zh-CN"/>
        </w:rPr>
        <w:t>落实和</w:t>
      </w:r>
      <w:r>
        <w:rPr>
          <w:lang w:eastAsia="zh-CN"/>
        </w:rPr>
        <w:t>《</w:t>
      </w:r>
      <w:r>
        <w:rPr>
          <w:rFonts w:hint="eastAsia"/>
          <w:lang w:eastAsia="zh-CN"/>
        </w:rPr>
        <w:t>2030</w:t>
      </w:r>
      <w:r>
        <w:rPr>
          <w:rFonts w:hint="eastAsia"/>
          <w:lang w:eastAsia="zh-CN"/>
        </w:rPr>
        <w:t>年</w:t>
      </w:r>
      <w:r>
        <w:rPr>
          <w:lang w:eastAsia="zh-CN"/>
        </w:rPr>
        <w:t>可持续发展议程》</w:t>
      </w:r>
      <w:r>
        <w:rPr>
          <w:rFonts w:hint="eastAsia"/>
          <w:lang w:eastAsia="zh-CN"/>
        </w:rPr>
        <w:t>相关活动</w:t>
      </w:r>
      <w:r w:rsidRPr="00870CA2">
        <w:rPr>
          <w:rFonts w:hint="eastAsia"/>
          <w:lang w:eastAsia="zh-CN"/>
        </w:rPr>
        <w:t>提供输入</w:t>
      </w:r>
      <w:r>
        <w:rPr>
          <w:rFonts w:hint="eastAsia"/>
          <w:lang w:eastAsia="zh-CN"/>
        </w:rPr>
        <w:t>内容</w:t>
      </w:r>
      <w:r w:rsidRPr="00870CA2">
        <w:rPr>
          <w:rFonts w:hint="eastAsia"/>
          <w:lang w:eastAsia="zh-CN"/>
        </w:rPr>
        <w:t>；</w:t>
      </w:r>
    </w:p>
    <w:p w14:paraId="4827B3FC" w14:textId="77777777" w:rsidR="003C22D4" w:rsidRDefault="003C22D4" w:rsidP="003C22D4">
      <w:pPr>
        <w:rPr>
          <w:lang w:eastAsia="zh-CN"/>
        </w:rPr>
      </w:pPr>
      <w:r w:rsidRPr="00D3649B">
        <w:rPr>
          <w:lang w:eastAsia="zh-CN"/>
        </w:rPr>
        <w:t>b)</w:t>
      </w:r>
      <w:r w:rsidRPr="00D3649B">
        <w:rPr>
          <w:lang w:eastAsia="zh-CN"/>
        </w:rPr>
        <w:tab/>
      </w:r>
      <w:r w:rsidRPr="00F32E50">
        <w:rPr>
          <w:rFonts w:hint="eastAsia"/>
          <w:lang w:eastAsia="zh-CN"/>
        </w:rPr>
        <w:t>监督</w:t>
      </w:r>
      <w:r>
        <w:rPr>
          <w:rFonts w:hint="eastAsia"/>
          <w:lang w:eastAsia="zh-CN"/>
        </w:rPr>
        <w:t>、审议并讨论</w:t>
      </w:r>
      <w:r w:rsidRPr="00F32E50">
        <w:rPr>
          <w:rFonts w:hint="eastAsia"/>
          <w:lang w:eastAsia="zh-CN"/>
        </w:rPr>
        <w:t>国际电联</w:t>
      </w:r>
      <w:r>
        <w:rPr>
          <w:rFonts w:hint="eastAsia"/>
          <w:lang w:eastAsia="zh-CN"/>
        </w:rPr>
        <w:t>所</w:t>
      </w:r>
      <w:r w:rsidRPr="00F32E50">
        <w:rPr>
          <w:rFonts w:hint="eastAsia"/>
          <w:lang w:eastAsia="zh-CN"/>
        </w:rPr>
        <w:t>开展的</w:t>
      </w:r>
      <w:r>
        <w:rPr>
          <w:rFonts w:hint="eastAsia"/>
          <w:lang w:eastAsia="zh-CN"/>
        </w:rPr>
        <w:t>WSIS</w:t>
      </w:r>
      <w:r w:rsidRPr="00F32E50">
        <w:rPr>
          <w:rFonts w:hint="eastAsia"/>
          <w:lang w:eastAsia="zh-CN"/>
        </w:rPr>
        <w:t>成果落实工作</w:t>
      </w:r>
      <w:r>
        <w:rPr>
          <w:rFonts w:hint="eastAsia"/>
          <w:lang w:eastAsia="zh-CN"/>
        </w:rPr>
        <w:t>和实现</w:t>
      </w:r>
      <w:r>
        <w:rPr>
          <w:lang w:eastAsia="zh-CN"/>
        </w:rPr>
        <w:t>SDG</w:t>
      </w:r>
      <w:r>
        <w:rPr>
          <w:rFonts w:hint="eastAsia"/>
          <w:lang w:eastAsia="zh-CN"/>
        </w:rPr>
        <w:t>的相关活动</w:t>
      </w:r>
      <w:r w:rsidRPr="00F32E50">
        <w:rPr>
          <w:rFonts w:hint="eastAsia"/>
          <w:lang w:eastAsia="zh-CN"/>
        </w:rPr>
        <w:t>，并</w:t>
      </w:r>
      <w:r>
        <w:rPr>
          <w:rFonts w:hint="eastAsia"/>
          <w:lang w:eastAsia="zh-CN"/>
        </w:rPr>
        <w:t>在全权代表大会确定的财务限制内酌情提供</w:t>
      </w:r>
      <w:r w:rsidRPr="00F32E50">
        <w:rPr>
          <w:rFonts w:hint="eastAsia"/>
          <w:lang w:eastAsia="zh-CN"/>
        </w:rPr>
        <w:t>资源</w:t>
      </w:r>
      <w:r>
        <w:rPr>
          <w:rFonts w:hint="eastAsia"/>
          <w:lang w:eastAsia="zh-CN"/>
        </w:rPr>
        <w:t>；</w:t>
      </w:r>
    </w:p>
    <w:p w14:paraId="4827B3FD" w14:textId="77777777" w:rsidR="003C22D4" w:rsidRPr="00D3649B" w:rsidRDefault="003C22D4" w:rsidP="003C22D4">
      <w:pPr>
        <w:rPr>
          <w:lang w:eastAsia="zh-CN"/>
        </w:rPr>
      </w:pPr>
      <w:r w:rsidRPr="00D3649B">
        <w:rPr>
          <w:lang w:eastAsia="zh-CN"/>
        </w:rPr>
        <w:t>c)</w:t>
      </w:r>
      <w:r w:rsidRPr="00D3649B">
        <w:rPr>
          <w:lang w:eastAsia="zh-CN"/>
        </w:rPr>
        <w:tab/>
      </w:r>
      <w:r w:rsidRPr="007545A7">
        <w:rPr>
          <w:rFonts w:hint="eastAsia"/>
          <w:lang w:eastAsia="zh-CN"/>
        </w:rPr>
        <w:t>对</w:t>
      </w:r>
      <w:r>
        <w:rPr>
          <w:rFonts w:hint="eastAsia"/>
          <w:lang w:eastAsia="zh-CN"/>
        </w:rPr>
        <w:t>于</w:t>
      </w:r>
      <w:r w:rsidRPr="007545A7">
        <w:rPr>
          <w:rFonts w:hint="eastAsia"/>
          <w:lang w:eastAsia="zh-CN"/>
        </w:rPr>
        <w:t>国际电联为</w:t>
      </w:r>
      <w:r w:rsidRPr="007545A7">
        <w:rPr>
          <w:lang w:eastAsia="zh-CN"/>
        </w:rPr>
        <w:t>WSIS</w:t>
      </w:r>
      <w:r w:rsidRPr="007545A7">
        <w:rPr>
          <w:rFonts w:hint="eastAsia"/>
          <w:lang w:eastAsia="zh-CN"/>
        </w:rPr>
        <w:t>成果落实</w:t>
      </w:r>
      <w:r>
        <w:rPr>
          <w:rFonts w:hint="eastAsia"/>
          <w:lang w:eastAsia="zh-CN"/>
        </w:rPr>
        <w:t>和</w:t>
      </w:r>
      <w:r>
        <w:rPr>
          <w:lang w:eastAsia="zh-CN"/>
        </w:rPr>
        <w:t>《</w:t>
      </w:r>
      <w:r>
        <w:rPr>
          <w:rFonts w:hint="eastAsia"/>
          <w:lang w:eastAsia="zh-CN"/>
        </w:rPr>
        <w:t>2030</w:t>
      </w:r>
      <w:r>
        <w:rPr>
          <w:rFonts w:hint="eastAsia"/>
          <w:lang w:eastAsia="zh-CN"/>
        </w:rPr>
        <w:t>年</w:t>
      </w:r>
      <w:r>
        <w:rPr>
          <w:lang w:eastAsia="zh-CN"/>
        </w:rPr>
        <w:t>可持续发展议程》</w:t>
      </w:r>
      <w:r>
        <w:rPr>
          <w:rFonts w:hint="eastAsia"/>
          <w:lang w:eastAsia="zh-CN"/>
        </w:rPr>
        <w:t>所</w:t>
      </w:r>
      <w:r w:rsidRPr="007545A7">
        <w:rPr>
          <w:rFonts w:hint="eastAsia"/>
          <w:lang w:eastAsia="zh-CN"/>
        </w:rPr>
        <w:t>采取的行动进行年度监督和评估</w:t>
      </w:r>
      <w:r>
        <w:rPr>
          <w:rFonts w:hint="eastAsia"/>
          <w:lang w:eastAsia="zh-CN"/>
        </w:rPr>
        <w:t>，其中包括审议由秘书处起草、准备提交</w:t>
      </w:r>
      <w:r>
        <w:rPr>
          <w:lang w:eastAsia="zh-CN"/>
        </w:rPr>
        <w:t>ECOSOC</w:t>
      </w:r>
      <w:r>
        <w:rPr>
          <w:rFonts w:hint="eastAsia"/>
          <w:lang w:eastAsia="zh-CN"/>
        </w:rPr>
        <w:t>和可持续发展高级别政治论坛的报告草案，并且向理事会提出适当的建议</w:t>
      </w:r>
      <w:r w:rsidRPr="007545A7">
        <w:rPr>
          <w:rFonts w:hint="eastAsia"/>
          <w:lang w:eastAsia="zh-CN"/>
        </w:rPr>
        <w:t>；</w:t>
      </w:r>
    </w:p>
    <w:p w14:paraId="4827B3FE" w14:textId="77777777" w:rsidR="003C22D4" w:rsidRPr="00D3649B" w:rsidRDefault="003C22D4" w:rsidP="003C22D4">
      <w:pPr>
        <w:rPr>
          <w:lang w:eastAsia="zh-CN"/>
        </w:rPr>
      </w:pPr>
      <w:r w:rsidRPr="00D3649B">
        <w:rPr>
          <w:lang w:eastAsia="zh-CN"/>
        </w:rPr>
        <w:t>d)</w:t>
      </w:r>
      <w:r w:rsidRPr="00D3649B">
        <w:rPr>
          <w:lang w:eastAsia="zh-CN"/>
        </w:rPr>
        <w:tab/>
      </w:r>
      <w:r w:rsidRPr="007545A7">
        <w:rPr>
          <w:rFonts w:hint="eastAsia"/>
          <w:lang w:eastAsia="zh-CN"/>
        </w:rPr>
        <w:t>为成员提供有关国际电联在落实</w:t>
      </w:r>
      <w:r w:rsidRPr="007545A7">
        <w:rPr>
          <w:lang w:eastAsia="zh-CN"/>
        </w:rPr>
        <w:t>WSIS</w:t>
      </w:r>
      <w:r>
        <w:rPr>
          <w:rFonts w:hint="eastAsia"/>
          <w:lang w:eastAsia="zh-CN"/>
        </w:rPr>
        <w:t>成果以及</w:t>
      </w:r>
      <w:r>
        <w:rPr>
          <w:lang w:eastAsia="zh-CN"/>
        </w:rPr>
        <w:t>《</w:t>
      </w:r>
      <w:r>
        <w:rPr>
          <w:rFonts w:hint="eastAsia"/>
          <w:lang w:eastAsia="zh-CN"/>
        </w:rPr>
        <w:t>2030</w:t>
      </w:r>
      <w:r>
        <w:rPr>
          <w:rFonts w:hint="eastAsia"/>
          <w:lang w:eastAsia="zh-CN"/>
        </w:rPr>
        <w:t>年</w:t>
      </w:r>
      <w:r>
        <w:rPr>
          <w:lang w:eastAsia="zh-CN"/>
        </w:rPr>
        <w:t>可持续发展议程》</w:t>
      </w:r>
      <w:r w:rsidRPr="007545A7">
        <w:rPr>
          <w:rFonts w:hint="eastAsia"/>
          <w:lang w:eastAsia="zh-CN"/>
        </w:rPr>
        <w:t>过程中</w:t>
      </w:r>
      <w:r>
        <w:rPr>
          <w:rFonts w:hint="eastAsia"/>
          <w:lang w:eastAsia="zh-CN"/>
        </w:rPr>
        <w:t>所</w:t>
      </w:r>
      <w:r w:rsidRPr="007545A7">
        <w:rPr>
          <w:rFonts w:hint="eastAsia"/>
          <w:lang w:eastAsia="zh-CN"/>
        </w:rPr>
        <w:t>采取行动，特别是有关落实国际电联作为推进方的</w:t>
      </w:r>
      <w:r w:rsidRPr="007545A7">
        <w:rPr>
          <w:lang w:eastAsia="zh-CN"/>
        </w:rPr>
        <w:t>WSIS C2</w:t>
      </w:r>
      <w:r w:rsidRPr="007545A7">
        <w:rPr>
          <w:rFonts w:hint="eastAsia"/>
          <w:lang w:eastAsia="zh-CN"/>
        </w:rPr>
        <w:t>（信息通信基础设施）、</w:t>
      </w:r>
      <w:r w:rsidRPr="007545A7">
        <w:rPr>
          <w:lang w:eastAsia="zh-CN"/>
        </w:rPr>
        <w:t>C5</w:t>
      </w:r>
      <w:r w:rsidRPr="007545A7">
        <w:rPr>
          <w:rFonts w:hint="eastAsia"/>
          <w:lang w:eastAsia="zh-CN"/>
        </w:rPr>
        <w:t>（树立使用</w:t>
      </w:r>
      <w:r w:rsidRPr="007545A7">
        <w:rPr>
          <w:lang w:eastAsia="zh-CN"/>
        </w:rPr>
        <w:t>ICT</w:t>
      </w:r>
      <w:r w:rsidRPr="007545A7">
        <w:rPr>
          <w:rFonts w:hint="eastAsia"/>
          <w:lang w:eastAsia="zh-CN"/>
        </w:rPr>
        <w:t>的信心并提高安全性）和</w:t>
      </w:r>
      <w:r w:rsidRPr="007545A7">
        <w:rPr>
          <w:rFonts w:hint="eastAsia"/>
          <w:lang w:eastAsia="zh-CN"/>
        </w:rPr>
        <w:t>C6</w:t>
      </w:r>
      <w:r w:rsidRPr="007545A7">
        <w:rPr>
          <w:rFonts w:hint="eastAsia"/>
          <w:lang w:eastAsia="zh-CN"/>
        </w:rPr>
        <w:t>（创建有利环境）行动方面的</w:t>
      </w:r>
      <w:r>
        <w:rPr>
          <w:rFonts w:hint="eastAsia"/>
          <w:lang w:eastAsia="zh-CN"/>
        </w:rPr>
        <w:t>信息</w:t>
      </w:r>
      <w:r w:rsidRPr="007545A7">
        <w:rPr>
          <w:rFonts w:hint="eastAsia"/>
          <w:lang w:eastAsia="zh-CN"/>
        </w:rPr>
        <w:t>；</w:t>
      </w:r>
    </w:p>
    <w:p w14:paraId="4827B3FF" w14:textId="77777777" w:rsidR="003C22D4" w:rsidRDefault="003C22D4" w:rsidP="003C22D4">
      <w:pPr>
        <w:rPr>
          <w:lang w:eastAsia="zh-CN"/>
        </w:rPr>
      </w:pPr>
      <w:r w:rsidRPr="00D3649B">
        <w:rPr>
          <w:lang w:eastAsia="zh-CN"/>
        </w:rPr>
        <w:t>e)</w:t>
      </w:r>
      <w:r w:rsidRPr="00D3649B">
        <w:rPr>
          <w:lang w:eastAsia="zh-CN"/>
        </w:rPr>
        <w:tab/>
      </w:r>
      <w:r w:rsidRPr="007545A7">
        <w:rPr>
          <w:rFonts w:hint="eastAsia"/>
          <w:lang w:eastAsia="zh-CN"/>
        </w:rPr>
        <w:t>在全权代表大会制定的财务限制范围内，</w:t>
      </w:r>
      <w:r>
        <w:rPr>
          <w:rFonts w:hint="eastAsia"/>
          <w:lang w:eastAsia="zh-CN"/>
        </w:rPr>
        <w:t>针对国际电联在积极参与</w:t>
      </w:r>
      <w:r w:rsidRPr="007545A7">
        <w:rPr>
          <w:lang w:eastAsia="zh-CN"/>
        </w:rPr>
        <w:t>C1</w:t>
      </w:r>
      <w:r w:rsidRPr="007545A7">
        <w:rPr>
          <w:rFonts w:hint="eastAsia"/>
          <w:lang w:eastAsia="zh-CN"/>
        </w:rPr>
        <w:t>、</w:t>
      </w:r>
      <w:r w:rsidRPr="007545A7">
        <w:rPr>
          <w:lang w:eastAsia="zh-CN"/>
        </w:rPr>
        <w:t>C3</w:t>
      </w:r>
      <w:r w:rsidRPr="007545A7">
        <w:rPr>
          <w:rFonts w:hint="eastAsia"/>
          <w:lang w:eastAsia="zh-CN"/>
        </w:rPr>
        <w:t>、</w:t>
      </w:r>
      <w:r w:rsidRPr="007545A7">
        <w:rPr>
          <w:lang w:eastAsia="zh-CN"/>
        </w:rPr>
        <w:t>C4</w:t>
      </w:r>
      <w:r w:rsidRPr="007545A7">
        <w:rPr>
          <w:rFonts w:hint="eastAsia"/>
          <w:lang w:eastAsia="zh-CN"/>
        </w:rPr>
        <w:t>、</w:t>
      </w:r>
      <w:r w:rsidRPr="007545A7">
        <w:rPr>
          <w:lang w:eastAsia="zh-CN"/>
        </w:rPr>
        <w:t>C7</w:t>
      </w:r>
      <w:r w:rsidRPr="007545A7">
        <w:rPr>
          <w:rFonts w:hint="eastAsia"/>
          <w:lang w:eastAsia="zh-CN"/>
        </w:rPr>
        <w:t>、</w:t>
      </w:r>
      <w:r w:rsidRPr="007545A7">
        <w:rPr>
          <w:lang w:eastAsia="zh-CN"/>
        </w:rPr>
        <w:t>C8</w:t>
      </w:r>
      <w:r w:rsidRPr="007545A7">
        <w:rPr>
          <w:rFonts w:hint="eastAsia"/>
          <w:lang w:eastAsia="zh-CN"/>
        </w:rPr>
        <w:t>、</w:t>
      </w:r>
      <w:r w:rsidRPr="007545A7">
        <w:rPr>
          <w:rFonts w:hint="eastAsia"/>
          <w:lang w:eastAsia="zh-CN"/>
        </w:rPr>
        <w:t>C9</w:t>
      </w:r>
      <w:r w:rsidRPr="007545A7">
        <w:rPr>
          <w:rFonts w:hint="eastAsia"/>
          <w:lang w:eastAsia="zh-CN"/>
        </w:rPr>
        <w:t>和</w:t>
      </w:r>
      <w:r w:rsidRPr="007545A7">
        <w:rPr>
          <w:lang w:eastAsia="zh-CN"/>
        </w:rPr>
        <w:t>C11</w:t>
      </w:r>
      <w:r w:rsidRPr="007545A7">
        <w:rPr>
          <w:rFonts w:hint="eastAsia"/>
          <w:lang w:eastAsia="zh-CN"/>
        </w:rPr>
        <w:t>行动方面以及其它</w:t>
      </w:r>
      <w:r>
        <w:rPr>
          <w:rFonts w:hint="eastAsia"/>
          <w:lang w:eastAsia="zh-CN"/>
        </w:rPr>
        <w:t>与国际电联职责范围相关的</w:t>
      </w:r>
      <w:r w:rsidRPr="007545A7">
        <w:rPr>
          <w:lang w:eastAsia="zh-CN"/>
        </w:rPr>
        <w:t>WSIS</w:t>
      </w:r>
      <w:r w:rsidRPr="007545A7">
        <w:rPr>
          <w:rFonts w:hint="eastAsia"/>
          <w:lang w:eastAsia="zh-CN"/>
        </w:rPr>
        <w:t>成果</w:t>
      </w:r>
      <w:r>
        <w:rPr>
          <w:rFonts w:hint="eastAsia"/>
          <w:lang w:eastAsia="zh-CN"/>
        </w:rPr>
        <w:t>落实工作和</w:t>
      </w:r>
      <w:r>
        <w:rPr>
          <w:rFonts w:hint="eastAsia"/>
          <w:lang w:eastAsia="zh-CN"/>
        </w:rPr>
        <w:t>S</w:t>
      </w:r>
      <w:r>
        <w:rPr>
          <w:lang w:eastAsia="zh-CN"/>
        </w:rPr>
        <w:t>DG</w:t>
      </w:r>
      <w:r>
        <w:rPr>
          <w:rFonts w:hint="eastAsia"/>
          <w:lang w:eastAsia="zh-CN"/>
        </w:rPr>
        <w:t>的实现，向成员提出</w:t>
      </w:r>
      <w:r w:rsidRPr="007545A7">
        <w:rPr>
          <w:rFonts w:hint="eastAsia"/>
          <w:lang w:eastAsia="zh-CN"/>
        </w:rPr>
        <w:t>建议；</w:t>
      </w:r>
    </w:p>
    <w:p w14:paraId="4827B400" w14:textId="77777777" w:rsidR="003C22D4" w:rsidRPr="00DE6577" w:rsidRDefault="003C22D4" w:rsidP="003C22D4">
      <w:pPr>
        <w:rPr>
          <w:iCs/>
          <w:lang w:eastAsia="zh-CN"/>
        </w:rPr>
      </w:pPr>
      <w:r w:rsidRPr="00D3649B">
        <w:rPr>
          <w:lang w:eastAsia="zh-CN"/>
        </w:rPr>
        <w:t>f)</w:t>
      </w:r>
      <w:r w:rsidRPr="00D3649B">
        <w:rPr>
          <w:lang w:eastAsia="zh-CN"/>
        </w:rPr>
        <w:tab/>
      </w:r>
      <w:r w:rsidRPr="007545A7">
        <w:rPr>
          <w:rFonts w:hint="eastAsia"/>
          <w:lang w:eastAsia="zh-CN"/>
        </w:rPr>
        <w:t>在全权代表大会制定的财务限制范围内，</w:t>
      </w:r>
      <w:r>
        <w:rPr>
          <w:rFonts w:hint="eastAsia"/>
          <w:lang w:eastAsia="zh-CN"/>
        </w:rPr>
        <w:t>针对</w:t>
      </w:r>
      <w:r w:rsidRPr="007545A7">
        <w:rPr>
          <w:rFonts w:hint="eastAsia"/>
          <w:lang w:eastAsia="zh-CN"/>
        </w:rPr>
        <w:t>成功落实</w:t>
      </w:r>
      <w:r w:rsidRPr="007545A7">
        <w:rPr>
          <w:lang w:eastAsia="zh-CN"/>
        </w:rPr>
        <w:t>C1</w:t>
      </w:r>
      <w:r w:rsidRPr="007545A7">
        <w:rPr>
          <w:rFonts w:hint="eastAsia"/>
          <w:lang w:eastAsia="zh-CN"/>
        </w:rPr>
        <w:t>、</w:t>
      </w:r>
      <w:r w:rsidRPr="007545A7">
        <w:rPr>
          <w:lang w:eastAsia="zh-CN"/>
        </w:rPr>
        <w:t>C2</w:t>
      </w:r>
      <w:r w:rsidRPr="007545A7">
        <w:rPr>
          <w:rFonts w:hint="eastAsia"/>
          <w:lang w:eastAsia="zh-CN"/>
        </w:rPr>
        <w:t>、</w:t>
      </w:r>
      <w:r w:rsidRPr="007545A7">
        <w:rPr>
          <w:lang w:eastAsia="zh-CN"/>
        </w:rPr>
        <w:t>C3</w:t>
      </w:r>
      <w:r w:rsidRPr="007545A7">
        <w:rPr>
          <w:rFonts w:hint="eastAsia"/>
          <w:lang w:eastAsia="zh-CN"/>
        </w:rPr>
        <w:t>、</w:t>
      </w:r>
      <w:r w:rsidRPr="007545A7">
        <w:rPr>
          <w:lang w:eastAsia="zh-CN"/>
        </w:rPr>
        <w:t>C4</w:t>
      </w:r>
      <w:r w:rsidRPr="007545A7">
        <w:rPr>
          <w:rFonts w:hint="eastAsia"/>
          <w:lang w:eastAsia="zh-CN"/>
        </w:rPr>
        <w:t>、</w:t>
      </w:r>
      <w:r w:rsidRPr="007545A7">
        <w:rPr>
          <w:lang w:eastAsia="zh-CN"/>
        </w:rPr>
        <w:t>C5</w:t>
      </w:r>
      <w:r w:rsidRPr="007545A7">
        <w:rPr>
          <w:rFonts w:hint="eastAsia"/>
          <w:lang w:eastAsia="zh-CN"/>
        </w:rPr>
        <w:t>、</w:t>
      </w:r>
      <w:r w:rsidRPr="007545A7">
        <w:rPr>
          <w:lang w:eastAsia="zh-CN"/>
        </w:rPr>
        <w:t>C6</w:t>
      </w:r>
      <w:r w:rsidRPr="007545A7">
        <w:rPr>
          <w:rFonts w:hint="eastAsia"/>
          <w:lang w:eastAsia="zh-CN"/>
        </w:rPr>
        <w:t>、</w:t>
      </w:r>
      <w:r w:rsidRPr="007545A7">
        <w:rPr>
          <w:lang w:eastAsia="zh-CN"/>
        </w:rPr>
        <w:t>C7</w:t>
      </w:r>
      <w:r w:rsidRPr="007545A7">
        <w:rPr>
          <w:rFonts w:hint="eastAsia"/>
          <w:lang w:eastAsia="zh-CN"/>
        </w:rPr>
        <w:t>、</w:t>
      </w:r>
      <w:r w:rsidRPr="007545A7">
        <w:rPr>
          <w:lang w:eastAsia="zh-CN"/>
        </w:rPr>
        <w:t>C8</w:t>
      </w:r>
      <w:r w:rsidRPr="007545A7">
        <w:rPr>
          <w:rFonts w:hint="eastAsia"/>
          <w:lang w:eastAsia="zh-CN"/>
        </w:rPr>
        <w:t>、</w:t>
      </w:r>
      <w:r w:rsidRPr="007545A7">
        <w:rPr>
          <w:rFonts w:hint="eastAsia"/>
          <w:lang w:eastAsia="zh-CN"/>
        </w:rPr>
        <w:t>C9</w:t>
      </w:r>
      <w:r w:rsidRPr="007545A7">
        <w:rPr>
          <w:rFonts w:hint="eastAsia"/>
          <w:lang w:eastAsia="zh-CN"/>
        </w:rPr>
        <w:t>和</w:t>
      </w:r>
      <w:r w:rsidRPr="007545A7">
        <w:rPr>
          <w:lang w:eastAsia="zh-CN"/>
        </w:rPr>
        <w:t>C11</w:t>
      </w:r>
      <w:r w:rsidRPr="007545A7">
        <w:rPr>
          <w:rFonts w:hint="eastAsia"/>
          <w:lang w:eastAsia="zh-CN"/>
        </w:rPr>
        <w:t>行动方面及其它</w:t>
      </w:r>
      <w:r>
        <w:rPr>
          <w:rFonts w:hint="eastAsia"/>
          <w:lang w:eastAsia="zh-CN"/>
        </w:rPr>
        <w:t>与</w:t>
      </w:r>
      <w:r w:rsidRPr="007545A7">
        <w:rPr>
          <w:rFonts w:hint="eastAsia"/>
          <w:lang w:eastAsia="zh-CN"/>
        </w:rPr>
        <w:t>国际电联职责范围</w:t>
      </w:r>
      <w:r>
        <w:rPr>
          <w:rFonts w:hint="eastAsia"/>
          <w:lang w:eastAsia="zh-CN"/>
        </w:rPr>
        <w:t>相关的</w:t>
      </w:r>
      <w:r w:rsidRPr="007545A7">
        <w:rPr>
          <w:lang w:eastAsia="zh-CN"/>
        </w:rPr>
        <w:t>WSIS</w:t>
      </w:r>
      <w:r w:rsidRPr="007545A7">
        <w:rPr>
          <w:rFonts w:hint="eastAsia"/>
          <w:lang w:eastAsia="zh-CN"/>
        </w:rPr>
        <w:t>成果</w:t>
      </w:r>
      <w:r>
        <w:rPr>
          <w:rFonts w:hint="eastAsia"/>
          <w:lang w:eastAsia="zh-CN"/>
        </w:rPr>
        <w:t>和</w:t>
      </w:r>
      <w:r>
        <w:rPr>
          <w:rFonts w:hint="eastAsia"/>
          <w:lang w:eastAsia="zh-CN"/>
        </w:rPr>
        <w:t>S</w:t>
      </w:r>
      <w:r>
        <w:rPr>
          <w:lang w:eastAsia="zh-CN"/>
        </w:rPr>
        <w:t>DG</w:t>
      </w:r>
      <w:r>
        <w:rPr>
          <w:rFonts w:hint="eastAsia"/>
          <w:lang w:eastAsia="zh-CN"/>
        </w:rPr>
        <w:t>的实现</w:t>
      </w:r>
      <w:r w:rsidRPr="007545A7">
        <w:rPr>
          <w:rFonts w:hint="eastAsia"/>
          <w:lang w:eastAsia="zh-CN"/>
        </w:rPr>
        <w:t>，向国际电联提供有关</w:t>
      </w:r>
      <w:r>
        <w:rPr>
          <w:rFonts w:hint="eastAsia"/>
          <w:lang w:eastAsia="zh-CN"/>
        </w:rPr>
        <w:t>其</w:t>
      </w:r>
      <w:r w:rsidRPr="007545A7">
        <w:rPr>
          <w:rFonts w:hint="eastAsia"/>
          <w:lang w:eastAsia="zh-CN"/>
        </w:rPr>
        <w:t>未来活动</w:t>
      </w:r>
      <w:r>
        <w:rPr>
          <w:rFonts w:hint="eastAsia"/>
          <w:lang w:eastAsia="zh-CN"/>
        </w:rPr>
        <w:t>方面</w:t>
      </w:r>
      <w:r w:rsidRPr="007545A7">
        <w:rPr>
          <w:rFonts w:hint="eastAsia"/>
          <w:lang w:eastAsia="zh-CN"/>
        </w:rPr>
        <w:t>的指导；</w:t>
      </w:r>
    </w:p>
    <w:p w14:paraId="4827B401" w14:textId="77777777" w:rsidR="003C22D4" w:rsidRPr="00D3649B" w:rsidRDefault="003C22D4" w:rsidP="003C22D4">
      <w:pPr>
        <w:rPr>
          <w:lang w:eastAsia="zh-CN"/>
        </w:rPr>
      </w:pPr>
      <w:r>
        <w:rPr>
          <w:rFonts w:hint="eastAsia"/>
          <w:lang w:eastAsia="zh-CN"/>
        </w:rPr>
        <w:t>g</w:t>
      </w:r>
      <w:r w:rsidRPr="00D3649B">
        <w:rPr>
          <w:lang w:eastAsia="zh-CN"/>
        </w:rPr>
        <w:t>)</w:t>
      </w:r>
      <w:r w:rsidRPr="00D3649B">
        <w:rPr>
          <w:lang w:eastAsia="zh-CN"/>
        </w:rPr>
        <w:tab/>
      </w:r>
      <w:r>
        <w:rPr>
          <w:rFonts w:hint="eastAsia"/>
          <w:lang w:eastAsia="zh-CN"/>
        </w:rPr>
        <w:t>针对</w:t>
      </w:r>
      <w:r>
        <w:rPr>
          <w:lang w:eastAsia="zh-CN"/>
        </w:rPr>
        <w:t>国际电联未来</w:t>
      </w:r>
      <w:r>
        <w:rPr>
          <w:rFonts w:hint="eastAsia"/>
          <w:lang w:eastAsia="zh-CN"/>
        </w:rPr>
        <w:t>和正在开展的活动可如何协助</w:t>
      </w:r>
      <w:r>
        <w:rPr>
          <w:lang w:eastAsia="zh-CN"/>
        </w:rPr>
        <w:t>实现</w:t>
      </w:r>
      <w:r>
        <w:rPr>
          <w:rFonts w:hint="eastAsia"/>
          <w:lang w:eastAsia="zh-CN"/>
        </w:rPr>
        <w:t>WSIS</w:t>
      </w:r>
      <w:r>
        <w:rPr>
          <w:rFonts w:hint="eastAsia"/>
          <w:lang w:eastAsia="zh-CN"/>
        </w:rPr>
        <w:t>成果和</w:t>
      </w:r>
      <w:r>
        <w:rPr>
          <w:lang w:eastAsia="zh-CN"/>
        </w:rPr>
        <w:t>《</w:t>
      </w:r>
      <w:r>
        <w:rPr>
          <w:rFonts w:hint="eastAsia"/>
          <w:lang w:eastAsia="zh-CN"/>
        </w:rPr>
        <w:t>2030</w:t>
      </w:r>
      <w:r>
        <w:rPr>
          <w:rFonts w:hint="eastAsia"/>
          <w:lang w:eastAsia="zh-CN"/>
        </w:rPr>
        <w:t>年</w:t>
      </w:r>
      <w:r>
        <w:rPr>
          <w:lang w:eastAsia="zh-CN"/>
        </w:rPr>
        <w:t>可持续发展议程》提供指导，并</w:t>
      </w:r>
      <w:r>
        <w:rPr>
          <w:rFonts w:hint="eastAsia"/>
          <w:lang w:eastAsia="zh-CN"/>
        </w:rPr>
        <w:t>在审查</w:t>
      </w:r>
      <w:r>
        <w:rPr>
          <w:lang w:eastAsia="zh-CN"/>
        </w:rPr>
        <w:t>支持这些工作的报告和计划</w:t>
      </w:r>
      <w:r>
        <w:rPr>
          <w:rFonts w:hint="eastAsia"/>
          <w:lang w:eastAsia="zh-CN"/>
        </w:rPr>
        <w:t>方面指出</w:t>
      </w:r>
      <w:r>
        <w:rPr>
          <w:lang w:eastAsia="zh-CN"/>
        </w:rPr>
        <w:t>方向；</w:t>
      </w:r>
    </w:p>
    <w:p w14:paraId="4827B402" w14:textId="77777777" w:rsidR="003C22D4" w:rsidRPr="00DE6577" w:rsidRDefault="003C22D4" w:rsidP="003C22D4">
      <w:pPr>
        <w:rPr>
          <w:iCs/>
          <w:lang w:eastAsia="zh-CN"/>
        </w:rPr>
      </w:pPr>
      <w:r>
        <w:rPr>
          <w:rFonts w:hint="eastAsia"/>
          <w:lang w:eastAsia="zh-CN"/>
        </w:rPr>
        <w:t>h</w:t>
      </w:r>
      <w:r w:rsidRPr="00D3649B">
        <w:rPr>
          <w:lang w:eastAsia="zh-CN"/>
        </w:rPr>
        <w:t>)</w:t>
      </w:r>
      <w:r w:rsidRPr="00D3649B">
        <w:rPr>
          <w:lang w:eastAsia="zh-CN"/>
        </w:rPr>
        <w:tab/>
      </w:r>
      <w:r w:rsidRPr="007545A7">
        <w:rPr>
          <w:rFonts w:hint="eastAsia"/>
          <w:lang w:eastAsia="zh-CN"/>
        </w:rPr>
        <w:t>在</w:t>
      </w:r>
      <w:r w:rsidRPr="007545A7">
        <w:rPr>
          <w:lang w:eastAsia="zh-CN"/>
        </w:rPr>
        <w:t>WSIS</w:t>
      </w:r>
      <w:r>
        <w:rPr>
          <w:lang w:eastAsia="zh-CN"/>
        </w:rPr>
        <w:t>&amp;SDG</w:t>
      </w:r>
      <w:r w:rsidRPr="007545A7">
        <w:rPr>
          <w:rFonts w:hint="eastAsia"/>
          <w:lang w:eastAsia="zh-CN"/>
        </w:rPr>
        <w:t>任务组的协助下，与其它理事会工作组</w:t>
      </w:r>
      <w:r>
        <w:rPr>
          <w:rFonts w:hint="eastAsia"/>
          <w:lang w:eastAsia="zh-CN"/>
        </w:rPr>
        <w:t>保持</w:t>
      </w:r>
      <w:r w:rsidRPr="007545A7">
        <w:rPr>
          <w:rFonts w:hint="eastAsia"/>
          <w:lang w:eastAsia="zh-CN"/>
        </w:rPr>
        <w:t>联</w:t>
      </w:r>
      <w:r>
        <w:rPr>
          <w:rFonts w:hint="eastAsia"/>
          <w:lang w:eastAsia="zh-CN"/>
        </w:rPr>
        <w:t>系</w:t>
      </w:r>
      <w:r w:rsidRPr="007545A7">
        <w:rPr>
          <w:rFonts w:hint="eastAsia"/>
          <w:lang w:eastAsia="zh-CN"/>
        </w:rPr>
        <w:t>，</w:t>
      </w:r>
      <w:r>
        <w:rPr>
          <w:rFonts w:hint="eastAsia"/>
          <w:lang w:eastAsia="zh-CN"/>
        </w:rPr>
        <w:t>提出建议，以便</w:t>
      </w:r>
      <w:r w:rsidRPr="007545A7">
        <w:rPr>
          <w:rFonts w:hint="eastAsia"/>
          <w:lang w:eastAsia="zh-CN"/>
        </w:rPr>
        <w:t>国际电联适应</w:t>
      </w:r>
      <w:r>
        <w:rPr>
          <w:rFonts w:hint="eastAsia"/>
          <w:lang w:eastAsia="zh-CN"/>
        </w:rPr>
        <w:t>自己在</w:t>
      </w:r>
      <w:r w:rsidRPr="007545A7">
        <w:rPr>
          <w:rFonts w:hint="eastAsia"/>
          <w:lang w:eastAsia="zh-CN"/>
        </w:rPr>
        <w:t>建设信息社会</w:t>
      </w:r>
      <w:r>
        <w:rPr>
          <w:rFonts w:hint="eastAsia"/>
          <w:lang w:eastAsia="zh-CN"/>
        </w:rPr>
        <w:t>和</w:t>
      </w:r>
      <w:r>
        <w:rPr>
          <w:lang w:eastAsia="zh-CN"/>
        </w:rPr>
        <w:t>落实《</w:t>
      </w:r>
      <w:r>
        <w:rPr>
          <w:rFonts w:hint="eastAsia"/>
          <w:lang w:eastAsia="zh-CN"/>
        </w:rPr>
        <w:t>2030</w:t>
      </w:r>
      <w:r>
        <w:rPr>
          <w:rFonts w:hint="eastAsia"/>
          <w:lang w:eastAsia="zh-CN"/>
        </w:rPr>
        <w:t>年</w:t>
      </w:r>
      <w:r>
        <w:rPr>
          <w:lang w:eastAsia="zh-CN"/>
        </w:rPr>
        <w:t>可持续发展议程》</w:t>
      </w:r>
      <w:r w:rsidRPr="007545A7">
        <w:rPr>
          <w:rFonts w:hint="eastAsia"/>
          <w:lang w:eastAsia="zh-CN"/>
        </w:rPr>
        <w:t>的作用</w:t>
      </w:r>
      <w:r>
        <w:rPr>
          <w:rFonts w:hint="eastAsia"/>
          <w:lang w:eastAsia="zh-CN"/>
        </w:rPr>
        <w:t>，提交理事会审议。</w:t>
      </w:r>
    </w:p>
    <w:p w14:paraId="4827B403" w14:textId="77777777" w:rsidR="001D06D0" w:rsidRPr="008728AC" w:rsidRDefault="000B7A7E" w:rsidP="00B106FD">
      <w:pPr>
        <w:pStyle w:val="Endtext"/>
        <w:rPr>
          <w:lang w:val="en-US" w:eastAsia="zh-CN"/>
        </w:rPr>
      </w:pPr>
      <w:r w:rsidRPr="005901EF">
        <w:rPr>
          <w:rFonts w:ascii="STKaiti" w:hAnsi="SimSun" w:hint="eastAsia"/>
          <w:lang w:eastAsia="zh-CN"/>
        </w:rPr>
        <w:t>参阅：</w:t>
      </w:r>
      <w:r w:rsidRPr="005901EF">
        <w:rPr>
          <w:rFonts w:ascii="STKaiti" w:hAnsi="SimSun" w:hint="eastAsia"/>
          <w:lang w:eastAsia="zh-CN"/>
        </w:rPr>
        <w:tab/>
      </w:r>
      <w:hyperlink r:id="rId301" w:history="1">
        <w:r w:rsidR="001D06D0" w:rsidRPr="00705BD5">
          <w:rPr>
            <w:rStyle w:val="Hyperlink"/>
            <w:lang w:val="en-US" w:eastAsia="zh-CN"/>
          </w:rPr>
          <w:t>C11/95</w:t>
        </w:r>
      </w:hyperlink>
      <w:r w:rsidR="001D06D0">
        <w:rPr>
          <w:rFonts w:hint="eastAsia"/>
          <w:lang w:val="en-US" w:eastAsia="zh-CN"/>
        </w:rPr>
        <w:t>和</w:t>
      </w:r>
      <w:hyperlink r:id="rId302" w:history="1">
        <w:r w:rsidR="001D06D0" w:rsidRPr="00705BD5">
          <w:rPr>
            <w:rStyle w:val="Hyperlink"/>
            <w:lang w:val="en-US" w:eastAsia="zh-CN"/>
          </w:rPr>
          <w:t>C11/118</w:t>
        </w:r>
      </w:hyperlink>
      <w:r w:rsidR="0082299F">
        <w:rPr>
          <w:rFonts w:hint="eastAsia"/>
          <w:lang w:val="en-US" w:eastAsia="zh-CN"/>
        </w:rPr>
        <w:t>、</w:t>
      </w:r>
      <w:hyperlink r:id="rId303" w:history="1">
        <w:r w:rsidR="001D06D0" w:rsidRPr="00705BD5">
          <w:rPr>
            <w:rStyle w:val="Hyperlink"/>
            <w:lang w:val="en-US" w:eastAsia="zh-CN"/>
          </w:rPr>
          <w:t>C15/110</w:t>
        </w:r>
      </w:hyperlink>
      <w:r w:rsidR="001D06D0">
        <w:rPr>
          <w:rFonts w:hint="eastAsia"/>
          <w:lang w:val="en-US" w:eastAsia="zh-CN"/>
        </w:rPr>
        <w:t>和</w:t>
      </w:r>
      <w:hyperlink r:id="rId304" w:history="1">
        <w:r w:rsidR="001D06D0" w:rsidRPr="00705BD5">
          <w:rPr>
            <w:rStyle w:val="Hyperlink"/>
            <w:lang w:val="en-US" w:eastAsia="zh-CN"/>
          </w:rPr>
          <w:t>C15/123</w:t>
        </w:r>
      </w:hyperlink>
      <w:r w:rsidR="0082299F">
        <w:rPr>
          <w:rFonts w:hint="eastAsia"/>
          <w:lang w:val="en-US" w:eastAsia="zh-CN"/>
        </w:rPr>
        <w:t>、</w:t>
      </w:r>
      <w:hyperlink r:id="rId305" w:history="1">
        <w:r w:rsidR="00B106FD" w:rsidRPr="00810F5B">
          <w:rPr>
            <w:rStyle w:val="Hyperlink"/>
            <w:lang w:val="en-US" w:eastAsia="zh-CN"/>
          </w:rPr>
          <w:t>C16/120</w:t>
        </w:r>
      </w:hyperlink>
      <w:r w:rsidR="0082299F">
        <w:rPr>
          <w:rFonts w:hint="eastAsia"/>
          <w:lang w:val="en-US" w:eastAsia="zh-CN"/>
        </w:rPr>
        <w:t>、</w:t>
      </w:r>
      <w:hyperlink r:id="rId306" w:history="1">
        <w:r w:rsidR="00B106FD" w:rsidRPr="00810F5B">
          <w:rPr>
            <w:rStyle w:val="Hyperlink"/>
            <w:lang w:val="en-US" w:eastAsia="zh-CN"/>
          </w:rPr>
          <w:t>C16/127</w:t>
        </w:r>
      </w:hyperlink>
      <w:r w:rsidR="0082299F">
        <w:rPr>
          <w:rFonts w:hint="eastAsia"/>
          <w:lang w:val="en-US" w:eastAsia="zh-CN"/>
        </w:rPr>
        <w:t>、</w:t>
      </w:r>
      <w:hyperlink r:id="rId307" w:history="1">
        <w:r w:rsidR="0082299F" w:rsidRPr="004F20D9">
          <w:rPr>
            <w:rStyle w:val="Hyperlink"/>
            <w:lang w:val="en-GB" w:eastAsia="zh-CN"/>
          </w:rPr>
          <w:t>C19/137</w:t>
        </w:r>
      </w:hyperlink>
      <w:r w:rsidR="0082299F">
        <w:rPr>
          <w:rFonts w:hint="eastAsia"/>
          <w:lang w:val="en-GB" w:eastAsia="zh-CN"/>
        </w:rPr>
        <w:t>和</w:t>
      </w:r>
      <w:hyperlink r:id="rId308" w:history="1">
        <w:r w:rsidR="0082299F" w:rsidRPr="004F20D9">
          <w:rPr>
            <w:rStyle w:val="Hyperlink"/>
            <w:lang w:val="en-GB" w:eastAsia="zh-CN"/>
          </w:rPr>
          <w:t>C19/115</w:t>
        </w:r>
      </w:hyperlink>
      <w:r w:rsidR="0082299F">
        <w:rPr>
          <w:rFonts w:hint="eastAsia"/>
          <w:lang w:val="en-US" w:eastAsia="zh-CN"/>
        </w:rPr>
        <w:t>号文</w:t>
      </w:r>
      <w:r w:rsidR="001D06D0">
        <w:rPr>
          <w:lang w:val="en-US" w:eastAsia="zh-CN"/>
        </w:rPr>
        <w:t>件。</w:t>
      </w:r>
    </w:p>
    <w:p w14:paraId="4827B404" w14:textId="77777777" w:rsidR="0082299F" w:rsidRDefault="0082299F" w:rsidP="0082299F">
      <w:pPr>
        <w:jc w:val="center"/>
        <w:rPr>
          <w:lang w:eastAsia="zh-CN"/>
        </w:rPr>
      </w:pPr>
      <w:bookmarkStart w:id="1688" w:name="_Toc424117033"/>
      <w:bookmarkStart w:id="1689" w:name="_Toc531706383"/>
      <w:bookmarkStart w:id="1690" w:name="_Toc531706986"/>
      <w:bookmarkStart w:id="1691" w:name="_Toc531768471"/>
      <w:r>
        <w:rPr>
          <w:lang w:eastAsia="zh-CN"/>
        </w:rPr>
        <w:t>______________</w:t>
      </w:r>
    </w:p>
    <w:p w14:paraId="4827B405" w14:textId="77777777" w:rsidR="0082299F" w:rsidRDefault="0082299F">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406" w14:textId="77777777" w:rsidR="00404233" w:rsidRPr="008A7385" w:rsidRDefault="00404233" w:rsidP="00CA7362">
      <w:pPr>
        <w:pStyle w:val="ResNo"/>
        <w:outlineLvl w:val="0"/>
        <w:rPr>
          <w:lang w:eastAsia="zh-CN"/>
        </w:rPr>
      </w:pPr>
      <w:bookmarkStart w:id="1692" w:name="_Toc16085791"/>
      <w:bookmarkStart w:id="1693" w:name="_Toc86395594"/>
      <w:r w:rsidRPr="008A7385">
        <w:rPr>
          <w:rFonts w:hint="eastAsia"/>
          <w:lang w:eastAsia="zh-CN"/>
        </w:rPr>
        <w:lastRenderedPageBreak/>
        <w:t>第</w:t>
      </w:r>
      <w:r w:rsidRPr="008A7385">
        <w:rPr>
          <w:rFonts w:hint="eastAsia"/>
          <w:lang w:eastAsia="zh-CN"/>
        </w:rPr>
        <w:t>13</w:t>
      </w:r>
      <w:r w:rsidRPr="008A7385">
        <w:rPr>
          <w:lang w:eastAsia="zh-CN"/>
        </w:rPr>
        <w:t>33</w:t>
      </w:r>
      <w:r w:rsidRPr="008A7385">
        <w:rPr>
          <w:rFonts w:hint="eastAsia"/>
          <w:lang w:eastAsia="zh-CN"/>
        </w:rPr>
        <w:t>号决议（</w:t>
      </w:r>
      <w:r w:rsidRPr="00F43CD8">
        <w:rPr>
          <w:lang w:eastAsia="zh-CN"/>
        </w:rPr>
        <w:t>C11</w:t>
      </w:r>
      <w:r>
        <w:rPr>
          <w:rFonts w:hint="eastAsia"/>
          <w:lang w:eastAsia="zh-CN"/>
        </w:rPr>
        <w:t>，</w:t>
      </w:r>
      <w:r>
        <w:rPr>
          <w:rFonts w:hint="eastAsia"/>
          <w:lang w:val="en-US" w:eastAsia="zh-CN"/>
        </w:rPr>
        <w:t>最后</w:t>
      </w:r>
      <w:r>
        <w:rPr>
          <w:lang w:val="en-US" w:eastAsia="zh-CN"/>
        </w:rPr>
        <w:t>修</w:t>
      </w:r>
      <w:r w:rsidR="0082299F">
        <w:rPr>
          <w:rFonts w:hint="eastAsia"/>
          <w:lang w:val="en-US" w:eastAsia="zh-CN"/>
        </w:rPr>
        <w:t>正</w:t>
      </w:r>
      <w:r w:rsidR="0082299F">
        <w:rPr>
          <w:lang w:val="en-US" w:eastAsia="zh-CN"/>
        </w:rPr>
        <w:t>C16</w:t>
      </w:r>
      <w:r w:rsidRPr="008A7385">
        <w:rPr>
          <w:rFonts w:hint="eastAsia"/>
          <w:lang w:eastAsia="zh-CN"/>
        </w:rPr>
        <w:t>）</w:t>
      </w:r>
      <w:bookmarkEnd w:id="1688"/>
      <w:bookmarkEnd w:id="1689"/>
      <w:bookmarkEnd w:id="1690"/>
      <w:bookmarkEnd w:id="1691"/>
      <w:bookmarkEnd w:id="1692"/>
      <w:bookmarkEnd w:id="1693"/>
    </w:p>
    <w:p w14:paraId="4827B407" w14:textId="77777777" w:rsidR="00404233" w:rsidRPr="008A7385" w:rsidRDefault="00404233" w:rsidP="00404233">
      <w:pPr>
        <w:pStyle w:val="Restitle"/>
        <w:rPr>
          <w:lang w:eastAsia="zh-CN"/>
        </w:rPr>
      </w:pPr>
      <w:bookmarkStart w:id="1694" w:name="_Toc424116238"/>
      <w:bookmarkStart w:id="1695" w:name="_Toc424117034"/>
      <w:bookmarkStart w:id="1696" w:name="_Toc460248147"/>
      <w:bookmarkStart w:id="1697" w:name="_Toc531706384"/>
      <w:bookmarkStart w:id="1698" w:name="_Toc531706987"/>
      <w:bookmarkStart w:id="1699" w:name="_Toc531768472"/>
      <w:bookmarkStart w:id="1700" w:name="_Toc16085792"/>
      <w:bookmarkStart w:id="1701" w:name="_Toc86395595"/>
      <w:r w:rsidRPr="008A7385">
        <w:rPr>
          <w:rFonts w:hint="eastAsia"/>
          <w:lang w:eastAsia="zh-CN"/>
        </w:rPr>
        <w:t>成立、管理和终止理事会工作组的指导原则</w:t>
      </w:r>
      <w:bookmarkEnd w:id="1694"/>
      <w:bookmarkEnd w:id="1695"/>
      <w:bookmarkEnd w:id="1696"/>
      <w:bookmarkEnd w:id="1697"/>
      <w:bookmarkEnd w:id="1698"/>
      <w:bookmarkEnd w:id="1699"/>
      <w:bookmarkEnd w:id="1700"/>
      <w:bookmarkEnd w:id="1701"/>
    </w:p>
    <w:p w14:paraId="4827B408" w14:textId="77777777" w:rsidR="00404233" w:rsidRPr="009B48C4" w:rsidRDefault="00404233" w:rsidP="00404233">
      <w:pPr>
        <w:pStyle w:val="Normalaftertitle"/>
        <w:rPr>
          <w:lang w:eastAsia="zh-CN"/>
        </w:rPr>
      </w:pPr>
      <w:r w:rsidRPr="009B48C4">
        <w:rPr>
          <w:rFonts w:ascii="SimSun" w:hAnsi="SimSun" w:cs="SimSun" w:hint="eastAsia"/>
          <w:lang w:eastAsia="zh-CN"/>
        </w:rPr>
        <w:t>理事会，</w:t>
      </w:r>
    </w:p>
    <w:p w14:paraId="4827B409" w14:textId="77777777" w:rsidR="00404233" w:rsidRPr="009B48C4" w:rsidRDefault="00404233" w:rsidP="00404233">
      <w:pPr>
        <w:pStyle w:val="Call"/>
        <w:rPr>
          <w:szCs w:val="24"/>
          <w:lang w:eastAsia="zh-CN"/>
        </w:rPr>
      </w:pPr>
      <w:r w:rsidRPr="009B48C4">
        <w:rPr>
          <w:rFonts w:hint="eastAsia"/>
          <w:szCs w:val="24"/>
          <w:lang w:eastAsia="zh-CN"/>
        </w:rPr>
        <w:t>考虑到</w:t>
      </w:r>
    </w:p>
    <w:p w14:paraId="4827B40A" w14:textId="77777777" w:rsidR="00404233" w:rsidRPr="008A7385" w:rsidRDefault="00404233" w:rsidP="00404233">
      <w:pPr>
        <w:rPr>
          <w:lang w:eastAsia="zh-CN"/>
        </w:rPr>
      </w:pPr>
      <w:r w:rsidRPr="008A7385">
        <w:rPr>
          <w:i/>
          <w:iCs/>
          <w:lang w:eastAsia="zh-CN"/>
        </w:rPr>
        <w:t>a)</w:t>
      </w:r>
      <w:r w:rsidRPr="008A7385">
        <w:rPr>
          <w:lang w:eastAsia="zh-CN"/>
        </w:rPr>
        <w:tab/>
      </w:r>
      <w:r w:rsidRPr="008A7385">
        <w:rPr>
          <w:rFonts w:hint="eastAsia"/>
          <w:lang w:eastAsia="zh-CN"/>
        </w:rPr>
        <w:t>根据《组织法》第</w:t>
      </w:r>
      <w:r w:rsidRPr="008A7385">
        <w:rPr>
          <w:rFonts w:hint="eastAsia"/>
          <w:lang w:eastAsia="zh-CN"/>
        </w:rPr>
        <w:t>7</w:t>
      </w:r>
      <w:r w:rsidRPr="008A7385">
        <w:rPr>
          <w:rFonts w:hint="eastAsia"/>
          <w:lang w:eastAsia="zh-CN"/>
        </w:rPr>
        <w:t>和</w:t>
      </w:r>
      <w:r w:rsidRPr="008A7385">
        <w:rPr>
          <w:lang w:eastAsia="zh-CN"/>
        </w:rPr>
        <w:t>10</w:t>
      </w:r>
      <w:r w:rsidRPr="008A7385">
        <w:rPr>
          <w:rFonts w:hint="eastAsia"/>
          <w:lang w:eastAsia="zh-CN"/>
        </w:rPr>
        <w:t>条的规定，在两届全权代表大会之间，理事会作为国际电联的管理机构在全权代表大会所授予的权限内代行其职权；</w:t>
      </w:r>
    </w:p>
    <w:p w14:paraId="4827B40B" w14:textId="77777777" w:rsidR="00404233" w:rsidRPr="008A7385" w:rsidRDefault="00404233" w:rsidP="00404233">
      <w:pPr>
        <w:rPr>
          <w:lang w:eastAsia="zh-CN"/>
        </w:rPr>
      </w:pPr>
      <w:r w:rsidRPr="008A7385">
        <w:rPr>
          <w:i/>
          <w:iCs/>
          <w:lang w:eastAsia="zh-CN"/>
        </w:rPr>
        <w:t>b)</w:t>
      </w:r>
      <w:r w:rsidRPr="008A7385">
        <w:rPr>
          <w:lang w:eastAsia="zh-CN"/>
        </w:rPr>
        <w:tab/>
      </w:r>
      <w:r w:rsidRPr="008A7385">
        <w:rPr>
          <w:rFonts w:hint="eastAsia"/>
          <w:lang w:eastAsia="zh-CN"/>
        </w:rPr>
        <w:t>有关</w:t>
      </w:r>
      <w:r w:rsidRPr="008A7385">
        <w:rPr>
          <w:lang w:eastAsia="zh-CN"/>
        </w:rPr>
        <w:t>成立和管理理事会工作组的第</w:t>
      </w:r>
      <w:r w:rsidRPr="008A7385">
        <w:rPr>
          <w:rFonts w:hint="eastAsia"/>
          <w:lang w:eastAsia="zh-CN"/>
        </w:rPr>
        <w:t>11</w:t>
      </w:r>
      <w:r w:rsidRPr="008A7385">
        <w:rPr>
          <w:rFonts w:hint="eastAsia"/>
          <w:lang w:eastAsia="zh-CN"/>
        </w:rPr>
        <w:t>号</w:t>
      </w:r>
      <w:r w:rsidRPr="008A7385">
        <w:rPr>
          <w:lang w:eastAsia="zh-CN"/>
        </w:rPr>
        <w:t>决定（</w:t>
      </w:r>
      <w:r w:rsidRPr="008A7385">
        <w:rPr>
          <w:rFonts w:hint="eastAsia"/>
          <w:lang w:eastAsia="zh-CN"/>
        </w:rPr>
        <w:t>2014</w:t>
      </w:r>
      <w:r w:rsidRPr="008A7385">
        <w:rPr>
          <w:rFonts w:hint="eastAsia"/>
          <w:lang w:eastAsia="zh-CN"/>
        </w:rPr>
        <w:t>年</w:t>
      </w:r>
      <w:r w:rsidRPr="008A7385">
        <w:rPr>
          <w:lang w:eastAsia="zh-CN"/>
        </w:rPr>
        <w:t>，釜山，修订版）</w:t>
      </w:r>
      <w:r w:rsidRPr="008A7385">
        <w:rPr>
          <w:rFonts w:hint="eastAsia"/>
          <w:lang w:eastAsia="zh-CN"/>
        </w:rPr>
        <w:t>，</w:t>
      </w:r>
      <w:r w:rsidRPr="008A7385">
        <w:rPr>
          <w:lang w:eastAsia="zh-CN"/>
        </w:rPr>
        <w:t>其中明确了理事会工作组成立和</w:t>
      </w:r>
      <w:r w:rsidRPr="008A7385">
        <w:rPr>
          <w:rFonts w:hint="eastAsia"/>
          <w:lang w:eastAsia="zh-CN"/>
        </w:rPr>
        <w:t>开展</w:t>
      </w:r>
      <w:r w:rsidRPr="008A7385">
        <w:rPr>
          <w:lang w:eastAsia="zh-CN"/>
        </w:rPr>
        <w:t>工作的主要原则；</w:t>
      </w:r>
    </w:p>
    <w:p w14:paraId="4827B40C" w14:textId="77777777" w:rsidR="00404233" w:rsidRPr="008A7385" w:rsidRDefault="00404233" w:rsidP="00404233">
      <w:pPr>
        <w:rPr>
          <w:lang w:eastAsia="zh-CN"/>
        </w:rPr>
      </w:pPr>
      <w:r w:rsidRPr="008A7385">
        <w:rPr>
          <w:i/>
          <w:iCs/>
          <w:lang w:eastAsia="zh-CN"/>
        </w:rPr>
        <w:t>c)</w:t>
      </w:r>
      <w:r w:rsidRPr="008A7385">
        <w:rPr>
          <w:lang w:eastAsia="zh-CN"/>
        </w:rPr>
        <w:tab/>
      </w:r>
      <w:r w:rsidRPr="008A7385">
        <w:rPr>
          <w:rFonts w:hint="eastAsia"/>
          <w:lang w:eastAsia="zh-CN"/>
        </w:rPr>
        <w:t>关于减少开支，</w:t>
      </w:r>
      <w:r w:rsidRPr="008A7385">
        <w:rPr>
          <w:rFonts w:ascii="STKaiti" w:eastAsia="STKaiti" w:hAnsi="STKaiti" w:hint="eastAsia"/>
          <w:lang w:eastAsia="zh-CN"/>
        </w:rPr>
        <w:t>尤其</w:t>
      </w:r>
      <w:r w:rsidRPr="008A7385">
        <w:rPr>
          <w:rFonts w:hint="eastAsia"/>
          <w:lang w:eastAsia="zh-CN"/>
        </w:rPr>
        <w:t>是应</w:t>
      </w:r>
      <w:r w:rsidRPr="008A7385">
        <w:rPr>
          <w:lang w:eastAsia="zh-CN"/>
        </w:rPr>
        <w:t>将理事会工作组（</w:t>
      </w:r>
      <w:r w:rsidRPr="008A7385">
        <w:rPr>
          <w:rFonts w:hint="eastAsia"/>
          <w:lang w:eastAsia="zh-CN"/>
        </w:rPr>
        <w:t>CWG</w:t>
      </w:r>
      <w:r w:rsidRPr="008A7385">
        <w:rPr>
          <w:lang w:eastAsia="zh-CN"/>
        </w:rPr>
        <w:t>）</w:t>
      </w:r>
      <w:r w:rsidRPr="008A7385">
        <w:rPr>
          <w:rFonts w:hint="eastAsia"/>
          <w:lang w:eastAsia="zh-CN"/>
        </w:rPr>
        <w:t>的</w:t>
      </w:r>
      <w:r w:rsidRPr="008A7385">
        <w:rPr>
          <w:lang w:eastAsia="zh-CN"/>
        </w:rPr>
        <w:t>数量减少到绝对必要程度并</w:t>
      </w:r>
      <w:r w:rsidRPr="008A7385">
        <w:rPr>
          <w:rFonts w:hint="eastAsia"/>
          <w:lang w:eastAsia="zh-CN"/>
        </w:rPr>
        <w:t>尽可能减少</w:t>
      </w:r>
      <w:r w:rsidRPr="008A7385">
        <w:rPr>
          <w:lang w:eastAsia="zh-CN"/>
        </w:rPr>
        <w:t>理事会工作组面对面会议</w:t>
      </w:r>
      <w:r w:rsidRPr="008A7385">
        <w:rPr>
          <w:rFonts w:hint="eastAsia"/>
          <w:lang w:eastAsia="zh-CN"/>
        </w:rPr>
        <w:t>次数</w:t>
      </w:r>
      <w:r w:rsidRPr="008A7385">
        <w:rPr>
          <w:lang w:eastAsia="zh-CN"/>
        </w:rPr>
        <w:t>和会期</w:t>
      </w:r>
      <w:r w:rsidRPr="008A7385">
        <w:rPr>
          <w:rFonts w:hint="eastAsia"/>
          <w:lang w:eastAsia="zh-CN"/>
        </w:rPr>
        <w:t>的第</w:t>
      </w:r>
      <w:r w:rsidRPr="008A7385">
        <w:rPr>
          <w:lang w:eastAsia="zh-CN"/>
        </w:rPr>
        <w:t>5</w:t>
      </w:r>
      <w:r w:rsidRPr="008A7385">
        <w:rPr>
          <w:rFonts w:hint="eastAsia"/>
          <w:lang w:eastAsia="zh-CN"/>
        </w:rPr>
        <w:t>号决定（</w:t>
      </w:r>
      <w:r w:rsidRPr="008A7385">
        <w:rPr>
          <w:lang w:eastAsia="zh-CN"/>
        </w:rPr>
        <w:t>2014</w:t>
      </w:r>
      <w:r w:rsidRPr="008A7385">
        <w:rPr>
          <w:rFonts w:hint="eastAsia"/>
          <w:lang w:eastAsia="zh-CN"/>
        </w:rPr>
        <w:t>年，釜山，修订版）附件</w:t>
      </w:r>
      <w:r w:rsidRPr="008A7385">
        <w:rPr>
          <w:lang w:eastAsia="zh-CN"/>
        </w:rPr>
        <w:t>2</w:t>
      </w:r>
      <w:r w:rsidRPr="008A7385">
        <w:rPr>
          <w:rFonts w:hint="eastAsia"/>
          <w:lang w:eastAsia="zh-CN"/>
        </w:rPr>
        <w:t>；</w:t>
      </w:r>
    </w:p>
    <w:p w14:paraId="4827B40D" w14:textId="77777777" w:rsidR="00404233" w:rsidRPr="008A7385" w:rsidRDefault="00404233" w:rsidP="00404233">
      <w:pPr>
        <w:rPr>
          <w:lang w:eastAsia="zh-CN"/>
        </w:rPr>
      </w:pPr>
      <w:r w:rsidRPr="008A7385">
        <w:rPr>
          <w:rFonts w:hint="eastAsia"/>
          <w:i/>
          <w:iCs/>
          <w:lang w:eastAsia="zh-CN"/>
        </w:rPr>
        <w:t>d)</w:t>
      </w:r>
      <w:r w:rsidRPr="008A7385">
        <w:rPr>
          <w:rFonts w:hint="eastAsia"/>
          <w:lang w:eastAsia="zh-CN"/>
        </w:rPr>
        <w:tab/>
      </w:r>
      <w:r w:rsidRPr="008A7385">
        <w:rPr>
          <w:rFonts w:hint="eastAsia"/>
          <w:lang w:eastAsia="zh-CN"/>
        </w:rPr>
        <w:t>理事会</w:t>
      </w:r>
      <w:r w:rsidRPr="008A7385">
        <w:rPr>
          <w:rFonts w:hint="eastAsia"/>
          <w:lang w:eastAsia="zh-CN"/>
        </w:rPr>
        <w:t>2015</w:t>
      </w:r>
      <w:r w:rsidRPr="008A7385">
        <w:rPr>
          <w:rFonts w:hint="eastAsia"/>
          <w:lang w:eastAsia="zh-CN"/>
        </w:rPr>
        <w:t>年</w:t>
      </w:r>
      <w:r w:rsidRPr="008A7385">
        <w:rPr>
          <w:lang w:eastAsia="zh-CN"/>
        </w:rPr>
        <w:t>会议第</w:t>
      </w:r>
      <w:r w:rsidRPr="008A7385">
        <w:rPr>
          <w:rFonts w:hint="eastAsia"/>
          <w:lang w:eastAsia="zh-CN"/>
        </w:rPr>
        <w:t>584</w:t>
      </w:r>
      <w:r w:rsidRPr="008A7385">
        <w:rPr>
          <w:rFonts w:hint="eastAsia"/>
          <w:lang w:eastAsia="zh-CN"/>
        </w:rPr>
        <w:t>号</w:t>
      </w:r>
      <w:r w:rsidRPr="008A7385">
        <w:rPr>
          <w:lang w:eastAsia="zh-CN"/>
        </w:rPr>
        <w:t>决定明确了有关</w:t>
      </w:r>
      <w:r w:rsidRPr="008A7385">
        <w:rPr>
          <w:rFonts w:hint="eastAsia"/>
          <w:lang w:eastAsia="zh-CN"/>
        </w:rPr>
        <w:t>CWG</w:t>
      </w:r>
      <w:r w:rsidRPr="008A7385">
        <w:rPr>
          <w:rFonts w:hint="eastAsia"/>
          <w:lang w:eastAsia="zh-CN"/>
        </w:rPr>
        <w:t>正副</w:t>
      </w:r>
      <w:r w:rsidRPr="008A7385">
        <w:rPr>
          <w:lang w:eastAsia="zh-CN"/>
        </w:rPr>
        <w:t>主席的任命和任期的原则；</w:t>
      </w:r>
    </w:p>
    <w:p w14:paraId="4827B40E" w14:textId="77777777" w:rsidR="00404233" w:rsidRPr="008A7385" w:rsidRDefault="00404233" w:rsidP="00404233">
      <w:pPr>
        <w:rPr>
          <w:lang w:eastAsia="zh-CN"/>
        </w:rPr>
      </w:pPr>
      <w:r w:rsidRPr="008A7385">
        <w:rPr>
          <w:i/>
          <w:iCs/>
          <w:lang w:eastAsia="zh-CN"/>
        </w:rPr>
        <w:t>e)</w:t>
      </w:r>
      <w:r w:rsidRPr="008A7385">
        <w:rPr>
          <w:lang w:eastAsia="zh-CN"/>
        </w:rPr>
        <w:tab/>
      </w:r>
      <w:r w:rsidRPr="008A7385">
        <w:rPr>
          <w:rFonts w:hint="eastAsia"/>
          <w:lang w:eastAsia="zh-CN"/>
        </w:rPr>
        <w:t>关于研究</w:t>
      </w:r>
      <w:r w:rsidRPr="008A7385">
        <w:rPr>
          <w:lang w:eastAsia="zh-CN"/>
        </w:rPr>
        <w:t>组和顾问组正副主席的任命和最长任期的世界电信标准化全会（</w:t>
      </w:r>
      <w:r w:rsidRPr="008A7385">
        <w:rPr>
          <w:rFonts w:hint="eastAsia"/>
          <w:lang w:eastAsia="zh-CN"/>
        </w:rPr>
        <w:t>WTSA</w:t>
      </w:r>
      <w:r w:rsidRPr="008A7385">
        <w:rPr>
          <w:lang w:eastAsia="zh-CN"/>
        </w:rPr>
        <w:t>）</w:t>
      </w:r>
      <w:r w:rsidRPr="008A7385">
        <w:rPr>
          <w:rFonts w:hint="eastAsia"/>
          <w:lang w:eastAsia="zh-CN"/>
        </w:rPr>
        <w:t>第</w:t>
      </w:r>
      <w:r w:rsidRPr="008A7385">
        <w:rPr>
          <w:rFonts w:hint="eastAsia"/>
          <w:lang w:eastAsia="zh-CN"/>
        </w:rPr>
        <w:t>35</w:t>
      </w:r>
      <w:r w:rsidRPr="008A7385">
        <w:rPr>
          <w:rFonts w:hint="eastAsia"/>
          <w:lang w:eastAsia="zh-CN"/>
        </w:rPr>
        <w:t>号</w:t>
      </w:r>
      <w:r w:rsidRPr="008A7385">
        <w:rPr>
          <w:lang w:eastAsia="zh-CN"/>
        </w:rPr>
        <w:t>决议（</w:t>
      </w:r>
      <w:r w:rsidRPr="008A7385">
        <w:rPr>
          <w:rFonts w:hint="eastAsia"/>
          <w:lang w:eastAsia="zh-CN"/>
        </w:rPr>
        <w:t>2012</w:t>
      </w:r>
      <w:r w:rsidRPr="008A7385">
        <w:rPr>
          <w:rFonts w:hint="eastAsia"/>
          <w:lang w:eastAsia="zh-CN"/>
        </w:rPr>
        <w:t>年</w:t>
      </w:r>
      <w:r w:rsidRPr="008A7385">
        <w:rPr>
          <w:lang w:eastAsia="zh-CN"/>
        </w:rPr>
        <w:t>，迪拜，修订版）</w:t>
      </w:r>
      <w:r w:rsidRPr="008A7385">
        <w:rPr>
          <w:rFonts w:hint="eastAsia"/>
          <w:lang w:eastAsia="zh-CN"/>
        </w:rPr>
        <w:t>、</w:t>
      </w:r>
      <w:r w:rsidRPr="008A7385">
        <w:rPr>
          <w:rFonts w:hint="eastAsia"/>
          <w:lang w:eastAsia="zh-CN"/>
        </w:rPr>
        <w:t>ITU-R</w:t>
      </w:r>
      <w:r w:rsidRPr="008A7385">
        <w:rPr>
          <w:rFonts w:hint="eastAsia"/>
          <w:lang w:eastAsia="zh-CN"/>
        </w:rPr>
        <w:t>第</w:t>
      </w:r>
      <w:r w:rsidRPr="008A7385">
        <w:rPr>
          <w:rFonts w:hint="eastAsia"/>
          <w:lang w:eastAsia="zh-CN"/>
        </w:rPr>
        <w:t>15</w:t>
      </w:r>
      <w:r w:rsidRPr="008A7385">
        <w:rPr>
          <w:lang w:eastAsia="zh-CN"/>
        </w:rPr>
        <w:t>-5</w:t>
      </w:r>
      <w:r w:rsidRPr="008A7385">
        <w:rPr>
          <w:rFonts w:hint="eastAsia"/>
          <w:lang w:eastAsia="zh-CN"/>
        </w:rPr>
        <w:t>号</w:t>
      </w:r>
      <w:r w:rsidRPr="008A7385">
        <w:rPr>
          <w:lang w:eastAsia="zh-CN"/>
        </w:rPr>
        <w:t>决议和世界电信发展大会（</w:t>
      </w:r>
      <w:r w:rsidRPr="008A7385">
        <w:rPr>
          <w:rFonts w:hint="eastAsia"/>
          <w:lang w:eastAsia="zh-CN"/>
        </w:rPr>
        <w:t>WTDC</w:t>
      </w:r>
      <w:r w:rsidRPr="008A7385">
        <w:rPr>
          <w:lang w:eastAsia="zh-CN"/>
        </w:rPr>
        <w:t>）</w:t>
      </w:r>
      <w:r w:rsidRPr="008A7385">
        <w:rPr>
          <w:rFonts w:hint="eastAsia"/>
          <w:lang w:eastAsia="zh-CN"/>
        </w:rPr>
        <w:t>第</w:t>
      </w:r>
      <w:r w:rsidRPr="008A7385">
        <w:rPr>
          <w:rFonts w:hint="eastAsia"/>
          <w:lang w:eastAsia="zh-CN"/>
        </w:rPr>
        <w:t>61</w:t>
      </w:r>
      <w:r w:rsidRPr="008A7385">
        <w:rPr>
          <w:rFonts w:hint="eastAsia"/>
          <w:lang w:eastAsia="zh-CN"/>
        </w:rPr>
        <w:t>号</w:t>
      </w:r>
      <w:r w:rsidRPr="008A7385">
        <w:rPr>
          <w:lang w:eastAsia="zh-CN"/>
        </w:rPr>
        <w:t>决议（</w:t>
      </w:r>
      <w:r w:rsidRPr="008A7385">
        <w:rPr>
          <w:rFonts w:hint="eastAsia"/>
          <w:lang w:eastAsia="zh-CN"/>
        </w:rPr>
        <w:t>2014</w:t>
      </w:r>
      <w:r w:rsidRPr="008A7385">
        <w:rPr>
          <w:rFonts w:hint="eastAsia"/>
          <w:lang w:eastAsia="zh-CN"/>
        </w:rPr>
        <w:t>年</w:t>
      </w:r>
      <w:r w:rsidRPr="008A7385">
        <w:rPr>
          <w:lang w:eastAsia="zh-CN"/>
        </w:rPr>
        <w:t>，迪拜，修订版）</w:t>
      </w:r>
      <w:r w:rsidRPr="008A7385">
        <w:rPr>
          <w:rFonts w:hint="eastAsia"/>
          <w:lang w:eastAsia="zh-CN"/>
        </w:rPr>
        <w:t>，</w:t>
      </w:r>
    </w:p>
    <w:p w14:paraId="4827B40F" w14:textId="77777777" w:rsidR="00404233" w:rsidRPr="008A7385" w:rsidRDefault="00404233" w:rsidP="00404233">
      <w:pPr>
        <w:pStyle w:val="Call"/>
        <w:rPr>
          <w:lang w:eastAsia="zh-CN"/>
        </w:rPr>
      </w:pPr>
      <w:r w:rsidRPr="008A7385">
        <w:rPr>
          <w:rFonts w:hint="eastAsia"/>
          <w:lang w:eastAsia="zh-CN"/>
        </w:rPr>
        <w:t>做出决议</w:t>
      </w:r>
    </w:p>
    <w:p w14:paraId="4827B410" w14:textId="77777777" w:rsidR="00404233" w:rsidRPr="008A7385" w:rsidRDefault="00404233" w:rsidP="00404233">
      <w:pPr>
        <w:rPr>
          <w:lang w:eastAsia="zh-CN"/>
        </w:rPr>
      </w:pPr>
      <w:r w:rsidRPr="008A7385">
        <w:rPr>
          <w:lang w:eastAsia="zh-CN"/>
        </w:rPr>
        <w:t>1</w:t>
      </w:r>
      <w:r w:rsidRPr="008A7385">
        <w:rPr>
          <w:lang w:eastAsia="zh-CN"/>
        </w:rPr>
        <w:tab/>
      </w:r>
      <w:r w:rsidRPr="008A7385">
        <w:rPr>
          <w:rFonts w:hint="eastAsia"/>
          <w:lang w:eastAsia="zh-CN"/>
        </w:rPr>
        <w:t>理事会</w:t>
      </w:r>
      <w:r w:rsidRPr="008A7385">
        <w:rPr>
          <w:lang w:eastAsia="zh-CN"/>
        </w:rPr>
        <w:t>工作组（</w:t>
      </w:r>
      <w:r w:rsidRPr="008A7385">
        <w:rPr>
          <w:rFonts w:hint="eastAsia"/>
          <w:lang w:eastAsia="zh-CN"/>
        </w:rPr>
        <w:t>CWG</w:t>
      </w:r>
      <w:r w:rsidRPr="008A7385">
        <w:rPr>
          <w:lang w:eastAsia="zh-CN"/>
        </w:rPr>
        <w:t>）</w:t>
      </w:r>
      <w:r w:rsidRPr="008A7385">
        <w:rPr>
          <w:rFonts w:hint="eastAsia"/>
          <w:lang w:eastAsia="zh-CN"/>
        </w:rPr>
        <w:t>须</w:t>
      </w:r>
      <w:r w:rsidRPr="008A7385">
        <w:rPr>
          <w:lang w:eastAsia="zh-CN"/>
        </w:rPr>
        <w:t>研究</w:t>
      </w:r>
      <w:r w:rsidRPr="008A7385">
        <w:rPr>
          <w:rFonts w:hint="eastAsia"/>
          <w:lang w:eastAsia="zh-CN"/>
        </w:rPr>
        <w:t>解决</w:t>
      </w:r>
      <w:r w:rsidRPr="008A7385">
        <w:rPr>
          <w:lang w:eastAsia="zh-CN"/>
        </w:rPr>
        <w:t>国际电联战略和财务规划以及全权代表大会和理事会决定所明确的问题、目标、战略和优先工作，并向理事会提出由其审议的建议和意见；</w:t>
      </w:r>
    </w:p>
    <w:p w14:paraId="4827B411" w14:textId="77777777" w:rsidR="00404233" w:rsidRPr="008A7385" w:rsidRDefault="00404233" w:rsidP="00404233">
      <w:pPr>
        <w:rPr>
          <w:lang w:eastAsia="zh-CN"/>
        </w:rPr>
      </w:pPr>
      <w:r w:rsidRPr="008A7385">
        <w:rPr>
          <w:lang w:eastAsia="zh-CN"/>
        </w:rPr>
        <w:t>2</w:t>
      </w:r>
      <w:r w:rsidRPr="008A7385">
        <w:rPr>
          <w:lang w:eastAsia="zh-CN"/>
        </w:rPr>
        <w:tab/>
      </w:r>
      <w:r w:rsidRPr="008A7385">
        <w:rPr>
          <w:rFonts w:hint="eastAsia"/>
          <w:lang w:eastAsia="zh-CN"/>
        </w:rPr>
        <w:t>在成立</w:t>
      </w:r>
      <w:r w:rsidRPr="008A7385">
        <w:rPr>
          <w:lang w:eastAsia="zh-CN"/>
        </w:rPr>
        <w:t>理事会工作组时，</w:t>
      </w:r>
      <w:r w:rsidRPr="008A7385">
        <w:rPr>
          <w:rFonts w:hint="eastAsia"/>
          <w:lang w:eastAsia="zh-CN"/>
        </w:rPr>
        <w:t>须明确</w:t>
      </w:r>
      <w:r w:rsidRPr="008A7385">
        <w:rPr>
          <w:lang w:eastAsia="zh-CN"/>
        </w:rPr>
        <w:t>CWG</w:t>
      </w:r>
      <w:r w:rsidRPr="008A7385">
        <w:rPr>
          <w:rFonts w:hint="eastAsia"/>
          <w:lang w:eastAsia="zh-CN"/>
        </w:rPr>
        <w:t>的职责范围（</w:t>
      </w:r>
      <w:r w:rsidRPr="008A7385">
        <w:rPr>
          <w:lang w:eastAsia="zh-CN"/>
        </w:rPr>
        <w:t>ToR</w:t>
      </w:r>
      <w:r w:rsidRPr="008A7385">
        <w:rPr>
          <w:rFonts w:hint="eastAsia"/>
          <w:lang w:eastAsia="zh-CN"/>
        </w:rPr>
        <w:t>），并杜绝与其它</w:t>
      </w:r>
      <w:r w:rsidRPr="008A7385">
        <w:rPr>
          <w:lang w:eastAsia="zh-CN"/>
        </w:rPr>
        <w:t>CWG</w:t>
      </w:r>
      <w:r w:rsidRPr="008A7385">
        <w:rPr>
          <w:rFonts w:hint="eastAsia"/>
          <w:lang w:eastAsia="zh-CN"/>
        </w:rPr>
        <w:t>工作的重复与重叠；可酌情为应对不断变化的要求修订</w:t>
      </w:r>
      <w:r w:rsidRPr="008A7385">
        <w:rPr>
          <w:lang w:eastAsia="zh-CN"/>
        </w:rPr>
        <w:t>ToR</w:t>
      </w:r>
      <w:r w:rsidRPr="008A7385">
        <w:rPr>
          <w:rFonts w:hint="eastAsia"/>
          <w:lang w:eastAsia="zh-CN"/>
        </w:rPr>
        <w:t>；</w:t>
      </w:r>
    </w:p>
    <w:p w14:paraId="4827B412" w14:textId="77777777" w:rsidR="00404233" w:rsidRPr="008A7385" w:rsidRDefault="00404233" w:rsidP="00404233">
      <w:pPr>
        <w:rPr>
          <w:lang w:eastAsia="zh-CN"/>
        </w:rPr>
      </w:pPr>
      <w:r w:rsidRPr="008A7385">
        <w:rPr>
          <w:lang w:eastAsia="zh-CN"/>
        </w:rPr>
        <w:t>3</w:t>
      </w:r>
      <w:r w:rsidRPr="008A7385">
        <w:rPr>
          <w:lang w:eastAsia="zh-CN"/>
        </w:rPr>
        <w:tab/>
      </w:r>
      <w:r w:rsidRPr="008A7385">
        <w:rPr>
          <w:rFonts w:hint="eastAsia"/>
          <w:lang w:eastAsia="zh-CN"/>
        </w:rPr>
        <w:t>应</w:t>
      </w:r>
      <w:r w:rsidRPr="008A7385">
        <w:rPr>
          <w:lang w:eastAsia="zh-CN"/>
        </w:rPr>
        <w:t>在第</w:t>
      </w:r>
      <w:r w:rsidRPr="008A7385">
        <w:rPr>
          <w:rFonts w:hint="eastAsia"/>
          <w:lang w:eastAsia="zh-CN"/>
        </w:rPr>
        <w:t>11</w:t>
      </w:r>
      <w:r w:rsidRPr="008A7385">
        <w:rPr>
          <w:rFonts w:hint="eastAsia"/>
          <w:lang w:eastAsia="zh-CN"/>
        </w:rPr>
        <w:t>号</w:t>
      </w:r>
      <w:r w:rsidRPr="008A7385">
        <w:rPr>
          <w:lang w:eastAsia="zh-CN"/>
        </w:rPr>
        <w:t>决定（</w:t>
      </w:r>
      <w:r w:rsidRPr="008A7385">
        <w:rPr>
          <w:rFonts w:hint="eastAsia"/>
          <w:lang w:eastAsia="zh-CN"/>
        </w:rPr>
        <w:t>2014</w:t>
      </w:r>
      <w:r w:rsidRPr="008A7385">
        <w:rPr>
          <w:rFonts w:hint="eastAsia"/>
          <w:lang w:eastAsia="zh-CN"/>
        </w:rPr>
        <w:t>年</w:t>
      </w:r>
      <w:r w:rsidRPr="008A7385">
        <w:rPr>
          <w:lang w:eastAsia="zh-CN"/>
        </w:rPr>
        <w:t>，釜山</w:t>
      </w:r>
      <w:r w:rsidRPr="008A7385">
        <w:rPr>
          <w:rFonts w:hint="eastAsia"/>
          <w:lang w:eastAsia="zh-CN"/>
        </w:rPr>
        <w:t>，</w:t>
      </w:r>
      <w:r w:rsidRPr="008A7385">
        <w:rPr>
          <w:lang w:eastAsia="zh-CN"/>
        </w:rPr>
        <w:t>修订版）</w:t>
      </w:r>
      <w:r w:rsidRPr="008A7385">
        <w:rPr>
          <w:rFonts w:hint="eastAsia"/>
          <w:lang w:eastAsia="zh-CN"/>
        </w:rPr>
        <w:t>规定</w:t>
      </w:r>
      <w:r w:rsidRPr="008A7385">
        <w:rPr>
          <w:lang w:eastAsia="zh-CN"/>
        </w:rPr>
        <w:t>和附件</w:t>
      </w:r>
      <w:r w:rsidRPr="008A7385">
        <w:rPr>
          <w:rFonts w:hint="eastAsia"/>
          <w:lang w:eastAsia="zh-CN"/>
        </w:rPr>
        <w:t>1</w:t>
      </w:r>
      <w:r w:rsidRPr="008A7385">
        <w:rPr>
          <w:rFonts w:hint="eastAsia"/>
          <w:lang w:eastAsia="zh-CN"/>
        </w:rPr>
        <w:t>的</w:t>
      </w:r>
      <w:r w:rsidRPr="008A7385">
        <w:rPr>
          <w:lang w:eastAsia="zh-CN"/>
        </w:rPr>
        <w:t>程序指导</w:t>
      </w:r>
      <w:r w:rsidRPr="008A7385">
        <w:rPr>
          <w:rFonts w:hint="eastAsia"/>
          <w:lang w:eastAsia="zh-CN"/>
        </w:rPr>
        <w:t>下</w:t>
      </w:r>
      <w:r w:rsidRPr="008A7385">
        <w:rPr>
          <w:lang w:eastAsia="zh-CN"/>
        </w:rPr>
        <w:t>进行每一</w:t>
      </w:r>
      <w:r w:rsidRPr="008A7385">
        <w:rPr>
          <w:rFonts w:hint="eastAsia"/>
          <w:lang w:eastAsia="zh-CN"/>
        </w:rPr>
        <w:t>CWG</w:t>
      </w:r>
      <w:r w:rsidRPr="008A7385">
        <w:rPr>
          <w:rFonts w:hint="eastAsia"/>
          <w:lang w:eastAsia="zh-CN"/>
        </w:rPr>
        <w:t>主席和至少</w:t>
      </w:r>
      <w:r w:rsidRPr="008A7385">
        <w:rPr>
          <w:lang w:eastAsia="zh-CN"/>
        </w:rPr>
        <w:t>两名</w:t>
      </w:r>
      <w:r w:rsidRPr="008A7385">
        <w:rPr>
          <w:rFonts w:hint="eastAsia"/>
          <w:lang w:eastAsia="zh-CN"/>
        </w:rPr>
        <w:t>副主席的</w:t>
      </w:r>
      <w:r w:rsidRPr="008A7385">
        <w:rPr>
          <w:lang w:eastAsia="zh-CN"/>
        </w:rPr>
        <w:t>任命工作，包括提供附件</w:t>
      </w:r>
      <w:r w:rsidRPr="008A7385">
        <w:rPr>
          <w:rFonts w:hint="eastAsia"/>
          <w:lang w:eastAsia="zh-CN"/>
        </w:rPr>
        <w:t>2</w:t>
      </w:r>
      <w:r w:rsidRPr="008A7385">
        <w:rPr>
          <w:rFonts w:hint="eastAsia"/>
          <w:lang w:eastAsia="zh-CN"/>
        </w:rPr>
        <w:t>所</w:t>
      </w:r>
      <w:r w:rsidRPr="008A7385">
        <w:rPr>
          <w:lang w:eastAsia="zh-CN"/>
        </w:rPr>
        <w:t>阐明的信息</w:t>
      </w:r>
      <w:r w:rsidRPr="008A7385">
        <w:rPr>
          <w:rFonts w:hint="eastAsia"/>
          <w:lang w:eastAsia="zh-CN"/>
        </w:rPr>
        <w:t>；</w:t>
      </w:r>
    </w:p>
    <w:p w14:paraId="4827B413" w14:textId="77777777" w:rsidR="00404233" w:rsidRPr="008A7385" w:rsidRDefault="00404233" w:rsidP="00404233">
      <w:pPr>
        <w:rPr>
          <w:lang w:eastAsia="zh-CN"/>
        </w:rPr>
      </w:pPr>
      <w:r w:rsidRPr="008A7385">
        <w:rPr>
          <w:rFonts w:hint="eastAsia"/>
          <w:lang w:eastAsia="zh-CN"/>
        </w:rPr>
        <w:t>4</w:t>
      </w:r>
      <w:r w:rsidRPr="008A7385">
        <w:rPr>
          <w:rFonts w:hint="eastAsia"/>
          <w:lang w:eastAsia="zh-CN"/>
        </w:rPr>
        <w:tab/>
        <w:t>CWG</w:t>
      </w:r>
      <w:r w:rsidRPr="008A7385">
        <w:rPr>
          <w:rFonts w:hint="eastAsia"/>
          <w:lang w:eastAsia="zh-CN"/>
        </w:rPr>
        <w:t>正副</w:t>
      </w:r>
      <w:r w:rsidRPr="008A7385">
        <w:rPr>
          <w:lang w:eastAsia="zh-CN"/>
        </w:rPr>
        <w:t>主席的任期不应超过连续两届全权代表大会的间隔；在一个</w:t>
      </w:r>
      <w:r w:rsidRPr="008A7385">
        <w:rPr>
          <w:rFonts w:hint="eastAsia"/>
          <w:lang w:eastAsia="zh-CN"/>
        </w:rPr>
        <w:t>CWG</w:t>
      </w:r>
      <w:r w:rsidRPr="008A7385">
        <w:rPr>
          <w:rFonts w:hint="eastAsia"/>
          <w:lang w:eastAsia="zh-CN"/>
        </w:rPr>
        <w:t>内</w:t>
      </w:r>
      <w:r w:rsidRPr="008A7385">
        <w:rPr>
          <w:lang w:eastAsia="zh-CN"/>
        </w:rPr>
        <w:t>的任期不被计入在另一个</w:t>
      </w:r>
      <w:r w:rsidRPr="008A7385">
        <w:rPr>
          <w:rFonts w:hint="eastAsia"/>
          <w:lang w:eastAsia="zh-CN"/>
        </w:rPr>
        <w:t>CWG</w:t>
      </w:r>
      <w:r w:rsidRPr="008A7385">
        <w:rPr>
          <w:rFonts w:hint="eastAsia"/>
          <w:lang w:eastAsia="zh-CN"/>
        </w:rPr>
        <w:t>中</w:t>
      </w:r>
      <w:r w:rsidRPr="008A7385">
        <w:rPr>
          <w:lang w:eastAsia="zh-CN"/>
        </w:rPr>
        <w:t>的任期；应采取步骤实现</w:t>
      </w:r>
      <w:r w:rsidRPr="008A7385">
        <w:rPr>
          <w:rFonts w:hint="eastAsia"/>
          <w:lang w:eastAsia="zh-CN"/>
        </w:rPr>
        <w:t>CWG</w:t>
      </w:r>
      <w:r w:rsidRPr="008A7385">
        <w:rPr>
          <w:rFonts w:hint="eastAsia"/>
          <w:lang w:eastAsia="zh-CN"/>
        </w:rPr>
        <w:t>主席</w:t>
      </w:r>
      <w:r w:rsidRPr="008A7385">
        <w:rPr>
          <w:lang w:eastAsia="zh-CN"/>
        </w:rPr>
        <w:t>与副主席之间的接任；</w:t>
      </w:r>
    </w:p>
    <w:p w14:paraId="4827B414" w14:textId="77777777" w:rsidR="00404233" w:rsidRPr="008A7385" w:rsidRDefault="00404233" w:rsidP="00404233">
      <w:pPr>
        <w:rPr>
          <w:lang w:eastAsia="zh-CN"/>
        </w:rPr>
      </w:pPr>
      <w:r w:rsidRPr="008A7385">
        <w:rPr>
          <w:lang w:eastAsia="zh-CN"/>
        </w:rPr>
        <w:t>5</w:t>
      </w:r>
      <w:r w:rsidRPr="008A7385">
        <w:rPr>
          <w:lang w:eastAsia="zh-CN"/>
        </w:rPr>
        <w:tab/>
        <w:t>CWG</w:t>
      </w:r>
      <w:r w:rsidRPr="008A7385">
        <w:rPr>
          <w:rFonts w:hint="eastAsia"/>
          <w:lang w:eastAsia="zh-CN"/>
        </w:rPr>
        <w:t>有必要在理事会预算分配的范围内，以切实有效的方法计划</w:t>
      </w:r>
      <w:r w:rsidRPr="008A7385">
        <w:rPr>
          <w:lang w:eastAsia="zh-CN"/>
        </w:rPr>
        <w:t>和</w:t>
      </w:r>
      <w:r w:rsidRPr="008A7385">
        <w:rPr>
          <w:rFonts w:hint="eastAsia"/>
          <w:lang w:eastAsia="zh-CN"/>
        </w:rPr>
        <w:t>进行会议；通常</w:t>
      </w:r>
      <w:r w:rsidRPr="008A7385">
        <w:rPr>
          <w:lang w:eastAsia="zh-CN"/>
        </w:rPr>
        <w:t>一个</w:t>
      </w:r>
      <w:r w:rsidRPr="008A7385">
        <w:rPr>
          <w:lang w:eastAsia="zh-CN"/>
        </w:rPr>
        <w:t>CWG</w:t>
      </w:r>
      <w:r w:rsidRPr="008A7385">
        <w:rPr>
          <w:rFonts w:hint="eastAsia"/>
          <w:lang w:eastAsia="zh-CN"/>
        </w:rPr>
        <w:t>每年应</w:t>
      </w:r>
      <w:r w:rsidRPr="008A7385">
        <w:rPr>
          <w:lang w:eastAsia="zh-CN"/>
        </w:rPr>
        <w:t>举行一次</w:t>
      </w:r>
      <w:r w:rsidRPr="008A7385">
        <w:rPr>
          <w:rFonts w:hint="eastAsia"/>
          <w:lang w:eastAsia="zh-CN"/>
        </w:rPr>
        <w:t>会议且</w:t>
      </w:r>
      <w:r w:rsidRPr="008A7385">
        <w:rPr>
          <w:lang w:eastAsia="zh-CN"/>
        </w:rPr>
        <w:t>最多不超过</w:t>
      </w:r>
      <w:r w:rsidRPr="008A7385">
        <w:rPr>
          <w:rFonts w:hint="eastAsia"/>
          <w:lang w:eastAsia="zh-CN"/>
        </w:rPr>
        <w:t>两次</w:t>
      </w:r>
      <w:r w:rsidRPr="008A7385">
        <w:rPr>
          <w:lang w:eastAsia="zh-CN"/>
        </w:rPr>
        <w:t>会议</w:t>
      </w:r>
      <w:r w:rsidRPr="008A7385">
        <w:rPr>
          <w:rFonts w:hint="eastAsia"/>
          <w:lang w:eastAsia="zh-CN"/>
        </w:rPr>
        <w:t>；还应酌情将一次</w:t>
      </w:r>
      <w:r w:rsidRPr="008A7385">
        <w:rPr>
          <w:lang w:eastAsia="zh-CN"/>
        </w:rPr>
        <w:t>CWG</w:t>
      </w:r>
      <w:r w:rsidRPr="008A7385">
        <w:rPr>
          <w:rFonts w:hint="eastAsia"/>
          <w:lang w:eastAsia="zh-CN"/>
        </w:rPr>
        <w:t>会议纳入理事会年会的时间分配方案；必要</w:t>
      </w:r>
      <w:r w:rsidRPr="008A7385">
        <w:rPr>
          <w:lang w:eastAsia="zh-CN"/>
        </w:rPr>
        <w:t>和可行时还应计划举行电子会议；</w:t>
      </w:r>
    </w:p>
    <w:p w14:paraId="4827B415" w14:textId="77777777" w:rsidR="0082299F" w:rsidRDefault="0082299F">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416" w14:textId="77777777" w:rsidR="00404233" w:rsidRPr="008A7385" w:rsidRDefault="00404233" w:rsidP="00404233">
      <w:pPr>
        <w:rPr>
          <w:lang w:eastAsia="zh-CN"/>
        </w:rPr>
      </w:pPr>
      <w:r w:rsidRPr="008A7385">
        <w:rPr>
          <w:lang w:eastAsia="zh-CN"/>
        </w:rPr>
        <w:lastRenderedPageBreak/>
        <w:t>6</w:t>
      </w:r>
      <w:r w:rsidRPr="008A7385">
        <w:rPr>
          <w:lang w:eastAsia="zh-CN"/>
        </w:rPr>
        <w:tab/>
        <w:t>CWG</w:t>
      </w:r>
      <w:r w:rsidRPr="008A7385">
        <w:rPr>
          <w:rFonts w:hint="eastAsia"/>
          <w:lang w:eastAsia="zh-CN"/>
        </w:rPr>
        <w:t>应尽可能以电子手段和</w:t>
      </w:r>
      <w:r w:rsidRPr="008A7385">
        <w:rPr>
          <w:lang w:eastAsia="zh-CN"/>
        </w:rPr>
        <w:t>工作方法</w:t>
      </w:r>
      <w:r w:rsidRPr="008A7385">
        <w:rPr>
          <w:rFonts w:hint="eastAsia"/>
          <w:lang w:eastAsia="zh-CN"/>
        </w:rPr>
        <w:t>推进其活动；</w:t>
      </w:r>
    </w:p>
    <w:p w14:paraId="4827B417" w14:textId="77777777" w:rsidR="00404233" w:rsidRPr="008A7385" w:rsidRDefault="00404233" w:rsidP="00404233">
      <w:pPr>
        <w:rPr>
          <w:lang w:eastAsia="zh-CN"/>
        </w:rPr>
      </w:pPr>
      <w:r w:rsidRPr="008A7385">
        <w:rPr>
          <w:lang w:eastAsia="zh-CN"/>
        </w:rPr>
        <w:t>7</w:t>
      </w:r>
      <w:r w:rsidRPr="008A7385">
        <w:rPr>
          <w:lang w:eastAsia="zh-CN"/>
        </w:rPr>
        <w:tab/>
      </w:r>
      <w:r w:rsidRPr="008A7385">
        <w:rPr>
          <w:rFonts w:hint="eastAsia"/>
          <w:lang w:eastAsia="zh-CN"/>
        </w:rPr>
        <w:t>应在</w:t>
      </w:r>
      <w:r w:rsidRPr="008A7385">
        <w:rPr>
          <w:lang w:eastAsia="zh-CN"/>
        </w:rPr>
        <w:t>工作组</w:t>
      </w:r>
      <w:r w:rsidRPr="008A7385">
        <w:rPr>
          <w:rFonts w:hint="eastAsia"/>
          <w:lang w:eastAsia="zh-CN"/>
        </w:rPr>
        <w:t>职责</w:t>
      </w:r>
      <w:r w:rsidRPr="008A7385">
        <w:rPr>
          <w:lang w:eastAsia="zh-CN"/>
        </w:rPr>
        <w:t>框架范围内任务完成后或按照理事会和</w:t>
      </w:r>
      <w:r w:rsidRPr="008A7385">
        <w:rPr>
          <w:lang w:eastAsia="zh-CN"/>
        </w:rPr>
        <w:t>/</w:t>
      </w:r>
      <w:r w:rsidRPr="008A7385">
        <w:rPr>
          <w:rFonts w:hint="eastAsia"/>
          <w:lang w:eastAsia="zh-CN"/>
        </w:rPr>
        <w:t>或</w:t>
      </w:r>
      <w:r w:rsidRPr="008A7385">
        <w:rPr>
          <w:lang w:eastAsia="zh-CN"/>
        </w:rPr>
        <w:t>全权代表大会的其它决定，包括第</w:t>
      </w:r>
      <w:r w:rsidRPr="008A7385">
        <w:rPr>
          <w:rFonts w:hint="eastAsia"/>
          <w:lang w:eastAsia="zh-CN"/>
        </w:rPr>
        <w:t>11</w:t>
      </w:r>
      <w:r w:rsidRPr="008A7385">
        <w:rPr>
          <w:rFonts w:hint="eastAsia"/>
          <w:lang w:eastAsia="zh-CN"/>
        </w:rPr>
        <w:t>号</w:t>
      </w:r>
      <w:r w:rsidRPr="008A7385">
        <w:rPr>
          <w:lang w:eastAsia="zh-CN"/>
        </w:rPr>
        <w:t>决定（</w:t>
      </w:r>
      <w:r w:rsidRPr="008A7385">
        <w:rPr>
          <w:rFonts w:hint="eastAsia"/>
          <w:lang w:eastAsia="zh-CN"/>
        </w:rPr>
        <w:t>2014</w:t>
      </w:r>
      <w:r w:rsidRPr="008A7385">
        <w:rPr>
          <w:rFonts w:hint="eastAsia"/>
          <w:lang w:eastAsia="zh-CN"/>
        </w:rPr>
        <w:t>年</w:t>
      </w:r>
      <w:r w:rsidRPr="008A7385">
        <w:rPr>
          <w:lang w:eastAsia="zh-CN"/>
        </w:rPr>
        <w:t>，釜山，修订版）</w:t>
      </w:r>
      <w:r w:rsidRPr="008A7385">
        <w:rPr>
          <w:rFonts w:hint="eastAsia"/>
          <w:lang w:eastAsia="zh-CN"/>
        </w:rPr>
        <w:t>，终止</w:t>
      </w:r>
      <w:r w:rsidRPr="008A7385">
        <w:rPr>
          <w:lang w:eastAsia="zh-CN"/>
        </w:rPr>
        <w:t>CWG</w:t>
      </w:r>
      <w:r w:rsidRPr="008A7385">
        <w:rPr>
          <w:rFonts w:hint="eastAsia"/>
          <w:lang w:eastAsia="zh-CN"/>
        </w:rPr>
        <w:t>，</w:t>
      </w:r>
    </w:p>
    <w:p w14:paraId="4827B418" w14:textId="77777777" w:rsidR="00404233" w:rsidRPr="008A7385" w:rsidRDefault="00404233" w:rsidP="00404233">
      <w:pPr>
        <w:pStyle w:val="Call"/>
        <w:rPr>
          <w:lang w:eastAsia="zh-CN"/>
        </w:rPr>
      </w:pPr>
      <w:r w:rsidRPr="008A7385">
        <w:rPr>
          <w:rFonts w:hint="eastAsia"/>
          <w:lang w:eastAsia="zh-CN"/>
        </w:rPr>
        <w:t>进一步做出决议</w:t>
      </w:r>
    </w:p>
    <w:p w14:paraId="4827B419" w14:textId="77777777" w:rsidR="00404233" w:rsidRPr="008A7385" w:rsidRDefault="007D0CC6" w:rsidP="007D0CC6">
      <w:pPr>
        <w:rPr>
          <w:lang w:eastAsia="zh-CN"/>
        </w:rPr>
      </w:pPr>
      <w:r>
        <w:rPr>
          <w:rFonts w:hint="eastAsia"/>
          <w:lang w:eastAsia="zh-CN"/>
        </w:rPr>
        <w:t>1</w:t>
      </w:r>
      <w:r>
        <w:rPr>
          <w:rFonts w:hint="eastAsia"/>
          <w:lang w:eastAsia="zh-CN"/>
        </w:rPr>
        <w:tab/>
      </w:r>
      <w:r w:rsidR="00404233" w:rsidRPr="008A7385">
        <w:rPr>
          <w:rFonts w:hint="eastAsia"/>
          <w:lang w:eastAsia="zh-CN"/>
        </w:rPr>
        <w:t>应持续研究</w:t>
      </w:r>
      <w:r w:rsidR="00404233" w:rsidRPr="008A7385">
        <w:rPr>
          <w:lang w:eastAsia="zh-CN"/>
        </w:rPr>
        <w:t>CWG</w:t>
      </w:r>
      <w:r w:rsidR="00404233" w:rsidRPr="008A7385">
        <w:rPr>
          <w:rFonts w:hint="eastAsia"/>
          <w:lang w:eastAsia="zh-CN"/>
        </w:rPr>
        <w:t>的数量和职责范围，重点根据本决议和不断变化的要求对现有工作组进行必要修改，</w:t>
      </w:r>
    </w:p>
    <w:p w14:paraId="4827B41A" w14:textId="77777777" w:rsidR="00404233" w:rsidRPr="008A7385" w:rsidRDefault="00404233" w:rsidP="00404233">
      <w:pPr>
        <w:pStyle w:val="Call"/>
        <w:rPr>
          <w:lang w:eastAsia="zh-CN"/>
        </w:rPr>
      </w:pPr>
      <w:r w:rsidRPr="008A7385">
        <w:rPr>
          <w:rFonts w:hint="eastAsia"/>
          <w:lang w:eastAsia="zh-CN"/>
        </w:rPr>
        <w:t>责成秘书长</w:t>
      </w:r>
    </w:p>
    <w:p w14:paraId="4827B41B" w14:textId="77777777" w:rsidR="00404233" w:rsidRPr="008A7385" w:rsidRDefault="00404233" w:rsidP="00404233">
      <w:pPr>
        <w:rPr>
          <w:lang w:eastAsia="zh-CN"/>
        </w:rPr>
      </w:pPr>
      <w:r w:rsidRPr="008A7385">
        <w:rPr>
          <w:lang w:eastAsia="zh-CN"/>
        </w:rPr>
        <w:t>1</w:t>
      </w:r>
      <w:r w:rsidRPr="008A7385">
        <w:rPr>
          <w:lang w:eastAsia="zh-CN"/>
        </w:rPr>
        <w:tab/>
      </w:r>
      <w:r w:rsidRPr="008A7385">
        <w:rPr>
          <w:rFonts w:hint="eastAsia"/>
          <w:lang w:eastAsia="zh-CN"/>
        </w:rPr>
        <w:t>向</w:t>
      </w:r>
      <w:r w:rsidRPr="008A7385">
        <w:rPr>
          <w:lang w:eastAsia="zh-CN"/>
        </w:rPr>
        <w:t>每一届全权代表大会和每一届理事会会议提交每一</w:t>
      </w:r>
      <w:r w:rsidRPr="008A7385">
        <w:rPr>
          <w:rFonts w:hint="eastAsia"/>
          <w:lang w:eastAsia="zh-CN"/>
        </w:rPr>
        <w:t>CWG</w:t>
      </w:r>
      <w:r w:rsidRPr="008A7385">
        <w:rPr>
          <w:rFonts w:hint="eastAsia"/>
          <w:lang w:eastAsia="zh-CN"/>
        </w:rPr>
        <w:t>正副主席</w:t>
      </w:r>
      <w:r w:rsidRPr="008A7385">
        <w:rPr>
          <w:lang w:eastAsia="zh-CN"/>
        </w:rPr>
        <w:t>及其任期和所代表区域的表格；</w:t>
      </w:r>
    </w:p>
    <w:p w14:paraId="4827B41C" w14:textId="77777777" w:rsidR="00404233" w:rsidRDefault="00404233" w:rsidP="00404233">
      <w:pPr>
        <w:rPr>
          <w:lang w:eastAsia="zh-CN"/>
        </w:rPr>
      </w:pPr>
      <w:r w:rsidRPr="008A7385">
        <w:rPr>
          <w:lang w:eastAsia="zh-CN"/>
        </w:rPr>
        <w:t>2</w:t>
      </w:r>
      <w:r w:rsidRPr="008A7385">
        <w:rPr>
          <w:lang w:eastAsia="zh-CN"/>
        </w:rPr>
        <w:tab/>
      </w:r>
      <w:r w:rsidRPr="008A7385">
        <w:rPr>
          <w:rFonts w:hint="eastAsia"/>
          <w:lang w:eastAsia="zh-CN"/>
        </w:rPr>
        <w:t>确保</w:t>
      </w:r>
      <w:r w:rsidRPr="008A7385">
        <w:rPr>
          <w:lang w:eastAsia="zh-CN"/>
        </w:rPr>
        <w:t>各</w:t>
      </w:r>
      <w:r w:rsidRPr="008A7385">
        <w:rPr>
          <w:rFonts w:hint="eastAsia"/>
          <w:lang w:eastAsia="zh-CN"/>
        </w:rPr>
        <w:t>CWG</w:t>
      </w:r>
      <w:r w:rsidRPr="008A7385">
        <w:rPr>
          <w:rFonts w:hint="eastAsia"/>
          <w:lang w:eastAsia="zh-CN"/>
        </w:rPr>
        <w:t>网站</w:t>
      </w:r>
      <w:r w:rsidRPr="008A7385">
        <w:rPr>
          <w:lang w:eastAsia="zh-CN"/>
        </w:rPr>
        <w:t>统一一致，内容至少包括工作组的职责范围</w:t>
      </w:r>
      <w:r w:rsidRPr="008A7385">
        <w:rPr>
          <w:rFonts w:hint="eastAsia"/>
          <w:lang w:eastAsia="zh-CN"/>
        </w:rPr>
        <w:t>、</w:t>
      </w:r>
      <w:r w:rsidRPr="008A7385">
        <w:rPr>
          <w:lang w:eastAsia="zh-CN"/>
        </w:rPr>
        <w:t>目标、人员构成、正副主席、秘书处、主要决定和决议以及</w:t>
      </w:r>
      <w:r w:rsidRPr="008A7385">
        <w:rPr>
          <w:rFonts w:hint="eastAsia"/>
          <w:lang w:eastAsia="zh-CN"/>
        </w:rPr>
        <w:t>CWG</w:t>
      </w:r>
      <w:r w:rsidRPr="008A7385">
        <w:rPr>
          <w:rFonts w:hint="eastAsia"/>
          <w:lang w:eastAsia="zh-CN"/>
        </w:rPr>
        <w:t>的</w:t>
      </w:r>
      <w:r w:rsidRPr="008A7385">
        <w:rPr>
          <w:lang w:eastAsia="zh-CN"/>
        </w:rPr>
        <w:t>文件和报告。</w:t>
      </w:r>
    </w:p>
    <w:p w14:paraId="4827B41D" w14:textId="77777777" w:rsidR="00404233" w:rsidRPr="008A7385" w:rsidRDefault="00404233" w:rsidP="00404233">
      <w:pPr>
        <w:pStyle w:val="AnnexNo"/>
        <w:rPr>
          <w:lang w:eastAsia="zh-CN"/>
        </w:rPr>
      </w:pPr>
      <w:bookmarkStart w:id="1702" w:name="_Toc531706988"/>
      <w:r w:rsidRPr="008A7385">
        <w:rPr>
          <w:rFonts w:hint="eastAsia"/>
          <w:lang w:eastAsia="zh-CN"/>
        </w:rPr>
        <w:t>附件</w:t>
      </w:r>
      <w:r w:rsidRPr="008A7385">
        <w:rPr>
          <w:rFonts w:hint="eastAsia"/>
          <w:lang w:eastAsia="zh-CN"/>
        </w:rPr>
        <w:t>1</w:t>
      </w:r>
      <w:bookmarkEnd w:id="1702"/>
    </w:p>
    <w:p w14:paraId="4827B41E" w14:textId="77777777" w:rsidR="00404233" w:rsidRPr="008A7385" w:rsidRDefault="00404233" w:rsidP="00404233">
      <w:pPr>
        <w:pStyle w:val="Annextitle"/>
        <w:rPr>
          <w:lang w:eastAsia="zh-CN"/>
        </w:rPr>
      </w:pPr>
      <w:r w:rsidRPr="008A7385">
        <w:rPr>
          <w:rFonts w:hint="eastAsia"/>
          <w:lang w:eastAsia="zh-CN"/>
        </w:rPr>
        <w:t>任命</w:t>
      </w:r>
      <w:r w:rsidRPr="008A7385">
        <w:rPr>
          <w:lang w:eastAsia="zh-CN"/>
        </w:rPr>
        <w:t>理事会工作</w:t>
      </w:r>
      <w:r w:rsidRPr="008A7385">
        <w:rPr>
          <w:rFonts w:hint="eastAsia"/>
          <w:lang w:eastAsia="zh-CN"/>
        </w:rPr>
        <w:t>组</w:t>
      </w:r>
      <w:r w:rsidRPr="008A7385">
        <w:rPr>
          <w:lang w:eastAsia="zh-CN"/>
        </w:rPr>
        <w:t>正副主席的程序</w:t>
      </w:r>
    </w:p>
    <w:p w14:paraId="4827B41F" w14:textId="77777777" w:rsidR="00404233" w:rsidRPr="009B48C4" w:rsidRDefault="00404233" w:rsidP="007D0CC6">
      <w:pPr>
        <w:rPr>
          <w:rFonts w:eastAsiaTheme="minorEastAsia"/>
          <w:szCs w:val="24"/>
          <w:lang w:val="en-US" w:eastAsia="zh-CN"/>
        </w:rPr>
      </w:pPr>
      <w:r w:rsidRPr="008A7385">
        <w:rPr>
          <w:lang w:eastAsia="zh-CN"/>
        </w:rPr>
        <w:t>1</w:t>
      </w:r>
      <w:r w:rsidRPr="008A7385">
        <w:rPr>
          <w:lang w:eastAsia="zh-CN"/>
        </w:rPr>
        <w:tab/>
      </w:r>
      <w:r w:rsidRPr="008A7385">
        <w:rPr>
          <w:rFonts w:hint="eastAsia"/>
          <w:lang w:eastAsia="zh-CN"/>
        </w:rPr>
        <w:t>在</w:t>
      </w:r>
      <w:r w:rsidRPr="008A7385">
        <w:rPr>
          <w:lang w:eastAsia="zh-CN"/>
        </w:rPr>
        <w:t>全权代表大会或理事会做出成立理事会工作组的决定后，秘书长将</w:t>
      </w:r>
      <w:r w:rsidRPr="008A7385">
        <w:rPr>
          <w:rFonts w:hint="eastAsia"/>
          <w:lang w:eastAsia="zh-CN"/>
        </w:rPr>
        <w:t>与</w:t>
      </w:r>
      <w:r w:rsidRPr="008A7385">
        <w:rPr>
          <w:lang w:eastAsia="zh-CN"/>
        </w:rPr>
        <w:t>成员国磋商，制定并在理事会网页上发布</w:t>
      </w:r>
      <w:r w:rsidRPr="008A7385">
        <w:rPr>
          <w:rFonts w:hint="eastAsia"/>
          <w:lang w:eastAsia="zh-CN"/>
        </w:rPr>
        <w:t>每一</w:t>
      </w:r>
      <w:r w:rsidRPr="008A7385">
        <w:rPr>
          <w:lang w:eastAsia="zh-CN"/>
        </w:rPr>
        <w:t>工作组正副主席</w:t>
      </w:r>
      <w:r w:rsidRPr="008A7385">
        <w:rPr>
          <w:rFonts w:hint="eastAsia"/>
          <w:lang w:eastAsia="zh-CN"/>
        </w:rPr>
        <w:t>候选</w:t>
      </w:r>
      <w:r w:rsidRPr="008A7385">
        <w:rPr>
          <w:lang w:eastAsia="zh-CN"/>
        </w:rPr>
        <w:t>人名单及其个人资料。</w:t>
      </w:r>
      <w:r w:rsidR="007D0CC6">
        <w:rPr>
          <w:rStyle w:val="FootnoteReference"/>
          <w:szCs w:val="24"/>
          <w:lang w:eastAsia="zh-CN"/>
        </w:rPr>
        <w:footnoteReference w:customMarkFollows="1" w:id="10"/>
        <w:t>1</w:t>
      </w:r>
    </w:p>
    <w:p w14:paraId="4827B420" w14:textId="77777777" w:rsidR="00404233" w:rsidRPr="008A7385" w:rsidRDefault="00404233" w:rsidP="00404233">
      <w:pPr>
        <w:rPr>
          <w:lang w:eastAsia="zh-CN"/>
        </w:rPr>
      </w:pPr>
      <w:r w:rsidRPr="008A7385">
        <w:rPr>
          <w:lang w:eastAsia="zh-CN"/>
        </w:rPr>
        <w:t>2</w:t>
      </w:r>
      <w:r w:rsidRPr="008A7385">
        <w:rPr>
          <w:lang w:eastAsia="zh-CN"/>
        </w:rPr>
        <w:tab/>
      </w:r>
      <w:r w:rsidRPr="008A7385">
        <w:rPr>
          <w:rFonts w:hint="eastAsia"/>
          <w:lang w:eastAsia="zh-CN"/>
        </w:rPr>
        <w:t>须</w:t>
      </w:r>
      <w:r w:rsidRPr="008A7385">
        <w:rPr>
          <w:lang w:eastAsia="zh-CN"/>
        </w:rPr>
        <w:t>在</w:t>
      </w:r>
      <w:r w:rsidRPr="008A7385">
        <w:rPr>
          <w:rFonts w:hint="eastAsia"/>
          <w:lang w:eastAsia="zh-CN"/>
        </w:rPr>
        <w:t>相</w:t>
      </w:r>
      <w:r w:rsidRPr="008A7385">
        <w:rPr>
          <w:lang w:eastAsia="zh-CN"/>
        </w:rPr>
        <w:t>应理事会会议（</w:t>
      </w:r>
      <w:r w:rsidRPr="008A7385">
        <w:rPr>
          <w:rFonts w:hint="eastAsia"/>
          <w:lang w:eastAsia="zh-CN"/>
        </w:rPr>
        <w:t>紧接</w:t>
      </w:r>
      <w:r w:rsidRPr="008A7385">
        <w:rPr>
          <w:lang w:eastAsia="zh-CN"/>
        </w:rPr>
        <w:t>全权代表大会之后的理事会会议或做出成立</w:t>
      </w:r>
      <w:r w:rsidRPr="008A7385">
        <w:rPr>
          <w:rFonts w:hint="eastAsia"/>
          <w:lang w:eastAsia="zh-CN"/>
        </w:rPr>
        <w:t>CWG</w:t>
      </w:r>
      <w:r w:rsidRPr="008A7385">
        <w:rPr>
          <w:rFonts w:hint="eastAsia"/>
          <w:lang w:eastAsia="zh-CN"/>
        </w:rPr>
        <w:t>的</w:t>
      </w:r>
      <w:r w:rsidRPr="008A7385">
        <w:rPr>
          <w:lang w:eastAsia="zh-CN"/>
        </w:rPr>
        <w:t>理事会会议）</w:t>
      </w:r>
      <w:r w:rsidRPr="008A7385">
        <w:rPr>
          <w:rFonts w:hint="eastAsia"/>
          <w:lang w:eastAsia="zh-CN"/>
        </w:rPr>
        <w:t>上</w:t>
      </w:r>
      <w:r w:rsidRPr="008A7385">
        <w:rPr>
          <w:lang w:eastAsia="zh-CN"/>
        </w:rPr>
        <w:t>做出任命决定，同时考虑到候选人的能力并</w:t>
      </w:r>
      <w:r w:rsidRPr="008A7385">
        <w:rPr>
          <w:rFonts w:hint="eastAsia"/>
          <w:lang w:eastAsia="zh-CN"/>
        </w:rPr>
        <w:t>需尽可能</w:t>
      </w:r>
      <w:r w:rsidRPr="008A7385">
        <w:rPr>
          <w:lang w:eastAsia="zh-CN"/>
        </w:rPr>
        <w:t>促进实现平等</w:t>
      </w:r>
      <w:r w:rsidRPr="008A7385">
        <w:rPr>
          <w:rFonts w:hint="eastAsia"/>
          <w:lang w:eastAsia="zh-CN"/>
        </w:rPr>
        <w:t>地域</w:t>
      </w:r>
      <w:r w:rsidRPr="008A7385">
        <w:rPr>
          <w:lang w:eastAsia="zh-CN"/>
        </w:rPr>
        <w:t>分配和性别平衡</w:t>
      </w:r>
      <w:r w:rsidRPr="008A7385">
        <w:rPr>
          <w:rFonts w:hint="eastAsia"/>
          <w:lang w:eastAsia="zh-CN"/>
        </w:rPr>
        <w:t>。</w:t>
      </w:r>
    </w:p>
    <w:p w14:paraId="4827B421" w14:textId="77777777" w:rsidR="00404233" w:rsidRPr="009B48C4" w:rsidRDefault="00404233" w:rsidP="00404233">
      <w:pPr>
        <w:rPr>
          <w:rFonts w:eastAsiaTheme="minorEastAsia"/>
          <w:lang w:eastAsia="zh-CN"/>
        </w:rPr>
      </w:pPr>
      <w:r w:rsidRPr="008A7385">
        <w:rPr>
          <w:lang w:eastAsia="zh-CN"/>
        </w:rPr>
        <w:t>3</w:t>
      </w:r>
      <w:r w:rsidRPr="008A7385">
        <w:rPr>
          <w:lang w:eastAsia="zh-CN"/>
        </w:rPr>
        <w:tab/>
      </w:r>
      <w:r w:rsidRPr="008A7385">
        <w:rPr>
          <w:rFonts w:hint="eastAsia"/>
          <w:lang w:eastAsia="zh-CN"/>
        </w:rPr>
        <w:t>如果</w:t>
      </w:r>
      <w:r w:rsidRPr="008A7385">
        <w:rPr>
          <w:lang w:eastAsia="zh-CN"/>
        </w:rPr>
        <w:t>某一</w:t>
      </w:r>
      <w:r w:rsidRPr="008A7385">
        <w:rPr>
          <w:rFonts w:hint="eastAsia"/>
          <w:lang w:eastAsia="zh-CN"/>
        </w:rPr>
        <w:t>CWG</w:t>
      </w:r>
      <w:r w:rsidRPr="008A7385">
        <w:rPr>
          <w:rFonts w:hint="eastAsia"/>
          <w:lang w:eastAsia="zh-CN"/>
        </w:rPr>
        <w:t>主席</w:t>
      </w:r>
      <w:r w:rsidRPr="008A7385">
        <w:rPr>
          <w:lang w:eastAsia="zh-CN"/>
        </w:rPr>
        <w:t>无法继续从事工作，则按照惯例从该</w:t>
      </w:r>
      <w:r w:rsidRPr="008A7385">
        <w:rPr>
          <w:rFonts w:hint="eastAsia"/>
          <w:lang w:eastAsia="zh-CN"/>
        </w:rPr>
        <w:t>CWG</w:t>
      </w:r>
      <w:r w:rsidRPr="008A7385">
        <w:rPr>
          <w:rFonts w:hint="eastAsia"/>
          <w:lang w:eastAsia="zh-CN"/>
        </w:rPr>
        <w:t>的</w:t>
      </w:r>
      <w:r w:rsidRPr="008A7385">
        <w:rPr>
          <w:lang w:eastAsia="zh-CN"/>
        </w:rPr>
        <w:t>现有副主席中任命一位新的主席；其</w:t>
      </w:r>
      <w:r w:rsidRPr="008A7385">
        <w:rPr>
          <w:rFonts w:hint="eastAsia"/>
          <w:lang w:eastAsia="zh-CN"/>
        </w:rPr>
        <w:t>“部分”任期</w:t>
      </w:r>
      <w:r w:rsidRPr="008A7385">
        <w:rPr>
          <w:lang w:eastAsia="zh-CN"/>
        </w:rPr>
        <w:t>不被计入下一次任期之</w:t>
      </w:r>
      <w:r w:rsidRPr="008A7385">
        <w:rPr>
          <w:rFonts w:hint="eastAsia"/>
          <w:lang w:eastAsia="zh-CN"/>
        </w:rPr>
        <w:t>中</w:t>
      </w:r>
      <w:r w:rsidRPr="008A7385">
        <w:rPr>
          <w:lang w:eastAsia="zh-CN"/>
        </w:rPr>
        <w:t>。</w:t>
      </w:r>
    </w:p>
    <w:p w14:paraId="4827B422" w14:textId="77777777" w:rsidR="0082299F" w:rsidRDefault="0082299F">
      <w:pPr>
        <w:tabs>
          <w:tab w:val="clear" w:pos="794"/>
          <w:tab w:val="clear" w:pos="1191"/>
          <w:tab w:val="clear" w:pos="1588"/>
          <w:tab w:val="clear" w:pos="1985"/>
        </w:tabs>
        <w:overflowPunct/>
        <w:autoSpaceDE/>
        <w:autoSpaceDN/>
        <w:adjustRightInd/>
        <w:spacing w:before="0"/>
        <w:jc w:val="left"/>
        <w:textAlignment w:val="auto"/>
        <w:rPr>
          <w:caps/>
          <w:sz w:val="28"/>
          <w:lang w:eastAsia="zh-CN"/>
        </w:rPr>
      </w:pPr>
      <w:bookmarkStart w:id="1703" w:name="_Toc531706989"/>
      <w:r>
        <w:rPr>
          <w:lang w:eastAsia="zh-CN"/>
        </w:rPr>
        <w:br w:type="page"/>
      </w:r>
    </w:p>
    <w:p w14:paraId="4827B423" w14:textId="77777777" w:rsidR="00404233" w:rsidRPr="008A7385" w:rsidRDefault="00404233" w:rsidP="00404233">
      <w:pPr>
        <w:pStyle w:val="AnnexNo"/>
        <w:rPr>
          <w:lang w:eastAsia="zh-CN"/>
        </w:rPr>
      </w:pPr>
      <w:r w:rsidRPr="008A7385">
        <w:rPr>
          <w:rFonts w:hint="eastAsia"/>
          <w:lang w:eastAsia="zh-CN"/>
        </w:rPr>
        <w:lastRenderedPageBreak/>
        <w:t>附件</w:t>
      </w:r>
      <w:r w:rsidRPr="008A7385">
        <w:rPr>
          <w:rFonts w:hint="eastAsia"/>
          <w:lang w:eastAsia="zh-CN"/>
        </w:rPr>
        <w:t>2</w:t>
      </w:r>
      <w:bookmarkEnd w:id="1703"/>
    </w:p>
    <w:p w14:paraId="4827B424" w14:textId="77777777" w:rsidR="00404233" w:rsidRPr="008A7385" w:rsidRDefault="00404233" w:rsidP="00404233">
      <w:pPr>
        <w:pStyle w:val="Annextitle"/>
        <w:rPr>
          <w:lang w:eastAsia="zh-CN"/>
        </w:rPr>
      </w:pPr>
      <w:r w:rsidRPr="008A7385">
        <w:rPr>
          <w:lang w:eastAsia="zh-CN"/>
        </w:rPr>
        <w:t>正副</w:t>
      </w:r>
      <w:r w:rsidRPr="008A7385">
        <w:rPr>
          <w:rFonts w:hint="eastAsia"/>
          <w:lang w:eastAsia="zh-CN"/>
        </w:rPr>
        <w:t>主席的资格</w:t>
      </w:r>
    </w:p>
    <w:p w14:paraId="4827B425" w14:textId="77777777" w:rsidR="00404233" w:rsidRPr="008A7385" w:rsidRDefault="00404233" w:rsidP="00404233">
      <w:pPr>
        <w:ind w:firstLineChars="200" w:firstLine="480"/>
        <w:rPr>
          <w:lang w:eastAsia="zh-CN"/>
        </w:rPr>
      </w:pPr>
      <w:r w:rsidRPr="008A7385">
        <w:rPr>
          <w:rFonts w:hint="eastAsia"/>
          <w:lang w:eastAsia="zh-CN"/>
        </w:rPr>
        <w:t>在</w:t>
      </w:r>
      <w:r w:rsidRPr="008A7385">
        <w:rPr>
          <w:lang w:eastAsia="zh-CN"/>
        </w:rPr>
        <w:t>任命正副主席时，</w:t>
      </w:r>
      <w:r w:rsidRPr="008A7385">
        <w:rPr>
          <w:rFonts w:hint="eastAsia"/>
          <w:lang w:eastAsia="zh-CN"/>
        </w:rPr>
        <w:t>亦</w:t>
      </w:r>
      <w:r w:rsidRPr="008A7385">
        <w:rPr>
          <w:lang w:eastAsia="zh-CN"/>
        </w:rPr>
        <w:t>须特别考虑到下列有关能力和资格的资料：</w:t>
      </w:r>
    </w:p>
    <w:p w14:paraId="4827B426" w14:textId="77777777" w:rsidR="00404233" w:rsidRPr="008A7385" w:rsidRDefault="00404233" w:rsidP="00404233">
      <w:pPr>
        <w:pStyle w:val="enumlev1"/>
        <w:rPr>
          <w:lang w:eastAsia="zh-CN"/>
        </w:rPr>
      </w:pPr>
      <w:r w:rsidRPr="008A7385">
        <w:rPr>
          <w:lang w:eastAsia="zh-CN"/>
        </w:rPr>
        <w:t>–</w:t>
      </w:r>
      <w:r w:rsidRPr="008A7385">
        <w:rPr>
          <w:lang w:eastAsia="zh-CN"/>
        </w:rPr>
        <w:tab/>
      </w:r>
      <w:r w:rsidRPr="008A7385">
        <w:rPr>
          <w:rFonts w:hint="eastAsia"/>
          <w:lang w:eastAsia="zh-CN"/>
        </w:rPr>
        <w:t>在</w:t>
      </w:r>
      <w:r w:rsidRPr="008A7385">
        <w:rPr>
          <w:lang w:eastAsia="zh-CN"/>
        </w:rPr>
        <w:t>相应领域的知识和经验</w:t>
      </w:r>
      <w:r w:rsidRPr="008A7385">
        <w:rPr>
          <w:rFonts w:hint="eastAsia"/>
          <w:lang w:eastAsia="zh-CN"/>
        </w:rPr>
        <w:t>；</w:t>
      </w:r>
    </w:p>
    <w:p w14:paraId="4827B427" w14:textId="77777777" w:rsidR="00404233" w:rsidRPr="008A7385" w:rsidRDefault="00404233" w:rsidP="00404233">
      <w:pPr>
        <w:pStyle w:val="enumlev1"/>
        <w:rPr>
          <w:lang w:eastAsia="zh-CN"/>
        </w:rPr>
      </w:pPr>
      <w:r w:rsidRPr="008A7385">
        <w:rPr>
          <w:lang w:eastAsia="zh-CN"/>
        </w:rPr>
        <w:t>–</w:t>
      </w:r>
      <w:r w:rsidRPr="008A7385">
        <w:rPr>
          <w:lang w:eastAsia="zh-CN"/>
        </w:rPr>
        <w:tab/>
      </w:r>
      <w:r w:rsidRPr="008A7385">
        <w:rPr>
          <w:rFonts w:hint="eastAsia"/>
          <w:lang w:eastAsia="zh-CN"/>
        </w:rPr>
        <w:t>在国际电联会议和其他政府间组织</w:t>
      </w:r>
      <w:r w:rsidRPr="008A7385">
        <w:rPr>
          <w:lang w:eastAsia="zh-CN"/>
        </w:rPr>
        <w:t>方面的经验</w:t>
      </w:r>
      <w:r w:rsidRPr="008A7385">
        <w:rPr>
          <w:rFonts w:hint="eastAsia"/>
          <w:lang w:eastAsia="zh-CN"/>
        </w:rPr>
        <w:t>；</w:t>
      </w:r>
    </w:p>
    <w:p w14:paraId="4827B428" w14:textId="77777777" w:rsidR="00404233" w:rsidRPr="008A7385" w:rsidRDefault="00404233" w:rsidP="00404233">
      <w:pPr>
        <w:pStyle w:val="enumlev1"/>
        <w:rPr>
          <w:lang w:eastAsia="zh-CN"/>
        </w:rPr>
      </w:pPr>
      <w:r w:rsidRPr="008A7385">
        <w:rPr>
          <w:lang w:eastAsia="zh-CN"/>
        </w:rPr>
        <w:t>–</w:t>
      </w:r>
      <w:r w:rsidRPr="008A7385">
        <w:rPr>
          <w:lang w:eastAsia="zh-CN"/>
        </w:rPr>
        <w:tab/>
      </w:r>
      <w:r w:rsidRPr="008A7385">
        <w:rPr>
          <w:rFonts w:hint="eastAsia"/>
          <w:lang w:eastAsia="zh-CN"/>
        </w:rPr>
        <w:t>管理</w:t>
      </w:r>
      <w:r w:rsidRPr="008A7385">
        <w:rPr>
          <w:lang w:eastAsia="zh-CN"/>
        </w:rPr>
        <w:t>技能</w:t>
      </w:r>
      <w:r w:rsidRPr="008A7385">
        <w:rPr>
          <w:rFonts w:hint="eastAsia"/>
          <w:lang w:eastAsia="zh-CN"/>
        </w:rPr>
        <w:t>；</w:t>
      </w:r>
    </w:p>
    <w:p w14:paraId="4827B429" w14:textId="77777777" w:rsidR="00404233" w:rsidRPr="008A7385" w:rsidRDefault="00404233" w:rsidP="00404233">
      <w:pPr>
        <w:pStyle w:val="enumlev1"/>
        <w:rPr>
          <w:lang w:eastAsia="zh-CN"/>
        </w:rPr>
      </w:pPr>
      <w:r w:rsidRPr="008A7385">
        <w:rPr>
          <w:lang w:eastAsia="zh-CN"/>
        </w:rPr>
        <w:t>–</w:t>
      </w:r>
      <w:r w:rsidRPr="008A7385">
        <w:rPr>
          <w:lang w:eastAsia="zh-CN"/>
        </w:rPr>
        <w:tab/>
      </w:r>
      <w:r w:rsidRPr="008A7385">
        <w:rPr>
          <w:rFonts w:hint="eastAsia"/>
          <w:lang w:eastAsia="zh-CN"/>
        </w:rPr>
        <w:t>立即</w:t>
      </w:r>
      <w:r w:rsidRPr="008A7385">
        <w:rPr>
          <w:lang w:eastAsia="zh-CN"/>
        </w:rPr>
        <w:t>开始履</w:t>
      </w:r>
      <w:r w:rsidRPr="008A7385">
        <w:rPr>
          <w:rFonts w:hint="eastAsia"/>
          <w:lang w:eastAsia="zh-CN"/>
        </w:rPr>
        <w:t>新</w:t>
      </w:r>
      <w:r w:rsidRPr="008A7385">
        <w:rPr>
          <w:lang w:eastAsia="zh-CN"/>
        </w:rPr>
        <w:t>并在下一届全权代表大会或</w:t>
      </w:r>
      <w:r w:rsidRPr="008A7385">
        <w:rPr>
          <w:rFonts w:hint="eastAsia"/>
          <w:lang w:eastAsia="zh-CN"/>
        </w:rPr>
        <w:t>CWG</w:t>
      </w:r>
      <w:r w:rsidRPr="008A7385">
        <w:rPr>
          <w:rFonts w:hint="eastAsia"/>
          <w:lang w:eastAsia="zh-CN"/>
        </w:rPr>
        <w:t>终止</w:t>
      </w:r>
      <w:r w:rsidRPr="008A7385">
        <w:rPr>
          <w:lang w:eastAsia="zh-CN"/>
        </w:rPr>
        <w:t>之前继续工作的能力</w:t>
      </w:r>
      <w:r w:rsidRPr="008A7385">
        <w:rPr>
          <w:rFonts w:hint="eastAsia"/>
          <w:lang w:eastAsia="zh-CN"/>
        </w:rPr>
        <w:t>；</w:t>
      </w:r>
    </w:p>
    <w:p w14:paraId="4827B42A" w14:textId="77777777" w:rsidR="00404233" w:rsidRPr="008A7385" w:rsidRDefault="00404233" w:rsidP="00404233">
      <w:pPr>
        <w:pStyle w:val="enumlev1"/>
        <w:rPr>
          <w:lang w:eastAsia="zh-CN"/>
        </w:rPr>
      </w:pPr>
      <w:r w:rsidRPr="008A7385">
        <w:rPr>
          <w:lang w:eastAsia="zh-CN"/>
        </w:rPr>
        <w:t>–</w:t>
      </w:r>
      <w:r w:rsidRPr="008A7385">
        <w:rPr>
          <w:lang w:eastAsia="zh-CN"/>
        </w:rPr>
        <w:tab/>
      </w:r>
      <w:r w:rsidRPr="008A7385">
        <w:rPr>
          <w:rFonts w:hint="eastAsia"/>
          <w:lang w:eastAsia="zh-CN"/>
        </w:rPr>
        <w:t>接任计划</w:t>
      </w:r>
      <w:r w:rsidRPr="008A7385">
        <w:rPr>
          <w:lang w:eastAsia="zh-CN"/>
        </w:rPr>
        <w:t>。</w:t>
      </w:r>
    </w:p>
    <w:p w14:paraId="4827B42B" w14:textId="77777777" w:rsidR="00404233" w:rsidRPr="008A7385" w:rsidRDefault="00404233" w:rsidP="00404233">
      <w:pPr>
        <w:ind w:firstLineChars="200" w:firstLine="480"/>
        <w:rPr>
          <w:lang w:eastAsia="zh-CN"/>
        </w:rPr>
      </w:pPr>
      <w:r w:rsidRPr="008A7385">
        <w:rPr>
          <w:rFonts w:hint="eastAsia"/>
          <w:lang w:eastAsia="zh-CN"/>
        </w:rPr>
        <w:t>秘书长</w:t>
      </w:r>
      <w:r w:rsidRPr="008A7385">
        <w:rPr>
          <w:lang w:eastAsia="zh-CN"/>
        </w:rPr>
        <w:t>发布的个人履历资料中应特别包含上述资格。</w:t>
      </w:r>
    </w:p>
    <w:p w14:paraId="4827B42C" w14:textId="77777777" w:rsidR="001D06D0" w:rsidRPr="00C76172" w:rsidRDefault="002D538E" w:rsidP="00404233">
      <w:pPr>
        <w:pStyle w:val="Endtext"/>
        <w:rPr>
          <w:lang w:val="fr-FR" w:eastAsia="zh-CN"/>
        </w:rPr>
      </w:pPr>
      <w:r w:rsidRPr="005901EF">
        <w:rPr>
          <w:rFonts w:ascii="STKaiti" w:hAnsi="SimSun" w:hint="eastAsia"/>
          <w:lang w:eastAsia="zh-CN"/>
        </w:rPr>
        <w:t>参阅：</w:t>
      </w:r>
      <w:r w:rsidRPr="005901EF">
        <w:rPr>
          <w:rFonts w:ascii="STKaiti" w:hAnsi="SimSun" w:hint="eastAsia"/>
          <w:lang w:eastAsia="zh-CN"/>
        </w:rPr>
        <w:tab/>
      </w:r>
      <w:hyperlink r:id="rId309" w:history="1">
        <w:r w:rsidR="001D06D0" w:rsidRPr="00705BD5">
          <w:rPr>
            <w:rStyle w:val="Hyperlink"/>
            <w:lang w:val="fr-FR" w:eastAsia="zh-CN"/>
          </w:rPr>
          <w:t>C11/96</w:t>
        </w:r>
      </w:hyperlink>
      <w:r w:rsidR="001D06D0">
        <w:rPr>
          <w:rFonts w:hint="eastAsia"/>
          <w:lang w:val="fr-FR" w:eastAsia="zh-CN"/>
        </w:rPr>
        <w:t>和</w:t>
      </w:r>
      <w:hyperlink r:id="rId310" w:history="1">
        <w:r w:rsidR="001D06D0" w:rsidRPr="00705BD5">
          <w:rPr>
            <w:rStyle w:val="Hyperlink"/>
            <w:lang w:val="fr-FR" w:eastAsia="zh-CN"/>
          </w:rPr>
          <w:t>C11/118</w:t>
        </w:r>
      </w:hyperlink>
      <w:r w:rsidR="00824519">
        <w:rPr>
          <w:rFonts w:hint="eastAsia"/>
          <w:lang w:val="en-US" w:eastAsia="zh-CN"/>
        </w:rPr>
        <w:t>、</w:t>
      </w:r>
      <w:hyperlink r:id="rId311" w:history="1">
        <w:r w:rsidR="00404233" w:rsidRPr="00310890">
          <w:rPr>
            <w:rStyle w:val="Hyperlink"/>
            <w:lang w:val="en-US" w:eastAsia="zh-CN"/>
          </w:rPr>
          <w:t>C16/122</w:t>
        </w:r>
      </w:hyperlink>
      <w:r w:rsidR="00404233">
        <w:rPr>
          <w:rFonts w:hint="eastAsia"/>
          <w:lang w:val="en-US" w:eastAsia="zh-CN"/>
        </w:rPr>
        <w:t>和</w:t>
      </w:r>
      <w:hyperlink r:id="rId312" w:history="1">
        <w:r w:rsidR="00404233" w:rsidRPr="00310890">
          <w:rPr>
            <w:rStyle w:val="Hyperlink"/>
            <w:lang w:val="en-US" w:eastAsia="zh-CN"/>
          </w:rPr>
          <w:t>C16/134</w:t>
        </w:r>
      </w:hyperlink>
      <w:r w:rsidR="001D06D0">
        <w:rPr>
          <w:rFonts w:hint="eastAsia"/>
          <w:lang w:val="fr-FR" w:eastAsia="zh-CN"/>
        </w:rPr>
        <w:t>号</w:t>
      </w:r>
      <w:r w:rsidR="001D06D0">
        <w:rPr>
          <w:lang w:val="fr-FR" w:eastAsia="zh-CN"/>
        </w:rPr>
        <w:t>文件。</w:t>
      </w:r>
    </w:p>
    <w:p w14:paraId="4827B42D" w14:textId="77777777" w:rsidR="0082299F" w:rsidRDefault="0082299F" w:rsidP="0082299F">
      <w:pPr>
        <w:jc w:val="center"/>
        <w:rPr>
          <w:lang w:eastAsia="zh-CN"/>
        </w:rPr>
      </w:pPr>
      <w:bookmarkStart w:id="1704" w:name="_Toc424117035"/>
      <w:bookmarkStart w:id="1705" w:name="_Toc531706385"/>
      <w:bookmarkStart w:id="1706" w:name="_Toc531706990"/>
      <w:bookmarkStart w:id="1707" w:name="_Toc531768473"/>
      <w:bookmarkStart w:id="1708" w:name="_Toc311469613"/>
      <w:r>
        <w:rPr>
          <w:lang w:eastAsia="zh-CN"/>
        </w:rPr>
        <w:t>______________</w:t>
      </w:r>
    </w:p>
    <w:p w14:paraId="4827B42E" w14:textId="77777777" w:rsidR="001D06D0" w:rsidRPr="001D06D0" w:rsidRDefault="002D538E" w:rsidP="00CA7362">
      <w:pPr>
        <w:pStyle w:val="ResNo"/>
        <w:outlineLvl w:val="0"/>
        <w:rPr>
          <w:lang w:eastAsia="zh-CN"/>
        </w:rPr>
      </w:pPr>
      <w:bookmarkStart w:id="1709" w:name="_Toc16085793"/>
      <w:bookmarkStart w:id="1710" w:name="_Toc86395596"/>
      <w:r w:rsidRPr="001D06D0">
        <w:rPr>
          <w:rFonts w:hint="eastAsia"/>
          <w:lang w:eastAsia="zh-CN"/>
        </w:rPr>
        <w:t>第</w:t>
      </w:r>
      <w:r w:rsidRPr="001D06D0">
        <w:rPr>
          <w:rFonts w:hint="eastAsia"/>
          <w:lang w:eastAsia="zh-CN"/>
        </w:rPr>
        <w:t>13</w:t>
      </w:r>
      <w:r w:rsidRPr="001D06D0">
        <w:rPr>
          <w:lang w:eastAsia="zh-CN"/>
        </w:rPr>
        <w:t>34</w:t>
      </w:r>
      <w:r w:rsidRPr="001D06D0">
        <w:rPr>
          <w:rFonts w:hint="eastAsia"/>
          <w:lang w:eastAsia="zh-CN"/>
        </w:rPr>
        <w:t>号决议</w:t>
      </w:r>
      <w:r w:rsidR="001D06D0">
        <w:rPr>
          <w:rFonts w:hint="eastAsia"/>
          <w:lang w:eastAsia="zh-CN"/>
        </w:rPr>
        <w:t>（</w:t>
      </w:r>
      <w:r w:rsidR="001D06D0" w:rsidRPr="001D06D0">
        <w:rPr>
          <w:lang w:eastAsia="zh-CN"/>
        </w:rPr>
        <w:t>C11</w:t>
      </w:r>
      <w:r w:rsidR="001D06D0">
        <w:rPr>
          <w:rFonts w:hint="eastAsia"/>
          <w:lang w:eastAsia="zh-CN"/>
        </w:rPr>
        <w:t>，</w:t>
      </w:r>
      <w:r w:rsidR="001D06D0" w:rsidRPr="001D06D0">
        <w:rPr>
          <w:rFonts w:hint="eastAsia"/>
          <w:lang w:eastAsia="zh-CN"/>
        </w:rPr>
        <w:t>最后修正</w:t>
      </w:r>
      <w:r w:rsidR="001D06D0" w:rsidRPr="001D06D0">
        <w:rPr>
          <w:lang w:eastAsia="zh-CN"/>
        </w:rPr>
        <w:t>C15</w:t>
      </w:r>
      <w:r w:rsidR="001D06D0">
        <w:rPr>
          <w:rFonts w:hint="eastAsia"/>
          <w:lang w:eastAsia="zh-CN"/>
        </w:rPr>
        <w:t>）</w:t>
      </w:r>
      <w:bookmarkEnd w:id="1704"/>
      <w:bookmarkEnd w:id="1705"/>
      <w:bookmarkEnd w:id="1706"/>
      <w:bookmarkEnd w:id="1707"/>
      <w:bookmarkEnd w:id="1709"/>
      <w:bookmarkEnd w:id="1710"/>
    </w:p>
    <w:p w14:paraId="4827B42F" w14:textId="77777777" w:rsidR="002D538E" w:rsidRPr="001D06D0" w:rsidRDefault="00B64353" w:rsidP="0082299F">
      <w:pPr>
        <w:pStyle w:val="Restitle"/>
        <w:rPr>
          <w:lang w:eastAsia="zh-CN"/>
        </w:rPr>
      </w:pPr>
      <w:bookmarkStart w:id="1711" w:name="_Toc424116239"/>
      <w:bookmarkStart w:id="1712" w:name="_Toc424117036"/>
      <w:bookmarkStart w:id="1713" w:name="_Toc460248149"/>
      <w:bookmarkStart w:id="1714" w:name="_Toc531706386"/>
      <w:bookmarkStart w:id="1715" w:name="_Toc531706991"/>
      <w:bookmarkStart w:id="1716" w:name="_Toc531768474"/>
      <w:bookmarkStart w:id="1717" w:name="_Toc16085794"/>
      <w:bookmarkStart w:id="1718" w:name="_Toc86395597"/>
      <w:r w:rsidRPr="0082299F">
        <w:rPr>
          <w:rFonts w:hint="eastAsia"/>
          <w:lang w:eastAsia="zh-CN"/>
        </w:rPr>
        <w:t>国际电联在全面审查信息社会世界高峰会议</w:t>
      </w:r>
      <w:r w:rsidR="001D06D0">
        <w:rPr>
          <w:lang w:eastAsia="zh-CN"/>
        </w:rPr>
        <w:br/>
      </w:r>
      <w:r w:rsidRPr="001D06D0">
        <w:rPr>
          <w:rFonts w:hint="eastAsia"/>
          <w:lang w:eastAsia="zh-CN"/>
        </w:rPr>
        <w:t>成果落实工作中的作用</w:t>
      </w:r>
      <w:bookmarkEnd w:id="1708"/>
      <w:bookmarkEnd w:id="1711"/>
      <w:bookmarkEnd w:id="1712"/>
      <w:bookmarkEnd w:id="1713"/>
      <w:bookmarkEnd w:id="1714"/>
      <w:bookmarkEnd w:id="1715"/>
      <w:bookmarkEnd w:id="1716"/>
      <w:bookmarkEnd w:id="1717"/>
      <w:bookmarkEnd w:id="1718"/>
    </w:p>
    <w:p w14:paraId="4827B430" w14:textId="77777777" w:rsidR="001D06D0" w:rsidRPr="00D92B60" w:rsidRDefault="001D06D0" w:rsidP="00364022">
      <w:pPr>
        <w:pStyle w:val="Normalaftertitle"/>
        <w:rPr>
          <w:lang w:val="en-US" w:eastAsia="zh-CN"/>
        </w:rPr>
      </w:pPr>
      <w:r>
        <w:rPr>
          <w:rFonts w:hint="eastAsia"/>
          <w:lang w:val="en-US" w:eastAsia="zh-CN"/>
        </w:rPr>
        <w:t>理事会</w:t>
      </w:r>
    </w:p>
    <w:p w14:paraId="4827B431" w14:textId="77777777" w:rsidR="001D06D0" w:rsidRPr="0075268B" w:rsidRDefault="001D06D0" w:rsidP="001D06D0">
      <w:pPr>
        <w:pStyle w:val="Call"/>
        <w:rPr>
          <w:lang w:eastAsia="zh-CN"/>
        </w:rPr>
      </w:pPr>
      <w:r w:rsidRPr="0075268B">
        <w:rPr>
          <w:rFonts w:hint="eastAsia"/>
          <w:lang w:eastAsia="zh-CN"/>
        </w:rPr>
        <w:t>忆及</w:t>
      </w:r>
    </w:p>
    <w:p w14:paraId="4827B432" w14:textId="77777777" w:rsidR="001D06D0" w:rsidRDefault="001D06D0" w:rsidP="001D06D0">
      <w:pPr>
        <w:rPr>
          <w:lang w:eastAsia="zh-CN"/>
        </w:rPr>
      </w:pPr>
      <w:r>
        <w:rPr>
          <w:i/>
          <w:iCs/>
          <w:lang w:eastAsia="zh-CN"/>
        </w:rPr>
        <w:t>a)</w:t>
      </w:r>
      <w:r>
        <w:rPr>
          <w:lang w:eastAsia="zh-CN"/>
        </w:rPr>
        <w:tab/>
      </w:r>
      <w:r>
        <w:rPr>
          <w:rFonts w:hint="eastAsia"/>
          <w:lang w:eastAsia="zh-CN"/>
        </w:rPr>
        <w:t>全权代表大会第</w:t>
      </w:r>
      <w:r>
        <w:rPr>
          <w:lang w:eastAsia="zh-CN"/>
        </w:rPr>
        <w:t>73</w:t>
      </w:r>
      <w:r>
        <w:rPr>
          <w:rFonts w:hint="eastAsia"/>
          <w:lang w:eastAsia="zh-CN"/>
        </w:rPr>
        <w:t>号决议（</w:t>
      </w:r>
      <w:r>
        <w:rPr>
          <w:lang w:eastAsia="zh-CN"/>
        </w:rPr>
        <w:t>1998</w:t>
      </w:r>
      <w:r>
        <w:rPr>
          <w:rFonts w:hint="eastAsia"/>
          <w:lang w:eastAsia="zh-CN"/>
        </w:rPr>
        <w:t>年，明尼阿波利斯），该决议有关召开信息社会世界高峰会议（</w:t>
      </w:r>
      <w:r>
        <w:rPr>
          <w:lang w:eastAsia="zh-CN"/>
        </w:rPr>
        <w:t>WSIS</w:t>
      </w:r>
      <w:r>
        <w:rPr>
          <w:rFonts w:hint="eastAsia"/>
          <w:lang w:eastAsia="zh-CN"/>
        </w:rPr>
        <w:t>）两个阶段会议的目标已经实现；</w:t>
      </w:r>
    </w:p>
    <w:p w14:paraId="4827B433" w14:textId="77777777" w:rsidR="001D06D0" w:rsidRDefault="001D06D0" w:rsidP="001D06D0">
      <w:pPr>
        <w:rPr>
          <w:lang w:eastAsia="zh-CN"/>
        </w:rPr>
      </w:pPr>
      <w:r w:rsidRPr="004F143D">
        <w:rPr>
          <w:i/>
          <w:iCs/>
          <w:spacing w:val="4"/>
          <w:lang w:eastAsia="zh-CN"/>
        </w:rPr>
        <w:t>b)</w:t>
      </w:r>
      <w:r w:rsidRPr="004F143D">
        <w:rPr>
          <w:spacing w:val="4"/>
          <w:lang w:eastAsia="zh-CN"/>
        </w:rPr>
        <w:tab/>
      </w:r>
      <w:r w:rsidRPr="004F143D">
        <w:rPr>
          <w:rFonts w:hint="eastAsia"/>
          <w:spacing w:val="4"/>
          <w:lang w:eastAsia="zh-CN"/>
        </w:rPr>
        <w:t>全权代表大会第</w:t>
      </w:r>
      <w:r w:rsidRPr="004F143D">
        <w:rPr>
          <w:spacing w:val="4"/>
          <w:lang w:eastAsia="zh-CN"/>
        </w:rPr>
        <w:t>140</w:t>
      </w:r>
      <w:r w:rsidRPr="004F143D">
        <w:rPr>
          <w:rFonts w:hint="eastAsia"/>
          <w:spacing w:val="4"/>
          <w:lang w:eastAsia="zh-CN"/>
        </w:rPr>
        <w:t>号决议（</w:t>
      </w:r>
      <w:r w:rsidRPr="004F143D">
        <w:rPr>
          <w:spacing w:val="4"/>
          <w:lang w:eastAsia="zh-CN"/>
        </w:rPr>
        <w:t>2014</w:t>
      </w:r>
      <w:r w:rsidRPr="004F143D">
        <w:rPr>
          <w:rFonts w:hint="eastAsia"/>
          <w:spacing w:val="4"/>
          <w:lang w:eastAsia="zh-CN"/>
        </w:rPr>
        <w:t>年，釜山，修订版）</w:t>
      </w:r>
      <w:r>
        <w:rPr>
          <w:rFonts w:hint="eastAsia"/>
          <w:lang w:eastAsia="zh-CN"/>
        </w:rPr>
        <w:t xml:space="preserve"> </w:t>
      </w:r>
      <w:r>
        <w:rPr>
          <w:lang w:eastAsia="zh-CN"/>
        </w:rPr>
        <w:t xml:space="preserve">– </w:t>
      </w:r>
      <w:r>
        <w:rPr>
          <w:rFonts w:hint="eastAsia"/>
          <w:lang w:eastAsia="zh-CN"/>
        </w:rPr>
        <w:t>国际电联在落实信息社会世界峰会成果方面的作用；</w:t>
      </w:r>
    </w:p>
    <w:p w14:paraId="4827B434" w14:textId="77777777" w:rsidR="001D06D0" w:rsidRDefault="001D06D0" w:rsidP="001D06D0">
      <w:pPr>
        <w:rPr>
          <w:lang w:eastAsia="zh-CN"/>
        </w:rPr>
      </w:pPr>
      <w:r>
        <w:rPr>
          <w:i/>
          <w:iCs/>
          <w:lang w:eastAsia="zh-CN"/>
        </w:rPr>
        <w:t>c)</w:t>
      </w:r>
      <w:r>
        <w:rPr>
          <w:lang w:eastAsia="zh-CN"/>
        </w:rPr>
        <w:tab/>
      </w:r>
      <w:r>
        <w:rPr>
          <w:rFonts w:hint="eastAsia"/>
          <w:lang w:eastAsia="zh-CN"/>
        </w:rPr>
        <w:t>第</w:t>
      </w:r>
      <w:r>
        <w:rPr>
          <w:lang w:eastAsia="zh-CN"/>
        </w:rPr>
        <w:t>172</w:t>
      </w:r>
      <w:r>
        <w:rPr>
          <w:rFonts w:hint="eastAsia"/>
          <w:lang w:eastAsia="zh-CN"/>
        </w:rPr>
        <w:t>号决议（</w:t>
      </w:r>
      <w:r>
        <w:rPr>
          <w:lang w:eastAsia="zh-CN"/>
        </w:rPr>
        <w:t>2010</w:t>
      </w:r>
      <w:r>
        <w:rPr>
          <w:rFonts w:hint="eastAsia"/>
          <w:lang w:eastAsia="zh-CN"/>
        </w:rPr>
        <w:t>年，瓜达拉哈拉）</w:t>
      </w:r>
      <w:r>
        <w:rPr>
          <w:rFonts w:hint="eastAsia"/>
          <w:lang w:eastAsia="zh-CN"/>
        </w:rPr>
        <w:t xml:space="preserve"> </w:t>
      </w:r>
      <w:r>
        <w:rPr>
          <w:lang w:eastAsia="zh-CN"/>
        </w:rPr>
        <w:t xml:space="preserve">– </w:t>
      </w:r>
      <w:r>
        <w:rPr>
          <w:rFonts w:hint="eastAsia"/>
          <w:lang w:eastAsia="zh-CN"/>
        </w:rPr>
        <w:t>落实信息社会世界峰会成果的全面审查；</w:t>
      </w:r>
    </w:p>
    <w:p w14:paraId="4827B435" w14:textId="77777777" w:rsidR="001D06D0" w:rsidRDefault="001D06D0" w:rsidP="001D06D0">
      <w:pPr>
        <w:rPr>
          <w:lang w:eastAsia="zh-CN"/>
        </w:rPr>
      </w:pPr>
      <w:r w:rsidRPr="00C23FAD">
        <w:rPr>
          <w:i/>
          <w:iCs/>
          <w:szCs w:val="24"/>
          <w:lang w:val="en-US" w:eastAsia="zh-CN"/>
        </w:rPr>
        <w:t>d)</w:t>
      </w:r>
      <w:r w:rsidRPr="00C050DD">
        <w:rPr>
          <w:szCs w:val="24"/>
          <w:lang w:val="en-US" w:eastAsia="zh-CN"/>
        </w:rPr>
        <w:tab/>
      </w:r>
      <w:r>
        <w:rPr>
          <w:rFonts w:hint="eastAsia"/>
          <w:szCs w:val="24"/>
          <w:lang w:val="en-US" w:eastAsia="zh-CN"/>
        </w:rPr>
        <w:t>全权</w:t>
      </w:r>
      <w:r>
        <w:rPr>
          <w:szCs w:val="24"/>
          <w:lang w:val="en-US" w:eastAsia="zh-CN"/>
        </w:rPr>
        <w:t>代表大会</w:t>
      </w:r>
      <w:r>
        <w:rPr>
          <w:rFonts w:hint="eastAsia"/>
          <w:szCs w:val="24"/>
          <w:lang w:val="en-US" w:eastAsia="zh-CN"/>
        </w:rPr>
        <w:t>第</w:t>
      </w:r>
      <w:r>
        <w:rPr>
          <w:rFonts w:hint="eastAsia"/>
          <w:szCs w:val="24"/>
          <w:lang w:val="en-US" w:eastAsia="zh-CN"/>
        </w:rPr>
        <w:t>200</w:t>
      </w:r>
      <w:r>
        <w:rPr>
          <w:rFonts w:hint="eastAsia"/>
          <w:szCs w:val="24"/>
          <w:lang w:val="en-US" w:eastAsia="zh-CN"/>
        </w:rPr>
        <w:t>号决议</w:t>
      </w:r>
      <w:r>
        <w:rPr>
          <w:szCs w:val="24"/>
          <w:lang w:val="en-US" w:eastAsia="zh-CN"/>
        </w:rPr>
        <w:t>（</w:t>
      </w:r>
      <w:r>
        <w:rPr>
          <w:rFonts w:hint="eastAsia"/>
          <w:szCs w:val="24"/>
          <w:lang w:val="en-US" w:eastAsia="zh-CN"/>
        </w:rPr>
        <w:t>2014</w:t>
      </w:r>
      <w:r>
        <w:rPr>
          <w:rFonts w:hint="eastAsia"/>
          <w:szCs w:val="24"/>
          <w:lang w:val="en-US" w:eastAsia="zh-CN"/>
        </w:rPr>
        <w:t>年</w:t>
      </w:r>
      <w:r>
        <w:rPr>
          <w:szCs w:val="24"/>
          <w:lang w:val="en-US" w:eastAsia="zh-CN"/>
        </w:rPr>
        <w:t>，</w:t>
      </w:r>
      <w:r>
        <w:rPr>
          <w:rFonts w:hint="eastAsia"/>
          <w:szCs w:val="24"/>
          <w:lang w:val="en-US" w:eastAsia="zh-CN"/>
        </w:rPr>
        <w:t>釜山</w:t>
      </w:r>
      <w:r>
        <w:rPr>
          <w:szCs w:val="24"/>
          <w:lang w:val="en-US" w:eastAsia="zh-CN"/>
        </w:rPr>
        <w:t>）</w:t>
      </w:r>
      <w:r>
        <w:rPr>
          <w:rFonts w:hint="eastAsia"/>
          <w:szCs w:val="24"/>
          <w:lang w:val="en-US" w:eastAsia="zh-CN"/>
        </w:rPr>
        <w:t>，标题为“</w:t>
      </w:r>
      <w:r w:rsidRPr="004F5332">
        <w:rPr>
          <w:rFonts w:hint="eastAsia"/>
          <w:szCs w:val="24"/>
          <w:lang w:val="en-US" w:eastAsia="zh-CN"/>
        </w:rPr>
        <w:t>促进全球电信</w:t>
      </w:r>
      <w:r w:rsidRPr="004F5332">
        <w:rPr>
          <w:rFonts w:hint="eastAsia"/>
          <w:szCs w:val="24"/>
          <w:lang w:val="en-US" w:eastAsia="zh-CN"/>
        </w:rPr>
        <w:t>/</w:t>
      </w:r>
      <w:r w:rsidRPr="004F5332">
        <w:rPr>
          <w:rFonts w:hint="eastAsia"/>
          <w:szCs w:val="24"/>
          <w:lang w:val="en-US" w:eastAsia="zh-CN"/>
        </w:rPr>
        <w:t>信息通信技术发展的</w:t>
      </w:r>
      <w:r>
        <w:rPr>
          <w:rFonts w:hint="eastAsia"/>
          <w:szCs w:val="24"/>
          <w:lang w:val="en-US" w:eastAsia="zh-CN"/>
        </w:rPr>
        <w:t>‘</w:t>
      </w:r>
      <w:r w:rsidRPr="004F5332">
        <w:rPr>
          <w:rFonts w:hint="eastAsia"/>
          <w:szCs w:val="24"/>
          <w:lang w:val="en-US" w:eastAsia="zh-CN"/>
        </w:rPr>
        <w:t>连通目标</w:t>
      </w:r>
      <w:r w:rsidRPr="004F5332">
        <w:rPr>
          <w:rFonts w:hint="eastAsia"/>
          <w:szCs w:val="24"/>
          <w:lang w:val="en-US" w:eastAsia="zh-CN"/>
        </w:rPr>
        <w:t>2020</w:t>
      </w:r>
      <w:r>
        <w:rPr>
          <w:rFonts w:hint="eastAsia"/>
          <w:szCs w:val="24"/>
          <w:lang w:val="en-US" w:eastAsia="zh-CN"/>
        </w:rPr>
        <w:t>’</w:t>
      </w:r>
      <w:r w:rsidRPr="004F5332">
        <w:rPr>
          <w:rFonts w:hint="eastAsia"/>
          <w:szCs w:val="24"/>
          <w:lang w:val="en-US" w:eastAsia="zh-CN"/>
        </w:rPr>
        <w:t>议程</w:t>
      </w:r>
      <w:r>
        <w:rPr>
          <w:rFonts w:hint="eastAsia"/>
          <w:szCs w:val="24"/>
          <w:lang w:val="en-US" w:eastAsia="zh-CN"/>
        </w:rPr>
        <w:t>”；</w:t>
      </w:r>
    </w:p>
    <w:p w14:paraId="4827B436" w14:textId="6738D3A2" w:rsidR="001D06D0" w:rsidRDefault="001D06D0" w:rsidP="001D06D0">
      <w:pPr>
        <w:rPr>
          <w:lang w:eastAsia="zh-CN"/>
        </w:rPr>
      </w:pPr>
      <w:r>
        <w:rPr>
          <w:i/>
          <w:iCs/>
          <w:lang w:eastAsia="zh-CN"/>
        </w:rPr>
        <w:t>e)</w:t>
      </w:r>
      <w:r>
        <w:rPr>
          <w:lang w:eastAsia="zh-CN"/>
        </w:rPr>
        <w:tab/>
      </w:r>
      <w:r>
        <w:rPr>
          <w:rFonts w:hint="eastAsia"/>
          <w:lang w:eastAsia="zh-CN"/>
        </w:rPr>
        <w:t>理事会第</w:t>
      </w:r>
      <w:r>
        <w:rPr>
          <w:lang w:eastAsia="zh-CN"/>
        </w:rPr>
        <w:t>1332</w:t>
      </w:r>
      <w:r>
        <w:rPr>
          <w:rFonts w:hint="eastAsia"/>
          <w:lang w:eastAsia="zh-CN"/>
        </w:rPr>
        <w:t>号决议（</w:t>
      </w:r>
      <w:r>
        <w:rPr>
          <w:lang w:eastAsia="zh-CN"/>
        </w:rPr>
        <w:t>2011</w:t>
      </w:r>
      <w:r>
        <w:rPr>
          <w:rFonts w:hint="eastAsia"/>
          <w:lang w:eastAsia="zh-CN"/>
        </w:rPr>
        <w:t>年</w:t>
      </w:r>
      <w:r w:rsidR="00952A1C">
        <w:rPr>
          <w:rFonts w:hint="eastAsia"/>
          <w:lang w:eastAsia="zh-CN"/>
        </w:rPr>
        <w:t>，</w:t>
      </w:r>
      <w:r>
        <w:rPr>
          <w:rFonts w:hint="eastAsia"/>
          <w:lang w:eastAsia="zh-CN"/>
        </w:rPr>
        <w:t>修</w:t>
      </w:r>
      <w:r w:rsidR="00952A1C">
        <w:rPr>
          <w:rFonts w:hint="eastAsia"/>
          <w:lang w:eastAsia="zh-CN"/>
        </w:rPr>
        <w:t>改</w:t>
      </w:r>
      <w:r>
        <w:rPr>
          <w:rFonts w:hint="eastAsia"/>
          <w:lang w:eastAsia="zh-CN"/>
        </w:rPr>
        <w:t>版）</w:t>
      </w:r>
      <w:r>
        <w:rPr>
          <w:rFonts w:hint="eastAsia"/>
          <w:lang w:eastAsia="zh-CN"/>
        </w:rPr>
        <w:t xml:space="preserve"> </w:t>
      </w:r>
      <w:r>
        <w:rPr>
          <w:lang w:eastAsia="zh-CN"/>
        </w:rPr>
        <w:t xml:space="preserve">– </w:t>
      </w:r>
      <w:r>
        <w:rPr>
          <w:rFonts w:hint="eastAsia"/>
          <w:lang w:eastAsia="zh-CN"/>
        </w:rPr>
        <w:t>国际电联在</w:t>
      </w:r>
      <w:r>
        <w:rPr>
          <w:lang w:eastAsia="zh-CN"/>
        </w:rPr>
        <w:t>2015</w:t>
      </w:r>
      <w:r>
        <w:rPr>
          <w:rFonts w:hint="eastAsia"/>
          <w:lang w:eastAsia="zh-CN"/>
        </w:rPr>
        <w:t>年之前</w:t>
      </w:r>
      <w:r>
        <w:rPr>
          <w:lang w:eastAsia="zh-CN"/>
        </w:rPr>
        <w:t>WSIS</w:t>
      </w:r>
      <w:r>
        <w:rPr>
          <w:rFonts w:hint="eastAsia"/>
          <w:lang w:eastAsia="zh-CN"/>
        </w:rPr>
        <w:t>成果落实工作中的作用和</w:t>
      </w:r>
      <w:r>
        <w:rPr>
          <w:lang w:eastAsia="zh-CN"/>
        </w:rPr>
        <w:t>WSIS+10</w:t>
      </w:r>
      <w:r>
        <w:rPr>
          <w:rFonts w:hint="eastAsia"/>
          <w:lang w:eastAsia="zh-CN"/>
        </w:rPr>
        <w:t>之后的未来活动；</w:t>
      </w:r>
    </w:p>
    <w:p w14:paraId="4827B437" w14:textId="599940F5" w:rsidR="001D06D0" w:rsidRPr="004F5332" w:rsidRDefault="001D06D0" w:rsidP="001D06D0">
      <w:pPr>
        <w:rPr>
          <w:lang w:eastAsia="zh-CN"/>
        </w:rPr>
      </w:pPr>
      <w:r>
        <w:rPr>
          <w:i/>
          <w:iCs/>
          <w:lang w:eastAsia="zh-CN"/>
        </w:rPr>
        <w:t>f)</w:t>
      </w:r>
      <w:r>
        <w:rPr>
          <w:i/>
          <w:iCs/>
          <w:lang w:eastAsia="zh-CN"/>
        </w:rPr>
        <w:tab/>
      </w:r>
      <w:r>
        <w:rPr>
          <w:rFonts w:hint="eastAsia"/>
          <w:lang w:eastAsia="zh-CN"/>
        </w:rPr>
        <w:t>理事会第</w:t>
      </w:r>
      <w:r>
        <w:rPr>
          <w:lang w:eastAsia="zh-CN"/>
        </w:rPr>
        <w:t>1334</w:t>
      </w:r>
      <w:r>
        <w:rPr>
          <w:rFonts w:hint="eastAsia"/>
          <w:lang w:eastAsia="zh-CN"/>
        </w:rPr>
        <w:t>号决议（</w:t>
      </w:r>
      <w:r>
        <w:rPr>
          <w:lang w:eastAsia="zh-CN"/>
        </w:rPr>
        <w:t>2013</w:t>
      </w:r>
      <w:r>
        <w:rPr>
          <w:rFonts w:hint="eastAsia"/>
          <w:lang w:eastAsia="zh-CN"/>
        </w:rPr>
        <w:t>年</w:t>
      </w:r>
      <w:r w:rsidR="000078F2">
        <w:rPr>
          <w:rFonts w:hint="eastAsia"/>
          <w:lang w:eastAsia="zh-CN"/>
        </w:rPr>
        <w:t>，</w:t>
      </w:r>
      <w:r>
        <w:rPr>
          <w:rFonts w:hint="eastAsia"/>
          <w:lang w:eastAsia="zh-CN"/>
        </w:rPr>
        <w:t>修</w:t>
      </w:r>
      <w:r w:rsidR="000078F2">
        <w:rPr>
          <w:rFonts w:hint="eastAsia"/>
          <w:lang w:eastAsia="zh-CN"/>
        </w:rPr>
        <w:t>改</w:t>
      </w:r>
      <w:r>
        <w:rPr>
          <w:rFonts w:hint="eastAsia"/>
          <w:lang w:eastAsia="zh-CN"/>
        </w:rPr>
        <w:t>版）</w:t>
      </w:r>
      <w:r>
        <w:rPr>
          <w:rFonts w:hint="eastAsia"/>
          <w:lang w:eastAsia="zh-CN"/>
        </w:rPr>
        <w:t xml:space="preserve"> </w:t>
      </w:r>
      <w:r>
        <w:rPr>
          <w:lang w:eastAsia="zh-CN"/>
        </w:rPr>
        <w:t>–</w:t>
      </w:r>
      <w:r>
        <w:rPr>
          <w:rFonts w:hint="eastAsia"/>
          <w:lang w:eastAsia="zh-CN"/>
        </w:rPr>
        <w:t xml:space="preserve"> </w:t>
      </w:r>
      <w:r>
        <w:rPr>
          <w:rFonts w:hint="eastAsia"/>
          <w:lang w:eastAsia="zh-CN"/>
        </w:rPr>
        <w:t>国际电联在全面审查信息社会世界高峰会议成果落实工作中的作用，</w:t>
      </w:r>
    </w:p>
    <w:p w14:paraId="4827B438" w14:textId="77777777" w:rsidR="0082299F" w:rsidRDefault="0082299F">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lang w:eastAsia="zh-CN"/>
        </w:rPr>
        <w:br w:type="page"/>
      </w:r>
    </w:p>
    <w:p w14:paraId="4827B439" w14:textId="77777777" w:rsidR="001D06D0" w:rsidRPr="004F5332" w:rsidRDefault="001D06D0" w:rsidP="001D06D0">
      <w:pPr>
        <w:pStyle w:val="Call"/>
        <w:rPr>
          <w:lang w:eastAsia="zh-CN"/>
        </w:rPr>
      </w:pPr>
      <w:r w:rsidRPr="004F5332">
        <w:rPr>
          <w:rFonts w:hint="eastAsia"/>
          <w:lang w:eastAsia="zh-CN"/>
        </w:rPr>
        <w:lastRenderedPageBreak/>
        <w:t>进一步忆及</w:t>
      </w:r>
    </w:p>
    <w:p w14:paraId="4827B43A" w14:textId="77777777" w:rsidR="001D06D0" w:rsidRDefault="001D06D0" w:rsidP="001D06D0">
      <w:pPr>
        <w:rPr>
          <w:lang w:eastAsia="zh-CN"/>
        </w:rPr>
      </w:pPr>
      <w:r>
        <w:rPr>
          <w:i/>
          <w:iCs/>
          <w:lang w:eastAsia="zh-CN"/>
        </w:rPr>
        <w:t>a)</w:t>
      </w:r>
      <w:r>
        <w:rPr>
          <w:lang w:eastAsia="zh-CN"/>
        </w:rPr>
        <w:tab/>
        <w:t>2003</w:t>
      </w:r>
      <w:r>
        <w:rPr>
          <w:rFonts w:hint="eastAsia"/>
          <w:lang w:eastAsia="zh-CN"/>
        </w:rPr>
        <w:t>年通过的《日内瓦原则宣言》和《日内瓦行动计划》以及</w:t>
      </w:r>
      <w:r>
        <w:rPr>
          <w:lang w:eastAsia="zh-CN"/>
        </w:rPr>
        <w:t>2005</w:t>
      </w:r>
      <w:r>
        <w:rPr>
          <w:rFonts w:hint="eastAsia"/>
          <w:lang w:eastAsia="zh-CN"/>
        </w:rPr>
        <w:t>年通过的《突尼斯承诺》和《信息社会突尼斯议程》均得到联合国大会（</w:t>
      </w:r>
      <w:r>
        <w:rPr>
          <w:rFonts w:hint="eastAsia"/>
          <w:lang w:eastAsia="zh-CN"/>
        </w:rPr>
        <w:t>UNGA</w:t>
      </w:r>
      <w:r>
        <w:rPr>
          <w:rFonts w:hint="eastAsia"/>
          <w:lang w:eastAsia="zh-CN"/>
        </w:rPr>
        <w:t>）的赞同；</w:t>
      </w:r>
    </w:p>
    <w:p w14:paraId="4827B43B" w14:textId="77777777" w:rsidR="001D06D0" w:rsidRDefault="001D06D0" w:rsidP="001D06D0">
      <w:pPr>
        <w:rPr>
          <w:lang w:eastAsia="zh-CN"/>
        </w:rPr>
      </w:pPr>
      <w:r>
        <w:rPr>
          <w:i/>
          <w:iCs/>
          <w:lang w:eastAsia="zh-CN"/>
        </w:rPr>
        <w:t>b)</w:t>
      </w:r>
      <w:r>
        <w:rPr>
          <w:lang w:eastAsia="zh-CN"/>
        </w:rPr>
        <w:tab/>
      </w:r>
      <w:r>
        <w:rPr>
          <w:rFonts w:hint="eastAsia"/>
          <w:lang w:eastAsia="zh-CN"/>
        </w:rPr>
        <w:t>《突尼斯议程》第</w:t>
      </w:r>
      <w:r>
        <w:rPr>
          <w:lang w:eastAsia="zh-CN"/>
        </w:rPr>
        <w:t>111</w:t>
      </w:r>
      <w:r>
        <w:rPr>
          <w:rFonts w:hint="eastAsia"/>
          <w:lang w:eastAsia="zh-CN"/>
        </w:rPr>
        <w:t>段要求联合国大会在</w:t>
      </w:r>
      <w:r>
        <w:rPr>
          <w:lang w:eastAsia="zh-CN"/>
        </w:rPr>
        <w:t>2015</w:t>
      </w:r>
      <w:r>
        <w:rPr>
          <w:rFonts w:hint="eastAsia"/>
          <w:lang w:eastAsia="zh-CN"/>
        </w:rPr>
        <w:t>年对信息社会世界峰会成果落实进行全面审查；</w:t>
      </w:r>
    </w:p>
    <w:p w14:paraId="4827B43C" w14:textId="77777777" w:rsidR="001D06D0" w:rsidRDefault="001D06D0" w:rsidP="001D06D0">
      <w:pPr>
        <w:rPr>
          <w:i/>
          <w:iCs/>
          <w:szCs w:val="24"/>
          <w:lang w:eastAsia="zh-CN"/>
        </w:rPr>
      </w:pPr>
      <w:r>
        <w:rPr>
          <w:i/>
          <w:iCs/>
          <w:lang w:eastAsia="zh-CN"/>
        </w:rPr>
        <w:t>c)</w:t>
      </w:r>
      <w:r>
        <w:rPr>
          <w:lang w:eastAsia="zh-CN"/>
        </w:rPr>
        <w:tab/>
      </w:r>
      <w:r>
        <w:rPr>
          <w:rFonts w:hint="eastAsia"/>
          <w:lang w:eastAsia="zh-CN"/>
        </w:rPr>
        <w:t>联合国大会在第</w:t>
      </w:r>
      <w:r>
        <w:rPr>
          <w:lang w:eastAsia="zh-CN"/>
        </w:rPr>
        <w:t>60/252</w:t>
      </w:r>
      <w:r>
        <w:rPr>
          <w:rFonts w:hint="eastAsia"/>
          <w:lang w:eastAsia="zh-CN"/>
        </w:rPr>
        <w:t>号决议中做出决定，在</w:t>
      </w:r>
      <w:r>
        <w:rPr>
          <w:lang w:eastAsia="zh-CN"/>
        </w:rPr>
        <w:t>2015</w:t>
      </w:r>
      <w:r>
        <w:rPr>
          <w:rFonts w:hint="eastAsia"/>
          <w:lang w:eastAsia="zh-CN"/>
        </w:rPr>
        <w:t>年对</w:t>
      </w:r>
      <w:r>
        <w:rPr>
          <w:rFonts w:hint="eastAsia"/>
          <w:lang w:eastAsia="zh-CN"/>
        </w:rPr>
        <w:t>WSIS</w:t>
      </w:r>
      <w:r>
        <w:rPr>
          <w:rFonts w:hint="eastAsia"/>
          <w:lang w:eastAsia="zh-CN"/>
        </w:rPr>
        <w:t>成果的落实情况进行全面审查；</w:t>
      </w:r>
    </w:p>
    <w:p w14:paraId="4827B43D" w14:textId="77777777" w:rsidR="001D06D0" w:rsidRPr="00CA3430" w:rsidRDefault="001D06D0" w:rsidP="001D06D0">
      <w:pPr>
        <w:keepNext/>
        <w:rPr>
          <w:szCs w:val="24"/>
          <w:lang w:eastAsia="zh-CN"/>
        </w:rPr>
      </w:pPr>
      <w:r>
        <w:rPr>
          <w:rFonts w:hint="eastAsia"/>
          <w:i/>
          <w:iCs/>
          <w:lang w:eastAsia="zh-CN"/>
        </w:rPr>
        <w:t>d</w:t>
      </w:r>
      <w:r>
        <w:rPr>
          <w:rFonts w:cstheme="minorHAnsi"/>
          <w:i/>
          <w:iCs/>
          <w:lang w:eastAsia="zh-CN"/>
        </w:rPr>
        <w:t>)</w:t>
      </w:r>
      <w:r>
        <w:rPr>
          <w:rFonts w:hint="eastAsia"/>
          <w:lang w:eastAsia="zh-CN"/>
        </w:rPr>
        <w:tab/>
      </w:r>
      <w:r>
        <w:rPr>
          <w:rFonts w:hint="eastAsia"/>
          <w:lang w:eastAsia="zh-CN"/>
        </w:rPr>
        <w:t>联合国行政首长协调会在其</w:t>
      </w:r>
      <w:r>
        <w:rPr>
          <w:lang w:eastAsia="zh-CN"/>
        </w:rPr>
        <w:t>2012</w:t>
      </w:r>
      <w:r>
        <w:rPr>
          <w:rFonts w:hint="eastAsia"/>
          <w:lang w:eastAsia="zh-CN"/>
        </w:rPr>
        <w:t>年</w:t>
      </w:r>
      <w:r>
        <w:rPr>
          <w:lang w:eastAsia="zh-CN"/>
        </w:rPr>
        <w:t>4</w:t>
      </w:r>
      <w:r>
        <w:rPr>
          <w:rFonts w:hint="eastAsia"/>
          <w:lang w:eastAsia="zh-CN"/>
        </w:rPr>
        <w:t>月的会议上，批准国际电联在全面审查信息社会世界峰会成果落实情况（</w:t>
      </w:r>
      <w:r>
        <w:rPr>
          <w:lang w:eastAsia="zh-CN"/>
        </w:rPr>
        <w:t>WSIS+10</w:t>
      </w:r>
      <w:r>
        <w:rPr>
          <w:rFonts w:hint="eastAsia"/>
          <w:lang w:eastAsia="zh-CN"/>
        </w:rPr>
        <w:t>）的工作中发挥主要管理作用；</w:t>
      </w:r>
    </w:p>
    <w:p w14:paraId="4827B43E" w14:textId="77777777" w:rsidR="001D06D0" w:rsidRPr="00D92B60" w:rsidRDefault="001D06D0" w:rsidP="001D06D0">
      <w:pPr>
        <w:rPr>
          <w:lang w:val="en-US" w:eastAsia="zh-CN"/>
        </w:rPr>
      </w:pPr>
      <w:r w:rsidRPr="00551A38">
        <w:rPr>
          <w:i/>
          <w:iCs/>
          <w:lang w:val="en-US" w:eastAsia="zh-CN"/>
        </w:rPr>
        <w:t>e)</w:t>
      </w:r>
      <w:r w:rsidRPr="00C050DD">
        <w:rPr>
          <w:lang w:val="en-US" w:eastAsia="zh-CN"/>
        </w:rPr>
        <w:tab/>
      </w:r>
      <w:r>
        <w:rPr>
          <w:rFonts w:hint="eastAsia"/>
          <w:lang w:val="en-US" w:eastAsia="zh-CN"/>
        </w:rPr>
        <w:t>联合国大会在</w:t>
      </w:r>
      <w:r w:rsidRPr="004F5332">
        <w:rPr>
          <w:rFonts w:hint="eastAsia"/>
          <w:lang w:val="en-US" w:eastAsia="zh-CN"/>
        </w:rPr>
        <w:t>第</w:t>
      </w:r>
      <w:r>
        <w:rPr>
          <w:lang w:val="en-US" w:eastAsia="zh-CN"/>
        </w:rPr>
        <w:t>68</w:t>
      </w:r>
      <w:r w:rsidRPr="004F5332">
        <w:rPr>
          <w:rFonts w:hint="eastAsia"/>
          <w:lang w:val="en-US" w:eastAsia="zh-CN"/>
        </w:rPr>
        <w:t>/</w:t>
      </w:r>
      <w:r>
        <w:rPr>
          <w:lang w:val="en-US" w:eastAsia="zh-CN"/>
        </w:rPr>
        <w:t>302</w:t>
      </w:r>
      <w:r w:rsidRPr="004F5332">
        <w:rPr>
          <w:rFonts w:hint="eastAsia"/>
          <w:lang w:val="en-US" w:eastAsia="zh-CN"/>
        </w:rPr>
        <w:t>号决议中决定，</w:t>
      </w:r>
      <w:r w:rsidRPr="00FE2395">
        <w:rPr>
          <w:rFonts w:hint="eastAsia"/>
          <w:lang w:val="en-US" w:eastAsia="zh-CN"/>
        </w:rPr>
        <w:t>在</w:t>
      </w:r>
      <w:r>
        <w:rPr>
          <w:rFonts w:hint="eastAsia"/>
          <w:lang w:val="en-US" w:eastAsia="zh-CN"/>
        </w:rPr>
        <w:t>2015</w:t>
      </w:r>
      <w:r>
        <w:rPr>
          <w:rFonts w:hint="eastAsia"/>
          <w:lang w:val="en-US" w:eastAsia="zh-CN"/>
        </w:rPr>
        <w:t>年</w:t>
      </w:r>
      <w:r>
        <w:rPr>
          <w:rFonts w:hint="eastAsia"/>
          <w:lang w:val="en-US" w:eastAsia="zh-CN"/>
        </w:rPr>
        <w:t>12</w:t>
      </w:r>
      <w:r>
        <w:rPr>
          <w:rFonts w:hint="eastAsia"/>
          <w:lang w:val="en-US" w:eastAsia="zh-CN"/>
        </w:rPr>
        <w:t>月</w:t>
      </w:r>
      <w:r w:rsidRPr="00FE2395">
        <w:rPr>
          <w:rFonts w:hint="eastAsia"/>
          <w:lang w:val="en-US" w:eastAsia="zh-CN"/>
        </w:rPr>
        <w:t>全面审查结束时举行为期两天的大会高级别会议，并在此之前开展政府间筹备进程，筹备进程还将考虑到信息社会世界</w:t>
      </w:r>
      <w:r>
        <w:rPr>
          <w:rFonts w:hint="eastAsia"/>
          <w:lang w:val="en-US" w:eastAsia="zh-CN"/>
        </w:rPr>
        <w:t>高峰</w:t>
      </w:r>
      <w:r w:rsidRPr="00FE2395">
        <w:rPr>
          <w:rFonts w:hint="eastAsia"/>
          <w:lang w:val="en-US" w:eastAsia="zh-CN"/>
        </w:rPr>
        <w:t>会议所有相关利益攸关方的</w:t>
      </w:r>
      <w:r>
        <w:rPr>
          <w:rFonts w:hint="eastAsia"/>
          <w:lang w:val="en-US" w:eastAsia="zh-CN"/>
        </w:rPr>
        <w:t>输入意见</w:t>
      </w:r>
      <w:r w:rsidRPr="004F5332">
        <w:rPr>
          <w:rFonts w:hint="eastAsia"/>
          <w:lang w:val="en-US" w:eastAsia="zh-CN"/>
        </w:rPr>
        <w:t>；</w:t>
      </w:r>
    </w:p>
    <w:p w14:paraId="4827B43F" w14:textId="77777777" w:rsidR="001D06D0" w:rsidRDefault="001D06D0" w:rsidP="001D06D0">
      <w:pPr>
        <w:rPr>
          <w:lang w:val="en-US" w:eastAsia="zh-CN"/>
        </w:rPr>
      </w:pPr>
      <w:r>
        <w:rPr>
          <w:i/>
          <w:iCs/>
          <w:lang w:val="en-US" w:eastAsia="zh-CN"/>
        </w:rPr>
        <w:t>f)</w:t>
      </w:r>
      <w:r>
        <w:rPr>
          <w:lang w:val="en-US" w:eastAsia="zh-CN"/>
        </w:rPr>
        <w:tab/>
        <w:t>2012</w:t>
      </w:r>
      <w:r>
        <w:rPr>
          <w:rFonts w:hint="eastAsia"/>
          <w:lang w:val="en-US" w:eastAsia="zh-CN"/>
        </w:rPr>
        <w:t>年联合国可持续发展大会（</w:t>
      </w:r>
      <w:r>
        <w:rPr>
          <w:lang w:val="en-US" w:eastAsia="zh-CN"/>
        </w:rPr>
        <w:t>Rio+20</w:t>
      </w:r>
      <w:r>
        <w:rPr>
          <w:rFonts w:hint="eastAsia"/>
          <w:lang w:val="en-US" w:eastAsia="zh-CN"/>
        </w:rPr>
        <w:t>）的成果文件涉及信息通信技术（</w:t>
      </w:r>
      <w:r>
        <w:rPr>
          <w:lang w:val="en-US" w:eastAsia="zh-CN"/>
        </w:rPr>
        <w:t>ICT</w:t>
      </w:r>
      <w:r>
        <w:rPr>
          <w:rFonts w:hint="eastAsia"/>
          <w:lang w:val="en-US" w:eastAsia="zh-CN"/>
        </w:rPr>
        <w:t>）在促进可持续发展方面的作用；</w:t>
      </w:r>
    </w:p>
    <w:p w14:paraId="4827B440" w14:textId="77777777" w:rsidR="001D06D0" w:rsidRDefault="001D06D0" w:rsidP="001D06D0">
      <w:pPr>
        <w:rPr>
          <w:lang w:val="en-US" w:eastAsia="zh-CN"/>
        </w:rPr>
      </w:pPr>
      <w:r w:rsidRPr="00B55B99">
        <w:rPr>
          <w:rFonts w:hint="eastAsia"/>
          <w:i/>
          <w:iCs/>
          <w:lang w:val="en-US" w:eastAsia="zh-CN"/>
        </w:rPr>
        <w:t>g)</w:t>
      </w:r>
      <w:r>
        <w:rPr>
          <w:rFonts w:hint="eastAsia"/>
          <w:lang w:val="en-US" w:eastAsia="zh-CN"/>
        </w:rPr>
        <w:tab/>
      </w:r>
      <w:r>
        <w:rPr>
          <w:rFonts w:hint="eastAsia"/>
          <w:lang w:eastAsia="zh-CN"/>
        </w:rPr>
        <w:t>联合国教科文组织主办了题为“迈向知识社会促进和平和可持续发展”的利益攸关各方会议，其间，国际电联根据其职责范围以共同主办方身份举行了一系列分会；</w:t>
      </w:r>
    </w:p>
    <w:p w14:paraId="4827B441" w14:textId="77777777" w:rsidR="001D06D0" w:rsidRPr="00A80C03" w:rsidRDefault="001D06D0" w:rsidP="001D06D0">
      <w:pPr>
        <w:rPr>
          <w:color w:val="000000"/>
          <w:szCs w:val="24"/>
          <w:lang w:val="en-US" w:eastAsia="zh-CN"/>
        </w:rPr>
      </w:pPr>
      <w:r w:rsidRPr="005975EE">
        <w:rPr>
          <w:i/>
          <w:iCs/>
          <w:color w:val="000000"/>
          <w:szCs w:val="24"/>
          <w:lang w:val="en-US" w:eastAsia="zh-CN"/>
        </w:rPr>
        <w:t>h)</w:t>
      </w:r>
      <w:r w:rsidRPr="00437677">
        <w:rPr>
          <w:color w:val="000000"/>
          <w:szCs w:val="24"/>
          <w:lang w:val="en-US" w:eastAsia="zh-CN"/>
        </w:rPr>
        <w:tab/>
      </w:r>
      <w:r>
        <w:rPr>
          <w:rFonts w:hint="eastAsia"/>
          <w:color w:val="000000"/>
          <w:szCs w:val="24"/>
          <w:lang w:val="en-US" w:eastAsia="zh-CN"/>
        </w:rPr>
        <w:t>在由</w:t>
      </w:r>
      <w:r>
        <w:rPr>
          <w:color w:val="000000"/>
          <w:szCs w:val="24"/>
          <w:lang w:val="en-US" w:eastAsia="zh-CN"/>
        </w:rPr>
        <w:t>国际电联</w:t>
      </w:r>
      <w:r>
        <w:rPr>
          <w:rFonts w:hint="eastAsia"/>
          <w:color w:val="000000"/>
          <w:szCs w:val="24"/>
          <w:lang w:val="en-US" w:eastAsia="zh-CN"/>
        </w:rPr>
        <w:t>协调的</w:t>
      </w:r>
      <w:r>
        <w:rPr>
          <w:rFonts w:hint="eastAsia"/>
          <w:color w:val="000000"/>
          <w:szCs w:val="24"/>
          <w:lang w:val="en-US" w:eastAsia="zh-CN"/>
        </w:rPr>
        <w:t>WSIS</w:t>
      </w:r>
      <w:r>
        <w:rPr>
          <w:color w:val="000000"/>
          <w:szCs w:val="24"/>
          <w:lang w:val="en-US" w:eastAsia="zh-CN"/>
        </w:rPr>
        <w:t>+10</w:t>
      </w:r>
      <w:r>
        <w:rPr>
          <w:rFonts w:hint="eastAsia"/>
          <w:color w:val="000000"/>
          <w:szCs w:val="24"/>
          <w:lang w:val="en-US" w:eastAsia="zh-CN"/>
        </w:rPr>
        <w:t>高级别</w:t>
      </w:r>
      <w:r>
        <w:rPr>
          <w:color w:val="000000"/>
          <w:szCs w:val="24"/>
          <w:lang w:val="en-US" w:eastAsia="zh-CN"/>
        </w:rPr>
        <w:t>活动（</w:t>
      </w:r>
      <w:r>
        <w:rPr>
          <w:rFonts w:hint="eastAsia"/>
          <w:color w:val="000000"/>
          <w:szCs w:val="24"/>
          <w:lang w:val="en-US" w:eastAsia="zh-CN"/>
        </w:rPr>
        <w:t>2014</w:t>
      </w:r>
      <w:r>
        <w:rPr>
          <w:rFonts w:hint="eastAsia"/>
          <w:color w:val="000000"/>
          <w:szCs w:val="24"/>
          <w:lang w:val="en-US" w:eastAsia="zh-CN"/>
        </w:rPr>
        <w:t>年</w:t>
      </w:r>
      <w:r>
        <w:rPr>
          <w:color w:val="000000"/>
          <w:szCs w:val="24"/>
          <w:lang w:val="en-US" w:eastAsia="zh-CN"/>
        </w:rPr>
        <w:t>，日内</w:t>
      </w:r>
      <w:r>
        <w:rPr>
          <w:rFonts w:hint="eastAsia"/>
          <w:color w:val="000000"/>
          <w:szCs w:val="24"/>
          <w:lang w:val="en-US" w:eastAsia="zh-CN"/>
        </w:rPr>
        <w:t>瓦</w:t>
      </w:r>
      <w:r>
        <w:rPr>
          <w:color w:val="000000"/>
          <w:szCs w:val="24"/>
          <w:lang w:val="en-US" w:eastAsia="zh-CN"/>
        </w:rPr>
        <w:t>）</w:t>
      </w:r>
      <w:r>
        <w:rPr>
          <w:rFonts w:hint="eastAsia"/>
          <w:color w:val="000000"/>
          <w:szCs w:val="24"/>
          <w:lang w:val="en-US" w:eastAsia="zh-CN"/>
        </w:rPr>
        <w:t>上通过、</w:t>
      </w:r>
      <w:r>
        <w:rPr>
          <w:color w:val="000000"/>
          <w:szCs w:val="24"/>
          <w:lang w:val="en-US" w:eastAsia="zh-CN"/>
        </w:rPr>
        <w:t>且经全权代表大会</w:t>
      </w:r>
      <w:r>
        <w:rPr>
          <w:rFonts w:hint="eastAsia"/>
          <w:color w:val="000000"/>
          <w:szCs w:val="24"/>
          <w:lang w:val="en-US" w:eastAsia="zh-CN"/>
        </w:rPr>
        <w:t>（</w:t>
      </w:r>
      <w:r>
        <w:rPr>
          <w:rFonts w:hint="eastAsia"/>
          <w:color w:val="000000"/>
          <w:szCs w:val="24"/>
          <w:lang w:val="en-US" w:eastAsia="zh-CN"/>
        </w:rPr>
        <w:t>2014</w:t>
      </w:r>
      <w:r>
        <w:rPr>
          <w:rFonts w:hint="eastAsia"/>
          <w:color w:val="000000"/>
          <w:szCs w:val="24"/>
          <w:lang w:val="en-US" w:eastAsia="zh-CN"/>
        </w:rPr>
        <w:t>年，釜山）</w:t>
      </w:r>
      <w:r>
        <w:rPr>
          <w:color w:val="000000"/>
          <w:szCs w:val="24"/>
          <w:lang w:val="en-US" w:eastAsia="zh-CN"/>
        </w:rPr>
        <w:t>批准的有关落实信息社会世界峰会成果的</w:t>
      </w:r>
      <w:r>
        <w:rPr>
          <w:rFonts w:hint="eastAsia"/>
          <w:color w:val="000000"/>
          <w:szCs w:val="24"/>
          <w:lang w:val="en-US" w:eastAsia="zh-CN"/>
        </w:rPr>
        <w:t>WSIS+10</w:t>
      </w:r>
      <w:r>
        <w:rPr>
          <w:rFonts w:hint="eastAsia"/>
          <w:color w:val="000000"/>
          <w:szCs w:val="24"/>
          <w:lang w:val="en-US" w:eastAsia="zh-CN"/>
        </w:rPr>
        <w:t>声明</w:t>
      </w:r>
      <w:r>
        <w:rPr>
          <w:color w:val="000000"/>
          <w:szCs w:val="24"/>
          <w:lang w:val="en-US" w:eastAsia="zh-CN"/>
        </w:rPr>
        <w:t>和有关</w:t>
      </w:r>
      <w:r>
        <w:rPr>
          <w:rFonts w:hint="eastAsia"/>
          <w:color w:val="000000"/>
          <w:szCs w:val="24"/>
          <w:lang w:val="en-US" w:eastAsia="zh-CN"/>
        </w:rPr>
        <w:t>2015</w:t>
      </w:r>
      <w:r>
        <w:rPr>
          <w:rFonts w:hint="eastAsia"/>
          <w:color w:val="000000"/>
          <w:szCs w:val="24"/>
          <w:lang w:val="en-US" w:eastAsia="zh-CN"/>
        </w:rPr>
        <w:t>年</w:t>
      </w:r>
      <w:r>
        <w:rPr>
          <w:color w:val="000000"/>
          <w:szCs w:val="24"/>
          <w:lang w:val="en-US" w:eastAsia="zh-CN"/>
        </w:rPr>
        <w:t>后</w:t>
      </w:r>
      <w:r>
        <w:rPr>
          <w:rFonts w:hint="eastAsia"/>
          <w:color w:val="000000"/>
          <w:szCs w:val="24"/>
          <w:lang w:val="en-US" w:eastAsia="zh-CN"/>
        </w:rPr>
        <w:t>WSIS</w:t>
      </w:r>
      <w:r>
        <w:rPr>
          <w:rFonts w:hint="eastAsia"/>
          <w:color w:val="000000"/>
          <w:szCs w:val="24"/>
          <w:lang w:val="en-US" w:eastAsia="zh-CN"/>
        </w:rPr>
        <w:t>工作</w:t>
      </w:r>
      <w:r>
        <w:rPr>
          <w:color w:val="000000"/>
          <w:szCs w:val="24"/>
          <w:lang w:val="en-US" w:eastAsia="zh-CN"/>
        </w:rPr>
        <w:t>的</w:t>
      </w:r>
      <w:r>
        <w:rPr>
          <w:rFonts w:hint="eastAsia"/>
          <w:color w:val="000000"/>
          <w:szCs w:val="24"/>
          <w:lang w:val="en-US" w:eastAsia="zh-CN"/>
        </w:rPr>
        <w:t>WSIS</w:t>
      </w:r>
      <w:r>
        <w:rPr>
          <w:color w:val="000000"/>
          <w:szCs w:val="24"/>
          <w:lang w:val="en-US" w:eastAsia="zh-CN"/>
        </w:rPr>
        <w:t>+10</w:t>
      </w:r>
      <w:r>
        <w:rPr>
          <w:rFonts w:hint="eastAsia"/>
          <w:color w:val="000000"/>
          <w:szCs w:val="24"/>
          <w:lang w:val="en-US" w:eastAsia="zh-CN"/>
        </w:rPr>
        <w:t>愿景</w:t>
      </w:r>
      <w:r>
        <w:rPr>
          <w:color w:val="000000"/>
          <w:szCs w:val="24"/>
          <w:lang w:val="en-US" w:eastAsia="zh-CN"/>
        </w:rPr>
        <w:t>；</w:t>
      </w:r>
    </w:p>
    <w:p w14:paraId="4827B442" w14:textId="77777777" w:rsidR="001D06D0" w:rsidRDefault="001D06D0" w:rsidP="001D06D0">
      <w:pPr>
        <w:rPr>
          <w:lang w:eastAsia="zh-CN"/>
        </w:rPr>
      </w:pPr>
      <w:r w:rsidRPr="00B55B99">
        <w:rPr>
          <w:rFonts w:hint="eastAsia"/>
          <w:i/>
          <w:iCs/>
          <w:lang w:val="en-US" w:eastAsia="zh-CN"/>
        </w:rPr>
        <w:t>i)</w:t>
      </w:r>
      <w:r>
        <w:rPr>
          <w:rFonts w:hint="eastAsia"/>
          <w:lang w:eastAsia="zh-CN"/>
        </w:rPr>
        <w:tab/>
        <w:t>2013</w:t>
      </w:r>
      <w:r>
        <w:rPr>
          <w:rFonts w:hint="eastAsia"/>
          <w:lang w:eastAsia="zh-CN"/>
        </w:rPr>
        <w:t>年</w:t>
      </w:r>
      <w:r>
        <w:rPr>
          <w:rFonts w:hint="eastAsia"/>
          <w:lang w:eastAsia="zh-CN"/>
        </w:rPr>
        <w:t>WSIS</w:t>
      </w:r>
      <w:r>
        <w:rPr>
          <w:rFonts w:hint="eastAsia"/>
          <w:lang w:eastAsia="zh-CN"/>
        </w:rPr>
        <w:t>论坛部长圆桌会议成果，部长们“鼓励在</w:t>
      </w:r>
      <w:r>
        <w:rPr>
          <w:rFonts w:hint="eastAsia"/>
          <w:lang w:eastAsia="zh-CN"/>
        </w:rPr>
        <w:t>2015</w:t>
      </w:r>
      <w:r>
        <w:rPr>
          <w:rFonts w:hint="eastAsia"/>
          <w:lang w:eastAsia="zh-CN"/>
        </w:rPr>
        <w:t>年之后继续</w:t>
      </w:r>
      <w:r>
        <w:rPr>
          <w:rFonts w:hint="eastAsia"/>
          <w:lang w:eastAsia="zh-CN"/>
        </w:rPr>
        <w:t>WSIS</w:t>
      </w:r>
      <w:r>
        <w:rPr>
          <w:rFonts w:hint="eastAsia"/>
          <w:lang w:eastAsia="zh-CN"/>
        </w:rPr>
        <w:t>进程”，</w:t>
      </w:r>
    </w:p>
    <w:p w14:paraId="4827B443" w14:textId="77777777" w:rsidR="001D06D0" w:rsidRPr="005975EE" w:rsidRDefault="001D06D0" w:rsidP="001D06D0">
      <w:pPr>
        <w:pStyle w:val="Call"/>
        <w:rPr>
          <w:lang w:eastAsia="zh-CN"/>
        </w:rPr>
      </w:pPr>
      <w:r w:rsidRPr="005975EE">
        <w:rPr>
          <w:rFonts w:hint="eastAsia"/>
          <w:lang w:eastAsia="zh-CN"/>
        </w:rPr>
        <w:t>考虑到</w:t>
      </w:r>
    </w:p>
    <w:p w14:paraId="4827B444" w14:textId="77777777" w:rsidR="001D06D0" w:rsidRDefault="001D06D0" w:rsidP="001D06D0">
      <w:pPr>
        <w:rPr>
          <w:lang w:val="en-US" w:eastAsia="zh-CN"/>
        </w:rPr>
      </w:pPr>
      <w:r>
        <w:rPr>
          <w:i/>
          <w:iCs/>
          <w:lang w:val="en-US" w:eastAsia="zh-CN"/>
        </w:rPr>
        <w:t>a)</w:t>
      </w:r>
      <w:r>
        <w:rPr>
          <w:lang w:val="en-US" w:eastAsia="zh-CN"/>
        </w:rPr>
        <w:tab/>
      </w:r>
      <w:r>
        <w:rPr>
          <w:rFonts w:hint="eastAsia"/>
          <w:spacing w:val="4"/>
          <w:lang w:val="en-US" w:eastAsia="zh-CN"/>
        </w:rPr>
        <w:t>国际电联《组织法》和《公约》中有关国际电联在政策和战略方面所发挥作用的条款；</w:t>
      </w:r>
    </w:p>
    <w:p w14:paraId="4827B445" w14:textId="77777777" w:rsidR="001D06D0" w:rsidRDefault="001D06D0" w:rsidP="001D06D0">
      <w:pPr>
        <w:rPr>
          <w:lang w:val="en-US" w:eastAsia="zh-CN"/>
        </w:rPr>
      </w:pPr>
      <w:r>
        <w:rPr>
          <w:i/>
          <w:iCs/>
          <w:lang w:val="en-US" w:eastAsia="zh-CN"/>
        </w:rPr>
        <w:t>b)</w:t>
      </w:r>
      <w:r>
        <w:rPr>
          <w:lang w:val="en-US" w:eastAsia="zh-CN"/>
        </w:rPr>
        <w:tab/>
      </w:r>
      <w:r>
        <w:rPr>
          <w:rFonts w:hint="eastAsia"/>
          <w:lang w:val="en-US" w:eastAsia="zh-CN"/>
        </w:rPr>
        <w:t>全权代表大会通过的、与</w:t>
      </w:r>
      <w:r w:rsidRPr="0014132A">
        <w:rPr>
          <w:rFonts w:hint="eastAsia"/>
          <w:lang w:eastAsia="zh-CN"/>
        </w:rPr>
        <w:t>信息社会</w:t>
      </w:r>
      <w:r>
        <w:rPr>
          <w:rFonts w:hint="eastAsia"/>
          <w:lang w:val="en-US" w:eastAsia="zh-CN"/>
        </w:rPr>
        <w:t>世界峰会有关的各项决议；</w:t>
      </w:r>
    </w:p>
    <w:p w14:paraId="4827B446" w14:textId="77777777" w:rsidR="001D06D0" w:rsidRDefault="001D06D0" w:rsidP="001D06D0">
      <w:pPr>
        <w:rPr>
          <w:lang w:val="en-US" w:eastAsia="zh-CN"/>
        </w:rPr>
      </w:pPr>
      <w:r>
        <w:rPr>
          <w:i/>
          <w:iCs/>
          <w:lang w:val="en-US" w:eastAsia="zh-CN"/>
        </w:rPr>
        <w:t>c)</w:t>
      </w:r>
      <w:r>
        <w:rPr>
          <w:lang w:val="en-US" w:eastAsia="zh-CN"/>
        </w:rPr>
        <w:tab/>
      </w:r>
      <w:r>
        <w:rPr>
          <w:rFonts w:hint="eastAsia"/>
          <w:lang w:val="en-US" w:eastAsia="zh-CN"/>
        </w:rPr>
        <w:t>国际电联在发起和主导</w:t>
      </w:r>
      <w:r w:rsidRPr="0014132A">
        <w:rPr>
          <w:rFonts w:hint="eastAsia"/>
          <w:lang w:eastAsia="zh-CN"/>
        </w:rPr>
        <w:t>信息社会</w:t>
      </w:r>
      <w:r>
        <w:rPr>
          <w:rFonts w:hint="eastAsia"/>
          <w:lang w:val="en-US" w:eastAsia="zh-CN"/>
        </w:rPr>
        <w:t>世界峰会管理工作中发挥的作用及其</w:t>
      </w:r>
      <w:r>
        <w:rPr>
          <w:lang w:val="en-US" w:eastAsia="zh-CN"/>
        </w:rPr>
        <w:t>对</w:t>
      </w:r>
      <w:r>
        <w:rPr>
          <w:rFonts w:hint="eastAsia"/>
          <w:lang w:val="en-US" w:eastAsia="zh-CN"/>
        </w:rPr>
        <w:t>WSIS</w:t>
      </w:r>
      <w:r>
        <w:rPr>
          <w:lang w:val="en-US" w:eastAsia="zh-CN"/>
        </w:rPr>
        <w:t>+10</w:t>
      </w:r>
      <w:r>
        <w:rPr>
          <w:rFonts w:hint="eastAsia"/>
          <w:lang w:val="en-US" w:eastAsia="zh-CN"/>
        </w:rPr>
        <w:t>高级别</w:t>
      </w:r>
      <w:r>
        <w:rPr>
          <w:lang w:val="en-US" w:eastAsia="zh-CN"/>
        </w:rPr>
        <w:t>活动（</w:t>
      </w:r>
      <w:r>
        <w:rPr>
          <w:rFonts w:hint="eastAsia"/>
          <w:lang w:val="en-US" w:eastAsia="zh-CN"/>
        </w:rPr>
        <w:t>2014</w:t>
      </w:r>
      <w:r>
        <w:rPr>
          <w:rFonts w:hint="eastAsia"/>
          <w:lang w:val="en-US" w:eastAsia="zh-CN"/>
        </w:rPr>
        <w:t>年</w:t>
      </w:r>
      <w:r>
        <w:rPr>
          <w:lang w:val="en-US" w:eastAsia="zh-CN"/>
        </w:rPr>
        <w:t>，日内瓦）</w:t>
      </w:r>
      <w:r>
        <w:rPr>
          <w:rFonts w:hint="eastAsia"/>
          <w:lang w:val="en-US" w:eastAsia="zh-CN"/>
        </w:rPr>
        <w:t>的</w:t>
      </w:r>
      <w:r>
        <w:rPr>
          <w:lang w:val="en-US" w:eastAsia="zh-CN"/>
        </w:rPr>
        <w:t>成功协调</w:t>
      </w:r>
      <w:r>
        <w:rPr>
          <w:rFonts w:hint="eastAsia"/>
          <w:lang w:val="en-US" w:eastAsia="zh-CN"/>
        </w:rPr>
        <w:t>；</w:t>
      </w:r>
    </w:p>
    <w:p w14:paraId="4827B447" w14:textId="77777777" w:rsidR="001D06D0" w:rsidRDefault="001D06D0" w:rsidP="001D06D0">
      <w:pPr>
        <w:rPr>
          <w:lang w:val="en-US" w:eastAsia="zh-CN"/>
        </w:rPr>
      </w:pPr>
      <w:r>
        <w:rPr>
          <w:i/>
          <w:iCs/>
          <w:lang w:val="en-US" w:eastAsia="zh-CN"/>
        </w:rPr>
        <w:t>d)</w:t>
      </w:r>
      <w:r>
        <w:rPr>
          <w:lang w:val="en-US" w:eastAsia="zh-CN"/>
        </w:rPr>
        <w:tab/>
      </w:r>
      <w:r>
        <w:rPr>
          <w:rFonts w:hint="eastAsia"/>
          <w:lang w:val="en-US" w:eastAsia="zh-CN"/>
        </w:rPr>
        <w:t>赋予国际电联的全面落实</w:t>
      </w:r>
      <w:r w:rsidRPr="0014132A">
        <w:rPr>
          <w:rFonts w:hint="eastAsia"/>
          <w:lang w:eastAsia="zh-CN"/>
        </w:rPr>
        <w:t>信息社会</w:t>
      </w:r>
      <w:r>
        <w:rPr>
          <w:rFonts w:hint="eastAsia"/>
          <w:lang w:val="en-US" w:eastAsia="zh-CN"/>
        </w:rPr>
        <w:t>世界峰会成果的职责，</w:t>
      </w:r>
    </w:p>
    <w:p w14:paraId="4827B448" w14:textId="77777777" w:rsidR="0082299F" w:rsidRDefault="0082299F">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lang w:eastAsia="zh-CN"/>
        </w:rPr>
        <w:br w:type="page"/>
      </w:r>
    </w:p>
    <w:p w14:paraId="4827B449" w14:textId="77777777" w:rsidR="001D06D0" w:rsidRPr="001F7F46" w:rsidRDefault="001D06D0" w:rsidP="001D06D0">
      <w:pPr>
        <w:pStyle w:val="Call"/>
        <w:rPr>
          <w:lang w:eastAsia="zh-CN"/>
        </w:rPr>
      </w:pPr>
      <w:r w:rsidRPr="001F7F46">
        <w:rPr>
          <w:rFonts w:hint="eastAsia"/>
          <w:lang w:eastAsia="zh-CN"/>
        </w:rPr>
        <w:lastRenderedPageBreak/>
        <w:t>满意地注意到</w:t>
      </w:r>
    </w:p>
    <w:p w14:paraId="4827B44A" w14:textId="77777777" w:rsidR="001D06D0" w:rsidRDefault="001D06D0" w:rsidP="001D06D0">
      <w:pPr>
        <w:rPr>
          <w:lang w:eastAsia="zh-CN"/>
        </w:rPr>
      </w:pPr>
      <w:r>
        <w:rPr>
          <w:i/>
          <w:iCs/>
          <w:lang w:eastAsia="zh-CN"/>
        </w:rPr>
        <w:t>a)</w:t>
      </w:r>
      <w:r>
        <w:rPr>
          <w:lang w:eastAsia="zh-CN"/>
        </w:rPr>
        <w:tab/>
      </w:r>
      <w:r>
        <w:rPr>
          <w:rFonts w:hint="eastAsia"/>
          <w:lang w:eastAsia="zh-CN"/>
        </w:rPr>
        <w:t>国际电联在利益攸关多方</w:t>
      </w:r>
      <w:r>
        <w:rPr>
          <w:lang w:eastAsia="zh-CN"/>
        </w:rPr>
        <w:t>筹备平台这一有效</w:t>
      </w:r>
      <w:r>
        <w:rPr>
          <w:rFonts w:hint="eastAsia"/>
          <w:lang w:eastAsia="zh-CN"/>
        </w:rPr>
        <w:t>机制</w:t>
      </w:r>
      <w:r>
        <w:rPr>
          <w:lang w:eastAsia="zh-CN"/>
        </w:rPr>
        <w:t>内为</w:t>
      </w:r>
      <w:r>
        <w:rPr>
          <w:rFonts w:hint="eastAsia"/>
          <w:lang w:eastAsia="zh-CN"/>
        </w:rPr>
        <w:t>WSIS+10</w:t>
      </w:r>
      <w:r>
        <w:rPr>
          <w:rFonts w:hint="eastAsia"/>
          <w:lang w:eastAsia="zh-CN"/>
        </w:rPr>
        <w:t>高级别</w:t>
      </w:r>
      <w:r>
        <w:rPr>
          <w:lang w:eastAsia="zh-CN"/>
        </w:rPr>
        <w:t>活动的</w:t>
      </w:r>
      <w:r>
        <w:rPr>
          <w:rFonts w:hint="eastAsia"/>
          <w:lang w:eastAsia="zh-CN"/>
        </w:rPr>
        <w:t>组织和</w:t>
      </w:r>
      <w:r>
        <w:rPr>
          <w:lang w:eastAsia="zh-CN"/>
        </w:rPr>
        <w:t>协调</w:t>
      </w:r>
      <w:r>
        <w:rPr>
          <w:rFonts w:hint="eastAsia"/>
          <w:lang w:eastAsia="zh-CN"/>
        </w:rPr>
        <w:t>发挥了主导作用；</w:t>
      </w:r>
    </w:p>
    <w:p w14:paraId="4827B44B" w14:textId="77777777" w:rsidR="001D06D0" w:rsidRPr="003E74AA" w:rsidRDefault="001D06D0" w:rsidP="001D06D0">
      <w:pPr>
        <w:rPr>
          <w:lang w:eastAsia="zh-CN"/>
        </w:rPr>
      </w:pPr>
      <w:r>
        <w:rPr>
          <w:i/>
          <w:iCs/>
          <w:lang w:eastAsia="zh-CN"/>
        </w:rPr>
        <w:t>b)</w:t>
      </w:r>
      <w:r>
        <w:rPr>
          <w:rFonts w:hint="eastAsia"/>
          <w:i/>
          <w:iCs/>
          <w:lang w:eastAsia="zh-CN"/>
        </w:rPr>
        <w:tab/>
      </w:r>
      <w:r w:rsidRPr="0014132A">
        <w:rPr>
          <w:lang w:eastAsia="zh-CN"/>
        </w:rPr>
        <w:t>WSIS+10</w:t>
      </w:r>
      <w:r w:rsidRPr="0014132A">
        <w:rPr>
          <w:rFonts w:hint="eastAsia"/>
          <w:lang w:eastAsia="zh-CN"/>
        </w:rPr>
        <w:t>高级别活动由国际电联协调并由国际电联、联合国教科文组织（</w:t>
      </w:r>
      <w:r w:rsidRPr="0014132A">
        <w:rPr>
          <w:lang w:eastAsia="zh-CN"/>
        </w:rPr>
        <w:t>UNESCO</w:t>
      </w:r>
      <w:r w:rsidRPr="0014132A">
        <w:rPr>
          <w:rFonts w:hint="eastAsia"/>
          <w:lang w:eastAsia="zh-CN"/>
        </w:rPr>
        <w:t>）、</w:t>
      </w:r>
      <w:r w:rsidRPr="0014132A">
        <w:rPr>
          <w:lang w:eastAsia="zh-CN"/>
        </w:rPr>
        <w:t>联合国贸发会议（</w:t>
      </w:r>
      <w:r w:rsidRPr="0014132A">
        <w:rPr>
          <w:lang w:eastAsia="zh-CN"/>
        </w:rPr>
        <w:t>UNCTAD</w:t>
      </w:r>
      <w:r w:rsidRPr="0014132A">
        <w:rPr>
          <w:lang w:eastAsia="zh-CN"/>
        </w:rPr>
        <w:t>）</w:t>
      </w:r>
      <w:r w:rsidRPr="0014132A">
        <w:rPr>
          <w:rFonts w:hint="eastAsia"/>
          <w:lang w:eastAsia="zh-CN"/>
        </w:rPr>
        <w:t>和联合国开发计划署（</w:t>
      </w:r>
      <w:r w:rsidRPr="0014132A">
        <w:rPr>
          <w:lang w:eastAsia="zh-CN"/>
        </w:rPr>
        <w:t>UNDP</w:t>
      </w:r>
      <w:r w:rsidRPr="0014132A">
        <w:rPr>
          <w:rFonts w:hint="eastAsia"/>
          <w:lang w:eastAsia="zh-CN"/>
        </w:rPr>
        <w:t>）共同组织，同时</w:t>
      </w:r>
      <w:r w:rsidRPr="0014132A">
        <w:rPr>
          <w:lang w:eastAsia="zh-CN"/>
        </w:rPr>
        <w:t>有联合国</w:t>
      </w:r>
      <w:r w:rsidRPr="0014132A">
        <w:rPr>
          <w:rFonts w:hint="eastAsia"/>
          <w:lang w:eastAsia="zh-CN"/>
        </w:rPr>
        <w:t>粮农组织（</w:t>
      </w:r>
      <w:r w:rsidRPr="0014132A">
        <w:rPr>
          <w:lang w:eastAsia="zh-CN"/>
        </w:rPr>
        <w:t>FAO</w:t>
      </w:r>
      <w:r w:rsidRPr="0014132A">
        <w:rPr>
          <w:lang w:eastAsia="zh-CN"/>
        </w:rPr>
        <w:t>）</w:t>
      </w:r>
      <w:r w:rsidRPr="0014132A">
        <w:rPr>
          <w:rFonts w:hint="eastAsia"/>
          <w:lang w:eastAsia="zh-CN"/>
        </w:rPr>
        <w:t>、国际劳工组织（</w:t>
      </w:r>
      <w:r w:rsidRPr="0014132A">
        <w:rPr>
          <w:lang w:eastAsia="zh-CN"/>
        </w:rPr>
        <w:t>ILO</w:t>
      </w:r>
      <w:r w:rsidRPr="0014132A">
        <w:rPr>
          <w:lang w:eastAsia="zh-CN"/>
        </w:rPr>
        <w:t>）</w:t>
      </w:r>
      <w:r w:rsidRPr="0014132A">
        <w:rPr>
          <w:rFonts w:hint="eastAsia"/>
          <w:lang w:eastAsia="zh-CN"/>
        </w:rPr>
        <w:t>、联合国环境规划署（</w:t>
      </w:r>
      <w:r w:rsidRPr="0014132A">
        <w:rPr>
          <w:lang w:eastAsia="zh-CN"/>
        </w:rPr>
        <w:t>UNEP</w:t>
      </w:r>
      <w:r w:rsidRPr="0014132A">
        <w:rPr>
          <w:rFonts w:hint="eastAsia"/>
          <w:lang w:eastAsia="zh-CN"/>
        </w:rPr>
        <w:t>）、联合国经济与社会事务部（</w:t>
      </w:r>
      <w:r w:rsidRPr="0014132A">
        <w:rPr>
          <w:lang w:eastAsia="zh-CN"/>
        </w:rPr>
        <w:t>UNDESA</w:t>
      </w:r>
      <w:r w:rsidRPr="0014132A">
        <w:rPr>
          <w:rFonts w:hint="eastAsia"/>
          <w:lang w:eastAsia="zh-CN"/>
        </w:rPr>
        <w:t>）、联合国毒品与犯罪署（</w:t>
      </w:r>
      <w:r w:rsidRPr="0014132A">
        <w:rPr>
          <w:lang w:eastAsia="zh-CN"/>
        </w:rPr>
        <w:t>UNODC</w:t>
      </w:r>
      <w:r w:rsidRPr="0014132A">
        <w:rPr>
          <w:rFonts w:hint="eastAsia"/>
          <w:lang w:eastAsia="zh-CN"/>
        </w:rPr>
        <w:t>）、万国邮政联盟（</w:t>
      </w:r>
      <w:r w:rsidRPr="0014132A">
        <w:rPr>
          <w:lang w:eastAsia="zh-CN"/>
        </w:rPr>
        <w:t>UPU</w:t>
      </w:r>
      <w:r w:rsidRPr="0014132A">
        <w:rPr>
          <w:rFonts w:hint="eastAsia"/>
          <w:lang w:eastAsia="zh-CN"/>
        </w:rPr>
        <w:t>）、</w:t>
      </w:r>
      <w:r w:rsidRPr="0014132A">
        <w:rPr>
          <w:lang w:eastAsia="zh-CN"/>
        </w:rPr>
        <w:t>国际贸易中心</w:t>
      </w:r>
      <w:r w:rsidRPr="0014132A">
        <w:rPr>
          <w:rFonts w:hint="eastAsia"/>
          <w:lang w:eastAsia="zh-CN"/>
        </w:rPr>
        <w:t>（</w:t>
      </w:r>
      <w:r w:rsidRPr="0014132A">
        <w:rPr>
          <w:lang w:eastAsia="zh-CN"/>
        </w:rPr>
        <w:t>ITC</w:t>
      </w:r>
      <w:r w:rsidRPr="0014132A">
        <w:rPr>
          <w:rFonts w:hint="eastAsia"/>
          <w:lang w:eastAsia="zh-CN"/>
        </w:rPr>
        <w:t>）</w:t>
      </w:r>
      <w:r w:rsidRPr="0014132A">
        <w:rPr>
          <w:lang w:eastAsia="zh-CN"/>
        </w:rPr>
        <w:t>、</w:t>
      </w:r>
      <w:r w:rsidRPr="0014132A">
        <w:rPr>
          <w:rFonts w:hint="eastAsia"/>
          <w:lang w:eastAsia="zh-CN"/>
        </w:rPr>
        <w:t>联合国妇女署（</w:t>
      </w:r>
      <w:r w:rsidRPr="0014132A">
        <w:rPr>
          <w:lang w:eastAsia="zh-CN"/>
        </w:rPr>
        <w:t>UN Women</w:t>
      </w:r>
      <w:r w:rsidRPr="0014132A">
        <w:rPr>
          <w:rFonts w:hint="eastAsia"/>
          <w:lang w:eastAsia="zh-CN"/>
        </w:rPr>
        <w:t>）、世界气象组织（</w:t>
      </w:r>
      <w:r w:rsidRPr="0014132A">
        <w:rPr>
          <w:lang w:eastAsia="zh-CN"/>
        </w:rPr>
        <w:t>WMO</w:t>
      </w:r>
      <w:r w:rsidRPr="0014132A">
        <w:rPr>
          <w:rFonts w:hint="eastAsia"/>
          <w:lang w:eastAsia="zh-CN"/>
        </w:rPr>
        <w:t>）、世界卫生组织（</w:t>
      </w:r>
      <w:r w:rsidRPr="0014132A">
        <w:rPr>
          <w:lang w:eastAsia="zh-CN"/>
        </w:rPr>
        <w:t>WHO</w:t>
      </w:r>
      <w:r w:rsidRPr="0014132A">
        <w:rPr>
          <w:rFonts w:hint="eastAsia"/>
          <w:lang w:eastAsia="zh-CN"/>
        </w:rPr>
        <w:t>）、世界粮食计划署（</w:t>
      </w:r>
      <w:r w:rsidRPr="0014132A">
        <w:rPr>
          <w:lang w:eastAsia="zh-CN"/>
        </w:rPr>
        <w:t>WFP</w:t>
      </w:r>
      <w:r w:rsidRPr="0014132A">
        <w:rPr>
          <w:rFonts w:hint="eastAsia"/>
          <w:lang w:eastAsia="zh-CN"/>
        </w:rPr>
        <w:t>）、世界知识产权组织（</w:t>
      </w:r>
      <w:r w:rsidRPr="0014132A">
        <w:rPr>
          <w:lang w:eastAsia="zh-CN"/>
        </w:rPr>
        <w:t>WIPO</w:t>
      </w:r>
      <w:r w:rsidRPr="0014132A">
        <w:rPr>
          <w:rFonts w:hint="eastAsia"/>
          <w:lang w:eastAsia="zh-CN"/>
        </w:rPr>
        <w:t>）和联合国区域委员会等其他联合国机构的参与；</w:t>
      </w:r>
    </w:p>
    <w:p w14:paraId="4827B44C" w14:textId="77777777" w:rsidR="001D06D0" w:rsidRDefault="001D06D0" w:rsidP="001D06D0">
      <w:pPr>
        <w:rPr>
          <w:lang w:eastAsia="zh-CN"/>
        </w:rPr>
      </w:pPr>
      <w:r>
        <w:rPr>
          <w:rFonts w:hint="eastAsia"/>
          <w:i/>
          <w:iCs/>
          <w:lang w:eastAsia="zh-CN"/>
        </w:rPr>
        <w:t>c</w:t>
      </w:r>
      <w:r>
        <w:rPr>
          <w:i/>
          <w:iCs/>
          <w:lang w:eastAsia="zh-CN"/>
        </w:rPr>
        <w:t>)</w:t>
      </w:r>
      <w:r>
        <w:rPr>
          <w:lang w:eastAsia="zh-CN"/>
        </w:rPr>
        <w:tab/>
      </w:r>
      <w:r>
        <w:rPr>
          <w:rFonts w:hint="eastAsia"/>
          <w:lang w:eastAsia="zh-CN"/>
        </w:rPr>
        <w:t>国际电联领导的有关</w:t>
      </w:r>
      <w:r>
        <w:rPr>
          <w:lang w:eastAsia="zh-CN"/>
        </w:rPr>
        <w:t>WSIS+10</w:t>
      </w:r>
      <w:r>
        <w:rPr>
          <w:rFonts w:hint="eastAsia"/>
          <w:lang w:eastAsia="zh-CN"/>
        </w:rPr>
        <w:t>的</w:t>
      </w:r>
      <w:r>
        <w:rPr>
          <w:lang w:eastAsia="zh-CN"/>
        </w:rPr>
        <w:t>UNGIS</w:t>
      </w:r>
      <w:r>
        <w:rPr>
          <w:rFonts w:hint="eastAsia"/>
          <w:lang w:eastAsia="zh-CN"/>
        </w:rPr>
        <w:t>公开磋商的利益攸关多方与包容特性在协助磋商取得成功方面功不可没；</w:t>
      </w:r>
    </w:p>
    <w:p w14:paraId="4827B44D" w14:textId="77777777" w:rsidR="001D06D0" w:rsidRDefault="001D06D0" w:rsidP="001D06D0">
      <w:pPr>
        <w:rPr>
          <w:lang w:eastAsia="zh-CN"/>
        </w:rPr>
      </w:pPr>
      <w:r>
        <w:rPr>
          <w:rFonts w:hint="eastAsia"/>
          <w:i/>
          <w:iCs/>
          <w:lang w:val="en-US" w:eastAsia="zh-CN"/>
        </w:rPr>
        <w:t>d</w:t>
      </w:r>
      <w:r w:rsidRPr="00B55B99">
        <w:rPr>
          <w:rFonts w:hint="eastAsia"/>
          <w:i/>
          <w:iCs/>
          <w:lang w:val="en-US" w:eastAsia="zh-CN"/>
        </w:rPr>
        <w:t>)</w:t>
      </w:r>
      <w:r>
        <w:rPr>
          <w:rFonts w:hint="eastAsia"/>
          <w:lang w:eastAsia="zh-CN"/>
        </w:rPr>
        <w:tab/>
        <w:t>WSIS</w:t>
      </w:r>
      <w:r>
        <w:rPr>
          <w:rFonts w:hint="eastAsia"/>
          <w:lang w:eastAsia="zh-CN"/>
        </w:rPr>
        <w:t>论坛已被证明是基于</w:t>
      </w:r>
      <w:r>
        <w:rPr>
          <w:rFonts w:hint="eastAsia"/>
          <w:lang w:eastAsia="zh-CN"/>
        </w:rPr>
        <w:t>WSIS</w:t>
      </w:r>
      <w:r>
        <w:rPr>
          <w:rFonts w:hint="eastAsia"/>
          <w:lang w:eastAsia="zh-CN"/>
        </w:rPr>
        <w:t>所有利益攸关方参与评估进展情况、交流经验、促进进一步发展的平台，同时考虑在与联合国机构协商的基础上继续举行这项活动；</w:t>
      </w:r>
    </w:p>
    <w:p w14:paraId="4827B44E" w14:textId="77777777" w:rsidR="001D06D0" w:rsidRPr="005975EE" w:rsidRDefault="001D06D0" w:rsidP="001D06D0">
      <w:pPr>
        <w:rPr>
          <w:lang w:eastAsia="zh-CN"/>
        </w:rPr>
      </w:pPr>
      <w:r>
        <w:rPr>
          <w:rFonts w:hint="eastAsia"/>
          <w:i/>
          <w:iCs/>
          <w:lang w:val="en-US" w:eastAsia="zh-CN"/>
        </w:rPr>
        <w:t>e</w:t>
      </w:r>
      <w:r w:rsidRPr="00B55B99">
        <w:rPr>
          <w:rFonts w:hint="eastAsia"/>
          <w:i/>
          <w:iCs/>
          <w:lang w:val="en-US" w:eastAsia="zh-CN"/>
        </w:rPr>
        <w:t>)</w:t>
      </w:r>
      <w:r>
        <w:rPr>
          <w:rFonts w:hint="eastAsia"/>
          <w:lang w:eastAsia="zh-CN"/>
        </w:rPr>
        <w:tab/>
      </w:r>
      <w:r>
        <w:rPr>
          <w:rFonts w:hint="eastAsia"/>
          <w:lang w:eastAsia="zh-CN"/>
        </w:rPr>
        <w:t>根据</w:t>
      </w:r>
      <w:r>
        <w:rPr>
          <w:lang w:eastAsia="zh-CN"/>
        </w:rPr>
        <w:t>WG-WSIS</w:t>
      </w:r>
      <w:r>
        <w:rPr>
          <w:rFonts w:hint="eastAsia"/>
          <w:lang w:eastAsia="zh-CN"/>
        </w:rPr>
        <w:t>的要求，</w:t>
      </w:r>
      <w:r>
        <w:rPr>
          <w:lang w:eastAsia="zh-CN"/>
        </w:rPr>
        <w:t>C2</w:t>
      </w:r>
      <w:r>
        <w:rPr>
          <w:rFonts w:hint="eastAsia"/>
          <w:lang w:eastAsia="zh-CN"/>
        </w:rPr>
        <w:t>、</w:t>
      </w:r>
      <w:r>
        <w:rPr>
          <w:lang w:eastAsia="zh-CN"/>
        </w:rPr>
        <w:t>C5</w:t>
      </w:r>
      <w:r>
        <w:rPr>
          <w:rFonts w:hint="eastAsia"/>
          <w:lang w:eastAsia="zh-CN"/>
        </w:rPr>
        <w:t>和</w:t>
      </w:r>
      <w:r>
        <w:rPr>
          <w:lang w:eastAsia="zh-CN"/>
        </w:rPr>
        <w:t>C6</w:t>
      </w:r>
      <w:r>
        <w:rPr>
          <w:rFonts w:hint="eastAsia"/>
          <w:lang w:eastAsia="zh-CN"/>
        </w:rPr>
        <w:t>行动方面的路线图已更新并公布在网上，与</w:t>
      </w:r>
      <w:r>
        <w:rPr>
          <w:lang w:eastAsia="zh-CN"/>
        </w:rPr>
        <w:t>WSIS</w:t>
      </w:r>
      <w:r>
        <w:rPr>
          <w:rFonts w:hint="eastAsia"/>
          <w:lang w:eastAsia="zh-CN"/>
        </w:rPr>
        <w:t>相关的活动已纳入《国际电联</w:t>
      </w:r>
      <w:r>
        <w:rPr>
          <w:rFonts w:hint="eastAsia"/>
          <w:lang w:eastAsia="zh-CN"/>
        </w:rPr>
        <w:t>2016</w:t>
      </w:r>
      <w:r>
        <w:rPr>
          <w:lang w:eastAsia="zh-CN"/>
        </w:rPr>
        <w:t>-</w:t>
      </w:r>
      <w:r>
        <w:rPr>
          <w:rFonts w:hint="eastAsia"/>
          <w:lang w:eastAsia="zh-CN"/>
        </w:rPr>
        <w:t>2019</w:t>
      </w:r>
      <w:r>
        <w:rPr>
          <w:rFonts w:hint="eastAsia"/>
          <w:lang w:eastAsia="zh-CN"/>
        </w:rPr>
        <w:t>年运作规划》；</w:t>
      </w:r>
    </w:p>
    <w:p w14:paraId="4827B44F" w14:textId="77777777" w:rsidR="001D06D0" w:rsidRDefault="001D06D0" w:rsidP="001D06D0">
      <w:pPr>
        <w:rPr>
          <w:lang w:eastAsia="zh-CN"/>
        </w:rPr>
      </w:pPr>
      <w:r>
        <w:rPr>
          <w:rFonts w:hint="eastAsia"/>
          <w:i/>
          <w:iCs/>
          <w:lang w:val="en-US" w:eastAsia="zh-CN"/>
        </w:rPr>
        <w:t>f</w:t>
      </w:r>
      <w:r w:rsidRPr="00B55B99">
        <w:rPr>
          <w:rFonts w:hint="eastAsia"/>
          <w:i/>
          <w:iCs/>
          <w:lang w:val="en-US" w:eastAsia="zh-CN"/>
        </w:rPr>
        <w:t>)</w:t>
      </w:r>
      <w:r>
        <w:rPr>
          <w:rFonts w:hint="eastAsia"/>
          <w:lang w:eastAsia="zh-CN"/>
        </w:rPr>
        <w:tab/>
      </w:r>
      <w:r>
        <w:rPr>
          <w:lang w:eastAsia="zh-CN"/>
        </w:rPr>
        <w:t>2011</w:t>
      </w:r>
      <w:r>
        <w:rPr>
          <w:rFonts w:hint="eastAsia"/>
          <w:lang w:eastAsia="zh-CN"/>
        </w:rPr>
        <w:t>、</w:t>
      </w:r>
      <w:r>
        <w:rPr>
          <w:rFonts w:hint="eastAsia"/>
          <w:lang w:eastAsia="zh-CN"/>
        </w:rPr>
        <w:t>2012</w:t>
      </w:r>
      <w:r>
        <w:rPr>
          <w:rFonts w:hint="eastAsia"/>
          <w:lang w:eastAsia="zh-CN"/>
        </w:rPr>
        <w:t>和</w:t>
      </w:r>
      <w:r>
        <w:rPr>
          <w:rFonts w:hint="eastAsia"/>
          <w:lang w:eastAsia="zh-CN"/>
        </w:rPr>
        <w:t>2013</w:t>
      </w:r>
      <w:r>
        <w:rPr>
          <w:rFonts w:hint="eastAsia"/>
          <w:lang w:eastAsia="zh-CN"/>
        </w:rPr>
        <w:t>年举行的</w:t>
      </w:r>
      <w:r>
        <w:rPr>
          <w:rFonts w:hint="eastAsia"/>
          <w:lang w:eastAsia="zh-CN"/>
        </w:rPr>
        <w:t>WSIS</w:t>
      </w:r>
      <w:r>
        <w:rPr>
          <w:rFonts w:hint="eastAsia"/>
          <w:lang w:eastAsia="zh-CN"/>
        </w:rPr>
        <w:t>论坛和由</w:t>
      </w:r>
      <w:r>
        <w:rPr>
          <w:lang w:eastAsia="zh-CN"/>
        </w:rPr>
        <w:t>国际电联协调于</w:t>
      </w:r>
      <w:r>
        <w:rPr>
          <w:rFonts w:hint="eastAsia"/>
          <w:lang w:eastAsia="zh-CN"/>
        </w:rPr>
        <w:t>2014</w:t>
      </w:r>
      <w:r>
        <w:rPr>
          <w:rFonts w:hint="eastAsia"/>
          <w:lang w:eastAsia="zh-CN"/>
        </w:rPr>
        <w:t>年</w:t>
      </w:r>
      <w:r>
        <w:rPr>
          <w:rFonts w:hint="eastAsia"/>
          <w:lang w:eastAsia="zh-CN"/>
        </w:rPr>
        <w:t>6</w:t>
      </w:r>
      <w:r>
        <w:rPr>
          <w:rFonts w:hint="eastAsia"/>
          <w:lang w:eastAsia="zh-CN"/>
        </w:rPr>
        <w:t>月</w:t>
      </w:r>
      <w:r>
        <w:rPr>
          <w:lang w:eastAsia="zh-CN"/>
        </w:rPr>
        <w:t>在日内瓦举办的</w:t>
      </w:r>
      <w:r>
        <w:rPr>
          <w:rFonts w:hint="eastAsia"/>
          <w:lang w:eastAsia="zh-CN"/>
        </w:rPr>
        <w:t>WSIS</w:t>
      </w:r>
      <w:r w:rsidRPr="00F74E50">
        <w:rPr>
          <w:color w:val="000000"/>
          <w:szCs w:val="24"/>
          <w:lang w:val="en-US" w:eastAsia="zh-CN"/>
        </w:rPr>
        <w:t>+10</w:t>
      </w:r>
      <w:r>
        <w:rPr>
          <w:rFonts w:hint="eastAsia"/>
          <w:lang w:eastAsia="zh-CN"/>
        </w:rPr>
        <w:t>高级别</w:t>
      </w:r>
      <w:r>
        <w:rPr>
          <w:lang w:eastAsia="zh-CN"/>
        </w:rPr>
        <w:t>活动（</w:t>
      </w:r>
      <w:r>
        <w:rPr>
          <w:rFonts w:hint="eastAsia"/>
          <w:lang w:eastAsia="zh-CN"/>
        </w:rPr>
        <w:t>作为</w:t>
      </w:r>
      <w:r>
        <w:rPr>
          <w:rFonts w:hint="eastAsia"/>
          <w:lang w:eastAsia="zh-CN"/>
        </w:rPr>
        <w:t>2014</w:t>
      </w:r>
      <w:r>
        <w:rPr>
          <w:rFonts w:hint="eastAsia"/>
          <w:lang w:eastAsia="zh-CN"/>
        </w:rPr>
        <w:t>年</w:t>
      </w:r>
      <w:r>
        <w:rPr>
          <w:rFonts w:hint="eastAsia"/>
          <w:lang w:eastAsia="zh-CN"/>
        </w:rPr>
        <w:t>WSIS</w:t>
      </w:r>
      <w:r>
        <w:rPr>
          <w:rFonts w:hint="eastAsia"/>
          <w:lang w:eastAsia="zh-CN"/>
        </w:rPr>
        <w:t>论坛</w:t>
      </w:r>
      <w:r>
        <w:rPr>
          <w:lang w:eastAsia="zh-CN"/>
        </w:rPr>
        <w:t>的延伸）</w:t>
      </w:r>
      <w:r>
        <w:rPr>
          <w:rFonts w:hint="eastAsia"/>
          <w:lang w:eastAsia="zh-CN"/>
        </w:rPr>
        <w:t>的成果；</w:t>
      </w:r>
    </w:p>
    <w:p w14:paraId="4827B450" w14:textId="77777777" w:rsidR="001D06D0" w:rsidRPr="001F7F46" w:rsidRDefault="001D06D0" w:rsidP="001D06D0">
      <w:pPr>
        <w:rPr>
          <w:i/>
          <w:iCs/>
          <w:lang w:eastAsia="zh-CN"/>
        </w:rPr>
      </w:pPr>
      <w:r>
        <w:rPr>
          <w:rFonts w:hint="eastAsia"/>
          <w:i/>
          <w:iCs/>
          <w:lang w:eastAsia="zh-CN"/>
        </w:rPr>
        <w:t>g</w:t>
      </w:r>
      <w:r w:rsidRPr="001F7F46">
        <w:rPr>
          <w:i/>
          <w:iCs/>
          <w:lang w:eastAsia="zh-CN"/>
        </w:rPr>
        <w:t>)</w:t>
      </w:r>
      <w:r>
        <w:rPr>
          <w:i/>
          <w:iCs/>
          <w:lang w:eastAsia="zh-CN"/>
        </w:rPr>
        <w:tab/>
      </w:r>
      <w:r>
        <w:rPr>
          <w:rFonts w:hint="eastAsia"/>
          <w:lang w:eastAsia="zh-CN"/>
        </w:rPr>
        <w:t>题为“</w:t>
      </w:r>
      <w:r w:rsidRPr="001F7F46">
        <w:rPr>
          <w:lang w:eastAsia="zh-CN"/>
        </w:rPr>
        <w:t>WSIS+10</w:t>
      </w:r>
      <w:r w:rsidRPr="001F7F46">
        <w:rPr>
          <w:rFonts w:hint="eastAsia"/>
          <w:lang w:eastAsia="zh-CN"/>
        </w:rPr>
        <w:t>报告</w:t>
      </w:r>
      <w:r>
        <w:rPr>
          <w:rFonts w:hint="eastAsia"/>
          <w:lang w:eastAsia="zh-CN"/>
        </w:rPr>
        <w:t>：</w:t>
      </w:r>
      <w:r w:rsidRPr="001F7F46">
        <w:rPr>
          <w:rFonts w:hint="eastAsia"/>
          <w:lang w:eastAsia="zh-CN"/>
        </w:rPr>
        <w:t>国际电联在</w:t>
      </w:r>
      <w:r w:rsidRPr="001F7F46">
        <w:rPr>
          <w:lang w:eastAsia="zh-CN"/>
        </w:rPr>
        <w:t>WSIS</w:t>
      </w:r>
      <w:r w:rsidRPr="001F7F46">
        <w:rPr>
          <w:rFonts w:hint="eastAsia"/>
          <w:lang w:eastAsia="zh-CN"/>
        </w:rPr>
        <w:t>落实工作和后续工作方面的十年贡献（</w:t>
      </w:r>
      <w:r w:rsidRPr="001F7F46">
        <w:rPr>
          <w:lang w:eastAsia="zh-CN"/>
        </w:rPr>
        <w:t>2005-2014</w:t>
      </w:r>
      <w:r w:rsidRPr="001F7F46">
        <w:rPr>
          <w:rFonts w:hint="eastAsia"/>
          <w:lang w:eastAsia="zh-CN"/>
        </w:rPr>
        <w:t>年）</w:t>
      </w:r>
      <w:r>
        <w:rPr>
          <w:rFonts w:hint="eastAsia"/>
          <w:lang w:eastAsia="zh-CN"/>
        </w:rPr>
        <w:t>”的</w:t>
      </w:r>
      <w:r>
        <w:rPr>
          <w:lang w:eastAsia="zh-CN"/>
        </w:rPr>
        <w:t>国际电联报告</w:t>
      </w:r>
      <w:r>
        <w:rPr>
          <w:rFonts w:hint="eastAsia"/>
          <w:lang w:eastAsia="zh-CN"/>
        </w:rPr>
        <w:t>，概述了</w:t>
      </w:r>
      <w:r>
        <w:rPr>
          <w:lang w:eastAsia="zh-CN"/>
        </w:rPr>
        <w:t>国际电联</w:t>
      </w:r>
      <w:r>
        <w:rPr>
          <w:rFonts w:hint="eastAsia"/>
          <w:lang w:eastAsia="zh-CN"/>
        </w:rPr>
        <w:t>在</w:t>
      </w:r>
      <w:r>
        <w:rPr>
          <w:rFonts w:hint="eastAsia"/>
          <w:lang w:eastAsia="zh-CN"/>
        </w:rPr>
        <w:t>WSIS</w:t>
      </w:r>
      <w:r>
        <w:rPr>
          <w:rFonts w:hint="eastAsia"/>
          <w:lang w:eastAsia="zh-CN"/>
        </w:rPr>
        <w:t>方面开展</w:t>
      </w:r>
      <w:r>
        <w:rPr>
          <w:lang w:eastAsia="zh-CN"/>
        </w:rPr>
        <w:t>的活动；</w:t>
      </w:r>
    </w:p>
    <w:p w14:paraId="4827B451" w14:textId="77777777" w:rsidR="001D06D0" w:rsidRDefault="001D06D0" w:rsidP="001D06D0">
      <w:pPr>
        <w:rPr>
          <w:lang w:val="en-US" w:eastAsia="zh-CN"/>
        </w:rPr>
      </w:pPr>
      <w:r>
        <w:rPr>
          <w:rFonts w:hint="eastAsia"/>
          <w:i/>
          <w:iCs/>
          <w:lang w:val="en-US" w:eastAsia="zh-CN"/>
        </w:rPr>
        <w:t>h</w:t>
      </w:r>
      <w:r w:rsidRPr="00B55B99">
        <w:rPr>
          <w:rFonts w:hint="eastAsia"/>
          <w:i/>
          <w:iCs/>
          <w:lang w:val="en-US" w:eastAsia="zh-CN"/>
        </w:rPr>
        <w:t>)</w:t>
      </w:r>
      <w:r>
        <w:rPr>
          <w:rFonts w:hint="eastAsia"/>
          <w:lang w:eastAsia="zh-CN"/>
        </w:rPr>
        <w:tab/>
      </w:r>
      <w:r>
        <w:rPr>
          <w:rFonts w:hint="eastAsia"/>
          <w:lang w:eastAsia="zh-CN"/>
        </w:rPr>
        <w:t>国际电联秘书长为确保</w:t>
      </w:r>
      <w:r>
        <w:rPr>
          <w:lang w:eastAsia="zh-CN"/>
        </w:rPr>
        <w:t>WSIS+10</w:t>
      </w:r>
      <w:r>
        <w:rPr>
          <w:rFonts w:hint="eastAsia"/>
          <w:lang w:eastAsia="zh-CN"/>
        </w:rPr>
        <w:t>、</w:t>
      </w:r>
      <w:r>
        <w:rPr>
          <w:lang w:val="en-US" w:eastAsia="zh-CN"/>
        </w:rPr>
        <w:t>R</w:t>
      </w:r>
      <w:r>
        <w:rPr>
          <w:rFonts w:hint="eastAsia"/>
          <w:lang w:val="en-US" w:eastAsia="zh-CN"/>
        </w:rPr>
        <w:t>IO</w:t>
      </w:r>
      <w:r>
        <w:rPr>
          <w:lang w:val="en-US" w:eastAsia="zh-CN"/>
        </w:rPr>
        <w:t>+20</w:t>
      </w:r>
      <w:r>
        <w:rPr>
          <w:rFonts w:hint="eastAsia"/>
          <w:lang w:val="en-US" w:eastAsia="zh-CN"/>
        </w:rPr>
        <w:t>和《千年发展目标》审查进程之间形成合力所做的工作，</w:t>
      </w:r>
    </w:p>
    <w:p w14:paraId="4827B452" w14:textId="77777777" w:rsidR="001D06D0" w:rsidRPr="001F7F46" w:rsidRDefault="001D06D0" w:rsidP="001D06D0">
      <w:pPr>
        <w:pStyle w:val="Call"/>
        <w:rPr>
          <w:lang w:eastAsia="zh-CN"/>
        </w:rPr>
      </w:pPr>
      <w:r w:rsidRPr="001F7F46">
        <w:rPr>
          <w:rFonts w:hint="eastAsia"/>
          <w:lang w:eastAsia="zh-CN"/>
        </w:rPr>
        <w:t>赞赏</w:t>
      </w:r>
    </w:p>
    <w:p w14:paraId="4827B453" w14:textId="77777777" w:rsidR="001D06D0" w:rsidRDefault="001D06D0" w:rsidP="001D06D0">
      <w:pPr>
        <w:rPr>
          <w:lang w:eastAsia="zh-CN"/>
        </w:rPr>
      </w:pPr>
      <w:r>
        <w:rPr>
          <w:i/>
          <w:iCs/>
          <w:lang w:eastAsia="zh-CN"/>
        </w:rPr>
        <w:t>a)</w:t>
      </w:r>
      <w:r>
        <w:rPr>
          <w:rFonts w:ascii="KaiTi" w:eastAsia="KaiTi" w:hAnsi="KaiTi" w:hint="eastAsia"/>
          <w:lang w:eastAsia="zh-CN"/>
        </w:rPr>
        <w:tab/>
      </w:r>
      <w:r w:rsidRPr="007D5277">
        <w:rPr>
          <w:rFonts w:hint="eastAsia"/>
          <w:lang w:eastAsia="zh-CN"/>
        </w:rPr>
        <w:t>国际电联</w:t>
      </w:r>
      <w:r>
        <w:rPr>
          <w:rFonts w:hint="eastAsia"/>
          <w:lang w:eastAsia="zh-CN"/>
        </w:rPr>
        <w:t>为筹备并举行有关全面审查的</w:t>
      </w:r>
      <w:r>
        <w:rPr>
          <w:rFonts w:hint="eastAsia"/>
          <w:lang w:eastAsia="zh-CN"/>
        </w:rPr>
        <w:t>WSIS+10</w:t>
      </w:r>
      <w:r>
        <w:rPr>
          <w:rFonts w:hint="eastAsia"/>
          <w:lang w:eastAsia="zh-CN"/>
        </w:rPr>
        <w:t>高级别活动所做的工作，该活动是</w:t>
      </w:r>
      <w:r>
        <w:rPr>
          <w:rFonts w:hint="eastAsia"/>
          <w:lang w:eastAsia="zh-CN"/>
        </w:rPr>
        <w:t>2014</w:t>
      </w:r>
      <w:r>
        <w:rPr>
          <w:rFonts w:hint="eastAsia"/>
          <w:lang w:eastAsia="zh-CN"/>
        </w:rPr>
        <w:t>年</w:t>
      </w:r>
      <w:r>
        <w:rPr>
          <w:rFonts w:hint="eastAsia"/>
          <w:lang w:eastAsia="zh-CN"/>
        </w:rPr>
        <w:t>WSIS</w:t>
      </w:r>
      <w:r>
        <w:rPr>
          <w:rFonts w:hint="eastAsia"/>
          <w:lang w:eastAsia="zh-CN"/>
        </w:rPr>
        <w:t>论坛的延伸；</w:t>
      </w:r>
    </w:p>
    <w:p w14:paraId="4827B454" w14:textId="6D740AFF" w:rsidR="001D06D0" w:rsidRDefault="001D06D0" w:rsidP="001D06D0">
      <w:pPr>
        <w:rPr>
          <w:lang w:eastAsia="zh-CN"/>
        </w:rPr>
      </w:pPr>
      <w:r>
        <w:rPr>
          <w:i/>
          <w:iCs/>
          <w:lang w:eastAsia="zh-CN"/>
        </w:rPr>
        <w:t>b)</w:t>
      </w:r>
      <w:r>
        <w:rPr>
          <w:rFonts w:ascii="KaiTi" w:eastAsia="KaiTi" w:hAnsi="KaiTi" w:hint="eastAsia"/>
          <w:lang w:eastAsia="zh-CN"/>
        </w:rPr>
        <w:tab/>
      </w:r>
      <w:r>
        <w:rPr>
          <w:rFonts w:hint="eastAsia"/>
          <w:lang w:eastAsia="zh-CN"/>
        </w:rPr>
        <w:t>国际电联秘书长为落实理事会</w:t>
      </w:r>
      <w:r>
        <w:rPr>
          <w:lang w:eastAsia="zh-CN"/>
        </w:rPr>
        <w:t>201</w:t>
      </w:r>
      <w:r>
        <w:rPr>
          <w:rFonts w:hint="eastAsia"/>
          <w:lang w:eastAsia="zh-CN"/>
        </w:rPr>
        <w:t>3</w:t>
      </w:r>
      <w:r>
        <w:rPr>
          <w:rFonts w:hint="eastAsia"/>
          <w:lang w:eastAsia="zh-CN"/>
        </w:rPr>
        <w:t>年会议第</w:t>
      </w:r>
      <w:r>
        <w:rPr>
          <w:lang w:eastAsia="zh-CN"/>
        </w:rPr>
        <w:t>1334</w:t>
      </w:r>
      <w:r>
        <w:rPr>
          <w:rFonts w:hint="eastAsia"/>
          <w:lang w:eastAsia="zh-CN"/>
        </w:rPr>
        <w:t>号决议（</w:t>
      </w:r>
      <w:r>
        <w:rPr>
          <w:lang w:eastAsia="zh-CN"/>
        </w:rPr>
        <w:t>2013</w:t>
      </w:r>
      <w:r>
        <w:rPr>
          <w:rFonts w:hint="eastAsia"/>
          <w:lang w:eastAsia="zh-CN"/>
        </w:rPr>
        <w:t>年</w:t>
      </w:r>
      <w:r w:rsidR="000078F2">
        <w:rPr>
          <w:rFonts w:hint="eastAsia"/>
          <w:lang w:eastAsia="zh-CN"/>
        </w:rPr>
        <w:t>，</w:t>
      </w:r>
      <w:r>
        <w:rPr>
          <w:rFonts w:hint="eastAsia"/>
          <w:lang w:eastAsia="zh-CN"/>
        </w:rPr>
        <w:t>修</w:t>
      </w:r>
      <w:r w:rsidR="000078F2">
        <w:rPr>
          <w:rFonts w:hint="eastAsia"/>
          <w:lang w:eastAsia="zh-CN"/>
        </w:rPr>
        <w:t>改</w:t>
      </w:r>
      <w:r>
        <w:rPr>
          <w:rFonts w:hint="eastAsia"/>
          <w:lang w:eastAsia="zh-CN"/>
        </w:rPr>
        <w:t>版）做出的努力；</w:t>
      </w:r>
    </w:p>
    <w:p w14:paraId="4827B455" w14:textId="77777777" w:rsidR="001D06D0" w:rsidRPr="00D5386F" w:rsidRDefault="001D06D0" w:rsidP="0048501C">
      <w:pPr>
        <w:rPr>
          <w:lang w:eastAsia="zh-CN"/>
        </w:rPr>
      </w:pPr>
      <w:r>
        <w:rPr>
          <w:i/>
          <w:iCs/>
          <w:lang w:val="en-US" w:eastAsia="zh-CN"/>
        </w:rPr>
        <w:t>c</w:t>
      </w:r>
      <w:r w:rsidRPr="00B55B99">
        <w:rPr>
          <w:rFonts w:hint="eastAsia"/>
          <w:i/>
          <w:iCs/>
          <w:lang w:val="en-US" w:eastAsia="zh-CN"/>
        </w:rPr>
        <w:t>)</w:t>
      </w:r>
      <w:r>
        <w:rPr>
          <w:rFonts w:hint="eastAsia"/>
          <w:lang w:eastAsia="zh-CN"/>
        </w:rPr>
        <w:tab/>
      </w:r>
      <w:r w:rsidR="0048501C">
        <w:rPr>
          <w:rFonts w:hint="eastAsia"/>
          <w:lang w:eastAsia="zh-CN"/>
        </w:rPr>
        <w:t>电信发展局主任</w:t>
      </w:r>
      <w:r w:rsidRPr="0045463E">
        <w:rPr>
          <w:rFonts w:hint="eastAsia"/>
          <w:lang w:eastAsia="zh-CN"/>
        </w:rPr>
        <w:t>为满足</w:t>
      </w:r>
      <w:r w:rsidRPr="0045463E">
        <w:rPr>
          <w:lang w:eastAsia="zh-CN"/>
        </w:rPr>
        <w:t>WSIS+10</w:t>
      </w:r>
      <w:r w:rsidRPr="0045463E">
        <w:rPr>
          <w:rFonts w:hint="eastAsia"/>
          <w:lang w:eastAsia="zh-CN"/>
        </w:rPr>
        <w:t>的财务需求调配预算外资源的努力，同时鼓励所有成员国为国际电联</w:t>
      </w:r>
      <w:r w:rsidRPr="0045463E">
        <w:rPr>
          <w:lang w:eastAsia="zh-CN"/>
        </w:rPr>
        <w:t>WSIS</w:t>
      </w:r>
      <w:r w:rsidRPr="0045463E">
        <w:rPr>
          <w:rFonts w:hint="eastAsia"/>
          <w:lang w:eastAsia="zh-CN"/>
        </w:rPr>
        <w:t>信托基金捐款</w:t>
      </w:r>
      <w:r>
        <w:rPr>
          <w:rFonts w:hint="eastAsia"/>
          <w:lang w:eastAsia="zh-CN"/>
        </w:rPr>
        <w:t>，</w:t>
      </w:r>
    </w:p>
    <w:p w14:paraId="4827B456"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lang w:eastAsia="zh-CN"/>
        </w:rPr>
        <w:br w:type="page"/>
      </w:r>
    </w:p>
    <w:p w14:paraId="4827B457" w14:textId="77777777" w:rsidR="001D06D0" w:rsidRPr="001F7F46" w:rsidRDefault="001D06D0" w:rsidP="001D06D0">
      <w:pPr>
        <w:pStyle w:val="Call"/>
        <w:rPr>
          <w:lang w:val="en-US" w:eastAsia="zh-CN"/>
        </w:rPr>
      </w:pPr>
      <w:r w:rsidRPr="001F7F46">
        <w:rPr>
          <w:rFonts w:hint="eastAsia"/>
          <w:lang w:eastAsia="zh-CN"/>
        </w:rPr>
        <w:lastRenderedPageBreak/>
        <w:t>考虑到</w:t>
      </w:r>
      <w:r w:rsidRPr="002501DE">
        <w:rPr>
          <w:rFonts w:ascii="Calibri" w:hAnsi="Calibri"/>
          <w:lang w:eastAsia="zh-CN"/>
        </w:rPr>
        <w:t>2014</w:t>
      </w:r>
      <w:r w:rsidRPr="001F7F46">
        <w:rPr>
          <w:rFonts w:hint="eastAsia"/>
          <w:lang w:eastAsia="zh-CN"/>
        </w:rPr>
        <w:t>年全权代表大会</w:t>
      </w:r>
      <w:r>
        <w:rPr>
          <w:rFonts w:hint="eastAsia"/>
          <w:lang w:eastAsia="zh-CN"/>
        </w:rPr>
        <w:t>已</w:t>
      </w:r>
      <w:r w:rsidRPr="001F7F46">
        <w:rPr>
          <w:rFonts w:hint="eastAsia"/>
          <w:lang w:eastAsia="zh-CN"/>
        </w:rPr>
        <w:t>做出决议</w:t>
      </w:r>
    </w:p>
    <w:p w14:paraId="4827B458" w14:textId="77777777" w:rsidR="001D06D0" w:rsidRDefault="001D06D0" w:rsidP="001D06D0">
      <w:pPr>
        <w:rPr>
          <w:lang w:val="fr-FR" w:eastAsia="zh-CN"/>
        </w:rPr>
      </w:pPr>
      <w:r w:rsidRPr="005114E2">
        <w:rPr>
          <w:rFonts w:cs="Calibri"/>
          <w:i/>
          <w:iCs/>
          <w:color w:val="000000"/>
          <w:szCs w:val="24"/>
          <w:lang w:val="en-US" w:eastAsia="zh-CN"/>
        </w:rPr>
        <w:t>a)</w:t>
      </w:r>
      <w:r>
        <w:rPr>
          <w:rFonts w:cs="Calibri"/>
          <w:color w:val="000000"/>
          <w:szCs w:val="24"/>
          <w:lang w:val="en-US" w:eastAsia="zh-CN"/>
        </w:rPr>
        <w:tab/>
      </w:r>
      <w:r w:rsidRPr="00CF2C58">
        <w:rPr>
          <w:rFonts w:hint="eastAsia"/>
          <w:lang w:val="fr-FR" w:eastAsia="zh-CN"/>
        </w:rPr>
        <w:t>向</w:t>
      </w:r>
      <w:r w:rsidRPr="00CF2C58">
        <w:rPr>
          <w:rFonts w:hint="eastAsia"/>
          <w:lang w:val="fr-FR" w:eastAsia="zh-CN"/>
        </w:rPr>
        <w:t>2015</w:t>
      </w:r>
      <w:r w:rsidRPr="00CF2C58">
        <w:rPr>
          <w:rFonts w:hint="eastAsia"/>
          <w:lang w:val="fr-FR" w:eastAsia="zh-CN"/>
        </w:rPr>
        <w:t>年</w:t>
      </w:r>
      <w:r w:rsidRPr="00CF2C58">
        <w:rPr>
          <w:rFonts w:hint="eastAsia"/>
          <w:lang w:val="fr-FR" w:eastAsia="zh-CN"/>
        </w:rPr>
        <w:t>12</w:t>
      </w:r>
      <w:r w:rsidRPr="00CF2C58">
        <w:rPr>
          <w:rFonts w:hint="eastAsia"/>
          <w:lang w:val="fr-FR" w:eastAsia="zh-CN"/>
        </w:rPr>
        <w:t>月的联大全面审查会议提交通过</w:t>
      </w:r>
      <w:r>
        <w:rPr>
          <w:rFonts w:hint="eastAsia"/>
          <w:lang w:val="fr-FR" w:eastAsia="zh-CN"/>
        </w:rPr>
        <w:t>利益攸关多方筹备</w:t>
      </w:r>
      <w:r>
        <w:rPr>
          <w:lang w:val="fr-FR" w:eastAsia="zh-CN"/>
        </w:rPr>
        <w:t>进程（</w:t>
      </w:r>
      <w:r w:rsidRPr="00CF2C58">
        <w:rPr>
          <w:rFonts w:hint="eastAsia"/>
          <w:lang w:val="fr-FR" w:eastAsia="zh-CN"/>
        </w:rPr>
        <w:t>MPP</w:t>
      </w:r>
      <w:r>
        <w:rPr>
          <w:rFonts w:hint="eastAsia"/>
          <w:lang w:val="fr-FR" w:eastAsia="zh-CN"/>
        </w:rPr>
        <w:t>）</w:t>
      </w:r>
      <w:r w:rsidRPr="00CF2C58">
        <w:rPr>
          <w:rFonts w:hint="eastAsia"/>
          <w:lang w:val="fr-FR" w:eastAsia="zh-CN"/>
        </w:rPr>
        <w:t>制定</w:t>
      </w:r>
      <w:r>
        <w:rPr>
          <w:rFonts w:hint="eastAsia"/>
          <w:lang w:val="fr-FR" w:eastAsia="zh-CN"/>
        </w:rPr>
        <w:t>的、由</w:t>
      </w:r>
      <w:r w:rsidRPr="00CF2C58">
        <w:rPr>
          <w:rFonts w:hint="eastAsia"/>
          <w:lang w:val="fr-FR" w:eastAsia="zh-CN"/>
        </w:rPr>
        <w:t>国际电联协调开展的</w:t>
      </w:r>
      <w:r w:rsidRPr="00CF2C58">
        <w:rPr>
          <w:rFonts w:hint="eastAsia"/>
          <w:lang w:val="fr-FR" w:eastAsia="zh-CN"/>
        </w:rPr>
        <w:t>WSIS+10</w:t>
      </w:r>
      <w:r w:rsidRPr="00CF2C58">
        <w:rPr>
          <w:rFonts w:hint="eastAsia"/>
          <w:lang w:val="fr-FR" w:eastAsia="zh-CN"/>
        </w:rPr>
        <w:t>高级别活动的成功成果文件；</w:t>
      </w:r>
    </w:p>
    <w:p w14:paraId="4827B459" w14:textId="77777777" w:rsidR="001D06D0" w:rsidRDefault="001D06D0" w:rsidP="001D06D0">
      <w:pPr>
        <w:rPr>
          <w:lang w:val="fr-FR" w:eastAsia="zh-CN"/>
        </w:rPr>
      </w:pPr>
      <w:r w:rsidRPr="005114E2">
        <w:rPr>
          <w:rFonts w:cs="Calibri"/>
          <w:i/>
          <w:iCs/>
          <w:color w:val="000000"/>
          <w:spacing w:val="2"/>
          <w:szCs w:val="24"/>
          <w:lang w:val="en-US" w:eastAsia="zh-CN"/>
        </w:rPr>
        <w:t>b)</w:t>
      </w:r>
      <w:r w:rsidRPr="00702193">
        <w:rPr>
          <w:rFonts w:cs="Calibri"/>
          <w:color w:val="000000"/>
          <w:spacing w:val="2"/>
          <w:szCs w:val="24"/>
          <w:lang w:val="en-US" w:eastAsia="zh-CN"/>
        </w:rPr>
        <w:tab/>
      </w:r>
      <w:r w:rsidRPr="00702193">
        <w:rPr>
          <w:rFonts w:hint="eastAsia"/>
          <w:spacing w:val="2"/>
          <w:lang w:val="fr-FR" w:eastAsia="zh-CN"/>
        </w:rPr>
        <w:t>鼓励联大审议通过</w:t>
      </w:r>
      <w:r w:rsidRPr="00702193">
        <w:rPr>
          <w:rFonts w:hint="eastAsia"/>
          <w:spacing w:val="2"/>
          <w:lang w:val="fr-FR" w:eastAsia="zh-CN"/>
        </w:rPr>
        <w:t>MPP</w:t>
      </w:r>
      <w:r w:rsidRPr="00702193">
        <w:rPr>
          <w:rFonts w:hint="eastAsia"/>
          <w:spacing w:val="2"/>
          <w:lang w:val="fr-FR" w:eastAsia="zh-CN"/>
        </w:rPr>
        <w:t>制定的</w:t>
      </w:r>
      <w:r w:rsidRPr="00702193">
        <w:rPr>
          <w:rFonts w:hint="eastAsia"/>
          <w:spacing w:val="2"/>
          <w:lang w:val="fr-FR" w:eastAsia="zh-CN"/>
        </w:rPr>
        <w:t>WSIS+10</w:t>
      </w:r>
      <w:r w:rsidRPr="00702193">
        <w:rPr>
          <w:rFonts w:hint="eastAsia"/>
          <w:spacing w:val="2"/>
          <w:lang w:val="fr-FR" w:eastAsia="zh-CN"/>
        </w:rPr>
        <w:t>高级别活动成果文件，这些文件梳理了</w:t>
      </w:r>
      <w:r w:rsidRPr="00702193">
        <w:rPr>
          <w:rFonts w:hint="eastAsia"/>
          <w:spacing w:val="2"/>
          <w:lang w:val="fr-FR" w:eastAsia="zh-CN"/>
        </w:rPr>
        <w:t>2003</w:t>
      </w:r>
      <w:r w:rsidRPr="00CF2C58">
        <w:rPr>
          <w:rFonts w:hint="eastAsia"/>
          <w:lang w:val="fr-FR" w:eastAsia="zh-CN"/>
        </w:rPr>
        <w:t>年日内瓦阶段会议成果落实工作所取得的进展，并探讨了可能存在的</w:t>
      </w:r>
      <w:r w:rsidRPr="00CF2C58">
        <w:rPr>
          <w:rFonts w:hint="eastAsia"/>
          <w:lang w:val="fr-FR" w:eastAsia="zh-CN"/>
        </w:rPr>
        <w:t>ICT</w:t>
      </w:r>
      <w:r w:rsidRPr="00CF2C58">
        <w:rPr>
          <w:rFonts w:hint="eastAsia"/>
          <w:lang w:val="fr-FR" w:eastAsia="zh-CN"/>
        </w:rPr>
        <w:t>差距和需继续关注的领域以及包括弥合数字鸿沟和利用</w:t>
      </w:r>
      <w:r w:rsidRPr="00CF2C58">
        <w:rPr>
          <w:rFonts w:hint="eastAsia"/>
          <w:lang w:val="fr-FR" w:eastAsia="zh-CN"/>
        </w:rPr>
        <w:t>ICT</w:t>
      </w:r>
      <w:r w:rsidRPr="00CF2C58">
        <w:rPr>
          <w:rFonts w:hint="eastAsia"/>
          <w:lang w:val="fr-FR" w:eastAsia="zh-CN"/>
        </w:rPr>
        <w:t>促发展在内的多项挑战；</w:t>
      </w:r>
    </w:p>
    <w:p w14:paraId="4827B45A" w14:textId="77777777" w:rsidR="001D06D0" w:rsidRDefault="001D06D0" w:rsidP="001D06D0">
      <w:pPr>
        <w:rPr>
          <w:lang w:val="fr-FR" w:eastAsia="zh-CN"/>
        </w:rPr>
      </w:pPr>
      <w:r w:rsidRPr="005114E2">
        <w:rPr>
          <w:rFonts w:cs="Calibri"/>
          <w:i/>
          <w:iCs/>
          <w:color w:val="000000"/>
          <w:szCs w:val="24"/>
          <w:lang w:val="en-US" w:eastAsia="zh-CN"/>
        </w:rPr>
        <w:t>c)</w:t>
      </w:r>
      <w:r>
        <w:rPr>
          <w:rFonts w:cs="Calibri"/>
          <w:color w:val="000000"/>
          <w:szCs w:val="24"/>
          <w:lang w:val="en-US" w:eastAsia="zh-CN"/>
        </w:rPr>
        <w:tab/>
      </w:r>
      <w:r w:rsidRPr="00CF2C58">
        <w:rPr>
          <w:rFonts w:hint="eastAsia"/>
          <w:lang w:val="fr-FR" w:eastAsia="zh-CN"/>
        </w:rPr>
        <w:t>在联大组织的</w:t>
      </w:r>
      <w:r>
        <w:rPr>
          <w:rFonts w:hint="eastAsia"/>
          <w:lang w:val="fr-FR" w:eastAsia="zh-CN"/>
        </w:rPr>
        <w:t>有</w:t>
      </w:r>
      <w:r>
        <w:rPr>
          <w:lang w:val="fr-FR" w:eastAsia="zh-CN"/>
        </w:rPr>
        <w:t>关</w:t>
      </w:r>
      <w:r w:rsidRPr="00CF2C58">
        <w:rPr>
          <w:rFonts w:hint="eastAsia"/>
          <w:lang w:val="fr-FR" w:eastAsia="zh-CN"/>
        </w:rPr>
        <w:t>2015</w:t>
      </w:r>
      <w:r>
        <w:rPr>
          <w:rFonts w:hint="eastAsia"/>
          <w:lang w:val="fr-FR" w:eastAsia="zh-CN"/>
        </w:rPr>
        <w:t>年后发展议程的讨论中，国际电联</w:t>
      </w:r>
      <w:r w:rsidRPr="00CF2C58">
        <w:rPr>
          <w:rFonts w:hint="eastAsia"/>
          <w:lang w:val="fr-FR" w:eastAsia="zh-CN"/>
        </w:rPr>
        <w:t>与</w:t>
      </w:r>
      <w:r>
        <w:rPr>
          <w:rFonts w:hint="eastAsia"/>
          <w:lang w:val="fr-FR" w:eastAsia="zh-CN"/>
        </w:rPr>
        <w:t>联合国教科文组织（</w:t>
      </w:r>
      <w:r w:rsidRPr="00CF2C58">
        <w:rPr>
          <w:rFonts w:hint="eastAsia"/>
          <w:lang w:val="fr-FR" w:eastAsia="zh-CN"/>
        </w:rPr>
        <w:t>UNESCO</w:t>
      </w:r>
      <w:r>
        <w:rPr>
          <w:rFonts w:hint="eastAsia"/>
          <w:lang w:val="fr-FR" w:eastAsia="zh-CN"/>
        </w:rPr>
        <w:t>）</w:t>
      </w:r>
      <w:r w:rsidRPr="00CF2C58">
        <w:rPr>
          <w:rFonts w:hint="eastAsia"/>
          <w:lang w:val="fr-FR" w:eastAsia="zh-CN"/>
        </w:rPr>
        <w:t>、</w:t>
      </w:r>
      <w:r>
        <w:rPr>
          <w:rFonts w:hint="eastAsia"/>
          <w:lang w:val="fr-FR" w:eastAsia="zh-CN"/>
        </w:rPr>
        <w:t>联合国贸易和发展会议（</w:t>
      </w:r>
      <w:r w:rsidRPr="00CF2C58">
        <w:rPr>
          <w:rFonts w:hint="eastAsia"/>
          <w:lang w:val="fr-FR" w:eastAsia="zh-CN"/>
        </w:rPr>
        <w:t>UNCTAD</w:t>
      </w:r>
      <w:r>
        <w:rPr>
          <w:rFonts w:hint="eastAsia"/>
          <w:lang w:val="fr-FR" w:eastAsia="zh-CN"/>
        </w:rPr>
        <w:t>）</w:t>
      </w:r>
      <w:r w:rsidRPr="00CF2C58">
        <w:rPr>
          <w:rFonts w:hint="eastAsia"/>
          <w:lang w:val="fr-FR" w:eastAsia="zh-CN"/>
        </w:rPr>
        <w:t>以及</w:t>
      </w:r>
      <w:r>
        <w:rPr>
          <w:rFonts w:hint="eastAsia"/>
          <w:lang w:val="fr-FR" w:eastAsia="zh-CN"/>
        </w:rPr>
        <w:t>联合国开发计划署（</w:t>
      </w:r>
      <w:r w:rsidRPr="00CF2C58">
        <w:rPr>
          <w:rFonts w:hint="eastAsia"/>
          <w:lang w:val="fr-FR" w:eastAsia="zh-CN"/>
        </w:rPr>
        <w:t>UNDP</w:t>
      </w:r>
      <w:r>
        <w:rPr>
          <w:rFonts w:hint="eastAsia"/>
          <w:lang w:val="fr-FR" w:eastAsia="zh-CN"/>
        </w:rPr>
        <w:t>）</w:t>
      </w:r>
      <w:r w:rsidRPr="00CF2C58">
        <w:rPr>
          <w:rFonts w:hint="eastAsia"/>
          <w:lang w:val="fr-FR" w:eastAsia="zh-CN"/>
        </w:rPr>
        <w:t>协调，</w:t>
      </w:r>
      <w:r>
        <w:rPr>
          <w:rFonts w:hint="eastAsia"/>
          <w:lang w:val="fr-FR" w:eastAsia="zh-CN"/>
        </w:rPr>
        <w:t>积极</w:t>
      </w:r>
      <w:r>
        <w:rPr>
          <w:lang w:val="fr-FR" w:eastAsia="zh-CN"/>
        </w:rPr>
        <w:t>发表了</w:t>
      </w:r>
      <w:r w:rsidRPr="00CF2C58">
        <w:rPr>
          <w:rFonts w:hint="eastAsia"/>
          <w:lang w:val="fr-FR" w:eastAsia="zh-CN"/>
        </w:rPr>
        <w:t>ICT</w:t>
      </w:r>
      <w:r w:rsidRPr="00CF2C58">
        <w:rPr>
          <w:rFonts w:hint="eastAsia"/>
          <w:lang w:val="fr-FR" w:eastAsia="zh-CN"/>
        </w:rPr>
        <w:t>促发展</w:t>
      </w:r>
      <w:r>
        <w:rPr>
          <w:rFonts w:hint="eastAsia"/>
          <w:lang w:val="fr-FR" w:eastAsia="zh-CN"/>
        </w:rPr>
        <w:t>的</w:t>
      </w:r>
      <w:r>
        <w:rPr>
          <w:lang w:val="fr-FR" w:eastAsia="zh-CN"/>
        </w:rPr>
        <w:t>看法</w:t>
      </w:r>
      <w:r w:rsidRPr="00CF2C58">
        <w:rPr>
          <w:rFonts w:hint="eastAsia"/>
          <w:lang w:val="fr-FR" w:eastAsia="zh-CN"/>
        </w:rPr>
        <w:t>，同时顾及</w:t>
      </w:r>
      <w:r w:rsidRPr="00CF2C58">
        <w:rPr>
          <w:rFonts w:hint="eastAsia"/>
          <w:lang w:val="fr-FR" w:eastAsia="zh-CN"/>
        </w:rPr>
        <w:t>WSIS+10</w:t>
      </w:r>
      <w:r w:rsidRPr="00CF2C58">
        <w:rPr>
          <w:rFonts w:hint="eastAsia"/>
          <w:lang w:val="fr-FR" w:eastAsia="zh-CN"/>
        </w:rPr>
        <w:t>高级别活动（</w:t>
      </w:r>
      <w:r w:rsidRPr="00CF2C58">
        <w:rPr>
          <w:rFonts w:hint="eastAsia"/>
          <w:lang w:val="fr-FR" w:eastAsia="zh-CN"/>
        </w:rPr>
        <w:t>2014</w:t>
      </w:r>
      <w:r w:rsidRPr="00CF2C58">
        <w:rPr>
          <w:rFonts w:hint="eastAsia"/>
          <w:lang w:val="fr-FR" w:eastAsia="zh-CN"/>
        </w:rPr>
        <w:t>年）</w:t>
      </w:r>
      <w:r>
        <w:rPr>
          <w:rFonts w:hint="eastAsia"/>
          <w:lang w:val="fr-FR" w:eastAsia="zh-CN"/>
        </w:rPr>
        <w:t>的</w:t>
      </w:r>
      <w:r w:rsidRPr="00CF2C58">
        <w:rPr>
          <w:rFonts w:hint="eastAsia"/>
          <w:lang w:val="fr-FR" w:eastAsia="zh-CN"/>
        </w:rPr>
        <w:t>成果文件，</w:t>
      </w:r>
      <w:r>
        <w:rPr>
          <w:rFonts w:hint="eastAsia"/>
          <w:lang w:val="fr-FR" w:eastAsia="zh-CN"/>
        </w:rPr>
        <w:t>侧重于通过可持续发展弥合数字鸿沟，</w:t>
      </w:r>
    </w:p>
    <w:p w14:paraId="4827B45B" w14:textId="77777777" w:rsidR="001D06D0" w:rsidRPr="001F7F46" w:rsidRDefault="001D06D0" w:rsidP="001D06D0">
      <w:pPr>
        <w:pStyle w:val="Call"/>
        <w:rPr>
          <w:szCs w:val="24"/>
          <w:lang w:eastAsia="zh-CN"/>
        </w:rPr>
      </w:pPr>
      <w:r>
        <w:rPr>
          <w:rFonts w:hint="eastAsia"/>
          <w:szCs w:val="24"/>
          <w:lang w:eastAsia="zh-CN"/>
        </w:rPr>
        <w:t>做出</w:t>
      </w:r>
      <w:r>
        <w:rPr>
          <w:szCs w:val="24"/>
          <w:lang w:eastAsia="zh-CN"/>
        </w:rPr>
        <w:t>决议</w:t>
      </w:r>
      <w:r>
        <w:rPr>
          <w:rFonts w:hint="eastAsia"/>
          <w:szCs w:val="24"/>
          <w:lang w:eastAsia="zh-CN"/>
        </w:rPr>
        <w:t>，</w:t>
      </w:r>
      <w:r w:rsidRPr="001F7F46">
        <w:rPr>
          <w:rFonts w:hint="eastAsia"/>
          <w:szCs w:val="24"/>
          <w:lang w:eastAsia="zh-CN"/>
        </w:rPr>
        <w:t>责成秘书长</w:t>
      </w:r>
    </w:p>
    <w:p w14:paraId="4827B45C" w14:textId="77777777" w:rsidR="001D06D0" w:rsidRPr="002A7319" w:rsidRDefault="001D06D0" w:rsidP="001D06D0">
      <w:pPr>
        <w:snapToGrid w:val="0"/>
        <w:spacing w:after="120"/>
        <w:rPr>
          <w:rFonts w:cstheme="minorHAnsi"/>
          <w:szCs w:val="24"/>
          <w:lang w:eastAsia="zh-CN"/>
        </w:rPr>
      </w:pPr>
      <w:r>
        <w:rPr>
          <w:rFonts w:cstheme="minorHAnsi" w:hint="eastAsia"/>
          <w:szCs w:val="24"/>
          <w:lang w:eastAsia="zh-CN"/>
        </w:rPr>
        <w:t>1</w:t>
      </w:r>
      <w:r>
        <w:rPr>
          <w:rFonts w:cstheme="minorHAnsi" w:hint="eastAsia"/>
          <w:szCs w:val="24"/>
          <w:lang w:eastAsia="zh-CN"/>
        </w:rPr>
        <w:tab/>
      </w:r>
      <w:r w:rsidRPr="003E3AA5">
        <w:rPr>
          <w:rFonts w:cstheme="minorHAnsi" w:hint="eastAsia"/>
          <w:szCs w:val="24"/>
          <w:lang w:eastAsia="zh-CN"/>
        </w:rPr>
        <w:t>采取一切可能措施，鼓励所有联合国组织—特别是那些在《突尼斯议程》中承担了与落实</w:t>
      </w:r>
      <w:r w:rsidRPr="003E3AA5">
        <w:rPr>
          <w:rFonts w:cstheme="minorHAnsi" w:hint="eastAsia"/>
          <w:szCs w:val="24"/>
          <w:lang w:eastAsia="zh-CN"/>
        </w:rPr>
        <w:t>WSIS</w:t>
      </w:r>
      <w:r w:rsidRPr="003E3AA5">
        <w:rPr>
          <w:rFonts w:cstheme="minorHAnsi" w:hint="eastAsia"/>
          <w:szCs w:val="24"/>
          <w:lang w:eastAsia="zh-CN"/>
        </w:rPr>
        <w:t>成果有关的具体任务的联合国组织（包括所有</w:t>
      </w:r>
      <w:r w:rsidRPr="003E3AA5">
        <w:rPr>
          <w:rFonts w:cstheme="minorHAnsi" w:hint="eastAsia"/>
          <w:szCs w:val="24"/>
          <w:lang w:eastAsia="zh-CN"/>
        </w:rPr>
        <w:t>WSIS</w:t>
      </w:r>
      <w:r w:rsidRPr="003E3AA5">
        <w:rPr>
          <w:rFonts w:cstheme="minorHAnsi" w:hint="eastAsia"/>
          <w:szCs w:val="24"/>
          <w:lang w:eastAsia="zh-CN"/>
        </w:rPr>
        <w:t>行动方面推进方）</w:t>
      </w:r>
      <w:r>
        <w:rPr>
          <w:rFonts w:cstheme="minorHAnsi"/>
          <w:szCs w:val="24"/>
          <w:lang w:val="en-US" w:eastAsia="zh-CN"/>
        </w:rPr>
        <w:t>–</w:t>
      </w:r>
      <w:r>
        <w:rPr>
          <w:rFonts w:cstheme="minorHAnsi" w:hint="eastAsia"/>
          <w:szCs w:val="24"/>
          <w:lang w:val="en-US" w:eastAsia="zh-CN"/>
        </w:rPr>
        <w:t xml:space="preserve"> </w:t>
      </w:r>
      <w:r w:rsidRPr="003E3AA5">
        <w:rPr>
          <w:rFonts w:cstheme="minorHAnsi" w:hint="eastAsia"/>
          <w:szCs w:val="24"/>
          <w:lang w:eastAsia="zh-CN"/>
        </w:rPr>
        <w:t>能够全面地参与进来；</w:t>
      </w:r>
    </w:p>
    <w:p w14:paraId="4827B45D" w14:textId="77777777" w:rsidR="001D06D0" w:rsidRPr="002A7319" w:rsidRDefault="001D06D0" w:rsidP="001D06D0">
      <w:pPr>
        <w:rPr>
          <w:lang w:eastAsia="zh-CN"/>
        </w:rPr>
      </w:pPr>
      <w:r>
        <w:rPr>
          <w:lang w:eastAsia="zh-CN"/>
        </w:rPr>
        <w:t>2</w:t>
      </w:r>
      <w:r>
        <w:rPr>
          <w:rFonts w:hint="eastAsia"/>
          <w:lang w:eastAsia="zh-CN"/>
        </w:rPr>
        <w:tab/>
      </w:r>
      <w:r>
        <w:rPr>
          <w:rFonts w:hint="eastAsia"/>
          <w:lang w:eastAsia="zh-CN"/>
        </w:rPr>
        <w:t>按照联大</w:t>
      </w:r>
      <w:r>
        <w:rPr>
          <w:rFonts w:hint="eastAsia"/>
          <w:lang w:eastAsia="zh-CN"/>
        </w:rPr>
        <w:t>68/302</w:t>
      </w:r>
      <w:r>
        <w:rPr>
          <w:rFonts w:hint="eastAsia"/>
          <w:lang w:eastAsia="zh-CN"/>
        </w:rPr>
        <w:t>号决议规定的模式，向</w:t>
      </w:r>
      <w:r>
        <w:rPr>
          <w:rFonts w:hint="eastAsia"/>
          <w:lang w:eastAsia="zh-CN"/>
        </w:rPr>
        <w:t>2015</w:t>
      </w:r>
      <w:r>
        <w:rPr>
          <w:rFonts w:hint="eastAsia"/>
          <w:lang w:eastAsia="zh-CN"/>
        </w:rPr>
        <w:t>年</w:t>
      </w:r>
      <w:r>
        <w:rPr>
          <w:rFonts w:hint="eastAsia"/>
          <w:lang w:eastAsia="zh-CN"/>
        </w:rPr>
        <w:t>12</w:t>
      </w:r>
      <w:r>
        <w:rPr>
          <w:rFonts w:hint="eastAsia"/>
          <w:lang w:eastAsia="zh-CN"/>
        </w:rPr>
        <w:t>月的联大全面审查会议提交并</w:t>
      </w:r>
      <w:r>
        <w:rPr>
          <w:lang w:eastAsia="zh-CN"/>
        </w:rPr>
        <w:t>宣传</w:t>
      </w:r>
      <w:r>
        <w:rPr>
          <w:rFonts w:hint="eastAsia"/>
          <w:lang w:eastAsia="zh-CN"/>
        </w:rPr>
        <w:t>由</w:t>
      </w:r>
      <w:r w:rsidRPr="002A7319">
        <w:rPr>
          <w:lang w:eastAsia="zh-CN"/>
        </w:rPr>
        <w:t>多利益攸关方筹备进程（</w:t>
      </w:r>
      <w:r w:rsidRPr="002A7319">
        <w:rPr>
          <w:lang w:eastAsia="zh-CN"/>
        </w:rPr>
        <w:t>MPP</w:t>
      </w:r>
      <w:r w:rsidRPr="002A7319">
        <w:rPr>
          <w:lang w:eastAsia="zh-CN"/>
        </w:rPr>
        <w:t>）制定并</w:t>
      </w:r>
      <w:r w:rsidRPr="002A7319">
        <w:rPr>
          <w:rFonts w:hint="eastAsia"/>
          <w:lang w:eastAsia="zh-CN"/>
        </w:rPr>
        <w:t>经</w:t>
      </w:r>
      <w:r w:rsidRPr="002A7319">
        <w:rPr>
          <w:lang w:eastAsia="zh-CN"/>
        </w:rPr>
        <w:t>国际电联协调</w:t>
      </w:r>
      <w:r w:rsidRPr="002A7319">
        <w:rPr>
          <w:rFonts w:hint="eastAsia"/>
          <w:lang w:eastAsia="zh-CN"/>
        </w:rPr>
        <w:t>的</w:t>
      </w:r>
      <w:r w:rsidRPr="002A7319">
        <w:rPr>
          <w:rFonts w:hint="eastAsia"/>
          <w:lang w:eastAsia="zh-CN"/>
        </w:rPr>
        <w:t>WSIS+10</w:t>
      </w:r>
      <w:r w:rsidRPr="002A7319">
        <w:rPr>
          <w:rFonts w:hint="eastAsia"/>
          <w:lang w:eastAsia="zh-CN"/>
        </w:rPr>
        <w:t>高</w:t>
      </w:r>
      <w:r w:rsidRPr="002A7319">
        <w:rPr>
          <w:lang w:eastAsia="zh-CN"/>
        </w:rPr>
        <w:t>级别活动（</w:t>
      </w:r>
      <w:r w:rsidRPr="002A7319">
        <w:rPr>
          <w:rFonts w:hint="eastAsia"/>
          <w:lang w:eastAsia="zh-CN"/>
        </w:rPr>
        <w:t>2014</w:t>
      </w:r>
      <w:r w:rsidRPr="002A7319">
        <w:rPr>
          <w:rFonts w:hint="eastAsia"/>
          <w:lang w:eastAsia="zh-CN"/>
        </w:rPr>
        <w:t>年</w:t>
      </w:r>
      <w:r w:rsidRPr="002A7319">
        <w:rPr>
          <w:lang w:eastAsia="zh-CN"/>
        </w:rPr>
        <w:t>，日内瓦）</w:t>
      </w:r>
      <w:r w:rsidRPr="002A7319">
        <w:rPr>
          <w:rFonts w:hint="eastAsia"/>
          <w:lang w:eastAsia="zh-CN"/>
        </w:rPr>
        <w:t>通过</w:t>
      </w:r>
      <w:r w:rsidRPr="002A7319">
        <w:rPr>
          <w:lang w:eastAsia="zh-CN"/>
        </w:rPr>
        <w:t>的</w:t>
      </w:r>
      <w:r w:rsidRPr="002A7319">
        <w:rPr>
          <w:rFonts w:hint="eastAsia"/>
          <w:lang w:eastAsia="zh-CN"/>
        </w:rPr>
        <w:t>成果文件，即有关落实信息社会世界峰会成果的</w:t>
      </w:r>
      <w:r w:rsidRPr="002A7319">
        <w:rPr>
          <w:rFonts w:hint="eastAsia"/>
          <w:lang w:eastAsia="zh-CN"/>
        </w:rPr>
        <w:t>WSIS+10</w:t>
      </w:r>
      <w:r w:rsidRPr="002A7319">
        <w:rPr>
          <w:rFonts w:hint="eastAsia"/>
          <w:lang w:eastAsia="zh-CN"/>
        </w:rPr>
        <w:t>声明和有关</w:t>
      </w:r>
      <w:r w:rsidRPr="002A7319">
        <w:rPr>
          <w:rFonts w:hint="eastAsia"/>
          <w:lang w:eastAsia="zh-CN"/>
        </w:rPr>
        <w:t>2015</w:t>
      </w:r>
      <w:r w:rsidRPr="002A7319">
        <w:rPr>
          <w:rFonts w:hint="eastAsia"/>
          <w:lang w:eastAsia="zh-CN"/>
        </w:rPr>
        <w:t>年后</w:t>
      </w:r>
      <w:r w:rsidRPr="002A7319">
        <w:rPr>
          <w:rFonts w:hint="eastAsia"/>
          <w:lang w:eastAsia="zh-CN"/>
        </w:rPr>
        <w:t>WSIS</w:t>
      </w:r>
      <w:r w:rsidRPr="002A7319">
        <w:rPr>
          <w:rFonts w:hint="eastAsia"/>
          <w:lang w:eastAsia="zh-CN"/>
        </w:rPr>
        <w:t>工作的</w:t>
      </w:r>
      <w:r w:rsidRPr="002A7319">
        <w:rPr>
          <w:rFonts w:hint="eastAsia"/>
          <w:lang w:eastAsia="zh-CN"/>
        </w:rPr>
        <w:t>WSIS+10</w:t>
      </w:r>
      <w:r w:rsidRPr="002A7319">
        <w:rPr>
          <w:rFonts w:hint="eastAsia"/>
          <w:lang w:eastAsia="zh-CN"/>
        </w:rPr>
        <w:t>愿景；</w:t>
      </w:r>
    </w:p>
    <w:p w14:paraId="4827B45E" w14:textId="77777777" w:rsidR="001D06D0" w:rsidRDefault="001D06D0" w:rsidP="001D06D0">
      <w:pPr>
        <w:rPr>
          <w:lang w:eastAsia="zh-CN"/>
        </w:rPr>
      </w:pPr>
      <w:r>
        <w:rPr>
          <w:lang w:eastAsia="zh-CN"/>
        </w:rPr>
        <w:t>3</w:t>
      </w:r>
      <w:r>
        <w:rPr>
          <w:rFonts w:hint="eastAsia"/>
          <w:lang w:eastAsia="zh-CN"/>
        </w:rPr>
        <w:tab/>
      </w:r>
      <w:r w:rsidRPr="003E3AA5">
        <w:rPr>
          <w:rFonts w:hint="eastAsia"/>
          <w:lang w:eastAsia="zh-CN"/>
        </w:rPr>
        <w:t>根据</w:t>
      </w:r>
      <w:r w:rsidRPr="003E3AA5">
        <w:rPr>
          <w:lang w:eastAsia="zh-CN"/>
        </w:rPr>
        <w:t>WSIS</w:t>
      </w:r>
      <w:r w:rsidRPr="003E3AA5">
        <w:rPr>
          <w:rFonts w:hint="eastAsia"/>
          <w:lang w:eastAsia="zh-CN"/>
        </w:rPr>
        <w:t>利益攸关多方和包容性原则，与所有利益攸关方就</w:t>
      </w:r>
      <w:r>
        <w:rPr>
          <w:rFonts w:hint="eastAsia"/>
          <w:szCs w:val="24"/>
          <w:lang w:val="fr-FR" w:eastAsia="zh-CN"/>
        </w:rPr>
        <w:t>2015</w:t>
      </w:r>
      <w:r>
        <w:rPr>
          <w:rFonts w:hint="eastAsia"/>
          <w:szCs w:val="24"/>
          <w:lang w:val="fr-FR" w:eastAsia="zh-CN"/>
        </w:rPr>
        <w:t>年</w:t>
      </w:r>
      <w:r>
        <w:rPr>
          <w:rFonts w:hint="eastAsia"/>
          <w:szCs w:val="24"/>
          <w:lang w:val="fr-FR" w:eastAsia="zh-CN"/>
        </w:rPr>
        <w:t>12</w:t>
      </w:r>
      <w:r>
        <w:rPr>
          <w:rFonts w:hint="eastAsia"/>
          <w:szCs w:val="24"/>
          <w:lang w:val="fr-FR" w:eastAsia="zh-CN"/>
        </w:rPr>
        <w:t>月</w:t>
      </w:r>
      <w:r>
        <w:rPr>
          <w:szCs w:val="24"/>
          <w:lang w:val="fr-FR" w:eastAsia="zh-CN"/>
        </w:rPr>
        <w:t>召开的有关全面审查</w:t>
      </w:r>
      <w:r>
        <w:rPr>
          <w:rFonts w:hint="eastAsia"/>
          <w:szCs w:val="24"/>
          <w:lang w:val="fr-FR" w:eastAsia="zh-CN"/>
        </w:rPr>
        <w:t>WSIS</w:t>
      </w:r>
      <w:r>
        <w:rPr>
          <w:rFonts w:hint="eastAsia"/>
          <w:szCs w:val="24"/>
          <w:lang w:val="fr-FR" w:eastAsia="zh-CN"/>
        </w:rPr>
        <w:t>成果</w:t>
      </w:r>
      <w:r>
        <w:rPr>
          <w:szCs w:val="24"/>
          <w:lang w:val="fr-FR" w:eastAsia="zh-CN"/>
        </w:rPr>
        <w:t>落实情况的联大高层会议</w:t>
      </w:r>
      <w:r w:rsidRPr="003E3AA5">
        <w:rPr>
          <w:rFonts w:hint="eastAsia"/>
          <w:lang w:eastAsia="zh-CN"/>
        </w:rPr>
        <w:t>的筹备进程开展切实有效的</w:t>
      </w:r>
      <w:r>
        <w:rPr>
          <w:rFonts w:hint="eastAsia"/>
          <w:lang w:eastAsia="zh-CN"/>
        </w:rPr>
        <w:t>协作与</w:t>
      </w:r>
      <w:r w:rsidRPr="003E3AA5">
        <w:rPr>
          <w:rFonts w:hint="eastAsia"/>
          <w:lang w:eastAsia="zh-CN"/>
        </w:rPr>
        <w:t>协调；</w:t>
      </w:r>
    </w:p>
    <w:p w14:paraId="4827B45F" w14:textId="77777777" w:rsidR="001D06D0" w:rsidRDefault="001D06D0" w:rsidP="001D06D0">
      <w:pPr>
        <w:rPr>
          <w:lang w:eastAsia="zh-CN"/>
        </w:rPr>
      </w:pPr>
      <w:r>
        <w:rPr>
          <w:rFonts w:hint="eastAsia"/>
          <w:lang w:eastAsia="zh-CN"/>
        </w:rPr>
        <w:t>4</w:t>
      </w:r>
      <w:r>
        <w:rPr>
          <w:rFonts w:hint="eastAsia"/>
          <w:lang w:eastAsia="zh-CN"/>
        </w:rPr>
        <w:tab/>
      </w:r>
      <w:r>
        <w:rPr>
          <w:lang w:eastAsia="zh-CN"/>
        </w:rPr>
        <w:t>与其他联合国机构协调</w:t>
      </w:r>
      <w:r>
        <w:rPr>
          <w:rFonts w:hint="eastAsia"/>
          <w:lang w:eastAsia="zh-CN"/>
        </w:rPr>
        <w:t>协作，</w:t>
      </w:r>
      <w:r>
        <w:rPr>
          <w:lang w:eastAsia="zh-CN"/>
        </w:rPr>
        <w:t>对联合国大会全面审查进程给予支持，充分利用国际电联在</w:t>
      </w:r>
      <w:r>
        <w:rPr>
          <w:lang w:eastAsia="zh-CN"/>
        </w:rPr>
        <w:t>WSIS</w:t>
      </w:r>
      <w:r>
        <w:rPr>
          <w:lang w:eastAsia="zh-CN"/>
        </w:rPr>
        <w:t>两个阶段会议（</w:t>
      </w:r>
      <w:r>
        <w:rPr>
          <w:lang w:eastAsia="zh-CN"/>
        </w:rPr>
        <w:t>2003-2005</w:t>
      </w:r>
      <w:r>
        <w:rPr>
          <w:lang w:eastAsia="zh-CN"/>
        </w:rPr>
        <w:t>年）和</w:t>
      </w:r>
      <w:r>
        <w:rPr>
          <w:lang w:eastAsia="zh-CN"/>
        </w:rPr>
        <w:t>WSIS+10</w:t>
      </w:r>
      <w:r>
        <w:rPr>
          <w:lang w:eastAsia="zh-CN"/>
        </w:rPr>
        <w:t>高级别活动（包括</w:t>
      </w:r>
      <w:r>
        <w:rPr>
          <w:lang w:eastAsia="zh-CN"/>
        </w:rPr>
        <w:t>WSIS+10</w:t>
      </w:r>
      <w:r>
        <w:rPr>
          <w:lang w:eastAsia="zh-CN"/>
        </w:rPr>
        <w:t>利益攸关多方筹备平台）期间汲取的经</w:t>
      </w:r>
      <w:r>
        <w:rPr>
          <w:rFonts w:ascii="SimSun" w:hAnsi="SimSun" w:cs="SimSun" w:hint="eastAsia"/>
          <w:lang w:eastAsia="zh-CN"/>
        </w:rPr>
        <w:t>验；</w:t>
      </w:r>
    </w:p>
    <w:p w14:paraId="4827B460" w14:textId="77777777" w:rsidR="001D06D0" w:rsidRDefault="001D06D0" w:rsidP="001D06D0">
      <w:pPr>
        <w:rPr>
          <w:lang w:eastAsia="zh-CN"/>
        </w:rPr>
      </w:pPr>
      <w:r>
        <w:rPr>
          <w:rFonts w:hint="eastAsia"/>
          <w:lang w:eastAsia="zh-CN"/>
        </w:rPr>
        <w:t>5</w:t>
      </w:r>
      <w:r>
        <w:rPr>
          <w:rFonts w:hint="eastAsia"/>
          <w:lang w:eastAsia="zh-CN"/>
        </w:rPr>
        <w:tab/>
      </w:r>
      <w:r>
        <w:rPr>
          <w:rFonts w:hint="eastAsia"/>
          <w:lang w:eastAsia="zh-CN"/>
        </w:rPr>
        <w:t>向</w:t>
      </w:r>
      <w:r>
        <w:rPr>
          <w:rFonts w:hint="eastAsia"/>
          <w:lang w:eastAsia="zh-CN"/>
        </w:rPr>
        <w:t>WG WSIS</w:t>
      </w:r>
      <w:r>
        <w:rPr>
          <w:lang w:eastAsia="zh-CN"/>
        </w:rPr>
        <w:t xml:space="preserve"> </w:t>
      </w:r>
      <w:r>
        <w:rPr>
          <w:rFonts w:hint="eastAsia"/>
          <w:lang w:eastAsia="zh-CN"/>
        </w:rPr>
        <w:t>2015</w:t>
      </w:r>
      <w:r>
        <w:rPr>
          <w:rFonts w:hint="eastAsia"/>
          <w:lang w:eastAsia="zh-CN"/>
        </w:rPr>
        <w:t>年</w:t>
      </w:r>
      <w:r>
        <w:rPr>
          <w:rFonts w:hint="eastAsia"/>
          <w:lang w:eastAsia="zh-CN"/>
        </w:rPr>
        <w:t>10</w:t>
      </w:r>
      <w:r>
        <w:rPr>
          <w:rFonts w:hint="eastAsia"/>
          <w:lang w:eastAsia="zh-CN"/>
        </w:rPr>
        <w:t>月</w:t>
      </w:r>
      <w:r>
        <w:rPr>
          <w:lang w:eastAsia="zh-CN"/>
        </w:rPr>
        <w:t>召开的</w:t>
      </w:r>
      <w:r>
        <w:rPr>
          <w:rFonts w:hint="eastAsia"/>
          <w:lang w:eastAsia="zh-CN"/>
        </w:rPr>
        <w:t>会议</w:t>
      </w:r>
      <w:r>
        <w:rPr>
          <w:lang w:eastAsia="zh-CN"/>
        </w:rPr>
        <w:t>提交有关</w:t>
      </w:r>
      <w:r>
        <w:rPr>
          <w:rFonts w:hint="eastAsia"/>
          <w:lang w:eastAsia="zh-CN"/>
        </w:rPr>
        <w:t>2015</w:t>
      </w:r>
      <w:r>
        <w:rPr>
          <w:rFonts w:hint="eastAsia"/>
          <w:lang w:eastAsia="zh-CN"/>
        </w:rPr>
        <w:t>年后可</w:t>
      </w:r>
      <w:r>
        <w:rPr>
          <w:lang w:eastAsia="zh-CN"/>
        </w:rPr>
        <w:t>持续发展议程以及</w:t>
      </w:r>
      <w:r>
        <w:rPr>
          <w:rFonts w:hint="eastAsia"/>
          <w:lang w:eastAsia="zh-CN"/>
        </w:rPr>
        <w:t>ICT</w:t>
      </w:r>
      <w:r>
        <w:rPr>
          <w:rFonts w:hint="eastAsia"/>
          <w:lang w:eastAsia="zh-CN"/>
        </w:rPr>
        <w:t>如何</w:t>
      </w:r>
      <w:r>
        <w:rPr>
          <w:lang w:eastAsia="zh-CN"/>
        </w:rPr>
        <w:t>促进实现可持续性发展目标（</w:t>
      </w:r>
      <w:r>
        <w:rPr>
          <w:rFonts w:hint="eastAsia"/>
          <w:lang w:eastAsia="zh-CN"/>
        </w:rPr>
        <w:t>SDG</w:t>
      </w:r>
      <w:r>
        <w:rPr>
          <w:lang w:eastAsia="zh-CN"/>
        </w:rPr>
        <w:t>）</w:t>
      </w:r>
      <w:r>
        <w:rPr>
          <w:rFonts w:hint="eastAsia"/>
          <w:lang w:eastAsia="zh-CN"/>
        </w:rPr>
        <w:t>的</w:t>
      </w:r>
      <w:r>
        <w:rPr>
          <w:lang w:eastAsia="zh-CN"/>
        </w:rPr>
        <w:t>初步报告；</w:t>
      </w:r>
    </w:p>
    <w:p w14:paraId="4827B461" w14:textId="77777777" w:rsidR="001D06D0" w:rsidRPr="00E26F4D" w:rsidRDefault="001D06D0" w:rsidP="001D06D0">
      <w:pPr>
        <w:rPr>
          <w:rFonts w:cstheme="minorHAnsi"/>
          <w:lang w:eastAsia="zh-CN"/>
        </w:rPr>
      </w:pPr>
      <w:r>
        <w:rPr>
          <w:rFonts w:hint="eastAsia"/>
          <w:lang w:eastAsia="zh-CN"/>
        </w:rPr>
        <w:t>6</w:t>
      </w:r>
      <w:r>
        <w:rPr>
          <w:rFonts w:hint="eastAsia"/>
          <w:lang w:eastAsia="zh-CN"/>
        </w:rPr>
        <w:tab/>
      </w:r>
      <w:r>
        <w:rPr>
          <w:rFonts w:hint="eastAsia"/>
          <w:lang w:eastAsia="zh-CN"/>
        </w:rPr>
        <w:t>向</w:t>
      </w:r>
      <w:r>
        <w:rPr>
          <w:rFonts w:hint="eastAsia"/>
          <w:lang w:eastAsia="zh-CN"/>
        </w:rPr>
        <w:t>WG WSIS 2016</w:t>
      </w:r>
      <w:r>
        <w:rPr>
          <w:rFonts w:hint="eastAsia"/>
          <w:lang w:eastAsia="zh-CN"/>
        </w:rPr>
        <w:t>年</w:t>
      </w:r>
      <w:r>
        <w:rPr>
          <w:rFonts w:hint="eastAsia"/>
          <w:lang w:eastAsia="zh-CN"/>
        </w:rPr>
        <w:t>2</w:t>
      </w:r>
      <w:r>
        <w:rPr>
          <w:rFonts w:hint="eastAsia"/>
          <w:lang w:eastAsia="zh-CN"/>
        </w:rPr>
        <w:t>月</w:t>
      </w:r>
      <w:r>
        <w:rPr>
          <w:lang w:eastAsia="zh-CN"/>
        </w:rPr>
        <w:t>的会议提交一份联大有关</w:t>
      </w:r>
      <w:r>
        <w:rPr>
          <w:rFonts w:hint="eastAsia"/>
          <w:lang w:eastAsia="zh-CN"/>
        </w:rPr>
        <w:t>总体</w:t>
      </w:r>
      <w:r>
        <w:rPr>
          <w:lang w:eastAsia="zh-CN"/>
        </w:rPr>
        <w:t>审查</w:t>
      </w:r>
      <w:r>
        <w:rPr>
          <w:rFonts w:hint="eastAsia"/>
          <w:lang w:eastAsia="zh-CN"/>
        </w:rPr>
        <w:t>的</w:t>
      </w:r>
      <w:r>
        <w:rPr>
          <w:lang w:eastAsia="zh-CN"/>
        </w:rPr>
        <w:t>高</w:t>
      </w:r>
      <w:r>
        <w:rPr>
          <w:rFonts w:hint="eastAsia"/>
          <w:lang w:eastAsia="zh-CN"/>
        </w:rPr>
        <w:t>级别</w:t>
      </w:r>
      <w:r>
        <w:rPr>
          <w:lang w:eastAsia="zh-CN"/>
        </w:rPr>
        <w:t>会议（</w:t>
      </w:r>
      <w:r>
        <w:rPr>
          <w:rFonts w:hint="eastAsia"/>
          <w:lang w:eastAsia="zh-CN"/>
        </w:rPr>
        <w:t>2015</w:t>
      </w:r>
      <w:r>
        <w:rPr>
          <w:rFonts w:hint="eastAsia"/>
          <w:lang w:eastAsia="zh-CN"/>
        </w:rPr>
        <w:t>年</w:t>
      </w:r>
      <w:r>
        <w:rPr>
          <w:lang w:eastAsia="zh-CN"/>
        </w:rPr>
        <w:t>，纽约）</w:t>
      </w:r>
      <w:r>
        <w:rPr>
          <w:rFonts w:hint="eastAsia"/>
          <w:lang w:eastAsia="zh-CN"/>
        </w:rPr>
        <w:t>成果</w:t>
      </w:r>
      <w:r>
        <w:rPr>
          <w:lang w:eastAsia="zh-CN"/>
        </w:rPr>
        <w:t>及其对国际电联的</w:t>
      </w:r>
      <w:r>
        <w:rPr>
          <w:rFonts w:hint="eastAsia"/>
          <w:lang w:eastAsia="zh-CN"/>
        </w:rPr>
        <w:t>潜在</w:t>
      </w:r>
      <w:r>
        <w:rPr>
          <w:lang w:eastAsia="zh-CN"/>
        </w:rPr>
        <w:t>影响的报告；</w:t>
      </w:r>
    </w:p>
    <w:p w14:paraId="4827B462" w14:textId="77777777" w:rsidR="001D06D0" w:rsidRPr="00E26F4D" w:rsidRDefault="001D06D0" w:rsidP="001D06D0">
      <w:pPr>
        <w:rPr>
          <w:lang w:eastAsia="zh-CN"/>
        </w:rPr>
      </w:pPr>
      <w:r>
        <w:rPr>
          <w:rFonts w:hint="eastAsia"/>
          <w:lang w:eastAsia="zh-CN"/>
        </w:rPr>
        <w:t>7</w:t>
      </w:r>
      <w:r>
        <w:rPr>
          <w:rFonts w:hint="eastAsia"/>
          <w:lang w:eastAsia="zh-CN"/>
        </w:rPr>
        <w:tab/>
      </w:r>
      <w:r w:rsidRPr="007F5611">
        <w:rPr>
          <w:rFonts w:hint="eastAsia"/>
          <w:lang w:eastAsia="zh-CN"/>
        </w:rPr>
        <w:t>采取必要行动，以便使所有国际电联成员均参与</w:t>
      </w:r>
      <w:r>
        <w:rPr>
          <w:rFonts w:hint="eastAsia"/>
          <w:lang w:eastAsia="zh-CN"/>
        </w:rPr>
        <w:t>到有关</w:t>
      </w:r>
      <w:r w:rsidRPr="007F5611">
        <w:rPr>
          <w:lang w:eastAsia="zh-CN"/>
        </w:rPr>
        <w:t>WSIS</w:t>
      </w:r>
      <w:r w:rsidRPr="007F5611">
        <w:rPr>
          <w:rFonts w:hint="eastAsia"/>
          <w:lang w:eastAsia="zh-CN"/>
        </w:rPr>
        <w:t>成果</w:t>
      </w:r>
      <w:r>
        <w:rPr>
          <w:rFonts w:hint="eastAsia"/>
          <w:lang w:eastAsia="zh-CN"/>
        </w:rPr>
        <w:t>落实</w:t>
      </w:r>
      <w:r w:rsidRPr="007F5611">
        <w:rPr>
          <w:rFonts w:hint="eastAsia"/>
          <w:lang w:eastAsia="zh-CN"/>
        </w:rPr>
        <w:t>和</w:t>
      </w:r>
      <w:r w:rsidRPr="007F5611">
        <w:rPr>
          <w:lang w:eastAsia="zh-CN"/>
        </w:rPr>
        <w:t>2015</w:t>
      </w:r>
      <w:r>
        <w:rPr>
          <w:rFonts w:hint="eastAsia"/>
          <w:lang w:eastAsia="zh-CN"/>
        </w:rPr>
        <w:t>年愿景的</w:t>
      </w:r>
      <w:r w:rsidRPr="007F5611">
        <w:rPr>
          <w:rFonts w:hint="eastAsia"/>
          <w:lang w:eastAsia="zh-CN"/>
        </w:rPr>
        <w:t>全面审查</w:t>
      </w:r>
      <w:r>
        <w:rPr>
          <w:rFonts w:hint="eastAsia"/>
          <w:lang w:eastAsia="zh-CN"/>
        </w:rPr>
        <w:t>筹备进程中来</w:t>
      </w:r>
      <w:r w:rsidRPr="007F5611">
        <w:rPr>
          <w:rFonts w:hint="eastAsia"/>
          <w:lang w:eastAsia="zh-CN"/>
        </w:rPr>
        <w:t>；</w:t>
      </w:r>
    </w:p>
    <w:p w14:paraId="4827B463"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464" w14:textId="77777777" w:rsidR="001D06D0" w:rsidRDefault="001D06D0" w:rsidP="001D06D0">
      <w:pPr>
        <w:rPr>
          <w:lang w:eastAsia="zh-CN"/>
        </w:rPr>
      </w:pPr>
      <w:r>
        <w:rPr>
          <w:rFonts w:hint="eastAsia"/>
          <w:lang w:eastAsia="zh-CN"/>
        </w:rPr>
        <w:lastRenderedPageBreak/>
        <w:t>8</w:t>
      </w:r>
      <w:r>
        <w:rPr>
          <w:rFonts w:hint="eastAsia"/>
          <w:lang w:eastAsia="zh-CN"/>
        </w:rPr>
        <w:tab/>
      </w:r>
      <w:r w:rsidRPr="003E3AA5">
        <w:rPr>
          <w:rFonts w:hint="eastAsia"/>
          <w:lang w:eastAsia="zh-CN"/>
        </w:rPr>
        <w:t>根据《突尼斯议程》第</w:t>
      </w:r>
      <w:r w:rsidRPr="003E3AA5">
        <w:rPr>
          <w:rFonts w:hint="eastAsia"/>
          <w:lang w:eastAsia="zh-CN"/>
        </w:rPr>
        <w:t>105</w:t>
      </w:r>
      <w:r w:rsidRPr="003E3AA5">
        <w:rPr>
          <w:rFonts w:hint="eastAsia"/>
          <w:lang w:eastAsia="zh-CN"/>
        </w:rPr>
        <w:t>至</w:t>
      </w:r>
      <w:r w:rsidRPr="003E3AA5">
        <w:rPr>
          <w:lang w:eastAsia="zh-CN"/>
        </w:rPr>
        <w:t>111</w:t>
      </w:r>
      <w:r w:rsidRPr="003E3AA5">
        <w:rPr>
          <w:rFonts w:hint="eastAsia"/>
          <w:lang w:eastAsia="zh-CN"/>
        </w:rPr>
        <w:t>段</w:t>
      </w:r>
      <w:r>
        <w:rPr>
          <w:rFonts w:hint="eastAsia"/>
          <w:lang w:eastAsia="zh-CN"/>
        </w:rPr>
        <w:t>、</w:t>
      </w:r>
      <w:r w:rsidRPr="009B2A2F">
        <w:rPr>
          <w:rFonts w:eastAsia="STKaiti"/>
          <w:lang w:eastAsia="zh-CN"/>
        </w:rPr>
        <w:t>联大</w:t>
      </w:r>
      <w:r w:rsidRPr="009B2A2F">
        <w:rPr>
          <w:rFonts w:eastAsia="STKaiti"/>
          <w:lang w:eastAsia="zh-CN"/>
        </w:rPr>
        <w:t>A/RES/68/302</w:t>
      </w:r>
      <w:r w:rsidRPr="009B2A2F">
        <w:rPr>
          <w:rFonts w:eastAsia="STKaiti"/>
          <w:lang w:eastAsia="zh-CN"/>
        </w:rPr>
        <w:t>号决议第</w:t>
      </w:r>
      <w:r w:rsidRPr="009B2A2F">
        <w:rPr>
          <w:rFonts w:eastAsia="STKaiti"/>
          <w:lang w:eastAsia="zh-CN"/>
        </w:rPr>
        <w:t>4</w:t>
      </w:r>
      <w:r w:rsidRPr="009B2A2F">
        <w:rPr>
          <w:rFonts w:eastAsia="STKaiti"/>
          <w:lang w:eastAsia="zh-CN"/>
        </w:rPr>
        <w:t>段和</w:t>
      </w:r>
      <w:r w:rsidRPr="009B2A2F">
        <w:rPr>
          <w:rFonts w:eastAsia="STKaiti"/>
          <w:lang w:eastAsia="zh-CN"/>
        </w:rPr>
        <w:t>PP-14</w:t>
      </w:r>
      <w:r w:rsidRPr="009B2A2F">
        <w:rPr>
          <w:rFonts w:eastAsia="STKaiti"/>
          <w:lang w:eastAsia="zh-CN"/>
        </w:rPr>
        <w:t>的决定</w:t>
      </w:r>
      <w:r w:rsidRPr="003E3AA5">
        <w:rPr>
          <w:rFonts w:hint="eastAsia"/>
          <w:lang w:eastAsia="zh-CN"/>
        </w:rPr>
        <w:t>，向联合国经社理事会</w:t>
      </w:r>
      <w:r>
        <w:rPr>
          <w:rFonts w:hint="eastAsia"/>
          <w:lang w:eastAsia="zh-CN"/>
        </w:rPr>
        <w:t>（</w:t>
      </w:r>
      <w:r>
        <w:rPr>
          <w:rFonts w:hint="eastAsia"/>
          <w:lang w:eastAsia="zh-CN"/>
        </w:rPr>
        <w:t>ECOSOC</w:t>
      </w:r>
      <w:r>
        <w:rPr>
          <w:rFonts w:hint="eastAsia"/>
          <w:lang w:eastAsia="zh-CN"/>
        </w:rPr>
        <w:t>）（</w:t>
      </w:r>
      <w:r>
        <w:rPr>
          <w:rFonts w:hint="eastAsia"/>
          <w:lang w:eastAsia="zh-CN"/>
        </w:rPr>
        <w:t>2015</w:t>
      </w:r>
      <w:r>
        <w:rPr>
          <w:rFonts w:hint="eastAsia"/>
          <w:lang w:eastAsia="zh-CN"/>
        </w:rPr>
        <w:t>年</w:t>
      </w:r>
      <w:r>
        <w:rPr>
          <w:rFonts w:hint="eastAsia"/>
          <w:lang w:eastAsia="zh-CN"/>
        </w:rPr>
        <w:t>7</w:t>
      </w:r>
      <w:r>
        <w:rPr>
          <w:rFonts w:hint="eastAsia"/>
          <w:lang w:eastAsia="zh-CN"/>
        </w:rPr>
        <w:t>月</w:t>
      </w:r>
      <w:r>
        <w:rPr>
          <w:lang w:eastAsia="zh-CN"/>
        </w:rPr>
        <w:t>会议）</w:t>
      </w:r>
      <w:r>
        <w:rPr>
          <w:rFonts w:hint="eastAsia"/>
          <w:lang w:eastAsia="zh-CN"/>
        </w:rPr>
        <w:t>并随后向</w:t>
      </w:r>
      <w:r w:rsidRPr="003E3AA5">
        <w:rPr>
          <w:rFonts w:hint="eastAsia"/>
          <w:lang w:eastAsia="zh-CN"/>
        </w:rPr>
        <w:t>联大</w:t>
      </w:r>
      <w:r>
        <w:rPr>
          <w:rFonts w:hint="eastAsia"/>
          <w:lang w:eastAsia="zh-CN"/>
        </w:rPr>
        <w:t>提交</w:t>
      </w:r>
      <w:r>
        <w:rPr>
          <w:rFonts w:hint="eastAsia"/>
          <w:lang w:eastAsia="zh-CN"/>
        </w:rPr>
        <w:t>WSIS+10</w:t>
      </w:r>
      <w:r w:rsidRPr="003E3AA5">
        <w:rPr>
          <w:rFonts w:hint="eastAsia"/>
          <w:lang w:eastAsia="zh-CN"/>
        </w:rPr>
        <w:t>报告</w:t>
      </w:r>
      <w:r>
        <w:rPr>
          <w:rFonts w:hint="eastAsia"/>
          <w:lang w:eastAsia="zh-CN"/>
        </w:rPr>
        <w:t>：</w:t>
      </w:r>
      <w:r w:rsidRPr="003F639E">
        <w:rPr>
          <w:rFonts w:hint="eastAsia"/>
          <w:lang w:eastAsia="zh-CN"/>
        </w:rPr>
        <w:t>国际电联在</w:t>
      </w:r>
      <w:r w:rsidRPr="003F639E">
        <w:rPr>
          <w:rFonts w:hint="eastAsia"/>
          <w:lang w:eastAsia="zh-CN"/>
        </w:rPr>
        <w:t>WSIS</w:t>
      </w:r>
      <w:r w:rsidRPr="003F639E">
        <w:rPr>
          <w:rFonts w:hint="eastAsia"/>
          <w:lang w:eastAsia="zh-CN"/>
        </w:rPr>
        <w:t>落实工作和后续工作方面的十年贡献（</w:t>
      </w:r>
      <w:r w:rsidRPr="003F639E">
        <w:rPr>
          <w:rFonts w:hint="eastAsia"/>
          <w:lang w:eastAsia="zh-CN"/>
        </w:rPr>
        <w:t>2005-2014</w:t>
      </w:r>
      <w:r w:rsidRPr="003F639E">
        <w:rPr>
          <w:rFonts w:hint="eastAsia"/>
          <w:lang w:eastAsia="zh-CN"/>
        </w:rPr>
        <w:t>年）</w:t>
      </w:r>
      <w:r>
        <w:rPr>
          <w:rFonts w:hint="eastAsia"/>
          <w:lang w:eastAsia="zh-CN"/>
        </w:rPr>
        <w:t>，该报告论</w:t>
      </w:r>
      <w:r>
        <w:rPr>
          <w:lang w:eastAsia="zh-CN"/>
        </w:rPr>
        <w:t>及</w:t>
      </w:r>
      <w:r w:rsidRPr="003E3AA5">
        <w:rPr>
          <w:rFonts w:hint="eastAsia"/>
          <w:lang w:eastAsia="zh-CN"/>
        </w:rPr>
        <w:t>落实</w:t>
      </w:r>
      <w:r w:rsidRPr="003E3AA5">
        <w:rPr>
          <w:lang w:eastAsia="zh-CN"/>
        </w:rPr>
        <w:t>WSIS</w:t>
      </w:r>
      <w:r w:rsidRPr="003E3AA5">
        <w:rPr>
          <w:rFonts w:hint="eastAsia"/>
          <w:lang w:eastAsia="zh-CN"/>
        </w:rPr>
        <w:t>成果的进展情况；</w:t>
      </w:r>
    </w:p>
    <w:p w14:paraId="4827B465" w14:textId="77777777" w:rsidR="001D06D0" w:rsidRDefault="001D06D0" w:rsidP="001D06D0">
      <w:pPr>
        <w:snapToGrid w:val="0"/>
        <w:spacing w:after="120"/>
        <w:rPr>
          <w:szCs w:val="24"/>
          <w:lang w:eastAsia="zh-CN"/>
        </w:rPr>
      </w:pPr>
      <w:r>
        <w:rPr>
          <w:rFonts w:hint="eastAsia"/>
          <w:szCs w:val="24"/>
          <w:lang w:eastAsia="zh-CN"/>
        </w:rPr>
        <w:t>9</w:t>
      </w:r>
      <w:r>
        <w:rPr>
          <w:rFonts w:hint="eastAsia"/>
          <w:szCs w:val="24"/>
          <w:lang w:eastAsia="zh-CN"/>
        </w:rPr>
        <w:tab/>
      </w:r>
      <w:r w:rsidRPr="007F5611">
        <w:rPr>
          <w:rFonts w:hint="eastAsia"/>
          <w:szCs w:val="24"/>
          <w:lang w:eastAsia="zh-CN"/>
        </w:rPr>
        <w:t>在</w:t>
      </w:r>
      <w:r w:rsidRPr="007F5611">
        <w:rPr>
          <w:szCs w:val="24"/>
          <w:lang w:eastAsia="zh-CN"/>
        </w:rPr>
        <w:t>WSIS</w:t>
      </w:r>
      <w:r w:rsidRPr="007F5611">
        <w:rPr>
          <w:rFonts w:hint="eastAsia"/>
          <w:szCs w:val="24"/>
          <w:lang w:eastAsia="zh-CN"/>
        </w:rPr>
        <w:t>成果落实进展</w:t>
      </w:r>
      <w:r>
        <w:rPr>
          <w:rFonts w:hint="eastAsia"/>
          <w:szCs w:val="24"/>
          <w:lang w:eastAsia="zh-CN"/>
        </w:rPr>
        <w:t>过程中</w:t>
      </w:r>
      <w:r w:rsidRPr="007F5611">
        <w:rPr>
          <w:rFonts w:hint="eastAsia"/>
          <w:szCs w:val="24"/>
          <w:lang w:eastAsia="zh-CN"/>
        </w:rPr>
        <w:t>继续增进与联合国科学和技术促进发展委员会（</w:t>
      </w:r>
      <w:r w:rsidRPr="007F5611">
        <w:rPr>
          <w:szCs w:val="24"/>
          <w:lang w:eastAsia="zh-CN"/>
        </w:rPr>
        <w:t>CSTD</w:t>
      </w:r>
      <w:r w:rsidRPr="007F5611">
        <w:rPr>
          <w:rFonts w:hint="eastAsia"/>
          <w:szCs w:val="24"/>
          <w:lang w:eastAsia="zh-CN"/>
        </w:rPr>
        <w:t>）的密切合作和协调；</w:t>
      </w:r>
    </w:p>
    <w:p w14:paraId="4827B466" w14:textId="77777777" w:rsidR="001D06D0" w:rsidRPr="003E3054" w:rsidRDefault="001D06D0" w:rsidP="001D06D0">
      <w:pPr>
        <w:snapToGrid w:val="0"/>
        <w:spacing w:after="120"/>
        <w:rPr>
          <w:szCs w:val="24"/>
          <w:lang w:eastAsia="zh-CN"/>
        </w:rPr>
      </w:pPr>
      <w:r>
        <w:rPr>
          <w:rFonts w:hint="eastAsia"/>
          <w:szCs w:val="24"/>
          <w:lang w:eastAsia="zh-CN"/>
        </w:rPr>
        <w:t>10</w:t>
      </w:r>
      <w:r>
        <w:rPr>
          <w:rFonts w:hint="eastAsia"/>
          <w:szCs w:val="24"/>
          <w:lang w:eastAsia="zh-CN"/>
        </w:rPr>
        <w:tab/>
      </w:r>
      <w:r>
        <w:rPr>
          <w:rFonts w:hint="eastAsia"/>
          <w:szCs w:val="24"/>
          <w:lang w:eastAsia="zh-CN"/>
        </w:rPr>
        <w:t>在</w:t>
      </w:r>
      <w:r>
        <w:rPr>
          <w:szCs w:val="24"/>
          <w:lang w:eastAsia="zh-CN"/>
        </w:rPr>
        <w:t>制定国际电联战略和运作规划</w:t>
      </w:r>
      <w:r>
        <w:rPr>
          <w:rFonts w:hint="eastAsia"/>
          <w:szCs w:val="24"/>
          <w:lang w:eastAsia="zh-CN"/>
        </w:rPr>
        <w:t>过程</w:t>
      </w:r>
      <w:r>
        <w:rPr>
          <w:szCs w:val="24"/>
          <w:lang w:eastAsia="zh-CN"/>
        </w:rPr>
        <w:t>中，尤其是</w:t>
      </w:r>
      <w:r>
        <w:rPr>
          <w:rFonts w:hint="eastAsia"/>
          <w:szCs w:val="24"/>
          <w:lang w:eastAsia="zh-CN"/>
        </w:rPr>
        <w:t>在</w:t>
      </w:r>
      <w:r>
        <w:rPr>
          <w:rFonts w:hint="eastAsia"/>
          <w:szCs w:val="24"/>
          <w:lang w:eastAsia="zh-CN"/>
        </w:rPr>
        <w:t>ITU-D</w:t>
      </w:r>
      <w:r>
        <w:rPr>
          <w:rFonts w:hint="eastAsia"/>
          <w:szCs w:val="24"/>
          <w:lang w:eastAsia="zh-CN"/>
        </w:rPr>
        <w:t>的</w:t>
      </w:r>
      <w:r>
        <w:rPr>
          <w:szCs w:val="24"/>
          <w:lang w:eastAsia="zh-CN"/>
        </w:rPr>
        <w:t>战略和运作规划时</w:t>
      </w:r>
      <w:r>
        <w:rPr>
          <w:rFonts w:hint="eastAsia"/>
          <w:szCs w:val="24"/>
          <w:lang w:eastAsia="zh-CN"/>
        </w:rPr>
        <w:t>，顾及</w:t>
      </w:r>
      <w:r>
        <w:rPr>
          <w:rFonts w:hint="eastAsia"/>
          <w:szCs w:val="24"/>
          <w:lang w:eastAsia="zh-CN"/>
        </w:rPr>
        <w:t>WSIS</w:t>
      </w:r>
      <w:r>
        <w:rPr>
          <w:rFonts w:hint="eastAsia"/>
          <w:szCs w:val="24"/>
          <w:lang w:eastAsia="zh-CN"/>
        </w:rPr>
        <w:t>的各项</w:t>
      </w:r>
      <w:r>
        <w:rPr>
          <w:szCs w:val="24"/>
          <w:lang w:eastAsia="zh-CN"/>
        </w:rPr>
        <w:t>行动方面，</w:t>
      </w:r>
    </w:p>
    <w:p w14:paraId="4827B467" w14:textId="77777777" w:rsidR="001D06D0" w:rsidRPr="001F7F46" w:rsidRDefault="001D06D0" w:rsidP="001D06D0">
      <w:pPr>
        <w:pStyle w:val="Call"/>
        <w:ind w:left="720"/>
        <w:rPr>
          <w:szCs w:val="24"/>
          <w:lang w:eastAsia="zh-CN"/>
        </w:rPr>
      </w:pPr>
      <w:r w:rsidRPr="001F7F46">
        <w:rPr>
          <w:rFonts w:hint="eastAsia"/>
          <w:szCs w:val="24"/>
          <w:lang w:eastAsia="zh-CN"/>
        </w:rPr>
        <w:t>责成理事会信息社会世界高峰会议工作组</w:t>
      </w:r>
    </w:p>
    <w:p w14:paraId="4827B468" w14:textId="77777777" w:rsidR="001D06D0" w:rsidRDefault="001D06D0" w:rsidP="001D06D0">
      <w:pPr>
        <w:rPr>
          <w:lang w:eastAsia="zh-CN"/>
        </w:rPr>
      </w:pPr>
      <w:r>
        <w:rPr>
          <w:rFonts w:hint="eastAsia"/>
          <w:lang w:eastAsia="zh-CN"/>
        </w:rPr>
        <w:t>1</w:t>
      </w:r>
      <w:r>
        <w:rPr>
          <w:rFonts w:hint="eastAsia"/>
          <w:lang w:eastAsia="zh-CN"/>
        </w:rPr>
        <w:tab/>
      </w:r>
      <w:r>
        <w:rPr>
          <w:color w:val="000000"/>
          <w:lang w:eastAsia="zh-CN"/>
        </w:rPr>
        <w:t>在联大全面审查</w:t>
      </w:r>
      <w:r>
        <w:rPr>
          <w:color w:val="000000"/>
          <w:lang w:eastAsia="zh-CN"/>
        </w:rPr>
        <w:t>WSIS</w:t>
      </w:r>
      <w:r>
        <w:rPr>
          <w:color w:val="000000"/>
          <w:lang w:eastAsia="zh-CN"/>
        </w:rPr>
        <w:t>成果落实情况高级别会议的背景下，审议国际电联</w:t>
      </w:r>
      <w:r>
        <w:rPr>
          <w:rFonts w:hint="eastAsia"/>
          <w:color w:val="000000"/>
          <w:lang w:eastAsia="zh-CN"/>
        </w:rPr>
        <w:t>开展</w:t>
      </w:r>
      <w:r>
        <w:rPr>
          <w:color w:val="000000"/>
          <w:lang w:eastAsia="zh-CN"/>
        </w:rPr>
        <w:t>的活</w:t>
      </w:r>
      <w:r>
        <w:rPr>
          <w:rFonts w:ascii="SimSun" w:hAnsi="SimSun" w:cs="SimSun" w:hint="eastAsia"/>
          <w:color w:val="000000"/>
          <w:lang w:eastAsia="zh-CN"/>
        </w:rPr>
        <w:t>动；</w:t>
      </w:r>
    </w:p>
    <w:p w14:paraId="4827B469" w14:textId="77777777" w:rsidR="001D06D0" w:rsidRPr="00C45066" w:rsidRDefault="001D06D0" w:rsidP="001D06D0">
      <w:pPr>
        <w:rPr>
          <w:lang w:eastAsia="zh-CN"/>
        </w:rPr>
      </w:pPr>
      <w:r>
        <w:rPr>
          <w:rFonts w:hint="eastAsia"/>
          <w:lang w:eastAsia="zh-CN"/>
        </w:rPr>
        <w:t>2</w:t>
      </w:r>
      <w:r w:rsidRPr="00C45066">
        <w:rPr>
          <w:lang w:eastAsia="zh-CN"/>
        </w:rPr>
        <w:tab/>
      </w:r>
      <w:r>
        <w:rPr>
          <w:rFonts w:hint="eastAsia"/>
          <w:lang w:eastAsia="zh-CN"/>
        </w:rPr>
        <w:t>就</w:t>
      </w:r>
      <w:r>
        <w:rPr>
          <w:rFonts w:hint="eastAsia"/>
          <w:lang w:eastAsia="zh-CN"/>
        </w:rPr>
        <w:t>2015</w:t>
      </w:r>
      <w:r>
        <w:rPr>
          <w:rFonts w:hint="eastAsia"/>
          <w:lang w:eastAsia="zh-CN"/>
        </w:rPr>
        <w:t>年</w:t>
      </w:r>
      <w:r>
        <w:rPr>
          <w:lang w:eastAsia="zh-CN"/>
        </w:rPr>
        <w:t>后</w:t>
      </w:r>
      <w:r>
        <w:rPr>
          <w:rFonts w:hint="eastAsia"/>
          <w:lang w:eastAsia="zh-CN"/>
        </w:rPr>
        <w:t>可持续发展</w:t>
      </w:r>
      <w:r>
        <w:rPr>
          <w:lang w:eastAsia="zh-CN"/>
        </w:rPr>
        <w:t>议程和为实现达成一致的总体和具体目标</w:t>
      </w:r>
      <w:r>
        <w:rPr>
          <w:rFonts w:hint="eastAsia"/>
          <w:lang w:eastAsia="zh-CN"/>
        </w:rPr>
        <w:t>而</w:t>
      </w:r>
      <w:r>
        <w:rPr>
          <w:lang w:eastAsia="zh-CN"/>
        </w:rPr>
        <w:t>使用</w:t>
      </w:r>
      <w:r>
        <w:rPr>
          <w:rFonts w:hint="eastAsia"/>
          <w:lang w:eastAsia="zh-CN"/>
        </w:rPr>
        <w:t>ICT</w:t>
      </w:r>
      <w:r>
        <w:rPr>
          <w:rFonts w:hint="eastAsia"/>
          <w:lang w:eastAsia="zh-CN"/>
        </w:rPr>
        <w:t>手段</w:t>
      </w:r>
      <w:r>
        <w:rPr>
          <w:lang w:eastAsia="zh-CN"/>
        </w:rPr>
        <w:t>展开</w:t>
      </w:r>
      <w:r>
        <w:rPr>
          <w:rFonts w:hint="eastAsia"/>
          <w:lang w:eastAsia="zh-CN"/>
        </w:rPr>
        <w:t>讨论</w:t>
      </w:r>
      <w:r>
        <w:rPr>
          <w:lang w:eastAsia="zh-CN"/>
        </w:rPr>
        <w:t>；</w:t>
      </w:r>
    </w:p>
    <w:p w14:paraId="4827B46A" w14:textId="77777777" w:rsidR="001D06D0" w:rsidRPr="00C45066" w:rsidRDefault="001D06D0" w:rsidP="001D06D0">
      <w:pPr>
        <w:rPr>
          <w:lang w:eastAsia="zh-CN"/>
        </w:rPr>
      </w:pPr>
      <w:r>
        <w:rPr>
          <w:rFonts w:hint="eastAsia"/>
          <w:lang w:eastAsia="zh-CN"/>
        </w:rPr>
        <w:t>3</w:t>
      </w:r>
      <w:r w:rsidRPr="00C45066">
        <w:rPr>
          <w:lang w:eastAsia="zh-CN"/>
        </w:rPr>
        <w:tab/>
      </w:r>
      <w:r>
        <w:rPr>
          <w:rFonts w:hint="eastAsia"/>
          <w:lang w:eastAsia="zh-CN"/>
        </w:rPr>
        <w:t>监督</w:t>
      </w:r>
      <w:r>
        <w:rPr>
          <w:lang w:eastAsia="zh-CN"/>
        </w:rPr>
        <w:t>并</w:t>
      </w:r>
      <w:r w:rsidRPr="00C45066">
        <w:rPr>
          <w:rFonts w:hint="eastAsia"/>
          <w:lang w:eastAsia="zh-CN"/>
        </w:rPr>
        <w:t>讨论秘书长和各局主任在落实本项决议方面开展的活动；</w:t>
      </w:r>
    </w:p>
    <w:p w14:paraId="4827B46B" w14:textId="77777777" w:rsidR="001D06D0" w:rsidRDefault="001D06D0" w:rsidP="001D06D0">
      <w:pPr>
        <w:rPr>
          <w:lang w:eastAsia="zh-CN"/>
        </w:rPr>
      </w:pPr>
      <w:r>
        <w:rPr>
          <w:rFonts w:hint="eastAsia"/>
          <w:lang w:eastAsia="zh-CN"/>
        </w:rPr>
        <w:t>4</w:t>
      </w:r>
      <w:r w:rsidRPr="00C45066">
        <w:rPr>
          <w:lang w:eastAsia="zh-CN"/>
        </w:rPr>
        <w:tab/>
      </w:r>
      <w:r w:rsidRPr="00C45066">
        <w:rPr>
          <w:rFonts w:hint="eastAsia"/>
          <w:lang w:eastAsia="zh-CN"/>
        </w:rPr>
        <w:t>在</w:t>
      </w:r>
      <w:r w:rsidRPr="00C45066">
        <w:rPr>
          <w:lang w:eastAsia="zh-CN"/>
        </w:rPr>
        <w:t>WSIS</w:t>
      </w:r>
      <w:r w:rsidRPr="00C45066">
        <w:rPr>
          <w:rFonts w:hint="eastAsia"/>
          <w:lang w:eastAsia="zh-CN"/>
        </w:rPr>
        <w:t>任务组的协助下，审议国际电联</w:t>
      </w:r>
      <w:r>
        <w:rPr>
          <w:rFonts w:hint="eastAsia"/>
          <w:lang w:eastAsia="zh-CN"/>
        </w:rPr>
        <w:t>对</w:t>
      </w:r>
      <w:r w:rsidRPr="00C45066">
        <w:rPr>
          <w:lang w:eastAsia="zh-CN"/>
        </w:rPr>
        <w:t>WSIS+10</w:t>
      </w:r>
      <w:r>
        <w:rPr>
          <w:rFonts w:hint="eastAsia"/>
          <w:lang w:eastAsia="zh-CN"/>
        </w:rPr>
        <w:t>的实质</w:t>
      </w:r>
      <w:r>
        <w:rPr>
          <w:lang w:eastAsia="zh-CN"/>
        </w:rPr>
        <w:t>性内容</w:t>
      </w:r>
      <w:r w:rsidRPr="00C45066">
        <w:rPr>
          <w:rFonts w:hint="eastAsia"/>
          <w:lang w:eastAsia="zh-CN"/>
        </w:rPr>
        <w:t>及未来</w:t>
      </w:r>
      <w:r>
        <w:rPr>
          <w:rFonts w:hint="eastAsia"/>
          <w:lang w:eastAsia="zh-CN"/>
        </w:rPr>
        <w:t>各</w:t>
      </w:r>
      <w:r w:rsidRPr="00C45066">
        <w:rPr>
          <w:rFonts w:hint="eastAsia"/>
          <w:lang w:eastAsia="zh-CN"/>
        </w:rPr>
        <w:t>主题</w:t>
      </w:r>
      <w:r>
        <w:rPr>
          <w:rFonts w:hint="eastAsia"/>
          <w:lang w:eastAsia="zh-CN"/>
        </w:rPr>
        <w:t>的</w:t>
      </w:r>
      <w:r w:rsidRPr="00C45066">
        <w:rPr>
          <w:rFonts w:hint="eastAsia"/>
          <w:lang w:eastAsia="zh-CN"/>
        </w:rPr>
        <w:t>选项</w:t>
      </w:r>
      <w:r>
        <w:rPr>
          <w:rFonts w:hint="eastAsia"/>
          <w:lang w:eastAsia="zh-CN"/>
        </w:rPr>
        <w:t>做出</w:t>
      </w:r>
      <w:r w:rsidRPr="00C45066">
        <w:rPr>
          <w:rFonts w:hint="eastAsia"/>
          <w:lang w:eastAsia="zh-CN"/>
        </w:rPr>
        <w:t>的贡献</w:t>
      </w:r>
      <w:r>
        <w:rPr>
          <w:rFonts w:hint="eastAsia"/>
          <w:lang w:eastAsia="zh-CN"/>
        </w:rPr>
        <w:t>；</w:t>
      </w:r>
    </w:p>
    <w:p w14:paraId="4827B46C" w14:textId="77777777" w:rsidR="001D06D0" w:rsidRDefault="001D06D0" w:rsidP="001D06D0">
      <w:pPr>
        <w:rPr>
          <w:lang w:eastAsia="zh-CN"/>
        </w:rPr>
      </w:pPr>
      <w:r>
        <w:rPr>
          <w:rFonts w:hint="eastAsia"/>
          <w:lang w:eastAsia="zh-CN"/>
        </w:rPr>
        <w:t>5</w:t>
      </w:r>
      <w:r>
        <w:rPr>
          <w:rFonts w:hint="eastAsia"/>
          <w:lang w:eastAsia="zh-CN"/>
        </w:rPr>
        <w:tab/>
      </w:r>
      <w:r>
        <w:rPr>
          <w:rFonts w:hint="eastAsia"/>
          <w:lang w:eastAsia="zh-CN"/>
        </w:rPr>
        <w:t>根据</w:t>
      </w:r>
      <w:r>
        <w:rPr>
          <w:lang w:eastAsia="zh-CN"/>
        </w:rPr>
        <w:t>秘书长和各局主任的输入</w:t>
      </w:r>
      <w:r>
        <w:rPr>
          <w:rFonts w:hint="eastAsia"/>
          <w:lang w:eastAsia="zh-CN"/>
        </w:rPr>
        <w:t>意见</w:t>
      </w:r>
      <w:r>
        <w:rPr>
          <w:lang w:eastAsia="zh-CN"/>
        </w:rPr>
        <w:t>以及成员国和部门成员的建议：</w:t>
      </w:r>
    </w:p>
    <w:p w14:paraId="4827B46D" w14:textId="77777777" w:rsidR="001D06D0" w:rsidRPr="001A5FAE" w:rsidRDefault="001D06D0" w:rsidP="00D274C4">
      <w:pPr>
        <w:pStyle w:val="enumlev1"/>
        <w:rPr>
          <w:lang w:eastAsia="zh-CN"/>
        </w:rPr>
      </w:pPr>
      <w:r>
        <w:rPr>
          <w:lang w:val="en-US" w:eastAsia="zh-CN"/>
        </w:rPr>
        <w:t>a</w:t>
      </w:r>
      <w:r w:rsidR="00D274C4">
        <w:rPr>
          <w:lang w:val="en-US" w:eastAsia="zh-CN"/>
        </w:rPr>
        <w:t>.</w:t>
      </w:r>
      <w:r>
        <w:rPr>
          <w:lang w:val="en-US" w:eastAsia="zh-CN"/>
        </w:rPr>
        <w:tab/>
      </w:r>
      <w:r w:rsidRPr="001F7F46">
        <w:rPr>
          <w:rFonts w:hint="eastAsia"/>
          <w:lang w:val="en-US" w:eastAsia="zh-CN"/>
        </w:rPr>
        <w:t>根据成员国的经验</w:t>
      </w:r>
      <w:r>
        <w:rPr>
          <w:rFonts w:hint="eastAsia"/>
          <w:lang w:val="en-US" w:eastAsia="zh-CN"/>
        </w:rPr>
        <w:t>，</w:t>
      </w:r>
      <w:r w:rsidRPr="001F7F46">
        <w:rPr>
          <w:rFonts w:hint="eastAsia"/>
          <w:lang w:val="en-US" w:eastAsia="zh-CN"/>
        </w:rPr>
        <w:t>分析用于可持续性发展的</w:t>
      </w:r>
      <w:r w:rsidRPr="001F7F46">
        <w:rPr>
          <w:lang w:val="en-US" w:eastAsia="zh-CN"/>
        </w:rPr>
        <w:t>ICT</w:t>
      </w:r>
      <w:r w:rsidRPr="001F7F46">
        <w:rPr>
          <w:rFonts w:hint="eastAsia"/>
          <w:lang w:val="en-US" w:eastAsia="zh-CN"/>
        </w:rPr>
        <w:t>手段并将</w:t>
      </w:r>
      <w:r>
        <w:rPr>
          <w:rFonts w:hint="eastAsia"/>
          <w:lang w:val="en-US" w:eastAsia="zh-CN"/>
        </w:rPr>
        <w:t>可</w:t>
      </w:r>
      <w:r>
        <w:rPr>
          <w:lang w:val="en-US" w:eastAsia="zh-CN"/>
        </w:rPr>
        <w:t>持续性发展目标</w:t>
      </w:r>
      <w:r w:rsidRPr="001F7F46">
        <w:rPr>
          <w:rFonts w:hint="eastAsia"/>
          <w:lang w:val="en-US" w:eastAsia="zh-CN"/>
        </w:rPr>
        <w:t>与国际电联的职责相结合；</w:t>
      </w:r>
    </w:p>
    <w:p w14:paraId="4827B46E" w14:textId="77777777" w:rsidR="001D06D0" w:rsidRDefault="001D06D0" w:rsidP="00D274C4">
      <w:pPr>
        <w:pStyle w:val="enumlev1"/>
        <w:rPr>
          <w:lang w:val="en-US" w:eastAsia="zh-CN"/>
        </w:rPr>
      </w:pPr>
      <w:r>
        <w:rPr>
          <w:lang w:eastAsia="zh-CN"/>
        </w:rPr>
        <w:t>b</w:t>
      </w:r>
      <w:r w:rsidR="00D274C4">
        <w:rPr>
          <w:lang w:eastAsia="zh-CN"/>
        </w:rPr>
        <w:t>.</w:t>
      </w:r>
      <w:r>
        <w:rPr>
          <w:lang w:val="en-US" w:eastAsia="zh-CN"/>
        </w:rPr>
        <w:tab/>
      </w:r>
      <w:r w:rsidRPr="001F7F46">
        <w:rPr>
          <w:rFonts w:hint="eastAsia"/>
          <w:lang w:val="en-US" w:eastAsia="zh-CN"/>
        </w:rPr>
        <w:t>在</w:t>
      </w:r>
      <w:r w:rsidRPr="001F7F46">
        <w:rPr>
          <w:lang w:val="en-US" w:eastAsia="zh-CN"/>
        </w:rPr>
        <w:t>2016</w:t>
      </w:r>
      <w:r w:rsidRPr="001F7F46">
        <w:rPr>
          <w:rFonts w:hint="eastAsia"/>
          <w:lang w:val="en-US" w:eastAsia="zh-CN"/>
        </w:rPr>
        <w:t>年</w:t>
      </w:r>
      <w:r w:rsidRPr="001F7F46">
        <w:rPr>
          <w:lang w:val="en-US" w:eastAsia="zh-CN"/>
        </w:rPr>
        <w:t>2</w:t>
      </w:r>
      <w:r w:rsidRPr="001F7F46">
        <w:rPr>
          <w:rFonts w:hint="eastAsia"/>
          <w:lang w:val="en-US" w:eastAsia="zh-CN"/>
        </w:rPr>
        <w:t>月的会议上分析</w:t>
      </w:r>
      <w:r w:rsidRPr="001F7F46">
        <w:rPr>
          <w:lang w:val="en-US" w:eastAsia="zh-CN"/>
        </w:rPr>
        <w:t>2015</w:t>
      </w:r>
      <w:r w:rsidRPr="001F7F46">
        <w:rPr>
          <w:rFonts w:hint="eastAsia"/>
          <w:lang w:val="en-US" w:eastAsia="zh-CN"/>
        </w:rPr>
        <w:t>年</w:t>
      </w:r>
      <w:r w:rsidRPr="001F7F46">
        <w:rPr>
          <w:lang w:val="en-US" w:eastAsia="zh-CN"/>
        </w:rPr>
        <w:t>12</w:t>
      </w:r>
      <w:r>
        <w:rPr>
          <w:rFonts w:hint="eastAsia"/>
          <w:lang w:val="en-US" w:eastAsia="zh-CN"/>
        </w:rPr>
        <w:t>月联合国大会高级别</w:t>
      </w:r>
      <w:r w:rsidRPr="001F7F46">
        <w:rPr>
          <w:rFonts w:hint="eastAsia"/>
          <w:lang w:val="en-US" w:eastAsia="zh-CN"/>
        </w:rPr>
        <w:t>会议的最终成果文件并</w:t>
      </w:r>
      <w:r>
        <w:rPr>
          <w:rFonts w:hint="eastAsia"/>
          <w:lang w:val="en-US" w:eastAsia="zh-CN"/>
        </w:rPr>
        <w:t>讨论是否需要对理事会的现有决议进行修正</w:t>
      </w:r>
      <w:r w:rsidRPr="001F7F46">
        <w:rPr>
          <w:rFonts w:hint="eastAsia"/>
          <w:lang w:val="en-US" w:eastAsia="zh-CN"/>
        </w:rPr>
        <w:t>；</w:t>
      </w:r>
    </w:p>
    <w:p w14:paraId="4827B46F" w14:textId="77777777" w:rsidR="001D06D0" w:rsidRPr="001A5FAE" w:rsidRDefault="001D06D0" w:rsidP="001D06D0">
      <w:pPr>
        <w:rPr>
          <w:lang w:eastAsia="zh-CN"/>
        </w:rPr>
      </w:pPr>
      <w:r>
        <w:rPr>
          <w:rFonts w:hint="eastAsia"/>
          <w:lang w:val="en-US" w:eastAsia="zh-CN"/>
        </w:rPr>
        <w:t>6</w:t>
      </w:r>
      <w:r>
        <w:rPr>
          <w:rFonts w:hint="eastAsia"/>
          <w:lang w:val="en-US" w:eastAsia="zh-CN"/>
        </w:rPr>
        <w:tab/>
      </w:r>
      <w:r>
        <w:rPr>
          <w:rFonts w:hint="eastAsia"/>
          <w:lang w:val="en-US" w:eastAsia="zh-CN"/>
        </w:rPr>
        <w:t>向</w:t>
      </w:r>
      <w:r>
        <w:rPr>
          <w:lang w:val="en-US" w:eastAsia="zh-CN"/>
        </w:rPr>
        <w:t>国际电联理事会</w:t>
      </w:r>
      <w:r>
        <w:rPr>
          <w:rFonts w:hint="eastAsia"/>
          <w:lang w:val="en-US" w:eastAsia="zh-CN"/>
        </w:rPr>
        <w:t>2016</w:t>
      </w:r>
      <w:r>
        <w:rPr>
          <w:rFonts w:hint="eastAsia"/>
          <w:lang w:val="en-US" w:eastAsia="zh-CN"/>
        </w:rPr>
        <w:t>年</w:t>
      </w:r>
      <w:r>
        <w:rPr>
          <w:lang w:val="en-US" w:eastAsia="zh-CN"/>
        </w:rPr>
        <w:t>会议报告本决议的实施</w:t>
      </w:r>
      <w:r>
        <w:rPr>
          <w:rFonts w:hint="eastAsia"/>
          <w:lang w:val="en-US" w:eastAsia="zh-CN"/>
        </w:rPr>
        <w:t>状</w:t>
      </w:r>
      <w:r>
        <w:rPr>
          <w:lang w:val="en-US" w:eastAsia="zh-CN"/>
        </w:rPr>
        <w:t>况，</w:t>
      </w:r>
    </w:p>
    <w:p w14:paraId="4827B470" w14:textId="77777777" w:rsidR="001D06D0" w:rsidRPr="00BB44CE" w:rsidRDefault="001D06D0" w:rsidP="001D06D0">
      <w:pPr>
        <w:pStyle w:val="Call"/>
        <w:ind w:left="720"/>
        <w:rPr>
          <w:rFonts w:cstheme="minorHAnsi"/>
          <w:i/>
          <w:iCs/>
          <w:szCs w:val="24"/>
          <w:lang w:eastAsia="zh-CN"/>
        </w:rPr>
      </w:pPr>
      <w:r w:rsidRPr="0075268B">
        <w:rPr>
          <w:rFonts w:hint="eastAsia"/>
          <w:szCs w:val="24"/>
          <w:lang w:eastAsia="zh-CN"/>
        </w:rPr>
        <w:t>鼓励成员国</w:t>
      </w:r>
    </w:p>
    <w:p w14:paraId="4827B471" w14:textId="77777777" w:rsidR="001D06D0" w:rsidRDefault="001D06D0" w:rsidP="001D06D0">
      <w:pPr>
        <w:rPr>
          <w:szCs w:val="24"/>
          <w:lang w:val="fr-FR" w:eastAsia="zh-CN"/>
        </w:rPr>
      </w:pPr>
      <w:r>
        <w:rPr>
          <w:rFonts w:hint="eastAsia"/>
          <w:szCs w:val="24"/>
          <w:lang w:val="fr-FR" w:eastAsia="zh-CN"/>
        </w:rPr>
        <w:t>1</w:t>
      </w:r>
      <w:r>
        <w:rPr>
          <w:rFonts w:hint="eastAsia"/>
          <w:szCs w:val="24"/>
          <w:lang w:val="fr-FR" w:eastAsia="zh-CN"/>
        </w:rPr>
        <w:tab/>
      </w:r>
      <w:r>
        <w:rPr>
          <w:rFonts w:hint="eastAsia"/>
          <w:szCs w:val="24"/>
          <w:lang w:val="fr-FR" w:eastAsia="zh-CN"/>
        </w:rPr>
        <w:t>提供利用</w:t>
      </w:r>
      <w:r>
        <w:rPr>
          <w:rFonts w:hint="eastAsia"/>
          <w:szCs w:val="24"/>
          <w:lang w:val="fr-FR" w:eastAsia="zh-CN"/>
        </w:rPr>
        <w:t>ICT</w:t>
      </w:r>
      <w:r>
        <w:rPr>
          <w:rFonts w:hint="eastAsia"/>
          <w:szCs w:val="24"/>
          <w:lang w:val="fr-FR" w:eastAsia="zh-CN"/>
        </w:rPr>
        <w:t>手段</w:t>
      </w:r>
      <w:r>
        <w:rPr>
          <w:szCs w:val="24"/>
          <w:lang w:val="fr-FR" w:eastAsia="zh-CN"/>
        </w:rPr>
        <w:t>实现可持续性发展良好做法范例</w:t>
      </w:r>
      <w:r>
        <w:rPr>
          <w:rFonts w:hint="eastAsia"/>
          <w:szCs w:val="24"/>
          <w:lang w:val="fr-FR" w:eastAsia="zh-CN"/>
        </w:rPr>
        <w:t>，以便</w:t>
      </w:r>
      <w:r>
        <w:rPr>
          <w:szCs w:val="24"/>
          <w:lang w:val="fr-FR" w:eastAsia="zh-CN"/>
        </w:rPr>
        <w:t>为</w:t>
      </w:r>
      <w:r>
        <w:rPr>
          <w:rFonts w:hint="eastAsia"/>
          <w:szCs w:val="24"/>
          <w:lang w:val="fr-FR" w:eastAsia="zh-CN"/>
        </w:rPr>
        <w:t>WG WSIS</w:t>
      </w:r>
      <w:r>
        <w:rPr>
          <w:rFonts w:hint="eastAsia"/>
          <w:szCs w:val="24"/>
          <w:lang w:val="fr-FR" w:eastAsia="zh-CN"/>
        </w:rPr>
        <w:t>的</w:t>
      </w:r>
      <w:r>
        <w:rPr>
          <w:szCs w:val="24"/>
          <w:lang w:val="fr-FR" w:eastAsia="zh-CN"/>
        </w:rPr>
        <w:t>工作做出贡献；</w:t>
      </w:r>
    </w:p>
    <w:p w14:paraId="4827B472" w14:textId="77777777" w:rsidR="001D06D0" w:rsidRDefault="001D06D0" w:rsidP="001D06D0">
      <w:pPr>
        <w:rPr>
          <w:szCs w:val="24"/>
          <w:lang w:val="fr-FR" w:eastAsia="zh-CN"/>
        </w:rPr>
      </w:pPr>
      <w:r>
        <w:rPr>
          <w:szCs w:val="24"/>
          <w:lang w:val="fr-FR" w:eastAsia="zh-CN"/>
        </w:rPr>
        <w:t>2</w:t>
      </w:r>
      <w:r>
        <w:rPr>
          <w:szCs w:val="24"/>
          <w:lang w:val="fr-FR" w:eastAsia="zh-CN"/>
        </w:rPr>
        <w:tab/>
      </w:r>
      <w:r>
        <w:rPr>
          <w:rFonts w:hint="eastAsia"/>
          <w:szCs w:val="24"/>
          <w:lang w:val="fr-FR" w:eastAsia="zh-CN"/>
        </w:rPr>
        <w:t>积极参与</w:t>
      </w:r>
      <w:r>
        <w:rPr>
          <w:color w:val="000000"/>
          <w:lang w:eastAsia="zh-CN"/>
        </w:rPr>
        <w:t>联大全面审查</w:t>
      </w:r>
      <w:r>
        <w:rPr>
          <w:szCs w:val="24"/>
          <w:lang w:val="fr-FR" w:eastAsia="zh-CN"/>
        </w:rPr>
        <w:t>联大全面审查</w:t>
      </w:r>
      <w:r>
        <w:rPr>
          <w:color w:val="000000"/>
          <w:lang w:eastAsia="zh-CN"/>
        </w:rPr>
        <w:t>WSIS</w:t>
      </w:r>
      <w:r>
        <w:rPr>
          <w:color w:val="000000"/>
          <w:lang w:eastAsia="zh-CN"/>
        </w:rPr>
        <w:t>成果落实情况</w:t>
      </w:r>
      <w:r>
        <w:rPr>
          <w:rFonts w:hint="eastAsia"/>
          <w:color w:val="000000"/>
          <w:lang w:eastAsia="zh-CN"/>
        </w:rPr>
        <w:t>的</w:t>
      </w:r>
      <w:r>
        <w:rPr>
          <w:szCs w:val="24"/>
          <w:lang w:val="fr-FR" w:eastAsia="zh-CN"/>
        </w:rPr>
        <w:t>筹备进程；</w:t>
      </w:r>
    </w:p>
    <w:p w14:paraId="4827B473" w14:textId="77777777" w:rsidR="001D06D0" w:rsidRDefault="001D06D0" w:rsidP="001D06D0">
      <w:pPr>
        <w:rPr>
          <w:szCs w:val="24"/>
          <w:lang w:val="fr-FR" w:eastAsia="zh-CN"/>
        </w:rPr>
      </w:pPr>
      <w:r>
        <w:rPr>
          <w:szCs w:val="24"/>
          <w:lang w:val="fr-FR" w:eastAsia="zh-CN"/>
        </w:rPr>
        <w:t>3</w:t>
      </w:r>
      <w:r>
        <w:rPr>
          <w:szCs w:val="24"/>
          <w:lang w:val="fr-FR" w:eastAsia="zh-CN"/>
        </w:rPr>
        <w:tab/>
      </w:r>
      <w:r>
        <w:rPr>
          <w:rFonts w:hint="eastAsia"/>
          <w:szCs w:val="24"/>
          <w:lang w:val="fr-FR" w:eastAsia="zh-CN"/>
        </w:rPr>
        <w:t>最高层</w:t>
      </w:r>
      <w:r>
        <w:rPr>
          <w:szCs w:val="24"/>
          <w:lang w:val="fr-FR" w:eastAsia="zh-CN"/>
        </w:rPr>
        <w:t>领导人尽力参加将于</w:t>
      </w:r>
      <w:r>
        <w:rPr>
          <w:rFonts w:hint="eastAsia"/>
          <w:szCs w:val="24"/>
          <w:lang w:val="fr-FR" w:eastAsia="zh-CN"/>
        </w:rPr>
        <w:t>2015</w:t>
      </w:r>
      <w:r>
        <w:rPr>
          <w:rFonts w:hint="eastAsia"/>
          <w:szCs w:val="24"/>
          <w:lang w:val="fr-FR" w:eastAsia="zh-CN"/>
        </w:rPr>
        <w:t>年</w:t>
      </w:r>
      <w:r>
        <w:rPr>
          <w:rFonts w:hint="eastAsia"/>
          <w:szCs w:val="24"/>
          <w:lang w:val="fr-FR" w:eastAsia="zh-CN"/>
        </w:rPr>
        <w:t>12</w:t>
      </w:r>
      <w:r>
        <w:rPr>
          <w:rFonts w:hint="eastAsia"/>
          <w:szCs w:val="24"/>
          <w:lang w:val="fr-FR" w:eastAsia="zh-CN"/>
        </w:rPr>
        <w:t>月</w:t>
      </w:r>
      <w:r>
        <w:rPr>
          <w:szCs w:val="24"/>
          <w:lang w:val="fr-FR" w:eastAsia="zh-CN"/>
        </w:rPr>
        <w:t>召开的有关全面审查</w:t>
      </w:r>
      <w:r>
        <w:rPr>
          <w:rFonts w:hint="eastAsia"/>
          <w:szCs w:val="24"/>
          <w:lang w:val="fr-FR" w:eastAsia="zh-CN"/>
        </w:rPr>
        <w:t>WSIS</w:t>
      </w:r>
      <w:r>
        <w:rPr>
          <w:rFonts w:hint="eastAsia"/>
          <w:szCs w:val="24"/>
          <w:lang w:val="fr-FR" w:eastAsia="zh-CN"/>
        </w:rPr>
        <w:t>成果</w:t>
      </w:r>
      <w:r>
        <w:rPr>
          <w:szCs w:val="24"/>
          <w:lang w:val="fr-FR" w:eastAsia="zh-CN"/>
        </w:rPr>
        <w:t>落实情况的联合国大会高</w:t>
      </w:r>
      <w:r>
        <w:rPr>
          <w:rFonts w:hint="eastAsia"/>
          <w:szCs w:val="24"/>
          <w:lang w:val="fr-FR" w:eastAsia="zh-CN"/>
        </w:rPr>
        <w:t>级别</w:t>
      </w:r>
      <w:r>
        <w:rPr>
          <w:szCs w:val="24"/>
          <w:lang w:val="fr-FR" w:eastAsia="zh-CN"/>
        </w:rPr>
        <w:t>会议</w:t>
      </w:r>
      <w:r>
        <w:rPr>
          <w:rFonts w:hint="eastAsia"/>
          <w:szCs w:val="24"/>
          <w:lang w:val="fr-FR" w:eastAsia="zh-CN"/>
        </w:rPr>
        <w:t>，以宣传国际电联在此方面开展的活动及</w:t>
      </w:r>
      <w:r w:rsidRPr="00C45066">
        <w:rPr>
          <w:lang w:eastAsia="zh-CN"/>
        </w:rPr>
        <w:t>WSIS+10</w:t>
      </w:r>
      <w:r>
        <w:rPr>
          <w:rFonts w:hint="eastAsia"/>
          <w:lang w:eastAsia="zh-CN"/>
        </w:rPr>
        <w:t>高级别活动的成果</w:t>
      </w:r>
      <w:r>
        <w:rPr>
          <w:szCs w:val="24"/>
          <w:lang w:val="fr-FR" w:eastAsia="zh-CN"/>
        </w:rPr>
        <w:t>；</w:t>
      </w:r>
    </w:p>
    <w:p w14:paraId="4827B474" w14:textId="77777777" w:rsidR="001D06D0" w:rsidRPr="003E3AA5" w:rsidRDefault="001D06D0" w:rsidP="001D06D0">
      <w:pPr>
        <w:rPr>
          <w:lang w:eastAsia="zh-CN"/>
        </w:rPr>
      </w:pPr>
      <w:r>
        <w:rPr>
          <w:szCs w:val="24"/>
          <w:lang w:val="fr-FR" w:eastAsia="zh-CN"/>
        </w:rPr>
        <w:t>4</w:t>
      </w:r>
      <w:r>
        <w:rPr>
          <w:szCs w:val="24"/>
          <w:lang w:val="fr-FR" w:eastAsia="zh-CN"/>
        </w:rPr>
        <w:tab/>
      </w:r>
      <w:r>
        <w:rPr>
          <w:szCs w:val="24"/>
          <w:lang w:val="fr-FR" w:eastAsia="zh-CN"/>
        </w:rPr>
        <w:t>与非政府</w:t>
      </w:r>
      <w:r>
        <w:rPr>
          <w:rFonts w:hint="eastAsia"/>
          <w:szCs w:val="24"/>
          <w:lang w:val="fr-FR" w:eastAsia="zh-CN"/>
        </w:rPr>
        <w:t>各利益攸关方</w:t>
      </w:r>
      <w:r>
        <w:rPr>
          <w:szCs w:val="24"/>
          <w:lang w:val="fr-FR" w:eastAsia="zh-CN"/>
        </w:rPr>
        <w:t>协商并考虑他们的观点，</w:t>
      </w:r>
    </w:p>
    <w:p w14:paraId="4827B475"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rFonts w:eastAsia="STKaiti"/>
          <w:szCs w:val="24"/>
          <w:lang w:eastAsia="zh-CN"/>
        </w:rPr>
      </w:pPr>
      <w:r>
        <w:rPr>
          <w:szCs w:val="24"/>
          <w:lang w:eastAsia="zh-CN"/>
        </w:rPr>
        <w:br w:type="page"/>
      </w:r>
    </w:p>
    <w:p w14:paraId="4827B476" w14:textId="77777777" w:rsidR="001D06D0" w:rsidRPr="0075268B" w:rsidRDefault="001D06D0" w:rsidP="001D06D0">
      <w:pPr>
        <w:pStyle w:val="Call"/>
        <w:ind w:left="720"/>
        <w:rPr>
          <w:szCs w:val="24"/>
          <w:lang w:eastAsia="zh-CN"/>
        </w:rPr>
      </w:pPr>
      <w:r w:rsidRPr="0075268B">
        <w:rPr>
          <w:rFonts w:hint="eastAsia"/>
          <w:szCs w:val="24"/>
          <w:lang w:eastAsia="zh-CN"/>
        </w:rPr>
        <w:lastRenderedPageBreak/>
        <w:t>鼓励成员</w:t>
      </w:r>
    </w:p>
    <w:p w14:paraId="4827B477" w14:textId="77777777" w:rsidR="001D06D0" w:rsidRDefault="001D06D0" w:rsidP="001D06D0">
      <w:pPr>
        <w:rPr>
          <w:lang w:eastAsia="zh-CN"/>
        </w:rPr>
      </w:pPr>
      <w:r w:rsidRPr="00C45066">
        <w:rPr>
          <w:rFonts w:hint="eastAsia"/>
          <w:lang w:eastAsia="zh-CN"/>
        </w:rPr>
        <w:t>1</w:t>
      </w:r>
      <w:r w:rsidRPr="00C45066">
        <w:rPr>
          <w:rFonts w:hint="eastAsia"/>
          <w:lang w:eastAsia="zh-CN"/>
        </w:rPr>
        <w:tab/>
      </w:r>
      <w:r w:rsidRPr="00C45066">
        <w:rPr>
          <w:rFonts w:hint="eastAsia"/>
          <w:lang w:eastAsia="zh-CN"/>
        </w:rPr>
        <w:t>积极参与</w:t>
      </w:r>
      <w:r>
        <w:rPr>
          <w:rFonts w:hint="eastAsia"/>
          <w:lang w:eastAsia="zh-CN"/>
        </w:rPr>
        <w:t>联合国大会</w:t>
      </w:r>
      <w:r>
        <w:rPr>
          <w:lang w:eastAsia="zh-CN"/>
        </w:rPr>
        <w:t>将于</w:t>
      </w:r>
      <w:r>
        <w:rPr>
          <w:rFonts w:hint="eastAsia"/>
          <w:lang w:eastAsia="zh-CN"/>
        </w:rPr>
        <w:t>2015</w:t>
      </w:r>
      <w:r>
        <w:rPr>
          <w:rFonts w:hint="eastAsia"/>
          <w:lang w:eastAsia="zh-CN"/>
        </w:rPr>
        <w:t>年</w:t>
      </w:r>
      <w:r>
        <w:rPr>
          <w:rFonts w:hint="eastAsia"/>
          <w:lang w:eastAsia="zh-CN"/>
        </w:rPr>
        <w:t>12</w:t>
      </w:r>
      <w:r>
        <w:rPr>
          <w:rFonts w:hint="eastAsia"/>
          <w:lang w:eastAsia="zh-CN"/>
        </w:rPr>
        <w:t>月</w:t>
      </w:r>
      <w:r>
        <w:rPr>
          <w:lang w:eastAsia="zh-CN"/>
        </w:rPr>
        <w:t>召开的高</w:t>
      </w:r>
      <w:r>
        <w:rPr>
          <w:rFonts w:hint="eastAsia"/>
          <w:szCs w:val="24"/>
          <w:lang w:val="fr-FR" w:eastAsia="zh-CN"/>
        </w:rPr>
        <w:t>级别</w:t>
      </w:r>
      <w:r>
        <w:rPr>
          <w:lang w:eastAsia="zh-CN"/>
        </w:rPr>
        <w:t>会议的筹备</w:t>
      </w:r>
      <w:r w:rsidRPr="00C45066">
        <w:rPr>
          <w:rFonts w:hint="eastAsia"/>
          <w:lang w:eastAsia="zh-CN"/>
        </w:rPr>
        <w:t>进程</w:t>
      </w:r>
      <w:r>
        <w:rPr>
          <w:rFonts w:hint="eastAsia"/>
          <w:lang w:eastAsia="zh-CN"/>
        </w:rPr>
        <w:t>，</w:t>
      </w:r>
      <w:r>
        <w:rPr>
          <w:lang w:eastAsia="zh-CN"/>
        </w:rPr>
        <w:t>包括由联合国大会主席与参与信息社会世界峰会的所有相关利益攸关方进行的非正式互动磋商</w:t>
      </w:r>
      <w:r>
        <w:rPr>
          <w:rFonts w:hint="eastAsia"/>
          <w:lang w:eastAsia="zh-CN"/>
        </w:rPr>
        <w:t>；</w:t>
      </w:r>
    </w:p>
    <w:p w14:paraId="4827B478" w14:textId="77777777" w:rsidR="001D06D0" w:rsidRPr="00914A5F" w:rsidRDefault="001D06D0" w:rsidP="001D06D0">
      <w:pPr>
        <w:rPr>
          <w:lang w:val="en-US" w:eastAsia="zh-CN"/>
        </w:rPr>
      </w:pPr>
      <w:r>
        <w:rPr>
          <w:rFonts w:hint="eastAsia"/>
          <w:lang w:eastAsia="zh-CN"/>
        </w:rPr>
        <w:t>2</w:t>
      </w:r>
      <w:r>
        <w:rPr>
          <w:rFonts w:hint="eastAsia"/>
          <w:lang w:eastAsia="zh-CN"/>
        </w:rPr>
        <w:tab/>
      </w:r>
      <w:r>
        <w:rPr>
          <w:color w:val="000000"/>
          <w:lang w:eastAsia="zh-CN"/>
        </w:rPr>
        <w:t>确保联大高</w:t>
      </w:r>
      <w:r>
        <w:rPr>
          <w:rFonts w:hint="eastAsia"/>
          <w:szCs w:val="24"/>
          <w:lang w:val="fr-FR" w:eastAsia="zh-CN"/>
        </w:rPr>
        <w:t>级别</w:t>
      </w:r>
      <w:r>
        <w:rPr>
          <w:color w:val="000000"/>
          <w:lang w:eastAsia="zh-CN"/>
        </w:rPr>
        <w:t>会议（</w:t>
      </w:r>
      <w:r>
        <w:rPr>
          <w:color w:val="000000"/>
          <w:lang w:eastAsia="zh-CN"/>
        </w:rPr>
        <w:t>2015</w:t>
      </w:r>
      <w:r>
        <w:rPr>
          <w:color w:val="000000"/>
          <w:lang w:eastAsia="zh-CN"/>
        </w:rPr>
        <w:t>年，纽约）成果在日内瓦和突尼斯阶段</w:t>
      </w:r>
      <w:r>
        <w:rPr>
          <w:rFonts w:hint="eastAsia"/>
          <w:color w:val="000000"/>
          <w:lang w:eastAsia="zh-CN"/>
        </w:rPr>
        <w:t>WSIS+10</w:t>
      </w:r>
      <w:r>
        <w:rPr>
          <w:rFonts w:hint="eastAsia"/>
          <w:color w:val="000000"/>
          <w:lang w:eastAsia="zh-CN"/>
        </w:rPr>
        <w:t>高</w:t>
      </w:r>
      <w:r>
        <w:rPr>
          <w:color w:val="000000"/>
          <w:lang w:eastAsia="zh-CN"/>
        </w:rPr>
        <w:t>级别会议（</w:t>
      </w:r>
      <w:r>
        <w:rPr>
          <w:rFonts w:hint="eastAsia"/>
          <w:color w:val="000000"/>
          <w:lang w:eastAsia="zh-CN"/>
        </w:rPr>
        <w:t>HLE WSIS+10</w:t>
      </w:r>
      <w:r>
        <w:rPr>
          <w:rFonts w:hint="eastAsia"/>
          <w:color w:val="000000"/>
          <w:lang w:eastAsia="zh-CN"/>
        </w:rPr>
        <w:t>）</w:t>
      </w:r>
      <w:r>
        <w:rPr>
          <w:color w:val="000000"/>
          <w:lang w:eastAsia="zh-CN"/>
        </w:rPr>
        <w:t>已取得的协商一致的基础上，在最大程度上体现出</w:t>
      </w:r>
      <w:r>
        <w:rPr>
          <w:rFonts w:hint="eastAsia"/>
          <w:color w:val="000000"/>
          <w:lang w:eastAsia="zh-CN"/>
        </w:rPr>
        <w:t>各</w:t>
      </w:r>
      <w:r>
        <w:rPr>
          <w:color w:val="000000"/>
          <w:lang w:eastAsia="zh-CN"/>
        </w:rPr>
        <w:t>利益攸关方的协商一</w:t>
      </w:r>
      <w:r>
        <w:rPr>
          <w:rFonts w:ascii="SimSun" w:hAnsi="SimSun" w:cs="SimSun" w:hint="eastAsia"/>
          <w:color w:val="000000"/>
          <w:lang w:eastAsia="zh-CN"/>
        </w:rPr>
        <w:t>致；</w:t>
      </w:r>
    </w:p>
    <w:p w14:paraId="4827B479" w14:textId="77777777" w:rsidR="001D06D0" w:rsidRPr="00C45066" w:rsidRDefault="001D06D0" w:rsidP="001D06D0">
      <w:pPr>
        <w:rPr>
          <w:lang w:eastAsia="zh-CN"/>
        </w:rPr>
      </w:pPr>
      <w:r>
        <w:rPr>
          <w:rFonts w:hint="eastAsia"/>
          <w:lang w:eastAsia="zh-CN"/>
        </w:rPr>
        <w:t>3</w:t>
      </w:r>
      <w:r>
        <w:rPr>
          <w:lang w:eastAsia="zh-CN"/>
        </w:rPr>
        <w:tab/>
      </w:r>
      <w:r>
        <w:rPr>
          <w:rFonts w:hint="eastAsia"/>
          <w:lang w:eastAsia="zh-CN"/>
        </w:rPr>
        <w:t>考虑</w:t>
      </w:r>
      <w:r w:rsidRPr="00C45066">
        <w:rPr>
          <w:rFonts w:hint="eastAsia"/>
          <w:lang w:eastAsia="zh-CN"/>
        </w:rPr>
        <w:t>在</w:t>
      </w:r>
      <w:r w:rsidRPr="00C45066">
        <w:rPr>
          <w:rFonts w:hint="eastAsia"/>
          <w:lang w:eastAsia="zh-CN"/>
        </w:rPr>
        <w:t>2015</w:t>
      </w:r>
      <w:r w:rsidRPr="00C45066">
        <w:rPr>
          <w:rFonts w:hint="eastAsia"/>
          <w:lang w:eastAsia="zh-CN"/>
        </w:rPr>
        <w:t>年之后继续</w:t>
      </w:r>
      <w:r w:rsidRPr="00C45066">
        <w:rPr>
          <w:rFonts w:hint="eastAsia"/>
          <w:lang w:eastAsia="zh-CN"/>
        </w:rPr>
        <w:t>WSIS</w:t>
      </w:r>
      <w:r w:rsidRPr="00C45066">
        <w:rPr>
          <w:rFonts w:hint="eastAsia"/>
          <w:lang w:eastAsia="zh-CN"/>
        </w:rPr>
        <w:t>进程</w:t>
      </w:r>
      <w:r>
        <w:rPr>
          <w:rFonts w:hint="eastAsia"/>
          <w:lang w:eastAsia="zh-CN"/>
        </w:rPr>
        <w:t>的</w:t>
      </w:r>
      <w:r>
        <w:rPr>
          <w:lang w:eastAsia="zh-CN"/>
        </w:rPr>
        <w:t>必要性</w:t>
      </w:r>
      <w:r w:rsidRPr="00C45066">
        <w:rPr>
          <w:rFonts w:hint="eastAsia"/>
          <w:lang w:eastAsia="zh-CN"/>
        </w:rPr>
        <w:t>，</w:t>
      </w:r>
      <w:r>
        <w:rPr>
          <w:rFonts w:hint="eastAsia"/>
          <w:lang w:eastAsia="zh-CN"/>
        </w:rPr>
        <w:t>以进一步发展通往知识社会的信息社会，旨在</w:t>
      </w:r>
      <w:r w:rsidRPr="00C45066">
        <w:rPr>
          <w:rFonts w:hint="eastAsia"/>
          <w:lang w:eastAsia="zh-CN"/>
        </w:rPr>
        <w:t>充分利用信息通信技术应对</w:t>
      </w:r>
      <w:r w:rsidRPr="00C45066">
        <w:rPr>
          <w:rFonts w:hint="eastAsia"/>
          <w:lang w:eastAsia="zh-CN"/>
        </w:rPr>
        <w:t>21</w:t>
      </w:r>
      <w:r w:rsidRPr="00C45066">
        <w:rPr>
          <w:rFonts w:hint="eastAsia"/>
          <w:lang w:eastAsia="zh-CN"/>
        </w:rPr>
        <w:t>世纪的发展挑战；</w:t>
      </w:r>
    </w:p>
    <w:p w14:paraId="4827B47A" w14:textId="77777777" w:rsidR="001D06D0" w:rsidRPr="00C45066" w:rsidRDefault="001D06D0" w:rsidP="001D06D0">
      <w:pPr>
        <w:rPr>
          <w:lang w:eastAsia="zh-CN"/>
        </w:rPr>
      </w:pPr>
      <w:r>
        <w:rPr>
          <w:rFonts w:hint="eastAsia"/>
          <w:lang w:eastAsia="zh-CN"/>
        </w:rPr>
        <w:t>4</w:t>
      </w:r>
      <w:r w:rsidRPr="00C45066">
        <w:rPr>
          <w:rFonts w:hint="eastAsia"/>
          <w:lang w:eastAsia="zh-CN"/>
        </w:rPr>
        <w:tab/>
      </w:r>
      <w:r w:rsidRPr="00C45066">
        <w:rPr>
          <w:rFonts w:hint="eastAsia"/>
          <w:lang w:val="fr-FR" w:eastAsia="zh-CN"/>
        </w:rPr>
        <w:t>提供财务手段，促进发展中国家和最不发达国家的</w:t>
      </w:r>
      <w:r>
        <w:rPr>
          <w:rFonts w:hint="eastAsia"/>
          <w:lang w:val="fr-FR" w:eastAsia="zh-CN"/>
        </w:rPr>
        <w:t>所有相关</w:t>
      </w:r>
      <w:r w:rsidRPr="00C45066">
        <w:rPr>
          <w:rFonts w:hint="eastAsia"/>
          <w:lang w:val="fr-FR" w:eastAsia="zh-CN"/>
        </w:rPr>
        <w:t>WSIS</w:t>
      </w:r>
      <w:r>
        <w:rPr>
          <w:rFonts w:hint="eastAsia"/>
          <w:lang w:val="fr-FR" w:eastAsia="zh-CN"/>
        </w:rPr>
        <w:t>利益</w:t>
      </w:r>
      <w:r w:rsidRPr="00C45066">
        <w:rPr>
          <w:rFonts w:hint="eastAsia"/>
          <w:lang w:val="fr-FR" w:eastAsia="zh-CN"/>
        </w:rPr>
        <w:t>攸关方参与</w:t>
      </w:r>
      <w:r>
        <w:rPr>
          <w:rFonts w:hint="eastAsia"/>
          <w:lang w:val="fr-FR" w:eastAsia="zh-CN"/>
        </w:rPr>
        <w:t>联大筹备进程，尤其是非正式互动磋商</w:t>
      </w:r>
      <w:r w:rsidRPr="00C45066">
        <w:rPr>
          <w:rFonts w:hint="eastAsia"/>
          <w:lang w:val="fr-FR" w:eastAsia="zh-CN"/>
        </w:rPr>
        <w:t>；</w:t>
      </w:r>
    </w:p>
    <w:p w14:paraId="4827B47B" w14:textId="77777777" w:rsidR="001D06D0" w:rsidRPr="00C45066" w:rsidRDefault="001D06D0" w:rsidP="001D06D0">
      <w:pPr>
        <w:rPr>
          <w:lang w:eastAsia="zh-CN"/>
        </w:rPr>
      </w:pPr>
      <w:r>
        <w:rPr>
          <w:rFonts w:hint="eastAsia"/>
          <w:lang w:eastAsia="zh-CN"/>
        </w:rPr>
        <w:t>5</w:t>
      </w:r>
      <w:r w:rsidRPr="00C45066">
        <w:rPr>
          <w:lang w:eastAsia="zh-CN"/>
        </w:rPr>
        <w:tab/>
      </w:r>
      <w:r w:rsidRPr="00C45066">
        <w:rPr>
          <w:rFonts w:hint="eastAsia"/>
          <w:lang w:eastAsia="zh-CN"/>
        </w:rPr>
        <w:t>积极参与</w:t>
      </w:r>
      <w:r w:rsidRPr="00C45066">
        <w:rPr>
          <w:lang w:eastAsia="zh-CN"/>
        </w:rPr>
        <w:t>WG-WSIS</w:t>
      </w:r>
      <w:r w:rsidRPr="00C45066">
        <w:rPr>
          <w:rFonts w:hint="eastAsia"/>
          <w:lang w:eastAsia="zh-CN"/>
        </w:rPr>
        <w:t>的工作；</w:t>
      </w:r>
    </w:p>
    <w:p w14:paraId="4827B47C" w14:textId="77777777" w:rsidR="001D06D0" w:rsidRPr="00C45066" w:rsidRDefault="001D06D0" w:rsidP="001D06D0">
      <w:pPr>
        <w:rPr>
          <w:lang w:eastAsia="zh-CN"/>
        </w:rPr>
      </w:pPr>
      <w:r w:rsidRPr="00C45066">
        <w:rPr>
          <w:rFonts w:hint="eastAsia"/>
          <w:lang w:eastAsia="zh-CN"/>
        </w:rPr>
        <w:t>6</w:t>
      </w:r>
      <w:r w:rsidRPr="00C45066">
        <w:rPr>
          <w:lang w:eastAsia="zh-CN"/>
        </w:rPr>
        <w:tab/>
      </w:r>
      <w:r w:rsidRPr="00C45066">
        <w:rPr>
          <w:rFonts w:hint="eastAsia"/>
          <w:lang w:eastAsia="zh-CN"/>
        </w:rPr>
        <w:t>为国际电联</w:t>
      </w:r>
      <w:r w:rsidRPr="00C45066">
        <w:rPr>
          <w:lang w:eastAsia="zh-CN"/>
        </w:rPr>
        <w:t>WSIS</w:t>
      </w:r>
      <w:r w:rsidRPr="00C45066">
        <w:rPr>
          <w:rFonts w:hint="eastAsia"/>
          <w:lang w:eastAsia="zh-CN"/>
        </w:rPr>
        <w:t>信托基金捐款，以确保</w:t>
      </w:r>
      <w:r w:rsidRPr="00C45066">
        <w:rPr>
          <w:lang w:eastAsia="zh-CN"/>
        </w:rPr>
        <w:t>WSIS+10</w:t>
      </w:r>
      <w:r>
        <w:rPr>
          <w:rFonts w:hint="eastAsia"/>
          <w:lang w:eastAsia="zh-CN"/>
        </w:rPr>
        <w:t>进程的切实有效</w:t>
      </w:r>
      <w:r w:rsidRPr="00C45066">
        <w:rPr>
          <w:rFonts w:hint="eastAsia"/>
          <w:lang w:eastAsia="zh-CN"/>
        </w:rPr>
        <w:t>落实</w:t>
      </w:r>
      <w:r>
        <w:rPr>
          <w:rFonts w:hint="eastAsia"/>
          <w:lang w:eastAsia="zh-CN"/>
        </w:rPr>
        <w:t>。</w:t>
      </w:r>
    </w:p>
    <w:p w14:paraId="4827B47D" w14:textId="77777777" w:rsidR="002D538E" w:rsidRPr="00824519" w:rsidRDefault="002D538E" w:rsidP="006D2F0C">
      <w:pPr>
        <w:pStyle w:val="Endtext"/>
        <w:tabs>
          <w:tab w:val="clear" w:pos="567"/>
        </w:tabs>
        <w:rPr>
          <w:lang w:val="en-US" w:eastAsia="zh-CN"/>
        </w:rPr>
      </w:pPr>
      <w:r w:rsidRPr="005901EF">
        <w:rPr>
          <w:rFonts w:ascii="STKaiti" w:hAnsi="SimSun" w:hint="eastAsia"/>
          <w:lang w:eastAsia="zh-CN"/>
        </w:rPr>
        <w:t>参阅：</w:t>
      </w:r>
      <w:r w:rsidR="00A24F24">
        <w:rPr>
          <w:rFonts w:ascii="STKaiti" w:hAnsi="SimSun"/>
          <w:lang w:eastAsia="zh-CN"/>
        </w:rPr>
        <w:tab/>
      </w:r>
      <w:hyperlink r:id="rId313" w:history="1">
        <w:r w:rsidR="001D06D0" w:rsidRPr="00705BD5">
          <w:rPr>
            <w:rStyle w:val="Hyperlink"/>
            <w:lang w:val="en-US" w:eastAsia="zh-CN"/>
          </w:rPr>
          <w:t>C11/103</w:t>
        </w:r>
      </w:hyperlink>
      <w:r w:rsidR="00824519">
        <w:rPr>
          <w:rFonts w:hint="eastAsia"/>
          <w:lang w:val="en-US" w:eastAsia="zh-CN"/>
        </w:rPr>
        <w:t>、</w:t>
      </w:r>
      <w:hyperlink r:id="rId314" w:history="1">
        <w:r w:rsidR="001D06D0" w:rsidRPr="00705BD5">
          <w:rPr>
            <w:rStyle w:val="Hyperlink"/>
            <w:lang w:val="en-US" w:eastAsia="zh-CN"/>
          </w:rPr>
          <w:t>C11/120</w:t>
        </w:r>
      </w:hyperlink>
      <w:r w:rsidR="00824519">
        <w:rPr>
          <w:rFonts w:hint="eastAsia"/>
          <w:lang w:val="en-US" w:eastAsia="zh-CN"/>
        </w:rPr>
        <w:t>、</w:t>
      </w:r>
      <w:hyperlink r:id="rId315" w:history="1">
        <w:r w:rsidR="001D06D0" w:rsidRPr="00705BD5">
          <w:rPr>
            <w:rStyle w:val="Hyperlink"/>
            <w:lang w:val="en-US" w:eastAsia="zh-CN"/>
          </w:rPr>
          <w:t>C12/101</w:t>
        </w:r>
      </w:hyperlink>
      <w:r w:rsidR="00824519">
        <w:rPr>
          <w:rFonts w:hint="eastAsia"/>
          <w:lang w:val="en-US" w:eastAsia="zh-CN"/>
        </w:rPr>
        <w:t>、</w:t>
      </w:r>
      <w:hyperlink r:id="rId316" w:history="1">
        <w:r w:rsidR="001D06D0" w:rsidRPr="00705BD5">
          <w:rPr>
            <w:rStyle w:val="Hyperlink"/>
            <w:lang w:val="en-US" w:eastAsia="zh-CN"/>
          </w:rPr>
          <w:t>C12/110</w:t>
        </w:r>
      </w:hyperlink>
      <w:r w:rsidR="00824519">
        <w:rPr>
          <w:rFonts w:hint="eastAsia"/>
          <w:lang w:val="en-US" w:eastAsia="zh-CN"/>
        </w:rPr>
        <w:t>、</w:t>
      </w:r>
      <w:hyperlink r:id="rId317" w:history="1">
        <w:r w:rsidR="001D06D0" w:rsidRPr="00705BD5">
          <w:rPr>
            <w:rStyle w:val="Hyperlink"/>
            <w:lang w:val="en-US" w:eastAsia="zh-CN"/>
          </w:rPr>
          <w:t>C13/108</w:t>
        </w:r>
      </w:hyperlink>
      <w:r w:rsidR="001D06D0">
        <w:rPr>
          <w:rFonts w:hint="eastAsia"/>
          <w:lang w:val="en-US" w:eastAsia="zh-CN"/>
        </w:rPr>
        <w:t>和</w:t>
      </w:r>
      <w:hyperlink r:id="rId318" w:history="1">
        <w:r w:rsidR="001D06D0" w:rsidRPr="00705BD5">
          <w:rPr>
            <w:rStyle w:val="Hyperlink"/>
            <w:lang w:val="en-US" w:eastAsia="zh-CN"/>
          </w:rPr>
          <w:t>C13/121</w:t>
        </w:r>
      </w:hyperlink>
      <w:r w:rsidR="00824519">
        <w:rPr>
          <w:rFonts w:hint="eastAsia"/>
          <w:lang w:val="en-US" w:eastAsia="zh-CN"/>
        </w:rPr>
        <w:t>、</w:t>
      </w:r>
      <w:hyperlink r:id="rId319" w:history="1">
        <w:r w:rsidR="001D06D0" w:rsidRPr="00705BD5">
          <w:rPr>
            <w:rStyle w:val="Hyperlink"/>
            <w:lang w:val="en-US" w:eastAsia="zh-CN"/>
          </w:rPr>
          <w:t>C15/111</w:t>
        </w:r>
      </w:hyperlink>
      <w:r w:rsidR="00824519">
        <w:rPr>
          <w:rFonts w:hint="eastAsia"/>
          <w:lang w:val="en-US" w:eastAsia="zh-CN"/>
        </w:rPr>
        <w:t>及</w:t>
      </w:r>
      <w:hyperlink r:id="rId320" w:history="1">
        <w:r w:rsidR="001D06D0" w:rsidRPr="00754D39">
          <w:rPr>
            <w:rStyle w:val="Hyperlink"/>
            <w:lang w:val="en-US" w:eastAsia="zh-CN"/>
          </w:rPr>
          <w:t>C15/123</w:t>
        </w:r>
      </w:hyperlink>
      <w:r w:rsidR="001D06D0">
        <w:rPr>
          <w:rFonts w:hint="eastAsia"/>
          <w:lang w:val="en-US" w:eastAsia="zh-CN"/>
        </w:rPr>
        <w:t>号</w:t>
      </w:r>
      <w:r w:rsidR="001D06D0">
        <w:rPr>
          <w:lang w:val="en-US" w:eastAsia="zh-CN"/>
        </w:rPr>
        <w:t>文件。</w:t>
      </w:r>
    </w:p>
    <w:p w14:paraId="4827B47E" w14:textId="77777777" w:rsidR="00921FD3" w:rsidRDefault="00921FD3" w:rsidP="00921FD3">
      <w:pPr>
        <w:jc w:val="center"/>
        <w:rPr>
          <w:lang w:eastAsia="zh-CN"/>
        </w:rPr>
      </w:pPr>
      <w:bookmarkStart w:id="1719" w:name="_Toc424117037"/>
      <w:bookmarkStart w:id="1720" w:name="_Toc531706387"/>
      <w:bookmarkStart w:id="1721" w:name="_Toc531706992"/>
      <w:bookmarkStart w:id="1722" w:name="_Toc531768475"/>
      <w:bookmarkStart w:id="1723" w:name="_Toc311469614"/>
      <w:r>
        <w:rPr>
          <w:lang w:eastAsia="zh-CN"/>
        </w:rPr>
        <w:t>______________</w:t>
      </w:r>
    </w:p>
    <w:p w14:paraId="4827B47F"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480"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481"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482"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483"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484"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485"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486"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487"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488"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489"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48A"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48B"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48C"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48D" w14:textId="77777777" w:rsidR="00921FD3" w:rsidRDefault="00921FD3" w:rsidP="00CA7362">
      <w:pPr>
        <w:pStyle w:val="ResNo"/>
        <w:outlineLvl w:val="0"/>
        <w:rPr>
          <w:lang w:eastAsia="zh-CN"/>
        </w:rPr>
      </w:pPr>
      <w:bookmarkStart w:id="1724" w:name="_Toc16085795"/>
      <w:bookmarkStart w:id="1725" w:name="_Toc86395598"/>
      <w:bookmarkEnd w:id="1719"/>
      <w:bookmarkEnd w:id="1720"/>
      <w:bookmarkEnd w:id="1721"/>
      <w:bookmarkEnd w:id="1722"/>
      <w:bookmarkEnd w:id="1723"/>
      <w:r w:rsidRPr="006D2F0C">
        <w:rPr>
          <w:rFonts w:hint="eastAsia"/>
          <w:lang w:eastAsia="zh-CN"/>
        </w:rPr>
        <w:lastRenderedPageBreak/>
        <w:t>第</w:t>
      </w:r>
      <w:r w:rsidRPr="006D2F0C">
        <w:rPr>
          <w:rFonts w:hint="eastAsia"/>
          <w:lang w:eastAsia="zh-CN"/>
        </w:rPr>
        <w:t>13</w:t>
      </w:r>
      <w:r w:rsidRPr="006D2F0C">
        <w:rPr>
          <w:lang w:eastAsia="zh-CN"/>
        </w:rPr>
        <w:t>36</w:t>
      </w:r>
      <w:r w:rsidRPr="006D2F0C">
        <w:rPr>
          <w:rFonts w:hint="eastAsia"/>
          <w:lang w:eastAsia="zh-CN"/>
        </w:rPr>
        <w:t>号决议</w:t>
      </w:r>
      <w:r>
        <w:rPr>
          <w:rFonts w:hint="eastAsia"/>
          <w:lang w:eastAsia="zh-CN"/>
        </w:rPr>
        <w:t>（</w:t>
      </w:r>
      <w:r>
        <w:rPr>
          <w:rFonts w:hint="eastAsia"/>
          <w:lang w:eastAsia="zh-CN"/>
        </w:rPr>
        <w:t>C</w:t>
      </w:r>
      <w:r>
        <w:rPr>
          <w:lang w:eastAsia="zh-CN"/>
        </w:rPr>
        <w:t>11</w:t>
      </w:r>
      <w:r>
        <w:rPr>
          <w:rFonts w:hint="eastAsia"/>
          <w:lang w:eastAsia="zh-CN"/>
        </w:rPr>
        <w:t>，最后修正</w:t>
      </w:r>
      <w:r>
        <w:rPr>
          <w:rFonts w:hint="eastAsia"/>
          <w:lang w:eastAsia="zh-CN"/>
        </w:rPr>
        <w:t>C19</w:t>
      </w:r>
      <w:r>
        <w:rPr>
          <w:lang w:eastAsia="zh-CN"/>
        </w:rPr>
        <w:t>）</w:t>
      </w:r>
      <w:bookmarkEnd w:id="1724"/>
      <w:bookmarkEnd w:id="1725"/>
    </w:p>
    <w:p w14:paraId="4827B48E" w14:textId="77777777" w:rsidR="00921FD3" w:rsidRPr="006D2F0C" w:rsidRDefault="00921FD3" w:rsidP="00921FD3">
      <w:pPr>
        <w:pStyle w:val="Restitle"/>
        <w:rPr>
          <w:lang w:eastAsia="zh-CN"/>
        </w:rPr>
      </w:pPr>
      <w:bookmarkStart w:id="1726" w:name="_Toc424116240"/>
      <w:bookmarkStart w:id="1727" w:name="_Toc424117038"/>
      <w:bookmarkStart w:id="1728" w:name="_Toc460248151"/>
      <w:bookmarkStart w:id="1729" w:name="_Toc531706388"/>
      <w:bookmarkStart w:id="1730" w:name="_Toc531706993"/>
      <w:bookmarkStart w:id="1731" w:name="_Toc531768476"/>
      <w:bookmarkStart w:id="1732" w:name="_Toc16085796"/>
      <w:bookmarkStart w:id="1733" w:name="_Toc86395599"/>
      <w:r>
        <w:rPr>
          <w:rFonts w:hint="eastAsia"/>
          <w:lang w:eastAsia="zh-CN"/>
        </w:rPr>
        <w:t>理事会国际互联网相关公共政策问题工作组</w:t>
      </w:r>
      <w:r>
        <w:rPr>
          <w:lang w:eastAsia="zh-CN"/>
        </w:rPr>
        <w:br/>
      </w:r>
      <w:r>
        <w:rPr>
          <w:rFonts w:hint="eastAsia"/>
          <w:lang w:eastAsia="zh-CN"/>
        </w:rPr>
        <w:t>（</w:t>
      </w:r>
      <w:r>
        <w:rPr>
          <w:lang w:eastAsia="zh-CN"/>
        </w:rPr>
        <w:t>CWG-Internet</w:t>
      </w:r>
      <w:r>
        <w:rPr>
          <w:rFonts w:hint="eastAsia"/>
          <w:lang w:eastAsia="zh-CN"/>
        </w:rPr>
        <w:t>）</w:t>
      </w:r>
      <w:bookmarkEnd w:id="1726"/>
      <w:bookmarkEnd w:id="1727"/>
      <w:bookmarkEnd w:id="1728"/>
      <w:bookmarkEnd w:id="1729"/>
      <w:bookmarkEnd w:id="1730"/>
      <w:bookmarkEnd w:id="1731"/>
      <w:bookmarkEnd w:id="1732"/>
      <w:bookmarkEnd w:id="1733"/>
    </w:p>
    <w:p w14:paraId="4827B48F" w14:textId="77777777" w:rsidR="00921FD3" w:rsidRDefault="00921FD3" w:rsidP="00921FD3">
      <w:pPr>
        <w:pStyle w:val="Normalaftertitle"/>
        <w:rPr>
          <w:lang w:val="en-US" w:eastAsia="zh-CN"/>
        </w:rPr>
      </w:pPr>
      <w:r>
        <w:rPr>
          <w:rFonts w:hint="eastAsia"/>
          <w:lang w:eastAsia="zh-CN"/>
        </w:rPr>
        <w:t>理事会，</w:t>
      </w:r>
    </w:p>
    <w:p w14:paraId="4827B490" w14:textId="77777777" w:rsidR="00921FD3" w:rsidRPr="002349C6" w:rsidRDefault="00921FD3" w:rsidP="00921FD3">
      <w:pPr>
        <w:pStyle w:val="Call"/>
        <w:rPr>
          <w:lang w:eastAsia="zh-CN"/>
        </w:rPr>
      </w:pPr>
      <w:r w:rsidRPr="002349C6">
        <w:rPr>
          <w:rFonts w:hint="eastAsia"/>
          <w:lang w:eastAsia="zh-CN"/>
        </w:rPr>
        <w:t>认识到</w:t>
      </w:r>
    </w:p>
    <w:p w14:paraId="4827B491" w14:textId="77777777" w:rsidR="00921FD3" w:rsidRDefault="00921FD3" w:rsidP="00921FD3">
      <w:pPr>
        <w:rPr>
          <w:lang w:eastAsia="zh-CN"/>
        </w:rPr>
      </w:pPr>
      <w:r>
        <w:rPr>
          <w:i/>
          <w:iCs/>
          <w:lang w:eastAsia="zh-CN"/>
        </w:rPr>
        <w:t>a</w:t>
      </w:r>
      <w:r>
        <w:rPr>
          <w:rFonts w:hint="eastAsia"/>
          <w:i/>
          <w:iCs/>
          <w:lang w:eastAsia="zh-CN"/>
        </w:rPr>
        <w:t>)</w:t>
      </w:r>
      <w:r>
        <w:rPr>
          <w:i/>
          <w:iCs/>
          <w:lang w:eastAsia="zh-CN"/>
        </w:rPr>
        <w:tab/>
      </w:r>
      <w:r>
        <w:rPr>
          <w:rFonts w:hint="eastAsia"/>
          <w:lang w:eastAsia="zh-CN"/>
        </w:rPr>
        <w:t>关于“国际电联在有关互联网和互联网资源（包括域名和地址）管理的国际公共政策问题方面作用”的第</w:t>
      </w:r>
      <w:r>
        <w:rPr>
          <w:lang w:eastAsia="zh-CN"/>
        </w:rPr>
        <w:t>102</w:t>
      </w:r>
      <w:r>
        <w:rPr>
          <w:rFonts w:hint="eastAsia"/>
          <w:lang w:eastAsia="zh-CN"/>
        </w:rPr>
        <w:t>号决议（</w:t>
      </w:r>
      <w:r>
        <w:rPr>
          <w:lang w:eastAsia="zh-CN"/>
        </w:rPr>
        <w:t>2018</w:t>
      </w:r>
      <w:r>
        <w:rPr>
          <w:rFonts w:hint="eastAsia"/>
          <w:lang w:eastAsia="zh-CN"/>
        </w:rPr>
        <w:t>年，迪拜，修订版）；</w:t>
      </w:r>
    </w:p>
    <w:p w14:paraId="4827B492" w14:textId="77777777" w:rsidR="00921FD3" w:rsidRDefault="00921FD3" w:rsidP="00921FD3">
      <w:pPr>
        <w:rPr>
          <w:lang w:eastAsia="zh-CN"/>
        </w:rPr>
      </w:pPr>
      <w:r>
        <w:rPr>
          <w:i/>
          <w:iCs/>
          <w:lang w:eastAsia="zh-CN"/>
        </w:rPr>
        <w:t>b</w:t>
      </w:r>
      <w:r>
        <w:rPr>
          <w:rFonts w:hint="eastAsia"/>
          <w:i/>
          <w:iCs/>
          <w:lang w:eastAsia="zh-CN"/>
        </w:rPr>
        <w:t>)</w:t>
      </w:r>
      <w:r>
        <w:rPr>
          <w:i/>
          <w:iCs/>
          <w:lang w:eastAsia="zh-CN"/>
        </w:rPr>
        <w:tab/>
      </w:r>
      <w:r>
        <w:rPr>
          <w:rFonts w:hint="eastAsia"/>
          <w:lang w:eastAsia="zh-CN"/>
        </w:rPr>
        <w:t>关于确定互联网相关公共政策问题专门组作用的理事会第</w:t>
      </w:r>
      <w:r>
        <w:rPr>
          <w:lang w:eastAsia="zh-CN"/>
        </w:rPr>
        <w:t>1305</w:t>
      </w:r>
      <w:r>
        <w:rPr>
          <w:rFonts w:hint="eastAsia"/>
          <w:lang w:eastAsia="zh-CN"/>
        </w:rPr>
        <w:t>号决议（</w:t>
      </w:r>
      <w:r>
        <w:rPr>
          <w:lang w:eastAsia="zh-CN"/>
        </w:rPr>
        <w:t>2009</w:t>
      </w:r>
      <w:r>
        <w:rPr>
          <w:rFonts w:hint="eastAsia"/>
          <w:lang w:eastAsia="zh-CN"/>
        </w:rPr>
        <w:t>年）；</w:t>
      </w:r>
    </w:p>
    <w:p w14:paraId="4827B493" w14:textId="77777777" w:rsidR="00921FD3" w:rsidRDefault="00921FD3" w:rsidP="00921FD3">
      <w:pPr>
        <w:rPr>
          <w:lang w:eastAsia="zh-CN"/>
        </w:rPr>
      </w:pPr>
      <w:r>
        <w:rPr>
          <w:i/>
          <w:iCs/>
          <w:lang w:eastAsia="zh-CN"/>
        </w:rPr>
        <w:t>c</w:t>
      </w:r>
      <w:r>
        <w:rPr>
          <w:rFonts w:hint="eastAsia"/>
          <w:i/>
          <w:iCs/>
          <w:lang w:eastAsia="zh-CN"/>
        </w:rPr>
        <w:t>)</w:t>
      </w:r>
      <w:r>
        <w:rPr>
          <w:i/>
          <w:iCs/>
          <w:lang w:eastAsia="zh-CN"/>
        </w:rPr>
        <w:tab/>
      </w:r>
      <w:r>
        <w:rPr>
          <w:rFonts w:hint="eastAsia"/>
          <w:lang w:eastAsia="zh-CN"/>
        </w:rPr>
        <w:t>关于理事会国际互联网相关公共政策问题工作组（</w:t>
      </w:r>
      <w:r>
        <w:rPr>
          <w:lang w:eastAsia="zh-CN"/>
        </w:rPr>
        <w:t>CWG-Internet</w:t>
      </w:r>
      <w:r>
        <w:rPr>
          <w:rFonts w:hint="eastAsia"/>
          <w:lang w:eastAsia="zh-CN"/>
        </w:rPr>
        <w:t>）公开磋商方式的理事会第</w:t>
      </w:r>
      <w:r>
        <w:rPr>
          <w:lang w:eastAsia="zh-CN"/>
        </w:rPr>
        <w:t>1344</w:t>
      </w:r>
      <w:r>
        <w:rPr>
          <w:rFonts w:hint="eastAsia"/>
          <w:lang w:eastAsia="zh-CN"/>
        </w:rPr>
        <w:t>号决议（</w:t>
      </w:r>
      <w:r>
        <w:rPr>
          <w:lang w:eastAsia="zh-CN"/>
        </w:rPr>
        <w:t>2015</w:t>
      </w:r>
      <w:r>
        <w:rPr>
          <w:rFonts w:hint="eastAsia"/>
          <w:lang w:eastAsia="zh-CN"/>
        </w:rPr>
        <w:t>年，修订版），</w:t>
      </w:r>
    </w:p>
    <w:p w14:paraId="4827B494" w14:textId="77777777" w:rsidR="00921FD3" w:rsidRPr="002349C6" w:rsidRDefault="00921FD3" w:rsidP="00921FD3">
      <w:pPr>
        <w:pStyle w:val="Call"/>
        <w:rPr>
          <w:lang w:eastAsia="zh-CN"/>
        </w:rPr>
      </w:pPr>
      <w:r w:rsidRPr="002349C6">
        <w:rPr>
          <w:rFonts w:hint="eastAsia"/>
          <w:lang w:eastAsia="zh-CN"/>
        </w:rPr>
        <w:t>进一步认识到</w:t>
      </w:r>
    </w:p>
    <w:p w14:paraId="4827B495" w14:textId="77777777" w:rsidR="00921FD3" w:rsidRDefault="00921FD3" w:rsidP="00921FD3">
      <w:pPr>
        <w:rPr>
          <w:lang w:eastAsia="zh-CN"/>
        </w:rPr>
      </w:pPr>
      <w:r>
        <w:rPr>
          <w:i/>
          <w:iCs/>
          <w:lang w:eastAsia="zh-CN"/>
        </w:rPr>
        <w:t>a</w:t>
      </w:r>
      <w:r>
        <w:rPr>
          <w:rFonts w:hint="eastAsia"/>
          <w:i/>
          <w:iCs/>
          <w:lang w:eastAsia="zh-CN"/>
        </w:rPr>
        <w:t>)</w:t>
      </w:r>
      <w:r>
        <w:rPr>
          <w:lang w:eastAsia="zh-CN"/>
        </w:rPr>
        <w:tab/>
      </w:r>
      <w:r>
        <w:rPr>
          <w:rFonts w:hint="eastAsia"/>
          <w:lang w:eastAsia="zh-CN"/>
        </w:rPr>
        <w:t>《突尼斯议程》第</w:t>
      </w:r>
      <w:r>
        <w:rPr>
          <w:lang w:eastAsia="zh-CN"/>
        </w:rPr>
        <w:t>35</w:t>
      </w:r>
      <w:r>
        <w:rPr>
          <w:rFonts w:hint="eastAsia"/>
          <w:lang w:eastAsia="zh-CN"/>
        </w:rPr>
        <w:t>段重申互联网的管理包含技术和公共政策两个方面的问题，并且应该有所有利益攸关方和相关政府间组织和国际组织的参与。会议就此认为：</w:t>
      </w:r>
    </w:p>
    <w:p w14:paraId="4827B496" w14:textId="77777777" w:rsidR="00921FD3" w:rsidRDefault="00921FD3" w:rsidP="00921FD3">
      <w:pPr>
        <w:pStyle w:val="enumlev1"/>
        <w:rPr>
          <w:iCs/>
          <w:lang w:eastAsia="zh-CN"/>
        </w:rPr>
      </w:pPr>
      <w:r>
        <w:rPr>
          <w:lang w:eastAsia="zh-CN"/>
        </w:rPr>
        <w:t>i</w:t>
      </w:r>
      <w:r w:rsidRPr="005C2CFB">
        <w:rPr>
          <w:rFonts w:hint="eastAsia"/>
          <w:lang w:eastAsia="zh-CN"/>
        </w:rPr>
        <w:t>)</w:t>
      </w:r>
      <w:r>
        <w:rPr>
          <w:lang w:eastAsia="zh-CN"/>
        </w:rPr>
        <w:tab/>
      </w:r>
      <w:r>
        <w:rPr>
          <w:rFonts w:hint="eastAsia"/>
          <w:lang w:eastAsia="zh-CN"/>
        </w:rPr>
        <w:t>涉及互联网的公共政策问题的决策权属各国的主权。各国有权利和责任处理与国际互联网相关的公共政策问题。</w:t>
      </w:r>
    </w:p>
    <w:p w14:paraId="4827B497" w14:textId="77777777" w:rsidR="00921FD3" w:rsidRDefault="00921FD3" w:rsidP="00921FD3">
      <w:pPr>
        <w:pStyle w:val="enumlev1"/>
        <w:rPr>
          <w:lang w:eastAsia="zh-CN"/>
        </w:rPr>
      </w:pPr>
      <w:r>
        <w:rPr>
          <w:lang w:eastAsia="zh-CN"/>
        </w:rPr>
        <w:t>ii</w:t>
      </w:r>
      <w:r w:rsidRPr="005C2CFB">
        <w:rPr>
          <w:rFonts w:hint="eastAsia"/>
          <w:lang w:eastAsia="zh-CN"/>
        </w:rPr>
        <w:t>)</w:t>
      </w:r>
      <w:r>
        <w:rPr>
          <w:lang w:eastAsia="zh-CN"/>
        </w:rPr>
        <w:tab/>
      </w:r>
      <w:r>
        <w:rPr>
          <w:rFonts w:hint="eastAsia"/>
          <w:lang w:eastAsia="zh-CN"/>
        </w:rPr>
        <w:t>在技术和经济领域，私营部门过去、并应一如继往地继续在互联网的发展方面发挥重要作用。</w:t>
      </w:r>
    </w:p>
    <w:p w14:paraId="4827B498" w14:textId="77777777" w:rsidR="00921FD3" w:rsidRDefault="00921FD3" w:rsidP="00921FD3">
      <w:pPr>
        <w:pStyle w:val="enumlev1"/>
        <w:rPr>
          <w:iCs/>
          <w:lang w:eastAsia="zh-CN"/>
        </w:rPr>
      </w:pPr>
      <w:r>
        <w:rPr>
          <w:lang w:eastAsia="zh-CN"/>
        </w:rPr>
        <w:t>iii</w:t>
      </w:r>
      <w:r w:rsidRPr="005C2CFB">
        <w:rPr>
          <w:rFonts w:hint="eastAsia"/>
          <w:lang w:eastAsia="zh-CN"/>
        </w:rPr>
        <w:t>)</w:t>
      </w:r>
      <w:r>
        <w:rPr>
          <w:lang w:eastAsia="zh-CN"/>
        </w:rPr>
        <w:tab/>
      </w:r>
      <w:r>
        <w:rPr>
          <w:rFonts w:hint="eastAsia"/>
          <w:lang w:eastAsia="zh-CN"/>
        </w:rPr>
        <w:t>民间团体在互联网事务方面亦发挥了重要作用（尤其在社区层面），并应继续发挥此类作用。</w:t>
      </w:r>
    </w:p>
    <w:p w14:paraId="4827B499" w14:textId="77777777" w:rsidR="00921FD3" w:rsidRDefault="00921FD3" w:rsidP="00921FD3">
      <w:pPr>
        <w:pStyle w:val="enumlev1"/>
        <w:rPr>
          <w:iCs/>
          <w:lang w:eastAsia="zh-CN"/>
        </w:rPr>
      </w:pPr>
      <w:r>
        <w:rPr>
          <w:lang w:eastAsia="zh-CN"/>
        </w:rPr>
        <w:t>iv</w:t>
      </w:r>
      <w:r w:rsidRPr="005C2CFB">
        <w:rPr>
          <w:rFonts w:hint="eastAsia"/>
          <w:lang w:eastAsia="zh-CN"/>
        </w:rPr>
        <w:t>)</w:t>
      </w:r>
      <w:r>
        <w:rPr>
          <w:lang w:eastAsia="zh-CN"/>
        </w:rPr>
        <w:tab/>
      </w:r>
      <w:r>
        <w:rPr>
          <w:rFonts w:hint="eastAsia"/>
          <w:lang w:eastAsia="zh-CN"/>
        </w:rPr>
        <w:t>政府间组织过去、并应一如继往地继续在协调与互联网相关的公共政策问题中发挥促进作用。</w:t>
      </w:r>
    </w:p>
    <w:p w14:paraId="4827B49A" w14:textId="77777777" w:rsidR="00921FD3" w:rsidRDefault="00921FD3" w:rsidP="00921FD3">
      <w:pPr>
        <w:pStyle w:val="enumlev1"/>
        <w:rPr>
          <w:iCs/>
          <w:lang w:eastAsia="zh-CN"/>
        </w:rPr>
      </w:pPr>
      <w:r>
        <w:rPr>
          <w:lang w:eastAsia="zh-CN"/>
        </w:rPr>
        <w:t>v</w:t>
      </w:r>
      <w:r w:rsidRPr="005C2CFB">
        <w:rPr>
          <w:rFonts w:hint="eastAsia"/>
          <w:lang w:eastAsia="zh-CN"/>
        </w:rPr>
        <w:t>)</w:t>
      </w:r>
      <w:r>
        <w:rPr>
          <w:lang w:eastAsia="zh-CN"/>
        </w:rPr>
        <w:tab/>
      </w:r>
      <w:r>
        <w:rPr>
          <w:rFonts w:hint="eastAsia"/>
          <w:lang w:eastAsia="zh-CN"/>
        </w:rPr>
        <w:t>国际组织过去、并也应一如继往地继续在制定与互联网相关的技术标准及相关政策中发挥重要作用。</w:t>
      </w:r>
    </w:p>
    <w:p w14:paraId="4827B49B" w14:textId="77777777" w:rsidR="00921FD3" w:rsidRDefault="00921FD3" w:rsidP="00921FD3">
      <w:pPr>
        <w:rPr>
          <w:lang w:eastAsia="zh-CN"/>
        </w:rPr>
      </w:pPr>
      <w:r>
        <w:rPr>
          <w:i/>
          <w:iCs/>
          <w:lang w:eastAsia="zh-CN"/>
        </w:rPr>
        <w:t>b</w:t>
      </w:r>
      <w:r>
        <w:rPr>
          <w:rFonts w:hint="eastAsia"/>
          <w:i/>
          <w:iCs/>
          <w:lang w:eastAsia="zh-CN"/>
        </w:rPr>
        <w:t>)</w:t>
      </w:r>
      <w:r>
        <w:rPr>
          <w:lang w:eastAsia="zh-CN"/>
        </w:rPr>
        <w:tab/>
      </w:r>
      <w:r>
        <w:rPr>
          <w:rFonts w:hint="eastAsia"/>
          <w:lang w:eastAsia="zh-CN"/>
        </w:rPr>
        <w:t>《突尼斯议程》第</w:t>
      </w:r>
      <w:r>
        <w:rPr>
          <w:lang w:eastAsia="zh-CN"/>
        </w:rPr>
        <w:t>68</w:t>
      </w:r>
      <w:r>
        <w:rPr>
          <w:rFonts w:hint="eastAsia"/>
          <w:lang w:eastAsia="zh-CN"/>
        </w:rPr>
        <w:t>段认识到，在国际互联网治理和确保互联网的稳定性、安全性和连贯性方面，各国政府均应平等发挥作用并履行职责。我们还认识到，各国政府需要与各利益攸关方协商制定公共政策；</w:t>
      </w:r>
    </w:p>
    <w:p w14:paraId="4827B49C" w14:textId="77777777" w:rsidR="00921FD3" w:rsidRDefault="00921FD3" w:rsidP="00921FD3">
      <w:pPr>
        <w:rPr>
          <w:lang w:eastAsia="zh-CN"/>
        </w:rPr>
      </w:pPr>
      <w:r>
        <w:rPr>
          <w:i/>
          <w:iCs/>
          <w:lang w:eastAsia="zh-CN"/>
        </w:rPr>
        <w:t>c</w:t>
      </w:r>
      <w:r>
        <w:rPr>
          <w:rFonts w:hint="eastAsia"/>
          <w:i/>
          <w:iCs/>
          <w:lang w:eastAsia="zh-CN"/>
        </w:rPr>
        <w:t>)</w:t>
      </w:r>
      <w:r>
        <w:rPr>
          <w:lang w:eastAsia="zh-CN"/>
        </w:rPr>
        <w:tab/>
      </w:r>
      <w:r>
        <w:rPr>
          <w:rFonts w:hint="eastAsia"/>
          <w:lang w:eastAsia="zh-CN"/>
        </w:rPr>
        <w:t>《突尼斯议程》第</w:t>
      </w:r>
      <w:r>
        <w:rPr>
          <w:lang w:eastAsia="zh-CN"/>
        </w:rPr>
        <w:t>36</w:t>
      </w:r>
      <w:r>
        <w:rPr>
          <w:rFonts w:hint="eastAsia"/>
          <w:lang w:eastAsia="zh-CN"/>
        </w:rPr>
        <w:t>段认识到第</w:t>
      </w:r>
      <w:r>
        <w:rPr>
          <w:lang w:eastAsia="zh-CN"/>
        </w:rPr>
        <w:t>35</w:t>
      </w:r>
      <w:r>
        <w:rPr>
          <w:rFonts w:hint="eastAsia"/>
          <w:lang w:eastAsia="zh-CN"/>
        </w:rPr>
        <w:t>段提及的利益攸关方群体中的学术和技术界人士为互联网的演进、运行和发展做出的宝贵贡献；</w:t>
      </w:r>
    </w:p>
    <w:p w14:paraId="4827B49D" w14:textId="77777777" w:rsidR="00921FD3" w:rsidRDefault="00921FD3" w:rsidP="00921FD3">
      <w:pPr>
        <w:rPr>
          <w:lang w:eastAsia="zh-CN"/>
        </w:rPr>
      </w:pPr>
      <w:r>
        <w:rPr>
          <w:i/>
          <w:iCs/>
          <w:szCs w:val="24"/>
          <w:lang w:val="en-US" w:eastAsia="zh-CN"/>
        </w:rPr>
        <w:t>d</w:t>
      </w:r>
      <w:r>
        <w:rPr>
          <w:rFonts w:hint="eastAsia"/>
          <w:i/>
          <w:iCs/>
          <w:lang w:eastAsia="zh-CN"/>
        </w:rPr>
        <w:t>)</w:t>
      </w:r>
      <w:r>
        <w:rPr>
          <w:szCs w:val="24"/>
          <w:lang w:val="en-US" w:eastAsia="zh-CN"/>
        </w:rPr>
        <w:tab/>
      </w:r>
      <w:r>
        <w:rPr>
          <w:rFonts w:hint="eastAsia"/>
          <w:lang w:eastAsia="zh-CN"/>
        </w:rPr>
        <w:t>与利益攸关方公开磋商的目的和意图在于听取不同利益攸关方群体对某些议题的独到见解，同时铭记公共政策问题属国家主权，</w:t>
      </w:r>
    </w:p>
    <w:p w14:paraId="4827B49E"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lang w:eastAsia="zh-CN"/>
        </w:rPr>
        <w:br w:type="page"/>
      </w:r>
    </w:p>
    <w:p w14:paraId="4827B49F" w14:textId="77777777" w:rsidR="00921FD3" w:rsidRPr="002349C6" w:rsidRDefault="00921FD3" w:rsidP="00921FD3">
      <w:pPr>
        <w:pStyle w:val="Call"/>
        <w:rPr>
          <w:lang w:eastAsia="zh-CN"/>
        </w:rPr>
      </w:pPr>
      <w:r w:rsidRPr="002349C6">
        <w:rPr>
          <w:rFonts w:hint="eastAsia"/>
          <w:lang w:eastAsia="zh-CN"/>
        </w:rPr>
        <w:lastRenderedPageBreak/>
        <w:t>做出决议</w:t>
      </w:r>
    </w:p>
    <w:p w14:paraId="4827B4A0" w14:textId="77777777" w:rsidR="00921FD3" w:rsidRDefault="00921FD3" w:rsidP="00921FD3">
      <w:pPr>
        <w:rPr>
          <w:lang w:eastAsia="zh-CN"/>
        </w:rPr>
      </w:pPr>
      <w:r>
        <w:rPr>
          <w:lang w:eastAsia="zh-CN"/>
        </w:rPr>
        <w:t>1</w:t>
      </w:r>
      <w:r>
        <w:rPr>
          <w:lang w:eastAsia="zh-CN"/>
        </w:rPr>
        <w:tab/>
      </w:r>
      <w:r>
        <w:rPr>
          <w:rFonts w:hint="eastAsia"/>
          <w:lang w:eastAsia="zh-CN"/>
        </w:rPr>
        <w:t>仅限成员国参加的理事会互联网相关公共政策问题工作组继续开展工作，与所有利益攸关方进行公开磋商，并且遵守附件中所述职责范围</w:t>
      </w:r>
      <w:r>
        <w:rPr>
          <w:lang w:eastAsia="zh-CN"/>
        </w:rPr>
        <w:t>；</w:t>
      </w:r>
    </w:p>
    <w:p w14:paraId="4827B4A1" w14:textId="77777777" w:rsidR="00921FD3" w:rsidRDefault="00921FD3" w:rsidP="00921FD3">
      <w:pPr>
        <w:rPr>
          <w:rFonts w:cs="Calibri"/>
          <w:lang w:eastAsia="zh-CN"/>
        </w:rPr>
      </w:pPr>
      <w:r>
        <w:rPr>
          <w:lang w:eastAsia="zh-CN"/>
        </w:rPr>
        <w:t>2</w:t>
      </w:r>
      <w:r>
        <w:rPr>
          <w:lang w:eastAsia="zh-CN"/>
        </w:rPr>
        <w:tab/>
        <w:t>CWG-Internet</w:t>
      </w:r>
      <w:r>
        <w:rPr>
          <w:rFonts w:hint="eastAsia"/>
          <w:lang w:eastAsia="zh-CN"/>
        </w:rPr>
        <w:t>将按照以下导则针对进行公开磋商的国际互联网相关公共政策问题做出决定：</w:t>
      </w:r>
    </w:p>
    <w:p w14:paraId="4827B4A2" w14:textId="77777777" w:rsidR="00921FD3" w:rsidRDefault="00921FD3" w:rsidP="00921FD3">
      <w:pPr>
        <w:pStyle w:val="enumlev1"/>
        <w:rPr>
          <w:rFonts w:cs="Calibri"/>
          <w:lang w:eastAsia="zh-CN"/>
        </w:rPr>
      </w:pPr>
      <w:r>
        <w:rPr>
          <w:rFonts w:cs="Calibri"/>
          <w:lang w:eastAsia="zh-CN"/>
        </w:rPr>
        <w:t>•</w:t>
      </w:r>
      <w:r>
        <w:rPr>
          <w:rFonts w:cs="Calibri"/>
          <w:lang w:eastAsia="zh-CN"/>
        </w:rPr>
        <w:tab/>
        <w:t>CWG-Internet</w:t>
      </w:r>
      <w:r>
        <w:rPr>
          <w:rFonts w:hint="eastAsia"/>
          <w:lang w:eastAsia="zh-CN"/>
        </w:rPr>
        <w:t>将主要根据理事会第</w:t>
      </w:r>
      <w:r>
        <w:rPr>
          <w:lang w:eastAsia="zh-CN"/>
        </w:rPr>
        <w:t>1305</w:t>
      </w:r>
      <w:r>
        <w:rPr>
          <w:rFonts w:hint="eastAsia"/>
          <w:lang w:eastAsia="zh-CN"/>
        </w:rPr>
        <w:t>号决议，决定进行公开磋商的国际互联网相关公共政策问题；</w:t>
      </w:r>
    </w:p>
    <w:p w14:paraId="4827B4A3" w14:textId="77777777" w:rsidR="00921FD3" w:rsidRDefault="00921FD3" w:rsidP="00921FD3">
      <w:pPr>
        <w:pStyle w:val="enumlev1"/>
        <w:rPr>
          <w:rFonts w:cs="Calibri"/>
          <w:lang w:eastAsia="zh-CN"/>
        </w:rPr>
      </w:pPr>
      <w:r>
        <w:rPr>
          <w:rFonts w:cs="Calibri"/>
          <w:lang w:eastAsia="zh-CN"/>
        </w:rPr>
        <w:t>•</w:t>
      </w:r>
      <w:r>
        <w:rPr>
          <w:rFonts w:cs="Calibri"/>
          <w:lang w:eastAsia="zh-CN"/>
        </w:rPr>
        <w:tab/>
      </w:r>
      <w:r>
        <w:rPr>
          <w:rFonts w:hint="eastAsia"/>
          <w:lang w:eastAsia="zh-CN"/>
        </w:rPr>
        <w:t>一般而言，</w:t>
      </w:r>
      <w:r>
        <w:rPr>
          <w:lang w:eastAsia="zh-CN"/>
        </w:rPr>
        <w:t>CWG-Internet</w:t>
      </w:r>
      <w:r>
        <w:rPr>
          <w:rFonts w:hint="eastAsia"/>
          <w:lang w:eastAsia="zh-CN"/>
        </w:rPr>
        <w:t>应在每次召开其会议之前的合理期限内，举办网上公开磋商和面对面的公开磋商会议，允许远程参会；</w:t>
      </w:r>
    </w:p>
    <w:p w14:paraId="4827B4A4" w14:textId="77777777" w:rsidR="00921FD3" w:rsidRDefault="00921FD3" w:rsidP="00921FD3">
      <w:pPr>
        <w:pStyle w:val="enumlev1"/>
        <w:rPr>
          <w:lang w:eastAsia="zh-CN"/>
        </w:rPr>
      </w:pPr>
      <w:r>
        <w:rPr>
          <w:rFonts w:cs="Calibri"/>
          <w:lang w:eastAsia="zh-CN"/>
        </w:rPr>
        <w:t>•</w:t>
      </w:r>
      <w:r>
        <w:rPr>
          <w:rFonts w:cs="Calibri"/>
          <w:lang w:eastAsia="zh-CN"/>
        </w:rPr>
        <w:tab/>
      </w:r>
      <w:r>
        <w:rPr>
          <w:rFonts w:hint="eastAsia"/>
          <w:lang w:eastAsia="zh-CN"/>
        </w:rPr>
        <w:t>从利益攸关方收到的相关输入意见将提交</w:t>
      </w:r>
      <w:r>
        <w:rPr>
          <w:lang w:eastAsia="zh-CN"/>
        </w:rPr>
        <w:t>CWG-Internet</w:t>
      </w:r>
      <w:r>
        <w:rPr>
          <w:lang w:eastAsia="zh-CN"/>
        </w:rPr>
        <w:t>，</w:t>
      </w:r>
      <w:r>
        <w:rPr>
          <w:rFonts w:hint="eastAsia"/>
          <w:lang w:eastAsia="zh-CN"/>
        </w:rPr>
        <w:t>以便其下次会议选择讨论；</w:t>
      </w:r>
    </w:p>
    <w:p w14:paraId="4827B4A5" w14:textId="77777777" w:rsidR="00921FD3" w:rsidRPr="00B50E29" w:rsidRDefault="00921FD3" w:rsidP="00921FD3">
      <w:pPr>
        <w:rPr>
          <w:rFonts w:asciiTheme="minorEastAsia" w:eastAsiaTheme="minorEastAsia" w:hAnsiTheme="minorEastAsia" w:cs="Calibri"/>
          <w:lang w:eastAsia="zh-CN"/>
        </w:rPr>
      </w:pPr>
      <w:r>
        <w:rPr>
          <w:lang w:eastAsia="zh-CN"/>
        </w:rPr>
        <w:t>3</w:t>
      </w:r>
      <w:r>
        <w:rPr>
          <w:lang w:eastAsia="zh-CN"/>
        </w:rPr>
        <w:tab/>
        <w:t>CWG-Internet</w:t>
      </w:r>
      <w:r>
        <w:rPr>
          <w:rFonts w:hint="eastAsia"/>
          <w:lang w:eastAsia="zh-CN"/>
        </w:rPr>
        <w:t>将针对其确定的问题为所有利益攸关方举办在线磋商。</w:t>
      </w:r>
      <w:r>
        <w:rPr>
          <w:rFonts w:cs="Calibri" w:hint="eastAsia"/>
          <w:lang w:eastAsia="zh-CN"/>
        </w:rPr>
        <w:t>磋商</w:t>
      </w:r>
      <w:r>
        <w:rPr>
          <w:rFonts w:hint="eastAsia"/>
          <w:lang w:eastAsia="zh-CN"/>
        </w:rPr>
        <w:t>应在决定磋商议题的</w:t>
      </w:r>
      <w:r w:rsidRPr="00FA341B">
        <w:rPr>
          <w:rFonts w:cs="Calibri"/>
          <w:lang w:eastAsia="zh-CN"/>
        </w:rPr>
        <w:t>CWG-Internet</w:t>
      </w:r>
      <w:r>
        <w:rPr>
          <w:rFonts w:cs="Calibri" w:hint="eastAsia"/>
          <w:lang w:eastAsia="zh-CN"/>
        </w:rPr>
        <w:t>会议结束的</w:t>
      </w:r>
      <w:r>
        <w:rPr>
          <w:rFonts w:cs="Calibri"/>
          <w:lang w:eastAsia="zh-CN"/>
        </w:rPr>
        <w:t>15</w:t>
      </w:r>
      <w:r>
        <w:rPr>
          <w:rFonts w:cs="Calibri" w:hint="eastAsia"/>
          <w:lang w:eastAsia="zh-CN"/>
        </w:rPr>
        <w:t>天之内启动。</w:t>
      </w:r>
      <w:r>
        <w:rPr>
          <w:rFonts w:hint="eastAsia"/>
          <w:lang w:val="en-US" w:eastAsia="zh-CN"/>
        </w:rPr>
        <w:t>回复的截止日期应是面对面公开磋商会议召开</w:t>
      </w:r>
      <w:r w:rsidRPr="00FA341B">
        <w:rPr>
          <w:rFonts w:hint="eastAsia"/>
          <w:lang w:val="en-US" w:eastAsia="zh-CN"/>
        </w:rPr>
        <w:t>的</w:t>
      </w:r>
      <w:r w:rsidRPr="00FA341B">
        <w:rPr>
          <w:lang w:val="en-US" w:eastAsia="zh-CN"/>
        </w:rPr>
        <w:t>30</w:t>
      </w:r>
      <w:r>
        <w:rPr>
          <w:rFonts w:hint="eastAsia"/>
          <w:lang w:val="en-US" w:eastAsia="zh-CN"/>
        </w:rPr>
        <w:t>天之</w:t>
      </w:r>
      <w:r w:rsidRPr="00FA341B">
        <w:rPr>
          <w:rFonts w:hint="eastAsia"/>
          <w:lang w:val="en-US" w:eastAsia="zh-CN"/>
        </w:rPr>
        <w:t>前。</w:t>
      </w:r>
      <w:r>
        <w:rPr>
          <w:rFonts w:hint="eastAsia"/>
          <w:lang w:val="en-US" w:eastAsia="zh-CN"/>
        </w:rPr>
        <w:t>秘书处须在不晚于面对面公开磋商会议召开的</w:t>
      </w:r>
      <w:r>
        <w:rPr>
          <w:lang w:val="en-US" w:eastAsia="zh-CN"/>
        </w:rPr>
        <w:t>15</w:t>
      </w:r>
      <w:r>
        <w:rPr>
          <w:rFonts w:hint="eastAsia"/>
          <w:lang w:val="en-US" w:eastAsia="zh-CN"/>
        </w:rPr>
        <w:t>天之前公布一份磋商回复综合报告；</w:t>
      </w:r>
    </w:p>
    <w:p w14:paraId="4827B4A6" w14:textId="77777777" w:rsidR="00921FD3" w:rsidRPr="00B50E29" w:rsidRDefault="00921FD3" w:rsidP="00921FD3">
      <w:pPr>
        <w:rPr>
          <w:rFonts w:asciiTheme="minorEastAsia" w:eastAsiaTheme="minorEastAsia" w:hAnsiTheme="minorEastAsia" w:cs="Calibri"/>
          <w:b/>
          <w:bCs/>
          <w:lang w:eastAsia="zh-CN"/>
        </w:rPr>
      </w:pPr>
      <w:r>
        <w:rPr>
          <w:lang w:eastAsia="zh-CN"/>
        </w:rPr>
        <w:t>4</w:t>
      </w:r>
      <w:r>
        <w:rPr>
          <w:lang w:eastAsia="zh-CN"/>
        </w:rPr>
        <w:tab/>
      </w:r>
      <w:r>
        <w:rPr>
          <w:rFonts w:hint="eastAsia"/>
          <w:lang w:eastAsia="zh-CN"/>
        </w:rPr>
        <w:t>在公开磋商过程中收到的所有相关输入意见均将提供给</w:t>
      </w:r>
      <w:r>
        <w:rPr>
          <w:lang w:eastAsia="zh-CN"/>
        </w:rPr>
        <w:t>CWG-Internet</w:t>
      </w:r>
      <w:r>
        <w:rPr>
          <w:rFonts w:hint="eastAsia"/>
          <w:lang w:eastAsia="zh-CN"/>
        </w:rPr>
        <w:t>并且在</w:t>
      </w:r>
      <w:r>
        <w:rPr>
          <w:lang w:eastAsia="zh-CN"/>
        </w:rPr>
        <w:t>CWG-Internet</w:t>
      </w:r>
      <w:r>
        <w:rPr>
          <w:rFonts w:hint="eastAsia"/>
          <w:lang w:eastAsia="zh-CN"/>
        </w:rPr>
        <w:t>网站专门网页上提供给所有其他利益攸关方；在此方面：</w:t>
      </w:r>
    </w:p>
    <w:p w14:paraId="4827B4A7" w14:textId="77777777" w:rsidR="00921FD3" w:rsidRDefault="00921FD3" w:rsidP="00921FD3">
      <w:pPr>
        <w:pStyle w:val="enumlev1"/>
        <w:rPr>
          <w:lang w:eastAsia="zh-CN"/>
        </w:rPr>
      </w:pPr>
      <w:r>
        <w:rPr>
          <w:lang w:eastAsia="zh-CN"/>
        </w:rPr>
        <w:t>•</w:t>
      </w:r>
      <w:r>
        <w:rPr>
          <w:lang w:eastAsia="zh-CN"/>
        </w:rPr>
        <w:tab/>
      </w:r>
      <w:r>
        <w:rPr>
          <w:rFonts w:hint="eastAsia"/>
          <w:lang w:eastAsia="zh-CN"/>
        </w:rPr>
        <w:t>所有利益攸关方均可将其回复提交给国际电联秘书处设立的网上交流机制（</w:t>
      </w:r>
      <w:r>
        <w:rPr>
          <w:lang w:eastAsia="zh-CN"/>
        </w:rPr>
        <w:t>reflector</w:t>
      </w:r>
      <w:r>
        <w:rPr>
          <w:rFonts w:hint="eastAsia"/>
          <w:lang w:eastAsia="zh-CN"/>
        </w:rPr>
        <w:t>）；</w:t>
      </w:r>
    </w:p>
    <w:p w14:paraId="4827B4A8" w14:textId="77777777" w:rsidR="00921FD3" w:rsidRDefault="00921FD3" w:rsidP="00921FD3">
      <w:pPr>
        <w:pStyle w:val="enumlev1"/>
        <w:rPr>
          <w:rFonts w:cstheme="minorHAnsi"/>
          <w:lang w:eastAsia="zh-CN"/>
        </w:rPr>
      </w:pPr>
      <w:r>
        <w:rPr>
          <w:rFonts w:cstheme="minorHAnsi"/>
          <w:lang w:eastAsia="zh-CN"/>
        </w:rPr>
        <w:t>•</w:t>
      </w:r>
      <w:r>
        <w:rPr>
          <w:rFonts w:cstheme="minorHAnsi"/>
          <w:lang w:eastAsia="zh-CN"/>
        </w:rPr>
        <w:tab/>
      </w:r>
      <w:r>
        <w:rPr>
          <w:rFonts w:hint="eastAsia"/>
          <w:lang w:eastAsia="zh-CN"/>
        </w:rPr>
        <w:t>将提供向国际电联秘书处发送回复的电子邮件地址；</w:t>
      </w:r>
    </w:p>
    <w:p w14:paraId="4827B4A9" w14:textId="77777777" w:rsidR="00921FD3" w:rsidRPr="007056B9" w:rsidRDefault="00921FD3" w:rsidP="00921FD3">
      <w:pPr>
        <w:pStyle w:val="enumlev1"/>
        <w:rPr>
          <w:lang w:eastAsia="zh-CN"/>
        </w:rPr>
      </w:pPr>
      <w:r w:rsidRPr="007056B9">
        <w:rPr>
          <w:lang w:eastAsia="zh-CN"/>
        </w:rPr>
        <w:t>•</w:t>
      </w:r>
      <w:r w:rsidRPr="007056B9">
        <w:rPr>
          <w:lang w:eastAsia="zh-CN"/>
        </w:rPr>
        <w:tab/>
      </w:r>
      <w:r w:rsidRPr="007056B9">
        <w:rPr>
          <w:rFonts w:hint="eastAsia"/>
          <w:lang w:eastAsia="zh-CN"/>
        </w:rPr>
        <w:t>从利益攸关方收到的所有</w:t>
      </w:r>
      <w:r>
        <w:rPr>
          <w:rFonts w:hint="eastAsia"/>
          <w:lang w:eastAsia="zh-CN"/>
        </w:rPr>
        <w:t>相关</w:t>
      </w:r>
      <w:r w:rsidRPr="007056B9">
        <w:rPr>
          <w:rFonts w:hint="eastAsia"/>
          <w:lang w:eastAsia="zh-CN"/>
        </w:rPr>
        <w:t>回复以及</w:t>
      </w:r>
      <w:r>
        <w:rPr>
          <w:rFonts w:hint="eastAsia"/>
          <w:lang w:eastAsia="zh-CN"/>
        </w:rPr>
        <w:t>一个</w:t>
      </w:r>
      <w:r w:rsidRPr="007056B9">
        <w:rPr>
          <w:rFonts w:hint="eastAsia"/>
          <w:lang w:eastAsia="zh-CN"/>
        </w:rPr>
        <w:t>汇编本将提交</w:t>
      </w:r>
      <w:r w:rsidRPr="007056B9">
        <w:rPr>
          <w:rFonts w:hint="eastAsia"/>
          <w:lang w:eastAsia="zh-CN"/>
        </w:rPr>
        <w:t>CWG</w:t>
      </w:r>
      <w:r w:rsidRPr="007056B9">
        <w:rPr>
          <w:lang w:eastAsia="zh-CN"/>
        </w:rPr>
        <w:t>-</w:t>
      </w:r>
      <w:r w:rsidRPr="007056B9">
        <w:rPr>
          <w:rFonts w:hint="eastAsia"/>
          <w:lang w:eastAsia="zh-CN"/>
        </w:rPr>
        <w:t>Internet</w:t>
      </w:r>
      <w:r w:rsidRPr="007056B9">
        <w:rPr>
          <w:rFonts w:hint="eastAsia"/>
          <w:lang w:eastAsia="zh-CN"/>
        </w:rPr>
        <w:t>下次会议审议；</w:t>
      </w:r>
    </w:p>
    <w:p w14:paraId="4827B4AA" w14:textId="77777777" w:rsidR="00921FD3" w:rsidRDefault="00921FD3" w:rsidP="00921FD3">
      <w:pPr>
        <w:tabs>
          <w:tab w:val="left" w:pos="720"/>
        </w:tabs>
        <w:snapToGrid w:val="0"/>
        <w:spacing w:before="160"/>
        <w:rPr>
          <w:rFonts w:cs="Calibri"/>
          <w:lang w:eastAsia="zh-CN"/>
        </w:rPr>
      </w:pPr>
      <w:r w:rsidRPr="001D03C1">
        <w:rPr>
          <w:bCs/>
          <w:lang w:eastAsia="zh-CN"/>
        </w:rPr>
        <w:t>5</w:t>
      </w:r>
      <w:r>
        <w:rPr>
          <w:b/>
          <w:lang w:eastAsia="zh-CN"/>
        </w:rPr>
        <w:tab/>
      </w:r>
      <w:r w:rsidRPr="009D1FE3">
        <w:rPr>
          <w:rFonts w:hint="eastAsia"/>
          <w:bCs/>
          <w:lang w:eastAsia="zh-CN"/>
        </w:rPr>
        <w:t>鉴于</w:t>
      </w:r>
      <w:r>
        <w:rPr>
          <w:rFonts w:hint="eastAsia"/>
          <w:color w:val="000000"/>
          <w:lang w:eastAsia="zh-CN"/>
        </w:rPr>
        <w:t>网播和字幕对于支持残疾人参会也特别相关，因此将召开一次（可以远程参会的）面对面公开磋商会议，该会议应在</w:t>
      </w:r>
      <w:r>
        <w:rPr>
          <w:color w:val="000000"/>
          <w:lang w:eastAsia="zh-CN"/>
        </w:rPr>
        <w:t>CWG-Internet</w:t>
      </w:r>
      <w:r>
        <w:rPr>
          <w:rFonts w:hint="eastAsia"/>
          <w:color w:val="000000"/>
          <w:lang w:eastAsia="zh-CN"/>
        </w:rPr>
        <w:t>会议前的</w:t>
      </w:r>
      <w:r>
        <w:rPr>
          <w:color w:val="000000"/>
          <w:lang w:eastAsia="zh-CN"/>
        </w:rPr>
        <w:t>三</w:t>
      </w:r>
      <w:r>
        <w:rPr>
          <w:rFonts w:hint="eastAsia"/>
          <w:color w:val="000000"/>
          <w:lang w:eastAsia="zh-CN"/>
        </w:rPr>
        <w:t>天之内、最好在一周开始时</w:t>
      </w:r>
      <w:r>
        <w:rPr>
          <w:color w:val="000000"/>
          <w:lang w:eastAsia="zh-CN"/>
        </w:rPr>
        <w:t>召开</w:t>
      </w:r>
      <w:r>
        <w:rPr>
          <w:rFonts w:hint="eastAsia"/>
          <w:color w:val="000000"/>
          <w:lang w:eastAsia="zh-CN"/>
        </w:rPr>
        <w:t>；</w:t>
      </w:r>
    </w:p>
    <w:p w14:paraId="4827B4AB" w14:textId="77777777" w:rsidR="00921FD3" w:rsidRDefault="00921FD3" w:rsidP="00921FD3">
      <w:pPr>
        <w:tabs>
          <w:tab w:val="left" w:pos="720"/>
        </w:tabs>
        <w:snapToGrid w:val="0"/>
        <w:spacing w:before="160"/>
        <w:rPr>
          <w:rFonts w:cs="Calibri"/>
          <w:lang w:eastAsia="zh-CN"/>
        </w:rPr>
      </w:pPr>
      <w:r>
        <w:rPr>
          <w:rFonts w:cs="Calibri"/>
          <w:lang w:eastAsia="zh-CN"/>
        </w:rPr>
        <w:t>6</w:t>
      </w:r>
      <w:r>
        <w:rPr>
          <w:rFonts w:cs="Calibri"/>
          <w:lang w:eastAsia="zh-CN"/>
        </w:rPr>
        <w:tab/>
      </w:r>
      <w:r>
        <w:rPr>
          <w:rFonts w:cs="Calibri" w:hint="eastAsia"/>
          <w:lang w:eastAsia="zh-CN"/>
        </w:rPr>
        <w:t>此外，</w:t>
      </w:r>
      <w:r>
        <w:rPr>
          <w:rFonts w:cs="Calibri"/>
          <w:lang w:eastAsia="zh-CN"/>
        </w:rPr>
        <w:t>CWG-Internet</w:t>
      </w:r>
      <w:r>
        <w:rPr>
          <w:rFonts w:cs="Calibri" w:hint="eastAsia"/>
          <w:lang w:eastAsia="zh-CN"/>
        </w:rPr>
        <w:t>可酌情决定在诸如年度</w:t>
      </w:r>
      <w:r>
        <w:rPr>
          <w:rFonts w:cs="Calibri"/>
          <w:lang w:eastAsia="zh-CN"/>
        </w:rPr>
        <w:t>信息社会世界峰会（</w:t>
      </w:r>
      <w:r>
        <w:rPr>
          <w:rFonts w:cs="Calibri"/>
          <w:lang w:eastAsia="zh-CN"/>
        </w:rPr>
        <w:t>WSIS</w:t>
      </w:r>
      <w:r>
        <w:rPr>
          <w:rFonts w:cs="Calibri" w:hint="eastAsia"/>
          <w:lang w:eastAsia="zh-CN"/>
        </w:rPr>
        <w:t>）论坛之类的相关利益攸关多方论坛</w:t>
      </w:r>
      <w:r>
        <w:rPr>
          <w:rFonts w:cs="Calibri"/>
          <w:lang w:eastAsia="zh-CN"/>
        </w:rPr>
        <w:t>/</w:t>
      </w:r>
      <w:r>
        <w:rPr>
          <w:rFonts w:cs="Calibri" w:hint="eastAsia"/>
          <w:lang w:eastAsia="zh-CN"/>
        </w:rPr>
        <w:t>活动时，按照这些论坛</w:t>
      </w:r>
      <w:r>
        <w:rPr>
          <w:rFonts w:cs="Calibri"/>
          <w:lang w:eastAsia="zh-CN"/>
        </w:rPr>
        <w:t>/</w:t>
      </w:r>
      <w:r>
        <w:rPr>
          <w:rFonts w:cs="Calibri" w:hint="eastAsia"/>
          <w:lang w:eastAsia="zh-CN"/>
        </w:rPr>
        <w:t>活动的规则和程序，由国际电联再组织面对面的公开磋商，以促进更多利益攸关方参与面对面的磋商进程；</w:t>
      </w:r>
    </w:p>
    <w:p w14:paraId="4827B4AC" w14:textId="77777777" w:rsidR="00921FD3" w:rsidRDefault="00921FD3" w:rsidP="00921FD3">
      <w:pPr>
        <w:rPr>
          <w:lang w:eastAsia="zh-CN"/>
        </w:rPr>
      </w:pPr>
      <w:r>
        <w:rPr>
          <w:rFonts w:cs="Calibri"/>
          <w:lang w:eastAsia="zh-CN"/>
        </w:rPr>
        <w:t>7</w:t>
      </w:r>
      <w:r>
        <w:rPr>
          <w:rFonts w:cs="Calibri"/>
          <w:lang w:eastAsia="zh-CN"/>
        </w:rPr>
        <w:tab/>
      </w:r>
      <w:r>
        <w:rPr>
          <w:rFonts w:cs="Calibri" w:hint="eastAsia"/>
          <w:lang w:eastAsia="zh-CN"/>
        </w:rPr>
        <w:t>针对</w:t>
      </w:r>
      <w:r>
        <w:rPr>
          <w:rFonts w:cs="Calibri"/>
          <w:lang w:eastAsia="zh-CN"/>
        </w:rPr>
        <w:t>CWG-Internet</w:t>
      </w:r>
      <w:r>
        <w:rPr>
          <w:rFonts w:cs="Calibri" w:hint="eastAsia"/>
          <w:lang w:eastAsia="zh-CN"/>
        </w:rPr>
        <w:t>所确定议题提交的</w:t>
      </w:r>
      <w:r>
        <w:rPr>
          <w:rFonts w:hint="eastAsia"/>
          <w:color w:val="000000"/>
          <w:lang w:eastAsia="zh-CN"/>
        </w:rPr>
        <w:t>公开在线磋商的输入意见将成为面对面公开磋商会议的讨论基础，</w:t>
      </w:r>
    </w:p>
    <w:p w14:paraId="4827B4AD"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lang w:eastAsia="zh-CN"/>
        </w:rPr>
        <w:br w:type="page"/>
      </w:r>
    </w:p>
    <w:p w14:paraId="4827B4AE" w14:textId="77777777" w:rsidR="00921FD3" w:rsidRPr="008100A8" w:rsidRDefault="00921FD3" w:rsidP="00921FD3">
      <w:pPr>
        <w:pStyle w:val="Call"/>
        <w:rPr>
          <w:lang w:eastAsia="zh-CN"/>
        </w:rPr>
      </w:pPr>
      <w:r w:rsidRPr="008100A8">
        <w:rPr>
          <w:rFonts w:hint="eastAsia"/>
          <w:lang w:eastAsia="zh-CN"/>
        </w:rPr>
        <w:lastRenderedPageBreak/>
        <w:t>责成秘书长和各局主任</w:t>
      </w:r>
    </w:p>
    <w:p w14:paraId="4827B4AF" w14:textId="77777777" w:rsidR="00921FD3" w:rsidRDefault="00921FD3" w:rsidP="00921FD3">
      <w:pPr>
        <w:rPr>
          <w:rFonts w:ascii="STKaiti" w:eastAsia="STKaiti" w:hAnsi="STKaiti"/>
          <w:lang w:eastAsia="zh-CN"/>
        </w:rPr>
      </w:pPr>
      <w:r>
        <w:rPr>
          <w:rFonts w:eastAsia="STKaiti" w:cstheme="minorHAnsi"/>
          <w:lang w:eastAsia="zh-CN"/>
        </w:rPr>
        <w:t>1</w:t>
      </w:r>
      <w:r>
        <w:rPr>
          <w:rFonts w:eastAsia="STKaiti" w:cstheme="minorHAnsi"/>
          <w:lang w:eastAsia="zh-CN"/>
        </w:rPr>
        <w:tab/>
      </w:r>
      <w:r>
        <w:rPr>
          <w:rFonts w:hint="eastAsia"/>
          <w:lang w:eastAsia="zh-CN"/>
        </w:rPr>
        <w:t>按照第</w:t>
      </w:r>
      <w:r>
        <w:rPr>
          <w:lang w:eastAsia="zh-CN"/>
        </w:rPr>
        <w:t>102</w:t>
      </w:r>
      <w:r>
        <w:rPr>
          <w:rFonts w:hint="eastAsia"/>
          <w:lang w:eastAsia="zh-CN"/>
        </w:rPr>
        <w:t>号决议（</w:t>
      </w:r>
      <w:r>
        <w:rPr>
          <w:lang w:eastAsia="zh-CN"/>
        </w:rPr>
        <w:t>2018</w:t>
      </w:r>
      <w:r>
        <w:rPr>
          <w:rFonts w:hint="eastAsia"/>
          <w:lang w:eastAsia="zh-CN"/>
        </w:rPr>
        <w:t>年，迪拜，修订版）中</w:t>
      </w:r>
      <w:r w:rsidRPr="00A04EDC">
        <w:rPr>
          <w:rFonts w:ascii="STKaiti" w:eastAsia="STKaiti" w:hAnsi="STKaiti" w:hint="eastAsia"/>
          <w:lang w:eastAsia="zh-CN"/>
        </w:rPr>
        <w:t>责成秘书长和各局主任</w:t>
      </w:r>
      <w:r>
        <w:rPr>
          <w:rFonts w:hint="eastAsia"/>
          <w:lang w:eastAsia="zh-CN"/>
        </w:rPr>
        <w:t>的段落（包括对电信发展局主任和电信标准化局主任的具体指示）开展各项活动；</w:t>
      </w:r>
    </w:p>
    <w:p w14:paraId="4827B4B0" w14:textId="77777777" w:rsidR="00921FD3" w:rsidRDefault="00921FD3" w:rsidP="00921FD3">
      <w:pPr>
        <w:rPr>
          <w:lang w:eastAsia="zh-CN"/>
        </w:rPr>
      </w:pPr>
      <w:r>
        <w:rPr>
          <w:lang w:eastAsia="zh-CN"/>
        </w:rPr>
        <w:t>2</w:t>
      </w:r>
      <w:r>
        <w:rPr>
          <w:lang w:eastAsia="zh-CN"/>
        </w:rPr>
        <w:tab/>
      </w:r>
      <w:r>
        <w:rPr>
          <w:rFonts w:hint="eastAsia"/>
          <w:lang w:eastAsia="zh-CN"/>
        </w:rPr>
        <w:t>更新现有有关国际互联网相关公共政策问题方面经验和最佳做法的网络资料库，</w:t>
      </w:r>
    </w:p>
    <w:p w14:paraId="4827B4B1" w14:textId="77777777" w:rsidR="00921FD3" w:rsidRPr="008100A8" w:rsidRDefault="00921FD3" w:rsidP="00921FD3">
      <w:pPr>
        <w:pStyle w:val="Call"/>
        <w:rPr>
          <w:lang w:eastAsia="zh-CN"/>
        </w:rPr>
      </w:pPr>
      <w:r w:rsidRPr="008100A8">
        <w:rPr>
          <w:rFonts w:hint="eastAsia"/>
          <w:lang w:eastAsia="zh-CN"/>
        </w:rPr>
        <w:t>请各成员国</w:t>
      </w:r>
    </w:p>
    <w:p w14:paraId="4827B4B2" w14:textId="77777777" w:rsidR="00921FD3" w:rsidRDefault="00921FD3" w:rsidP="00921FD3">
      <w:pPr>
        <w:pStyle w:val="Reasons"/>
        <w:ind w:firstLineChars="200" w:firstLine="480"/>
        <w:rPr>
          <w:lang w:eastAsia="zh-CN"/>
        </w:rPr>
      </w:pPr>
      <w:r>
        <w:rPr>
          <w:rFonts w:hint="eastAsia"/>
          <w:lang w:eastAsia="zh-CN"/>
        </w:rPr>
        <w:t>详尽阐述各自对理事会工作组所提及的每个国际互联网相关公共政策问题的立场，并且为开展工作组的工作积极提交文稿。</w:t>
      </w:r>
    </w:p>
    <w:p w14:paraId="4827B4B3" w14:textId="77777777" w:rsidR="00921FD3" w:rsidRDefault="00921FD3" w:rsidP="00921FD3">
      <w:pPr>
        <w:pStyle w:val="Reasons"/>
        <w:spacing w:before="480"/>
        <w:rPr>
          <w:lang w:eastAsia="zh-CN"/>
        </w:rPr>
      </w:pPr>
      <w:r w:rsidRPr="007501A1">
        <w:rPr>
          <w:rFonts w:hint="eastAsia"/>
          <w:b/>
          <w:bCs/>
          <w:lang w:eastAsia="zh-CN"/>
        </w:rPr>
        <w:t>附件</w:t>
      </w:r>
      <w:r>
        <w:rPr>
          <w:rFonts w:hint="eastAsia"/>
          <w:lang w:eastAsia="zh-CN"/>
        </w:rPr>
        <w:t>：</w:t>
      </w:r>
      <w:r>
        <w:rPr>
          <w:rFonts w:hint="eastAsia"/>
          <w:lang w:eastAsia="zh-CN"/>
        </w:rPr>
        <w:t>1</w:t>
      </w:r>
      <w:r>
        <w:rPr>
          <w:rFonts w:hint="eastAsia"/>
          <w:lang w:eastAsia="zh-CN"/>
        </w:rPr>
        <w:t>件</w:t>
      </w:r>
    </w:p>
    <w:p w14:paraId="4827B4B4" w14:textId="77777777" w:rsidR="00921FD3" w:rsidRDefault="00921FD3" w:rsidP="00921FD3">
      <w:pPr>
        <w:pStyle w:val="AnnexNo"/>
        <w:rPr>
          <w:lang w:eastAsia="zh-CN"/>
        </w:rPr>
      </w:pPr>
      <w:bookmarkStart w:id="1734" w:name="_Toc531706994"/>
      <w:r>
        <w:rPr>
          <w:rFonts w:hint="eastAsia"/>
          <w:lang w:eastAsia="zh-CN"/>
        </w:rPr>
        <w:t>附件</w:t>
      </w:r>
      <w:bookmarkEnd w:id="1734"/>
    </w:p>
    <w:p w14:paraId="4827B4B5" w14:textId="77777777" w:rsidR="00921FD3" w:rsidRDefault="00921FD3" w:rsidP="00921FD3">
      <w:pPr>
        <w:pStyle w:val="Annextitle"/>
        <w:rPr>
          <w:lang w:eastAsia="zh-CN"/>
        </w:rPr>
      </w:pPr>
      <w:r w:rsidRPr="00CE2CB6">
        <w:rPr>
          <w:rFonts w:hint="eastAsia"/>
          <w:lang w:eastAsia="zh-CN"/>
        </w:rPr>
        <w:t>理事会国际互联网相关公共政策问题工作组</w:t>
      </w:r>
    </w:p>
    <w:p w14:paraId="4827B4B6" w14:textId="77777777" w:rsidR="00921FD3" w:rsidRPr="00CE2CB6" w:rsidRDefault="00921FD3" w:rsidP="00921FD3">
      <w:pPr>
        <w:pStyle w:val="Annextitle"/>
        <w:rPr>
          <w:lang w:eastAsia="zh-CN"/>
        </w:rPr>
      </w:pPr>
      <w:r w:rsidRPr="00CE2CB6">
        <w:rPr>
          <w:rFonts w:hint="eastAsia"/>
          <w:lang w:eastAsia="zh-CN"/>
        </w:rPr>
        <w:t>职责范围</w:t>
      </w:r>
    </w:p>
    <w:p w14:paraId="4827B4B7" w14:textId="77777777" w:rsidR="00921FD3" w:rsidRDefault="00921FD3" w:rsidP="00921FD3">
      <w:pPr>
        <w:pStyle w:val="Normalaftertitle"/>
        <w:rPr>
          <w:lang w:eastAsia="zh-CN"/>
        </w:rPr>
      </w:pPr>
      <w:r>
        <w:rPr>
          <w:rFonts w:hint="eastAsia"/>
          <w:lang w:eastAsia="zh-CN"/>
        </w:rPr>
        <w:t>理事会工作组的职责范围是：</w:t>
      </w:r>
    </w:p>
    <w:p w14:paraId="4827B4B8" w14:textId="77777777" w:rsidR="00921FD3" w:rsidRDefault="00921FD3" w:rsidP="00921FD3">
      <w:pPr>
        <w:pStyle w:val="enumlev1"/>
        <w:rPr>
          <w:lang w:eastAsia="zh-CN"/>
        </w:rPr>
      </w:pPr>
      <w:r>
        <w:rPr>
          <w:rFonts w:hint="eastAsia"/>
          <w:lang w:eastAsia="zh-CN"/>
        </w:rPr>
        <w:t>1</w:t>
      </w:r>
      <w:r>
        <w:rPr>
          <w:rFonts w:hint="eastAsia"/>
          <w:lang w:eastAsia="zh-CN"/>
        </w:rPr>
        <w:tab/>
      </w:r>
      <w:r>
        <w:rPr>
          <w:rFonts w:hint="eastAsia"/>
          <w:lang w:eastAsia="zh-CN"/>
        </w:rPr>
        <w:t>确定、研究并推进国际互联网相关公共政策问题方面的事项，其中包括理事会第</w:t>
      </w:r>
      <w:r>
        <w:rPr>
          <w:rFonts w:hint="eastAsia"/>
          <w:lang w:eastAsia="zh-CN"/>
        </w:rPr>
        <w:t>1305</w:t>
      </w:r>
      <w:r>
        <w:rPr>
          <w:rFonts w:hint="eastAsia"/>
          <w:lang w:eastAsia="zh-CN"/>
        </w:rPr>
        <w:t>号决议（</w:t>
      </w:r>
      <w:r>
        <w:rPr>
          <w:rFonts w:hint="eastAsia"/>
          <w:lang w:eastAsia="zh-CN"/>
        </w:rPr>
        <w:t>2009</w:t>
      </w:r>
      <w:r>
        <w:rPr>
          <w:rFonts w:hint="eastAsia"/>
          <w:lang w:eastAsia="zh-CN"/>
        </w:rPr>
        <w:t>年）所确定的问题；</w:t>
      </w:r>
    </w:p>
    <w:p w14:paraId="4827B4B9" w14:textId="77777777" w:rsidR="00921FD3" w:rsidRDefault="00921FD3" w:rsidP="00921FD3">
      <w:pPr>
        <w:pStyle w:val="enumlev1"/>
        <w:rPr>
          <w:lang w:eastAsia="zh-CN"/>
        </w:rPr>
      </w:pPr>
      <w:r>
        <w:rPr>
          <w:lang w:eastAsia="zh-CN"/>
        </w:rPr>
        <w:t>2</w:t>
      </w:r>
      <w:r>
        <w:rPr>
          <w:lang w:eastAsia="zh-CN"/>
        </w:rPr>
        <w:tab/>
      </w:r>
      <w:r>
        <w:rPr>
          <w:rFonts w:hint="eastAsia"/>
          <w:lang w:eastAsia="zh-CN"/>
        </w:rPr>
        <w:t>按照</w:t>
      </w:r>
      <w:r>
        <w:rPr>
          <w:lang w:eastAsia="zh-CN"/>
        </w:rPr>
        <w:t>第</w:t>
      </w:r>
      <w:r>
        <w:rPr>
          <w:rFonts w:hint="eastAsia"/>
          <w:lang w:eastAsia="zh-CN"/>
        </w:rPr>
        <w:t>102</w:t>
      </w:r>
      <w:r>
        <w:rPr>
          <w:rFonts w:hint="eastAsia"/>
          <w:lang w:eastAsia="zh-CN"/>
        </w:rPr>
        <w:t>号</w:t>
      </w:r>
      <w:r>
        <w:rPr>
          <w:lang w:eastAsia="zh-CN"/>
        </w:rPr>
        <w:t>决议</w:t>
      </w:r>
      <w:r>
        <w:rPr>
          <w:rFonts w:hint="eastAsia"/>
          <w:lang w:eastAsia="zh-CN"/>
        </w:rPr>
        <w:t>中</w:t>
      </w:r>
      <w:r>
        <w:rPr>
          <w:lang w:eastAsia="zh-CN"/>
        </w:rPr>
        <w:t>（</w:t>
      </w:r>
      <w:r>
        <w:rPr>
          <w:rFonts w:hint="eastAsia"/>
          <w:lang w:eastAsia="zh-CN"/>
        </w:rPr>
        <w:t>2018</w:t>
      </w:r>
      <w:r>
        <w:rPr>
          <w:rFonts w:hint="eastAsia"/>
          <w:lang w:eastAsia="zh-CN"/>
        </w:rPr>
        <w:t>年</w:t>
      </w:r>
      <w:r>
        <w:rPr>
          <w:lang w:eastAsia="zh-CN"/>
        </w:rPr>
        <w:t>，</w:t>
      </w:r>
      <w:r>
        <w:rPr>
          <w:rFonts w:hint="eastAsia"/>
          <w:lang w:eastAsia="zh-CN"/>
        </w:rPr>
        <w:t>迪拜</w:t>
      </w:r>
      <w:r>
        <w:rPr>
          <w:lang w:eastAsia="zh-CN"/>
        </w:rPr>
        <w:t>，修订版）</w:t>
      </w:r>
      <w:r>
        <w:rPr>
          <w:lang w:eastAsia="zh-CN"/>
        </w:rPr>
        <w:t>2018</w:t>
      </w:r>
      <w:r>
        <w:rPr>
          <w:rFonts w:hint="eastAsia"/>
          <w:lang w:eastAsia="zh-CN"/>
        </w:rPr>
        <w:t>年全权代表大会</w:t>
      </w:r>
      <w:r>
        <w:rPr>
          <w:lang w:eastAsia="zh-CN"/>
        </w:rPr>
        <w:t>做出的决定开展工作；</w:t>
      </w:r>
    </w:p>
    <w:p w14:paraId="4827B4BA" w14:textId="77777777" w:rsidR="00921FD3" w:rsidRPr="006A0399" w:rsidRDefault="00921FD3" w:rsidP="00921FD3">
      <w:pPr>
        <w:pStyle w:val="enumlev1"/>
        <w:rPr>
          <w:lang w:eastAsia="zh-CN"/>
        </w:rPr>
      </w:pPr>
      <w:r>
        <w:rPr>
          <w:lang w:eastAsia="zh-CN"/>
        </w:rPr>
        <w:t>3</w:t>
      </w:r>
      <w:r w:rsidRPr="006A0399">
        <w:rPr>
          <w:rFonts w:hint="eastAsia"/>
          <w:lang w:eastAsia="zh-CN"/>
        </w:rPr>
        <w:tab/>
      </w:r>
      <w:r w:rsidRPr="006A0399">
        <w:rPr>
          <w:rFonts w:hint="eastAsia"/>
          <w:lang w:eastAsia="zh-CN"/>
        </w:rPr>
        <w:t>向国际电联所有成员</w:t>
      </w:r>
      <w:r>
        <w:rPr>
          <w:rFonts w:hint="eastAsia"/>
          <w:lang w:eastAsia="zh-CN"/>
        </w:rPr>
        <w:t>和</w:t>
      </w:r>
      <w:r>
        <w:rPr>
          <w:lang w:eastAsia="zh-CN"/>
        </w:rPr>
        <w:t>国际电联</w:t>
      </w:r>
      <w:r>
        <w:rPr>
          <w:rFonts w:hint="eastAsia"/>
          <w:lang w:eastAsia="zh-CN"/>
        </w:rPr>
        <w:t>秘书处</w:t>
      </w:r>
      <w:r w:rsidRPr="006A0399">
        <w:rPr>
          <w:rFonts w:hint="eastAsia"/>
          <w:lang w:eastAsia="zh-CN"/>
        </w:rPr>
        <w:t>并向所有相关国际组织和积极参与</w:t>
      </w:r>
      <w:r>
        <w:rPr>
          <w:rFonts w:hint="eastAsia"/>
          <w:lang w:eastAsia="zh-CN"/>
        </w:rPr>
        <w:t>此类事项</w:t>
      </w:r>
      <w:r w:rsidRPr="006A0399">
        <w:rPr>
          <w:rFonts w:hint="eastAsia"/>
          <w:lang w:eastAsia="zh-CN"/>
        </w:rPr>
        <w:t>活动的利益攸关方传播</w:t>
      </w:r>
      <w:r>
        <w:rPr>
          <w:rFonts w:hint="eastAsia"/>
          <w:lang w:eastAsia="zh-CN"/>
        </w:rPr>
        <w:t>其</w:t>
      </w:r>
      <w:r w:rsidRPr="006A0399">
        <w:rPr>
          <w:rFonts w:hint="eastAsia"/>
          <w:lang w:eastAsia="zh-CN"/>
        </w:rPr>
        <w:t>研究成果，</w:t>
      </w:r>
      <w:r>
        <w:rPr>
          <w:rFonts w:hint="eastAsia"/>
          <w:lang w:eastAsia="zh-CN"/>
        </w:rPr>
        <w:t>以便</w:t>
      </w:r>
      <w:r w:rsidRPr="006A0399">
        <w:rPr>
          <w:rFonts w:hint="eastAsia"/>
          <w:lang w:eastAsia="zh-CN"/>
        </w:rPr>
        <w:t>在</w:t>
      </w:r>
      <w:r>
        <w:rPr>
          <w:rFonts w:hint="eastAsia"/>
          <w:lang w:eastAsia="zh-CN"/>
        </w:rPr>
        <w:t>政策制定进程</w:t>
      </w:r>
      <w:r w:rsidRPr="006A0399">
        <w:rPr>
          <w:rFonts w:hint="eastAsia"/>
          <w:lang w:eastAsia="zh-CN"/>
        </w:rPr>
        <w:t>中考虑；</w:t>
      </w:r>
    </w:p>
    <w:p w14:paraId="4827B4BB" w14:textId="77777777" w:rsidR="00921FD3" w:rsidRDefault="00921FD3" w:rsidP="00921FD3">
      <w:pPr>
        <w:pStyle w:val="enumlev1"/>
        <w:rPr>
          <w:lang w:eastAsia="zh-CN"/>
        </w:rPr>
      </w:pPr>
      <w:r>
        <w:rPr>
          <w:lang w:eastAsia="zh-CN"/>
        </w:rPr>
        <w:t>4</w:t>
      </w:r>
      <w:r w:rsidRPr="006A0399">
        <w:rPr>
          <w:rFonts w:hint="eastAsia"/>
          <w:lang w:eastAsia="zh-CN"/>
        </w:rPr>
        <w:tab/>
      </w:r>
      <w:r w:rsidRPr="006A0399">
        <w:rPr>
          <w:rFonts w:hint="eastAsia"/>
          <w:lang w:eastAsia="zh-CN"/>
        </w:rPr>
        <w:t>审议并探讨秘书长和各局主任为落实第</w:t>
      </w:r>
      <w:r w:rsidRPr="006A0399">
        <w:rPr>
          <w:rFonts w:hint="eastAsia"/>
          <w:lang w:eastAsia="zh-CN"/>
        </w:rPr>
        <w:t>102</w:t>
      </w:r>
      <w:r w:rsidRPr="006A0399">
        <w:rPr>
          <w:rFonts w:hint="eastAsia"/>
          <w:lang w:eastAsia="zh-CN"/>
        </w:rPr>
        <w:t>号决议</w:t>
      </w:r>
      <w:r>
        <w:rPr>
          <w:rFonts w:hint="eastAsia"/>
          <w:lang w:eastAsia="zh-CN"/>
        </w:rPr>
        <w:t>（</w:t>
      </w:r>
      <w:r w:rsidRPr="006A0399">
        <w:rPr>
          <w:rFonts w:hint="eastAsia"/>
          <w:lang w:eastAsia="zh-CN"/>
        </w:rPr>
        <w:t>20</w:t>
      </w:r>
      <w:r>
        <w:rPr>
          <w:lang w:eastAsia="zh-CN"/>
        </w:rPr>
        <w:t>18</w:t>
      </w:r>
      <w:r w:rsidRPr="006A0399">
        <w:rPr>
          <w:rFonts w:hint="eastAsia"/>
          <w:lang w:eastAsia="zh-CN"/>
        </w:rPr>
        <w:t>年，</w:t>
      </w:r>
      <w:r>
        <w:rPr>
          <w:rFonts w:hint="eastAsia"/>
          <w:lang w:eastAsia="zh-CN"/>
        </w:rPr>
        <w:t>迪拜</w:t>
      </w:r>
      <w:r w:rsidRPr="006A0399">
        <w:rPr>
          <w:rFonts w:hint="eastAsia"/>
          <w:lang w:eastAsia="zh-CN"/>
        </w:rPr>
        <w:t>，修订版</w:t>
      </w:r>
      <w:r>
        <w:rPr>
          <w:rFonts w:hint="eastAsia"/>
          <w:lang w:eastAsia="zh-CN"/>
        </w:rPr>
        <w:t>）</w:t>
      </w:r>
      <w:r w:rsidRPr="006A0399">
        <w:rPr>
          <w:rFonts w:hint="eastAsia"/>
          <w:lang w:eastAsia="zh-CN"/>
        </w:rPr>
        <w:t>所开展的活动</w:t>
      </w:r>
      <w:r>
        <w:rPr>
          <w:rFonts w:hint="eastAsia"/>
          <w:lang w:eastAsia="zh-CN"/>
        </w:rPr>
        <w:t>，并且</w:t>
      </w:r>
      <w:r w:rsidRPr="006A0399">
        <w:rPr>
          <w:rFonts w:hint="eastAsia"/>
          <w:lang w:eastAsia="zh-CN"/>
        </w:rPr>
        <w:t>酌情为</w:t>
      </w:r>
      <w:r>
        <w:rPr>
          <w:rFonts w:hint="eastAsia"/>
          <w:lang w:eastAsia="zh-CN"/>
        </w:rPr>
        <w:t>这些</w:t>
      </w:r>
      <w:r w:rsidRPr="006A0399">
        <w:rPr>
          <w:rFonts w:hint="eastAsia"/>
          <w:lang w:eastAsia="zh-CN"/>
        </w:rPr>
        <w:t>活动准备输入</w:t>
      </w:r>
      <w:r>
        <w:rPr>
          <w:rFonts w:hint="eastAsia"/>
          <w:lang w:eastAsia="zh-CN"/>
        </w:rPr>
        <w:t>意见</w:t>
      </w:r>
      <w:r w:rsidRPr="006A0399">
        <w:rPr>
          <w:rFonts w:hint="eastAsia"/>
          <w:lang w:eastAsia="zh-CN"/>
        </w:rPr>
        <w:t>；</w:t>
      </w:r>
    </w:p>
    <w:p w14:paraId="4827B4BC" w14:textId="77777777" w:rsidR="00921FD3" w:rsidRDefault="00921FD3" w:rsidP="00921FD3">
      <w:pPr>
        <w:pStyle w:val="enumlev1"/>
        <w:rPr>
          <w:lang w:eastAsia="zh-CN"/>
        </w:rPr>
      </w:pPr>
      <w:r>
        <w:rPr>
          <w:rFonts w:hint="eastAsia"/>
          <w:lang w:eastAsia="zh-CN"/>
        </w:rPr>
        <w:t>5</w:t>
      </w:r>
      <w:r>
        <w:rPr>
          <w:rFonts w:hint="eastAsia"/>
          <w:lang w:eastAsia="zh-CN"/>
        </w:rPr>
        <w:tab/>
      </w:r>
      <w:r>
        <w:rPr>
          <w:rFonts w:hint="eastAsia"/>
          <w:lang w:eastAsia="zh-CN"/>
        </w:rPr>
        <w:t>审议并讨论秘书长针对</w:t>
      </w:r>
      <w:r>
        <w:rPr>
          <w:lang w:eastAsia="zh-CN"/>
        </w:rPr>
        <w:t>国际电联</w:t>
      </w:r>
      <w:r>
        <w:rPr>
          <w:rFonts w:hint="eastAsia"/>
          <w:lang w:eastAsia="zh-CN"/>
        </w:rPr>
        <w:t>的</w:t>
      </w:r>
      <w:r>
        <w:rPr>
          <w:lang w:eastAsia="zh-CN"/>
        </w:rPr>
        <w:t>互联网活动为理事会</w:t>
      </w:r>
      <w:r>
        <w:rPr>
          <w:rFonts w:hint="eastAsia"/>
          <w:lang w:eastAsia="zh-CN"/>
        </w:rPr>
        <w:t>起草</w:t>
      </w:r>
      <w:r>
        <w:rPr>
          <w:lang w:eastAsia="zh-CN"/>
        </w:rPr>
        <w:t>的报告并在必要时提</w:t>
      </w:r>
      <w:r>
        <w:rPr>
          <w:rFonts w:hint="eastAsia"/>
          <w:lang w:eastAsia="zh-CN"/>
        </w:rPr>
        <w:t>出意见；</w:t>
      </w:r>
    </w:p>
    <w:p w14:paraId="4827B4BD" w14:textId="77777777" w:rsidR="00921FD3" w:rsidRPr="00F9198F" w:rsidRDefault="00921FD3" w:rsidP="00921FD3">
      <w:pPr>
        <w:pStyle w:val="enumlev1"/>
        <w:rPr>
          <w:lang w:eastAsia="zh-CN"/>
        </w:rPr>
      </w:pPr>
      <w:r>
        <w:rPr>
          <w:lang w:eastAsia="zh-CN"/>
        </w:rPr>
        <w:t>6</w:t>
      </w:r>
      <w:r>
        <w:rPr>
          <w:lang w:eastAsia="zh-CN"/>
        </w:rPr>
        <w:tab/>
      </w:r>
      <w:r>
        <w:rPr>
          <w:rFonts w:hint="eastAsia"/>
          <w:lang w:eastAsia="zh-CN"/>
        </w:rPr>
        <w:t>按照理事会</w:t>
      </w:r>
      <w:r>
        <w:rPr>
          <w:lang w:eastAsia="zh-CN"/>
        </w:rPr>
        <w:t>第</w:t>
      </w:r>
      <w:r>
        <w:rPr>
          <w:rFonts w:hint="eastAsia"/>
          <w:lang w:eastAsia="zh-CN"/>
        </w:rPr>
        <w:t>1344</w:t>
      </w:r>
      <w:r>
        <w:rPr>
          <w:rFonts w:hint="eastAsia"/>
          <w:lang w:eastAsia="zh-CN"/>
        </w:rPr>
        <w:t>号</w:t>
      </w:r>
      <w:r>
        <w:rPr>
          <w:lang w:eastAsia="zh-CN"/>
        </w:rPr>
        <w:t>决议（</w:t>
      </w:r>
      <w:r>
        <w:rPr>
          <w:rFonts w:hint="eastAsia"/>
          <w:lang w:eastAsia="zh-CN"/>
        </w:rPr>
        <w:t>2015</w:t>
      </w:r>
      <w:r>
        <w:rPr>
          <w:rFonts w:hint="eastAsia"/>
          <w:lang w:eastAsia="zh-CN"/>
        </w:rPr>
        <w:t>年</w:t>
      </w:r>
      <w:r>
        <w:rPr>
          <w:lang w:eastAsia="zh-CN"/>
        </w:rPr>
        <w:t>修订）决定进行公开磋商的国际互联网相关公共政策问题；</w:t>
      </w:r>
    </w:p>
    <w:p w14:paraId="4827B4BE"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4BF" w14:textId="77777777" w:rsidR="00921FD3" w:rsidRDefault="00921FD3" w:rsidP="00921FD3">
      <w:pPr>
        <w:pStyle w:val="enumlev1"/>
        <w:rPr>
          <w:lang w:eastAsia="zh-CN"/>
        </w:rPr>
      </w:pPr>
      <w:r>
        <w:rPr>
          <w:lang w:eastAsia="zh-CN"/>
        </w:rPr>
        <w:lastRenderedPageBreak/>
        <w:t>7</w:t>
      </w:r>
      <w:r w:rsidRPr="006A0399">
        <w:rPr>
          <w:rFonts w:hint="eastAsia"/>
          <w:lang w:eastAsia="zh-CN"/>
        </w:rPr>
        <w:tab/>
      </w:r>
      <w:r>
        <w:rPr>
          <w:rFonts w:hint="eastAsia"/>
          <w:lang w:eastAsia="zh-CN"/>
        </w:rPr>
        <w:t>按照</w:t>
      </w:r>
      <w:r>
        <w:rPr>
          <w:lang w:eastAsia="zh-CN"/>
        </w:rPr>
        <w:t>理事会第</w:t>
      </w:r>
      <w:r>
        <w:rPr>
          <w:rFonts w:hint="eastAsia"/>
          <w:lang w:eastAsia="zh-CN"/>
        </w:rPr>
        <w:t>1344</w:t>
      </w:r>
      <w:r>
        <w:rPr>
          <w:rFonts w:hint="eastAsia"/>
          <w:lang w:eastAsia="zh-CN"/>
        </w:rPr>
        <w:t>号</w:t>
      </w:r>
      <w:r>
        <w:rPr>
          <w:lang w:eastAsia="zh-CN"/>
        </w:rPr>
        <w:t>决议（</w:t>
      </w:r>
      <w:r>
        <w:rPr>
          <w:rFonts w:hint="eastAsia"/>
          <w:lang w:eastAsia="zh-CN"/>
        </w:rPr>
        <w:t>2015</w:t>
      </w:r>
      <w:r>
        <w:rPr>
          <w:rFonts w:hint="eastAsia"/>
          <w:lang w:eastAsia="zh-CN"/>
        </w:rPr>
        <w:t>年</w:t>
      </w:r>
      <w:r>
        <w:rPr>
          <w:lang w:eastAsia="zh-CN"/>
        </w:rPr>
        <w:t>修订</w:t>
      </w:r>
      <w:r>
        <w:rPr>
          <w:rFonts w:hint="eastAsia"/>
          <w:lang w:eastAsia="zh-CN"/>
        </w:rPr>
        <w:t>）针对</w:t>
      </w:r>
      <w:r>
        <w:rPr>
          <w:lang w:eastAsia="zh-CN"/>
        </w:rPr>
        <w:t>国际公共政策问题</w:t>
      </w:r>
      <w:r>
        <w:rPr>
          <w:rFonts w:hint="eastAsia"/>
          <w:lang w:eastAsia="zh-CN"/>
        </w:rPr>
        <w:t>组织</w:t>
      </w:r>
      <w:r w:rsidRPr="006A0399">
        <w:rPr>
          <w:rFonts w:hint="eastAsia"/>
          <w:lang w:eastAsia="zh-CN"/>
        </w:rPr>
        <w:t>并开展与所有利益攸关方的</w:t>
      </w:r>
      <w:r>
        <w:rPr>
          <w:rFonts w:hint="eastAsia"/>
          <w:lang w:eastAsia="zh-CN"/>
        </w:rPr>
        <w:t>、</w:t>
      </w:r>
      <w:r w:rsidRPr="006A0399">
        <w:rPr>
          <w:rFonts w:hint="eastAsia"/>
          <w:lang w:eastAsia="zh-CN"/>
        </w:rPr>
        <w:t>公开</w:t>
      </w:r>
      <w:r>
        <w:rPr>
          <w:rFonts w:hint="eastAsia"/>
          <w:lang w:eastAsia="zh-CN"/>
        </w:rPr>
        <w:t>的在线</w:t>
      </w:r>
      <w:r>
        <w:rPr>
          <w:lang w:eastAsia="zh-CN"/>
        </w:rPr>
        <w:t>和面对面</w:t>
      </w:r>
      <w:r w:rsidRPr="006A0399">
        <w:rPr>
          <w:rFonts w:hint="eastAsia"/>
          <w:lang w:eastAsia="zh-CN"/>
        </w:rPr>
        <w:t>磋商；</w:t>
      </w:r>
      <w:r>
        <w:rPr>
          <w:rFonts w:hint="eastAsia"/>
          <w:lang w:eastAsia="zh-CN"/>
        </w:rPr>
        <w:t>面对面磋商会议应</w:t>
      </w:r>
      <w:r w:rsidRPr="0068407A">
        <w:rPr>
          <w:rFonts w:hint="eastAsia"/>
          <w:lang w:eastAsia="zh-CN"/>
        </w:rPr>
        <w:t>尽最大可能提供远程与会、网播和字幕</w:t>
      </w:r>
      <w:r>
        <w:rPr>
          <w:rFonts w:hint="eastAsia"/>
          <w:lang w:eastAsia="zh-CN"/>
        </w:rPr>
        <w:t>设施（</w:t>
      </w:r>
      <w:r w:rsidRPr="0068407A">
        <w:rPr>
          <w:rFonts w:hint="eastAsia"/>
          <w:lang w:eastAsia="zh-CN"/>
        </w:rPr>
        <w:t>包括字幕脚本</w:t>
      </w:r>
      <w:r>
        <w:rPr>
          <w:rFonts w:hint="eastAsia"/>
          <w:lang w:eastAsia="zh-CN"/>
        </w:rPr>
        <w:t>）</w:t>
      </w:r>
      <w:r w:rsidRPr="0068407A">
        <w:rPr>
          <w:rFonts w:hint="eastAsia"/>
          <w:lang w:eastAsia="zh-CN"/>
        </w:rPr>
        <w:t>，以支持残疾人与会</w:t>
      </w:r>
      <w:r>
        <w:rPr>
          <w:rFonts w:hint="eastAsia"/>
          <w:lang w:eastAsia="zh-CN"/>
        </w:rPr>
        <w:t>；</w:t>
      </w:r>
    </w:p>
    <w:p w14:paraId="4827B4C0" w14:textId="77777777" w:rsidR="00921FD3" w:rsidRDefault="00921FD3" w:rsidP="00921FD3">
      <w:pPr>
        <w:pStyle w:val="enumlev1"/>
        <w:rPr>
          <w:lang w:eastAsia="zh-CN"/>
        </w:rPr>
      </w:pPr>
      <w:r>
        <w:rPr>
          <w:lang w:eastAsia="zh-CN"/>
        </w:rPr>
        <w:t>8</w:t>
      </w:r>
      <w:r>
        <w:rPr>
          <w:lang w:eastAsia="zh-CN"/>
        </w:rPr>
        <w:tab/>
      </w:r>
      <w:r>
        <w:rPr>
          <w:rFonts w:hint="eastAsia"/>
          <w:lang w:eastAsia="zh-CN"/>
        </w:rPr>
        <w:t>从利益</w:t>
      </w:r>
      <w:r>
        <w:rPr>
          <w:lang w:eastAsia="zh-CN"/>
        </w:rPr>
        <w:t>攸关各方</w:t>
      </w:r>
      <w:r>
        <w:rPr>
          <w:rFonts w:hint="eastAsia"/>
          <w:lang w:eastAsia="zh-CN"/>
        </w:rPr>
        <w:t>收到的</w:t>
      </w:r>
      <w:r>
        <w:rPr>
          <w:lang w:eastAsia="zh-CN"/>
        </w:rPr>
        <w:t>有关为</w:t>
      </w:r>
      <w:r w:rsidRPr="0026644E">
        <w:rPr>
          <w:lang w:eastAsia="zh-CN"/>
        </w:rPr>
        <w:t>CWG-Internet</w:t>
      </w:r>
      <w:r>
        <w:rPr>
          <w:rFonts w:hint="eastAsia"/>
          <w:lang w:eastAsia="zh-CN"/>
        </w:rPr>
        <w:t>下次</w:t>
      </w:r>
      <w:r>
        <w:rPr>
          <w:lang w:eastAsia="zh-CN"/>
        </w:rPr>
        <w:t>会议所选问题的相关输入意见将提交</w:t>
      </w:r>
      <w:r w:rsidRPr="0068407A">
        <w:rPr>
          <w:lang w:eastAsia="zh-CN"/>
        </w:rPr>
        <w:t>CWG-Internet</w:t>
      </w:r>
      <w:r>
        <w:rPr>
          <w:rFonts w:hint="eastAsia"/>
          <w:lang w:eastAsia="zh-CN"/>
        </w:rPr>
        <w:t>考虑</w:t>
      </w:r>
      <w:r>
        <w:rPr>
          <w:lang w:eastAsia="zh-CN"/>
        </w:rPr>
        <w:t>；</w:t>
      </w:r>
    </w:p>
    <w:p w14:paraId="4827B4C1" w14:textId="77777777" w:rsidR="00921FD3" w:rsidRDefault="00921FD3" w:rsidP="00921FD3">
      <w:pPr>
        <w:pStyle w:val="enumlev1"/>
        <w:rPr>
          <w:lang w:eastAsia="zh-CN"/>
        </w:rPr>
      </w:pPr>
      <w:r>
        <w:rPr>
          <w:lang w:eastAsia="zh-CN"/>
        </w:rPr>
        <w:t>9</w:t>
      </w:r>
      <w:r>
        <w:rPr>
          <w:lang w:eastAsia="zh-CN"/>
        </w:rPr>
        <w:tab/>
      </w:r>
      <w:r>
        <w:rPr>
          <w:rFonts w:hint="eastAsia"/>
          <w:lang w:eastAsia="zh-CN"/>
        </w:rPr>
        <w:t>鼓励</w:t>
      </w:r>
      <w:r>
        <w:rPr>
          <w:lang w:eastAsia="zh-CN"/>
        </w:rPr>
        <w:t>所有利益攸关方提交</w:t>
      </w:r>
      <w:r>
        <w:rPr>
          <w:rFonts w:hint="eastAsia"/>
          <w:lang w:eastAsia="zh-CN"/>
        </w:rPr>
        <w:t>各自</w:t>
      </w:r>
      <w:r>
        <w:rPr>
          <w:lang w:eastAsia="zh-CN"/>
        </w:rPr>
        <w:t>有关互联网相关公共政策问题的国内和国际经验以及最佳做法；以便充实现有资料库，使所有成员国从中受益；</w:t>
      </w:r>
    </w:p>
    <w:p w14:paraId="4827B4C2" w14:textId="77777777" w:rsidR="00921FD3" w:rsidRDefault="00921FD3" w:rsidP="00921FD3">
      <w:pPr>
        <w:pStyle w:val="enumlev1"/>
        <w:rPr>
          <w:lang w:eastAsia="zh-CN"/>
        </w:rPr>
      </w:pPr>
      <w:r>
        <w:rPr>
          <w:lang w:eastAsia="zh-CN"/>
        </w:rPr>
        <w:t>10</w:t>
      </w:r>
      <w:r>
        <w:rPr>
          <w:lang w:eastAsia="zh-CN"/>
        </w:rPr>
        <w:tab/>
      </w:r>
      <w:r>
        <w:rPr>
          <w:rFonts w:hint="eastAsia"/>
          <w:lang w:eastAsia="zh-CN"/>
        </w:rPr>
        <w:t>围绕</w:t>
      </w:r>
      <w:r w:rsidRPr="0068407A">
        <w:rPr>
          <w:lang w:eastAsia="zh-CN"/>
        </w:rPr>
        <w:t>CWG-Internet</w:t>
      </w:r>
      <w:r>
        <w:rPr>
          <w:rFonts w:hint="eastAsia"/>
          <w:lang w:eastAsia="zh-CN"/>
        </w:rPr>
        <w:t>开展</w:t>
      </w:r>
      <w:r>
        <w:rPr>
          <w:lang w:eastAsia="zh-CN"/>
        </w:rPr>
        <w:t>的活动向理事会提供年度报告。</w:t>
      </w:r>
    </w:p>
    <w:p w14:paraId="4827B4C3" w14:textId="77777777" w:rsidR="006D2F0C" w:rsidRPr="00830E03" w:rsidRDefault="002D538E" w:rsidP="006D2F0C">
      <w:pPr>
        <w:pStyle w:val="Endtext"/>
        <w:rPr>
          <w:lang w:val="en-US" w:eastAsia="zh-CN"/>
        </w:rPr>
      </w:pPr>
      <w:r w:rsidRPr="005901EF">
        <w:rPr>
          <w:rFonts w:ascii="STKaiti" w:hAnsi="SimSun" w:hint="eastAsia"/>
          <w:lang w:eastAsia="zh-CN"/>
        </w:rPr>
        <w:t>参阅：</w:t>
      </w:r>
      <w:r w:rsidRPr="005901EF">
        <w:rPr>
          <w:rFonts w:ascii="STKaiti" w:hAnsi="SimSun" w:hint="eastAsia"/>
          <w:lang w:eastAsia="zh-CN"/>
        </w:rPr>
        <w:tab/>
      </w:r>
      <w:hyperlink r:id="rId321" w:history="1">
        <w:r w:rsidR="006D2F0C" w:rsidRPr="009B7A52">
          <w:rPr>
            <w:rStyle w:val="Hyperlink"/>
            <w:lang w:val="en-US" w:eastAsia="zh-CN"/>
          </w:rPr>
          <w:t>C11/99</w:t>
        </w:r>
      </w:hyperlink>
      <w:r w:rsidR="006D2F0C">
        <w:rPr>
          <w:rFonts w:hint="eastAsia"/>
          <w:lang w:val="en-US" w:eastAsia="zh-CN"/>
        </w:rPr>
        <w:t>和</w:t>
      </w:r>
      <w:hyperlink r:id="rId322" w:history="1">
        <w:r w:rsidR="006D2F0C" w:rsidRPr="009B7A52">
          <w:rPr>
            <w:rStyle w:val="Hyperlink"/>
            <w:lang w:val="en-US" w:eastAsia="zh-CN"/>
          </w:rPr>
          <w:t>C11/119</w:t>
        </w:r>
      </w:hyperlink>
      <w:r w:rsidR="00921FD3">
        <w:rPr>
          <w:rFonts w:hint="eastAsia"/>
          <w:lang w:val="en-US" w:eastAsia="zh-CN"/>
        </w:rPr>
        <w:t>、</w:t>
      </w:r>
      <w:hyperlink r:id="rId323" w:history="1">
        <w:r w:rsidR="006D2F0C" w:rsidRPr="009B7A52">
          <w:rPr>
            <w:rStyle w:val="Hyperlink"/>
            <w:lang w:val="en-US" w:eastAsia="zh-CN"/>
          </w:rPr>
          <w:t>C15/113</w:t>
        </w:r>
      </w:hyperlink>
      <w:r w:rsidR="00921FD3">
        <w:rPr>
          <w:rFonts w:hint="eastAsia"/>
          <w:lang w:val="en-US" w:eastAsia="zh-CN"/>
        </w:rPr>
        <w:t>、</w:t>
      </w:r>
      <w:hyperlink r:id="rId324" w:history="1">
        <w:r w:rsidR="006D2F0C" w:rsidRPr="009B7A52">
          <w:rPr>
            <w:rStyle w:val="Hyperlink"/>
            <w:lang w:val="en-US" w:eastAsia="zh-CN"/>
          </w:rPr>
          <w:t>C15/124</w:t>
        </w:r>
      </w:hyperlink>
      <w:r w:rsidR="00921FD3">
        <w:rPr>
          <w:rFonts w:hint="eastAsia"/>
          <w:lang w:val="en-US" w:eastAsia="zh-CN"/>
        </w:rPr>
        <w:t>、</w:t>
      </w:r>
      <w:hyperlink r:id="rId325" w:history="1">
        <w:r w:rsidR="00921FD3" w:rsidRPr="004F20D9">
          <w:rPr>
            <w:rStyle w:val="Hyperlink"/>
            <w:lang w:val="en-GB" w:eastAsia="zh-CN"/>
          </w:rPr>
          <w:t>C19/140</w:t>
        </w:r>
      </w:hyperlink>
      <w:r w:rsidR="00921FD3">
        <w:rPr>
          <w:rFonts w:hint="eastAsia"/>
          <w:lang w:val="en-GB" w:eastAsia="zh-CN"/>
        </w:rPr>
        <w:t>和</w:t>
      </w:r>
      <w:hyperlink r:id="rId326" w:history="1">
        <w:r w:rsidR="00921FD3" w:rsidRPr="004F20D9">
          <w:rPr>
            <w:rStyle w:val="Hyperlink"/>
            <w:lang w:val="en-GB" w:eastAsia="zh-CN"/>
          </w:rPr>
          <w:t>C19/117</w:t>
        </w:r>
      </w:hyperlink>
      <w:r w:rsidR="00921FD3">
        <w:rPr>
          <w:rFonts w:hint="eastAsia"/>
          <w:lang w:val="en-US" w:eastAsia="zh-CN"/>
        </w:rPr>
        <w:t>号文</w:t>
      </w:r>
      <w:r w:rsidR="006D2F0C">
        <w:rPr>
          <w:lang w:val="en-US" w:eastAsia="zh-CN"/>
        </w:rPr>
        <w:t>件。</w:t>
      </w:r>
    </w:p>
    <w:p w14:paraId="4827B4C4" w14:textId="77777777" w:rsidR="00921FD3" w:rsidRDefault="00921FD3" w:rsidP="00921FD3">
      <w:pPr>
        <w:jc w:val="center"/>
        <w:rPr>
          <w:lang w:eastAsia="zh-CN"/>
        </w:rPr>
      </w:pPr>
      <w:bookmarkStart w:id="1735" w:name="_Toc424117039"/>
      <w:bookmarkStart w:id="1736" w:name="_Toc531706389"/>
      <w:bookmarkStart w:id="1737" w:name="_Toc531706995"/>
      <w:bookmarkStart w:id="1738" w:name="_Toc531768477"/>
      <w:bookmarkStart w:id="1739" w:name="_Toc311469615"/>
      <w:r>
        <w:rPr>
          <w:lang w:eastAsia="zh-CN"/>
        </w:rPr>
        <w:t>______________</w:t>
      </w:r>
    </w:p>
    <w:p w14:paraId="4827B4C5" w14:textId="77777777" w:rsidR="00921FD3" w:rsidRDefault="00921FD3" w:rsidP="00CA7362">
      <w:pPr>
        <w:pStyle w:val="ResNo"/>
        <w:outlineLvl w:val="0"/>
        <w:rPr>
          <w:lang w:val="en-US" w:eastAsia="zh-CN"/>
        </w:rPr>
      </w:pPr>
      <w:bookmarkStart w:id="1740" w:name="_Toc490556008"/>
      <w:bookmarkStart w:id="1741" w:name="_Toc16085797"/>
      <w:bookmarkStart w:id="1742" w:name="_Toc86395600"/>
      <w:bookmarkEnd w:id="1735"/>
      <w:bookmarkEnd w:id="1736"/>
      <w:bookmarkEnd w:id="1737"/>
      <w:bookmarkEnd w:id="1738"/>
      <w:r w:rsidRPr="001C2092">
        <w:rPr>
          <w:rFonts w:hint="eastAsia"/>
          <w:lang w:eastAsia="zh-CN"/>
        </w:rPr>
        <w:t>第</w:t>
      </w:r>
      <w:r w:rsidRPr="001C2092">
        <w:rPr>
          <w:rFonts w:hint="eastAsia"/>
          <w:lang w:eastAsia="zh-CN"/>
        </w:rPr>
        <w:t>1372</w:t>
      </w:r>
      <w:r w:rsidRPr="001C2092">
        <w:rPr>
          <w:rFonts w:hint="eastAsia"/>
          <w:lang w:eastAsia="zh-CN"/>
        </w:rPr>
        <w:t>号</w:t>
      </w:r>
      <w:r w:rsidRPr="001C2092">
        <w:rPr>
          <w:lang w:eastAsia="zh-CN"/>
        </w:rPr>
        <w:t>决</w:t>
      </w:r>
      <w:r w:rsidRPr="001C2092">
        <w:rPr>
          <w:rFonts w:hint="eastAsia"/>
          <w:lang w:eastAsia="zh-CN"/>
        </w:rPr>
        <w:t>议</w:t>
      </w:r>
      <w:r>
        <w:rPr>
          <w:rFonts w:hint="eastAsia"/>
          <w:lang w:eastAsia="zh-CN"/>
        </w:rPr>
        <w:t>（</w:t>
      </w:r>
      <w:r>
        <w:rPr>
          <w:rFonts w:hint="eastAsia"/>
          <w:lang w:eastAsia="zh-CN"/>
        </w:rPr>
        <w:t>C</w:t>
      </w:r>
      <w:r>
        <w:rPr>
          <w:lang w:eastAsia="zh-CN"/>
        </w:rPr>
        <w:t>15</w:t>
      </w:r>
      <w:r>
        <w:rPr>
          <w:rFonts w:hint="eastAsia"/>
          <w:lang w:eastAsia="zh-CN"/>
        </w:rPr>
        <w:t>，最后修正</w:t>
      </w:r>
      <w:r>
        <w:rPr>
          <w:rFonts w:hint="eastAsia"/>
          <w:lang w:eastAsia="zh-CN"/>
        </w:rPr>
        <w:t>C</w:t>
      </w:r>
      <w:r w:rsidRPr="00583531">
        <w:rPr>
          <w:bCs/>
          <w:lang w:val="en-US" w:eastAsia="zh-CN"/>
        </w:rPr>
        <w:t>19</w:t>
      </w:r>
      <w:r>
        <w:rPr>
          <w:rFonts w:hint="eastAsia"/>
          <w:lang w:val="en-US" w:eastAsia="zh-CN"/>
        </w:rPr>
        <w:t>）</w:t>
      </w:r>
      <w:bookmarkEnd w:id="1740"/>
      <w:bookmarkEnd w:id="1741"/>
      <w:bookmarkEnd w:id="1742"/>
    </w:p>
    <w:p w14:paraId="4827B4C6" w14:textId="77777777" w:rsidR="00921FD3" w:rsidRDefault="00921FD3" w:rsidP="00921FD3">
      <w:pPr>
        <w:pStyle w:val="Restitle"/>
        <w:rPr>
          <w:lang w:val="en-US" w:eastAsia="zh-CN"/>
        </w:rPr>
      </w:pPr>
      <w:bookmarkStart w:id="1743" w:name="_Toc490556009"/>
      <w:bookmarkStart w:id="1744" w:name="_Toc16085798"/>
      <w:bookmarkStart w:id="1745" w:name="_Toc86395601"/>
      <w:r w:rsidRPr="001C2092">
        <w:rPr>
          <w:rFonts w:hint="eastAsia"/>
          <w:lang w:eastAsia="zh-CN"/>
        </w:rPr>
        <w:t>理事会语文工作组（</w:t>
      </w:r>
      <w:r w:rsidRPr="001C2092">
        <w:rPr>
          <w:lang w:eastAsia="zh-CN"/>
        </w:rPr>
        <w:t>CWG-LANG</w:t>
      </w:r>
      <w:r w:rsidRPr="001C2092">
        <w:rPr>
          <w:rFonts w:hint="eastAsia"/>
          <w:lang w:eastAsia="zh-CN"/>
        </w:rPr>
        <w:t>）</w:t>
      </w:r>
      <w:bookmarkEnd w:id="1743"/>
      <w:bookmarkEnd w:id="1744"/>
      <w:bookmarkEnd w:id="1745"/>
    </w:p>
    <w:p w14:paraId="4827B4C7" w14:textId="77777777" w:rsidR="00921FD3" w:rsidRPr="001C2092" w:rsidRDefault="00921FD3" w:rsidP="00921FD3">
      <w:pPr>
        <w:spacing w:before="320"/>
        <w:rPr>
          <w:lang w:val="en-US" w:eastAsia="zh-CN"/>
        </w:rPr>
      </w:pPr>
      <w:r w:rsidRPr="001C2092">
        <w:rPr>
          <w:rFonts w:hint="eastAsia"/>
          <w:lang w:val="en-US" w:eastAsia="zh-CN"/>
        </w:rPr>
        <w:t>理事会，</w:t>
      </w:r>
    </w:p>
    <w:p w14:paraId="4827B4C8" w14:textId="77777777" w:rsidR="00921FD3" w:rsidRPr="00532FC4" w:rsidRDefault="00921FD3" w:rsidP="00921FD3">
      <w:pPr>
        <w:pStyle w:val="Call"/>
        <w:rPr>
          <w:lang w:eastAsia="zh-CN"/>
        </w:rPr>
      </w:pPr>
      <w:r w:rsidRPr="00532FC4">
        <w:rPr>
          <w:rFonts w:hint="eastAsia"/>
          <w:lang w:eastAsia="zh-CN"/>
        </w:rPr>
        <w:t>忆及</w:t>
      </w:r>
    </w:p>
    <w:p w14:paraId="4827B4C9" w14:textId="77777777" w:rsidR="00921FD3" w:rsidRPr="006E36BF" w:rsidRDefault="00921FD3" w:rsidP="00921FD3">
      <w:pPr>
        <w:keepNext/>
        <w:keepLines/>
        <w:spacing w:before="160"/>
        <w:rPr>
          <w:rFonts w:eastAsiaTheme="minorEastAsia"/>
          <w:lang w:eastAsia="zh-CN"/>
        </w:rPr>
      </w:pPr>
      <w:r w:rsidRPr="004C6B72">
        <w:rPr>
          <w:i/>
          <w:iCs/>
          <w:lang w:eastAsia="zh-CN"/>
        </w:rPr>
        <w:t>a)</w:t>
      </w:r>
      <w:r w:rsidRPr="006E36BF">
        <w:rPr>
          <w:rFonts w:eastAsiaTheme="minorEastAsia"/>
          <w:lang w:eastAsia="zh-CN"/>
        </w:rPr>
        <w:tab/>
      </w:r>
      <w:r w:rsidRPr="006E36BF">
        <w:rPr>
          <w:rFonts w:eastAsiaTheme="minorEastAsia" w:hint="eastAsia"/>
          <w:lang w:eastAsia="zh-CN"/>
        </w:rPr>
        <w:t>联合国大会</w:t>
      </w:r>
      <w:r>
        <w:rPr>
          <w:rFonts w:eastAsiaTheme="minorEastAsia" w:hint="eastAsia"/>
          <w:lang w:eastAsia="zh-CN"/>
        </w:rPr>
        <w:t>于</w:t>
      </w:r>
      <w:r w:rsidRPr="006E36BF">
        <w:rPr>
          <w:rFonts w:eastAsiaTheme="minorEastAsia"/>
          <w:lang w:eastAsia="zh-CN"/>
        </w:rPr>
        <w:t>2015</w:t>
      </w:r>
      <w:r w:rsidRPr="006E36BF">
        <w:rPr>
          <w:rFonts w:eastAsiaTheme="minorEastAsia" w:hint="eastAsia"/>
          <w:lang w:eastAsia="zh-CN"/>
        </w:rPr>
        <w:t>年</w:t>
      </w:r>
      <w:r w:rsidRPr="006E36BF">
        <w:rPr>
          <w:rFonts w:eastAsiaTheme="minorEastAsia"/>
          <w:lang w:eastAsia="zh-CN"/>
        </w:rPr>
        <w:t>9</w:t>
      </w:r>
      <w:r w:rsidRPr="006E36BF">
        <w:rPr>
          <w:rFonts w:eastAsiaTheme="minorEastAsia" w:hint="eastAsia"/>
          <w:lang w:eastAsia="zh-CN"/>
        </w:rPr>
        <w:t>月</w:t>
      </w:r>
      <w:r w:rsidRPr="006E36BF">
        <w:rPr>
          <w:rFonts w:eastAsiaTheme="minorEastAsia"/>
          <w:lang w:eastAsia="zh-CN"/>
        </w:rPr>
        <w:t>11</w:t>
      </w:r>
      <w:r w:rsidRPr="006E36BF">
        <w:rPr>
          <w:rFonts w:eastAsiaTheme="minorEastAsia" w:hint="eastAsia"/>
          <w:lang w:eastAsia="zh-CN"/>
        </w:rPr>
        <w:t>日通过的有关多语文</w:t>
      </w:r>
      <w:r w:rsidRPr="001C2092">
        <w:rPr>
          <w:rFonts w:eastAsiaTheme="minorEastAsia"/>
          <w:lang w:eastAsia="zh-CN"/>
        </w:rPr>
        <w:t>使用</w:t>
      </w:r>
      <w:r w:rsidRPr="006E36BF">
        <w:rPr>
          <w:rFonts w:eastAsiaTheme="minorEastAsia" w:hint="eastAsia"/>
          <w:lang w:eastAsia="zh-CN"/>
        </w:rPr>
        <w:t>的第</w:t>
      </w:r>
      <w:r w:rsidRPr="006E36BF">
        <w:rPr>
          <w:rFonts w:eastAsiaTheme="minorEastAsia"/>
          <w:lang w:eastAsia="zh-CN"/>
        </w:rPr>
        <w:t>69/324</w:t>
      </w:r>
      <w:r w:rsidRPr="006E36BF">
        <w:rPr>
          <w:rFonts w:eastAsiaTheme="minorEastAsia" w:hint="eastAsia"/>
          <w:lang w:eastAsia="zh-CN"/>
        </w:rPr>
        <w:t>号决议；</w:t>
      </w:r>
    </w:p>
    <w:p w14:paraId="4827B4CA" w14:textId="77777777" w:rsidR="00921FD3" w:rsidRPr="001C2092" w:rsidRDefault="00921FD3" w:rsidP="00921FD3">
      <w:pPr>
        <w:rPr>
          <w:szCs w:val="24"/>
          <w:lang w:val="en-US" w:eastAsia="zh-CN"/>
        </w:rPr>
      </w:pPr>
      <w:r w:rsidRPr="004C6B72">
        <w:rPr>
          <w:i/>
          <w:iCs/>
          <w:lang w:eastAsia="zh-CN"/>
        </w:rPr>
        <w:t>b)</w:t>
      </w:r>
      <w:r w:rsidRPr="001C2092">
        <w:rPr>
          <w:szCs w:val="24"/>
          <w:lang w:val="en-US" w:eastAsia="zh-CN"/>
        </w:rPr>
        <w:tab/>
      </w:r>
      <w:r w:rsidRPr="001C2092">
        <w:rPr>
          <w:rFonts w:hint="eastAsia"/>
          <w:lang w:eastAsia="zh-CN"/>
        </w:rPr>
        <w:t>有关在同等地位上使用国际电联六种正式语文的</w:t>
      </w:r>
      <w:r w:rsidRPr="001C2092">
        <w:rPr>
          <w:rFonts w:hint="eastAsia"/>
          <w:szCs w:val="24"/>
          <w:lang w:val="en-US" w:eastAsia="zh-CN"/>
        </w:rPr>
        <w:t>全权代表大会第</w:t>
      </w:r>
      <w:r w:rsidRPr="001C2092">
        <w:rPr>
          <w:lang w:eastAsia="zh-CN"/>
        </w:rPr>
        <w:t>154</w:t>
      </w:r>
      <w:r w:rsidRPr="001C2092">
        <w:rPr>
          <w:rFonts w:hint="eastAsia"/>
          <w:lang w:eastAsia="zh-CN"/>
        </w:rPr>
        <w:t>号决议（</w:t>
      </w:r>
      <w:r>
        <w:rPr>
          <w:lang w:eastAsia="zh-CN"/>
        </w:rPr>
        <w:t>2018</w:t>
      </w:r>
      <w:r w:rsidRPr="001C2092">
        <w:rPr>
          <w:rFonts w:hint="eastAsia"/>
          <w:lang w:eastAsia="zh-CN"/>
        </w:rPr>
        <w:t>年，</w:t>
      </w:r>
      <w:r>
        <w:rPr>
          <w:rFonts w:hint="eastAsia"/>
          <w:lang w:eastAsia="zh-CN"/>
        </w:rPr>
        <w:t>迪拜</w:t>
      </w:r>
      <w:r w:rsidRPr="001C2092">
        <w:rPr>
          <w:rFonts w:hint="eastAsia"/>
          <w:lang w:eastAsia="zh-CN"/>
        </w:rPr>
        <w:t>，修订版）；</w:t>
      </w:r>
    </w:p>
    <w:p w14:paraId="4827B4CB" w14:textId="77777777" w:rsidR="00921FD3" w:rsidRPr="001C2092" w:rsidRDefault="00921FD3" w:rsidP="00921FD3">
      <w:pPr>
        <w:rPr>
          <w:lang w:eastAsia="zh-CN"/>
        </w:rPr>
      </w:pPr>
      <w:r w:rsidRPr="004C6B72">
        <w:rPr>
          <w:i/>
          <w:iCs/>
          <w:lang w:eastAsia="zh-CN"/>
        </w:rPr>
        <w:t>c)</w:t>
      </w:r>
      <w:r w:rsidRPr="001C2092">
        <w:rPr>
          <w:szCs w:val="24"/>
          <w:lang w:val="en-US" w:eastAsia="zh-CN"/>
        </w:rPr>
        <w:tab/>
      </w:r>
      <w:r w:rsidRPr="001C2092">
        <w:rPr>
          <w:rFonts w:hint="eastAsia"/>
          <w:lang w:eastAsia="zh-CN"/>
        </w:rPr>
        <w:t>有关国际电联</w:t>
      </w:r>
      <w:r>
        <w:rPr>
          <w:lang w:eastAsia="zh-CN"/>
        </w:rPr>
        <w:t>2020</w:t>
      </w:r>
      <w:r w:rsidRPr="001C2092">
        <w:rPr>
          <w:lang w:eastAsia="zh-CN"/>
        </w:rPr>
        <w:t>-</w:t>
      </w:r>
      <w:r>
        <w:rPr>
          <w:lang w:eastAsia="zh-CN"/>
        </w:rPr>
        <w:t>2023</w:t>
      </w:r>
      <w:r w:rsidRPr="001C2092">
        <w:rPr>
          <w:rFonts w:hint="eastAsia"/>
          <w:lang w:eastAsia="zh-CN"/>
        </w:rPr>
        <w:t>年收入和支出的第</w:t>
      </w:r>
      <w:r w:rsidRPr="001C2092">
        <w:rPr>
          <w:lang w:eastAsia="zh-CN"/>
        </w:rPr>
        <w:t>5</w:t>
      </w:r>
      <w:r w:rsidRPr="001C2092">
        <w:rPr>
          <w:rFonts w:hint="eastAsia"/>
          <w:lang w:eastAsia="zh-CN"/>
        </w:rPr>
        <w:t>号决定（</w:t>
      </w:r>
      <w:r>
        <w:rPr>
          <w:rFonts w:hint="eastAsia"/>
          <w:lang w:eastAsia="zh-CN"/>
        </w:rPr>
        <w:t>2018</w:t>
      </w:r>
      <w:r>
        <w:rPr>
          <w:rFonts w:hint="eastAsia"/>
          <w:lang w:eastAsia="zh-CN"/>
        </w:rPr>
        <w:t>年，迪拜</w:t>
      </w:r>
      <w:r w:rsidRPr="001C2092">
        <w:rPr>
          <w:rFonts w:hint="eastAsia"/>
          <w:lang w:eastAsia="zh-CN"/>
        </w:rPr>
        <w:t>，修订版）；</w:t>
      </w:r>
    </w:p>
    <w:p w14:paraId="4827B4CC" w14:textId="77777777" w:rsidR="00921FD3" w:rsidRDefault="00921FD3" w:rsidP="00921FD3">
      <w:pPr>
        <w:rPr>
          <w:szCs w:val="24"/>
          <w:lang w:val="en-US" w:eastAsia="zh-CN"/>
        </w:rPr>
      </w:pPr>
      <w:r w:rsidRPr="004C6B72">
        <w:rPr>
          <w:i/>
          <w:iCs/>
          <w:lang w:eastAsia="zh-CN"/>
        </w:rPr>
        <w:t>d)</w:t>
      </w:r>
      <w:r w:rsidRPr="001C2092">
        <w:rPr>
          <w:szCs w:val="24"/>
          <w:lang w:val="en-US" w:eastAsia="zh-CN"/>
        </w:rPr>
        <w:tab/>
      </w:r>
      <w:r w:rsidRPr="001C2092">
        <w:rPr>
          <w:rFonts w:hint="eastAsia"/>
          <w:szCs w:val="24"/>
          <w:lang w:val="en-US" w:eastAsia="zh-CN"/>
        </w:rPr>
        <w:t>理事会于</w:t>
      </w:r>
      <w:r w:rsidRPr="001C2092">
        <w:rPr>
          <w:szCs w:val="24"/>
          <w:lang w:val="en-US" w:eastAsia="zh-CN"/>
        </w:rPr>
        <w:t>2005</w:t>
      </w:r>
      <w:r w:rsidRPr="001C2092">
        <w:rPr>
          <w:rFonts w:hint="eastAsia"/>
          <w:szCs w:val="24"/>
          <w:lang w:val="en-US" w:eastAsia="zh-CN"/>
        </w:rPr>
        <w:t>年通过的有关</w:t>
      </w:r>
      <w:r w:rsidRPr="001C2092">
        <w:rPr>
          <w:rFonts w:hint="eastAsia"/>
          <w:lang w:eastAsia="zh-CN"/>
        </w:rPr>
        <w:t>国际电联六种正式语文和工作语文使用的</w:t>
      </w:r>
      <w:r w:rsidRPr="001C2092">
        <w:rPr>
          <w:rFonts w:hint="eastAsia"/>
          <w:szCs w:val="24"/>
          <w:lang w:val="en-US" w:eastAsia="zh-CN"/>
        </w:rPr>
        <w:t>第</w:t>
      </w:r>
      <w:r w:rsidRPr="001C2092">
        <w:rPr>
          <w:szCs w:val="24"/>
          <w:lang w:val="en-US" w:eastAsia="zh-CN"/>
        </w:rPr>
        <w:t>1238</w:t>
      </w:r>
      <w:r w:rsidRPr="001C2092">
        <w:rPr>
          <w:rFonts w:hint="eastAsia"/>
          <w:szCs w:val="24"/>
          <w:lang w:val="en-US" w:eastAsia="zh-CN"/>
        </w:rPr>
        <w:t>号决议</w:t>
      </w:r>
      <w:r>
        <w:rPr>
          <w:rFonts w:hint="eastAsia"/>
          <w:szCs w:val="24"/>
          <w:lang w:val="en-US" w:eastAsia="zh-CN"/>
        </w:rPr>
        <w:t>；</w:t>
      </w:r>
    </w:p>
    <w:p w14:paraId="4827B4CD" w14:textId="77777777" w:rsidR="00921FD3" w:rsidRPr="001C2092" w:rsidRDefault="00921FD3" w:rsidP="00921FD3">
      <w:pPr>
        <w:rPr>
          <w:szCs w:val="24"/>
          <w:lang w:val="en-US" w:eastAsia="zh-CN"/>
        </w:rPr>
      </w:pPr>
      <w:r w:rsidRPr="00E737D0">
        <w:rPr>
          <w:i/>
          <w:lang w:eastAsia="zh-CN"/>
        </w:rPr>
        <w:t>e)</w:t>
      </w:r>
      <w:r>
        <w:rPr>
          <w:i/>
          <w:lang w:eastAsia="zh-CN"/>
        </w:rPr>
        <w:tab/>
      </w:r>
      <w:r w:rsidRPr="00675510">
        <w:rPr>
          <w:rFonts w:hint="eastAsia"/>
          <w:iCs/>
          <w:lang w:eastAsia="zh-CN"/>
        </w:rPr>
        <w:t>理</w:t>
      </w:r>
      <w:r w:rsidRPr="007A5507">
        <w:rPr>
          <w:color w:val="000000"/>
          <w:lang w:eastAsia="zh-CN"/>
        </w:rPr>
        <w:t>事会</w:t>
      </w:r>
      <w:r>
        <w:rPr>
          <w:rFonts w:hint="eastAsia"/>
          <w:color w:val="000000"/>
          <w:lang w:eastAsia="zh-CN"/>
        </w:rPr>
        <w:t>于</w:t>
      </w:r>
      <w:r>
        <w:rPr>
          <w:rFonts w:hint="eastAsia"/>
          <w:color w:val="000000"/>
          <w:lang w:eastAsia="zh-CN"/>
        </w:rPr>
        <w:t>2017</w:t>
      </w:r>
      <w:r>
        <w:rPr>
          <w:rFonts w:hint="eastAsia"/>
          <w:color w:val="000000"/>
          <w:lang w:eastAsia="zh-CN"/>
        </w:rPr>
        <w:t>年通过的</w:t>
      </w:r>
      <w:r w:rsidRPr="007A5507">
        <w:rPr>
          <w:rFonts w:hint="eastAsia"/>
          <w:lang w:eastAsia="zh-CN"/>
        </w:rPr>
        <w:t>有关</w:t>
      </w:r>
      <w:r w:rsidRPr="007A5507">
        <w:rPr>
          <w:color w:val="000000"/>
          <w:lang w:eastAsia="zh-CN"/>
        </w:rPr>
        <w:t>国际电联</w:t>
      </w:r>
      <w:r>
        <w:rPr>
          <w:rFonts w:hint="eastAsia"/>
          <w:color w:val="000000"/>
          <w:lang w:eastAsia="zh-CN"/>
        </w:rPr>
        <w:t>术语</w:t>
      </w:r>
      <w:r w:rsidRPr="007A5507">
        <w:rPr>
          <w:color w:val="000000"/>
          <w:lang w:eastAsia="zh-CN"/>
        </w:rPr>
        <w:t>协调委员</w:t>
      </w:r>
      <w:r w:rsidRPr="007A5507">
        <w:rPr>
          <w:rFonts w:cs="SimSun" w:hint="eastAsia"/>
          <w:color w:val="000000"/>
          <w:lang w:eastAsia="zh-CN"/>
        </w:rPr>
        <w:t>会（</w:t>
      </w:r>
      <w:r>
        <w:rPr>
          <w:rFonts w:cs="SimSun" w:hint="eastAsia"/>
          <w:color w:val="000000"/>
          <w:lang w:eastAsia="zh-CN"/>
        </w:rPr>
        <w:t>ITU</w:t>
      </w:r>
      <w:r>
        <w:rPr>
          <w:rFonts w:cs="SimSun"/>
          <w:color w:val="000000"/>
          <w:lang w:eastAsia="zh-CN"/>
        </w:rPr>
        <w:t xml:space="preserve"> </w:t>
      </w:r>
      <w:r w:rsidRPr="007A5507">
        <w:rPr>
          <w:lang w:eastAsia="zh-CN"/>
        </w:rPr>
        <w:t>CC</w:t>
      </w:r>
      <w:r>
        <w:rPr>
          <w:rFonts w:hint="eastAsia"/>
          <w:lang w:eastAsia="zh-CN"/>
        </w:rPr>
        <w:t>T</w:t>
      </w:r>
      <w:r w:rsidRPr="007A5507">
        <w:rPr>
          <w:rFonts w:cs="SimSun" w:hint="eastAsia"/>
          <w:color w:val="000000"/>
          <w:lang w:eastAsia="zh-CN"/>
        </w:rPr>
        <w:t>）的</w:t>
      </w:r>
      <w:r w:rsidRPr="007A5507">
        <w:rPr>
          <w:color w:val="000000"/>
          <w:lang w:eastAsia="zh-CN"/>
        </w:rPr>
        <w:t>第</w:t>
      </w:r>
      <w:r w:rsidRPr="007A5507">
        <w:rPr>
          <w:color w:val="000000"/>
          <w:lang w:eastAsia="zh-CN"/>
        </w:rPr>
        <w:t>1386</w:t>
      </w:r>
      <w:r w:rsidRPr="007A5507">
        <w:rPr>
          <w:color w:val="000000"/>
          <w:lang w:eastAsia="zh-CN"/>
        </w:rPr>
        <w:t>号决</w:t>
      </w:r>
      <w:r w:rsidRPr="007A5507">
        <w:rPr>
          <w:rFonts w:cs="SimSun" w:hint="eastAsia"/>
          <w:color w:val="000000"/>
          <w:lang w:eastAsia="zh-CN"/>
        </w:rPr>
        <w:t>议，</w:t>
      </w:r>
    </w:p>
    <w:p w14:paraId="4827B4CE" w14:textId="77777777" w:rsidR="00921FD3" w:rsidRPr="00D064E5" w:rsidRDefault="00921FD3" w:rsidP="00921FD3">
      <w:pPr>
        <w:pStyle w:val="Call"/>
        <w:rPr>
          <w:lang w:eastAsia="zh-CN"/>
        </w:rPr>
      </w:pPr>
      <w:r w:rsidRPr="00D064E5">
        <w:rPr>
          <w:rFonts w:hint="eastAsia"/>
          <w:lang w:eastAsia="zh-CN"/>
        </w:rPr>
        <w:t>考虑到</w:t>
      </w:r>
    </w:p>
    <w:p w14:paraId="4827B4CF" w14:textId="77777777" w:rsidR="00921FD3" w:rsidRPr="001C2092" w:rsidRDefault="00921FD3" w:rsidP="00921FD3">
      <w:pPr>
        <w:ind w:firstLineChars="200" w:firstLine="480"/>
        <w:rPr>
          <w:szCs w:val="24"/>
          <w:lang w:val="en-US" w:eastAsia="zh-CN"/>
        </w:rPr>
      </w:pPr>
      <w:r>
        <w:rPr>
          <w:rFonts w:hint="eastAsia"/>
          <w:szCs w:val="24"/>
          <w:lang w:val="en-US" w:eastAsia="zh-CN"/>
        </w:rPr>
        <w:t>国际电联</w:t>
      </w:r>
      <w:r w:rsidRPr="001C2092">
        <w:rPr>
          <w:rFonts w:hint="eastAsia"/>
          <w:szCs w:val="24"/>
          <w:lang w:val="en-US" w:eastAsia="zh-CN"/>
        </w:rPr>
        <w:t>理事会语文工作组（</w:t>
      </w:r>
      <w:r w:rsidRPr="001C2092">
        <w:rPr>
          <w:szCs w:val="24"/>
          <w:lang w:val="en-US" w:eastAsia="zh-CN"/>
        </w:rPr>
        <w:t>CWG-LANG</w:t>
      </w:r>
      <w:r w:rsidRPr="001C2092">
        <w:rPr>
          <w:rFonts w:hint="eastAsia"/>
          <w:szCs w:val="24"/>
          <w:lang w:val="en-US" w:eastAsia="zh-CN"/>
        </w:rPr>
        <w:t>）提交理事会</w:t>
      </w:r>
      <w:r>
        <w:rPr>
          <w:szCs w:val="24"/>
          <w:lang w:val="en-US" w:eastAsia="zh-CN"/>
        </w:rPr>
        <w:t>2018</w:t>
      </w:r>
      <w:r w:rsidRPr="001C2092">
        <w:rPr>
          <w:rFonts w:hint="eastAsia"/>
          <w:szCs w:val="24"/>
          <w:lang w:val="en-US" w:eastAsia="zh-CN"/>
        </w:rPr>
        <w:t>年会议并</w:t>
      </w:r>
      <w:r>
        <w:rPr>
          <w:rFonts w:hint="eastAsia"/>
          <w:szCs w:val="24"/>
          <w:lang w:val="en-US" w:eastAsia="zh-CN"/>
        </w:rPr>
        <w:t>经其</w:t>
      </w:r>
      <w:r w:rsidRPr="001C2092">
        <w:rPr>
          <w:rFonts w:hint="eastAsia"/>
          <w:szCs w:val="24"/>
          <w:lang w:val="en-US" w:eastAsia="zh-CN"/>
        </w:rPr>
        <w:t>通过的报告（</w:t>
      </w:r>
      <w:hyperlink r:id="rId327" w:history="1">
        <w:r w:rsidRPr="00AF4F94">
          <w:rPr>
            <w:rStyle w:val="Hyperlink"/>
            <w:lang w:eastAsia="zh-CN"/>
          </w:rPr>
          <w:t>C</w:t>
        </w:r>
        <w:r>
          <w:rPr>
            <w:rStyle w:val="Hyperlink"/>
            <w:lang w:eastAsia="zh-CN"/>
          </w:rPr>
          <w:t>18</w:t>
        </w:r>
        <w:r w:rsidRPr="00AF4F94">
          <w:rPr>
            <w:rStyle w:val="Hyperlink"/>
            <w:lang w:eastAsia="zh-CN"/>
          </w:rPr>
          <w:t>/12</w:t>
        </w:r>
      </w:hyperlink>
      <w:r>
        <w:rPr>
          <w:rFonts w:hint="eastAsia"/>
          <w:lang w:eastAsia="zh-CN"/>
        </w:rPr>
        <w:t>号</w:t>
      </w:r>
      <w:r>
        <w:rPr>
          <w:lang w:eastAsia="zh-CN"/>
        </w:rPr>
        <w:t>文件</w:t>
      </w:r>
      <w:r w:rsidRPr="001C2092">
        <w:rPr>
          <w:rFonts w:hint="eastAsia"/>
          <w:szCs w:val="24"/>
          <w:lang w:val="en-US" w:eastAsia="zh-CN"/>
        </w:rPr>
        <w:t>），</w:t>
      </w:r>
    </w:p>
    <w:p w14:paraId="4827B4D0" w14:textId="77777777" w:rsidR="00921FD3" w:rsidRPr="00D064E5" w:rsidRDefault="00921FD3" w:rsidP="00921FD3">
      <w:pPr>
        <w:pStyle w:val="Call"/>
        <w:rPr>
          <w:lang w:val="en-US" w:eastAsia="zh-CN"/>
        </w:rPr>
      </w:pPr>
      <w:r w:rsidRPr="00D064E5">
        <w:rPr>
          <w:rFonts w:hint="eastAsia"/>
          <w:lang w:eastAsia="zh-CN"/>
        </w:rPr>
        <w:t>认识到</w:t>
      </w:r>
    </w:p>
    <w:p w14:paraId="4827B4D1" w14:textId="77777777" w:rsidR="00921FD3" w:rsidRPr="001C2092" w:rsidRDefault="00921FD3" w:rsidP="00921FD3">
      <w:pPr>
        <w:rPr>
          <w:lang w:eastAsia="zh-CN"/>
        </w:rPr>
      </w:pPr>
      <w:r w:rsidRPr="001C2092">
        <w:rPr>
          <w:i/>
          <w:iCs/>
          <w:szCs w:val="24"/>
          <w:lang w:val="en-US" w:eastAsia="zh-CN"/>
        </w:rPr>
        <w:t>a)</w:t>
      </w:r>
      <w:r w:rsidRPr="001C2092">
        <w:rPr>
          <w:i/>
          <w:iCs/>
          <w:szCs w:val="24"/>
          <w:lang w:val="en-US" w:eastAsia="zh-CN"/>
        </w:rPr>
        <w:tab/>
      </w:r>
      <w:r w:rsidRPr="001C2092">
        <w:rPr>
          <w:rFonts w:hint="eastAsia"/>
          <w:lang w:eastAsia="zh-CN"/>
        </w:rPr>
        <w:t>理事会语文工作组所完成的工作以及秘书处为落实理事会</w:t>
      </w:r>
      <w:r w:rsidRPr="001C2092">
        <w:rPr>
          <w:lang w:eastAsia="zh-CN"/>
        </w:rPr>
        <w:t>2009-</w:t>
      </w:r>
      <w:r>
        <w:rPr>
          <w:lang w:eastAsia="zh-CN"/>
        </w:rPr>
        <w:t>2018</w:t>
      </w:r>
      <w:r w:rsidRPr="006E36BF">
        <w:rPr>
          <w:rFonts w:hint="eastAsia"/>
          <w:lang w:eastAsia="zh-CN"/>
        </w:rPr>
        <w:t>年各届会议</w:t>
      </w:r>
      <w:r>
        <w:rPr>
          <w:rFonts w:hint="eastAsia"/>
          <w:lang w:eastAsia="zh-CN"/>
        </w:rPr>
        <w:t>所</w:t>
      </w:r>
      <w:r w:rsidRPr="006E36BF">
        <w:rPr>
          <w:rFonts w:hint="eastAsia"/>
          <w:lang w:eastAsia="zh-CN"/>
        </w:rPr>
        <w:t>同意的</w:t>
      </w:r>
      <w:r w:rsidRPr="001C2092">
        <w:rPr>
          <w:rFonts w:hint="eastAsia"/>
          <w:lang w:eastAsia="zh-CN"/>
        </w:rPr>
        <w:t>（</w:t>
      </w:r>
      <w:r w:rsidRPr="001C2092">
        <w:rPr>
          <w:lang w:eastAsia="zh-CN"/>
        </w:rPr>
        <w:t>CWG-LANG</w:t>
      </w:r>
      <w:r w:rsidRPr="001C2092">
        <w:rPr>
          <w:rFonts w:hint="eastAsia"/>
          <w:lang w:eastAsia="zh-CN"/>
        </w:rPr>
        <w:t>）</w:t>
      </w:r>
      <w:r w:rsidRPr="006E36BF">
        <w:rPr>
          <w:rFonts w:hint="eastAsia"/>
          <w:lang w:eastAsia="zh-CN"/>
        </w:rPr>
        <w:t>各项建议</w:t>
      </w:r>
      <w:r>
        <w:rPr>
          <w:rFonts w:hint="eastAsia"/>
          <w:lang w:eastAsia="zh-CN"/>
        </w:rPr>
        <w:t>而</w:t>
      </w:r>
      <w:r w:rsidRPr="006E36BF">
        <w:rPr>
          <w:rFonts w:hint="eastAsia"/>
          <w:lang w:eastAsia="zh-CN"/>
        </w:rPr>
        <w:t>开展的工作，尤其是在统一各语种定义和术语数据库和集中编辑职能</w:t>
      </w:r>
      <w:r w:rsidRPr="001C2092">
        <w:rPr>
          <w:rFonts w:hint="eastAsia"/>
          <w:lang w:eastAsia="zh-CN"/>
        </w:rPr>
        <w:t>以及协调统一六种语文服务的工作程序方面</w:t>
      </w:r>
      <w:r>
        <w:rPr>
          <w:rFonts w:hint="eastAsia"/>
          <w:lang w:eastAsia="zh-CN"/>
        </w:rPr>
        <w:t>所开展</w:t>
      </w:r>
      <w:r w:rsidRPr="001C2092">
        <w:rPr>
          <w:rFonts w:hint="eastAsia"/>
          <w:lang w:eastAsia="zh-CN"/>
        </w:rPr>
        <w:t>的工作</w:t>
      </w:r>
      <w:r>
        <w:rPr>
          <w:rFonts w:hint="eastAsia"/>
          <w:lang w:eastAsia="zh-CN"/>
        </w:rPr>
        <w:t>；</w:t>
      </w:r>
    </w:p>
    <w:p w14:paraId="4827B4D2"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i/>
          <w:iCs/>
          <w:lang w:eastAsia="zh-CN"/>
        </w:rPr>
      </w:pPr>
      <w:r>
        <w:rPr>
          <w:i/>
          <w:iCs/>
          <w:lang w:eastAsia="zh-CN"/>
        </w:rPr>
        <w:br w:type="page"/>
      </w:r>
    </w:p>
    <w:p w14:paraId="4827B4D3" w14:textId="77777777" w:rsidR="00921FD3" w:rsidRPr="006E36BF" w:rsidRDefault="00921FD3" w:rsidP="00921FD3">
      <w:pPr>
        <w:rPr>
          <w:szCs w:val="24"/>
          <w:lang w:eastAsia="zh-CN"/>
        </w:rPr>
      </w:pPr>
      <w:r w:rsidRPr="004C6B72">
        <w:rPr>
          <w:i/>
          <w:iCs/>
          <w:lang w:eastAsia="zh-CN"/>
        </w:rPr>
        <w:lastRenderedPageBreak/>
        <w:t>b</w:t>
      </w:r>
      <w:r w:rsidRPr="001C2092">
        <w:rPr>
          <w:i/>
          <w:iCs/>
          <w:szCs w:val="24"/>
          <w:lang w:val="en-US" w:eastAsia="zh-CN"/>
        </w:rPr>
        <w:t>)</w:t>
      </w:r>
      <w:r w:rsidRPr="001C2092">
        <w:rPr>
          <w:i/>
          <w:iCs/>
          <w:szCs w:val="24"/>
          <w:lang w:val="en-US" w:eastAsia="zh-CN"/>
        </w:rPr>
        <w:tab/>
      </w:r>
      <w:r>
        <w:rPr>
          <w:rFonts w:hint="eastAsia"/>
          <w:lang w:eastAsia="zh-CN"/>
        </w:rPr>
        <w:t>对于</w:t>
      </w:r>
      <w:r w:rsidRPr="001C2092">
        <w:rPr>
          <w:lang w:eastAsia="zh-CN"/>
        </w:rPr>
        <w:t>成员国、媒体、非政府组织、教育机构和公众</w:t>
      </w:r>
      <w:r>
        <w:rPr>
          <w:rFonts w:hint="eastAsia"/>
          <w:lang w:eastAsia="zh-CN"/>
        </w:rPr>
        <w:t>而言，</w:t>
      </w:r>
      <w:r w:rsidRPr="001C2092">
        <w:rPr>
          <w:rFonts w:hint="eastAsia"/>
          <w:lang w:eastAsia="zh-CN"/>
        </w:rPr>
        <w:t>国际电联</w:t>
      </w:r>
      <w:r w:rsidRPr="001C2092">
        <w:rPr>
          <w:lang w:eastAsia="zh-CN"/>
        </w:rPr>
        <w:t>网站是一</w:t>
      </w:r>
      <w:r>
        <w:rPr>
          <w:rFonts w:hint="eastAsia"/>
          <w:lang w:eastAsia="zh-CN"/>
        </w:rPr>
        <w:t>项</w:t>
      </w:r>
      <w:r w:rsidRPr="001C2092">
        <w:rPr>
          <w:lang w:eastAsia="zh-CN"/>
        </w:rPr>
        <w:t>重要工具</w:t>
      </w:r>
      <w:r w:rsidRPr="001C2092">
        <w:rPr>
          <w:rFonts w:hint="eastAsia"/>
          <w:lang w:eastAsia="zh-CN"/>
        </w:rPr>
        <w:t>，</w:t>
      </w:r>
    </w:p>
    <w:p w14:paraId="4827B4D4" w14:textId="77777777" w:rsidR="00921FD3" w:rsidRPr="00D064E5" w:rsidRDefault="00921FD3" w:rsidP="00921FD3">
      <w:pPr>
        <w:pStyle w:val="Call"/>
        <w:rPr>
          <w:lang w:eastAsia="zh-CN"/>
        </w:rPr>
      </w:pPr>
      <w:r w:rsidRPr="00D064E5">
        <w:rPr>
          <w:rFonts w:hint="eastAsia"/>
          <w:lang w:eastAsia="zh-CN"/>
        </w:rPr>
        <w:t>进一步认识到</w:t>
      </w:r>
    </w:p>
    <w:p w14:paraId="4827B4D5" w14:textId="77777777" w:rsidR="00921FD3" w:rsidRPr="001C2092" w:rsidRDefault="00921FD3" w:rsidP="00921FD3">
      <w:pPr>
        <w:ind w:firstLineChars="200" w:firstLine="480"/>
        <w:rPr>
          <w:lang w:eastAsia="zh-CN"/>
        </w:rPr>
      </w:pPr>
      <w:r w:rsidRPr="001C2092">
        <w:rPr>
          <w:rFonts w:hint="eastAsia"/>
          <w:lang w:eastAsia="zh-CN"/>
        </w:rPr>
        <w:t>国际电联所面临的预算限制，</w:t>
      </w:r>
    </w:p>
    <w:p w14:paraId="4827B4D6" w14:textId="77777777" w:rsidR="00921FD3" w:rsidRPr="00D064E5" w:rsidRDefault="00921FD3" w:rsidP="00921FD3">
      <w:pPr>
        <w:pStyle w:val="Call"/>
        <w:rPr>
          <w:lang w:eastAsia="zh-CN"/>
        </w:rPr>
      </w:pPr>
      <w:r w:rsidRPr="00D064E5">
        <w:rPr>
          <w:rFonts w:hint="eastAsia"/>
          <w:lang w:eastAsia="zh-CN"/>
        </w:rPr>
        <w:t>注意到</w:t>
      </w:r>
    </w:p>
    <w:p w14:paraId="4827B4D7" w14:textId="77777777" w:rsidR="00921FD3" w:rsidRPr="001C2092" w:rsidRDefault="00921FD3" w:rsidP="00921FD3">
      <w:pPr>
        <w:rPr>
          <w:lang w:eastAsia="zh-CN"/>
        </w:rPr>
      </w:pPr>
      <w:r w:rsidRPr="001C2092">
        <w:rPr>
          <w:i/>
          <w:iCs/>
          <w:szCs w:val="24"/>
          <w:lang w:val="en-US" w:eastAsia="zh-CN"/>
        </w:rPr>
        <w:t>a)</w:t>
      </w:r>
      <w:r w:rsidRPr="001C2092">
        <w:rPr>
          <w:lang w:eastAsia="zh-CN"/>
        </w:rPr>
        <w:tab/>
      </w:r>
      <w:r w:rsidRPr="001C2092">
        <w:rPr>
          <w:rFonts w:hint="eastAsia"/>
          <w:lang w:eastAsia="zh-CN"/>
        </w:rPr>
        <w:t>国际电联三个部门的顾问组定期审议针对语文使用工作方法和做法</w:t>
      </w:r>
      <w:r>
        <w:rPr>
          <w:rFonts w:hint="eastAsia"/>
          <w:lang w:eastAsia="zh-CN"/>
        </w:rPr>
        <w:t>提出</w:t>
      </w:r>
      <w:r w:rsidRPr="001C2092">
        <w:rPr>
          <w:rFonts w:hint="eastAsia"/>
          <w:lang w:eastAsia="zh-CN"/>
        </w:rPr>
        <w:t>的适当临时变动建议，旨在减少语文费用；</w:t>
      </w:r>
    </w:p>
    <w:p w14:paraId="4827B4D8" w14:textId="77777777" w:rsidR="00921FD3" w:rsidRPr="001C2092" w:rsidRDefault="00921FD3" w:rsidP="00921FD3">
      <w:pPr>
        <w:rPr>
          <w:lang w:eastAsia="zh-CN"/>
        </w:rPr>
      </w:pPr>
      <w:r w:rsidRPr="001C2092">
        <w:rPr>
          <w:i/>
          <w:iCs/>
          <w:szCs w:val="24"/>
          <w:lang w:val="en-US" w:eastAsia="zh-CN"/>
        </w:rPr>
        <w:t>b)</w:t>
      </w:r>
      <w:r w:rsidRPr="001C2092">
        <w:rPr>
          <w:szCs w:val="24"/>
          <w:lang w:val="en-US" w:eastAsia="zh-CN"/>
        </w:rPr>
        <w:tab/>
      </w:r>
      <w:r>
        <w:rPr>
          <w:rFonts w:hint="eastAsia"/>
          <w:lang w:eastAsia="zh-CN"/>
        </w:rPr>
        <w:t>ITU</w:t>
      </w:r>
      <w:r>
        <w:rPr>
          <w:lang w:eastAsia="zh-CN"/>
        </w:rPr>
        <w:t xml:space="preserve"> </w:t>
      </w:r>
      <w:r>
        <w:rPr>
          <w:rFonts w:hint="eastAsia"/>
          <w:lang w:eastAsia="zh-CN"/>
        </w:rPr>
        <w:t>CCT</w:t>
      </w:r>
      <w:r w:rsidRPr="001C2092">
        <w:rPr>
          <w:rFonts w:hint="eastAsia"/>
          <w:lang w:eastAsia="zh-CN"/>
        </w:rPr>
        <w:t>所完成的采用国际电联所有六种正式语文</w:t>
      </w:r>
      <w:r>
        <w:rPr>
          <w:rFonts w:hint="eastAsia"/>
          <w:lang w:eastAsia="zh-CN"/>
        </w:rPr>
        <w:t>的</w:t>
      </w:r>
      <w:r w:rsidRPr="001C2092">
        <w:rPr>
          <w:rFonts w:hint="eastAsia"/>
          <w:lang w:eastAsia="zh-CN"/>
        </w:rPr>
        <w:t>电信</w:t>
      </w:r>
      <w:r w:rsidRPr="001C2092">
        <w:rPr>
          <w:lang w:eastAsia="zh-CN"/>
        </w:rPr>
        <w:t>/</w:t>
      </w:r>
      <w:r w:rsidRPr="001C2092">
        <w:rPr>
          <w:rFonts w:hint="eastAsia"/>
          <w:lang w:eastAsia="zh-CN"/>
        </w:rPr>
        <w:t>信息通信技术（</w:t>
      </w:r>
      <w:r w:rsidRPr="001C2092">
        <w:rPr>
          <w:lang w:eastAsia="zh-CN"/>
        </w:rPr>
        <w:t>ICT</w:t>
      </w:r>
      <w:r w:rsidRPr="001C2092">
        <w:rPr>
          <w:rFonts w:hint="eastAsia"/>
          <w:lang w:eastAsia="zh-CN"/>
        </w:rPr>
        <w:t>）领域术语和定义并就此达成一致的工作，</w:t>
      </w:r>
    </w:p>
    <w:p w14:paraId="4827B4D9" w14:textId="77777777" w:rsidR="00921FD3" w:rsidRPr="00D064E5" w:rsidRDefault="00921FD3" w:rsidP="00921FD3">
      <w:pPr>
        <w:pStyle w:val="Call"/>
        <w:rPr>
          <w:lang w:eastAsia="zh-CN"/>
        </w:rPr>
      </w:pPr>
      <w:r w:rsidRPr="00D064E5">
        <w:rPr>
          <w:rFonts w:hint="eastAsia"/>
          <w:lang w:eastAsia="zh-CN"/>
        </w:rPr>
        <w:t>做出决议</w:t>
      </w:r>
    </w:p>
    <w:p w14:paraId="4827B4DA" w14:textId="77777777" w:rsidR="00921FD3" w:rsidRPr="001C2092" w:rsidRDefault="00921FD3" w:rsidP="00921FD3">
      <w:pPr>
        <w:rPr>
          <w:lang w:val="en-US" w:eastAsia="zh-CN"/>
        </w:rPr>
      </w:pPr>
      <w:r w:rsidRPr="001C2092">
        <w:rPr>
          <w:lang w:val="en-US" w:eastAsia="zh-CN"/>
        </w:rPr>
        <w:t>1</w:t>
      </w:r>
      <w:r w:rsidRPr="001C2092">
        <w:rPr>
          <w:lang w:val="en-US" w:eastAsia="zh-CN"/>
        </w:rPr>
        <w:tab/>
      </w:r>
      <w:r w:rsidRPr="001C2092">
        <w:rPr>
          <w:rFonts w:hint="eastAsia"/>
          <w:lang w:val="en-US" w:eastAsia="zh-CN"/>
        </w:rPr>
        <w:t>继续开展向所有成员国（特别是那些代表</w:t>
      </w:r>
      <w:r>
        <w:rPr>
          <w:rFonts w:hint="eastAsia"/>
          <w:lang w:val="en-US" w:eastAsia="zh-CN"/>
        </w:rPr>
        <w:t>和</w:t>
      </w:r>
      <w:r>
        <w:rPr>
          <w:lang w:val="en-US" w:eastAsia="zh-CN"/>
        </w:rPr>
        <w:t>体现</w:t>
      </w:r>
      <w:r w:rsidRPr="001C2092">
        <w:rPr>
          <w:rFonts w:hint="eastAsia"/>
          <w:lang w:val="en-US" w:eastAsia="zh-CN"/>
        </w:rPr>
        <w:t>国际电联六种正式语文中一种或多种语文的成员国）开放的理事会语文工作组的工作</w:t>
      </w:r>
      <w:r>
        <w:rPr>
          <w:lang w:val="en-US" w:eastAsia="zh-CN"/>
        </w:rPr>
        <w:t>，</w:t>
      </w:r>
      <w:r w:rsidRPr="001C2092">
        <w:rPr>
          <w:rFonts w:hint="eastAsia"/>
          <w:lang w:val="en-US" w:eastAsia="zh-CN"/>
        </w:rPr>
        <w:t>并</w:t>
      </w:r>
      <w:r>
        <w:rPr>
          <w:rFonts w:hint="eastAsia"/>
          <w:lang w:val="en-US" w:eastAsia="zh-CN"/>
        </w:rPr>
        <w:t>且主要采用信函方式开展</w:t>
      </w:r>
      <w:r w:rsidRPr="001C2092">
        <w:rPr>
          <w:rFonts w:hint="eastAsia"/>
          <w:lang w:val="en-US" w:eastAsia="zh-CN"/>
        </w:rPr>
        <w:t>工作；</w:t>
      </w:r>
    </w:p>
    <w:p w14:paraId="4827B4DB" w14:textId="77777777" w:rsidR="00921FD3" w:rsidRPr="001C2092" w:rsidRDefault="00921FD3" w:rsidP="00921FD3">
      <w:pPr>
        <w:rPr>
          <w:lang w:val="en-US" w:eastAsia="zh-CN"/>
        </w:rPr>
      </w:pPr>
      <w:r w:rsidRPr="001C2092">
        <w:rPr>
          <w:lang w:val="en-US" w:eastAsia="zh-CN"/>
        </w:rPr>
        <w:t>2</w:t>
      </w:r>
      <w:r w:rsidRPr="001C2092">
        <w:rPr>
          <w:lang w:val="en-US" w:eastAsia="zh-CN"/>
        </w:rPr>
        <w:tab/>
      </w:r>
      <w:r w:rsidRPr="001C2092">
        <w:rPr>
          <w:rFonts w:hint="eastAsia"/>
          <w:lang w:val="en-US" w:eastAsia="zh-CN"/>
        </w:rPr>
        <w:t>批准附件中的职责范围；</w:t>
      </w:r>
    </w:p>
    <w:p w14:paraId="4827B4DC" w14:textId="77777777" w:rsidR="00921FD3" w:rsidRPr="001C2092" w:rsidRDefault="00921FD3" w:rsidP="00921FD3">
      <w:pPr>
        <w:rPr>
          <w:lang w:val="en-US" w:eastAsia="zh-CN"/>
        </w:rPr>
      </w:pPr>
      <w:r w:rsidRPr="001C2092">
        <w:rPr>
          <w:lang w:val="en-US" w:eastAsia="zh-CN"/>
        </w:rPr>
        <w:t>3</w:t>
      </w:r>
      <w:r w:rsidRPr="001C2092">
        <w:rPr>
          <w:lang w:val="en-US" w:eastAsia="zh-CN"/>
        </w:rPr>
        <w:tab/>
      </w:r>
      <w:r w:rsidRPr="001C2092">
        <w:rPr>
          <w:rFonts w:hint="eastAsia"/>
          <w:lang w:val="en-US" w:eastAsia="zh-CN"/>
        </w:rPr>
        <w:t>责成理事会语文工作组向理事会提交年度工作进展报告，</w:t>
      </w:r>
    </w:p>
    <w:p w14:paraId="4827B4DD" w14:textId="77777777" w:rsidR="00921FD3" w:rsidRPr="00D064E5" w:rsidRDefault="00921FD3" w:rsidP="00921FD3">
      <w:pPr>
        <w:pStyle w:val="Call"/>
        <w:rPr>
          <w:lang w:val="en-US" w:eastAsia="zh-CN"/>
        </w:rPr>
      </w:pPr>
      <w:r w:rsidRPr="00D064E5">
        <w:rPr>
          <w:rFonts w:hint="eastAsia"/>
          <w:lang w:eastAsia="zh-CN"/>
        </w:rPr>
        <w:t>责成秘书长与各局主任密切合作，</w:t>
      </w:r>
      <w:r>
        <w:rPr>
          <w:rFonts w:hint="eastAsia"/>
          <w:lang w:eastAsia="zh-CN"/>
        </w:rPr>
        <w:t>并且</w:t>
      </w:r>
      <w:r w:rsidRPr="00D064E5">
        <w:rPr>
          <w:rFonts w:hint="eastAsia"/>
          <w:lang w:eastAsia="zh-CN"/>
        </w:rPr>
        <w:t>听取理事会语文工作组的建议</w:t>
      </w:r>
    </w:p>
    <w:p w14:paraId="4827B4DE" w14:textId="77777777" w:rsidR="00921FD3" w:rsidRPr="001C2092" w:rsidRDefault="00921FD3" w:rsidP="00921FD3">
      <w:pPr>
        <w:rPr>
          <w:lang w:val="en-US" w:eastAsia="zh-CN"/>
        </w:rPr>
      </w:pPr>
      <w:r w:rsidRPr="001C2092">
        <w:rPr>
          <w:lang w:val="en-US" w:eastAsia="zh-CN"/>
        </w:rPr>
        <w:t>1</w:t>
      </w:r>
      <w:r w:rsidRPr="001C2092">
        <w:rPr>
          <w:lang w:val="en-US" w:eastAsia="zh-CN"/>
        </w:rPr>
        <w:tab/>
      </w:r>
      <w:r w:rsidRPr="001C2092">
        <w:rPr>
          <w:rFonts w:hint="eastAsia"/>
          <w:lang w:val="en-US" w:eastAsia="zh-CN"/>
        </w:rPr>
        <w:t>落实</w:t>
      </w:r>
      <w:r>
        <w:rPr>
          <w:rFonts w:hint="eastAsia"/>
          <w:lang w:val="en-US" w:eastAsia="zh-CN"/>
        </w:rPr>
        <w:t>所有必要</w:t>
      </w:r>
      <w:r w:rsidRPr="001C2092">
        <w:rPr>
          <w:rFonts w:hint="eastAsia"/>
          <w:lang w:val="en-US" w:eastAsia="zh-CN"/>
        </w:rPr>
        <w:t>措施，以便在国际电联预算规定的财务限制内完成第</w:t>
      </w:r>
      <w:r w:rsidRPr="001C2092">
        <w:rPr>
          <w:lang w:val="en-US" w:eastAsia="zh-CN"/>
        </w:rPr>
        <w:t>154</w:t>
      </w:r>
      <w:r w:rsidRPr="001C2092">
        <w:rPr>
          <w:rFonts w:hint="eastAsia"/>
          <w:lang w:val="en-US" w:eastAsia="zh-CN"/>
        </w:rPr>
        <w:t>号决议（</w:t>
      </w:r>
      <w:r>
        <w:rPr>
          <w:lang w:val="en-US" w:eastAsia="zh-CN"/>
        </w:rPr>
        <w:t>2018</w:t>
      </w:r>
      <w:r w:rsidRPr="001C2092">
        <w:rPr>
          <w:rFonts w:hint="eastAsia"/>
          <w:lang w:val="en-US" w:eastAsia="zh-CN"/>
        </w:rPr>
        <w:t>年，</w:t>
      </w:r>
      <w:r>
        <w:rPr>
          <w:rFonts w:hint="eastAsia"/>
          <w:lang w:val="en-US" w:eastAsia="zh-CN"/>
        </w:rPr>
        <w:t>迪拜</w:t>
      </w:r>
      <w:r w:rsidRPr="001C2092">
        <w:rPr>
          <w:rFonts w:hint="eastAsia"/>
          <w:lang w:val="en-US" w:eastAsia="zh-CN"/>
        </w:rPr>
        <w:t>，修订版）的实施，同时确保所需的高质量口笔译服务；</w:t>
      </w:r>
    </w:p>
    <w:p w14:paraId="4827B4DF" w14:textId="77777777" w:rsidR="00921FD3" w:rsidRDefault="00921FD3" w:rsidP="00921FD3">
      <w:pPr>
        <w:rPr>
          <w:lang w:val="en-US" w:eastAsia="zh-CN"/>
        </w:rPr>
      </w:pPr>
      <w:r w:rsidRPr="001C2092">
        <w:rPr>
          <w:lang w:val="en-US" w:eastAsia="zh-CN"/>
        </w:rPr>
        <w:t>2</w:t>
      </w:r>
      <w:r w:rsidRPr="001C2092">
        <w:rPr>
          <w:lang w:val="en-US" w:eastAsia="zh-CN"/>
        </w:rPr>
        <w:tab/>
      </w:r>
      <w:r w:rsidRPr="001C2092">
        <w:rPr>
          <w:rFonts w:hint="eastAsia"/>
          <w:lang w:val="en-US" w:eastAsia="zh-CN"/>
        </w:rPr>
        <w:t>按照第</w:t>
      </w:r>
      <w:r w:rsidRPr="001C2092">
        <w:rPr>
          <w:lang w:val="en-US" w:eastAsia="zh-CN"/>
        </w:rPr>
        <w:t>154</w:t>
      </w:r>
      <w:r w:rsidRPr="001C2092">
        <w:rPr>
          <w:rFonts w:hint="eastAsia"/>
          <w:lang w:val="en-US" w:eastAsia="zh-CN"/>
        </w:rPr>
        <w:t>号决议（</w:t>
      </w:r>
      <w:r>
        <w:rPr>
          <w:lang w:val="en-US" w:eastAsia="zh-CN"/>
        </w:rPr>
        <w:t>2018</w:t>
      </w:r>
      <w:r w:rsidRPr="001C2092">
        <w:rPr>
          <w:rFonts w:hint="eastAsia"/>
          <w:lang w:val="en-US" w:eastAsia="zh-CN"/>
        </w:rPr>
        <w:t>年，</w:t>
      </w:r>
      <w:r>
        <w:rPr>
          <w:rFonts w:hint="eastAsia"/>
          <w:lang w:val="en-US" w:eastAsia="zh-CN"/>
        </w:rPr>
        <w:t>迪拜</w:t>
      </w:r>
      <w:r w:rsidRPr="001C2092">
        <w:rPr>
          <w:rFonts w:hint="eastAsia"/>
          <w:lang w:val="en-US" w:eastAsia="zh-CN"/>
        </w:rPr>
        <w:t>，修订版）的要求，每年向理事会和理事会语文工作组提交一份有关</w:t>
      </w:r>
      <w:r>
        <w:rPr>
          <w:rFonts w:hint="eastAsia"/>
          <w:lang w:val="en-US" w:eastAsia="zh-CN"/>
        </w:rPr>
        <w:t>第</w:t>
      </w:r>
      <w:r>
        <w:rPr>
          <w:rFonts w:hint="eastAsia"/>
          <w:lang w:val="en-US" w:eastAsia="zh-CN"/>
        </w:rPr>
        <w:t>154</w:t>
      </w:r>
      <w:r>
        <w:rPr>
          <w:rFonts w:hint="eastAsia"/>
          <w:lang w:val="en-US" w:eastAsia="zh-CN"/>
        </w:rPr>
        <w:t>号</w:t>
      </w:r>
      <w:r w:rsidRPr="001C2092">
        <w:rPr>
          <w:rFonts w:hint="eastAsia"/>
          <w:lang w:val="en-US" w:eastAsia="zh-CN"/>
        </w:rPr>
        <w:t>决议</w:t>
      </w:r>
      <w:r>
        <w:rPr>
          <w:rFonts w:hint="eastAsia"/>
          <w:lang w:val="en-US" w:eastAsia="zh-CN"/>
        </w:rPr>
        <w:t>（</w:t>
      </w:r>
      <w:r>
        <w:rPr>
          <w:rFonts w:hint="eastAsia"/>
          <w:lang w:val="en-US" w:eastAsia="zh-CN"/>
        </w:rPr>
        <w:t>2018</w:t>
      </w:r>
      <w:r>
        <w:rPr>
          <w:rFonts w:hint="eastAsia"/>
          <w:lang w:val="en-US" w:eastAsia="zh-CN"/>
        </w:rPr>
        <w:t>年，迪拜，修订版）</w:t>
      </w:r>
      <w:r w:rsidRPr="001C2092">
        <w:rPr>
          <w:rFonts w:hint="eastAsia"/>
          <w:lang w:val="en-US" w:eastAsia="zh-CN"/>
        </w:rPr>
        <w:t>落实</w:t>
      </w:r>
      <w:r>
        <w:rPr>
          <w:rFonts w:hint="eastAsia"/>
          <w:lang w:val="en-US" w:eastAsia="zh-CN"/>
        </w:rPr>
        <w:t>情况</w:t>
      </w:r>
      <w:r w:rsidRPr="001C2092">
        <w:rPr>
          <w:rFonts w:hint="eastAsia"/>
          <w:lang w:val="en-US" w:eastAsia="zh-CN"/>
        </w:rPr>
        <w:t>的报告</w:t>
      </w:r>
      <w:r>
        <w:rPr>
          <w:rFonts w:hint="eastAsia"/>
          <w:lang w:val="en-US" w:eastAsia="zh-CN"/>
        </w:rPr>
        <w:t>；</w:t>
      </w:r>
    </w:p>
    <w:p w14:paraId="4827B4E0" w14:textId="77777777" w:rsidR="00921FD3" w:rsidRPr="001C2092" w:rsidRDefault="00921FD3" w:rsidP="00921FD3">
      <w:pPr>
        <w:rPr>
          <w:lang w:val="en-US" w:eastAsia="zh-CN"/>
        </w:rPr>
      </w:pPr>
      <w:r>
        <w:rPr>
          <w:spacing w:val="-2"/>
          <w:lang w:eastAsia="zh-CN"/>
        </w:rPr>
        <w:t>3</w:t>
      </w:r>
      <w:r>
        <w:rPr>
          <w:spacing w:val="-2"/>
          <w:lang w:eastAsia="zh-CN"/>
        </w:rPr>
        <w:tab/>
      </w:r>
      <w:r>
        <w:rPr>
          <w:rFonts w:hint="eastAsia"/>
          <w:spacing w:val="-2"/>
          <w:lang w:eastAsia="zh-CN"/>
        </w:rPr>
        <w:t>加强统一国际电联各部门网站的工作，确保</w:t>
      </w:r>
      <w:r>
        <w:rPr>
          <w:rFonts w:hint="eastAsia"/>
          <w:lang w:eastAsia="zh-CN"/>
        </w:rPr>
        <w:t>在同等地位上使用</w:t>
      </w:r>
      <w:r>
        <w:rPr>
          <w:rFonts w:hint="eastAsia"/>
          <w:spacing w:val="-2"/>
          <w:lang w:eastAsia="zh-CN"/>
        </w:rPr>
        <w:t>国际电联六种正式语文，</w:t>
      </w:r>
      <w:r>
        <w:rPr>
          <w:lang w:eastAsia="zh-CN"/>
        </w:rPr>
        <w:t xml:space="preserve"> </w:t>
      </w:r>
    </w:p>
    <w:p w14:paraId="4827B4E1" w14:textId="77777777" w:rsidR="00921FD3" w:rsidRPr="00D064E5" w:rsidRDefault="00921FD3" w:rsidP="00921FD3">
      <w:pPr>
        <w:pStyle w:val="Call"/>
        <w:rPr>
          <w:lang w:eastAsia="zh-CN"/>
        </w:rPr>
      </w:pPr>
      <w:r w:rsidRPr="00D064E5">
        <w:rPr>
          <w:lang w:eastAsia="zh-CN"/>
        </w:rPr>
        <w:t>进一步责成秘书长和各局主任</w:t>
      </w:r>
    </w:p>
    <w:p w14:paraId="4827B4E2" w14:textId="77777777" w:rsidR="00921FD3" w:rsidRPr="001C2092" w:rsidRDefault="00921FD3" w:rsidP="00921FD3">
      <w:pPr>
        <w:rPr>
          <w:lang w:val="en-US" w:eastAsia="zh-CN"/>
        </w:rPr>
      </w:pPr>
      <w:r w:rsidRPr="001C2092">
        <w:rPr>
          <w:lang w:val="en-US" w:eastAsia="zh-CN"/>
        </w:rPr>
        <w:t>1</w:t>
      </w:r>
      <w:r w:rsidRPr="001C2092">
        <w:rPr>
          <w:lang w:val="en-US" w:eastAsia="zh-CN"/>
        </w:rPr>
        <w:tab/>
      </w:r>
      <w:r w:rsidRPr="001C2092">
        <w:rPr>
          <w:rFonts w:hint="eastAsia"/>
          <w:lang w:val="en-US" w:eastAsia="zh-CN"/>
        </w:rPr>
        <w:t>向理事会语文工作组提供所有相关信息和协助；</w:t>
      </w:r>
    </w:p>
    <w:p w14:paraId="4827B4E3" w14:textId="77777777" w:rsidR="00921FD3" w:rsidRPr="001C2092" w:rsidRDefault="00921FD3" w:rsidP="00921FD3">
      <w:pPr>
        <w:rPr>
          <w:lang w:val="en-US" w:eastAsia="zh-CN"/>
        </w:rPr>
      </w:pPr>
      <w:r w:rsidRPr="001C2092">
        <w:rPr>
          <w:lang w:val="en-US" w:eastAsia="zh-CN"/>
        </w:rPr>
        <w:t>2</w:t>
      </w:r>
      <w:r w:rsidRPr="001C2092">
        <w:rPr>
          <w:lang w:val="en-US" w:eastAsia="zh-CN"/>
        </w:rPr>
        <w:tab/>
      </w:r>
      <w:r w:rsidRPr="001C2092">
        <w:rPr>
          <w:rFonts w:hint="eastAsia"/>
          <w:lang w:val="en-US" w:eastAsia="zh-CN"/>
        </w:rPr>
        <w:t>继续确定</w:t>
      </w:r>
      <w:r>
        <w:rPr>
          <w:rFonts w:hint="eastAsia"/>
          <w:lang w:val="en-US" w:eastAsia="zh-CN"/>
        </w:rPr>
        <w:t>并实施最有效</w:t>
      </w:r>
      <w:r w:rsidRPr="001C2092">
        <w:rPr>
          <w:rFonts w:hint="eastAsia"/>
          <w:lang w:val="en-US" w:eastAsia="zh-CN"/>
        </w:rPr>
        <w:t>的措施，以便在国际电联</w:t>
      </w:r>
      <w:r>
        <w:rPr>
          <w:rFonts w:hint="eastAsia"/>
          <w:lang w:val="en-US" w:eastAsia="zh-CN"/>
        </w:rPr>
        <w:t>的</w:t>
      </w:r>
      <w:r w:rsidRPr="001C2092">
        <w:rPr>
          <w:rFonts w:hint="eastAsia"/>
          <w:lang w:val="en-US" w:eastAsia="zh-CN"/>
        </w:rPr>
        <w:t>财务限制范围内推进第</w:t>
      </w:r>
      <w:r w:rsidRPr="001C2092">
        <w:rPr>
          <w:lang w:val="en-US" w:eastAsia="zh-CN"/>
        </w:rPr>
        <w:t>154</w:t>
      </w:r>
      <w:r w:rsidRPr="001C2092">
        <w:rPr>
          <w:rFonts w:hint="eastAsia"/>
          <w:lang w:val="en-US" w:eastAsia="zh-CN"/>
        </w:rPr>
        <w:t>号决议（</w:t>
      </w:r>
      <w:r>
        <w:rPr>
          <w:lang w:val="en-US" w:eastAsia="zh-CN"/>
        </w:rPr>
        <w:t>2018</w:t>
      </w:r>
      <w:r w:rsidRPr="001C2092">
        <w:rPr>
          <w:rFonts w:hint="eastAsia"/>
          <w:lang w:val="en-US" w:eastAsia="zh-CN"/>
        </w:rPr>
        <w:t>年，</w:t>
      </w:r>
      <w:r>
        <w:rPr>
          <w:rFonts w:hint="eastAsia"/>
          <w:lang w:val="en-US" w:eastAsia="zh-CN"/>
        </w:rPr>
        <w:t>迪拜</w:t>
      </w:r>
      <w:r w:rsidRPr="001C2092">
        <w:rPr>
          <w:rFonts w:hint="eastAsia"/>
          <w:lang w:val="en-US" w:eastAsia="zh-CN"/>
        </w:rPr>
        <w:t>，修订版）的落实</w:t>
      </w:r>
      <w:r>
        <w:rPr>
          <w:rFonts w:hint="eastAsia"/>
          <w:lang w:val="en-US" w:eastAsia="zh-CN"/>
        </w:rPr>
        <w:t>；</w:t>
      </w:r>
    </w:p>
    <w:p w14:paraId="4827B4E4" w14:textId="77777777" w:rsidR="00921FD3" w:rsidRPr="001C2092" w:rsidRDefault="00921FD3" w:rsidP="00921FD3">
      <w:pPr>
        <w:rPr>
          <w:lang w:val="en-US" w:eastAsia="zh-CN"/>
        </w:rPr>
      </w:pPr>
      <w:r w:rsidRPr="004C6B72">
        <w:rPr>
          <w:lang w:eastAsia="zh-CN"/>
        </w:rPr>
        <w:t>3</w:t>
      </w:r>
      <w:r w:rsidRPr="004C6B72">
        <w:rPr>
          <w:lang w:eastAsia="zh-CN"/>
        </w:rPr>
        <w:tab/>
      </w:r>
      <w:r w:rsidRPr="001C2092">
        <w:rPr>
          <w:rFonts w:hint="eastAsia"/>
          <w:lang w:val="en-US" w:eastAsia="zh-CN"/>
        </w:rPr>
        <w:t>向</w:t>
      </w:r>
      <w:r w:rsidRPr="001C2092">
        <w:rPr>
          <w:lang w:val="en-US" w:eastAsia="zh-CN"/>
        </w:rPr>
        <w:t>理事会语文工作组报告为确保</w:t>
      </w:r>
      <w:r>
        <w:rPr>
          <w:lang w:val="en-US" w:eastAsia="zh-CN"/>
        </w:rPr>
        <w:t>在</w:t>
      </w:r>
      <w:r w:rsidRPr="001C2092">
        <w:rPr>
          <w:lang w:val="en-US" w:eastAsia="zh-CN"/>
        </w:rPr>
        <w:t>国际电联网站</w:t>
      </w:r>
      <w:r>
        <w:rPr>
          <w:lang w:val="en-US" w:eastAsia="zh-CN"/>
        </w:rPr>
        <w:t>上</w:t>
      </w:r>
      <w:r w:rsidRPr="001C2092">
        <w:rPr>
          <w:lang w:val="en-US" w:eastAsia="zh-CN"/>
        </w:rPr>
        <w:t>：</w:t>
      </w:r>
      <w:r w:rsidRPr="001C2092">
        <w:rPr>
          <w:lang w:val="en-US" w:eastAsia="zh-CN"/>
        </w:rPr>
        <w:t>i)</w:t>
      </w:r>
      <w:r>
        <w:rPr>
          <w:lang w:val="en-US" w:eastAsia="zh-CN"/>
        </w:rPr>
        <w:t> </w:t>
      </w:r>
      <w:r w:rsidRPr="001C2092">
        <w:rPr>
          <w:lang w:val="en-US" w:eastAsia="zh-CN"/>
        </w:rPr>
        <w:t>同时以六种语文发布新的或修改的网页，</w:t>
      </w:r>
      <w:r w:rsidRPr="001C2092">
        <w:rPr>
          <w:lang w:val="en-US" w:eastAsia="zh-CN"/>
        </w:rPr>
        <w:t>ii</w:t>
      </w:r>
      <w:r w:rsidRPr="001C2092">
        <w:rPr>
          <w:rFonts w:hint="eastAsia"/>
          <w:lang w:val="en-US" w:eastAsia="zh-CN"/>
        </w:rPr>
        <w:t>)</w:t>
      </w:r>
      <w:r>
        <w:rPr>
          <w:lang w:val="en-US" w:eastAsia="zh-CN"/>
        </w:rPr>
        <w:t> </w:t>
      </w:r>
      <w:r w:rsidRPr="001C2092">
        <w:rPr>
          <w:rFonts w:hint="eastAsia"/>
          <w:lang w:val="en-US" w:eastAsia="zh-CN"/>
        </w:rPr>
        <w:t>实现</w:t>
      </w:r>
      <w:r w:rsidRPr="001C2092">
        <w:rPr>
          <w:lang w:val="en-US" w:eastAsia="zh-CN"/>
        </w:rPr>
        <w:t>功能</w:t>
      </w:r>
      <w:r>
        <w:rPr>
          <w:lang w:val="en-US" w:eastAsia="zh-CN"/>
        </w:rPr>
        <w:t>性</w:t>
      </w:r>
      <w:r w:rsidRPr="001C2092">
        <w:rPr>
          <w:lang w:val="en-US" w:eastAsia="zh-CN"/>
        </w:rPr>
        <w:t>和导航</w:t>
      </w:r>
      <w:r w:rsidRPr="001C2092">
        <w:rPr>
          <w:rFonts w:hint="eastAsia"/>
          <w:lang w:val="en-US" w:eastAsia="zh-CN"/>
        </w:rPr>
        <w:t>性能</w:t>
      </w:r>
      <w:r>
        <w:rPr>
          <w:rFonts w:hint="eastAsia"/>
          <w:lang w:val="en-US" w:eastAsia="zh-CN"/>
        </w:rPr>
        <w:t>方面的</w:t>
      </w:r>
      <w:r w:rsidRPr="001C2092">
        <w:rPr>
          <w:lang w:val="en-US" w:eastAsia="zh-CN"/>
        </w:rPr>
        <w:t>平等</w:t>
      </w:r>
      <w:r w:rsidRPr="001C2092">
        <w:rPr>
          <w:rFonts w:hint="eastAsia"/>
          <w:lang w:val="en-US" w:eastAsia="zh-CN"/>
        </w:rPr>
        <w:t>而采取</w:t>
      </w:r>
      <w:r w:rsidRPr="001C2092">
        <w:rPr>
          <w:lang w:val="en-US" w:eastAsia="zh-CN"/>
        </w:rPr>
        <w:t>的措施。</w:t>
      </w:r>
    </w:p>
    <w:p w14:paraId="4827B4E5" w14:textId="77777777" w:rsidR="00921FD3" w:rsidRPr="001C2092" w:rsidRDefault="00921FD3" w:rsidP="00E7075A">
      <w:pPr>
        <w:spacing w:before="600"/>
        <w:rPr>
          <w:lang w:val="en-US" w:eastAsia="zh-CN"/>
        </w:rPr>
      </w:pPr>
      <w:r w:rsidRPr="001C2092">
        <w:rPr>
          <w:rFonts w:hint="eastAsia"/>
          <w:b/>
          <w:bCs/>
          <w:lang w:val="en-US" w:eastAsia="zh-CN"/>
        </w:rPr>
        <w:t>附件</w:t>
      </w:r>
      <w:r w:rsidRPr="001C2092">
        <w:rPr>
          <w:b/>
          <w:bCs/>
          <w:lang w:val="en-US" w:eastAsia="zh-CN"/>
        </w:rPr>
        <w:t>：</w:t>
      </w:r>
      <w:r w:rsidRPr="001C2092">
        <w:rPr>
          <w:rFonts w:hint="eastAsia"/>
          <w:lang w:val="en-US" w:eastAsia="zh-CN"/>
        </w:rPr>
        <w:t>1</w:t>
      </w:r>
      <w:r w:rsidRPr="001C2092">
        <w:rPr>
          <w:rFonts w:hint="eastAsia"/>
          <w:lang w:val="en-US" w:eastAsia="zh-CN"/>
        </w:rPr>
        <w:t>件</w:t>
      </w:r>
    </w:p>
    <w:p w14:paraId="4827B4E6" w14:textId="77777777" w:rsidR="00921FD3" w:rsidRDefault="00921FD3" w:rsidP="00921FD3">
      <w:pPr>
        <w:tabs>
          <w:tab w:val="clear" w:pos="794"/>
          <w:tab w:val="clear" w:pos="1191"/>
          <w:tab w:val="clear" w:pos="1588"/>
          <w:tab w:val="clear" w:pos="1985"/>
        </w:tabs>
        <w:overflowPunct/>
        <w:autoSpaceDE/>
        <w:autoSpaceDN/>
        <w:adjustRightInd/>
        <w:spacing w:before="0"/>
        <w:textAlignment w:val="auto"/>
        <w:rPr>
          <w:lang w:eastAsia="zh-CN"/>
        </w:rPr>
      </w:pPr>
    </w:p>
    <w:p w14:paraId="4827B4E7" w14:textId="77777777" w:rsidR="00921FD3" w:rsidRDefault="00921FD3" w:rsidP="00921FD3">
      <w:pPr>
        <w:tabs>
          <w:tab w:val="clear" w:pos="794"/>
          <w:tab w:val="clear" w:pos="1191"/>
          <w:tab w:val="clear" w:pos="1588"/>
          <w:tab w:val="clear" w:pos="1985"/>
        </w:tabs>
        <w:overflowPunct/>
        <w:autoSpaceDE/>
        <w:autoSpaceDN/>
        <w:adjustRightInd/>
        <w:spacing w:before="0"/>
        <w:textAlignment w:val="auto"/>
        <w:rPr>
          <w:caps/>
          <w:sz w:val="28"/>
          <w:lang w:eastAsia="zh-CN"/>
        </w:rPr>
      </w:pPr>
      <w:r>
        <w:rPr>
          <w:lang w:eastAsia="zh-CN"/>
        </w:rPr>
        <w:br w:type="page"/>
      </w:r>
    </w:p>
    <w:p w14:paraId="4827B4E8" w14:textId="77777777" w:rsidR="00921FD3" w:rsidRDefault="00921FD3" w:rsidP="00921FD3">
      <w:pPr>
        <w:pStyle w:val="AnnexNo"/>
        <w:rPr>
          <w:lang w:eastAsia="zh-CN"/>
        </w:rPr>
      </w:pPr>
      <w:r>
        <w:rPr>
          <w:rFonts w:hint="eastAsia"/>
          <w:lang w:eastAsia="zh-CN"/>
        </w:rPr>
        <w:lastRenderedPageBreak/>
        <w:t>附件</w:t>
      </w:r>
    </w:p>
    <w:p w14:paraId="4827B4E9" w14:textId="77777777" w:rsidR="00921FD3" w:rsidRPr="00423DB1" w:rsidRDefault="00921FD3" w:rsidP="00921FD3">
      <w:pPr>
        <w:pStyle w:val="Annextitle"/>
        <w:rPr>
          <w:rFonts w:ascii="Calibri" w:hAnsi="Calibri"/>
          <w:lang w:eastAsia="zh-CN"/>
        </w:rPr>
      </w:pPr>
      <w:r w:rsidRPr="00423DB1">
        <w:rPr>
          <w:rFonts w:ascii="Calibri" w:hAnsi="Calibri"/>
          <w:lang w:eastAsia="zh-CN"/>
        </w:rPr>
        <w:t>理事会语文工作组（</w:t>
      </w:r>
      <w:r w:rsidRPr="00423DB1">
        <w:rPr>
          <w:rFonts w:ascii="Calibri" w:hAnsi="Calibri"/>
          <w:lang w:eastAsia="zh-CN"/>
        </w:rPr>
        <w:t>CWG-LANG</w:t>
      </w:r>
      <w:r w:rsidRPr="00423DB1">
        <w:rPr>
          <w:rFonts w:ascii="Calibri" w:hAnsi="Calibri"/>
          <w:lang w:eastAsia="zh-CN"/>
        </w:rPr>
        <w:t>）</w:t>
      </w:r>
    </w:p>
    <w:p w14:paraId="4827B4EA" w14:textId="77777777" w:rsidR="00921FD3" w:rsidRPr="001C2092" w:rsidRDefault="00921FD3" w:rsidP="00921FD3">
      <w:pPr>
        <w:pStyle w:val="Annextitle"/>
        <w:rPr>
          <w:lang w:eastAsia="zh-CN"/>
        </w:rPr>
      </w:pPr>
      <w:r w:rsidRPr="001C2092">
        <w:rPr>
          <w:rFonts w:hint="eastAsia"/>
          <w:lang w:eastAsia="zh-CN"/>
        </w:rPr>
        <w:t>职责范围</w:t>
      </w:r>
    </w:p>
    <w:p w14:paraId="4827B4EB" w14:textId="77777777" w:rsidR="00921FD3" w:rsidRPr="001C2092" w:rsidRDefault="00921FD3" w:rsidP="00E51375">
      <w:pPr>
        <w:pStyle w:val="Normalaftertitle0"/>
      </w:pPr>
      <w:r w:rsidRPr="001C2092">
        <w:t>1</w:t>
      </w:r>
      <w:r w:rsidRPr="001C2092">
        <w:tab/>
      </w:r>
      <w:r w:rsidRPr="001C2092">
        <w:rPr>
          <w:rFonts w:hint="eastAsia"/>
        </w:rPr>
        <w:t>根据第</w:t>
      </w:r>
      <w:r w:rsidRPr="001C2092">
        <w:t>154</w:t>
      </w:r>
      <w:r w:rsidRPr="001C2092">
        <w:rPr>
          <w:rFonts w:hint="eastAsia"/>
        </w:rPr>
        <w:t>号决议（</w:t>
      </w:r>
      <w:r>
        <w:t>2018</w:t>
      </w:r>
      <w:r w:rsidRPr="001C2092">
        <w:rPr>
          <w:rFonts w:hint="eastAsia"/>
        </w:rPr>
        <w:t>年，</w:t>
      </w:r>
      <w:r>
        <w:rPr>
          <w:rFonts w:hint="eastAsia"/>
        </w:rPr>
        <w:t>迪拜</w:t>
      </w:r>
      <w:r w:rsidRPr="001C2092">
        <w:rPr>
          <w:rFonts w:hint="eastAsia"/>
        </w:rPr>
        <w:t>，修订版）规定的职责范围，审议工作组成员以及总秘书处、各局主任和各部门顾问组</w:t>
      </w:r>
      <w:r>
        <w:rPr>
          <w:rFonts w:hint="eastAsia"/>
        </w:rPr>
        <w:t>针对</w:t>
      </w:r>
      <w:r w:rsidRPr="001C2092">
        <w:rPr>
          <w:rFonts w:hint="eastAsia"/>
        </w:rPr>
        <w:t>秘书长提交的年度报告提出的建议；</w:t>
      </w:r>
    </w:p>
    <w:p w14:paraId="4827B4EC" w14:textId="77777777" w:rsidR="00921FD3" w:rsidRDefault="00921FD3" w:rsidP="00921FD3">
      <w:pPr>
        <w:rPr>
          <w:lang w:val="en-US" w:eastAsia="zh-CN"/>
        </w:rPr>
      </w:pPr>
      <w:r w:rsidRPr="001C2092">
        <w:rPr>
          <w:lang w:val="en-US" w:eastAsia="zh-CN"/>
        </w:rPr>
        <w:t>2</w:t>
      </w:r>
      <w:r w:rsidRPr="001C2092">
        <w:rPr>
          <w:lang w:val="en-US" w:eastAsia="zh-CN"/>
        </w:rPr>
        <w:tab/>
      </w:r>
      <w:r w:rsidRPr="001C2092">
        <w:rPr>
          <w:rFonts w:hint="eastAsia"/>
          <w:lang w:val="en-US" w:eastAsia="zh-CN"/>
        </w:rPr>
        <w:t>按照第</w:t>
      </w:r>
      <w:r w:rsidRPr="001C2092">
        <w:rPr>
          <w:lang w:val="en-US" w:eastAsia="zh-CN"/>
        </w:rPr>
        <w:t>66</w:t>
      </w:r>
      <w:r w:rsidRPr="001C2092">
        <w:rPr>
          <w:rFonts w:hint="eastAsia"/>
          <w:lang w:val="en-US" w:eastAsia="zh-CN"/>
        </w:rPr>
        <w:t>号决议（</w:t>
      </w:r>
      <w:r w:rsidRPr="001C2092">
        <w:rPr>
          <w:lang w:val="en-US" w:eastAsia="zh-CN"/>
        </w:rPr>
        <w:t>2010</w:t>
      </w:r>
      <w:r w:rsidRPr="001C2092">
        <w:rPr>
          <w:rFonts w:hint="eastAsia"/>
          <w:lang w:val="en-US" w:eastAsia="zh-CN"/>
        </w:rPr>
        <w:t>年，瓜达拉哈拉，修订版）评估与国际电联六种正式语文相关的现行国际电联出版物政策和程序</w:t>
      </w:r>
      <w:r>
        <w:rPr>
          <w:rFonts w:hint="eastAsia"/>
          <w:lang w:val="en-US" w:eastAsia="zh-CN"/>
        </w:rPr>
        <w:t>，并且</w:t>
      </w:r>
      <w:r w:rsidRPr="001C2092">
        <w:rPr>
          <w:rFonts w:hint="eastAsia"/>
          <w:lang w:val="en-US" w:eastAsia="zh-CN"/>
        </w:rPr>
        <w:t>提出新的成本回收和融资机制建议；</w:t>
      </w:r>
    </w:p>
    <w:p w14:paraId="4827B4ED" w14:textId="77777777" w:rsidR="00921FD3" w:rsidRPr="001C2092" w:rsidRDefault="00921FD3" w:rsidP="00921FD3">
      <w:pPr>
        <w:rPr>
          <w:lang w:val="en-US" w:eastAsia="zh-CN"/>
        </w:rPr>
      </w:pPr>
      <w:r w:rsidRPr="004C6B72">
        <w:rPr>
          <w:lang w:eastAsia="zh-CN"/>
        </w:rPr>
        <w:t>3</w:t>
      </w:r>
      <w:r w:rsidRPr="004C6B72">
        <w:rPr>
          <w:lang w:eastAsia="zh-CN"/>
        </w:rPr>
        <w:tab/>
      </w:r>
      <w:r w:rsidRPr="001C2092">
        <w:rPr>
          <w:rFonts w:hint="eastAsia"/>
          <w:lang w:val="en-US" w:eastAsia="zh-CN"/>
        </w:rPr>
        <w:t>评估总秘书处</w:t>
      </w:r>
      <w:r w:rsidRPr="001C2092">
        <w:rPr>
          <w:lang w:val="en-US" w:eastAsia="zh-CN"/>
        </w:rPr>
        <w:t>和各局为</w:t>
      </w:r>
      <w:r w:rsidRPr="001C2092">
        <w:rPr>
          <w:rFonts w:hint="eastAsia"/>
          <w:lang w:val="en-US" w:eastAsia="zh-CN"/>
        </w:rPr>
        <w:t>在</w:t>
      </w:r>
      <w:r w:rsidRPr="001C2092">
        <w:rPr>
          <w:lang w:val="en-US" w:eastAsia="zh-CN"/>
        </w:rPr>
        <w:t>国际电联</w:t>
      </w:r>
      <w:r w:rsidRPr="001C2092">
        <w:rPr>
          <w:rFonts w:hint="eastAsia"/>
          <w:lang w:val="en-US" w:eastAsia="zh-CN"/>
        </w:rPr>
        <w:t>网站</w:t>
      </w:r>
      <w:r>
        <w:rPr>
          <w:rFonts w:hint="eastAsia"/>
          <w:lang w:val="en-US" w:eastAsia="zh-CN"/>
        </w:rPr>
        <w:t>上</w:t>
      </w:r>
      <w:r w:rsidRPr="001C2092">
        <w:rPr>
          <w:lang w:val="en-US" w:eastAsia="zh-CN"/>
        </w:rPr>
        <w:t>发布新网页</w:t>
      </w:r>
      <w:r w:rsidRPr="001C2092">
        <w:rPr>
          <w:rFonts w:hint="eastAsia"/>
          <w:lang w:val="en-US" w:eastAsia="zh-CN"/>
        </w:rPr>
        <w:t>（以及</w:t>
      </w:r>
      <w:r w:rsidRPr="001C2092">
        <w:rPr>
          <w:lang w:val="en-US" w:eastAsia="zh-CN"/>
        </w:rPr>
        <w:t>对现有网页的修改）</w:t>
      </w:r>
      <w:r w:rsidRPr="001C2092">
        <w:rPr>
          <w:rFonts w:hint="eastAsia"/>
          <w:lang w:val="en-US" w:eastAsia="zh-CN"/>
        </w:rPr>
        <w:t>而确</w:t>
      </w:r>
      <w:r w:rsidRPr="001C2092">
        <w:rPr>
          <w:lang w:val="en-US" w:eastAsia="zh-CN"/>
        </w:rPr>
        <w:t>立的流程</w:t>
      </w:r>
      <w:r w:rsidRPr="001C2092">
        <w:rPr>
          <w:rFonts w:hint="eastAsia"/>
          <w:lang w:val="en-US" w:eastAsia="zh-CN"/>
        </w:rPr>
        <w:t>，</w:t>
      </w:r>
      <w:r>
        <w:rPr>
          <w:rFonts w:hint="eastAsia"/>
          <w:lang w:val="en-US" w:eastAsia="zh-CN"/>
        </w:rPr>
        <w:t>并且</w:t>
      </w:r>
      <w:r w:rsidRPr="001C2092">
        <w:rPr>
          <w:rFonts w:hint="eastAsia"/>
          <w:lang w:val="en-US" w:eastAsia="zh-CN"/>
        </w:rPr>
        <w:t>酌情提出</w:t>
      </w:r>
      <w:r w:rsidRPr="001C2092">
        <w:rPr>
          <w:lang w:val="en-US" w:eastAsia="zh-CN"/>
        </w:rPr>
        <w:t>措施</w:t>
      </w:r>
      <w:r w:rsidRPr="001C2092">
        <w:rPr>
          <w:rFonts w:hint="eastAsia"/>
          <w:lang w:val="en-US" w:eastAsia="zh-CN"/>
        </w:rPr>
        <w:t>，</w:t>
      </w:r>
      <w:r w:rsidRPr="001C2092">
        <w:rPr>
          <w:lang w:val="en-US" w:eastAsia="zh-CN"/>
        </w:rPr>
        <w:t>确保</w:t>
      </w:r>
      <w:r>
        <w:rPr>
          <w:rFonts w:hint="eastAsia"/>
          <w:lang w:val="en-US" w:eastAsia="zh-CN"/>
        </w:rPr>
        <w:t>可</w:t>
      </w:r>
      <w:r w:rsidRPr="001C2092">
        <w:rPr>
          <w:lang w:val="en-US" w:eastAsia="zh-CN"/>
        </w:rPr>
        <w:t>以六种正式语文</w:t>
      </w:r>
      <w:r>
        <w:rPr>
          <w:rFonts w:hint="eastAsia"/>
          <w:lang w:val="en-US" w:eastAsia="zh-CN"/>
        </w:rPr>
        <w:t>同时</w:t>
      </w:r>
      <w:r w:rsidRPr="001C2092">
        <w:rPr>
          <w:rFonts w:hint="eastAsia"/>
          <w:lang w:val="en-US" w:eastAsia="zh-CN"/>
        </w:rPr>
        <w:t>对外发布相关</w:t>
      </w:r>
      <w:r w:rsidRPr="001C2092">
        <w:rPr>
          <w:lang w:val="en-US" w:eastAsia="zh-CN"/>
        </w:rPr>
        <w:t>网页</w:t>
      </w:r>
      <w:r>
        <w:rPr>
          <w:rFonts w:hint="eastAsia"/>
          <w:lang w:val="en-US" w:eastAsia="zh-CN"/>
        </w:rPr>
        <w:t>而且网页</w:t>
      </w:r>
      <w:r w:rsidRPr="001C2092">
        <w:rPr>
          <w:lang w:val="en-US" w:eastAsia="zh-CN"/>
        </w:rPr>
        <w:t>具有相同的功能</w:t>
      </w:r>
      <w:r>
        <w:rPr>
          <w:rFonts w:hint="eastAsia"/>
          <w:lang w:val="en-US" w:eastAsia="zh-CN"/>
        </w:rPr>
        <w:t>性</w:t>
      </w:r>
      <w:r w:rsidRPr="001C2092">
        <w:rPr>
          <w:lang w:val="en-US" w:eastAsia="zh-CN"/>
        </w:rPr>
        <w:t>和导航性能；</w:t>
      </w:r>
    </w:p>
    <w:p w14:paraId="4827B4EE" w14:textId="77777777" w:rsidR="00921FD3" w:rsidRPr="001C2092" w:rsidRDefault="00921FD3" w:rsidP="00921FD3">
      <w:pPr>
        <w:rPr>
          <w:lang w:val="en-US" w:eastAsia="zh-CN"/>
        </w:rPr>
      </w:pPr>
      <w:r w:rsidRPr="004C6B72">
        <w:rPr>
          <w:lang w:eastAsia="zh-CN"/>
        </w:rPr>
        <w:t>4</w:t>
      </w:r>
      <w:r w:rsidRPr="001C2092">
        <w:rPr>
          <w:lang w:val="en-US" w:eastAsia="zh-CN"/>
        </w:rPr>
        <w:tab/>
      </w:r>
      <w:r w:rsidRPr="001C2092">
        <w:rPr>
          <w:rFonts w:hint="eastAsia"/>
          <w:lang w:val="en-US" w:eastAsia="zh-CN"/>
        </w:rPr>
        <w:t>为在同等地位上高效且有效地使用国际电联的六种正式语文制定建议，其中包括根据各部门</w:t>
      </w:r>
      <w:r>
        <w:rPr>
          <w:rFonts w:hint="eastAsia"/>
          <w:lang w:val="en-US" w:eastAsia="zh-CN"/>
        </w:rPr>
        <w:t>及</w:t>
      </w:r>
      <w:r w:rsidRPr="001C2092">
        <w:rPr>
          <w:rFonts w:hint="eastAsia"/>
          <w:lang w:val="en-US" w:eastAsia="zh-CN"/>
        </w:rPr>
        <w:t>秘书处的实际经验</w:t>
      </w:r>
      <w:r>
        <w:rPr>
          <w:rFonts w:hint="eastAsia"/>
          <w:lang w:val="en-US" w:eastAsia="zh-CN"/>
        </w:rPr>
        <w:t>提出</w:t>
      </w:r>
      <w:r w:rsidRPr="001C2092">
        <w:rPr>
          <w:rFonts w:hint="eastAsia"/>
          <w:lang w:val="en-US" w:eastAsia="zh-CN"/>
        </w:rPr>
        <w:t>的针对每个语种国家</w:t>
      </w:r>
      <w:r>
        <w:rPr>
          <w:rFonts w:hint="eastAsia"/>
          <w:lang w:val="en-US" w:eastAsia="zh-CN"/>
        </w:rPr>
        <w:t>集团</w:t>
      </w:r>
      <w:r w:rsidRPr="001C2092">
        <w:rPr>
          <w:rFonts w:hint="eastAsia"/>
          <w:lang w:val="en-US" w:eastAsia="zh-CN"/>
        </w:rPr>
        <w:t>的具体鼓励性措施；</w:t>
      </w:r>
    </w:p>
    <w:p w14:paraId="4827B4EF" w14:textId="77777777" w:rsidR="00921FD3" w:rsidRPr="001C2092" w:rsidRDefault="00921FD3" w:rsidP="00921FD3">
      <w:pPr>
        <w:rPr>
          <w:lang w:val="en-US" w:eastAsia="zh-CN"/>
        </w:rPr>
      </w:pPr>
      <w:r w:rsidRPr="004C6B72">
        <w:rPr>
          <w:lang w:eastAsia="zh-CN"/>
        </w:rPr>
        <w:t>5</w:t>
      </w:r>
      <w:r w:rsidRPr="001C2092">
        <w:rPr>
          <w:lang w:val="en-US" w:eastAsia="zh-CN"/>
        </w:rPr>
        <w:tab/>
      </w:r>
      <w:r w:rsidRPr="001C2092">
        <w:rPr>
          <w:rFonts w:hint="eastAsia"/>
          <w:lang w:val="en-US" w:eastAsia="zh-CN"/>
        </w:rPr>
        <w:t>分析在国际电联采用</w:t>
      </w:r>
      <w:r>
        <w:rPr>
          <w:rFonts w:hint="eastAsia"/>
          <w:lang w:val="en-US" w:eastAsia="zh-CN"/>
        </w:rPr>
        <w:t>备选笔</w:t>
      </w:r>
      <w:r w:rsidRPr="001C2092">
        <w:rPr>
          <w:rFonts w:hint="eastAsia"/>
          <w:lang w:val="en-US" w:eastAsia="zh-CN"/>
        </w:rPr>
        <w:t>译程序的问题，</w:t>
      </w:r>
      <w:r>
        <w:rPr>
          <w:rFonts w:hint="eastAsia"/>
          <w:lang w:val="en-US" w:eastAsia="zh-CN"/>
        </w:rPr>
        <w:t>以</w:t>
      </w:r>
      <w:r w:rsidRPr="001C2092">
        <w:rPr>
          <w:rFonts w:hint="eastAsia"/>
          <w:lang w:val="en-US" w:eastAsia="zh-CN"/>
        </w:rPr>
        <w:t>降低国际电联预算中</w:t>
      </w:r>
      <w:r>
        <w:rPr>
          <w:rFonts w:hint="eastAsia"/>
          <w:lang w:val="en-US" w:eastAsia="zh-CN"/>
        </w:rPr>
        <w:t>笔译</w:t>
      </w:r>
      <w:r w:rsidRPr="001C2092">
        <w:rPr>
          <w:rFonts w:hint="eastAsia"/>
          <w:lang w:val="en-US" w:eastAsia="zh-CN"/>
        </w:rPr>
        <w:t>和打字的支出，同时保持或提高当前的</w:t>
      </w:r>
      <w:r>
        <w:rPr>
          <w:rFonts w:hint="eastAsia"/>
          <w:lang w:val="en-US" w:eastAsia="zh-CN"/>
        </w:rPr>
        <w:t>笔译</w:t>
      </w:r>
      <w:r w:rsidRPr="001C2092">
        <w:rPr>
          <w:rFonts w:hint="eastAsia"/>
          <w:lang w:val="en-US" w:eastAsia="zh-CN"/>
        </w:rPr>
        <w:t>质量以及对电信技术术语的正确使用；</w:t>
      </w:r>
    </w:p>
    <w:p w14:paraId="4827B4F0" w14:textId="77777777" w:rsidR="00921FD3" w:rsidRPr="001C2092" w:rsidRDefault="00921FD3" w:rsidP="00921FD3">
      <w:pPr>
        <w:rPr>
          <w:lang w:val="en-US" w:eastAsia="zh-CN"/>
        </w:rPr>
      </w:pPr>
      <w:r w:rsidRPr="004C6B72">
        <w:rPr>
          <w:lang w:eastAsia="zh-CN"/>
        </w:rPr>
        <w:t>6</w:t>
      </w:r>
      <w:r w:rsidRPr="001C2092">
        <w:rPr>
          <w:lang w:val="en-US" w:eastAsia="zh-CN"/>
        </w:rPr>
        <w:tab/>
      </w:r>
      <w:r>
        <w:rPr>
          <w:rFonts w:hint="eastAsia"/>
          <w:lang w:val="en-US" w:eastAsia="zh-CN"/>
        </w:rPr>
        <w:t>通过</w:t>
      </w:r>
      <w:r w:rsidRPr="001C2092">
        <w:rPr>
          <w:rFonts w:hint="eastAsia"/>
          <w:lang w:val="en-US" w:eastAsia="zh-CN"/>
        </w:rPr>
        <w:t>利用适当的定性和定量指标等手段</w:t>
      </w:r>
      <w:r>
        <w:rPr>
          <w:rFonts w:hint="eastAsia"/>
          <w:lang w:val="en-US" w:eastAsia="zh-CN"/>
        </w:rPr>
        <w:t>，对</w:t>
      </w:r>
      <w:r w:rsidRPr="001C2092">
        <w:rPr>
          <w:rFonts w:hint="eastAsia"/>
          <w:lang w:val="en-US" w:eastAsia="zh-CN"/>
        </w:rPr>
        <w:t>理事会通过的、最新口笔译相关措施和原则的应用情况</w:t>
      </w:r>
      <w:r>
        <w:rPr>
          <w:rFonts w:hint="eastAsia"/>
          <w:lang w:val="en-US" w:eastAsia="zh-CN"/>
        </w:rPr>
        <w:t>进行分析</w:t>
      </w:r>
      <w:r w:rsidRPr="001C2092">
        <w:rPr>
          <w:rFonts w:hint="eastAsia"/>
          <w:lang w:val="en-US" w:eastAsia="zh-CN"/>
        </w:rPr>
        <w:t>，同时顾及财务方面的限制，</w:t>
      </w:r>
      <w:r>
        <w:rPr>
          <w:rFonts w:hint="eastAsia"/>
          <w:lang w:val="en-US" w:eastAsia="zh-CN"/>
        </w:rPr>
        <w:t>并且</w:t>
      </w:r>
      <w:r w:rsidRPr="001C2092">
        <w:rPr>
          <w:rFonts w:hint="eastAsia"/>
          <w:lang w:val="en-US" w:eastAsia="zh-CN"/>
        </w:rPr>
        <w:t>铭记全面实现在同等地位上对待六种正式语文这一最终目标；</w:t>
      </w:r>
    </w:p>
    <w:p w14:paraId="4827B4F1" w14:textId="77777777" w:rsidR="00921FD3" w:rsidRPr="001C2092" w:rsidRDefault="00921FD3" w:rsidP="00921FD3">
      <w:pPr>
        <w:rPr>
          <w:lang w:val="en-US" w:eastAsia="zh-CN"/>
        </w:rPr>
      </w:pPr>
      <w:r w:rsidRPr="004C6B72">
        <w:rPr>
          <w:lang w:eastAsia="zh-CN"/>
        </w:rPr>
        <w:t>7</w:t>
      </w:r>
      <w:r w:rsidRPr="001C2092">
        <w:rPr>
          <w:lang w:val="en-US" w:eastAsia="zh-CN"/>
        </w:rPr>
        <w:tab/>
      </w:r>
      <w:r w:rsidRPr="001C2092">
        <w:rPr>
          <w:rFonts w:hint="eastAsia"/>
          <w:lang w:val="en-US" w:eastAsia="zh-CN"/>
        </w:rPr>
        <w:t>审议</w:t>
      </w:r>
      <w:r>
        <w:rPr>
          <w:rFonts w:hint="eastAsia"/>
          <w:lang w:val="en-US" w:eastAsia="zh-CN"/>
        </w:rPr>
        <w:t>落实</w:t>
      </w:r>
      <w:r w:rsidRPr="001C2092">
        <w:rPr>
          <w:rFonts w:hint="eastAsia"/>
          <w:lang w:val="en-US" w:eastAsia="zh-CN"/>
        </w:rPr>
        <w:t>第</w:t>
      </w:r>
      <w:r w:rsidRPr="001C2092">
        <w:rPr>
          <w:lang w:val="en-US" w:eastAsia="zh-CN"/>
        </w:rPr>
        <w:t>154</w:t>
      </w:r>
      <w:r w:rsidRPr="001C2092">
        <w:rPr>
          <w:rFonts w:hint="eastAsia"/>
          <w:lang w:val="en-US" w:eastAsia="zh-CN"/>
        </w:rPr>
        <w:t>号决议（</w:t>
      </w:r>
      <w:r>
        <w:rPr>
          <w:lang w:val="en-US" w:eastAsia="zh-CN"/>
        </w:rPr>
        <w:t>2018</w:t>
      </w:r>
      <w:r w:rsidRPr="001C2092">
        <w:rPr>
          <w:rFonts w:hint="eastAsia"/>
          <w:lang w:val="en-US" w:eastAsia="zh-CN"/>
        </w:rPr>
        <w:t>年，</w:t>
      </w:r>
      <w:r>
        <w:rPr>
          <w:rFonts w:hint="eastAsia"/>
          <w:lang w:val="en-US" w:eastAsia="zh-CN"/>
        </w:rPr>
        <w:t>迪拜</w:t>
      </w:r>
      <w:r w:rsidRPr="001C2092">
        <w:rPr>
          <w:rFonts w:hint="eastAsia"/>
          <w:lang w:val="en-US" w:eastAsia="zh-CN"/>
        </w:rPr>
        <w:t>，修订版）</w:t>
      </w:r>
      <w:r w:rsidRPr="001C2092">
        <w:rPr>
          <w:rFonts w:eastAsia="STKaiti" w:hint="eastAsia"/>
          <w:lang w:val="en-US" w:eastAsia="zh-CN"/>
        </w:rPr>
        <w:t>责成理事会</w:t>
      </w:r>
      <w:r w:rsidRPr="001C2092">
        <w:rPr>
          <w:rFonts w:eastAsia="STKaiti"/>
          <w:lang w:val="en-US" w:eastAsia="zh-CN"/>
        </w:rPr>
        <w:t>3</w:t>
      </w:r>
      <w:r w:rsidRPr="001C2092">
        <w:rPr>
          <w:rFonts w:hint="eastAsia"/>
          <w:lang w:val="en-US" w:eastAsia="zh-CN"/>
        </w:rPr>
        <w:t>中各项</w:t>
      </w:r>
      <w:r>
        <w:rPr>
          <w:rFonts w:hint="eastAsia"/>
          <w:lang w:val="en-US" w:eastAsia="zh-CN"/>
        </w:rPr>
        <w:t>操作性措施的</w:t>
      </w:r>
      <w:r w:rsidRPr="001C2092">
        <w:rPr>
          <w:rFonts w:hint="eastAsia"/>
          <w:lang w:val="en-US" w:eastAsia="zh-CN"/>
        </w:rPr>
        <w:t>结果</w:t>
      </w:r>
      <w:r>
        <w:rPr>
          <w:rFonts w:hint="eastAsia"/>
          <w:lang w:val="en-US" w:eastAsia="zh-CN"/>
        </w:rPr>
        <w:t>，特别关注国际电联网站上六种语文的平等使用；</w:t>
      </w:r>
    </w:p>
    <w:p w14:paraId="4827B4F2" w14:textId="77777777" w:rsidR="00921FD3" w:rsidRPr="004C6B72" w:rsidRDefault="00921FD3" w:rsidP="00921FD3">
      <w:pPr>
        <w:rPr>
          <w:lang w:eastAsia="zh-CN"/>
        </w:rPr>
      </w:pPr>
      <w:r w:rsidRPr="00E60939">
        <w:rPr>
          <w:lang w:eastAsia="zh-CN"/>
        </w:rPr>
        <w:t>8</w:t>
      </w:r>
      <w:r w:rsidRPr="00E60939">
        <w:rPr>
          <w:lang w:eastAsia="zh-CN"/>
        </w:rPr>
        <w:tab/>
      </w:r>
      <w:r>
        <w:rPr>
          <w:rFonts w:hint="eastAsia"/>
          <w:lang w:eastAsia="zh-CN"/>
        </w:rPr>
        <w:t>在审议资助和维护以国际电联六种正式语文提供的</w:t>
      </w:r>
      <w:r>
        <w:rPr>
          <w:rFonts w:hint="eastAsia"/>
          <w:lang w:eastAsia="zh-CN"/>
        </w:rPr>
        <w:t>WSIS</w:t>
      </w:r>
      <w:r>
        <w:rPr>
          <w:rFonts w:hint="eastAsia"/>
          <w:lang w:eastAsia="zh-CN"/>
        </w:rPr>
        <w:t>论坛网站的可能方法方面予以协助；</w:t>
      </w:r>
    </w:p>
    <w:p w14:paraId="4827B4F3" w14:textId="77777777" w:rsidR="00921FD3" w:rsidRPr="001C2092" w:rsidRDefault="00921FD3" w:rsidP="00921FD3">
      <w:pPr>
        <w:rPr>
          <w:lang w:val="en-US" w:eastAsia="zh-CN"/>
        </w:rPr>
      </w:pPr>
      <w:r>
        <w:rPr>
          <w:lang w:eastAsia="zh-CN"/>
        </w:rPr>
        <w:t>9</w:t>
      </w:r>
      <w:r w:rsidRPr="001C2092">
        <w:rPr>
          <w:lang w:val="en-US" w:eastAsia="zh-CN"/>
        </w:rPr>
        <w:tab/>
      </w:r>
      <w:r w:rsidRPr="001C2092">
        <w:rPr>
          <w:rFonts w:hint="eastAsia"/>
          <w:lang w:val="en-US" w:eastAsia="zh-CN"/>
        </w:rPr>
        <w:t>为提高工作效率并避免重复工作与</w:t>
      </w:r>
      <w:r>
        <w:rPr>
          <w:rFonts w:hint="eastAsia"/>
          <w:lang w:eastAsia="zh-CN"/>
        </w:rPr>
        <w:t>ITU</w:t>
      </w:r>
      <w:r>
        <w:rPr>
          <w:lang w:eastAsia="zh-CN"/>
        </w:rPr>
        <w:t xml:space="preserve"> </w:t>
      </w:r>
      <w:r>
        <w:rPr>
          <w:rFonts w:hint="eastAsia"/>
          <w:lang w:eastAsia="zh-CN"/>
        </w:rPr>
        <w:t>CCT</w:t>
      </w:r>
      <w:r>
        <w:rPr>
          <w:rFonts w:hint="eastAsia"/>
          <w:lang w:eastAsia="zh-CN"/>
        </w:rPr>
        <w:t>和</w:t>
      </w:r>
      <w:r w:rsidRPr="00C84ADA">
        <w:rPr>
          <w:rFonts w:hint="eastAsia"/>
          <w:lang w:eastAsia="zh-CN"/>
        </w:rPr>
        <w:t>理事会财务和人力资源工作组</w:t>
      </w:r>
      <w:r>
        <w:rPr>
          <w:rFonts w:hint="eastAsia"/>
          <w:lang w:val="en-US" w:eastAsia="zh-CN"/>
        </w:rPr>
        <w:t>进行</w:t>
      </w:r>
      <w:r w:rsidRPr="001C2092">
        <w:rPr>
          <w:rFonts w:hint="eastAsia"/>
          <w:lang w:val="en-US" w:eastAsia="zh-CN"/>
        </w:rPr>
        <w:t>协调与合作；</w:t>
      </w:r>
    </w:p>
    <w:p w14:paraId="4827B4F4" w14:textId="77777777" w:rsidR="00921FD3" w:rsidRPr="001C2092" w:rsidRDefault="00921FD3" w:rsidP="00921FD3">
      <w:pPr>
        <w:rPr>
          <w:lang w:val="en-US" w:eastAsia="zh-CN"/>
        </w:rPr>
      </w:pPr>
      <w:r>
        <w:rPr>
          <w:lang w:eastAsia="zh-CN"/>
        </w:rPr>
        <w:t>10</w:t>
      </w:r>
      <w:r w:rsidRPr="001C2092">
        <w:rPr>
          <w:lang w:val="en-US" w:eastAsia="zh-CN"/>
        </w:rPr>
        <w:tab/>
      </w:r>
      <w:r>
        <w:rPr>
          <w:rFonts w:hint="eastAsia"/>
          <w:lang w:val="en-US" w:eastAsia="zh-CN"/>
        </w:rPr>
        <w:t>监督第</w:t>
      </w:r>
      <w:r>
        <w:rPr>
          <w:rFonts w:hint="eastAsia"/>
          <w:lang w:val="en-US" w:eastAsia="zh-CN"/>
        </w:rPr>
        <w:t>154</w:t>
      </w:r>
      <w:r>
        <w:rPr>
          <w:rFonts w:hint="eastAsia"/>
          <w:lang w:val="en-US" w:eastAsia="zh-CN"/>
        </w:rPr>
        <w:t>号决议（</w:t>
      </w:r>
      <w:r>
        <w:rPr>
          <w:rFonts w:hint="eastAsia"/>
          <w:lang w:val="en-US" w:eastAsia="zh-CN"/>
        </w:rPr>
        <w:t>2018</w:t>
      </w:r>
      <w:r>
        <w:rPr>
          <w:rFonts w:hint="eastAsia"/>
          <w:lang w:val="en-US" w:eastAsia="zh-CN"/>
        </w:rPr>
        <w:t>年，迪拜，修订版）落实的进展，并且起草</w:t>
      </w:r>
      <w:r w:rsidRPr="001C2092">
        <w:rPr>
          <w:rFonts w:hint="eastAsia"/>
          <w:lang w:val="en-US" w:eastAsia="zh-CN"/>
        </w:rPr>
        <w:t>报告供成员国和理事会年度会议审议，</w:t>
      </w:r>
      <w:r>
        <w:rPr>
          <w:rFonts w:hint="eastAsia"/>
          <w:lang w:val="en-US" w:eastAsia="zh-CN"/>
        </w:rPr>
        <w:t>最终报告将</w:t>
      </w:r>
      <w:r w:rsidRPr="001C2092">
        <w:rPr>
          <w:rFonts w:hint="eastAsia"/>
          <w:lang w:val="en-US" w:eastAsia="zh-CN"/>
        </w:rPr>
        <w:t>酌情转呈下届全权代表大会。</w:t>
      </w:r>
    </w:p>
    <w:p w14:paraId="4827B4F5" w14:textId="77777777" w:rsidR="006D2F0C" w:rsidRPr="00460179" w:rsidRDefault="002558BA" w:rsidP="006D2F0C">
      <w:pPr>
        <w:pStyle w:val="Endtext"/>
        <w:rPr>
          <w:lang w:val="en-US" w:eastAsia="zh-CN"/>
        </w:rPr>
      </w:pPr>
      <w:r w:rsidRPr="005901EF">
        <w:rPr>
          <w:rFonts w:ascii="STKaiti" w:hAnsi="SimSun" w:hint="eastAsia"/>
          <w:lang w:eastAsia="zh-CN"/>
        </w:rPr>
        <w:t>参阅：</w:t>
      </w:r>
      <w:r w:rsidRPr="005901EF">
        <w:rPr>
          <w:rFonts w:ascii="STKaiti" w:hAnsi="SimSun" w:hint="eastAsia"/>
          <w:lang w:eastAsia="zh-CN"/>
        </w:rPr>
        <w:tab/>
      </w:r>
      <w:hyperlink r:id="rId328" w:history="1">
        <w:r w:rsidR="00921FD3" w:rsidRPr="004F20D9">
          <w:rPr>
            <w:rStyle w:val="Hyperlink"/>
            <w:lang w:val="en-GB" w:eastAsia="zh-CN"/>
          </w:rPr>
          <w:t>C15/107</w:t>
        </w:r>
      </w:hyperlink>
      <w:r w:rsidR="00921FD3">
        <w:rPr>
          <w:rFonts w:hint="eastAsia"/>
          <w:lang w:val="en-GB" w:eastAsia="zh-CN"/>
        </w:rPr>
        <w:t>和</w:t>
      </w:r>
      <w:hyperlink r:id="rId329" w:history="1">
        <w:r w:rsidR="00921FD3" w:rsidRPr="004F20D9">
          <w:rPr>
            <w:rStyle w:val="Hyperlink"/>
            <w:lang w:val="en-GB" w:eastAsia="zh-CN"/>
          </w:rPr>
          <w:t>C15/99</w:t>
        </w:r>
      </w:hyperlink>
      <w:r w:rsidR="00921FD3">
        <w:rPr>
          <w:rFonts w:hint="eastAsia"/>
          <w:lang w:val="en-GB" w:eastAsia="zh-CN"/>
        </w:rPr>
        <w:t>、</w:t>
      </w:r>
      <w:hyperlink r:id="rId330" w:history="1">
        <w:r w:rsidR="00921FD3" w:rsidRPr="004F20D9">
          <w:rPr>
            <w:rStyle w:val="Hyperlink"/>
            <w:lang w:val="en-GB" w:eastAsia="zh-CN"/>
          </w:rPr>
          <w:t>C16/120</w:t>
        </w:r>
      </w:hyperlink>
      <w:r w:rsidR="00921FD3">
        <w:rPr>
          <w:rFonts w:hint="eastAsia"/>
          <w:lang w:val="en-GB" w:eastAsia="zh-CN"/>
        </w:rPr>
        <w:t>、</w:t>
      </w:r>
      <w:hyperlink r:id="rId331" w:history="1">
        <w:r w:rsidR="00921FD3" w:rsidRPr="004F20D9">
          <w:rPr>
            <w:rStyle w:val="Hyperlink"/>
            <w:lang w:val="en-GB" w:eastAsia="zh-CN"/>
          </w:rPr>
          <w:t>C16/126</w:t>
        </w:r>
      </w:hyperlink>
      <w:r w:rsidR="00921FD3">
        <w:rPr>
          <w:rFonts w:hint="eastAsia"/>
          <w:lang w:val="en-GB" w:eastAsia="zh-CN"/>
        </w:rPr>
        <w:t>、</w:t>
      </w:r>
      <w:hyperlink r:id="rId332" w:history="1">
        <w:r w:rsidR="00921FD3" w:rsidRPr="004F20D9">
          <w:rPr>
            <w:rStyle w:val="Hyperlink"/>
            <w:lang w:val="en-GB" w:eastAsia="zh-CN"/>
          </w:rPr>
          <w:t>C19/138</w:t>
        </w:r>
      </w:hyperlink>
      <w:r w:rsidR="00921FD3">
        <w:rPr>
          <w:rFonts w:hint="eastAsia"/>
          <w:lang w:val="en-GB" w:eastAsia="zh-CN"/>
        </w:rPr>
        <w:t>和</w:t>
      </w:r>
      <w:hyperlink r:id="rId333" w:history="1">
        <w:r w:rsidR="00921FD3" w:rsidRPr="004F20D9">
          <w:rPr>
            <w:rStyle w:val="Hyperlink"/>
            <w:lang w:val="en-GB" w:eastAsia="zh-CN"/>
          </w:rPr>
          <w:t>C19/116</w:t>
        </w:r>
      </w:hyperlink>
      <w:r w:rsidR="006D2F0C">
        <w:rPr>
          <w:rFonts w:hint="eastAsia"/>
          <w:lang w:val="en-US" w:eastAsia="zh-CN"/>
        </w:rPr>
        <w:t>号</w:t>
      </w:r>
      <w:r w:rsidR="006D2F0C">
        <w:rPr>
          <w:lang w:val="en-US" w:eastAsia="zh-CN"/>
        </w:rPr>
        <w:t>文件。</w:t>
      </w:r>
    </w:p>
    <w:p w14:paraId="4827B4F6" w14:textId="77777777" w:rsidR="00921FD3" w:rsidRDefault="00921FD3" w:rsidP="00921FD3">
      <w:pPr>
        <w:jc w:val="center"/>
        <w:rPr>
          <w:lang w:eastAsia="zh-CN"/>
        </w:rPr>
      </w:pPr>
      <w:r>
        <w:rPr>
          <w:lang w:eastAsia="zh-CN"/>
        </w:rPr>
        <w:t>______________</w:t>
      </w:r>
    </w:p>
    <w:p w14:paraId="4827B4F7" w14:textId="77777777" w:rsidR="00F618BC" w:rsidRDefault="00F618BC">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4F8" w14:textId="77777777" w:rsidR="00F618BC" w:rsidRDefault="00F618BC">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4F9" w14:textId="175AAE53" w:rsidR="004B3B55" w:rsidRDefault="004B3B55">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4A4565B" w14:textId="428FF3A6" w:rsidR="00C34580" w:rsidRPr="00DB4AAB" w:rsidRDefault="00C34580" w:rsidP="00892DD1">
      <w:pPr>
        <w:pStyle w:val="ResNo"/>
        <w:keepNext w:val="0"/>
        <w:keepLines w:val="0"/>
        <w:outlineLvl w:val="0"/>
        <w:rPr>
          <w:rFonts w:cs="Calibri"/>
          <w:lang w:eastAsia="zh-CN"/>
        </w:rPr>
      </w:pPr>
      <w:bookmarkStart w:id="1746" w:name="_Toc86395602"/>
      <w:r w:rsidRPr="00DB4AAB">
        <w:rPr>
          <w:rFonts w:hint="eastAsia"/>
          <w:lang w:val="en-US" w:eastAsia="zh-CN"/>
        </w:rPr>
        <w:lastRenderedPageBreak/>
        <w:t>第</w:t>
      </w:r>
      <w:r w:rsidRPr="00DB4AAB">
        <w:rPr>
          <w:lang w:val="en-US" w:eastAsia="zh-CN"/>
        </w:rPr>
        <w:t>1404</w:t>
      </w:r>
      <w:r w:rsidRPr="00DB4AAB">
        <w:rPr>
          <w:rFonts w:hint="eastAsia"/>
          <w:lang w:val="en-US" w:eastAsia="zh-CN"/>
        </w:rPr>
        <w:t>号</w:t>
      </w:r>
      <w:r w:rsidRPr="00DB4AAB">
        <w:rPr>
          <w:rFonts w:cs="Calibri" w:hint="eastAsia"/>
          <w:lang w:val="en-US" w:eastAsia="zh-CN"/>
        </w:rPr>
        <w:t>决议</w:t>
      </w:r>
      <w:r>
        <w:rPr>
          <w:rFonts w:cs="Calibri" w:hint="eastAsia"/>
          <w:lang w:val="en-US" w:eastAsia="zh-CN"/>
        </w:rPr>
        <w:t>（</w:t>
      </w:r>
      <w:r>
        <w:rPr>
          <w:rFonts w:cs="Calibri" w:hint="eastAsia"/>
          <w:lang w:val="en-US" w:eastAsia="zh-CN"/>
        </w:rPr>
        <w:t>C</w:t>
      </w:r>
      <w:r>
        <w:rPr>
          <w:rFonts w:cs="Calibri"/>
          <w:lang w:val="en-US" w:eastAsia="zh-CN"/>
        </w:rPr>
        <w:t>21</w:t>
      </w:r>
      <w:r>
        <w:rPr>
          <w:rFonts w:cs="Calibri" w:hint="eastAsia"/>
          <w:lang w:val="en-US" w:eastAsia="zh-CN"/>
        </w:rPr>
        <w:t>）</w:t>
      </w:r>
      <w:bookmarkEnd w:id="1746"/>
    </w:p>
    <w:p w14:paraId="43DBA550" w14:textId="77777777" w:rsidR="00C34580" w:rsidRPr="00DB4AAB" w:rsidRDefault="00C34580" w:rsidP="00C34580">
      <w:pPr>
        <w:pStyle w:val="Restitle"/>
        <w:rPr>
          <w:lang w:val="en-US" w:eastAsia="zh-CN"/>
        </w:rPr>
      </w:pPr>
      <w:bookmarkStart w:id="1747" w:name="_Hlk76411113"/>
      <w:bookmarkStart w:id="1748" w:name="_Toc86395603"/>
      <w:r w:rsidRPr="00DB4AAB">
        <w:rPr>
          <w:rFonts w:hint="eastAsia"/>
          <w:lang w:val="en-US" w:eastAsia="zh-CN"/>
        </w:rPr>
        <w:t>设立制定</w:t>
      </w:r>
      <w:r w:rsidRPr="00DB4AAB">
        <w:rPr>
          <w:rFonts w:eastAsia="'宋体"/>
          <w:bCs/>
          <w:szCs w:val="28"/>
          <w:lang w:val="en-US" w:eastAsia="zh-CN"/>
        </w:rPr>
        <w:t>2024-2027</w:t>
      </w:r>
      <w:r w:rsidRPr="00DB4AAB">
        <w:rPr>
          <w:rFonts w:hint="eastAsia"/>
          <w:lang w:val="en-US" w:eastAsia="zh-CN"/>
        </w:rPr>
        <w:t>年国际电联《战略规划》</w:t>
      </w:r>
      <w:r w:rsidRPr="00DB4AAB">
        <w:rPr>
          <w:lang w:val="en-US" w:eastAsia="zh-CN"/>
        </w:rPr>
        <w:br/>
      </w:r>
      <w:r w:rsidRPr="00DB4AAB">
        <w:rPr>
          <w:rFonts w:hint="eastAsia"/>
          <w:lang w:val="en-US" w:eastAsia="zh-CN"/>
        </w:rPr>
        <w:t>和《财务规划》的理事会工作组</w:t>
      </w:r>
      <w:bookmarkEnd w:id="1747"/>
      <w:bookmarkEnd w:id="1748"/>
    </w:p>
    <w:p w14:paraId="5C61D5FD" w14:textId="77777777" w:rsidR="00C34580" w:rsidRPr="00E51375" w:rsidRDefault="00C34580" w:rsidP="00E51375">
      <w:pPr>
        <w:pStyle w:val="Normalaftertitle0"/>
        <w:rPr>
          <w:rFonts w:ascii="Times New Roman" w:eastAsia="Times New Roman" w:hAnsi="Times New Roman"/>
        </w:rPr>
      </w:pPr>
      <w:r w:rsidRPr="00E51375">
        <w:rPr>
          <w:rFonts w:hint="eastAsia"/>
        </w:rPr>
        <w:t>国际电联理事会，</w:t>
      </w:r>
    </w:p>
    <w:p w14:paraId="305B2247" w14:textId="77777777" w:rsidR="00C34580" w:rsidRPr="00DB4AAB" w:rsidRDefault="00C34580" w:rsidP="00C34580">
      <w:pPr>
        <w:pStyle w:val="Call"/>
        <w:rPr>
          <w:lang w:val="en-US" w:eastAsia="zh-CN"/>
        </w:rPr>
      </w:pPr>
      <w:r w:rsidRPr="00DB4AAB">
        <w:rPr>
          <w:rFonts w:hint="eastAsia"/>
          <w:lang w:val="en-US" w:eastAsia="zh-CN"/>
        </w:rPr>
        <w:t>考虑到</w:t>
      </w:r>
    </w:p>
    <w:p w14:paraId="333ECFB1" w14:textId="77777777" w:rsidR="00C34580" w:rsidRPr="00DB4AAB" w:rsidRDefault="00C34580" w:rsidP="00C34580">
      <w:pPr>
        <w:pStyle w:val="NormalCH"/>
        <w:ind w:firstLine="480"/>
        <w:rPr>
          <w:lang w:val="en-US"/>
        </w:rPr>
      </w:pPr>
      <w:r w:rsidRPr="00DB4AAB">
        <w:rPr>
          <w:rFonts w:hint="eastAsia"/>
          <w:lang w:val="en-US"/>
        </w:rPr>
        <w:t>《组织法》第</w:t>
      </w:r>
      <w:r w:rsidRPr="00DB4AAB">
        <w:rPr>
          <w:lang w:val="en-US"/>
        </w:rPr>
        <w:t>74A</w:t>
      </w:r>
      <w:r w:rsidRPr="00DB4AAB">
        <w:rPr>
          <w:rFonts w:hint="eastAsia"/>
          <w:lang w:val="en-US"/>
        </w:rPr>
        <w:t>款要求秘书长为制定《战略规划》提供必要的信息，</w:t>
      </w:r>
    </w:p>
    <w:p w14:paraId="0BB2813C" w14:textId="77777777" w:rsidR="00C34580" w:rsidRPr="00DB4AAB" w:rsidRDefault="00C34580" w:rsidP="00C34580">
      <w:pPr>
        <w:pStyle w:val="Call"/>
        <w:rPr>
          <w:lang w:val="en-US" w:eastAsia="zh-CN"/>
        </w:rPr>
      </w:pPr>
      <w:r w:rsidRPr="00DB4AAB">
        <w:rPr>
          <w:rFonts w:hint="eastAsia"/>
          <w:lang w:val="en-US" w:eastAsia="zh-CN"/>
        </w:rPr>
        <w:t>亦考虑到</w:t>
      </w:r>
    </w:p>
    <w:p w14:paraId="5A149CA8" w14:textId="77777777" w:rsidR="00C34580" w:rsidRPr="00DB4AAB" w:rsidRDefault="00C34580" w:rsidP="00C34580">
      <w:pPr>
        <w:rPr>
          <w:lang w:val="en-US" w:eastAsia="zh-CN"/>
        </w:rPr>
      </w:pPr>
      <w:r w:rsidRPr="00DB4AAB">
        <w:rPr>
          <w:i/>
          <w:iCs/>
          <w:lang w:val="en-US" w:eastAsia="zh-CN"/>
        </w:rPr>
        <w:t>a)</w:t>
      </w:r>
      <w:r w:rsidRPr="00DB4AAB">
        <w:rPr>
          <w:lang w:val="en-US" w:eastAsia="zh-CN"/>
        </w:rPr>
        <w:tab/>
      </w:r>
      <w:r w:rsidRPr="00DB4AAB">
        <w:rPr>
          <w:rFonts w:hint="eastAsia"/>
          <w:lang w:val="en-US" w:eastAsia="zh-CN"/>
        </w:rPr>
        <w:t>根据《公约》第</w:t>
      </w:r>
      <w:r w:rsidRPr="00DB4AAB">
        <w:rPr>
          <w:lang w:val="en-US" w:eastAsia="zh-CN"/>
        </w:rPr>
        <w:t>62A</w:t>
      </w:r>
      <w:r w:rsidRPr="00DB4AAB">
        <w:rPr>
          <w:rFonts w:hint="eastAsia"/>
          <w:lang w:val="en-US" w:eastAsia="zh-CN"/>
        </w:rPr>
        <w:t>款的规定，要求理事会接收并审议秘书长按照《组织法》第</w:t>
      </w:r>
      <w:r w:rsidRPr="00DB4AAB">
        <w:rPr>
          <w:lang w:val="en-US" w:eastAsia="zh-CN"/>
        </w:rPr>
        <w:t>74A</w:t>
      </w:r>
      <w:r w:rsidRPr="00DB4AAB">
        <w:rPr>
          <w:rFonts w:hint="eastAsia"/>
          <w:lang w:val="en-US" w:eastAsia="zh-CN"/>
        </w:rPr>
        <w:t>款提供的有关编写战略规划的具体数据，并在下一届全权代表大会召开前倒数第二届理事会例会上，在采纳国际电联成员国、部门成员以及各部门顾问组输入意见的基础上，开始制定国际电联新的战略规划草案，并在上述全权代表大会召开的至少四个月前制定出已经协调的新的战略规划草案；</w:t>
      </w:r>
    </w:p>
    <w:p w14:paraId="63CACC45" w14:textId="77777777" w:rsidR="00C34580" w:rsidRPr="00DB4AAB" w:rsidRDefault="00C34580" w:rsidP="00C34580">
      <w:pPr>
        <w:rPr>
          <w:lang w:val="en-US" w:eastAsia="zh-CN"/>
        </w:rPr>
      </w:pPr>
      <w:r w:rsidRPr="00DB4AAB">
        <w:rPr>
          <w:i/>
          <w:iCs/>
          <w:lang w:val="en-US" w:eastAsia="zh-CN"/>
        </w:rPr>
        <w:t>b)</w:t>
      </w:r>
      <w:r w:rsidRPr="00DB4AAB">
        <w:rPr>
          <w:lang w:val="en-US" w:eastAsia="zh-CN"/>
        </w:rPr>
        <w:tab/>
      </w:r>
      <w:r w:rsidRPr="00DB4AAB">
        <w:rPr>
          <w:rFonts w:hint="eastAsia"/>
          <w:lang w:val="en-US" w:eastAsia="zh-CN"/>
        </w:rPr>
        <w:t>有关国际电联</w:t>
      </w:r>
      <w:r w:rsidRPr="00DB4AAB">
        <w:rPr>
          <w:rFonts w:cs="Calibri"/>
          <w:szCs w:val="24"/>
          <w:lang w:val="en-US" w:eastAsia="zh-CN"/>
        </w:rPr>
        <w:t>2020-2023</w:t>
      </w:r>
      <w:r w:rsidRPr="00DB4AAB">
        <w:rPr>
          <w:rFonts w:hint="eastAsia"/>
          <w:lang w:val="en-US" w:eastAsia="zh-CN"/>
        </w:rPr>
        <w:t>年</w:t>
      </w:r>
      <w:r>
        <w:rPr>
          <w:rFonts w:hint="eastAsia"/>
          <w:lang w:val="en-US" w:eastAsia="zh-CN"/>
        </w:rPr>
        <w:t>阶段</w:t>
      </w:r>
      <w:r w:rsidRPr="00DB4AAB">
        <w:rPr>
          <w:rFonts w:hint="eastAsia"/>
          <w:lang w:val="en-US" w:eastAsia="zh-CN"/>
        </w:rPr>
        <w:t>收入和支出的第</w:t>
      </w:r>
      <w:r w:rsidRPr="00DB4AAB">
        <w:rPr>
          <w:lang w:val="en-US" w:eastAsia="zh-CN"/>
        </w:rPr>
        <w:t>5</w:t>
      </w:r>
      <w:r w:rsidRPr="00DB4AAB">
        <w:rPr>
          <w:rFonts w:hint="eastAsia"/>
          <w:lang w:val="en-US" w:eastAsia="zh-CN"/>
        </w:rPr>
        <w:t>号决定（</w:t>
      </w:r>
      <w:r w:rsidRPr="00DB4AAB">
        <w:rPr>
          <w:lang w:val="en-US" w:eastAsia="zh-CN"/>
        </w:rPr>
        <w:t>2018</w:t>
      </w:r>
      <w:r w:rsidRPr="00DB4AAB">
        <w:rPr>
          <w:rFonts w:hint="eastAsia"/>
          <w:lang w:val="en-US" w:eastAsia="zh-CN"/>
        </w:rPr>
        <w:t>年，迪拜，修订版）的规定，</w:t>
      </w:r>
    </w:p>
    <w:p w14:paraId="760B5AD7" w14:textId="77777777" w:rsidR="00C34580" w:rsidRPr="00DB4AAB" w:rsidRDefault="00C34580" w:rsidP="00C34580">
      <w:pPr>
        <w:rPr>
          <w:rFonts w:ascii="Times New Roman" w:eastAsia="Times New Roman" w:hAnsi="Times New Roman" w:cs="Calibri"/>
          <w:lang w:eastAsia="zh-CN"/>
        </w:rPr>
      </w:pPr>
      <w:r w:rsidRPr="00DB4AAB">
        <w:rPr>
          <w:i/>
          <w:iCs/>
          <w:lang w:eastAsia="zh-CN"/>
        </w:rPr>
        <w:t>c)</w:t>
      </w:r>
      <w:r w:rsidRPr="00DB4AAB">
        <w:rPr>
          <w:rFonts w:ascii="Times New Roman" w:eastAsia="Times New Roman" w:hAnsi="Times New Roman"/>
          <w:lang w:eastAsia="zh-CN"/>
        </w:rPr>
        <w:tab/>
      </w:r>
      <w:hyperlink r:id="rId334" w:history="1">
        <w:r w:rsidRPr="00DB4AAB">
          <w:rPr>
            <w:rFonts w:cs="Calibri"/>
            <w:color w:val="0000FF"/>
            <w:u w:val="single"/>
            <w:lang w:val="en-US" w:eastAsia="zh-CN"/>
          </w:rPr>
          <w:t>第</w:t>
        </w:r>
        <w:r w:rsidRPr="00DB4AAB">
          <w:rPr>
            <w:rFonts w:cs="Calibri"/>
            <w:color w:val="0000FF"/>
            <w:u w:val="single"/>
            <w:lang w:val="en-US" w:eastAsia="zh-CN"/>
          </w:rPr>
          <w:t>11</w:t>
        </w:r>
        <w:r w:rsidRPr="00DB4AAB">
          <w:rPr>
            <w:rFonts w:cs="Calibri"/>
            <w:color w:val="0000FF"/>
            <w:u w:val="single"/>
            <w:lang w:val="en-US" w:eastAsia="zh-CN"/>
          </w:rPr>
          <w:t>号决</w:t>
        </w:r>
        <w:r w:rsidRPr="00DB4AAB">
          <w:rPr>
            <w:rFonts w:cs="Calibri" w:hint="eastAsia"/>
            <w:color w:val="0000FF"/>
            <w:u w:val="single"/>
            <w:lang w:val="en-US" w:eastAsia="zh-CN"/>
          </w:rPr>
          <w:t>定</w:t>
        </w:r>
        <w:r w:rsidRPr="00DB4AAB">
          <w:rPr>
            <w:rFonts w:cs="Calibri"/>
            <w:color w:val="0000FF"/>
            <w:u w:val="single"/>
            <w:lang w:val="en-US" w:eastAsia="zh-CN"/>
          </w:rPr>
          <w:t>（</w:t>
        </w:r>
        <w:r w:rsidRPr="00DB4AAB">
          <w:rPr>
            <w:rFonts w:cs="Calibri"/>
            <w:color w:val="0000FF"/>
            <w:u w:val="single"/>
            <w:lang w:val="en-US" w:eastAsia="zh-CN"/>
          </w:rPr>
          <w:t>2018</w:t>
        </w:r>
        <w:r w:rsidRPr="00DB4AAB">
          <w:rPr>
            <w:rFonts w:cs="Calibri"/>
            <w:color w:val="0000FF"/>
            <w:u w:val="single"/>
            <w:lang w:val="en-US" w:eastAsia="zh-CN"/>
          </w:rPr>
          <w:t>年，迪拜，修订版）</w:t>
        </w:r>
      </w:hyperlink>
      <w:r w:rsidRPr="00DB4AAB">
        <w:rPr>
          <w:rFonts w:ascii="SimSun" w:hAnsi="SimSun" w:cs="SimSun" w:hint="eastAsia"/>
          <w:lang w:eastAsia="zh-CN"/>
        </w:rPr>
        <w:t>所规定的创建、管理和终止理事会工作组的指导原则，</w:t>
      </w:r>
    </w:p>
    <w:p w14:paraId="2CA8D9E6" w14:textId="77777777" w:rsidR="00C34580" w:rsidRPr="00DB4AAB" w:rsidRDefault="00C34580" w:rsidP="00C34580">
      <w:pPr>
        <w:pStyle w:val="Call"/>
        <w:rPr>
          <w:lang w:val="en-US" w:eastAsia="zh-CN"/>
        </w:rPr>
      </w:pPr>
      <w:r w:rsidRPr="00DB4AAB">
        <w:rPr>
          <w:rFonts w:hint="eastAsia"/>
          <w:lang w:val="en-US" w:eastAsia="zh-CN"/>
        </w:rPr>
        <w:t>做出决议</w:t>
      </w:r>
    </w:p>
    <w:p w14:paraId="64BC26B1" w14:textId="77777777" w:rsidR="00C34580" w:rsidRPr="00DB4AAB" w:rsidRDefault="00C34580" w:rsidP="00C34580">
      <w:pPr>
        <w:pStyle w:val="NormalCH"/>
        <w:ind w:firstLine="480"/>
        <w:rPr>
          <w:lang w:val="en-US"/>
        </w:rPr>
      </w:pPr>
      <w:r w:rsidRPr="00DB4AAB">
        <w:rPr>
          <w:rFonts w:hint="eastAsia"/>
          <w:lang w:val="en-US"/>
        </w:rPr>
        <w:t>成立一个理事会工作组，制定《战略规划》草案和《财务规划》草案，供理事会</w:t>
      </w:r>
      <w:r w:rsidRPr="00DB4AAB">
        <w:rPr>
          <w:lang w:val="en-US"/>
        </w:rPr>
        <w:t>2022</w:t>
      </w:r>
      <w:r w:rsidRPr="00DB4AAB">
        <w:rPr>
          <w:rFonts w:hint="eastAsia"/>
          <w:lang w:val="en-US"/>
        </w:rPr>
        <w:t>年会议审议，并由理事会提交</w:t>
      </w:r>
      <w:r w:rsidRPr="00DB4AAB">
        <w:rPr>
          <w:lang w:val="en-US"/>
        </w:rPr>
        <w:t>2022</w:t>
      </w:r>
      <w:r w:rsidRPr="00DB4AAB">
        <w:rPr>
          <w:rFonts w:hint="eastAsia"/>
          <w:lang w:val="en-US"/>
        </w:rPr>
        <w:t>年全权代表大会（</w:t>
      </w:r>
      <w:r w:rsidRPr="00DB4AAB">
        <w:rPr>
          <w:lang w:val="en-US"/>
        </w:rPr>
        <w:t>PP-22</w:t>
      </w:r>
      <w:r w:rsidRPr="00DB4AAB">
        <w:rPr>
          <w:rFonts w:hint="eastAsia"/>
          <w:lang w:val="en-US"/>
        </w:rPr>
        <w:t>）。该工作组（</w:t>
      </w:r>
      <w:r w:rsidRPr="00DB4AAB">
        <w:rPr>
          <w:lang w:val="en-US"/>
        </w:rPr>
        <w:t>CWG-SFP</w:t>
      </w:r>
      <w:r w:rsidRPr="00DB4AAB">
        <w:rPr>
          <w:rFonts w:hint="eastAsia"/>
          <w:lang w:val="en-US"/>
        </w:rPr>
        <w:t>）向成员国开放，而且，在涉及《战略规划》草案时，亦向部门成员开放。该组的职责范围如下：</w:t>
      </w:r>
    </w:p>
    <w:p w14:paraId="212541D9" w14:textId="77777777" w:rsidR="00C34580" w:rsidRPr="00DB4AAB" w:rsidRDefault="00C34580" w:rsidP="00C34580">
      <w:pPr>
        <w:pStyle w:val="enumlev1"/>
        <w:rPr>
          <w:rFonts w:cs="Calibri"/>
          <w:szCs w:val="24"/>
          <w:lang w:val="en-US" w:eastAsia="zh-CN"/>
        </w:rPr>
      </w:pPr>
      <w:r w:rsidRPr="00DB4AAB">
        <w:rPr>
          <w:i/>
          <w:iCs/>
          <w:lang w:val="en-US" w:eastAsia="zh-CN"/>
        </w:rPr>
        <w:t>a)</w:t>
      </w:r>
      <w:r w:rsidRPr="00DB4AAB">
        <w:rPr>
          <w:lang w:val="en-US" w:eastAsia="zh-CN"/>
        </w:rPr>
        <w:tab/>
      </w:r>
      <w:r w:rsidRPr="00DB4AAB">
        <w:rPr>
          <w:rFonts w:hint="eastAsia"/>
          <w:lang w:val="en-US" w:eastAsia="zh-CN"/>
        </w:rPr>
        <w:t>在秘书长和各局主任的协助下，确定制定规划草案需采用的信息来源；</w:t>
      </w:r>
    </w:p>
    <w:p w14:paraId="2D5BEABD" w14:textId="77777777" w:rsidR="00C34580" w:rsidRPr="00DB4AAB" w:rsidRDefault="00C34580" w:rsidP="00C34580">
      <w:pPr>
        <w:pStyle w:val="enumlev1"/>
        <w:rPr>
          <w:rFonts w:cs="Calibri"/>
          <w:szCs w:val="24"/>
          <w:lang w:val="en-US" w:eastAsia="zh-CN"/>
        </w:rPr>
      </w:pPr>
      <w:r w:rsidRPr="00DB4AAB">
        <w:rPr>
          <w:rFonts w:cs="Calibri"/>
          <w:i/>
          <w:iCs/>
          <w:szCs w:val="24"/>
          <w:lang w:val="en-US" w:eastAsia="zh-CN"/>
        </w:rPr>
        <w:t>b)</w:t>
      </w:r>
      <w:r w:rsidRPr="00DB4AAB">
        <w:rPr>
          <w:rFonts w:cs="Calibri"/>
          <w:szCs w:val="24"/>
          <w:lang w:val="en-US" w:eastAsia="zh-CN"/>
        </w:rPr>
        <w:tab/>
      </w:r>
      <w:r w:rsidRPr="00DB4AAB">
        <w:rPr>
          <w:rFonts w:hint="eastAsia"/>
          <w:lang w:val="en-US" w:eastAsia="zh-CN"/>
        </w:rPr>
        <w:t>制定《战略规划》和《财务规划》草案，向理事会</w:t>
      </w:r>
      <w:r w:rsidRPr="00DB4AAB">
        <w:rPr>
          <w:lang w:val="en-US" w:eastAsia="zh-CN"/>
        </w:rPr>
        <w:t>2022</w:t>
      </w:r>
      <w:r w:rsidRPr="00DB4AAB">
        <w:rPr>
          <w:rFonts w:hint="eastAsia"/>
          <w:lang w:val="en-US" w:eastAsia="zh-CN"/>
        </w:rPr>
        <w:t>年会议介绍；</w:t>
      </w:r>
    </w:p>
    <w:p w14:paraId="3A492462" w14:textId="77777777" w:rsidR="00C34580" w:rsidRPr="00DB4AAB" w:rsidRDefault="00C34580" w:rsidP="00C34580">
      <w:pPr>
        <w:pStyle w:val="enumlev1"/>
        <w:rPr>
          <w:rFonts w:cs="Calibri"/>
          <w:szCs w:val="24"/>
          <w:lang w:val="en-US" w:eastAsia="zh-CN"/>
        </w:rPr>
      </w:pPr>
      <w:r w:rsidRPr="00DB4AAB">
        <w:rPr>
          <w:rFonts w:cs="Calibri"/>
          <w:i/>
          <w:iCs/>
          <w:szCs w:val="24"/>
          <w:lang w:val="en-US" w:eastAsia="zh-CN"/>
        </w:rPr>
        <w:t>c)</w:t>
      </w:r>
      <w:r w:rsidRPr="00DB4AAB">
        <w:rPr>
          <w:rFonts w:cs="Calibri"/>
          <w:szCs w:val="24"/>
          <w:lang w:val="en-US" w:eastAsia="zh-CN"/>
        </w:rPr>
        <w:tab/>
      </w:r>
      <w:r w:rsidRPr="00DB4AAB">
        <w:rPr>
          <w:rFonts w:cs="Calibri" w:hint="eastAsia"/>
          <w:szCs w:val="24"/>
          <w:lang w:val="en-US" w:eastAsia="zh-CN"/>
        </w:rPr>
        <w:t>在</w:t>
      </w:r>
      <w:r w:rsidRPr="00DB4AAB">
        <w:rPr>
          <w:rFonts w:hint="eastAsia"/>
          <w:lang w:val="en-US" w:eastAsia="zh-CN"/>
        </w:rPr>
        <w:t>全权代表大会召开的四个月之前</w:t>
      </w:r>
      <w:r w:rsidRPr="00DB4AAB">
        <w:rPr>
          <w:rFonts w:cs="Calibri" w:hint="eastAsia"/>
          <w:szCs w:val="24"/>
          <w:lang w:val="en-US" w:eastAsia="zh-CN"/>
        </w:rPr>
        <w:t>在</w:t>
      </w:r>
      <w:r w:rsidRPr="00DB4AAB">
        <w:rPr>
          <w:rFonts w:cs="Calibri"/>
          <w:szCs w:val="24"/>
          <w:lang w:val="en-US" w:eastAsia="zh-CN"/>
        </w:rPr>
        <w:t>PP-22</w:t>
      </w:r>
      <w:r w:rsidRPr="00DB4AAB">
        <w:rPr>
          <w:rFonts w:cs="Calibri" w:hint="eastAsia"/>
          <w:szCs w:val="24"/>
          <w:lang w:val="en-US" w:eastAsia="zh-CN"/>
        </w:rPr>
        <w:t>网站上公布经过协调的新《战略规划》草案；</w:t>
      </w:r>
    </w:p>
    <w:p w14:paraId="2305A7A2" w14:textId="77777777" w:rsidR="00C34580" w:rsidRPr="00DB4AAB" w:rsidRDefault="00C34580" w:rsidP="00C34580">
      <w:pPr>
        <w:pStyle w:val="enumlev1"/>
        <w:rPr>
          <w:lang w:val="en-US" w:eastAsia="zh-CN"/>
        </w:rPr>
      </w:pPr>
      <w:r w:rsidRPr="00DB4AAB">
        <w:rPr>
          <w:i/>
          <w:iCs/>
          <w:lang w:val="en-US" w:eastAsia="zh-CN"/>
        </w:rPr>
        <w:t>d)</w:t>
      </w:r>
      <w:r w:rsidRPr="00DB4AAB">
        <w:rPr>
          <w:lang w:val="en-US" w:eastAsia="zh-CN"/>
        </w:rPr>
        <w:tab/>
      </w:r>
      <w:r w:rsidRPr="00DB4AAB">
        <w:rPr>
          <w:rFonts w:hint="eastAsia"/>
          <w:lang w:val="en-US" w:eastAsia="zh-CN"/>
        </w:rPr>
        <w:t>如有必要，在</w:t>
      </w:r>
      <w:r w:rsidRPr="00DB4AAB">
        <w:rPr>
          <w:lang w:val="en-US" w:eastAsia="zh-CN"/>
        </w:rPr>
        <w:t>PP-22</w:t>
      </w:r>
      <w:r w:rsidRPr="00DB4AAB">
        <w:rPr>
          <w:rFonts w:hint="eastAsia"/>
          <w:lang w:val="en-US" w:eastAsia="zh-CN"/>
        </w:rPr>
        <w:t>前夕召开的理事会非常会议之前，继续就《财务规划》进行讨论；</w:t>
      </w:r>
    </w:p>
    <w:p w14:paraId="2AFCB823" w14:textId="687F1239" w:rsidR="00C34580" w:rsidRPr="00DB4AAB" w:rsidRDefault="00C34580" w:rsidP="00C34580">
      <w:pPr>
        <w:pStyle w:val="enumlev1"/>
        <w:rPr>
          <w:lang w:val="en-US" w:eastAsia="zh-CN"/>
        </w:rPr>
      </w:pPr>
      <w:r w:rsidRPr="00DB4AAB">
        <w:rPr>
          <w:i/>
          <w:iCs/>
          <w:lang w:val="en-US" w:eastAsia="zh-CN"/>
        </w:rPr>
        <w:t>e)</w:t>
      </w:r>
      <w:r w:rsidRPr="00DB4AAB">
        <w:rPr>
          <w:lang w:val="en-US" w:eastAsia="zh-CN"/>
        </w:rPr>
        <w:tab/>
      </w:r>
      <w:r w:rsidRPr="00DB4AAB">
        <w:rPr>
          <w:rFonts w:hint="eastAsia"/>
          <w:lang w:val="en-US" w:eastAsia="zh-CN"/>
        </w:rPr>
        <w:t>与其它可能开展涉及</w:t>
      </w:r>
      <w:r w:rsidRPr="00DB4AAB">
        <w:rPr>
          <w:rFonts w:ascii="SimSun" w:hAnsi="SimSun" w:cs="SimSun" w:hint="eastAsia"/>
          <w:lang w:val="en-US" w:eastAsia="zh-CN"/>
        </w:rPr>
        <w:t>《战略规划》和《财务规划》草案</w:t>
      </w:r>
      <w:r w:rsidRPr="00DB4AAB">
        <w:rPr>
          <w:rFonts w:hint="eastAsia"/>
          <w:lang w:val="en-US" w:eastAsia="zh-CN"/>
        </w:rPr>
        <w:t>工作的理事会工作组和各部门的顾问组进行紧密协调，</w:t>
      </w:r>
    </w:p>
    <w:p w14:paraId="5C807930" w14:textId="77777777" w:rsidR="00536A46" w:rsidRDefault="00536A46">
      <w:pPr>
        <w:tabs>
          <w:tab w:val="clear" w:pos="794"/>
          <w:tab w:val="clear" w:pos="1191"/>
          <w:tab w:val="clear" w:pos="1588"/>
          <w:tab w:val="clear" w:pos="1985"/>
        </w:tabs>
        <w:overflowPunct/>
        <w:autoSpaceDE/>
        <w:autoSpaceDN/>
        <w:adjustRightInd/>
        <w:spacing w:before="0"/>
        <w:jc w:val="left"/>
        <w:textAlignment w:val="auto"/>
        <w:rPr>
          <w:rFonts w:eastAsia="STKaiti"/>
          <w:lang w:val="en-US" w:eastAsia="zh-CN"/>
        </w:rPr>
      </w:pPr>
      <w:r>
        <w:rPr>
          <w:lang w:val="en-US" w:eastAsia="zh-CN"/>
        </w:rPr>
        <w:br w:type="page"/>
      </w:r>
    </w:p>
    <w:p w14:paraId="3C30D8BA" w14:textId="337CF99B" w:rsidR="00C34580" w:rsidRPr="00DB4AAB" w:rsidRDefault="00C34580" w:rsidP="00C34580">
      <w:pPr>
        <w:pStyle w:val="Call"/>
        <w:rPr>
          <w:lang w:val="en-US" w:eastAsia="zh-CN"/>
        </w:rPr>
      </w:pPr>
      <w:r w:rsidRPr="00DB4AAB">
        <w:rPr>
          <w:rFonts w:hint="eastAsia"/>
          <w:lang w:val="en-US" w:eastAsia="zh-CN"/>
        </w:rPr>
        <w:lastRenderedPageBreak/>
        <w:t>责成秘书长</w:t>
      </w:r>
      <w:r>
        <w:rPr>
          <w:rFonts w:hint="eastAsia"/>
          <w:lang w:val="en-US" w:eastAsia="zh-CN"/>
        </w:rPr>
        <w:t>，</w:t>
      </w:r>
      <w:r w:rsidRPr="00DB4AAB">
        <w:rPr>
          <w:rFonts w:hint="eastAsia"/>
          <w:lang w:val="en-US" w:eastAsia="zh-CN"/>
        </w:rPr>
        <w:t>在各局主任的支持下，</w:t>
      </w:r>
    </w:p>
    <w:p w14:paraId="38F73262" w14:textId="77777777" w:rsidR="00C34580" w:rsidRPr="00DB4AAB" w:rsidRDefault="00C34580" w:rsidP="00C34580">
      <w:pPr>
        <w:pStyle w:val="NormalCH"/>
        <w:ind w:firstLine="480"/>
        <w:rPr>
          <w:lang w:val="en-US"/>
        </w:rPr>
      </w:pPr>
      <w:r w:rsidRPr="00DB4AAB">
        <w:rPr>
          <w:rFonts w:hint="eastAsia"/>
          <w:lang w:val="en-US"/>
        </w:rPr>
        <w:t>为</w:t>
      </w:r>
      <w:r w:rsidRPr="00DB4AAB">
        <w:rPr>
          <w:lang w:val="en-US"/>
        </w:rPr>
        <w:t>CWG-SFP</w:t>
      </w:r>
      <w:r w:rsidRPr="00DB4AAB">
        <w:rPr>
          <w:rFonts w:hint="eastAsia"/>
          <w:lang w:val="en-US"/>
        </w:rPr>
        <w:t>的运作提供必要的支持和文件，</w:t>
      </w:r>
    </w:p>
    <w:p w14:paraId="7E54B922" w14:textId="77777777" w:rsidR="00C34580" w:rsidRPr="00DB4AAB" w:rsidRDefault="00C34580" w:rsidP="00C34580">
      <w:pPr>
        <w:pStyle w:val="Call"/>
        <w:rPr>
          <w:lang w:val="en-US" w:eastAsia="zh-CN"/>
        </w:rPr>
      </w:pPr>
      <w:r w:rsidRPr="00DB4AAB">
        <w:rPr>
          <w:rFonts w:hint="eastAsia"/>
          <w:lang w:val="en-US" w:eastAsia="zh-CN"/>
        </w:rPr>
        <w:t>请各成员、各理事会工作组、选任官员以及各部门的顾问组</w:t>
      </w:r>
    </w:p>
    <w:p w14:paraId="13020180" w14:textId="1DC65F7E" w:rsidR="00C34580" w:rsidRDefault="00C34580" w:rsidP="00C34580">
      <w:pPr>
        <w:pStyle w:val="NormalCH"/>
        <w:ind w:firstLine="480"/>
        <w:rPr>
          <w:lang w:val="en-US"/>
        </w:rPr>
      </w:pPr>
      <w:r w:rsidRPr="00DB4AAB">
        <w:rPr>
          <w:rFonts w:hint="eastAsia"/>
          <w:lang w:val="en-US"/>
        </w:rPr>
        <w:t>为制定《战略规划》草案和《财务规划》草案提供所有文稿和一切必要</w:t>
      </w:r>
      <w:r>
        <w:rPr>
          <w:rFonts w:hint="eastAsia"/>
          <w:lang w:val="en-US"/>
        </w:rPr>
        <w:t>协</w:t>
      </w:r>
      <w:r w:rsidRPr="00DB4AAB">
        <w:rPr>
          <w:rFonts w:hint="eastAsia"/>
          <w:lang w:val="en-US"/>
        </w:rPr>
        <w:t>助，并</w:t>
      </w:r>
      <w:r>
        <w:rPr>
          <w:rFonts w:hint="eastAsia"/>
          <w:lang w:val="en-US"/>
        </w:rPr>
        <w:t>且</w:t>
      </w:r>
      <w:r w:rsidRPr="00DB4AAB">
        <w:rPr>
          <w:rFonts w:hint="eastAsia"/>
          <w:lang w:val="en-US"/>
        </w:rPr>
        <w:t>充分利用电子手段开展工作。</w:t>
      </w:r>
    </w:p>
    <w:p w14:paraId="58D89ED8" w14:textId="74AFF7E7" w:rsidR="00C34580" w:rsidRPr="00C34580" w:rsidRDefault="00C34580" w:rsidP="00E51375">
      <w:pPr>
        <w:pStyle w:val="Endtext"/>
        <w:tabs>
          <w:tab w:val="clear" w:pos="1134"/>
          <w:tab w:val="clear" w:pos="1701"/>
          <w:tab w:val="clear" w:pos="2268"/>
          <w:tab w:val="clear" w:pos="2835"/>
          <w:tab w:val="left" w:pos="794"/>
          <w:tab w:val="left" w:pos="1191"/>
          <w:tab w:val="left" w:pos="1588"/>
          <w:tab w:val="left" w:pos="1985"/>
        </w:tabs>
        <w:ind w:left="567" w:hanging="567"/>
        <w:jc w:val="both"/>
        <w:rPr>
          <w:lang w:val="en-US" w:eastAsia="zh-CN"/>
        </w:rPr>
      </w:pPr>
      <w:r w:rsidRPr="005901EF">
        <w:rPr>
          <w:rFonts w:ascii="STKaiti" w:hAnsi="SimSun" w:hint="eastAsia"/>
          <w:lang w:eastAsia="zh-CN"/>
        </w:rPr>
        <w:t>参阅：</w:t>
      </w:r>
      <w:r w:rsidRPr="00C34580">
        <w:rPr>
          <w:lang w:val="en-GB" w:eastAsia="zh-CN"/>
        </w:rPr>
        <w:tab/>
      </w:r>
      <w:hyperlink r:id="rId335" w:history="1">
        <w:r w:rsidRPr="00C34580">
          <w:rPr>
            <w:rStyle w:val="Hyperlink"/>
            <w:lang w:val="en-GB" w:eastAsia="zh-CN"/>
          </w:rPr>
          <w:t>C21/64</w:t>
        </w:r>
      </w:hyperlink>
      <w:r>
        <w:rPr>
          <w:rFonts w:hint="eastAsia"/>
          <w:lang w:eastAsia="zh-CN"/>
        </w:rPr>
        <w:t>、</w:t>
      </w:r>
      <w:hyperlink r:id="rId336" w:history="1">
        <w:r w:rsidRPr="00C34580">
          <w:rPr>
            <w:rStyle w:val="Hyperlink"/>
            <w:lang w:val="en-GB" w:eastAsia="zh-CN"/>
          </w:rPr>
          <w:t>C21/85</w:t>
        </w:r>
      </w:hyperlink>
      <w:r>
        <w:rPr>
          <w:rFonts w:hint="eastAsia"/>
          <w:lang w:eastAsia="zh-CN"/>
        </w:rPr>
        <w:t>和</w:t>
      </w:r>
      <w:hyperlink r:id="rId337" w:history="1">
        <w:r w:rsidRPr="00C34580">
          <w:rPr>
            <w:rStyle w:val="Hyperlink"/>
            <w:lang w:val="en-GB" w:eastAsia="zh-CN"/>
          </w:rPr>
          <w:t>DM-21/1017</w:t>
        </w:r>
      </w:hyperlink>
      <w:r>
        <w:rPr>
          <w:rFonts w:hint="eastAsia"/>
          <w:lang w:eastAsia="zh-CN"/>
        </w:rPr>
        <w:t>号文件。</w:t>
      </w:r>
    </w:p>
    <w:p w14:paraId="62064D6F" w14:textId="77777777" w:rsidR="00C34580" w:rsidRDefault="00C34580" w:rsidP="00C34580">
      <w:pPr>
        <w:spacing w:before="840"/>
        <w:jc w:val="center"/>
        <w:rPr>
          <w:lang w:eastAsia="zh-CN"/>
        </w:rPr>
      </w:pPr>
      <w:r>
        <w:rPr>
          <w:lang w:eastAsia="zh-CN"/>
        </w:rPr>
        <w:t>______________</w:t>
      </w:r>
    </w:p>
    <w:p w14:paraId="4827B4FA" w14:textId="77777777" w:rsidR="007C1781" w:rsidRDefault="00AE7F4C" w:rsidP="00CA7362">
      <w:pPr>
        <w:pStyle w:val="DecNo"/>
        <w:outlineLvl w:val="0"/>
      </w:pPr>
      <w:bookmarkStart w:id="1749" w:name="_Toc424117043"/>
      <w:bookmarkStart w:id="1750" w:name="_Toc531706395"/>
      <w:bookmarkStart w:id="1751" w:name="_Toc531707002"/>
      <w:bookmarkStart w:id="1752" w:name="_Toc531768483"/>
      <w:bookmarkStart w:id="1753" w:name="_Toc16085799"/>
      <w:bookmarkStart w:id="1754" w:name="_Toc86395604"/>
      <w:r>
        <w:rPr>
          <w:rFonts w:ascii="SimSun" w:hAnsi="SimSun" w:hint="eastAsia"/>
        </w:rPr>
        <w:t>第</w:t>
      </w:r>
      <w:r w:rsidRPr="002A551B">
        <w:t>8</w:t>
      </w:r>
      <w:r>
        <w:rPr>
          <w:rFonts w:ascii="SimSun" w:hAnsi="SimSun" w:hint="eastAsia"/>
        </w:rPr>
        <w:t>号决定</w:t>
      </w:r>
      <w:r w:rsidR="007C1781">
        <w:rPr>
          <w:rFonts w:ascii="SimSun" w:hAnsi="SimSun" w:hint="eastAsia"/>
        </w:rPr>
        <w:t>（</w:t>
      </w:r>
      <w:r w:rsidR="007C1781" w:rsidRPr="00B419B1">
        <w:t>C-1950</w:t>
      </w:r>
      <w:r w:rsidR="007C1781" w:rsidRPr="00B419B1">
        <w:rPr>
          <w:rFonts w:hint="eastAsia"/>
        </w:rPr>
        <w:t>，最后修正</w:t>
      </w:r>
      <w:r w:rsidR="007C1781" w:rsidRPr="00B419B1">
        <w:t>C-1958</w:t>
      </w:r>
      <w:r w:rsidR="007C1781">
        <w:rPr>
          <w:rFonts w:hint="eastAsia"/>
        </w:rPr>
        <w:t>）</w:t>
      </w:r>
      <w:bookmarkEnd w:id="1749"/>
      <w:bookmarkEnd w:id="1750"/>
      <w:bookmarkEnd w:id="1751"/>
      <w:bookmarkEnd w:id="1752"/>
      <w:bookmarkEnd w:id="1753"/>
      <w:bookmarkEnd w:id="1754"/>
    </w:p>
    <w:p w14:paraId="4827B4FB" w14:textId="77777777" w:rsidR="00AE7F4C" w:rsidRPr="007C1781" w:rsidRDefault="00AE7F4C" w:rsidP="007C1781">
      <w:pPr>
        <w:pStyle w:val="Dectitle"/>
      </w:pPr>
      <w:bookmarkStart w:id="1755" w:name="_Toc424117044"/>
      <w:bookmarkStart w:id="1756" w:name="_Toc460248157"/>
      <w:bookmarkStart w:id="1757" w:name="_Toc531706396"/>
      <w:bookmarkStart w:id="1758" w:name="_Toc531707003"/>
      <w:bookmarkStart w:id="1759" w:name="_Toc531768484"/>
      <w:bookmarkStart w:id="1760" w:name="_Toc16085800"/>
      <w:bookmarkStart w:id="1761" w:name="_Toc86395605"/>
      <w:r w:rsidRPr="007C1781">
        <w:rPr>
          <w:rFonts w:hint="eastAsia"/>
        </w:rPr>
        <w:t>应发至国际电联成员国的与理事会决定相关的文件</w:t>
      </w:r>
      <w:bookmarkEnd w:id="1638"/>
      <w:bookmarkEnd w:id="1639"/>
      <w:bookmarkEnd w:id="1640"/>
      <w:bookmarkEnd w:id="1641"/>
      <w:bookmarkEnd w:id="1642"/>
      <w:bookmarkEnd w:id="1739"/>
      <w:bookmarkEnd w:id="1755"/>
      <w:bookmarkEnd w:id="1756"/>
      <w:bookmarkEnd w:id="1757"/>
      <w:bookmarkEnd w:id="1758"/>
      <w:bookmarkEnd w:id="1759"/>
      <w:bookmarkEnd w:id="1760"/>
      <w:bookmarkEnd w:id="1761"/>
    </w:p>
    <w:p w14:paraId="4827B4FC" w14:textId="77777777" w:rsidR="00F13B79" w:rsidRDefault="00F11D1D" w:rsidP="00B64353">
      <w:pPr>
        <w:pStyle w:val="Normalaftertitle"/>
        <w:rPr>
          <w:lang w:eastAsia="zh-CN"/>
        </w:rPr>
      </w:pPr>
      <w:r w:rsidRPr="00D746C3">
        <w:rPr>
          <w:lang w:eastAsia="zh-CN"/>
        </w:rPr>
        <w:tab/>
      </w:r>
      <w:r w:rsidR="00F13B79">
        <w:rPr>
          <w:rFonts w:ascii="STKaiti" w:eastAsia="STKaiti" w:hAnsi="SimSun" w:hint="eastAsia"/>
          <w:lang w:eastAsia="zh-CN"/>
        </w:rPr>
        <w:t>兹决定</w:t>
      </w:r>
      <w:r w:rsidR="00F13B79">
        <w:rPr>
          <w:rFonts w:ascii="SimSun" w:hAnsi="SimSun" w:hint="eastAsia"/>
          <w:lang w:eastAsia="zh-CN"/>
        </w:rPr>
        <w:t>考虑到理事会议事规则第</w:t>
      </w:r>
      <w:r w:rsidR="00F13B79">
        <w:rPr>
          <w:lang w:eastAsia="zh-CN"/>
        </w:rPr>
        <w:t>21</w:t>
      </w:r>
      <w:r w:rsidR="00F13B79">
        <w:rPr>
          <w:rFonts w:ascii="SimSun" w:hAnsi="SimSun" w:hint="eastAsia"/>
          <w:lang w:eastAsia="zh-CN"/>
        </w:rPr>
        <w:t>条规则的规定，</w:t>
      </w:r>
      <w:r w:rsidR="00F13B79">
        <w:rPr>
          <w:rFonts w:hint="eastAsia"/>
          <w:lang w:eastAsia="zh-CN"/>
        </w:rPr>
        <w:t>除全体会议和委员会会议摘要记录以及理事会所做的决议和决定的案文外，由秘书长自行决定，哪些文件应分发给各主管部门，以利于他们了解理事会的活动及其决定。</w:t>
      </w:r>
    </w:p>
    <w:p w14:paraId="4827B4FD" w14:textId="77777777" w:rsidR="00F11D1D" w:rsidRPr="00D746C3" w:rsidRDefault="00F13B79" w:rsidP="007C1781">
      <w:pPr>
        <w:pStyle w:val="Endtext"/>
        <w:rPr>
          <w:lang w:eastAsia="zh-CN"/>
        </w:rPr>
      </w:pPr>
      <w:r>
        <w:rPr>
          <w:rFonts w:ascii="STKaiti" w:hAnsi="SimSun" w:hint="eastAsia"/>
          <w:lang w:eastAsia="zh-CN"/>
        </w:rPr>
        <w:t>参阅：</w:t>
      </w:r>
      <w:r>
        <w:rPr>
          <w:lang w:eastAsia="zh-CN"/>
        </w:rPr>
        <w:tab/>
        <w:t>807/CA5</w:t>
      </w:r>
      <w:r>
        <w:rPr>
          <w:lang w:eastAsia="zh-CN"/>
        </w:rPr>
        <w:t>（</w:t>
      </w:r>
      <w:r>
        <w:rPr>
          <w:lang w:eastAsia="zh-CN"/>
        </w:rPr>
        <w:t>1950</w:t>
      </w:r>
      <w:r>
        <w:rPr>
          <w:rFonts w:hint="eastAsia"/>
          <w:lang w:eastAsia="zh-CN"/>
        </w:rPr>
        <w:t>年</w:t>
      </w:r>
      <w:r>
        <w:rPr>
          <w:lang w:eastAsia="zh-CN"/>
        </w:rPr>
        <w:t>）</w:t>
      </w:r>
      <w:r>
        <w:rPr>
          <w:rFonts w:hint="eastAsia"/>
          <w:lang w:eastAsia="zh-CN"/>
        </w:rPr>
        <w:t>，</w:t>
      </w:r>
      <w:r>
        <w:rPr>
          <w:lang w:eastAsia="zh-CN"/>
        </w:rPr>
        <w:t>2138/CA13</w:t>
      </w:r>
      <w:r>
        <w:rPr>
          <w:lang w:eastAsia="zh-CN"/>
        </w:rPr>
        <w:t>（</w:t>
      </w:r>
      <w:r>
        <w:rPr>
          <w:lang w:eastAsia="zh-CN"/>
        </w:rPr>
        <w:t>1958</w:t>
      </w:r>
      <w:r>
        <w:rPr>
          <w:rFonts w:hint="eastAsia"/>
          <w:lang w:eastAsia="zh-CN"/>
        </w:rPr>
        <w:t>年</w:t>
      </w:r>
      <w:r>
        <w:rPr>
          <w:lang w:eastAsia="zh-CN"/>
        </w:rPr>
        <w:t>）</w:t>
      </w:r>
      <w:r>
        <w:rPr>
          <w:rFonts w:ascii="SimSun" w:hAnsi="SimSun" w:hint="eastAsia"/>
          <w:lang w:eastAsia="zh-CN"/>
        </w:rPr>
        <w:t>号文件。</w:t>
      </w:r>
    </w:p>
    <w:p w14:paraId="4827B4FE" w14:textId="77777777" w:rsidR="00F618BC" w:rsidRDefault="00F618BC" w:rsidP="00F618BC">
      <w:pPr>
        <w:jc w:val="center"/>
        <w:rPr>
          <w:lang w:eastAsia="zh-CN"/>
        </w:rPr>
      </w:pPr>
      <w:bookmarkStart w:id="1762" w:name="_Toc424117045"/>
      <w:bookmarkStart w:id="1763" w:name="_Toc531706397"/>
      <w:bookmarkStart w:id="1764" w:name="_Toc531707004"/>
      <w:bookmarkStart w:id="1765" w:name="_Toc531768485"/>
      <w:bookmarkStart w:id="1766" w:name="_Toc161224048"/>
      <w:bookmarkStart w:id="1767" w:name="_Toc161732094"/>
      <w:bookmarkStart w:id="1768" w:name="_Toc161741022"/>
      <w:bookmarkStart w:id="1769" w:name="_Toc185237693"/>
      <w:bookmarkStart w:id="1770" w:name="_Toc311469616"/>
      <w:r>
        <w:rPr>
          <w:lang w:eastAsia="zh-CN"/>
        </w:rPr>
        <w:t>______________</w:t>
      </w:r>
    </w:p>
    <w:p w14:paraId="4827B4FF" w14:textId="77777777" w:rsidR="007C1781" w:rsidRDefault="008627B1" w:rsidP="00CA7362">
      <w:pPr>
        <w:pStyle w:val="DecNo"/>
        <w:outlineLvl w:val="0"/>
      </w:pPr>
      <w:bookmarkStart w:id="1771" w:name="_Toc16085801"/>
      <w:bookmarkStart w:id="1772" w:name="_Toc86395606"/>
      <w:r>
        <w:rPr>
          <w:rFonts w:hint="eastAsia"/>
        </w:rPr>
        <w:t>第</w:t>
      </w:r>
      <w:r>
        <w:t>375</w:t>
      </w:r>
      <w:r>
        <w:rPr>
          <w:rFonts w:hint="eastAsia"/>
        </w:rPr>
        <w:t>号决定</w:t>
      </w:r>
      <w:r w:rsidR="007C1781">
        <w:rPr>
          <w:rFonts w:hint="eastAsia"/>
        </w:rPr>
        <w:t>（</w:t>
      </w:r>
      <w:r w:rsidR="007C1781" w:rsidRPr="00B419B1">
        <w:t>C-1975</w:t>
      </w:r>
      <w:r w:rsidR="007C1781" w:rsidRPr="00B419B1">
        <w:rPr>
          <w:rFonts w:hint="eastAsia"/>
        </w:rPr>
        <w:t>，</w:t>
      </w:r>
      <w:r w:rsidR="007C1781" w:rsidRPr="00B419B1">
        <w:t>最后修正</w:t>
      </w:r>
      <w:r w:rsidR="007C1781" w:rsidRPr="00B419B1">
        <w:t>C-1990</w:t>
      </w:r>
      <w:r w:rsidR="007C1781">
        <w:rPr>
          <w:rFonts w:hint="eastAsia"/>
        </w:rPr>
        <w:t>）</w:t>
      </w:r>
      <w:bookmarkEnd w:id="1762"/>
      <w:bookmarkEnd w:id="1763"/>
      <w:bookmarkEnd w:id="1764"/>
      <w:bookmarkEnd w:id="1765"/>
      <w:bookmarkEnd w:id="1771"/>
      <w:bookmarkEnd w:id="1772"/>
    </w:p>
    <w:p w14:paraId="4827B500" w14:textId="77777777" w:rsidR="008627B1" w:rsidRPr="007C1781" w:rsidRDefault="008627B1" w:rsidP="007C1781">
      <w:pPr>
        <w:pStyle w:val="Dectitle"/>
      </w:pPr>
      <w:bookmarkStart w:id="1773" w:name="_Toc424117046"/>
      <w:bookmarkStart w:id="1774" w:name="_Toc460248159"/>
      <w:bookmarkStart w:id="1775" w:name="_Toc531706398"/>
      <w:bookmarkStart w:id="1776" w:name="_Toc531707005"/>
      <w:bookmarkStart w:id="1777" w:name="_Toc531768486"/>
      <w:bookmarkStart w:id="1778" w:name="_Toc16085802"/>
      <w:bookmarkStart w:id="1779" w:name="_Toc86395607"/>
      <w:r w:rsidRPr="007C1781">
        <w:rPr>
          <w:rFonts w:hint="eastAsia"/>
        </w:rPr>
        <w:t>理事国的差旅费</w:t>
      </w:r>
      <w:bookmarkEnd w:id="1766"/>
      <w:bookmarkEnd w:id="1767"/>
      <w:bookmarkEnd w:id="1768"/>
      <w:bookmarkEnd w:id="1769"/>
      <w:bookmarkEnd w:id="1770"/>
      <w:bookmarkEnd w:id="1773"/>
      <w:bookmarkEnd w:id="1774"/>
      <w:bookmarkEnd w:id="1775"/>
      <w:bookmarkEnd w:id="1776"/>
      <w:bookmarkEnd w:id="1777"/>
      <w:bookmarkEnd w:id="1778"/>
      <w:bookmarkEnd w:id="1779"/>
    </w:p>
    <w:p w14:paraId="4827B501" w14:textId="77777777" w:rsidR="008627B1" w:rsidRDefault="008627B1" w:rsidP="007C1781">
      <w:pPr>
        <w:pStyle w:val="Normalaftertitle"/>
        <w:rPr>
          <w:lang w:eastAsia="zh-CN"/>
        </w:rPr>
      </w:pPr>
      <w:r w:rsidRPr="007C1781">
        <w:rPr>
          <w:rFonts w:hint="eastAsia"/>
          <w:lang w:eastAsia="zh-CN"/>
        </w:rPr>
        <w:t>理事会</w:t>
      </w:r>
      <w:r w:rsidR="00FF14D7">
        <w:rPr>
          <w:rFonts w:hint="eastAsia"/>
          <w:lang w:eastAsia="zh-CN"/>
        </w:rPr>
        <w:t>，</w:t>
      </w:r>
    </w:p>
    <w:p w14:paraId="4827B502" w14:textId="77777777" w:rsidR="008627B1" w:rsidRDefault="008627B1" w:rsidP="007C1781">
      <w:pPr>
        <w:rPr>
          <w:lang w:eastAsia="zh-CN"/>
        </w:rPr>
      </w:pPr>
      <w:r>
        <w:rPr>
          <w:lang w:eastAsia="zh-CN"/>
        </w:rPr>
        <w:tab/>
      </w:r>
      <w:r>
        <w:rPr>
          <w:rFonts w:ascii="STKaiti" w:eastAsia="STKaiti" w:hint="eastAsia"/>
          <w:lang w:eastAsia="zh-CN"/>
        </w:rPr>
        <w:t>做出决定，</w:t>
      </w:r>
      <w:r>
        <w:rPr>
          <w:rFonts w:hint="eastAsia"/>
          <w:lang w:eastAsia="zh-CN"/>
        </w:rPr>
        <w:t>自第</w:t>
      </w:r>
      <w:r>
        <w:rPr>
          <w:lang w:eastAsia="zh-CN"/>
        </w:rPr>
        <w:t>46</w:t>
      </w:r>
      <w:r>
        <w:rPr>
          <w:rFonts w:hint="eastAsia"/>
          <w:lang w:eastAsia="zh-CN"/>
        </w:rPr>
        <w:t>届会议起，理事的航空差旅费将按经济舱价格报销。然而，当对国际电联委任职员采用其他安排时，这些安排也适用于各位理事。</w:t>
      </w:r>
    </w:p>
    <w:p w14:paraId="4827B503" w14:textId="77777777" w:rsidR="00F11D1D" w:rsidRPr="00D746C3" w:rsidRDefault="008627B1" w:rsidP="007C1781">
      <w:pPr>
        <w:pStyle w:val="Endtext"/>
        <w:rPr>
          <w:lang w:eastAsia="zh-CN"/>
        </w:rPr>
      </w:pPr>
      <w:r>
        <w:rPr>
          <w:rFonts w:ascii="STKaiti" w:hAnsi="SimSun" w:hint="eastAsia"/>
          <w:lang w:eastAsia="zh-CN"/>
        </w:rPr>
        <w:t>参阅：</w:t>
      </w:r>
      <w:r>
        <w:rPr>
          <w:lang w:eastAsia="zh-CN"/>
        </w:rPr>
        <w:tab/>
        <w:t>4856/CA30</w:t>
      </w:r>
      <w:r>
        <w:rPr>
          <w:lang w:eastAsia="zh-CN"/>
        </w:rPr>
        <w:t>（</w:t>
      </w:r>
      <w:r>
        <w:rPr>
          <w:lang w:eastAsia="zh-CN"/>
        </w:rPr>
        <w:t>1975</w:t>
      </w:r>
      <w:r>
        <w:rPr>
          <w:rFonts w:hint="eastAsia"/>
          <w:lang w:eastAsia="zh-CN"/>
        </w:rPr>
        <w:t>年</w:t>
      </w:r>
      <w:r>
        <w:rPr>
          <w:lang w:eastAsia="zh-CN"/>
        </w:rPr>
        <w:t>）</w:t>
      </w:r>
      <w:r w:rsidR="00FF14D7">
        <w:rPr>
          <w:rFonts w:hint="eastAsia"/>
          <w:lang w:eastAsia="zh-CN"/>
        </w:rPr>
        <w:t>，</w:t>
      </w:r>
      <w:r>
        <w:rPr>
          <w:lang w:eastAsia="zh-CN"/>
        </w:rPr>
        <w:t>7064</w:t>
      </w:r>
      <w:r>
        <w:rPr>
          <w:rFonts w:ascii="SimSun" w:hAnsi="SimSun" w:hint="eastAsia"/>
          <w:lang w:eastAsia="zh-CN"/>
        </w:rPr>
        <w:t>和</w:t>
      </w:r>
      <w:r>
        <w:rPr>
          <w:lang w:eastAsia="zh-CN"/>
        </w:rPr>
        <w:t>7076/CA45</w:t>
      </w:r>
      <w:r>
        <w:rPr>
          <w:lang w:eastAsia="zh-CN"/>
        </w:rPr>
        <w:t>（</w:t>
      </w:r>
      <w:r>
        <w:rPr>
          <w:lang w:eastAsia="zh-CN"/>
        </w:rPr>
        <w:t>1990</w:t>
      </w:r>
      <w:r>
        <w:rPr>
          <w:rFonts w:hint="eastAsia"/>
          <w:lang w:eastAsia="zh-CN"/>
        </w:rPr>
        <w:t>年</w:t>
      </w:r>
      <w:r>
        <w:rPr>
          <w:lang w:eastAsia="zh-CN"/>
        </w:rPr>
        <w:t>）</w:t>
      </w:r>
      <w:r>
        <w:rPr>
          <w:rFonts w:ascii="SimSun" w:hAnsi="SimSun" w:hint="eastAsia"/>
          <w:lang w:eastAsia="zh-CN"/>
        </w:rPr>
        <w:t>号文件。</w:t>
      </w:r>
    </w:p>
    <w:p w14:paraId="4827B504" w14:textId="78501EA6" w:rsidR="00F618BC" w:rsidRDefault="00F618BC" w:rsidP="00F618BC">
      <w:pPr>
        <w:jc w:val="center"/>
        <w:rPr>
          <w:lang w:eastAsia="zh-CN"/>
        </w:rPr>
      </w:pPr>
      <w:bookmarkStart w:id="1780" w:name="_Toc424117047"/>
      <w:bookmarkStart w:id="1781" w:name="_Toc531706399"/>
      <w:bookmarkStart w:id="1782" w:name="_Toc531707006"/>
      <w:bookmarkStart w:id="1783" w:name="_Toc531768487"/>
      <w:bookmarkStart w:id="1784" w:name="_Toc311469617"/>
      <w:r>
        <w:rPr>
          <w:lang w:eastAsia="zh-CN"/>
        </w:rPr>
        <w:t>______________</w:t>
      </w:r>
    </w:p>
    <w:p w14:paraId="34B4BEDE" w14:textId="043F2D66" w:rsidR="00892DD1" w:rsidRDefault="00892DD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505" w14:textId="77777777" w:rsidR="00195B65" w:rsidRDefault="00195B65" w:rsidP="00CA7362">
      <w:pPr>
        <w:pStyle w:val="DecNo"/>
        <w:outlineLvl w:val="0"/>
      </w:pPr>
      <w:bookmarkStart w:id="1785" w:name="_Toc16085803"/>
      <w:bookmarkStart w:id="1786" w:name="_Toc86395608"/>
      <w:r w:rsidRPr="007C1781">
        <w:rPr>
          <w:rFonts w:hint="eastAsia"/>
        </w:rPr>
        <w:lastRenderedPageBreak/>
        <w:t>第</w:t>
      </w:r>
      <w:r w:rsidRPr="007C1781">
        <w:t>495</w:t>
      </w:r>
      <w:r w:rsidRPr="007C1781">
        <w:rPr>
          <w:rFonts w:hint="eastAsia"/>
        </w:rPr>
        <w:t>号决定（</w:t>
      </w:r>
      <w:r>
        <w:t>C-2000</w:t>
      </w:r>
      <w:r>
        <w:rPr>
          <w:rFonts w:hint="eastAsia"/>
        </w:rPr>
        <w:t>，</w:t>
      </w:r>
      <w:r>
        <w:rPr>
          <w:rFonts w:hint="eastAsia"/>
          <w:szCs w:val="28"/>
        </w:rPr>
        <w:t>最后</w:t>
      </w:r>
      <w:r>
        <w:rPr>
          <w:szCs w:val="28"/>
        </w:rPr>
        <w:t>修</w:t>
      </w:r>
      <w:r w:rsidR="00F618BC">
        <w:rPr>
          <w:rFonts w:hint="eastAsia"/>
          <w:szCs w:val="28"/>
        </w:rPr>
        <w:t>正</w:t>
      </w:r>
      <w:r w:rsidR="00F618BC" w:rsidRPr="00B419B1">
        <w:t>C</w:t>
      </w:r>
      <w:r w:rsidR="00F618BC">
        <w:rPr>
          <w:rFonts w:hint="eastAsia"/>
          <w:szCs w:val="28"/>
        </w:rPr>
        <w:t>16</w:t>
      </w:r>
      <w:r w:rsidRPr="007C1781">
        <w:rPr>
          <w:rFonts w:hint="eastAsia"/>
        </w:rPr>
        <w:t>）</w:t>
      </w:r>
      <w:bookmarkEnd w:id="1780"/>
      <w:bookmarkEnd w:id="1781"/>
      <w:bookmarkEnd w:id="1782"/>
      <w:bookmarkEnd w:id="1783"/>
      <w:bookmarkEnd w:id="1785"/>
      <w:bookmarkEnd w:id="1786"/>
    </w:p>
    <w:p w14:paraId="4827B506" w14:textId="77777777" w:rsidR="00195B65" w:rsidRDefault="00195B65" w:rsidP="00195B65">
      <w:pPr>
        <w:pStyle w:val="Dectitle"/>
      </w:pPr>
      <w:bookmarkStart w:id="1787" w:name="_Toc424117048"/>
      <w:bookmarkStart w:id="1788" w:name="_Toc460248161"/>
      <w:bookmarkStart w:id="1789" w:name="_Toc531706400"/>
      <w:bookmarkStart w:id="1790" w:name="_Toc531707007"/>
      <w:bookmarkStart w:id="1791" w:name="_Toc531768488"/>
      <w:bookmarkStart w:id="1792" w:name="_Toc16085804"/>
      <w:bookmarkStart w:id="1793" w:name="_Toc86395609"/>
      <w:r>
        <w:rPr>
          <w:rFonts w:hint="eastAsia"/>
        </w:rPr>
        <w:t>理事会的情况</w:t>
      </w:r>
      <w:r>
        <w:t>通报</w:t>
      </w:r>
      <w:r>
        <w:rPr>
          <w:rFonts w:hint="eastAsia"/>
        </w:rPr>
        <w:t>文件</w:t>
      </w:r>
      <w:bookmarkEnd w:id="1784"/>
      <w:bookmarkEnd w:id="1787"/>
      <w:bookmarkEnd w:id="1788"/>
      <w:bookmarkEnd w:id="1789"/>
      <w:bookmarkEnd w:id="1790"/>
      <w:bookmarkEnd w:id="1791"/>
      <w:bookmarkEnd w:id="1792"/>
      <w:bookmarkEnd w:id="1793"/>
    </w:p>
    <w:p w14:paraId="4827B507" w14:textId="77777777" w:rsidR="00195B65" w:rsidRPr="00F75967" w:rsidRDefault="00195B65" w:rsidP="00195B65">
      <w:pPr>
        <w:pStyle w:val="Normalaftertitle"/>
        <w:rPr>
          <w:lang w:eastAsia="zh-CN"/>
        </w:rPr>
      </w:pPr>
      <w:r w:rsidRPr="00F75967">
        <w:rPr>
          <w:rFonts w:ascii="SimSun" w:hAnsi="SimSun" w:cs="SimSun" w:hint="eastAsia"/>
          <w:lang w:eastAsia="zh-CN"/>
        </w:rPr>
        <w:t>理事会，</w:t>
      </w:r>
    </w:p>
    <w:p w14:paraId="4827B508" w14:textId="77777777" w:rsidR="00195B65" w:rsidRPr="00FD7DFF" w:rsidRDefault="00195B65" w:rsidP="00195B65">
      <w:pPr>
        <w:pStyle w:val="Call"/>
        <w:rPr>
          <w:lang w:eastAsia="zh-CN"/>
        </w:rPr>
      </w:pPr>
      <w:r w:rsidRPr="00FD7DFF">
        <w:rPr>
          <w:lang w:eastAsia="zh-CN"/>
        </w:rPr>
        <w:t>注意到</w:t>
      </w:r>
    </w:p>
    <w:p w14:paraId="4827B509" w14:textId="77777777" w:rsidR="00195B65" w:rsidRDefault="00195B65" w:rsidP="00195B65">
      <w:pPr>
        <w:rPr>
          <w:lang w:eastAsia="zh-CN"/>
        </w:rPr>
      </w:pPr>
      <w:r w:rsidRPr="0060660C">
        <w:rPr>
          <w:i/>
          <w:iCs/>
          <w:lang w:eastAsia="zh-CN"/>
        </w:rPr>
        <w:t>a)</w:t>
      </w:r>
      <w:r>
        <w:rPr>
          <w:lang w:eastAsia="zh-CN"/>
        </w:rPr>
        <w:tab/>
      </w:r>
      <w:r>
        <w:rPr>
          <w:rFonts w:hint="eastAsia"/>
          <w:lang w:eastAsia="zh-CN"/>
        </w:rPr>
        <w:t>第</w:t>
      </w:r>
      <w:r>
        <w:rPr>
          <w:rFonts w:hint="eastAsia"/>
          <w:lang w:eastAsia="zh-CN"/>
        </w:rPr>
        <w:t>5</w:t>
      </w:r>
      <w:r>
        <w:rPr>
          <w:rFonts w:hint="eastAsia"/>
          <w:lang w:eastAsia="zh-CN"/>
        </w:rPr>
        <w:t>号</w:t>
      </w:r>
      <w:r>
        <w:rPr>
          <w:lang w:eastAsia="zh-CN"/>
        </w:rPr>
        <w:t>决定（</w:t>
      </w:r>
      <w:r>
        <w:rPr>
          <w:rFonts w:hint="eastAsia"/>
          <w:lang w:eastAsia="zh-CN"/>
        </w:rPr>
        <w:t>2014</w:t>
      </w:r>
      <w:r>
        <w:rPr>
          <w:rFonts w:hint="eastAsia"/>
          <w:lang w:eastAsia="zh-CN"/>
        </w:rPr>
        <w:t>年</w:t>
      </w:r>
      <w:r>
        <w:rPr>
          <w:lang w:eastAsia="zh-CN"/>
        </w:rPr>
        <w:t>，釜山，修订版）</w:t>
      </w:r>
      <w:r>
        <w:rPr>
          <w:rFonts w:hint="eastAsia"/>
          <w:lang w:eastAsia="zh-CN"/>
        </w:rPr>
        <w:t>建议的</w:t>
      </w:r>
      <w:r>
        <w:rPr>
          <w:lang w:eastAsia="zh-CN"/>
        </w:rPr>
        <w:t>、有关降低大会和会议文件成本的措施；</w:t>
      </w:r>
    </w:p>
    <w:p w14:paraId="4827B50A" w14:textId="77777777" w:rsidR="00DB6913" w:rsidRDefault="00195B65" w:rsidP="00195B65">
      <w:pPr>
        <w:rPr>
          <w:lang w:eastAsia="zh-CN"/>
        </w:rPr>
      </w:pPr>
      <w:r w:rsidRPr="0060660C">
        <w:rPr>
          <w:i/>
          <w:iCs/>
          <w:lang w:eastAsia="zh-CN"/>
        </w:rPr>
        <w:t>b)</w:t>
      </w:r>
      <w:r>
        <w:rPr>
          <w:lang w:eastAsia="zh-CN"/>
        </w:rPr>
        <w:tab/>
      </w:r>
      <w:r>
        <w:rPr>
          <w:rFonts w:hint="eastAsia"/>
          <w:lang w:eastAsia="zh-CN"/>
        </w:rPr>
        <w:t>有关</w:t>
      </w:r>
      <w:r>
        <w:rPr>
          <w:lang w:eastAsia="zh-CN"/>
        </w:rPr>
        <w:t>口译和笔译措施及原则的</w:t>
      </w:r>
      <w:hyperlink r:id="rId338" w:history="1">
        <w:r w:rsidRPr="00872D3E">
          <w:rPr>
            <w:color w:val="0000FF"/>
            <w:szCs w:val="24"/>
            <w:u w:val="single"/>
            <w:lang w:val="en-AU" w:eastAsia="zh-CN"/>
          </w:rPr>
          <w:t>C14/44</w:t>
        </w:r>
      </w:hyperlink>
      <w:r>
        <w:rPr>
          <w:rFonts w:hint="eastAsia"/>
          <w:szCs w:val="24"/>
          <w:lang w:val="en-AU" w:eastAsia="zh-CN"/>
        </w:rPr>
        <w:t>和</w:t>
      </w:r>
      <w:hyperlink r:id="rId339" w:history="1">
        <w:r w:rsidRPr="00872D3E">
          <w:rPr>
            <w:color w:val="0000FF"/>
            <w:szCs w:val="24"/>
            <w:u w:val="single"/>
            <w:lang w:val="en-AU" w:eastAsia="zh-CN"/>
          </w:rPr>
          <w:t>C14/INF/4</w:t>
        </w:r>
      </w:hyperlink>
      <w:r>
        <w:rPr>
          <w:rFonts w:hint="eastAsia"/>
          <w:lang w:eastAsia="zh-CN"/>
        </w:rPr>
        <w:t>号</w:t>
      </w:r>
      <w:r>
        <w:rPr>
          <w:lang w:eastAsia="zh-CN"/>
        </w:rPr>
        <w:t>文件，</w:t>
      </w:r>
    </w:p>
    <w:p w14:paraId="4827B50B" w14:textId="77777777" w:rsidR="00195B65" w:rsidRDefault="00195B65" w:rsidP="00195B65">
      <w:pPr>
        <w:pStyle w:val="Call"/>
        <w:rPr>
          <w:lang w:eastAsia="zh-CN"/>
        </w:rPr>
      </w:pPr>
      <w:r>
        <w:rPr>
          <w:rFonts w:hint="eastAsia"/>
          <w:lang w:eastAsia="zh-CN"/>
        </w:rPr>
        <w:t>进一步</w:t>
      </w:r>
      <w:r>
        <w:rPr>
          <w:lang w:eastAsia="zh-CN"/>
        </w:rPr>
        <w:t>注意到</w:t>
      </w:r>
    </w:p>
    <w:p w14:paraId="4827B50D" w14:textId="77618E31" w:rsidR="00F618BC" w:rsidRPr="00892DD1" w:rsidRDefault="00195B65" w:rsidP="00892DD1">
      <w:pPr>
        <w:ind w:firstLineChars="200" w:firstLine="480"/>
        <w:rPr>
          <w:lang w:eastAsia="zh-CN"/>
        </w:rPr>
      </w:pPr>
      <w:r>
        <w:rPr>
          <w:rFonts w:hint="eastAsia"/>
          <w:lang w:eastAsia="zh-CN"/>
        </w:rPr>
        <w:t>有关</w:t>
      </w:r>
      <w:r>
        <w:rPr>
          <w:lang w:eastAsia="zh-CN"/>
        </w:rPr>
        <w:t>理事会会议和理事会工作组会议文件的提交和出版的第</w:t>
      </w:r>
      <w:r>
        <w:rPr>
          <w:rFonts w:hint="eastAsia"/>
          <w:lang w:eastAsia="zh-CN"/>
        </w:rPr>
        <w:t>556</w:t>
      </w:r>
      <w:r>
        <w:rPr>
          <w:rFonts w:hint="eastAsia"/>
          <w:lang w:eastAsia="zh-CN"/>
        </w:rPr>
        <w:t>号</w:t>
      </w:r>
      <w:r>
        <w:rPr>
          <w:lang w:eastAsia="zh-CN"/>
        </w:rPr>
        <w:t>决定，</w:t>
      </w:r>
    </w:p>
    <w:p w14:paraId="4827B50E" w14:textId="77777777" w:rsidR="00195B65" w:rsidRDefault="00195B65" w:rsidP="00195B65">
      <w:pPr>
        <w:pStyle w:val="Call"/>
        <w:rPr>
          <w:lang w:eastAsia="zh-CN"/>
        </w:rPr>
      </w:pPr>
      <w:r>
        <w:rPr>
          <w:rFonts w:hint="eastAsia"/>
          <w:lang w:eastAsia="zh-CN"/>
        </w:rPr>
        <w:t>忆及</w:t>
      </w:r>
    </w:p>
    <w:p w14:paraId="4827B50F" w14:textId="77777777" w:rsidR="00195B65" w:rsidRDefault="00195B65" w:rsidP="00195B65">
      <w:pPr>
        <w:rPr>
          <w:lang w:eastAsia="zh-CN"/>
        </w:rPr>
      </w:pPr>
      <w:r w:rsidRPr="0002077C">
        <w:rPr>
          <w:rFonts w:hint="eastAsia"/>
          <w:i/>
          <w:iCs/>
          <w:lang w:eastAsia="zh-CN"/>
        </w:rPr>
        <w:t>a)</w:t>
      </w:r>
      <w:r>
        <w:rPr>
          <w:rFonts w:hint="eastAsia"/>
          <w:lang w:eastAsia="zh-CN"/>
        </w:rPr>
        <w:tab/>
      </w:r>
      <w:r>
        <w:rPr>
          <w:rFonts w:hint="eastAsia"/>
          <w:lang w:eastAsia="zh-CN"/>
        </w:rPr>
        <w:t>成员国的提案、文稿、</w:t>
      </w:r>
      <w:r>
        <w:rPr>
          <w:lang w:eastAsia="zh-CN"/>
        </w:rPr>
        <w:t>理事会</w:t>
      </w:r>
      <w:r>
        <w:rPr>
          <w:rFonts w:hint="eastAsia"/>
          <w:lang w:eastAsia="zh-CN"/>
        </w:rPr>
        <w:t>工作</w:t>
      </w:r>
      <w:r>
        <w:rPr>
          <w:lang w:eastAsia="zh-CN"/>
        </w:rPr>
        <w:t>的报告</w:t>
      </w:r>
      <w:r>
        <w:rPr>
          <w:rFonts w:hint="eastAsia"/>
          <w:lang w:eastAsia="zh-CN"/>
        </w:rPr>
        <w:t>以及秘书长和各局主任的报告应作为理事会文件予以出版。上述报告是《组织法》和《公约》中所涉及到的，或者是应全权代表大会、</w:t>
      </w:r>
      <w:r>
        <w:rPr>
          <w:lang w:eastAsia="zh-CN"/>
        </w:rPr>
        <w:t>国际电联大会或全会</w:t>
      </w:r>
      <w:r>
        <w:rPr>
          <w:rFonts w:hint="eastAsia"/>
          <w:lang w:eastAsia="zh-CN"/>
        </w:rPr>
        <w:t>和理事会的要求提交的报告，须</w:t>
      </w:r>
      <w:r>
        <w:rPr>
          <w:lang w:eastAsia="zh-CN"/>
        </w:rPr>
        <w:t>由理事会采取行动</w:t>
      </w:r>
      <w:r>
        <w:rPr>
          <w:rFonts w:hint="eastAsia"/>
          <w:lang w:eastAsia="zh-CN"/>
        </w:rPr>
        <w:t>；</w:t>
      </w:r>
    </w:p>
    <w:p w14:paraId="4827B510" w14:textId="77777777" w:rsidR="00195B65" w:rsidRPr="008930D7" w:rsidRDefault="00195B65" w:rsidP="00195B65">
      <w:pPr>
        <w:rPr>
          <w:lang w:eastAsia="zh-CN"/>
        </w:rPr>
      </w:pPr>
      <w:r w:rsidRPr="0060660C">
        <w:rPr>
          <w:i/>
          <w:iCs/>
          <w:lang w:eastAsia="zh-CN"/>
        </w:rPr>
        <w:t>b)</w:t>
      </w:r>
      <w:r>
        <w:rPr>
          <w:lang w:eastAsia="zh-CN"/>
        </w:rPr>
        <w:tab/>
      </w:r>
      <w:r>
        <w:rPr>
          <w:rFonts w:hint="eastAsia"/>
          <w:lang w:eastAsia="zh-CN"/>
        </w:rPr>
        <w:t>其它</w:t>
      </w:r>
      <w:r>
        <w:rPr>
          <w:lang w:eastAsia="zh-CN"/>
        </w:rPr>
        <w:t>文件可能仅旨在提交理事会参考，</w:t>
      </w:r>
    </w:p>
    <w:p w14:paraId="4827B511" w14:textId="77777777" w:rsidR="00195B65" w:rsidRPr="002B009C" w:rsidRDefault="00195B65" w:rsidP="00195B65">
      <w:pPr>
        <w:pStyle w:val="Call"/>
        <w:rPr>
          <w:rFonts w:hAnsi="SimSun"/>
          <w:lang w:eastAsia="zh-CN"/>
        </w:rPr>
      </w:pPr>
      <w:r>
        <w:rPr>
          <w:rFonts w:hint="eastAsia"/>
          <w:lang w:eastAsia="zh-CN"/>
        </w:rPr>
        <w:t>已</w:t>
      </w:r>
      <w:r w:rsidRPr="00FB1E07">
        <w:rPr>
          <w:rFonts w:hint="eastAsia"/>
          <w:lang w:eastAsia="zh-CN"/>
        </w:rPr>
        <w:t>满意地注意到</w:t>
      </w:r>
    </w:p>
    <w:p w14:paraId="4827B512" w14:textId="77777777" w:rsidR="00195B65" w:rsidRDefault="00195B65" w:rsidP="00515220">
      <w:pPr>
        <w:ind w:firstLineChars="200" w:firstLine="480"/>
        <w:rPr>
          <w:lang w:eastAsia="zh-CN"/>
        </w:rPr>
      </w:pPr>
      <w:r>
        <w:rPr>
          <w:rFonts w:hint="eastAsia"/>
          <w:lang w:eastAsia="zh-CN"/>
        </w:rPr>
        <w:t>理事会</w:t>
      </w:r>
      <w:r>
        <w:rPr>
          <w:rFonts w:hint="eastAsia"/>
          <w:lang w:eastAsia="zh-CN"/>
        </w:rPr>
        <w:t>2015</w:t>
      </w:r>
      <w:r>
        <w:rPr>
          <w:rFonts w:hint="eastAsia"/>
          <w:lang w:eastAsia="zh-CN"/>
        </w:rPr>
        <w:t>年</w:t>
      </w:r>
      <w:r>
        <w:rPr>
          <w:lang w:eastAsia="zh-CN"/>
        </w:rPr>
        <w:t>会议</w:t>
      </w:r>
      <w:r>
        <w:rPr>
          <w:rFonts w:hint="eastAsia"/>
          <w:lang w:eastAsia="zh-CN"/>
        </w:rPr>
        <w:t>以</w:t>
      </w:r>
      <w:r>
        <w:rPr>
          <w:lang w:eastAsia="zh-CN"/>
        </w:rPr>
        <w:t>完全无纸</w:t>
      </w:r>
      <w:r>
        <w:rPr>
          <w:rFonts w:hint="eastAsia"/>
          <w:lang w:eastAsia="zh-CN"/>
        </w:rPr>
        <w:t>化</w:t>
      </w:r>
      <w:r>
        <w:rPr>
          <w:lang w:eastAsia="zh-CN"/>
        </w:rPr>
        <w:t>方式成</w:t>
      </w:r>
      <w:r>
        <w:rPr>
          <w:rFonts w:hint="eastAsia"/>
          <w:lang w:eastAsia="zh-CN"/>
        </w:rPr>
        <w:t>功</w:t>
      </w:r>
      <w:r>
        <w:rPr>
          <w:lang w:eastAsia="zh-CN"/>
        </w:rPr>
        <w:t>进行，</w:t>
      </w:r>
    </w:p>
    <w:p w14:paraId="4827B513" w14:textId="77777777" w:rsidR="00195B65" w:rsidRPr="002B009C" w:rsidRDefault="00195B65" w:rsidP="00195B65">
      <w:pPr>
        <w:pStyle w:val="Call"/>
        <w:rPr>
          <w:rFonts w:hAnsi="SimSun"/>
          <w:lang w:eastAsia="zh-CN"/>
        </w:rPr>
      </w:pPr>
      <w:r w:rsidRPr="00FB1E07">
        <w:rPr>
          <w:rFonts w:hint="eastAsia"/>
          <w:lang w:eastAsia="zh-CN"/>
        </w:rPr>
        <w:t>考虑到</w:t>
      </w:r>
    </w:p>
    <w:p w14:paraId="4827B514" w14:textId="77777777" w:rsidR="00195B65" w:rsidRDefault="00195B65" w:rsidP="00195B65">
      <w:pPr>
        <w:keepNext/>
        <w:rPr>
          <w:lang w:eastAsia="zh-CN"/>
        </w:rPr>
      </w:pPr>
      <w:r w:rsidRPr="0060660C">
        <w:rPr>
          <w:i/>
          <w:iCs/>
          <w:lang w:eastAsia="zh-CN"/>
        </w:rPr>
        <w:t>a)</w:t>
      </w:r>
      <w:r>
        <w:rPr>
          <w:lang w:eastAsia="zh-CN"/>
        </w:rPr>
        <w:tab/>
      </w:r>
      <w:r>
        <w:rPr>
          <w:rFonts w:hint="eastAsia"/>
          <w:lang w:eastAsia="zh-CN"/>
        </w:rPr>
        <w:t>只有理事会有权决定如何处理那些提交给它的需要其</w:t>
      </w:r>
      <w:r>
        <w:rPr>
          <w:lang w:eastAsia="zh-CN"/>
        </w:rPr>
        <w:t>采取行动（</w:t>
      </w:r>
      <w:r>
        <w:rPr>
          <w:rFonts w:hint="eastAsia"/>
          <w:lang w:eastAsia="zh-CN"/>
        </w:rPr>
        <w:t>审议和做出决定）的</w:t>
      </w:r>
      <w:r>
        <w:rPr>
          <w:lang w:eastAsia="zh-CN"/>
        </w:rPr>
        <w:t>文件</w:t>
      </w:r>
      <w:r>
        <w:rPr>
          <w:rFonts w:hint="eastAsia"/>
          <w:lang w:eastAsia="zh-CN"/>
        </w:rPr>
        <w:t>或向</w:t>
      </w:r>
      <w:r>
        <w:rPr>
          <w:lang w:eastAsia="zh-CN"/>
        </w:rPr>
        <w:t>其</w:t>
      </w:r>
      <w:r>
        <w:rPr>
          <w:rFonts w:hint="eastAsia"/>
          <w:lang w:eastAsia="zh-CN"/>
        </w:rPr>
        <w:t>通报情况的文件；</w:t>
      </w:r>
    </w:p>
    <w:p w14:paraId="4827B515" w14:textId="77777777" w:rsidR="00195B65" w:rsidRDefault="00195B65" w:rsidP="00195B65">
      <w:pPr>
        <w:rPr>
          <w:lang w:eastAsia="zh-CN"/>
        </w:rPr>
      </w:pPr>
      <w:r w:rsidRPr="0060660C">
        <w:rPr>
          <w:i/>
          <w:iCs/>
          <w:lang w:eastAsia="zh-CN"/>
        </w:rPr>
        <w:t>b)</w:t>
      </w:r>
      <w:r>
        <w:rPr>
          <w:lang w:eastAsia="zh-CN"/>
        </w:rPr>
        <w:tab/>
      </w:r>
      <w:r>
        <w:rPr>
          <w:rFonts w:hint="eastAsia"/>
          <w:lang w:eastAsia="zh-CN"/>
        </w:rPr>
        <w:t>为减少翻译费用，某些证明文件不</w:t>
      </w:r>
      <w:r>
        <w:rPr>
          <w:lang w:eastAsia="zh-CN"/>
        </w:rPr>
        <w:t>应以</w:t>
      </w:r>
      <w:r>
        <w:rPr>
          <w:rFonts w:hint="eastAsia"/>
          <w:lang w:eastAsia="zh-CN"/>
        </w:rPr>
        <w:t>国际电联所有正式语文进行翻译，</w:t>
      </w:r>
    </w:p>
    <w:p w14:paraId="4827B516" w14:textId="77777777" w:rsidR="00195B65" w:rsidRPr="002B009C" w:rsidRDefault="00195B65" w:rsidP="00195B65">
      <w:pPr>
        <w:pStyle w:val="Call"/>
        <w:rPr>
          <w:rFonts w:hAnsi="SimSun"/>
          <w:lang w:eastAsia="zh-CN"/>
        </w:rPr>
      </w:pPr>
      <w:r>
        <w:rPr>
          <w:rFonts w:hint="eastAsia"/>
          <w:lang w:eastAsia="zh-CN"/>
        </w:rPr>
        <w:t>做出</w:t>
      </w:r>
      <w:r>
        <w:rPr>
          <w:lang w:eastAsia="zh-CN"/>
        </w:rPr>
        <w:t>决定</w:t>
      </w:r>
    </w:p>
    <w:p w14:paraId="4827B517" w14:textId="77777777" w:rsidR="00195B65" w:rsidRDefault="00195B65" w:rsidP="00195B65">
      <w:pPr>
        <w:rPr>
          <w:lang w:eastAsia="zh-CN"/>
        </w:rPr>
      </w:pPr>
      <w:r>
        <w:rPr>
          <w:lang w:eastAsia="zh-CN"/>
        </w:rPr>
        <w:t>1</w:t>
      </w:r>
      <w:r>
        <w:rPr>
          <w:lang w:eastAsia="zh-CN"/>
        </w:rPr>
        <w:tab/>
      </w:r>
      <w:r>
        <w:rPr>
          <w:rFonts w:hint="eastAsia"/>
          <w:lang w:eastAsia="zh-CN"/>
        </w:rPr>
        <w:t>下列文件被视为是情况通报文件，因此</w:t>
      </w:r>
      <w:r>
        <w:rPr>
          <w:lang w:eastAsia="zh-CN"/>
        </w:rPr>
        <w:t>须仅提供原文</w:t>
      </w:r>
      <w:r>
        <w:rPr>
          <w:rFonts w:hint="eastAsia"/>
          <w:lang w:eastAsia="zh-CN"/>
        </w:rPr>
        <w:t>电子版本；</w:t>
      </w:r>
    </w:p>
    <w:p w14:paraId="4827B518" w14:textId="77777777" w:rsidR="00195B65" w:rsidRDefault="00195B65" w:rsidP="00195B65">
      <w:pPr>
        <w:rPr>
          <w:lang w:eastAsia="zh-CN"/>
        </w:rPr>
      </w:pPr>
      <w:r>
        <w:rPr>
          <w:lang w:eastAsia="zh-CN"/>
        </w:rPr>
        <w:t>1.1</w:t>
      </w:r>
      <w:r>
        <w:rPr>
          <w:lang w:eastAsia="zh-CN"/>
        </w:rPr>
        <w:tab/>
      </w:r>
      <w:r>
        <w:rPr>
          <w:rFonts w:hint="eastAsia"/>
          <w:lang w:val="en-US" w:eastAsia="zh-CN"/>
        </w:rPr>
        <w:t>成员</w:t>
      </w:r>
      <w:r>
        <w:rPr>
          <w:lang w:val="en-US" w:eastAsia="zh-CN"/>
        </w:rPr>
        <w:t>国</w:t>
      </w:r>
      <w:r>
        <w:rPr>
          <w:rFonts w:hint="eastAsia"/>
          <w:lang w:val="en-US" w:eastAsia="zh-CN"/>
        </w:rPr>
        <w:t>提交的提案以外并</w:t>
      </w:r>
      <w:r>
        <w:rPr>
          <w:lang w:val="en-US" w:eastAsia="zh-CN"/>
        </w:rPr>
        <w:t>非需理事会采取行动的</w:t>
      </w:r>
      <w:r>
        <w:rPr>
          <w:rFonts w:hint="eastAsia"/>
          <w:lang w:val="en-US" w:eastAsia="zh-CN"/>
        </w:rPr>
        <w:t>文稿；</w:t>
      </w:r>
    </w:p>
    <w:p w14:paraId="4827B519" w14:textId="77777777" w:rsidR="00195B65" w:rsidRDefault="00195B65" w:rsidP="00195B65">
      <w:pPr>
        <w:rPr>
          <w:lang w:eastAsia="zh-CN"/>
        </w:rPr>
      </w:pPr>
      <w:r>
        <w:rPr>
          <w:lang w:eastAsia="zh-CN"/>
        </w:rPr>
        <w:t>1.2</w:t>
      </w:r>
      <w:r>
        <w:rPr>
          <w:lang w:eastAsia="zh-CN"/>
        </w:rPr>
        <w:tab/>
      </w:r>
      <w:r>
        <w:rPr>
          <w:rFonts w:hint="eastAsia"/>
          <w:lang w:eastAsia="zh-CN"/>
        </w:rPr>
        <w:t>提交</w:t>
      </w:r>
      <w:r>
        <w:rPr>
          <w:lang w:eastAsia="zh-CN"/>
        </w:rPr>
        <w:t>方</w:t>
      </w:r>
      <w:r>
        <w:rPr>
          <w:rFonts w:hint="eastAsia"/>
          <w:lang w:eastAsia="zh-CN"/>
        </w:rPr>
        <w:t>认为可作为理事会参考的任何其它文件，</w:t>
      </w:r>
      <w:r>
        <w:rPr>
          <w:lang w:eastAsia="zh-CN"/>
        </w:rPr>
        <w:t>因为这</w:t>
      </w:r>
      <w:r>
        <w:rPr>
          <w:rFonts w:hint="eastAsia"/>
          <w:lang w:eastAsia="zh-CN"/>
        </w:rPr>
        <w:t>些</w:t>
      </w:r>
      <w:r>
        <w:rPr>
          <w:lang w:eastAsia="zh-CN"/>
        </w:rPr>
        <w:t>并非需由理事会采取行动</w:t>
      </w:r>
      <w:r>
        <w:rPr>
          <w:rFonts w:hint="eastAsia"/>
          <w:lang w:eastAsia="zh-CN"/>
        </w:rPr>
        <w:t>；</w:t>
      </w:r>
    </w:p>
    <w:p w14:paraId="4827B51A" w14:textId="77777777" w:rsidR="00195B65" w:rsidRDefault="00195B65" w:rsidP="00242F18">
      <w:pPr>
        <w:rPr>
          <w:lang w:eastAsia="zh-CN"/>
        </w:rPr>
      </w:pPr>
      <w:r>
        <w:rPr>
          <w:lang w:eastAsia="zh-CN"/>
        </w:rPr>
        <w:t>2</w:t>
      </w:r>
      <w:r>
        <w:rPr>
          <w:lang w:eastAsia="zh-CN"/>
        </w:rPr>
        <w:tab/>
      </w:r>
      <w:r>
        <w:rPr>
          <w:rFonts w:hint="eastAsia"/>
          <w:lang w:eastAsia="zh-CN"/>
        </w:rPr>
        <w:t>以</w:t>
      </w:r>
      <w:r>
        <w:rPr>
          <w:lang w:eastAsia="zh-CN"/>
        </w:rPr>
        <w:t>电子版</w:t>
      </w:r>
      <w:r w:rsidR="00242F18">
        <w:rPr>
          <w:rStyle w:val="FootnoteReference"/>
          <w:lang w:eastAsia="zh-CN"/>
        </w:rPr>
        <w:footnoteReference w:customMarkFollows="1" w:id="11"/>
        <w:t>1</w:t>
      </w:r>
      <w:r>
        <w:rPr>
          <w:lang w:eastAsia="zh-CN"/>
        </w:rPr>
        <w:t>出版的情况通报文件</w:t>
      </w:r>
      <w:r>
        <w:rPr>
          <w:rFonts w:hint="eastAsia"/>
          <w:lang w:eastAsia="zh-CN"/>
        </w:rPr>
        <w:t>应</w:t>
      </w:r>
      <w:r w:rsidRPr="00A86F96">
        <w:rPr>
          <w:rFonts w:hint="eastAsia"/>
          <w:lang w:eastAsia="zh-CN"/>
        </w:rPr>
        <w:t>最好</w:t>
      </w:r>
      <w:r w:rsidRPr="00A86F96">
        <w:rPr>
          <w:lang w:eastAsia="zh-CN"/>
        </w:rPr>
        <w:t>按照国际电联</w:t>
      </w:r>
      <w:r w:rsidRPr="00A86F96">
        <w:rPr>
          <w:rFonts w:hint="eastAsia"/>
          <w:lang w:eastAsia="zh-CN"/>
        </w:rPr>
        <w:t>惯例不超过五</w:t>
      </w:r>
      <w:r w:rsidRPr="00A86F96">
        <w:rPr>
          <w:lang w:eastAsia="zh-CN"/>
        </w:rPr>
        <w:t>（</w:t>
      </w:r>
      <w:r w:rsidRPr="00A86F96">
        <w:rPr>
          <w:rFonts w:hint="eastAsia"/>
          <w:lang w:eastAsia="zh-CN"/>
        </w:rPr>
        <w:t>5</w:t>
      </w:r>
      <w:r w:rsidRPr="00A86F96">
        <w:rPr>
          <w:lang w:eastAsia="zh-CN"/>
        </w:rPr>
        <w:t>）</w:t>
      </w:r>
      <w:r w:rsidRPr="00A86F96">
        <w:rPr>
          <w:rFonts w:hint="eastAsia"/>
          <w:lang w:eastAsia="zh-CN"/>
        </w:rPr>
        <w:t>页</w:t>
      </w:r>
      <w:r w:rsidRPr="00A86F96">
        <w:rPr>
          <w:lang w:eastAsia="zh-CN"/>
        </w:rPr>
        <w:t>，</w:t>
      </w:r>
      <w:r>
        <w:rPr>
          <w:rFonts w:hint="eastAsia"/>
          <w:lang w:eastAsia="zh-CN"/>
        </w:rPr>
        <w:t>而且</w:t>
      </w:r>
      <w:r w:rsidRPr="00A86F96">
        <w:rPr>
          <w:rFonts w:hint="eastAsia"/>
          <w:lang w:eastAsia="zh-CN"/>
        </w:rPr>
        <w:t>须</w:t>
      </w:r>
      <w:r w:rsidRPr="00A86F96">
        <w:rPr>
          <w:lang w:eastAsia="zh-CN"/>
        </w:rPr>
        <w:t>在封</w:t>
      </w:r>
      <w:r w:rsidRPr="00A86F96">
        <w:rPr>
          <w:rFonts w:hint="eastAsia"/>
          <w:lang w:eastAsia="zh-CN"/>
        </w:rPr>
        <w:t>页</w:t>
      </w:r>
      <w:r w:rsidRPr="00A86F96">
        <w:rPr>
          <w:lang w:eastAsia="zh-CN"/>
        </w:rPr>
        <w:t>上包含提交方</w:t>
      </w:r>
      <w:r w:rsidRPr="00A86F96">
        <w:rPr>
          <w:rFonts w:hint="eastAsia"/>
          <w:lang w:eastAsia="zh-CN"/>
        </w:rPr>
        <w:t>拟就</w:t>
      </w:r>
      <w:r w:rsidRPr="00A86F96">
        <w:rPr>
          <w:lang w:eastAsia="zh-CN"/>
        </w:rPr>
        <w:t>的概要</w:t>
      </w:r>
      <w:r w:rsidRPr="00A86F96">
        <w:rPr>
          <w:rFonts w:hint="eastAsia"/>
          <w:lang w:eastAsia="zh-CN"/>
        </w:rPr>
        <w:t>，此概要应由秘书处译为英文；</w:t>
      </w:r>
    </w:p>
    <w:p w14:paraId="2B6ADD0A" w14:textId="77777777" w:rsidR="00892DD1" w:rsidRDefault="00892DD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51B" w14:textId="7498F7E4" w:rsidR="00195B65" w:rsidRDefault="00195B65" w:rsidP="00195B65">
      <w:pPr>
        <w:rPr>
          <w:lang w:eastAsia="zh-CN"/>
        </w:rPr>
      </w:pPr>
      <w:r>
        <w:rPr>
          <w:lang w:eastAsia="zh-CN"/>
        </w:rPr>
        <w:lastRenderedPageBreak/>
        <w:t>3</w:t>
      </w:r>
      <w:r>
        <w:rPr>
          <w:lang w:eastAsia="zh-CN"/>
        </w:rPr>
        <w:tab/>
      </w:r>
      <w:r>
        <w:rPr>
          <w:rFonts w:hint="eastAsia"/>
          <w:lang w:eastAsia="zh-CN"/>
        </w:rPr>
        <w:t>如果根据上述“</w:t>
      </w:r>
      <w:r>
        <w:rPr>
          <w:rFonts w:ascii="STKaiti" w:eastAsia="STKaiti" w:hint="eastAsia"/>
          <w:lang w:eastAsia="zh-CN"/>
        </w:rPr>
        <w:t>做出</w:t>
      </w:r>
      <w:r>
        <w:rPr>
          <w:rFonts w:ascii="STKaiti" w:eastAsia="STKaiti"/>
          <w:lang w:eastAsia="zh-CN"/>
        </w:rPr>
        <w:t>决定</w:t>
      </w:r>
      <w:r w:rsidRPr="008C6002">
        <w:rPr>
          <w:lang w:eastAsia="zh-CN"/>
        </w:rPr>
        <w:t>2</w:t>
      </w:r>
      <w:r>
        <w:rPr>
          <w:rFonts w:hint="eastAsia"/>
          <w:lang w:eastAsia="zh-CN"/>
        </w:rPr>
        <w:t>”所</w:t>
      </w:r>
      <w:r>
        <w:rPr>
          <w:lang w:eastAsia="zh-CN"/>
        </w:rPr>
        <w:t>述概要，</w:t>
      </w:r>
      <w:r>
        <w:rPr>
          <w:rFonts w:hint="eastAsia"/>
          <w:lang w:eastAsia="zh-CN"/>
        </w:rPr>
        <w:t>一理事国认为</w:t>
      </w:r>
      <w:r>
        <w:rPr>
          <w:lang w:eastAsia="zh-CN"/>
        </w:rPr>
        <w:t>一份</w:t>
      </w:r>
      <w:r>
        <w:rPr>
          <w:rFonts w:hint="eastAsia"/>
          <w:lang w:eastAsia="zh-CN"/>
        </w:rPr>
        <w:t>情况</w:t>
      </w:r>
      <w:r>
        <w:rPr>
          <w:lang w:eastAsia="zh-CN"/>
        </w:rPr>
        <w:t>通报文件</w:t>
      </w:r>
      <w:r>
        <w:rPr>
          <w:rFonts w:hint="eastAsia"/>
          <w:lang w:eastAsia="zh-CN"/>
        </w:rPr>
        <w:t>需要由理事会审议并</w:t>
      </w:r>
      <w:r>
        <w:rPr>
          <w:lang w:eastAsia="zh-CN"/>
        </w:rPr>
        <w:t>酌情采取</w:t>
      </w:r>
      <w:r>
        <w:rPr>
          <w:rFonts w:hint="eastAsia"/>
          <w:lang w:eastAsia="zh-CN"/>
        </w:rPr>
        <w:t>进一步</w:t>
      </w:r>
      <w:r>
        <w:rPr>
          <w:lang w:eastAsia="zh-CN"/>
        </w:rPr>
        <w:t>行动</w:t>
      </w:r>
      <w:r>
        <w:rPr>
          <w:rFonts w:hint="eastAsia"/>
          <w:lang w:eastAsia="zh-CN"/>
        </w:rPr>
        <w:t>，则该文件须以所有</w:t>
      </w:r>
      <w:r>
        <w:rPr>
          <w:lang w:eastAsia="zh-CN"/>
        </w:rPr>
        <w:t>六种</w:t>
      </w:r>
      <w:r>
        <w:rPr>
          <w:rFonts w:hint="eastAsia"/>
          <w:lang w:eastAsia="zh-CN"/>
        </w:rPr>
        <w:t>正式</w:t>
      </w:r>
      <w:r>
        <w:rPr>
          <w:lang w:eastAsia="zh-CN"/>
        </w:rPr>
        <w:t>语文</w:t>
      </w:r>
      <w:r>
        <w:rPr>
          <w:rFonts w:hint="eastAsia"/>
          <w:lang w:eastAsia="zh-CN"/>
        </w:rPr>
        <w:t>出版。理事</w:t>
      </w:r>
      <w:r>
        <w:rPr>
          <w:lang w:eastAsia="zh-CN"/>
        </w:rPr>
        <w:t>国应在该文件在理事会网站上发布后的五（</w:t>
      </w:r>
      <w:r>
        <w:rPr>
          <w:rFonts w:hint="eastAsia"/>
          <w:lang w:eastAsia="zh-CN"/>
        </w:rPr>
        <w:t>5</w:t>
      </w:r>
      <w:r>
        <w:rPr>
          <w:lang w:eastAsia="zh-CN"/>
        </w:rPr>
        <w:t>）</w:t>
      </w:r>
      <w:r>
        <w:rPr>
          <w:rFonts w:hint="eastAsia"/>
          <w:lang w:eastAsia="zh-CN"/>
        </w:rPr>
        <w:t>个</w:t>
      </w:r>
      <w:r>
        <w:rPr>
          <w:lang w:eastAsia="zh-CN"/>
        </w:rPr>
        <w:t>日历日内提出他们</w:t>
      </w:r>
      <w:r>
        <w:rPr>
          <w:rFonts w:hint="eastAsia"/>
          <w:lang w:eastAsia="zh-CN"/>
        </w:rPr>
        <w:t>对此</w:t>
      </w:r>
      <w:r>
        <w:rPr>
          <w:lang w:eastAsia="zh-CN"/>
        </w:rPr>
        <w:t>的意愿。</w:t>
      </w:r>
    </w:p>
    <w:p w14:paraId="4827B51C" w14:textId="77777777" w:rsidR="007C1781" w:rsidRPr="00FB432E" w:rsidRDefault="008627B1" w:rsidP="00242F18">
      <w:pPr>
        <w:pStyle w:val="Endtext"/>
        <w:rPr>
          <w:lang w:val="fr-FR" w:eastAsia="zh-CN"/>
        </w:rPr>
      </w:pPr>
      <w:r>
        <w:rPr>
          <w:rFonts w:ascii="STKaiti" w:hAnsi="SimSun" w:hint="eastAsia"/>
          <w:lang w:eastAsia="zh-CN"/>
        </w:rPr>
        <w:t>参阅：</w:t>
      </w:r>
      <w:r w:rsidR="00D51B0E">
        <w:rPr>
          <w:rFonts w:ascii="STKaiti" w:hAnsi="SimSun" w:hint="eastAsia"/>
          <w:lang w:eastAsia="zh-CN"/>
        </w:rPr>
        <w:tab/>
      </w:r>
      <w:hyperlink r:id="rId340" w:history="1">
        <w:r w:rsidR="007C1781" w:rsidRPr="009B7A52">
          <w:rPr>
            <w:rStyle w:val="Hyperlink"/>
            <w:lang w:val="fr-FR" w:eastAsia="zh-CN"/>
          </w:rPr>
          <w:t>C2000/89</w:t>
        </w:r>
      </w:hyperlink>
      <w:r w:rsidR="004B3B55">
        <w:rPr>
          <w:rFonts w:hint="eastAsia"/>
          <w:lang w:val="fr-FR" w:eastAsia="zh-CN"/>
        </w:rPr>
        <w:t>和</w:t>
      </w:r>
      <w:hyperlink r:id="rId341" w:history="1">
        <w:r w:rsidR="007C1781" w:rsidRPr="009B7A52">
          <w:rPr>
            <w:rStyle w:val="Hyperlink"/>
            <w:lang w:val="fr-FR" w:eastAsia="zh-CN"/>
          </w:rPr>
          <w:t>C2000/95</w:t>
        </w:r>
      </w:hyperlink>
      <w:r w:rsidR="00696951">
        <w:rPr>
          <w:rFonts w:hint="eastAsia"/>
          <w:lang w:val="en-US" w:eastAsia="zh-CN"/>
        </w:rPr>
        <w:t>、</w:t>
      </w:r>
      <w:hyperlink r:id="rId342" w:history="1">
        <w:r w:rsidR="00242F18" w:rsidRPr="005727D3">
          <w:rPr>
            <w:rStyle w:val="Hyperlink"/>
            <w:lang w:val="en-US" w:eastAsia="zh-CN"/>
          </w:rPr>
          <w:t>C16/122</w:t>
        </w:r>
      </w:hyperlink>
      <w:r w:rsidR="00242F18">
        <w:rPr>
          <w:rFonts w:hint="eastAsia"/>
          <w:lang w:val="en-US" w:eastAsia="zh-CN"/>
        </w:rPr>
        <w:t>和</w:t>
      </w:r>
      <w:hyperlink r:id="rId343" w:history="1">
        <w:r w:rsidR="00242F18" w:rsidRPr="005727D3">
          <w:rPr>
            <w:rStyle w:val="Hyperlink"/>
            <w:lang w:val="en-US" w:eastAsia="zh-CN"/>
          </w:rPr>
          <w:t>C16/133</w:t>
        </w:r>
      </w:hyperlink>
      <w:r w:rsidR="007C1781">
        <w:rPr>
          <w:rFonts w:hint="eastAsia"/>
          <w:lang w:val="fr-FR" w:eastAsia="zh-CN"/>
        </w:rPr>
        <w:t>号</w:t>
      </w:r>
      <w:r w:rsidR="007C1781">
        <w:rPr>
          <w:lang w:val="fr-FR" w:eastAsia="zh-CN"/>
        </w:rPr>
        <w:t>文件。</w:t>
      </w:r>
    </w:p>
    <w:p w14:paraId="4827B520" w14:textId="6F904E25" w:rsidR="00DB6913" w:rsidRPr="00892DD1" w:rsidRDefault="00F618BC" w:rsidP="00892DD1">
      <w:pPr>
        <w:jc w:val="center"/>
        <w:rPr>
          <w:lang w:eastAsia="zh-CN"/>
        </w:rPr>
      </w:pPr>
      <w:bookmarkStart w:id="1794" w:name="_Toc424117049"/>
      <w:bookmarkStart w:id="1795" w:name="_Toc161224050"/>
      <w:bookmarkStart w:id="1796" w:name="_Toc161732096"/>
      <w:bookmarkStart w:id="1797" w:name="_Toc161741024"/>
      <w:bookmarkStart w:id="1798" w:name="_Toc185237695"/>
      <w:bookmarkStart w:id="1799" w:name="_Toc78271350"/>
      <w:bookmarkStart w:id="1800" w:name="_Toc81880103"/>
      <w:bookmarkStart w:id="1801" w:name="_Toc311469618"/>
      <w:r>
        <w:rPr>
          <w:lang w:eastAsia="zh-CN"/>
        </w:rPr>
        <w:t>______________</w:t>
      </w:r>
    </w:p>
    <w:p w14:paraId="4827B521" w14:textId="42E97A1A" w:rsidR="007C1781" w:rsidRDefault="007C1781" w:rsidP="00CA7362">
      <w:pPr>
        <w:pStyle w:val="DecNo"/>
        <w:outlineLvl w:val="0"/>
        <w:rPr>
          <w:lang w:val="fr-CH"/>
        </w:rPr>
      </w:pPr>
      <w:bookmarkStart w:id="1802" w:name="_Toc531706401"/>
      <w:bookmarkStart w:id="1803" w:name="_Toc531707008"/>
      <w:bookmarkStart w:id="1804" w:name="_Toc531768489"/>
      <w:bookmarkStart w:id="1805" w:name="_Toc16085805"/>
      <w:bookmarkStart w:id="1806" w:name="_Toc86395610"/>
      <w:r>
        <w:rPr>
          <w:rFonts w:hint="eastAsia"/>
          <w:lang w:val="zh-CN"/>
        </w:rPr>
        <w:t>第</w:t>
      </w:r>
      <w:r w:rsidRPr="00077094">
        <w:rPr>
          <w:lang w:val="zh-CN"/>
        </w:rPr>
        <w:t>519</w:t>
      </w:r>
      <w:r>
        <w:rPr>
          <w:rFonts w:hint="eastAsia"/>
          <w:lang w:val="zh-CN"/>
        </w:rPr>
        <w:t>号决定（</w:t>
      </w:r>
      <w:r w:rsidRPr="00A92C17">
        <w:t>C</w:t>
      </w:r>
      <w:r>
        <w:t>04</w:t>
      </w:r>
      <w:r>
        <w:rPr>
          <w:rFonts w:hint="eastAsia"/>
        </w:rPr>
        <w:t>，</w:t>
      </w:r>
      <w:r w:rsidR="00F618BC">
        <w:rPr>
          <w:rFonts w:hint="eastAsia"/>
        </w:rPr>
        <w:t>最后</w:t>
      </w:r>
      <w:r w:rsidRPr="00194A91">
        <w:rPr>
          <w:rFonts w:hint="eastAsia"/>
        </w:rPr>
        <w:t>修</w:t>
      </w:r>
      <w:r w:rsidR="000078F2">
        <w:rPr>
          <w:rFonts w:hint="eastAsia"/>
        </w:rPr>
        <w:t>改</w:t>
      </w:r>
      <w:r w:rsidR="00F618BC">
        <w:rPr>
          <w:rFonts w:hint="eastAsia"/>
        </w:rPr>
        <w:t>C</w:t>
      </w:r>
      <w:r w:rsidR="00F618BC">
        <w:t>12</w:t>
      </w:r>
      <w:r>
        <w:rPr>
          <w:rFonts w:hint="eastAsia"/>
        </w:rPr>
        <w:t>）</w:t>
      </w:r>
      <w:bookmarkEnd w:id="1794"/>
      <w:bookmarkEnd w:id="1802"/>
      <w:bookmarkEnd w:id="1803"/>
      <w:bookmarkEnd w:id="1804"/>
      <w:bookmarkEnd w:id="1805"/>
      <w:bookmarkEnd w:id="1806"/>
    </w:p>
    <w:p w14:paraId="4827B522" w14:textId="77777777" w:rsidR="007C1781" w:rsidRDefault="007C1781" w:rsidP="00D274C4">
      <w:pPr>
        <w:pStyle w:val="Dectitle"/>
        <w:snapToGrid w:val="0"/>
        <w:rPr>
          <w:lang w:val="fr-CH"/>
        </w:rPr>
      </w:pPr>
      <w:bookmarkStart w:id="1807" w:name="_Toc424117050"/>
      <w:bookmarkStart w:id="1808" w:name="_Toc460248163"/>
      <w:bookmarkStart w:id="1809" w:name="_Toc531706402"/>
      <w:bookmarkStart w:id="1810" w:name="_Toc531707009"/>
      <w:bookmarkStart w:id="1811" w:name="_Toc531768490"/>
      <w:bookmarkStart w:id="1812" w:name="_Toc16085806"/>
      <w:bookmarkStart w:id="1813" w:name="_Toc86395611"/>
      <w:r>
        <w:rPr>
          <w:rFonts w:hint="eastAsia"/>
          <w:lang w:val="zh-CN"/>
        </w:rPr>
        <w:t>部门成员作为观察员出席理事会会议</w:t>
      </w:r>
      <w:bookmarkEnd w:id="1807"/>
      <w:bookmarkEnd w:id="1808"/>
      <w:bookmarkEnd w:id="1809"/>
      <w:bookmarkEnd w:id="1810"/>
      <w:bookmarkEnd w:id="1811"/>
      <w:bookmarkEnd w:id="1812"/>
      <w:bookmarkEnd w:id="1813"/>
    </w:p>
    <w:bookmarkEnd w:id="1795"/>
    <w:bookmarkEnd w:id="1796"/>
    <w:bookmarkEnd w:id="1797"/>
    <w:bookmarkEnd w:id="1798"/>
    <w:bookmarkEnd w:id="1799"/>
    <w:bookmarkEnd w:id="1800"/>
    <w:bookmarkEnd w:id="1801"/>
    <w:p w14:paraId="4827B523" w14:textId="77777777" w:rsidR="002558BA" w:rsidRDefault="002558BA" w:rsidP="00D274C4">
      <w:pPr>
        <w:pStyle w:val="Normalaftertitle"/>
        <w:snapToGrid w:val="0"/>
        <w:spacing w:before="100"/>
        <w:rPr>
          <w:lang w:val="zh-CN" w:eastAsia="zh-CN"/>
        </w:rPr>
      </w:pPr>
      <w:r>
        <w:rPr>
          <w:rFonts w:hint="eastAsia"/>
          <w:lang w:val="zh-CN" w:eastAsia="zh-CN"/>
        </w:rPr>
        <w:t>理事会，</w:t>
      </w:r>
    </w:p>
    <w:p w14:paraId="4827B524" w14:textId="77777777" w:rsidR="002558BA" w:rsidRPr="000A3F30" w:rsidRDefault="002558BA" w:rsidP="00D274C4">
      <w:pPr>
        <w:pStyle w:val="Call"/>
        <w:snapToGrid w:val="0"/>
        <w:spacing w:before="100"/>
        <w:rPr>
          <w:lang w:eastAsia="zh-CN"/>
        </w:rPr>
      </w:pPr>
      <w:r w:rsidRPr="000A3F30">
        <w:rPr>
          <w:rFonts w:hint="eastAsia"/>
          <w:lang w:eastAsia="zh-CN"/>
        </w:rPr>
        <w:t>考虑到</w:t>
      </w:r>
    </w:p>
    <w:p w14:paraId="4827B525" w14:textId="77777777" w:rsidR="002558BA" w:rsidRPr="000A3F30" w:rsidRDefault="002558BA" w:rsidP="00D274C4">
      <w:pPr>
        <w:snapToGrid w:val="0"/>
        <w:spacing w:before="100"/>
        <w:rPr>
          <w:lang w:eastAsia="zh-CN"/>
        </w:rPr>
      </w:pPr>
      <w:r w:rsidRPr="000A3F30">
        <w:rPr>
          <w:rFonts w:hint="eastAsia"/>
          <w:i/>
          <w:iCs/>
          <w:lang w:eastAsia="zh-CN"/>
        </w:rPr>
        <w:t>a)</w:t>
      </w:r>
      <w:r w:rsidRPr="000A3F30">
        <w:rPr>
          <w:rFonts w:hint="eastAsia"/>
          <w:lang w:eastAsia="zh-CN"/>
        </w:rPr>
        <w:tab/>
      </w:r>
      <w:r w:rsidRPr="000A3F30">
        <w:rPr>
          <w:rFonts w:hint="eastAsia"/>
          <w:lang w:eastAsia="zh-CN"/>
        </w:rPr>
        <w:t>有关观察员出席国际电联的大会、全会和会议的第</w:t>
      </w:r>
      <w:r w:rsidRPr="000A3F30">
        <w:rPr>
          <w:rFonts w:hint="eastAsia"/>
          <w:lang w:eastAsia="zh-CN"/>
        </w:rPr>
        <w:t>145</w:t>
      </w:r>
      <w:r w:rsidRPr="000A3F30">
        <w:rPr>
          <w:rFonts w:hint="eastAsia"/>
          <w:lang w:eastAsia="zh-CN"/>
        </w:rPr>
        <w:t>号决议（</w:t>
      </w:r>
      <w:r w:rsidRPr="000A3F30">
        <w:rPr>
          <w:rFonts w:hint="eastAsia"/>
          <w:lang w:eastAsia="zh-CN"/>
        </w:rPr>
        <w:t>2006</w:t>
      </w:r>
      <w:r w:rsidRPr="000A3F30">
        <w:rPr>
          <w:rFonts w:hint="eastAsia"/>
          <w:lang w:eastAsia="zh-CN"/>
        </w:rPr>
        <w:t>年，安塔利亚</w:t>
      </w:r>
      <w:r>
        <w:rPr>
          <w:rFonts w:hint="eastAsia"/>
          <w:lang w:eastAsia="zh-CN"/>
        </w:rPr>
        <w:t>）；</w:t>
      </w:r>
    </w:p>
    <w:p w14:paraId="4827B526" w14:textId="77777777" w:rsidR="002558BA" w:rsidRPr="000A3F30" w:rsidRDefault="002558BA" w:rsidP="00D274C4">
      <w:pPr>
        <w:snapToGrid w:val="0"/>
        <w:spacing w:before="100"/>
        <w:rPr>
          <w:lang w:eastAsia="zh-CN"/>
        </w:rPr>
      </w:pPr>
      <w:r w:rsidRPr="000A3F30">
        <w:rPr>
          <w:rFonts w:hint="eastAsia"/>
          <w:i/>
          <w:iCs/>
          <w:lang w:eastAsia="zh-CN"/>
        </w:rPr>
        <w:t>b)</w:t>
      </w:r>
      <w:r w:rsidRPr="000A3F30">
        <w:rPr>
          <w:rFonts w:hint="eastAsia"/>
          <w:lang w:eastAsia="zh-CN"/>
        </w:rPr>
        <w:tab/>
      </w:r>
      <w:r w:rsidRPr="000A3F30">
        <w:rPr>
          <w:rFonts w:hint="eastAsia"/>
          <w:lang w:eastAsia="zh-CN"/>
        </w:rPr>
        <w:t>有关加强国际电联与区域性电信组织的关系以及全权代表大会的区域性筹备工作的第</w:t>
      </w:r>
      <w:r w:rsidRPr="000A3F30">
        <w:rPr>
          <w:lang w:eastAsia="zh-CN"/>
        </w:rPr>
        <w:t>58</w:t>
      </w:r>
      <w:r w:rsidRPr="000A3F30">
        <w:rPr>
          <w:rFonts w:hint="eastAsia"/>
          <w:lang w:eastAsia="zh-CN"/>
        </w:rPr>
        <w:t>号决议（</w:t>
      </w:r>
      <w:r w:rsidRPr="000A3F30">
        <w:rPr>
          <w:lang w:eastAsia="zh-CN"/>
        </w:rPr>
        <w:t>2010</w:t>
      </w:r>
      <w:r w:rsidRPr="000A3F30">
        <w:rPr>
          <w:rFonts w:hint="eastAsia"/>
          <w:lang w:eastAsia="zh-CN"/>
        </w:rPr>
        <w:t>年，瓜达拉哈拉，修订版），</w:t>
      </w:r>
    </w:p>
    <w:p w14:paraId="4827B527" w14:textId="77777777" w:rsidR="002558BA" w:rsidRPr="000A3F30" w:rsidRDefault="002558BA" w:rsidP="00D274C4">
      <w:pPr>
        <w:pStyle w:val="Call"/>
        <w:snapToGrid w:val="0"/>
        <w:spacing w:before="100"/>
        <w:rPr>
          <w:lang w:eastAsia="zh-CN"/>
        </w:rPr>
      </w:pPr>
      <w:r w:rsidRPr="000A3F30">
        <w:rPr>
          <w:rFonts w:hint="eastAsia"/>
          <w:lang w:eastAsia="zh-CN"/>
        </w:rPr>
        <w:t>注意到</w:t>
      </w:r>
    </w:p>
    <w:p w14:paraId="4827B528" w14:textId="77777777" w:rsidR="002558BA" w:rsidRPr="000A3F30" w:rsidRDefault="002558BA" w:rsidP="00D274C4">
      <w:pPr>
        <w:snapToGrid w:val="0"/>
        <w:spacing w:before="100"/>
        <w:ind w:firstLineChars="200" w:firstLine="480"/>
        <w:rPr>
          <w:lang w:eastAsia="zh-CN"/>
        </w:rPr>
      </w:pPr>
      <w:r w:rsidRPr="000A3F30">
        <w:rPr>
          <w:rFonts w:hint="eastAsia"/>
          <w:lang w:eastAsia="zh-CN"/>
        </w:rPr>
        <w:t>理事会</w:t>
      </w:r>
      <w:r w:rsidRPr="000A3F30">
        <w:rPr>
          <w:rFonts w:hint="eastAsia"/>
          <w:lang w:eastAsia="zh-CN"/>
        </w:rPr>
        <w:t>2005</w:t>
      </w:r>
      <w:r w:rsidRPr="000A3F30">
        <w:rPr>
          <w:rFonts w:hint="eastAsia"/>
          <w:lang w:eastAsia="zh-CN"/>
        </w:rPr>
        <w:t>年会议有关国际电联成员国以观察员身份出席理事会会议的决定，</w:t>
      </w:r>
    </w:p>
    <w:p w14:paraId="4827B529" w14:textId="77777777" w:rsidR="002558BA" w:rsidRPr="000A3F30" w:rsidRDefault="002558BA" w:rsidP="00D274C4">
      <w:pPr>
        <w:pStyle w:val="Call"/>
        <w:snapToGrid w:val="0"/>
        <w:spacing w:before="100"/>
        <w:rPr>
          <w:lang w:eastAsia="zh-CN"/>
        </w:rPr>
      </w:pPr>
      <w:r w:rsidRPr="000A3F30">
        <w:rPr>
          <w:rFonts w:hint="eastAsia"/>
          <w:lang w:eastAsia="zh-CN"/>
        </w:rPr>
        <w:t>认识到</w:t>
      </w:r>
    </w:p>
    <w:p w14:paraId="4827B52A" w14:textId="77777777" w:rsidR="002558BA" w:rsidRPr="000A3F30" w:rsidRDefault="002558BA" w:rsidP="00D274C4">
      <w:pPr>
        <w:snapToGrid w:val="0"/>
        <w:spacing w:before="100"/>
        <w:ind w:firstLineChars="200" w:firstLine="480"/>
        <w:rPr>
          <w:lang w:eastAsia="zh-CN"/>
        </w:rPr>
      </w:pPr>
      <w:r w:rsidRPr="000A3F30">
        <w:rPr>
          <w:rFonts w:hint="eastAsia"/>
          <w:lang w:eastAsia="zh-CN"/>
        </w:rPr>
        <w:t>全权代表大会（</w:t>
      </w:r>
      <w:r w:rsidRPr="000A3F30">
        <w:rPr>
          <w:rFonts w:hint="eastAsia"/>
          <w:lang w:eastAsia="zh-CN"/>
        </w:rPr>
        <w:t>2002</w:t>
      </w:r>
      <w:r w:rsidRPr="000A3F30">
        <w:rPr>
          <w:rFonts w:hint="eastAsia"/>
          <w:lang w:eastAsia="zh-CN"/>
        </w:rPr>
        <w:t>年，马拉喀什）的决定要求理事会对成员更加透明和更具包容性，</w:t>
      </w:r>
    </w:p>
    <w:p w14:paraId="4827B52B" w14:textId="77777777" w:rsidR="002558BA" w:rsidRPr="000A3F30" w:rsidRDefault="002558BA" w:rsidP="00D274C4">
      <w:pPr>
        <w:pStyle w:val="Call"/>
        <w:snapToGrid w:val="0"/>
        <w:spacing w:before="100"/>
        <w:rPr>
          <w:lang w:eastAsia="zh-CN"/>
        </w:rPr>
      </w:pPr>
      <w:r w:rsidRPr="000A3F30">
        <w:rPr>
          <w:rFonts w:hint="eastAsia"/>
          <w:lang w:eastAsia="zh-CN"/>
        </w:rPr>
        <w:t>虑及</w:t>
      </w:r>
    </w:p>
    <w:p w14:paraId="4827B52C" w14:textId="77777777" w:rsidR="002558BA" w:rsidRPr="000A3F30" w:rsidRDefault="002558BA" w:rsidP="00D274C4">
      <w:pPr>
        <w:snapToGrid w:val="0"/>
        <w:spacing w:before="100"/>
        <w:ind w:firstLineChars="200" w:firstLine="480"/>
        <w:rPr>
          <w:lang w:eastAsia="zh-CN"/>
        </w:rPr>
      </w:pPr>
      <w:r w:rsidRPr="000A3F30">
        <w:rPr>
          <w:rFonts w:hint="eastAsia"/>
          <w:lang w:eastAsia="zh-CN"/>
        </w:rPr>
        <w:t>理事会《议事规则》（规则</w:t>
      </w:r>
      <w:r w:rsidRPr="000A3F30">
        <w:rPr>
          <w:rFonts w:hint="eastAsia"/>
          <w:lang w:eastAsia="zh-CN"/>
        </w:rPr>
        <w:t>7.4</w:t>
      </w:r>
      <w:r w:rsidRPr="000A3F30">
        <w:rPr>
          <w:rFonts w:hint="eastAsia"/>
          <w:lang w:eastAsia="zh-CN"/>
        </w:rPr>
        <w:t>）规定部门成员观察员没有表决权，也没有以书面或口头方式提交文稿的权利，</w:t>
      </w:r>
    </w:p>
    <w:p w14:paraId="4827B52D" w14:textId="77777777" w:rsidR="002558BA" w:rsidRPr="000A3F30" w:rsidRDefault="002558BA" w:rsidP="00D274C4">
      <w:pPr>
        <w:pStyle w:val="Call"/>
        <w:snapToGrid w:val="0"/>
        <w:spacing w:before="100"/>
        <w:rPr>
          <w:lang w:eastAsia="zh-CN"/>
        </w:rPr>
      </w:pPr>
      <w:r w:rsidRPr="000A3F30">
        <w:rPr>
          <w:rFonts w:hint="eastAsia"/>
          <w:lang w:eastAsia="zh-CN"/>
        </w:rPr>
        <w:t>意识到</w:t>
      </w:r>
    </w:p>
    <w:p w14:paraId="4827B52E" w14:textId="77777777" w:rsidR="002558BA" w:rsidRPr="000A3F30" w:rsidRDefault="002558BA" w:rsidP="00D274C4">
      <w:pPr>
        <w:snapToGrid w:val="0"/>
        <w:spacing w:before="100"/>
        <w:rPr>
          <w:lang w:eastAsia="zh-CN"/>
        </w:rPr>
      </w:pPr>
      <w:r w:rsidRPr="000A3F30">
        <w:rPr>
          <w:rFonts w:hint="eastAsia"/>
          <w:i/>
          <w:iCs/>
          <w:lang w:eastAsia="zh-CN"/>
        </w:rPr>
        <w:t>a)</w:t>
      </w:r>
      <w:r w:rsidRPr="000A3F30">
        <w:rPr>
          <w:rFonts w:hint="eastAsia"/>
          <w:lang w:eastAsia="zh-CN"/>
        </w:rPr>
        <w:tab/>
      </w:r>
      <w:r w:rsidRPr="000A3F30">
        <w:rPr>
          <w:rFonts w:hint="eastAsia"/>
          <w:lang w:eastAsia="zh-CN"/>
        </w:rPr>
        <w:t>鉴于理事会</w:t>
      </w:r>
      <w:r>
        <w:rPr>
          <w:rFonts w:hint="eastAsia"/>
          <w:lang w:eastAsia="zh-CN"/>
        </w:rPr>
        <w:t>的议程纷繁复杂，对其时间和资源有着严格的限制，因此必须谨慎行事，</w:t>
      </w:r>
      <w:r w:rsidRPr="000A3F30">
        <w:rPr>
          <w:rFonts w:hint="eastAsia"/>
          <w:lang w:eastAsia="zh-CN"/>
        </w:rPr>
        <w:t>以避免妨碍理事会从事重要工作；</w:t>
      </w:r>
    </w:p>
    <w:p w14:paraId="4827B52F" w14:textId="77777777" w:rsidR="00194A91" w:rsidRDefault="002558BA" w:rsidP="00D274C4">
      <w:pPr>
        <w:snapToGrid w:val="0"/>
        <w:spacing w:before="100"/>
        <w:rPr>
          <w:lang w:eastAsia="zh-CN"/>
        </w:rPr>
      </w:pPr>
      <w:r w:rsidRPr="000A3F30">
        <w:rPr>
          <w:rFonts w:hint="eastAsia"/>
          <w:i/>
          <w:iCs/>
          <w:lang w:eastAsia="zh-CN"/>
        </w:rPr>
        <w:t>b)</w:t>
      </w:r>
      <w:r w:rsidRPr="000A3F30">
        <w:rPr>
          <w:rFonts w:hint="eastAsia"/>
          <w:lang w:eastAsia="zh-CN"/>
        </w:rPr>
        <w:tab/>
      </w:r>
      <w:r w:rsidRPr="000A3F30">
        <w:rPr>
          <w:rFonts w:hint="eastAsia"/>
          <w:lang w:eastAsia="zh-CN"/>
        </w:rPr>
        <w:t>需要尊重理事会的显著特点，即，该机构是选举产生的、在国际电联两届全权代表大会之间行事的管理机构，同时确保国际电联理事会对国际电联会员国负有责任非常重要；</w:t>
      </w:r>
    </w:p>
    <w:p w14:paraId="4827B530" w14:textId="77777777" w:rsidR="002558BA" w:rsidRPr="000A3F30" w:rsidRDefault="002558BA" w:rsidP="00D274C4">
      <w:pPr>
        <w:snapToGrid w:val="0"/>
        <w:spacing w:before="100"/>
        <w:rPr>
          <w:lang w:eastAsia="zh-CN"/>
        </w:rPr>
      </w:pPr>
      <w:r w:rsidRPr="000A3F30">
        <w:rPr>
          <w:rFonts w:hint="eastAsia"/>
          <w:i/>
          <w:iCs/>
          <w:lang w:eastAsia="zh-CN"/>
        </w:rPr>
        <w:t>c)</w:t>
      </w:r>
      <w:r w:rsidRPr="000A3F30">
        <w:rPr>
          <w:rFonts w:hint="eastAsia"/>
          <w:lang w:eastAsia="zh-CN"/>
        </w:rPr>
        <w:tab/>
      </w:r>
      <w:r w:rsidRPr="000A3F30">
        <w:rPr>
          <w:rFonts w:hint="eastAsia"/>
          <w:lang w:eastAsia="zh-CN"/>
        </w:rPr>
        <w:t>需要避免将产生分歧或造成相互竞争的因素带入理事会的会议，或破坏各部门内分等级决策体系的完整性；</w:t>
      </w:r>
    </w:p>
    <w:p w14:paraId="4827B531" w14:textId="77777777" w:rsidR="002558BA" w:rsidRDefault="002558BA" w:rsidP="00D274C4">
      <w:pPr>
        <w:snapToGrid w:val="0"/>
        <w:spacing w:before="100"/>
        <w:rPr>
          <w:rFonts w:cstheme="minorHAnsi"/>
          <w:lang w:val="zh-CN" w:eastAsia="zh-CN"/>
        </w:rPr>
      </w:pPr>
      <w:r w:rsidRPr="000A3F30">
        <w:rPr>
          <w:rFonts w:hint="eastAsia"/>
          <w:i/>
          <w:iCs/>
          <w:lang w:eastAsia="zh-CN"/>
        </w:rPr>
        <w:t>d)</w:t>
      </w:r>
      <w:r w:rsidRPr="000A3F30">
        <w:rPr>
          <w:rFonts w:hint="eastAsia"/>
          <w:lang w:eastAsia="zh-CN"/>
        </w:rPr>
        <w:tab/>
      </w:r>
      <w:r w:rsidRPr="000A3F30">
        <w:rPr>
          <w:rFonts w:hint="eastAsia"/>
          <w:lang w:eastAsia="zh-CN"/>
        </w:rPr>
        <w:t>必须避免分散各部门顾问组的注意力，确保其完成《公约》第</w:t>
      </w:r>
      <w:r w:rsidRPr="000A3F30">
        <w:rPr>
          <w:rFonts w:hint="eastAsia"/>
          <w:lang w:eastAsia="zh-CN"/>
        </w:rPr>
        <w:t>11A</w:t>
      </w:r>
      <w:r w:rsidRPr="000A3F30">
        <w:rPr>
          <w:rFonts w:hint="eastAsia"/>
          <w:lang w:eastAsia="zh-CN"/>
        </w:rPr>
        <w:t>、</w:t>
      </w:r>
      <w:r w:rsidRPr="000A3F30">
        <w:rPr>
          <w:rFonts w:hint="eastAsia"/>
          <w:lang w:eastAsia="zh-CN"/>
        </w:rPr>
        <w:t>14A</w:t>
      </w:r>
      <w:r w:rsidRPr="000A3F30">
        <w:rPr>
          <w:rFonts w:hint="eastAsia"/>
          <w:lang w:eastAsia="zh-CN"/>
        </w:rPr>
        <w:t>和</w:t>
      </w:r>
      <w:r w:rsidRPr="000A3F30">
        <w:rPr>
          <w:rFonts w:hint="eastAsia"/>
          <w:lang w:eastAsia="zh-CN"/>
        </w:rPr>
        <w:t>17A</w:t>
      </w:r>
      <w:r w:rsidRPr="000A3F30">
        <w:rPr>
          <w:rFonts w:hint="eastAsia"/>
          <w:lang w:eastAsia="zh-CN"/>
        </w:rPr>
        <w:t>条所规定的重要任务，</w:t>
      </w:r>
    </w:p>
    <w:p w14:paraId="4827B532" w14:textId="77777777" w:rsidR="002558BA" w:rsidRPr="000A3F30" w:rsidRDefault="002558BA" w:rsidP="00D274C4">
      <w:pPr>
        <w:pStyle w:val="Call"/>
        <w:snapToGrid w:val="0"/>
        <w:spacing w:before="100"/>
        <w:rPr>
          <w:lang w:eastAsia="zh-CN"/>
        </w:rPr>
      </w:pPr>
      <w:r w:rsidRPr="000A3F30">
        <w:rPr>
          <w:rFonts w:hint="eastAsia"/>
          <w:lang w:eastAsia="zh-CN"/>
        </w:rPr>
        <w:t>做出决定</w:t>
      </w:r>
    </w:p>
    <w:p w14:paraId="4827B533" w14:textId="77777777" w:rsidR="002558BA" w:rsidRDefault="002558BA" w:rsidP="00D274C4">
      <w:pPr>
        <w:snapToGrid w:val="0"/>
        <w:spacing w:before="100"/>
        <w:rPr>
          <w:lang w:val="zh-CN" w:eastAsia="zh-CN"/>
        </w:rPr>
      </w:pPr>
      <w:r>
        <w:rPr>
          <w:rFonts w:hint="eastAsia"/>
          <w:lang w:val="zh-CN" w:eastAsia="zh-CN"/>
        </w:rPr>
        <w:t>1</w:t>
      </w:r>
      <w:r>
        <w:rPr>
          <w:rFonts w:hint="eastAsia"/>
          <w:lang w:val="zh-CN" w:eastAsia="zh-CN"/>
        </w:rPr>
        <w:tab/>
      </w:r>
      <w:r>
        <w:rPr>
          <w:rFonts w:hint="eastAsia"/>
          <w:lang w:val="zh-CN" w:eastAsia="zh-CN"/>
        </w:rPr>
        <w:tab/>
      </w:r>
      <w:r>
        <w:rPr>
          <w:rFonts w:hint="eastAsia"/>
          <w:lang w:val="zh-CN" w:eastAsia="zh-CN"/>
        </w:rPr>
        <w:t>批准将理事会会议进程向会员国和部门成员进行网上广播，但须采取适当措施，以特别尊重理事会会议进程的限制性特征；</w:t>
      </w:r>
    </w:p>
    <w:p w14:paraId="4827B535" w14:textId="2B44994B" w:rsidR="00F618BC" w:rsidRDefault="002558BA" w:rsidP="00892DD1">
      <w:pPr>
        <w:snapToGrid w:val="0"/>
        <w:spacing w:before="100"/>
        <w:rPr>
          <w:lang w:val="zh-CN" w:eastAsia="zh-CN"/>
        </w:rPr>
      </w:pPr>
      <w:r>
        <w:rPr>
          <w:rFonts w:hint="eastAsia"/>
          <w:lang w:val="zh-CN" w:eastAsia="zh-CN"/>
        </w:rPr>
        <w:lastRenderedPageBreak/>
        <w:t>2</w:t>
      </w:r>
      <w:r>
        <w:rPr>
          <w:rFonts w:hint="eastAsia"/>
          <w:lang w:val="zh-CN" w:eastAsia="zh-CN"/>
        </w:rPr>
        <w:tab/>
      </w:r>
      <w:r>
        <w:rPr>
          <w:rFonts w:hint="eastAsia"/>
          <w:lang w:val="zh-CN" w:eastAsia="zh-CN"/>
        </w:rPr>
        <w:t>以附件</w:t>
      </w:r>
      <w:r>
        <w:rPr>
          <w:rFonts w:hint="eastAsia"/>
          <w:lang w:val="zh-CN" w:eastAsia="zh-CN"/>
        </w:rPr>
        <w:t>A</w:t>
      </w:r>
      <w:r>
        <w:rPr>
          <w:rFonts w:hint="eastAsia"/>
          <w:lang w:val="zh-CN" w:eastAsia="zh-CN"/>
        </w:rPr>
        <w:t>制定的标准为基础，批准接纳《公约》第</w:t>
      </w:r>
      <w:r>
        <w:rPr>
          <w:rFonts w:hint="eastAsia"/>
          <w:lang w:val="zh-CN" w:eastAsia="zh-CN"/>
        </w:rPr>
        <w:t>60B</w:t>
      </w:r>
      <w:r>
        <w:rPr>
          <w:rFonts w:hint="eastAsia"/>
          <w:lang w:val="zh-CN" w:eastAsia="zh-CN"/>
        </w:rPr>
        <w:t>款规定的代表部门成员的观察员出席理事会会议；</w:t>
      </w:r>
    </w:p>
    <w:p w14:paraId="4827B536" w14:textId="77777777" w:rsidR="002558BA" w:rsidRDefault="002558BA" w:rsidP="00D274C4">
      <w:pPr>
        <w:snapToGrid w:val="0"/>
        <w:spacing w:before="100"/>
        <w:rPr>
          <w:lang w:val="zh-CN" w:eastAsia="zh-CN"/>
        </w:rPr>
      </w:pPr>
      <w:r>
        <w:rPr>
          <w:rFonts w:hint="eastAsia"/>
          <w:lang w:val="zh-CN" w:eastAsia="zh-CN"/>
        </w:rPr>
        <w:t>3</w:t>
      </w:r>
      <w:r>
        <w:rPr>
          <w:rFonts w:hint="eastAsia"/>
          <w:lang w:val="zh-CN" w:eastAsia="zh-CN"/>
        </w:rPr>
        <w:tab/>
      </w:r>
      <w:r>
        <w:rPr>
          <w:rFonts w:hint="eastAsia"/>
          <w:lang w:val="zh-CN" w:eastAsia="zh-CN"/>
        </w:rPr>
        <w:t>准许在附件</w:t>
      </w:r>
      <w:r>
        <w:rPr>
          <w:rFonts w:hint="eastAsia"/>
          <w:lang w:val="zh-CN" w:eastAsia="zh-CN"/>
        </w:rPr>
        <w:t>A</w:t>
      </w:r>
      <w:r>
        <w:rPr>
          <w:rFonts w:hint="eastAsia"/>
          <w:lang w:val="zh-CN" w:eastAsia="zh-CN"/>
        </w:rPr>
        <w:t>所述的配额以外，根据国际电联秘书长的邀请，接纳六个主要区域性电信组织，即</w:t>
      </w:r>
      <w:r>
        <w:rPr>
          <w:rFonts w:hint="eastAsia"/>
          <w:lang w:eastAsia="zh-CN"/>
        </w:rPr>
        <w:t>亚太电信组织（</w:t>
      </w:r>
      <w:r>
        <w:rPr>
          <w:lang w:eastAsia="zh-CN"/>
        </w:rPr>
        <w:t>APT</w:t>
      </w:r>
      <w:r>
        <w:rPr>
          <w:rFonts w:hint="eastAsia"/>
          <w:lang w:eastAsia="zh-CN"/>
        </w:rPr>
        <w:t>）、欧洲邮政和电信主管部门大会（</w:t>
      </w:r>
      <w:r>
        <w:rPr>
          <w:lang w:eastAsia="zh-CN"/>
        </w:rPr>
        <w:t>CEPT</w:t>
      </w:r>
      <w:r>
        <w:rPr>
          <w:rFonts w:hint="eastAsia"/>
          <w:lang w:eastAsia="zh-CN"/>
        </w:rPr>
        <w:t>）、美洲国家电信委员会（</w:t>
      </w:r>
      <w:r>
        <w:rPr>
          <w:lang w:eastAsia="zh-CN"/>
        </w:rPr>
        <w:t>CITEL</w:t>
      </w:r>
      <w:r>
        <w:rPr>
          <w:rFonts w:hint="eastAsia"/>
          <w:lang w:eastAsia="zh-CN"/>
        </w:rPr>
        <w:t>）、非洲电信联盟（</w:t>
      </w:r>
      <w:r>
        <w:rPr>
          <w:lang w:eastAsia="zh-CN"/>
        </w:rPr>
        <w:t>ATU</w:t>
      </w:r>
      <w:r>
        <w:rPr>
          <w:rFonts w:hint="eastAsia"/>
          <w:lang w:eastAsia="zh-CN"/>
        </w:rPr>
        <w:t>）、代表阿拉伯国家联盟（</w:t>
      </w:r>
      <w:r>
        <w:rPr>
          <w:lang w:eastAsia="zh-CN"/>
        </w:rPr>
        <w:t>LAS</w:t>
      </w:r>
      <w:r>
        <w:rPr>
          <w:rFonts w:hint="eastAsia"/>
          <w:lang w:eastAsia="zh-CN"/>
        </w:rPr>
        <w:t>）总秘书处的阿拉伯电信和信息部长理事会以及区域性通信共同体（</w:t>
      </w:r>
      <w:r>
        <w:rPr>
          <w:lang w:eastAsia="zh-CN"/>
        </w:rPr>
        <w:t>RCC</w:t>
      </w:r>
      <w:r>
        <w:rPr>
          <w:rFonts w:hint="eastAsia"/>
          <w:lang w:eastAsia="zh-CN"/>
        </w:rPr>
        <w:t>）作为观察员出席理事会的会议，</w:t>
      </w:r>
    </w:p>
    <w:p w14:paraId="4827B537" w14:textId="77777777" w:rsidR="002558BA" w:rsidRPr="000A3F30" w:rsidRDefault="002558BA" w:rsidP="00B64353">
      <w:pPr>
        <w:pStyle w:val="Call"/>
        <w:rPr>
          <w:lang w:eastAsia="zh-CN"/>
        </w:rPr>
      </w:pPr>
      <w:r w:rsidRPr="000A3F30">
        <w:rPr>
          <w:rFonts w:hint="eastAsia"/>
          <w:lang w:eastAsia="zh-CN"/>
        </w:rPr>
        <w:t>责成各局主任</w:t>
      </w:r>
    </w:p>
    <w:p w14:paraId="4827B538" w14:textId="77777777" w:rsidR="002558BA" w:rsidRDefault="002558BA" w:rsidP="00B64353">
      <w:pPr>
        <w:ind w:firstLineChars="200" w:firstLine="480"/>
        <w:rPr>
          <w:lang w:val="zh-CN" w:eastAsia="zh-CN"/>
        </w:rPr>
      </w:pPr>
      <w:r>
        <w:rPr>
          <w:rFonts w:hint="eastAsia"/>
          <w:lang w:val="zh-CN" w:eastAsia="zh-CN"/>
        </w:rPr>
        <w:t>提请各部门顾问组注意本决定，并请各部门顾问组在特别考虑到</w:t>
      </w:r>
      <w:r>
        <w:rPr>
          <w:rFonts w:cstheme="minorHAnsi" w:hint="eastAsia"/>
          <w:lang w:val="zh-CN" w:eastAsia="zh-CN"/>
        </w:rPr>
        <w:t>下述附件</w:t>
      </w:r>
      <w:r>
        <w:rPr>
          <w:rFonts w:cstheme="minorHAnsi"/>
          <w:lang w:val="zh-CN" w:eastAsia="zh-CN"/>
        </w:rPr>
        <w:t>A</w:t>
      </w:r>
      <w:r>
        <w:rPr>
          <w:rFonts w:cstheme="minorHAnsi" w:hint="eastAsia"/>
          <w:lang w:val="zh-CN" w:eastAsia="zh-CN"/>
        </w:rPr>
        <w:t>所</w:t>
      </w:r>
      <w:r>
        <w:rPr>
          <w:rFonts w:hint="eastAsia"/>
          <w:lang w:val="zh-CN" w:eastAsia="zh-CN"/>
        </w:rPr>
        <w:t>规定的条件的情况下采取适当措施。</w:t>
      </w:r>
    </w:p>
    <w:p w14:paraId="4827B539" w14:textId="77777777" w:rsidR="007C1781" w:rsidRDefault="007C1781" w:rsidP="00E7075A">
      <w:pPr>
        <w:spacing w:before="600"/>
        <w:rPr>
          <w:lang w:val="zh-CN" w:eastAsia="zh-CN"/>
        </w:rPr>
      </w:pPr>
      <w:r w:rsidRPr="007C1781">
        <w:rPr>
          <w:rFonts w:hint="eastAsia"/>
          <w:b/>
          <w:bCs/>
          <w:lang w:val="zh-CN" w:eastAsia="zh-CN"/>
        </w:rPr>
        <w:t>附件：</w:t>
      </w:r>
      <w:r>
        <w:rPr>
          <w:lang w:val="zh-CN" w:eastAsia="zh-CN"/>
        </w:rPr>
        <w:t>1</w:t>
      </w:r>
      <w:r>
        <w:rPr>
          <w:lang w:val="zh-CN" w:eastAsia="zh-CN"/>
        </w:rPr>
        <w:t>件</w:t>
      </w:r>
    </w:p>
    <w:p w14:paraId="4827B53A" w14:textId="77777777" w:rsidR="007D0CC6" w:rsidRPr="00696951" w:rsidRDefault="008627B1" w:rsidP="00696951">
      <w:pPr>
        <w:pStyle w:val="AnnexNotitle"/>
        <w:rPr>
          <w:b w:val="0"/>
          <w:lang w:val="zh-CN" w:eastAsia="zh-CN"/>
        </w:rPr>
      </w:pPr>
      <w:r w:rsidRPr="00696951">
        <w:rPr>
          <w:rFonts w:hint="eastAsia"/>
          <w:b w:val="0"/>
          <w:lang w:val="zh-CN" w:eastAsia="zh-CN"/>
        </w:rPr>
        <w:t>（第</w:t>
      </w:r>
      <w:r w:rsidRPr="00696951">
        <w:rPr>
          <w:rFonts w:hint="eastAsia"/>
          <w:b w:val="0"/>
          <w:lang w:val="zh-CN" w:eastAsia="zh-CN"/>
        </w:rPr>
        <w:t>519</w:t>
      </w:r>
      <w:r w:rsidRPr="00696951">
        <w:rPr>
          <w:rFonts w:hint="eastAsia"/>
          <w:b w:val="0"/>
          <w:lang w:val="zh-CN" w:eastAsia="zh-CN"/>
        </w:rPr>
        <w:t>号决定）</w:t>
      </w:r>
    </w:p>
    <w:p w14:paraId="4827B53B" w14:textId="77777777" w:rsidR="008627B1" w:rsidRPr="00696951" w:rsidRDefault="008627B1" w:rsidP="00696951">
      <w:pPr>
        <w:pStyle w:val="AnnexNotitle"/>
        <w:rPr>
          <w:b w:val="0"/>
          <w:lang w:val="zh-CN" w:eastAsia="zh-CN"/>
        </w:rPr>
      </w:pPr>
      <w:bookmarkStart w:id="1814" w:name="_Toc531707010"/>
      <w:r w:rsidRPr="00696951">
        <w:rPr>
          <w:rFonts w:hint="eastAsia"/>
          <w:b w:val="0"/>
          <w:lang w:val="zh-CN" w:eastAsia="zh-CN"/>
        </w:rPr>
        <w:t>附件</w:t>
      </w:r>
      <w:r w:rsidRPr="00696951">
        <w:rPr>
          <w:rFonts w:hint="eastAsia"/>
          <w:b w:val="0"/>
          <w:lang w:val="zh-CN" w:eastAsia="zh-CN"/>
        </w:rPr>
        <w:t>A</w:t>
      </w:r>
      <w:bookmarkEnd w:id="1814"/>
    </w:p>
    <w:p w14:paraId="4827B53C" w14:textId="77777777" w:rsidR="002558BA" w:rsidRDefault="002558BA" w:rsidP="00B64353">
      <w:pPr>
        <w:rPr>
          <w:lang w:eastAsia="zh-CN"/>
        </w:rPr>
      </w:pPr>
      <w:r>
        <w:rPr>
          <w:rFonts w:hint="eastAsia"/>
          <w:lang w:eastAsia="zh-CN"/>
        </w:rPr>
        <w:t>1</w:t>
      </w:r>
      <w:r>
        <w:rPr>
          <w:rFonts w:hint="eastAsia"/>
          <w:lang w:eastAsia="zh-CN"/>
        </w:rPr>
        <w:tab/>
      </w:r>
      <w:r>
        <w:rPr>
          <w:rFonts w:hint="eastAsia"/>
          <w:lang w:eastAsia="zh-CN"/>
        </w:rPr>
        <w:t>每一部门顾问组通过磋商并考虑到上述</w:t>
      </w:r>
      <w:r w:rsidRPr="000A3F30">
        <w:rPr>
          <w:rFonts w:ascii="STKaiti" w:eastAsia="STKaiti" w:hAnsi="STKaiti" w:hint="eastAsia"/>
          <w:lang w:eastAsia="zh-CN"/>
        </w:rPr>
        <w:t>意识到</w:t>
      </w:r>
      <w:r w:rsidRPr="000A3F30">
        <w:rPr>
          <w:rFonts w:hint="eastAsia"/>
          <w:i/>
          <w:iCs/>
          <w:lang w:eastAsia="zh-CN"/>
        </w:rPr>
        <w:t>d)</w:t>
      </w:r>
      <w:r>
        <w:rPr>
          <w:rFonts w:hint="eastAsia"/>
          <w:lang w:eastAsia="zh-CN"/>
        </w:rPr>
        <w:t>，最多提名三个部门成员作为代表该部门的部门成员观察员出席理事会会议。</w:t>
      </w:r>
    </w:p>
    <w:p w14:paraId="4827B53D" w14:textId="77777777" w:rsidR="002558BA" w:rsidRDefault="002558BA" w:rsidP="00B64353">
      <w:pPr>
        <w:rPr>
          <w:lang w:eastAsia="zh-CN"/>
        </w:rPr>
      </w:pPr>
      <w:r>
        <w:rPr>
          <w:rFonts w:hint="eastAsia"/>
          <w:lang w:eastAsia="zh-CN"/>
        </w:rPr>
        <w:t>2</w:t>
      </w:r>
      <w:r>
        <w:rPr>
          <w:rFonts w:hint="eastAsia"/>
          <w:lang w:eastAsia="zh-CN"/>
        </w:rPr>
        <w:tab/>
      </w:r>
      <w:r>
        <w:rPr>
          <w:rFonts w:hint="eastAsia"/>
          <w:lang w:eastAsia="zh-CN"/>
        </w:rPr>
        <w:t>如果得到提名的部门成员观察员无法全部在理事会会议厅就坐，则须在国际电联总部为其提供一个分会场。该分会场须具备接至主会场的单向实况传播音频馈线。</w:t>
      </w:r>
    </w:p>
    <w:p w14:paraId="4827B53E" w14:textId="77777777" w:rsidR="002558BA" w:rsidRDefault="002558BA" w:rsidP="00B64353">
      <w:pPr>
        <w:rPr>
          <w:lang w:eastAsia="zh-CN"/>
        </w:rPr>
      </w:pPr>
      <w:r>
        <w:rPr>
          <w:rFonts w:hint="eastAsia"/>
          <w:lang w:eastAsia="zh-CN"/>
        </w:rPr>
        <w:t>3</w:t>
      </w:r>
      <w:r>
        <w:rPr>
          <w:rFonts w:hint="eastAsia"/>
          <w:lang w:eastAsia="zh-CN"/>
        </w:rPr>
        <w:tab/>
      </w:r>
      <w:r>
        <w:rPr>
          <w:rFonts w:hint="eastAsia"/>
          <w:lang w:eastAsia="zh-CN"/>
        </w:rPr>
        <w:t>各局主任必须提前相当长的时间向秘书长正式通报已被提名的每一位部门成员观察员的姓名，以便于对他们进行注册登记。</w:t>
      </w:r>
    </w:p>
    <w:p w14:paraId="4827B53F" w14:textId="77777777" w:rsidR="002558BA" w:rsidRDefault="002558BA" w:rsidP="00B64353">
      <w:pPr>
        <w:rPr>
          <w:lang w:eastAsia="zh-CN"/>
        </w:rPr>
      </w:pPr>
      <w:r>
        <w:rPr>
          <w:rFonts w:hint="eastAsia"/>
          <w:lang w:eastAsia="zh-CN"/>
        </w:rPr>
        <w:t>4</w:t>
      </w:r>
      <w:r>
        <w:rPr>
          <w:rFonts w:hint="eastAsia"/>
          <w:lang w:eastAsia="zh-CN"/>
        </w:rPr>
        <w:tab/>
      </w:r>
      <w:r>
        <w:rPr>
          <w:rFonts w:hint="eastAsia"/>
          <w:lang w:eastAsia="zh-CN"/>
        </w:rPr>
        <w:t>在理事会</w:t>
      </w:r>
      <w:r>
        <w:rPr>
          <w:rFonts w:hint="eastAsia"/>
          <w:lang w:eastAsia="zh-CN"/>
        </w:rPr>
        <w:t>2005</w:t>
      </w:r>
      <w:r>
        <w:rPr>
          <w:rFonts w:hint="eastAsia"/>
          <w:lang w:eastAsia="zh-CN"/>
        </w:rPr>
        <w:t>和</w:t>
      </w:r>
      <w:r>
        <w:rPr>
          <w:rFonts w:hint="eastAsia"/>
          <w:lang w:eastAsia="zh-CN"/>
        </w:rPr>
        <w:t>2006</w:t>
      </w:r>
      <w:r>
        <w:rPr>
          <w:rFonts w:hint="eastAsia"/>
          <w:lang w:eastAsia="zh-CN"/>
        </w:rPr>
        <w:t>年的会议上，将不允许代表部门成员的观察员提出书面或口头文稿，亦不允许其向理事会的委员会或工作组或由这些委员会或工作组成立的任何其他组提出书面或口头文稿。</w:t>
      </w:r>
    </w:p>
    <w:p w14:paraId="4827B540" w14:textId="77777777" w:rsidR="002558BA" w:rsidRDefault="002558BA" w:rsidP="00B64353">
      <w:pPr>
        <w:rPr>
          <w:lang w:eastAsia="zh-CN"/>
        </w:rPr>
      </w:pPr>
      <w:r>
        <w:rPr>
          <w:rFonts w:hint="eastAsia"/>
          <w:lang w:eastAsia="zh-CN"/>
        </w:rPr>
        <w:t>5</w:t>
      </w:r>
      <w:r>
        <w:rPr>
          <w:rFonts w:hint="eastAsia"/>
          <w:lang w:eastAsia="zh-CN"/>
        </w:rPr>
        <w:tab/>
      </w:r>
      <w:r>
        <w:rPr>
          <w:rFonts w:hint="eastAsia"/>
          <w:lang w:eastAsia="zh-CN"/>
        </w:rPr>
        <w:t>这些代表部门成员出席理事会会议的观察员须自理其费用，同时每一被指定部门成员只可有一名个人被接纳出席理事会会议。这一职能不能加入到各部门的费用，或作为成本因素计入预算拨款或运作规划。</w:t>
      </w:r>
    </w:p>
    <w:p w14:paraId="4827B541" w14:textId="77777777" w:rsidR="002558BA" w:rsidRDefault="002558BA" w:rsidP="00B64353">
      <w:pPr>
        <w:rPr>
          <w:lang w:eastAsia="zh-CN"/>
        </w:rPr>
      </w:pPr>
      <w:r>
        <w:rPr>
          <w:rFonts w:hint="eastAsia"/>
          <w:lang w:eastAsia="zh-CN"/>
        </w:rPr>
        <w:t>6</w:t>
      </w:r>
      <w:r>
        <w:rPr>
          <w:rFonts w:hint="eastAsia"/>
          <w:lang w:eastAsia="zh-CN"/>
        </w:rPr>
        <w:tab/>
      </w:r>
      <w:r>
        <w:rPr>
          <w:rFonts w:hint="eastAsia"/>
          <w:lang w:eastAsia="zh-CN"/>
        </w:rPr>
        <w:t>每一部门提名部门成员观察员时应考虑下列因素：地域分配情况，部门成员向国际电联交纳的会费情况，部门成员的类别及商业从属关系。</w:t>
      </w:r>
    </w:p>
    <w:p w14:paraId="4827B542" w14:textId="77777777" w:rsidR="0025197D" w:rsidRPr="00150599" w:rsidRDefault="008627B1" w:rsidP="0025197D">
      <w:pPr>
        <w:pStyle w:val="Endtext"/>
        <w:rPr>
          <w:lang w:val="en-US" w:eastAsia="zh-CN"/>
        </w:rPr>
      </w:pPr>
      <w:r>
        <w:rPr>
          <w:rFonts w:hint="eastAsia"/>
          <w:lang w:eastAsia="zh-CN"/>
        </w:rPr>
        <w:t>参</w:t>
      </w:r>
      <w:r w:rsidRPr="00CE606F">
        <w:rPr>
          <w:rFonts w:ascii="STKaiti" w:hAnsi="STKaiti" w:cs="SimSun" w:hint="eastAsia"/>
          <w:lang w:eastAsia="zh-CN"/>
        </w:rPr>
        <w:t>阅</w:t>
      </w:r>
      <w:r w:rsidRPr="00D51B0E">
        <w:rPr>
          <w:rFonts w:ascii="STKaiti" w:hAnsi="STKaiti"/>
          <w:lang w:val="fr-FR" w:eastAsia="zh-CN"/>
        </w:rPr>
        <w:t xml:space="preserve">: </w:t>
      </w:r>
      <w:r w:rsidR="00D51B0E">
        <w:rPr>
          <w:rFonts w:ascii="STKaiti" w:hAnsi="STKaiti" w:hint="eastAsia"/>
          <w:lang w:val="fr-FR" w:eastAsia="zh-CN"/>
        </w:rPr>
        <w:tab/>
      </w:r>
      <w:hyperlink r:id="rId344" w:history="1">
        <w:r w:rsidR="0025197D" w:rsidRPr="009B7A52">
          <w:rPr>
            <w:rStyle w:val="Hyperlink"/>
            <w:lang w:val="en-US" w:eastAsia="zh-CN"/>
          </w:rPr>
          <w:t>C04/82</w:t>
        </w:r>
      </w:hyperlink>
      <w:r w:rsidR="0025197D">
        <w:rPr>
          <w:rFonts w:hint="eastAsia"/>
          <w:lang w:val="en-US" w:eastAsia="zh-CN"/>
        </w:rPr>
        <w:t>和</w:t>
      </w:r>
      <w:hyperlink r:id="rId345" w:history="1">
        <w:r w:rsidR="0025197D" w:rsidRPr="009B7A52">
          <w:rPr>
            <w:rStyle w:val="Hyperlink"/>
            <w:lang w:val="en-US" w:eastAsia="zh-CN"/>
          </w:rPr>
          <w:t>C04/106</w:t>
        </w:r>
      </w:hyperlink>
      <w:r w:rsidR="00696951">
        <w:rPr>
          <w:rFonts w:hint="eastAsia"/>
          <w:lang w:val="en-US" w:eastAsia="zh-CN"/>
        </w:rPr>
        <w:t>、</w:t>
      </w:r>
      <w:hyperlink r:id="rId346" w:history="1">
        <w:r w:rsidR="0025197D" w:rsidRPr="009B7A52">
          <w:rPr>
            <w:rStyle w:val="Hyperlink"/>
            <w:lang w:val="en-US" w:eastAsia="zh-CN"/>
          </w:rPr>
          <w:t>C12/92</w:t>
        </w:r>
      </w:hyperlink>
      <w:r w:rsidR="0025197D">
        <w:rPr>
          <w:rFonts w:hint="eastAsia"/>
          <w:lang w:val="en-US" w:eastAsia="zh-CN"/>
        </w:rPr>
        <w:t>和</w:t>
      </w:r>
      <w:hyperlink r:id="rId347" w:history="1">
        <w:r w:rsidR="0025197D" w:rsidRPr="009B7A52">
          <w:rPr>
            <w:rStyle w:val="Hyperlink"/>
            <w:lang w:val="en-US" w:eastAsia="zh-CN"/>
          </w:rPr>
          <w:t>C12/107</w:t>
        </w:r>
      </w:hyperlink>
      <w:r w:rsidR="0025197D">
        <w:rPr>
          <w:rFonts w:hint="eastAsia"/>
          <w:lang w:val="en-US" w:eastAsia="zh-CN"/>
        </w:rPr>
        <w:t>号</w:t>
      </w:r>
      <w:r w:rsidR="0025197D">
        <w:rPr>
          <w:lang w:val="en-US" w:eastAsia="zh-CN"/>
        </w:rPr>
        <w:t>文件。</w:t>
      </w:r>
    </w:p>
    <w:p w14:paraId="4827B543" w14:textId="77777777" w:rsidR="00E7075A" w:rsidRDefault="00E7075A" w:rsidP="00E7075A">
      <w:pPr>
        <w:jc w:val="center"/>
        <w:rPr>
          <w:lang w:eastAsia="zh-CN"/>
        </w:rPr>
      </w:pPr>
      <w:bookmarkStart w:id="1815" w:name="_Toc424117051"/>
      <w:bookmarkStart w:id="1816" w:name="_Toc531706403"/>
      <w:bookmarkStart w:id="1817" w:name="_Toc531707011"/>
      <w:bookmarkStart w:id="1818" w:name="_Toc531768491"/>
      <w:bookmarkStart w:id="1819" w:name="_Toc161224053"/>
      <w:bookmarkStart w:id="1820" w:name="_Toc161732099"/>
      <w:bookmarkStart w:id="1821" w:name="_Toc161741027"/>
      <w:bookmarkStart w:id="1822" w:name="_Toc185237698"/>
      <w:bookmarkStart w:id="1823" w:name="_Toc311469619"/>
      <w:r>
        <w:rPr>
          <w:lang w:eastAsia="zh-CN"/>
        </w:rPr>
        <w:t>______________</w:t>
      </w:r>
    </w:p>
    <w:p w14:paraId="4827B544" w14:textId="77777777" w:rsidR="00E7075A" w:rsidRDefault="00E7075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545" w14:textId="77777777" w:rsidR="00E7075A" w:rsidRDefault="00E7075A">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546" w14:textId="77777777" w:rsidR="0025197D" w:rsidRPr="0025197D" w:rsidRDefault="00FF690E" w:rsidP="00CA7362">
      <w:pPr>
        <w:pStyle w:val="DecNo"/>
        <w:outlineLvl w:val="0"/>
      </w:pPr>
      <w:bookmarkStart w:id="1824" w:name="_Toc16085807"/>
      <w:bookmarkStart w:id="1825" w:name="_Toc86395612"/>
      <w:r w:rsidRPr="0025197D">
        <w:rPr>
          <w:rFonts w:hint="eastAsia"/>
        </w:rPr>
        <w:lastRenderedPageBreak/>
        <w:t>第</w:t>
      </w:r>
      <w:r w:rsidR="00F11D1D" w:rsidRPr="0025197D">
        <w:t>524</w:t>
      </w:r>
      <w:r w:rsidRPr="0025197D">
        <w:rPr>
          <w:rFonts w:hint="eastAsia"/>
        </w:rPr>
        <w:t>号决定</w:t>
      </w:r>
      <w:r w:rsidR="0025197D">
        <w:rPr>
          <w:rFonts w:hint="eastAsia"/>
        </w:rPr>
        <w:t>（</w:t>
      </w:r>
      <w:r w:rsidR="0025197D" w:rsidRPr="0025197D">
        <w:t>C05</w:t>
      </w:r>
      <w:r w:rsidR="0025197D">
        <w:rPr>
          <w:rFonts w:hint="eastAsia"/>
        </w:rPr>
        <w:t>）</w:t>
      </w:r>
      <w:bookmarkEnd w:id="1815"/>
      <w:bookmarkEnd w:id="1816"/>
      <w:bookmarkEnd w:id="1817"/>
      <w:bookmarkEnd w:id="1818"/>
      <w:bookmarkEnd w:id="1824"/>
      <w:bookmarkEnd w:id="1825"/>
    </w:p>
    <w:p w14:paraId="4827B547" w14:textId="77777777" w:rsidR="00F11D1D" w:rsidRPr="0025197D" w:rsidRDefault="00492D09" w:rsidP="0025197D">
      <w:pPr>
        <w:pStyle w:val="Dectitle"/>
      </w:pPr>
      <w:bookmarkStart w:id="1826" w:name="_Toc424117052"/>
      <w:bookmarkStart w:id="1827" w:name="_Toc460248165"/>
      <w:bookmarkStart w:id="1828" w:name="_Toc531706404"/>
      <w:bookmarkStart w:id="1829" w:name="_Toc531707012"/>
      <w:bookmarkStart w:id="1830" w:name="_Toc531768492"/>
      <w:bookmarkStart w:id="1831" w:name="_Toc16085808"/>
      <w:bookmarkStart w:id="1832" w:name="_Toc86395613"/>
      <w:r w:rsidRPr="0025197D">
        <w:rPr>
          <w:rFonts w:hint="eastAsia"/>
        </w:rPr>
        <w:t>成员国</w:t>
      </w:r>
      <w:r w:rsidR="00624859" w:rsidRPr="0025197D">
        <w:rPr>
          <w:rFonts w:hint="eastAsia"/>
        </w:rPr>
        <w:t>观察员出席</w:t>
      </w:r>
      <w:r w:rsidR="00FF690E" w:rsidRPr="0025197D">
        <w:rPr>
          <w:rFonts w:hint="eastAsia"/>
        </w:rPr>
        <w:t>国际电联理事会的会议</w:t>
      </w:r>
      <w:bookmarkEnd w:id="1819"/>
      <w:bookmarkEnd w:id="1820"/>
      <w:bookmarkEnd w:id="1821"/>
      <w:bookmarkEnd w:id="1822"/>
      <w:bookmarkEnd w:id="1823"/>
      <w:bookmarkEnd w:id="1826"/>
      <w:bookmarkEnd w:id="1827"/>
      <w:bookmarkEnd w:id="1828"/>
      <w:bookmarkEnd w:id="1829"/>
      <w:bookmarkEnd w:id="1830"/>
      <w:bookmarkEnd w:id="1831"/>
      <w:bookmarkEnd w:id="1832"/>
    </w:p>
    <w:p w14:paraId="4827B548" w14:textId="77777777" w:rsidR="00FF690E" w:rsidRDefault="00FF690E" w:rsidP="0025197D">
      <w:pPr>
        <w:pStyle w:val="Normalaftertitle"/>
        <w:rPr>
          <w:lang w:eastAsia="zh-CN"/>
        </w:rPr>
      </w:pPr>
      <w:r w:rsidRPr="0025197D">
        <w:rPr>
          <w:rFonts w:hint="eastAsia"/>
          <w:lang w:eastAsia="zh-CN"/>
        </w:rPr>
        <w:t>理事会</w:t>
      </w:r>
      <w:r>
        <w:rPr>
          <w:rFonts w:hint="eastAsia"/>
          <w:lang w:eastAsia="zh-CN"/>
        </w:rPr>
        <w:t>，</w:t>
      </w:r>
    </w:p>
    <w:p w14:paraId="4827B549" w14:textId="77777777" w:rsidR="00FF690E" w:rsidRPr="002B009C" w:rsidRDefault="00FF690E" w:rsidP="00B64353">
      <w:pPr>
        <w:pStyle w:val="Call"/>
        <w:rPr>
          <w:iCs/>
          <w:lang w:eastAsia="zh-CN"/>
        </w:rPr>
      </w:pPr>
      <w:r w:rsidRPr="002B009C">
        <w:rPr>
          <w:rFonts w:ascii="STKaiti" w:hAnsi="STKaiti" w:hint="eastAsia"/>
          <w:lang w:eastAsia="zh-CN"/>
        </w:rPr>
        <w:t>考虑到</w:t>
      </w:r>
    </w:p>
    <w:p w14:paraId="4827B54A" w14:textId="77777777" w:rsidR="00DB6913" w:rsidRDefault="00FF690E" w:rsidP="0025197D">
      <w:pPr>
        <w:ind w:firstLineChars="200" w:firstLine="480"/>
        <w:rPr>
          <w:lang w:eastAsia="zh-CN"/>
        </w:rPr>
      </w:pPr>
      <w:r>
        <w:rPr>
          <w:rFonts w:hint="eastAsia"/>
          <w:lang w:eastAsia="zh-CN"/>
        </w:rPr>
        <w:t>全权代表大会（</w:t>
      </w:r>
      <w:r>
        <w:rPr>
          <w:rFonts w:hint="eastAsia"/>
          <w:lang w:eastAsia="zh-CN"/>
        </w:rPr>
        <w:t>2002</w:t>
      </w:r>
      <w:r>
        <w:rPr>
          <w:rFonts w:hint="eastAsia"/>
          <w:lang w:eastAsia="zh-CN"/>
        </w:rPr>
        <w:t>年，马拉喀什）对国际电联《公约》关于</w:t>
      </w:r>
      <w:r w:rsidR="00492D09">
        <w:rPr>
          <w:rFonts w:hint="eastAsia"/>
          <w:lang w:eastAsia="zh-CN"/>
        </w:rPr>
        <w:t>成员国</w:t>
      </w:r>
      <w:r w:rsidR="00624859">
        <w:rPr>
          <w:rFonts w:hint="eastAsia"/>
          <w:lang w:eastAsia="zh-CN"/>
        </w:rPr>
        <w:t>观察员</w:t>
      </w:r>
      <w:r>
        <w:rPr>
          <w:rFonts w:hint="eastAsia"/>
          <w:lang w:eastAsia="zh-CN"/>
        </w:rPr>
        <w:t>参加理事会会议的第</w:t>
      </w:r>
      <w:r>
        <w:rPr>
          <w:lang w:eastAsia="zh-CN"/>
        </w:rPr>
        <w:t>60A</w:t>
      </w:r>
      <w:r>
        <w:rPr>
          <w:rFonts w:hint="eastAsia"/>
          <w:lang w:eastAsia="zh-CN"/>
        </w:rPr>
        <w:t>款所做的修正，</w:t>
      </w:r>
    </w:p>
    <w:p w14:paraId="4827B54B" w14:textId="77777777" w:rsidR="00FF690E" w:rsidRPr="0025197D" w:rsidRDefault="00FF690E" w:rsidP="0025197D">
      <w:pPr>
        <w:pStyle w:val="Call"/>
        <w:rPr>
          <w:lang w:eastAsia="zh-CN"/>
        </w:rPr>
      </w:pPr>
      <w:r w:rsidRPr="0025197D">
        <w:rPr>
          <w:rFonts w:hint="eastAsia"/>
          <w:lang w:eastAsia="zh-CN"/>
        </w:rPr>
        <w:t>进一步考虑到</w:t>
      </w:r>
    </w:p>
    <w:p w14:paraId="4827B54C" w14:textId="77777777" w:rsidR="00FF690E" w:rsidRDefault="00FF690E" w:rsidP="0025197D">
      <w:pPr>
        <w:tabs>
          <w:tab w:val="left" w:pos="510"/>
        </w:tabs>
        <w:ind w:firstLineChars="200" w:firstLine="480"/>
        <w:rPr>
          <w:lang w:eastAsia="zh-CN"/>
        </w:rPr>
      </w:pPr>
      <w:r>
        <w:rPr>
          <w:rFonts w:hint="eastAsia"/>
          <w:lang w:eastAsia="zh-CN"/>
        </w:rPr>
        <w:t>审议和汇总关于观察员的规定的第</w:t>
      </w:r>
      <w:r>
        <w:rPr>
          <w:lang w:eastAsia="zh-CN"/>
        </w:rPr>
        <w:t>109</w:t>
      </w:r>
      <w:r>
        <w:rPr>
          <w:rFonts w:hint="eastAsia"/>
          <w:lang w:eastAsia="zh-CN"/>
        </w:rPr>
        <w:t>号决议（</w:t>
      </w:r>
      <w:r>
        <w:rPr>
          <w:lang w:eastAsia="zh-CN"/>
        </w:rPr>
        <w:t>2002</w:t>
      </w:r>
      <w:r>
        <w:rPr>
          <w:rFonts w:hint="eastAsia"/>
          <w:lang w:eastAsia="zh-CN"/>
        </w:rPr>
        <w:t>年，马拉喀什），</w:t>
      </w:r>
      <w:r>
        <w:rPr>
          <w:rFonts w:ascii="STKaiti" w:eastAsia="STKaiti" w:hAnsi="STKaiti" w:hint="eastAsia"/>
          <w:lang w:eastAsia="zh-CN"/>
        </w:rPr>
        <w:t>特别</w:t>
      </w:r>
      <w:r>
        <w:rPr>
          <w:rFonts w:hint="eastAsia"/>
          <w:lang w:eastAsia="zh-CN"/>
        </w:rPr>
        <w:t>责成理事会允许</w:t>
      </w:r>
      <w:r w:rsidR="00492D09">
        <w:rPr>
          <w:rFonts w:hint="eastAsia"/>
          <w:lang w:eastAsia="zh-CN"/>
        </w:rPr>
        <w:t>成员国</w:t>
      </w:r>
      <w:r w:rsidR="00624859">
        <w:rPr>
          <w:rFonts w:hint="eastAsia"/>
          <w:lang w:eastAsia="zh-CN"/>
        </w:rPr>
        <w:t>观察员</w:t>
      </w:r>
      <w:r>
        <w:rPr>
          <w:rFonts w:hint="eastAsia"/>
          <w:lang w:eastAsia="zh-CN"/>
        </w:rPr>
        <w:t>应理事会主席的邀请在理事会会议上发言，</w:t>
      </w:r>
    </w:p>
    <w:p w14:paraId="4827B54D" w14:textId="77777777" w:rsidR="00FF690E" w:rsidRPr="002B009C" w:rsidRDefault="00FF690E" w:rsidP="00B64353">
      <w:pPr>
        <w:pStyle w:val="Call"/>
        <w:rPr>
          <w:iCs/>
          <w:lang w:eastAsia="zh-CN"/>
        </w:rPr>
      </w:pPr>
      <w:r w:rsidRPr="002B009C">
        <w:rPr>
          <w:rFonts w:ascii="STKaiti" w:hAnsi="STKaiti" w:hint="eastAsia"/>
          <w:lang w:eastAsia="zh-CN"/>
        </w:rPr>
        <w:t>注意到</w:t>
      </w:r>
    </w:p>
    <w:p w14:paraId="4827B54E" w14:textId="77777777" w:rsidR="00FF690E" w:rsidRDefault="00FF690E" w:rsidP="00242F18">
      <w:pPr>
        <w:tabs>
          <w:tab w:val="left" w:pos="510"/>
        </w:tabs>
        <w:ind w:firstLineChars="200" w:firstLine="480"/>
        <w:rPr>
          <w:lang w:eastAsia="zh-CN"/>
        </w:rPr>
      </w:pPr>
      <w:r>
        <w:rPr>
          <w:rFonts w:hint="eastAsia"/>
          <w:lang w:eastAsia="zh-CN"/>
        </w:rPr>
        <w:t>按照《公约》第</w:t>
      </w:r>
      <w:r>
        <w:rPr>
          <w:lang w:eastAsia="zh-CN"/>
        </w:rPr>
        <w:t>61B</w:t>
      </w:r>
      <w:r>
        <w:rPr>
          <w:rFonts w:hint="eastAsia"/>
          <w:lang w:eastAsia="zh-CN"/>
        </w:rPr>
        <w:t>款，理事会负责使其《议事规则》与《组织法》和《公约》的案文协调一致，</w:t>
      </w:r>
    </w:p>
    <w:p w14:paraId="4827B54F" w14:textId="77777777" w:rsidR="00FF690E" w:rsidRPr="0025197D" w:rsidRDefault="00FF690E" w:rsidP="0025197D">
      <w:pPr>
        <w:pStyle w:val="Call"/>
        <w:rPr>
          <w:lang w:eastAsia="zh-CN"/>
        </w:rPr>
      </w:pPr>
      <w:r w:rsidRPr="0025197D">
        <w:rPr>
          <w:rFonts w:hint="eastAsia"/>
          <w:lang w:eastAsia="zh-CN"/>
        </w:rPr>
        <w:t>顾及</w:t>
      </w:r>
    </w:p>
    <w:p w14:paraId="4827B550" w14:textId="77777777" w:rsidR="00FF690E" w:rsidRDefault="00FF690E" w:rsidP="0025197D">
      <w:pPr>
        <w:tabs>
          <w:tab w:val="left" w:pos="510"/>
        </w:tabs>
        <w:ind w:firstLineChars="200" w:firstLine="480"/>
        <w:rPr>
          <w:lang w:eastAsia="zh-CN"/>
        </w:rPr>
      </w:pPr>
      <w:r>
        <w:rPr>
          <w:rFonts w:hint="eastAsia"/>
          <w:lang w:eastAsia="zh-CN"/>
        </w:rPr>
        <w:t>理事会《议事规则》（规则第</w:t>
      </w:r>
      <w:r>
        <w:rPr>
          <w:lang w:eastAsia="zh-CN"/>
        </w:rPr>
        <w:t>11</w:t>
      </w:r>
      <w:r>
        <w:rPr>
          <w:rFonts w:hint="eastAsia"/>
          <w:lang w:eastAsia="zh-CN"/>
        </w:rPr>
        <w:t>条）要求接纳</w:t>
      </w:r>
      <w:r w:rsidR="00492D09">
        <w:rPr>
          <w:rFonts w:hint="eastAsia"/>
          <w:lang w:eastAsia="zh-CN"/>
        </w:rPr>
        <w:t>成员国</w:t>
      </w:r>
      <w:r w:rsidR="00624859">
        <w:rPr>
          <w:rFonts w:hint="eastAsia"/>
          <w:lang w:eastAsia="zh-CN"/>
        </w:rPr>
        <w:t>观察员</w:t>
      </w:r>
      <w:r>
        <w:rPr>
          <w:rFonts w:hint="eastAsia"/>
          <w:lang w:eastAsia="zh-CN"/>
        </w:rPr>
        <w:t>，且其与会条件应适用于理事会、其委员会和工作组的全部会议，</w:t>
      </w:r>
    </w:p>
    <w:p w14:paraId="4827B551" w14:textId="77777777" w:rsidR="00FF690E" w:rsidRPr="0025197D" w:rsidRDefault="00FF690E" w:rsidP="0025197D">
      <w:pPr>
        <w:pStyle w:val="Call"/>
        <w:rPr>
          <w:lang w:eastAsia="zh-CN"/>
        </w:rPr>
      </w:pPr>
      <w:r w:rsidRPr="0025197D">
        <w:rPr>
          <w:rFonts w:hint="eastAsia"/>
          <w:lang w:eastAsia="zh-CN"/>
        </w:rPr>
        <w:t>认识到</w:t>
      </w:r>
    </w:p>
    <w:p w14:paraId="4827B552" w14:textId="77777777" w:rsidR="00FF690E" w:rsidRDefault="00FF690E" w:rsidP="0025197D">
      <w:pPr>
        <w:rPr>
          <w:lang w:eastAsia="zh-CN"/>
        </w:rPr>
      </w:pPr>
      <w:r>
        <w:rPr>
          <w:lang w:eastAsia="zh-CN"/>
        </w:rPr>
        <w:t>1</w:t>
      </w:r>
      <w:r>
        <w:rPr>
          <w:lang w:eastAsia="zh-CN"/>
        </w:rPr>
        <w:tab/>
      </w:r>
      <w:r>
        <w:rPr>
          <w:rFonts w:hint="eastAsia"/>
          <w:lang w:eastAsia="zh-CN"/>
        </w:rPr>
        <w:t>按照规则第</w:t>
      </w:r>
      <w:r>
        <w:rPr>
          <w:rFonts w:hint="eastAsia"/>
          <w:lang w:eastAsia="zh-CN"/>
        </w:rPr>
        <w:t>12</w:t>
      </w:r>
      <w:r>
        <w:rPr>
          <w:rFonts w:hint="eastAsia"/>
          <w:lang w:eastAsia="zh-CN"/>
        </w:rPr>
        <w:t>条，非理事国的</w:t>
      </w:r>
      <w:r w:rsidR="00492D09">
        <w:rPr>
          <w:rFonts w:hint="eastAsia"/>
          <w:lang w:eastAsia="zh-CN"/>
        </w:rPr>
        <w:t>成员国</w:t>
      </w:r>
      <w:r>
        <w:rPr>
          <w:rFonts w:hint="eastAsia"/>
          <w:lang w:eastAsia="zh-CN"/>
        </w:rPr>
        <w:t>可向理事会提交书面文稿；</w:t>
      </w:r>
    </w:p>
    <w:p w14:paraId="4827B553" w14:textId="77777777" w:rsidR="00FF690E" w:rsidRDefault="00FF690E" w:rsidP="0025197D">
      <w:pPr>
        <w:rPr>
          <w:lang w:eastAsia="zh-CN"/>
        </w:rPr>
      </w:pPr>
      <w:r>
        <w:rPr>
          <w:lang w:eastAsia="zh-CN"/>
        </w:rPr>
        <w:t>2</w:t>
      </w:r>
      <w:r>
        <w:rPr>
          <w:lang w:eastAsia="zh-CN"/>
        </w:rPr>
        <w:tab/>
      </w:r>
      <w:r>
        <w:rPr>
          <w:rFonts w:hint="eastAsia"/>
          <w:lang w:eastAsia="zh-CN"/>
        </w:rPr>
        <w:t>为临时实施第</w:t>
      </w:r>
      <w:r>
        <w:rPr>
          <w:rFonts w:hint="eastAsia"/>
          <w:lang w:eastAsia="zh-CN"/>
        </w:rPr>
        <w:t>109</w:t>
      </w:r>
      <w:r>
        <w:rPr>
          <w:rFonts w:hint="eastAsia"/>
          <w:lang w:eastAsia="zh-CN"/>
        </w:rPr>
        <w:t>号决议（</w:t>
      </w:r>
      <w:r>
        <w:rPr>
          <w:rFonts w:hint="eastAsia"/>
          <w:lang w:eastAsia="zh-CN"/>
        </w:rPr>
        <w:t>2002</w:t>
      </w:r>
      <w:r>
        <w:rPr>
          <w:rFonts w:hint="eastAsia"/>
          <w:lang w:eastAsia="zh-CN"/>
        </w:rPr>
        <w:t>年，马拉喀什）中有关允许</w:t>
      </w:r>
      <w:r w:rsidR="00624859">
        <w:rPr>
          <w:rFonts w:hint="eastAsia"/>
          <w:lang w:eastAsia="zh-CN"/>
        </w:rPr>
        <w:t>成员国观察员</w:t>
      </w:r>
      <w:r>
        <w:rPr>
          <w:rFonts w:hint="eastAsia"/>
          <w:lang w:eastAsia="zh-CN"/>
        </w:rPr>
        <w:t>在理事会会议上发言的指示，主席已就有关程序提出了标准，理事会</w:t>
      </w:r>
      <w:r>
        <w:rPr>
          <w:lang w:eastAsia="zh-CN"/>
        </w:rPr>
        <w:t>2003</w:t>
      </w:r>
      <w:r>
        <w:rPr>
          <w:rFonts w:hint="eastAsia"/>
          <w:lang w:eastAsia="zh-CN"/>
        </w:rPr>
        <w:t>年会议接受了此标准；</w:t>
      </w:r>
    </w:p>
    <w:p w14:paraId="4827B554" w14:textId="77777777" w:rsidR="00FF690E" w:rsidRDefault="00FF690E" w:rsidP="0025197D">
      <w:pPr>
        <w:rPr>
          <w:lang w:eastAsia="zh-CN"/>
        </w:rPr>
      </w:pPr>
      <w:r>
        <w:rPr>
          <w:lang w:eastAsia="zh-CN"/>
        </w:rPr>
        <w:t>3</w:t>
      </w:r>
      <w:r>
        <w:rPr>
          <w:lang w:eastAsia="zh-CN"/>
        </w:rPr>
        <w:tab/>
      </w:r>
      <w:r>
        <w:rPr>
          <w:rFonts w:hint="eastAsia"/>
          <w:lang w:eastAsia="zh-CN"/>
        </w:rPr>
        <w:t>这些标准已得到采用，从而落实了全权代表大会（</w:t>
      </w:r>
      <w:r>
        <w:rPr>
          <w:rFonts w:hint="eastAsia"/>
          <w:lang w:eastAsia="zh-CN"/>
        </w:rPr>
        <w:t>2002</w:t>
      </w:r>
      <w:r>
        <w:rPr>
          <w:rFonts w:hint="eastAsia"/>
          <w:lang w:eastAsia="zh-CN"/>
        </w:rPr>
        <w:t>年，马拉喀什）对理事会的指示，</w:t>
      </w:r>
    </w:p>
    <w:p w14:paraId="4827B555" w14:textId="77777777" w:rsidR="00FF690E" w:rsidRPr="0025197D" w:rsidRDefault="00FF690E" w:rsidP="0025197D">
      <w:pPr>
        <w:pStyle w:val="Call"/>
        <w:rPr>
          <w:lang w:eastAsia="zh-CN"/>
        </w:rPr>
      </w:pPr>
      <w:r w:rsidRPr="0025197D">
        <w:rPr>
          <w:rFonts w:hint="eastAsia"/>
          <w:lang w:eastAsia="zh-CN"/>
        </w:rPr>
        <w:t>做出决定</w:t>
      </w:r>
    </w:p>
    <w:p w14:paraId="4827B556" w14:textId="77777777" w:rsidR="00FF690E" w:rsidRDefault="00FF690E" w:rsidP="00B64353">
      <w:pPr>
        <w:rPr>
          <w:lang w:eastAsia="zh-CN"/>
        </w:rPr>
      </w:pPr>
      <w:r>
        <w:rPr>
          <w:lang w:eastAsia="zh-CN"/>
        </w:rPr>
        <w:t>1</w:t>
      </w:r>
      <w:r>
        <w:rPr>
          <w:i/>
          <w:lang w:eastAsia="zh-CN"/>
        </w:rPr>
        <w:tab/>
      </w:r>
      <w:r>
        <w:rPr>
          <w:rFonts w:hint="eastAsia"/>
          <w:lang w:eastAsia="zh-CN"/>
        </w:rPr>
        <w:t>为与《公约》保持一致，将其《议事规则》规则第</w:t>
      </w:r>
      <w:r>
        <w:rPr>
          <w:rFonts w:hint="eastAsia"/>
          <w:lang w:eastAsia="zh-CN"/>
        </w:rPr>
        <w:t>7</w:t>
      </w:r>
      <w:r>
        <w:rPr>
          <w:rFonts w:hint="eastAsia"/>
          <w:lang w:eastAsia="zh-CN"/>
        </w:rPr>
        <w:t>条的第</w:t>
      </w:r>
      <w:r>
        <w:rPr>
          <w:lang w:eastAsia="zh-CN"/>
        </w:rPr>
        <w:t>3</w:t>
      </w:r>
      <w:r>
        <w:rPr>
          <w:rFonts w:hint="eastAsia"/>
          <w:lang w:eastAsia="zh-CN"/>
        </w:rPr>
        <w:t>段修正为：</w:t>
      </w:r>
    </w:p>
    <w:p w14:paraId="4827B557" w14:textId="77777777" w:rsidR="00FF690E" w:rsidRDefault="00FF690E" w:rsidP="00B64353">
      <w:pPr>
        <w:rPr>
          <w:lang w:eastAsia="zh-CN"/>
        </w:rPr>
      </w:pPr>
      <w:r>
        <w:rPr>
          <w:lang w:eastAsia="zh-CN"/>
        </w:rPr>
        <w:tab/>
      </w:r>
      <w:r>
        <w:rPr>
          <w:rFonts w:hint="eastAsia"/>
          <w:lang w:eastAsia="zh-CN"/>
        </w:rPr>
        <w:t>“</w:t>
      </w:r>
      <w:r>
        <w:rPr>
          <w:lang w:eastAsia="zh-CN"/>
        </w:rPr>
        <w:t>3.  </w:t>
      </w:r>
      <w:r w:rsidR="006F7B3B">
        <w:rPr>
          <w:rFonts w:hint="eastAsia"/>
          <w:lang w:eastAsia="zh-CN"/>
        </w:rPr>
        <w:t>成员国</w:t>
      </w:r>
      <w:r>
        <w:rPr>
          <w:rFonts w:hint="eastAsia"/>
          <w:lang w:eastAsia="zh-CN"/>
        </w:rPr>
        <w:t>观察员指定的观察员不具有投票权。</w:t>
      </w:r>
      <w:r>
        <w:rPr>
          <w:rFonts w:hint="eastAsia"/>
          <w:lang w:val="en-US" w:eastAsia="zh-CN"/>
        </w:rPr>
        <w:t>”</w:t>
      </w:r>
    </w:p>
    <w:p w14:paraId="4827B558" w14:textId="77777777" w:rsidR="00FF690E" w:rsidRDefault="00FF690E" w:rsidP="00B64353">
      <w:pPr>
        <w:rPr>
          <w:lang w:eastAsia="zh-CN"/>
        </w:rPr>
      </w:pPr>
      <w:r>
        <w:rPr>
          <w:lang w:eastAsia="zh-CN"/>
        </w:rPr>
        <w:t>2</w:t>
      </w:r>
      <w:r>
        <w:rPr>
          <w:lang w:eastAsia="zh-CN"/>
        </w:rPr>
        <w:tab/>
      </w:r>
      <w:r>
        <w:rPr>
          <w:rFonts w:hint="eastAsia"/>
          <w:lang w:eastAsia="zh-CN"/>
        </w:rPr>
        <w:t>按照规则第</w:t>
      </w:r>
      <w:r>
        <w:rPr>
          <w:rFonts w:hint="eastAsia"/>
          <w:lang w:eastAsia="zh-CN"/>
        </w:rPr>
        <w:t>11</w:t>
      </w:r>
      <w:r>
        <w:rPr>
          <w:rFonts w:hint="eastAsia"/>
          <w:lang w:eastAsia="zh-CN"/>
        </w:rPr>
        <w:t>条的规定，拥有观察员地位的</w:t>
      </w:r>
      <w:r w:rsidR="00492D09">
        <w:rPr>
          <w:rFonts w:hint="eastAsia"/>
          <w:lang w:eastAsia="zh-CN"/>
        </w:rPr>
        <w:t>成员国</w:t>
      </w:r>
      <w:r>
        <w:rPr>
          <w:rFonts w:hint="eastAsia"/>
          <w:lang w:eastAsia="zh-CN"/>
        </w:rPr>
        <w:t>在出席理事会会议时，在下列条件下经主席邀请可在理事会会议上发言：</w:t>
      </w:r>
    </w:p>
    <w:p w14:paraId="4827B559" w14:textId="77777777" w:rsidR="00FF690E" w:rsidRDefault="00FF690E" w:rsidP="00B64353">
      <w:pPr>
        <w:pStyle w:val="enumlev1"/>
        <w:spacing w:before="120"/>
        <w:rPr>
          <w:lang w:eastAsia="zh-CN"/>
        </w:rPr>
      </w:pPr>
      <w:r>
        <w:rPr>
          <w:lang w:eastAsia="zh-CN"/>
        </w:rPr>
        <w:t>a)</w:t>
      </w:r>
      <w:r>
        <w:rPr>
          <w:lang w:eastAsia="zh-CN"/>
        </w:rPr>
        <w:tab/>
      </w:r>
      <w:r w:rsidR="00624859">
        <w:rPr>
          <w:rFonts w:hint="eastAsia"/>
          <w:lang w:eastAsia="zh-CN"/>
        </w:rPr>
        <w:t>成员国观察员</w:t>
      </w:r>
      <w:r>
        <w:rPr>
          <w:rFonts w:hint="eastAsia"/>
          <w:lang w:eastAsia="zh-CN"/>
        </w:rPr>
        <w:t>预先向秘书处表示希望就特定议项发表意见或介绍其书面文稿；</w:t>
      </w:r>
    </w:p>
    <w:p w14:paraId="4827B55A" w14:textId="77777777" w:rsidR="00FF690E" w:rsidRDefault="00FF690E" w:rsidP="00B64353">
      <w:pPr>
        <w:pStyle w:val="enumlev1"/>
        <w:spacing w:before="120"/>
        <w:rPr>
          <w:lang w:eastAsia="zh-CN"/>
        </w:rPr>
      </w:pPr>
      <w:r>
        <w:rPr>
          <w:lang w:eastAsia="zh-CN"/>
        </w:rPr>
        <w:t>b)</w:t>
      </w:r>
      <w:r>
        <w:rPr>
          <w:lang w:eastAsia="zh-CN"/>
        </w:rPr>
        <w:tab/>
      </w:r>
      <w:r>
        <w:rPr>
          <w:rFonts w:hint="eastAsia"/>
          <w:lang w:eastAsia="zh-CN"/>
        </w:rPr>
        <w:t>只有在理事国发言结束后，</w:t>
      </w:r>
      <w:r w:rsidR="00624859">
        <w:rPr>
          <w:rFonts w:hint="eastAsia"/>
          <w:lang w:eastAsia="zh-CN"/>
        </w:rPr>
        <w:t>成员国观察员</w:t>
      </w:r>
      <w:r>
        <w:rPr>
          <w:rFonts w:hint="eastAsia"/>
          <w:lang w:eastAsia="zh-CN"/>
        </w:rPr>
        <w:t>才能发言；</w:t>
      </w:r>
    </w:p>
    <w:p w14:paraId="4827B55B" w14:textId="77777777" w:rsidR="00E7075A" w:rsidRDefault="00E7075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55C" w14:textId="77777777" w:rsidR="00FF690E" w:rsidRDefault="00FF690E" w:rsidP="00B64353">
      <w:pPr>
        <w:pStyle w:val="enumlev1"/>
        <w:spacing w:before="120"/>
        <w:rPr>
          <w:lang w:eastAsia="zh-CN"/>
        </w:rPr>
      </w:pPr>
      <w:r>
        <w:rPr>
          <w:lang w:eastAsia="zh-CN"/>
        </w:rPr>
        <w:lastRenderedPageBreak/>
        <w:t>c)</w:t>
      </w:r>
      <w:r>
        <w:rPr>
          <w:lang w:eastAsia="zh-CN"/>
        </w:rPr>
        <w:tab/>
      </w:r>
      <w:r w:rsidR="00624859">
        <w:rPr>
          <w:rFonts w:hint="eastAsia"/>
          <w:lang w:eastAsia="zh-CN"/>
        </w:rPr>
        <w:t>成员国观察员</w:t>
      </w:r>
      <w:r>
        <w:rPr>
          <w:rFonts w:hint="eastAsia"/>
          <w:lang w:eastAsia="zh-CN"/>
        </w:rPr>
        <w:t>就任何特定议项仅有一次发言机会；</w:t>
      </w:r>
    </w:p>
    <w:p w14:paraId="4827B55D" w14:textId="77777777" w:rsidR="00FF690E" w:rsidRDefault="00FF690E" w:rsidP="00B64353">
      <w:pPr>
        <w:pStyle w:val="enumlev1"/>
        <w:spacing w:before="120"/>
        <w:rPr>
          <w:lang w:eastAsia="zh-CN"/>
        </w:rPr>
      </w:pPr>
      <w:r>
        <w:rPr>
          <w:lang w:eastAsia="zh-CN"/>
        </w:rPr>
        <w:t>d)</w:t>
      </w:r>
      <w:r>
        <w:rPr>
          <w:lang w:eastAsia="zh-CN"/>
        </w:rPr>
        <w:tab/>
      </w:r>
      <w:r>
        <w:rPr>
          <w:rFonts w:hint="eastAsia"/>
          <w:lang w:eastAsia="zh-CN"/>
        </w:rPr>
        <w:t>此类发言的时长将视请求发言的数量以及为待完成的工作分配的全部时间的情况而有所限制；</w:t>
      </w:r>
    </w:p>
    <w:p w14:paraId="4827B55E" w14:textId="77777777" w:rsidR="00FF690E" w:rsidRDefault="00FF690E" w:rsidP="00B64353">
      <w:pPr>
        <w:rPr>
          <w:lang w:eastAsia="zh-CN"/>
        </w:rPr>
      </w:pPr>
      <w:r>
        <w:rPr>
          <w:lang w:eastAsia="zh-CN"/>
        </w:rPr>
        <w:t>3</w:t>
      </w:r>
      <w:r>
        <w:rPr>
          <w:lang w:eastAsia="zh-CN"/>
        </w:rPr>
        <w:tab/>
      </w:r>
      <w:r>
        <w:rPr>
          <w:rFonts w:hint="eastAsia"/>
          <w:lang w:eastAsia="zh-CN"/>
        </w:rPr>
        <w:t>在其向</w:t>
      </w:r>
      <w:r>
        <w:rPr>
          <w:lang w:eastAsia="zh-CN"/>
        </w:rPr>
        <w:t>2006</w:t>
      </w:r>
      <w:r>
        <w:rPr>
          <w:rFonts w:hint="eastAsia"/>
          <w:lang w:eastAsia="zh-CN"/>
        </w:rPr>
        <w:t>年全权代表大会（</w:t>
      </w:r>
      <w:r>
        <w:rPr>
          <w:lang w:eastAsia="zh-CN"/>
        </w:rPr>
        <w:t>PP-06</w:t>
      </w:r>
      <w:r>
        <w:rPr>
          <w:rFonts w:hint="eastAsia"/>
          <w:lang w:eastAsia="zh-CN"/>
        </w:rPr>
        <w:t>）提交的就</w:t>
      </w:r>
      <w:r>
        <w:rPr>
          <w:rFonts w:hint="eastAsia"/>
          <w:lang w:eastAsia="zh-CN"/>
        </w:rPr>
        <w:t>2002</w:t>
      </w:r>
      <w:r>
        <w:rPr>
          <w:rFonts w:hint="eastAsia"/>
          <w:lang w:eastAsia="zh-CN"/>
        </w:rPr>
        <w:t>年全权代表大会（</w:t>
      </w:r>
      <w:r>
        <w:rPr>
          <w:rFonts w:hint="eastAsia"/>
          <w:lang w:eastAsia="zh-CN"/>
        </w:rPr>
        <w:t>PP-02</w:t>
      </w:r>
      <w:r>
        <w:rPr>
          <w:rFonts w:hint="eastAsia"/>
          <w:lang w:eastAsia="zh-CN"/>
        </w:rPr>
        <w:t>）的决定采取后续行动的报告中提及这些决定，并在报告中说明理事会将在考虑</w:t>
      </w:r>
      <w:r>
        <w:rPr>
          <w:lang w:eastAsia="zh-CN"/>
        </w:rPr>
        <w:t>PP-06</w:t>
      </w:r>
      <w:r>
        <w:rPr>
          <w:rFonts w:hint="eastAsia"/>
          <w:lang w:eastAsia="zh-CN"/>
        </w:rPr>
        <w:t>的结果后，在未来的理事会会议上重新审议其《议事规则》，</w:t>
      </w:r>
    </w:p>
    <w:p w14:paraId="4827B55F" w14:textId="77777777" w:rsidR="00FF690E" w:rsidRPr="0025197D" w:rsidRDefault="00FF690E" w:rsidP="0025197D">
      <w:pPr>
        <w:pStyle w:val="Call"/>
        <w:rPr>
          <w:lang w:eastAsia="zh-CN"/>
        </w:rPr>
      </w:pPr>
      <w:r w:rsidRPr="0025197D">
        <w:rPr>
          <w:rFonts w:hint="eastAsia"/>
          <w:lang w:eastAsia="zh-CN"/>
        </w:rPr>
        <w:t>责成秘书长</w:t>
      </w:r>
    </w:p>
    <w:p w14:paraId="4827B560" w14:textId="77777777" w:rsidR="00F11D1D" w:rsidRPr="00D746C3" w:rsidRDefault="00FF690E" w:rsidP="00242F18">
      <w:pPr>
        <w:tabs>
          <w:tab w:val="left" w:pos="510"/>
        </w:tabs>
        <w:ind w:firstLineChars="200" w:firstLine="480"/>
        <w:rPr>
          <w:lang w:eastAsia="zh-CN"/>
        </w:rPr>
      </w:pPr>
      <w:r>
        <w:rPr>
          <w:rFonts w:hint="eastAsia"/>
          <w:lang w:eastAsia="zh-CN"/>
        </w:rPr>
        <w:t>将经修改的规则第</w:t>
      </w:r>
      <w:r>
        <w:rPr>
          <w:lang w:eastAsia="zh-CN"/>
        </w:rPr>
        <w:t>7</w:t>
      </w:r>
      <w:r>
        <w:rPr>
          <w:rFonts w:hint="eastAsia"/>
          <w:lang w:eastAsia="zh-CN"/>
        </w:rPr>
        <w:t>条作为对理事会《议事规则》单独的一项修订予以发布，并在有关召集理事会</w:t>
      </w:r>
      <w:r>
        <w:rPr>
          <w:rFonts w:hint="eastAsia"/>
          <w:lang w:eastAsia="zh-CN"/>
        </w:rPr>
        <w:t>2006</w:t>
      </w:r>
      <w:r>
        <w:rPr>
          <w:rFonts w:hint="eastAsia"/>
          <w:lang w:eastAsia="zh-CN"/>
        </w:rPr>
        <w:t>年会议的通函中将这一修改通知</w:t>
      </w:r>
      <w:r w:rsidR="00492D09">
        <w:rPr>
          <w:rFonts w:hint="eastAsia"/>
          <w:lang w:eastAsia="zh-CN"/>
        </w:rPr>
        <w:t>成员国</w:t>
      </w:r>
      <w:r>
        <w:rPr>
          <w:rFonts w:hint="eastAsia"/>
          <w:lang w:eastAsia="zh-CN"/>
        </w:rPr>
        <w:t>。</w:t>
      </w:r>
    </w:p>
    <w:p w14:paraId="4827B561" w14:textId="77777777" w:rsidR="0025197D" w:rsidRPr="00C76172" w:rsidRDefault="00FF690E" w:rsidP="0025197D">
      <w:pPr>
        <w:pStyle w:val="Endtext"/>
        <w:rPr>
          <w:lang w:val="fr-FR" w:eastAsia="zh-CN"/>
        </w:rPr>
      </w:pPr>
      <w:r w:rsidRPr="00FF690E">
        <w:rPr>
          <w:rFonts w:ascii="STKaiti" w:hAnsi="STKaiti" w:hint="eastAsia"/>
          <w:lang w:eastAsia="zh-CN"/>
        </w:rPr>
        <w:t>参阅：</w:t>
      </w:r>
      <w:r w:rsidR="00F11D1D" w:rsidRPr="00D746C3">
        <w:rPr>
          <w:lang w:eastAsia="zh-CN"/>
        </w:rPr>
        <w:tab/>
      </w:r>
      <w:hyperlink r:id="rId348" w:history="1">
        <w:r w:rsidR="0025197D" w:rsidRPr="009B7A52">
          <w:rPr>
            <w:rStyle w:val="Hyperlink"/>
            <w:lang w:val="fr-FR" w:eastAsia="zh-CN"/>
          </w:rPr>
          <w:t>C05/84</w:t>
        </w:r>
      </w:hyperlink>
      <w:r w:rsidR="0025197D">
        <w:rPr>
          <w:rFonts w:hint="eastAsia"/>
          <w:lang w:val="fr-FR" w:eastAsia="zh-CN"/>
        </w:rPr>
        <w:t>和</w:t>
      </w:r>
      <w:hyperlink r:id="rId349" w:history="1">
        <w:r w:rsidR="0025197D" w:rsidRPr="009B7A52">
          <w:rPr>
            <w:rStyle w:val="Hyperlink"/>
            <w:lang w:val="fr-FR" w:eastAsia="zh-CN"/>
          </w:rPr>
          <w:t>C05/74</w:t>
        </w:r>
      </w:hyperlink>
      <w:r w:rsidR="0025197D">
        <w:rPr>
          <w:rFonts w:hint="eastAsia"/>
          <w:lang w:val="fr-FR" w:eastAsia="zh-CN"/>
        </w:rPr>
        <w:t>号</w:t>
      </w:r>
      <w:r w:rsidR="0025197D">
        <w:rPr>
          <w:lang w:val="fr-FR" w:eastAsia="zh-CN"/>
        </w:rPr>
        <w:t>文件。</w:t>
      </w:r>
    </w:p>
    <w:p w14:paraId="4827B562" w14:textId="77777777" w:rsidR="00E7075A" w:rsidRDefault="00E7075A" w:rsidP="00E7075A">
      <w:pPr>
        <w:jc w:val="center"/>
        <w:rPr>
          <w:lang w:eastAsia="zh-CN"/>
        </w:rPr>
      </w:pPr>
      <w:bookmarkStart w:id="1833" w:name="_Toc424117053"/>
      <w:bookmarkStart w:id="1834" w:name="_Toc531706405"/>
      <w:bookmarkStart w:id="1835" w:name="_Toc531707013"/>
      <w:bookmarkStart w:id="1836" w:name="_Toc531768493"/>
      <w:bookmarkStart w:id="1837" w:name="_Toc161224056"/>
      <w:bookmarkStart w:id="1838" w:name="_Toc161732101"/>
      <w:bookmarkStart w:id="1839" w:name="_Toc161741029"/>
      <w:bookmarkStart w:id="1840" w:name="_Toc185237700"/>
      <w:bookmarkStart w:id="1841" w:name="_Toc311469620"/>
      <w:r>
        <w:rPr>
          <w:lang w:eastAsia="zh-CN"/>
        </w:rPr>
        <w:t>______________</w:t>
      </w:r>
    </w:p>
    <w:p w14:paraId="4827B563" w14:textId="77777777" w:rsidR="0025197D" w:rsidRPr="0025197D" w:rsidRDefault="00B32E28" w:rsidP="00CA7362">
      <w:pPr>
        <w:pStyle w:val="DecNo"/>
        <w:outlineLvl w:val="0"/>
      </w:pPr>
      <w:bookmarkStart w:id="1842" w:name="_Toc16085809"/>
      <w:bookmarkStart w:id="1843" w:name="_Toc86395614"/>
      <w:r w:rsidRPr="0025197D">
        <w:rPr>
          <w:rFonts w:hint="eastAsia"/>
        </w:rPr>
        <w:t>第</w:t>
      </w:r>
      <w:r w:rsidRPr="0025197D">
        <w:rPr>
          <w:rFonts w:hint="eastAsia"/>
        </w:rPr>
        <w:t>540</w:t>
      </w:r>
      <w:r w:rsidRPr="0025197D">
        <w:rPr>
          <w:rFonts w:hint="eastAsia"/>
        </w:rPr>
        <w:t>号决定</w:t>
      </w:r>
      <w:r w:rsidR="0025197D">
        <w:rPr>
          <w:rFonts w:hint="eastAsia"/>
        </w:rPr>
        <w:t>（</w:t>
      </w:r>
      <w:r w:rsidR="0025197D" w:rsidRPr="0025197D">
        <w:t>C0</w:t>
      </w:r>
      <w:r w:rsidR="0025197D" w:rsidRPr="0025197D">
        <w:rPr>
          <w:rFonts w:hint="eastAsia"/>
        </w:rPr>
        <w:t>6</w:t>
      </w:r>
      <w:r w:rsidR="0025197D">
        <w:rPr>
          <w:rFonts w:hint="eastAsia"/>
        </w:rPr>
        <w:t>）</w:t>
      </w:r>
      <w:bookmarkEnd w:id="1833"/>
      <w:bookmarkEnd w:id="1834"/>
      <w:bookmarkEnd w:id="1835"/>
      <w:bookmarkEnd w:id="1836"/>
      <w:bookmarkEnd w:id="1842"/>
      <w:bookmarkEnd w:id="1843"/>
    </w:p>
    <w:p w14:paraId="4827B564" w14:textId="77777777" w:rsidR="007866E9" w:rsidRPr="0025197D" w:rsidRDefault="00B32E28" w:rsidP="0025197D">
      <w:pPr>
        <w:pStyle w:val="Dectitle"/>
      </w:pPr>
      <w:bookmarkStart w:id="1844" w:name="_Toc424117054"/>
      <w:bookmarkStart w:id="1845" w:name="_Toc460248167"/>
      <w:bookmarkStart w:id="1846" w:name="_Toc531706406"/>
      <w:bookmarkStart w:id="1847" w:name="_Toc531707014"/>
      <w:bookmarkStart w:id="1848" w:name="_Toc531768494"/>
      <w:bookmarkStart w:id="1849" w:name="_Toc16085810"/>
      <w:bookmarkStart w:id="1850" w:name="_Toc86395615"/>
      <w:r w:rsidRPr="0025197D">
        <w:rPr>
          <w:rFonts w:hint="eastAsia"/>
        </w:rPr>
        <w:t>成立一个单一的行政管理常设委员会</w:t>
      </w:r>
      <w:bookmarkEnd w:id="1837"/>
      <w:bookmarkEnd w:id="1838"/>
      <w:bookmarkEnd w:id="1839"/>
      <w:bookmarkEnd w:id="1840"/>
      <w:bookmarkEnd w:id="1841"/>
      <w:bookmarkEnd w:id="1844"/>
      <w:bookmarkEnd w:id="1845"/>
      <w:bookmarkEnd w:id="1846"/>
      <w:bookmarkEnd w:id="1847"/>
      <w:bookmarkEnd w:id="1848"/>
      <w:bookmarkEnd w:id="1849"/>
      <w:bookmarkEnd w:id="1850"/>
    </w:p>
    <w:p w14:paraId="4827B565" w14:textId="77777777" w:rsidR="00B32E28" w:rsidRPr="00FB1C2B" w:rsidRDefault="00B32E28" w:rsidP="0025197D">
      <w:pPr>
        <w:pStyle w:val="Normalaftertitle"/>
        <w:rPr>
          <w:lang w:eastAsia="zh-CN"/>
        </w:rPr>
      </w:pPr>
      <w:r w:rsidRPr="0025197D">
        <w:rPr>
          <w:lang w:eastAsia="zh-CN"/>
        </w:rPr>
        <w:t>理事会</w:t>
      </w:r>
      <w:r w:rsidR="00536D63">
        <w:rPr>
          <w:rFonts w:hint="eastAsia"/>
          <w:lang w:eastAsia="zh-CN"/>
        </w:rPr>
        <w:t>，</w:t>
      </w:r>
    </w:p>
    <w:p w14:paraId="4827B566" w14:textId="77777777" w:rsidR="00B32E28" w:rsidRPr="002B009C" w:rsidRDefault="00B32E28" w:rsidP="00B64353">
      <w:pPr>
        <w:pStyle w:val="Call"/>
        <w:rPr>
          <w:rFonts w:ascii="STKaiti" w:hAnsi="STKaiti"/>
          <w:iCs/>
          <w:lang w:eastAsia="zh-CN"/>
        </w:rPr>
      </w:pPr>
      <w:r w:rsidRPr="002B009C">
        <w:rPr>
          <w:rFonts w:ascii="STKaiti" w:hAnsi="STKaiti"/>
          <w:iCs/>
          <w:lang w:eastAsia="zh-CN"/>
        </w:rPr>
        <w:t>鉴于</w:t>
      </w:r>
    </w:p>
    <w:p w14:paraId="4827B567" w14:textId="77777777" w:rsidR="00B32E28" w:rsidRPr="00FB1C2B" w:rsidRDefault="00B32E28" w:rsidP="0025197D">
      <w:pPr>
        <w:ind w:firstLineChars="200" w:firstLine="480"/>
        <w:rPr>
          <w:lang w:eastAsia="zh-CN"/>
        </w:rPr>
      </w:pPr>
      <w:r w:rsidRPr="00FB1C2B">
        <w:rPr>
          <w:lang w:eastAsia="zh-CN"/>
        </w:rPr>
        <w:t>国际电信联盟《公约》第</w:t>
      </w:r>
      <w:r w:rsidRPr="00FB1C2B">
        <w:rPr>
          <w:lang w:eastAsia="zh-CN"/>
        </w:rPr>
        <w:t>4</w:t>
      </w:r>
      <w:r w:rsidRPr="00FB1C2B">
        <w:rPr>
          <w:lang w:eastAsia="zh-CN"/>
        </w:rPr>
        <w:t>条规定了理事会的职责，而第</w:t>
      </w:r>
      <w:r w:rsidRPr="00FB1C2B">
        <w:rPr>
          <w:lang w:eastAsia="zh-CN"/>
        </w:rPr>
        <w:t>61B</w:t>
      </w:r>
      <w:r w:rsidRPr="00FB1C2B">
        <w:rPr>
          <w:lang w:eastAsia="zh-CN"/>
        </w:rPr>
        <w:t>款又着重明确了理事会具有通过其《议事规则》的权限</w:t>
      </w:r>
      <w:r>
        <w:rPr>
          <w:rFonts w:hint="eastAsia"/>
          <w:lang w:eastAsia="zh-CN"/>
        </w:rPr>
        <w:t>，</w:t>
      </w:r>
    </w:p>
    <w:p w14:paraId="4827B568" w14:textId="77777777" w:rsidR="00B32E28" w:rsidRPr="002B009C" w:rsidRDefault="00B32E28" w:rsidP="00B64353">
      <w:pPr>
        <w:pStyle w:val="Call"/>
        <w:rPr>
          <w:rFonts w:ascii="STKaiti" w:hAnsi="STKaiti"/>
          <w:iCs/>
          <w:lang w:eastAsia="zh-CN"/>
        </w:rPr>
      </w:pPr>
      <w:r w:rsidRPr="002B009C">
        <w:rPr>
          <w:rFonts w:ascii="STKaiti" w:hAnsi="STKaiti"/>
          <w:iCs/>
          <w:lang w:eastAsia="zh-CN"/>
        </w:rPr>
        <w:t>考虑到</w:t>
      </w:r>
    </w:p>
    <w:p w14:paraId="4827B569" w14:textId="77777777" w:rsidR="00B32E28" w:rsidRPr="00FB1C2B" w:rsidRDefault="00B32E28" w:rsidP="0025197D">
      <w:pPr>
        <w:tabs>
          <w:tab w:val="clear" w:pos="794"/>
          <w:tab w:val="clear" w:pos="1191"/>
          <w:tab w:val="clear" w:pos="1588"/>
          <w:tab w:val="clear" w:pos="1985"/>
          <w:tab w:val="left" w:pos="510"/>
        </w:tabs>
        <w:ind w:firstLineChars="200" w:firstLine="480"/>
        <w:rPr>
          <w:lang w:eastAsia="zh-CN"/>
        </w:rPr>
      </w:pPr>
      <w:r>
        <w:rPr>
          <w:rFonts w:hAnsi="SimSun" w:hint="eastAsia"/>
          <w:lang w:eastAsia="zh-CN"/>
        </w:rPr>
        <w:t>有必要</w:t>
      </w:r>
      <w:r w:rsidRPr="00FB1C2B">
        <w:rPr>
          <w:rFonts w:hAnsi="SimSun"/>
          <w:lang w:eastAsia="zh-CN"/>
        </w:rPr>
        <w:t>以最为有效和一</w:t>
      </w:r>
      <w:r>
        <w:rPr>
          <w:rFonts w:hAnsi="SimSun" w:hint="eastAsia"/>
          <w:lang w:eastAsia="zh-CN"/>
        </w:rPr>
        <w:t>致</w:t>
      </w:r>
      <w:r w:rsidRPr="00FB1C2B">
        <w:rPr>
          <w:rFonts w:hAnsi="SimSun"/>
          <w:lang w:eastAsia="zh-CN"/>
        </w:rPr>
        <w:t>的方式解决国际电联</w:t>
      </w:r>
      <w:r>
        <w:rPr>
          <w:rFonts w:hAnsi="SimSun" w:hint="eastAsia"/>
          <w:lang w:eastAsia="zh-CN"/>
        </w:rPr>
        <w:t>的重大</w:t>
      </w:r>
      <w:r w:rsidRPr="00FB1C2B">
        <w:rPr>
          <w:rFonts w:hAnsi="SimSun"/>
          <w:lang w:eastAsia="zh-CN"/>
        </w:rPr>
        <w:t>人力和财务资源问题</w:t>
      </w:r>
      <w:r>
        <w:rPr>
          <w:rFonts w:hAnsi="SimSun" w:hint="eastAsia"/>
          <w:lang w:eastAsia="zh-CN"/>
        </w:rPr>
        <w:t>，</w:t>
      </w:r>
    </w:p>
    <w:p w14:paraId="4827B56A" w14:textId="77777777" w:rsidR="00B32E28" w:rsidRPr="002B009C" w:rsidRDefault="00B32E28" w:rsidP="00B64353">
      <w:pPr>
        <w:pStyle w:val="Call"/>
        <w:rPr>
          <w:rFonts w:ascii="STKaiti" w:hAnsi="STKaiti"/>
          <w:iCs/>
          <w:lang w:eastAsia="zh-CN"/>
        </w:rPr>
      </w:pPr>
      <w:r w:rsidRPr="002B009C">
        <w:rPr>
          <w:rFonts w:ascii="STKaiti" w:hAnsi="STKaiti"/>
          <w:iCs/>
          <w:lang w:eastAsia="zh-CN"/>
        </w:rPr>
        <w:t>认识到</w:t>
      </w:r>
    </w:p>
    <w:p w14:paraId="4827B56B" w14:textId="77777777" w:rsidR="00B32E28" w:rsidRPr="00FB1C2B" w:rsidRDefault="00B32E28" w:rsidP="0025197D">
      <w:pPr>
        <w:ind w:firstLineChars="200" w:firstLine="480"/>
        <w:rPr>
          <w:lang w:eastAsia="zh-CN"/>
        </w:rPr>
      </w:pPr>
      <w:r w:rsidRPr="00FB1C2B">
        <w:rPr>
          <w:lang w:eastAsia="zh-CN"/>
        </w:rPr>
        <w:t>理事会的关键职能和责任是监督国际电联的行政管理及其活动，</w:t>
      </w:r>
      <w:r>
        <w:rPr>
          <w:rFonts w:hint="eastAsia"/>
          <w:lang w:eastAsia="zh-CN"/>
        </w:rPr>
        <w:t>同时</w:t>
      </w:r>
      <w:r w:rsidRPr="00FB1C2B">
        <w:rPr>
          <w:lang w:eastAsia="zh-CN"/>
        </w:rPr>
        <w:t>必须</w:t>
      </w:r>
      <w:r>
        <w:rPr>
          <w:rFonts w:hint="eastAsia"/>
          <w:lang w:eastAsia="zh-CN"/>
        </w:rPr>
        <w:t>将人事问题作为</w:t>
      </w:r>
      <w:r w:rsidRPr="00FB1C2B">
        <w:rPr>
          <w:lang w:eastAsia="zh-CN"/>
        </w:rPr>
        <w:t>成功实现国际电联使命所不可或缺的资源</w:t>
      </w:r>
      <w:r>
        <w:rPr>
          <w:rFonts w:hint="eastAsia"/>
          <w:lang w:eastAsia="zh-CN"/>
        </w:rPr>
        <w:t>来对待，</w:t>
      </w:r>
    </w:p>
    <w:p w14:paraId="4827B56C" w14:textId="77777777" w:rsidR="00B32E28" w:rsidRPr="002B009C" w:rsidRDefault="00B32E28" w:rsidP="00B64353">
      <w:pPr>
        <w:pStyle w:val="Call"/>
        <w:rPr>
          <w:rFonts w:ascii="STKaiti" w:hAnsi="STKaiti"/>
          <w:iCs/>
          <w:lang w:eastAsia="zh-CN"/>
        </w:rPr>
      </w:pPr>
      <w:r w:rsidRPr="002B009C">
        <w:rPr>
          <w:rFonts w:ascii="STKaiti" w:hAnsi="STKaiti"/>
          <w:iCs/>
          <w:lang w:eastAsia="zh-CN"/>
        </w:rPr>
        <w:t>进一步认识到</w:t>
      </w:r>
    </w:p>
    <w:p w14:paraId="4827B56D" w14:textId="77777777" w:rsidR="00B32E28" w:rsidRPr="00FB1C2B" w:rsidRDefault="00B32E28" w:rsidP="0025197D">
      <w:pPr>
        <w:ind w:firstLineChars="200" w:firstLine="480"/>
        <w:rPr>
          <w:lang w:eastAsia="zh-CN"/>
        </w:rPr>
      </w:pPr>
      <w:r w:rsidRPr="00FB1C2B">
        <w:rPr>
          <w:lang w:eastAsia="zh-CN"/>
        </w:rPr>
        <w:t>1998</w:t>
      </w:r>
      <w:r w:rsidRPr="00FB1C2B">
        <w:rPr>
          <w:lang w:eastAsia="zh-CN"/>
        </w:rPr>
        <w:t>年和</w:t>
      </w:r>
      <w:r w:rsidRPr="00FB1C2B">
        <w:rPr>
          <w:lang w:eastAsia="zh-CN"/>
        </w:rPr>
        <w:t>2002</w:t>
      </w:r>
      <w:r w:rsidRPr="00FB1C2B">
        <w:rPr>
          <w:lang w:eastAsia="zh-CN"/>
        </w:rPr>
        <w:t>年的</w:t>
      </w:r>
      <w:r w:rsidRPr="00214E0B">
        <w:rPr>
          <w:rFonts w:hAnsi="SimSun"/>
          <w:lang w:eastAsia="zh-CN"/>
        </w:rPr>
        <w:t>全权代表</w:t>
      </w:r>
      <w:r w:rsidRPr="00FB1C2B">
        <w:rPr>
          <w:lang w:eastAsia="zh-CN"/>
        </w:rPr>
        <w:t>大会成功地在一个委员会中审议了人事和财务问题</w:t>
      </w:r>
      <w:r>
        <w:rPr>
          <w:rFonts w:hint="eastAsia"/>
          <w:lang w:eastAsia="zh-CN"/>
        </w:rPr>
        <w:t>，</w:t>
      </w:r>
    </w:p>
    <w:p w14:paraId="4827B56E" w14:textId="77777777" w:rsidR="00B32E28" w:rsidRPr="002B009C" w:rsidRDefault="00B32E28" w:rsidP="00B64353">
      <w:pPr>
        <w:pStyle w:val="Call"/>
        <w:rPr>
          <w:rFonts w:ascii="STKaiti" w:hAnsi="STKaiti"/>
          <w:iCs/>
          <w:lang w:eastAsia="zh-CN"/>
        </w:rPr>
      </w:pPr>
      <w:r w:rsidRPr="002B009C">
        <w:rPr>
          <w:rFonts w:ascii="STKaiti" w:hAnsi="STKaiti" w:hint="eastAsia"/>
          <w:iCs/>
          <w:lang w:eastAsia="zh-CN"/>
        </w:rPr>
        <w:t>做</w:t>
      </w:r>
      <w:r w:rsidRPr="002B009C">
        <w:rPr>
          <w:rFonts w:ascii="STKaiti" w:hAnsi="STKaiti"/>
          <w:iCs/>
          <w:lang w:eastAsia="zh-CN"/>
        </w:rPr>
        <w:t>出决定</w:t>
      </w:r>
    </w:p>
    <w:p w14:paraId="4827B56F" w14:textId="77777777" w:rsidR="00B32E28" w:rsidRPr="00FB1C2B" w:rsidRDefault="00B32E28" w:rsidP="0025197D">
      <w:pPr>
        <w:ind w:firstLineChars="200" w:firstLine="480"/>
        <w:rPr>
          <w:lang w:eastAsia="zh-CN"/>
        </w:rPr>
      </w:pPr>
      <w:r w:rsidRPr="00FB1C2B">
        <w:rPr>
          <w:lang w:eastAsia="zh-CN"/>
        </w:rPr>
        <w:t>将理事会的财务常设委员会和人事常设委员会合并，成立一个单一的行政管理常设委员会，并</w:t>
      </w:r>
      <w:r>
        <w:rPr>
          <w:rFonts w:hint="eastAsia"/>
          <w:lang w:eastAsia="zh-CN"/>
        </w:rPr>
        <w:t>自</w:t>
      </w:r>
      <w:r w:rsidRPr="00FB1C2B">
        <w:rPr>
          <w:lang w:eastAsia="zh-CN"/>
        </w:rPr>
        <w:t>理事会</w:t>
      </w:r>
      <w:r w:rsidRPr="00FB1C2B">
        <w:rPr>
          <w:lang w:eastAsia="zh-CN"/>
        </w:rPr>
        <w:t>2007</w:t>
      </w:r>
      <w:r w:rsidRPr="00FB1C2B">
        <w:rPr>
          <w:lang w:eastAsia="zh-CN"/>
        </w:rPr>
        <w:t>年</w:t>
      </w:r>
      <w:r>
        <w:rPr>
          <w:rFonts w:hint="eastAsia"/>
          <w:lang w:eastAsia="zh-CN"/>
        </w:rPr>
        <w:t>例行</w:t>
      </w:r>
      <w:r w:rsidRPr="00FB1C2B">
        <w:rPr>
          <w:lang w:eastAsia="zh-CN"/>
        </w:rPr>
        <w:t>会议开始工作</w:t>
      </w:r>
      <w:r>
        <w:rPr>
          <w:rFonts w:hint="eastAsia"/>
          <w:lang w:eastAsia="zh-CN"/>
        </w:rPr>
        <w:t>，</w:t>
      </w:r>
    </w:p>
    <w:p w14:paraId="4827B570" w14:textId="77777777" w:rsidR="00E7075A" w:rsidRDefault="00E7075A">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lang w:eastAsia="zh-CN"/>
        </w:rPr>
      </w:pPr>
      <w:r>
        <w:rPr>
          <w:rFonts w:ascii="STKaiti" w:hAnsi="STKaiti"/>
          <w:iCs/>
          <w:lang w:eastAsia="zh-CN"/>
        </w:rPr>
        <w:br w:type="page"/>
      </w:r>
    </w:p>
    <w:p w14:paraId="4827B571" w14:textId="77777777" w:rsidR="00B32E28" w:rsidRPr="002B009C" w:rsidRDefault="00B32E28" w:rsidP="00B64353">
      <w:pPr>
        <w:pStyle w:val="Call"/>
        <w:rPr>
          <w:rFonts w:ascii="STKaiti" w:hAnsi="STKaiti"/>
          <w:iCs/>
          <w:lang w:eastAsia="zh-CN"/>
        </w:rPr>
      </w:pPr>
      <w:r w:rsidRPr="002B009C">
        <w:rPr>
          <w:rFonts w:ascii="STKaiti" w:hAnsi="STKaiti"/>
          <w:iCs/>
          <w:lang w:eastAsia="zh-CN"/>
        </w:rPr>
        <w:lastRenderedPageBreak/>
        <w:t>进一步</w:t>
      </w:r>
      <w:r w:rsidRPr="002B009C">
        <w:rPr>
          <w:rFonts w:ascii="STKaiti" w:hAnsi="STKaiti" w:hint="eastAsia"/>
          <w:iCs/>
          <w:lang w:eastAsia="zh-CN"/>
        </w:rPr>
        <w:t>做</w:t>
      </w:r>
      <w:r w:rsidRPr="002B009C">
        <w:rPr>
          <w:rFonts w:ascii="STKaiti" w:hAnsi="STKaiti"/>
          <w:iCs/>
          <w:lang w:eastAsia="zh-CN"/>
        </w:rPr>
        <w:t>出决定</w:t>
      </w:r>
    </w:p>
    <w:p w14:paraId="4827B572" w14:textId="77777777" w:rsidR="00B32E28" w:rsidRDefault="00B32E28" w:rsidP="009647B3">
      <w:pPr>
        <w:tabs>
          <w:tab w:val="clear" w:pos="794"/>
          <w:tab w:val="clear" w:pos="1191"/>
          <w:tab w:val="clear" w:pos="1588"/>
          <w:tab w:val="clear" w:pos="1985"/>
          <w:tab w:val="left" w:pos="510"/>
        </w:tabs>
        <w:ind w:firstLine="490"/>
        <w:rPr>
          <w:lang w:eastAsia="zh-CN"/>
        </w:rPr>
      </w:pPr>
      <w:r w:rsidRPr="00FB1C2B">
        <w:rPr>
          <w:lang w:eastAsia="zh-CN"/>
        </w:rPr>
        <w:t>对</w:t>
      </w:r>
      <w:r>
        <w:rPr>
          <w:rFonts w:hint="eastAsia"/>
          <w:lang w:eastAsia="zh-CN"/>
        </w:rPr>
        <w:t>相关</w:t>
      </w:r>
      <w:r w:rsidRPr="00FB1C2B">
        <w:rPr>
          <w:lang w:eastAsia="zh-CN"/>
        </w:rPr>
        <w:t>议事规则</w:t>
      </w:r>
      <w:r>
        <w:rPr>
          <w:rFonts w:hint="eastAsia"/>
          <w:lang w:eastAsia="zh-CN"/>
        </w:rPr>
        <w:t>做</w:t>
      </w:r>
      <w:r w:rsidRPr="00214E0B">
        <w:rPr>
          <w:rFonts w:hAnsi="SimSun"/>
          <w:lang w:eastAsia="zh-CN"/>
        </w:rPr>
        <w:t>如下</w:t>
      </w:r>
      <w:r w:rsidRPr="00FB1C2B">
        <w:rPr>
          <w:lang w:eastAsia="zh-CN"/>
        </w:rPr>
        <w:t>修改：</w:t>
      </w:r>
    </w:p>
    <w:p w14:paraId="4827B573" w14:textId="77777777" w:rsidR="00DE351F" w:rsidRPr="00DE351F" w:rsidRDefault="00DE351F" w:rsidP="00B64353">
      <w:pPr>
        <w:tabs>
          <w:tab w:val="clear" w:pos="794"/>
          <w:tab w:val="clear" w:pos="1191"/>
          <w:tab w:val="clear" w:pos="1588"/>
          <w:tab w:val="clear" w:pos="1985"/>
        </w:tabs>
        <w:ind w:left="851" w:hanging="142"/>
        <w:rPr>
          <w:sz w:val="4"/>
          <w:szCs w:val="4"/>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80"/>
        <w:gridCol w:w="7075"/>
      </w:tblGrid>
      <w:tr w:rsidR="00323428" w:rsidRPr="00323428" w14:paraId="4827B576" w14:textId="77777777" w:rsidTr="00E7075A">
        <w:tc>
          <w:tcPr>
            <w:tcW w:w="2281" w:type="dxa"/>
          </w:tcPr>
          <w:p w14:paraId="4827B574" w14:textId="77777777" w:rsidR="00323428" w:rsidRPr="00C362C2" w:rsidRDefault="00323428" w:rsidP="00B64353">
            <w:pPr>
              <w:tabs>
                <w:tab w:val="clear" w:pos="794"/>
                <w:tab w:val="clear" w:pos="1191"/>
                <w:tab w:val="clear" w:pos="1588"/>
                <w:tab w:val="clear" w:pos="1985"/>
              </w:tabs>
              <w:rPr>
                <w:bCs/>
                <w:lang w:eastAsia="zh-CN"/>
              </w:rPr>
            </w:pPr>
            <w:r w:rsidRPr="00C362C2">
              <w:rPr>
                <w:bCs/>
                <w:lang w:eastAsia="zh-CN"/>
              </w:rPr>
              <w:t>议事规则</w:t>
            </w:r>
            <w:r w:rsidRPr="00C362C2">
              <w:rPr>
                <w:bCs/>
                <w:lang w:eastAsia="zh-CN"/>
              </w:rPr>
              <w:t>11</w:t>
            </w:r>
            <w:r w:rsidRPr="00C362C2">
              <w:rPr>
                <w:rFonts w:hint="eastAsia"/>
                <w:bCs/>
                <w:lang w:eastAsia="zh-CN"/>
              </w:rPr>
              <w:t>：</w:t>
            </w:r>
          </w:p>
        </w:tc>
        <w:tc>
          <w:tcPr>
            <w:tcW w:w="7074" w:type="dxa"/>
          </w:tcPr>
          <w:p w14:paraId="4827B575" w14:textId="77777777" w:rsidR="00323428" w:rsidRPr="00323428" w:rsidRDefault="00323428" w:rsidP="00B64353">
            <w:pPr>
              <w:tabs>
                <w:tab w:val="clear" w:pos="794"/>
                <w:tab w:val="clear" w:pos="1191"/>
                <w:tab w:val="clear" w:pos="1588"/>
                <w:tab w:val="clear" w:pos="1985"/>
              </w:tabs>
              <w:rPr>
                <w:lang w:eastAsia="zh-CN"/>
              </w:rPr>
            </w:pPr>
            <w:r w:rsidRPr="00323428">
              <w:rPr>
                <w:rFonts w:hint="eastAsia"/>
                <w:lang w:eastAsia="zh-CN"/>
              </w:rPr>
              <w:t>“</w:t>
            </w:r>
            <w:r w:rsidRPr="00323428">
              <w:rPr>
                <w:lang w:eastAsia="zh-CN"/>
              </w:rPr>
              <w:t>理事会可以设立所有理事以及他们的顾问和观察员均有资格参加的委员会和工作组。在理事会会议期间，国际电联的一个行政管理常设委员会将审议人事和财</w:t>
            </w:r>
            <w:r w:rsidRPr="00323428">
              <w:rPr>
                <w:rFonts w:hint="eastAsia"/>
                <w:lang w:eastAsia="zh-CN"/>
              </w:rPr>
              <w:t>务</w:t>
            </w:r>
            <w:r w:rsidRPr="00323428">
              <w:rPr>
                <w:lang w:eastAsia="zh-CN"/>
              </w:rPr>
              <w:t>问题。</w:t>
            </w:r>
            <w:r w:rsidRPr="00323428">
              <w:rPr>
                <w:lang w:eastAsia="zh-CN"/>
              </w:rPr>
              <w:t>……</w:t>
            </w:r>
            <w:r w:rsidRPr="00323428">
              <w:rPr>
                <w:lang w:eastAsia="zh-CN"/>
              </w:rPr>
              <w:t>指派的观察员</w:t>
            </w:r>
            <w:r w:rsidRPr="00323428">
              <w:rPr>
                <w:lang w:eastAsia="zh-CN"/>
              </w:rPr>
              <w:t>……</w:t>
            </w:r>
            <w:r w:rsidRPr="00323428">
              <w:rPr>
                <w:rFonts w:hint="eastAsia"/>
                <w:lang w:eastAsia="zh-CN"/>
              </w:rPr>
              <w:t>”</w:t>
            </w:r>
          </w:p>
        </w:tc>
      </w:tr>
      <w:tr w:rsidR="00323428" w:rsidRPr="00323428" w14:paraId="4827B579" w14:textId="77777777" w:rsidTr="00E7075A">
        <w:tc>
          <w:tcPr>
            <w:tcW w:w="2281" w:type="dxa"/>
          </w:tcPr>
          <w:p w14:paraId="4827B577" w14:textId="77777777" w:rsidR="00323428" w:rsidRPr="00C362C2" w:rsidRDefault="00323428" w:rsidP="00B64353">
            <w:pPr>
              <w:tabs>
                <w:tab w:val="clear" w:pos="794"/>
                <w:tab w:val="clear" w:pos="1191"/>
                <w:tab w:val="clear" w:pos="1588"/>
                <w:tab w:val="clear" w:pos="1985"/>
              </w:tabs>
              <w:rPr>
                <w:bCs/>
                <w:lang w:eastAsia="zh-CN"/>
              </w:rPr>
            </w:pPr>
            <w:r w:rsidRPr="00C362C2">
              <w:rPr>
                <w:bCs/>
                <w:lang w:eastAsia="zh-CN"/>
              </w:rPr>
              <w:t>议事规则</w:t>
            </w:r>
            <w:r w:rsidRPr="00C362C2">
              <w:rPr>
                <w:bCs/>
                <w:lang w:eastAsia="zh-CN"/>
              </w:rPr>
              <w:t>1</w:t>
            </w:r>
            <w:r w:rsidRPr="00C362C2">
              <w:rPr>
                <w:rFonts w:hint="eastAsia"/>
                <w:bCs/>
                <w:lang w:eastAsia="zh-CN"/>
              </w:rPr>
              <w:t>2.2</w:t>
            </w:r>
            <w:r w:rsidRPr="00C362C2">
              <w:rPr>
                <w:rFonts w:hint="eastAsia"/>
                <w:bCs/>
                <w:lang w:eastAsia="zh-CN"/>
              </w:rPr>
              <w:t>：</w:t>
            </w:r>
          </w:p>
        </w:tc>
        <w:tc>
          <w:tcPr>
            <w:tcW w:w="7074" w:type="dxa"/>
          </w:tcPr>
          <w:p w14:paraId="4827B578" w14:textId="77777777" w:rsidR="0051348A" w:rsidRPr="0051348A" w:rsidRDefault="00323428" w:rsidP="00EC401C">
            <w:pPr>
              <w:tabs>
                <w:tab w:val="clear" w:pos="794"/>
                <w:tab w:val="clear" w:pos="1191"/>
                <w:tab w:val="clear" w:pos="1588"/>
                <w:tab w:val="clear" w:pos="1985"/>
              </w:tabs>
              <w:rPr>
                <w:rFonts w:ascii="SimSun" w:cs="SimSun"/>
                <w:lang w:val="en-US" w:eastAsia="zh-CN"/>
              </w:rPr>
            </w:pPr>
            <w:r w:rsidRPr="00323428">
              <w:rPr>
                <w:rFonts w:ascii="SimSun" w:cs="SimSun" w:hint="eastAsia"/>
                <w:lang w:val="zh-CN" w:eastAsia="zh-CN"/>
              </w:rPr>
              <w:t>“在开幕式全体会议之后，常设委员会应按照开幕式全体会议上根据上届理事会的建议所确定的时限立即召开会议。”</w:t>
            </w:r>
          </w:p>
        </w:tc>
      </w:tr>
      <w:tr w:rsidR="00323428" w:rsidRPr="00323428" w14:paraId="4827B57C" w14:textId="77777777" w:rsidTr="00E7075A">
        <w:tc>
          <w:tcPr>
            <w:tcW w:w="2278" w:type="dxa"/>
          </w:tcPr>
          <w:p w14:paraId="4827B57A" w14:textId="77777777" w:rsidR="00323428" w:rsidRPr="00C362C2" w:rsidRDefault="00323428" w:rsidP="00EC401C">
            <w:pPr>
              <w:tabs>
                <w:tab w:val="clear" w:pos="794"/>
                <w:tab w:val="clear" w:pos="1191"/>
                <w:tab w:val="clear" w:pos="1588"/>
                <w:tab w:val="clear" w:pos="1985"/>
              </w:tabs>
              <w:rPr>
                <w:bCs/>
                <w:lang w:eastAsia="zh-CN"/>
              </w:rPr>
            </w:pPr>
            <w:r w:rsidRPr="00C362C2">
              <w:rPr>
                <w:bCs/>
                <w:lang w:eastAsia="zh-CN"/>
              </w:rPr>
              <w:t>议事规则</w:t>
            </w:r>
            <w:r w:rsidRPr="00C362C2">
              <w:rPr>
                <w:bCs/>
                <w:lang w:eastAsia="zh-CN"/>
              </w:rPr>
              <w:t>1</w:t>
            </w:r>
            <w:r w:rsidRPr="00C362C2">
              <w:rPr>
                <w:rFonts w:hint="eastAsia"/>
                <w:bCs/>
                <w:lang w:eastAsia="zh-CN"/>
              </w:rPr>
              <w:t>2.4</w:t>
            </w:r>
            <w:r w:rsidRPr="00C362C2">
              <w:rPr>
                <w:rFonts w:hint="eastAsia"/>
                <w:bCs/>
                <w:lang w:eastAsia="zh-CN"/>
              </w:rPr>
              <w:t>：</w:t>
            </w:r>
          </w:p>
        </w:tc>
        <w:tc>
          <w:tcPr>
            <w:tcW w:w="7077" w:type="dxa"/>
          </w:tcPr>
          <w:p w14:paraId="4827B57B" w14:textId="77777777" w:rsidR="00323428" w:rsidRPr="00323428" w:rsidRDefault="00323428" w:rsidP="00B64353">
            <w:pPr>
              <w:pageBreakBefore/>
              <w:tabs>
                <w:tab w:val="clear" w:pos="794"/>
                <w:tab w:val="clear" w:pos="1191"/>
                <w:tab w:val="clear" w:pos="1588"/>
                <w:tab w:val="clear" w:pos="1985"/>
              </w:tabs>
              <w:rPr>
                <w:lang w:eastAsia="zh-CN"/>
              </w:rPr>
            </w:pPr>
            <w:r w:rsidRPr="00323428">
              <w:rPr>
                <w:rFonts w:hint="eastAsia"/>
                <w:lang w:eastAsia="zh-CN"/>
              </w:rPr>
              <w:t>“</w:t>
            </w:r>
            <w:r w:rsidRPr="00323428">
              <w:rPr>
                <w:rFonts w:ascii="SimSun" w:cs="SimSun" w:hint="eastAsia"/>
                <w:lang w:val="zh-CN" w:eastAsia="zh-CN"/>
              </w:rPr>
              <w:t>常设委员会应审议开幕式全体会议上划分给它的文件，例如,秘书长和各局主任的报告、预算草案、提交给国际电联各成员国的年度报告、理事国的文稿以及理事会所要求的国际电联其它成员国提交的文稿。常设委员会应起草决议草案和决定草案,并在需要时起草报告供理事会全体会议审议。除非另有决定，不然工作组应向成立该组的机构提交其结论意见。”</w:t>
            </w:r>
          </w:p>
        </w:tc>
      </w:tr>
      <w:tr w:rsidR="00323428" w:rsidRPr="00323428" w14:paraId="4827B57F" w14:textId="77777777" w:rsidTr="00E7075A">
        <w:tc>
          <w:tcPr>
            <w:tcW w:w="2278" w:type="dxa"/>
          </w:tcPr>
          <w:p w14:paraId="4827B57D" w14:textId="77777777" w:rsidR="00323428" w:rsidRPr="00C362C2" w:rsidRDefault="00323428" w:rsidP="00B64353">
            <w:pPr>
              <w:tabs>
                <w:tab w:val="clear" w:pos="794"/>
                <w:tab w:val="clear" w:pos="1191"/>
                <w:tab w:val="clear" w:pos="1588"/>
                <w:tab w:val="clear" w:pos="1985"/>
              </w:tabs>
              <w:rPr>
                <w:bCs/>
                <w:lang w:eastAsia="zh-CN"/>
              </w:rPr>
            </w:pPr>
            <w:r w:rsidRPr="00C362C2">
              <w:rPr>
                <w:bCs/>
                <w:lang w:eastAsia="zh-CN"/>
              </w:rPr>
              <w:t>议事规则</w:t>
            </w:r>
            <w:r w:rsidRPr="00C362C2">
              <w:rPr>
                <w:bCs/>
                <w:lang w:eastAsia="zh-CN"/>
              </w:rPr>
              <w:t>1</w:t>
            </w:r>
            <w:r w:rsidRPr="00C362C2">
              <w:rPr>
                <w:rFonts w:hint="eastAsia"/>
                <w:bCs/>
                <w:lang w:eastAsia="zh-CN"/>
              </w:rPr>
              <w:t>2.5</w:t>
            </w:r>
            <w:r w:rsidRPr="00C362C2">
              <w:rPr>
                <w:rFonts w:hint="eastAsia"/>
                <w:bCs/>
                <w:lang w:eastAsia="zh-CN"/>
              </w:rPr>
              <w:t>：</w:t>
            </w:r>
          </w:p>
        </w:tc>
        <w:tc>
          <w:tcPr>
            <w:tcW w:w="7077" w:type="dxa"/>
          </w:tcPr>
          <w:p w14:paraId="4827B57E" w14:textId="77777777" w:rsidR="00323428" w:rsidRPr="00323428" w:rsidRDefault="00323428" w:rsidP="00B64353">
            <w:pPr>
              <w:tabs>
                <w:tab w:val="clear" w:pos="794"/>
                <w:tab w:val="clear" w:pos="1191"/>
                <w:tab w:val="clear" w:pos="1588"/>
                <w:tab w:val="clear" w:pos="1985"/>
              </w:tabs>
              <w:rPr>
                <w:rFonts w:ascii="SimSun" w:cs="SimSun"/>
                <w:lang w:val="zh-CN" w:eastAsia="zh-CN"/>
              </w:rPr>
            </w:pPr>
            <w:r w:rsidRPr="00323428">
              <w:rPr>
                <w:rFonts w:hint="eastAsia"/>
                <w:lang w:eastAsia="zh-CN"/>
              </w:rPr>
              <w:t>“</w:t>
            </w:r>
            <w:r w:rsidRPr="001A19E4">
              <w:rPr>
                <w:rFonts w:hint="eastAsia"/>
                <w:lang w:eastAsia="zh-CN"/>
              </w:rPr>
              <w:t>常设</w:t>
            </w:r>
            <w:r w:rsidRPr="00323428">
              <w:rPr>
                <w:rFonts w:ascii="SimSun" w:cs="SimSun" w:hint="eastAsia"/>
                <w:lang w:val="zh-CN" w:eastAsia="zh-CN"/>
              </w:rPr>
              <w:t>委员会和工作组应尽一切努力就提交其审议的问题达成一致意见；否则，相关的常设委员会或工作组的主席应准备一份简短的报告，列出各位与会者表示的意见,以供全体会议审议。”</w:t>
            </w:r>
          </w:p>
        </w:tc>
      </w:tr>
      <w:tr w:rsidR="00323428" w:rsidRPr="00323428" w14:paraId="4827B582" w14:textId="77777777" w:rsidTr="00E7075A">
        <w:tc>
          <w:tcPr>
            <w:tcW w:w="2278" w:type="dxa"/>
          </w:tcPr>
          <w:p w14:paraId="4827B580" w14:textId="77777777" w:rsidR="00323428" w:rsidRPr="00C362C2" w:rsidRDefault="00323428" w:rsidP="00B64353">
            <w:pPr>
              <w:tabs>
                <w:tab w:val="clear" w:pos="794"/>
                <w:tab w:val="clear" w:pos="1191"/>
                <w:tab w:val="clear" w:pos="1588"/>
                <w:tab w:val="clear" w:pos="1985"/>
              </w:tabs>
              <w:rPr>
                <w:bCs/>
                <w:lang w:eastAsia="zh-CN"/>
              </w:rPr>
            </w:pPr>
            <w:r w:rsidRPr="00C362C2">
              <w:rPr>
                <w:bCs/>
                <w:lang w:eastAsia="zh-CN"/>
              </w:rPr>
              <w:t>议事规则</w:t>
            </w:r>
            <w:r w:rsidRPr="00C362C2">
              <w:rPr>
                <w:bCs/>
                <w:lang w:eastAsia="zh-CN"/>
              </w:rPr>
              <w:t>1</w:t>
            </w:r>
            <w:r w:rsidRPr="00C362C2">
              <w:rPr>
                <w:rFonts w:hint="eastAsia"/>
                <w:bCs/>
                <w:lang w:eastAsia="zh-CN"/>
              </w:rPr>
              <w:t>2.6</w:t>
            </w:r>
            <w:r w:rsidRPr="00C362C2">
              <w:rPr>
                <w:rFonts w:hint="eastAsia"/>
                <w:bCs/>
                <w:lang w:eastAsia="zh-CN"/>
              </w:rPr>
              <w:t>：</w:t>
            </w:r>
          </w:p>
        </w:tc>
        <w:tc>
          <w:tcPr>
            <w:tcW w:w="7077" w:type="dxa"/>
          </w:tcPr>
          <w:p w14:paraId="4827B581" w14:textId="77777777" w:rsidR="00323428" w:rsidRPr="00323428" w:rsidRDefault="00323428" w:rsidP="00B64353">
            <w:pPr>
              <w:tabs>
                <w:tab w:val="clear" w:pos="794"/>
                <w:tab w:val="clear" w:pos="1191"/>
                <w:tab w:val="clear" w:pos="1588"/>
                <w:tab w:val="clear" w:pos="1985"/>
              </w:tabs>
              <w:rPr>
                <w:rFonts w:ascii="SimSun" w:cs="SimSun"/>
                <w:lang w:val="zh-CN" w:eastAsia="zh-CN"/>
              </w:rPr>
            </w:pPr>
            <w:r w:rsidRPr="00323428">
              <w:rPr>
                <w:rFonts w:hint="eastAsia"/>
                <w:lang w:eastAsia="zh-CN"/>
              </w:rPr>
              <w:t>“</w:t>
            </w:r>
            <w:r w:rsidRPr="00323428">
              <w:rPr>
                <w:rFonts w:ascii="SimSun" w:cs="SimSun" w:hint="eastAsia"/>
                <w:lang w:val="zh-CN" w:eastAsia="zh-CN"/>
              </w:rPr>
              <w:t>该常设委员会不应在全体会议期间召开会议。”</w:t>
            </w:r>
          </w:p>
        </w:tc>
      </w:tr>
      <w:tr w:rsidR="00242F18" w:rsidRPr="00323428" w14:paraId="4827B585" w14:textId="77777777" w:rsidTr="00E7075A">
        <w:tc>
          <w:tcPr>
            <w:tcW w:w="2278" w:type="dxa"/>
          </w:tcPr>
          <w:p w14:paraId="4827B583" w14:textId="77777777" w:rsidR="00242F18" w:rsidRPr="00C362C2" w:rsidRDefault="00242F18" w:rsidP="00242F18">
            <w:pPr>
              <w:tabs>
                <w:tab w:val="clear" w:pos="794"/>
                <w:tab w:val="clear" w:pos="1191"/>
                <w:tab w:val="clear" w:pos="1588"/>
                <w:tab w:val="clear" w:pos="1985"/>
              </w:tabs>
              <w:rPr>
                <w:bCs/>
                <w:lang w:eastAsia="zh-CN"/>
              </w:rPr>
            </w:pPr>
            <w:r w:rsidRPr="00C362C2">
              <w:rPr>
                <w:bCs/>
                <w:lang w:eastAsia="zh-CN"/>
              </w:rPr>
              <w:t>议事规则</w:t>
            </w:r>
            <w:r w:rsidRPr="00C362C2">
              <w:rPr>
                <w:bCs/>
                <w:lang w:eastAsia="zh-CN"/>
              </w:rPr>
              <w:t>1</w:t>
            </w:r>
            <w:r w:rsidRPr="00C362C2">
              <w:rPr>
                <w:rFonts w:hint="eastAsia"/>
                <w:bCs/>
                <w:lang w:eastAsia="zh-CN"/>
              </w:rPr>
              <w:t>3.1</w:t>
            </w:r>
            <w:r w:rsidRPr="00C362C2">
              <w:rPr>
                <w:rFonts w:hint="eastAsia"/>
                <w:bCs/>
                <w:lang w:eastAsia="zh-CN"/>
              </w:rPr>
              <w:t>：</w:t>
            </w:r>
          </w:p>
        </w:tc>
        <w:tc>
          <w:tcPr>
            <w:tcW w:w="7077" w:type="dxa"/>
          </w:tcPr>
          <w:p w14:paraId="4827B584" w14:textId="77777777" w:rsidR="00242F18" w:rsidRPr="00323428" w:rsidRDefault="00242F18" w:rsidP="00242F18">
            <w:pPr>
              <w:tabs>
                <w:tab w:val="clear" w:pos="794"/>
                <w:tab w:val="clear" w:pos="1191"/>
                <w:tab w:val="clear" w:pos="1588"/>
                <w:tab w:val="clear" w:pos="1985"/>
              </w:tabs>
              <w:rPr>
                <w:rFonts w:ascii="SimSun" w:cs="SimSun"/>
                <w:lang w:val="zh-CN" w:eastAsia="zh-CN"/>
              </w:rPr>
            </w:pPr>
            <w:r w:rsidRPr="00323428">
              <w:rPr>
                <w:rFonts w:hint="eastAsia"/>
                <w:lang w:eastAsia="zh-CN"/>
              </w:rPr>
              <w:t>“</w:t>
            </w:r>
            <w:r w:rsidRPr="00323428">
              <w:rPr>
                <w:rFonts w:ascii="SimSun" w:cs="SimSun" w:hint="eastAsia"/>
                <w:lang w:val="zh-CN" w:eastAsia="zh-CN"/>
              </w:rPr>
              <w:t>全体会议和常设委员会的会议摘要记录应由理事会秘书处以简明扼要的方式编写。”</w:t>
            </w:r>
          </w:p>
        </w:tc>
      </w:tr>
      <w:tr w:rsidR="00242F18" w:rsidRPr="00323428" w14:paraId="4827B58B" w14:textId="77777777" w:rsidTr="00E7075A">
        <w:tc>
          <w:tcPr>
            <w:tcW w:w="2278" w:type="dxa"/>
          </w:tcPr>
          <w:p w14:paraId="4827B586" w14:textId="77777777" w:rsidR="00242F18" w:rsidRDefault="00242F18" w:rsidP="00242F18">
            <w:pPr>
              <w:tabs>
                <w:tab w:val="clear" w:pos="794"/>
                <w:tab w:val="clear" w:pos="1191"/>
                <w:tab w:val="clear" w:pos="1588"/>
                <w:tab w:val="clear" w:pos="1985"/>
              </w:tabs>
              <w:rPr>
                <w:bCs/>
                <w:lang w:eastAsia="zh-CN"/>
              </w:rPr>
            </w:pPr>
            <w:r w:rsidRPr="00C362C2">
              <w:rPr>
                <w:bCs/>
                <w:lang w:eastAsia="zh-CN"/>
              </w:rPr>
              <w:t>议事规则</w:t>
            </w:r>
            <w:r w:rsidRPr="00C362C2">
              <w:rPr>
                <w:bCs/>
                <w:lang w:eastAsia="zh-CN"/>
              </w:rPr>
              <w:t>1</w:t>
            </w:r>
            <w:r w:rsidRPr="00C362C2">
              <w:rPr>
                <w:rFonts w:hint="eastAsia"/>
                <w:bCs/>
                <w:lang w:eastAsia="zh-CN"/>
              </w:rPr>
              <w:t>3.4a)</w:t>
            </w:r>
          </w:p>
          <w:p w14:paraId="4827B587" w14:textId="77777777" w:rsidR="00242F18" w:rsidRDefault="00242F18" w:rsidP="00242F18">
            <w:pPr>
              <w:tabs>
                <w:tab w:val="clear" w:pos="794"/>
                <w:tab w:val="left" w:pos="567"/>
              </w:tabs>
              <w:rPr>
                <w:bCs/>
                <w:lang w:val="en-US" w:eastAsia="zh-CN"/>
              </w:rPr>
            </w:pPr>
            <w:r w:rsidRPr="00C362C2">
              <w:rPr>
                <w:rFonts w:hint="eastAsia"/>
                <w:bCs/>
                <w:lang w:eastAsia="zh-CN"/>
              </w:rPr>
              <w:t>和</w:t>
            </w:r>
          </w:p>
          <w:p w14:paraId="4827B588" w14:textId="77777777" w:rsidR="00242F18" w:rsidRPr="00C362C2" w:rsidRDefault="00242F18" w:rsidP="00242F18">
            <w:pPr>
              <w:rPr>
                <w:bCs/>
                <w:lang w:eastAsia="zh-CN"/>
              </w:rPr>
            </w:pPr>
            <w:r w:rsidRPr="00C362C2">
              <w:rPr>
                <w:rFonts w:hint="eastAsia"/>
                <w:bCs/>
                <w:lang w:eastAsia="zh-CN"/>
              </w:rPr>
              <w:t>b)</w:t>
            </w:r>
            <w:r w:rsidRPr="00C362C2">
              <w:rPr>
                <w:rFonts w:hint="eastAsia"/>
                <w:bCs/>
                <w:lang w:eastAsia="zh-CN"/>
              </w:rPr>
              <w:t>：</w:t>
            </w:r>
          </w:p>
        </w:tc>
        <w:tc>
          <w:tcPr>
            <w:tcW w:w="7077" w:type="dxa"/>
          </w:tcPr>
          <w:p w14:paraId="4827B589" w14:textId="77777777" w:rsidR="00242F18" w:rsidRDefault="00242F18" w:rsidP="00242F18">
            <w:pPr>
              <w:tabs>
                <w:tab w:val="clear" w:pos="794"/>
                <w:tab w:val="left" w:pos="603"/>
              </w:tabs>
              <w:ind w:left="601" w:hanging="709"/>
              <w:rPr>
                <w:rFonts w:ascii="SimSun" w:cs="SimSun"/>
                <w:lang w:val="en-US" w:eastAsia="zh-CN"/>
              </w:rPr>
            </w:pPr>
            <w:r w:rsidRPr="00323428">
              <w:rPr>
                <w:rFonts w:hint="eastAsia"/>
                <w:lang w:eastAsia="zh-CN"/>
              </w:rPr>
              <w:t>“</w:t>
            </w:r>
            <w:r w:rsidRPr="002959C8">
              <w:rPr>
                <w:rFonts w:hint="eastAsia"/>
                <w:lang w:eastAsia="zh-CN"/>
              </w:rPr>
              <w:t>a)</w:t>
            </w:r>
            <w:r w:rsidRPr="00323428">
              <w:rPr>
                <w:rFonts w:hint="eastAsia"/>
                <w:lang w:eastAsia="zh-CN"/>
              </w:rPr>
              <w:tab/>
            </w:r>
            <w:r w:rsidRPr="00323428">
              <w:rPr>
                <w:rFonts w:ascii="SimSun" w:cs="SimSun" w:hint="eastAsia"/>
                <w:lang w:val="zh-CN" w:eastAsia="zh-CN"/>
              </w:rPr>
              <w:t>含有所有要求改正的修改处的摘要记录应尽快提交全体会议或常设委员会批准。</w:t>
            </w:r>
          </w:p>
          <w:p w14:paraId="4827B58A" w14:textId="77777777" w:rsidR="00242F18" w:rsidRPr="00323428" w:rsidRDefault="00242F18" w:rsidP="00242F18">
            <w:pPr>
              <w:tabs>
                <w:tab w:val="left" w:pos="603"/>
              </w:tabs>
              <w:spacing w:before="240"/>
              <w:ind w:left="603" w:hanging="499"/>
              <w:rPr>
                <w:rFonts w:ascii="SimSun" w:cs="SimSun"/>
                <w:lang w:val="zh-CN" w:eastAsia="zh-CN"/>
              </w:rPr>
            </w:pPr>
            <w:r w:rsidRPr="002959C8">
              <w:rPr>
                <w:lang w:val="zh-CN" w:eastAsia="zh-CN"/>
              </w:rPr>
              <w:t>b)</w:t>
            </w:r>
            <w:r w:rsidRPr="00323428">
              <w:rPr>
                <w:rFonts w:ascii="SimSun" w:cs="SimSun" w:hint="eastAsia"/>
                <w:lang w:val="zh-CN" w:eastAsia="zh-CN"/>
              </w:rPr>
              <w:tab/>
              <w:t>理事会在该届会议结束前未能审查的修改过的摘要记录应由理事会或常设委员会主席进行审查与批准。”</w:t>
            </w:r>
          </w:p>
        </w:tc>
      </w:tr>
    </w:tbl>
    <w:p w14:paraId="4827B58C" w14:textId="77777777" w:rsidR="0025197D" w:rsidRPr="00FB432E" w:rsidRDefault="001C3C34" w:rsidP="0025197D">
      <w:pPr>
        <w:pStyle w:val="Endtext"/>
        <w:rPr>
          <w:lang w:val="fr-FR" w:eastAsia="zh-CN"/>
        </w:rPr>
      </w:pPr>
      <w:r w:rsidRPr="003C68A4">
        <w:rPr>
          <w:rFonts w:ascii="STKaiti" w:hAnsi="STKaiti" w:hint="eastAsia"/>
          <w:lang w:eastAsia="zh-CN"/>
        </w:rPr>
        <w:t>参阅</w:t>
      </w:r>
      <w:r>
        <w:rPr>
          <w:rFonts w:hint="eastAsia"/>
          <w:lang w:eastAsia="zh-CN"/>
        </w:rPr>
        <w:t>：</w:t>
      </w:r>
      <w:r w:rsidRPr="00D746C3">
        <w:rPr>
          <w:lang w:eastAsia="zh-CN"/>
        </w:rPr>
        <w:tab/>
      </w:r>
      <w:hyperlink r:id="rId350" w:history="1">
        <w:r w:rsidR="0025197D" w:rsidRPr="009B7A52">
          <w:rPr>
            <w:rStyle w:val="Hyperlink"/>
            <w:lang w:val="fr-FR" w:eastAsia="zh-CN"/>
          </w:rPr>
          <w:t>C06/74</w:t>
        </w:r>
      </w:hyperlink>
      <w:r w:rsidR="0025197D">
        <w:rPr>
          <w:rFonts w:hint="eastAsia"/>
          <w:lang w:val="fr-FR" w:eastAsia="zh-CN"/>
        </w:rPr>
        <w:t>和</w:t>
      </w:r>
      <w:hyperlink r:id="rId351" w:history="1">
        <w:r w:rsidR="0025197D" w:rsidRPr="009B7A52">
          <w:rPr>
            <w:rStyle w:val="Hyperlink"/>
            <w:lang w:val="fr-FR" w:eastAsia="zh-CN"/>
          </w:rPr>
          <w:t>C06/86</w:t>
        </w:r>
      </w:hyperlink>
      <w:r w:rsidR="0025197D">
        <w:rPr>
          <w:rFonts w:hint="eastAsia"/>
          <w:lang w:val="fr-FR" w:eastAsia="zh-CN"/>
        </w:rPr>
        <w:t>号</w:t>
      </w:r>
      <w:r w:rsidR="0025197D">
        <w:rPr>
          <w:lang w:val="fr-FR" w:eastAsia="zh-CN"/>
        </w:rPr>
        <w:t>文件。</w:t>
      </w:r>
    </w:p>
    <w:p w14:paraId="4827B58D" w14:textId="77777777" w:rsidR="00E7075A" w:rsidRDefault="00E7075A" w:rsidP="00E7075A">
      <w:pPr>
        <w:jc w:val="center"/>
      </w:pPr>
      <w:bookmarkStart w:id="1851" w:name="_Toc424117055"/>
      <w:bookmarkStart w:id="1852" w:name="_Toc531706407"/>
      <w:bookmarkStart w:id="1853" w:name="_Toc531707015"/>
      <w:bookmarkStart w:id="1854" w:name="_Toc531768495"/>
      <w:bookmarkStart w:id="1855" w:name="_Toc185237701"/>
      <w:bookmarkStart w:id="1856" w:name="_Toc311469621"/>
      <w:r>
        <w:t>______________</w:t>
      </w:r>
    </w:p>
    <w:p w14:paraId="4827B58E" w14:textId="77777777" w:rsidR="00E7075A" w:rsidRDefault="00E7075A">
      <w:pPr>
        <w:tabs>
          <w:tab w:val="clear" w:pos="794"/>
          <w:tab w:val="clear" w:pos="1191"/>
          <w:tab w:val="clear" w:pos="1588"/>
          <w:tab w:val="clear" w:pos="1985"/>
        </w:tabs>
        <w:overflowPunct/>
        <w:autoSpaceDE/>
        <w:autoSpaceDN/>
        <w:adjustRightInd/>
        <w:spacing w:before="0"/>
        <w:jc w:val="left"/>
        <w:textAlignment w:val="auto"/>
      </w:pPr>
    </w:p>
    <w:p w14:paraId="4827B58F" w14:textId="77777777" w:rsidR="00E7075A" w:rsidRDefault="00E7075A">
      <w:pPr>
        <w:tabs>
          <w:tab w:val="clear" w:pos="794"/>
          <w:tab w:val="clear" w:pos="1191"/>
          <w:tab w:val="clear" w:pos="1588"/>
          <w:tab w:val="clear" w:pos="1985"/>
        </w:tabs>
        <w:overflowPunct/>
        <w:autoSpaceDE/>
        <w:autoSpaceDN/>
        <w:adjustRightInd/>
        <w:spacing w:before="0"/>
        <w:jc w:val="left"/>
        <w:textAlignment w:val="auto"/>
      </w:pPr>
    </w:p>
    <w:p w14:paraId="4827B590" w14:textId="77777777" w:rsidR="00E7075A" w:rsidRDefault="00E7075A">
      <w:pPr>
        <w:tabs>
          <w:tab w:val="clear" w:pos="794"/>
          <w:tab w:val="clear" w:pos="1191"/>
          <w:tab w:val="clear" w:pos="1588"/>
          <w:tab w:val="clear" w:pos="1985"/>
        </w:tabs>
        <w:overflowPunct/>
        <w:autoSpaceDE/>
        <w:autoSpaceDN/>
        <w:adjustRightInd/>
        <w:spacing w:before="0"/>
        <w:jc w:val="left"/>
        <w:textAlignment w:val="auto"/>
      </w:pPr>
    </w:p>
    <w:p w14:paraId="4827B591" w14:textId="77777777" w:rsidR="00696951" w:rsidRDefault="00696951">
      <w:pPr>
        <w:tabs>
          <w:tab w:val="clear" w:pos="794"/>
          <w:tab w:val="clear" w:pos="1191"/>
          <w:tab w:val="clear" w:pos="1588"/>
          <w:tab w:val="clear" w:pos="1985"/>
        </w:tabs>
        <w:overflowPunct/>
        <w:autoSpaceDE/>
        <w:autoSpaceDN/>
        <w:adjustRightInd/>
        <w:spacing w:before="0"/>
        <w:jc w:val="left"/>
        <w:textAlignment w:val="auto"/>
      </w:pPr>
    </w:p>
    <w:p w14:paraId="4827B592" w14:textId="77777777" w:rsidR="00696951" w:rsidRDefault="00696951">
      <w:pPr>
        <w:tabs>
          <w:tab w:val="clear" w:pos="794"/>
          <w:tab w:val="clear" w:pos="1191"/>
          <w:tab w:val="clear" w:pos="1588"/>
          <w:tab w:val="clear" w:pos="1985"/>
        </w:tabs>
        <w:overflowPunct/>
        <w:autoSpaceDE/>
        <w:autoSpaceDN/>
        <w:adjustRightInd/>
        <w:spacing w:before="0"/>
        <w:jc w:val="left"/>
        <w:textAlignment w:val="auto"/>
      </w:pPr>
    </w:p>
    <w:p w14:paraId="4827B593" w14:textId="77777777" w:rsidR="00696951" w:rsidRDefault="00696951">
      <w:pPr>
        <w:tabs>
          <w:tab w:val="clear" w:pos="794"/>
          <w:tab w:val="clear" w:pos="1191"/>
          <w:tab w:val="clear" w:pos="1588"/>
          <w:tab w:val="clear" w:pos="1985"/>
        </w:tabs>
        <w:overflowPunct/>
        <w:autoSpaceDE/>
        <w:autoSpaceDN/>
        <w:adjustRightInd/>
        <w:spacing w:before="0"/>
        <w:jc w:val="left"/>
        <w:textAlignment w:val="auto"/>
      </w:pPr>
    </w:p>
    <w:p w14:paraId="4827B594" w14:textId="77777777" w:rsidR="00E7075A" w:rsidRDefault="00E7075A">
      <w:pPr>
        <w:tabs>
          <w:tab w:val="clear" w:pos="794"/>
          <w:tab w:val="clear" w:pos="1191"/>
          <w:tab w:val="clear" w:pos="1588"/>
          <w:tab w:val="clear" w:pos="1985"/>
        </w:tabs>
        <w:overflowPunct/>
        <w:autoSpaceDE/>
        <w:autoSpaceDN/>
        <w:adjustRightInd/>
        <w:spacing w:before="0"/>
        <w:jc w:val="left"/>
        <w:textAlignment w:val="auto"/>
      </w:pPr>
    </w:p>
    <w:p w14:paraId="4827B595" w14:textId="77777777" w:rsidR="00E7075A" w:rsidRDefault="00E7075A">
      <w:pPr>
        <w:tabs>
          <w:tab w:val="clear" w:pos="794"/>
          <w:tab w:val="clear" w:pos="1191"/>
          <w:tab w:val="clear" w:pos="1588"/>
          <w:tab w:val="clear" w:pos="1985"/>
        </w:tabs>
        <w:overflowPunct/>
        <w:autoSpaceDE/>
        <w:autoSpaceDN/>
        <w:adjustRightInd/>
        <w:spacing w:before="0"/>
        <w:jc w:val="left"/>
        <w:textAlignment w:val="auto"/>
      </w:pPr>
    </w:p>
    <w:p w14:paraId="4827B596" w14:textId="77777777" w:rsidR="00E7075A" w:rsidRDefault="00E7075A">
      <w:pPr>
        <w:tabs>
          <w:tab w:val="clear" w:pos="794"/>
          <w:tab w:val="clear" w:pos="1191"/>
          <w:tab w:val="clear" w:pos="1588"/>
          <w:tab w:val="clear" w:pos="1985"/>
        </w:tabs>
        <w:overflowPunct/>
        <w:autoSpaceDE/>
        <w:autoSpaceDN/>
        <w:adjustRightInd/>
        <w:spacing w:before="0"/>
        <w:jc w:val="left"/>
        <w:textAlignment w:val="auto"/>
      </w:pPr>
    </w:p>
    <w:p w14:paraId="4827B597" w14:textId="77777777" w:rsidR="00E7075A" w:rsidRDefault="00E7075A">
      <w:pPr>
        <w:tabs>
          <w:tab w:val="clear" w:pos="794"/>
          <w:tab w:val="clear" w:pos="1191"/>
          <w:tab w:val="clear" w:pos="1588"/>
          <w:tab w:val="clear" w:pos="1985"/>
        </w:tabs>
        <w:overflowPunct/>
        <w:autoSpaceDE/>
        <w:autoSpaceDN/>
        <w:adjustRightInd/>
        <w:spacing w:before="0"/>
        <w:jc w:val="left"/>
        <w:textAlignment w:val="auto"/>
        <w:rPr>
          <w:sz w:val="28"/>
          <w:lang w:eastAsia="zh-CN"/>
        </w:rPr>
      </w:pPr>
      <w:r>
        <w:br w:type="page"/>
      </w:r>
    </w:p>
    <w:p w14:paraId="4827B598" w14:textId="77777777" w:rsidR="0025197D" w:rsidRDefault="0051348A" w:rsidP="00CA7362">
      <w:pPr>
        <w:pStyle w:val="DecNo"/>
        <w:outlineLvl w:val="0"/>
        <w:rPr>
          <w:lang w:val="en-US"/>
        </w:rPr>
      </w:pPr>
      <w:bookmarkStart w:id="1857" w:name="_Toc16085811"/>
      <w:bookmarkStart w:id="1858" w:name="_Toc86395616"/>
      <w:r w:rsidRPr="0031025E">
        <w:rPr>
          <w:rFonts w:hint="eastAsia"/>
        </w:rPr>
        <w:lastRenderedPageBreak/>
        <w:t>第</w:t>
      </w:r>
      <w:r w:rsidRPr="0031025E">
        <w:rPr>
          <w:rFonts w:hint="eastAsia"/>
        </w:rPr>
        <w:t>556</w:t>
      </w:r>
      <w:r w:rsidRPr="0031025E">
        <w:rPr>
          <w:rFonts w:hint="eastAsia"/>
        </w:rPr>
        <w:t>号决定</w:t>
      </w:r>
      <w:r w:rsidR="0025197D">
        <w:rPr>
          <w:rFonts w:hint="eastAsia"/>
        </w:rPr>
        <w:t>（</w:t>
      </w:r>
      <w:r w:rsidR="0025197D" w:rsidRPr="005901EF">
        <w:rPr>
          <w:rFonts w:hint="eastAsia"/>
          <w:caps/>
          <w:szCs w:val="16"/>
        </w:rPr>
        <w:t>C</w:t>
      </w:r>
      <w:r w:rsidR="0025197D" w:rsidRPr="005901EF">
        <w:rPr>
          <w:caps/>
          <w:szCs w:val="16"/>
        </w:rPr>
        <w:t>1</w:t>
      </w:r>
      <w:r w:rsidR="0025197D" w:rsidRPr="005901EF">
        <w:rPr>
          <w:rFonts w:hint="eastAsia"/>
          <w:caps/>
          <w:szCs w:val="16"/>
        </w:rPr>
        <w:t>0</w:t>
      </w:r>
      <w:r w:rsidR="0025197D">
        <w:rPr>
          <w:rFonts w:hint="eastAsia"/>
          <w:caps/>
          <w:szCs w:val="16"/>
          <w:lang w:val="en-US"/>
        </w:rPr>
        <w:t>，</w:t>
      </w:r>
      <w:r w:rsidR="00257CB5">
        <w:rPr>
          <w:rFonts w:hint="eastAsia"/>
          <w:caps/>
          <w:szCs w:val="16"/>
          <w:lang w:val="en-US"/>
        </w:rPr>
        <w:t>最后</w:t>
      </w:r>
      <w:r w:rsidR="00257CB5">
        <w:rPr>
          <w:caps/>
          <w:szCs w:val="16"/>
          <w:lang w:val="en-US"/>
        </w:rPr>
        <w:t>修正</w:t>
      </w:r>
      <w:r w:rsidR="0025197D" w:rsidRPr="00194A91">
        <w:rPr>
          <w:bCs/>
        </w:rPr>
        <w:t>C1</w:t>
      </w:r>
      <w:r w:rsidR="00242F18">
        <w:rPr>
          <w:bCs/>
        </w:rPr>
        <w:t>6</w:t>
      </w:r>
      <w:r w:rsidR="0025197D">
        <w:rPr>
          <w:rFonts w:hint="eastAsia"/>
          <w:caps/>
          <w:szCs w:val="16"/>
          <w:lang w:val="en-US"/>
        </w:rPr>
        <w:t>）</w:t>
      </w:r>
      <w:bookmarkEnd w:id="1851"/>
      <w:bookmarkEnd w:id="1852"/>
      <w:bookmarkEnd w:id="1853"/>
      <w:bookmarkEnd w:id="1854"/>
      <w:bookmarkEnd w:id="1857"/>
      <w:bookmarkEnd w:id="1858"/>
    </w:p>
    <w:p w14:paraId="4827B599" w14:textId="77777777" w:rsidR="0006123C" w:rsidRDefault="00242F18" w:rsidP="00242F18">
      <w:pPr>
        <w:pStyle w:val="Dectitle"/>
        <w:spacing w:before="0"/>
      </w:pPr>
      <w:bookmarkStart w:id="1859" w:name="_Toc460248169"/>
      <w:bookmarkStart w:id="1860" w:name="_Toc531706408"/>
      <w:bookmarkStart w:id="1861" w:name="_Toc531707016"/>
      <w:bookmarkStart w:id="1862" w:name="_Toc531768496"/>
      <w:bookmarkStart w:id="1863" w:name="_Toc16085812"/>
      <w:bookmarkStart w:id="1864" w:name="_Toc86395617"/>
      <w:bookmarkEnd w:id="1855"/>
      <w:bookmarkEnd w:id="1856"/>
      <w:r w:rsidRPr="00A2399B">
        <w:rPr>
          <w:rFonts w:hint="eastAsia"/>
        </w:rPr>
        <w:t>理事会会议和理事会工作组会议文件的提交和出版</w:t>
      </w:r>
      <w:bookmarkEnd w:id="1859"/>
      <w:bookmarkEnd w:id="1860"/>
      <w:bookmarkEnd w:id="1861"/>
      <w:bookmarkEnd w:id="1862"/>
      <w:bookmarkEnd w:id="1863"/>
      <w:bookmarkEnd w:id="1864"/>
    </w:p>
    <w:p w14:paraId="4827B59A" w14:textId="77777777" w:rsidR="00242F18" w:rsidRPr="00925000" w:rsidRDefault="00242F18" w:rsidP="00E51375">
      <w:pPr>
        <w:pStyle w:val="Normalaftertitle0"/>
      </w:pPr>
      <w:r w:rsidRPr="00925000">
        <w:rPr>
          <w:rFonts w:hint="eastAsia"/>
        </w:rPr>
        <w:t>理事会，</w:t>
      </w:r>
    </w:p>
    <w:p w14:paraId="4827B59B" w14:textId="77777777" w:rsidR="00242F18" w:rsidRPr="00925000" w:rsidRDefault="00242F18" w:rsidP="00242F18">
      <w:pPr>
        <w:pStyle w:val="Call"/>
        <w:rPr>
          <w:lang w:eastAsia="zh-CN"/>
        </w:rPr>
      </w:pPr>
      <w:r w:rsidRPr="00925000">
        <w:rPr>
          <w:rFonts w:hint="eastAsia"/>
          <w:lang w:eastAsia="zh-CN"/>
        </w:rPr>
        <w:t>考虑到</w:t>
      </w:r>
    </w:p>
    <w:p w14:paraId="4827B59C" w14:textId="77777777" w:rsidR="00242F18" w:rsidRPr="00925000" w:rsidRDefault="00242F18" w:rsidP="00242F18">
      <w:pPr>
        <w:rPr>
          <w:lang w:eastAsia="zh-CN"/>
        </w:rPr>
      </w:pPr>
      <w:r w:rsidRPr="00925000">
        <w:rPr>
          <w:i/>
          <w:iCs/>
          <w:lang w:eastAsia="zh-CN"/>
        </w:rPr>
        <w:t>a)</w:t>
      </w:r>
      <w:r w:rsidRPr="00925000">
        <w:rPr>
          <w:lang w:eastAsia="zh-CN"/>
        </w:rPr>
        <w:tab/>
      </w:r>
      <w:r w:rsidRPr="00925000">
        <w:rPr>
          <w:rFonts w:hint="eastAsia"/>
          <w:lang w:eastAsia="zh-CN"/>
        </w:rPr>
        <w:t>《组织法》第</w:t>
      </w:r>
      <w:r w:rsidRPr="00925000">
        <w:rPr>
          <w:rFonts w:hint="eastAsia"/>
          <w:lang w:eastAsia="zh-CN"/>
        </w:rPr>
        <w:t>10</w:t>
      </w:r>
      <w:r w:rsidRPr="00925000">
        <w:rPr>
          <w:rFonts w:hint="eastAsia"/>
          <w:lang w:eastAsia="zh-CN"/>
        </w:rPr>
        <w:t>条和《公约》第</w:t>
      </w:r>
      <w:r w:rsidRPr="00925000">
        <w:rPr>
          <w:rFonts w:hint="eastAsia"/>
          <w:lang w:eastAsia="zh-CN"/>
        </w:rPr>
        <w:t>4</w:t>
      </w:r>
      <w:r w:rsidRPr="00925000">
        <w:rPr>
          <w:rFonts w:hint="eastAsia"/>
          <w:lang w:eastAsia="zh-CN"/>
        </w:rPr>
        <w:t>条就理事会在一系列广泛的管理和政策问题方面的作用和职责做出了规定；</w:t>
      </w:r>
    </w:p>
    <w:p w14:paraId="4827B59D" w14:textId="77777777" w:rsidR="00242F18" w:rsidRPr="00925000" w:rsidRDefault="00242F18" w:rsidP="00242F18">
      <w:pPr>
        <w:rPr>
          <w:lang w:eastAsia="zh-CN"/>
        </w:rPr>
      </w:pPr>
      <w:r w:rsidRPr="00925000">
        <w:rPr>
          <w:i/>
          <w:iCs/>
          <w:lang w:eastAsia="zh-CN"/>
        </w:rPr>
        <w:t>b)</w:t>
      </w:r>
      <w:r w:rsidRPr="00925000">
        <w:rPr>
          <w:lang w:eastAsia="zh-CN"/>
        </w:rPr>
        <w:tab/>
      </w:r>
      <w:r w:rsidRPr="00925000">
        <w:rPr>
          <w:rFonts w:hint="eastAsia"/>
          <w:lang w:eastAsia="zh-CN"/>
        </w:rPr>
        <w:t>《理事会议事规则》关于文件准备的规则</w:t>
      </w:r>
      <w:r w:rsidRPr="00925000">
        <w:rPr>
          <w:rFonts w:hint="eastAsia"/>
          <w:lang w:eastAsia="zh-CN"/>
        </w:rPr>
        <w:t>20</w:t>
      </w:r>
      <w:r w:rsidRPr="00925000">
        <w:rPr>
          <w:rFonts w:hint="eastAsia"/>
          <w:lang w:eastAsia="zh-CN"/>
        </w:rPr>
        <w:t>；</w:t>
      </w:r>
    </w:p>
    <w:p w14:paraId="4827B59E" w14:textId="77777777" w:rsidR="00242F18" w:rsidRPr="00925000" w:rsidRDefault="00242F18" w:rsidP="00242F18">
      <w:pPr>
        <w:rPr>
          <w:lang w:eastAsia="zh-CN"/>
        </w:rPr>
      </w:pPr>
      <w:r w:rsidRPr="00925000">
        <w:rPr>
          <w:i/>
          <w:iCs/>
          <w:lang w:eastAsia="zh-CN"/>
        </w:rPr>
        <w:t>c)</w:t>
      </w:r>
      <w:r w:rsidRPr="00925000">
        <w:rPr>
          <w:lang w:eastAsia="zh-CN"/>
        </w:rPr>
        <w:tab/>
      </w:r>
      <w:r w:rsidRPr="00925000">
        <w:rPr>
          <w:rFonts w:hint="eastAsia"/>
          <w:lang w:eastAsia="zh-CN"/>
        </w:rPr>
        <w:t>上述规则</w:t>
      </w:r>
      <w:r w:rsidRPr="00925000">
        <w:rPr>
          <w:rFonts w:hint="eastAsia"/>
          <w:lang w:eastAsia="zh-CN"/>
        </w:rPr>
        <w:t>20</w:t>
      </w:r>
      <w:r w:rsidRPr="00925000">
        <w:rPr>
          <w:rFonts w:hint="eastAsia"/>
          <w:lang w:eastAsia="zh-CN"/>
        </w:rPr>
        <w:t>要求，须尽快针对例行会议或非常会议议程草案的每一议项公布预备性文件，而且原则上不迟于会议开始的四周之前；</w:t>
      </w:r>
    </w:p>
    <w:p w14:paraId="4827B59F" w14:textId="77777777" w:rsidR="00242F18" w:rsidRPr="00925000" w:rsidRDefault="00242F18" w:rsidP="00242F18">
      <w:pPr>
        <w:rPr>
          <w:lang w:eastAsia="zh-CN"/>
        </w:rPr>
      </w:pPr>
      <w:r w:rsidRPr="00925000">
        <w:rPr>
          <w:i/>
          <w:iCs/>
          <w:lang w:eastAsia="zh-CN"/>
        </w:rPr>
        <w:t>d)</w:t>
      </w:r>
      <w:r w:rsidRPr="00925000">
        <w:rPr>
          <w:lang w:eastAsia="zh-CN"/>
        </w:rPr>
        <w:tab/>
      </w:r>
      <w:r w:rsidRPr="00925000">
        <w:rPr>
          <w:rFonts w:hint="eastAsia"/>
          <w:lang w:eastAsia="zh-CN"/>
        </w:rPr>
        <w:t>规则</w:t>
      </w:r>
      <w:r w:rsidRPr="00925000">
        <w:rPr>
          <w:rFonts w:hint="eastAsia"/>
          <w:lang w:eastAsia="zh-CN"/>
        </w:rPr>
        <w:t>20</w:t>
      </w:r>
      <w:r w:rsidRPr="00925000">
        <w:rPr>
          <w:rFonts w:hint="eastAsia"/>
          <w:lang w:eastAsia="zh-CN"/>
        </w:rPr>
        <w:t>进一步规定，除非理事会另有决定，在此规定时间之后印发的任何重要文件均将在下一届理事会会议上审查，</w:t>
      </w:r>
    </w:p>
    <w:p w14:paraId="4827B5A0" w14:textId="77777777" w:rsidR="00242F18" w:rsidRPr="00925000" w:rsidRDefault="00242F18" w:rsidP="00242F18">
      <w:pPr>
        <w:keepNext/>
        <w:keepLines/>
        <w:spacing w:before="160"/>
        <w:ind w:left="794"/>
        <w:rPr>
          <w:rFonts w:eastAsia="STKaiti"/>
          <w:lang w:eastAsia="zh-CN"/>
        </w:rPr>
      </w:pPr>
      <w:r w:rsidRPr="00925000">
        <w:rPr>
          <w:rFonts w:eastAsia="STKaiti" w:hint="eastAsia"/>
          <w:lang w:eastAsia="zh-CN"/>
        </w:rPr>
        <w:t>忆及</w:t>
      </w:r>
    </w:p>
    <w:p w14:paraId="4827B5A1" w14:textId="77777777" w:rsidR="00242F18" w:rsidRDefault="00242F18" w:rsidP="00242F18">
      <w:pPr>
        <w:rPr>
          <w:lang w:eastAsia="zh-CN"/>
        </w:rPr>
      </w:pPr>
      <w:r w:rsidRPr="00925000">
        <w:rPr>
          <w:i/>
          <w:iCs/>
          <w:lang w:eastAsia="zh-CN"/>
        </w:rPr>
        <w:t>a)</w:t>
      </w:r>
      <w:r w:rsidRPr="00925000">
        <w:rPr>
          <w:lang w:eastAsia="zh-CN"/>
        </w:rPr>
        <w:tab/>
      </w:r>
      <w:r w:rsidRPr="00925000">
        <w:rPr>
          <w:rFonts w:hint="eastAsia"/>
          <w:lang w:eastAsia="zh-CN"/>
        </w:rPr>
        <w:t>有关向国际电联大会和全会提交提案的截止期限和与会者的注册程序的全权代表大会第</w:t>
      </w:r>
      <w:r w:rsidRPr="00925000">
        <w:rPr>
          <w:rFonts w:hint="eastAsia"/>
          <w:lang w:eastAsia="zh-CN"/>
        </w:rPr>
        <w:t>165</w:t>
      </w:r>
      <w:r w:rsidRPr="00925000">
        <w:rPr>
          <w:rFonts w:hint="eastAsia"/>
          <w:lang w:eastAsia="zh-CN"/>
        </w:rPr>
        <w:t>号决议（</w:t>
      </w:r>
      <w:r w:rsidRPr="00925000">
        <w:rPr>
          <w:rFonts w:hint="eastAsia"/>
          <w:lang w:eastAsia="zh-CN"/>
        </w:rPr>
        <w:t>2010</w:t>
      </w:r>
      <w:r w:rsidRPr="00925000">
        <w:rPr>
          <w:rFonts w:hint="eastAsia"/>
          <w:lang w:eastAsia="zh-CN"/>
        </w:rPr>
        <w:t>年，瓜达拉哈拉）</w:t>
      </w:r>
      <w:r>
        <w:rPr>
          <w:rFonts w:hint="eastAsia"/>
          <w:lang w:eastAsia="zh-CN"/>
        </w:rPr>
        <w:t>；</w:t>
      </w:r>
    </w:p>
    <w:p w14:paraId="4827B5A2" w14:textId="77777777" w:rsidR="00242F18" w:rsidRPr="00B444CB" w:rsidRDefault="00242F18" w:rsidP="00242F18">
      <w:pPr>
        <w:rPr>
          <w:lang w:eastAsia="zh-CN"/>
        </w:rPr>
      </w:pPr>
      <w:r w:rsidRPr="00925000">
        <w:rPr>
          <w:i/>
          <w:iCs/>
          <w:lang w:eastAsia="zh-CN"/>
        </w:rPr>
        <w:t>b)</w:t>
      </w:r>
      <w:r w:rsidRPr="00925000">
        <w:rPr>
          <w:lang w:eastAsia="zh-CN"/>
        </w:rPr>
        <w:tab/>
      </w:r>
      <w:r>
        <w:rPr>
          <w:rFonts w:hint="eastAsia"/>
          <w:lang w:eastAsia="zh-CN"/>
        </w:rPr>
        <w:t>有关</w:t>
      </w:r>
      <w:r>
        <w:rPr>
          <w:lang w:eastAsia="zh-CN"/>
        </w:rPr>
        <w:t>在同等地位上使用国际电联的六种正式语文的第</w:t>
      </w:r>
      <w:r>
        <w:rPr>
          <w:rFonts w:hint="eastAsia"/>
          <w:lang w:eastAsia="zh-CN"/>
        </w:rPr>
        <w:t>154</w:t>
      </w:r>
      <w:r>
        <w:rPr>
          <w:rFonts w:hint="eastAsia"/>
          <w:lang w:eastAsia="zh-CN"/>
        </w:rPr>
        <w:t>号</w:t>
      </w:r>
      <w:r>
        <w:rPr>
          <w:lang w:eastAsia="zh-CN"/>
        </w:rPr>
        <w:t>决议（</w:t>
      </w:r>
      <w:r>
        <w:rPr>
          <w:rFonts w:hint="eastAsia"/>
          <w:lang w:eastAsia="zh-CN"/>
        </w:rPr>
        <w:t>2014</w:t>
      </w:r>
      <w:r>
        <w:rPr>
          <w:rFonts w:hint="eastAsia"/>
          <w:lang w:eastAsia="zh-CN"/>
        </w:rPr>
        <w:t>年</w:t>
      </w:r>
      <w:r>
        <w:rPr>
          <w:lang w:eastAsia="zh-CN"/>
        </w:rPr>
        <w:t>，釜山，修订版）</w:t>
      </w:r>
      <w:r>
        <w:rPr>
          <w:rFonts w:hint="eastAsia"/>
          <w:lang w:eastAsia="zh-CN"/>
        </w:rPr>
        <w:t>，</w:t>
      </w:r>
    </w:p>
    <w:p w14:paraId="4827B5A3" w14:textId="77777777" w:rsidR="00242F18" w:rsidRPr="00925000" w:rsidRDefault="00242F18" w:rsidP="00242F18">
      <w:pPr>
        <w:pStyle w:val="Call"/>
        <w:rPr>
          <w:lang w:eastAsia="zh-CN"/>
        </w:rPr>
      </w:pPr>
      <w:r w:rsidRPr="00925000">
        <w:rPr>
          <w:rFonts w:hint="eastAsia"/>
          <w:lang w:eastAsia="zh-CN"/>
        </w:rPr>
        <w:t>铭记</w:t>
      </w:r>
    </w:p>
    <w:p w14:paraId="4827B5A4" w14:textId="77777777" w:rsidR="00242F18" w:rsidRPr="00925000" w:rsidRDefault="00242F18" w:rsidP="00242F18">
      <w:pPr>
        <w:ind w:firstLineChars="200" w:firstLine="480"/>
        <w:rPr>
          <w:szCs w:val="19"/>
          <w:lang w:eastAsia="zh-CN"/>
        </w:rPr>
      </w:pPr>
      <w:r w:rsidRPr="00925000">
        <w:rPr>
          <w:rFonts w:hint="eastAsia"/>
          <w:szCs w:val="19"/>
          <w:lang w:eastAsia="zh-CN"/>
        </w:rPr>
        <w:t>电信标准化部门、无线电通信部门和电信发展部门相关大会或全会通过的、有关要求及时提交文稿、以支持各部门工作的议事规则和工作方法，</w:t>
      </w:r>
    </w:p>
    <w:p w14:paraId="4827B5A5" w14:textId="77777777" w:rsidR="00242F18" w:rsidRPr="00925000" w:rsidRDefault="00242F18" w:rsidP="00242F18">
      <w:pPr>
        <w:pStyle w:val="Call"/>
        <w:rPr>
          <w:lang w:eastAsia="zh-CN"/>
        </w:rPr>
      </w:pPr>
      <w:r w:rsidRPr="00925000">
        <w:rPr>
          <w:rFonts w:hint="eastAsia"/>
          <w:lang w:eastAsia="zh-CN"/>
        </w:rPr>
        <w:t>认识到</w:t>
      </w:r>
    </w:p>
    <w:p w14:paraId="4827B5A6" w14:textId="77777777" w:rsidR="00242F18" w:rsidRPr="00925000" w:rsidRDefault="00242F18" w:rsidP="00242F18">
      <w:pPr>
        <w:rPr>
          <w:lang w:eastAsia="zh-CN"/>
        </w:rPr>
      </w:pPr>
      <w:r w:rsidRPr="00925000">
        <w:rPr>
          <w:i/>
          <w:iCs/>
          <w:lang w:eastAsia="zh-CN"/>
        </w:rPr>
        <w:t>a)</w:t>
      </w:r>
      <w:r w:rsidRPr="00925000">
        <w:rPr>
          <w:lang w:eastAsia="zh-CN"/>
        </w:rPr>
        <w:tab/>
      </w:r>
      <w:r>
        <w:rPr>
          <w:rFonts w:hint="eastAsia"/>
          <w:lang w:eastAsia="zh-CN"/>
        </w:rPr>
        <w:t>有必要更加严格地遵守提交文件的截止日期，且秘书处应</w:t>
      </w:r>
      <w:r w:rsidRPr="00925000">
        <w:rPr>
          <w:rFonts w:hint="eastAsia"/>
          <w:lang w:eastAsia="zh-CN"/>
        </w:rPr>
        <w:t>继续努力推行并强化及时提交</w:t>
      </w:r>
      <w:r>
        <w:rPr>
          <w:rFonts w:hint="eastAsia"/>
          <w:lang w:eastAsia="zh-CN"/>
        </w:rPr>
        <w:t>和出版</w:t>
      </w:r>
      <w:r>
        <w:rPr>
          <w:lang w:eastAsia="zh-CN"/>
        </w:rPr>
        <w:t>理事会和理事会工作组</w:t>
      </w:r>
      <w:r w:rsidRPr="00925000">
        <w:rPr>
          <w:rFonts w:hint="eastAsia"/>
          <w:lang w:eastAsia="zh-CN"/>
        </w:rPr>
        <w:t>文件的一贯工作目标；</w:t>
      </w:r>
    </w:p>
    <w:p w14:paraId="4827B5A7" w14:textId="77777777" w:rsidR="00242F18" w:rsidRPr="00925000" w:rsidRDefault="00242F18" w:rsidP="00242F18">
      <w:pPr>
        <w:rPr>
          <w:lang w:eastAsia="zh-CN"/>
        </w:rPr>
      </w:pPr>
      <w:r w:rsidRPr="00925000">
        <w:rPr>
          <w:i/>
          <w:iCs/>
          <w:lang w:eastAsia="zh-CN"/>
        </w:rPr>
        <w:t>b)</w:t>
      </w:r>
      <w:r w:rsidRPr="00925000">
        <w:rPr>
          <w:lang w:eastAsia="zh-CN"/>
        </w:rPr>
        <w:tab/>
      </w:r>
      <w:r w:rsidRPr="00925000">
        <w:rPr>
          <w:rFonts w:hint="eastAsia"/>
          <w:lang w:eastAsia="zh-CN"/>
        </w:rPr>
        <w:t>及时提交文稿十分重要，它不仅能够确保文字翻译的截止日期得到遵守，显著减少费用超支情况，而且能够确保与会代表有充足的时间考虑这些文稿提出的各项问题的实质内容，</w:t>
      </w:r>
    </w:p>
    <w:p w14:paraId="4827B5A8" w14:textId="77777777" w:rsidR="00242F18" w:rsidRPr="00925000" w:rsidRDefault="00242F18" w:rsidP="00242F18">
      <w:pPr>
        <w:pStyle w:val="Call"/>
        <w:rPr>
          <w:lang w:eastAsia="zh-CN"/>
        </w:rPr>
      </w:pPr>
      <w:r w:rsidRPr="00925000">
        <w:rPr>
          <w:rFonts w:hint="eastAsia"/>
          <w:lang w:eastAsia="zh-CN"/>
        </w:rPr>
        <w:t>顾及</w:t>
      </w:r>
    </w:p>
    <w:p w14:paraId="4827B5A9" w14:textId="77777777" w:rsidR="00242F18" w:rsidRDefault="00242F18" w:rsidP="00242F18">
      <w:pPr>
        <w:rPr>
          <w:lang w:eastAsia="zh-CN"/>
        </w:rPr>
      </w:pPr>
      <w:r w:rsidRPr="00925000">
        <w:rPr>
          <w:i/>
          <w:iCs/>
          <w:lang w:eastAsia="zh-CN"/>
        </w:rPr>
        <w:t>a)</w:t>
      </w:r>
      <w:r w:rsidRPr="00925000">
        <w:rPr>
          <w:lang w:eastAsia="zh-CN"/>
        </w:rPr>
        <w:tab/>
      </w:r>
      <w:r w:rsidRPr="00925000">
        <w:rPr>
          <w:rFonts w:hint="eastAsia"/>
          <w:lang w:eastAsia="zh-CN"/>
        </w:rPr>
        <w:t>成员国提交给理事会会议的</w:t>
      </w:r>
      <w:r>
        <w:rPr>
          <w:rFonts w:hint="eastAsia"/>
          <w:lang w:eastAsia="zh-CN"/>
        </w:rPr>
        <w:t>诸多</w:t>
      </w:r>
      <w:r w:rsidRPr="00925000">
        <w:rPr>
          <w:rFonts w:hint="eastAsia"/>
          <w:lang w:eastAsia="zh-CN"/>
        </w:rPr>
        <w:t>文稿过迟，为国际电联秘书处确保文件翻译带来了沉重负担，而且也给</w:t>
      </w:r>
      <w:r>
        <w:rPr>
          <w:rFonts w:hint="eastAsia"/>
          <w:lang w:eastAsia="zh-CN"/>
        </w:rPr>
        <w:t>理事</w:t>
      </w:r>
      <w:r w:rsidRPr="00925000">
        <w:rPr>
          <w:rFonts w:hint="eastAsia"/>
          <w:lang w:eastAsia="zh-CN"/>
        </w:rPr>
        <w:t>国适当审议文稿中所述的问题和提案带来了困难</w:t>
      </w:r>
      <w:r>
        <w:rPr>
          <w:rFonts w:hint="eastAsia"/>
          <w:lang w:eastAsia="zh-CN"/>
        </w:rPr>
        <w:t>；</w:t>
      </w:r>
    </w:p>
    <w:p w14:paraId="4827B5AA" w14:textId="77777777" w:rsidR="00242F18" w:rsidRPr="00027751" w:rsidRDefault="00242F18" w:rsidP="00242F18">
      <w:pPr>
        <w:rPr>
          <w:lang w:eastAsia="zh-CN"/>
        </w:rPr>
      </w:pPr>
      <w:r w:rsidRPr="00925000">
        <w:rPr>
          <w:i/>
          <w:iCs/>
          <w:lang w:eastAsia="zh-CN"/>
        </w:rPr>
        <w:t>b)</w:t>
      </w:r>
      <w:r w:rsidRPr="00925000">
        <w:rPr>
          <w:lang w:eastAsia="zh-CN"/>
        </w:rPr>
        <w:tab/>
      </w:r>
      <w:r>
        <w:rPr>
          <w:rFonts w:hint="eastAsia"/>
          <w:lang w:eastAsia="zh-CN"/>
        </w:rPr>
        <w:t>过迟</w:t>
      </w:r>
      <w:r>
        <w:rPr>
          <w:lang w:eastAsia="zh-CN"/>
        </w:rPr>
        <w:t>提交</w:t>
      </w:r>
      <w:r>
        <w:rPr>
          <w:rFonts w:hint="eastAsia"/>
          <w:lang w:eastAsia="zh-CN"/>
        </w:rPr>
        <w:t>需</w:t>
      </w:r>
      <w:r>
        <w:rPr>
          <w:lang w:eastAsia="zh-CN"/>
        </w:rPr>
        <w:t>理事会或理事会工作组</w:t>
      </w:r>
      <w:r>
        <w:rPr>
          <w:rFonts w:hint="eastAsia"/>
          <w:lang w:eastAsia="zh-CN"/>
        </w:rPr>
        <w:t>做出</w:t>
      </w:r>
      <w:r>
        <w:rPr>
          <w:lang w:eastAsia="zh-CN"/>
        </w:rPr>
        <w:t>决定的国际电联秘书处文件妨碍</w:t>
      </w:r>
      <w:r>
        <w:rPr>
          <w:rFonts w:hint="eastAsia"/>
          <w:lang w:eastAsia="zh-CN"/>
        </w:rPr>
        <w:t>了</w:t>
      </w:r>
      <w:r>
        <w:rPr>
          <w:lang w:eastAsia="zh-CN"/>
        </w:rPr>
        <w:t>成员国及时就这些文件提出意见和提案，</w:t>
      </w:r>
    </w:p>
    <w:p w14:paraId="4827B5AB" w14:textId="77777777" w:rsidR="00E7075A" w:rsidRDefault="00E7075A">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lang w:eastAsia="zh-CN"/>
        </w:rPr>
        <w:br w:type="page"/>
      </w:r>
    </w:p>
    <w:p w14:paraId="4827B5AC" w14:textId="77777777" w:rsidR="00242F18" w:rsidRPr="00925000" w:rsidRDefault="00242F18" w:rsidP="00242F18">
      <w:pPr>
        <w:pStyle w:val="Call"/>
        <w:rPr>
          <w:lang w:eastAsia="zh-CN"/>
        </w:rPr>
      </w:pPr>
      <w:r w:rsidRPr="00925000">
        <w:rPr>
          <w:rFonts w:hint="eastAsia"/>
          <w:lang w:eastAsia="zh-CN"/>
        </w:rPr>
        <w:lastRenderedPageBreak/>
        <w:t>做出决定</w:t>
      </w:r>
    </w:p>
    <w:p w14:paraId="4827B5AD" w14:textId="77777777" w:rsidR="00242F18" w:rsidRPr="00925000" w:rsidRDefault="00242F18" w:rsidP="00242F18">
      <w:pPr>
        <w:rPr>
          <w:lang w:eastAsia="zh-CN"/>
        </w:rPr>
      </w:pPr>
      <w:r w:rsidRPr="00925000">
        <w:rPr>
          <w:rFonts w:hint="eastAsia"/>
          <w:lang w:eastAsia="zh-CN"/>
        </w:rPr>
        <w:t>1</w:t>
      </w:r>
      <w:r w:rsidRPr="00925000">
        <w:rPr>
          <w:rFonts w:hint="eastAsia"/>
          <w:lang w:eastAsia="zh-CN"/>
        </w:rPr>
        <w:tab/>
      </w:r>
      <w:r w:rsidRPr="00925000">
        <w:rPr>
          <w:rFonts w:hint="eastAsia"/>
          <w:lang w:eastAsia="zh-CN"/>
        </w:rPr>
        <w:t>考虑到《理事会议事规则》规则</w:t>
      </w:r>
      <w:r w:rsidRPr="00925000">
        <w:rPr>
          <w:rFonts w:hint="eastAsia"/>
          <w:lang w:eastAsia="zh-CN"/>
        </w:rPr>
        <w:t>20</w:t>
      </w:r>
      <w:r w:rsidRPr="00925000">
        <w:rPr>
          <w:rFonts w:hint="eastAsia"/>
          <w:lang w:eastAsia="zh-CN"/>
        </w:rPr>
        <w:t>规定的有关文件准备的名义截止日期，所有文稿均应在理事会会议或用国际电联六种正式语文开展工作的理事会工作组会议召开的</w:t>
      </w:r>
      <w:r w:rsidRPr="00925000">
        <w:rPr>
          <w:rFonts w:hint="eastAsia"/>
          <w:lang w:eastAsia="zh-CN"/>
        </w:rPr>
        <w:t>14</w:t>
      </w:r>
      <w:r w:rsidRPr="00925000">
        <w:rPr>
          <w:rFonts w:hint="eastAsia"/>
          <w:lang w:eastAsia="zh-CN"/>
        </w:rPr>
        <w:t>个日历日之前提交秘书处，以确保得到及时翻译并确保理事会会议对文件进行充分审议；</w:t>
      </w:r>
    </w:p>
    <w:p w14:paraId="4827B5AE" w14:textId="77777777" w:rsidR="00242F18" w:rsidRDefault="00242F18" w:rsidP="00242F18">
      <w:pPr>
        <w:rPr>
          <w:lang w:eastAsia="zh-CN"/>
        </w:rPr>
      </w:pPr>
      <w:r w:rsidRPr="00925000">
        <w:rPr>
          <w:rFonts w:hint="eastAsia"/>
          <w:lang w:eastAsia="zh-CN"/>
        </w:rPr>
        <w:t>2</w:t>
      </w:r>
      <w:r w:rsidRPr="00925000">
        <w:rPr>
          <w:rFonts w:hint="eastAsia"/>
          <w:lang w:eastAsia="zh-CN"/>
        </w:rPr>
        <w:tab/>
      </w:r>
      <w:r w:rsidRPr="00925000">
        <w:rPr>
          <w:rFonts w:hint="eastAsia"/>
          <w:lang w:eastAsia="zh-CN"/>
        </w:rPr>
        <w:t>提交给用一种语文开展工作的理事会工作组会议审议而无需翻译的文件应不迟于会议开始</w:t>
      </w:r>
      <w:r>
        <w:rPr>
          <w:rFonts w:hint="eastAsia"/>
          <w:lang w:eastAsia="zh-CN"/>
        </w:rPr>
        <w:t>的</w:t>
      </w:r>
      <w:r w:rsidRPr="00925000">
        <w:rPr>
          <w:rFonts w:hint="eastAsia"/>
          <w:lang w:eastAsia="zh-CN"/>
        </w:rPr>
        <w:t>12</w:t>
      </w:r>
      <w:r w:rsidRPr="00925000">
        <w:rPr>
          <w:rFonts w:hint="eastAsia"/>
          <w:lang w:eastAsia="zh-CN"/>
        </w:rPr>
        <w:t>个日历日前提交；</w:t>
      </w:r>
    </w:p>
    <w:p w14:paraId="4827B5AF" w14:textId="77777777" w:rsidR="00242F18" w:rsidRPr="00D668AB" w:rsidRDefault="00242F18" w:rsidP="00242F18">
      <w:pPr>
        <w:rPr>
          <w:lang w:eastAsia="zh-CN"/>
        </w:rPr>
      </w:pPr>
      <w:r>
        <w:rPr>
          <w:lang w:eastAsia="zh-CN"/>
        </w:rPr>
        <w:t>3</w:t>
      </w:r>
      <w:r>
        <w:rPr>
          <w:lang w:eastAsia="zh-CN"/>
        </w:rPr>
        <w:tab/>
      </w:r>
      <w:r>
        <w:rPr>
          <w:rFonts w:hint="eastAsia"/>
          <w:lang w:eastAsia="zh-CN"/>
        </w:rPr>
        <w:t>需由理事会</w:t>
      </w:r>
      <w:r>
        <w:rPr>
          <w:lang w:eastAsia="zh-CN"/>
        </w:rPr>
        <w:t>或理事会</w:t>
      </w:r>
      <w:r>
        <w:rPr>
          <w:rFonts w:hint="eastAsia"/>
          <w:lang w:eastAsia="zh-CN"/>
        </w:rPr>
        <w:t>工作组</w:t>
      </w:r>
      <w:r>
        <w:rPr>
          <w:lang w:eastAsia="zh-CN"/>
        </w:rPr>
        <w:t>做出决定的国际电联秘书处文件应在理事会或理事会工作组会议开始的</w:t>
      </w:r>
      <w:r>
        <w:rPr>
          <w:rFonts w:hint="eastAsia"/>
          <w:lang w:eastAsia="zh-CN"/>
        </w:rPr>
        <w:t>30</w:t>
      </w:r>
      <w:r>
        <w:rPr>
          <w:rFonts w:hint="eastAsia"/>
          <w:lang w:eastAsia="zh-CN"/>
        </w:rPr>
        <w:t>个</w:t>
      </w:r>
      <w:r>
        <w:rPr>
          <w:lang w:eastAsia="zh-CN"/>
        </w:rPr>
        <w:t>日历日前</w:t>
      </w:r>
      <w:r>
        <w:rPr>
          <w:rFonts w:hint="eastAsia"/>
          <w:lang w:eastAsia="zh-CN"/>
        </w:rPr>
        <w:t>在</w:t>
      </w:r>
      <w:r>
        <w:rPr>
          <w:lang w:eastAsia="zh-CN"/>
        </w:rPr>
        <w:t>网络的</w:t>
      </w:r>
      <w:r>
        <w:rPr>
          <w:rFonts w:hint="eastAsia"/>
          <w:lang w:eastAsia="zh-CN"/>
        </w:rPr>
        <w:t>相关</w:t>
      </w:r>
      <w:r>
        <w:rPr>
          <w:lang w:eastAsia="zh-CN"/>
        </w:rPr>
        <w:t>网页上发布；</w:t>
      </w:r>
    </w:p>
    <w:p w14:paraId="4827B5B0" w14:textId="77777777" w:rsidR="00242F18" w:rsidRPr="00925000" w:rsidRDefault="00242F18" w:rsidP="00242F18">
      <w:pPr>
        <w:rPr>
          <w:lang w:eastAsia="zh-CN"/>
        </w:rPr>
      </w:pPr>
      <w:r>
        <w:rPr>
          <w:lang w:eastAsia="zh-CN"/>
        </w:rPr>
        <w:t>4</w:t>
      </w:r>
      <w:r w:rsidRPr="00925000">
        <w:rPr>
          <w:rFonts w:hint="eastAsia"/>
          <w:lang w:eastAsia="zh-CN"/>
        </w:rPr>
        <w:tab/>
      </w:r>
      <w:r w:rsidRPr="00925000">
        <w:rPr>
          <w:rFonts w:hint="eastAsia"/>
          <w:lang w:eastAsia="zh-CN"/>
        </w:rPr>
        <w:t>提交理事会会议或理事会工作组会议的所有</w:t>
      </w:r>
      <w:r>
        <w:rPr>
          <w:rFonts w:hint="eastAsia"/>
          <w:lang w:eastAsia="zh-CN"/>
        </w:rPr>
        <w:t>其它</w:t>
      </w:r>
      <w:r w:rsidRPr="00925000">
        <w:rPr>
          <w:rFonts w:hint="eastAsia"/>
          <w:lang w:eastAsia="zh-CN"/>
        </w:rPr>
        <w:t>文件应在会议开始的</w:t>
      </w:r>
      <w:r w:rsidRPr="00925000">
        <w:rPr>
          <w:rFonts w:hint="eastAsia"/>
          <w:lang w:eastAsia="zh-CN"/>
        </w:rPr>
        <w:t>7</w:t>
      </w:r>
      <w:r w:rsidRPr="00925000">
        <w:rPr>
          <w:rFonts w:hint="eastAsia"/>
          <w:lang w:eastAsia="zh-CN"/>
        </w:rPr>
        <w:t>个日历日前公布在相关网页上。</w:t>
      </w:r>
      <w:r>
        <w:rPr>
          <w:rFonts w:hint="eastAsia"/>
          <w:lang w:eastAsia="zh-CN"/>
        </w:rPr>
        <w:t>该</w:t>
      </w:r>
      <w:r w:rsidRPr="00925000">
        <w:rPr>
          <w:rFonts w:hint="eastAsia"/>
          <w:lang w:eastAsia="zh-CN"/>
        </w:rPr>
        <w:t>截止日期不用于行政文件或有关在会前</w:t>
      </w:r>
      <w:r w:rsidRPr="00925000">
        <w:rPr>
          <w:rFonts w:hint="eastAsia"/>
          <w:lang w:eastAsia="zh-CN"/>
        </w:rPr>
        <w:t>21</w:t>
      </w:r>
      <w:r w:rsidRPr="00925000">
        <w:rPr>
          <w:rFonts w:hint="eastAsia"/>
          <w:lang w:eastAsia="zh-CN"/>
        </w:rPr>
        <w:t>个日历日内所开展活动的报告，亦不用于主席、特设组召集人提交的建议、主席或秘书处拟定的提案汇编或会议特别要求提交的文稿；</w:t>
      </w:r>
    </w:p>
    <w:p w14:paraId="4827B5B1" w14:textId="77777777" w:rsidR="00242F18" w:rsidRDefault="00242F18" w:rsidP="00242F18">
      <w:pPr>
        <w:tabs>
          <w:tab w:val="left" w:pos="567"/>
          <w:tab w:val="left" w:pos="1134"/>
          <w:tab w:val="left" w:pos="1701"/>
          <w:tab w:val="left" w:pos="2268"/>
          <w:tab w:val="left" w:pos="2835"/>
        </w:tabs>
        <w:rPr>
          <w:lang w:eastAsia="zh-CN"/>
        </w:rPr>
      </w:pPr>
      <w:r>
        <w:rPr>
          <w:lang w:eastAsia="zh-CN"/>
        </w:rPr>
        <w:t>5</w:t>
      </w:r>
      <w:r w:rsidRPr="00925000">
        <w:rPr>
          <w:rFonts w:hint="eastAsia"/>
          <w:lang w:eastAsia="zh-CN"/>
        </w:rPr>
        <w:tab/>
      </w:r>
      <w:r w:rsidRPr="00925000">
        <w:rPr>
          <w:rFonts w:hint="eastAsia"/>
          <w:lang w:eastAsia="zh-CN"/>
        </w:rPr>
        <w:t>有关会议召开前</w:t>
      </w:r>
      <w:r w:rsidRPr="00925000">
        <w:rPr>
          <w:rFonts w:hint="eastAsia"/>
          <w:lang w:eastAsia="zh-CN"/>
        </w:rPr>
        <w:t>21</w:t>
      </w:r>
      <w:r w:rsidRPr="00925000">
        <w:rPr>
          <w:rFonts w:hint="eastAsia"/>
          <w:lang w:eastAsia="zh-CN"/>
        </w:rPr>
        <w:t>个日历日以内开展活动的报告应在会议讨论相关议题的两个日历日前公布在网站的相关网页上，除非会议达成其它一致意见。</w:t>
      </w:r>
    </w:p>
    <w:p w14:paraId="4827B5B2" w14:textId="77777777" w:rsidR="0025197D" w:rsidRPr="00252355" w:rsidRDefault="0006123C" w:rsidP="00242F18">
      <w:pPr>
        <w:pStyle w:val="Endtext"/>
        <w:rPr>
          <w:lang w:val="en-US" w:eastAsia="zh-CN"/>
        </w:rPr>
      </w:pPr>
      <w:r w:rsidRPr="001A19E4">
        <w:rPr>
          <w:rFonts w:ascii="STKaiti" w:hAnsi="STKaiti" w:hint="eastAsia"/>
          <w:lang w:eastAsia="zh-CN"/>
        </w:rPr>
        <w:t>参阅</w:t>
      </w:r>
      <w:r w:rsidRPr="001A19E4">
        <w:rPr>
          <w:rFonts w:hint="eastAsia"/>
          <w:lang w:eastAsia="zh-CN"/>
        </w:rPr>
        <w:t>：</w:t>
      </w:r>
      <w:r w:rsidRPr="001A19E4">
        <w:rPr>
          <w:lang w:eastAsia="zh-CN"/>
        </w:rPr>
        <w:tab/>
      </w:r>
      <w:hyperlink r:id="rId352" w:history="1">
        <w:r w:rsidR="0025197D" w:rsidRPr="009B7A52">
          <w:rPr>
            <w:rStyle w:val="Hyperlink"/>
            <w:lang w:val="en-US" w:eastAsia="zh-CN"/>
          </w:rPr>
          <w:t>C10/85</w:t>
        </w:r>
      </w:hyperlink>
      <w:r w:rsidR="0025197D">
        <w:rPr>
          <w:rFonts w:hint="eastAsia"/>
          <w:lang w:val="en-US" w:eastAsia="zh-CN"/>
        </w:rPr>
        <w:t>和</w:t>
      </w:r>
      <w:hyperlink r:id="rId353" w:history="1">
        <w:r w:rsidR="0025197D" w:rsidRPr="009B7A52">
          <w:rPr>
            <w:rStyle w:val="Hyperlink"/>
            <w:lang w:val="en-US" w:eastAsia="zh-CN"/>
          </w:rPr>
          <w:t>C10/91</w:t>
        </w:r>
      </w:hyperlink>
      <w:r w:rsidR="00FD2ABF">
        <w:rPr>
          <w:rFonts w:hint="eastAsia"/>
          <w:lang w:val="en-US" w:eastAsia="zh-CN"/>
        </w:rPr>
        <w:t>、</w:t>
      </w:r>
      <w:hyperlink r:id="rId354" w:history="1">
        <w:r w:rsidR="0025197D" w:rsidRPr="009B7A52">
          <w:rPr>
            <w:rStyle w:val="Hyperlink"/>
            <w:lang w:val="en-US" w:eastAsia="zh-CN"/>
          </w:rPr>
          <w:t>C11/116</w:t>
        </w:r>
      </w:hyperlink>
      <w:r w:rsidR="0025197D">
        <w:rPr>
          <w:rFonts w:hint="eastAsia"/>
          <w:lang w:val="en-US" w:eastAsia="zh-CN"/>
        </w:rPr>
        <w:t>和</w:t>
      </w:r>
      <w:hyperlink r:id="rId355" w:history="1">
        <w:r w:rsidR="0025197D" w:rsidRPr="009B7A52">
          <w:rPr>
            <w:rStyle w:val="Hyperlink"/>
            <w:lang w:val="en-US" w:eastAsia="zh-CN"/>
          </w:rPr>
          <w:t>C11/121</w:t>
        </w:r>
      </w:hyperlink>
      <w:r w:rsidR="00FD2ABF">
        <w:rPr>
          <w:rFonts w:hint="eastAsia"/>
          <w:lang w:val="en-US" w:eastAsia="zh-CN"/>
        </w:rPr>
        <w:t>、</w:t>
      </w:r>
      <w:hyperlink r:id="rId356" w:history="1">
        <w:r w:rsidR="00242F18" w:rsidRPr="00DC2ED9">
          <w:rPr>
            <w:rStyle w:val="Hyperlink"/>
            <w:lang w:val="en-US" w:eastAsia="zh-CN"/>
          </w:rPr>
          <w:t>C16/122</w:t>
        </w:r>
      </w:hyperlink>
      <w:r w:rsidR="00242F18">
        <w:rPr>
          <w:rFonts w:hint="eastAsia"/>
          <w:lang w:val="en-US" w:eastAsia="zh-CN"/>
        </w:rPr>
        <w:t>和</w:t>
      </w:r>
      <w:hyperlink r:id="rId357" w:history="1">
        <w:r w:rsidR="00242F18" w:rsidRPr="00DC2ED9">
          <w:rPr>
            <w:rStyle w:val="Hyperlink"/>
            <w:lang w:val="en-US" w:eastAsia="zh-CN"/>
          </w:rPr>
          <w:t>C16/135</w:t>
        </w:r>
      </w:hyperlink>
      <w:r w:rsidR="0025197D">
        <w:rPr>
          <w:rFonts w:hint="eastAsia"/>
          <w:lang w:val="en-US" w:eastAsia="zh-CN"/>
        </w:rPr>
        <w:t>号</w:t>
      </w:r>
      <w:r w:rsidR="0025197D">
        <w:rPr>
          <w:lang w:val="en-US" w:eastAsia="zh-CN"/>
        </w:rPr>
        <w:t>文件。</w:t>
      </w:r>
    </w:p>
    <w:p w14:paraId="4827B5B3" w14:textId="77777777" w:rsidR="00E7075A" w:rsidRDefault="00E7075A" w:rsidP="00E7075A">
      <w:pPr>
        <w:jc w:val="center"/>
        <w:rPr>
          <w:lang w:eastAsia="zh-CN"/>
        </w:rPr>
      </w:pPr>
      <w:bookmarkStart w:id="1865" w:name="_Toc424117057"/>
      <w:bookmarkStart w:id="1866" w:name="_Toc531706409"/>
      <w:bookmarkStart w:id="1867" w:name="_Toc531707017"/>
      <w:bookmarkStart w:id="1868" w:name="_Toc531768497"/>
      <w:bookmarkStart w:id="1869" w:name="_Toc311469623"/>
      <w:r>
        <w:rPr>
          <w:lang w:eastAsia="zh-CN"/>
        </w:rPr>
        <w:t>______________</w:t>
      </w:r>
    </w:p>
    <w:p w14:paraId="4827B5B4" w14:textId="77777777" w:rsidR="005F47C1" w:rsidRPr="005F47C1" w:rsidRDefault="005F47C1" w:rsidP="00CA7362">
      <w:pPr>
        <w:pStyle w:val="DecNo"/>
        <w:outlineLvl w:val="0"/>
      </w:pPr>
      <w:bookmarkStart w:id="1870" w:name="_Toc16085813"/>
      <w:bookmarkStart w:id="1871" w:name="_Toc86395618"/>
      <w:bookmarkEnd w:id="1865"/>
      <w:bookmarkEnd w:id="1866"/>
      <w:bookmarkEnd w:id="1867"/>
      <w:bookmarkEnd w:id="1868"/>
      <w:bookmarkEnd w:id="1869"/>
      <w:r w:rsidRPr="005F47C1">
        <w:rPr>
          <w:rFonts w:hint="eastAsia"/>
        </w:rPr>
        <w:t>第</w:t>
      </w:r>
      <w:r w:rsidRPr="005F47C1">
        <w:rPr>
          <w:rFonts w:hint="eastAsia"/>
        </w:rPr>
        <w:t>5</w:t>
      </w:r>
      <w:r w:rsidRPr="005F47C1">
        <w:t>63</w:t>
      </w:r>
      <w:r w:rsidRPr="005F47C1">
        <w:rPr>
          <w:rFonts w:hint="eastAsia"/>
        </w:rPr>
        <w:t>号决定（</w:t>
      </w:r>
      <w:r>
        <w:rPr>
          <w:rFonts w:hint="eastAsia"/>
        </w:rPr>
        <w:t>C</w:t>
      </w:r>
      <w:r>
        <w:t>11</w:t>
      </w:r>
      <w:r>
        <w:rPr>
          <w:rFonts w:hint="eastAsia"/>
        </w:rPr>
        <w:t>，最后修正</w:t>
      </w:r>
      <w:r>
        <w:t>C</w:t>
      </w:r>
      <w:r w:rsidRPr="005F47C1">
        <w:t>19</w:t>
      </w:r>
      <w:r w:rsidRPr="005F47C1">
        <w:rPr>
          <w:rFonts w:hint="eastAsia"/>
        </w:rPr>
        <w:t>）</w:t>
      </w:r>
      <w:bookmarkEnd w:id="1870"/>
      <w:bookmarkEnd w:id="1871"/>
    </w:p>
    <w:p w14:paraId="4827B5B5" w14:textId="77777777" w:rsidR="005F47C1" w:rsidRPr="0025197D" w:rsidRDefault="005F47C1" w:rsidP="005F47C1">
      <w:pPr>
        <w:pStyle w:val="Dectitle"/>
      </w:pPr>
      <w:bookmarkStart w:id="1872" w:name="_Toc424117058"/>
      <w:bookmarkStart w:id="1873" w:name="_Toc460248171"/>
      <w:bookmarkStart w:id="1874" w:name="_Toc531706410"/>
      <w:bookmarkStart w:id="1875" w:name="_Toc531707018"/>
      <w:bookmarkStart w:id="1876" w:name="_Toc531768498"/>
      <w:bookmarkStart w:id="1877" w:name="_Toc16085814"/>
      <w:bookmarkStart w:id="1878" w:name="_Toc86395619"/>
      <w:r w:rsidRPr="0025197D">
        <w:t>理事会财务和人力资源工作组</w:t>
      </w:r>
      <w:bookmarkEnd w:id="1872"/>
      <w:bookmarkEnd w:id="1873"/>
      <w:bookmarkEnd w:id="1874"/>
      <w:bookmarkEnd w:id="1875"/>
      <w:bookmarkEnd w:id="1876"/>
      <w:bookmarkEnd w:id="1877"/>
      <w:bookmarkEnd w:id="1878"/>
    </w:p>
    <w:p w14:paraId="4827B5B6" w14:textId="77777777" w:rsidR="005F47C1" w:rsidRPr="000C08B8" w:rsidRDefault="005F47C1" w:rsidP="005F47C1">
      <w:pPr>
        <w:pStyle w:val="Normalaftertitle"/>
        <w:rPr>
          <w:lang w:eastAsia="zh-CN"/>
        </w:rPr>
      </w:pPr>
      <w:r w:rsidRPr="000C08B8">
        <w:rPr>
          <w:lang w:eastAsia="zh-CN"/>
        </w:rPr>
        <w:t>理事会，</w:t>
      </w:r>
    </w:p>
    <w:p w14:paraId="4827B5B7" w14:textId="77777777" w:rsidR="005F47C1" w:rsidRPr="00CC1584" w:rsidRDefault="005F47C1" w:rsidP="005F47C1">
      <w:pPr>
        <w:pStyle w:val="Call"/>
        <w:rPr>
          <w:lang w:eastAsia="zh-CN"/>
        </w:rPr>
      </w:pPr>
      <w:r w:rsidRPr="00CC1584">
        <w:rPr>
          <w:lang w:eastAsia="zh-CN"/>
        </w:rPr>
        <w:t>忆及</w:t>
      </w:r>
    </w:p>
    <w:p w14:paraId="4827B5B8" w14:textId="77777777" w:rsidR="005F47C1" w:rsidRPr="000C08B8" w:rsidRDefault="005F47C1" w:rsidP="005F47C1">
      <w:pPr>
        <w:rPr>
          <w:lang w:eastAsia="zh-CN"/>
        </w:rPr>
      </w:pPr>
      <w:r w:rsidRPr="005C1D62">
        <w:rPr>
          <w:rFonts w:eastAsia="Calibri" w:cs="Calibri"/>
          <w:i/>
          <w:iCs/>
          <w:szCs w:val="24"/>
          <w:lang w:val="en-CA" w:eastAsia="zh-CN"/>
        </w:rPr>
        <w:t>a)</w:t>
      </w:r>
      <w:r w:rsidRPr="005C1D62">
        <w:rPr>
          <w:rFonts w:eastAsia="Calibri" w:cs="Calibri"/>
          <w:szCs w:val="24"/>
          <w:lang w:val="en-CA" w:eastAsia="zh-CN"/>
        </w:rPr>
        <w:tab/>
      </w:r>
      <w:r w:rsidRPr="000C08B8">
        <w:rPr>
          <w:lang w:eastAsia="zh-CN"/>
        </w:rPr>
        <w:t>理事会</w:t>
      </w:r>
      <w:r w:rsidRPr="000C08B8">
        <w:rPr>
          <w:lang w:eastAsia="zh-CN"/>
        </w:rPr>
        <w:t>2007</w:t>
      </w:r>
      <w:r w:rsidRPr="000C08B8">
        <w:rPr>
          <w:lang w:eastAsia="zh-CN"/>
        </w:rPr>
        <w:t>年会议通过的第</w:t>
      </w:r>
      <w:r w:rsidRPr="000C08B8">
        <w:rPr>
          <w:lang w:eastAsia="zh-CN"/>
        </w:rPr>
        <w:t>546</w:t>
      </w:r>
      <w:r w:rsidRPr="000C08B8">
        <w:rPr>
          <w:lang w:eastAsia="zh-CN"/>
        </w:rPr>
        <w:t>号决定</w:t>
      </w:r>
      <w:r w:rsidRPr="000C08B8">
        <w:rPr>
          <w:lang w:eastAsia="zh-CN"/>
        </w:rPr>
        <w:t xml:space="preserve"> – </w:t>
      </w:r>
      <w:r w:rsidRPr="000C08B8">
        <w:rPr>
          <w:lang w:eastAsia="zh-CN"/>
        </w:rPr>
        <w:t>对理事会《财务规则》和相关财务管理问题小组职责范围的修改，</w:t>
      </w:r>
    </w:p>
    <w:p w14:paraId="4827B5B9" w14:textId="77777777" w:rsidR="005F47C1" w:rsidRDefault="005F47C1" w:rsidP="005F47C1">
      <w:pPr>
        <w:pStyle w:val="Call"/>
        <w:rPr>
          <w:lang w:eastAsia="zh-CN"/>
        </w:rPr>
      </w:pPr>
      <w:r w:rsidRPr="008B4CF1">
        <w:rPr>
          <w:lang w:eastAsia="zh-CN"/>
        </w:rPr>
        <w:t>考虑到</w:t>
      </w:r>
    </w:p>
    <w:p w14:paraId="4827B5BA" w14:textId="77777777" w:rsidR="005F47C1" w:rsidRPr="00DA2B46" w:rsidRDefault="005F47C1" w:rsidP="005F47C1">
      <w:pPr>
        <w:rPr>
          <w:rFonts w:eastAsia="Calibri" w:cs="Calibri"/>
          <w:b/>
          <w:color w:val="800000"/>
          <w:lang w:val="en-CA" w:eastAsia="zh-CN"/>
        </w:rPr>
      </w:pPr>
      <w:r w:rsidRPr="00DA2B46">
        <w:rPr>
          <w:rFonts w:eastAsia="Calibri" w:cs="Calibri"/>
          <w:i/>
          <w:iCs/>
          <w:lang w:val="en-CA" w:eastAsia="zh-CN"/>
        </w:rPr>
        <w:t>a)</w:t>
      </w:r>
      <w:r w:rsidRPr="00DA2B46">
        <w:rPr>
          <w:rFonts w:eastAsia="Calibri" w:cs="Calibri"/>
          <w:lang w:val="en-CA" w:eastAsia="zh-CN"/>
        </w:rPr>
        <w:tab/>
      </w:r>
      <w:bookmarkStart w:id="1879" w:name="_Toc536172352"/>
      <w:r>
        <w:rPr>
          <w:rFonts w:hint="eastAsia"/>
          <w:lang w:eastAsia="zh-CN"/>
        </w:rPr>
        <w:t>有关</w:t>
      </w:r>
      <w:r w:rsidRPr="009B5345">
        <w:rPr>
          <w:rFonts w:hint="eastAsia"/>
          <w:lang w:eastAsia="zh-CN"/>
        </w:rPr>
        <w:t>国际电联</w:t>
      </w:r>
      <w:r>
        <w:rPr>
          <w:lang w:eastAsia="zh-CN"/>
        </w:rPr>
        <w:t>2020-2023</w:t>
      </w:r>
      <w:r w:rsidRPr="009B5345">
        <w:rPr>
          <w:rFonts w:hint="eastAsia"/>
          <w:lang w:eastAsia="zh-CN"/>
        </w:rPr>
        <w:t>年战略规划</w:t>
      </w:r>
      <w:bookmarkEnd w:id="1879"/>
      <w:r>
        <w:rPr>
          <w:rFonts w:hint="eastAsia"/>
          <w:lang w:eastAsia="zh-CN"/>
        </w:rPr>
        <w:t>的</w:t>
      </w:r>
      <w:bookmarkStart w:id="1880" w:name="_Toc536172351"/>
      <w:r w:rsidRPr="00464756">
        <w:rPr>
          <w:rStyle w:val="href"/>
          <w:rFonts w:hint="eastAsia"/>
          <w:lang w:eastAsia="zh-CN"/>
        </w:rPr>
        <w:t>第</w:t>
      </w:r>
      <w:r w:rsidRPr="00464756">
        <w:rPr>
          <w:rStyle w:val="href"/>
          <w:lang w:eastAsia="zh-CN"/>
        </w:rPr>
        <w:t>71</w:t>
      </w:r>
      <w:r w:rsidRPr="00464756">
        <w:rPr>
          <w:rStyle w:val="href"/>
          <w:rFonts w:hint="eastAsia"/>
          <w:lang w:eastAsia="zh-CN"/>
        </w:rPr>
        <w:t>号决议</w:t>
      </w:r>
      <w:r w:rsidRPr="00AF3CB4">
        <w:rPr>
          <w:rFonts w:hint="eastAsia"/>
          <w:lang w:eastAsia="zh-CN"/>
        </w:rPr>
        <w:t>（</w:t>
      </w:r>
      <w:r w:rsidRPr="009B5345">
        <w:rPr>
          <w:lang w:eastAsia="zh-CN"/>
        </w:rPr>
        <w:t>201</w:t>
      </w:r>
      <w:r>
        <w:rPr>
          <w:lang w:eastAsia="zh-CN"/>
        </w:rPr>
        <w:t>8</w:t>
      </w:r>
      <w:r w:rsidRPr="009B5345">
        <w:rPr>
          <w:rFonts w:hint="eastAsia"/>
          <w:lang w:eastAsia="zh-CN"/>
        </w:rPr>
        <w:t>年，</w:t>
      </w:r>
      <w:r>
        <w:rPr>
          <w:rFonts w:hint="eastAsia"/>
          <w:lang w:eastAsia="zh-CN"/>
        </w:rPr>
        <w:t>迪拜</w:t>
      </w:r>
      <w:r w:rsidRPr="009B5345">
        <w:rPr>
          <w:rFonts w:hint="eastAsia"/>
          <w:lang w:eastAsia="zh-CN"/>
        </w:rPr>
        <w:t>，修订版</w:t>
      </w:r>
      <w:r w:rsidRPr="00AF3CB4">
        <w:rPr>
          <w:rFonts w:hint="eastAsia"/>
          <w:lang w:eastAsia="zh-CN"/>
        </w:rPr>
        <w:t>）</w:t>
      </w:r>
      <w:bookmarkEnd w:id="1880"/>
      <w:r>
        <w:rPr>
          <w:rFonts w:hint="eastAsia"/>
          <w:lang w:eastAsia="zh-CN"/>
        </w:rPr>
        <w:t>；</w:t>
      </w:r>
    </w:p>
    <w:p w14:paraId="4827B5BB" w14:textId="77777777" w:rsidR="005F47C1" w:rsidRPr="00DA2B46" w:rsidRDefault="005F47C1" w:rsidP="005F47C1">
      <w:pPr>
        <w:rPr>
          <w:rFonts w:eastAsia="Calibri" w:cs="Calibri"/>
          <w:highlight w:val="green"/>
          <w:lang w:val="en-CA" w:eastAsia="zh-CN"/>
        </w:rPr>
      </w:pPr>
      <w:r w:rsidRPr="00DA2B46">
        <w:rPr>
          <w:rFonts w:eastAsia="Calibri" w:cs="Calibri"/>
          <w:i/>
          <w:iCs/>
          <w:lang w:val="en-CA" w:eastAsia="zh-CN"/>
        </w:rPr>
        <w:t>b)</w:t>
      </w:r>
      <w:r w:rsidRPr="00DA2B46">
        <w:rPr>
          <w:rFonts w:eastAsia="Calibri" w:cs="Calibri"/>
          <w:lang w:val="en-CA" w:eastAsia="zh-CN"/>
        </w:rPr>
        <w:tab/>
      </w:r>
      <w:bookmarkStart w:id="1881" w:name="_Toc407024733"/>
      <w:bookmarkStart w:id="1882" w:name="_Toc413765642"/>
      <w:bookmarkStart w:id="1883" w:name="_Toc536172322"/>
      <w:r>
        <w:rPr>
          <w:rFonts w:hint="eastAsia"/>
          <w:lang w:eastAsia="zh-CN"/>
        </w:rPr>
        <w:t>有关国际电联</w:t>
      </w:r>
      <w:r>
        <w:rPr>
          <w:rFonts w:hint="eastAsia"/>
          <w:lang w:eastAsia="zh-CN"/>
        </w:rPr>
        <w:t>2020-</w:t>
      </w:r>
      <w:r>
        <w:rPr>
          <w:lang w:eastAsia="zh-CN"/>
        </w:rPr>
        <w:t>2023</w:t>
      </w:r>
      <w:r>
        <w:rPr>
          <w:rFonts w:hint="eastAsia"/>
          <w:lang w:eastAsia="zh-CN"/>
        </w:rPr>
        <w:t>年收入和支出</w:t>
      </w:r>
      <w:bookmarkEnd w:id="1881"/>
      <w:bookmarkEnd w:id="1882"/>
      <w:bookmarkEnd w:id="1883"/>
      <w:r>
        <w:rPr>
          <w:rFonts w:hint="eastAsia"/>
          <w:lang w:eastAsia="zh-CN"/>
        </w:rPr>
        <w:t>的</w:t>
      </w:r>
      <w:bookmarkStart w:id="1884" w:name="_Toc536172321"/>
      <w:r w:rsidRPr="00F433FE">
        <w:rPr>
          <w:rStyle w:val="href"/>
          <w:rFonts w:hint="eastAsia"/>
          <w:lang w:eastAsia="zh-CN"/>
        </w:rPr>
        <w:t>第</w:t>
      </w:r>
      <w:r w:rsidRPr="00F433FE">
        <w:rPr>
          <w:rStyle w:val="href"/>
          <w:rFonts w:hint="eastAsia"/>
          <w:lang w:eastAsia="zh-CN"/>
        </w:rPr>
        <w:t>5</w:t>
      </w:r>
      <w:r w:rsidRPr="00F433FE">
        <w:rPr>
          <w:rStyle w:val="href"/>
          <w:rFonts w:hint="eastAsia"/>
          <w:lang w:eastAsia="zh-CN"/>
        </w:rPr>
        <w:t>号决定</w:t>
      </w:r>
      <w:r w:rsidRPr="008528FB">
        <w:rPr>
          <w:rFonts w:hint="eastAsia"/>
          <w:lang w:eastAsia="zh-CN"/>
        </w:rPr>
        <w:t>（</w:t>
      </w:r>
      <w:r>
        <w:rPr>
          <w:lang w:eastAsia="zh-CN"/>
        </w:rPr>
        <w:t>2018</w:t>
      </w:r>
      <w:r>
        <w:rPr>
          <w:rFonts w:hint="eastAsia"/>
          <w:lang w:eastAsia="zh-CN"/>
        </w:rPr>
        <w:t>年，迪拜</w:t>
      </w:r>
      <w:r w:rsidRPr="008528FB">
        <w:rPr>
          <w:rFonts w:hint="eastAsia"/>
          <w:lang w:eastAsia="zh-CN"/>
        </w:rPr>
        <w:t>，</w:t>
      </w:r>
      <w:r w:rsidRPr="00F02177">
        <w:rPr>
          <w:rFonts w:hint="eastAsia"/>
          <w:lang w:eastAsia="zh-CN"/>
        </w:rPr>
        <w:t>修订版</w:t>
      </w:r>
      <w:r w:rsidRPr="008528FB">
        <w:rPr>
          <w:rFonts w:hint="eastAsia"/>
          <w:lang w:eastAsia="zh-CN"/>
        </w:rPr>
        <w:t>）</w:t>
      </w:r>
      <w:bookmarkEnd w:id="1884"/>
      <w:r>
        <w:rPr>
          <w:rFonts w:hint="eastAsia"/>
          <w:lang w:eastAsia="zh-CN"/>
        </w:rPr>
        <w:t>；</w:t>
      </w:r>
    </w:p>
    <w:p w14:paraId="4827B5BC" w14:textId="77777777" w:rsidR="005F47C1" w:rsidRPr="002F769D" w:rsidRDefault="005F47C1" w:rsidP="005F47C1">
      <w:pPr>
        <w:rPr>
          <w:rFonts w:eastAsia="Calibri" w:cs="Calibri"/>
          <w:lang w:val="en-CA" w:eastAsia="zh-CN"/>
        </w:rPr>
      </w:pPr>
      <w:r w:rsidRPr="00DA2B46">
        <w:rPr>
          <w:rFonts w:eastAsia="Calibri" w:cs="Calibri"/>
          <w:i/>
          <w:iCs/>
          <w:lang w:val="en-CA" w:eastAsia="zh-CN"/>
        </w:rPr>
        <w:t>c)</w:t>
      </w:r>
      <w:r w:rsidRPr="00DA2B46">
        <w:rPr>
          <w:rFonts w:eastAsia="Calibri" w:cs="Calibri"/>
          <w:lang w:val="en-CA" w:eastAsia="zh-CN"/>
        </w:rPr>
        <w:tab/>
      </w:r>
      <w:bookmarkStart w:id="1885" w:name="_Toc413838315"/>
      <w:bookmarkStart w:id="1886" w:name="_Toc536172344"/>
      <w:r>
        <w:rPr>
          <w:rFonts w:hint="eastAsia"/>
          <w:lang w:eastAsia="zh-CN"/>
        </w:rPr>
        <w:t>有关</w:t>
      </w:r>
      <w:r w:rsidRPr="00AB6E61">
        <w:rPr>
          <w:rFonts w:hint="eastAsia"/>
          <w:lang w:eastAsia="zh-CN"/>
        </w:rPr>
        <w:t>人力资源管理和开发</w:t>
      </w:r>
      <w:bookmarkEnd w:id="1885"/>
      <w:bookmarkEnd w:id="1886"/>
      <w:r>
        <w:rPr>
          <w:rFonts w:hint="eastAsia"/>
          <w:lang w:eastAsia="zh-CN"/>
        </w:rPr>
        <w:t>的</w:t>
      </w:r>
      <w:r w:rsidRPr="00464756">
        <w:rPr>
          <w:rStyle w:val="href"/>
          <w:rFonts w:hint="eastAsia"/>
          <w:lang w:eastAsia="zh-CN"/>
        </w:rPr>
        <w:t>第</w:t>
      </w:r>
      <w:r w:rsidRPr="00464756">
        <w:rPr>
          <w:rStyle w:val="href"/>
          <w:lang w:eastAsia="zh-CN"/>
        </w:rPr>
        <w:t>48</w:t>
      </w:r>
      <w:r w:rsidRPr="00464756">
        <w:rPr>
          <w:rStyle w:val="href"/>
          <w:rFonts w:hint="eastAsia"/>
          <w:lang w:eastAsia="zh-CN"/>
        </w:rPr>
        <w:t>号决议</w:t>
      </w:r>
      <w:r>
        <w:rPr>
          <w:rFonts w:hint="eastAsia"/>
          <w:lang w:eastAsia="zh-CN"/>
        </w:rPr>
        <w:t>（</w:t>
      </w:r>
      <w:r>
        <w:rPr>
          <w:rFonts w:hint="eastAsia"/>
          <w:lang w:eastAsia="zh-CN"/>
        </w:rPr>
        <w:t>201</w:t>
      </w:r>
      <w:r>
        <w:rPr>
          <w:lang w:eastAsia="zh-CN"/>
        </w:rPr>
        <w:t>8</w:t>
      </w:r>
      <w:r>
        <w:rPr>
          <w:rFonts w:hint="eastAsia"/>
          <w:lang w:eastAsia="zh-CN"/>
        </w:rPr>
        <w:t>年，迪拜，修订版）</w:t>
      </w:r>
      <w:r>
        <w:rPr>
          <w:lang w:eastAsia="zh-CN"/>
        </w:rPr>
        <w:t>，</w:t>
      </w:r>
    </w:p>
    <w:p w14:paraId="4827B5BD" w14:textId="77777777" w:rsidR="005F47C1" w:rsidRDefault="005F47C1">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lang w:eastAsia="zh-CN"/>
        </w:rPr>
        <w:br w:type="page"/>
      </w:r>
    </w:p>
    <w:p w14:paraId="4827B5BE" w14:textId="77777777" w:rsidR="005F47C1" w:rsidRDefault="005F47C1" w:rsidP="005F47C1">
      <w:pPr>
        <w:pStyle w:val="Call"/>
        <w:rPr>
          <w:lang w:eastAsia="zh-CN"/>
        </w:rPr>
      </w:pPr>
      <w:r w:rsidRPr="008B4CF1">
        <w:rPr>
          <w:lang w:eastAsia="zh-CN"/>
        </w:rPr>
        <w:lastRenderedPageBreak/>
        <w:t>认识到</w:t>
      </w:r>
    </w:p>
    <w:p w14:paraId="4827B5BF" w14:textId="77777777" w:rsidR="005F47C1" w:rsidRPr="00153DC7" w:rsidRDefault="005F47C1" w:rsidP="005F47C1">
      <w:pPr>
        <w:rPr>
          <w:rFonts w:eastAsia="Calibri" w:cs="Calibri"/>
          <w:lang w:val="en-CA" w:eastAsia="zh-CN"/>
        </w:rPr>
      </w:pPr>
      <w:r w:rsidRPr="00F66BDC">
        <w:rPr>
          <w:rFonts w:eastAsia="Calibri" w:cs="Calibri"/>
          <w:i/>
          <w:iCs/>
          <w:lang w:val="en-CA" w:eastAsia="zh-CN"/>
        </w:rPr>
        <w:t>a)</w:t>
      </w:r>
      <w:r w:rsidRPr="00F66BDC">
        <w:rPr>
          <w:rFonts w:eastAsia="Calibri" w:cs="Calibri"/>
          <w:lang w:val="en-CA" w:eastAsia="zh-CN"/>
        </w:rPr>
        <w:tab/>
      </w:r>
      <w:r>
        <w:rPr>
          <w:rFonts w:eastAsiaTheme="minorEastAsia" w:cs="Calibri" w:hint="eastAsia"/>
          <w:lang w:val="en-CA" w:eastAsia="zh-CN"/>
        </w:rPr>
        <w:t>有必要</w:t>
      </w:r>
      <w:r w:rsidRPr="00153DC7">
        <w:rPr>
          <w:rFonts w:hint="eastAsia"/>
          <w:lang w:val="en-CA" w:eastAsia="zh-CN"/>
        </w:rPr>
        <w:t>确保国际电联</w:t>
      </w:r>
      <w:r>
        <w:rPr>
          <w:rFonts w:hint="eastAsia"/>
          <w:lang w:val="en-CA" w:eastAsia="zh-CN"/>
        </w:rPr>
        <w:t>的</w:t>
      </w:r>
      <w:r w:rsidRPr="00153DC7">
        <w:rPr>
          <w:rFonts w:hint="eastAsia"/>
          <w:lang w:val="en-CA" w:eastAsia="zh-CN"/>
        </w:rPr>
        <w:t>战略规划、财务规划和运作规划与相应的人力资源规划的关联；</w:t>
      </w:r>
    </w:p>
    <w:p w14:paraId="4827B5C0" w14:textId="77777777" w:rsidR="005F47C1" w:rsidRDefault="005F47C1" w:rsidP="005F47C1">
      <w:pPr>
        <w:rPr>
          <w:lang w:val="en-CA" w:eastAsia="zh-CN"/>
        </w:rPr>
      </w:pPr>
      <w:r w:rsidRPr="00153DC7">
        <w:rPr>
          <w:rFonts w:eastAsia="Calibri" w:cs="Calibri" w:hint="eastAsia"/>
          <w:i/>
          <w:iCs/>
          <w:lang w:val="en-CA" w:eastAsia="zh-CN"/>
        </w:rPr>
        <w:t>b</w:t>
      </w:r>
      <w:r w:rsidRPr="00153DC7">
        <w:rPr>
          <w:rFonts w:eastAsia="Calibri" w:cs="Calibri"/>
          <w:i/>
          <w:iCs/>
          <w:lang w:val="en-CA" w:eastAsia="zh-CN"/>
        </w:rPr>
        <w:t>)</w:t>
      </w:r>
      <w:r w:rsidRPr="00153DC7">
        <w:rPr>
          <w:rFonts w:eastAsia="Calibri" w:cs="Calibri"/>
          <w:lang w:val="en-CA" w:eastAsia="zh-CN"/>
        </w:rPr>
        <w:tab/>
      </w:r>
      <w:r w:rsidRPr="00153DC7">
        <w:rPr>
          <w:rFonts w:hint="eastAsia"/>
          <w:lang w:val="en-CA" w:eastAsia="zh-CN"/>
        </w:rPr>
        <w:t>基于结果的管理</w:t>
      </w:r>
      <w:r>
        <w:rPr>
          <w:rFonts w:hint="eastAsia"/>
          <w:lang w:val="en-CA" w:eastAsia="zh-CN"/>
        </w:rPr>
        <w:t>的</w:t>
      </w:r>
      <w:r w:rsidRPr="00153DC7">
        <w:rPr>
          <w:rFonts w:hint="eastAsia"/>
          <w:lang w:val="en-CA" w:eastAsia="zh-CN"/>
        </w:rPr>
        <w:t>进一步发展和</w:t>
      </w:r>
      <w:r>
        <w:rPr>
          <w:rFonts w:hint="eastAsia"/>
          <w:lang w:val="en-CA" w:eastAsia="zh-CN"/>
        </w:rPr>
        <w:t>完善</w:t>
      </w:r>
      <w:r w:rsidRPr="00153DC7">
        <w:rPr>
          <w:rFonts w:hint="eastAsia"/>
          <w:lang w:val="en-CA" w:eastAsia="zh-CN"/>
        </w:rPr>
        <w:t>要</w:t>
      </w:r>
      <w:r>
        <w:rPr>
          <w:rFonts w:hint="eastAsia"/>
          <w:lang w:val="en-CA" w:eastAsia="zh-CN"/>
        </w:rPr>
        <w:t>求</w:t>
      </w:r>
      <w:r w:rsidRPr="00153DC7">
        <w:rPr>
          <w:rFonts w:hint="eastAsia"/>
          <w:lang w:val="en-CA" w:eastAsia="zh-CN"/>
        </w:rPr>
        <w:t>战略目标、部门目标和输出成果的实现程度</w:t>
      </w:r>
      <w:r>
        <w:rPr>
          <w:rFonts w:hint="eastAsia"/>
          <w:lang w:val="en-CA" w:eastAsia="zh-CN"/>
        </w:rPr>
        <w:t>进行</w:t>
      </w:r>
      <w:r w:rsidRPr="00153DC7">
        <w:rPr>
          <w:rFonts w:hint="eastAsia"/>
          <w:lang w:val="en-CA" w:eastAsia="zh-CN"/>
        </w:rPr>
        <w:t>定期评估，以便在必要时通过重新分配预算来提高效率；</w:t>
      </w:r>
    </w:p>
    <w:p w14:paraId="4827B5C1" w14:textId="77777777" w:rsidR="005F47C1" w:rsidRPr="00153DC7" w:rsidRDefault="005F47C1" w:rsidP="005F47C1">
      <w:pPr>
        <w:rPr>
          <w:rFonts w:eastAsia="Calibri" w:cs="Calibri"/>
          <w:lang w:val="en-CA" w:eastAsia="zh-CN"/>
        </w:rPr>
      </w:pPr>
      <w:r>
        <w:rPr>
          <w:rFonts w:eastAsia="Calibri" w:cs="Calibri"/>
          <w:i/>
          <w:iCs/>
          <w:lang w:val="en-CA" w:eastAsia="zh-CN"/>
        </w:rPr>
        <w:t>c</w:t>
      </w:r>
      <w:r w:rsidRPr="00153DC7">
        <w:rPr>
          <w:rFonts w:eastAsia="Calibri" w:cs="Calibri"/>
          <w:i/>
          <w:iCs/>
          <w:lang w:val="en-CA" w:eastAsia="zh-CN"/>
        </w:rPr>
        <w:t>)</w:t>
      </w:r>
      <w:r w:rsidRPr="00153DC7">
        <w:rPr>
          <w:rFonts w:eastAsia="Calibri" w:cs="Calibri"/>
          <w:lang w:val="en-CA" w:eastAsia="zh-CN"/>
        </w:rPr>
        <w:tab/>
      </w:r>
      <w:r w:rsidRPr="00153DC7">
        <w:rPr>
          <w:rFonts w:hint="eastAsia"/>
          <w:lang w:val="en-CA" w:eastAsia="zh-CN"/>
        </w:rPr>
        <w:t>将战略规划</w:t>
      </w:r>
      <w:r>
        <w:rPr>
          <w:rFonts w:hint="eastAsia"/>
          <w:lang w:val="en-CA" w:eastAsia="zh-CN"/>
        </w:rPr>
        <w:t>的</w:t>
      </w:r>
      <w:r w:rsidRPr="00153DC7">
        <w:rPr>
          <w:rFonts w:hint="eastAsia"/>
          <w:lang w:val="en-CA" w:eastAsia="zh-CN"/>
        </w:rPr>
        <w:t>制定进程转</w:t>
      </w:r>
      <w:r>
        <w:rPr>
          <w:rFonts w:hint="eastAsia"/>
          <w:lang w:val="en-CA" w:eastAsia="zh-CN"/>
        </w:rPr>
        <w:t>化</w:t>
      </w:r>
      <w:r w:rsidRPr="00153DC7">
        <w:rPr>
          <w:rFonts w:hint="eastAsia"/>
          <w:lang w:val="en-CA" w:eastAsia="zh-CN"/>
        </w:rPr>
        <w:t>为</w:t>
      </w:r>
      <w:r>
        <w:rPr>
          <w:rFonts w:hint="eastAsia"/>
          <w:lang w:val="en-CA" w:eastAsia="zh-CN"/>
        </w:rPr>
        <w:t>一个</w:t>
      </w:r>
      <w:r w:rsidRPr="00153DC7">
        <w:rPr>
          <w:rFonts w:hint="eastAsia"/>
          <w:lang w:val="en-CA" w:eastAsia="zh-CN"/>
        </w:rPr>
        <w:t>持续不断的进程</w:t>
      </w:r>
      <w:r>
        <w:rPr>
          <w:rFonts w:hint="eastAsia"/>
          <w:lang w:val="en-CA" w:eastAsia="zh-CN"/>
        </w:rPr>
        <w:t>，</w:t>
      </w:r>
      <w:r w:rsidRPr="00153DC7">
        <w:rPr>
          <w:rFonts w:hint="eastAsia"/>
          <w:lang w:val="en-CA" w:eastAsia="zh-CN"/>
        </w:rPr>
        <w:t>有助于提高国际电联成员和国际电联员</w:t>
      </w:r>
      <w:r>
        <w:rPr>
          <w:rFonts w:hint="eastAsia"/>
          <w:lang w:val="en-CA" w:eastAsia="zh-CN"/>
        </w:rPr>
        <w:t>工</w:t>
      </w:r>
      <w:r w:rsidRPr="00153DC7">
        <w:rPr>
          <w:rFonts w:hint="eastAsia"/>
          <w:lang w:val="en-CA" w:eastAsia="zh-CN"/>
        </w:rPr>
        <w:t>的认识和参与度；</w:t>
      </w:r>
    </w:p>
    <w:p w14:paraId="4827B5C2" w14:textId="77777777" w:rsidR="005F47C1" w:rsidRDefault="005F47C1" w:rsidP="005F47C1">
      <w:pPr>
        <w:rPr>
          <w:lang w:val="en-CA" w:eastAsia="zh-CN"/>
        </w:rPr>
      </w:pPr>
      <w:r w:rsidRPr="00F66BDC">
        <w:rPr>
          <w:rFonts w:eastAsia="Calibri" w:cs="Calibri"/>
          <w:i/>
          <w:iCs/>
          <w:lang w:val="en-CA" w:eastAsia="zh-CN"/>
        </w:rPr>
        <w:t>d)</w:t>
      </w:r>
      <w:r w:rsidRPr="00153DC7">
        <w:rPr>
          <w:rFonts w:eastAsia="Calibri" w:cs="Calibri"/>
          <w:lang w:val="en-CA" w:eastAsia="zh-CN"/>
        </w:rPr>
        <w:tab/>
      </w:r>
      <w:r>
        <w:rPr>
          <w:rFonts w:asciiTheme="minorEastAsia" w:eastAsiaTheme="minorEastAsia" w:hAnsiTheme="minorEastAsia" w:cs="Calibri" w:hint="eastAsia"/>
          <w:lang w:val="en-CA" w:eastAsia="zh-CN"/>
        </w:rPr>
        <w:t>有必要</w:t>
      </w:r>
      <w:r w:rsidRPr="00153DC7">
        <w:rPr>
          <w:rFonts w:hint="eastAsia"/>
          <w:lang w:val="en-CA" w:eastAsia="zh-CN"/>
        </w:rPr>
        <w:t>在理事会各届会议之间</w:t>
      </w:r>
      <w:r>
        <w:rPr>
          <w:rFonts w:hint="eastAsia"/>
          <w:lang w:val="en-CA" w:eastAsia="zh-CN"/>
        </w:rPr>
        <w:t>研究</w:t>
      </w:r>
      <w:r w:rsidRPr="00153DC7">
        <w:rPr>
          <w:rFonts w:hint="eastAsia"/>
          <w:lang w:val="en-CA" w:eastAsia="zh-CN"/>
        </w:rPr>
        <w:t>解决财务和人力资源</w:t>
      </w:r>
      <w:r>
        <w:rPr>
          <w:rFonts w:hint="eastAsia"/>
          <w:lang w:val="en-CA" w:eastAsia="zh-CN"/>
        </w:rPr>
        <w:t>事项</w:t>
      </w:r>
      <w:r w:rsidRPr="00153DC7">
        <w:rPr>
          <w:rFonts w:hint="eastAsia"/>
          <w:lang w:val="en-CA" w:eastAsia="zh-CN"/>
        </w:rPr>
        <w:t>的重要</w:t>
      </w:r>
      <w:r>
        <w:rPr>
          <w:rFonts w:hint="eastAsia"/>
          <w:lang w:val="en-CA" w:eastAsia="zh-CN"/>
        </w:rPr>
        <w:t>性</w:t>
      </w:r>
      <w:r w:rsidRPr="00153DC7">
        <w:rPr>
          <w:rFonts w:hint="eastAsia"/>
          <w:lang w:val="en-CA" w:eastAsia="zh-CN"/>
        </w:rPr>
        <w:t>，特别是那些要求对国际电联的财务法规（《财务规则和财务细则》）以及《人事规则和人事细则》做出审议和</w:t>
      </w:r>
      <w:r>
        <w:rPr>
          <w:rFonts w:hint="eastAsia"/>
          <w:lang w:val="en-CA" w:eastAsia="zh-CN"/>
        </w:rPr>
        <w:t>进行</w:t>
      </w:r>
      <w:r w:rsidRPr="00153DC7">
        <w:rPr>
          <w:rFonts w:hint="eastAsia"/>
          <w:lang w:val="en-CA" w:eastAsia="zh-CN"/>
        </w:rPr>
        <w:t>可能修</w:t>
      </w:r>
      <w:r>
        <w:rPr>
          <w:rFonts w:hint="eastAsia"/>
          <w:lang w:val="en-CA" w:eastAsia="zh-CN"/>
        </w:rPr>
        <w:t>订</w:t>
      </w:r>
      <w:r w:rsidRPr="00153DC7">
        <w:rPr>
          <w:rFonts w:hint="eastAsia"/>
          <w:lang w:val="en-CA" w:eastAsia="zh-CN"/>
        </w:rPr>
        <w:t>的问题，</w:t>
      </w:r>
    </w:p>
    <w:p w14:paraId="4827B5C3" w14:textId="77777777" w:rsidR="005F47C1" w:rsidRPr="00153DC7" w:rsidRDefault="005F47C1" w:rsidP="005F47C1">
      <w:pPr>
        <w:pStyle w:val="Call"/>
        <w:rPr>
          <w:rFonts w:eastAsia="Calibri" w:cs="Calibri"/>
          <w:lang w:val="en-CA" w:eastAsia="zh-CN"/>
        </w:rPr>
      </w:pPr>
      <w:r w:rsidRPr="00153DC7">
        <w:rPr>
          <w:rFonts w:hint="eastAsia"/>
          <w:lang w:val="en-CA" w:eastAsia="zh-CN"/>
        </w:rPr>
        <w:t>做出决定</w:t>
      </w:r>
    </w:p>
    <w:p w14:paraId="4827B5C4" w14:textId="77777777" w:rsidR="005F47C1" w:rsidRDefault="005F47C1" w:rsidP="005F47C1">
      <w:pPr>
        <w:rPr>
          <w:lang w:val="en-US" w:eastAsia="zh-CN"/>
        </w:rPr>
      </w:pPr>
      <w:r w:rsidRPr="007C1C38">
        <w:rPr>
          <w:szCs w:val="24"/>
          <w:lang w:eastAsia="zh-CN"/>
        </w:rPr>
        <w:t>1</w:t>
      </w:r>
      <w:r w:rsidRPr="007C1C38">
        <w:rPr>
          <w:szCs w:val="24"/>
          <w:lang w:eastAsia="zh-CN"/>
        </w:rPr>
        <w:tab/>
      </w:r>
      <w:r w:rsidRPr="007C1C38">
        <w:rPr>
          <w:lang w:val="en-US" w:eastAsia="zh-CN"/>
        </w:rPr>
        <w:t>批准本决定附件</w:t>
      </w:r>
      <w:r w:rsidRPr="007C1C38">
        <w:rPr>
          <w:lang w:val="en-US" w:eastAsia="zh-CN"/>
        </w:rPr>
        <w:t>1</w:t>
      </w:r>
      <w:r>
        <w:rPr>
          <w:rFonts w:hint="eastAsia"/>
          <w:lang w:val="en-US" w:eastAsia="zh-CN"/>
        </w:rPr>
        <w:t>中</w:t>
      </w:r>
      <w:r w:rsidRPr="007C1C38">
        <w:rPr>
          <w:lang w:val="en-US" w:eastAsia="zh-CN"/>
        </w:rPr>
        <w:t>概述的经修订的职责范围；</w:t>
      </w:r>
    </w:p>
    <w:p w14:paraId="4827B5C5" w14:textId="77777777" w:rsidR="005F47C1" w:rsidRDefault="005F47C1" w:rsidP="005F47C1">
      <w:pPr>
        <w:rPr>
          <w:rFonts w:eastAsiaTheme="minorEastAsia" w:cs="Calibri"/>
          <w:szCs w:val="24"/>
          <w:lang w:val="en-CA" w:eastAsia="zh-CN"/>
        </w:rPr>
      </w:pPr>
      <w:r>
        <w:rPr>
          <w:rFonts w:cstheme="minorHAnsi"/>
          <w:szCs w:val="24"/>
          <w:lang w:eastAsia="zh-CN"/>
        </w:rPr>
        <w:t>2</w:t>
      </w:r>
      <w:r w:rsidRPr="000C08B8">
        <w:rPr>
          <w:rFonts w:cstheme="minorHAnsi"/>
          <w:szCs w:val="24"/>
          <w:lang w:eastAsia="zh-CN"/>
        </w:rPr>
        <w:tab/>
      </w:r>
      <w:r>
        <w:rPr>
          <w:rFonts w:eastAsia="Calibri" w:cs="Calibri"/>
          <w:szCs w:val="24"/>
          <w:lang w:val="en-CA" w:eastAsia="zh-CN"/>
        </w:rPr>
        <w:t>理事会财务和人力资源工作组（</w:t>
      </w:r>
      <w:r w:rsidRPr="005C1D62">
        <w:rPr>
          <w:rFonts w:eastAsia="Calibri" w:cs="Calibri"/>
          <w:szCs w:val="24"/>
          <w:lang w:val="en-CA" w:eastAsia="zh-CN"/>
        </w:rPr>
        <w:t>CWG-FHR</w:t>
      </w:r>
      <w:r>
        <w:rPr>
          <w:rFonts w:eastAsia="Calibri" w:cs="Calibri"/>
          <w:szCs w:val="24"/>
          <w:lang w:val="en-CA" w:eastAsia="zh-CN"/>
        </w:rPr>
        <w:t>）应</w:t>
      </w:r>
      <w:r w:rsidRPr="00F66BDC">
        <w:rPr>
          <w:rFonts w:asciiTheme="minorEastAsia" w:eastAsiaTheme="minorEastAsia" w:hAnsiTheme="minorEastAsia" w:cs="Microsoft YaHei" w:hint="eastAsia"/>
          <w:szCs w:val="24"/>
          <w:lang w:val="en-CA" w:eastAsia="zh-CN"/>
        </w:rPr>
        <w:t>审议</w:t>
      </w:r>
      <w:r>
        <w:rPr>
          <w:rFonts w:eastAsia="Calibri" w:cs="Calibri"/>
          <w:szCs w:val="24"/>
          <w:lang w:val="en-CA" w:eastAsia="zh-CN"/>
        </w:rPr>
        <w:t>下述问题并向理事会提交相关建议：</w:t>
      </w:r>
    </w:p>
    <w:p w14:paraId="4827B5C6" w14:textId="77777777" w:rsidR="005F47C1" w:rsidRDefault="005F47C1" w:rsidP="005F47C1">
      <w:pPr>
        <w:pStyle w:val="enumlev1"/>
        <w:rPr>
          <w:lang w:val="en-CA" w:eastAsia="zh-CN"/>
        </w:rPr>
      </w:pPr>
      <w:r w:rsidRPr="00F66BDC">
        <w:rPr>
          <w:lang w:val="en-CA" w:eastAsia="zh-CN"/>
        </w:rPr>
        <w:t>a)</w:t>
      </w:r>
      <w:r>
        <w:rPr>
          <w:lang w:val="en-CA" w:eastAsia="zh-CN"/>
        </w:rPr>
        <w:tab/>
      </w:r>
      <w:r>
        <w:rPr>
          <w:lang w:val="en-CA" w:eastAsia="zh-CN"/>
        </w:rPr>
        <w:t>国际电联战略规划的落实、国际电联的收支情况、财务</w:t>
      </w:r>
      <w:r>
        <w:rPr>
          <w:rFonts w:hint="eastAsia"/>
          <w:lang w:val="en-CA" w:eastAsia="zh-CN"/>
        </w:rPr>
        <w:t>规划</w:t>
      </w:r>
      <w:r>
        <w:rPr>
          <w:lang w:val="en-CA" w:eastAsia="zh-CN"/>
        </w:rPr>
        <w:t>和运作规划；</w:t>
      </w:r>
    </w:p>
    <w:p w14:paraId="4827B5C7" w14:textId="77777777" w:rsidR="005F47C1" w:rsidRDefault="005F47C1" w:rsidP="005F47C1">
      <w:pPr>
        <w:pStyle w:val="enumlev1"/>
        <w:rPr>
          <w:rFonts w:ascii="SimSun" w:hAnsi="SimSun" w:cs="Microsoft YaHei"/>
          <w:szCs w:val="24"/>
          <w:lang w:val="en-CA" w:eastAsia="zh-CN"/>
        </w:rPr>
      </w:pPr>
      <w:r w:rsidRPr="00F66BDC">
        <w:rPr>
          <w:rFonts w:eastAsia="Calibri" w:cs="Calibri"/>
          <w:szCs w:val="24"/>
          <w:lang w:val="en-CA" w:eastAsia="zh-CN"/>
        </w:rPr>
        <w:t>b)</w:t>
      </w:r>
      <w:r>
        <w:rPr>
          <w:rFonts w:eastAsia="Calibri" w:cs="Calibri"/>
          <w:szCs w:val="24"/>
          <w:lang w:val="en-CA" w:eastAsia="zh-CN"/>
        </w:rPr>
        <w:tab/>
      </w:r>
      <w:r w:rsidRPr="00133DE8">
        <w:rPr>
          <w:rFonts w:ascii="SimSun" w:hAnsi="SimSun" w:cs="Microsoft YaHei" w:hint="eastAsia"/>
          <w:szCs w:val="24"/>
          <w:lang w:val="en-CA" w:eastAsia="zh-CN"/>
        </w:rPr>
        <w:t>人力资源</w:t>
      </w:r>
      <w:r>
        <w:rPr>
          <w:rFonts w:ascii="SimSun" w:hAnsi="SimSun" w:cs="Microsoft YaHei" w:hint="eastAsia"/>
          <w:szCs w:val="24"/>
          <w:lang w:val="en-CA" w:eastAsia="zh-CN"/>
        </w:rPr>
        <w:t>的管理与开发，</w:t>
      </w:r>
    </w:p>
    <w:p w14:paraId="4827B5C8" w14:textId="77777777" w:rsidR="005F47C1" w:rsidRDefault="005F47C1" w:rsidP="005F47C1">
      <w:pPr>
        <w:rPr>
          <w:lang w:eastAsia="zh-CN"/>
        </w:rPr>
      </w:pPr>
      <w:r w:rsidRPr="000C08B8">
        <w:rPr>
          <w:lang w:eastAsia="zh-CN"/>
        </w:rPr>
        <w:t>3</w:t>
      </w:r>
      <w:r w:rsidRPr="000C08B8">
        <w:rPr>
          <w:lang w:eastAsia="zh-CN"/>
        </w:rPr>
        <w:tab/>
      </w:r>
      <w:r w:rsidRPr="000C08B8">
        <w:rPr>
          <w:lang w:eastAsia="zh-CN"/>
        </w:rPr>
        <w:t>理事会财务和人力资源工作组每年就其开展的活动向理事会做出报告。</w:t>
      </w:r>
    </w:p>
    <w:p w14:paraId="4827B5C9" w14:textId="77777777" w:rsidR="005F47C1" w:rsidRDefault="005F47C1" w:rsidP="005F47C1">
      <w:pPr>
        <w:spacing w:before="600"/>
        <w:rPr>
          <w:rFonts w:cstheme="minorHAnsi"/>
          <w:szCs w:val="24"/>
          <w:lang w:eastAsia="zh-CN"/>
        </w:rPr>
      </w:pPr>
      <w:r w:rsidRPr="00AC1E82">
        <w:rPr>
          <w:rFonts w:cstheme="minorHAnsi" w:hint="eastAsia"/>
          <w:b/>
          <w:bCs/>
          <w:szCs w:val="24"/>
          <w:lang w:eastAsia="zh-CN"/>
        </w:rPr>
        <w:t>附件</w:t>
      </w:r>
      <w:r w:rsidRPr="00AC1E82">
        <w:rPr>
          <w:rFonts w:cstheme="minorHAnsi"/>
          <w:b/>
          <w:bCs/>
          <w:szCs w:val="24"/>
          <w:lang w:eastAsia="zh-CN"/>
        </w:rPr>
        <w:t>：</w:t>
      </w:r>
      <w:r>
        <w:rPr>
          <w:rFonts w:cstheme="minorHAnsi"/>
          <w:szCs w:val="24"/>
          <w:lang w:eastAsia="zh-CN"/>
        </w:rPr>
        <w:t>1</w:t>
      </w:r>
      <w:r>
        <w:rPr>
          <w:rFonts w:cstheme="minorHAnsi" w:hint="eastAsia"/>
          <w:szCs w:val="24"/>
          <w:lang w:eastAsia="zh-CN"/>
        </w:rPr>
        <w:t>件</w:t>
      </w:r>
    </w:p>
    <w:p w14:paraId="4827B5CA" w14:textId="77777777" w:rsidR="005F47C1" w:rsidRPr="000C08B8" w:rsidRDefault="005F47C1" w:rsidP="005F47C1">
      <w:pPr>
        <w:pStyle w:val="AnnexNo"/>
        <w:rPr>
          <w:lang w:eastAsia="zh-CN"/>
        </w:rPr>
      </w:pPr>
      <w:bookmarkStart w:id="1887" w:name="_Toc531707019"/>
      <w:r w:rsidRPr="00617DF2">
        <w:rPr>
          <w:lang w:eastAsia="zh-CN"/>
        </w:rPr>
        <w:t>附件</w:t>
      </w:r>
      <w:bookmarkEnd w:id="1887"/>
    </w:p>
    <w:p w14:paraId="4827B5CB" w14:textId="77777777" w:rsidR="005F47C1" w:rsidRPr="004E5A67" w:rsidRDefault="005F47C1" w:rsidP="005F47C1">
      <w:pPr>
        <w:pStyle w:val="Annextitle"/>
        <w:rPr>
          <w:rFonts w:cstheme="minorHAnsi"/>
          <w:lang w:eastAsia="zh-CN"/>
        </w:rPr>
      </w:pPr>
      <w:r w:rsidRPr="004E5A67">
        <w:rPr>
          <w:rFonts w:cstheme="minorHAnsi"/>
          <w:lang w:eastAsia="zh-CN"/>
        </w:rPr>
        <w:t>理事会财务和人力资源工作组</w:t>
      </w:r>
      <w:r w:rsidRPr="004E5A67">
        <w:rPr>
          <w:rFonts w:cstheme="minorHAnsi"/>
          <w:lang w:val="en-CA" w:eastAsia="zh-CN"/>
        </w:rPr>
        <w:t>（</w:t>
      </w:r>
      <w:r w:rsidRPr="004E5A67">
        <w:rPr>
          <w:rFonts w:cstheme="minorHAnsi"/>
          <w:lang w:val="en-CA" w:eastAsia="zh-CN"/>
        </w:rPr>
        <w:t>CWG-FHR</w:t>
      </w:r>
      <w:r w:rsidRPr="004E5A67">
        <w:rPr>
          <w:rFonts w:cstheme="minorHAnsi"/>
          <w:lang w:val="en-CA" w:eastAsia="zh-CN"/>
        </w:rPr>
        <w:t>）</w:t>
      </w:r>
    </w:p>
    <w:p w14:paraId="4827B5CC" w14:textId="77777777" w:rsidR="005F47C1" w:rsidRPr="00497E22" w:rsidRDefault="005F47C1" w:rsidP="00FD2ABF">
      <w:pPr>
        <w:pStyle w:val="Annextitle"/>
        <w:rPr>
          <w:lang w:eastAsia="zh-CN"/>
        </w:rPr>
      </w:pPr>
      <w:r w:rsidRPr="00497E22">
        <w:rPr>
          <w:lang w:eastAsia="zh-CN"/>
        </w:rPr>
        <w:t>职责范围</w:t>
      </w:r>
    </w:p>
    <w:p w14:paraId="4827B5CD" w14:textId="77777777" w:rsidR="005F47C1" w:rsidRDefault="005F47C1" w:rsidP="005F47C1">
      <w:pPr>
        <w:ind w:firstLineChars="200" w:firstLine="480"/>
        <w:rPr>
          <w:lang w:eastAsia="zh-CN"/>
        </w:rPr>
      </w:pPr>
      <w:r>
        <w:rPr>
          <w:rFonts w:hint="eastAsia"/>
          <w:lang w:eastAsia="zh-CN"/>
        </w:rPr>
        <w:t>向所有成员国和部门成员开放的</w:t>
      </w:r>
      <w:r w:rsidRPr="000C08B8">
        <w:rPr>
          <w:lang w:eastAsia="zh-CN"/>
        </w:rPr>
        <w:t>理事会财务和人力资源工作组</w:t>
      </w:r>
      <w:r>
        <w:rPr>
          <w:rFonts w:hint="eastAsia"/>
          <w:lang w:eastAsia="zh-CN"/>
        </w:rPr>
        <w:t>的职责范围如下：</w:t>
      </w:r>
    </w:p>
    <w:p w14:paraId="4827B5CE" w14:textId="77777777" w:rsidR="005F47C1" w:rsidRDefault="005F47C1" w:rsidP="005F47C1">
      <w:pPr>
        <w:rPr>
          <w:lang w:eastAsia="zh-CN"/>
        </w:rPr>
      </w:pPr>
      <w:r>
        <w:rPr>
          <w:lang w:eastAsia="zh-CN"/>
        </w:rPr>
        <w:t>1</w:t>
      </w:r>
      <w:r w:rsidRPr="000C08B8">
        <w:rPr>
          <w:lang w:eastAsia="zh-CN"/>
        </w:rPr>
        <w:tab/>
      </w:r>
      <w:r>
        <w:rPr>
          <w:rFonts w:hint="eastAsia"/>
          <w:lang w:eastAsia="zh-CN"/>
        </w:rPr>
        <w:t>考虑并制定提交理事会审议的提案，以便确保：</w:t>
      </w:r>
    </w:p>
    <w:p w14:paraId="4827B5CF" w14:textId="77777777" w:rsidR="005F47C1" w:rsidRDefault="005F47C1" w:rsidP="005F47C1">
      <w:pPr>
        <w:pStyle w:val="enumlev1"/>
        <w:rPr>
          <w:lang w:eastAsia="zh-CN"/>
        </w:rPr>
      </w:pPr>
      <w:r w:rsidRPr="00CF1A10">
        <w:rPr>
          <w:rFonts w:eastAsia="Calibri" w:cs="Calibri"/>
          <w:szCs w:val="24"/>
          <w:lang w:val="en-CA" w:eastAsia="zh-CN"/>
        </w:rPr>
        <w:t>i)</w:t>
      </w:r>
      <w:r w:rsidRPr="00CF1A10">
        <w:rPr>
          <w:rFonts w:eastAsia="Calibri" w:cs="Calibri"/>
          <w:szCs w:val="24"/>
          <w:lang w:val="en-CA" w:eastAsia="zh-CN"/>
        </w:rPr>
        <w:tab/>
      </w:r>
      <w:r w:rsidRPr="005D7685">
        <w:rPr>
          <w:lang w:eastAsia="zh-CN"/>
        </w:rPr>
        <w:t>基于结果的预算制定和管理继续得到全面落实和</w:t>
      </w:r>
      <w:r>
        <w:rPr>
          <w:rFonts w:hint="eastAsia"/>
          <w:lang w:eastAsia="zh-CN"/>
        </w:rPr>
        <w:t>进一步完善</w:t>
      </w:r>
      <w:r w:rsidRPr="005D7685">
        <w:rPr>
          <w:lang w:eastAsia="zh-CN"/>
        </w:rPr>
        <w:t>，</w:t>
      </w:r>
      <w:r>
        <w:rPr>
          <w:rFonts w:hint="eastAsia"/>
          <w:lang w:eastAsia="zh-CN"/>
        </w:rPr>
        <w:t>其中</w:t>
      </w:r>
      <w:r w:rsidRPr="005D7685">
        <w:rPr>
          <w:lang w:eastAsia="zh-CN"/>
        </w:rPr>
        <w:t>包括对相互关联的战略规划、财务规划和运作规划以及双年度预算进行</w:t>
      </w:r>
      <w:r>
        <w:rPr>
          <w:rFonts w:hint="eastAsia"/>
          <w:lang w:eastAsia="zh-CN"/>
        </w:rPr>
        <w:t>持续</w:t>
      </w:r>
      <w:r w:rsidRPr="005D7685">
        <w:rPr>
          <w:lang w:eastAsia="zh-CN"/>
        </w:rPr>
        <w:t>的评估；</w:t>
      </w:r>
    </w:p>
    <w:p w14:paraId="4827B5D0" w14:textId="77777777" w:rsidR="005F47C1" w:rsidRPr="000C08B8" w:rsidRDefault="005F47C1" w:rsidP="005F47C1">
      <w:pPr>
        <w:pStyle w:val="enumlev1"/>
        <w:rPr>
          <w:lang w:eastAsia="zh-CN"/>
        </w:rPr>
      </w:pPr>
      <w:r w:rsidRPr="000C08B8">
        <w:rPr>
          <w:lang w:eastAsia="zh-CN"/>
        </w:rPr>
        <w:t>ii)</w:t>
      </w:r>
      <w:r w:rsidRPr="000C08B8">
        <w:rPr>
          <w:lang w:eastAsia="zh-CN"/>
        </w:rPr>
        <w:tab/>
      </w:r>
      <w:r w:rsidRPr="000C08B8">
        <w:rPr>
          <w:lang w:eastAsia="zh-CN"/>
        </w:rPr>
        <w:t>对国际电联管理体制的持续</w:t>
      </w:r>
      <w:r>
        <w:rPr>
          <w:rFonts w:hint="eastAsia"/>
          <w:lang w:eastAsia="zh-CN"/>
        </w:rPr>
        <w:t>强化必然反映</w:t>
      </w:r>
      <w:r w:rsidRPr="000C08B8">
        <w:rPr>
          <w:lang w:eastAsia="zh-CN"/>
        </w:rPr>
        <w:t>到对财务法规的不断修</w:t>
      </w:r>
      <w:r>
        <w:rPr>
          <w:rFonts w:hint="eastAsia"/>
          <w:lang w:eastAsia="zh-CN"/>
        </w:rPr>
        <w:t>改</w:t>
      </w:r>
      <w:r w:rsidRPr="000C08B8">
        <w:rPr>
          <w:lang w:eastAsia="zh-CN"/>
        </w:rPr>
        <w:t>；</w:t>
      </w:r>
    </w:p>
    <w:p w14:paraId="4827B5D1" w14:textId="77777777" w:rsidR="005F47C1" w:rsidRDefault="005F47C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5D2" w14:textId="77777777" w:rsidR="005F47C1" w:rsidRPr="000C08B8" w:rsidRDefault="005F47C1" w:rsidP="005F47C1">
      <w:pPr>
        <w:pStyle w:val="enumlev1"/>
        <w:rPr>
          <w:lang w:eastAsia="zh-CN"/>
        </w:rPr>
      </w:pPr>
      <w:r w:rsidRPr="000C08B8">
        <w:rPr>
          <w:lang w:eastAsia="zh-CN"/>
        </w:rPr>
        <w:lastRenderedPageBreak/>
        <w:t>iii)</w:t>
      </w:r>
      <w:r w:rsidRPr="000C08B8">
        <w:rPr>
          <w:lang w:eastAsia="zh-CN"/>
        </w:rPr>
        <w:tab/>
      </w:r>
      <w:r w:rsidRPr="000C08B8">
        <w:rPr>
          <w:lang w:eastAsia="zh-CN"/>
        </w:rPr>
        <w:t>对照《国际公共部门会计准则》（</w:t>
      </w:r>
      <w:r w:rsidRPr="000C08B8">
        <w:rPr>
          <w:lang w:eastAsia="zh-CN"/>
        </w:rPr>
        <w:t>IPSAS</w:t>
      </w:r>
      <w:r w:rsidRPr="000C08B8">
        <w:rPr>
          <w:lang w:eastAsia="zh-CN"/>
        </w:rPr>
        <w:t>）的要求和术语进行统一</w:t>
      </w:r>
      <w:r>
        <w:rPr>
          <w:rFonts w:hint="eastAsia"/>
          <w:lang w:eastAsia="zh-CN"/>
        </w:rPr>
        <w:t>工作</w:t>
      </w:r>
      <w:r>
        <w:rPr>
          <w:lang w:eastAsia="zh-CN"/>
        </w:rPr>
        <w:t>，</w:t>
      </w:r>
      <w:r>
        <w:rPr>
          <w:rFonts w:hint="eastAsia"/>
          <w:lang w:eastAsia="zh-CN"/>
        </w:rPr>
        <w:t>以便</w:t>
      </w:r>
      <w:r w:rsidRPr="000C08B8">
        <w:rPr>
          <w:lang w:eastAsia="zh-CN"/>
        </w:rPr>
        <w:t>澄清净资产和储备金账目</w:t>
      </w:r>
      <w:r>
        <w:rPr>
          <w:rFonts w:hint="eastAsia"/>
          <w:lang w:eastAsia="zh-CN"/>
        </w:rPr>
        <w:t>之类的</w:t>
      </w:r>
      <w:r w:rsidRPr="000C08B8">
        <w:rPr>
          <w:lang w:eastAsia="zh-CN"/>
        </w:rPr>
        <w:t>概念；</w:t>
      </w:r>
    </w:p>
    <w:p w14:paraId="4827B5D3" w14:textId="77777777" w:rsidR="005F47C1" w:rsidRPr="000C08B8" w:rsidRDefault="005F47C1" w:rsidP="005F47C1">
      <w:pPr>
        <w:pStyle w:val="enumlev1"/>
        <w:rPr>
          <w:lang w:eastAsia="zh-CN"/>
        </w:rPr>
      </w:pPr>
      <w:r w:rsidRPr="000C08B8">
        <w:rPr>
          <w:lang w:eastAsia="zh-CN"/>
        </w:rPr>
        <w:t>iv)</w:t>
      </w:r>
      <w:r w:rsidRPr="000C08B8">
        <w:rPr>
          <w:lang w:eastAsia="zh-CN"/>
        </w:rPr>
        <w:tab/>
      </w:r>
      <w:r>
        <w:rPr>
          <w:rFonts w:hint="eastAsia"/>
          <w:lang w:eastAsia="zh-CN"/>
        </w:rPr>
        <w:t>考虑到</w:t>
      </w:r>
      <w:r w:rsidRPr="000C08B8">
        <w:rPr>
          <w:lang w:eastAsia="zh-CN"/>
        </w:rPr>
        <w:t>影响国际电联财务和人力资源管理的联合国联检组</w:t>
      </w:r>
      <w:r>
        <w:rPr>
          <w:lang w:eastAsia="zh-CN"/>
        </w:rPr>
        <w:t>、</w:t>
      </w:r>
      <w:r>
        <w:rPr>
          <w:rFonts w:hint="eastAsia"/>
          <w:lang w:eastAsia="zh-CN"/>
        </w:rPr>
        <w:t>外部审计员和独立管理顾问委员会（</w:t>
      </w:r>
      <w:r>
        <w:rPr>
          <w:rFonts w:hint="eastAsia"/>
          <w:lang w:eastAsia="zh-CN"/>
        </w:rPr>
        <w:t>IMAC</w:t>
      </w:r>
      <w:r>
        <w:rPr>
          <w:rFonts w:hint="eastAsia"/>
          <w:lang w:eastAsia="zh-CN"/>
        </w:rPr>
        <w:t>）的各项</w:t>
      </w:r>
      <w:r w:rsidRPr="000C08B8">
        <w:rPr>
          <w:lang w:eastAsia="zh-CN"/>
        </w:rPr>
        <w:t>相关建议；</w:t>
      </w:r>
    </w:p>
    <w:p w14:paraId="4827B5D4" w14:textId="77777777" w:rsidR="005F47C1" w:rsidRDefault="005F47C1" w:rsidP="005F47C1">
      <w:pPr>
        <w:pStyle w:val="enumlev1"/>
        <w:rPr>
          <w:spacing w:val="-4"/>
          <w:lang w:eastAsia="zh-CN"/>
        </w:rPr>
      </w:pPr>
      <w:r w:rsidRPr="000C08B8">
        <w:rPr>
          <w:lang w:eastAsia="zh-CN"/>
        </w:rPr>
        <w:t>v)</w:t>
      </w:r>
      <w:r w:rsidRPr="000C08B8">
        <w:rPr>
          <w:lang w:eastAsia="zh-CN"/>
        </w:rPr>
        <w:tab/>
      </w:r>
      <w:r>
        <w:rPr>
          <w:rFonts w:hint="eastAsia"/>
          <w:lang w:eastAsia="zh-CN"/>
        </w:rPr>
        <w:t>有关国际电联收支的</w:t>
      </w:r>
      <w:r w:rsidRPr="000C08B8">
        <w:rPr>
          <w:lang w:eastAsia="zh-CN"/>
        </w:rPr>
        <w:t>所有</w:t>
      </w:r>
      <w:r>
        <w:rPr>
          <w:rFonts w:hint="eastAsia"/>
          <w:lang w:eastAsia="zh-CN"/>
        </w:rPr>
        <w:t>全权代表大会的规定</w:t>
      </w:r>
      <w:r w:rsidRPr="00526D07">
        <w:rPr>
          <w:spacing w:val="-4"/>
          <w:lang w:eastAsia="zh-CN"/>
        </w:rPr>
        <w:t>均考虑在内，其中包括减支</w:t>
      </w:r>
      <w:r>
        <w:rPr>
          <w:rFonts w:hint="eastAsia"/>
          <w:spacing w:val="-4"/>
          <w:lang w:eastAsia="zh-CN"/>
        </w:rPr>
        <w:t>增效的各项</w:t>
      </w:r>
      <w:r w:rsidRPr="00526D07">
        <w:rPr>
          <w:spacing w:val="-4"/>
          <w:lang w:eastAsia="zh-CN"/>
        </w:rPr>
        <w:t>措施，将其作为实现平衡预算的手段；</w:t>
      </w:r>
    </w:p>
    <w:p w14:paraId="4827B5D5" w14:textId="77777777" w:rsidR="005F47C1" w:rsidRPr="003E1308" w:rsidRDefault="005F47C1" w:rsidP="005F47C1">
      <w:pPr>
        <w:pStyle w:val="enumlev1"/>
        <w:rPr>
          <w:rFonts w:eastAsia="Calibri"/>
          <w:highlight w:val="cyan"/>
          <w:lang w:val="en-CA" w:eastAsia="zh-CN"/>
        </w:rPr>
      </w:pPr>
      <w:r>
        <w:rPr>
          <w:rFonts w:eastAsia="Calibri"/>
          <w:lang w:val="en-CA" w:eastAsia="zh-CN"/>
        </w:rPr>
        <w:t>vi)</w:t>
      </w:r>
      <w:r>
        <w:rPr>
          <w:rFonts w:eastAsia="Calibri"/>
          <w:lang w:val="en-CA" w:eastAsia="zh-CN"/>
        </w:rPr>
        <w:tab/>
      </w:r>
      <w:r>
        <w:rPr>
          <w:rFonts w:hint="eastAsia"/>
          <w:lang w:val="en-CA" w:eastAsia="zh-CN"/>
        </w:rPr>
        <w:t>采取必要的财务和行政安排并做出决定，以促进有关以下列内容的全权代表大会决议的落实：</w:t>
      </w:r>
    </w:p>
    <w:p w14:paraId="4827B5D6" w14:textId="77777777" w:rsidR="005F47C1" w:rsidRPr="003E1308" w:rsidRDefault="005F47C1" w:rsidP="005F47C1">
      <w:pPr>
        <w:pStyle w:val="enumlev2"/>
        <w:rPr>
          <w:rFonts w:eastAsia="Calibri"/>
          <w:lang w:val="en-CA" w:eastAsia="zh-CN"/>
        </w:rPr>
      </w:pPr>
      <w:r w:rsidRPr="003E1308">
        <w:rPr>
          <w:rFonts w:eastAsia="Calibri"/>
          <w:lang w:val="en-CA" w:eastAsia="zh-CN"/>
        </w:rPr>
        <w:t>a)</w:t>
      </w:r>
      <w:r>
        <w:rPr>
          <w:rFonts w:eastAsia="Calibri"/>
          <w:lang w:val="en-CA" w:eastAsia="zh-CN"/>
        </w:rPr>
        <w:tab/>
      </w:r>
      <w:r>
        <w:rPr>
          <w:rFonts w:hint="eastAsia"/>
          <w:lang w:val="en-CA" w:eastAsia="zh-CN"/>
        </w:rPr>
        <w:t>加强区域代表性；</w:t>
      </w:r>
    </w:p>
    <w:p w14:paraId="4827B5D7" w14:textId="77777777" w:rsidR="005F47C1" w:rsidRPr="003E1308" w:rsidRDefault="005F47C1" w:rsidP="005F47C1">
      <w:pPr>
        <w:pStyle w:val="enumlev2"/>
        <w:rPr>
          <w:rFonts w:eastAsia="Calibri"/>
          <w:lang w:val="en-CA" w:eastAsia="zh-CN"/>
        </w:rPr>
      </w:pPr>
      <w:r w:rsidRPr="003E1308">
        <w:rPr>
          <w:rFonts w:eastAsia="Calibri"/>
          <w:lang w:val="en-CA" w:eastAsia="zh-CN"/>
        </w:rPr>
        <w:t>b)</w:t>
      </w:r>
      <w:r>
        <w:rPr>
          <w:rFonts w:eastAsia="Calibri"/>
          <w:lang w:val="en-CA" w:eastAsia="zh-CN"/>
        </w:rPr>
        <w:tab/>
      </w:r>
      <w:r>
        <w:rPr>
          <w:rFonts w:hint="eastAsia"/>
          <w:lang w:val="en-CA" w:eastAsia="zh-CN"/>
        </w:rPr>
        <w:t>国际电联未来的总部办公场所；</w:t>
      </w:r>
    </w:p>
    <w:p w14:paraId="4827B5D8" w14:textId="77777777" w:rsidR="005F47C1" w:rsidRDefault="005F47C1" w:rsidP="005F47C1">
      <w:pPr>
        <w:pStyle w:val="enumlev2"/>
        <w:rPr>
          <w:lang w:val="en-CA" w:eastAsia="zh-CN"/>
        </w:rPr>
      </w:pPr>
      <w:r w:rsidRPr="003E1308">
        <w:rPr>
          <w:rFonts w:eastAsia="Calibri" w:cstheme="minorHAnsi"/>
          <w:lang w:val="en-CA" w:eastAsia="zh-CN"/>
        </w:rPr>
        <w:t>c)</w:t>
      </w:r>
      <w:r>
        <w:rPr>
          <w:rFonts w:eastAsia="Calibri"/>
          <w:lang w:val="en-CA" w:eastAsia="zh-CN"/>
        </w:rPr>
        <w:tab/>
      </w:r>
      <w:r>
        <w:rPr>
          <w:rFonts w:hint="eastAsia"/>
          <w:lang w:val="en-CA" w:eastAsia="zh-CN"/>
        </w:rPr>
        <w:t>加强项目执行和项目监督职能；</w:t>
      </w:r>
    </w:p>
    <w:p w14:paraId="4827B5D9" w14:textId="77777777" w:rsidR="005F47C1" w:rsidRPr="003E1308" w:rsidRDefault="005F47C1" w:rsidP="005F47C1">
      <w:pPr>
        <w:rPr>
          <w:rFonts w:eastAsia="Calibri"/>
          <w:lang w:val="en-CA" w:eastAsia="zh-CN"/>
        </w:rPr>
      </w:pPr>
      <w:r w:rsidRPr="003E1308">
        <w:rPr>
          <w:rFonts w:eastAsia="Calibri"/>
          <w:lang w:val="en-CA" w:eastAsia="zh-CN"/>
        </w:rPr>
        <w:t>2</w:t>
      </w:r>
      <w:r w:rsidRPr="003E1308">
        <w:rPr>
          <w:rFonts w:eastAsia="Calibri"/>
          <w:lang w:val="en-CA" w:eastAsia="zh-CN"/>
        </w:rPr>
        <w:tab/>
      </w:r>
      <w:r w:rsidRPr="005D7685">
        <w:rPr>
          <w:lang w:val="en-CA" w:eastAsia="zh-CN"/>
        </w:rPr>
        <w:t>每年对基于结果的管理</w:t>
      </w:r>
      <w:r>
        <w:rPr>
          <w:rFonts w:hint="eastAsia"/>
          <w:lang w:val="en-CA" w:eastAsia="zh-CN"/>
        </w:rPr>
        <w:t>的落实进行评估</w:t>
      </w:r>
      <w:r w:rsidRPr="005D7685">
        <w:rPr>
          <w:lang w:val="en-CA" w:eastAsia="zh-CN"/>
        </w:rPr>
        <w:t>，</w:t>
      </w:r>
      <w:r>
        <w:rPr>
          <w:rFonts w:hint="eastAsia"/>
          <w:lang w:val="en-CA" w:eastAsia="zh-CN"/>
        </w:rPr>
        <w:t>其中</w:t>
      </w:r>
      <w:r w:rsidRPr="005D7685">
        <w:rPr>
          <w:lang w:val="en-CA" w:eastAsia="zh-CN"/>
        </w:rPr>
        <w:t>包括国际电联各项活动和举措的</w:t>
      </w:r>
      <w:r>
        <w:rPr>
          <w:rFonts w:hint="eastAsia"/>
          <w:lang w:val="en-CA" w:eastAsia="zh-CN"/>
        </w:rPr>
        <w:t>优先顺序</w:t>
      </w:r>
      <w:r w:rsidRPr="005D7685">
        <w:rPr>
          <w:lang w:val="en-CA" w:eastAsia="zh-CN"/>
        </w:rPr>
        <w:t>，</w:t>
      </w:r>
      <w:r>
        <w:rPr>
          <w:rFonts w:hint="eastAsia"/>
          <w:lang w:val="en-CA" w:eastAsia="zh-CN"/>
        </w:rPr>
        <w:t>同时顾及国际电联战略规划所确定的</w:t>
      </w:r>
      <w:r w:rsidRPr="005D7685">
        <w:rPr>
          <w:lang w:val="en-CA" w:eastAsia="zh-CN"/>
        </w:rPr>
        <w:t>具体标准；</w:t>
      </w:r>
    </w:p>
    <w:p w14:paraId="4827B5DA" w14:textId="77777777" w:rsidR="005F47C1" w:rsidRPr="003E1308" w:rsidRDefault="005F47C1" w:rsidP="005F47C1">
      <w:pPr>
        <w:rPr>
          <w:rFonts w:eastAsia="Calibri"/>
          <w:highlight w:val="cyan"/>
          <w:lang w:val="en-CA" w:eastAsia="zh-CN"/>
        </w:rPr>
      </w:pPr>
      <w:r w:rsidRPr="003E1308">
        <w:rPr>
          <w:rFonts w:eastAsia="Calibri"/>
          <w:lang w:val="en-CA" w:eastAsia="zh-CN"/>
        </w:rPr>
        <w:t>3</w:t>
      </w:r>
      <w:r w:rsidRPr="003E1308">
        <w:rPr>
          <w:rFonts w:eastAsia="Calibri"/>
          <w:lang w:val="en-CA" w:eastAsia="zh-CN"/>
        </w:rPr>
        <w:tab/>
      </w:r>
      <w:r>
        <w:rPr>
          <w:rFonts w:hint="eastAsia"/>
          <w:lang w:val="en-CA" w:eastAsia="zh-CN"/>
        </w:rPr>
        <w:t>针对</w:t>
      </w:r>
      <w:r w:rsidRPr="005D7685">
        <w:rPr>
          <w:lang w:val="en-CA" w:eastAsia="zh-CN"/>
        </w:rPr>
        <w:t>预算外活动</w:t>
      </w:r>
      <w:r>
        <w:rPr>
          <w:rFonts w:hint="eastAsia"/>
          <w:lang w:val="en-CA" w:eastAsia="zh-CN"/>
        </w:rPr>
        <w:t>及</w:t>
      </w:r>
      <w:r w:rsidRPr="005D7685">
        <w:rPr>
          <w:lang w:val="en-CA" w:eastAsia="zh-CN"/>
        </w:rPr>
        <w:t>相关支出的年度报告</w:t>
      </w:r>
      <w:r>
        <w:rPr>
          <w:rFonts w:hint="eastAsia"/>
          <w:lang w:val="en-CA" w:eastAsia="zh-CN"/>
        </w:rPr>
        <w:t>开展审议并发表意见，并且</w:t>
      </w:r>
      <w:r w:rsidRPr="005D7685">
        <w:rPr>
          <w:lang w:val="en-CA" w:eastAsia="zh-CN"/>
        </w:rPr>
        <w:t>酌情提出建议</w:t>
      </w:r>
      <w:r>
        <w:rPr>
          <w:lang w:val="en-CA" w:eastAsia="zh-CN"/>
        </w:rPr>
        <w:t>，</w:t>
      </w:r>
      <w:r>
        <w:rPr>
          <w:rFonts w:hint="eastAsia"/>
          <w:lang w:val="en-CA" w:eastAsia="zh-CN"/>
        </w:rPr>
        <w:t>供理事会考虑</w:t>
      </w:r>
      <w:r w:rsidRPr="005D7685">
        <w:rPr>
          <w:lang w:val="en-CA" w:eastAsia="zh-CN"/>
        </w:rPr>
        <w:t>；</w:t>
      </w:r>
    </w:p>
    <w:p w14:paraId="4827B5DB" w14:textId="77777777" w:rsidR="005F47C1" w:rsidRPr="003E1308" w:rsidRDefault="005F47C1" w:rsidP="005F47C1">
      <w:pPr>
        <w:rPr>
          <w:rFonts w:eastAsia="Calibri"/>
          <w:lang w:val="en-CA" w:eastAsia="zh-CN"/>
        </w:rPr>
      </w:pPr>
      <w:r w:rsidRPr="003E1308">
        <w:rPr>
          <w:rFonts w:eastAsia="Calibri"/>
          <w:lang w:val="en-CA" w:eastAsia="zh-CN"/>
        </w:rPr>
        <w:t>4</w:t>
      </w:r>
      <w:r w:rsidRPr="003E1308">
        <w:rPr>
          <w:rFonts w:eastAsia="Calibri"/>
          <w:lang w:val="en-CA" w:eastAsia="zh-CN"/>
        </w:rPr>
        <w:tab/>
      </w:r>
      <w:r w:rsidRPr="005D7685">
        <w:rPr>
          <w:lang w:val="en-CA" w:eastAsia="zh-CN"/>
        </w:rPr>
        <w:t>审议国际电联三个部门</w:t>
      </w:r>
      <w:r>
        <w:rPr>
          <w:rFonts w:hint="eastAsia"/>
          <w:lang w:val="en-CA" w:eastAsia="zh-CN"/>
        </w:rPr>
        <w:t>与</w:t>
      </w:r>
      <w:r w:rsidRPr="005D7685">
        <w:rPr>
          <w:lang w:val="en-CA" w:eastAsia="zh-CN"/>
        </w:rPr>
        <w:t>总秘书处的工作协调相关问题，以便跟进</w:t>
      </w:r>
      <w:r>
        <w:rPr>
          <w:rFonts w:hint="eastAsia"/>
          <w:lang w:val="en-CA" w:eastAsia="zh-CN"/>
        </w:rPr>
        <w:t>发展</w:t>
      </w:r>
      <w:r>
        <w:rPr>
          <w:lang w:val="en-CA" w:eastAsia="zh-CN"/>
        </w:rPr>
        <w:t>情况</w:t>
      </w:r>
      <w:r>
        <w:rPr>
          <w:rFonts w:hint="eastAsia"/>
          <w:lang w:val="en-CA" w:eastAsia="zh-CN"/>
        </w:rPr>
        <w:t>并且向</w:t>
      </w:r>
      <w:r w:rsidRPr="005D7685">
        <w:rPr>
          <w:lang w:val="en-CA" w:eastAsia="zh-CN"/>
        </w:rPr>
        <w:t>理事会</w:t>
      </w:r>
      <w:r>
        <w:rPr>
          <w:rFonts w:hint="eastAsia"/>
          <w:lang w:val="en-CA" w:eastAsia="zh-CN"/>
        </w:rPr>
        <w:t>建议可以</w:t>
      </w:r>
      <w:r w:rsidRPr="005D7685">
        <w:rPr>
          <w:lang w:val="en-CA" w:eastAsia="zh-CN"/>
        </w:rPr>
        <w:t>确保落实的决定；</w:t>
      </w:r>
    </w:p>
    <w:p w14:paraId="4827B5DC" w14:textId="77777777" w:rsidR="005F47C1" w:rsidRPr="003E1308" w:rsidRDefault="005F47C1" w:rsidP="005F47C1">
      <w:pPr>
        <w:rPr>
          <w:rFonts w:eastAsia="Calibri"/>
          <w:lang w:val="en-CA" w:eastAsia="zh-CN"/>
        </w:rPr>
      </w:pPr>
      <w:r w:rsidRPr="003E1308">
        <w:rPr>
          <w:rFonts w:eastAsia="Calibri"/>
          <w:lang w:val="en-CA" w:eastAsia="zh-CN"/>
        </w:rPr>
        <w:t>5</w:t>
      </w:r>
      <w:r w:rsidRPr="003E1308">
        <w:rPr>
          <w:rFonts w:eastAsia="Calibri"/>
          <w:lang w:val="en-CA" w:eastAsia="zh-CN"/>
        </w:rPr>
        <w:tab/>
      </w:r>
      <w:r>
        <w:rPr>
          <w:rFonts w:hint="eastAsia"/>
          <w:lang w:val="en-CA" w:eastAsia="zh-CN"/>
        </w:rPr>
        <w:t>支持全权代表大会关于国际电联电信展会活动的决议的落实；</w:t>
      </w:r>
    </w:p>
    <w:p w14:paraId="4827B5DD" w14:textId="77777777" w:rsidR="005F47C1" w:rsidRPr="003E1308" w:rsidRDefault="005F47C1" w:rsidP="005F47C1">
      <w:pPr>
        <w:rPr>
          <w:rFonts w:eastAsia="Calibri"/>
          <w:lang w:val="en-CA" w:eastAsia="zh-CN"/>
        </w:rPr>
      </w:pPr>
      <w:r w:rsidRPr="003E1308">
        <w:rPr>
          <w:rFonts w:eastAsia="Calibri"/>
          <w:lang w:val="en-CA" w:eastAsia="zh-CN"/>
        </w:rPr>
        <w:t>6</w:t>
      </w:r>
      <w:r w:rsidRPr="003E1308">
        <w:rPr>
          <w:rFonts w:eastAsia="Calibri"/>
          <w:lang w:val="en-CA" w:eastAsia="zh-CN"/>
        </w:rPr>
        <w:tab/>
      </w:r>
      <w:r>
        <w:rPr>
          <w:rFonts w:hint="eastAsia"/>
          <w:lang w:val="en-CA" w:eastAsia="zh-CN"/>
        </w:rPr>
        <w:t>审议《财务规则和财务细则》各项条款，必要时提出修订建议，以便确保：</w:t>
      </w:r>
    </w:p>
    <w:p w14:paraId="4827B5DE" w14:textId="77777777" w:rsidR="005F47C1" w:rsidRPr="003E1308" w:rsidRDefault="005F47C1" w:rsidP="00FD2ABF">
      <w:pPr>
        <w:pStyle w:val="enumlev1"/>
        <w:rPr>
          <w:rFonts w:eastAsia="Calibri"/>
          <w:lang w:val="en-CA" w:eastAsia="zh-CN"/>
        </w:rPr>
      </w:pPr>
      <w:r w:rsidRPr="003E1308">
        <w:rPr>
          <w:rFonts w:eastAsia="Calibri"/>
          <w:lang w:val="en-CA" w:eastAsia="zh-CN"/>
        </w:rPr>
        <w:t>a)</w:t>
      </w:r>
      <w:r>
        <w:rPr>
          <w:rFonts w:eastAsia="Calibri"/>
          <w:lang w:val="en-CA" w:eastAsia="zh-CN"/>
        </w:rPr>
        <w:tab/>
      </w:r>
      <w:r>
        <w:rPr>
          <w:rFonts w:hint="eastAsia"/>
          <w:lang w:val="en-CA" w:eastAsia="zh-CN"/>
        </w:rPr>
        <w:t>与国际电联的基本文件、全权代表大会和理事会的各项决定和决议保持一致和统一，并且跟上国际电联不断变化的需求；</w:t>
      </w:r>
    </w:p>
    <w:p w14:paraId="4827B5DF" w14:textId="77777777" w:rsidR="005F47C1" w:rsidRPr="003E1308" w:rsidRDefault="005F47C1" w:rsidP="00FD2ABF">
      <w:pPr>
        <w:pStyle w:val="enumlev1"/>
        <w:rPr>
          <w:rFonts w:eastAsia="Calibri"/>
          <w:lang w:val="en-CA" w:eastAsia="zh-CN"/>
        </w:rPr>
      </w:pPr>
      <w:r w:rsidRPr="003E1308">
        <w:rPr>
          <w:rFonts w:eastAsia="Calibri"/>
          <w:lang w:val="en-CA" w:eastAsia="zh-CN"/>
        </w:rPr>
        <w:t>b)</w:t>
      </w:r>
      <w:r>
        <w:rPr>
          <w:rFonts w:eastAsia="Calibri"/>
          <w:lang w:val="en-CA" w:eastAsia="zh-CN"/>
        </w:rPr>
        <w:tab/>
      </w:r>
      <w:r>
        <w:rPr>
          <w:rFonts w:hint="eastAsia"/>
          <w:lang w:val="en-CA" w:eastAsia="zh-CN"/>
        </w:rPr>
        <w:t>像其他联合国组织一样，提供灵活安排，包括将活动推延至下一个双年度；</w:t>
      </w:r>
    </w:p>
    <w:p w14:paraId="4827B5E0" w14:textId="77777777" w:rsidR="005F47C1" w:rsidRDefault="005F47C1" w:rsidP="005F47C1">
      <w:pPr>
        <w:rPr>
          <w:rFonts w:eastAsia="Calibri" w:cs="Calibri"/>
          <w:szCs w:val="24"/>
          <w:lang w:val="en-CA" w:eastAsia="zh-CN"/>
        </w:rPr>
      </w:pPr>
      <w:r>
        <w:rPr>
          <w:rFonts w:eastAsia="Calibri" w:cs="Calibri"/>
          <w:szCs w:val="24"/>
          <w:lang w:val="en-CA" w:eastAsia="zh-CN"/>
        </w:rPr>
        <w:t>7</w:t>
      </w:r>
      <w:r w:rsidRPr="00D7166D">
        <w:rPr>
          <w:rFonts w:eastAsia="Calibri" w:cs="Calibri"/>
          <w:szCs w:val="24"/>
          <w:lang w:val="en-CA" w:eastAsia="zh-CN"/>
        </w:rPr>
        <w:tab/>
      </w:r>
      <w:r w:rsidRPr="005D7685">
        <w:rPr>
          <w:lang w:eastAsia="zh-CN"/>
        </w:rPr>
        <w:t>确保</w:t>
      </w:r>
      <w:r>
        <w:rPr>
          <w:lang w:eastAsia="zh-CN"/>
        </w:rPr>
        <w:t>《</w:t>
      </w:r>
      <w:r w:rsidRPr="005D7685">
        <w:rPr>
          <w:lang w:eastAsia="zh-CN"/>
        </w:rPr>
        <w:t>财务规则</w:t>
      </w:r>
      <w:r>
        <w:rPr>
          <w:lang w:eastAsia="zh-CN"/>
        </w:rPr>
        <w:t>》</w:t>
      </w:r>
      <w:r w:rsidRPr="005D7685">
        <w:rPr>
          <w:lang w:eastAsia="zh-CN"/>
        </w:rPr>
        <w:t>包括与联合国其他组织保持一致</w:t>
      </w:r>
      <w:r>
        <w:rPr>
          <w:rFonts w:hint="eastAsia"/>
          <w:lang w:eastAsia="zh-CN"/>
        </w:rPr>
        <w:t>的内部控制条款</w:t>
      </w:r>
      <w:r w:rsidRPr="005D7685">
        <w:rPr>
          <w:lang w:eastAsia="zh-CN"/>
        </w:rPr>
        <w:t>；</w:t>
      </w:r>
    </w:p>
    <w:p w14:paraId="4827B5E1" w14:textId="77777777" w:rsidR="005F47C1" w:rsidRPr="003E1308" w:rsidRDefault="005F47C1" w:rsidP="005F47C1">
      <w:pPr>
        <w:rPr>
          <w:rFonts w:eastAsia="Calibri"/>
          <w:lang w:val="en-CA" w:eastAsia="zh-CN"/>
        </w:rPr>
      </w:pPr>
      <w:r w:rsidRPr="003E1308">
        <w:rPr>
          <w:rFonts w:eastAsia="Calibri"/>
          <w:lang w:val="en-CA" w:eastAsia="zh-CN"/>
        </w:rPr>
        <w:t>8</w:t>
      </w:r>
      <w:r w:rsidRPr="003E1308">
        <w:rPr>
          <w:rFonts w:eastAsia="Calibri"/>
          <w:lang w:val="en-CA" w:eastAsia="zh-CN"/>
        </w:rPr>
        <w:tab/>
      </w:r>
      <w:r w:rsidRPr="005D7685">
        <w:rPr>
          <w:lang w:val="en-CA" w:eastAsia="zh-CN"/>
        </w:rPr>
        <w:t>基于秘书处的输入意见，考虑</w:t>
      </w:r>
      <w:r>
        <w:rPr>
          <w:rFonts w:hint="eastAsia"/>
          <w:lang w:val="en-CA" w:eastAsia="zh-CN"/>
        </w:rPr>
        <w:t>一种拟议</w:t>
      </w:r>
      <w:r w:rsidRPr="005D7685">
        <w:rPr>
          <w:lang w:val="en-CA" w:eastAsia="zh-CN"/>
        </w:rPr>
        <w:t>方法建议</w:t>
      </w:r>
      <w:r>
        <w:rPr>
          <w:lang w:val="en-CA" w:eastAsia="zh-CN"/>
        </w:rPr>
        <w:t>，</w:t>
      </w:r>
      <w:r>
        <w:rPr>
          <w:rFonts w:hint="eastAsia"/>
          <w:lang w:val="en-CA" w:eastAsia="zh-CN"/>
        </w:rPr>
        <w:t>协助</w:t>
      </w:r>
      <w:r w:rsidRPr="005D7685">
        <w:rPr>
          <w:lang w:val="en-CA" w:eastAsia="zh-CN"/>
        </w:rPr>
        <w:t>成员国</w:t>
      </w:r>
      <w:r>
        <w:rPr>
          <w:rFonts w:hint="eastAsia"/>
          <w:lang w:val="en-CA" w:eastAsia="zh-CN"/>
        </w:rPr>
        <w:t>对</w:t>
      </w:r>
      <w:r w:rsidRPr="005D7685">
        <w:rPr>
          <w:lang w:val="en-CA" w:eastAsia="zh-CN"/>
        </w:rPr>
        <w:t>提交国际电联大会和全会</w:t>
      </w:r>
      <w:r>
        <w:rPr>
          <w:rFonts w:hint="eastAsia"/>
          <w:lang w:val="en-CA" w:eastAsia="zh-CN"/>
        </w:rPr>
        <w:t>的各项</w:t>
      </w:r>
      <w:r>
        <w:rPr>
          <w:lang w:val="en-CA" w:eastAsia="zh-CN"/>
        </w:rPr>
        <w:t>提案</w:t>
      </w:r>
      <w:r>
        <w:rPr>
          <w:rFonts w:hint="eastAsia"/>
          <w:lang w:val="en-CA" w:eastAsia="zh-CN"/>
        </w:rPr>
        <w:t>准备</w:t>
      </w:r>
      <w:r w:rsidRPr="005D7685">
        <w:rPr>
          <w:lang w:val="en-CA" w:eastAsia="zh-CN"/>
        </w:rPr>
        <w:t>成本</w:t>
      </w:r>
      <w:r w:rsidRPr="0083475B">
        <w:rPr>
          <w:rFonts w:asciiTheme="majorEastAsia" w:eastAsiaTheme="majorEastAsia" w:hAnsiTheme="majorEastAsia"/>
          <w:lang w:val="en-CA" w:eastAsia="zh-CN"/>
        </w:rPr>
        <w:t>“</w:t>
      </w:r>
      <w:r w:rsidRPr="005D7685">
        <w:rPr>
          <w:lang w:val="en-CA" w:eastAsia="zh-CN"/>
        </w:rPr>
        <w:t>估算</w:t>
      </w:r>
      <w:r w:rsidRPr="0083475B">
        <w:rPr>
          <w:rFonts w:asciiTheme="majorEastAsia" w:eastAsiaTheme="majorEastAsia" w:hAnsiTheme="majorEastAsia"/>
          <w:lang w:val="en-CA" w:eastAsia="zh-CN"/>
        </w:rPr>
        <w:t>”</w:t>
      </w:r>
      <w:r w:rsidRPr="005D7685">
        <w:rPr>
          <w:lang w:val="en-CA" w:eastAsia="zh-CN"/>
        </w:rPr>
        <w:t>，</w:t>
      </w:r>
      <w:r>
        <w:rPr>
          <w:rFonts w:hint="eastAsia"/>
          <w:lang w:val="en-CA" w:eastAsia="zh-CN"/>
        </w:rPr>
        <w:t>以利于对</w:t>
      </w:r>
      <w:r w:rsidRPr="005D7685">
        <w:rPr>
          <w:lang w:val="en-CA" w:eastAsia="zh-CN"/>
        </w:rPr>
        <w:t>这些决定的财务影响做出估算；</w:t>
      </w:r>
    </w:p>
    <w:p w14:paraId="4827B5E2" w14:textId="77777777" w:rsidR="005F47C1" w:rsidRPr="003E1308" w:rsidRDefault="005F47C1" w:rsidP="005F47C1">
      <w:pPr>
        <w:rPr>
          <w:rFonts w:eastAsia="Calibri"/>
          <w:lang w:val="en-CA" w:eastAsia="zh-CN"/>
        </w:rPr>
      </w:pPr>
      <w:r w:rsidRPr="003E1308">
        <w:rPr>
          <w:rFonts w:eastAsia="Calibri"/>
          <w:lang w:val="en-CA" w:eastAsia="zh-CN"/>
        </w:rPr>
        <w:t>9</w:t>
      </w:r>
      <w:r w:rsidRPr="003E1308">
        <w:rPr>
          <w:rFonts w:eastAsia="Calibri"/>
          <w:lang w:val="en-CA" w:eastAsia="zh-CN"/>
        </w:rPr>
        <w:tab/>
      </w:r>
      <w:r>
        <w:rPr>
          <w:rFonts w:hint="eastAsia"/>
          <w:lang w:val="en-CA" w:eastAsia="zh-CN"/>
        </w:rPr>
        <w:t>考虑</w:t>
      </w:r>
      <w:r w:rsidRPr="005D7685">
        <w:rPr>
          <w:lang w:val="en-CA" w:eastAsia="zh-CN"/>
        </w:rPr>
        <w:t>秘书长有关与会补贴的报告，</w:t>
      </w:r>
      <w:r>
        <w:rPr>
          <w:rFonts w:hint="eastAsia"/>
          <w:lang w:val="en-CA" w:eastAsia="zh-CN"/>
        </w:rPr>
        <w:t>以</w:t>
      </w:r>
      <w:r w:rsidRPr="005D7685">
        <w:rPr>
          <w:lang w:val="en-CA" w:eastAsia="zh-CN"/>
        </w:rPr>
        <w:t>审议</w:t>
      </w:r>
      <w:r>
        <w:rPr>
          <w:rFonts w:hint="eastAsia"/>
          <w:lang w:val="en-CA" w:eastAsia="zh-CN"/>
        </w:rPr>
        <w:t>发放</w:t>
      </w:r>
      <w:r w:rsidRPr="005D7685">
        <w:rPr>
          <w:lang w:val="en-CA" w:eastAsia="zh-CN"/>
        </w:rPr>
        <w:t>与会补贴的现行标准</w:t>
      </w:r>
      <w:r>
        <w:rPr>
          <w:lang w:val="en-CA" w:eastAsia="zh-CN"/>
        </w:rPr>
        <w:t>，</w:t>
      </w:r>
      <w:r>
        <w:rPr>
          <w:rFonts w:hint="eastAsia"/>
          <w:lang w:val="en-CA" w:eastAsia="zh-CN"/>
        </w:rPr>
        <w:t>并且</w:t>
      </w:r>
      <w:r w:rsidRPr="005D7685">
        <w:rPr>
          <w:lang w:val="en-CA" w:eastAsia="zh-CN"/>
        </w:rPr>
        <w:t>向理事会提出建议，</w:t>
      </w:r>
      <w:r>
        <w:rPr>
          <w:rFonts w:hint="eastAsia"/>
          <w:lang w:val="en-CA" w:eastAsia="zh-CN"/>
        </w:rPr>
        <w:t>从而</w:t>
      </w:r>
      <w:r w:rsidRPr="005D7685">
        <w:rPr>
          <w:lang w:val="en-CA" w:eastAsia="zh-CN"/>
        </w:rPr>
        <w:t>完善、促进并加强国际电联的与会补贴；</w:t>
      </w:r>
    </w:p>
    <w:p w14:paraId="4827B5E3" w14:textId="77777777" w:rsidR="005F47C1" w:rsidRDefault="005F47C1">
      <w:pPr>
        <w:tabs>
          <w:tab w:val="clear" w:pos="794"/>
          <w:tab w:val="clear" w:pos="1191"/>
          <w:tab w:val="clear" w:pos="1588"/>
          <w:tab w:val="clear" w:pos="1985"/>
        </w:tabs>
        <w:overflowPunct/>
        <w:autoSpaceDE/>
        <w:autoSpaceDN/>
        <w:adjustRightInd/>
        <w:spacing w:before="0"/>
        <w:jc w:val="left"/>
        <w:textAlignment w:val="auto"/>
        <w:rPr>
          <w:rFonts w:eastAsia="Calibri"/>
          <w:lang w:val="en-CA" w:eastAsia="zh-CN"/>
        </w:rPr>
      </w:pPr>
      <w:r>
        <w:rPr>
          <w:rFonts w:eastAsia="Calibri"/>
          <w:lang w:val="en-CA" w:eastAsia="zh-CN"/>
        </w:rPr>
        <w:br w:type="page"/>
      </w:r>
    </w:p>
    <w:p w14:paraId="4827B5E4" w14:textId="77777777" w:rsidR="005F47C1" w:rsidRPr="003E1308" w:rsidRDefault="005F47C1" w:rsidP="005F47C1">
      <w:pPr>
        <w:rPr>
          <w:rFonts w:eastAsia="Calibri"/>
          <w:lang w:val="en-CA" w:eastAsia="zh-CN"/>
        </w:rPr>
      </w:pPr>
      <w:r w:rsidRPr="003E1308">
        <w:rPr>
          <w:rFonts w:eastAsia="Calibri"/>
          <w:lang w:val="en-CA" w:eastAsia="zh-CN"/>
        </w:rPr>
        <w:lastRenderedPageBreak/>
        <w:t>10</w:t>
      </w:r>
      <w:r w:rsidRPr="003E1308">
        <w:rPr>
          <w:rFonts w:eastAsia="Calibri"/>
          <w:lang w:val="en-CA" w:eastAsia="zh-CN"/>
        </w:rPr>
        <w:tab/>
      </w:r>
      <w:r w:rsidRPr="003761F2">
        <w:rPr>
          <w:rFonts w:hint="eastAsia"/>
          <w:lang w:eastAsia="zh-CN"/>
        </w:rPr>
        <w:t>审查、审议</w:t>
      </w:r>
      <w:r>
        <w:rPr>
          <w:rFonts w:hint="eastAsia"/>
          <w:lang w:eastAsia="zh-CN"/>
        </w:rPr>
        <w:t>所有与</w:t>
      </w:r>
      <w:r w:rsidRPr="005D7685">
        <w:rPr>
          <w:lang w:eastAsia="zh-CN"/>
        </w:rPr>
        <w:t>人力资源管理和开发相关</w:t>
      </w:r>
      <w:r>
        <w:rPr>
          <w:rFonts w:hint="eastAsia"/>
          <w:lang w:eastAsia="zh-CN"/>
        </w:rPr>
        <w:t>的事项</w:t>
      </w:r>
      <w:r>
        <w:rPr>
          <w:lang w:eastAsia="zh-CN"/>
        </w:rPr>
        <w:t>（</w:t>
      </w:r>
      <w:r>
        <w:rPr>
          <w:rFonts w:hint="eastAsia"/>
          <w:lang w:eastAsia="zh-CN"/>
        </w:rPr>
        <w:t>包括</w:t>
      </w:r>
      <w:r w:rsidRPr="005D7685">
        <w:rPr>
          <w:lang w:eastAsia="zh-CN"/>
        </w:rPr>
        <w:t>全面</w:t>
      </w:r>
      <w:r>
        <w:rPr>
          <w:rFonts w:hint="eastAsia"/>
          <w:lang w:eastAsia="zh-CN"/>
        </w:rPr>
        <w:t>的</w:t>
      </w:r>
      <w:r w:rsidRPr="005D7685">
        <w:rPr>
          <w:lang w:eastAsia="zh-CN"/>
        </w:rPr>
        <w:t>人力资源</w:t>
      </w:r>
      <w:r>
        <w:rPr>
          <w:rFonts w:hint="eastAsia"/>
          <w:lang w:eastAsia="zh-CN"/>
        </w:rPr>
        <w:t>四年</w:t>
      </w:r>
      <w:r w:rsidRPr="005D7685">
        <w:rPr>
          <w:lang w:eastAsia="zh-CN"/>
        </w:rPr>
        <w:t>战略规划</w:t>
      </w:r>
      <w:r>
        <w:rPr>
          <w:rFonts w:hint="eastAsia"/>
          <w:lang w:eastAsia="zh-CN"/>
        </w:rPr>
        <w:t>以及全权代表大会人力资源管理和开发相关决议所确定的事项），并且向理事会提出建议</w:t>
      </w:r>
      <w:r w:rsidRPr="005D7685">
        <w:rPr>
          <w:lang w:eastAsia="zh-CN"/>
        </w:rPr>
        <w:t>；</w:t>
      </w:r>
    </w:p>
    <w:p w14:paraId="4827B5E5" w14:textId="77777777" w:rsidR="005F47C1" w:rsidRPr="003E1308" w:rsidRDefault="005F47C1" w:rsidP="005F47C1">
      <w:pPr>
        <w:rPr>
          <w:rFonts w:eastAsia="Calibri"/>
          <w:lang w:val="en-CA" w:eastAsia="zh-CN"/>
        </w:rPr>
      </w:pPr>
      <w:r w:rsidRPr="003E1308">
        <w:rPr>
          <w:rFonts w:eastAsia="Calibri"/>
          <w:lang w:val="en-CA" w:eastAsia="zh-CN"/>
        </w:rPr>
        <w:t>11</w:t>
      </w:r>
      <w:r w:rsidRPr="003E1308">
        <w:rPr>
          <w:rFonts w:eastAsia="Calibri"/>
          <w:lang w:val="en-CA" w:eastAsia="zh-CN"/>
        </w:rPr>
        <w:tab/>
      </w:r>
      <w:r w:rsidRPr="005D7685">
        <w:rPr>
          <w:lang w:eastAsia="zh-CN"/>
        </w:rPr>
        <w:t>持续不断地审议国际电联的道德规范职能</w:t>
      </w:r>
      <w:r>
        <w:rPr>
          <w:rFonts w:hint="eastAsia"/>
          <w:lang w:eastAsia="zh-CN"/>
        </w:rPr>
        <w:t>，并且在必要时向理事会提出进一步完善的建议；</w:t>
      </w:r>
    </w:p>
    <w:p w14:paraId="4827B5E6" w14:textId="77777777" w:rsidR="005F47C1" w:rsidRPr="003E1308" w:rsidRDefault="005F47C1" w:rsidP="005F47C1">
      <w:pPr>
        <w:rPr>
          <w:rFonts w:eastAsia="Calibri"/>
          <w:lang w:val="en-CA" w:eastAsia="zh-CN"/>
        </w:rPr>
      </w:pPr>
      <w:r w:rsidRPr="003E1308">
        <w:rPr>
          <w:rFonts w:eastAsia="Calibri"/>
          <w:lang w:val="en-CA" w:eastAsia="zh-CN"/>
        </w:rPr>
        <w:t>12</w:t>
      </w:r>
      <w:r w:rsidRPr="003E1308">
        <w:rPr>
          <w:rFonts w:eastAsia="Calibri"/>
          <w:lang w:val="en-CA" w:eastAsia="zh-CN"/>
        </w:rPr>
        <w:tab/>
      </w:r>
      <w:r>
        <w:rPr>
          <w:rFonts w:hint="eastAsia"/>
          <w:lang w:val="en-CA" w:eastAsia="zh-CN"/>
        </w:rPr>
        <w:t>按照全权代表大会的决定和建议，考虑可以全面完善国际电联选举进程的提议，并提交理事会审议；</w:t>
      </w:r>
    </w:p>
    <w:p w14:paraId="4827B5E7" w14:textId="77777777" w:rsidR="005F47C1" w:rsidRDefault="005F47C1" w:rsidP="005F47C1">
      <w:pPr>
        <w:rPr>
          <w:rFonts w:eastAsia="Calibri" w:cs="Calibri"/>
          <w:szCs w:val="24"/>
          <w:lang w:val="en-CA" w:eastAsia="zh-CN"/>
        </w:rPr>
      </w:pPr>
      <w:r>
        <w:rPr>
          <w:rFonts w:eastAsia="Calibri" w:cs="Calibri"/>
          <w:szCs w:val="24"/>
          <w:lang w:val="en-CA" w:eastAsia="zh-CN"/>
        </w:rPr>
        <w:t>13</w:t>
      </w:r>
      <w:r w:rsidRPr="00D7166D">
        <w:rPr>
          <w:rFonts w:eastAsia="Calibri" w:cs="Calibri"/>
          <w:szCs w:val="24"/>
          <w:lang w:val="en-CA" w:eastAsia="zh-CN"/>
        </w:rPr>
        <w:tab/>
      </w:r>
      <w:r w:rsidRPr="000C08B8">
        <w:rPr>
          <w:lang w:eastAsia="zh-CN"/>
        </w:rPr>
        <w:t>与国际电联管理层和职工委员会保持密切联系，</w:t>
      </w:r>
      <w:r>
        <w:rPr>
          <w:rFonts w:hint="eastAsia"/>
          <w:lang w:eastAsia="zh-CN"/>
        </w:rPr>
        <w:t>旨在</w:t>
      </w:r>
      <w:r w:rsidRPr="000C08B8">
        <w:rPr>
          <w:lang w:eastAsia="zh-CN"/>
        </w:rPr>
        <w:t>确定共同关心的</w:t>
      </w:r>
      <w:r>
        <w:rPr>
          <w:rFonts w:hint="eastAsia"/>
          <w:lang w:eastAsia="zh-CN"/>
        </w:rPr>
        <w:t>问题，而且对此</w:t>
      </w:r>
      <w:r w:rsidRPr="000C08B8">
        <w:rPr>
          <w:lang w:eastAsia="zh-CN"/>
        </w:rPr>
        <w:t>理事会</w:t>
      </w:r>
      <w:r>
        <w:rPr>
          <w:rFonts w:hint="eastAsia"/>
          <w:lang w:eastAsia="zh-CN"/>
        </w:rPr>
        <w:t>的</w:t>
      </w:r>
      <w:r w:rsidRPr="000C08B8">
        <w:rPr>
          <w:lang w:eastAsia="zh-CN"/>
        </w:rPr>
        <w:t>意见和指导</w:t>
      </w:r>
      <w:r>
        <w:rPr>
          <w:rFonts w:hint="eastAsia"/>
          <w:lang w:eastAsia="zh-CN"/>
        </w:rPr>
        <w:t>既有必要，又合乎情理</w:t>
      </w:r>
      <w:r w:rsidRPr="000C08B8">
        <w:rPr>
          <w:lang w:eastAsia="zh-CN"/>
        </w:rPr>
        <w:t>。</w:t>
      </w:r>
    </w:p>
    <w:p w14:paraId="4827B5E8" w14:textId="77777777" w:rsidR="0025197D" w:rsidRPr="00B12025" w:rsidRDefault="0027752E" w:rsidP="0025197D">
      <w:pPr>
        <w:pStyle w:val="Endtext"/>
        <w:rPr>
          <w:lang w:val="en-US" w:eastAsia="zh-CN"/>
        </w:rPr>
      </w:pPr>
      <w:r w:rsidRPr="005901EF">
        <w:rPr>
          <w:rFonts w:ascii="STKaiti" w:hAnsi="STKaiti" w:hint="eastAsia"/>
          <w:lang w:eastAsia="zh-CN"/>
        </w:rPr>
        <w:t>参阅</w:t>
      </w:r>
      <w:r w:rsidRPr="005901EF">
        <w:rPr>
          <w:rFonts w:hint="eastAsia"/>
          <w:lang w:eastAsia="zh-CN"/>
        </w:rPr>
        <w:t>：</w:t>
      </w:r>
      <w:r w:rsidRPr="005901EF">
        <w:rPr>
          <w:lang w:eastAsia="zh-CN"/>
        </w:rPr>
        <w:tab/>
      </w:r>
      <w:hyperlink r:id="rId358" w:history="1">
        <w:r w:rsidR="0025197D" w:rsidRPr="00B877FA">
          <w:rPr>
            <w:rStyle w:val="Hyperlink"/>
            <w:lang w:val="en-US" w:eastAsia="zh-CN"/>
          </w:rPr>
          <w:t>C11/103</w:t>
        </w:r>
      </w:hyperlink>
      <w:r w:rsidR="0025197D">
        <w:rPr>
          <w:rFonts w:hint="eastAsia"/>
          <w:lang w:val="en-US" w:eastAsia="zh-CN"/>
        </w:rPr>
        <w:t>和</w:t>
      </w:r>
      <w:hyperlink r:id="rId359" w:history="1">
        <w:r w:rsidR="0025197D" w:rsidRPr="00B877FA">
          <w:rPr>
            <w:rStyle w:val="Hyperlink"/>
            <w:lang w:val="en-US" w:eastAsia="zh-CN"/>
          </w:rPr>
          <w:t>C11/120</w:t>
        </w:r>
      </w:hyperlink>
      <w:r w:rsidR="005F47C1">
        <w:rPr>
          <w:rFonts w:hint="eastAsia"/>
          <w:lang w:val="en-US" w:eastAsia="zh-CN"/>
        </w:rPr>
        <w:t>、</w:t>
      </w:r>
      <w:hyperlink r:id="rId360" w:history="1">
        <w:r w:rsidR="0025197D" w:rsidRPr="00B877FA">
          <w:rPr>
            <w:rStyle w:val="Hyperlink"/>
            <w:lang w:val="en-US" w:eastAsia="zh-CN"/>
          </w:rPr>
          <w:t>C13/113</w:t>
        </w:r>
      </w:hyperlink>
      <w:r w:rsidR="0025197D">
        <w:rPr>
          <w:rFonts w:hint="eastAsia"/>
          <w:lang w:val="en-US" w:eastAsia="zh-CN"/>
        </w:rPr>
        <w:t>和</w:t>
      </w:r>
      <w:hyperlink r:id="rId361" w:history="1">
        <w:r w:rsidR="0025197D" w:rsidRPr="00B877FA">
          <w:rPr>
            <w:rStyle w:val="Hyperlink"/>
            <w:lang w:val="en-US" w:eastAsia="zh-CN"/>
          </w:rPr>
          <w:t>C13/122</w:t>
        </w:r>
      </w:hyperlink>
      <w:r w:rsidR="005F47C1">
        <w:rPr>
          <w:rFonts w:hint="eastAsia"/>
          <w:lang w:val="en-US" w:eastAsia="zh-CN"/>
        </w:rPr>
        <w:t>、</w:t>
      </w:r>
      <w:hyperlink r:id="rId362" w:history="1">
        <w:r w:rsidR="0025197D" w:rsidRPr="00B877FA">
          <w:rPr>
            <w:rStyle w:val="Hyperlink"/>
            <w:lang w:val="en-US" w:eastAsia="zh-CN"/>
          </w:rPr>
          <w:t>C14/99</w:t>
        </w:r>
      </w:hyperlink>
      <w:r w:rsidR="005F47C1">
        <w:rPr>
          <w:rFonts w:hint="eastAsia"/>
          <w:lang w:val="en-US" w:eastAsia="zh-CN"/>
        </w:rPr>
        <w:t>、</w:t>
      </w:r>
      <w:hyperlink r:id="rId363" w:history="1">
        <w:r w:rsidR="0025197D" w:rsidRPr="00B877FA">
          <w:rPr>
            <w:rStyle w:val="Hyperlink"/>
            <w:lang w:val="en-US" w:eastAsia="zh-CN"/>
          </w:rPr>
          <w:t>C14/101</w:t>
        </w:r>
      </w:hyperlink>
      <w:r w:rsidR="005F47C1">
        <w:rPr>
          <w:rFonts w:hint="eastAsia"/>
          <w:lang w:val="en-US" w:eastAsia="zh-CN"/>
        </w:rPr>
        <w:t>、</w:t>
      </w:r>
      <w:hyperlink r:id="rId364" w:history="1">
        <w:r w:rsidR="005F47C1" w:rsidRPr="000F05E5">
          <w:rPr>
            <w:rStyle w:val="Hyperlink"/>
            <w:lang w:eastAsia="zh-CN"/>
          </w:rPr>
          <w:t>C19/142</w:t>
        </w:r>
      </w:hyperlink>
      <w:r w:rsidR="005F47C1">
        <w:rPr>
          <w:rFonts w:hint="eastAsia"/>
          <w:lang w:eastAsia="zh-CN"/>
        </w:rPr>
        <w:t>和</w:t>
      </w:r>
      <w:hyperlink r:id="rId365" w:history="1">
        <w:r w:rsidR="005F47C1" w:rsidRPr="000F05E5">
          <w:rPr>
            <w:rStyle w:val="Hyperlink"/>
            <w:lang w:eastAsia="zh-CN"/>
          </w:rPr>
          <w:t>C19/120</w:t>
        </w:r>
      </w:hyperlink>
      <w:r w:rsidR="005F47C1">
        <w:rPr>
          <w:rFonts w:hint="eastAsia"/>
          <w:lang w:val="en-US" w:eastAsia="zh-CN"/>
        </w:rPr>
        <w:t>号文</w:t>
      </w:r>
      <w:r w:rsidR="0025197D">
        <w:rPr>
          <w:lang w:val="en-US" w:eastAsia="zh-CN"/>
        </w:rPr>
        <w:t>件。</w:t>
      </w:r>
    </w:p>
    <w:p w14:paraId="4827B5E9" w14:textId="77777777" w:rsidR="005F47C1" w:rsidRDefault="005F47C1" w:rsidP="005F47C1">
      <w:pPr>
        <w:jc w:val="center"/>
        <w:rPr>
          <w:lang w:eastAsia="zh-CN"/>
        </w:rPr>
      </w:pPr>
      <w:bookmarkStart w:id="1888" w:name="_Toc424117063"/>
      <w:bookmarkStart w:id="1889" w:name="_Toc531706411"/>
      <w:bookmarkStart w:id="1890" w:name="_Toc531707020"/>
      <w:bookmarkStart w:id="1891" w:name="_Toc531768499"/>
      <w:r>
        <w:rPr>
          <w:lang w:eastAsia="zh-CN"/>
        </w:rPr>
        <w:t>______________</w:t>
      </w:r>
    </w:p>
    <w:p w14:paraId="4827B5EA" w14:textId="77777777" w:rsidR="00BF6C9F" w:rsidRDefault="00BF6C9F" w:rsidP="00CA7362">
      <w:pPr>
        <w:pStyle w:val="DecNo"/>
        <w:outlineLvl w:val="0"/>
      </w:pPr>
      <w:bookmarkStart w:id="1892" w:name="_Toc16085815"/>
      <w:bookmarkStart w:id="1893" w:name="_Toc86395620"/>
      <w:r>
        <w:rPr>
          <w:rFonts w:hint="eastAsia"/>
        </w:rPr>
        <w:t>第</w:t>
      </w:r>
      <w:r>
        <w:rPr>
          <w:rFonts w:hint="eastAsia"/>
        </w:rPr>
        <w:t>584</w:t>
      </w:r>
      <w:r>
        <w:rPr>
          <w:rFonts w:hint="eastAsia"/>
        </w:rPr>
        <w:t>号</w:t>
      </w:r>
      <w:r>
        <w:t>决</w:t>
      </w:r>
      <w:r>
        <w:rPr>
          <w:rFonts w:hint="eastAsia"/>
        </w:rPr>
        <w:t>定（</w:t>
      </w:r>
      <w:r>
        <w:rPr>
          <w:lang w:val="en-US"/>
        </w:rPr>
        <w:t>C15</w:t>
      </w:r>
      <w:r>
        <w:rPr>
          <w:rFonts w:hint="eastAsia"/>
          <w:lang w:val="en-US"/>
        </w:rPr>
        <w:t>）</w:t>
      </w:r>
      <w:bookmarkEnd w:id="1888"/>
      <w:bookmarkEnd w:id="1889"/>
      <w:bookmarkEnd w:id="1890"/>
      <w:bookmarkEnd w:id="1891"/>
      <w:bookmarkEnd w:id="1892"/>
      <w:bookmarkEnd w:id="1893"/>
    </w:p>
    <w:p w14:paraId="4827B5EB" w14:textId="77777777" w:rsidR="00BF6C9F" w:rsidRDefault="00BF6C9F" w:rsidP="00BF6C9F">
      <w:pPr>
        <w:pStyle w:val="Dectitle"/>
      </w:pPr>
      <w:bookmarkStart w:id="1894" w:name="_Toc424117064"/>
      <w:bookmarkStart w:id="1895" w:name="_Toc460248175"/>
      <w:bookmarkStart w:id="1896" w:name="_Toc531706412"/>
      <w:bookmarkStart w:id="1897" w:name="_Toc531707021"/>
      <w:bookmarkStart w:id="1898" w:name="_Toc531768500"/>
      <w:bookmarkStart w:id="1899" w:name="_Toc16085816"/>
      <w:bookmarkStart w:id="1900" w:name="_Toc86395621"/>
      <w:r>
        <w:rPr>
          <w:rFonts w:hint="eastAsia"/>
        </w:rPr>
        <w:t>理事会工作组的成立和管理</w:t>
      </w:r>
      <w:bookmarkEnd w:id="1894"/>
      <w:bookmarkEnd w:id="1895"/>
      <w:bookmarkEnd w:id="1896"/>
      <w:bookmarkEnd w:id="1897"/>
      <w:bookmarkEnd w:id="1898"/>
      <w:bookmarkEnd w:id="1899"/>
      <w:bookmarkEnd w:id="1900"/>
    </w:p>
    <w:p w14:paraId="4827B5EC" w14:textId="77777777" w:rsidR="00BF6C9F" w:rsidRDefault="00BF6C9F" w:rsidP="00117AD9">
      <w:pPr>
        <w:pStyle w:val="Normalaftertitle"/>
        <w:rPr>
          <w:lang w:eastAsia="zh-CN"/>
        </w:rPr>
      </w:pPr>
      <w:r>
        <w:rPr>
          <w:rFonts w:hint="eastAsia"/>
          <w:lang w:eastAsia="zh-CN"/>
        </w:rPr>
        <w:t>理事会，</w:t>
      </w:r>
    </w:p>
    <w:p w14:paraId="4827B5ED" w14:textId="77777777" w:rsidR="00BF6C9F" w:rsidRPr="002F1095" w:rsidRDefault="00BF6C9F" w:rsidP="00BF6C9F">
      <w:pPr>
        <w:pStyle w:val="Call"/>
        <w:rPr>
          <w:lang w:eastAsia="zh-CN"/>
        </w:rPr>
      </w:pPr>
      <w:r w:rsidRPr="002F1095">
        <w:rPr>
          <w:rFonts w:hint="eastAsia"/>
          <w:lang w:eastAsia="zh-CN"/>
        </w:rPr>
        <w:t>做出决定</w:t>
      </w:r>
    </w:p>
    <w:p w14:paraId="4827B5EE" w14:textId="77777777" w:rsidR="00BF6C9F" w:rsidRDefault="00BF6C9F" w:rsidP="00BF6C9F">
      <w:pPr>
        <w:rPr>
          <w:lang w:eastAsia="zh-CN"/>
        </w:rPr>
      </w:pPr>
      <w:r>
        <w:rPr>
          <w:lang w:eastAsia="zh-CN"/>
        </w:rPr>
        <w:t>1</w:t>
      </w:r>
      <w:r>
        <w:rPr>
          <w:lang w:eastAsia="zh-CN"/>
        </w:rPr>
        <w:tab/>
      </w:r>
      <w:r>
        <w:rPr>
          <w:rFonts w:hint="eastAsia"/>
          <w:lang w:eastAsia="zh-CN"/>
        </w:rPr>
        <w:t>理事会工作组（</w:t>
      </w:r>
      <w:r>
        <w:rPr>
          <w:lang w:eastAsia="zh-CN"/>
        </w:rPr>
        <w:t>CWG</w:t>
      </w:r>
      <w:r>
        <w:rPr>
          <w:rFonts w:hint="eastAsia"/>
          <w:lang w:eastAsia="zh-CN"/>
        </w:rPr>
        <w:t>）现任正副主席将留任至</w:t>
      </w:r>
      <w:r>
        <w:rPr>
          <w:lang w:eastAsia="zh-CN"/>
        </w:rPr>
        <w:t>2018</w:t>
      </w:r>
      <w:r>
        <w:rPr>
          <w:rFonts w:hint="eastAsia"/>
          <w:lang w:eastAsia="zh-CN"/>
        </w:rPr>
        <w:t>年全权代表大会（</w:t>
      </w:r>
      <w:r>
        <w:rPr>
          <w:rFonts w:hint="eastAsia"/>
          <w:lang w:eastAsia="zh-CN"/>
        </w:rPr>
        <w:t>PP-18</w:t>
      </w:r>
      <w:r>
        <w:rPr>
          <w:rFonts w:hint="eastAsia"/>
          <w:lang w:eastAsia="zh-CN"/>
        </w:rPr>
        <w:t>）；</w:t>
      </w:r>
    </w:p>
    <w:p w14:paraId="4827B5EF" w14:textId="77777777" w:rsidR="00BF6C9F" w:rsidRDefault="00BF6C9F" w:rsidP="00BF6C9F">
      <w:pPr>
        <w:rPr>
          <w:lang w:eastAsia="zh-CN"/>
        </w:rPr>
      </w:pPr>
      <w:r>
        <w:rPr>
          <w:lang w:eastAsia="zh-CN"/>
        </w:rPr>
        <w:t>2</w:t>
      </w:r>
      <w:r>
        <w:rPr>
          <w:lang w:eastAsia="zh-CN"/>
        </w:rPr>
        <w:tab/>
      </w:r>
      <w:r>
        <w:rPr>
          <w:rFonts w:hint="eastAsia"/>
          <w:lang w:eastAsia="zh-CN"/>
        </w:rPr>
        <w:t>理事会工作组现任正副主席享有连选连任现职的权利；</w:t>
      </w:r>
    </w:p>
    <w:p w14:paraId="4827B5F0" w14:textId="77777777" w:rsidR="00BF6C9F" w:rsidRDefault="00BF6C9F" w:rsidP="00BF6C9F">
      <w:pPr>
        <w:rPr>
          <w:lang w:eastAsia="zh-CN"/>
        </w:rPr>
      </w:pPr>
      <w:r>
        <w:rPr>
          <w:lang w:eastAsia="zh-CN"/>
        </w:rPr>
        <w:t>3</w:t>
      </w:r>
      <w:r>
        <w:rPr>
          <w:lang w:eastAsia="zh-CN"/>
        </w:rPr>
        <w:tab/>
      </w:r>
      <w:r>
        <w:rPr>
          <w:rFonts w:hint="eastAsia"/>
          <w:lang w:eastAsia="zh-CN"/>
        </w:rPr>
        <w:t>尽管有上述规定，但理事会工作组任一正副主席在同一职位上最多留任（</w:t>
      </w:r>
      <w:r>
        <w:rPr>
          <w:lang w:eastAsia="zh-CN"/>
        </w:rPr>
        <w:t>4</w:t>
      </w:r>
      <w:r>
        <w:rPr>
          <w:rFonts w:hint="eastAsia"/>
          <w:lang w:eastAsia="zh-CN"/>
        </w:rPr>
        <w:t>）年，任期不得延长；</w:t>
      </w:r>
    </w:p>
    <w:p w14:paraId="4827B5F1" w14:textId="77777777" w:rsidR="00BF6C9F" w:rsidRDefault="00BF6C9F" w:rsidP="00BF6C9F">
      <w:pPr>
        <w:rPr>
          <w:lang w:eastAsia="zh-CN"/>
        </w:rPr>
      </w:pPr>
      <w:r>
        <w:rPr>
          <w:lang w:eastAsia="zh-CN"/>
        </w:rPr>
        <w:t>4</w:t>
      </w:r>
      <w:r>
        <w:rPr>
          <w:lang w:eastAsia="zh-CN"/>
        </w:rPr>
        <w:tab/>
      </w:r>
      <w:r>
        <w:rPr>
          <w:rFonts w:hint="eastAsia"/>
          <w:lang w:eastAsia="zh-CN"/>
        </w:rPr>
        <w:t>在铭记上述</w:t>
      </w:r>
      <w:r>
        <w:rPr>
          <w:lang w:eastAsia="zh-CN"/>
        </w:rPr>
        <w:t>3</w:t>
      </w:r>
      <w:r>
        <w:rPr>
          <w:rFonts w:hint="eastAsia"/>
          <w:lang w:eastAsia="zh-CN"/>
        </w:rPr>
        <w:t>点的同时，责成秘书长起草有关理事会工作组成立、管理、终止和选拔程序的原则和规定以及正副主席地域轮换和性别平衡原则的报告</w:t>
      </w:r>
      <w:r>
        <w:rPr>
          <w:lang w:eastAsia="zh-CN"/>
        </w:rPr>
        <w:t>/</w:t>
      </w:r>
      <w:r>
        <w:rPr>
          <w:rFonts w:hint="eastAsia"/>
          <w:lang w:eastAsia="zh-CN"/>
        </w:rPr>
        <w:t>分析，供理事会</w:t>
      </w:r>
      <w:r w:rsidRPr="0047107C">
        <w:rPr>
          <w:rFonts w:hint="eastAsia"/>
          <w:lang w:eastAsia="zh-CN"/>
        </w:rPr>
        <w:t>理事会财务和人力资源工作组</w:t>
      </w:r>
      <w:r>
        <w:rPr>
          <w:rFonts w:hint="eastAsia"/>
          <w:lang w:eastAsia="zh-CN"/>
        </w:rPr>
        <w:t>（</w:t>
      </w:r>
      <w:r>
        <w:rPr>
          <w:lang w:eastAsia="zh-CN"/>
        </w:rPr>
        <w:t>CWG-FHR</w:t>
      </w:r>
      <w:r>
        <w:rPr>
          <w:rFonts w:hint="eastAsia"/>
          <w:lang w:eastAsia="zh-CN"/>
        </w:rPr>
        <w:t>）下次会议审议，并最迟在</w:t>
      </w:r>
      <w:r>
        <w:rPr>
          <w:lang w:eastAsia="zh-CN"/>
        </w:rPr>
        <w:t>CWG-FHR</w:t>
      </w:r>
      <w:r>
        <w:rPr>
          <w:rFonts w:hint="eastAsia"/>
          <w:lang w:eastAsia="zh-CN"/>
        </w:rPr>
        <w:t>下次会议的六周前送达该组；</w:t>
      </w:r>
    </w:p>
    <w:p w14:paraId="4827B5F2" w14:textId="77777777" w:rsidR="00BF6C9F" w:rsidRDefault="00BF6C9F" w:rsidP="00117AD9">
      <w:pPr>
        <w:rPr>
          <w:lang w:eastAsia="zh-CN"/>
        </w:rPr>
      </w:pPr>
      <w:r>
        <w:rPr>
          <w:lang w:eastAsia="zh-CN"/>
        </w:rPr>
        <w:t>5</w:t>
      </w:r>
      <w:r>
        <w:rPr>
          <w:lang w:eastAsia="zh-CN"/>
        </w:rPr>
        <w:tab/>
      </w:r>
      <w:r>
        <w:rPr>
          <w:rFonts w:hint="eastAsia"/>
          <w:lang w:eastAsia="zh-CN"/>
        </w:rPr>
        <w:t>责成</w:t>
      </w:r>
      <w:r>
        <w:rPr>
          <w:lang w:eastAsia="zh-CN"/>
        </w:rPr>
        <w:t>CWG-FHR</w:t>
      </w:r>
      <w:r>
        <w:rPr>
          <w:rFonts w:hint="eastAsia"/>
          <w:lang w:eastAsia="zh-CN"/>
        </w:rPr>
        <w:t>在顾及秘书长的报告和第</w:t>
      </w:r>
      <w:r>
        <w:rPr>
          <w:lang w:eastAsia="zh-CN"/>
        </w:rPr>
        <w:t>11</w:t>
      </w:r>
      <w:r>
        <w:rPr>
          <w:rFonts w:hint="eastAsia"/>
          <w:lang w:eastAsia="zh-CN"/>
        </w:rPr>
        <w:t>号决定（</w:t>
      </w:r>
      <w:r>
        <w:rPr>
          <w:lang w:eastAsia="zh-CN"/>
        </w:rPr>
        <w:t>2014</w:t>
      </w:r>
      <w:r>
        <w:rPr>
          <w:rFonts w:hint="eastAsia"/>
          <w:lang w:eastAsia="zh-CN"/>
        </w:rPr>
        <w:t>年，釜山，修订版）的情况下审议第</w:t>
      </w:r>
      <w:r>
        <w:rPr>
          <w:lang w:eastAsia="zh-CN"/>
        </w:rPr>
        <w:t>1333</w:t>
      </w:r>
      <w:r>
        <w:rPr>
          <w:rFonts w:hint="eastAsia"/>
          <w:lang w:eastAsia="zh-CN"/>
        </w:rPr>
        <w:t>号决议，并将有关这一问题的结论提交理事会</w:t>
      </w:r>
      <w:r>
        <w:rPr>
          <w:lang w:eastAsia="zh-CN"/>
        </w:rPr>
        <w:t>2016</w:t>
      </w:r>
      <w:r>
        <w:rPr>
          <w:rFonts w:hint="eastAsia"/>
          <w:lang w:eastAsia="zh-CN"/>
        </w:rPr>
        <w:t>年会议。</w:t>
      </w:r>
    </w:p>
    <w:p w14:paraId="4827B5F3" w14:textId="77777777" w:rsidR="00BF6C9F" w:rsidRDefault="00BF6C9F" w:rsidP="00BF6C9F">
      <w:pPr>
        <w:pStyle w:val="Endtext"/>
        <w:rPr>
          <w:lang w:eastAsia="zh-CN"/>
        </w:rPr>
      </w:pPr>
      <w:r w:rsidRPr="001A19E4">
        <w:rPr>
          <w:rFonts w:ascii="STKaiti" w:hAnsi="STKaiti" w:hint="eastAsia"/>
          <w:lang w:eastAsia="zh-CN"/>
        </w:rPr>
        <w:t>参阅</w:t>
      </w:r>
      <w:r w:rsidRPr="001A19E4">
        <w:rPr>
          <w:rFonts w:hint="eastAsia"/>
          <w:lang w:eastAsia="zh-CN"/>
        </w:rPr>
        <w:t>：</w:t>
      </w:r>
      <w:r w:rsidRPr="001A19E4">
        <w:rPr>
          <w:lang w:eastAsia="zh-CN"/>
        </w:rPr>
        <w:tab/>
      </w:r>
      <w:hyperlink r:id="rId366" w:history="1">
        <w:r w:rsidRPr="00C8630C">
          <w:rPr>
            <w:rStyle w:val="Hyperlink"/>
            <w:lang w:eastAsia="zh-CN"/>
          </w:rPr>
          <w:t>C15/116</w:t>
        </w:r>
      </w:hyperlink>
      <w:r>
        <w:rPr>
          <w:rFonts w:hint="eastAsia"/>
          <w:lang w:eastAsia="zh-CN"/>
        </w:rPr>
        <w:t>和</w:t>
      </w:r>
      <w:hyperlink r:id="rId367" w:history="1">
        <w:r w:rsidRPr="00C8630C">
          <w:rPr>
            <w:rStyle w:val="Hyperlink"/>
            <w:lang w:eastAsia="zh-CN"/>
          </w:rPr>
          <w:t>C15/125</w:t>
        </w:r>
      </w:hyperlink>
      <w:r>
        <w:rPr>
          <w:rFonts w:hint="eastAsia"/>
          <w:lang w:eastAsia="zh-CN"/>
        </w:rPr>
        <w:t>号</w:t>
      </w:r>
      <w:r>
        <w:rPr>
          <w:lang w:eastAsia="zh-CN"/>
        </w:rPr>
        <w:t>文件。</w:t>
      </w:r>
    </w:p>
    <w:p w14:paraId="4827B5F4" w14:textId="77777777" w:rsidR="005F47C1" w:rsidRDefault="005F47C1" w:rsidP="005F47C1">
      <w:pPr>
        <w:jc w:val="center"/>
        <w:rPr>
          <w:lang w:eastAsia="zh-CN"/>
        </w:rPr>
      </w:pPr>
      <w:r>
        <w:rPr>
          <w:lang w:eastAsia="zh-CN"/>
        </w:rPr>
        <w:t>______________</w:t>
      </w:r>
    </w:p>
    <w:p w14:paraId="4827B5F5" w14:textId="4EBB43CD" w:rsidR="00B6155F" w:rsidRDefault="00B6155F">
      <w:pPr>
        <w:tabs>
          <w:tab w:val="clear" w:pos="794"/>
          <w:tab w:val="clear" w:pos="1191"/>
          <w:tab w:val="clear" w:pos="1588"/>
          <w:tab w:val="clear" w:pos="1985"/>
        </w:tabs>
        <w:overflowPunct/>
        <w:autoSpaceDE/>
        <w:autoSpaceDN/>
        <w:adjustRightInd/>
        <w:spacing w:before="0"/>
        <w:jc w:val="left"/>
        <w:textAlignment w:val="auto"/>
        <w:rPr>
          <w:lang w:val="ru-RU" w:eastAsia="zh-CN"/>
        </w:rPr>
      </w:pPr>
      <w:r>
        <w:rPr>
          <w:lang w:val="ru-RU" w:eastAsia="zh-CN"/>
        </w:rPr>
        <w:br w:type="page"/>
      </w:r>
    </w:p>
    <w:p w14:paraId="16E48EC4" w14:textId="5034027D" w:rsidR="00245570" w:rsidRDefault="00245570" w:rsidP="00CA7362">
      <w:pPr>
        <w:pStyle w:val="DecNo"/>
        <w:outlineLvl w:val="0"/>
      </w:pPr>
      <w:bookmarkStart w:id="1901" w:name="_Toc86395622"/>
      <w:bookmarkStart w:id="1902" w:name="_Hlk37226918"/>
      <w:r w:rsidRPr="008F1B2C">
        <w:rPr>
          <w:rFonts w:hint="eastAsia"/>
        </w:rPr>
        <w:lastRenderedPageBreak/>
        <w:t>第</w:t>
      </w:r>
      <w:r>
        <w:rPr>
          <w:lang w:val="en-US"/>
        </w:rPr>
        <w:t>62</w:t>
      </w:r>
      <w:r w:rsidR="006C740C">
        <w:rPr>
          <w:lang w:val="en-US"/>
        </w:rPr>
        <w:t>5</w:t>
      </w:r>
      <w:r w:rsidRPr="008F1B2C">
        <w:rPr>
          <w:rFonts w:hint="eastAsia"/>
        </w:rPr>
        <w:t>号决定</w:t>
      </w:r>
      <w:r>
        <w:rPr>
          <w:rFonts w:hint="eastAsia"/>
        </w:rPr>
        <w:t>（</w:t>
      </w:r>
      <w:r>
        <w:rPr>
          <w:rFonts w:hint="eastAsia"/>
        </w:rPr>
        <w:t>C</w:t>
      </w:r>
      <w:r>
        <w:t>2</w:t>
      </w:r>
      <w:r w:rsidR="006C740C">
        <w:t>1</w:t>
      </w:r>
      <w:r>
        <w:rPr>
          <w:rFonts w:hint="eastAsia"/>
        </w:rPr>
        <w:t>）</w:t>
      </w:r>
      <w:bookmarkEnd w:id="1901"/>
    </w:p>
    <w:p w14:paraId="5FE95271" w14:textId="2928F7EE" w:rsidR="00245570" w:rsidRDefault="006C740C" w:rsidP="00AE3990">
      <w:pPr>
        <w:pStyle w:val="Dectitle"/>
      </w:pPr>
      <w:r>
        <w:rPr>
          <w:rFonts w:hint="eastAsia"/>
        </w:rPr>
        <w:t>理事会</w:t>
      </w:r>
      <w:r>
        <w:rPr>
          <w:rFonts w:hint="eastAsia"/>
        </w:rPr>
        <w:t>2022</w:t>
      </w:r>
      <w:r>
        <w:rPr>
          <w:rFonts w:hint="eastAsia"/>
        </w:rPr>
        <w:t>、</w:t>
      </w:r>
      <w:r>
        <w:rPr>
          <w:rFonts w:hint="eastAsia"/>
        </w:rPr>
        <w:t>2023</w:t>
      </w:r>
      <w:r>
        <w:rPr>
          <w:rFonts w:hint="eastAsia"/>
        </w:rPr>
        <w:t>、</w:t>
      </w:r>
      <w:r>
        <w:rPr>
          <w:rFonts w:hint="eastAsia"/>
        </w:rPr>
        <w:t>2024</w:t>
      </w:r>
      <w:r>
        <w:rPr>
          <w:rFonts w:hint="eastAsia"/>
        </w:rPr>
        <w:t>、</w:t>
      </w:r>
      <w:r>
        <w:rPr>
          <w:rFonts w:hint="eastAsia"/>
        </w:rPr>
        <w:t>2025</w:t>
      </w:r>
      <w:r>
        <w:rPr>
          <w:rFonts w:hint="eastAsia"/>
        </w:rPr>
        <w:t>和</w:t>
      </w:r>
      <w:r>
        <w:rPr>
          <w:rFonts w:hint="eastAsia"/>
        </w:rPr>
        <w:t>2026</w:t>
      </w:r>
      <w:r>
        <w:rPr>
          <w:rFonts w:hint="eastAsia"/>
        </w:rPr>
        <w:t>年会议以及</w:t>
      </w:r>
      <w:r>
        <w:br/>
      </w:r>
      <w:r>
        <w:rPr>
          <w:rFonts w:hint="eastAsia"/>
        </w:rPr>
        <w:t>理事会工作组和专家组</w:t>
      </w:r>
      <w:r>
        <w:rPr>
          <w:rFonts w:hint="eastAsia"/>
        </w:rPr>
        <w:t>2022</w:t>
      </w:r>
      <w:r>
        <w:rPr>
          <w:rFonts w:hint="eastAsia"/>
        </w:rPr>
        <w:t>、</w:t>
      </w:r>
      <w:r>
        <w:rPr>
          <w:rFonts w:hint="eastAsia"/>
        </w:rPr>
        <w:t>2023</w:t>
      </w:r>
      <w:r>
        <w:rPr>
          <w:rFonts w:hint="eastAsia"/>
        </w:rPr>
        <w:t>和</w:t>
      </w:r>
      <w:r>
        <w:br/>
      </w:r>
      <w:r>
        <w:rPr>
          <w:rFonts w:hint="eastAsia"/>
        </w:rPr>
        <w:t>2024</w:t>
      </w:r>
      <w:r>
        <w:rPr>
          <w:rFonts w:hint="eastAsia"/>
        </w:rPr>
        <w:t>年集中开会的日期和会期</w:t>
      </w:r>
    </w:p>
    <w:bookmarkEnd w:id="1902"/>
    <w:p w14:paraId="1C698A85" w14:textId="77777777" w:rsidR="006C740C" w:rsidRPr="00557B73" w:rsidRDefault="006C740C" w:rsidP="006C740C">
      <w:pPr>
        <w:pStyle w:val="Normalaftertitle0"/>
        <w:rPr>
          <w:lang w:val="en-US"/>
        </w:rPr>
      </w:pPr>
      <w:r w:rsidRPr="00557B73">
        <w:rPr>
          <w:rFonts w:hint="eastAsia"/>
        </w:rPr>
        <w:t>国际电联理事会，</w:t>
      </w:r>
    </w:p>
    <w:p w14:paraId="17F3C704" w14:textId="77777777" w:rsidR="006C740C" w:rsidRPr="00557B73" w:rsidRDefault="006C740C" w:rsidP="006C740C">
      <w:pPr>
        <w:pStyle w:val="Call"/>
        <w:rPr>
          <w:rFonts w:ascii="KaiTi" w:eastAsia="KaiTi" w:hAnsi="KaiTi"/>
          <w:lang w:val="en-US" w:eastAsia="zh-CN"/>
        </w:rPr>
      </w:pPr>
      <w:r w:rsidRPr="00557B73">
        <w:rPr>
          <w:rFonts w:hint="eastAsia"/>
          <w:lang w:val="en-US" w:eastAsia="zh-CN"/>
        </w:rPr>
        <w:t>铭记</w:t>
      </w:r>
    </w:p>
    <w:p w14:paraId="7E26AEDA" w14:textId="77777777" w:rsidR="006C740C" w:rsidRPr="00557B73" w:rsidRDefault="006C740C" w:rsidP="006C740C">
      <w:pPr>
        <w:rPr>
          <w:highlight w:val="yellow"/>
          <w:lang w:val="en-US" w:eastAsia="zh-CN"/>
        </w:rPr>
      </w:pPr>
      <w:r w:rsidRPr="00557B73">
        <w:rPr>
          <w:i/>
          <w:iCs/>
          <w:lang w:val="en-US" w:eastAsia="zh-CN"/>
        </w:rPr>
        <w:t>a)</w:t>
      </w:r>
      <w:r w:rsidRPr="00557B73">
        <w:rPr>
          <w:lang w:val="en-US" w:eastAsia="zh-CN"/>
        </w:rPr>
        <w:tab/>
      </w:r>
      <w:r w:rsidRPr="00557B73">
        <w:rPr>
          <w:rFonts w:hint="eastAsia"/>
          <w:lang w:val="en-US" w:eastAsia="zh-CN"/>
        </w:rPr>
        <w:t>全权代表大会第</w:t>
      </w:r>
      <w:r w:rsidRPr="00557B73">
        <w:rPr>
          <w:rFonts w:hint="eastAsia"/>
          <w:lang w:val="en-US" w:eastAsia="zh-CN"/>
        </w:rPr>
        <w:t>77</w:t>
      </w:r>
      <w:r w:rsidRPr="00557B73">
        <w:rPr>
          <w:rFonts w:hint="eastAsia"/>
          <w:lang w:val="en-US" w:eastAsia="zh-CN"/>
        </w:rPr>
        <w:t>号决议（</w:t>
      </w:r>
      <w:r w:rsidRPr="00557B73">
        <w:rPr>
          <w:lang w:val="en-US" w:eastAsia="zh-CN"/>
        </w:rPr>
        <w:t>2018</w:t>
      </w:r>
      <w:r w:rsidRPr="00557B73">
        <w:rPr>
          <w:rFonts w:hint="eastAsia"/>
          <w:lang w:val="en-US" w:eastAsia="zh-CN"/>
        </w:rPr>
        <w:t>年，迪拜，修订版）</w:t>
      </w:r>
      <w:r w:rsidRPr="00557B73">
        <w:rPr>
          <w:rFonts w:ascii="STKaiti" w:eastAsia="STKaiti" w:hAnsi="STKaiti" w:hint="eastAsia"/>
          <w:lang w:val="en-US" w:eastAsia="zh-CN"/>
        </w:rPr>
        <w:t>责成理事会</w:t>
      </w:r>
      <w:r w:rsidRPr="00557B73">
        <w:rPr>
          <w:rFonts w:ascii="SimSun" w:hAnsi="SimSun" w:cs="Calibri"/>
          <w:lang w:val="en-US" w:eastAsia="zh-CN"/>
        </w:rPr>
        <w:t>“</w:t>
      </w:r>
      <w:r w:rsidRPr="00557B73">
        <w:rPr>
          <w:rFonts w:hint="eastAsia"/>
          <w:lang w:val="en-US" w:eastAsia="zh-CN"/>
        </w:rPr>
        <w:t>在每届例会上将之后三届理事会例会安排在</w:t>
      </w:r>
      <w:r w:rsidRPr="00557B73">
        <w:rPr>
          <w:rFonts w:hint="eastAsia"/>
          <w:lang w:val="en-US" w:eastAsia="zh-CN"/>
        </w:rPr>
        <w:t>6</w:t>
      </w:r>
      <w:r w:rsidRPr="00557B73">
        <w:rPr>
          <w:rFonts w:hint="eastAsia"/>
          <w:lang w:val="en-US" w:eastAsia="zh-CN"/>
        </w:rPr>
        <w:t>月至</w:t>
      </w:r>
      <w:r w:rsidRPr="00557B73">
        <w:rPr>
          <w:rFonts w:hint="eastAsia"/>
          <w:lang w:val="en-US" w:eastAsia="zh-CN"/>
        </w:rPr>
        <w:t>7</w:t>
      </w:r>
      <w:r w:rsidRPr="00557B73">
        <w:rPr>
          <w:rFonts w:hint="eastAsia"/>
          <w:lang w:val="en-US" w:eastAsia="zh-CN"/>
        </w:rPr>
        <w:t>月并对此进行滚动式审议</w:t>
      </w:r>
      <w:r w:rsidRPr="00557B73">
        <w:rPr>
          <w:rFonts w:ascii="SimSun" w:hAnsi="SimSun" w:cs="Calibri"/>
          <w:lang w:val="en-US" w:eastAsia="zh-CN"/>
        </w:rPr>
        <w:t>”</w:t>
      </w:r>
      <w:r w:rsidRPr="00557B73">
        <w:rPr>
          <w:rFonts w:cs="Calibri" w:hint="eastAsia"/>
          <w:lang w:val="en-US" w:eastAsia="zh-CN"/>
        </w:rPr>
        <w:t>；</w:t>
      </w:r>
    </w:p>
    <w:p w14:paraId="2D0EEF8F" w14:textId="77777777" w:rsidR="006C740C" w:rsidRPr="00557B73" w:rsidRDefault="006C740C" w:rsidP="006C740C">
      <w:pPr>
        <w:rPr>
          <w:lang w:val="en-US" w:eastAsia="zh-CN"/>
        </w:rPr>
      </w:pPr>
      <w:bookmarkStart w:id="1903" w:name="_Hlk74747168"/>
      <w:bookmarkStart w:id="1904" w:name="lt_pId045"/>
      <w:r w:rsidRPr="00557B73">
        <w:rPr>
          <w:i/>
          <w:iCs/>
          <w:lang w:val="en-US" w:eastAsia="zh-CN"/>
        </w:rPr>
        <w:t>b)</w:t>
      </w:r>
      <w:r w:rsidRPr="00557B73">
        <w:rPr>
          <w:lang w:val="en-US" w:eastAsia="zh-CN"/>
        </w:rPr>
        <w:tab/>
      </w:r>
      <w:r w:rsidRPr="00557B73">
        <w:rPr>
          <w:rFonts w:hint="eastAsia"/>
          <w:lang w:val="en-US" w:eastAsia="zh-CN"/>
        </w:rPr>
        <w:t>全权代表大会第</w:t>
      </w:r>
      <w:r w:rsidRPr="00557B73">
        <w:rPr>
          <w:lang w:val="en-US" w:eastAsia="zh-CN"/>
        </w:rPr>
        <w:t>111</w:t>
      </w:r>
      <w:r w:rsidRPr="00557B73">
        <w:rPr>
          <w:rFonts w:hint="eastAsia"/>
          <w:lang w:val="en-US" w:eastAsia="zh-CN"/>
        </w:rPr>
        <w:t>号决议（</w:t>
      </w:r>
      <w:r w:rsidRPr="00557B73">
        <w:rPr>
          <w:lang w:val="en-US" w:eastAsia="zh-CN"/>
        </w:rPr>
        <w:t>2014</w:t>
      </w:r>
      <w:r w:rsidRPr="00557B73">
        <w:rPr>
          <w:rFonts w:hint="eastAsia"/>
          <w:lang w:val="en-US" w:eastAsia="zh-CN"/>
        </w:rPr>
        <w:t>年，釜山，修订版）</w:t>
      </w:r>
      <w:r w:rsidRPr="00557B73">
        <w:rPr>
          <w:rFonts w:ascii="STKaiti" w:eastAsia="STKaiti" w:hAnsi="STKaiti" w:hint="eastAsia"/>
          <w:lang w:val="en-US" w:eastAsia="zh-CN"/>
        </w:rPr>
        <w:t>做出决议</w:t>
      </w:r>
      <w:r w:rsidRPr="00557B73">
        <w:rPr>
          <w:rFonts w:hint="eastAsia"/>
          <w:lang w:val="en-US" w:eastAsia="zh-CN"/>
        </w:rPr>
        <w:t>，“国际电联及各理事国应尽力避免将理事会任何会议的计划会期安排在一理事国认为是主要的宗教节日期间”</w:t>
      </w:r>
      <w:r>
        <w:rPr>
          <w:rFonts w:hint="eastAsia"/>
          <w:lang w:val="en-US" w:eastAsia="zh-CN"/>
        </w:rPr>
        <w:t>；</w:t>
      </w:r>
      <w:bookmarkEnd w:id="1903"/>
    </w:p>
    <w:p w14:paraId="31091F49" w14:textId="77777777" w:rsidR="006C740C" w:rsidRPr="00557B73" w:rsidRDefault="006C740C" w:rsidP="006C740C">
      <w:pPr>
        <w:rPr>
          <w:lang w:val="en-US" w:eastAsia="zh-CN"/>
        </w:rPr>
      </w:pPr>
      <w:r w:rsidRPr="00557B73">
        <w:rPr>
          <w:rFonts w:hint="eastAsia"/>
          <w:i/>
          <w:iCs/>
          <w:lang w:val="en-US" w:eastAsia="zh-CN"/>
        </w:rPr>
        <w:t>c</w:t>
      </w:r>
      <w:r w:rsidRPr="00557B73">
        <w:rPr>
          <w:i/>
          <w:iCs/>
          <w:lang w:val="en-US" w:eastAsia="zh-CN"/>
        </w:rPr>
        <w:t>)</w:t>
      </w:r>
      <w:r w:rsidRPr="00557B73">
        <w:rPr>
          <w:lang w:val="en-US" w:eastAsia="zh-CN"/>
        </w:rPr>
        <w:tab/>
      </w:r>
      <w:r w:rsidRPr="00557B73">
        <w:rPr>
          <w:lang w:val="fr-FR" w:eastAsia="zh-CN"/>
        </w:rPr>
        <w:t>理事会</w:t>
      </w:r>
      <w:r w:rsidRPr="00557B73">
        <w:rPr>
          <w:lang w:val="en-US" w:eastAsia="zh-CN"/>
        </w:rPr>
        <w:t>2019</w:t>
      </w:r>
      <w:r w:rsidRPr="00557B73">
        <w:rPr>
          <w:lang w:val="fr-FR" w:eastAsia="zh-CN"/>
        </w:rPr>
        <w:t>年增开会议</w:t>
      </w:r>
      <w:r>
        <w:rPr>
          <w:rFonts w:hint="eastAsia"/>
          <w:lang w:val="fr-FR" w:eastAsia="zh-CN"/>
        </w:rPr>
        <w:t>上</w:t>
      </w:r>
      <w:r w:rsidRPr="00557B73">
        <w:rPr>
          <w:rFonts w:hint="eastAsia"/>
          <w:lang w:val="fr-FR" w:eastAsia="zh-CN"/>
        </w:rPr>
        <w:t>通过的关于总部办公场所的第</w:t>
      </w:r>
      <w:r w:rsidRPr="00557B73">
        <w:rPr>
          <w:rFonts w:hint="eastAsia"/>
          <w:lang w:val="en-US" w:eastAsia="zh-CN"/>
        </w:rPr>
        <w:t>6</w:t>
      </w:r>
      <w:r w:rsidRPr="00557B73">
        <w:rPr>
          <w:lang w:val="en-US" w:eastAsia="zh-CN"/>
        </w:rPr>
        <w:t>19</w:t>
      </w:r>
      <w:r w:rsidRPr="00557B73">
        <w:rPr>
          <w:rFonts w:hint="eastAsia"/>
          <w:lang w:val="fr-FR" w:eastAsia="zh-CN"/>
        </w:rPr>
        <w:t>号决定</w:t>
      </w:r>
      <w:r w:rsidRPr="00557B73">
        <w:rPr>
          <w:rFonts w:hint="eastAsia"/>
          <w:lang w:val="en-US" w:eastAsia="zh-CN"/>
        </w:rPr>
        <w:t>，</w:t>
      </w:r>
    </w:p>
    <w:bookmarkEnd w:id="1904"/>
    <w:p w14:paraId="4602014C" w14:textId="77777777" w:rsidR="006C740C" w:rsidRPr="00557B73" w:rsidRDefault="006C740C" w:rsidP="006C740C">
      <w:pPr>
        <w:pStyle w:val="Call"/>
        <w:rPr>
          <w:rFonts w:ascii="KaiTi" w:eastAsia="KaiTi" w:hAnsi="KaiTi"/>
          <w:lang w:val="en-US" w:eastAsia="zh-CN"/>
        </w:rPr>
      </w:pPr>
      <w:r w:rsidRPr="00557B73">
        <w:rPr>
          <w:rFonts w:hint="eastAsia"/>
          <w:lang w:val="en-US" w:eastAsia="zh-CN"/>
        </w:rPr>
        <w:t>忆及</w:t>
      </w:r>
    </w:p>
    <w:p w14:paraId="55F888EA" w14:textId="77777777" w:rsidR="006C740C" w:rsidRPr="00557B73" w:rsidRDefault="006C740C" w:rsidP="006C740C">
      <w:pPr>
        <w:pStyle w:val="NormalCH"/>
        <w:ind w:firstLine="480"/>
        <w:rPr>
          <w:lang w:val="en-US"/>
        </w:rPr>
      </w:pPr>
      <w:r w:rsidRPr="00557B73">
        <w:rPr>
          <w:rFonts w:hint="eastAsia"/>
          <w:lang w:val="en-US"/>
        </w:rPr>
        <w:t>确定理事会</w:t>
      </w:r>
      <w:r w:rsidRPr="00557B73">
        <w:rPr>
          <w:lang w:val="en-US"/>
        </w:rPr>
        <w:t>20</w:t>
      </w:r>
      <w:r w:rsidRPr="00557B73">
        <w:rPr>
          <w:rFonts w:hint="eastAsia"/>
          <w:lang w:val="en-US"/>
        </w:rPr>
        <w:t>22</w:t>
      </w:r>
      <w:r w:rsidRPr="00557B73">
        <w:rPr>
          <w:rFonts w:hint="eastAsia"/>
          <w:lang w:val="en-US"/>
        </w:rPr>
        <w:t>、</w:t>
      </w:r>
      <w:r w:rsidRPr="00557B73">
        <w:rPr>
          <w:rFonts w:hint="eastAsia"/>
          <w:lang w:val="en-US"/>
        </w:rPr>
        <w:t>2</w:t>
      </w:r>
      <w:r w:rsidRPr="00557B73">
        <w:rPr>
          <w:lang w:val="en-US"/>
        </w:rPr>
        <w:t>023</w:t>
      </w:r>
      <w:r w:rsidRPr="00557B73">
        <w:rPr>
          <w:rFonts w:hint="eastAsia"/>
          <w:lang w:val="en-US"/>
        </w:rPr>
        <w:t>、</w:t>
      </w:r>
      <w:r w:rsidRPr="00557B73">
        <w:rPr>
          <w:rFonts w:hint="eastAsia"/>
          <w:lang w:val="en-US"/>
        </w:rPr>
        <w:t>2</w:t>
      </w:r>
      <w:r w:rsidRPr="00557B73">
        <w:rPr>
          <w:lang w:val="en-US"/>
        </w:rPr>
        <w:t>024</w:t>
      </w:r>
      <w:r w:rsidRPr="00557B73">
        <w:rPr>
          <w:rFonts w:hint="eastAsia"/>
          <w:lang w:val="en-US"/>
        </w:rPr>
        <w:t>、</w:t>
      </w:r>
      <w:r w:rsidRPr="00557B73">
        <w:rPr>
          <w:rFonts w:hint="eastAsia"/>
          <w:lang w:val="en-US"/>
        </w:rPr>
        <w:t>2</w:t>
      </w:r>
      <w:r w:rsidRPr="00557B73">
        <w:rPr>
          <w:lang w:val="en-US"/>
        </w:rPr>
        <w:t>025</w:t>
      </w:r>
      <w:r w:rsidRPr="00557B73">
        <w:rPr>
          <w:rFonts w:hint="eastAsia"/>
          <w:lang w:val="en-US"/>
        </w:rPr>
        <w:t>和</w:t>
      </w:r>
      <w:r w:rsidRPr="00557B73">
        <w:rPr>
          <w:rFonts w:hint="eastAsia"/>
          <w:lang w:val="en-US"/>
        </w:rPr>
        <w:t>2</w:t>
      </w:r>
      <w:r w:rsidRPr="00557B73">
        <w:rPr>
          <w:lang w:val="en-US"/>
        </w:rPr>
        <w:t>026</w:t>
      </w:r>
      <w:r w:rsidRPr="00557B73">
        <w:rPr>
          <w:rFonts w:hint="eastAsia"/>
          <w:lang w:val="en-US"/>
        </w:rPr>
        <w:t>年会议以及</w:t>
      </w:r>
      <w:r w:rsidRPr="00557B73">
        <w:rPr>
          <w:lang w:val="en-US"/>
        </w:rPr>
        <w:t>2022</w:t>
      </w:r>
      <w:r w:rsidRPr="00557B73">
        <w:rPr>
          <w:lang w:val="en-US"/>
        </w:rPr>
        <w:t>年集中</w:t>
      </w:r>
      <w:r w:rsidRPr="00557B73">
        <w:rPr>
          <w:rFonts w:hint="eastAsia"/>
          <w:lang w:val="en-US"/>
        </w:rPr>
        <w:t>召开的</w:t>
      </w:r>
      <w:r w:rsidRPr="00557B73">
        <w:rPr>
          <w:lang w:val="en-US"/>
        </w:rPr>
        <w:t>理事会工作组</w:t>
      </w:r>
      <w:r w:rsidRPr="00557B73">
        <w:rPr>
          <w:rFonts w:hint="eastAsia"/>
          <w:lang w:val="en-US"/>
        </w:rPr>
        <w:t>和专家组会议的</w:t>
      </w:r>
      <w:r w:rsidRPr="00557B73">
        <w:rPr>
          <w:lang w:val="en-US"/>
        </w:rPr>
        <w:t>日期</w:t>
      </w:r>
      <w:r w:rsidRPr="00557B73">
        <w:rPr>
          <w:rFonts w:hint="eastAsia"/>
          <w:lang w:val="en-US"/>
        </w:rPr>
        <w:t>和会期的理事会第</w:t>
      </w:r>
      <w:r w:rsidRPr="00557B73">
        <w:rPr>
          <w:rFonts w:hint="eastAsia"/>
          <w:lang w:val="en-US"/>
        </w:rPr>
        <w:t>62</w:t>
      </w:r>
      <w:r w:rsidRPr="00557B73">
        <w:rPr>
          <w:lang w:val="en-US"/>
        </w:rPr>
        <w:t>0</w:t>
      </w:r>
      <w:r w:rsidRPr="00557B73">
        <w:rPr>
          <w:rFonts w:hint="eastAsia"/>
          <w:lang w:val="en-US"/>
        </w:rPr>
        <w:t>号决定，</w:t>
      </w:r>
    </w:p>
    <w:p w14:paraId="3AA95DB6" w14:textId="77777777" w:rsidR="006C740C" w:rsidRPr="00557B73" w:rsidRDefault="006C740C" w:rsidP="006C740C">
      <w:pPr>
        <w:pStyle w:val="Call"/>
        <w:rPr>
          <w:rFonts w:ascii="KaiTi" w:eastAsia="KaiTi" w:hAnsi="KaiTi"/>
          <w:lang w:val="en-US" w:eastAsia="zh-CN"/>
        </w:rPr>
      </w:pPr>
      <w:r w:rsidRPr="00557B73">
        <w:rPr>
          <w:rFonts w:hint="eastAsia"/>
          <w:lang w:val="en-US" w:eastAsia="zh-CN"/>
        </w:rPr>
        <w:t>考虑到</w:t>
      </w:r>
    </w:p>
    <w:p w14:paraId="0E7CEDC1" w14:textId="77777777" w:rsidR="006C740C" w:rsidRPr="00557B73" w:rsidRDefault="006C740C" w:rsidP="006C740C">
      <w:pPr>
        <w:pStyle w:val="NormalCH"/>
        <w:ind w:firstLine="480"/>
        <w:rPr>
          <w:lang w:val="en-US"/>
        </w:rPr>
      </w:pPr>
      <w:r w:rsidRPr="00557B73">
        <w:rPr>
          <w:rFonts w:hint="eastAsia"/>
          <w:lang w:val="en-US"/>
        </w:rPr>
        <w:t>为方便安排国际电联的其他活动起见，有必要尽可能地将理事会例会安排在每年的同一时间框架内，</w:t>
      </w:r>
    </w:p>
    <w:p w14:paraId="69B9C866" w14:textId="77777777" w:rsidR="006C740C" w:rsidRPr="00557B73" w:rsidRDefault="006C740C" w:rsidP="006C740C">
      <w:pPr>
        <w:pStyle w:val="Call"/>
        <w:rPr>
          <w:rFonts w:ascii="KaiTi" w:eastAsia="KaiTi" w:hAnsi="KaiTi"/>
          <w:lang w:val="en-US" w:eastAsia="zh-CN"/>
        </w:rPr>
      </w:pPr>
      <w:r w:rsidRPr="00557B73">
        <w:rPr>
          <w:rFonts w:hint="eastAsia"/>
          <w:lang w:val="en-US" w:eastAsia="zh-CN"/>
        </w:rPr>
        <w:t>进一步考虑到</w:t>
      </w:r>
    </w:p>
    <w:p w14:paraId="1749CF3E" w14:textId="77777777" w:rsidR="006C740C" w:rsidRPr="00557B73" w:rsidRDefault="006C740C" w:rsidP="006C740C">
      <w:pPr>
        <w:pStyle w:val="NormalCH"/>
        <w:ind w:firstLine="480"/>
        <w:rPr>
          <w:lang w:val="en-US"/>
        </w:rPr>
      </w:pPr>
      <w:r w:rsidRPr="00557B73">
        <w:rPr>
          <w:rFonts w:ascii="SimSun" w:hAnsi="SimSun" w:hint="eastAsia"/>
          <w:lang w:val="en-US"/>
        </w:rPr>
        <w:t>有必要将全权代表大会召开年</w:t>
      </w:r>
      <w:r w:rsidRPr="00557B73">
        <w:rPr>
          <w:rFonts w:hint="eastAsia"/>
          <w:lang w:val="en-US"/>
        </w:rPr>
        <w:t>的理事会例会安排在尽早的时间举行，以利于有待全权代表大会进一步审议的理事会报告在合理的时间框架内公布，</w:t>
      </w:r>
    </w:p>
    <w:p w14:paraId="05A03D5E" w14:textId="77777777" w:rsidR="006C740C" w:rsidRPr="001C1BF9" w:rsidRDefault="006C740C" w:rsidP="006C740C">
      <w:pPr>
        <w:pStyle w:val="Call"/>
        <w:rPr>
          <w:lang w:val="en-US" w:eastAsia="zh-CN"/>
        </w:rPr>
      </w:pPr>
      <w:r w:rsidRPr="001C1BF9">
        <w:rPr>
          <w:rFonts w:hint="eastAsia"/>
          <w:lang w:val="en-US" w:eastAsia="zh-CN"/>
        </w:rPr>
        <w:t>强调</w:t>
      </w:r>
    </w:p>
    <w:p w14:paraId="6F5EE955" w14:textId="77777777" w:rsidR="006C740C" w:rsidRPr="00557B73" w:rsidRDefault="006C740C" w:rsidP="006C740C">
      <w:pPr>
        <w:pStyle w:val="NormalCH"/>
        <w:ind w:firstLine="480"/>
        <w:rPr>
          <w:lang w:val="en-US"/>
        </w:rPr>
      </w:pPr>
      <w:r w:rsidRPr="00557B73">
        <w:rPr>
          <w:rFonts w:hint="eastAsia"/>
          <w:lang w:val="en-US"/>
        </w:rPr>
        <w:t>进行理事会工作组和专家组（</w:t>
      </w:r>
      <w:r w:rsidRPr="00557B73">
        <w:rPr>
          <w:lang w:val="en-US"/>
        </w:rPr>
        <w:t>CWG</w:t>
      </w:r>
      <w:r w:rsidRPr="00557B73">
        <w:rPr>
          <w:rFonts w:hint="eastAsia"/>
          <w:lang w:val="en-US"/>
        </w:rPr>
        <w:t>和</w:t>
      </w:r>
      <w:r w:rsidRPr="00557B73">
        <w:rPr>
          <w:lang w:val="en-US"/>
        </w:rPr>
        <w:t>EG</w:t>
      </w:r>
      <w:r w:rsidRPr="00557B73">
        <w:rPr>
          <w:rFonts w:hint="eastAsia"/>
          <w:lang w:val="en-US"/>
        </w:rPr>
        <w:t>）集中开会时段未来三年的时间安排，不仅可以完善国际电联活动的总体规划，而且还可以降低时间重叠的风险，</w:t>
      </w:r>
    </w:p>
    <w:p w14:paraId="272A45D6" w14:textId="77777777" w:rsidR="006C740C" w:rsidRPr="001C1BF9" w:rsidRDefault="006C740C" w:rsidP="006C740C">
      <w:pPr>
        <w:pStyle w:val="Call"/>
        <w:rPr>
          <w:lang w:val="en-US" w:eastAsia="zh-CN"/>
        </w:rPr>
      </w:pPr>
      <w:r w:rsidRPr="001C1BF9">
        <w:rPr>
          <w:rFonts w:hint="eastAsia"/>
          <w:lang w:val="en-US" w:eastAsia="zh-CN"/>
        </w:rPr>
        <w:t>认可</w:t>
      </w:r>
    </w:p>
    <w:p w14:paraId="1BC5E236" w14:textId="77777777" w:rsidR="006C740C" w:rsidRPr="00557B73" w:rsidRDefault="006C740C" w:rsidP="006C740C">
      <w:pPr>
        <w:pStyle w:val="NormalCH"/>
        <w:ind w:firstLine="480"/>
        <w:rPr>
          <w:lang w:val="en-US"/>
        </w:rPr>
      </w:pPr>
      <w:r w:rsidRPr="00557B73">
        <w:rPr>
          <w:rFonts w:hint="eastAsia"/>
          <w:lang w:val="en-US"/>
        </w:rPr>
        <w:t>有必要通过编制一份需求清单，解决项目的拆除和早期建设阶段对临时</w:t>
      </w:r>
      <w:r>
        <w:rPr>
          <w:rFonts w:hint="eastAsia"/>
          <w:lang w:val="en-US"/>
        </w:rPr>
        <w:t>性</w:t>
      </w:r>
      <w:r w:rsidRPr="00557B73">
        <w:rPr>
          <w:rFonts w:hint="eastAsia"/>
          <w:lang w:val="en-US"/>
        </w:rPr>
        <w:t>大会和会议设施的需求，清单中包括此阶段的大会和会议日期，</w:t>
      </w:r>
    </w:p>
    <w:p w14:paraId="37B02EE2" w14:textId="77777777" w:rsidR="006C740C" w:rsidRDefault="006C740C">
      <w:pPr>
        <w:tabs>
          <w:tab w:val="clear" w:pos="794"/>
          <w:tab w:val="clear" w:pos="1191"/>
          <w:tab w:val="clear" w:pos="1588"/>
          <w:tab w:val="clear" w:pos="1985"/>
        </w:tabs>
        <w:overflowPunct/>
        <w:autoSpaceDE/>
        <w:autoSpaceDN/>
        <w:adjustRightInd/>
        <w:spacing w:before="0"/>
        <w:jc w:val="left"/>
        <w:textAlignment w:val="auto"/>
        <w:rPr>
          <w:rFonts w:eastAsia="STKaiti"/>
          <w:lang w:val="en-US" w:eastAsia="zh-CN"/>
        </w:rPr>
      </w:pPr>
      <w:r>
        <w:rPr>
          <w:lang w:val="en-US" w:eastAsia="zh-CN"/>
        </w:rPr>
        <w:br w:type="page"/>
      </w:r>
    </w:p>
    <w:p w14:paraId="1183DF54" w14:textId="546B6936" w:rsidR="006C740C" w:rsidRPr="001C1BF9" w:rsidRDefault="006C740C" w:rsidP="006C740C">
      <w:pPr>
        <w:pStyle w:val="Call"/>
        <w:rPr>
          <w:lang w:val="en-US" w:eastAsia="zh-CN"/>
        </w:rPr>
      </w:pPr>
      <w:r w:rsidRPr="001C1BF9">
        <w:rPr>
          <w:rFonts w:hint="eastAsia"/>
          <w:lang w:val="en-US" w:eastAsia="zh-CN"/>
        </w:rPr>
        <w:lastRenderedPageBreak/>
        <w:t>做出决定</w:t>
      </w:r>
    </w:p>
    <w:p w14:paraId="0B1B455A" w14:textId="77777777" w:rsidR="006C740C" w:rsidRPr="00557B73" w:rsidRDefault="006C740C" w:rsidP="006C740C">
      <w:pPr>
        <w:rPr>
          <w:snapToGrid w:val="0"/>
          <w:lang w:val="en-US" w:eastAsia="zh-CN"/>
        </w:rPr>
      </w:pPr>
      <w:r w:rsidRPr="00557B73">
        <w:rPr>
          <w:snapToGrid w:val="0"/>
          <w:spacing w:val="-4"/>
          <w:lang w:val="en-US" w:eastAsia="zh-CN"/>
        </w:rPr>
        <w:t>1</w:t>
      </w:r>
      <w:r w:rsidRPr="00557B73">
        <w:rPr>
          <w:snapToGrid w:val="0"/>
          <w:spacing w:val="-4"/>
          <w:lang w:val="en-US" w:eastAsia="zh-CN"/>
        </w:rPr>
        <w:tab/>
      </w:r>
      <w:r w:rsidRPr="00557B73">
        <w:rPr>
          <w:rFonts w:hint="eastAsia"/>
          <w:snapToGrid w:val="0"/>
          <w:lang w:val="en-US" w:eastAsia="zh-CN"/>
        </w:rPr>
        <w:t>理事会</w:t>
      </w:r>
      <w:r w:rsidRPr="00557B73">
        <w:rPr>
          <w:rFonts w:hint="eastAsia"/>
          <w:snapToGrid w:val="0"/>
          <w:lang w:val="en-US" w:eastAsia="zh-CN"/>
        </w:rPr>
        <w:t>2</w:t>
      </w:r>
      <w:r w:rsidRPr="00557B73">
        <w:rPr>
          <w:snapToGrid w:val="0"/>
          <w:lang w:val="en-US" w:eastAsia="zh-CN"/>
        </w:rPr>
        <w:t>022</w:t>
      </w:r>
      <w:r w:rsidRPr="00557B73">
        <w:rPr>
          <w:rFonts w:hint="eastAsia"/>
          <w:snapToGrid w:val="0"/>
          <w:lang w:val="en-US" w:eastAsia="zh-CN"/>
        </w:rPr>
        <w:t>年例会将于日内瓦召开，为期九个工作日，而且还将</w:t>
      </w:r>
      <w:r w:rsidRPr="00557B73">
        <w:rPr>
          <w:rFonts w:hint="eastAsia"/>
          <w:lang w:val="en-US" w:eastAsia="zh-CN"/>
        </w:rPr>
        <w:t>集中</w:t>
      </w:r>
      <w:r w:rsidRPr="00557B73">
        <w:rPr>
          <w:rFonts w:hint="eastAsia"/>
          <w:snapToGrid w:val="0"/>
          <w:lang w:val="en-US" w:eastAsia="zh-CN"/>
        </w:rPr>
        <w:t>召开其</w:t>
      </w:r>
      <w:r w:rsidRPr="00557B73">
        <w:rPr>
          <w:lang w:val="en-US" w:eastAsia="zh-CN"/>
        </w:rPr>
        <w:t>工作</w:t>
      </w:r>
      <w:r w:rsidRPr="00557B73">
        <w:rPr>
          <w:rFonts w:hint="eastAsia"/>
          <w:lang w:val="en-US" w:eastAsia="zh-CN"/>
        </w:rPr>
        <w:t>组和专家组会议，</w:t>
      </w:r>
      <w:r w:rsidRPr="00557B73">
        <w:rPr>
          <w:rFonts w:hint="eastAsia"/>
          <w:snapToGrid w:val="0"/>
          <w:lang w:val="en-US" w:eastAsia="zh-CN"/>
        </w:rPr>
        <w:t>具体如下</w:t>
      </w:r>
      <w:r w:rsidRPr="00557B73">
        <w:rPr>
          <w:rFonts w:hint="eastAsia"/>
          <w:lang w:val="en-US" w:eastAsia="zh-CN"/>
        </w:rPr>
        <w:t>：</w:t>
      </w:r>
    </w:p>
    <w:p w14:paraId="30404B23" w14:textId="77777777" w:rsidR="006C740C" w:rsidRPr="00557B73" w:rsidRDefault="006C740C" w:rsidP="006C740C">
      <w:pPr>
        <w:pStyle w:val="enumlev1"/>
        <w:rPr>
          <w:snapToGrid w:val="0"/>
          <w:lang w:val="en-US" w:eastAsia="zh-CN"/>
        </w:rPr>
      </w:pPr>
      <w:r w:rsidRPr="00557B73">
        <w:rPr>
          <w:snapToGrid w:val="0"/>
          <w:lang w:val="en-US" w:eastAsia="zh-CN"/>
        </w:rPr>
        <w:t>–</w:t>
      </w:r>
      <w:r w:rsidRPr="00557B73">
        <w:rPr>
          <w:snapToGrid w:val="0"/>
          <w:lang w:val="en-US" w:eastAsia="zh-CN"/>
        </w:rPr>
        <w:tab/>
      </w:r>
      <w:r w:rsidRPr="00557B73">
        <w:rPr>
          <w:rFonts w:hint="eastAsia"/>
          <w:lang w:val="en-US" w:eastAsia="zh-CN"/>
        </w:rPr>
        <w:t>集中召开的</w:t>
      </w:r>
      <w:r w:rsidRPr="00557B73">
        <w:rPr>
          <w:lang w:val="en-US" w:eastAsia="zh-CN"/>
        </w:rPr>
        <w:t>理事会工作</w:t>
      </w:r>
      <w:r w:rsidRPr="00557B73">
        <w:rPr>
          <w:rFonts w:hint="eastAsia"/>
          <w:lang w:val="en-US" w:eastAsia="zh-CN"/>
        </w:rPr>
        <w:t>组和专家组会议：自</w:t>
      </w:r>
      <w:r w:rsidRPr="00557B73">
        <w:rPr>
          <w:rFonts w:hint="eastAsia"/>
          <w:lang w:val="en-US" w:eastAsia="zh-CN"/>
        </w:rPr>
        <w:t>2022</w:t>
      </w:r>
      <w:r w:rsidRPr="00557B73">
        <w:rPr>
          <w:rFonts w:hint="eastAsia"/>
          <w:lang w:val="en-US" w:eastAsia="zh-CN"/>
        </w:rPr>
        <w:t>年</w:t>
      </w:r>
      <w:r w:rsidRPr="00557B73">
        <w:rPr>
          <w:rFonts w:hint="eastAsia"/>
          <w:lang w:val="en-US" w:eastAsia="zh-CN"/>
        </w:rPr>
        <w:t>1</w:t>
      </w:r>
      <w:r w:rsidRPr="00557B73">
        <w:rPr>
          <w:rFonts w:hint="eastAsia"/>
          <w:lang w:val="en-US" w:eastAsia="zh-CN"/>
        </w:rPr>
        <w:t>月</w:t>
      </w:r>
      <w:r w:rsidRPr="00557B73">
        <w:rPr>
          <w:rFonts w:hint="eastAsia"/>
          <w:lang w:val="en-US" w:eastAsia="zh-CN"/>
        </w:rPr>
        <w:t>11</w:t>
      </w:r>
      <w:r w:rsidRPr="00557B73">
        <w:rPr>
          <w:rFonts w:hint="eastAsia"/>
          <w:lang w:val="en-US" w:eastAsia="zh-CN"/>
        </w:rPr>
        <w:t>日（星期二）至</w:t>
      </w:r>
      <w:r w:rsidRPr="00557B73">
        <w:rPr>
          <w:rFonts w:hint="eastAsia"/>
          <w:lang w:val="en-US" w:eastAsia="zh-CN"/>
        </w:rPr>
        <w:t>1</w:t>
      </w:r>
      <w:r w:rsidRPr="00557B73">
        <w:rPr>
          <w:rFonts w:hint="eastAsia"/>
          <w:lang w:val="en-US" w:eastAsia="zh-CN"/>
        </w:rPr>
        <w:t>月</w:t>
      </w:r>
      <w:r w:rsidRPr="00557B73">
        <w:rPr>
          <w:rFonts w:hint="eastAsia"/>
          <w:lang w:val="en-US" w:eastAsia="zh-CN"/>
        </w:rPr>
        <w:t>20</w:t>
      </w:r>
      <w:r w:rsidRPr="00557B73">
        <w:rPr>
          <w:rFonts w:hint="eastAsia"/>
          <w:lang w:val="en-US" w:eastAsia="zh-CN"/>
        </w:rPr>
        <w:t>日（星期四）</w:t>
      </w:r>
    </w:p>
    <w:p w14:paraId="2D8F5575" w14:textId="77777777" w:rsidR="006C740C" w:rsidRPr="00557B73" w:rsidRDefault="006C740C" w:rsidP="006C740C">
      <w:pPr>
        <w:pStyle w:val="enumlev1"/>
        <w:rPr>
          <w:snapToGrid w:val="0"/>
          <w:szCs w:val="24"/>
          <w:lang w:val="en-US" w:eastAsia="zh-CN"/>
        </w:rPr>
      </w:pPr>
      <w:r w:rsidRPr="00557B73">
        <w:rPr>
          <w:snapToGrid w:val="0"/>
          <w:lang w:val="en-US" w:eastAsia="zh-CN"/>
        </w:rPr>
        <w:t>–</w:t>
      </w:r>
      <w:r w:rsidRPr="00557B73">
        <w:rPr>
          <w:snapToGrid w:val="0"/>
          <w:lang w:val="en-US" w:eastAsia="zh-CN"/>
        </w:rPr>
        <w:tab/>
      </w:r>
      <w:r w:rsidRPr="00557B73">
        <w:rPr>
          <w:rFonts w:hint="eastAsia"/>
          <w:b/>
          <w:bCs/>
          <w:snapToGrid w:val="0"/>
          <w:szCs w:val="24"/>
          <w:lang w:val="en-US" w:eastAsia="zh-CN"/>
        </w:rPr>
        <w:t>理事会</w:t>
      </w:r>
      <w:r w:rsidRPr="00557B73">
        <w:rPr>
          <w:rFonts w:hint="eastAsia"/>
          <w:b/>
          <w:bCs/>
          <w:snapToGrid w:val="0"/>
          <w:szCs w:val="24"/>
          <w:lang w:val="en-US" w:eastAsia="zh-CN"/>
        </w:rPr>
        <w:t>2</w:t>
      </w:r>
      <w:r w:rsidRPr="00557B73">
        <w:rPr>
          <w:b/>
          <w:bCs/>
          <w:snapToGrid w:val="0"/>
          <w:szCs w:val="24"/>
          <w:lang w:val="en-US" w:eastAsia="zh-CN"/>
        </w:rPr>
        <w:t>022</w:t>
      </w:r>
      <w:r w:rsidRPr="00557B73">
        <w:rPr>
          <w:rFonts w:hint="eastAsia"/>
          <w:b/>
          <w:bCs/>
          <w:snapToGrid w:val="0"/>
          <w:szCs w:val="24"/>
          <w:lang w:val="en-US" w:eastAsia="zh-CN"/>
        </w:rPr>
        <w:t>年会议：自</w:t>
      </w:r>
      <w:r w:rsidRPr="00557B73">
        <w:rPr>
          <w:rFonts w:hint="eastAsia"/>
          <w:b/>
          <w:bCs/>
          <w:snapToGrid w:val="0"/>
          <w:szCs w:val="24"/>
          <w:lang w:val="en-US" w:eastAsia="zh-CN"/>
        </w:rPr>
        <w:t>2022</w:t>
      </w:r>
      <w:r w:rsidRPr="00557B73">
        <w:rPr>
          <w:rFonts w:hint="eastAsia"/>
          <w:b/>
          <w:bCs/>
          <w:snapToGrid w:val="0"/>
          <w:szCs w:val="24"/>
          <w:lang w:val="en-US" w:eastAsia="zh-CN"/>
        </w:rPr>
        <w:t>年</w:t>
      </w:r>
      <w:r w:rsidRPr="00557B73">
        <w:rPr>
          <w:rFonts w:hint="eastAsia"/>
          <w:b/>
          <w:bCs/>
          <w:snapToGrid w:val="0"/>
          <w:szCs w:val="24"/>
          <w:lang w:val="en-US" w:eastAsia="zh-CN"/>
        </w:rPr>
        <w:t>3</w:t>
      </w:r>
      <w:r w:rsidRPr="00557B73">
        <w:rPr>
          <w:rFonts w:hint="eastAsia"/>
          <w:b/>
          <w:bCs/>
          <w:snapToGrid w:val="0"/>
          <w:szCs w:val="24"/>
          <w:lang w:val="en-US" w:eastAsia="zh-CN"/>
        </w:rPr>
        <w:t>月</w:t>
      </w:r>
      <w:r w:rsidRPr="00557B73">
        <w:rPr>
          <w:rFonts w:hint="eastAsia"/>
          <w:b/>
          <w:bCs/>
          <w:snapToGrid w:val="0"/>
          <w:szCs w:val="24"/>
          <w:lang w:val="en-US" w:eastAsia="zh-CN"/>
        </w:rPr>
        <w:t>21</w:t>
      </w:r>
      <w:r w:rsidRPr="00557B73">
        <w:rPr>
          <w:rFonts w:hint="eastAsia"/>
          <w:b/>
          <w:bCs/>
          <w:snapToGrid w:val="0"/>
          <w:szCs w:val="24"/>
          <w:lang w:val="en-US" w:eastAsia="zh-CN"/>
        </w:rPr>
        <w:t>日（星期一）至</w:t>
      </w:r>
      <w:r w:rsidRPr="00557B73">
        <w:rPr>
          <w:rFonts w:hint="eastAsia"/>
          <w:b/>
          <w:bCs/>
          <w:snapToGrid w:val="0"/>
          <w:szCs w:val="24"/>
          <w:lang w:val="en-US" w:eastAsia="zh-CN"/>
        </w:rPr>
        <w:t>3</w:t>
      </w:r>
      <w:r w:rsidRPr="00557B73">
        <w:rPr>
          <w:rFonts w:hint="eastAsia"/>
          <w:b/>
          <w:bCs/>
          <w:snapToGrid w:val="0"/>
          <w:szCs w:val="24"/>
          <w:lang w:val="en-US" w:eastAsia="zh-CN"/>
        </w:rPr>
        <w:t>月</w:t>
      </w:r>
      <w:r w:rsidRPr="00557B73">
        <w:rPr>
          <w:rFonts w:hint="eastAsia"/>
          <w:b/>
          <w:bCs/>
          <w:snapToGrid w:val="0"/>
          <w:szCs w:val="24"/>
          <w:lang w:val="en-US" w:eastAsia="zh-CN"/>
        </w:rPr>
        <w:t>31</w:t>
      </w:r>
      <w:r w:rsidRPr="00557B73">
        <w:rPr>
          <w:rFonts w:hint="eastAsia"/>
          <w:b/>
          <w:bCs/>
          <w:snapToGrid w:val="0"/>
          <w:szCs w:val="24"/>
          <w:lang w:val="en-US" w:eastAsia="zh-CN"/>
        </w:rPr>
        <w:t>日（星期四）</w:t>
      </w:r>
      <w:r w:rsidRPr="00557B73">
        <w:rPr>
          <w:rFonts w:hint="eastAsia"/>
          <w:snapToGrid w:val="0"/>
          <w:szCs w:val="24"/>
          <w:lang w:val="en-US" w:eastAsia="zh-CN"/>
        </w:rPr>
        <w:t>，并</w:t>
      </w:r>
      <w:r w:rsidRPr="00557B73">
        <w:rPr>
          <w:rFonts w:hint="eastAsia"/>
          <w:szCs w:val="24"/>
          <w:lang w:val="en-US" w:eastAsia="zh-CN"/>
        </w:rPr>
        <w:t>将在</w:t>
      </w:r>
      <w:r w:rsidRPr="00557B73">
        <w:rPr>
          <w:szCs w:val="24"/>
          <w:lang w:val="en-US" w:eastAsia="zh-CN"/>
        </w:rPr>
        <w:t>2022</w:t>
      </w:r>
      <w:r w:rsidRPr="00557B73">
        <w:rPr>
          <w:rFonts w:hint="eastAsia"/>
          <w:szCs w:val="24"/>
          <w:lang w:val="en-US" w:eastAsia="zh-CN"/>
        </w:rPr>
        <w:t>年全权代表大会开幕前夕的</w:t>
      </w:r>
      <w:r w:rsidRPr="00557B73">
        <w:rPr>
          <w:rFonts w:hint="eastAsia"/>
          <w:b/>
          <w:bCs/>
          <w:snapToGrid w:val="0"/>
          <w:szCs w:val="24"/>
          <w:lang w:val="en-US" w:eastAsia="zh-CN"/>
        </w:rPr>
        <w:t>2022</w:t>
      </w:r>
      <w:r w:rsidRPr="00557B73">
        <w:rPr>
          <w:rFonts w:hint="eastAsia"/>
          <w:b/>
          <w:bCs/>
          <w:snapToGrid w:val="0"/>
          <w:szCs w:val="24"/>
          <w:lang w:val="en-US" w:eastAsia="zh-CN"/>
        </w:rPr>
        <w:t>年</w:t>
      </w:r>
      <w:r w:rsidRPr="00557B73">
        <w:rPr>
          <w:b/>
          <w:bCs/>
          <w:snapToGrid w:val="0"/>
          <w:szCs w:val="24"/>
          <w:lang w:val="en-US" w:eastAsia="zh-CN"/>
        </w:rPr>
        <w:t>9</w:t>
      </w:r>
      <w:r w:rsidRPr="00557B73">
        <w:rPr>
          <w:rFonts w:hint="eastAsia"/>
          <w:b/>
          <w:bCs/>
          <w:snapToGrid w:val="0"/>
          <w:szCs w:val="24"/>
          <w:lang w:val="en-US" w:eastAsia="zh-CN"/>
        </w:rPr>
        <w:t>月</w:t>
      </w:r>
      <w:r w:rsidRPr="00557B73">
        <w:rPr>
          <w:rFonts w:hint="eastAsia"/>
          <w:b/>
          <w:bCs/>
          <w:snapToGrid w:val="0"/>
          <w:szCs w:val="24"/>
          <w:lang w:val="en-US" w:eastAsia="zh-CN"/>
        </w:rPr>
        <w:t>2</w:t>
      </w:r>
      <w:r w:rsidRPr="00557B73">
        <w:rPr>
          <w:b/>
          <w:bCs/>
          <w:snapToGrid w:val="0"/>
          <w:szCs w:val="24"/>
          <w:lang w:val="en-US" w:eastAsia="zh-CN"/>
        </w:rPr>
        <w:t>4</w:t>
      </w:r>
      <w:r w:rsidRPr="00557B73">
        <w:rPr>
          <w:rFonts w:hint="eastAsia"/>
          <w:b/>
          <w:bCs/>
          <w:snapToGrid w:val="0"/>
          <w:szCs w:val="24"/>
          <w:lang w:val="en-US" w:eastAsia="zh-CN"/>
        </w:rPr>
        <w:t>日（</w:t>
      </w:r>
      <w:r w:rsidRPr="00557B73">
        <w:rPr>
          <w:rFonts w:hint="eastAsia"/>
          <w:b/>
          <w:bCs/>
          <w:szCs w:val="24"/>
          <w:lang w:val="en-US" w:eastAsia="zh-CN"/>
        </w:rPr>
        <w:t>星期六）</w:t>
      </w:r>
      <w:r w:rsidRPr="00557B73">
        <w:rPr>
          <w:rFonts w:hint="eastAsia"/>
          <w:szCs w:val="24"/>
          <w:lang w:val="en-US" w:eastAsia="zh-CN"/>
        </w:rPr>
        <w:t>召开理事会最后会议</w:t>
      </w:r>
      <w:r w:rsidRPr="00557B73">
        <w:rPr>
          <w:rFonts w:hint="eastAsia"/>
          <w:snapToGrid w:val="0"/>
          <w:szCs w:val="24"/>
          <w:lang w:val="en-US" w:eastAsia="zh-CN"/>
        </w:rPr>
        <w:t>；</w:t>
      </w:r>
    </w:p>
    <w:p w14:paraId="6ECE37E0" w14:textId="77777777" w:rsidR="006C740C" w:rsidRPr="00557B73" w:rsidRDefault="006C740C" w:rsidP="006C740C">
      <w:pPr>
        <w:rPr>
          <w:snapToGrid w:val="0"/>
          <w:lang w:val="en-US" w:eastAsia="zh-CN"/>
        </w:rPr>
      </w:pPr>
      <w:r w:rsidRPr="00557B73">
        <w:rPr>
          <w:snapToGrid w:val="0"/>
          <w:lang w:val="en-US" w:eastAsia="zh-CN"/>
        </w:rPr>
        <w:t>2</w:t>
      </w:r>
      <w:r w:rsidRPr="00557B73">
        <w:rPr>
          <w:snapToGrid w:val="0"/>
          <w:lang w:val="en-US" w:eastAsia="zh-CN"/>
        </w:rPr>
        <w:tab/>
      </w:r>
      <w:r w:rsidRPr="00557B73">
        <w:rPr>
          <w:rFonts w:hint="eastAsia"/>
          <w:snapToGrid w:val="0"/>
          <w:lang w:val="en-US" w:eastAsia="zh-CN"/>
        </w:rPr>
        <w:t>理事会</w:t>
      </w:r>
      <w:r w:rsidRPr="00557B73">
        <w:rPr>
          <w:rFonts w:hint="eastAsia"/>
          <w:snapToGrid w:val="0"/>
          <w:lang w:val="en-US" w:eastAsia="zh-CN"/>
        </w:rPr>
        <w:t>2</w:t>
      </w:r>
      <w:r w:rsidRPr="00557B73">
        <w:rPr>
          <w:snapToGrid w:val="0"/>
          <w:lang w:val="en-US" w:eastAsia="zh-CN"/>
        </w:rPr>
        <w:t>023</w:t>
      </w:r>
      <w:r w:rsidRPr="00557B73">
        <w:rPr>
          <w:rFonts w:hint="eastAsia"/>
          <w:snapToGrid w:val="0"/>
          <w:lang w:val="en-US" w:eastAsia="zh-CN"/>
        </w:rPr>
        <w:t>年会议将在日内瓦召开，为期九个工作日，并将</w:t>
      </w:r>
      <w:r w:rsidRPr="00557B73">
        <w:rPr>
          <w:rFonts w:hint="eastAsia"/>
          <w:lang w:val="en-US" w:eastAsia="zh-CN"/>
        </w:rPr>
        <w:t>集中</w:t>
      </w:r>
      <w:r w:rsidRPr="00557B73">
        <w:rPr>
          <w:rFonts w:hint="eastAsia"/>
          <w:snapToGrid w:val="0"/>
          <w:lang w:val="en-US" w:eastAsia="zh-CN"/>
        </w:rPr>
        <w:t>召开其</w:t>
      </w:r>
      <w:r w:rsidRPr="00557B73">
        <w:rPr>
          <w:lang w:val="en-US" w:eastAsia="zh-CN"/>
        </w:rPr>
        <w:t>工作</w:t>
      </w:r>
      <w:r w:rsidRPr="00557B73">
        <w:rPr>
          <w:rFonts w:hint="eastAsia"/>
          <w:lang w:val="en-US" w:eastAsia="zh-CN"/>
        </w:rPr>
        <w:t>组和专家组会议，</w:t>
      </w:r>
      <w:r w:rsidRPr="00557B73">
        <w:rPr>
          <w:rFonts w:hint="eastAsia"/>
          <w:snapToGrid w:val="0"/>
          <w:lang w:val="en-US" w:eastAsia="zh-CN"/>
        </w:rPr>
        <w:t>具体如下：</w:t>
      </w:r>
    </w:p>
    <w:p w14:paraId="78428C6D" w14:textId="77777777" w:rsidR="006C740C" w:rsidRPr="00557B73" w:rsidRDefault="006C740C" w:rsidP="006C740C">
      <w:pPr>
        <w:pStyle w:val="enumlev1"/>
        <w:rPr>
          <w:lang w:val="en-US" w:eastAsia="zh-CN"/>
        </w:rPr>
      </w:pPr>
      <w:r w:rsidRPr="00557B73">
        <w:rPr>
          <w:bCs/>
          <w:snapToGrid w:val="0"/>
          <w:szCs w:val="24"/>
          <w:lang w:val="en-US" w:eastAsia="zh-CN"/>
        </w:rPr>
        <w:t>–</w:t>
      </w:r>
      <w:r w:rsidRPr="00557B73">
        <w:rPr>
          <w:b/>
          <w:bCs/>
          <w:snapToGrid w:val="0"/>
          <w:szCs w:val="24"/>
          <w:lang w:val="en-US" w:eastAsia="zh-CN"/>
        </w:rPr>
        <w:tab/>
      </w:r>
      <w:r w:rsidRPr="00557B73">
        <w:rPr>
          <w:rFonts w:hint="eastAsia"/>
          <w:snapToGrid w:val="0"/>
          <w:szCs w:val="24"/>
          <w:lang w:val="en-US" w:eastAsia="zh-CN"/>
        </w:rPr>
        <w:t>第一次</w:t>
      </w:r>
      <w:r w:rsidRPr="00557B73">
        <w:rPr>
          <w:rFonts w:hint="eastAsia"/>
          <w:lang w:val="en-US" w:eastAsia="zh-CN"/>
        </w:rPr>
        <w:t>集中召开的</w:t>
      </w:r>
      <w:r w:rsidRPr="00557B73">
        <w:rPr>
          <w:lang w:val="en-US" w:eastAsia="zh-CN"/>
        </w:rPr>
        <w:t>理事会工作</w:t>
      </w:r>
      <w:r w:rsidRPr="00557B73">
        <w:rPr>
          <w:rFonts w:hint="eastAsia"/>
          <w:lang w:val="en-US" w:eastAsia="zh-CN"/>
        </w:rPr>
        <w:t>组和专家组会议：自</w:t>
      </w:r>
      <w:r w:rsidRPr="00557B73">
        <w:rPr>
          <w:rFonts w:hint="eastAsia"/>
          <w:lang w:val="en-US" w:eastAsia="zh-CN"/>
        </w:rPr>
        <w:t>202</w:t>
      </w:r>
      <w:r w:rsidRPr="00557B73">
        <w:rPr>
          <w:lang w:val="en-US" w:eastAsia="zh-CN"/>
        </w:rPr>
        <w:t>3</w:t>
      </w:r>
      <w:r w:rsidRPr="00557B73">
        <w:rPr>
          <w:rFonts w:hint="eastAsia"/>
          <w:lang w:val="en-US" w:eastAsia="zh-CN"/>
        </w:rPr>
        <w:t>年</w:t>
      </w:r>
      <w:r w:rsidRPr="00557B73">
        <w:rPr>
          <w:rFonts w:hint="eastAsia"/>
          <w:lang w:val="en-US" w:eastAsia="zh-CN"/>
        </w:rPr>
        <w:t>2</w:t>
      </w:r>
      <w:r w:rsidRPr="00557B73">
        <w:rPr>
          <w:rFonts w:hint="eastAsia"/>
          <w:lang w:val="en-US" w:eastAsia="zh-CN"/>
        </w:rPr>
        <w:t>月</w:t>
      </w:r>
      <w:r w:rsidRPr="00557B73">
        <w:rPr>
          <w:rFonts w:hint="eastAsia"/>
          <w:lang w:val="en-US" w:eastAsia="zh-CN"/>
        </w:rPr>
        <w:t>6</w:t>
      </w:r>
      <w:r w:rsidRPr="00557B73">
        <w:rPr>
          <w:rFonts w:hint="eastAsia"/>
          <w:lang w:val="en-US" w:eastAsia="zh-CN"/>
        </w:rPr>
        <w:t>日（星期一）至</w:t>
      </w:r>
      <w:r w:rsidRPr="00557B73">
        <w:rPr>
          <w:rFonts w:hint="eastAsia"/>
          <w:lang w:val="en-US" w:eastAsia="zh-CN"/>
        </w:rPr>
        <w:t>2</w:t>
      </w:r>
      <w:r w:rsidRPr="00557B73">
        <w:rPr>
          <w:rFonts w:hint="eastAsia"/>
          <w:lang w:val="en-US" w:eastAsia="zh-CN"/>
        </w:rPr>
        <w:t>月</w:t>
      </w:r>
      <w:r w:rsidRPr="00557B73">
        <w:rPr>
          <w:rFonts w:hint="eastAsia"/>
          <w:lang w:val="en-US" w:eastAsia="zh-CN"/>
        </w:rPr>
        <w:t>1</w:t>
      </w:r>
      <w:r w:rsidRPr="00557B73">
        <w:rPr>
          <w:lang w:val="en-US" w:eastAsia="zh-CN"/>
        </w:rPr>
        <w:t>7</w:t>
      </w:r>
      <w:r w:rsidRPr="00557B73">
        <w:rPr>
          <w:rFonts w:hint="eastAsia"/>
          <w:lang w:val="en-US" w:eastAsia="zh-CN"/>
        </w:rPr>
        <w:t>日（星期五）</w:t>
      </w:r>
    </w:p>
    <w:p w14:paraId="2C121BC6" w14:textId="77777777" w:rsidR="006C740C" w:rsidRPr="00557B73" w:rsidRDefault="006C740C" w:rsidP="006C740C">
      <w:pPr>
        <w:pStyle w:val="enumlev1"/>
        <w:rPr>
          <w:b/>
          <w:bCs/>
          <w:lang w:val="en-US" w:eastAsia="zh-CN"/>
        </w:rPr>
      </w:pPr>
      <w:r w:rsidRPr="00557B73">
        <w:rPr>
          <w:bCs/>
          <w:snapToGrid w:val="0"/>
          <w:szCs w:val="24"/>
          <w:lang w:val="en-US" w:eastAsia="zh-CN"/>
        </w:rPr>
        <w:t>–</w:t>
      </w:r>
      <w:r w:rsidRPr="00557B73">
        <w:rPr>
          <w:b/>
          <w:bCs/>
          <w:snapToGrid w:val="0"/>
          <w:szCs w:val="24"/>
          <w:lang w:val="en-US" w:eastAsia="zh-CN"/>
        </w:rPr>
        <w:tab/>
      </w:r>
      <w:r w:rsidRPr="00557B73">
        <w:rPr>
          <w:rFonts w:hint="eastAsia"/>
          <w:b/>
          <w:bCs/>
          <w:lang w:val="en-US" w:eastAsia="zh-CN"/>
        </w:rPr>
        <w:t>理事会</w:t>
      </w:r>
      <w:r w:rsidRPr="00557B73">
        <w:rPr>
          <w:rFonts w:hint="eastAsia"/>
          <w:b/>
          <w:bCs/>
          <w:lang w:val="en-US" w:eastAsia="zh-CN"/>
        </w:rPr>
        <w:t>202</w:t>
      </w:r>
      <w:r w:rsidRPr="00557B73">
        <w:rPr>
          <w:b/>
          <w:bCs/>
          <w:lang w:val="en-US" w:eastAsia="zh-CN"/>
        </w:rPr>
        <w:t>3</w:t>
      </w:r>
      <w:r w:rsidRPr="00557B73">
        <w:rPr>
          <w:rFonts w:hint="eastAsia"/>
          <w:b/>
          <w:bCs/>
          <w:lang w:val="en-US" w:eastAsia="zh-CN"/>
        </w:rPr>
        <w:t>年会议：自</w:t>
      </w:r>
      <w:r w:rsidRPr="00557B73">
        <w:rPr>
          <w:rFonts w:hint="eastAsia"/>
          <w:b/>
          <w:bCs/>
          <w:lang w:val="en-US" w:eastAsia="zh-CN"/>
        </w:rPr>
        <w:t>2023</w:t>
      </w:r>
      <w:r w:rsidRPr="00557B73">
        <w:rPr>
          <w:rFonts w:hint="eastAsia"/>
          <w:b/>
          <w:bCs/>
          <w:lang w:val="en-US" w:eastAsia="zh-CN"/>
        </w:rPr>
        <w:t>年</w:t>
      </w:r>
      <w:r w:rsidRPr="00557B73">
        <w:rPr>
          <w:rFonts w:hint="eastAsia"/>
          <w:b/>
          <w:bCs/>
          <w:lang w:val="en-US" w:eastAsia="zh-CN"/>
        </w:rPr>
        <w:t>7</w:t>
      </w:r>
      <w:r w:rsidRPr="00557B73">
        <w:rPr>
          <w:rFonts w:hint="eastAsia"/>
          <w:b/>
          <w:bCs/>
          <w:lang w:val="en-US" w:eastAsia="zh-CN"/>
        </w:rPr>
        <w:t>月</w:t>
      </w:r>
      <w:r w:rsidRPr="00557B73">
        <w:rPr>
          <w:rFonts w:hint="eastAsia"/>
          <w:b/>
          <w:bCs/>
          <w:lang w:val="en-US" w:eastAsia="zh-CN"/>
        </w:rPr>
        <w:t>11</w:t>
      </w:r>
      <w:r w:rsidRPr="00557B73">
        <w:rPr>
          <w:rFonts w:hint="eastAsia"/>
          <w:b/>
          <w:bCs/>
          <w:lang w:val="en-US" w:eastAsia="zh-CN"/>
        </w:rPr>
        <w:t>日（星期二）至</w:t>
      </w:r>
      <w:r w:rsidRPr="00557B73">
        <w:rPr>
          <w:rFonts w:hint="eastAsia"/>
          <w:b/>
          <w:bCs/>
          <w:lang w:val="en-US" w:eastAsia="zh-CN"/>
        </w:rPr>
        <w:t>7</w:t>
      </w:r>
      <w:r w:rsidRPr="00557B73">
        <w:rPr>
          <w:rFonts w:hint="eastAsia"/>
          <w:b/>
          <w:bCs/>
          <w:lang w:val="en-US" w:eastAsia="zh-CN"/>
        </w:rPr>
        <w:t>月</w:t>
      </w:r>
      <w:r w:rsidRPr="00557B73">
        <w:rPr>
          <w:rFonts w:hint="eastAsia"/>
          <w:b/>
          <w:bCs/>
          <w:lang w:val="en-US" w:eastAsia="zh-CN"/>
        </w:rPr>
        <w:t>21</w:t>
      </w:r>
      <w:r w:rsidRPr="00557B73">
        <w:rPr>
          <w:rFonts w:hint="eastAsia"/>
          <w:b/>
          <w:bCs/>
          <w:lang w:val="en-US" w:eastAsia="zh-CN"/>
        </w:rPr>
        <w:t>日（星期五）</w:t>
      </w:r>
    </w:p>
    <w:p w14:paraId="4DC03D3E" w14:textId="77777777" w:rsidR="006C740C" w:rsidRPr="00557B73" w:rsidRDefault="006C740C" w:rsidP="006C740C">
      <w:pPr>
        <w:pStyle w:val="enumlev1"/>
        <w:rPr>
          <w:b/>
          <w:bCs/>
          <w:snapToGrid w:val="0"/>
          <w:szCs w:val="24"/>
          <w:lang w:val="en-US" w:eastAsia="zh-CN"/>
        </w:rPr>
      </w:pPr>
      <w:r w:rsidRPr="00557B73">
        <w:rPr>
          <w:bCs/>
          <w:snapToGrid w:val="0"/>
          <w:szCs w:val="24"/>
          <w:lang w:val="en-US" w:eastAsia="zh-CN"/>
        </w:rPr>
        <w:t>–</w:t>
      </w:r>
      <w:r w:rsidRPr="00557B73">
        <w:rPr>
          <w:b/>
          <w:bCs/>
          <w:snapToGrid w:val="0"/>
          <w:szCs w:val="24"/>
          <w:lang w:val="en-US" w:eastAsia="zh-CN"/>
        </w:rPr>
        <w:tab/>
      </w:r>
      <w:r w:rsidRPr="00557B73">
        <w:rPr>
          <w:rFonts w:ascii="SimSun" w:hAnsi="SimSun" w:hint="eastAsia"/>
          <w:szCs w:val="24"/>
          <w:lang w:val="en-US" w:eastAsia="zh-CN"/>
        </w:rPr>
        <w:t>第二次集中召开的</w:t>
      </w:r>
      <w:r w:rsidRPr="00557B73">
        <w:rPr>
          <w:rFonts w:ascii="SimSun" w:hAnsi="SimSun"/>
          <w:szCs w:val="24"/>
          <w:lang w:val="en-US" w:eastAsia="zh-CN"/>
        </w:rPr>
        <w:t>理事会工作</w:t>
      </w:r>
      <w:r w:rsidRPr="00557B73">
        <w:rPr>
          <w:rFonts w:ascii="SimSun" w:hAnsi="SimSun" w:hint="eastAsia"/>
          <w:szCs w:val="24"/>
          <w:lang w:val="en-US" w:eastAsia="zh-CN"/>
        </w:rPr>
        <w:t>组和专家组会议：</w:t>
      </w:r>
      <w:r w:rsidRPr="00557B73">
        <w:rPr>
          <w:rFonts w:hint="eastAsia"/>
          <w:lang w:val="en-US" w:eastAsia="zh-CN"/>
        </w:rPr>
        <w:t>自</w:t>
      </w:r>
      <w:r w:rsidRPr="00557B73">
        <w:rPr>
          <w:rFonts w:hint="eastAsia"/>
          <w:lang w:val="en-US" w:eastAsia="zh-CN"/>
        </w:rPr>
        <w:t>202</w:t>
      </w:r>
      <w:r w:rsidRPr="00557B73">
        <w:rPr>
          <w:lang w:val="en-US" w:eastAsia="zh-CN"/>
        </w:rPr>
        <w:t>3</w:t>
      </w:r>
      <w:r w:rsidRPr="00557B73">
        <w:rPr>
          <w:rFonts w:hint="eastAsia"/>
          <w:lang w:val="en-US" w:eastAsia="zh-CN"/>
        </w:rPr>
        <w:t>年</w:t>
      </w:r>
      <w:r w:rsidRPr="00557B73">
        <w:rPr>
          <w:rFonts w:hint="eastAsia"/>
          <w:lang w:val="en-US" w:eastAsia="zh-CN"/>
        </w:rPr>
        <w:t>9</w:t>
      </w:r>
      <w:r w:rsidRPr="00557B73">
        <w:rPr>
          <w:rFonts w:hint="eastAsia"/>
          <w:lang w:val="en-US" w:eastAsia="zh-CN"/>
        </w:rPr>
        <w:t>月</w:t>
      </w:r>
      <w:r w:rsidRPr="00557B73">
        <w:rPr>
          <w:rFonts w:hint="eastAsia"/>
          <w:lang w:val="en-US" w:eastAsia="zh-CN"/>
        </w:rPr>
        <w:t>1</w:t>
      </w:r>
      <w:r w:rsidRPr="00557B73">
        <w:rPr>
          <w:lang w:val="en-US" w:eastAsia="zh-CN"/>
        </w:rPr>
        <w:t>8</w:t>
      </w:r>
      <w:r w:rsidRPr="00557B73">
        <w:rPr>
          <w:rFonts w:hint="eastAsia"/>
          <w:lang w:val="en-US" w:eastAsia="zh-CN"/>
        </w:rPr>
        <w:t>日（星期一）至</w:t>
      </w:r>
      <w:r w:rsidRPr="00557B73">
        <w:rPr>
          <w:rFonts w:hint="eastAsia"/>
          <w:lang w:val="en-US" w:eastAsia="zh-CN"/>
        </w:rPr>
        <w:t>9</w:t>
      </w:r>
      <w:r w:rsidRPr="00557B73">
        <w:rPr>
          <w:rFonts w:hint="eastAsia"/>
          <w:lang w:val="en-US" w:eastAsia="zh-CN"/>
        </w:rPr>
        <w:t>月</w:t>
      </w:r>
      <w:r w:rsidRPr="00557B73">
        <w:rPr>
          <w:rFonts w:hint="eastAsia"/>
          <w:lang w:val="en-US" w:eastAsia="zh-CN"/>
        </w:rPr>
        <w:t>2</w:t>
      </w:r>
      <w:r w:rsidRPr="00557B73">
        <w:rPr>
          <w:lang w:val="en-US" w:eastAsia="zh-CN"/>
        </w:rPr>
        <w:t>9</w:t>
      </w:r>
      <w:r w:rsidRPr="00557B73">
        <w:rPr>
          <w:rFonts w:hint="eastAsia"/>
          <w:lang w:val="en-US" w:eastAsia="zh-CN"/>
        </w:rPr>
        <w:t>日（星期五）；</w:t>
      </w:r>
    </w:p>
    <w:p w14:paraId="62FA43D8" w14:textId="77777777" w:rsidR="006C740C" w:rsidRPr="00557B73" w:rsidRDefault="006C740C" w:rsidP="006C740C">
      <w:pPr>
        <w:rPr>
          <w:snapToGrid w:val="0"/>
          <w:lang w:val="en-US" w:eastAsia="zh-CN"/>
        </w:rPr>
      </w:pPr>
      <w:r w:rsidRPr="00557B73">
        <w:rPr>
          <w:lang w:val="en-US" w:eastAsia="zh-CN"/>
        </w:rPr>
        <w:t>3</w:t>
      </w:r>
      <w:r w:rsidRPr="00557B73">
        <w:rPr>
          <w:lang w:val="en-US" w:eastAsia="zh-CN"/>
        </w:rPr>
        <w:tab/>
      </w:r>
      <w:r w:rsidRPr="00557B73">
        <w:rPr>
          <w:rFonts w:hint="eastAsia"/>
          <w:snapToGrid w:val="0"/>
          <w:lang w:val="en-US" w:eastAsia="zh-CN"/>
        </w:rPr>
        <w:t>理事会</w:t>
      </w:r>
      <w:r w:rsidRPr="00557B73">
        <w:rPr>
          <w:rFonts w:hint="eastAsia"/>
          <w:snapToGrid w:val="0"/>
          <w:lang w:val="en-US" w:eastAsia="zh-CN"/>
        </w:rPr>
        <w:t>2</w:t>
      </w:r>
      <w:r w:rsidRPr="00557B73">
        <w:rPr>
          <w:snapToGrid w:val="0"/>
          <w:lang w:val="en-US" w:eastAsia="zh-CN"/>
        </w:rPr>
        <w:t>024</w:t>
      </w:r>
      <w:r w:rsidRPr="00557B73">
        <w:rPr>
          <w:rFonts w:hint="eastAsia"/>
          <w:snapToGrid w:val="0"/>
          <w:lang w:val="en-US" w:eastAsia="zh-CN"/>
        </w:rPr>
        <w:t>年会议将在日内瓦召开，为期九个工作日，并将</w:t>
      </w:r>
      <w:r w:rsidRPr="00557B73">
        <w:rPr>
          <w:rFonts w:hint="eastAsia"/>
          <w:lang w:val="en-US" w:eastAsia="zh-CN"/>
        </w:rPr>
        <w:t>集中</w:t>
      </w:r>
      <w:r w:rsidRPr="00557B73">
        <w:rPr>
          <w:rFonts w:hint="eastAsia"/>
          <w:snapToGrid w:val="0"/>
          <w:lang w:val="en-US" w:eastAsia="zh-CN"/>
        </w:rPr>
        <w:t>召开其</w:t>
      </w:r>
      <w:r w:rsidRPr="00557B73">
        <w:rPr>
          <w:lang w:val="en-US" w:eastAsia="zh-CN"/>
        </w:rPr>
        <w:t>工作</w:t>
      </w:r>
      <w:r w:rsidRPr="00557B73">
        <w:rPr>
          <w:rFonts w:hint="eastAsia"/>
          <w:lang w:val="en-US" w:eastAsia="zh-CN"/>
        </w:rPr>
        <w:t>组和专家组会议，</w:t>
      </w:r>
      <w:r w:rsidRPr="00557B73">
        <w:rPr>
          <w:rFonts w:hint="eastAsia"/>
          <w:snapToGrid w:val="0"/>
          <w:lang w:val="en-US" w:eastAsia="zh-CN"/>
        </w:rPr>
        <w:t>具体如下：</w:t>
      </w:r>
    </w:p>
    <w:p w14:paraId="3609AAE2" w14:textId="77777777" w:rsidR="006C740C" w:rsidRPr="00557B73" w:rsidRDefault="006C740C" w:rsidP="006C740C">
      <w:pPr>
        <w:pStyle w:val="enumlev1"/>
        <w:rPr>
          <w:lang w:val="en-US" w:eastAsia="zh-CN"/>
        </w:rPr>
      </w:pPr>
      <w:r w:rsidRPr="00557B73">
        <w:rPr>
          <w:bCs/>
          <w:snapToGrid w:val="0"/>
          <w:szCs w:val="24"/>
          <w:lang w:val="en-US" w:eastAsia="zh-CN"/>
        </w:rPr>
        <w:t>–</w:t>
      </w:r>
      <w:r w:rsidRPr="00557B73">
        <w:rPr>
          <w:b/>
          <w:bCs/>
          <w:snapToGrid w:val="0"/>
          <w:szCs w:val="24"/>
          <w:lang w:val="en-US" w:eastAsia="zh-CN"/>
        </w:rPr>
        <w:tab/>
      </w:r>
      <w:r w:rsidRPr="00557B73">
        <w:rPr>
          <w:rFonts w:ascii="SimSun" w:hAnsi="SimSun"/>
          <w:szCs w:val="24"/>
          <w:lang w:val="en-US" w:eastAsia="zh-CN"/>
        </w:rPr>
        <w:t>理事会工作</w:t>
      </w:r>
      <w:r w:rsidRPr="00557B73">
        <w:rPr>
          <w:rFonts w:ascii="SimSun" w:hAnsi="SimSun" w:hint="eastAsia"/>
          <w:szCs w:val="24"/>
          <w:lang w:val="en-US" w:eastAsia="zh-CN"/>
        </w:rPr>
        <w:t>组和专家组会议第一次集中会议：</w:t>
      </w:r>
      <w:r w:rsidRPr="00557B73">
        <w:rPr>
          <w:rFonts w:hint="eastAsia"/>
          <w:lang w:val="en-US" w:eastAsia="zh-CN"/>
        </w:rPr>
        <w:t>自</w:t>
      </w:r>
      <w:r w:rsidRPr="00557B73">
        <w:rPr>
          <w:rFonts w:hint="eastAsia"/>
          <w:lang w:val="en-US" w:eastAsia="zh-CN"/>
        </w:rPr>
        <w:t>202</w:t>
      </w:r>
      <w:r w:rsidRPr="00557B73">
        <w:rPr>
          <w:lang w:val="en-US" w:eastAsia="zh-CN"/>
        </w:rPr>
        <w:t>4</w:t>
      </w:r>
      <w:r w:rsidRPr="00557B73">
        <w:rPr>
          <w:rFonts w:hint="eastAsia"/>
          <w:lang w:val="en-US" w:eastAsia="zh-CN"/>
        </w:rPr>
        <w:t>年</w:t>
      </w:r>
      <w:r w:rsidRPr="00557B73">
        <w:rPr>
          <w:rFonts w:hint="eastAsia"/>
          <w:lang w:val="en-US" w:eastAsia="zh-CN"/>
        </w:rPr>
        <w:t>2</w:t>
      </w:r>
      <w:r w:rsidRPr="00557B73">
        <w:rPr>
          <w:rFonts w:hint="eastAsia"/>
          <w:lang w:val="en-US" w:eastAsia="zh-CN"/>
        </w:rPr>
        <w:t>月</w:t>
      </w:r>
      <w:r w:rsidRPr="00557B73">
        <w:rPr>
          <w:rFonts w:hint="eastAsia"/>
          <w:lang w:val="en-US" w:eastAsia="zh-CN"/>
        </w:rPr>
        <w:t>1</w:t>
      </w:r>
      <w:r w:rsidRPr="00557B73">
        <w:rPr>
          <w:lang w:val="en-US" w:eastAsia="zh-CN"/>
        </w:rPr>
        <w:t>9</w:t>
      </w:r>
      <w:r w:rsidRPr="00557B73">
        <w:rPr>
          <w:rFonts w:hint="eastAsia"/>
          <w:lang w:val="en-US" w:eastAsia="zh-CN"/>
        </w:rPr>
        <w:t>日（星期一）至</w:t>
      </w:r>
      <w:r w:rsidRPr="00557B73">
        <w:rPr>
          <w:lang w:val="en-US" w:eastAsia="zh-CN"/>
        </w:rPr>
        <w:t>3</w:t>
      </w:r>
      <w:r w:rsidRPr="00557B73">
        <w:rPr>
          <w:rFonts w:hint="eastAsia"/>
          <w:lang w:val="en-US" w:eastAsia="zh-CN"/>
        </w:rPr>
        <w:t>月</w:t>
      </w:r>
      <w:r w:rsidRPr="00557B73">
        <w:rPr>
          <w:rFonts w:hint="eastAsia"/>
          <w:lang w:val="en-US" w:eastAsia="zh-CN"/>
        </w:rPr>
        <w:t>1</w:t>
      </w:r>
      <w:r w:rsidRPr="00557B73">
        <w:rPr>
          <w:rFonts w:hint="eastAsia"/>
          <w:lang w:val="en-US" w:eastAsia="zh-CN"/>
        </w:rPr>
        <w:t>日（星期五）</w:t>
      </w:r>
    </w:p>
    <w:p w14:paraId="2BED6BC8" w14:textId="77777777" w:rsidR="006C740C" w:rsidRPr="00557B73" w:rsidRDefault="006C740C" w:rsidP="006C740C">
      <w:pPr>
        <w:pStyle w:val="enumlev1"/>
        <w:rPr>
          <w:b/>
          <w:bCs/>
          <w:lang w:val="en-US" w:eastAsia="zh-CN"/>
        </w:rPr>
      </w:pPr>
      <w:r w:rsidRPr="00557B73">
        <w:rPr>
          <w:bCs/>
          <w:snapToGrid w:val="0"/>
          <w:szCs w:val="24"/>
          <w:lang w:val="en-US" w:eastAsia="zh-CN"/>
        </w:rPr>
        <w:t>–</w:t>
      </w:r>
      <w:r w:rsidRPr="00557B73">
        <w:rPr>
          <w:b/>
          <w:bCs/>
          <w:snapToGrid w:val="0"/>
          <w:szCs w:val="24"/>
          <w:lang w:val="en-US" w:eastAsia="zh-CN"/>
        </w:rPr>
        <w:tab/>
      </w:r>
      <w:r w:rsidRPr="00557B73">
        <w:rPr>
          <w:rFonts w:hint="eastAsia"/>
          <w:b/>
          <w:bCs/>
          <w:lang w:val="en-US" w:eastAsia="zh-CN"/>
        </w:rPr>
        <w:t>理事会</w:t>
      </w:r>
      <w:r w:rsidRPr="00557B73">
        <w:rPr>
          <w:rFonts w:hint="eastAsia"/>
          <w:b/>
          <w:bCs/>
          <w:lang w:val="en-US" w:eastAsia="zh-CN"/>
        </w:rPr>
        <w:t>202</w:t>
      </w:r>
      <w:r w:rsidRPr="00557B73">
        <w:rPr>
          <w:b/>
          <w:bCs/>
          <w:lang w:val="en-US" w:eastAsia="zh-CN"/>
        </w:rPr>
        <w:t>4</w:t>
      </w:r>
      <w:r w:rsidRPr="00557B73">
        <w:rPr>
          <w:rFonts w:hint="eastAsia"/>
          <w:b/>
          <w:bCs/>
          <w:lang w:val="en-US" w:eastAsia="zh-CN"/>
        </w:rPr>
        <w:t>年会议：自</w:t>
      </w:r>
      <w:r w:rsidRPr="00557B73">
        <w:rPr>
          <w:rFonts w:hint="eastAsia"/>
          <w:b/>
          <w:bCs/>
          <w:lang w:val="en-US" w:eastAsia="zh-CN"/>
        </w:rPr>
        <w:t>2024</w:t>
      </w:r>
      <w:r w:rsidRPr="00557B73">
        <w:rPr>
          <w:rFonts w:hint="eastAsia"/>
          <w:b/>
          <w:bCs/>
          <w:lang w:val="en-US" w:eastAsia="zh-CN"/>
        </w:rPr>
        <w:t>年</w:t>
      </w:r>
      <w:r w:rsidRPr="00557B73">
        <w:rPr>
          <w:rFonts w:hint="eastAsia"/>
          <w:b/>
          <w:bCs/>
          <w:lang w:val="en-US" w:eastAsia="zh-CN"/>
        </w:rPr>
        <w:t>7</w:t>
      </w:r>
      <w:r w:rsidRPr="00557B73">
        <w:rPr>
          <w:rFonts w:hint="eastAsia"/>
          <w:b/>
          <w:bCs/>
          <w:lang w:val="en-US" w:eastAsia="zh-CN"/>
        </w:rPr>
        <w:t>月</w:t>
      </w:r>
      <w:r w:rsidRPr="00557B73">
        <w:rPr>
          <w:rFonts w:hint="eastAsia"/>
          <w:b/>
          <w:bCs/>
          <w:lang w:val="en-US" w:eastAsia="zh-CN"/>
        </w:rPr>
        <w:t>9</w:t>
      </w:r>
      <w:r w:rsidRPr="00557B73">
        <w:rPr>
          <w:rFonts w:hint="eastAsia"/>
          <w:b/>
          <w:bCs/>
          <w:lang w:val="en-US" w:eastAsia="zh-CN"/>
        </w:rPr>
        <w:t>日（星期二）至</w:t>
      </w:r>
      <w:r w:rsidRPr="00557B73">
        <w:rPr>
          <w:rFonts w:hint="eastAsia"/>
          <w:b/>
          <w:bCs/>
          <w:lang w:val="en-US" w:eastAsia="zh-CN"/>
        </w:rPr>
        <w:t>7</w:t>
      </w:r>
      <w:r w:rsidRPr="00557B73">
        <w:rPr>
          <w:rFonts w:hint="eastAsia"/>
          <w:b/>
          <w:bCs/>
          <w:lang w:val="en-US" w:eastAsia="zh-CN"/>
        </w:rPr>
        <w:t>月</w:t>
      </w:r>
      <w:r w:rsidRPr="00557B73">
        <w:rPr>
          <w:rFonts w:hint="eastAsia"/>
          <w:b/>
          <w:bCs/>
          <w:lang w:val="en-US" w:eastAsia="zh-CN"/>
        </w:rPr>
        <w:t>19</w:t>
      </w:r>
      <w:r w:rsidRPr="00557B73">
        <w:rPr>
          <w:rFonts w:hint="eastAsia"/>
          <w:b/>
          <w:bCs/>
          <w:lang w:val="en-US" w:eastAsia="zh-CN"/>
        </w:rPr>
        <w:t>日（星期五）</w:t>
      </w:r>
    </w:p>
    <w:p w14:paraId="4E4C9CAA" w14:textId="77777777" w:rsidR="006C740C" w:rsidRPr="00557B73" w:rsidRDefault="006C740C" w:rsidP="006C740C">
      <w:pPr>
        <w:pStyle w:val="enumlev1"/>
        <w:rPr>
          <w:szCs w:val="24"/>
          <w:u w:val="single"/>
          <w:lang w:val="en-US" w:eastAsia="zh-CN"/>
        </w:rPr>
      </w:pPr>
      <w:r w:rsidRPr="00557B73">
        <w:rPr>
          <w:bCs/>
          <w:snapToGrid w:val="0"/>
          <w:szCs w:val="24"/>
          <w:lang w:val="en-US" w:eastAsia="zh-CN"/>
        </w:rPr>
        <w:t>–</w:t>
      </w:r>
      <w:r w:rsidRPr="00557B73">
        <w:rPr>
          <w:b/>
          <w:bCs/>
          <w:snapToGrid w:val="0"/>
          <w:szCs w:val="24"/>
          <w:lang w:val="en-US" w:eastAsia="zh-CN"/>
        </w:rPr>
        <w:tab/>
      </w:r>
      <w:r w:rsidRPr="00557B73">
        <w:rPr>
          <w:rFonts w:ascii="SimSun" w:hAnsi="SimSun" w:hint="eastAsia"/>
          <w:szCs w:val="24"/>
          <w:lang w:val="en-US" w:eastAsia="zh-CN"/>
        </w:rPr>
        <w:t>第二次集中召开的</w:t>
      </w:r>
      <w:r w:rsidRPr="00557B73">
        <w:rPr>
          <w:rFonts w:ascii="SimSun" w:hAnsi="SimSun"/>
          <w:szCs w:val="24"/>
          <w:lang w:val="en-US" w:eastAsia="zh-CN"/>
        </w:rPr>
        <w:t>理事会工作</w:t>
      </w:r>
      <w:r w:rsidRPr="00557B73">
        <w:rPr>
          <w:rFonts w:ascii="SimSun" w:hAnsi="SimSun" w:hint="eastAsia"/>
          <w:szCs w:val="24"/>
          <w:lang w:val="en-US" w:eastAsia="zh-CN"/>
        </w:rPr>
        <w:t>组和专家组会议：</w:t>
      </w:r>
      <w:r w:rsidRPr="00557B73">
        <w:rPr>
          <w:rFonts w:hint="eastAsia"/>
          <w:lang w:val="en-US" w:eastAsia="zh-CN"/>
        </w:rPr>
        <w:t>自</w:t>
      </w:r>
      <w:r w:rsidRPr="00557B73">
        <w:rPr>
          <w:rFonts w:hint="eastAsia"/>
          <w:lang w:val="en-US" w:eastAsia="zh-CN"/>
        </w:rPr>
        <w:t>202</w:t>
      </w:r>
      <w:r w:rsidRPr="00557B73">
        <w:rPr>
          <w:lang w:val="en-US" w:eastAsia="zh-CN"/>
        </w:rPr>
        <w:t>4</w:t>
      </w:r>
      <w:r w:rsidRPr="00557B73">
        <w:rPr>
          <w:rFonts w:hint="eastAsia"/>
          <w:lang w:val="en-US" w:eastAsia="zh-CN"/>
        </w:rPr>
        <w:t>年</w:t>
      </w:r>
      <w:r w:rsidRPr="00557B73">
        <w:rPr>
          <w:rFonts w:hint="eastAsia"/>
          <w:lang w:val="en-US" w:eastAsia="zh-CN"/>
        </w:rPr>
        <w:t>9</w:t>
      </w:r>
      <w:r w:rsidRPr="00557B73">
        <w:rPr>
          <w:rFonts w:hint="eastAsia"/>
          <w:lang w:val="en-US" w:eastAsia="zh-CN"/>
        </w:rPr>
        <w:t>月</w:t>
      </w:r>
      <w:r w:rsidRPr="00557B73">
        <w:rPr>
          <w:rFonts w:hint="eastAsia"/>
          <w:lang w:val="en-US" w:eastAsia="zh-CN"/>
        </w:rPr>
        <w:t>3</w:t>
      </w:r>
      <w:r w:rsidRPr="00557B73">
        <w:rPr>
          <w:lang w:val="en-US" w:eastAsia="zh-CN"/>
        </w:rPr>
        <w:t>0</w:t>
      </w:r>
      <w:r w:rsidRPr="00557B73">
        <w:rPr>
          <w:rFonts w:hint="eastAsia"/>
          <w:lang w:val="en-US" w:eastAsia="zh-CN"/>
        </w:rPr>
        <w:t>日（星期一）至</w:t>
      </w:r>
      <w:r w:rsidRPr="00557B73">
        <w:rPr>
          <w:rFonts w:hint="eastAsia"/>
          <w:lang w:val="en-US" w:eastAsia="zh-CN"/>
        </w:rPr>
        <w:t>1</w:t>
      </w:r>
      <w:r w:rsidRPr="00557B73">
        <w:rPr>
          <w:lang w:val="en-US" w:eastAsia="zh-CN"/>
        </w:rPr>
        <w:t>0</w:t>
      </w:r>
      <w:r w:rsidRPr="00557B73">
        <w:rPr>
          <w:rFonts w:hint="eastAsia"/>
          <w:lang w:val="en-US" w:eastAsia="zh-CN"/>
        </w:rPr>
        <w:t>月</w:t>
      </w:r>
      <w:r w:rsidRPr="00557B73">
        <w:rPr>
          <w:rFonts w:hint="eastAsia"/>
          <w:lang w:val="en-US" w:eastAsia="zh-CN"/>
        </w:rPr>
        <w:t>1</w:t>
      </w:r>
      <w:r w:rsidRPr="00557B73">
        <w:rPr>
          <w:lang w:val="en-US" w:eastAsia="zh-CN"/>
        </w:rPr>
        <w:t>1</w:t>
      </w:r>
      <w:r w:rsidRPr="00557B73">
        <w:rPr>
          <w:rFonts w:hint="eastAsia"/>
          <w:lang w:val="en-US" w:eastAsia="zh-CN"/>
        </w:rPr>
        <w:t>日（星期五）；</w:t>
      </w:r>
    </w:p>
    <w:p w14:paraId="6C230AC2" w14:textId="77777777" w:rsidR="006C740C" w:rsidRPr="00557B73" w:rsidRDefault="006C740C" w:rsidP="006C740C">
      <w:pPr>
        <w:rPr>
          <w:snapToGrid w:val="0"/>
          <w:lang w:val="en-US" w:eastAsia="zh-CN"/>
        </w:rPr>
      </w:pPr>
      <w:r w:rsidRPr="00557B73">
        <w:rPr>
          <w:snapToGrid w:val="0"/>
          <w:lang w:val="en-US" w:eastAsia="zh-CN"/>
        </w:rPr>
        <w:t>4</w:t>
      </w:r>
      <w:r w:rsidRPr="00557B73">
        <w:rPr>
          <w:snapToGrid w:val="0"/>
          <w:lang w:val="en-US" w:eastAsia="zh-CN"/>
        </w:rPr>
        <w:tab/>
      </w:r>
      <w:r w:rsidRPr="00557B73">
        <w:rPr>
          <w:rFonts w:hint="eastAsia"/>
          <w:snapToGrid w:val="0"/>
          <w:lang w:val="en-US" w:eastAsia="zh-CN"/>
        </w:rPr>
        <w:t>理事会</w:t>
      </w:r>
      <w:r w:rsidRPr="00557B73">
        <w:rPr>
          <w:rFonts w:hint="eastAsia"/>
          <w:snapToGrid w:val="0"/>
          <w:lang w:val="en-US" w:eastAsia="zh-CN"/>
        </w:rPr>
        <w:t>2</w:t>
      </w:r>
      <w:r w:rsidRPr="00557B73">
        <w:rPr>
          <w:snapToGrid w:val="0"/>
          <w:lang w:val="en-US" w:eastAsia="zh-CN"/>
        </w:rPr>
        <w:t>025</w:t>
      </w:r>
      <w:r w:rsidRPr="00557B73">
        <w:rPr>
          <w:rFonts w:hint="eastAsia"/>
          <w:snapToGrid w:val="0"/>
          <w:lang w:val="en-US" w:eastAsia="zh-CN"/>
        </w:rPr>
        <w:t>年会议将在日内瓦召开，为期九个工作日，具体如下：</w:t>
      </w:r>
    </w:p>
    <w:p w14:paraId="1760AEFD" w14:textId="77777777" w:rsidR="006C740C" w:rsidRPr="00557B73" w:rsidRDefault="006C740C" w:rsidP="006C740C">
      <w:pPr>
        <w:pStyle w:val="enumlev1"/>
        <w:rPr>
          <w:lang w:val="en-US" w:eastAsia="zh-CN"/>
        </w:rPr>
      </w:pPr>
      <w:r w:rsidRPr="00557B73">
        <w:rPr>
          <w:snapToGrid w:val="0"/>
          <w:szCs w:val="24"/>
          <w:lang w:val="en-US" w:eastAsia="zh-CN"/>
        </w:rPr>
        <w:t>–</w:t>
      </w:r>
      <w:r w:rsidRPr="00557B73">
        <w:rPr>
          <w:snapToGrid w:val="0"/>
          <w:szCs w:val="24"/>
          <w:lang w:val="en-US" w:eastAsia="zh-CN"/>
        </w:rPr>
        <w:tab/>
      </w:r>
      <w:r w:rsidRPr="001C1BF9">
        <w:rPr>
          <w:rFonts w:hint="eastAsia"/>
          <w:b/>
          <w:bCs/>
          <w:lang w:val="en-US" w:eastAsia="zh-CN"/>
        </w:rPr>
        <w:t>理事会</w:t>
      </w:r>
      <w:r w:rsidRPr="001C1BF9">
        <w:rPr>
          <w:rFonts w:hint="eastAsia"/>
          <w:b/>
          <w:bCs/>
          <w:lang w:val="en-US" w:eastAsia="zh-CN"/>
        </w:rPr>
        <w:t>202</w:t>
      </w:r>
      <w:r w:rsidRPr="001C1BF9">
        <w:rPr>
          <w:b/>
          <w:bCs/>
          <w:lang w:val="en-US" w:eastAsia="zh-CN"/>
        </w:rPr>
        <w:t>5</w:t>
      </w:r>
      <w:r w:rsidRPr="001C1BF9">
        <w:rPr>
          <w:rFonts w:hint="eastAsia"/>
          <w:b/>
          <w:bCs/>
          <w:lang w:val="en-US" w:eastAsia="zh-CN"/>
        </w:rPr>
        <w:t>年会议：自</w:t>
      </w:r>
      <w:r w:rsidRPr="001C1BF9">
        <w:rPr>
          <w:rFonts w:hint="eastAsia"/>
          <w:b/>
          <w:bCs/>
          <w:lang w:val="en-US" w:eastAsia="zh-CN"/>
        </w:rPr>
        <w:t>2025</w:t>
      </w:r>
      <w:r w:rsidRPr="001C1BF9">
        <w:rPr>
          <w:rFonts w:hint="eastAsia"/>
          <w:b/>
          <w:bCs/>
          <w:lang w:val="en-US" w:eastAsia="zh-CN"/>
        </w:rPr>
        <w:t>年</w:t>
      </w:r>
      <w:r w:rsidRPr="001C1BF9">
        <w:rPr>
          <w:rFonts w:hint="eastAsia"/>
          <w:b/>
          <w:bCs/>
          <w:lang w:val="en-US" w:eastAsia="zh-CN"/>
        </w:rPr>
        <w:t>7</w:t>
      </w:r>
      <w:r w:rsidRPr="001C1BF9">
        <w:rPr>
          <w:rFonts w:hint="eastAsia"/>
          <w:b/>
          <w:bCs/>
          <w:lang w:val="en-US" w:eastAsia="zh-CN"/>
        </w:rPr>
        <w:t>月</w:t>
      </w:r>
      <w:r w:rsidRPr="001C1BF9">
        <w:rPr>
          <w:rFonts w:hint="eastAsia"/>
          <w:b/>
          <w:bCs/>
          <w:lang w:val="en-US" w:eastAsia="zh-CN"/>
        </w:rPr>
        <w:t>1</w:t>
      </w:r>
      <w:r w:rsidRPr="001C1BF9">
        <w:rPr>
          <w:rFonts w:hint="eastAsia"/>
          <w:b/>
          <w:bCs/>
          <w:lang w:val="en-US" w:eastAsia="zh-CN"/>
        </w:rPr>
        <w:t>日（星期二）至</w:t>
      </w:r>
      <w:r w:rsidRPr="001C1BF9">
        <w:rPr>
          <w:rFonts w:hint="eastAsia"/>
          <w:b/>
          <w:bCs/>
          <w:lang w:val="en-US" w:eastAsia="zh-CN"/>
        </w:rPr>
        <w:t>7</w:t>
      </w:r>
      <w:r w:rsidRPr="001C1BF9">
        <w:rPr>
          <w:rFonts w:hint="eastAsia"/>
          <w:b/>
          <w:bCs/>
          <w:lang w:val="en-US" w:eastAsia="zh-CN"/>
        </w:rPr>
        <w:t>月</w:t>
      </w:r>
      <w:r w:rsidRPr="001C1BF9">
        <w:rPr>
          <w:rFonts w:hint="eastAsia"/>
          <w:b/>
          <w:bCs/>
          <w:lang w:val="en-US" w:eastAsia="zh-CN"/>
        </w:rPr>
        <w:t>11</w:t>
      </w:r>
      <w:r w:rsidRPr="001C1BF9">
        <w:rPr>
          <w:rFonts w:hint="eastAsia"/>
          <w:b/>
          <w:bCs/>
          <w:lang w:val="en-US" w:eastAsia="zh-CN"/>
        </w:rPr>
        <w:t>日（星期五）；</w:t>
      </w:r>
    </w:p>
    <w:p w14:paraId="7325D2C9" w14:textId="77777777" w:rsidR="006C740C" w:rsidRPr="00557B73" w:rsidRDefault="006C740C" w:rsidP="006C740C">
      <w:pPr>
        <w:rPr>
          <w:snapToGrid w:val="0"/>
          <w:lang w:val="en-US" w:eastAsia="zh-CN"/>
        </w:rPr>
      </w:pPr>
      <w:r w:rsidRPr="00557B73">
        <w:rPr>
          <w:snapToGrid w:val="0"/>
          <w:lang w:val="en-US" w:eastAsia="zh-CN"/>
        </w:rPr>
        <w:t>5</w:t>
      </w:r>
      <w:r w:rsidRPr="00557B73">
        <w:rPr>
          <w:snapToGrid w:val="0"/>
          <w:lang w:val="en-US" w:eastAsia="zh-CN"/>
        </w:rPr>
        <w:tab/>
      </w:r>
      <w:r w:rsidRPr="00557B73">
        <w:rPr>
          <w:rFonts w:hint="eastAsia"/>
          <w:snapToGrid w:val="0"/>
          <w:lang w:val="en-US" w:eastAsia="zh-CN"/>
        </w:rPr>
        <w:t>理事会</w:t>
      </w:r>
      <w:r w:rsidRPr="00557B73">
        <w:rPr>
          <w:rFonts w:hint="eastAsia"/>
          <w:snapToGrid w:val="0"/>
          <w:lang w:val="en-US" w:eastAsia="zh-CN"/>
        </w:rPr>
        <w:t>2</w:t>
      </w:r>
      <w:r w:rsidRPr="00557B73">
        <w:rPr>
          <w:snapToGrid w:val="0"/>
          <w:lang w:val="en-US" w:eastAsia="zh-CN"/>
        </w:rPr>
        <w:t>026</w:t>
      </w:r>
      <w:r w:rsidRPr="00557B73">
        <w:rPr>
          <w:rFonts w:hint="eastAsia"/>
          <w:snapToGrid w:val="0"/>
          <w:lang w:val="en-US" w:eastAsia="zh-CN"/>
        </w:rPr>
        <w:t>年会议将在日内瓦召开，为期九个工作日，具体如下：</w:t>
      </w:r>
    </w:p>
    <w:p w14:paraId="0D144FAD" w14:textId="77777777" w:rsidR="006C740C" w:rsidRPr="00557B73" w:rsidRDefault="006C740C" w:rsidP="006C740C">
      <w:pPr>
        <w:pStyle w:val="enumlev1"/>
        <w:rPr>
          <w:lang w:val="en-US" w:eastAsia="zh-CN"/>
        </w:rPr>
      </w:pPr>
      <w:r w:rsidRPr="00557B73">
        <w:rPr>
          <w:snapToGrid w:val="0"/>
          <w:szCs w:val="24"/>
          <w:lang w:val="en-US" w:eastAsia="zh-CN"/>
        </w:rPr>
        <w:t>–</w:t>
      </w:r>
      <w:r w:rsidRPr="00557B73">
        <w:rPr>
          <w:snapToGrid w:val="0"/>
          <w:szCs w:val="24"/>
          <w:lang w:val="en-US" w:eastAsia="zh-CN"/>
        </w:rPr>
        <w:tab/>
      </w:r>
      <w:r w:rsidRPr="001C1BF9">
        <w:rPr>
          <w:rFonts w:hint="eastAsia"/>
          <w:b/>
          <w:bCs/>
          <w:lang w:val="en-US" w:eastAsia="zh-CN"/>
        </w:rPr>
        <w:t>理事会</w:t>
      </w:r>
      <w:r w:rsidRPr="001C1BF9">
        <w:rPr>
          <w:rFonts w:hint="eastAsia"/>
          <w:b/>
          <w:bCs/>
          <w:lang w:val="en-US" w:eastAsia="zh-CN"/>
        </w:rPr>
        <w:t>202</w:t>
      </w:r>
      <w:r w:rsidRPr="001C1BF9">
        <w:rPr>
          <w:b/>
          <w:bCs/>
          <w:lang w:val="en-US" w:eastAsia="zh-CN"/>
        </w:rPr>
        <w:t>6</w:t>
      </w:r>
      <w:r w:rsidRPr="001C1BF9">
        <w:rPr>
          <w:rFonts w:hint="eastAsia"/>
          <w:b/>
          <w:bCs/>
          <w:lang w:val="en-US" w:eastAsia="zh-CN"/>
        </w:rPr>
        <w:t>年会议：自</w:t>
      </w:r>
      <w:r w:rsidRPr="001C1BF9">
        <w:rPr>
          <w:rFonts w:hint="eastAsia"/>
          <w:b/>
          <w:bCs/>
          <w:lang w:val="en-US" w:eastAsia="zh-CN"/>
        </w:rPr>
        <w:t>2026</w:t>
      </w:r>
      <w:r w:rsidRPr="001C1BF9">
        <w:rPr>
          <w:rFonts w:hint="eastAsia"/>
          <w:b/>
          <w:bCs/>
          <w:lang w:val="en-US" w:eastAsia="zh-CN"/>
        </w:rPr>
        <w:t>年</w:t>
      </w:r>
      <w:r w:rsidRPr="001C1BF9">
        <w:rPr>
          <w:rFonts w:hint="eastAsia"/>
          <w:b/>
          <w:bCs/>
          <w:lang w:val="en-US" w:eastAsia="zh-CN"/>
        </w:rPr>
        <w:t>5</w:t>
      </w:r>
      <w:r w:rsidRPr="001C1BF9">
        <w:rPr>
          <w:rFonts w:hint="eastAsia"/>
          <w:b/>
          <w:bCs/>
          <w:lang w:val="en-US" w:eastAsia="zh-CN"/>
        </w:rPr>
        <w:t>月</w:t>
      </w:r>
      <w:r w:rsidRPr="001C1BF9">
        <w:rPr>
          <w:rFonts w:hint="eastAsia"/>
          <w:b/>
          <w:bCs/>
          <w:lang w:val="en-US" w:eastAsia="zh-CN"/>
        </w:rPr>
        <w:t>4</w:t>
      </w:r>
      <w:r w:rsidRPr="001C1BF9">
        <w:rPr>
          <w:rFonts w:hint="eastAsia"/>
          <w:b/>
          <w:bCs/>
          <w:lang w:val="en-US" w:eastAsia="zh-CN"/>
        </w:rPr>
        <w:t>日（星期一）至</w:t>
      </w:r>
      <w:r w:rsidRPr="001C1BF9">
        <w:rPr>
          <w:rFonts w:hint="eastAsia"/>
          <w:b/>
          <w:bCs/>
          <w:lang w:val="en-US" w:eastAsia="zh-CN"/>
        </w:rPr>
        <w:t>5</w:t>
      </w:r>
      <w:r w:rsidRPr="001C1BF9">
        <w:rPr>
          <w:rFonts w:hint="eastAsia"/>
          <w:b/>
          <w:bCs/>
          <w:lang w:val="en-US" w:eastAsia="zh-CN"/>
        </w:rPr>
        <w:t>月</w:t>
      </w:r>
      <w:r w:rsidRPr="001C1BF9">
        <w:rPr>
          <w:rFonts w:hint="eastAsia"/>
          <w:b/>
          <w:bCs/>
          <w:lang w:val="en-US" w:eastAsia="zh-CN"/>
        </w:rPr>
        <w:t>14</w:t>
      </w:r>
      <w:r w:rsidRPr="001C1BF9">
        <w:rPr>
          <w:rFonts w:hint="eastAsia"/>
          <w:b/>
          <w:bCs/>
          <w:lang w:val="en-US" w:eastAsia="zh-CN"/>
        </w:rPr>
        <w:t>日（星期四）。</w:t>
      </w:r>
    </w:p>
    <w:p w14:paraId="2D5306C8" w14:textId="17A1CE26" w:rsidR="00245570" w:rsidRPr="00245570" w:rsidRDefault="00245570" w:rsidP="00245570">
      <w:pPr>
        <w:pStyle w:val="Endtext"/>
        <w:rPr>
          <w:rFonts w:cs="Calibri"/>
          <w:lang w:eastAsia="zh-CN"/>
        </w:rPr>
      </w:pPr>
      <w:r w:rsidRPr="00245570">
        <w:rPr>
          <w:rFonts w:cs="Calibri"/>
          <w:lang w:eastAsia="zh-CN"/>
        </w:rPr>
        <w:t>参阅</w:t>
      </w:r>
      <w:r w:rsidRPr="00595DBE">
        <w:rPr>
          <w:rFonts w:ascii="SimSun" w:eastAsia="SimSun" w:hAnsi="SimSun" w:cs="Calibri"/>
          <w:lang w:eastAsia="zh-CN"/>
        </w:rPr>
        <w:t>：</w:t>
      </w:r>
      <w:r w:rsidRPr="00245570">
        <w:rPr>
          <w:rFonts w:cs="Calibri"/>
          <w:lang w:eastAsia="zh-CN"/>
        </w:rPr>
        <w:tab/>
      </w:r>
      <w:hyperlink r:id="rId368" w:history="1">
        <w:r w:rsidR="006C740C" w:rsidRPr="006C740C">
          <w:rPr>
            <w:rStyle w:val="Hyperlink"/>
            <w:lang w:val="en-GB" w:eastAsia="zh-CN"/>
          </w:rPr>
          <w:t>C21/2</w:t>
        </w:r>
      </w:hyperlink>
      <w:r w:rsidR="006C740C">
        <w:rPr>
          <w:rFonts w:hint="eastAsia"/>
          <w:lang w:val="en-GB" w:eastAsia="zh-CN"/>
        </w:rPr>
        <w:t>、</w:t>
      </w:r>
      <w:hyperlink r:id="rId369" w:history="1">
        <w:r w:rsidR="006C740C" w:rsidRPr="006C740C">
          <w:rPr>
            <w:rStyle w:val="Hyperlink"/>
            <w:lang w:val="en-GB" w:eastAsia="zh-CN"/>
          </w:rPr>
          <w:t>C21/DT/7</w:t>
        </w:r>
      </w:hyperlink>
      <w:r w:rsidR="006C740C">
        <w:rPr>
          <w:rFonts w:hint="eastAsia"/>
          <w:lang w:val="en-GB" w:eastAsia="zh-CN"/>
        </w:rPr>
        <w:t>、</w:t>
      </w:r>
      <w:hyperlink r:id="rId370" w:history="1">
        <w:r w:rsidR="006C740C" w:rsidRPr="006C740C">
          <w:rPr>
            <w:rStyle w:val="Hyperlink"/>
            <w:lang w:val="en-GB" w:eastAsia="zh-CN"/>
          </w:rPr>
          <w:t>C21/89</w:t>
        </w:r>
      </w:hyperlink>
      <w:r w:rsidR="006C740C">
        <w:rPr>
          <w:rFonts w:hint="eastAsia"/>
          <w:lang w:val="en-GB" w:eastAsia="zh-CN"/>
        </w:rPr>
        <w:t>、</w:t>
      </w:r>
      <w:hyperlink r:id="rId371" w:history="1">
        <w:r w:rsidR="006C740C" w:rsidRPr="006C740C">
          <w:rPr>
            <w:rStyle w:val="Hyperlink"/>
            <w:lang w:val="en-GB" w:eastAsia="zh-CN"/>
          </w:rPr>
          <w:t>C21/93</w:t>
        </w:r>
      </w:hyperlink>
      <w:r w:rsidR="006C740C">
        <w:rPr>
          <w:rFonts w:hint="eastAsia"/>
          <w:lang w:val="en-GB" w:eastAsia="zh-CN"/>
        </w:rPr>
        <w:t>和</w:t>
      </w:r>
      <w:hyperlink r:id="rId372" w:history="1">
        <w:r w:rsidR="006C740C" w:rsidRPr="006C740C">
          <w:rPr>
            <w:rStyle w:val="Hyperlink"/>
            <w:lang w:val="en-GB" w:eastAsia="zh-CN"/>
          </w:rPr>
          <w:t>DM-21/1017</w:t>
        </w:r>
      </w:hyperlink>
      <w:r w:rsidRPr="00245570">
        <w:rPr>
          <w:rFonts w:cs="Calibri"/>
          <w:lang w:eastAsia="zh-CN"/>
        </w:rPr>
        <w:t>号文件。</w:t>
      </w:r>
    </w:p>
    <w:p w14:paraId="4827B612" w14:textId="65380164" w:rsidR="003852B5" w:rsidRDefault="00245570" w:rsidP="00245570">
      <w:pPr>
        <w:tabs>
          <w:tab w:val="clear" w:pos="794"/>
          <w:tab w:val="left" w:pos="770"/>
          <w:tab w:val="left" w:pos="812"/>
        </w:tabs>
        <w:snapToGrid w:val="0"/>
        <w:jc w:val="center"/>
        <w:rPr>
          <w:lang w:eastAsia="zh-CN"/>
        </w:rPr>
      </w:pPr>
      <w:r>
        <w:rPr>
          <w:lang w:eastAsia="zh-CN"/>
        </w:rPr>
        <w:t>______________</w:t>
      </w:r>
    </w:p>
    <w:p w14:paraId="4827B620" w14:textId="07A06819" w:rsidR="00E00C83" w:rsidRDefault="00E00C83" w:rsidP="00245570">
      <w:pPr>
        <w:tabs>
          <w:tab w:val="clear" w:pos="794"/>
          <w:tab w:val="left" w:pos="770"/>
          <w:tab w:val="left" w:pos="812"/>
        </w:tabs>
        <w:snapToGrid w:val="0"/>
        <w:jc w:val="left"/>
        <w:rPr>
          <w:lang w:eastAsia="zh-CN"/>
        </w:rPr>
      </w:pPr>
    </w:p>
    <w:p w14:paraId="2FC63610" w14:textId="6214D961" w:rsidR="006C740C" w:rsidRDefault="006C740C" w:rsidP="00245570">
      <w:pPr>
        <w:tabs>
          <w:tab w:val="clear" w:pos="794"/>
          <w:tab w:val="left" w:pos="770"/>
          <w:tab w:val="left" w:pos="812"/>
        </w:tabs>
        <w:snapToGrid w:val="0"/>
        <w:jc w:val="left"/>
        <w:rPr>
          <w:lang w:eastAsia="zh-CN"/>
        </w:rPr>
      </w:pPr>
    </w:p>
    <w:p w14:paraId="54E448B6" w14:textId="54C64C3A" w:rsidR="006C740C" w:rsidRDefault="006C740C" w:rsidP="00245570">
      <w:pPr>
        <w:tabs>
          <w:tab w:val="clear" w:pos="794"/>
          <w:tab w:val="left" w:pos="770"/>
          <w:tab w:val="left" w:pos="812"/>
        </w:tabs>
        <w:snapToGrid w:val="0"/>
        <w:jc w:val="left"/>
        <w:rPr>
          <w:lang w:eastAsia="zh-CN"/>
        </w:rPr>
      </w:pPr>
    </w:p>
    <w:p w14:paraId="56672C4E" w14:textId="4F1B8101" w:rsidR="006C740C" w:rsidRDefault="006C740C" w:rsidP="00245570">
      <w:pPr>
        <w:tabs>
          <w:tab w:val="clear" w:pos="794"/>
          <w:tab w:val="left" w:pos="770"/>
          <w:tab w:val="left" w:pos="812"/>
        </w:tabs>
        <w:snapToGrid w:val="0"/>
        <w:jc w:val="left"/>
        <w:rPr>
          <w:lang w:eastAsia="zh-CN"/>
        </w:rPr>
      </w:pPr>
    </w:p>
    <w:p w14:paraId="6D30E6F1" w14:textId="081894C1" w:rsidR="006C740C" w:rsidRDefault="006C740C" w:rsidP="00245570">
      <w:pPr>
        <w:tabs>
          <w:tab w:val="clear" w:pos="794"/>
          <w:tab w:val="left" w:pos="770"/>
          <w:tab w:val="left" w:pos="812"/>
        </w:tabs>
        <w:snapToGrid w:val="0"/>
        <w:jc w:val="left"/>
        <w:rPr>
          <w:lang w:eastAsia="zh-CN"/>
        </w:rPr>
      </w:pPr>
    </w:p>
    <w:p w14:paraId="320F647D" w14:textId="77777777" w:rsidR="006C740C" w:rsidRPr="00E00C83" w:rsidRDefault="006C740C" w:rsidP="00245570">
      <w:pPr>
        <w:tabs>
          <w:tab w:val="clear" w:pos="794"/>
          <w:tab w:val="left" w:pos="770"/>
          <w:tab w:val="left" w:pos="812"/>
        </w:tabs>
        <w:snapToGrid w:val="0"/>
        <w:jc w:val="left"/>
        <w:rPr>
          <w:lang w:eastAsia="zh-CN"/>
        </w:rPr>
      </w:pPr>
    </w:p>
    <w:p w14:paraId="4827B621" w14:textId="77777777" w:rsidR="003852B5" w:rsidRPr="001347A2" w:rsidRDefault="003852B5" w:rsidP="00B64353">
      <w:pPr>
        <w:tabs>
          <w:tab w:val="clear" w:pos="794"/>
          <w:tab w:val="left" w:pos="770"/>
          <w:tab w:val="left" w:pos="812"/>
        </w:tabs>
        <w:snapToGrid w:val="0"/>
        <w:rPr>
          <w:lang w:val="fr-CH" w:eastAsia="zh-CN"/>
        </w:rPr>
      </w:pPr>
    </w:p>
    <w:p w14:paraId="4827B622" w14:textId="77777777" w:rsidR="000F6AE3" w:rsidRPr="001347A2" w:rsidRDefault="000F6AE3" w:rsidP="00B64353">
      <w:pPr>
        <w:tabs>
          <w:tab w:val="clear" w:pos="794"/>
          <w:tab w:val="left" w:pos="770"/>
          <w:tab w:val="left" w:pos="812"/>
        </w:tabs>
        <w:snapToGrid w:val="0"/>
        <w:rPr>
          <w:lang w:val="fr-CH" w:eastAsia="zh-CN"/>
        </w:rPr>
        <w:sectPr w:rsidR="000F6AE3" w:rsidRPr="001347A2" w:rsidSect="0019019F">
          <w:headerReference w:type="even" r:id="rId373"/>
          <w:headerReference w:type="default" r:id="rId374"/>
          <w:headerReference w:type="first" r:id="rId375"/>
          <w:footerReference w:type="first" r:id="rId376"/>
          <w:footnotePr>
            <w:pos w:val="beneathText"/>
          </w:footnotePr>
          <w:endnotePr>
            <w:numFmt w:val="decimal"/>
          </w:endnotePr>
          <w:pgSz w:w="11907" w:h="16840" w:code="9"/>
          <w:pgMar w:top="1418" w:right="1134" w:bottom="1134" w:left="1134" w:header="737" w:footer="567" w:gutter="284"/>
          <w:cols w:space="720"/>
          <w:vAlign w:val="both"/>
          <w:titlePg/>
        </w:sectPr>
      </w:pPr>
    </w:p>
    <w:p w14:paraId="4827B623" w14:textId="77777777" w:rsidR="00A15A07" w:rsidRPr="00BF1807" w:rsidRDefault="00A15A07" w:rsidP="00EA3335">
      <w:pPr>
        <w:pStyle w:val="Chaptitle"/>
        <w:rPr>
          <w:lang w:eastAsia="zh-CN"/>
        </w:rPr>
      </w:pPr>
      <w:bookmarkStart w:id="1905" w:name="_Toc81880107"/>
      <w:bookmarkStart w:id="1906" w:name="_Toc161741031"/>
      <w:bookmarkStart w:id="1907" w:name="_Toc185237702"/>
      <w:bookmarkStart w:id="1908" w:name="_Toc311469624"/>
      <w:bookmarkStart w:id="1909" w:name="_Toc424117065"/>
      <w:bookmarkStart w:id="1910" w:name="_Toc531706414"/>
      <w:bookmarkStart w:id="1911" w:name="_Toc531707023"/>
      <w:bookmarkStart w:id="1912" w:name="_Toc531768503"/>
      <w:bookmarkStart w:id="1913" w:name="_Toc16085821"/>
      <w:bookmarkStart w:id="1914" w:name="_Toc86395623"/>
      <w:r w:rsidRPr="00BF1807">
        <w:rPr>
          <w:lang w:eastAsia="zh-CN"/>
        </w:rPr>
        <w:lastRenderedPageBreak/>
        <w:t>3.3</w:t>
      </w:r>
      <w:r w:rsidRPr="00BF1807">
        <w:rPr>
          <w:lang w:eastAsia="zh-CN"/>
        </w:rPr>
        <w:tab/>
      </w:r>
      <w:bookmarkEnd w:id="1905"/>
      <w:r w:rsidRPr="00BF1807">
        <w:rPr>
          <w:rFonts w:hint="eastAsia"/>
          <w:lang w:eastAsia="zh-CN"/>
        </w:rPr>
        <w:t>全权代表大会</w:t>
      </w:r>
      <w:bookmarkEnd w:id="1906"/>
      <w:bookmarkEnd w:id="1907"/>
      <w:bookmarkEnd w:id="1908"/>
      <w:bookmarkEnd w:id="1909"/>
      <w:bookmarkEnd w:id="1910"/>
      <w:bookmarkEnd w:id="1911"/>
      <w:bookmarkEnd w:id="1912"/>
      <w:bookmarkEnd w:id="1913"/>
      <w:bookmarkEnd w:id="1914"/>
    </w:p>
    <w:p w14:paraId="4827B624" w14:textId="77777777" w:rsidR="008B2BF0" w:rsidRPr="00D87217" w:rsidRDefault="008B2BF0" w:rsidP="00CA7362">
      <w:pPr>
        <w:pStyle w:val="DecNo"/>
        <w:outlineLvl w:val="0"/>
        <w:rPr>
          <w:b/>
        </w:rPr>
      </w:pPr>
      <w:bookmarkStart w:id="1915" w:name="_Toc16085822"/>
      <w:bookmarkStart w:id="1916" w:name="_Toc86395624"/>
      <w:r w:rsidRPr="00D87217">
        <w:rPr>
          <w:rFonts w:hint="eastAsia"/>
        </w:rPr>
        <w:t>第</w:t>
      </w:r>
      <w:r w:rsidRPr="00D87217">
        <w:rPr>
          <w:lang w:val="fr-CH"/>
        </w:rPr>
        <w:t>610</w:t>
      </w:r>
      <w:r w:rsidRPr="00D87217">
        <w:rPr>
          <w:rFonts w:hint="eastAsia"/>
        </w:rPr>
        <w:t>号决定</w:t>
      </w:r>
      <w:r>
        <w:rPr>
          <w:rFonts w:hint="eastAsia"/>
        </w:rPr>
        <w:t>（</w:t>
      </w:r>
      <w:r>
        <w:rPr>
          <w:rFonts w:hint="eastAsia"/>
        </w:rPr>
        <w:t>C19</w:t>
      </w:r>
      <w:r>
        <w:rPr>
          <w:rFonts w:hint="eastAsia"/>
        </w:rPr>
        <w:t>）</w:t>
      </w:r>
      <w:bookmarkEnd w:id="1915"/>
      <w:bookmarkEnd w:id="1916"/>
    </w:p>
    <w:p w14:paraId="4827B625" w14:textId="77777777" w:rsidR="007866E9" w:rsidRDefault="008B2BF0" w:rsidP="008B2BF0">
      <w:pPr>
        <w:pStyle w:val="Dectitle"/>
      </w:pPr>
      <w:bookmarkStart w:id="1917" w:name="_Toc16085823"/>
      <w:bookmarkStart w:id="1918" w:name="_Toc86395625"/>
      <w:r>
        <w:rPr>
          <w:rFonts w:hint="eastAsia"/>
        </w:rPr>
        <w:t>下届例行的全权代表大会的召开</w:t>
      </w:r>
      <w:bookmarkEnd w:id="1917"/>
      <w:bookmarkEnd w:id="1918"/>
    </w:p>
    <w:p w14:paraId="4827B626" w14:textId="77777777" w:rsidR="008B2BF0" w:rsidRPr="0011035F" w:rsidRDefault="008B2BF0" w:rsidP="008B2BF0">
      <w:pPr>
        <w:rPr>
          <w:szCs w:val="24"/>
          <w:lang w:val="fr-CH" w:eastAsia="zh-CN"/>
        </w:rPr>
      </w:pPr>
      <w:r w:rsidRPr="000C13BC">
        <w:rPr>
          <w:rFonts w:hint="eastAsia"/>
          <w:szCs w:val="24"/>
          <w:lang w:eastAsia="zh-CN"/>
        </w:rPr>
        <w:t>理事会</w:t>
      </w:r>
      <w:r w:rsidRPr="0011035F">
        <w:rPr>
          <w:rFonts w:hint="eastAsia"/>
          <w:szCs w:val="24"/>
          <w:lang w:val="fr-CH" w:eastAsia="zh-CN"/>
        </w:rPr>
        <w:t>，</w:t>
      </w:r>
    </w:p>
    <w:p w14:paraId="4827B627" w14:textId="77777777" w:rsidR="008B2BF0" w:rsidRPr="0011035F" w:rsidRDefault="008B2BF0" w:rsidP="008B2BF0">
      <w:pPr>
        <w:pStyle w:val="Call"/>
        <w:rPr>
          <w:lang w:val="fr-CH" w:eastAsia="zh-CN"/>
        </w:rPr>
      </w:pPr>
      <w:r w:rsidRPr="00E95657">
        <w:rPr>
          <w:rFonts w:hint="eastAsia"/>
          <w:lang w:eastAsia="zh-CN"/>
        </w:rPr>
        <w:t>注意到</w:t>
      </w:r>
    </w:p>
    <w:p w14:paraId="4827B628" w14:textId="77777777" w:rsidR="008B2BF0" w:rsidRPr="00B23B82" w:rsidRDefault="008B2BF0" w:rsidP="008B2BF0">
      <w:pPr>
        <w:ind w:firstLineChars="200" w:firstLine="480"/>
        <w:rPr>
          <w:szCs w:val="24"/>
          <w:lang w:eastAsia="zh-CN"/>
        </w:rPr>
      </w:pPr>
      <w:r>
        <w:rPr>
          <w:rFonts w:hint="eastAsia"/>
          <w:lang w:eastAsia="zh-CN"/>
        </w:rPr>
        <w:t>此</w:t>
      </w:r>
      <w:r w:rsidRPr="00BE1CC3">
        <w:rPr>
          <w:rFonts w:hint="eastAsia"/>
          <w:lang w:eastAsia="zh-CN"/>
        </w:rPr>
        <w:t>大会</w:t>
      </w:r>
      <w:r>
        <w:rPr>
          <w:rFonts w:hint="eastAsia"/>
          <w:lang w:eastAsia="zh-CN"/>
        </w:rPr>
        <w:t>已包含在已经通过</w:t>
      </w:r>
      <w:r w:rsidRPr="00BE1CC3">
        <w:rPr>
          <w:rFonts w:hint="eastAsia"/>
          <w:lang w:eastAsia="zh-CN"/>
        </w:rPr>
        <w:t>的第</w:t>
      </w:r>
      <w:r w:rsidRPr="00BE1CC3">
        <w:rPr>
          <w:rFonts w:hint="eastAsia"/>
          <w:lang w:eastAsia="zh-CN"/>
        </w:rPr>
        <w:t>77</w:t>
      </w:r>
      <w:r w:rsidRPr="00BE1CC3">
        <w:rPr>
          <w:rFonts w:hint="eastAsia"/>
          <w:lang w:eastAsia="zh-CN"/>
        </w:rPr>
        <w:t>号决议（</w:t>
      </w:r>
      <w:r>
        <w:rPr>
          <w:rFonts w:hint="eastAsia"/>
          <w:lang w:eastAsia="zh-CN"/>
        </w:rPr>
        <w:t>2018</w:t>
      </w:r>
      <w:r w:rsidRPr="00BE1CC3">
        <w:rPr>
          <w:rFonts w:hint="eastAsia"/>
          <w:lang w:eastAsia="zh-CN"/>
        </w:rPr>
        <w:t>年，</w:t>
      </w:r>
      <w:r>
        <w:rPr>
          <w:rFonts w:hint="eastAsia"/>
          <w:lang w:eastAsia="zh-CN"/>
        </w:rPr>
        <w:t>迪拜，修订版）（</w:t>
      </w:r>
      <w:bookmarkStart w:id="1919" w:name="_Toc2083321"/>
      <w:bookmarkStart w:id="1920" w:name="_Toc536172360"/>
      <w:bookmarkStart w:id="1921" w:name="_Toc413838358"/>
      <w:bookmarkStart w:id="1922" w:name="_Toc407024770"/>
      <w:r>
        <w:rPr>
          <w:rFonts w:hint="eastAsia"/>
          <w:lang w:eastAsia="zh-CN"/>
        </w:rPr>
        <w:t>国际电联的大会、论坛、全会和理事会会议的时间安排和会期（</w:t>
      </w:r>
      <w:r>
        <w:rPr>
          <w:lang w:eastAsia="zh-CN"/>
        </w:rPr>
        <w:t>2019-2023</w:t>
      </w:r>
      <w:r>
        <w:rPr>
          <w:rFonts w:hint="eastAsia"/>
          <w:lang w:eastAsia="zh-CN"/>
        </w:rPr>
        <w:t>年）</w:t>
      </w:r>
      <w:bookmarkEnd w:id="1919"/>
      <w:bookmarkEnd w:id="1920"/>
      <w:bookmarkEnd w:id="1921"/>
      <w:bookmarkEnd w:id="1922"/>
      <w:r>
        <w:rPr>
          <w:rFonts w:hint="eastAsia"/>
          <w:lang w:eastAsia="zh-CN"/>
        </w:rPr>
        <w:t>）的</w:t>
      </w:r>
      <w:r w:rsidRPr="00BE1CC3">
        <w:rPr>
          <w:rFonts w:hint="eastAsia"/>
          <w:lang w:eastAsia="zh-CN"/>
        </w:rPr>
        <w:t>国际电联未来大会、全会和论坛（</w:t>
      </w:r>
      <w:r>
        <w:rPr>
          <w:rFonts w:hint="eastAsia"/>
          <w:lang w:eastAsia="zh-CN"/>
        </w:rPr>
        <w:t>2019-2023</w:t>
      </w:r>
      <w:r>
        <w:rPr>
          <w:rFonts w:hint="eastAsia"/>
          <w:lang w:eastAsia="zh-CN"/>
        </w:rPr>
        <w:t>年）的时间安排</w:t>
      </w:r>
      <w:r w:rsidRPr="00BE1CC3">
        <w:rPr>
          <w:rFonts w:hint="eastAsia"/>
          <w:lang w:eastAsia="zh-CN"/>
        </w:rPr>
        <w:t>中</w:t>
      </w:r>
      <w:r>
        <w:rPr>
          <w:rFonts w:hint="eastAsia"/>
          <w:lang w:eastAsia="zh-CN"/>
        </w:rPr>
        <w:t>，</w:t>
      </w:r>
    </w:p>
    <w:p w14:paraId="4827B629" w14:textId="77777777" w:rsidR="008B2BF0" w:rsidRPr="007B4CB6" w:rsidRDefault="008B2BF0" w:rsidP="008B2BF0">
      <w:pPr>
        <w:pStyle w:val="Call"/>
        <w:rPr>
          <w:lang w:eastAsia="zh-CN"/>
        </w:rPr>
      </w:pPr>
      <w:r w:rsidRPr="00E95657">
        <w:rPr>
          <w:rFonts w:hint="eastAsia"/>
          <w:lang w:eastAsia="zh-CN"/>
        </w:rPr>
        <w:t>做出</w:t>
      </w:r>
      <w:r w:rsidRPr="007B4CB6">
        <w:rPr>
          <w:rFonts w:hint="eastAsia"/>
          <w:lang w:val="es-ES" w:eastAsia="zh-CN"/>
        </w:rPr>
        <w:t>决定</w:t>
      </w:r>
    </w:p>
    <w:p w14:paraId="4827B62A" w14:textId="77777777" w:rsidR="008B2BF0" w:rsidRPr="0047377A" w:rsidRDefault="008B2BF0" w:rsidP="008B2BF0">
      <w:pPr>
        <w:rPr>
          <w:lang w:eastAsia="zh-CN"/>
        </w:rPr>
      </w:pPr>
      <w:r w:rsidRPr="0047377A">
        <w:rPr>
          <w:i/>
          <w:iCs/>
          <w:lang w:eastAsia="zh-CN"/>
        </w:rPr>
        <w:t>a)</w:t>
      </w:r>
      <w:r>
        <w:rPr>
          <w:lang w:eastAsia="zh-CN"/>
        </w:rPr>
        <w:tab/>
      </w:r>
      <w:r>
        <w:rPr>
          <w:rFonts w:hint="eastAsia"/>
          <w:lang w:eastAsia="zh-CN"/>
        </w:rPr>
        <w:t>在征得</w:t>
      </w:r>
      <w:r w:rsidRPr="00F10AE8">
        <w:rPr>
          <w:rFonts w:hint="eastAsia"/>
          <w:lang w:eastAsia="zh-CN"/>
        </w:rPr>
        <w:t>国际电联</w:t>
      </w:r>
      <w:r>
        <w:rPr>
          <w:rFonts w:hint="eastAsia"/>
          <w:lang w:eastAsia="zh-CN"/>
        </w:rPr>
        <w:t>多数成员国同意</w:t>
      </w:r>
      <w:r w:rsidRPr="00F10AE8">
        <w:rPr>
          <w:rFonts w:hint="eastAsia"/>
          <w:lang w:eastAsia="zh-CN"/>
        </w:rPr>
        <w:t>的前提下</w:t>
      </w:r>
      <w:r>
        <w:rPr>
          <w:rFonts w:hint="eastAsia"/>
          <w:lang w:eastAsia="zh-CN"/>
        </w:rPr>
        <w:t>，下届例行的</w:t>
      </w:r>
      <w:r w:rsidRPr="00F10AE8">
        <w:rPr>
          <w:rFonts w:hint="eastAsia"/>
          <w:lang w:eastAsia="zh-CN"/>
        </w:rPr>
        <w:t>全权代表大会将于</w:t>
      </w:r>
      <w:r>
        <w:rPr>
          <w:rFonts w:hint="eastAsia"/>
          <w:lang w:eastAsia="zh-CN"/>
        </w:rPr>
        <w:t>2022</w:t>
      </w:r>
      <w:r>
        <w:rPr>
          <w:rFonts w:hint="eastAsia"/>
          <w:lang w:eastAsia="zh-CN"/>
        </w:rPr>
        <w:t>年</w:t>
      </w:r>
      <w:r w:rsidRPr="00F10AE8">
        <w:rPr>
          <w:rFonts w:hint="eastAsia"/>
          <w:lang w:eastAsia="zh-CN"/>
        </w:rPr>
        <w:t>在</w:t>
      </w:r>
      <w:r>
        <w:rPr>
          <w:rFonts w:hint="eastAsia"/>
          <w:lang w:eastAsia="zh-CN"/>
        </w:rPr>
        <w:t>（罗马尼亚）布加勒斯特举行，为期三周；</w:t>
      </w:r>
    </w:p>
    <w:p w14:paraId="4827B62B" w14:textId="77777777" w:rsidR="008B2BF0" w:rsidRPr="0047377A" w:rsidRDefault="008B2BF0" w:rsidP="008B2BF0">
      <w:pPr>
        <w:rPr>
          <w:szCs w:val="24"/>
          <w:lang w:eastAsia="zh-CN"/>
        </w:rPr>
      </w:pPr>
      <w:r w:rsidRPr="0047377A">
        <w:rPr>
          <w:rFonts w:hint="eastAsia"/>
          <w:i/>
          <w:iCs/>
          <w:lang w:eastAsia="zh-CN"/>
        </w:rPr>
        <w:t>b)</w:t>
      </w:r>
      <w:r>
        <w:rPr>
          <w:rFonts w:hint="eastAsia"/>
          <w:lang w:eastAsia="zh-CN"/>
        </w:rPr>
        <w:tab/>
      </w:r>
      <w:r>
        <w:rPr>
          <w:rFonts w:hint="eastAsia"/>
          <w:lang w:eastAsia="zh-CN"/>
        </w:rPr>
        <w:t>大会的开幕和闭幕日期分别为</w:t>
      </w:r>
      <w:r>
        <w:rPr>
          <w:rFonts w:hint="eastAsia"/>
          <w:lang w:eastAsia="zh-CN"/>
        </w:rPr>
        <w:t>2022</w:t>
      </w:r>
      <w:r>
        <w:rPr>
          <w:rFonts w:hint="eastAsia"/>
          <w:lang w:eastAsia="zh-CN"/>
        </w:rPr>
        <w:t>年</w:t>
      </w:r>
      <w:r>
        <w:rPr>
          <w:lang w:eastAsia="zh-CN"/>
        </w:rPr>
        <w:t>9</w:t>
      </w:r>
      <w:r>
        <w:rPr>
          <w:rFonts w:hint="eastAsia"/>
          <w:lang w:eastAsia="zh-CN"/>
        </w:rPr>
        <w:t>月</w:t>
      </w:r>
      <w:r>
        <w:rPr>
          <w:lang w:eastAsia="zh-CN"/>
        </w:rPr>
        <w:t>26</w:t>
      </w:r>
      <w:r>
        <w:rPr>
          <w:rFonts w:hint="eastAsia"/>
          <w:lang w:eastAsia="zh-CN"/>
        </w:rPr>
        <w:t>日（星期一）和</w:t>
      </w:r>
      <w:r>
        <w:rPr>
          <w:lang w:eastAsia="zh-CN"/>
        </w:rPr>
        <w:t>10</w:t>
      </w:r>
      <w:r>
        <w:rPr>
          <w:rFonts w:hint="eastAsia"/>
          <w:lang w:eastAsia="zh-CN"/>
        </w:rPr>
        <w:t>月</w:t>
      </w:r>
      <w:r>
        <w:rPr>
          <w:rFonts w:hint="eastAsia"/>
          <w:lang w:eastAsia="zh-CN"/>
        </w:rPr>
        <w:t>14</w:t>
      </w:r>
      <w:r>
        <w:rPr>
          <w:rFonts w:hint="eastAsia"/>
          <w:lang w:eastAsia="zh-CN"/>
        </w:rPr>
        <w:t>日</w:t>
      </w:r>
      <w:r>
        <w:rPr>
          <w:lang w:eastAsia="zh-CN"/>
        </w:rPr>
        <w:t>（</w:t>
      </w:r>
      <w:r>
        <w:rPr>
          <w:rFonts w:hint="eastAsia"/>
          <w:lang w:eastAsia="zh-CN"/>
        </w:rPr>
        <w:t>星期五），</w:t>
      </w:r>
    </w:p>
    <w:p w14:paraId="4827B62C" w14:textId="77777777" w:rsidR="008B2BF0" w:rsidRDefault="008B2BF0" w:rsidP="008B2BF0">
      <w:pPr>
        <w:pStyle w:val="Call"/>
        <w:rPr>
          <w:lang w:eastAsia="zh-CN"/>
        </w:rPr>
      </w:pPr>
      <w:r w:rsidRPr="00F82938">
        <w:rPr>
          <w:rFonts w:hint="eastAsia"/>
          <w:lang w:eastAsia="zh-CN"/>
        </w:rPr>
        <w:t>责成秘书长</w:t>
      </w:r>
    </w:p>
    <w:p w14:paraId="4827B62D" w14:textId="77777777" w:rsidR="008B2BF0" w:rsidRDefault="008B2BF0" w:rsidP="008B2BF0">
      <w:pPr>
        <w:rPr>
          <w:lang w:eastAsia="zh-CN"/>
        </w:rPr>
      </w:pPr>
      <w:r>
        <w:rPr>
          <w:lang w:eastAsia="zh-CN"/>
        </w:rPr>
        <w:t>1</w:t>
      </w:r>
      <w:r>
        <w:rPr>
          <w:lang w:eastAsia="zh-CN"/>
        </w:rPr>
        <w:tab/>
      </w:r>
      <w:r>
        <w:rPr>
          <w:rFonts w:hint="eastAsia"/>
          <w:lang w:eastAsia="zh-CN"/>
        </w:rPr>
        <w:t>针对</w:t>
      </w:r>
      <w:r>
        <w:rPr>
          <w:rFonts w:hint="eastAsia"/>
          <w:lang w:eastAsia="zh-CN"/>
        </w:rPr>
        <w:t>P</w:t>
      </w:r>
      <w:r>
        <w:rPr>
          <w:lang w:eastAsia="zh-CN"/>
        </w:rPr>
        <w:t>P-22</w:t>
      </w:r>
      <w:r>
        <w:rPr>
          <w:rFonts w:hint="eastAsia"/>
          <w:szCs w:val="24"/>
          <w:lang w:eastAsia="zh-CN"/>
        </w:rPr>
        <w:t>的确切日期和具体地点，与所有成员国进行磋商</w:t>
      </w:r>
      <w:r>
        <w:rPr>
          <w:rFonts w:hint="eastAsia"/>
          <w:lang w:eastAsia="zh-CN"/>
        </w:rPr>
        <w:t>；</w:t>
      </w:r>
    </w:p>
    <w:p w14:paraId="4827B62E" w14:textId="77777777" w:rsidR="008B2BF0" w:rsidRPr="00B23B82" w:rsidRDefault="008B2BF0" w:rsidP="008B2BF0">
      <w:pPr>
        <w:rPr>
          <w:lang w:val="es-ES" w:eastAsia="zh-CN"/>
        </w:rPr>
      </w:pPr>
      <w:r>
        <w:rPr>
          <w:rFonts w:hint="eastAsia"/>
          <w:lang w:eastAsia="zh-CN"/>
        </w:rPr>
        <w:t>2</w:t>
      </w:r>
      <w:r>
        <w:rPr>
          <w:rFonts w:hint="eastAsia"/>
          <w:lang w:eastAsia="zh-CN"/>
        </w:rPr>
        <w:tab/>
      </w:r>
      <w:r w:rsidRPr="00D50CCD">
        <w:rPr>
          <w:rFonts w:hint="eastAsia"/>
          <w:lang w:eastAsia="zh-CN"/>
        </w:rPr>
        <w:t>进行实地考察并向理事会</w:t>
      </w:r>
      <w:r w:rsidRPr="00D50CCD">
        <w:rPr>
          <w:rFonts w:hint="eastAsia"/>
          <w:lang w:eastAsia="zh-CN"/>
        </w:rPr>
        <w:t>2020</w:t>
      </w:r>
      <w:r w:rsidRPr="00D50CCD">
        <w:rPr>
          <w:rFonts w:hint="eastAsia"/>
          <w:lang w:eastAsia="zh-CN"/>
        </w:rPr>
        <w:t>年会议做出报告。</w:t>
      </w:r>
    </w:p>
    <w:p w14:paraId="4827B62F" w14:textId="77777777" w:rsidR="008B2BF0" w:rsidRDefault="008B2BF0" w:rsidP="008B2BF0">
      <w:pPr>
        <w:pStyle w:val="Endtext"/>
        <w:rPr>
          <w:lang w:eastAsia="zh-CN"/>
        </w:rPr>
      </w:pPr>
      <w:r w:rsidRPr="001A19E4">
        <w:rPr>
          <w:rFonts w:ascii="STKaiti" w:hAnsi="STKaiti" w:hint="eastAsia"/>
          <w:lang w:eastAsia="zh-CN"/>
        </w:rPr>
        <w:t>参阅</w:t>
      </w:r>
      <w:r w:rsidRPr="001A19E4">
        <w:rPr>
          <w:rFonts w:hint="eastAsia"/>
          <w:lang w:eastAsia="zh-CN"/>
        </w:rPr>
        <w:t>：</w:t>
      </w:r>
      <w:r w:rsidRPr="001A19E4">
        <w:rPr>
          <w:lang w:eastAsia="zh-CN"/>
        </w:rPr>
        <w:tab/>
      </w:r>
      <w:hyperlink r:id="rId377" w:history="1">
        <w:r w:rsidRPr="000F05E5">
          <w:rPr>
            <w:rStyle w:val="Hyperlink"/>
            <w:lang w:eastAsia="zh-CN"/>
          </w:rPr>
          <w:t>C19/1</w:t>
        </w:r>
        <w:r>
          <w:rPr>
            <w:rStyle w:val="Hyperlink"/>
            <w:lang w:eastAsia="zh-CN"/>
          </w:rPr>
          <w:t>27</w:t>
        </w:r>
      </w:hyperlink>
      <w:r>
        <w:rPr>
          <w:rFonts w:hint="eastAsia"/>
          <w:lang w:eastAsia="zh-CN"/>
        </w:rPr>
        <w:t>和</w:t>
      </w:r>
      <w:hyperlink r:id="rId378" w:history="1">
        <w:r w:rsidRPr="000F05E5">
          <w:rPr>
            <w:rStyle w:val="Hyperlink"/>
            <w:lang w:eastAsia="zh-CN"/>
          </w:rPr>
          <w:t>C19/1</w:t>
        </w:r>
        <w:r>
          <w:rPr>
            <w:rStyle w:val="Hyperlink"/>
            <w:lang w:eastAsia="zh-CN"/>
          </w:rPr>
          <w:t>17</w:t>
        </w:r>
      </w:hyperlink>
      <w:r>
        <w:rPr>
          <w:rFonts w:hint="eastAsia"/>
          <w:lang w:eastAsia="zh-CN"/>
        </w:rPr>
        <w:t>号</w:t>
      </w:r>
      <w:r>
        <w:rPr>
          <w:lang w:eastAsia="zh-CN"/>
        </w:rPr>
        <w:t>文件。</w:t>
      </w:r>
    </w:p>
    <w:p w14:paraId="4827B630" w14:textId="77777777" w:rsidR="008B2BF0" w:rsidRPr="00200E9C" w:rsidRDefault="008B2BF0" w:rsidP="008B2BF0">
      <w:pPr>
        <w:jc w:val="center"/>
        <w:rPr>
          <w:lang w:val="es-ES" w:eastAsia="zh-CN"/>
        </w:rPr>
      </w:pPr>
      <w:r>
        <w:rPr>
          <w:lang w:eastAsia="zh-CN"/>
        </w:rPr>
        <w:t>______________</w:t>
      </w:r>
    </w:p>
    <w:p w14:paraId="4827B631" w14:textId="77777777" w:rsidR="008B2BF0" w:rsidRDefault="008B2BF0" w:rsidP="00B64353">
      <w:pPr>
        <w:rPr>
          <w:lang w:eastAsia="zh-CN"/>
        </w:rPr>
      </w:pPr>
    </w:p>
    <w:p w14:paraId="4827B632" w14:textId="77777777" w:rsidR="008B2BF0" w:rsidRDefault="008B2BF0" w:rsidP="00B64353">
      <w:pPr>
        <w:rPr>
          <w:lang w:eastAsia="zh-CN"/>
        </w:rPr>
      </w:pPr>
    </w:p>
    <w:p w14:paraId="4827B633" w14:textId="77777777" w:rsidR="00D45693" w:rsidRDefault="00D45693" w:rsidP="00B64353">
      <w:pPr>
        <w:rPr>
          <w:lang w:eastAsia="zh-CN"/>
        </w:rPr>
      </w:pPr>
    </w:p>
    <w:p w14:paraId="4827B634" w14:textId="77777777" w:rsidR="008B2BF0" w:rsidRDefault="008B2BF0" w:rsidP="00B64353">
      <w:pPr>
        <w:rPr>
          <w:lang w:eastAsia="zh-CN"/>
        </w:rPr>
      </w:pPr>
    </w:p>
    <w:p w14:paraId="4827B635" w14:textId="77777777" w:rsidR="008B2BF0" w:rsidRDefault="008B2BF0" w:rsidP="00B64353">
      <w:pPr>
        <w:rPr>
          <w:lang w:eastAsia="zh-CN"/>
        </w:rPr>
      </w:pPr>
    </w:p>
    <w:p w14:paraId="4827B636" w14:textId="77777777" w:rsidR="008B2BF0" w:rsidRDefault="008B2BF0" w:rsidP="00B64353">
      <w:pPr>
        <w:rPr>
          <w:lang w:eastAsia="zh-CN"/>
        </w:rPr>
      </w:pPr>
    </w:p>
    <w:p w14:paraId="4827B637" w14:textId="77777777" w:rsidR="00A15A07" w:rsidRDefault="00A15A07" w:rsidP="008B2BF0">
      <w:pPr>
        <w:rPr>
          <w:lang w:eastAsia="zh-CN"/>
        </w:rPr>
      </w:pPr>
    </w:p>
    <w:p w14:paraId="4827B638" w14:textId="77777777" w:rsidR="008B2BF0" w:rsidRDefault="008B2BF0" w:rsidP="008B2BF0">
      <w:pPr>
        <w:rPr>
          <w:lang w:eastAsia="zh-CN"/>
        </w:rPr>
      </w:pPr>
    </w:p>
    <w:p w14:paraId="4827B639" w14:textId="77777777" w:rsidR="008B2BF0" w:rsidRDefault="008B2BF0" w:rsidP="008B2BF0">
      <w:pPr>
        <w:rPr>
          <w:lang w:eastAsia="zh-CN"/>
        </w:rPr>
      </w:pPr>
    </w:p>
    <w:p w14:paraId="4827B63A" w14:textId="77777777" w:rsidR="008B2BF0" w:rsidRDefault="008B2BF0" w:rsidP="00B64353">
      <w:pPr>
        <w:snapToGrid w:val="0"/>
        <w:jc w:val="center"/>
        <w:rPr>
          <w:b/>
          <w:sz w:val="28"/>
          <w:szCs w:val="28"/>
          <w:lang w:eastAsia="zh-CN"/>
        </w:rPr>
        <w:sectPr w:rsidR="008B2BF0" w:rsidSect="008B2BF0">
          <w:headerReference w:type="even" r:id="rId379"/>
          <w:headerReference w:type="default" r:id="rId380"/>
          <w:footerReference w:type="even" r:id="rId381"/>
          <w:footerReference w:type="default" r:id="rId382"/>
          <w:headerReference w:type="first" r:id="rId383"/>
          <w:footerReference w:type="first" r:id="rId384"/>
          <w:footnotePr>
            <w:pos w:val="beneathText"/>
          </w:footnotePr>
          <w:endnotePr>
            <w:numFmt w:val="decimal"/>
          </w:endnotePr>
          <w:pgSz w:w="11907" w:h="16840" w:code="9"/>
          <w:pgMar w:top="1418" w:right="1134" w:bottom="1134" w:left="1134" w:header="737" w:footer="567" w:gutter="284"/>
          <w:cols w:space="720"/>
          <w:vAlign w:val="both"/>
          <w:titlePg/>
        </w:sectPr>
      </w:pPr>
    </w:p>
    <w:p w14:paraId="4827B652" w14:textId="5618A73C" w:rsidR="004B3B55" w:rsidRDefault="00A91440" w:rsidP="00795AF8">
      <w:pPr>
        <w:pStyle w:val="Chaptitle"/>
        <w:rPr>
          <w:lang w:eastAsia="zh-CN"/>
        </w:rPr>
      </w:pPr>
      <w:bookmarkStart w:id="1923" w:name="_Toc161741033"/>
      <w:bookmarkStart w:id="1924" w:name="_Toc185237704"/>
      <w:bookmarkStart w:id="1925" w:name="_Toc311469626"/>
      <w:bookmarkStart w:id="1926" w:name="_Toc424117066"/>
      <w:bookmarkStart w:id="1927" w:name="_Toc531706415"/>
      <w:bookmarkStart w:id="1928" w:name="_Toc531707024"/>
      <w:bookmarkStart w:id="1929" w:name="_Toc531768504"/>
      <w:bookmarkStart w:id="1930" w:name="_Toc16085824"/>
      <w:bookmarkStart w:id="1931" w:name="_Toc86395626"/>
      <w:r w:rsidRPr="00BF1807">
        <w:rPr>
          <w:rStyle w:val="href"/>
          <w:lang w:eastAsia="zh-CN"/>
        </w:rPr>
        <w:lastRenderedPageBreak/>
        <w:t>3.4</w:t>
      </w:r>
      <w:r w:rsidRPr="00BF1807">
        <w:rPr>
          <w:lang w:eastAsia="zh-CN"/>
        </w:rPr>
        <w:tab/>
      </w:r>
      <w:r w:rsidRPr="00BF1807">
        <w:rPr>
          <w:rFonts w:hint="eastAsia"/>
          <w:lang w:eastAsia="zh-CN"/>
        </w:rPr>
        <w:t>其它大会和相关事宜</w:t>
      </w:r>
      <w:bookmarkStart w:id="1932" w:name="_Toc311469629"/>
      <w:bookmarkEnd w:id="1923"/>
      <w:bookmarkEnd w:id="1924"/>
      <w:bookmarkEnd w:id="1925"/>
      <w:bookmarkEnd w:id="1926"/>
      <w:bookmarkEnd w:id="1927"/>
      <w:bookmarkEnd w:id="1928"/>
      <w:bookmarkEnd w:id="1929"/>
      <w:bookmarkEnd w:id="1930"/>
      <w:bookmarkEnd w:id="1931"/>
    </w:p>
    <w:p w14:paraId="4827B653" w14:textId="77777777" w:rsidR="009C2E24" w:rsidRPr="009C2E24" w:rsidRDefault="00103C9F" w:rsidP="00CA7362">
      <w:pPr>
        <w:pStyle w:val="ResNo"/>
        <w:outlineLvl w:val="0"/>
        <w:rPr>
          <w:lang w:eastAsia="zh-CN"/>
        </w:rPr>
      </w:pPr>
      <w:bookmarkStart w:id="1933" w:name="_Toc424117069"/>
      <w:bookmarkStart w:id="1934" w:name="_Toc531706418"/>
      <w:bookmarkStart w:id="1935" w:name="_Toc531707027"/>
      <w:bookmarkStart w:id="1936" w:name="_Toc531768507"/>
      <w:bookmarkStart w:id="1937" w:name="_Toc16085827"/>
      <w:bookmarkStart w:id="1938" w:name="_Toc86395627"/>
      <w:r w:rsidRPr="009C2E24">
        <w:rPr>
          <w:rFonts w:hint="eastAsia"/>
          <w:lang w:eastAsia="zh-CN"/>
        </w:rPr>
        <w:t>第</w:t>
      </w:r>
      <w:r w:rsidRPr="009C2E24">
        <w:rPr>
          <w:lang w:eastAsia="zh-CN"/>
        </w:rPr>
        <w:t>1292</w:t>
      </w:r>
      <w:r w:rsidRPr="009C2E24">
        <w:rPr>
          <w:rFonts w:hint="eastAsia"/>
          <w:lang w:eastAsia="zh-CN"/>
        </w:rPr>
        <w:t>号决议</w:t>
      </w:r>
      <w:r w:rsidR="009C2E24">
        <w:rPr>
          <w:rFonts w:hint="eastAsia"/>
          <w:lang w:eastAsia="zh-CN"/>
        </w:rPr>
        <w:t>（</w:t>
      </w:r>
      <w:r w:rsidR="009C2E24" w:rsidRPr="009C2E24">
        <w:rPr>
          <w:lang w:eastAsia="zh-CN"/>
        </w:rPr>
        <w:t>C08</w:t>
      </w:r>
      <w:r w:rsidR="009C2E24">
        <w:rPr>
          <w:rFonts w:hint="eastAsia"/>
          <w:lang w:eastAsia="zh-CN"/>
        </w:rPr>
        <w:t>）</w:t>
      </w:r>
      <w:bookmarkEnd w:id="1933"/>
      <w:bookmarkEnd w:id="1934"/>
      <w:bookmarkEnd w:id="1935"/>
      <w:bookmarkEnd w:id="1936"/>
      <w:bookmarkEnd w:id="1937"/>
      <w:bookmarkEnd w:id="1938"/>
    </w:p>
    <w:p w14:paraId="4827B654" w14:textId="77777777" w:rsidR="00197507" w:rsidRPr="009C2E24" w:rsidRDefault="00103C9F" w:rsidP="008B2BF0">
      <w:pPr>
        <w:pStyle w:val="Restitle"/>
        <w:rPr>
          <w:lang w:eastAsia="zh-CN"/>
        </w:rPr>
      </w:pPr>
      <w:bookmarkStart w:id="1939" w:name="_Toc424116244"/>
      <w:bookmarkStart w:id="1940" w:name="_Toc424117070"/>
      <w:bookmarkStart w:id="1941" w:name="_Toc460248183"/>
      <w:bookmarkStart w:id="1942" w:name="_Toc531706419"/>
      <w:bookmarkStart w:id="1943" w:name="_Toc531707028"/>
      <w:bookmarkStart w:id="1944" w:name="_Toc531768508"/>
      <w:bookmarkStart w:id="1945" w:name="_Toc16085828"/>
      <w:bookmarkStart w:id="1946" w:name="_Toc86395628"/>
      <w:r w:rsidRPr="008B2BF0">
        <w:rPr>
          <w:rFonts w:hint="eastAsia"/>
          <w:lang w:eastAsia="zh-CN"/>
        </w:rPr>
        <w:t>世界和区域性电信</w:t>
      </w:r>
      <w:r w:rsidRPr="009C2E24">
        <w:rPr>
          <w:rFonts w:hint="eastAsia"/>
          <w:lang w:eastAsia="zh-CN"/>
        </w:rPr>
        <w:t>/</w:t>
      </w:r>
      <w:r w:rsidRPr="009C2E24">
        <w:rPr>
          <w:rFonts w:hint="eastAsia"/>
          <w:lang w:eastAsia="zh-CN"/>
        </w:rPr>
        <w:t>信息通信技术展览和论坛</w:t>
      </w:r>
      <w:bookmarkEnd w:id="1932"/>
      <w:bookmarkEnd w:id="1939"/>
      <w:bookmarkEnd w:id="1940"/>
      <w:bookmarkEnd w:id="1941"/>
      <w:bookmarkEnd w:id="1942"/>
      <w:bookmarkEnd w:id="1943"/>
      <w:bookmarkEnd w:id="1944"/>
      <w:bookmarkEnd w:id="1945"/>
      <w:bookmarkEnd w:id="1946"/>
    </w:p>
    <w:p w14:paraId="4827B655" w14:textId="77777777" w:rsidR="00103C9F" w:rsidRPr="00F234F6" w:rsidRDefault="00103C9F" w:rsidP="009C2E24">
      <w:pPr>
        <w:pStyle w:val="Normalaftertitle"/>
        <w:rPr>
          <w:lang w:eastAsia="zh-CN"/>
        </w:rPr>
      </w:pPr>
      <w:r w:rsidRPr="00F234F6">
        <w:rPr>
          <w:rFonts w:hint="eastAsia"/>
          <w:lang w:eastAsia="zh-CN"/>
        </w:rPr>
        <w:t>理事会，</w:t>
      </w:r>
    </w:p>
    <w:p w14:paraId="4827B656" w14:textId="77777777" w:rsidR="00103C9F" w:rsidRPr="00103C9F" w:rsidRDefault="00103C9F" w:rsidP="00B64353">
      <w:pPr>
        <w:pStyle w:val="Call"/>
        <w:rPr>
          <w:rFonts w:ascii="SimSun" w:eastAsia="SimSun" w:hAnsi="SimSun"/>
          <w:lang w:eastAsia="zh-CN"/>
        </w:rPr>
      </w:pPr>
      <w:r w:rsidRPr="00103C9F">
        <w:rPr>
          <w:rFonts w:ascii="STKaiti" w:hAnsi="STKaiti" w:hint="eastAsia"/>
          <w:lang w:eastAsia="zh-CN"/>
        </w:rPr>
        <w:t>忆及</w:t>
      </w:r>
    </w:p>
    <w:p w14:paraId="4827B657" w14:textId="77777777" w:rsidR="00103C9F" w:rsidRPr="00F234F6" w:rsidRDefault="00103C9F" w:rsidP="00B64353">
      <w:pPr>
        <w:ind w:firstLineChars="200" w:firstLine="480"/>
        <w:rPr>
          <w:rFonts w:ascii="SimSun" w:hAnsi="SimSun"/>
          <w:lang w:eastAsia="zh-CN"/>
        </w:rPr>
      </w:pPr>
      <w:r w:rsidRPr="00F234F6">
        <w:rPr>
          <w:rFonts w:ascii="SimSun" w:hAnsi="SimSun" w:hint="eastAsia"/>
          <w:lang w:eastAsia="zh-CN"/>
        </w:rPr>
        <w:t>全权代表大会关于世界和区域性电信/信息通信技术展览和论坛（国际电联电信展）的</w:t>
      </w:r>
      <w:r w:rsidRPr="006A4E72">
        <w:rPr>
          <w:rFonts w:hAnsi="SimSun"/>
          <w:lang w:eastAsia="zh-CN"/>
        </w:rPr>
        <w:t>第</w:t>
      </w:r>
      <w:r w:rsidRPr="006A4E72">
        <w:rPr>
          <w:lang w:eastAsia="zh-CN"/>
        </w:rPr>
        <w:t>11</w:t>
      </w:r>
      <w:r w:rsidRPr="006A4E72">
        <w:rPr>
          <w:rFonts w:hAnsi="SimSun"/>
          <w:lang w:eastAsia="zh-CN"/>
        </w:rPr>
        <w:t>号决议（</w:t>
      </w:r>
      <w:r w:rsidRPr="006A4E72">
        <w:rPr>
          <w:lang w:eastAsia="zh-CN"/>
        </w:rPr>
        <w:t>2006</w:t>
      </w:r>
      <w:r w:rsidRPr="006A4E72">
        <w:rPr>
          <w:rFonts w:hAnsi="SimSun"/>
          <w:lang w:eastAsia="zh-CN"/>
        </w:rPr>
        <w:t>年，安塔</w:t>
      </w:r>
      <w:r w:rsidRPr="00F234F6">
        <w:rPr>
          <w:rFonts w:ascii="SimSun" w:hAnsi="SimSun" w:hint="eastAsia"/>
          <w:lang w:eastAsia="zh-CN"/>
        </w:rPr>
        <w:t>利亚，修订版），</w:t>
      </w:r>
    </w:p>
    <w:p w14:paraId="4827B658" w14:textId="77777777" w:rsidR="00103C9F" w:rsidRPr="00103C9F" w:rsidRDefault="00103C9F" w:rsidP="00B64353">
      <w:pPr>
        <w:pStyle w:val="Call"/>
        <w:rPr>
          <w:rFonts w:ascii="STKaiti" w:hAnsi="STKaiti"/>
          <w:lang w:eastAsia="zh-CN"/>
        </w:rPr>
      </w:pPr>
      <w:r w:rsidRPr="00103C9F">
        <w:rPr>
          <w:rFonts w:ascii="STKaiti" w:hAnsi="STKaiti" w:hint="eastAsia"/>
          <w:lang w:eastAsia="zh-CN"/>
        </w:rPr>
        <w:t>考虑到</w:t>
      </w:r>
    </w:p>
    <w:p w14:paraId="4827B659" w14:textId="77777777" w:rsidR="00103C9F" w:rsidRPr="00B1175A" w:rsidRDefault="00103C9F" w:rsidP="00B64353">
      <w:pPr>
        <w:rPr>
          <w:lang w:eastAsia="zh-CN"/>
        </w:rPr>
      </w:pPr>
      <w:r w:rsidRPr="00266979">
        <w:rPr>
          <w:i/>
          <w:iCs/>
          <w:lang w:eastAsia="zh-CN"/>
        </w:rPr>
        <w:t>a)</w:t>
      </w:r>
      <w:r w:rsidRPr="00F234F6">
        <w:rPr>
          <w:rFonts w:ascii="SimSun" w:hAnsi="SimSun" w:hint="eastAsia"/>
          <w:lang w:eastAsia="zh-CN"/>
        </w:rPr>
        <w:tab/>
      </w:r>
      <w:r w:rsidRPr="00B1175A">
        <w:rPr>
          <w:rFonts w:hint="eastAsia"/>
          <w:lang w:eastAsia="zh-CN"/>
        </w:rPr>
        <w:t>国际电联于</w:t>
      </w:r>
      <w:r w:rsidRPr="00B1175A">
        <w:rPr>
          <w:rFonts w:hint="eastAsia"/>
          <w:lang w:eastAsia="zh-CN"/>
        </w:rPr>
        <w:t>1971</w:t>
      </w:r>
      <w:r w:rsidRPr="00B1175A">
        <w:rPr>
          <w:rFonts w:hint="eastAsia"/>
          <w:lang w:eastAsia="zh-CN"/>
        </w:rPr>
        <w:t>年在日内瓦首次推出国际电联世界电信展，至</w:t>
      </w:r>
      <w:r w:rsidRPr="00B1175A">
        <w:rPr>
          <w:rFonts w:hint="eastAsia"/>
          <w:lang w:eastAsia="zh-CN"/>
        </w:rPr>
        <w:t>2006</w:t>
      </w:r>
      <w:r w:rsidRPr="00B1175A">
        <w:rPr>
          <w:rFonts w:hint="eastAsia"/>
          <w:lang w:eastAsia="zh-CN"/>
        </w:rPr>
        <w:t>年共已举办十届世界电信展活动；</w:t>
      </w:r>
    </w:p>
    <w:p w14:paraId="4827B65A" w14:textId="77777777" w:rsidR="00103C9F" w:rsidRPr="00B1175A" w:rsidRDefault="00103C9F" w:rsidP="00B64353">
      <w:pPr>
        <w:rPr>
          <w:lang w:eastAsia="zh-CN"/>
        </w:rPr>
      </w:pPr>
      <w:r w:rsidRPr="00266979">
        <w:rPr>
          <w:rFonts w:hint="eastAsia"/>
          <w:i/>
          <w:iCs/>
          <w:lang w:eastAsia="zh-CN"/>
        </w:rPr>
        <w:t>b)</w:t>
      </w:r>
      <w:r w:rsidRPr="00B1175A">
        <w:rPr>
          <w:rFonts w:hint="eastAsia"/>
          <w:lang w:eastAsia="zh-CN"/>
        </w:rPr>
        <w:tab/>
      </w:r>
      <w:r w:rsidRPr="00B1175A">
        <w:rPr>
          <w:rFonts w:hint="eastAsia"/>
          <w:lang w:eastAsia="zh-CN"/>
        </w:rPr>
        <w:t>国际电联区域性电信展活动于</w:t>
      </w:r>
      <w:r w:rsidRPr="00B1175A">
        <w:rPr>
          <w:rFonts w:hint="eastAsia"/>
          <w:lang w:eastAsia="zh-CN"/>
        </w:rPr>
        <w:t>1985</w:t>
      </w:r>
      <w:r w:rsidRPr="00B1175A">
        <w:rPr>
          <w:rFonts w:hint="eastAsia"/>
          <w:lang w:eastAsia="zh-CN"/>
        </w:rPr>
        <w:t>年出台，旨在展示各区域的成就和面临的挑战；</w:t>
      </w:r>
    </w:p>
    <w:p w14:paraId="4827B65B" w14:textId="77777777" w:rsidR="00103C9F" w:rsidRPr="00B1175A" w:rsidRDefault="00103C9F" w:rsidP="00B64353">
      <w:pPr>
        <w:rPr>
          <w:lang w:eastAsia="zh-CN"/>
        </w:rPr>
      </w:pPr>
      <w:r w:rsidRPr="00266979">
        <w:rPr>
          <w:rFonts w:hint="eastAsia"/>
          <w:i/>
          <w:iCs/>
          <w:lang w:eastAsia="zh-CN"/>
        </w:rPr>
        <w:t>c)</w:t>
      </w:r>
      <w:r w:rsidRPr="00B1175A">
        <w:rPr>
          <w:rFonts w:hint="eastAsia"/>
          <w:lang w:eastAsia="zh-CN"/>
        </w:rPr>
        <w:tab/>
      </w:r>
      <w:r w:rsidRPr="00B1175A">
        <w:rPr>
          <w:rFonts w:hint="eastAsia"/>
          <w:lang w:eastAsia="zh-CN"/>
        </w:rPr>
        <w:t>国际电联电信展活动既有巨大成功，亦有有时因经济放缓等原因造成的挫折；</w:t>
      </w:r>
    </w:p>
    <w:p w14:paraId="4827B65C" w14:textId="77777777" w:rsidR="00103C9F" w:rsidRPr="00B1175A" w:rsidRDefault="00103C9F" w:rsidP="00B64353">
      <w:pPr>
        <w:rPr>
          <w:lang w:eastAsia="zh-CN"/>
        </w:rPr>
      </w:pPr>
      <w:r w:rsidRPr="00266979">
        <w:rPr>
          <w:rFonts w:hint="eastAsia"/>
          <w:i/>
          <w:iCs/>
          <w:lang w:eastAsia="zh-CN"/>
        </w:rPr>
        <w:t>d)</w:t>
      </w:r>
      <w:r w:rsidRPr="00B1175A">
        <w:rPr>
          <w:rFonts w:hint="eastAsia"/>
          <w:lang w:eastAsia="zh-CN"/>
        </w:rPr>
        <w:tab/>
      </w:r>
      <w:r w:rsidRPr="00B1175A">
        <w:rPr>
          <w:rFonts w:hint="eastAsia"/>
          <w:lang w:eastAsia="zh-CN"/>
        </w:rPr>
        <w:t>由民营化、融合、信息通信技术（</w:t>
      </w:r>
      <w:r w:rsidRPr="00B1175A">
        <w:rPr>
          <w:rFonts w:hint="eastAsia"/>
          <w:lang w:eastAsia="zh-CN"/>
        </w:rPr>
        <w:t>ICT</w:t>
      </w:r>
      <w:r w:rsidRPr="00B1175A">
        <w:rPr>
          <w:rFonts w:hint="eastAsia"/>
          <w:lang w:eastAsia="zh-CN"/>
        </w:rPr>
        <w:t>）行业的整合和非国际电联传统成员等新的市场参与者造成的市场现状使国际电联电信展活动面临巨大挑战，因此有必要对其加以调整；</w:t>
      </w:r>
    </w:p>
    <w:p w14:paraId="4827B65D" w14:textId="77777777" w:rsidR="00103C9F" w:rsidRPr="00B1175A" w:rsidRDefault="00103C9F" w:rsidP="00B64353">
      <w:pPr>
        <w:rPr>
          <w:lang w:eastAsia="zh-CN"/>
        </w:rPr>
      </w:pPr>
      <w:r w:rsidRPr="00266979">
        <w:rPr>
          <w:rFonts w:hint="eastAsia"/>
          <w:i/>
          <w:iCs/>
          <w:lang w:eastAsia="zh-CN"/>
        </w:rPr>
        <w:t>e)</w:t>
      </w:r>
      <w:r w:rsidRPr="00B1175A">
        <w:rPr>
          <w:rFonts w:hint="eastAsia"/>
          <w:lang w:eastAsia="zh-CN"/>
        </w:rPr>
        <w:tab/>
      </w:r>
      <w:r w:rsidRPr="00B1175A">
        <w:rPr>
          <w:rFonts w:hint="eastAsia"/>
          <w:lang w:eastAsia="zh-CN"/>
        </w:rPr>
        <w:t>国际电联电信展活动面临的其它挑战包括展览成本不断提高、需要缩小其规模并实现行业的价值；</w:t>
      </w:r>
    </w:p>
    <w:p w14:paraId="4827B65E" w14:textId="77777777" w:rsidR="00103C9F" w:rsidRPr="00B1175A" w:rsidRDefault="00103C9F" w:rsidP="00B64353">
      <w:pPr>
        <w:rPr>
          <w:lang w:eastAsia="zh-CN"/>
        </w:rPr>
      </w:pPr>
      <w:r w:rsidRPr="00266979">
        <w:rPr>
          <w:rFonts w:hint="eastAsia"/>
          <w:i/>
          <w:iCs/>
          <w:lang w:eastAsia="zh-CN"/>
        </w:rPr>
        <w:t>f)</w:t>
      </w:r>
      <w:r w:rsidRPr="00B1175A">
        <w:rPr>
          <w:rFonts w:hint="eastAsia"/>
          <w:lang w:eastAsia="zh-CN"/>
        </w:rPr>
        <w:tab/>
      </w:r>
      <w:r w:rsidRPr="00B1175A">
        <w:rPr>
          <w:rFonts w:hint="eastAsia"/>
          <w:lang w:eastAsia="zh-CN"/>
        </w:rPr>
        <w:t>电信展和论坛市场目前竞争异常激烈，且日趋专业化；</w:t>
      </w:r>
    </w:p>
    <w:p w14:paraId="4827B65F" w14:textId="77777777" w:rsidR="00103C9F" w:rsidRPr="00F234F6" w:rsidRDefault="00103C9F" w:rsidP="00B64353">
      <w:pPr>
        <w:rPr>
          <w:rFonts w:ascii="SimSun" w:hAnsi="SimSun"/>
          <w:lang w:eastAsia="zh-CN"/>
        </w:rPr>
      </w:pPr>
      <w:r w:rsidRPr="00266979">
        <w:rPr>
          <w:rFonts w:hint="eastAsia"/>
          <w:i/>
          <w:iCs/>
          <w:lang w:eastAsia="zh-CN"/>
        </w:rPr>
        <w:t>g)</w:t>
      </w:r>
      <w:r w:rsidRPr="00B1175A">
        <w:rPr>
          <w:rFonts w:hint="eastAsia"/>
          <w:lang w:eastAsia="zh-CN"/>
        </w:rPr>
        <w:tab/>
      </w:r>
      <w:r w:rsidRPr="00B1175A">
        <w:rPr>
          <w:rFonts w:hint="eastAsia"/>
          <w:lang w:eastAsia="zh-CN"/>
        </w:rPr>
        <w:t>区域性商业展览活动比比皆是，因此国际电联区域性</w:t>
      </w:r>
      <w:r w:rsidRPr="00F234F6">
        <w:rPr>
          <w:rFonts w:ascii="SimSun" w:hAnsi="SimSun" w:hint="eastAsia"/>
          <w:lang w:eastAsia="zh-CN"/>
        </w:rPr>
        <w:t>电信展活动面临的竞争最为激烈，</w:t>
      </w:r>
    </w:p>
    <w:p w14:paraId="4827B660" w14:textId="77777777" w:rsidR="00103C9F" w:rsidRPr="00103C9F" w:rsidRDefault="00103C9F" w:rsidP="00B64353">
      <w:pPr>
        <w:pStyle w:val="Call"/>
        <w:rPr>
          <w:rFonts w:ascii="STKaiti" w:hAnsi="STKaiti"/>
          <w:lang w:eastAsia="zh-CN"/>
        </w:rPr>
      </w:pPr>
      <w:r w:rsidRPr="00103C9F">
        <w:rPr>
          <w:rFonts w:ascii="STKaiti" w:hAnsi="STKaiti" w:hint="eastAsia"/>
          <w:lang w:eastAsia="zh-CN"/>
        </w:rPr>
        <w:t>注意到</w:t>
      </w:r>
    </w:p>
    <w:p w14:paraId="4827B661" w14:textId="77777777" w:rsidR="00103C9F" w:rsidRPr="00F234F6" w:rsidRDefault="00103C9F" w:rsidP="00B64353">
      <w:pPr>
        <w:rPr>
          <w:rFonts w:ascii="SimSun" w:hAnsi="SimSun"/>
          <w:lang w:eastAsia="zh-CN"/>
        </w:rPr>
      </w:pPr>
      <w:r w:rsidRPr="00266979">
        <w:rPr>
          <w:rFonts w:hint="eastAsia"/>
          <w:i/>
          <w:iCs/>
          <w:lang w:eastAsia="zh-CN"/>
        </w:rPr>
        <w:t>a)</w:t>
      </w:r>
      <w:r w:rsidRPr="00F234F6">
        <w:rPr>
          <w:rFonts w:ascii="SimSun" w:hAnsi="SimSun" w:hint="eastAsia"/>
          <w:lang w:eastAsia="zh-CN"/>
        </w:rPr>
        <w:tab/>
        <w:t xml:space="preserve">提前至少两年签署东道国协议将为每次成功举办展览提供有益的环境； </w:t>
      </w:r>
    </w:p>
    <w:p w14:paraId="4827B662" w14:textId="77777777" w:rsidR="00103C9F" w:rsidRPr="00F234F6" w:rsidRDefault="00103C9F" w:rsidP="00B64353">
      <w:pPr>
        <w:rPr>
          <w:rFonts w:ascii="SimSun" w:hAnsi="SimSun"/>
          <w:lang w:eastAsia="zh-CN"/>
        </w:rPr>
      </w:pPr>
      <w:r w:rsidRPr="00266979">
        <w:rPr>
          <w:rFonts w:hint="eastAsia"/>
          <w:i/>
          <w:iCs/>
          <w:lang w:eastAsia="zh-CN"/>
        </w:rPr>
        <w:t>b)</w:t>
      </w:r>
      <w:r w:rsidRPr="00F234F6">
        <w:rPr>
          <w:rFonts w:ascii="SimSun" w:hAnsi="SimSun"/>
          <w:lang w:eastAsia="zh-CN"/>
        </w:rPr>
        <w:tab/>
      </w:r>
      <w:r w:rsidRPr="00F234F6">
        <w:rPr>
          <w:rFonts w:ascii="SimSun" w:hAnsi="SimSun" w:hint="eastAsia"/>
          <w:lang w:eastAsia="zh-CN"/>
        </w:rPr>
        <w:t>参展商希望展览活动的时间安排具有可预测性，并期望实现良好的投资回报；</w:t>
      </w:r>
    </w:p>
    <w:p w14:paraId="4827B663" w14:textId="77777777" w:rsidR="00103C9F" w:rsidRPr="00F234F6" w:rsidRDefault="00103C9F" w:rsidP="00B64353">
      <w:pPr>
        <w:rPr>
          <w:rFonts w:ascii="SimSun" w:hAnsi="SimSun"/>
          <w:lang w:eastAsia="zh-CN"/>
        </w:rPr>
      </w:pPr>
      <w:r w:rsidRPr="00266979">
        <w:rPr>
          <w:rFonts w:hint="eastAsia"/>
          <w:i/>
          <w:iCs/>
          <w:lang w:eastAsia="zh-CN"/>
        </w:rPr>
        <w:t>c)</w:t>
      </w:r>
      <w:r w:rsidRPr="00F234F6">
        <w:rPr>
          <w:rFonts w:ascii="SimSun" w:hAnsi="SimSun" w:hint="eastAsia"/>
          <w:lang w:eastAsia="zh-CN"/>
        </w:rPr>
        <w:tab/>
        <w:t>新技术和新业务的加速引入要求人们对目前四年一届的展览周期予以重新考虑并将该周期缩短；</w:t>
      </w:r>
    </w:p>
    <w:p w14:paraId="4827B664" w14:textId="77777777" w:rsidR="00103C9F" w:rsidRPr="00F234F6" w:rsidRDefault="00103C9F" w:rsidP="00B64353">
      <w:pPr>
        <w:rPr>
          <w:rFonts w:ascii="SimSun" w:hAnsi="SimSun"/>
          <w:lang w:eastAsia="zh-CN"/>
        </w:rPr>
      </w:pPr>
      <w:r w:rsidRPr="00266979">
        <w:rPr>
          <w:rFonts w:hint="eastAsia"/>
          <w:i/>
          <w:iCs/>
          <w:lang w:eastAsia="zh-CN"/>
        </w:rPr>
        <w:t>d)</w:t>
      </w:r>
      <w:r w:rsidRPr="00F234F6">
        <w:rPr>
          <w:rFonts w:ascii="SimSun" w:hAnsi="SimSun" w:hint="eastAsia"/>
          <w:lang w:eastAsia="zh-CN"/>
        </w:rPr>
        <w:tab/>
        <w:t>这样缩短后的时间表将为国际电联世界电信展活动提供时间和地点上的可预测性，这一点对于参展商将这些活动定期纳入其市场营销计划和预算十分必要；</w:t>
      </w:r>
    </w:p>
    <w:p w14:paraId="4827B665" w14:textId="77777777" w:rsidR="004B3B55" w:rsidRDefault="004B3B55">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666" w14:textId="77777777" w:rsidR="00103C9F" w:rsidRPr="00F234F6" w:rsidRDefault="00103C9F" w:rsidP="00B64353">
      <w:pPr>
        <w:rPr>
          <w:rFonts w:ascii="SimSun" w:hAnsi="SimSun"/>
          <w:lang w:eastAsia="zh-CN"/>
        </w:rPr>
      </w:pPr>
      <w:r w:rsidRPr="00266979">
        <w:rPr>
          <w:rFonts w:hint="eastAsia"/>
          <w:i/>
          <w:iCs/>
          <w:lang w:eastAsia="zh-CN"/>
        </w:rPr>
        <w:lastRenderedPageBreak/>
        <w:t>e)</w:t>
      </w:r>
      <w:r w:rsidRPr="00F234F6">
        <w:rPr>
          <w:rFonts w:ascii="SimSun" w:hAnsi="SimSun" w:hint="eastAsia"/>
          <w:lang w:eastAsia="zh-CN"/>
        </w:rPr>
        <w:tab/>
        <w:t>虽然人们对国际电联世界电信展活动的兴趣依然高涨，实现了这些活动的经济可行性，但参展商对国际电联区域性电信展活动却鲜有支持；</w:t>
      </w:r>
    </w:p>
    <w:p w14:paraId="4827B667" w14:textId="77777777" w:rsidR="00103C9F" w:rsidRPr="00F234F6" w:rsidRDefault="00103C9F" w:rsidP="00B64353">
      <w:pPr>
        <w:rPr>
          <w:rFonts w:ascii="SimSun" w:hAnsi="SimSun"/>
          <w:lang w:eastAsia="zh-CN"/>
        </w:rPr>
      </w:pPr>
      <w:r w:rsidRPr="00266979">
        <w:rPr>
          <w:rFonts w:hint="eastAsia"/>
          <w:i/>
          <w:iCs/>
          <w:lang w:eastAsia="zh-CN"/>
        </w:rPr>
        <w:t>f)</w:t>
      </w:r>
      <w:r w:rsidRPr="00F234F6">
        <w:rPr>
          <w:rFonts w:ascii="SimSun" w:hAnsi="SimSun" w:hint="eastAsia"/>
          <w:lang w:eastAsia="zh-CN"/>
        </w:rPr>
        <w:tab/>
        <w:t>国际电联电信展品牌依然是最值得尊重和最具权威的品牌，活动参与者期望利用这些机会展开成员国与私营部门之间的高层次对话；</w:t>
      </w:r>
    </w:p>
    <w:p w14:paraId="4827B668" w14:textId="77777777" w:rsidR="00103C9F" w:rsidRPr="00F234F6" w:rsidRDefault="00103C9F" w:rsidP="00B64353">
      <w:pPr>
        <w:rPr>
          <w:rFonts w:ascii="SimSun" w:hAnsi="SimSun"/>
          <w:lang w:eastAsia="zh-CN"/>
        </w:rPr>
      </w:pPr>
      <w:r w:rsidRPr="00266979">
        <w:rPr>
          <w:rFonts w:hint="eastAsia"/>
          <w:i/>
          <w:iCs/>
          <w:lang w:eastAsia="zh-CN"/>
        </w:rPr>
        <w:t>g)</w:t>
      </w:r>
      <w:r w:rsidRPr="00F234F6">
        <w:rPr>
          <w:rFonts w:ascii="SimSun" w:hAnsi="SimSun" w:hint="eastAsia"/>
          <w:lang w:eastAsia="zh-CN"/>
        </w:rPr>
        <w:tab/>
        <w:t>在国际电联电信展活动</w:t>
      </w:r>
      <w:r w:rsidRPr="00B1175A">
        <w:rPr>
          <w:rFonts w:hint="eastAsia"/>
          <w:lang w:eastAsia="zh-CN"/>
        </w:rPr>
        <w:t>问世四十（</w:t>
      </w:r>
      <w:r w:rsidRPr="00B1175A">
        <w:rPr>
          <w:rFonts w:hint="eastAsia"/>
          <w:lang w:eastAsia="zh-CN"/>
        </w:rPr>
        <w:t>40</w:t>
      </w:r>
      <w:r w:rsidRPr="00B1175A">
        <w:rPr>
          <w:rFonts w:hint="eastAsia"/>
          <w:lang w:eastAsia="zh-CN"/>
        </w:rPr>
        <w:t>）周年之际的</w:t>
      </w:r>
      <w:r w:rsidRPr="00B1175A">
        <w:rPr>
          <w:rFonts w:hint="eastAsia"/>
          <w:lang w:eastAsia="zh-CN"/>
        </w:rPr>
        <w:t>2011</w:t>
      </w:r>
      <w:r w:rsidRPr="00B1175A">
        <w:rPr>
          <w:rFonts w:hint="eastAsia"/>
          <w:lang w:eastAsia="zh-CN"/>
        </w:rPr>
        <w:t>年，该活动将面临无与伦比的、充分进行调整以适应这些新的市场情况的机遇</w:t>
      </w:r>
      <w:r w:rsidRPr="00F234F6">
        <w:rPr>
          <w:rFonts w:ascii="SimSun" w:hAnsi="SimSun" w:hint="eastAsia"/>
          <w:lang w:eastAsia="zh-CN"/>
        </w:rPr>
        <w:t>，</w:t>
      </w:r>
    </w:p>
    <w:p w14:paraId="4827B669" w14:textId="77777777" w:rsidR="00103C9F" w:rsidRPr="00103C9F" w:rsidRDefault="00103C9F" w:rsidP="00B64353">
      <w:pPr>
        <w:pStyle w:val="Call"/>
        <w:rPr>
          <w:rFonts w:ascii="STKaiti" w:hAnsi="STKaiti"/>
          <w:lang w:eastAsia="zh-CN"/>
        </w:rPr>
      </w:pPr>
      <w:r w:rsidRPr="00103C9F">
        <w:rPr>
          <w:rFonts w:ascii="STKaiti" w:hAnsi="STKaiti" w:hint="eastAsia"/>
          <w:lang w:eastAsia="zh-CN"/>
        </w:rPr>
        <w:t>进一步注意到</w:t>
      </w:r>
    </w:p>
    <w:p w14:paraId="4827B66A" w14:textId="77777777" w:rsidR="00103C9F" w:rsidRPr="00F234F6" w:rsidRDefault="00103C9F" w:rsidP="00B64353">
      <w:pPr>
        <w:ind w:firstLineChars="200" w:firstLine="480"/>
        <w:rPr>
          <w:rFonts w:ascii="SimSun" w:hAnsi="SimSun"/>
          <w:lang w:eastAsia="zh-CN"/>
        </w:rPr>
      </w:pPr>
      <w:r w:rsidRPr="00F234F6">
        <w:rPr>
          <w:rFonts w:ascii="SimSun" w:hAnsi="SimSun" w:hint="eastAsia"/>
          <w:lang w:eastAsia="zh-CN"/>
        </w:rPr>
        <w:t>在国际电联电信展活动之后，人们提出了有关与其它类似展览活动相比，提供更具有竞争性的净展地成本、优惠的饭店价格和充足的饭店客房的建议，</w:t>
      </w:r>
    </w:p>
    <w:p w14:paraId="4827B66B" w14:textId="77777777" w:rsidR="00103C9F" w:rsidRPr="00103C9F" w:rsidRDefault="00103C9F" w:rsidP="00B64353">
      <w:pPr>
        <w:pStyle w:val="Call"/>
        <w:rPr>
          <w:rFonts w:ascii="STKaiti" w:hAnsi="STKaiti"/>
          <w:lang w:eastAsia="zh-CN"/>
        </w:rPr>
      </w:pPr>
      <w:r w:rsidRPr="00103C9F">
        <w:rPr>
          <w:rFonts w:ascii="STKaiti" w:hAnsi="STKaiti" w:hint="eastAsia"/>
          <w:lang w:eastAsia="zh-CN"/>
        </w:rPr>
        <w:t>做出决议</w:t>
      </w:r>
    </w:p>
    <w:p w14:paraId="4827B66C" w14:textId="77777777" w:rsidR="00103C9F" w:rsidRPr="00F234F6" w:rsidRDefault="00103C9F" w:rsidP="00B64353">
      <w:pPr>
        <w:ind w:firstLineChars="200" w:firstLine="480"/>
        <w:rPr>
          <w:rFonts w:ascii="SimSun" w:hAnsi="SimSun"/>
          <w:lang w:eastAsia="zh-CN"/>
        </w:rPr>
      </w:pPr>
      <w:r w:rsidRPr="00F234F6">
        <w:rPr>
          <w:rFonts w:ascii="SimSun" w:hAnsi="SimSun" w:hint="eastAsia"/>
          <w:lang w:eastAsia="zh-CN"/>
        </w:rPr>
        <w:t>在国际电联</w:t>
      </w:r>
      <w:r w:rsidRPr="00B1175A">
        <w:rPr>
          <w:rFonts w:hint="eastAsia"/>
          <w:lang w:eastAsia="zh-CN"/>
        </w:rPr>
        <w:t>2009-2012</w:t>
      </w:r>
      <w:r w:rsidRPr="00B1175A">
        <w:rPr>
          <w:rFonts w:hint="eastAsia"/>
          <w:lang w:eastAsia="zh-CN"/>
        </w:rPr>
        <w:t>年的未来大会、全会和会议时间表的国际电联电信展活动一览表中增加国际电联电信展问世</w:t>
      </w:r>
      <w:r w:rsidRPr="00B1175A">
        <w:rPr>
          <w:rFonts w:hint="eastAsia"/>
          <w:lang w:eastAsia="zh-CN"/>
        </w:rPr>
        <w:t>40</w:t>
      </w:r>
      <w:r w:rsidRPr="00B1175A">
        <w:rPr>
          <w:rFonts w:hint="eastAsia"/>
          <w:lang w:eastAsia="zh-CN"/>
        </w:rPr>
        <w:t>周年</w:t>
      </w:r>
      <w:r w:rsidRPr="00F234F6">
        <w:rPr>
          <w:rFonts w:ascii="SimSun" w:hAnsi="SimSun" w:hint="eastAsia"/>
          <w:lang w:eastAsia="zh-CN"/>
        </w:rPr>
        <w:t>庆祝活动，</w:t>
      </w:r>
    </w:p>
    <w:p w14:paraId="4827B66D" w14:textId="77777777" w:rsidR="00103C9F" w:rsidRPr="00103C9F" w:rsidRDefault="00103C9F" w:rsidP="00B64353">
      <w:pPr>
        <w:pStyle w:val="Call"/>
        <w:rPr>
          <w:rFonts w:ascii="STKaiti" w:hAnsi="STKaiti"/>
          <w:lang w:eastAsia="zh-CN"/>
        </w:rPr>
      </w:pPr>
      <w:r w:rsidRPr="00103C9F">
        <w:rPr>
          <w:rFonts w:ascii="STKaiti" w:hAnsi="STKaiti" w:hint="eastAsia"/>
          <w:lang w:eastAsia="zh-CN"/>
        </w:rPr>
        <w:t>责成秘书长</w:t>
      </w:r>
    </w:p>
    <w:p w14:paraId="4827B66E" w14:textId="77777777" w:rsidR="00103C9F" w:rsidRPr="00F234F6" w:rsidRDefault="00103C9F" w:rsidP="00B64353">
      <w:pPr>
        <w:ind w:firstLineChars="200" w:firstLine="480"/>
        <w:rPr>
          <w:rFonts w:ascii="SimSun" w:hAnsi="SimSun"/>
          <w:lang w:eastAsia="zh-CN"/>
        </w:rPr>
      </w:pPr>
      <w:r w:rsidRPr="00F234F6">
        <w:rPr>
          <w:rFonts w:ascii="SimSun" w:hAnsi="SimSun" w:hint="eastAsia"/>
          <w:lang w:eastAsia="zh-CN"/>
        </w:rPr>
        <w:t>确保采取下列旨在保障未来国际电联电信展活动取得成功的措施：</w:t>
      </w:r>
    </w:p>
    <w:p w14:paraId="4827B66F" w14:textId="77777777" w:rsidR="00103C9F" w:rsidRPr="005E41B9" w:rsidRDefault="00103C9F" w:rsidP="00B64353">
      <w:pPr>
        <w:pStyle w:val="enumlev1"/>
        <w:rPr>
          <w:lang w:eastAsia="zh-CN"/>
        </w:rPr>
      </w:pPr>
      <w:r w:rsidRPr="005E41B9">
        <w:rPr>
          <w:lang w:eastAsia="zh-CN"/>
        </w:rPr>
        <w:t>–</w:t>
      </w:r>
      <w:r w:rsidRPr="005E41B9">
        <w:rPr>
          <w:rFonts w:hint="eastAsia"/>
          <w:lang w:eastAsia="zh-CN"/>
        </w:rPr>
        <w:tab/>
      </w:r>
      <w:r w:rsidRPr="005E41B9">
        <w:rPr>
          <w:rFonts w:hint="eastAsia"/>
          <w:lang w:eastAsia="zh-CN"/>
        </w:rPr>
        <w:t>准备一份东道国协议模板，以便协助至少在展览开始前两年达成东道国协议；</w:t>
      </w:r>
    </w:p>
    <w:p w14:paraId="4827B670" w14:textId="77777777" w:rsidR="00103C9F" w:rsidRPr="005E41B9" w:rsidRDefault="00103C9F" w:rsidP="00B64353">
      <w:pPr>
        <w:pStyle w:val="enumlev1"/>
        <w:rPr>
          <w:lang w:eastAsia="zh-CN"/>
        </w:rPr>
      </w:pPr>
      <w:r w:rsidRPr="005E41B9">
        <w:rPr>
          <w:lang w:eastAsia="zh-CN"/>
        </w:rPr>
        <w:t>–</w:t>
      </w:r>
      <w:r w:rsidRPr="005E41B9">
        <w:rPr>
          <w:rFonts w:hint="eastAsia"/>
          <w:lang w:eastAsia="zh-CN"/>
        </w:rPr>
        <w:tab/>
      </w:r>
      <w:r w:rsidRPr="005E41B9">
        <w:rPr>
          <w:rFonts w:hint="eastAsia"/>
          <w:lang w:eastAsia="zh-CN"/>
        </w:rPr>
        <w:t>只有在达成东道国协议之后，才宣布并宣传展览活动；</w:t>
      </w:r>
    </w:p>
    <w:p w14:paraId="4827B671" w14:textId="77777777" w:rsidR="00103C9F" w:rsidRPr="005E41B9" w:rsidRDefault="00103C9F" w:rsidP="00B64353">
      <w:pPr>
        <w:pStyle w:val="enumlev1"/>
        <w:rPr>
          <w:lang w:eastAsia="zh-CN"/>
        </w:rPr>
      </w:pPr>
      <w:r w:rsidRPr="005E41B9">
        <w:rPr>
          <w:lang w:eastAsia="zh-CN"/>
        </w:rPr>
        <w:t>–</w:t>
      </w:r>
      <w:r w:rsidRPr="005E41B9">
        <w:rPr>
          <w:rFonts w:hint="eastAsia"/>
          <w:lang w:eastAsia="zh-CN"/>
        </w:rPr>
        <w:tab/>
      </w:r>
      <w:r w:rsidRPr="005E41B9">
        <w:rPr>
          <w:rFonts w:hint="eastAsia"/>
          <w:lang w:eastAsia="zh-CN"/>
        </w:rPr>
        <w:t>适当考虑不断浮现的论坛发展趋势；</w:t>
      </w:r>
    </w:p>
    <w:p w14:paraId="4827B672" w14:textId="77777777" w:rsidR="00103C9F" w:rsidRPr="005E41B9" w:rsidRDefault="00103C9F" w:rsidP="00B64353">
      <w:pPr>
        <w:pStyle w:val="enumlev1"/>
        <w:rPr>
          <w:lang w:eastAsia="zh-CN"/>
        </w:rPr>
      </w:pPr>
      <w:r w:rsidRPr="005E41B9">
        <w:rPr>
          <w:lang w:eastAsia="zh-CN"/>
        </w:rPr>
        <w:t>–</w:t>
      </w:r>
      <w:r w:rsidRPr="005E41B9">
        <w:rPr>
          <w:rFonts w:hint="eastAsia"/>
          <w:lang w:eastAsia="zh-CN"/>
        </w:rPr>
        <w:tab/>
      </w:r>
      <w:r w:rsidRPr="005E41B9">
        <w:rPr>
          <w:rFonts w:hint="eastAsia"/>
          <w:lang w:eastAsia="zh-CN"/>
        </w:rPr>
        <w:t>争取更多的行业</w:t>
      </w:r>
      <w:r w:rsidRPr="005E41B9">
        <w:rPr>
          <w:rFonts w:hint="eastAsia"/>
          <w:lang w:eastAsia="zh-CN"/>
        </w:rPr>
        <w:t>/</w:t>
      </w:r>
      <w:r w:rsidRPr="005E41B9">
        <w:rPr>
          <w:rFonts w:hint="eastAsia"/>
          <w:lang w:eastAsia="zh-CN"/>
        </w:rPr>
        <w:t>企业参加展览，以进一步适应不断变化的市场环境，包括向</w:t>
      </w:r>
      <w:r w:rsidRPr="005E41B9">
        <w:rPr>
          <w:rFonts w:hint="eastAsia"/>
          <w:lang w:eastAsia="zh-CN"/>
        </w:rPr>
        <w:t>IP</w:t>
      </w:r>
      <w:r w:rsidRPr="005E41B9">
        <w:rPr>
          <w:rFonts w:hint="eastAsia"/>
          <w:lang w:eastAsia="zh-CN"/>
        </w:rPr>
        <w:t>网络的发展、先进的移动通信、融合和新的市场参与者的进入（包括吸引大的全球运营商的全球网络主要最终用户公司）；</w:t>
      </w:r>
    </w:p>
    <w:p w14:paraId="4827B673" w14:textId="77777777" w:rsidR="00103C9F" w:rsidRPr="005E41B9" w:rsidRDefault="00103C9F" w:rsidP="009C2E24">
      <w:pPr>
        <w:pStyle w:val="enumlev1"/>
        <w:rPr>
          <w:lang w:eastAsia="zh-CN"/>
        </w:rPr>
      </w:pPr>
      <w:r w:rsidRPr="005E41B9">
        <w:rPr>
          <w:lang w:eastAsia="zh-CN"/>
        </w:rPr>
        <w:t>–</w:t>
      </w:r>
      <w:r w:rsidRPr="005E41B9">
        <w:rPr>
          <w:lang w:eastAsia="zh-CN"/>
        </w:rPr>
        <w:tab/>
      </w:r>
      <w:r w:rsidRPr="005E41B9">
        <w:rPr>
          <w:rFonts w:hint="eastAsia"/>
          <w:lang w:eastAsia="zh-CN"/>
        </w:rPr>
        <w:t>要在类似的展览</w:t>
      </w:r>
      <w:r w:rsidRPr="005E41B9">
        <w:rPr>
          <w:rFonts w:hint="eastAsia"/>
          <w:lang w:eastAsia="zh-CN"/>
        </w:rPr>
        <w:t>/</w:t>
      </w:r>
      <w:r w:rsidRPr="005E41B9">
        <w:rPr>
          <w:rFonts w:hint="eastAsia"/>
          <w:lang w:eastAsia="zh-CN"/>
        </w:rPr>
        <w:t>论坛中脱颖而出，则应尽可能吸引更多的全球主要运营商和制造商，并积极鼓励部长</w:t>
      </w:r>
      <w:r w:rsidRPr="005E41B9">
        <w:rPr>
          <w:rFonts w:hint="eastAsia"/>
          <w:lang w:eastAsia="zh-CN"/>
        </w:rPr>
        <w:t>/</w:t>
      </w:r>
      <w:r w:rsidRPr="005E41B9">
        <w:rPr>
          <w:rFonts w:hint="eastAsia"/>
          <w:lang w:eastAsia="zh-CN"/>
        </w:rPr>
        <w:t>首席执行官级别官员的参与，从而在展会期间举行名副其实的双边和多边会议；</w:t>
      </w:r>
    </w:p>
    <w:p w14:paraId="4827B674" w14:textId="77777777" w:rsidR="00103C9F" w:rsidRPr="005E41B9" w:rsidRDefault="00103C9F" w:rsidP="00B64353">
      <w:pPr>
        <w:pStyle w:val="enumlev1"/>
        <w:rPr>
          <w:lang w:eastAsia="zh-CN"/>
        </w:rPr>
      </w:pPr>
      <w:r w:rsidRPr="005E41B9">
        <w:rPr>
          <w:lang w:eastAsia="zh-CN"/>
        </w:rPr>
        <w:t>–</w:t>
      </w:r>
      <w:r w:rsidRPr="005E41B9">
        <w:rPr>
          <w:lang w:eastAsia="zh-CN"/>
        </w:rPr>
        <w:tab/>
      </w:r>
      <w:r w:rsidRPr="005E41B9">
        <w:rPr>
          <w:rFonts w:hint="eastAsia"/>
          <w:lang w:eastAsia="zh-CN"/>
        </w:rPr>
        <w:t>经与业界协调，提前拟定论坛议程，并由会议主持人加以细化和调整，以便于在论坛中开展更实质性的讨论；</w:t>
      </w:r>
    </w:p>
    <w:p w14:paraId="4827B675" w14:textId="77777777" w:rsidR="00103C9F" w:rsidRPr="005E41B9" w:rsidRDefault="00103C9F" w:rsidP="00B64353">
      <w:pPr>
        <w:pStyle w:val="enumlev1"/>
        <w:rPr>
          <w:lang w:eastAsia="zh-CN"/>
        </w:rPr>
      </w:pPr>
      <w:r w:rsidRPr="005E41B9">
        <w:rPr>
          <w:lang w:eastAsia="zh-CN"/>
        </w:rPr>
        <w:t>–</w:t>
      </w:r>
      <w:r w:rsidRPr="005E41B9">
        <w:rPr>
          <w:rFonts w:hint="eastAsia"/>
          <w:lang w:eastAsia="zh-CN"/>
        </w:rPr>
        <w:tab/>
      </w:r>
      <w:r w:rsidRPr="005E41B9">
        <w:rPr>
          <w:rFonts w:hint="eastAsia"/>
          <w:lang w:eastAsia="zh-CN"/>
        </w:rPr>
        <w:t>编拟论坛输出成果并广为散发；</w:t>
      </w:r>
    </w:p>
    <w:p w14:paraId="4827B676" w14:textId="77777777" w:rsidR="00103C9F" w:rsidRPr="005E41B9" w:rsidRDefault="00103C9F" w:rsidP="00B64353">
      <w:pPr>
        <w:pStyle w:val="enumlev1"/>
        <w:rPr>
          <w:lang w:eastAsia="zh-CN"/>
        </w:rPr>
      </w:pPr>
      <w:r w:rsidRPr="005E41B9">
        <w:rPr>
          <w:lang w:eastAsia="zh-CN"/>
        </w:rPr>
        <w:t>–</w:t>
      </w:r>
      <w:r w:rsidRPr="005E41B9">
        <w:rPr>
          <w:lang w:eastAsia="zh-CN"/>
        </w:rPr>
        <w:tab/>
      </w:r>
      <w:r w:rsidRPr="005E41B9">
        <w:rPr>
          <w:rFonts w:hint="eastAsia"/>
          <w:lang w:eastAsia="zh-CN"/>
        </w:rPr>
        <w:t>采取措施，促进</w:t>
      </w:r>
      <w:r w:rsidRPr="005E41B9">
        <w:rPr>
          <w:lang w:eastAsia="zh-CN"/>
        </w:rPr>
        <w:t>VIP</w:t>
      </w:r>
      <w:r w:rsidRPr="005E41B9">
        <w:rPr>
          <w:lang w:eastAsia="zh-CN"/>
        </w:rPr>
        <w:t>贵</w:t>
      </w:r>
      <w:r w:rsidRPr="005E41B9">
        <w:rPr>
          <w:rFonts w:hint="eastAsia"/>
          <w:lang w:eastAsia="zh-CN"/>
        </w:rPr>
        <w:t>宾更深入地参与各项活动，</w:t>
      </w:r>
    </w:p>
    <w:p w14:paraId="4827B677" w14:textId="77777777" w:rsidR="004B3B55" w:rsidRDefault="004B3B55">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lang w:eastAsia="zh-CN"/>
        </w:rPr>
      </w:pPr>
      <w:r>
        <w:rPr>
          <w:rFonts w:ascii="STKaiti" w:hAnsi="STKaiti"/>
          <w:lang w:eastAsia="zh-CN"/>
        </w:rPr>
        <w:br w:type="page"/>
      </w:r>
    </w:p>
    <w:p w14:paraId="4827B678" w14:textId="77777777" w:rsidR="00103C9F" w:rsidRPr="00103C9F" w:rsidRDefault="00103C9F" w:rsidP="00B64353">
      <w:pPr>
        <w:pStyle w:val="Call"/>
        <w:rPr>
          <w:rFonts w:ascii="STKaiti" w:hAnsi="STKaiti"/>
          <w:lang w:eastAsia="zh-CN"/>
        </w:rPr>
      </w:pPr>
      <w:r w:rsidRPr="00103C9F">
        <w:rPr>
          <w:rFonts w:ascii="STKaiti" w:hAnsi="STKaiti" w:hint="eastAsia"/>
          <w:lang w:eastAsia="zh-CN"/>
        </w:rPr>
        <w:lastRenderedPageBreak/>
        <w:t>请秘书长</w:t>
      </w:r>
    </w:p>
    <w:p w14:paraId="4827B679" w14:textId="77777777" w:rsidR="00103C9F" w:rsidRPr="00F234F6" w:rsidRDefault="00103C9F" w:rsidP="00B64353">
      <w:pPr>
        <w:spacing w:after="120"/>
        <w:ind w:firstLineChars="210" w:firstLine="504"/>
        <w:rPr>
          <w:rFonts w:ascii="SimSun" w:hAnsi="SimSun"/>
          <w:lang w:eastAsia="zh-CN"/>
        </w:rPr>
      </w:pPr>
      <w:r>
        <w:rPr>
          <w:rFonts w:ascii="SimSun" w:hAnsi="SimSun" w:hint="eastAsia"/>
          <w:lang w:eastAsia="zh-CN"/>
        </w:rPr>
        <w:t>酌情开展研究与磋商，并向成员国通报研究结果；</w:t>
      </w:r>
      <w:r w:rsidRPr="00F234F6">
        <w:rPr>
          <w:rFonts w:ascii="SimSun" w:hAnsi="SimSun" w:hint="eastAsia"/>
          <w:lang w:eastAsia="zh-CN"/>
        </w:rPr>
        <w:t>在考虑到下述方案的同时，就国际电联世界和区域性电信展活动的未来向理事</w:t>
      </w:r>
      <w:r w:rsidRPr="00B1175A">
        <w:rPr>
          <w:rFonts w:hint="eastAsia"/>
          <w:lang w:eastAsia="zh-CN"/>
        </w:rPr>
        <w:t>会</w:t>
      </w:r>
      <w:r w:rsidRPr="00B1175A">
        <w:rPr>
          <w:rFonts w:hint="eastAsia"/>
          <w:lang w:eastAsia="zh-CN"/>
        </w:rPr>
        <w:t>2009</w:t>
      </w:r>
      <w:r w:rsidRPr="00B1175A">
        <w:rPr>
          <w:rFonts w:hint="eastAsia"/>
          <w:lang w:eastAsia="zh-CN"/>
        </w:rPr>
        <w:t>年会议</w:t>
      </w:r>
      <w:r w:rsidRPr="00F234F6">
        <w:rPr>
          <w:rFonts w:ascii="SimSun" w:hAnsi="SimSun" w:hint="eastAsia"/>
          <w:lang w:eastAsia="zh-CN"/>
        </w:rPr>
        <w:t>提出建议：</w:t>
      </w:r>
    </w:p>
    <w:p w14:paraId="4827B67A" w14:textId="77777777" w:rsidR="00103C9F" w:rsidRPr="005E41B9" w:rsidRDefault="00103C9F" w:rsidP="00B64353">
      <w:pPr>
        <w:pStyle w:val="enumlev1"/>
        <w:rPr>
          <w:lang w:eastAsia="zh-CN"/>
        </w:rPr>
      </w:pPr>
      <w:r w:rsidRPr="005E41B9">
        <w:rPr>
          <w:lang w:eastAsia="zh-CN"/>
        </w:rPr>
        <w:t>–</w:t>
      </w:r>
      <w:r w:rsidRPr="005E41B9">
        <w:rPr>
          <w:rFonts w:hint="eastAsia"/>
          <w:lang w:eastAsia="zh-CN"/>
        </w:rPr>
        <w:tab/>
      </w:r>
      <w:r w:rsidRPr="005E41B9">
        <w:rPr>
          <w:rFonts w:hint="eastAsia"/>
          <w:lang w:eastAsia="zh-CN"/>
        </w:rPr>
        <w:t>将国际电联世界电信展与国际电联区域性电信展活动合并；</w:t>
      </w:r>
    </w:p>
    <w:p w14:paraId="4827B67B" w14:textId="77777777" w:rsidR="00103C9F" w:rsidRPr="005E41B9" w:rsidRDefault="00103C9F" w:rsidP="00B64353">
      <w:pPr>
        <w:pStyle w:val="enumlev1"/>
        <w:rPr>
          <w:lang w:eastAsia="zh-CN"/>
        </w:rPr>
      </w:pPr>
      <w:r w:rsidRPr="005E41B9">
        <w:rPr>
          <w:lang w:eastAsia="zh-CN"/>
        </w:rPr>
        <w:t>–</w:t>
      </w:r>
      <w:r w:rsidRPr="005E41B9">
        <w:rPr>
          <w:rFonts w:hint="eastAsia"/>
          <w:lang w:eastAsia="zh-CN"/>
        </w:rPr>
        <w:tab/>
      </w:r>
      <w:r w:rsidRPr="005E41B9">
        <w:rPr>
          <w:rFonts w:hint="eastAsia"/>
          <w:lang w:eastAsia="zh-CN"/>
        </w:rPr>
        <w:t>在各区域轮流举办展览活动，国际电联所在地日内瓦为展地之一；</w:t>
      </w:r>
    </w:p>
    <w:p w14:paraId="4827B67C" w14:textId="77777777" w:rsidR="00103C9F" w:rsidRPr="005E41B9" w:rsidRDefault="00103C9F" w:rsidP="00B64353">
      <w:pPr>
        <w:pStyle w:val="enumlev1"/>
        <w:rPr>
          <w:lang w:eastAsia="zh-CN"/>
        </w:rPr>
      </w:pPr>
      <w:r w:rsidRPr="005E41B9">
        <w:rPr>
          <w:lang w:eastAsia="zh-CN"/>
        </w:rPr>
        <w:t>–</w:t>
      </w:r>
      <w:r w:rsidRPr="005E41B9">
        <w:rPr>
          <w:rFonts w:hint="eastAsia"/>
          <w:lang w:eastAsia="zh-CN"/>
        </w:rPr>
        <w:tab/>
      </w:r>
      <w:r w:rsidRPr="005E41B9">
        <w:rPr>
          <w:rFonts w:hint="eastAsia"/>
          <w:lang w:eastAsia="zh-CN"/>
        </w:rPr>
        <w:t>将国际电联世界电信展的周期由四（</w:t>
      </w:r>
      <w:r w:rsidRPr="005E41B9">
        <w:rPr>
          <w:rFonts w:hint="eastAsia"/>
          <w:lang w:eastAsia="zh-CN"/>
        </w:rPr>
        <w:t>4</w:t>
      </w:r>
      <w:r w:rsidRPr="005E41B9">
        <w:rPr>
          <w:rFonts w:hint="eastAsia"/>
          <w:lang w:eastAsia="zh-CN"/>
        </w:rPr>
        <w:t>）年缩短为两（</w:t>
      </w:r>
      <w:r w:rsidRPr="005E41B9">
        <w:rPr>
          <w:rFonts w:hint="eastAsia"/>
          <w:lang w:eastAsia="zh-CN"/>
        </w:rPr>
        <w:t>2</w:t>
      </w:r>
      <w:r w:rsidRPr="005E41B9">
        <w:rPr>
          <w:rFonts w:hint="eastAsia"/>
          <w:lang w:eastAsia="zh-CN"/>
        </w:rPr>
        <w:t>）年；</w:t>
      </w:r>
    </w:p>
    <w:p w14:paraId="4827B67D" w14:textId="77777777" w:rsidR="00103C9F" w:rsidRPr="005E41B9" w:rsidRDefault="00103C9F" w:rsidP="00B64353">
      <w:pPr>
        <w:pStyle w:val="enumlev1"/>
        <w:rPr>
          <w:lang w:eastAsia="zh-CN"/>
        </w:rPr>
      </w:pPr>
      <w:r w:rsidRPr="005E41B9">
        <w:rPr>
          <w:lang w:eastAsia="zh-CN"/>
        </w:rPr>
        <w:t>–</w:t>
      </w:r>
      <w:r w:rsidRPr="005E41B9">
        <w:rPr>
          <w:rFonts w:hint="eastAsia"/>
          <w:lang w:eastAsia="zh-CN"/>
        </w:rPr>
        <w:tab/>
      </w:r>
      <w:r w:rsidRPr="005E41B9">
        <w:rPr>
          <w:rFonts w:hint="eastAsia"/>
          <w:lang w:eastAsia="zh-CN"/>
        </w:rPr>
        <w:t>结合国际电联的主要会议规划国际电联的电信展活动；</w:t>
      </w:r>
    </w:p>
    <w:p w14:paraId="4827B67E" w14:textId="77777777" w:rsidR="00103C9F" w:rsidRPr="005E41B9" w:rsidRDefault="00103C9F" w:rsidP="00B64353">
      <w:pPr>
        <w:pStyle w:val="enumlev1"/>
        <w:rPr>
          <w:lang w:eastAsia="zh-CN"/>
        </w:rPr>
      </w:pPr>
      <w:r w:rsidRPr="005E41B9">
        <w:rPr>
          <w:lang w:eastAsia="zh-CN"/>
        </w:rPr>
        <w:t>–</w:t>
      </w:r>
      <w:r w:rsidRPr="005E41B9">
        <w:rPr>
          <w:lang w:eastAsia="zh-CN"/>
        </w:rPr>
        <w:tab/>
      </w:r>
      <w:r w:rsidRPr="005E41B9">
        <w:rPr>
          <w:rFonts w:hint="eastAsia"/>
          <w:lang w:eastAsia="zh-CN"/>
        </w:rPr>
        <w:t>与知名区域性和国家大型活动组织机构建立非永久性战略联盟</w:t>
      </w:r>
      <w:r w:rsidRPr="005E41B9">
        <w:rPr>
          <w:rFonts w:hint="eastAsia"/>
          <w:lang w:eastAsia="zh-CN"/>
        </w:rPr>
        <w:t>/</w:t>
      </w:r>
      <w:r w:rsidRPr="005E41B9">
        <w:rPr>
          <w:rFonts w:hint="eastAsia"/>
          <w:lang w:eastAsia="zh-CN"/>
        </w:rPr>
        <w:t>伙伴关系；</w:t>
      </w:r>
    </w:p>
    <w:p w14:paraId="4827B67F" w14:textId="77777777" w:rsidR="00103C9F" w:rsidRPr="005E41B9" w:rsidRDefault="00103C9F" w:rsidP="00B64353">
      <w:pPr>
        <w:pStyle w:val="enumlev1"/>
        <w:rPr>
          <w:lang w:eastAsia="zh-CN"/>
        </w:rPr>
      </w:pPr>
      <w:r w:rsidRPr="005E41B9">
        <w:rPr>
          <w:lang w:eastAsia="zh-CN"/>
        </w:rPr>
        <w:t>–</w:t>
      </w:r>
      <w:r w:rsidRPr="005E41B9">
        <w:rPr>
          <w:rFonts w:hint="eastAsia"/>
          <w:lang w:eastAsia="zh-CN"/>
        </w:rPr>
        <w:tab/>
      </w:r>
      <w:r w:rsidRPr="005E41B9">
        <w:rPr>
          <w:rFonts w:hint="eastAsia"/>
          <w:lang w:eastAsia="zh-CN"/>
        </w:rPr>
        <w:t>管理国际电联电信展并配置适当的人员，以便改进其运营效率；</w:t>
      </w:r>
    </w:p>
    <w:p w14:paraId="4827B680" w14:textId="77777777" w:rsidR="00103C9F" w:rsidRPr="005E41B9" w:rsidRDefault="00103C9F" w:rsidP="009C2E24">
      <w:pPr>
        <w:pStyle w:val="enumlev1"/>
        <w:rPr>
          <w:lang w:eastAsia="zh-CN"/>
        </w:rPr>
      </w:pPr>
      <w:r w:rsidRPr="005E41B9">
        <w:rPr>
          <w:lang w:eastAsia="zh-CN"/>
        </w:rPr>
        <w:t>–</w:t>
      </w:r>
      <w:r w:rsidRPr="005E41B9">
        <w:rPr>
          <w:rFonts w:hint="eastAsia"/>
          <w:lang w:eastAsia="zh-CN"/>
        </w:rPr>
        <w:tab/>
      </w:r>
      <w:r w:rsidRPr="005E41B9">
        <w:rPr>
          <w:rFonts w:hint="eastAsia"/>
          <w:lang w:eastAsia="zh-CN"/>
        </w:rPr>
        <w:t>有必要实现国际电联电信展览部财务管理的合理化，控制由国际电联电信展览部负担的费用；</w:t>
      </w:r>
    </w:p>
    <w:p w14:paraId="4827B681" w14:textId="77777777" w:rsidR="00103C9F" w:rsidRPr="005E41B9" w:rsidRDefault="00103C9F" w:rsidP="00B64353">
      <w:pPr>
        <w:pStyle w:val="enumlev1"/>
        <w:rPr>
          <w:lang w:eastAsia="zh-CN"/>
        </w:rPr>
      </w:pPr>
      <w:r w:rsidRPr="005E41B9">
        <w:rPr>
          <w:lang w:eastAsia="zh-CN"/>
        </w:rPr>
        <w:t>–</w:t>
      </w:r>
      <w:r w:rsidRPr="005E41B9">
        <w:rPr>
          <w:lang w:eastAsia="zh-CN"/>
        </w:rPr>
        <w:tab/>
      </w:r>
      <w:r w:rsidRPr="005E41B9">
        <w:rPr>
          <w:rFonts w:hint="eastAsia"/>
          <w:lang w:eastAsia="zh-CN"/>
        </w:rPr>
        <w:t>在其职权范围内外包国际电联电信展的各项活动，以改善其盈利能力；</w:t>
      </w:r>
    </w:p>
    <w:p w14:paraId="4827B682" w14:textId="77777777" w:rsidR="00103C9F" w:rsidRPr="005E41B9" w:rsidRDefault="00103C9F" w:rsidP="00B64353">
      <w:pPr>
        <w:pStyle w:val="enumlev1"/>
        <w:rPr>
          <w:lang w:eastAsia="zh-CN"/>
        </w:rPr>
      </w:pPr>
      <w:r w:rsidRPr="005E41B9">
        <w:rPr>
          <w:lang w:eastAsia="zh-CN"/>
        </w:rPr>
        <w:t>–</w:t>
      </w:r>
      <w:r w:rsidRPr="005E41B9">
        <w:rPr>
          <w:lang w:eastAsia="zh-CN"/>
        </w:rPr>
        <w:tab/>
      </w:r>
      <w:r w:rsidRPr="005E41B9">
        <w:rPr>
          <w:rFonts w:hint="eastAsia"/>
          <w:lang w:eastAsia="zh-CN"/>
        </w:rPr>
        <w:t>重新审议参与论坛的成本，以吸引目标观众。</w:t>
      </w:r>
    </w:p>
    <w:p w14:paraId="4827B683" w14:textId="77777777" w:rsidR="009C2E24" w:rsidRPr="00FB432E" w:rsidRDefault="00103C9F" w:rsidP="009C2E24">
      <w:pPr>
        <w:pStyle w:val="Endtext"/>
        <w:rPr>
          <w:szCs w:val="22"/>
          <w:lang w:val="fr-FR" w:eastAsia="zh-CN"/>
        </w:rPr>
      </w:pPr>
      <w:r w:rsidRPr="003C68A4">
        <w:rPr>
          <w:rFonts w:ascii="STKaiti" w:hAnsi="STKaiti" w:hint="eastAsia"/>
          <w:lang w:eastAsia="zh-CN"/>
        </w:rPr>
        <w:t>参阅</w:t>
      </w:r>
      <w:r>
        <w:rPr>
          <w:rFonts w:hint="eastAsia"/>
          <w:lang w:eastAsia="zh-CN"/>
        </w:rPr>
        <w:t>：</w:t>
      </w:r>
      <w:r w:rsidRPr="00D746C3">
        <w:rPr>
          <w:lang w:eastAsia="zh-CN"/>
        </w:rPr>
        <w:tab/>
      </w:r>
      <w:hyperlink r:id="rId385" w:history="1">
        <w:r w:rsidR="009C2E24" w:rsidRPr="00CC160E">
          <w:rPr>
            <w:rStyle w:val="Hyperlink"/>
            <w:iCs w:val="0"/>
            <w:szCs w:val="22"/>
            <w:lang w:val="fr-FR" w:eastAsia="zh-CN"/>
          </w:rPr>
          <w:t>C08/91</w:t>
        </w:r>
      </w:hyperlink>
      <w:r w:rsidR="009C2E24">
        <w:rPr>
          <w:rFonts w:hint="eastAsia"/>
          <w:szCs w:val="22"/>
          <w:lang w:val="fr-FR" w:eastAsia="zh-CN"/>
        </w:rPr>
        <w:t>和</w:t>
      </w:r>
      <w:hyperlink r:id="rId386" w:history="1">
        <w:r w:rsidR="009C2E24" w:rsidRPr="00CC160E">
          <w:rPr>
            <w:rStyle w:val="Hyperlink"/>
            <w:iCs w:val="0"/>
            <w:szCs w:val="22"/>
            <w:lang w:val="fr-FR" w:eastAsia="zh-CN"/>
          </w:rPr>
          <w:t>C08/105</w:t>
        </w:r>
      </w:hyperlink>
      <w:r w:rsidR="009C2E24">
        <w:rPr>
          <w:rFonts w:hint="eastAsia"/>
          <w:szCs w:val="22"/>
          <w:lang w:val="fr-FR" w:eastAsia="zh-CN"/>
        </w:rPr>
        <w:t>号</w:t>
      </w:r>
      <w:r w:rsidR="009C2E24">
        <w:rPr>
          <w:szCs w:val="22"/>
          <w:lang w:val="fr-FR" w:eastAsia="zh-CN"/>
        </w:rPr>
        <w:t>文件。</w:t>
      </w:r>
    </w:p>
    <w:p w14:paraId="4827B6BE" w14:textId="0779B02F" w:rsidR="008B2BF0" w:rsidRPr="00795AF8" w:rsidRDefault="008B2BF0" w:rsidP="00795AF8">
      <w:pPr>
        <w:jc w:val="center"/>
        <w:rPr>
          <w:lang w:eastAsia="zh-CN"/>
        </w:rPr>
      </w:pPr>
      <w:bookmarkStart w:id="1947" w:name="_Toc531706420"/>
      <w:bookmarkStart w:id="1948" w:name="_Toc531707029"/>
      <w:bookmarkStart w:id="1949" w:name="_Toc531768509"/>
      <w:bookmarkStart w:id="1950" w:name="_Toc311469633"/>
      <w:r>
        <w:rPr>
          <w:lang w:eastAsia="zh-CN"/>
        </w:rPr>
        <w:t>______________</w:t>
      </w:r>
      <w:bookmarkEnd w:id="1947"/>
      <w:bookmarkEnd w:id="1948"/>
      <w:bookmarkEnd w:id="1949"/>
      <w:bookmarkEnd w:id="1950"/>
    </w:p>
    <w:p w14:paraId="1C01974E" w14:textId="64E76785" w:rsidR="00C87A66" w:rsidRDefault="00C87A66" w:rsidP="00CD2CAF">
      <w:pPr>
        <w:pStyle w:val="ResNo"/>
        <w:keepNext w:val="0"/>
        <w:keepLines w:val="0"/>
        <w:outlineLvl w:val="0"/>
        <w:rPr>
          <w:szCs w:val="28"/>
          <w:lang w:eastAsia="zh-CN"/>
        </w:rPr>
      </w:pPr>
      <w:bookmarkStart w:id="1951" w:name="lt_pId151"/>
      <w:bookmarkStart w:id="1952" w:name="_Toc86395629"/>
      <w:r>
        <w:rPr>
          <w:rFonts w:hint="eastAsia"/>
          <w:szCs w:val="28"/>
          <w:lang w:eastAsia="zh-CN"/>
        </w:rPr>
        <w:t>第</w:t>
      </w:r>
      <w:r>
        <w:rPr>
          <w:szCs w:val="28"/>
          <w:lang w:eastAsia="zh-CN"/>
        </w:rPr>
        <w:t>1399</w:t>
      </w:r>
      <w:r>
        <w:rPr>
          <w:rFonts w:hint="eastAsia"/>
          <w:szCs w:val="28"/>
          <w:lang w:eastAsia="zh-CN"/>
        </w:rPr>
        <w:t>号决议</w:t>
      </w:r>
      <w:bookmarkEnd w:id="1951"/>
      <w:r>
        <w:rPr>
          <w:rFonts w:hint="eastAsia"/>
          <w:szCs w:val="28"/>
          <w:lang w:eastAsia="zh-CN"/>
        </w:rPr>
        <w:t>（</w:t>
      </w:r>
      <w:r w:rsidR="00740022">
        <w:rPr>
          <w:rFonts w:hint="eastAsia"/>
          <w:szCs w:val="28"/>
          <w:lang w:eastAsia="zh-CN"/>
        </w:rPr>
        <w:t>C</w:t>
      </w:r>
      <w:r w:rsidR="00740022">
        <w:rPr>
          <w:szCs w:val="28"/>
          <w:lang w:eastAsia="zh-CN"/>
        </w:rPr>
        <w:t>20</w:t>
      </w:r>
      <w:r>
        <w:rPr>
          <w:rFonts w:hint="eastAsia"/>
          <w:szCs w:val="28"/>
          <w:lang w:eastAsia="zh-CN"/>
        </w:rPr>
        <w:t>）</w:t>
      </w:r>
      <w:bookmarkEnd w:id="1952"/>
    </w:p>
    <w:p w14:paraId="04163C0B" w14:textId="1C7B4BE2" w:rsidR="00C87A66" w:rsidRDefault="00C87A66" w:rsidP="00C87A66">
      <w:pPr>
        <w:pStyle w:val="Restitle"/>
        <w:rPr>
          <w:color w:val="000000"/>
          <w:lang w:eastAsia="zh-CN"/>
        </w:rPr>
      </w:pPr>
      <w:bookmarkStart w:id="1953" w:name="_Toc86395630"/>
      <w:r>
        <w:rPr>
          <w:rFonts w:hint="eastAsia"/>
          <w:color w:val="000000"/>
          <w:lang w:eastAsia="zh-CN"/>
        </w:rPr>
        <w:t>世界无线电通信大会（</w:t>
      </w:r>
      <w:r>
        <w:rPr>
          <w:color w:val="000000"/>
          <w:lang w:eastAsia="zh-CN"/>
        </w:rPr>
        <w:t>WRC-23</w:t>
      </w:r>
      <w:r>
        <w:rPr>
          <w:rFonts w:hint="eastAsia"/>
          <w:color w:val="000000"/>
          <w:lang w:eastAsia="zh-CN"/>
        </w:rPr>
        <w:t>）的议程</w:t>
      </w:r>
      <w:bookmarkEnd w:id="1953"/>
    </w:p>
    <w:p w14:paraId="640A2804" w14:textId="77777777" w:rsidR="00C87A66" w:rsidRDefault="00C87A66" w:rsidP="00846130">
      <w:pPr>
        <w:spacing w:beforeLines="100" w:before="240"/>
        <w:rPr>
          <w:lang w:val="zh-CN" w:eastAsia="zh-CN"/>
        </w:rPr>
      </w:pPr>
      <w:r>
        <w:rPr>
          <w:rFonts w:hint="eastAsia"/>
          <w:lang w:val="zh-CN" w:eastAsia="zh-CN"/>
        </w:rPr>
        <w:t>国际电联理事会，</w:t>
      </w:r>
    </w:p>
    <w:p w14:paraId="74AE203B" w14:textId="77777777" w:rsidR="00C87A66" w:rsidRDefault="00C87A66" w:rsidP="00BF7CEE">
      <w:pPr>
        <w:pStyle w:val="call0"/>
        <w:rPr>
          <w:lang w:val="zh-CN" w:eastAsia="zh-CN"/>
        </w:rPr>
      </w:pPr>
      <w:r>
        <w:rPr>
          <w:rFonts w:hint="eastAsia"/>
          <w:lang w:val="zh-CN" w:eastAsia="zh-CN"/>
        </w:rPr>
        <w:t>注意到</w:t>
      </w:r>
    </w:p>
    <w:p w14:paraId="57175E29" w14:textId="77777777" w:rsidR="00C87A66" w:rsidRDefault="00C87A66" w:rsidP="00C87A66">
      <w:pPr>
        <w:spacing w:beforeLines="50"/>
        <w:ind w:firstLine="480"/>
        <w:rPr>
          <w:lang w:eastAsia="zh-CN"/>
        </w:rPr>
      </w:pPr>
      <w:r>
        <w:rPr>
          <w:rFonts w:hint="eastAsia"/>
          <w:lang w:eastAsia="zh-CN"/>
        </w:rPr>
        <w:t>世界无线电通信大会（</w:t>
      </w:r>
      <w:r>
        <w:rPr>
          <w:lang w:eastAsia="zh-CN"/>
        </w:rPr>
        <w:t>201</w:t>
      </w:r>
      <w:r>
        <w:rPr>
          <w:rFonts w:hint="eastAsia"/>
          <w:lang w:eastAsia="zh-CN"/>
        </w:rPr>
        <w:t>9</w:t>
      </w:r>
      <w:r>
        <w:rPr>
          <w:rFonts w:hint="eastAsia"/>
          <w:lang w:val="zh-CN" w:eastAsia="zh-CN"/>
        </w:rPr>
        <w:t>年，</w:t>
      </w:r>
      <w:r>
        <w:rPr>
          <w:rFonts w:hint="eastAsia"/>
          <w:lang w:eastAsia="zh-CN"/>
        </w:rPr>
        <w:t>沙姆沙伊赫）</w:t>
      </w:r>
      <w:r>
        <w:rPr>
          <w:rFonts w:hint="eastAsia"/>
          <w:lang w:val="zh-CN" w:eastAsia="zh-CN"/>
        </w:rPr>
        <w:t>第</w:t>
      </w:r>
      <w:r>
        <w:rPr>
          <w:lang w:eastAsia="zh-CN"/>
        </w:rPr>
        <w:t>8</w:t>
      </w:r>
      <w:r>
        <w:rPr>
          <w:rFonts w:hint="eastAsia"/>
          <w:lang w:eastAsia="zh-CN"/>
        </w:rPr>
        <w:t>11</w:t>
      </w:r>
      <w:r>
        <w:rPr>
          <w:rFonts w:hint="eastAsia"/>
          <w:lang w:val="zh-CN" w:eastAsia="zh-CN"/>
        </w:rPr>
        <w:t>号决议：</w:t>
      </w:r>
    </w:p>
    <w:p w14:paraId="368425EF" w14:textId="77777777" w:rsidR="00C87A66" w:rsidRDefault="00C87A66" w:rsidP="00C87A66">
      <w:pPr>
        <w:spacing w:beforeLines="50"/>
        <w:rPr>
          <w:i/>
          <w:iCs/>
          <w:lang w:eastAsia="zh-CN"/>
        </w:rPr>
      </w:pPr>
      <w:r>
        <w:rPr>
          <w:rFonts w:eastAsia="KaiTi_GB2312"/>
          <w:i/>
          <w:iCs/>
          <w:lang w:eastAsia="zh-CN"/>
        </w:rPr>
        <w:t>a)</w:t>
      </w:r>
      <w:r>
        <w:rPr>
          <w:rFonts w:eastAsia="KaiTi_GB2312"/>
          <w:i/>
          <w:iCs/>
          <w:lang w:eastAsia="zh-CN"/>
        </w:rPr>
        <w:tab/>
      </w:r>
      <w:r>
        <w:rPr>
          <w:rFonts w:ascii="STKaiti" w:eastAsia="STKaiti" w:hAnsi="STKaiti" w:hint="eastAsia"/>
          <w:lang w:val="zh-CN" w:eastAsia="zh-CN"/>
        </w:rPr>
        <w:t>做出决议</w:t>
      </w:r>
      <w:r w:rsidRPr="004E537C">
        <w:rPr>
          <w:rFonts w:hint="eastAsia"/>
          <w:lang w:eastAsia="zh-CN"/>
        </w:rPr>
        <w:t>，</w:t>
      </w:r>
      <w:r>
        <w:rPr>
          <w:rFonts w:hint="eastAsia"/>
          <w:lang w:val="zh-CN" w:eastAsia="zh-CN"/>
        </w:rPr>
        <w:t>向理事会建议</w:t>
      </w:r>
      <w:r w:rsidRPr="004E537C">
        <w:rPr>
          <w:rFonts w:hint="eastAsia"/>
          <w:lang w:eastAsia="zh-CN"/>
        </w:rPr>
        <w:t>，</w:t>
      </w:r>
      <w:r>
        <w:rPr>
          <w:rFonts w:hint="eastAsia"/>
          <w:lang w:val="zh-CN" w:eastAsia="zh-CN"/>
        </w:rPr>
        <w:t>在</w:t>
      </w:r>
      <w:r w:rsidRPr="004E537C">
        <w:rPr>
          <w:rFonts w:hint="eastAsia"/>
          <w:lang w:eastAsia="zh-CN"/>
        </w:rPr>
        <w:t>20</w:t>
      </w:r>
      <w:r>
        <w:rPr>
          <w:lang w:eastAsia="zh-CN"/>
        </w:rPr>
        <w:t>23</w:t>
      </w:r>
      <w:r>
        <w:rPr>
          <w:rFonts w:hint="eastAsia"/>
          <w:lang w:val="zh-CN" w:eastAsia="zh-CN"/>
        </w:rPr>
        <w:t>年举办一届为期最长四周的世界无线电通信大会</w:t>
      </w:r>
      <w:r w:rsidRPr="004E537C">
        <w:rPr>
          <w:rFonts w:hint="eastAsia"/>
          <w:lang w:eastAsia="zh-CN"/>
        </w:rPr>
        <w:t>；</w:t>
      </w:r>
    </w:p>
    <w:p w14:paraId="06B00FE7" w14:textId="77777777" w:rsidR="00C87A66" w:rsidRDefault="00C87A66" w:rsidP="00C87A66">
      <w:pPr>
        <w:spacing w:beforeLines="50"/>
        <w:rPr>
          <w:lang w:eastAsia="zh-CN"/>
        </w:rPr>
      </w:pPr>
      <w:r>
        <w:rPr>
          <w:i/>
          <w:iCs/>
          <w:lang w:eastAsia="zh-CN"/>
        </w:rPr>
        <w:t>b)</w:t>
      </w:r>
      <w:r>
        <w:rPr>
          <w:i/>
          <w:iCs/>
          <w:lang w:eastAsia="zh-CN"/>
        </w:rPr>
        <w:tab/>
      </w:r>
      <w:r>
        <w:rPr>
          <w:rFonts w:hint="eastAsia"/>
          <w:lang w:eastAsia="zh-CN"/>
        </w:rPr>
        <w:t>建议</w:t>
      </w:r>
      <w:r>
        <w:rPr>
          <w:rFonts w:hint="eastAsia"/>
          <w:lang w:val="zh-CN" w:eastAsia="zh-CN"/>
        </w:rPr>
        <w:t>其议程</w:t>
      </w:r>
      <w:r w:rsidRPr="00556C58">
        <w:rPr>
          <w:rFonts w:hint="eastAsia"/>
          <w:lang w:eastAsia="zh-CN"/>
        </w:rPr>
        <w:t>，</w:t>
      </w:r>
      <w:r>
        <w:rPr>
          <w:rFonts w:hint="eastAsia"/>
          <w:lang w:val="zh-CN" w:eastAsia="zh-CN"/>
        </w:rPr>
        <w:t>并且请理事会最终确定议程</w:t>
      </w:r>
      <w:r w:rsidRPr="00556C58">
        <w:rPr>
          <w:rFonts w:hint="eastAsia"/>
          <w:lang w:eastAsia="zh-CN"/>
        </w:rPr>
        <w:t>，</w:t>
      </w:r>
      <w:r>
        <w:rPr>
          <w:rFonts w:hint="eastAsia"/>
          <w:lang w:val="zh-CN" w:eastAsia="zh-CN"/>
        </w:rPr>
        <w:t>同时为</w:t>
      </w:r>
      <w:r>
        <w:rPr>
          <w:lang w:eastAsia="zh-CN"/>
        </w:rPr>
        <w:t>WRC-23</w:t>
      </w:r>
      <w:r>
        <w:rPr>
          <w:rFonts w:hint="eastAsia"/>
          <w:lang w:eastAsia="zh-CN"/>
        </w:rPr>
        <w:t>的召开做出安排，而且尽快启动与成员国的必要磋商，</w:t>
      </w:r>
    </w:p>
    <w:p w14:paraId="7004D36D" w14:textId="77777777" w:rsidR="00795AF8" w:rsidRDefault="00795AF8">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lang w:eastAsia="zh-CN"/>
        </w:rPr>
      </w:pPr>
      <w:r>
        <w:rPr>
          <w:rFonts w:ascii="STKaiti" w:hAnsi="STKaiti"/>
          <w:lang w:eastAsia="zh-CN"/>
        </w:rPr>
        <w:br w:type="page"/>
      </w:r>
    </w:p>
    <w:p w14:paraId="2B5ECEBC" w14:textId="0C31DD56" w:rsidR="00C87A66" w:rsidRDefault="00C87A66" w:rsidP="00BF7CEE">
      <w:pPr>
        <w:pStyle w:val="call0"/>
        <w:rPr>
          <w:rFonts w:ascii="STKaiti" w:hAnsi="STKaiti"/>
          <w:lang w:eastAsia="zh-CN"/>
        </w:rPr>
      </w:pPr>
      <w:r>
        <w:rPr>
          <w:rFonts w:ascii="STKaiti" w:hAnsi="STKaiti" w:hint="eastAsia"/>
          <w:lang w:eastAsia="zh-CN"/>
        </w:rPr>
        <w:lastRenderedPageBreak/>
        <w:t>做出决议</w:t>
      </w:r>
    </w:p>
    <w:p w14:paraId="6F2DD684" w14:textId="77777777" w:rsidR="00C87A66" w:rsidRPr="002752A8" w:rsidRDefault="00C87A66" w:rsidP="00C87A66">
      <w:pPr>
        <w:spacing w:beforeLines="50"/>
        <w:ind w:firstLineChars="200" w:firstLine="480"/>
        <w:rPr>
          <w:rFonts w:cs="Calibri"/>
          <w:b/>
          <w:szCs w:val="28"/>
          <w:lang w:eastAsia="zh-CN"/>
        </w:rPr>
      </w:pPr>
      <w:bookmarkStart w:id="1954" w:name="lt_pId162"/>
      <w:r>
        <w:rPr>
          <w:rFonts w:hint="eastAsia"/>
          <w:lang w:eastAsia="zh-CN"/>
        </w:rPr>
        <w:t>于</w:t>
      </w:r>
      <w:r>
        <w:rPr>
          <w:lang w:eastAsia="zh-CN"/>
        </w:rPr>
        <w:t>2023</w:t>
      </w:r>
      <w:r>
        <w:rPr>
          <w:rFonts w:hint="eastAsia"/>
          <w:lang w:eastAsia="zh-CN"/>
        </w:rPr>
        <w:t>年举办一届世界无线电通信大会（</w:t>
      </w:r>
      <w:r>
        <w:rPr>
          <w:lang w:eastAsia="zh-CN"/>
        </w:rPr>
        <w:t>WRC-23</w:t>
      </w:r>
      <w:r>
        <w:rPr>
          <w:rFonts w:hint="eastAsia"/>
          <w:lang w:eastAsia="zh-CN"/>
        </w:rPr>
        <w:t>），之前举办无线电通信全会，大会议程如下：</w:t>
      </w:r>
      <w:bookmarkEnd w:id="1954"/>
    </w:p>
    <w:p w14:paraId="4C8B6616" w14:textId="77777777" w:rsidR="00C87A66" w:rsidRPr="00B507B5" w:rsidRDefault="00C87A66" w:rsidP="00C87A66">
      <w:pPr>
        <w:rPr>
          <w:lang w:eastAsia="zh-CN"/>
        </w:rPr>
      </w:pPr>
      <w:r w:rsidRPr="002752A8">
        <w:rPr>
          <w:lang w:eastAsia="zh-CN"/>
        </w:rPr>
        <w:t>1</w:t>
      </w:r>
      <w:r w:rsidRPr="002752A8">
        <w:rPr>
          <w:lang w:eastAsia="zh-CN"/>
        </w:rPr>
        <w:tab/>
      </w:r>
      <w:r w:rsidRPr="002752A8">
        <w:rPr>
          <w:rFonts w:hint="eastAsia"/>
          <w:lang w:eastAsia="zh-CN"/>
        </w:rPr>
        <w:t>以各主管部门</w:t>
      </w:r>
      <w:r w:rsidRPr="006068B3">
        <w:rPr>
          <w:rFonts w:hint="eastAsia"/>
          <w:lang w:eastAsia="zh-CN"/>
        </w:rPr>
        <w:t>的提案为基础，在考虑到</w:t>
      </w:r>
      <w:r w:rsidRPr="006068B3">
        <w:rPr>
          <w:rFonts w:hint="eastAsia"/>
          <w:lang w:eastAsia="zh-CN"/>
        </w:rPr>
        <w:t>WRC-19</w:t>
      </w:r>
      <w:r w:rsidRPr="006068B3">
        <w:rPr>
          <w:rFonts w:hint="eastAsia"/>
          <w:lang w:eastAsia="zh-CN"/>
        </w:rPr>
        <w:t>的</w:t>
      </w:r>
      <w:r>
        <w:rPr>
          <w:rFonts w:hint="eastAsia"/>
          <w:lang w:eastAsia="zh-CN"/>
        </w:rPr>
        <w:t>结</w:t>
      </w:r>
      <w:r w:rsidRPr="006068B3">
        <w:rPr>
          <w:rFonts w:hint="eastAsia"/>
          <w:lang w:eastAsia="zh-CN"/>
        </w:rPr>
        <w:t>果和大会筹备会议报告，并</w:t>
      </w:r>
      <w:r>
        <w:rPr>
          <w:rFonts w:hint="eastAsia"/>
          <w:lang w:eastAsia="zh-CN"/>
        </w:rPr>
        <w:t>且</w:t>
      </w:r>
      <w:r w:rsidRPr="006068B3">
        <w:rPr>
          <w:rFonts w:hint="eastAsia"/>
          <w:lang w:eastAsia="zh-CN"/>
        </w:rPr>
        <w:t>适当顾及所涉各频段中现有</w:t>
      </w:r>
      <w:r>
        <w:rPr>
          <w:rFonts w:hint="eastAsia"/>
          <w:lang w:eastAsia="zh-CN"/>
        </w:rPr>
        <w:t>业务</w:t>
      </w:r>
      <w:r w:rsidRPr="006068B3">
        <w:rPr>
          <w:rFonts w:hint="eastAsia"/>
          <w:lang w:eastAsia="zh-CN"/>
        </w:rPr>
        <w:t>和未来业务的需求的同时，审议下列议项并采取适当的行动：</w:t>
      </w:r>
    </w:p>
    <w:p w14:paraId="1AD835A2" w14:textId="77777777" w:rsidR="00C87A66" w:rsidRPr="00A716CF" w:rsidRDefault="00C87A66" w:rsidP="00C87A66">
      <w:pPr>
        <w:rPr>
          <w:szCs w:val="24"/>
          <w:lang w:val="en-US" w:eastAsia="zh-CN"/>
        </w:rPr>
      </w:pPr>
      <w:r w:rsidRPr="00A716CF">
        <w:rPr>
          <w:lang w:eastAsia="zh-CN"/>
        </w:rPr>
        <w:t>1.1</w:t>
      </w:r>
      <w:r w:rsidRPr="00A716CF">
        <w:rPr>
          <w:lang w:eastAsia="zh-CN"/>
        </w:rPr>
        <w:tab/>
      </w:r>
      <w:r w:rsidRPr="00A716CF">
        <w:rPr>
          <w:lang w:eastAsia="zh-CN"/>
        </w:rPr>
        <w:t>根据</w:t>
      </w:r>
      <w:r w:rsidRPr="00A716CF">
        <w:rPr>
          <w:lang w:eastAsia="zh-CN"/>
        </w:rPr>
        <w:t>ITU-R</w:t>
      </w:r>
      <w:r w:rsidRPr="00A716CF">
        <w:rPr>
          <w:lang w:eastAsia="zh-CN"/>
        </w:rPr>
        <w:t>的研究结果，审议可能的措施，以解决</w:t>
      </w:r>
      <w:r w:rsidRPr="00A716CF">
        <w:rPr>
          <w:lang w:eastAsia="zh-CN"/>
        </w:rPr>
        <w:t>4 800-4 990 MHz</w:t>
      </w:r>
      <w:r w:rsidRPr="00A716CF">
        <w:rPr>
          <w:lang w:eastAsia="zh-CN"/>
        </w:rPr>
        <w:t>频段内保护</w:t>
      </w:r>
      <w:r w:rsidRPr="00A716CF">
        <w:rPr>
          <w:szCs w:val="24"/>
          <w:lang w:eastAsia="zh-CN"/>
        </w:rPr>
        <w:t>国际空域和水域中航空和水上移动业务电台免受位于</w:t>
      </w:r>
      <w:r>
        <w:rPr>
          <w:rFonts w:hint="eastAsia"/>
          <w:szCs w:val="24"/>
          <w:lang w:eastAsia="zh-CN"/>
        </w:rPr>
        <w:t>各国</w:t>
      </w:r>
      <w:r w:rsidRPr="00A716CF">
        <w:rPr>
          <w:szCs w:val="24"/>
          <w:lang w:eastAsia="zh-CN"/>
        </w:rPr>
        <w:t>领土内其他电台影响的问题，并根据第</w:t>
      </w:r>
      <w:r w:rsidRPr="00A716CF">
        <w:rPr>
          <w:b/>
          <w:bCs/>
          <w:szCs w:val="24"/>
          <w:lang w:eastAsia="zh-CN"/>
        </w:rPr>
        <w:t>223</w:t>
      </w:r>
      <w:r w:rsidRPr="00A716CF">
        <w:rPr>
          <w:szCs w:val="24"/>
          <w:lang w:eastAsia="zh-CN"/>
        </w:rPr>
        <w:t>号决议</w:t>
      </w:r>
      <w:r w:rsidRPr="00A716CF">
        <w:rPr>
          <w:rFonts w:hint="eastAsia"/>
          <w:szCs w:val="24"/>
          <w:lang w:eastAsia="zh-CN"/>
        </w:rPr>
        <w:t>（</w:t>
      </w:r>
      <w:r w:rsidRPr="00A716CF">
        <w:rPr>
          <w:rFonts w:hint="eastAsia"/>
          <w:b/>
          <w:bCs/>
          <w:szCs w:val="24"/>
          <w:lang w:eastAsia="zh-CN"/>
        </w:rPr>
        <w:t>W</w:t>
      </w:r>
      <w:r w:rsidRPr="00A716CF">
        <w:rPr>
          <w:b/>
          <w:bCs/>
          <w:szCs w:val="24"/>
          <w:lang w:eastAsia="zh-CN"/>
        </w:rPr>
        <w:t>RC-19</w:t>
      </w:r>
      <w:r w:rsidRPr="00A716CF">
        <w:rPr>
          <w:rFonts w:hint="eastAsia"/>
          <w:b/>
          <w:bCs/>
          <w:szCs w:val="24"/>
          <w:lang w:eastAsia="zh-CN"/>
        </w:rPr>
        <w:t>，修订版</w:t>
      </w:r>
      <w:r w:rsidRPr="00A716CF">
        <w:rPr>
          <w:rFonts w:hint="eastAsia"/>
          <w:szCs w:val="24"/>
          <w:lang w:eastAsia="zh-CN"/>
        </w:rPr>
        <w:t>）</w:t>
      </w:r>
      <w:r w:rsidRPr="00A716CF">
        <w:rPr>
          <w:szCs w:val="24"/>
          <w:lang w:eastAsia="zh-CN"/>
        </w:rPr>
        <w:t>审议第</w:t>
      </w:r>
      <w:r w:rsidRPr="00A716CF">
        <w:rPr>
          <w:b/>
          <w:bCs/>
          <w:szCs w:val="24"/>
          <w:lang w:eastAsia="zh-CN"/>
        </w:rPr>
        <w:t>5.441B</w:t>
      </w:r>
      <w:r w:rsidRPr="00A716CF">
        <w:rPr>
          <w:szCs w:val="24"/>
          <w:lang w:eastAsia="zh-CN"/>
        </w:rPr>
        <w:t>款中的</w:t>
      </w:r>
      <w:r>
        <w:rPr>
          <w:rFonts w:hint="eastAsia"/>
          <w:szCs w:val="24"/>
          <w:lang w:eastAsia="zh-CN"/>
        </w:rPr>
        <w:t>功率通量密度（</w:t>
      </w:r>
      <w:r w:rsidRPr="00A716CF">
        <w:rPr>
          <w:szCs w:val="24"/>
          <w:lang w:eastAsia="zh-CN"/>
        </w:rPr>
        <w:t>pfd</w:t>
      </w:r>
      <w:r>
        <w:rPr>
          <w:rFonts w:hint="eastAsia"/>
          <w:szCs w:val="24"/>
          <w:lang w:eastAsia="zh-CN"/>
        </w:rPr>
        <w:t>）</w:t>
      </w:r>
      <w:r w:rsidRPr="00A716CF">
        <w:rPr>
          <w:szCs w:val="24"/>
          <w:lang w:eastAsia="zh-CN"/>
        </w:rPr>
        <w:t>标</w:t>
      </w:r>
      <w:r w:rsidRPr="00A716CF">
        <w:rPr>
          <w:rFonts w:hint="eastAsia"/>
          <w:szCs w:val="24"/>
          <w:lang w:eastAsia="zh-CN"/>
        </w:rPr>
        <w:t>准；</w:t>
      </w:r>
    </w:p>
    <w:p w14:paraId="738E40F2" w14:textId="77777777" w:rsidR="00C87A66" w:rsidRPr="00B507B5" w:rsidRDefault="00C87A66" w:rsidP="00C87A66">
      <w:pPr>
        <w:rPr>
          <w:lang w:eastAsia="zh-CN"/>
        </w:rPr>
      </w:pPr>
      <w:r w:rsidRPr="00A716CF">
        <w:rPr>
          <w:lang w:val="en-US" w:eastAsia="zh-CN"/>
        </w:rPr>
        <w:t>1.2</w:t>
      </w:r>
      <w:r w:rsidRPr="00A716CF">
        <w:rPr>
          <w:lang w:val="en-US" w:eastAsia="zh-CN"/>
        </w:rPr>
        <w:tab/>
      </w:r>
      <w:r w:rsidRPr="00A716CF">
        <w:rPr>
          <w:lang w:eastAsia="zh-CN"/>
        </w:rPr>
        <w:t>根据第</w:t>
      </w:r>
      <w:r w:rsidRPr="00B507B5">
        <w:rPr>
          <w:rFonts w:cs="Traditional Arabic"/>
          <w:b/>
          <w:bCs/>
          <w:lang w:eastAsia="zh-CN"/>
        </w:rPr>
        <w:t>245</w:t>
      </w:r>
      <w:r w:rsidRPr="00A716CF">
        <w:rPr>
          <w:lang w:eastAsia="zh-CN"/>
        </w:rPr>
        <w:t>号决议</w:t>
      </w:r>
      <w:r w:rsidRPr="00A716CF">
        <w:rPr>
          <w:b/>
          <w:bCs/>
          <w:lang w:eastAsia="zh-CN"/>
        </w:rPr>
        <w:t>（</w:t>
      </w:r>
      <w:r w:rsidRPr="00A716CF">
        <w:rPr>
          <w:b/>
          <w:bCs/>
          <w:lang w:eastAsia="zh-CN"/>
        </w:rPr>
        <w:t>WRC-19</w:t>
      </w:r>
      <w:r w:rsidRPr="00A716CF">
        <w:rPr>
          <w:b/>
          <w:bCs/>
          <w:lang w:eastAsia="zh-CN"/>
        </w:rPr>
        <w:t>）</w:t>
      </w:r>
      <w:r w:rsidRPr="00A716CF">
        <w:rPr>
          <w:lang w:eastAsia="zh-CN"/>
        </w:rPr>
        <w:t>，审议确定将</w:t>
      </w:r>
      <w:r w:rsidRPr="00A716CF">
        <w:rPr>
          <w:lang w:val="en-US" w:eastAsia="zh-CN"/>
        </w:rPr>
        <w:t>3</w:t>
      </w:r>
      <w:r>
        <w:rPr>
          <w:lang w:val="en-US" w:eastAsia="zh-CN"/>
        </w:rPr>
        <w:t> </w:t>
      </w:r>
      <w:r w:rsidRPr="00A716CF">
        <w:rPr>
          <w:lang w:val="en-US" w:eastAsia="zh-CN"/>
        </w:rPr>
        <w:t>300-3 400</w:t>
      </w:r>
      <w:r>
        <w:rPr>
          <w:lang w:val="en-US" w:eastAsia="zh-CN"/>
        </w:rPr>
        <w:t> </w:t>
      </w:r>
      <w:r w:rsidRPr="00A716CF">
        <w:rPr>
          <w:lang w:val="en-US" w:eastAsia="zh-CN"/>
        </w:rPr>
        <w:t>MHz</w:t>
      </w:r>
      <w:r w:rsidRPr="00A716CF">
        <w:rPr>
          <w:rFonts w:hint="eastAsia"/>
          <w:lang w:val="en-US" w:eastAsia="zh-CN"/>
        </w:rPr>
        <w:t>、</w:t>
      </w:r>
      <w:r w:rsidRPr="00A716CF">
        <w:rPr>
          <w:lang w:val="en-US" w:eastAsia="zh-CN"/>
        </w:rPr>
        <w:t>3 600</w:t>
      </w:r>
      <w:r>
        <w:rPr>
          <w:lang w:val="en-US" w:eastAsia="zh-CN"/>
        </w:rPr>
        <w:noBreakHyphen/>
      </w:r>
      <w:r w:rsidRPr="00A716CF">
        <w:rPr>
          <w:lang w:val="en-US" w:eastAsia="zh-CN"/>
        </w:rPr>
        <w:t>3 800</w:t>
      </w:r>
      <w:r>
        <w:rPr>
          <w:lang w:val="en-US" w:eastAsia="zh-CN"/>
        </w:rPr>
        <w:t> </w:t>
      </w:r>
      <w:r w:rsidRPr="00A716CF">
        <w:rPr>
          <w:lang w:val="en-US" w:eastAsia="zh-CN"/>
        </w:rPr>
        <w:t>MHz</w:t>
      </w:r>
      <w:r w:rsidRPr="00A716CF">
        <w:rPr>
          <w:rFonts w:hint="eastAsia"/>
          <w:lang w:val="en-US" w:eastAsia="zh-CN"/>
        </w:rPr>
        <w:t>、</w:t>
      </w:r>
      <w:r w:rsidRPr="00A716CF">
        <w:rPr>
          <w:lang w:val="en-US" w:eastAsia="zh-CN"/>
        </w:rPr>
        <w:t>6 425-7 025 MHz</w:t>
      </w:r>
      <w:r w:rsidRPr="00A716CF">
        <w:rPr>
          <w:rFonts w:hint="eastAsia"/>
          <w:lang w:val="en-US" w:eastAsia="zh-CN"/>
        </w:rPr>
        <w:t>、</w:t>
      </w:r>
      <w:r w:rsidRPr="00A716CF">
        <w:rPr>
          <w:lang w:val="en-US" w:eastAsia="zh-CN"/>
        </w:rPr>
        <w:t>7 025-7 125 MHz</w:t>
      </w:r>
      <w:r w:rsidRPr="00A716CF">
        <w:rPr>
          <w:rFonts w:hint="eastAsia"/>
          <w:lang w:val="en-US" w:eastAsia="zh-CN"/>
        </w:rPr>
        <w:t>和</w:t>
      </w:r>
      <w:r w:rsidRPr="00A716CF">
        <w:rPr>
          <w:lang w:val="en-US" w:eastAsia="zh-CN"/>
        </w:rPr>
        <w:t>10.0-10.5 GHz</w:t>
      </w:r>
      <w:r w:rsidRPr="00A716CF">
        <w:rPr>
          <w:lang w:eastAsia="zh-CN"/>
        </w:rPr>
        <w:t>频段</w:t>
      </w:r>
      <w:r w:rsidRPr="00A716CF">
        <w:rPr>
          <w:bCs/>
          <w:lang w:eastAsia="zh-CN"/>
        </w:rPr>
        <w:t>用于</w:t>
      </w:r>
      <w:r w:rsidRPr="00A716CF">
        <w:rPr>
          <w:lang w:eastAsia="zh-CN"/>
        </w:rPr>
        <w:t>国际移动通信</w:t>
      </w:r>
      <w:r w:rsidRPr="00A716CF">
        <w:rPr>
          <w:lang w:val="nb-NO" w:eastAsia="zh-CN"/>
        </w:rPr>
        <w:t>（</w:t>
      </w:r>
      <w:r w:rsidRPr="00A716CF">
        <w:rPr>
          <w:lang w:val="nb-NO" w:eastAsia="zh-CN"/>
        </w:rPr>
        <w:t>IMT</w:t>
      </w:r>
      <w:r w:rsidRPr="00A716CF">
        <w:rPr>
          <w:lang w:val="nb-NO" w:eastAsia="zh-CN"/>
        </w:rPr>
        <w:t>），</w:t>
      </w:r>
      <w:r w:rsidRPr="00A716CF">
        <w:rPr>
          <w:bCs/>
          <w:lang w:eastAsia="zh-CN"/>
        </w:rPr>
        <w:t>包括为作为主要业务的</w:t>
      </w:r>
      <w:r w:rsidRPr="00B507B5">
        <w:rPr>
          <w:rFonts w:hint="eastAsia"/>
          <w:lang w:eastAsia="zh-CN"/>
        </w:rPr>
        <w:t>移动业务做出附加划分的可能性；</w:t>
      </w:r>
    </w:p>
    <w:p w14:paraId="335E6D7D" w14:textId="77777777" w:rsidR="00C87A66" w:rsidRDefault="00C87A66" w:rsidP="00C87A66">
      <w:pPr>
        <w:rPr>
          <w:szCs w:val="24"/>
          <w:lang w:val="en-US" w:eastAsia="zh-CN"/>
        </w:rPr>
      </w:pPr>
      <w:r w:rsidRPr="001F2EC8">
        <w:rPr>
          <w:bCs/>
          <w:lang w:val="en-US" w:eastAsia="zh-CN"/>
        </w:rPr>
        <w:t>1</w:t>
      </w:r>
      <w:r>
        <w:rPr>
          <w:rFonts w:hint="eastAsia"/>
          <w:bCs/>
          <w:lang w:val="en-US" w:eastAsia="zh-CN"/>
        </w:rPr>
        <w:t>.3</w:t>
      </w:r>
      <w:r w:rsidRPr="001F2EC8">
        <w:rPr>
          <w:b/>
          <w:lang w:val="en-US" w:eastAsia="zh-CN"/>
        </w:rPr>
        <w:tab/>
      </w:r>
      <w:r w:rsidRPr="00BD2BDA">
        <w:rPr>
          <w:rFonts w:hint="eastAsia"/>
          <w:szCs w:val="24"/>
          <w:lang w:val="en-US" w:eastAsia="zh-CN"/>
        </w:rPr>
        <w:t>根据第</w:t>
      </w:r>
      <w:r w:rsidRPr="00B507B5">
        <w:rPr>
          <w:rFonts w:cs="Traditional Arabic"/>
          <w:b/>
          <w:bCs/>
          <w:lang w:eastAsia="zh-CN"/>
        </w:rPr>
        <w:t>246</w:t>
      </w:r>
      <w:r w:rsidRPr="00BD2BDA">
        <w:rPr>
          <w:rFonts w:hint="eastAsia"/>
          <w:szCs w:val="24"/>
          <w:lang w:val="en-US" w:eastAsia="zh-CN"/>
        </w:rPr>
        <w:t>号决议</w:t>
      </w:r>
      <w:r w:rsidRPr="00BD2BDA">
        <w:rPr>
          <w:rFonts w:hint="eastAsia"/>
          <w:b/>
          <w:szCs w:val="24"/>
          <w:lang w:val="en-US" w:eastAsia="zh-CN"/>
        </w:rPr>
        <w:t>（</w:t>
      </w:r>
      <w:r w:rsidRPr="00BD2BDA">
        <w:rPr>
          <w:rFonts w:hint="eastAsia"/>
          <w:b/>
          <w:bCs/>
          <w:szCs w:val="24"/>
          <w:lang w:val="en-US" w:eastAsia="zh-CN"/>
        </w:rPr>
        <w:t>WRC-19</w:t>
      </w:r>
      <w:r w:rsidRPr="00BD2BDA">
        <w:rPr>
          <w:rFonts w:hint="eastAsia"/>
          <w:b/>
          <w:szCs w:val="24"/>
          <w:lang w:val="en-US" w:eastAsia="zh-CN"/>
        </w:rPr>
        <w:t>）</w:t>
      </w:r>
      <w:r>
        <w:rPr>
          <w:rFonts w:hint="eastAsia"/>
          <w:b/>
          <w:szCs w:val="24"/>
          <w:lang w:val="en-US" w:eastAsia="zh-CN"/>
        </w:rPr>
        <w:t>，</w:t>
      </w:r>
      <w:r w:rsidRPr="00BD2BDA">
        <w:rPr>
          <w:rFonts w:hint="eastAsia"/>
          <w:szCs w:val="24"/>
          <w:lang w:val="en-US" w:eastAsia="zh-CN"/>
        </w:rPr>
        <w:t>考虑</w:t>
      </w:r>
      <w:r>
        <w:rPr>
          <w:rFonts w:hint="eastAsia"/>
          <w:szCs w:val="24"/>
          <w:lang w:val="en-US" w:eastAsia="zh-CN"/>
        </w:rPr>
        <w:t>在</w:t>
      </w:r>
      <w:r>
        <w:rPr>
          <w:rFonts w:hint="eastAsia"/>
          <w:szCs w:val="24"/>
          <w:lang w:val="en-US" w:eastAsia="zh-CN"/>
        </w:rPr>
        <w:t>1</w:t>
      </w:r>
      <w:r>
        <w:rPr>
          <w:rFonts w:hint="eastAsia"/>
          <w:szCs w:val="24"/>
          <w:lang w:val="en-US" w:eastAsia="zh-CN"/>
        </w:rPr>
        <w:t>区</w:t>
      </w:r>
      <w:r w:rsidRPr="00491F35">
        <w:rPr>
          <w:szCs w:val="24"/>
          <w:lang w:eastAsia="zh-CN"/>
        </w:rPr>
        <w:t>3 600</w:t>
      </w:r>
      <w:r w:rsidRPr="00491F35">
        <w:rPr>
          <w:szCs w:val="24"/>
          <w:lang w:eastAsia="zh-CN"/>
        </w:rPr>
        <w:noBreakHyphen/>
        <w:t>3 800</w:t>
      </w:r>
      <w:r>
        <w:rPr>
          <w:szCs w:val="24"/>
          <w:lang w:val="en-US" w:eastAsia="zh-CN"/>
        </w:rPr>
        <w:t> </w:t>
      </w:r>
      <w:r w:rsidRPr="00491F35">
        <w:rPr>
          <w:szCs w:val="24"/>
          <w:lang w:eastAsia="zh-CN"/>
        </w:rPr>
        <w:t>MHz</w:t>
      </w:r>
      <w:r>
        <w:rPr>
          <w:rFonts w:hint="eastAsia"/>
          <w:szCs w:val="24"/>
          <w:lang w:eastAsia="zh-CN"/>
        </w:rPr>
        <w:t>频段内为移动业务做出主要业务划分并采取适当的规则行动</w:t>
      </w:r>
      <w:r>
        <w:rPr>
          <w:rFonts w:hint="eastAsia"/>
          <w:szCs w:val="24"/>
          <w:lang w:val="en-US" w:eastAsia="zh-CN"/>
        </w:rPr>
        <w:t>；</w:t>
      </w:r>
    </w:p>
    <w:p w14:paraId="489B2BB4" w14:textId="77777777" w:rsidR="00C87A66" w:rsidRPr="003F68FD" w:rsidRDefault="00C87A66" w:rsidP="00C87A66">
      <w:pPr>
        <w:rPr>
          <w:lang w:val="en-US" w:eastAsia="zh-CN"/>
        </w:rPr>
      </w:pPr>
      <w:r>
        <w:rPr>
          <w:szCs w:val="24"/>
          <w:lang w:val="en-US" w:eastAsia="zh-CN"/>
        </w:rPr>
        <w:t>1.4</w:t>
      </w:r>
      <w:r>
        <w:rPr>
          <w:szCs w:val="24"/>
          <w:lang w:val="en-US" w:eastAsia="zh-CN"/>
        </w:rPr>
        <w:tab/>
      </w:r>
      <w:r w:rsidRPr="00BD2BDA">
        <w:rPr>
          <w:rFonts w:hint="eastAsia"/>
          <w:szCs w:val="24"/>
          <w:lang w:val="en-US" w:eastAsia="zh-CN"/>
        </w:rPr>
        <w:t>根据第</w:t>
      </w:r>
      <w:r w:rsidRPr="00B507B5">
        <w:rPr>
          <w:rFonts w:cs="Traditional Arabic"/>
          <w:b/>
          <w:bCs/>
          <w:lang w:eastAsia="zh-CN"/>
        </w:rPr>
        <w:t>247</w:t>
      </w:r>
      <w:r w:rsidRPr="00BD2BDA">
        <w:rPr>
          <w:rFonts w:hint="eastAsia"/>
          <w:szCs w:val="24"/>
          <w:lang w:val="en-US" w:eastAsia="zh-CN"/>
        </w:rPr>
        <w:t>号决议</w:t>
      </w:r>
      <w:r w:rsidRPr="00BD2BDA">
        <w:rPr>
          <w:rFonts w:hint="eastAsia"/>
          <w:b/>
          <w:szCs w:val="24"/>
          <w:lang w:val="en-US" w:eastAsia="zh-CN"/>
        </w:rPr>
        <w:t>（</w:t>
      </w:r>
      <w:r w:rsidRPr="00BD2BDA">
        <w:rPr>
          <w:rFonts w:hint="eastAsia"/>
          <w:b/>
          <w:bCs/>
          <w:szCs w:val="24"/>
          <w:lang w:val="en-US" w:eastAsia="zh-CN"/>
        </w:rPr>
        <w:t>WRC-19</w:t>
      </w:r>
      <w:r w:rsidRPr="00BD2BDA">
        <w:rPr>
          <w:rFonts w:hint="eastAsia"/>
          <w:b/>
          <w:szCs w:val="24"/>
          <w:lang w:val="en-US" w:eastAsia="zh-CN"/>
        </w:rPr>
        <w:t>）</w:t>
      </w:r>
      <w:r w:rsidRPr="00B507B5">
        <w:rPr>
          <w:rFonts w:hint="eastAsia"/>
          <w:bCs/>
          <w:szCs w:val="24"/>
          <w:lang w:val="en-US" w:eastAsia="zh-CN"/>
        </w:rPr>
        <w:t>，</w:t>
      </w:r>
      <w:r w:rsidRPr="00BD2BDA">
        <w:rPr>
          <w:rFonts w:hint="eastAsia"/>
          <w:szCs w:val="24"/>
          <w:lang w:val="en-US" w:eastAsia="zh-CN"/>
        </w:rPr>
        <w:t>考虑在全球或区域范围内，在已为</w:t>
      </w:r>
      <w:r w:rsidRPr="00BD2BDA">
        <w:rPr>
          <w:rFonts w:hint="eastAsia"/>
          <w:szCs w:val="24"/>
          <w:lang w:val="en-US" w:eastAsia="zh-CN"/>
        </w:rPr>
        <w:t>IMT</w:t>
      </w:r>
      <w:r w:rsidRPr="00BD2BDA">
        <w:rPr>
          <w:rFonts w:hint="eastAsia"/>
          <w:szCs w:val="24"/>
          <w:lang w:val="en-US" w:eastAsia="zh-CN"/>
        </w:rPr>
        <w:t>确定的</w:t>
      </w:r>
      <w:r>
        <w:rPr>
          <w:rFonts w:hint="eastAsia"/>
          <w:szCs w:val="24"/>
          <w:lang w:val="en-US" w:eastAsia="zh-CN"/>
        </w:rPr>
        <w:t>2</w:t>
      </w:r>
      <w:r w:rsidRPr="00BD2BDA">
        <w:rPr>
          <w:rFonts w:hint="eastAsia"/>
          <w:szCs w:val="24"/>
          <w:lang w:val="en-US" w:eastAsia="zh-CN"/>
        </w:rPr>
        <w:t>.</w:t>
      </w:r>
      <w:r>
        <w:rPr>
          <w:rFonts w:hint="eastAsia"/>
          <w:szCs w:val="24"/>
          <w:lang w:val="en-US" w:eastAsia="zh-CN"/>
        </w:rPr>
        <w:t>7</w:t>
      </w:r>
      <w:r>
        <w:rPr>
          <w:szCs w:val="24"/>
          <w:lang w:val="en-US" w:eastAsia="zh-CN"/>
        </w:rPr>
        <w:t> </w:t>
      </w:r>
      <w:r w:rsidRPr="00BD2BDA">
        <w:rPr>
          <w:rFonts w:hint="eastAsia"/>
          <w:szCs w:val="24"/>
          <w:lang w:val="en-US" w:eastAsia="zh-CN"/>
        </w:rPr>
        <w:t>GHz</w:t>
      </w:r>
      <w:r w:rsidRPr="00BD2BDA">
        <w:rPr>
          <w:rFonts w:hint="eastAsia"/>
          <w:szCs w:val="24"/>
          <w:lang w:val="en-US" w:eastAsia="zh-CN"/>
        </w:rPr>
        <w:t>以下的某些频段内</w:t>
      </w:r>
      <w:r>
        <w:rPr>
          <w:rFonts w:hint="eastAsia"/>
          <w:szCs w:val="24"/>
          <w:lang w:val="en-US" w:eastAsia="zh-CN"/>
        </w:rPr>
        <w:t>的移动业务中</w:t>
      </w:r>
      <w:r w:rsidRPr="00BD2BDA">
        <w:rPr>
          <w:rFonts w:hint="eastAsia"/>
          <w:szCs w:val="24"/>
          <w:lang w:val="en-US" w:eastAsia="zh-CN"/>
        </w:rPr>
        <w:t>，将高空平台</w:t>
      </w:r>
      <w:r>
        <w:rPr>
          <w:rFonts w:hint="eastAsia"/>
          <w:szCs w:val="24"/>
          <w:lang w:val="en-US" w:eastAsia="zh-CN"/>
        </w:rPr>
        <w:t>电台</w:t>
      </w:r>
      <w:r w:rsidRPr="00BD2BDA">
        <w:rPr>
          <w:rFonts w:hint="eastAsia"/>
          <w:szCs w:val="24"/>
          <w:lang w:val="en-US" w:eastAsia="zh-CN"/>
        </w:rPr>
        <w:t>用作</w:t>
      </w:r>
      <w:r w:rsidRPr="00BD2BDA">
        <w:rPr>
          <w:rFonts w:hint="eastAsia"/>
          <w:szCs w:val="24"/>
          <w:lang w:val="en-US" w:eastAsia="zh-CN"/>
        </w:rPr>
        <w:t>IMT</w:t>
      </w:r>
      <w:r w:rsidRPr="00BD2BDA">
        <w:rPr>
          <w:rFonts w:hint="eastAsia"/>
          <w:szCs w:val="24"/>
          <w:lang w:val="en-US" w:eastAsia="zh-CN"/>
        </w:rPr>
        <w:t>基站（</w:t>
      </w:r>
      <w:r w:rsidRPr="00BD2BDA">
        <w:rPr>
          <w:rFonts w:hint="eastAsia"/>
          <w:szCs w:val="24"/>
          <w:lang w:val="en-US" w:eastAsia="zh-CN"/>
        </w:rPr>
        <w:t>H</w:t>
      </w:r>
      <w:r w:rsidRPr="00BD2BDA">
        <w:rPr>
          <w:szCs w:val="24"/>
          <w:lang w:val="en-US" w:eastAsia="zh-CN"/>
        </w:rPr>
        <w:t>IBS</w:t>
      </w:r>
      <w:r w:rsidRPr="00BD2BDA">
        <w:rPr>
          <w:rFonts w:hint="eastAsia"/>
          <w:szCs w:val="24"/>
          <w:lang w:val="en-US" w:eastAsia="zh-CN"/>
        </w:rPr>
        <w:t>）</w:t>
      </w:r>
      <w:r>
        <w:rPr>
          <w:rFonts w:hint="eastAsia"/>
          <w:szCs w:val="24"/>
          <w:lang w:val="en-US" w:eastAsia="zh-CN"/>
        </w:rPr>
        <w:t>；</w:t>
      </w:r>
    </w:p>
    <w:p w14:paraId="03E86353" w14:textId="77777777" w:rsidR="00C87A66" w:rsidRPr="005D1E77" w:rsidRDefault="00C87A66" w:rsidP="00C87A66">
      <w:pPr>
        <w:rPr>
          <w:lang w:val="en-US" w:eastAsia="zh-CN"/>
        </w:rPr>
      </w:pPr>
      <w:r w:rsidRPr="005D1E77">
        <w:rPr>
          <w:lang w:val="en-US" w:eastAsia="zh-CN"/>
        </w:rPr>
        <w:t>1.</w:t>
      </w:r>
      <w:r>
        <w:rPr>
          <w:rFonts w:hint="eastAsia"/>
          <w:lang w:val="en-US" w:eastAsia="zh-CN"/>
        </w:rPr>
        <w:t>5</w:t>
      </w:r>
      <w:r w:rsidRPr="005D1E77">
        <w:rPr>
          <w:lang w:val="en-US" w:eastAsia="zh-CN"/>
        </w:rPr>
        <w:tab/>
      </w:r>
      <w:r>
        <w:rPr>
          <w:rFonts w:hint="eastAsia"/>
          <w:lang w:val="en-US" w:eastAsia="zh-CN"/>
        </w:rPr>
        <w:t>根据</w:t>
      </w:r>
      <w:r w:rsidRPr="003D1EB2">
        <w:rPr>
          <w:lang w:eastAsia="zh-CN"/>
        </w:rPr>
        <w:t>第</w:t>
      </w:r>
      <w:r w:rsidRPr="003D1EB2">
        <w:rPr>
          <w:b/>
          <w:bCs/>
          <w:lang w:eastAsia="zh-CN"/>
        </w:rPr>
        <w:t>235</w:t>
      </w:r>
      <w:r w:rsidRPr="003D1EB2">
        <w:rPr>
          <w:lang w:eastAsia="zh-CN"/>
        </w:rPr>
        <w:t>号决议</w:t>
      </w:r>
      <w:r w:rsidRPr="003D1EB2">
        <w:rPr>
          <w:b/>
          <w:bCs/>
          <w:lang w:eastAsia="zh-CN"/>
        </w:rPr>
        <w:t>（</w:t>
      </w:r>
      <w:r w:rsidRPr="003D1EB2">
        <w:rPr>
          <w:b/>
          <w:bCs/>
          <w:lang w:eastAsia="zh-CN"/>
        </w:rPr>
        <w:t>WRC-15</w:t>
      </w:r>
      <w:r w:rsidRPr="003D1EB2">
        <w:rPr>
          <w:b/>
          <w:bCs/>
          <w:lang w:eastAsia="zh-CN"/>
        </w:rPr>
        <w:t>）</w:t>
      </w:r>
      <w:r w:rsidRPr="00B507B5">
        <w:rPr>
          <w:rFonts w:hint="eastAsia"/>
          <w:lang w:eastAsia="zh-CN"/>
        </w:rPr>
        <w:t>，</w:t>
      </w:r>
      <w:r w:rsidRPr="003D1EB2">
        <w:rPr>
          <w:lang w:eastAsia="zh-CN"/>
        </w:rPr>
        <w:t>审议</w:t>
      </w:r>
      <w:r w:rsidRPr="003D1EB2">
        <w:rPr>
          <w:lang w:eastAsia="zh-CN"/>
        </w:rPr>
        <w:t>1</w:t>
      </w:r>
      <w:r w:rsidRPr="003D1EB2">
        <w:rPr>
          <w:lang w:eastAsia="zh-CN"/>
        </w:rPr>
        <w:t>区</w:t>
      </w:r>
      <w:r w:rsidRPr="003D1EB2">
        <w:rPr>
          <w:lang w:eastAsia="zh-CN"/>
        </w:rPr>
        <w:t>470-960 MHz</w:t>
      </w:r>
      <w:r w:rsidRPr="003D1EB2">
        <w:rPr>
          <w:lang w:eastAsia="zh-CN"/>
        </w:rPr>
        <w:t>频段内现有业务的频谱使用和频谱需求，并在</w:t>
      </w:r>
      <w:r>
        <w:rPr>
          <w:rFonts w:hint="eastAsia"/>
          <w:lang w:eastAsia="zh-CN"/>
        </w:rPr>
        <w:t>该项</w:t>
      </w:r>
      <w:r w:rsidRPr="003D1EB2">
        <w:rPr>
          <w:lang w:eastAsia="zh-CN"/>
        </w:rPr>
        <w:t>审议的基础上考虑在</w:t>
      </w:r>
      <w:r w:rsidRPr="003D1EB2">
        <w:rPr>
          <w:lang w:eastAsia="zh-CN"/>
        </w:rPr>
        <w:t>1</w:t>
      </w:r>
      <w:r w:rsidRPr="003D1EB2">
        <w:rPr>
          <w:lang w:eastAsia="zh-CN"/>
        </w:rPr>
        <w:t>区就</w:t>
      </w:r>
      <w:r w:rsidRPr="003D1EB2">
        <w:rPr>
          <w:lang w:eastAsia="zh-CN"/>
        </w:rPr>
        <w:t>470</w:t>
      </w:r>
      <w:r w:rsidRPr="003D1EB2">
        <w:rPr>
          <w:lang w:eastAsia="zh-CN"/>
        </w:rPr>
        <w:noBreakHyphen/>
        <w:t>694 MHz</w:t>
      </w:r>
      <w:r w:rsidRPr="003D1EB2">
        <w:rPr>
          <w:lang w:eastAsia="zh-CN"/>
        </w:rPr>
        <w:t>频段采取可能的规则行</w:t>
      </w:r>
      <w:r w:rsidRPr="003D1EB2">
        <w:rPr>
          <w:szCs w:val="24"/>
          <w:lang w:eastAsia="zh-CN"/>
        </w:rPr>
        <w:t>动；</w:t>
      </w:r>
    </w:p>
    <w:p w14:paraId="1F1F24C8" w14:textId="3FFF366D" w:rsidR="007F2083" w:rsidRDefault="00C87A66" w:rsidP="00795AF8">
      <w:pPr>
        <w:rPr>
          <w:lang w:eastAsia="zh-CN"/>
        </w:rPr>
      </w:pPr>
      <w:r w:rsidRPr="00B507B5">
        <w:rPr>
          <w:lang w:eastAsia="zh-CN"/>
        </w:rPr>
        <w:t>1.6</w:t>
      </w:r>
      <w:r w:rsidRPr="00B507B5">
        <w:rPr>
          <w:lang w:eastAsia="zh-CN"/>
        </w:rPr>
        <w:tab/>
      </w:r>
      <w:r w:rsidRPr="00B507B5">
        <w:rPr>
          <w:lang w:eastAsia="zh-CN"/>
        </w:rPr>
        <w:t>根据第</w:t>
      </w:r>
      <w:r w:rsidRPr="00B507B5">
        <w:rPr>
          <w:rFonts w:cs="Traditional Arabic"/>
          <w:b/>
          <w:bCs/>
          <w:lang w:eastAsia="zh-CN"/>
        </w:rPr>
        <w:t>772</w:t>
      </w:r>
      <w:r w:rsidRPr="00B507B5">
        <w:rPr>
          <w:lang w:eastAsia="zh-CN"/>
        </w:rPr>
        <w:t>号决议</w:t>
      </w:r>
      <w:r w:rsidRPr="00B507B5">
        <w:rPr>
          <w:rFonts w:hint="eastAsia"/>
          <w:b/>
          <w:bCs/>
          <w:lang w:eastAsia="zh-CN"/>
        </w:rPr>
        <w:t>（</w:t>
      </w:r>
      <w:r w:rsidRPr="00B507B5">
        <w:rPr>
          <w:b/>
          <w:bCs/>
          <w:lang w:eastAsia="zh-CN"/>
        </w:rPr>
        <w:t>WRC-19</w:t>
      </w:r>
      <w:r w:rsidRPr="00B507B5">
        <w:rPr>
          <w:rFonts w:hint="eastAsia"/>
          <w:b/>
          <w:bCs/>
          <w:lang w:eastAsia="zh-CN"/>
        </w:rPr>
        <w:t>）</w:t>
      </w:r>
      <w:r w:rsidRPr="00B507B5">
        <w:rPr>
          <w:rFonts w:hint="eastAsia"/>
          <w:lang w:eastAsia="zh-CN"/>
        </w:rPr>
        <w:t>，审议</w:t>
      </w:r>
      <w:r>
        <w:rPr>
          <w:rFonts w:hint="eastAsia"/>
          <w:bCs/>
          <w:lang w:val="en-US" w:eastAsia="zh-CN"/>
        </w:rPr>
        <w:t>促进亚轨道飞行器无线电通信的</w:t>
      </w:r>
      <w:r w:rsidRPr="00B507B5">
        <w:rPr>
          <w:rFonts w:hint="eastAsia"/>
          <w:lang w:eastAsia="zh-CN"/>
        </w:rPr>
        <w:t>规则条款</w:t>
      </w:r>
      <w:r>
        <w:rPr>
          <w:rFonts w:hint="eastAsia"/>
          <w:bCs/>
          <w:lang w:val="en-US" w:eastAsia="zh-CN"/>
        </w:rPr>
        <w:t>；</w:t>
      </w:r>
    </w:p>
    <w:p w14:paraId="1FFF0911" w14:textId="2D895530" w:rsidR="007F2083" w:rsidRPr="007F2083" w:rsidRDefault="00C87A66" w:rsidP="007F2083">
      <w:pPr>
        <w:rPr>
          <w:iCs/>
          <w:lang w:val="en-US" w:eastAsia="zh-CN"/>
        </w:rPr>
      </w:pPr>
      <w:r w:rsidRPr="005D1E77">
        <w:rPr>
          <w:lang w:eastAsia="zh-CN"/>
        </w:rPr>
        <w:t>1.</w:t>
      </w:r>
      <w:r>
        <w:rPr>
          <w:rFonts w:hint="eastAsia"/>
          <w:lang w:eastAsia="zh-CN"/>
        </w:rPr>
        <w:t>7</w:t>
      </w:r>
      <w:r>
        <w:rPr>
          <w:lang w:eastAsia="zh-CN"/>
        </w:rPr>
        <w:tab/>
      </w:r>
      <w:r w:rsidRPr="00981D3F">
        <w:rPr>
          <w:rFonts w:hint="eastAsia"/>
          <w:iCs/>
          <w:lang w:eastAsia="zh-CN"/>
        </w:rPr>
        <w:t>根据第</w:t>
      </w:r>
      <w:r w:rsidRPr="00B507B5">
        <w:rPr>
          <w:rFonts w:cs="Traditional Arabic"/>
          <w:b/>
          <w:bCs/>
          <w:lang w:eastAsia="zh-CN"/>
        </w:rPr>
        <w:t>428</w:t>
      </w:r>
      <w:r w:rsidRPr="00981D3F">
        <w:rPr>
          <w:rFonts w:hint="eastAsia"/>
          <w:iCs/>
          <w:lang w:eastAsia="zh-CN"/>
        </w:rPr>
        <w:t>号决议</w:t>
      </w:r>
      <w:r w:rsidRPr="00981D3F">
        <w:rPr>
          <w:rFonts w:hint="eastAsia"/>
          <w:b/>
          <w:bCs/>
          <w:iCs/>
          <w:lang w:eastAsia="zh-CN"/>
        </w:rPr>
        <w:t>（</w:t>
      </w:r>
      <w:r w:rsidRPr="00981D3F">
        <w:rPr>
          <w:b/>
          <w:bCs/>
          <w:iCs/>
          <w:lang w:eastAsia="zh-CN"/>
        </w:rPr>
        <w:t>WRC-19</w:t>
      </w:r>
      <w:r w:rsidRPr="00981D3F">
        <w:rPr>
          <w:rFonts w:hint="eastAsia"/>
          <w:b/>
          <w:bCs/>
          <w:iCs/>
          <w:lang w:eastAsia="zh-CN"/>
        </w:rPr>
        <w:t>）</w:t>
      </w:r>
      <w:r w:rsidRPr="00981D3F">
        <w:rPr>
          <w:rFonts w:hint="eastAsia"/>
          <w:iCs/>
          <w:lang w:eastAsia="zh-CN"/>
        </w:rPr>
        <w:t>，考虑在</w:t>
      </w:r>
      <w:r w:rsidRPr="00981D3F">
        <w:rPr>
          <w:iCs/>
          <w:lang w:eastAsia="zh-CN"/>
        </w:rPr>
        <w:t>117.975-137 MHz</w:t>
      </w:r>
      <w:r>
        <w:rPr>
          <w:rFonts w:hint="eastAsia"/>
          <w:iCs/>
          <w:lang w:eastAsia="zh-CN"/>
        </w:rPr>
        <w:t>的</w:t>
      </w:r>
      <w:r w:rsidRPr="00981D3F">
        <w:rPr>
          <w:rFonts w:hint="eastAsia"/>
          <w:iCs/>
          <w:lang w:eastAsia="zh-CN"/>
        </w:rPr>
        <w:t>全部或部分频段内新增卫星航空移动（</w:t>
      </w:r>
      <w:r w:rsidRPr="00981D3F">
        <w:rPr>
          <w:iCs/>
          <w:lang w:eastAsia="zh-CN"/>
        </w:rPr>
        <w:t>R</w:t>
      </w:r>
      <w:r w:rsidRPr="00981D3F">
        <w:rPr>
          <w:rFonts w:hint="eastAsia"/>
          <w:iCs/>
          <w:lang w:eastAsia="zh-CN"/>
        </w:rPr>
        <w:t>）业务</w:t>
      </w:r>
      <w:r>
        <w:rPr>
          <w:rFonts w:hint="eastAsia"/>
          <w:iCs/>
          <w:lang w:eastAsia="zh-CN"/>
        </w:rPr>
        <w:t>的</w:t>
      </w:r>
      <w:r w:rsidRPr="00981D3F">
        <w:rPr>
          <w:rFonts w:hint="eastAsia"/>
          <w:iCs/>
          <w:lang w:eastAsia="zh-CN"/>
        </w:rPr>
        <w:t>划分，用于支持地对空和空对地</w:t>
      </w:r>
      <w:r>
        <w:rPr>
          <w:rFonts w:hint="eastAsia"/>
          <w:iCs/>
          <w:lang w:eastAsia="zh-CN"/>
        </w:rPr>
        <w:t>两个</w:t>
      </w:r>
      <w:r w:rsidRPr="00981D3F">
        <w:rPr>
          <w:rFonts w:hint="eastAsia"/>
          <w:iCs/>
          <w:lang w:eastAsia="zh-CN"/>
        </w:rPr>
        <w:t>方向上的航空</w:t>
      </w:r>
      <w:r w:rsidRPr="00981D3F">
        <w:rPr>
          <w:iCs/>
          <w:lang w:eastAsia="zh-CN"/>
        </w:rPr>
        <w:t>VHF</w:t>
      </w:r>
      <w:r w:rsidRPr="00981D3F">
        <w:rPr>
          <w:rFonts w:hint="eastAsia"/>
          <w:iCs/>
          <w:lang w:eastAsia="zh-CN"/>
        </w:rPr>
        <w:t>通信</w:t>
      </w:r>
      <w:r>
        <w:rPr>
          <w:rFonts w:hint="eastAsia"/>
          <w:iCs/>
          <w:lang w:eastAsia="zh-CN"/>
        </w:rPr>
        <w:t>，同时防止对在</w:t>
      </w:r>
      <w:r w:rsidRPr="00981D3F">
        <w:rPr>
          <w:rFonts w:hint="eastAsia"/>
          <w:iCs/>
          <w:lang w:eastAsia="zh-CN"/>
        </w:rPr>
        <w:t>航空移动（</w:t>
      </w:r>
      <w:r w:rsidRPr="00981D3F">
        <w:rPr>
          <w:iCs/>
          <w:lang w:eastAsia="zh-CN"/>
        </w:rPr>
        <w:t>R</w:t>
      </w:r>
      <w:r w:rsidRPr="00981D3F">
        <w:rPr>
          <w:rFonts w:hint="eastAsia"/>
          <w:iCs/>
          <w:lang w:eastAsia="zh-CN"/>
        </w:rPr>
        <w:t>）业务</w:t>
      </w:r>
      <w:r>
        <w:rPr>
          <w:rFonts w:hint="eastAsia"/>
          <w:iCs/>
          <w:lang w:eastAsia="zh-CN"/>
        </w:rPr>
        <w:t>、航空无线电导航业务中操作的现有</w:t>
      </w:r>
      <w:r>
        <w:rPr>
          <w:rFonts w:hint="eastAsia"/>
          <w:iCs/>
          <w:lang w:eastAsia="zh-CN"/>
        </w:rPr>
        <w:t>V</w:t>
      </w:r>
      <w:r>
        <w:rPr>
          <w:iCs/>
          <w:lang w:eastAsia="zh-CN"/>
        </w:rPr>
        <w:t>HF</w:t>
      </w:r>
      <w:r>
        <w:rPr>
          <w:rFonts w:hint="eastAsia"/>
          <w:iCs/>
          <w:lang w:eastAsia="zh-CN"/>
        </w:rPr>
        <w:t>系统及相邻频段施加不必要的限制</w:t>
      </w:r>
      <w:r w:rsidRPr="00981D3F">
        <w:rPr>
          <w:rFonts w:hint="eastAsia"/>
          <w:iCs/>
          <w:lang w:val="en-US" w:eastAsia="zh-CN"/>
        </w:rPr>
        <w:t>；</w:t>
      </w:r>
    </w:p>
    <w:p w14:paraId="5D443667" w14:textId="77777777" w:rsidR="00C87A66" w:rsidRPr="005D1E77" w:rsidRDefault="00C87A66" w:rsidP="00C87A66">
      <w:pPr>
        <w:rPr>
          <w:lang w:val="en-US" w:eastAsia="zh-CN"/>
        </w:rPr>
      </w:pPr>
      <w:r w:rsidRPr="005D1E77">
        <w:rPr>
          <w:bCs/>
          <w:lang w:val="en-US" w:eastAsia="zh-CN"/>
        </w:rPr>
        <w:t>1.</w:t>
      </w:r>
      <w:r>
        <w:rPr>
          <w:rFonts w:hint="eastAsia"/>
          <w:bCs/>
          <w:lang w:val="en-US" w:eastAsia="zh-CN"/>
        </w:rPr>
        <w:t>8</w:t>
      </w:r>
      <w:r w:rsidRPr="005D1E77">
        <w:rPr>
          <w:bCs/>
          <w:lang w:val="en-US" w:eastAsia="zh-CN"/>
        </w:rPr>
        <w:tab/>
      </w:r>
      <w:r>
        <w:rPr>
          <w:rFonts w:hint="eastAsia"/>
          <w:bCs/>
          <w:lang w:eastAsia="zh-CN"/>
        </w:rPr>
        <w:t>在</w:t>
      </w:r>
      <w:r w:rsidRPr="000F470D">
        <w:rPr>
          <w:lang w:eastAsia="zh-CN"/>
        </w:rPr>
        <w:t>ITU-R</w:t>
      </w:r>
      <w:r>
        <w:rPr>
          <w:rFonts w:hint="eastAsia"/>
          <w:lang w:eastAsia="zh-CN"/>
        </w:rPr>
        <w:t>根据第</w:t>
      </w:r>
      <w:r w:rsidRPr="00B507B5">
        <w:rPr>
          <w:rFonts w:cs="Traditional Arabic"/>
          <w:b/>
          <w:bCs/>
          <w:lang w:eastAsia="zh-CN"/>
        </w:rPr>
        <w:t>171</w:t>
      </w:r>
      <w:r w:rsidRPr="0081661C">
        <w:rPr>
          <w:rFonts w:hint="eastAsia"/>
          <w:bCs/>
          <w:lang w:eastAsia="zh-CN"/>
        </w:rPr>
        <w:t>号决议</w:t>
      </w:r>
      <w:r w:rsidRPr="0081661C">
        <w:rPr>
          <w:rFonts w:hint="eastAsia"/>
          <w:b/>
          <w:bCs/>
          <w:lang w:eastAsia="zh-CN"/>
        </w:rPr>
        <w:t>（</w:t>
      </w:r>
      <w:r w:rsidRPr="000F470D">
        <w:rPr>
          <w:b/>
          <w:lang w:eastAsia="zh-CN"/>
        </w:rPr>
        <w:t>WRC-19</w:t>
      </w:r>
      <w:r>
        <w:rPr>
          <w:rFonts w:hint="eastAsia"/>
          <w:b/>
          <w:lang w:eastAsia="zh-CN"/>
        </w:rPr>
        <w:t>）</w:t>
      </w:r>
      <w:r w:rsidRPr="0081661C">
        <w:rPr>
          <w:rFonts w:hint="eastAsia"/>
          <w:bCs/>
          <w:lang w:eastAsia="zh-CN"/>
        </w:rPr>
        <w:t>开展的</w:t>
      </w:r>
      <w:r>
        <w:rPr>
          <w:rFonts w:hint="eastAsia"/>
          <w:lang w:eastAsia="zh-CN"/>
        </w:rPr>
        <w:t>研究的基础上，考虑采取适当规则行动，以便审议并在必要时修订第</w:t>
      </w:r>
      <w:r w:rsidRPr="00C20308">
        <w:rPr>
          <w:rFonts w:hint="eastAsia"/>
          <w:b/>
          <w:bCs/>
          <w:lang w:eastAsia="zh-CN"/>
        </w:rPr>
        <w:t>1</w:t>
      </w:r>
      <w:r w:rsidRPr="00C20308">
        <w:rPr>
          <w:b/>
          <w:bCs/>
          <w:lang w:eastAsia="zh-CN"/>
        </w:rPr>
        <w:t>55</w:t>
      </w:r>
      <w:r>
        <w:rPr>
          <w:rFonts w:hint="eastAsia"/>
          <w:lang w:eastAsia="zh-CN"/>
        </w:rPr>
        <w:t>号决议</w:t>
      </w:r>
      <w:r w:rsidRPr="0081661C">
        <w:rPr>
          <w:rFonts w:hint="eastAsia"/>
          <w:b/>
          <w:bCs/>
          <w:lang w:eastAsia="zh-CN"/>
        </w:rPr>
        <w:t>（</w:t>
      </w:r>
      <w:r w:rsidRPr="000F470D">
        <w:rPr>
          <w:b/>
          <w:lang w:eastAsia="zh-CN"/>
        </w:rPr>
        <w:t>WRC-1</w:t>
      </w:r>
      <w:r>
        <w:rPr>
          <w:rFonts w:hint="eastAsia"/>
          <w:b/>
          <w:lang w:eastAsia="zh-CN"/>
        </w:rPr>
        <w:t>9</w:t>
      </w:r>
      <w:r>
        <w:rPr>
          <w:rFonts w:hint="eastAsia"/>
          <w:b/>
          <w:lang w:eastAsia="zh-CN"/>
        </w:rPr>
        <w:t>，修订版</w:t>
      </w:r>
      <w:r w:rsidRPr="0081661C">
        <w:rPr>
          <w:rFonts w:hint="eastAsia"/>
          <w:b/>
          <w:bCs/>
          <w:lang w:eastAsia="zh-CN"/>
        </w:rPr>
        <w:t>）</w:t>
      </w:r>
      <w:r w:rsidRPr="0081661C">
        <w:rPr>
          <w:rFonts w:hint="eastAsia"/>
          <w:lang w:eastAsia="zh-CN"/>
        </w:rPr>
        <w:t>和</w:t>
      </w:r>
      <w:r>
        <w:rPr>
          <w:rFonts w:hint="eastAsia"/>
          <w:lang w:eastAsia="zh-CN"/>
        </w:rPr>
        <w:t>第</w:t>
      </w:r>
      <w:r w:rsidRPr="000F470D">
        <w:rPr>
          <w:b/>
          <w:lang w:eastAsia="zh-CN"/>
        </w:rPr>
        <w:t>5.484B</w:t>
      </w:r>
      <w:r w:rsidRPr="0081661C">
        <w:rPr>
          <w:rFonts w:hint="eastAsia"/>
          <w:bCs/>
          <w:lang w:eastAsia="zh-CN"/>
        </w:rPr>
        <w:t>款</w:t>
      </w:r>
      <w:r>
        <w:rPr>
          <w:rFonts w:hint="eastAsia"/>
          <w:lang w:eastAsia="zh-CN"/>
        </w:rPr>
        <w:t>，从而满足无人机系统的控制和非有效载荷通信对卫星固定业务的使用；</w:t>
      </w:r>
    </w:p>
    <w:p w14:paraId="3AD4D72F" w14:textId="77777777" w:rsidR="00795AF8" w:rsidRDefault="00795AF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1CE7E370" w14:textId="3CD7B8AF" w:rsidR="00C87A66" w:rsidRPr="005D1E77" w:rsidRDefault="00C87A66" w:rsidP="00C87A66">
      <w:pPr>
        <w:rPr>
          <w:lang w:val="en-US" w:eastAsia="zh-CN"/>
        </w:rPr>
      </w:pPr>
      <w:r w:rsidRPr="005D1E77">
        <w:rPr>
          <w:lang w:val="en-US" w:eastAsia="zh-CN"/>
        </w:rPr>
        <w:lastRenderedPageBreak/>
        <w:t>1.</w:t>
      </w:r>
      <w:r>
        <w:rPr>
          <w:rFonts w:hint="eastAsia"/>
          <w:lang w:val="en-US" w:eastAsia="zh-CN"/>
        </w:rPr>
        <w:t>9</w:t>
      </w:r>
      <w:r w:rsidRPr="005D1E77">
        <w:rPr>
          <w:lang w:val="en-US" w:eastAsia="zh-CN"/>
        </w:rPr>
        <w:tab/>
      </w:r>
      <w:r w:rsidRPr="00307C25">
        <w:rPr>
          <w:rFonts w:hint="eastAsia"/>
          <w:lang w:eastAsia="zh-CN"/>
        </w:rPr>
        <w:t>根据</w:t>
      </w:r>
      <w:r>
        <w:rPr>
          <w:rFonts w:hint="eastAsia"/>
          <w:lang w:eastAsia="zh-CN"/>
        </w:rPr>
        <w:t>第</w:t>
      </w:r>
      <w:r w:rsidRPr="00B507B5">
        <w:rPr>
          <w:b/>
          <w:lang w:eastAsia="zh-CN"/>
        </w:rPr>
        <w:t>429</w:t>
      </w:r>
      <w:r w:rsidRPr="00307C25">
        <w:rPr>
          <w:rFonts w:hint="eastAsia"/>
          <w:lang w:eastAsia="zh-CN"/>
        </w:rPr>
        <w:t>号决议</w:t>
      </w:r>
      <w:r w:rsidRPr="00307C25">
        <w:rPr>
          <w:rFonts w:hint="eastAsia"/>
          <w:b/>
          <w:lang w:eastAsia="zh-CN"/>
        </w:rPr>
        <w:t>（</w:t>
      </w:r>
      <w:r w:rsidRPr="00307C25">
        <w:rPr>
          <w:b/>
          <w:lang w:eastAsia="zh-CN"/>
        </w:rPr>
        <w:t>WRC-19</w:t>
      </w:r>
      <w:r w:rsidRPr="00307C25">
        <w:rPr>
          <w:rFonts w:hint="eastAsia"/>
          <w:b/>
          <w:lang w:eastAsia="zh-CN"/>
        </w:rPr>
        <w:t>）</w:t>
      </w:r>
      <w:r w:rsidRPr="00BD4658">
        <w:rPr>
          <w:rFonts w:hint="eastAsia"/>
          <w:bCs/>
          <w:lang w:eastAsia="zh-CN"/>
        </w:rPr>
        <w:t>，</w:t>
      </w:r>
      <w:r>
        <w:rPr>
          <w:rFonts w:hint="eastAsia"/>
          <w:bCs/>
          <w:lang w:eastAsia="zh-CN"/>
        </w:rPr>
        <w:t>在</w:t>
      </w:r>
      <w:r w:rsidRPr="00B507B5">
        <w:rPr>
          <w:lang w:eastAsia="zh-CN"/>
        </w:rPr>
        <w:t>ITU-R</w:t>
      </w:r>
      <w:r w:rsidRPr="00B507B5">
        <w:rPr>
          <w:rFonts w:hint="eastAsia"/>
          <w:lang w:eastAsia="zh-CN"/>
        </w:rPr>
        <w:t>研究的基础上</w:t>
      </w:r>
      <w:r w:rsidRPr="00307C25">
        <w:rPr>
          <w:rFonts w:hint="eastAsia"/>
          <w:bCs/>
          <w:lang w:eastAsia="zh-CN"/>
        </w:rPr>
        <w:t>审议</w:t>
      </w:r>
      <w:r w:rsidRPr="00B507B5">
        <w:rPr>
          <w:rFonts w:hint="eastAsia"/>
          <w:lang w:eastAsia="zh-CN"/>
        </w:rPr>
        <w:t>《无线电规则》附录</w:t>
      </w:r>
      <w:r w:rsidRPr="00B507B5">
        <w:rPr>
          <w:b/>
          <w:bCs/>
          <w:lang w:eastAsia="zh-CN"/>
        </w:rPr>
        <w:t>27</w:t>
      </w:r>
      <w:r w:rsidRPr="00B507B5">
        <w:rPr>
          <w:rFonts w:hint="eastAsia"/>
          <w:lang w:eastAsia="zh-CN"/>
        </w:rPr>
        <w:t>并考虑适当的规则行动和更新，以便将划分给航空移动（</w:t>
      </w:r>
      <w:r w:rsidRPr="00B507B5">
        <w:rPr>
          <w:lang w:eastAsia="zh-CN"/>
        </w:rPr>
        <w:t>R</w:t>
      </w:r>
      <w:r w:rsidRPr="00B507B5">
        <w:rPr>
          <w:rFonts w:hint="eastAsia"/>
          <w:lang w:eastAsia="zh-CN"/>
        </w:rPr>
        <w:t>）业务的现有</w:t>
      </w:r>
      <w:r w:rsidRPr="00B507B5">
        <w:rPr>
          <w:lang w:eastAsia="zh-CN"/>
        </w:rPr>
        <w:t>HF</w:t>
      </w:r>
      <w:r>
        <w:rPr>
          <w:rFonts w:hint="eastAsia"/>
          <w:lang w:eastAsia="zh-CN"/>
        </w:rPr>
        <w:t>频段</w:t>
      </w:r>
      <w:r w:rsidRPr="00B507B5">
        <w:rPr>
          <w:rFonts w:hint="eastAsia"/>
          <w:lang w:eastAsia="zh-CN"/>
        </w:rPr>
        <w:t>中的商用航空生命安全应用的数字技术包含在内</w:t>
      </w:r>
      <w:r>
        <w:rPr>
          <w:rFonts w:hint="eastAsia"/>
          <w:lang w:eastAsia="zh-CN"/>
        </w:rPr>
        <w:t>，并且确保当前的</w:t>
      </w:r>
      <w:r w:rsidRPr="00B507B5">
        <w:rPr>
          <w:lang w:eastAsia="zh-CN"/>
        </w:rPr>
        <w:t>HF</w:t>
      </w:r>
      <w:r w:rsidRPr="00B507B5">
        <w:rPr>
          <w:rFonts w:hint="eastAsia"/>
          <w:lang w:eastAsia="zh-CN"/>
        </w:rPr>
        <w:t>系统与现代化改造后的</w:t>
      </w:r>
      <w:r w:rsidRPr="00B507B5">
        <w:rPr>
          <w:lang w:eastAsia="zh-CN"/>
        </w:rPr>
        <w:t>HF</w:t>
      </w:r>
      <w:r>
        <w:rPr>
          <w:rFonts w:hint="eastAsia"/>
          <w:lang w:eastAsia="zh-CN"/>
        </w:rPr>
        <w:t>系统</w:t>
      </w:r>
      <w:r w:rsidRPr="00B507B5">
        <w:rPr>
          <w:rFonts w:hint="eastAsia"/>
          <w:lang w:eastAsia="zh-CN"/>
        </w:rPr>
        <w:t>的共存；</w:t>
      </w:r>
    </w:p>
    <w:p w14:paraId="070D073F" w14:textId="77777777" w:rsidR="00C87A66" w:rsidRPr="00E7229D" w:rsidRDefault="00C87A66" w:rsidP="00C87A66">
      <w:pPr>
        <w:rPr>
          <w:b/>
          <w:lang w:val="en-US" w:eastAsia="zh-CN"/>
        </w:rPr>
      </w:pPr>
      <w:r w:rsidRPr="00E7229D">
        <w:rPr>
          <w:lang w:val="en-US" w:eastAsia="zh-CN"/>
        </w:rPr>
        <w:t>1.</w:t>
      </w:r>
      <w:r>
        <w:rPr>
          <w:rFonts w:hint="eastAsia"/>
          <w:lang w:val="en-US" w:eastAsia="zh-CN"/>
        </w:rPr>
        <w:t>10</w:t>
      </w:r>
      <w:r w:rsidRPr="00E7229D">
        <w:rPr>
          <w:lang w:val="en-US" w:eastAsia="zh-CN"/>
        </w:rPr>
        <w:tab/>
      </w:r>
      <w:r w:rsidRPr="0065085C">
        <w:rPr>
          <w:szCs w:val="24"/>
          <w:lang w:eastAsia="zh-CN"/>
        </w:rPr>
        <w:t>根据第</w:t>
      </w:r>
      <w:r w:rsidRPr="00B507B5">
        <w:rPr>
          <w:rFonts w:cs="Traditional Arabic"/>
          <w:b/>
          <w:bCs/>
          <w:lang w:eastAsia="zh-CN"/>
        </w:rPr>
        <w:t>430</w:t>
      </w:r>
      <w:r w:rsidRPr="0065085C">
        <w:rPr>
          <w:bCs/>
          <w:szCs w:val="24"/>
          <w:lang w:eastAsia="zh-CN"/>
        </w:rPr>
        <w:t>号决议</w:t>
      </w:r>
      <w:r w:rsidRPr="0065085C">
        <w:rPr>
          <w:b/>
          <w:bCs/>
          <w:szCs w:val="24"/>
          <w:lang w:eastAsia="zh-CN"/>
        </w:rPr>
        <w:t>（</w:t>
      </w:r>
      <w:r w:rsidRPr="0065085C">
        <w:rPr>
          <w:b/>
          <w:bCs/>
          <w:szCs w:val="24"/>
          <w:lang w:eastAsia="zh-CN"/>
        </w:rPr>
        <w:t>WRC-19</w:t>
      </w:r>
      <w:r w:rsidRPr="0065085C">
        <w:rPr>
          <w:b/>
          <w:bCs/>
          <w:szCs w:val="24"/>
          <w:lang w:eastAsia="zh-CN"/>
        </w:rPr>
        <w:t>）</w:t>
      </w:r>
      <w:r w:rsidRPr="00CB7FDE">
        <w:rPr>
          <w:szCs w:val="24"/>
          <w:lang w:eastAsia="zh-CN"/>
        </w:rPr>
        <w:t>，</w:t>
      </w:r>
      <w:r w:rsidRPr="0065085C">
        <w:rPr>
          <w:szCs w:val="24"/>
          <w:lang w:eastAsia="zh-CN"/>
        </w:rPr>
        <w:t>为</w:t>
      </w:r>
      <w:r>
        <w:rPr>
          <w:rFonts w:hint="eastAsia"/>
          <w:szCs w:val="24"/>
          <w:lang w:eastAsia="zh-CN"/>
        </w:rPr>
        <w:t>航空移动业务</w:t>
      </w:r>
      <w:r w:rsidRPr="0065085C">
        <w:rPr>
          <w:szCs w:val="24"/>
          <w:lang w:eastAsia="zh-CN"/>
        </w:rPr>
        <w:t>可能引入新的非安全航空移动应用开展有关频谱需求、与无线电通信业务的共存和规则措施的研究；</w:t>
      </w:r>
    </w:p>
    <w:p w14:paraId="19DBC146" w14:textId="77777777" w:rsidR="00C87A66" w:rsidRDefault="00C87A66" w:rsidP="00C87A66">
      <w:pPr>
        <w:rPr>
          <w:lang w:eastAsia="zh-CN"/>
        </w:rPr>
      </w:pPr>
      <w:r>
        <w:rPr>
          <w:rFonts w:hint="eastAsia"/>
          <w:bCs/>
          <w:lang w:eastAsia="zh-CN"/>
        </w:rPr>
        <w:t>1</w:t>
      </w:r>
      <w:r>
        <w:rPr>
          <w:bCs/>
          <w:lang w:eastAsia="zh-CN"/>
        </w:rPr>
        <w:t>.</w:t>
      </w:r>
      <w:r>
        <w:rPr>
          <w:rFonts w:hint="eastAsia"/>
          <w:bCs/>
          <w:lang w:eastAsia="zh-CN"/>
        </w:rPr>
        <w:t>11</w:t>
      </w:r>
      <w:r w:rsidRPr="00E45F3B">
        <w:rPr>
          <w:b/>
          <w:lang w:eastAsia="zh-CN"/>
        </w:rPr>
        <w:tab/>
      </w:r>
      <w:r w:rsidRPr="00F7093D">
        <w:rPr>
          <w:rFonts w:hint="eastAsia"/>
          <w:bCs/>
          <w:lang w:eastAsia="zh-CN"/>
        </w:rPr>
        <w:t>根据第</w:t>
      </w:r>
      <w:r w:rsidRPr="00F7093D">
        <w:rPr>
          <w:rFonts w:hint="eastAsia"/>
          <w:b/>
          <w:lang w:eastAsia="zh-CN"/>
        </w:rPr>
        <w:t>361</w:t>
      </w:r>
      <w:r w:rsidRPr="00F7093D">
        <w:rPr>
          <w:rFonts w:hint="eastAsia"/>
          <w:bCs/>
          <w:lang w:eastAsia="zh-CN"/>
        </w:rPr>
        <w:t>号决议</w:t>
      </w:r>
      <w:r w:rsidRPr="00F7093D">
        <w:rPr>
          <w:rFonts w:hint="eastAsia"/>
          <w:b/>
          <w:lang w:eastAsia="zh-CN"/>
        </w:rPr>
        <w:t>（</w:t>
      </w:r>
      <w:r w:rsidRPr="00F7093D">
        <w:rPr>
          <w:rFonts w:hint="eastAsia"/>
          <w:b/>
          <w:lang w:eastAsia="zh-CN"/>
        </w:rPr>
        <w:t>WRC-19</w:t>
      </w:r>
      <w:r w:rsidRPr="00F7093D">
        <w:rPr>
          <w:rFonts w:hint="eastAsia"/>
          <w:b/>
          <w:lang w:eastAsia="zh-CN"/>
        </w:rPr>
        <w:t>，修订版）</w:t>
      </w:r>
      <w:r w:rsidRPr="00F7093D">
        <w:rPr>
          <w:rFonts w:hint="eastAsia"/>
          <w:bCs/>
          <w:lang w:eastAsia="zh-CN"/>
        </w:rPr>
        <w:t>，</w:t>
      </w:r>
      <w:r>
        <w:rPr>
          <w:rFonts w:hint="eastAsia"/>
          <w:bCs/>
          <w:lang w:eastAsia="zh-CN"/>
        </w:rPr>
        <w:t>审议</w:t>
      </w:r>
      <w:r w:rsidRPr="00F7093D">
        <w:rPr>
          <w:rFonts w:hint="eastAsia"/>
          <w:bCs/>
          <w:lang w:eastAsia="zh-CN"/>
        </w:rPr>
        <w:t>可能的</w:t>
      </w:r>
      <w:r>
        <w:rPr>
          <w:rFonts w:hint="eastAsia"/>
          <w:bCs/>
          <w:lang w:eastAsia="zh-CN"/>
        </w:rPr>
        <w:t>规则行动</w:t>
      </w:r>
      <w:r w:rsidRPr="00F7093D">
        <w:rPr>
          <w:rFonts w:hint="eastAsia"/>
          <w:bCs/>
          <w:lang w:eastAsia="zh-CN"/>
        </w:rPr>
        <w:t>，</w:t>
      </w:r>
      <w:r>
        <w:rPr>
          <w:rFonts w:hint="eastAsia"/>
          <w:bCs/>
          <w:lang w:eastAsia="zh-CN"/>
        </w:rPr>
        <w:t>以</w:t>
      </w:r>
      <w:r w:rsidRPr="00F7093D">
        <w:rPr>
          <w:rFonts w:hint="eastAsia"/>
          <w:bCs/>
          <w:lang w:eastAsia="zh-CN"/>
        </w:rPr>
        <w:t>支持全球</w:t>
      </w:r>
      <w:r>
        <w:rPr>
          <w:rFonts w:hint="eastAsia"/>
          <w:bCs/>
          <w:lang w:eastAsia="zh-CN"/>
        </w:rPr>
        <w:t>水上</w:t>
      </w:r>
      <w:r w:rsidRPr="00F7093D">
        <w:rPr>
          <w:rFonts w:hint="eastAsia"/>
          <w:bCs/>
          <w:lang w:eastAsia="zh-CN"/>
        </w:rPr>
        <w:t>遇险和安全系统</w:t>
      </w:r>
      <w:r w:rsidRPr="00C553B9">
        <w:rPr>
          <w:rFonts w:hint="eastAsia"/>
          <w:bCs/>
          <w:lang w:val="en-US" w:eastAsia="zh-CN"/>
        </w:rPr>
        <w:t>（</w:t>
      </w:r>
      <w:r w:rsidRPr="00C553B9">
        <w:rPr>
          <w:rFonts w:hint="eastAsia"/>
          <w:bCs/>
          <w:lang w:val="en-US" w:eastAsia="zh-CN"/>
        </w:rPr>
        <w:t>GMDSS</w:t>
      </w:r>
      <w:r w:rsidRPr="00C553B9">
        <w:rPr>
          <w:rFonts w:hint="eastAsia"/>
          <w:bCs/>
          <w:lang w:val="en-US" w:eastAsia="zh-CN"/>
        </w:rPr>
        <w:t>）</w:t>
      </w:r>
      <w:r w:rsidRPr="00F7093D">
        <w:rPr>
          <w:rFonts w:hint="eastAsia"/>
          <w:bCs/>
          <w:lang w:eastAsia="zh-CN"/>
        </w:rPr>
        <w:t>的现代化</w:t>
      </w:r>
      <w:r>
        <w:rPr>
          <w:rFonts w:hint="eastAsia"/>
          <w:bCs/>
          <w:lang w:eastAsia="zh-CN"/>
        </w:rPr>
        <w:t>，</w:t>
      </w:r>
      <w:r w:rsidRPr="00A716CF">
        <w:rPr>
          <w:bCs/>
          <w:lang w:eastAsia="zh-CN"/>
        </w:rPr>
        <w:t>并实施</w:t>
      </w:r>
      <w:r>
        <w:rPr>
          <w:rFonts w:hint="eastAsia"/>
          <w:bCs/>
          <w:lang w:eastAsia="zh-CN"/>
        </w:rPr>
        <w:t>电子</w:t>
      </w:r>
      <w:r w:rsidRPr="00A716CF">
        <w:rPr>
          <w:bCs/>
          <w:lang w:eastAsia="zh-CN"/>
        </w:rPr>
        <w:t>航</w:t>
      </w:r>
      <w:r w:rsidRPr="00A716CF">
        <w:rPr>
          <w:rFonts w:hint="eastAsia"/>
          <w:bCs/>
          <w:lang w:eastAsia="zh-CN"/>
        </w:rPr>
        <w:t>海</w:t>
      </w:r>
      <w:r>
        <w:rPr>
          <w:rFonts w:hint="eastAsia"/>
          <w:bCs/>
          <w:lang w:eastAsia="zh-CN"/>
        </w:rPr>
        <w:t>（</w:t>
      </w:r>
      <w:r w:rsidRPr="00A716CF">
        <w:rPr>
          <w:bCs/>
          <w:lang w:eastAsia="zh-CN"/>
        </w:rPr>
        <w:t>e</w:t>
      </w:r>
      <w:r>
        <w:rPr>
          <w:rFonts w:hint="eastAsia"/>
          <w:bCs/>
          <w:lang w:eastAsia="zh-CN"/>
        </w:rPr>
        <w:t>-</w:t>
      </w:r>
      <w:r>
        <w:rPr>
          <w:bCs/>
          <w:lang w:eastAsia="zh-CN"/>
        </w:rPr>
        <w:t>navigation</w:t>
      </w:r>
      <w:r>
        <w:rPr>
          <w:rFonts w:hint="eastAsia"/>
          <w:bCs/>
          <w:lang w:eastAsia="zh-CN"/>
        </w:rPr>
        <w:t>）</w:t>
      </w:r>
      <w:r w:rsidRPr="00F7093D">
        <w:rPr>
          <w:rFonts w:hint="eastAsia"/>
          <w:bCs/>
          <w:lang w:eastAsia="zh-CN"/>
        </w:rPr>
        <w:t>；</w:t>
      </w:r>
    </w:p>
    <w:p w14:paraId="1E92558D" w14:textId="77777777" w:rsidR="00C87A66" w:rsidRPr="005D1E77" w:rsidRDefault="00C87A66" w:rsidP="00C87A66">
      <w:pPr>
        <w:rPr>
          <w:lang w:eastAsia="zh-CN"/>
        </w:rPr>
      </w:pPr>
      <w:r w:rsidRPr="00C058E5">
        <w:rPr>
          <w:lang w:eastAsia="zh-CN"/>
        </w:rPr>
        <w:t>1.</w:t>
      </w:r>
      <w:r w:rsidRPr="00C058E5">
        <w:rPr>
          <w:rFonts w:hint="eastAsia"/>
          <w:lang w:eastAsia="zh-CN"/>
        </w:rPr>
        <w:t>12</w:t>
      </w:r>
      <w:r w:rsidRPr="00C058E5">
        <w:rPr>
          <w:lang w:eastAsia="zh-CN"/>
        </w:rPr>
        <w:tab/>
      </w:r>
      <w:r w:rsidRPr="00C058E5">
        <w:rPr>
          <w:rFonts w:hint="eastAsia"/>
          <w:lang w:eastAsia="zh-CN"/>
        </w:rPr>
        <w:t>根据</w:t>
      </w:r>
      <w:r w:rsidRPr="00D73CEC">
        <w:rPr>
          <w:rFonts w:hint="eastAsia"/>
          <w:lang w:eastAsia="zh-CN"/>
        </w:rPr>
        <w:t>第</w:t>
      </w:r>
      <w:r>
        <w:rPr>
          <w:b/>
          <w:bCs/>
          <w:lang w:eastAsia="zh-CN"/>
        </w:rPr>
        <w:t>656</w:t>
      </w:r>
      <w:r w:rsidRPr="00D73CEC">
        <w:rPr>
          <w:rFonts w:hint="eastAsia"/>
          <w:lang w:eastAsia="zh-CN"/>
        </w:rPr>
        <w:t>号决议</w:t>
      </w:r>
      <w:r w:rsidRPr="00673483">
        <w:rPr>
          <w:rFonts w:hint="eastAsia"/>
          <w:b/>
          <w:bCs/>
          <w:lang w:eastAsia="zh-CN"/>
        </w:rPr>
        <w:t>（</w:t>
      </w:r>
      <w:r w:rsidRPr="00673483">
        <w:rPr>
          <w:b/>
          <w:bCs/>
          <w:lang w:eastAsia="zh-CN"/>
        </w:rPr>
        <w:t>WRC</w:t>
      </w:r>
      <w:r>
        <w:rPr>
          <w:rFonts w:hint="eastAsia"/>
          <w:b/>
          <w:bCs/>
          <w:lang w:eastAsia="zh-CN"/>
        </w:rPr>
        <w:t>-19</w:t>
      </w:r>
      <w:r>
        <w:rPr>
          <w:rFonts w:hint="eastAsia"/>
          <w:b/>
          <w:bCs/>
          <w:lang w:eastAsia="zh-CN"/>
        </w:rPr>
        <w:t>，修订版</w:t>
      </w:r>
      <w:r w:rsidRPr="00673483">
        <w:rPr>
          <w:rFonts w:hint="eastAsia"/>
          <w:b/>
          <w:bCs/>
          <w:lang w:eastAsia="zh-CN"/>
        </w:rPr>
        <w:t>）</w:t>
      </w:r>
      <w:r>
        <w:rPr>
          <w:rFonts w:hint="eastAsia"/>
          <w:b/>
          <w:bCs/>
          <w:lang w:eastAsia="zh-CN"/>
        </w:rPr>
        <w:t>，</w:t>
      </w:r>
      <w:r w:rsidRPr="00F93780">
        <w:rPr>
          <w:rFonts w:hint="eastAsia"/>
          <w:lang w:eastAsia="zh-CN"/>
        </w:rPr>
        <w:t>在考虑到对现有业务，包括</w:t>
      </w:r>
      <w:r>
        <w:rPr>
          <w:rFonts w:hint="eastAsia"/>
          <w:lang w:eastAsia="zh-CN"/>
        </w:rPr>
        <w:t>对</w:t>
      </w:r>
      <w:r w:rsidRPr="00F93780">
        <w:rPr>
          <w:rFonts w:hint="eastAsia"/>
          <w:lang w:eastAsia="zh-CN"/>
        </w:rPr>
        <w:t>相邻频段中业务的保护情况下，</w:t>
      </w:r>
      <w:r w:rsidRPr="00D73CEC">
        <w:rPr>
          <w:rFonts w:hint="eastAsia"/>
          <w:lang w:eastAsia="zh-CN"/>
        </w:rPr>
        <w:t>在</w:t>
      </w:r>
      <w:r w:rsidRPr="00D73CEC">
        <w:rPr>
          <w:lang w:eastAsia="zh-CN"/>
        </w:rPr>
        <w:t>WRC-23</w:t>
      </w:r>
      <w:r w:rsidRPr="00D73CEC">
        <w:rPr>
          <w:rFonts w:hint="eastAsia"/>
          <w:lang w:eastAsia="zh-CN"/>
        </w:rPr>
        <w:t>之前开展并完成在</w:t>
      </w:r>
      <w:r w:rsidRPr="00D73CEC">
        <w:rPr>
          <w:lang w:eastAsia="zh-CN"/>
        </w:rPr>
        <w:t>45 MHz</w:t>
      </w:r>
      <w:r w:rsidRPr="00D73CEC">
        <w:rPr>
          <w:rFonts w:hint="eastAsia"/>
          <w:lang w:eastAsia="zh-CN"/>
        </w:rPr>
        <w:t>附近频率范围内可能给予卫星地球探测业务（有源）一个新</w:t>
      </w:r>
      <w:r>
        <w:rPr>
          <w:rFonts w:hint="eastAsia"/>
          <w:lang w:eastAsia="zh-CN"/>
        </w:rPr>
        <w:t>的</w:t>
      </w:r>
      <w:r w:rsidRPr="00B507B5">
        <w:rPr>
          <w:rFonts w:hint="eastAsia"/>
          <w:lang w:eastAsia="zh-CN"/>
        </w:rPr>
        <w:t>次要</w:t>
      </w:r>
      <w:r w:rsidRPr="00D73CEC">
        <w:rPr>
          <w:rFonts w:hint="eastAsia"/>
          <w:lang w:eastAsia="zh-CN"/>
        </w:rPr>
        <w:t>划分、用于</w:t>
      </w:r>
      <w:bookmarkStart w:id="1955" w:name="_Hlk46929500"/>
      <w:r w:rsidRPr="00D73CEC">
        <w:rPr>
          <w:rFonts w:hint="eastAsia"/>
          <w:lang w:eastAsia="zh-CN"/>
        </w:rPr>
        <w:t>星载雷达探测器</w:t>
      </w:r>
      <w:bookmarkEnd w:id="1955"/>
      <w:r w:rsidRPr="00D73CEC">
        <w:rPr>
          <w:rFonts w:hint="eastAsia"/>
          <w:lang w:eastAsia="zh-CN"/>
        </w:rPr>
        <w:t>的研究</w:t>
      </w:r>
      <w:r w:rsidRPr="00B507B5">
        <w:rPr>
          <w:rFonts w:hint="eastAsia"/>
          <w:lang w:eastAsia="zh-CN"/>
        </w:rPr>
        <w:t>；</w:t>
      </w:r>
    </w:p>
    <w:p w14:paraId="6EE8C1C2" w14:textId="77777777" w:rsidR="00C87A66" w:rsidRPr="00A4201C" w:rsidRDefault="00C87A66" w:rsidP="00C87A66">
      <w:pPr>
        <w:rPr>
          <w:lang w:eastAsia="zh-CN"/>
        </w:rPr>
      </w:pPr>
      <w:r>
        <w:rPr>
          <w:rFonts w:hint="eastAsia"/>
          <w:lang w:eastAsia="zh-CN"/>
        </w:rPr>
        <w:t>1</w:t>
      </w:r>
      <w:r>
        <w:rPr>
          <w:lang w:eastAsia="zh-CN"/>
        </w:rPr>
        <w:t>.</w:t>
      </w:r>
      <w:r>
        <w:rPr>
          <w:rFonts w:hint="eastAsia"/>
          <w:lang w:eastAsia="zh-CN"/>
        </w:rPr>
        <w:t>13</w:t>
      </w:r>
      <w:r w:rsidRPr="00C904CD">
        <w:rPr>
          <w:lang w:eastAsia="zh-CN"/>
        </w:rPr>
        <w:tab/>
      </w:r>
      <w:r>
        <w:rPr>
          <w:lang w:eastAsia="zh-CN"/>
        </w:rPr>
        <w:t>根据</w:t>
      </w:r>
      <w:r w:rsidRPr="002F70E7">
        <w:rPr>
          <w:rFonts w:hint="eastAsia"/>
          <w:lang w:eastAsia="zh-CN"/>
        </w:rPr>
        <w:t>第</w:t>
      </w:r>
      <w:r w:rsidRPr="00B507B5">
        <w:rPr>
          <w:rFonts w:cs="Traditional Arabic"/>
          <w:b/>
          <w:bCs/>
          <w:lang w:eastAsia="zh-CN"/>
        </w:rPr>
        <w:t>661</w:t>
      </w:r>
      <w:r w:rsidRPr="002F70E7">
        <w:rPr>
          <w:rFonts w:hint="eastAsia"/>
          <w:lang w:eastAsia="zh-CN"/>
        </w:rPr>
        <w:t>号决议</w:t>
      </w:r>
      <w:r w:rsidRPr="00B23A64">
        <w:rPr>
          <w:rFonts w:hint="eastAsia"/>
          <w:b/>
          <w:bCs/>
          <w:lang w:eastAsia="zh-CN"/>
        </w:rPr>
        <w:t>（</w:t>
      </w:r>
      <w:r w:rsidRPr="00B23A64">
        <w:rPr>
          <w:rFonts w:hint="eastAsia"/>
          <w:b/>
          <w:bCs/>
          <w:lang w:eastAsia="zh-CN"/>
        </w:rPr>
        <w:t>WRC-19</w:t>
      </w:r>
      <w:r w:rsidRPr="00B23A64">
        <w:rPr>
          <w:rFonts w:hint="eastAsia"/>
          <w:b/>
          <w:bCs/>
          <w:lang w:eastAsia="zh-CN"/>
        </w:rPr>
        <w:t>）</w:t>
      </w:r>
      <w:r>
        <w:rPr>
          <w:rFonts w:hint="eastAsia"/>
          <w:lang w:eastAsia="zh-CN"/>
        </w:rPr>
        <w:t>，</w:t>
      </w:r>
      <w:r w:rsidRPr="00B507B5">
        <w:rPr>
          <w:rFonts w:hint="eastAsia"/>
          <w:lang w:eastAsia="zh-CN"/>
        </w:rPr>
        <w:t>考虑</w:t>
      </w:r>
      <w:r>
        <w:rPr>
          <w:rFonts w:hint="eastAsia"/>
          <w:lang w:eastAsia="zh-CN"/>
        </w:rPr>
        <w:t>将</w:t>
      </w:r>
      <w:r w:rsidRPr="00346CA9">
        <w:rPr>
          <w:lang w:eastAsia="zh-CN"/>
        </w:rPr>
        <w:t>14.8-15.35</w:t>
      </w:r>
      <w:r>
        <w:rPr>
          <w:lang w:val="en-US" w:eastAsia="zh-CN"/>
        </w:rPr>
        <w:t> </w:t>
      </w:r>
      <w:r w:rsidRPr="00346CA9">
        <w:rPr>
          <w:lang w:eastAsia="zh-CN"/>
        </w:rPr>
        <w:t>GHz</w:t>
      </w:r>
      <w:r w:rsidRPr="00346CA9">
        <w:rPr>
          <w:lang w:eastAsia="zh-CN"/>
        </w:rPr>
        <w:t>频段</w:t>
      </w:r>
      <w:r>
        <w:rPr>
          <w:rFonts w:hint="eastAsia"/>
          <w:lang w:eastAsia="zh-CN"/>
        </w:rPr>
        <w:t>内</w:t>
      </w:r>
      <w:r w:rsidRPr="00346CA9">
        <w:rPr>
          <w:lang w:eastAsia="zh-CN"/>
        </w:rPr>
        <w:t>空间研究业务</w:t>
      </w:r>
      <w:r>
        <w:rPr>
          <w:rFonts w:hint="eastAsia"/>
          <w:lang w:eastAsia="zh-CN"/>
        </w:rPr>
        <w:t>的划分升级</w:t>
      </w:r>
      <w:r w:rsidRPr="00346CA9">
        <w:rPr>
          <w:lang w:eastAsia="zh-CN"/>
        </w:rPr>
        <w:t>的可能性；</w:t>
      </w:r>
    </w:p>
    <w:p w14:paraId="725E30E0" w14:textId="77777777" w:rsidR="00C87A66" w:rsidRPr="00A4201C" w:rsidRDefault="00C87A66" w:rsidP="00C87A66">
      <w:pPr>
        <w:rPr>
          <w:lang w:val="en-US" w:eastAsia="zh-CN"/>
        </w:rPr>
      </w:pPr>
      <w:r>
        <w:rPr>
          <w:lang w:val="en-US" w:eastAsia="zh-CN"/>
        </w:rPr>
        <w:t>1.14</w:t>
      </w:r>
      <w:r w:rsidRPr="00A4201C">
        <w:rPr>
          <w:lang w:val="en-US" w:eastAsia="zh-CN"/>
        </w:rPr>
        <w:tab/>
      </w:r>
      <w:r w:rsidRPr="00682E08">
        <w:rPr>
          <w:rFonts w:hint="eastAsia"/>
          <w:lang w:eastAsia="zh-CN"/>
        </w:rPr>
        <w:t>根据第</w:t>
      </w:r>
      <w:r w:rsidRPr="00B507B5">
        <w:rPr>
          <w:rFonts w:cs="Traditional Arabic"/>
          <w:b/>
          <w:bCs/>
          <w:lang w:eastAsia="zh-CN"/>
        </w:rPr>
        <w:t>662</w:t>
      </w:r>
      <w:r w:rsidRPr="00682E08">
        <w:rPr>
          <w:rFonts w:hint="eastAsia"/>
          <w:lang w:eastAsia="zh-CN"/>
        </w:rPr>
        <w:t>号决议</w:t>
      </w:r>
      <w:r w:rsidRPr="00682E08">
        <w:rPr>
          <w:rFonts w:hint="eastAsia"/>
          <w:b/>
          <w:bCs/>
          <w:lang w:eastAsia="zh-CN"/>
        </w:rPr>
        <w:t>（</w:t>
      </w:r>
      <w:r w:rsidRPr="00682E08">
        <w:rPr>
          <w:b/>
          <w:bCs/>
          <w:lang w:eastAsia="zh-CN"/>
        </w:rPr>
        <w:t>WRC-19</w:t>
      </w:r>
      <w:r w:rsidRPr="00682E08">
        <w:rPr>
          <w:rFonts w:hint="eastAsia"/>
          <w:b/>
          <w:bCs/>
          <w:lang w:eastAsia="zh-CN"/>
        </w:rPr>
        <w:t>）</w:t>
      </w:r>
      <w:r w:rsidRPr="00682E08">
        <w:rPr>
          <w:rFonts w:hint="eastAsia"/>
          <w:lang w:eastAsia="zh-CN"/>
        </w:rPr>
        <w:t>，审议并考虑在</w:t>
      </w:r>
      <w:r w:rsidRPr="00682E08">
        <w:rPr>
          <w:lang w:eastAsia="zh-CN"/>
        </w:rPr>
        <w:t>231.5</w:t>
      </w:r>
      <w:r>
        <w:rPr>
          <w:lang w:val="en-US" w:eastAsia="zh-CN"/>
        </w:rPr>
        <w:t> </w:t>
      </w:r>
      <w:r>
        <w:rPr>
          <w:lang w:eastAsia="zh-CN"/>
        </w:rPr>
        <w:t>-</w:t>
      </w:r>
      <w:r>
        <w:rPr>
          <w:lang w:val="en-US" w:eastAsia="zh-CN"/>
        </w:rPr>
        <w:t> </w:t>
      </w:r>
      <w:r w:rsidRPr="00682E08">
        <w:rPr>
          <w:lang w:eastAsia="zh-CN"/>
        </w:rPr>
        <w:t>252</w:t>
      </w:r>
      <w:r>
        <w:rPr>
          <w:lang w:val="en-US" w:eastAsia="zh-CN"/>
        </w:rPr>
        <w:t> </w:t>
      </w:r>
      <w:r w:rsidRPr="00682E08">
        <w:rPr>
          <w:lang w:eastAsia="zh-CN"/>
        </w:rPr>
        <w:t>GHz</w:t>
      </w:r>
      <w:r w:rsidRPr="00682E08">
        <w:rPr>
          <w:rFonts w:hint="eastAsia"/>
          <w:lang w:eastAsia="zh-CN"/>
        </w:rPr>
        <w:t>频率范围内对</w:t>
      </w:r>
      <w:r w:rsidRPr="00D73CEC">
        <w:rPr>
          <w:rFonts w:hint="eastAsia"/>
          <w:lang w:eastAsia="zh-CN"/>
        </w:rPr>
        <w:t>卫星地球探测</w:t>
      </w:r>
      <w:r>
        <w:rPr>
          <w:rFonts w:hint="eastAsia"/>
          <w:lang w:eastAsia="zh-CN"/>
        </w:rPr>
        <w:t>业务</w:t>
      </w:r>
      <w:r w:rsidRPr="00682E08">
        <w:rPr>
          <w:rFonts w:hint="eastAsia"/>
          <w:lang w:eastAsia="zh-CN"/>
        </w:rPr>
        <w:t>（无源）现有</w:t>
      </w:r>
      <w:r>
        <w:rPr>
          <w:rFonts w:hint="eastAsia"/>
          <w:lang w:eastAsia="zh-CN"/>
        </w:rPr>
        <w:t>频率</w:t>
      </w:r>
      <w:r w:rsidRPr="00682E08">
        <w:rPr>
          <w:rFonts w:hint="eastAsia"/>
          <w:lang w:eastAsia="zh-CN"/>
        </w:rPr>
        <w:t>划分的可能调整或可能</w:t>
      </w:r>
      <w:r>
        <w:rPr>
          <w:rFonts w:hint="eastAsia"/>
          <w:lang w:eastAsia="zh-CN"/>
        </w:rPr>
        <w:t>新增</w:t>
      </w:r>
      <w:r w:rsidRPr="00682E08">
        <w:rPr>
          <w:rFonts w:hint="eastAsia"/>
          <w:lang w:eastAsia="zh-CN"/>
        </w:rPr>
        <w:t>主要业务频率划分，以确保与更多最新的</w:t>
      </w:r>
      <w:r>
        <w:rPr>
          <w:rFonts w:hint="eastAsia"/>
          <w:lang w:eastAsia="zh-CN"/>
        </w:rPr>
        <w:t>遥感</w:t>
      </w:r>
      <w:r w:rsidRPr="00682E08">
        <w:rPr>
          <w:rFonts w:hint="eastAsia"/>
          <w:lang w:eastAsia="zh-CN"/>
        </w:rPr>
        <w:t>观测要求保持一致</w:t>
      </w:r>
      <w:r>
        <w:rPr>
          <w:rFonts w:hint="eastAsia"/>
          <w:lang w:eastAsia="zh-CN"/>
        </w:rPr>
        <w:t>；</w:t>
      </w:r>
    </w:p>
    <w:p w14:paraId="2285F5E4" w14:textId="77777777" w:rsidR="00C87A66" w:rsidRDefault="00C87A66" w:rsidP="00C87A66">
      <w:pPr>
        <w:rPr>
          <w:lang w:eastAsia="zh-CN"/>
        </w:rPr>
      </w:pPr>
      <w:r>
        <w:rPr>
          <w:lang w:eastAsia="zh-CN"/>
        </w:rPr>
        <w:t>1.15</w:t>
      </w:r>
      <w:r w:rsidRPr="00174BC7">
        <w:rPr>
          <w:lang w:eastAsia="zh-CN"/>
        </w:rPr>
        <w:tab/>
      </w:r>
      <w:r w:rsidRPr="00BD4658">
        <w:rPr>
          <w:rFonts w:hint="eastAsia"/>
          <w:lang w:eastAsia="zh-CN"/>
        </w:rPr>
        <w:t>根据第</w:t>
      </w:r>
      <w:r w:rsidRPr="00B507B5">
        <w:rPr>
          <w:rFonts w:cs="Traditional Arabic"/>
          <w:b/>
          <w:bCs/>
          <w:lang w:eastAsia="zh-CN"/>
        </w:rPr>
        <w:t>172</w:t>
      </w:r>
      <w:r w:rsidRPr="00BD4658">
        <w:rPr>
          <w:rFonts w:hint="eastAsia"/>
          <w:lang w:eastAsia="zh-CN"/>
        </w:rPr>
        <w:t>号决议</w:t>
      </w:r>
      <w:r w:rsidRPr="00BD4658">
        <w:rPr>
          <w:rFonts w:hint="eastAsia"/>
          <w:b/>
          <w:lang w:eastAsia="zh-CN"/>
        </w:rPr>
        <w:t>（</w:t>
      </w:r>
      <w:r w:rsidRPr="00BD4658">
        <w:rPr>
          <w:b/>
          <w:lang w:eastAsia="zh-CN"/>
        </w:rPr>
        <w:t>WRC-19</w:t>
      </w:r>
      <w:r w:rsidRPr="00BD4658">
        <w:rPr>
          <w:rFonts w:hint="eastAsia"/>
          <w:b/>
          <w:lang w:eastAsia="zh-CN"/>
        </w:rPr>
        <w:t>）</w:t>
      </w:r>
      <w:r w:rsidRPr="00BD4658">
        <w:rPr>
          <w:rFonts w:hint="eastAsia"/>
          <w:bCs/>
          <w:lang w:eastAsia="zh-CN"/>
        </w:rPr>
        <w:t>，</w:t>
      </w:r>
      <w:r>
        <w:rPr>
          <w:rFonts w:hint="eastAsia"/>
          <w:bCs/>
          <w:lang w:eastAsia="zh-CN"/>
        </w:rPr>
        <w:t>在</w:t>
      </w:r>
      <w:r w:rsidRPr="00B507B5">
        <w:rPr>
          <w:rFonts w:hint="eastAsia"/>
          <w:lang w:eastAsia="zh-CN"/>
        </w:rPr>
        <w:t>全球统一与卫星固定业务对地静止空间电台通信的机载和船载地球站对</w:t>
      </w:r>
      <w:r w:rsidRPr="00B507B5">
        <w:rPr>
          <w:lang w:eastAsia="zh-CN"/>
        </w:rPr>
        <w:t>12.75-13.25 GHz</w:t>
      </w:r>
      <w:r w:rsidRPr="00B507B5">
        <w:rPr>
          <w:rFonts w:hint="eastAsia"/>
          <w:lang w:eastAsia="zh-CN"/>
        </w:rPr>
        <w:t>频段（地对空）的使用；</w:t>
      </w:r>
    </w:p>
    <w:p w14:paraId="0836F0B1" w14:textId="77777777" w:rsidR="00C87A66" w:rsidRPr="00A716CF" w:rsidRDefault="00C87A66" w:rsidP="00C87A66">
      <w:pPr>
        <w:rPr>
          <w:szCs w:val="24"/>
          <w:lang w:val="en-US" w:eastAsia="zh-CN"/>
        </w:rPr>
      </w:pPr>
      <w:r w:rsidRPr="00B507B5">
        <w:rPr>
          <w:lang w:eastAsia="zh-CN"/>
        </w:rPr>
        <w:t>1.16</w:t>
      </w:r>
      <w:r w:rsidRPr="00A716CF">
        <w:rPr>
          <w:szCs w:val="24"/>
          <w:lang w:val="en-US" w:eastAsia="zh-CN"/>
        </w:rPr>
        <w:tab/>
      </w:r>
      <w:r w:rsidRPr="00A716CF">
        <w:rPr>
          <w:szCs w:val="24"/>
          <w:lang w:eastAsia="zh-CN"/>
        </w:rPr>
        <w:t>根据第</w:t>
      </w:r>
      <w:r w:rsidRPr="00B507B5">
        <w:rPr>
          <w:rFonts w:cs="Traditional Arabic"/>
          <w:b/>
          <w:bCs/>
          <w:lang w:eastAsia="zh-CN"/>
        </w:rPr>
        <w:t>173</w:t>
      </w:r>
      <w:r w:rsidRPr="00A716CF">
        <w:rPr>
          <w:szCs w:val="24"/>
          <w:lang w:eastAsia="zh-CN"/>
        </w:rPr>
        <w:t>号决议</w:t>
      </w:r>
      <w:r w:rsidRPr="00A716CF">
        <w:rPr>
          <w:b/>
          <w:szCs w:val="24"/>
          <w:lang w:eastAsia="zh-CN"/>
        </w:rPr>
        <w:t>（</w:t>
      </w:r>
      <w:r w:rsidRPr="00A716CF">
        <w:rPr>
          <w:b/>
          <w:szCs w:val="24"/>
          <w:lang w:eastAsia="zh-CN"/>
        </w:rPr>
        <w:t>WRC-19</w:t>
      </w:r>
      <w:r w:rsidRPr="00A716CF">
        <w:rPr>
          <w:b/>
          <w:szCs w:val="24"/>
          <w:lang w:eastAsia="zh-CN"/>
        </w:rPr>
        <w:t>）</w:t>
      </w:r>
      <w:r w:rsidRPr="00A716CF">
        <w:rPr>
          <w:bCs/>
          <w:szCs w:val="24"/>
          <w:lang w:eastAsia="zh-CN"/>
        </w:rPr>
        <w:t>，</w:t>
      </w:r>
      <w:r w:rsidRPr="00A716CF">
        <w:rPr>
          <w:szCs w:val="24"/>
          <w:lang w:eastAsia="zh-CN"/>
        </w:rPr>
        <w:t>研究和酌情制定技术、操作和规则措施，</w:t>
      </w:r>
      <w:r w:rsidRPr="00A716CF">
        <w:rPr>
          <w:bCs/>
          <w:szCs w:val="24"/>
          <w:lang w:eastAsia="zh-CN"/>
        </w:rPr>
        <w:t>以推动</w:t>
      </w:r>
      <w:r>
        <w:rPr>
          <w:rFonts w:hint="eastAsia"/>
          <w:bCs/>
          <w:szCs w:val="24"/>
          <w:lang w:eastAsia="zh-CN"/>
        </w:rPr>
        <w:t>非对地静止卫星固定业务</w:t>
      </w:r>
      <w:r>
        <w:rPr>
          <w:rFonts w:hint="eastAsia"/>
          <w:szCs w:val="24"/>
          <w:lang w:eastAsia="zh-CN"/>
        </w:rPr>
        <w:t>动中通地球站</w:t>
      </w:r>
      <w:r w:rsidRPr="00A716CF">
        <w:rPr>
          <w:szCs w:val="24"/>
          <w:lang w:eastAsia="zh-CN"/>
        </w:rPr>
        <w:t>使用</w:t>
      </w:r>
      <w:r w:rsidRPr="00A716CF">
        <w:rPr>
          <w:szCs w:val="24"/>
          <w:lang w:eastAsia="zh-CN"/>
        </w:rPr>
        <w:t>17.7-18.6</w:t>
      </w:r>
      <w:r w:rsidRPr="00A716CF">
        <w:rPr>
          <w:szCs w:val="24"/>
          <w:lang w:val="en-US" w:eastAsia="zh-CN"/>
        </w:rPr>
        <w:t> </w:t>
      </w:r>
      <w:r w:rsidRPr="00A716CF">
        <w:rPr>
          <w:szCs w:val="24"/>
          <w:lang w:eastAsia="zh-CN"/>
        </w:rPr>
        <w:t>GHz</w:t>
      </w:r>
      <w:r w:rsidRPr="00A716CF">
        <w:rPr>
          <w:szCs w:val="24"/>
          <w:lang w:eastAsia="zh-CN"/>
        </w:rPr>
        <w:t>、</w:t>
      </w:r>
      <w:r w:rsidRPr="00A716CF">
        <w:rPr>
          <w:szCs w:val="24"/>
          <w:lang w:eastAsia="zh-CN"/>
        </w:rPr>
        <w:t>18.8-19.3</w:t>
      </w:r>
      <w:r w:rsidRPr="00A716CF">
        <w:rPr>
          <w:szCs w:val="24"/>
          <w:lang w:val="en-US" w:eastAsia="zh-CN"/>
        </w:rPr>
        <w:t> </w:t>
      </w:r>
      <w:r w:rsidRPr="00A716CF">
        <w:rPr>
          <w:szCs w:val="24"/>
          <w:lang w:eastAsia="zh-CN"/>
        </w:rPr>
        <w:t>GHz</w:t>
      </w:r>
      <w:r w:rsidRPr="00A716CF">
        <w:rPr>
          <w:szCs w:val="24"/>
          <w:lang w:eastAsia="zh-CN"/>
        </w:rPr>
        <w:t>和</w:t>
      </w:r>
      <w:r w:rsidRPr="00A716CF">
        <w:rPr>
          <w:iCs/>
          <w:szCs w:val="24"/>
          <w:lang w:eastAsia="zh-CN"/>
        </w:rPr>
        <w:t>19.7-20.2</w:t>
      </w:r>
      <w:r w:rsidRPr="00A716CF">
        <w:rPr>
          <w:iCs/>
          <w:szCs w:val="24"/>
          <w:lang w:val="en-US" w:eastAsia="zh-CN"/>
        </w:rPr>
        <w:t> </w:t>
      </w:r>
      <w:r w:rsidRPr="00A716CF">
        <w:rPr>
          <w:iCs/>
          <w:szCs w:val="24"/>
          <w:lang w:eastAsia="zh-CN"/>
        </w:rPr>
        <w:t>GHz</w:t>
      </w:r>
      <w:r w:rsidRPr="00A716CF">
        <w:rPr>
          <w:szCs w:val="24"/>
          <w:lang w:eastAsia="zh-CN"/>
        </w:rPr>
        <w:t>（空对地）</w:t>
      </w:r>
      <w:r>
        <w:rPr>
          <w:rFonts w:hint="eastAsia"/>
          <w:szCs w:val="24"/>
          <w:lang w:eastAsia="zh-CN"/>
        </w:rPr>
        <w:t>以及</w:t>
      </w:r>
      <w:r w:rsidRPr="00A716CF">
        <w:rPr>
          <w:szCs w:val="24"/>
          <w:lang w:eastAsia="zh-CN"/>
        </w:rPr>
        <w:t>27.5-29.1</w:t>
      </w:r>
      <w:r w:rsidRPr="00A716CF">
        <w:rPr>
          <w:szCs w:val="24"/>
          <w:lang w:val="en-US" w:eastAsia="zh-CN"/>
        </w:rPr>
        <w:t> </w:t>
      </w:r>
      <w:r w:rsidRPr="00A716CF">
        <w:rPr>
          <w:szCs w:val="24"/>
          <w:lang w:eastAsia="zh-CN"/>
        </w:rPr>
        <w:t>GHz</w:t>
      </w:r>
      <w:r w:rsidRPr="00A716CF">
        <w:rPr>
          <w:szCs w:val="24"/>
          <w:lang w:eastAsia="zh-CN"/>
        </w:rPr>
        <w:t>和</w:t>
      </w:r>
      <w:r w:rsidRPr="00A716CF">
        <w:rPr>
          <w:iCs/>
          <w:szCs w:val="24"/>
          <w:lang w:eastAsia="zh-CN"/>
        </w:rPr>
        <w:t>29.5-30</w:t>
      </w:r>
      <w:r w:rsidRPr="00A716CF">
        <w:rPr>
          <w:iCs/>
          <w:szCs w:val="24"/>
          <w:lang w:val="en-US" w:eastAsia="zh-CN"/>
        </w:rPr>
        <w:t> </w:t>
      </w:r>
      <w:r w:rsidRPr="00A716CF">
        <w:rPr>
          <w:szCs w:val="24"/>
          <w:lang w:eastAsia="zh-CN"/>
        </w:rPr>
        <w:t>GHz</w:t>
      </w:r>
      <w:r w:rsidRPr="00A716CF">
        <w:rPr>
          <w:szCs w:val="24"/>
          <w:lang w:eastAsia="zh-CN"/>
        </w:rPr>
        <w:t>（地对空）频段，同时确保对</w:t>
      </w:r>
      <w:r>
        <w:rPr>
          <w:rFonts w:hint="eastAsia"/>
          <w:szCs w:val="24"/>
          <w:lang w:eastAsia="zh-CN"/>
        </w:rPr>
        <w:t>这些</w:t>
      </w:r>
      <w:r w:rsidRPr="00A716CF">
        <w:rPr>
          <w:szCs w:val="24"/>
          <w:lang w:eastAsia="zh-CN"/>
        </w:rPr>
        <w:t>频段内</w:t>
      </w:r>
      <w:r>
        <w:rPr>
          <w:rFonts w:hint="eastAsia"/>
          <w:szCs w:val="24"/>
          <w:lang w:eastAsia="zh-CN"/>
        </w:rPr>
        <w:t>的</w:t>
      </w:r>
      <w:r w:rsidRPr="00A716CF">
        <w:rPr>
          <w:szCs w:val="24"/>
          <w:lang w:eastAsia="zh-CN"/>
        </w:rPr>
        <w:t>现有业务提供应有的保护；</w:t>
      </w:r>
    </w:p>
    <w:p w14:paraId="78404C5D" w14:textId="20A0F6A0" w:rsidR="007F2083" w:rsidRDefault="00C87A66" w:rsidP="00795AF8">
      <w:pPr>
        <w:rPr>
          <w:lang w:val="en-US" w:eastAsia="zh-CN"/>
        </w:rPr>
      </w:pPr>
      <w:r>
        <w:rPr>
          <w:lang w:val="en-US" w:eastAsia="zh-CN"/>
        </w:rPr>
        <w:t>1.17</w:t>
      </w:r>
      <w:r w:rsidRPr="00D35F50">
        <w:rPr>
          <w:lang w:val="en-US" w:eastAsia="zh-CN"/>
        </w:rPr>
        <w:tab/>
      </w:r>
      <w:r>
        <w:rPr>
          <w:rFonts w:hint="eastAsia"/>
          <w:lang w:eastAsia="zh-CN"/>
        </w:rPr>
        <w:t>在</w:t>
      </w:r>
      <w:r w:rsidRPr="00184147">
        <w:rPr>
          <w:lang w:eastAsia="zh-CN"/>
        </w:rPr>
        <w:t>ITU-R</w:t>
      </w:r>
      <w:r w:rsidRPr="00184147">
        <w:rPr>
          <w:lang w:eastAsia="zh-CN"/>
        </w:rPr>
        <w:t>根据第</w:t>
      </w:r>
      <w:r w:rsidRPr="00B507B5">
        <w:rPr>
          <w:rFonts w:cs="Traditional Arabic"/>
          <w:b/>
          <w:bCs/>
          <w:lang w:eastAsia="zh-CN"/>
        </w:rPr>
        <w:t>773</w:t>
      </w:r>
      <w:r w:rsidRPr="00184147">
        <w:rPr>
          <w:lang w:eastAsia="zh-CN"/>
        </w:rPr>
        <w:t>号决议</w:t>
      </w:r>
      <w:r w:rsidRPr="00184147">
        <w:rPr>
          <w:b/>
          <w:bCs/>
          <w:lang w:val="en-US" w:eastAsia="zh-CN"/>
        </w:rPr>
        <w:t>（</w:t>
      </w:r>
      <w:r w:rsidRPr="00184147">
        <w:rPr>
          <w:b/>
          <w:bCs/>
          <w:lang w:eastAsia="zh-CN"/>
        </w:rPr>
        <w:t>WRC-19</w:t>
      </w:r>
      <w:r w:rsidRPr="00184147">
        <w:rPr>
          <w:b/>
          <w:bCs/>
          <w:lang w:eastAsia="zh-CN"/>
        </w:rPr>
        <w:t>）</w:t>
      </w:r>
      <w:r w:rsidRPr="00184147">
        <w:rPr>
          <w:lang w:eastAsia="zh-CN"/>
        </w:rPr>
        <w:t>开展的研究</w:t>
      </w:r>
      <w:r>
        <w:rPr>
          <w:rFonts w:hint="eastAsia"/>
          <w:lang w:eastAsia="zh-CN"/>
        </w:rPr>
        <w:t>基础上</w:t>
      </w:r>
      <w:r w:rsidRPr="00184147">
        <w:rPr>
          <w:lang w:eastAsia="zh-CN"/>
        </w:rPr>
        <w:t>，确定和开展适当规则行动</w:t>
      </w:r>
      <w:r>
        <w:rPr>
          <w:rFonts w:hint="eastAsia"/>
          <w:lang w:eastAsia="zh-CN"/>
        </w:rPr>
        <w:t>，通过</w:t>
      </w:r>
      <w:r w:rsidRPr="00184147">
        <w:rPr>
          <w:lang w:eastAsia="zh-CN"/>
        </w:rPr>
        <w:t>酌情增加卫星间业务划分，</w:t>
      </w:r>
      <w:r>
        <w:rPr>
          <w:rFonts w:hint="eastAsia"/>
          <w:lang w:eastAsia="zh-CN"/>
        </w:rPr>
        <w:t>在具体</w:t>
      </w:r>
      <w:r w:rsidRPr="00184147">
        <w:rPr>
          <w:lang w:eastAsia="zh-CN"/>
        </w:rPr>
        <w:t>频段或</w:t>
      </w:r>
      <w:r>
        <w:rPr>
          <w:rFonts w:hint="eastAsia"/>
          <w:lang w:eastAsia="zh-CN"/>
        </w:rPr>
        <w:t>这些频段的</w:t>
      </w:r>
      <w:r w:rsidRPr="00184147">
        <w:rPr>
          <w:lang w:eastAsia="zh-CN"/>
        </w:rPr>
        <w:t>部分内提供星间链路；</w:t>
      </w:r>
    </w:p>
    <w:p w14:paraId="5CC86DC0" w14:textId="0895DCB2" w:rsidR="00C87A66" w:rsidRPr="00BF22A5" w:rsidRDefault="00C87A66" w:rsidP="00C87A66">
      <w:pPr>
        <w:rPr>
          <w:lang w:eastAsia="zh-CN"/>
        </w:rPr>
      </w:pPr>
      <w:r>
        <w:rPr>
          <w:lang w:val="en-US" w:eastAsia="zh-CN"/>
        </w:rPr>
        <w:t>1.18</w:t>
      </w:r>
      <w:r w:rsidRPr="00A4201C">
        <w:rPr>
          <w:lang w:val="en-US" w:eastAsia="zh-CN"/>
        </w:rPr>
        <w:tab/>
      </w:r>
      <w:r>
        <w:rPr>
          <w:rFonts w:hint="eastAsia"/>
          <w:lang w:val="en-US" w:eastAsia="zh-CN"/>
        </w:rPr>
        <w:t>根据</w:t>
      </w:r>
      <w:r w:rsidRPr="00AB2304">
        <w:rPr>
          <w:rFonts w:hint="eastAsia"/>
          <w:lang w:eastAsia="zh-CN"/>
        </w:rPr>
        <w:t>第</w:t>
      </w:r>
      <w:r w:rsidRPr="00B507B5">
        <w:rPr>
          <w:rFonts w:cs="Traditional Arabic"/>
          <w:b/>
          <w:bCs/>
          <w:lang w:eastAsia="zh-CN"/>
        </w:rPr>
        <w:t>248</w:t>
      </w:r>
      <w:r w:rsidRPr="007C6D61">
        <w:rPr>
          <w:rFonts w:hint="eastAsia"/>
          <w:lang w:eastAsia="zh-CN"/>
        </w:rPr>
        <w:t>号决议</w:t>
      </w:r>
      <w:r>
        <w:rPr>
          <w:rFonts w:hint="eastAsia"/>
          <w:b/>
          <w:bCs/>
          <w:lang w:eastAsia="zh-CN"/>
        </w:rPr>
        <w:t>（</w:t>
      </w:r>
      <w:r w:rsidRPr="002056A2">
        <w:rPr>
          <w:b/>
          <w:bCs/>
          <w:lang w:eastAsia="zh-CN"/>
        </w:rPr>
        <w:t>WRC-19</w:t>
      </w:r>
      <w:r>
        <w:rPr>
          <w:rFonts w:hint="eastAsia"/>
          <w:b/>
          <w:bCs/>
          <w:lang w:eastAsia="zh-CN"/>
        </w:rPr>
        <w:t>），</w:t>
      </w:r>
      <w:r>
        <w:rPr>
          <w:rFonts w:hint="eastAsia"/>
          <w:lang w:eastAsia="zh-CN"/>
        </w:rPr>
        <w:t>针对</w:t>
      </w:r>
      <w:r w:rsidRPr="003F68FD">
        <w:rPr>
          <w:rFonts w:hint="eastAsia"/>
          <w:lang w:eastAsia="zh-CN"/>
        </w:rPr>
        <w:t>窄带卫星移动系统</w:t>
      </w:r>
      <w:r>
        <w:rPr>
          <w:rFonts w:hint="eastAsia"/>
          <w:lang w:eastAsia="zh-CN"/>
        </w:rPr>
        <w:t>的</w:t>
      </w:r>
      <w:r w:rsidRPr="003F68FD">
        <w:rPr>
          <w:rFonts w:hint="eastAsia"/>
          <w:lang w:eastAsia="zh-CN"/>
        </w:rPr>
        <w:t>未来发展</w:t>
      </w:r>
      <w:r>
        <w:rPr>
          <w:rFonts w:hint="eastAsia"/>
          <w:lang w:eastAsia="zh-CN"/>
        </w:rPr>
        <w:t>，</w:t>
      </w:r>
      <w:r w:rsidRPr="003F68FD">
        <w:rPr>
          <w:rFonts w:hint="eastAsia"/>
          <w:lang w:eastAsia="zh-CN"/>
        </w:rPr>
        <w:t>考虑开展</w:t>
      </w:r>
      <w:r>
        <w:rPr>
          <w:rFonts w:hint="eastAsia"/>
          <w:lang w:eastAsia="zh-CN"/>
        </w:rPr>
        <w:t>与</w:t>
      </w:r>
      <w:r w:rsidRPr="003F68FD">
        <w:rPr>
          <w:rFonts w:hint="eastAsia"/>
          <w:lang w:eastAsia="zh-CN"/>
        </w:rPr>
        <w:t>卫星移动业务</w:t>
      </w:r>
      <w:r>
        <w:rPr>
          <w:rFonts w:hint="eastAsia"/>
          <w:lang w:eastAsia="zh-CN"/>
        </w:rPr>
        <w:t>的</w:t>
      </w:r>
      <w:r w:rsidRPr="003F68FD">
        <w:rPr>
          <w:rFonts w:hint="eastAsia"/>
          <w:lang w:eastAsia="zh-CN"/>
        </w:rPr>
        <w:t>频谱需求和</w:t>
      </w:r>
      <w:r>
        <w:rPr>
          <w:rFonts w:hint="eastAsia"/>
          <w:lang w:eastAsia="zh-CN"/>
        </w:rPr>
        <w:t>潜在</w:t>
      </w:r>
      <w:r w:rsidRPr="003F68FD">
        <w:rPr>
          <w:rFonts w:hint="eastAsia"/>
          <w:lang w:eastAsia="zh-CN"/>
        </w:rPr>
        <w:t>新划分</w:t>
      </w:r>
      <w:r>
        <w:rPr>
          <w:rFonts w:hint="eastAsia"/>
          <w:lang w:eastAsia="zh-CN"/>
        </w:rPr>
        <w:t>相</w:t>
      </w:r>
      <w:r w:rsidRPr="003F68FD">
        <w:rPr>
          <w:rFonts w:hint="eastAsia"/>
          <w:lang w:eastAsia="zh-CN"/>
        </w:rPr>
        <w:t>关的研究；</w:t>
      </w:r>
    </w:p>
    <w:p w14:paraId="1027372B" w14:textId="77777777" w:rsidR="00C87A66" w:rsidRPr="00840A00" w:rsidRDefault="00C87A66" w:rsidP="00C87A66">
      <w:pPr>
        <w:rPr>
          <w:lang w:val="en-US" w:eastAsia="zh-CN"/>
        </w:rPr>
      </w:pPr>
      <w:r>
        <w:rPr>
          <w:lang w:val="en-US" w:eastAsia="zh-CN"/>
        </w:rPr>
        <w:t>1.19</w:t>
      </w:r>
      <w:r w:rsidRPr="00387303">
        <w:rPr>
          <w:b/>
          <w:lang w:val="en-US" w:eastAsia="zh-CN"/>
        </w:rPr>
        <w:tab/>
      </w:r>
      <w:r w:rsidRPr="00B507B5">
        <w:rPr>
          <w:rFonts w:hint="eastAsia"/>
          <w:lang w:eastAsia="zh-CN"/>
        </w:rPr>
        <w:t>根据第</w:t>
      </w:r>
      <w:r w:rsidRPr="00B507B5">
        <w:rPr>
          <w:b/>
          <w:bCs/>
          <w:lang w:eastAsia="zh-CN"/>
        </w:rPr>
        <w:t>174</w:t>
      </w:r>
      <w:r w:rsidRPr="00B507B5">
        <w:rPr>
          <w:rFonts w:hint="eastAsia"/>
          <w:lang w:eastAsia="zh-CN"/>
        </w:rPr>
        <w:t>号决议</w:t>
      </w:r>
      <w:r w:rsidRPr="00B507B5">
        <w:rPr>
          <w:rFonts w:hint="eastAsia"/>
          <w:b/>
          <w:bCs/>
          <w:lang w:eastAsia="zh-CN"/>
        </w:rPr>
        <w:t>（</w:t>
      </w:r>
      <w:r w:rsidRPr="00B507B5">
        <w:rPr>
          <w:b/>
          <w:bCs/>
          <w:lang w:eastAsia="zh-CN"/>
        </w:rPr>
        <w:t>WRC-19</w:t>
      </w:r>
      <w:r w:rsidRPr="00B507B5">
        <w:rPr>
          <w:rFonts w:hint="eastAsia"/>
          <w:b/>
          <w:bCs/>
          <w:lang w:eastAsia="zh-CN"/>
        </w:rPr>
        <w:t>）</w:t>
      </w:r>
      <w:r w:rsidRPr="00B507B5">
        <w:rPr>
          <w:rFonts w:hint="eastAsia"/>
          <w:lang w:eastAsia="zh-CN"/>
        </w:rPr>
        <w:t>，审议在</w:t>
      </w:r>
      <w:r w:rsidRPr="00B507B5">
        <w:rPr>
          <w:lang w:eastAsia="zh-CN"/>
        </w:rPr>
        <w:t>2</w:t>
      </w:r>
      <w:r w:rsidRPr="00B507B5">
        <w:rPr>
          <w:rFonts w:hint="eastAsia"/>
          <w:lang w:eastAsia="zh-CN"/>
        </w:rPr>
        <w:t>区</w:t>
      </w:r>
      <w:r w:rsidRPr="00B507B5">
        <w:rPr>
          <w:lang w:eastAsia="zh-CN"/>
        </w:rPr>
        <w:t>17.3-17.7 GHz</w:t>
      </w:r>
      <w:r w:rsidRPr="00B507B5">
        <w:rPr>
          <w:rFonts w:hint="eastAsia"/>
          <w:lang w:eastAsia="zh-CN"/>
        </w:rPr>
        <w:t>频段为卫星固定业务的空对地方向新增一项主要业务划分，同时保护该频段内的现有主要业务；</w:t>
      </w:r>
    </w:p>
    <w:p w14:paraId="677D009B" w14:textId="77777777" w:rsidR="00795AF8" w:rsidRDefault="00795AF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4B7C2CFC" w14:textId="5A220DEC" w:rsidR="00C87A66" w:rsidRPr="00D73CEC" w:rsidRDefault="00C87A66" w:rsidP="00C87A66">
      <w:pPr>
        <w:rPr>
          <w:lang w:val="en-US" w:eastAsia="zh-CN"/>
        </w:rPr>
      </w:pPr>
      <w:r w:rsidRPr="00D73CEC">
        <w:rPr>
          <w:lang w:val="en-US" w:eastAsia="zh-CN"/>
        </w:rPr>
        <w:lastRenderedPageBreak/>
        <w:t>2</w:t>
      </w:r>
      <w:r w:rsidRPr="00D73CEC">
        <w:rPr>
          <w:lang w:val="en-US" w:eastAsia="zh-CN"/>
        </w:rPr>
        <w:tab/>
      </w:r>
      <w:r w:rsidRPr="00D73CEC">
        <w:rPr>
          <w:rFonts w:hint="eastAsia"/>
          <w:lang w:eastAsia="zh-CN"/>
        </w:rPr>
        <w:t>根据</w:t>
      </w:r>
      <w:r w:rsidRPr="00D73CEC">
        <w:rPr>
          <w:rFonts w:hint="eastAsia"/>
          <w:lang w:val="zh-CN" w:eastAsia="zh-CN"/>
        </w:rPr>
        <w:t>第</w:t>
      </w:r>
      <w:r w:rsidRPr="00D73CEC">
        <w:rPr>
          <w:b/>
          <w:bCs/>
          <w:lang w:eastAsia="zh-CN"/>
        </w:rPr>
        <w:t>2</w:t>
      </w:r>
      <w:r>
        <w:rPr>
          <w:rFonts w:hint="eastAsia"/>
          <w:b/>
          <w:bCs/>
          <w:lang w:eastAsia="zh-CN"/>
        </w:rPr>
        <w:t>7</w:t>
      </w:r>
      <w:r w:rsidRPr="00D73CEC">
        <w:rPr>
          <w:rFonts w:hint="eastAsia"/>
          <w:lang w:val="zh-CN" w:eastAsia="zh-CN"/>
        </w:rPr>
        <w:t>号决议</w:t>
      </w:r>
      <w:r w:rsidRPr="00A31D6B">
        <w:rPr>
          <w:rFonts w:ascii="Times New Roman MT Extra Bold" w:hAnsi="Times New Roman MT Extra Bold" w:hint="eastAsia"/>
          <w:b/>
          <w:lang w:eastAsia="zh-CN"/>
        </w:rPr>
        <w:t>（</w:t>
      </w:r>
      <w:r w:rsidRPr="00941469">
        <w:rPr>
          <w:b/>
          <w:lang w:eastAsia="zh-CN"/>
        </w:rPr>
        <w:t>WRC</w:t>
      </w:r>
      <w:r>
        <w:rPr>
          <w:rFonts w:hint="eastAsia"/>
          <w:b/>
          <w:lang w:eastAsia="zh-CN"/>
        </w:rPr>
        <w:t>-</w:t>
      </w:r>
      <w:r w:rsidRPr="00941469">
        <w:rPr>
          <w:b/>
          <w:lang w:eastAsia="zh-CN"/>
        </w:rPr>
        <w:t>19</w:t>
      </w:r>
      <w:r w:rsidRPr="00D73CEC">
        <w:rPr>
          <w:b/>
          <w:lang w:eastAsia="zh-CN"/>
        </w:rPr>
        <w:t>，修订版</w:t>
      </w:r>
      <w:r w:rsidRPr="00A31D6B">
        <w:rPr>
          <w:rFonts w:ascii="Times New Roman MT Extra Bold" w:hAnsi="Times New Roman MT Extra Bold" w:hint="eastAsia"/>
          <w:b/>
          <w:lang w:eastAsia="zh-CN"/>
        </w:rPr>
        <w:t>）</w:t>
      </w:r>
      <w:r w:rsidRPr="00B507B5">
        <w:rPr>
          <w:rFonts w:hint="eastAsia"/>
          <w:lang w:eastAsia="zh-CN"/>
        </w:rPr>
        <w:t>的“</w:t>
      </w:r>
      <w:r w:rsidRPr="00AB2304">
        <w:rPr>
          <w:rFonts w:eastAsia="STKaiti" w:hint="eastAsia"/>
          <w:lang w:eastAsia="zh-CN"/>
        </w:rPr>
        <w:t>进一步做出决议</w:t>
      </w:r>
      <w:r w:rsidRPr="00B507B5">
        <w:rPr>
          <w:rFonts w:hint="eastAsia"/>
          <w:lang w:eastAsia="zh-CN"/>
        </w:rPr>
        <w:t>”</w:t>
      </w:r>
      <w:r w:rsidRPr="00A31D6B">
        <w:rPr>
          <w:rFonts w:hint="eastAsia"/>
          <w:lang w:eastAsia="zh-CN"/>
        </w:rPr>
        <w:t>，</w:t>
      </w:r>
      <w:r w:rsidRPr="00D73CEC">
        <w:rPr>
          <w:rFonts w:hint="eastAsia"/>
          <w:lang w:val="zh-CN" w:eastAsia="zh-CN"/>
        </w:rPr>
        <w:t>审议无线电通信全会发</w:t>
      </w:r>
      <w:r>
        <w:rPr>
          <w:rFonts w:hint="eastAsia"/>
          <w:lang w:val="zh-CN" w:eastAsia="zh-CN"/>
        </w:rPr>
        <w:t>出</w:t>
      </w:r>
      <w:r w:rsidRPr="00D73CEC">
        <w:rPr>
          <w:rFonts w:hint="eastAsia"/>
          <w:lang w:val="zh-CN" w:eastAsia="zh-CN"/>
        </w:rPr>
        <w:t>的</w:t>
      </w:r>
      <w:r>
        <w:rPr>
          <w:rFonts w:hint="eastAsia"/>
          <w:lang w:val="zh-CN" w:eastAsia="zh-CN"/>
        </w:rPr>
        <w:t>、</w:t>
      </w:r>
      <w:r w:rsidRPr="00D73CEC">
        <w:rPr>
          <w:rFonts w:hint="eastAsia"/>
          <w:lang w:val="zh-CN" w:eastAsia="zh-CN"/>
        </w:rPr>
        <w:t>引证归并至《无线电规则》中的经修订的</w:t>
      </w:r>
      <w:r w:rsidRPr="00D73CEC">
        <w:rPr>
          <w:lang w:eastAsia="zh-CN"/>
        </w:rPr>
        <w:t>ITU-R</w:t>
      </w:r>
      <w:r w:rsidRPr="00D73CEC">
        <w:rPr>
          <w:rFonts w:hint="eastAsia"/>
          <w:lang w:val="zh-CN" w:eastAsia="zh-CN"/>
        </w:rPr>
        <w:t>建议书</w:t>
      </w:r>
      <w:r w:rsidRPr="00A31D6B">
        <w:rPr>
          <w:rFonts w:hint="eastAsia"/>
          <w:lang w:eastAsia="zh-CN"/>
        </w:rPr>
        <w:t>，</w:t>
      </w:r>
      <w:r w:rsidRPr="00D73CEC">
        <w:rPr>
          <w:rFonts w:hint="eastAsia"/>
          <w:lang w:val="zh-CN" w:eastAsia="zh-CN"/>
        </w:rPr>
        <w:t>并根据</w:t>
      </w:r>
      <w:r>
        <w:rPr>
          <w:rFonts w:hint="eastAsia"/>
          <w:lang w:val="zh-CN" w:eastAsia="zh-CN"/>
        </w:rPr>
        <w:t>该</w:t>
      </w:r>
      <w:r w:rsidRPr="00D73CEC">
        <w:rPr>
          <w:rFonts w:hint="eastAsia"/>
          <w:lang w:val="zh-CN" w:eastAsia="zh-CN"/>
        </w:rPr>
        <w:t>决议</w:t>
      </w:r>
      <w:r w:rsidRPr="00941469">
        <w:rPr>
          <w:rFonts w:hint="eastAsia"/>
          <w:lang w:eastAsia="zh-CN"/>
        </w:rPr>
        <w:t>“</w:t>
      </w:r>
      <w:r w:rsidRPr="00A87A6B">
        <w:rPr>
          <w:rFonts w:ascii="STKaiti" w:eastAsia="STKaiti" w:hAnsi="STKaiti" w:hint="eastAsia"/>
          <w:lang w:eastAsia="zh-CN"/>
        </w:rPr>
        <w:t>做出决议</w:t>
      </w:r>
      <w:r w:rsidRPr="00941469">
        <w:rPr>
          <w:rFonts w:hint="eastAsia"/>
          <w:lang w:eastAsia="zh-CN"/>
        </w:rPr>
        <w:t>”</w:t>
      </w:r>
      <w:r>
        <w:rPr>
          <w:rFonts w:hint="eastAsia"/>
          <w:lang w:val="zh-CN" w:eastAsia="zh-CN"/>
        </w:rPr>
        <w:t>部分所</w:t>
      </w:r>
      <w:r w:rsidRPr="00D73CEC">
        <w:rPr>
          <w:rFonts w:hint="eastAsia"/>
          <w:lang w:val="zh-CN" w:eastAsia="zh-CN"/>
        </w:rPr>
        <w:t>含的原则</w:t>
      </w:r>
      <w:r w:rsidRPr="00A31D6B">
        <w:rPr>
          <w:rFonts w:hint="eastAsia"/>
          <w:lang w:eastAsia="zh-CN"/>
        </w:rPr>
        <w:t>，</w:t>
      </w:r>
      <w:r w:rsidRPr="00D73CEC">
        <w:rPr>
          <w:rFonts w:hint="eastAsia"/>
          <w:lang w:val="zh-CN" w:eastAsia="zh-CN"/>
        </w:rPr>
        <w:t>决定是否更新《无线电规则》中的相应引证</w:t>
      </w:r>
      <w:r w:rsidRPr="00A31D6B">
        <w:rPr>
          <w:rFonts w:hint="eastAsia"/>
          <w:lang w:eastAsia="zh-CN"/>
        </w:rPr>
        <w:t>；</w:t>
      </w:r>
    </w:p>
    <w:p w14:paraId="1D8E8D06" w14:textId="241DE417" w:rsidR="007F2083" w:rsidRPr="007F2083" w:rsidRDefault="00C87A66" w:rsidP="007F2083">
      <w:pPr>
        <w:rPr>
          <w:lang w:val="zh-CN" w:eastAsia="zh-CN"/>
        </w:rPr>
      </w:pPr>
      <w:r w:rsidRPr="00D73CEC">
        <w:rPr>
          <w:lang w:val="en-US" w:eastAsia="zh-CN"/>
        </w:rPr>
        <w:t>3</w:t>
      </w:r>
      <w:r w:rsidRPr="00D73CEC">
        <w:rPr>
          <w:lang w:val="en-US" w:eastAsia="zh-CN"/>
        </w:rPr>
        <w:tab/>
      </w:r>
      <w:r w:rsidRPr="00D73CEC">
        <w:rPr>
          <w:rFonts w:hint="eastAsia"/>
          <w:lang w:eastAsia="zh-CN"/>
        </w:rPr>
        <w:t>审议</w:t>
      </w:r>
      <w:r>
        <w:rPr>
          <w:rFonts w:hint="eastAsia"/>
          <w:lang w:val="zh-CN" w:eastAsia="zh-CN"/>
        </w:rPr>
        <w:t>因</w:t>
      </w:r>
      <w:r w:rsidRPr="00D73CEC">
        <w:rPr>
          <w:rFonts w:hint="eastAsia"/>
          <w:lang w:val="zh-CN" w:eastAsia="zh-CN"/>
        </w:rPr>
        <w:t>大会所做决定而可能需要对《无线电规则》进行的相应修改和修正；</w:t>
      </w:r>
    </w:p>
    <w:p w14:paraId="44F25AB2" w14:textId="77777777" w:rsidR="00C87A66" w:rsidRPr="00D73CEC" w:rsidRDefault="00C87A66" w:rsidP="00C87A66">
      <w:pPr>
        <w:rPr>
          <w:lang w:val="en-US" w:eastAsia="zh-CN"/>
        </w:rPr>
      </w:pPr>
      <w:r w:rsidRPr="00D73CEC">
        <w:rPr>
          <w:lang w:val="en-US" w:eastAsia="zh-CN"/>
        </w:rPr>
        <w:t>4</w:t>
      </w:r>
      <w:r w:rsidRPr="00D73CEC">
        <w:rPr>
          <w:lang w:val="en-US" w:eastAsia="zh-CN"/>
        </w:rPr>
        <w:tab/>
      </w:r>
      <w:r w:rsidRPr="00D73CEC">
        <w:rPr>
          <w:rFonts w:hint="eastAsia"/>
          <w:lang w:val="zh-CN" w:eastAsia="zh-CN"/>
        </w:rPr>
        <w:t>根据第</w:t>
      </w:r>
      <w:r w:rsidRPr="00D73CEC">
        <w:rPr>
          <w:b/>
          <w:bCs/>
          <w:lang w:eastAsia="zh-CN"/>
        </w:rPr>
        <w:t>95</w:t>
      </w:r>
      <w:r w:rsidRPr="00D73CEC">
        <w:rPr>
          <w:rFonts w:hint="eastAsia"/>
          <w:lang w:val="zh-CN" w:eastAsia="zh-CN"/>
        </w:rPr>
        <w:t>号决议</w:t>
      </w:r>
      <w:r w:rsidRPr="00D73CEC">
        <w:rPr>
          <w:rFonts w:ascii="Times New Roman MT Extra Bold" w:hAnsi="Times New Roman MT Extra Bold" w:hint="eastAsia"/>
          <w:b/>
          <w:lang w:val="zh-CN" w:eastAsia="zh-CN"/>
        </w:rPr>
        <w:t>（</w:t>
      </w:r>
      <w:r w:rsidRPr="00D73CEC">
        <w:rPr>
          <w:b/>
          <w:lang w:eastAsia="zh-CN"/>
        </w:rPr>
        <w:t>WRC</w:t>
      </w:r>
      <w:r>
        <w:rPr>
          <w:b/>
          <w:bCs/>
          <w:lang w:eastAsia="zh-CN"/>
        </w:rPr>
        <w:t>-</w:t>
      </w:r>
      <w:r w:rsidRPr="005D2C0B">
        <w:rPr>
          <w:b/>
          <w:bCs/>
          <w:lang w:eastAsia="zh-CN"/>
        </w:rPr>
        <w:t>19</w:t>
      </w:r>
      <w:r w:rsidRPr="00D73CEC">
        <w:rPr>
          <w:b/>
          <w:lang w:eastAsia="zh-CN"/>
        </w:rPr>
        <w:t>，修订版</w:t>
      </w:r>
      <w:r w:rsidRPr="00D73CEC">
        <w:rPr>
          <w:rFonts w:ascii="Times New Roman MT Extra Bold" w:hAnsi="Times New Roman MT Extra Bold" w:hint="eastAsia"/>
          <w:b/>
          <w:lang w:val="zh-CN" w:eastAsia="zh-CN"/>
        </w:rPr>
        <w:t>）</w:t>
      </w:r>
      <w:r w:rsidRPr="00D73CEC">
        <w:rPr>
          <w:rFonts w:hint="eastAsia"/>
          <w:lang w:val="zh-CN" w:eastAsia="zh-CN"/>
        </w:rPr>
        <w:t>，审议往届大会的决议和建议，以便对其进行可能的修订、取代或废止；</w:t>
      </w:r>
    </w:p>
    <w:p w14:paraId="208E470B" w14:textId="77777777" w:rsidR="00C87A66" w:rsidRPr="00D73CEC" w:rsidRDefault="00C87A66" w:rsidP="00C87A66">
      <w:pPr>
        <w:rPr>
          <w:lang w:val="en-US" w:eastAsia="zh-CN"/>
        </w:rPr>
      </w:pPr>
      <w:r w:rsidRPr="00D73CEC">
        <w:rPr>
          <w:lang w:val="en-US" w:eastAsia="zh-CN"/>
        </w:rPr>
        <w:t>5</w:t>
      </w:r>
      <w:r w:rsidRPr="00D73CEC">
        <w:rPr>
          <w:lang w:val="en-US" w:eastAsia="zh-CN"/>
        </w:rPr>
        <w:tab/>
      </w:r>
      <w:r w:rsidRPr="00D73CEC">
        <w:rPr>
          <w:rFonts w:hint="eastAsia"/>
          <w:lang w:eastAsia="zh-CN"/>
        </w:rPr>
        <w:t>审议</w:t>
      </w:r>
      <w:r w:rsidRPr="00D73CEC">
        <w:rPr>
          <w:rFonts w:hint="eastAsia"/>
          <w:lang w:val="zh-CN" w:eastAsia="zh-CN"/>
        </w:rPr>
        <w:t>按照</w:t>
      </w:r>
      <w:r>
        <w:rPr>
          <w:rFonts w:hint="eastAsia"/>
          <w:lang w:val="zh-CN" w:eastAsia="zh-CN"/>
        </w:rPr>
        <w:t>国际电联</w:t>
      </w:r>
      <w:r w:rsidRPr="00D73CEC">
        <w:rPr>
          <w:rFonts w:hint="eastAsia"/>
          <w:lang w:val="zh-CN" w:eastAsia="zh-CN"/>
        </w:rPr>
        <w:t>《公约》第</w:t>
      </w:r>
      <w:r w:rsidRPr="00D73CEC">
        <w:rPr>
          <w:lang w:eastAsia="zh-CN"/>
        </w:rPr>
        <w:t>135</w:t>
      </w:r>
      <w:r w:rsidRPr="00D73CEC">
        <w:rPr>
          <w:rFonts w:hint="eastAsia"/>
          <w:lang w:val="zh-CN" w:eastAsia="zh-CN"/>
        </w:rPr>
        <w:t>和</w:t>
      </w:r>
      <w:r w:rsidRPr="00D73CEC">
        <w:rPr>
          <w:lang w:eastAsia="zh-CN"/>
        </w:rPr>
        <w:t>136</w:t>
      </w:r>
      <w:r w:rsidRPr="00D73CEC">
        <w:rPr>
          <w:rFonts w:hint="eastAsia"/>
          <w:lang w:val="zh-CN" w:eastAsia="zh-CN"/>
        </w:rPr>
        <w:t>款提交的无线电通信全会</w:t>
      </w:r>
      <w:r>
        <w:rPr>
          <w:rFonts w:hint="eastAsia"/>
          <w:lang w:val="zh-CN" w:eastAsia="zh-CN"/>
        </w:rPr>
        <w:t>的</w:t>
      </w:r>
      <w:r w:rsidRPr="00D73CEC">
        <w:rPr>
          <w:rFonts w:hint="eastAsia"/>
          <w:lang w:val="zh-CN" w:eastAsia="zh-CN"/>
        </w:rPr>
        <w:t>报告，并</w:t>
      </w:r>
      <w:r>
        <w:rPr>
          <w:rFonts w:hint="eastAsia"/>
          <w:lang w:val="zh-CN" w:eastAsia="zh-CN"/>
        </w:rPr>
        <w:t>就其</w:t>
      </w:r>
      <w:r w:rsidRPr="00D73CEC">
        <w:rPr>
          <w:rFonts w:hint="eastAsia"/>
          <w:lang w:val="zh-CN" w:eastAsia="zh-CN"/>
        </w:rPr>
        <w:t>采取适当的行动；</w:t>
      </w:r>
    </w:p>
    <w:p w14:paraId="0D482573" w14:textId="77777777" w:rsidR="00C87A66" w:rsidRPr="00D73CEC" w:rsidRDefault="00C87A66" w:rsidP="00C87A66">
      <w:pPr>
        <w:rPr>
          <w:lang w:val="en-US" w:eastAsia="zh-CN"/>
        </w:rPr>
      </w:pPr>
      <w:r w:rsidRPr="00D73CEC">
        <w:rPr>
          <w:lang w:val="en-US" w:eastAsia="zh-CN"/>
        </w:rPr>
        <w:t>6</w:t>
      </w:r>
      <w:r w:rsidRPr="00D73CEC">
        <w:rPr>
          <w:lang w:val="en-US" w:eastAsia="zh-CN"/>
        </w:rPr>
        <w:tab/>
      </w:r>
      <w:r w:rsidRPr="00D73CEC">
        <w:rPr>
          <w:rFonts w:hint="eastAsia"/>
          <w:lang w:val="zh-CN" w:eastAsia="zh-CN"/>
        </w:rPr>
        <w:t>确定在下届世界无线电通信大会</w:t>
      </w:r>
      <w:r>
        <w:rPr>
          <w:rFonts w:hint="eastAsia"/>
          <w:lang w:val="zh-CN" w:eastAsia="zh-CN"/>
        </w:rPr>
        <w:t>的</w:t>
      </w:r>
      <w:r w:rsidRPr="00D73CEC">
        <w:rPr>
          <w:rFonts w:hint="eastAsia"/>
          <w:lang w:val="zh-CN" w:eastAsia="zh-CN"/>
        </w:rPr>
        <w:t>筹备</w:t>
      </w:r>
      <w:r>
        <w:rPr>
          <w:rFonts w:hint="eastAsia"/>
          <w:lang w:val="zh-CN" w:eastAsia="zh-CN"/>
        </w:rPr>
        <w:t>工作</w:t>
      </w:r>
      <w:r w:rsidRPr="00D73CEC">
        <w:rPr>
          <w:lang w:val="zh-CN" w:eastAsia="zh-CN"/>
        </w:rPr>
        <w:t>中</w:t>
      </w:r>
      <w:r w:rsidRPr="00D73CEC">
        <w:rPr>
          <w:rFonts w:hint="eastAsia"/>
          <w:lang w:val="zh-CN" w:eastAsia="zh-CN"/>
        </w:rPr>
        <w:t>需要无线电通信</w:t>
      </w:r>
      <w:r>
        <w:rPr>
          <w:rFonts w:hint="eastAsia"/>
          <w:lang w:val="zh-CN" w:eastAsia="zh-CN"/>
        </w:rPr>
        <w:t>各</w:t>
      </w:r>
      <w:r w:rsidRPr="00D73CEC">
        <w:rPr>
          <w:rFonts w:hint="eastAsia"/>
          <w:lang w:val="zh-CN" w:eastAsia="zh-CN"/>
        </w:rPr>
        <w:t>研究组采取紧急行动的事项；</w:t>
      </w:r>
    </w:p>
    <w:p w14:paraId="23D165F3" w14:textId="77777777" w:rsidR="00C87A66" w:rsidRPr="00D73CEC" w:rsidRDefault="00C87A66" w:rsidP="00C87A66">
      <w:pPr>
        <w:rPr>
          <w:lang w:val="en-US" w:eastAsia="zh-CN"/>
        </w:rPr>
      </w:pPr>
      <w:r w:rsidRPr="00D73CEC">
        <w:rPr>
          <w:lang w:val="en-US" w:eastAsia="zh-CN"/>
        </w:rPr>
        <w:t>7</w:t>
      </w:r>
      <w:r w:rsidRPr="00D73CEC">
        <w:rPr>
          <w:lang w:val="en-US" w:eastAsia="zh-CN"/>
        </w:rPr>
        <w:tab/>
      </w:r>
      <w:r w:rsidRPr="00D73CEC">
        <w:rPr>
          <w:rFonts w:hint="eastAsia"/>
          <w:lang w:val="en-US" w:eastAsia="zh-CN"/>
        </w:rPr>
        <w:t>根据第</w:t>
      </w:r>
      <w:r w:rsidRPr="00D73CEC">
        <w:rPr>
          <w:rFonts w:hint="eastAsia"/>
          <w:b/>
          <w:bCs/>
          <w:lang w:val="en-US" w:eastAsia="zh-CN"/>
        </w:rPr>
        <w:t>86</w:t>
      </w:r>
      <w:r w:rsidRPr="00D73CEC">
        <w:rPr>
          <w:rFonts w:hint="eastAsia"/>
          <w:lang w:val="en-US" w:eastAsia="zh-CN"/>
        </w:rPr>
        <w:t>号决议</w:t>
      </w:r>
      <w:r w:rsidRPr="00D73CEC">
        <w:rPr>
          <w:rFonts w:hint="eastAsia"/>
          <w:b/>
          <w:bCs/>
          <w:lang w:val="en-US" w:eastAsia="zh-CN"/>
        </w:rPr>
        <w:t>（</w:t>
      </w:r>
      <w:r w:rsidRPr="005D2C0B">
        <w:rPr>
          <w:b/>
          <w:lang w:eastAsia="zh-CN"/>
        </w:rPr>
        <w:t>WRC</w:t>
      </w:r>
      <w:r>
        <w:rPr>
          <w:rFonts w:hint="eastAsia"/>
          <w:b/>
          <w:lang w:eastAsia="zh-CN"/>
        </w:rPr>
        <w:t>-</w:t>
      </w:r>
      <w:r w:rsidRPr="005D2C0B">
        <w:rPr>
          <w:b/>
          <w:lang w:eastAsia="zh-CN"/>
        </w:rPr>
        <w:t>07</w:t>
      </w:r>
      <w:r w:rsidRPr="00D73CEC">
        <w:rPr>
          <w:rFonts w:hint="eastAsia"/>
          <w:b/>
          <w:bCs/>
          <w:lang w:val="en-US" w:eastAsia="zh-CN"/>
        </w:rPr>
        <w:t>，修订版）</w:t>
      </w:r>
      <w:r w:rsidRPr="00D73CEC">
        <w:rPr>
          <w:rFonts w:hint="eastAsia"/>
          <w:lang w:val="en-US" w:eastAsia="zh-CN"/>
        </w:rPr>
        <w:t>，考虑为回应全权代表大会</w:t>
      </w:r>
      <w:r>
        <w:rPr>
          <w:rFonts w:hint="eastAsia"/>
          <w:lang w:val="en-US" w:eastAsia="zh-CN"/>
        </w:rPr>
        <w:t>关于</w:t>
      </w:r>
      <w:r w:rsidRPr="00D73CEC">
        <w:rPr>
          <w:rFonts w:hint="eastAsia"/>
          <w:lang w:val="en-US" w:eastAsia="zh-CN"/>
        </w:rPr>
        <w:t>卫星网络频率指配的提前公布、协调、通知和登记程序</w:t>
      </w:r>
      <w:r>
        <w:rPr>
          <w:rFonts w:hint="eastAsia"/>
          <w:lang w:val="en-US" w:eastAsia="zh-CN"/>
        </w:rPr>
        <w:t>的</w:t>
      </w:r>
      <w:r w:rsidRPr="00D73CEC">
        <w:rPr>
          <w:rFonts w:hint="eastAsia"/>
          <w:lang w:val="en-US" w:eastAsia="zh-CN"/>
        </w:rPr>
        <w:t>第</w:t>
      </w:r>
      <w:r w:rsidRPr="00D73CEC">
        <w:rPr>
          <w:rFonts w:hint="eastAsia"/>
          <w:lang w:val="en-US" w:eastAsia="zh-CN"/>
        </w:rPr>
        <w:t>86</w:t>
      </w:r>
      <w:r w:rsidRPr="00D73CEC">
        <w:rPr>
          <w:rFonts w:hint="eastAsia"/>
          <w:lang w:val="en-US" w:eastAsia="zh-CN"/>
        </w:rPr>
        <w:t>号决议（</w:t>
      </w:r>
      <w:r w:rsidRPr="00D73CEC">
        <w:rPr>
          <w:rFonts w:hint="eastAsia"/>
          <w:lang w:val="en-US" w:eastAsia="zh-CN"/>
        </w:rPr>
        <w:t>2002</w:t>
      </w:r>
      <w:r w:rsidRPr="00D73CEC">
        <w:rPr>
          <w:rFonts w:hint="eastAsia"/>
          <w:lang w:val="en-US" w:eastAsia="zh-CN"/>
        </w:rPr>
        <w:t>年，马拉喀什，修订版）而可能做出的修改，以便为合理、高效和经济地使用无线电频率及任何相关联轨道（包括对地静止卫星轨道）提供便利</w:t>
      </w:r>
      <w:r>
        <w:rPr>
          <w:rFonts w:hint="eastAsia"/>
          <w:lang w:eastAsia="zh-CN"/>
        </w:rPr>
        <w:t>；</w:t>
      </w:r>
    </w:p>
    <w:p w14:paraId="3340E575" w14:textId="77777777" w:rsidR="00C87A66" w:rsidRPr="00B507B5" w:rsidRDefault="00C87A66" w:rsidP="00C87A66">
      <w:pPr>
        <w:rPr>
          <w:lang w:eastAsia="zh-CN"/>
        </w:rPr>
      </w:pPr>
      <w:r w:rsidRPr="00B507B5">
        <w:rPr>
          <w:lang w:eastAsia="zh-CN"/>
        </w:rPr>
        <w:t>8</w:t>
      </w:r>
      <w:r w:rsidRPr="00D73CEC">
        <w:rPr>
          <w:lang w:eastAsia="zh-CN"/>
        </w:rPr>
        <w:tab/>
      </w:r>
      <w:r>
        <w:rPr>
          <w:rFonts w:hint="eastAsia"/>
          <w:lang w:eastAsia="zh-CN"/>
        </w:rPr>
        <w:t>虑及</w:t>
      </w:r>
      <w:r w:rsidRPr="00D73CEC">
        <w:rPr>
          <w:rFonts w:hint="eastAsia"/>
          <w:lang w:eastAsia="zh-CN"/>
        </w:rPr>
        <w:t>第</w:t>
      </w:r>
      <w:r w:rsidRPr="00D73CEC">
        <w:rPr>
          <w:rFonts w:hint="eastAsia"/>
          <w:b/>
          <w:bCs/>
          <w:lang w:eastAsia="zh-CN"/>
        </w:rPr>
        <w:t>26</w:t>
      </w:r>
      <w:r w:rsidRPr="00D73CEC">
        <w:rPr>
          <w:rFonts w:hint="eastAsia"/>
          <w:lang w:eastAsia="zh-CN"/>
        </w:rPr>
        <w:t>号决议</w:t>
      </w:r>
      <w:r w:rsidRPr="00D73CEC">
        <w:rPr>
          <w:rFonts w:hint="eastAsia"/>
          <w:b/>
          <w:bCs/>
          <w:lang w:eastAsia="zh-CN"/>
        </w:rPr>
        <w:t>（</w:t>
      </w:r>
      <w:r w:rsidRPr="00D73CEC">
        <w:rPr>
          <w:rFonts w:hint="eastAsia"/>
          <w:b/>
          <w:bCs/>
          <w:lang w:eastAsia="zh-CN"/>
        </w:rPr>
        <w:t>WRC</w:t>
      </w:r>
      <w:r>
        <w:rPr>
          <w:b/>
          <w:bCs/>
          <w:lang w:eastAsia="zh-CN"/>
        </w:rPr>
        <w:t>-</w:t>
      </w:r>
      <w:r w:rsidRPr="005D2C0B">
        <w:rPr>
          <w:b/>
          <w:bCs/>
          <w:lang w:eastAsia="zh-CN"/>
        </w:rPr>
        <w:t>19</w:t>
      </w:r>
      <w:r w:rsidRPr="00D73CEC">
        <w:rPr>
          <w:rFonts w:hint="eastAsia"/>
          <w:b/>
          <w:bCs/>
          <w:lang w:eastAsia="zh-CN"/>
        </w:rPr>
        <w:t>，修订版）</w:t>
      </w:r>
      <w:r w:rsidRPr="00D73CEC">
        <w:rPr>
          <w:rFonts w:hint="eastAsia"/>
          <w:lang w:eastAsia="zh-CN"/>
        </w:rPr>
        <w:t>，审议主管部门有</w:t>
      </w:r>
      <w:r w:rsidRPr="00D73CEC">
        <w:rPr>
          <w:lang w:eastAsia="zh-CN"/>
        </w:rPr>
        <w:t>关</w:t>
      </w:r>
      <w:r w:rsidRPr="00D73CEC">
        <w:rPr>
          <w:rFonts w:hint="eastAsia"/>
          <w:lang w:eastAsia="zh-CN"/>
        </w:rPr>
        <w:t>删除其国家脚注或将其国名从脚注中删除的请求（如果不再需要），并就这些请求采取适当行动；</w:t>
      </w:r>
    </w:p>
    <w:p w14:paraId="5BAF8C99" w14:textId="77777777" w:rsidR="00C87A66" w:rsidRPr="00D73CEC" w:rsidRDefault="00C87A66" w:rsidP="00C87A66">
      <w:pPr>
        <w:rPr>
          <w:lang w:val="en-US" w:eastAsia="zh-CN"/>
        </w:rPr>
      </w:pPr>
      <w:r w:rsidRPr="00D73CEC">
        <w:rPr>
          <w:rFonts w:hint="eastAsia"/>
          <w:lang w:val="en-US" w:eastAsia="zh-CN"/>
        </w:rPr>
        <w:t>9</w:t>
      </w:r>
      <w:r w:rsidRPr="00D73CEC">
        <w:rPr>
          <w:lang w:val="en-US" w:eastAsia="zh-CN"/>
        </w:rPr>
        <w:tab/>
      </w:r>
      <w:r w:rsidRPr="00D73CEC">
        <w:rPr>
          <w:rFonts w:hint="eastAsia"/>
          <w:lang w:val="zh-CN" w:eastAsia="zh-CN"/>
        </w:rPr>
        <w:t>按照</w:t>
      </w:r>
      <w:r>
        <w:rPr>
          <w:rFonts w:hint="eastAsia"/>
          <w:lang w:val="zh-CN" w:eastAsia="zh-CN"/>
        </w:rPr>
        <w:t>国际电联</w:t>
      </w:r>
      <w:r w:rsidRPr="00D73CEC">
        <w:rPr>
          <w:rFonts w:hint="eastAsia"/>
          <w:lang w:val="zh-CN" w:eastAsia="zh-CN"/>
        </w:rPr>
        <w:t>《公约》第</w:t>
      </w:r>
      <w:r w:rsidRPr="00D73CEC">
        <w:rPr>
          <w:lang w:eastAsia="zh-CN"/>
        </w:rPr>
        <w:t>7</w:t>
      </w:r>
      <w:r w:rsidRPr="00D73CEC">
        <w:rPr>
          <w:rFonts w:hint="eastAsia"/>
          <w:lang w:val="zh-CN" w:eastAsia="zh-CN"/>
        </w:rPr>
        <w:t>条，</w:t>
      </w:r>
      <w:r w:rsidRPr="00D73CEC">
        <w:rPr>
          <w:rFonts w:hint="eastAsia"/>
          <w:lang w:eastAsia="zh-CN"/>
        </w:rPr>
        <w:t>审议</w:t>
      </w:r>
      <w:r>
        <w:rPr>
          <w:rFonts w:hint="eastAsia"/>
          <w:lang w:val="zh-CN" w:eastAsia="zh-CN"/>
        </w:rPr>
        <w:t>和</w:t>
      </w:r>
      <w:r w:rsidRPr="00D73CEC">
        <w:rPr>
          <w:rFonts w:hint="eastAsia"/>
          <w:lang w:val="zh-CN" w:eastAsia="zh-CN"/>
        </w:rPr>
        <w:t>批准无线电通信局主任关于下列内容的报告</w:t>
      </w:r>
      <w:r>
        <w:rPr>
          <w:rFonts w:hint="eastAsia"/>
          <w:lang w:val="zh-CN" w:eastAsia="zh-CN"/>
        </w:rPr>
        <w:t>：</w:t>
      </w:r>
    </w:p>
    <w:p w14:paraId="78B1B447" w14:textId="77777777" w:rsidR="00C87A66" w:rsidRPr="00B507B5" w:rsidRDefault="00C87A66" w:rsidP="00C87A66">
      <w:pPr>
        <w:rPr>
          <w:lang w:eastAsia="zh-CN"/>
        </w:rPr>
      </w:pPr>
      <w:r w:rsidRPr="00D73CEC">
        <w:rPr>
          <w:rFonts w:hint="eastAsia"/>
          <w:lang w:val="en-US" w:eastAsia="zh-CN"/>
        </w:rPr>
        <w:t>9.1</w:t>
      </w:r>
      <w:r w:rsidRPr="00D73CEC">
        <w:rPr>
          <w:b/>
          <w:lang w:val="en-US" w:eastAsia="zh-CN"/>
        </w:rPr>
        <w:tab/>
      </w:r>
      <w:r w:rsidRPr="00B507B5">
        <w:rPr>
          <w:rFonts w:hint="eastAsia"/>
          <w:lang w:eastAsia="zh-CN"/>
        </w:rPr>
        <w:t>自</w:t>
      </w:r>
      <w:r w:rsidRPr="00B507B5">
        <w:rPr>
          <w:lang w:eastAsia="zh-CN"/>
        </w:rPr>
        <w:t>WRC-19</w:t>
      </w:r>
      <w:r w:rsidRPr="00B507B5">
        <w:rPr>
          <w:rFonts w:hint="eastAsia"/>
          <w:lang w:eastAsia="zh-CN"/>
        </w:rPr>
        <w:t>以来国际电联无线电通信部门的活动</w:t>
      </w:r>
      <w:r>
        <w:rPr>
          <w:rFonts w:hint="eastAsia"/>
          <w:lang w:eastAsia="zh-CN"/>
        </w:rPr>
        <w:t>：</w:t>
      </w:r>
    </w:p>
    <w:p w14:paraId="545DFACF" w14:textId="77777777" w:rsidR="00C87A66" w:rsidRPr="00662CF0" w:rsidRDefault="00C87A66" w:rsidP="00C87A66">
      <w:pPr>
        <w:pStyle w:val="enumlev1"/>
        <w:rPr>
          <w:lang w:eastAsia="zh-CN"/>
        </w:rPr>
      </w:pPr>
      <w:r w:rsidRPr="00316A4C">
        <w:rPr>
          <w:lang w:eastAsia="zh-CN"/>
        </w:rPr>
        <w:t>–</w:t>
      </w:r>
      <w:r w:rsidRPr="00316A4C">
        <w:rPr>
          <w:lang w:eastAsia="zh-CN"/>
        </w:rPr>
        <w:tab/>
      </w:r>
      <w:r w:rsidRPr="00A716CF">
        <w:rPr>
          <w:lang w:eastAsia="zh-CN"/>
        </w:rPr>
        <w:t>根据第</w:t>
      </w:r>
      <w:r w:rsidRPr="00A716CF">
        <w:rPr>
          <w:b/>
          <w:bCs/>
          <w:lang w:eastAsia="zh-CN"/>
        </w:rPr>
        <w:t>657</w:t>
      </w:r>
      <w:r w:rsidRPr="00A716CF">
        <w:rPr>
          <w:lang w:eastAsia="zh-CN"/>
        </w:rPr>
        <w:t>号决议</w:t>
      </w:r>
      <w:r w:rsidRPr="00B507B5">
        <w:rPr>
          <w:rFonts w:hint="eastAsia"/>
          <w:b/>
          <w:bCs/>
          <w:lang w:eastAsia="zh-CN"/>
        </w:rPr>
        <w:t>（</w:t>
      </w:r>
      <w:r w:rsidRPr="00A716CF">
        <w:rPr>
          <w:b/>
          <w:bCs/>
          <w:lang w:eastAsia="zh-CN"/>
        </w:rPr>
        <w:t>WRC-19</w:t>
      </w:r>
      <w:r w:rsidRPr="00A716CF">
        <w:rPr>
          <w:rFonts w:hint="eastAsia"/>
          <w:b/>
          <w:bCs/>
          <w:lang w:eastAsia="zh-CN"/>
        </w:rPr>
        <w:t>，修订版</w:t>
      </w:r>
      <w:r w:rsidRPr="00B507B5">
        <w:rPr>
          <w:rFonts w:hint="eastAsia"/>
          <w:b/>
          <w:bCs/>
          <w:lang w:eastAsia="zh-CN"/>
        </w:rPr>
        <w:t>）</w:t>
      </w:r>
      <w:r w:rsidRPr="00A716CF">
        <w:rPr>
          <w:lang w:eastAsia="zh-CN"/>
        </w:rPr>
        <w:t>，审议</w:t>
      </w:r>
      <w:r w:rsidRPr="00981D3F">
        <w:rPr>
          <w:lang w:eastAsia="zh-CN"/>
        </w:rPr>
        <w:t>与</w:t>
      </w:r>
      <w:r>
        <w:rPr>
          <w:rFonts w:hint="eastAsia"/>
          <w:lang w:eastAsia="zh-CN"/>
        </w:rPr>
        <w:t>空间</w:t>
      </w:r>
      <w:r w:rsidRPr="00981D3F">
        <w:rPr>
          <w:rFonts w:hint="eastAsia"/>
          <w:lang w:eastAsia="zh-CN"/>
        </w:rPr>
        <w:t>天气</w:t>
      </w:r>
      <w:r w:rsidRPr="00A716CF">
        <w:rPr>
          <w:lang w:eastAsia="zh-CN"/>
        </w:rPr>
        <w:t>传感器的技术和操作特性、频谱需求和适当的无线电业务标识相关的研究结果，</w:t>
      </w:r>
      <w:r>
        <w:rPr>
          <w:rFonts w:hint="eastAsia"/>
          <w:lang w:eastAsia="zh-CN"/>
        </w:rPr>
        <w:t>以便在</w:t>
      </w:r>
      <w:r w:rsidRPr="00A716CF">
        <w:rPr>
          <w:lang w:eastAsia="zh-CN"/>
        </w:rPr>
        <w:t>不给现有业务带来额外限制的情况下，在《无线电规则》中提供适当的认可和保</w:t>
      </w:r>
      <w:r w:rsidRPr="00A716CF">
        <w:rPr>
          <w:rFonts w:hint="eastAsia"/>
          <w:lang w:eastAsia="zh-CN"/>
        </w:rPr>
        <w:t>护；</w:t>
      </w:r>
    </w:p>
    <w:p w14:paraId="346BAA25" w14:textId="77777777" w:rsidR="00C87A66" w:rsidRDefault="00C87A66" w:rsidP="00C87A66">
      <w:pPr>
        <w:pStyle w:val="enumlev1"/>
        <w:rPr>
          <w:bCs/>
          <w:lang w:eastAsia="nl-NL"/>
        </w:rPr>
      </w:pPr>
      <w:r>
        <w:rPr>
          <w:lang w:eastAsia="zh-CN"/>
        </w:rPr>
        <w:t>–</w:t>
      </w:r>
      <w:r>
        <w:rPr>
          <w:lang w:eastAsia="zh-CN"/>
        </w:rPr>
        <w:tab/>
      </w:r>
      <w:r>
        <w:rPr>
          <w:rFonts w:hint="eastAsia"/>
          <w:lang w:eastAsia="zh-CN"/>
        </w:rPr>
        <w:t>根据第</w:t>
      </w:r>
      <w:r w:rsidRPr="00B507B5">
        <w:rPr>
          <w:rFonts w:cs="Traditional Arabic"/>
          <w:b/>
          <w:bCs/>
          <w:lang w:eastAsia="zh-CN"/>
        </w:rPr>
        <w:t>774</w:t>
      </w:r>
      <w:r>
        <w:rPr>
          <w:rFonts w:hint="eastAsia"/>
          <w:lang w:eastAsia="zh-CN"/>
        </w:rPr>
        <w:t>号决议</w:t>
      </w:r>
      <w:r w:rsidRPr="003F68FD">
        <w:rPr>
          <w:rFonts w:hint="eastAsia"/>
          <w:b/>
          <w:bCs/>
          <w:lang w:eastAsia="zh-CN"/>
        </w:rPr>
        <w:t>（</w:t>
      </w:r>
      <w:r w:rsidRPr="001B3436">
        <w:rPr>
          <w:b/>
          <w:lang w:eastAsia="nl-NL"/>
        </w:rPr>
        <w:t>WRC-19</w:t>
      </w:r>
      <w:r>
        <w:rPr>
          <w:rFonts w:hint="eastAsia"/>
          <w:b/>
          <w:lang w:eastAsia="zh-CN"/>
        </w:rPr>
        <w:t>），</w:t>
      </w:r>
      <w:r>
        <w:rPr>
          <w:rFonts w:hint="eastAsia"/>
          <w:lang w:eastAsia="zh-CN"/>
        </w:rPr>
        <w:t>审议</w:t>
      </w:r>
      <w:r>
        <w:rPr>
          <w:rFonts w:hint="eastAsia"/>
          <w:lang w:eastAsia="zh-CN"/>
        </w:rPr>
        <w:t xml:space="preserve">1 </w:t>
      </w:r>
      <w:r w:rsidRPr="001B3436">
        <w:rPr>
          <w:lang w:eastAsia="zh-CN"/>
        </w:rPr>
        <w:t>240</w:t>
      </w:r>
      <w:r>
        <w:rPr>
          <w:lang w:eastAsia="zh-CN"/>
        </w:rPr>
        <w:noBreakHyphen/>
      </w:r>
      <w:r w:rsidRPr="001B3436">
        <w:rPr>
          <w:lang w:eastAsia="zh-CN"/>
        </w:rPr>
        <w:t>1 300 MHz</w:t>
      </w:r>
      <w:r>
        <w:rPr>
          <w:rFonts w:hint="eastAsia"/>
          <w:lang w:eastAsia="zh-CN"/>
        </w:rPr>
        <w:t>频段内业余业务和卫星业余业务的划分，以确定是否需要采取额外措施，确保对在相同频段内操作的卫星无线电导航业务（空对地）的保护；</w:t>
      </w:r>
    </w:p>
    <w:p w14:paraId="216B2A34" w14:textId="77777777" w:rsidR="00C87A66" w:rsidRPr="003F68FD" w:rsidRDefault="00C87A66" w:rsidP="00C87A66">
      <w:pPr>
        <w:pStyle w:val="enumlev1"/>
        <w:rPr>
          <w:bCs/>
          <w:lang w:eastAsia="nl-NL"/>
        </w:rPr>
      </w:pPr>
      <w:r>
        <w:rPr>
          <w:bCs/>
          <w:lang w:eastAsia="nl-NL"/>
        </w:rPr>
        <w:t>–</w:t>
      </w:r>
      <w:r>
        <w:rPr>
          <w:bCs/>
          <w:lang w:eastAsia="nl-NL"/>
        </w:rPr>
        <w:tab/>
      </w:r>
      <w:r>
        <w:rPr>
          <w:rFonts w:cstheme="minorHAnsi" w:hint="eastAsia"/>
          <w:szCs w:val="24"/>
          <w:lang w:eastAsia="zh-CN"/>
        </w:rPr>
        <w:t>根据第</w:t>
      </w:r>
      <w:r w:rsidRPr="00B507B5">
        <w:rPr>
          <w:rFonts w:cs="Traditional Arabic"/>
          <w:b/>
          <w:bCs/>
          <w:lang w:eastAsia="zh-CN"/>
        </w:rPr>
        <w:t>175</w:t>
      </w:r>
      <w:r w:rsidRPr="007C6D61">
        <w:rPr>
          <w:rFonts w:cstheme="minorHAnsi" w:hint="eastAsia"/>
          <w:szCs w:val="24"/>
          <w:lang w:eastAsia="zh-CN"/>
        </w:rPr>
        <w:t>号决议</w:t>
      </w:r>
      <w:r>
        <w:rPr>
          <w:rFonts w:cstheme="minorHAnsi" w:hint="eastAsia"/>
          <w:b/>
          <w:bCs/>
          <w:szCs w:val="24"/>
          <w:lang w:eastAsia="zh-CN"/>
        </w:rPr>
        <w:t>（</w:t>
      </w:r>
      <w:r w:rsidRPr="00AD37E4">
        <w:rPr>
          <w:rFonts w:cstheme="minorHAnsi"/>
          <w:b/>
          <w:bCs/>
          <w:szCs w:val="24"/>
          <w:lang w:eastAsia="zh-CN"/>
        </w:rPr>
        <w:t>WRC-19</w:t>
      </w:r>
      <w:r>
        <w:rPr>
          <w:rFonts w:cstheme="minorHAnsi" w:hint="eastAsia"/>
          <w:b/>
          <w:bCs/>
          <w:szCs w:val="24"/>
          <w:lang w:eastAsia="zh-CN"/>
        </w:rPr>
        <w:t>），</w:t>
      </w:r>
      <w:r w:rsidRPr="00E26A4C">
        <w:rPr>
          <w:rFonts w:cstheme="minorHAnsi" w:hint="eastAsia"/>
          <w:szCs w:val="24"/>
          <w:lang w:eastAsia="zh-CN"/>
        </w:rPr>
        <w:t>研究</w:t>
      </w:r>
      <w:r>
        <w:rPr>
          <w:rFonts w:cstheme="minorHAnsi" w:hint="eastAsia"/>
          <w:szCs w:val="24"/>
          <w:lang w:eastAsia="zh-CN"/>
        </w:rPr>
        <w:t>在</w:t>
      </w:r>
      <w:r w:rsidRPr="00E26A4C">
        <w:rPr>
          <w:rFonts w:cstheme="minorHAnsi" w:hint="eastAsia"/>
          <w:szCs w:val="24"/>
          <w:lang w:eastAsia="zh-CN"/>
        </w:rPr>
        <w:t>固定业务作为主要业务</w:t>
      </w:r>
      <w:r>
        <w:rPr>
          <w:rFonts w:cstheme="minorHAnsi" w:hint="eastAsia"/>
          <w:szCs w:val="24"/>
          <w:lang w:eastAsia="zh-CN"/>
        </w:rPr>
        <w:t>划分</w:t>
      </w:r>
      <w:r w:rsidRPr="00E26A4C">
        <w:rPr>
          <w:rFonts w:cstheme="minorHAnsi" w:hint="eastAsia"/>
          <w:szCs w:val="24"/>
          <w:lang w:eastAsia="zh-CN"/>
        </w:rPr>
        <w:t>的频段</w:t>
      </w:r>
      <w:r>
        <w:rPr>
          <w:rFonts w:cstheme="minorHAnsi" w:hint="eastAsia"/>
          <w:szCs w:val="24"/>
          <w:lang w:eastAsia="zh-CN"/>
        </w:rPr>
        <w:t>内将</w:t>
      </w:r>
      <w:r w:rsidRPr="00E26A4C">
        <w:rPr>
          <w:rFonts w:cstheme="minorHAnsi" w:hint="eastAsia"/>
          <w:szCs w:val="24"/>
          <w:lang w:eastAsia="zh-CN"/>
        </w:rPr>
        <w:t>国际移动通信系统用于固定无线宽带；</w:t>
      </w:r>
    </w:p>
    <w:p w14:paraId="5E8ACF98" w14:textId="77777777" w:rsidR="007F2083" w:rsidRDefault="007F2083">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273EE1C9" w14:textId="29C3FB42" w:rsidR="00C87A66" w:rsidRPr="00B507B5" w:rsidRDefault="00C87A66" w:rsidP="00C87A66">
      <w:pPr>
        <w:rPr>
          <w:lang w:eastAsia="zh-CN"/>
        </w:rPr>
      </w:pPr>
      <w:r w:rsidRPr="00B507B5">
        <w:rPr>
          <w:lang w:eastAsia="zh-CN"/>
        </w:rPr>
        <w:lastRenderedPageBreak/>
        <w:t>9.2</w:t>
      </w:r>
      <w:r w:rsidRPr="00B507B5">
        <w:rPr>
          <w:lang w:eastAsia="zh-CN"/>
        </w:rPr>
        <w:tab/>
      </w:r>
      <w:r w:rsidRPr="00B507B5">
        <w:rPr>
          <w:rFonts w:hint="eastAsia"/>
          <w:lang w:eastAsia="zh-CN"/>
        </w:rPr>
        <w:t>应用《无线电规则》过程中遇到的任何困难或矛盾之处；以及</w:t>
      </w:r>
      <w:r w:rsidRPr="00B507B5">
        <w:rPr>
          <w:rStyle w:val="FootnoteReference"/>
          <w:lang w:eastAsia="zh-CN"/>
        </w:rPr>
        <w:footnoteReference w:customMarkFollows="1" w:id="12"/>
        <w:t>1</w:t>
      </w:r>
      <w:r w:rsidRPr="00B507B5">
        <w:rPr>
          <w:lang w:eastAsia="zh-CN"/>
        </w:rPr>
        <w:t xml:space="preserve"> </w:t>
      </w:r>
    </w:p>
    <w:p w14:paraId="3268AE24" w14:textId="77777777" w:rsidR="00C87A66" w:rsidRPr="00B507B5" w:rsidRDefault="00C87A66" w:rsidP="00C87A66">
      <w:pPr>
        <w:rPr>
          <w:lang w:eastAsia="zh-CN"/>
        </w:rPr>
      </w:pPr>
      <w:r w:rsidRPr="00B507B5">
        <w:rPr>
          <w:lang w:eastAsia="zh-CN"/>
        </w:rPr>
        <w:t>9.3</w:t>
      </w:r>
      <w:r w:rsidRPr="00B507B5">
        <w:rPr>
          <w:lang w:eastAsia="zh-CN"/>
        </w:rPr>
        <w:tab/>
      </w:r>
      <w:r w:rsidRPr="00B507B5">
        <w:rPr>
          <w:rFonts w:hint="eastAsia"/>
          <w:lang w:eastAsia="zh-CN"/>
        </w:rPr>
        <w:t>为回应第</w:t>
      </w:r>
      <w:r w:rsidRPr="00B507B5">
        <w:rPr>
          <w:b/>
          <w:bCs/>
          <w:lang w:eastAsia="zh-CN"/>
        </w:rPr>
        <w:t>80</w:t>
      </w:r>
      <w:r w:rsidRPr="00B507B5">
        <w:rPr>
          <w:rFonts w:hint="eastAsia"/>
          <w:lang w:eastAsia="zh-CN"/>
        </w:rPr>
        <w:t>号决议</w:t>
      </w:r>
      <w:r w:rsidRPr="00B507B5">
        <w:rPr>
          <w:rFonts w:hint="eastAsia"/>
          <w:b/>
          <w:bCs/>
          <w:lang w:eastAsia="zh-CN"/>
        </w:rPr>
        <w:t>（</w:t>
      </w:r>
      <w:r w:rsidRPr="00D73CEC">
        <w:rPr>
          <w:b/>
          <w:lang w:eastAsia="zh-CN"/>
        </w:rPr>
        <w:t>WRC</w:t>
      </w:r>
      <w:r>
        <w:rPr>
          <w:rFonts w:hint="eastAsia"/>
          <w:b/>
          <w:bCs/>
          <w:lang w:eastAsia="zh-CN"/>
        </w:rPr>
        <w:t>-</w:t>
      </w:r>
      <w:r>
        <w:rPr>
          <w:b/>
          <w:bCs/>
          <w:lang w:eastAsia="zh-CN"/>
        </w:rPr>
        <w:t>07</w:t>
      </w:r>
      <w:r w:rsidRPr="00D73CEC">
        <w:rPr>
          <w:b/>
          <w:lang w:eastAsia="zh-CN"/>
        </w:rPr>
        <w:t>，</w:t>
      </w:r>
      <w:r w:rsidRPr="00B507B5">
        <w:rPr>
          <w:rFonts w:hint="eastAsia"/>
          <w:b/>
          <w:bCs/>
          <w:lang w:eastAsia="zh-CN"/>
        </w:rPr>
        <w:t>修订版）</w:t>
      </w:r>
      <w:r w:rsidRPr="00B507B5">
        <w:rPr>
          <w:rFonts w:hint="eastAsia"/>
          <w:lang w:eastAsia="zh-CN"/>
        </w:rPr>
        <w:t>而采取的行动；</w:t>
      </w:r>
    </w:p>
    <w:p w14:paraId="74ED77E9" w14:textId="77777777" w:rsidR="00C87A66" w:rsidRPr="00B507B5" w:rsidRDefault="00C87A66" w:rsidP="00C87A66">
      <w:pPr>
        <w:rPr>
          <w:lang w:eastAsia="zh-CN"/>
        </w:rPr>
      </w:pPr>
      <w:r w:rsidRPr="00D73CEC">
        <w:rPr>
          <w:rFonts w:hint="eastAsia"/>
          <w:lang w:eastAsia="zh-CN"/>
        </w:rPr>
        <w:t>10</w:t>
      </w:r>
      <w:r w:rsidRPr="00D73CEC">
        <w:rPr>
          <w:lang w:eastAsia="zh-CN"/>
        </w:rPr>
        <w:tab/>
      </w:r>
      <w:r w:rsidRPr="00D73CEC">
        <w:rPr>
          <w:rFonts w:hint="eastAsia"/>
          <w:lang w:eastAsia="zh-CN"/>
        </w:rPr>
        <w:t>根据</w:t>
      </w:r>
      <w:r>
        <w:rPr>
          <w:rFonts w:hint="eastAsia"/>
          <w:lang w:eastAsia="zh-CN"/>
        </w:rPr>
        <w:t>国际电联</w:t>
      </w:r>
      <w:r w:rsidRPr="00D73CEC">
        <w:rPr>
          <w:rFonts w:hint="eastAsia"/>
          <w:lang w:eastAsia="zh-CN"/>
        </w:rPr>
        <w:t>《公约》第</w:t>
      </w:r>
      <w:r w:rsidRPr="00D73CEC">
        <w:rPr>
          <w:rFonts w:hint="eastAsia"/>
          <w:lang w:eastAsia="zh-CN"/>
        </w:rPr>
        <w:t>7</w:t>
      </w:r>
      <w:r w:rsidRPr="00D73CEC">
        <w:rPr>
          <w:rFonts w:hint="eastAsia"/>
          <w:lang w:eastAsia="zh-CN"/>
        </w:rPr>
        <w:t>条</w:t>
      </w:r>
      <w:r>
        <w:rPr>
          <w:rFonts w:hint="eastAsia"/>
          <w:lang w:eastAsia="zh-CN"/>
        </w:rPr>
        <w:t>和</w:t>
      </w:r>
      <w:r w:rsidRPr="00B507B5">
        <w:rPr>
          <w:rFonts w:hint="eastAsia"/>
          <w:lang w:eastAsia="zh-CN"/>
        </w:rPr>
        <w:t>第</w:t>
      </w:r>
      <w:r w:rsidRPr="00013C42">
        <w:rPr>
          <w:b/>
          <w:bCs/>
          <w:iCs/>
          <w:lang w:eastAsia="zh-CN"/>
        </w:rPr>
        <w:t>804</w:t>
      </w:r>
      <w:r w:rsidRPr="00B507B5">
        <w:rPr>
          <w:rFonts w:hint="eastAsia"/>
          <w:lang w:eastAsia="zh-CN"/>
        </w:rPr>
        <w:t>号决议</w:t>
      </w:r>
      <w:r w:rsidRPr="00B507B5">
        <w:rPr>
          <w:rFonts w:hint="eastAsia"/>
          <w:b/>
          <w:bCs/>
          <w:lang w:eastAsia="zh-CN"/>
        </w:rPr>
        <w:t>（</w:t>
      </w:r>
      <w:r w:rsidRPr="00605E64">
        <w:rPr>
          <w:b/>
          <w:lang w:eastAsia="zh-CN"/>
        </w:rPr>
        <w:t>WRC-19</w:t>
      </w:r>
      <w:r w:rsidRPr="00D73CEC">
        <w:rPr>
          <w:b/>
          <w:lang w:eastAsia="zh-CN"/>
        </w:rPr>
        <w:t>，</w:t>
      </w:r>
      <w:r w:rsidRPr="00B507B5">
        <w:rPr>
          <w:rFonts w:hint="eastAsia"/>
          <w:b/>
          <w:bCs/>
          <w:lang w:eastAsia="zh-CN"/>
        </w:rPr>
        <w:t>修订版）</w:t>
      </w:r>
      <w:r w:rsidRPr="00D73CEC">
        <w:rPr>
          <w:rFonts w:hint="eastAsia"/>
          <w:lang w:eastAsia="zh-CN"/>
        </w:rPr>
        <w:t>，向</w:t>
      </w:r>
      <w:r>
        <w:rPr>
          <w:rFonts w:hint="eastAsia"/>
          <w:lang w:eastAsia="zh-CN"/>
        </w:rPr>
        <w:t>国际电联</w:t>
      </w:r>
      <w:r w:rsidRPr="00D73CEC">
        <w:rPr>
          <w:rFonts w:hint="eastAsia"/>
          <w:lang w:eastAsia="zh-CN"/>
        </w:rPr>
        <w:t>理事会建议纳入下届世界无线电通信大会议程的议项</w:t>
      </w:r>
      <w:r>
        <w:rPr>
          <w:rFonts w:hint="eastAsia"/>
          <w:lang w:eastAsia="zh-CN"/>
        </w:rPr>
        <w:t>以及</w:t>
      </w:r>
      <w:r w:rsidRPr="00D73CEC">
        <w:rPr>
          <w:rFonts w:hint="eastAsia"/>
          <w:lang w:eastAsia="zh-CN"/>
        </w:rPr>
        <w:t>未来大会初步议程</w:t>
      </w:r>
      <w:r>
        <w:rPr>
          <w:rFonts w:hint="eastAsia"/>
          <w:lang w:eastAsia="zh-CN"/>
        </w:rPr>
        <w:t>的议项。</w:t>
      </w:r>
    </w:p>
    <w:p w14:paraId="551E27DE" w14:textId="63F2837F" w:rsidR="00C87A66" w:rsidRPr="00294FB4" w:rsidRDefault="00A50C20" w:rsidP="00BE058D">
      <w:pPr>
        <w:pStyle w:val="Endtext"/>
        <w:tabs>
          <w:tab w:val="clear" w:pos="1701"/>
          <w:tab w:val="clear" w:pos="2268"/>
          <w:tab w:val="clear" w:pos="2835"/>
          <w:tab w:val="left" w:pos="1191"/>
          <w:tab w:val="left" w:pos="1588"/>
          <w:tab w:val="left" w:pos="1985"/>
        </w:tabs>
        <w:ind w:left="567" w:hanging="567"/>
        <w:jc w:val="both"/>
        <w:rPr>
          <w:rFonts w:cs="Arial"/>
          <w:szCs w:val="24"/>
          <w:lang w:eastAsia="zh-CN"/>
        </w:rPr>
      </w:pPr>
      <w:r w:rsidRPr="00294FB4">
        <w:rPr>
          <w:rFonts w:cs="Arial" w:hint="eastAsia"/>
          <w:szCs w:val="24"/>
          <w:lang w:eastAsia="zh-CN"/>
        </w:rPr>
        <w:t>参阅</w:t>
      </w:r>
      <w:r w:rsidR="00BE058D" w:rsidRPr="00294FB4">
        <w:rPr>
          <w:rFonts w:ascii="SimSun" w:eastAsia="SimSun" w:hAnsi="SimSun" w:cs="Arial" w:hint="eastAsia"/>
          <w:szCs w:val="24"/>
          <w:lang w:eastAsia="zh-CN"/>
        </w:rPr>
        <w:t>：</w:t>
      </w:r>
      <w:r w:rsidRPr="00294FB4">
        <w:rPr>
          <w:rFonts w:cs="Arial"/>
          <w:szCs w:val="24"/>
          <w:lang w:eastAsia="zh-CN"/>
        </w:rPr>
        <w:tab/>
      </w:r>
      <w:hyperlink r:id="rId387" w:history="1">
        <w:r w:rsidRPr="00294FB4">
          <w:rPr>
            <w:rStyle w:val="Hyperlink"/>
            <w:rFonts w:cs="Arial"/>
            <w:szCs w:val="24"/>
            <w:lang w:eastAsia="zh-CN"/>
          </w:rPr>
          <w:t>C20/69</w:t>
        </w:r>
      </w:hyperlink>
      <w:r w:rsidRPr="00294FB4">
        <w:rPr>
          <w:rFonts w:cs="Arial" w:hint="eastAsia"/>
          <w:szCs w:val="24"/>
          <w:lang w:eastAsia="zh-CN"/>
        </w:rPr>
        <w:t>、</w:t>
      </w:r>
      <w:hyperlink r:id="rId388" w:history="1">
        <w:r w:rsidRPr="00294FB4">
          <w:rPr>
            <w:rStyle w:val="Hyperlink"/>
            <w:rFonts w:cs="Arial"/>
            <w:szCs w:val="24"/>
            <w:lang w:eastAsia="zh-CN"/>
          </w:rPr>
          <w:t>VC/16</w:t>
        </w:r>
      </w:hyperlink>
      <w:r w:rsidRPr="00294FB4">
        <w:rPr>
          <w:rFonts w:cs="Arial" w:hint="eastAsia"/>
          <w:szCs w:val="24"/>
          <w:lang w:eastAsia="zh-CN"/>
        </w:rPr>
        <w:t>和</w:t>
      </w:r>
      <w:hyperlink r:id="rId389" w:history="1">
        <w:r w:rsidRPr="00294FB4">
          <w:rPr>
            <w:rStyle w:val="Hyperlink"/>
            <w:rFonts w:cs="Arial"/>
            <w:szCs w:val="24"/>
            <w:lang w:eastAsia="zh-CN"/>
          </w:rPr>
          <w:t>DM-20/1011</w:t>
        </w:r>
      </w:hyperlink>
      <w:r w:rsidRPr="00294FB4">
        <w:rPr>
          <w:rFonts w:cs="Arial" w:hint="eastAsia"/>
          <w:szCs w:val="24"/>
          <w:lang w:eastAsia="zh-CN"/>
        </w:rPr>
        <w:t>号文件</w:t>
      </w:r>
    </w:p>
    <w:p w14:paraId="7AF408B2" w14:textId="2E30F2FC" w:rsidR="009E244A" w:rsidRPr="00E67C01" w:rsidRDefault="00C87A66" w:rsidP="00E67C01">
      <w:pPr>
        <w:jc w:val="center"/>
        <w:rPr>
          <w:lang w:eastAsia="zh-CN"/>
        </w:rPr>
      </w:pPr>
      <w:r>
        <w:rPr>
          <w:lang w:eastAsia="zh-CN"/>
        </w:rPr>
        <w:t>_______________</w:t>
      </w:r>
    </w:p>
    <w:p w14:paraId="4827B6BF" w14:textId="72DA6C50" w:rsidR="008B2BF0" w:rsidRDefault="008B2BF0" w:rsidP="00795AF8">
      <w:pPr>
        <w:pStyle w:val="DecNo"/>
        <w:outlineLvl w:val="0"/>
      </w:pPr>
      <w:bookmarkStart w:id="1956" w:name="_Toc16085831"/>
      <w:bookmarkStart w:id="1957" w:name="_Toc86395631"/>
      <w:bookmarkStart w:id="1958" w:name="Annex2"/>
      <w:r>
        <w:rPr>
          <w:rFonts w:hint="eastAsia"/>
        </w:rPr>
        <w:t>第</w:t>
      </w:r>
      <w:r>
        <w:rPr>
          <w:lang w:val="fr-CH"/>
        </w:rPr>
        <w:t>608</w:t>
      </w:r>
      <w:r>
        <w:rPr>
          <w:rFonts w:hint="eastAsia"/>
        </w:rPr>
        <w:t>号决定（</w:t>
      </w:r>
      <w:r>
        <w:rPr>
          <w:rFonts w:hint="eastAsia"/>
        </w:rPr>
        <w:t>C19</w:t>
      </w:r>
      <w:r w:rsidR="00772A0D">
        <w:rPr>
          <w:rFonts w:hint="eastAsia"/>
        </w:rPr>
        <w:t>、</w:t>
      </w:r>
      <w:r w:rsidR="00FD5A1A" w:rsidRPr="00FD5A1A">
        <w:rPr>
          <w:rFonts w:hint="eastAsia"/>
        </w:rPr>
        <w:t>C20</w:t>
      </w:r>
      <w:r w:rsidR="00FD5A1A" w:rsidRPr="00FD5A1A">
        <w:rPr>
          <w:rFonts w:hint="eastAsia"/>
        </w:rPr>
        <w:t>最后修正</w:t>
      </w:r>
      <w:r>
        <w:rPr>
          <w:rFonts w:hint="eastAsia"/>
        </w:rPr>
        <w:t>）</w:t>
      </w:r>
      <w:bookmarkEnd w:id="1956"/>
      <w:bookmarkEnd w:id="1957"/>
    </w:p>
    <w:p w14:paraId="4827B6C0" w14:textId="77777777" w:rsidR="008B2BF0" w:rsidRPr="006A5D14" w:rsidRDefault="008B2BF0" w:rsidP="0032112B">
      <w:pPr>
        <w:pStyle w:val="Dectitle"/>
      </w:pPr>
      <w:bookmarkStart w:id="1959" w:name="_Toc86395632"/>
      <w:bookmarkEnd w:id="1958"/>
      <w:r w:rsidRPr="006A5D14">
        <w:rPr>
          <w:rFonts w:hint="eastAsia"/>
        </w:rPr>
        <w:t>下届世界电信标准化全会（</w:t>
      </w:r>
      <w:r w:rsidRPr="00761D1F">
        <w:rPr>
          <w:rFonts w:cstheme="minorHAnsi"/>
        </w:rPr>
        <w:t>WTSA-20</w:t>
      </w:r>
      <w:r w:rsidRPr="006A5D14">
        <w:rPr>
          <w:rFonts w:hint="eastAsia"/>
        </w:rPr>
        <w:t>）的</w:t>
      </w:r>
      <w:r>
        <w:rPr>
          <w:rFonts w:hint="eastAsia"/>
        </w:rPr>
        <w:t>召开</w:t>
      </w:r>
      <w:bookmarkEnd w:id="1959"/>
    </w:p>
    <w:p w14:paraId="4827B6C1" w14:textId="538F0C9A" w:rsidR="008B2BF0" w:rsidRPr="00F82938" w:rsidRDefault="004307FC" w:rsidP="00E51375">
      <w:pPr>
        <w:pStyle w:val="Normalaftertitle0"/>
      </w:pPr>
      <w:r w:rsidRPr="004307FC">
        <w:rPr>
          <w:rFonts w:hint="eastAsia"/>
        </w:rPr>
        <w:t>国际电联理事会，</w:t>
      </w:r>
    </w:p>
    <w:p w14:paraId="4827B6C2" w14:textId="77777777" w:rsidR="008B2BF0" w:rsidRPr="00F82938" w:rsidRDefault="008B2BF0" w:rsidP="008B2BF0">
      <w:pPr>
        <w:pStyle w:val="Call"/>
        <w:rPr>
          <w:lang w:eastAsia="zh-CN"/>
        </w:rPr>
      </w:pPr>
      <w:r w:rsidRPr="00F82938">
        <w:rPr>
          <w:rFonts w:hint="eastAsia"/>
          <w:lang w:eastAsia="zh-CN"/>
        </w:rPr>
        <w:t>注意到</w:t>
      </w:r>
    </w:p>
    <w:p w14:paraId="5F6025D3" w14:textId="77777777" w:rsidR="0074686E" w:rsidRPr="00614C1A" w:rsidRDefault="0074686E" w:rsidP="0074686E">
      <w:pPr>
        <w:rPr>
          <w:rFonts w:cs="Calibri"/>
          <w:lang w:eastAsia="zh-CN"/>
        </w:rPr>
      </w:pPr>
      <w:bookmarkStart w:id="1960" w:name="lt_pId108"/>
      <w:r w:rsidRPr="00614C1A">
        <w:rPr>
          <w:rFonts w:cs="Calibri"/>
          <w:i/>
          <w:iCs/>
          <w:lang w:val="en-IN" w:eastAsia="zh-CN"/>
        </w:rPr>
        <w:t>a)</w:t>
      </w:r>
      <w:bookmarkEnd w:id="1960"/>
      <w:r w:rsidRPr="00614C1A">
        <w:rPr>
          <w:rFonts w:cs="Calibri"/>
          <w:lang w:val="en-IN" w:eastAsia="zh-CN"/>
        </w:rPr>
        <w:tab/>
      </w:r>
      <w:r w:rsidRPr="00614C1A">
        <w:rPr>
          <w:rFonts w:cs="Calibri" w:hint="eastAsia"/>
          <w:lang w:eastAsia="zh-CN"/>
        </w:rPr>
        <w:t>根据第</w:t>
      </w:r>
      <w:r w:rsidRPr="00614C1A">
        <w:rPr>
          <w:rFonts w:cs="Calibri" w:hint="eastAsia"/>
          <w:lang w:eastAsia="zh-CN"/>
        </w:rPr>
        <w:t>77</w:t>
      </w:r>
      <w:r w:rsidRPr="00614C1A">
        <w:rPr>
          <w:rFonts w:cs="Calibri" w:hint="eastAsia"/>
          <w:lang w:eastAsia="zh-CN"/>
        </w:rPr>
        <w:t>号决议（</w:t>
      </w:r>
      <w:r w:rsidRPr="00614C1A">
        <w:rPr>
          <w:rFonts w:cs="Calibri" w:hint="eastAsia"/>
          <w:lang w:eastAsia="zh-CN"/>
        </w:rPr>
        <w:t>2018</w:t>
      </w:r>
      <w:r w:rsidRPr="00614C1A">
        <w:rPr>
          <w:rFonts w:cs="Calibri" w:hint="eastAsia"/>
          <w:lang w:eastAsia="zh-CN"/>
        </w:rPr>
        <w:t>年，迪拜，修订版）（国际电联的大会、论坛、全会和理事会会议的时间安排和会期（</w:t>
      </w:r>
      <w:r w:rsidRPr="00614C1A">
        <w:rPr>
          <w:rFonts w:cs="Calibri" w:hint="eastAsia"/>
          <w:lang w:eastAsia="zh-CN"/>
        </w:rPr>
        <w:t>2019-2023</w:t>
      </w:r>
      <w:r w:rsidRPr="00614C1A">
        <w:rPr>
          <w:rFonts w:cs="Calibri" w:hint="eastAsia"/>
          <w:lang w:eastAsia="zh-CN"/>
        </w:rPr>
        <w:t>年）），</w:t>
      </w:r>
      <w:r>
        <w:rPr>
          <w:rFonts w:cs="Calibri" w:hint="eastAsia"/>
          <w:lang w:eastAsia="zh-CN"/>
        </w:rPr>
        <w:t>2020</w:t>
      </w:r>
      <w:r>
        <w:rPr>
          <w:rFonts w:cs="Calibri" w:hint="eastAsia"/>
          <w:lang w:eastAsia="zh-CN"/>
        </w:rPr>
        <w:t>年</w:t>
      </w:r>
      <w:r w:rsidRPr="001C1A75">
        <w:rPr>
          <w:rFonts w:cs="Calibri" w:hint="eastAsia"/>
          <w:lang w:eastAsia="zh-CN"/>
        </w:rPr>
        <w:t>世界电信标准化全会（</w:t>
      </w:r>
      <w:r w:rsidRPr="00614C1A">
        <w:rPr>
          <w:rFonts w:cs="Calibri"/>
          <w:lang w:eastAsia="zh-CN"/>
        </w:rPr>
        <w:t>WTSA-20</w:t>
      </w:r>
      <w:r w:rsidRPr="001C1A75">
        <w:rPr>
          <w:rFonts w:cs="Calibri" w:hint="eastAsia"/>
          <w:lang w:eastAsia="zh-CN"/>
        </w:rPr>
        <w:t>）</w:t>
      </w:r>
      <w:r w:rsidRPr="00614C1A">
        <w:rPr>
          <w:rFonts w:cs="Calibri" w:hint="eastAsia"/>
          <w:lang w:eastAsia="zh-CN"/>
        </w:rPr>
        <w:t>原计划于</w:t>
      </w:r>
      <w:r w:rsidRPr="00614C1A">
        <w:rPr>
          <w:rFonts w:cs="Calibri" w:hint="eastAsia"/>
          <w:lang w:eastAsia="zh-CN"/>
        </w:rPr>
        <w:t>202</w:t>
      </w:r>
      <w:r w:rsidRPr="00614C1A">
        <w:rPr>
          <w:rFonts w:cs="Calibri"/>
          <w:lang w:eastAsia="zh-CN"/>
        </w:rPr>
        <w:t>0</w:t>
      </w:r>
      <w:r w:rsidRPr="00614C1A">
        <w:rPr>
          <w:rFonts w:cs="Calibri" w:hint="eastAsia"/>
          <w:lang w:eastAsia="zh-CN"/>
        </w:rPr>
        <w:t>年最后一个季度举办；</w:t>
      </w:r>
    </w:p>
    <w:p w14:paraId="36BE10AC" w14:textId="77777777" w:rsidR="0074686E" w:rsidRDefault="0074686E" w:rsidP="0074686E">
      <w:pPr>
        <w:rPr>
          <w:lang w:eastAsia="zh-CN"/>
        </w:rPr>
      </w:pPr>
      <w:bookmarkStart w:id="1961" w:name="lt_pId110"/>
      <w:r w:rsidRPr="00614C1A">
        <w:rPr>
          <w:i/>
          <w:iCs/>
          <w:lang w:eastAsia="zh-CN"/>
        </w:rPr>
        <w:t>b)</w:t>
      </w:r>
      <w:bookmarkEnd w:id="1961"/>
      <w:r w:rsidRPr="00614C1A">
        <w:rPr>
          <w:lang w:eastAsia="zh-CN"/>
        </w:rPr>
        <w:tab/>
      </w:r>
      <w:bookmarkStart w:id="1962" w:name="lt_pId111"/>
      <w:r w:rsidRPr="00614C1A">
        <w:rPr>
          <w:lang w:eastAsia="zh-CN"/>
        </w:rPr>
        <w:t>理事会</w:t>
      </w:r>
      <w:r w:rsidRPr="00614C1A">
        <w:rPr>
          <w:lang w:eastAsia="zh-CN"/>
        </w:rPr>
        <w:t>2019</w:t>
      </w:r>
      <w:r w:rsidRPr="00614C1A">
        <w:rPr>
          <w:lang w:eastAsia="zh-CN"/>
        </w:rPr>
        <w:t>年会议通过的理事会</w:t>
      </w:r>
      <w:hyperlink r:id="rId390" w:history="1">
        <w:r w:rsidRPr="00614C1A">
          <w:rPr>
            <w:color w:val="0000FF"/>
            <w:u w:val="single"/>
            <w:lang w:eastAsia="zh-CN"/>
          </w:rPr>
          <w:t>第</w:t>
        </w:r>
        <w:r w:rsidRPr="00614C1A">
          <w:rPr>
            <w:color w:val="0000FF"/>
            <w:u w:val="single"/>
            <w:lang w:eastAsia="zh-CN"/>
          </w:rPr>
          <w:t>608</w:t>
        </w:r>
        <w:r w:rsidRPr="00614C1A">
          <w:rPr>
            <w:color w:val="0000FF"/>
            <w:u w:val="single"/>
            <w:lang w:eastAsia="zh-CN"/>
          </w:rPr>
          <w:t>号决定</w:t>
        </w:r>
      </w:hyperlink>
      <w:r w:rsidRPr="00614C1A">
        <w:rPr>
          <w:rFonts w:hint="eastAsia"/>
          <w:lang w:eastAsia="zh-CN"/>
        </w:rPr>
        <w:t>首次</w:t>
      </w:r>
      <w:r w:rsidRPr="00614C1A">
        <w:rPr>
          <w:lang w:eastAsia="zh-CN"/>
        </w:rPr>
        <w:t>做出决定，下届世界电信标准化全会（</w:t>
      </w:r>
      <w:r w:rsidRPr="00614C1A">
        <w:rPr>
          <w:lang w:eastAsia="zh-CN"/>
        </w:rPr>
        <w:t>WTSA</w:t>
      </w:r>
      <w:r w:rsidRPr="00614C1A">
        <w:rPr>
          <w:lang w:eastAsia="zh-CN"/>
        </w:rPr>
        <w:t>）于</w:t>
      </w:r>
      <w:r w:rsidRPr="00614C1A">
        <w:rPr>
          <w:lang w:eastAsia="zh-CN"/>
        </w:rPr>
        <w:t>2020</w:t>
      </w:r>
      <w:r w:rsidRPr="00614C1A">
        <w:rPr>
          <w:lang w:eastAsia="zh-CN"/>
        </w:rPr>
        <w:t>年</w:t>
      </w:r>
      <w:r w:rsidRPr="00614C1A">
        <w:rPr>
          <w:lang w:eastAsia="zh-CN"/>
        </w:rPr>
        <w:t>11</w:t>
      </w:r>
      <w:r w:rsidRPr="00614C1A">
        <w:rPr>
          <w:lang w:eastAsia="zh-CN"/>
        </w:rPr>
        <w:t>月</w:t>
      </w:r>
      <w:r w:rsidRPr="00614C1A">
        <w:rPr>
          <w:lang w:eastAsia="zh-CN"/>
        </w:rPr>
        <w:t>16</w:t>
      </w:r>
      <w:r w:rsidRPr="00614C1A">
        <w:rPr>
          <w:lang w:eastAsia="zh-CN"/>
        </w:rPr>
        <w:t>日至</w:t>
      </w:r>
      <w:r w:rsidRPr="00614C1A">
        <w:rPr>
          <w:lang w:eastAsia="zh-CN"/>
        </w:rPr>
        <w:t>27</w:t>
      </w:r>
      <w:r w:rsidRPr="00614C1A">
        <w:rPr>
          <w:lang w:eastAsia="zh-CN"/>
        </w:rPr>
        <w:t>日在印度海得拉巴召开</w:t>
      </w:r>
      <w:r w:rsidRPr="00614C1A">
        <w:rPr>
          <w:rFonts w:hint="eastAsia"/>
          <w:lang w:eastAsia="zh-CN"/>
        </w:rPr>
        <w:t>；</w:t>
      </w:r>
      <w:bookmarkStart w:id="1963" w:name="lt_pId112"/>
      <w:bookmarkEnd w:id="1962"/>
    </w:p>
    <w:p w14:paraId="4827B6C3" w14:textId="4C6AC2C0" w:rsidR="008B2BF0" w:rsidRPr="0074686E" w:rsidRDefault="0074686E" w:rsidP="0074686E">
      <w:pPr>
        <w:rPr>
          <w:lang w:eastAsia="zh-CN"/>
        </w:rPr>
      </w:pPr>
      <w:r w:rsidRPr="00614C1A">
        <w:rPr>
          <w:i/>
          <w:iCs/>
          <w:lang w:eastAsia="zh-CN"/>
        </w:rPr>
        <w:t>c)</w:t>
      </w:r>
      <w:bookmarkEnd w:id="1963"/>
      <w:r w:rsidRPr="00614C1A">
        <w:rPr>
          <w:i/>
          <w:iCs/>
          <w:lang w:eastAsia="zh-CN"/>
        </w:rPr>
        <w:tab/>
      </w:r>
      <w:bookmarkStart w:id="1964" w:name="lt_pId113"/>
      <w:r>
        <w:rPr>
          <w:rFonts w:hint="eastAsia"/>
          <w:lang w:eastAsia="zh-CN"/>
        </w:rPr>
        <w:t>在</w:t>
      </w:r>
      <w:r w:rsidRPr="00614C1A">
        <w:rPr>
          <w:rFonts w:cs="Calibri"/>
          <w:bCs/>
          <w:lang w:eastAsia="zh-CN"/>
        </w:rPr>
        <w:t>理事磋商会</w:t>
      </w:r>
      <w:r w:rsidRPr="00614C1A">
        <w:rPr>
          <w:rFonts w:cs="Calibri" w:hint="eastAsia"/>
          <w:bCs/>
          <w:lang w:eastAsia="zh-CN"/>
        </w:rPr>
        <w:t>首次</w:t>
      </w:r>
      <w:r w:rsidRPr="00614C1A">
        <w:rPr>
          <w:rFonts w:cs="Calibri"/>
          <w:bCs/>
          <w:lang w:eastAsia="zh-CN"/>
        </w:rPr>
        <w:t>虚拟</w:t>
      </w:r>
      <w:r w:rsidRPr="00614C1A">
        <w:rPr>
          <w:rFonts w:cs="Calibri" w:hint="eastAsia"/>
          <w:bCs/>
          <w:lang w:eastAsia="zh-CN"/>
        </w:rPr>
        <w:t>会议</w:t>
      </w:r>
      <w:r>
        <w:rPr>
          <w:rFonts w:cs="Calibri" w:hint="eastAsia"/>
          <w:bCs/>
          <w:lang w:eastAsia="zh-CN"/>
        </w:rPr>
        <w:t>之后，</w:t>
      </w:r>
      <w:r w:rsidRPr="00614C1A">
        <w:rPr>
          <w:lang w:eastAsia="zh-CN"/>
        </w:rPr>
        <w:t>理事会</w:t>
      </w:r>
      <w:hyperlink r:id="rId391" w:history="1">
        <w:r w:rsidRPr="00614C1A">
          <w:rPr>
            <w:color w:val="0000FF"/>
            <w:u w:val="single"/>
            <w:lang w:eastAsia="zh-CN"/>
          </w:rPr>
          <w:t>第</w:t>
        </w:r>
        <w:r w:rsidRPr="00614C1A">
          <w:rPr>
            <w:color w:val="0000FF"/>
            <w:u w:val="single"/>
            <w:lang w:eastAsia="zh-CN"/>
          </w:rPr>
          <w:t>608</w:t>
        </w:r>
        <w:r w:rsidRPr="00614C1A">
          <w:rPr>
            <w:color w:val="0000FF"/>
            <w:u w:val="single"/>
            <w:lang w:eastAsia="zh-CN"/>
          </w:rPr>
          <w:t>号决定</w:t>
        </w:r>
      </w:hyperlink>
      <w:r>
        <w:rPr>
          <w:rFonts w:hint="eastAsia"/>
          <w:lang w:eastAsia="zh-CN"/>
        </w:rPr>
        <w:t>予以修订并且</w:t>
      </w:r>
      <w:r w:rsidRPr="00614C1A">
        <w:rPr>
          <w:lang w:eastAsia="zh-CN"/>
        </w:rPr>
        <w:t>以</w:t>
      </w:r>
      <w:r w:rsidRPr="00614C1A">
        <w:rPr>
          <w:rFonts w:hint="eastAsia"/>
          <w:lang w:eastAsia="zh-CN"/>
        </w:rPr>
        <w:t>信函</w:t>
      </w:r>
      <w:r w:rsidRPr="00614C1A">
        <w:rPr>
          <w:lang w:eastAsia="zh-CN"/>
        </w:rPr>
        <w:t>方式</w:t>
      </w:r>
      <w:r>
        <w:rPr>
          <w:rFonts w:hint="eastAsia"/>
          <w:lang w:eastAsia="zh-CN"/>
        </w:rPr>
        <w:t>得到</w:t>
      </w:r>
      <w:r w:rsidRPr="00614C1A">
        <w:rPr>
          <w:rFonts w:hint="eastAsia"/>
          <w:lang w:eastAsia="zh-CN"/>
        </w:rPr>
        <w:t>批准</w:t>
      </w:r>
      <w:r w:rsidRPr="00614C1A">
        <w:rPr>
          <w:lang w:eastAsia="zh-CN"/>
        </w:rPr>
        <w:t>，将</w:t>
      </w:r>
      <w:r w:rsidRPr="00614C1A">
        <w:rPr>
          <w:rFonts w:hint="eastAsia"/>
          <w:lang w:eastAsia="zh-CN"/>
        </w:rPr>
        <w:t>下届</w:t>
      </w:r>
      <w:r>
        <w:rPr>
          <w:rFonts w:hint="eastAsia"/>
          <w:lang w:eastAsia="zh-CN"/>
        </w:rPr>
        <w:t>W</w:t>
      </w:r>
      <w:r>
        <w:rPr>
          <w:lang w:eastAsia="zh-CN"/>
        </w:rPr>
        <w:t>TSA</w:t>
      </w:r>
      <w:r w:rsidRPr="00614C1A">
        <w:rPr>
          <w:rFonts w:hint="eastAsia"/>
          <w:lang w:eastAsia="zh-CN"/>
        </w:rPr>
        <w:t>重新安排</w:t>
      </w:r>
      <w:r>
        <w:rPr>
          <w:rFonts w:hint="eastAsia"/>
          <w:lang w:eastAsia="zh-CN"/>
        </w:rPr>
        <w:t>为</w:t>
      </w:r>
      <w:r w:rsidRPr="00614C1A">
        <w:rPr>
          <w:lang w:eastAsia="zh-CN"/>
        </w:rPr>
        <w:t>2021</w:t>
      </w:r>
      <w:r w:rsidRPr="00614C1A">
        <w:rPr>
          <w:lang w:eastAsia="zh-CN"/>
        </w:rPr>
        <w:t>年</w:t>
      </w:r>
      <w:r w:rsidRPr="00614C1A">
        <w:rPr>
          <w:lang w:eastAsia="zh-CN"/>
        </w:rPr>
        <w:t>2</w:t>
      </w:r>
      <w:r w:rsidRPr="00614C1A">
        <w:rPr>
          <w:lang w:eastAsia="zh-CN"/>
        </w:rPr>
        <w:t>月</w:t>
      </w:r>
      <w:r w:rsidRPr="00614C1A">
        <w:rPr>
          <w:lang w:eastAsia="zh-CN"/>
        </w:rPr>
        <w:t>23</w:t>
      </w:r>
      <w:r w:rsidRPr="00614C1A">
        <w:rPr>
          <w:lang w:eastAsia="zh-CN"/>
        </w:rPr>
        <w:t>日至</w:t>
      </w:r>
      <w:r w:rsidRPr="00614C1A">
        <w:rPr>
          <w:lang w:eastAsia="zh-CN"/>
        </w:rPr>
        <w:t>3</w:t>
      </w:r>
      <w:r w:rsidRPr="00614C1A">
        <w:rPr>
          <w:lang w:eastAsia="zh-CN"/>
        </w:rPr>
        <w:t>月</w:t>
      </w:r>
      <w:r w:rsidRPr="00614C1A">
        <w:rPr>
          <w:lang w:eastAsia="zh-CN"/>
        </w:rPr>
        <w:t>5</w:t>
      </w:r>
      <w:r w:rsidRPr="00614C1A">
        <w:rPr>
          <w:lang w:eastAsia="zh-CN"/>
        </w:rPr>
        <w:t>日在印度海得拉巴举</w:t>
      </w:r>
      <w:r>
        <w:rPr>
          <w:rFonts w:hint="eastAsia"/>
          <w:lang w:eastAsia="zh-CN"/>
        </w:rPr>
        <w:t>办</w:t>
      </w:r>
      <w:r w:rsidRPr="00614C1A">
        <w:rPr>
          <w:lang w:eastAsia="zh-CN"/>
        </w:rPr>
        <w:t>，但前提是</w:t>
      </w:r>
      <w:r>
        <w:rPr>
          <w:rFonts w:hint="eastAsia"/>
          <w:lang w:eastAsia="zh-CN"/>
        </w:rPr>
        <w:t>在</w:t>
      </w:r>
      <w:r w:rsidRPr="00614C1A">
        <w:rPr>
          <w:lang w:eastAsia="zh-CN"/>
        </w:rPr>
        <w:t>印度</w:t>
      </w:r>
      <w:r>
        <w:rPr>
          <w:rFonts w:hint="eastAsia"/>
          <w:lang w:eastAsia="zh-CN"/>
        </w:rPr>
        <w:t>及</w:t>
      </w:r>
      <w:r w:rsidRPr="00614C1A">
        <w:rPr>
          <w:lang w:eastAsia="zh-CN"/>
        </w:rPr>
        <w:t>其他成员国正常的工作和旅行条件</w:t>
      </w:r>
      <w:bookmarkEnd w:id="1964"/>
      <w:r>
        <w:rPr>
          <w:rFonts w:hint="eastAsia"/>
          <w:lang w:eastAsia="zh-CN"/>
        </w:rPr>
        <w:t>已经</w:t>
      </w:r>
      <w:r w:rsidRPr="00614C1A">
        <w:rPr>
          <w:lang w:eastAsia="zh-CN"/>
        </w:rPr>
        <w:t>恢复</w:t>
      </w:r>
      <w:r w:rsidRPr="00614C1A">
        <w:rPr>
          <w:rFonts w:hint="eastAsia"/>
          <w:lang w:eastAsia="zh-CN"/>
        </w:rPr>
        <w:t>，</w:t>
      </w:r>
    </w:p>
    <w:p w14:paraId="76CB379C" w14:textId="77777777" w:rsidR="00E67C01" w:rsidRPr="00614C1A" w:rsidRDefault="00E67C01" w:rsidP="00E67C01">
      <w:pPr>
        <w:pStyle w:val="Call"/>
        <w:rPr>
          <w:rFonts w:ascii="STKaiti" w:hAnsi="STKaiti"/>
          <w:lang w:eastAsia="zh-CN"/>
        </w:rPr>
      </w:pPr>
      <w:bookmarkStart w:id="1965" w:name="lt_pId114"/>
      <w:r w:rsidRPr="00614C1A">
        <w:rPr>
          <w:rFonts w:ascii="STKaiti" w:hAnsi="STKaiti" w:hint="eastAsia"/>
          <w:lang w:eastAsia="zh-CN"/>
        </w:rPr>
        <w:t>进一步注意到</w:t>
      </w:r>
      <w:bookmarkEnd w:id="1965"/>
    </w:p>
    <w:p w14:paraId="6D21652A" w14:textId="77777777" w:rsidR="00E67C01" w:rsidRPr="00C71F00" w:rsidRDefault="00E67C01" w:rsidP="00E67C01">
      <w:pPr>
        <w:rPr>
          <w:lang w:eastAsia="zh-CN"/>
        </w:rPr>
      </w:pPr>
      <w:bookmarkStart w:id="1966" w:name="lt_pId115"/>
      <w:r w:rsidRPr="00614C1A">
        <w:rPr>
          <w:i/>
          <w:iCs/>
          <w:lang w:eastAsia="zh-CN"/>
        </w:rPr>
        <w:t>a)</w:t>
      </w:r>
      <w:bookmarkEnd w:id="1966"/>
      <w:r w:rsidRPr="00614C1A">
        <w:rPr>
          <w:i/>
          <w:iCs/>
          <w:lang w:eastAsia="zh-CN"/>
        </w:rPr>
        <w:tab/>
      </w:r>
      <w:bookmarkStart w:id="1967" w:name="lt_pId116"/>
      <w:r>
        <w:rPr>
          <w:rFonts w:hint="eastAsia"/>
          <w:lang w:eastAsia="zh-CN"/>
        </w:rPr>
        <w:t>鉴于新冠病毒大流行所</w:t>
      </w:r>
      <w:r w:rsidRPr="00614C1A">
        <w:rPr>
          <w:rFonts w:cs="Calibri" w:hint="eastAsia"/>
          <w:bCs/>
          <w:lang w:eastAsia="zh-CN"/>
        </w:rPr>
        <w:t>带来</w:t>
      </w:r>
      <w:r>
        <w:rPr>
          <w:rFonts w:cs="Calibri" w:hint="eastAsia"/>
          <w:bCs/>
          <w:lang w:eastAsia="zh-CN"/>
        </w:rPr>
        <w:t>的</w:t>
      </w:r>
      <w:r w:rsidRPr="00614C1A">
        <w:rPr>
          <w:rFonts w:cs="Calibri" w:hint="eastAsia"/>
          <w:bCs/>
          <w:lang w:eastAsia="zh-CN"/>
        </w:rPr>
        <w:t>不确定性，由于国际旅行限制，</w:t>
      </w:r>
      <w:r>
        <w:rPr>
          <w:rFonts w:cs="Calibri" w:hint="eastAsia"/>
          <w:bCs/>
          <w:lang w:eastAsia="zh-CN"/>
        </w:rPr>
        <w:t>多个</w:t>
      </w:r>
      <w:r w:rsidRPr="00614C1A">
        <w:rPr>
          <w:rFonts w:cs="Calibri" w:hint="eastAsia"/>
          <w:bCs/>
          <w:lang w:eastAsia="zh-CN"/>
        </w:rPr>
        <w:t>会议继续</w:t>
      </w:r>
      <w:r>
        <w:rPr>
          <w:rFonts w:cs="Calibri" w:hint="eastAsia"/>
          <w:bCs/>
          <w:lang w:eastAsia="zh-CN"/>
        </w:rPr>
        <w:t>被</w:t>
      </w:r>
      <w:r w:rsidRPr="00614C1A">
        <w:rPr>
          <w:rFonts w:cs="Calibri" w:hint="eastAsia"/>
          <w:bCs/>
          <w:lang w:eastAsia="zh-CN"/>
        </w:rPr>
        <w:t>延期或改为虚拟形式；</w:t>
      </w:r>
      <w:bookmarkEnd w:id="1967"/>
    </w:p>
    <w:p w14:paraId="3532E216" w14:textId="77777777" w:rsidR="00E67C01" w:rsidRPr="00614C1A" w:rsidRDefault="00E67C01" w:rsidP="00E67C01">
      <w:pPr>
        <w:rPr>
          <w:rFonts w:cs="Calibri"/>
          <w:bCs/>
          <w:lang w:eastAsia="zh-CN"/>
        </w:rPr>
      </w:pPr>
      <w:bookmarkStart w:id="1968" w:name="lt_pId117"/>
      <w:r w:rsidRPr="00614C1A">
        <w:rPr>
          <w:rFonts w:cs="Calibri"/>
          <w:bCs/>
          <w:i/>
          <w:iCs/>
          <w:lang w:eastAsia="zh-CN"/>
        </w:rPr>
        <w:t>b)</w:t>
      </w:r>
      <w:bookmarkEnd w:id="1968"/>
      <w:r w:rsidRPr="00614C1A">
        <w:rPr>
          <w:rFonts w:cs="Calibri"/>
          <w:bCs/>
          <w:i/>
          <w:iCs/>
          <w:lang w:eastAsia="zh-CN"/>
        </w:rPr>
        <w:tab/>
      </w:r>
      <w:bookmarkStart w:id="1969" w:name="lt_pId118"/>
      <w:r w:rsidRPr="00614C1A">
        <w:rPr>
          <w:rFonts w:cs="Calibri" w:hint="eastAsia"/>
          <w:bCs/>
          <w:iCs/>
          <w:lang w:eastAsia="zh-CN"/>
        </w:rPr>
        <w:t>由于新冠肺炎疫情在</w:t>
      </w:r>
      <w:r>
        <w:rPr>
          <w:rFonts w:cs="Calibri" w:hint="eastAsia"/>
          <w:bCs/>
          <w:iCs/>
          <w:lang w:eastAsia="zh-CN"/>
        </w:rPr>
        <w:t>多</w:t>
      </w:r>
      <w:r w:rsidRPr="00614C1A">
        <w:rPr>
          <w:rFonts w:cs="Calibri" w:hint="eastAsia"/>
          <w:bCs/>
          <w:iCs/>
          <w:lang w:eastAsia="zh-CN"/>
        </w:rPr>
        <w:t>个国家爆发，可能还需要</w:t>
      </w:r>
      <w:r>
        <w:rPr>
          <w:rFonts w:cs="Calibri" w:hint="eastAsia"/>
          <w:bCs/>
          <w:iCs/>
          <w:lang w:eastAsia="zh-CN"/>
        </w:rPr>
        <w:t>不少</w:t>
      </w:r>
      <w:r w:rsidRPr="00614C1A">
        <w:rPr>
          <w:rFonts w:cs="Calibri" w:hint="eastAsia"/>
          <w:bCs/>
          <w:iCs/>
          <w:lang w:eastAsia="zh-CN"/>
        </w:rPr>
        <w:t>个月的时间</w:t>
      </w:r>
      <w:r>
        <w:rPr>
          <w:rFonts w:cs="Calibri" w:hint="eastAsia"/>
          <w:bCs/>
          <w:iCs/>
          <w:lang w:eastAsia="zh-CN"/>
        </w:rPr>
        <w:t>形势</w:t>
      </w:r>
      <w:r w:rsidRPr="00614C1A">
        <w:rPr>
          <w:rFonts w:cs="Calibri" w:hint="eastAsia"/>
          <w:bCs/>
          <w:iCs/>
          <w:lang w:eastAsia="zh-CN"/>
        </w:rPr>
        <w:t>才能稳定下来，生活才能恢复</w:t>
      </w:r>
      <w:r w:rsidRPr="00C67EEA">
        <w:rPr>
          <w:rFonts w:cs="Calibri" w:hint="eastAsia"/>
          <w:bCs/>
          <w:iCs/>
          <w:lang w:eastAsia="zh-CN"/>
        </w:rPr>
        <w:t>正常；</w:t>
      </w:r>
      <w:bookmarkEnd w:id="1969"/>
    </w:p>
    <w:p w14:paraId="2CA243F4" w14:textId="203F9087" w:rsidR="004307FC" w:rsidRDefault="00E67C01" w:rsidP="004307FC">
      <w:pPr>
        <w:rPr>
          <w:rFonts w:cs="Calibri"/>
          <w:bCs/>
          <w:iCs/>
          <w:lang w:eastAsia="zh-CN"/>
        </w:rPr>
      </w:pPr>
      <w:bookmarkStart w:id="1970" w:name="lt_pId119"/>
      <w:r w:rsidRPr="00614C1A">
        <w:rPr>
          <w:rFonts w:cs="Calibri"/>
          <w:bCs/>
          <w:i/>
          <w:iCs/>
          <w:lang w:eastAsia="zh-CN"/>
        </w:rPr>
        <w:t>c)</w:t>
      </w:r>
      <w:bookmarkEnd w:id="1970"/>
      <w:r w:rsidRPr="00614C1A">
        <w:rPr>
          <w:rFonts w:cs="Calibri"/>
          <w:bCs/>
          <w:i/>
          <w:iCs/>
          <w:lang w:eastAsia="zh-CN"/>
        </w:rPr>
        <w:tab/>
      </w:r>
      <w:bookmarkStart w:id="1971" w:name="lt_pId120"/>
      <w:r>
        <w:rPr>
          <w:rFonts w:cs="Calibri" w:hint="eastAsia"/>
          <w:bCs/>
          <w:lang w:eastAsia="zh-CN"/>
        </w:rPr>
        <w:t>多个</w:t>
      </w:r>
      <w:r w:rsidRPr="00614C1A">
        <w:rPr>
          <w:rFonts w:cs="Calibri"/>
          <w:bCs/>
          <w:lang w:eastAsia="zh-CN"/>
        </w:rPr>
        <w:t>国家已经禁止国际旅行</w:t>
      </w:r>
      <w:r w:rsidRPr="00614C1A">
        <w:rPr>
          <w:rFonts w:cs="Calibri" w:hint="eastAsia"/>
          <w:bCs/>
          <w:lang w:eastAsia="zh-CN"/>
        </w:rPr>
        <w:t>，</w:t>
      </w:r>
      <w:r>
        <w:rPr>
          <w:rFonts w:cs="Calibri" w:hint="eastAsia"/>
          <w:bCs/>
          <w:lang w:eastAsia="zh-CN"/>
        </w:rPr>
        <w:t>而且</w:t>
      </w:r>
      <w:r w:rsidRPr="00614C1A">
        <w:rPr>
          <w:rFonts w:cs="Calibri" w:hint="eastAsia"/>
          <w:bCs/>
          <w:lang w:eastAsia="zh-CN"/>
        </w:rPr>
        <w:t>不同国家之间的人员流动</w:t>
      </w:r>
      <w:r>
        <w:rPr>
          <w:rFonts w:cs="Calibri" w:hint="eastAsia"/>
          <w:bCs/>
          <w:lang w:eastAsia="zh-CN"/>
        </w:rPr>
        <w:t>依</w:t>
      </w:r>
      <w:r w:rsidRPr="00614C1A">
        <w:rPr>
          <w:rFonts w:cs="Calibri" w:hint="eastAsia"/>
          <w:bCs/>
          <w:lang w:eastAsia="zh-CN"/>
        </w:rPr>
        <w:t>然受到限制，只允许有限的旅行</w:t>
      </w:r>
      <w:r w:rsidRPr="00614C1A">
        <w:rPr>
          <w:rFonts w:cs="Calibri" w:hint="eastAsia"/>
          <w:bCs/>
          <w:iCs/>
          <w:lang w:eastAsia="zh-CN"/>
        </w:rPr>
        <w:t>；</w:t>
      </w:r>
      <w:bookmarkEnd w:id="1971"/>
      <w:r>
        <w:rPr>
          <w:rFonts w:cs="Calibri" w:hint="eastAsia"/>
          <w:bCs/>
          <w:iCs/>
          <w:lang w:eastAsia="zh-CN"/>
        </w:rPr>
        <w:t>而</w:t>
      </w:r>
      <w:r w:rsidRPr="00614C1A">
        <w:rPr>
          <w:rFonts w:cs="Calibri" w:hint="eastAsia"/>
          <w:bCs/>
          <w:iCs/>
          <w:lang w:eastAsia="zh-CN"/>
        </w:rPr>
        <w:t>且</w:t>
      </w:r>
      <w:bookmarkStart w:id="1972" w:name="lt_pId122"/>
    </w:p>
    <w:p w14:paraId="121190D0" w14:textId="0F54B2A0" w:rsidR="00DF4592" w:rsidRDefault="00DF4592" w:rsidP="00DF459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7E410274" w14:textId="26406877" w:rsidR="005C5FA3" w:rsidRPr="004307FC" w:rsidRDefault="00E67C01" w:rsidP="004307FC">
      <w:pPr>
        <w:rPr>
          <w:lang w:eastAsia="zh-CN"/>
        </w:rPr>
      </w:pPr>
      <w:r w:rsidRPr="00614C1A">
        <w:rPr>
          <w:i/>
          <w:iCs/>
          <w:lang w:eastAsia="zh-CN"/>
        </w:rPr>
        <w:lastRenderedPageBreak/>
        <w:t>d)</w:t>
      </w:r>
      <w:bookmarkEnd w:id="1972"/>
      <w:r w:rsidRPr="00614C1A">
        <w:rPr>
          <w:lang w:eastAsia="zh-CN"/>
        </w:rPr>
        <w:tab/>
      </w:r>
      <w:bookmarkStart w:id="1973" w:name="lt_pId123"/>
      <w:r w:rsidRPr="00614C1A">
        <w:rPr>
          <w:lang w:eastAsia="zh-CN"/>
        </w:rPr>
        <w:t>鉴于新冠肺炎</w:t>
      </w:r>
      <w:r w:rsidRPr="00614C1A">
        <w:rPr>
          <w:rFonts w:hint="eastAsia"/>
          <w:lang w:eastAsia="zh-CN"/>
        </w:rPr>
        <w:t>疫情</w:t>
      </w:r>
      <w:r w:rsidRPr="00614C1A">
        <w:rPr>
          <w:lang w:eastAsia="zh-CN"/>
        </w:rPr>
        <w:t>导致工作和旅行受到限制，印度</w:t>
      </w:r>
      <w:r w:rsidRPr="00614C1A">
        <w:rPr>
          <w:rFonts w:hint="eastAsia"/>
          <w:lang w:eastAsia="zh-CN"/>
        </w:rPr>
        <w:t>主管部门</w:t>
      </w:r>
      <w:r w:rsidRPr="00614C1A">
        <w:rPr>
          <w:lang w:eastAsia="zh-CN"/>
        </w:rPr>
        <w:t>提议将下</w:t>
      </w:r>
      <w:r w:rsidRPr="00614C1A">
        <w:rPr>
          <w:rFonts w:hint="eastAsia"/>
          <w:lang w:eastAsia="zh-CN"/>
        </w:rPr>
        <w:t>届</w:t>
      </w:r>
      <w:r w:rsidRPr="00614C1A">
        <w:rPr>
          <w:lang w:eastAsia="zh-CN"/>
        </w:rPr>
        <w:t>WTSA</w:t>
      </w:r>
      <w:r w:rsidRPr="00614C1A">
        <w:rPr>
          <w:rFonts w:hint="eastAsia"/>
          <w:lang w:eastAsia="zh-CN"/>
        </w:rPr>
        <w:t>的时间</w:t>
      </w:r>
      <w:r w:rsidRPr="00614C1A">
        <w:rPr>
          <w:lang w:eastAsia="zh-CN"/>
        </w:rPr>
        <w:t>重新安排到</w:t>
      </w:r>
      <w:r w:rsidRPr="00614C1A">
        <w:rPr>
          <w:lang w:eastAsia="zh-CN"/>
        </w:rPr>
        <w:t>2022</w:t>
      </w:r>
      <w:r w:rsidRPr="00614C1A">
        <w:rPr>
          <w:lang w:eastAsia="zh-CN"/>
        </w:rPr>
        <w:t>年</w:t>
      </w:r>
      <w:r w:rsidRPr="00614C1A">
        <w:rPr>
          <w:lang w:eastAsia="zh-CN"/>
        </w:rPr>
        <w:t>3</w:t>
      </w:r>
      <w:r w:rsidRPr="00614C1A">
        <w:rPr>
          <w:lang w:eastAsia="zh-CN"/>
        </w:rPr>
        <w:t>月</w:t>
      </w:r>
      <w:r w:rsidRPr="00614C1A">
        <w:rPr>
          <w:lang w:eastAsia="zh-CN"/>
        </w:rPr>
        <w:t>1</w:t>
      </w:r>
      <w:r w:rsidRPr="00614C1A">
        <w:rPr>
          <w:lang w:eastAsia="zh-CN"/>
        </w:rPr>
        <w:t>日</w:t>
      </w:r>
      <w:r w:rsidRPr="00614C1A">
        <w:rPr>
          <w:rFonts w:hint="eastAsia"/>
          <w:lang w:eastAsia="zh-CN"/>
        </w:rPr>
        <w:t>至</w:t>
      </w:r>
      <w:r w:rsidRPr="00614C1A">
        <w:rPr>
          <w:lang w:eastAsia="zh-CN"/>
        </w:rPr>
        <w:t>3</w:t>
      </w:r>
      <w:r w:rsidRPr="00614C1A">
        <w:rPr>
          <w:lang w:eastAsia="zh-CN"/>
        </w:rPr>
        <w:t>月</w:t>
      </w:r>
      <w:r>
        <w:rPr>
          <w:lang w:eastAsia="zh-CN"/>
        </w:rPr>
        <w:t>9</w:t>
      </w:r>
      <w:r w:rsidRPr="00614C1A">
        <w:rPr>
          <w:lang w:eastAsia="zh-CN"/>
        </w:rPr>
        <w:t>日，但前提是印度</w:t>
      </w:r>
      <w:r>
        <w:rPr>
          <w:rFonts w:hint="eastAsia"/>
          <w:lang w:eastAsia="zh-CN"/>
        </w:rPr>
        <w:t>及</w:t>
      </w:r>
      <w:r w:rsidRPr="00614C1A">
        <w:rPr>
          <w:lang w:eastAsia="zh-CN"/>
        </w:rPr>
        <w:t>其他成员国的正常工作和旅行条件</w:t>
      </w:r>
      <w:r>
        <w:rPr>
          <w:rFonts w:hint="eastAsia"/>
          <w:lang w:eastAsia="zh-CN"/>
        </w:rPr>
        <w:t>已经</w:t>
      </w:r>
      <w:r w:rsidRPr="00614C1A">
        <w:rPr>
          <w:lang w:eastAsia="zh-CN"/>
        </w:rPr>
        <w:t>恢复</w:t>
      </w:r>
      <w:r w:rsidRPr="00614C1A">
        <w:rPr>
          <w:rFonts w:hint="eastAsia"/>
          <w:lang w:eastAsia="zh-CN"/>
        </w:rPr>
        <w:t>，</w:t>
      </w:r>
      <w:bookmarkEnd w:id="1973"/>
    </w:p>
    <w:p w14:paraId="4827B6C4" w14:textId="77777777" w:rsidR="008B2BF0" w:rsidRPr="00F82938" w:rsidRDefault="008B2BF0" w:rsidP="008B2BF0">
      <w:pPr>
        <w:pStyle w:val="Call"/>
        <w:rPr>
          <w:lang w:eastAsia="zh-CN"/>
        </w:rPr>
      </w:pPr>
      <w:r w:rsidRPr="00F82938">
        <w:rPr>
          <w:rFonts w:hint="eastAsia"/>
          <w:lang w:eastAsia="zh-CN"/>
        </w:rPr>
        <w:t>做出决定</w:t>
      </w:r>
    </w:p>
    <w:p w14:paraId="4827B6C5" w14:textId="1551C6CD" w:rsidR="008B2BF0" w:rsidRPr="00F82938" w:rsidRDefault="005C5FA3" w:rsidP="008B2BF0">
      <w:pPr>
        <w:ind w:firstLineChars="200" w:firstLine="480"/>
        <w:rPr>
          <w:rFonts w:cs="Calibri"/>
          <w:lang w:eastAsia="zh-CN"/>
        </w:rPr>
      </w:pPr>
      <w:r w:rsidRPr="005C5FA3">
        <w:rPr>
          <w:rFonts w:cs="Calibri" w:hint="eastAsia"/>
          <w:lang w:eastAsia="zh-CN"/>
        </w:rPr>
        <w:t>在征得国际电联多数成员国同意的前提下，下届世界电信标准化全会（</w:t>
      </w:r>
      <w:r w:rsidRPr="005C5FA3">
        <w:rPr>
          <w:rFonts w:cs="Calibri"/>
          <w:lang w:eastAsia="zh-CN"/>
        </w:rPr>
        <w:t>WTSA-22</w:t>
      </w:r>
      <w:r w:rsidRPr="005C5FA3">
        <w:rPr>
          <w:rFonts w:cs="Calibri" w:hint="eastAsia"/>
          <w:lang w:eastAsia="zh-CN"/>
        </w:rPr>
        <w:t>）将于</w:t>
      </w:r>
      <w:r w:rsidRPr="005C5FA3">
        <w:rPr>
          <w:rFonts w:cs="Calibri" w:hint="eastAsia"/>
          <w:lang w:eastAsia="zh-CN"/>
        </w:rPr>
        <w:t>2022</w:t>
      </w:r>
      <w:r w:rsidRPr="005C5FA3">
        <w:rPr>
          <w:rFonts w:cs="Calibri" w:hint="eastAsia"/>
          <w:lang w:eastAsia="zh-CN"/>
        </w:rPr>
        <w:t>年</w:t>
      </w:r>
      <w:r w:rsidRPr="005C5FA3">
        <w:rPr>
          <w:rFonts w:cs="Calibri" w:hint="eastAsia"/>
          <w:lang w:eastAsia="zh-CN"/>
        </w:rPr>
        <w:t>3</w:t>
      </w:r>
      <w:r w:rsidRPr="005C5FA3">
        <w:rPr>
          <w:rFonts w:cs="Calibri" w:hint="eastAsia"/>
          <w:lang w:eastAsia="zh-CN"/>
        </w:rPr>
        <w:t>月</w:t>
      </w:r>
      <w:r w:rsidRPr="005C5FA3">
        <w:rPr>
          <w:rFonts w:cs="Calibri" w:hint="eastAsia"/>
          <w:lang w:eastAsia="zh-CN"/>
        </w:rPr>
        <w:t>1</w:t>
      </w:r>
      <w:r w:rsidRPr="005C5FA3">
        <w:rPr>
          <w:rFonts w:cs="Calibri" w:hint="eastAsia"/>
          <w:lang w:eastAsia="zh-CN"/>
        </w:rPr>
        <w:t>日至</w:t>
      </w:r>
      <w:r w:rsidRPr="005C5FA3">
        <w:rPr>
          <w:rFonts w:cs="Calibri" w:hint="eastAsia"/>
          <w:lang w:eastAsia="zh-CN"/>
        </w:rPr>
        <w:t>3</w:t>
      </w:r>
      <w:r w:rsidRPr="005C5FA3">
        <w:rPr>
          <w:rFonts w:cs="Calibri" w:hint="eastAsia"/>
          <w:lang w:eastAsia="zh-CN"/>
        </w:rPr>
        <w:t>月</w:t>
      </w:r>
      <w:r w:rsidRPr="005C5FA3">
        <w:rPr>
          <w:rFonts w:cs="Calibri"/>
          <w:lang w:eastAsia="zh-CN"/>
        </w:rPr>
        <w:t>9</w:t>
      </w:r>
      <w:r w:rsidRPr="005C5FA3">
        <w:rPr>
          <w:rFonts w:cs="Calibri" w:hint="eastAsia"/>
          <w:lang w:eastAsia="zh-CN"/>
        </w:rPr>
        <w:t>日在印度海得拉巴举行，</w:t>
      </w:r>
      <w:r w:rsidRPr="005C5FA3">
        <w:rPr>
          <w:rFonts w:cs="Calibri" w:hint="eastAsia"/>
          <w:bCs/>
          <w:lang w:eastAsia="zh-CN"/>
        </w:rPr>
        <w:t>并在此前于</w:t>
      </w:r>
      <w:r w:rsidRPr="005C5FA3">
        <w:rPr>
          <w:rFonts w:cs="Calibri" w:hint="eastAsia"/>
          <w:bCs/>
          <w:lang w:eastAsia="zh-CN"/>
        </w:rPr>
        <w:t>202</w:t>
      </w:r>
      <w:r w:rsidRPr="005C5FA3">
        <w:rPr>
          <w:rFonts w:cs="Calibri"/>
          <w:bCs/>
          <w:lang w:eastAsia="zh-CN"/>
        </w:rPr>
        <w:t>2</w:t>
      </w:r>
      <w:r w:rsidRPr="005C5FA3">
        <w:rPr>
          <w:rFonts w:cs="Calibri" w:hint="eastAsia"/>
          <w:bCs/>
          <w:lang w:eastAsia="zh-CN"/>
        </w:rPr>
        <w:t>年</w:t>
      </w:r>
      <w:r w:rsidRPr="005C5FA3">
        <w:rPr>
          <w:rFonts w:cs="Calibri" w:hint="eastAsia"/>
          <w:bCs/>
          <w:lang w:eastAsia="zh-CN"/>
        </w:rPr>
        <w:t>2</w:t>
      </w:r>
      <w:r w:rsidRPr="005C5FA3">
        <w:rPr>
          <w:rFonts w:cs="Calibri" w:hint="eastAsia"/>
          <w:bCs/>
          <w:lang w:eastAsia="zh-CN"/>
        </w:rPr>
        <w:t>月</w:t>
      </w:r>
      <w:r w:rsidRPr="005C5FA3">
        <w:rPr>
          <w:rFonts w:cs="Calibri" w:hint="eastAsia"/>
          <w:bCs/>
          <w:lang w:eastAsia="zh-CN"/>
        </w:rPr>
        <w:t>2</w:t>
      </w:r>
      <w:r w:rsidRPr="005C5FA3">
        <w:rPr>
          <w:rFonts w:cs="Calibri"/>
          <w:bCs/>
          <w:lang w:eastAsia="zh-CN"/>
        </w:rPr>
        <w:t>8</w:t>
      </w:r>
      <w:r w:rsidRPr="005C5FA3">
        <w:rPr>
          <w:rFonts w:cs="Calibri" w:hint="eastAsia"/>
          <w:bCs/>
          <w:lang w:eastAsia="zh-CN"/>
        </w:rPr>
        <w:t>日举办全球标准专题研讨会，</w:t>
      </w:r>
      <w:r w:rsidRPr="005C5FA3">
        <w:rPr>
          <w:rFonts w:cs="Calibri" w:hint="eastAsia"/>
          <w:lang w:eastAsia="zh-CN"/>
        </w:rPr>
        <w:t>但前提是印度及其他成员国的正常工作和旅行条件已经恢复，</w:t>
      </w:r>
    </w:p>
    <w:p w14:paraId="4827B6C6" w14:textId="77777777" w:rsidR="008B2BF0" w:rsidRPr="00F82938" w:rsidRDefault="008B2BF0" w:rsidP="008B2BF0">
      <w:pPr>
        <w:pStyle w:val="Call"/>
        <w:rPr>
          <w:lang w:eastAsia="zh-CN"/>
        </w:rPr>
      </w:pPr>
      <w:r w:rsidRPr="00F82938">
        <w:rPr>
          <w:rFonts w:hint="eastAsia"/>
          <w:lang w:eastAsia="zh-CN"/>
        </w:rPr>
        <w:t>责成秘书长</w:t>
      </w:r>
    </w:p>
    <w:p w14:paraId="4827B6C7" w14:textId="026D7F28" w:rsidR="008B2BF0" w:rsidRPr="00F82938" w:rsidRDefault="007D70BA" w:rsidP="008B2BF0">
      <w:pPr>
        <w:ind w:firstLineChars="200" w:firstLine="480"/>
        <w:rPr>
          <w:rFonts w:cs="Calibri"/>
          <w:lang w:eastAsia="zh-CN"/>
        </w:rPr>
      </w:pPr>
      <w:r w:rsidRPr="007D70BA">
        <w:rPr>
          <w:rFonts w:hint="eastAsia"/>
          <w:lang w:eastAsia="zh-CN"/>
        </w:rPr>
        <w:t>针对</w:t>
      </w:r>
      <w:r w:rsidRPr="007D70BA">
        <w:rPr>
          <w:lang w:eastAsia="zh-CN"/>
        </w:rPr>
        <w:t>WTSA-</w:t>
      </w:r>
      <w:r w:rsidRPr="007D70BA">
        <w:rPr>
          <w:rFonts w:hint="eastAsia"/>
          <w:lang w:eastAsia="zh-CN"/>
        </w:rPr>
        <w:t>20</w:t>
      </w:r>
      <w:r w:rsidRPr="007D70BA">
        <w:rPr>
          <w:rFonts w:hint="eastAsia"/>
          <w:lang w:eastAsia="zh-CN"/>
        </w:rPr>
        <w:t>的确切日期，与所有成员国进行磋商。</w:t>
      </w:r>
    </w:p>
    <w:p w14:paraId="4827B6C8" w14:textId="291FF823" w:rsidR="00FD589E" w:rsidRPr="001146DC" w:rsidRDefault="00FD589E" w:rsidP="00FD589E">
      <w:pPr>
        <w:pStyle w:val="Endtext"/>
        <w:rPr>
          <w:szCs w:val="22"/>
          <w:lang w:val="en-US" w:eastAsia="zh-CN"/>
        </w:rPr>
      </w:pPr>
      <w:r w:rsidRPr="005901EF">
        <w:rPr>
          <w:rFonts w:hint="eastAsia"/>
          <w:lang w:eastAsia="zh-CN"/>
        </w:rPr>
        <w:t>参阅：</w:t>
      </w:r>
      <w:r w:rsidRPr="005901EF">
        <w:rPr>
          <w:lang w:eastAsia="zh-CN"/>
        </w:rPr>
        <w:tab/>
      </w:r>
      <w:hyperlink r:id="rId392" w:history="1">
        <w:r w:rsidRPr="00F36F5C">
          <w:rPr>
            <w:rStyle w:val="Hyperlink"/>
            <w:lang w:eastAsia="zh-CN"/>
          </w:rPr>
          <w:t>C19/125</w:t>
        </w:r>
      </w:hyperlink>
      <w:r w:rsidR="00A744DE">
        <w:rPr>
          <w:rFonts w:hint="eastAsia"/>
          <w:lang w:eastAsia="zh-CN"/>
        </w:rPr>
        <w:t>、</w:t>
      </w:r>
      <w:hyperlink r:id="rId393" w:history="1">
        <w:r w:rsidRPr="00F36F5C">
          <w:rPr>
            <w:rStyle w:val="Hyperlink"/>
            <w:lang w:eastAsia="zh-CN"/>
          </w:rPr>
          <w:t>C19/112</w:t>
        </w:r>
      </w:hyperlink>
      <w:r w:rsidR="00A744DE">
        <w:rPr>
          <w:rFonts w:hint="eastAsia"/>
          <w:szCs w:val="22"/>
          <w:lang w:val="en-US" w:eastAsia="zh-CN"/>
        </w:rPr>
        <w:t>、</w:t>
      </w:r>
      <w:hyperlink r:id="rId394" w:history="1">
        <w:r w:rsidR="00A744DE" w:rsidRPr="00A744DE">
          <w:rPr>
            <w:rStyle w:val="Hyperlink"/>
            <w:szCs w:val="22"/>
            <w:lang w:val="en-GB" w:eastAsia="zh-CN"/>
          </w:rPr>
          <w:t>C20/72(Rev.1)</w:t>
        </w:r>
      </w:hyperlink>
      <w:r w:rsidR="00A744DE">
        <w:rPr>
          <w:rFonts w:hint="eastAsia"/>
          <w:szCs w:val="22"/>
          <w:lang w:val="en-GB" w:eastAsia="zh-CN"/>
        </w:rPr>
        <w:t>、</w:t>
      </w:r>
      <w:hyperlink r:id="rId395" w:history="1">
        <w:r w:rsidR="00A744DE" w:rsidRPr="00A744DE">
          <w:rPr>
            <w:rStyle w:val="Hyperlink"/>
            <w:szCs w:val="22"/>
            <w:lang w:val="en-GB" w:eastAsia="zh-CN"/>
          </w:rPr>
          <w:t>VC/15</w:t>
        </w:r>
      </w:hyperlink>
      <w:r w:rsidR="00A744DE">
        <w:rPr>
          <w:rFonts w:hint="eastAsia"/>
          <w:szCs w:val="22"/>
          <w:lang w:val="en-GB" w:eastAsia="zh-CN"/>
        </w:rPr>
        <w:t>、</w:t>
      </w:r>
      <w:hyperlink r:id="rId396" w:history="1">
        <w:r w:rsidR="00A744DE" w:rsidRPr="00A744DE">
          <w:rPr>
            <w:rStyle w:val="Hyperlink"/>
            <w:szCs w:val="22"/>
            <w:lang w:val="en-GB" w:eastAsia="zh-CN"/>
          </w:rPr>
          <w:t>VC-2/10</w:t>
        </w:r>
      </w:hyperlink>
      <w:r w:rsidR="00A744DE">
        <w:rPr>
          <w:rFonts w:hint="eastAsia"/>
          <w:szCs w:val="22"/>
          <w:lang w:val="en-GB" w:eastAsia="zh-CN"/>
        </w:rPr>
        <w:t>、</w:t>
      </w:r>
      <w:hyperlink r:id="rId397" w:history="1">
        <w:r w:rsidR="00A744DE" w:rsidRPr="00A744DE">
          <w:rPr>
            <w:rStyle w:val="Hyperlink"/>
            <w:szCs w:val="22"/>
            <w:lang w:val="en-GB" w:eastAsia="zh-CN"/>
          </w:rPr>
          <w:t>VC-2/12</w:t>
        </w:r>
      </w:hyperlink>
      <w:r w:rsidR="00A744DE">
        <w:rPr>
          <w:rFonts w:hint="eastAsia"/>
          <w:szCs w:val="22"/>
          <w:lang w:val="en-GB" w:eastAsia="zh-CN"/>
        </w:rPr>
        <w:t>和</w:t>
      </w:r>
      <w:hyperlink r:id="rId398" w:history="1">
        <w:r w:rsidR="00A744DE" w:rsidRPr="00A744DE">
          <w:rPr>
            <w:rStyle w:val="Hyperlink"/>
            <w:szCs w:val="22"/>
            <w:lang w:val="en-GB" w:eastAsia="zh-CN"/>
          </w:rPr>
          <w:t>DM-20/1022</w:t>
        </w:r>
      </w:hyperlink>
      <w:r w:rsidR="00A744DE">
        <w:rPr>
          <w:rFonts w:hint="eastAsia"/>
          <w:szCs w:val="22"/>
          <w:lang w:val="en-GB" w:eastAsia="zh-CN"/>
        </w:rPr>
        <w:t>号</w:t>
      </w:r>
      <w:r>
        <w:rPr>
          <w:rFonts w:hint="eastAsia"/>
          <w:szCs w:val="22"/>
          <w:lang w:val="en-US" w:eastAsia="zh-CN"/>
        </w:rPr>
        <w:t>文</w:t>
      </w:r>
      <w:r>
        <w:rPr>
          <w:szCs w:val="22"/>
          <w:lang w:val="en-US" w:eastAsia="zh-CN"/>
        </w:rPr>
        <w:t>件。</w:t>
      </w:r>
    </w:p>
    <w:p w14:paraId="4827B6C9" w14:textId="77777777" w:rsidR="008B2BF0" w:rsidRDefault="008B2BF0" w:rsidP="008B2BF0">
      <w:pPr>
        <w:jc w:val="center"/>
        <w:rPr>
          <w:lang w:eastAsia="zh-CN"/>
        </w:rPr>
      </w:pPr>
      <w:r w:rsidRPr="00F82938">
        <w:rPr>
          <w:lang w:eastAsia="zh-CN"/>
        </w:rPr>
        <w:t>______________</w:t>
      </w:r>
    </w:p>
    <w:p w14:paraId="4827B6CA" w14:textId="77777777" w:rsidR="00FD589E" w:rsidRDefault="00FD589E" w:rsidP="00CA7362">
      <w:pPr>
        <w:pStyle w:val="DecNo"/>
        <w:outlineLvl w:val="0"/>
      </w:pPr>
      <w:bookmarkStart w:id="1974" w:name="_Toc16085832"/>
      <w:bookmarkStart w:id="1975" w:name="_Toc86395633"/>
      <w:r>
        <w:rPr>
          <w:rFonts w:hint="eastAsia"/>
        </w:rPr>
        <w:t>第</w:t>
      </w:r>
      <w:r>
        <w:rPr>
          <w:lang w:val="fr-CH"/>
        </w:rPr>
        <w:t>609</w:t>
      </w:r>
      <w:r>
        <w:rPr>
          <w:rFonts w:hint="eastAsia"/>
        </w:rPr>
        <w:t>号决定（</w:t>
      </w:r>
      <w:r>
        <w:rPr>
          <w:rFonts w:hint="eastAsia"/>
        </w:rPr>
        <w:t>C19</w:t>
      </w:r>
      <w:r>
        <w:rPr>
          <w:rFonts w:hint="eastAsia"/>
        </w:rPr>
        <w:t>）</w:t>
      </w:r>
      <w:bookmarkEnd w:id="1974"/>
      <w:bookmarkEnd w:id="1975"/>
    </w:p>
    <w:p w14:paraId="4827B6CB" w14:textId="77777777" w:rsidR="00D64003" w:rsidRDefault="00FD589E" w:rsidP="00FD589E">
      <w:pPr>
        <w:pStyle w:val="Dectitle"/>
        <w:rPr>
          <w:lang w:val="en-US"/>
        </w:rPr>
      </w:pPr>
      <w:bookmarkStart w:id="1976" w:name="_Toc16085833"/>
      <w:bookmarkStart w:id="1977" w:name="_Toc86395634"/>
      <w:r>
        <w:rPr>
          <w:rFonts w:hint="eastAsia"/>
        </w:rPr>
        <w:t>下届世界电信发展大会（</w:t>
      </w:r>
      <w:r>
        <w:t>WTDC-21</w:t>
      </w:r>
      <w:r>
        <w:rPr>
          <w:rFonts w:hint="eastAsia"/>
        </w:rPr>
        <w:t>）的召开</w:t>
      </w:r>
      <w:bookmarkEnd w:id="1976"/>
      <w:bookmarkEnd w:id="1977"/>
    </w:p>
    <w:p w14:paraId="4827B6CC" w14:textId="77777777" w:rsidR="00FD589E" w:rsidRPr="00F82938" w:rsidRDefault="00FD589E" w:rsidP="00E51375">
      <w:pPr>
        <w:pStyle w:val="Normalaftertitle0"/>
      </w:pPr>
      <w:r w:rsidRPr="00F82938">
        <w:rPr>
          <w:rFonts w:hint="eastAsia"/>
        </w:rPr>
        <w:t>理事会，</w:t>
      </w:r>
    </w:p>
    <w:p w14:paraId="4827B6CD" w14:textId="77777777" w:rsidR="00FD589E" w:rsidRPr="00F82938" w:rsidRDefault="00FD589E" w:rsidP="00FD589E">
      <w:pPr>
        <w:pStyle w:val="Call"/>
        <w:rPr>
          <w:lang w:eastAsia="zh-CN"/>
        </w:rPr>
      </w:pPr>
      <w:r w:rsidRPr="00F82938">
        <w:rPr>
          <w:rFonts w:hint="eastAsia"/>
          <w:lang w:eastAsia="zh-CN"/>
        </w:rPr>
        <w:t>注意到</w:t>
      </w:r>
    </w:p>
    <w:p w14:paraId="4827B6CE" w14:textId="77777777" w:rsidR="00FD589E" w:rsidRDefault="00FD589E" w:rsidP="00FD589E">
      <w:pPr>
        <w:ind w:firstLineChars="200" w:firstLine="480"/>
        <w:rPr>
          <w:rFonts w:cs="Calibri"/>
          <w:lang w:eastAsia="zh-CN"/>
        </w:rPr>
      </w:pPr>
      <w:r w:rsidRPr="00F82938">
        <w:rPr>
          <w:rFonts w:cs="Calibri" w:hint="eastAsia"/>
          <w:lang w:eastAsia="zh-CN"/>
        </w:rPr>
        <w:t>根据第</w:t>
      </w:r>
      <w:r w:rsidRPr="00F82938">
        <w:rPr>
          <w:rFonts w:cs="Calibri" w:hint="eastAsia"/>
          <w:lang w:eastAsia="zh-CN"/>
        </w:rPr>
        <w:t>77</w:t>
      </w:r>
      <w:r w:rsidRPr="00F82938">
        <w:rPr>
          <w:rFonts w:cs="Calibri" w:hint="eastAsia"/>
          <w:lang w:eastAsia="zh-CN"/>
        </w:rPr>
        <w:t>号决议（</w:t>
      </w:r>
      <w:r w:rsidRPr="00F82938">
        <w:rPr>
          <w:rFonts w:cs="Calibri" w:hint="eastAsia"/>
          <w:lang w:eastAsia="zh-CN"/>
        </w:rPr>
        <w:t>2018</w:t>
      </w:r>
      <w:r w:rsidRPr="00F82938">
        <w:rPr>
          <w:rFonts w:cs="Calibri" w:hint="eastAsia"/>
          <w:lang w:eastAsia="zh-CN"/>
        </w:rPr>
        <w:t>年，迪拜，修订版）（国际电联的大会、论坛、全会和理事会会议的时间安排和会期（</w:t>
      </w:r>
      <w:r w:rsidRPr="00F82938">
        <w:rPr>
          <w:rFonts w:cs="Calibri" w:hint="eastAsia"/>
          <w:lang w:eastAsia="zh-CN"/>
        </w:rPr>
        <w:t>2019-2023</w:t>
      </w:r>
      <w:r w:rsidRPr="00F82938">
        <w:rPr>
          <w:rFonts w:cs="Calibri" w:hint="eastAsia"/>
          <w:lang w:eastAsia="zh-CN"/>
        </w:rPr>
        <w:t>年）），</w:t>
      </w:r>
      <w:r w:rsidRPr="00F82938">
        <w:rPr>
          <w:rFonts w:cs="Calibri" w:hint="eastAsia"/>
          <w:lang w:eastAsia="zh-CN"/>
        </w:rPr>
        <w:t>W</w:t>
      </w:r>
      <w:r w:rsidRPr="00F82938">
        <w:rPr>
          <w:rFonts w:cs="Calibri"/>
          <w:lang w:eastAsia="zh-CN"/>
        </w:rPr>
        <w:t>TDC-21</w:t>
      </w:r>
      <w:r w:rsidRPr="00F82938">
        <w:rPr>
          <w:rFonts w:cs="Calibri" w:hint="eastAsia"/>
          <w:lang w:eastAsia="zh-CN"/>
        </w:rPr>
        <w:t>计划于</w:t>
      </w:r>
      <w:r w:rsidRPr="00F82938">
        <w:rPr>
          <w:rFonts w:cs="Calibri" w:hint="eastAsia"/>
          <w:lang w:eastAsia="zh-CN"/>
        </w:rPr>
        <w:t>2021</w:t>
      </w:r>
      <w:r w:rsidRPr="00F82938">
        <w:rPr>
          <w:rFonts w:cs="Calibri" w:hint="eastAsia"/>
          <w:lang w:eastAsia="zh-CN"/>
        </w:rPr>
        <w:t>年最后一个季度举办，</w:t>
      </w:r>
    </w:p>
    <w:p w14:paraId="4827B6CF" w14:textId="77777777" w:rsidR="00FD589E" w:rsidRPr="00F82938" w:rsidRDefault="00FD589E" w:rsidP="00FD589E">
      <w:pPr>
        <w:pStyle w:val="Call"/>
        <w:rPr>
          <w:lang w:eastAsia="zh-CN"/>
        </w:rPr>
      </w:pPr>
      <w:r w:rsidRPr="00F82938">
        <w:rPr>
          <w:rFonts w:hint="eastAsia"/>
          <w:lang w:eastAsia="zh-CN"/>
        </w:rPr>
        <w:t>做出决定</w:t>
      </w:r>
    </w:p>
    <w:p w14:paraId="4827B6D0" w14:textId="77777777" w:rsidR="00FD589E" w:rsidRPr="00F82938" w:rsidRDefault="00FD589E" w:rsidP="00FD589E">
      <w:pPr>
        <w:ind w:firstLineChars="200" w:firstLine="480"/>
        <w:rPr>
          <w:rFonts w:cs="Calibri"/>
          <w:lang w:eastAsia="zh-CN"/>
        </w:rPr>
      </w:pPr>
      <w:r w:rsidRPr="00F82938">
        <w:rPr>
          <w:rFonts w:cs="Calibri" w:hint="eastAsia"/>
          <w:lang w:eastAsia="zh-CN"/>
        </w:rPr>
        <w:t>在征得国际电联多数成员国同意的前提下，下届世界电信发展大会（</w:t>
      </w:r>
      <w:r w:rsidRPr="00F82938">
        <w:rPr>
          <w:rFonts w:cs="Calibri" w:hint="eastAsia"/>
          <w:lang w:eastAsia="zh-CN"/>
        </w:rPr>
        <w:t>W</w:t>
      </w:r>
      <w:r w:rsidRPr="00F82938">
        <w:rPr>
          <w:rFonts w:cs="Calibri"/>
          <w:lang w:eastAsia="zh-CN"/>
        </w:rPr>
        <w:t>TDC-21</w:t>
      </w:r>
      <w:r w:rsidRPr="00F82938">
        <w:rPr>
          <w:rFonts w:cs="Calibri" w:hint="eastAsia"/>
          <w:lang w:eastAsia="zh-CN"/>
        </w:rPr>
        <w:t>）将于</w:t>
      </w:r>
      <w:r w:rsidRPr="00F82938">
        <w:rPr>
          <w:rFonts w:cs="Calibri" w:hint="eastAsia"/>
          <w:lang w:eastAsia="zh-CN"/>
        </w:rPr>
        <w:t>2</w:t>
      </w:r>
      <w:r w:rsidRPr="00F82938">
        <w:rPr>
          <w:rFonts w:cs="Calibri"/>
          <w:lang w:eastAsia="zh-CN"/>
        </w:rPr>
        <w:t>021</w:t>
      </w:r>
      <w:r w:rsidRPr="00F82938">
        <w:rPr>
          <w:rFonts w:cs="Calibri" w:hint="eastAsia"/>
          <w:lang w:eastAsia="zh-CN"/>
        </w:rPr>
        <w:t>年</w:t>
      </w:r>
      <w:r w:rsidRPr="00F82938">
        <w:rPr>
          <w:rFonts w:cs="Calibri" w:hint="eastAsia"/>
          <w:lang w:eastAsia="zh-CN"/>
        </w:rPr>
        <w:t>11</w:t>
      </w:r>
      <w:r w:rsidRPr="00F82938">
        <w:rPr>
          <w:rFonts w:cs="Calibri" w:hint="eastAsia"/>
          <w:lang w:eastAsia="zh-CN"/>
        </w:rPr>
        <w:t>月</w:t>
      </w:r>
      <w:r w:rsidRPr="00F82938">
        <w:rPr>
          <w:rFonts w:cs="Calibri" w:hint="eastAsia"/>
          <w:lang w:eastAsia="zh-CN"/>
        </w:rPr>
        <w:t>8</w:t>
      </w:r>
      <w:r w:rsidRPr="00F82938">
        <w:rPr>
          <w:rFonts w:cs="Calibri" w:hint="eastAsia"/>
          <w:lang w:eastAsia="zh-CN"/>
        </w:rPr>
        <w:t>至</w:t>
      </w:r>
      <w:r w:rsidRPr="00F82938">
        <w:rPr>
          <w:rFonts w:cs="Calibri" w:hint="eastAsia"/>
          <w:lang w:eastAsia="zh-CN"/>
        </w:rPr>
        <w:t>19</w:t>
      </w:r>
      <w:r w:rsidRPr="00F82938">
        <w:rPr>
          <w:rFonts w:cs="Calibri" w:hint="eastAsia"/>
          <w:lang w:eastAsia="zh-CN"/>
        </w:rPr>
        <w:t>日在埃塞俄比亚联邦民主共和国亚的斯亚贝巴举行，</w:t>
      </w:r>
    </w:p>
    <w:p w14:paraId="4827B6D1" w14:textId="77777777" w:rsidR="00FD589E" w:rsidRDefault="00FD589E" w:rsidP="00FD589E">
      <w:pPr>
        <w:pStyle w:val="Call"/>
        <w:rPr>
          <w:lang w:eastAsia="zh-CN"/>
        </w:rPr>
      </w:pPr>
      <w:r w:rsidRPr="00F82938">
        <w:rPr>
          <w:rFonts w:hint="eastAsia"/>
          <w:lang w:eastAsia="zh-CN"/>
        </w:rPr>
        <w:t>责成秘书长</w:t>
      </w:r>
    </w:p>
    <w:p w14:paraId="4827B6D2" w14:textId="77777777" w:rsidR="00FD589E" w:rsidRPr="00F94256" w:rsidRDefault="00FD589E" w:rsidP="00FD589E">
      <w:pPr>
        <w:rPr>
          <w:lang w:eastAsia="zh-CN"/>
        </w:rPr>
      </w:pPr>
      <w:r>
        <w:rPr>
          <w:rFonts w:cs="Calibri"/>
          <w:lang w:eastAsia="zh-CN"/>
        </w:rPr>
        <w:t>1</w:t>
      </w:r>
      <w:r>
        <w:rPr>
          <w:rFonts w:cs="Calibri"/>
          <w:lang w:eastAsia="zh-CN"/>
        </w:rPr>
        <w:tab/>
      </w:r>
      <w:r w:rsidRPr="000809CF">
        <w:rPr>
          <w:rFonts w:hint="eastAsia"/>
          <w:lang w:eastAsia="zh-CN"/>
        </w:rPr>
        <w:t>针对</w:t>
      </w:r>
      <w:r w:rsidRPr="000809CF">
        <w:rPr>
          <w:lang w:eastAsia="zh-CN"/>
        </w:rPr>
        <w:t>WTDC-21</w:t>
      </w:r>
      <w:r>
        <w:rPr>
          <w:rFonts w:hint="eastAsia"/>
          <w:szCs w:val="24"/>
          <w:lang w:eastAsia="zh-CN"/>
        </w:rPr>
        <w:t>的确切日期和具体地点，与所有成员国进行磋商</w:t>
      </w:r>
      <w:r>
        <w:rPr>
          <w:rFonts w:hint="eastAsia"/>
          <w:lang w:eastAsia="zh-CN"/>
        </w:rPr>
        <w:t>；</w:t>
      </w:r>
    </w:p>
    <w:p w14:paraId="4827B6D3" w14:textId="77777777" w:rsidR="00FD589E" w:rsidRPr="00F82938" w:rsidRDefault="00FD589E" w:rsidP="00FD589E">
      <w:pPr>
        <w:rPr>
          <w:rFonts w:cs="Calibri"/>
          <w:lang w:eastAsia="zh-CN"/>
        </w:rPr>
      </w:pPr>
      <w:r>
        <w:rPr>
          <w:rFonts w:cs="Calibri" w:hint="eastAsia"/>
          <w:lang w:eastAsia="zh-CN"/>
        </w:rPr>
        <w:t>2</w:t>
      </w:r>
      <w:r>
        <w:rPr>
          <w:rFonts w:cs="Calibri" w:hint="eastAsia"/>
          <w:lang w:eastAsia="zh-CN"/>
        </w:rPr>
        <w:tab/>
      </w:r>
      <w:r w:rsidRPr="00F82938">
        <w:rPr>
          <w:rFonts w:cs="Calibri" w:hint="eastAsia"/>
          <w:lang w:eastAsia="zh-CN"/>
        </w:rPr>
        <w:t>进行实地考察并向理事会</w:t>
      </w:r>
      <w:r w:rsidRPr="00F82938">
        <w:rPr>
          <w:rFonts w:cs="Calibri" w:hint="eastAsia"/>
          <w:lang w:eastAsia="zh-CN"/>
        </w:rPr>
        <w:t>2020</w:t>
      </w:r>
      <w:r w:rsidRPr="00F82938">
        <w:rPr>
          <w:rFonts w:cs="Calibri" w:hint="eastAsia"/>
          <w:lang w:eastAsia="zh-CN"/>
        </w:rPr>
        <w:t>年会议报告。</w:t>
      </w:r>
    </w:p>
    <w:p w14:paraId="4827B6D4" w14:textId="77777777" w:rsidR="00FD589E" w:rsidRPr="001146DC" w:rsidRDefault="00FD589E" w:rsidP="00FD589E">
      <w:pPr>
        <w:pStyle w:val="Endtext"/>
        <w:rPr>
          <w:szCs w:val="22"/>
          <w:lang w:val="en-US" w:eastAsia="zh-CN"/>
        </w:rPr>
      </w:pPr>
      <w:r w:rsidRPr="005901EF">
        <w:rPr>
          <w:rFonts w:hint="eastAsia"/>
          <w:lang w:eastAsia="zh-CN"/>
        </w:rPr>
        <w:t>参阅：</w:t>
      </w:r>
      <w:r w:rsidRPr="005901EF">
        <w:rPr>
          <w:lang w:eastAsia="zh-CN"/>
        </w:rPr>
        <w:tab/>
      </w:r>
      <w:hyperlink r:id="rId399" w:history="1">
        <w:r w:rsidRPr="00F36F5C">
          <w:rPr>
            <w:rStyle w:val="Hyperlink"/>
            <w:lang w:eastAsia="zh-CN"/>
          </w:rPr>
          <w:t>C19/12</w:t>
        </w:r>
        <w:r>
          <w:rPr>
            <w:rStyle w:val="Hyperlink"/>
            <w:lang w:eastAsia="zh-CN"/>
          </w:rPr>
          <w:t>6</w:t>
        </w:r>
      </w:hyperlink>
      <w:r>
        <w:rPr>
          <w:rFonts w:hint="eastAsia"/>
          <w:lang w:eastAsia="zh-CN"/>
        </w:rPr>
        <w:t>和</w:t>
      </w:r>
      <w:hyperlink r:id="rId400" w:history="1">
        <w:r w:rsidRPr="00F36F5C">
          <w:rPr>
            <w:rStyle w:val="Hyperlink"/>
            <w:lang w:eastAsia="zh-CN"/>
          </w:rPr>
          <w:t>C19/11</w:t>
        </w:r>
        <w:r>
          <w:rPr>
            <w:rStyle w:val="Hyperlink"/>
            <w:lang w:eastAsia="zh-CN"/>
          </w:rPr>
          <w:t>5</w:t>
        </w:r>
      </w:hyperlink>
      <w:r>
        <w:rPr>
          <w:rFonts w:hint="eastAsia"/>
          <w:szCs w:val="22"/>
          <w:lang w:val="en-US" w:eastAsia="zh-CN"/>
        </w:rPr>
        <w:t>号文</w:t>
      </w:r>
      <w:r>
        <w:rPr>
          <w:szCs w:val="22"/>
          <w:lang w:val="en-US" w:eastAsia="zh-CN"/>
        </w:rPr>
        <w:t>件。</w:t>
      </w:r>
    </w:p>
    <w:p w14:paraId="4827B6D5" w14:textId="77777777" w:rsidR="00FD589E" w:rsidRDefault="00FD589E" w:rsidP="00FD589E">
      <w:pPr>
        <w:jc w:val="center"/>
        <w:rPr>
          <w:lang w:eastAsia="zh-CN"/>
        </w:rPr>
      </w:pPr>
      <w:r w:rsidRPr="00F82938">
        <w:rPr>
          <w:lang w:eastAsia="zh-CN"/>
        </w:rPr>
        <w:t>______________</w:t>
      </w:r>
    </w:p>
    <w:p w14:paraId="4827B6D6" w14:textId="77777777" w:rsidR="00FD589E" w:rsidRDefault="00FD589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4827B6D7" w14:textId="5C1099A4" w:rsidR="00FD589E" w:rsidRDefault="00FD589E" w:rsidP="00CA7362">
      <w:pPr>
        <w:pStyle w:val="DecNo"/>
        <w:outlineLvl w:val="0"/>
      </w:pPr>
      <w:bookmarkStart w:id="1978" w:name="_Toc16085834"/>
      <w:bookmarkStart w:id="1979" w:name="_Toc86395635"/>
      <w:r w:rsidRPr="008F1B2C">
        <w:rPr>
          <w:rFonts w:hint="eastAsia"/>
        </w:rPr>
        <w:lastRenderedPageBreak/>
        <w:t>第</w:t>
      </w:r>
      <w:r>
        <w:rPr>
          <w:lang w:val="fr-CH"/>
        </w:rPr>
        <w:t>611</w:t>
      </w:r>
      <w:r w:rsidRPr="008F1B2C">
        <w:rPr>
          <w:rFonts w:hint="eastAsia"/>
        </w:rPr>
        <w:t>号决定</w:t>
      </w:r>
      <w:r w:rsidR="00CD0CD2">
        <w:rPr>
          <w:rFonts w:hint="eastAsia"/>
        </w:rPr>
        <w:t>（</w:t>
      </w:r>
      <w:r w:rsidR="00CD0CD2">
        <w:rPr>
          <w:rFonts w:hint="eastAsia"/>
        </w:rPr>
        <w:t>C19</w:t>
      </w:r>
      <w:r w:rsidR="00E1239B">
        <w:rPr>
          <w:rFonts w:hint="eastAsia"/>
        </w:rPr>
        <w:t>，</w:t>
      </w:r>
      <w:r w:rsidR="00E1239B" w:rsidRPr="00E1239B">
        <w:t>C20</w:t>
      </w:r>
      <w:r w:rsidR="00E1239B" w:rsidRPr="00E1239B">
        <w:rPr>
          <w:rFonts w:hint="eastAsia"/>
        </w:rPr>
        <w:t>最后修正</w:t>
      </w:r>
      <w:r w:rsidR="00CD0CD2">
        <w:rPr>
          <w:rFonts w:hint="eastAsia"/>
        </w:rPr>
        <w:t>）</w:t>
      </w:r>
      <w:bookmarkEnd w:id="1978"/>
      <w:bookmarkEnd w:id="1979"/>
    </w:p>
    <w:p w14:paraId="4827B6D8" w14:textId="77777777" w:rsidR="00FD589E" w:rsidRDefault="00FD589E" w:rsidP="00FD589E">
      <w:pPr>
        <w:pStyle w:val="Dectitle"/>
      </w:pPr>
      <w:bookmarkStart w:id="1980" w:name="_Toc16085835"/>
      <w:bookmarkStart w:id="1981" w:name="_Toc86395636"/>
      <w:r w:rsidRPr="00C732E9">
        <w:rPr>
          <w:rFonts w:hint="eastAsia"/>
        </w:rPr>
        <w:t>第六届世界电信</w:t>
      </w:r>
      <w:r w:rsidRPr="00C732E9">
        <w:rPr>
          <w:rFonts w:hint="eastAsia"/>
        </w:rPr>
        <w:t>/</w:t>
      </w:r>
      <w:r w:rsidRPr="00C732E9">
        <w:rPr>
          <w:rFonts w:hint="eastAsia"/>
        </w:rPr>
        <w:t>信息通信技术政策论坛</w:t>
      </w:r>
      <w:bookmarkEnd w:id="1980"/>
      <w:bookmarkEnd w:id="1981"/>
    </w:p>
    <w:p w14:paraId="4827B6D9" w14:textId="7F8B52B8" w:rsidR="00FD589E" w:rsidRPr="007B7AE3" w:rsidRDefault="00E1239B" w:rsidP="00E51375">
      <w:pPr>
        <w:pStyle w:val="Normalaftertitle0"/>
      </w:pPr>
      <w:bookmarkStart w:id="1982" w:name="lt_pId022"/>
      <w:r w:rsidRPr="00E1239B">
        <w:rPr>
          <w:rFonts w:hint="eastAsia"/>
        </w:rPr>
        <w:t>国际电联理事会</w:t>
      </w:r>
      <w:r w:rsidR="00FD589E" w:rsidRPr="007B7AE3">
        <w:rPr>
          <w:rFonts w:hint="eastAsia"/>
        </w:rPr>
        <w:t>，</w:t>
      </w:r>
    </w:p>
    <w:p w14:paraId="4827B6DA" w14:textId="77777777" w:rsidR="00FD589E" w:rsidRPr="007B7AE3" w:rsidRDefault="00FD589E" w:rsidP="00FD589E">
      <w:pPr>
        <w:pStyle w:val="Call"/>
        <w:rPr>
          <w:lang w:eastAsia="zh-CN"/>
        </w:rPr>
      </w:pPr>
      <w:r w:rsidRPr="007B7AE3">
        <w:rPr>
          <w:rFonts w:hint="eastAsia"/>
          <w:lang w:eastAsia="zh-CN"/>
        </w:rPr>
        <w:t>认识到</w:t>
      </w:r>
    </w:p>
    <w:bookmarkEnd w:id="1982"/>
    <w:p w14:paraId="4827B6DB" w14:textId="6B367401" w:rsidR="00FD589E" w:rsidRPr="00E1239B" w:rsidRDefault="00E1239B" w:rsidP="00FD589E">
      <w:pPr>
        <w:ind w:firstLineChars="200" w:firstLine="480"/>
        <w:rPr>
          <w:rFonts w:cs="Calibri"/>
          <w:b/>
          <w:sz w:val="22"/>
          <w:szCs w:val="24"/>
          <w:lang w:eastAsia="zh-CN"/>
        </w:rPr>
      </w:pPr>
      <w:r w:rsidRPr="00E1239B">
        <w:rPr>
          <w:rFonts w:hint="eastAsia"/>
          <w:lang w:eastAsia="zh-CN"/>
        </w:rPr>
        <w:t>有关世界电信</w:t>
      </w:r>
      <w:r w:rsidRPr="00E1239B">
        <w:rPr>
          <w:rFonts w:hint="eastAsia"/>
          <w:lang w:eastAsia="zh-CN"/>
        </w:rPr>
        <w:t>/</w:t>
      </w:r>
      <w:r w:rsidRPr="00E1239B">
        <w:rPr>
          <w:rFonts w:hint="eastAsia"/>
          <w:lang w:eastAsia="zh-CN"/>
        </w:rPr>
        <w:t>信息通信技术政策论坛（</w:t>
      </w:r>
      <w:r w:rsidRPr="00E1239B">
        <w:rPr>
          <w:rFonts w:hint="eastAsia"/>
          <w:lang w:eastAsia="zh-CN"/>
        </w:rPr>
        <w:t>WTPF</w:t>
      </w:r>
      <w:r w:rsidRPr="00E1239B">
        <w:rPr>
          <w:rFonts w:hint="eastAsia"/>
          <w:lang w:eastAsia="zh-CN"/>
        </w:rPr>
        <w:t>）的全权代表大会（</w:t>
      </w:r>
      <w:r w:rsidRPr="00E1239B">
        <w:rPr>
          <w:rFonts w:hint="eastAsia"/>
          <w:lang w:eastAsia="zh-CN"/>
        </w:rPr>
        <w:t>2018</w:t>
      </w:r>
      <w:r w:rsidRPr="00E1239B">
        <w:rPr>
          <w:rFonts w:hint="eastAsia"/>
          <w:lang w:eastAsia="zh-CN"/>
        </w:rPr>
        <w:t>年，迪拜）第</w:t>
      </w:r>
      <w:r w:rsidRPr="00E1239B">
        <w:rPr>
          <w:rFonts w:hint="eastAsia"/>
          <w:lang w:eastAsia="zh-CN"/>
        </w:rPr>
        <w:t>2</w:t>
      </w:r>
      <w:r w:rsidRPr="00E1239B">
        <w:rPr>
          <w:rFonts w:hint="eastAsia"/>
          <w:lang w:eastAsia="zh-CN"/>
        </w:rPr>
        <w:t>号决议（</w:t>
      </w:r>
      <w:r w:rsidRPr="00E1239B">
        <w:rPr>
          <w:rFonts w:hint="eastAsia"/>
          <w:lang w:eastAsia="zh-CN"/>
        </w:rPr>
        <w:t>2018</w:t>
      </w:r>
      <w:r w:rsidRPr="00E1239B">
        <w:rPr>
          <w:rFonts w:hint="eastAsia"/>
          <w:lang w:eastAsia="zh-CN"/>
        </w:rPr>
        <w:t>年，迪拜，修订版），</w:t>
      </w:r>
    </w:p>
    <w:p w14:paraId="4827B6DC" w14:textId="77777777" w:rsidR="00FD589E" w:rsidRPr="00E1239B" w:rsidRDefault="00FD589E" w:rsidP="00FD589E">
      <w:pPr>
        <w:pStyle w:val="Call"/>
        <w:rPr>
          <w:lang w:eastAsia="zh-CN"/>
        </w:rPr>
      </w:pPr>
      <w:r w:rsidRPr="00E1239B">
        <w:rPr>
          <w:rFonts w:hint="eastAsia"/>
          <w:lang w:eastAsia="zh-CN"/>
        </w:rPr>
        <w:t>考虑到</w:t>
      </w:r>
    </w:p>
    <w:p w14:paraId="4827B6DD" w14:textId="626DBBCF" w:rsidR="00FD589E" w:rsidRPr="00E1239B" w:rsidRDefault="00E1239B" w:rsidP="00FD589E">
      <w:pPr>
        <w:tabs>
          <w:tab w:val="clear" w:pos="794"/>
          <w:tab w:val="clear" w:pos="1191"/>
          <w:tab w:val="clear" w:pos="1588"/>
          <w:tab w:val="clear" w:pos="1985"/>
          <w:tab w:val="center" w:pos="8222"/>
        </w:tabs>
        <w:ind w:firstLineChars="200" w:firstLine="480"/>
        <w:rPr>
          <w:lang w:eastAsia="zh-CN"/>
        </w:rPr>
      </w:pPr>
      <w:r w:rsidRPr="00E1239B">
        <w:rPr>
          <w:rFonts w:hint="eastAsia"/>
          <w:lang w:eastAsia="zh-CN"/>
        </w:rPr>
        <w:t>除了通过反映共同看法的意见外，</w:t>
      </w:r>
      <w:r w:rsidRPr="00E1239B">
        <w:rPr>
          <w:rFonts w:hint="eastAsia"/>
          <w:lang w:eastAsia="zh-CN"/>
        </w:rPr>
        <w:t>WTPF</w:t>
      </w:r>
      <w:r w:rsidRPr="00E1239B">
        <w:rPr>
          <w:rFonts w:hint="eastAsia"/>
          <w:lang w:eastAsia="zh-CN"/>
        </w:rPr>
        <w:t>的目的在于提供场所交流观点和信息，从而使全世界的政策制定机构在因新的电信</w:t>
      </w:r>
      <w:r w:rsidRPr="00E1239B">
        <w:rPr>
          <w:rFonts w:hint="eastAsia"/>
          <w:lang w:eastAsia="zh-CN"/>
        </w:rPr>
        <w:t>/ICT</w:t>
      </w:r>
      <w:r w:rsidRPr="00E1239B">
        <w:rPr>
          <w:rFonts w:hint="eastAsia"/>
          <w:lang w:eastAsia="zh-CN"/>
        </w:rPr>
        <w:t>业务和技术的出现而带来的问题方面达成共同愿景，并且审议任何其他可能受益于全球性意见交流的电信</w:t>
      </w:r>
      <w:r w:rsidRPr="00E1239B">
        <w:rPr>
          <w:rFonts w:hint="eastAsia"/>
          <w:lang w:eastAsia="zh-CN"/>
        </w:rPr>
        <w:t>/ICT</w:t>
      </w:r>
      <w:r w:rsidRPr="00E1239B">
        <w:rPr>
          <w:rFonts w:hint="eastAsia"/>
          <w:lang w:eastAsia="zh-CN"/>
        </w:rPr>
        <w:t>政策问题，</w:t>
      </w:r>
    </w:p>
    <w:p w14:paraId="4827B6DE" w14:textId="77777777" w:rsidR="00FD589E" w:rsidRPr="00E1239B" w:rsidRDefault="00FD589E" w:rsidP="00FD589E">
      <w:pPr>
        <w:pStyle w:val="Call"/>
        <w:rPr>
          <w:rFonts w:cstheme="minorHAnsi"/>
          <w:i/>
          <w:iCs/>
          <w:szCs w:val="24"/>
          <w:lang w:eastAsia="zh-CN"/>
        </w:rPr>
      </w:pPr>
      <w:bookmarkStart w:id="1983" w:name="lt_pId020"/>
      <w:r w:rsidRPr="00E1239B">
        <w:rPr>
          <w:rFonts w:hint="eastAsia"/>
          <w:lang w:eastAsia="zh-CN"/>
        </w:rPr>
        <w:t>做出决定</w:t>
      </w:r>
      <w:bookmarkEnd w:id="1983"/>
    </w:p>
    <w:p w14:paraId="4827B6DF" w14:textId="31DB70EC" w:rsidR="00FD589E" w:rsidRPr="00895CBF" w:rsidRDefault="00FD589E" w:rsidP="00FD589E">
      <w:pPr>
        <w:spacing w:before="160"/>
        <w:rPr>
          <w:rFonts w:cstheme="minorHAnsi"/>
          <w:lang w:eastAsia="zh-CN"/>
        </w:rPr>
      </w:pPr>
      <w:r w:rsidRPr="00895CBF">
        <w:rPr>
          <w:rFonts w:cstheme="minorHAnsi"/>
          <w:lang w:eastAsia="zh-CN"/>
        </w:rPr>
        <w:t>1</w:t>
      </w:r>
      <w:r w:rsidRPr="00895CBF">
        <w:rPr>
          <w:rFonts w:cstheme="minorHAnsi"/>
          <w:lang w:eastAsia="zh-CN"/>
        </w:rPr>
        <w:tab/>
      </w:r>
      <w:r w:rsidR="00E1239B" w:rsidRPr="00E1239B">
        <w:rPr>
          <w:rFonts w:cstheme="minorHAnsi" w:hint="eastAsia"/>
          <w:lang w:eastAsia="zh-CN"/>
        </w:rPr>
        <w:t>自</w:t>
      </w:r>
      <w:r w:rsidR="00E1239B" w:rsidRPr="00E1239B">
        <w:rPr>
          <w:rFonts w:cstheme="minorHAnsi" w:hint="eastAsia"/>
          <w:lang w:eastAsia="zh-CN"/>
        </w:rPr>
        <w:t>2021</w:t>
      </w:r>
      <w:r w:rsidR="00E1239B" w:rsidRPr="00E1239B">
        <w:rPr>
          <w:rFonts w:cstheme="minorHAnsi" w:hint="eastAsia"/>
          <w:lang w:eastAsia="zh-CN"/>
        </w:rPr>
        <w:t>年</w:t>
      </w:r>
      <w:r w:rsidR="00E1239B" w:rsidRPr="00E1239B">
        <w:rPr>
          <w:rFonts w:cstheme="minorHAnsi" w:hint="eastAsia"/>
          <w:lang w:eastAsia="zh-CN"/>
        </w:rPr>
        <w:t>12</w:t>
      </w:r>
      <w:r w:rsidR="00E1239B" w:rsidRPr="00E1239B">
        <w:rPr>
          <w:rFonts w:cstheme="minorHAnsi" w:hint="eastAsia"/>
          <w:lang w:eastAsia="zh-CN"/>
        </w:rPr>
        <w:t>月</w:t>
      </w:r>
      <w:r w:rsidR="00E1239B" w:rsidRPr="00E1239B">
        <w:rPr>
          <w:rFonts w:cstheme="minorHAnsi" w:hint="eastAsia"/>
          <w:lang w:eastAsia="zh-CN"/>
        </w:rPr>
        <w:t>16</w:t>
      </w:r>
      <w:r w:rsidR="00E1239B" w:rsidRPr="00E1239B">
        <w:rPr>
          <w:rFonts w:cstheme="minorHAnsi" w:hint="eastAsia"/>
          <w:lang w:eastAsia="zh-CN"/>
        </w:rPr>
        <w:t>至</w:t>
      </w:r>
      <w:r w:rsidR="00E1239B" w:rsidRPr="00E1239B">
        <w:rPr>
          <w:rFonts w:cstheme="minorHAnsi" w:hint="eastAsia"/>
          <w:lang w:eastAsia="zh-CN"/>
        </w:rPr>
        <w:t>18</w:t>
      </w:r>
      <w:r w:rsidR="00E1239B" w:rsidRPr="00E1239B">
        <w:rPr>
          <w:rFonts w:cstheme="minorHAnsi" w:hint="eastAsia"/>
          <w:lang w:eastAsia="zh-CN"/>
        </w:rPr>
        <w:t>日在瑞士日内瓦召开为期三天的第六届</w:t>
      </w:r>
      <w:r w:rsidR="00E1239B" w:rsidRPr="00E1239B">
        <w:rPr>
          <w:rFonts w:cstheme="minorHAnsi" w:hint="eastAsia"/>
          <w:lang w:eastAsia="zh-CN"/>
        </w:rPr>
        <w:t>WTPF</w:t>
      </w:r>
      <w:r w:rsidR="00E1239B" w:rsidRPr="00E1239B">
        <w:rPr>
          <w:rFonts w:cstheme="minorHAnsi" w:hint="eastAsia"/>
          <w:lang w:eastAsia="zh-CN"/>
        </w:rPr>
        <w:t>（</w:t>
      </w:r>
      <w:r w:rsidR="00E1239B" w:rsidRPr="00E1239B">
        <w:rPr>
          <w:rFonts w:cstheme="minorHAnsi" w:hint="eastAsia"/>
          <w:lang w:eastAsia="zh-CN"/>
        </w:rPr>
        <w:t>WTPF-21</w:t>
      </w:r>
      <w:r w:rsidR="00E1239B" w:rsidRPr="00E1239B">
        <w:rPr>
          <w:rFonts w:cstheme="minorHAnsi" w:hint="eastAsia"/>
          <w:lang w:eastAsia="zh-CN"/>
        </w:rPr>
        <w:t>）；</w:t>
      </w:r>
    </w:p>
    <w:p w14:paraId="4827B6E0" w14:textId="77777777" w:rsidR="00FD589E" w:rsidRDefault="00FD589E" w:rsidP="00FD589E">
      <w:pPr>
        <w:spacing w:before="160"/>
        <w:rPr>
          <w:rFonts w:cstheme="minorHAnsi"/>
          <w:lang w:eastAsia="zh-CN"/>
        </w:rPr>
      </w:pPr>
      <w:r w:rsidRPr="00895CBF">
        <w:rPr>
          <w:rFonts w:cstheme="minorHAnsi"/>
          <w:lang w:eastAsia="zh-CN"/>
        </w:rPr>
        <w:t>2</w:t>
      </w:r>
      <w:r w:rsidRPr="00895CBF">
        <w:rPr>
          <w:rFonts w:cstheme="minorHAnsi"/>
          <w:lang w:eastAsia="zh-CN"/>
        </w:rPr>
        <w:tab/>
      </w:r>
      <w:bookmarkStart w:id="1984" w:name="lt_pId024"/>
      <w:r w:rsidRPr="00895CBF">
        <w:rPr>
          <w:rFonts w:cstheme="minorHAnsi"/>
          <w:lang w:eastAsia="zh-CN"/>
        </w:rPr>
        <w:t>WTPF-21</w:t>
      </w:r>
      <w:r>
        <w:rPr>
          <w:rFonts w:cstheme="minorHAnsi" w:hint="eastAsia"/>
          <w:lang w:eastAsia="zh-CN"/>
        </w:rPr>
        <w:t>的主题如下：</w:t>
      </w:r>
      <w:bookmarkEnd w:id="1984"/>
    </w:p>
    <w:p w14:paraId="4827B6E1" w14:textId="77777777" w:rsidR="00FD589E" w:rsidRPr="00C732E9" w:rsidRDefault="00FD589E" w:rsidP="00FD589E">
      <w:pPr>
        <w:spacing w:before="160"/>
        <w:ind w:firstLineChars="200" w:firstLine="480"/>
        <w:rPr>
          <w:rFonts w:ascii="STKaiti" w:eastAsia="STKaiti" w:hAnsi="STKaiti" w:cstheme="minorHAnsi"/>
          <w:bCs/>
          <w:lang w:eastAsia="zh-CN"/>
        </w:rPr>
      </w:pPr>
      <w:bookmarkStart w:id="1985" w:name="lt_pId025"/>
      <w:r w:rsidRPr="00C732E9">
        <w:rPr>
          <w:rFonts w:ascii="STKaiti" w:eastAsia="STKaiti" w:hAnsi="STKaiti" w:cstheme="minorHAnsi"/>
          <w:lang w:eastAsia="zh-CN"/>
        </w:rPr>
        <w:t>“</w:t>
      </w:r>
      <w:r w:rsidRPr="00C732E9">
        <w:rPr>
          <w:rFonts w:ascii="STKaiti" w:eastAsia="STKaiti" w:hAnsi="STKaiti" w:cstheme="minorHAnsi" w:hint="eastAsia"/>
          <w:lang w:eastAsia="zh-CN"/>
        </w:rPr>
        <w:t>为将新的和新兴电信/</w:t>
      </w:r>
      <w:r w:rsidRPr="00C732E9">
        <w:rPr>
          <w:rFonts w:ascii="STKaiti" w:eastAsia="STKaiti" w:hAnsi="STKaiti" w:cstheme="minorHAnsi"/>
          <w:lang w:eastAsia="zh-CN"/>
        </w:rPr>
        <w:t>ICT</w:t>
      </w:r>
      <w:r w:rsidRPr="00C732E9">
        <w:rPr>
          <w:rFonts w:ascii="STKaiti" w:eastAsia="STKaiti" w:hAnsi="STKaiti" w:cstheme="minorHAnsi" w:hint="eastAsia"/>
          <w:lang w:eastAsia="zh-CN"/>
        </w:rPr>
        <w:t>用于可持续发展制定政策：</w:t>
      </w:r>
      <w:bookmarkEnd w:id="1985"/>
      <w:r w:rsidRPr="00C732E9">
        <w:rPr>
          <w:rFonts w:ascii="STKaiti" w:eastAsia="STKaiti" w:hAnsi="STKaiti" w:cstheme="minorHAnsi"/>
          <w:bCs/>
          <w:lang w:eastAsia="zh-CN"/>
        </w:rPr>
        <w:t xml:space="preserve"> </w:t>
      </w:r>
    </w:p>
    <w:p w14:paraId="4827B6E2" w14:textId="63611738" w:rsidR="00FD589E" w:rsidRPr="00926997" w:rsidRDefault="00E1239B" w:rsidP="00FD589E">
      <w:pPr>
        <w:spacing w:before="160"/>
        <w:ind w:firstLineChars="200" w:firstLine="480"/>
        <w:rPr>
          <w:rFonts w:cstheme="minorHAnsi"/>
          <w:bCs/>
          <w:iCs/>
          <w:lang w:eastAsia="zh-CN"/>
        </w:rPr>
      </w:pPr>
      <w:bookmarkStart w:id="1986" w:name="lt_pId026"/>
      <w:r w:rsidRPr="00E1239B">
        <w:rPr>
          <w:rFonts w:cstheme="minorHAnsi"/>
          <w:bCs/>
          <w:iCs/>
          <w:lang w:eastAsia="zh-CN"/>
        </w:rPr>
        <w:t>WTPF-21</w:t>
      </w:r>
      <w:r w:rsidRPr="00E1239B">
        <w:rPr>
          <w:rFonts w:cstheme="minorHAnsi" w:hint="eastAsia"/>
          <w:bCs/>
          <w:iCs/>
          <w:lang w:eastAsia="zh-CN"/>
        </w:rPr>
        <w:t>将讨论如何将新的和新兴数字技术及相关趋势用作全球数字经济转型的催化剂。</w:t>
      </w:r>
      <w:bookmarkStart w:id="1987" w:name="lt_pId027"/>
      <w:bookmarkEnd w:id="1986"/>
      <w:r w:rsidRPr="00E1239B">
        <w:rPr>
          <w:rFonts w:cstheme="minorHAnsi" w:hint="eastAsia"/>
          <w:bCs/>
          <w:iCs/>
          <w:lang w:eastAsia="zh-CN"/>
        </w:rPr>
        <w:t>审议的主题包括人工智能（</w:t>
      </w:r>
      <w:r w:rsidRPr="00E1239B">
        <w:rPr>
          <w:rFonts w:cstheme="minorHAnsi"/>
          <w:bCs/>
          <w:iCs/>
          <w:lang w:eastAsia="zh-CN"/>
        </w:rPr>
        <w:t>AI</w:t>
      </w:r>
      <w:r w:rsidRPr="00E1239B">
        <w:rPr>
          <w:rFonts w:cstheme="minorHAnsi"/>
          <w:bCs/>
          <w:iCs/>
          <w:lang w:eastAsia="zh-CN"/>
        </w:rPr>
        <w:t>）</w:t>
      </w:r>
      <w:r w:rsidRPr="00E1239B">
        <w:rPr>
          <w:rFonts w:cstheme="minorHAnsi" w:hint="eastAsia"/>
          <w:bCs/>
          <w:iCs/>
          <w:lang w:eastAsia="zh-CN"/>
        </w:rPr>
        <w:t>、物联网（</w:t>
      </w:r>
      <w:r w:rsidRPr="00E1239B">
        <w:rPr>
          <w:rFonts w:cstheme="minorHAnsi" w:hint="eastAsia"/>
          <w:bCs/>
          <w:iCs/>
          <w:lang w:eastAsia="zh-CN"/>
        </w:rPr>
        <w:t>I</w:t>
      </w:r>
      <w:r w:rsidRPr="00E1239B">
        <w:rPr>
          <w:rFonts w:cstheme="minorHAnsi"/>
          <w:bCs/>
          <w:iCs/>
          <w:lang w:eastAsia="zh-CN"/>
        </w:rPr>
        <w:t>oT</w:t>
      </w:r>
      <w:r w:rsidRPr="00E1239B">
        <w:rPr>
          <w:rFonts w:cstheme="minorHAnsi"/>
          <w:bCs/>
          <w:iCs/>
          <w:lang w:eastAsia="zh-CN"/>
        </w:rPr>
        <w:t>）</w:t>
      </w:r>
      <w:r w:rsidRPr="00E1239B">
        <w:rPr>
          <w:rFonts w:cstheme="minorHAnsi" w:hint="eastAsia"/>
          <w:bCs/>
          <w:iCs/>
          <w:lang w:eastAsia="zh-CN"/>
        </w:rPr>
        <w:t>、</w:t>
      </w:r>
      <w:r w:rsidRPr="00E1239B">
        <w:rPr>
          <w:rFonts w:cstheme="minorHAnsi"/>
          <w:bCs/>
          <w:iCs/>
          <w:lang w:eastAsia="zh-CN"/>
        </w:rPr>
        <w:t>5G</w:t>
      </w:r>
      <w:r w:rsidRPr="00E1239B">
        <w:rPr>
          <w:rFonts w:cstheme="minorHAnsi" w:hint="eastAsia"/>
          <w:bCs/>
          <w:iCs/>
          <w:lang w:eastAsia="zh-CN"/>
        </w:rPr>
        <w:t>、大数据、过顶业务（</w:t>
      </w:r>
      <w:r w:rsidRPr="00E1239B">
        <w:rPr>
          <w:rFonts w:cstheme="minorHAnsi"/>
          <w:bCs/>
          <w:iCs/>
          <w:lang w:eastAsia="zh-CN"/>
        </w:rPr>
        <w:t>OTT</w:t>
      </w:r>
      <w:r w:rsidRPr="00E1239B">
        <w:rPr>
          <w:rFonts w:cstheme="minorHAnsi" w:hint="eastAsia"/>
          <w:bCs/>
          <w:iCs/>
          <w:lang w:eastAsia="zh-CN"/>
        </w:rPr>
        <w:t>）等。</w:t>
      </w:r>
      <w:bookmarkEnd w:id="1987"/>
      <w:r w:rsidRPr="00E1239B">
        <w:rPr>
          <w:rFonts w:cstheme="minorHAnsi" w:hint="eastAsia"/>
          <w:bCs/>
          <w:iCs/>
          <w:lang w:eastAsia="zh-CN"/>
        </w:rPr>
        <w:t>在此方面，</w:t>
      </w:r>
      <w:bookmarkStart w:id="1988" w:name="lt_pId028"/>
      <w:r w:rsidRPr="00E1239B">
        <w:rPr>
          <w:rFonts w:cstheme="minorHAnsi"/>
          <w:bCs/>
          <w:iCs/>
          <w:lang w:eastAsia="zh-CN"/>
        </w:rPr>
        <w:t>WTPF-21</w:t>
      </w:r>
      <w:r w:rsidRPr="00E1239B">
        <w:rPr>
          <w:rFonts w:cstheme="minorHAnsi" w:hint="eastAsia"/>
          <w:bCs/>
          <w:iCs/>
          <w:lang w:eastAsia="zh-CN"/>
        </w:rPr>
        <w:t>将侧重于研究促进可持续发展的机遇、挑战和政策”；</w:t>
      </w:r>
      <w:bookmarkEnd w:id="1988"/>
    </w:p>
    <w:p w14:paraId="1ABF47CC" w14:textId="77777777" w:rsidR="00E1239B" w:rsidRPr="004274E8" w:rsidRDefault="00E1239B" w:rsidP="00E1239B">
      <w:pPr>
        <w:keepNext/>
        <w:spacing w:before="160"/>
        <w:rPr>
          <w:rFonts w:cs="Calibri"/>
          <w:lang w:eastAsia="zh-CN"/>
        </w:rPr>
      </w:pPr>
      <w:r w:rsidRPr="004274E8">
        <w:rPr>
          <w:rFonts w:cs="Calibri"/>
          <w:lang w:eastAsia="zh-CN"/>
        </w:rPr>
        <w:t>3</w:t>
      </w:r>
      <w:r w:rsidRPr="004274E8">
        <w:rPr>
          <w:rFonts w:cs="Calibri"/>
          <w:lang w:eastAsia="zh-CN"/>
        </w:rPr>
        <w:tab/>
      </w:r>
      <w:bookmarkStart w:id="1989" w:name="lt_pId030"/>
      <w:r w:rsidRPr="004274E8">
        <w:rPr>
          <w:rFonts w:cs="Calibri"/>
          <w:lang w:eastAsia="zh-CN"/>
        </w:rPr>
        <w:t>WTPF-21</w:t>
      </w:r>
      <w:r w:rsidRPr="004274E8">
        <w:rPr>
          <w:rFonts w:cs="Calibri" w:hint="eastAsia"/>
          <w:lang w:eastAsia="zh-CN"/>
        </w:rPr>
        <w:t>的筹备进程须遵循第</w:t>
      </w:r>
      <w:r w:rsidRPr="004274E8">
        <w:rPr>
          <w:rFonts w:cs="Calibri" w:hint="eastAsia"/>
          <w:lang w:eastAsia="zh-CN"/>
        </w:rPr>
        <w:t>2</w:t>
      </w:r>
      <w:r w:rsidRPr="004274E8">
        <w:rPr>
          <w:rFonts w:cs="Calibri" w:hint="eastAsia"/>
          <w:lang w:eastAsia="zh-CN"/>
        </w:rPr>
        <w:t>号决议（</w:t>
      </w:r>
      <w:r w:rsidRPr="004274E8">
        <w:rPr>
          <w:rFonts w:hint="eastAsia"/>
          <w:lang w:eastAsia="zh-CN"/>
        </w:rPr>
        <w:t>2018</w:t>
      </w:r>
      <w:r w:rsidRPr="004274E8">
        <w:rPr>
          <w:rFonts w:hint="eastAsia"/>
          <w:lang w:eastAsia="zh-CN"/>
        </w:rPr>
        <w:t>年，迪拜，修订版</w:t>
      </w:r>
      <w:r w:rsidRPr="004274E8">
        <w:rPr>
          <w:rFonts w:cs="Calibri" w:hint="eastAsia"/>
          <w:lang w:eastAsia="zh-CN"/>
        </w:rPr>
        <w:t>）；</w:t>
      </w:r>
      <w:bookmarkEnd w:id="1989"/>
    </w:p>
    <w:p w14:paraId="373219CD" w14:textId="77777777" w:rsidR="00E1239B" w:rsidRPr="004274E8" w:rsidRDefault="00E1239B" w:rsidP="00E1239B">
      <w:pPr>
        <w:keepNext/>
        <w:spacing w:before="160"/>
        <w:rPr>
          <w:rFonts w:cs="Calibri"/>
          <w:lang w:eastAsia="zh-CN"/>
        </w:rPr>
      </w:pPr>
      <w:r w:rsidRPr="004274E8">
        <w:rPr>
          <w:rFonts w:cs="Calibri"/>
          <w:lang w:eastAsia="zh-CN"/>
        </w:rPr>
        <w:t>4</w:t>
      </w:r>
      <w:r w:rsidRPr="004274E8">
        <w:rPr>
          <w:rFonts w:cs="Calibri"/>
          <w:lang w:eastAsia="zh-CN"/>
        </w:rPr>
        <w:tab/>
      </w:r>
      <w:bookmarkStart w:id="1990" w:name="lt_pId032"/>
      <w:r w:rsidRPr="004274E8">
        <w:rPr>
          <w:rFonts w:cs="Calibri"/>
          <w:lang w:eastAsia="zh-CN"/>
        </w:rPr>
        <w:t>WTPF-21</w:t>
      </w:r>
      <w:r w:rsidRPr="004274E8">
        <w:rPr>
          <w:rFonts w:cs="Calibri" w:hint="eastAsia"/>
          <w:lang w:eastAsia="zh-CN"/>
        </w:rPr>
        <w:t>的议程须基于本决定附件</w:t>
      </w:r>
      <w:r w:rsidRPr="004274E8">
        <w:rPr>
          <w:rFonts w:cs="Calibri" w:hint="eastAsia"/>
          <w:lang w:eastAsia="zh-CN"/>
        </w:rPr>
        <w:t>1</w:t>
      </w:r>
      <w:r w:rsidRPr="004274E8">
        <w:rPr>
          <w:rFonts w:cs="Calibri" w:hint="eastAsia"/>
          <w:lang w:eastAsia="zh-CN"/>
        </w:rPr>
        <w:t>中包含的议程草案；</w:t>
      </w:r>
      <w:bookmarkEnd w:id="1990"/>
    </w:p>
    <w:p w14:paraId="1814AC42" w14:textId="77777777" w:rsidR="00E1239B" w:rsidRPr="004274E8" w:rsidRDefault="00E1239B" w:rsidP="00E1239B">
      <w:pPr>
        <w:spacing w:before="160"/>
        <w:rPr>
          <w:rFonts w:cs="Calibri"/>
          <w:b/>
          <w:sz w:val="22"/>
          <w:lang w:eastAsia="zh-CN"/>
        </w:rPr>
      </w:pPr>
      <w:r w:rsidRPr="004274E8">
        <w:rPr>
          <w:rFonts w:cs="Calibri"/>
          <w:lang w:eastAsia="zh-CN"/>
        </w:rPr>
        <w:t>5</w:t>
      </w:r>
      <w:r w:rsidRPr="004274E8">
        <w:rPr>
          <w:rFonts w:cs="Calibri"/>
          <w:lang w:eastAsia="zh-CN"/>
        </w:rPr>
        <w:tab/>
      </w:r>
      <w:r w:rsidRPr="004274E8">
        <w:rPr>
          <w:rFonts w:hint="eastAsia"/>
          <w:lang w:eastAsia="zh-CN"/>
        </w:rPr>
        <w:t>WTPF-21</w:t>
      </w:r>
      <w:r w:rsidRPr="004274E8">
        <w:rPr>
          <w:rFonts w:hint="eastAsia"/>
          <w:lang w:eastAsia="zh-CN"/>
        </w:rPr>
        <w:t>不得产生法定的规则性成果；然而，它须起草报告并在达成一致的基础上通过意见，供成员国、部门成员和相关国际电联会议审议；</w:t>
      </w:r>
    </w:p>
    <w:p w14:paraId="4827B6E6" w14:textId="6C213132" w:rsidR="00FD589E" w:rsidRPr="00307CA0" w:rsidRDefault="00E1239B" w:rsidP="00E1239B">
      <w:pPr>
        <w:spacing w:before="160"/>
        <w:rPr>
          <w:rFonts w:cstheme="minorHAnsi"/>
          <w:highlight w:val="cyan"/>
          <w:lang w:eastAsia="zh-CN"/>
        </w:rPr>
      </w:pPr>
      <w:r w:rsidRPr="004274E8">
        <w:rPr>
          <w:rFonts w:cs="Calibri"/>
          <w:lang w:eastAsia="zh-CN"/>
        </w:rPr>
        <w:t>6</w:t>
      </w:r>
      <w:r w:rsidRPr="004274E8">
        <w:rPr>
          <w:rFonts w:cs="Calibri"/>
          <w:lang w:eastAsia="zh-CN"/>
        </w:rPr>
        <w:tab/>
      </w:r>
      <w:bookmarkStart w:id="1991" w:name="lt_pId036"/>
      <w:r w:rsidRPr="004274E8">
        <w:rPr>
          <w:rFonts w:hint="eastAsia"/>
          <w:lang w:eastAsia="zh-CN"/>
        </w:rPr>
        <w:t>秘书长的报告须按以下思路制定：</w:t>
      </w:r>
      <w:bookmarkEnd w:id="1991"/>
    </w:p>
    <w:p w14:paraId="4827B6E7" w14:textId="14A29E47" w:rsidR="00FD589E" w:rsidRPr="00307CA0" w:rsidRDefault="00FD589E" w:rsidP="00FD589E">
      <w:pPr>
        <w:pStyle w:val="enumlev1"/>
        <w:rPr>
          <w:rFonts w:cstheme="minorHAnsi"/>
          <w:szCs w:val="24"/>
          <w:highlight w:val="cyan"/>
          <w:lang w:eastAsia="zh-CN"/>
        </w:rPr>
      </w:pPr>
      <w:r>
        <w:rPr>
          <w:lang w:eastAsia="zh-CN"/>
        </w:rPr>
        <w:t>i</w:t>
      </w:r>
      <w:r>
        <w:rPr>
          <w:rFonts w:hint="eastAsia"/>
          <w:lang w:eastAsia="zh-CN"/>
        </w:rPr>
        <w:t>)</w:t>
      </w:r>
      <w:r>
        <w:rPr>
          <w:rFonts w:hint="eastAsia"/>
          <w:lang w:eastAsia="zh-CN"/>
        </w:rPr>
        <w:tab/>
      </w:r>
      <w:r w:rsidR="00E1239B" w:rsidRPr="00E1239B">
        <w:rPr>
          <w:rFonts w:hint="eastAsia"/>
          <w:lang w:eastAsia="zh-CN"/>
        </w:rPr>
        <w:t>秘书长须召集来自不同方面的人员组成一个非正式专家组，每位专家均应在本国积极参与</w:t>
      </w:r>
      <w:r w:rsidR="00E1239B" w:rsidRPr="00E1239B">
        <w:rPr>
          <w:rFonts w:hint="eastAsia"/>
          <w:lang w:eastAsia="zh-CN"/>
        </w:rPr>
        <w:t>WTPF-21</w:t>
      </w:r>
      <w:r w:rsidR="00E1239B" w:rsidRPr="00E1239B">
        <w:rPr>
          <w:rFonts w:hint="eastAsia"/>
          <w:lang w:eastAsia="zh-CN"/>
        </w:rPr>
        <w:t>的筹备工作，从而协助这一进程；</w:t>
      </w:r>
    </w:p>
    <w:p w14:paraId="4827B6E8" w14:textId="4C3021F0" w:rsidR="00FD589E" w:rsidRPr="00926997" w:rsidRDefault="00FD589E" w:rsidP="00FD589E">
      <w:pPr>
        <w:pStyle w:val="enumlev1"/>
        <w:rPr>
          <w:rFonts w:cstheme="minorHAnsi"/>
          <w:szCs w:val="24"/>
          <w:lang w:eastAsia="zh-CN"/>
        </w:rPr>
      </w:pPr>
      <w:bookmarkStart w:id="1992" w:name="lt_pId038"/>
      <w:r>
        <w:rPr>
          <w:rFonts w:cstheme="minorHAnsi" w:hint="eastAsia"/>
          <w:szCs w:val="24"/>
          <w:lang w:eastAsia="zh-CN"/>
        </w:rPr>
        <w:t>ii)</w:t>
      </w:r>
      <w:r>
        <w:rPr>
          <w:rFonts w:cstheme="minorHAnsi" w:hint="eastAsia"/>
          <w:szCs w:val="24"/>
          <w:lang w:eastAsia="zh-CN"/>
        </w:rPr>
        <w:tab/>
      </w:r>
      <w:bookmarkEnd w:id="1992"/>
      <w:r w:rsidR="00E1239B" w:rsidRPr="00E1239B">
        <w:rPr>
          <w:rFonts w:cstheme="minorHAnsi" w:hint="eastAsia"/>
          <w:szCs w:val="24"/>
          <w:lang w:eastAsia="zh-CN"/>
        </w:rPr>
        <w:t>由秘书长起草的</w:t>
      </w:r>
      <w:r w:rsidR="00E1239B" w:rsidRPr="00E1239B">
        <w:rPr>
          <w:rFonts w:cstheme="minorHAnsi" w:hint="eastAsia"/>
          <w:szCs w:val="24"/>
          <w:lang w:eastAsia="zh-CN"/>
        </w:rPr>
        <w:t>WTPF-21</w:t>
      </w:r>
      <w:r w:rsidR="00E1239B" w:rsidRPr="00E1239B">
        <w:rPr>
          <w:rFonts w:cstheme="minorHAnsi" w:hint="eastAsia"/>
          <w:szCs w:val="24"/>
          <w:lang w:eastAsia="zh-CN"/>
        </w:rPr>
        <w:t>报告须依照本决定的附件</w:t>
      </w:r>
      <w:r w:rsidR="00E1239B" w:rsidRPr="00E1239B">
        <w:rPr>
          <w:rFonts w:cstheme="minorHAnsi" w:hint="eastAsia"/>
          <w:szCs w:val="24"/>
          <w:lang w:eastAsia="zh-CN"/>
        </w:rPr>
        <w:t>2</w:t>
      </w:r>
      <w:r w:rsidR="00E1239B" w:rsidRPr="00E1239B">
        <w:rPr>
          <w:rFonts w:cstheme="minorHAnsi" w:hint="eastAsia"/>
          <w:szCs w:val="24"/>
          <w:lang w:eastAsia="zh-CN"/>
        </w:rPr>
        <w:t>进行；</w:t>
      </w:r>
    </w:p>
    <w:p w14:paraId="4827B6E9" w14:textId="63992E16" w:rsidR="00FD589E" w:rsidRPr="00307CA0" w:rsidRDefault="00FD589E" w:rsidP="00FD589E">
      <w:pPr>
        <w:pStyle w:val="enumlev1"/>
        <w:rPr>
          <w:rFonts w:cstheme="minorHAnsi"/>
          <w:szCs w:val="24"/>
          <w:highlight w:val="cyan"/>
          <w:lang w:eastAsia="zh-CN"/>
        </w:rPr>
      </w:pPr>
      <w:bookmarkStart w:id="1993" w:name="lt_pId039"/>
      <w:r>
        <w:rPr>
          <w:lang w:eastAsia="zh-CN"/>
        </w:rPr>
        <w:t>iii)</w:t>
      </w:r>
      <w:r>
        <w:rPr>
          <w:lang w:eastAsia="zh-CN"/>
        </w:rPr>
        <w:tab/>
      </w:r>
      <w:bookmarkEnd w:id="1993"/>
      <w:r w:rsidR="00E1239B" w:rsidRPr="00E1239B">
        <w:rPr>
          <w:rFonts w:hint="eastAsia"/>
          <w:lang w:eastAsia="zh-CN"/>
        </w:rPr>
        <w:t>WTPF-21</w:t>
      </w:r>
      <w:r w:rsidR="00E1239B" w:rsidRPr="00E1239B">
        <w:rPr>
          <w:rFonts w:hint="eastAsia"/>
          <w:lang w:eastAsia="zh-CN"/>
        </w:rPr>
        <w:t>会议应按照之前两届论坛采用的《议事规则》进行；</w:t>
      </w:r>
    </w:p>
    <w:p w14:paraId="4827B6EA" w14:textId="540F773F" w:rsidR="00FD589E" w:rsidRPr="00A70EAD" w:rsidRDefault="00FD589E" w:rsidP="00FD589E">
      <w:pPr>
        <w:pStyle w:val="enumlev1"/>
        <w:rPr>
          <w:rFonts w:cstheme="minorHAnsi"/>
          <w:color w:val="000000" w:themeColor="text1"/>
          <w:szCs w:val="24"/>
          <w:highlight w:val="cyan"/>
          <w:lang w:eastAsia="zh-CN"/>
        </w:rPr>
      </w:pPr>
      <w:bookmarkStart w:id="1994" w:name="lt_pId040"/>
      <w:r>
        <w:rPr>
          <w:rFonts w:hint="eastAsia"/>
          <w:lang w:eastAsia="zh-CN"/>
        </w:rPr>
        <w:t>i</w:t>
      </w:r>
      <w:r>
        <w:rPr>
          <w:lang w:eastAsia="zh-CN"/>
        </w:rPr>
        <w:t>v)</w:t>
      </w:r>
      <w:r>
        <w:rPr>
          <w:lang w:eastAsia="zh-CN"/>
        </w:rPr>
        <w:tab/>
      </w:r>
      <w:bookmarkEnd w:id="1994"/>
      <w:r w:rsidR="00E1239B" w:rsidRPr="00E1239B">
        <w:rPr>
          <w:rFonts w:hint="eastAsia"/>
          <w:lang w:eastAsia="zh-CN"/>
        </w:rPr>
        <w:t>秘书长的最后报告至少须在</w:t>
      </w:r>
      <w:r w:rsidR="00E1239B" w:rsidRPr="00E1239B">
        <w:rPr>
          <w:rFonts w:hint="eastAsia"/>
          <w:lang w:eastAsia="zh-CN"/>
        </w:rPr>
        <w:t>WTPF-21</w:t>
      </w:r>
      <w:r w:rsidR="00E1239B" w:rsidRPr="00E1239B">
        <w:rPr>
          <w:rFonts w:hint="eastAsia"/>
          <w:lang w:eastAsia="zh-CN"/>
        </w:rPr>
        <w:t>开幕的六个星期之前分发。</w:t>
      </w:r>
    </w:p>
    <w:p w14:paraId="4827B6EB" w14:textId="77777777" w:rsidR="00FD589E" w:rsidRDefault="00FD589E">
      <w:pPr>
        <w:tabs>
          <w:tab w:val="clear" w:pos="794"/>
          <w:tab w:val="clear" w:pos="1191"/>
          <w:tab w:val="clear" w:pos="1588"/>
          <w:tab w:val="clear" w:pos="1985"/>
        </w:tabs>
        <w:overflowPunct/>
        <w:autoSpaceDE/>
        <w:autoSpaceDN/>
        <w:adjustRightInd/>
        <w:spacing w:before="0"/>
        <w:jc w:val="left"/>
        <w:textAlignment w:val="auto"/>
        <w:rPr>
          <w:rFonts w:cstheme="minorHAnsi"/>
          <w:lang w:eastAsia="zh-CN"/>
        </w:rPr>
      </w:pPr>
      <w:r>
        <w:rPr>
          <w:rFonts w:cstheme="minorHAnsi"/>
          <w:lang w:eastAsia="zh-CN"/>
        </w:rPr>
        <w:br w:type="page"/>
      </w:r>
    </w:p>
    <w:p w14:paraId="5053B264" w14:textId="77777777" w:rsidR="00E1239B" w:rsidRPr="004274E8" w:rsidRDefault="00E1239B" w:rsidP="00E1239B">
      <w:pPr>
        <w:tabs>
          <w:tab w:val="left" w:pos="720"/>
          <w:tab w:val="left" w:pos="2268"/>
          <w:tab w:val="left" w:pos="2835"/>
        </w:tabs>
        <w:rPr>
          <w:rFonts w:cs="Calibri"/>
          <w:lang w:eastAsia="zh-CN"/>
        </w:rPr>
      </w:pPr>
      <w:r w:rsidRPr="004274E8">
        <w:rPr>
          <w:rFonts w:cs="Calibri"/>
          <w:lang w:eastAsia="zh-CN"/>
        </w:rPr>
        <w:lastRenderedPageBreak/>
        <w:t>7</w:t>
      </w:r>
      <w:r w:rsidRPr="004274E8">
        <w:rPr>
          <w:rFonts w:cs="Calibri"/>
          <w:lang w:eastAsia="zh-CN"/>
        </w:rPr>
        <w:tab/>
      </w:r>
      <w:bookmarkStart w:id="1995" w:name="lt_pId042"/>
      <w:r w:rsidRPr="004274E8">
        <w:rPr>
          <w:rFonts w:cs="Calibri"/>
          <w:lang w:eastAsia="zh-CN"/>
        </w:rPr>
        <w:t>WTPF-21</w:t>
      </w:r>
      <w:r w:rsidRPr="004274E8">
        <w:rPr>
          <w:rFonts w:cs="Calibri" w:hint="eastAsia"/>
          <w:lang w:eastAsia="zh-CN"/>
        </w:rPr>
        <w:t>须向所有成员国和部门成员开放；</w:t>
      </w:r>
      <w:bookmarkEnd w:id="1995"/>
    </w:p>
    <w:p w14:paraId="4827B6ED" w14:textId="35EF78E6" w:rsidR="00FD589E" w:rsidRPr="00926997" w:rsidRDefault="00E1239B" w:rsidP="00E1239B">
      <w:pPr>
        <w:spacing w:before="160"/>
        <w:rPr>
          <w:rFonts w:cstheme="minorHAnsi"/>
          <w:lang w:eastAsia="zh-CN"/>
        </w:rPr>
      </w:pPr>
      <w:r w:rsidRPr="004274E8">
        <w:rPr>
          <w:rFonts w:cs="Calibri"/>
          <w:lang w:eastAsia="zh-CN"/>
        </w:rPr>
        <w:t>8</w:t>
      </w:r>
      <w:r w:rsidRPr="004274E8">
        <w:rPr>
          <w:rFonts w:cs="Calibri"/>
          <w:lang w:eastAsia="zh-CN"/>
        </w:rPr>
        <w:tab/>
      </w:r>
      <w:bookmarkStart w:id="1996" w:name="lt_pId044"/>
      <w:r w:rsidRPr="004274E8">
        <w:rPr>
          <w:rFonts w:cs="Calibri"/>
          <w:lang w:eastAsia="zh-CN"/>
        </w:rPr>
        <w:t>WTPF-21</w:t>
      </w:r>
      <w:r w:rsidRPr="004274E8">
        <w:rPr>
          <w:rFonts w:cs="Calibri" w:hint="eastAsia"/>
          <w:lang w:eastAsia="zh-CN"/>
        </w:rPr>
        <w:t>的安排须遵循有关此类论坛的、适用的全权代表大会和理事会</w:t>
      </w:r>
      <w:r>
        <w:rPr>
          <w:rFonts w:cs="Calibri" w:hint="eastAsia"/>
          <w:lang w:eastAsia="zh-CN"/>
        </w:rPr>
        <w:t>的各项</w:t>
      </w:r>
      <w:r w:rsidRPr="004274E8">
        <w:rPr>
          <w:rFonts w:cs="Calibri" w:hint="eastAsia"/>
          <w:lang w:eastAsia="zh-CN"/>
        </w:rPr>
        <w:t>决定，</w:t>
      </w:r>
      <w:bookmarkEnd w:id="1996"/>
    </w:p>
    <w:p w14:paraId="4827B6EE" w14:textId="77777777" w:rsidR="00FD589E" w:rsidRPr="00E77318" w:rsidRDefault="00FD589E" w:rsidP="00FD589E">
      <w:pPr>
        <w:pStyle w:val="Call"/>
        <w:rPr>
          <w:lang w:eastAsia="zh-CN"/>
        </w:rPr>
      </w:pPr>
      <w:r w:rsidRPr="00E77318">
        <w:rPr>
          <w:rFonts w:hint="eastAsia"/>
          <w:lang w:eastAsia="zh-CN"/>
        </w:rPr>
        <w:t>责成秘书长</w:t>
      </w:r>
    </w:p>
    <w:p w14:paraId="4827B6EF" w14:textId="30DA1166" w:rsidR="00FD589E" w:rsidRDefault="00E1239B" w:rsidP="00FD589E">
      <w:pPr>
        <w:ind w:firstLineChars="200" w:firstLine="480"/>
        <w:rPr>
          <w:lang w:eastAsia="zh-CN"/>
        </w:rPr>
      </w:pPr>
      <w:r w:rsidRPr="00E1239B">
        <w:rPr>
          <w:rFonts w:hint="eastAsia"/>
          <w:lang w:eastAsia="zh-CN"/>
        </w:rPr>
        <w:t>鼓励国际电联成员国、部门成员及其他感兴趣的各方自愿捐款，以帮助摊付</w:t>
      </w:r>
      <w:r w:rsidRPr="00E1239B">
        <w:rPr>
          <w:rFonts w:hint="eastAsia"/>
          <w:lang w:eastAsia="zh-CN"/>
        </w:rPr>
        <w:t>WTPF-21</w:t>
      </w:r>
      <w:r w:rsidRPr="00E1239B">
        <w:rPr>
          <w:rFonts w:hint="eastAsia"/>
          <w:lang w:eastAsia="zh-CN"/>
        </w:rPr>
        <w:t>的费用并为最不发达国家参会提供便利。</w:t>
      </w:r>
    </w:p>
    <w:p w14:paraId="4827B6F0" w14:textId="07F614D4" w:rsidR="00FD589E" w:rsidRDefault="00FD589E" w:rsidP="00FD589E">
      <w:pPr>
        <w:spacing w:before="480"/>
        <w:rPr>
          <w:lang w:eastAsia="zh-CN"/>
        </w:rPr>
      </w:pPr>
      <w:r w:rsidRPr="00E77318">
        <w:rPr>
          <w:b/>
          <w:bCs/>
          <w:lang w:eastAsia="zh-CN"/>
        </w:rPr>
        <w:t>附件</w:t>
      </w:r>
      <w:r>
        <w:rPr>
          <w:lang w:eastAsia="zh-CN"/>
        </w:rPr>
        <w:t>：</w:t>
      </w:r>
      <w:r>
        <w:rPr>
          <w:lang w:eastAsia="zh-CN"/>
        </w:rPr>
        <w:t>2</w:t>
      </w:r>
      <w:r>
        <w:rPr>
          <w:lang w:eastAsia="zh-CN"/>
        </w:rPr>
        <w:t>件</w:t>
      </w:r>
    </w:p>
    <w:p w14:paraId="0689AFC2" w14:textId="5918D655" w:rsidR="00E1239B" w:rsidRDefault="00E1239B" w:rsidP="00FD589E">
      <w:pPr>
        <w:spacing w:before="480"/>
        <w:rPr>
          <w:lang w:eastAsia="zh-CN"/>
        </w:rPr>
      </w:pPr>
    </w:p>
    <w:p w14:paraId="28E368BA" w14:textId="2B92359B" w:rsidR="00E1239B" w:rsidRDefault="00E1239B" w:rsidP="00FD589E">
      <w:pPr>
        <w:spacing w:before="480"/>
        <w:rPr>
          <w:lang w:eastAsia="zh-CN"/>
        </w:rPr>
      </w:pPr>
    </w:p>
    <w:p w14:paraId="231F46B0" w14:textId="77777777" w:rsidR="00E1239B" w:rsidRDefault="00E1239B" w:rsidP="00FD589E">
      <w:pPr>
        <w:spacing w:before="480"/>
        <w:rPr>
          <w:lang w:eastAsia="zh-CN"/>
        </w:rPr>
      </w:pPr>
    </w:p>
    <w:p w14:paraId="16965A27" w14:textId="210D4956" w:rsidR="00E1239B" w:rsidRDefault="00E1239B" w:rsidP="00FD589E">
      <w:pPr>
        <w:spacing w:before="480"/>
        <w:rPr>
          <w:lang w:eastAsia="zh-CN"/>
        </w:rPr>
      </w:pPr>
    </w:p>
    <w:p w14:paraId="15C32071" w14:textId="79C04B5D" w:rsidR="00E1239B" w:rsidRDefault="00E1239B" w:rsidP="00FD589E">
      <w:pPr>
        <w:spacing w:before="480"/>
        <w:rPr>
          <w:lang w:eastAsia="zh-CN"/>
        </w:rPr>
      </w:pPr>
    </w:p>
    <w:p w14:paraId="61183774" w14:textId="791442F7" w:rsidR="00E1239B" w:rsidRDefault="00E1239B" w:rsidP="00FD589E">
      <w:pPr>
        <w:spacing w:before="480"/>
        <w:rPr>
          <w:lang w:eastAsia="zh-CN"/>
        </w:rPr>
      </w:pPr>
    </w:p>
    <w:p w14:paraId="1959F82A" w14:textId="77777777" w:rsidR="00E1239B" w:rsidRDefault="00E1239B" w:rsidP="00FD589E">
      <w:pPr>
        <w:spacing w:before="480"/>
        <w:rPr>
          <w:lang w:eastAsia="zh-CN"/>
        </w:rPr>
      </w:pPr>
    </w:p>
    <w:p w14:paraId="1991BEB6" w14:textId="074DF974" w:rsidR="00E1239B" w:rsidRDefault="00E1239B" w:rsidP="00FD589E">
      <w:pPr>
        <w:spacing w:before="480"/>
        <w:rPr>
          <w:lang w:eastAsia="zh-CN"/>
        </w:rPr>
      </w:pPr>
    </w:p>
    <w:p w14:paraId="5567867F" w14:textId="7F9F882E" w:rsidR="00E1239B" w:rsidRDefault="00E1239B" w:rsidP="00FD589E">
      <w:pPr>
        <w:spacing w:before="480"/>
        <w:rPr>
          <w:lang w:eastAsia="zh-CN"/>
        </w:rPr>
      </w:pPr>
    </w:p>
    <w:p w14:paraId="263848F2" w14:textId="585325AF" w:rsidR="00E1239B" w:rsidRDefault="00E1239B" w:rsidP="00FD589E">
      <w:pPr>
        <w:spacing w:before="480"/>
        <w:rPr>
          <w:lang w:eastAsia="zh-CN"/>
        </w:rPr>
      </w:pPr>
    </w:p>
    <w:p w14:paraId="08D98624" w14:textId="1BFBC535" w:rsidR="00E1239B" w:rsidRDefault="00E1239B" w:rsidP="00FD589E">
      <w:pPr>
        <w:spacing w:before="480"/>
        <w:rPr>
          <w:lang w:eastAsia="zh-CN"/>
        </w:rPr>
      </w:pPr>
    </w:p>
    <w:p w14:paraId="24C94996" w14:textId="77777777" w:rsidR="00E1239B" w:rsidRDefault="00E1239B" w:rsidP="00FD589E">
      <w:pPr>
        <w:spacing w:before="480"/>
        <w:rPr>
          <w:lang w:eastAsia="zh-CN"/>
        </w:rPr>
      </w:pPr>
    </w:p>
    <w:p w14:paraId="0BF84197" w14:textId="4DF8FA3F" w:rsidR="00E1239B" w:rsidRDefault="00E1239B" w:rsidP="00FD589E">
      <w:pPr>
        <w:spacing w:before="480"/>
        <w:rPr>
          <w:lang w:eastAsia="zh-CN"/>
        </w:rPr>
      </w:pPr>
    </w:p>
    <w:p w14:paraId="63A52C29" w14:textId="538EA501" w:rsidR="00E1239B" w:rsidRDefault="00E1239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6F1" w14:textId="77777777" w:rsidR="00FD589E" w:rsidRDefault="00FD589E" w:rsidP="00FD589E">
      <w:pPr>
        <w:pStyle w:val="AnnexNo"/>
        <w:rPr>
          <w:lang w:eastAsia="zh-CN"/>
        </w:rPr>
      </w:pPr>
      <w:bookmarkStart w:id="1997" w:name="lt_pId071"/>
      <w:r>
        <w:rPr>
          <w:rFonts w:hint="eastAsia"/>
          <w:lang w:eastAsia="zh-CN"/>
        </w:rPr>
        <w:lastRenderedPageBreak/>
        <w:t>附件</w:t>
      </w:r>
      <w:r>
        <w:rPr>
          <w:rFonts w:hint="eastAsia"/>
          <w:lang w:eastAsia="zh-CN"/>
        </w:rPr>
        <w:t>1</w:t>
      </w:r>
    </w:p>
    <w:p w14:paraId="4827B6F2" w14:textId="77777777" w:rsidR="00FD589E" w:rsidRDefault="00FD589E" w:rsidP="00FD589E">
      <w:pPr>
        <w:pStyle w:val="Annextitle"/>
        <w:rPr>
          <w:lang w:eastAsia="zh-CN"/>
        </w:rPr>
      </w:pPr>
      <w:r>
        <w:rPr>
          <w:rFonts w:hint="eastAsia"/>
          <w:lang w:eastAsia="zh-CN"/>
        </w:rPr>
        <w:t>议程草案</w:t>
      </w:r>
    </w:p>
    <w:p w14:paraId="4827B6F3" w14:textId="77777777" w:rsidR="00FD589E" w:rsidRPr="00676CE2" w:rsidRDefault="00FD589E" w:rsidP="00FD589E">
      <w:pPr>
        <w:pStyle w:val="Annextitle"/>
        <w:rPr>
          <w:lang w:eastAsia="zh-CN"/>
        </w:rPr>
      </w:pPr>
      <w:r>
        <w:rPr>
          <w:rFonts w:hint="eastAsia"/>
          <w:lang w:eastAsia="zh-CN"/>
        </w:rPr>
        <w:t>第六届世界电信</w:t>
      </w:r>
      <w:r>
        <w:rPr>
          <w:rFonts w:hint="eastAsia"/>
          <w:lang w:eastAsia="zh-CN"/>
        </w:rPr>
        <w:t>/</w:t>
      </w:r>
      <w:r>
        <w:rPr>
          <w:rFonts w:hint="eastAsia"/>
          <w:lang w:eastAsia="zh-CN"/>
        </w:rPr>
        <w:t>信息通信技术政策论坛</w:t>
      </w:r>
    </w:p>
    <w:p w14:paraId="4827B6F4" w14:textId="77777777" w:rsidR="00FD589E" w:rsidRPr="00A67B93" w:rsidRDefault="00FD589E" w:rsidP="00E51375">
      <w:pPr>
        <w:pStyle w:val="Normalaftertitle0"/>
      </w:pPr>
      <w:r w:rsidRPr="00A67B93">
        <w:t>1</w:t>
      </w:r>
      <w:r>
        <w:rPr>
          <w:rFonts w:hint="eastAsia"/>
        </w:rPr>
        <w:t>.</w:t>
      </w:r>
      <w:r w:rsidRPr="00A67B93">
        <w:tab/>
      </w:r>
      <w:r w:rsidRPr="00A67B93">
        <w:rPr>
          <w:rFonts w:hint="eastAsia"/>
        </w:rPr>
        <w:t>第</w:t>
      </w:r>
      <w:r>
        <w:rPr>
          <w:rFonts w:hint="eastAsia"/>
        </w:rPr>
        <w:t>六</w:t>
      </w:r>
      <w:r w:rsidRPr="00A67B93">
        <w:rPr>
          <w:rFonts w:hint="eastAsia"/>
        </w:rPr>
        <w:t>届世界电信</w:t>
      </w:r>
      <w:r>
        <w:rPr>
          <w:rFonts w:hint="eastAsia"/>
        </w:rPr>
        <w:t>/ICT</w:t>
      </w:r>
      <w:r w:rsidRPr="00A67B93">
        <w:rPr>
          <w:rFonts w:hint="eastAsia"/>
        </w:rPr>
        <w:t>政策论坛开幕</w:t>
      </w:r>
    </w:p>
    <w:p w14:paraId="4827B6F5" w14:textId="77777777" w:rsidR="00FD589E" w:rsidRPr="00A67B93" w:rsidRDefault="00FD589E" w:rsidP="00FD589E">
      <w:pPr>
        <w:rPr>
          <w:lang w:eastAsia="zh-CN"/>
        </w:rPr>
      </w:pPr>
      <w:r w:rsidRPr="00A67B93">
        <w:rPr>
          <w:lang w:eastAsia="zh-CN"/>
        </w:rPr>
        <w:t>2</w:t>
      </w:r>
      <w:r>
        <w:rPr>
          <w:lang w:eastAsia="zh-CN"/>
        </w:rPr>
        <w:t>.</w:t>
      </w:r>
      <w:r w:rsidRPr="00A67B93">
        <w:rPr>
          <w:lang w:eastAsia="zh-CN"/>
        </w:rPr>
        <w:tab/>
      </w:r>
      <w:r w:rsidRPr="00A67B93">
        <w:rPr>
          <w:rFonts w:hint="eastAsia"/>
          <w:lang w:eastAsia="zh-CN"/>
        </w:rPr>
        <w:t>选举主席</w:t>
      </w:r>
    </w:p>
    <w:p w14:paraId="4827B6F6" w14:textId="77777777" w:rsidR="00FD589E" w:rsidRPr="00A67B93" w:rsidRDefault="00FD589E" w:rsidP="00FD589E">
      <w:pPr>
        <w:rPr>
          <w:lang w:eastAsia="zh-CN"/>
        </w:rPr>
      </w:pPr>
      <w:r w:rsidRPr="00A67B93">
        <w:rPr>
          <w:lang w:eastAsia="zh-CN"/>
        </w:rPr>
        <w:t>3</w:t>
      </w:r>
      <w:r>
        <w:rPr>
          <w:lang w:eastAsia="zh-CN"/>
        </w:rPr>
        <w:t>.</w:t>
      </w:r>
      <w:r w:rsidRPr="00A67B93">
        <w:rPr>
          <w:lang w:eastAsia="zh-CN"/>
        </w:rPr>
        <w:tab/>
      </w:r>
      <w:r w:rsidRPr="00A67B93">
        <w:rPr>
          <w:rFonts w:hint="eastAsia"/>
          <w:lang w:eastAsia="zh-CN"/>
        </w:rPr>
        <w:t>开幕致辞和介绍</w:t>
      </w:r>
    </w:p>
    <w:p w14:paraId="4827B6F7" w14:textId="77777777" w:rsidR="00FD589E" w:rsidRPr="00A67B93" w:rsidRDefault="00FD589E" w:rsidP="00FD589E">
      <w:pPr>
        <w:rPr>
          <w:lang w:eastAsia="zh-CN"/>
        </w:rPr>
      </w:pPr>
      <w:r w:rsidRPr="00A67B93">
        <w:rPr>
          <w:lang w:eastAsia="zh-CN"/>
        </w:rPr>
        <w:t>4</w:t>
      </w:r>
      <w:r>
        <w:rPr>
          <w:lang w:eastAsia="zh-CN"/>
        </w:rPr>
        <w:t>.</w:t>
      </w:r>
      <w:r w:rsidRPr="00A67B93">
        <w:rPr>
          <w:lang w:eastAsia="zh-CN"/>
        </w:rPr>
        <w:tab/>
      </w:r>
      <w:r>
        <w:rPr>
          <w:rFonts w:hint="eastAsia"/>
          <w:lang w:eastAsia="zh-CN"/>
        </w:rPr>
        <w:t>W</w:t>
      </w:r>
      <w:r>
        <w:rPr>
          <w:lang w:eastAsia="zh-CN"/>
        </w:rPr>
        <w:t>TPF</w:t>
      </w:r>
      <w:r w:rsidRPr="00A67B93">
        <w:rPr>
          <w:rFonts w:hint="eastAsia"/>
          <w:lang w:eastAsia="zh-CN"/>
        </w:rPr>
        <w:t>工作的组织</w:t>
      </w:r>
    </w:p>
    <w:p w14:paraId="4827B6F8" w14:textId="77777777" w:rsidR="00FD589E" w:rsidRPr="00A67B93" w:rsidRDefault="00FD589E" w:rsidP="00FD589E">
      <w:pPr>
        <w:rPr>
          <w:lang w:eastAsia="zh-CN"/>
        </w:rPr>
      </w:pPr>
      <w:r w:rsidRPr="00A67B93">
        <w:rPr>
          <w:lang w:eastAsia="zh-CN"/>
        </w:rPr>
        <w:t>5</w:t>
      </w:r>
      <w:r>
        <w:rPr>
          <w:lang w:eastAsia="zh-CN"/>
        </w:rPr>
        <w:t>.</w:t>
      </w:r>
      <w:r w:rsidRPr="00A67B93">
        <w:rPr>
          <w:lang w:eastAsia="zh-CN"/>
        </w:rPr>
        <w:tab/>
      </w:r>
      <w:r w:rsidRPr="00A67B93">
        <w:rPr>
          <w:rFonts w:hint="eastAsia"/>
          <w:lang w:eastAsia="zh-CN"/>
        </w:rPr>
        <w:t>介绍秘书长的报告</w:t>
      </w:r>
    </w:p>
    <w:p w14:paraId="4827B6F9" w14:textId="77777777" w:rsidR="00FD589E" w:rsidRPr="00A67B93" w:rsidRDefault="00FD589E" w:rsidP="00FD589E">
      <w:pPr>
        <w:rPr>
          <w:lang w:eastAsia="zh-CN"/>
        </w:rPr>
      </w:pPr>
      <w:r w:rsidRPr="00A67B93">
        <w:rPr>
          <w:lang w:eastAsia="zh-CN"/>
        </w:rPr>
        <w:t>6</w:t>
      </w:r>
      <w:r>
        <w:rPr>
          <w:lang w:eastAsia="zh-CN"/>
        </w:rPr>
        <w:t>.</w:t>
      </w:r>
      <w:r w:rsidRPr="00A67B93">
        <w:rPr>
          <w:lang w:eastAsia="zh-CN"/>
        </w:rPr>
        <w:tab/>
      </w:r>
      <w:r w:rsidRPr="00A67B93">
        <w:rPr>
          <w:rFonts w:hint="eastAsia"/>
          <w:lang w:eastAsia="zh-CN"/>
        </w:rPr>
        <w:t>成员就报告发表意见</w:t>
      </w:r>
    </w:p>
    <w:p w14:paraId="4827B6FA" w14:textId="77777777" w:rsidR="00FD589E" w:rsidRPr="00A67B93" w:rsidRDefault="00FD589E" w:rsidP="00FD589E">
      <w:pPr>
        <w:rPr>
          <w:lang w:eastAsia="zh-CN"/>
        </w:rPr>
      </w:pPr>
      <w:r w:rsidRPr="00A67B93">
        <w:rPr>
          <w:lang w:eastAsia="zh-CN"/>
        </w:rPr>
        <w:t>7</w:t>
      </w:r>
      <w:r>
        <w:rPr>
          <w:lang w:eastAsia="zh-CN"/>
        </w:rPr>
        <w:t>.</w:t>
      </w:r>
      <w:r w:rsidRPr="00A67B93">
        <w:rPr>
          <w:lang w:eastAsia="zh-CN"/>
        </w:rPr>
        <w:tab/>
      </w:r>
      <w:r w:rsidRPr="00A67B93">
        <w:rPr>
          <w:rFonts w:hint="eastAsia"/>
          <w:lang w:eastAsia="zh-CN"/>
        </w:rPr>
        <w:t>讨论</w:t>
      </w:r>
    </w:p>
    <w:p w14:paraId="4827B6FB" w14:textId="77777777" w:rsidR="00FD589E" w:rsidRPr="00A67B93" w:rsidRDefault="00FD589E" w:rsidP="00FD589E">
      <w:pPr>
        <w:rPr>
          <w:lang w:eastAsia="zh-CN"/>
        </w:rPr>
      </w:pPr>
      <w:r w:rsidRPr="00A67B93">
        <w:rPr>
          <w:lang w:eastAsia="zh-CN"/>
        </w:rPr>
        <w:t>8</w:t>
      </w:r>
      <w:r>
        <w:rPr>
          <w:lang w:eastAsia="zh-CN"/>
        </w:rPr>
        <w:t>.</w:t>
      </w:r>
      <w:r w:rsidRPr="00A67B93">
        <w:rPr>
          <w:lang w:eastAsia="zh-CN"/>
        </w:rPr>
        <w:tab/>
      </w:r>
      <w:r w:rsidRPr="00A67B93">
        <w:rPr>
          <w:rFonts w:hint="eastAsia"/>
          <w:lang w:eastAsia="zh-CN"/>
        </w:rPr>
        <w:t>对意见草案进行审议</w:t>
      </w:r>
    </w:p>
    <w:p w14:paraId="4827B6FC" w14:textId="77777777" w:rsidR="00FD589E" w:rsidRPr="00A67B93" w:rsidRDefault="00FD589E" w:rsidP="00FD589E">
      <w:pPr>
        <w:rPr>
          <w:lang w:eastAsia="zh-CN"/>
        </w:rPr>
      </w:pPr>
      <w:r w:rsidRPr="00A67B93">
        <w:rPr>
          <w:lang w:eastAsia="zh-CN"/>
        </w:rPr>
        <w:t>9</w:t>
      </w:r>
      <w:r>
        <w:rPr>
          <w:lang w:eastAsia="zh-CN"/>
        </w:rPr>
        <w:t>.</w:t>
      </w:r>
      <w:r w:rsidRPr="00A67B93">
        <w:rPr>
          <w:lang w:eastAsia="zh-CN"/>
        </w:rPr>
        <w:tab/>
      </w:r>
      <w:r w:rsidRPr="00A67B93">
        <w:rPr>
          <w:rFonts w:hint="eastAsia"/>
          <w:lang w:eastAsia="zh-CN"/>
        </w:rPr>
        <w:t>通过主席的报告和意见</w:t>
      </w:r>
    </w:p>
    <w:p w14:paraId="4827B6FD" w14:textId="5388ECB3" w:rsidR="00FD589E" w:rsidRDefault="00FD589E" w:rsidP="00FD589E">
      <w:pPr>
        <w:rPr>
          <w:lang w:eastAsia="zh-CN"/>
        </w:rPr>
      </w:pPr>
      <w:r w:rsidRPr="00A67B93">
        <w:rPr>
          <w:lang w:eastAsia="zh-CN"/>
        </w:rPr>
        <w:t>10</w:t>
      </w:r>
      <w:r>
        <w:rPr>
          <w:lang w:eastAsia="zh-CN"/>
        </w:rPr>
        <w:t>.</w:t>
      </w:r>
      <w:r w:rsidRPr="00A67B93">
        <w:rPr>
          <w:lang w:eastAsia="zh-CN"/>
        </w:rPr>
        <w:tab/>
      </w:r>
      <w:r w:rsidRPr="00A67B93">
        <w:rPr>
          <w:rFonts w:hint="eastAsia"/>
          <w:lang w:eastAsia="zh-CN"/>
        </w:rPr>
        <w:t>其它事宜</w:t>
      </w:r>
    </w:p>
    <w:p w14:paraId="46ED6A11" w14:textId="1D0ADC41" w:rsidR="00A80F72" w:rsidRDefault="00A80F72" w:rsidP="00FD589E">
      <w:pPr>
        <w:rPr>
          <w:lang w:eastAsia="zh-CN"/>
        </w:rPr>
      </w:pPr>
    </w:p>
    <w:p w14:paraId="44B0676E" w14:textId="3E7CBB2E" w:rsidR="00A80F72" w:rsidRDefault="00A80F72" w:rsidP="00FD589E">
      <w:pPr>
        <w:rPr>
          <w:lang w:eastAsia="zh-CN"/>
        </w:rPr>
      </w:pPr>
    </w:p>
    <w:p w14:paraId="5225B3D8" w14:textId="0B714109" w:rsidR="00A80F72" w:rsidRDefault="00A80F72" w:rsidP="00FD589E">
      <w:pPr>
        <w:rPr>
          <w:lang w:eastAsia="zh-CN"/>
        </w:rPr>
      </w:pPr>
    </w:p>
    <w:p w14:paraId="12D8A866" w14:textId="1CC11864" w:rsidR="00A80F72" w:rsidRDefault="00A80F72" w:rsidP="00FD589E">
      <w:pPr>
        <w:rPr>
          <w:lang w:eastAsia="zh-CN"/>
        </w:rPr>
      </w:pPr>
    </w:p>
    <w:p w14:paraId="36D164CF" w14:textId="1A1520AF" w:rsidR="00A80F72" w:rsidRDefault="00A80F72" w:rsidP="00FD589E">
      <w:pPr>
        <w:rPr>
          <w:lang w:eastAsia="zh-CN"/>
        </w:rPr>
      </w:pPr>
    </w:p>
    <w:p w14:paraId="379397FE" w14:textId="343AAA84" w:rsidR="00A80F72" w:rsidRDefault="00A80F72" w:rsidP="00FD589E">
      <w:pPr>
        <w:rPr>
          <w:lang w:eastAsia="zh-CN"/>
        </w:rPr>
      </w:pPr>
    </w:p>
    <w:p w14:paraId="49AC491E" w14:textId="717DE275" w:rsidR="00A80F72" w:rsidRDefault="00A80F72" w:rsidP="00FD589E">
      <w:pPr>
        <w:rPr>
          <w:lang w:eastAsia="zh-CN"/>
        </w:rPr>
      </w:pPr>
    </w:p>
    <w:p w14:paraId="05658530" w14:textId="22B33E75" w:rsidR="00A80F72" w:rsidRDefault="00A80F72" w:rsidP="00FD589E">
      <w:pPr>
        <w:rPr>
          <w:lang w:eastAsia="zh-CN"/>
        </w:rPr>
      </w:pPr>
    </w:p>
    <w:p w14:paraId="516FD4F0" w14:textId="4A48CB23" w:rsidR="00A80F72" w:rsidRDefault="00A80F72" w:rsidP="00FD589E">
      <w:pPr>
        <w:rPr>
          <w:lang w:eastAsia="zh-CN"/>
        </w:rPr>
      </w:pPr>
    </w:p>
    <w:p w14:paraId="65A5D049" w14:textId="253460CE" w:rsidR="00A80F72" w:rsidRDefault="00A80F72" w:rsidP="00FD589E">
      <w:pPr>
        <w:rPr>
          <w:lang w:eastAsia="zh-CN"/>
        </w:rPr>
      </w:pPr>
    </w:p>
    <w:p w14:paraId="657281F8" w14:textId="74F0FDB4" w:rsidR="00A80F72" w:rsidRDefault="00A80F72" w:rsidP="00FD589E">
      <w:pPr>
        <w:rPr>
          <w:lang w:eastAsia="zh-CN"/>
        </w:rPr>
      </w:pPr>
    </w:p>
    <w:p w14:paraId="5C41D0D5" w14:textId="77777777" w:rsidR="00A80F72" w:rsidRPr="00A67B93" w:rsidRDefault="00A80F72" w:rsidP="00FD589E">
      <w:pPr>
        <w:rPr>
          <w:lang w:eastAsia="zh-CN"/>
        </w:rPr>
      </w:pPr>
    </w:p>
    <w:p w14:paraId="4827B6FE" w14:textId="77777777" w:rsidR="00FD589E" w:rsidRDefault="00FD589E" w:rsidP="00FD589E">
      <w:pPr>
        <w:tabs>
          <w:tab w:val="clear" w:pos="794"/>
          <w:tab w:val="clear" w:pos="1191"/>
          <w:tab w:val="clear" w:pos="1588"/>
          <w:tab w:val="clear" w:pos="1985"/>
        </w:tabs>
        <w:overflowPunct/>
        <w:autoSpaceDE/>
        <w:autoSpaceDN/>
        <w:adjustRightInd/>
        <w:spacing w:before="0"/>
        <w:textAlignment w:val="auto"/>
        <w:rPr>
          <w:rFonts w:eastAsia="Times New Roman"/>
          <w:lang w:val="en-US" w:eastAsia="zh-CN"/>
        </w:rPr>
      </w:pPr>
      <w:r>
        <w:rPr>
          <w:lang w:val="en-US" w:eastAsia="zh-CN"/>
        </w:rPr>
        <w:br w:type="page"/>
      </w:r>
    </w:p>
    <w:p w14:paraId="4827B6FF" w14:textId="77777777" w:rsidR="00FD589E" w:rsidRPr="00C212F8" w:rsidRDefault="00FD589E" w:rsidP="00FD589E">
      <w:pPr>
        <w:pStyle w:val="AnnexNo"/>
        <w:rPr>
          <w:lang w:eastAsia="zh-CN"/>
        </w:rPr>
      </w:pPr>
      <w:r w:rsidRPr="00E23145">
        <w:rPr>
          <w:rFonts w:hint="eastAsia"/>
          <w:lang w:eastAsia="zh-CN"/>
        </w:rPr>
        <w:lastRenderedPageBreak/>
        <w:t>附件</w:t>
      </w:r>
      <w:r w:rsidRPr="00C212F8">
        <w:rPr>
          <w:lang w:eastAsia="zh-CN"/>
        </w:rPr>
        <w:t>2</w:t>
      </w:r>
      <w:bookmarkEnd w:id="1997"/>
    </w:p>
    <w:p w14:paraId="4827B700" w14:textId="77777777" w:rsidR="00FD589E" w:rsidRPr="00042056" w:rsidRDefault="00FD589E" w:rsidP="00FD589E">
      <w:pPr>
        <w:pStyle w:val="Annextitle"/>
        <w:rPr>
          <w:rFonts w:cstheme="minorHAnsi"/>
          <w:lang w:eastAsia="zh-CN"/>
        </w:rPr>
      </w:pPr>
      <w:bookmarkStart w:id="1998" w:name="lt_pId072"/>
      <w:r>
        <w:rPr>
          <w:rFonts w:cstheme="minorHAnsi"/>
          <w:lang w:eastAsia="zh-CN"/>
        </w:rPr>
        <w:t>由</w:t>
      </w:r>
      <w:r w:rsidRPr="00042056">
        <w:rPr>
          <w:rFonts w:cstheme="minorHAnsi"/>
          <w:lang w:eastAsia="zh-CN"/>
        </w:rPr>
        <w:t>秘书长起草</w:t>
      </w:r>
      <w:r>
        <w:rPr>
          <w:rFonts w:cstheme="minorHAnsi"/>
          <w:lang w:eastAsia="zh-CN"/>
        </w:rPr>
        <w:t>的</w:t>
      </w:r>
      <w:r w:rsidRPr="00042056">
        <w:rPr>
          <w:rFonts w:cstheme="minorHAnsi"/>
          <w:lang w:eastAsia="zh-CN"/>
        </w:rPr>
        <w:t>WTPF</w:t>
      </w:r>
      <w:r>
        <w:rPr>
          <w:rFonts w:cstheme="minorHAnsi"/>
          <w:lang w:eastAsia="zh-CN"/>
        </w:rPr>
        <w:t>-21</w:t>
      </w:r>
      <w:r w:rsidRPr="00042056">
        <w:rPr>
          <w:rFonts w:cstheme="minorHAnsi"/>
          <w:lang w:eastAsia="zh-CN"/>
        </w:rPr>
        <w:t>报告的程序和时间表</w:t>
      </w:r>
      <w:bookmarkEnd w:id="1998"/>
    </w:p>
    <w:tbl>
      <w:tblPr>
        <w:tblStyle w:val="TableGrid0"/>
        <w:tblW w:w="9134" w:type="dxa"/>
        <w:tblInd w:w="252" w:type="dxa"/>
        <w:tblCellMar>
          <w:top w:w="108" w:type="dxa"/>
          <w:left w:w="107" w:type="dxa"/>
          <w:right w:w="60" w:type="dxa"/>
        </w:tblCellMar>
        <w:tblLook w:val="04A0" w:firstRow="1" w:lastRow="0" w:firstColumn="1" w:lastColumn="0" w:noHBand="0" w:noVBand="1"/>
      </w:tblPr>
      <w:tblGrid>
        <w:gridCol w:w="2290"/>
        <w:gridCol w:w="6844"/>
      </w:tblGrid>
      <w:tr w:rsidR="00E1239B" w:rsidRPr="00FD589E" w14:paraId="4827B703" w14:textId="77777777" w:rsidTr="00FD589E">
        <w:trPr>
          <w:trHeight w:val="626"/>
        </w:trPr>
        <w:tc>
          <w:tcPr>
            <w:tcW w:w="2290" w:type="dxa"/>
            <w:tcBorders>
              <w:top w:val="single" w:sz="8" w:space="0" w:color="000000"/>
              <w:left w:val="single" w:sz="8" w:space="0" w:color="000000"/>
              <w:bottom w:val="single" w:sz="8" w:space="0" w:color="000000"/>
              <w:right w:val="single" w:sz="8" w:space="0" w:color="000000"/>
            </w:tcBorders>
            <w:shd w:val="clear" w:color="auto" w:fill="auto"/>
          </w:tcPr>
          <w:p w14:paraId="4827B701" w14:textId="6801F3A0" w:rsidR="00E1239B" w:rsidRPr="00FD589E" w:rsidRDefault="00E1239B" w:rsidP="00E1239B">
            <w:pPr>
              <w:snapToGrid w:val="0"/>
              <w:spacing w:before="0"/>
              <w:ind w:right="50"/>
              <w:jc w:val="center"/>
              <w:rPr>
                <w:rFonts w:cstheme="minorHAnsi"/>
                <w:sz w:val="22"/>
              </w:rPr>
            </w:pPr>
            <w:r w:rsidRPr="004274E8">
              <w:rPr>
                <w:rFonts w:cs="Calibri" w:hint="eastAsia"/>
                <w:b/>
                <w:sz w:val="22"/>
              </w:rPr>
              <w:t>2019</w:t>
            </w:r>
            <w:r w:rsidRPr="004274E8">
              <w:rPr>
                <w:rFonts w:cs="Calibri" w:hint="eastAsia"/>
                <w:b/>
                <w:sz w:val="22"/>
              </w:rPr>
              <w:t>年</w:t>
            </w:r>
            <w:r w:rsidRPr="004274E8">
              <w:rPr>
                <w:rFonts w:cs="Calibri" w:hint="eastAsia"/>
                <w:b/>
                <w:sz w:val="22"/>
              </w:rPr>
              <w:t>8</w:t>
            </w:r>
            <w:r w:rsidRPr="004274E8">
              <w:rPr>
                <w:rFonts w:cs="Calibri" w:hint="eastAsia"/>
                <w:b/>
                <w:sz w:val="22"/>
              </w:rPr>
              <w:t>月</w:t>
            </w:r>
            <w:r w:rsidRPr="004274E8">
              <w:rPr>
                <w:rFonts w:cs="Calibri" w:hint="eastAsia"/>
                <w:b/>
                <w:sz w:val="22"/>
              </w:rPr>
              <w:t>1</w:t>
            </w:r>
            <w:r w:rsidRPr="004274E8">
              <w:rPr>
                <w:rFonts w:cs="Calibri" w:hint="eastAsia"/>
                <w:b/>
                <w:sz w:val="22"/>
              </w:rPr>
              <w:t>日</w:t>
            </w:r>
          </w:p>
        </w:tc>
        <w:tc>
          <w:tcPr>
            <w:tcW w:w="6844" w:type="dxa"/>
            <w:tcBorders>
              <w:top w:val="single" w:sz="8" w:space="0" w:color="000000"/>
              <w:left w:val="single" w:sz="8" w:space="0" w:color="000000"/>
              <w:bottom w:val="single" w:sz="8" w:space="0" w:color="000000"/>
              <w:right w:val="single" w:sz="8" w:space="0" w:color="000000"/>
            </w:tcBorders>
            <w:shd w:val="clear" w:color="auto" w:fill="auto"/>
          </w:tcPr>
          <w:p w14:paraId="4827B702" w14:textId="5873E924" w:rsidR="00E1239B" w:rsidRPr="00FD589E" w:rsidRDefault="00E1239B" w:rsidP="00E1239B">
            <w:pPr>
              <w:snapToGrid w:val="0"/>
              <w:spacing w:before="0"/>
              <w:rPr>
                <w:rFonts w:cstheme="minorHAnsi"/>
                <w:sz w:val="22"/>
                <w:lang w:eastAsia="zh-CN"/>
              </w:rPr>
            </w:pPr>
            <w:r w:rsidRPr="004274E8">
              <w:rPr>
                <w:rFonts w:cs="Calibri" w:hint="eastAsia"/>
                <w:sz w:val="22"/>
                <w:lang w:eastAsia="zh-CN"/>
              </w:rPr>
              <w:t>秘书长报告大纲（</w:t>
            </w:r>
            <w:r w:rsidRPr="004274E8">
              <w:rPr>
                <w:rFonts w:cs="Calibri"/>
                <w:sz w:val="22"/>
                <w:lang w:eastAsia="zh-CN"/>
              </w:rPr>
              <w:t>outline</w:t>
            </w:r>
            <w:r w:rsidRPr="004274E8">
              <w:rPr>
                <w:rFonts w:cs="Calibri" w:hint="eastAsia"/>
                <w:sz w:val="22"/>
                <w:lang w:eastAsia="zh-CN"/>
              </w:rPr>
              <w:t>）草案第一稿应在网上公布，以征求评论（</w:t>
            </w:r>
            <w:r w:rsidRPr="004274E8">
              <w:rPr>
                <w:rFonts w:cs="Calibri"/>
                <w:sz w:val="22"/>
              </w:rPr>
              <w:t>comments</w:t>
            </w:r>
            <w:r w:rsidRPr="004274E8">
              <w:rPr>
                <w:rFonts w:cs="Calibri" w:hint="eastAsia"/>
                <w:sz w:val="22"/>
                <w:lang w:eastAsia="zh-CN"/>
              </w:rPr>
              <w:t>）</w:t>
            </w:r>
          </w:p>
        </w:tc>
      </w:tr>
      <w:tr w:rsidR="00E1239B" w:rsidRPr="00FD589E" w14:paraId="4827B707" w14:textId="77777777" w:rsidTr="00FD589E">
        <w:trPr>
          <w:trHeight w:val="1569"/>
        </w:trPr>
        <w:tc>
          <w:tcPr>
            <w:tcW w:w="2290" w:type="dxa"/>
            <w:tcBorders>
              <w:top w:val="single" w:sz="8" w:space="0" w:color="000000"/>
              <w:left w:val="single" w:sz="8" w:space="0" w:color="000000"/>
              <w:bottom w:val="single" w:sz="8" w:space="0" w:color="000000"/>
              <w:right w:val="single" w:sz="8" w:space="0" w:color="000000"/>
            </w:tcBorders>
            <w:shd w:val="clear" w:color="auto" w:fill="auto"/>
          </w:tcPr>
          <w:p w14:paraId="4827B704" w14:textId="023109E0" w:rsidR="00E1239B" w:rsidRPr="00FD589E" w:rsidRDefault="00E1239B" w:rsidP="00E1239B">
            <w:pPr>
              <w:snapToGrid w:val="0"/>
              <w:spacing w:before="0"/>
              <w:ind w:right="51"/>
              <w:jc w:val="center"/>
              <w:rPr>
                <w:rFonts w:cstheme="minorHAnsi"/>
                <w:sz w:val="22"/>
              </w:rPr>
            </w:pPr>
            <w:r w:rsidRPr="004274E8">
              <w:rPr>
                <w:rFonts w:cs="Calibri" w:hint="eastAsia"/>
                <w:b/>
                <w:sz w:val="22"/>
              </w:rPr>
              <w:t>2019</w:t>
            </w:r>
            <w:r w:rsidRPr="004274E8">
              <w:rPr>
                <w:rFonts w:cs="Calibri" w:hint="eastAsia"/>
                <w:b/>
                <w:sz w:val="22"/>
              </w:rPr>
              <w:t>年</w:t>
            </w:r>
            <w:r w:rsidRPr="004274E8">
              <w:rPr>
                <w:rFonts w:cs="Calibri" w:hint="eastAsia"/>
                <w:b/>
                <w:sz w:val="22"/>
              </w:rPr>
              <w:t>8</w:t>
            </w:r>
            <w:r w:rsidRPr="004274E8">
              <w:rPr>
                <w:rFonts w:cs="Calibri" w:hint="eastAsia"/>
                <w:b/>
                <w:sz w:val="22"/>
              </w:rPr>
              <w:t>月</w:t>
            </w:r>
            <w:r w:rsidRPr="004274E8">
              <w:rPr>
                <w:rFonts w:cs="Calibri" w:hint="eastAsia"/>
                <w:b/>
                <w:sz w:val="22"/>
              </w:rPr>
              <w:t>21</w:t>
            </w:r>
            <w:r w:rsidRPr="004274E8">
              <w:rPr>
                <w:rFonts w:cs="Calibri" w:hint="eastAsia"/>
                <w:b/>
                <w:sz w:val="22"/>
              </w:rPr>
              <w:t>日</w:t>
            </w:r>
          </w:p>
        </w:tc>
        <w:tc>
          <w:tcPr>
            <w:tcW w:w="6844" w:type="dxa"/>
            <w:tcBorders>
              <w:top w:val="single" w:sz="8" w:space="0" w:color="000000"/>
              <w:left w:val="single" w:sz="8" w:space="0" w:color="000000"/>
              <w:bottom w:val="single" w:sz="8" w:space="0" w:color="000000"/>
              <w:right w:val="single" w:sz="8" w:space="0" w:color="000000"/>
            </w:tcBorders>
            <w:shd w:val="clear" w:color="auto" w:fill="auto"/>
          </w:tcPr>
          <w:p w14:paraId="7D1F3785" w14:textId="77777777" w:rsidR="00E1239B" w:rsidRPr="004274E8" w:rsidRDefault="00E1239B" w:rsidP="00E1239B">
            <w:pPr>
              <w:rPr>
                <w:rFonts w:cs="Calibri"/>
                <w:sz w:val="22"/>
                <w:lang w:eastAsia="zh-CN"/>
              </w:rPr>
            </w:pPr>
            <w:bookmarkStart w:id="1999" w:name="lt_pId078"/>
            <w:r w:rsidRPr="004274E8">
              <w:rPr>
                <w:rFonts w:hint="eastAsia"/>
                <w:sz w:val="22"/>
                <w:lang w:eastAsia="zh-CN"/>
              </w:rPr>
              <w:t>接收有关草案第一稿的评论的截止日期</w:t>
            </w:r>
            <w:bookmarkEnd w:id="1999"/>
          </w:p>
          <w:p w14:paraId="4827B706" w14:textId="31A1E94C" w:rsidR="00E1239B" w:rsidRPr="00FD589E" w:rsidRDefault="00E1239B" w:rsidP="00E1239B">
            <w:pPr>
              <w:snapToGrid w:val="0"/>
              <w:spacing w:before="0"/>
              <w:ind w:right="45"/>
              <w:rPr>
                <w:rFonts w:cstheme="minorHAnsi"/>
                <w:sz w:val="22"/>
                <w:lang w:eastAsia="zh-CN"/>
              </w:rPr>
            </w:pPr>
            <w:bookmarkStart w:id="2000" w:name="lt_pId079"/>
            <w:r w:rsidRPr="004274E8">
              <w:rPr>
                <w:rFonts w:hint="eastAsia"/>
                <w:sz w:val="22"/>
                <w:lang w:eastAsia="zh-CN"/>
              </w:rPr>
              <w:t>成员提名参加由来自不同方面人员组成的专家组人选的截止日期，以便为进一步拟定秘书长的报告及相关意见（</w:t>
            </w:r>
            <w:r w:rsidRPr="004274E8">
              <w:rPr>
                <w:rFonts w:cs="Calibri"/>
                <w:sz w:val="22"/>
                <w:lang w:eastAsia="zh-CN"/>
              </w:rPr>
              <w:t>opinions</w:t>
            </w:r>
            <w:r w:rsidRPr="004274E8">
              <w:rPr>
                <w:rFonts w:hint="eastAsia"/>
                <w:sz w:val="22"/>
                <w:lang w:eastAsia="zh-CN"/>
              </w:rPr>
              <w:t>）草案提出咨询意见</w:t>
            </w:r>
            <w:bookmarkEnd w:id="2000"/>
          </w:p>
        </w:tc>
      </w:tr>
      <w:tr w:rsidR="00E1239B" w:rsidRPr="00FD589E" w14:paraId="4827B70A" w14:textId="77777777" w:rsidTr="00FD589E">
        <w:trPr>
          <w:trHeight w:val="689"/>
        </w:trPr>
        <w:tc>
          <w:tcPr>
            <w:tcW w:w="2290" w:type="dxa"/>
            <w:tcBorders>
              <w:top w:val="single" w:sz="8" w:space="0" w:color="000000"/>
              <w:left w:val="single" w:sz="8" w:space="0" w:color="000000"/>
              <w:bottom w:val="single" w:sz="8" w:space="0" w:color="000000"/>
              <w:right w:val="single" w:sz="8" w:space="0" w:color="000000"/>
            </w:tcBorders>
            <w:shd w:val="clear" w:color="auto" w:fill="auto"/>
          </w:tcPr>
          <w:p w14:paraId="4827B708" w14:textId="5FC3D9A0" w:rsidR="00E1239B" w:rsidRPr="00FD589E" w:rsidRDefault="00E1239B" w:rsidP="00E1239B">
            <w:pPr>
              <w:snapToGrid w:val="0"/>
              <w:spacing w:before="0"/>
              <w:ind w:right="50"/>
              <w:jc w:val="center"/>
              <w:rPr>
                <w:rFonts w:cstheme="minorHAnsi"/>
                <w:sz w:val="22"/>
                <w:lang w:eastAsia="zh-CN"/>
              </w:rPr>
            </w:pPr>
            <w:r w:rsidRPr="004274E8">
              <w:rPr>
                <w:rFonts w:cs="Calibri" w:hint="eastAsia"/>
                <w:b/>
                <w:sz w:val="22"/>
                <w:lang w:eastAsia="zh-CN"/>
              </w:rPr>
              <w:t>IEG</w:t>
            </w:r>
            <w:r w:rsidRPr="004274E8">
              <w:rPr>
                <w:rFonts w:cs="Calibri" w:hint="eastAsia"/>
                <w:b/>
                <w:sz w:val="22"/>
                <w:lang w:eastAsia="zh-CN"/>
              </w:rPr>
              <w:t>第</w:t>
            </w:r>
            <w:r w:rsidRPr="004274E8">
              <w:rPr>
                <w:rFonts w:cs="Calibri" w:hint="eastAsia"/>
                <w:b/>
                <w:sz w:val="22"/>
                <w:lang w:eastAsia="zh-CN"/>
              </w:rPr>
              <w:t>1</w:t>
            </w:r>
            <w:r w:rsidRPr="004274E8">
              <w:rPr>
                <w:rFonts w:cs="Calibri" w:hint="eastAsia"/>
                <w:b/>
                <w:sz w:val="22"/>
                <w:lang w:eastAsia="zh-CN"/>
              </w:rPr>
              <w:t>次会议（</w:t>
            </w:r>
            <w:r w:rsidRPr="004274E8">
              <w:rPr>
                <w:rFonts w:cs="Calibri" w:hint="eastAsia"/>
                <w:b/>
                <w:sz w:val="22"/>
                <w:lang w:eastAsia="zh-CN"/>
              </w:rPr>
              <w:t>2019</w:t>
            </w:r>
            <w:r w:rsidRPr="004274E8">
              <w:rPr>
                <w:rFonts w:cs="Calibri" w:hint="eastAsia"/>
                <w:b/>
                <w:sz w:val="22"/>
                <w:lang w:eastAsia="zh-CN"/>
              </w:rPr>
              <w:t>年</w:t>
            </w:r>
            <w:r w:rsidRPr="004274E8">
              <w:rPr>
                <w:rFonts w:cs="Calibri" w:hint="eastAsia"/>
                <w:b/>
                <w:sz w:val="22"/>
                <w:lang w:eastAsia="zh-CN"/>
              </w:rPr>
              <w:t>9</w:t>
            </w:r>
            <w:r w:rsidRPr="004274E8">
              <w:rPr>
                <w:rFonts w:cs="Calibri" w:hint="eastAsia"/>
                <w:b/>
                <w:sz w:val="22"/>
                <w:lang w:eastAsia="zh-CN"/>
              </w:rPr>
              <w:t>月，</w:t>
            </w:r>
            <w:r>
              <w:rPr>
                <w:rFonts w:cs="Calibri"/>
                <w:b/>
                <w:sz w:val="22"/>
                <w:lang w:eastAsia="zh-CN"/>
              </w:rPr>
              <w:br/>
            </w:r>
            <w:r w:rsidRPr="004274E8">
              <w:rPr>
                <w:rFonts w:cs="Calibri" w:hint="eastAsia"/>
                <w:b/>
                <w:sz w:val="22"/>
                <w:lang w:eastAsia="zh-CN"/>
              </w:rPr>
              <w:t>在集中召开的理事会工作组会议期间召开）</w:t>
            </w:r>
          </w:p>
        </w:tc>
        <w:tc>
          <w:tcPr>
            <w:tcW w:w="6844" w:type="dxa"/>
            <w:tcBorders>
              <w:top w:val="single" w:sz="8" w:space="0" w:color="000000"/>
              <w:left w:val="single" w:sz="8" w:space="0" w:color="000000"/>
              <w:bottom w:val="single" w:sz="8" w:space="0" w:color="000000"/>
              <w:right w:val="single" w:sz="8" w:space="0" w:color="000000"/>
            </w:tcBorders>
            <w:shd w:val="clear" w:color="auto" w:fill="auto"/>
          </w:tcPr>
          <w:p w14:paraId="4827B709" w14:textId="21B5F12D" w:rsidR="00E1239B" w:rsidRPr="00FD589E" w:rsidRDefault="00E1239B" w:rsidP="00E1239B">
            <w:pPr>
              <w:snapToGrid w:val="0"/>
              <w:spacing w:before="0"/>
              <w:rPr>
                <w:rFonts w:cstheme="minorHAnsi"/>
                <w:sz w:val="22"/>
                <w:lang w:eastAsia="zh-CN"/>
              </w:rPr>
            </w:pPr>
            <w:r w:rsidRPr="004274E8">
              <w:rPr>
                <w:rFonts w:cs="Calibri" w:hint="eastAsia"/>
                <w:sz w:val="22"/>
                <w:lang w:eastAsia="zh-CN"/>
              </w:rPr>
              <w:t>专家组第一次会议，讨论秘书长报告草案第一稿和所收到的评论</w:t>
            </w:r>
          </w:p>
        </w:tc>
      </w:tr>
      <w:tr w:rsidR="00E1239B" w:rsidRPr="00FD589E" w14:paraId="4827B70E" w14:textId="77777777" w:rsidTr="00FD589E">
        <w:trPr>
          <w:trHeight w:val="1335"/>
        </w:trPr>
        <w:tc>
          <w:tcPr>
            <w:tcW w:w="2290" w:type="dxa"/>
            <w:tcBorders>
              <w:top w:val="single" w:sz="8" w:space="0" w:color="000000"/>
              <w:left w:val="single" w:sz="8" w:space="0" w:color="000000"/>
              <w:bottom w:val="single" w:sz="8" w:space="0" w:color="000000"/>
              <w:right w:val="single" w:sz="8" w:space="0" w:color="000000"/>
            </w:tcBorders>
            <w:shd w:val="clear" w:color="auto" w:fill="auto"/>
          </w:tcPr>
          <w:p w14:paraId="4827B70B" w14:textId="6F39A5C5" w:rsidR="00E1239B" w:rsidRPr="00FD589E" w:rsidRDefault="00E1239B" w:rsidP="00E1239B">
            <w:pPr>
              <w:snapToGrid w:val="0"/>
              <w:spacing w:before="0"/>
              <w:ind w:right="49"/>
              <w:jc w:val="center"/>
              <w:rPr>
                <w:rFonts w:cstheme="minorHAnsi"/>
                <w:sz w:val="22"/>
              </w:rPr>
            </w:pPr>
            <w:r w:rsidRPr="004274E8">
              <w:rPr>
                <w:rFonts w:cs="Calibri" w:hint="eastAsia"/>
                <w:b/>
                <w:sz w:val="22"/>
              </w:rPr>
              <w:t>2019</w:t>
            </w:r>
            <w:r w:rsidRPr="004274E8">
              <w:rPr>
                <w:rFonts w:cs="Calibri" w:hint="eastAsia"/>
                <w:b/>
                <w:sz w:val="22"/>
              </w:rPr>
              <w:t>年</w:t>
            </w:r>
            <w:r w:rsidRPr="004274E8">
              <w:rPr>
                <w:rFonts w:cs="Calibri" w:hint="eastAsia"/>
                <w:b/>
                <w:sz w:val="22"/>
              </w:rPr>
              <w:t>11</w:t>
            </w:r>
            <w:r w:rsidRPr="004274E8">
              <w:rPr>
                <w:rFonts w:cs="Calibri" w:hint="eastAsia"/>
                <w:b/>
                <w:sz w:val="22"/>
              </w:rPr>
              <w:t>月</w:t>
            </w:r>
            <w:r w:rsidRPr="004274E8">
              <w:rPr>
                <w:rFonts w:cs="Calibri" w:hint="eastAsia"/>
                <w:b/>
                <w:sz w:val="22"/>
              </w:rPr>
              <w:t>1</w:t>
            </w:r>
            <w:r w:rsidRPr="004274E8">
              <w:rPr>
                <w:rFonts w:cs="Calibri" w:hint="eastAsia"/>
                <w:b/>
                <w:sz w:val="22"/>
              </w:rPr>
              <w:t>日</w:t>
            </w:r>
          </w:p>
        </w:tc>
        <w:tc>
          <w:tcPr>
            <w:tcW w:w="6844" w:type="dxa"/>
            <w:tcBorders>
              <w:top w:val="single" w:sz="8" w:space="0" w:color="000000"/>
              <w:left w:val="single" w:sz="8" w:space="0" w:color="000000"/>
              <w:bottom w:val="single" w:sz="8" w:space="0" w:color="000000"/>
              <w:right w:val="single" w:sz="8" w:space="0" w:color="000000"/>
            </w:tcBorders>
            <w:shd w:val="clear" w:color="auto" w:fill="auto"/>
          </w:tcPr>
          <w:p w14:paraId="430D27C0" w14:textId="77777777" w:rsidR="00E1239B" w:rsidRPr="004274E8" w:rsidRDefault="00E1239B" w:rsidP="00E1239B">
            <w:pPr>
              <w:rPr>
                <w:rFonts w:cs="Calibri"/>
                <w:sz w:val="22"/>
                <w:lang w:eastAsia="zh-CN"/>
              </w:rPr>
            </w:pPr>
            <w:r w:rsidRPr="004274E8">
              <w:rPr>
                <w:rFonts w:cs="Calibri" w:hint="eastAsia"/>
                <w:sz w:val="22"/>
                <w:lang w:eastAsia="zh-CN"/>
              </w:rPr>
              <w:t>秘书长报告草案第二稿将在网上公布，其中已纳入</w:t>
            </w:r>
            <w:r w:rsidRPr="004274E8">
              <w:rPr>
                <w:rFonts w:cs="Calibri" w:hint="eastAsia"/>
                <w:sz w:val="22"/>
                <w:lang w:eastAsia="zh-CN"/>
              </w:rPr>
              <w:t>IEG</w:t>
            </w:r>
            <w:r w:rsidRPr="004274E8">
              <w:rPr>
                <w:rFonts w:cs="Calibri" w:hint="eastAsia"/>
                <w:sz w:val="22"/>
                <w:lang w:eastAsia="zh-CN"/>
              </w:rPr>
              <w:t>第一次会议的讨论内容</w:t>
            </w:r>
          </w:p>
          <w:p w14:paraId="4827B70D" w14:textId="6ABACD0F" w:rsidR="00E1239B" w:rsidRPr="00FD589E" w:rsidRDefault="00E1239B" w:rsidP="00E1239B">
            <w:pPr>
              <w:snapToGrid w:val="0"/>
              <w:spacing w:before="0"/>
              <w:rPr>
                <w:rFonts w:cstheme="minorHAnsi"/>
                <w:sz w:val="22"/>
                <w:lang w:eastAsia="zh-CN"/>
              </w:rPr>
            </w:pPr>
            <w:r w:rsidRPr="004274E8">
              <w:rPr>
                <w:rFonts w:cs="Calibri" w:hint="eastAsia"/>
                <w:sz w:val="22"/>
                <w:lang w:eastAsia="zh-CN"/>
              </w:rPr>
              <w:t>此草案还将在网上公布，用于公开磋商</w:t>
            </w:r>
          </w:p>
        </w:tc>
      </w:tr>
      <w:tr w:rsidR="00E1239B" w:rsidRPr="00FD589E" w14:paraId="4827B712" w14:textId="77777777" w:rsidTr="00FD589E">
        <w:trPr>
          <w:trHeight w:val="1299"/>
        </w:trPr>
        <w:tc>
          <w:tcPr>
            <w:tcW w:w="2290" w:type="dxa"/>
            <w:tcBorders>
              <w:top w:val="single" w:sz="8" w:space="0" w:color="000000"/>
              <w:left w:val="single" w:sz="8" w:space="0" w:color="000000"/>
              <w:bottom w:val="single" w:sz="8" w:space="0" w:color="000000"/>
              <w:right w:val="single" w:sz="8" w:space="0" w:color="000000"/>
            </w:tcBorders>
            <w:shd w:val="clear" w:color="auto" w:fill="auto"/>
          </w:tcPr>
          <w:p w14:paraId="4827B70F" w14:textId="5ACBBED3" w:rsidR="00E1239B" w:rsidRPr="00FD589E" w:rsidRDefault="00E1239B" w:rsidP="00E1239B">
            <w:pPr>
              <w:snapToGrid w:val="0"/>
              <w:spacing w:before="0"/>
              <w:ind w:right="51"/>
              <w:jc w:val="center"/>
              <w:rPr>
                <w:rFonts w:cstheme="minorHAnsi"/>
                <w:sz w:val="22"/>
              </w:rPr>
            </w:pPr>
            <w:r w:rsidRPr="004274E8">
              <w:rPr>
                <w:rFonts w:cs="Calibri" w:hint="eastAsia"/>
                <w:b/>
                <w:sz w:val="22"/>
              </w:rPr>
              <w:t>2019</w:t>
            </w:r>
            <w:r w:rsidRPr="004274E8">
              <w:rPr>
                <w:rFonts w:cs="Calibri" w:hint="eastAsia"/>
                <w:b/>
                <w:sz w:val="22"/>
              </w:rPr>
              <w:t>年</w:t>
            </w:r>
            <w:r w:rsidRPr="004274E8">
              <w:rPr>
                <w:rFonts w:cs="Calibri" w:hint="eastAsia"/>
                <w:b/>
                <w:sz w:val="22"/>
              </w:rPr>
              <w:t>12</w:t>
            </w:r>
            <w:r w:rsidRPr="004274E8">
              <w:rPr>
                <w:rFonts w:cs="Calibri" w:hint="eastAsia"/>
                <w:b/>
                <w:sz w:val="22"/>
              </w:rPr>
              <w:t>月</w:t>
            </w:r>
            <w:r w:rsidRPr="004274E8">
              <w:rPr>
                <w:rFonts w:cs="Calibri" w:hint="eastAsia"/>
                <w:b/>
                <w:sz w:val="22"/>
              </w:rPr>
              <w:t>23</w:t>
            </w:r>
            <w:r w:rsidRPr="004274E8">
              <w:rPr>
                <w:rFonts w:cs="Calibri" w:hint="eastAsia"/>
                <w:b/>
                <w:sz w:val="22"/>
              </w:rPr>
              <w:t>日</w:t>
            </w:r>
          </w:p>
        </w:tc>
        <w:tc>
          <w:tcPr>
            <w:tcW w:w="6844" w:type="dxa"/>
            <w:tcBorders>
              <w:top w:val="single" w:sz="8" w:space="0" w:color="000000"/>
              <w:left w:val="single" w:sz="8" w:space="0" w:color="000000"/>
              <w:bottom w:val="single" w:sz="8" w:space="0" w:color="000000"/>
              <w:right w:val="single" w:sz="8" w:space="0" w:color="000000"/>
            </w:tcBorders>
            <w:shd w:val="clear" w:color="auto" w:fill="auto"/>
          </w:tcPr>
          <w:p w14:paraId="0B723828" w14:textId="77777777" w:rsidR="00E1239B" w:rsidRPr="004274E8" w:rsidRDefault="00E1239B" w:rsidP="00E1239B">
            <w:pPr>
              <w:ind w:right="48"/>
              <w:rPr>
                <w:rFonts w:cs="Calibri"/>
                <w:sz w:val="22"/>
                <w:lang w:eastAsia="zh-CN"/>
              </w:rPr>
            </w:pPr>
            <w:r w:rsidRPr="004274E8">
              <w:rPr>
                <w:rFonts w:cs="Calibri" w:hint="eastAsia"/>
                <w:sz w:val="22"/>
                <w:lang w:eastAsia="zh-CN"/>
              </w:rPr>
              <w:t>接收针对草案第二稿的评论意见以及针对可能的意见草案的宽泛提纲而提交的文稿的截止日期</w:t>
            </w:r>
          </w:p>
          <w:p w14:paraId="4827B711" w14:textId="37E106B6" w:rsidR="00E1239B" w:rsidRPr="00FD589E" w:rsidRDefault="00E1239B" w:rsidP="00E1239B">
            <w:pPr>
              <w:snapToGrid w:val="0"/>
              <w:spacing w:before="0"/>
              <w:ind w:right="45"/>
              <w:rPr>
                <w:rFonts w:cstheme="minorHAnsi"/>
                <w:sz w:val="22"/>
                <w:lang w:eastAsia="zh-CN"/>
              </w:rPr>
            </w:pPr>
            <w:r w:rsidRPr="004274E8">
              <w:rPr>
                <w:rFonts w:cs="Calibri" w:hint="eastAsia"/>
                <w:sz w:val="22"/>
                <w:lang w:eastAsia="zh-CN"/>
              </w:rPr>
              <w:t>接收来自公开磋商的输入（</w:t>
            </w:r>
            <w:r w:rsidRPr="004274E8">
              <w:rPr>
                <w:rFonts w:cs="Calibri" w:hint="eastAsia"/>
                <w:sz w:val="22"/>
                <w:lang w:eastAsia="zh-CN"/>
              </w:rPr>
              <w:t>inputs</w:t>
            </w:r>
            <w:r w:rsidRPr="004274E8">
              <w:rPr>
                <w:rFonts w:cs="Calibri" w:hint="eastAsia"/>
                <w:sz w:val="22"/>
                <w:lang w:eastAsia="zh-CN"/>
              </w:rPr>
              <w:t>）的截止日期</w:t>
            </w:r>
          </w:p>
        </w:tc>
      </w:tr>
      <w:tr w:rsidR="00E1239B" w:rsidRPr="00FD589E" w14:paraId="4827B716" w14:textId="77777777" w:rsidTr="00FD589E">
        <w:trPr>
          <w:trHeight w:val="688"/>
        </w:trPr>
        <w:tc>
          <w:tcPr>
            <w:tcW w:w="2290" w:type="dxa"/>
            <w:tcBorders>
              <w:top w:val="single" w:sz="8" w:space="0" w:color="000000"/>
              <w:left w:val="single" w:sz="8" w:space="0" w:color="000000"/>
              <w:bottom w:val="single" w:sz="8" w:space="0" w:color="000000"/>
              <w:right w:val="single" w:sz="8" w:space="0" w:color="000000"/>
            </w:tcBorders>
            <w:shd w:val="clear" w:color="auto" w:fill="auto"/>
          </w:tcPr>
          <w:p w14:paraId="4827B713" w14:textId="674CAF41" w:rsidR="00E1239B" w:rsidRPr="00FD589E" w:rsidRDefault="00E1239B" w:rsidP="00E1239B">
            <w:pPr>
              <w:snapToGrid w:val="0"/>
              <w:spacing w:before="0"/>
              <w:ind w:right="50"/>
              <w:jc w:val="center"/>
              <w:rPr>
                <w:rFonts w:cstheme="minorHAnsi"/>
                <w:sz w:val="22"/>
                <w:lang w:eastAsia="zh-CN"/>
              </w:rPr>
            </w:pPr>
            <w:r w:rsidRPr="004274E8">
              <w:rPr>
                <w:rFonts w:cs="Calibri" w:hint="eastAsia"/>
                <w:b/>
                <w:sz w:val="22"/>
                <w:lang w:eastAsia="zh-CN"/>
              </w:rPr>
              <w:t>IEG</w:t>
            </w:r>
            <w:r w:rsidRPr="004274E8">
              <w:rPr>
                <w:rFonts w:cs="Calibri" w:hint="eastAsia"/>
                <w:b/>
                <w:sz w:val="22"/>
                <w:lang w:eastAsia="zh-CN"/>
              </w:rPr>
              <w:t>第</w:t>
            </w:r>
            <w:r w:rsidRPr="004274E8">
              <w:rPr>
                <w:rFonts w:cs="Calibri" w:hint="eastAsia"/>
                <w:b/>
                <w:sz w:val="22"/>
                <w:lang w:eastAsia="zh-CN"/>
              </w:rPr>
              <w:t>2</w:t>
            </w:r>
            <w:r w:rsidRPr="004274E8">
              <w:rPr>
                <w:rFonts w:cs="Calibri" w:hint="eastAsia"/>
                <w:b/>
                <w:sz w:val="22"/>
                <w:lang w:eastAsia="zh-CN"/>
              </w:rPr>
              <w:t>次会议（</w:t>
            </w:r>
            <w:r w:rsidRPr="004274E8">
              <w:rPr>
                <w:rFonts w:cs="Calibri" w:hint="eastAsia"/>
                <w:b/>
                <w:sz w:val="22"/>
                <w:lang w:eastAsia="zh-CN"/>
              </w:rPr>
              <w:t>2020</w:t>
            </w:r>
            <w:r w:rsidRPr="004274E8">
              <w:rPr>
                <w:rFonts w:cs="Calibri" w:hint="eastAsia"/>
                <w:b/>
                <w:sz w:val="22"/>
                <w:lang w:eastAsia="zh-CN"/>
              </w:rPr>
              <w:t>年</w:t>
            </w:r>
            <w:r w:rsidRPr="004274E8">
              <w:rPr>
                <w:rFonts w:cs="Calibri" w:hint="eastAsia"/>
                <w:b/>
                <w:sz w:val="22"/>
                <w:lang w:eastAsia="zh-CN"/>
              </w:rPr>
              <w:t>1</w:t>
            </w:r>
            <w:r w:rsidRPr="004274E8">
              <w:rPr>
                <w:rFonts w:cs="Calibri" w:hint="eastAsia"/>
                <w:b/>
                <w:sz w:val="22"/>
                <w:lang w:eastAsia="zh-CN"/>
              </w:rPr>
              <w:t>月</w:t>
            </w:r>
            <w:r w:rsidRPr="004274E8">
              <w:rPr>
                <w:rFonts w:cs="Calibri" w:hint="eastAsia"/>
                <w:b/>
                <w:sz w:val="22"/>
                <w:lang w:eastAsia="zh-CN"/>
              </w:rPr>
              <w:t>/2</w:t>
            </w:r>
            <w:r w:rsidRPr="004274E8">
              <w:rPr>
                <w:rFonts w:cs="Calibri" w:hint="eastAsia"/>
                <w:b/>
                <w:sz w:val="22"/>
                <w:lang w:eastAsia="zh-CN"/>
              </w:rPr>
              <w:t>月，在集中召开的理事会工作组会议期间召开）</w:t>
            </w:r>
          </w:p>
        </w:tc>
        <w:tc>
          <w:tcPr>
            <w:tcW w:w="6844" w:type="dxa"/>
            <w:tcBorders>
              <w:top w:val="single" w:sz="8" w:space="0" w:color="000000"/>
              <w:left w:val="single" w:sz="8" w:space="0" w:color="000000"/>
              <w:bottom w:val="single" w:sz="8" w:space="0" w:color="000000"/>
              <w:right w:val="single" w:sz="8" w:space="0" w:color="000000"/>
            </w:tcBorders>
            <w:shd w:val="clear" w:color="auto" w:fill="auto"/>
          </w:tcPr>
          <w:p w14:paraId="4827B715" w14:textId="03EC34B9" w:rsidR="00E1239B" w:rsidRPr="00FD589E" w:rsidRDefault="00E1239B" w:rsidP="00E1239B">
            <w:pPr>
              <w:snapToGrid w:val="0"/>
              <w:spacing w:before="0"/>
              <w:rPr>
                <w:rFonts w:cstheme="minorHAnsi"/>
                <w:sz w:val="22"/>
                <w:lang w:eastAsia="zh-CN"/>
              </w:rPr>
            </w:pPr>
            <w:r w:rsidRPr="004274E8">
              <w:rPr>
                <w:rFonts w:cs="Calibri" w:hint="eastAsia"/>
                <w:sz w:val="22"/>
                <w:lang w:eastAsia="zh-CN"/>
              </w:rPr>
              <w:t>专家组第二次会议，讨论秘书长报告草案第二稿以及所收到的评论，包括来自公开磋商的评论</w:t>
            </w:r>
          </w:p>
        </w:tc>
      </w:tr>
      <w:tr w:rsidR="00E1239B" w:rsidRPr="00FD589E" w14:paraId="4827B71A" w14:textId="77777777" w:rsidTr="00FD589E">
        <w:trPr>
          <w:trHeight w:val="1317"/>
        </w:trPr>
        <w:tc>
          <w:tcPr>
            <w:tcW w:w="2290" w:type="dxa"/>
            <w:tcBorders>
              <w:top w:val="single" w:sz="8" w:space="0" w:color="000000"/>
              <w:left w:val="single" w:sz="8" w:space="0" w:color="000000"/>
              <w:bottom w:val="single" w:sz="8" w:space="0" w:color="000000"/>
              <w:right w:val="single" w:sz="8" w:space="0" w:color="000000"/>
            </w:tcBorders>
            <w:shd w:val="clear" w:color="auto" w:fill="auto"/>
          </w:tcPr>
          <w:p w14:paraId="4827B717" w14:textId="39D430F9" w:rsidR="00E1239B" w:rsidRPr="00FD589E" w:rsidRDefault="00E1239B" w:rsidP="00E1239B">
            <w:pPr>
              <w:snapToGrid w:val="0"/>
              <w:spacing w:before="0"/>
              <w:ind w:right="49"/>
              <w:jc w:val="center"/>
              <w:rPr>
                <w:rFonts w:cstheme="minorHAnsi"/>
                <w:sz w:val="22"/>
              </w:rPr>
            </w:pPr>
            <w:r w:rsidRPr="004274E8">
              <w:rPr>
                <w:rFonts w:cs="Calibri" w:hint="eastAsia"/>
                <w:b/>
                <w:sz w:val="22"/>
              </w:rPr>
              <w:t>2020</w:t>
            </w:r>
            <w:r w:rsidRPr="004274E8">
              <w:rPr>
                <w:rFonts w:cs="Calibri" w:hint="eastAsia"/>
                <w:b/>
                <w:sz w:val="22"/>
              </w:rPr>
              <w:t>年</w:t>
            </w:r>
            <w:r w:rsidRPr="004274E8">
              <w:rPr>
                <w:rFonts w:cs="Calibri" w:hint="eastAsia"/>
                <w:b/>
                <w:sz w:val="22"/>
              </w:rPr>
              <w:t>4</w:t>
            </w:r>
            <w:r w:rsidRPr="004274E8">
              <w:rPr>
                <w:rFonts w:cs="Calibri" w:hint="eastAsia"/>
                <w:b/>
                <w:sz w:val="22"/>
              </w:rPr>
              <w:t>月</w:t>
            </w:r>
            <w:r w:rsidRPr="004274E8">
              <w:rPr>
                <w:rFonts w:cs="Calibri" w:hint="eastAsia"/>
                <w:b/>
                <w:sz w:val="22"/>
              </w:rPr>
              <w:t>1</w:t>
            </w:r>
            <w:r w:rsidRPr="004274E8">
              <w:rPr>
                <w:rFonts w:cs="Calibri" w:hint="eastAsia"/>
                <w:b/>
                <w:sz w:val="22"/>
              </w:rPr>
              <w:t>日</w:t>
            </w:r>
          </w:p>
        </w:tc>
        <w:tc>
          <w:tcPr>
            <w:tcW w:w="6844" w:type="dxa"/>
            <w:tcBorders>
              <w:top w:val="single" w:sz="8" w:space="0" w:color="000000"/>
              <w:left w:val="single" w:sz="8" w:space="0" w:color="000000"/>
              <w:bottom w:val="single" w:sz="8" w:space="0" w:color="000000"/>
              <w:right w:val="single" w:sz="8" w:space="0" w:color="000000"/>
            </w:tcBorders>
            <w:shd w:val="clear" w:color="auto" w:fill="auto"/>
          </w:tcPr>
          <w:p w14:paraId="4DCAE4F4" w14:textId="77777777" w:rsidR="00E1239B" w:rsidRPr="004274E8" w:rsidRDefault="00E1239B" w:rsidP="00E1239B">
            <w:pPr>
              <w:rPr>
                <w:rFonts w:cs="Calibri"/>
                <w:sz w:val="22"/>
                <w:lang w:eastAsia="zh-CN"/>
              </w:rPr>
            </w:pPr>
            <w:r w:rsidRPr="004274E8">
              <w:rPr>
                <w:rFonts w:cs="Calibri" w:hint="eastAsia"/>
                <w:sz w:val="22"/>
                <w:lang w:eastAsia="zh-CN"/>
              </w:rPr>
              <w:t>秘书长报告草案第三稿将在网上公布，其中已纳入</w:t>
            </w:r>
            <w:r w:rsidRPr="004274E8">
              <w:rPr>
                <w:rFonts w:cs="Calibri" w:hint="eastAsia"/>
                <w:sz w:val="22"/>
                <w:lang w:eastAsia="zh-CN"/>
              </w:rPr>
              <w:t>IEG</w:t>
            </w:r>
            <w:r w:rsidRPr="004274E8">
              <w:rPr>
                <w:rFonts w:cs="Calibri" w:hint="eastAsia"/>
                <w:sz w:val="22"/>
                <w:lang w:eastAsia="zh-CN"/>
              </w:rPr>
              <w:t>第二次会议的讨论内容并包括意见（</w:t>
            </w:r>
            <w:r w:rsidRPr="004274E8">
              <w:rPr>
                <w:rFonts w:cs="Calibri" w:hint="eastAsia"/>
                <w:sz w:val="22"/>
                <w:lang w:eastAsia="zh-CN"/>
              </w:rPr>
              <w:t>Opinions</w:t>
            </w:r>
            <w:r w:rsidRPr="004274E8">
              <w:rPr>
                <w:rFonts w:cs="Calibri" w:hint="eastAsia"/>
                <w:sz w:val="22"/>
                <w:lang w:eastAsia="zh-CN"/>
              </w:rPr>
              <w:t>）草案的提纲</w:t>
            </w:r>
          </w:p>
          <w:p w14:paraId="4827B719" w14:textId="7BBE4093" w:rsidR="00E1239B" w:rsidRPr="00FD589E" w:rsidRDefault="00E1239B" w:rsidP="00E1239B">
            <w:pPr>
              <w:snapToGrid w:val="0"/>
              <w:spacing w:before="0"/>
              <w:rPr>
                <w:rFonts w:cstheme="minorHAnsi"/>
                <w:sz w:val="22"/>
                <w:lang w:eastAsia="zh-CN"/>
              </w:rPr>
            </w:pPr>
            <w:r w:rsidRPr="004274E8">
              <w:rPr>
                <w:rFonts w:cs="Calibri" w:hint="eastAsia"/>
                <w:sz w:val="22"/>
                <w:lang w:eastAsia="zh-CN"/>
              </w:rPr>
              <w:t>此草案还将在网上公布，用于公开磋商</w:t>
            </w:r>
          </w:p>
        </w:tc>
      </w:tr>
      <w:tr w:rsidR="00E1239B" w:rsidRPr="00FD589E" w14:paraId="4827B71E" w14:textId="77777777" w:rsidTr="00FD589E">
        <w:trPr>
          <w:trHeight w:val="629"/>
        </w:trPr>
        <w:tc>
          <w:tcPr>
            <w:tcW w:w="2290" w:type="dxa"/>
            <w:tcBorders>
              <w:top w:val="single" w:sz="8" w:space="0" w:color="000000"/>
              <w:left w:val="single" w:sz="8" w:space="0" w:color="000000"/>
              <w:bottom w:val="single" w:sz="8" w:space="0" w:color="000000"/>
              <w:right w:val="single" w:sz="8" w:space="0" w:color="000000"/>
            </w:tcBorders>
            <w:shd w:val="clear" w:color="auto" w:fill="auto"/>
          </w:tcPr>
          <w:p w14:paraId="4827B71B" w14:textId="06CCFF8A" w:rsidR="00E1239B" w:rsidRPr="00FD589E" w:rsidRDefault="00E1239B" w:rsidP="00E1239B">
            <w:pPr>
              <w:snapToGrid w:val="0"/>
              <w:spacing w:before="0"/>
              <w:jc w:val="center"/>
              <w:rPr>
                <w:rFonts w:cstheme="minorHAnsi"/>
                <w:sz w:val="22"/>
              </w:rPr>
            </w:pPr>
            <w:r w:rsidRPr="004274E8">
              <w:rPr>
                <w:rFonts w:cs="Calibri" w:hint="eastAsia"/>
                <w:b/>
                <w:sz w:val="22"/>
              </w:rPr>
              <w:t>2020</w:t>
            </w:r>
            <w:r w:rsidRPr="004274E8">
              <w:rPr>
                <w:rFonts w:cs="Calibri" w:hint="eastAsia"/>
                <w:b/>
                <w:sz w:val="22"/>
              </w:rPr>
              <w:t>年</w:t>
            </w:r>
            <w:r w:rsidRPr="004274E8">
              <w:rPr>
                <w:rFonts w:cs="Calibri" w:hint="eastAsia"/>
                <w:b/>
                <w:sz w:val="22"/>
              </w:rPr>
              <w:t>6</w:t>
            </w:r>
            <w:r w:rsidRPr="004274E8">
              <w:rPr>
                <w:rFonts w:cs="Calibri" w:hint="eastAsia"/>
                <w:b/>
                <w:sz w:val="22"/>
              </w:rPr>
              <w:t>月</w:t>
            </w:r>
            <w:r w:rsidRPr="004274E8">
              <w:rPr>
                <w:rFonts w:cs="Calibri" w:hint="eastAsia"/>
                <w:b/>
                <w:sz w:val="22"/>
              </w:rPr>
              <w:t>15</w:t>
            </w:r>
            <w:r w:rsidRPr="004274E8">
              <w:rPr>
                <w:rFonts w:cs="Calibri" w:hint="eastAsia"/>
                <w:b/>
                <w:sz w:val="22"/>
              </w:rPr>
              <w:t>日</w:t>
            </w:r>
          </w:p>
        </w:tc>
        <w:tc>
          <w:tcPr>
            <w:tcW w:w="6844" w:type="dxa"/>
            <w:tcBorders>
              <w:top w:val="single" w:sz="8" w:space="0" w:color="000000"/>
              <w:left w:val="single" w:sz="8" w:space="0" w:color="000000"/>
              <w:bottom w:val="single" w:sz="8" w:space="0" w:color="000000"/>
              <w:right w:val="single" w:sz="8" w:space="0" w:color="000000"/>
            </w:tcBorders>
            <w:shd w:val="clear" w:color="auto" w:fill="auto"/>
          </w:tcPr>
          <w:p w14:paraId="5CCD303A" w14:textId="77777777" w:rsidR="00E1239B" w:rsidRPr="004274E8" w:rsidRDefault="00E1239B" w:rsidP="00E1239B">
            <w:pPr>
              <w:ind w:right="48"/>
              <w:rPr>
                <w:rFonts w:cs="Calibri"/>
                <w:sz w:val="22"/>
                <w:lang w:eastAsia="zh-CN"/>
              </w:rPr>
            </w:pPr>
            <w:r w:rsidRPr="004274E8">
              <w:rPr>
                <w:rFonts w:cs="Calibri" w:hint="eastAsia"/>
                <w:sz w:val="22"/>
                <w:lang w:eastAsia="zh-CN"/>
              </w:rPr>
              <w:t>接收针对草案第三稿的评论以及针对可能的意见（</w:t>
            </w:r>
            <w:r w:rsidRPr="004274E8">
              <w:rPr>
                <w:rFonts w:cs="Calibri"/>
                <w:sz w:val="22"/>
                <w:lang w:eastAsia="zh-CN"/>
              </w:rPr>
              <w:t>Opinions</w:t>
            </w:r>
            <w:r w:rsidRPr="004274E8">
              <w:rPr>
                <w:rFonts w:cs="Calibri" w:hint="eastAsia"/>
                <w:sz w:val="22"/>
                <w:lang w:eastAsia="zh-CN"/>
              </w:rPr>
              <w:t>）草案而提交的文稿的截止日期</w:t>
            </w:r>
          </w:p>
          <w:p w14:paraId="4827B71D" w14:textId="46C012AA" w:rsidR="00E1239B" w:rsidRPr="00FD589E" w:rsidRDefault="00E1239B" w:rsidP="00E1239B">
            <w:pPr>
              <w:snapToGrid w:val="0"/>
              <w:spacing w:before="0"/>
              <w:ind w:right="48"/>
              <w:rPr>
                <w:rFonts w:cstheme="minorHAnsi"/>
                <w:sz w:val="22"/>
                <w:lang w:eastAsia="zh-CN"/>
              </w:rPr>
            </w:pPr>
            <w:r w:rsidRPr="004274E8">
              <w:rPr>
                <w:rFonts w:cs="Calibri" w:hint="eastAsia"/>
                <w:sz w:val="22"/>
                <w:lang w:eastAsia="zh-CN"/>
              </w:rPr>
              <w:t>接收来自公开磋商的输入的截止日期</w:t>
            </w:r>
          </w:p>
        </w:tc>
      </w:tr>
      <w:tr w:rsidR="00E1239B" w:rsidRPr="00FD589E" w14:paraId="4827B722" w14:textId="77777777" w:rsidTr="00FD589E">
        <w:trPr>
          <w:cantSplit/>
          <w:trHeight w:val="872"/>
        </w:trPr>
        <w:tc>
          <w:tcPr>
            <w:tcW w:w="2290" w:type="dxa"/>
            <w:tcBorders>
              <w:top w:val="single" w:sz="8" w:space="0" w:color="000000"/>
              <w:left w:val="single" w:sz="8" w:space="0" w:color="000000"/>
              <w:bottom w:val="single" w:sz="8" w:space="0" w:color="000000"/>
              <w:right w:val="single" w:sz="8" w:space="0" w:color="000000"/>
            </w:tcBorders>
            <w:shd w:val="clear" w:color="auto" w:fill="auto"/>
          </w:tcPr>
          <w:p w14:paraId="4827B71F" w14:textId="6E8E7E5E" w:rsidR="00E1239B" w:rsidRPr="00FD589E" w:rsidRDefault="00E1239B" w:rsidP="00E1239B">
            <w:pPr>
              <w:snapToGrid w:val="0"/>
              <w:spacing w:before="0"/>
              <w:jc w:val="center"/>
              <w:rPr>
                <w:rFonts w:cstheme="minorHAnsi"/>
                <w:sz w:val="22"/>
                <w:lang w:eastAsia="zh-CN"/>
              </w:rPr>
            </w:pPr>
            <w:r w:rsidRPr="004274E8">
              <w:rPr>
                <w:rFonts w:cs="Calibri" w:hint="eastAsia"/>
                <w:b/>
                <w:sz w:val="22"/>
                <w:lang w:eastAsia="zh-CN"/>
              </w:rPr>
              <w:t>IEG</w:t>
            </w:r>
            <w:r w:rsidRPr="004274E8">
              <w:rPr>
                <w:rFonts w:cs="Calibri" w:hint="eastAsia"/>
                <w:b/>
                <w:sz w:val="22"/>
                <w:lang w:eastAsia="zh-CN"/>
              </w:rPr>
              <w:t>第</w:t>
            </w:r>
            <w:r w:rsidRPr="004274E8">
              <w:rPr>
                <w:rFonts w:cs="Calibri" w:hint="eastAsia"/>
                <w:b/>
                <w:sz w:val="22"/>
                <w:lang w:eastAsia="zh-CN"/>
              </w:rPr>
              <w:t>3</w:t>
            </w:r>
            <w:r w:rsidRPr="004274E8">
              <w:rPr>
                <w:rFonts w:cs="Calibri" w:hint="eastAsia"/>
                <w:b/>
                <w:sz w:val="22"/>
                <w:lang w:eastAsia="zh-CN"/>
              </w:rPr>
              <w:t>次会议（</w:t>
            </w:r>
            <w:r w:rsidRPr="004274E8">
              <w:rPr>
                <w:rFonts w:cs="Calibri" w:hint="eastAsia"/>
                <w:b/>
                <w:sz w:val="22"/>
                <w:lang w:eastAsia="zh-CN"/>
              </w:rPr>
              <w:t>2020</w:t>
            </w:r>
            <w:r w:rsidRPr="004274E8">
              <w:rPr>
                <w:rFonts w:cs="Calibri" w:hint="eastAsia"/>
                <w:b/>
                <w:sz w:val="22"/>
                <w:lang w:eastAsia="zh-CN"/>
              </w:rPr>
              <w:t>年</w:t>
            </w:r>
            <w:r w:rsidRPr="004274E8">
              <w:rPr>
                <w:rFonts w:cs="Calibri" w:hint="eastAsia"/>
                <w:b/>
                <w:sz w:val="22"/>
                <w:lang w:eastAsia="zh-CN"/>
              </w:rPr>
              <w:t>9</w:t>
            </w:r>
            <w:r w:rsidRPr="004274E8">
              <w:rPr>
                <w:rFonts w:cs="Calibri" w:hint="eastAsia"/>
                <w:b/>
                <w:sz w:val="22"/>
                <w:lang w:eastAsia="zh-CN"/>
              </w:rPr>
              <w:t>月，在集中召开的理事会工作组会议期间召开）</w:t>
            </w:r>
          </w:p>
        </w:tc>
        <w:tc>
          <w:tcPr>
            <w:tcW w:w="6844" w:type="dxa"/>
            <w:tcBorders>
              <w:top w:val="single" w:sz="8" w:space="0" w:color="000000"/>
              <w:left w:val="single" w:sz="8" w:space="0" w:color="000000"/>
              <w:bottom w:val="single" w:sz="8" w:space="0" w:color="000000"/>
              <w:right w:val="single" w:sz="8" w:space="0" w:color="000000"/>
            </w:tcBorders>
            <w:shd w:val="clear" w:color="auto" w:fill="auto"/>
          </w:tcPr>
          <w:p w14:paraId="6B92C3B2" w14:textId="77777777" w:rsidR="00E1239B" w:rsidRPr="004274E8" w:rsidRDefault="00E1239B" w:rsidP="00E1239B">
            <w:pPr>
              <w:spacing w:after="41"/>
              <w:rPr>
                <w:rFonts w:cs="Calibri"/>
                <w:sz w:val="22"/>
                <w:lang w:eastAsia="zh-CN"/>
              </w:rPr>
            </w:pPr>
            <w:r w:rsidRPr="004274E8">
              <w:rPr>
                <w:rFonts w:cs="Calibri" w:hint="eastAsia"/>
                <w:sz w:val="22"/>
                <w:lang w:eastAsia="zh-CN"/>
              </w:rPr>
              <w:t>专家组第三次会议，讨论秘书长报告草案第三稿以及所收到的评论，包括来自公开磋商的评论</w:t>
            </w:r>
          </w:p>
          <w:p w14:paraId="4827B721" w14:textId="77777777" w:rsidR="00E1239B" w:rsidRPr="00FD589E" w:rsidRDefault="00E1239B" w:rsidP="00E1239B">
            <w:pPr>
              <w:snapToGrid w:val="0"/>
              <w:spacing w:before="0"/>
              <w:rPr>
                <w:rFonts w:cstheme="minorHAnsi"/>
                <w:sz w:val="22"/>
                <w:lang w:eastAsia="zh-CN"/>
              </w:rPr>
            </w:pPr>
          </w:p>
        </w:tc>
      </w:tr>
      <w:tr w:rsidR="00E1239B" w:rsidRPr="00FD589E" w14:paraId="4827B726" w14:textId="77777777" w:rsidTr="00FD589E">
        <w:trPr>
          <w:trHeight w:val="384"/>
        </w:trPr>
        <w:tc>
          <w:tcPr>
            <w:tcW w:w="2290" w:type="dxa"/>
            <w:tcBorders>
              <w:top w:val="single" w:sz="8" w:space="0" w:color="000000"/>
              <w:left w:val="single" w:sz="8" w:space="0" w:color="000000"/>
              <w:bottom w:val="single" w:sz="8" w:space="0" w:color="000000"/>
              <w:right w:val="single" w:sz="8" w:space="0" w:color="000000"/>
            </w:tcBorders>
            <w:shd w:val="clear" w:color="auto" w:fill="auto"/>
          </w:tcPr>
          <w:p w14:paraId="4827B723" w14:textId="297FAB54" w:rsidR="00E1239B" w:rsidRPr="00FD589E" w:rsidRDefault="00E1239B" w:rsidP="00E1239B">
            <w:pPr>
              <w:snapToGrid w:val="0"/>
              <w:spacing w:before="0"/>
              <w:ind w:right="50"/>
              <w:jc w:val="center"/>
              <w:rPr>
                <w:rFonts w:cstheme="minorHAnsi"/>
                <w:sz w:val="22"/>
              </w:rPr>
            </w:pPr>
            <w:r w:rsidRPr="004274E8">
              <w:rPr>
                <w:rFonts w:cs="Calibri" w:hint="eastAsia"/>
                <w:b/>
                <w:sz w:val="22"/>
              </w:rPr>
              <w:t>2020</w:t>
            </w:r>
            <w:r w:rsidRPr="004274E8">
              <w:rPr>
                <w:rFonts w:cs="Calibri" w:hint="eastAsia"/>
                <w:b/>
                <w:sz w:val="22"/>
              </w:rPr>
              <w:t>年</w:t>
            </w:r>
            <w:r w:rsidRPr="004274E8">
              <w:rPr>
                <w:rFonts w:cs="Calibri" w:hint="eastAsia"/>
                <w:b/>
                <w:sz w:val="22"/>
              </w:rPr>
              <w:t>11</w:t>
            </w:r>
            <w:r w:rsidRPr="004274E8">
              <w:rPr>
                <w:rFonts w:cs="Calibri" w:hint="eastAsia"/>
                <w:b/>
                <w:sz w:val="22"/>
              </w:rPr>
              <w:t>月</w:t>
            </w:r>
            <w:r w:rsidRPr="004274E8">
              <w:rPr>
                <w:rFonts w:cs="Calibri" w:hint="eastAsia"/>
                <w:b/>
                <w:sz w:val="22"/>
              </w:rPr>
              <w:t>1</w:t>
            </w:r>
            <w:r w:rsidRPr="004274E8">
              <w:rPr>
                <w:rFonts w:cs="Calibri" w:hint="eastAsia"/>
                <w:b/>
                <w:sz w:val="22"/>
              </w:rPr>
              <w:t>日</w:t>
            </w:r>
          </w:p>
        </w:tc>
        <w:tc>
          <w:tcPr>
            <w:tcW w:w="6844" w:type="dxa"/>
            <w:tcBorders>
              <w:top w:val="single" w:sz="8" w:space="0" w:color="000000"/>
              <w:left w:val="single" w:sz="8" w:space="0" w:color="000000"/>
              <w:bottom w:val="single" w:sz="8" w:space="0" w:color="000000"/>
              <w:right w:val="single" w:sz="8" w:space="0" w:color="000000"/>
            </w:tcBorders>
            <w:shd w:val="clear" w:color="auto" w:fill="auto"/>
          </w:tcPr>
          <w:p w14:paraId="4827B725" w14:textId="21DC7A60" w:rsidR="00E1239B" w:rsidRPr="00FD589E" w:rsidRDefault="00E1239B" w:rsidP="00E1239B">
            <w:pPr>
              <w:snapToGrid w:val="0"/>
              <w:spacing w:before="0"/>
              <w:rPr>
                <w:rFonts w:cstheme="minorHAnsi"/>
                <w:sz w:val="22"/>
                <w:lang w:eastAsia="zh-CN"/>
              </w:rPr>
            </w:pPr>
            <w:r w:rsidRPr="004274E8">
              <w:rPr>
                <w:rFonts w:cs="Calibri" w:hint="eastAsia"/>
                <w:sz w:val="22"/>
                <w:lang w:eastAsia="zh-CN"/>
              </w:rPr>
              <w:t>秘书长报告草案第四稿将在网上公布，其中包括可能的意见（</w:t>
            </w:r>
            <w:r w:rsidRPr="004274E8">
              <w:rPr>
                <w:rFonts w:cs="Calibri"/>
                <w:sz w:val="22"/>
                <w:lang w:eastAsia="zh-CN"/>
              </w:rPr>
              <w:t>Opinions</w:t>
            </w:r>
            <w:r w:rsidRPr="004274E8">
              <w:rPr>
                <w:rFonts w:cs="Calibri" w:hint="eastAsia"/>
                <w:sz w:val="22"/>
                <w:lang w:eastAsia="zh-CN"/>
              </w:rPr>
              <w:t>）草案，并已纳入</w:t>
            </w:r>
            <w:r w:rsidRPr="004274E8">
              <w:rPr>
                <w:rFonts w:cs="Calibri" w:hint="eastAsia"/>
                <w:sz w:val="22"/>
                <w:lang w:eastAsia="zh-CN"/>
              </w:rPr>
              <w:t>IEG</w:t>
            </w:r>
            <w:r w:rsidRPr="004274E8">
              <w:rPr>
                <w:rFonts w:cs="Calibri" w:hint="eastAsia"/>
                <w:sz w:val="22"/>
                <w:lang w:eastAsia="zh-CN"/>
              </w:rPr>
              <w:t>第三次会议的讨论内容</w:t>
            </w:r>
          </w:p>
        </w:tc>
      </w:tr>
      <w:tr w:rsidR="00E1239B" w:rsidRPr="00FD589E" w14:paraId="4827B729" w14:textId="77777777" w:rsidTr="00FD589E">
        <w:trPr>
          <w:trHeight w:val="384"/>
        </w:trPr>
        <w:tc>
          <w:tcPr>
            <w:tcW w:w="2290" w:type="dxa"/>
            <w:tcBorders>
              <w:top w:val="single" w:sz="8" w:space="0" w:color="000000"/>
              <w:left w:val="single" w:sz="8" w:space="0" w:color="000000"/>
              <w:bottom w:val="single" w:sz="8" w:space="0" w:color="000000"/>
              <w:right w:val="single" w:sz="8" w:space="0" w:color="000000"/>
            </w:tcBorders>
            <w:shd w:val="clear" w:color="auto" w:fill="auto"/>
          </w:tcPr>
          <w:p w14:paraId="4827B727" w14:textId="60B878F0" w:rsidR="00E1239B" w:rsidRPr="00FD589E" w:rsidRDefault="00E1239B" w:rsidP="00E1239B">
            <w:pPr>
              <w:snapToGrid w:val="0"/>
              <w:spacing w:before="0"/>
              <w:ind w:right="51"/>
              <w:jc w:val="center"/>
              <w:rPr>
                <w:rFonts w:cstheme="minorHAnsi"/>
                <w:sz w:val="22"/>
              </w:rPr>
            </w:pPr>
            <w:r w:rsidRPr="004274E8">
              <w:rPr>
                <w:rFonts w:cs="Calibri" w:hint="eastAsia"/>
                <w:b/>
                <w:sz w:val="22"/>
              </w:rPr>
              <w:lastRenderedPageBreak/>
              <w:t>2020</w:t>
            </w:r>
            <w:r w:rsidRPr="004274E8">
              <w:rPr>
                <w:rFonts w:cs="Calibri" w:hint="eastAsia"/>
                <w:b/>
                <w:sz w:val="22"/>
              </w:rPr>
              <w:t>年</w:t>
            </w:r>
            <w:r w:rsidRPr="004274E8">
              <w:rPr>
                <w:rFonts w:cs="Calibri" w:hint="eastAsia"/>
                <w:b/>
                <w:sz w:val="22"/>
              </w:rPr>
              <w:t>12</w:t>
            </w:r>
            <w:r w:rsidRPr="004274E8">
              <w:rPr>
                <w:rFonts w:cs="Calibri" w:hint="eastAsia"/>
                <w:b/>
                <w:sz w:val="22"/>
              </w:rPr>
              <w:t>月</w:t>
            </w:r>
            <w:r w:rsidRPr="004274E8">
              <w:rPr>
                <w:rFonts w:cs="Calibri" w:hint="eastAsia"/>
                <w:b/>
                <w:sz w:val="22"/>
              </w:rPr>
              <w:t>23</w:t>
            </w:r>
            <w:r w:rsidRPr="004274E8">
              <w:rPr>
                <w:rFonts w:cs="Calibri" w:hint="eastAsia"/>
                <w:b/>
                <w:sz w:val="22"/>
              </w:rPr>
              <w:t>日</w:t>
            </w:r>
          </w:p>
        </w:tc>
        <w:tc>
          <w:tcPr>
            <w:tcW w:w="6844" w:type="dxa"/>
            <w:tcBorders>
              <w:top w:val="single" w:sz="8" w:space="0" w:color="000000"/>
              <w:left w:val="single" w:sz="8" w:space="0" w:color="000000"/>
              <w:bottom w:val="single" w:sz="8" w:space="0" w:color="000000"/>
              <w:right w:val="single" w:sz="8" w:space="0" w:color="000000"/>
            </w:tcBorders>
            <w:shd w:val="clear" w:color="auto" w:fill="auto"/>
          </w:tcPr>
          <w:p w14:paraId="4827B728" w14:textId="640765AC" w:rsidR="00E1239B" w:rsidRPr="00FD589E" w:rsidRDefault="00E1239B" w:rsidP="00E1239B">
            <w:pPr>
              <w:snapToGrid w:val="0"/>
              <w:spacing w:before="0"/>
              <w:rPr>
                <w:rFonts w:cstheme="minorHAnsi"/>
                <w:sz w:val="22"/>
                <w:lang w:eastAsia="zh-CN"/>
              </w:rPr>
            </w:pPr>
            <w:r w:rsidRPr="004274E8">
              <w:rPr>
                <w:rFonts w:cs="Calibri" w:hint="eastAsia"/>
                <w:sz w:val="22"/>
                <w:lang w:eastAsia="zh-CN"/>
              </w:rPr>
              <w:t>接收有关草案第四稿的评论的截止日期</w:t>
            </w:r>
          </w:p>
        </w:tc>
      </w:tr>
      <w:tr w:rsidR="00E1239B" w:rsidRPr="00FD589E" w14:paraId="4827B72C" w14:textId="77777777" w:rsidTr="00FD589E">
        <w:trPr>
          <w:trHeight w:val="384"/>
        </w:trPr>
        <w:tc>
          <w:tcPr>
            <w:tcW w:w="2290" w:type="dxa"/>
            <w:tcBorders>
              <w:top w:val="single" w:sz="8" w:space="0" w:color="000000"/>
              <w:left w:val="single" w:sz="8" w:space="0" w:color="000000"/>
              <w:bottom w:val="single" w:sz="8" w:space="0" w:color="000000"/>
              <w:right w:val="single" w:sz="8" w:space="0" w:color="000000"/>
            </w:tcBorders>
            <w:shd w:val="clear" w:color="auto" w:fill="auto"/>
          </w:tcPr>
          <w:p w14:paraId="4827B72A" w14:textId="0E6BCCE3" w:rsidR="00E1239B" w:rsidRPr="00FD589E" w:rsidRDefault="00E1239B" w:rsidP="00E1239B">
            <w:pPr>
              <w:snapToGrid w:val="0"/>
              <w:spacing w:before="0"/>
              <w:jc w:val="center"/>
              <w:rPr>
                <w:rFonts w:cstheme="minorHAnsi"/>
                <w:sz w:val="22"/>
                <w:lang w:eastAsia="zh-CN"/>
              </w:rPr>
            </w:pPr>
            <w:r w:rsidRPr="004274E8">
              <w:rPr>
                <w:rFonts w:cs="Calibri" w:hint="eastAsia"/>
                <w:b/>
                <w:sz w:val="22"/>
                <w:lang w:eastAsia="zh-CN"/>
              </w:rPr>
              <w:t>IEG</w:t>
            </w:r>
            <w:r w:rsidRPr="004274E8">
              <w:rPr>
                <w:rFonts w:cs="Calibri" w:hint="eastAsia"/>
                <w:b/>
                <w:sz w:val="22"/>
                <w:lang w:eastAsia="zh-CN"/>
              </w:rPr>
              <w:t>第</w:t>
            </w:r>
            <w:r w:rsidRPr="004274E8">
              <w:rPr>
                <w:rFonts w:cs="Calibri" w:hint="eastAsia"/>
                <w:b/>
                <w:sz w:val="22"/>
                <w:lang w:eastAsia="zh-CN"/>
              </w:rPr>
              <w:t>4</w:t>
            </w:r>
            <w:r w:rsidRPr="004274E8">
              <w:rPr>
                <w:rFonts w:cs="Calibri" w:hint="eastAsia"/>
                <w:b/>
                <w:sz w:val="22"/>
                <w:lang w:eastAsia="zh-CN"/>
              </w:rPr>
              <w:t>次虚拟会议（</w:t>
            </w:r>
            <w:r w:rsidRPr="004274E8">
              <w:rPr>
                <w:rFonts w:cs="Calibri" w:hint="eastAsia"/>
                <w:b/>
                <w:sz w:val="22"/>
                <w:lang w:eastAsia="zh-CN"/>
              </w:rPr>
              <w:t>2021</w:t>
            </w:r>
            <w:r w:rsidRPr="004274E8">
              <w:rPr>
                <w:rFonts w:cs="Calibri" w:hint="eastAsia"/>
                <w:b/>
                <w:sz w:val="22"/>
                <w:lang w:eastAsia="zh-CN"/>
              </w:rPr>
              <w:t>年</w:t>
            </w:r>
            <w:r w:rsidRPr="004274E8">
              <w:rPr>
                <w:rFonts w:cs="Calibri" w:hint="eastAsia"/>
                <w:b/>
                <w:sz w:val="22"/>
                <w:lang w:eastAsia="zh-CN"/>
              </w:rPr>
              <w:t>1</w:t>
            </w:r>
            <w:r w:rsidRPr="004274E8">
              <w:rPr>
                <w:rFonts w:cs="Calibri" w:hint="eastAsia"/>
                <w:b/>
                <w:sz w:val="22"/>
                <w:lang w:eastAsia="zh-CN"/>
              </w:rPr>
              <w:t>月</w:t>
            </w:r>
            <w:r>
              <w:rPr>
                <w:rFonts w:cs="Calibri" w:hint="eastAsia"/>
                <w:b/>
                <w:sz w:val="22"/>
                <w:lang w:eastAsia="zh-CN"/>
              </w:rPr>
              <w:t>-</w:t>
            </w:r>
            <w:r w:rsidRPr="004274E8">
              <w:rPr>
                <w:rFonts w:cs="Calibri" w:hint="eastAsia"/>
                <w:b/>
                <w:sz w:val="22"/>
                <w:lang w:eastAsia="zh-CN"/>
              </w:rPr>
              <w:t>2</w:t>
            </w:r>
            <w:r w:rsidRPr="004274E8">
              <w:rPr>
                <w:rFonts w:cs="Calibri" w:hint="eastAsia"/>
                <w:b/>
                <w:sz w:val="22"/>
                <w:lang w:eastAsia="zh-CN"/>
              </w:rPr>
              <w:t>月，在集中召开的理事会工作组会议期间召开）</w:t>
            </w:r>
          </w:p>
        </w:tc>
        <w:tc>
          <w:tcPr>
            <w:tcW w:w="6844" w:type="dxa"/>
            <w:tcBorders>
              <w:top w:val="single" w:sz="8" w:space="0" w:color="000000"/>
              <w:left w:val="single" w:sz="8" w:space="0" w:color="000000"/>
              <w:bottom w:val="single" w:sz="8" w:space="0" w:color="000000"/>
              <w:right w:val="single" w:sz="8" w:space="0" w:color="000000"/>
            </w:tcBorders>
            <w:shd w:val="clear" w:color="auto" w:fill="auto"/>
          </w:tcPr>
          <w:p w14:paraId="4827B72B" w14:textId="08BD5D44" w:rsidR="00E1239B" w:rsidRPr="00FD589E" w:rsidRDefault="00E1239B" w:rsidP="00E1239B">
            <w:pPr>
              <w:snapToGrid w:val="0"/>
              <w:spacing w:before="0"/>
              <w:rPr>
                <w:rFonts w:cstheme="minorHAnsi"/>
                <w:sz w:val="22"/>
                <w:lang w:eastAsia="zh-CN"/>
              </w:rPr>
            </w:pPr>
            <w:r w:rsidRPr="004274E8">
              <w:rPr>
                <w:rFonts w:cs="Calibri" w:hint="eastAsia"/>
                <w:sz w:val="22"/>
                <w:lang w:eastAsia="zh-CN"/>
              </w:rPr>
              <w:t>专家组第四次会议，讨论秘书长报告草案第四稿，其中包括可能的意见（</w:t>
            </w:r>
            <w:r w:rsidRPr="004274E8">
              <w:rPr>
                <w:rFonts w:cs="Calibri"/>
                <w:sz w:val="22"/>
                <w:lang w:eastAsia="zh-CN"/>
              </w:rPr>
              <w:t>Opinions</w:t>
            </w:r>
            <w:r w:rsidRPr="004274E8">
              <w:rPr>
                <w:rFonts w:cs="Calibri" w:hint="eastAsia"/>
                <w:sz w:val="22"/>
                <w:lang w:eastAsia="zh-CN"/>
              </w:rPr>
              <w:t>）草案，以及所收到的评论</w:t>
            </w:r>
          </w:p>
        </w:tc>
      </w:tr>
      <w:tr w:rsidR="00E1239B" w:rsidRPr="00FD589E" w14:paraId="4827B72F" w14:textId="77777777" w:rsidTr="00FD589E">
        <w:trPr>
          <w:trHeight w:val="490"/>
        </w:trPr>
        <w:tc>
          <w:tcPr>
            <w:tcW w:w="2290" w:type="dxa"/>
            <w:tcBorders>
              <w:top w:val="single" w:sz="8" w:space="0" w:color="000000"/>
              <w:left w:val="single" w:sz="8" w:space="0" w:color="000000"/>
              <w:bottom w:val="single" w:sz="8" w:space="0" w:color="000000"/>
              <w:right w:val="single" w:sz="8" w:space="0" w:color="000000"/>
            </w:tcBorders>
            <w:shd w:val="clear" w:color="auto" w:fill="auto"/>
          </w:tcPr>
          <w:p w14:paraId="4827B72D" w14:textId="670C1E70" w:rsidR="00E1239B" w:rsidRPr="00FD589E" w:rsidRDefault="00E1239B" w:rsidP="00E1239B">
            <w:pPr>
              <w:snapToGrid w:val="0"/>
              <w:spacing w:before="0"/>
              <w:ind w:right="50"/>
              <w:jc w:val="center"/>
              <w:rPr>
                <w:rFonts w:cstheme="minorHAnsi"/>
                <w:sz w:val="22"/>
              </w:rPr>
            </w:pPr>
            <w:r w:rsidRPr="004274E8">
              <w:rPr>
                <w:rFonts w:cs="Calibri" w:hint="eastAsia"/>
                <w:b/>
                <w:sz w:val="22"/>
              </w:rPr>
              <w:t>2021</w:t>
            </w:r>
            <w:r w:rsidRPr="004274E8">
              <w:rPr>
                <w:rFonts w:cs="Calibri" w:hint="eastAsia"/>
                <w:b/>
                <w:sz w:val="22"/>
              </w:rPr>
              <w:t>年</w:t>
            </w:r>
            <w:r w:rsidRPr="004274E8">
              <w:rPr>
                <w:rFonts w:cs="Calibri" w:hint="eastAsia"/>
                <w:b/>
                <w:sz w:val="22"/>
              </w:rPr>
              <w:t>3</w:t>
            </w:r>
            <w:r w:rsidRPr="004274E8">
              <w:rPr>
                <w:rFonts w:cs="Calibri" w:hint="eastAsia"/>
                <w:b/>
                <w:sz w:val="22"/>
              </w:rPr>
              <w:t>月</w:t>
            </w:r>
            <w:r w:rsidRPr="004274E8">
              <w:rPr>
                <w:rFonts w:cs="Calibri" w:hint="eastAsia"/>
                <w:b/>
                <w:sz w:val="22"/>
              </w:rPr>
              <w:t>15</w:t>
            </w:r>
            <w:r w:rsidRPr="004274E8">
              <w:rPr>
                <w:rFonts w:cs="Calibri" w:hint="eastAsia"/>
                <w:b/>
                <w:sz w:val="22"/>
              </w:rPr>
              <w:t>日</w:t>
            </w:r>
          </w:p>
        </w:tc>
        <w:tc>
          <w:tcPr>
            <w:tcW w:w="6844" w:type="dxa"/>
            <w:tcBorders>
              <w:top w:val="single" w:sz="8" w:space="0" w:color="000000"/>
              <w:left w:val="single" w:sz="8" w:space="0" w:color="000000"/>
              <w:bottom w:val="single" w:sz="8" w:space="0" w:color="000000"/>
              <w:right w:val="single" w:sz="8" w:space="0" w:color="000000"/>
            </w:tcBorders>
            <w:shd w:val="clear" w:color="auto" w:fill="auto"/>
          </w:tcPr>
          <w:p w14:paraId="1CDE9810" w14:textId="77777777" w:rsidR="00E1239B" w:rsidRPr="004274E8" w:rsidRDefault="00E1239B" w:rsidP="00E1239B">
            <w:pPr>
              <w:rPr>
                <w:rFonts w:cs="Calibri"/>
                <w:sz w:val="22"/>
                <w:lang w:eastAsia="zh-CN"/>
              </w:rPr>
            </w:pPr>
            <w:r w:rsidRPr="004274E8">
              <w:rPr>
                <w:rFonts w:cs="Calibri" w:hint="eastAsia"/>
                <w:sz w:val="22"/>
                <w:lang w:eastAsia="zh-CN"/>
              </w:rPr>
              <w:t>秘书长最后报告草案第五稿将在网上公布，其中纳入</w:t>
            </w:r>
            <w:r w:rsidRPr="004274E8">
              <w:rPr>
                <w:rFonts w:cs="Calibri"/>
                <w:bCs/>
                <w:sz w:val="22"/>
                <w:lang w:eastAsia="zh-CN"/>
              </w:rPr>
              <w:t>IEG</w:t>
            </w:r>
            <w:r w:rsidRPr="004274E8">
              <w:rPr>
                <w:rFonts w:cs="Calibri" w:hint="eastAsia"/>
                <w:bCs/>
                <w:sz w:val="22"/>
                <w:lang w:eastAsia="zh-CN"/>
              </w:rPr>
              <w:t>第</w:t>
            </w:r>
            <w:r w:rsidRPr="004274E8">
              <w:rPr>
                <w:rFonts w:cs="Calibri" w:hint="eastAsia"/>
                <w:bCs/>
                <w:sz w:val="22"/>
                <w:lang w:eastAsia="zh-CN"/>
              </w:rPr>
              <w:t>4</w:t>
            </w:r>
            <w:r w:rsidRPr="004274E8">
              <w:rPr>
                <w:rFonts w:cs="Calibri" w:hint="eastAsia"/>
                <w:bCs/>
                <w:sz w:val="22"/>
                <w:lang w:eastAsia="zh-CN"/>
              </w:rPr>
              <w:t>次会议的讨论内容，并且</w:t>
            </w:r>
            <w:r w:rsidRPr="004274E8">
              <w:rPr>
                <w:rFonts w:cs="Calibri" w:hint="eastAsia"/>
                <w:sz w:val="22"/>
                <w:lang w:eastAsia="zh-CN"/>
              </w:rPr>
              <w:t>包括可能的意见（</w:t>
            </w:r>
            <w:r w:rsidRPr="004274E8">
              <w:rPr>
                <w:rFonts w:cs="Calibri"/>
                <w:sz w:val="22"/>
                <w:lang w:eastAsia="zh-CN"/>
              </w:rPr>
              <w:t>Opinions</w:t>
            </w:r>
            <w:r w:rsidRPr="004274E8">
              <w:rPr>
                <w:rFonts w:cs="Calibri" w:hint="eastAsia"/>
                <w:sz w:val="22"/>
                <w:lang w:eastAsia="zh-CN"/>
              </w:rPr>
              <w:t>）草案案文作为附件。</w:t>
            </w:r>
          </w:p>
          <w:p w14:paraId="4827B72E" w14:textId="227C6898" w:rsidR="00E1239B" w:rsidRPr="00FD589E" w:rsidRDefault="00E1239B" w:rsidP="00E1239B">
            <w:pPr>
              <w:snapToGrid w:val="0"/>
              <w:spacing w:before="0"/>
              <w:rPr>
                <w:rFonts w:cstheme="minorHAnsi"/>
                <w:sz w:val="22"/>
                <w:lang w:eastAsia="zh-CN"/>
              </w:rPr>
            </w:pPr>
            <w:r w:rsidRPr="004274E8">
              <w:rPr>
                <w:rFonts w:cs="Calibri" w:hint="eastAsia"/>
                <w:sz w:val="22"/>
                <w:lang w:eastAsia="zh-CN"/>
              </w:rPr>
              <w:t>此草案亦将在线提供，以便进行公开公众磋商</w:t>
            </w:r>
          </w:p>
        </w:tc>
      </w:tr>
      <w:tr w:rsidR="00E1239B" w:rsidRPr="00FD589E" w14:paraId="4827B732" w14:textId="77777777" w:rsidTr="00FD589E">
        <w:trPr>
          <w:trHeight w:val="872"/>
        </w:trPr>
        <w:tc>
          <w:tcPr>
            <w:tcW w:w="2290" w:type="dxa"/>
            <w:tcBorders>
              <w:top w:val="single" w:sz="8" w:space="0" w:color="000000"/>
              <w:left w:val="single" w:sz="8" w:space="0" w:color="000000"/>
              <w:bottom w:val="single" w:sz="8" w:space="0" w:color="000000"/>
              <w:right w:val="single" w:sz="8" w:space="0" w:color="000000"/>
            </w:tcBorders>
            <w:shd w:val="clear" w:color="auto" w:fill="auto"/>
          </w:tcPr>
          <w:p w14:paraId="4827B730" w14:textId="4134A5F9" w:rsidR="00E1239B" w:rsidRPr="00FD589E" w:rsidRDefault="00E1239B" w:rsidP="00E1239B">
            <w:pPr>
              <w:snapToGrid w:val="0"/>
              <w:spacing w:before="0"/>
              <w:ind w:right="50"/>
              <w:jc w:val="center"/>
              <w:rPr>
                <w:rFonts w:cstheme="minorHAnsi"/>
                <w:b/>
                <w:sz w:val="22"/>
                <w:lang w:eastAsia="zh-CN"/>
              </w:rPr>
            </w:pPr>
            <w:r w:rsidRPr="004274E8">
              <w:rPr>
                <w:rFonts w:cs="Calibri" w:hint="eastAsia"/>
                <w:b/>
                <w:sz w:val="22"/>
                <w:lang w:eastAsia="zh-CN"/>
              </w:rPr>
              <w:t>2021</w:t>
            </w:r>
            <w:r w:rsidRPr="004274E8">
              <w:rPr>
                <w:rFonts w:cs="Calibri" w:hint="eastAsia"/>
                <w:b/>
                <w:sz w:val="22"/>
                <w:lang w:eastAsia="zh-CN"/>
              </w:rPr>
              <w:t>年</w:t>
            </w:r>
            <w:r w:rsidRPr="004274E8">
              <w:rPr>
                <w:rFonts w:cs="Calibri"/>
                <w:b/>
                <w:sz w:val="22"/>
                <w:lang w:eastAsia="zh-CN"/>
              </w:rPr>
              <w:t>5</w:t>
            </w:r>
            <w:r w:rsidRPr="004274E8">
              <w:rPr>
                <w:rFonts w:cs="Calibri" w:hint="eastAsia"/>
                <w:b/>
                <w:sz w:val="22"/>
                <w:lang w:eastAsia="zh-CN"/>
              </w:rPr>
              <w:t>月</w:t>
            </w:r>
            <w:r w:rsidRPr="004274E8">
              <w:rPr>
                <w:rFonts w:cs="Calibri" w:hint="eastAsia"/>
                <w:b/>
                <w:sz w:val="22"/>
                <w:lang w:eastAsia="zh-CN"/>
              </w:rPr>
              <w:t>1</w:t>
            </w:r>
            <w:r w:rsidRPr="004274E8">
              <w:rPr>
                <w:rFonts w:cs="Calibri" w:hint="eastAsia"/>
                <w:b/>
                <w:sz w:val="22"/>
                <w:lang w:eastAsia="zh-CN"/>
              </w:rPr>
              <w:t>日</w:t>
            </w:r>
          </w:p>
        </w:tc>
        <w:tc>
          <w:tcPr>
            <w:tcW w:w="6844" w:type="dxa"/>
            <w:tcBorders>
              <w:top w:val="single" w:sz="8" w:space="0" w:color="000000"/>
              <w:left w:val="single" w:sz="8" w:space="0" w:color="000000"/>
              <w:bottom w:val="single" w:sz="8" w:space="0" w:color="000000"/>
              <w:right w:val="single" w:sz="8" w:space="0" w:color="000000"/>
            </w:tcBorders>
            <w:shd w:val="clear" w:color="auto" w:fill="auto"/>
          </w:tcPr>
          <w:p w14:paraId="182D15DF" w14:textId="77777777" w:rsidR="00E1239B" w:rsidRPr="004274E8" w:rsidRDefault="00E1239B" w:rsidP="00E1239B">
            <w:pPr>
              <w:spacing w:before="100" w:after="100"/>
              <w:rPr>
                <w:rFonts w:cs="Calibri"/>
                <w:spacing w:val="-2"/>
                <w:sz w:val="22"/>
                <w:lang w:eastAsia="zh-CN"/>
              </w:rPr>
            </w:pPr>
            <w:r w:rsidRPr="004274E8">
              <w:rPr>
                <w:rFonts w:cs="Calibri" w:hint="eastAsia"/>
                <w:spacing w:val="-2"/>
                <w:sz w:val="22"/>
                <w:lang w:eastAsia="zh-CN"/>
              </w:rPr>
              <w:t>接收关于第五稿草案的评论（包括可能的意见草案）的截止日期</w:t>
            </w:r>
          </w:p>
          <w:p w14:paraId="4827B731" w14:textId="14ACD66B" w:rsidR="00E1239B" w:rsidRPr="00FD589E" w:rsidRDefault="00E1239B" w:rsidP="00E1239B">
            <w:pPr>
              <w:snapToGrid w:val="0"/>
              <w:spacing w:before="0"/>
              <w:rPr>
                <w:rFonts w:cstheme="minorHAnsi"/>
                <w:sz w:val="22"/>
                <w:highlight w:val="lightGray"/>
                <w:lang w:eastAsia="zh-CN"/>
              </w:rPr>
            </w:pPr>
            <w:r w:rsidRPr="004274E8">
              <w:rPr>
                <w:rFonts w:cs="Calibri" w:hint="eastAsia"/>
                <w:spacing w:val="-2"/>
                <w:sz w:val="22"/>
                <w:lang w:eastAsia="zh-CN"/>
              </w:rPr>
              <w:t>接收公开公众磋商评论的截止日期</w:t>
            </w:r>
          </w:p>
        </w:tc>
      </w:tr>
      <w:tr w:rsidR="00E1239B" w:rsidRPr="00FD589E" w14:paraId="2FC287C9" w14:textId="77777777" w:rsidTr="00FD589E">
        <w:trPr>
          <w:trHeight w:val="872"/>
        </w:trPr>
        <w:tc>
          <w:tcPr>
            <w:tcW w:w="2290" w:type="dxa"/>
            <w:tcBorders>
              <w:top w:val="single" w:sz="8" w:space="0" w:color="000000"/>
              <w:left w:val="single" w:sz="8" w:space="0" w:color="000000"/>
              <w:bottom w:val="single" w:sz="8" w:space="0" w:color="000000"/>
              <w:right w:val="single" w:sz="8" w:space="0" w:color="000000"/>
            </w:tcBorders>
            <w:shd w:val="clear" w:color="auto" w:fill="auto"/>
          </w:tcPr>
          <w:p w14:paraId="19AC9748" w14:textId="45AA8882" w:rsidR="00E1239B" w:rsidRPr="00FD589E" w:rsidRDefault="00E1239B" w:rsidP="00E1239B">
            <w:pPr>
              <w:snapToGrid w:val="0"/>
              <w:spacing w:before="0"/>
              <w:ind w:right="50"/>
              <w:jc w:val="center"/>
              <w:rPr>
                <w:rFonts w:cstheme="minorHAnsi"/>
                <w:b/>
                <w:sz w:val="22"/>
                <w:lang w:eastAsia="zh-CN"/>
              </w:rPr>
            </w:pPr>
            <w:r w:rsidRPr="004274E8">
              <w:rPr>
                <w:rFonts w:cs="Calibri" w:hint="eastAsia"/>
                <w:b/>
                <w:sz w:val="22"/>
                <w:lang w:eastAsia="zh-CN"/>
              </w:rPr>
              <w:t>IEG</w:t>
            </w:r>
            <w:r w:rsidRPr="004274E8">
              <w:rPr>
                <w:rFonts w:cs="Calibri" w:hint="eastAsia"/>
                <w:b/>
                <w:sz w:val="22"/>
                <w:lang w:eastAsia="zh-CN"/>
              </w:rPr>
              <w:t>第</w:t>
            </w:r>
            <w:r w:rsidRPr="004274E8">
              <w:rPr>
                <w:rFonts w:cs="Calibri" w:hint="eastAsia"/>
                <w:b/>
                <w:sz w:val="22"/>
                <w:lang w:eastAsia="zh-CN"/>
              </w:rPr>
              <w:t>5</w:t>
            </w:r>
            <w:r w:rsidRPr="004274E8">
              <w:rPr>
                <w:rFonts w:cs="Calibri" w:hint="eastAsia"/>
                <w:b/>
                <w:sz w:val="22"/>
                <w:lang w:eastAsia="zh-CN"/>
              </w:rPr>
              <w:t>次虚拟会议（</w:t>
            </w:r>
            <w:r w:rsidRPr="004274E8">
              <w:rPr>
                <w:rFonts w:cs="Calibri" w:hint="eastAsia"/>
                <w:b/>
                <w:sz w:val="22"/>
                <w:lang w:eastAsia="zh-CN"/>
              </w:rPr>
              <w:t>2021</w:t>
            </w:r>
            <w:r w:rsidRPr="004274E8">
              <w:rPr>
                <w:rFonts w:cs="Calibri" w:hint="eastAsia"/>
                <w:b/>
                <w:sz w:val="22"/>
                <w:lang w:eastAsia="zh-CN"/>
              </w:rPr>
              <w:t>年</w:t>
            </w:r>
            <w:r w:rsidRPr="004274E8">
              <w:rPr>
                <w:rFonts w:cs="Calibri" w:hint="eastAsia"/>
                <w:b/>
                <w:sz w:val="22"/>
                <w:lang w:eastAsia="zh-CN"/>
              </w:rPr>
              <w:t>5</w:t>
            </w:r>
            <w:r w:rsidRPr="004274E8">
              <w:rPr>
                <w:rFonts w:cs="Calibri" w:hint="eastAsia"/>
                <w:b/>
                <w:sz w:val="22"/>
                <w:lang w:eastAsia="zh-CN"/>
              </w:rPr>
              <w:t>月中旬，接近</w:t>
            </w:r>
            <w:r w:rsidRPr="004274E8">
              <w:rPr>
                <w:rFonts w:cs="Calibri" w:hint="eastAsia"/>
                <w:b/>
                <w:sz w:val="22"/>
                <w:lang w:eastAsia="zh-CN"/>
              </w:rPr>
              <w:t>2021</w:t>
            </w:r>
            <w:r w:rsidRPr="004274E8">
              <w:rPr>
                <w:rFonts w:cs="Calibri" w:hint="eastAsia"/>
                <w:b/>
                <w:sz w:val="22"/>
                <w:lang w:eastAsia="zh-CN"/>
              </w:rPr>
              <w:t>年</w:t>
            </w:r>
            <w:r w:rsidRPr="004274E8">
              <w:rPr>
                <w:rFonts w:cs="Calibri" w:hint="eastAsia"/>
                <w:b/>
                <w:sz w:val="22"/>
                <w:lang w:eastAsia="zh-CN"/>
              </w:rPr>
              <w:t>WSIS</w:t>
            </w:r>
            <w:r w:rsidRPr="004274E8">
              <w:rPr>
                <w:rFonts w:cs="Calibri" w:hint="eastAsia"/>
                <w:b/>
                <w:sz w:val="22"/>
                <w:lang w:eastAsia="zh-CN"/>
              </w:rPr>
              <w:t>论坛阶段召开）</w:t>
            </w:r>
          </w:p>
        </w:tc>
        <w:tc>
          <w:tcPr>
            <w:tcW w:w="6844" w:type="dxa"/>
            <w:tcBorders>
              <w:top w:val="single" w:sz="8" w:space="0" w:color="000000"/>
              <w:left w:val="single" w:sz="8" w:space="0" w:color="000000"/>
              <w:bottom w:val="single" w:sz="8" w:space="0" w:color="000000"/>
              <w:right w:val="single" w:sz="8" w:space="0" w:color="000000"/>
            </w:tcBorders>
            <w:shd w:val="clear" w:color="auto" w:fill="auto"/>
          </w:tcPr>
          <w:p w14:paraId="0D34703D" w14:textId="3A43C190" w:rsidR="00E1239B" w:rsidRPr="00FD589E" w:rsidRDefault="00E1239B" w:rsidP="00E1239B">
            <w:pPr>
              <w:snapToGrid w:val="0"/>
              <w:spacing w:before="0"/>
              <w:rPr>
                <w:rFonts w:cstheme="minorHAnsi"/>
                <w:sz w:val="22"/>
                <w:lang w:eastAsia="zh-CN"/>
              </w:rPr>
            </w:pPr>
            <w:r w:rsidRPr="004274E8">
              <w:rPr>
                <w:rFonts w:cs="Calibri" w:hint="eastAsia"/>
                <w:sz w:val="22"/>
                <w:lang w:eastAsia="zh-CN"/>
              </w:rPr>
              <w:t>专家组第五次会议，讨论秘书长报告草案第五稿以及意见草案和所收到的评论（包括来自</w:t>
            </w:r>
            <w:r w:rsidRPr="004274E8">
              <w:rPr>
                <w:rFonts w:cs="Calibri" w:hint="eastAsia"/>
                <w:spacing w:val="-2"/>
                <w:sz w:val="22"/>
                <w:lang w:eastAsia="zh-CN"/>
              </w:rPr>
              <w:t>公开公众磋商的评论）</w:t>
            </w:r>
          </w:p>
        </w:tc>
      </w:tr>
      <w:tr w:rsidR="00E1239B" w:rsidRPr="00FD589E" w14:paraId="34E2DA31" w14:textId="77777777" w:rsidTr="00FD589E">
        <w:trPr>
          <w:trHeight w:val="872"/>
        </w:trPr>
        <w:tc>
          <w:tcPr>
            <w:tcW w:w="2290" w:type="dxa"/>
            <w:tcBorders>
              <w:top w:val="single" w:sz="8" w:space="0" w:color="000000"/>
              <w:left w:val="single" w:sz="8" w:space="0" w:color="000000"/>
              <w:bottom w:val="single" w:sz="8" w:space="0" w:color="000000"/>
              <w:right w:val="single" w:sz="8" w:space="0" w:color="000000"/>
            </w:tcBorders>
            <w:shd w:val="clear" w:color="auto" w:fill="auto"/>
          </w:tcPr>
          <w:p w14:paraId="54E009A1" w14:textId="54657F16" w:rsidR="00E1239B" w:rsidRPr="00FD589E" w:rsidRDefault="00E1239B" w:rsidP="00E1239B">
            <w:pPr>
              <w:snapToGrid w:val="0"/>
              <w:spacing w:before="0"/>
              <w:ind w:right="50"/>
              <w:jc w:val="center"/>
              <w:rPr>
                <w:rFonts w:cstheme="minorHAnsi"/>
                <w:b/>
                <w:sz w:val="22"/>
                <w:lang w:eastAsia="zh-CN"/>
              </w:rPr>
            </w:pPr>
            <w:r w:rsidRPr="004274E8">
              <w:rPr>
                <w:rFonts w:cs="Calibri" w:hint="eastAsia"/>
                <w:b/>
                <w:bCs/>
                <w:sz w:val="22"/>
                <w:lang w:eastAsia="zh-CN"/>
              </w:rPr>
              <w:t>2021</w:t>
            </w:r>
            <w:r w:rsidRPr="004274E8">
              <w:rPr>
                <w:rFonts w:cs="Calibri" w:hint="eastAsia"/>
                <w:b/>
                <w:bCs/>
                <w:sz w:val="22"/>
                <w:lang w:eastAsia="zh-CN"/>
              </w:rPr>
              <w:t>年</w:t>
            </w:r>
            <w:r w:rsidRPr="004274E8">
              <w:rPr>
                <w:rFonts w:cs="Calibri"/>
                <w:b/>
                <w:bCs/>
                <w:sz w:val="22"/>
                <w:lang w:eastAsia="zh-CN"/>
              </w:rPr>
              <w:t>7</w:t>
            </w:r>
            <w:r w:rsidRPr="004274E8">
              <w:rPr>
                <w:rFonts w:cs="Calibri" w:hint="eastAsia"/>
                <w:b/>
                <w:bCs/>
                <w:sz w:val="22"/>
                <w:lang w:eastAsia="zh-CN"/>
              </w:rPr>
              <w:t>月</w:t>
            </w:r>
            <w:r w:rsidRPr="004274E8">
              <w:rPr>
                <w:rFonts w:cs="Calibri" w:hint="eastAsia"/>
                <w:b/>
                <w:bCs/>
                <w:sz w:val="22"/>
                <w:lang w:eastAsia="zh-CN"/>
              </w:rPr>
              <w:t>1</w:t>
            </w:r>
            <w:r w:rsidRPr="004274E8">
              <w:rPr>
                <w:rFonts w:cs="Calibri" w:hint="eastAsia"/>
                <w:b/>
                <w:bCs/>
                <w:sz w:val="22"/>
                <w:lang w:eastAsia="zh-CN"/>
              </w:rPr>
              <w:t>日</w:t>
            </w:r>
          </w:p>
        </w:tc>
        <w:tc>
          <w:tcPr>
            <w:tcW w:w="6844" w:type="dxa"/>
            <w:tcBorders>
              <w:top w:val="single" w:sz="8" w:space="0" w:color="000000"/>
              <w:left w:val="single" w:sz="8" w:space="0" w:color="000000"/>
              <w:bottom w:val="single" w:sz="8" w:space="0" w:color="000000"/>
              <w:right w:val="single" w:sz="8" w:space="0" w:color="000000"/>
            </w:tcBorders>
            <w:shd w:val="clear" w:color="auto" w:fill="auto"/>
          </w:tcPr>
          <w:p w14:paraId="31DE36A3" w14:textId="54C95DA9" w:rsidR="00E1239B" w:rsidRPr="00FD589E" w:rsidRDefault="00E1239B" w:rsidP="00E1239B">
            <w:pPr>
              <w:snapToGrid w:val="0"/>
              <w:spacing w:before="0"/>
              <w:rPr>
                <w:rFonts w:cstheme="minorHAnsi"/>
                <w:sz w:val="22"/>
                <w:lang w:eastAsia="zh-CN"/>
              </w:rPr>
            </w:pPr>
            <w:r w:rsidRPr="004274E8">
              <w:rPr>
                <w:rFonts w:cs="Calibri" w:hint="eastAsia"/>
                <w:sz w:val="22"/>
                <w:lang w:eastAsia="zh-CN"/>
              </w:rPr>
              <w:t>秘书长报告草案第六稿将在线公布，其中纳入</w:t>
            </w:r>
            <w:r w:rsidRPr="004274E8">
              <w:rPr>
                <w:rFonts w:cs="Calibri" w:hint="eastAsia"/>
                <w:sz w:val="22"/>
                <w:lang w:eastAsia="zh-CN"/>
              </w:rPr>
              <w:t>IEG</w:t>
            </w:r>
            <w:r w:rsidRPr="004274E8">
              <w:rPr>
                <w:rFonts w:cs="Calibri" w:hint="eastAsia"/>
                <w:sz w:val="22"/>
                <w:lang w:eastAsia="zh-CN"/>
              </w:rPr>
              <w:t>第</w:t>
            </w:r>
            <w:r w:rsidRPr="004274E8">
              <w:rPr>
                <w:rFonts w:cs="Calibri" w:hint="eastAsia"/>
                <w:sz w:val="22"/>
                <w:lang w:eastAsia="zh-CN"/>
              </w:rPr>
              <w:t>5</w:t>
            </w:r>
            <w:r w:rsidRPr="004274E8">
              <w:rPr>
                <w:rFonts w:cs="Calibri" w:hint="eastAsia"/>
                <w:sz w:val="22"/>
                <w:lang w:eastAsia="zh-CN"/>
              </w:rPr>
              <w:t>次会议的讨论内容并包括作为附件的可能的意见草案</w:t>
            </w:r>
          </w:p>
        </w:tc>
      </w:tr>
      <w:tr w:rsidR="00E1239B" w:rsidRPr="00FD589E" w14:paraId="35DF3779" w14:textId="77777777" w:rsidTr="00FD589E">
        <w:trPr>
          <w:trHeight w:val="872"/>
        </w:trPr>
        <w:tc>
          <w:tcPr>
            <w:tcW w:w="2290" w:type="dxa"/>
            <w:tcBorders>
              <w:top w:val="single" w:sz="8" w:space="0" w:color="000000"/>
              <w:left w:val="single" w:sz="8" w:space="0" w:color="000000"/>
              <w:bottom w:val="single" w:sz="8" w:space="0" w:color="000000"/>
              <w:right w:val="single" w:sz="8" w:space="0" w:color="000000"/>
            </w:tcBorders>
            <w:shd w:val="clear" w:color="auto" w:fill="auto"/>
          </w:tcPr>
          <w:p w14:paraId="7DD94E82" w14:textId="4C1B0119" w:rsidR="00E1239B" w:rsidRPr="00FD589E" w:rsidRDefault="00E1239B" w:rsidP="00E1239B">
            <w:pPr>
              <w:snapToGrid w:val="0"/>
              <w:spacing w:before="0"/>
              <w:ind w:right="50"/>
              <w:jc w:val="center"/>
              <w:rPr>
                <w:rFonts w:cstheme="minorHAnsi"/>
                <w:b/>
                <w:sz w:val="22"/>
                <w:lang w:eastAsia="zh-CN"/>
              </w:rPr>
            </w:pPr>
            <w:r w:rsidRPr="004274E8">
              <w:rPr>
                <w:rFonts w:cs="Calibri" w:hint="eastAsia"/>
                <w:b/>
                <w:bCs/>
                <w:sz w:val="22"/>
                <w:lang w:eastAsia="zh-CN"/>
              </w:rPr>
              <w:t>2021</w:t>
            </w:r>
            <w:r w:rsidRPr="004274E8">
              <w:rPr>
                <w:rFonts w:cs="Calibri" w:hint="eastAsia"/>
                <w:b/>
                <w:bCs/>
                <w:sz w:val="22"/>
                <w:lang w:eastAsia="zh-CN"/>
              </w:rPr>
              <w:t>年</w:t>
            </w:r>
            <w:r w:rsidRPr="004274E8">
              <w:rPr>
                <w:rFonts w:cs="Calibri"/>
                <w:b/>
                <w:bCs/>
                <w:sz w:val="22"/>
                <w:lang w:eastAsia="zh-CN"/>
              </w:rPr>
              <w:t>8</w:t>
            </w:r>
            <w:r w:rsidRPr="004274E8">
              <w:rPr>
                <w:rFonts w:cs="Calibri" w:hint="eastAsia"/>
                <w:b/>
                <w:bCs/>
                <w:sz w:val="22"/>
                <w:lang w:eastAsia="zh-CN"/>
              </w:rPr>
              <w:t>月</w:t>
            </w:r>
            <w:r w:rsidRPr="004274E8">
              <w:rPr>
                <w:rFonts w:cs="Calibri" w:hint="eastAsia"/>
                <w:b/>
                <w:bCs/>
                <w:sz w:val="22"/>
                <w:lang w:eastAsia="zh-CN"/>
              </w:rPr>
              <w:t>1</w:t>
            </w:r>
            <w:r w:rsidRPr="004274E8">
              <w:rPr>
                <w:rFonts w:cs="Calibri"/>
                <w:b/>
                <w:bCs/>
                <w:sz w:val="22"/>
                <w:lang w:eastAsia="zh-CN"/>
              </w:rPr>
              <w:t>5</w:t>
            </w:r>
            <w:r w:rsidRPr="004274E8">
              <w:rPr>
                <w:rFonts w:cs="Calibri" w:hint="eastAsia"/>
                <w:b/>
                <w:bCs/>
                <w:sz w:val="22"/>
                <w:lang w:eastAsia="zh-CN"/>
              </w:rPr>
              <w:t>日</w:t>
            </w:r>
          </w:p>
        </w:tc>
        <w:tc>
          <w:tcPr>
            <w:tcW w:w="6844" w:type="dxa"/>
            <w:tcBorders>
              <w:top w:val="single" w:sz="8" w:space="0" w:color="000000"/>
              <w:left w:val="single" w:sz="8" w:space="0" w:color="000000"/>
              <w:bottom w:val="single" w:sz="8" w:space="0" w:color="000000"/>
              <w:right w:val="single" w:sz="8" w:space="0" w:color="000000"/>
            </w:tcBorders>
            <w:shd w:val="clear" w:color="auto" w:fill="auto"/>
          </w:tcPr>
          <w:p w14:paraId="14A5C0B9" w14:textId="4305FAB7" w:rsidR="00E1239B" w:rsidRPr="00FD589E" w:rsidRDefault="00E1239B" w:rsidP="00E1239B">
            <w:pPr>
              <w:snapToGrid w:val="0"/>
              <w:spacing w:before="0"/>
              <w:rPr>
                <w:rFonts w:cstheme="minorHAnsi"/>
                <w:sz w:val="22"/>
                <w:lang w:eastAsia="zh-CN"/>
              </w:rPr>
            </w:pPr>
            <w:r w:rsidRPr="004274E8">
              <w:rPr>
                <w:rFonts w:cs="Calibri" w:hint="eastAsia"/>
                <w:spacing w:val="-2"/>
                <w:sz w:val="22"/>
                <w:lang w:eastAsia="zh-CN"/>
              </w:rPr>
              <w:t>接收有关草案第六稿的评论（包括可能的意见草案）的截止日期</w:t>
            </w:r>
          </w:p>
        </w:tc>
      </w:tr>
      <w:tr w:rsidR="00E1239B" w:rsidRPr="00FD589E" w14:paraId="2940798C" w14:textId="77777777" w:rsidTr="00FD589E">
        <w:trPr>
          <w:trHeight w:val="872"/>
        </w:trPr>
        <w:tc>
          <w:tcPr>
            <w:tcW w:w="2290" w:type="dxa"/>
            <w:tcBorders>
              <w:top w:val="single" w:sz="8" w:space="0" w:color="000000"/>
              <w:left w:val="single" w:sz="8" w:space="0" w:color="000000"/>
              <w:bottom w:val="single" w:sz="8" w:space="0" w:color="000000"/>
              <w:right w:val="single" w:sz="8" w:space="0" w:color="000000"/>
            </w:tcBorders>
            <w:shd w:val="clear" w:color="auto" w:fill="auto"/>
          </w:tcPr>
          <w:p w14:paraId="219BF038" w14:textId="57702821" w:rsidR="00E1239B" w:rsidRPr="00FD589E" w:rsidRDefault="00E1239B" w:rsidP="00E1239B">
            <w:pPr>
              <w:snapToGrid w:val="0"/>
              <w:spacing w:before="0"/>
              <w:ind w:right="50"/>
              <w:jc w:val="center"/>
              <w:rPr>
                <w:rFonts w:cstheme="minorHAnsi"/>
                <w:b/>
                <w:sz w:val="22"/>
                <w:lang w:eastAsia="zh-CN"/>
              </w:rPr>
            </w:pPr>
            <w:r w:rsidRPr="004274E8">
              <w:rPr>
                <w:rFonts w:cs="Calibri" w:hint="eastAsia"/>
                <w:b/>
                <w:bCs/>
                <w:sz w:val="22"/>
                <w:lang w:eastAsia="zh-CN"/>
              </w:rPr>
              <w:t>IEG</w:t>
            </w:r>
            <w:r w:rsidRPr="004274E8">
              <w:rPr>
                <w:rFonts w:cs="Calibri" w:hint="eastAsia"/>
                <w:b/>
                <w:bCs/>
                <w:sz w:val="22"/>
                <w:lang w:eastAsia="zh-CN"/>
              </w:rPr>
              <w:t>第</w:t>
            </w:r>
            <w:r w:rsidRPr="004274E8">
              <w:rPr>
                <w:rFonts w:cs="Calibri" w:hint="eastAsia"/>
                <w:b/>
                <w:bCs/>
                <w:sz w:val="22"/>
                <w:lang w:eastAsia="zh-CN"/>
              </w:rPr>
              <w:t>6</w:t>
            </w:r>
            <w:r w:rsidRPr="004274E8">
              <w:rPr>
                <w:rFonts w:cs="Calibri" w:hint="eastAsia"/>
                <w:b/>
                <w:bCs/>
                <w:sz w:val="22"/>
                <w:lang w:eastAsia="zh-CN"/>
              </w:rPr>
              <w:t>次会议（</w:t>
            </w:r>
            <w:r w:rsidRPr="004274E8">
              <w:rPr>
                <w:rFonts w:cs="Calibri" w:hint="eastAsia"/>
                <w:b/>
                <w:bCs/>
                <w:sz w:val="22"/>
                <w:lang w:eastAsia="zh-CN"/>
              </w:rPr>
              <w:t>2021</w:t>
            </w:r>
            <w:r w:rsidRPr="004274E8">
              <w:rPr>
                <w:rFonts w:cs="Calibri" w:hint="eastAsia"/>
                <w:b/>
                <w:bCs/>
                <w:sz w:val="22"/>
                <w:lang w:eastAsia="zh-CN"/>
              </w:rPr>
              <w:t>年</w:t>
            </w:r>
            <w:r w:rsidRPr="004274E8">
              <w:rPr>
                <w:rFonts w:cs="Calibri" w:hint="eastAsia"/>
                <w:b/>
                <w:bCs/>
                <w:sz w:val="22"/>
                <w:lang w:eastAsia="zh-CN"/>
              </w:rPr>
              <w:t>9</w:t>
            </w:r>
            <w:r w:rsidRPr="004274E8">
              <w:rPr>
                <w:rFonts w:cs="Calibri" w:hint="eastAsia"/>
                <w:b/>
                <w:bCs/>
                <w:sz w:val="22"/>
                <w:lang w:eastAsia="zh-CN"/>
              </w:rPr>
              <w:t>月，</w:t>
            </w:r>
            <w:r>
              <w:rPr>
                <w:rFonts w:cs="Calibri"/>
                <w:b/>
                <w:bCs/>
                <w:sz w:val="22"/>
                <w:lang w:eastAsia="zh-CN"/>
              </w:rPr>
              <w:br/>
            </w:r>
            <w:r w:rsidRPr="004274E8">
              <w:rPr>
                <w:rFonts w:cs="Calibri" w:hint="eastAsia"/>
                <w:b/>
                <w:bCs/>
                <w:sz w:val="22"/>
                <w:lang w:eastAsia="zh-CN"/>
              </w:rPr>
              <w:t>在集中召开的理事会工作组会议期间召开）</w:t>
            </w:r>
          </w:p>
        </w:tc>
        <w:tc>
          <w:tcPr>
            <w:tcW w:w="6844" w:type="dxa"/>
            <w:tcBorders>
              <w:top w:val="single" w:sz="8" w:space="0" w:color="000000"/>
              <w:left w:val="single" w:sz="8" w:space="0" w:color="000000"/>
              <w:bottom w:val="single" w:sz="8" w:space="0" w:color="000000"/>
              <w:right w:val="single" w:sz="8" w:space="0" w:color="000000"/>
            </w:tcBorders>
            <w:shd w:val="clear" w:color="auto" w:fill="auto"/>
          </w:tcPr>
          <w:p w14:paraId="765B57B4" w14:textId="04C0582D" w:rsidR="00E1239B" w:rsidRPr="00FD589E" w:rsidRDefault="00E1239B" w:rsidP="00E1239B">
            <w:pPr>
              <w:snapToGrid w:val="0"/>
              <w:spacing w:before="0"/>
              <w:rPr>
                <w:rFonts w:cstheme="minorHAnsi"/>
                <w:sz w:val="22"/>
                <w:lang w:eastAsia="zh-CN"/>
              </w:rPr>
            </w:pPr>
            <w:r w:rsidRPr="004274E8">
              <w:rPr>
                <w:rFonts w:cs="Calibri" w:hint="eastAsia"/>
                <w:sz w:val="22"/>
                <w:lang w:eastAsia="zh-CN"/>
              </w:rPr>
              <w:t>专家组第六次会议最终为秘书长报告草案定稿，其中包括提交第六届</w:t>
            </w:r>
            <w:r w:rsidRPr="004274E8">
              <w:rPr>
                <w:rFonts w:cs="Calibri" w:hint="eastAsia"/>
                <w:sz w:val="22"/>
                <w:lang w:eastAsia="zh-CN"/>
              </w:rPr>
              <w:t>WTPF</w:t>
            </w:r>
            <w:r w:rsidRPr="004274E8">
              <w:rPr>
                <w:rFonts w:cs="Calibri" w:hint="eastAsia"/>
                <w:sz w:val="22"/>
                <w:lang w:eastAsia="zh-CN"/>
              </w:rPr>
              <w:t>的意见草案最终案文</w:t>
            </w:r>
          </w:p>
        </w:tc>
      </w:tr>
      <w:tr w:rsidR="00E1239B" w:rsidRPr="00FD589E" w14:paraId="67BE9D26" w14:textId="77777777" w:rsidTr="00FD589E">
        <w:trPr>
          <w:trHeight w:val="872"/>
        </w:trPr>
        <w:tc>
          <w:tcPr>
            <w:tcW w:w="2290" w:type="dxa"/>
            <w:tcBorders>
              <w:top w:val="single" w:sz="8" w:space="0" w:color="000000"/>
              <w:left w:val="single" w:sz="8" w:space="0" w:color="000000"/>
              <w:bottom w:val="single" w:sz="8" w:space="0" w:color="000000"/>
              <w:right w:val="single" w:sz="8" w:space="0" w:color="000000"/>
            </w:tcBorders>
            <w:shd w:val="clear" w:color="auto" w:fill="auto"/>
          </w:tcPr>
          <w:p w14:paraId="2983ABBB" w14:textId="6203762F" w:rsidR="00E1239B" w:rsidRPr="00FD589E" w:rsidRDefault="00E1239B" w:rsidP="00E1239B">
            <w:pPr>
              <w:snapToGrid w:val="0"/>
              <w:spacing w:before="0"/>
              <w:ind w:right="50"/>
              <w:jc w:val="center"/>
              <w:rPr>
                <w:rFonts w:cstheme="minorHAnsi"/>
                <w:b/>
                <w:sz w:val="22"/>
                <w:lang w:eastAsia="zh-CN"/>
              </w:rPr>
            </w:pPr>
            <w:r w:rsidRPr="004274E8">
              <w:rPr>
                <w:rFonts w:cs="Calibri" w:hint="eastAsia"/>
                <w:b/>
                <w:bCs/>
                <w:sz w:val="22"/>
                <w:lang w:eastAsia="zh-CN"/>
              </w:rPr>
              <w:t>2021</w:t>
            </w:r>
            <w:r w:rsidRPr="004274E8">
              <w:rPr>
                <w:rFonts w:cs="Calibri" w:hint="eastAsia"/>
                <w:b/>
                <w:bCs/>
                <w:sz w:val="22"/>
                <w:lang w:eastAsia="zh-CN"/>
              </w:rPr>
              <w:t>年</w:t>
            </w:r>
            <w:r w:rsidRPr="004274E8">
              <w:rPr>
                <w:rFonts w:cs="Calibri"/>
                <w:b/>
                <w:bCs/>
                <w:sz w:val="22"/>
                <w:lang w:eastAsia="zh-CN"/>
              </w:rPr>
              <w:t>11</w:t>
            </w:r>
            <w:r w:rsidRPr="004274E8">
              <w:rPr>
                <w:rFonts w:cs="Calibri" w:hint="eastAsia"/>
                <w:b/>
                <w:bCs/>
                <w:sz w:val="22"/>
                <w:lang w:eastAsia="zh-CN"/>
              </w:rPr>
              <w:t>月</w:t>
            </w:r>
            <w:r w:rsidRPr="004274E8">
              <w:rPr>
                <w:rFonts w:cs="Calibri"/>
                <w:b/>
                <w:bCs/>
                <w:sz w:val="22"/>
                <w:lang w:eastAsia="zh-CN"/>
              </w:rPr>
              <w:t>4</w:t>
            </w:r>
            <w:r w:rsidRPr="004274E8">
              <w:rPr>
                <w:rFonts w:cs="Calibri" w:hint="eastAsia"/>
                <w:b/>
                <w:bCs/>
                <w:sz w:val="22"/>
                <w:lang w:eastAsia="zh-CN"/>
              </w:rPr>
              <w:t>日</w:t>
            </w:r>
          </w:p>
        </w:tc>
        <w:tc>
          <w:tcPr>
            <w:tcW w:w="6844" w:type="dxa"/>
            <w:tcBorders>
              <w:top w:val="single" w:sz="8" w:space="0" w:color="000000"/>
              <w:left w:val="single" w:sz="8" w:space="0" w:color="000000"/>
              <w:bottom w:val="single" w:sz="8" w:space="0" w:color="000000"/>
              <w:right w:val="single" w:sz="8" w:space="0" w:color="000000"/>
            </w:tcBorders>
            <w:shd w:val="clear" w:color="auto" w:fill="auto"/>
          </w:tcPr>
          <w:p w14:paraId="3B5FDD6E" w14:textId="39D9DFFC" w:rsidR="00E1239B" w:rsidRPr="00FD589E" w:rsidRDefault="00E1239B" w:rsidP="00E1239B">
            <w:pPr>
              <w:snapToGrid w:val="0"/>
              <w:spacing w:before="0"/>
              <w:rPr>
                <w:rFonts w:cstheme="minorHAnsi"/>
                <w:sz w:val="22"/>
                <w:lang w:eastAsia="zh-CN"/>
              </w:rPr>
            </w:pPr>
            <w:r w:rsidRPr="004274E8">
              <w:rPr>
                <w:rFonts w:cs="Calibri" w:hint="eastAsia"/>
                <w:sz w:val="22"/>
                <w:lang w:eastAsia="zh-CN"/>
              </w:rPr>
              <w:t>秘书长向</w:t>
            </w:r>
            <w:r w:rsidRPr="004274E8">
              <w:rPr>
                <w:rFonts w:cs="Calibri" w:hint="eastAsia"/>
                <w:sz w:val="22"/>
                <w:lang w:eastAsia="zh-CN"/>
              </w:rPr>
              <w:t>WTPF</w:t>
            </w:r>
            <w:r w:rsidRPr="004274E8">
              <w:rPr>
                <w:rFonts w:cs="Calibri" w:hint="eastAsia"/>
                <w:sz w:val="22"/>
                <w:lang w:eastAsia="zh-CN"/>
              </w:rPr>
              <w:t>提交的最终报告将在线公布，其中包括意见草案</w:t>
            </w:r>
          </w:p>
        </w:tc>
      </w:tr>
      <w:tr w:rsidR="00E1239B" w:rsidRPr="00FD589E" w14:paraId="7F5E9924" w14:textId="77777777" w:rsidTr="00FD589E">
        <w:trPr>
          <w:trHeight w:val="872"/>
        </w:trPr>
        <w:tc>
          <w:tcPr>
            <w:tcW w:w="2290" w:type="dxa"/>
            <w:tcBorders>
              <w:top w:val="single" w:sz="8" w:space="0" w:color="000000"/>
              <w:left w:val="single" w:sz="8" w:space="0" w:color="000000"/>
              <w:bottom w:val="single" w:sz="8" w:space="0" w:color="000000"/>
              <w:right w:val="single" w:sz="8" w:space="0" w:color="000000"/>
            </w:tcBorders>
            <w:shd w:val="clear" w:color="auto" w:fill="auto"/>
          </w:tcPr>
          <w:p w14:paraId="169FB2FE" w14:textId="7672AA80" w:rsidR="00E1239B" w:rsidRPr="00FD589E" w:rsidRDefault="00E1239B" w:rsidP="00E1239B">
            <w:pPr>
              <w:snapToGrid w:val="0"/>
              <w:spacing w:before="0"/>
              <w:ind w:right="50"/>
              <w:jc w:val="center"/>
              <w:rPr>
                <w:rFonts w:cstheme="minorHAnsi"/>
                <w:b/>
                <w:sz w:val="22"/>
                <w:lang w:eastAsia="zh-CN"/>
              </w:rPr>
            </w:pPr>
            <w:r w:rsidRPr="004274E8">
              <w:rPr>
                <w:rFonts w:cs="Calibri" w:hint="eastAsia"/>
                <w:b/>
                <w:bCs/>
                <w:sz w:val="22"/>
                <w:lang w:eastAsia="zh-CN"/>
              </w:rPr>
              <w:t>2021</w:t>
            </w:r>
            <w:r w:rsidRPr="004274E8">
              <w:rPr>
                <w:rFonts w:cs="Calibri" w:hint="eastAsia"/>
                <w:b/>
                <w:bCs/>
                <w:sz w:val="22"/>
                <w:lang w:eastAsia="zh-CN"/>
              </w:rPr>
              <w:t>年</w:t>
            </w:r>
            <w:r w:rsidRPr="004274E8">
              <w:rPr>
                <w:rFonts w:cs="Calibri"/>
                <w:b/>
                <w:bCs/>
                <w:sz w:val="22"/>
                <w:lang w:eastAsia="zh-CN"/>
              </w:rPr>
              <w:t>12</w:t>
            </w:r>
            <w:r w:rsidRPr="004274E8">
              <w:rPr>
                <w:rFonts w:cs="Calibri" w:hint="eastAsia"/>
                <w:b/>
                <w:bCs/>
                <w:sz w:val="22"/>
                <w:lang w:eastAsia="zh-CN"/>
              </w:rPr>
              <w:t>月</w:t>
            </w:r>
            <w:r w:rsidRPr="004274E8">
              <w:rPr>
                <w:rFonts w:cs="Calibri" w:hint="eastAsia"/>
                <w:b/>
                <w:bCs/>
                <w:sz w:val="22"/>
                <w:lang w:eastAsia="zh-CN"/>
              </w:rPr>
              <w:t>1</w:t>
            </w:r>
            <w:r w:rsidRPr="004274E8">
              <w:rPr>
                <w:rFonts w:cs="Calibri"/>
                <w:b/>
                <w:bCs/>
                <w:sz w:val="22"/>
                <w:lang w:eastAsia="zh-CN"/>
              </w:rPr>
              <w:t>6-</w:t>
            </w:r>
            <w:r w:rsidRPr="004274E8">
              <w:rPr>
                <w:rFonts w:cs="Calibri"/>
                <w:b/>
                <w:bCs/>
                <w:sz w:val="22"/>
                <w:lang w:eastAsia="zh-CN"/>
              </w:rPr>
              <w:br/>
              <w:t>18</w:t>
            </w:r>
            <w:r w:rsidRPr="004274E8">
              <w:rPr>
                <w:rFonts w:cs="Calibri" w:hint="eastAsia"/>
                <w:b/>
                <w:bCs/>
                <w:sz w:val="22"/>
                <w:lang w:eastAsia="zh-CN"/>
              </w:rPr>
              <w:t>日</w:t>
            </w:r>
          </w:p>
        </w:tc>
        <w:tc>
          <w:tcPr>
            <w:tcW w:w="6844" w:type="dxa"/>
            <w:tcBorders>
              <w:top w:val="single" w:sz="8" w:space="0" w:color="000000"/>
              <w:left w:val="single" w:sz="8" w:space="0" w:color="000000"/>
              <w:bottom w:val="single" w:sz="8" w:space="0" w:color="000000"/>
              <w:right w:val="single" w:sz="8" w:space="0" w:color="000000"/>
            </w:tcBorders>
            <w:shd w:val="clear" w:color="auto" w:fill="auto"/>
          </w:tcPr>
          <w:p w14:paraId="07A27B3D" w14:textId="2803D62E" w:rsidR="00E1239B" w:rsidRPr="00FD589E" w:rsidRDefault="00E1239B" w:rsidP="00E1239B">
            <w:pPr>
              <w:snapToGrid w:val="0"/>
              <w:spacing w:before="0"/>
              <w:rPr>
                <w:rFonts w:cstheme="minorHAnsi"/>
                <w:sz w:val="22"/>
                <w:lang w:eastAsia="zh-CN"/>
              </w:rPr>
            </w:pPr>
            <w:r w:rsidRPr="004274E8">
              <w:rPr>
                <w:rFonts w:cs="Calibri" w:hint="eastAsia"/>
                <w:sz w:val="22"/>
                <w:lang w:eastAsia="zh-CN"/>
              </w:rPr>
              <w:t>第六届世界电信</w:t>
            </w:r>
            <w:r w:rsidRPr="004274E8">
              <w:rPr>
                <w:rFonts w:cs="Calibri" w:hint="eastAsia"/>
                <w:sz w:val="22"/>
                <w:lang w:eastAsia="zh-CN"/>
              </w:rPr>
              <w:t>/</w:t>
            </w:r>
            <w:r w:rsidRPr="004274E8">
              <w:rPr>
                <w:rFonts w:cs="Calibri" w:hint="eastAsia"/>
                <w:sz w:val="22"/>
                <w:lang w:eastAsia="zh-CN"/>
              </w:rPr>
              <w:t>信息通信技术政策论坛</w:t>
            </w:r>
          </w:p>
        </w:tc>
      </w:tr>
    </w:tbl>
    <w:p w14:paraId="4827B733" w14:textId="5CEB1568" w:rsidR="00FD589E" w:rsidRPr="001146DC" w:rsidRDefault="00FD589E" w:rsidP="00FD589E">
      <w:pPr>
        <w:pStyle w:val="Endtext"/>
        <w:rPr>
          <w:szCs w:val="22"/>
          <w:lang w:val="en-US" w:eastAsia="zh-CN"/>
        </w:rPr>
      </w:pPr>
      <w:r w:rsidRPr="005901EF">
        <w:rPr>
          <w:rFonts w:hint="eastAsia"/>
          <w:lang w:eastAsia="zh-CN"/>
        </w:rPr>
        <w:t>参阅：</w:t>
      </w:r>
      <w:r w:rsidRPr="005901EF">
        <w:rPr>
          <w:lang w:eastAsia="zh-CN"/>
        </w:rPr>
        <w:tab/>
      </w:r>
      <w:hyperlink r:id="rId401" w:history="1">
        <w:r w:rsidR="00E1239B" w:rsidRPr="00E1239B">
          <w:rPr>
            <w:rStyle w:val="Hyperlink"/>
            <w:lang w:val="en-GB" w:eastAsia="zh-CN"/>
          </w:rPr>
          <w:t>C19/128</w:t>
        </w:r>
      </w:hyperlink>
      <w:r w:rsidR="00E1239B">
        <w:rPr>
          <w:rFonts w:hint="eastAsia"/>
          <w:lang w:val="en-GB" w:eastAsia="zh-CN"/>
        </w:rPr>
        <w:t>和</w:t>
      </w:r>
      <w:hyperlink r:id="rId402" w:history="1">
        <w:r w:rsidR="00E1239B" w:rsidRPr="00E1239B">
          <w:rPr>
            <w:rStyle w:val="Hyperlink"/>
            <w:lang w:val="en-GB" w:eastAsia="zh-CN"/>
          </w:rPr>
          <w:t>C19/117</w:t>
        </w:r>
      </w:hyperlink>
      <w:r w:rsidR="00A80F72">
        <w:rPr>
          <w:rFonts w:hint="eastAsia"/>
          <w:lang w:val="en-GB" w:eastAsia="zh-CN"/>
        </w:rPr>
        <w:t>；</w:t>
      </w:r>
      <w:hyperlink r:id="rId403" w:history="1">
        <w:r w:rsidR="00E1239B" w:rsidRPr="00E1239B">
          <w:rPr>
            <w:rStyle w:val="Hyperlink"/>
            <w:lang w:val="en-GB" w:eastAsia="zh-CN"/>
          </w:rPr>
          <w:t>C20/81</w:t>
        </w:r>
      </w:hyperlink>
      <w:r w:rsidR="00A80F72">
        <w:rPr>
          <w:rFonts w:hint="eastAsia"/>
          <w:lang w:val="en-GB" w:eastAsia="zh-CN"/>
        </w:rPr>
        <w:t>、</w:t>
      </w:r>
      <w:hyperlink r:id="rId404" w:history="1">
        <w:r w:rsidR="00E1239B" w:rsidRPr="00E1239B">
          <w:rPr>
            <w:rStyle w:val="Hyperlink"/>
            <w:lang w:val="en-GB" w:eastAsia="zh-CN"/>
          </w:rPr>
          <w:t>VC-2/11</w:t>
        </w:r>
      </w:hyperlink>
      <w:r w:rsidR="00A80F72">
        <w:rPr>
          <w:rFonts w:hint="eastAsia"/>
          <w:lang w:val="en-GB" w:eastAsia="zh-CN"/>
        </w:rPr>
        <w:t>、</w:t>
      </w:r>
      <w:hyperlink r:id="rId405" w:history="1">
        <w:r w:rsidR="00E1239B" w:rsidRPr="00E1239B">
          <w:rPr>
            <w:rStyle w:val="Hyperlink"/>
            <w:lang w:val="en-GB" w:eastAsia="zh-CN"/>
          </w:rPr>
          <w:t>VC-2/12</w:t>
        </w:r>
      </w:hyperlink>
      <w:r w:rsidR="00E1239B">
        <w:rPr>
          <w:rFonts w:hint="eastAsia"/>
          <w:lang w:val="en-GB" w:eastAsia="zh-CN"/>
        </w:rPr>
        <w:t>和</w:t>
      </w:r>
      <w:hyperlink r:id="rId406" w:history="1">
        <w:r w:rsidR="00E1239B" w:rsidRPr="00E1239B">
          <w:rPr>
            <w:rStyle w:val="Hyperlink"/>
            <w:lang w:val="en-GB" w:eastAsia="zh-CN"/>
          </w:rPr>
          <w:t>DM-20/1022</w:t>
        </w:r>
      </w:hyperlink>
      <w:r>
        <w:rPr>
          <w:rFonts w:hint="eastAsia"/>
          <w:szCs w:val="22"/>
          <w:lang w:val="en-US" w:eastAsia="zh-CN"/>
        </w:rPr>
        <w:t>号文</w:t>
      </w:r>
      <w:r>
        <w:rPr>
          <w:szCs w:val="22"/>
          <w:lang w:val="en-US" w:eastAsia="zh-CN"/>
        </w:rPr>
        <w:t>件。</w:t>
      </w:r>
    </w:p>
    <w:p w14:paraId="4827B734" w14:textId="77777777" w:rsidR="00FD589E" w:rsidRDefault="00FD589E" w:rsidP="00FD589E">
      <w:pPr>
        <w:jc w:val="center"/>
        <w:rPr>
          <w:lang w:eastAsia="zh-CN"/>
        </w:rPr>
      </w:pPr>
      <w:r w:rsidRPr="00F82938">
        <w:rPr>
          <w:lang w:eastAsia="zh-CN"/>
        </w:rPr>
        <w:t>______________</w:t>
      </w:r>
    </w:p>
    <w:p w14:paraId="4827B744" w14:textId="010521FB" w:rsidR="00A8205F" w:rsidRDefault="00A8205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5681B8E0" w14:textId="426C809F" w:rsidR="00A8205F" w:rsidRPr="00A8205F" w:rsidRDefault="00A8205F" w:rsidP="00A8205F">
      <w:pPr>
        <w:pStyle w:val="DecNo"/>
        <w:outlineLvl w:val="0"/>
        <w:rPr>
          <w:rFonts w:cs="Calibri"/>
        </w:rPr>
      </w:pPr>
      <w:bookmarkStart w:id="2001" w:name="_Toc86395637"/>
      <w:r w:rsidRPr="00BE5314">
        <w:rPr>
          <w:rFonts w:hint="eastAsia"/>
          <w:lang w:val="en-US"/>
        </w:rPr>
        <w:lastRenderedPageBreak/>
        <w:t>第</w:t>
      </w:r>
      <w:r w:rsidRPr="00BE5314">
        <w:rPr>
          <w:lang w:val="en-US"/>
        </w:rPr>
        <w:t>623</w:t>
      </w:r>
      <w:r w:rsidRPr="00BE5314">
        <w:rPr>
          <w:rFonts w:hint="eastAsia"/>
          <w:lang w:val="en-US"/>
        </w:rPr>
        <w:t>号</w:t>
      </w:r>
      <w:r w:rsidRPr="00BE5314">
        <w:rPr>
          <w:rFonts w:cs="Calibri" w:hint="eastAsia"/>
          <w:lang w:val="en-US"/>
        </w:rPr>
        <w:t>决定</w:t>
      </w:r>
      <w:r w:rsidRPr="00BE5314">
        <w:rPr>
          <w:rFonts w:cs="Microsoft YaHei" w:hint="eastAsia"/>
          <w:szCs w:val="28"/>
          <w:lang w:val="en-US"/>
        </w:rPr>
        <w:t>（</w:t>
      </w:r>
      <w:r>
        <w:rPr>
          <w:rFonts w:cs="Microsoft YaHei" w:hint="eastAsia"/>
          <w:szCs w:val="28"/>
          <w:lang w:val="fr-FR"/>
        </w:rPr>
        <w:t>2</w:t>
      </w:r>
      <w:r>
        <w:rPr>
          <w:rFonts w:cs="Microsoft YaHei"/>
          <w:szCs w:val="28"/>
          <w:lang w:val="fr-FR"/>
        </w:rPr>
        <w:t>1</w:t>
      </w:r>
      <w:r w:rsidRPr="00BE5314">
        <w:rPr>
          <w:rFonts w:cs="Microsoft YaHei" w:hint="eastAsia"/>
          <w:szCs w:val="28"/>
          <w:lang w:val="en-US"/>
        </w:rPr>
        <w:t>）</w:t>
      </w:r>
      <w:bookmarkEnd w:id="2001"/>
    </w:p>
    <w:p w14:paraId="499E3F51" w14:textId="77777777" w:rsidR="00A8205F" w:rsidRPr="00BE5314" w:rsidRDefault="00A8205F" w:rsidP="00A8205F">
      <w:pPr>
        <w:pStyle w:val="Restitle"/>
        <w:rPr>
          <w:lang w:val="en-US" w:eastAsia="zh-CN"/>
        </w:rPr>
      </w:pPr>
      <w:bookmarkStart w:id="2002" w:name="_Toc86395638"/>
      <w:r w:rsidRPr="00BE5314">
        <w:rPr>
          <w:rFonts w:hint="eastAsia"/>
          <w:lang w:val="en-US" w:eastAsia="zh-CN"/>
        </w:rPr>
        <w:t>世界无线电通信大会（</w:t>
      </w:r>
      <w:r w:rsidRPr="00BE5314">
        <w:rPr>
          <w:lang w:val="en-US" w:eastAsia="zh-CN"/>
        </w:rPr>
        <w:t>WRC-23</w:t>
      </w:r>
      <w:r w:rsidRPr="00BE5314">
        <w:rPr>
          <w:rFonts w:hint="eastAsia"/>
          <w:lang w:val="en-US" w:eastAsia="zh-CN"/>
        </w:rPr>
        <w:t>）和</w:t>
      </w:r>
      <w:r w:rsidRPr="00BE5314">
        <w:rPr>
          <w:lang w:val="en-US" w:eastAsia="zh-CN"/>
        </w:rPr>
        <w:br/>
      </w:r>
      <w:r w:rsidRPr="00BE5314">
        <w:rPr>
          <w:rFonts w:hint="eastAsia"/>
          <w:lang w:val="en-US" w:eastAsia="zh-CN"/>
        </w:rPr>
        <w:t>无线电通信全会（</w:t>
      </w:r>
      <w:r w:rsidRPr="00BE5314">
        <w:rPr>
          <w:rFonts w:hint="eastAsia"/>
          <w:lang w:val="en-US" w:eastAsia="zh-CN"/>
        </w:rPr>
        <w:t>R</w:t>
      </w:r>
      <w:r w:rsidRPr="00BE5314">
        <w:rPr>
          <w:lang w:val="en-US" w:eastAsia="zh-CN"/>
        </w:rPr>
        <w:t>A-23</w:t>
      </w:r>
      <w:r w:rsidRPr="00BE5314">
        <w:rPr>
          <w:rFonts w:hint="eastAsia"/>
          <w:lang w:val="en-US" w:eastAsia="zh-CN"/>
        </w:rPr>
        <w:t>）的地点和日期</w:t>
      </w:r>
      <w:bookmarkEnd w:id="2002"/>
    </w:p>
    <w:p w14:paraId="56EFED60" w14:textId="77777777" w:rsidR="00A8205F" w:rsidRPr="00BE5314" w:rsidRDefault="00A8205F" w:rsidP="00A8205F">
      <w:pPr>
        <w:pStyle w:val="Normalaftertitle0"/>
        <w:rPr>
          <w:lang w:val="zh-CN"/>
        </w:rPr>
      </w:pPr>
      <w:r w:rsidRPr="00BE5314">
        <w:rPr>
          <w:rFonts w:hint="eastAsia"/>
          <w:lang w:val="zh-CN"/>
        </w:rPr>
        <w:t>国际电联理事会，</w:t>
      </w:r>
    </w:p>
    <w:p w14:paraId="4D726BBE" w14:textId="77777777" w:rsidR="00A8205F" w:rsidRPr="00BE5314" w:rsidRDefault="00A8205F" w:rsidP="00A8205F">
      <w:pPr>
        <w:pStyle w:val="Call"/>
        <w:rPr>
          <w:lang w:val="zh-CN" w:eastAsia="zh-CN"/>
        </w:rPr>
      </w:pPr>
      <w:r w:rsidRPr="00BE5314">
        <w:rPr>
          <w:rFonts w:hint="eastAsia"/>
          <w:lang w:val="zh-CN" w:eastAsia="zh-CN"/>
        </w:rPr>
        <w:t>注意到</w:t>
      </w:r>
    </w:p>
    <w:p w14:paraId="399C3922" w14:textId="77777777" w:rsidR="00A8205F" w:rsidRPr="00BE5314" w:rsidRDefault="00A8205F" w:rsidP="00A8205F">
      <w:pPr>
        <w:pStyle w:val="NormalCH"/>
        <w:ind w:firstLine="480"/>
        <w:rPr>
          <w:lang w:val="en-US"/>
        </w:rPr>
      </w:pPr>
      <w:r w:rsidRPr="00BE5314">
        <w:rPr>
          <w:rFonts w:hint="eastAsia"/>
          <w:lang w:val="en-US"/>
        </w:rPr>
        <w:t>世界无线电通信大会（</w:t>
      </w:r>
      <w:r w:rsidRPr="00BE5314">
        <w:rPr>
          <w:lang w:val="en-US"/>
        </w:rPr>
        <w:t>201</w:t>
      </w:r>
      <w:r w:rsidRPr="00BE5314">
        <w:rPr>
          <w:rFonts w:hint="eastAsia"/>
          <w:lang w:val="en-US"/>
        </w:rPr>
        <w:t>9</w:t>
      </w:r>
      <w:r w:rsidRPr="00BE5314">
        <w:rPr>
          <w:rFonts w:hint="eastAsia"/>
          <w:lang w:val="zh-CN"/>
        </w:rPr>
        <w:t>年，</w:t>
      </w:r>
      <w:r w:rsidRPr="00BE5314">
        <w:rPr>
          <w:rFonts w:hint="eastAsia"/>
          <w:lang w:val="en-US"/>
        </w:rPr>
        <w:t>沙姆沙伊赫）</w:t>
      </w:r>
      <w:r w:rsidRPr="00BE5314">
        <w:rPr>
          <w:rFonts w:hint="eastAsia"/>
          <w:lang w:val="zh-CN"/>
        </w:rPr>
        <w:t>第</w:t>
      </w:r>
      <w:r w:rsidRPr="00BE5314">
        <w:rPr>
          <w:lang w:val="en-US"/>
        </w:rPr>
        <w:t>8</w:t>
      </w:r>
      <w:r w:rsidRPr="00BE5314">
        <w:rPr>
          <w:rFonts w:hint="eastAsia"/>
          <w:lang w:val="en-US"/>
        </w:rPr>
        <w:t>11</w:t>
      </w:r>
      <w:r w:rsidRPr="00BE5314">
        <w:rPr>
          <w:rFonts w:hint="eastAsia"/>
          <w:lang w:val="zh-CN"/>
        </w:rPr>
        <w:t>号决议：</w:t>
      </w:r>
    </w:p>
    <w:p w14:paraId="3948906A" w14:textId="77777777" w:rsidR="00A8205F" w:rsidRPr="00BE5314" w:rsidRDefault="00A8205F" w:rsidP="00A8205F">
      <w:pPr>
        <w:rPr>
          <w:i/>
          <w:iCs/>
          <w:lang w:val="en-US" w:eastAsia="zh-CN"/>
        </w:rPr>
      </w:pPr>
      <w:r w:rsidRPr="00BE5314">
        <w:rPr>
          <w:rFonts w:eastAsia="KaiTi_GB2312"/>
          <w:i/>
          <w:iCs/>
          <w:lang w:val="en-US" w:eastAsia="zh-CN"/>
        </w:rPr>
        <w:t>a)</w:t>
      </w:r>
      <w:r w:rsidRPr="00BE5314">
        <w:rPr>
          <w:rFonts w:eastAsia="KaiTi_GB2312"/>
          <w:i/>
          <w:iCs/>
          <w:lang w:val="en-US" w:eastAsia="zh-CN"/>
        </w:rPr>
        <w:tab/>
      </w:r>
      <w:r w:rsidRPr="00BE5314">
        <w:rPr>
          <w:rFonts w:ascii="STKaiti" w:eastAsia="STKaiti" w:hAnsi="STKaiti" w:hint="eastAsia"/>
          <w:lang w:val="zh-CN" w:eastAsia="zh-CN"/>
        </w:rPr>
        <w:t>做出决议</w:t>
      </w:r>
      <w:r w:rsidRPr="00BE5314">
        <w:rPr>
          <w:rFonts w:hint="eastAsia"/>
          <w:lang w:val="en-US" w:eastAsia="zh-CN"/>
        </w:rPr>
        <w:t>，</w:t>
      </w:r>
      <w:r w:rsidRPr="00BE5314">
        <w:rPr>
          <w:rFonts w:hint="eastAsia"/>
          <w:lang w:val="zh-CN" w:eastAsia="zh-CN"/>
        </w:rPr>
        <w:t>向理事会建议</w:t>
      </w:r>
      <w:r w:rsidRPr="00BE5314">
        <w:rPr>
          <w:rFonts w:hint="eastAsia"/>
          <w:lang w:val="en-US" w:eastAsia="zh-CN"/>
        </w:rPr>
        <w:t>，</w:t>
      </w:r>
      <w:r w:rsidRPr="00BE5314">
        <w:rPr>
          <w:rFonts w:hint="eastAsia"/>
          <w:lang w:val="zh-CN" w:eastAsia="zh-CN"/>
        </w:rPr>
        <w:t>在</w:t>
      </w:r>
      <w:r w:rsidRPr="00BE5314">
        <w:rPr>
          <w:rFonts w:hint="eastAsia"/>
          <w:lang w:val="en-US" w:eastAsia="zh-CN"/>
        </w:rPr>
        <w:t>20</w:t>
      </w:r>
      <w:r w:rsidRPr="00BE5314">
        <w:rPr>
          <w:lang w:val="en-US" w:eastAsia="zh-CN"/>
        </w:rPr>
        <w:t>23</w:t>
      </w:r>
      <w:r w:rsidRPr="00BE5314">
        <w:rPr>
          <w:rFonts w:hint="eastAsia"/>
          <w:lang w:val="zh-CN" w:eastAsia="zh-CN"/>
        </w:rPr>
        <w:t>年举办一届为期最长四周的世界无线电通信大会</w:t>
      </w:r>
      <w:r w:rsidRPr="00BE5314">
        <w:rPr>
          <w:rFonts w:hint="eastAsia"/>
          <w:lang w:val="en-US" w:eastAsia="zh-CN"/>
        </w:rPr>
        <w:t>；</w:t>
      </w:r>
    </w:p>
    <w:p w14:paraId="2FD8FBCA" w14:textId="77777777" w:rsidR="00A8205F" w:rsidRPr="00BE5314" w:rsidRDefault="00A8205F" w:rsidP="00A8205F">
      <w:pPr>
        <w:rPr>
          <w:lang w:val="en-US" w:eastAsia="zh-CN"/>
        </w:rPr>
      </w:pPr>
      <w:r w:rsidRPr="00BE5314">
        <w:rPr>
          <w:i/>
          <w:iCs/>
          <w:lang w:val="en-US" w:eastAsia="zh-CN"/>
        </w:rPr>
        <w:t>b)</w:t>
      </w:r>
      <w:r w:rsidRPr="00BE5314">
        <w:rPr>
          <w:i/>
          <w:iCs/>
          <w:lang w:val="en-US" w:eastAsia="zh-CN"/>
        </w:rPr>
        <w:tab/>
      </w:r>
      <w:r w:rsidRPr="00BE5314">
        <w:rPr>
          <w:rFonts w:hint="eastAsia"/>
          <w:lang w:val="zh-CN" w:eastAsia="zh-CN"/>
        </w:rPr>
        <w:t>就其议程提出</w:t>
      </w:r>
      <w:r w:rsidRPr="00BE5314">
        <w:rPr>
          <w:rFonts w:hint="eastAsia"/>
          <w:lang w:val="en-US" w:eastAsia="zh-CN"/>
        </w:rPr>
        <w:t>建议，</w:t>
      </w:r>
      <w:r w:rsidRPr="00BE5314">
        <w:rPr>
          <w:rFonts w:hint="eastAsia"/>
          <w:lang w:val="zh-CN" w:eastAsia="zh-CN"/>
        </w:rPr>
        <w:t>并请理事会最终确定议程</w:t>
      </w:r>
      <w:r w:rsidRPr="00BE5314">
        <w:rPr>
          <w:rFonts w:hint="eastAsia"/>
          <w:lang w:val="en-US" w:eastAsia="zh-CN"/>
        </w:rPr>
        <w:t>，</w:t>
      </w:r>
      <w:r w:rsidRPr="00BE5314">
        <w:rPr>
          <w:rFonts w:hint="eastAsia"/>
          <w:lang w:val="zh-CN" w:eastAsia="zh-CN"/>
        </w:rPr>
        <w:t>同时为</w:t>
      </w:r>
      <w:r w:rsidRPr="00BE5314">
        <w:rPr>
          <w:rFonts w:hint="eastAsia"/>
          <w:lang w:val="en-US" w:eastAsia="zh-CN"/>
        </w:rPr>
        <w:t>2</w:t>
      </w:r>
      <w:r w:rsidRPr="00BE5314">
        <w:rPr>
          <w:lang w:val="en-US" w:eastAsia="zh-CN"/>
        </w:rPr>
        <w:t>023</w:t>
      </w:r>
      <w:r w:rsidRPr="00BE5314">
        <w:rPr>
          <w:rFonts w:hint="eastAsia"/>
          <w:lang w:val="en-US" w:eastAsia="zh-CN"/>
        </w:rPr>
        <w:t>年</w:t>
      </w:r>
      <w:r w:rsidRPr="00BE5314">
        <w:rPr>
          <w:rFonts w:hint="eastAsia"/>
          <w:color w:val="000000"/>
          <w:lang w:val="en-US" w:eastAsia="zh-CN"/>
        </w:rPr>
        <w:t>世界无线电通信大会（</w:t>
      </w:r>
      <w:r w:rsidRPr="00BE5314">
        <w:rPr>
          <w:lang w:val="en-US" w:eastAsia="zh-CN"/>
        </w:rPr>
        <w:t>WRC-23</w:t>
      </w:r>
      <w:r w:rsidRPr="00BE5314">
        <w:rPr>
          <w:rFonts w:hint="eastAsia"/>
          <w:lang w:val="en-US" w:eastAsia="zh-CN"/>
        </w:rPr>
        <w:t>）的召开做出安排，并尽快与成员国进行必要磋商，</w:t>
      </w:r>
    </w:p>
    <w:p w14:paraId="32404096" w14:textId="77777777" w:rsidR="00A8205F" w:rsidRPr="00BE5314" w:rsidRDefault="00A8205F" w:rsidP="00A8205F">
      <w:pPr>
        <w:pStyle w:val="Call"/>
        <w:rPr>
          <w:lang w:val="zh-CN" w:eastAsia="zh-CN"/>
        </w:rPr>
      </w:pPr>
      <w:bookmarkStart w:id="2003" w:name="lt_pId083"/>
      <w:r w:rsidRPr="00BE5314">
        <w:rPr>
          <w:lang w:val="zh-CN" w:eastAsia="zh-CN"/>
        </w:rPr>
        <w:t>进一步注意到</w:t>
      </w:r>
      <w:bookmarkEnd w:id="2003"/>
    </w:p>
    <w:p w14:paraId="65FA89EA" w14:textId="77777777" w:rsidR="00A8205F" w:rsidRPr="00BE5314" w:rsidRDefault="00A8205F" w:rsidP="00A8205F">
      <w:pPr>
        <w:pStyle w:val="NormalCH"/>
        <w:ind w:firstLine="480"/>
        <w:rPr>
          <w:lang w:val="en-US"/>
        </w:rPr>
      </w:pPr>
      <w:r>
        <w:rPr>
          <w:rFonts w:hint="eastAsia"/>
          <w:lang w:val="zh-CN"/>
        </w:rPr>
        <w:t>已</w:t>
      </w:r>
      <w:r w:rsidRPr="00BE5314">
        <w:rPr>
          <w:rFonts w:hint="eastAsia"/>
          <w:lang w:val="zh-CN"/>
        </w:rPr>
        <w:t>得到国际电联成员国</w:t>
      </w:r>
      <w:r>
        <w:rPr>
          <w:rFonts w:hint="eastAsia"/>
          <w:lang w:val="zh-CN"/>
        </w:rPr>
        <w:t>所需</w:t>
      </w:r>
      <w:r w:rsidRPr="00BE5314">
        <w:rPr>
          <w:rFonts w:hint="eastAsia"/>
          <w:lang w:val="zh-CN"/>
        </w:rPr>
        <w:t>多数同意的理事会第</w:t>
      </w:r>
      <w:r w:rsidRPr="00BE5314">
        <w:rPr>
          <w:rFonts w:hint="eastAsia"/>
          <w:lang w:val="en-US"/>
        </w:rPr>
        <w:t>1399</w:t>
      </w:r>
      <w:r w:rsidRPr="00BE5314">
        <w:rPr>
          <w:rFonts w:hint="eastAsia"/>
          <w:lang w:val="zh-CN"/>
        </w:rPr>
        <w:t>号决议</w:t>
      </w:r>
      <w:r w:rsidRPr="00BE5314">
        <w:rPr>
          <w:rFonts w:hint="eastAsia"/>
          <w:lang w:val="en-US"/>
        </w:rPr>
        <w:t>，</w:t>
      </w:r>
      <w:r w:rsidRPr="00BE5314">
        <w:rPr>
          <w:rFonts w:hint="eastAsia"/>
          <w:lang w:val="zh-CN"/>
        </w:rPr>
        <w:t>确定了</w:t>
      </w:r>
      <w:r w:rsidRPr="00BE5314">
        <w:rPr>
          <w:rFonts w:hint="eastAsia"/>
          <w:lang w:val="en-US"/>
        </w:rPr>
        <w:t>WRC</w:t>
      </w:r>
      <w:r w:rsidRPr="00BE5314">
        <w:rPr>
          <w:lang w:val="en-US"/>
        </w:rPr>
        <w:t>-</w:t>
      </w:r>
      <w:r w:rsidRPr="00BE5314">
        <w:rPr>
          <w:rFonts w:hint="eastAsia"/>
          <w:lang w:val="en-US"/>
        </w:rPr>
        <w:t>23</w:t>
      </w:r>
      <w:r w:rsidRPr="00BE5314">
        <w:rPr>
          <w:rFonts w:hint="eastAsia"/>
          <w:lang w:val="zh-CN"/>
        </w:rPr>
        <w:t>的议程，</w:t>
      </w:r>
    </w:p>
    <w:p w14:paraId="5789C487" w14:textId="77777777" w:rsidR="00A8205F" w:rsidRPr="00BE5314" w:rsidRDefault="00A8205F" w:rsidP="00A8205F">
      <w:pPr>
        <w:pStyle w:val="Call"/>
        <w:rPr>
          <w:lang w:val="zh-CN" w:eastAsia="zh-CN"/>
        </w:rPr>
      </w:pPr>
      <w:r w:rsidRPr="00BE5314">
        <w:rPr>
          <w:rFonts w:hint="eastAsia"/>
          <w:lang w:val="zh-CN" w:eastAsia="zh-CN"/>
        </w:rPr>
        <w:t>做出决定</w:t>
      </w:r>
    </w:p>
    <w:p w14:paraId="5B4545CF" w14:textId="77777777" w:rsidR="00A8205F" w:rsidRPr="00BE5314" w:rsidRDefault="00A8205F" w:rsidP="00A8205F">
      <w:pPr>
        <w:pStyle w:val="NormalCH"/>
        <w:ind w:firstLine="480"/>
        <w:rPr>
          <w:lang w:val="en-US"/>
        </w:rPr>
      </w:pPr>
      <w:r w:rsidRPr="00BE5314">
        <w:rPr>
          <w:rFonts w:hint="eastAsia"/>
          <w:lang w:val="zh-CN"/>
        </w:rPr>
        <w:t>经国际电联多数成员国同意</w:t>
      </w:r>
      <w:r>
        <w:rPr>
          <w:rFonts w:hint="eastAsia"/>
          <w:lang w:val="zh-CN"/>
        </w:rPr>
        <w:t>之</w:t>
      </w:r>
      <w:r w:rsidRPr="00BE5314">
        <w:rPr>
          <w:rFonts w:hint="eastAsia"/>
          <w:lang w:val="zh-CN"/>
        </w:rPr>
        <w:t>后</w:t>
      </w:r>
      <w:r w:rsidRPr="00BE5314">
        <w:rPr>
          <w:rFonts w:hint="eastAsia"/>
          <w:lang w:val="en-US"/>
        </w:rPr>
        <w:t>，</w:t>
      </w:r>
      <w:r w:rsidRPr="00BE5314">
        <w:rPr>
          <w:rFonts w:hint="eastAsia"/>
          <w:lang w:val="zh-CN"/>
        </w:rPr>
        <w:t>下一届世界无线电通信大会将于</w:t>
      </w:r>
      <w:r w:rsidRPr="00BE5314">
        <w:rPr>
          <w:rFonts w:hint="eastAsia"/>
          <w:lang w:val="en-US"/>
        </w:rPr>
        <w:t>2023</w:t>
      </w:r>
      <w:r w:rsidRPr="00BE5314">
        <w:rPr>
          <w:rFonts w:hint="eastAsia"/>
          <w:lang w:val="zh-CN"/>
        </w:rPr>
        <w:t>年</w:t>
      </w:r>
      <w:r w:rsidRPr="00BE5314">
        <w:rPr>
          <w:rFonts w:hint="eastAsia"/>
          <w:lang w:val="en-US"/>
        </w:rPr>
        <w:t>11</w:t>
      </w:r>
      <w:r w:rsidRPr="00BE5314">
        <w:rPr>
          <w:rFonts w:hint="eastAsia"/>
          <w:lang w:val="zh-CN"/>
        </w:rPr>
        <w:t>月</w:t>
      </w:r>
      <w:r w:rsidRPr="00BE5314">
        <w:rPr>
          <w:rFonts w:hint="eastAsia"/>
          <w:lang w:val="en-US"/>
        </w:rPr>
        <w:t>20</w:t>
      </w:r>
      <w:r w:rsidRPr="00BE5314">
        <w:rPr>
          <w:rFonts w:hint="eastAsia"/>
          <w:lang w:val="zh-CN"/>
        </w:rPr>
        <w:t>日至</w:t>
      </w:r>
      <w:r w:rsidRPr="00BE5314">
        <w:rPr>
          <w:rFonts w:hint="eastAsia"/>
          <w:lang w:val="en-US"/>
        </w:rPr>
        <w:t>12</w:t>
      </w:r>
      <w:r w:rsidRPr="00BE5314">
        <w:rPr>
          <w:rFonts w:hint="eastAsia"/>
          <w:lang w:val="zh-CN"/>
        </w:rPr>
        <w:t>月</w:t>
      </w:r>
      <w:r w:rsidRPr="00BE5314">
        <w:rPr>
          <w:rFonts w:hint="eastAsia"/>
          <w:lang w:val="en-US"/>
        </w:rPr>
        <w:t>15</w:t>
      </w:r>
      <w:r w:rsidRPr="00BE5314">
        <w:rPr>
          <w:rFonts w:hint="eastAsia"/>
          <w:lang w:val="zh-CN"/>
        </w:rPr>
        <w:t>日在阿联酋</w:t>
      </w:r>
      <w:r>
        <w:rPr>
          <w:rFonts w:hint="eastAsia"/>
          <w:lang w:val="zh-CN"/>
        </w:rPr>
        <w:t>或是</w:t>
      </w:r>
      <w:r w:rsidRPr="00BE5314">
        <w:rPr>
          <w:rFonts w:hint="eastAsia"/>
          <w:lang w:val="zh-CN"/>
        </w:rPr>
        <w:t>阿布扎比或</w:t>
      </w:r>
      <w:r>
        <w:rPr>
          <w:rFonts w:hint="eastAsia"/>
          <w:lang w:val="zh-CN"/>
        </w:rPr>
        <w:t>是</w:t>
      </w:r>
      <w:r w:rsidRPr="00BE5314">
        <w:rPr>
          <w:rFonts w:hint="eastAsia"/>
          <w:lang w:val="zh-CN"/>
        </w:rPr>
        <w:t>迪拜举行</w:t>
      </w:r>
      <w:r w:rsidRPr="00BE5314">
        <w:rPr>
          <w:rFonts w:hint="eastAsia"/>
          <w:lang w:val="en-US"/>
        </w:rPr>
        <w:t>，</w:t>
      </w:r>
      <w:r w:rsidRPr="00BE5314">
        <w:rPr>
          <w:rFonts w:hint="eastAsia"/>
          <w:lang w:val="zh-CN"/>
        </w:rPr>
        <w:t>此前将于</w:t>
      </w:r>
      <w:r w:rsidRPr="00BE5314">
        <w:rPr>
          <w:rFonts w:hint="eastAsia"/>
          <w:lang w:val="en-US"/>
        </w:rPr>
        <w:t>2023</w:t>
      </w:r>
      <w:r w:rsidRPr="00BE5314">
        <w:rPr>
          <w:rFonts w:hint="eastAsia"/>
          <w:lang w:val="zh-CN"/>
        </w:rPr>
        <w:t>年</w:t>
      </w:r>
      <w:r w:rsidRPr="00BE5314">
        <w:rPr>
          <w:rFonts w:hint="eastAsia"/>
          <w:lang w:val="en-US"/>
        </w:rPr>
        <w:t>11</w:t>
      </w:r>
      <w:r w:rsidRPr="00BE5314">
        <w:rPr>
          <w:rFonts w:hint="eastAsia"/>
          <w:lang w:val="zh-CN"/>
        </w:rPr>
        <w:t>月</w:t>
      </w:r>
      <w:r w:rsidRPr="00BE5314">
        <w:rPr>
          <w:rFonts w:hint="eastAsia"/>
          <w:lang w:val="en-US"/>
        </w:rPr>
        <w:t>13</w:t>
      </w:r>
      <w:r>
        <w:rPr>
          <w:lang w:val="en-US"/>
        </w:rPr>
        <w:t>-</w:t>
      </w:r>
      <w:r w:rsidRPr="00BE5314">
        <w:rPr>
          <w:rFonts w:hint="eastAsia"/>
          <w:lang w:val="en-US"/>
        </w:rPr>
        <w:t>17</w:t>
      </w:r>
      <w:r w:rsidRPr="00BE5314">
        <w:rPr>
          <w:rFonts w:hint="eastAsia"/>
          <w:lang w:val="zh-CN"/>
        </w:rPr>
        <w:t>日举</w:t>
      </w:r>
      <w:r>
        <w:rPr>
          <w:rFonts w:hint="eastAsia"/>
          <w:lang w:val="zh-CN"/>
        </w:rPr>
        <w:t>办</w:t>
      </w:r>
      <w:r w:rsidRPr="00BE5314">
        <w:rPr>
          <w:rFonts w:hint="eastAsia"/>
          <w:lang w:val="en-US"/>
        </w:rPr>
        <w:t>2023</w:t>
      </w:r>
      <w:r w:rsidRPr="00BE5314">
        <w:rPr>
          <w:rFonts w:hint="eastAsia"/>
          <w:lang w:val="zh-CN"/>
        </w:rPr>
        <w:t>年无线电通信全会</w:t>
      </w:r>
      <w:r w:rsidRPr="00BE5314">
        <w:rPr>
          <w:rFonts w:hint="eastAsia"/>
          <w:lang w:val="en-US"/>
        </w:rPr>
        <w:t>（</w:t>
      </w:r>
      <w:r w:rsidRPr="00BE5314">
        <w:rPr>
          <w:rFonts w:hint="eastAsia"/>
          <w:lang w:val="en-US"/>
        </w:rPr>
        <w:t>R</w:t>
      </w:r>
      <w:r w:rsidRPr="00BE5314">
        <w:rPr>
          <w:lang w:val="en-US"/>
        </w:rPr>
        <w:t>A-23</w:t>
      </w:r>
      <w:r w:rsidRPr="00BE5314">
        <w:rPr>
          <w:rFonts w:hint="eastAsia"/>
          <w:lang w:val="en-US"/>
        </w:rPr>
        <w:t>），</w:t>
      </w:r>
    </w:p>
    <w:p w14:paraId="0B93FD14" w14:textId="77777777" w:rsidR="00A8205F" w:rsidRPr="00BE5314" w:rsidRDefault="00A8205F" w:rsidP="00A8205F">
      <w:pPr>
        <w:pStyle w:val="Call"/>
        <w:rPr>
          <w:lang w:val="zh-CN" w:eastAsia="zh-CN"/>
        </w:rPr>
      </w:pPr>
      <w:r w:rsidRPr="00BE5314">
        <w:rPr>
          <w:lang w:val="zh-CN" w:eastAsia="zh-CN"/>
        </w:rPr>
        <w:t>责成秘书长</w:t>
      </w:r>
    </w:p>
    <w:p w14:paraId="4760AACD" w14:textId="77777777" w:rsidR="00A8205F" w:rsidRPr="00BE5314" w:rsidRDefault="00A8205F" w:rsidP="00A8205F">
      <w:pPr>
        <w:rPr>
          <w:rFonts w:eastAsia="Times New Roman"/>
          <w:szCs w:val="18"/>
          <w:lang w:val="en-US" w:eastAsia="zh-CN"/>
        </w:rPr>
      </w:pPr>
      <w:r w:rsidRPr="00BE5314">
        <w:rPr>
          <w:rFonts w:eastAsia="Times New Roman"/>
          <w:szCs w:val="18"/>
          <w:lang w:val="en-US" w:eastAsia="zh-CN"/>
        </w:rPr>
        <w:t>1</w:t>
      </w:r>
      <w:r w:rsidRPr="00BE5314">
        <w:rPr>
          <w:rFonts w:eastAsia="Times New Roman"/>
          <w:szCs w:val="18"/>
          <w:lang w:val="en-US" w:eastAsia="zh-CN"/>
        </w:rPr>
        <w:tab/>
      </w:r>
      <w:bookmarkStart w:id="2004" w:name="lt_pId089"/>
      <w:r w:rsidRPr="00BE5314">
        <w:rPr>
          <w:lang w:val="en-US" w:eastAsia="zh-CN"/>
        </w:rPr>
        <w:t>就</w:t>
      </w:r>
      <w:r w:rsidRPr="00BE5314">
        <w:rPr>
          <w:rFonts w:eastAsia="Times New Roman"/>
          <w:spacing w:val="-2"/>
          <w:szCs w:val="18"/>
          <w:lang w:val="en-US" w:eastAsia="zh-CN"/>
        </w:rPr>
        <w:t>RA-23</w:t>
      </w:r>
      <w:r w:rsidRPr="00BE5314">
        <w:rPr>
          <w:lang w:val="en-US" w:eastAsia="zh-CN"/>
        </w:rPr>
        <w:t>和</w:t>
      </w:r>
      <w:r w:rsidRPr="00BE5314">
        <w:rPr>
          <w:rFonts w:eastAsia="Times New Roman"/>
          <w:spacing w:val="-2"/>
          <w:szCs w:val="18"/>
          <w:lang w:val="en-US" w:eastAsia="zh-CN"/>
        </w:rPr>
        <w:t>WRC-23</w:t>
      </w:r>
      <w:r w:rsidRPr="00BE5314">
        <w:rPr>
          <w:lang w:val="en-US" w:eastAsia="zh-CN"/>
        </w:rPr>
        <w:t>的</w:t>
      </w:r>
      <w:r w:rsidRPr="00BE5314">
        <w:rPr>
          <w:rFonts w:hint="eastAsia"/>
          <w:lang w:val="en-US" w:eastAsia="zh-CN"/>
        </w:rPr>
        <w:t>确切日期</w:t>
      </w:r>
      <w:r w:rsidRPr="00BE5314">
        <w:rPr>
          <w:lang w:val="en-US" w:eastAsia="zh-CN"/>
        </w:rPr>
        <w:t>和地点与</w:t>
      </w:r>
      <w:r>
        <w:rPr>
          <w:rFonts w:hint="eastAsia"/>
          <w:lang w:val="en-US" w:eastAsia="zh-CN"/>
        </w:rPr>
        <w:t>所有</w:t>
      </w:r>
      <w:r w:rsidRPr="00BE5314">
        <w:rPr>
          <w:lang w:val="en-US" w:eastAsia="zh-CN"/>
        </w:rPr>
        <w:t>成员国进行磋商；</w:t>
      </w:r>
      <w:bookmarkEnd w:id="2004"/>
    </w:p>
    <w:p w14:paraId="62855FB3" w14:textId="578F323F" w:rsidR="00A8205F" w:rsidRDefault="00A8205F" w:rsidP="00A8205F">
      <w:pPr>
        <w:rPr>
          <w:lang w:val="en-US" w:eastAsia="zh-CN"/>
        </w:rPr>
      </w:pPr>
      <w:r w:rsidRPr="00BE5314">
        <w:rPr>
          <w:rFonts w:eastAsia="Times New Roman"/>
          <w:szCs w:val="18"/>
          <w:lang w:val="en-US" w:eastAsia="zh-CN"/>
        </w:rPr>
        <w:t>2</w:t>
      </w:r>
      <w:r w:rsidRPr="00BE5314">
        <w:rPr>
          <w:rFonts w:eastAsia="Times New Roman"/>
          <w:szCs w:val="18"/>
          <w:lang w:val="en-US" w:eastAsia="zh-CN"/>
        </w:rPr>
        <w:tab/>
      </w:r>
      <w:r w:rsidRPr="00BE5314">
        <w:rPr>
          <w:rFonts w:cs="Arial" w:hint="eastAsia"/>
          <w:lang w:val="en-US" w:eastAsia="zh-CN"/>
        </w:rPr>
        <w:t>与无线电通信局主任达成一致，</w:t>
      </w:r>
      <w:r w:rsidRPr="00BE5314">
        <w:rPr>
          <w:rFonts w:hint="eastAsia"/>
          <w:lang w:val="en-US" w:eastAsia="zh-CN"/>
        </w:rPr>
        <w:t>为召开该大会进行</w:t>
      </w:r>
      <w:r>
        <w:rPr>
          <w:rFonts w:hint="eastAsia"/>
          <w:lang w:val="en-US" w:eastAsia="zh-CN"/>
        </w:rPr>
        <w:t>所有</w:t>
      </w:r>
      <w:r w:rsidRPr="00BE5314">
        <w:rPr>
          <w:rFonts w:hint="eastAsia"/>
          <w:lang w:val="en-US" w:eastAsia="zh-CN"/>
        </w:rPr>
        <w:t>必要安排。</w:t>
      </w:r>
    </w:p>
    <w:p w14:paraId="2B87769A" w14:textId="19702062" w:rsidR="00A8205F" w:rsidRPr="00BE5314" w:rsidRDefault="00A8205F" w:rsidP="00A8205F">
      <w:pPr>
        <w:pStyle w:val="Endtext"/>
        <w:tabs>
          <w:tab w:val="clear" w:pos="1134"/>
          <w:tab w:val="clear" w:pos="1701"/>
          <w:tab w:val="clear" w:pos="2268"/>
          <w:tab w:val="clear" w:pos="2835"/>
          <w:tab w:val="left" w:pos="794"/>
          <w:tab w:val="left" w:pos="1191"/>
          <w:tab w:val="left" w:pos="1588"/>
          <w:tab w:val="left" w:pos="1985"/>
        </w:tabs>
        <w:ind w:left="567" w:hanging="567"/>
        <w:jc w:val="both"/>
        <w:rPr>
          <w:lang w:val="en-US" w:eastAsia="zh-CN"/>
        </w:rPr>
      </w:pPr>
      <w:r w:rsidRPr="00A8205F">
        <w:rPr>
          <w:rFonts w:hint="eastAsia"/>
          <w:lang w:val="en-GB" w:eastAsia="zh-CN"/>
        </w:rPr>
        <w:t>参阅</w:t>
      </w:r>
      <w:r>
        <w:rPr>
          <w:rFonts w:hint="eastAsia"/>
          <w:lang w:val="en-GB" w:eastAsia="zh-CN"/>
        </w:rPr>
        <w:t>：</w:t>
      </w:r>
      <w:r w:rsidRPr="00365099">
        <w:rPr>
          <w:lang w:val="en-GB" w:eastAsia="zh-CN"/>
        </w:rPr>
        <w:tab/>
      </w:r>
      <w:hyperlink r:id="rId407" w:history="1">
        <w:r w:rsidRPr="00365099">
          <w:rPr>
            <w:rStyle w:val="Hyperlink"/>
            <w:lang w:val="en-GB" w:eastAsia="zh-CN"/>
          </w:rPr>
          <w:t>C21/55</w:t>
        </w:r>
      </w:hyperlink>
      <w:r>
        <w:rPr>
          <w:rFonts w:hint="eastAsia"/>
          <w:lang w:val="en-GB" w:eastAsia="zh-CN"/>
        </w:rPr>
        <w:t>、</w:t>
      </w:r>
      <w:hyperlink r:id="rId408" w:history="1">
        <w:r w:rsidRPr="00365099">
          <w:rPr>
            <w:rStyle w:val="Hyperlink"/>
            <w:lang w:val="en-GB" w:eastAsia="zh-CN"/>
          </w:rPr>
          <w:t>C21/86</w:t>
        </w:r>
      </w:hyperlink>
      <w:r w:rsidRPr="00A8205F">
        <w:rPr>
          <w:lang w:eastAsia="zh-CN"/>
        </w:rPr>
        <w:t>和</w:t>
      </w:r>
      <w:hyperlink r:id="rId409" w:history="1">
        <w:r w:rsidRPr="00365099">
          <w:rPr>
            <w:rStyle w:val="Hyperlink"/>
            <w:lang w:val="en-GB" w:eastAsia="zh-CN"/>
          </w:rPr>
          <w:t>DM-21/1017</w:t>
        </w:r>
      </w:hyperlink>
      <w:r>
        <w:rPr>
          <w:rFonts w:hint="eastAsia"/>
          <w:lang w:val="en-GB" w:eastAsia="zh-CN"/>
        </w:rPr>
        <w:t>号文件。</w:t>
      </w:r>
    </w:p>
    <w:p w14:paraId="31B53F14" w14:textId="77777777" w:rsidR="00A8205F" w:rsidRDefault="00A8205F" w:rsidP="00A8205F">
      <w:pPr>
        <w:spacing w:before="840"/>
        <w:jc w:val="center"/>
        <w:rPr>
          <w:lang w:eastAsia="zh-CN"/>
        </w:rPr>
      </w:pPr>
      <w:r>
        <w:rPr>
          <w:lang w:eastAsia="zh-CN"/>
        </w:rPr>
        <w:t>______________</w:t>
      </w:r>
    </w:p>
    <w:p w14:paraId="3CF553E1" w14:textId="77777777" w:rsidR="00FD589E" w:rsidRDefault="00FD589E" w:rsidP="00B64353">
      <w:pPr>
        <w:tabs>
          <w:tab w:val="clear" w:pos="794"/>
          <w:tab w:val="clear" w:pos="1191"/>
          <w:tab w:val="clear" w:pos="1588"/>
          <w:tab w:val="clear" w:pos="1985"/>
        </w:tabs>
        <w:overflowPunct/>
        <w:autoSpaceDE/>
        <w:autoSpaceDN/>
        <w:adjustRightInd/>
        <w:spacing w:before="0"/>
        <w:jc w:val="left"/>
        <w:textAlignment w:val="auto"/>
        <w:rPr>
          <w:lang w:val="en-US" w:eastAsia="zh-CN"/>
        </w:rPr>
      </w:pPr>
    </w:p>
    <w:p w14:paraId="4827B745" w14:textId="77777777" w:rsidR="00FD589E" w:rsidRDefault="00FD589E" w:rsidP="00B64353">
      <w:pPr>
        <w:tabs>
          <w:tab w:val="clear" w:pos="794"/>
          <w:tab w:val="clear" w:pos="1191"/>
          <w:tab w:val="clear" w:pos="1588"/>
          <w:tab w:val="clear" w:pos="1985"/>
        </w:tabs>
        <w:overflowPunct/>
        <w:autoSpaceDE/>
        <w:autoSpaceDN/>
        <w:adjustRightInd/>
        <w:spacing w:before="0"/>
        <w:jc w:val="left"/>
        <w:textAlignment w:val="auto"/>
        <w:rPr>
          <w:lang w:val="en-US" w:eastAsia="zh-CN"/>
        </w:rPr>
      </w:pPr>
    </w:p>
    <w:p w14:paraId="4827B746" w14:textId="77777777" w:rsidR="00FD589E" w:rsidRPr="007F5131" w:rsidRDefault="00FD589E" w:rsidP="00B64353">
      <w:pPr>
        <w:tabs>
          <w:tab w:val="clear" w:pos="794"/>
          <w:tab w:val="clear" w:pos="1191"/>
          <w:tab w:val="clear" w:pos="1588"/>
          <w:tab w:val="clear" w:pos="1985"/>
        </w:tabs>
        <w:overflowPunct/>
        <w:autoSpaceDE/>
        <w:autoSpaceDN/>
        <w:adjustRightInd/>
        <w:spacing w:before="0"/>
        <w:jc w:val="left"/>
        <w:textAlignment w:val="auto"/>
        <w:rPr>
          <w:lang w:val="en-US" w:eastAsia="zh-CN"/>
        </w:rPr>
      </w:pPr>
    </w:p>
    <w:p w14:paraId="4827B747" w14:textId="77777777" w:rsidR="0006123C" w:rsidRPr="00D746C3" w:rsidRDefault="0006123C" w:rsidP="00B64353">
      <w:pPr>
        <w:spacing w:after="120"/>
        <w:rPr>
          <w:lang w:eastAsia="zh-CN"/>
        </w:rPr>
        <w:sectPr w:rsidR="0006123C" w:rsidRPr="00D746C3" w:rsidSect="00D64003">
          <w:headerReference w:type="even" r:id="rId410"/>
          <w:headerReference w:type="default" r:id="rId411"/>
          <w:footerReference w:type="even" r:id="rId412"/>
          <w:footerReference w:type="default" r:id="rId413"/>
          <w:headerReference w:type="first" r:id="rId414"/>
          <w:footerReference w:type="first" r:id="rId415"/>
          <w:footnotePr>
            <w:pos w:val="beneathText"/>
          </w:footnotePr>
          <w:endnotePr>
            <w:numFmt w:val="decimal"/>
          </w:endnotePr>
          <w:pgSz w:w="11907" w:h="16840" w:code="9"/>
          <w:pgMar w:top="1418" w:right="1134" w:bottom="1134" w:left="1134" w:header="737" w:footer="567" w:gutter="284"/>
          <w:cols w:space="720"/>
          <w:vAlign w:val="both"/>
          <w:titlePg/>
        </w:sectPr>
      </w:pPr>
    </w:p>
    <w:p w14:paraId="4827B748" w14:textId="77777777" w:rsidR="00F11D1D" w:rsidRPr="002959C8" w:rsidRDefault="00F11D1D" w:rsidP="00EA3335">
      <w:pPr>
        <w:pStyle w:val="ChapNo"/>
        <w:spacing w:before="240"/>
        <w:rPr>
          <w:b w:val="0"/>
          <w:bCs/>
          <w:lang w:eastAsia="zh-CN"/>
        </w:rPr>
      </w:pPr>
      <w:bookmarkStart w:id="2005" w:name="_Toc81880125"/>
      <w:bookmarkStart w:id="2006" w:name="_Toc161224066"/>
      <w:bookmarkStart w:id="2007" w:name="_Toc161732112"/>
      <w:bookmarkStart w:id="2008" w:name="_Toc161741042"/>
      <w:bookmarkStart w:id="2009" w:name="_Toc185237710"/>
      <w:bookmarkStart w:id="2010" w:name="_Toc311469635"/>
      <w:bookmarkStart w:id="2011" w:name="_Toc424115676"/>
      <w:bookmarkStart w:id="2012" w:name="_Toc424116246"/>
      <w:bookmarkStart w:id="2013" w:name="_Toc424117073"/>
      <w:bookmarkStart w:id="2014" w:name="_Toc531707031"/>
      <w:bookmarkStart w:id="2015" w:name="_Toc531707156"/>
      <w:bookmarkStart w:id="2016" w:name="_Toc531768511"/>
      <w:bookmarkStart w:id="2017" w:name="_Toc16085836"/>
      <w:bookmarkStart w:id="2018" w:name="_Toc16173302"/>
      <w:bookmarkStart w:id="2019" w:name="_Toc16173759"/>
      <w:bookmarkStart w:id="2020" w:name="_Toc86395639"/>
      <w:r w:rsidRPr="002959C8">
        <w:rPr>
          <w:b w:val="0"/>
          <w:bCs/>
          <w:lang w:eastAsia="zh-CN"/>
        </w:rPr>
        <w:lastRenderedPageBreak/>
        <w:t>4</w:t>
      </w:r>
      <w:r w:rsidRPr="002959C8">
        <w:rPr>
          <w:b w:val="0"/>
          <w:bCs/>
          <w:lang w:eastAsia="zh-CN"/>
        </w:rPr>
        <w:tab/>
      </w:r>
      <w:bookmarkEnd w:id="2005"/>
      <w:r w:rsidR="00B40863" w:rsidRPr="002959C8">
        <w:rPr>
          <w:rFonts w:hint="eastAsia"/>
          <w:b w:val="0"/>
          <w:bCs/>
          <w:lang w:eastAsia="zh-CN"/>
        </w:rPr>
        <w:t>总秘书处</w:t>
      </w:r>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p>
    <w:p w14:paraId="4827B749" w14:textId="77777777" w:rsidR="009C2E24" w:rsidRPr="009C2E24" w:rsidRDefault="00B40863" w:rsidP="00CA7362">
      <w:pPr>
        <w:pStyle w:val="ResNo"/>
        <w:outlineLvl w:val="0"/>
        <w:rPr>
          <w:lang w:eastAsia="zh-CN"/>
        </w:rPr>
      </w:pPr>
      <w:bookmarkStart w:id="2021" w:name="_Toc424117074"/>
      <w:bookmarkStart w:id="2022" w:name="_Toc531706422"/>
      <w:bookmarkStart w:id="2023" w:name="_Toc531707032"/>
      <w:bookmarkStart w:id="2024" w:name="_Toc531768512"/>
      <w:bookmarkStart w:id="2025" w:name="_Toc16085837"/>
      <w:bookmarkStart w:id="2026" w:name="_Toc86395640"/>
      <w:bookmarkStart w:id="2027" w:name="_Toc161224067"/>
      <w:bookmarkStart w:id="2028" w:name="_Toc161732113"/>
      <w:bookmarkStart w:id="2029" w:name="_Toc161741043"/>
      <w:bookmarkStart w:id="2030" w:name="_Toc63839130"/>
      <w:bookmarkStart w:id="2031" w:name="_Toc78271370"/>
      <w:bookmarkStart w:id="2032" w:name="_Toc81880126"/>
      <w:bookmarkStart w:id="2033" w:name="_Toc185237711"/>
      <w:bookmarkStart w:id="2034" w:name="_Toc311469636"/>
      <w:r w:rsidRPr="009C2E24">
        <w:rPr>
          <w:rFonts w:hint="eastAsia"/>
          <w:lang w:eastAsia="zh-CN"/>
        </w:rPr>
        <w:t>第</w:t>
      </w:r>
      <w:r w:rsidRPr="009C2E24">
        <w:rPr>
          <w:lang w:eastAsia="zh-CN"/>
        </w:rPr>
        <w:t>1110</w:t>
      </w:r>
      <w:r w:rsidRPr="009C2E24">
        <w:rPr>
          <w:rFonts w:hint="eastAsia"/>
          <w:lang w:eastAsia="zh-CN"/>
        </w:rPr>
        <w:t>号决议</w:t>
      </w:r>
      <w:r w:rsidR="009C2E24">
        <w:rPr>
          <w:rFonts w:hint="eastAsia"/>
          <w:lang w:eastAsia="zh-CN"/>
        </w:rPr>
        <w:t>（</w:t>
      </w:r>
      <w:r w:rsidR="009C2E24" w:rsidRPr="009C2E24">
        <w:rPr>
          <w:lang w:eastAsia="zh-CN"/>
        </w:rPr>
        <w:t>C-1997</w:t>
      </w:r>
      <w:r w:rsidR="009C2E24">
        <w:rPr>
          <w:rFonts w:hint="eastAsia"/>
          <w:lang w:eastAsia="zh-CN"/>
        </w:rPr>
        <w:t>）</w:t>
      </w:r>
      <w:bookmarkEnd w:id="2021"/>
      <w:bookmarkEnd w:id="2022"/>
      <w:bookmarkEnd w:id="2023"/>
      <w:bookmarkEnd w:id="2024"/>
      <w:bookmarkEnd w:id="2025"/>
      <w:bookmarkEnd w:id="2026"/>
    </w:p>
    <w:p w14:paraId="4827B74A" w14:textId="77777777" w:rsidR="00F11D1D" w:rsidRPr="009C2E24" w:rsidRDefault="00B40863" w:rsidP="003C5134">
      <w:pPr>
        <w:pStyle w:val="Restitle"/>
        <w:rPr>
          <w:lang w:eastAsia="zh-CN"/>
        </w:rPr>
      </w:pPr>
      <w:bookmarkStart w:id="2035" w:name="_Toc424116247"/>
      <w:bookmarkStart w:id="2036" w:name="_Toc424117075"/>
      <w:bookmarkStart w:id="2037" w:name="_Toc460248188"/>
      <w:bookmarkStart w:id="2038" w:name="_Toc531706423"/>
      <w:bookmarkStart w:id="2039" w:name="_Toc531707033"/>
      <w:bookmarkStart w:id="2040" w:name="_Toc531768513"/>
      <w:bookmarkStart w:id="2041" w:name="_Toc16085838"/>
      <w:bookmarkStart w:id="2042" w:name="_Toc86395641"/>
      <w:r>
        <w:rPr>
          <w:rFonts w:ascii="SimSun" w:hAnsi="SimSun" w:hint="eastAsia"/>
          <w:lang w:eastAsia="zh-CN"/>
        </w:rPr>
        <w:t>国际电联在</w:t>
      </w:r>
      <w:r>
        <w:rPr>
          <w:lang w:eastAsia="zh-CN"/>
        </w:rPr>
        <w:t>GMPCS-MoU</w:t>
      </w:r>
      <w:r>
        <w:rPr>
          <w:rFonts w:ascii="SimSun" w:hAnsi="SimSun" w:hint="eastAsia"/>
          <w:lang w:eastAsia="zh-CN"/>
        </w:rPr>
        <w:t>中的作用</w:t>
      </w:r>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p>
    <w:p w14:paraId="4827B74B" w14:textId="77777777" w:rsidR="00B40863" w:rsidRPr="009C2E24" w:rsidRDefault="00B40863" w:rsidP="009C2E24">
      <w:pPr>
        <w:pStyle w:val="Normalaftertitle"/>
        <w:rPr>
          <w:lang w:eastAsia="zh-CN"/>
        </w:rPr>
      </w:pPr>
      <w:r w:rsidRPr="009C2E24">
        <w:rPr>
          <w:rFonts w:hint="eastAsia"/>
          <w:lang w:eastAsia="zh-CN"/>
        </w:rPr>
        <w:t>理事会，</w:t>
      </w:r>
    </w:p>
    <w:p w14:paraId="4827B74C" w14:textId="77777777" w:rsidR="00B40863" w:rsidRDefault="00B40863" w:rsidP="009C2E24">
      <w:pPr>
        <w:rPr>
          <w:lang w:eastAsia="zh-CN"/>
        </w:rPr>
      </w:pPr>
      <w:r>
        <w:rPr>
          <w:lang w:eastAsia="zh-CN"/>
        </w:rPr>
        <w:tab/>
      </w:r>
      <w:r>
        <w:rPr>
          <w:rFonts w:eastAsia="STKaiti" w:hint="eastAsia"/>
          <w:lang w:eastAsia="zh-CN"/>
        </w:rPr>
        <w:t>经审议</w:t>
      </w:r>
      <w:r>
        <w:rPr>
          <w:lang w:eastAsia="zh-CN"/>
        </w:rPr>
        <w:t>C97/68</w:t>
      </w:r>
      <w:r>
        <w:rPr>
          <w:rFonts w:hint="eastAsia"/>
          <w:lang w:eastAsia="zh-CN"/>
        </w:rPr>
        <w:t>号文件中的秘书长关于全球卫星个人移动通信系统谅解备忘录（</w:t>
      </w:r>
      <w:r>
        <w:rPr>
          <w:rFonts w:hint="eastAsia"/>
          <w:lang w:eastAsia="zh-CN"/>
        </w:rPr>
        <w:t>GMPCS-MoU</w:t>
      </w:r>
      <w:r>
        <w:rPr>
          <w:rFonts w:hint="eastAsia"/>
          <w:lang w:eastAsia="zh-CN"/>
        </w:rPr>
        <w:t>）的报告及</w:t>
      </w:r>
      <w:r>
        <w:rPr>
          <w:lang w:eastAsia="zh-CN"/>
        </w:rPr>
        <w:t>C97/97</w:t>
      </w:r>
      <w:r>
        <w:rPr>
          <w:rFonts w:hint="eastAsia"/>
          <w:lang w:eastAsia="zh-CN"/>
        </w:rPr>
        <w:t>号文件中美利坚合众国的提案，</w:t>
      </w:r>
    </w:p>
    <w:p w14:paraId="4827B74D" w14:textId="77777777" w:rsidR="00B40863" w:rsidRDefault="00B40863" w:rsidP="009C2E24">
      <w:pPr>
        <w:rPr>
          <w:lang w:eastAsia="zh-CN"/>
        </w:rPr>
      </w:pPr>
      <w:r>
        <w:rPr>
          <w:lang w:eastAsia="zh-CN"/>
        </w:rPr>
        <w:tab/>
      </w:r>
      <w:r>
        <w:rPr>
          <w:rFonts w:eastAsia="STKaiti" w:hint="eastAsia"/>
          <w:lang w:eastAsia="zh-CN"/>
        </w:rPr>
        <w:t>经进一步审议</w:t>
      </w:r>
      <w:r>
        <w:rPr>
          <w:lang w:eastAsia="zh-CN"/>
        </w:rPr>
        <w:t>1997</w:t>
      </w:r>
      <w:r>
        <w:rPr>
          <w:rFonts w:hint="eastAsia"/>
          <w:lang w:eastAsia="zh-CN"/>
        </w:rPr>
        <w:t>年年会上对国际电联产品和服务实行成本回收所作的决定，</w:t>
      </w:r>
    </w:p>
    <w:p w14:paraId="4827B74E" w14:textId="77777777" w:rsidR="00B40863" w:rsidRDefault="00B40863" w:rsidP="009C2E24">
      <w:pPr>
        <w:rPr>
          <w:lang w:eastAsia="zh-CN"/>
        </w:rPr>
      </w:pPr>
      <w:r>
        <w:rPr>
          <w:lang w:eastAsia="zh-CN"/>
        </w:rPr>
        <w:tab/>
      </w:r>
      <w:r>
        <w:rPr>
          <w:rFonts w:eastAsia="STKaiti" w:hint="eastAsia"/>
          <w:lang w:eastAsia="zh-CN"/>
        </w:rPr>
        <w:t>注意到</w:t>
      </w:r>
      <w:r w:rsidRPr="00D34F34">
        <w:rPr>
          <w:rFonts w:ascii="SimSun" w:hAnsi="SimSun" w:hint="eastAsia"/>
          <w:lang w:eastAsia="zh-CN"/>
        </w:rPr>
        <w:t>国际</w:t>
      </w:r>
      <w:r>
        <w:rPr>
          <w:rFonts w:hint="eastAsia"/>
          <w:lang w:eastAsia="zh-CN"/>
        </w:rPr>
        <w:t>电联成员国和各部门成员为支持</w:t>
      </w:r>
      <w:r>
        <w:rPr>
          <w:lang w:eastAsia="zh-CN"/>
        </w:rPr>
        <w:t>1996</w:t>
      </w:r>
      <w:r>
        <w:rPr>
          <w:rFonts w:hint="eastAsia"/>
          <w:lang w:eastAsia="zh-CN"/>
        </w:rPr>
        <w:t>年</w:t>
      </w:r>
      <w:r>
        <w:rPr>
          <w:lang w:eastAsia="zh-CN"/>
        </w:rPr>
        <w:t>10</w:t>
      </w:r>
      <w:r>
        <w:rPr>
          <w:rFonts w:hint="eastAsia"/>
          <w:lang w:eastAsia="zh-CN"/>
        </w:rPr>
        <w:t>月第一届世界电信政策论坛会提供的自愿捐款，</w:t>
      </w:r>
    </w:p>
    <w:p w14:paraId="4827B74F" w14:textId="77777777" w:rsidR="00B40863" w:rsidRDefault="00B40863" w:rsidP="009C2E24">
      <w:pPr>
        <w:rPr>
          <w:lang w:eastAsia="zh-CN"/>
        </w:rPr>
      </w:pPr>
      <w:r>
        <w:rPr>
          <w:lang w:eastAsia="zh-CN"/>
        </w:rPr>
        <w:tab/>
      </w:r>
      <w:r>
        <w:rPr>
          <w:rFonts w:eastAsia="STKaiti" w:hint="eastAsia"/>
          <w:lang w:eastAsia="zh-CN"/>
        </w:rPr>
        <w:t>进一步注意到</w:t>
      </w:r>
      <w:r>
        <w:rPr>
          <w:rFonts w:hint="eastAsia"/>
          <w:lang w:eastAsia="zh-CN"/>
        </w:rPr>
        <w:t>这些自愿捐款的剩余资金正在用来支持</w:t>
      </w:r>
      <w:r>
        <w:rPr>
          <w:lang w:eastAsia="zh-CN"/>
        </w:rPr>
        <w:t>GMPCS-MoU</w:t>
      </w:r>
      <w:r>
        <w:rPr>
          <w:rFonts w:hint="eastAsia"/>
          <w:lang w:eastAsia="zh-CN"/>
        </w:rPr>
        <w:t>小组的工作，并且为支持实施世界电信政策论坛（</w:t>
      </w:r>
      <w:r>
        <w:rPr>
          <w:lang w:eastAsia="zh-CN"/>
        </w:rPr>
        <w:t>WTPF</w:t>
      </w:r>
      <w:r>
        <w:rPr>
          <w:rFonts w:hint="eastAsia"/>
          <w:lang w:eastAsia="zh-CN"/>
        </w:rPr>
        <w:t>）第</w:t>
      </w:r>
      <w:r>
        <w:rPr>
          <w:lang w:eastAsia="zh-CN"/>
        </w:rPr>
        <w:t>5</w:t>
      </w:r>
      <w:r>
        <w:rPr>
          <w:rFonts w:hint="eastAsia"/>
          <w:lang w:eastAsia="zh-CN"/>
        </w:rPr>
        <w:t>号意见，正在寻求这种自愿捐款，</w:t>
      </w:r>
    </w:p>
    <w:p w14:paraId="4827B750" w14:textId="77777777" w:rsidR="00B40863" w:rsidRPr="004E1D40" w:rsidRDefault="00B40863" w:rsidP="00B64353">
      <w:pPr>
        <w:pStyle w:val="call0"/>
        <w:rPr>
          <w:rFonts w:ascii="STKaiti" w:hAnsi="STKaiti"/>
          <w:i/>
          <w:iCs/>
          <w:szCs w:val="22"/>
          <w:lang w:eastAsia="zh-CN"/>
        </w:rPr>
      </w:pPr>
      <w:r w:rsidRPr="004E1D40">
        <w:rPr>
          <w:rFonts w:ascii="STKaiti" w:hAnsi="STKaiti" w:hint="eastAsia"/>
          <w:iCs/>
          <w:szCs w:val="22"/>
          <w:lang w:eastAsia="zh-CN"/>
        </w:rPr>
        <w:t>做出决议</w:t>
      </w:r>
    </w:p>
    <w:p w14:paraId="4827B751" w14:textId="77777777" w:rsidR="00B40863" w:rsidRDefault="00E04370" w:rsidP="009C2E24">
      <w:pPr>
        <w:rPr>
          <w:lang w:eastAsia="zh-CN"/>
        </w:rPr>
      </w:pPr>
      <w:r>
        <w:rPr>
          <w:lang w:eastAsia="zh-CN"/>
        </w:rPr>
        <w:t>1</w:t>
      </w:r>
      <w:r w:rsidR="00B40863">
        <w:rPr>
          <w:lang w:eastAsia="zh-CN"/>
        </w:rPr>
        <w:tab/>
      </w:r>
      <w:r w:rsidR="00B40863">
        <w:rPr>
          <w:rFonts w:hint="eastAsia"/>
          <w:lang w:eastAsia="zh-CN"/>
        </w:rPr>
        <w:t>国际电联秘书处应在全部成本回收的基础上继续给</w:t>
      </w:r>
      <w:r w:rsidR="00B40863">
        <w:rPr>
          <w:lang w:eastAsia="zh-CN"/>
        </w:rPr>
        <w:t>GMPCS-MoU</w:t>
      </w:r>
      <w:r w:rsidR="00B40863">
        <w:rPr>
          <w:rFonts w:hint="eastAsia"/>
          <w:lang w:eastAsia="zh-CN"/>
        </w:rPr>
        <w:t>的活动提供支持，认为这是国际电联秘书处一项可以接受的任务；</w:t>
      </w:r>
    </w:p>
    <w:p w14:paraId="4827B752" w14:textId="77777777" w:rsidR="00B40863" w:rsidRDefault="00B40863" w:rsidP="009C2E24">
      <w:pPr>
        <w:rPr>
          <w:lang w:eastAsia="zh-CN"/>
        </w:rPr>
      </w:pPr>
      <w:r>
        <w:rPr>
          <w:lang w:eastAsia="zh-CN"/>
        </w:rPr>
        <w:t>2</w:t>
      </w:r>
      <w:r w:rsidR="00E04370">
        <w:rPr>
          <w:lang w:eastAsia="zh-CN"/>
        </w:rPr>
        <w:tab/>
      </w:r>
      <w:r>
        <w:rPr>
          <w:rFonts w:hint="eastAsia"/>
          <w:lang w:eastAsia="zh-CN"/>
        </w:rPr>
        <w:t>国际电联秘书处应提供一份迄今为止给第一届世界电信政策论坛的自愿捐款的用款</w:t>
      </w:r>
      <w:r w:rsidR="00E8383D">
        <w:rPr>
          <w:rFonts w:hint="eastAsia"/>
          <w:lang w:eastAsia="zh-CN"/>
        </w:rPr>
        <w:t>账目</w:t>
      </w:r>
      <w:r>
        <w:rPr>
          <w:rFonts w:hint="eastAsia"/>
          <w:lang w:eastAsia="zh-CN"/>
        </w:rPr>
        <w:t>；</w:t>
      </w:r>
    </w:p>
    <w:p w14:paraId="4827B753" w14:textId="77777777" w:rsidR="00B40863" w:rsidRDefault="00B40863" w:rsidP="009C2E24">
      <w:pPr>
        <w:rPr>
          <w:lang w:eastAsia="zh-CN"/>
        </w:rPr>
      </w:pPr>
      <w:r>
        <w:rPr>
          <w:lang w:eastAsia="zh-CN"/>
        </w:rPr>
        <w:t>3</w:t>
      </w:r>
      <w:r w:rsidR="00E04370">
        <w:rPr>
          <w:lang w:eastAsia="zh-CN"/>
        </w:rPr>
        <w:tab/>
      </w:r>
      <w:r>
        <w:rPr>
          <w:rFonts w:hint="eastAsia"/>
          <w:lang w:eastAsia="zh-CN"/>
        </w:rPr>
        <w:t>这些自愿捐款剩余的资金应用来支持第一届政策论坛下一年度的后续活动；</w:t>
      </w:r>
    </w:p>
    <w:p w14:paraId="4827B754" w14:textId="77777777" w:rsidR="00B40863" w:rsidRDefault="00B40863" w:rsidP="009C2E24">
      <w:pPr>
        <w:rPr>
          <w:lang w:eastAsia="zh-CN"/>
        </w:rPr>
      </w:pPr>
      <w:r>
        <w:rPr>
          <w:lang w:eastAsia="zh-CN"/>
        </w:rPr>
        <w:t>4</w:t>
      </w:r>
      <w:r w:rsidR="00E04370">
        <w:rPr>
          <w:lang w:eastAsia="zh-CN"/>
        </w:rPr>
        <w:tab/>
      </w:r>
      <w:r>
        <w:rPr>
          <w:rFonts w:hint="eastAsia"/>
          <w:lang w:eastAsia="zh-CN"/>
        </w:rPr>
        <w:t>如果为支持这些活动需要额外资金，国际电联秘书处应要求</w:t>
      </w:r>
      <w:r>
        <w:rPr>
          <w:lang w:eastAsia="zh-CN"/>
        </w:rPr>
        <w:t>GMPCS-MoU</w:t>
      </w:r>
      <w:r>
        <w:rPr>
          <w:rFonts w:hint="eastAsia"/>
          <w:lang w:eastAsia="zh-CN"/>
        </w:rPr>
        <w:t>的签署方以及其他感兴趣的各方提供额外的财政支持以继续其工作并支持国际电联秘书处在这些活动中的作用。</w:t>
      </w:r>
    </w:p>
    <w:p w14:paraId="4827B755" w14:textId="77777777" w:rsidR="00F11D1D" w:rsidRDefault="00B40863" w:rsidP="009C2E24">
      <w:pPr>
        <w:pStyle w:val="Endtext"/>
        <w:rPr>
          <w:lang w:eastAsia="zh-CN"/>
        </w:rPr>
      </w:pPr>
      <w:r>
        <w:rPr>
          <w:rFonts w:hint="eastAsia"/>
          <w:lang w:eastAsia="zh-CN"/>
        </w:rPr>
        <w:t>参阅：</w:t>
      </w:r>
      <w:r>
        <w:rPr>
          <w:lang w:eastAsia="zh-CN"/>
        </w:rPr>
        <w:tab/>
        <w:t>C97/130</w:t>
      </w:r>
      <w:r>
        <w:rPr>
          <w:rFonts w:hint="eastAsia"/>
          <w:lang w:eastAsia="zh-CN"/>
        </w:rPr>
        <w:t>和</w:t>
      </w:r>
      <w:r>
        <w:rPr>
          <w:lang w:eastAsia="zh-CN"/>
        </w:rPr>
        <w:t>C97/138</w:t>
      </w:r>
      <w:r>
        <w:rPr>
          <w:rFonts w:hint="eastAsia"/>
          <w:lang w:eastAsia="zh-CN"/>
        </w:rPr>
        <w:t>号文件。</w:t>
      </w:r>
    </w:p>
    <w:p w14:paraId="4827B756" w14:textId="77777777" w:rsidR="00FD589E" w:rsidRDefault="00FD589E" w:rsidP="00FD589E">
      <w:pPr>
        <w:jc w:val="center"/>
        <w:rPr>
          <w:lang w:eastAsia="zh-CN"/>
        </w:rPr>
      </w:pPr>
      <w:bookmarkStart w:id="2043" w:name="_Toc161224068"/>
      <w:bookmarkStart w:id="2044" w:name="_Toc161732114"/>
      <w:bookmarkStart w:id="2045" w:name="_Toc161741044"/>
      <w:bookmarkStart w:id="2046" w:name="_Toc185237712"/>
      <w:bookmarkStart w:id="2047" w:name="_Toc311469637"/>
      <w:r>
        <w:rPr>
          <w:lang w:eastAsia="zh-CN"/>
        </w:rPr>
        <w:t>______________</w:t>
      </w:r>
    </w:p>
    <w:p w14:paraId="4827B757" w14:textId="77777777" w:rsidR="00FD589E" w:rsidRDefault="00FD589E">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758" w14:textId="77777777" w:rsidR="00FD589E" w:rsidRDefault="00FD589E">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759" w14:textId="77777777" w:rsidR="00FD589E" w:rsidRDefault="00FD589E">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75A" w14:textId="77777777" w:rsidR="00FD589E" w:rsidRDefault="00FD589E">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75B" w14:textId="77777777" w:rsidR="004B3B55" w:rsidRDefault="004B3B55">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75C" w14:textId="77777777" w:rsidR="009C2E24" w:rsidRPr="009C2E24" w:rsidRDefault="00B40863" w:rsidP="00CA7362">
      <w:pPr>
        <w:pStyle w:val="ResNo"/>
        <w:outlineLvl w:val="0"/>
        <w:rPr>
          <w:lang w:eastAsia="zh-CN"/>
        </w:rPr>
      </w:pPr>
      <w:bookmarkStart w:id="2048" w:name="_Toc424117076"/>
      <w:bookmarkStart w:id="2049" w:name="_Toc531706424"/>
      <w:bookmarkStart w:id="2050" w:name="_Toc531707034"/>
      <w:bookmarkStart w:id="2051" w:name="_Toc531768514"/>
      <w:bookmarkStart w:id="2052" w:name="_Toc16085839"/>
      <w:bookmarkStart w:id="2053" w:name="_Toc86395642"/>
      <w:r w:rsidRPr="009C2E24">
        <w:rPr>
          <w:rFonts w:hint="eastAsia"/>
          <w:lang w:eastAsia="zh-CN"/>
        </w:rPr>
        <w:lastRenderedPageBreak/>
        <w:t>第</w:t>
      </w:r>
      <w:r w:rsidRPr="009C2E24">
        <w:rPr>
          <w:lang w:eastAsia="zh-CN"/>
        </w:rPr>
        <w:t>1116</w:t>
      </w:r>
      <w:r w:rsidRPr="009C2E24">
        <w:rPr>
          <w:rFonts w:hint="eastAsia"/>
          <w:lang w:eastAsia="zh-CN"/>
        </w:rPr>
        <w:t>号决议</w:t>
      </w:r>
      <w:r w:rsidR="009C2E24">
        <w:rPr>
          <w:rFonts w:hint="eastAsia"/>
          <w:lang w:eastAsia="zh-CN"/>
        </w:rPr>
        <w:t>（</w:t>
      </w:r>
      <w:r w:rsidR="009C2E24" w:rsidRPr="009C2E24">
        <w:rPr>
          <w:lang w:eastAsia="zh-CN"/>
        </w:rPr>
        <w:t>C-1998</w:t>
      </w:r>
      <w:r w:rsidR="009C2E24">
        <w:rPr>
          <w:rFonts w:hint="eastAsia"/>
          <w:lang w:eastAsia="zh-CN"/>
        </w:rPr>
        <w:t>）</w:t>
      </w:r>
      <w:bookmarkEnd w:id="2048"/>
      <w:bookmarkEnd w:id="2049"/>
      <w:bookmarkEnd w:id="2050"/>
      <w:bookmarkEnd w:id="2051"/>
      <w:bookmarkEnd w:id="2052"/>
      <w:bookmarkEnd w:id="2053"/>
    </w:p>
    <w:p w14:paraId="4827B75D" w14:textId="77777777" w:rsidR="00B40863" w:rsidRPr="009C2E24" w:rsidRDefault="00B40863" w:rsidP="00FD589E">
      <w:pPr>
        <w:pStyle w:val="Restitle"/>
        <w:rPr>
          <w:lang w:eastAsia="zh-CN"/>
        </w:rPr>
      </w:pPr>
      <w:bookmarkStart w:id="2054" w:name="_Toc424116248"/>
      <w:bookmarkStart w:id="2055" w:name="_Toc424117077"/>
      <w:bookmarkStart w:id="2056" w:name="_Toc460248190"/>
      <w:bookmarkStart w:id="2057" w:name="_Toc531706425"/>
      <w:bookmarkStart w:id="2058" w:name="_Toc531707035"/>
      <w:bookmarkStart w:id="2059" w:name="_Toc531768515"/>
      <w:bookmarkStart w:id="2060" w:name="_Toc16085840"/>
      <w:bookmarkStart w:id="2061" w:name="_Toc86395643"/>
      <w:r w:rsidRPr="00FD589E">
        <w:rPr>
          <w:lang w:eastAsia="zh-CN"/>
        </w:rPr>
        <w:t>GMPCS</w:t>
      </w:r>
      <w:r w:rsidRPr="009C2E24">
        <w:rPr>
          <w:lang w:eastAsia="zh-CN"/>
        </w:rPr>
        <w:t>-Mo</w:t>
      </w:r>
      <w:r w:rsidRPr="009C2E24">
        <w:rPr>
          <w:rFonts w:hint="eastAsia"/>
          <w:lang w:eastAsia="zh-CN"/>
        </w:rPr>
        <w:t>U</w:t>
      </w:r>
      <w:r w:rsidRPr="009C2E24">
        <w:rPr>
          <w:rFonts w:hint="eastAsia"/>
          <w:lang w:eastAsia="zh-CN"/>
        </w:rPr>
        <w:t>安排的实施</w:t>
      </w:r>
      <w:bookmarkEnd w:id="2043"/>
      <w:bookmarkEnd w:id="2044"/>
      <w:bookmarkEnd w:id="2045"/>
      <w:bookmarkEnd w:id="2046"/>
      <w:bookmarkEnd w:id="2047"/>
      <w:bookmarkEnd w:id="2054"/>
      <w:bookmarkEnd w:id="2055"/>
      <w:bookmarkEnd w:id="2056"/>
      <w:bookmarkEnd w:id="2057"/>
      <w:bookmarkEnd w:id="2058"/>
      <w:bookmarkEnd w:id="2059"/>
      <w:bookmarkEnd w:id="2060"/>
      <w:bookmarkEnd w:id="2061"/>
    </w:p>
    <w:p w14:paraId="4827B75E" w14:textId="77777777" w:rsidR="00B40863" w:rsidRDefault="00B40863" w:rsidP="009C2E24">
      <w:pPr>
        <w:pStyle w:val="Normalaftertitle"/>
        <w:rPr>
          <w:lang w:eastAsia="zh-CN"/>
        </w:rPr>
      </w:pPr>
      <w:r w:rsidRPr="009C2E24">
        <w:rPr>
          <w:rFonts w:hint="eastAsia"/>
          <w:lang w:eastAsia="zh-CN"/>
        </w:rPr>
        <w:t>理事会</w:t>
      </w:r>
      <w:r>
        <w:rPr>
          <w:rFonts w:hint="eastAsia"/>
          <w:lang w:eastAsia="zh-CN"/>
        </w:rPr>
        <w:t>，</w:t>
      </w:r>
    </w:p>
    <w:p w14:paraId="4827B75F" w14:textId="77777777" w:rsidR="00B40863" w:rsidRDefault="00B40863" w:rsidP="00B64353">
      <w:pPr>
        <w:rPr>
          <w:lang w:eastAsia="zh-CN"/>
        </w:rPr>
      </w:pPr>
      <w:r>
        <w:rPr>
          <w:i/>
          <w:lang w:eastAsia="zh-CN"/>
        </w:rPr>
        <w:tab/>
      </w:r>
      <w:r>
        <w:rPr>
          <w:rFonts w:eastAsia="STKaiti" w:hint="eastAsia"/>
          <w:lang w:eastAsia="zh-CN"/>
        </w:rPr>
        <w:t>考虑到</w:t>
      </w:r>
      <w:r w:rsidRPr="00D34F34">
        <w:rPr>
          <w:lang w:eastAsia="zh-CN"/>
        </w:rPr>
        <w:t>1996</w:t>
      </w:r>
      <w:r>
        <w:rPr>
          <w:rFonts w:hint="eastAsia"/>
          <w:lang w:eastAsia="zh-CN"/>
        </w:rPr>
        <w:t>年</w:t>
      </w:r>
      <w:r>
        <w:rPr>
          <w:lang w:eastAsia="zh-CN"/>
        </w:rPr>
        <w:t>10</w:t>
      </w:r>
      <w:r>
        <w:rPr>
          <w:rFonts w:ascii="SimSun" w:hAnsi="SimSun" w:hint="eastAsia"/>
          <w:lang w:eastAsia="zh-CN"/>
        </w:rPr>
        <w:t>月召开的有关全球卫星个人移动通信系统</w:t>
      </w:r>
      <w:r>
        <w:rPr>
          <w:rFonts w:hint="eastAsia"/>
          <w:lang w:eastAsia="zh-CN"/>
        </w:rPr>
        <w:t>（</w:t>
      </w:r>
      <w:r>
        <w:rPr>
          <w:lang w:eastAsia="zh-CN"/>
        </w:rPr>
        <w:t>GMPCS</w:t>
      </w:r>
      <w:r>
        <w:rPr>
          <w:rFonts w:hint="eastAsia"/>
          <w:lang w:eastAsia="zh-CN"/>
        </w:rPr>
        <w:t>）</w:t>
      </w:r>
      <w:r>
        <w:rPr>
          <w:rFonts w:ascii="SimSun" w:hAnsi="SimSun" w:hint="eastAsia"/>
          <w:lang w:eastAsia="zh-CN"/>
        </w:rPr>
        <w:t>的首</w:t>
      </w:r>
      <w:r w:rsidR="000D5CD6">
        <w:rPr>
          <w:rFonts w:ascii="SimSun" w:hAnsi="SimSun" w:hint="eastAsia"/>
          <w:lang w:eastAsia="zh-CN"/>
        </w:rPr>
        <w:t>届</w:t>
      </w:r>
      <w:r>
        <w:rPr>
          <w:rFonts w:ascii="SimSun" w:hAnsi="SimSun" w:hint="eastAsia"/>
          <w:lang w:eastAsia="zh-CN"/>
        </w:rPr>
        <w:t>世界电信政策论坛作出的结论，及其后制定的相关谅解备忘录和安排，</w:t>
      </w:r>
    </w:p>
    <w:p w14:paraId="4827B760" w14:textId="77777777" w:rsidR="00B40863" w:rsidRDefault="00B40863" w:rsidP="00B64353">
      <w:pPr>
        <w:rPr>
          <w:lang w:eastAsia="zh-CN"/>
        </w:rPr>
      </w:pPr>
      <w:r>
        <w:rPr>
          <w:i/>
          <w:lang w:eastAsia="zh-CN"/>
        </w:rPr>
        <w:tab/>
      </w:r>
      <w:r>
        <w:rPr>
          <w:rFonts w:eastAsia="STKaiti" w:hint="eastAsia"/>
          <w:lang w:eastAsia="zh-CN"/>
        </w:rPr>
        <w:t>注意到</w:t>
      </w:r>
      <w:r w:rsidRPr="00D34F34">
        <w:rPr>
          <w:rFonts w:ascii="SimSun" w:hAnsi="SimSun" w:hint="eastAsia"/>
          <w:lang w:eastAsia="zh-CN"/>
        </w:rPr>
        <w:t>上述安排系</w:t>
      </w:r>
      <w:r>
        <w:rPr>
          <w:rFonts w:ascii="SimSun" w:hAnsi="SimSun" w:hint="eastAsia"/>
          <w:lang w:eastAsia="zh-CN"/>
        </w:rPr>
        <w:t>由谅解备忘录签字方组成的临时小组起草，并且该小组仍作为“</w:t>
      </w:r>
      <w:r>
        <w:rPr>
          <w:lang w:eastAsia="zh-CN"/>
        </w:rPr>
        <w:t>GMPCS-MoU</w:t>
      </w:r>
      <w:r>
        <w:rPr>
          <w:rFonts w:hint="eastAsia"/>
          <w:lang w:eastAsia="zh-CN"/>
        </w:rPr>
        <w:t>小</w:t>
      </w:r>
      <w:r>
        <w:rPr>
          <w:rFonts w:ascii="SimSun" w:hAnsi="SimSun" w:hint="eastAsia"/>
          <w:lang w:eastAsia="zh-CN"/>
        </w:rPr>
        <w:t>组”继续工作，</w:t>
      </w:r>
    </w:p>
    <w:p w14:paraId="4827B761" w14:textId="77777777" w:rsidR="00B40863" w:rsidRDefault="00B40863" w:rsidP="00B64353">
      <w:pPr>
        <w:rPr>
          <w:lang w:eastAsia="zh-CN"/>
        </w:rPr>
      </w:pPr>
      <w:r>
        <w:rPr>
          <w:i/>
          <w:lang w:eastAsia="zh-CN"/>
        </w:rPr>
        <w:tab/>
      </w:r>
      <w:r>
        <w:rPr>
          <w:rFonts w:eastAsia="STKaiti" w:hint="eastAsia"/>
          <w:iCs/>
          <w:lang w:eastAsia="zh-CN"/>
        </w:rPr>
        <w:t>忆及</w:t>
      </w:r>
      <w:r>
        <w:rPr>
          <w:rFonts w:ascii="SimSun" w:hAnsi="SimSun" w:hint="eastAsia"/>
          <w:lang w:eastAsia="zh-CN"/>
        </w:rPr>
        <w:t>理事会</w:t>
      </w:r>
      <w:r>
        <w:rPr>
          <w:lang w:eastAsia="zh-CN"/>
        </w:rPr>
        <w:t>1997</w:t>
      </w:r>
      <w:r>
        <w:rPr>
          <w:rFonts w:ascii="SimSun" w:hAnsi="SimSun" w:hint="eastAsia"/>
          <w:lang w:eastAsia="zh-CN"/>
        </w:rPr>
        <w:t>年年会上通过的第</w:t>
      </w:r>
      <w:r>
        <w:rPr>
          <w:lang w:eastAsia="zh-CN"/>
        </w:rPr>
        <w:t>1110</w:t>
      </w:r>
      <w:r>
        <w:rPr>
          <w:rFonts w:ascii="SimSun" w:hAnsi="SimSun" w:hint="eastAsia"/>
          <w:lang w:eastAsia="zh-CN"/>
        </w:rPr>
        <w:t>号决议，其中做出决议，国际电联秘书处应在成本全部回收的基础上继续支持</w:t>
      </w:r>
      <w:r>
        <w:rPr>
          <w:lang w:eastAsia="zh-CN"/>
        </w:rPr>
        <w:t>GMPCS-MoU</w:t>
      </w:r>
      <w:r>
        <w:rPr>
          <w:rFonts w:ascii="SimSun" w:hAnsi="SimSun" w:hint="eastAsia"/>
          <w:lang w:eastAsia="zh-CN"/>
        </w:rPr>
        <w:t>活动。决议认为这是国际电联秘书处一项可以接受的任务，</w:t>
      </w:r>
    </w:p>
    <w:p w14:paraId="4827B762" w14:textId="77777777" w:rsidR="00B40863" w:rsidRDefault="00B40863" w:rsidP="00B64353">
      <w:pPr>
        <w:pStyle w:val="Call"/>
        <w:rPr>
          <w:lang w:eastAsia="zh-CN"/>
        </w:rPr>
      </w:pPr>
      <w:r>
        <w:rPr>
          <w:rFonts w:hint="eastAsia"/>
          <w:lang w:eastAsia="zh-CN"/>
        </w:rPr>
        <w:t>进一步考虑到</w:t>
      </w:r>
    </w:p>
    <w:p w14:paraId="4827B763" w14:textId="77777777" w:rsidR="00B40863" w:rsidRDefault="00B40863" w:rsidP="00B64353">
      <w:pPr>
        <w:rPr>
          <w:lang w:eastAsia="zh-CN"/>
        </w:rPr>
      </w:pPr>
      <w:r w:rsidRPr="00CC290D">
        <w:rPr>
          <w:i/>
          <w:iCs/>
          <w:lang w:eastAsia="zh-CN"/>
        </w:rPr>
        <w:t>a)</w:t>
      </w:r>
      <w:r>
        <w:rPr>
          <w:lang w:eastAsia="zh-CN"/>
        </w:rPr>
        <w:tab/>
      </w:r>
      <w:r>
        <w:rPr>
          <w:rFonts w:hint="eastAsia"/>
          <w:lang w:eastAsia="zh-CN"/>
        </w:rPr>
        <w:t>国际</w:t>
      </w:r>
      <w:r>
        <w:rPr>
          <w:rFonts w:ascii="SimSun" w:hAnsi="SimSun" w:hint="eastAsia"/>
          <w:lang w:eastAsia="zh-CN"/>
        </w:rPr>
        <w:t>电联作为</w:t>
      </w:r>
      <w:r>
        <w:rPr>
          <w:lang w:eastAsia="zh-CN"/>
        </w:rPr>
        <w:t>GMPCS-MoU</w:t>
      </w:r>
      <w:r>
        <w:rPr>
          <w:rFonts w:ascii="SimSun" w:hAnsi="SimSun" w:hint="eastAsia"/>
          <w:lang w:eastAsia="zh-CN"/>
        </w:rPr>
        <w:t>及其安排的托管方的作用已被列入</w:t>
      </w:r>
      <w:r>
        <w:rPr>
          <w:lang w:eastAsia="zh-CN"/>
        </w:rPr>
        <w:t>1999-2003</w:t>
      </w:r>
      <w:r>
        <w:rPr>
          <w:rFonts w:ascii="SimSun" w:hAnsi="SimSun" w:hint="eastAsia"/>
          <w:lang w:eastAsia="zh-CN"/>
        </w:rPr>
        <w:t>年</w:t>
      </w:r>
      <w:r w:rsidR="00416339">
        <w:rPr>
          <w:rFonts w:ascii="SimSun" w:hAnsi="SimSun" w:hint="eastAsia"/>
          <w:lang w:eastAsia="zh-CN"/>
        </w:rPr>
        <w:t>《</w:t>
      </w:r>
      <w:r>
        <w:rPr>
          <w:rFonts w:ascii="SimSun" w:hAnsi="SimSun" w:hint="eastAsia"/>
          <w:lang w:eastAsia="zh-CN"/>
        </w:rPr>
        <w:t>战略规划</w:t>
      </w:r>
      <w:r w:rsidR="00416339">
        <w:rPr>
          <w:rFonts w:ascii="SimSun" w:hAnsi="SimSun" w:hint="eastAsia"/>
          <w:lang w:eastAsia="zh-CN"/>
        </w:rPr>
        <w:t>》</w:t>
      </w:r>
      <w:r>
        <w:rPr>
          <w:rFonts w:ascii="SimSun" w:hAnsi="SimSun" w:hint="eastAsia"/>
          <w:lang w:eastAsia="zh-CN"/>
        </w:rPr>
        <w:t>草案的目标中，并与</w:t>
      </w:r>
      <w:r w:rsidR="000D5CD6">
        <w:rPr>
          <w:rFonts w:ascii="SimSun" w:hAnsi="SimSun" w:hint="eastAsia"/>
          <w:lang w:eastAsia="zh-CN"/>
        </w:rPr>
        <w:t>国际</w:t>
      </w:r>
      <w:r>
        <w:rPr>
          <w:rFonts w:ascii="SimSun" w:hAnsi="SimSun" w:hint="eastAsia"/>
          <w:lang w:eastAsia="zh-CN"/>
        </w:rPr>
        <w:t>电联的发展方向一致；</w:t>
      </w:r>
    </w:p>
    <w:p w14:paraId="4827B764" w14:textId="77777777" w:rsidR="00B40863" w:rsidRDefault="00B40863" w:rsidP="00B64353">
      <w:pPr>
        <w:rPr>
          <w:lang w:eastAsia="zh-CN"/>
        </w:rPr>
      </w:pPr>
      <w:r w:rsidRPr="00CC290D">
        <w:rPr>
          <w:i/>
          <w:iCs/>
          <w:lang w:eastAsia="zh-CN"/>
        </w:rPr>
        <w:t>b)</w:t>
      </w:r>
      <w:r>
        <w:rPr>
          <w:lang w:eastAsia="zh-CN"/>
        </w:rPr>
        <w:tab/>
      </w:r>
      <w:r>
        <w:rPr>
          <w:rFonts w:ascii="SimSun" w:hAnsi="SimSun" w:hint="eastAsia"/>
          <w:lang w:eastAsia="zh-CN"/>
        </w:rPr>
        <w:t>这种作用将不仅有益于</w:t>
      </w:r>
      <w:r>
        <w:rPr>
          <w:lang w:eastAsia="zh-CN"/>
        </w:rPr>
        <w:t>GMPCS</w:t>
      </w:r>
      <w:r>
        <w:rPr>
          <w:rFonts w:ascii="SimSun" w:hAnsi="SimSun" w:hint="eastAsia"/>
          <w:lang w:eastAsia="zh-CN"/>
        </w:rPr>
        <w:t>行业和全世界的用户，而且将有助于国际电联在全球电信发展的未来发挥更重要的作用，</w:t>
      </w:r>
    </w:p>
    <w:p w14:paraId="4827B765" w14:textId="77777777" w:rsidR="00B40863" w:rsidRDefault="00B40863" w:rsidP="00B64353">
      <w:pPr>
        <w:rPr>
          <w:lang w:eastAsia="zh-CN"/>
        </w:rPr>
      </w:pPr>
      <w:r>
        <w:rPr>
          <w:i/>
          <w:lang w:eastAsia="zh-CN"/>
        </w:rPr>
        <w:tab/>
      </w:r>
      <w:r>
        <w:rPr>
          <w:rFonts w:eastAsia="STKaiti" w:hint="eastAsia"/>
          <w:lang w:eastAsia="zh-CN"/>
        </w:rPr>
        <w:t>考虑到</w:t>
      </w:r>
      <w:r>
        <w:rPr>
          <w:rFonts w:ascii="SimSun" w:hAnsi="SimSun" w:hint="eastAsia"/>
          <w:lang w:eastAsia="zh-CN"/>
        </w:rPr>
        <w:t>世界电信发展大会（</w:t>
      </w:r>
      <w:r>
        <w:rPr>
          <w:lang w:eastAsia="zh-CN"/>
        </w:rPr>
        <w:t>1998</w:t>
      </w:r>
      <w:r>
        <w:rPr>
          <w:rFonts w:ascii="SimSun" w:hAnsi="SimSun" w:hint="eastAsia"/>
          <w:lang w:eastAsia="zh-CN"/>
        </w:rPr>
        <w:t>年，瓦莱塔）通过的题为</w:t>
      </w:r>
      <w:r>
        <w:rPr>
          <w:rFonts w:ascii="STKaiti" w:eastAsia="STKaiti" w:hAnsi="SimSun" w:hint="eastAsia"/>
          <w:lang w:eastAsia="zh-CN"/>
        </w:rPr>
        <w:t>及时实施</w:t>
      </w:r>
      <w:r w:rsidRPr="00BA4ACF">
        <w:rPr>
          <w:rFonts w:eastAsia="STKaiti"/>
          <w:lang w:eastAsia="zh-CN"/>
        </w:rPr>
        <w:t>GMPCS</w:t>
      </w:r>
      <w:r>
        <w:rPr>
          <w:rFonts w:ascii="SimSun" w:hAnsi="SimSun" w:hint="eastAsia"/>
          <w:lang w:eastAsia="zh-CN"/>
        </w:rPr>
        <w:t>的第</w:t>
      </w:r>
      <w:r>
        <w:rPr>
          <w:lang w:eastAsia="zh-CN"/>
        </w:rPr>
        <w:t>8</w:t>
      </w:r>
      <w:r>
        <w:rPr>
          <w:rFonts w:ascii="SimSun" w:hAnsi="SimSun" w:hint="eastAsia"/>
          <w:lang w:eastAsia="zh-CN"/>
        </w:rPr>
        <w:t>号建议，该建议注意到有必要在全球实施该安排，从而使所有国家都能及时受益于</w:t>
      </w:r>
      <w:r>
        <w:rPr>
          <w:lang w:eastAsia="zh-CN"/>
        </w:rPr>
        <w:t>GMPCS</w:t>
      </w:r>
      <w:r>
        <w:rPr>
          <w:rFonts w:ascii="SimSun" w:hAnsi="SimSun" w:hint="eastAsia"/>
          <w:lang w:eastAsia="zh-CN"/>
        </w:rPr>
        <w:t>业务，</w:t>
      </w:r>
    </w:p>
    <w:p w14:paraId="4827B766" w14:textId="77777777" w:rsidR="00B40863" w:rsidRDefault="00B40863" w:rsidP="00B64353">
      <w:pPr>
        <w:pStyle w:val="Call"/>
        <w:rPr>
          <w:lang w:eastAsia="zh-CN"/>
        </w:rPr>
      </w:pPr>
      <w:r>
        <w:rPr>
          <w:rFonts w:hint="eastAsia"/>
          <w:lang w:eastAsia="zh-CN"/>
        </w:rPr>
        <w:t>做出决议</w:t>
      </w:r>
    </w:p>
    <w:p w14:paraId="4827B767" w14:textId="77777777" w:rsidR="00B40863" w:rsidRDefault="00B40863" w:rsidP="00B64353">
      <w:pPr>
        <w:rPr>
          <w:lang w:eastAsia="zh-CN"/>
        </w:rPr>
      </w:pPr>
      <w:r>
        <w:rPr>
          <w:lang w:eastAsia="zh-CN"/>
        </w:rPr>
        <w:t>1</w:t>
      </w:r>
      <w:r w:rsidR="00E04370">
        <w:rPr>
          <w:lang w:eastAsia="zh-CN"/>
        </w:rPr>
        <w:tab/>
      </w:r>
      <w:r>
        <w:rPr>
          <w:rFonts w:ascii="SimSun" w:hAnsi="SimSun" w:hint="eastAsia"/>
          <w:lang w:eastAsia="zh-CN"/>
        </w:rPr>
        <w:t>责成秘书长</w:t>
      </w:r>
      <w:r>
        <w:rPr>
          <w:rFonts w:hint="eastAsia"/>
          <w:lang w:eastAsia="zh-CN"/>
        </w:rPr>
        <w:t>：</w:t>
      </w:r>
    </w:p>
    <w:p w14:paraId="4827B768" w14:textId="77777777" w:rsidR="00B40863" w:rsidRDefault="00B40863" w:rsidP="00B64353">
      <w:pPr>
        <w:rPr>
          <w:lang w:eastAsia="zh-CN"/>
        </w:rPr>
      </w:pPr>
      <w:r>
        <w:rPr>
          <w:lang w:eastAsia="zh-CN"/>
        </w:rPr>
        <w:t>1.1</w:t>
      </w:r>
      <w:r>
        <w:rPr>
          <w:lang w:eastAsia="zh-CN"/>
        </w:rPr>
        <w:tab/>
      </w:r>
      <w:r>
        <w:rPr>
          <w:rFonts w:ascii="SimSun" w:hAnsi="SimSun" w:hint="eastAsia"/>
          <w:lang w:eastAsia="zh-CN"/>
        </w:rPr>
        <w:t>担任</w:t>
      </w:r>
      <w:r>
        <w:rPr>
          <w:lang w:eastAsia="zh-CN"/>
        </w:rPr>
        <w:t>GMPCS-MoU</w:t>
      </w:r>
      <w:r>
        <w:rPr>
          <w:rFonts w:ascii="SimSun" w:hAnsi="SimSun" w:hint="eastAsia"/>
          <w:lang w:eastAsia="zh-CN"/>
        </w:rPr>
        <w:t>及其安排的托管人，并通报由正在实施安排的签字方所提供的情况</w:t>
      </w:r>
      <w:r>
        <w:rPr>
          <w:rFonts w:hint="eastAsia"/>
          <w:lang w:eastAsia="zh-CN"/>
        </w:rPr>
        <w:t>；</w:t>
      </w:r>
    </w:p>
    <w:p w14:paraId="4827B769" w14:textId="77777777" w:rsidR="00B40863" w:rsidRDefault="00B40863" w:rsidP="00B64353">
      <w:pPr>
        <w:rPr>
          <w:lang w:eastAsia="zh-CN"/>
        </w:rPr>
      </w:pPr>
      <w:r>
        <w:rPr>
          <w:lang w:eastAsia="zh-CN"/>
        </w:rPr>
        <w:t>1.2</w:t>
      </w:r>
      <w:r>
        <w:rPr>
          <w:lang w:eastAsia="zh-CN"/>
        </w:rPr>
        <w:tab/>
      </w:r>
      <w:r>
        <w:rPr>
          <w:rFonts w:ascii="SimSun" w:hAnsi="SimSun" w:hint="eastAsia"/>
          <w:lang w:eastAsia="zh-CN"/>
        </w:rPr>
        <w:t>作为型号审批程序的登记处，这些程序系主管部门和</w:t>
      </w:r>
      <w:r>
        <w:rPr>
          <w:rFonts w:ascii="SimSun" w:hAnsi="SimSun"/>
          <w:lang w:eastAsia="zh-CN"/>
        </w:rPr>
        <w:t>/</w:t>
      </w:r>
      <w:r>
        <w:rPr>
          <w:rFonts w:ascii="SimSun" w:hAnsi="SimSun" w:hint="eastAsia"/>
          <w:lang w:eastAsia="zh-CN"/>
        </w:rPr>
        <w:t>或有权机构通知给国际电联的已用于批准入网终端的程序；</w:t>
      </w:r>
    </w:p>
    <w:p w14:paraId="4827B76A" w14:textId="77777777" w:rsidR="00B40863" w:rsidRDefault="00B40863" w:rsidP="00B64353">
      <w:pPr>
        <w:rPr>
          <w:lang w:eastAsia="zh-CN"/>
        </w:rPr>
      </w:pPr>
      <w:r>
        <w:rPr>
          <w:lang w:eastAsia="zh-CN"/>
        </w:rPr>
        <w:t>1.3</w:t>
      </w:r>
      <w:r>
        <w:rPr>
          <w:lang w:eastAsia="zh-CN"/>
        </w:rPr>
        <w:tab/>
      </w:r>
      <w:r>
        <w:rPr>
          <w:rFonts w:ascii="SimSun" w:hAnsi="SimSun" w:hint="eastAsia"/>
          <w:lang w:eastAsia="zh-CN"/>
        </w:rPr>
        <w:t>当主管部门和</w:t>
      </w:r>
      <w:r>
        <w:rPr>
          <w:rFonts w:ascii="SimSun" w:hAnsi="SimSun"/>
          <w:lang w:eastAsia="zh-CN"/>
        </w:rPr>
        <w:t>/</w:t>
      </w:r>
      <w:r>
        <w:rPr>
          <w:rFonts w:ascii="SimSun" w:hAnsi="SimSun" w:hint="eastAsia"/>
          <w:lang w:eastAsia="zh-CN"/>
        </w:rPr>
        <w:t>或有权机构通知国际电联终端已获批准入网时，作为终端类型的登记处；</w:t>
      </w:r>
    </w:p>
    <w:p w14:paraId="4827B76B" w14:textId="77777777" w:rsidR="00B40863" w:rsidRDefault="00B40863" w:rsidP="006E0033">
      <w:pPr>
        <w:tabs>
          <w:tab w:val="clear" w:pos="794"/>
          <w:tab w:val="clear" w:pos="1191"/>
          <w:tab w:val="clear" w:pos="1588"/>
          <w:tab w:val="clear" w:pos="1985"/>
        </w:tabs>
        <w:overflowPunct/>
        <w:autoSpaceDE/>
        <w:autoSpaceDN/>
        <w:adjustRightInd/>
        <w:textAlignment w:val="auto"/>
        <w:rPr>
          <w:lang w:eastAsia="zh-CN"/>
        </w:rPr>
      </w:pPr>
      <w:r>
        <w:rPr>
          <w:lang w:eastAsia="zh-CN"/>
        </w:rPr>
        <w:t>1.4</w:t>
      </w:r>
      <w:r>
        <w:rPr>
          <w:lang w:eastAsia="zh-CN"/>
        </w:rPr>
        <w:tab/>
      </w:r>
      <w:r>
        <w:rPr>
          <w:rFonts w:ascii="SimSun" w:hAnsi="SimSun" w:hint="eastAsia"/>
          <w:lang w:eastAsia="zh-CN"/>
        </w:rPr>
        <w:t>授权将“</w:t>
      </w:r>
      <w:r w:rsidRPr="00AF2C01">
        <w:rPr>
          <w:lang w:eastAsia="zh-CN"/>
        </w:rPr>
        <w:t>ITU</w:t>
      </w:r>
      <w:r>
        <w:rPr>
          <w:rFonts w:ascii="SimSun" w:hAnsi="SimSun"/>
          <w:lang w:eastAsia="zh-CN"/>
        </w:rPr>
        <w:t>”</w:t>
      </w:r>
      <w:r>
        <w:rPr>
          <w:rFonts w:ascii="SimSun" w:hAnsi="SimSun" w:hint="eastAsia"/>
          <w:lang w:eastAsia="zh-CN"/>
        </w:rPr>
        <w:t>这一缩略语作为</w:t>
      </w:r>
      <w:r>
        <w:rPr>
          <w:lang w:eastAsia="zh-CN"/>
        </w:rPr>
        <w:t>GMPCS-MoU</w:t>
      </w:r>
      <w:r>
        <w:rPr>
          <w:rFonts w:ascii="SimSun" w:hAnsi="SimSun" w:hint="eastAsia"/>
          <w:lang w:eastAsia="zh-CN"/>
        </w:rPr>
        <w:t>标识的一部分加以使用</w:t>
      </w:r>
      <w:r w:rsidR="006E0033">
        <w:rPr>
          <w:rStyle w:val="FootnoteReference"/>
          <w:lang w:eastAsia="zh-CN"/>
        </w:rPr>
        <w:footnoteReference w:customMarkFollows="1" w:id="13"/>
        <w:t>1</w:t>
      </w:r>
      <w:r>
        <w:rPr>
          <w:rFonts w:ascii="SimSun" w:hAnsi="SimSun" w:hint="eastAsia"/>
          <w:lang w:eastAsia="zh-CN"/>
        </w:rPr>
        <w:t>，条件是，国际电联将受到保护，不对这种使用负责；</w:t>
      </w:r>
      <w:r>
        <w:rPr>
          <w:rFonts w:ascii="Arial Unicode MS" w:hAnsi="Arial Unicode MS" w:hint="eastAsia"/>
          <w:szCs w:val="24"/>
          <w:lang w:eastAsia="zh-CN"/>
        </w:rPr>
        <w:t xml:space="preserve"> </w:t>
      </w:r>
    </w:p>
    <w:p w14:paraId="4827B76C" w14:textId="77777777" w:rsidR="00CC290D" w:rsidRDefault="00CC290D">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76D" w14:textId="77777777" w:rsidR="00B40863" w:rsidRDefault="00B40863" w:rsidP="00B64353">
      <w:pPr>
        <w:rPr>
          <w:lang w:eastAsia="zh-CN"/>
        </w:rPr>
      </w:pPr>
      <w:r>
        <w:rPr>
          <w:lang w:eastAsia="zh-CN"/>
        </w:rPr>
        <w:lastRenderedPageBreak/>
        <w:t>2</w:t>
      </w:r>
      <w:r w:rsidR="00E04370">
        <w:rPr>
          <w:lang w:eastAsia="zh-CN"/>
        </w:rPr>
        <w:tab/>
      </w:r>
      <w:r>
        <w:rPr>
          <w:rFonts w:ascii="SimSun" w:hAnsi="SimSun" w:hint="eastAsia"/>
          <w:lang w:eastAsia="zh-CN"/>
        </w:rPr>
        <w:t>将在成本全部回收的基础上，根据安排，开展上述</w:t>
      </w:r>
      <w:r>
        <w:rPr>
          <w:rFonts w:eastAsia="STKaiti" w:hint="eastAsia"/>
          <w:lang w:eastAsia="zh-CN"/>
        </w:rPr>
        <w:t>做出决议</w:t>
      </w:r>
      <w:r w:rsidRPr="00BB07B7">
        <w:rPr>
          <w:lang w:eastAsia="zh-CN"/>
        </w:rPr>
        <w:t>1.1</w:t>
      </w:r>
      <w:r w:rsidRPr="00BB07B7">
        <w:rPr>
          <w:rFonts w:hAnsi="SimSun"/>
          <w:lang w:eastAsia="zh-CN"/>
        </w:rPr>
        <w:t>至</w:t>
      </w:r>
      <w:r w:rsidRPr="00BB07B7">
        <w:rPr>
          <w:lang w:eastAsia="zh-CN"/>
        </w:rPr>
        <w:t>1.4</w:t>
      </w:r>
      <w:r>
        <w:rPr>
          <w:rFonts w:ascii="SimSun" w:hAnsi="SimSun" w:hint="eastAsia"/>
          <w:lang w:eastAsia="zh-CN"/>
        </w:rPr>
        <w:t>中所提及的活动。签字方捐款的具体使用方式将由签字方和秘书长协商决定。</w:t>
      </w:r>
    </w:p>
    <w:p w14:paraId="4827B76E" w14:textId="77777777" w:rsidR="009C2E24" w:rsidRPr="00FB432E" w:rsidRDefault="00B40863" w:rsidP="009C2E24">
      <w:pPr>
        <w:pStyle w:val="Endtext"/>
        <w:rPr>
          <w:lang w:val="fr-FR" w:eastAsia="zh-CN"/>
        </w:rPr>
      </w:pPr>
      <w:r>
        <w:rPr>
          <w:rFonts w:hint="eastAsia"/>
          <w:lang w:eastAsia="zh-CN"/>
        </w:rPr>
        <w:t>参阅</w:t>
      </w:r>
      <w:r>
        <w:rPr>
          <w:rFonts w:ascii="STKaiti" w:hAnsi="SimSun" w:hint="eastAsia"/>
          <w:lang w:eastAsia="zh-CN"/>
        </w:rPr>
        <w:t>：</w:t>
      </w:r>
      <w:r w:rsidR="0001098F">
        <w:rPr>
          <w:rFonts w:ascii="STKaiti" w:hAnsi="SimSun" w:hint="eastAsia"/>
          <w:lang w:eastAsia="zh-CN"/>
        </w:rPr>
        <w:tab/>
      </w:r>
      <w:hyperlink r:id="rId416" w:history="1">
        <w:r w:rsidR="009C2E24" w:rsidRPr="00CC160E">
          <w:rPr>
            <w:rStyle w:val="Hyperlink"/>
            <w:lang w:val="fr-FR" w:eastAsia="zh-CN"/>
          </w:rPr>
          <w:t>C98/100</w:t>
        </w:r>
      </w:hyperlink>
      <w:r w:rsidR="009C2E24">
        <w:rPr>
          <w:rFonts w:hint="eastAsia"/>
          <w:lang w:val="fr-FR" w:eastAsia="zh-CN"/>
        </w:rPr>
        <w:t>和</w:t>
      </w:r>
      <w:hyperlink r:id="rId417" w:history="1">
        <w:r w:rsidR="009C2E24" w:rsidRPr="00CC160E">
          <w:rPr>
            <w:rStyle w:val="Hyperlink"/>
            <w:lang w:val="fr-FR" w:eastAsia="zh-CN"/>
          </w:rPr>
          <w:t>C98/120</w:t>
        </w:r>
      </w:hyperlink>
      <w:r w:rsidR="009C2E24">
        <w:rPr>
          <w:rFonts w:hint="eastAsia"/>
          <w:lang w:val="fr-FR" w:eastAsia="zh-CN"/>
        </w:rPr>
        <w:t>号</w:t>
      </w:r>
      <w:r w:rsidR="009C2E24">
        <w:rPr>
          <w:lang w:val="fr-FR" w:eastAsia="zh-CN"/>
        </w:rPr>
        <w:t>文件。</w:t>
      </w:r>
    </w:p>
    <w:p w14:paraId="4827B76F" w14:textId="77777777" w:rsidR="00CD0CD2" w:rsidRDefault="00CD0CD2" w:rsidP="00CD0CD2">
      <w:pPr>
        <w:jc w:val="center"/>
        <w:rPr>
          <w:lang w:eastAsia="zh-CN"/>
        </w:rPr>
      </w:pPr>
      <w:bookmarkStart w:id="2062" w:name="_Toc531706426"/>
      <w:bookmarkStart w:id="2063" w:name="_Toc531707036"/>
      <w:bookmarkStart w:id="2064" w:name="_Toc531768516"/>
      <w:r>
        <w:rPr>
          <w:lang w:eastAsia="zh-CN"/>
        </w:rPr>
        <w:t>______________</w:t>
      </w:r>
    </w:p>
    <w:p w14:paraId="4827B770" w14:textId="5455691B" w:rsidR="001347A2" w:rsidRDefault="00B1347D" w:rsidP="00CA7362">
      <w:pPr>
        <w:pStyle w:val="ResNo"/>
        <w:outlineLvl w:val="0"/>
        <w:rPr>
          <w:b/>
          <w:bCs/>
          <w:lang w:eastAsia="zh-CN"/>
        </w:rPr>
      </w:pPr>
      <w:bookmarkStart w:id="2065" w:name="_Toc86395644"/>
      <w:bookmarkStart w:id="2066" w:name="lt_pId085"/>
      <w:bookmarkEnd w:id="2062"/>
      <w:bookmarkEnd w:id="2063"/>
      <w:bookmarkEnd w:id="2064"/>
      <w:r w:rsidRPr="00B1347D">
        <w:rPr>
          <w:rFonts w:hint="eastAsia"/>
          <w:lang w:eastAsia="zh-CN"/>
        </w:rPr>
        <w:t>第</w:t>
      </w:r>
      <w:r w:rsidRPr="00B1347D">
        <w:rPr>
          <w:rFonts w:hint="eastAsia"/>
          <w:lang w:eastAsia="zh-CN"/>
        </w:rPr>
        <w:t>1403</w:t>
      </w:r>
      <w:r w:rsidRPr="00B1347D">
        <w:rPr>
          <w:rFonts w:hint="eastAsia"/>
          <w:lang w:eastAsia="zh-CN"/>
        </w:rPr>
        <w:t>号决议</w:t>
      </w:r>
      <w:r w:rsidR="002F16F2">
        <w:rPr>
          <w:rFonts w:hint="eastAsia"/>
          <w:lang w:eastAsia="zh-CN"/>
        </w:rPr>
        <w:t>（</w:t>
      </w:r>
      <w:r w:rsidR="002F16F2">
        <w:rPr>
          <w:rFonts w:hint="eastAsia"/>
          <w:lang w:eastAsia="zh-CN"/>
        </w:rPr>
        <w:t>C</w:t>
      </w:r>
      <w:r w:rsidR="002F16F2">
        <w:rPr>
          <w:lang w:eastAsia="zh-CN"/>
        </w:rPr>
        <w:t>21</w:t>
      </w:r>
      <w:r w:rsidR="002F16F2">
        <w:rPr>
          <w:rFonts w:hint="eastAsia"/>
          <w:lang w:eastAsia="zh-CN"/>
        </w:rPr>
        <w:t>）</w:t>
      </w:r>
      <w:bookmarkEnd w:id="2065"/>
    </w:p>
    <w:p w14:paraId="4827B771" w14:textId="37B5F07F" w:rsidR="001347A2" w:rsidRPr="001F6A80" w:rsidRDefault="00B1347D" w:rsidP="001347A2">
      <w:pPr>
        <w:pStyle w:val="Restitle"/>
        <w:rPr>
          <w:lang w:eastAsia="zh-CN"/>
        </w:rPr>
      </w:pPr>
      <w:bookmarkStart w:id="2067" w:name="_Toc86395645"/>
      <w:bookmarkEnd w:id="2066"/>
      <w:r w:rsidRPr="00B1347D">
        <w:rPr>
          <w:rFonts w:hint="eastAsia"/>
          <w:lang w:eastAsia="zh-CN"/>
        </w:rPr>
        <w:t>国际电联</w:t>
      </w:r>
      <w:r w:rsidRPr="00B1347D">
        <w:rPr>
          <w:rFonts w:hint="eastAsia"/>
          <w:lang w:eastAsia="zh-CN"/>
        </w:rPr>
        <w:t>2022-2025</w:t>
      </w:r>
      <w:r w:rsidRPr="00B1347D">
        <w:rPr>
          <w:rFonts w:hint="eastAsia"/>
          <w:lang w:eastAsia="zh-CN"/>
        </w:rPr>
        <w:t>年四年期滚动式运作规划</w:t>
      </w:r>
      <w:bookmarkEnd w:id="2067"/>
    </w:p>
    <w:p w14:paraId="55810627" w14:textId="77777777" w:rsidR="00B1347D" w:rsidRPr="004316E1" w:rsidRDefault="00B1347D" w:rsidP="00B1347D">
      <w:pPr>
        <w:topLinePunct/>
        <w:spacing w:before="320" w:line="280" w:lineRule="exact"/>
        <w:rPr>
          <w:rFonts w:ascii="Calibri" w:hAnsi="Calibri" w:cs="Calibri"/>
          <w:szCs w:val="24"/>
          <w:lang w:val="en-US" w:eastAsia="zh-CN"/>
        </w:rPr>
      </w:pPr>
      <w:r w:rsidRPr="004316E1">
        <w:rPr>
          <w:rFonts w:ascii="Calibri" w:hAnsi="Calibri" w:cs="Calibri" w:hint="eastAsia"/>
          <w:szCs w:val="24"/>
          <w:lang w:val="en-US" w:eastAsia="zh-CN"/>
        </w:rPr>
        <w:t>国际电联理事会，</w:t>
      </w:r>
    </w:p>
    <w:p w14:paraId="51D5E4BA" w14:textId="77777777" w:rsidR="00B1347D" w:rsidRPr="004316E1" w:rsidRDefault="00B1347D" w:rsidP="00B1347D">
      <w:pPr>
        <w:keepNext/>
        <w:keepLines/>
        <w:spacing w:before="240" w:line="280" w:lineRule="exact"/>
        <w:ind w:left="794"/>
        <w:rPr>
          <w:rFonts w:ascii="Calibri" w:eastAsia="STKaiti" w:hAnsi="Calibri"/>
          <w:szCs w:val="24"/>
          <w:lang w:val="en-US" w:eastAsia="zh-CN"/>
        </w:rPr>
      </w:pPr>
      <w:r w:rsidRPr="004316E1">
        <w:rPr>
          <w:rFonts w:ascii="Calibri" w:eastAsia="STKaiti" w:hAnsi="Calibri" w:hint="eastAsia"/>
          <w:szCs w:val="24"/>
          <w:lang w:val="en-US" w:eastAsia="zh-CN"/>
        </w:rPr>
        <w:t>认识到</w:t>
      </w:r>
    </w:p>
    <w:p w14:paraId="15B49641" w14:textId="77777777" w:rsidR="00B1347D" w:rsidRPr="004316E1" w:rsidRDefault="00B1347D" w:rsidP="00B1347D">
      <w:pPr>
        <w:topLinePunct/>
        <w:spacing w:before="160" w:line="280" w:lineRule="exact"/>
        <w:ind w:firstLineChars="200" w:firstLine="480"/>
        <w:rPr>
          <w:rFonts w:ascii="Calibri" w:hAnsi="Calibri" w:cs="Arial"/>
          <w:szCs w:val="24"/>
          <w:lang w:val="en-US" w:eastAsia="zh-CN"/>
        </w:rPr>
      </w:pPr>
      <w:r w:rsidRPr="004316E1">
        <w:rPr>
          <w:rFonts w:ascii="Calibri" w:hAnsi="Calibri" w:cs="Arial" w:hint="eastAsia"/>
          <w:szCs w:val="24"/>
          <w:lang w:val="en-US" w:eastAsia="zh-CN"/>
        </w:rPr>
        <w:t>国际电联《公约》第</w:t>
      </w:r>
      <w:r w:rsidRPr="004316E1">
        <w:rPr>
          <w:rFonts w:ascii="Calibri" w:hAnsi="Calibri" w:cs="Arial"/>
          <w:szCs w:val="24"/>
          <w:lang w:val="en-US" w:eastAsia="zh-CN"/>
        </w:rPr>
        <w:t>5</w:t>
      </w:r>
      <w:r w:rsidRPr="004316E1">
        <w:rPr>
          <w:rFonts w:ascii="Calibri" w:hAnsi="Calibri" w:cs="Arial" w:hint="eastAsia"/>
          <w:szCs w:val="24"/>
          <w:lang w:val="en-US" w:eastAsia="zh-CN"/>
        </w:rPr>
        <w:t>、</w:t>
      </w:r>
      <w:r w:rsidRPr="004316E1">
        <w:rPr>
          <w:rFonts w:ascii="Calibri" w:hAnsi="Calibri" w:cs="Calibri"/>
          <w:szCs w:val="24"/>
          <w:lang w:val="en-US" w:eastAsia="zh-CN"/>
        </w:rPr>
        <w:t>11A</w:t>
      </w:r>
      <w:r w:rsidRPr="004316E1">
        <w:rPr>
          <w:rFonts w:ascii="Calibri" w:hAnsi="Calibri" w:cs="Arial" w:hint="eastAsia"/>
          <w:szCs w:val="24"/>
          <w:lang w:val="en-US" w:eastAsia="zh-CN"/>
        </w:rPr>
        <w:t>、</w:t>
      </w:r>
      <w:r w:rsidRPr="004316E1">
        <w:rPr>
          <w:rFonts w:ascii="Calibri" w:hAnsi="Calibri" w:cs="Calibri"/>
          <w:szCs w:val="24"/>
          <w:lang w:val="en-US" w:eastAsia="zh-CN"/>
        </w:rPr>
        <w:t>12</w:t>
      </w:r>
      <w:r w:rsidRPr="004316E1">
        <w:rPr>
          <w:rFonts w:ascii="Calibri" w:hAnsi="Calibri" w:cs="Arial" w:hint="eastAsia"/>
          <w:szCs w:val="24"/>
          <w:lang w:val="en-US" w:eastAsia="zh-CN"/>
        </w:rPr>
        <w:t>、</w:t>
      </w:r>
      <w:r w:rsidRPr="004316E1">
        <w:rPr>
          <w:rFonts w:ascii="Calibri" w:hAnsi="Calibri" w:cs="Calibri"/>
          <w:szCs w:val="24"/>
          <w:lang w:val="en-US" w:eastAsia="zh-CN"/>
        </w:rPr>
        <w:t>14A</w:t>
      </w:r>
      <w:r w:rsidRPr="004316E1">
        <w:rPr>
          <w:rFonts w:ascii="Calibri" w:hAnsi="Calibri" w:cs="Arial" w:hint="eastAsia"/>
          <w:szCs w:val="24"/>
          <w:lang w:val="en-US" w:eastAsia="zh-CN"/>
        </w:rPr>
        <w:t>、</w:t>
      </w:r>
      <w:r w:rsidRPr="004316E1">
        <w:rPr>
          <w:rFonts w:ascii="Calibri" w:hAnsi="Calibri" w:cs="Calibri"/>
          <w:szCs w:val="24"/>
          <w:lang w:val="en-US" w:eastAsia="zh-CN"/>
        </w:rPr>
        <w:t>15</w:t>
      </w:r>
      <w:r w:rsidRPr="004316E1">
        <w:rPr>
          <w:rFonts w:ascii="Calibri" w:hAnsi="Calibri" w:cs="Calibri" w:hint="eastAsia"/>
          <w:szCs w:val="24"/>
          <w:lang w:val="en-US" w:eastAsia="zh-CN"/>
        </w:rPr>
        <w:t>和第</w:t>
      </w:r>
      <w:r w:rsidRPr="004316E1">
        <w:rPr>
          <w:rFonts w:ascii="Calibri" w:hAnsi="Calibri" w:cs="Calibri"/>
          <w:szCs w:val="24"/>
          <w:lang w:val="en-US" w:eastAsia="zh-CN"/>
        </w:rPr>
        <w:t>18</w:t>
      </w:r>
      <w:r w:rsidRPr="004316E1">
        <w:rPr>
          <w:rFonts w:ascii="Calibri" w:hAnsi="Calibri" w:cs="Arial" w:hint="eastAsia"/>
          <w:szCs w:val="24"/>
          <w:lang w:val="en-US" w:eastAsia="zh-CN"/>
        </w:rPr>
        <w:t>条的规定，</w:t>
      </w:r>
    </w:p>
    <w:p w14:paraId="4BF4F78E" w14:textId="77777777" w:rsidR="00B1347D" w:rsidRPr="004316E1" w:rsidRDefault="00B1347D" w:rsidP="00B1347D">
      <w:pPr>
        <w:keepNext/>
        <w:keepLines/>
        <w:spacing w:before="240" w:line="280" w:lineRule="exact"/>
        <w:ind w:left="794"/>
        <w:rPr>
          <w:rFonts w:ascii="Calibri" w:eastAsia="STKaiti" w:hAnsi="Calibri"/>
          <w:szCs w:val="24"/>
          <w:lang w:val="en-US" w:eastAsia="zh-CN"/>
        </w:rPr>
      </w:pPr>
      <w:r w:rsidRPr="004316E1">
        <w:rPr>
          <w:rFonts w:ascii="Calibri" w:eastAsia="STKaiti" w:hAnsi="Calibri" w:hint="eastAsia"/>
          <w:szCs w:val="24"/>
          <w:lang w:val="en-US" w:eastAsia="zh-CN"/>
        </w:rPr>
        <w:t>忆及</w:t>
      </w:r>
    </w:p>
    <w:p w14:paraId="0FC9E86B" w14:textId="77777777" w:rsidR="00B1347D" w:rsidRPr="004316E1" w:rsidRDefault="00B1347D" w:rsidP="00B1347D">
      <w:pPr>
        <w:topLinePunct/>
        <w:spacing w:before="160" w:line="280" w:lineRule="exact"/>
        <w:ind w:firstLineChars="200" w:firstLine="480"/>
        <w:rPr>
          <w:rFonts w:ascii="Calibri" w:hAnsi="Calibri" w:cs="Calibri"/>
          <w:szCs w:val="24"/>
          <w:lang w:val="en-US" w:eastAsia="zh-CN"/>
        </w:rPr>
      </w:pPr>
      <w:r w:rsidRPr="004316E1">
        <w:rPr>
          <w:rFonts w:ascii="Calibri" w:hAnsi="Calibri" w:cs="Calibri" w:hint="eastAsia"/>
          <w:szCs w:val="24"/>
          <w:lang w:val="en-US" w:eastAsia="zh-CN"/>
        </w:rPr>
        <w:t>关</w:t>
      </w:r>
      <w:r>
        <w:rPr>
          <w:rFonts w:ascii="Calibri" w:hAnsi="Calibri" w:cs="Calibri" w:hint="eastAsia"/>
          <w:szCs w:val="24"/>
          <w:lang w:val="en-US" w:eastAsia="zh-CN"/>
        </w:rPr>
        <w:t>于《</w:t>
      </w:r>
      <w:r w:rsidRPr="004316E1">
        <w:rPr>
          <w:rFonts w:ascii="Calibri" w:hAnsi="Calibri" w:cs="Calibri" w:hint="eastAsia"/>
          <w:szCs w:val="24"/>
          <w:lang w:val="en-US" w:eastAsia="zh-CN"/>
        </w:rPr>
        <w:t>国际电联</w:t>
      </w:r>
      <w:r w:rsidRPr="004316E1">
        <w:rPr>
          <w:rFonts w:ascii="Calibri" w:hAnsi="Calibri" w:cs="Calibri"/>
          <w:szCs w:val="24"/>
          <w:lang w:val="en-US" w:eastAsia="zh-CN"/>
        </w:rPr>
        <w:t>2020-2023</w:t>
      </w:r>
      <w:r w:rsidRPr="004316E1">
        <w:rPr>
          <w:rFonts w:ascii="Calibri" w:hAnsi="Calibri" w:cs="Calibri" w:hint="eastAsia"/>
          <w:szCs w:val="24"/>
          <w:lang w:val="en-US" w:eastAsia="zh-CN"/>
        </w:rPr>
        <w:t>年战略规划</w:t>
      </w:r>
      <w:r>
        <w:rPr>
          <w:rFonts w:ascii="Calibri" w:hAnsi="Calibri" w:cs="Calibri" w:hint="eastAsia"/>
          <w:szCs w:val="24"/>
          <w:lang w:val="en-US" w:eastAsia="zh-CN"/>
        </w:rPr>
        <w:t>》</w:t>
      </w:r>
      <w:r w:rsidRPr="004316E1">
        <w:rPr>
          <w:rFonts w:ascii="Calibri" w:hAnsi="Calibri" w:cs="Calibri" w:hint="eastAsia"/>
          <w:szCs w:val="24"/>
          <w:lang w:val="en-US" w:eastAsia="zh-CN"/>
        </w:rPr>
        <w:t>的第</w:t>
      </w:r>
      <w:r w:rsidRPr="004316E1">
        <w:rPr>
          <w:rFonts w:ascii="Calibri" w:hAnsi="Calibri" w:cs="Calibri"/>
          <w:szCs w:val="24"/>
          <w:lang w:val="en-US" w:eastAsia="zh-CN"/>
        </w:rPr>
        <w:t>71</w:t>
      </w:r>
      <w:r w:rsidRPr="004316E1">
        <w:rPr>
          <w:rFonts w:ascii="Calibri" w:hAnsi="Calibri" w:cs="Calibri" w:hint="eastAsia"/>
          <w:szCs w:val="24"/>
          <w:lang w:val="en-US" w:eastAsia="zh-CN"/>
        </w:rPr>
        <w:t>号决议（</w:t>
      </w:r>
      <w:r w:rsidRPr="004316E1">
        <w:rPr>
          <w:rFonts w:ascii="Calibri" w:hAnsi="Calibri" w:cs="Calibri"/>
          <w:szCs w:val="24"/>
          <w:lang w:val="en-US" w:eastAsia="zh-CN"/>
        </w:rPr>
        <w:t>2018</w:t>
      </w:r>
      <w:r w:rsidRPr="004316E1">
        <w:rPr>
          <w:rFonts w:ascii="Calibri" w:hAnsi="Calibri" w:cs="Calibri" w:hint="eastAsia"/>
          <w:szCs w:val="24"/>
          <w:lang w:val="en-US" w:eastAsia="zh-CN"/>
        </w:rPr>
        <w:t>年，迪拜，修订版）以及关</w:t>
      </w:r>
      <w:r>
        <w:rPr>
          <w:rFonts w:ascii="Calibri" w:hAnsi="Calibri" w:cs="Calibri" w:hint="eastAsia"/>
          <w:szCs w:val="24"/>
          <w:lang w:val="en-US" w:eastAsia="zh-CN"/>
        </w:rPr>
        <w:t>于</w:t>
      </w:r>
      <w:r w:rsidRPr="004316E1">
        <w:rPr>
          <w:rFonts w:ascii="Calibri" w:hAnsi="Calibri" w:cs="Calibri" w:hint="eastAsia"/>
          <w:szCs w:val="24"/>
          <w:lang w:val="en-US" w:eastAsia="zh-CN"/>
        </w:rPr>
        <w:t>实施基于结果的管理方式的第</w:t>
      </w:r>
      <w:r w:rsidRPr="004316E1">
        <w:rPr>
          <w:rFonts w:ascii="Calibri" w:hAnsi="Calibri" w:cs="Calibri"/>
          <w:szCs w:val="24"/>
          <w:lang w:val="en-US" w:eastAsia="zh-CN"/>
        </w:rPr>
        <w:t>151</w:t>
      </w:r>
      <w:r w:rsidRPr="004316E1">
        <w:rPr>
          <w:rFonts w:ascii="Calibri" w:hAnsi="Calibri" w:cs="Calibri" w:hint="eastAsia"/>
          <w:szCs w:val="24"/>
          <w:lang w:val="en-US" w:eastAsia="zh-CN"/>
        </w:rPr>
        <w:t>号决议（</w:t>
      </w:r>
      <w:r w:rsidRPr="004316E1">
        <w:rPr>
          <w:rFonts w:ascii="Calibri" w:hAnsi="Calibri" w:cs="Calibri"/>
          <w:szCs w:val="24"/>
          <w:lang w:val="en-US" w:eastAsia="zh-CN"/>
        </w:rPr>
        <w:t>2018</w:t>
      </w:r>
      <w:r w:rsidRPr="004316E1">
        <w:rPr>
          <w:rFonts w:ascii="Calibri" w:hAnsi="Calibri" w:cs="Calibri" w:hint="eastAsia"/>
          <w:szCs w:val="24"/>
          <w:lang w:val="en-US" w:eastAsia="zh-CN"/>
        </w:rPr>
        <w:t>年，迪拜，修订版），</w:t>
      </w:r>
    </w:p>
    <w:p w14:paraId="4FE5FE94" w14:textId="77777777" w:rsidR="00B1347D" w:rsidRPr="004316E1" w:rsidRDefault="00B1347D" w:rsidP="00B1347D">
      <w:pPr>
        <w:keepNext/>
        <w:keepLines/>
        <w:spacing w:before="240" w:line="280" w:lineRule="exact"/>
        <w:ind w:left="794"/>
        <w:rPr>
          <w:rFonts w:ascii="Calibri" w:eastAsia="STKaiti" w:hAnsi="Calibri" w:cs="Arial"/>
          <w:szCs w:val="24"/>
          <w:lang w:val="en-US" w:eastAsia="zh-CN"/>
        </w:rPr>
      </w:pPr>
      <w:r w:rsidRPr="004316E1">
        <w:rPr>
          <w:rFonts w:ascii="Calibri" w:eastAsia="STKaiti" w:hAnsi="Calibri" w:cs="Arial" w:hint="eastAsia"/>
          <w:szCs w:val="24"/>
          <w:lang w:val="en-US" w:eastAsia="zh-CN"/>
        </w:rPr>
        <w:t>进一步忆及</w:t>
      </w:r>
    </w:p>
    <w:p w14:paraId="456445F6" w14:textId="77777777" w:rsidR="00B1347D" w:rsidRPr="004316E1" w:rsidRDefault="00B1347D" w:rsidP="00B1347D">
      <w:pPr>
        <w:topLinePunct/>
        <w:spacing w:before="160" w:line="280" w:lineRule="exact"/>
        <w:ind w:firstLineChars="200" w:firstLine="480"/>
        <w:rPr>
          <w:rFonts w:ascii="Calibri" w:hAnsi="Calibri" w:cs="Calibri"/>
          <w:szCs w:val="24"/>
          <w:lang w:eastAsia="zh-CN"/>
        </w:rPr>
      </w:pPr>
      <w:r w:rsidRPr="004316E1">
        <w:rPr>
          <w:rFonts w:ascii="Calibri" w:hAnsi="Calibri" w:cs="Arial" w:hint="eastAsia"/>
          <w:szCs w:val="24"/>
          <w:lang w:val="en-US" w:eastAsia="zh-CN"/>
        </w:rPr>
        <w:t>关于</w:t>
      </w:r>
      <w:r>
        <w:rPr>
          <w:rFonts w:ascii="Calibri" w:hAnsi="Calibri" w:cs="Arial" w:hint="eastAsia"/>
          <w:szCs w:val="24"/>
          <w:lang w:val="en-US" w:eastAsia="zh-CN"/>
        </w:rPr>
        <w:t>《</w:t>
      </w:r>
      <w:r w:rsidRPr="004316E1">
        <w:rPr>
          <w:rFonts w:ascii="Calibri" w:hAnsi="Calibri" w:cs="Arial"/>
          <w:szCs w:val="24"/>
          <w:lang w:val="en-US" w:eastAsia="zh-CN"/>
        </w:rPr>
        <w:t>2020-2023</w:t>
      </w:r>
      <w:r w:rsidRPr="004316E1">
        <w:rPr>
          <w:rFonts w:ascii="Calibri" w:hAnsi="Calibri" w:cs="Arial" w:hint="eastAsia"/>
          <w:szCs w:val="24"/>
          <w:lang w:val="en-US" w:eastAsia="zh-CN"/>
        </w:rPr>
        <w:t>年国际电联财务规划</w:t>
      </w:r>
      <w:r>
        <w:rPr>
          <w:rFonts w:ascii="Calibri" w:hAnsi="Calibri" w:cs="Arial" w:hint="eastAsia"/>
          <w:szCs w:val="24"/>
          <w:lang w:val="en-US" w:eastAsia="zh-CN"/>
        </w:rPr>
        <w:t>》</w:t>
      </w:r>
      <w:r w:rsidRPr="004316E1">
        <w:rPr>
          <w:rFonts w:ascii="Calibri" w:hAnsi="Calibri" w:cs="Arial" w:hint="eastAsia"/>
          <w:szCs w:val="24"/>
          <w:lang w:val="en-US" w:eastAsia="zh-CN"/>
        </w:rPr>
        <w:t>的第</w:t>
      </w:r>
      <w:r w:rsidRPr="004316E1">
        <w:rPr>
          <w:rFonts w:ascii="Calibri" w:hAnsi="Calibri" w:cs="Arial"/>
          <w:szCs w:val="24"/>
          <w:lang w:val="en-US" w:eastAsia="zh-CN"/>
        </w:rPr>
        <w:t>5</w:t>
      </w:r>
      <w:r w:rsidRPr="004316E1">
        <w:rPr>
          <w:rFonts w:ascii="Calibri" w:hAnsi="Calibri" w:cs="Arial" w:hint="eastAsia"/>
          <w:szCs w:val="24"/>
          <w:lang w:val="en-US" w:eastAsia="zh-CN"/>
        </w:rPr>
        <w:t>号决定（迪拜，</w:t>
      </w:r>
      <w:r w:rsidRPr="004316E1">
        <w:rPr>
          <w:rFonts w:ascii="Calibri" w:hAnsi="Calibri" w:cs="Arial"/>
          <w:szCs w:val="24"/>
          <w:lang w:val="en-US" w:eastAsia="zh-CN"/>
        </w:rPr>
        <w:t>2018</w:t>
      </w:r>
      <w:r w:rsidRPr="004316E1">
        <w:rPr>
          <w:rFonts w:ascii="Calibri" w:hAnsi="Calibri" w:cs="Arial" w:hint="eastAsia"/>
          <w:szCs w:val="24"/>
          <w:lang w:val="en-US" w:eastAsia="zh-CN"/>
        </w:rPr>
        <w:t>年，修订版），该决定设定了支出限额，</w:t>
      </w:r>
      <w:r w:rsidRPr="004316E1">
        <w:rPr>
          <w:rFonts w:ascii="Calibri" w:hAnsi="Calibri" w:cs="Arial"/>
          <w:szCs w:val="24"/>
          <w:lang w:val="en-US" w:eastAsia="zh-CN"/>
        </w:rPr>
        <w:t>2020-2021</w:t>
      </w:r>
      <w:r w:rsidRPr="004316E1">
        <w:rPr>
          <w:rFonts w:ascii="Calibri" w:hAnsi="Calibri" w:cs="Arial" w:hint="eastAsia"/>
          <w:szCs w:val="24"/>
          <w:lang w:val="en-US" w:eastAsia="zh-CN"/>
        </w:rPr>
        <w:t>年和</w:t>
      </w:r>
      <w:r w:rsidRPr="004316E1">
        <w:rPr>
          <w:rFonts w:ascii="Calibri" w:hAnsi="Calibri" w:cs="Arial"/>
          <w:szCs w:val="24"/>
          <w:lang w:val="en-US" w:eastAsia="zh-CN"/>
        </w:rPr>
        <w:t>2022-2023</w:t>
      </w:r>
      <w:r w:rsidRPr="004316E1">
        <w:rPr>
          <w:rFonts w:ascii="Calibri" w:hAnsi="Calibri" w:cs="Arial" w:hint="eastAsia"/>
          <w:szCs w:val="24"/>
          <w:lang w:val="en-US" w:eastAsia="zh-CN"/>
        </w:rPr>
        <w:t>年预算以及运作规划均在此范围内制定，</w:t>
      </w:r>
    </w:p>
    <w:p w14:paraId="32DCD22C" w14:textId="77777777" w:rsidR="00B1347D" w:rsidRPr="004316E1" w:rsidRDefault="00B1347D" w:rsidP="00B1347D">
      <w:pPr>
        <w:keepNext/>
        <w:keepLines/>
        <w:spacing w:before="240" w:line="280" w:lineRule="exact"/>
        <w:ind w:left="794"/>
        <w:rPr>
          <w:rFonts w:ascii="Calibri" w:eastAsia="STKaiti" w:hAnsi="Calibri"/>
          <w:szCs w:val="24"/>
          <w:lang w:val="en-US" w:eastAsia="zh-CN"/>
        </w:rPr>
      </w:pPr>
      <w:r w:rsidRPr="004316E1">
        <w:rPr>
          <w:rFonts w:ascii="Calibri" w:eastAsia="STKaiti" w:hAnsi="Calibri" w:hint="eastAsia"/>
          <w:szCs w:val="24"/>
          <w:lang w:val="en-US" w:eastAsia="zh-CN"/>
        </w:rPr>
        <w:t>考虑到</w:t>
      </w:r>
    </w:p>
    <w:p w14:paraId="5C77B9B9" w14:textId="77777777" w:rsidR="00B1347D" w:rsidRPr="004316E1" w:rsidRDefault="00B1347D" w:rsidP="00B1347D">
      <w:pPr>
        <w:topLinePunct/>
        <w:spacing w:before="160" w:line="280" w:lineRule="exact"/>
        <w:ind w:firstLineChars="200" w:firstLine="480"/>
        <w:rPr>
          <w:rFonts w:ascii="Calibri" w:hAnsi="Calibri" w:cs="Calibri"/>
          <w:szCs w:val="24"/>
          <w:lang w:val="en-US" w:eastAsia="zh-CN"/>
        </w:rPr>
      </w:pPr>
      <w:r>
        <w:rPr>
          <w:rFonts w:ascii="Calibri" w:hAnsi="Calibri" w:cs="Calibri" w:hint="eastAsia"/>
          <w:szCs w:val="24"/>
          <w:lang w:val="en-US" w:eastAsia="zh-CN"/>
        </w:rPr>
        <w:t>《</w:t>
      </w:r>
      <w:r w:rsidRPr="004316E1">
        <w:rPr>
          <w:rFonts w:ascii="Calibri" w:hAnsi="Calibri" w:cs="Calibri"/>
          <w:szCs w:val="24"/>
          <w:lang w:val="en-US" w:eastAsia="zh-CN"/>
        </w:rPr>
        <w:t>2022-2025</w:t>
      </w:r>
      <w:r w:rsidRPr="004316E1">
        <w:rPr>
          <w:rFonts w:ascii="Calibri" w:hAnsi="Calibri" w:cs="Arial" w:hint="eastAsia"/>
          <w:szCs w:val="24"/>
          <w:lang w:val="en-US" w:eastAsia="zh-CN"/>
        </w:rPr>
        <w:t>年四年期滚动式运作规划</w:t>
      </w:r>
      <w:r>
        <w:rPr>
          <w:rFonts w:ascii="Calibri" w:hAnsi="Calibri" w:cs="Arial" w:hint="eastAsia"/>
          <w:szCs w:val="24"/>
          <w:lang w:val="en-US" w:eastAsia="zh-CN"/>
        </w:rPr>
        <w:t>》</w:t>
      </w:r>
      <w:r w:rsidRPr="004316E1">
        <w:rPr>
          <w:rFonts w:ascii="Calibri" w:hAnsi="Calibri" w:cs="Arial" w:hint="eastAsia"/>
          <w:szCs w:val="24"/>
          <w:lang w:val="en-US" w:eastAsia="zh-CN"/>
        </w:rPr>
        <w:t>草案（</w:t>
      </w:r>
      <w:hyperlink r:id="rId418" w:history="1">
        <w:r w:rsidRPr="009129BB">
          <w:rPr>
            <w:rFonts w:ascii="Calibri" w:eastAsia="Times New Roman" w:hAnsi="Calibri" w:cs="Calibri"/>
            <w:color w:val="0000FF"/>
            <w:szCs w:val="24"/>
            <w:u w:val="single"/>
            <w:lang w:eastAsia="zh-CN"/>
          </w:rPr>
          <w:t>C21/28</w:t>
        </w:r>
      </w:hyperlink>
      <w:r w:rsidRPr="004316E1">
        <w:rPr>
          <w:rFonts w:ascii="Calibri" w:hAnsi="Calibri" w:cs="Arial" w:hint="eastAsia"/>
          <w:szCs w:val="24"/>
          <w:lang w:val="en-US" w:eastAsia="zh-CN"/>
        </w:rPr>
        <w:t>号文件）</w:t>
      </w:r>
      <w:r w:rsidRPr="004316E1">
        <w:rPr>
          <w:rFonts w:ascii="Calibri" w:hAnsi="Calibri" w:cs="Calibri" w:hint="eastAsia"/>
          <w:szCs w:val="24"/>
          <w:lang w:val="en-US" w:eastAsia="zh-CN"/>
        </w:rPr>
        <w:t>，</w:t>
      </w:r>
    </w:p>
    <w:p w14:paraId="781CE2F1" w14:textId="77777777" w:rsidR="00B1347D" w:rsidRPr="004316E1" w:rsidRDefault="00B1347D" w:rsidP="00B1347D">
      <w:pPr>
        <w:keepNext/>
        <w:keepLines/>
        <w:spacing w:before="240" w:line="280" w:lineRule="exact"/>
        <w:ind w:left="794"/>
        <w:rPr>
          <w:rFonts w:ascii="Calibri" w:eastAsia="STKaiti" w:hAnsi="Calibri"/>
          <w:szCs w:val="24"/>
          <w:lang w:val="en-US" w:eastAsia="zh-CN"/>
        </w:rPr>
      </w:pPr>
      <w:r w:rsidRPr="004316E1">
        <w:rPr>
          <w:rFonts w:ascii="Calibri" w:eastAsia="STKaiti" w:hAnsi="Calibri" w:hint="eastAsia"/>
          <w:szCs w:val="24"/>
          <w:lang w:val="en-US" w:eastAsia="zh-CN"/>
        </w:rPr>
        <w:t>亦考虑到</w:t>
      </w:r>
    </w:p>
    <w:p w14:paraId="073B379B" w14:textId="77777777" w:rsidR="00B1347D" w:rsidRPr="004316E1" w:rsidRDefault="00B1347D" w:rsidP="00B1347D">
      <w:pPr>
        <w:topLinePunct/>
        <w:spacing w:before="160" w:line="280" w:lineRule="exact"/>
        <w:ind w:firstLineChars="200" w:firstLine="480"/>
        <w:rPr>
          <w:rFonts w:ascii="Calibri" w:hAnsi="Calibri" w:cs="Calibri"/>
          <w:szCs w:val="24"/>
          <w:lang w:val="en-US" w:eastAsia="zh-CN"/>
        </w:rPr>
      </w:pPr>
      <w:r w:rsidRPr="004316E1">
        <w:rPr>
          <w:rFonts w:ascii="Calibri" w:hAnsi="Calibri" w:cs="Arial" w:hint="eastAsia"/>
          <w:szCs w:val="24"/>
          <w:lang w:val="en-US" w:eastAsia="zh-CN"/>
        </w:rPr>
        <w:t>秘书长和各局主任在实施四年期滚动式运作规划的相应内容时需有一定的灵活性，以便应对两届理事会之间可能发生的变化</w:t>
      </w:r>
      <w:r w:rsidRPr="004316E1">
        <w:rPr>
          <w:rFonts w:ascii="Calibri" w:hAnsi="Calibri" w:cs="Calibri" w:hint="eastAsia"/>
          <w:szCs w:val="24"/>
          <w:lang w:val="en-US" w:eastAsia="zh-CN"/>
        </w:rPr>
        <w:t>，</w:t>
      </w:r>
    </w:p>
    <w:p w14:paraId="05D0F91F" w14:textId="77777777" w:rsidR="00B1347D" w:rsidRPr="004316E1" w:rsidRDefault="00B1347D" w:rsidP="00B1347D">
      <w:pPr>
        <w:keepNext/>
        <w:keepLines/>
        <w:spacing w:before="240" w:line="280" w:lineRule="exact"/>
        <w:ind w:left="794"/>
        <w:rPr>
          <w:rFonts w:ascii="Calibri" w:eastAsia="STKaiti" w:hAnsi="Calibri"/>
          <w:szCs w:val="24"/>
          <w:lang w:val="en-US" w:eastAsia="zh-CN"/>
        </w:rPr>
      </w:pPr>
      <w:r w:rsidRPr="004316E1">
        <w:rPr>
          <w:rFonts w:ascii="Calibri" w:eastAsia="STKaiti" w:hAnsi="Calibri" w:hint="eastAsia"/>
          <w:szCs w:val="24"/>
          <w:lang w:val="en-US" w:eastAsia="zh-CN"/>
        </w:rPr>
        <w:t>做出决议</w:t>
      </w:r>
    </w:p>
    <w:p w14:paraId="3CF1DC80" w14:textId="77777777" w:rsidR="00B1347D" w:rsidRPr="004316E1" w:rsidRDefault="00B1347D" w:rsidP="00B1347D">
      <w:pPr>
        <w:topLinePunct/>
        <w:spacing w:before="160" w:line="280" w:lineRule="exact"/>
        <w:rPr>
          <w:rFonts w:ascii="Calibri" w:hAnsi="Calibri" w:cs="Calibri"/>
          <w:szCs w:val="24"/>
          <w:lang w:val="en-US" w:eastAsia="zh-CN"/>
        </w:rPr>
      </w:pPr>
      <w:r w:rsidRPr="004316E1">
        <w:rPr>
          <w:rFonts w:ascii="Calibri" w:hAnsi="Calibri" w:cs="Calibri"/>
          <w:szCs w:val="24"/>
          <w:lang w:val="en-US" w:eastAsia="zh-CN"/>
        </w:rPr>
        <w:t>1</w:t>
      </w:r>
      <w:r w:rsidRPr="004316E1">
        <w:rPr>
          <w:rFonts w:ascii="Calibri" w:hAnsi="Calibri" w:cs="Calibri"/>
          <w:szCs w:val="24"/>
          <w:lang w:val="en-US" w:eastAsia="zh-CN"/>
        </w:rPr>
        <w:tab/>
      </w:r>
      <w:r w:rsidRPr="004316E1">
        <w:rPr>
          <w:rFonts w:ascii="Calibri" w:hAnsi="Calibri" w:cs="Calibri" w:hint="eastAsia"/>
          <w:szCs w:val="24"/>
          <w:lang w:val="en-US" w:eastAsia="zh-CN"/>
        </w:rPr>
        <w:t>批准国际电联</w:t>
      </w:r>
      <w:r w:rsidRPr="004316E1">
        <w:rPr>
          <w:rFonts w:ascii="Calibri" w:hAnsi="Calibri" w:cs="Calibri"/>
          <w:szCs w:val="24"/>
          <w:lang w:val="en-US" w:eastAsia="zh-CN"/>
        </w:rPr>
        <w:t>2022-2025</w:t>
      </w:r>
      <w:r w:rsidRPr="004316E1">
        <w:rPr>
          <w:rFonts w:ascii="Calibri" w:hAnsi="Calibri" w:cs="Calibri" w:hint="eastAsia"/>
          <w:szCs w:val="24"/>
          <w:lang w:val="en-US" w:eastAsia="zh-CN"/>
        </w:rPr>
        <w:t>年四年期滚动式运作规划；</w:t>
      </w:r>
      <w:r>
        <w:rPr>
          <w:rFonts w:ascii="Calibri" w:hAnsi="Calibri" w:cs="Calibri" w:hint="eastAsia"/>
          <w:szCs w:val="24"/>
          <w:lang w:val="en-US" w:eastAsia="zh-CN"/>
        </w:rPr>
        <w:t>并且</w:t>
      </w:r>
    </w:p>
    <w:p w14:paraId="4827B77D" w14:textId="25A4E3DB" w:rsidR="001347A2" w:rsidRPr="001F6A80" w:rsidRDefault="00B1347D" w:rsidP="00B1347D">
      <w:pPr>
        <w:rPr>
          <w:lang w:eastAsia="zh-CN"/>
        </w:rPr>
      </w:pPr>
      <w:r w:rsidRPr="004316E1">
        <w:rPr>
          <w:rFonts w:ascii="Calibri" w:hAnsi="Calibri" w:cs="Calibri"/>
          <w:szCs w:val="24"/>
          <w:lang w:val="en-US" w:eastAsia="zh-CN"/>
        </w:rPr>
        <w:t>2</w:t>
      </w:r>
      <w:r w:rsidRPr="004316E1">
        <w:rPr>
          <w:rFonts w:ascii="Calibri" w:hAnsi="Calibri" w:cs="Calibri"/>
          <w:szCs w:val="24"/>
          <w:lang w:val="en-US" w:eastAsia="zh-CN"/>
        </w:rPr>
        <w:tab/>
      </w:r>
      <w:r w:rsidRPr="004316E1">
        <w:rPr>
          <w:rFonts w:ascii="Calibri" w:hAnsi="Calibri" w:cs="Calibri" w:hint="eastAsia"/>
          <w:szCs w:val="24"/>
          <w:lang w:val="en-US" w:eastAsia="zh-CN"/>
        </w:rPr>
        <w:t>在实施</w:t>
      </w:r>
      <w:r w:rsidRPr="004316E1">
        <w:rPr>
          <w:rFonts w:ascii="Calibri" w:hAnsi="Calibri" w:cs="Calibri"/>
          <w:szCs w:val="24"/>
          <w:lang w:val="en-US" w:eastAsia="zh-CN"/>
        </w:rPr>
        <w:t>2022-2025</w:t>
      </w:r>
      <w:r w:rsidRPr="004316E1">
        <w:rPr>
          <w:rFonts w:ascii="Calibri" w:hAnsi="Calibri" w:cs="Arial" w:hint="eastAsia"/>
          <w:szCs w:val="24"/>
          <w:lang w:val="en-US" w:eastAsia="zh-CN"/>
        </w:rPr>
        <w:t>年四年期滚动式运作规划的相应内容时，</w:t>
      </w:r>
      <w:r w:rsidRPr="004316E1">
        <w:rPr>
          <w:rFonts w:ascii="Calibri" w:hAnsi="Calibri" w:cs="Calibri" w:hint="eastAsia"/>
          <w:szCs w:val="24"/>
          <w:lang w:val="en-US" w:eastAsia="zh-CN"/>
        </w:rPr>
        <w:t>给予秘书长和各局主任必要的灵活性。</w:t>
      </w:r>
    </w:p>
    <w:p w14:paraId="4827B77E" w14:textId="4FA2F7BD" w:rsidR="001347A2" w:rsidRPr="00EC6014" w:rsidRDefault="001347A2" w:rsidP="001347A2">
      <w:pPr>
        <w:pStyle w:val="Endtext"/>
        <w:keepNext/>
        <w:keepLines/>
        <w:rPr>
          <w:lang w:eastAsia="zh-CN"/>
        </w:rPr>
      </w:pPr>
      <w:r>
        <w:rPr>
          <w:rFonts w:cstheme="minorHAnsi" w:hint="eastAsia"/>
          <w:lang w:eastAsia="zh-CN"/>
        </w:rPr>
        <w:t>参阅：</w:t>
      </w:r>
      <w:r>
        <w:rPr>
          <w:rFonts w:cstheme="minorHAnsi"/>
          <w:lang w:eastAsia="zh-CN"/>
        </w:rPr>
        <w:tab/>
      </w:r>
      <w:hyperlink r:id="rId419" w:history="1">
        <w:r w:rsidR="00B1347D" w:rsidRPr="00B1347D">
          <w:rPr>
            <w:rStyle w:val="Hyperlink"/>
            <w:lang w:val="fr-FR" w:eastAsia="zh-CN"/>
          </w:rPr>
          <w:t>C21/28</w:t>
        </w:r>
      </w:hyperlink>
      <w:r w:rsidR="00B1347D">
        <w:rPr>
          <w:rFonts w:hint="eastAsia"/>
          <w:lang w:val="fr-FR" w:eastAsia="zh-CN"/>
        </w:rPr>
        <w:t>、</w:t>
      </w:r>
      <w:hyperlink r:id="rId420" w:history="1">
        <w:r w:rsidR="00B1347D" w:rsidRPr="00B1347D">
          <w:rPr>
            <w:rStyle w:val="Hyperlink"/>
            <w:lang w:val="fr-FR" w:eastAsia="zh-CN"/>
          </w:rPr>
          <w:t>C21/DT/2</w:t>
        </w:r>
      </w:hyperlink>
      <w:r w:rsidR="00B1347D">
        <w:rPr>
          <w:rFonts w:hint="eastAsia"/>
          <w:lang w:val="fr-FR" w:eastAsia="zh-CN"/>
        </w:rPr>
        <w:t>、</w:t>
      </w:r>
      <w:hyperlink r:id="rId421" w:history="1">
        <w:r w:rsidR="00B1347D" w:rsidRPr="00B1347D">
          <w:rPr>
            <w:rStyle w:val="Hyperlink"/>
            <w:lang w:val="fr-FR" w:eastAsia="zh-CN"/>
          </w:rPr>
          <w:t>C21/85</w:t>
        </w:r>
      </w:hyperlink>
      <w:r w:rsidR="00B1347D">
        <w:rPr>
          <w:rFonts w:hint="eastAsia"/>
          <w:lang w:val="en-GB" w:eastAsia="zh-CN"/>
        </w:rPr>
        <w:t>和</w:t>
      </w:r>
      <w:hyperlink r:id="rId422" w:history="1">
        <w:r w:rsidR="00B1347D" w:rsidRPr="00B1347D">
          <w:rPr>
            <w:rStyle w:val="Hyperlink"/>
            <w:lang w:val="en-GB" w:eastAsia="zh-CN"/>
          </w:rPr>
          <w:t>DM-21/1017</w:t>
        </w:r>
      </w:hyperlink>
      <w:r w:rsidR="00B1347D">
        <w:rPr>
          <w:rFonts w:hint="eastAsia"/>
          <w:lang w:val="en-GB" w:eastAsia="zh-CN"/>
        </w:rPr>
        <w:t>号</w:t>
      </w:r>
      <w:r>
        <w:rPr>
          <w:rFonts w:cstheme="minorHAnsi" w:hint="eastAsia"/>
          <w:lang w:eastAsia="zh-CN"/>
        </w:rPr>
        <w:t>文件</w:t>
      </w:r>
      <w:r>
        <w:rPr>
          <w:rFonts w:cstheme="minorHAnsi"/>
          <w:lang w:eastAsia="zh-CN"/>
        </w:rPr>
        <w:t>。</w:t>
      </w:r>
    </w:p>
    <w:p w14:paraId="4827B798" w14:textId="067A2561" w:rsidR="00E27A81" w:rsidRPr="002F16F2" w:rsidRDefault="00CD0CD2" w:rsidP="002F16F2">
      <w:pPr>
        <w:jc w:val="center"/>
        <w:rPr>
          <w:lang w:eastAsia="zh-CN"/>
        </w:rPr>
      </w:pPr>
      <w:r>
        <w:rPr>
          <w:lang w:eastAsia="zh-CN"/>
        </w:rPr>
        <w:t>______________</w:t>
      </w:r>
    </w:p>
    <w:p w14:paraId="4827B79A" w14:textId="77777777" w:rsidR="00E27A81" w:rsidRDefault="00E27A81" w:rsidP="00B64353">
      <w:pPr>
        <w:spacing w:before="0"/>
        <w:rPr>
          <w:lang w:val="fr-CH" w:eastAsia="zh-CN"/>
        </w:rPr>
      </w:pPr>
    </w:p>
    <w:p w14:paraId="4827B79B" w14:textId="77777777" w:rsidR="00E27A81" w:rsidRPr="001347A2" w:rsidRDefault="00E27A81" w:rsidP="00B64353">
      <w:pPr>
        <w:spacing w:before="0"/>
        <w:rPr>
          <w:lang w:val="fr-CH" w:eastAsia="zh-CN"/>
        </w:rPr>
      </w:pPr>
    </w:p>
    <w:p w14:paraId="4827B79C" w14:textId="77777777" w:rsidR="005F7760" w:rsidRPr="001347A2" w:rsidRDefault="005F7760" w:rsidP="00B64353">
      <w:pPr>
        <w:spacing w:before="0"/>
        <w:rPr>
          <w:lang w:val="fr-CH" w:eastAsia="zh-CN"/>
        </w:rPr>
        <w:sectPr w:rsidR="005F7760" w:rsidRPr="001347A2" w:rsidSect="00D64003">
          <w:headerReference w:type="even" r:id="rId423"/>
          <w:headerReference w:type="default" r:id="rId424"/>
          <w:footerReference w:type="default" r:id="rId425"/>
          <w:headerReference w:type="first" r:id="rId426"/>
          <w:footerReference w:type="first" r:id="rId427"/>
          <w:footnotePr>
            <w:pos w:val="beneathText"/>
          </w:footnotePr>
          <w:endnotePr>
            <w:numFmt w:val="decimal"/>
          </w:endnotePr>
          <w:type w:val="oddPage"/>
          <w:pgSz w:w="11907" w:h="16840" w:code="9"/>
          <w:pgMar w:top="1418" w:right="1134" w:bottom="1134" w:left="1134" w:header="737" w:footer="567" w:gutter="284"/>
          <w:cols w:space="720"/>
          <w:vAlign w:val="both"/>
          <w:titlePg/>
        </w:sectPr>
      </w:pPr>
    </w:p>
    <w:p w14:paraId="4827B79D" w14:textId="77777777" w:rsidR="00F11D1D" w:rsidRPr="00EA3335" w:rsidRDefault="00F11D1D" w:rsidP="00EA3335">
      <w:pPr>
        <w:pStyle w:val="ChapNo"/>
        <w:spacing w:before="0"/>
        <w:rPr>
          <w:b w:val="0"/>
          <w:bCs/>
          <w:lang w:eastAsia="zh-CN"/>
        </w:rPr>
      </w:pPr>
      <w:bookmarkStart w:id="2068" w:name="_Toc81880131"/>
      <w:bookmarkStart w:id="2069" w:name="_Toc161224072"/>
      <w:bookmarkStart w:id="2070" w:name="_Toc161732118"/>
      <w:bookmarkStart w:id="2071" w:name="_Toc161741048"/>
      <w:bookmarkStart w:id="2072" w:name="_Toc185237715"/>
      <w:bookmarkStart w:id="2073" w:name="_Toc311469640"/>
      <w:bookmarkStart w:id="2074" w:name="_Toc424115677"/>
      <w:bookmarkStart w:id="2075" w:name="_Toc424116251"/>
      <w:bookmarkStart w:id="2076" w:name="_Toc424117082"/>
      <w:bookmarkStart w:id="2077" w:name="_Toc531707040"/>
      <w:bookmarkStart w:id="2078" w:name="_Toc531707157"/>
      <w:bookmarkStart w:id="2079" w:name="_Toc531768520"/>
      <w:bookmarkStart w:id="2080" w:name="_Toc16085845"/>
      <w:bookmarkStart w:id="2081" w:name="_Toc16173303"/>
      <w:bookmarkStart w:id="2082" w:name="_Toc16173760"/>
      <w:bookmarkStart w:id="2083" w:name="_Toc86395646"/>
      <w:r w:rsidRPr="00EA3335">
        <w:rPr>
          <w:b w:val="0"/>
          <w:bCs/>
          <w:lang w:eastAsia="zh-CN"/>
        </w:rPr>
        <w:lastRenderedPageBreak/>
        <w:t>5</w:t>
      </w:r>
      <w:r w:rsidRPr="00EA3335">
        <w:rPr>
          <w:b w:val="0"/>
          <w:bCs/>
          <w:lang w:eastAsia="zh-CN"/>
        </w:rPr>
        <w:tab/>
      </w:r>
      <w:bookmarkEnd w:id="2068"/>
      <w:r w:rsidR="00B40863" w:rsidRPr="00EA3335">
        <w:rPr>
          <w:rFonts w:hint="eastAsia"/>
          <w:b w:val="0"/>
          <w:bCs/>
          <w:lang w:eastAsia="zh-CN"/>
        </w:rPr>
        <w:t>国际电联各部门</w:t>
      </w:r>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p>
    <w:p w14:paraId="4827B79E" w14:textId="77777777" w:rsidR="00F11D1D" w:rsidRPr="008A6197" w:rsidRDefault="00F11D1D" w:rsidP="001347A2">
      <w:pPr>
        <w:pStyle w:val="Chaptitle"/>
        <w:rPr>
          <w:lang w:eastAsia="zh-CN"/>
        </w:rPr>
      </w:pPr>
      <w:bookmarkStart w:id="2084" w:name="_Toc81880132"/>
      <w:bookmarkStart w:id="2085" w:name="_Toc161224073"/>
      <w:bookmarkStart w:id="2086" w:name="_Toc161732119"/>
      <w:bookmarkStart w:id="2087" w:name="_Toc161741049"/>
      <w:bookmarkStart w:id="2088" w:name="_Toc185237716"/>
      <w:bookmarkStart w:id="2089" w:name="_Toc311469641"/>
      <w:bookmarkStart w:id="2090" w:name="_Toc424117083"/>
      <w:bookmarkStart w:id="2091" w:name="_Toc531706430"/>
      <w:bookmarkStart w:id="2092" w:name="_Toc531707041"/>
      <w:bookmarkStart w:id="2093" w:name="_Toc531768521"/>
      <w:bookmarkStart w:id="2094" w:name="_Toc16085846"/>
      <w:bookmarkStart w:id="2095" w:name="_Toc86395647"/>
      <w:r w:rsidRPr="008A6197">
        <w:rPr>
          <w:lang w:eastAsia="zh-CN"/>
        </w:rPr>
        <w:t>5.1</w:t>
      </w:r>
      <w:r w:rsidRPr="008A6197">
        <w:rPr>
          <w:lang w:eastAsia="zh-CN"/>
        </w:rPr>
        <w:tab/>
      </w:r>
      <w:r w:rsidR="00B40863" w:rsidRPr="008A6197">
        <w:rPr>
          <w:rFonts w:hint="eastAsia"/>
          <w:lang w:eastAsia="zh-CN"/>
        </w:rPr>
        <w:t>总则</w:t>
      </w:r>
      <w:bookmarkEnd w:id="2084"/>
      <w:bookmarkEnd w:id="2085"/>
      <w:bookmarkEnd w:id="2086"/>
      <w:bookmarkEnd w:id="2087"/>
      <w:bookmarkEnd w:id="2088"/>
      <w:bookmarkEnd w:id="2089"/>
      <w:bookmarkEnd w:id="2090"/>
      <w:bookmarkEnd w:id="2091"/>
      <w:bookmarkEnd w:id="2092"/>
      <w:bookmarkEnd w:id="2093"/>
      <w:bookmarkEnd w:id="2094"/>
      <w:bookmarkEnd w:id="2095"/>
    </w:p>
    <w:p w14:paraId="4827B79F" w14:textId="77777777" w:rsidR="00E45997" w:rsidRPr="00E45997" w:rsidRDefault="00742A4D" w:rsidP="00CA7362">
      <w:pPr>
        <w:pStyle w:val="ResNo"/>
        <w:outlineLvl w:val="0"/>
        <w:rPr>
          <w:lang w:eastAsia="zh-CN"/>
        </w:rPr>
      </w:pPr>
      <w:bookmarkStart w:id="2096" w:name="_Toc424117084"/>
      <w:bookmarkStart w:id="2097" w:name="_Toc531706431"/>
      <w:bookmarkStart w:id="2098" w:name="_Toc531707042"/>
      <w:bookmarkStart w:id="2099" w:name="_Toc531768522"/>
      <w:bookmarkStart w:id="2100" w:name="_Toc16085847"/>
      <w:bookmarkStart w:id="2101" w:name="_Toc86395648"/>
      <w:bookmarkStart w:id="2102" w:name="_Toc161224074"/>
      <w:bookmarkStart w:id="2103" w:name="_Toc161732120"/>
      <w:bookmarkStart w:id="2104" w:name="_Toc161741050"/>
      <w:bookmarkStart w:id="2105" w:name="_Toc63839135"/>
      <w:bookmarkStart w:id="2106" w:name="_Toc78271375"/>
      <w:bookmarkStart w:id="2107" w:name="_Toc81880133"/>
      <w:bookmarkStart w:id="2108" w:name="_Toc185237717"/>
      <w:bookmarkStart w:id="2109" w:name="_Toc311469642"/>
      <w:r w:rsidRPr="00E45997">
        <w:rPr>
          <w:rFonts w:hint="eastAsia"/>
          <w:lang w:eastAsia="zh-CN"/>
        </w:rPr>
        <w:t>第</w:t>
      </w:r>
      <w:r w:rsidRPr="00E45997">
        <w:rPr>
          <w:lang w:eastAsia="zh-CN"/>
        </w:rPr>
        <w:t>1115</w:t>
      </w:r>
      <w:r w:rsidRPr="00E45997">
        <w:rPr>
          <w:rFonts w:hint="eastAsia"/>
          <w:lang w:eastAsia="zh-CN"/>
        </w:rPr>
        <w:t>号决议</w:t>
      </w:r>
      <w:r w:rsidR="00E45997">
        <w:rPr>
          <w:rFonts w:hint="eastAsia"/>
          <w:lang w:eastAsia="zh-CN"/>
        </w:rPr>
        <w:t>（</w:t>
      </w:r>
      <w:r w:rsidR="00E45997" w:rsidRPr="00E45997">
        <w:rPr>
          <w:lang w:eastAsia="zh-CN"/>
        </w:rPr>
        <w:t>C-1997</w:t>
      </w:r>
      <w:r w:rsidR="00E45997">
        <w:rPr>
          <w:rFonts w:hint="eastAsia"/>
          <w:lang w:eastAsia="zh-CN"/>
        </w:rPr>
        <w:t>）</w:t>
      </w:r>
      <w:bookmarkEnd w:id="2096"/>
      <w:bookmarkEnd w:id="2097"/>
      <w:bookmarkEnd w:id="2098"/>
      <w:bookmarkEnd w:id="2099"/>
      <w:bookmarkEnd w:id="2100"/>
      <w:bookmarkEnd w:id="2101"/>
    </w:p>
    <w:p w14:paraId="4827B7A0" w14:textId="77777777" w:rsidR="00742A4D" w:rsidRPr="00E45997" w:rsidRDefault="00742A4D" w:rsidP="00E45997">
      <w:pPr>
        <w:pStyle w:val="Restitle"/>
        <w:rPr>
          <w:lang w:eastAsia="zh-CN"/>
        </w:rPr>
      </w:pPr>
      <w:bookmarkStart w:id="2110" w:name="_Toc424116252"/>
      <w:bookmarkStart w:id="2111" w:name="_Toc424117085"/>
      <w:bookmarkStart w:id="2112" w:name="_Toc460248198"/>
      <w:bookmarkStart w:id="2113" w:name="_Toc531706432"/>
      <w:bookmarkStart w:id="2114" w:name="_Toc531707043"/>
      <w:bookmarkStart w:id="2115" w:name="_Toc531768523"/>
      <w:bookmarkStart w:id="2116" w:name="_Toc16085848"/>
      <w:bookmarkStart w:id="2117" w:name="_Toc86395649"/>
      <w:r w:rsidRPr="00E45997">
        <w:rPr>
          <w:rFonts w:hint="eastAsia"/>
          <w:lang w:eastAsia="zh-CN"/>
        </w:rPr>
        <w:t>关于合法截收电信的技术要求的国际协调</w:t>
      </w:r>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p>
    <w:p w14:paraId="4827B7A1" w14:textId="77777777" w:rsidR="00C408E8" w:rsidRPr="00E45997" w:rsidRDefault="00C408E8" w:rsidP="00E45997">
      <w:pPr>
        <w:pStyle w:val="Normalaftertitle"/>
        <w:rPr>
          <w:lang w:eastAsia="zh-CN"/>
        </w:rPr>
      </w:pPr>
      <w:r w:rsidRPr="00E45997">
        <w:rPr>
          <w:rFonts w:hint="eastAsia"/>
          <w:lang w:eastAsia="zh-CN"/>
        </w:rPr>
        <w:t>理事会，</w:t>
      </w:r>
    </w:p>
    <w:p w14:paraId="4827B7A2" w14:textId="77777777" w:rsidR="00C408E8" w:rsidRDefault="00C408E8" w:rsidP="00B64353">
      <w:pPr>
        <w:pStyle w:val="Call"/>
        <w:rPr>
          <w:lang w:eastAsia="zh-CN"/>
        </w:rPr>
      </w:pPr>
      <w:r>
        <w:rPr>
          <w:rFonts w:hint="eastAsia"/>
          <w:lang w:eastAsia="zh-CN"/>
        </w:rPr>
        <w:t>注意到</w:t>
      </w:r>
    </w:p>
    <w:p w14:paraId="4827B7A3" w14:textId="77777777" w:rsidR="00C408E8" w:rsidRDefault="00C408E8" w:rsidP="00B64353">
      <w:pPr>
        <w:rPr>
          <w:lang w:eastAsia="zh-CN"/>
        </w:rPr>
      </w:pPr>
      <w:r w:rsidRPr="002526EE">
        <w:rPr>
          <w:i/>
          <w:iCs/>
          <w:lang w:eastAsia="zh-CN"/>
        </w:rPr>
        <w:t>a)</w:t>
      </w:r>
      <w:r>
        <w:rPr>
          <w:lang w:eastAsia="zh-CN"/>
        </w:rPr>
        <w:tab/>
      </w:r>
      <w:r>
        <w:rPr>
          <w:rFonts w:ascii="SimSun" w:hAnsi="SimSun" w:hint="eastAsia"/>
          <w:lang w:eastAsia="zh-CN"/>
        </w:rPr>
        <w:t>许多国际电联成员国允许其执法机构和国家安全部门在有控制的条件下截收电信业务；</w:t>
      </w:r>
    </w:p>
    <w:p w14:paraId="4827B7A4" w14:textId="77777777" w:rsidR="00C408E8" w:rsidRDefault="00C408E8" w:rsidP="00B64353">
      <w:pPr>
        <w:rPr>
          <w:lang w:eastAsia="zh-CN"/>
        </w:rPr>
      </w:pPr>
      <w:r w:rsidRPr="002526EE">
        <w:rPr>
          <w:i/>
          <w:iCs/>
          <w:lang w:eastAsia="zh-CN"/>
        </w:rPr>
        <w:t>b)</w:t>
      </w:r>
      <w:r>
        <w:rPr>
          <w:lang w:eastAsia="zh-CN"/>
        </w:rPr>
        <w:tab/>
      </w:r>
      <w:r>
        <w:rPr>
          <w:rFonts w:ascii="SimSun" w:hAnsi="SimSun" w:hint="eastAsia"/>
          <w:lang w:eastAsia="zh-CN"/>
        </w:rPr>
        <w:t>相当多的国际电联成员国的执法机构和国家安全部门已就合法截收电信业务的通用要求达成一致（国际截收要求，</w:t>
      </w:r>
      <w:r>
        <w:rPr>
          <w:lang w:eastAsia="zh-CN"/>
        </w:rPr>
        <w:t>IUR</w:t>
      </w:r>
      <w:r>
        <w:rPr>
          <w:rFonts w:ascii="SimSun" w:hAnsi="SimSun" w:hint="eastAsia"/>
          <w:lang w:eastAsia="zh-CN"/>
        </w:rPr>
        <w:t>）；</w:t>
      </w:r>
    </w:p>
    <w:p w14:paraId="4827B7A5" w14:textId="77777777" w:rsidR="00C408E8" w:rsidRDefault="00C408E8" w:rsidP="00B64353">
      <w:pPr>
        <w:rPr>
          <w:lang w:eastAsia="zh-CN"/>
        </w:rPr>
      </w:pPr>
      <w:r w:rsidRPr="002526EE">
        <w:rPr>
          <w:i/>
          <w:iCs/>
          <w:lang w:eastAsia="zh-CN"/>
        </w:rPr>
        <w:t>c)</w:t>
      </w:r>
      <w:r>
        <w:rPr>
          <w:lang w:eastAsia="zh-CN"/>
        </w:rPr>
        <w:tab/>
      </w:r>
      <w:r>
        <w:rPr>
          <w:rFonts w:ascii="SimSun" w:hAnsi="SimSun" w:hint="eastAsia"/>
          <w:lang w:eastAsia="zh-CN"/>
        </w:rPr>
        <w:t>合法截收能力的费用及相关的中断可以通过设计阶段规定的能力达到减少；</w:t>
      </w:r>
    </w:p>
    <w:p w14:paraId="4827B7A6" w14:textId="77777777" w:rsidR="00C408E8" w:rsidRDefault="00C408E8" w:rsidP="00B64353">
      <w:pPr>
        <w:rPr>
          <w:lang w:eastAsia="zh-CN"/>
        </w:rPr>
      </w:pPr>
      <w:r w:rsidRPr="002526EE">
        <w:rPr>
          <w:i/>
          <w:iCs/>
          <w:lang w:eastAsia="zh-CN"/>
        </w:rPr>
        <w:t>d)</w:t>
      </w:r>
      <w:r>
        <w:rPr>
          <w:lang w:eastAsia="zh-CN"/>
        </w:rPr>
        <w:tab/>
      </w:r>
      <w:r>
        <w:rPr>
          <w:rFonts w:ascii="SimSun" w:hAnsi="SimSun" w:hint="eastAsia"/>
          <w:lang w:eastAsia="zh-CN"/>
        </w:rPr>
        <w:t>这种费用和中断的减少可以导致更加有效地提供和发展电信基础设施</w:t>
      </w:r>
      <w:r w:rsidR="000D5CD6">
        <w:rPr>
          <w:rFonts w:ascii="SimSun" w:hAnsi="SimSun" w:hint="eastAsia"/>
          <w:lang w:eastAsia="zh-CN"/>
        </w:rPr>
        <w:t>，</w:t>
      </w:r>
    </w:p>
    <w:p w14:paraId="4827B7A7" w14:textId="77777777" w:rsidR="00C408E8" w:rsidRDefault="00C408E8" w:rsidP="00B64353">
      <w:pPr>
        <w:pStyle w:val="Call"/>
        <w:rPr>
          <w:lang w:eastAsia="zh-CN"/>
        </w:rPr>
      </w:pPr>
      <w:r>
        <w:rPr>
          <w:rFonts w:hint="eastAsia"/>
          <w:lang w:eastAsia="zh-CN"/>
        </w:rPr>
        <w:t>考虑到</w:t>
      </w:r>
    </w:p>
    <w:p w14:paraId="4827B7A8" w14:textId="77777777" w:rsidR="00C408E8" w:rsidRDefault="00C408E8" w:rsidP="00B64353">
      <w:pPr>
        <w:rPr>
          <w:lang w:eastAsia="zh-CN"/>
        </w:rPr>
      </w:pPr>
      <w:r w:rsidRPr="002526EE">
        <w:rPr>
          <w:i/>
          <w:iCs/>
          <w:lang w:eastAsia="zh-CN"/>
        </w:rPr>
        <w:t>a)</w:t>
      </w:r>
      <w:r>
        <w:rPr>
          <w:lang w:eastAsia="zh-CN"/>
        </w:rPr>
        <w:tab/>
      </w:r>
      <w:r>
        <w:rPr>
          <w:rFonts w:ascii="SimSun" w:hAnsi="SimSun" w:hint="eastAsia"/>
          <w:lang w:eastAsia="zh-CN"/>
        </w:rPr>
        <w:t>在相关标准内提供一种截收技术能力，不会影响各国在决定是否以及在何条件下允许合法截收的主权；</w:t>
      </w:r>
    </w:p>
    <w:p w14:paraId="4827B7A9" w14:textId="77777777" w:rsidR="00C408E8" w:rsidRDefault="00C408E8" w:rsidP="00B64353">
      <w:pPr>
        <w:rPr>
          <w:lang w:eastAsia="zh-CN"/>
        </w:rPr>
      </w:pPr>
      <w:r w:rsidRPr="002526EE">
        <w:rPr>
          <w:i/>
          <w:iCs/>
          <w:lang w:eastAsia="zh-CN"/>
        </w:rPr>
        <w:t>b)</w:t>
      </w:r>
      <w:r>
        <w:rPr>
          <w:lang w:eastAsia="zh-CN"/>
        </w:rPr>
        <w:tab/>
      </w:r>
      <w:r>
        <w:rPr>
          <w:rFonts w:ascii="SimSun" w:hAnsi="SimSun" w:hint="eastAsia"/>
          <w:lang w:eastAsia="zh-CN"/>
        </w:rPr>
        <w:t>有关合法截收的要求的研究将由</w:t>
      </w:r>
      <w:r>
        <w:rPr>
          <w:lang w:eastAsia="zh-CN"/>
        </w:rPr>
        <w:t>ITU-R</w:t>
      </w:r>
      <w:r>
        <w:rPr>
          <w:rFonts w:ascii="SimSun" w:hAnsi="SimSun" w:hint="eastAsia"/>
          <w:lang w:eastAsia="zh-CN"/>
        </w:rPr>
        <w:t>和</w:t>
      </w:r>
      <w:r>
        <w:rPr>
          <w:lang w:eastAsia="zh-CN"/>
        </w:rPr>
        <w:t>ITU-T</w:t>
      </w:r>
      <w:r>
        <w:rPr>
          <w:rFonts w:ascii="SimSun" w:hAnsi="SimSun" w:hint="eastAsia"/>
          <w:lang w:eastAsia="zh-CN"/>
        </w:rPr>
        <w:t>负责，</w:t>
      </w:r>
    </w:p>
    <w:p w14:paraId="4827B7AA" w14:textId="77777777" w:rsidR="00FA744F" w:rsidRDefault="00C408E8" w:rsidP="00FA744F">
      <w:pPr>
        <w:pStyle w:val="Call"/>
        <w:rPr>
          <w:lang w:eastAsia="zh-CN"/>
        </w:rPr>
      </w:pPr>
      <w:r>
        <w:rPr>
          <w:rFonts w:hint="eastAsia"/>
          <w:lang w:eastAsia="zh-CN"/>
        </w:rPr>
        <w:t>进一步注意到</w:t>
      </w:r>
    </w:p>
    <w:p w14:paraId="4827B7AB" w14:textId="77777777" w:rsidR="00C408E8" w:rsidRDefault="00C408E8" w:rsidP="00FA744F">
      <w:pPr>
        <w:ind w:firstLine="510"/>
        <w:rPr>
          <w:lang w:eastAsia="zh-CN"/>
        </w:rPr>
      </w:pPr>
      <w:r>
        <w:rPr>
          <w:rFonts w:hint="eastAsia"/>
          <w:lang w:eastAsia="zh-CN"/>
        </w:rPr>
        <w:t>有些国家急需这方面的研究结果，</w:t>
      </w:r>
    </w:p>
    <w:p w14:paraId="4827B7AC" w14:textId="77777777" w:rsidR="00FA744F" w:rsidRPr="00FA744F" w:rsidRDefault="00C408E8" w:rsidP="00FA744F">
      <w:pPr>
        <w:pStyle w:val="Call"/>
        <w:rPr>
          <w:lang w:val="fr-FR" w:eastAsia="zh-CN"/>
        </w:rPr>
      </w:pPr>
      <w:r>
        <w:rPr>
          <w:rFonts w:hint="eastAsia"/>
          <w:lang w:eastAsia="zh-CN"/>
        </w:rPr>
        <w:t>要求</w:t>
      </w:r>
      <w:r w:rsidRPr="00FA744F">
        <w:rPr>
          <w:lang w:val="fr-FR" w:eastAsia="zh-CN"/>
        </w:rPr>
        <w:t>ITU-R</w:t>
      </w:r>
      <w:r>
        <w:rPr>
          <w:rFonts w:hint="eastAsia"/>
          <w:lang w:eastAsia="zh-CN"/>
        </w:rPr>
        <w:t>和</w:t>
      </w:r>
      <w:r w:rsidRPr="00FA744F">
        <w:rPr>
          <w:lang w:val="fr-FR" w:eastAsia="zh-CN"/>
        </w:rPr>
        <w:t>ITU-T</w:t>
      </w:r>
    </w:p>
    <w:p w14:paraId="4827B7AD" w14:textId="77777777" w:rsidR="00C408E8" w:rsidRDefault="00C408E8" w:rsidP="00FA744F">
      <w:pPr>
        <w:ind w:firstLine="510"/>
        <w:rPr>
          <w:rFonts w:ascii="Arial Unicode MS" w:hAnsi="Arial Unicode MS"/>
          <w:szCs w:val="24"/>
          <w:lang w:eastAsia="zh-CN"/>
        </w:rPr>
      </w:pPr>
      <w:r>
        <w:rPr>
          <w:rFonts w:hint="eastAsia"/>
          <w:lang w:eastAsia="zh-CN"/>
        </w:rPr>
        <w:t>优先研究主管部门要求他们研究的课题</w:t>
      </w:r>
      <w:r w:rsidR="006E0033">
        <w:rPr>
          <w:rStyle w:val="FootnoteReference"/>
          <w:lang w:eastAsia="zh-CN"/>
        </w:rPr>
        <w:footnoteReference w:customMarkFollows="1" w:id="14"/>
        <w:t>1</w:t>
      </w:r>
      <w:r>
        <w:rPr>
          <w:rFonts w:hint="eastAsia"/>
          <w:lang w:eastAsia="zh-CN"/>
        </w:rPr>
        <w:t>。</w:t>
      </w:r>
      <w:r>
        <w:rPr>
          <w:rFonts w:ascii="Arial Unicode MS" w:hAnsi="Arial Unicode MS" w:hint="eastAsia"/>
          <w:szCs w:val="24"/>
          <w:lang w:eastAsia="zh-CN"/>
        </w:rPr>
        <w:t xml:space="preserve"> </w:t>
      </w:r>
    </w:p>
    <w:p w14:paraId="4827B7AE" w14:textId="77777777" w:rsidR="00F11D1D" w:rsidRDefault="00C408E8" w:rsidP="00E45997">
      <w:pPr>
        <w:pStyle w:val="Endtext"/>
        <w:rPr>
          <w:lang w:eastAsia="zh-CN"/>
        </w:rPr>
      </w:pPr>
      <w:r>
        <w:rPr>
          <w:rFonts w:hint="eastAsia"/>
          <w:lang w:eastAsia="zh-CN"/>
        </w:rPr>
        <w:t>参阅</w:t>
      </w:r>
      <w:r>
        <w:rPr>
          <w:rFonts w:ascii="STKaiti" w:hAnsi="SimSun" w:hint="eastAsia"/>
          <w:lang w:eastAsia="zh-CN"/>
        </w:rPr>
        <w:t>：</w:t>
      </w:r>
      <w:r>
        <w:rPr>
          <w:rFonts w:ascii="STKaiti" w:hAnsi="SimSun" w:hint="eastAsia"/>
          <w:lang w:eastAsia="zh-CN"/>
        </w:rPr>
        <w:tab/>
      </w:r>
      <w:r>
        <w:rPr>
          <w:lang w:eastAsia="zh-CN"/>
        </w:rPr>
        <w:t>C97/135</w:t>
      </w:r>
      <w:r>
        <w:rPr>
          <w:rFonts w:hint="eastAsia"/>
          <w:lang w:eastAsia="zh-CN"/>
        </w:rPr>
        <w:t>和</w:t>
      </w:r>
      <w:r>
        <w:rPr>
          <w:lang w:eastAsia="zh-CN"/>
        </w:rPr>
        <w:t>C97/138</w:t>
      </w:r>
      <w:r>
        <w:rPr>
          <w:rFonts w:hint="eastAsia"/>
          <w:lang w:eastAsia="zh-CN"/>
        </w:rPr>
        <w:t>号文件。</w:t>
      </w:r>
    </w:p>
    <w:p w14:paraId="4827B7AF" w14:textId="77777777" w:rsidR="00E27A81" w:rsidRDefault="00E27A81" w:rsidP="00E27A81">
      <w:pPr>
        <w:jc w:val="center"/>
        <w:rPr>
          <w:lang w:eastAsia="zh-CN"/>
        </w:rPr>
      </w:pPr>
      <w:r>
        <w:rPr>
          <w:lang w:eastAsia="zh-CN"/>
        </w:rPr>
        <w:t>______________</w:t>
      </w:r>
    </w:p>
    <w:p w14:paraId="4827B7B0" w14:textId="77777777" w:rsidR="002526EE" w:rsidRDefault="002526EE" w:rsidP="00B64353">
      <w:pPr>
        <w:rPr>
          <w:lang w:val="fr-FR" w:eastAsia="zh-CN"/>
        </w:rPr>
      </w:pPr>
    </w:p>
    <w:p w14:paraId="4827B7B1" w14:textId="77777777" w:rsidR="00E27A81" w:rsidRDefault="00E27A81" w:rsidP="00B64353">
      <w:pPr>
        <w:rPr>
          <w:lang w:val="fr-FR" w:eastAsia="zh-CN"/>
        </w:rPr>
      </w:pPr>
    </w:p>
    <w:p w14:paraId="4827B7B2" w14:textId="77777777" w:rsidR="00350972" w:rsidRPr="00D746C3" w:rsidRDefault="00350972" w:rsidP="00B64353">
      <w:pPr>
        <w:rPr>
          <w:lang w:eastAsia="zh-CN"/>
        </w:rPr>
      </w:pPr>
    </w:p>
    <w:p w14:paraId="4827B7B3" w14:textId="77777777" w:rsidR="002431D2" w:rsidRDefault="002431D2" w:rsidP="00B64353">
      <w:pPr>
        <w:pStyle w:val="Sousnew"/>
        <w:rPr>
          <w:rFonts w:ascii="Times New Roman" w:hAnsi="Times New Roman"/>
        </w:rPr>
        <w:sectPr w:rsidR="002431D2" w:rsidSect="00D64003">
          <w:headerReference w:type="even" r:id="rId428"/>
          <w:headerReference w:type="default" r:id="rId429"/>
          <w:footerReference w:type="even" r:id="rId430"/>
          <w:footerReference w:type="default" r:id="rId431"/>
          <w:headerReference w:type="first" r:id="rId432"/>
          <w:footerReference w:type="first" r:id="rId433"/>
          <w:footnotePr>
            <w:pos w:val="beneathText"/>
          </w:footnotePr>
          <w:endnotePr>
            <w:numFmt w:val="decimal"/>
          </w:endnotePr>
          <w:type w:val="oddPage"/>
          <w:pgSz w:w="11907" w:h="16840" w:code="9"/>
          <w:pgMar w:top="1418" w:right="1134" w:bottom="1134" w:left="1134" w:header="737" w:footer="567" w:gutter="284"/>
          <w:cols w:space="720"/>
          <w:vAlign w:val="both"/>
          <w:titlePg/>
        </w:sectPr>
      </w:pPr>
      <w:bookmarkStart w:id="2118" w:name="_Toc81880135"/>
      <w:bookmarkStart w:id="2119" w:name="_Toc161224075"/>
      <w:bookmarkStart w:id="2120" w:name="_Toc161732121"/>
      <w:bookmarkStart w:id="2121" w:name="_Toc161741051"/>
    </w:p>
    <w:p w14:paraId="4827B7B4" w14:textId="77777777" w:rsidR="00F11D1D" w:rsidRPr="00D746C3" w:rsidRDefault="00F11D1D" w:rsidP="00152C69">
      <w:pPr>
        <w:pStyle w:val="Chaptitle"/>
        <w:rPr>
          <w:lang w:eastAsia="zh-CN"/>
        </w:rPr>
      </w:pPr>
      <w:bookmarkStart w:id="2122" w:name="_Toc185237718"/>
      <w:bookmarkStart w:id="2123" w:name="_Toc311469643"/>
      <w:bookmarkStart w:id="2124" w:name="_Toc424117086"/>
      <w:bookmarkStart w:id="2125" w:name="_Toc531706433"/>
      <w:bookmarkStart w:id="2126" w:name="_Toc531707044"/>
      <w:bookmarkStart w:id="2127" w:name="_Toc531768524"/>
      <w:bookmarkStart w:id="2128" w:name="_Toc16085849"/>
      <w:bookmarkStart w:id="2129" w:name="_Toc86395650"/>
      <w:r w:rsidRPr="00A91440">
        <w:rPr>
          <w:lang w:eastAsia="zh-CN"/>
        </w:rPr>
        <w:lastRenderedPageBreak/>
        <w:t>5.2</w:t>
      </w:r>
      <w:r w:rsidRPr="00A91440">
        <w:rPr>
          <w:lang w:eastAsia="zh-CN"/>
        </w:rPr>
        <w:tab/>
      </w:r>
      <w:bookmarkEnd w:id="2118"/>
      <w:r w:rsidR="00C408E8" w:rsidRPr="00A91440">
        <w:rPr>
          <w:rFonts w:hint="eastAsia"/>
          <w:lang w:eastAsia="zh-CN"/>
        </w:rPr>
        <w:t>无线电通信部门（</w:t>
      </w:r>
      <w:r w:rsidR="00C408E8" w:rsidRPr="00A91440">
        <w:rPr>
          <w:lang w:eastAsia="zh-CN"/>
        </w:rPr>
        <w:t>ITU-R</w:t>
      </w:r>
      <w:r w:rsidR="00C408E8" w:rsidRPr="00A91440">
        <w:rPr>
          <w:rFonts w:hint="eastAsia"/>
          <w:lang w:eastAsia="zh-CN"/>
        </w:rPr>
        <w:t>）</w:t>
      </w:r>
      <w:bookmarkEnd w:id="2119"/>
      <w:bookmarkEnd w:id="2120"/>
      <w:bookmarkEnd w:id="2121"/>
      <w:bookmarkEnd w:id="2122"/>
      <w:bookmarkEnd w:id="2123"/>
      <w:bookmarkEnd w:id="2124"/>
      <w:bookmarkEnd w:id="2125"/>
      <w:bookmarkEnd w:id="2126"/>
      <w:bookmarkEnd w:id="2127"/>
      <w:bookmarkEnd w:id="2128"/>
      <w:bookmarkEnd w:id="2129"/>
    </w:p>
    <w:p w14:paraId="4827B7B5" w14:textId="77777777" w:rsidR="00E45997" w:rsidRPr="00E45997" w:rsidRDefault="00C408E8" w:rsidP="00CA7362">
      <w:pPr>
        <w:pStyle w:val="ResNo"/>
        <w:outlineLvl w:val="0"/>
        <w:rPr>
          <w:lang w:eastAsia="zh-CN"/>
        </w:rPr>
      </w:pPr>
      <w:bookmarkStart w:id="2130" w:name="_Toc424117087"/>
      <w:bookmarkStart w:id="2131" w:name="_Toc531706434"/>
      <w:bookmarkStart w:id="2132" w:name="_Toc531707045"/>
      <w:bookmarkStart w:id="2133" w:name="_Toc531768525"/>
      <w:bookmarkStart w:id="2134" w:name="_Toc16085850"/>
      <w:bookmarkStart w:id="2135" w:name="_Toc86395651"/>
      <w:bookmarkStart w:id="2136" w:name="_Toc161224076"/>
      <w:bookmarkStart w:id="2137" w:name="_Toc161732122"/>
      <w:bookmarkStart w:id="2138" w:name="_Toc161741052"/>
      <w:bookmarkStart w:id="2139" w:name="_Toc63839137"/>
      <w:bookmarkStart w:id="2140" w:name="_Toc185237719"/>
      <w:bookmarkStart w:id="2141" w:name="_Toc311469644"/>
      <w:r w:rsidRPr="00E45997">
        <w:rPr>
          <w:rFonts w:hint="eastAsia"/>
          <w:lang w:eastAsia="zh-CN"/>
        </w:rPr>
        <w:t>第</w:t>
      </w:r>
      <w:r w:rsidRPr="00E45997">
        <w:rPr>
          <w:lang w:eastAsia="zh-CN"/>
        </w:rPr>
        <w:t>1148</w:t>
      </w:r>
      <w:r w:rsidRPr="00E45997">
        <w:rPr>
          <w:rFonts w:hint="eastAsia"/>
          <w:lang w:eastAsia="zh-CN"/>
        </w:rPr>
        <w:t>号决议</w:t>
      </w:r>
      <w:r w:rsidR="00E45997">
        <w:rPr>
          <w:rFonts w:hint="eastAsia"/>
          <w:lang w:eastAsia="zh-CN"/>
        </w:rPr>
        <w:t>（</w:t>
      </w:r>
      <w:r w:rsidR="00E45997" w:rsidRPr="00E45997">
        <w:rPr>
          <w:lang w:eastAsia="zh-CN"/>
        </w:rPr>
        <w:t>C-1999</w:t>
      </w:r>
      <w:r w:rsidR="00E45997">
        <w:rPr>
          <w:rFonts w:hint="eastAsia"/>
          <w:lang w:eastAsia="zh-CN"/>
        </w:rPr>
        <w:t>）</w:t>
      </w:r>
      <w:bookmarkEnd w:id="2130"/>
      <w:bookmarkEnd w:id="2131"/>
      <w:bookmarkEnd w:id="2132"/>
      <w:bookmarkEnd w:id="2133"/>
      <w:bookmarkEnd w:id="2134"/>
      <w:bookmarkEnd w:id="2135"/>
    </w:p>
    <w:p w14:paraId="4827B7B6" w14:textId="77777777" w:rsidR="00C408E8" w:rsidRPr="00E45997" w:rsidRDefault="00C408E8" w:rsidP="00E45997">
      <w:pPr>
        <w:pStyle w:val="Restitle"/>
        <w:rPr>
          <w:lang w:eastAsia="zh-CN"/>
        </w:rPr>
      </w:pPr>
      <w:bookmarkStart w:id="2142" w:name="_Toc424116253"/>
      <w:bookmarkStart w:id="2143" w:name="_Toc424117088"/>
      <w:bookmarkStart w:id="2144" w:name="_Toc460248201"/>
      <w:bookmarkStart w:id="2145" w:name="_Toc531706435"/>
      <w:bookmarkStart w:id="2146" w:name="_Toc531707046"/>
      <w:bookmarkStart w:id="2147" w:name="_Toc531768526"/>
      <w:bookmarkStart w:id="2148" w:name="_Toc16085851"/>
      <w:bookmarkStart w:id="2149" w:name="_Toc86395652"/>
      <w:r w:rsidRPr="00E45997">
        <w:rPr>
          <w:rFonts w:hint="eastAsia"/>
          <w:lang w:eastAsia="zh-CN"/>
        </w:rPr>
        <w:t>无线电规则委员会委员的地位</w:t>
      </w:r>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p>
    <w:p w14:paraId="4827B7B7" w14:textId="77777777" w:rsidR="00C408E8" w:rsidRDefault="00C408E8" w:rsidP="00E45997">
      <w:pPr>
        <w:pStyle w:val="Normalaftertitle"/>
        <w:rPr>
          <w:lang w:eastAsia="zh-CN"/>
        </w:rPr>
      </w:pPr>
      <w:r w:rsidRPr="00E45997">
        <w:rPr>
          <w:rFonts w:hint="eastAsia"/>
          <w:lang w:eastAsia="zh-CN"/>
        </w:rPr>
        <w:t>理事会</w:t>
      </w:r>
      <w:r>
        <w:rPr>
          <w:rFonts w:hint="eastAsia"/>
          <w:lang w:eastAsia="zh-CN"/>
        </w:rPr>
        <w:t>，</w:t>
      </w:r>
    </w:p>
    <w:p w14:paraId="4827B7B8" w14:textId="77777777" w:rsidR="00C408E8" w:rsidRDefault="00C408E8" w:rsidP="00B64353">
      <w:pPr>
        <w:pStyle w:val="Call"/>
        <w:rPr>
          <w:iCs/>
          <w:lang w:eastAsia="zh-CN"/>
        </w:rPr>
      </w:pPr>
      <w:r>
        <w:rPr>
          <w:rFonts w:hint="eastAsia"/>
          <w:lang w:eastAsia="zh-CN"/>
        </w:rPr>
        <w:t>考虑到</w:t>
      </w:r>
    </w:p>
    <w:p w14:paraId="4827B7B9" w14:textId="77777777" w:rsidR="00C408E8" w:rsidRPr="00AF2C01" w:rsidRDefault="00C408E8" w:rsidP="00B64353">
      <w:pPr>
        <w:rPr>
          <w:lang w:eastAsia="zh-CN"/>
        </w:rPr>
      </w:pPr>
      <w:r w:rsidRPr="002526EE">
        <w:rPr>
          <w:i/>
          <w:iCs/>
          <w:lang w:eastAsia="zh-CN"/>
        </w:rPr>
        <w:t>a)</w:t>
      </w:r>
      <w:r>
        <w:rPr>
          <w:lang w:eastAsia="zh-CN"/>
        </w:rPr>
        <w:tab/>
      </w:r>
      <w:r>
        <w:rPr>
          <w:rFonts w:ascii="SimSun" w:hAnsi="SimSun" w:hint="eastAsia"/>
          <w:lang w:eastAsia="zh-CN"/>
        </w:rPr>
        <w:t>经京都（</w:t>
      </w:r>
      <w:r>
        <w:rPr>
          <w:lang w:eastAsia="zh-CN"/>
        </w:rPr>
        <w:t>1994</w:t>
      </w:r>
      <w:r>
        <w:rPr>
          <w:rFonts w:ascii="SimSun" w:hAnsi="SimSun" w:hint="eastAsia"/>
          <w:lang w:eastAsia="zh-CN"/>
        </w:rPr>
        <w:t>年）和明尼</w:t>
      </w:r>
      <w:r w:rsidRPr="00AF2C01">
        <w:rPr>
          <w:rFonts w:hAnsi="SimSun"/>
          <w:lang w:eastAsia="zh-CN"/>
        </w:rPr>
        <w:t>阿波利斯（</w:t>
      </w:r>
      <w:r w:rsidRPr="00AF2C01">
        <w:rPr>
          <w:lang w:eastAsia="zh-CN"/>
        </w:rPr>
        <w:t>1998</w:t>
      </w:r>
      <w:r w:rsidRPr="00AF2C01">
        <w:rPr>
          <w:rFonts w:hAnsi="SimSun"/>
          <w:lang w:eastAsia="zh-CN"/>
        </w:rPr>
        <w:t>年）全权代表大会修正的《组织法》（</w:t>
      </w:r>
      <w:r w:rsidRPr="00AF2C01">
        <w:rPr>
          <w:lang w:eastAsia="zh-CN"/>
        </w:rPr>
        <w:t>1992</w:t>
      </w:r>
      <w:r w:rsidRPr="00AF2C01">
        <w:rPr>
          <w:rFonts w:hAnsi="SimSun"/>
          <w:lang w:eastAsia="zh-CN"/>
        </w:rPr>
        <w:t>年，日内瓦）第</w:t>
      </w:r>
      <w:r w:rsidRPr="00AF2C01">
        <w:rPr>
          <w:lang w:eastAsia="zh-CN"/>
        </w:rPr>
        <w:t>8</w:t>
      </w:r>
      <w:r w:rsidRPr="00AF2C01">
        <w:rPr>
          <w:rFonts w:hAnsi="SimSun"/>
          <w:lang w:eastAsia="zh-CN"/>
        </w:rPr>
        <w:t>条（第</w:t>
      </w:r>
      <w:r w:rsidRPr="00AF2C01">
        <w:rPr>
          <w:lang w:eastAsia="zh-CN"/>
        </w:rPr>
        <w:t>56</w:t>
      </w:r>
      <w:r w:rsidRPr="00AF2C01">
        <w:rPr>
          <w:lang w:eastAsia="zh-CN"/>
        </w:rPr>
        <w:t>款）、第</w:t>
      </w:r>
      <w:r w:rsidRPr="00AF2C01">
        <w:rPr>
          <w:lang w:eastAsia="zh-CN"/>
        </w:rPr>
        <w:t>9</w:t>
      </w:r>
      <w:r w:rsidRPr="00AF2C01">
        <w:rPr>
          <w:lang w:eastAsia="zh-CN"/>
        </w:rPr>
        <w:t>条（第</w:t>
      </w:r>
      <w:r w:rsidRPr="00AF2C01">
        <w:rPr>
          <w:lang w:eastAsia="zh-CN"/>
        </w:rPr>
        <w:t>63</w:t>
      </w:r>
      <w:r w:rsidRPr="00AF2C01">
        <w:rPr>
          <w:lang w:eastAsia="zh-CN"/>
        </w:rPr>
        <w:t>款）、第</w:t>
      </w:r>
      <w:r w:rsidRPr="00AF2C01">
        <w:rPr>
          <w:lang w:eastAsia="zh-CN"/>
        </w:rPr>
        <w:t>12</w:t>
      </w:r>
      <w:r w:rsidRPr="00AF2C01">
        <w:rPr>
          <w:lang w:eastAsia="zh-CN"/>
        </w:rPr>
        <w:t>条（第</w:t>
      </w:r>
      <w:r w:rsidRPr="00AF2C01">
        <w:rPr>
          <w:lang w:eastAsia="zh-CN"/>
        </w:rPr>
        <w:t>82</w:t>
      </w:r>
      <w:r w:rsidRPr="00AF2C01">
        <w:rPr>
          <w:lang w:eastAsia="zh-CN"/>
        </w:rPr>
        <w:t>款）和第</w:t>
      </w:r>
      <w:r w:rsidRPr="00AF2C01">
        <w:rPr>
          <w:lang w:eastAsia="zh-CN"/>
        </w:rPr>
        <w:t>14</w:t>
      </w:r>
      <w:r w:rsidRPr="00AF2C01">
        <w:rPr>
          <w:lang w:eastAsia="zh-CN"/>
        </w:rPr>
        <w:t>条（第</w:t>
      </w:r>
      <w:r w:rsidRPr="00AF2C01">
        <w:rPr>
          <w:lang w:eastAsia="zh-CN"/>
        </w:rPr>
        <w:t>93</w:t>
      </w:r>
      <w:r w:rsidRPr="00AF2C01">
        <w:rPr>
          <w:lang w:eastAsia="zh-CN"/>
        </w:rPr>
        <w:t>至</w:t>
      </w:r>
      <w:r w:rsidRPr="00AF2C01">
        <w:rPr>
          <w:lang w:eastAsia="zh-CN"/>
        </w:rPr>
        <w:t>101</w:t>
      </w:r>
      <w:r w:rsidRPr="00AF2C01">
        <w:rPr>
          <w:lang w:eastAsia="zh-CN"/>
        </w:rPr>
        <w:t>款）及《国际电联公约》（</w:t>
      </w:r>
      <w:r w:rsidRPr="00AF2C01">
        <w:rPr>
          <w:lang w:eastAsia="zh-CN"/>
        </w:rPr>
        <w:t>1992</w:t>
      </w:r>
      <w:r w:rsidRPr="00AF2C01">
        <w:rPr>
          <w:lang w:eastAsia="zh-CN"/>
        </w:rPr>
        <w:t>年，日内瓦）第</w:t>
      </w:r>
      <w:r w:rsidRPr="00AF2C01">
        <w:rPr>
          <w:lang w:eastAsia="zh-CN"/>
        </w:rPr>
        <w:t>2</w:t>
      </w:r>
      <w:r w:rsidRPr="00AF2C01">
        <w:rPr>
          <w:lang w:eastAsia="zh-CN"/>
        </w:rPr>
        <w:t>条（第</w:t>
      </w:r>
      <w:r w:rsidRPr="00AF2C01">
        <w:rPr>
          <w:lang w:eastAsia="zh-CN"/>
        </w:rPr>
        <w:t>20</w:t>
      </w:r>
      <w:r w:rsidRPr="00AF2C01">
        <w:rPr>
          <w:lang w:eastAsia="zh-CN"/>
        </w:rPr>
        <w:t>至</w:t>
      </w:r>
      <w:r w:rsidRPr="00AF2C01">
        <w:rPr>
          <w:lang w:eastAsia="zh-CN"/>
        </w:rPr>
        <w:t>22</w:t>
      </w:r>
      <w:r w:rsidRPr="00AF2C01">
        <w:rPr>
          <w:lang w:eastAsia="zh-CN"/>
        </w:rPr>
        <w:t>款）和第</w:t>
      </w:r>
      <w:r w:rsidRPr="00AF2C01">
        <w:rPr>
          <w:lang w:eastAsia="zh-CN"/>
        </w:rPr>
        <w:t>10</w:t>
      </w:r>
      <w:r w:rsidRPr="00AF2C01">
        <w:rPr>
          <w:lang w:eastAsia="zh-CN"/>
        </w:rPr>
        <w:t>条（第</w:t>
      </w:r>
      <w:r w:rsidRPr="00AF2C01">
        <w:rPr>
          <w:lang w:eastAsia="zh-CN"/>
        </w:rPr>
        <w:t>139</w:t>
      </w:r>
      <w:r w:rsidRPr="00AF2C01">
        <w:rPr>
          <w:lang w:eastAsia="zh-CN"/>
        </w:rPr>
        <w:t>至</w:t>
      </w:r>
      <w:r w:rsidRPr="00AF2C01">
        <w:rPr>
          <w:lang w:eastAsia="zh-CN"/>
        </w:rPr>
        <w:t>147</w:t>
      </w:r>
      <w:r w:rsidRPr="00AF2C01">
        <w:rPr>
          <w:lang w:eastAsia="zh-CN"/>
        </w:rPr>
        <w:t>款）的规定；</w:t>
      </w:r>
    </w:p>
    <w:p w14:paraId="4827B7BA" w14:textId="77777777" w:rsidR="00C408E8" w:rsidRPr="00AF2C01" w:rsidRDefault="00C408E8" w:rsidP="00B64353">
      <w:pPr>
        <w:rPr>
          <w:lang w:eastAsia="zh-CN"/>
        </w:rPr>
      </w:pPr>
      <w:r w:rsidRPr="002526EE">
        <w:rPr>
          <w:i/>
          <w:iCs/>
          <w:lang w:eastAsia="zh-CN"/>
        </w:rPr>
        <w:t>b)</w:t>
      </w:r>
      <w:r w:rsidRPr="00AF2C01">
        <w:rPr>
          <w:lang w:eastAsia="zh-CN"/>
        </w:rPr>
        <w:tab/>
      </w:r>
      <w:r w:rsidRPr="00AF2C01">
        <w:rPr>
          <w:rFonts w:hAnsi="SimSun"/>
          <w:lang w:eastAsia="zh-CN"/>
        </w:rPr>
        <w:t>无线电规则委员会（</w:t>
      </w:r>
      <w:r w:rsidRPr="00AF2C01">
        <w:rPr>
          <w:lang w:eastAsia="zh-CN"/>
        </w:rPr>
        <w:t>RRB</w:t>
      </w:r>
      <w:r w:rsidRPr="00AF2C01">
        <w:rPr>
          <w:rFonts w:hAnsi="SimSun"/>
          <w:lang w:eastAsia="zh-CN"/>
        </w:rPr>
        <w:t>）委员是由全权代表大会选举产生的</w:t>
      </w:r>
      <w:r>
        <w:rPr>
          <w:rFonts w:hAnsi="SimSun"/>
          <w:lang w:eastAsia="zh-CN"/>
        </w:rPr>
        <w:t>负有</w:t>
      </w:r>
      <w:r w:rsidRPr="00AF2C01">
        <w:rPr>
          <w:rFonts w:hAnsi="SimSun"/>
          <w:lang w:eastAsia="zh-CN"/>
        </w:rPr>
        <w:t>国际职责的受托人；</w:t>
      </w:r>
    </w:p>
    <w:p w14:paraId="4827B7BB" w14:textId="77777777" w:rsidR="00C408E8" w:rsidRPr="00AF2C01" w:rsidRDefault="00C408E8" w:rsidP="00B64353">
      <w:pPr>
        <w:rPr>
          <w:lang w:eastAsia="zh-CN"/>
        </w:rPr>
      </w:pPr>
      <w:r w:rsidRPr="002526EE">
        <w:rPr>
          <w:i/>
          <w:iCs/>
          <w:lang w:eastAsia="zh-CN"/>
        </w:rPr>
        <w:t>c)</w:t>
      </w:r>
      <w:r w:rsidRPr="00AF2C01">
        <w:rPr>
          <w:lang w:eastAsia="zh-CN"/>
        </w:rPr>
        <w:tab/>
      </w:r>
      <w:r w:rsidRPr="00AF2C01">
        <w:rPr>
          <w:rFonts w:hAnsi="SimSun"/>
          <w:lang w:eastAsia="zh-CN"/>
        </w:rPr>
        <w:t>因此他们不能被视为《公约》第</w:t>
      </w:r>
      <w:r w:rsidRPr="00AF2C01">
        <w:rPr>
          <w:lang w:eastAsia="zh-CN"/>
        </w:rPr>
        <w:t>1001</w:t>
      </w:r>
      <w:r w:rsidRPr="00AF2C01">
        <w:rPr>
          <w:rFonts w:hAnsi="SimSun"/>
          <w:lang w:eastAsia="zh-CN"/>
        </w:rPr>
        <w:t>款意义上的</w:t>
      </w:r>
      <w:r w:rsidRPr="00AF2C01">
        <w:rPr>
          <w:lang w:eastAsia="zh-CN"/>
        </w:rPr>
        <w:t>“</w:t>
      </w:r>
      <w:r w:rsidRPr="00AF2C01">
        <w:rPr>
          <w:rFonts w:hAnsi="SimSun"/>
          <w:lang w:eastAsia="zh-CN"/>
        </w:rPr>
        <w:t>专家</w:t>
      </w:r>
      <w:r w:rsidRPr="00AF2C01">
        <w:rPr>
          <w:lang w:eastAsia="zh-CN"/>
        </w:rPr>
        <w:t>”</w:t>
      </w:r>
      <w:r w:rsidRPr="00AF2C01">
        <w:rPr>
          <w:rFonts w:hAnsi="SimSun"/>
          <w:lang w:eastAsia="zh-CN"/>
        </w:rPr>
        <w:t>；</w:t>
      </w:r>
    </w:p>
    <w:p w14:paraId="4827B7BC" w14:textId="77777777" w:rsidR="00C408E8" w:rsidRDefault="00C408E8" w:rsidP="00B64353">
      <w:pPr>
        <w:rPr>
          <w:lang w:eastAsia="zh-CN"/>
        </w:rPr>
      </w:pPr>
      <w:r w:rsidRPr="002526EE">
        <w:rPr>
          <w:i/>
          <w:iCs/>
          <w:lang w:eastAsia="zh-CN"/>
        </w:rPr>
        <w:t>d)</w:t>
      </w:r>
      <w:r>
        <w:rPr>
          <w:lang w:eastAsia="zh-CN"/>
        </w:rPr>
        <w:tab/>
      </w:r>
      <w:r>
        <w:rPr>
          <w:rFonts w:ascii="SimSun" w:hAnsi="SimSun" w:hint="eastAsia"/>
          <w:lang w:eastAsia="zh-CN"/>
        </w:rPr>
        <w:t>而</w:t>
      </w:r>
      <w:r w:rsidR="000D5CD6">
        <w:rPr>
          <w:rFonts w:ascii="SimSun" w:hAnsi="SimSun" w:hint="eastAsia"/>
          <w:lang w:eastAsia="zh-CN"/>
        </w:rPr>
        <w:t>《</w:t>
      </w:r>
      <w:r>
        <w:rPr>
          <w:rFonts w:ascii="SimSun" w:hAnsi="SimSun" w:hint="eastAsia"/>
          <w:lang w:eastAsia="zh-CN"/>
        </w:rPr>
        <w:t>总部协定</w:t>
      </w:r>
      <w:r w:rsidR="000D5CD6">
        <w:rPr>
          <w:rFonts w:ascii="SimSun" w:hAnsi="SimSun" w:hint="eastAsia"/>
          <w:lang w:eastAsia="zh-CN"/>
        </w:rPr>
        <w:t>》</w:t>
      </w:r>
      <w:r>
        <w:rPr>
          <w:rFonts w:ascii="SimSun" w:hAnsi="SimSun" w:hint="eastAsia"/>
          <w:lang w:eastAsia="zh-CN"/>
        </w:rPr>
        <w:t>中未规定无线电规则委员会委员的特殊地位；</w:t>
      </w:r>
    </w:p>
    <w:p w14:paraId="4827B7BD" w14:textId="77777777" w:rsidR="00C408E8" w:rsidRDefault="00C408E8" w:rsidP="00B64353">
      <w:pPr>
        <w:rPr>
          <w:lang w:eastAsia="zh-CN"/>
        </w:rPr>
      </w:pPr>
      <w:r w:rsidRPr="002526EE">
        <w:rPr>
          <w:i/>
          <w:iCs/>
          <w:lang w:eastAsia="zh-CN"/>
        </w:rPr>
        <w:t>e)</w:t>
      </w:r>
      <w:r>
        <w:rPr>
          <w:lang w:eastAsia="zh-CN"/>
        </w:rPr>
        <w:tab/>
      </w:r>
      <w:r>
        <w:rPr>
          <w:rFonts w:ascii="SimSun" w:hAnsi="SimSun" w:hint="eastAsia"/>
          <w:lang w:eastAsia="zh-CN"/>
        </w:rPr>
        <w:t>《公约》规定无线电规则委员会委员应参加无线电通信大会和无线电通信全会，而且，无线电规则委员会的</w:t>
      </w:r>
      <w:r w:rsidR="007B263F">
        <w:rPr>
          <w:rFonts w:ascii="SimSun" w:hAnsi="SimSun" w:hint="eastAsia"/>
          <w:lang w:eastAsia="zh-CN"/>
        </w:rPr>
        <w:t>正副</w:t>
      </w:r>
      <w:r>
        <w:rPr>
          <w:rFonts w:ascii="SimSun" w:hAnsi="SimSun" w:hint="eastAsia"/>
          <w:lang w:eastAsia="zh-CN"/>
        </w:rPr>
        <w:t>主席</w:t>
      </w:r>
      <w:r w:rsidR="007B263F">
        <w:rPr>
          <w:rFonts w:ascii="SimSun" w:hAnsi="SimSun" w:hint="eastAsia"/>
          <w:lang w:eastAsia="zh-CN"/>
        </w:rPr>
        <w:t>亦需</w:t>
      </w:r>
      <w:r>
        <w:rPr>
          <w:rFonts w:ascii="SimSun" w:hAnsi="SimSun" w:hint="eastAsia"/>
          <w:lang w:eastAsia="zh-CN"/>
        </w:rPr>
        <w:t>参加全权代表大会，无论这些大会和全会是否在</w:t>
      </w:r>
      <w:r w:rsidR="007B263F">
        <w:rPr>
          <w:rFonts w:ascii="SimSun" w:hAnsi="SimSun" w:hint="eastAsia"/>
          <w:lang w:eastAsia="zh-CN"/>
        </w:rPr>
        <w:t>国际</w:t>
      </w:r>
      <w:r>
        <w:rPr>
          <w:rFonts w:ascii="SimSun" w:hAnsi="SimSun" w:hint="eastAsia"/>
          <w:lang w:eastAsia="zh-CN"/>
        </w:rPr>
        <w:t>电联总部召开；</w:t>
      </w:r>
    </w:p>
    <w:p w14:paraId="4827B7BE" w14:textId="77777777" w:rsidR="00C408E8" w:rsidRDefault="00C408E8" w:rsidP="00B64353">
      <w:pPr>
        <w:rPr>
          <w:lang w:eastAsia="zh-CN"/>
        </w:rPr>
      </w:pPr>
      <w:r w:rsidRPr="002526EE">
        <w:rPr>
          <w:i/>
          <w:iCs/>
          <w:lang w:eastAsia="zh-CN"/>
        </w:rPr>
        <w:t>f)</w:t>
      </w:r>
      <w:r>
        <w:rPr>
          <w:lang w:eastAsia="zh-CN"/>
        </w:rPr>
        <w:tab/>
      </w:r>
      <w:r>
        <w:rPr>
          <w:rFonts w:ascii="SimSun" w:hAnsi="SimSun" w:hint="eastAsia"/>
          <w:lang w:eastAsia="zh-CN"/>
        </w:rPr>
        <w:t>全权代表大会（</w:t>
      </w:r>
      <w:r>
        <w:rPr>
          <w:lang w:eastAsia="zh-CN"/>
        </w:rPr>
        <w:t>1998</w:t>
      </w:r>
      <w:r>
        <w:rPr>
          <w:rFonts w:ascii="SimSun" w:hAnsi="SimSun" w:hint="eastAsia"/>
          <w:lang w:eastAsia="zh-CN"/>
        </w:rPr>
        <w:t>年，明尼阿波利斯）做出决定，要求理事会考虑根据秘书长与东道国协商后提出的报告（</w:t>
      </w:r>
      <w:r>
        <w:rPr>
          <w:lang w:eastAsia="zh-CN"/>
        </w:rPr>
        <w:t>PP-98</w:t>
      </w:r>
      <w:r>
        <w:rPr>
          <w:rFonts w:ascii="SimSun" w:hAnsi="SimSun"/>
          <w:lang w:eastAsia="zh-CN"/>
        </w:rPr>
        <w:t>/</w:t>
      </w:r>
      <w:r w:rsidRPr="00AF2C01">
        <w:rPr>
          <w:lang w:eastAsia="zh-CN"/>
        </w:rPr>
        <w:t>271</w:t>
      </w:r>
      <w:r>
        <w:rPr>
          <w:rFonts w:ascii="SimSun" w:hAnsi="SimSun" w:hint="eastAsia"/>
          <w:lang w:eastAsia="zh-CN"/>
        </w:rPr>
        <w:t>号文件）向无线电规则委员会委员提供其履行职责所需的特权与豁免的适当办法，</w:t>
      </w:r>
    </w:p>
    <w:p w14:paraId="4827B7BF" w14:textId="77777777" w:rsidR="00C408E8" w:rsidRDefault="00C408E8" w:rsidP="00B64353">
      <w:pPr>
        <w:rPr>
          <w:lang w:eastAsia="zh-CN"/>
        </w:rPr>
      </w:pPr>
      <w:r>
        <w:rPr>
          <w:lang w:eastAsia="zh-CN"/>
        </w:rPr>
        <w:tab/>
      </w:r>
      <w:r>
        <w:rPr>
          <w:rFonts w:eastAsia="STKaiti" w:hint="eastAsia"/>
          <w:lang w:eastAsia="zh-CN"/>
        </w:rPr>
        <w:t>经审议</w:t>
      </w:r>
      <w:r>
        <w:rPr>
          <w:rFonts w:ascii="SimSun" w:hAnsi="SimSun" w:hint="eastAsia"/>
          <w:lang w:eastAsia="zh-CN"/>
        </w:rPr>
        <w:t>秘书长针对全权代表大会（</w:t>
      </w:r>
      <w:r>
        <w:rPr>
          <w:lang w:eastAsia="zh-CN"/>
        </w:rPr>
        <w:t>1998</w:t>
      </w:r>
      <w:r>
        <w:rPr>
          <w:rFonts w:ascii="SimSun" w:hAnsi="SimSun" w:hint="eastAsia"/>
          <w:lang w:eastAsia="zh-CN"/>
        </w:rPr>
        <w:t>年，明尼阿波利斯）的决定所起草的报告（</w:t>
      </w:r>
      <w:r>
        <w:rPr>
          <w:lang w:eastAsia="zh-CN"/>
        </w:rPr>
        <w:t>C99/61</w:t>
      </w:r>
      <w:r>
        <w:rPr>
          <w:rFonts w:ascii="SimSun" w:hAnsi="SimSun" w:hint="eastAsia"/>
          <w:lang w:eastAsia="zh-CN"/>
        </w:rPr>
        <w:t>号文件），</w:t>
      </w:r>
    </w:p>
    <w:p w14:paraId="4827B7C0" w14:textId="77777777" w:rsidR="00C408E8" w:rsidRDefault="00C408E8" w:rsidP="00B64353">
      <w:pPr>
        <w:rPr>
          <w:lang w:eastAsia="zh-CN"/>
        </w:rPr>
      </w:pPr>
      <w:r>
        <w:rPr>
          <w:i/>
          <w:lang w:eastAsia="zh-CN"/>
        </w:rPr>
        <w:tab/>
      </w:r>
      <w:r>
        <w:rPr>
          <w:rFonts w:eastAsia="STKaiti" w:hint="eastAsia"/>
          <w:lang w:eastAsia="zh-CN"/>
        </w:rPr>
        <w:t>了解到</w:t>
      </w:r>
      <w:r>
        <w:rPr>
          <w:rFonts w:ascii="SimSun" w:hAnsi="SimSun" w:hint="eastAsia"/>
          <w:lang w:eastAsia="zh-CN"/>
        </w:rPr>
        <w:t>秘书长转</w:t>
      </w:r>
      <w:r w:rsidR="007B263F">
        <w:rPr>
          <w:rFonts w:ascii="SimSun" w:hAnsi="SimSun" w:hint="eastAsia"/>
          <w:lang w:eastAsia="zh-CN"/>
        </w:rPr>
        <w:t>呈</w:t>
      </w:r>
      <w:r>
        <w:rPr>
          <w:rFonts w:ascii="SimSun" w:hAnsi="SimSun" w:hint="eastAsia"/>
          <w:lang w:eastAsia="zh-CN"/>
        </w:rPr>
        <w:t>理事会的无线电规则委员会的备忘录（</w:t>
      </w:r>
      <w:r>
        <w:rPr>
          <w:lang w:eastAsia="zh-CN"/>
        </w:rPr>
        <w:t>C99/66</w:t>
      </w:r>
      <w:r>
        <w:rPr>
          <w:rFonts w:ascii="SimSun" w:hAnsi="SimSun" w:hint="eastAsia"/>
          <w:lang w:eastAsia="zh-CN"/>
        </w:rPr>
        <w:t>号文件），</w:t>
      </w:r>
    </w:p>
    <w:p w14:paraId="4827B7C1" w14:textId="77777777" w:rsidR="00C408E8" w:rsidRPr="00472664" w:rsidRDefault="00C408E8" w:rsidP="00B64353">
      <w:pPr>
        <w:pStyle w:val="Call"/>
        <w:rPr>
          <w:lang w:eastAsia="zh-CN"/>
        </w:rPr>
      </w:pPr>
      <w:r>
        <w:rPr>
          <w:rFonts w:hint="eastAsia"/>
          <w:lang w:eastAsia="zh-CN"/>
        </w:rPr>
        <w:t>做出决议，</w:t>
      </w:r>
      <w:r w:rsidRPr="00472664">
        <w:rPr>
          <w:rFonts w:hint="eastAsia"/>
          <w:lang w:eastAsia="zh-CN"/>
        </w:rPr>
        <w:t>责成秘书长</w:t>
      </w:r>
    </w:p>
    <w:p w14:paraId="4827B7C2" w14:textId="77777777" w:rsidR="00C408E8" w:rsidRDefault="00C408E8" w:rsidP="00B64353">
      <w:pPr>
        <w:rPr>
          <w:lang w:eastAsia="zh-CN"/>
        </w:rPr>
      </w:pPr>
      <w:r>
        <w:rPr>
          <w:lang w:eastAsia="zh-CN"/>
        </w:rPr>
        <w:t>1</w:t>
      </w:r>
      <w:r w:rsidR="00E04370">
        <w:rPr>
          <w:lang w:eastAsia="zh-CN"/>
        </w:rPr>
        <w:tab/>
      </w:r>
      <w:r>
        <w:rPr>
          <w:rFonts w:ascii="SimSun" w:hAnsi="SimSun" w:hint="eastAsia"/>
          <w:lang w:eastAsia="zh-CN"/>
        </w:rPr>
        <w:t>继续对无线电规则委员会委员实施瑞士联邦委员会与国际电联间关于国际电联在瑞士的法律地位的协议第</w:t>
      </w:r>
      <w:r w:rsidRPr="00AF2C01">
        <w:rPr>
          <w:lang w:eastAsia="zh-CN"/>
        </w:rPr>
        <w:t>17</w:t>
      </w:r>
      <w:r>
        <w:rPr>
          <w:rFonts w:ascii="SimSun" w:hAnsi="SimSun" w:hint="eastAsia"/>
          <w:lang w:eastAsia="zh-CN"/>
        </w:rPr>
        <w:t>条，并与瑞士当局合作，</w:t>
      </w:r>
      <w:r w:rsidR="007B263F">
        <w:rPr>
          <w:rFonts w:ascii="SimSun" w:hAnsi="SimSun" w:hint="eastAsia"/>
          <w:lang w:eastAsia="zh-CN"/>
        </w:rPr>
        <w:t>确定</w:t>
      </w:r>
      <w:r>
        <w:rPr>
          <w:rFonts w:ascii="SimSun" w:hAnsi="SimSun" w:hint="eastAsia"/>
          <w:lang w:eastAsia="zh-CN"/>
        </w:rPr>
        <w:t>改善无线电规则委员会委员状况的方法与手段，以利他们履行自己的职责；</w:t>
      </w:r>
    </w:p>
    <w:p w14:paraId="4827B7C3" w14:textId="77777777" w:rsidR="00C408E8" w:rsidRDefault="00C408E8" w:rsidP="00B64353">
      <w:pPr>
        <w:rPr>
          <w:lang w:eastAsia="zh-CN"/>
        </w:rPr>
      </w:pPr>
      <w:r>
        <w:rPr>
          <w:lang w:eastAsia="zh-CN"/>
        </w:rPr>
        <w:t>2</w:t>
      </w:r>
      <w:r w:rsidR="00E04370">
        <w:rPr>
          <w:lang w:eastAsia="zh-CN"/>
        </w:rPr>
        <w:tab/>
      </w:r>
      <w:r>
        <w:rPr>
          <w:rFonts w:ascii="SimSun" w:hAnsi="SimSun" w:hint="eastAsia"/>
          <w:lang w:eastAsia="zh-CN"/>
        </w:rPr>
        <w:t>向无线电规则委员会委员提供一份国际电联的文件，证明他们作为无线电规则委员会选任委员的身份，并阐明</w:t>
      </w:r>
      <w:r w:rsidR="007B263F">
        <w:rPr>
          <w:rFonts w:ascii="SimSun" w:hAnsi="SimSun" w:hint="eastAsia"/>
          <w:lang w:eastAsia="zh-CN"/>
        </w:rPr>
        <w:t>《</w:t>
      </w:r>
      <w:r>
        <w:rPr>
          <w:rFonts w:ascii="SimSun" w:hAnsi="SimSun" w:hint="eastAsia"/>
          <w:lang w:eastAsia="zh-CN"/>
        </w:rPr>
        <w:t>总部协定</w:t>
      </w:r>
      <w:r w:rsidR="007B263F">
        <w:rPr>
          <w:rFonts w:ascii="SimSun" w:hAnsi="SimSun" w:hint="eastAsia"/>
          <w:lang w:eastAsia="zh-CN"/>
        </w:rPr>
        <w:t>》</w:t>
      </w:r>
      <w:r>
        <w:rPr>
          <w:rFonts w:ascii="SimSun" w:hAnsi="SimSun" w:hint="eastAsia"/>
          <w:lang w:eastAsia="zh-CN"/>
        </w:rPr>
        <w:t>中哪些条款适用于他们；</w:t>
      </w:r>
    </w:p>
    <w:p w14:paraId="4827B7C4" w14:textId="77777777" w:rsidR="00C408E8" w:rsidRDefault="00C408E8" w:rsidP="00B64353">
      <w:pPr>
        <w:rPr>
          <w:lang w:eastAsia="zh-CN"/>
        </w:rPr>
      </w:pPr>
      <w:r>
        <w:rPr>
          <w:lang w:eastAsia="zh-CN"/>
        </w:rPr>
        <w:t>3</w:t>
      </w:r>
      <w:r w:rsidR="00E04370">
        <w:rPr>
          <w:lang w:eastAsia="zh-CN"/>
        </w:rPr>
        <w:tab/>
      </w:r>
      <w:r>
        <w:rPr>
          <w:rFonts w:ascii="SimSun" w:hAnsi="SimSun" w:hint="eastAsia"/>
          <w:lang w:eastAsia="zh-CN"/>
        </w:rPr>
        <w:t>确保国际电联和无线电规则委员会的主席、副主席及委员需要参加的大会与会议</w:t>
      </w:r>
      <w:r>
        <w:rPr>
          <w:rFonts w:ascii="SimSun" w:hAnsi="SimSun"/>
          <w:lang w:eastAsia="zh-CN"/>
        </w:rPr>
        <w:t>(</w:t>
      </w:r>
      <w:r>
        <w:rPr>
          <w:rFonts w:ascii="SimSun" w:hAnsi="SimSun" w:hint="eastAsia"/>
          <w:lang w:eastAsia="zh-CN"/>
        </w:rPr>
        <w:t>《公约》第</w:t>
      </w:r>
      <w:r w:rsidRPr="00AF2C01">
        <w:rPr>
          <w:lang w:eastAsia="zh-CN"/>
        </w:rPr>
        <w:t>141</w:t>
      </w:r>
      <w:r>
        <w:rPr>
          <w:rFonts w:ascii="SimSun" w:hAnsi="SimSun" w:hint="eastAsia"/>
          <w:lang w:eastAsia="zh-CN"/>
        </w:rPr>
        <w:t>款</w:t>
      </w:r>
      <w:r>
        <w:rPr>
          <w:rFonts w:ascii="SimSun" w:hAnsi="SimSun"/>
          <w:lang w:eastAsia="zh-CN"/>
        </w:rPr>
        <w:t>)</w:t>
      </w:r>
      <w:r>
        <w:rPr>
          <w:rFonts w:ascii="SimSun" w:hAnsi="SimSun" w:hint="eastAsia"/>
          <w:lang w:eastAsia="zh-CN"/>
        </w:rPr>
        <w:t>的东</w:t>
      </w:r>
      <w:r w:rsidR="007B263F">
        <w:rPr>
          <w:rFonts w:ascii="SimSun" w:hAnsi="SimSun" w:hint="eastAsia"/>
          <w:lang w:eastAsia="zh-CN"/>
        </w:rPr>
        <w:t>道国之间签署的协议中包括向无线电规则委员会委员提供的特权与豁免</w:t>
      </w:r>
      <w:r>
        <w:rPr>
          <w:rFonts w:ascii="SimSun" w:hAnsi="SimSun" w:hint="eastAsia"/>
          <w:lang w:eastAsia="zh-CN"/>
        </w:rPr>
        <w:t>条款，以利他们在上述大会或会议上履行自己的职责，</w:t>
      </w:r>
    </w:p>
    <w:p w14:paraId="4827B7C5" w14:textId="77777777" w:rsidR="00E27A81" w:rsidRDefault="00C408E8" w:rsidP="00B64353">
      <w:pPr>
        <w:rPr>
          <w:rFonts w:ascii="SimSun" w:hAnsi="SimSun"/>
          <w:lang w:eastAsia="zh-CN"/>
        </w:rPr>
      </w:pPr>
      <w:r>
        <w:rPr>
          <w:lang w:eastAsia="zh-CN"/>
        </w:rPr>
        <w:t>4</w:t>
      </w:r>
      <w:r w:rsidR="00E04370">
        <w:rPr>
          <w:lang w:eastAsia="zh-CN"/>
        </w:rPr>
        <w:tab/>
      </w:r>
      <w:r>
        <w:rPr>
          <w:rFonts w:ascii="SimSun" w:hAnsi="SimSun" w:hint="eastAsia"/>
          <w:lang w:eastAsia="zh-CN"/>
        </w:rPr>
        <w:t>向理事会报告所采取的措施，</w:t>
      </w:r>
    </w:p>
    <w:p w14:paraId="4827B7C6" w14:textId="77777777" w:rsidR="00E27A81" w:rsidRDefault="00E27A8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7C7" w14:textId="77777777" w:rsidR="00C408E8" w:rsidRDefault="00C408E8" w:rsidP="00B64353">
      <w:pPr>
        <w:rPr>
          <w:lang w:eastAsia="zh-CN"/>
        </w:rPr>
      </w:pPr>
      <w:r>
        <w:rPr>
          <w:i/>
          <w:lang w:eastAsia="zh-CN"/>
        </w:rPr>
        <w:lastRenderedPageBreak/>
        <w:tab/>
      </w:r>
      <w:r>
        <w:rPr>
          <w:rFonts w:eastAsia="STKaiti" w:hint="eastAsia"/>
          <w:lang w:eastAsia="zh-CN"/>
        </w:rPr>
        <w:t>要求</w:t>
      </w:r>
      <w:r>
        <w:rPr>
          <w:rFonts w:ascii="SimSun" w:hAnsi="SimSun" w:hint="eastAsia"/>
          <w:lang w:eastAsia="zh-CN"/>
        </w:rPr>
        <w:t>无线电规则委员会选任委员所在国的主管机构提供便利，特别是在它们发放的旅行证件类别方面提供便利，以利于无线电规则委员会委员在为国际电联履行自己的职责时能够畅通无阻，</w:t>
      </w:r>
    </w:p>
    <w:p w14:paraId="4827B7C8" w14:textId="77777777" w:rsidR="00C408E8" w:rsidRDefault="00C408E8" w:rsidP="00B64353">
      <w:pPr>
        <w:rPr>
          <w:lang w:eastAsia="zh-CN"/>
        </w:rPr>
      </w:pPr>
      <w:r>
        <w:rPr>
          <w:i/>
          <w:lang w:eastAsia="zh-CN"/>
        </w:rPr>
        <w:tab/>
      </w:r>
      <w:r>
        <w:rPr>
          <w:rFonts w:eastAsia="STKaiti" w:hint="eastAsia"/>
          <w:lang w:eastAsia="zh-CN"/>
        </w:rPr>
        <w:t>责成无线电通信局主任</w:t>
      </w:r>
      <w:r>
        <w:rPr>
          <w:rFonts w:ascii="SimSun" w:hAnsi="SimSun" w:hint="eastAsia"/>
          <w:lang w:eastAsia="zh-CN"/>
        </w:rPr>
        <w:t>提供无线电规则委员会委员履行其职责所需的语言、计算机及其他设备。</w:t>
      </w:r>
    </w:p>
    <w:p w14:paraId="4827B7C9" w14:textId="77777777" w:rsidR="00F11D1D" w:rsidRDefault="00C408E8" w:rsidP="00E45997">
      <w:pPr>
        <w:pStyle w:val="Endtext"/>
        <w:rPr>
          <w:rFonts w:ascii="SimSun" w:hAnsi="SimSun"/>
          <w:lang w:eastAsia="zh-CN"/>
        </w:rPr>
      </w:pPr>
      <w:r>
        <w:rPr>
          <w:rFonts w:hint="eastAsia"/>
          <w:lang w:eastAsia="zh-CN"/>
        </w:rPr>
        <w:t>参阅</w:t>
      </w:r>
      <w:r>
        <w:rPr>
          <w:rFonts w:ascii="STKaiti" w:hAnsi="SimSun" w:hint="eastAsia"/>
          <w:lang w:eastAsia="zh-CN"/>
        </w:rPr>
        <w:t>：</w:t>
      </w:r>
      <w:r>
        <w:rPr>
          <w:rFonts w:ascii="STKaiti" w:hAnsi="SimSun" w:hint="eastAsia"/>
          <w:lang w:eastAsia="zh-CN"/>
        </w:rPr>
        <w:tab/>
      </w:r>
      <w:hyperlink r:id="rId434" w:history="1">
        <w:r w:rsidR="00E45997" w:rsidRPr="00CC160E">
          <w:rPr>
            <w:rStyle w:val="Hyperlink"/>
            <w:lang w:val="fr-FR" w:eastAsia="zh-CN"/>
          </w:rPr>
          <w:t>C99/127</w:t>
        </w:r>
      </w:hyperlink>
      <w:r>
        <w:rPr>
          <w:rFonts w:ascii="SimSun" w:hAnsi="SimSun" w:hint="eastAsia"/>
          <w:lang w:eastAsia="zh-CN"/>
        </w:rPr>
        <w:t>和</w:t>
      </w:r>
      <w:hyperlink r:id="rId435" w:history="1">
        <w:r w:rsidR="00E45997" w:rsidRPr="00CC160E">
          <w:rPr>
            <w:rStyle w:val="Hyperlink"/>
            <w:lang w:val="fr-FR" w:eastAsia="zh-CN"/>
          </w:rPr>
          <w:t>C99/134</w:t>
        </w:r>
      </w:hyperlink>
      <w:r>
        <w:rPr>
          <w:rFonts w:ascii="SimSun" w:hAnsi="SimSun" w:hint="eastAsia"/>
          <w:lang w:eastAsia="zh-CN"/>
        </w:rPr>
        <w:t>号文件。</w:t>
      </w:r>
    </w:p>
    <w:p w14:paraId="4827B7CA" w14:textId="77777777" w:rsidR="00E27A81" w:rsidRDefault="00E27A81" w:rsidP="00E27A81">
      <w:pPr>
        <w:jc w:val="center"/>
        <w:rPr>
          <w:lang w:eastAsia="zh-CN"/>
        </w:rPr>
      </w:pPr>
      <w:bookmarkStart w:id="2150" w:name="_Toc531706436"/>
      <w:bookmarkStart w:id="2151" w:name="_Toc531707047"/>
      <w:bookmarkStart w:id="2152" w:name="_Toc531768527"/>
      <w:bookmarkStart w:id="2153" w:name="_Toc424117093"/>
      <w:bookmarkStart w:id="2154" w:name="_Toc161224087"/>
      <w:bookmarkStart w:id="2155" w:name="_Toc161732133"/>
      <w:bookmarkStart w:id="2156" w:name="_Toc161741063"/>
      <w:bookmarkStart w:id="2157" w:name="_Toc185237730"/>
      <w:bookmarkStart w:id="2158" w:name="_Toc311469646"/>
      <w:r>
        <w:rPr>
          <w:lang w:eastAsia="zh-CN"/>
        </w:rPr>
        <w:t>______________</w:t>
      </w:r>
    </w:p>
    <w:p w14:paraId="4827B7CB" w14:textId="6EA1459D" w:rsidR="002526EE" w:rsidRPr="00E45997" w:rsidRDefault="002526EE" w:rsidP="00CA7362">
      <w:pPr>
        <w:pStyle w:val="ResNo"/>
        <w:outlineLvl w:val="0"/>
        <w:rPr>
          <w:lang w:eastAsia="zh-CN"/>
        </w:rPr>
      </w:pPr>
      <w:bookmarkStart w:id="2159" w:name="_Toc531706438"/>
      <w:bookmarkStart w:id="2160" w:name="_Toc531707049"/>
      <w:bookmarkStart w:id="2161" w:name="_Toc531768529"/>
      <w:bookmarkStart w:id="2162" w:name="_Toc16085852"/>
      <w:bookmarkStart w:id="2163" w:name="_Toc16088843"/>
      <w:bookmarkStart w:id="2164" w:name="_Toc86395653"/>
      <w:bookmarkEnd w:id="2150"/>
      <w:bookmarkEnd w:id="2151"/>
      <w:bookmarkEnd w:id="2152"/>
      <w:r w:rsidRPr="00E45997">
        <w:rPr>
          <w:lang w:eastAsia="zh-CN"/>
        </w:rPr>
        <w:t>第</w:t>
      </w:r>
      <w:r w:rsidRPr="00E45997">
        <w:rPr>
          <w:lang w:eastAsia="zh-CN"/>
        </w:rPr>
        <w:t>1</w:t>
      </w:r>
      <w:r w:rsidR="002F16F2">
        <w:rPr>
          <w:lang w:eastAsia="zh-CN"/>
        </w:rPr>
        <w:t>403</w:t>
      </w:r>
      <w:r w:rsidRPr="00E45997">
        <w:rPr>
          <w:lang w:eastAsia="zh-CN"/>
        </w:rPr>
        <w:t>号决议</w:t>
      </w:r>
      <w:r>
        <w:rPr>
          <w:rFonts w:hint="eastAsia"/>
          <w:lang w:eastAsia="zh-CN"/>
        </w:rPr>
        <w:t>（</w:t>
      </w:r>
      <w:r w:rsidRPr="00E45997">
        <w:rPr>
          <w:lang w:eastAsia="zh-CN"/>
        </w:rPr>
        <w:t>C</w:t>
      </w:r>
      <w:r w:rsidR="002F16F2">
        <w:rPr>
          <w:lang w:eastAsia="zh-CN"/>
        </w:rPr>
        <w:t>21</w:t>
      </w:r>
      <w:r>
        <w:rPr>
          <w:rFonts w:hint="eastAsia"/>
          <w:lang w:eastAsia="zh-CN"/>
        </w:rPr>
        <w:t>）</w:t>
      </w:r>
      <w:bookmarkEnd w:id="2159"/>
      <w:bookmarkEnd w:id="2160"/>
      <w:bookmarkEnd w:id="2161"/>
      <w:bookmarkEnd w:id="2162"/>
      <w:bookmarkEnd w:id="2163"/>
      <w:bookmarkEnd w:id="2164"/>
    </w:p>
    <w:p w14:paraId="4827B7CC" w14:textId="6BBB3D36" w:rsidR="002526EE" w:rsidRDefault="002F16F2" w:rsidP="00152C69">
      <w:pPr>
        <w:pStyle w:val="Restitle"/>
        <w:rPr>
          <w:lang w:eastAsia="zh-CN"/>
        </w:rPr>
      </w:pPr>
      <w:bookmarkStart w:id="2165" w:name="_Toc86395654"/>
      <w:r w:rsidRPr="002F16F2">
        <w:rPr>
          <w:rFonts w:hint="eastAsia"/>
          <w:lang w:eastAsia="zh-CN"/>
        </w:rPr>
        <w:t>国际电联</w:t>
      </w:r>
      <w:r w:rsidRPr="002F16F2">
        <w:rPr>
          <w:rFonts w:hint="eastAsia"/>
          <w:lang w:eastAsia="zh-CN"/>
        </w:rPr>
        <w:t>2022-2025</w:t>
      </w:r>
      <w:r w:rsidRPr="002F16F2">
        <w:rPr>
          <w:rFonts w:hint="eastAsia"/>
          <w:lang w:eastAsia="zh-CN"/>
        </w:rPr>
        <w:t>年四年期滚动式运作规划</w:t>
      </w:r>
      <w:bookmarkEnd w:id="2165"/>
    </w:p>
    <w:p w14:paraId="4827B7CD" w14:textId="77777777" w:rsidR="008B4485" w:rsidRPr="00CE359F" w:rsidRDefault="008B4485" w:rsidP="008B4485">
      <w:pPr>
        <w:rPr>
          <w:lang w:eastAsia="zh-CN"/>
        </w:rPr>
      </w:pPr>
      <w:r>
        <w:rPr>
          <w:rFonts w:hint="eastAsia"/>
          <w:lang w:eastAsia="zh-CN"/>
        </w:rPr>
        <w:t>（</w:t>
      </w:r>
      <w:hyperlink w:anchor="res1390" w:history="1">
        <w:r w:rsidRPr="00197554">
          <w:rPr>
            <w:rStyle w:val="Hyperlink"/>
            <w:rFonts w:hint="eastAsia"/>
            <w:lang w:eastAsia="zh-CN"/>
          </w:rPr>
          <w:t>见第</w:t>
        </w:r>
        <w:r w:rsidRPr="00197554">
          <w:rPr>
            <w:rStyle w:val="Hyperlink"/>
            <w:rFonts w:hint="eastAsia"/>
            <w:lang w:eastAsia="zh-CN"/>
          </w:rPr>
          <w:t>4</w:t>
        </w:r>
        <w:r w:rsidRPr="00197554">
          <w:rPr>
            <w:rStyle w:val="Hyperlink"/>
            <w:rFonts w:hint="eastAsia"/>
            <w:lang w:eastAsia="zh-CN"/>
          </w:rPr>
          <w:t>节</w:t>
        </w:r>
      </w:hyperlink>
      <w:r>
        <w:rPr>
          <w:rFonts w:hint="eastAsia"/>
          <w:lang w:eastAsia="zh-CN"/>
        </w:rPr>
        <w:t>）。</w:t>
      </w:r>
    </w:p>
    <w:p w14:paraId="4827B7D2" w14:textId="6629629B" w:rsidR="00A91430" w:rsidRPr="00A91430" w:rsidRDefault="00E27A81" w:rsidP="002F16F2">
      <w:pPr>
        <w:jc w:val="center"/>
        <w:rPr>
          <w:lang w:eastAsia="zh-CN"/>
        </w:rPr>
      </w:pPr>
      <w:r>
        <w:rPr>
          <w:lang w:eastAsia="zh-CN"/>
        </w:rPr>
        <w:t>______________</w:t>
      </w:r>
    </w:p>
    <w:p w14:paraId="4827B7D3" w14:textId="77777777" w:rsidR="00D77F98" w:rsidRDefault="00071333" w:rsidP="00CA7362">
      <w:pPr>
        <w:pStyle w:val="DecNo"/>
        <w:outlineLvl w:val="0"/>
        <w:rPr>
          <w:szCs w:val="16"/>
        </w:rPr>
      </w:pPr>
      <w:bookmarkStart w:id="2166" w:name="_Toc531706440"/>
      <w:bookmarkStart w:id="2167" w:name="_Toc531707051"/>
      <w:bookmarkStart w:id="2168" w:name="_Toc531768531"/>
      <w:bookmarkStart w:id="2169" w:name="_Toc16085856"/>
      <w:bookmarkStart w:id="2170" w:name="_Toc86395655"/>
      <w:r w:rsidRPr="0006049D">
        <w:rPr>
          <w:rFonts w:hint="eastAsia"/>
          <w:szCs w:val="24"/>
        </w:rPr>
        <w:t>第</w:t>
      </w:r>
      <w:r w:rsidR="00F11D1D" w:rsidRPr="0006049D">
        <w:rPr>
          <w:szCs w:val="24"/>
        </w:rPr>
        <w:t>535</w:t>
      </w:r>
      <w:r w:rsidRPr="00103004">
        <w:rPr>
          <w:rFonts w:hint="eastAsia"/>
        </w:rPr>
        <w:t>号决定</w:t>
      </w:r>
      <w:r w:rsidR="00D77F98">
        <w:rPr>
          <w:rFonts w:hint="eastAsia"/>
        </w:rPr>
        <w:t>（</w:t>
      </w:r>
      <w:r w:rsidR="00D77F98" w:rsidRPr="00A361E8">
        <w:rPr>
          <w:szCs w:val="16"/>
        </w:rPr>
        <w:t>C05</w:t>
      </w:r>
      <w:r w:rsidR="00D77F98" w:rsidRPr="00A361E8">
        <w:rPr>
          <w:rFonts w:hint="eastAsia"/>
          <w:szCs w:val="16"/>
        </w:rPr>
        <w:t>，</w:t>
      </w:r>
      <w:r w:rsidR="00257CB5">
        <w:rPr>
          <w:rFonts w:hint="eastAsia"/>
          <w:bCs/>
        </w:rPr>
        <w:t>最后修正</w:t>
      </w:r>
      <w:r w:rsidR="00D77F98" w:rsidRPr="003472CB">
        <w:rPr>
          <w:bCs/>
        </w:rPr>
        <w:t>C1</w:t>
      </w:r>
      <w:r w:rsidR="00D77F98">
        <w:rPr>
          <w:bCs/>
        </w:rPr>
        <w:t>4</w:t>
      </w:r>
      <w:r w:rsidR="00D77F98">
        <w:rPr>
          <w:rFonts w:hint="eastAsia"/>
          <w:bCs/>
        </w:rPr>
        <w:t>）</w:t>
      </w:r>
      <w:bookmarkEnd w:id="2153"/>
      <w:bookmarkEnd w:id="2166"/>
      <w:bookmarkEnd w:id="2167"/>
      <w:bookmarkEnd w:id="2168"/>
      <w:bookmarkEnd w:id="2169"/>
      <w:bookmarkEnd w:id="2170"/>
    </w:p>
    <w:p w14:paraId="4827B7D4" w14:textId="77777777" w:rsidR="00F11D1D" w:rsidRPr="00673DD5" w:rsidRDefault="00071333" w:rsidP="00D77F98">
      <w:pPr>
        <w:pStyle w:val="Dectitle"/>
      </w:pPr>
      <w:bookmarkStart w:id="2171" w:name="_Toc424117094"/>
      <w:bookmarkStart w:id="2172" w:name="_Toc460248207"/>
      <w:bookmarkStart w:id="2173" w:name="_Toc531706441"/>
      <w:bookmarkStart w:id="2174" w:name="_Toc531707052"/>
      <w:bookmarkStart w:id="2175" w:name="_Toc531768532"/>
      <w:bookmarkStart w:id="2176" w:name="_Toc16085857"/>
      <w:bookmarkStart w:id="2177" w:name="_Toc86395656"/>
      <w:r w:rsidRPr="00103004">
        <w:rPr>
          <w:rFonts w:hint="eastAsia"/>
        </w:rPr>
        <w:t>成本分配方法</w:t>
      </w:r>
      <w:bookmarkEnd w:id="2154"/>
      <w:bookmarkEnd w:id="2155"/>
      <w:bookmarkEnd w:id="2156"/>
      <w:bookmarkEnd w:id="2157"/>
      <w:bookmarkEnd w:id="2158"/>
      <w:bookmarkEnd w:id="2171"/>
      <w:bookmarkEnd w:id="2172"/>
      <w:bookmarkEnd w:id="2173"/>
      <w:bookmarkEnd w:id="2174"/>
      <w:bookmarkEnd w:id="2175"/>
      <w:bookmarkEnd w:id="2176"/>
      <w:bookmarkEnd w:id="2177"/>
    </w:p>
    <w:p w14:paraId="4827B7D5" w14:textId="77777777" w:rsidR="00867562" w:rsidRDefault="00867562" w:rsidP="00D77F98">
      <w:pPr>
        <w:pStyle w:val="Normalaftertitle"/>
        <w:rPr>
          <w:bCs/>
          <w:lang w:eastAsia="zh-CN"/>
        </w:rPr>
      </w:pPr>
      <w:r>
        <w:rPr>
          <w:rFonts w:hint="eastAsia"/>
          <w:lang w:eastAsia="zh-CN"/>
        </w:rPr>
        <w:t>理事会，</w:t>
      </w:r>
    </w:p>
    <w:p w14:paraId="4827B7D6" w14:textId="77777777" w:rsidR="00867562" w:rsidRPr="0063712B" w:rsidRDefault="00867562" w:rsidP="00867562">
      <w:pPr>
        <w:pStyle w:val="Call"/>
        <w:rPr>
          <w:rFonts w:cstheme="minorHAnsi"/>
          <w:lang w:eastAsia="zh-CN"/>
        </w:rPr>
      </w:pPr>
      <w:r w:rsidRPr="0063712B">
        <w:rPr>
          <w:rFonts w:cstheme="minorHAnsi" w:hint="eastAsia"/>
          <w:lang w:eastAsia="zh-CN"/>
        </w:rPr>
        <w:t>考虑到</w:t>
      </w:r>
    </w:p>
    <w:p w14:paraId="4827B7D7" w14:textId="77777777" w:rsidR="00867562" w:rsidRDefault="00867562" w:rsidP="00867562">
      <w:pPr>
        <w:ind w:firstLineChars="200" w:firstLine="480"/>
        <w:rPr>
          <w:rFonts w:cstheme="minorHAnsi"/>
          <w:bCs/>
          <w:lang w:eastAsia="zh-CN"/>
        </w:rPr>
      </w:pPr>
      <w:r>
        <w:rPr>
          <w:rFonts w:cstheme="minorHAnsi" w:hint="eastAsia"/>
          <w:lang w:eastAsia="zh-CN"/>
        </w:rPr>
        <w:t>根据</w:t>
      </w:r>
      <w:r>
        <w:rPr>
          <w:rFonts w:cstheme="minorHAnsi"/>
          <w:lang w:eastAsia="zh-CN"/>
        </w:rPr>
        <w:t>2016-2019</w:t>
      </w:r>
      <w:r>
        <w:rPr>
          <w:rFonts w:cstheme="minorHAnsi" w:hint="eastAsia"/>
          <w:lang w:eastAsia="zh-CN"/>
        </w:rPr>
        <w:t>年国际电联《财务规划》和国际电联《战略规划》之间的联系，制定出了新的成本分配方法，</w:t>
      </w:r>
    </w:p>
    <w:p w14:paraId="4827B7D8" w14:textId="77777777" w:rsidR="00867562" w:rsidRDefault="00867562" w:rsidP="00867562">
      <w:pPr>
        <w:pStyle w:val="Call"/>
        <w:rPr>
          <w:rFonts w:cstheme="minorHAnsi"/>
          <w:lang w:eastAsia="zh-CN"/>
        </w:rPr>
      </w:pPr>
      <w:r w:rsidRPr="0063712B">
        <w:rPr>
          <w:rFonts w:cstheme="minorHAnsi" w:hint="eastAsia"/>
          <w:lang w:eastAsia="zh-CN"/>
        </w:rPr>
        <w:t>做出决定</w:t>
      </w:r>
    </w:p>
    <w:p w14:paraId="4827B7D9" w14:textId="77777777" w:rsidR="00487D2F" w:rsidRDefault="00867562" w:rsidP="00867562">
      <w:pPr>
        <w:ind w:firstLineChars="200" w:firstLine="480"/>
        <w:rPr>
          <w:rFonts w:cstheme="minorHAnsi"/>
          <w:lang w:eastAsia="zh-CN"/>
        </w:rPr>
      </w:pPr>
      <w:r>
        <w:rPr>
          <w:rFonts w:cstheme="minorHAnsi" w:hint="eastAsia"/>
          <w:lang w:eastAsia="zh-CN"/>
        </w:rPr>
        <w:t>通过附件所述的将自</w:t>
      </w:r>
      <w:r>
        <w:rPr>
          <w:rFonts w:cstheme="minorHAnsi"/>
          <w:lang w:eastAsia="zh-CN"/>
        </w:rPr>
        <w:t>201</w:t>
      </w:r>
      <w:r>
        <w:rPr>
          <w:rFonts w:cstheme="minorHAnsi" w:hint="eastAsia"/>
          <w:lang w:eastAsia="zh-CN"/>
        </w:rPr>
        <w:t>6</w:t>
      </w:r>
      <w:r>
        <w:rPr>
          <w:rFonts w:cstheme="minorHAnsi" w:hint="eastAsia"/>
          <w:lang w:eastAsia="zh-CN"/>
        </w:rPr>
        <w:t>年</w:t>
      </w:r>
      <w:r>
        <w:rPr>
          <w:rFonts w:cstheme="minorHAnsi"/>
          <w:lang w:eastAsia="zh-CN"/>
        </w:rPr>
        <w:t>1</w:t>
      </w:r>
      <w:r>
        <w:rPr>
          <w:rFonts w:cstheme="minorHAnsi" w:hint="eastAsia"/>
          <w:lang w:eastAsia="zh-CN"/>
        </w:rPr>
        <w:t>月</w:t>
      </w:r>
      <w:r>
        <w:rPr>
          <w:rFonts w:cstheme="minorHAnsi"/>
          <w:lang w:eastAsia="zh-CN"/>
        </w:rPr>
        <w:t>1</w:t>
      </w:r>
      <w:r>
        <w:rPr>
          <w:rFonts w:cstheme="minorHAnsi" w:hint="eastAsia"/>
          <w:lang w:eastAsia="zh-CN"/>
        </w:rPr>
        <w:t>日起生效的成本分配方法。</w:t>
      </w:r>
    </w:p>
    <w:p w14:paraId="4827B7DA" w14:textId="77777777" w:rsidR="00487D2F" w:rsidRDefault="00487D2F" w:rsidP="00E27A81">
      <w:pPr>
        <w:spacing w:before="480"/>
        <w:rPr>
          <w:lang w:val="en-US" w:eastAsia="zh-CN"/>
        </w:rPr>
      </w:pPr>
      <w:r w:rsidRPr="00487D2F">
        <w:rPr>
          <w:rFonts w:hint="eastAsia"/>
          <w:b/>
          <w:lang w:eastAsia="zh-CN"/>
        </w:rPr>
        <w:t>附件</w:t>
      </w:r>
      <w:r>
        <w:rPr>
          <w:rFonts w:hint="eastAsia"/>
          <w:lang w:eastAsia="zh-CN"/>
        </w:rPr>
        <w:t>：</w:t>
      </w:r>
      <w:r>
        <w:rPr>
          <w:lang w:eastAsia="zh-CN"/>
        </w:rPr>
        <w:t>1</w:t>
      </w:r>
      <w:r>
        <w:rPr>
          <w:rFonts w:hint="eastAsia"/>
          <w:lang w:eastAsia="zh-CN"/>
        </w:rPr>
        <w:t>件</w:t>
      </w:r>
    </w:p>
    <w:p w14:paraId="4827B7DB" w14:textId="77777777" w:rsidR="00E27A81" w:rsidRDefault="00E27A81">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lang w:eastAsia="zh-CN"/>
        </w:rPr>
      </w:pPr>
      <w:r>
        <w:rPr>
          <w:rFonts w:ascii="STKaiti" w:eastAsia="STKaiti" w:hAnsi="STKaiti"/>
          <w:lang w:eastAsia="zh-CN"/>
        </w:rPr>
        <w:br w:type="page"/>
      </w:r>
    </w:p>
    <w:p w14:paraId="4827B7DC" w14:textId="77777777" w:rsidR="00867562" w:rsidRDefault="00867562" w:rsidP="00D77F98">
      <w:pPr>
        <w:pStyle w:val="AnnexNo"/>
        <w:rPr>
          <w:rFonts w:cstheme="minorHAnsi"/>
          <w:lang w:eastAsia="zh-CN"/>
        </w:rPr>
      </w:pPr>
      <w:bookmarkStart w:id="2178" w:name="_Toc531707053"/>
      <w:r>
        <w:rPr>
          <w:rFonts w:hint="eastAsia"/>
          <w:lang w:eastAsia="zh-CN"/>
        </w:rPr>
        <w:lastRenderedPageBreak/>
        <w:t>附件</w:t>
      </w:r>
      <w:bookmarkEnd w:id="2178"/>
    </w:p>
    <w:p w14:paraId="4827B7DD" w14:textId="77777777" w:rsidR="00867562" w:rsidRDefault="00867562" w:rsidP="00D77F98">
      <w:pPr>
        <w:pStyle w:val="Annextitle"/>
        <w:rPr>
          <w:rFonts w:cstheme="minorHAnsi"/>
          <w:lang w:eastAsia="zh-CN"/>
        </w:rPr>
      </w:pPr>
      <w:r>
        <w:rPr>
          <w:rFonts w:hint="eastAsia"/>
          <w:lang w:eastAsia="zh-CN"/>
        </w:rPr>
        <w:t>新的成本分配方法</w:t>
      </w:r>
    </w:p>
    <w:p w14:paraId="4827B7DE" w14:textId="77777777" w:rsidR="00867562" w:rsidRDefault="00867562" w:rsidP="00867562">
      <w:pPr>
        <w:ind w:firstLineChars="200" w:firstLine="480"/>
        <w:rPr>
          <w:rFonts w:cstheme="minorHAnsi"/>
          <w:lang w:eastAsia="zh-CN"/>
        </w:rPr>
      </w:pPr>
      <w:r>
        <w:rPr>
          <w:rFonts w:cstheme="minorHAnsi" w:hint="eastAsia"/>
          <w:lang w:eastAsia="zh-CN"/>
        </w:rPr>
        <w:t>成本分配方法由一个</w:t>
      </w:r>
      <w:r>
        <w:rPr>
          <w:rFonts w:cstheme="minorHAnsi"/>
          <w:lang w:eastAsia="zh-CN"/>
        </w:rPr>
        <w:t>4</w:t>
      </w:r>
      <w:r>
        <w:rPr>
          <w:rFonts w:cstheme="minorHAnsi" w:hint="eastAsia"/>
          <w:lang w:eastAsia="zh-CN"/>
        </w:rPr>
        <w:t>步骤过程组成，将各组织机构的成本与国际电联的各项总目标挂钩。附录提供的图示是对整个程序的总结。</w:t>
      </w:r>
    </w:p>
    <w:p w14:paraId="4827B7DF" w14:textId="77777777" w:rsidR="00867562" w:rsidRDefault="00867562" w:rsidP="00867562">
      <w:pPr>
        <w:ind w:firstLineChars="200" w:firstLine="480"/>
        <w:rPr>
          <w:rFonts w:cstheme="minorHAnsi"/>
          <w:lang w:eastAsia="zh-CN"/>
        </w:rPr>
      </w:pPr>
      <w:r>
        <w:rPr>
          <w:rFonts w:cstheme="minorHAnsi" w:hint="eastAsia"/>
          <w:lang w:eastAsia="zh-CN"/>
        </w:rPr>
        <w:t>在成本分配方法的初期阶段，包括计划内开支和文件制作成本（翻译、打字和复印）的直接成本，被直接分摊给计划内的输出成果、局和部门。</w:t>
      </w:r>
    </w:p>
    <w:p w14:paraId="4827B7E0" w14:textId="77777777" w:rsidR="00867562" w:rsidRDefault="00867562" w:rsidP="00867562">
      <w:pPr>
        <w:pStyle w:val="Headingb"/>
        <w:rPr>
          <w:lang w:eastAsia="zh-CN"/>
        </w:rPr>
      </w:pPr>
      <w:r w:rsidRPr="00A90FF2">
        <w:rPr>
          <w:rFonts w:hint="eastAsia"/>
          <w:lang w:eastAsia="zh-CN"/>
        </w:rPr>
        <w:t>步骤</w:t>
      </w:r>
      <w:r w:rsidRPr="00A90FF2">
        <w:rPr>
          <w:lang w:eastAsia="zh-CN"/>
        </w:rPr>
        <w:t>1</w:t>
      </w:r>
    </w:p>
    <w:p w14:paraId="4827B7E1" w14:textId="77777777" w:rsidR="00867562" w:rsidRDefault="00867562" w:rsidP="00867562">
      <w:pPr>
        <w:ind w:firstLineChars="200" w:firstLine="480"/>
        <w:rPr>
          <w:rFonts w:cstheme="minorHAnsi"/>
          <w:lang w:eastAsia="zh-CN"/>
        </w:rPr>
      </w:pPr>
      <w:r>
        <w:rPr>
          <w:rFonts w:cstheme="minorHAnsi" w:hint="eastAsia"/>
          <w:lang w:eastAsia="zh-CN"/>
        </w:rPr>
        <w:t>总秘书处统一服务的费用通过成本分配驱动因素分配给三个局（无线电通信局、电信标准化局和电信发展局）和跨部门活动。</w:t>
      </w:r>
    </w:p>
    <w:p w14:paraId="4827B7E2" w14:textId="77777777" w:rsidR="00867562" w:rsidRDefault="00867562" w:rsidP="00867562">
      <w:pPr>
        <w:ind w:firstLineChars="200" w:firstLine="480"/>
        <w:rPr>
          <w:rFonts w:cstheme="minorHAnsi"/>
          <w:lang w:eastAsia="zh-CN"/>
        </w:rPr>
      </w:pPr>
      <w:r>
        <w:rPr>
          <w:rFonts w:cstheme="minorHAnsi" w:hint="eastAsia"/>
          <w:lang w:eastAsia="zh-CN"/>
        </w:rPr>
        <w:t>总秘书处统一服务包括：</w:t>
      </w:r>
    </w:p>
    <w:p w14:paraId="4827B7E3" w14:textId="77777777" w:rsidR="00867562" w:rsidRDefault="00867562" w:rsidP="00867562">
      <w:pPr>
        <w:pStyle w:val="enumlev1"/>
        <w:rPr>
          <w:rFonts w:cstheme="minorHAnsi"/>
          <w:lang w:eastAsia="zh-CN"/>
        </w:rPr>
      </w:pPr>
      <w:r>
        <w:rPr>
          <w:lang w:eastAsia="zh-CN"/>
        </w:rPr>
        <w:t>–</w:t>
      </w:r>
      <w:r>
        <w:rPr>
          <w:lang w:eastAsia="zh-CN"/>
        </w:rPr>
        <w:tab/>
      </w:r>
      <w:r>
        <w:rPr>
          <w:rFonts w:hint="eastAsia"/>
          <w:lang w:eastAsia="zh-CN"/>
        </w:rPr>
        <w:t>建筑设施、大会支持服务、对会议和大会的</w:t>
      </w:r>
      <w:r>
        <w:rPr>
          <w:lang w:eastAsia="zh-CN"/>
        </w:rPr>
        <w:t>IS</w:t>
      </w:r>
      <w:r>
        <w:rPr>
          <w:rFonts w:hint="eastAsia"/>
          <w:lang w:eastAsia="zh-CN"/>
        </w:rPr>
        <w:t>支持等统一支持性服务；</w:t>
      </w:r>
    </w:p>
    <w:p w14:paraId="4827B7E4" w14:textId="77777777" w:rsidR="00867562" w:rsidRDefault="00867562" w:rsidP="00867562">
      <w:pPr>
        <w:pStyle w:val="enumlev1"/>
        <w:rPr>
          <w:rFonts w:cstheme="minorHAnsi"/>
          <w:lang w:eastAsia="zh-CN"/>
        </w:rPr>
      </w:pPr>
      <w:r>
        <w:rPr>
          <w:lang w:eastAsia="zh-CN"/>
        </w:rPr>
        <w:t>–</w:t>
      </w:r>
      <w:r>
        <w:rPr>
          <w:lang w:eastAsia="zh-CN"/>
        </w:rPr>
        <w:tab/>
      </w:r>
      <w:r>
        <w:rPr>
          <w:rFonts w:hint="eastAsia"/>
          <w:lang w:eastAsia="zh-CN"/>
        </w:rPr>
        <w:t>诸如财务和人员资源管理、法律事务等统一的行政服务。</w:t>
      </w:r>
    </w:p>
    <w:p w14:paraId="4827B7E5" w14:textId="77777777" w:rsidR="00867562" w:rsidRPr="003A580F" w:rsidRDefault="00867562" w:rsidP="00867562">
      <w:pPr>
        <w:pStyle w:val="Headingb"/>
        <w:rPr>
          <w:lang w:eastAsia="zh-CN"/>
        </w:rPr>
      </w:pPr>
      <w:r w:rsidRPr="003A580F">
        <w:rPr>
          <w:rFonts w:hint="eastAsia"/>
          <w:lang w:eastAsia="zh-CN"/>
        </w:rPr>
        <w:t>步骤</w:t>
      </w:r>
      <w:r w:rsidRPr="003A580F">
        <w:rPr>
          <w:lang w:eastAsia="zh-CN"/>
        </w:rPr>
        <w:t>2</w:t>
      </w:r>
    </w:p>
    <w:p w14:paraId="4827B7E6" w14:textId="77777777" w:rsidR="00867562" w:rsidRDefault="00867562" w:rsidP="00867562">
      <w:pPr>
        <w:ind w:firstLineChars="200" w:firstLine="480"/>
        <w:rPr>
          <w:rFonts w:cstheme="minorHAnsi"/>
          <w:lang w:eastAsia="zh-CN"/>
        </w:rPr>
      </w:pPr>
      <w:r>
        <w:rPr>
          <w:rFonts w:cstheme="minorHAnsi" w:hint="eastAsia"/>
          <w:lang w:eastAsia="zh-CN"/>
        </w:rPr>
        <w:t>三个局和跨部门活动的费用是根据时间调查分配至输出成果的。</w:t>
      </w:r>
    </w:p>
    <w:p w14:paraId="4827B7E7" w14:textId="77777777" w:rsidR="00867562" w:rsidRDefault="00867562" w:rsidP="00867562">
      <w:pPr>
        <w:ind w:firstLineChars="200" w:firstLine="480"/>
        <w:rPr>
          <w:rFonts w:cstheme="minorHAnsi"/>
          <w:lang w:eastAsia="zh-CN"/>
        </w:rPr>
      </w:pPr>
      <w:r>
        <w:rPr>
          <w:rFonts w:cstheme="minorHAnsi" w:hint="eastAsia"/>
          <w:lang w:eastAsia="zh-CN"/>
        </w:rPr>
        <w:t>各局和跨部门活动的费用包括：其各自的计划内成本、文件制作费用和总秘书处统一服务再分配生成的费用。</w:t>
      </w:r>
    </w:p>
    <w:p w14:paraId="4827B7E8" w14:textId="77777777" w:rsidR="00867562" w:rsidRPr="003A580F" w:rsidRDefault="00867562" w:rsidP="00867562">
      <w:pPr>
        <w:pStyle w:val="Headingb"/>
        <w:rPr>
          <w:lang w:eastAsia="zh-CN"/>
        </w:rPr>
      </w:pPr>
      <w:r w:rsidRPr="003A580F">
        <w:rPr>
          <w:rFonts w:hint="eastAsia"/>
          <w:lang w:eastAsia="zh-CN"/>
        </w:rPr>
        <w:t>步骤</w:t>
      </w:r>
      <w:r w:rsidRPr="003A580F">
        <w:rPr>
          <w:lang w:eastAsia="zh-CN"/>
        </w:rPr>
        <w:t>3</w:t>
      </w:r>
    </w:p>
    <w:p w14:paraId="4827B7E9" w14:textId="77777777" w:rsidR="00867562" w:rsidRDefault="00867562" w:rsidP="00867562">
      <w:pPr>
        <w:ind w:firstLineChars="200" w:firstLine="480"/>
        <w:rPr>
          <w:rFonts w:cstheme="minorHAnsi"/>
          <w:lang w:eastAsia="zh-CN"/>
        </w:rPr>
      </w:pPr>
      <w:r w:rsidRPr="00A90FF2">
        <w:rPr>
          <w:rFonts w:cstheme="minorHAnsi" w:hint="eastAsia"/>
          <w:lang w:eastAsia="zh-CN"/>
        </w:rPr>
        <w:t>输出成果的费用是根据成本分配</w:t>
      </w:r>
      <w:r>
        <w:rPr>
          <w:rFonts w:cstheme="minorHAnsi" w:hint="eastAsia"/>
          <w:lang w:eastAsia="zh-CN"/>
        </w:rPr>
        <w:t>驱动因素</w:t>
      </w:r>
      <w:r w:rsidRPr="00A90FF2">
        <w:rPr>
          <w:rFonts w:cstheme="minorHAnsi" w:hint="eastAsia"/>
          <w:lang w:eastAsia="zh-CN"/>
        </w:rPr>
        <w:t>分配</w:t>
      </w:r>
      <w:r>
        <w:rPr>
          <w:rFonts w:cstheme="minorHAnsi" w:hint="eastAsia"/>
          <w:lang w:eastAsia="zh-CN"/>
        </w:rPr>
        <w:t>至</w:t>
      </w:r>
      <w:r w:rsidRPr="00A90FF2">
        <w:rPr>
          <w:rFonts w:cstheme="minorHAnsi" w:hint="eastAsia"/>
          <w:lang w:eastAsia="zh-CN"/>
        </w:rPr>
        <w:t>国际电联《战略规划》的战略目标的。</w:t>
      </w:r>
    </w:p>
    <w:p w14:paraId="4827B7EA" w14:textId="77777777" w:rsidR="00867562" w:rsidRDefault="00867562" w:rsidP="00867562">
      <w:pPr>
        <w:ind w:firstLineChars="200" w:firstLine="480"/>
        <w:rPr>
          <w:rFonts w:cstheme="minorHAnsi"/>
          <w:lang w:eastAsia="zh-CN"/>
        </w:rPr>
      </w:pPr>
      <w:r>
        <w:rPr>
          <w:rFonts w:cstheme="minorHAnsi" w:hint="eastAsia"/>
          <w:lang w:eastAsia="zh-CN"/>
        </w:rPr>
        <w:t>输出成果的费用包括：其各自的计划内成本、文件制作费用和总秘书处统一服务再分配生成的费用。</w:t>
      </w:r>
    </w:p>
    <w:p w14:paraId="4827B7EB" w14:textId="77777777" w:rsidR="00867562" w:rsidRPr="003A580F" w:rsidRDefault="00867562" w:rsidP="00867562">
      <w:pPr>
        <w:pStyle w:val="Headingb"/>
        <w:rPr>
          <w:lang w:eastAsia="zh-CN"/>
        </w:rPr>
      </w:pPr>
      <w:r w:rsidRPr="003A580F">
        <w:rPr>
          <w:rFonts w:hint="eastAsia"/>
          <w:lang w:eastAsia="zh-CN"/>
        </w:rPr>
        <w:t>步骤</w:t>
      </w:r>
      <w:r w:rsidRPr="003A580F">
        <w:rPr>
          <w:lang w:eastAsia="zh-CN"/>
        </w:rPr>
        <w:t>4</w:t>
      </w:r>
    </w:p>
    <w:p w14:paraId="4827B7EC" w14:textId="77777777" w:rsidR="00867562" w:rsidRDefault="00867562" w:rsidP="0019057F">
      <w:pPr>
        <w:ind w:firstLineChars="200" w:firstLine="480"/>
        <w:rPr>
          <w:lang w:val="en-US" w:eastAsia="zh-CN"/>
        </w:rPr>
      </w:pPr>
      <w:r>
        <w:rPr>
          <w:rFonts w:cstheme="minorHAnsi" w:hint="eastAsia"/>
          <w:lang w:eastAsia="zh-CN"/>
        </w:rPr>
        <w:t>输出成果的费用是按国际电联《战略规划》所示，根据成本分配驱动因素分配至国际电联战略目标的。</w:t>
      </w:r>
    </w:p>
    <w:p w14:paraId="4827B7ED" w14:textId="77777777" w:rsidR="00CC3087" w:rsidRDefault="00CC3087" w:rsidP="00B64353">
      <w:pPr>
        <w:rPr>
          <w:lang w:val="en-US" w:eastAsia="zh-CN"/>
        </w:rPr>
      </w:pPr>
    </w:p>
    <w:p w14:paraId="4827B7EE" w14:textId="77777777" w:rsidR="00E27A81" w:rsidRDefault="00E27A81" w:rsidP="00B64353">
      <w:pPr>
        <w:rPr>
          <w:lang w:val="en-US" w:eastAsia="zh-CN"/>
        </w:rPr>
      </w:pPr>
    </w:p>
    <w:p w14:paraId="4827B7EF" w14:textId="77777777" w:rsidR="00BA54F0" w:rsidRDefault="00BA54F0" w:rsidP="00B64353">
      <w:pPr>
        <w:rPr>
          <w:lang w:val="en-US" w:eastAsia="zh-CN"/>
        </w:rPr>
      </w:pPr>
    </w:p>
    <w:p w14:paraId="4827B7F0" w14:textId="77777777" w:rsidR="00EC41DE" w:rsidRDefault="00EC41DE" w:rsidP="00B64353">
      <w:pPr>
        <w:rPr>
          <w:lang w:val="en-US" w:eastAsia="zh-CN"/>
        </w:rPr>
      </w:pPr>
    </w:p>
    <w:p w14:paraId="4827B7F1" w14:textId="77777777" w:rsidR="00BA54F0" w:rsidRDefault="00BA54F0" w:rsidP="00B64353">
      <w:pPr>
        <w:rPr>
          <w:lang w:val="en-US" w:eastAsia="zh-CN"/>
        </w:rPr>
      </w:pPr>
    </w:p>
    <w:p w14:paraId="4827B7F2" w14:textId="77777777" w:rsidR="00BA54F0" w:rsidRDefault="00BA54F0" w:rsidP="00B64353">
      <w:pPr>
        <w:rPr>
          <w:lang w:val="en-US" w:eastAsia="zh-CN"/>
        </w:rPr>
      </w:pPr>
    </w:p>
    <w:p w14:paraId="4827B7F3" w14:textId="77777777" w:rsidR="00867562" w:rsidRDefault="00867562" w:rsidP="00B64353">
      <w:pPr>
        <w:rPr>
          <w:lang w:val="en-US" w:eastAsia="zh-CN"/>
        </w:rPr>
        <w:sectPr w:rsidR="00867562" w:rsidSect="00D64003">
          <w:headerReference w:type="even" r:id="rId436"/>
          <w:headerReference w:type="default" r:id="rId437"/>
          <w:footerReference w:type="even" r:id="rId438"/>
          <w:footerReference w:type="default" r:id="rId439"/>
          <w:headerReference w:type="first" r:id="rId440"/>
          <w:footerReference w:type="first" r:id="rId441"/>
          <w:footnotePr>
            <w:pos w:val="beneathText"/>
          </w:footnotePr>
          <w:endnotePr>
            <w:numFmt w:val="decimal"/>
          </w:endnotePr>
          <w:pgSz w:w="11907" w:h="16840" w:code="9"/>
          <w:pgMar w:top="1418" w:right="1134" w:bottom="1134" w:left="1134" w:header="737" w:footer="567" w:gutter="284"/>
          <w:cols w:space="720"/>
          <w:vAlign w:val="both"/>
          <w:titlePg/>
        </w:sectPr>
      </w:pPr>
    </w:p>
    <w:p w14:paraId="4827B7F4" w14:textId="77777777" w:rsidR="00867562" w:rsidRPr="000C08B8" w:rsidRDefault="00867562" w:rsidP="00CE20AD">
      <w:pPr>
        <w:pStyle w:val="Appendixtitle"/>
        <w:spacing w:before="0"/>
        <w:rPr>
          <w:rFonts w:cstheme="minorHAnsi"/>
          <w:lang w:eastAsia="zh-CN"/>
        </w:rPr>
      </w:pPr>
      <w:r w:rsidRPr="000C08B8">
        <w:rPr>
          <w:rFonts w:cstheme="minorHAnsi"/>
          <w:lang w:eastAsia="zh-CN"/>
        </w:rPr>
        <w:lastRenderedPageBreak/>
        <w:t>从组织机构向国际电联</w:t>
      </w:r>
      <w:r>
        <w:rPr>
          <w:rFonts w:cstheme="minorHAnsi" w:hint="eastAsia"/>
          <w:lang w:eastAsia="zh-CN"/>
        </w:rPr>
        <w:t>总体</w:t>
      </w:r>
      <w:r w:rsidRPr="000C08B8">
        <w:rPr>
          <w:rFonts w:cstheme="minorHAnsi"/>
          <w:lang w:eastAsia="zh-CN"/>
        </w:rPr>
        <w:t>目标分配成本的</w:t>
      </w:r>
      <w:r w:rsidRPr="000C08B8">
        <w:rPr>
          <w:rFonts w:cstheme="minorHAnsi"/>
          <w:lang w:eastAsia="zh-CN"/>
        </w:rPr>
        <w:t>4</w:t>
      </w:r>
      <w:r w:rsidRPr="000C08B8">
        <w:rPr>
          <w:rFonts w:cstheme="minorHAnsi"/>
          <w:lang w:eastAsia="zh-CN"/>
        </w:rPr>
        <w:t>步骤程序</w:t>
      </w:r>
    </w:p>
    <w:bookmarkStart w:id="2179" w:name="_MON_1460209459"/>
    <w:bookmarkEnd w:id="2179"/>
    <w:p w14:paraId="4827B7F5" w14:textId="77777777" w:rsidR="00867562" w:rsidRDefault="00867562" w:rsidP="00867562">
      <w:pPr>
        <w:pStyle w:val="NormalWeb"/>
        <w:jc w:val="center"/>
      </w:pPr>
      <w:r w:rsidRPr="000C08B8">
        <w:rPr>
          <w:rFonts w:cstheme="minorHAnsi"/>
          <w:bCs/>
        </w:rPr>
        <w:object w:dxaOrig="23662" w:dyaOrig="12750" w14:anchorId="4827C8C7">
          <v:shape id="_x0000_i1038" type="#_x0000_t75" style="width:623.25pt;height:336.75pt" o:ole="">
            <v:imagedata r:id="rId442" o:title=""/>
          </v:shape>
          <o:OLEObject Type="Embed" ProgID="Excel.Sheet.12" ShapeID="_x0000_i1038" DrawAspect="Content" ObjectID="_1698212994" r:id="rId443"/>
        </w:object>
      </w:r>
    </w:p>
    <w:p w14:paraId="4827B7F6" w14:textId="77777777" w:rsidR="00D77F98" w:rsidRPr="00FD0871" w:rsidRDefault="00D77F98" w:rsidP="00D77F98">
      <w:pPr>
        <w:pStyle w:val="Endtext"/>
        <w:rPr>
          <w:lang w:val="en-US" w:eastAsia="zh-CN"/>
        </w:rPr>
      </w:pPr>
      <w:r w:rsidRPr="00EB7ACA">
        <w:rPr>
          <w:rFonts w:ascii="STKaiti" w:hAnsi="STKaiti" w:hint="eastAsia"/>
          <w:lang w:eastAsia="zh-CN"/>
        </w:rPr>
        <w:t>参阅：</w:t>
      </w:r>
      <w:r w:rsidRPr="00D746C3">
        <w:rPr>
          <w:lang w:eastAsia="zh-CN"/>
        </w:rPr>
        <w:tab/>
      </w:r>
      <w:hyperlink r:id="rId444" w:history="1">
        <w:r w:rsidRPr="005E7EA9">
          <w:rPr>
            <w:rStyle w:val="Hyperlink"/>
            <w:lang w:val="en-US" w:eastAsia="zh-CN"/>
          </w:rPr>
          <w:t>C05/111</w:t>
        </w:r>
      </w:hyperlink>
      <w:r>
        <w:rPr>
          <w:rFonts w:hint="eastAsia"/>
          <w:lang w:val="en-US" w:eastAsia="zh-CN"/>
        </w:rPr>
        <w:t>和</w:t>
      </w:r>
      <w:hyperlink r:id="rId445" w:history="1">
        <w:r w:rsidRPr="005E7EA9">
          <w:rPr>
            <w:rStyle w:val="Hyperlink"/>
            <w:lang w:val="en-US" w:eastAsia="zh-CN"/>
          </w:rPr>
          <w:t>C05/116</w:t>
        </w:r>
      </w:hyperlink>
      <w:r w:rsidR="003C5134">
        <w:rPr>
          <w:rFonts w:hint="eastAsia"/>
          <w:lang w:val="en-US" w:eastAsia="zh-CN"/>
        </w:rPr>
        <w:t>、</w:t>
      </w:r>
      <w:hyperlink r:id="rId446" w:history="1">
        <w:r w:rsidRPr="005E7EA9">
          <w:rPr>
            <w:rStyle w:val="Hyperlink"/>
            <w:lang w:val="en-US" w:eastAsia="zh-CN"/>
          </w:rPr>
          <w:t>C11/104</w:t>
        </w:r>
      </w:hyperlink>
      <w:r>
        <w:rPr>
          <w:rFonts w:hint="eastAsia"/>
          <w:lang w:val="en-US" w:eastAsia="zh-CN"/>
        </w:rPr>
        <w:t>和</w:t>
      </w:r>
      <w:hyperlink r:id="rId447" w:history="1">
        <w:r w:rsidRPr="005E7EA9">
          <w:rPr>
            <w:rStyle w:val="Hyperlink"/>
            <w:lang w:val="en-US" w:eastAsia="zh-CN"/>
          </w:rPr>
          <w:t>C11/120</w:t>
        </w:r>
      </w:hyperlink>
      <w:r w:rsidR="003C5134">
        <w:rPr>
          <w:rFonts w:hint="eastAsia"/>
          <w:lang w:val="en-US" w:eastAsia="zh-CN"/>
        </w:rPr>
        <w:t>、</w:t>
      </w:r>
      <w:hyperlink r:id="rId448" w:history="1">
        <w:r w:rsidRPr="005E7EA9">
          <w:rPr>
            <w:rStyle w:val="Hyperlink"/>
            <w:lang w:val="en-US" w:eastAsia="zh-CN"/>
          </w:rPr>
          <w:t>C14/99</w:t>
        </w:r>
      </w:hyperlink>
      <w:r>
        <w:rPr>
          <w:rFonts w:hint="eastAsia"/>
          <w:lang w:val="en-US" w:eastAsia="zh-CN"/>
        </w:rPr>
        <w:t>和</w:t>
      </w:r>
      <w:hyperlink r:id="rId449" w:history="1">
        <w:r w:rsidRPr="005E7EA9">
          <w:rPr>
            <w:rStyle w:val="Hyperlink"/>
            <w:lang w:val="en-US" w:eastAsia="zh-CN"/>
          </w:rPr>
          <w:t>C14/102</w:t>
        </w:r>
      </w:hyperlink>
      <w:r>
        <w:rPr>
          <w:rFonts w:hint="eastAsia"/>
          <w:lang w:val="en-US" w:eastAsia="zh-CN"/>
        </w:rPr>
        <w:t>号</w:t>
      </w:r>
      <w:r>
        <w:rPr>
          <w:lang w:val="en-US" w:eastAsia="zh-CN"/>
        </w:rPr>
        <w:t>文件。</w:t>
      </w:r>
    </w:p>
    <w:p w14:paraId="4827B7F7" w14:textId="77777777" w:rsidR="00E27A81" w:rsidRPr="00A91430" w:rsidRDefault="00E27A81" w:rsidP="00E27A81">
      <w:pPr>
        <w:pStyle w:val="Normalaftertitle"/>
        <w:jc w:val="center"/>
        <w:rPr>
          <w:lang w:eastAsia="zh-CN"/>
        </w:rPr>
      </w:pPr>
      <w:bookmarkStart w:id="2180" w:name="_Toc81880147"/>
      <w:bookmarkStart w:id="2181" w:name="_Toc161224089"/>
      <w:r>
        <w:rPr>
          <w:lang w:eastAsia="zh-CN"/>
        </w:rPr>
        <w:t>______________</w:t>
      </w:r>
    </w:p>
    <w:p w14:paraId="4827B7F8" w14:textId="77777777" w:rsidR="00FD4EEC" w:rsidRPr="00FD4EEC" w:rsidRDefault="00FD4EEC" w:rsidP="00B64353">
      <w:pPr>
        <w:rPr>
          <w:lang w:eastAsia="zh-CN"/>
        </w:rPr>
      </w:pPr>
    </w:p>
    <w:p w14:paraId="4827B7F9" w14:textId="77777777" w:rsidR="00FD4EEC" w:rsidRDefault="00FD4EEC" w:rsidP="00B64353">
      <w:pPr>
        <w:pStyle w:val="Sousnew"/>
        <w:rPr>
          <w:rFonts w:ascii="Times New Roman" w:hAnsi="Times New Roman"/>
        </w:rPr>
        <w:sectPr w:rsidR="00FD4EEC" w:rsidSect="00867562">
          <w:headerReference w:type="even" r:id="rId450"/>
          <w:headerReference w:type="default" r:id="rId451"/>
          <w:footerReference w:type="even" r:id="rId452"/>
          <w:footerReference w:type="default" r:id="rId453"/>
          <w:headerReference w:type="first" r:id="rId454"/>
          <w:footerReference w:type="first" r:id="rId455"/>
          <w:footnotePr>
            <w:pos w:val="beneathText"/>
          </w:footnotePr>
          <w:endnotePr>
            <w:numFmt w:val="decimal"/>
          </w:endnotePr>
          <w:pgSz w:w="16840" w:h="11907" w:orient="landscape" w:code="9"/>
          <w:pgMar w:top="1134" w:right="1418" w:bottom="1134" w:left="1134" w:header="482" w:footer="482" w:gutter="0"/>
          <w:cols w:space="720"/>
          <w:vAlign w:val="both"/>
          <w:docGrid w:linePitch="299"/>
        </w:sectPr>
      </w:pPr>
    </w:p>
    <w:p w14:paraId="4827B7FA" w14:textId="77777777" w:rsidR="00F11D1D" w:rsidRPr="00D746C3" w:rsidRDefault="00F11D1D" w:rsidP="00152C69">
      <w:pPr>
        <w:pStyle w:val="Chaptitle"/>
        <w:rPr>
          <w:lang w:eastAsia="zh-CN"/>
        </w:rPr>
      </w:pPr>
      <w:bookmarkStart w:id="2182" w:name="_Toc161732135"/>
      <w:bookmarkStart w:id="2183" w:name="_Toc161741065"/>
      <w:bookmarkStart w:id="2184" w:name="_Toc185237732"/>
      <w:bookmarkStart w:id="2185" w:name="_Toc311469647"/>
      <w:bookmarkStart w:id="2186" w:name="_Toc424117095"/>
      <w:bookmarkStart w:id="2187" w:name="_Toc531706442"/>
      <w:bookmarkStart w:id="2188" w:name="_Toc531707054"/>
      <w:bookmarkStart w:id="2189" w:name="_Toc531768533"/>
      <w:bookmarkStart w:id="2190" w:name="_Toc16085858"/>
      <w:bookmarkStart w:id="2191" w:name="_Toc86395657"/>
      <w:r w:rsidRPr="00A91440">
        <w:rPr>
          <w:lang w:eastAsia="zh-CN"/>
        </w:rPr>
        <w:lastRenderedPageBreak/>
        <w:t>5.3</w:t>
      </w:r>
      <w:r w:rsidRPr="00A91440">
        <w:rPr>
          <w:lang w:eastAsia="zh-CN"/>
        </w:rPr>
        <w:tab/>
      </w:r>
      <w:bookmarkEnd w:id="2180"/>
      <w:r w:rsidR="00C408E8" w:rsidRPr="00A91440">
        <w:rPr>
          <w:rFonts w:hint="eastAsia"/>
          <w:lang w:eastAsia="zh-CN"/>
        </w:rPr>
        <w:t>电信标准化部门</w:t>
      </w:r>
      <w:r w:rsidR="00C408E8" w:rsidRPr="00A91440">
        <w:rPr>
          <w:lang w:eastAsia="zh-CN"/>
        </w:rPr>
        <w:t>（</w:t>
      </w:r>
      <w:r w:rsidR="00C408E8" w:rsidRPr="00A91440">
        <w:rPr>
          <w:lang w:eastAsia="zh-CN"/>
        </w:rPr>
        <w:t>ITU-T</w:t>
      </w:r>
      <w:r w:rsidR="00C408E8" w:rsidRPr="00A91440">
        <w:rPr>
          <w:lang w:eastAsia="zh-CN"/>
        </w:rPr>
        <w:t>）</w:t>
      </w:r>
      <w:bookmarkEnd w:id="2181"/>
      <w:bookmarkEnd w:id="2182"/>
      <w:bookmarkEnd w:id="2183"/>
      <w:bookmarkEnd w:id="2184"/>
      <w:bookmarkEnd w:id="2185"/>
      <w:bookmarkEnd w:id="2186"/>
      <w:bookmarkEnd w:id="2187"/>
      <w:bookmarkEnd w:id="2188"/>
      <w:bookmarkEnd w:id="2189"/>
      <w:bookmarkEnd w:id="2190"/>
      <w:bookmarkEnd w:id="2191"/>
    </w:p>
    <w:p w14:paraId="4827B7FB" w14:textId="77777777" w:rsidR="00D77F98" w:rsidRPr="00C362C2" w:rsidRDefault="00D77F98" w:rsidP="000D18CD">
      <w:pPr>
        <w:pStyle w:val="ResNo"/>
        <w:outlineLvl w:val="0"/>
        <w:rPr>
          <w:lang w:eastAsia="zh-CN"/>
        </w:rPr>
      </w:pPr>
      <w:bookmarkStart w:id="2192" w:name="_Toc161224090"/>
      <w:bookmarkStart w:id="2193" w:name="_Toc161732136"/>
      <w:bookmarkStart w:id="2194" w:name="_Toc161741066"/>
      <w:bookmarkStart w:id="2195" w:name="_Toc185237733"/>
      <w:bookmarkStart w:id="2196" w:name="_Toc311469648"/>
      <w:bookmarkStart w:id="2197" w:name="_Toc424117096"/>
      <w:bookmarkStart w:id="2198" w:name="_Toc531706443"/>
      <w:bookmarkStart w:id="2199" w:name="_Toc531707055"/>
      <w:bookmarkStart w:id="2200" w:name="_Toc531768534"/>
      <w:bookmarkStart w:id="2201" w:name="_Toc16085859"/>
      <w:bookmarkStart w:id="2202" w:name="_Toc86395658"/>
      <w:r w:rsidRPr="00C362C2">
        <w:rPr>
          <w:rFonts w:hint="eastAsia"/>
          <w:lang w:eastAsia="zh-CN"/>
        </w:rPr>
        <w:t>第</w:t>
      </w:r>
      <w:r w:rsidRPr="00C362C2">
        <w:rPr>
          <w:lang w:eastAsia="zh-CN"/>
        </w:rPr>
        <w:t>1155</w:t>
      </w:r>
      <w:r w:rsidRPr="00C362C2">
        <w:rPr>
          <w:rFonts w:hint="eastAsia"/>
          <w:lang w:eastAsia="zh-CN"/>
        </w:rPr>
        <w:t>号决议</w:t>
      </w:r>
      <w:bookmarkStart w:id="2203" w:name="_Toc161741067"/>
      <w:bookmarkEnd w:id="2192"/>
      <w:bookmarkEnd w:id="2193"/>
      <w:bookmarkEnd w:id="2194"/>
      <w:bookmarkEnd w:id="2195"/>
      <w:bookmarkEnd w:id="2196"/>
      <w:r w:rsidR="00963C0B">
        <w:rPr>
          <w:rFonts w:hint="eastAsia"/>
          <w:lang w:eastAsia="zh-CN"/>
        </w:rPr>
        <w:t>（</w:t>
      </w:r>
      <w:r w:rsidRPr="00E70F51">
        <w:rPr>
          <w:lang w:eastAsia="zh-CN"/>
        </w:rPr>
        <w:t>C-2000</w:t>
      </w:r>
      <w:r w:rsidR="00963C0B">
        <w:rPr>
          <w:rFonts w:hint="eastAsia"/>
          <w:lang w:eastAsia="zh-CN"/>
        </w:rPr>
        <w:t>）</w:t>
      </w:r>
      <w:bookmarkEnd w:id="2197"/>
      <w:bookmarkEnd w:id="2198"/>
      <w:bookmarkEnd w:id="2199"/>
      <w:bookmarkEnd w:id="2200"/>
      <w:bookmarkEnd w:id="2201"/>
      <w:bookmarkEnd w:id="2202"/>
      <w:bookmarkEnd w:id="2203"/>
    </w:p>
    <w:p w14:paraId="4827B7FC" w14:textId="77777777" w:rsidR="00D77F98" w:rsidRPr="00D77F98" w:rsidRDefault="00D77F98" w:rsidP="00D77F98">
      <w:pPr>
        <w:pStyle w:val="Restitle"/>
        <w:rPr>
          <w:lang w:eastAsia="zh-CN"/>
        </w:rPr>
      </w:pPr>
      <w:bookmarkStart w:id="2204" w:name="_Toc161741068"/>
      <w:bookmarkStart w:id="2205" w:name="_Toc185237734"/>
      <w:bookmarkStart w:id="2206" w:name="_Toc311469649"/>
      <w:bookmarkStart w:id="2207" w:name="_Toc424116256"/>
      <w:bookmarkStart w:id="2208" w:name="_Toc424117097"/>
      <w:bookmarkStart w:id="2209" w:name="_Toc460248210"/>
      <w:bookmarkStart w:id="2210" w:name="_Toc531706444"/>
      <w:bookmarkStart w:id="2211" w:name="_Toc531707056"/>
      <w:bookmarkStart w:id="2212" w:name="_Toc531768535"/>
      <w:bookmarkStart w:id="2213" w:name="_Toc16085860"/>
      <w:bookmarkStart w:id="2214" w:name="_Toc86395659"/>
      <w:r w:rsidRPr="00D77F98">
        <w:rPr>
          <w:rFonts w:hint="eastAsia"/>
          <w:lang w:eastAsia="zh-CN"/>
        </w:rPr>
        <w:t>对国际加价特种服务费号码和国际通用成本分摊</w:t>
      </w:r>
      <w:r>
        <w:rPr>
          <w:lang w:eastAsia="zh-CN"/>
        </w:rPr>
        <w:br/>
      </w:r>
      <w:r w:rsidRPr="00D77F98">
        <w:rPr>
          <w:rFonts w:hint="eastAsia"/>
          <w:lang w:eastAsia="zh-CN"/>
        </w:rPr>
        <w:t>号码登记处职能实行成本回收</w:t>
      </w:r>
      <w:bookmarkEnd w:id="2204"/>
      <w:bookmarkEnd w:id="2205"/>
      <w:bookmarkEnd w:id="2206"/>
      <w:bookmarkEnd w:id="2207"/>
      <w:bookmarkEnd w:id="2208"/>
      <w:bookmarkEnd w:id="2209"/>
      <w:bookmarkEnd w:id="2210"/>
      <w:bookmarkEnd w:id="2211"/>
      <w:bookmarkEnd w:id="2212"/>
      <w:bookmarkEnd w:id="2213"/>
      <w:bookmarkEnd w:id="2214"/>
    </w:p>
    <w:p w14:paraId="4827B7FD" w14:textId="77777777" w:rsidR="00C408E8" w:rsidRPr="00D77F98" w:rsidRDefault="00C408E8" w:rsidP="00D77F98">
      <w:pPr>
        <w:pStyle w:val="Normalaftertitle"/>
        <w:rPr>
          <w:lang w:eastAsia="zh-CN"/>
        </w:rPr>
      </w:pPr>
      <w:r w:rsidRPr="00D77F98">
        <w:rPr>
          <w:rFonts w:hint="eastAsia"/>
          <w:lang w:eastAsia="zh-CN"/>
        </w:rPr>
        <w:t>理事会，</w:t>
      </w:r>
    </w:p>
    <w:p w14:paraId="4827B7FE" w14:textId="77777777" w:rsidR="00C408E8" w:rsidRDefault="00C408E8" w:rsidP="00B64353">
      <w:pPr>
        <w:rPr>
          <w:lang w:eastAsia="zh-CN"/>
        </w:rPr>
      </w:pPr>
      <w:r>
        <w:rPr>
          <w:lang w:eastAsia="zh-CN"/>
        </w:rPr>
        <w:tab/>
      </w:r>
      <w:r>
        <w:rPr>
          <w:rFonts w:eastAsia="STKaiti" w:hint="eastAsia"/>
          <w:lang w:val="en-US" w:eastAsia="zh-CN"/>
        </w:rPr>
        <w:t>经审议</w:t>
      </w:r>
      <w:r>
        <w:rPr>
          <w:rFonts w:hint="eastAsia"/>
          <w:lang w:eastAsia="zh-CN"/>
        </w:rPr>
        <w:t>关于对国际电联某些电联产品和服务实行成本回收的第</w:t>
      </w:r>
      <w:r>
        <w:rPr>
          <w:lang w:eastAsia="zh-CN"/>
        </w:rPr>
        <w:t>91</w:t>
      </w:r>
      <w:r>
        <w:rPr>
          <w:rFonts w:hint="eastAsia"/>
          <w:lang w:eastAsia="zh-CN"/>
        </w:rPr>
        <w:t>号决议</w:t>
      </w:r>
      <w:r>
        <w:rPr>
          <w:lang w:eastAsia="zh-CN"/>
        </w:rPr>
        <w:t>（</w:t>
      </w:r>
      <w:r>
        <w:rPr>
          <w:lang w:eastAsia="zh-CN"/>
        </w:rPr>
        <w:t>1998</w:t>
      </w:r>
      <w:r>
        <w:rPr>
          <w:rFonts w:hint="eastAsia"/>
          <w:lang w:eastAsia="zh-CN"/>
        </w:rPr>
        <w:t>年，明尼阿波利斯</w:t>
      </w:r>
      <w:r>
        <w:rPr>
          <w:lang w:eastAsia="zh-CN"/>
        </w:rPr>
        <w:t>）</w:t>
      </w:r>
      <w:r>
        <w:rPr>
          <w:rFonts w:hint="eastAsia"/>
          <w:lang w:eastAsia="zh-CN"/>
        </w:rPr>
        <w:t>和有关</w:t>
      </w:r>
      <w:r>
        <w:rPr>
          <w:lang w:eastAsia="zh-CN"/>
        </w:rPr>
        <w:t>2000</w:t>
      </w:r>
      <w:r>
        <w:rPr>
          <w:rFonts w:hint="eastAsia"/>
          <w:lang w:eastAsia="zh-CN"/>
        </w:rPr>
        <w:t>至</w:t>
      </w:r>
      <w:r>
        <w:rPr>
          <w:lang w:eastAsia="zh-CN"/>
        </w:rPr>
        <w:t>2003</w:t>
      </w:r>
      <w:r>
        <w:rPr>
          <w:rFonts w:hint="eastAsia"/>
          <w:lang w:eastAsia="zh-CN"/>
        </w:rPr>
        <w:t>年国际电联支出的第</w:t>
      </w:r>
      <w:r>
        <w:rPr>
          <w:lang w:eastAsia="zh-CN"/>
        </w:rPr>
        <w:t>5</w:t>
      </w:r>
      <w:r>
        <w:rPr>
          <w:rFonts w:hint="eastAsia"/>
          <w:lang w:eastAsia="zh-CN"/>
        </w:rPr>
        <w:t>号决定</w:t>
      </w:r>
      <w:r>
        <w:rPr>
          <w:lang w:eastAsia="zh-CN"/>
        </w:rPr>
        <w:t>（</w:t>
      </w:r>
      <w:r>
        <w:rPr>
          <w:lang w:eastAsia="zh-CN"/>
        </w:rPr>
        <w:t>1998</w:t>
      </w:r>
      <w:r>
        <w:rPr>
          <w:rFonts w:hint="eastAsia"/>
          <w:lang w:eastAsia="zh-CN"/>
        </w:rPr>
        <w:t>年，明尼阿波利斯</w:t>
      </w:r>
      <w:r>
        <w:rPr>
          <w:lang w:eastAsia="zh-CN"/>
        </w:rPr>
        <w:t>）</w:t>
      </w:r>
      <w:r>
        <w:rPr>
          <w:rFonts w:hint="eastAsia"/>
          <w:lang w:eastAsia="zh-CN"/>
        </w:rPr>
        <w:t>的</w:t>
      </w:r>
      <w:r>
        <w:rPr>
          <w:rFonts w:eastAsia="STKaiti" w:hint="eastAsia"/>
          <w:lang w:val="en-US" w:eastAsia="zh-CN"/>
        </w:rPr>
        <w:t>做出决定</w:t>
      </w:r>
      <w:r>
        <w:rPr>
          <w:lang w:eastAsia="zh-CN"/>
        </w:rPr>
        <w:t>1.3</w:t>
      </w:r>
      <w:r>
        <w:rPr>
          <w:rFonts w:hint="eastAsia"/>
          <w:lang w:eastAsia="zh-CN"/>
        </w:rPr>
        <w:t>，</w:t>
      </w:r>
    </w:p>
    <w:p w14:paraId="4827B7FF" w14:textId="77777777" w:rsidR="00C408E8" w:rsidRDefault="00C408E8" w:rsidP="00B64353">
      <w:pPr>
        <w:pStyle w:val="Call"/>
        <w:rPr>
          <w:b/>
          <w:lang w:eastAsia="zh-CN"/>
        </w:rPr>
      </w:pPr>
      <w:r>
        <w:rPr>
          <w:rFonts w:hint="eastAsia"/>
          <w:lang w:val="en-US" w:eastAsia="zh-CN"/>
        </w:rPr>
        <w:t>做出决议</w:t>
      </w:r>
    </w:p>
    <w:p w14:paraId="4827B800" w14:textId="77777777" w:rsidR="00C408E8" w:rsidRDefault="00C408E8" w:rsidP="00B64353">
      <w:pPr>
        <w:rPr>
          <w:lang w:eastAsia="zh-CN"/>
        </w:rPr>
      </w:pPr>
      <w:r>
        <w:rPr>
          <w:lang w:eastAsia="zh-CN"/>
        </w:rPr>
        <w:t>1</w:t>
      </w:r>
      <w:r w:rsidR="00E04370">
        <w:rPr>
          <w:lang w:eastAsia="zh-CN"/>
        </w:rPr>
        <w:tab/>
      </w:r>
      <w:r>
        <w:rPr>
          <w:rFonts w:hint="eastAsia"/>
          <w:lang w:eastAsia="zh-CN"/>
        </w:rPr>
        <w:t>在世界电信标准化全会批准</w:t>
      </w:r>
      <w:r>
        <w:rPr>
          <w:lang w:eastAsia="zh-CN"/>
        </w:rPr>
        <w:t>ITU-T</w:t>
      </w:r>
      <w:r>
        <w:rPr>
          <w:rFonts w:hint="eastAsia"/>
          <w:lang w:eastAsia="zh-CN"/>
        </w:rPr>
        <w:t xml:space="preserve"> </w:t>
      </w:r>
      <w:r>
        <w:rPr>
          <w:lang w:eastAsia="zh-CN"/>
        </w:rPr>
        <w:t>E.169.2</w:t>
      </w:r>
      <w:r>
        <w:rPr>
          <w:rFonts w:hint="eastAsia"/>
          <w:lang w:eastAsia="zh-CN"/>
        </w:rPr>
        <w:t>和</w:t>
      </w:r>
      <w:r>
        <w:rPr>
          <w:lang w:eastAsia="zh-CN"/>
        </w:rPr>
        <w:t>E169.3</w:t>
      </w:r>
      <w:r>
        <w:rPr>
          <w:rFonts w:hint="eastAsia"/>
          <w:lang w:eastAsia="zh-CN"/>
        </w:rPr>
        <w:t>建议书之后，授权国际电联从</w:t>
      </w:r>
      <w:r>
        <w:rPr>
          <w:lang w:eastAsia="zh-CN"/>
        </w:rPr>
        <w:t>2001</w:t>
      </w:r>
      <w:r>
        <w:rPr>
          <w:rFonts w:hint="eastAsia"/>
          <w:lang w:eastAsia="zh-CN"/>
        </w:rPr>
        <w:t>年</w:t>
      </w:r>
      <w:r>
        <w:rPr>
          <w:lang w:eastAsia="zh-CN"/>
        </w:rPr>
        <w:t>1</w:t>
      </w:r>
      <w:r>
        <w:rPr>
          <w:rFonts w:hint="eastAsia"/>
          <w:lang w:eastAsia="zh-CN"/>
        </w:rPr>
        <w:t>月</w:t>
      </w:r>
      <w:r>
        <w:rPr>
          <w:lang w:eastAsia="zh-CN"/>
        </w:rPr>
        <w:t>3</w:t>
      </w:r>
      <w:r>
        <w:rPr>
          <w:rFonts w:hint="eastAsia"/>
          <w:lang w:eastAsia="zh-CN"/>
        </w:rPr>
        <w:t>日开始履行国际加价特种服务费号码（</w:t>
      </w:r>
      <w:r>
        <w:rPr>
          <w:rFonts w:hint="eastAsia"/>
          <w:lang w:eastAsia="zh-CN"/>
        </w:rPr>
        <w:t>UIPRN</w:t>
      </w:r>
      <w:r>
        <w:rPr>
          <w:rFonts w:hint="eastAsia"/>
          <w:lang w:eastAsia="zh-CN"/>
        </w:rPr>
        <w:t>）和国际通用成本分摊号码（</w:t>
      </w:r>
      <w:r>
        <w:rPr>
          <w:rFonts w:hint="eastAsia"/>
          <w:lang w:eastAsia="zh-CN"/>
        </w:rPr>
        <w:t>UISCN</w:t>
      </w:r>
      <w:r>
        <w:rPr>
          <w:rFonts w:hint="eastAsia"/>
          <w:lang w:eastAsia="zh-CN"/>
        </w:rPr>
        <w:t>）登记处的职能；</w:t>
      </w:r>
    </w:p>
    <w:p w14:paraId="4827B801" w14:textId="77777777" w:rsidR="00C408E8" w:rsidRDefault="00C408E8" w:rsidP="00B64353">
      <w:pPr>
        <w:rPr>
          <w:lang w:eastAsia="zh-CN"/>
        </w:rPr>
      </w:pPr>
      <w:r>
        <w:rPr>
          <w:lang w:eastAsia="zh-CN"/>
        </w:rPr>
        <w:t>2</w:t>
      </w:r>
      <w:r w:rsidR="00E04370">
        <w:rPr>
          <w:lang w:eastAsia="zh-CN"/>
        </w:rPr>
        <w:tab/>
      </w:r>
      <w:r>
        <w:rPr>
          <w:rFonts w:hint="eastAsia"/>
          <w:lang w:eastAsia="zh-CN"/>
        </w:rPr>
        <w:t>临时确定每发出一个号码征收</w:t>
      </w:r>
      <w:r>
        <w:rPr>
          <w:lang w:eastAsia="zh-CN"/>
        </w:rPr>
        <w:t>200</w:t>
      </w:r>
      <w:r>
        <w:rPr>
          <w:rFonts w:hint="eastAsia"/>
          <w:lang w:eastAsia="zh-CN"/>
        </w:rPr>
        <w:t>瑞士法郎的登记费；</w:t>
      </w:r>
    </w:p>
    <w:p w14:paraId="4827B802" w14:textId="77777777" w:rsidR="00C408E8" w:rsidRDefault="00C408E8" w:rsidP="00B64353">
      <w:pPr>
        <w:rPr>
          <w:lang w:eastAsia="zh-CN"/>
        </w:rPr>
      </w:pPr>
      <w:r>
        <w:rPr>
          <w:lang w:eastAsia="zh-CN"/>
        </w:rPr>
        <w:t>3</w:t>
      </w:r>
      <w:r w:rsidR="00E04370">
        <w:rPr>
          <w:lang w:eastAsia="zh-CN"/>
        </w:rPr>
        <w:tab/>
      </w:r>
      <w:r>
        <w:rPr>
          <w:rFonts w:hint="eastAsia"/>
          <w:lang w:eastAsia="zh-CN"/>
        </w:rPr>
        <w:t>将</w:t>
      </w:r>
      <w:r>
        <w:rPr>
          <w:lang w:eastAsia="zh-CN"/>
        </w:rPr>
        <w:t>2000-2001</w:t>
      </w:r>
      <w:r>
        <w:rPr>
          <w:rFonts w:hint="eastAsia"/>
          <w:lang w:eastAsia="zh-CN"/>
        </w:rPr>
        <w:t>年预算增加</w:t>
      </w:r>
      <w:r>
        <w:rPr>
          <w:lang w:eastAsia="zh-CN"/>
        </w:rPr>
        <w:t>139 000</w:t>
      </w:r>
      <w:r>
        <w:rPr>
          <w:rFonts w:hint="eastAsia"/>
          <w:lang w:eastAsia="zh-CN"/>
        </w:rPr>
        <w:t>瑞士法郎，此部分预算将由相应的成本回收收入弥补；</w:t>
      </w:r>
    </w:p>
    <w:p w14:paraId="4827B803" w14:textId="77777777" w:rsidR="00C408E8" w:rsidRDefault="00C408E8" w:rsidP="00B64353">
      <w:pPr>
        <w:rPr>
          <w:lang w:eastAsia="zh-CN"/>
        </w:rPr>
      </w:pPr>
      <w:r>
        <w:rPr>
          <w:lang w:eastAsia="zh-CN"/>
        </w:rPr>
        <w:tab/>
      </w:r>
      <w:r>
        <w:rPr>
          <w:rFonts w:eastAsia="STKaiti" w:hint="eastAsia"/>
          <w:lang w:val="en-US" w:eastAsia="zh-CN"/>
        </w:rPr>
        <w:t>责成秘书长</w:t>
      </w:r>
      <w:r>
        <w:rPr>
          <w:rFonts w:hint="eastAsia"/>
          <w:lang w:eastAsia="zh-CN"/>
        </w:rPr>
        <w:t>在向</w:t>
      </w:r>
      <w:r w:rsidR="004E502C">
        <w:rPr>
          <w:rFonts w:hint="eastAsia"/>
          <w:lang w:eastAsia="zh-CN"/>
        </w:rPr>
        <w:t>理事会</w:t>
      </w:r>
      <w:r>
        <w:rPr>
          <w:lang w:eastAsia="zh-CN"/>
        </w:rPr>
        <w:t>2002</w:t>
      </w:r>
      <w:r>
        <w:rPr>
          <w:rFonts w:hint="eastAsia"/>
          <w:lang w:eastAsia="zh-CN"/>
        </w:rPr>
        <w:t>年会</w:t>
      </w:r>
      <w:r w:rsidR="004E502C">
        <w:rPr>
          <w:rFonts w:hint="eastAsia"/>
          <w:lang w:eastAsia="zh-CN"/>
        </w:rPr>
        <w:t>议</w:t>
      </w:r>
      <w:r>
        <w:rPr>
          <w:rFonts w:hint="eastAsia"/>
          <w:lang w:eastAsia="zh-CN"/>
        </w:rPr>
        <w:t>提交的财务工作报告中包括一份</w:t>
      </w:r>
      <w:r>
        <w:rPr>
          <w:lang w:eastAsia="zh-CN"/>
        </w:rPr>
        <w:t>UIPRN</w:t>
      </w:r>
      <w:r>
        <w:rPr>
          <w:rFonts w:hint="eastAsia"/>
          <w:lang w:eastAsia="zh-CN"/>
        </w:rPr>
        <w:t>和</w:t>
      </w:r>
      <w:r>
        <w:rPr>
          <w:lang w:eastAsia="zh-CN"/>
        </w:rPr>
        <w:t>UISCN</w:t>
      </w:r>
      <w:r>
        <w:rPr>
          <w:rFonts w:hint="eastAsia"/>
          <w:lang w:eastAsia="zh-CN"/>
        </w:rPr>
        <w:t>服务的进展报告。</w:t>
      </w:r>
    </w:p>
    <w:p w14:paraId="4827B804" w14:textId="77777777" w:rsidR="00F11D1D" w:rsidRPr="002E405F" w:rsidRDefault="00C408E8" w:rsidP="00EA3335">
      <w:pPr>
        <w:pStyle w:val="Endtext"/>
        <w:tabs>
          <w:tab w:val="clear" w:pos="567"/>
        </w:tabs>
        <w:rPr>
          <w:lang w:val="fr-FR" w:eastAsia="zh-CN"/>
        </w:rPr>
      </w:pPr>
      <w:r>
        <w:rPr>
          <w:rFonts w:hint="eastAsia"/>
          <w:lang w:val="en-US" w:eastAsia="zh-CN"/>
        </w:rPr>
        <w:t>参阅</w:t>
      </w:r>
      <w:r>
        <w:rPr>
          <w:lang w:eastAsia="zh-CN"/>
        </w:rPr>
        <w:t>:</w:t>
      </w:r>
      <w:r>
        <w:rPr>
          <w:lang w:eastAsia="zh-CN"/>
        </w:rPr>
        <w:tab/>
      </w:r>
      <w:hyperlink r:id="rId456" w:history="1">
        <w:r w:rsidR="00674ECB" w:rsidRPr="009B7A52">
          <w:rPr>
            <w:rStyle w:val="Hyperlink"/>
            <w:lang w:val="fr-FR" w:eastAsia="zh-CN"/>
          </w:rPr>
          <w:t>C2000/</w:t>
        </w:r>
        <w:r w:rsidR="00674ECB">
          <w:rPr>
            <w:rStyle w:val="Hyperlink"/>
            <w:lang w:val="fr-FR" w:eastAsia="zh-CN"/>
          </w:rPr>
          <w:t>73</w:t>
        </w:r>
      </w:hyperlink>
      <w:r w:rsidRPr="00674ECB">
        <w:rPr>
          <w:rFonts w:hint="eastAsia"/>
          <w:lang w:eastAsia="zh-CN"/>
        </w:rPr>
        <w:t>和</w:t>
      </w:r>
      <w:hyperlink r:id="rId457" w:history="1">
        <w:r w:rsidR="00674ECB" w:rsidRPr="00674ECB">
          <w:rPr>
            <w:rStyle w:val="Hyperlink"/>
            <w:lang w:val="fr-FR" w:eastAsia="zh-CN"/>
          </w:rPr>
          <w:t>C2000/96</w:t>
        </w:r>
      </w:hyperlink>
      <w:r w:rsidRPr="00674ECB">
        <w:rPr>
          <w:rFonts w:hint="eastAsia"/>
          <w:lang w:eastAsia="zh-CN"/>
        </w:rPr>
        <w:t>号文件</w:t>
      </w:r>
      <w:r>
        <w:rPr>
          <w:rFonts w:hint="eastAsia"/>
          <w:lang w:eastAsia="zh-CN"/>
        </w:rPr>
        <w:t>。</w:t>
      </w:r>
    </w:p>
    <w:p w14:paraId="4827B805" w14:textId="77777777" w:rsidR="00EC41DE" w:rsidRDefault="00EC41DE" w:rsidP="00EC41DE">
      <w:pPr>
        <w:jc w:val="center"/>
        <w:rPr>
          <w:lang w:eastAsia="zh-CN"/>
        </w:rPr>
      </w:pPr>
      <w:bookmarkStart w:id="2215" w:name="_Toc424117098"/>
      <w:bookmarkStart w:id="2216" w:name="_Toc531706445"/>
      <w:bookmarkStart w:id="2217" w:name="_Toc531707057"/>
      <w:bookmarkStart w:id="2218" w:name="_Toc531768536"/>
      <w:bookmarkStart w:id="2219" w:name="_Toc161224091"/>
      <w:bookmarkStart w:id="2220" w:name="_Toc161732137"/>
      <w:bookmarkStart w:id="2221" w:name="_Toc161741069"/>
      <w:bookmarkStart w:id="2222" w:name="_Toc185237735"/>
      <w:bookmarkStart w:id="2223" w:name="_Toc311469650"/>
      <w:r>
        <w:rPr>
          <w:lang w:eastAsia="zh-CN"/>
        </w:rPr>
        <w:t>______________</w:t>
      </w:r>
    </w:p>
    <w:p w14:paraId="4827B806" w14:textId="77777777" w:rsidR="00D77F98" w:rsidRPr="00D77F98" w:rsidRDefault="00C408E8" w:rsidP="000D18CD">
      <w:pPr>
        <w:pStyle w:val="ResNo"/>
        <w:spacing w:before="600"/>
        <w:outlineLvl w:val="0"/>
        <w:rPr>
          <w:lang w:eastAsia="zh-CN"/>
        </w:rPr>
      </w:pPr>
      <w:bookmarkStart w:id="2224" w:name="_Toc16085861"/>
      <w:bookmarkStart w:id="2225" w:name="_Toc86395660"/>
      <w:r w:rsidRPr="00D77F98">
        <w:rPr>
          <w:rFonts w:hint="eastAsia"/>
          <w:lang w:eastAsia="zh-CN"/>
        </w:rPr>
        <w:t>第</w:t>
      </w:r>
      <w:r w:rsidRPr="00D77F98">
        <w:rPr>
          <w:lang w:eastAsia="zh-CN"/>
        </w:rPr>
        <w:t>1168</w:t>
      </w:r>
      <w:r w:rsidRPr="00D77F98">
        <w:rPr>
          <w:rFonts w:hint="eastAsia"/>
          <w:lang w:eastAsia="zh-CN"/>
        </w:rPr>
        <w:t>号决议</w:t>
      </w:r>
      <w:r w:rsidR="00D77F98">
        <w:rPr>
          <w:rFonts w:hint="eastAsia"/>
          <w:lang w:eastAsia="zh-CN"/>
        </w:rPr>
        <w:t>（</w:t>
      </w:r>
      <w:r w:rsidR="00D77F98" w:rsidRPr="00D77F98">
        <w:rPr>
          <w:lang w:eastAsia="zh-CN"/>
        </w:rPr>
        <w:t>C01</w:t>
      </w:r>
      <w:r w:rsidR="00D77F98">
        <w:rPr>
          <w:rFonts w:hint="eastAsia"/>
          <w:lang w:eastAsia="zh-CN"/>
        </w:rPr>
        <w:t>）</w:t>
      </w:r>
      <w:bookmarkEnd w:id="2215"/>
      <w:bookmarkEnd w:id="2216"/>
      <w:bookmarkEnd w:id="2217"/>
      <w:bookmarkEnd w:id="2218"/>
      <w:bookmarkEnd w:id="2224"/>
      <w:bookmarkEnd w:id="2225"/>
    </w:p>
    <w:p w14:paraId="4827B807" w14:textId="77777777" w:rsidR="00C408E8" w:rsidRDefault="00C408E8" w:rsidP="00D77F98">
      <w:pPr>
        <w:pStyle w:val="Restitle"/>
        <w:rPr>
          <w:lang w:eastAsia="zh-CN"/>
        </w:rPr>
      </w:pPr>
      <w:bookmarkStart w:id="2226" w:name="_Toc424116257"/>
      <w:bookmarkStart w:id="2227" w:name="_Toc424117099"/>
      <w:bookmarkStart w:id="2228" w:name="_Toc460248212"/>
      <w:bookmarkStart w:id="2229" w:name="_Toc531706446"/>
      <w:bookmarkStart w:id="2230" w:name="_Toc531707058"/>
      <w:bookmarkStart w:id="2231" w:name="_Toc531768537"/>
      <w:bookmarkStart w:id="2232" w:name="_Toc16085862"/>
      <w:bookmarkStart w:id="2233" w:name="_Toc86395661"/>
      <w:r>
        <w:rPr>
          <w:rFonts w:hint="eastAsia"/>
          <w:lang w:val="fr-CH" w:eastAsia="zh-CN"/>
        </w:rPr>
        <w:t>对</w:t>
      </w:r>
      <w:r>
        <w:rPr>
          <w:rFonts w:hint="eastAsia"/>
          <w:lang w:val="fr-CH" w:eastAsia="zh-CN"/>
        </w:rPr>
        <w:t>ATM</w:t>
      </w:r>
      <w:r>
        <w:rPr>
          <w:rFonts w:hint="eastAsia"/>
          <w:lang w:val="fr-CH" w:eastAsia="zh-CN"/>
        </w:rPr>
        <w:t>末端系统地址</w:t>
      </w:r>
      <w:r>
        <w:rPr>
          <w:rFonts w:hint="eastAsia"/>
          <w:lang w:eastAsia="zh-CN"/>
        </w:rPr>
        <w:t>登记处职能实行成本回收</w:t>
      </w:r>
      <w:bookmarkEnd w:id="2219"/>
      <w:bookmarkEnd w:id="2220"/>
      <w:bookmarkEnd w:id="2221"/>
      <w:bookmarkEnd w:id="2222"/>
      <w:bookmarkEnd w:id="2223"/>
      <w:bookmarkEnd w:id="2226"/>
      <w:bookmarkEnd w:id="2227"/>
      <w:bookmarkEnd w:id="2228"/>
      <w:bookmarkEnd w:id="2229"/>
      <w:bookmarkEnd w:id="2230"/>
      <w:bookmarkEnd w:id="2231"/>
      <w:bookmarkEnd w:id="2232"/>
      <w:bookmarkEnd w:id="2233"/>
    </w:p>
    <w:p w14:paraId="4827B808" w14:textId="77777777" w:rsidR="00C408E8" w:rsidRPr="00D77F98" w:rsidRDefault="00C408E8" w:rsidP="00D77F98">
      <w:pPr>
        <w:pStyle w:val="Normalaftertitle"/>
        <w:rPr>
          <w:lang w:eastAsia="zh-CN"/>
        </w:rPr>
      </w:pPr>
      <w:r w:rsidRPr="00D77F98">
        <w:rPr>
          <w:rFonts w:hint="eastAsia"/>
          <w:lang w:eastAsia="zh-CN"/>
        </w:rPr>
        <w:t>理事会，</w:t>
      </w:r>
    </w:p>
    <w:p w14:paraId="4827B809" w14:textId="77777777" w:rsidR="00C408E8" w:rsidRPr="006F4CAC" w:rsidRDefault="00C408E8" w:rsidP="00B64353">
      <w:pPr>
        <w:pStyle w:val="Call"/>
        <w:rPr>
          <w:lang w:val="en-US" w:eastAsia="zh-CN"/>
        </w:rPr>
      </w:pPr>
      <w:r w:rsidRPr="006F4CAC">
        <w:rPr>
          <w:rFonts w:hint="eastAsia"/>
          <w:lang w:val="en-US" w:eastAsia="zh-CN"/>
        </w:rPr>
        <w:t>经审议</w:t>
      </w:r>
    </w:p>
    <w:p w14:paraId="4827B80A" w14:textId="77777777" w:rsidR="00C408E8" w:rsidRDefault="00C408E8" w:rsidP="00B64353">
      <w:pPr>
        <w:tabs>
          <w:tab w:val="left" w:pos="510"/>
        </w:tabs>
        <w:ind w:right="141"/>
        <w:rPr>
          <w:b/>
          <w:lang w:eastAsia="zh-CN"/>
        </w:rPr>
      </w:pPr>
      <w:r>
        <w:rPr>
          <w:rFonts w:hint="eastAsia"/>
          <w:lang w:eastAsia="zh-CN"/>
        </w:rPr>
        <w:tab/>
      </w:r>
      <w:r>
        <w:rPr>
          <w:rFonts w:hint="eastAsia"/>
          <w:lang w:eastAsia="zh-CN"/>
        </w:rPr>
        <w:t>关于对国际电联某些产品和服务实行成本回收的第</w:t>
      </w:r>
      <w:r>
        <w:rPr>
          <w:lang w:eastAsia="zh-CN"/>
        </w:rPr>
        <w:t>91</w:t>
      </w:r>
      <w:r>
        <w:rPr>
          <w:rFonts w:hint="eastAsia"/>
          <w:lang w:eastAsia="zh-CN"/>
        </w:rPr>
        <w:t>号决议（</w:t>
      </w:r>
      <w:r>
        <w:rPr>
          <w:lang w:eastAsia="zh-CN"/>
        </w:rPr>
        <w:t>1998</w:t>
      </w:r>
      <w:r>
        <w:rPr>
          <w:rFonts w:hint="eastAsia"/>
          <w:lang w:eastAsia="zh-CN"/>
        </w:rPr>
        <w:t>年，明尼阿波利斯），以及关于</w:t>
      </w:r>
      <w:r>
        <w:rPr>
          <w:lang w:eastAsia="zh-CN"/>
        </w:rPr>
        <w:t>2000</w:t>
      </w:r>
      <w:r>
        <w:rPr>
          <w:rFonts w:hint="eastAsia"/>
          <w:lang w:eastAsia="zh-CN"/>
        </w:rPr>
        <w:t>至</w:t>
      </w:r>
      <w:r>
        <w:rPr>
          <w:lang w:eastAsia="zh-CN"/>
        </w:rPr>
        <w:t>2003</w:t>
      </w:r>
      <w:r>
        <w:rPr>
          <w:rFonts w:hint="eastAsia"/>
          <w:lang w:eastAsia="zh-CN"/>
        </w:rPr>
        <w:t>年国际电联支出的第</w:t>
      </w:r>
      <w:r>
        <w:rPr>
          <w:lang w:eastAsia="zh-CN"/>
        </w:rPr>
        <w:t>5</w:t>
      </w:r>
      <w:r>
        <w:rPr>
          <w:rFonts w:hint="eastAsia"/>
          <w:lang w:eastAsia="zh-CN"/>
        </w:rPr>
        <w:t>号决定（</w:t>
      </w:r>
      <w:r>
        <w:rPr>
          <w:lang w:eastAsia="zh-CN"/>
        </w:rPr>
        <w:t>1998</w:t>
      </w:r>
      <w:r>
        <w:rPr>
          <w:rFonts w:hint="eastAsia"/>
          <w:lang w:eastAsia="zh-CN"/>
        </w:rPr>
        <w:t>年，明尼阿波利斯）的</w:t>
      </w:r>
      <w:r>
        <w:rPr>
          <w:rFonts w:eastAsia="STKaiti" w:hint="eastAsia"/>
          <w:lang w:eastAsia="zh-CN"/>
        </w:rPr>
        <w:t>做出决定</w:t>
      </w:r>
      <w:r>
        <w:rPr>
          <w:lang w:eastAsia="zh-CN"/>
        </w:rPr>
        <w:t>1.3</w:t>
      </w:r>
      <w:r>
        <w:rPr>
          <w:rFonts w:hAnsi="SimSun" w:hint="eastAsia"/>
          <w:lang w:eastAsia="zh-CN"/>
        </w:rPr>
        <w:t>，</w:t>
      </w:r>
    </w:p>
    <w:p w14:paraId="4827B80B" w14:textId="77777777" w:rsidR="00C408E8" w:rsidRPr="006F4CAC" w:rsidRDefault="00C408E8" w:rsidP="00B64353">
      <w:pPr>
        <w:pStyle w:val="Call"/>
        <w:rPr>
          <w:lang w:val="en-US" w:eastAsia="zh-CN"/>
        </w:rPr>
      </w:pPr>
      <w:r w:rsidRPr="006F4CAC">
        <w:rPr>
          <w:rFonts w:hint="eastAsia"/>
          <w:lang w:val="en-US" w:eastAsia="zh-CN"/>
        </w:rPr>
        <w:t>做出决议</w:t>
      </w:r>
    </w:p>
    <w:p w14:paraId="4827B80C" w14:textId="77777777" w:rsidR="00C408E8" w:rsidRDefault="00C408E8" w:rsidP="00B64353">
      <w:pPr>
        <w:rPr>
          <w:lang w:eastAsia="zh-CN"/>
        </w:rPr>
      </w:pPr>
      <w:r>
        <w:rPr>
          <w:lang w:eastAsia="zh-CN"/>
        </w:rPr>
        <w:t>1</w:t>
      </w:r>
      <w:r>
        <w:rPr>
          <w:lang w:eastAsia="zh-CN"/>
        </w:rPr>
        <w:tab/>
      </w:r>
      <w:r>
        <w:rPr>
          <w:rFonts w:hint="eastAsia"/>
          <w:lang w:eastAsia="zh-CN"/>
        </w:rPr>
        <w:t>根据</w:t>
      </w:r>
      <w:r>
        <w:rPr>
          <w:lang w:eastAsia="zh-CN"/>
        </w:rPr>
        <w:t>ITU-T E.191</w:t>
      </w:r>
      <w:r>
        <w:rPr>
          <w:rFonts w:hint="eastAsia"/>
          <w:lang w:eastAsia="zh-CN"/>
        </w:rPr>
        <w:t>号建议书，授权国际电联从</w:t>
      </w:r>
      <w:r>
        <w:rPr>
          <w:lang w:eastAsia="zh-CN"/>
        </w:rPr>
        <w:t>2001</w:t>
      </w:r>
      <w:r>
        <w:rPr>
          <w:rFonts w:hint="eastAsia"/>
          <w:lang w:eastAsia="zh-CN"/>
        </w:rPr>
        <w:t>年</w:t>
      </w:r>
      <w:r>
        <w:rPr>
          <w:lang w:eastAsia="zh-CN"/>
        </w:rPr>
        <w:t>9</w:t>
      </w:r>
      <w:r>
        <w:rPr>
          <w:rFonts w:hint="eastAsia"/>
          <w:lang w:eastAsia="zh-CN"/>
        </w:rPr>
        <w:t>月</w:t>
      </w:r>
      <w:r>
        <w:rPr>
          <w:lang w:eastAsia="zh-CN"/>
        </w:rPr>
        <w:t>1</w:t>
      </w:r>
      <w:r>
        <w:rPr>
          <w:rFonts w:hint="eastAsia"/>
          <w:lang w:eastAsia="zh-CN"/>
        </w:rPr>
        <w:t>日开始履行</w:t>
      </w:r>
      <w:r>
        <w:rPr>
          <w:lang w:eastAsia="zh-CN"/>
        </w:rPr>
        <w:t>ATM</w:t>
      </w:r>
      <w:r>
        <w:rPr>
          <w:rFonts w:hint="eastAsia"/>
          <w:lang w:eastAsia="zh-CN"/>
        </w:rPr>
        <w:t>末端系统地址（</w:t>
      </w:r>
      <w:r w:rsidR="0014726B">
        <w:rPr>
          <w:lang w:eastAsia="zh-CN"/>
        </w:rPr>
        <w:t>AESA</w:t>
      </w:r>
      <w:r w:rsidR="0014726B">
        <w:rPr>
          <w:lang w:val="en-US" w:eastAsia="zh-CN"/>
        </w:rPr>
        <w:t>s</w:t>
      </w:r>
      <w:r>
        <w:rPr>
          <w:rFonts w:hint="eastAsia"/>
          <w:lang w:eastAsia="zh-CN"/>
        </w:rPr>
        <w:t>）登记处的职能，并将发出每个号码的登记费定为</w:t>
      </w:r>
      <w:r>
        <w:rPr>
          <w:lang w:eastAsia="zh-CN"/>
        </w:rPr>
        <w:t>100</w:t>
      </w:r>
      <w:r>
        <w:rPr>
          <w:rFonts w:hint="eastAsia"/>
          <w:lang w:eastAsia="zh-CN"/>
        </w:rPr>
        <w:t>瑞士法郎</w:t>
      </w:r>
      <w:r w:rsidR="00EC41DE">
        <w:rPr>
          <w:rFonts w:hint="eastAsia"/>
          <w:lang w:eastAsia="zh-CN"/>
        </w:rPr>
        <w:t>；</w:t>
      </w:r>
    </w:p>
    <w:p w14:paraId="4827B80D" w14:textId="77777777" w:rsidR="00EC41DE" w:rsidRDefault="00EC41D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80E" w14:textId="77777777" w:rsidR="00C408E8" w:rsidRDefault="00C408E8" w:rsidP="00B64353">
      <w:pPr>
        <w:rPr>
          <w:b/>
          <w:lang w:eastAsia="zh-CN"/>
        </w:rPr>
      </w:pPr>
      <w:r>
        <w:rPr>
          <w:lang w:eastAsia="zh-CN"/>
        </w:rPr>
        <w:lastRenderedPageBreak/>
        <w:t>2</w:t>
      </w:r>
      <w:r>
        <w:rPr>
          <w:lang w:eastAsia="zh-CN"/>
        </w:rPr>
        <w:tab/>
      </w:r>
      <w:r>
        <w:rPr>
          <w:rFonts w:hint="eastAsia"/>
          <w:lang w:eastAsia="zh-CN"/>
        </w:rPr>
        <w:t>将</w:t>
      </w:r>
      <w:r>
        <w:rPr>
          <w:lang w:eastAsia="zh-CN"/>
        </w:rPr>
        <w:t>2002</w:t>
      </w:r>
      <w:r>
        <w:rPr>
          <w:rFonts w:hint="eastAsia"/>
          <w:lang w:eastAsia="zh-CN"/>
        </w:rPr>
        <w:t>－</w:t>
      </w:r>
      <w:r>
        <w:rPr>
          <w:lang w:eastAsia="zh-CN"/>
        </w:rPr>
        <w:t>2003</w:t>
      </w:r>
      <w:r>
        <w:rPr>
          <w:rFonts w:hint="eastAsia"/>
          <w:lang w:eastAsia="zh-CN"/>
        </w:rPr>
        <w:t>年预算增加</w:t>
      </w:r>
      <w:r>
        <w:rPr>
          <w:lang w:eastAsia="zh-CN"/>
        </w:rPr>
        <w:t>60 170</w:t>
      </w:r>
      <w:r>
        <w:rPr>
          <w:rFonts w:hint="eastAsia"/>
          <w:lang w:eastAsia="zh-CN"/>
        </w:rPr>
        <w:t>瑞士法郎，此部分预算将由相应的成本回收收入弥补</w:t>
      </w:r>
      <w:r>
        <w:rPr>
          <w:rFonts w:hAnsi="SimSun" w:hint="eastAsia"/>
          <w:lang w:eastAsia="zh-CN"/>
        </w:rPr>
        <w:t>，</w:t>
      </w:r>
    </w:p>
    <w:p w14:paraId="4827B80F" w14:textId="77777777" w:rsidR="00C408E8" w:rsidRPr="006F4CAC" w:rsidRDefault="00C408E8" w:rsidP="00B64353">
      <w:pPr>
        <w:pStyle w:val="Call"/>
        <w:rPr>
          <w:lang w:val="en-US" w:eastAsia="zh-CN"/>
        </w:rPr>
      </w:pPr>
      <w:r w:rsidRPr="006F4CAC">
        <w:rPr>
          <w:rFonts w:hint="eastAsia"/>
          <w:lang w:val="en-US" w:eastAsia="zh-CN"/>
        </w:rPr>
        <w:t>进一步做出决议</w:t>
      </w:r>
    </w:p>
    <w:p w14:paraId="4827B810" w14:textId="77777777" w:rsidR="00C408E8" w:rsidRDefault="00C408E8" w:rsidP="00B64353">
      <w:pPr>
        <w:tabs>
          <w:tab w:val="left" w:pos="510"/>
        </w:tabs>
        <w:rPr>
          <w:b/>
          <w:lang w:eastAsia="zh-CN"/>
        </w:rPr>
      </w:pPr>
      <w:r>
        <w:rPr>
          <w:rFonts w:hAnsi="SimSun" w:hint="eastAsia"/>
          <w:lang w:eastAsia="zh-CN"/>
        </w:rPr>
        <w:tab/>
      </w:r>
      <w:r>
        <w:rPr>
          <w:rFonts w:hAnsi="SimSun" w:hint="eastAsia"/>
          <w:lang w:eastAsia="zh-CN"/>
        </w:rPr>
        <w:t>授权秘书长在理事会休会期间，在实</w:t>
      </w:r>
      <w:r>
        <w:rPr>
          <w:rFonts w:hint="eastAsia"/>
          <w:lang w:eastAsia="zh-CN"/>
        </w:rPr>
        <w:t>行全部成本回收的基础上，实施今后</w:t>
      </w:r>
      <w:r>
        <w:rPr>
          <w:lang w:eastAsia="zh-CN"/>
        </w:rPr>
        <w:t>ITU-T</w:t>
      </w:r>
      <w:r>
        <w:rPr>
          <w:rFonts w:hint="eastAsia"/>
          <w:lang w:eastAsia="zh-CN"/>
        </w:rPr>
        <w:t>建</w:t>
      </w:r>
      <w:r>
        <w:rPr>
          <w:rFonts w:hAnsi="SimSun" w:hint="eastAsia"/>
          <w:lang w:eastAsia="zh-CN"/>
        </w:rPr>
        <w:t>议书提出的类似的登记职能，但须经随后的理事会会议最终批准。</w:t>
      </w:r>
    </w:p>
    <w:p w14:paraId="4827B811" w14:textId="77777777" w:rsidR="003960F6" w:rsidRPr="00FB432E" w:rsidRDefault="00C408E8" w:rsidP="003960F6">
      <w:pPr>
        <w:pStyle w:val="Endtext"/>
        <w:rPr>
          <w:lang w:val="fr-FR" w:eastAsia="zh-CN"/>
        </w:rPr>
      </w:pPr>
      <w:r>
        <w:rPr>
          <w:rFonts w:hint="eastAsia"/>
          <w:lang w:eastAsia="zh-CN"/>
        </w:rPr>
        <w:t>参阅</w:t>
      </w:r>
      <w:r w:rsidRPr="00616FB1">
        <w:rPr>
          <w:rFonts w:ascii="STKaiti" w:hAnsi="STKaiti" w:hint="eastAsia"/>
          <w:lang w:eastAsia="zh-CN"/>
        </w:rPr>
        <w:t>：</w:t>
      </w:r>
      <w:r w:rsidR="00616FB1">
        <w:rPr>
          <w:rFonts w:hint="eastAsia"/>
          <w:lang w:eastAsia="zh-CN"/>
        </w:rPr>
        <w:tab/>
      </w:r>
      <w:hyperlink r:id="rId458" w:history="1">
        <w:r w:rsidR="003960F6" w:rsidRPr="005E7EA9">
          <w:rPr>
            <w:rStyle w:val="Hyperlink"/>
            <w:lang w:val="fr-FR" w:eastAsia="zh-CN"/>
          </w:rPr>
          <w:t>C2001/96</w:t>
        </w:r>
      </w:hyperlink>
      <w:r w:rsidR="003960F6">
        <w:rPr>
          <w:rFonts w:hint="eastAsia"/>
          <w:lang w:val="fr-FR" w:eastAsia="zh-CN"/>
        </w:rPr>
        <w:t>和</w:t>
      </w:r>
      <w:hyperlink r:id="rId459" w:history="1">
        <w:r w:rsidR="003960F6" w:rsidRPr="005E7EA9">
          <w:rPr>
            <w:rStyle w:val="Hyperlink"/>
            <w:lang w:val="fr-FR" w:eastAsia="zh-CN"/>
          </w:rPr>
          <w:t>C2001/129</w:t>
        </w:r>
      </w:hyperlink>
      <w:r w:rsidR="003960F6">
        <w:rPr>
          <w:rFonts w:hint="eastAsia"/>
          <w:lang w:val="fr-FR" w:eastAsia="zh-CN"/>
        </w:rPr>
        <w:t>号</w:t>
      </w:r>
      <w:r w:rsidR="003960F6">
        <w:rPr>
          <w:lang w:val="fr-FR" w:eastAsia="zh-CN"/>
        </w:rPr>
        <w:t>文件。</w:t>
      </w:r>
    </w:p>
    <w:p w14:paraId="4827B812" w14:textId="77777777" w:rsidR="00EC41DE" w:rsidRDefault="00EC41DE" w:rsidP="00EC41DE">
      <w:pPr>
        <w:jc w:val="center"/>
        <w:rPr>
          <w:lang w:eastAsia="zh-CN"/>
        </w:rPr>
      </w:pPr>
      <w:bookmarkStart w:id="2234" w:name="_Toc424117102"/>
      <w:bookmarkStart w:id="2235" w:name="_Toc531706447"/>
      <w:bookmarkStart w:id="2236" w:name="_Toc531707059"/>
      <w:bookmarkStart w:id="2237" w:name="_Toc531768538"/>
      <w:r>
        <w:rPr>
          <w:lang w:eastAsia="zh-CN"/>
        </w:rPr>
        <w:t>______________</w:t>
      </w:r>
    </w:p>
    <w:p w14:paraId="4827B813" w14:textId="4F825732" w:rsidR="00094EB5" w:rsidRPr="00E45997" w:rsidRDefault="00094EB5" w:rsidP="000D18CD">
      <w:pPr>
        <w:pStyle w:val="ResNo"/>
        <w:outlineLvl w:val="0"/>
        <w:rPr>
          <w:lang w:eastAsia="zh-CN"/>
        </w:rPr>
      </w:pPr>
      <w:bookmarkStart w:id="2238" w:name="_Toc531706449"/>
      <w:bookmarkStart w:id="2239" w:name="_Toc531707061"/>
      <w:bookmarkStart w:id="2240" w:name="_Toc531768540"/>
      <w:bookmarkStart w:id="2241" w:name="_Toc16085863"/>
      <w:bookmarkStart w:id="2242" w:name="_Toc16088854"/>
      <w:bookmarkStart w:id="2243" w:name="_Toc86395662"/>
      <w:bookmarkEnd w:id="2234"/>
      <w:bookmarkEnd w:id="2235"/>
      <w:bookmarkEnd w:id="2236"/>
      <w:bookmarkEnd w:id="2237"/>
      <w:r w:rsidRPr="00E45997">
        <w:rPr>
          <w:lang w:eastAsia="zh-CN"/>
        </w:rPr>
        <w:t>第</w:t>
      </w:r>
      <w:r w:rsidRPr="00EC41DE">
        <w:rPr>
          <w:lang w:eastAsia="zh-CN"/>
        </w:rPr>
        <w:t>1</w:t>
      </w:r>
      <w:r w:rsidR="002F16F2">
        <w:rPr>
          <w:lang w:eastAsia="zh-CN"/>
        </w:rPr>
        <w:t>403</w:t>
      </w:r>
      <w:r w:rsidRPr="00E45997">
        <w:rPr>
          <w:lang w:eastAsia="zh-CN"/>
        </w:rPr>
        <w:t>号决议</w:t>
      </w:r>
      <w:r>
        <w:rPr>
          <w:rFonts w:hint="eastAsia"/>
          <w:lang w:eastAsia="zh-CN"/>
        </w:rPr>
        <w:t>（</w:t>
      </w:r>
      <w:r w:rsidRPr="00E45997">
        <w:rPr>
          <w:lang w:eastAsia="zh-CN"/>
        </w:rPr>
        <w:t>C</w:t>
      </w:r>
      <w:r w:rsidR="002F16F2">
        <w:rPr>
          <w:lang w:eastAsia="zh-CN"/>
        </w:rPr>
        <w:t>21</w:t>
      </w:r>
      <w:r>
        <w:rPr>
          <w:rFonts w:hint="eastAsia"/>
          <w:lang w:eastAsia="zh-CN"/>
        </w:rPr>
        <w:t>）</w:t>
      </w:r>
      <w:bookmarkEnd w:id="2238"/>
      <w:bookmarkEnd w:id="2239"/>
      <w:bookmarkEnd w:id="2240"/>
      <w:bookmarkEnd w:id="2241"/>
      <w:bookmarkEnd w:id="2242"/>
      <w:bookmarkEnd w:id="2243"/>
    </w:p>
    <w:p w14:paraId="4827B814" w14:textId="637019AB" w:rsidR="00094EB5" w:rsidRDefault="002F16F2" w:rsidP="00152C69">
      <w:pPr>
        <w:pStyle w:val="Restitle"/>
        <w:rPr>
          <w:lang w:eastAsia="zh-CN"/>
        </w:rPr>
      </w:pPr>
      <w:bookmarkStart w:id="2244" w:name="_Toc86395663"/>
      <w:r w:rsidRPr="002F16F2">
        <w:rPr>
          <w:rFonts w:hint="eastAsia"/>
          <w:lang w:eastAsia="zh-CN"/>
        </w:rPr>
        <w:t>国际电联</w:t>
      </w:r>
      <w:r w:rsidRPr="002F16F2">
        <w:rPr>
          <w:rFonts w:hint="eastAsia"/>
          <w:lang w:eastAsia="zh-CN"/>
        </w:rPr>
        <w:t>2022-2025</w:t>
      </w:r>
      <w:r w:rsidRPr="002F16F2">
        <w:rPr>
          <w:rFonts w:hint="eastAsia"/>
          <w:lang w:eastAsia="zh-CN"/>
        </w:rPr>
        <w:t>年四年期滚动式运作规划</w:t>
      </w:r>
      <w:bookmarkEnd w:id="2244"/>
    </w:p>
    <w:p w14:paraId="4827B815" w14:textId="77777777" w:rsidR="00F54FB0" w:rsidRPr="00CE359F" w:rsidRDefault="00F54FB0" w:rsidP="00F54FB0">
      <w:pPr>
        <w:rPr>
          <w:lang w:eastAsia="zh-CN"/>
        </w:rPr>
      </w:pPr>
      <w:bookmarkStart w:id="2245" w:name="_Toc531706451"/>
      <w:bookmarkStart w:id="2246" w:name="_Toc531707063"/>
      <w:bookmarkStart w:id="2247" w:name="_Toc531768542"/>
      <w:r>
        <w:rPr>
          <w:rFonts w:hint="eastAsia"/>
          <w:lang w:eastAsia="zh-CN"/>
        </w:rPr>
        <w:t>（</w:t>
      </w:r>
      <w:hyperlink w:anchor="res1390" w:history="1">
        <w:r w:rsidRPr="00197554">
          <w:rPr>
            <w:rStyle w:val="Hyperlink"/>
            <w:rFonts w:hint="eastAsia"/>
            <w:lang w:eastAsia="zh-CN"/>
          </w:rPr>
          <w:t>见第</w:t>
        </w:r>
        <w:r w:rsidRPr="00197554">
          <w:rPr>
            <w:rStyle w:val="Hyperlink"/>
            <w:rFonts w:hint="eastAsia"/>
            <w:lang w:eastAsia="zh-CN"/>
          </w:rPr>
          <w:t>4</w:t>
        </w:r>
        <w:r w:rsidRPr="00197554">
          <w:rPr>
            <w:rStyle w:val="Hyperlink"/>
            <w:rFonts w:hint="eastAsia"/>
            <w:lang w:eastAsia="zh-CN"/>
          </w:rPr>
          <w:t>节</w:t>
        </w:r>
      </w:hyperlink>
      <w:r>
        <w:rPr>
          <w:rFonts w:hint="eastAsia"/>
          <w:lang w:eastAsia="zh-CN"/>
        </w:rPr>
        <w:t>）。</w:t>
      </w:r>
    </w:p>
    <w:p w14:paraId="4827B816" w14:textId="77777777" w:rsidR="00EC41DE" w:rsidRDefault="00EC41DE" w:rsidP="00EC41DE">
      <w:pPr>
        <w:jc w:val="center"/>
        <w:rPr>
          <w:lang w:eastAsia="zh-CN"/>
        </w:rPr>
      </w:pPr>
      <w:r>
        <w:rPr>
          <w:lang w:eastAsia="zh-CN"/>
        </w:rPr>
        <w:t>______________</w:t>
      </w:r>
    </w:p>
    <w:p w14:paraId="4827B81B" w14:textId="77777777" w:rsidR="00BA54F0" w:rsidRDefault="00BA54F0" w:rsidP="000D18CD">
      <w:pPr>
        <w:pStyle w:val="DecNo"/>
        <w:outlineLvl w:val="0"/>
      </w:pPr>
      <w:bookmarkStart w:id="2248" w:name="_Toc16085867"/>
      <w:bookmarkStart w:id="2249" w:name="_Toc86395664"/>
      <w:r>
        <w:rPr>
          <w:rFonts w:hint="eastAsia"/>
        </w:rPr>
        <w:t>第</w:t>
      </w:r>
      <w:r w:rsidRPr="00EC41DE">
        <w:rPr>
          <w:rFonts w:hint="eastAsia"/>
        </w:rPr>
        <w:t>600</w:t>
      </w:r>
      <w:r>
        <w:rPr>
          <w:rFonts w:hint="eastAsia"/>
        </w:rPr>
        <w:t>号决定（</w:t>
      </w:r>
      <w:r w:rsidRPr="00E45997">
        <w:t>C1</w:t>
      </w:r>
      <w:r>
        <w:t>7</w:t>
      </w:r>
      <w:r>
        <w:rPr>
          <w:rFonts w:hint="eastAsia"/>
        </w:rPr>
        <w:t>）</w:t>
      </w:r>
      <w:bookmarkEnd w:id="2245"/>
      <w:bookmarkEnd w:id="2246"/>
      <w:bookmarkEnd w:id="2247"/>
      <w:bookmarkEnd w:id="2248"/>
      <w:bookmarkEnd w:id="2249"/>
    </w:p>
    <w:p w14:paraId="4827B81C" w14:textId="77777777" w:rsidR="00094EB5" w:rsidRPr="00A91430" w:rsidRDefault="00BA54F0" w:rsidP="00BA54F0">
      <w:pPr>
        <w:pStyle w:val="Dectitle"/>
      </w:pPr>
      <w:bookmarkStart w:id="2250" w:name="_Toc531706452"/>
      <w:bookmarkStart w:id="2251" w:name="_Toc531707064"/>
      <w:bookmarkStart w:id="2252" w:name="_Toc531768543"/>
      <w:bookmarkStart w:id="2253" w:name="_Toc16085868"/>
      <w:bookmarkStart w:id="2254" w:name="_Toc86395665"/>
      <w:r>
        <w:rPr>
          <w:rFonts w:hint="eastAsia"/>
        </w:rPr>
        <w:t>国际通用</w:t>
      </w:r>
      <w:r>
        <w:t>免费电话号码（</w:t>
      </w:r>
      <w:r>
        <w:t>UIFN</w:t>
      </w:r>
      <w:r>
        <w:rPr>
          <w:rFonts w:hint="eastAsia"/>
        </w:rPr>
        <w:t>）登记</w:t>
      </w:r>
      <w:bookmarkEnd w:id="2250"/>
      <w:bookmarkEnd w:id="2251"/>
      <w:bookmarkEnd w:id="2252"/>
      <w:bookmarkEnd w:id="2253"/>
      <w:bookmarkEnd w:id="2254"/>
    </w:p>
    <w:p w14:paraId="4827B81D" w14:textId="77777777" w:rsidR="00BA54F0" w:rsidRPr="00BD652F" w:rsidRDefault="00BA54F0" w:rsidP="00BA54F0">
      <w:pPr>
        <w:spacing w:before="240"/>
        <w:rPr>
          <w:szCs w:val="24"/>
          <w:lang w:eastAsia="zh-CN"/>
        </w:rPr>
      </w:pPr>
      <w:r>
        <w:rPr>
          <w:rFonts w:hint="eastAsia"/>
          <w:szCs w:val="24"/>
          <w:lang w:eastAsia="zh-CN"/>
        </w:rPr>
        <w:t>理事会，</w:t>
      </w:r>
    </w:p>
    <w:p w14:paraId="4827B81E" w14:textId="77777777" w:rsidR="00BA54F0" w:rsidRPr="00BD652F" w:rsidRDefault="00BA54F0" w:rsidP="00BA54F0">
      <w:pPr>
        <w:pStyle w:val="Call"/>
        <w:rPr>
          <w:i/>
          <w:szCs w:val="24"/>
          <w:lang w:eastAsia="zh-CN"/>
        </w:rPr>
      </w:pPr>
      <w:r>
        <w:rPr>
          <w:rFonts w:hint="eastAsia"/>
          <w:iCs/>
          <w:szCs w:val="24"/>
          <w:lang w:eastAsia="zh-CN"/>
        </w:rPr>
        <w:t>经审议</w:t>
      </w:r>
    </w:p>
    <w:p w14:paraId="4827B81F" w14:textId="77777777" w:rsidR="00BA54F0" w:rsidRPr="00BD652F" w:rsidRDefault="00BA54F0" w:rsidP="00BA54F0">
      <w:pPr>
        <w:snapToGrid w:val="0"/>
        <w:ind w:firstLineChars="200" w:firstLine="480"/>
        <w:rPr>
          <w:szCs w:val="24"/>
          <w:lang w:eastAsia="zh-CN"/>
        </w:rPr>
      </w:pPr>
      <w:r>
        <w:rPr>
          <w:rFonts w:hint="eastAsia"/>
          <w:szCs w:val="24"/>
          <w:lang w:eastAsia="zh-CN"/>
        </w:rPr>
        <w:t>秘书长提交的有关</w:t>
      </w:r>
      <w:r>
        <w:rPr>
          <w:color w:val="000000"/>
          <w:lang w:eastAsia="zh-CN"/>
        </w:rPr>
        <w:t>完善国际电联财务基础的稳定性和可预见</w:t>
      </w:r>
      <w:r>
        <w:rPr>
          <w:rFonts w:ascii="SimSun" w:hAnsi="SimSun" w:cs="SimSun" w:hint="eastAsia"/>
          <w:color w:val="000000"/>
          <w:lang w:eastAsia="zh-CN"/>
        </w:rPr>
        <w:t>性的报告（</w:t>
      </w:r>
      <w:r w:rsidRPr="00BD652F">
        <w:rPr>
          <w:szCs w:val="24"/>
          <w:lang w:eastAsia="zh-CN"/>
        </w:rPr>
        <w:t>C17/67</w:t>
      </w:r>
      <w:r>
        <w:rPr>
          <w:rFonts w:hint="eastAsia"/>
          <w:szCs w:val="24"/>
          <w:lang w:eastAsia="zh-CN"/>
        </w:rPr>
        <w:t>号文件）以及增加国际</w:t>
      </w:r>
      <w:r>
        <w:rPr>
          <w:szCs w:val="24"/>
          <w:lang w:eastAsia="zh-CN"/>
        </w:rPr>
        <w:t>码号资源（</w:t>
      </w:r>
      <w:r>
        <w:rPr>
          <w:rFonts w:hint="eastAsia"/>
          <w:szCs w:val="24"/>
          <w:lang w:eastAsia="zh-CN"/>
        </w:rPr>
        <w:t>INR</w:t>
      </w:r>
      <w:r>
        <w:rPr>
          <w:rFonts w:hint="eastAsia"/>
          <w:szCs w:val="24"/>
          <w:lang w:eastAsia="zh-CN"/>
        </w:rPr>
        <w:t>）创收的建议（</w:t>
      </w:r>
      <w:r>
        <w:rPr>
          <w:szCs w:val="24"/>
          <w:lang w:eastAsia="zh-CN"/>
        </w:rPr>
        <w:t>C17/43</w:t>
      </w:r>
      <w:r>
        <w:rPr>
          <w:rFonts w:hint="eastAsia"/>
          <w:szCs w:val="24"/>
          <w:lang w:eastAsia="zh-CN"/>
        </w:rPr>
        <w:t>号文件），</w:t>
      </w:r>
    </w:p>
    <w:p w14:paraId="4827B820" w14:textId="77777777" w:rsidR="00BA54F0" w:rsidRPr="0095101D" w:rsidRDefault="00BA54F0" w:rsidP="00BA54F0">
      <w:pPr>
        <w:pStyle w:val="Call"/>
        <w:rPr>
          <w:szCs w:val="24"/>
          <w:lang w:eastAsia="zh-CN"/>
        </w:rPr>
      </w:pPr>
      <w:r w:rsidRPr="0095101D">
        <w:rPr>
          <w:rFonts w:hint="eastAsia"/>
          <w:iCs/>
          <w:szCs w:val="24"/>
          <w:lang w:eastAsia="zh-CN"/>
        </w:rPr>
        <w:t>做出决定</w:t>
      </w:r>
    </w:p>
    <w:p w14:paraId="4827B821" w14:textId="77777777" w:rsidR="00BA54F0" w:rsidRPr="00BD652F" w:rsidRDefault="00BA54F0" w:rsidP="00BA54F0">
      <w:pPr>
        <w:snapToGrid w:val="0"/>
        <w:ind w:firstLineChars="200" w:firstLine="480"/>
        <w:rPr>
          <w:szCs w:val="24"/>
          <w:lang w:eastAsia="zh-CN"/>
        </w:rPr>
      </w:pPr>
      <w:r>
        <w:rPr>
          <w:rFonts w:hint="eastAsia"/>
          <w:szCs w:val="24"/>
          <w:lang w:eastAsia="zh-CN"/>
        </w:rPr>
        <w:t>继续收取自</w:t>
      </w:r>
      <w:r>
        <w:rPr>
          <w:rFonts w:hint="eastAsia"/>
          <w:szCs w:val="24"/>
          <w:lang w:eastAsia="zh-CN"/>
        </w:rPr>
        <w:t>1996</w:t>
      </w:r>
      <w:r>
        <w:rPr>
          <w:rFonts w:hint="eastAsia"/>
          <w:szCs w:val="24"/>
          <w:lang w:eastAsia="zh-CN"/>
        </w:rPr>
        <w:t>年</w:t>
      </w:r>
      <w:r>
        <w:rPr>
          <w:rFonts w:hint="eastAsia"/>
          <w:szCs w:val="24"/>
          <w:lang w:eastAsia="zh-CN"/>
        </w:rPr>
        <w:t>7</w:t>
      </w:r>
      <w:r>
        <w:rPr>
          <w:rFonts w:hint="eastAsia"/>
          <w:szCs w:val="24"/>
          <w:lang w:eastAsia="zh-CN"/>
        </w:rPr>
        <w:t>月</w:t>
      </w:r>
      <w:r>
        <w:rPr>
          <w:rFonts w:hint="eastAsia"/>
          <w:szCs w:val="24"/>
          <w:lang w:eastAsia="zh-CN"/>
        </w:rPr>
        <w:t>1</w:t>
      </w:r>
      <w:r>
        <w:rPr>
          <w:rFonts w:hint="eastAsia"/>
          <w:szCs w:val="24"/>
          <w:lang w:eastAsia="zh-CN"/>
        </w:rPr>
        <w:t>日起实施的</w:t>
      </w:r>
      <w:r>
        <w:rPr>
          <w:color w:val="000000"/>
          <w:lang w:eastAsia="zh-CN"/>
        </w:rPr>
        <w:t>国际通用免费电话号码（</w:t>
      </w:r>
      <w:r>
        <w:rPr>
          <w:color w:val="000000"/>
          <w:lang w:eastAsia="zh-CN"/>
        </w:rPr>
        <w:t>UIFN</w:t>
      </w:r>
      <w:r>
        <w:rPr>
          <w:rFonts w:ascii="SimSun" w:hAnsi="SimSun" w:cs="SimSun" w:hint="eastAsia"/>
          <w:color w:val="000000"/>
          <w:lang w:eastAsia="zh-CN"/>
        </w:rPr>
        <w:t>）登记费，作为服务费并支付</w:t>
      </w:r>
      <w:r>
        <w:rPr>
          <w:rFonts w:ascii="SimSun" w:hAnsi="SimSun" w:cs="SimSun"/>
          <w:color w:val="000000"/>
          <w:lang w:eastAsia="zh-CN"/>
        </w:rPr>
        <w:t>维持</w:t>
      </w:r>
      <w:r>
        <w:rPr>
          <w:rFonts w:ascii="SimSun" w:hAnsi="SimSun" w:cs="SimSun" w:hint="eastAsia"/>
          <w:color w:val="000000"/>
          <w:lang w:eastAsia="zh-CN"/>
        </w:rPr>
        <w:t>登记机构的维护费用，</w:t>
      </w:r>
    </w:p>
    <w:p w14:paraId="4827B822" w14:textId="77777777" w:rsidR="00152C69" w:rsidRDefault="00152C69">
      <w:pPr>
        <w:tabs>
          <w:tab w:val="clear" w:pos="794"/>
          <w:tab w:val="clear" w:pos="1191"/>
          <w:tab w:val="clear" w:pos="1588"/>
          <w:tab w:val="clear" w:pos="1985"/>
        </w:tabs>
        <w:overflowPunct/>
        <w:autoSpaceDE/>
        <w:autoSpaceDN/>
        <w:adjustRightInd/>
        <w:spacing w:before="0"/>
        <w:jc w:val="left"/>
        <w:textAlignment w:val="auto"/>
        <w:rPr>
          <w:rFonts w:eastAsia="STKaiti"/>
          <w:iCs/>
          <w:szCs w:val="24"/>
          <w:lang w:eastAsia="zh-CN"/>
        </w:rPr>
      </w:pPr>
      <w:r>
        <w:rPr>
          <w:iCs/>
          <w:szCs w:val="24"/>
          <w:lang w:eastAsia="zh-CN"/>
        </w:rPr>
        <w:br w:type="page"/>
      </w:r>
    </w:p>
    <w:p w14:paraId="4827B823" w14:textId="77777777" w:rsidR="00BA54F0" w:rsidRPr="0095101D" w:rsidRDefault="00BA54F0" w:rsidP="0019057F">
      <w:pPr>
        <w:pStyle w:val="Call"/>
        <w:keepNext w:val="0"/>
        <w:keepLines w:val="0"/>
        <w:rPr>
          <w:szCs w:val="24"/>
          <w:lang w:eastAsia="zh-CN"/>
        </w:rPr>
      </w:pPr>
      <w:r>
        <w:rPr>
          <w:rFonts w:hint="eastAsia"/>
          <w:iCs/>
          <w:szCs w:val="24"/>
          <w:lang w:eastAsia="zh-CN"/>
        </w:rPr>
        <w:lastRenderedPageBreak/>
        <w:t>进一步</w:t>
      </w:r>
      <w:r w:rsidRPr="0095101D">
        <w:rPr>
          <w:rFonts w:hint="eastAsia"/>
          <w:iCs/>
          <w:szCs w:val="24"/>
          <w:lang w:eastAsia="zh-CN"/>
        </w:rPr>
        <w:t>做出决定</w:t>
      </w:r>
    </w:p>
    <w:p w14:paraId="4827B824" w14:textId="77777777" w:rsidR="0019057F" w:rsidRDefault="00BA54F0" w:rsidP="00152C69">
      <w:pPr>
        <w:tabs>
          <w:tab w:val="left" w:pos="567"/>
          <w:tab w:val="left" w:pos="1134"/>
          <w:tab w:val="left" w:pos="1701"/>
          <w:tab w:val="left" w:pos="2268"/>
          <w:tab w:val="left" w:pos="2835"/>
        </w:tabs>
        <w:ind w:firstLineChars="200" w:firstLine="480"/>
        <w:rPr>
          <w:szCs w:val="24"/>
          <w:lang w:eastAsia="zh-CN"/>
        </w:rPr>
      </w:pPr>
      <w:r>
        <w:rPr>
          <w:rFonts w:hint="eastAsia"/>
          <w:szCs w:val="24"/>
          <w:lang w:eastAsia="zh-CN"/>
        </w:rPr>
        <w:t>将每个发放号码的登记费规定为</w:t>
      </w:r>
      <w:r>
        <w:rPr>
          <w:rFonts w:hint="eastAsia"/>
          <w:szCs w:val="24"/>
          <w:lang w:eastAsia="zh-CN"/>
        </w:rPr>
        <w:t>300</w:t>
      </w:r>
      <w:r>
        <w:rPr>
          <w:rFonts w:hint="eastAsia"/>
          <w:szCs w:val="24"/>
          <w:lang w:eastAsia="zh-CN"/>
        </w:rPr>
        <w:t>瑞郎，并且按每个号码</w:t>
      </w:r>
      <w:r>
        <w:rPr>
          <w:rFonts w:hint="eastAsia"/>
          <w:szCs w:val="24"/>
          <w:lang w:eastAsia="zh-CN"/>
        </w:rPr>
        <w:t>100</w:t>
      </w:r>
      <w:r>
        <w:rPr>
          <w:rFonts w:hint="eastAsia"/>
          <w:szCs w:val="24"/>
          <w:lang w:eastAsia="zh-CN"/>
        </w:rPr>
        <w:t>瑞郎对非</w:t>
      </w:r>
      <w:r>
        <w:rPr>
          <w:rFonts w:hint="eastAsia"/>
          <w:szCs w:val="24"/>
          <w:lang w:eastAsia="zh-CN"/>
        </w:rPr>
        <w:t>ITU-T</w:t>
      </w:r>
      <w:r>
        <w:rPr>
          <w:rFonts w:hint="eastAsia"/>
          <w:szCs w:val="24"/>
          <w:lang w:eastAsia="zh-CN"/>
        </w:rPr>
        <w:t>和</w:t>
      </w:r>
      <w:r>
        <w:rPr>
          <w:rFonts w:hint="eastAsia"/>
          <w:szCs w:val="24"/>
          <w:lang w:eastAsia="zh-CN"/>
        </w:rPr>
        <w:t>ITU-R</w:t>
      </w:r>
      <w:r>
        <w:rPr>
          <w:rFonts w:hint="eastAsia"/>
          <w:szCs w:val="24"/>
          <w:lang w:eastAsia="zh-CN"/>
        </w:rPr>
        <w:t>部门成员收取号码保留年费，</w:t>
      </w:r>
    </w:p>
    <w:p w14:paraId="4827B825" w14:textId="77777777" w:rsidR="00BA54F0" w:rsidRPr="0095101D" w:rsidRDefault="00BA54F0" w:rsidP="00BA54F0">
      <w:pPr>
        <w:pStyle w:val="Call"/>
        <w:rPr>
          <w:szCs w:val="24"/>
          <w:lang w:eastAsia="zh-CN"/>
        </w:rPr>
      </w:pPr>
      <w:r w:rsidRPr="00542EEE">
        <w:rPr>
          <w:rFonts w:hint="eastAsia"/>
          <w:iCs/>
          <w:szCs w:val="24"/>
          <w:lang w:eastAsia="zh-CN"/>
        </w:rPr>
        <w:t>责成秘书长</w:t>
      </w:r>
      <w:r w:rsidRPr="0095101D">
        <w:rPr>
          <w:szCs w:val="24"/>
          <w:lang w:eastAsia="zh-CN"/>
        </w:rPr>
        <w:t xml:space="preserve"> </w:t>
      </w:r>
    </w:p>
    <w:p w14:paraId="4827B826" w14:textId="77777777" w:rsidR="00BA54F0" w:rsidRPr="00BD652F" w:rsidRDefault="00BA54F0" w:rsidP="00BA54F0">
      <w:pPr>
        <w:tabs>
          <w:tab w:val="left" w:pos="567"/>
        </w:tabs>
        <w:rPr>
          <w:szCs w:val="24"/>
          <w:lang w:eastAsia="zh-CN"/>
        </w:rPr>
      </w:pPr>
      <w:r w:rsidRPr="00BD652F">
        <w:rPr>
          <w:szCs w:val="24"/>
          <w:lang w:eastAsia="zh-CN"/>
        </w:rPr>
        <w:t>1</w:t>
      </w:r>
      <w:r w:rsidRPr="00BD652F">
        <w:rPr>
          <w:szCs w:val="24"/>
          <w:lang w:eastAsia="zh-CN"/>
        </w:rPr>
        <w:tab/>
      </w:r>
      <w:r>
        <w:rPr>
          <w:rFonts w:hint="eastAsia"/>
          <w:szCs w:val="24"/>
          <w:lang w:eastAsia="zh-CN"/>
        </w:rPr>
        <w:t>自</w:t>
      </w:r>
      <w:r>
        <w:rPr>
          <w:rFonts w:hint="eastAsia"/>
          <w:szCs w:val="24"/>
          <w:lang w:eastAsia="zh-CN"/>
        </w:rPr>
        <w:t>2018</w:t>
      </w:r>
      <w:r>
        <w:rPr>
          <w:rFonts w:hint="eastAsia"/>
          <w:szCs w:val="24"/>
          <w:lang w:eastAsia="zh-CN"/>
        </w:rPr>
        <w:t>年</w:t>
      </w:r>
      <w:r>
        <w:rPr>
          <w:rFonts w:hint="eastAsia"/>
          <w:szCs w:val="24"/>
          <w:lang w:eastAsia="zh-CN"/>
        </w:rPr>
        <w:t>1</w:t>
      </w:r>
      <w:r>
        <w:rPr>
          <w:rFonts w:hint="eastAsia"/>
          <w:szCs w:val="24"/>
          <w:lang w:eastAsia="zh-CN"/>
        </w:rPr>
        <w:t>月</w:t>
      </w:r>
      <w:r>
        <w:rPr>
          <w:rFonts w:hint="eastAsia"/>
          <w:szCs w:val="24"/>
          <w:lang w:eastAsia="zh-CN"/>
        </w:rPr>
        <w:t>1</w:t>
      </w:r>
      <w:r>
        <w:rPr>
          <w:rFonts w:hint="eastAsia"/>
          <w:szCs w:val="24"/>
          <w:lang w:eastAsia="zh-CN"/>
        </w:rPr>
        <w:t>日起实施本决定；</w:t>
      </w:r>
    </w:p>
    <w:p w14:paraId="4827B827" w14:textId="77777777" w:rsidR="00BA54F0" w:rsidRPr="00BD652F" w:rsidRDefault="00BA54F0" w:rsidP="00BA54F0">
      <w:pPr>
        <w:tabs>
          <w:tab w:val="left" w:pos="567"/>
        </w:tabs>
        <w:rPr>
          <w:szCs w:val="24"/>
          <w:lang w:eastAsia="zh-CN"/>
        </w:rPr>
      </w:pPr>
      <w:r w:rsidRPr="00BD652F">
        <w:rPr>
          <w:szCs w:val="24"/>
          <w:lang w:eastAsia="zh-CN"/>
        </w:rPr>
        <w:t>2</w:t>
      </w:r>
      <w:r w:rsidRPr="00BD652F">
        <w:rPr>
          <w:szCs w:val="24"/>
          <w:lang w:eastAsia="zh-CN"/>
        </w:rPr>
        <w:tab/>
      </w:r>
      <w:r>
        <w:rPr>
          <w:rFonts w:hint="eastAsia"/>
          <w:szCs w:val="24"/>
          <w:lang w:eastAsia="zh-CN"/>
        </w:rPr>
        <w:t>在提交理事会年度会议的《财务工作报告》中介绍</w:t>
      </w:r>
      <w:r w:rsidRPr="00BD652F">
        <w:rPr>
          <w:szCs w:val="24"/>
          <w:lang w:eastAsia="zh-CN"/>
        </w:rPr>
        <w:t>UIFN</w:t>
      </w:r>
      <w:r>
        <w:rPr>
          <w:rFonts w:hint="eastAsia"/>
          <w:szCs w:val="24"/>
          <w:lang w:eastAsia="zh-CN"/>
        </w:rPr>
        <w:t>的财务状况。</w:t>
      </w:r>
    </w:p>
    <w:p w14:paraId="4827B828" w14:textId="77777777" w:rsidR="00BA54F0" w:rsidRPr="00FB432E" w:rsidRDefault="00BA54F0" w:rsidP="00BA54F0">
      <w:pPr>
        <w:pStyle w:val="Endtext"/>
        <w:rPr>
          <w:lang w:val="fr-FR" w:eastAsia="zh-CN"/>
        </w:rPr>
      </w:pPr>
      <w:r>
        <w:rPr>
          <w:rFonts w:hint="eastAsia"/>
          <w:lang w:eastAsia="zh-CN"/>
        </w:rPr>
        <w:t>参阅</w:t>
      </w:r>
      <w:r w:rsidRPr="00616FB1">
        <w:rPr>
          <w:rFonts w:ascii="STKaiti" w:hAnsi="STKaiti" w:hint="eastAsia"/>
          <w:lang w:eastAsia="zh-CN"/>
        </w:rPr>
        <w:t>：</w:t>
      </w:r>
      <w:r>
        <w:rPr>
          <w:rFonts w:hint="eastAsia"/>
          <w:lang w:eastAsia="zh-CN"/>
        </w:rPr>
        <w:tab/>
      </w:r>
      <w:hyperlink r:id="rId460" w:history="1">
        <w:r w:rsidRPr="008F5265">
          <w:rPr>
            <w:rStyle w:val="Hyperlink"/>
            <w:lang w:val="fr-FR" w:eastAsia="zh-CN"/>
          </w:rPr>
          <w:t>C17/133</w:t>
        </w:r>
      </w:hyperlink>
      <w:r>
        <w:rPr>
          <w:rFonts w:hint="eastAsia"/>
          <w:lang w:val="fr-FR" w:eastAsia="zh-CN"/>
        </w:rPr>
        <w:t>和</w:t>
      </w:r>
      <w:hyperlink r:id="rId461" w:history="1">
        <w:r w:rsidRPr="003D0791">
          <w:rPr>
            <w:rStyle w:val="Hyperlink"/>
            <w:lang w:eastAsia="zh-CN"/>
          </w:rPr>
          <w:t>C17/140</w:t>
        </w:r>
      </w:hyperlink>
      <w:r>
        <w:rPr>
          <w:rFonts w:hint="eastAsia"/>
          <w:lang w:val="fr-FR" w:eastAsia="zh-CN"/>
        </w:rPr>
        <w:t>号</w:t>
      </w:r>
      <w:r>
        <w:rPr>
          <w:lang w:val="fr-FR" w:eastAsia="zh-CN"/>
        </w:rPr>
        <w:t>文件。</w:t>
      </w:r>
    </w:p>
    <w:p w14:paraId="4827B829" w14:textId="77777777" w:rsidR="00EC41DE" w:rsidRDefault="00EC41DE" w:rsidP="00EC41DE">
      <w:pPr>
        <w:jc w:val="center"/>
        <w:rPr>
          <w:lang w:eastAsia="zh-CN"/>
        </w:rPr>
      </w:pPr>
      <w:bookmarkStart w:id="2255" w:name="_Toc531706453"/>
      <w:bookmarkStart w:id="2256" w:name="_Toc531707065"/>
      <w:bookmarkStart w:id="2257" w:name="_Toc531768544"/>
      <w:r>
        <w:rPr>
          <w:lang w:eastAsia="zh-CN"/>
        </w:rPr>
        <w:t>______________</w:t>
      </w:r>
    </w:p>
    <w:p w14:paraId="4827B82A" w14:textId="77777777" w:rsidR="00BA54F0" w:rsidRDefault="00BA54F0" w:rsidP="000D18CD">
      <w:pPr>
        <w:pStyle w:val="DecNo"/>
        <w:outlineLvl w:val="0"/>
      </w:pPr>
      <w:bookmarkStart w:id="2258" w:name="_Toc16085869"/>
      <w:bookmarkStart w:id="2259" w:name="_Toc86395666"/>
      <w:r>
        <w:rPr>
          <w:rFonts w:hint="eastAsia"/>
        </w:rPr>
        <w:t>第</w:t>
      </w:r>
      <w:r>
        <w:rPr>
          <w:rFonts w:hint="eastAsia"/>
        </w:rPr>
        <w:t>60</w:t>
      </w:r>
      <w:r>
        <w:t>1</w:t>
      </w:r>
      <w:r>
        <w:rPr>
          <w:rFonts w:hint="eastAsia"/>
        </w:rPr>
        <w:t>号决定</w:t>
      </w:r>
      <w:r w:rsidR="00B72C24">
        <w:rPr>
          <w:rFonts w:hint="eastAsia"/>
        </w:rPr>
        <w:t>（</w:t>
      </w:r>
      <w:r w:rsidR="00B72C24" w:rsidRPr="00E45997">
        <w:t>C1</w:t>
      </w:r>
      <w:r w:rsidR="00B72C24">
        <w:t>7</w:t>
      </w:r>
      <w:r w:rsidR="00B72C24">
        <w:rPr>
          <w:rFonts w:hint="eastAsia"/>
        </w:rPr>
        <w:t>）</w:t>
      </w:r>
      <w:bookmarkEnd w:id="2255"/>
      <w:bookmarkEnd w:id="2256"/>
      <w:bookmarkEnd w:id="2257"/>
      <w:bookmarkEnd w:id="2258"/>
      <w:bookmarkEnd w:id="2259"/>
    </w:p>
    <w:p w14:paraId="4827B82B" w14:textId="77777777" w:rsidR="00BA54F0" w:rsidRDefault="00BA54F0" w:rsidP="00BA54F0">
      <w:pPr>
        <w:pStyle w:val="Dectitle"/>
      </w:pPr>
      <w:bookmarkStart w:id="2260" w:name="_Toc531706454"/>
      <w:bookmarkStart w:id="2261" w:name="_Toc531707066"/>
      <w:bookmarkStart w:id="2262" w:name="_Toc531768545"/>
      <w:bookmarkStart w:id="2263" w:name="_Toc16085870"/>
      <w:bookmarkStart w:id="2264" w:name="_Toc86395667"/>
      <w:r>
        <w:rPr>
          <w:rFonts w:hint="eastAsia"/>
        </w:rPr>
        <w:t>发行方标识</w:t>
      </w:r>
      <w:r w:rsidRPr="00BA54F0">
        <w:rPr>
          <w:rFonts w:hint="eastAsia"/>
        </w:rPr>
        <w:t>号</w:t>
      </w:r>
      <w:r>
        <w:rPr>
          <w:rFonts w:hint="eastAsia"/>
        </w:rPr>
        <w:t>（</w:t>
      </w:r>
      <w:r>
        <w:t>IIN</w:t>
      </w:r>
      <w:r w:rsidRPr="00BA54F0">
        <w:rPr>
          <w:rFonts w:hint="eastAsia"/>
        </w:rPr>
        <w:t>）</w:t>
      </w:r>
      <w:r>
        <w:rPr>
          <w:rFonts w:hint="eastAsia"/>
        </w:rPr>
        <w:t>登记</w:t>
      </w:r>
      <w:bookmarkEnd w:id="2260"/>
      <w:bookmarkEnd w:id="2261"/>
      <w:bookmarkEnd w:id="2262"/>
      <w:bookmarkEnd w:id="2263"/>
      <w:bookmarkEnd w:id="2264"/>
    </w:p>
    <w:p w14:paraId="4827B82C" w14:textId="77777777" w:rsidR="00BA54F0" w:rsidRPr="00BD652F" w:rsidRDefault="00BA54F0" w:rsidP="00E51375">
      <w:pPr>
        <w:pStyle w:val="Normalaftertitle0"/>
      </w:pPr>
      <w:r>
        <w:rPr>
          <w:rFonts w:hint="eastAsia"/>
        </w:rPr>
        <w:t>理事会</w:t>
      </w:r>
      <w:r w:rsidR="0084039B">
        <w:rPr>
          <w:rFonts w:hint="eastAsia"/>
        </w:rPr>
        <w:t>，</w:t>
      </w:r>
    </w:p>
    <w:p w14:paraId="4827B82D" w14:textId="77777777" w:rsidR="00BA54F0" w:rsidRPr="00BD652F" w:rsidRDefault="00BA54F0" w:rsidP="00BA54F0">
      <w:pPr>
        <w:pStyle w:val="Call"/>
        <w:rPr>
          <w:i/>
          <w:szCs w:val="24"/>
          <w:lang w:eastAsia="zh-CN"/>
        </w:rPr>
      </w:pPr>
      <w:r>
        <w:rPr>
          <w:rFonts w:hint="eastAsia"/>
          <w:iCs/>
          <w:szCs w:val="24"/>
          <w:lang w:eastAsia="zh-CN"/>
        </w:rPr>
        <w:t>经审议</w:t>
      </w:r>
    </w:p>
    <w:p w14:paraId="4827B82E" w14:textId="77777777" w:rsidR="00BA54F0" w:rsidRPr="00BD652F" w:rsidRDefault="00BA54F0" w:rsidP="00BA54F0">
      <w:pPr>
        <w:snapToGrid w:val="0"/>
        <w:ind w:firstLineChars="200" w:firstLine="480"/>
        <w:rPr>
          <w:szCs w:val="24"/>
          <w:lang w:eastAsia="zh-CN"/>
        </w:rPr>
      </w:pPr>
      <w:r>
        <w:rPr>
          <w:rFonts w:hint="eastAsia"/>
          <w:szCs w:val="24"/>
          <w:lang w:eastAsia="zh-CN"/>
        </w:rPr>
        <w:t>秘书长提交的有关</w:t>
      </w:r>
      <w:r>
        <w:rPr>
          <w:rFonts w:hint="eastAsia"/>
          <w:color w:val="000000"/>
          <w:lang w:eastAsia="zh-CN"/>
        </w:rPr>
        <w:t>改</w:t>
      </w:r>
      <w:r>
        <w:rPr>
          <w:color w:val="000000"/>
          <w:lang w:eastAsia="zh-CN"/>
        </w:rPr>
        <w:t>善国际电联财务基础的稳定性和可预见</w:t>
      </w:r>
      <w:r>
        <w:rPr>
          <w:rFonts w:ascii="SimSun" w:hAnsi="SimSun" w:cs="SimSun" w:hint="eastAsia"/>
          <w:color w:val="000000"/>
          <w:lang w:eastAsia="zh-CN"/>
        </w:rPr>
        <w:t>性的报告（</w:t>
      </w:r>
      <w:r w:rsidRPr="00BD652F">
        <w:rPr>
          <w:szCs w:val="24"/>
          <w:lang w:eastAsia="zh-CN"/>
        </w:rPr>
        <w:t>C17/67</w:t>
      </w:r>
      <w:r>
        <w:rPr>
          <w:rFonts w:hint="eastAsia"/>
          <w:szCs w:val="24"/>
          <w:lang w:eastAsia="zh-CN"/>
        </w:rPr>
        <w:t>号文件）以及增加</w:t>
      </w:r>
      <w:r w:rsidRPr="00E3140C">
        <w:rPr>
          <w:rFonts w:hint="eastAsia"/>
          <w:szCs w:val="24"/>
          <w:lang w:eastAsia="zh-CN"/>
        </w:rPr>
        <w:t>国际码号资源</w:t>
      </w:r>
      <w:r>
        <w:rPr>
          <w:rFonts w:hint="eastAsia"/>
          <w:szCs w:val="24"/>
          <w:lang w:eastAsia="zh-CN"/>
        </w:rPr>
        <w:t>（</w:t>
      </w:r>
      <w:r>
        <w:rPr>
          <w:rFonts w:hint="eastAsia"/>
          <w:szCs w:val="24"/>
          <w:lang w:eastAsia="zh-CN"/>
        </w:rPr>
        <w:t>INR</w:t>
      </w:r>
      <w:r>
        <w:rPr>
          <w:rFonts w:hint="eastAsia"/>
          <w:szCs w:val="24"/>
          <w:lang w:eastAsia="zh-CN"/>
        </w:rPr>
        <w:t>）创收的建议（</w:t>
      </w:r>
      <w:r>
        <w:rPr>
          <w:szCs w:val="24"/>
          <w:lang w:eastAsia="zh-CN"/>
        </w:rPr>
        <w:t>C17/43</w:t>
      </w:r>
      <w:r>
        <w:rPr>
          <w:rFonts w:hint="eastAsia"/>
          <w:szCs w:val="24"/>
          <w:lang w:eastAsia="zh-CN"/>
        </w:rPr>
        <w:t>号文件），</w:t>
      </w:r>
    </w:p>
    <w:p w14:paraId="4827B82F" w14:textId="77777777" w:rsidR="00BA54F0" w:rsidRPr="0095101D" w:rsidRDefault="00BA54F0" w:rsidP="00BA54F0">
      <w:pPr>
        <w:pStyle w:val="Call"/>
        <w:rPr>
          <w:szCs w:val="24"/>
          <w:lang w:eastAsia="zh-CN"/>
        </w:rPr>
      </w:pPr>
      <w:r w:rsidRPr="0095101D">
        <w:rPr>
          <w:rFonts w:hint="eastAsia"/>
          <w:iCs/>
          <w:szCs w:val="24"/>
          <w:lang w:eastAsia="zh-CN"/>
        </w:rPr>
        <w:t>做出决定</w:t>
      </w:r>
    </w:p>
    <w:p w14:paraId="4827B830" w14:textId="77777777" w:rsidR="00BA54F0" w:rsidRPr="00BD652F" w:rsidRDefault="00BA54F0" w:rsidP="00BA54F0">
      <w:pPr>
        <w:snapToGrid w:val="0"/>
        <w:ind w:firstLineChars="200" w:firstLine="480"/>
        <w:rPr>
          <w:szCs w:val="24"/>
          <w:lang w:eastAsia="zh-CN"/>
        </w:rPr>
      </w:pPr>
      <w:r>
        <w:rPr>
          <w:rFonts w:hint="eastAsia"/>
          <w:szCs w:val="24"/>
          <w:lang w:eastAsia="zh-CN"/>
        </w:rPr>
        <w:t>继续收取自</w:t>
      </w:r>
      <w:r>
        <w:rPr>
          <w:rFonts w:hint="eastAsia"/>
          <w:szCs w:val="24"/>
          <w:lang w:eastAsia="zh-CN"/>
        </w:rPr>
        <w:t>1993</w:t>
      </w:r>
      <w:r>
        <w:rPr>
          <w:rFonts w:hint="eastAsia"/>
          <w:szCs w:val="24"/>
          <w:lang w:eastAsia="zh-CN"/>
        </w:rPr>
        <w:t>年起实施的</w:t>
      </w:r>
      <w:r>
        <w:rPr>
          <w:color w:val="000000"/>
          <w:lang w:eastAsia="zh-CN"/>
        </w:rPr>
        <w:t>发行方标识</w:t>
      </w:r>
      <w:r>
        <w:rPr>
          <w:rFonts w:ascii="SimSun" w:hAnsi="SimSun" w:cs="SimSun" w:hint="eastAsia"/>
          <w:color w:val="000000"/>
          <w:lang w:eastAsia="zh-CN"/>
        </w:rPr>
        <w:t>号</w:t>
      </w:r>
      <w:r>
        <w:rPr>
          <w:color w:val="000000"/>
          <w:lang w:eastAsia="zh-CN"/>
        </w:rPr>
        <w:t>（</w:t>
      </w:r>
      <w:r>
        <w:rPr>
          <w:color w:val="000000"/>
          <w:lang w:eastAsia="zh-CN"/>
        </w:rPr>
        <w:t>I</w:t>
      </w:r>
      <w:r>
        <w:rPr>
          <w:rFonts w:hint="eastAsia"/>
          <w:color w:val="000000"/>
          <w:lang w:eastAsia="zh-CN"/>
        </w:rPr>
        <w:t>I</w:t>
      </w:r>
      <w:r>
        <w:rPr>
          <w:color w:val="000000"/>
          <w:lang w:eastAsia="zh-CN"/>
        </w:rPr>
        <w:t>N</w:t>
      </w:r>
      <w:r>
        <w:rPr>
          <w:rFonts w:ascii="SimSun" w:hAnsi="SimSun" w:cs="SimSun" w:hint="eastAsia"/>
          <w:color w:val="000000"/>
          <w:lang w:eastAsia="zh-CN"/>
        </w:rPr>
        <w:t>）登记费，作为服务费和维持登记机构的费用，</w:t>
      </w:r>
    </w:p>
    <w:p w14:paraId="4827B831" w14:textId="77777777" w:rsidR="00BA54F0" w:rsidRPr="0095101D" w:rsidRDefault="00BA54F0" w:rsidP="00BA54F0">
      <w:pPr>
        <w:pStyle w:val="Call"/>
        <w:rPr>
          <w:szCs w:val="24"/>
          <w:lang w:eastAsia="zh-CN"/>
        </w:rPr>
      </w:pPr>
      <w:r>
        <w:rPr>
          <w:rFonts w:hint="eastAsia"/>
          <w:iCs/>
          <w:szCs w:val="24"/>
          <w:lang w:eastAsia="zh-CN"/>
        </w:rPr>
        <w:t>进一步</w:t>
      </w:r>
      <w:r w:rsidRPr="0095101D">
        <w:rPr>
          <w:rFonts w:hint="eastAsia"/>
          <w:iCs/>
          <w:szCs w:val="24"/>
          <w:lang w:eastAsia="zh-CN"/>
        </w:rPr>
        <w:t>做出决定</w:t>
      </w:r>
    </w:p>
    <w:p w14:paraId="4827B832" w14:textId="77777777" w:rsidR="00BA54F0" w:rsidRDefault="00BA54F0" w:rsidP="00BA54F0">
      <w:pPr>
        <w:tabs>
          <w:tab w:val="left" w:pos="567"/>
          <w:tab w:val="left" w:pos="1134"/>
          <w:tab w:val="left" w:pos="1701"/>
          <w:tab w:val="left" w:pos="2268"/>
          <w:tab w:val="left" w:pos="2835"/>
        </w:tabs>
        <w:ind w:firstLineChars="200" w:firstLine="480"/>
        <w:rPr>
          <w:szCs w:val="24"/>
          <w:lang w:eastAsia="zh-CN"/>
        </w:rPr>
      </w:pPr>
      <w:r>
        <w:rPr>
          <w:rFonts w:hint="eastAsia"/>
          <w:szCs w:val="24"/>
          <w:lang w:eastAsia="zh-CN"/>
        </w:rPr>
        <w:t>将发放每个号码的登记费规定为</w:t>
      </w:r>
      <w:r>
        <w:rPr>
          <w:rFonts w:hint="eastAsia"/>
          <w:szCs w:val="24"/>
          <w:lang w:eastAsia="zh-CN"/>
        </w:rPr>
        <w:t>150</w:t>
      </w:r>
      <w:r>
        <w:rPr>
          <w:rFonts w:hint="eastAsia"/>
          <w:szCs w:val="24"/>
          <w:lang w:eastAsia="zh-CN"/>
        </w:rPr>
        <w:t>瑞郎，并按每个号码</w:t>
      </w:r>
      <w:r>
        <w:rPr>
          <w:szCs w:val="24"/>
          <w:lang w:eastAsia="zh-CN"/>
        </w:rPr>
        <w:t>100</w:t>
      </w:r>
      <w:r>
        <w:rPr>
          <w:rFonts w:hint="eastAsia"/>
          <w:szCs w:val="24"/>
          <w:lang w:eastAsia="zh-CN"/>
        </w:rPr>
        <w:t>瑞郎对非</w:t>
      </w:r>
      <w:r>
        <w:rPr>
          <w:szCs w:val="24"/>
          <w:lang w:eastAsia="zh-CN"/>
        </w:rPr>
        <w:t>ITU-T</w:t>
      </w:r>
      <w:r>
        <w:rPr>
          <w:rFonts w:hint="eastAsia"/>
          <w:szCs w:val="24"/>
          <w:lang w:eastAsia="zh-CN"/>
        </w:rPr>
        <w:t>和</w:t>
      </w:r>
      <w:r>
        <w:rPr>
          <w:szCs w:val="24"/>
          <w:lang w:eastAsia="zh-CN"/>
        </w:rPr>
        <w:t>ITU-R</w:t>
      </w:r>
      <w:r>
        <w:rPr>
          <w:rFonts w:hint="eastAsia"/>
          <w:szCs w:val="24"/>
          <w:lang w:eastAsia="zh-CN"/>
        </w:rPr>
        <w:t>部门成员收取维护年费，</w:t>
      </w:r>
    </w:p>
    <w:p w14:paraId="4827B833" w14:textId="77777777" w:rsidR="00BA54F0" w:rsidRPr="00DD0920" w:rsidRDefault="00BA54F0" w:rsidP="00BA54F0">
      <w:pPr>
        <w:pStyle w:val="Call"/>
        <w:rPr>
          <w:iCs/>
          <w:szCs w:val="24"/>
          <w:lang w:eastAsia="zh-CN"/>
        </w:rPr>
      </w:pPr>
      <w:r w:rsidRPr="00542EEE">
        <w:rPr>
          <w:rFonts w:hint="eastAsia"/>
          <w:iCs/>
          <w:szCs w:val="24"/>
          <w:lang w:eastAsia="zh-CN"/>
        </w:rPr>
        <w:t>责成秘书长</w:t>
      </w:r>
    </w:p>
    <w:p w14:paraId="4827B834" w14:textId="77777777" w:rsidR="00BA54F0" w:rsidRPr="00BD652F" w:rsidRDefault="00BA54F0" w:rsidP="00BA54F0">
      <w:pPr>
        <w:tabs>
          <w:tab w:val="left" w:pos="567"/>
        </w:tabs>
        <w:rPr>
          <w:szCs w:val="24"/>
          <w:lang w:eastAsia="zh-CN"/>
        </w:rPr>
      </w:pPr>
      <w:r w:rsidRPr="00BD652F">
        <w:rPr>
          <w:szCs w:val="24"/>
          <w:lang w:eastAsia="zh-CN"/>
        </w:rPr>
        <w:t>1</w:t>
      </w:r>
      <w:r w:rsidRPr="00BD652F">
        <w:rPr>
          <w:szCs w:val="24"/>
          <w:lang w:eastAsia="zh-CN"/>
        </w:rPr>
        <w:tab/>
      </w:r>
      <w:r>
        <w:rPr>
          <w:rFonts w:hint="eastAsia"/>
          <w:szCs w:val="24"/>
          <w:lang w:eastAsia="zh-CN"/>
        </w:rPr>
        <w:t>自</w:t>
      </w:r>
      <w:r>
        <w:rPr>
          <w:rFonts w:hint="eastAsia"/>
          <w:szCs w:val="24"/>
          <w:lang w:eastAsia="zh-CN"/>
        </w:rPr>
        <w:t>2018</w:t>
      </w:r>
      <w:r>
        <w:rPr>
          <w:rFonts w:hint="eastAsia"/>
          <w:szCs w:val="24"/>
          <w:lang w:eastAsia="zh-CN"/>
        </w:rPr>
        <w:t>年</w:t>
      </w:r>
      <w:r>
        <w:rPr>
          <w:rFonts w:hint="eastAsia"/>
          <w:szCs w:val="24"/>
          <w:lang w:eastAsia="zh-CN"/>
        </w:rPr>
        <w:t>1</w:t>
      </w:r>
      <w:r>
        <w:rPr>
          <w:rFonts w:hint="eastAsia"/>
          <w:szCs w:val="24"/>
          <w:lang w:eastAsia="zh-CN"/>
        </w:rPr>
        <w:t>月</w:t>
      </w:r>
      <w:r>
        <w:rPr>
          <w:rFonts w:hint="eastAsia"/>
          <w:szCs w:val="24"/>
          <w:lang w:eastAsia="zh-CN"/>
        </w:rPr>
        <w:t>1</w:t>
      </w:r>
      <w:r>
        <w:rPr>
          <w:rFonts w:hint="eastAsia"/>
          <w:szCs w:val="24"/>
          <w:lang w:eastAsia="zh-CN"/>
        </w:rPr>
        <w:t>日起实施本决定；</w:t>
      </w:r>
    </w:p>
    <w:p w14:paraId="4827B835" w14:textId="77777777" w:rsidR="00BA54F0" w:rsidRPr="00BD652F" w:rsidRDefault="00BA54F0" w:rsidP="00BA54F0">
      <w:pPr>
        <w:tabs>
          <w:tab w:val="left" w:pos="567"/>
        </w:tabs>
        <w:rPr>
          <w:szCs w:val="24"/>
          <w:lang w:eastAsia="zh-CN"/>
        </w:rPr>
      </w:pPr>
      <w:r w:rsidRPr="00BD652F">
        <w:rPr>
          <w:szCs w:val="24"/>
          <w:lang w:eastAsia="zh-CN"/>
        </w:rPr>
        <w:t>2</w:t>
      </w:r>
      <w:r w:rsidRPr="00BD652F">
        <w:rPr>
          <w:szCs w:val="24"/>
          <w:lang w:eastAsia="zh-CN"/>
        </w:rPr>
        <w:tab/>
      </w:r>
      <w:r>
        <w:rPr>
          <w:rFonts w:hint="eastAsia"/>
          <w:szCs w:val="24"/>
          <w:lang w:eastAsia="zh-CN"/>
        </w:rPr>
        <w:t>在《财务工作报告》中向理事会年度会议提交</w:t>
      </w:r>
      <w:r w:rsidRPr="00BD652F">
        <w:rPr>
          <w:szCs w:val="24"/>
          <w:lang w:eastAsia="zh-CN"/>
        </w:rPr>
        <w:t>I</w:t>
      </w:r>
      <w:r>
        <w:rPr>
          <w:rFonts w:hint="eastAsia"/>
          <w:szCs w:val="24"/>
          <w:lang w:eastAsia="zh-CN"/>
        </w:rPr>
        <w:t>I</w:t>
      </w:r>
      <w:r w:rsidRPr="00BD652F">
        <w:rPr>
          <w:szCs w:val="24"/>
          <w:lang w:eastAsia="zh-CN"/>
        </w:rPr>
        <w:t>N</w:t>
      </w:r>
      <w:r>
        <w:rPr>
          <w:rFonts w:hint="eastAsia"/>
          <w:szCs w:val="24"/>
          <w:lang w:eastAsia="zh-CN"/>
        </w:rPr>
        <w:t>的财务状况。</w:t>
      </w:r>
    </w:p>
    <w:p w14:paraId="4827B836" w14:textId="77777777" w:rsidR="0084039B" w:rsidRPr="00FB432E" w:rsidRDefault="0084039B" w:rsidP="0084039B">
      <w:pPr>
        <w:pStyle w:val="Endtext"/>
        <w:rPr>
          <w:lang w:val="fr-FR" w:eastAsia="zh-CN"/>
        </w:rPr>
      </w:pPr>
      <w:r>
        <w:rPr>
          <w:rFonts w:hint="eastAsia"/>
          <w:lang w:eastAsia="zh-CN"/>
        </w:rPr>
        <w:t>参阅</w:t>
      </w:r>
      <w:r w:rsidRPr="00616FB1">
        <w:rPr>
          <w:rFonts w:ascii="STKaiti" w:hAnsi="STKaiti" w:hint="eastAsia"/>
          <w:lang w:eastAsia="zh-CN"/>
        </w:rPr>
        <w:t>：</w:t>
      </w:r>
      <w:r>
        <w:rPr>
          <w:rFonts w:hint="eastAsia"/>
          <w:lang w:eastAsia="zh-CN"/>
        </w:rPr>
        <w:tab/>
      </w:r>
      <w:hyperlink r:id="rId462" w:history="1">
        <w:r w:rsidRPr="008F5265">
          <w:rPr>
            <w:rStyle w:val="Hyperlink"/>
            <w:lang w:val="fr-FR" w:eastAsia="zh-CN"/>
          </w:rPr>
          <w:t>C17/13</w:t>
        </w:r>
        <w:r>
          <w:rPr>
            <w:rStyle w:val="Hyperlink"/>
            <w:lang w:val="fr-FR" w:eastAsia="zh-CN"/>
          </w:rPr>
          <w:t>4</w:t>
        </w:r>
      </w:hyperlink>
      <w:r>
        <w:rPr>
          <w:rFonts w:hint="eastAsia"/>
          <w:lang w:val="fr-FR" w:eastAsia="zh-CN"/>
        </w:rPr>
        <w:t>和</w:t>
      </w:r>
      <w:hyperlink r:id="rId463" w:history="1">
        <w:r w:rsidRPr="003D0791">
          <w:rPr>
            <w:rStyle w:val="Hyperlink"/>
            <w:lang w:eastAsia="zh-CN"/>
          </w:rPr>
          <w:t>C17/140</w:t>
        </w:r>
      </w:hyperlink>
      <w:r>
        <w:rPr>
          <w:rFonts w:hint="eastAsia"/>
          <w:lang w:val="fr-FR" w:eastAsia="zh-CN"/>
        </w:rPr>
        <w:t>号</w:t>
      </w:r>
      <w:r>
        <w:rPr>
          <w:lang w:val="fr-FR" w:eastAsia="zh-CN"/>
        </w:rPr>
        <w:t>文件。</w:t>
      </w:r>
    </w:p>
    <w:p w14:paraId="4827B837" w14:textId="77777777" w:rsidR="00EC41DE" w:rsidRDefault="00EC41DE" w:rsidP="00EC41DE">
      <w:pPr>
        <w:jc w:val="center"/>
        <w:rPr>
          <w:lang w:eastAsia="zh-CN"/>
        </w:rPr>
      </w:pPr>
      <w:r>
        <w:rPr>
          <w:lang w:eastAsia="zh-CN"/>
        </w:rPr>
        <w:t>______________</w:t>
      </w:r>
    </w:p>
    <w:p w14:paraId="4827B838" w14:textId="77777777" w:rsidR="00094EB5" w:rsidRDefault="00094EB5" w:rsidP="00B64353">
      <w:pPr>
        <w:rPr>
          <w:b/>
          <w:lang w:eastAsia="zh-CN"/>
        </w:rPr>
      </w:pPr>
    </w:p>
    <w:p w14:paraId="4827B839" w14:textId="77777777" w:rsidR="00D54ECF" w:rsidRDefault="00D54ECF" w:rsidP="00B64353">
      <w:pPr>
        <w:rPr>
          <w:b/>
          <w:lang w:eastAsia="zh-CN"/>
        </w:rPr>
      </w:pPr>
    </w:p>
    <w:p w14:paraId="4827B83A" w14:textId="77777777" w:rsidR="00094EB5" w:rsidRPr="00D746C3" w:rsidRDefault="00094EB5" w:rsidP="00B64353">
      <w:pPr>
        <w:rPr>
          <w:b/>
          <w:lang w:eastAsia="zh-CN"/>
        </w:rPr>
        <w:sectPr w:rsidR="00094EB5" w:rsidRPr="00D746C3" w:rsidSect="00B974F2">
          <w:headerReference w:type="even" r:id="rId464"/>
          <w:headerReference w:type="default" r:id="rId465"/>
          <w:footerReference w:type="even" r:id="rId466"/>
          <w:footerReference w:type="default" r:id="rId467"/>
          <w:headerReference w:type="first" r:id="rId468"/>
          <w:footerReference w:type="first" r:id="rId469"/>
          <w:footnotePr>
            <w:pos w:val="beneathText"/>
          </w:footnotePr>
          <w:endnotePr>
            <w:numFmt w:val="decimal"/>
          </w:endnotePr>
          <w:pgSz w:w="11907" w:h="16840" w:code="9"/>
          <w:pgMar w:top="1418" w:right="1134" w:bottom="1134" w:left="1134" w:header="737" w:footer="567" w:gutter="284"/>
          <w:cols w:space="720"/>
          <w:vAlign w:val="both"/>
          <w:titlePg/>
        </w:sectPr>
      </w:pPr>
    </w:p>
    <w:p w14:paraId="4827B83B" w14:textId="77777777" w:rsidR="00F11D1D" w:rsidRPr="00D746C3" w:rsidRDefault="00F11D1D" w:rsidP="00152C69">
      <w:pPr>
        <w:pStyle w:val="Chaptitle"/>
        <w:rPr>
          <w:u w:val="single"/>
          <w:lang w:eastAsia="zh-CN"/>
        </w:rPr>
      </w:pPr>
      <w:bookmarkStart w:id="2265" w:name="_Toc81880152"/>
      <w:bookmarkStart w:id="2266" w:name="_Toc161224096"/>
      <w:bookmarkStart w:id="2267" w:name="_Toc161732142"/>
      <w:bookmarkStart w:id="2268" w:name="_Toc161741074"/>
      <w:bookmarkStart w:id="2269" w:name="_Toc185237740"/>
      <w:bookmarkStart w:id="2270" w:name="_Toc311469652"/>
      <w:bookmarkStart w:id="2271" w:name="_Toc424117104"/>
      <w:bookmarkStart w:id="2272" w:name="_Toc531706455"/>
      <w:bookmarkStart w:id="2273" w:name="_Toc531707067"/>
      <w:bookmarkStart w:id="2274" w:name="_Toc531768546"/>
      <w:bookmarkStart w:id="2275" w:name="_Toc16085871"/>
      <w:bookmarkStart w:id="2276" w:name="_Toc86395668"/>
      <w:r w:rsidRPr="00A91440">
        <w:rPr>
          <w:lang w:eastAsia="zh-CN"/>
        </w:rPr>
        <w:lastRenderedPageBreak/>
        <w:t>5.4</w:t>
      </w:r>
      <w:r w:rsidRPr="00A91440">
        <w:rPr>
          <w:lang w:eastAsia="zh-CN"/>
        </w:rPr>
        <w:tab/>
      </w:r>
      <w:bookmarkEnd w:id="2265"/>
      <w:r w:rsidR="00C408E8" w:rsidRPr="00A91440">
        <w:rPr>
          <w:rFonts w:hint="eastAsia"/>
          <w:lang w:eastAsia="zh-CN"/>
        </w:rPr>
        <w:t>电信发展部门</w:t>
      </w:r>
      <w:r w:rsidR="00C408E8" w:rsidRPr="00A91440">
        <w:rPr>
          <w:lang w:eastAsia="zh-CN"/>
        </w:rPr>
        <w:t>（</w:t>
      </w:r>
      <w:r w:rsidR="00C408E8" w:rsidRPr="00A91440">
        <w:rPr>
          <w:lang w:eastAsia="zh-CN"/>
        </w:rPr>
        <w:t>ITU-D</w:t>
      </w:r>
      <w:r w:rsidR="00C408E8" w:rsidRPr="00A91440">
        <w:rPr>
          <w:lang w:eastAsia="zh-CN"/>
        </w:rPr>
        <w:t>）</w:t>
      </w:r>
      <w:bookmarkEnd w:id="2266"/>
      <w:bookmarkEnd w:id="2267"/>
      <w:bookmarkEnd w:id="2268"/>
      <w:bookmarkEnd w:id="2269"/>
      <w:bookmarkEnd w:id="2270"/>
      <w:bookmarkEnd w:id="2271"/>
      <w:bookmarkEnd w:id="2272"/>
      <w:bookmarkEnd w:id="2273"/>
      <w:bookmarkEnd w:id="2274"/>
      <w:bookmarkEnd w:id="2275"/>
      <w:bookmarkEnd w:id="2276"/>
    </w:p>
    <w:p w14:paraId="4827B83C" w14:textId="77777777" w:rsidR="003960F6" w:rsidRPr="003960F6" w:rsidRDefault="00AA601A" w:rsidP="000D18CD">
      <w:pPr>
        <w:pStyle w:val="ResNo"/>
        <w:outlineLvl w:val="0"/>
        <w:rPr>
          <w:lang w:eastAsia="zh-CN"/>
        </w:rPr>
      </w:pPr>
      <w:bookmarkStart w:id="2277" w:name="_Toc424117105"/>
      <w:bookmarkStart w:id="2278" w:name="_Toc531706456"/>
      <w:bookmarkStart w:id="2279" w:name="_Toc531707068"/>
      <w:bookmarkStart w:id="2280" w:name="_Toc531768547"/>
      <w:bookmarkStart w:id="2281" w:name="_Toc16085872"/>
      <w:bookmarkStart w:id="2282" w:name="_Toc86395669"/>
      <w:bookmarkStart w:id="2283" w:name="_Toc161224097"/>
      <w:bookmarkStart w:id="2284" w:name="_Toc161732143"/>
      <w:bookmarkStart w:id="2285" w:name="_Toc161741075"/>
      <w:bookmarkStart w:id="2286" w:name="_Toc185237741"/>
      <w:bookmarkStart w:id="2287" w:name="_Toc311469653"/>
      <w:r w:rsidRPr="003960F6">
        <w:rPr>
          <w:lang w:eastAsia="zh-CN"/>
        </w:rPr>
        <w:t>第</w:t>
      </w:r>
      <w:r w:rsidRPr="003960F6">
        <w:rPr>
          <w:lang w:eastAsia="zh-CN"/>
        </w:rPr>
        <w:t>1114</w:t>
      </w:r>
      <w:r w:rsidRPr="003960F6">
        <w:rPr>
          <w:rFonts w:hint="eastAsia"/>
          <w:lang w:eastAsia="zh-CN"/>
        </w:rPr>
        <w:t>号决议</w:t>
      </w:r>
      <w:r w:rsidR="003960F6">
        <w:rPr>
          <w:rFonts w:hint="eastAsia"/>
          <w:lang w:eastAsia="zh-CN"/>
        </w:rPr>
        <w:t>（</w:t>
      </w:r>
      <w:r w:rsidR="003960F6" w:rsidRPr="003960F6">
        <w:rPr>
          <w:lang w:eastAsia="zh-CN"/>
        </w:rPr>
        <w:t>C-1997</w:t>
      </w:r>
      <w:r w:rsidR="003960F6">
        <w:rPr>
          <w:rFonts w:hint="eastAsia"/>
          <w:lang w:eastAsia="zh-CN"/>
        </w:rPr>
        <w:t>）</w:t>
      </w:r>
      <w:bookmarkEnd w:id="2277"/>
      <w:bookmarkEnd w:id="2278"/>
      <w:bookmarkEnd w:id="2279"/>
      <w:bookmarkEnd w:id="2280"/>
      <w:bookmarkEnd w:id="2281"/>
      <w:bookmarkEnd w:id="2282"/>
    </w:p>
    <w:p w14:paraId="4827B83D" w14:textId="77777777" w:rsidR="00AA601A" w:rsidRPr="003960F6" w:rsidRDefault="00AA601A" w:rsidP="003960F6">
      <w:pPr>
        <w:pStyle w:val="Restitle"/>
        <w:rPr>
          <w:lang w:eastAsia="zh-CN"/>
        </w:rPr>
      </w:pPr>
      <w:bookmarkStart w:id="2288" w:name="_Toc424116260"/>
      <w:bookmarkStart w:id="2289" w:name="_Toc424117106"/>
      <w:bookmarkStart w:id="2290" w:name="_Toc460248219"/>
      <w:bookmarkStart w:id="2291" w:name="_Toc531706457"/>
      <w:bookmarkStart w:id="2292" w:name="_Toc531707069"/>
      <w:bookmarkStart w:id="2293" w:name="_Toc531768548"/>
      <w:bookmarkStart w:id="2294" w:name="_Toc16085873"/>
      <w:bookmarkStart w:id="2295" w:name="_Toc86395670"/>
      <w:r w:rsidRPr="003960F6">
        <w:rPr>
          <w:rFonts w:hint="eastAsia"/>
          <w:lang w:eastAsia="zh-CN"/>
        </w:rPr>
        <w:t>区域代表处</w:t>
      </w:r>
      <w:bookmarkEnd w:id="2283"/>
      <w:bookmarkEnd w:id="2284"/>
      <w:bookmarkEnd w:id="2285"/>
      <w:bookmarkEnd w:id="2286"/>
      <w:bookmarkEnd w:id="2287"/>
      <w:bookmarkEnd w:id="2288"/>
      <w:bookmarkEnd w:id="2289"/>
      <w:bookmarkEnd w:id="2290"/>
      <w:bookmarkEnd w:id="2291"/>
      <w:bookmarkEnd w:id="2292"/>
      <w:bookmarkEnd w:id="2293"/>
      <w:bookmarkEnd w:id="2294"/>
      <w:bookmarkEnd w:id="2295"/>
    </w:p>
    <w:p w14:paraId="4827B83E" w14:textId="77777777" w:rsidR="00AA601A" w:rsidRPr="003960F6" w:rsidRDefault="00AA601A" w:rsidP="003960F6">
      <w:pPr>
        <w:pStyle w:val="Normalaftertitle"/>
        <w:rPr>
          <w:lang w:eastAsia="zh-CN"/>
        </w:rPr>
      </w:pPr>
      <w:r w:rsidRPr="003960F6">
        <w:rPr>
          <w:rFonts w:hint="eastAsia"/>
          <w:lang w:eastAsia="zh-CN"/>
        </w:rPr>
        <w:t>理事会，</w:t>
      </w:r>
    </w:p>
    <w:p w14:paraId="4827B83F" w14:textId="77777777" w:rsidR="00AA601A" w:rsidRDefault="00AA601A" w:rsidP="00B64353">
      <w:pPr>
        <w:pStyle w:val="Call"/>
        <w:rPr>
          <w:lang w:eastAsia="zh-CN"/>
        </w:rPr>
      </w:pPr>
      <w:r>
        <w:rPr>
          <w:rFonts w:hint="eastAsia"/>
          <w:lang w:eastAsia="zh-CN"/>
        </w:rPr>
        <w:t>考虑到</w:t>
      </w:r>
    </w:p>
    <w:p w14:paraId="4827B840" w14:textId="77777777" w:rsidR="00AA601A" w:rsidRDefault="00AA601A" w:rsidP="00B64353">
      <w:pPr>
        <w:spacing w:before="100"/>
        <w:rPr>
          <w:lang w:eastAsia="zh-CN"/>
        </w:rPr>
      </w:pPr>
      <w:r w:rsidRPr="00B72C24">
        <w:rPr>
          <w:i/>
          <w:iCs/>
          <w:lang w:eastAsia="zh-CN"/>
        </w:rPr>
        <w:t>a</w:t>
      </w:r>
      <w:r w:rsidR="000E6A83" w:rsidRPr="00B72C24">
        <w:rPr>
          <w:i/>
          <w:iCs/>
          <w:lang w:eastAsia="zh-CN"/>
        </w:rPr>
        <w:t>)</w:t>
      </w:r>
      <w:r w:rsidR="000E6A83">
        <w:rPr>
          <w:lang w:eastAsia="zh-CN"/>
        </w:rPr>
        <w:tab/>
      </w:r>
      <w:r>
        <w:rPr>
          <w:rFonts w:ascii="SimSun" w:hAnsi="SimSun" w:hint="eastAsia"/>
          <w:lang w:eastAsia="zh-CN"/>
        </w:rPr>
        <w:t>全权代表大会第</w:t>
      </w:r>
      <w:r w:rsidRPr="001F47DB">
        <w:rPr>
          <w:lang w:eastAsia="zh-CN"/>
        </w:rPr>
        <w:t>25</w:t>
      </w:r>
      <w:r>
        <w:rPr>
          <w:rFonts w:ascii="SimSun" w:hAnsi="SimSun" w:hint="eastAsia"/>
          <w:lang w:eastAsia="zh-CN"/>
        </w:rPr>
        <w:t>号决议</w:t>
      </w:r>
      <w:r>
        <w:rPr>
          <w:rFonts w:ascii="SimSun" w:hAnsi="SimSun"/>
          <w:lang w:eastAsia="zh-CN"/>
        </w:rPr>
        <w:t>（</w:t>
      </w:r>
      <w:r>
        <w:rPr>
          <w:lang w:eastAsia="zh-CN"/>
        </w:rPr>
        <w:t>1994</w:t>
      </w:r>
      <w:r>
        <w:rPr>
          <w:rFonts w:ascii="SimSun" w:hAnsi="SimSun" w:hint="eastAsia"/>
          <w:lang w:eastAsia="zh-CN"/>
        </w:rPr>
        <w:t>年，京都</w:t>
      </w:r>
      <w:r>
        <w:rPr>
          <w:rFonts w:ascii="SimSun" w:hAnsi="SimSun"/>
          <w:lang w:eastAsia="zh-CN"/>
        </w:rPr>
        <w:t>）</w:t>
      </w:r>
      <w:r>
        <w:rPr>
          <w:rFonts w:ascii="SimSun" w:hAnsi="SimSun" w:hint="eastAsia"/>
          <w:lang w:eastAsia="zh-CN"/>
        </w:rPr>
        <w:t>；</w:t>
      </w:r>
    </w:p>
    <w:p w14:paraId="4827B841" w14:textId="77777777" w:rsidR="00AA601A" w:rsidRDefault="00AA601A" w:rsidP="00B64353">
      <w:pPr>
        <w:spacing w:before="100"/>
        <w:rPr>
          <w:lang w:eastAsia="zh-CN"/>
        </w:rPr>
      </w:pPr>
      <w:r w:rsidRPr="00B72C24">
        <w:rPr>
          <w:i/>
          <w:iCs/>
          <w:lang w:eastAsia="zh-CN"/>
        </w:rPr>
        <w:t>b</w:t>
      </w:r>
      <w:r w:rsidR="000E6A83" w:rsidRPr="00B72C24">
        <w:rPr>
          <w:i/>
          <w:iCs/>
          <w:lang w:eastAsia="zh-CN"/>
        </w:rPr>
        <w:t>)</w:t>
      </w:r>
      <w:r w:rsidR="000E6A83">
        <w:rPr>
          <w:lang w:eastAsia="zh-CN"/>
        </w:rPr>
        <w:tab/>
      </w:r>
      <w:r>
        <w:rPr>
          <w:rFonts w:ascii="SimSun" w:hAnsi="SimSun" w:hint="eastAsia"/>
          <w:lang w:eastAsia="zh-CN"/>
        </w:rPr>
        <w:t>专家小组在</w:t>
      </w:r>
      <w:r>
        <w:rPr>
          <w:lang w:val="en-US" w:eastAsia="zh-CN"/>
        </w:rPr>
        <w:t>C96/60</w:t>
      </w:r>
      <w:r>
        <w:rPr>
          <w:rFonts w:ascii="SimSun" w:hAnsi="SimSun" w:hint="eastAsia"/>
          <w:lang w:eastAsia="zh-CN"/>
        </w:rPr>
        <w:t>号文件中提交给</w:t>
      </w:r>
      <w:r w:rsidR="004E502C">
        <w:rPr>
          <w:rFonts w:ascii="SimSun" w:hAnsi="SimSun" w:hint="eastAsia"/>
          <w:lang w:eastAsia="zh-CN"/>
        </w:rPr>
        <w:t>理事会</w:t>
      </w:r>
      <w:r>
        <w:rPr>
          <w:lang w:eastAsia="zh-CN"/>
        </w:rPr>
        <w:t>1996</w:t>
      </w:r>
      <w:r>
        <w:rPr>
          <w:rFonts w:ascii="SimSun" w:hAnsi="SimSun" w:hint="eastAsia"/>
          <w:lang w:eastAsia="zh-CN"/>
        </w:rPr>
        <w:t>年会</w:t>
      </w:r>
      <w:r w:rsidR="004E502C">
        <w:rPr>
          <w:rFonts w:ascii="SimSun" w:hAnsi="SimSun" w:hint="eastAsia"/>
          <w:lang w:eastAsia="zh-CN"/>
        </w:rPr>
        <w:t>议</w:t>
      </w:r>
      <w:r>
        <w:rPr>
          <w:rFonts w:ascii="SimSun" w:hAnsi="SimSun" w:hint="eastAsia"/>
          <w:lang w:eastAsia="zh-CN"/>
        </w:rPr>
        <w:t>的关于国际电联区域代表处的评估报告；</w:t>
      </w:r>
    </w:p>
    <w:p w14:paraId="4827B842" w14:textId="77777777" w:rsidR="00AA601A" w:rsidRDefault="00AA601A" w:rsidP="00B64353">
      <w:pPr>
        <w:spacing w:before="100"/>
        <w:rPr>
          <w:lang w:eastAsia="zh-CN"/>
        </w:rPr>
      </w:pPr>
      <w:r w:rsidRPr="00B72C24">
        <w:rPr>
          <w:i/>
          <w:iCs/>
          <w:lang w:eastAsia="zh-CN"/>
        </w:rPr>
        <w:t>c</w:t>
      </w:r>
      <w:r w:rsidR="000E6A83" w:rsidRPr="00B72C24">
        <w:rPr>
          <w:i/>
          <w:iCs/>
          <w:lang w:eastAsia="zh-CN"/>
        </w:rPr>
        <w:t>)</w:t>
      </w:r>
      <w:r w:rsidR="000E6A83">
        <w:rPr>
          <w:lang w:eastAsia="zh-CN"/>
        </w:rPr>
        <w:tab/>
      </w:r>
      <w:r w:rsidR="004E502C">
        <w:rPr>
          <w:rFonts w:hint="eastAsia"/>
          <w:lang w:eastAsia="zh-CN"/>
        </w:rPr>
        <w:t>理事会</w:t>
      </w:r>
      <w:r w:rsidRPr="004E502C">
        <w:rPr>
          <w:lang w:eastAsia="zh-CN"/>
        </w:rPr>
        <w:t>1996</w:t>
      </w:r>
      <w:r>
        <w:rPr>
          <w:rFonts w:ascii="SimSun" w:hAnsi="SimSun" w:hint="eastAsia"/>
          <w:lang w:eastAsia="zh-CN"/>
        </w:rPr>
        <w:t>年会</w:t>
      </w:r>
      <w:r w:rsidR="004E502C">
        <w:rPr>
          <w:rFonts w:ascii="SimSun" w:hAnsi="SimSun" w:hint="eastAsia"/>
          <w:lang w:eastAsia="zh-CN"/>
        </w:rPr>
        <w:t>议</w:t>
      </w:r>
      <w:r>
        <w:rPr>
          <w:rFonts w:ascii="SimSun" w:hAnsi="SimSun" w:hint="eastAsia"/>
          <w:lang w:eastAsia="zh-CN"/>
        </w:rPr>
        <w:t>通过的关于区域代表处的建议；</w:t>
      </w:r>
    </w:p>
    <w:p w14:paraId="4827B843" w14:textId="77777777" w:rsidR="00AA601A" w:rsidRDefault="00AA601A" w:rsidP="00B64353">
      <w:pPr>
        <w:spacing w:before="100"/>
        <w:rPr>
          <w:lang w:eastAsia="zh-CN"/>
        </w:rPr>
      </w:pPr>
      <w:r w:rsidRPr="00B72C24">
        <w:rPr>
          <w:i/>
          <w:iCs/>
          <w:lang w:eastAsia="zh-CN"/>
        </w:rPr>
        <w:t>d</w:t>
      </w:r>
      <w:r w:rsidR="000E6A83" w:rsidRPr="00B72C24">
        <w:rPr>
          <w:i/>
          <w:iCs/>
          <w:lang w:eastAsia="zh-CN"/>
        </w:rPr>
        <w:t>)</w:t>
      </w:r>
      <w:r w:rsidR="000E6A83">
        <w:rPr>
          <w:lang w:eastAsia="zh-CN"/>
        </w:rPr>
        <w:tab/>
      </w:r>
      <w:r>
        <w:rPr>
          <w:rFonts w:ascii="SimSun" w:hAnsi="SimSun" w:hint="eastAsia"/>
          <w:lang w:eastAsia="zh-CN"/>
        </w:rPr>
        <w:t>关于实施上述</w:t>
      </w:r>
      <w:r w:rsidRPr="001F47DB">
        <w:rPr>
          <w:lang w:eastAsia="zh-CN"/>
        </w:rPr>
        <w:t>c</w:t>
      </w:r>
      <w:r w:rsidR="00CC7643">
        <w:rPr>
          <w:lang w:eastAsia="zh-CN"/>
        </w:rPr>
        <w:t>)</w:t>
      </w:r>
      <w:r>
        <w:rPr>
          <w:rFonts w:ascii="SimSun" w:hAnsi="SimSun" w:hint="eastAsia"/>
          <w:lang w:eastAsia="zh-CN"/>
        </w:rPr>
        <w:t>中提及的建议的</w:t>
      </w:r>
      <w:r>
        <w:rPr>
          <w:lang w:eastAsia="zh-CN"/>
        </w:rPr>
        <w:t>C97/9</w:t>
      </w:r>
      <w:r>
        <w:rPr>
          <w:rFonts w:ascii="SimSun" w:hAnsi="SimSun" w:hint="eastAsia"/>
          <w:lang w:eastAsia="zh-CN"/>
        </w:rPr>
        <w:t>号文件中的提议，</w:t>
      </w:r>
    </w:p>
    <w:p w14:paraId="4827B844" w14:textId="77777777" w:rsidR="00AA601A" w:rsidRPr="006F4CAC" w:rsidRDefault="00AA601A" w:rsidP="00B64353">
      <w:pPr>
        <w:pStyle w:val="Call"/>
        <w:rPr>
          <w:lang w:eastAsia="zh-CN"/>
        </w:rPr>
      </w:pPr>
      <w:r w:rsidRPr="006F4CAC">
        <w:rPr>
          <w:rFonts w:hint="eastAsia"/>
          <w:lang w:eastAsia="zh-CN"/>
        </w:rPr>
        <w:t>重申</w:t>
      </w:r>
    </w:p>
    <w:p w14:paraId="4827B845" w14:textId="77777777" w:rsidR="00AA601A" w:rsidRDefault="00AA601A" w:rsidP="00B64353">
      <w:pPr>
        <w:rPr>
          <w:lang w:eastAsia="zh-CN"/>
        </w:rPr>
      </w:pPr>
      <w:r w:rsidRPr="00B72C24">
        <w:rPr>
          <w:i/>
          <w:iCs/>
          <w:lang w:eastAsia="zh-CN"/>
        </w:rPr>
        <w:t>a</w:t>
      </w:r>
      <w:r w:rsidR="000E6A83" w:rsidRPr="00B72C24">
        <w:rPr>
          <w:i/>
          <w:iCs/>
          <w:lang w:eastAsia="zh-CN"/>
        </w:rPr>
        <w:t>)</w:t>
      </w:r>
      <w:r w:rsidR="000E6A83">
        <w:rPr>
          <w:lang w:eastAsia="zh-CN"/>
        </w:rPr>
        <w:tab/>
      </w:r>
      <w:r>
        <w:rPr>
          <w:rFonts w:ascii="SimSun" w:hAnsi="SimSun" w:hint="eastAsia"/>
          <w:iCs/>
          <w:lang w:eastAsia="zh-CN"/>
        </w:rPr>
        <w:t>区域代表处对于完成国际电联发展使命的重要性；</w:t>
      </w:r>
    </w:p>
    <w:p w14:paraId="4827B846" w14:textId="77777777" w:rsidR="00AA601A" w:rsidRDefault="00AA601A" w:rsidP="00B64353">
      <w:pPr>
        <w:rPr>
          <w:lang w:eastAsia="zh-CN"/>
        </w:rPr>
      </w:pPr>
      <w:r w:rsidRPr="00B72C24">
        <w:rPr>
          <w:i/>
          <w:iCs/>
          <w:lang w:eastAsia="zh-CN"/>
        </w:rPr>
        <w:t>b</w:t>
      </w:r>
      <w:r w:rsidR="000E6A83" w:rsidRPr="00B72C24">
        <w:rPr>
          <w:i/>
          <w:iCs/>
          <w:lang w:eastAsia="zh-CN"/>
        </w:rPr>
        <w:t>)</w:t>
      </w:r>
      <w:r w:rsidR="000E6A83">
        <w:rPr>
          <w:lang w:eastAsia="zh-CN"/>
        </w:rPr>
        <w:tab/>
      </w:r>
      <w:r>
        <w:rPr>
          <w:rFonts w:ascii="SimSun" w:hAnsi="SimSun" w:hint="eastAsia"/>
          <w:iCs/>
          <w:lang w:eastAsia="zh-CN"/>
        </w:rPr>
        <w:t>有必要对区域代表处的组织及活动进行调整以适应每个区域的需要；</w:t>
      </w:r>
    </w:p>
    <w:p w14:paraId="4827B847" w14:textId="77777777" w:rsidR="00AA601A" w:rsidRDefault="00AA601A" w:rsidP="00B64353">
      <w:pPr>
        <w:rPr>
          <w:lang w:eastAsia="zh-CN"/>
        </w:rPr>
      </w:pPr>
      <w:r w:rsidRPr="00B72C24">
        <w:rPr>
          <w:i/>
          <w:iCs/>
          <w:lang w:eastAsia="zh-CN"/>
        </w:rPr>
        <w:t>c</w:t>
      </w:r>
      <w:r w:rsidR="000E6A83" w:rsidRPr="00B72C24">
        <w:rPr>
          <w:i/>
          <w:iCs/>
          <w:lang w:eastAsia="zh-CN"/>
        </w:rPr>
        <w:t>)</w:t>
      </w:r>
      <w:r w:rsidR="000E6A83">
        <w:rPr>
          <w:lang w:eastAsia="zh-CN"/>
        </w:rPr>
        <w:tab/>
      </w:r>
      <w:r>
        <w:rPr>
          <w:rFonts w:hint="eastAsia"/>
          <w:lang w:eastAsia="zh-CN"/>
        </w:rPr>
        <w:t>有必</w:t>
      </w:r>
      <w:r>
        <w:rPr>
          <w:rFonts w:ascii="SimSun" w:hAnsi="SimSun" w:hint="eastAsia"/>
          <w:iCs/>
          <w:lang w:eastAsia="zh-CN"/>
        </w:rPr>
        <w:t>要增强区域代表处在全世界所有地区的有用性和有效性，特别是通过在适当时将其活动范围扩展到国际电联承担的所有活动来实现这种增强，</w:t>
      </w:r>
    </w:p>
    <w:p w14:paraId="4827B848" w14:textId="77777777" w:rsidR="00AA601A" w:rsidRDefault="00AA601A" w:rsidP="00B64353">
      <w:pPr>
        <w:pStyle w:val="Call"/>
        <w:rPr>
          <w:lang w:eastAsia="zh-CN"/>
        </w:rPr>
      </w:pPr>
      <w:r w:rsidRPr="006F4CAC">
        <w:rPr>
          <w:rFonts w:hint="eastAsia"/>
          <w:lang w:eastAsia="zh-CN"/>
        </w:rPr>
        <w:t>考虑到</w:t>
      </w:r>
    </w:p>
    <w:p w14:paraId="4827B849" w14:textId="77777777" w:rsidR="00AA601A" w:rsidRDefault="00AA601A" w:rsidP="00B64353">
      <w:pPr>
        <w:rPr>
          <w:lang w:eastAsia="zh-CN"/>
        </w:rPr>
      </w:pPr>
      <w:r w:rsidRPr="00B72C24">
        <w:rPr>
          <w:i/>
          <w:iCs/>
          <w:lang w:eastAsia="zh-CN"/>
        </w:rPr>
        <w:t>a</w:t>
      </w:r>
      <w:r w:rsidR="000E6A83" w:rsidRPr="00B72C24">
        <w:rPr>
          <w:i/>
          <w:iCs/>
          <w:lang w:eastAsia="zh-CN"/>
        </w:rPr>
        <w:t>)</w:t>
      </w:r>
      <w:r w:rsidR="000E6A83">
        <w:rPr>
          <w:lang w:eastAsia="zh-CN"/>
        </w:rPr>
        <w:tab/>
      </w:r>
      <w:r>
        <w:rPr>
          <w:rFonts w:ascii="SimSun" w:hAnsi="SimSun" w:hint="eastAsia"/>
          <w:iCs/>
          <w:lang w:eastAsia="zh-CN"/>
        </w:rPr>
        <w:t>电信发展局为有效地满足区域代表处的需求目前所掌握的有限资源；</w:t>
      </w:r>
    </w:p>
    <w:p w14:paraId="4827B84A" w14:textId="77777777" w:rsidR="00AA601A" w:rsidRDefault="00AA601A" w:rsidP="00B64353">
      <w:pPr>
        <w:rPr>
          <w:lang w:eastAsia="zh-CN"/>
        </w:rPr>
      </w:pPr>
      <w:r w:rsidRPr="00B72C24">
        <w:rPr>
          <w:i/>
          <w:iCs/>
          <w:lang w:eastAsia="zh-CN"/>
        </w:rPr>
        <w:t>b</w:t>
      </w:r>
      <w:r w:rsidR="000E6A83" w:rsidRPr="00B72C24">
        <w:rPr>
          <w:i/>
          <w:iCs/>
          <w:lang w:eastAsia="zh-CN"/>
        </w:rPr>
        <w:t>)</w:t>
      </w:r>
      <w:r w:rsidR="000E6A83">
        <w:rPr>
          <w:lang w:eastAsia="zh-CN"/>
        </w:rPr>
        <w:tab/>
      </w:r>
      <w:r>
        <w:rPr>
          <w:rFonts w:ascii="SimSun" w:hAnsi="SimSun" w:hint="eastAsia"/>
          <w:iCs/>
          <w:lang w:eastAsia="zh-CN"/>
        </w:rPr>
        <w:t>正在进行的预算改革带来的前景</w:t>
      </w:r>
      <w:r>
        <w:rPr>
          <w:rFonts w:ascii="SimSun" w:hAnsi="SimSun"/>
          <w:iCs/>
          <w:lang w:eastAsia="zh-CN"/>
        </w:rPr>
        <w:t>,</w:t>
      </w:r>
      <w:r>
        <w:rPr>
          <w:rFonts w:ascii="SimSun" w:hAnsi="SimSun" w:hint="eastAsia"/>
          <w:iCs/>
          <w:lang w:eastAsia="zh-CN"/>
        </w:rPr>
        <w:t>特别是由于电信展盈余资金的使用，“项目管理”方法和成本回收，</w:t>
      </w:r>
    </w:p>
    <w:p w14:paraId="4827B84B" w14:textId="77777777" w:rsidR="00AA601A" w:rsidRDefault="00AA601A" w:rsidP="00B64353">
      <w:pPr>
        <w:rPr>
          <w:lang w:eastAsia="zh-CN"/>
        </w:rPr>
      </w:pPr>
      <w:r>
        <w:rPr>
          <w:lang w:eastAsia="zh-CN"/>
        </w:rPr>
        <w:tab/>
      </w:r>
      <w:r>
        <w:rPr>
          <w:rFonts w:eastAsia="STKaiti" w:hint="eastAsia"/>
          <w:iCs/>
          <w:lang w:eastAsia="zh-CN"/>
        </w:rPr>
        <w:t>认识到</w:t>
      </w:r>
      <w:r>
        <w:rPr>
          <w:rFonts w:ascii="SimSun" w:hAnsi="SimSun" w:hint="eastAsia"/>
          <w:lang w:eastAsia="zh-CN"/>
        </w:rPr>
        <w:t>需要最佳使用可用的资源以满足迫切需要，</w:t>
      </w:r>
    </w:p>
    <w:p w14:paraId="4827B84C" w14:textId="77777777" w:rsidR="00AA601A" w:rsidRDefault="00AA601A" w:rsidP="00B64353">
      <w:pPr>
        <w:rPr>
          <w:lang w:eastAsia="zh-CN"/>
        </w:rPr>
      </w:pPr>
      <w:r>
        <w:rPr>
          <w:lang w:eastAsia="zh-CN"/>
        </w:rPr>
        <w:tab/>
      </w:r>
      <w:r>
        <w:rPr>
          <w:rFonts w:eastAsia="STKaiti" w:hint="eastAsia"/>
          <w:iCs/>
          <w:lang w:eastAsia="zh-CN"/>
        </w:rPr>
        <w:t>做出决议</w:t>
      </w:r>
      <w:r>
        <w:rPr>
          <w:rFonts w:ascii="SimSun" w:hAnsi="SimSun" w:hint="eastAsia"/>
          <w:lang w:eastAsia="zh-CN"/>
        </w:rPr>
        <w:t>按以下方式组织区域代表处：</w:t>
      </w:r>
    </w:p>
    <w:p w14:paraId="4827B84D" w14:textId="77777777" w:rsidR="00AA601A" w:rsidRDefault="00AA601A" w:rsidP="005F7760">
      <w:pPr>
        <w:pStyle w:val="Headingb"/>
        <w:rPr>
          <w:lang w:eastAsia="zh-CN"/>
        </w:rPr>
      </w:pPr>
      <w:r>
        <w:rPr>
          <w:lang w:eastAsia="zh-CN"/>
        </w:rPr>
        <w:t>A.</w:t>
      </w:r>
      <w:r>
        <w:rPr>
          <w:lang w:eastAsia="zh-CN"/>
        </w:rPr>
        <w:tab/>
      </w:r>
      <w:r>
        <w:rPr>
          <w:rFonts w:ascii="SimSun" w:hAnsi="SimSun" w:hint="eastAsia"/>
          <w:lang w:eastAsia="zh-CN"/>
        </w:rPr>
        <w:t>非洲</w:t>
      </w:r>
    </w:p>
    <w:p w14:paraId="4827B84E" w14:textId="77777777" w:rsidR="00AA601A" w:rsidRDefault="00616FB1" w:rsidP="00C5063C">
      <w:pPr>
        <w:pStyle w:val="enumlev1"/>
        <w:rPr>
          <w:lang w:eastAsia="zh-CN"/>
        </w:rPr>
      </w:pPr>
      <w:r>
        <w:rPr>
          <w:lang w:eastAsia="zh-CN"/>
        </w:rPr>
        <w:t>•</w:t>
      </w:r>
      <w:r>
        <w:rPr>
          <w:lang w:eastAsia="zh-CN"/>
        </w:rPr>
        <w:tab/>
      </w:r>
      <w:r w:rsidR="00AA601A">
        <w:rPr>
          <w:rFonts w:hint="eastAsia"/>
          <w:lang w:eastAsia="zh-CN"/>
        </w:rPr>
        <w:t>在达卡尔</w:t>
      </w:r>
      <w:r w:rsidR="00AA601A">
        <w:rPr>
          <w:lang w:eastAsia="zh-CN"/>
        </w:rPr>
        <w:t>（</w:t>
      </w:r>
      <w:r w:rsidR="00AA601A">
        <w:rPr>
          <w:rFonts w:hint="eastAsia"/>
          <w:lang w:eastAsia="zh-CN"/>
        </w:rPr>
        <w:t>塞内加尔</w:t>
      </w:r>
      <w:r w:rsidR="00AA601A">
        <w:rPr>
          <w:lang w:eastAsia="zh-CN"/>
        </w:rPr>
        <w:t>）</w:t>
      </w:r>
      <w:r w:rsidR="00AA601A">
        <w:rPr>
          <w:rFonts w:hint="eastAsia"/>
          <w:lang w:eastAsia="zh-CN"/>
        </w:rPr>
        <w:t>设立西非和中非区域代表处；</w:t>
      </w:r>
    </w:p>
    <w:p w14:paraId="4827B84F" w14:textId="77777777" w:rsidR="00AA601A" w:rsidRDefault="00AA601A" w:rsidP="00C5063C">
      <w:pPr>
        <w:pStyle w:val="enumlev1"/>
        <w:rPr>
          <w:lang w:eastAsia="zh-CN"/>
        </w:rPr>
      </w:pPr>
      <w:r>
        <w:rPr>
          <w:lang w:eastAsia="zh-CN"/>
        </w:rPr>
        <w:t>•</w:t>
      </w:r>
      <w:r>
        <w:rPr>
          <w:lang w:eastAsia="zh-CN"/>
        </w:rPr>
        <w:tab/>
      </w:r>
      <w:r>
        <w:rPr>
          <w:rFonts w:hint="eastAsia"/>
          <w:lang w:eastAsia="zh-CN"/>
        </w:rPr>
        <w:t>在哈拉雷</w:t>
      </w:r>
      <w:r>
        <w:rPr>
          <w:lang w:eastAsia="zh-CN"/>
        </w:rPr>
        <w:t>（</w:t>
      </w:r>
      <w:r>
        <w:rPr>
          <w:rFonts w:hint="eastAsia"/>
          <w:lang w:eastAsia="zh-CN"/>
        </w:rPr>
        <w:t>津巴布韦</w:t>
      </w:r>
      <w:r>
        <w:rPr>
          <w:lang w:eastAsia="zh-CN"/>
        </w:rPr>
        <w:t>）</w:t>
      </w:r>
      <w:r>
        <w:rPr>
          <w:rFonts w:hint="eastAsia"/>
          <w:lang w:eastAsia="zh-CN"/>
        </w:rPr>
        <w:t>或亚的斯亚贝巴</w:t>
      </w:r>
      <w:r>
        <w:rPr>
          <w:lang w:eastAsia="zh-CN"/>
        </w:rPr>
        <w:t>（</w:t>
      </w:r>
      <w:r>
        <w:rPr>
          <w:rFonts w:hint="eastAsia"/>
          <w:lang w:eastAsia="zh-CN"/>
        </w:rPr>
        <w:t>埃塞俄比亚</w:t>
      </w:r>
      <w:r>
        <w:rPr>
          <w:lang w:eastAsia="zh-CN"/>
        </w:rPr>
        <w:t>）</w:t>
      </w:r>
      <w:r>
        <w:rPr>
          <w:rFonts w:hint="eastAsia"/>
          <w:lang w:eastAsia="zh-CN"/>
        </w:rPr>
        <w:t>设立东非和南非区域性代表处；</w:t>
      </w:r>
    </w:p>
    <w:p w14:paraId="4827B850" w14:textId="77777777" w:rsidR="00AA601A" w:rsidRDefault="00616FB1" w:rsidP="00C5063C">
      <w:pPr>
        <w:pStyle w:val="enumlev1"/>
        <w:rPr>
          <w:lang w:eastAsia="zh-CN"/>
        </w:rPr>
      </w:pPr>
      <w:r>
        <w:rPr>
          <w:lang w:eastAsia="zh-CN"/>
        </w:rPr>
        <w:t>•</w:t>
      </w:r>
      <w:r>
        <w:rPr>
          <w:rFonts w:hint="eastAsia"/>
          <w:lang w:eastAsia="zh-CN"/>
        </w:rPr>
        <w:tab/>
      </w:r>
      <w:r w:rsidR="00AA601A">
        <w:rPr>
          <w:rFonts w:hint="eastAsia"/>
          <w:lang w:eastAsia="zh-CN"/>
        </w:rPr>
        <w:t>在雅温得</w:t>
      </w:r>
      <w:r w:rsidR="00AA601A">
        <w:rPr>
          <w:lang w:eastAsia="zh-CN"/>
        </w:rPr>
        <w:t>（</w:t>
      </w:r>
      <w:r w:rsidR="00AA601A">
        <w:rPr>
          <w:rFonts w:hint="eastAsia"/>
          <w:lang w:eastAsia="zh-CN"/>
        </w:rPr>
        <w:t>喀麦隆</w:t>
      </w:r>
      <w:r w:rsidR="00AA601A">
        <w:rPr>
          <w:lang w:eastAsia="zh-CN"/>
        </w:rPr>
        <w:t>）</w:t>
      </w:r>
      <w:r w:rsidR="00AA601A">
        <w:rPr>
          <w:rFonts w:hint="eastAsia"/>
          <w:lang w:eastAsia="zh-CN"/>
        </w:rPr>
        <w:t>设立西非和中非地区办事处，其活动待重新审议；</w:t>
      </w:r>
    </w:p>
    <w:p w14:paraId="4827B851" w14:textId="77777777" w:rsidR="00AA601A" w:rsidRDefault="00616FB1" w:rsidP="00C5063C">
      <w:pPr>
        <w:pStyle w:val="enumlev1"/>
        <w:rPr>
          <w:lang w:eastAsia="zh-CN"/>
        </w:rPr>
      </w:pPr>
      <w:r>
        <w:rPr>
          <w:lang w:eastAsia="zh-CN"/>
        </w:rPr>
        <w:t>•</w:t>
      </w:r>
      <w:r>
        <w:rPr>
          <w:lang w:eastAsia="zh-CN"/>
        </w:rPr>
        <w:tab/>
      </w:r>
      <w:r w:rsidR="00AA601A">
        <w:rPr>
          <w:rFonts w:hint="eastAsia"/>
          <w:lang w:eastAsia="zh-CN"/>
        </w:rPr>
        <w:t>设立东非和南非地区办事处，其活动待重新审议。</w:t>
      </w:r>
    </w:p>
    <w:p w14:paraId="4827B852" w14:textId="77777777" w:rsidR="00EC41DE" w:rsidRDefault="00EC41DE">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4827B853" w14:textId="77777777" w:rsidR="00AA601A" w:rsidRDefault="00AA601A" w:rsidP="005F7760">
      <w:pPr>
        <w:pStyle w:val="Headingb"/>
        <w:rPr>
          <w:lang w:eastAsia="zh-CN"/>
        </w:rPr>
      </w:pPr>
      <w:r>
        <w:rPr>
          <w:lang w:eastAsia="zh-CN"/>
        </w:rPr>
        <w:lastRenderedPageBreak/>
        <w:t>B.</w:t>
      </w:r>
      <w:r>
        <w:rPr>
          <w:lang w:eastAsia="zh-CN"/>
        </w:rPr>
        <w:tab/>
      </w:r>
      <w:r>
        <w:rPr>
          <w:rFonts w:ascii="SimSun" w:hAnsi="SimSun" w:hint="eastAsia"/>
          <w:lang w:eastAsia="zh-CN"/>
        </w:rPr>
        <w:t>亚太区</w:t>
      </w:r>
    </w:p>
    <w:p w14:paraId="4827B854" w14:textId="77777777" w:rsidR="00AA601A" w:rsidRDefault="00616FB1" w:rsidP="00C5063C">
      <w:pPr>
        <w:pStyle w:val="enumlev1"/>
        <w:rPr>
          <w:lang w:eastAsia="zh-CN"/>
        </w:rPr>
      </w:pPr>
      <w:r>
        <w:rPr>
          <w:lang w:eastAsia="zh-CN"/>
        </w:rPr>
        <w:t>•</w:t>
      </w:r>
      <w:r w:rsidR="00AA601A">
        <w:rPr>
          <w:lang w:eastAsia="zh-CN"/>
        </w:rPr>
        <w:tab/>
      </w:r>
      <w:r w:rsidR="00AA601A">
        <w:rPr>
          <w:rFonts w:hint="eastAsia"/>
          <w:lang w:eastAsia="zh-CN"/>
        </w:rPr>
        <w:t>在曼谷</w:t>
      </w:r>
      <w:r w:rsidR="00AA601A">
        <w:rPr>
          <w:lang w:eastAsia="zh-CN"/>
        </w:rPr>
        <w:t>（</w:t>
      </w:r>
      <w:r w:rsidR="00AA601A">
        <w:rPr>
          <w:rFonts w:hint="eastAsia"/>
          <w:lang w:eastAsia="zh-CN"/>
        </w:rPr>
        <w:t>泰国</w:t>
      </w:r>
      <w:r w:rsidR="00AA601A">
        <w:rPr>
          <w:lang w:eastAsia="zh-CN"/>
        </w:rPr>
        <w:t>）</w:t>
      </w:r>
      <w:r w:rsidR="00AA601A">
        <w:rPr>
          <w:rFonts w:hint="eastAsia"/>
          <w:lang w:eastAsia="zh-CN"/>
        </w:rPr>
        <w:t>设立区域代表处；</w:t>
      </w:r>
    </w:p>
    <w:p w14:paraId="4827B855" w14:textId="77777777" w:rsidR="00AA601A" w:rsidRDefault="00616FB1" w:rsidP="00C5063C">
      <w:pPr>
        <w:pStyle w:val="enumlev1"/>
        <w:rPr>
          <w:lang w:eastAsia="zh-CN"/>
        </w:rPr>
      </w:pPr>
      <w:r>
        <w:rPr>
          <w:lang w:eastAsia="zh-CN"/>
        </w:rPr>
        <w:t>•</w:t>
      </w:r>
      <w:r w:rsidR="00AA601A">
        <w:rPr>
          <w:lang w:eastAsia="zh-CN"/>
        </w:rPr>
        <w:tab/>
      </w:r>
      <w:r w:rsidR="00AA601A">
        <w:rPr>
          <w:rFonts w:hint="eastAsia"/>
          <w:lang w:eastAsia="zh-CN"/>
        </w:rPr>
        <w:t>在尼泊尔设立地区办事处，其活动待重新审议；</w:t>
      </w:r>
    </w:p>
    <w:p w14:paraId="4827B856" w14:textId="77777777" w:rsidR="00AA601A" w:rsidRDefault="00616FB1" w:rsidP="00C5063C">
      <w:pPr>
        <w:pStyle w:val="enumlev1"/>
        <w:rPr>
          <w:lang w:eastAsia="zh-CN"/>
        </w:rPr>
      </w:pPr>
      <w:r>
        <w:rPr>
          <w:lang w:eastAsia="zh-CN"/>
        </w:rPr>
        <w:t>•</w:t>
      </w:r>
      <w:r w:rsidR="00AA601A">
        <w:rPr>
          <w:lang w:eastAsia="zh-CN"/>
        </w:rPr>
        <w:tab/>
      </w:r>
      <w:r w:rsidR="00AA601A">
        <w:rPr>
          <w:rFonts w:hint="eastAsia"/>
          <w:lang w:eastAsia="zh-CN"/>
        </w:rPr>
        <w:t>在印度尼西亚设立地区办事处，其活动待重新审议。</w:t>
      </w:r>
    </w:p>
    <w:p w14:paraId="4827B857" w14:textId="77777777" w:rsidR="00AA601A" w:rsidRDefault="00AA601A" w:rsidP="005F7760">
      <w:pPr>
        <w:pStyle w:val="Headingb"/>
        <w:rPr>
          <w:lang w:eastAsia="zh-CN"/>
        </w:rPr>
      </w:pPr>
      <w:r>
        <w:rPr>
          <w:lang w:eastAsia="zh-CN"/>
        </w:rPr>
        <w:t>C.</w:t>
      </w:r>
      <w:r>
        <w:rPr>
          <w:lang w:eastAsia="zh-CN"/>
        </w:rPr>
        <w:tab/>
      </w:r>
      <w:r>
        <w:rPr>
          <w:rFonts w:ascii="SimSun" w:hAnsi="SimSun" w:hint="eastAsia"/>
          <w:lang w:eastAsia="zh-CN"/>
        </w:rPr>
        <w:t>美洲</w:t>
      </w:r>
    </w:p>
    <w:p w14:paraId="4827B858" w14:textId="77777777" w:rsidR="00AA601A" w:rsidRDefault="00616FB1" w:rsidP="00C5063C">
      <w:pPr>
        <w:pStyle w:val="enumlev1"/>
        <w:rPr>
          <w:lang w:eastAsia="zh-CN"/>
        </w:rPr>
      </w:pPr>
      <w:r>
        <w:rPr>
          <w:lang w:eastAsia="zh-CN"/>
        </w:rPr>
        <w:t>•</w:t>
      </w:r>
      <w:r>
        <w:rPr>
          <w:lang w:eastAsia="zh-CN"/>
        </w:rPr>
        <w:tab/>
      </w:r>
      <w:r w:rsidR="00AA601A">
        <w:rPr>
          <w:rFonts w:hint="eastAsia"/>
          <w:lang w:eastAsia="zh-CN"/>
        </w:rPr>
        <w:t>在巴西利亚</w:t>
      </w:r>
      <w:r w:rsidR="00AA601A">
        <w:rPr>
          <w:lang w:eastAsia="zh-CN"/>
        </w:rPr>
        <w:t>（</w:t>
      </w:r>
      <w:r w:rsidR="00AA601A">
        <w:rPr>
          <w:rFonts w:hint="eastAsia"/>
          <w:lang w:eastAsia="zh-CN"/>
        </w:rPr>
        <w:t>巴西</w:t>
      </w:r>
      <w:r w:rsidR="00AA601A">
        <w:rPr>
          <w:lang w:eastAsia="zh-CN"/>
        </w:rPr>
        <w:t>）</w:t>
      </w:r>
      <w:r w:rsidR="00AA601A">
        <w:rPr>
          <w:rFonts w:hint="eastAsia"/>
          <w:lang w:eastAsia="zh-CN"/>
        </w:rPr>
        <w:t>设立区域代表处；</w:t>
      </w:r>
    </w:p>
    <w:p w14:paraId="4827B859" w14:textId="77777777" w:rsidR="00AA601A" w:rsidRDefault="00616FB1" w:rsidP="00C5063C">
      <w:pPr>
        <w:pStyle w:val="enumlev1"/>
        <w:rPr>
          <w:lang w:eastAsia="zh-CN"/>
        </w:rPr>
      </w:pPr>
      <w:r>
        <w:rPr>
          <w:lang w:eastAsia="zh-CN"/>
        </w:rPr>
        <w:t>•</w:t>
      </w:r>
      <w:r>
        <w:rPr>
          <w:lang w:eastAsia="zh-CN"/>
        </w:rPr>
        <w:tab/>
      </w:r>
      <w:r w:rsidR="00AA601A">
        <w:rPr>
          <w:rFonts w:hint="eastAsia"/>
          <w:lang w:eastAsia="zh-CN"/>
        </w:rPr>
        <w:t>在特古西加尔巴</w:t>
      </w:r>
      <w:r w:rsidR="00AA601A">
        <w:rPr>
          <w:lang w:eastAsia="zh-CN"/>
        </w:rPr>
        <w:t>（</w:t>
      </w:r>
      <w:r w:rsidR="00AA601A">
        <w:rPr>
          <w:rFonts w:hint="eastAsia"/>
          <w:lang w:eastAsia="zh-CN"/>
        </w:rPr>
        <w:t>洪都拉斯</w:t>
      </w:r>
      <w:r w:rsidR="00AA601A">
        <w:rPr>
          <w:lang w:eastAsia="zh-CN"/>
        </w:rPr>
        <w:t>）</w:t>
      </w:r>
      <w:r w:rsidR="00AA601A">
        <w:rPr>
          <w:rFonts w:hint="eastAsia"/>
          <w:lang w:eastAsia="zh-CN"/>
        </w:rPr>
        <w:t>设立地区办事处；</w:t>
      </w:r>
    </w:p>
    <w:p w14:paraId="4827B85A" w14:textId="77777777" w:rsidR="00AA601A" w:rsidRDefault="00616FB1" w:rsidP="00C5063C">
      <w:pPr>
        <w:pStyle w:val="enumlev1"/>
        <w:rPr>
          <w:lang w:eastAsia="zh-CN"/>
        </w:rPr>
      </w:pPr>
      <w:r>
        <w:rPr>
          <w:lang w:eastAsia="zh-CN"/>
        </w:rPr>
        <w:t>•</w:t>
      </w:r>
      <w:r>
        <w:rPr>
          <w:lang w:eastAsia="zh-CN"/>
        </w:rPr>
        <w:tab/>
      </w:r>
      <w:r w:rsidR="00AA601A">
        <w:rPr>
          <w:rFonts w:hint="eastAsia"/>
          <w:lang w:eastAsia="zh-CN"/>
        </w:rPr>
        <w:t>在布里奇顿</w:t>
      </w:r>
      <w:r w:rsidR="00AA601A">
        <w:rPr>
          <w:lang w:eastAsia="zh-CN"/>
        </w:rPr>
        <w:t>（</w:t>
      </w:r>
      <w:r w:rsidR="00AA601A">
        <w:rPr>
          <w:rFonts w:hint="eastAsia"/>
          <w:lang w:eastAsia="zh-CN"/>
        </w:rPr>
        <w:t>巴巴多斯</w:t>
      </w:r>
      <w:r w:rsidR="00AA601A">
        <w:rPr>
          <w:lang w:eastAsia="zh-CN"/>
        </w:rPr>
        <w:t>）</w:t>
      </w:r>
      <w:r w:rsidR="00AA601A">
        <w:rPr>
          <w:rFonts w:hint="eastAsia"/>
          <w:lang w:eastAsia="zh-CN"/>
        </w:rPr>
        <w:t>设立地区办事处，其活动待重新审议；</w:t>
      </w:r>
    </w:p>
    <w:p w14:paraId="4827B85B" w14:textId="77777777" w:rsidR="00AA601A" w:rsidRDefault="00616FB1" w:rsidP="00C5063C">
      <w:pPr>
        <w:pStyle w:val="enumlev1"/>
        <w:rPr>
          <w:lang w:eastAsia="zh-CN"/>
        </w:rPr>
      </w:pPr>
      <w:r>
        <w:rPr>
          <w:lang w:eastAsia="zh-CN"/>
        </w:rPr>
        <w:t>•</w:t>
      </w:r>
      <w:r>
        <w:rPr>
          <w:lang w:eastAsia="zh-CN"/>
        </w:rPr>
        <w:tab/>
      </w:r>
      <w:r w:rsidR="00AA601A">
        <w:rPr>
          <w:rFonts w:hint="eastAsia"/>
          <w:lang w:eastAsia="zh-CN"/>
        </w:rPr>
        <w:t>在圣地亚哥</w:t>
      </w:r>
      <w:r w:rsidR="00AA601A">
        <w:rPr>
          <w:lang w:eastAsia="zh-CN"/>
        </w:rPr>
        <w:t>（</w:t>
      </w:r>
      <w:r w:rsidR="00AA601A">
        <w:rPr>
          <w:rFonts w:hint="eastAsia"/>
          <w:lang w:eastAsia="zh-CN"/>
        </w:rPr>
        <w:t>智利</w:t>
      </w:r>
      <w:r w:rsidR="00AA601A">
        <w:rPr>
          <w:lang w:eastAsia="zh-CN"/>
        </w:rPr>
        <w:t>）</w:t>
      </w:r>
      <w:r w:rsidR="00AA601A">
        <w:rPr>
          <w:rFonts w:hint="eastAsia"/>
          <w:lang w:eastAsia="zh-CN"/>
        </w:rPr>
        <w:t>设立地区办事处，其活动待重新审议。</w:t>
      </w:r>
    </w:p>
    <w:p w14:paraId="4827B85C" w14:textId="77777777" w:rsidR="00AA601A" w:rsidRDefault="00AA601A" w:rsidP="005F7760">
      <w:pPr>
        <w:pStyle w:val="Headingb"/>
        <w:rPr>
          <w:bCs/>
          <w:lang w:eastAsia="zh-CN"/>
        </w:rPr>
      </w:pPr>
      <w:r>
        <w:rPr>
          <w:bCs/>
          <w:lang w:eastAsia="zh-CN"/>
        </w:rPr>
        <w:t>D.</w:t>
      </w:r>
      <w:r>
        <w:rPr>
          <w:bCs/>
          <w:lang w:eastAsia="zh-CN"/>
        </w:rPr>
        <w:tab/>
      </w:r>
      <w:r>
        <w:rPr>
          <w:rFonts w:hint="eastAsia"/>
          <w:lang w:eastAsia="zh-CN"/>
        </w:rPr>
        <w:t>阿拉伯区域</w:t>
      </w:r>
    </w:p>
    <w:p w14:paraId="4827B85D" w14:textId="77777777" w:rsidR="00AA601A" w:rsidRDefault="00616FB1" w:rsidP="00C5063C">
      <w:pPr>
        <w:pStyle w:val="enumlev1"/>
        <w:rPr>
          <w:lang w:eastAsia="zh-CN"/>
        </w:rPr>
      </w:pPr>
      <w:r>
        <w:rPr>
          <w:lang w:eastAsia="zh-CN"/>
        </w:rPr>
        <w:t>•</w:t>
      </w:r>
      <w:r>
        <w:rPr>
          <w:lang w:eastAsia="zh-CN"/>
        </w:rPr>
        <w:tab/>
      </w:r>
      <w:r w:rsidR="00AA601A">
        <w:rPr>
          <w:rFonts w:hint="eastAsia"/>
          <w:lang w:eastAsia="zh-CN"/>
        </w:rPr>
        <w:t>在开罗</w:t>
      </w:r>
      <w:r w:rsidR="00AA601A">
        <w:rPr>
          <w:lang w:eastAsia="zh-CN"/>
        </w:rPr>
        <w:t>（</w:t>
      </w:r>
      <w:r w:rsidR="00AA601A">
        <w:rPr>
          <w:rFonts w:hint="eastAsia"/>
          <w:lang w:eastAsia="zh-CN"/>
        </w:rPr>
        <w:t>埃及</w:t>
      </w:r>
      <w:r w:rsidR="00AA601A">
        <w:rPr>
          <w:lang w:eastAsia="zh-CN"/>
        </w:rPr>
        <w:t>）</w:t>
      </w:r>
      <w:r w:rsidR="00AA601A">
        <w:rPr>
          <w:rFonts w:hint="eastAsia"/>
          <w:lang w:eastAsia="zh-CN"/>
        </w:rPr>
        <w:t>设立区域代表处。</w:t>
      </w:r>
    </w:p>
    <w:p w14:paraId="4827B85E" w14:textId="77777777" w:rsidR="00AA601A" w:rsidRDefault="00AA601A" w:rsidP="005F7760">
      <w:pPr>
        <w:pStyle w:val="Headingb"/>
        <w:rPr>
          <w:lang w:eastAsia="zh-CN"/>
        </w:rPr>
      </w:pPr>
      <w:r>
        <w:rPr>
          <w:lang w:eastAsia="zh-CN"/>
        </w:rPr>
        <w:t>E.</w:t>
      </w:r>
      <w:r>
        <w:rPr>
          <w:lang w:eastAsia="zh-CN"/>
        </w:rPr>
        <w:tab/>
      </w:r>
      <w:r>
        <w:rPr>
          <w:rFonts w:ascii="SimSun" w:hAnsi="SimSun" w:hint="eastAsia"/>
          <w:lang w:eastAsia="zh-CN"/>
        </w:rPr>
        <w:t>欧洲</w:t>
      </w:r>
    </w:p>
    <w:p w14:paraId="4827B85F" w14:textId="77777777" w:rsidR="00AA601A" w:rsidRDefault="00AA601A" w:rsidP="00C5063C">
      <w:pPr>
        <w:pStyle w:val="enumlev1"/>
        <w:rPr>
          <w:lang w:eastAsia="zh-CN"/>
        </w:rPr>
      </w:pPr>
      <w:r>
        <w:rPr>
          <w:lang w:eastAsia="zh-CN"/>
        </w:rPr>
        <w:t>•</w:t>
      </w:r>
      <w:r>
        <w:rPr>
          <w:lang w:eastAsia="zh-CN"/>
        </w:rPr>
        <w:tab/>
      </w:r>
      <w:r>
        <w:rPr>
          <w:rFonts w:hint="eastAsia"/>
          <w:lang w:eastAsia="zh-CN"/>
        </w:rPr>
        <w:t>在</w:t>
      </w:r>
      <w:r w:rsidRPr="0026251E">
        <w:rPr>
          <w:rFonts w:hint="eastAsia"/>
          <w:lang w:eastAsia="zh-CN"/>
        </w:rPr>
        <w:t>日内瓦</w:t>
      </w:r>
      <w:r>
        <w:rPr>
          <w:lang w:eastAsia="zh-CN"/>
        </w:rPr>
        <w:t>（</w:t>
      </w:r>
      <w:r>
        <w:rPr>
          <w:rFonts w:hint="eastAsia"/>
          <w:lang w:eastAsia="zh-CN"/>
        </w:rPr>
        <w:t>瑞士</w:t>
      </w:r>
      <w:r>
        <w:rPr>
          <w:lang w:eastAsia="zh-CN"/>
        </w:rPr>
        <w:t>）</w:t>
      </w:r>
      <w:r>
        <w:rPr>
          <w:rFonts w:hint="eastAsia"/>
          <w:lang w:eastAsia="zh-CN"/>
        </w:rPr>
        <w:t>的欧洲区域机构将继续作为区域代表处行事，</w:t>
      </w:r>
    </w:p>
    <w:p w14:paraId="4827B860" w14:textId="77777777" w:rsidR="00AA601A" w:rsidRDefault="00AA601A" w:rsidP="00B64353">
      <w:pPr>
        <w:rPr>
          <w:lang w:eastAsia="zh-CN"/>
        </w:rPr>
      </w:pPr>
      <w:r>
        <w:rPr>
          <w:lang w:eastAsia="zh-CN"/>
        </w:rPr>
        <w:tab/>
      </w:r>
      <w:r>
        <w:rPr>
          <w:rFonts w:eastAsia="STKaiti" w:hint="eastAsia"/>
          <w:iCs/>
          <w:lang w:eastAsia="zh-CN"/>
        </w:rPr>
        <w:t>责成电信发展局主任</w:t>
      </w:r>
      <w:r w:rsidR="0036533E">
        <w:rPr>
          <w:rFonts w:ascii="SimSun" w:hAnsi="SimSun"/>
          <w:iCs/>
          <w:lang w:eastAsia="zh-CN"/>
        </w:rPr>
        <w:t>,</w:t>
      </w:r>
      <w:r w:rsidRPr="00F70819">
        <w:rPr>
          <w:rFonts w:ascii="SimSun" w:hAnsi="SimSun" w:hint="eastAsia"/>
          <w:iCs/>
          <w:lang w:eastAsia="zh-CN"/>
        </w:rPr>
        <w:t>在秘书长和其他两个局主任的协作下并在关于评估国际电联区域代表处的专家小组的协助下</w:t>
      </w:r>
    </w:p>
    <w:p w14:paraId="4827B861" w14:textId="77777777" w:rsidR="00AA601A" w:rsidRDefault="00AA601A" w:rsidP="00B64353">
      <w:pPr>
        <w:rPr>
          <w:lang w:eastAsia="zh-CN"/>
        </w:rPr>
      </w:pPr>
      <w:r>
        <w:rPr>
          <w:lang w:eastAsia="zh-CN"/>
        </w:rPr>
        <w:t>1</w:t>
      </w:r>
      <w:r w:rsidR="00E04370">
        <w:rPr>
          <w:lang w:eastAsia="zh-CN"/>
        </w:rPr>
        <w:tab/>
      </w:r>
      <w:r>
        <w:rPr>
          <w:rFonts w:ascii="SimSun" w:hAnsi="SimSun" w:hint="eastAsia"/>
          <w:lang w:eastAsia="zh-CN"/>
        </w:rPr>
        <w:t>遵照全权代表大会第</w:t>
      </w:r>
      <w:r>
        <w:rPr>
          <w:lang w:eastAsia="zh-CN"/>
        </w:rPr>
        <w:t>25</w:t>
      </w:r>
      <w:r>
        <w:rPr>
          <w:rFonts w:ascii="SimSun" w:hAnsi="SimSun" w:hint="eastAsia"/>
          <w:lang w:eastAsia="zh-CN"/>
        </w:rPr>
        <w:t>号决议</w:t>
      </w:r>
      <w:r>
        <w:rPr>
          <w:rFonts w:ascii="SimSun" w:hAnsi="SimSun"/>
          <w:lang w:eastAsia="zh-CN"/>
        </w:rPr>
        <w:t>（</w:t>
      </w:r>
      <w:r>
        <w:rPr>
          <w:lang w:eastAsia="zh-CN"/>
        </w:rPr>
        <w:t>1994</w:t>
      </w:r>
      <w:r>
        <w:rPr>
          <w:rFonts w:ascii="SimSun" w:hAnsi="SimSun" w:hint="eastAsia"/>
          <w:lang w:eastAsia="zh-CN"/>
        </w:rPr>
        <w:t>年，京都</w:t>
      </w:r>
      <w:r>
        <w:rPr>
          <w:rFonts w:ascii="SimSun" w:hAnsi="SimSun"/>
          <w:lang w:eastAsia="zh-CN"/>
        </w:rPr>
        <w:t>）</w:t>
      </w:r>
      <w:r>
        <w:rPr>
          <w:rFonts w:ascii="SimSun" w:hAnsi="SimSun" w:hint="eastAsia"/>
          <w:lang w:eastAsia="zh-CN"/>
        </w:rPr>
        <w:t>，</w:t>
      </w:r>
      <w:r w:rsidR="004E502C">
        <w:rPr>
          <w:rFonts w:ascii="SimSun" w:hAnsi="SimSun" w:hint="eastAsia"/>
          <w:lang w:eastAsia="zh-CN"/>
        </w:rPr>
        <w:t>理事会</w:t>
      </w:r>
      <w:r>
        <w:rPr>
          <w:lang w:eastAsia="zh-CN"/>
        </w:rPr>
        <w:t>1996</w:t>
      </w:r>
      <w:r>
        <w:rPr>
          <w:rFonts w:ascii="SimSun" w:hAnsi="SimSun" w:hint="eastAsia"/>
          <w:lang w:eastAsia="zh-CN"/>
        </w:rPr>
        <w:t>年会</w:t>
      </w:r>
      <w:r w:rsidR="004E502C">
        <w:rPr>
          <w:rFonts w:ascii="SimSun" w:hAnsi="SimSun" w:hint="eastAsia"/>
          <w:lang w:eastAsia="zh-CN"/>
        </w:rPr>
        <w:t>议</w:t>
      </w:r>
      <w:r>
        <w:rPr>
          <w:rFonts w:ascii="SimSun" w:hAnsi="SimSun" w:hint="eastAsia"/>
          <w:lang w:eastAsia="zh-CN"/>
        </w:rPr>
        <w:t>关于驻地职位的第</w:t>
      </w:r>
      <w:r w:rsidRPr="008766B8">
        <w:rPr>
          <w:lang w:eastAsia="zh-CN"/>
        </w:rPr>
        <w:t>1096</w:t>
      </w:r>
      <w:r>
        <w:rPr>
          <w:rFonts w:ascii="SimSun" w:hAnsi="SimSun" w:hint="eastAsia"/>
          <w:lang w:eastAsia="zh-CN"/>
        </w:rPr>
        <w:t>号决议及专家小组的建议</w:t>
      </w:r>
      <w:r>
        <w:rPr>
          <w:rFonts w:ascii="SimSun" w:hAnsi="SimSun"/>
          <w:lang w:eastAsia="zh-CN"/>
        </w:rPr>
        <w:t>,</w:t>
      </w:r>
      <w:r>
        <w:rPr>
          <w:rFonts w:ascii="SimSun" w:hAnsi="SimSun" w:hint="eastAsia"/>
          <w:lang w:eastAsia="zh-CN"/>
        </w:rPr>
        <w:t>采取必要的措施以便实施上述决定；</w:t>
      </w:r>
    </w:p>
    <w:p w14:paraId="4827B862" w14:textId="77777777" w:rsidR="00AA601A" w:rsidRDefault="00AA601A" w:rsidP="00B64353">
      <w:pPr>
        <w:rPr>
          <w:lang w:eastAsia="zh-CN"/>
        </w:rPr>
      </w:pPr>
      <w:r>
        <w:rPr>
          <w:lang w:eastAsia="zh-CN"/>
        </w:rPr>
        <w:t>2</w:t>
      </w:r>
      <w:r w:rsidR="00E04370">
        <w:rPr>
          <w:lang w:eastAsia="zh-CN"/>
        </w:rPr>
        <w:tab/>
      </w:r>
      <w:r>
        <w:rPr>
          <w:rFonts w:ascii="SimSun" w:hAnsi="SimSun" w:hint="eastAsia"/>
          <w:lang w:eastAsia="zh-CN"/>
        </w:rPr>
        <w:t>寻求新的财政来源并利用现有的财源以便不断增加可用于区域代表处的资源；</w:t>
      </w:r>
    </w:p>
    <w:p w14:paraId="4827B863" w14:textId="77777777" w:rsidR="00AA601A" w:rsidRDefault="00AA601A" w:rsidP="00B64353">
      <w:pPr>
        <w:rPr>
          <w:lang w:eastAsia="zh-CN"/>
        </w:rPr>
      </w:pPr>
      <w:r>
        <w:rPr>
          <w:lang w:eastAsia="zh-CN"/>
        </w:rPr>
        <w:t>3</w:t>
      </w:r>
      <w:r w:rsidR="00E04370">
        <w:rPr>
          <w:lang w:eastAsia="zh-CN"/>
        </w:rPr>
        <w:tab/>
      </w:r>
      <w:r>
        <w:rPr>
          <w:rFonts w:ascii="SimSun" w:hAnsi="SimSun" w:hint="eastAsia"/>
          <w:lang w:eastAsia="zh-CN"/>
        </w:rPr>
        <w:t>尽快使工作已经被冻结的那些办事处恢复活动，以</w:t>
      </w:r>
      <w:r>
        <w:rPr>
          <w:lang w:eastAsia="zh-CN"/>
        </w:rPr>
        <w:t>C97/9</w:t>
      </w:r>
      <w:r>
        <w:rPr>
          <w:rFonts w:ascii="SimSun" w:hAnsi="SimSun" w:hint="eastAsia"/>
          <w:lang w:eastAsia="zh-CN"/>
        </w:rPr>
        <w:t>号文件中规定的人员编制基础上加强现有办事处</w:t>
      </w:r>
      <w:r>
        <w:rPr>
          <w:rFonts w:ascii="SimSun" w:hAnsi="SimSun"/>
          <w:lang w:eastAsia="zh-CN"/>
        </w:rPr>
        <w:t>,</w:t>
      </w:r>
      <w:r>
        <w:rPr>
          <w:rFonts w:ascii="SimSun" w:hAnsi="SimSun" w:hint="eastAsia"/>
          <w:lang w:eastAsia="zh-CN"/>
        </w:rPr>
        <w:t>并在必要时在财政资源允许的条件下建议设立其他地区办事处；</w:t>
      </w:r>
    </w:p>
    <w:p w14:paraId="4827B864" w14:textId="77777777" w:rsidR="00AA601A" w:rsidRPr="00683D10" w:rsidRDefault="00AA601A" w:rsidP="00B64353">
      <w:pPr>
        <w:rPr>
          <w:lang w:val="en-US" w:eastAsia="zh-CN"/>
        </w:rPr>
      </w:pPr>
      <w:r>
        <w:rPr>
          <w:lang w:eastAsia="zh-CN"/>
        </w:rPr>
        <w:t>4</w:t>
      </w:r>
      <w:r w:rsidR="00E04370">
        <w:rPr>
          <w:lang w:eastAsia="zh-CN"/>
        </w:rPr>
        <w:tab/>
      </w:r>
      <w:r>
        <w:rPr>
          <w:rFonts w:ascii="SimSun" w:hAnsi="SimSun" w:hint="eastAsia"/>
          <w:lang w:eastAsia="zh-CN"/>
        </w:rPr>
        <w:t>针对扩大区域代表处的作用，调查可能的安排及影响，以满足希望从国际电联整个活动范围内受益国家的需要</w:t>
      </w:r>
      <w:r>
        <w:rPr>
          <w:rFonts w:hint="eastAsia"/>
          <w:lang w:val="en-US" w:eastAsia="zh-CN"/>
        </w:rPr>
        <w:t>；</w:t>
      </w:r>
    </w:p>
    <w:p w14:paraId="4827B865" w14:textId="77777777" w:rsidR="00AA601A" w:rsidRDefault="00AA601A" w:rsidP="00B64353">
      <w:pPr>
        <w:rPr>
          <w:lang w:eastAsia="zh-CN"/>
        </w:rPr>
      </w:pPr>
      <w:r>
        <w:rPr>
          <w:lang w:eastAsia="zh-CN"/>
        </w:rPr>
        <w:t>5</w:t>
      </w:r>
      <w:r w:rsidR="00E04370">
        <w:rPr>
          <w:lang w:eastAsia="zh-CN"/>
        </w:rPr>
        <w:tab/>
      </w:r>
      <w:r>
        <w:rPr>
          <w:rFonts w:ascii="SimSun" w:hAnsi="SimSun" w:hint="eastAsia"/>
          <w:lang w:eastAsia="zh-CN"/>
        </w:rPr>
        <w:t>使用现代化的电信技术加强信息传播及进一步改进区域代表处的管理；</w:t>
      </w:r>
    </w:p>
    <w:p w14:paraId="4827B866" w14:textId="77777777" w:rsidR="00AA601A" w:rsidRDefault="00AA601A" w:rsidP="00B64353">
      <w:pPr>
        <w:rPr>
          <w:lang w:eastAsia="zh-CN"/>
        </w:rPr>
      </w:pPr>
      <w:r>
        <w:rPr>
          <w:lang w:eastAsia="zh-CN"/>
        </w:rPr>
        <w:t>6</w:t>
      </w:r>
      <w:r w:rsidR="00E04370">
        <w:rPr>
          <w:lang w:eastAsia="zh-CN"/>
        </w:rPr>
        <w:tab/>
      </w:r>
      <w:r>
        <w:rPr>
          <w:rFonts w:ascii="SimSun" w:hAnsi="SimSun" w:hint="eastAsia"/>
          <w:lang w:eastAsia="zh-CN"/>
        </w:rPr>
        <w:t>向</w:t>
      </w:r>
      <w:r w:rsidR="004E502C">
        <w:rPr>
          <w:rFonts w:ascii="SimSun" w:hAnsi="SimSun" w:hint="eastAsia"/>
          <w:lang w:eastAsia="zh-CN"/>
        </w:rPr>
        <w:t>理事会</w:t>
      </w:r>
      <w:r w:rsidRPr="00683D10">
        <w:rPr>
          <w:lang w:eastAsia="zh-CN"/>
        </w:rPr>
        <w:t>1998</w:t>
      </w:r>
      <w:r w:rsidRPr="00683D10">
        <w:rPr>
          <w:rFonts w:hAnsi="SimSun"/>
          <w:lang w:eastAsia="zh-CN"/>
        </w:rPr>
        <w:t>年</w:t>
      </w:r>
      <w:r>
        <w:rPr>
          <w:rFonts w:ascii="SimSun" w:hAnsi="SimSun" w:hint="eastAsia"/>
          <w:lang w:eastAsia="zh-CN"/>
        </w:rPr>
        <w:t>会</w:t>
      </w:r>
      <w:r w:rsidR="004E502C">
        <w:rPr>
          <w:rFonts w:ascii="SimSun" w:hAnsi="SimSun" w:hint="eastAsia"/>
          <w:lang w:eastAsia="zh-CN"/>
        </w:rPr>
        <w:t>议</w:t>
      </w:r>
      <w:r>
        <w:rPr>
          <w:rFonts w:ascii="SimSun" w:hAnsi="SimSun" w:hint="eastAsia"/>
          <w:lang w:eastAsia="zh-CN"/>
        </w:rPr>
        <w:t>提交建议以呈交给明尼阿波利斯全权代表大会</w:t>
      </w:r>
      <w:r>
        <w:rPr>
          <w:rFonts w:ascii="SimSun" w:hAnsi="SimSun"/>
          <w:lang w:eastAsia="zh-CN"/>
        </w:rPr>
        <w:t>（</w:t>
      </w:r>
      <w:r w:rsidRPr="00683D10">
        <w:rPr>
          <w:lang w:eastAsia="zh-CN"/>
        </w:rPr>
        <w:t>1998</w:t>
      </w:r>
      <w:r w:rsidRPr="00683D10">
        <w:rPr>
          <w:rFonts w:hAnsi="SimSun"/>
          <w:lang w:eastAsia="zh-CN"/>
        </w:rPr>
        <w:t>年</w:t>
      </w:r>
      <w:r>
        <w:rPr>
          <w:rFonts w:ascii="SimSun" w:hAnsi="SimSun"/>
          <w:lang w:eastAsia="zh-CN"/>
        </w:rPr>
        <w:t>）</w:t>
      </w:r>
      <w:r>
        <w:rPr>
          <w:rFonts w:ascii="SimSun" w:hAnsi="SimSun" w:hint="eastAsia"/>
          <w:lang w:eastAsia="zh-CN"/>
        </w:rPr>
        <w:t>。</w:t>
      </w:r>
    </w:p>
    <w:p w14:paraId="4827B867" w14:textId="77777777" w:rsidR="00F11D1D" w:rsidRPr="002E405F" w:rsidRDefault="00AA601A" w:rsidP="003960F6">
      <w:pPr>
        <w:pStyle w:val="Endtext"/>
        <w:rPr>
          <w:lang w:val="fr-FR" w:eastAsia="zh-CN"/>
        </w:rPr>
      </w:pPr>
      <w:r>
        <w:rPr>
          <w:rFonts w:hint="eastAsia"/>
          <w:lang w:eastAsia="zh-CN"/>
        </w:rPr>
        <w:t>参阅</w:t>
      </w:r>
      <w:r>
        <w:rPr>
          <w:rFonts w:ascii="STKaiti" w:hAnsi="SimSun" w:hint="eastAsia"/>
          <w:lang w:eastAsia="zh-CN"/>
        </w:rPr>
        <w:t>：</w:t>
      </w:r>
      <w:r w:rsidR="00616FB1">
        <w:rPr>
          <w:rFonts w:ascii="STKaiti" w:hAnsi="SimSun" w:hint="eastAsia"/>
          <w:lang w:eastAsia="zh-CN"/>
        </w:rPr>
        <w:tab/>
      </w:r>
      <w:r>
        <w:rPr>
          <w:lang w:eastAsia="zh-CN"/>
        </w:rPr>
        <w:t>C97/134</w:t>
      </w:r>
      <w:r>
        <w:rPr>
          <w:rFonts w:ascii="SimSun" w:hAnsi="SimSun" w:hint="eastAsia"/>
          <w:lang w:eastAsia="zh-CN"/>
        </w:rPr>
        <w:t>和</w:t>
      </w:r>
      <w:r>
        <w:rPr>
          <w:lang w:eastAsia="zh-CN"/>
        </w:rPr>
        <w:t>C97/138</w:t>
      </w:r>
      <w:r>
        <w:rPr>
          <w:rFonts w:ascii="SimSun" w:hAnsi="SimSun" w:hint="eastAsia"/>
          <w:lang w:eastAsia="zh-CN"/>
        </w:rPr>
        <w:t>号文件。</w:t>
      </w:r>
    </w:p>
    <w:p w14:paraId="4827B868" w14:textId="77777777" w:rsidR="00EC41DE" w:rsidRDefault="00EC41DE" w:rsidP="00EC41DE">
      <w:pPr>
        <w:jc w:val="center"/>
        <w:rPr>
          <w:lang w:eastAsia="zh-CN"/>
        </w:rPr>
      </w:pPr>
      <w:bookmarkStart w:id="2296" w:name="_Toc161224098"/>
      <w:bookmarkStart w:id="2297" w:name="_Toc161732144"/>
      <w:bookmarkStart w:id="2298" w:name="_Toc161741076"/>
      <w:bookmarkStart w:id="2299" w:name="_Toc185237742"/>
      <w:bookmarkStart w:id="2300" w:name="_Toc311469654"/>
      <w:r>
        <w:rPr>
          <w:lang w:eastAsia="zh-CN"/>
        </w:rPr>
        <w:t>______________</w:t>
      </w:r>
    </w:p>
    <w:p w14:paraId="4827B869" w14:textId="77777777" w:rsidR="00EC41DE" w:rsidRDefault="00EC41DE">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86A" w14:textId="77777777" w:rsidR="00EC41DE" w:rsidRDefault="00EC41DE">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86B" w14:textId="77777777" w:rsidR="00B66D0B" w:rsidRDefault="00B66D0B">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86C" w14:textId="77777777" w:rsidR="003960F6" w:rsidRPr="003960F6" w:rsidRDefault="00AA601A" w:rsidP="000D18CD">
      <w:pPr>
        <w:pStyle w:val="ResNo"/>
        <w:outlineLvl w:val="0"/>
        <w:rPr>
          <w:lang w:eastAsia="zh-CN"/>
        </w:rPr>
      </w:pPr>
      <w:bookmarkStart w:id="2301" w:name="_Toc424117107"/>
      <w:bookmarkStart w:id="2302" w:name="_Toc531706458"/>
      <w:bookmarkStart w:id="2303" w:name="_Toc531707070"/>
      <w:bookmarkStart w:id="2304" w:name="_Toc531768549"/>
      <w:bookmarkStart w:id="2305" w:name="_Toc16085874"/>
      <w:bookmarkStart w:id="2306" w:name="_Toc86395671"/>
      <w:r w:rsidRPr="003960F6">
        <w:rPr>
          <w:rFonts w:hint="eastAsia"/>
          <w:lang w:eastAsia="zh-CN"/>
        </w:rPr>
        <w:lastRenderedPageBreak/>
        <w:t>第</w:t>
      </w:r>
      <w:r w:rsidRPr="003960F6">
        <w:rPr>
          <w:lang w:eastAsia="zh-CN"/>
        </w:rPr>
        <w:t>1143</w:t>
      </w:r>
      <w:r w:rsidRPr="003960F6">
        <w:rPr>
          <w:rFonts w:hint="eastAsia"/>
          <w:lang w:eastAsia="zh-CN"/>
        </w:rPr>
        <w:t>号决议</w:t>
      </w:r>
      <w:r w:rsidR="003960F6">
        <w:rPr>
          <w:rFonts w:hint="eastAsia"/>
          <w:lang w:eastAsia="zh-CN"/>
        </w:rPr>
        <w:t>（</w:t>
      </w:r>
      <w:r w:rsidR="003960F6" w:rsidRPr="003960F6">
        <w:rPr>
          <w:lang w:eastAsia="zh-CN"/>
        </w:rPr>
        <w:t>C-1999</w:t>
      </w:r>
      <w:r w:rsidR="003960F6">
        <w:rPr>
          <w:rFonts w:hint="eastAsia"/>
          <w:lang w:eastAsia="zh-CN"/>
        </w:rPr>
        <w:t>）</w:t>
      </w:r>
      <w:bookmarkEnd w:id="2301"/>
      <w:bookmarkEnd w:id="2302"/>
      <w:bookmarkEnd w:id="2303"/>
      <w:bookmarkEnd w:id="2304"/>
      <w:bookmarkEnd w:id="2305"/>
      <w:bookmarkEnd w:id="2306"/>
    </w:p>
    <w:p w14:paraId="4827B86D" w14:textId="77777777" w:rsidR="00AA601A" w:rsidRPr="003960F6" w:rsidRDefault="00AA601A" w:rsidP="003960F6">
      <w:pPr>
        <w:pStyle w:val="Restitle"/>
        <w:rPr>
          <w:lang w:eastAsia="zh-CN"/>
        </w:rPr>
      </w:pPr>
      <w:bookmarkStart w:id="2307" w:name="_Toc424116261"/>
      <w:bookmarkStart w:id="2308" w:name="_Toc424117108"/>
      <w:bookmarkStart w:id="2309" w:name="_Toc460248221"/>
      <w:bookmarkStart w:id="2310" w:name="_Toc531706459"/>
      <w:bookmarkStart w:id="2311" w:name="_Toc531707071"/>
      <w:bookmarkStart w:id="2312" w:name="_Toc531768550"/>
      <w:bookmarkStart w:id="2313" w:name="_Toc16085875"/>
      <w:bookmarkStart w:id="2314" w:name="_Toc86395672"/>
      <w:r w:rsidRPr="003960F6">
        <w:rPr>
          <w:rFonts w:hint="eastAsia"/>
          <w:lang w:eastAsia="zh-CN"/>
        </w:rPr>
        <w:t>加强区域代表处的作用</w:t>
      </w:r>
      <w:bookmarkEnd w:id="2296"/>
      <w:bookmarkEnd w:id="2297"/>
      <w:bookmarkEnd w:id="2298"/>
      <w:bookmarkEnd w:id="2299"/>
      <w:bookmarkEnd w:id="2300"/>
      <w:bookmarkEnd w:id="2307"/>
      <w:bookmarkEnd w:id="2308"/>
      <w:bookmarkEnd w:id="2309"/>
      <w:bookmarkEnd w:id="2310"/>
      <w:bookmarkEnd w:id="2311"/>
      <w:bookmarkEnd w:id="2312"/>
      <w:bookmarkEnd w:id="2313"/>
      <w:bookmarkEnd w:id="2314"/>
    </w:p>
    <w:p w14:paraId="4827B86E" w14:textId="77777777" w:rsidR="00AA601A" w:rsidRPr="003960F6" w:rsidRDefault="00AA601A" w:rsidP="003960F6">
      <w:pPr>
        <w:pStyle w:val="Normalaftertitle"/>
        <w:rPr>
          <w:lang w:eastAsia="zh-CN"/>
        </w:rPr>
      </w:pPr>
      <w:r w:rsidRPr="003960F6">
        <w:rPr>
          <w:rFonts w:hint="eastAsia"/>
          <w:lang w:eastAsia="zh-CN"/>
        </w:rPr>
        <w:t>理事会，</w:t>
      </w:r>
    </w:p>
    <w:p w14:paraId="4827B86F" w14:textId="77777777" w:rsidR="00AA601A" w:rsidRDefault="00AA601A" w:rsidP="00B64353">
      <w:pPr>
        <w:pStyle w:val="Call"/>
        <w:rPr>
          <w:lang w:eastAsia="zh-CN"/>
        </w:rPr>
      </w:pPr>
      <w:r>
        <w:rPr>
          <w:rFonts w:hint="eastAsia"/>
          <w:lang w:eastAsia="zh-CN"/>
        </w:rPr>
        <w:t>考虑到</w:t>
      </w:r>
    </w:p>
    <w:p w14:paraId="4827B870" w14:textId="77777777" w:rsidR="00AA601A" w:rsidRDefault="00AA601A" w:rsidP="00B66D0B">
      <w:pPr>
        <w:rPr>
          <w:lang w:eastAsia="zh-CN"/>
        </w:rPr>
      </w:pPr>
      <w:r w:rsidRPr="00B72C24">
        <w:rPr>
          <w:i/>
          <w:iCs/>
          <w:lang w:eastAsia="zh-CN"/>
        </w:rPr>
        <w:t>a</w:t>
      </w:r>
      <w:r w:rsidR="000E6A83" w:rsidRPr="00B72C24">
        <w:rPr>
          <w:i/>
          <w:iCs/>
          <w:lang w:eastAsia="zh-CN"/>
        </w:rPr>
        <w:t>)</w:t>
      </w:r>
      <w:r w:rsidR="000E6A83">
        <w:rPr>
          <w:lang w:eastAsia="zh-CN"/>
        </w:rPr>
        <w:tab/>
      </w:r>
      <w:r>
        <w:rPr>
          <w:rFonts w:hint="eastAsia"/>
          <w:lang w:eastAsia="zh-CN"/>
        </w:rPr>
        <w:t>全权代表大会第</w:t>
      </w:r>
      <w:r>
        <w:rPr>
          <w:lang w:eastAsia="zh-CN"/>
        </w:rPr>
        <w:t>25</w:t>
      </w:r>
      <w:r>
        <w:rPr>
          <w:rFonts w:hint="eastAsia"/>
          <w:lang w:eastAsia="zh-CN"/>
        </w:rPr>
        <w:t>号决议</w:t>
      </w:r>
      <w:r>
        <w:rPr>
          <w:lang w:eastAsia="zh-CN"/>
        </w:rPr>
        <w:t>（</w:t>
      </w:r>
      <w:r>
        <w:rPr>
          <w:lang w:eastAsia="zh-CN"/>
        </w:rPr>
        <w:t>1998</w:t>
      </w:r>
      <w:r>
        <w:rPr>
          <w:rFonts w:hint="eastAsia"/>
          <w:lang w:eastAsia="zh-CN"/>
        </w:rPr>
        <w:t>年，明尼阿波利斯</w:t>
      </w:r>
      <w:r>
        <w:rPr>
          <w:lang w:eastAsia="zh-CN"/>
        </w:rPr>
        <w:t>）</w:t>
      </w:r>
      <w:r>
        <w:rPr>
          <w:rFonts w:hint="eastAsia"/>
          <w:lang w:eastAsia="zh-CN"/>
        </w:rPr>
        <w:t>；</w:t>
      </w:r>
    </w:p>
    <w:p w14:paraId="4827B871" w14:textId="77777777" w:rsidR="00AA601A" w:rsidRDefault="00AA601A" w:rsidP="00B66D0B">
      <w:pPr>
        <w:rPr>
          <w:lang w:eastAsia="zh-CN"/>
        </w:rPr>
      </w:pPr>
      <w:r w:rsidRPr="00B72C24">
        <w:rPr>
          <w:i/>
          <w:iCs/>
          <w:lang w:eastAsia="zh-CN"/>
        </w:rPr>
        <w:t>b</w:t>
      </w:r>
      <w:r w:rsidR="000E6A83" w:rsidRPr="00B72C24">
        <w:rPr>
          <w:i/>
          <w:iCs/>
          <w:lang w:eastAsia="zh-CN"/>
        </w:rPr>
        <w:t>)</w:t>
      </w:r>
      <w:r w:rsidR="000E6A83">
        <w:rPr>
          <w:lang w:eastAsia="zh-CN"/>
        </w:rPr>
        <w:tab/>
      </w:r>
      <w:r>
        <w:rPr>
          <w:rFonts w:hint="eastAsia"/>
          <w:lang w:eastAsia="zh-CN"/>
        </w:rPr>
        <w:t>全权代表大会第</w:t>
      </w:r>
      <w:r>
        <w:rPr>
          <w:lang w:eastAsia="zh-CN"/>
        </w:rPr>
        <w:t>71</w:t>
      </w:r>
      <w:r>
        <w:rPr>
          <w:rFonts w:hint="eastAsia"/>
          <w:lang w:eastAsia="zh-CN"/>
        </w:rPr>
        <w:t>号决议</w:t>
      </w:r>
      <w:r>
        <w:rPr>
          <w:lang w:eastAsia="zh-CN"/>
        </w:rPr>
        <w:t>（</w:t>
      </w:r>
      <w:r>
        <w:rPr>
          <w:lang w:eastAsia="zh-CN"/>
        </w:rPr>
        <w:t>1998</w:t>
      </w:r>
      <w:r>
        <w:rPr>
          <w:rFonts w:hint="eastAsia"/>
          <w:lang w:eastAsia="zh-CN"/>
        </w:rPr>
        <w:t>年，明尼阿波利斯</w:t>
      </w:r>
      <w:r>
        <w:rPr>
          <w:lang w:eastAsia="zh-CN"/>
        </w:rPr>
        <w:t>）</w:t>
      </w:r>
      <w:r>
        <w:rPr>
          <w:rFonts w:hint="eastAsia"/>
          <w:lang w:eastAsia="zh-CN"/>
        </w:rPr>
        <w:t>；</w:t>
      </w:r>
    </w:p>
    <w:p w14:paraId="4827B872" w14:textId="77777777" w:rsidR="00AA601A" w:rsidRDefault="00AA601A" w:rsidP="00B66D0B">
      <w:pPr>
        <w:rPr>
          <w:lang w:eastAsia="zh-CN"/>
        </w:rPr>
      </w:pPr>
      <w:r w:rsidRPr="00B72C24">
        <w:rPr>
          <w:i/>
          <w:iCs/>
          <w:lang w:eastAsia="zh-CN"/>
        </w:rPr>
        <w:t>c</w:t>
      </w:r>
      <w:r w:rsidR="000E6A83" w:rsidRPr="00B72C24">
        <w:rPr>
          <w:i/>
          <w:iCs/>
          <w:lang w:eastAsia="zh-CN"/>
        </w:rPr>
        <w:t>)</w:t>
      </w:r>
      <w:r w:rsidR="000E6A83">
        <w:rPr>
          <w:lang w:eastAsia="zh-CN"/>
        </w:rPr>
        <w:tab/>
      </w:r>
      <w:r>
        <w:rPr>
          <w:rFonts w:hint="eastAsia"/>
          <w:lang w:eastAsia="zh-CN"/>
        </w:rPr>
        <w:t>世界电信发展大会第</w:t>
      </w:r>
      <w:r>
        <w:rPr>
          <w:lang w:eastAsia="zh-CN"/>
        </w:rPr>
        <w:t>5</w:t>
      </w:r>
      <w:r>
        <w:rPr>
          <w:rFonts w:hint="eastAsia"/>
          <w:lang w:eastAsia="zh-CN"/>
        </w:rPr>
        <w:t>号决议</w:t>
      </w:r>
      <w:r>
        <w:rPr>
          <w:lang w:eastAsia="zh-CN"/>
        </w:rPr>
        <w:t>（</w:t>
      </w:r>
      <w:r w:rsidRPr="00683D10">
        <w:rPr>
          <w:lang w:eastAsia="zh-CN"/>
        </w:rPr>
        <w:t>1998</w:t>
      </w:r>
      <w:r w:rsidRPr="00683D10">
        <w:rPr>
          <w:lang w:eastAsia="zh-CN"/>
        </w:rPr>
        <w:t>年</w:t>
      </w:r>
      <w:r>
        <w:rPr>
          <w:rFonts w:hint="eastAsia"/>
          <w:lang w:eastAsia="zh-CN"/>
        </w:rPr>
        <w:t>，瓦莱塔</w:t>
      </w:r>
      <w:r>
        <w:rPr>
          <w:lang w:eastAsia="zh-CN"/>
        </w:rPr>
        <w:t>）</w:t>
      </w:r>
      <w:r>
        <w:rPr>
          <w:rFonts w:hint="eastAsia"/>
          <w:lang w:eastAsia="zh-CN"/>
        </w:rPr>
        <w:t>；</w:t>
      </w:r>
    </w:p>
    <w:p w14:paraId="4827B873" w14:textId="77777777" w:rsidR="00AA601A" w:rsidRDefault="00AA601A" w:rsidP="00B64353">
      <w:pPr>
        <w:keepNext/>
        <w:keepLines/>
        <w:rPr>
          <w:lang w:eastAsia="zh-CN"/>
        </w:rPr>
      </w:pPr>
      <w:r w:rsidRPr="00B72C24">
        <w:rPr>
          <w:i/>
          <w:iCs/>
          <w:lang w:eastAsia="zh-CN"/>
        </w:rPr>
        <w:t>d</w:t>
      </w:r>
      <w:r w:rsidR="000E6A83" w:rsidRPr="00B72C24">
        <w:rPr>
          <w:i/>
          <w:iCs/>
          <w:lang w:eastAsia="zh-CN"/>
        </w:rPr>
        <w:t>)</w:t>
      </w:r>
      <w:r w:rsidR="000E6A83">
        <w:rPr>
          <w:lang w:eastAsia="zh-CN"/>
        </w:rPr>
        <w:tab/>
      </w:r>
      <w:r>
        <w:rPr>
          <w:rFonts w:ascii="SimSun" w:hAnsi="SimSun" w:hint="eastAsia"/>
          <w:lang w:eastAsia="zh-CN"/>
        </w:rPr>
        <w:t>理事会第</w:t>
      </w:r>
      <w:r>
        <w:rPr>
          <w:lang w:eastAsia="zh-CN"/>
        </w:rPr>
        <w:t>1114</w:t>
      </w:r>
      <w:r>
        <w:rPr>
          <w:rFonts w:ascii="SimSun" w:hAnsi="SimSun" w:hint="eastAsia"/>
          <w:lang w:eastAsia="zh-CN"/>
        </w:rPr>
        <w:t>号决议</w:t>
      </w:r>
      <w:r>
        <w:rPr>
          <w:rFonts w:ascii="SimSun" w:hAnsi="SimSun"/>
          <w:lang w:eastAsia="zh-CN"/>
        </w:rPr>
        <w:t>（</w:t>
      </w:r>
      <w:r>
        <w:rPr>
          <w:lang w:eastAsia="zh-CN"/>
        </w:rPr>
        <w:t>1997</w:t>
      </w:r>
      <w:r>
        <w:rPr>
          <w:rFonts w:ascii="SimSun" w:hAnsi="SimSun" w:hint="eastAsia"/>
          <w:lang w:eastAsia="zh-CN"/>
        </w:rPr>
        <w:t>年，日内瓦</w:t>
      </w:r>
      <w:r>
        <w:rPr>
          <w:rFonts w:ascii="SimSun" w:hAnsi="SimSun"/>
          <w:lang w:eastAsia="zh-CN"/>
        </w:rPr>
        <w:t>）</w:t>
      </w:r>
      <w:r>
        <w:rPr>
          <w:rFonts w:ascii="SimSun" w:hAnsi="SimSun" w:hint="eastAsia"/>
          <w:lang w:eastAsia="zh-CN"/>
        </w:rPr>
        <w:t>，</w:t>
      </w:r>
    </w:p>
    <w:p w14:paraId="4827B874" w14:textId="77777777" w:rsidR="00AA601A" w:rsidRPr="00CC7643" w:rsidRDefault="00AA601A" w:rsidP="00B64353">
      <w:pPr>
        <w:keepNext/>
        <w:keepLines/>
        <w:spacing w:before="240"/>
        <w:rPr>
          <w:lang w:eastAsia="zh-CN"/>
        </w:rPr>
      </w:pPr>
      <w:r>
        <w:rPr>
          <w:i/>
          <w:lang w:eastAsia="zh-CN"/>
        </w:rPr>
        <w:tab/>
      </w:r>
      <w:r>
        <w:rPr>
          <w:rFonts w:ascii="STKaiti" w:eastAsia="STKaiti" w:hAnsi="SimSun" w:hint="eastAsia"/>
          <w:lang w:eastAsia="zh-CN"/>
        </w:rPr>
        <w:t>忆及</w:t>
      </w:r>
      <w:r>
        <w:rPr>
          <w:rFonts w:ascii="SimSun" w:hAnsi="SimSun" w:hint="eastAsia"/>
          <w:lang w:eastAsia="zh-CN"/>
        </w:rPr>
        <w:t>全权代表大会第</w:t>
      </w:r>
      <w:r>
        <w:rPr>
          <w:lang w:eastAsia="zh-CN"/>
        </w:rPr>
        <w:t>25</w:t>
      </w:r>
      <w:r>
        <w:rPr>
          <w:rFonts w:ascii="SimSun" w:hAnsi="SimSun" w:hint="eastAsia"/>
          <w:lang w:eastAsia="zh-CN"/>
        </w:rPr>
        <w:t>号决议</w:t>
      </w:r>
      <w:r>
        <w:rPr>
          <w:rFonts w:ascii="SimSun" w:hAnsi="SimSun"/>
          <w:lang w:eastAsia="zh-CN"/>
        </w:rPr>
        <w:t>（</w:t>
      </w:r>
      <w:r>
        <w:rPr>
          <w:lang w:eastAsia="zh-CN"/>
        </w:rPr>
        <w:t>1994</w:t>
      </w:r>
      <w:r>
        <w:rPr>
          <w:rFonts w:ascii="SimSun" w:hAnsi="SimSun" w:hint="eastAsia"/>
          <w:lang w:eastAsia="zh-CN"/>
        </w:rPr>
        <w:t>年，京都</w:t>
      </w:r>
      <w:r>
        <w:rPr>
          <w:rFonts w:ascii="SimSun" w:hAnsi="SimSun"/>
          <w:lang w:eastAsia="zh-CN"/>
        </w:rPr>
        <w:t>）</w:t>
      </w:r>
      <w:r w:rsidR="00CC7643">
        <w:rPr>
          <w:rFonts w:hint="eastAsia"/>
          <w:lang w:eastAsia="zh-CN"/>
        </w:rPr>
        <w:t>，</w:t>
      </w:r>
    </w:p>
    <w:p w14:paraId="4827B875" w14:textId="77777777" w:rsidR="00AA601A" w:rsidRDefault="00AA601A" w:rsidP="00B64353">
      <w:pPr>
        <w:pStyle w:val="Call"/>
        <w:rPr>
          <w:lang w:eastAsia="zh-CN"/>
        </w:rPr>
      </w:pPr>
      <w:r>
        <w:rPr>
          <w:rFonts w:hint="eastAsia"/>
          <w:lang w:eastAsia="zh-CN"/>
        </w:rPr>
        <w:t>重申</w:t>
      </w:r>
    </w:p>
    <w:p w14:paraId="4827B876" w14:textId="77777777" w:rsidR="00AA601A" w:rsidRDefault="00AA601A" w:rsidP="00B64353">
      <w:pPr>
        <w:rPr>
          <w:lang w:eastAsia="zh-CN"/>
        </w:rPr>
      </w:pPr>
      <w:r w:rsidRPr="00B72C24">
        <w:rPr>
          <w:i/>
          <w:iCs/>
          <w:lang w:eastAsia="zh-CN"/>
        </w:rPr>
        <w:t>a</w:t>
      </w:r>
      <w:r w:rsidR="000E6A83" w:rsidRPr="00B72C24">
        <w:rPr>
          <w:i/>
          <w:iCs/>
          <w:lang w:eastAsia="zh-CN"/>
        </w:rPr>
        <w:t>)</w:t>
      </w:r>
      <w:r w:rsidR="000E6A83">
        <w:rPr>
          <w:lang w:eastAsia="zh-CN"/>
        </w:rPr>
        <w:tab/>
      </w:r>
      <w:r>
        <w:rPr>
          <w:rFonts w:ascii="SimSun" w:hAnsi="SimSun" w:hint="eastAsia"/>
          <w:lang w:eastAsia="zh-CN"/>
        </w:rPr>
        <w:t>加强区域代表处对于实现国际电信联盟宗旨的重要性；</w:t>
      </w:r>
    </w:p>
    <w:p w14:paraId="4827B877" w14:textId="77777777" w:rsidR="00AA601A" w:rsidRDefault="00AA601A" w:rsidP="00B64353">
      <w:pPr>
        <w:rPr>
          <w:lang w:eastAsia="zh-CN"/>
        </w:rPr>
      </w:pPr>
      <w:r w:rsidRPr="00B72C24">
        <w:rPr>
          <w:i/>
          <w:iCs/>
          <w:lang w:eastAsia="zh-CN"/>
        </w:rPr>
        <w:t>b</w:t>
      </w:r>
      <w:r w:rsidR="000E6A83" w:rsidRPr="00B72C24">
        <w:rPr>
          <w:i/>
          <w:iCs/>
          <w:lang w:eastAsia="zh-CN"/>
        </w:rPr>
        <w:t>)</w:t>
      </w:r>
      <w:r w:rsidR="000E6A83">
        <w:rPr>
          <w:lang w:eastAsia="zh-CN"/>
        </w:rPr>
        <w:tab/>
      </w:r>
      <w:r>
        <w:rPr>
          <w:rFonts w:ascii="SimSun" w:hAnsi="SimSun" w:hint="eastAsia"/>
          <w:lang w:eastAsia="zh-CN"/>
        </w:rPr>
        <w:t>区域代表处是在各地实现国际电联宗旨的一种结构选择方案，以满足其成员的需求；</w:t>
      </w:r>
    </w:p>
    <w:p w14:paraId="4827B878" w14:textId="77777777" w:rsidR="00AA601A" w:rsidRDefault="00AA601A" w:rsidP="00B64353">
      <w:pPr>
        <w:rPr>
          <w:lang w:eastAsia="zh-CN"/>
        </w:rPr>
      </w:pPr>
      <w:r w:rsidRPr="00B72C24">
        <w:rPr>
          <w:i/>
          <w:iCs/>
          <w:lang w:eastAsia="zh-CN"/>
        </w:rPr>
        <w:t>c</w:t>
      </w:r>
      <w:r w:rsidR="000E6A83" w:rsidRPr="00B72C24">
        <w:rPr>
          <w:i/>
          <w:iCs/>
          <w:lang w:eastAsia="zh-CN"/>
        </w:rPr>
        <w:t>)</w:t>
      </w:r>
      <w:r w:rsidR="000E6A83">
        <w:rPr>
          <w:lang w:eastAsia="zh-CN"/>
        </w:rPr>
        <w:tab/>
      </w:r>
      <w:r>
        <w:rPr>
          <w:rFonts w:ascii="SimSun" w:hAnsi="SimSun" w:hint="eastAsia"/>
          <w:lang w:eastAsia="zh-CN"/>
        </w:rPr>
        <w:t>如果国际电联希望在全球电信网络和业务发展方面保持卓越地位，就必须满足其成员的需求，</w:t>
      </w:r>
    </w:p>
    <w:p w14:paraId="4827B879" w14:textId="77777777" w:rsidR="00AA601A" w:rsidRDefault="00AA601A" w:rsidP="00B64353">
      <w:pPr>
        <w:rPr>
          <w:lang w:eastAsia="zh-CN"/>
        </w:rPr>
      </w:pPr>
      <w:r>
        <w:rPr>
          <w:i/>
          <w:lang w:eastAsia="zh-CN"/>
        </w:rPr>
        <w:tab/>
      </w:r>
      <w:r>
        <w:rPr>
          <w:rFonts w:eastAsia="STKaiti" w:hint="eastAsia"/>
          <w:iCs/>
          <w:lang w:eastAsia="zh-CN"/>
        </w:rPr>
        <w:t>强调</w:t>
      </w:r>
      <w:r>
        <w:rPr>
          <w:rFonts w:ascii="SimSun" w:hAnsi="SimSun" w:hint="eastAsia"/>
          <w:lang w:eastAsia="zh-CN"/>
        </w:rPr>
        <w:t>区域代表处作为国际电联整体活动不可缺少的一部分，应反映出一种基于总部与区域代表处协调合作工作程序的“项目管理”方法，</w:t>
      </w:r>
    </w:p>
    <w:p w14:paraId="4827B87A" w14:textId="77777777" w:rsidR="00E35030" w:rsidRDefault="00AA601A" w:rsidP="00B64353">
      <w:pPr>
        <w:rPr>
          <w:rFonts w:ascii="SimSun" w:hAnsi="SimSun"/>
          <w:lang w:eastAsia="zh-CN"/>
        </w:rPr>
      </w:pPr>
      <w:r>
        <w:rPr>
          <w:i/>
          <w:lang w:eastAsia="zh-CN"/>
        </w:rPr>
        <w:tab/>
      </w:r>
      <w:r>
        <w:rPr>
          <w:rFonts w:eastAsia="STKaiti" w:hint="eastAsia"/>
          <w:iCs/>
          <w:lang w:eastAsia="zh-CN"/>
        </w:rPr>
        <w:t>满意地注意到</w:t>
      </w:r>
      <w:r>
        <w:rPr>
          <w:rFonts w:ascii="SimSun" w:hAnsi="SimSun" w:hint="eastAsia"/>
          <w:lang w:eastAsia="zh-CN"/>
        </w:rPr>
        <w:t>正如</w:t>
      </w:r>
      <w:r>
        <w:rPr>
          <w:lang w:eastAsia="zh-CN"/>
        </w:rPr>
        <w:t>C99/14</w:t>
      </w:r>
      <w:r>
        <w:rPr>
          <w:rFonts w:ascii="SimSun" w:hAnsi="SimSun" w:hint="eastAsia"/>
          <w:lang w:eastAsia="zh-CN"/>
        </w:rPr>
        <w:t>号文件所述，已采取措施落实全权代表大会第</w:t>
      </w:r>
      <w:r>
        <w:rPr>
          <w:lang w:eastAsia="zh-CN"/>
        </w:rPr>
        <w:t>25</w:t>
      </w:r>
      <w:r>
        <w:rPr>
          <w:rFonts w:ascii="SimSun" w:hAnsi="SimSun" w:hint="eastAsia"/>
          <w:lang w:eastAsia="zh-CN"/>
        </w:rPr>
        <w:t>号决议</w:t>
      </w:r>
      <w:r>
        <w:rPr>
          <w:rFonts w:ascii="SimSun" w:hAnsi="SimSun"/>
          <w:lang w:eastAsia="zh-CN"/>
        </w:rPr>
        <w:t>（</w:t>
      </w:r>
      <w:r>
        <w:rPr>
          <w:lang w:eastAsia="zh-CN"/>
        </w:rPr>
        <w:t>1998</w:t>
      </w:r>
      <w:r>
        <w:rPr>
          <w:rFonts w:ascii="SimSun" w:hAnsi="SimSun" w:hint="eastAsia"/>
          <w:lang w:eastAsia="zh-CN"/>
        </w:rPr>
        <w:t>年，明尼阿波利斯</w:t>
      </w:r>
      <w:r>
        <w:rPr>
          <w:rFonts w:ascii="SimSun" w:hAnsi="SimSun"/>
          <w:lang w:eastAsia="zh-CN"/>
        </w:rPr>
        <w:t>）</w:t>
      </w:r>
      <w:r>
        <w:rPr>
          <w:rFonts w:ascii="SimSun" w:hAnsi="SimSun" w:hint="eastAsia"/>
          <w:lang w:eastAsia="zh-CN"/>
        </w:rPr>
        <w:t>，</w:t>
      </w:r>
    </w:p>
    <w:p w14:paraId="4827B87B" w14:textId="77777777" w:rsidR="00AA601A" w:rsidRDefault="00AA601A" w:rsidP="00B64353">
      <w:pPr>
        <w:rPr>
          <w:lang w:eastAsia="zh-CN"/>
        </w:rPr>
      </w:pPr>
      <w:r>
        <w:rPr>
          <w:i/>
          <w:lang w:eastAsia="zh-CN"/>
        </w:rPr>
        <w:tab/>
      </w:r>
      <w:r>
        <w:rPr>
          <w:rFonts w:eastAsia="STKaiti" w:hint="eastAsia"/>
          <w:iCs/>
          <w:lang w:eastAsia="zh-CN"/>
        </w:rPr>
        <w:t>进一步注意到</w:t>
      </w:r>
      <w:r>
        <w:rPr>
          <w:rFonts w:ascii="SimSun" w:hAnsi="SimSun" w:hint="eastAsia"/>
          <w:lang w:eastAsia="zh-CN"/>
        </w:rPr>
        <w:t>各区域代表处在电信发展局</w:t>
      </w:r>
      <w:r w:rsidR="00416339">
        <w:rPr>
          <w:rFonts w:ascii="SimSun" w:hAnsi="SimSun" w:hint="eastAsia"/>
          <w:lang w:eastAsia="zh-CN"/>
        </w:rPr>
        <w:t>《运作规划》</w:t>
      </w:r>
      <w:r>
        <w:rPr>
          <w:rFonts w:ascii="SimSun" w:hAnsi="SimSun" w:hint="eastAsia"/>
          <w:lang w:eastAsia="zh-CN"/>
        </w:rPr>
        <w:t>、</w:t>
      </w:r>
      <w:r w:rsidR="00416339">
        <w:rPr>
          <w:rFonts w:ascii="SimSun" w:hAnsi="SimSun" w:hint="eastAsia"/>
          <w:lang w:eastAsia="zh-CN"/>
        </w:rPr>
        <w:t>《战略规划》</w:t>
      </w:r>
      <w:r>
        <w:rPr>
          <w:rFonts w:ascii="SimSun" w:hAnsi="SimSun" w:hint="eastAsia"/>
          <w:lang w:eastAsia="zh-CN"/>
        </w:rPr>
        <w:t>制定的指导方针的框架内并根据各地区的具体条件制定各自的</w:t>
      </w:r>
      <w:r w:rsidR="00416339">
        <w:rPr>
          <w:rFonts w:ascii="SimSun" w:hAnsi="SimSun" w:hint="eastAsia"/>
          <w:lang w:eastAsia="zh-CN"/>
        </w:rPr>
        <w:t>《运作规划》</w:t>
      </w:r>
      <w:r>
        <w:rPr>
          <w:rFonts w:ascii="SimSun" w:hAnsi="SimSun" w:hint="eastAsia"/>
          <w:lang w:eastAsia="zh-CN"/>
        </w:rPr>
        <w:t>是很重要的，</w:t>
      </w:r>
    </w:p>
    <w:p w14:paraId="4827B87C" w14:textId="77777777" w:rsidR="00AA601A" w:rsidRDefault="00AA601A" w:rsidP="00B64353">
      <w:pPr>
        <w:pStyle w:val="Call"/>
        <w:rPr>
          <w:lang w:eastAsia="zh-CN"/>
        </w:rPr>
      </w:pPr>
      <w:r w:rsidRPr="006F4CAC">
        <w:rPr>
          <w:rFonts w:hint="eastAsia"/>
          <w:lang w:eastAsia="zh-CN"/>
        </w:rPr>
        <w:t>意识到</w:t>
      </w:r>
    </w:p>
    <w:p w14:paraId="4827B87D" w14:textId="77777777" w:rsidR="00AA601A" w:rsidRDefault="00AA601A" w:rsidP="00B64353">
      <w:pPr>
        <w:rPr>
          <w:lang w:eastAsia="zh-CN"/>
        </w:rPr>
      </w:pPr>
      <w:r w:rsidRPr="00B72C24">
        <w:rPr>
          <w:i/>
          <w:iCs/>
          <w:lang w:eastAsia="zh-CN"/>
        </w:rPr>
        <w:t>a</w:t>
      </w:r>
      <w:r w:rsidR="000E6A83" w:rsidRPr="00B72C24">
        <w:rPr>
          <w:i/>
          <w:iCs/>
          <w:lang w:eastAsia="zh-CN"/>
        </w:rPr>
        <w:t>)</w:t>
      </w:r>
      <w:r w:rsidR="000E6A83">
        <w:rPr>
          <w:lang w:eastAsia="zh-CN"/>
        </w:rPr>
        <w:tab/>
      </w:r>
      <w:r>
        <w:rPr>
          <w:rFonts w:ascii="SimSun" w:hAnsi="SimSun" w:hint="eastAsia"/>
          <w:lang w:eastAsia="zh-CN"/>
        </w:rPr>
        <w:t>第</w:t>
      </w:r>
      <w:r>
        <w:rPr>
          <w:lang w:eastAsia="zh-CN"/>
        </w:rPr>
        <w:t>74</w:t>
      </w:r>
      <w:r>
        <w:rPr>
          <w:rFonts w:ascii="SimSun" w:hAnsi="SimSun" w:hint="eastAsia"/>
          <w:lang w:eastAsia="zh-CN"/>
        </w:rPr>
        <w:t>号决议</w:t>
      </w:r>
      <w:r>
        <w:rPr>
          <w:rFonts w:ascii="SimSun" w:hAnsi="SimSun"/>
          <w:lang w:eastAsia="zh-CN"/>
        </w:rPr>
        <w:t>（</w:t>
      </w:r>
      <w:r>
        <w:rPr>
          <w:lang w:eastAsia="zh-CN"/>
        </w:rPr>
        <w:t>1998</w:t>
      </w:r>
      <w:r>
        <w:rPr>
          <w:rFonts w:ascii="SimSun" w:hAnsi="SimSun" w:hint="eastAsia"/>
          <w:lang w:eastAsia="zh-CN"/>
        </w:rPr>
        <w:t>年，明尼阿波利斯</w:t>
      </w:r>
      <w:r>
        <w:rPr>
          <w:rFonts w:ascii="SimSun" w:hAnsi="SimSun"/>
          <w:lang w:eastAsia="zh-CN"/>
        </w:rPr>
        <w:t>）</w:t>
      </w:r>
      <w:r>
        <w:rPr>
          <w:rFonts w:ascii="SimSun" w:hAnsi="SimSun" w:hint="eastAsia"/>
          <w:lang w:eastAsia="zh-CN"/>
        </w:rPr>
        <w:t>要求对国际电联的管理、运作与结构进行审议并加以改进，而且这种审议将包括区域代表处，</w:t>
      </w:r>
    </w:p>
    <w:p w14:paraId="4827B87E" w14:textId="77777777" w:rsidR="00AA601A" w:rsidRDefault="00AA601A" w:rsidP="00B64353">
      <w:pPr>
        <w:rPr>
          <w:lang w:eastAsia="zh-CN"/>
        </w:rPr>
      </w:pPr>
      <w:r w:rsidRPr="00B72C24">
        <w:rPr>
          <w:i/>
          <w:iCs/>
          <w:lang w:eastAsia="zh-CN"/>
        </w:rPr>
        <w:t>b</w:t>
      </w:r>
      <w:r w:rsidR="000E6A83" w:rsidRPr="00B72C24">
        <w:rPr>
          <w:i/>
          <w:iCs/>
          <w:lang w:eastAsia="zh-CN"/>
        </w:rPr>
        <w:t>)</w:t>
      </w:r>
      <w:r w:rsidR="000E6A83">
        <w:rPr>
          <w:lang w:eastAsia="zh-CN"/>
        </w:rPr>
        <w:tab/>
      </w:r>
      <w:r>
        <w:rPr>
          <w:rFonts w:ascii="SimSun" w:hAnsi="SimSun" w:hint="eastAsia"/>
          <w:lang w:eastAsia="zh-CN"/>
        </w:rPr>
        <w:t>满足成员国和部门成员的迫切需要极为重要，</w:t>
      </w:r>
    </w:p>
    <w:p w14:paraId="4827B87F" w14:textId="77777777" w:rsidR="00AA601A" w:rsidRDefault="00AA601A" w:rsidP="00B64353">
      <w:pPr>
        <w:pStyle w:val="Call"/>
        <w:rPr>
          <w:lang w:eastAsia="zh-CN"/>
        </w:rPr>
      </w:pPr>
      <w:r w:rsidRPr="006F4CAC">
        <w:rPr>
          <w:rFonts w:hint="eastAsia"/>
          <w:lang w:eastAsia="zh-CN"/>
        </w:rPr>
        <w:t>做出决议</w:t>
      </w:r>
    </w:p>
    <w:p w14:paraId="4827B880" w14:textId="77777777" w:rsidR="00AA601A" w:rsidRDefault="00AA601A" w:rsidP="00B64353">
      <w:pPr>
        <w:rPr>
          <w:lang w:eastAsia="zh-CN"/>
        </w:rPr>
      </w:pPr>
      <w:r>
        <w:rPr>
          <w:lang w:eastAsia="zh-CN"/>
        </w:rPr>
        <w:t>1</w:t>
      </w:r>
      <w:r w:rsidR="00E04370">
        <w:rPr>
          <w:lang w:eastAsia="zh-CN"/>
        </w:rPr>
        <w:tab/>
      </w:r>
      <w:r>
        <w:rPr>
          <w:rFonts w:ascii="SimSun" w:hAnsi="SimSun" w:hint="eastAsia"/>
          <w:lang w:eastAsia="zh-CN"/>
        </w:rPr>
        <w:t>区域代表处的作用就是帮助实现国际电联的宗旨，以便通过在各地与电信主管部门及管理机构合作，满足其成员的需要，特别是发展中国家成员的需要，这包括与各国、各子区域和区域性机构、组织及其它实体的协作；</w:t>
      </w:r>
    </w:p>
    <w:p w14:paraId="4827B881" w14:textId="77777777" w:rsidR="00AA601A" w:rsidRDefault="00AA601A" w:rsidP="00B64353">
      <w:pPr>
        <w:rPr>
          <w:lang w:eastAsia="zh-CN"/>
        </w:rPr>
      </w:pPr>
      <w:r>
        <w:rPr>
          <w:lang w:eastAsia="zh-CN"/>
        </w:rPr>
        <w:t>2</w:t>
      </w:r>
      <w:r w:rsidR="00E04370">
        <w:rPr>
          <w:lang w:eastAsia="zh-CN"/>
        </w:rPr>
        <w:tab/>
      </w:r>
      <w:r>
        <w:rPr>
          <w:rFonts w:ascii="SimSun" w:hAnsi="SimSun" w:hint="eastAsia"/>
          <w:lang w:eastAsia="zh-CN"/>
        </w:rPr>
        <w:t>区域代表处作为电联不可缺少的一部分，应通过直接的或正在进行的与有权的各国管理机构及区域性和子区域性组织的合作，对国际电联批准的决定、建议、行动、计划和项目的实施予以支持；</w:t>
      </w:r>
    </w:p>
    <w:p w14:paraId="4827B882" w14:textId="77777777" w:rsidR="00EC41DE" w:rsidRDefault="00EC41D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883" w14:textId="77777777" w:rsidR="00AA601A" w:rsidRDefault="00AA601A" w:rsidP="00B64353">
      <w:pPr>
        <w:rPr>
          <w:lang w:eastAsia="zh-CN"/>
        </w:rPr>
      </w:pPr>
      <w:r>
        <w:rPr>
          <w:lang w:eastAsia="zh-CN"/>
        </w:rPr>
        <w:lastRenderedPageBreak/>
        <w:t>3</w:t>
      </w:r>
      <w:r w:rsidR="00E04370">
        <w:rPr>
          <w:lang w:eastAsia="zh-CN"/>
        </w:rPr>
        <w:tab/>
      </w:r>
      <w:r>
        <w:rPr>
          <w:rFonts w:ascii="SimSun" w:hAnsi="SimSun" w:hint="eastAsia"/>
          <w:lang w:eastAsia="zh-CN"/>
        </w:rPr>
        <w:t>必要时，区域代表处应能代表秘书长或三个部门中某一部门的主任；</w:t>
      </w:r>
    </w:p>
    <w:p w14:paraId="4827B884" w14:textId="77777777" w:rsidR="00AA601A" w:rsidRDefault="00AA601A" w:rsidP="00B64353">
      <w:pPr>
        <w:rPr>
          <w:lang w:eastAsia="zh-CN"/>
        </w:rPr>
      </w:pPr>
      <w:r>
        <w:rPr>
          <w:lang w:eastAsia="zh-CN"/>
        </w:rPr>
        <w:t>4</w:t>
      </w:r>
      <w:r w:rsidR="00E04370">
        <w:rPr>
          <w:lang w:eastAsia="zh-CN"/>
        </w:rPr>
        <w:tab/>
      </w:r>
      <w:r>
        <w:rPr>
          <w:rFonts w:hint="eastAsia"/>
          <w:lang w:eastAsia="zh-CN"/>
        </w:rPr>
        <w:t>国际</w:t>
      </w:r>
      <w:r>
        <w:rPr>
          <w:rFonts w:ascii="SimSun" w:hAnsi="SimSun" w:hint="eastAsia"/>
          <w:lang w:eastAsia="zh-CN"/>
        </w:rPr>
        <w:t>电联具有联合国专门机构和执行机构的双重作用，由此派生出来的区域代表处的作用必须得以澄清，同时应明确并实施第</w:t>
      </w:r>
      <w:r>
        <w:rPr>
          <w:lang w:eastAsia="zh-CN"/>
        </w:rPr>
        <w:t>71</w:t>
      </w:r>
      <w:r>
        <w:rPr>
          <w:rFonts w:ascii="SimSun" w:hAnsi="SimSun" w:hint="eastAsia"/>
          <w:lang w:eastAsia="zh-CN"/>
        </w:rPr>
        <w:t>号决议</w:t>
      </w:r>
      <w:r>
        <w:rPr>
          <w:rFonts w:ascii="SimSun" w:hAnsi="SimSun"/>
          <w:lang w:eastAsia="zh-CN"/>
        </w:rPr>
        <w:t>（</w:t>
      </w:r>
      <w:r>
        <w:rPr>
          <w:lang w:eastAsia="zh-CN"/>
        </w:rPr>
        <w:t>1998</w:t>
      </w:r>
      <w:r>
        <w:rPr>
          <w:rFonts w:ascii="SimSun" w:hAnsi="SimSun" w:hint="eastAsia"/>
          <w:lang w:eastAsia="zh-CN"/>
        </w:rPr>
        <w:t>年，明尼阿波利斯</w:t>
      </w:r>
      <w:r>
        <w:rPr>
          <w:rFonts w:ascii="SimSun" w:hAnsi="SimSun"/>
          <w:lang w:eastAsia="zh-CN"/>
        </w:rPr>
        <w:t>）</w:t>
      </w:r>
      <w:r>
        <w:rPr>
          <w:rFonts w:ascii="SimSun" w:hAnsi="SimSun" w:hint="eastAsia"/>
          <w:lang w:eastAsia="zh-CN"/>
        </w:rPr>
        <w:t>中所述的活动，如，指定区域代表处开展本决议附件</w:t>
      </w:r>
      <w:r w:rsidRPr="00A9112F">
        <w:rPr>
          <w:lang w:eastAsia="zh-CN"/>
        </w:rPr>
        <w:t>A</w:t>
      </w:r>
      <w:r>
        <w:rPr>
          <w:rFonts w:ascii="SimSun" w:hAnsi="SimSun" w:hint="eastAsia"/>
          <w:lang w:eastAsia="zh-CN"/>
        </w:rPr>
        <w:t>中所列的一般性活动；</w:t>
      </w:r>
    </w:p>
    <w:p w14:paraId="4827B885" w14:textId="77777777" w:rsidR="00AA601A" w:rsidRDefault="00AA601A" w:rsidP="00B64353">
      <w:pPr>
        <w:rPr>
          <w:lang w:eastAsia="zh-CN"/>
        </w:rPr>
      </w:pPr>
      <w:r>
        <w:rPr>
          <w:lang w:eastAsia="zh-CN"/>
        </w:rPr>
        <w:t>5</w:t>
      </w:r>
      <w:r w:rsidR="00E04370">
        <w:rPr>
          <w:lang w:eastAsia="zh-CN"/>
        </w:rPr>
        <w:tab/>
      </w:r>
      <w:r>
        <w:rPr>
          <w:rFonts w:ascii="SimSun" w:hAnsi="SimSun" w:hint="eastAsia"/>
          <w:lang w:eastAsia="zh-CN"/>
        </w:rPr>
        <w:t>在相关国际组织框架中开展的区域代表处工作应有助于国际电联进行的电信发展活动方面的前景；</w:t>
      </w:r>
    </w:p>
    <w:p w14:paraId="4827B886" w14:textId="77777777" w:rsidR="00DE2D51" w:rsidRPr="00DE2D51" w:rsidRDefault="00AA601A" w:rsidP="003960F6">
      <w:pPr>
        <w:rPr>
          <w:lang w:val="en-US" w:eastAsia="zh-CN"/>
        </w:rPr>
      </w:pPr>
      <w:r>
        <w:rPr>
          <w:lang w:eastAsia="zh-CN"/>
        </w:rPr>
        <w:t>6</w:t>
      </w:r>
      <w:r w:rsidR="00E04370">
        <w:rPr>
          <w:lang w:eastAsia="zh-CN"/>
        </w:rPr>
        <w:tab/>
      </w:r>
      <w:r>
        <w:rPr>
          <w:rFonts w:ascii="SimSun" w:hAnsi="SimSun" w:hint="eastAsia"/>
          <w:lang w:eastAsia="zh-CN"/>
        </w:rPr>
        <w:t>应加强发展中国家和部门成员对区域代表处和国际电联所有活动的介入与参与，包括对</w:t>
      </w:r>
      <w:r w:rsidRPr="00A9112F">
        <w:rPr>
          <w:lang w:eastAsia="zh-CN"/>
        </w:rPr>
        <w:t>ITU-R</w:t>
      </w:r>
      <w:r w:rsidRPr="00A9112F">
        <w:rPr>
          <w:rFonts w:hAnsi="SimSun"/>
          <w:lang w:eastAsia="zh-CN"/>
        </w:rPr>
        <w:t>和</w:t>
      </w:r>
      <w:r w:rsidRPr="00A9112F">
        <w:rPr>
          <w:lang w:eastAsia="zh-CN"/>
        </w:rPr>
        <w:t>ITU-T</w:t>
      </w:r>
      <w:r w:rsidRPr="00A9112F">
        <w:rPr>
          <w:rFonts w:hAnsi="SimSun"/>
          <w:lang w:eastAsia="zh-CN"/>
        </w:rPr>
        <w:t>活动的介入与参与，</w:t>
      </w:r>
    </w:p>
    <w:p w14:paraId="4827B887" w14:textId="77777777" w:rsidR="00AA601A" w:rsidRDefault="00AA601A" w:rsidP="00B64353">
      <w:pPr>
        <w:rPr>
          <w:lang w:eastAsia="zh-CN"/>
        </w:rPr>
      </w:pPr>
      <w:r>
        <w:rPr>
          <w:i/>
          <w:lang w:eastAsia="zh-CN"/>
        </w:rPr>
        <w:tab/>
      </w:r>
      <w:r>
        <w:rPr>
          <w:rFonts w:eastAsia="STKaiti" w:hint="eastAsia"/>
          <w:iCs/>
          <w:lang w:eastAsia="zh-CN"/>
        </w:rPr>
        <w:t>责成电信发展局主任</w:t>
      </w:r>
      <w:r>
        <w:rPr>
          <w:rFonts w:ascii="STKaiti" w:eastAsia="STKaiti" w:hAnsi="SimSun" w:hint="eastAsia"/>
          <w:lang w:eastAsia="zh-CN"/>
        </w:rPr>
        <w:t>，</w:t>
      </w:r>
      <w:r>
        <w:rPr>
          <w:rFonts w:ascii="SimSun" w:hAnsi="SimSun" w:hint="eastAsia"/>
          <w:lang w:eastAsia="zh-CN"/>
        </w:rPr>
        <w:t>与秘书长和无线电通信局及电信标准化局主任密切配合：</w:t>
      </w:r>
    </w:p>
    <w:p w14:paraId="4827B888" w14:textId="77777777" w:rsidR="00AA601A" w:rsidRDefault="00AA601A" w:rsidP="00B64353">
      <w:pPr>
        <w:rPr>
          <w:lang w:eastAsia="zh-CN"/>
        </w:rPr>
      </w:pPr>
      <w:r>
        <w:rPr>
          <w:lang w:eastAsia="zh-CN"/>
        </w:rPr>
        <w:t>1</w:t>
      </w:r>
      <w:r w:rsidR="00E04370">
        <w:rPr>
          <w:lang w:eastAsia="zh-CN"/>
        </w:rPr>
        <w:tab/>
      </w:r>
      <w:r>
        <w:rPr>
          <w:rFonts w:ascii="SimSun" w:hAnsi="SimSun" w:hint="eastAsia"/>
          <w:lang w:eastAsia="zh-CN"/>
        </w:rPr>
        <w:t>与每个区域的成员国、部门成员和电信运营商建立密切联系，以便加深理解，并了解他们对区域代表处的期望；</w:t>
      </w:r>
    </w:p>
    <w:p w14:paraId="4827B889" w14:textId="77777777" w:rsidR="00AA601A" w:rsidRDefault="00AA601A" w:rsidP="00B64353">
      <w:pPr>
        <w:rPr>
          <w:lang w:eastAsia="zh-CN"/>
        </w:rPr>
      </w:pPr>
      <w:r>
        <w:rPr>
          <w:lang w:eastAsia="zh-CN"/>
        </w:rPr>
        <w:t>2</w:t>
      </w:r>
      <w:r w:rsidR="00E04370">
        <w:rPr>
          <w:lang w:eastAsia="zh-CN"/>
        </w:rPr>
        <w:tab/>
      </w:r>
      <w:r>
        <w:rPr>
          <w:rFonts w:ascii="SimSun" w:hAnsi="SimSun" w:hint="eastAsia"/>
          <w:lang w:eastAsia="zh-CN"/>
        </w:rPr>
        <w:t>经</w:t>
      </w:r>
      <w:r w:rsidRPr="00A9112F">
        <w:rPr>
          <w:rFonts w:hAnsi="SimSun"/>
          <w:lang w:eastAsia="zh-CN"/>
        </w:rPr>
        <w:t>与</w:t>
      </w:r>
      <w:r w:rsidR="002B2AD2">
        <w:rPr>
          <w:rFonts w:hAnsi="SimSun" w:hint="eastAsia"/>
          <w:lang w:eastAsia="zh-CN"/>
        </w:rPr>
        <w:t>电信发展顾问组（</w:t>
      </w:r>
      <w:r w:rsidRPr="00A9112F">
        <w:rPr>
          <w:lang w:eastAsia="zh-CN"/>
        </w:rPr>
        <w:t>TDAG</w:t>
      </w:r>
      <w:r w:rsidR="002B2AD2">
        <w:rPr>
          <w:rFonts w:hint="eastAsia"/>
          <w:lang w:eastAsia="zh-CN"/>
        </w:rPr>
        <w:t>）</w:t>
      </w:r>
      <w:r w:rsidRPr="00A9112F">
        <w:rPr>
          <w:rFonts w:hAnsi="SimSun"/>
          <w:lang w:eastAsia="zh-CN"/>
        </w:rPr>
        <w:t>协</w:t>
      </w:r>
      <w:r>
        <w:rPr>
          <w:rFonts w:ascii="SimSun" w:hAnsi="SimSun" w:hint="eastAsia"/>
          <w:lang w:eastAsia="zh-CN"/>
        </w:rPr>
        <w:t>商，为</w:t>
      </w:r>
      <w:r w:rsidR="00416339">
        <w:rPr>
          <w:rFonts w:ascii="SimSun" w:hAnsi="SimSun" w:hint="eastAsia"/>
          <w:lang w:eastAsia="zh-CN"/>
        </w:rPr>
        <w:t>《运作规划》</w:t>
      </w:r>
      <w:r>
        <w:rPr>
          <w:rFonts w:ascii="SimSun" w:hAnsi="SimSun" w:hint="eastAsia"/>
          <w:lang w:eastAsia="zh-CN"/>
        </w:rPr>
        <w:t>的实施制订量化目标，在质量、分配资源和</w:t>
      </w:r>
      <w:r>
        <w:rPr>
          <w:rFonts w:ascii="SimSun" w:hAnsi="SimSun"/>
          <w:lang w:eastAsia="zh-CN"/>
        </w:rPr>
        <w:t>/</w:t>
      </w:r>
      <w:r>
        <w:rPr>
          <w:rFonts w:ascii="SimSun" w:hAnsi="SimSun" w:hint="eastAsia"/>
          <w:lang w:eastAsia="zh-CN"/>
        </w:rPr>
        <w:t>或时间期限方面制定具体限制；</w:t>
      </w:r>
    </w:p>
    <w:p w14:paraId="4827B88A" w14:textId="77777777" w:rsidR="00AA601A" w:rsidRDefault="00AA601A" w:rsidP="00B64353">
      <w:pPr>
        <w:rPr>
          <w:lang w:eastAsia="zh-CN"/>
        </w:rPr>
      </w:pPr>
      <w:r>
        <w:rPr>
          <w:lang w:eastAsia="zh-CN"/>
        </w:rPr>
        <w:t>3</w:t>
      </w:r>
      <w:r w:rsidR="00E04370">
        <w:rPr>
          <w:lang w:eastAsia="zh-CN"/>
        </w:rPr>
        <w:tab/>
      </w:r>
      <w:r>
        <w:rPr>
          <w:rFonts w:ascii="SimSun" w:hAnsi="SimSun" w:hint="eastAsia"/>
          <w:lang w:eastAsia="zh-CN"/>
        </w:rPr>
        <w:t>确定适当的绩效衡量体制，以便监督</w:t>
      </w:r>
      <w:r>
        <w:rPr>
          <w:rFonts w:ascii="STKaiti" w:eastAsia="STKaiti" w:hAnsi="SimSun" w:hint="eastAsia"/>
          <w:lang w:eastAsia="zh-CN"/>
        </w:rPr>
        <w:t>做出决议</w:t>
      </w:r>
      <w:r>
        <w:rPr>
          <w:rFonts w:ascii="SimSun" w:hAnsi="SimSun"/>
          <w:lang w:eastAsia="zh-CN"/>
        </w:rPr>
        <w:t>4</w:t>
      </w:r>
      <w:r>
        <w:rPr>
          <w:rFonts w:ascii="SimSun" w:hAnsi="SimSun" w:hint="eastAsia"/>
          <w:lang w:eastAsia="zh-CN"/>
        </w:rPr>
        <w:t>中所提及的活动</w:t>
      </w:r>
      <w:r>
        <w:rPr>
          <w:rFonts w:ascii="SimSun" w:hAnsi="SimSun"/>
          <w:lang w:eastAsia="zh-CN"/>
        </w:rPr>
        <w:t>（</w:t>
      </w:r>
      <w:r>
        <w:rPr>
          <w:rFonts w:ascii="SimSun" w:hAnsi="SimSun" w:hint="eastAsia"/>
          <w:lang w:eastAsia="zh-CN"/>
        </w:rPr>
        <w:t>将其与各区域的具体特点结合起来</w:t>
      </w:r>
      <w:r>
        <w:rPr>
          <w:rFonts w:ascii="SimSun" w:hAnsi="SimSun"/>
          <w:lang w:eastAsia="zh-CN"/>
        </w:rPr>
        <w:t>）</w:t>
      </w:r>
      <w:r>
        <w:rPr>
          <w:rFonts w:ascii="SimSun" w:hAnsi="SimSun" w:hint="eastAsia"/>
          <w:lang w:eastAsia="zh-CN"/>
        </w:rPr>
        <w:t>，以及那些与区域代表处开展的各种计划相关的活动；</w:t>
      </w:r>
    </w:p>
    <w:p w14:paraId="4827B88B" w14:textId="77777777" w:rsidR="00AA601A" w:rsidRDefault="00AA601A" w:rsidP="00B64353">
      <w:pPr>
        <w:rPr>
          <w:lang w:eastAsia="zh-CN"/>
        </w:rPr>
      </w:pPr>
      <w:r>
        <w:rPr>
          <w:lang w:eastAsia="zh-CN"/>
        </w:rPr>
        <w:t>4</w:t>
      </w:r>
      <w:r w:rsidR="00E04370">
        <w:rPr>
          <w:lang w:eastAsia="zh-CN"/>
        </w:rPr>
        <w:tab/>
      </w:r>
      <w:r>
        <w:rPr>
          <w:rFonts w:hint="eastAsia"/>
          <w:lang w:eastAsia="zh-CN"/>
        </w:rPr>
        <w:t>就</w:t>
      </w:r>
      <w:r>
        <w:rPr>
          <w:rFonts w:ascii="SimSun" w:hAnsi="SimSun" w:hint="eastAsia"/>
          <w:lang w:eastAsia="zh-CN"/>
        </w:rPr>
        <w:t>是否达到上述目标和</w:t>
      </w:r>
      <w:r>
        <w:rPr>
          <w:lang w:eastAsia="zh-CN"/>
        </w:rPr>
        <w:t>2001</w:t>
      </w:r>
      <w:r>
        <w:rPr>
          <w:rFonts w:ascii="SimSun" w:hAnsi="SimSun" w:hint="eastAsia"/>
          <w:lang w:eastAsia="zh-CN"/>
        </w:rPr>
        <w:t>年规划目标，向</w:t>
      </w:r>
      <w:r>
        <w:rPr>
          <w:lang w:eastAsia="zh-CN"/>
        </w:rPr>
        <w:t>2000</w:t>
      </w:r>
      <w:r>
        <w:rPr>
          <w:rFonts w:ascii="SimSun" w:hAnsi="SimSun" w:hint="eastAsia"/>
          <w:lang w:eastAsia="zh-CN"/>
        </w:rPr>
        <w:t>年的理事会提交一份报告；</w:t>
      </w:r>
    </w:p>
    <w:p w14:paraId="4827B88C" w14:textId="77777777" w:rsidR="00AA601A" w:rsidRDefault="00AA601A" w:rsidP="00B64353">
      <w:pPr>
        <w:rPr>
          <w:lang w:eastAsia="zh-CN"/>
        </w:rPr>
      </w:pPr>
      <w:r>
        <w:rPr>
          <w:lang w:eastAsia="zh-CN"/>
        </w:rPr>
        <w:t>5</w:t>
      </w:r>
      <w:r w:rsidR="00E04370">
        <w:rPr>
          <w:lang w:eastAsia="zh-CN"/>
        </w:rPr>
        <w:tab/>
      </w:r>
      <w:r>
        <w:rPr>
          <w:rFonts w:ascii="SimSun" w:hAnsi="SimSun" w:hint="eastAsia"/>
          <w:lang w:eastAsia="zh-CN"/>
        </w:rPr>
        <w:t>逐步实施理事会第</w:t>
      </w:r>
      <w:r>
        <w:rPr>
          <w:lang w:eastAsia="zh-CN"/>
        </w:rPr>
        <w:t>1114</w:t>
      </w:r>
      <w:r>
        <w:rPr>
          <w:rFonts w:ascii="SimSun" w:hAnsi="SimSun" w:hint="eastAsia"/>
          <w:lang w:eastAsia="zh-CN"/>
        </w:rPr>
        <w:t>号决议</w:t>
      </w:r>
      <w:r>
        <w:rPr>
          <w:rFonts w:ascii="SimSun" w:hAnsi="SimSun"/>
          <w:lang w:eastAsia="zh-CN"/>
        </w:rPr>
        <w:t>（</w:t>
      </w:r>
      <w:r>
        <w:rPr>
          <w:lang w:eastAsia="zh-CN"/>
        </w:rPr>
        <w:t>1997</w:t>
      </w:r>
      <w:r>
        <w:rPr>
          <w:rFonts w:ascii="SimSun" w:hAnsi="SimSun" w:hint="eastAsia"/>
          <w:lang w:eastAsia="zh-CN"/>
        </w:rPr>
        <w:t>年，日内瓦</w:t>
      </w:r>
      <w:r>
        <w:rPr>
          <w:rFonts w:ascii="SimSun" w:hAnsi="SimSun"/>
          <w:lang w:eastAsia="zh-CN"/>
        </w:rPr>
        <w:t>）</w:t>
      </w:r>
      <w:r>
        <w:rPr>
          <w:rFonts w:ascii="SimSun" w:hAnsi="SimSun" w:hint="eastAsia"/>
          <w:lang w:eastAsia="zh-CN"/>
        </w:rPr>
        <w:t>中的决定；</w:t>
      </w:r>
    </w:p>
    <w:p w14:paraId="4827B88D" w14:textId="77777777" w:rsidR="00AA601A" w:rsidRDefault="00AA601A" w:rsidP="00B64353">
      <w:pPr>
        <w:rPr>
          <w:lang w:eastAsia="zh-CN"/>
        </w:rPr>
      </w:pPr>
      <w:r>
        <w:rPr>
          <w:lang w:eastAsia="zh-CN"/>
        </w:rPr>
        <w:t>6</w:t>
      </w:r>
      <w:r w:rsidR="00E04370">
        <w:rPr>
          <w:lang w:eastAsia="zh-CN"/>
        </w:rPr>
        <w:tab/>
      </w:r>
      <w:r>
        <w:rPr>
          <w:rFonts w:ascii="SimSun" w:hAnsi="SimSun" w:hint="eastAsia"/>
          <w:lang w:eastAsia="zh-CN"/>
        </w:rPr>
        <w:t>起草一份行动计划，以落实第</w:t>
      </w:r>
      <w:r>
        <w:rPr>
          <w:lang w:eastAsia="zh-CN"/>
        </w:rPr>
        <w:t>25</w:t>
      </w:r>
      <w:r>
        <w:rPr>
          <w:rFonts w:ascii="SimSun" w:hAnsi="SimSun" w:hint="eastAsia"/>
          <w:lang w:eastAsia="zh-CN"/>
        </w:rPr>
        <w:t>号决议</w:t>
      </w:r>
      <w:r>
        <w:rPr>
          <w:rFonts w:ascii="SimSun" w:hAnsi="SimSun"/>
          <w:lang w:eastAsia="zh-CN"/>
        </w:rPr>
        <w:t>（</w:t>
      </w:r>
      <w:r>
        <w:rPr>
          <w:lang w:eastAsia="zh-CN"/>
        </w:rPr>
        <w:t>1998</w:t>
      </w:r>
      <w:r>
        <w:rPr>
          <w:rFonts w:ascii="SimSun" w:hAnsi="SimSun" w:hint="eastAsia"/>
          <w:lang w:eastAsia="zh-CN"/>
        </w:rPr>
        <w:t>年，明尼阿波利斯</w:t>
      </w:r>
      <w:r>
        <w:rPr>
          <w:rFonts w:ascii="SimSun" w:hAnsi="SimSun"/>
          <w:lang w:eastAsia="zh-CN"/>
        </w:rPr>
        <w:t>）</w:t>
      </w:r>
      <w:r>
        <w:rPr>
          <w:rFonts w:eastAsia="STKaiti" w:hint="eastAsia"/>
          <w:iCs/>
          <w:lang w:eastAsia="zh-CN"/>
        </w:rPr>
        <w:t>责成电信发展局主任</w:t>
      </w:r>
      <w:r>
        <w:rPr>
          <w:rFonts w:ascii="SimSun" w:hAnsi="SimSun" w:hint="eastAsia"/>
          <w:lang w:eastAsia="zh-CN"/>
        </w:rPr>
        <w:t>部分的指示，并遵守协议确定的时间期限并将规划提交给</w:t>
      </w:r>
      <w:r w:rsidRPr="000C7259">
        <w:rPr>
          <w:lang w:eastAsia="zh-CN"/>
        </w:rPr>
        <w:t>TDAG</w:t>
      </w:r>
      <w:r w:rsidRPr="000C7259">
        <w:rPr>
          <w:rFonts w:hAnsi="SimSun"/>
          <w:lang w:eastAsia="zh-CN"/>
        </w:rPr>
        <w:t>征</w:t>
      </w:r>
      <w:r>
        <w:rPr>
          <w:rFonts w:ascii="SimSun" w:hAnsi="SimSun" w:hint="eastAsia"/>
          <w:lang w:eastAsia="zh-CN"/>
        </w:rPr>
        <w:t>求意见；</w:t>
      </w:r>
    </w:p>
    <w:p w14:paraId="4827B88E" w14:textId="77777777" w:rsidR="00E35030" w:rsidRDefault="00AA601A" w:rsidP="00B64353">
      <w:pPr>
        <w:rPr>
          <w:rFonts w:ascii="SimSun" w:hAnsi="SimSun"/>
          <w:lang w:eastAsia="zh-CN"/>
        </w:rPr>
      </w:pPr>
      <w:r>
        <w:rPr>
          <w:lang w:eastAsia="zh-CN"/>
        </w:rPr>
        <w:t>7</w:t>
      </w:r>
      <w:r w:rsidR="00E04370">
        <w:rPr>
          <w:lang w:eastAsia="zh-CN"/>
        </w:rPr>
        <w:tab/>
      </w:r>
      <w:r>
        <w:rPr>
          <w:rFonts w:ascii="SimSun" w:hAnsi="SimSun" w:hint="eastAsia"/>
          <w:lang w:eastAsia="zh-CN"/>
        </w:rPr>
        <w:t>每年根据量化的和可衡量的目标，对各区域代表处起草的</w:t>
      </w:r>
      <w:r w:rsidR="00416339">
        <w:rPr>
          <w:rFonts w:ascii="SimSun" w:hAnsi="SimSun" w:hint="eastAsia"/>
          <w:lang w:eastAsia="zh-CN"/>
        </w:rPr>
        <w:t>《运作规划》</w:t>
      </w:r>
      <w:r>
        <w:rPr>
          <w:rFonts w:ascii="SimSun" w:hAnsi="SimSun" w:hint="eastAsia"/>
          <w:lang w:eastAsia="zh-CN"/>
        </w:rPr>
        <w:t>的实施进展情况作一汇报；</w:t>
      </w:r>
    </w:p>
    <w:p w14:paraId="4827B88F" w14:textId="77777777" w:rsidR="00AA601A" w:rsidRDefault="00AA601A" w:rsidP="00B64353">
      <w:pPr>
        <w:rPr>
          <w:lang w:eastAsia="zh-CN"/>
        </w:rPr>
      </w:pPr>
      <w:r>
        <w:rPr>
          <w:lang w:eastAsia="zh-CN"/>
        </w:rPr>
        <w:t>8</w:t>
      </w:r>
      <w:r w:rsidR="00E04370">
        <w:rPr>
          <w:lang w:eastAsia="zh-CN"/>
        </w:rPr>
        <w:tab/>
      </w:r>
      <w:r>
        <w:rPr>
          <w:rFonts w:ascii="SimSun" w:hAnsi="SimSun" w:hint="eastAsia"/>
          <w:lang w:eastAsia="zh-CN"/>
        </w:rPr>
        <w:t>对包括总部和各地机构在内的</w:t>
      </w:r>
      <w:r>
        <w:rPr>
          <w:lang w:eastAsia="zh-CN"/>
        </w:rPr>
        <w:t>BDT</w:t>
      </w:r>
      <w:r>
        <w:rPr>
          <w:rFonts w:ascii="SimSun" w:hAnsi="SimSun" w:hint="eastAsia"/>
          <w:lang w:eastAsia="zh-CN"/>
        </w:rPr>
        <w:t>结构进行必要调整，以便利用总部在支撑、监督和协调等方面的改进能力，加强各地区资源方面的平衡</w:t>
      </w:r>
      <w:r>
        <w:rPr>
          <w:rFonts w:ascii="SimSun" w:hAnsi="SimSun"/>
          <w:lang w:eastAsia="zh-CN"/>
        </w:rPr>
        <w:t>（</w:t>
      </w:r>
      <w:r>
        <w:rPr>
          <w:rFonts w:ascii="SimSun" w:hAnsi="SimSun" w:hint="eastAsia"/>
          <w:lang w:eastAsia="zh-CN"/>
        </w:rPr>
        <w:t>包括将总部的资源转移到各区域代表处</w:t>
      </w:r>
      <w:r>
        <w:rPr>
          <w:rFonts w:ascii="SimSun" w:hAnsi="SimSun"/>
          <w:lang w:eastAsia="zh-CN"/>
        </w:rPr>
        <w:t>）</w:t>
      </w:r>
      <w:r>
        <w:rPr>
          <w:rFonts w:ascii="SimSun" w:hAnsi="SimSun" w:hint="eastAsia"/>
          <w:lang w:eastAsia="zh-CN"/>
        </w:rPr>
        <w:t>；</w:t>
      </w:r>
    </w:p>
    <w:p w14:paraId="4827B890" w14:textId="77777777" w:rsidR="00B66D0B" w:rsidRDefault="00B66D0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891" w14:textId="77777777" w:rsidR="00AA601A" w:rsidRDefault="00AA601A" w:rsidP="00B64353">
      <w:pPr>
        <w:rPr>
          <w:lang w:eastAsia="zh-CN"/>
        </w:rPr>
      </w:pPr>
      <w:r>
        <w:rPr>
          <w:lang w:eastAsia="zh-CN"/>
        </w:rPr>
        <w:lastRenderedPageBreak/>
        <w:t>9</w:t>
      </w:r>
      <w:r w:rsidR="00E04370">
        <w:rPr>
          <w:lang w:eastAsia="zh-CN"/>
        </w:rPr>
        <w:tab/>
      </w:r>
      <w:r>
        <w:rPr>
          <w:rFonts w:ascii="SimSun" w:hAnsi="SimSun" w:hint="eastAsia"/>
          <w:lang w:eastAsia="zh-CN"/>
        </w:rPr>
        <w:t>在总部和各地机构确定并改进与区域代表处相关的工作程序，以确保更有效地使用资源并防止工作重叠，</w:t>
      </w:r>
    </w:p>
    <w:p w14:paraId="4827B892" w14:textId="77777777" w:rsidR="00AA601A" w:rsidRDefault="00AA601A" w:rsidP="00B64353">
      <w:pPr>
        <w:rPr>
          <w:lang w:eastAsia="zh-CN"/>
        </w:rPr>
      </w:pPr>
      <w:r>
        <w:rPr>
          <w:lang w:eastAsia="zh-CN"/>
        </w:rPr>
        <w:tab/>
      </w:r>
      <w:r>
        <w:rPr>
          <w:rFonts w:eastAsia="STKaiti" w:hint="eastAsia"/>
          <w:iCs/>
          <w:lang w:eastAsia="zh-CN"/>
        </w:rPr>
        <w:t>责成秘书长以及电信发展局、无线电通信局与电信标准化局主任</w:t>
      </w:r>
      <w:r>
        <w:rPr>
          <w:rFonts w:ascii="SimSun" w:hAnsi="SimSun" w:hint="eastAsia"/>
          <w:lang w:eastAsia="zh-CN"/>
        </w:rPr>
        <w:t>考虑到各区域的具体情况与优先考虑的问题，适当地将权力下放，旨在加强区域代表处的有效性，</w:t>
      </w:r>
    </w:p>
    <w:p w14:paraId="4827B893" w14:textId="77777777" w:rsidR="00AA601A" w:rsidRDefault="00AA601A" w:rsidP="00B64353">
      <w:pPr>
        <w:rPr>
          <w:lang w:eastAsia="zh-CN"/>
        </w:rPr>
      </w:pPr>
      <w:r>
        <w:rPr>
          <w:i/>
          <w:lang w:eastAsia="zh-CN"/>
        </w:rPr>
        <w:tab/>
      </w:r>
      <w:r>
        <w:rPr>
          <w:rFonts w:eastAsia="STKaiti" w:hint="eastAsia"/>
          <w:iCs/>
          <w:lang w:eastAsia="zh-CN"/>
        </w:rPr>
        <w:t>责成无线电通信局与电信标准化局主任</w:t>
      </w:r>
      <w:r>
        <w:rPr>
          <w:rFonts w:ascii="SimSun" w:hAnsi="SimSun" w:hint="eastAsia"/>
          <w:lang w:eastAsia="zh-CN"/>
        </w:rPr>
        <w:t>就各区域成员介入和有效参与相关部门活动的情况以及针对加强介入和参与所采取的措施，为</w:t>
      </w:r>
      <w:r>
        <w:rPr>
          <w:lang w:eastAsia="zh-CN"/>
        </w:rPr>
        <w:t>2000</w:t>
      </w:r>
      <w:r>
        <w:rPr>
          <w:rFonts w:ascii="SimSun" w:hAnsi="SimSun" w:hint="eastAsia"/>
          <w:lang w:eastAsia="zh-CN"/>
        </w:rPr>
        <w:t>年及之后的理事会会议准备一份报告，</w:t>
      </w:r>
    </w:p>
    <w:p w14:paraId="4827B894" w14:textId="77777777" w:rsidR="00AA601A" w:rsidRDefault="00AA601A" w:rsidP="00B64353">
      <w:pPr>
        <w:rPr>
          <w:lang w:eastAsia="zh-CN"/>
        </w:rPr>
      </w:pPr>
      <w:r>
        <w:rPr>
          <w:i/>
          <w:lang w:eastAsia="zh-CN"/>
        </w:rPr>
        <w:tab/>
      </w:r>
      <w:r>
        <w:rPr>
          <w:rFonts w:eastAsia="STKaiti" w:hint="eastAsia"/>
          <w:iCs/>
          <w:lang w:eastAsia="zh-CN"/>
        </w:rPr>
        <w:t>进一步责成秘书长</w:t>
      </w:r>
      <w:r>
        <w:rPr>
          <w:rFonts w:ascii="SimSun" w:hAnsi="SimSun" w:hint="eastAsia"/>
          <w:lang w:eastAsia="zh-CN"/>
        </w:rPr>
        <w:t>根据第</w:t>
      </w:r>
      <w:r>
        <w:rPr>
          <w:lang w:eastAsia="zh-CN"/>
        </w:rPr>
        <w:t>25</w:t>
      </w:r>
      <w:r>
        <w:rPr>
          <w:rFonts w:ascii="SimSun" w:hAnsi="SimSun" w:hint="eastAsia"/>
          <w:lang w:eastAsia="zh-CN"/>
        </w:rPr>
        <w:t>号决议</w:t>
      </w:r>
      <w:r>
        <w:rPr>
          <w:rFonts w:ascii="SimSun" w:hAnsi="SimSun"/>
          <w:lang w:eastAsia="zh-CN"/>
        </w:rPr>
        <w:t>（</w:t>
      </w:r>
      <w:r w:rsidRPr="00683D10">
        <w:rPr>
          <w:lang w:eastAsia="zh-CN"/>
        </w:rPr>
        <w:t>1998</w:t>
      </w:r>
      <w:r>
        <w:rPr>
          <w:rFonts w:ascii="SimSun" w:hAnsi="SimSun" w:hint="eastAsia"/>
          <w:lang w:eastAsia="zh-CN"/>
        </w:rPr>
        <w:t>年，明尼阿波利斯</w:t>
      </w:r>
      <w:r>
        <w:rPr>
          <w:rFonts w:ascii="SimSun" w:hAnsi="SimSun"/>
          <w:lang w:eastAsia="zh-CN"/>
        </w:rPr>
        <w:t>）</w:t>
      </w:r>
      <w:r>
        <w:rPr>
          <w:rFonts w:ascii="SimSun" w:hAnsi="SimSun" w:hint="eastAsia"/>
          <w:lang w:eastAsia="zh-CN"/>
        </w:rPr>
        <w:t>，向</w:t>
      </w:r>
      <w:r>
        <w:rPr>
          <w:lang w:eastAsia="zh-CN"/>
        </w:rPr>
        <w:t>2000</w:t>
      </w:r>
      <w:r>
        <w:rPr>
          <w:rFonts w:ascii="SimSun" w:hAnsi="SimSun" w:hint="eastAsia"/>
          <w:lang w:eastAsia="zh-CN"/>
        </w:rPr>
        <w:t>年及之后的理事会会议作汇报。</w:t>
      </w:r>
    </w:p>
    <w:p w14:paraId="4827B895" w14:textId="77777777" w:rsidR="00AA601A" w:rsidRDefault="00AA601A" w:rsidP="00EC41DE">
      <w:pPr>
        <w:spacing w:before="600"/>
        <w:rPr>
          <w:lang w:eastAsia="zh-CN"/>
        </w:rPr>
      </w:pPr>
      <w:r w:rsidRPr="0070163A">
        <w:rPr>
          <w:rFonts w:ascii="SimSun" w:hAnsi="SimSun"/>
          <w:b/>
          <w:iCs/>
          <w:lang w:eastAsia="zh-CN"/>
        </w:rPr>
        <w:t>附件</w:t>
      </w:r>
      <w:r w:rsidRPr="0070163A">
        <w:rPr>
          <w:rFonts w:ascii="SimSun" w:hAnsi="SimSun"/>
          <w:lang w:eastAsia="zh-CN"/>
        </w:rPr>
        <w:t>：</w:t>
      </w:r>
      <w:r w:rsidRPr="00212875">
        <w:rPr>
          <w:rFonts w:cstheme="minorHAnsi"/>
          <w:lang w:val="en-US" w:eastAsia="zh-CN"/>
        </w:rPr>
        <w:t>1</w:t>
      </w:r>
      <w:r>
        <w:rPr>
          <w:rFonts w:ascii="SimSun" w:hAnsi="SimSun" w:hint="eastAsia"/>
          <w:lang w:val="fr-FR" w:eastAsia="zh-CN"/>
        </w:rPr>
        <w:t>件</w:t>
      </w:r>
    </w:p>
    <w:p w14:paraId="4827B896" w14:textId="77777777" w:rsidR="000C17C5" w:rsidRDefault="00AA601A" w:rsidP="00B64353">
      <w:pPr>
        <w:pStyle w:val="Annex"/>
        <w:spacing w:before="120"/>
        <w:rPr>
          <w:rStyle w:val="AnnexNotitleChar"/>
          <w:b w:val="0"/>
          <w:lang w:eastAsia="zh-CN"/>
        </w:rPr>
      </w:pPr>
      <w:r w:rsidRPr="00DF74A8">
        <w:rPr>
          <w:rStyle w:val="AnnexNotitleChar"/>
          <w:rFonts w:hint="eastAsia"/>
          <w:b w:val="0"/>
          <w:lang w:eastAsia="zh-CN"/>
        </w:rPr>
        <w:t>（第</w:t>
      </w:r>
      <w:r w:rsidRPr="00DF74A8">
        <w:rPr>
          <w:rStyle w:val="AnnexNotitleChar"/>
          <w:rFonts w:hint="eastAsia"/>
          <w:b w:val="0"/>
          <w:lang w:eastAsia="zh-CN"/>
        </w:rPr>
        <w:t>1143</w:t>
      </w:r>
      <w:r w:rsidRPr="00DF74A8">
        <w:rPr>
          <w:rStyle w:val="AnnexNotitleChar"/>
          <w:rFonts w:hint="eastAsia"/>
          <w:b w:val="0"/>
          <w:lang w:eastAsia="zh-CN"/>
        </w:rPr>
        <w:t>号决议）</w:t>
      </w:r>
    </w:p>
    <w:p w14:paraId="4827B897" w14:textId="77777777" w:rsidR="000C17C5" w:rsidRDefault="00AA601A" w:rsidP="00B64353">
      <w:pPr>
        <w:pStyle w:val="Annex"/>
        <w:spacing w:before="120"/>
        <w:rPr>
          <w:rStyle w:val="AnnexNotitleChar"/>
          <w:b w:val="0"/>
          <w:lang w:eastAsia="zh-CN"/>
        </w:rPr>
      </w:pPr>
      <w:r w:rsidRPr="00DF74A8">
        <w:rPr>
          <w:rStyle w:val="AnnexNotitleChar"/>
          <w:rFonts w:hint="eastAsia"/>
          <w:b w:val="0"/>
          <w:lang w:eastAsia="zh-CN"/>
        </w:rPr>
        <w:t>附件</w:t>
      </w:r>
      <w:r w:rsidRPr="00DF74A8">
        <w:rPr>
          <w:rStyle w:val="AnnexNotitleChar"/>
          <w:b w:val="0"/>
          <w:lang w:eastAsia="zh-CN"/>
        </w:rPr>
        <w:t>A</w:t>
      </w:r>
    </w:p>
    <w:p w14:paraId="4827B898" w14:textId="77777777" w:rsidR="00AA601A" w:rsidRPr="000C17C5" w:rsidRDefault="00AA601A" w:rsidP="000C17C5">
      <w:pPr>
        <w:pStyle w:val="Annextitle"/>
        <w:rPr>
          <w:rStyle w:val="AnnexNotitleChar"/>
          <w:b/>
          <w:lang w:eastAsia="zh-CN"/>
        </w:rPr>
      </w:pPr>
      <w:r w:rsidRPr="000C17C5">
        <w:rPr>
          <w:rStyle w:val="AnnexNotitleChar"/>
          <w:rFonts w:hint="eastAsia"/>
          <w:b/>
          <w:lang w:eastAsia="zh-CN"/>
        </w:rPr>
        <w:t>区域代表处应从事的一般性活动</w:t>
      </w:r>
    </w:p>
    <w:p w14:paraId="4827B899" w14:textId="77777777" w:rsidR="00AA601A" w:rsidRDefault="00AA601A" w:rsidP="00B64353">
      <w:pPr>
        <w:rPr>
          <w:lang w:eastAsia="zh-CN"/>
        </w:rPr>
      </w:pPr>
      <w:r>
        <w:rPr>
          <w:lang w:eastAsia="zh-CN"/>
        </w:rPr>
        <w:t>a</w:t>
      </w:r>
      <w:r w:rsidR="000E6A83">
        <w:rPr>
          <w:lang w:eastAsia="zh-CN"/>
        </w:rPr>
        <w:t>)</w:t>
      </w:r>
      <w:r w:rsidR="000E6A83">
        <w:rPr>
          <w:lang w:eastAsia="zh-CN"/>
        </w:rPr>
        <w:tab/>
      </w:r>
      <w:r>
        <w:rPr>
          <w:rFonts w:ascii="SimSun" w:hAnsi="SimSun" w:hint="eastAsia"/>
          <w:lang w:eastAsia="zh-CN"/>
        </w:rPr>
        <w:t>协调或开展未列入以下的、但属于第</w:t>
      </w:r>
      <w:r>
        <w:rPr>
          <w:lang w:eastAsia="zh-CN"/>
        </w:rPr>
        <w:t>71</w:t>
      </w:r>
      <w:r>
        <w:rPr>
          <w:rFonts w:ascii="SimSun" w:hAnsi="SimSun" w:hint="eastAsia"/>
          <w:lang w:eastAsia="zh-CN"/>
        </w:rPr>
        <w:t>号决议</w:t>
      </w:r>
      <w:r>
        <w:rPr>
          <w:rFonts w:ascii="SimSun" w:hAnsi="SimSun"/>
          <w:lang w:eastAsia="zh-CN"/>
        </w:rPr>
        <w:t>（</w:t>
      </w:r>
      <w:r>
        <w:rPr>
          <w:lang w:eastAsia="zh-CN"/>
        </w:rPr>
        <w:t>1998</w:t>
      </w:r>
      <w:r>
        <w:rPr>
          <w:rFonts w:ascii="SimSun" w:hAnsi="SimSun" w:hint="eastAsia"/>
          <w:lang w:eastAsia="zh-CN"/>
        </w:rPr>
        <w:t>年，明尼阿波利斯</w:t>
      </w:r>
      <w:r>
        <w:rPr>
          <w:rFonts w:ascii="SimSun" w:hAnsi="SimSun"/>
          <w:lang w:eastAsia="zh-CN"/>
        </w:rPr>
        <w:t>）</w:t>
      </w:r>
      <w:r>
        <w:rPr>
          <w:rFonts w:ascii="SimSun" w:hAnsi="SimSun" w:hint="eastAsia"/>
          <w:lang w:eastAsia="zh-CN"/>
        </w:rPr>
        <w:t>附件</w:t>
      </w:r>
      <w:r>
        <w:rPr>
          <w:rFonts w:ascii="SimSun" w:hAnsi="SimSun"/>
          <w:lang w:eastAsia="zh-CN"/>
        </w:rPr>
        <w:t>1</w:t>
      </w:r>
      <w:r>
        <w:rPr>
          <w:rFonts w:ascii="SimSun" w:hAnsi="SimSun" w:hint="eastAsia"/>
          <w:lang w:eastAsia="zh-CN"/>
        </w:rPr>
        <w:t>范围内的任何区域性任务。</w:t>
      </w:r>
    </w:p>
    <w:p w14:paraId="4827B89A" w14:textId="77777777" w:rsidR="00AA601A" w:rsidRDefault="00AA601A" w:rsidP="00B64353">
      <w:pPr>
        <w:rPr>
          <w:lang w:eastAsia="zh-CN"/>
        </w:rPr>
      </w:pPr>
      <w:r>
        <w:rPr>
          <w:lang w:eastAsia="zh-CN"/>
        </w:rPr>
        <w:t>b</w:t>
      </w:r>
      <w:r w:rsidR="000E6A83">
        <w:rPr>
          <w:lang w:eastAsia="zh-CN"/>
        </w:rPr>
        <w:t>)</w:t>
      </w:r>
      <w:r w:rsidR="000E6A83">
        <w:rPr>
          <w:lang w:eastAsia="zh-CN"/>
        </w:rPr>
        <w:tab/>
      </w:r>
      <w:r>
        <w:rPr>
          <w:rFonts w:ascii="SimSun" w:hAnsi="SimSun" w:hint="eastAsia"/>
          <w:lang w:eastAsia="zh-CN"/>
        </w:rPr>
        <w:t>向政策制订者、</w:t>
      </w:r>
      <w:r w:rsidR="00397A39">
        <w:rPr>
          <w:rFonts w:ascii="SimSun" w:hAnsi="SimSun" w:hint="eastAsia"/>
          <w:lang w:eastAsia="zh-CN"/>
        </w:rPr>
        <w:t>监管</w:t>
      </w:r>
      <w:r>
        <w:rPr>
          <w:rFonts w:ascii="SimSun" w:hAnsi="SimSun" w:hint="eastAsia"/>
          <w:lang w:eastAsia="zh-CN"/>
        </w:rPr>
        <w:t>机构和电信运营商通报世界电信政策和管理方面的趋势。</w:t>
      </w:r>
      <w:r>
        <w:rPr>
          <w:rFonts w:ascii="SimSun" w:hAnsi="SimSun"/>
          <w:lang w:eastAsia="zh-CN"/>
        </w:rPr>
        <w:t>（</w:t>
      </w:r>
      <w:r>
        <w:rPr>
          <w:rFonts w:ascii="SimSun" w:hAnsi="SimSun" w:hint="eastAsia"/>
          <w:lang w:eastAsia="zh-CN"/>
        </w:rPr>
        <w:t>例如，</w:t>
      </w:r>
      <w:r w:rsidR="00397A39">
        <w:rPr>
          <w:rFonts w:ascii="SimSun" w:hAnsi="SimSun" w:hint="eastAsia"/>
          <w:lang w:eastAsia="zh-CN"/>
        </w:rPr>
        <w:t>监管</w:t>
      </w:r>
      <w:r>
        <w:rPr>
          <w:rFonts w:ascii="SimSun" w:hAnsi="SimSun" w:hint="eastAsia"/>
          <w:lang w:eastAsia="zh-CN"/>
        </w:rPr>
        <w:t>框架的组织和电信市场的</w:t>
      </w:r>
      <w:r w:rsidR="00397A39">
        <w:rPr>
          <w:rFonts w:ascii="SimSun" w:hAnsi="SimSun" w:hint="eastAsia"/>
          <w:lang w:eastAsia="zh-CN"/>
        </w:rPr>
        <w:t>监管</w:t>
      </w:r>
      <w:r>
        <w:rPr>
          <w:rFonts w:ascii="SimSun" w:hAnsi="SimSun" w:hint="eastAsia"/>
          <w:lang w:eastAsia="zh-CN"/>
        </w:rPr>
        <w:t>，</w:t>
      </w:r>
      <w:r>
        <w:rPr>
          <w:lang w:eastAsia="zh-CN"/>
        </w:rPr>
        <w:t>GMPCS</w:t>
      </w:r>
      <w:r w:rsidR="005A58C4">
        <w:rPr>
          <w:rFonts w:ascii="SimSun" w:hAnsi="SimSun" w:hint="eastAsia"/>
          <w:lang w:eastAsia="zh-CN"/>
        </w:rPr>
        <w:t>，</w:t>
      </w:r>
      <w:r>
        <w:rPr>
          <w:rFonts w:ascii="SimSun" w:hAnsi="SimSun" w:hint="eastAsia"/>
          <w:lang w:eastAsia="zh-CN"/>
        </w:rPr>
        <w:t>服务贸易，电子商务，</w:t>
      </w:r>
      <w:r w:rsidRPr="005A58C4">
        <w:rPr>
          <w:lang w:eastAsia="zh-CN"/>
        </w:rPr>
        <w:t>IMT-2000</w:t>
      </w:r>
      <w:r w:rsidR="005A58C4">
        <w:rPr>
          <w:rFonts w:ascii="SimSun" w:hAnsi="SimSun" w:hint="eastAsia"/>
          <w:lang w:eastAsia="zh-CN"/>
        </w:rPr>
        <w:t>，</w:t>
      </w:r>
      <w:r w:rsidRPr="00820799">
        <w:rPr>
          <w:lang w:eastAsia="zh-CN"/>
        </w:rPr>
        <w:t>IP</w:t>
      </w:r>
      <w:r>
        <w:rPr>
          <w:rFonts w:ascii="SimSun" w:hAnsi="SimSun" w:hint="eastAsia"/>
          <w:lang w:eastAsia="zh-CN"/>
        </w:rPr>
        <w:t>协议的影响</w:t>
      </w:r>
      <w:r w:rsidR="005A58C4">
        <w:rPr>
          <w:rFonts w:ascii="SimSun" w:hAnsi="SimSun" w:hint="eastAsia"/>
          <w:lang w:eastAsia="zh-CN"/>
        </w:rPr>
        <w:t>，</w:t>
      </w:r>
      <w:r>
        <w:rPr>
          <w:lang w:eastAsia="zh-CN"/>
        </w:rPr>
        <w:t>GATS</w:t>
      </w:r>
      <w:r w:rsidR="005A58C4">
        <w:rPr>
          <w:rFonts w:ascii="SimSun" w:hAnsi="SimSun" w:hint="eastAsia"/>
          <w:lang w:eastAsia="zh-CN"/>
        </w:rPr>
        <w:t>，</w:t>
      </w:r>
      <w:r>
        <w:rPr>
          <w:rFonts w:ascii="SimSun" w:hAnsi="SimSun" w:hint="eastAsia"/>
          <w:lang w:eastAsia="zh-CN"/>
        </w:rPr>
        <w:t>一般性管理等。</w:t>
      </w:r>
      <w:r>
        <w:rPr>
          <w:rFonts w:ascii="SimSun" w:hAnsi="SimSun"/>
          <w:lang w:eastAsia="zh-CN"/>
        </w:rPr>
        <w:t>）</w:t>
      </w:r>
    </w:p>
    <w:p w14:paraId="4827B89B" w14:textId="77777777" w:rsidR="00AA601A" w:rsidRDefault="00AA601A" w:rsidP="00B64353">
      <w:pPr>
        <w:rPr>
          <w:lang w:eastAsia="zh-CN"/>
        </w:rPr>
      </w:pPr>
      <w:r>
        <w:rPr>
          <w:lang w:eastAsia="zh-CN"/>
        </w:rPr>
        <w:t>c</w:t>
      </w:r>
      <w:r w:rsidR="000E6A83">
        <w:rPr>
          <w:lang w:eastAsia="zh-CN"/>
        </w:rPr>
        <w:t>)</w:t>
      </w:r>
      <w:r w:rsidR="000E6A83">
        <w:rPr>
          <w:lang w:eastAsia="zh-CN"/>
        </w:rPr>
        <w:tab/>
      </w:r>
      <w:r>
        <w:rPr>
          <w:rFonts w:ascii="SimSun" w:hAnsi="SimSun" w:hint="eastAsia"/>
          <w:lang w:eastAsia="zh-CN"/>
        </w:rPr>
        <w:t>帮助电信运营商更好地了解行政规则</w:t>
      </w:r>
      <w:r>
        <w:rPr>
          <w:rFonts w:ascii="SimSun" w:hAnsi="SimSun"/>
          <w:lang w:eastAsia="zh-CN"/>
        </w:rPr>
        <w:t>（</w:t>
      </w:r>
      <w:r>
        <w:rPr>
          <w:rFonts w:ascii="SimSun" w:hAnsi="SimSun" w:hint="eastAsia"/>
          <w:lang w:eastAsia="zh-CN"/>
        </w:rPr>
        <w:t>《无线电规则》，《国际电信规则》等</w:t>
      </w:r>
      <w:r>
        <w:rPr>
          <w:rFonts w:ascii="SimSun" w:hAnsi="SimSun"/>
          <w:lang w:eastAsia="zh-CN"/>
        </w:rPr>
        <w:t>）</w:t>
      </w:r>
      <w:r>
        <w:rPr>
          <w:rFonts w:ascii="SimSun" w:hAnsi="SimSun" w:hint="eastAsia"/>
          <w:lang w:eastAsia="zh-CN"/>
        </w:rPr>
        <w:t>。</w:t>
      </w:r>
    </w:p>
    <w:p w14:paraId="4827B89C" w14:textId="77777777" w:rsidR="00AA601A" w:rsidRDefault="00AA601A" w:rsidP="00B64353">
      <w:pPr>
        <w:rPr>
          <w:lang w:eastAsia="zh-CN"/>
        </w:rPr>
      </w:pPr>
      <w:r>
        <w:rPr>
          <w:lang w:eastAsia="zh-CN"/>
        </w:rPr>
        <w:t>d</w:t>
      </w:r>
      <w:r w:rsidR="000E6A83">
        <w:rPr>
          <w:lang w:eastAsia="zh-CN"/>
        </w:rPr>
        <w:t>)</w:t>
      </w:r>
      <w:r w:rsidR="000E6A83">
        <w:rPr>
          <w:lang w:eastAsia="zh-CN"/>
        </w:rPr>
        <w:tab/>
      </w:r>
      <w:r>
        <w:rPr>
          <w:rFonts w:ascii="SimSun" w:hAnsi="SimSun" w:hint="eastAsia"/>
          <w:lang w:eastAsia="zh-CN"/>
        </w:rPr>
        <w:t>使政策制订者、</w:t>
      </w:r>
      <w:r w:rsidR="00397A39">
        <w:rPr>
          <w:rFonts w:ascii="SimSun" w:hAnsi="SimSun" w:hint="eastAsia"/>
          <w:lang w:eastAsia="zh-CN"/>
        </w:rPr>
        <w:t>监管</w:t>
      </w:r>
      <w:r>
        <w:rPr>
          <w:rFonts w:ascii="SimSun" w:hAnsi="SimSun" w:hint="eastAsia"/>
          <w:lang w:eastAsia="zh-CN"/>
        </w:rPr>
        <w:t>机构、适当的机构与组织和电信运营商关注关键资源</w:t>
      </w:r>
      <w:r>
        <w:rPr>
          <w:rFonts w:ascii="SimSun" w:hAnsi="SimSun"/>
          <w:lang w:eastAsia="zh-CN"/>
        </w:rPr>
        <w:t>（</w:t>
      </w:r>
      <w:r>
        <w:rPr>
          <w:rFonts w:ascii="SimSun" w:hAnsi="SimSun" w:hint="eastAsia"/>
          <w:lang w:eastAsia="zh-CN"/>
        </w:rPr>
        <w:t>如，无线电频谱，编号方案等</w:t>
      </w:r>
      <w:r>
        <w:rPr>
          <w:rFonts w:ascii="SimSun" w:hAnsi="SimSun"/>
          <w:lang w:eastAsia="zh-CN"/>
        </w:rPr>
        <w:t>）</w:t>
      </w:r>
      <w:r>
        <w:rPr>
          <w:rFonts w:ascii="SimSun" w:hAnsi="SimSun" w:hint="eastAsia"/>
          <w:lang w:eastAsia="zh-CN"/>
        </w:rPr>
        <w:t>的管理问题。</w:t>
      </w:r>
    </w:p>
    <w:p w14:paraId="4827B89D" w14:textId="77777777" w:rsidR="00AA601A" w:rsidRDefault="00AA601A" w:rsidP="00B64353">
      <w:pPr>
        <w:rPr>
          <w:lang w:eastAsia="zh-CN"/>
        </w:rPr>
      </w:pPr>
      <w:r>
        <w:rPr>
          <w:lang w:eastAsia="zh-CN"/>
        </w:rPr>
        <w:t>e</w:t>
      </w:r>
      <w:r w:rsidR="000E6A83">
        <w:rPr>
          <w:lang w:eastAsia="zh-CN"/>
        </w:rPr>
        <w:t>)</w:t>
      </w:r>
      <w:r w:rsidR="000E6A83">
        <w:rPr>
          <w:lang w:eastAsia="zh-CN"/>
        </w:rPr>
        <w:tab/>
      </w:r>
      <w:r>
        <w:rPr>
          <w:rFonts w:ascii="SimSun" w:hAnsi="SimSun" w:hint="eastAsia"/>
          <w:lang w:eastAsia="zh-CN"/>
        </w:rPr>
        <w:t>与国际电联各有关部门配合，定期向政策制订者、</w:t>
      </w:r>
      <w:r w:rsidR="00397A39">
        <w:rPr>
          <w:rFonts w:ascii="SimSun" w:hAnsi="SimSun" w:hint="eastAsia"/>
          <w:lang w:eastAsia="zh-CN"/>
        </w:rPr>
        <w:t>监管</w:t>
      </w:r>
      <w:r>
        <w:rPr>
          <w:rFonts w:ascii="SimSun" w:hAnsi="SimSun" w:hint="eastAsia"/>
          <w:lang w:eastAsia="zh-CN"/>
        </w:rPr>
        <w:t>机构、适当的机构与组织和电信运营商提供电信业务方面可预见的变革及其可能产生的影响的信息。</w:t>
      </w:r>
    </w:p>
    <w:p w14:paraId="4827B89E" w14:textId="77777777" w:rsidR="00AA601A" w:rsidRDefault="00AA601A" w:rsidP="00B64353">
      <w:pPr>
        <w:rPr>
          <w:lang w:eastAsia="zh-CN"/>
        </w:rPr>
      </w:pPr>
      <w:r>
        <w:rPr>
          <w:lang w:eastAsia="zh-CN"/>
        </w:rPr>
        <w:t>f</w:t>
      </w:r>
      <w:r w:rsidR="000E6A83">
        <w:rPr>
          <w:lang w:eastAsia="zh-CN"/>
        </w:rPr>
        <w:t>)</w:t>
      </w:r>
      <w:r w:rsidR="000E6A83">
        <w:rPr>
          <w:lang w:eastAsia="zh-CN"/>
        </w:rPr>
        <w:tab/>
      </w:r>
      <w:r>
        <w:rPr>
          <w:rFonts w:ascii="SimSun" w:hAnsi="SimSun" w:hint="eastAsia"/>
          <w:lang w:eastAsia="zh-CN"/>
        </w:rPr>
        <w:t>促进在可能会对电信网络发展产生影响的适当机构和组织中更广泛地使用新技术标准</w:t>
      </w:r>
      <w:r>
        <w:rPr>
          <w:rFonts w:ascii="SimSun" w:hAnsi="SimSun"/>
          <w:lang w:eastAsia="zh-CN"/>
        </w:rPr>
        <w:t>（</w:t>
      </w:r>
      <w:r>
        <w:rPr>
          <w:rFonts w:ascii="SimSun" w:hAnsi="SimSun" w:hint="eastAsia"/>
          <w:lang w:eastAsia="zh-CN"/>
        </w:rPr>
        <w:t>如，</w:t>
      </w:r>
      <w:r>
        <w:rPr>
          <w:lang w:eastAsia="zh-CN"/>
        </w:rPr>
        <w:t>ATM</w:t>
      </w:r>
      <w:r>
        <w:rPr>
          <w:rFonts w:hint="eastAsia"/>
          <w:lang w:eastAsia="zh-CN"/>
        </w:rPr>
        <w:t>，</w:t>
      </w:r>
      <w:r>
        <w:rPr>
          <w:lang w:eastAsia="zh-CN"/>
        </w:rPr>
        <w:t>IP</w:t>
      </w:r>
      <w:r>
        <w:rPr>
          <w:rFonts w:hint="eastAsia"/>
          <w:lang w:eastAsia="zh-CN"/>
        </w:rPr>
        <w:t>，</w:t>
      </w:r>
      <w:r w:rsidRPr="005A58C4">
        <w:rPr>
          <w:lang w:eastAsia="zh-CN"/>
        </w:rPr>
        <w:t>IMT-2000</w:t>
      </w:r>
      <w:r>
        <w:rPr>
          <w:rFonts w:ascii="SimSun" w:hAnsi="SimSun" w:hint="eastAsia"/>
          <w:lang w:eastAsia="zh-CN"/>
        </w:rPr>
        <w:t>等</w:t>
      </w:r>
      <w:r>
        <w:rPr>
          <w:rFonts w:ascii="SimSun" w:hAnsi="SimSun"/>
          <w:lang w:eastAsia="zh-CN"/>
        </w:rPr>
        <w:t>）</w:t>
      </w:r>
      <w:r>
        <w:rPr>
          <w:rFonts w:ascii="SimSun" w:hAnsi="SimSun" w:hint="eastAsia"/>
          <w:lang w:eastAsia="zh-CN"/>
        </w:rPr>
        <w:t>。</w:t>
      </w:r>
    </w:p>
    <w:p w14:paraId="4827B89F" w14:textId="77777777" w:rsidR="00B66D0B" w:rsidRDefault="00B66D0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8A0" w14:textId="77777777" w:rsidR="00AA601A" w:rsidRDefault="00AA601A" w:rsidP="00B64353">
      <w:pPr>
        <w:rPr>
          <w:lang w:eastAsia="zh-CN"/>
        </w:rPr>
      </w:pPr>
      <w:r>
        <w:rPr>
          <w:lang w:eastAsia="zh-CN"/>
        </w:rPr>
        <w:lastRenderedPageBreak/>
        <w:t>g</w:t>
      </w:r>
      <w:r w:rsidR="000E6A83">
        <w:rPr>
          <w:lang w:eastAsia="zh-CN"/>
        </w:rPr>
        <w:t>)</w:t>
      </w:r>
      <w:r w:rsidR="000E6A83">
        <w:rPr>
          <w:lang w:eastAsia="zh-CN"/>
        </w:rPr>
        <w:tab/>
      </w:r>
      <w:r>
        <w:rPr>
          <w:rFonts w:ascii="SimSun" w:hAnsi="SimSun" w:hint="eastAsia"/>
          <w:lang w:eastAsia="zh-CN"/>
        </w:rPr>
        <w:t>起草并定期更新标准的一般性规范，使其成为发展中国家进行采购时的指南，同时又不影响咨询与工程公司的利益。</w:t>
      </w:r>
    </w:p>
    <w:p w14:paraId="4827B8A1" w14:textId="77777777" w:rsidR="00AA601A" w:rsidRDefault="00AA601A" w:rsidP="00B64353">
      <w:pPr>
        <w:rPr>
          <w:lang w:eastAsia="zh-CN"/>
        </w:rPr>
      </w:pPr>
      <w:r>
        <w:rPr>
          <w:lang w:eastAsia="zh-CN"/>
        </w:rPr>
        <w:t>h</w:t>
      </w:r>
      <w:r w:rsidR="000E6A83">
        <w:rPr>
          <w:lang w:eastAsia="zh-CN"/>
        </w:rPr>
        <w:t>)</w:t>
      </w:r>
      <w:r w:rsidR="000E6A83">
        <w:rPr>
          <w:lang w:eastAsia="zh-CN"/>
        </w:rPr>
        <w:tab/>
      </w:r>
      <w:r>
        <w:rPr>
          <w:rFonts w:ascii="SimSun" w:hAnsi="SimSun" w:hint="eastAsia"/>
          <w:lang w:eastAsia="zh-CN"/>
        </w:rPr>
        <w:t>在电信网络和电信业务的技术与商业规划和开发方面支持电信运营商，特别是通过促进技术转让和促进逐步的工业化；向金融机构通报情况，以便他们能够向有社会效益的电信项目提供必要的支持。</w:t>
      </w:r>
    </w:p>
    <w:p w14:paraId="4827B8A2" w14:textId="77777777" w:rsidR="00AA601A" w:rsidRDefault="00AA601A" w:rsidP="00B64353">
      <w:pPr>
        <w:rPr>
          <w:lang w:eastAsia="zh-CN"/>
        </w:rPr>
      </w:pPr>
      <w:r>
        <w:rPr>
          <w:lang w:eastAsia="zh-CN"/>
        </w:rPr>
        <w:t>i</w:t>
      </w:r>
      <w:r w:rsidR="000E6A83">
        <w:rPr>
          <w:lang w:eastAsia="zh-CN"/>
        </w:rPr>
        <w:t>)</w:t>
      </w:r>
      <w:r w:rsidR="000E6A83">
        <w:rPr>
          <w:lang w:eastAsia="zh-CN"/>
        </w:rPr>
        <w:tab/>
      </w:r>
      <w:r>
        <w:rPr>
          <w:rFonts w:ascii="SimSun" w:hAnsi="SimSun" w:hint="eastAsia"/>
          <w:lang w:eastAsia="zh-CN"/>
        </w:rPr>
        <w:t>支持</w:t>
      </w:r>
      <w:r w:rsidR="00397A39">
        <w:rPr>
          <w:rFonts w:ascii="SimSun" w:hAnsi="SimSun" w:hint="eastAsia"/>
          <w:lang w:eastAsia="zh-CN"/>
        </w:rPr>
        <w:t>监管</w:t>
      </w:r>
      <w:r>
        <w:rPr>
          <w:rFonts w:ascii="SimSun" w:hAnsi="SimSun" w:hint="eastAsia"/>
          <w:lang w:eastAsia="zh-CN"/>
        </w:rPr>
        <w:t>机构、适当的机构与组织和电信运营商在推出电信业务的结算与资费体制方面所做的努力</w:t>
      </w:r>
      <w:r>
        <w:rPr>
          <w:rFonts w:ascii="SimSun" w:hAnsi="SimSun"/>
          <w:lang w:eastAsia="zh-CN"/>
        </w:rPr>
        <w:t>（</w:t>
      </w:r>
      <w:r>
        <w:rPr>
          <w:rFonts w:ascii="SimSun" w:hAnsi="SimSun" w:hint="eastAsia"/>
          <w:lang w:eastAsia="zh-CN"/>
        </w:rPr>
        <w:t>如，分</w:t>
      </w:r>
      <w:r w:rsidR="00492D09">
        <w:rPr>
          <w:rFonts w:ascii="SimSun" w:hAnsi="SimSun" w:hint="eastAsia"/>
          <w:lang w:eastAsia="zh-CN"/>
        </w:rPr>
        <w:t>账</w:t>
      </w:r>
      <w:r>
        <w:rPr>
          <w:rFonts w:ascii="SimSun" w:hAnsi="SimSun" w:hint="eastAsia"/>
          <w:lang w:eastAsia="zh-CN"/>
        </w:rPr>
        <w:t>，成本分配，普遍服务等</w:t>
      </w:r>
      <w:r>
        <w:rPr>
          <w:rFonts w:ascii="SimSun" w:hAnsi="SimSun"/>
          <w:lang w:eastAsia="zh-CN"/>
        </w:rPr>
        <w:t>）</w:t>
      </w:r>
      <w:r>
        <w:rPr>
          <w:rFonts w:ascii="SimSun" w:hAnsi="SimSun" w:hint="eastAsia"/>
          <w:lang w:eastAsia="zh-CN"/>
        </w:rPr>
        <w:t>。</w:t>
      </w:r>
    </w:p>
    <w:p w14:paraId="4827B8A3" w14:textId="77777777" w:rsidR="00AA601A" w:rsidRDefault="00AA601A" w:rsidP="00B64353">
      <w:pPr>
        <w:rPr>
          <w:lang w:eastAsia="zh-CN"/>
        </w:rPr>
      </w:pPr>
      <w:r>
        <w:rPr>
          <w:lang w:eastAsia="zh-CN"/>
        </w:rPr>
        <w:t>j</w:t>
      </w:r>
      <w:r w:rsidR="000E6A83">
        <w:rPr>
          <w:lang w:eastAsia="zh-CN"/>
        </w:rPr>
        <w:t>)</w:t>
      </w:r>
      <w:r w:rsidR="000E6A83">
        <w:rPr>
          <w:lang w:eastAsia="zh-CN"/>
        </w:rPr>
        <w:tab/>
      </w:r>
      <w:r>
        <w:rPr>
          <w:rFonts w:ascii="SimSun" w:hAnsi="SimSun" w:hint="eastAsia"/>
          <w:lang w:eastAsia="zh-CN"/>
        </w:rPr>
        <w:t>在电信运营商和适当的机构与组织中推进新的电信网络</w:t>
      </w:r>
      <w:r>
        <w:rPr>
          <w:rFonts w:ascii="SimSun" w:hAnsi="SimSun"/>
          <w:lang w:eastAsia="zh-CN"/>
        </w:rPr>
        <w:t>（</w:t>
      </w:r>
      <w:r>
        <w:rPr>
          <w:rFonts w:ascii="SimSun" w:hAnsi="SimSun" w:hint="eastAsia"/>
          <w:lang w:eastAsia="zh-CN"/>
        </w:rPr>
        <w:t>如，</w:t>
      </w:r>
      <w:r>
        <w:rPr>
          <w:lang w:eastAsia="zh-CN"/>
        </w:rPr>
        <w:t>IP</w:t>
      </w:r>
      <w:r>
        <w:rPr>
          <w:rFonts w:hint="eastAsia"/>
          <w:lang w:eastAsia="zh-CN"/>
        </w:rPr>
        <w:t>，</w:t>
      </w:r>
      <w:r>
        <w:rPr>
          <w:lang w:eastAsia="zh-CN"/>
        </w:rPr>
        <w:t>ATM</w:t>
      </w:r>
      <w:r>
        <w:rPr>
          <w:rFonts w:ascii="SimSun" w:hAnsi="SimSun" w:hint="eastAsia"/>
          <w:lang w:eastAsia="zh-CN"/>
        </w:rPr>
        <w:t>等</w:t>
      </w:r>
      <w:r>
        <w:rPr>
          <w:rFonts w:ascii="SimSun" w:hAnsi="SimSun"/>
          <w:lang w:eastAsia="zh-CN"/>
        </w:rPr>
        <w:t>）</w:t>
      </w:r>
      <w:r>
        <w:rPr>
          <w:rFonts w:ascii="SimSun" w:hAnsi="SimSun" w:hint="eastAsia"/>
          <w:lang w:eastAsia="zh-CN"/>
        </w:rPr>
        <w:t>运行与维护标准</w:t>
      </w:r>
    </w:p>
    <w:p w14:paraId="4827B8A4" w14:textId="77777777" w:rsidR="00AA601A" w:rsidRDefault="00AA601A" w:rsidP="00B64353">
      <w:pPr>
        <w:rPr>
          <w:rFonts w:ascii="SimSun" w:hAnsi="SimSun"/>
          <w:lang w:val="en-US" w:eastAsia="zh-CN"/>
        </w:rPr>
      </w:pPr>
      <w:r>
        <w:rPr>
          <w:lang w:eastAsia="zh-CN"/>
        </w:rPr>
        <w:t>k</w:t>
      </w:r>
      <w:r w:rsidR="000E6A83">
        <w:rPr>
          <w:lang w:eastAsia="zh-CN"/>
        </w:rPr>
        <w:t>)</w:t>
      </w:r>
      <w:r w:rsidR="000E6A83">
        <w:rPr>
          <w:lang w:eastAsia="zh-CN"/>
        </w:rPr>
        <w:tab/>
      </w:r>
      <w:r>
        <w:rPr>
          <w:rFonts w:ascii="SimSun" w:hAnsi="SimSun" w:hint="eastAsia"/>
          <w:lang w:eastAsia="zh-CN"/>
        </w:rPr>
        <w:t>尽可能收集相关地区电信网络和业务发展方面的数据，以便提交给政策制订者、</w:t>
      </w:r>
      <w:r w:rsidR="00397A39">
        <w:rPr>
          <w:rFonts w:ascii="SimSun" w:hAnsi="SimSun" w:hint="eastAsia"/>
          <w:lang w:eastAsia="zh-CN"/>
        </w:rPr>
        <w:t>监管</w:t>
      </w:r>
      <w:r>
        <w:rPr>
          <w:rFonts w:ascii="SimSun" w:hAnsi="SimSun" w:hint="eastAsia"/>
          <w:lang w:eastAsia="zh-CN"/>
        </w:rPr>
        <w:t>机构和电信运营商。</w:t>
      </w:r>
    </w:p>
    <w:p w14:paraId="4827B8A5" w14:textId="77777777" w:rsidR="00AA601A" w:rsidRDefault="00AA601A" w:rsidP="00B64353">
      <w:pPr>
        <w:rPr>
          <w:lang w:eastAsia="zh-CN"/>
        </w:rPr>
      </w:pPr>
      <w:r>
        <w:rPr>
          <w:lang w:eastAsia="zh-CN"/>
        </w:rPr>
        <w:t>l</w:t>
      </w:r>
      <w:r w:rsidR="000E6A83">
        <w:rPr>
          <w:lang w:eastAsia="zh-CN"/>
        </w:rPr>
        <w:t>)</w:t>
      </w:r>
      <w:r w:rsidR="000E6A83">
        <w:rPr>
          <w:lang w:eastAsia="zh-CN"/>
        </w:rPr>
        <w:tab/>
      </w:r>
      <w:r>
        <w:rPr>
          <w:rFonts w:ascii="SimSun" w:hAnsi="SimSun" w:hint="eastAsia"/>
          <w:lang w:eastAsia="zh-CN"/>
        </w:rPr>
        <w:t>向政策制订者、</w:t>
      </w:r>
      <w:r w:rsidR="00397A39">
        <w:rPr>
          <w:rFonts w:ascii="SimSun" w:hAnsi="SimSun" w:hint="eastAsia"/>
          <w:lang w:eastAsia="zh-CN"/>
        </w:rPr>
        <w:t>监管</w:t>
      </w:r>
      <w:r>
        <w:rPr>
          <w:rFonts w:ascii="SimSun" w:hAnsi="SimSun" w:hint="eastAsia"/>
          <w:lang w:eastAsia="zh-CN"/>
        </w:rPr>
        <w:t>机构、适当的机构与组织和电信运营商通报有关利用新技术提供业务时的</w:t>
      </w:r>
      <w:r w:rsidR="00397A39">
        <w:rPr>
          <w:rFonts w:ascii="SimSun" w:hAnsi="SimSun" w:hint="eastAsia"/>
          <w:lang w:eastAsia="zh-CN"/>
        </w:rPr>
        <w:t>监管</w:t>
      </w:r>
      <w:r>
        <w:rPr>
          <w:rFonts w:ascii="SimSun" w:hAnsi="SimSun" w:hint="eastAsia"/>
          <w:lang w:eastAsia="zh-CN"/>
        </w:rPr>
        <w:t>情况。</w:t>
      </w:r>
    </w:p>
    <w:p w14:paraId="4827B8A6" w14:textId="77777777" w:rsidR="00AA601A" w:rsidRDefault="00AA601A" w:rsidP="00B64353">
      <w:pPr>
        <w:rPr>
          <w:lang w:eastAsia="zh-CN"/>
        </w:rPr>
      </w:pPr>
      <w:r>
        <w:rPr>
          <w:lang w:eastAsia="zh-CN"/>
        </w:rPr>
        <w:t>m</w:t>
      </w:r>
      <w:r w:rsidR="000E6A83">
        <w:rPr>
          <w:lang w:eastAsia="zh-CN"/>
        </w:rPr>
        <w:t>)</w:t>
      </w:r>
      <w:r w:rsidR="000E6A83">
        <w:rPr>
          <w:lang w:eastAsia="zh-CN"/>
        </w:rPr>
        <w:tab/>
      </w:r>
      <w:r>
        <w:rPr>
          <w:rFonts w:ascii="SimSun" w:hAnsi="SimSun" w:hint="eastAsia"/>
          <w:lang w:eastAsia="zh-CN"/>
        </w:rPr>
        <w:t>在当地作为执行机构进行工作，并起到区域性项目和当地项目资源调动机构的作用。</w:t>
      </w:r>
    </w:p>
    <w:p w14:paraId="4827B8A7" w14:textId="77777777" w:rsidR="00AA601A" w:rsidRDefault="00AA601A" w:rsidP="00B64353">
      <w:pPr>
        <w:rPr>
          <w:rFonts w:ascii="SimSun" w:hAnsi="SimSun"/>
          <w:lang w:eastAsia="zh-CN"/>
        </w:rPr>
      </w:pPr>
      <w:r>
        <w:rPr>
          <w:lang w:eastAsia="zh-CN"/>
        </w:rPr>
        <w:t>n</w:t>
      </w:r>
      <w:r w:rsidR="000E6A83">
        <w:rPr>
          <w:lang w:eastAsia="zh-CN"/>
        </w:rPr>
        <w:t>)</w:t>
      </w:r>
      <w:r w:rsidR="000E6A83">
        <w:rPr>
          <w:lang w:eastAsia="zh-CN"/>
        </w:rPr>
        <w:tab/>
      </w:r>
      <w:r>
        <w:rPr>
          <w:rFonts w:ascii="SimSun" w:hAnsi="SimSun" w:hint="eastAsia"/>
          <w:lang w:eastAsia="zh-CN"/>
        </w:rPr>
        <w:t>协调或开展未列入上述各项、但属于</w:t>
      </w:r>
      <w:r>
        <w:rPr>
          <w:lang w:eastAsia="zh-CN"/>
        </w:rPr>
        <w:t>ITU-D</w:t>
      </w:r>
      <w:r>
        <w:rPr>
          <w:rFonts w:ascii="SimSun" w:hAnsi="SimSun" w:hint="eastAsia"/>
          <w:lang w:eastAsia="zh-CN"/>
        </w:rPr>
        <w:t>运作规划范围内的任何区域性任务。</w:t>
      </w:r>
    </w:p>
    <w:p w14:paraId="4827B8A8" w14:textId="77777777" w:rsidR="00F11D1D" w:rsidRDefault="00AA601A" w:rsidP="00B64353">
      <w:pPr>
        <w:rPr>
          <w:rFonts w:ascii="SimSun" w:hAnsi="SimSun"/>
          <w:lang w:eastAsia="zh-CN"/>
        </w:rPr>
      </w:pPr>
      <w:r>
        <w:rPr>
          <w:lang w:eastAsia="zh-CN"/>
        </w:rPr>
        <w:t>o</w:t>
      </w:r>
      <w:r w:rsidR="000E6A83">
        <w:rPr>
          <w:lang w:eastAsia="zh-CN"/>
        </w:rPr>
        <w:t>)</w:t>
      </w:r>
      <w:r w:rsidR="000E6A83">
        <w:rPr>
          <w:lang w:eastAsia="zh-CN"/>
        </w:rPr>
        <w:tab/>
      </w:r>
      <w:r>
        <w:rPr>
          <w:rFonts w:ascii="SimSun" w:hAnsi="SimSun" w:hint="eastAsia"/>
          <w:lang w:eastAsia="zh-CN"/>
        </w:rPr>
        <w:t>参与国际电联大会和全会的筹备工作，并考虑到各区域的特殊需要。</w:t>
      </w:r>
    </w:p>
    <w:p w14:paraId="4827B8A9" w14:textId="77777777" w:rsidR="005F7760" w:rsidRPr="00D746C3" w:rsidRDefault="003960F6" w:rsidP="00B50F58">
      <w:pPr>
        <w:pStyle w:val="Endtext"/>
        <w:rPr>
          <w:lang w:eastAsia="zh-CN"/>
        </w:rPr>
      </w:pPr>
      <w:r>
        <w:rPr>
          <w:rFonts w:hint="eastAsia"/>
          <w:iCs w:val="0"/>
          <w:lang w:eastAsia="zh-CN"/>
        </w:rPr>
        <w:t>参阅</w:t>
      </w:r>
      <w:r>
        <w:rPr>
          <w:rFonts w:ascii="STKaiti" w:hAnsi="SimSun" w:hint="eastAsia"/>
          <w:lang w:eastAsia="zh-CN"/>
        </w:rPr>
        <w:t>：</w:t>
      </w:r>
      <w:r>
        <w:rPr>
          <w:rFonts w:ascii="STKaiti" w:hAnsi="SimSun" w:hint="eastAsia"/>
          <w:lang w:eastAsia="zh-CN"/>
        </w:rPr>
        <w:tab/>
      </w:r>
      <w:hyperlink r:id="rId470" w:history="1">
        <w:r w:rsidRPr="005E7EA9">
          <w:rPr>
            <w:rStyle w:val="Hyperlink"/>
            <w:lang w:val="fr-FR" w:eastAsia="zh-CN"/>
          </w:rPr>
          <w:t>C99/118</w:t>
        </w:r>
      </w:hyperlink>
      <w:r>
        <w:rPr>
          <w:rFonts w:hint="eastAsia"/>
          <w:lang w:val="fr-FR" w:eastAsia="zh-CN"/>
        </w:rPr>
        <w:t>和</w:t>
      </w:r>
      <w:hyperlink r:id="rId471" w:history="1">
        <w:r w:rsidRPr="005E7EA9">
          <w:rPr>
            <w:rStyle w:val="Hyperlink"/>
            <w:lang w:val="fr-FR" w:eastAsia="zh-CN"/>
          </w:rPr>
          <w:t>C99/133</w:t>
        </w:r>
      </w:hyperlink>
      <w:r>
        <w:rPr>
          <w:rFonts w:hint="eastAsia"/>
          <w:lang w:val="fr-FR" w:eastAsia="zh-CN"/>
        </w:rPr>
        <w:t>号</w:t>
      </w:r>
      <w:r>
        <w:rPr>
          <w:lang w:val="fr-FR" w:eastAsia="zh-CN"/>
        </w:rPr>
        <w:t>文件。</w:t>
      </w:r>
    </w:p>
    <w:p w14:paraId="4827B8AA" w14:textId="77777777" w:rsidR="00DF74A8" w:rsidRDefault="00DF74A8" w:rsidP="00DF74A8">
      <w:pPr>
        <w:jc w:val="center"/>
        <w:rPr>
          <w:lang w:eastAsia="zh-CN"/>
        </w:rPr>
      </w:pPr>
      <w:bookmarkStart w:id="2315" w:name="_Toc161224099"/>
      <w:bookmarkStart w:id="2316" w:name="_Toc161732145"/>
      <w:bookmarkStart w:id="2317" w:name="_Toc161741077"/>
      <w:bookmarkStart w:id="2318" w:name="_Toc185237743"/>
      <w:bookmarkStart w:id="2319" w:name="_Toc311469655"/>
      <w:r>
        <w:rPr>
          <w:lang w:eastAsia="zh-CN"/>
        </w:rPr>
        <w:t>______________</w:t>
      </w:r>
    </w:p>
    <w:p w14:paraId="4827B8AB" w14:textId="77777777" w:rsidR="00F06DCF" w:rsidRDefault="00F06DCF">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8AC" w14:textId="77777777" w:rsidR="00B72C24" w:rsidRDefault="00B72C24">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8AD" w14:textId="77777777" w:rsidR="00B72C24" w:rsidRDefault="00B72C24">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8AE" w14:textId="77777777" w:rsidR="00F06DCF" w:rsidRDefault="00F06DCF">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8AF" w14:textId="77777777" w:rsidR="00F06DCF" w:rsidRDefault="00F06DCF">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8B0" w14:textId="77777777" w:rsidR="00B66D0B" w:rsidRDefault="00B66D0B">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8B1" w14:textId="77777777" w:rsidR="00B50F58" w:rsidRPr="00B50F58" w:rsidRDefault="00AA601A" w:rsidP="000D18CD">
      <w:pPr>
        <w:pStyle w:val="ResNo"/>
        <w:outlineLvl w:val="0"/>
        <w:rPr>
          <w:lang w:eastAsia="zh-CN"/>
        </w:rPr>
      </w:pPr>
      <w:bookmarkStart w:id="2320" w:name="_Toc424117109"/>
      <w:bookmarkStart w:id="2321" w:name="_Toc531706460"/>
      <w:bookmarkStart w:id="2322" w:name="_Toc531707072"/>
      <w:bookmarkStart w:id="2323" w:name="_Toc531768551"/>
      <w:bookmarkStart w:id="2324" w:name="_Toc16085876"/>
      <w:bookmarkStart w:id="2325" w:name="_Toc86395673"/>
      <w:r w:rsidRPr="00B50F58">
        <w:rPr>
          <w:rFonts w:hint="eastAsia"/>
          <w:lang w:eastAsia="zh-CN"/>
        </w:rPr>
        <w:lastRenderedPageBreak/>
        <w:t>第</w:t>
      </w:r>
      <w:r w:rsidRPr="00B50F58">
        <w:rPr>
          <w:lang w:eastAsia="zh-CN"/>
        </w:rPr>
        <w:t>1183</w:t>
      </w:r>
      <w:r w:rsidRPr="00B50F58">
        <w:rPr>
          <w:rFonts w:hint="eastAsia"/>
          <w:lang w:eastAsia="zh-CN"/>
        </w:rPr>
        <w:t>号决议</w:t>
      </w:r>
      <w:r w:rsidR="00B50F58">
        <w:rPr>
          <w:rFonts w:hint="eastAsia"/>
          <w:lang w:eastAsia="zh-CN"/>
        </w:rPr>
        <w:t>（</w:t>
      </w:r>
      <w:r w:rsidR="00B50F58" w:rsidRPr="00B50F58">
        <w:rPr>
          <w:lang w:eastAsia="zh-CN"/>
        </w:rPr>
        <w:t>C01</w:t>
      </w:r>
      <w:r w:rsidR="00B50F58">
        <w:rPr>
          <w:rFonts w:hint="eastAsia"/>
          <w:lang w:eastAsia="zh-CN"/>
        </w:rPr>
        <w:t>）</w:t>
      </w:r>
      <w:bookmarkEnd w:id="2320"/>
      <w:bookmarkEnd w:id="2321"/>
      <w:bookmarkEnd w:id="2322"/>
      <w:bookmarkEnd w:id="2323"/>
      <w:bookmarkEnd w:id="2324"/>
      <w:bookmarkEnd w:id="2325"/>
    </w:p>
    <w:p w14:paraId="4827B8B2" w14:textId="77777777" w:rsidR="00AA601A" w:rsidRPr="00B50F58" w:rsidRDefault="00AA601A" w:rsidP="00B50F58">
      <w:pPr>
        <w:pStyle w:val="Restitle"/>
        <w:rPr>
          <w:lang w:eastAsia="zh-CN"/>
        </w:rPr>
      </w:pPr>
      <w:bookmarkStart w:id="2326" w:name="_Toc424116262"/>
      <w:bookmarkStart w:id="2327" w:name="_Toc424117110"/>
      <w:bookmarkStart w:id="2328" w:name="_Toc460248223"/>
      <w:bookmarkStart w:id="2329" w:name="_Toc531706461"/>
      <w:bookmarkStart w:id="2330" w:name="_Toc531707073"/>
      <w:bookmarkStart w:id="2331" w:name="_Toc531768552"/>
      <w:bookmarkStart w:id="2332" w:name="_Toc16085877"/>
      <w:bookmarkStart w:id="2333" w:name="_Toc86395674"/>
      <w:r w:rsidRPr="00B50F58">
        <w:rPr>
          <w:rFonts w:hint="eastAsia"/>
          <w:lang w:eastAsia="zh-CN"/>
        </w:rPr>
        <w:t>国际电联</w:t>
      </w:r>
      <w:r w:rsidR="009608F3" w:rsidRPr="00B50F58">
        <w:rPr>
          <w:rFonts w:hint="eastAsia"/>
          <w:lang w:eastAsia="zh-CN"/>
        </w:rPr>
        <w:t>的</w:t>
      </w:r>
      <w:r w:rsidRPr="00B50F58">
        <w:rPr>
          <w:rFonts w:hint="eastAsia"/>
          <w:lang w:eastAsia="zh-CN"/>
        </w:rPr>
        <w:t>区域代表处</w:t>
      </w:r>
      <w:bookmarkEnd w:id="2315"/>
      <w:bookmarkEnd w:id="2316"/>
      <w:bookmarkEnd w:id="2317"/>
      <w:bookmarkEnd w:id="2318"/>
      <w:bookmarkEnd w:id="2319"/>
      <w:bookmarkEnd w:id="2326"/>
      <w:bookmarkEnd w:id="2327"/>
      <w:bookmarkEnd w:id="2328"/>
      <w:bookmarkEnd w:id="2329"/>
      <w:bookmarkEnd w:id="2330"/>
      <w:bookmarkEnd w:id="2331"/>
      <w:bookmarkEnd w:id="2332"/>
      <w:bookmarkEnd w:id="2333"/>
    </w:p>
    <w:p w14:paraId="4827B8B3" w14:textId="77777777" w:rsidR="00AA601A" w:rsidRDefault="00AA601A" w:rsidP="00B50F58">
      <w:pPr>
        <w:pStyle w:val="Normalaftertitle"/>
        <w:rPr>
          <w:lang w:eastAsia="zh-CN"/>
        </w:rPr>
      </w:pPr>
      <w:r>
        <w:rPr>
          <w:rFonts w:hint="eastAsia"/>
          <w:lang w:eastAsia="zh-CN"/>
        </w:rPr>
        <w:t>理事会</w:t>
      </w:r>
      <w:r w:rsidR="00E35030">
        <w:rPr>
          <w:rFonts w:hint="eastAsia"/>
          <w:lang w:eastAsia="zh-CN"/>
        </w:rPr>
        <w:t>，</w:t>
      </w:r>
    </w:p>
    <w:p w14:paraId="4827B8B4" w14:textId="77777777" w:rsidR="00AA601A" w:rsidRDefault="00AA601A" w:rsidP="00B64353">
      <w:pPr>
        <w:pStyle w:val="Call"/>
        <w:rPr>
          <w:lang w:eastAsia="zh-CN"/>
        </w:rPr>
      </w:pPr>
      <w:r>
        <w:rPr>
          <w:rFonts w:hint="eastAsia"/>
          <w:lang w:eastAsia="zh-CN"/>
        </w:rPr>
        <w:t>经审议</w:t>
      </w:r>
    </w:p>
    <w:p w14:paraId="4827B8B5" w14:textId="77777777" w:rsidR="00AA601A" w:rsidRDefault="00AA601A" w:rsidP="00B64353">
      <w:pPr>
        <w:tabs>
          <w:tab w:val="left" w:pos="510"/>
        </w:tabs>
        <w:rPr>
          <w:lang w:eastAsia="zh-CN"/>
        </w:rPr>
      </w:pPr>
      <w:r>
        <w:rPr>
          <w:rFonts w:hint="eastAsia"/>
          <w:bCs/>
          <w:lang w:eastAsia="zh-CN"/>
        </w:rPr>
        <w:tab/>
      </w:r>
      <w:r>
        <w:rPr>
          <w:rFonts w:hint="eastAsia"/>
          <w:bCs/>
          <w:lang w:eastAsia="zh-CN"/>
        </w:rPr>
        <w:t>国际电联改革工作组关于国际电联区域代表处的建议</w:t>
      </w:r>
      <w:r>
        <w:rPr>
          <w:bCs/>
          <w:lang w:eastAsia="zh-CN"/>
        </w:rPr>
        <w:t>R38</w:t>
      </w:r>
      <w:r>
        <w:rPr>
          <w:rFonts w:hint="eastAsia"/>
          <w:bCs/>
          <w:lang w:eastAsia="zh-CN"/>
        </w:rPr>
        <w:t>，</w:t>
      </w:r>
    </w:p>
    <w:p w14:paraId="4827B8B6" w14:textId="77777777" w:rsidR="00AA601A" w:rsidRDefault="00AA601A" w:rsidP="00B64353">
      <w:pPr>
        <w:pStyle w:val="Call"/>
        <w:rPr>
          <w:lang w:eastAsia="zh-CN"/>
        </w:rPr>
      </w:pPr>
      <w:r w:rsidRPr="006F4CAC">
        <w:rPr>
          <w:rFonts w:hint="eastAsia"/>
          <w:lang w:eastAsia="zh-CN"/>
        </w:rPr>
        <w:t>做出决议，责成协调委员会</w:t>
      </w:r>
    </w:p>
    <w:p w14:paraId="4827B8B7" w14:textId="77777777" w:rsidR="00AA601A" w:rsidRDefault="00AA601A" w:rsidP="00B64353">
      <w:pPr>
        <w:tabs>
          <w:tab w:val="left" w:pos="510"/>
        </w:tabs>
        <w:rPr>
          <w:lang w:eastAsia="zh-CN"/>
        </w:rPr>
      </w:pPr>
      <w:r>
        <w:rPr>
          <w:rFonts w:hint="eastAsia"/>
          <w:bCs/>
          <w:lang w:eastAsia="zh-CN"/>
        </w:rPr>
        <w:tab/>
      </w:r>
      <w:r>
        <w:rPr>
          <w:rFonts w:hint="eastAsia"/>
          <w:bCs/>
          <w:lang w:eastAsia="zh-CN"/>
        </w:rPr>
        <w:t>着重结合以下目标，审议区域代表处的职能、其所拥有的财务与人力资源：</w:t>
      </w:r>
    </w:p>
    <w:p w14:paraId="4827B8B8" w14:textId="77777777" w:rsidR="00AA601A" w:rsidRDefault="00AA601A" w:rsidP="00B64353">
      <w:pPr>
        <w:rPr>
          <w:lang w:eastAsia="zh-CN"/>
        </w:rPr>
      </w:pPr>
      <w:r w:rsidRPr="00B72C24">
        <w:rPr>
          <w:i/>
          <w:iCs/>
          <w:lang w:eastAsia="zh-CN"/>
        </w:rPr>
        <w:t>a</w:t>
      </w:r>
      <w:r w:rsidR="000E6A83" w:rsidRPr="00B72C24">
        <w:rPr>
          <w:i/>
          <w:iCs/>
          <w:lang w:eastAsia="zh-CN"/>
        </w:rPr>
        <w:t>)</w:t>
      </w:r>
      <w:r w:rsidR="000E6A83">
        <w:rPr>
          <w:lang w:eastAsia="zh-CN"/>
        </w:rPr>
        <w:tab/>
      </w:r>
      <w:r>
        <w:rPr>
          <w:rFonts w:hint="eastAsia"/>
          <w:lang w:eastAsia="zh-CN"/>
        </w:rPr>
        <w:t>找出那些</w:t>
      </w:r>
      <w:r>
        <w:rPr>
          <w:rFonts w:ascii="SimSun" w:hAnsi="SimSun" w:hint="eastAsia"/>
          <w:lang w:eastAsia="zh-CN"/>
        </w:rPr>
        <w:t>可以权利下放的职能，以便扩大和加强区域代表处；</w:t>
      </w:r>
    </w:p>
    <w:p w14:paraId="4827B8B9" w14:textId="77777777" w:rsidR="00AA601A" w:rsidRDefault="00AA601A" w:rsidP="00B64353">
      <w:pPr>
        <w:rPr>
          <w:lang w:eastAsia="zh-CN"/>
        </w:rPr>
      </w:pPr>
      <w:r w:rsidRPr="00B72C24">
        <w:rPr>
          <w:i/>
          <w:iCs/>
          <w:lang w:eastAsia="zh-CN"/>
        </w:rPr>
        <w:t>b</w:t>
      </w:r>
      <w:r w:rsidR="000E6A83" w:rsidRPr="00B72C24">
        <w:rPr>
          <w:i/>
          <w:iCs/>
          <w:lang w:eastAsia="zh-CN"/>
        </w:rPr>
        <w:t>)</w:t>
      </w:r>
      <w:r w:rsidR="000E6A83">
        <w:rPr>
          <w:lang w:eastAsia="zh-CN"/>
        </w:rPr>
        <w:tab/>
      </w:r>
      <w:r>
        <w:rPr>
          <w:rFonts w:ascii="SimSun" w:hAnsi="SimSun" w:hint="eastAsia"/>
          <w:lang w:eastAsia="zh-CN"/>
        </w:rPr>
        <w:t>确保</w:t>
      </w:r>
      <w:r>
        <w:rPr>
          <w:rFonts w:hint="eastAsia"/>
          <w:lang w:eastAsia="zh-CN"/>
        </w:rPr>
        <w:t>各有关部门</w:t>
      </w:r>
      <w:r w:rsidR="0070163A">
        <w:rPr>
          <w:rFonts w:hint="eastAsia"/>
          <w:lang w:eastAsia="zh-CN"/>
        </w:rPr>
        <w:t>－</w:t>
      </w:r>
      <w:r>
        <w:rPr>
          <w:rFonts w:hint="eastAsia"/>
          <w:lang w:eastAsia="zh-CN"/>
        </w:rPr>
        <w:t>特别是发展部门</w:t>
      </w:r>
      <w:r w:rsidR="0070163A">
        <w:rPr>
          <w:rFonts w:hint="eastAsia"/>
          <w:lang w:eastAsia="zh-CN"/>
        </w:rPr>
        <w:t>－</w:t>
      </w:r>
      <w:r>
        <w:rPr>
          <w:rFonts w:hint="eastAsia"/>
          <w:lang w:eastAsia="zh-CN"/>
        </w:rPr>
        <w:t>在不同地区召开区域性会议；</w:t>
      </w:r>
    </w:p>
    <w:p w14:paraId="4827B8BA" w14:textId="77777777" w:rsidR="00AA601A" w:rsidRDefault="00AA601A" w:rsidP="00B64353">
      <w:pPr>
        <w:rPr>
          <w:lang w:eastAsia="zh-CN"/>
        </w:rPr>
      </w:pPr>
      <w:r w:rsidRPr="00B72C24">
        <w:rPr>
          <w:i/>
          <w:iCs/>
          <w:lang w:eastAsia="zh-CN"/>
        </w:rPr>
        <w:t>c</w:t>
      </w:r>
      <w:r w:rsidR="000E6A83" w:rsidRPr="00B72C24">
        <w:rPr>
          <w:i/>
          <w:iCs/>
          <w:lang w:eastAsia="zh-CN"/>
        </w:rPr>
        <w:t>)</w:t>
      </w:r>
      <w:r w:rsidR="000E6A83">
        <w:rPr>
          <w:lang w:eastAsia="zh-CN"/>
        </w:rPr>
        <w:tab/>
      </w:r>
      <w:r>
        <w:rPr>
          <w:rFonts w:hint="eastAsia"/>
          <w:lang w:eastAsia="zh-CN"/>
        </w:rPr>
        <w:t>加大区域代表处在信息发布、提供专家建议和主办会议、讲习班或研讨会方面的自主权；</w:t>
      </w:r>
    </w:p>
    <w:p w14:paraId="4827B8BB" w14:textId="77777777" w:rsidR="00AA601A" w:rsidRDefault="00AA601A" w:rsidP="00B64353">
      <w:pPr>
        <w:rPr>
          <w:lang w:eastAsia="zh-CN"/>
        </w:rPr>
      </w:pPr>
      <w:r w:rsidRPr="00B72C24">
        <w:rPr>
          <w:i/>
          <w:iCs/>
          <w:lang w:eastAsia="zh-CN"/>
        </w:rPr>
        <w:t>d</w:t>
      </w:r>
      <w:r w:rsidR="000E6A83" w:rsidRPr="00B72C24">
        <w:rPr>
          <w:i/>
          <w:iCs/>
          <w:lang w:eastAsia="zh-CN"/>
        </w:rPr>
        <w:t>)</w:t>
      </w:r>
      <w:r w:rsidR="000E6A83">
        <w:rPr>
          <w:lang w:eastAsia="zh-CN"/>
        </w:rPr>
        <w:tab/>
      </w:r>
      <w:r>
        <w:rPr>
          <w:rFonts w:ascii="SimSun" w:hAnsi="SimSun" w:hint="eastAsia"/>
          <w:lang w:eastAsia="zh-CN"/>
        </w:rPr>
        <w:t>识别可以将权力下放到区域代表处的、与区域代表处预算实施有关的职能；</w:t>
      </w:r>
    </w:p>
    <w:p w14:paraId="4827B8BC" w14:textId="77777777" w:rsidR="00AA601A" w:rsidRDefault="00AA601A" w:rsidP="00B64353">
      <w:pPr>
        <w:rPr>
          <w:lang w:eastAsia="zh-CN"/>
        </w:rPr>
      </w:pPr>
      <w:r w:rsidRPr="00B72C24">
        <w:rPr>
          <w:i/>
          <w:iCs/>
          <w:lang w:eastAsia="zh-CN"/>
        </w:rPr>
        <w:t>e</w:t>
      </w:r>
      <w:r w:rsidR="000E6A83" w:rsidRPr="00B72C24">
        <w:rPr>
          <w:i/>
          <w:iCs/>
          <w:lang w:eastAsia="zh-CN"/>
        </w:rPr>
        <w:t>)</w:t>
      </w:r>
      <w:r w:rsidR="000E6A83">
        <w:rPr>
          <w:lang w:eastAsia="zh-CN"/>
        </w:rPr>
        <w:tab/>
      </w:r>
      <w:r>
        <w:rPr>
          <w:rFonts w:ascii="SimSun" w:hAnsi="SimSun" w:hint="eastAsia"/>
          <w:lang w:eastAsia="zh-CN"/>
        </w:rPr>
        <w:t>确保区域代表处更多地参与其预算的制定；</w:t>
      </w:r>
    </w:p>
    <w:p w14:paraId="4827B8BD" w14:textId="77777777" w:rsidR="00AA601A" w:rsidRDefault="00AA601A" w:rsidP="00B64353">
      <w:pPr>
        <w:rPr>
          <w:lang w:eastAsia="zh-CN"/>
        </w:rPr>
      </w:pPr>
      <w:r w:rsidRPr="00B72C24">
        <w:rPr>
          <w:i/>
          <w:iCs/>
          <w:lang w:eastAsia="zh-CN"/>
        </w:rPr>
        <w:t>f</w:t>
      </w:r>
      <w:r w:rsidR="000E6A83" w:rsidRPr="00B72C24">
        <w:rPr>
          <w:i/>
          <w:iCs/>
          <w:lang w:eastAsia="zh-CN"/>
        </w:rPr>
        <w:t>)</w:t>
      </w:r>
      <w:r w:rsidR="000E6A83">
        <w:rPr>
          <w:lang w:eastAsia="zh-CN"/>
        </w:rPr>
        <w:tab/>
      </w:r>
      <w:r>
        <w:rPr>
          <w:rFonts w:hint="eastAsia"/>
          <w:bCs/>
          <w:lang w:eastAsia="zh-CN"/>
        </w:rPr>
        <w:t>确保各区域积极参加有关国际电联未来以及与电信行业相关的战略问题的讨论，</w:t>
      </w:r>
    </w:p>
    <w:p w14:paraId="4827B8BE" w14:textId="77777777" w:rsidR="00AA601A" w:rsidRPr="006F4CAC" w:rsidRDefault="00AA601A" w:rsidP="00B64353">
      <w:pPr>
        <w:pStyle w:val="Call"/>
        <w:rPr>
          <w:lang w:eastAsia="zh-CN"/>
        </w:rPr>
      </w:pPr>
      <w:r w:rsidRPr="006F4CAC">
        <w:rPr>
          <w:rFonts w:hint="eastAsia"/>
          <w:lang w:eastAsia="zh-CN"/>
        </w:rPr>
        <w:t>做出决议，责成秘书长</w:t>
      </w:r>
    </w:p>
    <w:p w14:paraId="4827B8BF" w14:textId="77777777" w:rsidR="00AA601A" w:rsidRDefault="00AA601A" w:rsidP="00B64353">
      <w:pPr>
        <w:tabs>
          <w:tab w:val="left" w:pos="510"/>
        </w:tabs>
        <w:rPr>
          <w:lang w:eastAsia="zh-CN"/>
        </w:rPr>
      </w:pPr>
      <w:r>
        <w:rPr>
          <w:rFonts w:hAnsi="SimSun" w:hint="eastAsia"/>
          <w:bCs/>
          <w:lang w:eastAsia="zh-CN"/>
        </w:rPr>
        <w:tab/>
      </w:r>
      <w:r>
        <w:rPr>
          <w:rFonts w:hAnsi="SimSun" w:hint="eastAsia"/>
          <w:bCs/>
          <w:lang w:eastAsia="zh-CN"/>
        </w:rPr>
        <w:t>向</w:t>
      </w:r>
      <w:r w:rsidR="004E502C">
        <w:rPr>
          <w:rFonts w:hAnsi="SimSun" w:hint="eastAsia"/>
          <w:bCs/>
          <w:lang w:eastAsia="zh-CN"/>
        </w:rPr>
        <w:t>理事会</w:t>
      </w:r>
      <w:r>
        <w:rPr>
          <w:rFonts w:hAnsi="SimSun"/>
          <w:bCs/>
          <w:lang w:eastAsia="zh-CN"/>
        </w:rPr>
        <w:t>2002</w:t>
      </w:r>
      <w:r>
        <w:rPr>
          <w:rFonts w:hAnsi="SimSun" w:hint="eastAsia"/>
          <w:bCs/>
          <w:lang w:eastAsia="zh-CN"/>
        </w:rPr>
        <w:t>年会议提</w:t>
      </w:r>
      <w:r>
        <w:rPr>
          <w:rFonts w:hint="eastAsia"/>
          <w:bCs/>
          <w:lang w:eastAsia="zh-CN"/>
        </w:rPr>
        <w:t>交</w:t>
      </w:r>
      <w:r>
        <w:rPr>
          <w:rFonts w:hAnsi="SimSun" w:hint="eastAsia"/>
          <w:bCs/>
          <w:lang w:eastAsia="zh-CN"/>
        </w:rPr>
        <w:t>一份行动计划。该行动计划应包括为实现上述</w:t>
      </w:r>
      <w:r>
        <w:rPr>
          <w:rFonts w:eastAsia="STKaiti" w:hint="eastAsia"/>
          <w:iCs/>
          <w:lang w:eastAsia="zh-CN"/>
        </w:rPr>
        <w:t>做出决议</w:t>
      </w:r>
      <w:r>
        <w:rPr>
          <w:rFonts w:hAnsi="SimSun" w:hint="eastAsia"/>
          <w:bCs/>
          <w:lang w:eastAsia="zh-CN"/>
        </w:rPr>
        <w:t>中所列的</w:t>
      </w:r>
      <w:r>
        <w:rPr>
          <w:rFonts w:hAnsi="SimSun"/>
          <w:bCs/>
          <w:lang w:eastAsia="zh-CN"/>
        </w:rPr>
        <w:t>a</w:t>
      </w:r>
      <w:r w:rsidR="00CC7643">
        <w:rPr>
          <w:rFonts w:hAnsi="SimSun"/>
          <w:bCs/>
          <w:lang w:val="en-US" w:eastAsia="zh-CN"/>
        </w:rPr>
        <w:t>)</w:t>
      </w:r>
      <w:r>
        <w:rPr>
          <w:rFonts w:hAnsi="SimSun" w:hint="eastAsia"/>
          <w:bCs/>
          <w:lang w:eastAsia="zh-CN"/>
        </w:rPr>
        <w:t>、</w:t>
      </w:r>
      <w:r>
        <w:rPr>
          <w:rFonts w:hAnsi="SimSun"/>
          <w:bCs/>
          <w:lang w:eastAsia="zh-CN"/>
        </w:rPr>
        <w:t>b</w:t>
      </w:r>
      <w:r w:rsidR="00CC7643">
        <w:rPr>
          <w:rFonts w:hAnsi="SimSun"/>
          <w:bCs/>
          <w:lang w:eastAsia="zh-CN"/>
        </w:rPr>
        <w:t>)</w:t>
      </w:r>
      <w:r>
        <w:rPr>
          <w:rFonts w:hAnsi="SimSun" w:hint="eastAsia"/>
          <w:bCs/>
          <w:lang w:eastAsia="zh-CN"/>
        </w:rPr>
        <w:t>、</w:t>
      </w:r>
      <w:r>
        <w:rPr>
          <w:rFonts w:hAnsi="SimSun"/>
          <w:bCs/>
          <w:lang w:eastAsia="zh-CN"/>
        </w:rPr>
        <w:t>c</w:t>
      </w:r>
      <w:r w:rsidR="00CC7643">
        <w:rPr>
          <w:rFonts w:hAnsi="SimSun"/>
          <w:bCs/>
          <w:lang w:eastAsia="zh-CN"/>
        </w:rPr>
        <w:t>)</w:t>
      </w:r>
      <w:r>
        <w:rPr>
          <w:rFonts w:hAnsi="SimSun" w:hint="eastAsia"/>
          <w:bCs/>
          <w:lang w:eastAsia="zh-CN"/>
        </w:rPr>
        <w:t>、</w:t>
      </w:r>
      <w:r>
        <w:rPr>
          <w:rFonts w:hAnsi="SimSun"/>
          <w:bCs/>
          <w:lang w:eastAsia="zh-CN"/>
        </w:rPr>
        <w:t>d</w:t>
      </w:r>
      <w:r w:rsidR="00CC7643">
        <w:rPr>
          <w:rFonts w:hAnsi="SimSun"/>
          <w:bCs/>
          <w:lang w:eastAsia="zh-CN"/>
        </w:rPr>
        <w:t>)</w:t>
      </w:r>
      <w:r>
        <w:rPr>
          <w:rFonts w:hAnsi="SimSun" w:hint="eastAsia"/>
          <w:lang w:eastAsia="zh-CN"/>
        </w:rPr>
        <w:t>、</w:t>
      </w:r>
      <w:r>
        <w:rPr>
          <w:rFonts w:hAnsi="SimSun"/>
          <w:lang w:eastAsia="zh-CN"/>
        </w:rPr>
        <w:t>e</w:t>
      </w:r>
      <w:r w:rsidR="00CC7643">
        <w:rPr>
          <w:rFonts w:hAnsi="SimSun"/>
          <w:lang w:eastAsia="zh-CN"/>
        </w:rPr>
        <w:t>)</w:t>
      </w:r>
      <w:r>
        <w:rPr>
          <w:rFonts w:hAnsi="SimSun" w:hint="eastAsia"/>
          <w:lang w:eastAsia="zh-CN"/>
        </w:rPr>
        <w:t>和</w:t>
      </w:r>
      <w:r>
        <w:rPr>
          <w:rFonts w:hAnsi="SimSun"/>
          <w:lang w:eastAsia="zh-CN"/>
        </w:rPr>
        <w:t>f</w:t>
      </w:r>
      <w:r w:rsidR="00CC7643">
        <w:rPr>
          <w:rFonts w:hAnsi="SimSun"/>
          <w:lang w:eastAsia="zh-CN"/>
        </w:rPr>
        <w:t>)</w:t>
      </w:r>
      <w:r>
        <w:rPr>
          <w:rFonts w:hAnsi="SimSun" w:hint="eastAsia"/>
          <w:bCs/>
          <w:lang w:eastAsia="zh-CN"/>
        </w:rPr>
        <w:t>各项目标应采取的措施。</w:t>
      </w:r>
    </w:p>
    <w:p w14:paraId="4827B8C0" w14:textId="77777777" w:rsidR="00B50F58" w:rsidRPr="00FB432E" w:rsidRDefault="00AA601A" w:rsidP="00B50F58">
      <w:pPr>
        <w:pStyle w:val="Endtext"/>
        <w:spacing w:before="80"/>
        <w:rPr>
          <w:lang w:val="fr-FR" w:eastAsia="zh-CN"/>
        </w:rPr>
      </w:pPr>
      <w:r>
        <w:rPr>
          <w:rFonts w:hint="eastAsia"/>
          <w:iCs w:val="0"/>
          <w:lang w:eastAsia="zh-CN"/>
        </w:rPr>
        <w:t>参阅</w:t>
      </w:r>
      <w:r w:rsidRPr="0070163A">
        <w:rPr>
          <w:rFonts w:hint="eastAsia"/>
          <w:lang w:eastAsia="zh-CN"/>
        </w:rPr>
        <w:t>：</w:t>
      </w:r>
      <w:r w:rsidR="0036533E">
        <w:rPr>
          <w:lang w:eastAsia="zh-CN"/>
        </w:rPr>
        <w:tab/>
      </w:r>
      <w:bookmarkStart w:id="2334" w:name="_Toc161224100"/>
      <w:r w:rsidR="00B50F58">
        <w:fldChar w:fldCharType="begin"/>
      </w:r>
      <w:r w:rsidR="00B50F58">
        <w:rPr>
          <w:lang w:eastAsia="zh-CN"/>
        </w:rPr>
        <w:instrText xml:space="preserve"> HYPERLINK "http://www.itu.int/itudoc/gs/council/c01/resdec/119.html" </w:instrText>
      </w:r>
      <w:r w:rsidR="00B50F58">
        <w:fldChar w:fldCharType="separate"/>
      </w:r>
      <w:r w:rsidR="00B50F58" w:rsidRPr="003C453B">
        <w:rPr>
          <w:rStyle w:val="Hyperlink"/>
          <w:lang w:val="fr-FR" w:eastAsia="zh-CN"/>
        </w:rPr>
        <w:t>C2001/119</w:t>
      </w:r>
      <w:r w:rsidR="00B50F58">
        <w:rPr>
          <w:rStyle w:val="Hyperlink"/>
          <w:lang w:val="fr-FR"/>
        </w:rPr>
        <w:fldChar w:fldCharType="end"/>
      </w:r>
      <w:r w:rsidR="00B50F58">
        <w:rPr>
          <w:rFonts w:hint="eastAsia"/>
          <w:lang w:val="fr-FR" w:eastAsia="zh-CN"/>
        </w:rPr>
        <w:t>和</w:t>
      </w:r>
      <w:hyperlink r:id="rId472" w:history="1">
        <w:r w:rsidR="00B50F58" w:rsidRPr="003C453B">
          <w:rPr>
            <w:rStyle w:val="Hyperlink"/>
            <w:lang w:val="fr-FR" w:eastAsia="zh-CN"/>
          </w:rPr>
          <w:t>C2001/132</w:t>
        </w:r>
      </w:hyperlink>
      <w:r w:rsidR="00B50F58">
        <w:rPr>
          <w:rFonts w:hint="eastAsia"/>
          <w:lang w:val="fr-FR" w:eastAsia="zh-CN"/>
        </w:rPr>
        <w:t>号</w:t>
      </w:r>
      <w:r w:rsidR="00B50F58">
        <w:rPr>
          <w:lang w:val="fr-FR" w:eastAsia="zh-CN"/>
        </w:rPr>
        <w:t>文件。</w:t>
      </w:r>
    </w:p>
    <w:p w14:paraId="4827B8C1" w14:textId="77777777" w:rsidR="00DF74A8" w:rsidRDefault="00DF74A8" w:rsidP="00DF74A8">
      <w:pPr>
        <w:jc w:val="center"/>
        <w:rPr>
          <w:lang w:eastAsia="zh-CN"/>
        </w:rPr>
      </w:pPr>
      <w:bookmarkStart w:id="2335" w:name="_Toc81880158"/>
      <w:bookmarkStart w:id="2336" w:name="_Toc161224101"/>
      <w:bookmarkStart w:id="2337" w:name="_Toc161732147"/>
      <w:bookmarkStart w:id="2338" w:name="_Toc161741079"/>
      <w:bookmarkEnd w:id="2334"/>
      <w:r>
        <w:rPr>
          <w:lang w:eastAsia="zh-CN"/>
        </w:rPr>
        <w:t>______________</w:t>
      </w:r>
    </w:p>
    <w:p w14:paraId="4827B8C2" w14:textId="77777777" w:rsidR="00DF74A8" w:rsidRDefault="00DF74A8">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8C3" w14:textId="77777777" w:rsidR="00DF74A8" w:rsidRDefault="00DF74A8">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8C4" w14:textId="77777777" w:rsidR="00DF74A8" w:rsidRDefault="00DF74A8">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8C5" w14:textId="77777777" w:rsidR="00DF74A8" w:rsidRDefault="00DF74A8">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8C6" w14:textId="77777777" w:rsidR="00B66D0B" w:rsidRDefault="00B66D0B">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167DAAD4" w14:textId="77777777" w:rsidR="00890171" w:rsidRPr="00E45997" w:rsidRDefault="00890171" w:rsidP="00890171">
      <w:pPr>
        <w:pStyle w:val="ResNo"/>
        <w:outlineLvl w:val="0"/>
        <w:rPr>
          <w:lang w:eastAsia="zh-CN"/>
        </w:rPr>
      </w:pPr>
      <w:bookmarkStart w:id="2339" w:name="_Toc86395675"/>
      <w:r w:rsidRPr="00E45997">
        <w:rPr>
          <w:lang w:eastAsia="zh-CN"/>
        </w:rPr>
        <w:lastRenderedPageBreak/>
        <w:t>第</w:t>
      </w:r>
      <w:r w:rsidRPr="00EC41DE">
        <w:rPr>
          <w:lang w:eastAsia="zh-CN"/>
        </w:rPr>
        <w:t>1</w:t>
      </w:r>
      <w:r>
        <w:rPr>
          <w:lang w:eastAsia="zh-CN"/>
        </w:rPr>
        <w:t>403</w:t>
      </w:r>
      <w:r w:rsidRPr="00E45997">
        <w:rPr>
          <w:lang w:eastAsia="zh-CN"/>
        </w:rPr>
        <w:t>号决议</w:t>
      </w:r>
      <w:r>
        <w:rPr>
          <w:rFonts w:hint="eastAsia"/>
          <w:lang w:eastAsia="zh-CN"/>
        </w:rPr>
        <w:t>（</w:t>
      </w:r>
      <w:r w:rsidRPr="00E45997">
        <w:rPr>
          <w:lang w:eastAsia="zh-CN"/>
        </w:rPr>
        <w:t>C</w:t>
      </w:r>
      <w:r>
        <w:rPr>
          <w:lang w:eastAsia="zh-CN"/>
        </w:rPr>
        <w:t>21</w:t>
      </w:r>
      <w:r>
        <w:rPr>
          <w:rFonts w:hint="eastAsia"/>
          <w:lang w:eastAsia="zh-CN"/>
        </w:rPr>
        <w:t>）</w:t>
      </w:r>
      <w:bookmarkEnd w:id="2339"/>
    </w:p>
    <w:p w14:paraId="4827B8C8" w14:textId="6E0F4BDF" w:rsidR="00B72C24" w:rsidRDefault="00890171" w:rsidP="00890171">
      <w:pPr>
        <w:pStyle w:val="Restitle"/>
        <w:rPr>
          <w:lang w:eastAsia="zh-CN"/>
        </w:rPr>
      </w:pPr>
      <w:bookmarkStart w:id="2340" w:name="_Toc86395676"/>
      <w:r w:rsidRPr="002F16F2">
        <w:rPr>
          <w:rFonts w:hint="eastAsia"/>
          <w:lang w:eastAsia="zh-CN"/>
        </w:rPr>
        <w:t>国际电联</w:t>
      </w:r>
      <w:r w:rsidRPr="002F16F2">
        <w:rPr>
          <w:rFonts w:hint="eastAsia"/>
          <w:lang w:eastAsia="zh-CN"/>
        </w:rPr>
        <w:t>2022-2025</w:t>
      </w:r>
      <w:r w:rsidRPr="002F16F2">
        <w:rPr>
          <w:rFonts w:hint="eastAsia"/>
          <w:lang w:eastAsia="zh-CN"/>
        </w:rPr>
        <w:t>年四年期滚动式运作规划</w:t>
      </w:r>
      <w:bookmarkEnd w:id="2340"/>
    </w:p>
    <w:p w14:paraId="4827B8C9" w14:textId="77777777" w:rsidR="00F54FB0" w:rsidRPr="00CE359F" w:rsidRDefault="00F54FB0" w:rsidP="00F54FB0">
      <w:pPr>
        <w:rPr>
          <w:lang w:eastAsia="zh-CN"/>
        </w:rPr>
      </w:pPr>
      <w:r>
        <w:rPr>
          <w:rFonts w:hint="eastAsia"/>
          <w:lang w:eastAsia="zh-CN"/>
        </w:rPr>
        <w:t>（</w:t>
      </w:r>
      <w:hyperlink w:anchor="res1390" w:history="1">
        <w:r w:rsidRPr="00197554">
          <w:rPr>
            <w:rStyle w:val="Hyperlink"/>
            <w:rFonts w:hint="eastAsia"/>
            <w:lang w:eastAsia="zh-CN"/>
          </w:rPr>
          <w:t>见第</w:t>
        </w:r>
        <w:r w:rsidRPr="00197554">
          <w:rPr>
            <w:rStyle w:val="Hyperlink"/>
            <w:rFonts w:hint="eastAsia"/>
            <w:lang w:eastAsia="zh-CN"/>
          </w:rPr>
          <w:t>4</w:t>
        </w:r>
        <w:r w:rsidRPr="00197554">
          <w:rPr>
            <w:rStyle w:val="Hyperlink"/>
            <w:rFonts w:hint="eastAsia"/>
            <w:lang w:eastAsia="zh-CN"/>
          </w:rPr>
          <w:t>节</w:t>
        </w:r>
      </w:hyperlink>
      <w:r>
        <w:rPr>
          <w:rFonts w:hint="eastAsia"/>
          <w:lang w:eastAsia="zh-CN"/>
        </w:rPr>
        <w:t>）。</w:t>
      </w:r>
    </w:p>
    <w:p w14:paraId="4827B8CA" w14:textId="77777777" w:rsidR="00DF74A8" w:rsidRDefault="00DF74A8" w:rsidP="00DF74A8">
      <w:pPr>
        <w:jc w:val="center"/>
        <w:rPr>
          <w:lang w:eastAsia="zh-CN"/>
        </w:rPr>
      </w:pPr>
      <w:r>
        <w:rPr>
          <w:lang w:eastAsia="zh-CN"/>
        </w:rPr>
        <w:t>______________</w:t>
      </w:r>
    </w:p>
    <w:p w14:paraId="4827B8CF" w14:textId="77777777" w:rsidR="003642E0" w:rsidRDefault="003642E0" w:rsidP="000D18CD">
      <w:pPr>
        <w:pStyle w:val="ResNo"/>
        <w:outlineLvl w:val="0"/>
        <w:rPr>
          <w:lang w:eastAsia="zh-CN"/>
        </w:rPr>
      </w:pPr>
      <w:bookmarkStart w:id="2341" w:name="_Toc16085882"/>
      <w:bookmarkStart w:id="2342" w:name="_Toc86395677"/>
      <w:r w:rsidRPr="00A36E55">
        <w:rPr>
          <w:rFonts w:hint="eastAsia"/>
          <w:lang w:eastAsia="zh-CN"/>
        </w:rPr>
        <w:t>第</w:t>
      </w:r>
      <w:r w:rsidRPr="003E21BB">
        <w:rPr>
          <w:bCs/>
          <w:lang w:eastAsia="zh-CN"/>
        </w:rPr>
        <w:t>616</w:t>
      </w:r>
      <w:r w:rsidRPr="00A36E55">
        <w:rPr>
          <w:rFonts w:hint="eastAsia"/>
          <w:lang w:eastAsia="zh-CN"/>
        </w:rPr>
        <w:t>号</w:t>
      </w:r>
      <w:r>
        <w:rPr>
          <w:rFonts w:hint="eastAsia"/>
          <w:lang w:eastAsia="zh-CN"/>
        </w:rPr>
        <w:t>决定（</w:t>
      </w:r>
      <w:r>
        <w:rPr>
          <w:lang w:eastAsia="zh-CN"/>
        </w:rPr>
        <w:t>C19</w:t>
      </w:r>
      <w:r>
        <w:rPr>
          <w:rFonts w:hint="eastAsia"/>
          <w:lang w:eastAsia="zh-CN"/>
        </w:rPr>
        <w:t>）</w:t>
      </w:r>
      <w:bookmarkEnd w:id="2341"/>
      <w:bookmarkEnd w:id="2342"/>
    </w:p>
    <w:p w14:paraId="4827B8D0" w14:textId="77777777" w:rsidR="003642E0" w:rsidRPr="00C41544" w:rsidRDefault="003642E0" w:rsidP="003642E0">
      <w:pPr>
        <w:pStyle w:val="Restitle"/>
        <w:rPr>
          <w:lang w:eastAsia="zh-CN"/>
        </w:rPr>
      </w:pPr>
      <w:bookmarkStart w:id="2343" w:name="_Toc16085883"/>
      <w:bookmarkStart w:id="2344" w:name="_Toc86395678"/>
      <w:r w:rsidRPr="00ED742F">
        <w:rPr>
          <w:rFonts w:hint="eastAsia"/>
          <w:lang w:eastAsia="zh-CN"/>
        </w:rPr>
        <w:t>区域代表处</w:t>
      </w:r>
      <w:bookmarkEnd w:id="2343"/>
      <w:bookmarkEnd w:id="2344"/>
    </w:p>
    <w:p w14:paraId="4827B8D1" w14:textId="77777777" w:rsidR="003642E0" w:rsidRPr="00ED742F" w:rsidRDefault="003642E0" w:rsidP="00E51375">
      <w:pPr>
        <w:pStyle w:val="Normalaftertitle0"/>
      </w:pPr>
      <w:r w:rsidRPr="00ED742F">
        <w:rPr>
          <w:rFonts w:hint="eastAsia"/>
        </w:rPr>
        <w:t>理事会，</w:t>
      </w:r>
    </w:p>
    <w:p w14:paraId="4827B8D2" w14:textId="77777777" w:rsidR="003642E0" w:rsidRPr="00ED742F" w:rsidRDefault="003642E0" w:rsidP="003642E0">
      <w:pPr>
        <w:pStyle w:val="call0"/>
        <w:rPr>
          <w:szCs w:val="24"/>
          <w:lang w:eastAsia="zh-CN"/>
        </w:rPr>
      </w:pPr>
      <w:r w:rsidRPr="00ED742F">
        <w:rPr>
          <w:rFonts w:ascii="STKaiti" w:hAnsi="STKaiti" w:hint="eastAsia"/>
          <w:iCs/>
          <w:szCs w:val="24"/>
          <w:lang w:eastAsia="zh-CN"/>
        </w:rPr>
        <w:t>考虑到</w:t>
      </w:r>
    </w:p>
    <w:p w14:paraId="4827B8D3" w14:textId="77777777" w:rsidR="003642E0" w:rsidRPr="00ED742F" w:rsidRDefault="003642E0" w:rsidP="003642E0">
      <w:pPr>
        <w:tabs>
          <w:tab w:val="left" w:pos="567"/>
        </w:tabs>
        <w:rPr>
          <w:szCs w:val="24"/>
          <w:lang w:eastAsia="zh-CN"/>
        </w:rPr>
      </w:pPr>
      <w:r w:rsidRPr="00ED742F">
        <w:rPr>
          <w:i/>
          <w:iCs/>
          <w:szCs w:val="24"/>
          <w:lang w:eastAsia="zh-CN"/>
        </w:rPr>
        <w:t>a)</w:t>
      </w:r>
      <w:r w:rsidRPr="00ED742F">
        <w:rPr>
          <w:szCs w:val="24"/>
          <w:lang w:eastAsia="zh-CN"/>
        </w:rPr>
        <w:tab/>
      </w:r>
      <w:r w:rsidRPr="00ED742F">
        <w:rPr>
          <w:rFonts w:hint="eastAsia"/>
          <w:szCs w:val="24"/>
          <w:lang w:eastAsia="zh-CN"/>
        </w:rPr>
        <w:t>全权代表大会第</w:t>
      </w:r>
      <w:r w:rsidRPr="00ED742F">
        <w:rPr>
          <w:rFonts w:hint="eastAsia"/>
          <w:szCs w:val="24"/>
          <w:lang w:eastAsia="zh-CN"/>
        </w:rPr>
        <w:t>25</w:t>
      </w:r>
      <w:r w:rsidRPr="00ED742F">
        <w:rPr>
          <w:rFonts w:hint="eastAsia"/>
          <w:szCs w:val="24"/>
          <w:lang w:eastAsia="zh-CN"/>
        </w:rPr>
        <w:t>号决议（</w:t>
      </w:r>
      <w:r w:rsidRPr="00ED742F">
        <w:rPr>
          <w:rFonts w:hint="eastAsia"/>
          <w:szCs w:val="24"/>
          <w:lang w:eastAsia="zh-CN"/>
        </w:rPr>
        <w:t>2018</w:t>
      </w:r>
      <w:r w:rsidRPr="00ED742F">
        <w:rPr>
          <w:rFonts w:hint="eastAsia"/>
          <w:szCs w:val="24"/>
          <w:lang w:eastAsia="zh-CN"/>
        </w:rPr>
        <w:t>年，迪拜，修订版）；</w:t>
      </w:r>
    </w:p>
    <w:p w14:paraId="4827B8D4" w14:textId="77777777" w:rsidR="003642E0" w:rsidRPr="00ED742F" w:rsidRDefault="003642E0" w:rsidP="003642E0">
      <w:pPr>
        <w:tabs>
          <w:tab w:val="left" w:pos="567"/>
        </w:tabs>
        <w:rPr>
          <w:szCs w:val="24"/>
          <w:lang w:eastAsia="zh-CN"/>
        </w:rPr>
      </w:pPr>
      <w:r w:rsidRPr="00ED742F">
        <w:rPr>
          <w:i/>
          <w:iCs/>
          <w:szCs w:val="24"/>
          <w:lang w:eastAsia="zh-CN"/>
        </w:rPr>
        <w:t>b)</w:t>
      </w:r>
      <w:r w:rsidRPr="00ED742F">
        <w:rPr>
          <w:szCs w:val="24"/>
          <w:lang w:eastAsia="zh-CN"/>
        </w:rPr>
        <w:tab/>
      </w:r>
      <w:r w:rsidRPr="00ED742F">
        <w:rPr>
          <w:rFonts w:hint="eastAsia"/>
          <w:szCs w:val="24"/>
          <w:lang w:eastAsia="zh-CN"/>
        </w:rPr>
        <w:t>外部审计员、内部审计员和独立管理顾问委员会</w:t>
      </w:r>
      <w:r>
        <w:rPr>
          <w:rFonts w:hint="eastAsia"/>
          <w:szCs w:val="24"/>
          <w:lang w:eastAsia="zh-CN"/>
        </w:rPr>
        <w:t>针对</w:t>
      </w:r>
      <w:r w:rsidRPr="00ED742F">
        <w:rPr>
          <w:rFonts w:hint="eastAsia"/>
          <w:szCs w:val="24"/>
          <w:lang w:eastAsia="zh-CN"/>
        </w:rPr>
        <w:t>区域代表处</w:t>
      </w:r>
      <w:r>
        <w:rPr>
          <w:rFonts w:hint="eastAsia"/>
          <w:szCs w:val="24"/>
          <w:lang w:eastAsia="zh-CN"/>
        </w:rPr>
        <w:t>发生的</w:t>
      </w:r>
      <w:r w:rsidRPr="00ED742F">
        <w:rPr>
          <w:rFonts w:hint="eastAsia"/>
          <w:szCs w:val="24"/>
          <w:lang w:eastAsia="zh-CN"/>
        </w:rPr>
        <w:t>欺诈案提交</w:t>
      </w:r>
      <w:r w:rsidRPr="00ED742F">
        <w:rPr>
          <w:rFonts w:hint="eastAsia"/>
          <w:szCs w:val="24"/>
          <w:lang w:eastAsia="zh-CN"/>
        </w:rPr>
        <w:t>2019</w:t>
      </w:r>
      <w:r w:rsidRPr="00ED742F">
        <w:rPr>
          <w:rFonts w:hint="eastAsia"/>
          <w:szCs w:val="24"/>
          <w:lang w:eastAsia="zh-CN"/>
        </w:rPr>
        <w:t>年会议的</w:t>
      </w:r>
      <w:r>
        <w:rPr>
          <w:rFonts w:hint="eastAsia"/>
          <w:szCs w:val="24"/>
          <w:lang w:eastAsia="zh-CN"/>
        </w:rPr>
        <w:t>各项</w:t>
      </w:r>
      <w:r w:rsidRPr="00ED742F">
        <w:rPr>
          <w:rFonts w:hint="eastAsia"/>
          <w:szCs w:val="24"/>
          <w:lang w:eastAsia="zh-CN"/>
        </w:rPr>
        <w:t>报告；</w:t>
      </w:r>
    </w:p>
    <w:p w14:paraId="4827B8D5" w14:textId="77777777" w:rsidR="003642E0" w:rsidRPr="00ED742F" w:rsidRDefault="003642E0" w:rsidP="003642E0">
      <w:pPr>
        <w:tabs>
          <w:tab w:val="left" w:pos="567"/>
        </w:tabs>
        <w:rPr>
          <w:rFonts w:cs="Calibri"/>
          <w:b/>
          <w:color w:val="800000"/>
          <w:szCs w:val="24"/>
          <w:lang w:eastAsia="zh-CN"/>
        </w:rPr>
      </w:pPr>
      <w:r w:rsidRPr="00ED742F">
        <w:rPr>
          <w:i/>
          <w:iCs/>
          <w:szCs w:val="24"/>
          <w:lang w:eastAsia="zh-CN"/>
        </w:rPr>
        <w:t>c)</w:t>
      </w:r>
      <w:r w:rsidRPr="00ED742F">
        <w:rPr>
          <w:szCs w:val="24"/>
          <w:lang w:eastAsia="zh-CN"/>
        </w:rPr>
        <w:tab/>
      </w:r>
      <w:hyperlink r:id="rId473" w:history="1">
        <w:r w:rsidRPr="002D20E3">
          <w:rPr>
            <w:rStyle w:val="Hyperlink"/>
            <w:rFonts w:cs="Calibri"/>
            <w:szCs w:val="24"/>
            <w:lang w:eastAsia="zh-CN"/>
          </w:rPr>
          <w:t>C19/25 (Rev.2)</w:t>
        </w:r>
      </w:hyperlink>
      <w:r w:rsidRPr="00ED742F">
        <w:rPr>
          <w:rFonts w:hint="eastAsia"/>
          <w:szCs w:val="24"/>
          <w:lang w:eastAsia="zh-CN"/>
        </w:rPr>
        <w:t>号文件中关于全权代表大会第</w:t>
      </w:r>
      <w:r w:rsidRPr="00ED742F">
        <w:rPr>
          <w:rFonts w:hint="eastAsia"/>
          <w:szCs w:val="24"/>
          <w:lang w:eastAsia="zh-CN"/>
        </w:rPr>
        <w:t>25</w:t>
      </w:r>
      <w:r w:rsidRPr="00ED742F">
        <w:rPr>
          <w:rFonts w:hint="eastAsia"/>
          <w:szCs w:val="24"/>
          <w:lang w:eastAsia="zh-CN"/>
        </w:rPr>
        <w:t>号决议（</w:t>
      </w:r>
      <w:r w:rsidRPr="00ED742F">
        <w:rPr>
          <w:rFonts w:hint="eastAsia"/>
          <w:szCs w:val="24"/>
          <w:lang w:eastAsia="zh-CN"/>
        </w:rPr>
        <w:t>201</w:t>
      </w:r>
      <w:r w:rsidRPr="00ED742F">
        <w:rPr>
          <w:szCs w:val="24"/>
          <w:lang w:eastAsia="zh-CN"/>
        </w:rPr>
        <w:t>8</w:t>
      </w:r>
      <w:r w:rsidRPr="00ED742F">
        <w:rPr>
          <w:rFonts w:hint="eastAsia"/>
          <w:szCs w:val="24"/>
          <w:lang w:eastAsia="zh-CN"/>
        </w:rPr>
        <w:t>年，迪拜，修订版）</w:t>
      </w:r>
      <w:r>
        <w:rPr>
          <w:rFonts w:hint="eastAsia"/>
          <w:szCs w:val="24"/>
          <w:lang w:eastAsia="zh-CN"/>
        </w:rPr>
        <w:t>（</w:t>
      </w:r>
      <w:r w:rsidRPr="00ED742F">
        <w:rPr>
          <w:rFonts w:hint="eastAsia"/>
          <w:lang w:eastAsia="zh-CN"/>
        </w:rPr>
        <w:t>加强区域代表处的</w:t>
      </w:r>
      <w:r w:rsidRPr="00ED742F">
        <w:rPr>
          <w:lang w:eastAsia="zh-CN"/>
        </w:rPr>
        <w:t>作用</w:t>
      </w:r>
      <w:r>
        <w:rPr>
          <w:rFonts w:hint="eastAsia"/>
          <w:szCs w:val="24"/>
          <w:lang w:eastAsia="zh-CN"/>
        </w:rPr>
        <w:t>）</w:t>
      </w:r>
      <w:r w:rsidRPr="00ED742F">
        <w:rPr>
          <w:rFonts w:hint="eastAsia"/>
          <w:szCs w:val="24"/>
          <w:lang w:eastAsia="zh-CN"/>
        </w:rPr>
        <w:t>落实情况的报告，</w:t>
      </w:r>
    </w:p>
    <w:p w14:paraId="4827B8D6" w14:textId="77777777" w:rsidR="003642E0" w:rsidRPr="00ED742F" w:rsidRDefault="003642E0" w:rsidP="003642E0">
      <w:pPr>
        <w:pStyle w:val="call0"/>
        <w:rPr>
          <w:rFonts w:ascii="STKaiti" w:hAnsi="STKaiti"/>
          <w:i/>
          <w:iCs/>
          <w:szCs w:val="24"/>
          <w:lang w:eastAsia="zh-CN"/>
        </w:rPr>
      </w:pPr>
      <w:r w:rsidRPr="00ED742F">
        <w:rPr>
          <w:rFonts w:ascii="STKaiti" w:hAnsi="STKaiti" w:hint="eastAsia"/>
          <w:iCs/>
          <w:szCs w:val="24"/>
          <w:lang w:eastAsia="zh-CN"/>
        </w:rPr>
        <w:t>重申</w:t>
      </w:r>
    </w:p>
    <w:p w14:paraId="4827B8D7" w14:textId="77777777" w:rsidR="003642E0" w:rsidRPr="00ED742F" w:rsidRDefault="003642E0" w:rsidP="003642E0">
      <w:pPr>
        <w:tabs>
          <w:tab w:val="left" w:pos="567"/>
        </w:tabs>
        <w:rPr>
          <w:szCs w:val="24"/>
          <w:lang w:eastAsia="zh-CN"/>
        </w:rPr>
      </w:pPr>
      <w:r w:rsidRPr="00ED742F">
        <w:rPr>
          <w:i/>
          <w:iCs/>
          <w:szCs w:val="24"/>
          <w:lang w:eastAsia="zh-CN"/>
        </w:rPr>
        <w:t>a)</w:t>
      </w:r>
      <w:r w:rsidRPr="00ED742F">
        <w:rPr>
          <w:szCs w:val="24"/>
          <w:lang w:eastAsia="zh-CN"/>
        </w:rPr>
        <w:tab/>
      </w:r>
      <w:r w:rsidRPr="00ED742F">
        <w:rPr>
          <w:lang w:eastAsia="zh-CN"/>
        </w:rPr>
        <w:t>区域代表处对于完成国际电联</w:t>
      </w:r>
      <w:r>
        <w:rPr>
          <w:rFonts w:hint="eastAsia"/>
          <w:lang w:eastAsia="zh-CN"/>
        </w:rPr>
        <w:t>的</w:t>
      </w:r>
      <w:r w:rsidRPr="00ED742F">
        <w:rPr>
          <w:lang w:eastAsia="zh-CN"/>
        </w:rPr>
        <w:t>发展使命的重要</w:t>
      </w:r>
      <w:r w:rsidRPr="00ED742F">
        <w:rPr>
          <w:rFonts w:ascii="SimSun" w:hAnsi="SimSun" w:cs="SimSun" w:hint="eastAsia"/>
          <w:lang w:eastAsia="zh-CN"/>
        </w:rPr>
        <w:t>性；</w:t>
      </w:r>
    </w:p>
    <w:p w14:paraId="4827B8D8" w14:textId="77777777" w:rsidR="003642E0" w:rsidRPr="00ED742F" w:rsidRDefault="003642E0" w:rsidP="003642E0">
      <w:pPr>
        <w:tabs>
          <w:tab w:val="left" w:pos="567"/>
        </w:tabs>
        <w:rPr>
          <w:rFonts w:cs="Calibri"/>
          <w:b/>
          <w:color w:val="800000"/>
          <w:szCs w:val="24"/>
          <w:lang w:eastAsia="zh-CN"/>
        </w:rPr>
      </w:pPr>
      <w:r w:rsidRPr="00ED742F">
        <w:rPr>
          <w:i/>
          <w:iCs/>
          <w:szCs w:val="24"/>
          <w:lang w:eastAsia="zh-CN"/>
        </w:rPr>
        <w:t>b)</w:t>
      </w:r>
      <w:r w:rsidRPr="00ED742F">
        <w:rPr>
          <w:szCs w:val="24"/>
          <w:lang w:eastAsia="zh-CN"/>
        </w:rPr>
        <w:tab/>
      </w:r>
      <w:r>
        <w:rPr>
          <w:rFonts w:hint="eastAsia"/>
          <w:lang w:eastAsia="zh-CN"/>
        </w:rPr>
        <w:t>有必要</w:t>
      </w:r>
      <w:r w:rsidRPr="00ED742F">
        <w:rPr>
          <w:lang w:eastAsia="zh-CN"/>
        </w:rPr>
        <w:t>增强区域</w:t>
      </w:r>
      <w:r w:rsidRPr="00ED742F">
        <w:rPr>
          <w:szCs w:val="24"/>
          <w:lang w:eastAsia="zh-CN"/>
        </w:rPr>
        <w:t>代表</w:t>
      </w:r>
      <w:r w:rsidRPr="00ED742F">
        <w:rPr>
          <w:lang w:eastAsia="zh-CN"/>
        </w:rPr>
        <w:t>处的有用性和有效性</w:t>
      </w:r>
      <w:r>
        <w:rPr>
          <w:lang w:eastAsia="zh-CN"/>
        </w:rPr>
        <w:t>，</w:t>
      </w:r>
      <w:r>
        <w:rPr>
          <w:rFonts w:hint="eastAsia"/>
          <w:lang w:eastAsia="zh-CN"/>
        </w:rPr>
        <w:t>以便在</w:t>
      </w:r>
      <w:r w:rsidRPr="00ED742F">
        <w:rPr>
          <w:lang w:eastAsia="zh-CN"/>
        </w:rPr>
        <w:t>国际</w:t>
      </w:r>
      <w:r w:rsidRPr="00ED742F">
        <w:rPr>
          <w:rFonts w:hint="eastAsia"/>
          <w:lang w:eastAsia="zh-CN"/>
        </w:rPr>
        <w:t>电联</w:t>
      </w:r>
      <w:r>
        <w:rPr>
          <w:rFonts w:hint="eastAsia"/>
          <w:lang w:eastAsia="zh-CN"/>
        </w:rPr>
        <w:t>各项</w:t>
      </w:r>
      <w:r w:rsidRPr="00ED742F">
        <w:rPr>
          <w:lang w:eastAsia="zh-CN"/>
        </w:rPr>
        <w:t>活动</w:t>
      </w:r>
      <w:r>
        <w:rPr>
          <w:rFonts w:hint="eastAsia"/>
          <w:lang w:eastAsia="zh-CN"/>
        </w:rPr>
        <w:t>中体现其作用</w:t>
      </w:r>
      <w:r w:rsidRPr="00ED742F">
        <w:rPr>
          <w:rFonts w:ascii="SimSun" w:hAnsi="SimSun" w:cs="SimSun" w:hint="eastAsia"/>
          <w:lang w:eastAsia="zh-CN"/>
        </w:rPr>
        <w:t>，</w:t>
      </w:r>
      <w:r>
        <w:rPr>
          <w:rFonts w:ascii="SimSun" w:hAnsi="SimSun" w:cs="SimSun" w:hint="eastAsia"/>
          <w:lang w:eastAsia="zh-CN"/>
        </w:rPr>
        <w:t>从而</w:t>
      </w:r>
      <w:r w:rsidRPr="00ED742F">
        <w:rPr>
          <w:rFonts w:hint="eastAsia"/>
          <w:lang w:eastAsia="zh-CN"/>
        </w:rPr>
        <w:t>加强区域代表处的作用，</w:t>
      </w:r>
    </w:p>
    <w:p w14:paraId="4827B8D9" w14:textId="77777777" w:rsidR="003642E0" w:rsidRPr="00ED742F" w:rsidRDefault="003642E0" w:rsidP="003642E0">
      <w:pPr>
        <w:pStyle w:val="call0"/>
        <w:rPr>
          <w:rFonts w:ascii="STKaiti" w:hAnsi="STKaiti"/>
          <w:i/>
          <w:iCs/>
          <w:szCs w:val="24"/>
          <w:lang w:eastAsia="zh-CN"/>
        </w:rPr>
      </w:pPr>
      <w:r w:rsidRPr="00ED742F">
        <w:rPr>
          <w:rFonts w:ascii="STKaiti" w:hAnsi="STKaiti" w:hint="eastAsia"/>
          <w:iCs/>
          <w:szCs w:val="24"/>
          <w:lang w:eastAsia="zh-CN"/>
        </w:rPr>
        <w:t>做出决定，责成秘书长</w:t>
      </w:r>
    </w:p>
    <w:p w14:paraId="4827B8DA" w14:textId="77777777" w:rsidR="003642E0" w:rsidRDefault="003642E0" w:rsidP="003642E0">
      <w:pPr>
        <w:tabs>
          <w:tab w:val="left" w:pos="567"/>
        </w:tabs>
        <w:ind w:firstLineChars="200" w:firstLine="480"/>
        <w:rPr>
          <w:szCs w:val="24"/>
          <w:lang w:eastAsia="zh-CN"/>
        </w:rPr>
      </w:pPr>
      <w:r w:rsidRPr="00ED742F">
        <w:rPr>
          <w:rFonts w:hint="eastAsia"/>
          <w:szCs w:val="24"/>
          <w:lang w:eastAsia="zh-CN"/>
        </w:rPr>
        <w:t>依照附件中规定的职责范围，招聘和聘请一家独立外部管理咨询公司，对国际电联</w:t>
      </w:r>
      <w:r>
        <w:rPr>
          <w:rFonts w:hint="eastAsia"/>
          <w:szCs w:val="24"/>
          <w:lang w:eastAsia="zh-CN"/>
        </w:rPr>
        <w:t>的</w:t>
      </w:r>
      <w:r w:rsidRPr="00ED742F">
        <w:rPr>
          <w:rFonts w:hint="eastAsia"/>
          <w:szCs w:val="24"/>
          <w:lang w:eastAsia="zh-CN"/>
        </w:rPr>
        <w:t>区域代表处项目开展全面</w:t>
      </w:r>
      <w:r>
        <w:rPr>
          <w:rFonts w:hint="eastAsia"/>
          <w:szCs w:val="24"/>
          <w:lang w:eastAsia="zh-CN"/>
        </w:rPr>
        <w:t>、有计划的</w:t>
      </w:r>
      <w:r w:rsidRPr="00ED742F">
        <w:rPr>
          <w:rFonts w:hint="eastAsia"/>
          <w:szCs w:val="24"/>
          <w:lang w:eastAsia="zh-CN"/>
        </w:rPr>
        <w:t>战略和财务评估</w:t>
      </w:r>
      <w:r>
        <w:rPr>
          <w:rFonts w:hint="eastAsia"/>
          <w:szCs w:val="24"/>
          <w:lang w:eastAsia="zh-CN"/>
        </w:rPr>
        <w:t>及</w:t>
      </w:r>
      <w:r w:rsidRPr="00ED742F">
        <w:rPr>
          <w:rFonts w:hint="eastAsia"/>
          <w:szCs w:val="24"/>
          <w:lang w:eastAsia="zh-CN"/>
        </w:rPr>
        <w:t>审查，同时</w:t>
      </w:r>
      <w:r>
        <w:rPr>
          <w:rFonts w:hint="eastAsia"/>
          <w:szCs w:val="24"/>
          <w:lang w:eastAsia="zh-CN"/>
        </w:rPr>
        <w:t>考虑到来自</w:t>
      </w:r>
      <w:r w:rsidRPr="00ED742F">
        <w:rPr>
          <w:rFonts w:hint="eastAsia"/>
          <w:szCs w:val="24"/>
          <w:lang w:eastAsia="zh-CN"/>
        </w:rPr>
        <w:t>国际电联成员的文稿，并且向理事会</w:t>
      </w:r>
      <w:r w:rsidRPr="00ED742F">
        <w:rPr>
          <w:rFonts w:hint="eastAsia"/>
          <w:szCs w:val="24"/>
          <w:lang w:eastAsia="zh-CN"/>
        </w:rPr>
        <w:t>2021</w:t>
      </w:r>
      <w:r w:rsidRPr="00ED742F">
        <w:rPr>
          <w:rFonts w:hint="eastAsia"/>
          <w:szCs w:val="24"/>
          <w:lang w:eastAsia="zh-CN"/>
        </w:rPr>
        <w:t>年会议提交一份包含建议</w:t>
      </w:r>
      <w:r>
        <w:rPr>
          <w:rFonts w:hint="eastAsia"/>
          <w:szCs w:val="24"/>
          <w:lang w:eastAsia="zh-CN"/>
        </w:rPr>
        <w:t>在内</w:t>
      </w:r>
      <w:r w:rsidRPr="00ED742F">
        <w:rPr>
          <w:rFonts w:hint="eastAsia"/>
          <w:szCs w:val="24"/>
          <w:lang w:eastAsia="zh-CN"/>
        </w:rPr>
        <w:t>的报告，以采取行动，</w:t>
      </w:r>
    </w:p>
    <w:p w14:paraId="4827B8DB" w14:textId="77777777" w:rsidR="003642E0" w:rsidRPr="003642E0" w:rsidRDefault="003642E0" w:rsidP="003642E0">
      <w:pPr>
        <w:tabs>
          <w:tab w:val="left" w:pos="567"/>
        </w:tabs>
        <w:ind w:firstLineChars="200" w:firstLine="482"/>
        <w:rPr>
          <w:szCs w:val="24"/>
          <w:lang w:eastAsia="zh-CN"/>
        </w:rPr>
      </w:pPr>
      <w:r>
        <w:rPr>
          <w:rFonts w:cs="Calibri"/>
          <w:b/>
          <w:i/>
          <w:color w:val="800000"/>
          <w:szCs w:val="24"/>
          <w:lang w:eastAsia="zh-CN"/>
        </w:rPr>
        <w:br w:type="page"/>
      </w:r>
    </w:p>
    <w:p w14:paraId="4827B8DC" w14:textId="77777777" w:rsidR="003642E0" w:rsidRPr="00ED742F" w:rsidRDefault="003642E0" w:rsidP="003642E0">
      <w:pPr>
        <w:pStyle w:val="call0"/>
        <w:rPr>
          <w:rFonts w:ascii="STKaiti" w:hAnsi="STKaiti"/>
          <w:i/>
          <w:iCs/>
          <w:szCs w:val="24"/>
          <w:lang w:eastAsia="zh-CN"/>
        </w:rPr>
      </w:pPr>
      <w:r w:rsidRPr="00ED742F">
        <w:rPr>
          <w:rFonts w:ascii="STKaiti" w:hAnsi="STKaiti" w:hint="eastAsia"/>
          <w:iCs/>
          <w:szCs w:val="24"/>
          <w:lang w:eastAsia="zh-CN"/>
        </w:rPr>
        <w:lastRenderedPageBreak/>
        <w:t>进一步做出决定</w:t>
      </w:r>
    </w:p>
    <w:p w14:paraId="4827B8DD" w14:textId="77777777" w:rsidR="003642E0" w:rsidRDefault="003642E0" w:rsidP="003642E0">
      <w:pPr>
        <w:tabs>
          <w:tab w:val="left" w:pos="567"/>
        </w:tabs>
        <w:ind w:firstLineChars="200" w:firstLine="480"/>
        <w:rPr>
          <w:rFonts w:cs="Calibri"/>
          <w:szCs w:val="24"/>
          <w:lang w:eastAsia="zh-CN"/>
        </w:rPr>
      </w:pPr>
      <w:r w:rsidRPr="00ED742F">
        <w:rPr>
          <w:rFonts w:hint="eastAsia"/>
          <w:szCs w:val="24"/>
          <w:lang w:eastAsia="zh-CN"/>
        </w:rPr>
        <w:t>独立外部管理咨询公司的付款准备金不得超出</w:t>
      </w:r>
      <w:r w:rsidRPr="00ED742F">
        <w:rPr>
          <w:rFonts w:cs="Calibri"/>
          <w:szCs w:val="24"/>
          <w:lang w:eastAsia="zh-CN"/>
        </w:rPr>
        <w:t>500 000</w:t>
      </w:r>
      <w:r w:rsidRPr="00ED742F">
        <w:rPr>
          <w:rFonts w:cs="Calibri" w:hint="eastAsia"/>
          <w:szCs w:val="24"/>
          <w:lang w:eastAsia="zh-CN"/>
        </w:rPr>
        <w:t>瑞士法郎</w:t>
      </w:r>
      <w:r w:rsidRPr="00ED742F">
        <w:rPr>
          <w:rFonts w:cs="Calibri"/>
          <w:szCs w:val="24"/>
          <w:lang w:eastAsia="zh-CN"/>
        </w:rPr>
        <w:t>，</w:t>
      </w:r>
      <w:r w:rsidRPr="00ED742F">
        <w:rPr>
          <w:rFonts w:cs="Calibri" w:hint="eastAsia"/>
          <w:szCs w:val="24"/>
          <w:lang w:eastAsia="zh-CN"/>
        </w:rPr>
        <w:t>而且聘请咨询公司的费用须</w:t>
      </w:r>
      <w:r>
        <w:rPr>
          <w:rFonts w:cs="Calibri" w:hint="eastAsia"/>
          <w:szCs w:val="24"/>
          <w:lang w:eastAsia="zh-CN"/>
        </w:rPr>
        <w:t>出自</w:t>
      </w:r>
      <w:r>
        <w:rPr>
          <w:rFonts w:cs="Calibri" w:hint="eastAsia"/>
          <w:szCs w:val="24"/>
          <w:lang w:eastAsia="zh-CN"/>
        </w:rPr>
        <w:t>2019</w:t>
      </w:r>
      <w:r w:rsidRPr="00ED742F">
        <w:rPr>
          <w:rFonts w:cs="Calibri" w:hint="eastAsia"/>
          <w:szCs w:val="24"/>
          <w:lang w:eastAsia="zh-CN"/>
        </w:rPr>
        <w:t>年的预算执行结余。</w:t>
      </w:r>
    </w:p>
    <w:p w14:paraId="4827B8DE" w14:textId="77777777" w:rsidR="003642E0" w:rsidRDefault="003642E0" w:rsidP="003642E0">
      <w:pPr>
        <w:spacing w:before="600"/>
        <w:rPr>
          <w:lang w:eastAsia="zh-CN"/>
        </w:rPr>
      </w:pPr>
      <w:r w:rsidRPr="003878A8">
        <w:rPr>
          <w:rFonts w:hint="eastAsia"/>
          <w:b/>
          <w:bCs/>
          <w:lang w:eastAsia="zh-CN"/>
        </w:rPr>
        <w:t>附件</w:t>
      </w:r>
      <w:r>
        <w:rPr>
          <w:rFonts w:hint="eastAsia"/>
          <w:lang w:eastAsia="zh-CN"/>
        </w:rPr>
        <w:t>：</w:t>
      </w:r>
      <w:r>
        <w:rPr>
          <w:rFonts w:hint="eastAsia"/>
          <w:lang w:eastAsia="zh-CN"/>
        </w:rPr>
        <w:t>1</w:t>
      </w:r>
      <w:r>
        <w:rPr>
          <w:rFonts w:hint="eastAsia"/>
          <w:lang w:eastAsia="zh-CN"/>
        </w:rPr>
        <w:t>件</w:t>
      </w:r>
    </w:p>
    <w:p w14:paraId="4827B8DF" w14:textId="77777777" w:rsidR="003642E0" w:rsidRPr="00ED742F" w:rsidRDefault="003642E0" w:rsidP="003642E0">
      <w:pPr>
        <w:pStyle w:val="AnnexNo"/>
        <w:rPr>
          <w:lang w:eastAsia="zh-CN"/>
        </w:rPr>
      </w:pPr>
      <w:r w:rsidRPr="00ED742F">
        <w:rPr>
          <w:rFonts w:hint="eastAsia"/>
          <w:lang w:eastAsia="zh-CN"/>
        </w:rPr>
        <w:t>附件</w:t>
      </w:r>
    </w:p>
    <w:p w14:paraId="4827B8E0" w14:textId="77777777" w:rsidR="003642E0" w:rsidRPr="00ED742F" w:rsidRDefault="003642E0" w:rsidP="003642E0">
      <w:pPr>
        <w:pStyle w:val="AnnexTitle0"/>
        <w:rPr>
          <w:lang w:eastAsia="zh-CN"/>
        </w:rPr>
      </w:pPr>
      <w:r w:rsidRPr="00ED742F">
        <w:rPr>
          <w:rFonts w:hint="eastAsia"/>
          <w:lang w:eastAsia="zh-CN"/>
        </w:rPr>
        <w:t>审查国际电联区域代表处作用的外部顾问的职责范围</w:t>
      </w:r>
    </w:p>
    <w:p w14:paraId="4827B8E1" w14:textId="77777777" w:rsidR="003642E0" w:rsidRPr="002C6FDC" w:rsidRDefault="003642E0" w:rsidP="00E51375">
      <w:pPr>
        <w:pStyle w:val="Normalaftertitle0"/>
      </w:pPr>
      <w:bookmarkStart w:id="2345" w:name="lt_pId134"/>
      <w:r w:rsidRPr="002C6FDC">
        <w:t>1</w:t>
      </w:r>
      <w:r w:rsidR="00D54ECF" w:rsidRPr="002C6FDC">
        <w:t>.</w:t>
      </w:r>
      <w:r w:rsidRPr="002C6FDC">
        <w:tab/>
      </w:r>
      <w:r w:rsidRPr="002C6FDC">
        <w:t>宗旨</w:t>
      </w:r>
      <w:bookmarkEnd w:id="2345"/>
    </w:p>
    <w:p w14:paraId="4827B8E2" w14:textId="77777777" w:rsidR="003642E0" w:rsidRPr="00ED742F" w:rsidRDefault="003642E0" w:rsidP="003642E0">
      <w:pPr>
        <w:ind w:firstLineChars="200" w:firstLine="480"/>
        <w:rPr>
          <w:lang w:val="en-US" w:eastAsia="zh-CN"/>
        </w:rPr>
      </w:pPr>
      <w:bookmarkStart w:id="2346" w:name="lt_pId135"/>
      <w:r w:rsidRPr="00ED742F">
        <w:rPr>
          <w:rFonts w:hint="eastAsia"/>
          <w:lang w:eastAsia="zh-CN"/>
        </w:rPr>
        <w:t>国际电联拟根据</w:t>
      </w:r>
      <w:r w:rsidRPr="00ED742F">
        <w:rPr>
          <w:rFonts w:hint="eastAsia"/>
          <w:szCs w:val="24"/>
          <w:lang w:eastAsia="zh-CN"/>
        </w:rPr>
        <w:t>第</w:t>
      </w:r>
      <w:r w:rsidRPr="00ED742F">
        <w:rPr>
          <w:rFonts w:hint="eastAsia"/>
          <w:szCs w:val="24"/>
          <w:lang w:eastAsia="zh-CN"/>
        </w:rPr>
        <w:t>25</w:t>
      </w:r>
      <w:r w:rsidRPr="00ED742F">
        <w:rPr>
          <w:rFonts w:hint="eastAsia"/>
          <w:szCs w:val="24"/>
          <w:lang w:eastAsia="zh-CN"/>
        </w:rPr>
        <w:t>号决议（</w:t>
      </w:r>
      <w:r w:rsidRPr="00ED742F">
        <w:rPr>
          <w:rFonts w:hint="eastAsia"/>
          <w:szCs w:val="24"/>
          <w:lang w:eastAsia="zh-CN"/>
        </w:rPr>
        <w:t>201</w:t>
      </w:r>
      <w:r w:rsidRPr="00ED742F">
        <w:rPr>
          <w:szCs w:val="24"/>
          <w:lang w:eastAsia="zh-CN"/>
        </w:rPr>
        <w:t>8</w:t>
      </w:r>
      <w:r w:rsidRPr="00ED742F">
        <w:rPr>
          <w:rFonts w:hint="eastAsia"/>
          <w:szCs w:val="24"/>
          <w:lang w:eastAsia="zh-CN"/>
        </w:rPr>
        <w:t>年，迪拜，修订版）</w:t>
      </w:r>
      <w:r w:rsidRPr="00ED742F">
        <w:rPr>
          <w:rFonts w:hint="eastAsia"/>
          <w:lang w:eastAsia="zh-CN"/>
        </w:rPr>
        <w:t>的要求和规定，对本组织的区域代表处的作用进行审查。</w:t>
      </w:r>
      <w:bookmarkEnd w:id="2346"/>
    </w:p>
    <w:p w14:paraId="4827B8E3" w14:textId="77777777" w:rsidR="003642E0" w:rsidRPr="00ED742F" w:rsidRDefault="003642E0" w:rsidP="003642E0">
      <w:pPr>
        <w:ind w:firstLineChars="200" w:firstLine="480"/>
        <w:rPr>
          <w:rFonts w:cs="Calibri"/>
          <w:b/>
          <w:color w:val="800000"/>
          <w:sz w:val="22"/>
          <w:lang w:eastAsia="zh-CN"/>
        </w:rPr>
      </w:pPr>
      <w:bookmarkStart w:id="2347" w:name="lt_pId136"/>
      <w:r>
        <w:rPr>
          <w:rFonts w:hint="eastAsia"/>
          <w:lang w:val="en-US" w:eastAsia="zh-CN"/>
        </w:rPr>
        <w:t>据</w:t>
      </w:r>
      <w:r w:rsidRPr="00ED742F">
        <w:rPr>
          <w:lang w:val="en-US" w:eastAsia="zh-CN"/>
        </w:rPr>
        <w:t>此看来，</w:t>
      </w:r>
      <w:r>
        <w:rPr>
          <w:rFonts w:hint="eastAsia"/>
          <w:lang w:val="en-US" w:eastAsia="zh-CN"/>
        </w:rPr>
        <w:t>重要的是</w:t>
      </w:r>
      <w:r w:rsidRPr="00ED742F">
        <w:rPr>
          <w:rFonts w:hint="eastAsia"/>
          <w:noProof/>
          <w:lang w:eastAsia="zh-CN"/>
        </w:rPr>
        <w:t>评估驻地办事处的</w:t>
      </w:r>
      <w:r w:rsidRPr="00ED742F">
        <w:rPr>
          <w:rFonts w:hint="eastAsia"/>
          <w:szCs w:val="24"/>
          <w:lang w:eastAsia="zh-CN"/>
        </w:rPr>
        <w:t>组织</w:t>
      </w:r>
      <w:r w:rsidRPr="00ED742F">
        <w:rPr>
          <w:rFonts w:hint="eastAsia"/>
          <w:noProof/>
          <w:lang w:eastAsia="zh-CN"/>
        </w:rPr>
        <w:t>和运行是否</w:t>
      </w:r>
      <w:r>
        <w:rPr>
          <w:rFonts w:hint="eastAsia"/>
          <w:noProof/>
          <w:lang w:eastAsia="zh-CN"/>
        </w:rPr>
        <w:t>能做出显著贡献，</w:t>
      </w:r>
      <w:r w:rsidRPr="00ED742F">
        <w:rPr>
          <w:rFonts w:hint="eastAsia"/>
          <w:noProof/>
          <w:lang w:eastAsia="zh-CN"/>
        </w:rPr>
        <w:t>使国际电联的</w:t>
      </w:r>
      <w:r>
        <w:rPr>
          <w:rFonts w:hint="eastAsia"/>
          <w:noProof/>
          <w:lang w:eastAsia="zh-CN"/>
        </w:rPr>
        <w:t>机构性</w:t>
      </w:r>
      <w:r w:rsidRPr="00ED742F">
        <w:rPr>
          <w:rFonts w:hint="eastAsia"/>
          <w:noProof/>
          <w:lang w:eastAsia="zh-CN"/>
        </w:rPr>
        <w:t>活动更贴近其成员。</w:t>
      </w:r>
      <w:bookmarkEnd w:id="2347"/>
    </w:p>
    <w:p w14:paraId="4827B8E4" w14:textId="77777777" w:rsidR="003642E0" w:rsidRPr="00ED742F" w:rsidRDefault="003642E0" w:rsidP="003642E0">
      <w:pPr>
        <w:ind w:firstLineChars="200" w:firstLine="480"/>
        <w:rPr>
          <w:szCs w:val="24"/>
          <w:lang w:val="en-US" w:eastAsia="zh-CN"/>
        </w:rPr>
      </w:pPr>
      <w:bookmarkStart w:id="2348" w:name="lt_pId137"/>
      <w:r>
        <w:rPr>
          <w:rFonts w:hint="eastAsia"/>
          <w:szCs w:val="24"/>
          <w:lang w:val="en-US" w:eastAsia="zh-CN"/>
        </w:rPr>
        <w:t>此</w:t>
      </w:r>
      <w:r w:rsidRPr="00ED742F">
        <w:rPr>
          <w:szCs w:val="24"/>
          <w:lang w:val="en-US" w:eastAsia="zh-CN"/>
        </w:rPr>
        <w:t>项审查的目标是</w:t>
      </w:r>
      <w:r>
        <w:rPr>
          <w:szCs w:val="24"/>
          <w:lang w:val="en-US" w:eastAsia="zh-CN"/>
        </w:rPr>
        <w:t>，</w:t>
      </w:r>
      <w:r w:rsidRPr="00ED742F">
        <w:rPr>
          <w:szCs w:val="24"/>
          <w:lang w:val="en-US" w:eastAsia="zh-CN"/>
        </w:rPr>
        <w:t>制定并实施一项行动方案，以便：</w:t>
      </w:r>
      <w:bookmarkEnd w:id="2348"/>
    </w:p>
    <w:p w14:paraId="4827B8E5" w14:textId="77777777" w:rsidR="003642E0" w:rsidRPr="00ED742F" w:rsidRDefault="003642E0" w:rsidP="003642E0">
      <w:pPr>
        <w:pStyle w:val="enumlev1"/>
        <w:rPr>
          <w:szCs w:val="24"/>
          <w:lang w:val="en-US" w:eastAsia="zh-CN"/>
        </w:rPr>
      </w:pPr>
      <w:bookmarkStart w:id="2349" w:name="lt_pId138"/>
      <w:r w:rsidRPr="00ED742F">
        <w:rPr>
          <w:rFonts w:hint="eastAsia"/>
          <w:noProof/>
          <w:lang w:eastAsia="zh-CN"/>
        </w:rPr>
        <w:t>a</w:t>
      </w:r>
      <w:r w:rsidRPr="00ED742F">
        <w:rPr>
          <w:noProof/>
          <w:lang w:eastAsia="zh-CN"/>
        </w:rPr>
        <w:t>)</w:t>
      </w:r>
      <w:r w:rsidRPr="00ED742F">
        <w:rPr>
          <w:noProof/>
          <w:lang w:eastAsia="zh-CN"/>
        </w:rPr>
        <w:tab/>
      </w:r>
      <w:r w:rsidRPr="00ED742F">
        <w:rPr>
          <w:rFonts w:hint="eastAsia"/>
          <w:noProof/>
          <w:lang w:eastAsia="zh-CN"/>
        </w:rPr>
        <w:t>能够</w:t>
      </w:r>
      <w:r w:rsidRPr="00ED742F">
        <w:rPr>
          <w:noProof/>
          <w:lang w:eastAsia="zh-CN"/>
        </w:rPr>
        <w:t>按照一套</w:t>
      </w:r>
      <w:r w:rsidRPr="00ED742F">
        <w:rPr>
          <w:rFonts w:hint="eastAsia"/>
          <w:noProof/>
          <w:lang w:eastAsia="zh-CN"/>
        </w:rPr>
        <w:t>新</w:t>
      </w:r>
      <w:r w:rsidRPr="00ED742F">
        <w:rPr>
          <w:noProof/>
          <w:lang w:eastAsia="zh-CN"/>
        </w:rPr>
        <w:t>规则</w:t>
      </w:r>
      <w:r>
        <w:rPr>
          <w:rFonts w:hint="eastAsia"/>
          <w:noProof/>
          <w:lang w:eastAsia="zh-CN"/>
        </w:rPr>
        <w:t>来</w:t>
      </w:r>
      <w:r w:rsidRPr="00ED742F">
        <w:rPr>
          <w:noProof/>
          <w:lang w:eastAsia="zh-CN"/>
        </w:rPr>
        <w:t>衡量区域代表处（</w:t>
      </w:r>
      <w:r w:rsidRPr="00ED742F">
        <w:rPr>
          <w:noProof/>
          <w:lang w:eastAsia="zh-CN"/>
        </w:rPr>
        <w:t>RO</w:t>
      </w:r>
      <w:r w:rsidRPr="00ED742F">
        <w:rPr>
          <w:noProof/>
          <w:lang w:eastAsia="zh-CN"/>
        </w:rPr>
        <w:t>）的绩效；</w:t>
      </w:r>
      <w:bookmarkEnd w:id="2349"/>
    </w:p>
    <w:p w14:paraId="4827B8E6" w14:textId="77777777" w:rsidR="003642E0" w:rsidRPr="00ED742F" w:rsidRDefault="003642E0" w:rsidP="003642E0">
      <w:pPr>
        <w:pStyle w:val="enumlev1"/>
        <w:rPr>
          <w:rFonts w:cs="Calibri"/>
          <w:szCs w:val="24"/>
          <w:lang w:val="en-US" w:eastAsia="zh-CN"/>
        </w:rPr>
      </w:pPr>
      <w:bookmarkStart w:id="2350" w:name="lt_pId139"/>
      <w:r w:rsidRPr="00ED742F">
        <w:rPr>
          <w:rFonts w:cs="Calibri" w:hint="eastAsia"/>
          <w:noProof/>
          <w:lang w:eastAsia="zh-CN"/>
        </w:rPr>
        <w:t>b</w:t>
      </w:r>
      <w:r w:rsidRPr="00ED742F">
        <w:rPr>
          <w:rFonts w:cs="Calibri"/>
          <w:noProof/>
          <w:lang w:eastAsia="zh-CN"/>
        </w:rPr>
        <w:t>)</w:t>
      </w:r>
      <w:r w:rsidRPr="00ED742F">
        <w:rPr>
          <w:rFonts w:cs="Calibri"/>
          <w:noProof/>
          <w:lang w:eastAsia="zh-CN"/>
        </w:rPr>
        <w:tab/>
      </w:r>
      <w:r>
        <w:rPr>
          <w:rFonts w:cs="Calibri" w:hint="eastAsia"/>
          <w:noProof/>
          <w:lang w:eastAsia="zh-CN"/>
        </w:rPr>
        <w:t>制定</w:t>
      </w:r>
      <w:r w:rsidRPr="00ED742F">
        <w:rPr>
          <w:rFonts w:cs="Calibri"/>
          <w:noProof/>
          <w:lang w:eastAsia="zh-CN"/>
        </w:rPr>
        <w:t>有效</w:t>
      </w:r>
      <w:r w:rsidRPr="00ED742F">
        <w:rPr>
          <w:rFonts w:cs="Calibri" w:hint="eastAsia"/>
          <w:noProof/>
          <w:lang w:eastAsia="zh-CN"/>
        </w:rPr>
        <w:t>的</w:t>
      </w:r>
      <w:r w:rsidRPr="00ED742F">
        <w:rPr>
          <w:rFonts w:cs="Calibri"/>
          <w:noProof/>
          <w:lang w:eastAsia="zh-CN"/>
        </w:rPr>
        <w:t>风险管理（</w:t>
      </w:r>
      <w:r w:rsidRPr="00ED742F">
        <w:rPr>
          <w:rFonts w:cs="Calibri"/>
          <w:noProof/>
          <w:lang w:eastAsia="zh-CN"/>
        </w:rPr>
        <w:t>ERM</w:t>
      </w:r>
      <w:r w:rsidRPr="00ED742F">
        <w:rPr>
          <w:rFonts w:cs="Calibri"/>
          <w:noProof/>
          <w:lang w:eastAsia="zh-CN"/>
        </w:rPr>
        <w:t>）</w:t>
      </w:r>
      <w:r>
        <w:rPr>
          <w:rFonts w:cs="Calibri" w:hint="eastAsia"/>
          <w:noProof/>
          <w:lang w:eastAsia="zh-CN"/>
        </w:rPr>
        <w:t>进程</w:t>
      </w:r>
      <w:r w:rsidRPr="00ED742F">
        <w:rPr>
          <w:rFonts w:cs="Calibri"/>
          <w:noProof/>
          <w:lang w:eastAsia="zh-CN"/>
        </w:rPr>
        <w:t>，</w:t>
      </w:r>
      <w:r>
        <w:rPr>
          <w:rFonts w:cs="Calibri" w:hint="eastAsia"/>
          <w:noProof/>
          <w:lang w:eastAsia="zh-CN"/>
        </w:rPr>
        <w:t>其中</w:t>
      </w:r>
      <w:r w:rsidRPr="00ED742F">
        <w:rPr>
          <w:rFonts w:cs="Calibri"/>
          <w:noProof/>
          <w:lang w:eastAsia="zh-CN"/>
        </w:rPr>
        <w:t>包括对</w:t>
      </w:r>
      <w:r w:rsidRPr="00ED742F">
        <w:rPr>
          <w:rFonts w:cs="Calibri"/>
          <w:noProof/>
          <w:lang w:eastAsia="zh-CN"/>
        </w:rPr>
        <w:t>RO</w:t>
      </w:r>
      <w:r w:rsidRPr="00ED742F">
        <w:rPr>
          <w:rFonts w:cs="Calibri"/>
          <w:noProof/>
          <w:lang w:eastAsia="zh-CN"/>
        </w:rPr>
        <w:t>层面</w:t>
      </w:r>
      <w:r w:rsidRPr="00ED742F">
        <w:rPr>
          <w:rFonts w:cs="Calibri" w:hint="eastAsia"/>
          <w:noProof/>
          <w:lang w:eastAsia="zh-CN"/>
        </w:rPr>
        <w:t>所</w:t>
      </w:r>
      <w:r w:rsidRPr="00ED742F">
        <w:rPr>
          <w:rFonts w:cs="Calibri"/>
          <w:noProof/>
          <w:lang w:eastAsia="zh-CN"/>
        </w:rPr>
        <w:t>开展</w:t>
      </w:r>
      <w:r>
        <w:rPr>
          <w:rFonts w:cs="Calibri" w:hint="eastAsia"/>
          <w:noProof/>
          <w:lang w:eastAsia="zh-CN"/>
        </w:rPr>
        <w:t>的</w:t>
      </w:r>
      <w:r w:rsidRPr="00ED742F">
        <w:rPr>
          <w:rFonts w:cs="Calibri"/>
          <w:noProof/>
          <w:lang w:eastAsia="zh-CN"/>
        </w:rPr>
        <w:t>活动进行风险评估（</w:t>
      </w:r>
      <w:r w:rsidRPr="00ED742F">
        <w:rPr>
          <w:rFonts w:cs="Calibri" w:hint="eastAsia"/>
          <w:noProof/>
          <w:lang w:eastAsia="zh-CN"/>
        </w:rPr>
        <w:t>R</w:t>
      </w:r>
      <w:r w:rsidRPr="00ED742F">
        <w:rPr>
          <w:rFonts w:cs="Calibri"/>
          <w:noProof/>
          <w:lang w:eastAsia="zh-CN"/>
        </w:rPr>
        <w:t>A</w:t>
      </w:r>
      <w:r w:rsidRPr="00ED742F">
        <w:rPr>
          <w:rFonts w:cs="Calibri"/>
          <w:noProof/>
          <w:lang w:eastAsia="zh-CN"/>
        </w:rPr>
        <w:t>）；</w:t>
      </w:r>
      <w:bookmarkEnd w:id="2350"/>
    </w:p>
    <w:p w14:paraId="4827B8E7" w14:textId="77777777" w:rsidR="003642E0" w:rsidRPr="00ED742F" w:rsidRDefault="003642E0" w:rsidP="003642E0">
      <w:pPr>
        <w:pStyle w:val="enumlev1"/>
        <w:rPr>
          <w:rFonts w:cs="Calibri"/>
          <w:szCs w:val="24"/>
          <w:lang w:val="en-US" w:eastAsia="zh-CN"/>
        </w:rPr>
      </w:pPr>
      <w:bookmarkStart w:id="2351" w:name="lt_pId140"/>
      <w:r w:rsidRPr="00ED742F">
        <w:rPr>
          <w:rFonts w:cs="Calibri" w:hint="eastAsia"/>
          <w:noProof/>
          <w:lang w:eastAsia="zh-CN"/>
        </w:rPr>
        <w:t>c</w:t>
      </w:r>
      <w:r w:rsidRPr="00ED742F">
        <w:rPr>
          <w:rFonts w:cs="Calibri"/>
          <w:noProof/>
          <w:lang w:eastAsia="zh-CN"/>
        </w:rPr>
        <w:t>)</w:t>
      </w:r>
      <w:r w:rsidRPr="00ED742F">
        <w:rPr>
          <w:rFonts w:cs="Calibri"/>
          <w:noProof/>
          <w:lang w:eastAsia="zh-CN"/>
        </w:rPr>
        <w:tab/>
      </w:r>
      <w:r w:rsidRPr="00ED742F">
        <w:rPr>
          <w:rFonts w:cs="Calibri"/>
          <w:noProof/>
          <w:lang w:eastAsia="zh-CN"/>
        </w:rPr>
        <w:t>制定有助于</w:t>
      </w:r>
      <w:r w:rsidRPr="00ED742F">
        <w:rPr>
          <w:noProof/>
          <w:lang w:eastAsia="zh-CN"/>
        </w:rPr>
        <w:t>总部</w:t>
      </w:r>
      <w:r w:rsidRPr="00ED742F">
        <w:rPr>
          <w:rFonts w:cs="Calibri"/>
          <w:noProof/>
          <w:lang w:eastAsia="zh-CN"/>
        </w:rPr>
        <w:t>与</w:t>
      </w:r>
      <w:r w:rsidRPr="00ED742F">
        <w:rPr>
          <w:rFonts w:cs="Calibri"/>
          <w:noProof/>
          <w:lang w:eastAsia="zh-CN"/>
        </w:rPr>
        <w:t>RO</w:t>
      </w:r>
      <w:r w:rsidRPr="00ED742F">
        <w:rPr>
          <w:rFonts w:cs="Calibri"/>
          <w:noProof/>
          <w:lang w:eastAsia="zh-CN"/>
        </w:rPr>
        <w:t>之间有效协调的规章制度；</w:t>
      </w:r>
      <w:bookmarkEnd w:id="2351"/>
    </w:p>
    <w:p w14:paraId="4827B8E8" w14:textId="77777777" w:rsidR="003642E0" w:rsidRPr="00ED742F" w:rsidRDefault="003642E0" w:rsidP="003642E0">
      <w:pPr>
        <w:pStyle w:val="enumlev1"/>
        <w:rPr>
          <w:rFonts w:cs="Calibri"/>
          <w:noProof/>
          <w:lang w:eastAsia="zh-CN"/>
        </w:rPr>
      </w:pPr>
      <w:bookmarkStart w:id="2352" w:name="lt_pId141"/>
      <w:r w:rsidRPr="00ED742F">
        <w:rPr>
          <w:rFonts w:cs="Calibri" w:hint="eastAsia"/>
          <w:noProof/>
          <w:lang w:eastAsia="zh-CN"/>
        </w:rPr>
        <w:t>d</w:t>
      </w:r>
      <w:r w:rsidRPr="00ED742F">
        <w:rPr>
          <w:rFonts w:cs="Calibri"/>
          <w:noProof/>
          <w:lang w:eastAsia="zh-CN"/>
        </w:rPr>
        <w:t>)</w:t>
      </w:r>
      <w:r w:rsidRPr="00ED742F">
        <w:rPr>
          <w:rFonts w:cs="Calibri"/>
          <w:noProof/>
          <w:lang w:eastAsia="zh-CN"/>
        </w:rPr>
        <w:tab/>
      </w:r>
      <w:r w:rsidRPr="00ED742F">
        <w:rPr>
          <w:rFonts w:cs="Calibri"/>
          <w:noProof/>
          <w:lang w:eastAsia="zh-CN"/>
        </w:rPr>
        <w:t>确保</w:t>
      </w:r>
      <w:r w:rsidRPr="00ED742F">
        <w:rPr>
          <w:rFonts w:cs="Calibri"/>
          <w:noProof/>
          <w:lang w:eastAsia="zh-CN"/>
        </w:rPr>
        <w:t>RO</w:t>
      </w:r>
      <w:r w:rsidRPr="00ED742F">
        <w:rPr>
          <w:rFonts w:cs="Calibri"/>
          <w:noProof/>
          <w:lang w:eastAsia="zh-CN"/>
        </w:rPr>
        <w:t>遵守总部制定的、与财务管理、项目和采购有关的规则和程序</w:t>
      </w:r>
      <w:bookmarkEnd w:id="2352"/>
      <w:r w:rsidRPr="00ED742F">
        <w:rPr>
          <w:rFonts w:cs="Calibri" w:hint="eastAsia"/>
          <w:noProof/>
          <w:lang w:eastAsia="zh-CN"/>
        </w:rPr>
        <w:t>；</w:t>
      </w:r>
    </w:p>
    <w:p w14:paraId="4827B8E9" w14:textId="77777777" w:rsidR="003642E0" w:rsidRPr="00ED742F" w:rsidRDefault="003642E0" w:rsidP="003642E0">
      <w:pPr>
        <w:pStyle w:val="enumlev1"/>
        <w:rPr>
          <w:szCs w:val="24"/>
          <w:lang w:val="en-US" w:eastAsia="zh-CN"/>
        </w:rPr>
      </w:pPr>
      <w:r w:rsidRPr="00ED742F">
        <w:rPr>
          <w:rFonts w:cs="Calibri"/>
          <w:noProof/>
          <w:lang w:eastAsia="zh-CN"/>
        </w:rPr>
        <w:t>e)</w:t>
      </w:r>
      <w:r w:rsidRPr="00ED742F">
        <w:rPr>
          <w:rFonts w:cs="Calibri"/>
          <w:noProof/>
          <w:lang w:eastAsia="zh-CN"/>
        </w:rPr>
        <w:tab/>
      </w:r>
      <w:r w:rsidRPr="00ED742F">
        <w:rPr>
          <w:rFonts w:cs="Calibri" w:hint="eastAsia"/>
          <w:noProof/>
          <w:lang w:eastAsia="zh-CN"/>
        </w:rPr>
        <w:t>确保内部审计员、外部审计员和国际电联独立管理顾问委员会（</w:t>
      </w:r>
      <w:r w:rsidRPr="00ED742F">
        <w:rPr>
          <w:rFonts w:cs="Calibri" w:hint="eastAsia"/>
          <w:noProof/>
          <w:lang w:eastAsia="zh-CN"/>
        </w:rPr>
        <w:t>I</w:t>
      </w:r>
      <w:r w:rsidRPr="00ED742F">
        <w:rPr>
          <w:rFonts w:cs="Calibri"/>
          <w:noProof/>
          <w:lang w:eastAsia="zh-CN"/>
        </w:rPr>
        <w:t>MAC</w:t>
      </w:r>
      <w:r w:rsidRPr="00ED742F">
        <w:rPr>
          <w:rFonts w:cs="Calibri" w:hint="eastAsia"/>
          <w:noProof/>
          <w:lang w:eastAsia="zh-CN"/>
        </w:rPr>
        <w:t>）的所有建议</w:t>
      </w:r>
      <w:r>
        <w:rPr>
          <w:rFonts w:cs="Calibri" w:hint="eastAsia"/>
          <w:noProof/>
          <w:lang w:eastAsia="zh-CN"/>
        </w:rPr>
        <w:t>得到</w:t>
      </w:r>
      <w:r w:rsidRPr="00ED742F">
        <w:rPr>
          <w:rFonts w:cs="Calibri" w:hint="eastAsia"/>
          <w:noProof/>
          <w:lang w:eastAsia="zh-CN"/>
        </w:rPr>
        <w:t>适当执行，特别是</w:t>
      </w:r>
      <w:r>
        <w:rPr>
          <w:rFonts w:cs="Calibri" w:hint="eastAsia"/>
          <w:noProof/>
          <w:lang w:eastAsia="zh-CN"/>
        </w:rPr>
        <w:t>那些</w:t>
      </w:r>
      <w:r w:rsidRPr="00ED742F">
        <w:rPr>
          <w:rFonts w:cs="Calibri" w:hint="eastAsia"/>
          <w:noProof/>
          <w:lang w:eastAsia="zh-CN"/>
        </w:rPr>
        <w:t>与最近欺诈案中发现的缺乏内部控制有关的建议。</w:t>
      </w:r>
    </w:p>
    <w:p w14:paraId="4827B8EA" w14:textId="77777777" w:rsidR="003642E0" w:rsidRPr="00ED742F" w:rsidRDefault="003642E0" w:rsidP="003642E0">
      <w:pPr>
        <w:ind w:firstLineChars="200" w:firstLine="480"/>
        <w:rPr>
          <w:szCs w:val="24"/>
          <w:lang w:val="en-US" w:eastAsia="zh-CN"/>
        </w:rPr>
      </w:pPr>
      <w:bookmarkStart w:id="2353" w:name="lt_pId142"/>
      <w:r w:rsidRPr="00ED742F">
        <w:rPr>
          <w:szCs w:val="24"/>
          <w:lang w:val="en-US" w:eastAsia="zh-CN"/>
        </w:rPr>
        <w:t>审查应考虑以下</w:t>
      </w:r>
      <w:r>
        <w:rPr>
          <w:rFonts w:hint="eastAsia"/>
          <w:szCs w:val="24"/>
          <w:lang w:val="en-US" w:eastAsia="zh-CN"/>
        </w:rPr>
        <w:t>元素</w:t>
      </w:r>
      <w:r w:rsidRPr="00ED742F">
        <w:rPr>
          <w:szCs w:val="24"/>
          <w:lang w:val="en-US" w:eastAsia="zh-CN"/>
        </w:rPr>
        <w:t>：</w:t>
      </w:r>
      <w:bookmarkEnd w:id="2353"/>
    </w:p>
    <w:p w14:paraId="4827B8EB" w14:textId="77777777" w:rsidR="003642E0" w:rsidRPr="00ED742F" w:rsidRDefault="003642E0" w:rsidP="003642E0">
      <w:pPr>
        <w:pStyle w:val="enumlev1"/>
        <w:rPr>
          <w:rFonts w:cs="Calibri"/>
          <w:noProof/>
          <w:lang w:eastAsia="zh-CN"/>
        </w:rPr>
      </w:pPr>
      <w:r w:rsidRPr="00ED742F">
        <w:rPr>
          <w:rFonts w:cs="Calibri"/>
          <w:noProof/>
          <w:lang w:eastAsia="zh-CN"/>
        </w:rPr>
        <w:t>a)</w:t>
      </w:r>
      <w:r w:rsidRPr="00ED742F">
        <w:rPr>
          <w:rFonts w:cs="Calibri"/>
          <w:noProof/>
          <w:lang w:eastAsia="zh-CN"/>
        </w:rPr>
        <w:tab/>
      </w:r>
      <w:r w:rsidRPr="00ED742F">
        <w:rPr>
          <w:rFonts w:cs="Calibri"/>
          <w:noProof/>
          <w:lang w:eastAsia="zh-CN"/>
        </w:rPr>
        <w:t>电信发展局、总秘书处</w:t>
      </w:r>
      <w:r w:rsidRPr="00ED742F">
        <w:rPr>
          <w:rFonts w:cs="Calibri" w:hint="eastAsia"/>
          <w:noProof/>
          <w:lang w:eastAsia="zh-CN"/>
        </w:rPr>
        <w:t>以</w:t>
      </w:r>
      <w:r w:rsidRPr="00ED742F">
        <w:rPr>
          <w:rFonts w:cs="Calibri"/>
          <w:noProof/>
          <w:lang w:eastAsia="zh-CN"/>
        </w:rPr>
        <w:t>及酌情其它两个局执行第</w:t>
      </w:r>
      <w:r w:rsidRPr="00ED742F">
        <w:rPr>
          <w:rFonts w:cs="Calibri"/>
          <w:noProof/>
          <w:lang w:eastAsia="zh-CN"/>
        </w:rPr>
        <w:t>25</w:t>
      </w:r>
      <w:r w:rsidRPr="00ED742F">
        <w:rPr>
          <w:rFonts w:cs="Calibri"/>
          <w:noProof/>
          <w:lang w:eastAsia="zh-CN"/>
        </w:rPr>
        <w:t>号决议（</w:t>
      </w:r>
      <w:r w:rsidRPr="00ED742F">
        <w:rPr>
          <w:rFonts w:cs="Calibri"/>
          <w:noProof/>
          <w:lang w:eastAsia="zh-CN"/>
        </w:rPr>
        <w:t>2018</w:t>
      </w:r>
      <w:r w:rsidRPr="00ED742F">
        <w:rPr>
          <w:rFonts w:cs="Calibri"/>
          <w:noProof/>
          <w:lang w:eastAsia="zh-CN"/>
        </w:rPr>
        <w:t>年，迪拜，修订版）</w:t>
      </w:r>
      <w:r>
        <w:rPr>
          <w:rFonts w:cs="Calibri" w:hint="eastAsia"/>
          <w:noProof/>
          <w:lang w:eastAsia="zh-CN"/>
        </w:rPr>
        <w:t>的</w:t>
      </w:r>
      <w:r w:rsidRPr="00ED742F">
        <w:rPr>
          <w:rFonts w:cs="Calibri"/>
          <w:noProof/>
          <w:lang w:eastAsia="zh-CN"/>
        </w:rPr>
        <w:t>规定的程度；</w:t>
      </w:r>
    </w:p>
    <w:p w14:paraId="4827B8EC" w14:textId="77777777" w:rsidR="003642E0" w:rsidRPr="00ED742F" w:rsidRDefault="003642E0" w:rsidP="003642E0">
      <w:pPr>
        <w:pStyle w:val="enumlev1"/>
        <w:rPr>
          <w:rFonts w:cs="Calibri"/>
          <w:noProof/>
          <w:lang w:eastAsia="zh-CN"/>
        </w:rPr>
      </w:pPr>
      <w:r w:rsidRPr="00ED742F">
        <w:rPr>
          <w:rFonts w:cs="Calibri"/>
          <w:noProof/>
          <w:lang w:eastAsia="zh-CN"/>
        </w:rPr>
        <w:t>b)</w:t>
      </w:r>
      <w:r w:rsidRPr="00ED742F">
        <w:rPr>
          <w:rFonts w:cs="Calibri"/>
          <w:noProof/>
          <w:lang w:eastAsia="zh-CN"/>
        </w:rPr>
        <w:tab/>
      </w:r>
      <w:r w:rsidRPr="00ED742F">
        <w:rPr>
          <w:rFonts w:cs="Calibri" w:hint="eastAsia"/>
          <w:noProof/>
          <w:lang w:eastAsia="zh-CN"/>
        </w:rPr>
        <w:t>外部审计员、内部审计员和</w:t>
      </w:r>
      <w:r w:rsidRPr="00ED742F">
        <w:rPr>
          <w:rFonts w:cs="Calibri" w:hint="eastAsia"/>
          <w:noProof/>
          <w:lang w:eastAsia="zh-CN"/>
        </w:rPr>
        <w:t>I</w:t>
      </w:r>
      <w:r w:rsidRPr="00ED742F">
        <w:rPr>
          <w:rFonts w:cs="Calibri"/>
          <w:noProof/>
          <w:lang w:eastAsia="zh-CN"/>
        </w:rPr>
        <w:t>MAC</w:t>
      </w:r>
      <w:r w:rsidRPr="00ED742F">
        <w:rPr>
          <w:rFonts w:cs="Calibri" w:hint="eastAsia"/>
          <w:noProof/>
          <w:lang w:eastAsia="zh-CN"/>
        </w:rPr>
        <w:t>的所有建议</w:t>
      </w:r>
      <w:r>
        <w:rPr>
          <w:rFonts w:cs="Calibri" w:hint="eastAsia"/>
          <w:noProof/>
          <w:lang w:eastAsia="zh-CN"/>
        </w:rPr>
        <w:t>，这些建议均通过</w:t>
      </w:r>
      <w:r w:rsidRPr="00ED742F">
        <w:rPr>
          <w:rFonts w:cs="Calibri" w:hint="eastAsia"/>
          <w:noProof/>
          <w:lang w:eastAsia="zh-CN"/>
        </w:rPr>
        <w:t>最近一区域代表处</w:t>
      </w:r>
      <w:r>
        <w:rPr>
          <w:rFonts w:cs="Calibri" w:hint="eastAsia"/>
          <w:noProof/>
          <w:lang w:eastAsia="zh-CN"/>
        </w:rPr>
        <w:t>发生</w:t>
      </w:r>
      <w:r w:rsidRPr="00ED742F">
        <w:rPr>
          <w:rFonts w:cs="Calibri" w:hint="eastAsia"/>
          <w:noProof/>
          <w:lang w:eastAsia="zh-CN"/>
        </w:rPr>
        <w:t>的欺诈案</w:t>
      </w:r>
      <w:r>
        <w:rPr>
          <w:rFonts w:cs="Calibri" w:hint="eastAsia"/>
          <w:noProof/>
          <w:lang w:eastAsia="zh-CN"/>
        </w:rPr>
        <w:t>所</w:t>
      </w:r>
      <w:r w:rsidRPr="00ED742F">
        <w:rPr>
          <w:rFonts w:cs="Calibri" w:hint="eastAsia"/>
          <w:noProof/>
          <w:lang w:eastAsia="zh-CN"/>
        </w:rPr>
        <w:t>暴露出的漏洞，</w:t>
      </w:r>
      <w:r>
        <w:rPr>
          <w:rFonts w:cs="Calibri" w:hint="eastAsia"/>
          <w:noProof/>
          <w:lang w:eastAsia="zh-CN"/>
        </w:rPr>
        <w:t>针对</w:t>
      </w:r>
      <w:r w:rsidRPr="00ED742F">
        <w:rPr>
          <w:rFonts w:cs="Calibri" w:hint="eastAsia"/>
          <w:noProof/>
          <w:lang w:eastAsia="zh-CN"/>
        </w:rPr>
        <w:t>大幅度改进管理监督和内部控制的必要性提供</w:t>
      </w:r>
      <w:r>
        <w:rPr>
          <w:rFonts w:cs="Calibri" w:hint="eastAsia"/>
          <w:noProof/>
          <w:lang w:eastAsia="zh-CN"/>
        </w:rPr>
        <w:t>了咨询</w:t>
      </w:r>
      <w:r w:rsidRPr="00ED742F">
        <w:rPr>
          <w:rFonts w:cs="Calibri" w:hint="eastAsia"/>
          <w:noProof/>
          <w:lang w:eastAsia="zh-CN"/>
        </w:rPr>
        <w:t>意见；特别</w:t>
      </w:r>
      <w:r>
        <w:rPr>
          <w:rFonts w:cs="Calibri" w:hint="eastAsia"/>
          <w:noProof/>
          <w:lang w:eastAsia="zh-CN"/>
        </w:rPr>
        <w:t>认为有必要</w:t>
      </w:r>
      <w:r w:rsidRPr="00ED742F">
        <w:rPr>
          <w:rFonts w:cs="Calibri" w:hint="eastAsia"/>
          <w:noProof/>
          <w:lang w:eastAsia="zh-CN"/>
        </w:rPr>
        <w:t>建立一种透明</w:t>
      </w:r>
      <w:r>
        <w:rPr>
          <w:rFonts w:cs="Calibri" w:hint="eastAsia"/>
          <w:noProof/>
          <w:lang w:eastAsia="zh-CN"/>
        </w:rPr>
        <w:t>与</w:t>
      </w:r>
      <w:r w:rsidRPr="00ED742F">
        <w:rPr>
          <w:rFonts w:cs="Calibri" w:hint="eastAsia"/>
          <w:noProof/>
          <w:lang w:eastAsia="zh-CN"/>
        </w:rPr>
        <w:t>协作的文化，从而实现更强有力的个人管理责任和有效的问责制；</w:t>
      </w:r>
    </w:p>
    <w:p w14:paraId="4827B8ED" w14:textId="77777777" w:rsidR="003642E0" w:rsidRDefault="003642E0">
      <w:pPr>
        <w:tabs>
          <w:tab w:val="clear" w:pos="794"/>
          <w:tab w:val="clear" w:pos="1191"/>
          <w:tab w:val="clear" w:pos="1588"/>
          <w:tab w:val="clear" w:pos="1985"/>
        </w:tabs>
        <w:overflowPunct/>
        <w:autoSpaceDE/>
        <w:autoSpaceDN/>
        <w:adjustRightInd/>
        <w:spacing w:before="0"/>
        <w:jc w:val="left"/>
        <w:textAlignment w:val="auto"/>
        <w:rPr>
          <w:rFonts w:eastAsia="STKaiti" w:cstheme="minorHAnsi"/>
          <w:iCs/>
          <w:lang w:eastAsia="zh-CN"/>
        </w:rPr>
      </w:pPr>
      <w:r>
        <w:rPr>
          <w:rFonts w:eastAsia="STKaiti" w:cstheme="minorHAnsi"/>
          <w:iCs/>
          <w:lang w:eastAsia="zh-CN"/>
        </w:rPr>
        <w:br w:type="page"/>
      </w:r>
    </w:p>
    <w:p w14:paraId="4827B8EE" w14:textId="77777777" w:rsidR="003642E0" w:rsidRPr="00ED742F" w:rsidRDefault="003642E0" w:rsidP="003642E0">
      <w:pPr>
        <w:pStyle w:val="enumlev1"/>
        <w:rPr>
          <w:rFonts w:cstheme="minorHAnsi"/>
          <w:lang w:eastAsia="zh-CN"/>
        </w:rPr>
      </w:pPr>
      <w:r w:rsidRPr="00ED742F">
        <w:rPr>
          <w:rFonts w:eastAsia="STKaiti" w:cstheme="minorHAnsi"/>
          <w:iCs/>
          <w:lang w:eastAsia="zh-CN"/>
        </w:rPr>
        <w:lastRenderedPageBreak/>
        <w:t>c)</w:t>
      </w:r>
      <w:r w:rsidRPr="00ED742F">
        <w:rPr>
          <w:rFonts w:cstheme="minorHAnsi"/>
          <w:lang w:eastAsia="zh-CN"/>
        </w:rPr>
        <w:tab/>
      </w:r>
      <w:r w:rsidRPr="00ED742F">
        <w:rPr>
          <w:rFonts w:cstheme="minorHAnsi"/>
          <w:lang w:eastAsia="zh-CN"/>
        </w:rPr>
        <w:t>在顾及问责</w:t>
      </w:r>
      <w:r>
        <w:rPr>
          <w:rFonts w:cstheme="minorHAnsi" w:hint="eastAsia"/>
          <w:lang w:eastAsia="zh-CN"/>
        </w:rPr>
        <w:t>制</w:t>
      </w:r>
      <w:r w:rsidRPr="00ED742F">
        <w:rPr>
          <w:rFonts w:cstheme="minorHAnsi"/>
          <w:lang w:eastAsia="zh-CN"/>
        </w:rPr>
        <w:t>与透明度的情况下，进一步的权力下放如何能够确保实现降低成本、提高效率；</w:t>
      </w:r>
    </w:p>
    <w:p w14:paraId="4827B8EF" w14:textId="77777777" w:rsidR="003642E0" w:rsidRPr="00ED742F" w:rsidRDefault="003642E0" w:rsidP="003642E0">
      <w:pPr>
        <w:pStyle w:val="enumlev1"/>
        <w:rPr>
          <w:rFonts w:cstheme="minorHAnsi"/>
          <w:lang w:eastAsia="zh-CN"/>
        </w:rPr>
      </w:pPr>
      <w:r w:rsidRPr="00ED742F">
        <w:rPr>
          <w:rFonts w:eastAsia="STKaiti" w:cstheme="minorHAnsi"/>
          <w:iCs/>
          <w:lang w:eastAsia="zh-CN"/>
        </w:rPr>
        <w:t>d)</w:t>
      </w:r>
      <w:r w:rsidRPr="00ED742F">
        <w:rPr>
          <w:rFonts w:cstheme="minorHAnsi"/>
          <w:lang w:eastAsia="zh-CN"/>
        </w:rPr>
        <w:tab/>
      </w:r>
      <w:r w:rsidRPr="00ED742F">
        <w:rPr>
          <w:rFonts w:cstheme="minorHAnsi"/>
          <w:lang w:eastAsia="zh-CN"/>
        </w:rPr>
        <w:t>以往成员国、部门成员和区域性电信</w:t>
      </w:r>
      <w:r w:rsidRPr="00ED742F">
        <w:rPr>
          <w:rFonts w:cstheme="minorHAnsi" w:hint="eastAsia"/>
          <w:lang w:eastAsia="zh-CN"/>
        </w:rPr>
        <w:t>/ICT</w:t>
      </w:r>
      <w:r w:rsidRPr="00ED742F">
        <w:rPr>
          <w:rFonts w:cstheme="minorHAnsi"/>
          <w:lang w:eastAsia="zh-CN"/>
        </w:rPr>
        <w:t>组织对国际电联区域性代表处的满意度调查的结果；</w:t>
      </w:r>
    </w:p>
    <w:p w14:paraId="4827B8F0" w14:textId="77777777" w:rsidR="003642E0" w:rsidRPr="00ED742F" w:rsidRDefault="003642E0" w:rsidP="003642E0">
      <w:pPr>
        <w:pStyle w:val="enumlev1"/>
        <w:rPr>
          <w:rFonts w:cstheme="minorHAnsi"/>
          <w:lang w:eastAsia="zh-CN"/>
        </w:rPr>
      </w:pPr>
      <w:r w:rsidRPr="00ED742F">
        <w:rPr>
          <w:rFonts w:cstheme="minorHAnsi"/>
          <w:lang w:eastAsia="zh-CN"/>
        </w:rPr>
        <w:t>e)</w:t>
      </w:r>
      <w:r w:rsidRPr="00ED742F">
        <w:rPr>
          <w:rFonts w:cstheme="minorHAnsi"/>
          <w:lang w:eastAsia="zh-CN"/>
        </w:rPr>
        <w:tab/>
      </w:r>
      <w:r w:rsidRPr="00ED742F">
        <w:rPr>
          <w:rFonts w:cstheme="minorHAnsi"/>
          <w:lang w:eastAsia="zh-CN"/>
        </w:rPr>
        <w:t>协助</w:t>
      </w:r>
      <w:r w:rsidRPr="00ED742F">
        <w:rPr>
          <w:noProof/>
          <w:lang w:eastAsia="zh-CN"/>
        </w:rPr>
        <w:t>发展中国家</w:t>
      </w:r>
      <w:r w:rsidRPr="00ED742F">
        <w:rPr>
          <w:rFonts w:cstheme="minorHAnsi"/>
          <w:lang w:eastAsia="zh-CN"/>
        </w:rPr>
        <w:t>参加国际电联的活动；</w:t>
      </w:r>
    </w:p>
    <w:p w14:paraId="4827B8F1" w14:textId="77777777" w:rsidR="003642E0" w:rsidRPr="00ED742F" w:rsidRDefault="003642E0" w:rsidP="003642E0">
      <w:pPr>
        <w:pStyle w:val="enumlev1"/>
        <w:rPr>
          <w:rFonts w:cstheme="minorHAnsi"/>
          <w:lang w:eastAsia="zh-CN"/>
        </w:rPr>
      </w:pPr>
      <w:r w:rsidRPr="00ED742F">
        <w:rPr>
          <w:rFonts w:eastAsia="STKaiti" w:cstheme="minorHAnsi"/>
          <w:iCs/>
          <w:lang w:eastAsia="zh-CN"/>
        </w:rPr>
        <w:t>f)</w:t>
      </w:r>
      <w:r w:rsidRPr="00ED742F">
        <w:rPr>
          <w:rFonts w:cstheme="minorHAnsi"/>
          <w:lang w:eastAsia="zh-CN"/>
        </w:rPr>
        <w:tab/>
      </w:r>
      <w:r w:rsidRPr="00ED742F">
        <w:rPr>
          <w:rFonts w:cstheme="minorHAnsi"/>
          <w:lang w:eastAsia="zh-CN"/>
        </w:rPr>
        <w:t>国际电联</w:t>
      </w:r>
      <w:r w:rsidRPr="00ED742F">
        <w:rPr>
          <w:noProof/>
          <w:lang w:eastAsia="zh-CN"/>
        </w:rPr>
        <w:t>总部</w:t>
      </w:r>
      <w:r w:rsidRPr="00ED742F">
        <w:rPr>
          <w:rFonts w:cstheme="minorHAnsi"/>
          <w:lang w:eastAsia="zh-CN"/>
        </w:rPr>
        <w:t>职能与区域代表处职能之间可能重复的程度；</w:t>
      </w:r>
    </w:p>
    <w:p w14:paraId="4827B8F2" w14:textId="77777777" w:rsidR="003642E0" w:rsidRPr="00ED742F" w:rsidRDefault="003642E0" w:rsidP="003642E0">
      <w:pPr>
        <w:pStyle w:val="enumlev1"/>
        <w:rPr>
          <w:rFonts w:cstheme="minorHAnsi"/>
          <w:lang w:eastAsia="zh-CN"/>
        </w:rPr>
      </w:pPr>
      <w:r w:rsidRPr="00ED742F">
        <w:rPr>
          <w:rFonts w:cstheme="minorHAnsi"/>
          <w:lang w:eastAsia="zh-CN"/>
        </w:rPr>
        <w:t>g)</w:t>
      </w:r>
      <w:r w:rsidRPr="00ED742F">
        <w:rPr>
          <w:rFonts w:cstheme="minorHAnsi"/>
          <w:lang w:eastAsia="zh-CN"/>
        </w:rPr>
        <w:tab/>
      </w:r>
      <w:r w:rsidRPr="00ED742F">
        <w:rPr>
          <w:rFonts w:cstheme="minorHAnsi" w:hint="eastAsia"/>
          <w:lang w:eastAsia="zh-CN"/>
        </w:rPr>
        <w:t>落实</w:t>
      </w:r>
      <w:r w:rsidRPr="00ED742F">
        <w:rPr>
          <w:noProof/>
          <w:lang w:eastAsia="zh-CN"/>
        </w:rPr>
        <w:t>世界</w:t>
      </w:r>
      <w:r w:rsidRPr="00ED742F">
        <w:rPr>
          <w:rFonts w:cstheme="minorHAnsi"/>
          <w:lang w:eastAsia="zh-CN"/>
        </w:rPr>
        <w:t>电信发展大会第</w:t>
      </w:r>
      <w:r w:rsidRPr="00ED742F">
        <w:rPr>
          <w:rFonts w:cstheme="minorHAnsi"/>
          <w:lang w:eastAsia="zh-CN"/>
        </w:rPr>
        <w:t>17</w:t>
      </w:r>
      <w:r w:rsidRPr="00ED742F">
        <w:rPr>
          <w:rFonts w:cstheme="minorHAnsi"/>
          <w:lang w:eastAsia="zh-CN"/>
        </w:rPr>
        <w:t>号决议</w:t>
      </w:r>
      <w:r w:rsidRPr="00ED742F">
        <w:rPr>
          <w:rFonts w:cstheme="minorHAnsi"/>
          <w:szCs w:val="24"/>
          <w:lang w:eastAsia="zh-CN"/>
        </w:rPr>
        <w:t>（</w:t>
      </w:r>
      <w:r w:rsidRPr="00ED742F">
        <w:rPr>
          <w:rFonts w:cstheme="minorHAnsi"/>
          <w:szCs w:val="24"/>
          <w:lang w:eastAsia="zh-CN"/>
        </w:rPr>
        <w:t>2017</w:t>
      </w:r>
      <w:r w:rsidRPr="00ED742F">
        <w:rPr>
          <w:rFonts w:cstheme="minorHAnsi"/>
          <w:szCs w:val="24"/>
          <w:lang w:val="en-US" w:eastAsia="zh-CN"/>
        </w:rPr>
        <w:t>年，布宜诺斯艾利斯，修订版</w:t>
      </w:r>
      <w:r w:rsidRPr="00ED742F">
        <w:rPr>
          <w:rFonts w:cstheme="minorHAnsi"/>
          <w:szCs w:val="24"/>
          <w:lang w:eastAsia="zh-CN"/>
        </w:rPr>
        <w:t>）</w:t>
      </w:r>
      <w:r w:rsidRPr="00ED742F">
        <w:rPr>
          <w:rFonts w:cstheme="minorHAnsi"/>
          <w:lang w:eastAsia="zh-CN"/>
        </w:rPr>
        <w:t>相关条款的程度</w:t>
      </w:r>
      <w:r w:rsidRPr="00ED742F">
        <w:rPr>
          <w:rFonts w:cstheme="minorHAnsi"/>
          <w:szCs w:val="24"/>
          <w:lang w:eastAsia="zh-CN"/>
        </w:rPr>
        <w:t>；</w:t>
      </w:r>
    </w:p>
    <w:p w14:paraId="4827B8F3" w14:textId="77777777" w:rsidR="003642E0" w:rsidRPr="00ED742F" w:rsidRDefault="003642E0" w:rsidP="003642E0">
      <w:pPr>
        <w:pStyle w:val="enumlev1"/>
        <w:rPr>
          <w:rFonts w:cstheme="minorHAnsi"/>
          <w:lang w:eastAsia="zh-CN"/>
        </w:rPr>
      </w:pPr>
      <w:r w:rsidRPr="00ED742F">
        <w:rPr>
          <w:rFonts w:eastAsia="STKaiti" w:cstheme="minorHAnsi"/>
          <w:iCs/>
          <w:lang w:eastAsia="zh-CN"/>
        </w:rPr>
        <w:t>h)</w:t>
      </w:r>
      <w:r w:rsidRPr="00ED742F">
        <w:rPr>
          <w:rFonts w:cstheme="minorHAnsi"/>
          <w:lang w:eastAsia="zh-CN"/>
        </w:rPr>
        <w:tab/>
      </w:r>
      <w:r w:rsidRPr="00ED742F">
        <w:rPr>
          <w:rFonts w:cstheme="minorHAnsi"/>
          <w:lang w:eastAsia="zh-CN"/>
        </w:rPr>
        <w:t>目前赋予</w:t>
      </w:r>
      <w:r w:rsidRPr="00ED742F">
        <w:rPr>
          <w:noProof/>
          <w:lang w:eastAsia="zh-CN"/>
        </w:rPr>
        <w:t>区域</w:t>
      </w:r>
      <w:r w:rsidRPr="00ED742F">
        <w:rPr>
          <w:rFonts w:cstheme="minorHAnsi"/>
          <w:lang w:eastAsia="zh-CN"/>
        </w:rPr>
        <w:t>代表处的决策自主权程度，以及赋予区域代表处更大的自主权是否能够提高其效率</w:t>
      </w:r>
      <w:r>
        <w:rPr>
          <w:rFonts w:cstheme="minorHAnsi"/>
          <w:lang w:eastAsia="zh-CN"/>
        </w:rPr>
        <w:t>、</w:t>
      </w:r>
      <w:r>
        <w:rPr>
          <w:rFonts w:cstheme="minorHAnsi" w:hint="eastAsia"/>
          <w:lang w:eastAsia="zh-CN"/>
        </w:rPr>
        <w:t>强化其</w:t>
      </w:r>
      <w:r w:rsidRPr="00ED742F">
        <w:rPr>
          <w:rFonts w:cstheme="minorHAnsi"/>
          <w:lang w:eastAsia="zh-CN"/>
        </w:rPr>
        <w:t>效能；</w:t>
      </w:r>
    </w:p>
    <w:p w14:paraId="4827B8F4" w14:textId="77777777" w:rsidR="003642E0" w:rsidRPr="00ED742F" w:rsidRDefault="003642E0" w:rsidP="003642E0">
      <w:pPr>
        <w:pStyle w:val="enumlev1"/>
        <w:rPr>
          <w:rFonts w:cstheme="minorHAnsi"/>
          <w:lang w:eastAsia="zh-CN"/>
        </w:rPr>
      </w:pPr>
      <w:r w:rsidRPr="00ED742F">
        <w:rPr>
          <w:rFonts w:eastAsia="STKaiti" w:cstheme="minorHAnsi"/>
          <w:iCs/>
          <w:lang w:eastAsia="zh-CN"/>
        </w:rPr>
        <w:t>i)</w:t>
      </w:r>
      <w:r w:rsidRPr="00ED742F">
        <w:rPr>
          <w:rFonts w:cstheme="minorHAnsi"/>
          <w:lang w:eastAsia="zh-CN"/>
        </w:rPr>
        <w:tab/>
      </w:r>
      <w:r w:rsidRPr="00ED742F">
        <w:rPr>
          <w:rFonts w:cstheme="minorHAnsi"/>
          <w:lang w:eastAsia="zh-CN"/>
        </w:rPr>
        <w:t>国际电联</w:t>
      </w:r>
      <w:r w:rsidRPr="00ED742F">
        <w:rPr>
          <w:noProof/>
          <w:lang w:eastAsia="zh-CN"/>
        </w:rPr>
        <w:t>区域</w:t>
      </w:r>
      <w:r w:rsidRPr="00ED742F">
        <w:rPr>
          <w:rFonts w:cstheme="minorHAnsi"/>
          <w:lang w:eastAsia="zh-CN"/>
        </w:rPr>
        <w:t>代表处、区域性电信</w:t>
      </w:r>
      <w:r w:rsidRPr="00ED742F">
        <w:rPr>
          <w:rFonts w:cstheme="minorHAnsi" w:hint="eastAsia"/>
          <w:lang w:eastAsia="zh-CN"/>
        </w:rPr>
        <w:t>/ICT</w:t>
      </w:r>
      <w:r w:rsidRPr="00ED742F">
        <w:rPr>
          <w:rFonts w:cstheme="minorHAnsi"/>
          <w:lang w:eastAsia="zh-CN"/>
        </w:rPr>
        <w:t>组织与其它区域性和国际</w:t>
      </w:r>
      <w:r>
        <w:rPr>
          <w:rFonts w:cstheme="minorHAnsi" w:hint="eastAsia"/>
          <w:lang w:eastAsia="zh-CN"/>
        </w:rPr>
        <w:t>性</w:t>
      </w:r>
      <w:r w:rsidRPr="00ED742F">
        <w:rPr>
          <w:rFonts w:cstheme="minorHAnsi"/>
          <w:lang w:eastAsia="zh-CN"/>
        </w:rPr>
        <w:t>发展和金融组织之间</w:t>
      </w:r>
      <w:r>
        <w:rPr>
          <w:rFonts w:cstheme="minorHAnsi" w:hint="eastAsia"/>
          <w:lang w:eastAsia="zh-CN"/>
        </w:rPr>
        <w:t>的</w:t>
      </w:r>
      <w:r w:rsidRPr="00ED742F">
        <w:rPr>
          <w:rFonts w:cstheme="minorHAnsi"/>
          <w:lang w:eastAsia="zh-CN"/>
        </w:rPr>
        <w:t>协作和协调的有效性；</w:t>
      </w:r>
    </w:p>
    <w:p w14:paraId="4827B8F5" w14:textId="77777777" w:rsidR="003642E0" w:rsidRPr="00ED742F" w:rsidRDefault="003642E0" w:rsidP="003642E0">
      <w:pPr>
        <w:pStyle w:val="enumlev1"/>
        <w:rPr>
          <w:rFonts w:cstheme="minorHAnsi"/>
          <w:lang w:eastAsia="zh-CN"/>
        </w:rPr>
      </w:pPr>
      <w:r w:rsidRPr="00ED742F">
        <w:rPr>
          <w:rFonts w:eastAsia="STKaiti" w:cstheme="minorHAnsi"/>
          <w:iCs/>
          <w:lang w:eastAsia="zh-CN"/>
        </w:rPr>
        <w:t>j)</w:t>
      </w:r>
      <w:r w:rsidRPr="00ED742F">
        <w:rPr>
          <w:rFonts w:cstheme="minorHAnsi"/>
          <w:lang w:eastAsia="zh-CN"/>
        </w:rPr>
        <w:tab/>
      </w:r>
      <w:r w:rsidRPr="00ED742F">
        <w:rPr>
          <w:rFonts w:cstheme="minorHAnsi"/>
          <w:lang w:eastAsia="zh-CN"/>
        </w:rPr>
        <w:t>区域代表</w:t>
      </w:r>
      <w:r w:rsidRPr="00ED742F">
        <w:rPr>
          <w:noProof/>
          <w:lang w:eastAsia="zh-CN"/>
        </w:rPr>
        <w:t>处以</w:t>
      </w:r>
      <w:r w:rsidRPr="00ED742F">
        <w:rPr>
          <w:rFonts w:cstheme="minorHAnsi"/>
          <w:lang w:eastAsia="zh-CN"/>
        </w:rPr>
        <w:t>及在</w:t>
      </w:r>
      <w:r w:rsidRPr="00ED742F">
        <w:rPr>
          <w:rFonts w:cstheme="minorHAnsi" w:hint="eastAsia"/>
          <w:lang w:eastAsia="zh-CN"/>
        </w:rPr>
        <w:t>各</w:t>
      </w:r>
      <w:r w:rsidRPr="00ED742F">
        <w:rPr>
          <w:rFonts w:cstheme="minorHAnsi"/>
          <w:lang w:eastAsia="zh-CN"/>
        </w:rPr>
        <w:t>区域组织的活动如何才能</w:t>
      </w:r>
      <w:r>
        <w:rPr>
          <w:rFonts w:cstheme="minorHAnsi" w:hint="eastAsia"/>
          <w:lang w:eastAsia="zh-CN"/>
        </w:rPr>
        <w:t>加强</w:t>
      </w:r>
      <w:r w:rsidRPr="00ED742F">
        <w:rPr>
          <w:rFonts w:cstheme="minorHAnsi" w:hint="eastAsia"/>
          <w:lang w:eastAsia="zh-CN"/>
        </w:rPr>
        <w:t>所有国家</w:t>
      </w:r>
      <w:r>
        <w:rPr>
          <w:rFonts w:cstheme="minorHAnsi" w:hint="eastAsia"/>
          <w:lang w:eastAsia="zh-CN"/>
        </w:rPr>
        <w:t>对</w:t>
      </w:r>
      <w:r w:rsidRPr="00ED742F">
        <w:rPr>
          <w:rFonts w:cstheme="minorHAnsi"/>
          <w:lang w:eastAsia="zh-CN"/>
        </w:rPr>
        <w:t>国际电联活动</w:t>
      </w:r>
      <w:r>
        <w:rPr>
          <w:rFonts w:cstheme="minorHAnsi" w:hint="eastAsia"/>
          <w:lang w:eastAsia="zh-CN"/>
        </w:rPr>
        <w:t>的有效参与</w:t>
      </w:r>
      <w:r w:rsidRPr="00ED742F">
        <w:rPr>
          <w:rFonts w:cstheme="minorHAnsi"/>
          <w:lang w:eastAsia="zh-CN"/>
        </w:rPr>
        <w:t>；</w:t>
      </w:r>
    </w:p>
    <w:p w14:paraId="4827B8F6" w14:textId="77777777" w:rsidR="003642E0" w:rsidRPr="00ED742F" w:rsidRDefault="003642E0" w:rsidP="003642E0">
      <w:pPr>
        <w:pStyle w:val="enumlev1"/>
        <w:rPr>
          <w:rFonts w:eastAsia="STKaiti" w:cstheme="minorHAnsi"/>
          <w:iCs/>
          <w:lang w:eastAsia="zh-CN"/>
        </w:rPr>
      </w:pPr>
      <w:r w:rsidRPr="00ED742F">
        <w:rPr>
          <w:rFonts w:eastAsia="STKaiti" w:cstheme="minorHAnsi"/>
          <w:iCs/>
          <w:lang w:eastAsia="zh-CN"/>
        </w:rPr>
        <w:t>k)</w:t>
      </w:r>
      <w:r w:rsidRPr="00ED742F">
        <w:rPr>
          <w:rFonts w:cstheme="minorHAnsi"/>
          <w:lang w:eastAsia="zh-CN"/>
        </w:rPr>
        <w:tab/>
      </w:r>
      <w:r w:rsidRPr="00ED742F">
        <w:rPr>
          <w:rFonts w:cstheme="minorHAnsi"/>
          <w:lang w:eastAsia="zh-CN"/>
        </w:rPr>
        <w:t>目前</w:t>
      </w:r>
      <w:r w:rsidRPr="00ED742F">
        <w:rPr>
          <w:rFonts w:cstheme="minorHAnsi" w:hint="eastAsia"/>
          <w:lang w:eastAsia="zh-CN"/>
        </w:rPr>
        <w:t>提供给</w:t>
      </w:r>
      <w:r>
        <w:rPr>
          <w:rFonts w:cstheme="minorHAnsi" w:hint="eastAsia"/>
          <w:lang w:eastAsia="zh-CN"/>
        </w:rPr>
        <w:t>各</w:t>
      </w:r>
      <w:r w:rsidRPr="00ED742F">
        <w:rPr>
          <w:rFonts w:cstheme="minorHAnsi"/>
          <w:lang w:eastAsia="zh-CN"/>
        </w:rPr>
        <w:t>区域代表处</w:t>
      </w:r>
      <w:r w:rsidRPr="00ED742F">
        <w:rPr>
          <w:rFonts w:cstheme="minorHAnsi" w:hint="eastAsia"/>
          <w:lang w:eastAsia="zh-CN"/>
        </w:rPr>
        <w:t>的</w:t>
      </w:r>
      <w:r>
        <w:rPr>
          <w:rFonts w:cstheme="minorHAnsi" w:hint="eastAsia"/>
          <w:lang w:eastAsia="zh-CN"/>
        </w:rPr>
        <w:t>、</w:t>
      </w:r>
      <w:r w:rsidRPr="00ED742F">
        <w:rPr>
          <w:noProof/>
          <w:lang w:eastAsia="zh-CN"/>
        </w:rPr>
        <w:t>用</w:t>
      </w:r>
      <w:r w:rsidRPr="00ED742F">
        <w:rPr>
          <w:rFonts w:cstheme="minorHAnsi"/>
          <w:lang w:eastAsia="zh-CN"/>
        </w:rPr>
        <w:t>于缩小数字鸿沟的资源；</w:t>
      </w:r>
    </w:p>
    <w:p w14:paraId="4827B8F7" w14:textId="77777777" w:rsidR="003642E0" w:rsidRPr="00ED742F" w:rsidRDefault="003642E0" w:rsidP="003642E0">
      <w:pPr>
        <w:pStyle w:val="enumlev1"/>
        <w:rPr>
          <w:rFonts w:cstheme="minorHAnsi"/>
          <w:lang w:eastAsia="zh-CN"/>
        </w:rPr>
      </w:pPr>
      <w:r w:rsidRPr="00ED742F">
        <w:rPr>
          <w:rFonts w:eastAsia="STKaiti" w:cstheme="minorHAnsi"/>
          <w:iCs/>
          <w:lang w:eastAsia="zh-CN"/>
        </w:rPr>
        <w:t>l)</w:t>
      </w:r>
      <w:r w:rsidRPr="00ED742F">
        <w:rPr>
          <w:rFonts w:cstheme="minorHAnsi"/>
          <w:lang w:eastAsia="zh-CN"/>
        </w:rPr>
        <w:tab/>
      </w:r>
      <w:r w:rsidRPr="00ED742F">
        <w:rPr>
          <w:rFonts w:cstheme="minorHAnsi"/>
          <w:lang w:eastAsia="zh-CN"/>
        </w:rPr>
        <w:t>国际电联区域</w:t>
      </w:r>
      <w:r w:rsidRPr="00ED742F">
        <w:rPr>
          <w:noProof/>
          <w:lang w:eastAsia="zh-CN"/>
        </w:rPr>
        <w:t>代表</w:t>
      </w:r>
      <w:r w:rsidRPr="00ED742F">
        <w:rPr>
          <w:rFonts w:cstheme="minorHAnsi"/>
          <w:lang w:eastAsia="zh-CN"/>
        </w:rPr>
        <w:t>处</w:t>
      </w:r>
      <w:r>
        <w:rPr>
          <w:rFonts w:cstheme="minorHAnsi" w:hint="eastAsia"/>
          <w:lang w:eastAsia="zh-CN"/>
        </w:rPr>
        <w:t>的最佳</w:t>
      </w:r>
      <w:r w:rsidRPr="00ED742F">
        <w:rPr>
          <w:rFonts w:cstheme="minorHAnsi"/>
          <w:lang w:eastAsia="zh-CN"/>
        </w:rPr>
        <w:t>整体结构，包括区域代表处和地区办事处的地点</w:t>
      </w:r>
      <w:r>
        <w:rPr>
          <w:rFonts w:cstheme="minorHAnsi" w:hint="eastAsia"/>
          <w:lang w:eastAsia="zh-CN"/>
        </w:rPr>
        <w:t>及</w:t>
      </w:r>
      <w:r w:rsidRPr="00ED742F">
        <w:rPr>
          <w:rFonts w:cstheme="minorHAnsi"/>
          <w:lang w:eastAsia="zh-CN"/>
        </w:rPr>
        <w:t>数量。</w:t>
      </w:r>
    </w:p>
    <w:p w14:paraId="4827B8F8" w14:textId="77777777" w:rsidR="003642E0" w:rsidRPr="00ED742F" w:rsidRDefault="003642E0" w:rsidP="00E51375">
      <w:pPr>
        <w:pStyle w:val="Normalaftertitle0"/>
      </w:pPr>
      <w:bookmarkStart w:id="2354" w:name="lt_pId154"/>
      <w:r w:rsidRPr="00ED742F">
        <w:rPr>
          <w:rFonts w:hint="eastAsia"/>
        </w:rPr>
        <w:t>2</w:t>
      </w:r>
      <w:r w:rsidR="00D54ECF">
        <w:t>.</w:t>
      </w:r>
      <w:r w:rsidRPr="00ED742F">
        <w:tab/>
      </w:r>
      <w:r w:rsidRPr="00ED742F">
        <w:rPr>
          <w:rFonts w:hint="eastAsia"/>
        </w:rPr>
        <w:t>职能</w:t>
      </w:r>
      <w:r w:rsidRPr="00ED742F">
        <w:t>要求</w:t>
      </w:r>
      <w:bookmarkEnd w:id="2354"/>
    </w:p>
    <w:p w14:paraId="4827B8F9" w14:textId="77777777" w:rsidR="003642E0" w:rsidRPr="00ED742F" w:rsidRDefault="003642E0" w:rsidP="003642E0">
      <w:pPr>
        <w:pStyle w:val="enumlev1"/>
        <w:rPr>
          <w:rFonts w:cstheme="minorHAnsi"/>
          <w:lang w:eastAsia="zh-CN"/>
        </w:rPr>
      </w:pPr>
      <w:r w:rsidRPr="00ED742F">
        <w:rPr>
          <w:rFonts w:cstheme="minorHAnsi" w:hint="eastAsia"/>
          <w:lang w:eastAsia="zh-CN"/>
        </w:rPr>
        <w:t>1</w:t>
      </w:r>
      <w:r w:rsidR="00D54ECF">
        <w:rPr>
          <w:rFonts w:cs="Calibri"/>
          <w:szCs w:val="24"/>
          <w:lang w:val="en-US" w:eastAsia="zh-CN"/>
        </w:rPr>
        <w:t>.</w:t>
      </w:r>
      <w:r w:rsidRPr="00ED742F">
        <w:rPr>
          <w:rFonts w:cstheme="minorHAnsi"/>
          <w:lang w:eastAsia="zh-CN"/>
        </w:rPr>
        <w:tab/>
      </w:r>
      <w:r w:rsidRPr="00ED742F">
        <w:rPr>
          <w:rFonts w:cstheme="minorHAnsi" w:hint="eastAsia"/>
          <w:lang w:eastAsia="zh-CN"/>
        </w:rPr>
        <w:t>分析国际电联的区域代表处在促进落实国际电联</w:t>
      </w:r>
      <w:r w:rsidRPr="00ED742F">
        <w:rPr>
          <w:rFonts w:cstheme="minorHAnsi" w:hint="eastAsia"/>
          <w:lang w:eastAsia="zh-CN"/>
        </w:rPr>
        <w:t>2020-2023</w:t>
      </w:r>
      <w:r w:rsidRPr="00ED742F">
        <w:rPr>
          <w:rFonts w:cstheme="minorHAnsi" w:hint="eastAsia"/>
          <w:lang w:eastAsia="zh-CN"/>
        </w:rPr>
        <w:t>年战略规划方面的</w:t>
      </w:r>
      <w:r>
        <w:rPr>
          <w:rFonts w:cstheme="minorHAnsi" w:hint="eastAsia"/>
          <w:lang w:eastAsia="zh-CN"/>
        </w:rPr>
        <w:t>目的</w:t>
      </w:r>
      <w:r w:rsidRPr="00ED742F">
        <w:rPr>
          <w:rFonts w:cstheme="minorHAnsi" w:hint="eastAsia"/>
          <w:lang w:eastAsia="zh-CN"/>
        </w:rPr>
        <w:t>和作用；</w:t>
      </w:r>
    </w:p>
    <w:p w14:paraId="4827B8FA" w14:textId="77777777" w:rsidR="003642E0" w:rsidRPr="00ED742F" w:rsidRDefault="003642E0" w:rsidP="003642E0">
      <w:pPr>
        <w:pStyle w:val="enumlev1"/>
        <w:rPr>
          <w:rFonts w:cstheme="minorHAnsi"/>
          <w:lang w:eastAsia="zh-CN"/>
        </w:rPr>
      </w:pPr>
      <w:r w:rsidRPr="00ED742F">
        <w:rPr>
          <w:rFonts w:cstheme="minorHAnsi" w:hint="eastAsia"/>
          <w:lang w:eastAsia="zh-CN"/>
        </w:rPr>
        <w:t>2</w:t>
      </w:r>
      <w:r w:rsidR="00D54ECF">
        <w:rPr>
          <w:rFonts w:cs="Calibri"/>
          <w:szCs w:val="24"/>
          <w:lang w:val="en-US" w:eastAsia="zh-CN"/>
        </w:rPr>
        <w:t>.</w:t>
      </w:r>
      <w:r w:rsidRPr="00ED742F">
        <w:rPr>
          <w:rFonts w:cstheme="minorHAnsi"/>
          <w:lang w:eastAsia="zh-CN"/>
        </w:rPr>
        <w:tab/>
      </w:r>
      <w:r w:rsidRPr="00ED742F">
        <w:rPr>
          <w:rFonts w:cstheme="minorHAnsi" w:hint="eastAsia"/>
          <w:lang w:eastAsia="zh-CN"/>
        </w:rPr>
        <w:t>分析国际电联的区域代表处在实施世界电信发展大会行动计划方面如何“</w:t>
      </w:r>
      <w:r w:rsidRPr="00ED742F">
        <w:rPr>
          <w:rFonts w:cstheme="minorHAnsi"/>
          <w:lang w:eastAsia="zh-CN"/>
        </w:rPr>
        <w:t>胜任其</w:t>
      </w:r>
      <w:r w:rsidRPr="00ED742F">
        <w:rPr>
          <w:rFonts w:cstheme="minorHAnsi" w:hint="eastAsia"/>
          <w:lang w:eastAsia="zh-CN"/>
        </w:rPr>
        <w:t>职”；</w:t>
      </w:r>
    </w:p>
    <w:p w14:paraId="4827B8FB" w14:textId="77777777" w:rsidR="003642E0" w:rsidRPr="00ED742F" w:rsidRDefault="003642E0" w:rsidP="003642E0">
      <w:pPr>
        <w:pStyle w:val="enumlev1"/>
        <w:rPr>
          <w:rFonts w:cstheme="minorHAnsi"/>
          <w:lang w:eastAsia="zh-CN"/>
        </w:rPr>
      </w:pPr>
      <w:r w:rsidRPr="00ED742F">
        <w:rPr>
          <w:rFonts w:cstheme="minorHAnsi" w:hint="eastAsia"/>
          <w:lang w:eastAsia="zh-CN"/>
        </w:rPr>
        <w:t>3</w:t>
      </w:r>
      <w:r w:rsidR="00D54ECF">
        <w:rPr>
          <w:rFonts w:cs="Calibri"/>
          <w:szCs w:val="24"/>
          <w:lang w:val="en-US" w:eastAsia="zh-CN"/>
        </w:rPr>
        <w:t>.</w:t>
      </w:r>
      <w:r w:rsidRPr="00ED742F">
        <w:rPr>
          <w:rFonts w:cstheme="minorHAnsi"/>
          <w:lang w:eastAsia="zh-CN"/>
        </w:rPr>
        <w:tab/>
      </w:r>
      <w:r w:rsidRPr="00ED742F">
        <w:rPr>
          <w:rFonts w:cstheme="minorHAnsi" w:hint="eastAsia"/>
          <w:lang w:eastAsia="zh-CN"/>
        </w:rPr>
        <w:t>根据第</w:t>
      </w:r>
      <w:r w:rsidRPr="00ED742F">
        <w:rPr>
          <w:rFonts w:cstheme="minorHAnsi" w:hint="eastAsia"/>
          <w:lang w:eastAsia="zh-CN"/>
        </w:rPr>
        <w:t>25</w:t>
      </w:r>
      <w:r w:rsidRPr="00ED742F">
        <w:rPr>
          <w:rFonts w:cstheme="minorHAnsi" w:hint="eastAsia"/>
          <w:lang w:eastAsia="zh-CN"/>
        </w:rPr>
        <w:t>号决议（</w:t>
      </w:r>
      <w:r w:rsidRPr="00ED742F">
        <w:rPr>
          <w:rFonts w:cstheme="minorHAnsi" w:hint="eastAsia"/>
          <w:lang w:eastAsia="zh-CN"/>
        </w:rPr>
        <w:t>201</w:t>
      </w:r>
      <w:r w:rsidRPr="00ED742F">
        <w:rPr>
          <w:rFonts w:cstheme="minorHAnsi"/>
          <w:lang w:eastAsia="zh-CN"/>
        </w:rPr>
        <w:t>8</w:t>
      </w:r>
      <w:r w:rsidRPr="00ED742F">
        <w:rPr>
          <w:rFonts w:cstheme="minorHAnsi" w:hint="eastAsia"/>
          <w:lang w:eastAsia="zh-CN"/>
        </w:rPr>
        <w:t>年，迪拜，修订版），分析区域代表处将如何实施包括无线电通信局、电信标准化局和总秘书处在内的整个国际电联的区域性活动；</w:t>
      </w:r>
    </w:p>
    <w:p w14:paraId="4827B8FC" w14:textId="77777777" w:rsidR="003642E0" w:rsidRPr="00ED742F" w:rsidRDefault="003642E0" w:rsidP="003642E0">
      <w:pPr>
        <w:pStyle w:val="enumlev1"/>
        <w:rPr>
          <w:rFonts w:cstheme="minorHAnsi"/>
          <w:lang w:eastAsia="zh-CN"/>
        </w:rPr>
      </w:pPr>
      <w:r w:rsidRPr="00ED742F">
        <w:rPr>
          <w:rFonts w:cstheme="minorHAnsi" w:hint="eastAsia"/>
          <w:lang w:eastAsia="zh-CN"/>
        </w:rPr>
        <w:t>4</w:t>
      </w:r>
      <w:r w:rsidR="00D54ECF">
        <w:rPr>
          <w:rFonts w:cs="Calibri"/>
          <w:szCs w:val="24"/>
          <w:lang w:val="en-US" w:eastAsia="zh-CN"/>
        </w:rPr>
        <w:t>.</w:t>
      </w:r>
      <w:r w:rsidRPr="00ED742F">
        <w:rPr>
          <w:rFonts w:cstheme="minorHAnsi"/>
          <w:lang w:eastAsia="zh-CN"/>
        </w:rPr>
        <w:tab/>
      </w:r>
      <w:r w:rsidRPr="00ED742F">
        <w:rPr>
          <w:rFonts w:cstheme="minorHAnsi" w:hint="eastAsia"/>
          <w:lang w:eastAsia="zh-CN"/>
        </w:rPr>
        <w:t>在国家和区域层面分析区域代表处</w:t>
      </w:r>
      <w:r w:rsidRPr="00ED742F">
        <w:rPr>
          <w:rFonts w:cstheme="minorHAnsi" w:hint="eastAsia"/>
          <w:lang w:eastAsia="zh-CN"/>
        </w:rPr>
        <w:t>/</w:t>
      </w:r>
      <w:r w:rsidRPr="00ED742F">
        <w:rPr>
          <w:rFonts w:cstheme="minorHAnsi" w:hint="eastAsia"/>
          <w:lang w:eastAsia="zh-CN"/>
        </w:rPr>
        <w:t>机构在联合国发展机制</w:t>
      </w:r>
      <w:r>
        <w:rPr>
          <w:rFonts w:cstheme="minorHAnsi" w:hint="eastAsia"/>
          <w:lang w:eastAsia="zh-CN"/>
        </w:rPr>
        <w:t>以及</w:t>
      </w:r>
      <w:r w:rsidRPr="00ED742F">
        <w:rPr>
          <w:rFonts w:cstheme="minorHAnsi" w:hint="eastAsia"/>
          <w:lang w:eastAsia="zh-CN"/>
        </w:rPr>
        <w:t>行业生态系统中的作用；</w:t>
      </w:r>
    </w:p>
    <w:p w14:paraId="4827B8FD" w14:textId="77777777" w:rsidR="003642E0" w:rsidRPr="00ED742F" w:rsidRDefault="003642E0" w:rsidP="003642E0">
      <w:pPr>
        <w:pStyle w:val="enumlev1"/>
        <w:rPr>
          <w:rFonts w:cstheme="minorHAnsi"/>
          <w:lang w:eastAsia="zh-CN"/>
        </w:rPr>
      </w:pPr>
      <w:r w:rsidRPr="00ED742F">
        <w:rPr>
          <w:rFonts w:cstheme="minorHAnsi" w:hint="eastAsia"/>
          <w:lang w:eastAsia="zh-CN"/>
        </w:rPr>
        <w:t>5</w:t>
      </w:r>
      <w:r w:rsidR="00D54ECF">
        <w:rPr>
          <w:rFonts w:cs="Calibri"/>
          <w:szCs w:val="24"/>
          <w:lang w:val="en-US" w:eastAsia="zh-CN"/>
        </w:rPr>
        <w:t>.</w:t>
      </w:r>
      <w:r w:rsidRPr="00ED742F">
        <w:rPr>
          <w:rFonts w:cstheme="minorHAnsi"/>
          <w:lang w:eastAsia="zh-CN"/>
        </w:rPr>
        <w:tab/>
      </w:r>
      <w:r w:rsidRPr="00ED742F">
        <w:rPr>
          <w:rFonts w:cstheme="minorHAnsi" w:hint="eastAsia"/>
          <w:lang w:eastAsia="zh-CN"/>
        </w:rPr>
        <w:t>协助国际电联管理团队（重新）界定国际电联区域代表处的作用、结构和目标；</w:t>
      </w:r>
    </w:p>
    <w:p w14:paraId="4827B8FE" w14:textId="77777777" w:rsidR="003642E0" w:rsidRPr="00ED742F" w:rsidRDefault="003642E0" w:rsidP="003642E0">
      <w:pPr>
        <w:pStyle w:val="enumlev1"/>
        <w:rPr>
          <w:rFonts w:cstheme="minorHAnsi"/>
          <w:lang w:eastAsia="zh-CN"/>
        </w:rPr>
      </w:pPr>
      <w:r w:rsidRPr="00ED742F">
        <w:rPr>
          <w:rFonts w:cstheme="minorHAnsi" w:hint="eastAsia"/>
          <w:lang w:eastAsia="zh-CN"/>
        </w:rPr>
        <w:t>6</w:t>
      </w:r>
      <w:r w:rsidR="00D54ECF">
        <w:rPr>
          <w:rFonts w:cs="Calibri"/>
          <w:szCs w:val="24"/>
          <w:lang w:val="en-US" w:eastAsia="zh-CN"/>
        </w:rPr>
        <w:t>.</w:t>
      </w:r>
      <w:r w:rsidRPr="00ED742F">
        <w:rPr>
          <w:rFonts w:cstheme="minorHAnsi"/>
          <w:lang w:eastAsia="zh-CN"/>
        </w:rPr>
        <w:tab/>
      </w:r>
      <w:r w:rsidRPr="00ED742F">
        <w:rPr>
          <w:rFonts w:cstheme="minorHAnsi"/>
          <w:lang w:eastAsia="zh-CN"/>
        </w:rPr>
        <w:t>（</w:t>
      </w:r>
      <w:r w:rsidRPr="00ED742F">
        <w:rPr>
          <w:rFonts w:cstheme="minorHAnsi" w:hint="eastAsia"/>
          <w:lang w:eastAsia="zh-CN"/>
        </w:rPr>
        <w:t>按照外部审计员的相关建议</w:t>
      </w:r>
      <w:r>
        <w:rPr>
          <w:rFonts w:cstheme="minorHAnsi" w:hint="eastAsia"/>
          <w:lang w:eastAsia="zh-CN"/>
        </w:rPr>
        <w:t>，</w:t>
      </w:r>
      <w:r w:rsidRPr="00ED742F">
        <w:rPr>
          <w:rFonts w:cstheme="minorHAnsi"/>
          <w:lang w:eastAsia="zh-CN"/>
        </w:rPr>
        <w:t>）</w:t>
      </w:r>
      <w:r w:rsidRPr="00ED742F">
        <w:rPr>
          <w:rFonts w:cstheme="minorHAnsi" w:hint="eastAsia"/>
          <w:lang w:eastAsia="zh-CN"/>
        </w:rPr>
        <w:t>通过下列手段协助完善对区域代表处业绩的衡量：</w:t>
      </w:r>
    </w:p>
    <w:p w14:paraId="4827B8FF" w14:textId="77777777" w:rsidR="003642E0" w:rsidRPr="00ED742F" w:rsidRDefault="003642E0" w:rsidP="003642E0">
      <w:pPr>
        <w:pStyle w:val="enumlev2"/>
        <w:rPr>
          <w:lang w:eastAsia="zh-CN"/>
        </w:rPr>
      </w:pPr>
      <w:r w:rsidRPr="00ED742F">
        <w:rPr>
          <w:rFonts w:hint="eastAsia"/>
          <w:lang w:eastAsia="zh-CN"/>
        </w:rPr>
        <w:t>a</w:t>
      </w:r>
      <w:r w:rsidR="00D54ECF">
        <w:rPr>
          <w:lang w:eastAsia="zh-CN"/>
        </w:rPr>
        <w:t>.</w:t>
      </w:r>
      <w:r w:rsidRPr="00ED742F">
        <w:rPr>
          <w:lang w:eastAsia="zh-CN"/>
        </w:rPr>
        <w:tab/>
      </w:r>
      <w:r w:rsidRPr="00ED742F">
        <w:rPr>
          <w:rFonts w:hint="eastAsia"/>
          <w:lang w:eastAsia="zh-CN"/>
        </w:rPr>
        <w:t>为电信发展局</w:t>
      </w:r>
      <w:r>
        <w:rPr>
          <w:rFonts w:hint="eastAsia"/>
          <w:lang w:eastAsia="zh-CN"/>
        </w:rPr>
        <w:t>的</w:t>
      </w:r>
      <w:r w:rsidRPr="00ED742F">
        <w:rPr>
          <w:rFonts w:hint="eastAsia"/>
          <w:lang w:eastAsia="zh-CN"/>
        </w:rPr>
        <w:t>总部</w:t>
      </w:r>
      <w:r>
        <w:rPr>
          <w:rFonts w:hint="eastAsia"/>
          <w:lang w:eastAsia="zh-CN"/>
        </w:rPr>
        <w:t>机构（</w:t>
      </w:r>
      <w:r>
        <w:rPr>
          <w:rFonts w:hint="eastAsia"/>
          <w:lang w:eastAsia="zh-CN"/>
        </w:rPr>
        <w:t>BDT</w:t>
      </w:r>
      <w:r>
        <w:rPr>
          <w:lang w:eastAsia="zh-CN"/>
        </w:rPr>
        <w:t xml:space="preserve"> </w:t>
      </w:r>
      <w:r>
        <w:rPr>
          <w:rFonts w:hint="eastAsia"/>
          <w:lang w:eastAsia="zh-CN"/>
        </w:rPr>
        <w:t>HQ</w:t>
      </w:r>
      <w:r>
        <w:rPr>
          <w:rFonts w:hint="eastAsia"/>
          <w:lang w:eastAsia="zh-CN"/>
        </w:rPr>
        <w:t>）</w:t>
      </w:r>
      <w:r w:rsidRPr="00ED742F">
        <w:rPr>
          <w:rFonts w:hint="eastAsia"/>
          <w:lang w:eastAsia="zh-CN"/>
        </w:rPr>
        <w:t>和区域代表处（</w:t>
      </w:r>
      <w:r w:rsidRPr="00ED742F">
        <w:rPr>
          <w:rFonts w:hint="eastAsia"/>
          <w:lang w:eastAsia="zh-CN"/>
        </w:rPr>
        <w:t>R</w:t>
      </w:r>
      <w:r w:rsidRPr="00ED742F">
        <w:rPr>
          <w:lang w:eastAsia="zh-CN"/>
        </w:rPr>
        <w:t>O</w:t>
      </w:r>
      <w:r w:rsidRPr="00ED742F">
        <w:rPr>
          <w:rFonts w:hint="eastAsia"/>
          <w:lang w:eastAsia="zh-CN"/>
        </w:rPr>
        <w:t>）</w:t>
      </w:r>
      <w:r>
        <w:rPr>
          <w:rFonts w:hint="eastAsia"/>
          <w:lang w:eastAsia="zh-CN"/>
        </w:rPr>
        <w:t>制</w:t>
      </w:r>
      <w:r w:rsidRPr="00ED742F">
        <w:rPr>
          <w:rFonts w:hint="eastAsia"/>
          <w:lang w:eastAsia="zh-CN"/>
        </w:rPr>
        <w:t>定具体且可衡量的目标；</w:t>
      </w:r>
    </w:p>
    <w:p w14:paraId="4827B900" w14:textId="77777777" w:rsidR="003642E0" w:rsidRPr="00ED742F" w:rsidRDefault="003642E0" w:rsidP="003642E0">
      <w:pPr>
        <w:pStyle w:val="enumlev2"/>
        <w:rPr>
          <w:rFonts w:cstheme="minorHAnsi"/>
          <w:lang w:eastAsia="zh-CN"/>
        </w:rPr>
      </w:pPr>
      <w:r w:rsidRPr="00ED742F">
        <w:rPr>
          <w:rFonts w:cstheme="minorHAnsi" w:hint="eastAsia"/>
          <w:lang w:eastAsia="zh-CN"/>
        </w:rPr>
        <w:t>b</w:t>
      </w:r>
      <w:r w:rsidR="00D54ECF">
        <w:rPr>
          <w:rFonts w:cstheme="minorHAnsi"/>
          <w:lang w:eastAsia="zh-CN"/>
        </w:rPr>
        <w:t>.</w:t>
      </w:r>
      <w:r w:rsidRPr="00ED742F">
        <w:rPr>
          <w:rFonts w:cstheme="minorHAnsi"/>
          <w:lang w:eastAsia="zh-CN"/>
        </w:rPr>
        <w:tab/>
      </w:r>
      <w:r w:rsidRPr="00ED742F">
        <w:rPr>
          <w:rFonts w:cstheme="minorHAnsi" w:hint="eastAsia"/>
          <w:lang w:eastAsia="zh-CN"/>
        </w:rPr>
        <w:t>建立关键的有效控制和强有力的关键绩效指标（</w:t>
      </w:r>
      <w:r w:rsidRPr="00ED742F">
        <w:rPr>
          <w:rFonts w:cstheme="minorHAnsi" w:hint="eastAsia"/>
          <w:lang w:eastAsia="zh-CN"/>
        </w:rPr>
        <w:t>K</w:t>
      </w:r>
      <w:r w:rsidRPr="00ED742F">
        <w:rPr>
          <w:rFonts w:cstheme="minorHAnsi"/>
          <w:lang w:eastAsia="zh-CN"/>
        </w:rPr>
        <w:t>PI</w:t>
      </w:r>
      <w:r w:rsidRPr="00ED742F">
        <w:rPr>
          <w:rFonts w:cstheme="minorHAnsi" w:hint="eastAsia"/>
          <w:lang w:eastAsia="zh-CN"/>
        </w:rPr>
        <w:t>），涵盖在当地开展的从技术援助到财务管理、公务差旅和编外人员招聘（</w:t>
      </w:r>
      <w:r w:rsidRPr="00ED742F">
        <w:rPr>
          <w:rFonts w:cstheme="minorHAnsi" w:hint="eastAsia"/>
          <w:lang w:eastAsia="zh-CN"/>
        </w:rPr>
        <w:t>n</w:t>
      </w:r>
      <w:r w:rsidRPr="00ED742F">
        <w:rPr>
          <w:rFonts w:cstheme="minorHAnsi"/>
          <w:lang w:eastAsia="zh-CN"/>
        </w:rPr>
        <w:t>on-staff recruitment</w:t>
      </w:r>
      <w:r w:rsidRPr="00ED742F">
        <w:rPr>
          <w:rFonts w:cstheme="minorHAnsi" w:hint="eastAsia"/>
          <w:lang w:eastAsia="zh-CN"/>
        </w:rPr>
        <w:t>）等所有活动；</w:t>
      </w:r>
    </w:p>
    <w:p w14:paraId="4827B901" w14:textId="77777777" w:rsidR="003642E0" w:rsidRDefault="003642E0">
      <w:pPr>
        <w:tabs>
          <w:tab w:val="clear" w:pos="794"/>
          <w:tab w:val="clear" w:pos="1191"/>
          <w:tab w:val="clear" w:pos="1588"/>
          <w:tab w:val="clear" w:pos="1985"/>
        </w:tabs>
        <w:overflowPunct/>
        <w:autoSpaceDE/>
        <w:autoSpaceDN/>
        <w:adjustRightInd/>
        <w:spacing w:before="0"/>
        <w:jc w:val="left"/>
        <w:textAlignment w:val="auto"/>
        <w:rPr>
          <w:rFonts w:cstheme="minorHAnsi"/>
          <w:lang w:eastAsia="zh-CN"/>
        </w:rPr>
      </w:pPr>
      <w:r>
        <w:rPr>
          <w:rFonts w:cstheme="minorHAnsi"/>
          <w:lang w:eastAsia="zh-CN"/>
        </w:rPr>
        <w:br w:type="page"/>
      </w:r>
    </w:p>
    <w:p w14:paraId="4827B902" w14:textId="77777777" w:rsidR="003642E0" w:rsidRPr="00ED742F" w:rsidRDefault="003642E0" w:rsidP="003642E0">
      <w:pPr>
        <w:pStyle w:val="enumlev1"/>
        <w:rPr>
          <w:rFonts w:cstheme="minorHAnsi"/>
          <w:lang w:eastAsia="zh-CN"/>
        </w:rPr>
      </w:pPr>
      <w:r w:rsidRPr="00ED742F">
        <w:rPr>
          <w:rFonts w:cstheme="minorHAnsi"/>
          <w:lang w:eastAsia="zh-CN"/>
        </w:rPr>
        <w:lastRenderedPageBreak/>
        <w:t>7</w:t>
      </w:r>
      <w:r w:rsidR="00D54ECF">
        <w:rPr>
          <w:rFonts w:cstheme="minorHAnsi"/>
          <w:lang w:eastAsia="zh-CN"/>
        </w:rPr>
        <w:t>.</w:t>
      </w:r>
      <w:r w:rsidRPr="00ED742F">
        <w:rPr>
          <w:rFonts w:cstheme="minorHAnsi"/>
          <w:lang w:eastAsia="zh-CN"/>
        </w:rPr>
        <w:tab/>
      </w:r>
      <w:r w:rsidRPr="00ED742F">
        <w:rPr>
          <w:rFonts w:cstheme="minorHAnsi" w:hint="eastAsia"/>
          <w:lang w:eastAsia="zh-CN"/>
        </w:rPr>
        <w:t>确定措施</w:t>
      </w:r>
      <w:r>
        <w:rPr>
          <w:rFonts w:cstheme="minorHAnsi" w:hint="eastAsia"/>
          <w:lang w:eastAsia="zh-CN"/>
        </w:rPr>
        <w:t>，</w:t>
      </w:r>
      <w:r w:rsidRPr="00ED742F">
        <w:rPr>
          <w:rFonts w:cstheme="minorHAnsi" w:hint="eastAsia"/>
          <w:lang w:eastAsia="zh-CN"/>
        </w:rPr>
        <w:t>提高区域代表处和地区办事处</w:t>
      </w:r>
      <w:r>
        <w:rPr>
          <w:rFonts w:cstheme="minorHAnsi" w:hint="eastAsia"/>
          <w:lang w:eastAsia="zh-CN"/>
        </w:rPr>
        <w:t>的</w:t>
      </w:r>
      <w:r w:rsidRPr="00ED742F">
        <w:rPr>
          <w:rFonts w:cstheme="minorHAnsi" w:hint="eastAsia"/>
          <w:lang w:eastAsia="zh-CN"/>
        </w:rPr>
        <w:t>内部控制水平，以防</w:t>
      </w:r>
      <w:r>
        <w:rPr>
          <w:rFonts w:cstheme="minorHAnsi" w:hint="eastAsia"/>
          <w:lang w:eastAsia="zh-CN"/>
        </w:rPr>
        <w:t>范</w:t>
      </w:r>
      <w:r w:rsidRPr="00ED742F">
        <w:rPr>
          <w:rFonts w:cstheme="minorHAnsi" w:hint="eastAsia"/>
          <w:lang w:eastAsia="zh-CN"/>
        </w:rPr>
        <w:t>与</w:t>
      </w:r>
      <w:r>
        <w:rPr>
          <w:rFonts w:cstheme="minorHAnsi" w:hint="eastAsia"/>
          <w:lang w:eastAsia="zh-CN"/>
        </w:rPr>
        <w:t>所</w:t>
      </w:r>
      <w:r w:rsidRPr="00ED742F">
        <w:rPr>
          <w:rFonts w:cstheme="minorHAnsi" w:hint="eastAsia"/>
          <w:lang w:eastAsia="zh-CN"/>
        </w:rPr>
        <w:t>发现的欺诈案类似的其他欺诈案的发生，</w:t>
      </w:r>
      <w:r>
        <w:rPr>
          <w:rFonts w:cstheme="minorHAnsi" w:hint="eastAsia"/>
          <w:lang w:eastAsia="zh-CN"/>
        </w:rPr>
        <w:t>并且</w:t>
      </w:r>
      <w:r w:rsidRPr="00ED742F">
        <w:rPr>
          <w:rFonts w:cstheme="minorHAnsi" w:hint="eastAsia"/>
          <w:lang w:eastAsia="zh-CN"/>
        </w:rPr>
        <w:t>确保及时</w:t>
      </w:r>
      <w:r>
        <w:rPr>
          <w:rFonts w:cstheme="minorHAnsi" w:hint="eastAsia"/>
          <w:lang w:eastAsia="zh-CN"/>
        </w:rPr>
        <w:t>落实</w:t>
      </w:r>
      <w:r w:rsidRPr="00ED742F">
        <w:rPr>
          <w:rFonts w:cstheme="minorHAnsi" w:hint="eastAsia"/>
          <w:lang w:eastAsia="zh-CN"/>
        </w:rPr>
        <w:t>内部审计员、外部审计员和</w:t>
      </w:r>
      <w:r w:rsidRPr="00ED742F">
        <w:rPr>
          <w:rFonts w:cstheme="minorHAnsi" w:hint="eastAsia"/>
          <w:lang w:eastAsia="zh-CN"/>
        </w:rPr>
        <w:t>I</w:t>
      </w:r>
      <w:r w:rsidRPr="00ED742F">
        <w:rPr>
          <w:rFonts w:cstheme="minorHAnsi"/>
          <w:lang w:eastAsia="zh-CN"/>
        </w:rPr>
        <w:t>MAC</w:t>
      </w:r>
      <w:r w:rsidRPr="00ED742F">
        <w:rPr>
          <w:rFonts w:cstheme="minorHAnsi" w:hint="eastAsia"/>
          <w:lang w:eastAsia="zh-CN"/>
        </w:rPr>
        <w:t>提出的尚未执行的</w:t>
      </w:r>
      <w:r>
        <w:rPr>
          <w:rFonts w:cstheme="minorHAnsi" w:hint="eastAsia"/>
          <w:lang w:eastAsia="zh-CN"/>
        </w:rPr>
        <w:t>各项</w:t>
      </w:r>
      <w:r w:rsidRPr="00ED742F">
        <w:rPr>
          <w:rFonts w:cstheme="minorHAnsi" w:hint="eastAsia"/>
          <w:lang w:eastAsia="zh-CN"/>
        </w:rPr>
        <w:t>建议；</w:t>
      </w:r>
    </w:p>
    <w:p w14:paraId="4827B903" w14:textId="77777777" w:rsidR="003642E0" w:rsidRPr="00ED742F" w:rsidRDefault="003642E0" w:rsidP="003642E0">
      <w:pPr>
        <w:pStyle w:val="enumlev1"/>
        <w:rPr>
          <w:rFonts w:cstheme="minorHAnsi"/>
          <w:lang w:eastAsia="zh-CN"/>
        </w:rPr>
      </w:pPr>
      <w:r w:rsidRPr="00ED742F">
        <w:rPr>
          <w:rFonts w:cstheme="minorHAnsi"/>
          <w:lang w:eastAsia="zh-CN"/>
        </w:rPr>
        <w:t>8</w:t>
      </w:r>
      <w:r w:rsidR="00D54ECF">
        <w:rPr>
          <w:rFonts w:cstheme="minorHAnsi"/>
          <w:lang w:eastAsia="zh-CN"/>
        </w:rPr>
        <w:t>.</w:t>
      </w:r>
      <w:r w:rsidRPr="00ED742F">
        <w:rPr>
          <w:rFonts w:cstheme="minorHAnsi"/>
          <w:lang w:eastAsia="zh-CN"/>
        </w:rPr>
        <w:tab/>
      </w:r>
      <w:r w:rsidRPr="00ED742F">
        <w:rPr>
          <w:rFonts w:cstheme="minorHAnsi" w:hint="eastAsia"/>
          <w:lang w:eastAsia="zh-CN"/>
        </w:rPr>
        <w:t>协助重新设计区域代表处主任</w:t>
      </w:r>
      <w:r>
        <w:rPr>
          <w:rFonts w:cstheme="minorHAnsi" w:hint="eastAsia"/>
          <w:lang w:eastAsia="zh-CN"/>
        </w:rPr>
        <w:t>的作用，既是执行</w:t>
      </w:r>
      <w:r w:rsidRPr="00ED742F">
        <w:rPr>
          <w:rFonts w:cstheme="minorHAnsi" w:hint="eastAsia"/>
          <w:lang w:eastAsia="zh-CN"/>
        </w:rPr>
        <w:t>项目和举措</w:t>
      </w:r>
      <w:r>
        <w:rPr>
          <w:rFonts w:cstheme="minorHAnsi" w:hint="eastAsia"/>
          <w:lang w:eastAsia="zh-CN"/>
        </w:rPr>
        <w:t>的</w:t>
      </w:r>
      <w:r w:rsidRPr="00ED742F">
        <w:rPr>
          <w:rFonts w:cstheme="minorHAnsi" w:hint="eastAsia"/>
          <w:lang w:eastAsia="zh-CN"/>
        </w:rPr>
        <w:t>监督人</w:t>
      </w:r>
      <w:r>
        <w:rPr>
          <w:rFonts w:cstheme="minorHAnsi" w:hint="eastAsia"/>
          <w:lang w:eastAsia="zh-CN"/>
        </w:rPr>
        <w:t>，又是当</w:t>
      </w:r>
      <w:r w:rsidRPr="00ED742F">
        <w:rPr>
          <w:rFonts w:cstheme="minorHAnsi" w:hint="eastAsia"/>
          <w:lang w:eastAsia="zh-CN"/>
        </w:rPr>
        <w:t>地财务资源</w:t>
      </w:r>
      <w:r>
        <w:rPr>
          <w:rFonts w:cstheme="minorHAnsi" w:hint="eastAsia"/>
          <w:lang w:eastAsia="zh-CN"/>
        </w:rPr>
        <w:t>的</w:t>
      </w:r>
      <w:r w:rsidRPr="00ED742F">
        <w:rPr>
          <w:rFonts w:cstheme="minorHAnsi" w:hint="eastAsia"/>
          <w:lang w:eastAsia="zh-CN"/>
        </w:rPr>
        <w:t>管理者；</w:t>
      </w:r>
    </w:p>
    <w:p w14:paraId="4827B904" w14:textId="77777777" w:rsidR="003642E0" w:rsidRPr="00ED742F" w:rsidRDefault="003642E0" w:rsidP="003642E0">
      <w:pPr>
        <w:pStyle w:val="enumlev1"/>
        <w:rPr>
          <w:rFonts w:cstheme="minorHAnsi"/>
          <w:lang w:eastAsia="zh-CN"/>
        </w:rPr>
      </w:pPr>
      <w:r w:rsidRPr="00ED742F">
        <w:rPr>
          <w:rFonts w:cstheme="minorHAnsi" w:hint="eastAsia"/>
          <w:lang w:eastAsia="zh-CN"/>
        </w:rPr>
        <w:t>9</w:t>
      </w:r>
      <w:r w:rsidR="00D54ECF">
        <w:rPr>
          <w:rFonts w:cstheme="minorHAnsi"/>
          <w:lang w:eastAsia="zh-CN"/>
        </w:rPr>
        <w:t>.</w:t>
      </w:r>
      <w:r w:rsidRPr="00ED742F">
        <w:rPr>
          <w:rFonts w:cstheme="minorHAnsi"/>
          <w:lang w:eastAsia="zh-CN"/>
        </w:rPr>
        <w:tab/>
      </w:r>
      <w:r w:rsidRPr="00ED742F">
        <w:rPr>
          <w:rFonts w:cstheme="minorHAnsi" w:hint="eastAsia"/>
          <w:lang w:eastAsia="zh-CN"/>
        </w:rPr>
        <w:t>评估国际电联区域代表处与信息通信技术生态系统中不同伙伴的合作</w:t>
      </w:r>
      <w:r>
        <w:rPr>
          <w:rFonts w:cstheme="minorHAnsi" w:hint="eastAsia"/>
          <w:lang w:eastAsia="zh-CN"/>
        </w:rPr>
        <w:t>程度</w:t>
      </w:r>
      <w:r w:rsidRPr="00ED742F">
        <w:rPr>
          <w:rFonts w:cstheme="minorHAnsi" w:hint="eastAsia"/>
          <w:lang w:eastAsia="zh-CN"/>
        </w:rPr>
        <w:t>，以促进</w:t>
      </w:r>
      <w:r>
        <w:rPr>
          <w:rFonts w:cstheme="minorHAnsi" w:hint="eastAsia"/>
          <w:lang w:eastAsia="zh-CN"/>
        </w:rPr>
        <w:t>有关</w:t>
      </w:r>
      <w:r w:rsidRPr="00ED742F">
        <w:rPr>
          <w:rFonts w:cstheme="minorHAnsi" w:hint="eastAsia"/>
          <w:lang w:eastAsia="zh-CN"/>
        </w:rPr>
        <w:t>区域</w:t>
      </w:r>
      <w:r>
        <w:rPr>
          <w:rFonts w:cstheme="minorHAnsi" w:hint="eastAsia"/>
          <w:lang w:eastAsia="zh-CN"/>
        </w:rPr>
        <w:t>事务</w:t>
      </w:r>
      <w:r w:rsidRPr="00ED742F">
        <w:rPr>
          <w:rFonts w:cstheme="minorHAnsi" w:hint="eastAsia"/>
          <w:lang w:eastAsia="zh-CN"/>
        </w:rPr>
        <w:t>的讨论；</w:t>
      </w:r>
    </w:p>
    <w:p w14:paraId="4827B905" w14:textId="77777777" w:rsidR="003642E0" w:rsidRPr="00ED742F" w:rsidRDefault="003642E0" w:rsidP="003642E0">
      <w:pPr>
        <w:pStyle w:val="enumlev1"/>
        <w:rPr>
          <w:rFonts w:cstheme="minorHAnsi"/>
          <w:lang w:eastAsia="zh-CN"/>
        </w:rPr>
      </w:pPr>
      <w:r w:rsidRPr="00ED742F">
        <w:rPr>
          <w:rFonts w:cstheme="minorHAnsi"/>
          <w:lang w:eastAsia="zh-CN"/>
        </w:rPr>
        <w:t>10</w:t>
      </w:r>
      <w:r w:rsidR="00D54ECF">
        <w:rPr>
          <w:rFonts w:cs="Calibri"/>
          <w:szCs w:val="24"/>
          <w:lang w:val="en-US" w:eastAsia="zh-CN"/>
        </w:rPr>
        <w:t>.</w:t>
      </w:r>
      <w:r w:rsidRPr="00ED742F">
        <w:rPr>
          <w:rFonts w:cstheme="minorHAnsi"/>
          <w:lang w:eastAsia="zh-CN"/>
        </w:rPr>
        <w:tab/>
      </w:r>
      <w:r w:rsidRPr="00ED742F">
        <w:rPr>
          <w:rFonts w:cstheme="minorHAnsi" w:hint="eastAsia"/>
          <w:lang w:eastAsia="zh-CN"/>
        </w:rPr>
        <w:t>评估区域代表处在加强国际电联作为项目执行机构的作用</w:t>
      </w:r>
      <w:r>
        <w:rPr>
          <w:rFonts w:cstheme="minorHAnsi" w:hint="eastAsia"/>
          <w:lang w:eastAsia="zh-CN"/>
        </w:rPr>
        <w:t>方面所扮演的角色</w:t>
      </w:r>
      <w:r w:rsidRPr="00ED742F">
        <w:rPr>
          <w:rFonts w:cstheme="minorHAnsi" w:hint="eastAsia"/>
          <w:lang w:eastAsia="zh-CN"/>
        </w:rPr>
        <w:t>（根据关于提供技术援助和实施项目的</w:t>
      </w:r>
      <w:r>
        <w:rPr>
          <w:rFonts w:cstheme="minorHAnsi" w:hint="eastAsia"/>
          <w:lang w:eastAsia="zh-CN"/>
        </w:rPr>
        <w:t>全权代表大会（</w:t>
      </w:r>
      <w:r>
        <w:rPr>
          <w:rFonts w:cstheme="minorHAnsi" w:hint="eastAsia"/>
          <w:lang w:eastAsia="zh-CN"/>
        </w:rPr>
        <w:t>P</w:t>
      </w:r>
      <w:r>
        <w:rPr>
          <w:rFonts w:cstheme="minorHAnsi"/>
          <w:lang w:eastAsia="zh-CN"/>
        </w:rPr>
        <w:t>P</w:t>
      </w:r>
      <w:r>
        <w:rPr>
          <w:rFonts w:cstheme="minorHAnsi" w:hint="eastAsia"/>
          <w:lang w:eastAsia="zh-CN"/>
        </w:rPr>
        <w:t>）</w:t>
      </w:r>
      <w:r w:rsidRPr="00ED742F">
        <w:rPr>
          <w:rFonts w:cstheme="minorHAnsi" w:hint="eastAsia"/>
          <w:lang w:eastAsia="zh-CN"/>
        </w:rPr>
        <w:t>第</w:t>
      </w:r>
      <w:r w:rsidRPr="00ED742F">
        <w:rPr>
          <w:rFonts w:cstheme="minorHAnsi" w:hint="eastAsia"/>
          <w:lang w:eastAsia="zh-CN"/>
        </w:rPr>
        <w:t>135</w:t>
      </w:r>
      <w:r w:rsidRPr="00ED742F">
        <w:rPr>
          <w:rFonts w:cstheme="minorHAnsi" w:hint="eastAsia"/>
          <w:lang w:eastAsia="zh-CN"/>
        </w:rPr>
        <w:t>号决议）；</w:t>
      </w:r>
    </w:p>
    <w:p w14:paraId="4827B906" w14:textId="77777777" w:rsidR="003642E0" w:rsidRPr="00ED742F" w:rsidRDefault="003642E0" w:rsidP="003642E0">
      <w:pPr>
        <w:pStyle w:val="enumlev1"/>
        <w:rPr>
          <w:rFonts w:cstheme="minorHAnsi"/>
          <w:lang w:eastAsia="zh-CN"/>
        </w:rPr>
      </w:pPr>
      <w:r w:rsidRPr="00ED742F">
        <w:rPr>
          <w:rFonts w:cstheme="minorHAnsi"/>
          <w:lang w:eastAsia="zh-CN"/>
        </w:rPr>
        <w:t>11</w:t>
      </w:r>
      <w:r w:rsidR="00D54ECF">
        <w:rPr>
          <w:rFonts w:cs="Calibri"/>
          <w:szCs w:val="24"/>
          <w:lang w:val="en-US" w:eastAsia="zh-CN"/>
        </w:rPr>
        <w:t>.</w:t>
      </w:r>
      <w:r w:rsidRPr="00ED742F">
        <w:rPr>
          <w:rFonts w:cstheme="minorHAnsi"/>
          <w:lang w:eastAsia="zh-CN"/>
        </w:rPr>
        <w:tab/>
      </w:r>
      <w:r w:rsidRPr="00ED742F">
        <w:rPr>
          <w:rFonts w:cstheme="minorHAnsi" w:hint="eastAsia"/>
          <w:lang w:eastAsia="zh-CN"/>
        </w:rPr>
        <w:t>审查各区域代表处在</w:t>
      </w:r>
      <w:r>
        <w:rPr>
          <w:rFonts w:cstheme="minorHAnsi" w:hint="eastAsia"/>
          <w:lang w:eastAsia="zh-CN"/>
        </w:rPr>
        <w:t>包括</w:t>
      </w:r>
      <w:r w:rsidRPr="00ED742F">
        <w:rPr>
          <w:rFonts w:cstheme="minorHAnsi" w:hint="eastAsia"/>
          <w:lang w:eastAsia="zh-CN"/>
        </w:rPr>
        <w:t>P</w:t>
      </w:r>
      <w:r w:rsidRPr="00ED742F">
        <w:rPr>
          <w:rFonts w:cstheme="minorHAnsi"/>
          <w:lang w:eastAsia="zh-CN"/>
        </w:rPr>
        <w:t>P</w:t>
      </w:r>
      <w:r w:rsidRPr="00ED742F">
        <w:rPr>
          <w:rFonts w:cstheme="minorHAnsi"/>
          <w:lang w:eastAsia="zh-CN"/>
        </w:rPr>
        <w:t>、</w:t>
      </w:r>
      <w:r w:rsidRPr="00ED742F">
        <w:rPr>
          <w:rFonts w:cstheme="minorHAnsi" w:hint="eastAsia"/>
          <w:lang w:eastAsia="zh-CN"/>
        </w:rPr>
        <w:t>WTSA</w:t>
      </w:r>
      <w:r w:rsidRPr="00ED742F">
        <w:rPr>
          <w:rFonts w:cstheme="minorHAnsi" w:hint="eastAsia"/>
          <w:lang w:eastAsia="zh-CN"/>
        </w:rPr>
        <w:t>、</w:t>
      </w:r>
      <w:r w:rsidRPr="00ED742F">
        <w:rPr>
          <w:rFonts w:cstheme="minorHAnsi" w:hint="eastAsia"/>
          <w:lang w:eastAsia="zh-CN"/>
        </w:rPr>
        <w:t>WTDC</w:t>
      </w:r>
      <w:r w:rsidRPr="00ED742F">
        <w:rPr>
          <w:rFonts w:cstheme="minorHAnsi" w:hint="eastAsia"/>
          <w:lang w:eastAsia="zh-CN"/>
        </w:rPr>
        <w:t>、</w:t>
      </w:r>
      <w:r w:rsidRPr="00ED742F">
        <w:rPr>
          <w:rFonts w:cstheme="minorHAnsi" w:hint="eastAsia"/>
          <w:lang w:eastAsia="zh-CN"/>
        </w:rPr>
        <w:t>WRC</w:t>
      </w:r>
      <w:r>
        <w:rPr>
          <w:rFonts w:cstheme="minorHAnsi" w:hint="eastAsia"/>
          <w:lang w:eastAsia="zh-CN"/>
        </w:rPr>
        <w:t>在内的</w:t>
      </w:r>
      <w:r w:rsidRPr="00ED742F">
        <w:rPr>
          <w:rFonts w:cstheme="minorHAnsi" w:hint="eastAsia"/>
          <w:lang w:eastAsia="zh-CN"/>
        </w:rPr>
        <w:t>主要国际电联大会的区域性筹备进程中所提供的支持</w:t>
      </w:r>
      <w:r>
        <w:rPr>
          <w:rFonts w:cstheme="minorHAnsi" w:hint="eastAsia"/>
          <w:lang w:eastAsia="zh-CN"/>
        </w:rPr>
        <w:t>，</w:t>
      </w:r>
      <w:r w:rsidRPr="00ED742F">
        <w:rPr>
          <w:rFonts w:cstheme="minorHAnsi" w:hint="eastAsia"/>
          <w:lang w:eastAsia="zh-CN"/>
        </w:rPr>
        <w:t>以及各区域代表处对于在</w:t>
      </w:r>
      <w:r>
        <w:rPr>
          <w:rFonts w:cstheme="minorHAnsi" w:hint="eastAsia"/>
          <w:lang w:eastAsia="zh-CN"/>
        </w:rPr>
        <w:t>各自</w:t>
      </w:r>
      <w:r w:rsidRPr="00ED742F">
        <w:rPr>
          <w:rFonts w:cstheme="minorHAnsi" w:hint="eastAsia"/>
          <w:lang w:eastAsia="zh-CN"/>
        </w:rPr>
        <w:t>区域举办的主要全球性国际电联</w:t>
      </w:r>
      <w:r>
        <w:rPr>
          <w:rFonts w:cstheme="minorHAnsi" w:hint="eastAsia"/>
          <w:lang w:eastAsia="zh-CN"/>
        </w:rPr>
        <w:t>重大</w:t>
      </w:r>
      <w:r w:rsidRPr="00ED742F">
        <w:rPr>
          <w:rFonts w:cstheme="minorHAnsi" w:hint="eastAsia"/>
          <w:lang w:eastAsia="zh-CN"/>
        </w:rPr>
        <w:t>活动所提供的支持；</w:t>
      </w:r>
    </w:p>
    <w:p w14:paraId="4827B907" w14:textId="77777777" w:rsidR="003642E0" w:rsidRPr="00ED742F" w:rsidRDefault="003642E0" w:rsidP="003642E0">
      <w:pPr>
        <w:pStyle w:val="enumlev1"/>
        <w:rPr>
          <w:rFonts w:cstheme="minorHAnsi"/>
          <w:lang w:eastAsia="zh-CN"/>
        </w:rPr>
      </w:pPr>
      <w:r w:rsidRPr="00ED742F">
        <w:rPr>
          <w:rFonts w:cstheme="minorHAnsi"/>
          <w:lang w:eastAsia="zh-CN"/>
        </w:rPr>
        <w:t>12</w:t>
      </w:r>
      <w:r w:rsidR="00D54ECF">
        <w:rPr>
          <w:rFonts w:cs="Calibri"/>
          <w:szCs w:val="24"/>
          <w:lang w:val="en-US" w:eastAsia="zh-CN"/>
        </w:rPr>
        <w:t>.</w:t>
      </w:r>
      <w:r w:rsidRPr="00ED742F">
        <w:rPr>
          <w:rFonts w:cstheme="minorHAnsi"/>
          <w:lang w:eastAsia="zh-CN"/>
        </w:rPr>
        <w:tab/>
      </w:r>
      <w:r w:rsidRPr="00ED742F">
        <w:rPr>
          <w:rFonts w:cstheme="minorHAnsi" w:hint="eastAsia"/>
          <w:lang w:eastAsia="zh-CN"/>
        </w:rPr>
        <w:t>审查各区域代表处在支持</w:t>
      </w:r>
      <w:r>
        <w:rPr>
          <w:rFonts w:cstheme="minorHAnsi" w:hint="eastAsia"/>
          <w:lang w:eastAsia="zh-CN"/>
        </w:rPr>
        <w:t>各</w:t>
      </w:r>
      <w:r w:rsidRPr="00ED742F">
        <w:rPr>
          <w:rFonts w:cstheme="minorHAnsi" w:hint="eastAsia"/>
          <w:lang w:eastAsia="zh-CN"/>
        </w:rPr>
        <w:t>研究组</w:t>
      </w:r>
      <w:r>
        <w:rPr>
          <w:rFonts w:cstheme="minorHAnsi" w:hint="eastAsia"/>
          <w:lang w:eastAsia="zh-CN"/>
        </w:rPr>
        <w:t>的</w:t>
      </w:r>
      <w:r w:rsidRPr="00ED742F">
        <w:rPr>
          <w:rFonts w:cstheme="minorHAnsi" w:hint="eastAsia"/>
          <w:lang w:eastAsia="zh-CN"/>
        </w:rPr>
        <w:t>区域</w:t>
      </w:r>
      <w:r>
        <w:rPr>
          <w:rFonts w:cstheme="minorHAnsi" w:hint="eastAsia"/>
          <w:lang w:eastAsia="zh-CN"/>
        </w:rPr>
        <w:t>组</w:t>
      </w:r>
      <w:r w:rsidRPr="00ED742F">
        <w:rPr>
          <w:rFonts w:cstheme="minorHAnsi" w:hint="eastAsia"/>
          <w:lang w:eastAsia="zh-CN"/>
        </w:rPr>
        <w:t>方面的作用（根据相关的</w:t>
      </w:r>
      <w:r w:rsidRPr="00ED742F">
        <w:rPr>
          <w:rFonts w:cstheme="minorHAnsi" w:hint="eastAsia"/>
          <w:lang w:eastAsia="zh-CN"/>
        </w:rPr>
        <w:t>WTSA</w:t>
      </w:r>
      <w:r w:rsidRPr="00ED742F">
        <w:rPr>
          <w:rFonts w:cstheme="minorHAnsi" w:hint="eastAsia"/>
          <w:lang w:eastAsia="zh-CN"/>
        </w:rPr>
        <w:t>和</w:t>
      </w:r>
      <w:r w:rsidRPr="00ED742F">
        <w:rPr>
          <w:rFonts w:cstheme="minorHAnsi" w:hint="eastAsia"/>
          <w:lang w:eastAsia="zh-CN"/>
        </w:rPr>
        <w:t>WTDC</w:t>
      </w:r>
      <w:r>
        <w:rPr>
          <w:rFonts w:cstheme="minorHAnsi" w:hint="eastAsia"/>
          <w:lang w:eastAsia="zh-CN"/>
        </w:rPr>
        <w:t>的</w:t>
      </w:r>
      <w:r w:rsidRPr="00ED742F">
        <w:rPr>
          <w:rFonts w:cstheme="minorHAnsi" w:hint="eastAsia"/>
          <w:lang w:eastAsia="zh-CN"/>
        </w:rPr>
        <w:t>决议）；</w:t>
      </w:r>
      <w:bookmarkStart w:id="2355" w:name="lt_pId164"/>
    </w:p>
    <w:p w14:paraId="4827B908" w14:textId="77777777" w:rsidR="003642E0" w:rsidRPr="00ED742F" w:rsidRDefault="003642E0" w:rsidP="003642E0">
      <w:pPr>
        <w:pStyle w:val="enumlev1"/>
        <w:rPr>
          <w:rFonts w:cs="Calibri"/>
          <w:szCs w:val="24"/>
          <w:lang w:val="en-US" w:eastAsia="zh-CN"/>
        </w:rPr>
      </w:pPr>
      <w:r w:rsidRPr="00ED742F">
        <w:rPr>
          <w:rFonts w:cstheme="minorHAnsi" w:hint="eastAsia"/>
          <w:lang w:eastAsia="zh-CN"/>
        </w:rPr>
        <w:t>1</w:t>
      </w:r>
      <w:r w:rsidRPr="00ED742F">
        <w:rPr>
          <w:rFonts w:cstheme="minorHAnsi"/>
          <w:lang w:eastAsia="zh-CN"/>
        </w:rPr>
        <w:t>3</w:t>
      </w:r>
      <w:r w:rsidR="00D54ECF">
        <w:rPr>
          <w:rFonts w:cs="Calibri"/>
          <w:szCs w:val="24"/>
          <w:lang w:val="en-US" w:eastAsia="zh-CN"/>
        </w:rPr>
        <w:t>.</w:t>
      </w:r>
      <w:r w:rsidRPr="00ED742F">
        <w:rPr>
          <w:rFonts w:cstheme="minorHAnsi"/>
          <w:lang w:eastAsia="zh-CN"/>
        </w:rPr>
        <w:tab/>
      </w:r>
      <w:r w:rsidRPr="00ED742F">
        <w:rPr>
          <w:rFonts w:cstheme="minorHAnsi" w:hint="eastAsia"/>
          <w:lang w:eastAsia="zh-CN"/>
        </w:rPr>
        <w:t>审议与区域代表处工作相关的内部行政程序，</w:t>
      </w:r>
      <w:r>
        <w:rPr>
          <w:rFonts w:cstheme="minorHAnsi" w:hint="eastAsia"/>
          <w:lang w:eastAsia="zh-CN"/>
        </w:rPr>
        <w:t>旨在</w:t>
      </w:r>
      <w:r w:rsidRPr="00ED742F">
        <w:rPr>
          <w:rFonts w:cstheme="minorHAnsi" w:hint="eastAsia"/>
          <w:lang w:eastAsia="zh-CN"/>
        </w:rPr>
        <w:t>使其简化透明并提高工作效率（重点关注事前和事后监管程序），其中包括：</w:t>
      </w:r>
      <w:bookmarkEnd w:id="2355"/>
    </w:p>
    <w:p w14:paraId="4827B909" w14:textId="77777777" w:rsidR="003642E0" w:rsidRPr="00ED742F" w:rsidRDefault="003642E0" w:rsidP="003642E0">
      <w:pPr>
        <w:pStyle w:val="enumlev2"/>
        <w:rPr>
          <w:rFonts w:cstheme="minorHAnsi"/>
          <w:lang w:eastAsia="zh-CN"/>
        </w:rPr>
      </w:pPr>
      <w:bookmarkStart w:id="2356" w:name="lt_pId165"/>
      <w:r w:rsidRPr="00ED742F">
        <w:rPr>
          <w:rFonts w:cstheme="minorHAnsi" w:hint="eastAsia"/>
          <w:lang w:eastAsia="zh-CN"/>
        </w:rPr>
        <w:t>a</w:t>
      </w:r>
      <w:r w:rsidR="00D54ECF">
        <w:rPr>
          <w:rFonts w:cstheme="minorHAnsi"/>
          <w:lang w:eastAsia="zh-CN"/>
        </w:rPr>
        <w:t>.</w:t>
      </w:r>
      <w:r w:rsidRPr="00ED742F">
        <w:rPr>
          <w:rFonts w:cstheme="minorHAnsi"/>
          <w:lang w:eastAsia="zh-CN"/>
        </w:rPr>
        <w:tab/>
      </w:r>
      <w:r w:rsidRPr="00ED742F">
        <w:rPr>
          <w:rFonts w:cstheme="minorHAnsi" w:hint="eastAsia"/>
          <w:lang w:eastAsia="zh-CN"/>
        </w:rPr>
        <w:t>分析区域代表处</w:t>
      </w:r>
      <w:r w:rsidRPr="00ED742F">
        <w:rPr>
          <w:rFonts w:cstheme="minorHAnsi" w:hint="eastAsia"/>
          <w:lang w:eastAsia="zh-CN"/>
        </w:rPr>
        <w:t>/</w:t>
      </w:r>
      <w:r w:rsidRPr="00ED742F">
        <w:rPr>
          <w:rFonts w:cstheme="minorHAnsi" w:hint="eastAsia"/>
          <w:lang w:eastAsia="zh-CN"/>
        </w:rPr>
        <w:t>机构与总部，</w:t>
      </w:r>
      <w:r>
        <w:rPr>
          <w:rFonts w:cstheme="minorHAnsi" w:hint="eastAsia"/>
          <w:lang w:eastAsia="zh-CN"/>
        </w:rPr>
        <w:t>而且</w:t>
      </w:r>
      <w:r w:rsidRPr="00ED742F">
        <w:rPr>
          <w:rFonts w:cstheme="minorHAnsi" w:hint="eastAsia"/>
          <w:lang w:eastAsia="zh-CN"/>
        </w:rPr>
        <w:t>特别是与电信发展局、电信标准化局、无线电通信局和总秘书处的内部沟通；</w:t>
      </w:r>
    </w:p>
    <w:p w14:paraId="4827B90A" w14:textId="77777777" w:rsidR="003642E0" w:rsidRPr="00ED742F" w:rsidRDefault="003642E0" w:rsidP="003642E0">
      <w:pPr>
        <w:pStyle w:val="enumlev2"/>
        <w:rPr>
          <w:rFonts w:cstheme="minorHAnsi"/>
          <w:lang w:eastAsia="zh-CN"/>
        </w:rPr>
      </w:pPr>
      <w:r w:rsidRPr="00ED742F">
        <w:rPr>
          <w:rFonts w:cstheme="minorHAnsi" w:hint="eastAsia"/>
          <w:lang w:eastAsia="zh-CN"/>
        </w:rPr>
        <w:t>b</w:t>
      </w:r>
      <w:r w:rsidR="00D54ECF">
        <w:rPr>
          <w:rFonts w:cstheme="minorHAnsi"/>
          <w:lang w:eastAsia="zh-CN"/>
        </w:rPr>
        <w:t>.</w:t>
      </w:r>
      <w:r w:rsidRPr="00ED742F">
        <w:rPr>
          <w:rFonts w:cstheme="minorHAnsi"/>
          <w:lang w:eastAsia="zh-CN"/>
        </w:rPr>
        <w:tab/>
      </w:r>
      <w:r w:rsidRPr="00ED742F">
        <w:rPr>
          <w:rFonts w:cstheme="minorHAnsi" w:hint="eastAsia"/>
          <w:lang w:eastAsia="zh-CN"/>
        </w:rPr>
        <w:t>评估加强区域代表处专业力量的机制，包括</w:t>
      </w:r>
      <w:r>
        <w:rPr>
          <w:rFonts w:cstheme="minorHAnsi" w:hint="eastAsia"/>
          <w:lang w:eastAsia="zh-CN"/>
        </w:rPr>
        <w:t>评估</w:t>
      </w:r>
      <w:r w:rsidRPr="00ED742F">
        <w:rPr>
          <w:rFonts w:cstheme="minorHAnsi" w:hint="eastAsia"/>
          <w:lang w:eastAsia="zh-CN"/>
        </w:rPr>
        <w:t>可否在国际电联</w:t>
      </w:r>
      <w:r>
        <w:rPr>
          <w:rFonts w:cstheme="minorHAnsi" w:hint="eastAsia"/>
          <w:lang w:eastAsia="zh-CN"/>
        </w:rPr>
        <w:t>采</w:t>
      </w:r>
      <w:r w:rsidRPr="00ED742F">
        <w:rPr>
          <w:rFonts w:cstheme="minorHAnsi" w:hint="eastAsia"/>
          <w:lang w:eastAsia="zh-CN"/>
        </w:rPr>
        <w:t>用人员流动政策；</w:t>
      </w:r>
      <w:bookmarkEnd w:id="2356"/>
    </w:p>
    <w:p w14:paraId="4827B90B" w14:textId="77777777" w:rsidR="003642E0" w:rsidRPr="00ED742F" w:rsidRDefault="003642E0" w:rsidP="003642E0">
      <w:pPr>
        <w:pStyle w:val="enumlev2"/>
        <w:rPr>
          <w:lang w:val="en-US" w:eastAsia="zh-CN"/>
        </w:rPr>
      </w:pPr>
      <w:bookmarkStart w:id="2357" w:name="lt_pId167"/>
      <w:r w:rsidRPr="00ED742F">
        <w:rPr>
          <w:rFonts w:cstheme="minorHAnsi" w:hint="eastAsia"/>
          <w:lang w:eastAsia="zh-CN"/>
        </w:rPr>
        <w:t>c</w:t>
      </w:r>
      <w:r w:rsidR="00D54ECF">
        <w:rPr>
          <w:rFonts w:cstheme="minorHAnsi"/>
          <w:lang w:eastAsia="zh-CN"/>
        </w:rPr>
        <w:t>.</w:t>
      </w:r>
      <w:r w:rsidRPr="00ED742F">
        <w:rPr>
          <w:rFonts w:cstheme="minorHAnsi"/>
          <w:lang w:eastAsia="zh-CN"/>
        </w:rPr>
        <w:tab/>
      </w:r>
      <w:r w:rsidRPr="00ED742F">
        <w:rPr>
          <w:rFonts w:cstheme="minorHAnsi" w:hint="eastAsia"/>
          <w:lang w:eastAsia="zh-CN"/>
        </w:rPr>
        <w:t>审查在区域</w:t>
      </w:r>
      <w:r w:rsidRPr="00ED742F">
        <w:rPr>
          <w:rFonts w:hint="eastAsia"/>
          <w:lang w:eastAsia="zh-CN"/>
        </w:rPr>
        <w:t>代表</w:t>
      </w:r>
      <w:r w:rsidRPr="00ED742F">
        <w:rPr>
          <w:rFonts w:cstheme="minorHAnsi" w:hint="eastAsia"/>
          <w:lang w:eastAsia="zh-CN"/>
        </w:rPr>
        <w:t>处和地区办事处开展的财务管理和采购活动</w:t>
      </w:r>
      <w:bookmarkEnd w:id="2357"/>
      <w:r w:rsidRPr="00ED742F">
        <w:rPr>
          <w:rFonts w:cstheme="minorHAnsi" w:hint="eastAsia"/>
          <w:lang w:eastAsia="zh-CN"/>
        </w:rPr>
        <w:t>；</w:t>
      </w:r>
    </w:p>
    <w:p w14:paraId="4827B90C" w14:textId="77777777" w:rsidR="003642E0" w:rsidRPr="00ED742F" w:rsidRDefault="003642E0" w:rsidP="003642E0">
      <w:pPr>
        <w:pStyle w:val="enumlev1"/>
        <w:rPr>
          <w:szCs w:val="24"/>
          <w:lang w:val="en-US" w:eastAsia="zh-CN"/>
        </w:rPr>
      </w:pPr>
      <w:r w:rsidRPr="00ED742F">
        <w:rPr>
          <w:rFonts w:cs="Calibri" w:hint="eastAsia"/>
          <w:szCs w:val="24"/>
          <w:lang w:val="en-US" w:eastAsia="zh-CN"/>
        </w:rPr>
        <w:t>1</w:t>
      </w:r>
      <w:r w:rsidRPr="00ED742F">
        <w:rPr>
          <w:rFonts w:cs="Calibri"/>
          <w:szCs w:val="24"/>
          <w:lang w:val="en-US" w:eastAsia="zh-CN"/>
        </w:rPr>
        <w:t>4</w:t>
      </w:r>
      <w:r w:rsidR="00D54ECF">
        <w:rPr>
          <w:rFonts w:cs="Calibri"/>
          <w:szCs w:val="24"/>
          <w:lang w:val="en-US" w:eastAsia="zh-CN"/>
        </w:rPr>
        <w:t>.</w:t>
      </w:r>
      <w:r w:rsidRPr="00ED742F">
        <w:rPr>
          <w:rFonts w:cs="Calibri"/>
          <w:szCs w:val="24"/>
          <w:lang w:val="en-US" w:eastAsia="zh-CN"/>
        </w:rPr>
        <w:tab/>
      </w:r>
      <w:r w:rsidRPr="00ED742F">
        <w:rPr>
          <w:rFonts w:cs="Calibri" w:hint="eastAsia"/>
          <w:szCs w:val="24"/>
          <w:lang w:val="en-US" w:eastAsia="zh-CN"/>
        </w:rPr>
        <w:t>开展一切必要的活动</w:t>
      </w:r>
      <w:r w:rsidRPr="00ED742F">
        <w:rPr>
          <w:rFonts w:cstheme="minorHAnsi" w:hint="eastAsia"/>
          <w:lang w:eastAsia="zh-CN"/>
        </w:rPr>
        <w:t>进行</w:t>
      </w:r>
      <w:r>
        <w:rPr>
          <w:rFonts w:cs="Calibri" w:hint="eastAsia"/>
          <w:szCs w:val="24"/>
          <w:lang w:val="en-US" w:eastAsia="zh-CN"/>
        </w:rPr>
        <w:t>审查，并且</w:t>
      </w:r>
      <w:r w:rsidRPr="00ED742F">
        <w:rPr>
          <w:rFonts w:cs="Calibri" w:hint="eastAsia"/>
          <w:szCs w:val="24"/>
          <w:lang w:val="en-US" w:eastAsia="zh-CN"/>
        </w:rPr>
        <w:t>与所有利益攸关方协商，包括：</w:t>
      </w:r>
    </w:p>
    <w:p w14:paraId="4827B90D" w14:textId="77777777" w:rsidR="003642E0" w:rsidRPr="00ED742F" w:rsidRDefault="003642E0" w:rsidP="003642E0">
      <w:pPr>
        <w:pStyle w:val="enumlev2"/>
        <w:rPr>
          <w:lang w:val="en-US" w:eastAsia="zh-CN"/>
        </w:rPr>
      </w:pPr>
      <w:bookmarkStart w:id="2358" w:name="lt_pId169"/>
      <w:r w:rsidRPr="00ED742F">
        <w:rPr>
          <w:rFonts w:hint="eastAsia"/>
          <w:lang w:val="en-US" w:eastAsia="zh-CN"/>
        </w:rPr>
        <w:t>a</w:t>
      </w:r>
      <w:r w:rsidR="00D54ECF">
        <w:rPr>
          <w:rFonts w:cs="Calibri"/>
          <w:szCs w:val="24"/>
          <w:lang w:val="en-US" w:eastAsia="zh-CN"/>
        </w:rPr>
        <w:t>.</w:t>
      </w:r>
      <w:r w:rsidRPr="00ED742F">
        <w:rPr>
          <w:lang w:val="en-US" w:eastAsia="zh-CN"/>
        </w:rPr>
        <w:tab/>
      </w:r>
      <w:r w:rsidRPr="00ED742F">
        <w:rPr>
          <w:rFonts w:hint="eastAsia"/>
          <w:lang w:val="en-US" w:eastAsia="zh-CN"/>
        </w:rPr>
        <w:t>准备</w:t>
      </w:r>
      <w:r w:rsidRPr="00ED742F">
        <w:rPr>
          <w:rFonts w:hint="eastAsia"/>
          <w:lang w:eastAsia="zh-CN"/>
        </w:rPr>
        <w:t>调查</w:t>
      </w:r>
      <w:r w:rsidRPr="00ED742F">
        <w:rPr>
          <w:rFonts w:hint="eastAsia"/>
          <w:lang w:val="en-US" w:eastAsia="zh-CN"/>
        </w:rPr>
        <w:t>问卷</w:t>
      </w:r>
      <w:r w:rsidRPr="00ED742F">
        <w:rPr>
          <w:rFonts w:hint="eastAsia"/>
          <w:lang w:val="en-US" w:eastAsia="zh-CN"/>
        </w:rPr>
        <w:t>/</w:t>
      </w:r>
      <w:r w:rsidRPr="00ED742F">
        <w:rPr>
          <w:rFonts w:hint="eastAsia"/>
          <w:lang w:val="en-US" w:eastAsia="zh-CN"/>
        </w:rPr>
        <w:t>面试指南</w:t>
      </w:r>
      <w:r>
        <w:rPr>
          <w:rFonts w:hint="eastAsia"/>
          <w:lang w:val="en-US" w:eastAsia="zh-CN"/>
        </w:rPr>
        <w:t>的</w:t>
      </w:r>
      <w:r w:rsidRPr="00ED742F">
        <w:rPr>
          <w:rFonts w:hint="eastAsia"/>
          <w:lang w:val="en-US" w:eastAsia="zh-CN"/>
        </w:rPr>
        <w:t>样本；</w:t>
      </w:r>
    </w:p>
    <w:p w14:paraId="4827B90E" w14:textId="77777777" w:rsidR="003642E0" w:rsidRPr="00ED742F" w:rsidRDefault="003642E0" w:rsidP="003642E0">
      <w:pPr>
        <w:pStyle w:val="enumlev2"/>
        <w:rPr>
          <w:rFonts w:cstheme="minorHAnsi"/>
          <w:lang w:eastAsia="zh-CN"/>
        </w:rPr>
      </w:pPr>
      <w:r w:rsidRPr="00ED742F">
        <w:rPr>
          <w:rFonts w:cstheme="minorHAnsi" w:hint="eastAsia"/>
          <w:lang w:eastAsia="zh-CN"/>
        </w:rPr>
        <w:t>b</w:t>
      </w:r>
      <w:r w:rsidR="00D54ECF">
        <w:rPr>
          <w:rFonts w:cstheme="minorHAnsi"/>
          <w:lang w:eastAsia="zh-CN"/>
        </w:rPr>
        <w:t>.</w:t>
      </w:r>
      <w:r w:rsidRPr="00ED742F">
        <w:rPr>
          <w:rFonts w:cstheme="minorHAnsi"/>
          <w:lang w:eastAsia="zh-CN"/>
        </w:rPr>
        <w:tab/>
      </w:r>
      <w:r w:rsidRPr="00ED742F">
        <w:rPr>
          <w:rFonts w:cstheme="minorHAnsi" w:hint="eastAsia"/>
          <w:lang w:eastAsia="zh-CN"/>
        </w:rPr>
        <w:t>在组织内部</w:t>
      </w:r>
      <w:r>
        <w:rPr>
          <w:rFonts w:cstheme="minorHAnsi" w:hint="eastAsia"/>
          <w:lang w:eastAsia="zh-CN"/>
        </w:rPr>
        <w:t>起草</w:t>
      </w:r>
      <w:r w:rsidRPr="00ED742F">
        <w:rPr>
          <w:rFonts w:cstheme="minorHAnsi" w:hint="eastAsia"/>
          <w:lang w:eastAsia="zh-CN"/>
        </w:rPr>
        <w:t>宣传计划和宣传举措；</w:t>
      </w:r>
    </w:p>
    <w:p w14:paraId="4827B90F" w14:textId="77777777" w:rsidR="003642E0" w:rsidRPr="00ED742F" w:rsidRDefault="003642E0" w:rsidP="003642E0">
      <w:pPr>
        <w:pStyle w:val="enumlev2"/>
        <w:rPr>
          <w:rFonts w:cstheme="minorHAnsi"/>
          <w:lang w:eastAsia="zh-CN"/>
        </w:rPr>
      </w:pPr>
      <w:r w:rsidRPr="00ED742F">
        <w:rPr>
          <w:rFonts w:cstheme="minorHAnsi" w:hint="eastAsia"/>
          <w:lang w:eastAsia="zh-CN"/>
        </w:rPr>
        <w:t>c</w:t>
      </w:r>
      <w:r w:rsidR="00D54ECF">
        <w:rPr>
          <w:rFonts w:cstheme="minorHAnsi"/>
          <w:lang w:eastAsia="zh-CN"/>
        </w:rPr>
        <w:t>.</w:t>
      </w:r>
      <w:r w:rsidRPr="00ED742F">
        <w:rPr>
          <w:rFonts w:cstheme="minorHAnsi"/>
          <w:lang w:eastAsia="zh-CN"/>
        </w:rPr>
        <w:tab/>
      </w:r>
      <w:r>
        <w:rPr>
          <w:rFonts w:cstheme="minorHAnsi" w:hint="eastAsia"/>
          <w:lang w:eastAsia="zh-CN"/>
        </w:rPr>
        <w:t>进行</w:t>
      </w:r>
      <w:r w:rsidRPr="00ED742F">
        <w:rPr>
          <w:rFonts w:cstheme="minorHAnsi" w:hint="eastAsia"/>
          <w:lang w:eastAsia="zh-CN"/>
        </w:rPr>
        <w:t>国际电联所有利益攸关方代表（包括成员国、国际电联部门成员和国际电联职员的代表）的数据收集、访谈和咨询；</w:t>
      </w:r>
    </w:p>
    <w:p w14:paraId="4827B910" w14:textId="77777777" w:rsidR="003642E0" w:rsidRPr="00ED742F" w:rsidRDefault="003642E0" w:rsidP="003642E0">
      <w:pPr>
        <w:pStyle w:val="enumlev2"/>
        <w:rPr>
          <w:rFonts w:cstheme="minorHAnsi"/>
          <w:lang w:eastAsia="zh-CN"/>
        </w:rPr>
      </w:pPr>
      <w:r w:rsidRPr="00ED742F">
        <w:rPr>
          <w:rFonts w:cstheme="minorHAnsi"/>
          <w:lang w:eastAsia="zh-CN"/>
        </w:rPr>
        <w:t>d</w:t>
      </w:r>
      <w:r w:rsidR="00D54ECF">
        <w:rPr>
          <w:rFonts w:cstheme="minorHAnsi"/>
          <w:lang w:eastAsia="zh-CN"/>
        </w:rPr>
        <w:t>.</w:t>
      </w:r>
      <w:r w:rsidRPr="00ED742F">
        <w:rPr>
          <w:rFonts w:cstheme="minorHAnsi"/>
          <w:lang w:eastAsia="zh-CN"/>
        </w:rPr>
        <w:tab/>
      </w:r>
      <w:r w:rsidRPr="00ED742F">
        <w:rPr>
          <w:rFonts w:cstheme="minorHAnsi" w:hint="eastAsia"/>
          <w:lang w:eastAsia="zh-CN"/>
        </w:rPr>
        <w:t>数据处理、</w:t>
      </w:r>
      <w:r w:rsidRPr="00ED742F">
        <w:rPr>
          <w:rFonts w:hint="eastAsia"/>
          <w:lang w:eastAsia="zh-CN"/>
        </w:rPr>
        <w:t>分析</w:t>
      </w:r>
      <w:r w:rsidRPr="00ED742F">
        <w:rPr>
          <w:rFonts w:cstheme="minorHAnsi" w:hint="eastAsia"/>
          <w:lang w:eastAsia="zh-CN"/>
        </w:rPr>
        <w:t>和报告编制；</w:t>
      </w:r>
    </w:p>
    <w:p w14:paraId="4827B911" w14:textId="77777777" w:rsidR="003642E0" w:rsidRPr="00ED742F" w:rsidRDefault="003642E0" w:rsidP="003642E0">
      <w:pPr>
        <w:pStyle w:val="enumlev2"/>
        <w:rPr>
          <w:rFonts w:cstheme="minorHAnsi"/>
          <w:lang w:eastAsia="zh-CN"/>
        </w:rPr>
      </w:pPr>
      <w:r w:rsidRPr="00ED742F">
        <w:rPr>
          <w:rFonts w:cstheme="minorHAnsi" w:hint="eastAsia"/>
          <w:lang w:eastAsia="zh-CN"/>
        </w:rPr>
        <w:t>e</w:t>
      </w:r>
      <w:r w:rsidR="00D54ECF">
        <w:rPr>
          <w:rFonts w:cstheme="minorHAnsi"/>
          <w:lang w:eastAsia="zh-CN"/>
        </w:rPr>
        <w:t>.</w:t>
      </w:r>
      <w:r w:rsidRPr="00ED742F">
        <w:rPr>
          <w:rFonts w:cstheme="minorHAnsi"/>
          <w:lang w:eastAsia="zh-CN"/>
        </w:rPr>
        <w:tab/>
      </w:r>
      <w:r w:rsidRPr="00ED742F">
        <w:rPr>
          <w:rFonts w:cstheme="minorHAnsi" w:hint="eastAsia"/>
          <w:lang w:eastAsia="zh-CN"/>
        </w:rPr>
        <w:t>介绍研究得出的结论并</w:t>
      </w:r>
      <w:r>
        <w:rPr>
          <w:rFonts w:hint="eastAsia"/>
          <w:lang w:eastAsia="zh-CN"/>
        </w:rPr>
        <w:t>提议</w:t>
      </w:r>
      <w:r w:rsidRPr="00ED742F">
        <w:rPr>
          <w:rFonts w:cstheme="minorHAnsi" w:hint="eastAsia"/>
          <w:lang w:eastAsia="zh-CN"/>
        </w:rPr>
        <w:t>适当措施，以确保国际电联区域代表处的持续有效性和效率；</w:t>
      </w:r>
      <w:bookmarkEnd w:id="2358"/>
    </w:p>
    <w:p w14:paraId="4827B912" w14:textId="77777777" w:rsidR="003642E0" w:rsidRPr="00ED742F" w:rsidRDefault="003642E0" w:rsidP="003642E0">
      <w:pPr>
        <w:pStyle w:val="enumlev1"/>
        <w:rPr>
          <w:szCs w:val="24"/>
          <w:lang w:val="en-US" w:eastAsia="zh-CN"/>
        </w:rPr>
      </w:pPr>
      <w:bookmarkStart w:id="2359" w:name="lt_pId174"/>
      <w:r w:rsidRPr="00ED742F">
        <w:rPr>
          <w:rFonts w:cs="Calibri" w:hint="eastAsia"/>
          <w:szCs w:val="24"/>
          <w:lang w:val="en-US" w:eastAsia="zh-CN"/>
        </w:rPr>
        <w:t>1</w:t>
      </w:r>
      <w:r w:rsidRPr="00ED742F">
        <w:rPr>
          <w:rFonts w:cs="Calibri"/>
          <w:szCs w:val="24"/>
          <w:lang w:val="en-US" w:eastAsia="zh-CN"/>
        </w:rPr>
        <w:t>5</w:t>
      </w:r>
      <w:r w:rsidR="00D54ECF">
        <w:rPr>
          <w:rFonts w:cs="Calibri"/>
          <w:szCs w:val="24"/>
          <w:lang w:val="en-US" w:eastAsia="zh-CN"/>
        </w:rPr>
        <w:t>.</w:t>
      </w:r>
      <w:r w:rsidRPr="00ED742F">
        <w:rPr>
          <w:rFonts w:cs="Calibri"/>
          <w:szCs w:val="24"/>
          <w:lang w:val="en-US" w:eastAsia="zh-CN"/>
        </w:rPr>
        <w:tab/>
      </w:r>
      <w:r w:rsidRPr="00ED742F">
        <w:rPr>
          <w:rFonts w:cs="Calibri" w:hint="eastAsia"/>
          <w:szCs w:val="24"/>
          <w:lang w:val="en-US" w:eastAsia="zh-CN"/>
        </w:rPr>
        <w:t>提出</w:t>
      </w:r>
      <w:r>
        <w:rPr>
          <w:rFonts w:cs="Calibri" w:hint="eastAsia"/>
          <w:szCs w:val="24"/>
          <w:lang w:val="en-US" w:eastAsia="zh-CN"/>
        </w:rPr>
        <w:t>落实</w:t>
      </w:r>
      <w:r w:rsidRPr="00ED742F">
        <w:rPr>
          <w:rFonts w:cstheme="minorHAnsi" w:hint="eastAsia"/>
          <w:lang w:eastAsia="zh-CN"/>
        </w:rPr>
        <w:t>拟议</w:t>
      </w:r>
      <w:r w:rsidRPr="00ED742F">
        <w:rPr>
          <w:rFonts w:cs="Calibri" w:hint="eastAsia"/>
          <w:szCs w:val="24"/>
          <w:lang w:val="en-US" w:eastAsia="zh-CN"/>
        </w:rPr>
        <w:t>措施的行动计划。</w:t>
      </w:r>
      <w:bookmarkEnd w:id="2359"/>
    </w:p>
    <w:p w14:paraId="4827B913" w14:textId="77777777" w:rsidR="003642E0" w:rsidRDefault="003642E0">
      <w:pPr>
        <w:tabs>
          <w:tab w:val="clear" w:pos="794"/>
          <w:tab w:val="clear" w:pos="1191"/>
          <w:tab w:val="clear" w:pos="1588"/>
          <w:tab w:val="clear" w:pos="1985"/>
        </w:tabs>
        <w:overflowPunct/>
        <w:autoSpaceDE/>
        <w:autoSpaceDN/>
        <w:adjustRightInd/>
        <w:spacing w:before="0"/>
        <w:jc w:val="left"/>
        <w:textAlignment w:val="auto"/>
        <w:rPr>
          <w:rFonts w:ascii="Times New Roman Bold" w:hAnsi="Times New Roman Bold" w:hint="eastAsia"/>
          <w:b/>
          <w:sz w:val="28"/>
          <w:lang w:val="en-US" w:eastAsia="zh-CN"/>
        </w:rPr>
      </w:pPr>
      <w:bookmarkStart w:id="2360" w:name="lt_pId175"/>
      <w:r>
        <w:rPr>
          <w:lang w:val="en-US" w:eastAsia="zh-CN"/>
        </w:rPr>
        <w:br w:type="page"/>
      </w:r>
    </w:p>
    <w:p w14:paraId="4827B914" w14:textId="77777777" w:rsidR="003642E0" w:rsidRPr="002C6FDC" w:rsidRDefault="003642E0" w:rsidP="00E51375">
      <w:pPr>
        <w:pStyle w:val="Normalaftertitle0"/>
      </w:pPr>
      <w:r w:rsidRPr="002C6FDC">
        <w:rPr>
          <w:rFonts w:hint="eastAsia"/>
        </w:rPr>
        <w:lastRenderedPageBreak/>
        <w:t>3</w:t>
      </w:r>
      <w:r w:rsidR="00D54ECF" w:rsidRPr="002C6FDC">
        <w:t>.</w:t>
      </w:r>
      <w:r w:rsidRPr="002C6FDC">
        <w:tab/>
      </w:r>
      <w:r w:rsidRPr="002C6FDC">
        <w:t>实际成果</w:t>
      </w:r>
      <w:bookmarkEnd w:id="2360"/>
    </w:p>
    <w:p w14:paraId="4827B915" w14:textId="77777777" w:rsidR="003642E0" w:rsidRPr="00ED742F" w:rsidRDefault="003642E0" w:rsidP="003642E0">
      <w:pPr>
        <w:ind w:firstLineChars="200" w:firstLine="480"/>
        <w:rPr>
          <w:szCs w:val="24"/>
          <w:lang w:val="en-US" w:eastAsia="zh-CN"/>
        </w:rPr>
      </w:pPr>
      <w:bookmarkStart w:id="2361" w:name="lt_pId176"/>
      <w:r w:rsidRPr="00ED742F">
        <w:rPr>
          <w:szCs w:val="24"/>
          <w:lang w:val="en-US" w:eastAsia="zh-CN"/>
        </w:rPr>
        <w:t>项目应获得以下</w:t>
      </w:r>
      <w:r w:rsidRPr="00ED742F">
        <w:rPr>
          <w:lang w:eastAsia="zh-CN"/>
        </w:rPr>
        <w:t>实际</w:t>
      </w:r>
      <w:r w:rsidRPr="00ED742F">
        <w:rPr>
          <w:szCs w:val="24"/>
          <w:lang w:eastAsia="zh-CN"/>
        </w:rPr>
        <w:t>成果</w:t>
      </w:r>
      <w:r w:rsidRPr="00ED742F">
        <w:rPr>
          <w:szCs w:val="24"/>
          <w:lang w:val="en-US" w:eastAsia="zh-CN"/>
        </w:rPr>
        <w:t>：</w:t>
      </w:r>
      <w:bookmarkEnd w:id="2361"/>
    </w:p>
    <w:p w14:paraId="4827B916" w14:textId="77777777" w:rsidR="003642E0" w:rsidRPr="00ED742F" w:rsidRDefault="003642E0" w:rsidP="003642E0">
      <w:pPr>
        <w:pStyle w:val="enumlev1"/>
        <w:rPr>
          <w:rFonts w:cs="Calibri"/>
          <w:szCs w:val="24"/>
          <w:lang w:val="en-US" w:eastAsia="zh-CN"/>
        </w:rPr>
      </w:pPr>
      <w:bookmarkStart w:id="2362" w:name="lt_pId177"/>
      <w:r w:rsidRPr="00ED742F">
        <w:rPr>
          <w:rFonts w:cs="Calibri" w:hint="eastAsia"/>
          <w:szCs w:val="24"/>
          <w:lang w:val="en-US" w:eastAsia="zh-CN"/>
        </w:rPr>
        <w:t>1</w:t>
      </w:r>
      <w:r w:rsidR="00D54ECF">
        <w:rPr>
          <w:rFonts w:cs="Calibri"/>
          <w:szCs w:val="24"/>
          <w:lang w:val="en-US" w:eastAsia="zh-CN"/>
        </w:rPr>
        <w:t>.</w:t>
      </w:r>
      <w:r w:rsidRPr="00ED742F">
        <w:rPr>
          <w:rFonts w:cs="Calibri"/>
          <w:szCs w:val="24"/>
          <w:lang w:val="en-US" w:eastAsia="zh-CN"/>
        </w:rPr>
        <w:tab/>
      </w:r>
      <w:r w:rsidRPr="00ED742F">
        <w:rPr>
          <w:rFonts w:cs="Calibri" w:hint="eastAsia"/>
          <w:szCs w:val="24"/>
          <w:lang w:val="en-US" w:eastAsia="zh-CN"/>
        </w:rPr>
        <w:t>概</w:t>
      </w:r>
      <w:r>
        <w:rPr>
          <w:rFonts w:cs="Calibri" w:hint="eastAsia"/>
          <w:szCs w:val="24"/>
          <w:lang w:val="en-US" w:eastAsia="zh-CN"/>
        </w:rPr>
        <w:t>要描述</w:t>
      </w:r>
      <w:r w:rsidRPr="00ED742F">
        <w:rPr>
          <w:rFonts w:cs="Calibri" w:hint="eastAsia"/>
          <w:szCs w:val="24"/>
          <w:lang w:val="en-US" w:eastAsia="zh-CN"/>
        </w:rPr>
        <w:t>区域代表处</w:t>
      </w:r>
      <w:r w:rsidRPr="00ED742F">
        <w:rPr>
          <w:rFonts w:cs="Calibri" w:hint="eastAsia"/>
          <w:szCs w:val="24"/>
          <w:lang w:val="en-US" w:eastAsia="zh-CN"/>
        </w:rPr>
        <w:t>/</w:t>
      </w:r>
      <w:r w:rsidRPr="00ED742F">
        <w:rPr>
          <w:rFonts w:cs="Calibri" w:hint="eastAsia"/>
          <w:szCs w:val="24"/>
          <w:lang w:val="en-US" w:eastAsia="zh-CN"/>
        </w:rPr>
        <w:t>机构的</w:t>
      </w:r>
      <w:r>
        <w:rPr>
          <w:rFonts w:cs="Calibri" w:hint="eastAsia"/>
          <w:szCs w:val="24"/>
          <w:lang w:val="en-US" w:eastAsia="zh-CN"/>
        </w:rPr>
        <w:t>现行结构</w:t>
      </w:r>
      <w:r w:rsidRPr="00ED742F">
        <w:rPr>
          <w:rFonts w:cs="Calibri" w:hint="eastAsia"/>
          <w:szCs w:val="24"/>
          <w:lang w:val="en-US" w:eastAsia="zh-CN"/>
        </w:rPr>
        <w:t>，包括进行差距分析的程序和绩效指标（将考虑资源、技能和工具等）；</w:t>
      </w:r>
      <w:bookmarkEnd w:id="2362"/>
    </w:p>
    <w:p w14:paraId="4827B917" w14:textId="77777777" w:rsidR="003642E0" w:rsidRPr="00ED742F" w:rsidRDefault="003642E0" w:rsidP="003642E0">
      <w:pPr>
        <w:pStyle w:val="enumlev1"/>
        <w:rPr>
          <w:rFonts w:cs="Calibri"/>
          <w:szCs w:val="24"/>
          <w:lang w:val="en-US" w:eastAsia="zh-CN"/>
        </w:rPr>
      </w:pPr>
      <w:bookmarkStart w:id="2363" w:name="lt_pId178"/>
      <w:r w:rsidRPr="00ED742F">
        <w:rPr>
          <w:rFonts w:cs="Calibri" w:hint="eastAsia"/>
          <w:szCs w:val="24"/>
          <w:lang w:val="en-US" w:eastAsia="zh-CN"/>
        </w:rPr>
        <w:t>2</w:t>
      </w:r>
      <w:r w:rsidR="00D54ECF">
        <w:rPr>
          <w:rFonts w:cs="Calibri"/>
          <w:szCs w:val="24"/>
          <w:lang w:val="en-US" w:eastAsia="zh-CN"/>
        </w:rPr>
        <w:t>.</w:t>
      </w:r>
      <w:r w:rsidRPr="00ED742F">
        <w:rPr>
          <w:rFonts w:cs="Calibri"/>
          <w:szCs w:val="24"/>
          <w:lang w:val="en-US" w:eastAsia="zh-CN"/>
        </w:rPr>
        <w:tab/>
      </w:r>
      <w:r w:rsidRPr="00ED742F">
        <w:rPr>
          <w:rFonts w:cs="Calibri" w:hint="eastAsia"/>
          <w:szCs w:val="24"/>
          <w:lang w:val="en-US" w:eastAsia="zh-CN"/>
        </w:rPr>
        <w:t>组织效能</w:t>
      </w:r>
      <w:r w:rsidRPr="00ED742F">
        <w:rPr>
          <w:rFonts w:cs="Calibri" w:hint="eastAsia"/>
          <w:szCs w:val="24"/>
          <w:lang w:val="en-US" w:eastAsia="zh-CN"/>
        </w:rPr>
        <w:t>/</w:t>
      </w:r>
      <w:r w:rsidRPr="00ED742F">
        <w:rPr>
          <w:rFonts w:cs="Calibri" w:hint="eastAsia"/>
          <w:szCs w:val="24"/>
          <w:lang w:val="en-US" w:eastAsia="zh-CN"/>
        </w:rPr>
        <w:t>绩效参数的现有水平；</w:t>
      </w:r>
      <w:bookmarkEnd w:id="2363"/>
    </w:p>
    <w:p w14:paraId="4827B918" w14:textId="77777777" w:rsidR="003642E0" w:rsidRPr="00ED742F" w:rsidRDefault="003642E0" w:rsidP="003642E0">
      <w:pPr>
        <w:pStyle w:val="enumlev1"/>
        <w:rPr>
          <w:rFonts w:cs="Calibri"/>
          <w:szCs w:val="24"/>
          <w:lang w:val="en-US" w:eastAsia="zh-CN"/>
        </w:rPr>
      </w:pPr>
      <w:r w:rsidRPr="00ED742F">
        <w:rPr>
          <w:rFonts w:cs="Calibri" w:hint="eastAsia"/>
          <w:szCs w:val="24"/>
          <w:lang w:val="en-US" w:eastAsia="zh-CN"/>
        </w:rPr>
        <w:t>3</w:t>
      </w:r>
      <w:r w:rsidR="00D54ECF">
        <w:rPr>
          <w:rFonts w:cs="Calibri"/>
          <w:szCs w:val="24"/>
          <w:lang w:val="en-US" w:eastAsia="zh-CN"/>
        </w:rPr>
        <w:t>.</w:t>
      </w:r>
      <w:r w:rsidRPr="00ED742F">
        <w:rPr>
          <w:rFonts w:cs="Calibri"/>
          <w:szCs w:val="24"/>
          <w:lang w:val="en-US" w:eastAsia="zh-CN"/>
        </w:rPr>
        <w:tab/>
      </w:r>
      <w:r w:rsidRPr="00ED742F">
        <w:rPr>
          <w:rFonts w:cs="Calibri" w:hint="eastAsia"/>
          <w:szCs w:val="24"/>
          <w:lang w:val="en-US" w:eastAsia="zh-CN"/>
        </w:rPr>
        <w:t>概</w:t>
      </w:r>
      <w:r>
        <w:rPr>
          <w:rFonts w:cs="Calibri" w:hint="eastAsia"/>
          <w:szCs w:val="24"/>
          <w:lang w:val="en-US" w:eastAsia="zh-CN"/>
        </w:rPr>
        <w:t>要描述</w:t>
      </w:r>
      <w:r w:rsidRPr="00ED742F">
        <w:rPr>
          <w:rFonts w:cs="Calibri" w:hint="eastAsia"/>
          <w:szCs w:val="24"/>
          <w:lang w:val="en-US" w:eastAsia="zh-CN"/>
        </w:rPr>
        <w:t>区域代表处</w:t>
      </w:r>
      <w:r w:rsidRPr="00ED742F">
        <w:rPr>
          <w:rFonts w:cs="Calibri" w:hint="eastAsia"/>
          <w:szCs w:val="24"/>
          <w:lang w:val="en-US" w:eastAsia="zh-CN"/>
        </w:rPr>
        <w:t>/</w:t>
      </w:r>
      <w:r w:rsidRPr="00ED742F">
        <w:rPr>
          <w:rFonts w:cs="Calibri" w:hint="eastAsia"/>
          <w:szCs w:val="24"/>
          <w:lang w:val="en-US" w:eastAsia="zh-CN"/>
        </w:rPr>
        <w:t>机构的理想结构，</w:t>
      </w:r>
      <w:r>
        <w:rPr>
          <w:rFonts w:cs="Calibri" w:hint="eastAsia"/>
          <w:szCs w:val="24"/>
          <w:lang w:val="en-US" w:eastAsia="zh-CN"/>
        </w:rPr>
        <w:t>其中</w:t>
      </w:r>
      <w:r w:rsidRPr="00ED742F">
        <w:rPr>
          <w:rFonts w:cs="Calibri" w:hint="eastAsia"/>
          <w:szCs w:val="24"/>
          <w:lang w:val="en-US" w:eastAsia="zh-CN"/>
        </w:rPr>
        <w:t>包括</w:t>
      </w:r>
      <w:r>
        <w:rPr>
          <w:rFonts w:cs="Calibri" w:hint="eastAsia"/>
          <w:szCs w:val="24"/>
          <w:lang w:val="en-US" w:eastAsia="zh-CN"/>
        </w:rPr>
        <w:t>区域代表处的最佳数量及地点、</w:t>
      </w:r>
      <w:r w:rsidRPr="00ED742F">
        <w:rPr>
          <w:rFonts w:cs="Calibri" w:hint="eastAsia"/>
          <w:szCs w:val="24"/>
          <w:lang w:val="en-US" w:eastAsia="zh-CN"/>
        </w:rPr>
        <w:t>服务于本组织战略方向的管理目标</w:t>
      </w:r>
      <w:r>
        <w:rPr>
          <w:rFonts w:cs="Calibri" w:hint="eastAsia"/>
          <w:szCs w:val="24"/>
          <w:lang w:val="en-US" w:eastAsia="zh-CN"/>
        </w:rPr>
        <w:t>以及</w:t>
      </w:r>
      <w:r w:rsidRPr="00ED742F">
        <w:rPr>
          <w:rFonts w:cs="Calibri" w:hint="eastAsia"/>
          <w:szCs w:val="24"/>
          <w:lang w:val="en-US" w:eastAsia="zh-CN"/>
        </w:rPr>
        <w:t>实现这些目标所需的员工技能；</w:t>
      </w:r>
    </w:p>
    <w:p w14:paraId="4827B919" w14:textId="77777777" w:rsidR="003642E0" w:rsidRPr="00ED742F" w:rsidRDefault="003642E0" w:rsidP="003642E0">
      <w:pPr>
        <w:pStyle w:val="enumlev1"/>
        <w:rPr>
          <w:rFonts w:cs="Calibri"/>
          <w:szCs w:val="24"/>
          <w:lang w:val="en-US" w:eastAsia="zh-CN"/>
        </w:rPr>
      </w:pPr>
      <w:r w:rsidRPr="00ED742F">
        <w:rPr>
          <w:rFonts w:cs="Calibri" w:hint="eastAsia"/>
          <w:szCs w:val="24"/>
          <w:lang w:val="en-US" w:eastAsia="zh-CN"/>
        </w:rPr>
        <w:t>4</w:t>
      </w:r>
      <w:r w:rsidR="00D54ECF">
        <w:rPr>
          <w:rFonts w:cs="Calibri"/>
          <w:szCs w:val="24"/>
          <w:lang w:val="en-US" w:eastAsia="zh-CN"/>
        </w:rPr>
        <w:t>.</w:t>
      </w:r>
      <w:r w:rsidRPr="00ED742F">
        <w:rPr>
          <w:rFonts w:cs="Calibri"/>
          <w:szCs w:val="24"/>
          <w:lang w:val="en-US" w:eastAsia="zh-CN"/>
        </w:rPr>
        <w:tab/>
      </w:r>
      <w:r w:rsidRPr="00ED742F">
        <w:rPr>
          <w:rFonts w:cs="Calibri" w:hint="eastAsia"/>
          <w:szCs w:val="24"/>
          <w:lang w:val="en-US" w:eastAsia="zh-CN"/>
        </w:rPr>
        <w:t>提高组织绩效的管理目标（包括人员</w:t>
      </w:r>
      <w:r w:rsidRPr="00ED742F">
        <w:rPr>
          <w:rFonts w:cs="Calibri" w:hint="eastAsia"/>
          <w:szCs w:val="24"/>
          <w:lang w:val="en-US" w:eastAsia="zh-CN"/>
        </w:rPr>
        <w:t>/</w:t>
      </w:r>
      <w:r w:rsidRPr="00ED742F">
        <w:rPr>
          <w:rFonts w:cs="Calibri" w:hint="eastAsia"/>
          <w:szCs w:val="24"/>
          <w:lang w:val="en-US" w:eastAsia="zh-CN"/>
        </w:rPr>
        <w:t>技能、流程技术和工具）；</w:t>
      </w:r>
    </w:p>
    <w:p w14:paraId="4827B91A" w14:textId="77777777" w:rsidR="003642E0" w:rsidRPr="00ED742F" w:rsidRDefault="003642E0" w:rsidP="003642E0">
      <w:pPr>
        <w:pStyle w:val="enumlev1"/>
        <w:rPr>
          <w:rFonts w:cs="Calibri"/>
          <w:szCs w:val="24"/>
          <w:lang w:val="en-US" w:eastAsia="zh-CN"/>
        </w:rPr>
      </w:pPr>
      <w:r w:rsidRPr="00ED742F">
        <w:rPr>
          <w:rFonts w:cs="Calibri" w:hint="eastAsia"/>
          <w:szCs w:val="24"/>
          <w:lang w:val="en-US" w:eastAsia="zh-CN"/>
        </w:rPr>
        <w:t>5</w:t>
      </w:r>
      <w:r w:rsidR="00D54ECF">
        <w:rPr>
          <w:rFonts w:cs="Calibri"/>
          <w:szCs w:val="24"/>
          <w:lang w:val="en-US" w:eastAsia="zh-CN"/>
        </w:rPr>
        <w:t>.</w:t>
      </w:r>
      <w:r w:rsidRPr="00ED742F">
        <w:rPr>
          <w:rFonts w:cs="Calibri"/>
          <w:szCs w:val="24"/>
          <w:lang w:val="en-US" w:eastAsia="zh-CN"/>
        </w:rPr>
        <w:tab/>
      </w:r>
      <w:r w:rsidRPr="00ED742F">
        <w:rPr>
          <w:rFonts w:cs="Calibri" w:hint="eastAsia"/>
          <w:szCs w:val="24"/>
          <w:lang w:val="en-US" w:eastAsia="zh-CN"/>
        </w:rPr>
        <w:t>为区域代表处</w:t>
      </w:r>
      <w:r w:rsidRPr="00ED742F">
        <w:rPr>
          <w:rFonts w:cs="Calibri" w:hint="eastAsia"/>
          <w:szCs w:val="24"/>
          <w:lang w:val="en-US" w:eastAsia="zh-CN"/>
        </w:rPr>
        <w:t>/</w:t>
      </w:r>
      <w:r w:rsidRPr="00ED742F">
        <w:rPr>
          <w:rFonts w:cs="Calibri" w:hint="eastAsia"/>
          <w:szCs w:val="24"/>
          <w:lang w:val="en-US" w:eastAsia="zh-CN"/>
        </w:rPr>
        <w:t>地区办事处开发</w:t>
      </w:r>
      <w:r w:rsidRPr="00ED742F">
        <w:rPr>
          <w:rFonts w:cs="Calibri" w:hint="eastAsia"/>
          <w:szCs w:val="24"/>
          <w:lang w:val="en-US" w:eastAsia="zh-CN"/>
        </w:rPr>
        <w:t>/</w:t>
      </w:r>
      <w:r>
        <w:rPr>
          <w:rFonts w:cs="Calibri" w:hint="eastAsia"/>
          <w:szCs w:val="24"/>
          <w:lang w:val="en-US" w:eastAsia="zh-CN"/>
        </w:rPr>
        <w:t>拓展基于结果的管理（</w:t>
      </w:r>
      <w:r w:rsidRPr="00ED742F">
        <w:rPr>
          <w:rFonts w:cs="Calibri" w:hint="eastAsia"/>
          <w:szCs w:val="24"/>
          <w:lang w:val="en-US" w:eastAsia="zh-CN"/>
        </w:rPr>
        <w:t>RBM</w:t>
      </w:r>
      <w:r>
        <w:rPr>
          <w:rFonts w:cs="Calibri" w:hint="eastAsia"/>
          <w:szCs w:val="24"/>
          <w:lang w:val="en-US" w:eastAsia="zh-CN"/>
        </w:rPr>
        <w:t>）</w:t>
      </w:r>
      <w:r w:rsidRPr="00ED742F">
        <w:rPr>
          <w:rFonts w:cs="Calibri" w:hint="eastAsia"/>
          <w:szCs w:val="24"/>
          <w:lang w:val="en-US" w:eastAsia="zh-CN"/>
        </w:rPr>
        <w:t>模式；</w:t>
      </w:r>
    </w:p>
    <w:p w14:paraId="4827B91B" w14:textId="77777777" w:rsidR="003642E0" w:rsidRPr="00ED742F" w:rsidRDefault="003642E0" w:rsidP="003642E0">
      <w:pPr>
        <w:pStyle w:val="enumlev1"/>
        <w:rPr>
          <w:szCs w:val="24"/>
          <w:lang w:val="en-US" w:eastAsia="zh-CN"/>
        </w:rPr>
      </w:pPr>
      <w:bookmarkStart w:id="2364" w:name="lt_pId182"/>
      <w:r w:rsidRPr="00ED742F">
        <w:rPr>
          <w:rFonts w:cs="Calibri" w:hint="eastAsia"/>
          <w:szCs w:val="24"/>
          <w:lang w:val="en-US" w:eastAsia="zh-CN"/>
        </w:rPr>
        <w:t>6</w:t>
      </w:r>
      <w:r w:rsidR="00D54ECF">
        <w:rPr>
          <w:rFonts w:cs="Calibri"/>
          <w:szCs w:val="24"/>
          <w:lang w:val="en-US" w:eastAsia="zh-CN"/>
        </w:rPr>
        <w:t>.</w:t>
      </w:r>
      <w:r w:rsidRPr="00ED742F">
        <w:rPr>
          <w:rFonts w:cs="Calibri"/>
          <w:szCs w:val="24"/>
          <w:lang w:val="en-US" w:eastAsia="zh-CN"/>
        </w:rPr>
        <w:tab/>
      </w:r>
      <w:r>
        <w:rPr>
          <w:rFonts w:cs="Calibri" w:hint="eastAsia"/>
          <w:szCs w:val="24"/>
          <w:lang w:val="en-US" w:eastAsia="zh-CN"/>
        </w:rPr>
        <w:t>针对</w:t>
      </w:r>
      <w:r w:rsidRPr="00ED742F">
        <w:rPr>
          <w:rFonts w:cs="Calibri"/>
          <w:szCs w:val="24"/>
          <w:lang w:val="en-US" w:eastAsia="zh-CN"/>
        </w:rPr>
        <w:t>改革</w:t>
      </w:r>
      <w:bookmarkEnd w:id="2364"/>
      <w:r>
        <w:rPr>
          <w:rFonts w:cs="Calibri" w:hint="eastAsia"/>
          <w:szCs w:val="24"/>
          <w:lang w:val="en-US" w:eastAsia="zh-CN"/>
        </w:rPr>
        <w:t>的</w:t>
      </w:r>
      <w:r w:rsidRPr="00ED742F">
        <w:rPr>
          <w:rFonts w:cs="Calibri" w:hint="eastAsia"/>
          <w:szCs w:val="24"/>
          <w:lang w:val="en-US" w:eastAsia="zh-CN"/>
        </w:rPr>
        <w:t>行动计划</w:t>
      </w:r>
      <w:r>
        <w:rPr>
          <w:rFonts w:cs="Calibri" w:hint="eastAsia"/>
          <w:szCs w:val="24"/>
          <w:lang w:val="en-US" w:eastAsia="zh-CN"/>
        </w:rPr>
        <w:t>，应</w:t>
      </w:r>
      <w:r w:rsidRPr="00ED742F">
        <w:rPr>
          <w:rFonts w:cs="Calibri" w:hint="eastAsia"/>
          <w:szCs w:val="24"/>
          <w:lang w:val="en-US" w:eastAsia="zh-CN"/>
        </w:rPr>
        <w:t>研究落实外部审计员、内部审计员和</w:t>
      </w:r>
      <w:r w:rsidRPr="00ED742F">
        <w:rPr>
          <w:rFonts w:cs="Calibri" w:hint="eastAsia"/>
          <w:szCs w:val="24"/>
          <w:lang w:val="en-US" w:eastAsia="zh-CN"/>
        </w:rPr>
        <w:t>I</w:t>
      </w:r>
      <w:r w:rsidRPr="00ED742F">
        <w:rPr>
          <w:rFonts w:cs="Calibri"/>
          <w:szCs w:val="24"/>
          <w:lang w:val="en-US" w:eastAsia="zh-CN"/>
        </w:rPr>
        <w:t>MAC</w:t>
      </w:r>
      <w:r w:rsidRPr="00ED742F">
        <w:rPr>
          <w:rFonts w:cs="Calibri" w:hint="eastAsia"/>
          <w:szCs w:val="24"/>
          <w:lang w:val="en-US" w:eastAsia="zh-CN"/>
        </w:rPr>
        <w:t>提出的各项相关建议。</w:t>
      </w:r>
    </w:p>
    <w:p w14:paraId="4827B91C" w14:textId="77777777" w:rsidR="003642E0" w:rsidRPr="00FB432E" w:rsidRDefault="003642E0" w:rsidP="003642E0">
      <w:pPr>
        <w:pStyle w:val="Endtext"/>
        <w:spacing w:before="80"/>
        <w:rPr>
          <w:lang w:val="fr-FR" w:eastAsia="zh-CN"/>
        </w:rPr>
      </w:pPr>
      <w:r>
        <w:rPr>
          <w:rFonts w:hint="eastAsia"/>
          <w:iCs w:val="0"/>
          <w:lang w:eastAsia="zh-CN"/>
        </w:rPr>
        <w:t>参阅</w:t>
      </w:r>
      <w:r w:rsidRPr="0070163A">
        <w:rPr>
          <w:rFonts w:hint="eastAsia"/>
          <w:lang w:eastAsia="zh-CN"/>
        </w:rPr>
        <w:t>：</w:t>
      </w:r>
      <w:r>
        <w:rPr>
          <w:lang w:eastAsia="zh-CN"/>
        </w:rPr>
        <w:tab/>
      </w:r>
      <w:hyperlink r:id="rId474" w:history="1">
        <w:r>
          <w:rPr>
            <w:rStyle w:val="Hyperlink"/>
            <w:lang w:val="fr-FR" w:eastAsia="zh-CN"/>
          </w:rPr>
          <w:t>C19</w:t>
        </w:r>
        <w:r w:rsidRPr="003C453B">
          <w:rPr>
            <w:rStyle w:val="Hyperlink"/>
            <w:lang w:val="fr-FR" w:eastAsia="zh-CN"/>
          </w:rPr>
          <w:t>/1</w:t>
        </w:r>
        <w:r>
          <w:rPr>
            <w:rStyle w:val="Hyperlink"/>
            <w:lang w:val="fr-FR" w:eastAsia="zh-CN"/>
          </w:rPr>
          <w:t>33</w:t>
        </w:r>
      </w:hyperlink>
      <w:r>
        <w:rPr>
          <w:rFonts w:hint="eastAsia"/>
          <w:lang w:val="fr-FR" w:eastAsia="zh-CN"/>
        </w:rPr>
        <w:t>和</w:t>
      </w:r>
      <w:hyperlink r:id="rId475" w:history="1">
        <w:r>
          <w:rPr>
            <w:rStyle w:val="Hyperlink"/>
            <w:lang w:val="fr-FR" w:eastAsia="zh-CN"/>
          </w:rPr>
          <w:t>C</w:t>
        </w:r>
        <w:r w:rsidRPr="003C453B">
          <w:rPr>
            <w:rStyle w:val="Hyperlink"/>
            <w:lang w:val="fr-FR" w:eastAsia="zh-CN"/>
          </w:rPr>
          <w:t>1</w:t>
        </w:r>
        <w:r>
          <w:rPr>
            <w:rStyle w:val="Hyperlink"/>
            <w:lang w:val="fr-FR" w:eastAsia="zh-CN"/>
          </w:rPr>
          <w:t>9</w:t>
        </w:r>
        <w:r w:rsidRPr="003C453B">
          <w:rPr>
            <w:rStyle w:val="Hyperlink"/>
            <w:lang w:val="fr-FR" w:eastAsia="zh-CN"/>
          </w:rPr>
          <w:t>/1</w:t>
        </w:r>
        <w:r>
          <w:rPr>
            <w:rStyle w:val="Hyperlink"/>
            <w:lang w:val="fr-FR" w:eastAsia="zh-CN"/>
          </w:rPr>
          <w:t>20</w:t>
        </w:r>
      </w:hyperlink>
      <w:r>
        <w:rPr>
          <w:rFonts w:hint="eastAsia"/>
          <w:lang w:val="fr-FR" w:eastAsia="zh-CN"/>
        </w:rPr>
        <w:t>号</w:t>
      </w:r>
      <w:r>
        <w:rPr>
          <w:lang w:val="fr-FR" w:eastAsia="zh-CN"/>
        </w:rPr>
        <w:t>文件。</w:t>
      </w:r>
    </w:p>
    <w:p w14:paraId="4827B91D" w14:textId="77777777" w:rsidR="003642E0" w:rsidRDefault="003642E0" w:rsidP="003642E0">
      <w:pPr>
        <w:jc w:val="center"/>
        <w:rPr>
          <w:lang w:eastAsia="zh-CN"/>
        </w:rPr>
      </w:pPr>
      <w:r w:rsidRPr="00ED742F">
        <w:rPr>
          <w:lang w:eastAsia="zh-CN"/>
        </w:rPr>
        <w:t>______________</w:t>
      </w:r>
    </w:p>
    <w:p w14:paraId="4827B91E" w14:textId="77777777" w:rsidR="00F06DCF" w:rsidRDefault="00F06DCF" w:rsidP="005F7760">
      <w:pPr>
        <w:rPr>
          <w:lang w:eastAsia="zh-CN"/>
        </w:rPr>
      </w:pPr>
    </w:p>
    <w:p w14:paraId="4827B91F" w14:textId="77777777" w:rsidR="00F06DCF" w:rsidRDefault="00F06DCF" w:rsidP="005F7760">
      <w:pPr>
        <w:rPr>
          <w:lang w:eastAsia="zh-CN"/>
        </w:rPr>
      </w:pPr>
    </w:p>
    <w:p w14:paraId="4827B920" w14:textId="77777777" w:rsidR="00B72C24" w:rsidRDefault="00B72C24" w:rsidP="005F7760">
      <w:pPr>
        <w:rPr>
          <w:lang w:eastAsia="zh-CN"/>
        </w:rPr>
      </w:pPr>
    </w:p>
    <w:p w14:paraId="4827B921" w14:textId="77777777" w:rsidR="00F06DCF" w:rsidRDefault="00F06DCF" w:rsidP="005F7760">
      <w:pPr>
        <w:rPr>
          <w:lang w:eastAsia="zh-CN"/>
        </w:rPr>
      </w:pPr>
    </w:p>
    <w:p w14:paraId="4827B922" w14:textId="77777777" w:rsidR="00F06DCF" w:rsidRDefault="00F06DCF" w:rsidP="005F7760">
      <w:pPr>
        <w:rPr>
          <w:lang w:eastAsia="zh-CN"/>
        </w:rPr>
      </w:pPr>
    </w:p>
    <w:p w14:paraId="4827B923" w14:textId="77777777" w:rsidR="00F06DCF" w:rsidRDefault="00F06DCF" w:rsidP="005F7760">
      <w:pPr>
        <w:rPr>
          <w:lang w:eastAsia="zh-CN"/>
        </w:rPr>
      </w:pPr>
    </w:p>
    <w:p w14:paraId="4827B924" w14:textId="77777777" w:rsidR="00F06DCF" w:rsidRDefault="00F06DCF" w:rsidP="005F7760">
      <w:pPr>
        <w:rPr>
          <w:lang w:eastAsia="zh-CN"/>
        </w:rPr>
      </w:pPr>
    </w:p>
    <w:p w14:paraId="4827B925" w14:textId="77777777" w:rsidR="00F06DCF" w:rsidRDefault="00F06DCF" w:rsidP="005F7760">
      <w:pPr>
        <w:rPr>
          <w:lang w:eastAsia="zh-CN"/>
        </w:rPr>
      </w:pPr>
    </w:p>
    <w:p w14:paraId="4827B926" w14:textId="77777777" w:rsidR="00F06DCF" w:rsidRDefault="00F06DCF" w:rsidP="005F7760">
      <w:pPr>
        <w:rPr>
          <w:lang w:eastAsia="zh-CN"/>
        </w:rPr>
      </w:pPr>
    </w:p>
    <w:p w14:paraId="4827B927" w14:textId="77777777" w:rsidR="00F06DCF" w:rsidRDefault="00F06DCF" w:rsidP="005F7760">
      <w:pPr>
        <w:rPr>
          <w:lang w:eastAsia="zh-CN"/>
        </w:rPr>
      </w:pPr>
    </w:p>
    <w:p w14:paraId="4827B928" w14:textId="77777777" w:rsidR="005F7760" w:rsidRDefault="005F7760" w:rsidP="005F7760">
      <w:pPr>
        <w:rPr>
          <w:lang w:eastAsia="zh-CN"/>
        </w:rPr>
      </w:pPr>
    </w:p>
    <w:p w14:paraId="4827B929" w14:textId="77777777" w:rsidR="005F7760" w:rsidRDefault="005F7760" w:rsidP="005F7760">
      <w:pPr>
        <w:rPr>
          <w:lang w:eastAsia="zh-CN"/>
        </w:rPr>
      </w:pPr>
    </w:p>
    <w:p w14:paraId="4827B92A" w14:textId="77777777" w:rsidR="005F7760" w:rsidRPr="00AA53E2" w:rsidRDefault="005F7760" w:rsidP="005F7760">
      <w:pPr>
        <w:rPr>
          <w:lang w:eastAsia="zh-CN"/>
        </w:rPr>
        <w:sectPr w:rsidR="005F7760" w:rsidRPr="00AA53E2" w:rsidSect="00EC41DE">
          <w:headerReference w:type="even" r:id="rId476"/>
          <w:headerReference w:type="default" r:id="rId477"/>
          <w:footerReference w:type="default" r:id="rId478"/>
          <w:headerReference w:type="first" r:id="rId479"/>
          <w:footerReference w:type="first" r:id="rId480"/>
          <w:footnotePr>
            <w:pos w:val="beneathText"/>
          </w:footnotePr>
          <w:endnotePr>
            <w:numFmt w:val="decimal"/>
          </w:endnotePr>
          <w:pgSz w:w="11907" w:h="16840" w:code="9"/>
          <w:pgMar w:top="1418" w:right="1134" w:bottom="1134" w:left="1134" w:header="737" w:footer="567" w:gutter="284"/>
          <w:cols w:space="720"/>
          <w:vAlign w:val="both"/>
          <w:titlePg/>
        </w:sectPr>
      </w:pPr>
    </w:p>
    <w:p w14:paraId="4827B92B" w14:textId="77777777" w:rsidR="00F11D1D" w:rsidRPr="00EA3335" w:rsidRDefault="00F11D1D" w:rsidP="00EA3335">
      <w:pPr>
        <w:pStyle w:val="ChapNo"/>
        <w:spacing w:before="240"/>
        <w:rPr>
          <w:b w:val="0"/>
          <w:bCs/>
          <w:lang w:eastAsia="zh-CN"/>
        </w:rPr>
      </w:pPr>
      <w:bookmarkStart w:id="2365" w:name="_Toc185237745"/>
      <w:bookmarkStart w:id="2366" w:name="_Toc311469657"/>
      <w:bookmarkStart w:id="2367" w:name="_Toc424115678"/>
      <w:bookmarkStart w:id="2368" w:name="_Toc424116265"/>
      <w:bookmarkStart w:id="2369" w:name="_Toc424117115"/>
      <w:bookmarkStart w:id="2370" w:name="_Toc531707078"/>
      <w:bookmarkStart w:id="2371" w:name="_Toc531707158"/>
      <w:bookmarkStart w:id="2372" w:name="_Toc531768557"/>
      <w:bookmarkStart w:id="2373" w:name="_Toc16085884"/>
      <w:bookmarkStart w:id="2374" w:name="_Toc16173304"/>
      <w:bookmarkStart w:id="2375" w:name="_Toc16173761"/>
      <w:bookmarkStart w:id="2376" w:name="_Toc86395679"/>
      <w:r w:rsidRPr="00EA3335">
        <w:rPr>
          <w:b w:val="0"/>
          <w:bCs/>
          <w:lang w:eastAsia="zh-CN"/>
        </w:rPr>
        <w:lastRenderedPageBreak/>
        <w:t>6</w:t>
      </w:r>
      <w:r w:rsidRPr="00EA3335">
        <w:rPr>
          <w:b w:val="0"/>
          <w:bCs/>
          <w:lang w:eastAsia="zh-CN"/>
        </w:rPr>
        <w:tab/>
      </w:r>
      <w:bookmarkEnd w:id="2335"/>
      <w:r w:rsidR="00AA601A" w:rsidRPr="00EA3335">
        <w:rPr>
          <w:rFonts w:hint="eastAsia"/>
          <w:b w:val="0"/>
          <w:bCs/>
          <w:lang w:eastAsia="zh-CN"/>
        </w:rPr>
        <w:t>对外关系</w:t>
      </w:r>
      <w:bookmarkEnd w:id="2336"/>
      <w:bookmarkEnd w:id="2337"/>
      <w:bookmarkEnd w:id="2338"/>
      <w:bookmarkEnd w:id="2365"/>
      <w:bookmarkEnd w:id="2366"/>
      <w:bookmarkEnd w:id="2367"/>
      <w:bookmarkEnd w:id="2368"/>
      <w:bookmarkEnd w:id="2369"/>
      <w:bookmarkEnd w:id="2370"/>
      <w:bookmarkEnd w:id="2371"/>
      <w:bookmarkEnd w:id="2372"/>
      <w:bookmarkEnd w:id="2373"/>
      <w:bookmarkEnd w:id="2374"/>
      <w:bookmarkEnd w:id="2375"/>
      <w:bookmarkEnd w:id="2376"/>
    </w:p>
    <w:p w14:paraId="4827B92C" w14:textId="77777777" w:rsidR="00F11D1D" w:rsidRPr="00A84916" w:rsidRDefault="00F11D1D" w:rsidP="00EA3335">
      <w:pPr>
        <w:pStyle w:val="Chaptitle"/>
        <w:rPr>
          <w:lang w:eastAsia="zh-CN"/>
        </w:rPr>
      </w:pPr>
      <w:bookmarkStart w:id="2377" w:name="_Toc81880159"/>
      <w:bookmarkStart w:id="2378" w:name="_Toc161224102"/>
      <w:bookmarkStart w:id="2379" w:name="_Toc161732148"/>
      <w:bookmarkStart w:id="2380" w:name="_Toc161741080"/>
      <w:bookmarkStart w:id="2381" w:name="_Toc185237746"/>
      <w:bookmarkStart w:id="2382" w:name="_Toc311469658"/>
      <w:bookmarkStart w:id="2383" w:name="_Toc424117116"/>
      <w:bookmarkStart w:id="2384" w:name="_Toc531706466"/>
      <w:bookmarkStart w:id="2385" w:name="_Toc531707079"/>
      <w:bookmarkStart w:id="2386" w:name="_Toc531768558"/>
      <w:bookmarkStart w:id="2387" w:name="_Toc16085885"/>
      <w:bookmarkStart w:id="2388" w:name="_Toc86395680"/>
      <w:r w:rsidRPr="00A84916">
        <w:rPr>
          <w:lang w:eastAsia="zh-CN"/>
        </w:rPr>
        <w:t>6.1</w:t>
      </w:r>
      <w:r w:rsidRPr="00A84916">
        <w:rPr>
          <w:lang w:eastAsia="zh-CN"/>
        </w:rPr>
        <w:tab/>
      </w:r>
      <w:bookmarkEnd w:id="2377"/>
      <w:r w:rsidR="00AA601A" w:rsidRPr="00A84916">
        <w:rPr>
          <w:rFonts w:hint="eastAsia"/>
          <w:lang w:eastAsia="zh-CN"/>
        </w:rPr>
        <w:t>国际电联成员</w:t>
      </w:r>
      <w:bookmarkEnd w:id="2378"/>
      <w:bookmarkEnd w:id="2379"/>
      <w:bookmarkEnd w:id="2380"/>
      <w:bookmarkEnd w:id="2381"/>
      <w:bookmarkEnd w:id="2382"/>
      <w:bookmarkEnd w:id="2383"/>
      <w:bookmarkEnd w:id="2384"/>
      <w:bookmarkEnd w:id="2385"/>
      <w:bookmarkEnd w:id="2386"/>
      <w:bookmarkEnd w:id="2387"/>
      <w:bookmarkEnd w:id="2388"/>
    </w:p>
    <w:p w14:paraId="4827B92D" w14:textId="77777777" w:rsidR="00B50F58" w:rsidRDefault="002F0D08" w:rsidP="000D18CD">
      <w:pPr>
        <w:pStyle w:val="ResNo"/>
        <w:outlineLvl w:val="0"/>
        <w:rPr>
          <w:lang w:eastAsia="zh-CN"/>
        </w:rPr>
      </w:pPr>
      <w:bookmarkStart w:id="2389" w:name="_Toc424117117"/>
      <w:bookmarkStart w:id="2390" w:name="_Toc531706467"/>
      <w:bookmarkStart w:id="2391" w:name="_Toc531707080"/>
      <w:bookmarkStart w:id="2392" w:name="_Toc531768559"/>
      <w:bookmarkStart w:id="2393" w:name="_Toc16085886"/>
      <w:bookmarkStart w:id="2394" w:name="_Toc86395681"/>
      <w:bookmarkStart w:id="2395" w:name="_Toc161224103"/>
      <w:bookmarkStart w:id="2396" w:name="_Toc161732149"/>
      <w:bookmarkStart w:id="2397" w:name="_Toc161741081"/>
      <w:bookmarkStart w:id="2398" w:name="_Toc185237747"/>
      <w:bookmarkStart w:id="2399" w:name="_Toc311469659"/>
      <w:r>
        <w:rPr>
          <w:rFonts w:hint="eastAsia"/>
          <w:lang w:eastAsia="zh-CN"/>
        </w:rPr>
        <w:t>第</w:t>
      </w:r>
      <w:r>
        <w:rPr>
          <w:lang w:eastAsia="zh-CN"/>
        </w:rPr>
        <w:t>88</w:t>
      </w:r>
      <w:r>
        <w:rPr>
          <w:rFonts w:hint="eastAsia"/>
          <w:lang w:eastAsia="zh-CN"/>
        </w:rPr>
        <w:t>号决议</w:t>
      </w:r>
      <w:r w:rsidR="00B50F58">
        <w:rPr>
          <w:rFonts w:hint="eastAsia"/>
          <w:lang w:eastAsia="zh-CN"/>
        </w:rPr>
        <w:t>（</w:t>
      </w:r>
      <w:r w:rsidR="00B50F58" w:rsidRPr="006F4CAC">
        <w:rPr>
          <w:lang w:eastAsia="zh-CN"/>
        </w:rPr>
        <w:t>C-1948</w:t>
      </w:r>
      <w:r w:rsidR="00B50F58">
        <w:rPr>
          <w:rFonts w:hint="eastAsia"/>
          <w:lang w:eastAsia="zh-CN"/>
        </w:rPr>
        <w:t>，</w:t>
      </w:r>
      <w:r w:rsidR="00B50F58" w:rsidRPr="006F4CAC">
        <w:rPr>
          <w:rFonts w:hint="eastAsia"/>
          <w:lang w:eastAsia="zh-CN"/>
        </w:rPr>
        <w:t>最后修正</w:t>
      </w:r>
      <w:r w:rsidR="00B50F58" w:rsidRPr="006F4CAC">
        <w:rPr>
          <w:lang w:eastAsia="zh-CN"/>
        </w:rPr>
        <w:t>C-1976</w:t>
      </w:r>
      <w:r w:rsidR="00B50F58">
        <w:rPr>
          <w:rFonts w:hint="eastAsia"/>
          <w:lang w:val="en-US" w:eastAsia="zh-CN"/>
        </w:rPr>
        <w:t>）</w:t>
      </w:r>
      <w:bookmarkEnd w:id="2389"/>
      <w:bookmarkEnd w:id="2390"/>
      <w:bookmarkEnd w:id="2391"/>
      <w:bookmarkEnd w:id="2392"/>
      <w:bookmarkEnd w:id="2393"/>
      <w:bookmarkEnd w:id="2394"/>
    </w:p>
    <w:p w14:paraId="4827B92E" w14:textId="77777777" w:rsidR="002F0D08" w:rsidRPr="00B50F58" w:rsidRDefault="002F0D08" w:rsidP="00B50F58">
      <w:pPr>
        <w:pStyle w:val="Restitle"/>
        <w:rPr>
          <w:lang w:eastAsia="zh-CN"/>
        </w:rPr>
      </w:pPr>
      <w:bookmarkStart w:id="2400" w:name="_Toc424116266"/>
      <w:bookmarkStart w:id="2401" w:name="_Toc424117118"/>
      <w:bookmarkStart w:id="2402" w:name="_Toc460248231"/>
      <w:bookmarkStart w:id="2403" w:name="_Toc531706468"/>
      <w:bookmarkStart w:id="2404" w:name="_Toc531707081"/>
      <w:bookmarkStart w:id="2405" w:name="_Toc531768560"/>
      <w:bookmarkStart w:id="2406" w:name="_Toc16085887"/>
      <w:bookmarkStart w:id="2407" w:name="_Toc86395682"/>
      <w:r w:rsidRPr="00B50F58">
        <w:rPr>
          <w:rFonts w:hint="eastAsia"/>
          <w:lang w:eastAsia="zh-CN"/>
        </w:rPr>
        <w:t>国际电联总秘书处与非国际电联成员国的</w:t>
      </w:r>
      <w:r w:rsidR="00B50F58">
        <w:rPr>
          <w:lang w:eastAsia="zh-CN"/>
        </w:rPr>
        <w:br/>
      </w:r>
      <w:r w:rsidRPr="00B50F58">
        <w:rPr>
          <w:rFonts w:hint="eastAsia"/>
          <w:lang w:eastAsia="zh-CN"/>
        </w:rPr>
        <w:t>国家或主管部门的关系</w:t>
      </w:r>
      <w:bookmarkEnd w:id="2395"/>
      <w:bookmarkEnd w:id="2396"/>
      <w:bookmarkEnd w:id="2397"/>
      <w:bookmarkEnd w:id="2398"/>
      <w:bookmarkEnd w:id="2399"/>
      <w:bookmarkEnd w:id="2400"/>
      <w:bookmarkEnd w:id="2401"/>
      <w:bookmarkEnd w:id="2402"/>
      <w:bookmarkEnd w:id="2403"/>
      <w:bookmarkEnd w:id="2404"/>
      <w:bookmarkEnd w:id="2405"/>
      <w:bookmarkEnd w:id="2406"/>
      <w:bookmarkEnd w:id="2407"/>
    </w:p>
    <w:p w14:paraId="4827B92F" w14:textId="77777777" w:rsidR="00AA601A" w:rsidRPr="00B50F58" w:rsidRDefault="00AA601A" w:rsidP="00B50F58">
      <w:pPr>
        <w:pStyle w:val="Normalaftertitle"/>
        <w:rPr>
          <w:lang w:eastAsia="zh-CN"/>
        </w:rPr>
      </w:pPr>
      <w:r w:rsidRPr="00B50F58">
        <w:rPr>
          <w:rFonts w:hint="eastAsia"/>
          <w:lang w:eastAsia="zh-CN"/>
        </w:rPr>
        <w:t>理事会，</w:t>
      </w:r>
    </w:p>
    <w:p w14:paraId="4827B930" w14:textId="77777777" w:rsidR="00AA601A" w:rsidRDefault="00AA601A" w:rsidP="00B50F58">
      <w:pPr>
        <w:rPr>
          <w:lang w:eastAsia="zh-CN"/>
        </w:rPr>
      </w:pPr>
      <w:r>
        <w:rPr>
          <w:lang w:eastAsia="zh-CN"/>
        </w:rPr>
        <w:tab/>
      </w:r>
      <w:r>
        <w:rPr>
          <w:rFonts w:eastAsia="STKaiti" w:hint="eastAsia"/>
          <w:iCs/>
          <w:lang w:eastAsia="zh-CN"/>
        </w:rPr>
        <w:t>考虑到</w:t>
      </w:r>
      <w:r>
        <w:rPr>
          <w:rFonts w:hint="eastAsia"/>
          <w:iCs/>
          <w:lang w:eastAsia="zh-CN"/>
        </w:rPr>
        <w:t>应该</w:t>
      </w:r>
      <w:r>
        <w:rPr>
          <w:rFonts w:hint="eastAsia"/>
          <w:lang w:eastAsia="zh-CN"/>
        </w:rPr>
        <w:t>就秘书长在收到非国际电联成员国的国家或主管部门的来函以及应这些国家或主管部门的要求分发国际电联文件时应采取何种态度的问题，给予准确指示意见，</w:t>
      </w:r>
    </w:p>
    <w:p w14:paraId="4827B931" w14:textId="77777777" w:rsidR="00AA601A" w:rsidRDefault="00AA601A" w:rsidP="00B64353">
      <w:pPr>
        <w:pStyle w:val="Call"/>
        <w:rPr>
          <w:lang w:eastAsia="zh-CN"/>
        </w:rPr>
      </w:pPr>
      <w:r>
        <w:rPr>
          <w:rFonts w:hint="eastAsia"/>
          <w:lang w:eastAsia="zh-CN"/>
        </w:rPr>
        <w:t>做出决议</w:t>
      </w:r>
    </w:p>
    <w:p w14:paraId="4827B932" w14:textId="77777777" w:rsidR="00AA601A" w:rsidRDefault="00AA601A" w:rsidP="00B50F58">
      <w:pPr>
        <w:rPr>
          <w:lang w:eastAsia="zh-CN"/>
        </w:rPr>
      </w:pPr>
      <w:r>
        <w:rPr>
          <w:lang w:eastAsia="zh-CN"/>
        </w:rPr>
        <w:t>1</w:t>
      </w:r>
      <w:r w:rsidR="00E04370">
        <w:rPr>
          <w:lang w:eastAsia="zh-CN"/>
        </w:rPr>
        <w:tab/>
      </w:r>
      <w:r>
        <w:rPr>
          <w:rFonts w:hint="eastAsia"/>
          <w:lang w:eastAsia="zh-CN"/>
        </w:rPr>
        <w:t>除下文所列的例外情况外，秘书长可以与成员国联络或向成员国分发文件；</w:t>
      </w:r>
    </w:p>
    <w:p w14:paraId="4827B933" w14:textId="77777777" w:rsidR="00AA601A" w:rsidRDefault="00AA601A" w:rsidP="00B50F58">
      <w:pPr>
        <w:rPr>
          <w:lang w:eastAsia="zh-CN"/>
        </w:rPr>
      </w:pPr>
      <w:r>
        <w:rPr>
          <w:lang w:eastAsia="zh-CN"/>
        </w:rPr>
        <w:t>2</w:t>
      </w:r>
      <w:r w:rsidR="00E04370">
        <w:rPr>
          <w:lang w:eastAsia="zh-CN"/>
        </w:rPr>
        <w:tab/>
      </w:r>
      <w:r>
        <w:rPr>
          <w:rFonts w:hint="eastAsia"/>
          <w:lang w:eastAsia="zh-CN"/>
        </w:rPr>
        <w:t>秘书长有权与上述第</w:t>
      </w:r>
      <w:r>
        <w:rPr>
          <w:lang w:eastAsia="zh-CN"/>
        </w:rPr>
        <w:t>1</w:t>
      </w:r>
      <w:r>
        <w:rPr>
          <w:rFonts w:hint="eastAsia"/>
          <w:lang w:eastAsia="zh-CN"/>
        </w:rPr>
        <w:t>段中未提到的国家或主管部门联络以便通知它们加入国际电联并履行《公约》或法规，或者他们根据《公约》规定的程序递交了加入电联的正式请求；</w:t>
      </w:r>
    </w:p>
    <w:p w14:paraId="4827B934" w14:textId="77777777" w:rsidR="00AA601A" w:rsidRDefault="00AA601A" w:rsidP="00B50F58">
      <w:pPr>
        <w:rPr>
          <w:lang w:eastAsia="zh-CN"/>
        </w:rPr>
      </w:pPr>
      <w:r>
        <w:rPr>
          <w:lang w:eastAsia="zh-CN"/>
        </w:rPr>
        <w:t>3</w:t>
      </w:r>
      <w:r w:rsidR="00E04370">
        <w:rPr>
          <w:lang w:eastAsia="zh-CN"/>
        </w:rPr>
        <w:tab/>
      </w:r>
      <w:r>
        <w:rPr>
          <w:rFonts w:hint="eastAsia"/>
          <w:lang w:eastAsia="zh-CN"/>
        </w:rPr>
        <w:t>当收到非国际电联成员国的国家或主管部门的其他来函时，秘书长可以采取以下步骤：</w:t>
      </w:r>
    </w:p>
    <w:p w14:paraId="4827B935" w14:textId="77777777" w:rsidR="00AA601A" w:rsidRPr="00B50F58" w:rsidRDefault="00AA601A" w:rsidP="00B72C24">
      <w:pPr>
        <w:pStyle w:val="enumlev1"/>
        <w:rPr>
          <w:lang w:eastAsia="zh-CN"/>
        </w:rPr>
      </w:pPr>
      <w:r>
        <w:rPr>
          <w:lang w:eastAsia="zh-CN"/>
        </w:rPr>
        <w:t>a</w:t>
      </w:r>
      <w:r w:rsidR="000E6A83">
        <w:rPr>
          <w:lang w:eastAsia="zh-CN"/>
        </w:rPr>
        <w:t>)</w:t>
      </w:r>
      <w:r w:rsidR="000E6A83">
        <w:rPr>
          <w:lang w:eastAsia="zh-CN"/>
        </w:rPr>
        <w:tab/>
      </w:r>
      <w:r>
        <w:rPr>
          <w:rFonts w:hint="eastAsia"/>
          <w:lang w:eastAsia="zh-CN"/>
        </w:rPr>
        <w:t>如果来函</w:t>
      </w:r>
      <w:r w:rsidRPr="00B50F58">
        <w:rPr>
          <w:rFonts w:hint="eastAsia"/>
          <w:lang w:eastAsia="zh-CN"/>
        </w:rPr>
        <w:t>涉及通常应由理事会进行审议或做出决议的政策问题，或者当秘书长并不确信时，他应当仅发函确认妥收，并告知发信人信函将转交给理事会；</w:t>
      </w:r>
    </w:p>
    <w:p w14:paraId="4827B936" w14:textId="77777777" w:rsidR="00AA601A" w:rsidRDefault="00AA601A" w:rsidP="00B72C24">
      <w:pPr>
        <w:pStyle w:val="enumlev1"/>
        <w:rPr>
          <w:lang w:eastAsia="zh-CN"/>
        </w:rPr>
      </w:pPr>
      <w:r w:rsidRPr="00B50F58">
        <w:rPr>
          <w:lang w:eastAsia="zh-CN"/>
        </w:rPr>
        <w:t>b</w:t>
      </w:r>
      <w:r w:rsidR="000E6A83" w:rsidRPr="00B50F58">
        <w:rPr>
          <w:rFonts w:hint="eastAsia"/>
          <w:lang w:eastAsia="zh-CN"/>
        </w:rPr>
        <w:t>)</w:t>
      </w:r>
      <w:r w:rsidRPr="00B50F58">
        <w:rPr>
          <w:lang w:eastAsia="zh-CN"/>
        </w:rPr>
        <w:tab/>
      </w:r>
      <w:r w:rsidRPr="00B50F58">
        <w:rPr>
          <w:rFonts w:hint="eastAsia"/>
          <w:lang w:eastAsia="zh-CN"/>
        </w:rPr>
        <w:t>如果来函明是涉及电信服务的事务性函件，秘书长应当发函确认妥收并告知发信人来函的副本将</w:t>
      </w:r>
      <w:r>
        <w:rPr>
          <w:rFonts w:hint="eastAsia"/>
          <w:lang w:eastAsia="zh-CN"/>
        </w:rPr>
        <w:t>送达国际电联成员国，并应根据具体情况采取相应的行动；</w:t>
      </w:r>
    </w:p>
    <w:p w14:paraId="4827B937" w14:textId="77777777" w:rsidR="00AA601A" w:rsidRDefault="00AA601A" w:rsidP="00B50F58">
      <w:pPr>
        <w:rPr>
          <w:lang w:eastAsia="zh-CN"/>
        </w:rPr>
      </w:pPr>
      <w:r>
        <w:rPr>
          <w:lang w:eastAsia="zh-CN"/>
        </w:rPr>
        <w:t>4.1</w:t>
      </w:r>
      <w:r>
        <w:rPr>
          <w:lang w:eastAsia="zh-CN"/>
        </w:rPr>
        <w:tab/>
      </w:r>
      <w:r>
        <w:rPr>
          <w:rFonts w:hint="eastAsia"/>
          <w:lang w:eastAsia="zh-CN"/>
        </w:rPr>
        <w:t>在上述第</w:t>
      </w:r>
      <w:r>
        <w:rPr>
          <w:lang w:eastAsia="zh-CN"/>
        </w:rPr>
        <w:t>3b</w:t>
      </w:r>
      <w:r w:rsidR="00CC7643">
        <w:rPr>
          <w:lang w:eastAsia="zh-CN"/>
        </w:rPr>
        <w:t>)</w:t>
      </w:r>
      <w:r>
        <w:rPr>
          <w:rFonts w:hint="eastAsia"/>
          <w:lang w:eastAsia="zh-CN"/>
        </w:rPr>
        <w:t>段的情形下，秘书长应当以“来自国际电联外部的信息”为题公布收到的信函并附以说明：公布该信息并不意味着发信人在</w:t>
      </w:r>
      <w:r w:rsidR="002B2AD2">
        <w:rPr>
          <w:rFonts w:hint="eastAsia"/>
          <w:lang w:eastAsia="zh-CN"/>
        </w:rPr>
        <w:t>国际</w:t>
      </w:r>
      <w:r>
        <w:rPr>
          <w:rFonts w:hint="eastAsia"/>
          <w:lang w:eastAsia="zh-CN"/>
        </w:rPr>
        <w:t>电联的地位得到了承认；</w:t>
      </w:r>
    </w:p>
    <w:p w14:paraId="4827B938" w14:textId="77777777" w:rsidR="00AA601A" w:rsidRDefault="00AA601A" w:rsidP="00B50F58">
      <w:pPr>
        <w:rPr>
          <w:lang w:eastAsia="zh-CN"/>
        </w:rPr>
      </w:pPr>
      <w:r>
        <w:rPr>
          <w:lang w:eastAsia="zh-CN"/>
        </w:rPr>
        <w:t>4.2</w:t>
      </w:r>
      <w:r>
        <w:rPr>
          <w:lang w:eastAsia="zh-CN"/>
        </w:rPr>
        <w:tab/>
      </w:r>
      <w:r>
        <w:rPr>
          <w:rFonts w:hint="eastAsia"/>
          <w:lang w:eastAsia="zh-CN"/>
        </w:rPr>
        <w:t>然而，如果收到的信息的性质致使应将其纳入正式文件，则它们不应单独公布，而应纳入相应文件，标题和解释性说明参见第</w:t>
      </w:r>
      <w:r>
        <w:rPr>
          <w:lang w:eastAsia="zh-CN"/>
        </w:rPr>
        <w:t>4.1</w:t>
      </w:r>
      <w:r>
        <w:rPr>
          <w:rFonts w:hint="eastAsia"/>
          <w:lang w:eastAsia="zh-CN"/>
        </w:rPr>
        <w:t>段；</w:t>
      </w:r>
    </w:p>
    <w:p w14:paraId="4827B939" w14:textId="77777777" w:rsidR="00AA601A" w:rsidRDefault="00AA601A" w:rsidP="00B50F58">
      <w:pPr>
        <w:rPr>
          <w:lang w:eastAsia="zh-CN"/>
        </w:rPr>
      </w:pPr>
      <w:r>
        <w:rPr>
          <w:lang w:eastAsia="zh-CN"/>
        </w:rPr>
        <w:t>5.1</w:t>
      </w:r>
      <w:r>
        <w:rPr>
          <w:lang w:eastAsia="zh-CN"/>
        </w:rPr>
        <w:tab/>
      </w:r>
      <w:r>
        <w:rPr>
          <w:rFonts w:hint="eastAsia"/>
          <w:lang w:eastAsia="zh-CN"/>
        </w:rPr>
        <w:t>对公开出售的文件的请求可以在付费后予以满足；</w:t>
      </w:r>
    </w:p>
    <w:p w14:paraId="4827B93A" w14:textId="77777777" w:rsidR="00FD528B" w:rsidRDefault="00FD528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93B" w14:textId="77777777" w:rsidR="00AA601A" w:rsidRDefault="00AA601A" w:rsidP="00B50F58">
      <w:pPr>
        <w:rPr>
          <w:lang w:eastAsia="zh-CN"/>
        </w:rPr>
      </w:pPr>
      <w:r>
        <w:rPr>
          <w:lang w:eastAsia="zh-CN"/>
        </w:rPr>
        <w:lastRenderedPageBreak/>
        <w:t>5.2</w:t>
      </w:r>
      <w:r>
        <w:rPr>
          <w:lang w:eastAsia="zh-CN"/>
        </w:rPr>
        <w:tab/>
      </w:r>
      <w:r>
        <w:rPr>
          <w:rFonts w:hint="eastAsia"/>
          <w:lang w:eastAsia="zh-CN"/>
        </w:rPr>
        <w:t>对于任何人或组织要求提供由秘书长向国际电联成员国免费提供的所有的通知、来函和通函，在按照秘书长确定的价格付费之后，可以向其提供上述文件。</w:t>
      </w:r>
    </w:p>
    <w:p w14:paraId="4827B93C" w14:textId="77777777" w:rsidR="00AA601A" w:rsidRDefault="00AA601A" w:rsidP="00B50F58">
      <w:pPr>
        <w:rPr>
          <w:lang w:eastAsia="zh-CN"/>
        </w:rPr>
      </w:pPr>
      <w:r>
        <w:rPr>
          <w:lang w:eastAsia="zh-CN"/>
        </w:rPr>
        <w:t>6</w:t>
      </w:r>
      <w:r w:rsidR="00E04370">
        <w:rPr>
          <w:lang w:eastAsia="zh-CN"/>
        </w:rPr>
        <w:tab/>
      </w:r>
      <w:r>
        <w:rPr>
          <w:rFonts w:hint="eastAsia"/>
          <w:lang w:eastAsia="zh-CN"/>
        </w:rPr>
        <w:t>在德国重新成为成员国之前，秘书长有权与德国盟国</w:t>
      </w:r>
      <w:r w:rsidR="00397A39">
        <w:rPr>
          <w:rFonts w:hint="eastAsia"/>
          <w:lang w:eastAsia="zh-CN"/>
        </w:rPr>
        <w:t>监管</w:t>
      </w:r>
      <w:r>
        <w:rPr>
          <w:rFonts w:hint="eastAsia"/>
          <w:lang w:eastAsia="zh-CN"/>
        </w:rPr>
        <w:t>委员会联络；作为具体措施，秘书长被临时授权按目前有效的做法与德国占领区联络。</w:t>
      </w:r>
    </w:p>
    <w:p w14:paraId="4827B93D" w14:textId="77777777" w:rsidR="00F11D1D" w:rsidRPr="00781F81" w:rsidRDefault="00AA601A" w:rsidP="00B50F58">
      <w:pPr>
        <w:pStyle w:val="Endtext"/>
        <w:rPr>
          <w:lang w:val="en-GB"/>
        </w:rPr>
      </w:pPr>
      <w:r>
        <w:rPr>
          <w:rFonts w:hint="eastAsia"/>
          <w:lang w:eastAsia="zh-CN"/>
        </w:rPr>
        <w:t>参阅</w:t>
      </w:r>
      <w:r w:rsidRPr="00781F81">
        <w:rPr>
          <w:rFonts w:ascii="STKaiti" w:hAnsi="SimSun" w:hint="eastAsia"/>
          <w:lang w:val="en-GB" w:eastAsia="zh-CN"/>
        </w:rPr>
        <w:t>：</w:t>
      </w:r>
      <w:r w:rsidRPr="00781F81">
        <w:rPr>
          <w:lang w:val="en-GB"/>
        </w:rPr>
        <w:tab/>
        <w:t>265/CA3</w:t>
      </w:r>
      <w:r w:rsidRPr="00781F81">
        <w:rPr>
          <w:lang w:val="en-GB"/>
        </w:rPr>
        <w:t>（</w:t>
      </w:r>
      <w:r w:rsidRPr="00781F81">
        <w:rPr>
          <w:lang w:val="en-GB"/>
        </w:rPr>
        <w:t>1948</w:t>
      </w:r>
      <w:r>
        <w:rPr>
          <w:rFonts w:hint="eastAsia"/>
          <w:lang w:val="es-ES" w:eastAsia="zh-CN"/>
        </w:rPr>
        <w:t>年</w:t>
      </w:r>
      <w:r w:rsidRPr="00781F81">
        <w:rPr>
          <w:lang w:val="en-GB"/>
        </w:rPr>
        <w:t>）</w:t>
      </w:r>
      <w:r w:rsidRPr="00781F81">
        <w:rPr>
          <w:rFonts w:hint="eastAsia"/>
          <w:lang w:val="en-GB" w:eastAsia="zh-CN"/>
        </w:rPr>
        <w:t>，</w:t>
      </w:r>
      <w:r w:rsidRPr="00781F81">
        <w:rPr>
          <w:lang w:val="en-GB"/>
        </w:rPr>
        <w:t>549/CA4</w:t>
      </w:r>
      <w:r w:rsidRPr="00781F81">
        <w:rPr>
          <w:lang w:val="en-GB"/>
        </w:rPr>
        <w:t>（</w:t>
      </w:r>
      <w:r w:rsidRPr="00781F81">
        <w:rPr>
          <w:lang w:val="en-GB"/>
        </w:rPr>
        <w:t>1949</w:t>
      </w:r>
      <w:r>
        <w:rPr>
          <w:rFonts w:hint="eastAsia"/>
          <w:lang w:val="es-ES" w:eastAsia="zh-CN"/>
        </w:rPr>
        <w:t>年</w:t>
      </w:r>
      <w:r w:rsidRPr="00781F81">
        <w:rPr>
          <w:lang w:val="en-GB"/>
        </w:rPr>
        <w:t>）</w:t>
      </w:r>
      <w:r w:rsidRPr="00781F81">
        <w:rPr>
          <w:rFonts w:hint="eastAsia"/>
          <w:lang w:val="en-GB" w:eastAsia="zh-CN"/>
        </w:rPr>
        <w:t>，</w:t>
      </w:r>
      <w:r w:rsidRPr="00781F81">
        <w:rPr>
          <w:lang w:val="en-GB"/>
        </w:rPr>
        <w:t>803/CA5</w:t>
      </w:r>
      <w:r w:rsidRPr="00781F81">
        <w:rPr>
          <w:lang w:val="en-GB"/>
        </w:rPr>
        <w:t>（</w:t>
      </w:r>
      <w:r w:rsidRPr="00781F81">
        <w:rPr>
          <w:lang w:val="en-GB"/>
        </w:rPr>
        <w:t>1950</w:t>
      </w:r>
      <w:r>
        <w:rPr>
          <w:rFonts w:hint="eastAsia"/>
          <w:lang w:val="es-ES" w:eastAsia="zh-CN"/>
        </w:rPr>
        <w:t>年</w:t>
      </w:r>
      <w:r w:rsidRPr="00781F81">
        <w:rPr>
          <w:lang w:val="en-GB"/>
        </w:rPr>
        <w:t>）</w:t>
      </w:r>
      <w:r>
        <w:rPr>
          <w:rFonts w:hint="eastAsia"/>
          <w:lang w:val="en-US" w:eastAsia="zh-CN"/>
        </w:rPr>
        <w:t>，</w:t>
      </w:r>
      <w:r w:rsidRPr="00781F81">
        <w:rPr>
          <w:lang w:val="en-GB"/>
        </w:rPr>
        <w:t>1606/CA9</w:t>
      </w:r>
      <w:r w:rsidR="00B50F58" w:rsidRPr="00781F81">
        <w:rPr>
          <w:lang w:val="en-GB"/>
        </w:rPr>
        <w:br/>
      </w:r>
      <w:r w:rsidRPr="00781F81">
        <w:rPr>
          <w:lang w:val="en-GB"/>
        </w:rPr>
        <w:t>（</w:t>
      </w:r>
      <w:r w:rsidRPr="00781F81">
        <w:rPr>
          <w:lang w:val="en-GB"/>
        </w:rPr>
        <w:t>1954</w:t>
      </w:r>
      <w:r>
        <w:rPr>
          <w:rFonts w:hint="eastAsia"/>
          <w:lang w:val="es-ES" w:eastAsia="zh-CN"/>
        </w:rPr>
        <w:t>年</w:t>
      </w:r>
      <w:r w:rsidRPr="00781F81">
        <w:rPr>
          <w:lang w:val="en-GB"/>
        </w:rPr>
        <w:t>）</w:t>
      </w:r>
      <w:r w:rsidRPr="00781F81">
        <w:rPr>
          <w:rFonts w:hint="eastAsia"/>
          <w:lang w:val="en-GB" w:eastAsia="zh-CN"/>
        </w:rPr>
        <w:t>，</w:t>
      </w:r>
      <w:r w:rsidRPr="00781F81">
        <w:rPr>
          <w:lang w:val="en-GB"/>
        </w:rPr>
        <w:t>4965/CA31</w:t>
      </w:r>
      <w:r w:rsidRPr="00781F81">
        <w:rPr>
          <w:lang w:val="en-GB"/>
        </w:rPr>
        <w:t>（</w:t>
      </w:r>
      <w:r w:rsidRPr="00781F81">
        <w:rPr>
          <w:lang w:val="en-GB"/>
        </w:rPr>
        <w:t>1976</w:t>
      </w:r>
      <w:r>
        <w:rPr>
          <w:rFonts w:hint="eastAsia"/>
          <w:lang w:val="es-ES" w:eastAsia="zh-CN"/>
        </w:rPr>
        <w:t>年</w:t>
      </w:r>
      <w:r w:rsidRPr="00781F81">
        <w:rPr>
          <w:lang w:val="en-GB"/>
        </w:rPr>
        <w:t>）</w:t>
      </w:r>
      <w:r>
        <w:rPr>
          <w:rFonts w:ascii="SimSun" w:hAnsi="SimSun" w:hint="eastAsia"/>
          <w:lang w:eastAsia="zh-CN"/>
        </w:rPr>
        <w:t>号文件。</w:t>
      </w:r>
    </w:p>
    <w:p w14:paraId="4827B93E" w14:textId="77777777" w:rsidR="00FD528B" w:rsidRDefault="00FD528B" w:rsidP="00FD528B">
      <w:pPr>
        <w:jc w:val="center"/>
        <w:rPr>
          <w:lang w:eastAsia="zh-CN"/>
        </w:rPr>
      </w:pPr>
      <w:bookmarkStart w:id="2408" w:name="_Toc424117119"/>
      <w:bookmarkStart w:id="2409" w:name="_Toc531706469"/>
      <w:bookmarkStart w:id="2410" w:name="_Toc531707082"/>
      <w:bookmarkStart w:id="2411" w:name="_Toc531768561"/>
      <w:bookmarkStart w:id="2412" w:name="_Toc161224104"/>
      <w:bookmarkStart w:id="2413" w:name="_Toc161732150"/>
      <w:bookmarkStart w:id="2414" w:name="_Toc161741082"/>
      <w:bookmarkStart w:id="2415" w:name="_Toc185237748"/>
      <w:bookmarkStart w:id="2416" w:name="_Toc311469660"/>
      <w:r>
        <w:rPr>
          <w:lang w:eastAsia="zh-CN"/>
        </w:rPr>
        <w:t>______________</w:t>
      </w:r>
    </w:p>
    <w:p w14:paraId="4827B93F" w14:textId="77777777" w:rsidR="00B50F58" w:rsidRDefault="00AA601A" w:rsidP="000D18CD">
      <w:pPr>
        <w:pStyle w:val="ResNo"/>
        <w:outlineLvl w:val="0"/>
        <w:rPr>
          <w:lang w:eastAsia="zh-CN"/>
        </w:rPr>
      </w:pPr>
      <w:bookmarkStart w:id="2417" w:name="_Toc16085888"/>
      <w:bookmarkStart w:id="2418" w:name="_Toc86395683"/>
      <w:r>
        <w:rPr>
          <w:rFonts w:hint="eastAsia"/>
          <w:lang w:eastAsia="zh-CN"/>
        </w:rPr>
        <w:t>第</w:t>
      </w:r>
      <w:r>
        <w:rPr>
          <w:lang w:eastAsia="zh-CN"/>
        </w:rPr>
        <w:t>177</w:t>
      </w:r>
      <w:r>
        <w:rPr>
          <w:rFonts w:hint="eastAsia"/>
          <w:lang w:eastAsia="zh-CN"/>
        </w:rPr>
        <w:t>号决议</w:t>
      </w:r>
      <w:r w:rsidR="00B50F58">
        <w:rPr>
          <w:rFonts w:hint="eastAsia"/>
          <w:lang w:eastAsia="zh-CN"/>
        </w:rPr>
        <w:t>（</w:t>
      </w:r>
      <w:r w:rsidR="00B50F58" w:rsidRPr="006F4CAC">
        <w:rPr>
          <w:lang w:eastAsia="zh-CN"/>
        </w:rPr>
        <w:t>C-1950</w:t>
      </w:r>
      <w:r w:rsidR="00B50F58">
        <w:rPr>
          <w:rFonts w:hint="eastAsia"/>
          <w:lang w:eastAsia="zh-CN"/>
        </w:rPr>
        <w:t>）</w:t>
      </w:r>
      <w:bookmarkEnd w:id="2408"/>
      <w:bookmarkEnd w:id="2409"/>
      <w:bookmarkEnd w:id="2410"/>
      <w:bookmarkEnd w:id="2411"/>
      <w:bookmarkEnd w:id="2417"/>
      <w:bookmarkEnd w:id="2418"/>
    </w:p>
    <w:p w14:paraId="4827B940" w14:textId="77777777" w:rsidR="00AA601A" w:rsidRPr="00B50F58" w:rsidRDefault="00AA601A" w:rsidP="00B50F58">
      <w:pPr>
        <w:pStyle w:val="Restitle"/>
        <w:rPr>
          <w:lang w:eastAsia="zh-CN"/>
        </w:rPr>
      </w:pPr>
      <w:bookmarkStart w:id="2419" w:name="_Toc424116267"/>
      <w:bookmarkStart w:id="2420" w:name="_Toc424117120"/>
      <w:bookmarkStart w:id="2421" w:name="_Toc460248233"/>
      <w:bookmarkStart w:id="2422" w:name="_Toc531706470"/>
      <w:bookmarkStart w:id="2423" w:name="_Toc531707083"/>
      <w:bookmarkStart w:id="2424" w:name="_Toc531768562"/>
      <w:bookmarkStart w:id="2425" w:name="_Toc16085889"/>
      <w:bookmarkStart w:id="2426" w:name="_Toc86395684"/>
      <w:r w:rsidRPr="00B50F58">
        <w:rPr>
          <w:rFonts w:hint="eastAsia"/>
          <w:lang w:eastAsia="zh-CN"/>
        </w:rPr>
        <w:t>致各主管部门的通函电报</w:t>
      </w:r>
      <w:bookmarkEnd w:id="2412"/>
      <w:bookmarkEnd w:id="2413"/>
      <w:bookmarkEnd w:id="2414"/>
      <w:bookmarkEnd w:id="2415"/>
      <w:bookmarkEnd w:id="2416"/>
      <w:bookmarkEnd w:id="2419"/>
      <w:bookmarkEnd w:id="2420"/>
      <w:bookmarkEnd w:id="2421"/>
      <w:bookmarkEnd w:id="2422"/>
      <w:bookmarkEnd w:id="2423"/>
      <w:bookmarkEnd w:id="2424"/>
      <w:bookmarkEnd w:id="2425"/>
      <w:bookmarkEnd w:id="2426"/>
    </w:p>
    <w:p w14:paraId="4827B941" w14:textId="77777777" w:rsidR="00AA601A" w:rsidRPr="007663F7" w:rsidRDefault="00AA601A" w:rsidP="007663F7">
      <w:pPr>
        <w:pStyle w:val="Normalaftertitle"/>
        <w:rPr>
          <w:lang w:eastAsia="zh-CN"/>
        </w:rPr>
      </w:pPr>
      <w:r w:rsidRPr="007663F7">
        <w:rPr>
          <w:rFonts w:hint="eastAsia"/>
          <w:lang w:eastAsia="zh-CN"/>
        </w:rPr>
        <w:t>理事会，</w:t>
      </w:r>
    </w:p>
    <w:p w14:paraId="4827B942" w14:textId="77777777" w:rsidR="00AA601A" w:rsidRDefault="00AA601A" w:rsidP="00B64353">
      <w:pPr>
        <w:rPr>
          <w:lang w:eastAsia="zh-CN"/>
        </w:rPr>
      </w:pPr>
      <w:r>
        <w:rPr>
          <w:lang w:eastAsia="zh-CN"/>
        </w:rPr>
        <w:tab/>
      </w:r>
      <w:r>
        <w:rPr>
          <w:rFonts w:eastAsia="STKaiti" w:hint="eastAsia"/>
          <w:iCs/>
          <w:lang w:eastAsia="zh-CN"/>
        </w:rPr>
        <w:t>考虑到</w:t>
      </w:r>
      <w:r>
        <w:rPr>
          <w:rFonts w:hint="eastAsia"/>
          <w:lang w:eastAsia="zh-CN"/>
        </w:rPr>
        <w:t>以电报方式将一主管部门发来的信函传达到所有主管部门的做法给所有主管部门和私营运营机构都造成沉重负担，只有在急需国际电联服务的情况下，此种做法才是正当合理的，</w:t>
      </w:r>
    </w:p>
    <w:p w14:paraId="4827B943" w14:textId="77777777" w:rsidR="00AA601A" w:rsidRDefault="00AA601A" w:rsidP="00B64353">
      <w:pPr>
        <w:pStyle w:val="Call"/>
        <w:rPr>
          <w:lang w:eastAsia="zh-CN"/>
        </w:rPr>
      </w:pPr>
      <w:r>
        <w:rPr>
          <w:rFonts w:hint="eastAsia"/>
          <w:lang w:eastAsia="zh-CN"/>
        </w:rPr>
        <w:t>做出建议</w:t>
      </w:r>
    </w:p>
    <w:p w14:paraId="4827B944" w14:textId="77777777" w:rsidR="00AA601A" w:rsidRDefault="00AA601A" w:rsidP="00B64353">
      <w:pPr>
        <w:rPr>
          <w:lang w:eastAsia="zh-CN"/>
        </w:rPr>
      </w:pPr>
      <w:r>
        <w:rPr>
          <w:lang w:eastAsia="zh-CN"/>
        </w:rPr>
        <w:t>1</w:t>
      </w:r>
      <w:r w:rsidR="00E04370">
        <w:rPr>
          <w:lang w:eastAsia="zh-CN"/>
        </w:rPr>
        <w:tab/>
      </w:r>
      <w:r>
        <w:rPr>
          <w:rFonts w:hint="eastAsia"/>
          <w:lang w:eastAsia="zh-CN"/>
        </w:rPr>
        <w:t>国际电联的</w:t>
      </w:r>
      <w:r w:rsidR="002B2AD2">
        <w:rPr>
          <w:rFonts w:hint="eastAsia"/>
          <w:lang w:eastAsia="zh-CN"/>
        </w:rPr>
        <w:t>各</w:t>
      </w:r>
      <w:r>
        <w:rPr>
          <w:rFonts w:hint="eastAsia"/>
          <w:lang w:eastAsia="zh-CN"/>
        </w:rPr>
        <w:t>主管部门尽可能不要求</w:t>
      </w:r>
      <w:r w:rsidR="002B2AD2">
        <w:rPr>
          <w:rFonts w:hint="eastAsia"/>
          <w:lang w:eastAsia="zh-CN"/>
        </w:rPr>
        <w:t>将他们发</w:t>
      </w:r>
      <w:r w:rsidR="0070163A">
        <w:rPr>
          <w:rFonts w:hint="eastAsia"/>
          <w:lang w:eastAsia="zh-CN"/>
        </w:rPr>
        <w:t>给</w:t>
      </w:r>
      <w:r>
        <w:rPr>
          <w:rFonts w:hint="eastAsia"/>
          <w:lang w:eastAsia="zh-CN"/>
        </w:rPr>
        <w:t>国际电联的信函以通函电报的方式转发，只有在紧急需要的情况下才可提出这种要求；</w:t>
      </w:r>
    </w:p>
    <w:p w14:paraId="4827B945" w14:textId="77777777" w:rsidR="00AA601A" w:rsidRDefault="00AA601A" w:rsidP="00B64353">
      <w:pPr>
        <w:rPr>
          <w:lang w:eastAsia="zh-CN"/>
        </w:rPr>
      </w:pPr>
      <w:r>
        <w:rPr>
          <w:lang w:eastAsia="zh-CN"/>
        </w:rPr>
        <w:t>2</w:t>
      </w:r>
      <w:r w:rsidR="00E04370">
        <w:rPr>
          <w:lang w:eastAsia="zh-CN"/>
        </w:rPr>
        <w:tab/>
      </w:r>
      <w:r>
        <w:rPr>
          <w:rFonts w:hint="eastAsia"/>
          <w:lang w:eastAsia="zh-CN"/>
        </w:rPr>
        <w:t>当秘书长收到国际电联某一成员国的来函，并要求秘书长以通函电报的方式将其转发给所有成员国时，只有秘书长认为事情紧急并对国际电联的服务极为重要（不使用电报会损害国际电联的服务）时，才可同意此要求；</w:t>
      </w:r>
    </w:p>
    <w:p w14:paraId="4827B946" w14:textId="77777777" w:rsidR="00AA601A" w:rsidRDefault="00AA601A" w:rsidP="00B64353">
      <w:pPr>
        <w:rPr>
          <w:lang w:eastAsia="zh-CN"/>
        </w:rPr>
      </w:pPr>
      <w:r>
        <w:rPr>
          <w:lang w:eastAsia="zh-CN"/>
        </w:rPr>
        <w:t>3</w:t>
      </w:r>
      <w:r w:rsidR="00E04370">
        <w:rPr>
          <w:lang w:eastAsia="zh-CN"/>
        </w:rPr>
        <w:tab/>
      </w:r>
      <w:r>
        <w:rPr>
          <w:rFonts w:hint="eastAsia"/>
          <w:lang w:eastAsia="zh-CN"/>
        </w:rPr>
        <w:t>在所有其它情况下，秘书长应使用邮件，通知相关主管部门有关情况并引用本决议。若主管部门坚持使用通函电报，秘书长应同意其要求。</w:t>
      </w:r>
    </w:p>
    <w:p w14:paraId="4827B947" w14:textId="77777777" w:rsidR="00F11D1D" w:rsidRPr="00D746C3" w:rsidRDefault="00AA601A" w:rsidP="007663F7">
      <w:pPr>
        <w:pStyle w:val="Endtext"/>
        <w:rPr>
          <w:lang w:eastAsia="zh-CN"/>
        </w:rPr>
      </w:pPr>
      <w:r>
        <w:rPr>
          <w:rFonts w:hint="eastAsia"/>
          <w:lang w:eastAsia="zh-CN"/>
        </w:rPr>
        <w:t>参阅</w:t>
      </w:r>
      <w:r>
        <w:rPr>
          <w:rFonts w:ascii="STKaiti" w:hAnsi="SimSun" w:hint="eastAsia"/>
          <w:lang w:eastAsia="zh-CN"/>
        </w:rPr>
        <w:t>：</w:t>
      </w:r>
      <w:r>
        <w:rPr>
          <w:lang w:eastAsia="zh-CN"/>
        </w:rPr>
        <w:tab/>
        <w:t>806/CA5</w:t>
      </w:r>
      <w:r>
        <w:rPr>
          <w:lang w:eastAsia="zh-CN"/>
        </w:rPr>
        <w:t>（</w:t>
      </w:r>
      <w:r>
        <w:rPr>
          <w:lang w:eastAsia="zh-CN"/>
        </w:rPr>
        <w:t>1950</w:t>
      </w:r>
      <w:r>
        <w:rPr>
          <w:rFonts w:hint="eastAsia"/>
          <w:lang w:eastAsia="zh-CN"/>
        </w:rPr>
        <w:t>年</w:t>
      </w:r>
      <w:r>
        <w:rPr>
          <w:lang w:eastAsia="zh-CN"/>
        </w:rPr>
        <w:t>）</w:t>
      </w:r>
      <w:r>
        <w:rPr>
          <w:rFonts w:ascii="SimSun" w:hAnsi="SimSun" w:hint="eastAsia"/>
          <w:lang w:eastAsia="zh-CN"/>
        </w:rPr>
        <w:t>号文件。</w:t>
      </w:r>
    </w:p>
    <w:p w14:paraId="4827B948" w14:textId="77777777" w:rsidR="00FD528B" w:rsidRDefault="00FD528B" w:rsidP="00FD528B">
      <w:pPr>
        <w:jc w:val="center"/>
        <w:rPr>
          <w:lang w:eastAsia="zh-CN"/>
        </w:rPr>
      </w:pPr>
      <w:bookmarkStart w:id="2427" w:name="_Toc161224105"/>
      <w:bookmarkStart w:id="2428" w:name="_Toc161732151"/>
      <w:bookmarkStart w:id="2429" w:name="_Toc161741083"/>
      <w:bookmarkStart w:id="2430" w:name="_Toc185237749"/>
      <w:bookmarkStart w:id="2431" w:name="_Toc311469661"/>
      <w:r>
        <w:rPr>
          <w:lang w:eastAsia="zh-CN"/>
        </w:rPr>
        <w:t>______________</w:t>
      </w:r>
    </w:p>
    <w:p w14:paraId="4827B949" w14:textId="77777777" w:rsidR="00FD528B" w:rsidRDefault="00FD528B">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94A" w14:textId="77777777" w:rsidR="00FD528B" w:rsidRDefault="00FD528B">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94B" w14:textId="77777777" w:rsidR="00FD528B" w:rsidRDefault="00FD528B">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94C" w14:textId="77777777" w:rsidR="00B66D0B" w:rsidRDefault="00B66D0B">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94D" w14:textId="77777777" w:rsidR="007663F7" w:rsidRPr="007663F7" w:rsidRDefault="00AA601A" w:rsidP="000D18CD">
      <w:pPr>
        <w:pStyle w:val="ResNo"/>
        <w:outlineLvl w:val="0"/>
        <w:rPr>
          <w:lang w:eastAsia="zh-CN"/>
        </w:rPr>
      </w:pPr>
      <w:bookmarkStart w:id="2432" w:name="_Toc424117121"/>
      <w:bookmarkStart w:id="2433" w:name="_Toc531706471"/>
      <w:bookmarkStart w:id="2434" w:name="_Toc531707084"/>
      <w:bookmarkStart w:id="2435" w:name="_Toc531768563"/>
      <w:bookmarkStart w:id="2436" w:name="_Toc16085890"/>
      <w:bookmarkStart w:id="2437" w:name="_Toc86395685"/>
      <w:r w:rsidRPr="007663F7">
        <w:rPr>
          <w:rFonts w:hint="eastAsia"/>
          <w:lang w:eastAsia="zh-CN"/>
        </w:rPr>
        <w:lastRenderedPageBreak/>
        <w:t>第</w:t>
      </w:r>
      <w:r w:rsidRPr="007663F7">
        <w:rPr>
          <w:lang w:eastAsia="zh-CN"/>
        </w:rPr>
        <w:t>216</w:t>
      </w:r>
      <w:r w:rsidRPr="007663F7">
        <w:rPr>
          <w:rFonts w:hint="eastAsia"/>
          <w:lang w:eastAsia="zh-CN"/>
        </w:rPr>
        <w:t>号决议</w:t>
      </w:r>
      <w:r w:rsidR="007663F7">
        <w:rPr>
          <w:rFonts w:hint="eastAsia"/>
          <w:lang w:eastAsia="zh-CN"/>
        </w:rPr>
        <w:t>（</w:t>
      </w:r>
      <w:r w:rsidR="007663F7" w:rsidRPr="007663F7">
        <w:rPr>
          <w:lang w:eastAsia="zh-CN"/>
        </w:rPr>
        <w:t>C-1951</w:t>
      </w:r>
      <w:r w:rsidR="00D64003">
        <w:rPr>
          <w:rFonts w:hint="eastAsia"/>
          <w:lang w:eastAsia="zh-CN"/>
        </w:rPr>
        <w:t>，</w:t>
      </w:r>
      <w:r w:rsidR="007663F7" w:rsidRPr="007663F7">
        <w:rPr>
          <w:rFonts w:hint="eastAsia"/>
          <w:lang w:eastAsia="zh-CN"/>
        </w:rPr>
        <w:t>最后修正</w:t>
      </w:r>
      <w:r w:rsidR="007663F7" w:rsidRPr="007663F7">
        <w:rPr>
          <w:lang w:eastAsia="zh-CN"/>
        </w:rPr>
        <w:t>C-1984</w:t>
      </w:r>
      <w:r w:rsidR="007663F7">
        <w:rPr>
          <w:rFonts w:hint="eastAsia"/>
          <w:lang w:eastAsia="zh-CN"/>
        </w:rPr>
        <w:t>）</w:t>
      </w:r>
      <w:r w:rsidR="007663F7" w:rsidRPr="00FD528B">
        <w:rPr>
          <w:rStyle w:val="FootnoteReference"/>
          <w:sz w:val="20"/>
          <w:lang w:eastAsia="zh-CN"/>
        </w:rPr>
        <w:footnoteReference w:customMarkFollows="1" w:id="15"/>
        <w:t>1</w:t>
      </w:r>
      <w:bookmarkEnd w:id="2432"/>
      <w:bookmarkEnd w:id="2433"/>
      <w:bookmarkEnd w:id="2434"/>
      <w:bookmarkEnd w:id="2435"/>
      <w:bookmarkEnd w:id="2436"/>
      <w:bookmarkEnd w:id="2437"/>
    </w:p>
    <w:p w14:paraId="4827B94E" w14:textId="77777777" w:rsidR="00AA601A" w:rsidRPr="007663F7" w:rsidRDefault="00AA601A" w:rsidP="007663F7">
      <w:pPr>
        <w:pStyle w:val="Restitle"/>
        <w:rPr>
          <w:lang w:eastAsia="zh-CN"/>
        </w:rPr>
      </w:pPr>
      <w:bookmarkStart w:id="2438" w:name="_Toc424116268"/>
      <w:bookmarkStart w:id="2439" w:name="_Toc424117122"/>
      <w:bookmarkStart w:id="2440" w:name="_Toc460248235"/>
      <w:bookmarkStart w:id="2441" w:name="_Toc531706472"/>
      <w:bookmarkStart w:id="2442" w:name="_Toc531707085"/>
      <w:bookmarkStart w:id="2443" w:name="_Toc531768564"/>
      <w:bookmarkStart w:id="2444" w:name="_Toc16085891"/>
      <w:bookmarkStart w:id="2445" w:name="_Toc86395686"/>
      <w:r w:rsidRPr="007663F7">
        <w:rPr>
          <w:rFonts w:hint="eastAsia"/>
          <w:lang w:eastAsia="zh-CN"/>
        </w:rPr>
        <w:t>要求成为国际电联成员国的申请</w:t>
      </w:r>
      <w:bookmarkEnd w:id="2427"/>
      <w:bookmarkEnd w:id="2428"/>
      <w:bookmarkEnd w:id="2429"/>
      <w:bookmarkEnd w:id="2430"/>
      <w:bookmarkEnd w:id="2431"/>
      <w:bookmarkEnd w:id="2438"/>
      <w:bookmarkEnd w:id="2439"/>
      <w:bookmarkEnd w:id="2440"/>
      <w:bookmarkEnd w:id="2441"/>
      <w:bookmarkEnd w:id="2442"/>
      <w:bookmarkEnd w:id="2443"/>
      <w:bookmarkEnd w:id="2444"/>
      <w:bookmarkEnd w:id="2445"/>
    </w:p>
    <w:p w14:paraId="4827B94F" w14:textId="77777777" w:rsidR="00AA601A" w:rsidRDefault="00AA601A" w:rsidP="007663F7">
      <w:pPr>
        <w:pStyle w:val="Normalaftertitle"/>
        <w:rPr>
          <w:lang w:eastAsia="zh-CN"/>
        </w:rPr>
      </w:pPr>
      <w:r>
        <w:rPr>
          <w:rFonts w:hint="eastAsia"/>
          <w:lang w:eastAsia="zh-CN"/>
        </w:rPr>
        <w:t>理事会，</w:t>
      </w:r>
    </w:p>
    <w:p w14:paraId="4827B950" w14:textId="77777777" w:rsidR="00AA601A" w:rsidRDefault="00AA601A" w:rsidP="007663F7">
      <w:pPr>
        <w:rPr>
          <w:lang w:eastAsia="zh-CN"/>
        </w:rPr>
      </w:pPr>
      <w:r>
        <w:rPr>
          <w:lang w:eastAsia="zh-CN"/>
        </w:rPr>
        <w:tab/>
      </w:r>
      <w:r>
        <w:rPr>
          <w:rFonts w:eastAsia="STKaiti" w:hint="eastAsia"/>
          <w:iCs/>
          <w:lang w:eastAsia="zh-CN"/>
        </w:rPr>
        <w:t>鉴于</w:t>
      </w:r>
      <w:r>
        <w:rPr>
          <w:lang w:eastAsia="zh-CN"/>
        </w:rPr>
        <w:t>1982</w:t>
      </w:r>
      <w:r>
        <w:rPr>
          <w:rFonts w:hint="eastAsia"/>
          <w:lang w:eastAsia="zh-CN"/>
        </w:rPr>
        <w:t>年《内罗毕公约》第</w:t>
      </w:r>
      <w:r>
        <w:rPr>
          <w:lang w:eastAsia="zh-CN"/>
        </w:rPr>
        <w:t>2</w:t>
      </w:r>
      <w:r>
        <w:rPr>
          <w:rFonts w:hint="eastAsia"/>
          <w:lang w:eastAsia="zh-CN"/>
        </w:rPr>
        <w:t>至</w:t>
      </w:r>
      <w:r>
        <w:rPr>
          <w:lang w:eastAsia="zh-CN"/>
        </w:rPr>
        <w:t>6</w:t>
      </w:r>
      <w:r>
        <w:rPr>
          <w:rFonts w:hint="eastAsia"/>
          <w:lang w:eastAsia="zh-CN"/>
        </w:rPr>
        <w:t>款有关申请成为国际电联成员国的规定，</w:t>
      </w:r>
    </w:p>
    <w:p w14:paraId="4827B951" w14:textId="77777777" w:rsidR="00AA601A" w:rsidRDefault="00AA601A" w:rsidP="00B64353">
      <w:pPr>
        <w:pStyle w:val="Call"/>
        <w:rPr>
          <w:lang w:eastAsia="zh-CN"/>
        </w:rPr>
      </w:pPr>
      <w:r>
        <w:rPr>
          <w:rFonts w:hint="eastAsia"/>
          <w:lang w:eastAsia="zh-CN"/>
        </w:rPr>
        <w:t>考虑到</w:t>
      </w:r>
    </w:p>
    <w:p w14:paraId="4827B952" w14:textId="77777777" w:rsidR="00AA601A" w:rsidRDefault="00AA601A" w:rsidP="007663F7">
      <w:pPr>
        <w:rPr>
          <w:lang w:eastAsia="zh-CN"/>
        </w:rPr>
      </w:pPr>
      <w:r w:rsidRPr="00837EEB">
        <w:rPr>
          <w:i/>
          <w:iCs/>
          <w:lang w:eastAsia="zh-CN"/>
        </w:rPr>
        <w:t>a</w:t>
      </w:r>
      <w:r w:rsidR="000E6A83" w:rsidRPr="00837EEB">
        <w:rPr>
          <w:i/>
          <w:iCs/>
          <w:lang w:eastAsia="zh-CN"/>
        </w:rPr>
        <w:t>)</w:t>
      </w:r>
      <w:r w:rsidR="000E6A83">
        <w:rPr>
          <w:lang w:eastAsia="zh-CN"/>
        </w:rPr>
        <w:tab/>
      </w:r>
      <w:r>
        <w:rPr>
          <w:rFonts w:hint="eastAsia"/>
          <w:lang w:eastAsia="zh-CN"/>
        </w:rPr>
        <w:t>《公约》中没有限制任何一个国家提出加入申请的次数；</w:t>
      </w:r>
    </w:p>
    <w:p w14:paraId="4827B953" w14:textId="77777777" w:rsidR="00AA601A" w:rsidRDefault="00AA601A" w:rsidP="00B64353">
      <w:pPr>
        <w:rPr>
          <w:lang w:eastAsia="zh-CN"/>
        </w:rPr>
      </w:pPr>
      <w:r w:rsidRPr="00837EEB">
        <w:rPr>
          <w:i/>
          <w:iCs/>
          <w:lang w:eastAsia="zh-CN"/>
        </w:rPr>
        <w:t>b</w:t>
      </w:r>
      <w:r w:rsidR="000E6A83" w:rsidRPr="00837EEB">
        <w:rPr>
          <w:i/>
          <w:iCs/>
          <w:lang w:eastAsia="zh-CN"/>
        </w:rPr>
        <w:t>)</w:t>
      </w:r>
      <w:r w:rsidR="000E6A83">
        <w:rPr>
          <w:lang w:eastAsia="zh-CN"/>
        </w:rPr>
        <w:tab/>
      </w:r>
      <w:r>
        <w:rPr>
          <w:rFonts w:hint="eastAsia"/>
          <w:lang w:eastAsia="zh-CN"/>
        </w:rPr>
        <w:t>秘书长没有资格就提交申请的国家或政府的地位发表看法，</w:t>
      </w:r>
    </w:p>
    <w:p w14:paraId="4827B954" w14:textId="77777777" w:rsidR="00AA601A" w:rsidRDefault="00AA601A" w:rsidP="00B64353">
      <w:pPr>
        <w:pStyle w:val="Call"/>
        <w:rPr>
          <w:lang w:eastAsia="zh-CN"/>
        </w:rPr>
      </w:pPr>
      <w:r w:rsidRPr="006F4CAC">
        <w:rPr>
          <w:rFonts w:hint="eastAsia"/>
          <w:lang w:eastAsia="zh-CN"/>
        </w:rPr>
        <w:t>做出决议</w:t>
      </w:r>
    </w:p>
    <w:p w14:paraId="4827B955" w14:textId="77777777" w:rsidR="00AA601A" w:rsidRDefault="00AA601A" w:rsidP="00B64353">
      <w:pPr>
        <w:rPr>
          <w:lang w:eastAsia="zh-CN"/>
        </w:rPr>
      </w:pPr>
      <w:r>
        <w:rPr>
          <w:lang w:eastAsia="zh-CN"/>
        </w:rPr>
        <w:t>1</w:t>
      </w:r>
      <w:r w:rsidR="00E04370">
        <w:rPr>
          <w:lang w:eastAsia="zh-CN"/>
        </w:rPr>
        <w:tab/>
      </w:r>
      <w:r>
        <w:rPr>
          <w:rFonts w:hint="eastAsia"/>
          <w:lang w:eastAsia="zh-CN"/>
        </w:rPr>
        <w:t>根据</w:t>
      </w:r>
      <w:r>
        <w:rPr>
          <w:lang w:eastAsia="zh-CN"/>
        </w:rPr>
        <w:t>1982</w:t>
      </w:r>
      <w:r>
        <w:rPr>
          <w:rFonts w:hint="eastAsia"/>
          <w:lang w:eastAsia="zh-CN"/>
        </w:rPr>
        <w:t>年《内罗毕公约》第</w:t>
      </w:r>
      <w:r>
        <w:rPr>
          <w:lang w:eastAsia="zh-CN"/>
        </w:rPr>
        <w:t>11</w:t>
      </w:r>
      <w:r>
        <w:rPr>
          <w:rFonts w:hint="eastAsia"/>
          <w:lang w:eastAsia="zh-CN"/>
        </w:rPr>
        <w:t>条规定，签署并批准《公约》或已加入《公约》的成员国可以对接纳新成员国进行投票表决（另参见《公约》第</w:t>
      </w:r>
      <w:r>
        <w:rPr>
          <w:lang w:eastAsia="zh-CN"/>
        </w:rPr>
        <w:t>178</w:t>
      </w:r>
      <w:r>
        <w:rPr>
          <w:rFonts w:hint="eastAsia"/>
          <w:lang w:eastAsia="zh-CN"/>
        </w:rPr>
        <w:t>款）；</w:t>
      </w:r>
    </w:p>
    <w:p w14:paraId="4827B956" w14:textId="77777777" w:rsidR="00AA601A" w:rsidRDefault="00AA601A" w:rsidP="00B64353">
      <w:pPr>
        <w:rPr>
          <w:lang w:eastAsia="zh-CN"/>
        </w:rPr>
      </w:pPr>
      <w:r>
        <w:rPr>
          <w:lang w:eastAsia="zh-CN"/>
        </w:rPr>
        <w:t>2</w:t>
      </w:r>
      <w:r w:rsidR="00E04370">
        <w:rPr>
          <w:lang w:eastAsia="zh-CN"/>
        </w:rPr>
        <w:tab/>
      </w:r>
      <w:r>
        <w:rPr>
          <w:rFonts w:hint="eastAsia"/>
          <w:lang w:eastAsia="zh-CN"/>
        </w:rPr>
        <w:t>提交给秘书长的申请，以及秘书长递交给申请国政府的磋商结果</w:t>
      </w:r>
      <w:r w:rsidR="002B2AD2">
        <w:rPr>
          <w:rFonts w:hint="eastAsia"/>
          <w:lang w:eastAsia="zh-CN"/>
        </w:rPr>
        <w:t>均</w:t>
      </w:r>
      <w:r>
        <w:rPr>
          <w:rFonts w:hint="eastAsia"/>
          <w:lang w:eastAsia="zh-CN"/>
        </w:rPr>
        <w:t>必须通过外交渠道由瑞士政府转交；</w:t>
      </w:r>
    </w:p>
    <w:p w14:paraId="4827B957" w14:textId="77777777" w:rsidR="00AA601A" w:rsidRDefault="00AA601A" w:rsidP="007663F7">
      <w:pPr>
        <w:rPr>
          <w:lang w:eastAsia="zh-CN"/>
        </w:rPr>
      </w:pPr>
      <w:r>
        <w:rPr>
          <w:lang w:eastAsia="zh-CN"/>
        </w:rPr>
        <w:t>3</w:t>
      </w:r>
      <w:r w:rsidR="00E04370">
        <w:rPr>
          <w:lang w:eastAsia="zh-CN"/>
        </w:rPr>
        <w:tab/>
      </w:r>
      <w:r>
        <w:rPr>
          <w:rFonts w:hint="eastAsia"/>
          <w:lang w:eastAsia="zh-CN"/>
        </w:rPr>
        <w:t>一国在其成员资格申请被拒之后，可以在任何时候再次提出申请；</w:t>
      </w:r>
    </w:p>
    <w:p w14:paraId="4827B958" w14:textId="77777777" w:rsidR="00AA601A" w:rsidRDefault="00AA601A" w:rsidP="007663F7">
      <w:pPr>
        <w:rPr>
          <w:lang w:eastAsia="zh-CN"/>
        </w:rPr>
      </w:pPr>
      <w:r>
        <w:rPr>
          <w:lang w:eastAsia="zh-CN"/>
        </w:rPr>
        <w:t>4</w:t>
      </w:r>
      <w:r w:rsidR="00E04370">
        <w:rPr>
          <w:lang w:eastAsia="zh-CN"/>
        </w:rPr>
        <w:tab/>
      </w:r>
      <w:r>
        <w:rPr>
          <w:rFonts w:hint="eastAsia"/>
          <w:lang w:eastAsia="zh-CN"/>
        </w:rPr>
        <w:t>处理首次申请、再次或多次未果申请的程序如下：</w:t>
      </w:r>
    </w:p>
    <w:p w14:paraId="4827B959" w14:textId="77777777" w:rsidR="00AA601A" w:rsidRDefault="00AA601A" w:rsidP="00837EEB">
      <w:pPr>
        <w:pStyle w:val="enumlev1"/>
        <w:rPr>
          <w:lang w:eastAsia="zh-CN"/>
        </w:rPr>
      </w:pPr>
      <w:r>
        <w:rPr>
          <w:rFonts w:hint="eastAsia"/>
          <w:lang w:eastAsia="zh-CN"/>
        </w:rPr>
        <w:t>a)</w:t>
      </w:r>
      <w:r>
        <w:rPr>
          <w:lang w:eastAsia="zh-CN"/>
        </w:rPr>
        <w:tab/>
      </w:r>
      <w:r>
        <w:rPr>
          <w:rFonts w:hint="eastAsia"/>
          <w:lang w:eastAsia="zh-CN"/>
        </w:rPr>
        <w:t>一俟收到申请，秘书长应尽快用电报通知《公约》附件</w:t>
      </w:r>
      <w:r>
        <w:rPr>
          <w:rFonts w:hint="eastAsia"/>
          <w:lang w:eastAsia="zh-CN"/>
        </w:rPr>
        <w:t>1</w:t>
      </w:r>
      <w:r>
        <w:rPr>
          <w:rFonts w:hint="eastAsia"/>
          <w:lang w:eastAsia="zh-CN"/>
        </w:rPr>
        <w:t>中所列的所有国家和已加入《公约》的国家；</w:t>
      </w:r>
    </w:p>
    <w:p w14:paraId="4827B95A" w14:textId="77777777" w:rsidR="00AA601A" w:rsidRDefault="00AA601A" w:rsidP="00837EEB">
      <w:pPr>
        <w:pStyle w:val="enumlev1"/>
        <w:rPr>
          <w:lang w:eastAsia="zh-CN"/>
        </w:rPr>
      </w:pPr>
      <w:r>
        <w:rPr>
          <w:lang w:eastAsia="zh-CN"/>
        </w:rPr>
        <w:t>b</w:t>
      </w:r>
      <w:r>
        <w:rPr>
          <w:rFonts w:hint="eastAsia"/>
          <w:lang w:eastAsia="zh-CN"/>
        </w:rPr>
        <w:t>)</w:t>
      </w:r>
      <w:r>
        <w:rPr>
          <w:lang w:eastAsia="zh-CN"/>
        </w:rPr>
        <w:tab/>
      </w:r>
      <w:r>
        <w:rPr>
          <w:rFonts w:hint="eastAsia"/>
          <w:lang w:eastAsia="zh-CN"/>
        </w:rPr>
        <w:t>电报应说明，需要对加入申请发表意见的国家应当是已批准或加入《公约》的国家以及将在磋商阶段结束之前批准《公约》的国家（如果到那时他们没有依照《公约》第</w:t>
      </w:r>
      <w:r>
        <w:rPr>
          <w:rFonts w:hint="eastAsia"/>
          <w:lang w:eastAsia="zh-CN"/>
        </w:rPr>
        <w:t>117</w:t>
      </w:r>
      <w:r>
        <w:rPr>
          <w:rFonts w:hint="eastAsia"/>
          <w:lang w:eastAsia="zh-CN"/>
        </w:rPr>
        <w:t>款规定丧失表决权的话）；</w:t>
      </w:r>
    </w:p>
    <w:p w14:paraId="4827B95B" w14:textId="77777777" w:rsidR="00AA601A" w:rsidRDefault="00AA601A" w:rsidP="00837EEB">
      <w:pPr>
        <w:pStyle w:val="enumlev1"/>
        <w:rPr>
          <w:lang w:eastAsia="zh-CN"/>
        </w:rPr>
      </w:pPr>
      <w:r>
        <w:rPr>
          <w:lang w:eastAsia="zh-CN"/>
        </w:rPr>
        <w:t>c</w:t>
      </w:r>
      <w:r w:rsidR="0070163A">
        <w:rPr>
          <w:rFonts w:hint="eastAsia"/>
          <w:lang w:eastAsia="zh-CN"/>
        </w:rPr>
        <w:t>)</w:t>
      </w:r>
      <w:r>
        <w:rPr>
          <w:lang w:eastAsia="zh-CN"/>
        </w:rPr>
        <w:tab/>
      </w:r>
      <w:r>
        <w:rPr>
          <w:rFonts w:hint="eastAsia"/>
          <w:lang w:eastAsia="zh-CN"/>
        </w:rPr>
        <w:t>电报的内容应当以信函的形式确认</w:t>
      </w:r>
      <w:r w:rsidR="00E40D62">
        <w:rPr>
          <w:rFonts w:hint="eastAsia"/>
          <w:lang w:eastAsia="zh-CN"/>
        </w:rPr>
        <w:t>；</w:t>
      </w:r>
    </w:p>
    <w:p w14:paraId="4827B95C" w14:textId="77777777" w:rsidR="00AA601A" w:rsidRDefault="00AA601A" w:rsidP="00837EEB">
      <w:pPr>
        <w:pStyle w:val="enumlev1"/>
        <w:rPr>
          <w:lang w:eastAsia="zh-CN"/>
        </w:rPr>
      </w:pPr>
      <w:r>
        <w:rPr>
          <w:lang w:eastAsia="zh-CN"/>
        </w:rPr>
        <w:t>d</w:t>
      </w:r>
      <w:r w:rsidR="0070163A">
        <w:rPr>
          <w:rFonts w:hint="eastAsia"/>
          <w:lang w:eastAsia="zh-CN"/>
        </w:rPr>
        <w:t>)</w:t>
      </w:r>
      <w:r>
        <w:rPr>
          <w:lang w:eastAsia="zh-CN"/>
        </w:rPr>
        <w:tab/>
      </w:r>
      <w:r>
        <w:rPr>
          <w:rFonts w:hint="eastAsia"/>
          <w:lang w:eastAsia="zh-CN"/>
        </w:rPr>
        <w:t>电报发出之日后四个月，秘书长应决定是否申请已获所需多数，即，上述</w:t>
      </w:r>
      <w:r>
        <w:rPr>
          <w:rFonts w:hint="eastAsia"/>
          <w:lang w:eastAsia="zh-CN"/>
        </w:rPr>
        <w:t>b</w:t>
      </w:r>
      <w:r w:rsidR="0035791E">
        <w:rPr>
          <w:lang w:eastAsia="zh-CN"/>
        </w:rPr>
        <w:t>)</w:t>
      </w:r>
      <w:r>
        <w:rPr>
          <w:rFonts w:hint="eastAsia"/>
          <w:lang w:eastAsia="zh-CN"/>
        </w:rPr>
        <w:t>所列国家的三分之二通过；</w:t>
      </w:r>
    </w:p>
    <w:p w14:paraId="4827B95D" w14:textId="77777777" w:rsidR="00AA601A" w:rsidRDefault="00AA601A" w:rsidP="007663F7">
      <w:pPr>
        <w:rPr>
          <w:lang w:eastAsia="zh-CN"/>
        </w:rPr>
      </w:pPr>
      <w:r>
        <w:rPr>
          <w:lang w:eastAsia="zh-CN"/>
        </w:rPr>
        <w:t>5</w:t>
      </w:r>
      <w:r w:rsidR="00E04370">
        <w:rPr>
          <w:lang w:eastAsia="zh-CN"/>
        </w:rPr>
        <w:tab/>
      </w:r>
      <w:r>
        <w:rPr>
          <w:rFonts w:hint="eastAsia"/>
          <w:lang w:eastAsia="zh-CN"/>
        </w:rPr>
        <w:t>磋商结果应当在国际电联通知中公布，并列出表决同意和反对加入申请的成员国。</w:t>
      </w:r>
    </w:p>
    <w:p w14:paraId="4827B95E" w14:textId="77777777" w:rsidR="00F11D1D" w:rsidRPr="00781F81" w:rsidRDefault="00AA601A" w:rsidP="007663F7">
      <w:pPr>
        <w:pStyle w:val="Endtext"/>
        <w:rPr>
          <w:lang w:val="en-GB"/>
        </w:rPr>
      </w:pPr>
      <w:r>
        <w:rPr>
          <w:rFonts w:ascii="STKaiti" w:hAnsi="SimSun" w:hint="eastAsia"/>
          <w:lang w:eastAsia="zh-CN"/>
        </w:rPr>
        <w:t>参阅</w:t>
      </w:r>
      <w:r w:rsidRPr="00781F81">
        <w:rPr>
          <w:rFonts w:ascii="STKaiti" w:hAnsi="SimSun" w:hint="eastAsia"/>
          <w:lang w:val="en-GB" w:eastAsia="zh-CN"/>
        </w:rPr>
        <w:t>：</w:t>
      </w:r>
      <w:r w:rsidRPr="00781F81">
        <w:rPr>
          <w:lang w:val="en-GB"/>
        </w:rPr>
        <w:tab/>
        <w:t>917/CA6</w:t>
      </w:r>
      <w:r w:rsidRPr="00781F81">
        <w:rPr>
          <w:lang w:val="en-GB"/>
        </w:rPr>
        <w:t>（</w:t>
      </w:r>
      <w:r w:rsidRPr="00781F81">
        <w:rPr>
          <w:lang w:val="en-GB"/>
        </w:rPr>
        <w:t>1951</w:t>
      </w:r>
      <w:r>
        <w:rPr>
          <w:rFonts w:hint="eastAsia"/>
          <w:lang w:val="es-ES" w:eastAsia="zh-CN"/>
        </w:rPr>
        <w:t>年</w:t>
      </w:r>
      <w:r w:rsidRPr="00781F81">
        <w:rPr>
          <w:rFonts w:hint="eastAsia"/>
          <w:lang w:val="en-GB" w:eastAsia="zh-CN"/>
        </w:rPr>
        <w:t>）</w:t>
      </w:r>
      <w:r w:rsidR="00FD083D">
        <w:rPr>
          <w:rFonts w:hint="eastAsia"/>
          <w:lang w:eastAsia="zh-CN"/>
        </w:rPr>
        <w:t>、</w:t>
      </w:r>
      <w:r w:rsidRPr="00781F81">
        <w:rPr>
          <w:lang w:val="en-GB"/>
        </w:rPr>
        <w:t>1606/CA9</w:t>
      </w:r>
      <w:r w:rsidRPr="00781F81">
        <w:rPr>
          <w:lang w:val="en-GB"/>
        </w:rPr>
        <w:t>（</w:t>
      </w:r>
      <w:r w:rsidRPr="00781F81">
        <w:rPr>
          <w:lang w:val="en-GB"/>
        </w:rPr>
        <w:t>1954</w:t>
      </w:r>
      <w:r>
        <w:rPr>
          <w:rFonts w:hint="eastAsia"/>
          <w:lang w:val="es-ES" w:eastAsia="zh-CN"/>
        </w:rPr>
        <w:t>年</w:t>
      </w:r>
      <w:r w:rsidRPr="00781F81">
        <w:rPr>
          <w:lang w:val="en-GB"/>
        </w:rPr>
        <w:t>）</w:t>
      </w:r>
      <w:r w:rsidR="00FD083D">
        <w:rPr>
          <w:rFonts w:hint="eastAsia"/>
          <w:lang w:val="en-US" w:eastAsia="zh-CN"/>
        </w:rPr>
        <w:t>、</w:t>
      </w:r>
      <w:r w:rsidRPr="00781F81">
        <w:rPr>
          <w:lang w:val="en-GB"/>
        </w:rPr>
        <w:t>1832/CA11</w:t>
      </w:r>
      <w:r w:rsidRPr="00781F81">
        <w:rPr>
          <w:lang w:val="en-GB"/>
        </w:rPr>
        <w:t>（</w:t>
      </w:r>
      <w:r w:rsidRPr="00781F81">
        <w:rPr>
          <w:lang w:val="en-GB"/>
        </w:rPr>
        <w:t>1956</w:t>
      </w:r>
      <w:r>
        <w:rPr>
          <w:rFonts w:hint="eastAsia"/>
          <w:lang w:val="es-ES" w:eastAsia="zh-CN"/>
        </w:rPr>
        <w:t>年</w:t>
      </w:r>
      <w:r w:rsidRPr="00781F81">
        <w:rPr>
          <w:lang w:val="en-GB"/>
        </w:rPr>
        <w:t>）</w:t>
      </w:r>
      <w:r w:rsidR="00FD083D">
        <w:rPr>
          <w:rFonts w:hint="eastAsia"/>
          <w:lang w:val="en-US" w:eastAsia="zh-CN"/>
        </w:rPr>
        <w:t>、</w:t>
      </w:r>
      <w:r w:rsidRPr="00781F81">
        <w:rPr>
          <w:lang w:val="en-GB"/>
        </w:rPr>
        <w:t>3713/CA22</w:t>
      </w:r>
      <w:r w:rsidR="007663F7" w:rsidRPr="00781F81">
        <w:rPr>
          <w:lang w:val="en-GB"/>
        </w:rPr>
        <w:br/>
      </w:r>
      <w:r w:rsidRPr="00781F81">
        <w:rPr>
          <w:lang w:val="en-GB"/>
        </w:rPr>
        <w:t>（</w:t>
      </w:r>
      <w:r w:rsidRPr="00781F81">
        <w:rPr>
          <w:lang w:val="en-GB"/>
        </w:rPr>
        <w:t>1967</w:t>
      </w:r>
      <w:r>
        <w:rPr>
          <w:rFonts w:hint="eastAsia"/>
          <w:lang w:val="es-ES" w:eastAsia="zh-CN"/>
        </w:rPr>
        <w:t>年</w:t>
      </w:r>
      <w:r w:rsidRPr="00781F81">
        <w:rPr>
          <w:rFonts w:hint="eastAsia"/>
          <w:lang w:val="en-GB" w:eastAsia="zh-CN"/>
        </w:rPr>
        <w:t>）</w:t>
      </w:r>
      <w:r w:rsidR="00FD083D">
        <w:rPr>
          <w:rFonts w:hint="eastAsia"/>
          <w:lang w:eastAsia="zh-CN"/>
        </w:rPr>
        <w:t>、</w:t>
      </w:r>
      <w:r w:rsidRPr="00781F81">
        <w:rPr>
          <w:rFonts w:hint="eastAsia"/>
          <w:lang w:val="en-GB" w:eastAsia="zh-CN"/>
        </w:rPr>
        <w:t>4</w:t>
      </w:r>
      <w:r w:rsidRPr="00781F81">
        <w:rPr>
          <w:lang w:val="en-GB"/>
        </w:rPr>
        <w:t>857/CA30</w:t>
      </w:r>
      <w:r w:rsidRPr="00781F81">
        <w:rPr>
          <w:lang w:val="en-GB"/>
        </w:rPr>
        <w:t>（</w:t>
      </w:r>
      <w:r w:rsidRPr="00781F81">
        <w:rPr>
          <w:lang w:val="en-GB"/>
        </w:rPr>
        <w:t>1975</w:t>
      </w:r>
      <w:r>
        <w:rPr>
          <w:rFonts w:hint="eastAsia"/>
          <w:lang w:val="es-ES" w:eastAsia="zh-CN"/>
        </w:rPr>
        <w:t>年</w:t>
      </w:r>
      <w:r w:rsidRPr="00781F81">
        <w:rPr>
          <w:rFonts w:hint="eastAsia"/>
          <w:lang w:val="en-GB" w:eastAsia="zh-CN"/>
        </w:rPr>
        <w:t>）</w:t>
      </w:r>
      <w:r w:rsidR="00FD083D">
        <w:rPr>
          <w:rFonts w:hint="eastAsia"/>
          <w:lang w:eastAsia="zh-CN"/>
        </w:rPr>
        <w:t>、</w:t>
      </w:r>
      <w:r w:rsidRPr="00781F81">
        <w:rPr>
          <w:lang w:val="en-GB"/>
        </w:rPr>
        <w:t>5703/CA36</w:t>
      </w:r>
      <w:r w:rsidRPr="00781F81">
        <w:rPr>
          <w:lang w:val="en-GB"/>
        </w:rPr>
        <w:t>（</w:t>
      </w:r>
      <w:r w:rsidRPr="00781F81">
        <w:rPr>
          <w:lang w:val="en-GB"/>
        </w:rPr>
        <w:t>1981</w:t>
      </w:r>
      <w:r>
        <w:rPr>
          <w:rFonts w:hint="eastAsia"/>
          <w:lang w:val="es-ES" w:eastAsia="zh-CN"/>
        </w:rPr>
        <w:t>年</w:t>
      </w:r>
      <w:r w:rsidRPr="00781F81">
        <w:rPr>
          <w:lang w:val="en-GB"/>
        </w:rPr>
        <w:t>）</w:t>
      </w:r>
      <w:r w:rsidR="00FD083D">
        <w:rPr>
          <w:rFonts w:hint="eastAsia"/>
          <w:lang w:val="en-US" w:eastAsia="zh-CN"/>
        </w:rPr>
        <w:t>、</w:t>
      </w:r>
      <w:r w:rsidRPr="00781F81">
        <w:rPr>
          <w:lang w:val="en-GB"/>
        </w:rPr>
        <w:t>6197/CA39</w:t>
      </w:r>
      <w:r w:rsidRPr="00781F81">
        <w:rPr>
          <w:lang w:val="en-GB"/>
        </w:rPr>
        <w:t>（</w:t>
      </w:r>
      <w:r w:rsidRPr="00781F81">
        <w:rPr>
          <w:lang w:val="en-GB"/>
        </w:rPr>
        <w:t>1984</w:t>
      </w:r>
      <w:r>
        <w:rPr>
          <w:rFonts w:hint="eastAsia"/>
          <w:lang w:val="es-ES" w:eastAsia="zh-CN"/>
        </w:rPr>
        <w:t>年</w:t>
      </w:r>
      <w:r w:rsidRPr="00781F81">
        <w:rPr>
          <w:lang w:val="en-GB"/>
        </w:rPr>
        <w:t>）</w:t>
      </w:r>
      <w:r>
        <w:rPr>
          <w:rFonts w:ascii="SimSun" w:hAnsi="SimSun" w:hint="eastAsia"/>
          <w:lang w:val="fr-FR" w:eastAsia="zh-CN"/>
        </w:rPr>
        <w:t>号文件。</w:t>
      </w:r>
    </w:p>
    <w:p w14:paraId="4827B95F" w14:textId="77777777" w:rsidR="00FD528B" w:rsidRDefault="00FD528B" w:rsidP="00FD528B">
      <w:pPr>
        <w:jc w:val="center"/>
        <w:rPr>
          <w:lang w:eastAsia="zh-CN"/>
        </w:rPr>
      </w:pPr>
      <w:bookmarkStart w:id="2446" w:name="_Toc424117123"/>
      <w:bookmarkStart w:id="2447" w:name="_Toc531706473"/>
      <w:bookmarkStart w:id="2448" w:name="_Toc531707086"/>
      <w:bookmarkStart w:id="2449" w:name="_Toc531768565"/>
      <w:bookmarkStart w:id="2450" w:name="_Toc161224106"/>
      <w:bookmarkStart w:id="2451" w:name="_Toc161732152"/>
      <w:bookmarkStart w:id="2452" w:name="_Toc161741084"/>
      <w:bookmarkStart w:id="2453" w:name="_Toc185237750"/>
      <w:bookmarkStart w:id="2454" w:name="_Toc311469662"/>
      <w:r>
        <w:rPr>
          <w:lang w:eastAsia="zh-CN"/>
        </w:rPr>
        <w:t>______________</w:t>
      </w:r>
    </w:p>
    <w:p w14:paraId="4827B960" w14:textId="77777777" w:rsidR="007663F7" w:rsidRDefault="00AA601A" w:rsidP="000D18CD">
      <w:pPr>
        <w:pStyle w:val="ResNo"/>
        <w:outlineLvl w:val="0"/>
        <w:rPr>
          <w:lang w:eastAsia="zh-CN"/>
        </w:rPr>
      </w:pPr>
      <w:bookmarkStart w:id="2455" w:name="_Toc16085892"/>
      <w:bookmarkStart w:id="2456" w:name="_Toc86395687"/>
      <w:r>
        <w:rPr>
          <w:rFonts w:hint="eastAsia"/>
          <w:lang w:eastAsia="zh-CN"/>
        </w:rPr>
        <w:lastRenderedPageBreak/>
        <w:t>第</w:t>
      </w:r>
      <w:r>
        <w:rPr>
          <w:lang w:eastAsia="zh-CN"/>
        </w:rPr>
        <w:t>262</w:t>
      </w:r>
      <w:r w:rsidRPr="00103004">
        <w:rPr>
          <w:rFonts w:hint="eastAsia"/>
          <w:lang w:eastAsia="zh-CN"/>
        </w:rPr>
        <w:t>号决议</w:t>
      </w:r>
      <w:r w:rsidR="007663F7">
        <w:rPr>
          <w:rFonts w:hint="eastAsia"/>
          <w:lang w:eastAsia="zh-CN"/>
        </w:rPr>
        <w:t>（</w:t>
      </w:r>
      <w:r w:rsidR="007663F7" w:rsidRPr="00D876C1">
        <w:rPr>
          <w:lang w:eastAsia="zh-CN"/>
        </w:rPr>
        <w:t>C-1952</w:t>
      </w:r>
      <w:r w:rsidR="00D64003">
        <w:rPr>
          <w:rFonts w:hint="eastAsia"/>
          <w:lang w:eastAsia="zh-CN"/>
        </w:rPr>
        <w:t>，</w:t>
      </w:r>
      <w:r w:rsidR="007663F7" w:rsidRPr="00D876C1">
        <w:rPr>
          <w:rFonts w:hint="eastAsia"/>
          <w:lang w:eastAsia="zh-CN"/>
        </w:rPr>
        <w:t>最后修正</w:t>
      </w:r>
      <w:r w:rsidR="007663F7" w:rsidRPr="00D876C1">
        <w:rPr>
          <w:lang w:eastAsia="zh-CN"/>
        </w:rPr>
        <w:t>C-1984</w:t>
      </w:r>
      <w:r w:rsidR="007663F7">
        <w:rPr>
          <w:rFonts w:hint="eastAsia"/>
          <w:lang w:eastAsia="zh-CN"/>
        </w:rPr>
        <w:t>）</w:t>
      </w:r>
      <w:bookmarkEnd w:id="2446"/>
      <w:bookmarkEnd w:id="2447"/>
      <w:bookmarkEnd w:id="2448"/>
      <w:bookmarkEnd w:id="2449"/>
      <w:bookmarkEnd w:id="2455"/>
      <w:bookmarkEnd w:id="2456"/>
    </w:p>
    <w:p w14:paraId="4827B961" w14:textId="77777777" w:rsidR="00AA601A" w:rsidRPr="00FD528B" w:rsidRDefault="00AA601A" w:rsidP="00FD528B">
      <w:pPr>
        <w:pStyle w:val="Restitle"/>
        <w:rPr>
          <w:lang w:eastAsia="zh-CN"/>
        </w:rPr>
      </w:pPr>
      <w:bookmarkStart w:id="2457" w:name="_Toc424116269"/>
      <w:bookmarkStart w:id="2458" w:name="_Toc424117124"/>
      <w:bookmarkStart w:id="2459" w:name="_Toc460248237"/>
      <w:bookmarkStart w:id="2460" w:name="_Toc531706474"/>
      <w:bookmarkStart w:id="2461" w:name="_Toc531707087"/>
      <w:bookmarkStart w:id="2462" w:name="_Toc531768566"/>
      <w:bookmarkStart w:id="2463" w:name="_Toc16085893"/>
      <w:bookmarkStart w:id="2464" w:name="_Toc86395688"/>
      <w:r w:rsidRPr="00FD528B">
        <w:rPr>
          <w:rFonts w:hint="eastAsia"/>
          <w:lang w:eastAsia="zh-CN"/>
        </w:rPr>
        <w:t>国际电联成员国对国际电联其它成员国的投诉</w:t>
      </w:r>
      <w:bookmarkEnd w:id="2450"/>
      <w:bookmarkEnd w:id="2451"/>
      <w:bookmarkEnd w:id="2452"/>
      <w:bookmarkEnd w:id="2453"/>
      <w:bookmarkEnd w:id="2454"/>
      <w:bookmarkEnd w:id="2457"/>
      <w:bookmarkEnd w:id="2458"/>
      <w:bookmarkEnd w:id="2459"/>
      <w:bookmarkEnd w:id="2460"/>
      <w:bookmarkEnd w:id="2461"/>
      <w:bookmarkEnd w:id="2462"/>
      <w:bookmarkEnd w:id="2463"/>
      <w:bookmarkEnd w:id="2464"/>
    </w:p>
    <w:p w14:paraId="4827B962" w14:textId="77777777" w:rsidR="00AA601A" w:rsidRDefault="00AA601A" w:rsidP="007663F7">
      <w:pPr>
        <w:pStyle w:val="Normalaftertitle"/>
        <w:rPr>
          <w:lang w:eastAsia="zh-CN"/>
        </w:rPr>
      </w:pPr>
      <w:r>
        <w:rPr>
          <w:rFonts w:hint="eastAsia"/>
          <w:lang w:eastAsia="zh-CN"/>
        </w:rPr>
        <w:t>理事会，</w:t>
      </w:r>
    </w:p>
    <w:p w14:paraId="4827B963" w14:textId="77777777" w:rsidR="00AA601A" w:rsidRDefault="00AA601A" w:rsidP="00B64353">
      <w:pPr>
        <w:pStyle w:val="Call"/>
        <w:rPr>
          <w:lang w:eastAsia="zh-CN"/>
        </w:rPr>
      </w:pPr>
      <w:r>
        <w:rPr>
          <w:rFonts w:hint="eastAsia"/>
          <w:lang w:eastAsia="zh-CN"/>
        </w:rPr>
        <w:t>考虑到</w:t>
      </w:r>
    </w:p>
    <w:p w14:paraId="4827B964" w14:textId="77777777" w:rsidR="00AA601A" w:rsidRDefault="00AA601A" w:rsidP="00B64353">
      <w:pPr>
        <w:rPr>
          <w:lang w:eastAsia="zh-CN"/>
        </w:rPr>
      </w:pPr>
      <w:r w:rsidRPr="005F7760">
        <w:rPr>
          <w:i/>
          <w:iCs/>
          <w:lang w:eastAsia="zh-CN"/>
        </w:rPr>
        <w:t>a</w:t>
      </w:r>
      <w:r w:rsidR="000E6A83" w:rsidRPr="005F7760">
        <w:rPr>
          <w:i/>
          <w:iCs/>
          <w:lang w:eastAsia="zh-CN"/>
        </w:rPr>
        <w:t>)</w:t>
      </w:r>
      <w:r w:rsidR="000E6A83">
        <w:rPr>
          <w:lang w:eastAsia="zh-CN"/>
        </w:rPr>
        <w:tab/>
      </w:r>
      <w:r>
        <w:rPr>
          <w:rFonts w:hint="eastAsia"/>
          <w:lang w:eastAsia="zh-CN"/>
        </w:rPr>
        <w:t>秘书长被要求将某些成员国提出的并仅针对某些成员国的投诉通知给国际电联所有成员国；</w:t>
      </w:r>
    </w:p>
    <w:p w14:paraId="4827B965" w14:textId="77777777" w:rsidR="00AA601A" w:rsidRDefault="00AA601A" w:rsidP="00B64353">
      <w:pPr>
        <w:rPr>
          <w:lang w:eastAsia="zh-CN"/>
        </w:rPr>
      </w:pPr>
      <w:r w:rsidRPr="005F7760">
        <w:rPr>
          <w:i/>
          <w:iCs/>
          <w:lang w:eastAsia="zh-CN"/>
        </w:rPr>
        <w:t>b</w:t>
      </w:r>
      <w:r w:rsidR="000E6A83" w:rsidRPr="005F7760">
        <w:rPr>
          <w:i/>
          <w:iCs/>
          <w:lang w:eastAsia="zh-CN"/>
        </w:rPr>
        <w:t>)</w:t>
      </w:r>
      <w:r w:rsidR="000E6A83">
        <w:rPr>
          <w:lang w:eastAsia="zh-CN"/>
        </w:rPr>
        <w:tab/>
      </w:r>
      <w:r>
        <w:rPr>
          <w:rFonts w:hint="eastAsia"/>
          <w:lang w:eastAsia="zh-CN"/>
        </w:rPr>
        <w:t>秘书长并无介入国际电联成员国之间争端的职责；</w:t>
      </w:r>
    </w:p>
    <w:p w14:paraId="4827B966" w14:textId="77777777" w:rsidR="00AA601A" w:rsidRDefault="00AA601A" w:rsidP="00B64353">
      <w:pPr>
        <w:rPr>
          <w:lang w:eastAsia="zh-CN"/>
        </w:rPr>
      </w:pPr>
      <w:r w:rsidRPr="005F7760">
        <w:rPr>
          <w:i/>
          <w:iCs/>
          <w:lang w:eastAsia="zh-CN"/>
        </w:rPr>
        <w:t>c</w:t>
      </w:r>
      <w:r w:rsidR="000E6A83" w:rsidRPr="005F7760">
        <w:rPr>
          <w:i/>
          <w:iCs/>
          <w:lang w:eastAsia="zh-CN"/>
        </w:rPr>
        <w:t>)</w:t>
      </w:r>
      <w:r w:rsidR="000E6A83">
        <w:rPr>
          <w:lang w:eastAsia="zh-CN"/>
        </w:rPr>
        <w:tab/>
      </w:r>
      <w:r>
        <w:rPr>
          <w:rFonts w:hint="eastAsia"/>
          <w:lang w:eastAsia="zh-CN"/>
        </w:rPr>
        <w:t>解决争端可以遵循两个程序；</w:t>
      </w:r>
    </w:p>
    <w:p w14:paraId="4827B967" w14:textId="77777777" w:rsidR="00AA601A" w:rsidRPr="00693664" w:rsidRDefault="00AA601A" w:rsidP="00B64353">
      <w:pPr>
        <w:pStyle w:val="enumlev2"/>
        <w:rPr>
          <w:lang w:eastAsia="zh-CN"/>
        </w:rPr>
      </w:pPr>
      <w:r w:rsidRPr="00693664">
        <w:rPr>
          <w:lang w:eastAsia="zh-CN"/>
        </w:rPr>
        <w:t>a</w:t>
      </w:r>
      <w:r w:rsidR="000E6A83" w:rsidRPr="00693664">
        <w:rPr>
          <w:lang w:eastAsia="zh-CN"/>
        </w:rPr>
        <w:t>)</w:t>
      </w:r>
      <w:r w:rsidR="000E6A83" w:rsidRPr="00693664">
        <w:rPr>
          <w:lang w:eastAsia="zh-CN"/>
        </w:rPr>
        <w:tab/>
      </w:r>
      <w:r w:rsidRPr="00693664">
        <w:rPr>
          <w:rFonts w:hint="eastAsia"/>
          <w:lang w:eastAsia="zh-CN"/>
        </w:rPr>
        <w:t>相关成员国之间直接进行友好协商；</w:t>
      </w:r>
    </w:p>
    <w:p w14:paraId="4827B968" w14:textId="77777777" w:rsidR="00AA601A" w:rsidRPr="00693664" w:rsidRDefault="00AA601A" w:rsidP="00B64353">
      <w:pPr>
        <w:pStyle w:val="enumlev2"/>
        <w:rPr>
          <w:lang w:eastAsia="zh-CN"/>
        </w:rPr>
      </w:pPr>
      <w:r w:rsidRPr="00693664">
        <w:rPr>
          <w:lang w:eastAsia="zh-CN"/>
        </w:rPr>
        <w:t>b</w:t>
      </w:r>
      <w:r w:rsidR="000E6A83" w:rsidRPr="00693664">
        <w:rPr>
          <w:lang w:eastAsia="zh-CN"/>
        </w:rPr>
        <w:t>)</w:t>
      </w:r>
      <w:r w:rsidR="000E6A83" w:rsidRPr="00693664">
        <w:rPr>
          <w:lang w:eastAsia="zh-CN"/>
        </w:rPr>
        <w:tab/>
      </w:r>
      <w:r w:rsidRPr="00693664">
        <w:rPr>
          <w:rFonts w:hint="eastAsia"/>
          <w:lang w:eastAsia="zh-CN"/>
        </w:rPr>
        <w:t>按</w:t>
      </w:r>
      <w:r w:rsidRPr="00693664">
        <w:rPr>
          <w:lang w:eastAsia="zh-CN"/>
        </w:rPr>
        <w:t>1982</w:t>
      </w:r>
      <w:r w:rsidRPr="00693664">
        <w:rPr>
          <w:rFonts w:hint="eastAsia"/>
          <w:lang w:eastAsia="zh-CN"/>
        </w:rPr>
        <w:t>年《内罗毕公约》第</w:t>
      </w:r>
      <w:r w:rsidRPr="00693664">
        <w:rPr>
          <w:lang w:eastAsia="zh-CN"/>
        </w:rPr>
        <w:t>50</w:t>
      </w:r>
      <w:r w:rsidRPr="00693664">
        <w:rPr>
          <w:rFonts w:hint="eastAsia"/>
          <w:lang w:eastAsia="zh-CN"/>
        </w:rPr>
        <w:t>条规定解决，</w:t>
      </w:r>
    </w:p>
    <w:p w14:paraId="4827B969" w14:textId="77777777" w:rsidR="00A27F25" w:rsidRDefault="00AA601A" w:rsidP="00A27F25">
      <w:pPr>
        <w:pStyle w:val="Call"/>
        <w:rPr>
          <w:rFonts w:ascii="STKaiti" w:hAnsi="SimSun"/>
          <w:lang w:eastAsia="zh-CN"/>
        </w:rPr>
      </w:pPr>
      <w:r>
        <w:rPr>
          <w:rFonts w:ascii="STKaiti" w:hAnsi="SimSun" w:hint="eastAsia"/>
          <w:lang w:eastAsia="zh-CN"/>
        </w:rPr>
        <w:t>请国际电联成员国</w:t>
      </w:r>
    </w:p>
    <w:p w14:paraId="4827B96A" w14:textId="77777777" w:rsidR="00AA601A" w:rsidRDefault="00AA601A" w:rsidP="00A27F25">
      <w:pPr>
        <w:ind w:firstLineChars="200" w:firstLine="480"/>
        <w:rPr>
          <w:lang w:eastAsia="zh-CN"/>
        </w:rPr>
      </w:pPr>
      <w:r>
        <w:rPr>
          <w:rFonts w:hint="eastAsia"/>
          <w:lang w:eastAsia="zh-CN"/>
        </w:rPr>
        <w:t>不要要求秘书长以发布通知或任何其他方式告知其它成员国有关他们之间的争端，</w:t>
      </w:r>
    </w:p>
    <w:p w14:paraId="4827B96B" w14:textId="77777777" w:rsidR="00A27F25" w:rsidRDefault="00AA601A" w:rsidP="00A27F25">
      <w:pPr>
        <w:pStyle w:val="Call"/>
        <w:rPr>
          <w:rFonts w:ascii="STKaiti" w:hAnsi="SimSun"/>
          <w:lang w:eastAsia="zh-CN"/>
        </w:rPr>
      </w:pPr>
      <w:r>
        <w:rPr>
          <w:rFonts w:ascii="STKaiti" w:hAnsi="SimSun" w:hint="eastAsia"/>
          <w:lang w:eastAsia="zh-CN"/>
        </w:rPr>
        <w:t>责成秘书长</w:t>
      </w:r>
    </w:p>
    <w:p w14:paraId="4827B96C" w14:textId="77777777" w:rsidR="00AA601A" w:rsidRDefault="0097151E" w:rsidP="00A27F25">
      <w:pPr>
        <w:ind w:firstLineChars="200" w:firstLine="480"/>
        <w:rPr>
          <w:lang w:eastAsia="zh-CN"/>
        </w:rPr>
      </w:pPr>
      <w:r>
        <w:rPr>
          <w:rFonts w:ascii="SimSun" w:hAnsi="SimSun" w:hint="eastAsia"/>
          <w:lang w:eastAsia="zh-CN"/>
        </w:rPr>
        <w:t>请提出</w:t>
      </w:r>
      <w:r w:rsidR="00AA601A">
        <w:rPr>
          <w:rFonts w:ascii="SimSun" w:hAnsi="SimSun" w:hint="eastAsia"/>
          <w:lang w:eastAsia="zh-CN"/>
        </w:rPr>
        <w:t>对其</w:t>
      </w:r>
      <w:r>
        <w:rPr>
          <w:rFonts w:ascii="SimSun" w:hAnsi="SimSun" w:hint="eastAsia"/>
          <w:lang w:eastAsia="zh-CN"/>
        </w:rPr>
        <w:t>它成员国</w:t>
      </w:r>
      <w:r w:rsidR="00AA601A">
        <w:rPr>
          <w:rFonts w:ascii="SimSun" w:hAnsi="SimSun" w:hint="eastAsia"/>
          <w:lang w:eastAsia="zh-CN"/>
        </w:rPr>
        <w:t>投诉的成员国参照本决议的条款，并通知他们</w:t>
      </w:r>
      <w:r>
        <w:rPr>
          <w:rFonts w:ascii="SimSun" w:hAnsi="SimSun" w:hint="eastAsia"/>
          <w:lang w:eastAsia="zh-CN"/>
        </w:rPr>
        <w:t>，</w:t>
      </w:r>
      <w:r w:rsidR="00AA601A">
        <w:rPr>
          <w:rFonts w:ascii="SimSun" w:hAnsi="SimSun" w:hint="eastAsia"/>
          <w:lang w:eastAsia="zh-CN"/>
        </w:rPr>
        <w:t>他不能满足其要求</w:t>
      </w:r>
      <w:r w:rsidR="00AA601A">
        <w:rPr>
          <w:rFonts w:hint="eastAsia"/>
          <w:lang w:eastAsia="zh-CN"/>
        </w:rPr>
        <w:t>。</w:t>
      </w:r>
    </w:p>
    <w:p w14:paraId="4827B96D" w14:textId="77777777" w:rsidR="00F11D1D" w:rsidRPr="002E405F" w:rsidRDefault="00AA601A" w:rsidP="007663F7">
      <w:pPr>
        <w:pStyle w:val="Endtext"/>
        <w:rPr>
          <w:lang w:val="fr-FR" w:eastAsia="zh-CN"/>
        </w:rPr>
      </w:pPr>
      <w:r>
        <w:rPr>
          <w:rFonts w:ascii="STKaiti" w:hAnsi="SimSun" w:hint="eastAsia"/>
          <w:lang w:eastAsia="zh-CN"/>
        </w:rPr>
        <w:t>参阅：</w:t>
      </w:r>
      <w:r>
        <w:rPr>
          <w:lang w:eastAsia="zh-CN"/>
        </w:rPr>
        <w:tab/>
        <w:t>1212/CA7</w:t>
      </w:r>
      <w:r>
        <w:rPr>
          <w:lang w:eastAsia="zh-CN"/>
        </w:rPr>
        <w:t>（</w:t>
      </w:r>
      <w:r>
        <w:rPr>
          <w:lang w:eastAsia="zh-CN"/>
        </w:rPr>
        <w:t>1952</w:t>
      </w:r>
      <w:r>
        <w:rPr>
          <w:rFonts w:hint="eastAsia"/>
          <w:lang w:eastAsia="zh-CN"/>
        </w:rPr>
        <w:t>年）</w:t>
      </w:r>
      <w:r w:rsidR="0097151E">
        <w:rPr>
          <w:rFonts w:hint="eastAsia"/>
          <w:lang w:eastAsia="zh-CN"/>
        </w:rPr>
        <w:t>、</w:t>
      </w:r>
      <w:r>
        <w:rPr>
          <w:lang w:eastAsia="zh-CN"/>
        </w:rPr>
        <w:t>4965/CA31</w:t>
      </w:r>
      <w:r>
        <w:rPr>
          <w:lang w:eastAsia="zh-CN"/>
        </w:rPr>
        <w:t>（</w:t>
      </w:r>
      <w:r>
        <w:rPr>
          <w:lang w:eastAsia="zh-CN"/>
        </w:rPr>
        <w:t>1976</w:t>
      </w:r>
      <w:r>
        <w:rPr>
          <w:rFonts w:hint="eastAsia"/>
          <w:lang w:eastAsia="zh-CN"/>
        </w:rPr>
        <w:t>年</w:t>
      </w:r>
      <w:r>
        <w:rPr>
          <w:lang w:eastAsia="zh-CN"/>
        </w:rPr>
        <w:t>）</w:t>
      </w:r>
      <w:r w:rsidR="0097151E">
        <w:rPr>
          <w:rFonts w:hint="eastAsia"/>
          <w:lang w:eastAsia="zh-CN"/>
        </w:rPr>
        <w:t>、</w:t>
      </w:r>
      <w:r>
        <w:rPr>
          <w:lang w:eastAsia="zh-CN"/>
        </w:rPr>
        <w:t>6197/CA39</w:t>
      </w:r>
      <w:r>
        <w:rPr>
          <w:lang w:eastAsia="zh-CN"/>
        </w:rPr>
        <w:t>（</w:t>
      </w:r>
      <w:r>
        <w:rPr>
          <w:lang w:eastAsia="zh-CN"/>
        </w:rPr>
        <w:t>1984</w:t>
      </w:r>
      <w:r>
        <w:rPr>
          <w:rFonts w:hint="eastAsia"/>
          <w:lang w:eastAsia="zh-CN"/>
        </w:rPr>
        <w:t>年</w:t>
      </w:r>
      <w:r>
        <w:rPr>
          <w:lang w:eastAsia="zh-CN"/>
        </w:rPr>
        <w:t>）</w:t>
      </w:r>
      <w:r>
        <w:rPr>
          <w:rFonts w:ascii="SimSun" w:hAnsi="SimSun" w:hint="eastAsia"/>
          <w:lang w:eastAsia="zh-CN"/>
        </w:rPr>
        <w:t>号文件。</w:t>
      </w:r>
    </w:p>
    <w:p w14:paraId="4827B96E" w14:textId="77777777" w:rsidR="00FD528B" w:rsidRDefault="00FD528B" w:rsidP="00FD528B">
      <w:pPr>
        <w:jc w:val="center"/>
        <w:rPr>
          <w:lang w:eastAsia="zh-CN"/>
        </w:rPr>
      </w:pPr>
      <w:bookmarkStart w:id="2465" w:name="_Toc424117125"/>
      <w:bookmarkStart w:id="2466" w:name="_Toc531706475"/>
      <w:bookmarkStart w:id="2467" w:name="_Toc531707088"/>
      <w:bookmarkStart w:id="2468" w:name="_Toc531768567"/>
      <w:bookmarkStart w:id="2469" w:name="_Toc161224107"/>
      <w:bookmarkStart w:id="2470" w:name="_Toc161732153"/>
      <w:bookmarkStart w:id="2471" w:name="_Toc161741085"/>
      <w:bookmarkStart w:id="2472" w:name="_Toc185237751"/>
      <w:bookmarkStart w:id="2473" w:name="_Toc311469663"/>
      <w:r>
        <w:rPr>
          <w:lang w:eastAsia="zh-CN"/>
        </w:rPr>
        <w:t>______________</w:t>
      </w:r>
    </w:p>
    <w:p w14:paraId="4827B96F" w14:textId="77777777" w:rsidR="007663F7" w:rsidRPr="007663F7" w:rsidRDefault="002F0D08" w:rsidP="000D18CD">
      <w:pPr>
        <w:pStyle w:val="ResNo"/>
        <w:spacing w:before="600"/>
        <w:outlineLvl w:val="0"/>
        <w:rPr>
          <w:lang w:eastAsia="zh-CN"/>
        </w:rPr>
      </w:pPr>
      <w:bookmarkStart w:id="2474" w:name="_Toc16085894"/>
      <w:bookmarkStart w:id="2475" w:name="_Toc86395689"/>
      <w:r w:rsidRPr="007663F7">
        <w:rPr>
          <w:rFonts w:hint="eastAsia"/>
          <w:lang w:eastAsia="zh-CN"/>
        </w:rPr>
        <w:t>第</w:t>
      </w:r>
      <w:r w:rsidRPr="007663F7">
        <w:rPr>
          <w:lang w:eastAsia="zh-CN"/>
        </w:rPr>
        <w:t>1008</w:t>
      </w:r>
      <w:r w:rsidRPr="007663F7">
        <w:rPr>
          <w:rFonts w:hint="eastAsia"/>
          <w:lang w:eastAsia="zh-CN"/>
        </w:rPr>
        <w:t>号决议</w:t>
      </w:r>
      <w:r w:rsidR="007663F7">
        <w:rPr>
          <w:rFonts w:hint="eastAsia"/>
          <w:lang w:eastAsia="zh-CN"/>
        </w:rPr>
        <w:t>（</w:t>
      </w:r>
      <w:r w:rsidR="007663F7" w:rsidRPr="007663F7">
        <w:rPr>
          <w:lang w:eastAsia="zh-CN"/>
        </w:rPr>
        <w:t>C-1990</w:t>
      </w:r>
      <w:r w:rsidR="007663F7">
        <w:rPr>
          <w:rFonts w:hint="eastAsia"/>
          <w:lang w:eastAsia="zh-CN"/>
        </w:rPr>
        <w:t>）</w:t>
      </w:r>
      <w:bookmarkEnd w:id="2465"/>
      <w:bookmarkEnd w:id="2466"/>
      <w:bookmarkEnd w:id="2467"/>
      <w:bookmarkEnd w:id="2468"/>
      <w:bookmarkEnd w:id="2474"/>
      <w:bookmarkEnd w:id="2475"/>
    </w:p>
    <w:p w14:paraId="4827B970" w14:textId="77777777" w:rsidR="002F0D08" w:rsidRPr="007663F7" w:rsidRDefault="002F0D08" w:rsidP="007663F7">
      <w:pPr>
        <w:pStyle w:val="Restitle"/>
        <w:rPr>
          <w:lang w:eastAsia="zh-CN"/>
        </w:rPr>
      </w:pPr>
      <w:bookmarkStart w:id="2476" w:name="_Toc424116270"/>
      <w:bookmarkStart w:id="2477" w:name="_Toc424117126"/>
      <w:bookmarkStart w:id="2478" w:name="_Toc460248239"/>
      <w:bookmarkStart w:id="2479" w:name="_Toc531706476"/>
      <w:bookmarkStart w:id="2480" w:name="_Toc531707089"/>
      <w:bookmarkStart w:id="2481" w:name="_Toc531768568"/>
      <w:bookmarkStart w:id="2482" w:name="_Toc16085895"/>
      <w:bookmarkStart w:id="2483" w:name="_Toc86395690"/>
      <w:r w:rsidRPr="00103004">
        <w:rPr>
          <w:rFonts w:hint="eastAsia"/>
          <w:bCs/>
          <w:lang w:eastAsia="zh-CN"/>
        </w:rPr>
        <w:t>查明有关以色列违反</w:t>
      </w:r>
      <w:r>
        <w:rPr>
          <w:rFonts w:hint="eastAsia"/>
          <w:lang w:eastAsia="zh-CN"/>
        </w:rPr>
        <w:t>《国际电信公约》的事实的委员会</w:t>
      </w:r>
      <w:bookmarkEnd w:id="2469"/>
      <w:bookmarkEnd w:id="2470"/>
      <w:bookmarkEnd w:id="2471"/>
      <w:bookmarkEnd w:id="2472"/>
      <w:bookmarkEnd w:id="2473"/>
      <w:bookmarkEnd w:id="2476"/>
      <w:bookmarkEnd w:id="2477"/>
      <w:bookmarkEnd w:id="2478"/>
      <w:bookmarkEnd w:id="2479"/>
      <w:bookmarkEnd w:id="2480"/>
      <w:bookmarkEnd w:id="2481"/>
      <w:bookmarkEnd w:id="2482"/>
      <w:bookmarkEnd w:id="2483"/>
    </w:p>
    <w:p w14:paraId="4827B971" w14:textId="77777777" w:rsidR="00AA601A" w:rsidRDefault="00AA601A" w:rsidP="007663F7">
      <w:pPr>
        <w:pStyle w:val="Normalaftertitle"/>
        <w:rPr>
          <w:lang w:eastAsia="zh-CN"/>
        </w:rPr>
      </w:pPr>
      <w:r>
        <w:rPr>
          <w:rFonts w:hint="eastAsia"/>
          <w:lang w:eastAsia="zh-CN"/>
        </w:rPr>
        <w:t>理事会，</w:t>
      </w:r>
    </w:p>
    <w:p w14:paraId="4827B972" w14:textId="77777777" w:rsidR="00AA601A" w:rsidRDefault="00AA601A" w:rsidP="007663F7">
      <w:pPr>
        <w:rPr>
          <w:lang w:eastAsia="zh-CN"/>
        </w:rPr>
      </w:pPr>
      <w:r>
        <w:rPr>
          <w:lang w:eastAsia="zh-CN"/>
        </w:rPr>
        <w:tab/>
      </w:r>
      <w:r>
        <w:rPr>
          <w:rFonts w:ascii="STKaiti" w:eastAsia="STKaiti" w:hAnsi="SimSun" w:hint="eastAsia"/>
          <w:lang w:eastAsia="zh-CN"/>
        </w:rPr>
        <w:t>依照</w:t>
      </w:r>
      <w:r>
        <w:rPr>
          <w:lang w:eastAsia="zh-CN"/>
        </w:rPr>
        <w:t>1989</w:t>
      </w:r>
      <w:r>
        <w:rPr>
          <w:rFonts w:hint="eastAsia"/>
          <w:lang w:eastAsia="zh-CN"/>
        </w:rPr>
        <w:t>年尼斯全权代表大会第</w:t>
      </w:r>
      <w:r>
        <w:rPr>
          <w:lang w:eastAsia="zh-CN"/>
        </w:rPr>
        <w:t>64</w:t>
      </w:r>
      <w:r>
        <w:rPr>
          <w:lang w:eastAsia="zh-CN"/>
        </w:rPr>
        <w:t>（</w:t>
      </w:r>
      <w:r>
        <w:rPr>
          <w:lang w:eastAsia="zh-CN"/>
        </w:rPr>
        <w:t>PLEN/2</w:t>
      </w:r>
      <w:r>
        <w:rPr>
          <w:lang w:eastAsia="zh-CN"/>
        </w:rPr>
        <w:t>）</w:t>
      </w:r>
      <w:r>
        <w:rPr>
          <w:rFonts w:hint="eastAsia"/>
          <w:lang w:eastAsia="zh-CN"/>
        </w:rPr>
        <w:t>号决议，</w:t>
      </w:r>
    </w:p>
    <w:p w14:paraId="4827B973" w14:textId="77777777" w:rsidR="00AA601A" w:rsidRDefault="00AA601A" w:rsidP="007663F7">
      <w:pPr>
        <w:rPr>
          <w:lang w:eastAsia="zh-CN"/>
        </w:rPr>
      </w:pPr>
      <w:r>
        <w:rPr>
          <w:lang w:eastAsia="zh-CN"/>
        </w:rPr>
        <w:tab/>
      </w:r>
      <w:r>
        <w:rPr>
          <w:rFonts w:ascii="STKaiti" w:eastAsia="STKaiti" w:hAnsi="SimSun" w:hint="eastAsia"/>
          <w:lang w:eastAsia="zh-CN"/>
        </w:rPr>
        <w:t>考虑到</w:t>
      </w:r>
      <w:r>
        <w:rPr>
          <w:rFonts w:hint="eastAsia"/>
          <w:lang w:eastAsia="zh-CN"/>
        </w:rPr>
        <w:t>国际电联全权代表大会第</w:t>
      </w:r>
      <w:r>
        <w:rPr>
          <w:lang w:eastAsia="zh-CN"/>
        </w:rPr>
        <w:t>64</w:t>
      </w:r>
      <w:r>
        <w:rPr>
          <w:lang w:eastAsia="zh-CN"/>
        </w:rPr>
        <w:t>（</w:t>
      </w:r>
      <w:r>
        <w:rPr>
          <w:lang w:eastAsia="zh-CN"/>
        </w:rPr>
        <w:t>PLEN/2</w:t>
      </w:r>
      <w:r>
        <w:rPr>
          <w:lang w:eastAsia="zh-CN"/>
        </w:rPr>
        <w:t>）</w:t>
      </w:r>
      <w:r>
        <w:rPr>
          <w:rFonts w:hint="eastAsia"/>
          <w:lang w:eastAsia="zh-CN"/>
        </w:rPr>
        <w:t>号决议（</w:t>
      </w:r>
      <w:r>
        <w:rPr>
          <w:lang w:eastAsia="zh-CN"/>
        </w:rPr>
        <w:t>1989</w:t>
      </w:r>
      <w:r>
        <w:rPr>
          <w:rFonts w:hint="eastAsia"/>
          <w:lang w:eastAsia="zh-CN"/>
        </w:rPr>
        <w:t>年，尼斯）责成理事会成立一个由理事国组成的委员会，调查以色列违反《国际电信公约》（</w:t>
      </w:r>
      <w:r>
        <w:rPr>
          <w:lang w:eastAsia="zh-CN"/>
        </w:rPr>
        <w:t>1982</w:t>
      </w:r>
      <w:r>
        <w:rPr>
          <w:rFonts w:hint="eastAsia"/>
          <w:lang w:eastAsia="zh-CN"/>
        </w:rPr>
        <w:t>年，内罗毕）的事实，并就此事向理事会报告，</w:t>
      </w:r>
    </w:p>
    <w:p w14:paraId="4827B974" w14:textId="77777777" w:rsidR="00AA601A" w:rsidRPr="0035791E" w:rsidRDefault="00AA601A" w:rsidP="00B64353">
      <w:pPr>
        <w:pStyle w:val="Call"/>
        <w:rPr>
          <w:lang w:eastAsia="zh-CN"/>
        </w:rPr>
      </w:pPr>
      <w:r w:rsidRPr="0035791E">
        <w:rPr>
          <w:lang w:eastAsia="zh-CN"/>
        </w:rPr>
        <w:t>考虑到</w:t>
      </w:r>
    </w:p>
    <w:p w14:paraId="4827B975" w14:textId="77777777" w:rsidR="00AA601A" w:rsidRDefault="00AA601A" w:rsidP="007663F7">
      <w:pPr>
        <w:rPr>
          <w:lang w:eastAsia="zh-CN"/>
        </w:rPr>
      </w:pPr>
      <w:r w:rsidRPr="00A27F25">
        <w:rPr>
          <w:i/>
          <w:iCs/>
          <w:lang w:eastAsia="zh-CN"/>
        </w:rPr>
        <w:t>a</w:t>
      </w:r>
      <w:r w:rsidR="000E6A83" w:rsidRPr="00A27F25">
        <w:rPr>
          <w:i/>
          <w:iCs/>
          <w:lang w:eastAsia="zh-CN"/>
        </w:rPr>
        <w:t>)</w:t>
      </w:r>
      <w:r w:rsidR="000E6A83">
        <w:rPr>
          <w:lang w:eastAsia="zh-CN"/>
        </w:rPr>
        <w:tab/>
      </w:r>
      <w:r>
        <w:rPr>
          <w:rFonts w:hint="eastAsia"/>
          <w:lang w:eastAsia="zh-CN"/>
        </w:rPr>
        <w:t>理事国在第</w:t>
      </w:r>
      <w:r>
        <w:rPr>
          <w:lang w:eastAsia="zh-CN"/>
        </w:rPr>
        <w:t>45</w:t>
      </w:r>
      <w:r>
        <w:rPr>
          <w:rFonts w:hint="eastAsia"/>
          <w:lang w:eastAsia="zh-CN"/>
        </w:rPr>
        <w:t>次会议上的磋商结果，</w:t>
      </w:r>
    </w:p>
    <w:p w14:paraId="4827B976" w14:textId="77777777" w:rsidR="00AA601A" w:rsidRDefault="00AA601A" w:rsidP="00B64353">
      <w:pPr>
        <w:rPr>
          <w:lang w:eastAsia="zh-CN"/>
        </w:rPr>
      </w:pPr>
      <w:r w:rsidRPr="00A27F25">
        <w:rPr>
          <w:i/>
          <w:iCs/>
          <w:lang w:eastAsia="zh-CN"/>
        </w:rPr>
        <w:t>b</w:t>
      </w:r>
      <w:r w:rsidR="000E6A83" w:rsidRPr="00A27F25">
        <w:rPr>
          <w:i/>
          <w:iCs/>
          <w:lang w:eastAsia="zh-CN"/>
        </w:rPr>
        <w:t>)</w:t>
      </w:r>
      <w:r w:rsidR="000E6A83">
        <w:rPr>
          <w:lang w:eastAsia="zh-CN"/>
        </w:rPr>
        <w:tab/>
      </w:r>
      <w:r>
        <w:rPr>
          <w:rFonts w:hint="eastAsia"/>
          <w:lang w:eastAsia="zh-CN"/>
        </w:rPr>
        <w:t>有必要成立一个由理事国组成的调查委员会，既保证平衡的地域分配又使每个理事国能为该委员会提供服务，</w:t>
      </w:r>
    </w:p>
    <w:p w14:paraId="4827B977" w14:textId="77777777" w:rsidR="00FD528B" w:rsidRDefault="00AA601A" w:rsidP="00B64353">
      <w:pPr>
        <w:rPr>
          <w:lang w:eastAsia="zh-CN"/>
        </w:rPr>
      </w:pPr>
      <w:r w:rsidRPr="00A27F25">
        <w:rPr>
          <w:i/>
          <w:iCs/>
          <w:lang w:eastAsia="zh-CN"/>
        </w:rPr>
        <w:t>c</w:t>
      </w:r>
      <w:r w:rsidR="000E6A83" w:rsidRPr="00A27F25">
        <w:rPr>
          <w:i/>
          <w:iCs/>
          <w:lang w:eastAsia="zh-CN"/>
        </w:rPr>
        <w:t>)</w:t>
      </w:r>
      <w:r w:rsidR="000E6A83">
        <w:rPr>
          <w:lang w:eastAsia="zh-CN"/>
        </w:rPr>
        <w:tab/>
      </w:r>
      <w:r>
        <w:rPr>
          <w:rFonts w:hint="eastAsia"/>
          <w:lang w:eastAsia="zh-CN"/>
        </w:rPr>
        <w:t>理事会第</w:t>
      </w:r>
      <w:r>
        <w:rPr>
          <w:lang w:eastAsia="zh-CN"/>
        </w:rPr>
        <w:t>45</w:t>
      </w:r>
      <w:r>
        <w:rPr>
          <w:rFonts w:hint="eastAsia"/>
          <w:lang w:eastAsia="zh-CN"/>
        </w:rPr>
        <w:t>次会议未能成立该委员会，</w:t>
      </w:r>
    </w:p>
    <w:p w14:paraId="4827B978" w14:textId="77777777" w:rsidR="00FD528B" w:rsidRDefault="00FD528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979" w14:textId="77777777" w:rsidR="00AA601A" w:rsidRPr="0035791E" w:rsidRDefault="00AA601A" w:rsidP="00B64353">
      <w:pPr>
        <w:pStyle w:val="Call"/>
        <w:rPr>
          <w:lang w:eastAsia="zh-CN"/>
        </w:rPr>
      </w:pPr>
      <w:r w:rsidRPr="0035791E">
        <w:rPr>
          <w:rFonts w:hint="eastAsia"/>
          <w:lang w:eastAsia="zh-CN"/>
        </w:rPr>
        <w:lastRenderedPageBreak/>
        <w:t>做出决议</w:t>
      </w:r>
    </w:p>
    <w:p w14:paraId="4827B97A" w14:textId="77777777" w:rsidR="00AA601A" w:rsidRDefault="00AA601A" w:rsidP="007663F7">
      <w:pPr>
        <w:rPr>
          <w:lang w:eastAsia="zh-CN"/>
        </w:rPr>
      </w:pPr>
      <w:r>
        <w:rPr>
          <w:lang w:eastAsia="zh-CN"/>
        </w:rPr>
        <w:t>1</w:t>
      </w:r>
      <w:r w:rsidR="00E04370">
        <w:rPr>
          <w:lang w:eastAsia="zh-CN"/>
        </w:rPr>
        <w:tab/>
      </w:r>
      <w:r>
        <w:rPr>
          <w:rFonts w:hint="eastAsia"/>
          <w:lang w:eastAsia="zh-CN"/>
        </w:rPr>
        <w:t>上述委员会的职责权限应当是调查以色列违反《国际电信公约》（</w:t>
      </w:r>
      <w:r>
        <w:rPr>
          <w:lang w:eastAsia="zh-CN"/>
        </w:rPr>
        <w:t>1982</w:t>
      </w:r>
      <w:r>
        <w:rPr>
          <w:rFonts w:hint="eastAsia"/>
          <w:lang w:eastAsia="zh-CN"/>
        </w:rPr>
        <w:t>年，内罗毕）</w:t>
      </w:r>
      <w:r w:rsidR="005279EC">
        <w:rPr>
          <w:rStyle w:val="FootnoteReference"/>
          <w:lang w:eastAsia="zh-CN"/>
        </w:rPr>
        <w:footnoteReference w:customMarkFollows="1" w:id="16"/>
        <w:t>1</w:t>
      </w:r>
      <w:r>
        <w:rPr>
          <w:rFonts w:hint="eastAsia"/>
          <w:lang w:eastAsia="zh-CN"/>
        </w:rPr>
        <w:t>的事实，即在巴勒斯坦和其他阿拉伯被占领土上，阻碍巴勒斯坦人民和阿拉伯平民无限制地使用电信设施的事实；</w:t>
      </w:r>
    </w:p>
    <w:p w14:paraId="4827B97B" w14:textId="77777777" w:rsidR="00AA601A" w:rsidRDefault="00AA601A" w:rsidP="007663F7">
      <w:pPr>
        <w:rPr>
          <w:lang w:eastAsia="zh-CN"/>
        </w:rPr>
      </w:pPr>
      <w:r>
        <w:rPr>
          <w:lang w:eastAsia="zh-CN"/>
        </w:rPr>
        <w:t>2</w:t>
      </w:r>
      <w:r w:rsidR="00E04370">
        <w:rPr>
          <w:lang w:eastAsia="zh-CN"/>
        </w:rPr>
        <w:tab/>
      </w:r>
      <w:r>
        <w:rPr>
          <w:rFonts w:hint="eastAsia"/>
          <w:lang w:eastAsia="zh-CN"/>
        </w:rPr>
        <w:t>委托秘书长在三个月内，最晚不迟于</w:t>
      </w:r>
      <w:r>
        <w:rPr>
          <w:lang w:eastAsia="zh-CN"/>
        </w:rPr>
        <w:t>1990</w:t>
      </w:r>
      <w:r>
        <w:rPr>
          <w:rFonts w:hint="eastAsia"/>
          <w:lang w:eastAsia="zh-CN"/>
        </w:rPr>
        <w:t>年</w:t>
      </w:r>
      <w:r>
        <w:rPr>
          <w:lang w:eastAsia="zh-CN"/>
        </w:rPr>
        <w:t>12</w:t>
      </w:r>
      <w:r>
        <w:rPr>
          <w:rFonts w:hint="eastAsia"/>
          <w:lang w:eastAsia="zh-CN"/>
        </w:rPr>
        <w:t>月</w:t>
      </w:r>
      <w:r>
        <w:rPr>
          <w:lang w:eastAsia="zh-CN"/>
        </w:rPr>
        <w:t>31</w:t>
      </w:r>
      <w:r>
        <w:rPr>
          <w:rFonts w:hint="eastAsia"/>
          <w:lang w:eastAsia="zh-CN"/>
        </w:rPr>
        <w:t>日，成立一个由来自不同地区的五个主管部门组成的调查委员会；</w:t>
      </w:r>
    </w:p>
    <w:p w14:paraId="4827B97C" w14:textId="77777777" w:rsidR="00AA601A" w:rsidRDefault="00AA601A" w:rsidP="007663F7">
      <w:pPr>
        <w:rPr>
          <w:lang w:eastAsia="zh-CN"/>
        </w:rPr>
      </w:pPr>
      <w:r>
        <w:rPr>
          <w:lang w:eastAsia="zh-CN"/>
        </w:rPr>
        <w:t>3</w:t>
      </w:r>
      <w:r w:rsidR="00E04370">
        <w:rPr>
          <w:lang w:eastAsia="zh-CN"/>
        </w:rPr>
        <w:tab/>
      </w:r>
      <w:r w:rsidR="00233188">
        <w:rPr>
          <w:rFonts w:hint="eastAsia"/>
          <w:lang w:eastAsia="zh-CN"/>
        </w:rPr>
        <w:t>该</w:t>
      </w:r>
      <w:r>
        <w:rPr>
          <w:rFonts w:hint="eastAsia"/>
          <w:lang w:eastAsia="zh-CN"/>
        </w:rPr>
        <w:t>委员会可以选出自己的主席，</w:t>
      </w:r>
    </w:p>
    <w:p w14:paraId="4827B97D" w14:textId="77777777" w:rsidR="00274C98" w:rsidRDefault="00AA601A" w:rsidP="00E223C8">
      <w:pPr>
        <w:pStyle w:val="Call"/>
        <w:rPr>
          <w:lang w:eastAsia="zh-CN"/>
        </w:rPr>
      </w:pPr>
      <w:r>
        <w:rPr>
          <w:rFonts w:hint="eastAsia"/>
          <w:lang w:eastAsia="zh-CN"/>
        </w:rPr>
        <w:t>责成秘书长</w:t>
      </w:r>
    </w:p>
    <w:p w14:paraId="4827B97E" w14:textId="77777777" w:rsidR="00AA601A" w:rsidRDefault="00AA601A" w:rsidP="00274C98">
      <w:pPr>
        <w:ind w:firstLine="510"/>
        <w:rPr>
          <w:lang w:eastAsia="zh-CN"/>
        </w:rPr>
      </w:pPr>
      <w:r>
        <w:rPr>
          <w:rFonts w:ascii="SimSun" w:hAnsi="SimSun" w:hint="eastAsia"/>
          <w:lang w:eastAsia="zh-CN"/>
        </w:rPr>
        <w:t>利用现有资源向该委员会提供秘书处服务或其它帮助，</w:t>
      </w:r>
    </w:p>
    <w:p w14:paraId="4827B97F" w14:textId="77777777" w:rsidR="00274C98" w:rsidRDefault="00AA601A" w:rsidP="00E223C8">
      <w:pPr>
        <w:pStyle w:val="Call"/>
        <w:rPr>
          <w:lang w:eastAsia="zh-CN"/>
        </w:rPr>
      </w:pPr>
      <w:r>
        <w:rPr>
          <w:rFonts w:hint="eastAsia"/>
          <w:lang w:eastAsia="zh-CN"/>
        </w:rPr>
        <w:t>请国际电联成员国</w:t>
      </w:r>
    </w:p>
    <w:p w14:paraId="4827B980" w14:textId="77777777" w:rsidR="00AA601A" w:rsidRDefault="00AA601A" w:rsidP="00274C98">
      <w:pPr>
        <w:ind w:firstLine="510"/>
        <w:rPr>
          <w:lang w:eastAsia="zh-CN"/>
        </w:rPr>
      </w:pPr>
      <w:r>
        <w:rPr>
          <w:rFonts w:hint="eastAsia"/>
          <w:lang w:eastAsia="zh-CN"/>
        </w:rPr>
        <w:t>为便于</w:t>
      </w:r>
      <w:r w:rsidR="00233188">
        <w:rPr>
          <w:rFonts w:hint="eastAsia"/>
          <w:lang w:eastAsia="zh-CN"/>
        </w:rPr>
        <w:t>该</w:t>
      </w:r>
      <w:r>
        <w:rPr>
          <w:rFonts w:hint="eastAsia"/>
          <w:lang w:eastAsia="zh-CN"/>
        </w:rPr>
        <w:t>委员会开展工作提供一切协助，</w:t>
      </w:r>
    </w:p>
    <w:p w14:paraId="4827B981" w14:textId="77777777" w:rsidR="00274C98" w:rsidRDefault="00AA601A" w:rsidP="00E223C8">
      <w:pPr>
        <w:pStyle w:val="Call"/>
        <w:rPr>
          <w:lang w:eastAsia="zh-CN"/>
        </w:rPr>
      </w:pPr>
      <w:r>
        <w:rPr>
          <w:rFonts w:hint="eastAsia"/>
          <w:lang w:eastAsia="zh-CN"/>
        </w:rPr>
        <w:t>请</w:t>
      </w:r>
      <w:r w:rsidR="00233188">
        <w:rPr>
          <w:rFonts w:hint="eastAsia"/>
          <w:lang w:eastAsia="zh-CN"/>
        </w:rPr>
        <w:t>该</w:t>
      </w:r>
      <w:r>
        <w:rPr>
          <w:rFonts w:hint="eastAsia"/>
          <w:lang w:eastAsia="zh-CN"/>
        </w:rPr>
        <w:t>委员会</w:t>
      </w:r>
    </w:p>
    <w:p w14:paraId="4827B982" w14:textId="77777777" w:rsidR="00AA601A" w:rsidRDefault="00AA601A" w:rsidP="00274C98">
      <w:pPr>
        <w:ind w:firstLine="510"/>
        <w:rPr>
          <w:lang w:eastAsia="zh-CN"/>
        </w:rPr>
      </w:pPr>
      <w:r>
        <w:rPr>
          <w:rFonts w:hint="eastAsia"/>
          <w:lang w:eastAsia="zh-CN"/>
        </w:rPr>
        <w:t>尽快完成工作，并向</w:t>
      </w:r>
      <w:r w:rsidR="00233188">
        <w:rPr>
          <w:rFonts w:hint="eastAsia"/>
          <w:lang w:eastAsia="zh-CN"/>
        </w:rPr>
        <w:t>理事会</w:t>
      </w:r>
      <w:r>
        <w:rPr>
          <w:rFonts w:hint="eastAsia"/>
          <w:lang w:eastAsia="zh-CN"/>
        </w:rPr>
        <w:t>第</w:t>
      </w:r>
      <w:r>
        <w:rPr>
          <w:lang w:eastAsia="zh-CN"/>
        </w:rPr>
        <w:t>46</w:t>
      </w:r>
      <w:r>
        <w:rPr>
          <w:rFonts w:hint="eastAsia"/>
          <w:lang w:eastAsia="zh-CN"/>
        </w:rPr>
        <w:t>届会议提交报告。</w:t>
      </w:r>
    </w:p>
    <w:p w14:paraId="4827B983" w14:textId="77777777" w:rsidR="00F11D1D" w:rsidRPr="00D746C3" w:rsidRDefault="00AA601A" w:rsidP="007663F7">
      <w:pPr>
        <w:pStyle w:val="Endtext"/>
        <w:rPr>
          <w:lang w:eastAsia="zh-CN"/>
        </w:rPr>
      </w:pPr>
      <w:r>
        <w:rPr>
          <w:rFonts w:ascii="STKaiti" w:hAnsi="SimSun" w:hint="eastAsia"/>
          <w:lang w:eastAsia="zh-CN"/>
        </w:rPr>
        <w:t>参阅：</w:t>
      </w:r>
      <w:r w:rsidR="00693664">
        <w:rPr>
          <w:lang w:eastAsia="zh-CN"/>
        </w:rPr>
        <w:tab/>
        <w:t>7074</w:t>
      </w:r>
      <w:r>
        <w:rPr>
          <w:rFonts w:hint="eastAsia"/>
          <w:lang w:eastAsia="zh-CN"/>
        </w:rPr>
        <w:t>和</w:t>
      </w:r>
      <w:r>
        <w:rPr>
          <w:lang w:eastAsia="zh-CN"/>
        </w:rPr>
        <w:t>7076/CA45</w:t>
      </w:r>
      <w:r>
        <w:rPr>
          <w:lang w:eastAsia="zh-CN"/>
        </w:rPr>
        <w:t>（</w:t>
      </w:r>
      <w:r>
        <w:rPr>
          <w:lang w:eastAsia="zh-CN"/>
        </w:rPr>
        <w:t>1990</w:t>
      </w:r>
      <w:r>
        <w:rPr>
          <w:rFonts w:hint="eastAsia"/>
          <w:lang w:eastAsia="zh-CN"/>
        </w:rPr>
        <w:t>年</w:t>
      </w:r>
      <w:r>
        <w:rPr>
          <w:lang w:eastAsia="zh-CN"/>
        </w:rPr>
        <w:t>）</w:t>
      </w:r>
      <w:r>
        <w:rPr>
          <w:rFonts w:ascii="SimSun" w:hAnsi="SimSun" w:hint="eastAsia"/>
          <w:lang w:eastAsia="zh-CN"/>
        </w:rPr>
        <w:t>号文件。</w:t>
      </w:r>
    </w:p>
    <w:p w14:paraId="4827B984" w14:textId="77777777" w:rsidR="00FD528B" w:rsidRDefault="00FD528B" w:rsidP="00FD528B">
      <w:pPr>
        <w:jc w:val="center"/>
        <w:rPr>
          <w:lang w:eastAsia="zh-CN"/>
        </w:rPr>
      </w:pPr>
      <w:bookmarkStart w:id="2484" w:name="_Toc424117127"/>
      <w:bookmarkStart w:id="2485" w:name="_Toc531706477"/>
      <w:bookmarkStart w:id="2486" w:name="_Toc531707090"/>
      <w:bookmarkStart w:id="2487" w:name="_Toc531768569"/>
      <w:bookmarkStart w:id="2488" w:name="_Toc161224108"/>
      <w:bookmarkStart w:id="2489" w:name="_Toc161732154"/>
      <w:bookmarkStart w:id="2490" w:name="_Toc161741086"/>
      <w:bookmarkStart w:id="2491" w:name="_Toc185237752"/>
      <w:bookmarkStart w:id="2492" w:name="_Toc311469664"/>
      <w:r>
        <w:rPr>
          <w:lang w:eastAsia="zh-CN"/>
        </w:rPr>
        <w:t>______________</w:t>
      </w:r>
    </w:p>
    <w:p w14:paraId="4827B985" w14:textId="77777777" w:rsidR="007663F7" w:rsidRPr="007663F7" w:rsidRDefault="00AA601A" w:rsidP="000D18CD">
      <w:pPr>
        <w:pStyle w:val="ResNo"/>
        <w:outlineLvl w:val="0"/>
        <w:rPr>
          <w:lang w:eastAsia="zh-CN"/>
        </w:rPr>
      </w:pPr>
      <w:bookmarkStart w:id="2493" w:name="_Toc16085896"/>
      <w:bookmarkStart w:id="2494" w:name="_Toc86395691"/>
      <w:r w:rsidRPr="007663F7">
        <w:rPr>
          <w:rFonts w:hint="eastAsia"/>
          <w:lang w:eastAsia="zh-CN"/>
        </w:rPr>
        <w:t>第</w:t>
      </w:r>
      <w:r w:rsidRPr="007663F7">
        <w:rPr>
          <w:lang w:eastAsia="zh-CN"/>
        </w:rPr>
        <w:t>1097</w:t>
      </w:r>
      <w:r w:rsidRPr="007663F7">
        <w:rPr>
          <w:rFonts w:hint="eastAsia"/>
          <w:lang w:eastAsia="zh-CN"/>
        </w:rPr>
        <w:t>号决议</w:t>
      </w:r>
      <w:r w:rsidR="007663F7">
        <w:rPr>
          <w:rFonts w:hint="eastAsia"/>
          <w:lang w:eastAsia="zh-CN"/>
        </w:rPr>
        <w:t>（</w:t>
      </w:r>
      <w:r w:rsidR="007663F7" w:rsidRPr="007663F7">
        <w:rPr>
          <w:lang w:eastAsia="zh-CN"/>
        </w:rPr>
        <w:t>C-1996</w:t>
      </w:r>
      <w:r w:rsidR="007663F7">
        <w:rPr>
          <w:rFonts w:hint="eastAsia"/>
          <w:lang w:eastAsia="zh-CN"/>
        </w:rPr>
        <w:t>）</w:t>
      </w:r>
      <w:bookmarkEnd w:id="2484"/>
      <w:bookmarkEnd w:id="2485"/>
      <w:bookmarkEnd w:id="2486"/>
      <w:bookmarkEnd w:id="2487"/>
      <w:bookmarkEnd w:id="2493"/>
      <w:bookmarkEnd w:id="2494"/>
    </w:p>
    <w:p w14:paraId="4827B986" w14:textId="77777777" w:rsidR="00AA601A" w:rsidRPr="007663F7" w:rsidRDefault="00AA601A" w:rsidP="00C504EF">
      <w:pPr>
        <w:pStyle w:val="Restitle"/>
        <w:rPr>
          <w:lang w:eastAsia="zh-CN"/>
        </w:rPr>
      </w:pPr>
      <w:bookmarkStart w:id="2495" w:name="_Toc424116271"/>
      <w:bookmarkStart w:id="2496" w:name="_Toc424117128"/>
      <w:bookmarkStart w:id="2497" w:name="_Toc460248241"/>
      <w:bookmarkStart w:id="2498" w:name="_Toc531706478"/>
      <w:bookmarkStart w:id="2499" w:name="_Toc531707091"/>
      <w:bookmarkStart w:id="2500" w:name="_Toc531768570"/>
      <w:bookmarkStart w:id="2501" w:name="_Toc16085897"/>
      <w:bookmarkStart w:id="2502" w:name="_Toc86395692"/>
      <w:r>
        <w:rPr>
          <w:rFonts w:hint="eastAsia"/>
          <w:lang w:eastAsia="zh-CN"/>
        </w:rPr>
        <w:t>国际电联成员国的投票表决权</w:t>
      </w:r>
      <w:bookmarkEnd w:id="2488"/>
      <w:bookmarkEnd w:id="2489"/>
      <w:bookmarkEnd w:id="2490"/>
      <w:bookmarkEnd w:id="2491"/>
      <w:bookmarkEnd w:id="2492"/>
      <w:bookmarkEnd w:id="2495"/>
      <w:bookmarkEnd w:id="2496"/>
      <w:bookmarkEnd w:id="2497"/>
      <w:bookmarkEnd w:id="2498"/>
      <w:bookmarkEnd w:id="2499"/>
      <w:bookmarkEnd w:id="2500"/>
      <w:bookmarkEnd w:id="2501"/>
      <w:bookmarkEnd w:id="2502"/>
    </w:p>
    <w:p w14:paraId="4827B987" w14:textId="77777777" w:rsidR="00AA601A" w:rsidRDefault="00AA601A" w:rsidP="007663F7">
      <w:pPr>
        <w:pStyle w:val="Normalaftertitle"/>
        <w:rPr>
          <w:lang w:eastAsia="zh-CN"/>
        </w:rPr>
      </w:pPr>
      <w:r>
        <w:rPr>
          <w:rFonts w:hint="eastAsia"/>
          <w:lang w:eastAsia="zh-CN"/>
        </w:rPr>
        <w:t>理事会，</w:t>
      </w:r>
    </w:p>
    <w:p w14:paraId="4827B988" w14:textId="77777777" w:rsidR="00AA601A" w:rsidRDefault="00AA601A" w:rsidP="00B64353">
      <w:pPr>
        <w:pStyle w:val="Call"/>
        <w:rPr>
          <w:lang w:eastAsia="zh-CN"/>
        </w:rPr>
      </w:pPr>
      <w:r>
        <w:rPr>
          <w:rFonts w:hint="eastAsia"/>
          <w:lang w:eastAsia="zh-CN"/>
        </w:rPr>
        <w:t>注意到</w:t>
      </w:r>
    </w:p>
    <w:p w14:paraId="4827B989" w14:textId="77777777" w:rsidR="00AA601A" w:rsidRDefault="00AA601A" w:rsidP="00B64353">
      <w:pPr>
        <w:rPr>
          <w:lang w:eastAsia="zh-CN"/>
        </w:rPr>
      </w:pPr>
      <w:r w:rsidRPr="00A27F25">
        <w:rPr>
          <w:i/>
          <w:iCs/>
          <w:lang w:eastAsia="zh-CN"/>
        </w:rPr>
        <w:t>a</w:t>
      </w:r>
      <w:r w:rsidR="000E6A83" w:rsidRPr="00A27F25">
        <w:rPr>
          <w:i/>
          <w:iCs/>
          <w:lang w:eastAsia="zh-CN"/>
        </w:rPr>
        <w:t>)</w:t>
      </w:r>
      <w:r w:rsidR="000E6A83">
        <w:rPr>
          <w:lang w:eastAsia="zh-CN"/>
        </w:rPr>
        <w:tab/>
      </w:r>
      <w:r>
        <w:rPr>
          <w:rFonts w:hint="eastAsia"/>
          <w:lang w:eastAsia="zh-CN"/>
        </w:rPr>
        <w:t>根据《组织法》第</w:t>
      </w:r>
      <w:r>
        <w:rPr>
          <w:lang w:eastAsia="zh-CN"/>
        </w:rPr>
        <w:t>210</w:t>
      </w:r>
      <w:r>
        <w:rPr>
          <w:rFonts w:hint="eastAsia"/>
          <w:lang w:eastAsia="zh-CN"/>
        </w:rPr>
        <w:t>款（</w:t>
      </w:r>
      <w:r>
        <w:rPr>
          <w:lang w:eastAsia="zh-CN"/>
        </w:rPr>
        <w:t>1992</w:t>
      </w:r>
      <w:r>
        <w:rPr>
          <w:rFonts w:hint="eastAsia"/>
          <w:lang w:eastAsia="zh-CN"/>
        </w:rPr>
        <w:t>年，日内瓦）的规定，未交存《组织法》和《公约》的批准、接受或加入证书的缔约国，自</w:t>
      </w:r>
      <w:r>
        <w:rPr>
          <w:lang w:eastAsia="zh-CN"/>
        </w:rPr>
        <w:t>1996</w:t>
      </w:r>
      <w:r>
        <w:rPr>
          <w:rFonts w:hint="eastAsia"/>
          <w:lang w:eastAsia="zh-CN"/>
        </w:rPr>
        <w:t>年</w:t>
      </w:r>
      <w:r>
        <w:rPr>
          <w:lang w:eastAsia="zh-CN"/>
        </w:rPr>
        <w:t>7</w:t>
      </w:r>
      <w:r>
        <w:rPr>
          <w:rFonts w:hint="eastAsia"/>
          <w:lang w:eastAsia="zh-CN"/>
        </w:rPr>
        <w:t>月</w:t>
      </w:r>
      <w:r>
        <w:rPr>
          <w:lang w:eastAsia="zh-CN"/>
        </w:rPr>
        <w:t>1</w:t>
      </w:r>
      <w:r>
        <w:rPr>
          <w:rFonts w:hint="eastAsia"/>
          <w:lang w:eastAsia="zh-CN"/>
        </w:rPr>
        <w:t>日起在国际电联大会、理事会会议、国际电联任何部门</w:t>
      </w:r>
      <w:r w:rsidR="002B2AD2">
        <w:rPr>
          <w:rFonts w:hint="eastAsia"/>
          <w:lang w:eastAsia="zh-CN"/>
        </w:rPr>
        <w:t>的任何</w:t>
      </w:r>
      <w:r>
        <w:rPr>
          <w:rFonts w:hint="eastAsia"/>
          <w:lang w:eastAsia="zh-CN"/>
        </w:rPr>
        <w:t>会议上或通过信函举行的磋商中不再享有表决权，直到交存这样的证书为止，</w:t>
      </w:r>
    </w:p>
    <w:p w14:paraId="4827B98A" w14:textId="77777777" w:rsidR="00AA601A" w:rsidRDefault="00AA601A" w:rsidP="00B64353">
      <w:pPr>
        <w:rPr>
          <w:lang w:eastAsia="zh-CN"/>
        </w:rPr>
      </w:pPr>
      <w:r w:rsidRPr="00A27F25">
        <w:rPr>
          <w:i/>
          <w:iCs/>
          <w:lang w:eastAsia="zh-CN"/>
        </w:rPr>
        <w:t>b</w:t>
      </w:r>
      <w:r w:rsidR="000E6A83" w:rsidRPr="00A27F25">
        <w:rPr>
          <w:i/>
          <w:iCs/>
          <w:lang w:eastAsia="zh-CN"/>
        </w:rPr>
        <w:t>)</w:t>
      </w:r>
      <w:r w:rsidR="000E6A83">
        <w:rPr>
          <w:lang w:eastAsia="zh-CN"/>
        </w:rPr>
        <w:tab/>
      </w:r>
      <w:r>
        <w:rPr>
          <w:rFonts w:hint="eastAsia"/>
          <w:lang w:eastAsia="zh-CN"/>
        </w:rPr>
        <w:t>自</w:t>
      </w:r>
      <w:r>
        <w:rPr>
          <w:lang w:eastAsia="zh-CN"/>
        </w:rPr>
        <w:t>1994</w:t>
      </w:r>
      <w:r>
        <w:rPr>
          <w:rFonts w:hint="eastAsia"/>
          <w:lang w:eastAsia="zh-CN"/>
        </w:rPr>
        <w:t>年</w:t>
      </w:r>
      <w:r>
        <w:rPr>
          <w:lang w:eastAsia="zh-CN"/>
        </w:rPr>
        <w:t>7</w:t>
      </w:r>
      <w:r>
        <w:rPr>
          <w:rFonts w:hint="eastAsia"/>
          <w:lang w:eastAsia="zh-CN"/>
        </w:rPr>
        <w:t>月</w:t>
      </w:r>
      <w:r>
        <w:rPr>
          <w:lang w:eastAsia="zh-CN"/>
        </w:rPr>
        <w:t>1</w:t>
      </w:r>
      <w:r>
        <w:rPr>
          <w:rFonts w:hint="eastAsia"/>
          <w:lang w:eastAsia="zh-CN"/>
        </w:rPr>
        <w:t>日国际电联两部法规生效日起</w:t>
      </w:r>
      <w:r w:rsidR="00233188">
        <w:rPr>
          <w:rFonts w:hint="eastAsia"/>
          <w:lang w:eastAsia="zh-CN"/>
        </w:rPr>
        <w:t>，那些未提交要求加入《组织法》和《公约》（</w:t>
      </w:r>
      <w:r w:rsidR="00233188">
        <w:rPr>
          <w:lang w:eastAsia="zh-CN"/>
        </w:rPr>
        <w:t>1992</w:t>
      </w:r>
      <w:r w:rsidR="00233188">
        <w:rPr>
          <w:rFonts w:hint="eastAsia"/>
          <w:lang w:eastAsia="zh-CN"/>
        </w:rPr>
        <w:t>年，日内瓦）的法律文件的非缔约国</w:t>
      </w:r>
      <w:r>
        <w:rPr>
          <w:rFonts w:hint="eastAsia"/>
          <w:lang w:eastAsia="zh-CN"/>
        </w:rPr>
        <w:t>不再享有表决权，</w:t>
      </w:r>
    </w:p>
    <w:p w14:paraId="4827B98B" w14:textId="77777777" w:rsidR="00E223C8" w:rsidRDefault="00AA601A" w:rsidP="00E223C8">
      <w:pPr>
        <w:pStyle w:val="Call"/>
        <w:rPr>
          <w:lang w:eastAsia="zh-CN"/>
        </w:rPr>
      </w:pPr>
      <w:r>
        <w:rPr>
          <w:rFonts w:hint="eastAsia"/>
          <w:lang w:eastAsia="zh-CN"/>
        </w:rPr>
        <w:t>进一步注意到</w:t>
      </w:r>
    </w:p>
    <w:p w14:paraId="4827B98C" w14:textId="77777777" w:rsidR="00AA601A" w:rsidRDefault="00AA601A" w:rsidP="00E223C8">
      <w:pPr>
        <w:ind w:firstLine="510"/>
        <w:rPr>
          <w:lang w:eastAsia="zh-CN"/>
        </w:rPr>
      </w:pPr>
      <w:r>
        <w:rPr>
          <w:rFonts w:ascii="SimSun" w:hAnsi="SimSun" w:hint="eastAsia"/>
          <w:lang w:eastAsia="zh-CN"/>
        </w:rPr>
        <w:t>关于</w:t>
      </w:r>
      <w:r>
        <w:rPr>
          <w:rFonts w:hint="eastAsia"/>
          <w:lang w:eastAsia="zh-CN"/>
        </w:rPr>
        <w:t>上述证书交存问题的全权代表大会第</w:t>
      </w:r>
      <w:r>
        <w:rPr>
          <w:lang w:eastAsia="zh-CN"/>
        </w:rPr>
        <w:t>1</w:t>
      </w:r>
      <w:r>
        <w:rPr>
          <w:rFonts w:hint="eastAsia"/>
          <w:lang w:eastAsia="zh-CN"/>
        </w:rPr>
        <w:t>号建议（</w:t>
      </w:r>
      <w:r>
        <w:rPr>
          <w:lang w:eastAsia="zh-CN"/>
        </w:rPr>
        <w:t>1994</w:t>
      </w:r>
      <w:r>
        <w:rPr>
          <w:rFonts w:hint="eastAsia"/>
          <w:lang w:eastAsia="zh-CN"/>
        </w:rPr>
        <w:t>年，东京），</w:t>
      </w:r>
    </w:p>
    <w:p w14:paraId="4827B98D" w14:textId="77777777" w:rsidR="00FD528B" w:rsidRDefault="00FD528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98E" w14:textId="77777777" w:rsidR="00E223C8" w:rsidRDefault="00AA601A" w:rsidP="00E223C8">
      <w:pPr>
        <w:pStyle w:val="Call"/>
        <w:rPr>
          <w:lang w:eastAsia="zh-CN"/>
        </w:rPr>
      </w:pPr>
      <w:r>
        <w:rPr>
          <w:rFonts w:hint="eastAsia"/>
          <w:lang w:eastAsia="zh-CN"/>
        </w:rPr>
        <w:lastRenderedPageBreak/>
        <w:t>考虑到</w:t>
      </w:r>
    </w:p>
    <w:p w14:paraId="4827B98F" w14:textId="77777777" w:rsidR="00AA601A" w:rsidRDefault="00AA601A" w:rsidP="00E223C8">
      <w:pPr>
        <w:ind w:firstLine="510"/>
        <w:rPr>
          <w:lang w:eastAsia="zh-CN"/>
        </w:rPr>
      </w:pPr>
      <w:r>
        <w:rPr>
          <w:rFonts w:ascii="SimSun" w:hAnsi="SimSun" w:hint="eastAsia"/>
          <w:lang w:eastAsia="zh-CN"/>
        </w:rPr>
        <w:t>国际</w:t>
      </w:r>
      <w:r>
        <w:rPr>
          <w:rFonts w:hint="eastAsia"/>
          <w:lang w:eastAsia="zh-CN"/>
        </w:rPr>
        <w:t>电联</w:t>
      </w:r>
      <w:r>
        <w:rPr>
          <w:rFonts w:ascii="STKaiti" w:hAnsi="SimSun" w:hint="eastAsia"/>
          <w:lang w:eastAsia="zh-CN"/>
        </w:rPr>
        <w:t>成员国应享有所有权利至关重要</w:t>
      </w:r>
      <w:r>
        <w:rPr>
          <w:rFonts w:hint="eastAsia"/>
          <w:lang w:eastAsia="zh-CN"/>
        </w:rPr>
        <w:t>，在国际电联大会和会议或正式磋商中行使表决权尤为重要，</w:t>
      </w:r>
    </w:p>
    <w:p w14:paraId="4827B990" w14:textId="77777777" w:rsidR="00E223C8" w:rsidRDefault="00AA601A" w:rsidP="00E223C8">
      <w:pPr>
        <w:pStyle w:val="Call"/>
        <w:rPr>
          <w:lang w:eastAsia="zh-CN"/>
        </w:rPr>
      </w:pPr>
      <w:r>
        <w:rPr>
          <w:rFonts w:hint="eastAsia"/>
          <w:lang w:eastAsia="zh-CN"/>
        </w:rPr>
        <w:t>做出决议</w:t>
      </w:r>
    </w:p>
    <w:p w14:paraId="4827B991" w14:textId="77777777" w:rsidR="00AA601A" w:rsidRDefault="00AA601A" w:rsidP="00E223C8">
      <w:pPr>
        <w:ind w:firstLine="510"/>
        <w:rPr>
          <w:lang w:eastAsia="zh-CN"/>
        </w:rPr>
      </w:pPr>
      <w:r>
        <w:rPr>
          <w:rFonts w:ascii="SimSun" w:hAnsi="SimSun" w:hint="eastAsia"/>
          <w:lang w:eastAsia="zh-CN"/>
        </w:rPr>
        <w:t>敦促尚未提交各自证书的国际电联成员国加快国内程序以批准、接受或通过（《组织法》第</w:t>
      </w:r>
      <w:r>
        <w:rPr>
          <w:lang w:eastAsia="zh-CN"/>
        </w:rPr>
        <w:t>52</w:t>
      </w:r>
      <w:r>
        <w:rPr>
          <w:rFonts w:ascii="SimSun" w:hAnsi="SimSun" w:hint="eastAsia"/>
          <w:lang w:eastAsia="zh-CN"/>
        </w:rPr>
        <w:t>条），或者加入（《组织法》第</w:t>
      </w:r>
      <w:r>
        <w:rPr>
          <w:lang w:eastAsia="zh-CN"/>
        </w:rPr>
        <w:t>53</w:t>
      </w:r>
      <w:r>
        <w:rPr>
          <w:rFonts w:ascii="SimSun" w:hAnsi="SimSun" w:hint="eastAsia"/>
          <w:lang w:eastAsia="zh-CN"/>
        </w:rPr>
        <w:t>条）国际电信联盟《组织法》和《公约》（</w:t>
      </w:r>
      <w:r>
        <w:rPr>
          <w:lang w:eastAsia="zh-CN"/>
        </w:rPr>
        <w:t>1992</w:t>
      </w:r>
      <w:r>
        <w:rPr>
          <w:rFonts w:ascii="SimSun" w:hAnsi="SimSun" w:hint="eastAsia"/>
          <w:lang w:eastAsia="zh-CN"/>
        </w:rPr>
        <w:t>年，日内瓦），并尽快向秘书长提交他们各自的证书，</w:t>
      </w:r>
    </w:p>
    <w:p w14:paraId="4827B992" w14:textId="77777777" w:rsidR="00AA601A" w:rsidRDefault="00AA601A" w:rsidP="00B64353">
      <w:pPr>
        <w:pStyle w:val="Call"/>
        <w:rPr>
          <w:lang w:eastAsia="zh-CN"/>
        </w:rPr>
      </w:pPr>
      <w:r w:rsidRPr="006F4CAC">
        <w:rPr>
          <w:rFonts w:hint="eastAsia"/>
          <w:lang w:eastAsia="zh-CN"/>
        </w:rPr>
        <w:t>责成秘书长</w:t>
      </w:r>
    </w:p>
    <w:p w14:paraId="4827B993" w14:textId="77777777" w:rsidR="00AA601A" w:rsidRDefault="00AA601A" w:rsidP="00B64353">
      <w:pPr>
        <w:rPr>
          <w:lang w:eastAsia="zh-CN"/>
        </w:rPr>
      </w:pPr>
      <w:r>
        <w:rPr>
          <w:lang w:eastAsia="zh-CN"/>
        </w:rPr>
        <w:t>1</w:t>
      </w:r>
      <w:r w:rsidR="00E04370">
        <w:rPr>
          <w:lang w:eastAsia="zh-CN"/>
        </w:rPr>
        <w:tab/>
      </w:r>
      <w:r>
        <w:rPr>
          <w:rFonts w:hint="eastAsia"/>
          <w:lang w:eastAsia="zh-CN"/>
        </w:rPr>
        <w:t>根据交存证书的数量，在他认为适当的时候向国际电联成员国通报该决议内容，并定期向尚未交存证书的国际电联成员国发布有关决议内容的提醒通知，</w:t>
      </w:r>
    </w:p>
    <w:p w14:paraId="4827B994" w14:textId="77777777" w:rsidR="00AA601A" w:rsidRDefault="00AA601A" w:rsidP="00B64353">
      <w:pPr>
        <w:rPr>
          <w:lang w:eastAsia="zh-CN"/>
        </w:rPr>
      </w:pPr>
      <w:r>
        <w:rPr>
          <w:lang w:eastAsia="zh-CN"/>
        </w:rPr>
        <w:t>2</w:t>
      </w:r>
      <w:r w:rsidR="00E04370">
        <w:rPr>
          <w:lang w:eastAsia="zh-CN"/>
        </w:rPr>
        <w:tab/>
      </w:r>
      <w:r>
        <w:rPr>
          <w:rFonts w:hint="eastAsia"/>
          <w:lang w:eastAsia="zh-CN"/>
        </w:rPr>
        <w:t>提醒国际电联成员国注意：根据《组织法》第</w:t>
      </w:r>
      <w:r>
        <w:rPr>
          <w:lang w:eastAsia="zh-CN"/>
        </w:rPr>
        <w:t>231</w:t>
      </w:r>
      <w:r>
        <w:rPr>
          <w:rFonts w:hint="eastAsia"/>
          <w:lang w:eastAsia="zh-CN"/>
        </w:rPr>
        <w:t>款和《公约》第</w:t>
      </w:r>
      <w:r>
        <w:rPr>
          <w:lang w:eastAsia="zh-CN"/>
        </w:rPr>
        <w:t>527</w:t>
      </w:r>
      <w:r>
        <w:rPr>
          <w:rFonts w:hint="eastAsia"/>
          <w:lang w:eastAsia="zh-CN"/>
        </w:rPr>
        <w:t>款的规定，任何《组织法》和</w:t>
      </w:r>
      <w:r>
        <w:rPr>
          <w:lang w:eastAsia="zh-CN"/>
        </w:rPr>
        <w:t>/</w:t>
      </w:r>
      <w:r>
        <w:rPr>
          <w:rFonts w:hint="eastAsia"/>
          <w:lang w:eastAsia="zh-CN"/>
        </w:rPr>
        <w:t>或《公约》的修正文件生效后，《组织法》第</w:t>
      </w:r>
      <w:r>
        <w:rPr>
          <w:lang w:eastAsia="zh-CN"/>
        </w:rPr>
        <w:t>52</w:t>
      </w:r>
      <w:r>
        <w:rPr>
          <w:rFonts w:hint="eastAsia"/>
          <w:lang w:eastAsia="zh-CN"/>
        </w:rPr>
        <w:t>和</w:t>
      </w:r>
      <w:r>
        <w:rPr>
          <w:lang w:eastAsia="zh-CN"/>
        </w:rPr>
        <w:t>53</w:t>
      </w:r>
      <w:r>
        <w:rPr>
          <w:rFonts w:hint="eastAsia"/>
          <w:lang w:eastAsia="zh-CN"/>
        </w:rPr>
        <w:t>条规定的对《组织法》和《公约》的批准、接受或通过或者加入，应当适用修正后的《组织法》和《公约》。</w:t>
      </w:r>
    </w:p>
    <w:p w14:paraId="4827B995" w14:textId="77777777" w:rsidR="00F11D1D" w:rsidRPr="002E405F" w:rsidRDefault="00AA601A" w:rsidP="007663F7">
      <w:pPr>
        <w:pStyle w:val="Endtext"/>
        <w:rPr>
          <w:lang w:val="fr-FR" w:eastAsia="zh-CN"/>
        </w:rPr>
      </w:pPr>
      <w:r>
        <w:rPr>
          <w:rFonts w:ascii="STKaiti" w:hAnsi="SimSun" w:hint="eastAsia"/>
          <w:lang w:eastAsia="zh-CN"/>
        </w:rPr>
        <w:t>参阅：</w:t>
      </w:r>
      <w:r>
        <w:rPr>
          <w:lang w:eastAsia="zh-CN"/>
        </w:rPr>
        <w:tab/>
        <w:t>C96/129</w:t>
      </w:r>
      <w:r>
        <w:rPr>
          <w:rFonts w:ascii="SimSun" w:hAnsi="SimSun" w:hint="eastAsia"/>
          <w:lang w:eastAsia="zh-CN"/>
        </w:rPr>
        <w:t>和</w:t>
      </w:r>
      <w:r>
        <w:rPr>
          <w:lang w:eastAsia="zh-CN"/>
        </w:rPr>
        <w:t>C96/137</w:t>
      </w:r>
      <w:r>
        <w:rPr>
          <w:rFonts w:ascii="SimSun" w:hAnsi="SimSun" w:hint="eastAsia"/>
          <w:lang w:eastAsia="zh-CN"/>
        </w:rPr>
        <w:t>号文件。</w:t>
      </w:r>
    </w:p>
    <w:p w14:paraId="4827B996" w14:textId="77777777" w:rsidR="00FD528B" w:rsidRDefault="00FD528B" w:rsidP="00FD528B">
      <w:pPr>
        <w:jc w:val="center"/>
        <w:rPr>
          <w:lang w:eastAsia="zh-CN"/>
        </w:rPr>
      </w:pPr>
      <w:bookmarkStart w:id="2503" w:name="_Toc424117131"/>
      <w:bookmarkStart w:id="2504" w:name="_Toc531706479"/>
      <w:bookmarkStart w:id="2505" w:name="_Toc531707092"/>
      <w:bookmarkStart w:id="2506" w:name="_Toc531768571"/>
      <w:bookmarkStart w:id="2507" w:name="_Toc161224110"/>
      <w:bookmarkStart w:id="2508" w:name="_Toc161732156"/>
      <w:bookmarkStart w:id="2509" w:name="_Toc161741088"/>
      <w:bookmarkStart w:id="2510" w:name="_Toc185237754"/>
      <w:bookmarkStart w:id="2511" w:name="_Toc311469665"/>
      <w:r>
        <w:rPr>
          <w:lang w:eastAsia="zh-CN"/>
        </w:rPr>
        <w:t>______________</w:t>
      </w:r>
    </w:p>
    <w:p w14:paraId="4827B997" w14:textId="77777777" w:rsidR="00E01F6D" w:rsidRDefault="00AA601A" w:rsidP="000D18CD">
      <w:pPr>
        <w:pStyle w:val="DecNo"/>
        <w:outlineLvl w:val="0"/>
      </w:pPr>
      <w:bookmarkStart w:id="2512" w:name="_Toc16085898"/>
      <w:bookmarkStart w:id="2513" w:name="_Toc86395693"/>
      <w:r>
        <w:rPr>
          <w:rFonts w:hint="eastAsia"/>
        </w:rPr>
        <w:t>第</w:t>
      </w:r>
      <w:r>
        <w:t>185</w:t>
      </w:r>
      <w:r>
        <w:rPr>
          <w:rFonts w:hint="eastAsia"/>
        </w:rPr>
        <w:t>号决定</w:t>
      </w:r>
      <w:r w:rsidR="00E01F6D">
        <w:rPr>
          <w:rFonts w:hint="eastAsia"/>
        </w:rPr>
        <w:t>（</w:t>
      </w:r>
      <w:r w:rsidR="00E01F6D">
        <w:t>C-1957</w:t>
      </w:r>
      <w:r w:rsidR="00E01F6D">
        <w:rPr>
          <w:rFonts w:hint="eastAsia"/>
        </w:rPr>
        <w:t>，</w:t>
      </w:r>
      <w:r w:rsidR="00E01F6D" w:rsidRPr="00693664">
        <w:t>最后修正</w:t>
      </w:r>
      <w:r w:rsidR="00E01F6D" w:rsidRPr="00693664">
        <w:t>C-1981</w:t>
      </w:r>
      <w:r w:rsidR="00E01F6D" w:rsidRPr="00693664">
        <w:t>）</w:t>
      </w:r>
      <w:bookmarkEnd w:id="2503"/>
      <w:bookmarkEnd w:id="2504"/>
      <w:bookmarkEnd w:id="2505"/>
      <w:bookmarkEnd w:id="2506"/>
      <w:bookmarkEnd w:id="2512"/>
      <w:bookmarkEnd w:id="2513"/>
    </w:p>
    <w:p w14:paraId="4827B998" w14:textId="77777777" w:rsidR="00AA601A" w:rsidRPr="00E01F6D" w:rsidRDefault="0012520F" w:rsidP="00C504EF">
      <w:pPr>
        <w:pStyle w:val="Dectitle"/>
      </w:pPr>
      <w:bookmarkStart w:id="2514" w:name="_Toc424117132"/>
      <w:bookmarkStart w:id="2515" w:name="_Toc460248243"/>
      <w:bookmarkStart w:id="2516" w:name="_Toc531706480"/>
      <w:bookmarkStart w:id="2517" w:name="_Toc531707093"/>
      <w:bookmarkStart w:id="2518" w:name="_Toc531768572"/>
      <w:bookmarkStart w:id="2519" w:name="_Toc16085899"/>
      <w:bookmarkStart w:id="2520" w:name="_Toc86395694"/>
      <w:r w:rsidRPr="00E01F6D">
        <w:rPr>
          <w:rFonts w:hint="eastAsia"/>
        </w:rPr>
        <w:t>与</w:t>
      </w:r>
      <w:r w:rsidR="00AA601A" w:rsidRPr="00E01F6D">
        <w:rPr>
          <w:rFonts w:hint="eastAsia"/>
        </w:rPr>
        <w:t>电报磋商</w:t>
      </w:r>
      <w:r w:rsidRPr="00E01F6D">
        <w:rPr>
          <w:rFonts w:hint="eastAsia"/>
        </w:rPr>
        <w:t>有关的</w:t>
      </w:r>
      <w:r w:rsidR="002B2AD2" w:rsidRPr="00E01F6D">
        <w:rPr>
          <w:rFonts w:hint="eastAsia"/>
        </w:rPr>
        <w:t>对</w:t>
      </w:r>
      <w:r w:rsidR="00AA601A" w:rsidRPr="00E01F6D">
        <w:rPr>
          <w:rFonts w:hint="eastAsia"/>
        </w:rPr>
        <w:t>“多数”一词的释义</w:t>
      </w:r>
      <w:bookmarkEnd w:id="2507"/>
      <w:bookmarkEnd w:id="2508"/>
      <w:bookmarkEnd w:id="2509"/>
      <w:bookmarkEnd w:id="2510"/>
      <w:bookmarkEnd w:id="2511"/>
      <w:bookmarkEnd w:id="2514"/>
      <w:bookmarkEnd w:id="2515"/>
      <w:bookmarkEnd w:id="2516"/>
      <w:bookmarkEnd w:id="2517"/>
      <w:bookmarkEnd w:id="2518"/>
      <w:bookmarkEnd w:id="2519"/>
      <w:bookmarkEnd w:id="2520"/>
    </w:p>
    <w:p w14:paraId="4827B999" w14:textId="77777777" w:rsidR="00AA601A" w:rsidRPr="00E01F6D" w:rsidRDefault="00AA601A" w:rsidP="00E01F6D">
      <w:pPr>
        <w:pStyle w:val="Normalaftertitle"/>
        <w:rPr>
          <w:lang w:eastAsia="zh-CN"/>
        </w:rPr>
      </w:pPr>
      <w:r w:rsidRPr="00E01F6D">
        <w:rPr>
          <w:rFonts w:hint="eastAsia"/>
          <w:lang w:eastAsia="zh-CN"/>
        </w:rPr>
        <w:t>理事会，</w:t>
      </w:r>
    </w:p>
    <w:p w14:paraId="4827B99A" w14:textId="77777777" w:rsidR="00AA601A" w:rsidRDefault="00AA601A" w:rsidP="00B64353">
      <w:pPr>
        <w:rPr>
          <w:lang w:eastAsia="zh-CN"/>
        </w:rPr>
      </w:pPr>
      <w:r>
        <w:rPr>
          <w:i/>
          <w:iCs/>
          <w:lang w:eastAsia="zh-CN"/>
        </w:rPr>
        <w:tab/>
      </w:r>
      <w:r>
        <w:rPr>
          <w:rFonts w:ascii="STKaiti" w:eastAsia="STKaiti" w:hAnsi="SimSun" w:hint="eastAsia"/>
          <w:lang w:eastAsia="zh-CN"/>
        </w:rPr>
        <w:t>经审议</w:t>
      </w:r>
      <w:r>
        <w:rPr>
          <w:lang w:eastAsia="zh-CN"/>
        </w:rPr>
        <w:t>1940/CA12</w:t>
      </w:r>
      <w:r>
        <w:rPr>
          <w:rFonts w:ascii="SimSun" w:hAnsi="SimSun" w:hint="eastAsia"/>
          <w:lang w:val="fr-FR" w:eastAsia="zh-CN"/>
        </w:rPr>
        <w:t>号文件，</w:t>
      </w:r>
    </w:p>
    <w:p w14:paraId="4827B99B" w14:textId="77777777" w:rsidR="00AA601A" w:rsidRDefault="00AA601A" w:rsidP="00B64353">
      <w:pPr>
        <w:rPr>
          <w:lang w:eastAsia="zh-CN"/>
        </w:rPr>
      </w:pPr>
      <w:r>
        <w:rPr>
          <w:lang w:eastAsia="zh-CN"/>
        </w:rPr>
        <w:tab/>
      </w:r>
      <w:r>
        <w:rPr>
          <w:rFonts w:ascii="STKaiti" w:eastAsia="STKaiti" w:hAnsi="SimSun" w:hint="eastAsia"/>
          <w:lang w:eastAsia="zh-CN"/>
        </w:rPr>
        <w:t>做出决定</w:t>
      </w:r>
      <w:r>
        <w:rPr>
          <w:rFonts w:ascii="STKaiti" w:eastAsia="STKaiti" w:hint="eastAsia"/>
          <w:lang w:eastAsia="zh-CN"/>
        </w:rPr>
        <w:t>，</w:t>
      </w:r>
      <w:r>
        <w:rPr>
          <w:rFonts w:hint="eastAsia"/>
          <w:lang w:eastAsia="zh-CN"/>
        </w:rPr>
        <w:t>在以电报形式征询国际电联成员国意见的情况下，必要多数应为在磋商结果统计出来时已经批准或加入《公约》的国际电联所有成员国的多数（如果到那时依照《公约》生效条款的规定他们没有丧失表决权的话）。</w:t>
      </w:r>
    </w:p>
    <w:p w14:paraId="4827B99C" w14:textId="77777777" w:rsidR="00AA601A" w:rsidRDefault="00AA601A" w:rsidP="00B64353">
      <w:pPr>
        <w:rPr>
          <w:lang w:eastAsia="zh-CN"/>
        </w:rPr>
      </w:pPr>
      <w:r>
        <w:rPr>
          <w:lang w:eastAsia="zh-CN"/>
        </w:rPr>
        <w:tab/>
      </w:r>
      <w:r>
        <w:rPr>
          <w:rFonts w:hint="eastAsia"/>
          <w:lang w:eastAsia="zh-CN"/>
        </w:rPr>
        <w:t>根据《公约》第</w:t>
      </w:r>
      <w:r>
        <w:rPr>
          <w:lang w:eastAsia="zh-CN"/>
        </w:rPr>
        <w:t>1</w:t>
      </w:r>
      <w:r>
        <w:rPr>
          <w:rFonts w:hint="eastAsia"/>
          <w:lang w:eastAsia="zh-CN"/>
        </w:rPr>
        <w:t>条进行的有关新成员国加入的讨论应继续遵循第</w:t>
      </w:r>
      <w:r>
        <w:rPr>
          <w:lang w:eastAsia="zh-CN"/>
        </w:rPr>
        <w:t>216</w:t>
      </w:r>
      <w:r>
        <w:rPr>
          <w:rFonts w:hint="eastAsia"/>
          <w:lang w:eastAsia="zh-CN"/>
        </w:rPr>
        <w:t>号决议（修正版）。</w:t>
      </w:r>
    </w:p>
    <w:p w14:paraId="4827B99D" w14:textId="77777777" w:rsidR="00F11D1D" w:rsidRPr="002E405F" w:rsidRDefault="00AA601A" w:rsidP="00E01F6D">
      <w:pPr>
        <w:pStyle w:val="Endtext"/>
        <w:rPr>
          <w:lang w:val="fr-FR" w:eastAsia="zh-CN"/>
        </w:rPr>
      </w:pPr>
      <w:r>
        <w:rPr>
          <w:rFonts w:ascii="STKaiti" w:hAnsi="SimSun" w:hint="eastAsia"/>
          <w:lang w:eastAsia="zh-CN"/>
        </w:rPr>
        <w:t>参阅：</w:t>
      </w:r>
      <w:r>
        <w:rPr>
          <w:lang w:eastAsia="zh-CN"/>
        </w:rPr>
        <w:tab/>
        <w:t>2000/CA12</w:t>
      </w:r>
      <w:r>
        <w:rPr>
          <w:lang w:eastAsia="zh-CN"/>
        </w:rPr>
        <w:t>（</w:t>
      </w:r>
      <w:r>
        <w:rPr>
          <w:lang w:eastAsia="zh-CN"/>
        </w:rPr>
        <w:t>1957</w:t>
      </w:r>
      <w:r>
        <w:rPr>
          <w:rFonts w:hint="eastAsia"/>
          <w:lang w:eastAsia="zh-CN"/>
        </w:rPr>
        <w:t>年）</w:t>
      </w:r>
      <w:r w:rsidR="00233188">
        <w:rPr>
          <w:rFonts w:hint="eastAsia"/>
          <w:lang w:eastAsia="zh-CN"/>
        </w:rPr>
        <w:t>、</w:t>
      </w:r>
      <w:r>
        <w:rPr>
          <w:lang w:eastAsia="zh-CN"/>
        </w:rPr>
        <w:t>4965/CA31</w:t>
      </w:r>
      <w:r>
        <w:rPr>
          <w:lang w:eastAsia="zh-CN"/>
        </w:rPr>
        <w:t>（</w:t>
      </w:r>
      <w:r>
        <w:rPr>
          <w:lang w:eastAsia="zh-CN"/>
        </w:rPr>
        <w:t>1976</w:t>
      </w:r>
      <w:r>
        <w:rPr>
          <w:rFonts w:hint="eastAsia"/>
          <w:lang w:eastAsia="zh-CN"/>
        </w:rPr>
        <w:t>年</w:t>
      </w:r>
      <w:r>
        <w:rPr>
          <w:lang w:eastAsia="zh-CN"/>
        </w:rPr>
        <w:t>）</w:t>
      </w:r>
      <w:r w:rsidR="00233188">
        <w:rPr>
          <w:rFonts w:hint="eastAsia"/>
          <w:lang w:eastAsia="zh-CN"/>
        </w:rPr>
        <w:t>、</w:t>
      </w:r>
      <w:r>
        <w:rPr>
          <w:lang w:eastAsia="zh-CN"/>
        </w:rPr>
        <w:t>5703/CA36</w:t>
      </w:r>
      <w:r>
        <w:rPr>
          <w:lang w:eastAsia="zh-CN"/>
        </w:rPr>
        <w:t>（</w:t>
      </w:r>
      <w:r>
        <w:rPr>
          <w:lang w:eastAsia="zh-CN"/>
        </w:rPr>
        <w:t>1981</w:t>
      </w:r>
      <w:r>
        <w:rPr>
          <w:rFonts w:hint="eastAsia"/>
          <w:lang w:eastAsia="zh-CN"/>
        </w:rPr>
        <w:t>年</w:t>
      </w:r>
      <w:r>
        <w:rPr>
          <w:lang w:eastAsia="zh-CN"/>
        </w:rPr>
        <w:t>）</w:t>
      </w:r>
      <w:r>
        <w:rPr>
          <w:rFonts w:ascii="SimSun" w:hAnsi="SimSun" w:hint="eastAsia"/>
          <w:lang w:eastAsia="zh-CN"/>
        </w:rPr>
        <w:t>号文件。</w:t>
      </w:r>
    </w:p>
    <w:p w14:paraId="4827B99E" w14:textId="77777777" w:rsidR="00FD528B" w:rsidRDefault="00FD528B" w:rsidP="00FD528B">
      <w:pPr>
        <w:jc w:val="center"/>
        <w:rPr>
          <w:lang w:eastAsia="zh-CN"/>
        </w:rPr>
      </w:pPr>
      <w:r>
        <w:rPr>
          <w:lang w:eastAsia="zh-CN"/>
        </w:rPr>
        <w:t>______________</w:t>
      </w:r>
    </w:p>
    <w:p w14:paraId="4827B99F" w14:textId="77777777" w:rsidR="00E223C8" w:rsidRDefault="00E223C8" w:rsidP="00B64353">
      <w:pPr>
        <w:rPr>
          <w:lang w:eastAsia="zh-CN"/>
        </w:rPr>
      </w:pPr>
    </w:p>
    <w:p w14:paraId="4827B9A0" w14:textId="77777777" w:rsidR="00E223C8" w:rsidRDefault="00E223C8" w:rsidP="00B64353">
      <w:pPr>
        <w:rPr>
          <w:lang w:eastAsia="zh-CN"/>
        </w:rPr>
      </w:pPr>
    </w:p>
    <w:p w14:paraId="4827B9A1" w14:textId="77777777" w:rsidR="00E223C8" w:rsidRPr="00D746C3" w:rsidRDefault="00E223C8" w:rsidP="00B64353">
      <w:pPr>
        <w:rPr>
          <w:lang w:eastAsia="zh-CN"/>
        </w:rPr>
        <w:sectPr w:rsidR="00E223C8" w:rsidRPr="00D746C3" w:rsidSect="00D64003">
          <w:headerReference w:type="even" r:id="rId481"/>
          <w:headerReference w:type="default" r:id="rId482"/>
          <w:footerReference w:type="even" r:id="rId483"/>
          <w:footerReference w:type="default" r:id="rId484"/>
          <w:headerReference w:type="first" r:id="rId485"/>
          <w:footerReference w:type="first" r:id="rId486"/>
          <w:footnotePr>
            <w:pos w:val="beneathText"/>
          </w:footnotePr>
          <w:endnotePr>
            <w:numFmt w:val="decimal"/>
          </w:endnotePr>
          <w:type w:val="oddPage"/>
          <w:pgSz w:w="11907" w:h="16840" w:code="9"/>
          <w:pgMar w:top="1418" w:right="1134" w:bottom="1134" w:left="1134" w:header="737" w:footer="567" w:gutter="284"/>
          <w:cols w:space="720"/>
          <w:vAlign w:val="both"/>
          <w:titlePg/>
        </w:sectPr>
      </w:pPr>
    </w:p>
    <w:p w14:paraId="4827B9A2" w14:textId="77777777" w:rsidR="00F11D1D" w:rsidRPr="00D746C3" w:rsidRDefault="00F11D1D" w:rsidP="004D30D4">
      <w:pPr>
        <w:pStyle w:val="Chaptitle"/>
        <w:rPr>
          <w:lang w:eastAsia="zh-CN"/>
        </w:rPr>
      </w:pPr>
      <w:bookmarkStart w:id="2521" w:name="_Toc81880169"/>
      <w:bookmarkStart w:id="2522" w:name="_Toc161224111"/>
      <w:bookmarkStart w:id="2523" w:name="_Toc161732157"/>
      <w:bookmarkStart w:id="2524" w:name="_Toc161741089"/>
      <w:bookmarkStart w:id="2525" w:name="_Toc185237755"/>
      <w:bookmarkStart w:id="2526" w:name="_Toc311469666"/>
      <w:bookmarkStart w:id="2527" w:name="_Toc405194283"/>
      <w:bookmarkStart w:id="2528" w:name="_Toc424117133"/>
      <w:bookmarkStart w:id="2529" w:name="_Toc531706481"/>
      <w:bookmarkStart w:id="2530" w:name="_Toc531707094"/>
      <w:bookmarkStart w:id="2531" w:name="_Toc531768573"/>
      <w:bookmarkStart w:id="2532" w:name="_Toc16085900"/>
      <w:bookmarkStart w:id="2533" w:name="_Toc86395695"/>
      <w:r w:rsidRPr="00A91440">
        <w:rPr>
          <w:lang w:eastAsia="zh-CN"/>
        </w:rPr>
        <w:lastRenderedPageBreak/>
        <w:t>6.2</w:t>
      </w:r>
      <w:r w:rsidRPr="00A91440">
        <w:rPr>
          <w:lang w:eastAsia="zh-CN"/>
        </w:rPr>
        <w:tab/>
      </w:r>
      <w:bookmarkEnd w:id="2521"/>
      <w:r w:rsidR="00AA601A" w:rsidRPr="00A91440">
        <w:rPr>
          <w:rFonts w:hint="eastAsia"/>
          <w:lang w:eastAsia="zh-CN"/>
        </w:rPr>
        <w:t>联合国和其它组织</w:t>
      </w:r>
      <w:bookmarkEnd w:id="2522"/>
      <w:bookmarkEnd w:id="2523"/>
      <w:bookmarkEnd w:id="2524"/>
      <w:bookmarkEnd w:id="2525"/>
      <w:bookmarkEnd w:id="2526"/>
      <w:bookmarkEnd w:id="2527"/>
      <w:bookmarkEnd w:id="2528"/>
      <w:bookmarkEnd w:id="2529"/>
      <w:bookmarkEnd w:id="2530"/>
      <w:bookmarkEnd w:id="2531"/>
      <w:bookmarkEnd w:id="2532"/>
      <w:bookmarkEnd w:id="2533"/>
    </w:p>
    <w:p w14:paraId="4827B9A3" w14:textId="77777777" w:rsidR="00E01F6D" w:rsidRPr="00E01F6D" w:rsidRDefault="00AA601A" w:rsidP="000D18CD">
      <w:pPr>
        <w:pStyle w:val="ResNo"/>
        <w:outlineLvl w:val="0"/>
        <w:rPr>
          <w:lang w:eastAsia="zh-CN"/>
        </w:rPr>
      </w:pPr>
      <w:bookmarkStart w:id="2534" w:name="_Toc424117134"/>
      <w:bookmarkStart w:id="2535" w:name="_Toc531706482"/>
      <w:bookmarkStart w:id="2536" w:name="_Toc531707095"/>
      <w:bookmarkStart w:id="2537" w:name="_Toc531768574"/>
      <w:bookmarkStart w:id="2538" w:name="_Toc16085901"/>
      <w:bookmarkStart w:id="2539" w:name="_Toc86395696"/>
      <w:bookmarkStart w:id="2540" w:name="_Toc161224112"/>
      <w:bookmarkStart w:id="2541" w:name="_Toc161732158"/>
      <w:bookmarkStart w:id="2542" w:name="_Toc161741090"/>
      <w:bookmarkStart w:id="2543" w:name="_Toc185237756"/>
      <w:bookmarkStart w:id="2544" w:name="_Toc311469667"/>
      <w:r w:rsidRPr="00E01F6D">
        <w:rPr>
          <w:rFonts w:hint="eastAsia"/>
          <w:lang w:eastAsia="zh-CN"/>
        </w:rPr>
        <w:t>第</w:t>
      </w:r>
      <w:r w:rsidRPr="00E01F6D">
        <w:rPr>
          <w:lang w:eastAsia="zh-CN"/>
        </w:rPr>
        <w:t>101</w:t>
      </w:r>
      <w:r w:rsidRPr="00E01F6D">
        <w:rPr>
          <w:rFonts w:hint="eastAsia"/>
          <w:lang w:eastAsia="zh-CN"/>
        </w:rPr>
        <w:t>号决议</w:t>
      </w:r>
      <w:r w:rsidR="00E01F6D">
        <w:rPr>
          <w:rFonts w:hint="eastAsia"/>
          <w:lang w:eastAsia="zh-CN"/>
        </w:rPr>
        <w:t>（</w:t>
      </w:r>
      <w:r w:rsidR="00E01F6D" w:rsidRPr="00E01F6D">
        <w:rPr>
          <w:lang w:eastAsia="zh-CN"/>
        </w:rPr>
        <w:t>C-1948</w:t>
      </w:r>
      <w:r w:rsidR="00E01F6D">
        <w:rPr>
          <w:rFonts w:hint="eastAsia"/>
          <w:lang w:eastAsia="zh-CN"/>
        </w:rPr>
        <w:t>）</w:t>
      </w:r>
      <w:bookmarkEnd w:id="2534"/>
      <w:bookmarkEnd w:id="2535"/>
      <w:bookmarkEnd w:id="2536"/>
      <w:bookmarkEnd w:id="2537"/>
      <w:bookmarkEnd w:id="2538"/>
      <w:bookmarkEnd w:id="2539"/>
    </w:p>
    <w:p w14:paraId="4827B9A4" w14:textId="77777777" w:rsidR="00AA601A" w:rsidRPr="00E01F6D" w:rsidRDefault="00AA601A" w:rsidP="00E01F6D">
      <w:pPr>
        <w:pStyle w:val="Restitle"/>
        <w:rPr>
          <w:lang w:eastAsia="zh-CN"/>
        </w:rPr>
      </w:pPr>
      <w:bookmarkStart w:id="2545" w:name="_Toc424116273"/>
      <w:bookmarkStart w:id="2546" w:name="_Toc424117135"/>
      <w:bookmarkStart w:id="2547" w:name="_Toc460248246"/>
      <w:bookmarkStart w:id="2548" w:name="_Toc531706483"/>
      <w:bookmarkStart w:id="2549" w:name="_Toc531707096"/>
      <w:bookmarkStart w:id="2550" w:name="_Toc531768575"/>
      <w:bookmarkStart w:id="2551" w:name="_Toc16085902"/>
      <w:bookmarkStart w:id="2552" w:name="_Toc86395697"/>
      <w:r>
        <w:rPr>
          <w:rFonts w:hint="eastAsia"/>
          <w:lang w:val="fr-FR" w:eastAsia="zh-CN"/>
        </w:rPr>
        <w:t>国际电联与联合国之间的文件交换</w:t>
      </w:r>
      <w:bookmarkEnd w:id="2540"/>
      <w:bookmarkEnd w:id="2541"/>
      <w:bookmarkEnd w:id="2542"/>
      <w:bookmarkEnd w:id="2543"/>
      <w:bookmarkEnd w:id="2544"/>
      <w:bookmarkEnd w:id="2545"/>
      <w:bookmarkEnd w:id="2546"/>
      <w:bookmarkEnd w:id="2547"/>
      <w:bookmarkEnd w:id="2548"/>
      <w:bookmarkEnd w:id="2549"/>
      <w:bookmarkEnd w:id="2550"/>
      <w:bookmarkEnd w:id="2551"/>
      <w:bookmarkEnd w:id="2552"/>
    </w:p>
    <w:p w14:paraId="4827B9A5" w14:textId="77777777" w:rsidR="00AA601A" w:rsidRPr="00E01F6D" w:rsidRDefault="00AA601A" w:rsidP="00E01F6D">
      <w:pPr>
        <w:pStyle w:val="Normalaftertitle"/>
        <w:rPr>
          <w:lang w:eastAsia="zh-CN"/>
        </w:rPr>
      </w:pPr>
      <w:r w:rsidRPr="00E01F6D">
        <w:rPr>
          <w:rFonts w:hint="eastAsia"/>
          <w:lang w:eastAsia="zh-CN"/>
        </w:rPr>
        <w:t>理事会，</w:t>
      </w:r>
    </w:p>
    <w:p w14:paraId="4827B9A6" w14:textId="77777777" w:rsidR="00AA601A" w:rsidRDefault="00AA601A" w:rsidP="00B64353">
      <w:pPr>
        <w:rPr>
          <w:lang w:eastAsia="zh-CN"/>
        </w:rPr>
      </w:pPr>
      <w:r>
        <w:rPr>
          <w:lang w:eastAsia="zh-CN"/>
        </w:rPr>
        <w:tab/>
      </w:r>
      <w:r>
        <w:rPr>
          <w:rFonts w:ascii="STKaiti" w:eastAsia="STKaiti" w:hAnsi="SimSun" w:hint="eastAsia"/>
          <w:lang w:eastAsia="zh-CN"/>
        </w:rPr>
        <w:t>经审议</w:t>
      </w:r>
      <w:r>
        <w:rPr>
          <w:rFonts w:ascii="SimSun" w:hAnsi="SimSun" w:hint="eastAsia"/>
          <w:lang w:val="fr-FR" w:eastAsia="zh-CN"/>
        </w:rPr>
        <w:t>国际电联与联合国签订的协议的第五条的规定，</w:t>
      </w:r>
    </w:p>
    <w:p w14:paraId="4827B9A7" w14:textId="77777777" w:rsidR="00AA601A" w:rsidRDefault="00AA601A" w:rsidP="00B64353">
      <w:pPr>
        <w:rPr>
          <w:lang w:eastAsia="zh-CN"/>
        </w:rPr>
      </w:pPr>
      <w:r>
        <w:rPr>
          <w:lang w:eastAsia="zh-CN"/>
        </w:rPr>
        <w:tab/>
      </w:r>
      <w:r>
        <w:rPr>
          <w:rFonts w:ascii="STKaiti" w:eastAsia="STKaiti" w:hAnsi="SimSun" w:hint="eastAsia"/>
          <w:lang w:eastAsia="zh-CN"/>
        </w:rPr>
        <w:t>考虑到</w:t>
      </w:r>
      <w:r>
        <w:rPr>
          <w:rFonts w:ascii="SimSun" w:hAnsi="SimSun" w:hint="eastAsia"/>
          <w:lang w:eastAsia="zh-CN"/>
        </w:rPr>
        <w:t>正如</w:t>
      </w:r>
      <w:r>
        <w:rPr>
          <w:rFonts w:hint="eastAsia"/>
          <w:lang w:val="fr-FR" w:eastAsia="zh-CN"/>
        </w:rPr>
        <w:t>秘书长所指出的，</w:t>
      </w:r>
      <w:r>
        <w:rPr>
          <w:rFonts w:ascii="SimSun" w:hAnsi="SimSun" w:hint="eastAsia"/>
          <w:lang w:eastAsia="zh-CN"/>
        </w:rPr>
        <w:t>联合国向他免费提供许多联合国及其它专门机构的文件</w:t>
      </w:r>
      <w:r>
        <w:rPr>
          <w:rFonts w:ascii="SimSun" w:hAnsi="SimSun" w:hint="eastAsia"/>
          <w:lang w:val="fr-FR" w:eastAsia="zh-CN"/>
        </w:rPr>
        <w:t>，</w:t>
      </w:r>
    </w:p>
    <w:p w14:paraId="4827B9A8" w14:textId="77777777" w:rsidR="00AA601A" w:rsidRDefault="00AA601A" w:rsidP="00B64353">
      <w:pPr>
        <w:rPr>
          <w:lang w:eastAsia="zh-CN"/>
        </w:rPr>
      </w:pPr>
      <w:r>
        <w:rPr>
          <w:lang w:eastAsia="zh-CN"/>
        </w:rPr>
        <w:tab/>
      </w:r>
      <w:r>
        <w:rPr>
          <w:rFonts w:ascii="STKaiti" w:eastAsia="STKaiti" w:hAnsi="SimSun" w:hint="eastAsia"/>
          <w:lang w:eastAsia="zh-CN"/>
        </w:rPr>
        <w:t>做出决议，</w:t>
      </w:r>
      <w:r>
        <w:rPr>
          <w:rFonts w:ascii="SimSun" w:hAnsi="SimSun" w:hint="eastAsia"/>
          <w:lang w:eastAsia="zh-CN"/>
        </w:rPr>
        <w:t>授权秘书长在该对等安排存在期间，免费向联合国提供国际电联的文件与出版物。但是，为避免提供与联合国及其专门机构无关的文件与出版物</w:t>
      </w:r>
      <w:r>
        <w:rPr>
          <w:rFonts w:ascii="SimSun" w:hAnsi="SimSun" w:hint="eastAsia"/>
          <w:lang w:val="fr-FR" w:eastAsia="zh-CN"/>
        </w:rPr>
        <w:t>，秘书长将安排，仅向联合国秘书长提供他希望收到的那些文件与出版物。</w:t>
      </w:r>
    </w:p>
    <w:p w14:paraId="4827B9A9" w14:textId="77777777" w:rsidR="00F11D1D" w:rsidRPr="00D746C3" w:rsidRDefault="00AA601A" w:rsidP="00E01F6D">
      <w:pPr>
        <w:pStyle w:val="Endtext"/>
        <w:rPr>
          <w:lang w:eastAsia="zh-CN"/>
        </w:rPr>
      </w:pPr>
      <w:r>
        <w:rPr>
          <w:rFonts w:ascii="STKaiti" w:hAnsi="SimSun" w:hint="eastAsia"/>
          <w:lang w:eastAsia="zh-CN"/>
        </w:rPr>
        <w:t>参阅：</w:t>
      </w:r>
      <w:r>
        <w:rPr>
          <w:lang w:eastAsia="zh-CN"/>
        </w:rPr>
        <w:tab/>
        <w:t>286/CA3</w:t>
      </w:r>
      <w:r>
        <w:rPr>
          <w:rFonts w:hint="eastAsia"/>
          <w:lang w:eastAsia="zh-CN"/>
        </w:rPr>
        <w:t>（</w:t>
      </w:r>
      <w:r>
        <w:rPr>
          <w:lang w:eastAsia="zh-CN"/>
        </w:rPr>
        <w:t>1948</w:t>
      </w:r>
      <w:r>
        <w:rPr>
          <w:rFonts w:hint="eastAsia"/>
          <w:lang w:eastAsia="zh-CN"/>
        </w:rPr>
        <w:t>年）</w:t>
      </w:r>
      <w:r>
        <w:rPr>
          <w:rFonts w:ascii="SimSun" w:hAnsi="SimSun" w:hint="eastAsia"/>
          <w:lang w:eastAsia="zh-CN"/>
        </w:rPr>
        <w:t>号文件。</w:t>
      </w:r>
    </w:p>
    <w:p w14:paraId="4827B9AA" w14:textId="77777777" w:rsidR="00FD528B" w:rsidRDefault="00FD528B" w:rsidP="00FD528B">
      <w:pPr>
        <w:jc w:val="center"/>
        <w:rPr>
          <w:lang w:eastAsia="zh-CN"/>
        </w:rPr>
      </w:pPr>
      <w:bookmarkStart w:id="2553" w:name="_Toc424117136"/>
      <w:bookmarkStart w:id="2554" w:name="_Toc531706484"/>
      <w:bookmarkStart w:id="2555" w:name="_Toc531707097"/>
      <w:bookmarkStart w:id="2556" w:name="_Toc531768576"/>
      <w:bookmarkStart w:id="2557" w:name="_Toc161224113"/>
      <w:bookmarkStart w:id="2558" w:name="_Toc161732159"/>
      <w:bookmarkStart w:id="2559" w:name="_Toc161741091"/>
      <w:bookmarkStart w:id="2560" w:name="_Toc185237757"/>
      <w:bookmarkStart w:id="2561" w:name="_Toc311469668"/>
      <w:r>
        <w:rPr>
          <w:lang w:eastAsia="zh-CN"/>
        </w:rPr>
        <w:t>______________</w:t>
      </w:r>
    </w:p>
    <w:p w14:paraId="4827B9AB" w14:textId="77777777" w:rsidR="00E01F6D" w:rsidRPr="00E01F6D" w:rsidRDefault="00AA601A" w:rsidP="000D18CD">
      <w:pPr>
        <w:pStyle w:val="ResNo"/>
        <w:outlineLvl w:val="0"/>
        <w:rPr>
          <w:lang w:eastAsia="zh-CN"/>
        </w:rPr>
      </w:pPr>
      <w:bookmarkStart w:id="2562" w:name="_Toc16085903"/>
      <w:bookmarkStart w:id="2563" w:name="_Toc86395698"/>
      <w:r w:rsidRPr="00E01F6D">
        <w:rPr>
          <w:rFonts w:hint="eastAsia"/>
          <w:lang w:eastAsia="zh-CN"/>
        </w:rPr>
        <w:t>第</w:t>
      </w:r>
      <w:r w:rsidRPr="00E01F6D">
        <w:rPr>
          <w:lang w:eastAsia="zh-CN"/>
        </w:rPr>
        <w:t>102</w:t>
      </w:r>
      <w:r w:rsidRPr="00E01F6D">
        <w:rPr>
          <w:rFonts w:hint="eastAsia"/>
          <w:lang w:eastAsia="zh-CN"/>
        </w:rPr>
        <w:t>号决议</w:t>
      </w:r>
      <w:r w:rsidR="00E01F6D">
        <w:rPr>
          <w:rFonts w:hint="eastAsia"/>
          <w:lang w:eastAsia="zh-CN"/>
        </w:rPr>
        <w:t>（</w:t>
      </w:r>
      <w:r w:rsidR="00E01F6D" w:rsidRPr="00E01F6D">
        <w:rPr>
          <w:lang w:eastAsia="zh-CN"/>
        </w:rPr>
        <w:t>C-1948</w:t>
      </w:r>
      <w:r w:rsidR="00E01F6D">
        <w:rPr>
          <w:rFonts w:hint="eastAsia"/>
          <w:lang w:eastAsia="zh-CN"/>
        </w:rPr>
        <w:t>）</w:t>
      </w:r>
      <w:bookmarkEnd w:id="2553"/>
      <w:bookmarkEnd w:id="2554"/>
      <w:bookmarkEnd w:id="2555"/>
      <w:bookmarkEnd w:id="2556"/>
      <w:bookmarkEnd w:id="2562"/>
      <w:bookmarkEnd w:id="2563"/>
    </w:p>
    <w:p w14:paraId="4827B9AC" w14:textId="77777777" w:rsidR="00AA601A" w:rsidRPr="00E01F6D" w:rsidRDefault="00AA601A" w:rsidP="00E01F6D">
      <w:pPr>
        <w:pStyle w:val="Restitle"/>
        <w:rPr>
          <w:lang w:eastAsia="zh-CN"/>
        </w:rPr>
      </w:pPr>
      <w:bookmarkStart w:id="2564" w:name="_Toc424116274"/>
      <w:bookmarkStart w:id="2565" w:name="_Toc424117137"/>
      <w:bookmarkStart w:id="2566" w:name="_Toc460248248"/>
      <w:bookmarkStart w:id="2567" w:name="_Toc531706485"/>
      <w:bookmarkStart w:id="2568" w:name="_Toc531707098"/>
      <w:bookmarkStart w:id="2569" w:name="_Toc531768577"/>
      <w:bookmarkStart w:id="2570" w:name="_Toc16085904"/>
      <w:bookmarkStart w:id="2571" w:name="_Toc86395699"/>
      <w:r w:rsidRPr="00E01F6D">
        <w:rPr>
          <w:rFonts w:hint="eastAsia"/>
          <w:lang w:eastAsia="zh-CN"/>
        </w:rPr>
        <w:t>与联合国交换统计资料</w:t>
      </w:r>
      <w:bookmarkEnd w:id="2557"/>
      <w:bookmarkEnd w:id="2558"/>
      <w:bookmarkEnd w:id="2559"/>
      <w:bookmarkEnd w:id="2560"/>
      <w:bookmarkEnd w:id="2561"/>
      <w:bookmarkEnd w:id="2564"/>
      <w:bookmarkEnd w:id="2565"/>
      <w:bookmarkEnd w:id="2566"/>
      <w:bookmarkEnd w:id="2567"/>
      <w:bookmarkEnd w:id="2568"/>
      <w:bookmarkEnd w:id="2569"/>
      <w:bookmarkEnd w:id="2570"/>
      <w:bookmarkEnd w:id="2571"/>
    </w:p>
    <w:p w14:paraId="4827B9AD" w14:textId="77777777" w:rsidR="00AA601A" w:rsidRPr="00E01F6D" w:rsidRDefault="00AA601A" w:rsidP="00E01F6D">
      <w:pPr>
        <w:pStyle w:val="Normalaftertitle"/>
        <w:rPr>
          <w:lang w:eastAsia="zh-CN"/>
        </w:rPr>
      </w:pPr>
      <w:r w:rsidRPr="00E01F6D">
        <w:rPr>
          <w:rFonts w:hint="eastAsia"/>
          <w:lang w:eastAsia="zh-CN"/>
        </w:rPr>
        <w:t>理事会，</w:t>
      </w:r>
    </w:p>
    <w:p w14:paraId="4827B9AE" w14:textId="77777777" w:rsidR="00AA601A" w:rsidRDefault="00AA601A" w:rsidP="00B64353">
      <w:pPr>
        <w:rPr>
          <w:lang w:eastAsia="zh-CN"/>
        </w:rPr>
      </w:pPr>
      <w:r>
        <w:rPr>
          <w:lang w:eastAsia="zh-CN"/>
        </w:rPr>
        <w:tab/>
      </w:r>
      <w:r>
        <w:rPr>
          <w:rFonts w:ascii="STKaiti" w:eastAsia="STKaiti" w:hAnsi="SimSun" w:hint="eastAsia"/>
          <w:lang w:eastAsia="zh-CN"/>
        </w:rPr>
        <w:t>经审议</w:t>
      </w:r>
      <w:r>
        <w:rPr>
          <w:rFonts w:ascii="SimSun" w:hAnsi="SimSun" w:hint="eastAsia"/>
          <w:lang w:val="fr-FR" w:eastAsia="zh-CN"/>
        </w:rPr>
        <w:t>国际电联与联合国签订的协议的第九条规定，</w:t>
      </w:r>
    </w:p>
    <w:p w14:paraId="4827B9AF" w14:textId="77777777" w:rsidR="00AA601A" w:rsidRDefault="00AA601A" w:rsidP="00B64353">
      <w:pPr>
        <w:rPr>
          <w:lang w:eastAsia="zh-CN"/>
        </w:rPr>
      </w:pPr>
      <w:r>
        <w:rPr>
          <w:lang w:eastAsia="zh-CN"/>
        </w:rPr>
        <w:tab/>
      </w:r>
      <w:r>
        <w:rPr>
          <w:rFonts w:ascii="STKaiti" w:eastAsia="STKaiti" w:hAnsi="SimSun" w:hint="eastAsia"/>
          <w:lang w:eastAsia="zh-CN"/>
        </w:rPr>
        <w:t>做出决议，</w:t>
      </w:r>
      <w:r>
        <w:rPr>
          <w:rFonts w:ascii="SimSun" w:hAnsi="SimSun" w:hint="eastAsia"/>
          <w:lang w:eastAsia="zh-CN"/>
        </w:rPr>
        <w:t>授权秘书长与联合国交换统计资料，</w:t>
      </w:r>
      <w:r>
        <w:rPr>
          <w:rFonts w:hint="eastAsia"/>
          <w:lang w:eastAsia="zh-CN"/>
        </w:rPr>
        <w:t>而且在履行此职能时须考虑上述</w:t>
      </w:r>
      <w:r>
        <w:rPr>
          <w:rFonts w:ascii="SimSun" w:hAnsi="SimSun" w:hint="eastAsia"/>
          <w:lang w:val="fr-FR" w:eastAsia="zh-CN"/>
        </w:rPr>
        <w:t>协议的规定</w:t>
      </w:r>
      <w:r>
        <w:rPr>
          <w:rFonts w:ascii="SimSun" w:hAnsi="SimSun" w:hint="eastAsia"/>
          <w:lang w:eastAsia="zh-CN"/>
        </w:rPr>
        <w:t>，</w:t>
      </w:r>
      <w:r>
        <w:rPr>
          <w:rFonts w:ascii="SimSun" w:hAnsi="SimSun" w:hint="eastAsia"/>
          <w:lang w:val="fr-FR" w:eastAsia="zh-CN"/>
        </w:rPr>
        <w:t>特别是第九条和第十二条的规定。</w:t>
      </w:r>
    </w:p>
    <w:p w14:paraId="4827B9B0" w14:textId="77777777" w:rsidR="00F11D1D" w:rsidRPr="00D746C3" w:rsidRDefault="00AA601A" w:rsidP="00E01F6D">
      <w:pPr>
        <w:pStyle w:val="Endtext"/>
        <w:rPr>
          <w:lang w:eastAsia="zh-CN"/>
        </w:rPr>
      </w:pPr>
      <w:r>
        <w:rPr>
          <w:rFonts w:ascii="STKaiti" w:hAnsi="SimSun" w:hint="eastAsia"/>
          <w:lang w:eastAsia="zh-CN"/>
        </w:rPr>
        <w:t>参阅：</w:t>
      </w:r>
      <w:r>
        <w:rPr>
          <w:lang w:eastAsia="zh-CN"/>
        </w:rPr>
        <w:tab/>
        <w:t>286/CA3</w:t>
      </w:r>
      <w:r>
        <w:rPr>
          <w:lang w:eastAsia="zh-CN"/>
        </w:rPr>
        <w:t>（</w:t>
      </w:r>
      <w:r>
        <w:rPr>
          <w:lang w:eastAsia="zh-CN"/>
        </w:rPr>
        <w:t>1948</w:t>
      </w:r>
      <w:r>
        <w:rPr>
          <w:rFonts w:hint="eastAsia"/>
          <w:lang w:eastAsia="zh-CN"/>
        </w:rPr>
        <w:t>年</w:t>
      </w:r>
      <w:r>
        <w:rPr>
          <w:lang w:eastAsia="zh-CN"/>
        </w:rPr>
        <w:t>）</w:t>
      </w:r>
      <w:r>
        <w:rPr>
          <w:rFonts w:ascii="SimSun" w:hAnsi="SimSun" w:hint="eastAsia"/>
          <w:lang w:eastAsia="zh-CN"/>
        </w:rPr>
        <w:t>号文件。</w:t>
      </w:r>
    </w:p>
    <w:p w14:paraId="4827B9B1" w14:textId="77777777" w:rsidR="00FD528B" w:rsidRDefault="00FD528B" w:rsidP="00FD528B">
      <w:pPr>
        <w:jc w:val="center"/>
        <w:rPr>
          <w:lang w:eastAsia="zh-CN"/>
        </w:rPr>
      </w:pPr>
      <w:bookmarkStart w:id="2572" w:name="_Toc161224114"/>
      <w:bookmarkStart w:id="2573" w:name="_Toc161732160"/>
      <w:bookmarkStart w:id="2574" w:name="_Toc161741092"/>
      <w:bookmarkStart w:id="2575" w:name="_Toc185237758"/>
      <w:bookmarkStart w:id="2576" w:name="_Toc311469669"/>
      <w:r>
        <w:rPr>
          <w:lang w:eastAsia="zh-CN"/>
        </w:rPr>
        <w:t>______________</w:t>
      </w:r>
    </w:p>
    <w:p w14:paraId="4827B9B2" w14:textId="77777777" w:rsidR="00FD528B" w:rsidRDefault="00FD528B">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9B3" w14:textId="77777777" w:rsidR="00FD528B" w:rsidRDefault="00FD528B">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9B4" w14:textId="77777777" w:rsidR="00FD528B" w:rsidRDefault="00FD528B">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9B5" w14:textId="77777777" w:rsidR="00FD528B" w:rsidRDefault="00FD528B">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9B6" w14:textId="77777777" w:rsidR="00B66D0B" w:rsidRDefault="00B66D0B">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9B7" w14:textId="77777777" w:rsidR="00E01F6D" w:rsidRDefault="00AA601A" w:rsidP="000D18CD">
      <w:pPr>
        <w:pStyle w:val="ResNo"/>
        <w:outlineLvl w:val="0"/>
        <w:rPr>
          <w:lang w:eastAsia="zh-CN"/>
        </w:rPr>
      </w:pPr>
      <w:bookmarkStart w:id="2577" w:name="_Toc424117138"/>
      <w:bookmarkStart w:id="2578" w:name="_Toc531706486"/>
      <w:bookmarkStart w:id="2579" w:name="_Toc531707099"/>
      <w:bookmarkStart w:id="2580" w:name="_Toc531768578"/>
      <w:bookmarkStart w:id="2581" w:name="_Toc16085905"/>
      <w:bookmarkStart w:id="2582" w:name="_Toc86395700"/>
      <w:r>
        <w:rPr>
          <w:rFonts w:hint="eastAsia"/>
          <w:lang w:eastAsia="zh-CN"/>
        </w:rPr>
        <w:lastRenderedPageBreak/>
        <w:t>第</w:t>
      </w:r>
      <w:r>
        <w:rPr>
          <w:lang w:eastAsia="zh-CN"/>
        </w:rPr>
        <w:t>126</w:t>
      </w:r>
      <w:r>
        <w:rPr>
          <w:rFonts w:hint="eastAsia"/>
          <w:lang w:eastAsia="zh-CN"/>
        </w:rPr>
        <w:t>号决议</w:t>
      </w:r>
      <w:r w:rsidR="00E01F6D">
        <w:rPr>
          <w:rFonts w:hint="eastAsia"/>
          <w:lang w:eastAsia="zh-CN"/>
        </w:rPr>
        <w:t>（</w:t>
      </w:r>
      <w:r w:rsidR="00E01F6D" w:rsidRPr="00DE2D51">
        <w:rPr>
          <w:lang w:eastAsia="zh-CN"/>
        </w:rPr>
        <w:t>C-1949</w:t>
      </w:r>
      <w:r w:rsidR="00E01F6D">
        <w:rPr>
          <w:rFonts w:hint="eastAsia"/>
          <w:lang w:eastAsia="zh-CN"/>
        </w:rPr>
        <w:t>，</w:t>
      </w:r>
      <w:r w:rsidR="00E01F6D" w:rsidRPr="00DE2D51">
        <w:rPr>
          <w:rFonts w:hint="eastAsia"/>
          <w:lang w:eastAsia="zh-CN"/>
        </w:rPr>
        <w:t>最后修正</w:t>
      </w:r>
      <w:r w:rsidR="00E01F6D" w:rsidRPr="00DE2D51">
        <w:rPr>
          <w:lang w:eastAsia="zh-CN"/>
        </w:rPr>
        <w:t>C-1976</w:t>
      </w:r>
      <w:r w:rsidR="00E01F6D">
        <w:rPr>
          <w:rFonts w:hint="eastAsia"/>
          <w:lang w:eastAsia="zh-CN"/>
        </w:rPr>
        <w:t>）</w:t>
      </w:r>
      <w:bookmarkEnd w:id="2577"/>
      <w:bookmarkEnd w:id="2578"/>
      <w:bookmarkEnd w:id="2579"/>
      <w:bookmarkEnd w:id="2580"/>
      <w:bookmarkEnd w:id="2581"/>
      <w:bookmarkEnd w:id="2582"/>
    </w:p>
    <w:p w14:paraId="4827B9B8" w14:textId="77777777" w:rsidR="00AA601A" w:rsidRPr="00E01F6D" w:rsidRDefault="00AA601A" w:rsidP="00E01F6D">
      <w:pPr>
        <w:pStyle w:val="Restitle"/>
        <w:rPr>
          <w:lang w:eastAsia="zh-CN"/>
        </w:rPr>
      </w:pPr>
      <w:bookmarkStart w:id="2583" w:name="_Toc424116275"/>
      <w:bookmarkStart w:id="2584" w:name="_Toc424117139"/>
      <w:bookmarkStart w:id="2585" w:name="_Toc460248250"/>
      <w:bookmarkStart w:id="2586" w:name="_Toc531706487"/>
      <w:bookmarkStart w:id="2587" w:name="_Toc531707100"/>
      <w:bookmarkStart w:id="2588" w:name="_Toc531768579"/>
      <w:bookmarkStart w:id="2589" w:name="_Toc16085906"/>
      <w:bookmarkStart w:id="2590" w:name="_Toc86395701"/>
      <w:r w:rsidRPr="00E01F6D">
        <w:rPr>
          <w:rFonts w:hint="eastAsia"/>
          <w:lang w:eastAsia="zh-CN"/>
        </w:rPr>
        <w:t>国</w:t>
      </w:r>
      <w:r w:rsidR="00914BB6" w:rsidRPr="00E01F6D">
        <w:rPr>
          <w:rFonts w:hint="eastAsia"/>
          <w:lang w:eastAsia="zh-CN"/>
        </w:rPr>
        <w:t>家</w:t>
      </w:r>
      <w:r w:rsidRPr="00E01F6D">
        <w:rPr>
          <w:rFonts w:hint="eastAsia"/>
          <w:lang w:eastAsia="zh-CN"/>
        </w:rPr>
        <w:t>授权与国际授权间的关系</w:t>
      </w:r>
      <w:bookmarkEnd w:id="2572"/>
      <w:bookmarkEnd w:id="2573"/>
      <w:bookmarkEnd w:id="2574"/>
      <w:bookmarkEnd w:id="2575"/>
      <w:bookmarkEnd w:id="2576"/>
      <w:bookmarkEnd w:id="2583"/>
      <w:bookmarkEnd w:id="2584"/>
      <w:bookmarkEnd w:id="2585"/>
      <w:bookmarkEnd w:id="2586"/>
      <w:bookmarkEnd w:id="2587"/>
      <w:bookmarkEnd w:id="2588"/>
      <w:bookmarkEnd w:id="2589"/>
      <w:bookmarkEnd w:id="2590"/>
    </w:p>
    <w:p w14:paraId="4827B9B9" w14:textId="77777777" w:rsidR="00AA601A" w:rsidRPr="00E01F6D" w:rsidRDefault="00AA601A" w:rsidP="00E01F6D">
      <w:pPr>
        <w:pStyle w:val="Normalaftertitle"/>
        <w:rPr>
          <w:lang w:eastAsia="zh-CN"/>
        </w:rPr>
      </w:pPr>
      <w:r w:rsidRPr="00E01F6D">
        <w:rPr>
          <w:rFonts w:hint="eastAsia"/>
          <w:lang w:eastAsia="zh-CN"/>
        </w:rPr>
        <w:t>理事会，</w:t>
      </w:r>
    </w:p>
    <w:p w14:paraId="4827B9BA" w14:textId="77777777" w:rsidR="00AA601A" w:rsidRDefault="00AA601A" w:rsidP="00B64353">
      <w:pPr>
        <w:pStyle w:val="Call"/>
        <w:rPr>
          <w:lang w:eastAsia="zh-CN"/>
        </w:rPr>
      </w:pPr>
      <w:r>
        <w:rPr>
          <w:rFonts w:hint="eastAsia"/>
          <w:lang w:eastAsia="zh-CN"/>
        </w:rPr>
        <w:t>做出决议</w:t>
      </w:r>
    </w:p>
    <w:p w14:paraId="4827B9BB" w14:textId="77777777" w:rsidR="00AA601A" w:rsidRDefault="00AA601A" w:rsidP="00E01F6D">
      <w:pPr>
        <w:rPr>
          <w:lang w:eastAsia="zh-CN"/>
        </w:rPr>
      </w:pPr>
      <w:r>
        <w:rPr>
          <w:lang w:eastAsia="zh-CN"/>
        </w:rPr>
        <w:t>1</w:t>
      </w:r>
      <w:r w:rsidR="00E04370">
        <w:rPr>
          <w:lang w:eastAsia="zh-CN"/>
        </w:rPr>
        <w:tab/>
      </w:r>
      <w:r>
        <w:rPr>
          <w:rFonts w:hint="eastAsia"/>
          <w:lang w:eastAsia="zh-CN"/>
        </w:rPr>
        <w:t>由国际电联一有权机构特派代表国际电联出席一国际大会或另一组织的会议的任何人员，因其代表国际电联，所以不能在此大会或会议上作为一国家或国际代表行使职权，</w:t>
      </w:r>
    </w:p>
    <w:p w14:paraId="4827B9BC" w14:textId="77777777" w:rsidR="00AA601A" w:rsidRDefault="00AA601A" w:rsidP="00B64353">
      <w:pPr>
        <w:tabs>
          <w:tab w:val="clear" w:pos="1588"/>
        </w:tabs>
        <w:rPr>
          <w:lang w:eastAsia="zh-CN"/>
        </w:rPr>
      </w:pPr>
      <w:r>
        <w:rPr>
          <w:lang w:eastAsia="zh-CN"/>
        </w:rPr>
        <w:t>2</w:t>
      </w:r>
      <w:r w:rsidR="00E04370">
        <w:rPr>
          <w:lang w:eastAsia="zh-CN"/>
        </w:rPr>
        <w:tab/>
      </w:r>
      <w:r>
        <w:rPr>
          <w:rFonts w:hint="eastAsia"/>
          <w:lang w:eastAsia="zh-CN"/>
        </w:rPr>
        <w:t>请国际电联成员国为此决定的实施提供便利。</w:t>
      </w:r>
    </w:p>
    <w:p w14:paraId="4827B9BD" w14:textId="77777777" w:rsidR="00F11D1D" w:rsidRPr="00781F81" w:rsidRDefault="00AA601A" w:rsidP="00E01F6D">
      <w:pPr>
        <w:pStyle w:val="Endtext"/>
        <w:rPr>
          <w:lang w:val="en-GB" w:eastAsia="zh-CN"/>
        </w:rPr>
      </w:pPr>
      <w:r>
        <w:rPr>
          <w:rFonts w:ascii="STKaiti" w:hAnsi="SimSun" w:hint="eastAsia"/>
          <w:lang w:eastAsia="zh-CN"/>
        </w:rPr>
        <w:t>参阅</w:t>
      </w:r>
      <w:r w:rsidRPr="00781F81">
        <w:rPr>
          <w:rFonts w:ascii="STKaiti" w:hAnsi="SimSun" w:hint="eastAsia"/>
          <w:lang w:val="en-GB" w:eastAsia="zh-CN"/>
        </w:rPr>
        <w:t>：</w:t>
      </w:r>
      <w:r w:rsidRPr="00781F81">
        <w:rPr>
          <w:lang w:val="en-GB" w:eastAsia="zh-CN"/>
        </w:rPr>
        <w:tab/>
        <w:t>408/CA4</w:t>
      </w:r>
      <w:r w:rsidRPr="00781F81">
        <w:rPr>
          <w:lang w:val="en-GB" w:eastAsia="zh-CN"/>
        </w:rPr>
        <w:t>（</w:t>
      </w:r>
      <w:r w:rsidRPr="00781F81">
        <w:rPr>
          <w:lang w:val="en-GB" w:eastAsia="zh-CN"/>
        </w:rPr>
        <w:t>1949</w:t>
      </w:r>
      <w:r>
        <w:rPr>
          <w:rFonts w:hint="eastAsia"/>
          <w:lang w:eastAsia="zh-CN"/>
        </w:rPr>
        <w:t>年</w:t>
      </w:r>
      <w:r w:rsidRPr="00781F81">
        <w:rPr>
          <w:spacing w:val="-12"/>
          <w:lang w:val="en-GB" w:eastAsia="zh-CN"/>
        </w:rPr>
        <w:t>）</w:t>
      </w:r>
      <w:r w:rsidR="00233188">
        <w:rPr>
          <w:rFonts w:hint="eastAsia"/>
          <w:spacing w:val="-12"/>
          <w:lang w:val="en-US" w:eastAsia="zh-CN"/>
        </w:rPr>
        <w:t>、</w:t>
      </w:r>
      <w:r w:rsidRPr="00781F81">
        <w:rPr>
          <w:lang w:val="en-GB" w:eastAsia="zh-CN"/>
        </w:rPr>
        <w:t>1606/CA9</w:t>
      </w:r>
      <w:r w:rsidRPr="00781F81">
        <w:rPr>
          <w:lang w:val="en-GB" w:eastAsia="zh-CN"/>
        </w:rPr>
        <w:t>（</w:t>
      </w:r>
      <w:r w:rsidRPr="00781F81">
        <w:rPr>
          <w:lang w:val="en-GB" w:eastAsia="zh-CN"/>
        </w:rPr>
        <w:t>1954</w:t>
      </w:r>
      <w:r>
        <w:rPr>
          <w:rFonts w:hint="eastAsia"/>
          <w:lang w:eastAsia="zh-CN"/>
        </w:rPr>
        <w:t>年</w:t>
      </w:r>
      <w:r w:rsidRPr="00781F81">
        <w:rPr>
          <w:spacing w:val="-12"/>
          <w:lang w:val="en-GB" w:eastAsia="zh-CN"/>
        </w:rPr>
        <w:t>）</w:t>
      </w:r>
      <w:r w:rsidR="00233188">
        <w:rPr>
          <w:rFonts w:hint="eastAsia"/>
          <w:spacing w:val="-12"/>
          <w:lang w:val="en-US" w:eastAsia="zh-CN"/>
        </w:rPr>
        <w:t>、</w:t>
      </w:r>
      <w:r w:rsidRPr="00781F81">
        <w:rPr>
          <w:lang w:val="en-GB" w:eastAsia="zh-CN"/>
        </w:rPr>
        <w:t>1757/CA10</w:t>
      </w:r>
      <w:r w:rsidRPr="00781F81">
        <w:rPr>
          <w:lang w:val="en-GB" w:eastAsia="zh-CN"/>
        </w:rPr>
        <w:t>（</w:t>
      </w:r>
      <w:r w:rsidRPr="00781F81">
        <w:rPr>
          <w:lang w:val="en-GB" w:eastAsia="zh-CN"/>
        </w:rPr>
        <w:t>1955</w:t>
      </w:r>
      <w:r>
        <w:rPr>
          <w:rFonts w:hint="eastAsia"/>
          <w:lang w:eastAsia="zh-CN"/>
        </w:rPr>
        <w:t>年</w:t>
      </w:r>
      <w:r w:rsidRPr="00781F81">
        <w:rPr>
          <w:spacing w:val="-12"/>
          <w:lang w:val="en-GB" w:eastAsia="zh-CN"/>
        </w:rPr>
        <w:t>）</w:t>
      </w:r>
      <w:r w:rsidR="00233188">
        <w:rPr>
          <w:rFonts w:hint="eastAsia"/>
          <w:spacing w:val="-12"/>
          <w:lang w:eastAsia="zh-CN"/>
        </w:rPr>
        <w:t>、</w:t>
      </w:r>
      <w:r w:rsidRPr="00781F81">
        <w:rPr>
          <w:lang w:val="en-GB" w:eastAsia="zh-CN"/>
        </w:rPr>
        <w:t>4965/CA31</w:t>
      </w:r>
      <w:r w:rsidRPr="00781F81">
        <w:rPr>
          <w:lang w:val="en-GB" w:eastAsia="zh-CN"/>
        </w:rPr>
        <w:t>（</w:t>
      </w:r>
      <w:r w:rsidRPr="00781F81">
        <w:rPr>
          <w:lang w:val="en-GB" w:eastAsia="zh-CN"/>
        </w:rPr>
        <w:t>1976</w:t>
      </w:r>
      <w:r>
        <w:rPr>
          <w:rFonts w:hint="eastAsia"/>
          <w:lang w:eastAsia="zh-CN"/>
        </w:rPr>
        <w:t>年</w:t>
      </w:r>
      <w:r w:rsidRPr="00781F81">
        <w:rPr>
          <w:lang w:val="en-GB" w:eastAsia="zh-CN"/>
        </w:rPr>
        <w:t>）</w:t>
      </w:r>
      <w:r>
        <w:rPr>
          <w:rFonts w:ascii="SimSun" w:hAnsi="SimSun" w:hint="eastAsia"/>
          <w:lang w:eastAsia="zh-CN"/>
        </w:rPr>
        <w:t>号文件。</w:t>
      </w:r>
    </w:p>
    <w:p w14:paraId="4827B9BE" w14:textId="77777777" w:rsidR="00FD528B" w:rsidRDefault="00FD528B" w:rsidP="00FD528B">
      <w:pPr>
        <w:jc w:val="center"/>
        <w:rPr>
          <w:lang w:eastAsia="zh-CN"/>
        </w:rPr>
      </w:pPr>
      <w:bookmarkStart w:id="2591" w:name="_Toc424117140"/>
      <w:bookmarkStart w:id="2592" w:name="_Toc531706488"/>
      <w:bookmarkStart w:id="2593" w:name="_Toc531707101"/>
      <w:bookmarkStart w:id="2594" w:name="_Toc531768580"/>
      <w:bookmarkStart w:id="2595" w:name="_Toc161224115"/>
      <w:bookmarkStart w:id="2596" w:name="_Toc161732161"/>
      <w:bookmarkStart w:id="2597" w:name="_Toc161741093"/>
      <w:bookmarkStart w:id="2598" w:name="_Toc185237759"/>
      <w:bookmarkStart w:id="2599" w:name="_Toc311469670"/>
      <w:r>
        <w:rPr>
          <w:lang w:eastAsia="zh-CN"/>
        </w:rPr>
        <w:t>______________</w:t>
      </w:r>
    </w:p>
    <w:p w14:paraId="4827B9BF" w14:textId="77777777" w:rsidR="00E01F6D" w:rsidRDefault="00802993" w:rsidP="000D18CD">
      <w:pPr>
        <w:pStyle w:val="ResNo"/>
        <w:outlineLvl w:val="0"/>
        <w:rPr>
          <w:lang w:eastAsia="zh-CN"/>
        </w:rPr>
      </w:pPr>
      <w:bookmarkStart w:id="2600" w:name="_Toc16085907"/>
      <w:bookmarkStart w:id="2601" w:name="_Toc86395702"/>
      <w:r>
        <w:rPr>
          <w:rFonts w:hint="eastAsia"/>
          <w:lang w:eastAsia="zh-CN"/>
        </w:rPr>
        <w:t>第</w:t>
      </w:r>
      <w:r>
        <w:rPr>
          <w:lang w:eastAsia="zh-CN"/>
        </w:rPr>
        <w:t>193</w:t>
      </w:r>
      <w:r>
        <w:rPr>
          <w:rFonts w:hint="eastAsia"/>
          <w:lang w:eastAsia="zh-CN"/>
        </w:rPr>
        <w:t>号决议</w:t>
      </w:r>
      <w:r w:rsidR="00E01F6D">
        <w:rPr>
          <w:rFonts w:hint="eastAsia"/>
          <w:lang w:eastAsia="zh-CN"/>
        </w:rPr>
        <w:t>（</w:t>
      </w:r>
      <w:r w:rsidR="00E01F6D">
        <w:rPr>
          <w:lang w:eastAsia="zh-CN"/>
        </w:rPr>
        <w:t>C-1950</w:t>
      </w:r>
      <w:r w:rsidR="00E01F6D">
        <w:rPr>
          <w:rFonts w:hint="eastAsia"/>
          <w:lang w:eastAsia="zh-CN"/>
        </w:rPr>
        <w:t>，</w:t>
      </w:r>
      <w:r w:rsidR="00E01F6D" w:rsidRPr="00307836">
        <w:rPr>
          <w:rFonts w:hint="eastAsia"/>
          <w:lang w:eastAsia="zh-CN"/>
        </w:rPr>
        <w:t>最后修正</w:t>
      </w:r>
      <w:r w:rsidR="00E01F6D" w:rsidRPr="00307836">
        <w:rPr>
          <w:lang w:eastAsia="zh-CN"/>
        </w:rPr>
        <w:t>C-1984</w:t>
      </w:r>
      <w:r w:rsidR="00E01F6D">
        <w:rPr>
          <w:rFonts w:hint="eastAsia"/>
          <w:lang w:eastAsia="zh-CN"/>
        </w:rPr>
        <w:t>）</w:t>
      </w:r>
      <w:bookmarkEnd w:id="2591"/>
      <w:bookmarkEnd w:id="2592"/>
      <w:bookmarkEnd w:id="2593"/>
      <w:bookmarkEnd w:id="2594"/>
      <w:bookmarkEnd w:id="2600"/>
      <w:bookmarkEnd w:id="2601"/>
    </w:p>
    <w:p w14:paraId="4827B9C0" w14:textId="77777777" w:rsidR="00802993" w:rsidRPr="00E01F6D" w:rsidRDefault="00914BB6" w:rsidP="00E01F6D">
      <w:pPr>
        <w:pStyle w:val="Restitle"/>
        <w:rPr>
          <w:lang w:eastAsia="zh-CN"/>
        </w:rPr>
      </w:pPr>
      <w:bookmarkStart w:id="2602" w:name="_Toc424116276"/>
      <w:bookmarkStart w:id="2603" w:name="_Toc424117141"/>
      <w:bookmarkStart w:id="2604" w:name="_Toc460248252"/>
      <w:bookmarkStart w:id="2605" w:name="_Toc531706489"/>
      <w:bookmarkStart w:id="2606" w:name="_Toc531707102"/>
      <w:bookmarkStart w:id="2607" w:name="_Toc531768581"/>
      <w:bookmarkStart w:id="2608" w:name="_Toc16085908"/>
      <w:bookmarkStart w:id="2609" w:name="_Toc86395703"/>
      <w:r w:rsidRPr="00E01F6D">
        <w:rPr>
          <w:rFonts w:hint="eastAsia"/>
          <w:lang w:eastAsia="zh-CN"/>
        </w:rPr>
        <w:t>《</w:t>
      </w:r>
      <w:r w:rsidR="00802993" w:rsidRPr="00E01F6D">
        <w:rPr>
          <w:rFonts w:hint="eastAsia"/>
          <w:lang w:eastAsia="zh-CN"/>
        </w:rPr>
        <w:t>专门机构特权</w:t>
      </w:r>
      <w:r w:rsidRPr="00E01F6D">
        <w:rPr>
          <w:rFonts w:hint="eastAsia"/>
          <w:lang w:eastAsia="zh-CN"/>
        </w:rPr>
        <w:t>与</w:t>
      </w:r>
      <w:r w:rsidR="00802993" w:rsidRPr="00E01F6D">
        <w:rPr>
          <w:rFonts w:hint="eastAsia"/>
          <w:lang w:eastAsia="zh-CN"/>
        </w:rPr>
        <w:t>豁免公约</w:t>
      </w:r>
      <w:r w:rsidRPr="00E01F6D">
        <w:rPr>
          <w:rFonts w:hint="eastAsia"/>
          <w:lang w:eastAsia="zh-CN"/>
        </w:rPr>
        <w:t>》</w:t>
      </w:r>
      <w:bookmarkEnd w:id="2595"/>
      <w:bookmarkEnd w:id="2596"/>
      <w:bookmarkEnd w:id="2597"/>
      <w:bookmarkEnd w:id="2598"/>
      <w:bookmarkEnd w:id="2599"/>
      <w:bookmarkEnd w:id="2602"/>
      <w:bookmarkEnd w:id="2603"/>
      <w:bookmarkEnd w:id="2604"/>
      <w:bookmarkEnd w:id="2605"/>
      <w:bookmarkEnd w:id="2606"/>
      <w:bookmarkEnd w:id="2607"/>
      <w:bookmarkEnd w:id="2608"/>
      <w:bookmarkEnd w:id="2609"/>
    </w:p>
    <w:p w14:paraId="4827B9C1" w14:textId="77777777" w:rsidR="00802993" w:rsidRPr="00E01F6D" w:rsidRDefault="00802993" w:rsidP="00E01F6D">
      <w:pPr>
        <w:pStyle w:val="Normalaftertitle"/>
        <w:rPr>
          <w:lang w:eastAsia="zh-CN"/>
        </w:rPr>
      </w:pPr>
      <w:r w:rsidRPr="00E01F6D">
        <w:rPr>
          <w:rFonts w:hint="eastAsia"/>
          <w:lang w:eastAsia="zh-CN"/>
        </w:rPr>
        <w:t>理事会，</w:t>
      </w:r>
    </w:p>
    <w:p w14:paraId="4827B9C2" w14:textId="77777777" w:rsidR="00802993" w:rsidRDefault="00802993" w:rsidP="00B64353">
      <w:pPr>
        <w:pStyle w:val="Call"/>
        <w:rPr>
          <w:lang w:eastAsia="zh-CN"/>
        </w:rPr>
      </w:pPr>
      <w:r>
        <w:rPr>
          <w:rFonts w:hint="eastAsia"/>
          <w:lang w:eastAsia="zh-CN"/>
        </w:rPr>
        <w:t>考虑到</w:t>
      </w:r>
    </w:p>
    <w:p w14:paraId="4827B9C3" w14:textId="77777777" w:rsidR="00802993" w:rsidRDefault="00802993" w:rsidP="00B64353">
      <w:pPr>
        <w:rPr>
          <w:lang w:eastAsia="zh-CN"/>
        </w:rPr>
      </w:pPr>
      <w:r w:rsidRPr="00A27F25">
        <w:rPr>
          <w:i/>
          <w:iCs/>
          <w:lang w:eastAsia="zh-CN"/>
        </w:rPr>
        <w:t>a</w:t>
      </w:r>
      <w:r w:rsidR="000E6A83" w:rsidRPr="00A27F25">
        <w:rPr>
          <w:i/>
          <w:iCs/>
          <w:lang w:eastAsia="zh-CN"/>
        </w:rPr>
        <w:t>)</w:t>
      </w:r>
      <w:r w:rsidR="000E6A83">
        <w:rPr>
          <w:lang w:eastAsia="zh-CN"/>
        </w:rPr>
        <w:tab/>
      </w:r>
      <w:r w:rsidR="00914BB6">
        <w:rPr>
          <w:rFonts w:hint="eastAsia"/>
          <w:lang w:eastAsia="zh-CN"/>
        </w:rPr>
        <w:t>国际电联已接受了《</w:t>
      </w:r>
      <w:r>
        <w:rPr>
          <w:rFonts w:hint="eastAsia"/>
          <w:lang w:eastAsia="zh-CN"/>
        </w:rPr>
        <w:t>专门机构特权</w:t>
      </w:r>
      <w:r w:rsidR="00914BB6">
        <w:rPr>
          <w:rFonts w:hint="eastAsia"/>
          <w:lang w:eastAsia="zh-CN"/>
        </w:rPr>
        <w:t>与</w:t>
      </w:r>
      <w:r>
        <w:rPr>
          <w:rFonts w:hint="eastAsia"/>
          <w:lang w:eastAsia="zh-CN"/>
        </w:rPr>
        <w:t>豁免公约》，</w:t>
      </w:r>
    </w:p>
    <w:p w14:paraId="4827B9C4" w14:textId="77777777" w:rsidR="00802993" w:rsidRDefault="00802993" w:rsidP="00B64353">
      <w:pPr>
        <w:rPr>
          <w:lang w:eastAsia="zh-CN"/>
        </w:rPr>
      </w:pPr>
      <w:r w:rsidRPr="00A27F25">
        <w:rPr>
          <w:i/>
          <w:iCs/>
          <w:lang w:eastAsia="zh-CN"/>
        </w:rPr>
        <w:t>b</w:t>
      </w:r>
      <w:r w:rsidR="000E6A83" w:rsidRPr="00A27F25">
        <w:rPr>
          <w:i/>
          <w:iCs/>
          <w:lang w:eastAsia="zh-CN"/>
        </w:rPr>
        <w:t>)</w:t>
      </w:r>
      <w:r w:rsidR="000E6A83">
        <w:rPr>
          <w:lang w:eastAsia="zh-CN"/>
        </w:rPr>
        <w:tab/>
      </w:r>
      <w:r>
        <w:rPr>
          <w:rFonts w:hint="eastAsia"/>
          <w:lang w:eastAsia="zh-CN"/>
        </w:rPr>
        <w:t>上述公约第</w:t>
      </w:r>
      <w:r>
        <w:rPr>
          <w:lang w:eastAsia="zh-CN"/>
        </w:rPr>
        <w:t>11</w:t>
      </w:r>
      <w:r>
        <w:rPr>
          <w:rFonts w:hint="eastAsia"/>
          <w:lang w:eastAsia="zh-CN"/>
        </w:rPr>
        <w:t>节第四条的规定与《国际电信公约》附件</w:t>
      </w:r>
      <w:r>
        <w:rPr>
          <w:lang w:eastAsia="zh-CN"/>
        </w:rPr>
        <w:t>2</w:t>
      </w:r>
      <w:r>
        <w:rPr>
          <w:rFonts w:hint="eastAsia"/>
          <w:lang w:eastAsia="zh-CN"/>
        </w:rPr>
        <w:t>中“政务电报和政务电话通话”的定义之间的矛盾尚未解决，</w:t>
      </w:r>
    </w:p>
    <w:p w14:paraId="4827B9C5" w14:textId="77777777" w:rsidR="00802993" w:rsidRDefault="00802993" w:rsidP="00B64353">
      <w:pPr>
        <w:rPr>
          <w:lang w:eastAsia="zh-CN"/>
        </w:rPr>
      </w:pPr>
      <w:r>
        <w:rPr>
          <w:lang w:eastAsia="zh-CN"/>
        </w:rPr>
        <w:tab/>
      </w:r>
      <w:r>
        <w:rPr>
          <w:rFonts w:ascii="STKaiti" w:eastAsia="STKaiti" w:hAnsi="SimSun" w:hint="eastAsia"/>
          <w:lang w:eastAsia="zh-CN"/>
        </w:rPr>
        <w:t>认识到</w:t>
      </w:r>
      <w:r>
        <w:rPr>
          <w:lang w:eastAsia="zh-CN"/>
        </w:rPr>
        <w:t>1982</w:t>
      </w:r>
      <w:r>
        <w:rPr>
          <w:rFonts w:hint="eastAsia"/>
          <w:lang w:eastAsia="zh-CN"/>
        </w:rPr>
        <w:t>年内罗毕全权代表大会通过了针对该问题的第</w:t>
      </w:r>
      <w:r>
        <w:rPr>
          <w:lang w:eastAsia="zh-CN"/>
        </w:rPr>
        <w:t>40</w:t>
      </w:r>
      <w:r>
        <w:rPr>
          <w:rFonts w:hint="eastAsia"/>
          <w:lang w:eastAsia="zh-CN"/>
        </w:rPr>
        <w:t>号决议，</w:t>
      </w:r>
    </w:p>
    <w:p w14:paraId="4827B9C6" w14:textId="77777777" w:rsidR="00802993" w:rsidRDefault="00802993" w:rsidP="00B64353">
      <w:pPr>
        <w:pStyle w:val="Call"/>
        <w:rPr>
          <w:lang w:eastAsia="zh-CN"/>
        </w:rPr>
      </w:pPr>
      <w:r w:rsidRPr="006F4CAC">
        <w:rPr>
          <w:rFonts w:hint="eastAsia"/>
          <w:lang w:eastAsia="zh-CN"/>
        </w:rPr>
        <w:t>请秘书长</w:t>
      </w:r>
    </w:p>
    <w:p w14:paraId="4827B9C7" w14:textId="77777777" w:rsidR="00802993" w:rsidRDefault="00802993" w:rsidP="00B64353">
      <w:pPr>
        <w:rPr>
          <w:lang w:eastAsia="zh-CN"/>
        </w:rPr>
      </w:pPr>
      <w:r>
        <w:rPr>
          <w:lang w:eastAsia="zh-CN"/>
        </w:rPr>
        <w:t>1</w:t>
      </w:r>
      <w:r w:rsidR="00E04370">
        <w:rPr>
          <w:lang w:eastAsia="zh-CN"/>
        </w:rPr>
        <w:tab/>
      </w:r>
      <w:r>
        <w:rPr>
          <w:rFonts w:hint="eastAsia"/>
          <w:lang w:eastAsia="zh-CN"/>
        </w:rPr>
        <w:t>更新适用上述公约第六和第八条规定的官员名单并将其通报给该公约的国际电联成员签字国和联合国秘书长，</w:t>
      </w:r>
    </w:p>
    <w:p w14:paraId="4827B9C8" w14:textId="77777777" w:rsidR="00802993" w:rsidRDefault="00802993" w:rsidP="00B64353">
      <w:pPr>
        <w:rPr>
          <w:lang w:eastAsia="zh-CN"/>
        </w:rPr>
      </w:pPr>
      <w:r>
        <w:rPr>
          <w:lang w:eastAsia="zh-CN"/>
        </w:rPr>
        <w:t>2</w:t>
      </w:r>
      <w:r w:rsidR="00E04370">
        <w:rPr>
          <w:lang w:eastAsia="zh-CN"/>
        </w:rPr>
        <w:tab/>
      </w:r>
      <w:r>
        <w:rPr>
          <w:rFonts w:hint="eastAsia"/>
          <w:lang w:eastAsia="zh-CN"/>
        </w:rPr>
        <w:t>当国际电联的某一大会或会议在该公约的国际电联成员签字国举行时，采取必要措施提醒国际电联各成员注意第五条条款的规定，并向国际电联成员</w:t>
      </w:r>
      <w:r w:rsidR="00914BB6">
        <w:rPr>
          <w:rFonts w:hint="eastAsia"/>
          <w:lang w:eastAsia="zh-CN"/>
        </w:rPr>
        <w:t>国</w:t>
      </w:r>
      <w:r>
        <w:rPr>
          <w:rFonts w:hint="eastAsia"/>
          <w:lang w:eastAsia="zh-CN"/>
        </w:rPr>
        <w:t>代表提供声明其享有这些特权</w:t>
      </w:r>
      <w:r w:rsidR="00914BB6">
        <w:rPr>
          <w:rFonts w:hint="eastAsia"/>
          <w:lang w:eastAsia="zh-CN"/>
        </w:rPr>
        <w:t>与</w:t>
      </w:r>
      <w:r>
        <w:rPr>
          <w:rFonts w:hint="eastAsia"/>
          <w:lang w:eastAsia="zh-CN"/>
        </w:rPr>
        <w:t>豁免的文件。</w:t>
      </w:r>
    </w:p>
    <w:p w14:paraId="4827B9C9" w14:textId="77777777" w:rsidR="00802993" w:rsidRDefault="00802993" w:rsidP="00B64353">
      <w:pPr>
        <w:rPr>
          <w:lang w:eastAsia="zh-CN"/>
        </w:rPr>
      </w:pPr>
      <w:r>
        <w:rPr>
          <w:rFonts w:hint="eastAsia"/>
          <w:lang w:eastAsia="zh-CN"/>
        </w:rPr>
        <w:tab/>
      </w:r>
      <w:r>
        <w:rPr>
          <w:rFonts w:hint="eastAsia"/>
          <w:lang w:eastAsia="zh-CN"/>
        </w:rPr>
        <w:t>本决议取代第</w:t>
      </w:r>
      <w:r>
        <w:rPr>
          <w:lang w:eastAsia="zh-CN"/>
        </w:rPr>
        <w:t>51</w:t>
      </w:r>
      <w:r>
        <w:rPr>
          <w:rFonts w:hint="eastAsia"/>
          <w:lang w:eastAsia="zh-CN"/>
        </w:rPr>
        <w:t>号决定。</w:t>
      </w:r>
    </w:p>
    <w:p w14:paraId="4827B9CA" w14:textId="77777777" w:rsidR="00F11D1D" w:rsidRPr="00D746C3" w:rsidRDefault="00802993" w:rsidP="00E01F6D">
      <w:pPr>
        <w:pStyle w:val="Endtext"/>
        <w:rPr>
          <w:lang w:eastAsia="zh-CN"/>
        </w:rPr>
      </w:pPr>
      <w:r>
        <w:rPr>
          <w:rFonts w:ascii="STKaiti" w:hAnsi="SimSun" w:hint="eastAsia"/>
          <w:lang w:eastAsia="zh-CN"/>
        </w:rPr>
        <w:t>参阅：</w:t>
      </w:r>
      <w:r>
        <w:rPr>
          <w:rFonts w:ascii="STKaiti" w:hAnsi="SimSun" w:hint="eastAsia"/>
          <w:lang w:eastAsia="zh-CN"/>
        </w:rPr>
        <w:tab/>
      </w:r>
      <w:r>
        <w:rPr>
          <w:lang w:eastAsia="zh-CN"/>
        </w:rPr>
        <w:t>807/CA5</w:t>
      </w:r>
      <w:r>
        <w:rPr>
          <w:lang w:eastAsia="zh-CN"/>
        </w:rPr>
        <w:t>（</w:t>
      </w:r>
      <w:r>
        <w:rPr>
          <w:lang w:eastAsia="zh-CN"/>
        </w:rPr>
        <w:t>1950</w:t>
      </w:r>
      <w:r>
        <w:rPr>
          <w:rFonts w:hint="eastAsia"/>
          <w:lang w:eastAsia="zh-CN"/>
        </w:rPr>
        <w:t>年</w:t>
      </w:r>
      <w:r>
        <w:rPr>
          <w:lang w:eastAsia="zh-CN"/>
        </w:rPr>
        <w:t>）</w:t>
      </w:r>
      <w:r w:rsidR="00233188">
        <w:rPr>
          <w:rFonts w:hint="eastAsia"/>
          <w:lang w:eastAsia="zh-CN"/>
        </w:rPr>
        <w:t>、</w:t>
      </w:r>
      <w:r>
        <w:rPr>
          <w:lang w:eastAsia="zh-CN"/>
        </w:rPr>
        <w:t>5703/CA36</w:t>
      </w:r>
      <w:r>
        <w:rPr>
          <w:lang w:eastAsia="zh-CN"/>
        </w:rPr>
        <w:t>（</w:t>
      </w:r>
      <w:r>
        <w:rPr>
          <w:lang w:eastAsia="zh-CN"/>
        </w:rPr>
        <w:t>1981</w:t>
      </w:r>
      <w:r>
        <w:rPr>
          <w:rFonts w:hint="eastAsia"/>
          <w:lang w:eastAsia="zh-CN"/>
        </w:rPr>
        <w:t>年</w:t>
      </w:r>
      <w:r>
        <w:rPr>
          <w:lang w:eastAsia="zh-CN"/>
        </w:rPr>
        <w:t>）</w:t>
      </w:r>
      <w:r w:rsidR="00233188">
        <w:rPr>
          <w:rFonts w:hint="eastAsia"/>
          <w:lang w:eastAsia="zh-CN"/>
        </w:rPr>
        <w:t>、</w:t>
      </w:r>
      <w:r>
        <w:rPr>
          <w:lang w:eastAsia="zh-CN"/>
        </w:rPr>
        <w:t>6197/CA39</w:t>
      </w:r>
      <w:r>
        <w:rPr>
          <w:lang w:eastAsia="zh-CN"/>
        </w:rPr>
        <w:t>（</w:t>
      </w:r>
      <w:r>
        <w:rPr>
          <w:lang w:eastAsia="zh-CN"/>
        </w:rPr>
        <w:t>1984</w:t>
      </w:r>
      <w:r>
        <w:rPr>
          <w:rFonts w:hint="eastAsia"/>
          <w:lang w:eastAsia="zh-CN"/>
        </w:rPr>
        <w:t>年</w:t>
      </w:r>
      <w:r>
        <w:rPr>
          <w:lang w:eastAsia="zh-CN"/>
        </w:rPr>
        <w:t>）</w:t>
      </w:r>
      <w:r>
        <w:rPr>
          <w:rFonts w:ascii="SimSun" w:hAnsi="SimSun" w:hint="eastAsia"/>
          <w:lang w:eastAsia="zh-CN"/>
        </w:rPr>
        <w:t>号文件。</w:t>
      </w:r>
    </w:p>
    <w:p w14:paraId="4827B9CB" w14:textId="77777777" w:rsidR="00FD528B" w:rsidRDefault="00FD528B" w:rsidP="00FD528B">
      <w:pPr>
        <w:jc w:val="center"/>
        <w:rPr>
          <w:lang w:eastAsia="zh-CN"/>
        </w:rPr>
      </w:pPr>
      <w:bookmarkStart w:id="2610" w:name="_Toc161224116"/>
      <w:bookmarkStart w:id="2611" w:name="_Toc161732162"/>
      <w:bookmarkStart w:id="2612" w:name="_Toc161741094"/>
      <w:bookmarkStart w:id="2613" w:name="_Toc185237760"/>
      <w:bookmarkStart w:id="2614" w:name="_Toc311469671"/>
      <w:r>
        <w:rPr>
          <w:lang w:eastAsia="zh-CN"/>
        </w:rPr>
        <w:t>______________</w:t>
      </w:r>
    </w:p>
    <w:p w14:paraId="4827B9CC" w14:textId="77777777" w:rsidR="008B2024" w:rsidRDefault="008B202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4827B9CD" w14:textId="77777777" w:rsidR="00E01F6D" w:rsidRDefault="00742A4D" w:rsidP="000D18CD">
      <w:pPr>
        <w:pStyle w:val="ResNo"/>
        <w:outlineLvl w:val="0"/>
        <w:rPr>
          <w:bCs/>
          <w:lang w:eastAsia="zh-CN"/>
        </w:rPr>
      </w:pPr>
      <w:bookmarkStart w:id="2615" w:name="_Toc424117142"/>
      <w:bookmarkStart w:id="2616" w:name="_Toc531706490"/>
      <w:bookmarkStart w:id="2617" w:name="_Toc531707103"/>
      <w:bookmarkStart w:id="2618" w:name="_Toc531768582"/>
      <w:bookmarkStart w:id="2619" w:name="_Toc16085909"/>
      <w:bookmarkStart w:id="2620" w:name="_Toc86395704"/>
      <w:r>
        <w:rPr>
          <w:rFonts w:hint="eastAsia"/>
          <w:lang w:eastAsia="zh-CN"/>
        </w:rPr>
        <w:lastRenderedPageBreak/>
        <w:t>第</w:t>
      </w:r>
      <w:r>
        <w:rPr>
          <w:lang w:eastAsia="zh-CN"/>
        </w:rPr>
        <w:t>659</w:t>
      </w:r>
      <w:r w:rsidRPr="00103004">
        <w:rPr>
          <w:rFonts w:hint="eastAsia"/>
          <w:bCs/>
          <w:lang w:eastAsia="zh-CN"/>
        </w:rPr>
        <w:t>号决议</w:t>
      </w:r>
      <w:r w:rsidR="00963C0B">
        <w:rPr>
          <w:rFonts w:hint="eastAsia"/>
          <w:bCs/>
          <w:lang w:eastAsia="zh-CN"/>
        </w:rPr>
        <w:t>（</w:t>
      </w:r>
      <w:r w:rsidR="00E01F6D" w:rsidRPr="00742A4D">
        <w:rPr>
          <w:lang w:eastAsia="zh-CN"/>
        </w:rPr>
        <w:t>C-1969</w:t>
      </w:r>
      <w:r w:rsidR="00963C0B">
        <w:rPr>
          <w:rFonts w:hint="eastAsia"/>
          <w:lang w:eastAsia="zh-CN"/>
        </w:rPr>
        <w:t>）</w:t>
      </w:r>
      <w:r w:rsidR="00F27EC1" w:rsidRPr="00E01F6D">
        <w:rPr>
          <w:rStyle w:val="FootnoteReference"/>
          <w:lang w:eastAsia="zh-CN"/>
        </w:rPr>
        <w:footnoteReference w:customMarkFollows="1" w:id="17"/>
        <w:t>1</w:t>
      </w:r>
      <w:bookmarkEnd w:id="2615"/>
      <w:bookmarkEnd w:id="2616"/>
      <w:bookmarkEnd w:id="2617"/>
      <w:bookmarkEnd w:id="2618"/>
      <w:bookmarkEnd w:id="2619"/>
      <w:bookmarkEnd w:id="2620"/>
    </w:p>
    <w:p w14:paraId="4827B9CE" w14:textId="77777777" w:rsidR="00742A4D" w:rsidRPr="00E01F6D" w:rsidRDefault="00742A4D" w:rsidP="00B31FF3">
      <w:pPr>
        <w:pStyle w:val="Restitle"/>
        <w:spacing w:before="0"/>
        <w:rPr>
          <w:lang w:eastAsia="zh-CN"/>
        </w:rPr>
      </w:pPr>
      <w:bookmarkStart w:id="2621" w:name="_Toc424116277"/>
      <w:bookmarkStart w:id="2622" w:name="_Toc424117143"/>
      <w:bookmarkStart w:id="2623" w:name="_Toc460248254"/>
      <w:bookmarkStart w:id="2624" w:name="_Toc531706491"/>
      <w:bookmarkStart w:id="2625" w:name="_Toc531707104"/>
      <w:bookmarkStart w:id="2626" w:name="_Toc531768583"/>
      <w:bookmarkStart w:id="2627" w:name="_Toc16085910"/>
      <w:bookmarkStart w:id="2628" w:name="_Toc86395705"/>
      <w:r w:rsidRPr="00E01F6D">
        <w:rPr>
          <w:rFonts w:hint="eastAsia"/>
          <w:lang w:eastAsia="zh-CN"/>
        </w:rPr>
        <w:t>就联合国大会第</w:t>
      </w:r>
      <w:r w:rsidRPr="00E01F6D">
        <w:rPr>
          <w:lang w:eastAsia="zh-CN"/>
        </w:rPr>
        <w:t>2395</w:t>
      </w:r>
      <w:r w:rsidRPr="00E01F6D">
        <w:rPr>
          <w:rFonts w:hint="eastAsia"/>
          <w:lang w:eastAsia="zh-CN"/>
        </w:rPr>
        <w:t>、</w:t>
      </w:r>
      <w:r w:rsidRPr="00E01F6D">
        <w:rPr>
          <w:lang w:eastAsia="zh-CN"/>
        </w:rPr>
        <w:t>2396</w:t>
      </w:r>
      <w:r w:rsidRPr="00E01F6D">
        <w:rPr>
          <w:rFonts w:hint="eastAsia"/>
          <w:lang w:eastAsia="zh-CN"/>
        </w:rPr>
        <w:t>、</w:t>
      </w:r>
      <w:r w:rsidRPr="00E01F6D">
        <w:rPr>
          <w:lang w:eastAsia="zh-CN"/>
        </w:rPr>
        <w:t>2426</w:t>
      </w:r>
      <w:r w:rsidRPr="00E01F6D">
        <w:rPr>
          <w:rFonts w:hint="eastAsia"/>
          <w:lang w:eastAsia="zh-CN"/>
        </w:rPr>
        <w:t>和</w:t>
      </w:r>
      <w:r w:rsidRPr="00E01F6D">
        <w:rPr>
          <w:lang w:eastAsia="zh-CN"/>
        </w:rPr>
        <w:t>2465</w:t>
      </w:r>
      <w:r w:rsidRPr="00E01F6D">
        <w:rPr>
          <w:rFonts w:hint="eastAsia"/>
          <w:lang w:eastAsia="zh-CN"/>
        </w:rPr>
        <w:t>（</w:t>
      </w:r>
      <w:r w:rsidRPr="00E01F6D">
        <w:rPr>
          <w:rFonts w:hint="eastAsia"/>
          <w:lang w:eastAsia="zh-CN"/>
        </w:rPr>
        <w:t>XXIII</w:t>
      </w:r>
      <w:r w:rsidRPr="00E01F6D">
        <w:rPr>
          <w:rFonts w:hint="eastAsia"/>
          <w:lang w:eastAsia="zh-CN"/>
        </w:rPr>
        <w:t>）号</w:t>
      </w:r>
      <w:r w:rsidR="00E01F6D">
        <w:rPr>
          <w:lang w:eastAsia="zh-CN"/>
        </w:rPr>
        <w:br/>
      </w:r>
      <w:r w:rsidRPr="00E01F6D">
        <w:rPr>
          <w:rFonts w:hint="eastAsia"/>
          <w:lang w:eastAsia="zh-CN"/>
        </w:rPr>
        <w:t>决议采取的行动</w:t>
      </w:r>
      <w:bookmarkEnd w:id="2610"/>
      <w:bookmarkEnd w:id="2611"/>
      <w:bookmarkEnd w:id="2612"/>
      <w:bookmarkEnd w:id="2613"/>
      <w:bookmarkEnd w:id="2614"/>
      <w:bookmarkEnd w:id="2621"/>
      <w:bookmarkEnd w:id="2622"/>
      <w:bookmarkEnd w:id="2623"/>
      <w:bookmarkEnd w:id="2624"/>
      <w:bookmarkEnd w:id="2625"/>
      <w:bookmarkEnd w:id="2626"/>
      <w:bookmarkEnd w:id="2627"/>
      <w:bookmarkEnd w:id="2628"/>
    </w:p>
    <w:p w14:paraId="4827B9CF" w14:textId="77777777" w:rsidR="00802993" w:rsidRPr="00E01F6D" w:rsidRDefault="00802993" w:rsidP="00E01F6D">
      <w:pPr>
        <w:pStyle w:val="Normalaftertitle"/>
        <w:rPr>
          <w:lang w:eastAsia="zh-CN"/>
        </w:rPr>
      </w:pPr>
      <w:r w:rsidRPr="00E01F6D">
        <w:rPr>
          <w:rFonts w:hint="eastAsia"/>
          <w:lang w:eastAsia="zh-CN"/>
        </w:rPr>
        <w:t>理事会，</w:t>
      </w:r>
    </w:p>
    <w:p w14:paraId="4827B9D0" w14:textId="77777777" w:rsidR="00802993" w:rsidRDefault="00802993" w:rsidP="00B64353">
      <w:pPr>
        <w:pStyle w:val="Call"/>
        <w:rPr>
          <w:lang w:eastAsia="zh-CN"/>
        </w:rPr>
      </w:pPr>
      <w:r>
        <w:rPr>
          <w:rFonts w:hint="eastAsia"/>
          <w:lang w:eastAsia="zh-CN"/>
        </w:rPr>
        <w:t>经审议</w:t>
      </w:r>
    </w:p>
    <w:p w14:paraId="4827B9D1" w14:textId="77777777" w:rsidR="00802993" w:rsidRDefault="00802993" w:rsidP="00B64353">
      <w:pPr>
        <w:rPr>
          <w:lang w:eastAsia="zh-CN"/>
        </w:rPr>
      </w:pPr>
      <w:r w:rsidRPr="00376870">
        <w:rPr>
          <w:i/>
          <w:iCs/>
          <w:lang w:eastAsia="zh-CN"/>
        </w:rPr>
        <w:t>a</w:t>
      </w:r>
      <w:r w:rsidR="000E6A83" w:rsidRPr="00376870">
        <w:rPr>
          <w:i/>
          <w:iCs/>
          <w:lang w:eastAsia="zh-CN"/>
        </w:rPr>
        <w:t>)</w:t>
      </w:r>
      <w:r w:rsidR="000E6A83">
        <w:rPr>
          <w:lang w:eastAsia="zh-CN"/>
        </w:rPr>
        <w:tab/>
      </w:r>
      <w:r>
        <w:rPr>
          <w:rFonts w:hint="eastAsia"/>
          <w:lang w:eastAsia="zh-CN"/>
        </w:rPr>
        <w:t>第</w:t>
      </w:r>
      <w:r>
        <w:rPr>
          <w:lang w:eastAsia="zh-CN"/>
        </w:rPr>
        <w:t>3864/CA24</w:t>
      </w:r>
      <w:r>
        <w:rPr>
          <w:rFonts w:hint="eastAsia"/>
          <w:lang w:eastAsia="zh-CN"/>
        </w:rPr>
        <w:t>号文件中秘书长的报告，</w:t>
      </w:r>
    </w:p>
    <w:p w14:paraId="4827B9D2" w14:textId="77777777" w:rsidR="00802993" w:rsidRDefault="00802993" w:rsidP="00B64353">
      <w:pPr>
        <w:rPr>
          <w:lang w:eastAsia="zh-CN"/>
        </w:rPr>
      </w:pPr>
      <w:r w:rsidRPr="00376870">
        <w:rPr>
          <w:i/>
          <w:iCs/>
          <w:lang w:eastAsia="zh-CN"/>
        </w:rPr>
        <w:t>b</w:t>
      </w:r>
      <w:r w:rsidR="000E6A83" w:rsidRPr="00376870">
        <w:rPr>
          <w:i/>
          <w:iCs/>
          <w:lang w:eastAsia="zh-CN"/>
        </w:rPr>
        <w:t>)</w:t>
      </w:r>
      <w:r w:rsidR="000E6A83">
        <w:rPr>
          <w:lang w:eastAsia="zh-CN"/>
        </w:rPr>
        <w:tab/>
      </w:r>
      <w:r>
        <w:rPr>
          <w:rFonts w:hint="eastAsia"/>
          <w:lang w:eastAsia="zh-CN"/>
        </w:rPr>
        <w:t>该报告附件所附的由联合国大会通过的有关决议。按照联合国和国际电信联盟之间所签协议第五条的规定，已将上述决议转交国际电联秘书长，以呈交国际电联相关机构，</w:t>
      </w:r>
    </w:p>
    <w:p w14:paraId="4827B9D3" w14:textId="77777777" w:rsidR="00802993" w:rsidRDefault="00802993" w:rsidP="00F27EC1">
      <w:pPr>
        <w:tabs>
          <w:tab w:val="left" w:pos="720"/>
        </w:tabs>
        <w:overflowPunct/>
        <w:autoSpaceDE/>
        <w:adjustRightInd/>
        <w:rPr>
          <w:lang w:eastAsia="zh-CN"/>
        </w:rPr>
      </w:pPr>
      <w:r>
        <w:rPr>
          <w:lang w:eastAsia="zh-CN"/>
        </w:rPr>
        <w:tab/>
      </w:r>
      <w:r>
        <w:rPr>
          <w:rFonts w:ascii="STKaiti" w:eastAsia="STKaiti" w:hAnsi="SimSun" w:hint="eastAsia"/>
          <w:lang w:eastAsia="zh-CN"/>
        </w:rPr>
        <w:t>忆及</w:t>
      </w:r>
      <w:r>
        <w:rPr>
          <w:lang w:eastAsia="zh-CN"/>
        </w:rPr>
        <w:t>1982</w:t>
      </w:r>
      <w:r>
        <w:rPr>
          <w:rFonts w:hint="eastAsia"/>
          <w:lang w:eastAsia="zh-CN"/>
        </w:rPr>
        <w:t>年内罗毕全权代表大会通过的第</w:t>
      </w:r>
      <w:r>
        <w:rPr>
          <w:lang w:eastAsia="zh-CN"/>
        </w:rPr>
        <w:t>14</w:t>
      </w:r>
      <w:r>
        <w:rPr>
          <w:rFonts w:hint="eastAsia"/>
          <w:lang w:eastAsia="zh-CN"/>
        </w:rPr>
        <w:t>号决议及</w:t>
      </w:r>
      <w:r w:rsidR="004E502C">
        <w:rPr>
          <w:rFonts w:hint="eastAsia"/>
          <w:lang w:eastAsia="zh-CN"/>
        </w:rPr>
        <w:t>理事会</w:t>
      </w:r>
      <w:r>
        <w:rPr>
          <w:lang w:eastAsia="zh-CN"/>
        </w:rPr>
        <w:t>1966</w:t>
      </w:r>
      <w:r>
        <w:rPr>
          <w:rFonts w:hint="eastAsia"/>
          <w:lang w:eastAsia="zh-CN"/>
        </w:rPr>
        <w:t>年会</w:t>
      </w:r>
      <w:r w:rsidR="004E502C">
        <w:rPr>
          <w:rFonts w:hint="eastAsia"/>
          <w:lang w:eastAsia="zh-CN"/>
        </w:rPr>
        <w:t>议</w:t>
      </w:r>
      <w:r>
        <w:rPr>
          <w:rFonts w:hint="eastAsia"/>
          <w:lang w:eastAsia="zh-CN"/>
        </w:rPr>
        <w:t>通过的第</w:t>
      </w:r>
      <w:r>
        <w:rPr>
          <w:lang w:eastAsia="zh-CN"/>
        </w:rPr>
        <w:t>599</w:t>
      </w:r>
      <w:r>
        <w:rPr>
          <w:rFonts w:hint="eastAsia"/>
          <w:lang w:eastAsia="zh-CN"/>
        </w:rPr>
        <w:t>号决议</w:t>
      </w:r>
      <w:r w:rsidR="00F27EC1">
        <w:rPr>
          <w:rStyle w:val="FootnoteReference"/>
          <w:lang w:eastAsia="zh-CN"/>
        </w:rPr>
        <w:footnoteReference w:customMarkFollows="1" w:id="18"/>
        <w:t>2</w:t>
      </w:r>
      <w:r>
        <w:rPr>
          <w:rFonts w:hint="eastAsia"/>
          <w:lang w:eastAsia="zh-CN"/>
        </w:rPr>
        <w:t>和</w:t>
      </w:r>
      <w:r w:rsidR="004E502C">
        <w:rPr>
          <w:rFonts w:hint="eastAsia"/>
          <w:lang w:eastAsia="zh-CN"/>
        </w:rPr>
        <w:t>理事会</w:t>
      </w:r>
      <w:r>
        <w:rPr>
          <w:lang w:eastAsia="zh-CN"/>
        </w:rPr>
        <w:t>1967</w:t>
      </w:r>
      <w:r w:rsidR="004E502C">
        <w:rPr>
          <w:rFonts w:hint="eastAsia"/>
          <w:lang w:eastAsia="zh-CN"/>
        </w:rPr>
        <w:t>年会议</w:t>
      </w:r>
      <w:r>
        <w:rPr>
          <w:rFonts w:hint="eastAsia"/>
          <w:lang w:eastAsia="zh-CN"/>
        </w:rPr>
        <w:t>通过的第</w:t>
      </w:r>
      <w:r>
        <w:rPr>
          <w:lang w:eastAsia="zh-CN"/>
        </w:rPr>
        <w:t>619</w:t>
      </w:r>
      <w:r>
        <w:rPr>
          <w:rFonts w:hint="eastAsia"/>
          <w:lang w:eastAsia="zh-CN"/>
        </w:rPr>
        <w:t>号决议</w:t>
      </w:r>
      <w:r w:rsidR="00F27EC1" w:rsidRPr="00F27EC1">
        <w:rPr>
          <w:position w:val="6"/>
          <w:sz w:val="16"/>
          <w:szCs w:val="16"/>
          <w:lang w:val="en-US" w:eastAsia="zh-CN"/>
        </w:rPr>
        <w:t>2</w:t>
      </w:r>
      <w:r>
        <w:rPr>
          <w:rFonts w:hint="eastAsia"/>
          <w:lang w:eastAsia="zh-CN"/>
        </w:rPr>
        <w:t>，</w:t>
      </w:r>
      <w:r>
        <w:rPr>
          <w:lang w:eastAsia="zh-CN"/>
        </w:rPr>
        <w:t xml:space="preserve"> </w:t>
      </w:r>
    </w:p>
    <w:p w14:paraId="4827B9D4" w14:textId="77777777" w:rsidR="00802993" w:rsidRDefault="00802993" w:rsidP="00B64353">
      <w:pPr>
        <w:rPr>
          <w:lang w:eastAsia="zh-CN"/>
        </w:rPr>
      </w:pPr>
      <w:r>
        <w:rPr>
          <w:lang w:eastAsia="zh-CN"/>
        </w:rPr>
        <w:tab/>
      </w:r>
      <w:r>
        <w:rPr>
          <w:rFonts w:ascii="STKaiti" w:eastAsia="STKaiti" w:hAnsi="SimSun" w:hint="eastAsia"/>
          <w:lang w:eastAsia="zh-CN"/>
        </w:rPr>
        <w:t>铭记</w:t>
      </w:r>
      <w:r>
        <w:rPr>
          <w:rFonts w:hint="eastAsia"/>
          <w:lang w:eastAsia="zh-CN"/>
        </w:rPr>
        <w:t>《国际电信公约》所规定的国际电联的宗旨及秘书长的职责，</w:t>
      </w:r>
    </w:p>
    <w:p w14:paraId="4827B9D5" w14:textId="77777777" w:rsidR="00802993" w:rsidRDefault="00802993" w:rsidP="00B64353">
      <w:pPr>
        <w:pStyle w:val="Call"/>
        <w:rPr>
          <w:lang w:eastAsia="zh-CN"/>
        </w:rPr>
      </w:pPr>
      <w:r w:rsidRPr="00E55240">
        <w:rPr>
          <w:rFonts w:hint="eastAsia"/>
          <w:lang w:eastAsia="zh-CN"/>
        </w:rPr>
        <w:t>责成秘书长</w:t>
      </w:r>
    </w:p>
    <w:p w14:paraId="4827B9D6" w14:textId="77777777" w:rsidR="00802993" w:rsidRDefault="00802993" w:rsidP="00E01F6D">
      <w:pPr>
        <w:rPr>
          <w:lang w:eastAsia="zh-CN"/>
        </w:rPr>
      </w:pPr>
      <w:r>
        <w:rPr>
          <w:lang w:eastAsia="zh-CN"/>
        </w:rPr>
        <w:t>1</w:t>
      </w:r>
      <w:r w:rsidR="00E04370">
        <w:rPr>
          <w:lang w:eastAsia="zh-CN"/>
        </w:rPr>
        <w:tab/>
      </w:r>
      <w:r>
        <w:rPr>
          <w:rFonts w:hint="eastAsia"/>
          <w:lang w:eastAsia="zh-CN"/>
        </w:rPr>
        <w:t>与联合国难民事务高级专员</w:t>
      </w:r>
      <w:r>
        <w:rPr>
          <w:lang w:eastAsia="zh-CN"/>
        </w:rPr>
        <w:t>（</w:t>
      </w:r>
      <w:r>
        <w:rPr>
          <w:lang w:eastAsia="zh-CN"/>
        </w:rPr>
        <w:t>UNHCR</w:t>
      </w:r>
      <w:r>
        <w:rPr>
          <w:lang w:eastAsia="zh-CN"/>
        </w:rPr>
        <w:t>）</w:t>
      </w:r>
      <w:r>
        <w:rPr>
          <w:rFonts w:hint="eastAsia"/>
          <w:lang w:eastAsia="zh-CN"/>
        </w:rPr>
        <w:t>充分协作，特别</w:t>
      </w:r>
      <w:r w:rsidR="00914BB6">
        <w:rPr>
          <w:rFonts w:hint="eastAsia"/>
          <w:lang w:eastAsia="zh-CN"/>
        </w:rPr>
        <w:t>是</w:t>
      </w:r>
      <w:r>
        <w:rPr>
          <w:rFonts w:hint="eastAsia"/>
          <w:lang w:eastAsia="zh-CN"/>
        </w:rPr>
        <w:t>：</w:t>
      </w:r>
    </w:p>
    <w:p w14:paraId="4827B9D7" w14:textId="77777777" w:rsidR="00802993" w:rsidRDefault="000F2CA9" w:rsidP="00376870">
      <w:pPr>
        <w:pStyle w:val="enumlev1"/>
        <w:rPr>
          <w:lang w:eastAsia="zh-CN"/>
        </w:rPr>
      </w:pPr>
      <w:r>
        <w:rPr>
          <w:lang w:eastAsia="zh-CN"/>
        </w:rPr>
        <w:t>–</w:t>
      </w:r>
      <w:r>
        <w:rPr>
          <w:lang w:eastAsia="zh-CN"/>
        </w:rPr>
        <w:tab/>
      </w:r>
      <w:r w:rsidR="00802993">
        <w:rPr>
          <w:rFonts w:hint="eastAsia"/>
          <w:lang w:eastAsia="zh-CN"/>
        </w:rPr>
        <w:t>在要求高级难民署代表建立应急通信电路时，为其提出建议，并视情况安排国际电联成员国提供设备，</w:t>
      </w:r>
    </w:p>
    <w:p w14:paraId="4827B9D8" w14:textId="77777777" w:rsidR="00802993" w:rsidRDefault="00802993" w:rsidP="00376870">
      <w:pPr>
        <w:pStyle w:val="enumlev1"/>
        <w:rPr>
          <w:lang w:eastAsia="zh-CN"/>
        </w:rPr>
      </w:pPr>
      <w:r>
        <w:rPr>
          <w:lang w:eastAsia="zh-CN"/>
        </w:rPr>
        <w:t>–</w:t>
      </w:r>
      <w:r>
        <w:rPr>
          <w:lang w:eastAsia="zh-CN"/>
        </w:rPr>
        <w:tab/>
      </w:r>
      <w:r>
        <w:rPr>
          <w:rFonts w:hint="eastAsia"/>
          <w:lang w:eastAsia="zh-CN"/>
        </w:rPr>
        <w:t>为获得联合国开发计划署</w:t>
      </w:r>
      <w:r>
        <w:rPr>
          <w:lang w:eastAsia="zh-CN"/>
        </w:rPr>
        <w:t>（</w:t>
      </w:r>
      <w:r>
        <w:rPr>
          <w:lang w:eastAsia="zh-CN"/>
        </w:rPr>
        <w:t>UNDP</w:t>
      </w:r>
      <w:r>
        <w:rPr>
          <w:lang w:eastAsia="zh-CN"/>
        </w:rPr>
        <w:t>）</w:t>
      </w:r>
      <w:r>
        <w:rPr>
          <w:rFonts w:hint="eastAsia"/>
          <w:lang w:eastAsia="zh-CN"/>
        </w:rPr>
        <w:t>或其它组织奖学金的难民参加由国际电联电信培训中心所举办的培训课程，提供便利条件，</w:t>
      </w:r>
    </w:p>
    <w:p w14:paraId="4827B9D9" w14:textId="77777777" w:rsidR="00802993" w:rsidRDefault="00802993" w:rsidP="00376870">
      <w:pPr>
        <w:pStyle w:val="enumlev1"/>
        <w:rPr>
          <w:lang w:eastAsia="zh-CN"/>
        </w:rPr>
      </w:pPr>
      <w:r>
        <w:rPr>
          <w:lang w:eastAsia="zh-CN"/>
        </w:rPr>
        <w:t>–</w:t>
      </w:r>
      <w:r>
        <w:rPr>
          <w:lang w:eastAsia="zh-CN"/>
        </w:rPr>
        <w:tab/>
      </w:r>
      <w:r>
        <w:rPr>
          <w:rFonts w:hint="eastAsia"/>
          <w:lang w:eastAsia="zh-CN"/>
        </w:rPr>
        <w:t>由国际电联参加涉及建立或发展电信网络的农村发展项目，</w:t>
      </w:r>
    </w:p>
    <w:p w14:paraId="4827B9DA" w14:textId="77777777" w:rsidR="00802993" w:rsidRDefault="00802993" w:rsidP="00E01F6D">
      <w:pPr>
        <w:rPr>
          <w:lang w:eastAsia="zh-CN"/>
        </w:rPr>
      </w:pPr>
      <w:r>
        <w:rPr>
          <w:lang w:eastAsia="zh-CN"/>
        </w:rPr>
        <w:t>2</w:t>
      </w:r>
      <w:r w:rsidR="00E04370">
        <w:rPr>
          <w:lang w:eastAsia="zh-CN"/>
        </w:rPr>
        <w:tab/>
      </w:r>
      <w:r>
        <w:rPr>
          <w:rFonts w:hint="eastAsia"/>
          <w:lang w:eastAsia="zh-CN"/>
        </w:rPr>
        <w:t>与联合国秘书长一道探讨在《国际电信公约》框架内，国际电联总部可以采取哪些其它措施来实施本决议所附的联大第</w:t>
      </w:r>
      <w:r>
        <w:rPr>
          <w:lang w:eastAsia="zh-CN"/>
        </w:rPr>
        <w:t>2395</w:t>
      </w:r>
      <w:r w:rsidR="00233188">
        <w:rPr>
          <w:rFonts w:hint="eastAsia"/>
          <w:lang w:eastAsia="zh-CN"/>
        </w:rPr>
        <w:t>、</w:t>
      </w:r>
      <w:r>
        <w:rPr>
          <w:lang w:eastAsia="zh-CN"/>
        </w:rPr>
        <w:t>2396</w:t>
      </w:r>
      <w:r w:rsidR="00233188">
        <w:rPr>
          <w:rFonts w:hint="eastAsia"/>
          <w:lang w:eastAsia="zh-CN"/>
        </w:rPr>
        <w:t>、</w:t>
      </w:r>
      <w:r>
        <w:rPr>
          <w:lang w:eastAsia="zh-CN"/>
        </w:rPr>
        <w:t>2426</w:t>
      </w:r>
      <w:r>
        <w:rPr>
          <w:rFonts w:hint="eastAsia"/>
          <w:lang w:eastAsia="zh-CN"/>
        </w:rPr>
        <w:t>和</w:t>
      </w:r>
      <w:r>
        <w:rPr>
          <w:lang w:eastAsia="zh-CN"/>
        </w:rPr>
        <w:t>2465</w:t>
      </w:r>
      <w:r w:rsidR="00914BB6">
        <w:rPr>
          <w:rFonts w:hint="eastAsia"/>
          <w:lang w:eastAsia="zh-CN"/>
        </w:rPr>
        <w:t>（</w:t>
      </w:r>
      <w:r w:rsidR="00914BB6">
        <w:rPr>
          <w:rFonts w:hint="eastAsia"/>
          <w:lang w:eastAsia="zh-CN"/>
        </w:rPr>
        <w:t>XXIII</w:t>
      </w:r>
      <w:r w:rsidR="00914BB6">
        <w:rPr>
          <w:rFonts w:hint="eastAsia"/>
          <w:lang w:eastAsia="zh-CN"/>
        </w:rPr>
        <w:t>）</w:t>
      </w:r>
      <w:r>
        <w:rPr>
          <w:rFonts w:hint="eastAsia"/>
          <w:lang w:eastAsia="zh-CN"/>
        </w:rPr>
        <w:t>号决议，</w:t>
      </w:r>
    </w:p>
    <w:p w14:paraId="4827B9DB" w14:textId="77777777" w:rsidR="00802993" w:rsidRPr="00E01F6D" w:rsidRDefault="00802993" w:rsidP="00E01F6D">
      <w:pPr>
        <w:pStyle w:val="Call"/>
        <w:rPr>
          <w:lang w:eastAsia="zh-CN"/>
        </w:rPr>
      </w:pPr>
      <w:r w:rsidRPr="00E01F6D">
        <w:rPr>
          <w:rFonts w:hint="eastAsia"/>
          <w:lang w:eastAsia="zh-CN"/>
        </w:rPr>
        <w:t>请国际电联成员国</w:t>
      </w:r>
    </w:p>
    <w:p w14:paraId="4827B9DC" w14:textId="77777777" w:rsidR="00802993" w:rsidRDefault="00802993" w:rsidP="00E01F6D">
      <w:pPr>
        <w:rPr>
          <w:lang w:eastAsia="zh-CN"/>
        </w:rPr>
      </w:pPr>
      <w:r>
        <w:rPr>
          <w:lang w:eastAsia="zh-CN"/>
        </w:rPr>
        <w:t>1</w:t>
      </w:r>
      <w:r w:rsidR="00E04370">
        <w:rPr>
          <w:lang w:eastAsia="zh-CN"/>
        </w:rPr>
        <w:tab/>
      </w:r>
      <w:r>
        <w:rPr>
          <w:rFonts w:hint="eastAsia"/>
          <w:lang w:eastAsia="zh-CN"/>
        </w:rPr>
        <w:t>尽可能对上述联大决议提出的呼吁</w:t>
      </w:r>
      <w:r w:rsidR="00807941">
        <w:rPr>
          <w:rFonts w:hint="eastAsia"/>
          <w:lang w:eastAsia="zh-CN"/>
        </w:rPr>
        <w:t>做</w:t>
      </w:r>
      <w:r>
        <w:rPr>
          <w:rFonts w:hint="eastAsia"/>
          <w:lang w:eastAsia="zh-CN"/>
        </w:rPr>
        <w:t>出响应；</w:t>
      </w:r>
    </w:p>
    <w:p w14:paraId="4827B9DD" w14:textId="77777777" w:rsidR="00FD528B" w:rsidRDefault="00FD528B">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9DE" w14:textId="77777777" w:rsidR="00B66D0B" w:rsidRDefault="00B66D0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9DF" w14:textId="77777777" w:rsidR="00802993" w:rsidRDefault="00802993" w:rsidP="00E01F6D">
      <w:pPr>
        <w:rPr>
          <w:lang w:eastAsia="zh-CN"/>
        </w:rPr>
      </w:pPr>
      <w:r>
        <w:rPr>
          <w:lang w:eastAsia="zh-CN"/>
        </w:rPr>
        <w:lastRenderedPageBreak/>
        <w:t>2</w:t>
      </w:r>
      <w:r w:rsidR="00E04370">
        <w:rPr>
          <w:lang w:eastAsia="zh-CN"/>
        </w:rPr>
        <w:tab/>
      </w:r>
      <w:r>
        <w:rPr>
          <w:rFonts w:hint="eastAsia"/>
          <w:lang w:eastAsia="zh-CN"/>
        </w:rPr>
        <w:t>应要求提供本决议第</w:t>
      </w:r>
      <w:r>
        <w:rPr>
          <w:lang w:eastAsia="zh-CN"/>
        </w:rPr>
        <w:t>1</w:t>
      </w:r>
      <w:r>
        <w:rPr>
          <w:rFonts w:hint="eastAsia"/>
          <w:lang w:eastAsia="zh-CN"/>
        </w:rPr>
        <w:t>段所述的设备，以协助秘书长的工作，</w:t>
      </w:r>
    </w:p>
    <w:p w14:paraId="4827B9E0" w14:textId="77777777" w:rsidR="00802993" w:rsidRDefault="00802993" w:rsidP="00E01F6D">
      <w:pPr>
        <w:rPr>
          <w:lang w:eastAsia="zh-CN"/>
        </w:rPr>
      </w:pPr>
      <w:r>
        <w:rPr>
          <w:lang w:eastAsia="zh-CN"/>
        </w:rPr>
        <w:tab/>
      </w:r>
      <w:r>
        <w:rPr>
          <w:rFonts w:ascii="STKaiti" w:eastAsia="STKaiti" w:hAnsi="SimSun" w:hint="eastAsia"/>
          <w:lang w:eastAsia="zh-CN"/>
        </w:rPr>
        <w:t>进一步责成秘书长</w:t>
      </w:r>
      <w:r>
        <w:rPr>
          <w:rFonts w:hint="eastAsia"/>
          <w:lang w:eastAsia="zh-CN"/>
        </w:rPr>
        <w:t>将本决议文本转交联合国秘书长、各专门机构和国际原子能机构的行政首脑、联合国难民事务高级专员以及国际电联所有成员国。</w:t>
      </w:r>
    </w:p>
    <w:p w14:paraId="4827B9E1" w14:textId="77777777" w:rsidR="00802993" w:rsidRPr="007F6BB1" w:rsidRDefault="00802993" w:rsidP="00B64353">
      <w:pPr>
        <w:spacing w:before="240"/>
        <w:rPr>
          <w:lang w:eastAsia="zh-CN"/>
        </w:rPr>
      </w:pPr>
      <w:r w:rsidRPr="00E35030">
        <w:rPr>
          <w:rFonts w:ascii="SimSun" w:hAnsi="SimSun" w:hint="eastAsia"/>
          <w:b/>
          <w:lang w:eastAsia="zh-CN"/>
        </w:rPr>
        <w:t>附件：</w:t>
      </w:r>
      <w:r>
        <w:rPr>
          <w:lang w:eastAsia="zh-CN"/>
        </w:rPr>
        <w:t>4</w:t>
      </w:r>
      <w:r>
        <w:rPr>
          <w:rFonts w:hint="eastAsia"/>
          <w:lang w:eastAsia="zh-CN"/>
        </w:rPr>
        <w:t>件</w:t>
      </w:r>
    </w:p>
    <w:p w14:paraId="4827B9E2" w14:textId="77777777" w:rsidR="00802993" w:rsidRDefault="00802993" w:rsidP="00F27EC1">
      <w:pPr>
        <w:pStyle w:val="AnnexNo"/>
        <w:rPr>
          <w:rFonts w:ascii="Arial Unicode MS" w:eastAsia="Arial Unicode MS" w:hAnsi="Arial Unicode MS" w:cs="Arial Unicode MS"/>
          <w:szCs w:val="24"/>
          <w:lang w:eastAsia="zh-CN"/>
        </w:rPr>
      </w:pPr>
      <w:bookmarkStart w:id="2629" w:name="_Toc531707105"/>
      <w:r>
        <w:rPr>
          <w:rFonts w:ascii="SimSun" w:hAnsi="SimSun" w:hint="eastAsia"/>
          <w:lang w:eastAsia="zh-CN"/>
        </w:rPr>
        <w:t>第</w:t>
      </w:r>
      <w:r>
        <w:rPr>
          <w:lang w:val="es-ES" w:eastAsia="zh-CN"/>
        </w:rPr>
        <w:t>2395</w:t>
      </w:r>
      <w:r w:rsidR="00914BB6">
        <w:rPr>
          <w:rFonts w:hint="eastAsia"/>
          <w:lang w:val="es-ES" w:eastAsia="zh-CN"/>
        </w:rPr>
        <w:t>（</w:t>
      </w:r>
      <w:r w:rsidR="00914BB6">
        <w:rPr>
          <w:rFonts w:hint="eastAsia"/>
          <w:lang w:val="es-ES" w:eastAsia="zh-CN"/>
        </w:rPr>
        <w:t>XXIII</w:t>
      </w:r>
      <w:r w:rsidR="00914BB6">
        <w:rPr>
          <w:rFonts w:hint="eastAsia"/>
          <w:lang w:val="es-ES" w:eastAsia="zh-CN"/>
        </w:rPr>
        <w:t>）</w:t>
      </w:r>
      <w:r>
        <w:rPr>
          <w:rFonts w:ascii="SimSun" w:hAnsi="SimSun" w:hint="eastAsia"/>
          <w:lang w:eastAsia="zh-CN"/>
        </w:rPr>
        <w:t>号决议</w:t>
      </w:r>
      <w:r w:rsidR="00F27EC1">
        <w:rPr>
          <w:rStyle w:val="FootnoteReference"/>
          <w:lang w:eastAsia="zh-CN"/>
        </w:rPr>
        <w:footnoteReference w:customMarkFollows="1" w:id="19"/>
        <w:t>3</w:t>
      </w:r>
      <w:bookmarkEnd w:id="2629"/>
    </w:p>
    <w:p w14:paraId="4827B9E3" w14:textId="77777777" w:rsidR="00FD528B" w:rsidRPr="004A4A3B" w:rsidRDefault="00233188" w:rsidP="004A4A3B">
      <w:pPr>
        <w:pStyle w:val="AnnexNo"/>
        <w:spacing w:before="240"/>
        <w:rPr>
          <w:b/>
          <w:lang w:eastAsia="zh-CN"/>
        </w:rPr>
      </w:pPr>
      <w:r w:rsidRPr="004A4A3B">
        <w:rPr>
          <w:rFonts w:hint="eastAsia"/>
          <w:b/>
          <w:lang w:eastAsia="zh-CN"/>
        </w:rPr>
        <w:t>附件</w:t>
      </w:r>
      <w:r w:rsidRPr="004A4A3B">
        <w:rPr>
          <w:rFonts w:hint="eastAsia"/>
          <w:b/>
          <w:lang w:eastAsia="zh-CN"/>
        </w:rPr>
        <w:t>1</w:t>
      </w:r>
    </w:p>
    <w:p w14:paraId="4827B9E4" w14:textId="77777777" w:rsidR="00802993" w:rsidRPr="00BF54E4" w:rsidRDefault="00802993" w:rsidP="00FD528B">
      <w:pPr>
        <w:pStyle w:val="Annextitle"/>
        <w:rPr>
          <w:lang w:eastAsia="zh-CN"/>
        </w:rPr>
      </w:pPr>
      <w:r w:rsidRPr="00BF54E4">
        <w:rPr>
          <w:rFonts w:hint="eastAsia"/>
          <w:lang w:eastAsia="zh-CN"/>
        </w:rPr>
        <w:t>葡管领地问题</w:t>
      </w:r>
    </w:p>
    <w:p w14:paraId="4827B9E5" w14:textId="77777777" w:rsidR="00233188" w:rsidRPr="00431B86" w:rsidRDefault="00802993" w:rsidP="00FD528B">
      <w:pPr>
        <w:pStyle w:val="AnnexNo"/>
        <w:spacing w:before="720"/>
        <w:rPr>
          <w:lang w:eastAsia="zh-CN"/>
        </w:rPr>
      </w:pPr>
      <w:bookmarkStart w:id="2630" w:name="_Toc531707106"/>
      <w:r w:rsidRPr="00431B86">
        <w:rPr>
          <w:rFonts w:ascii="SimSun" w:hAnsi="SimSun" w:hint="eastAsia"/>
          <w:lang w:eastAsia="zh-CN"/>
        </w:rPr>
        <w:t>第</w:t>
      </w:r>
      <w:r w:rsidRPr="00431B86">
        <w:rPr>
          <w:lang w:eastAsia="zh-CN"/>
        </w:rPr>
        <w:t>2396</w:t>
      </w:r>
      <w:r w:rsidR="00914BB6" w:rsidRPr="00431B86">
        <w:rPr>
          <w:rFonts w:hint="eastAsia"/>
          <w:lang w:eastAsia="zh-CN"/>
        </w:rPr>
        <w:t>（</w:t>
      </w:r>
      <w:r w:rsidR="00914BB6" w:rsidRPr="00431B86">
        <w:rPr>
          <w:rFonts w:hint="eastAsia"/>
          <w:lang w:eastAsia="zh-CN"/>
        </w:rPr>
        <w:t>XXIII</w:t>
      </w:r>
      <w:r w:rsidR="00914BB6" w:rsidRPr="00431B86">
        <w:rPr>
          <w:rFonts w:hint="eastAsia"/>
          <w:lang w:eastAsia="zh-CN"/>
        </w:rPr>
        <w:t>）</w:t>
      </w:r>
      <w:r w:rsidRPr="00431B86">
        <w:rPr>
          <w:rFonts w:ascii="SimSun" w:hAnsi="SimSun" w:hint="eastAsia"/>
          <w:lang w:eastAsia="zh-CN"/>
        </w:rPr>
        <w:t>号决议</w:t>
      </w:r>
      <w:bookmarkEnd w:id="2630"/>
    </w:p>
    <w:p w14:paraId="4827B9E6" w14:textId="77777777" w:rsidR="00FD528B" w:rsidRPr="004A4A3B" w:rsidRDefault="00233188" w:rsidP="004A4A3B">
      <w:pPr>
        <w:pStyle w:val="AnnexNo"/>
        <w:spacing w:before="240"/>
        <w:rPr>
          <w:b/>
          <w:lang w:eastAsia="zh-CN"/>
        </w:rPr>
      </w:pPr>
      <w:bookmarkStart w:id="2631" w:name="_Toc531707107"/>
      <w:r w:rsidRPr="004A4A3B">
        <w:rPr>
          <w:rFonts w:hint="eastAsia"/>
          <w:b/>
          <w:lang w:eastAsia="zh-CN"/>
        </w:rPr>
        <w:t>附件</w:t>
      </w:r>
      <w:r w:rsidRPr="004A4A3B">
        <w:rPr>
          <w:b/>
          <w:lang w:eastAsia="zh-CN"/>
        </w:rPr>
        <w:t>2</w:t>
      </w:r>
    </w:p>
    <w:p w14:paraId="4827B9E7" w14:textId="77777777" w:rsidR="00802993" w:rsidRPr="00BF54E4" w:rsidRDefault="00802993" w:rsidP="00FD528B">
      <w:pPr>
        <w:pStyle w:val="Annextitle"/>
        <w:rPr>
          <w:lang w:eastAsia="zh-CN"/>
        </w:rPr>
      </w:pPr>
      <w:r w:rsidRPr="00BF54E4">
        <w:rPr>
          <w:rFonts w:hint="eastAsia"/>
          <w:lang w:eastAsia="zh-CN"/>
        </w:rPr>
        <w:t>南非共和国政府的种族隔离政策</w:t>
      </w:r>
      <w:bookmarkEnd w:id="2631"/>
    </w:p>
    <w:p w14:paraId="4827B9E8" w14:textId="77777777" w:rsidR="00802993" w:rsidRDefault="00802993" w:rsidP="00B64353">
      <w:pPr>
        <w:rPr>
          <w:lang w:eastAsia="zh-CN"/>
        </w:rPr>
      </w:pPr>
      <w:r>
        <w:rPr>
          <w:lang w:eastAsia="zh-CN"/>
        </w:rPr>
        <w:tab/>
      </w:r>
      <w:r>
        <w:rPr>
          <w:rFonts w:ascii="STKaiti" w:eastAsia="STKaiti" w:hAnsi="SimSun" w:hint="eastAsia"/>
          <w:lang w:eastAsia="zh-CN"/>
        </w:rPr>
        <w:t>大会</w:t>
      </w:r>
      <w:r>
        <w:rPr>
          <w:rFonts w:eastAsia="STKaiti" w:hint="eastAsia"/>
          <w:lang w:eastAsia="zh-CN"/>
        </w:rPr>
        <w:t>，</w:t>
      </w:r>
    </w:p>
    <w:p w14:paraId="4827B9E9" w14:textId="77777777" w:rsidR="00802993" w:rsidRDefault="00802993" w:rsidP="00B64353">
      <w:pPr>
        <w:rPr>
          <w:lang w:eastAsia="zh-CN"/>
        </w:rPr>
      </w:pPr>
      <w:r>
        <w:rPr>
          <w:lang w:eastAsia="zh-CN"/>
        </w:rPr>
        <w:tab/>
      </w:r>
      <w:r>
        <w:rPr>
          <w:rFonts w:ascii="STKaiti" w:eastAsia="STKaiti" w:hAnsi="SimSun" w:hint="eastAsia"/>
          <w:lang w:eastAsia="zh-CN"/>
        </w:rPr>
        <w:t>忆及</w:t>
      </w:r>
      <w:r>
        <w:rPr>
          <w:rFonts w:ascii="SimSun" w:hAnsi="SimSun" w:hint="eastAsia"/>
          <w:lang w:eastAsia="zh-CN"/>
        </w:rPr>
        <w:t>其有关此项问题的各决议及安全理事会</w:t>
      </w:r>
      <w:r>
        <w:rPr>
          <w:rFonts w:hint="eastAsia"/>
          <w:lang w:eastAsia="zh-CN"/>
        </w:rPr>
        <w:t>一九六三年八月七日第</w:t>
      </w:r>
      <w:r>
        <w:rPr>
          <w:lang w:eastAsia="zh-CN"/>
        </w:rPr>
        <w:t>181</w:t>
      </w:r>
      <w:r>
        <w:rPr>
          <w:rFonts w:hint="eastAsia"/>
          <w:lang w:eastAsia="zh-CN"/>
        </w:rPr>
        <w:t>号决议（</w:t>
      </w:r>
      <w:r>
        <w:rPr>
          <w:lang w:eastAsia="zh-CN"/>
        </w:rPr>
        <w:t>1963</w:t>
      </w:r>
      <w:r>
        <w:rPr>
          <w:rFonts w:hint="eastAsia"/>
          <w:lang w:eastAsia="zh-CN"/>
        </w:rPr>
        <w:t>年）、一九六三年十二月四日第</w:t>
      </w:r>
      <w:r>
        <w:rPr>
          <w:lang w:eastAsia="zh-CN"/>
        </w:rPr>
        <w:t>182</w:t>
      </w:r>
      <w:r>
        <w:rPr>
          <w:rFonts w:hint="eastAsia"/>
          <w:lang w:eastAsia="zh-CN"/>
        </w:rPr>
        <w:t>号决议（</w:t>
      </w:r>
      <w:r>
        <w:rPr>
          <w:lang w:eastAsia="zh-CN"/>
        </w:rPr>
        <w:t>1963</w:t>
      </w:r>
      <w:r>
        <w:rPr>
          <w:rFonts w:hint="eastAsia"/>
          <w:lang w:eastAsia="zh-CN"/>
        </w:rPr>
        <w:t>年）、一九六四年六月九日第</w:t>
      </w:r>
      <w:r>
        <w:rPr>
          <w:lang w:eastAsia="zh-CN"/>
        </w:rPr>
        <w:t>190</w:t>
      </w:r>
      <w:r>
        <w:rPr>
          <w:rFonts w:hint="eastAsia"/>
          <w:lang w:eastAsia="zh-CN"/>
        </w:rPr>
        <w:t>号决议（</w:t>
      </w:r>
      <w:r>
        <w:rPr>
          <w:lang w:eastAsia="zh-CN"/>
        </w:rPr>
        <w:t>1964</w:t>
      </w:r>
      <w:r>
        <w:rPr>
          <w:rFonts w:hint="eastAsia"/>
          <w:lang w:eastAsia="zh-CN"/>
        </w:rPr>
        <w:t>年）及一九六四年六月十八日第</w:t>
      </w:r>
      <w:r>
        <w:rPr>
          <w:lang w:eastAsia="zh-CN"/>
        </w:rPr>
        <w:t>191</w:t>
      </w:r>
      <w:r>
        <w:rPr>
          <w:rFonts w:hint="eastAsia"/>
          <w:lang w:eastAsia="zh-CN"/>
        </w:rPr>
        <w:t>号决议（</w:t>
      </w:r>
      <w:r>
        <w:rPr>
          <w:lang w:eastAsia="zh-CN"/>
        </w:rPr>
        <w:t>1964</w:t>
      </w:r>
      <w:r>
        <w:rPr>
          <w:rFonts w:hint="eastAsia"/>
          <w:lang w:eastAsia="zh-CN"/>
        </w:rPr>
        <w:t>年），</w:t>
      </w:r>
    </w:p>
    <w:p w14:paraId="4827B9EA" w14:textId="77777777" w:rsidR="00802993" w:rsidRDefault="00802993" w:rsidP="00B64353">
      <w:pPr>
        <w:rPr>
          <w:lang w:eastAsia="zh-CN"/>
        </w:rPr>
      </w:pPr>
      <w:r>
        <w:rPr>
          <w:lang w:eastAsia="zh-CN"/>
        </w:rPr>
        <w:tab/>
      </w:r>
      <w:r>
        <w:rPr>
          <w:rFonts w:ascii="STKaiti" w:eastAsia="STKaiti" w:hAnsi="SimSun" w:hint="eastAsia"/>
          <w:lang w:eastAsia="zh-CN"/>
        </w:rPr>
        <w:t>经审议</w:t>
      </w:r>
      <w:r>
        <w:rPr>
          <w:rFonts w:hint="eastAsia"/>
          <w:lang w:eastAsia="zh-CN"/>
        </w:rPr>
        <w:t>南非共和国政府</w:t>
      </w:r>
      <w:r>
        <w:rPr>
          <w:rFonts w:eastAsia="STKaiti" w:hint="eastAsia"/>
          <w:lang w:eastAsia="zh-CN"/>
        </w:rPr>
        <w:t>种族隔离政策</w:t>
      </w:r>
      <w:r>
        <w:rPr>
          <w:rFonts w:hint="eastAsia"/>
          <w:lang w:eastAsia="zh-CN"/>
        </w:rPr>
        <w:t>问题特别委员会报告及其附件中所附</w:t>
      </w:r>
      <w:r>
        <w:rPr>
          <w:rFonts w:ascii="SimSun" w:hAnsi="SimSun" w:hint="eastAsia"/>
          <w:lang w:eastAsia="zh-CN"/>
        </w:rPr>
        <w:t>情报分委员会关于种族隔离的报告，</w:t>
      </w:r>
    </w:p>
    <w:p w14:paraId="4827B9EB" w14:textId="77777777" w:rsidR="00802993" w:rsidRDefault="00802993" w:rsidP="00B64353">
      <w:pPr>
        <w:rPr>
          <w:lang w:eastAsia="zh-CN"/>
        </w:rPr>
      </w:pPr>
      <w:r>
        <w:rPr>
          <w:lang w:eastAsia="zh-CN"/>
        </w:rPr>
        <w:tab/>
      </w:r>
      <w:r>
        <w:rPr>
          <w:rFonts w:ascii="STKaiti" w:eastAsia="STKaiti" w:hAnsi="SimSun" w:hint="eastAsia"/>
          <w:lang w:eastAsia="zh-CN"/>
        </w:rPr>
        <w:t>考虑到</w:t>
      </w:r>
      <w:r>
        <w:rPr>
          <w:rFonts w:hint="eastAsia"/>
          <w:lang w:eastAsia="zh-CN"/>
        </w:rPr>
        <w:t>一九六八年四月二十二日至五月十三日德黑兰国际人权会议通过的德黑兰宣言中所载的决定与建议，</w:t>
      </w:r>
    </w:p>
    <w:p w14:paraId="4827B9EC" w14:textId="77777777" w:rsidR="00802993" w:rsidRDefault="00802993" w:rsidP="00B64353">
      <w:pPr>
        <w:rPr>
          <w:lang w:eastAsia="zh-CN"/>
        </w:rPr>
      </w:pPr>
      <w:r>
        <w:rPr>
          <w:lang w:eastAsia="zh-CN"/>
        </w:rPr>
        <w:tab/>
      </w:r>
      <w:r>
        <w:rPr>
          <w:rFonts w:ascii="STKaiti" w:eastAsia="STKaiti" w:hAnsi="SimSun" w:hint="eastAsia"/>
          <w:lang w:eastAsia="zh-CN"/>
        </w:rPr>
        <w:t>关注并注意到</w:t>
      </w:r>
      <w:r>
        <w:rPr>
          <w:rFonts w:ascii="SimSun" w:hAnsi="SimSun" w:hint="eastAsia"/>
          <w:lang w:eastAsia="zh-CN"/>
        </w:rPr>
        <w:t>南非政府继续变本加厉推行其不人道和侵略性</w:t>
      </w:r>
      <w:r>
        <w:rPr>
          <w:rFonts w:eastAsia="STKaiti" w:hint="eastAsia"/>
          <w:lang w:eastAsia="zh-CN"/>
        </w:rPr>
        <w:t>种族隔离政策</w:t>
      </w:r>
      <w:r>
        <w:rPr>
          <w:rFonts w:hint="eastAsia"/>
          <w:lang w:eastAsia="zh-CN"/>
        </w:rPr>
        <w:t>，且在南非疆界以外推行此项政策，以致引起巨烈冲突，在整个南部非洲造成严重威胁国际和平与安全的情势，实堪忧虑，</w:t>
      </w:r>
    </w:p>
    <w:p w14:paraId="4827B9ED" w14:textId="77777777" w:rsidR="00802993" w:rsidRDefault="00802993" w:rsidP="00B64353">
      <w:pPr>
        <w:rPr>
          <w:lang w:eastAsia="zh-CN"/>
        </w:rPr>
      </w:pPr>
      <w:r>
        <w:rPr>
          <w:lang w:eastAsia="zh-CN"/>
        </w:rPr>
        <w:tab/>
      </w:r>
      <w:r>
        <w:rPr>
          <w:rFonts w:ascii="STKaiti" w:eastAsia="STKaiti" w:hAnsi="SimSun" w:hint="eastAsia"/>
          <w:lang w:eastAsia="zh-CN"/>
        </w:rPr>
        <w:t>认识到</w:t>
      </w:r>
      <w:r>
        <w:rPr>
          <w:rFonts w:ascii="SimSun" w:hAnsi="SimSun" w:hint="eastAsia"/>
          <w:lang w:eastAsia="zh-CN"/>
        </w:rPr>
        <w:t>南非政府的政策与行动构成南部非洲被压迫人民行使自决权的严重障碍，</w:t>
      </w:r>
    </w:p>
    <w:p w14:paraId="4827B9EE" w14:textId="77777777" w:rsidR="00FD528B" w:rsidRDefault="00FD528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9EF" w14:textId="77777777" w:rsidR="00802993" w:rsidRDefault="00802993" w:rsidP="00B64353">
      <w:pPr>
        <w:rPr>
          <w:lang w:eastAsia="zh-CN"/>
        </w:rPr>
      </w:pPr>
      <w:r>
        <w:rPr>
          <w:lang w:eastAsia="zh-CN"/>
        </w:rPr>
        <w:lastRenderedPageBreak/>
        <w:tab/>
      </w:r>
      <w:r>
        <w:rPr>
          <w:rFonts w:ascii="STKaiti" w:eastAsia="STKaiti" w:hAnsi="SimSun" w:hint="eastAsia"/>
          <w:lang w:eastAsia="zh-CN"/>
        </w:rPr>
        <w:t>深信</w:t>
      </w:r>
      <w:r>
        <w:rPr>
          <w:rFonts w:hint="eastAsia"/>
          <w:lang w:eastAsia="zh-CN"/>
        </w:rPr>
        <w:t>亟需加紧进行国际反</w:t>
      </w:r>
      <w:r>
        <w:rPr>
          <w:rFonts w:eastAsia="STKaiti" w:hint="eastAsia"/>
          <w:lang w:eastAsia="zh-CN"/>
        </w:rPr>
        <w:t>种族隔离</w:t>
      </w:r>
      <w:r>
        <w:rPr>
          <w:rFonts w:hint="eastAsia"/>
          <w:lang w:eastAsia="zh-CN"/>
        </w:rPr>
        <w:t>运动，以协助消除这类不人道政策，</w:t>
      </w:r>
    </w:p>
    <w:p w14:paraId="4827B9F0" w14:textId="77777777" w:rsidR="00802993" w:rsidRDefault="00802993" w:rsidP="00B64353">
      <w:pPr>
        <w:rPr>
          <w:lang w:eastAsia="zh-CN"/>
        </w:rPr>
      </w:pPr>
      <w:r>
        <w:rPr>
          <w:lang w:eastAsia="zh-CN"/>
        </w:rPr>
        <w:tab/>
      </w:r>
      <w:r>
        <w:rPr>
          <w:rFonts w:ascii="STKaiti" w:eastAsia="STKaiti" w:hAnsi="SimSun" w:hint="eastAsia"/>
          <w:lang w:eastAsia="zh-CN"/>
        </w:rPr>
        <w:t>考虑到</w:t>
      </w:r>
      <w:r>
        <w:rPr>
          <w:rFonts w:hint="eastAsia"/>
          <w:lang w:eastAsia="zh-CN"/>
        </w:rPr>
        <w:t>为消除对于整个南部非洲和平所造成的严重威胁，必须采取有效行动改变南非情况，</w:t>
      </w:r>
    </w:p>
    <w:p w14:paraId="4827B9F1" w14:textId="77777777" w:rsidR="00802993" w:rsidRDefault="00802993" w:rsidP="00B64353">
      <w:pPr>
        <w:rPr>
          <w:lang w:eastAsia="zh-CN"/>
        </w:rPr>
      </w:pPr>
      <w:r>
        <w:rPr>
          <w:lang w:eastAsia="zh-CN"/>
        </w:rPr>
        <w:tab/>
      </w:r>
      <w:r>
        <w:rPr>
          <w:rFonts w:ascii="STKaiti" w:eastAsia="STKaiti" w:hAnsi="SimSun" w:hint="eastAsia"/>
          <w:lang w:eastAsia="zh-CN"/>
        </w:rPr>
        <w:t>注意到</w:t>
      </w:r>
      <w:r>
        <w:rPr>
          <w:rFonts w:hint="eastAsia"/>
          <w:lang w:eastAsia="zh-CN"/>
        </w:rPr>
        <w:t>安全理事会自一九六四年以后未曾审议</w:t>
      </w:r>
      <w:r>
        <w:rPr>
          <w:rFonts w:ascii="STKaiti" w:eastAsia="STKaiti" w:hAnsi="SimSun" w:hint="eastAsia"/>
          <w:lang w:eastAsia="zh-CN"/>
        </w:rPr>
        <w:t>种族隔离</w:t>
      </w:r>
      <w:r>
        <w:rPr>
          <w:rFonts w:ascii="SimSun" w:hAnsi="SimSun" w:hint="eastAsia"/>
          <w:lang w:eastAsia="zh-CN"/>
        </w:rPr>
        <w:t>问题，</w:t>
      </w:r>
    </w:p>
    <w:p w14:paraId="4827B9F2" w14:textId="77777777" w:rsidR="00802993" w:rsidRDefault="00802993" w:rsidP="00B64353">
      <w:pPr>
        <w:rPr>
          <w:lang w:eastAsia="zh-CN"/>
        </w:rPr>
      </w:pPr>
      <w:r>
        <w:rPr>
          <w:lang w:eastAsia="zh-CN"/>
        </w:rPr>
        <w:t>1</w:t>
      </w:r>
      <w:r w:rsidR="00E04370">
        <w:rPr>
          <w:lang w:eastAsia="zh-CN"/>
        </w:rPr>
        <w:tab/>
      </w:r>
      <w:r>
        <w:rPr>
          <w:rFonts w:ascii="STKaiti" w:eastAsia="STKaiti" w:hAnsi="SimSun" w:hint="eastAsia"/>
          <w:lang w:eastAsia="zh-CN"/>
        </w:rPr>
        <w:t>重申</w:t>
      </w:r>
      <w:r>
        <w:rPr>
          <w:rFonts w:hint="eastAsia"/>
          <w:lang w:eastAsia="zh-CN"/>
        </w:rPr>
        <w:t>安理会谴责南非政府所推行的</w:t>
      </w:r>
      <w:r>
        <w:rPr>
          <w:rFonts w:ascii="STKaiti" w:eastAsia="STKaiti" w:hAnsi="SimSun" w:hint="eastAsia"/>
          <w:lang w:eastAsia="zh-CN"/>
        </w:rPr>
        <w:t>种族隔离政策</w:t>
      </w:r>
      <w:r>
        <w:rPr>
          <w:rFonts w:ascii="SimSun" w:hAnsi="SimSun" w:hint="eastAsia"/>
          <w:lang w:eastAsia="zh-CN"/>
        </w:rPr>
        <w:t>，认为这种政策是残害人类的罪行；</w:t>
      </w:r>
    </w:p>
    <w:p w14:paraId="4827B9F3" w14:textId="77777777" w:rsidR="00802993" w:rsidRDefault="00802993" w:rsidP="00B64353">
      <w:pPr>
        <w:rPr>
          <w:lang w:eastAsia="zh-CN"/>
        </w:rPr>
      </w:pPr>
      <w:r>
        <w:rPr>
          <w:lang w:eastAsia="zh-CN"/>
        </w:rPr>
        <w:t>2</w:t>
      </w:r>
      <w:r w:rsidR="00E04370">
        <w:rPr>
          <w:lang w:eastAsia="zh-CN"/>
        </w:rPr>
        <w:tab/>
      </w:r>
      <w:r>
        <w:rPr>
          <w:rFonts w:ascii="STKaiti" w:eastAsia="STKaiti" w:hAnsi="SimSun" w:hint="eastAsia"/>
          <w:lang w:eastAsia="zh-CN"/>
        </w:rPr>
        <w:t>谴责</w:t>
      </w:r>
      <w:r>
        <w:rPr>
          <w:rFonts w:hint="eastAsia"/>
          <w:lang w:eastAsia="zh-CN"/>
        </w:rPr>
        <w:t>南非政府违反联合国决议，非法占领纳米比亚，实行军事干涉并援助南罗得西亚种族主义少数政权；</w:t>
      </w:r>
    </w:p>
    <w:p w14:paraId="4827B9F4" w14:textId="77777777" w:rsidR="00802993" w:rsidRDefault="00802993" w:rsidP="00B64353">
      <w:pPr>
        <w:rPr>
          <w:lang w:eastAsia="zh-CN"/>
        </w:rPr>
      </w:pPr>
      <w:r>
        <w:rPr>
          <w:lang w:eastAsia="zh-CN"/>
        </w:rPr>
        <w:t>3</w:t>
      </w:r>
      <w:r w:rsidR="00E04370">
        <w:rPr>
          <w:lang w:eastAsia="zh-CN"/>
        </w:rPr>
        <w:tab/>
      </w:r>
      <w:r>
        <w:rPr>
          <w:rFonts w:ascii="STKaiti" w:eastAsia="STKaiti" w:hAnsi="SimSun" w:hint="eastAsia"/>
          <w:lang w:eastAsia="zh-CN"/>
        </w:rPr>
        <w:t>重申</w:t>
      </w:r>
      <w:r>
        <w:rPr>
          <w:rFonts w:hint="eastAsia"/>
          <w:lang w:eastAsia="zh-CN"/>
        </w:rPr>
        <w:t>亟须消除</w:t>
      </w:r>
      <w:r>
        <w:rPr>
          <w:rFonts w:eastAsia="STKaiti" w:hint="eastAsia"/>
          <w:lang w:eastAsia="zh-CN"/>
        </w:rPr>
        <w:t>种族隔离政策</w:t>
      </w:r>
      <w:r>
        <w:rPr>
          <w:rFonts w:hint="eastAsia"/>
          <w:lang w:eastAsia="zh-CN"/>
        </w:rPr>
        <w:t>，以使南非全体人民行使其自决权，并实现基于普选的多数统治；</w:t>
      </w:r>
    </w:p>
    <w:p w14:paraId="4827B9F5" w14:textId="77777777" w:rsidR="00802993" w:rsidRDefault="00802993" w:rsidP="00B64353">
      <w:pPr>
        <w:rPr>
          <w:lang w:eastAsia="zh-CN"/>
        </w:rPr>
      </w:pPr>
      <w:r>
        <w:rPr>
          <w:lang w:eastAsia="zh-CN"/>
        </w:rPr>
        <w:t>4</w:t>
      </w:r>
      <w:r w:rsidR="00E04370">
        <w:rPr>
          <w:lang w:eastAsia="zh-CN"/>
        </w:rPr>
        <w:tab/>
      </w:r>
      <w:r>
        <w:rPr>
          <w:rFonts w:ascii="STKaiti" w:eastAsia="STKaiti" w:hAnsi="SimSun" w:hint="eastAsia"/>
          <w:lang w:eastAsia="zh-CN"/>
        </w:rPr>
        <w:t>提请</w:t>
      </w:r>
      <w:r>
        <w:rPr>
          <w:rFonts w:hint="eastAsia"/>
          <w:lang w:eastAsia="zh-CN"/>
        </w:rPr>
        <w:t>安全理事会注意南非及整个南部非洲的严重局势，并请理事会紧急恢复审议</w:t>
      </w:r>
      <w:r>
        <w:rPr>
          <w:rFonts w:ascii="STKaiti" w:eastAsia="STKaiti" w:hAnsi="SimSun" w:hint="eastAsia"/>
          <w:lang w:eastAsia="zh-CN"/>
        </w:rPr>
        <w:t>种族隔离</w:t>
      </w:r>
      <w:r>
        <w:rPr>
          <w:rFonts w:ascii="SimSun" w:hAnsi="SimSun" w:hint="eastAsia"/>
          <w:lang w:eastAsia="zh-CN"/>
        </w:rPr>
        <w:t>问题，以便按照联合国宪章第七章的规定，采取有效措施，确保对南非充分实行全面强制性制裁；</w:t>
      </w:r>
    </w:p>
    <w:p w14:paraId="4827B9F6" w14:textId="77777777" w:rsidR="00802993" w:rsidRDefault="00802993" w:rsidP="00B64353">
      <w:pPr>
        <w:rPr>
          <w:lang w:eastAsia="zh-CN"/>
        </w:rPr>
      </w:pPr>
      <w:r>
        <w:rPr>
          <w:lang w:eastAsia="zh-CN"/>
        </w:rPr>
        <w:t>5</w:t>
      </w:r>
      <w:r w:rsidR="00E04370">
        <w:rPr>
          <w:lang w:eastAsia="zh-CN"/>
        </w:rPr>
        <w:tab/>
      </w:r>
      <w:r>
        <w:rPr>
          <w:rFonts w:ascii="STKaiti" w:eastAsia="STKaiti" w:hAnsi="SimSun" w:hint="eastAsia"/>
          <w:lang w:eastAsia="zh-CN"/>
        </w:rPr>
        <w:t>谴责</w:t>
      </w:r>
      <w:r>
        <w:rPr>
          <w:rFonts w:hint="eastAsia"/>
          <w:lang w:eastAsia="zh-CN"/>
        </w:rPr>
        <w:t>所有在政治、经济及军事上与南非政府合作，并违反大会及安全理事会有关决议，鼓励该政府坚持其种族政策的国家，尤其是南非的主要贸易伙伴，以及外国金融及其他利益方的活动；</w:t>
      </w:r>
    </w:p>
    <w:p w14:paraId="4827B9F7" w14:textId="77777777" w:rsidR="00802993" w:rsidRDefault="00802993" w:rsidP="00B64353">
      <w:pPr>
        <w:rPr>
          <w:lang w:eastAsia="zh-CN"/>
        </w:rPr>
      </w:pPr>
      <w:r>
        <w:rPr>
          <w:lang w:eastAsia="zh-CN"/>
        </w:rPr>
        <w:t>6</w:t>
      </w:r>
      <w:r w:rsidR="00E04370">
        <w:rPr>
          <w:lang w:eastAsia="zh-CN"/>
        </w:rPr>
        <w:tab/>
      </w:r>
      <w:r>
        <w:rPr>
          <w:rFonts w:ascii="STKaiti" w:eastAsia="STKaiti" w:hAnsi="SimSun" w:hint="eastAsia"/>
          <w:lang w:eastAsia="zh-CN"/>
        </w:rPr>
        <w:t>重申承认</w:t>
      </w:r>
      <w:r>
        <w:rPr>
          <w:rFonts w:hint="eastAsia"/>
          <w:lang w:eastAsia="zh-CN"/>
        </w:rPr>
        <w:t>南非人民为争取所有人权，特别为所有南非人民，不分种族、肤色与信仰，争取政治权利与基本自由而作的斗争为合法斗争；</w:t>
      </w:r>
    </w:p>
    <w:p w14:paraId="4827B9F8" w14:textId="77777777" w:rsidR="00802993" w:rsidRDefault="00802993" w:rsidP="00B64353">
      <w:pPr>
        <w:rPr>
          <w:lang w:eastAsia="zh-CN"/>
        </w:rPr>
      </w:pPr>
      <w:r>
        <w:rPr>
          <w:lang w:eastAsia="zh-CN"/>
        </w:rPr>
        <w:t>7</w:t>
      </w:r>
      <w:r w:rsidR="00E04370">
        <w:rPr>
          <w:lang w:eastAsia="zh-CN"/>
        </w:rPr>
        <w:tab/>
      </w:r>
      <w:r>
        <w:rPr>
          <w:rFonts w:ascii="STKaiti" w:eastAsia="STKaiti" w:hAnsi="SimSun" w:hint="eastAsia"/>
          <w:lang w:eastAsia="zh-CN"/>
        </w:rPr>
        <w:t>呼吁</w:t>
      </w:r>
      <w:r>
        <w:rPr>
          <w:rFonts w:hint="eastAsia"/>
          <w:lang w:eastAsia="zh-CN"/>
        </w:rPr>
        <w:t>所有国家及组织在道义、政治和物质上更多地援助南非解放运动组织开展合法斗争；</w:t>
      </w:r>
    </w:p>
    <w:p w14:paraId="4827B9F9" w14:textId="77777777" w:rsidR="00802993" w:rsidRDefault="00802993" w:rsidP="00B64353">
      <w:pPr>
        <w:rPr>
          <w:lang w:eastAsia="zh-CN"/>
        </w:rPr>
      </w:pPr>
      <w:r>
        <w:rPr>
          <w:lang w:eastAsia="zh-CN"/>
        </w:rPr>
        <w:t>8</w:t>
      </w:r>
      <w:r w:rsidR="00E04370">
        <w:rPr>
          <w:lang w:eastAsia="zh-CN"/>
        </w:rPr>
        <w:tab/>
      </w:r>
      <w:r>
        <w:rPr>
          <w:rFonts w:eastAsia="STKaiti" w:hint="eastAsia"/>
          <w:lang w:eastAsia="zh-CN"/>
        </w:rPr>
        <w:t>对</w:t>
      </w:r>
      <w:r>
        <w:rPr>
          <w:rFonts w:hint="eastAsia"/>
          <w:lang w:eastAsia="zh-CN"/>
        </w:rPr>
        <w:t>反对</w:t>
      </w:r>
      <w:r>
        <w:rPr>
          <w:rFonts w:ascii="STKaiti" w:eastAsia="STKaiti" w:hAnsi="SimSun" w:hint="eastAsia"/>
          <w:lang w:eastAsia="zh-CN"/>
        </w:rPr>
        <w:t>种族隔离</w:t>
      </w:r>
      <w:r>
        <w:rPr>
          <w:rFonts w:ascii="SimSun" w:hAnsi="SimSun" w:hint="eastAsia"/>
          <w:lang w:eastAsia="zh-CN"/>
        </w:rPr>
        <w:t>者在专制法律下所受的残酷迫害，及对自由战士在合法解放斗争中被俘后所受的待遇</w:t>
      </w:r>
      <w:r>
        <w:rPr>
          <w:rFonts w:eastAsia="STKaiti" w:hint="eastAsia"/>
          <w:lang w:eastAsia="zh-CN"/>
        </w:rPr>
        <w:t>表示严重忧虑</w:t>
      </w:r>
      <w:r>
        <w:rPr>
          <w:rFonts w:hint="eastAsia"/>
          <w:lang w:eastAsia="zh-CN"/>
        </w:rPr>
        <w:t>，并：</w:t>
      </w:r>
    </w:p>
    <w:p w14:paraId="4827B9FA" w14:textId="77777777" w:rsidR="00802993" w:rsidRDefault="00802993" w:rsidP="00376870">
      <w:pPr>
        <w:pStyle w:val="enumlev1"/>
        <w:rPr>
          <w:lang w:eastAsia="zh-CN"/>
        </w:rPr>
      </w:pPr>
      <w:r>
        <w:rPr>
          <w:lang w:eastAsia="zh-CN"/>
        </w:rPr>
        <w:t>a</w:t>
      </w:r>
      <w:r w:rsidR="00DA374E">
        <w:rPr>
          <w:rFonts w:hint="eastAsia"/>
          <w:lang w:eastAsia="zh-CN"/>
        </w:rPr>
        <w:t>)</w:t>
      </w:r>
      <w:r>
        <w:rPr>
          <w:lang w:eastAsia="zh-CN"/>
        </w:rPr>
        <w:tab/>
      </w:r>
      <w:r>
        <w:rPr>
          <w:rFonts w:hint="eastAsia"/>
          <w:lang w:eastAsia="zh-CN"/>
        </w:rPr>
        <w:t>谴责南非政府以残酷、非人道和卑鄙手段对待政治犯；</w:t>
      </w:r>
    </w:p>
    <w:p w14:paraId="4827B9FB" w14:textId="77777777" w:rsidR="00802993" w:rsidRDefault="00802993" w:rsidP="00376870">
      <w:pPr>
        <w:pStyle w:val="enumlev1"/>
        <w:rPr>
          <w:lang w:eastAsia="zh-CN"/>
        </w:rPr>
      </w:pPr>
      <w:r>
        <w:rPr>
          <w:lang w:eastAsia="zh-CN"/>
        </w:rPr>
        <w:t>b</w:t>
      </w:r>
      <w:r w:rsidR="00DA374E">
        <w:rPr>
          <w:rFonts w:hint="eastAsia"/>
          <w:lang w:eastAsia="zh-CN"/>
        </w:rPr>
        <w:t>)</w:t>
      </w:r>
      <w:r>
        <w:rPr>
          <w:lang w:eastAsia="zh-CN"/>
        </w:rPr>
        <w:tab/>
      </w:r>
      <w:r>
        <w:rPr>
          <w:rFonts w:hint="eastAsia"/>
          <w:lang w:eastAsia="zh-CN"/>
        </w:rPr>
        <w:t>再次呼吁释放所有因反对</w:t>
      </w:r>
      <w:r>
        <w:rPr>
          <w:rFonts w:eastAsia="STKaiti" w:hint="eastAsia"/>
          <w:lang w:eastAsia="zh-CN"/>
        </w:rPr>
        <w:t>种族隔离</w:t>
      </w:r>
      <w:r>
        <w:rPr>
          <w:rFonts w:hint="eastAsia"/>
          <w:lang w:eastAsia="zh-CN"/>
        </w:rPr>
        <w:t>而受监禁或</w:t>
      </w:r>
      <w:r w:rsidR="00397A39">
        <w:rPr>
          <w:rFonts w:hint="eastAsia"/>
          <w:lang w:eastAsia="zh-CN"/>
        </w:rPr>
        <w:t>监管</w:t>
      </w:r>
      <w:r>
        <w:rPr>
          <w:rFonts w:hint="eastAsia"/>
          <w:lang w:eastAsia="zh-CN"/>
        </w:rPr>
        <w:t>的人士；并呼吁所有政府、组织及个人加紧努力，劝导南非政府释放所有这类人士并停止对反对</w:t>
      </w:r>
      <w:r>
        <w:rPr>
          <w:rFonts w:eastAsia="STKaiti" w:hint="eastAsia"/>
          <w:lang w:eastAsia="zh-CN"/>
        </w:rPr>
        <w:t>种族隔离</w:t>
      </w:r>
      <w:r>
        <w:rPr>
          <w:rFonts w:ascii="SimSun" w:hAnsi="SimSun" w:hint="eastAsia"/>
          <w:lang w:eastAsia="zh-CN"/>
        </w:rPr>
        <w:t>者的迫害与虐待；</w:t>
      </w:r>
    </w:p>
    <w:p w14:paraId="4827B9FC" w14:textId="77777777" w:rsidR="00802993" w:rsidRDefault="00802993" w:rsidP="00376870">
      <w:pPr>
        <w:pStyle w:val="enumlev1"/>
        <w:rPr>
          <w:lang w:eastAsia="zh-CN"/>
        </w:rPr>
      </w:pPr>
      <w:r>
        <w:rPr>
          <w:lang w:eastAsia="zh-CN"/>
        </w:rPr>
        <w:t>c</w:t>
      </w:r>
      <w:r w:rsidR="00DA374E">
        <w:rPr>
          <w:rFonts w:hint="eastAsia"/>
          <w:lang w:eastAsia="zh-CN"/>
        </w:rPr>
        <w:t>)</w:t>
      </w:r>
      <w:r>
        <w:rPr>
          <w:lang w:eastAsia="zh-CN"/>
        </w:rPr>
        <w:tab/>
      </w:r>
      <w:r>
        <w:rPr>
          <w:rFonts w:hint="eastAsia"/>
          <w:lang w:eastAsia="zh-CN"/>
        </w:rPr>
        <w:t>宣告对这类自由战士应依照国际法，尤其是一九四九年八月十二日关于战俘待遇之日内瓦公约，予以战俘待遇；</w:t>
      </w:r>
    </w:p>
    <w:p w14:paraId="4827B9FD" w14:textId="77777777" w:rsidR="00802993" w:rsidRDefault="00802993" w:rsidP="00376870">
      <w:pPr>
        <w:pStyle w:val="enumlev1"/>
        <w:rPr>
          <w:lang w:eastAsia="zh-CN"/>
        </w:rPr>
      </w:pPr>
      <w:r>
        <w:rPr>
          <w:lang w:eastAsia="zh-CN"/>
        </w:rPr>
        <w:t>d</w:t>
      </w:r>
      <w:r w:rsidR="00DA374E">
        <w:rPr>
          <w:rFonts w:hint="eastAsia"/>
          <w:lang w:eastAsia="zh-CN"/>
        </w:rPr>
        <w:t>)</w:t>
      </w:r>
      <w:r>
        <w:rPr>
          <w:lang w:eastAsia="zh-CN"/>
        </w:rPr>
        <w:tab/>
      </w:r>
      <w:r>
        <w:rPr>
          <w:rFonts w:hint="eastAsia"/>
          <w:lang w:eastAsia="zh-CN"/>
        </w:rPr>
        <w:t>请秘书长编制并尽可能广泛宣传：</w:t>
      </w:r>
    </w:p>
    <w:p w14:paraId="4827B9FE" w14:textId="77777777" w:rsidR="00802993" w:rsidRPr="00CF621C" w:rsidRDefault="00802993" w:rsidP="00376870">
      <w:pPr>
        <w:pStyle w:val="enumlev2"/>
        <w:rPr>
          <w:lang w:eastAsia="zh-CN"/>
        </w:rPr>
      </w:pPr>
      <w:r w:rsidRPr="00CF621C">
        <w:rPr>
          <w:lang w:eastAsia="zh-CN"/>
        </w:rPr>
        <w:t>i</w:t>
      </w:r>
      <w:r w:rsidR="000E6A83" w:rsidRPr="00CF621C">
        <w:rPr>
          <w:lang w:eastAsia="zh-CN"/>
        </w:rPr>
        <w:t>)</w:t>
      </w:r>
      <w:r w:rsidR="000E6A83" w:rsidRPr="00CF621C">
        <w:rPr>
          <w:lang w:eastAsia="zh-CN"/>
        </w:rPr>
        <w:tab/>
      </w:r>
      <w:r w:rsidRPr="00CF621C">
        <w:rPr>
          <w:rFonts w:hint="eastAsia"/>
          <w:lang w:eastAsia="zh-CN"/>
        </w:rPr>
        <w:t>因反对种族隔离而被处决、监禁、软禁或</w:t>
      </w:r>
      <w:r w:rsidR="00397A39" w:rsidRPr="00CF621C">
        <w:rPr>
          <w:rFonts w:hint="eastAsia"/>
          <w:lang w:eastAsia="zh-CN"/>
        </w:rPr>
        <w:t>监管</w:t>
      </w:r>
      <w:r w:rsidRPr="00CF621C">
        <w:rPr>
          <w:rFonts w:hint="eastAsia"/>
          <w:lang w:eastAsia="zh-CN"/>
        </w:rPr>
        <w:t>、或驱逐出境者的名册；</w:t>
      </w:r>
    </w:p>
    <w:p w14:paraId="4827B9FF" w14:textId="77777777" w:rsidR="00802993" w:rsidRPr="00CF621C" w:rsidRDefault="00802993" w:rsidP="00376870">
      <w:pPr>
        <w:pStyle w:val="enumlev2"/>
        <w:rPr>
          <w:lang w:eastAsia="zh-CN"/>
        </w:rPr>
      </w:pPr>
      <w:r w:rsidRPr="00CF621C">
        <w:rPr>
          <w:lang w:eastAsia="zh-CN"/>
        </w:rPr>
        <w:t>ii</w:t>
      </w:r>
      <w:r w:rsidR="000E6A83" w:rsidRPr="00CF621C">
        <w:rPr>
          <w:rFonts w:hint="eastAsia"/>
          <w:lang w:eastAsia="zh-CN"/>
        </w:rPr>
        <w:t>)</w:t>
      </w:r>
      <w:r w:rsidRPr="00CF621C">
        <w:rPr>
          <w:rFonts w:hint="eastAsia"/>
          <w:lang w:eastAsia="zh-CN"/>
        </w:rPr>
        <w:tab/>
      </w:r>
      <w:r w:rsidRPr="00CF621C">
        <w:rPr>
          <w:rFonts w:hint="eastAsia"/>
          <w:lang w:eastAsia="zh-CN"/>
        </w:rPr>
        <w:t>关于南非政府及其官员对囚禁中反对种族隔离者施行残暴行为的各种现有资料的记录；</w:t>
      </w:r>
    </w:p>
    <w:p w14:paraId="4827BA00" w14:textId="77777777" w:rsidR="00FD528B" w:rsidRDefault="00FD528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A01" w14:textId="77777777" w:rsidR="00802993" w:rsidRDefault="00802993" w:rsidP="00B64353">
      <w:pPr>
        <w:rPr>
          <w:lang w:eastAsia="zh-CN"/>
        </w:rPr>
      </w:pPr>
      <w:r>
        <w:rPr>
          <w:lang w:eastAsia="zh-CN"/>
        </w:rPr>
        <w:lastRenderedPageBreak/>
        <w:t>9</w:t>
      </w:r>
      <w:r w:rsidR="00E04370">
        <w:rPr>
          <w:lang w:eastAsia="zh-CN"/>
        </w:rPr>
        <w:tab/>
      </w:r>
      <w:r>
        <w:rPr>
          <w:rFonts w:ascii="STKaiti" w:eastAsia="STKaiti" w:hAnsi="SimSun" w:hint="eastAsia"/>
          <w:lang w:eastAsia="zh-CN"/>
        </w:rPr>
        <w:t>表彰</w:t>
      </w:r>
      <w:r>
        <w:rPr>
          <w:rFonts w:hint="eastAsia"/>
          <w:lang w:eastAsia="zh-CN"/>
        </w:rPr>
        <w:t>反对</w:t>
      </w:r>
      <w:r>
        <w:rPr>
          <w:rFonts w:ascii="STKaiti" w:eastAsia="STKaiti" w:hAnsi="SimSun" w:hint="eastAsia"/>
          <w:lang w:eastAsia="zh-CN"/>
        </w:rPr>
        <w:t>种族隔离</w:t>
      </w:r>
      <w:r>
        <w:rPr>
          <w:rFonts w:ascii="SimSun" w:hAnsi="SimSun" w:hint="eastAsia"/>
          <w:lang w:eastAsia="zh-CN"/>
        </w:rPr>
        <w:t>运动组织的活动及其他从事援助</w:t>
      </w:r>
      <w:r>
        <w:rPr>
          <w:rFonts w:ascii="STKaiti" w:eastAsia="STKaiti" w:hAnsi="SimSun" w:hint="eastAsia"/>
          <w:lang w:eastAsia="zh-CN"/>
        </w:rPr>
        <w:t>种族隔离</w:t>
      </w:r>
      <w:r>
        <w:rPr>
          <w:rFonts w:ascii="SimSun" w:hAnsi="SimSun" w:hint="eastAsia"/>
          <w:lang w:eastAsia="zh-CN"/>
        </w:rPr>
        <w:t>受害人士和促进其事业的组织所进行的活动，并请所有国家、组织及个人慷慨捐助以支持这种努力；</w:t>
      </w:r>
    </w:p>
    <w:p w14:paraId="4827BA02" w14:textId="77777777" w:rsidR="00802993" w:rsidRDefault="00802993" w:rsidP="00B64353">
      <w:pPr>
        <w:rPr>
          <w:lang w:eastAsia="zh-CN"/>
        </w:rPr>
      </w:pPr>
      <w:r>
        <w:rPr>
          <w:lang w:eastAsia="zh-CN"/>
        </w:rPr>
        <w:t>10</w:t>
      </w:r>
      <w:r w:rsidR="00E04370">
        <w:rPr>
          <w:lang w:eastAsia="zh-CN"/>
        </w:rPr>
        <w:tab/>
      </w:r>
      <w:r>
        <w:rPr>
          <w:rFonts w:ascii="STKaiti" w:eastAsia="STKaiti" w:hAnsi="SimSun" w:hint="eastAsia"/>
          <w:lang w:eastAsia="zh-CN"/>
        </w:rPr>
        <w:t>敦促</w:t>
      </w:r>
      <w:r>
        <w:rPr>
          <w:rFonts w:hint="eastAsia"/>
          <w:lang w:eastAsia="zh-CN"/>
        </w:rPr>
        <w:t>所有国家政府通过立法或其它行动，在其领土内阻止所有支持</w:t>
      </w:r>
      <w:r>
        <w:rPr>
          <w:rFonts w:eastAsia="STKaiti" w:hint="eastAsia"/>
          <w:lang w:eastAsia="zh-CN"/>
        </w:rPr>
        <w:t>种族隔离政策</w:t>
      </w:r>
      <w:r>
        <w:rPr>
          <w:rFonts w:ascii="SimSun" w:hAnsi="SimSun" w:hint="eastAsia"/>
          <w:lang w:eastAsia="zh-CN"/>
        </w:rPr>
        <w:t>的活动及组织，以及任何赞同</w:t>
      </w:r>
      <w:r>
        <w:rPr>
          <w:rFonts w:eastAsia="STKaiti" w:hint="eastAsia"/>
          <w:lang w:eastAsia="zh-CN"/>
        </w:rPr>
        <w:t>种族隔离</w:t>
      </w:r>
      <w:r>
        <w:rPr>
          <w:rFonts w:ascii="SimSun" w:hAnsi="SimSun" w:hint="eastAsia"/>
          <w:lang w:eastAsia="zh-CN"/>
        </w:rPr>
        <w:t>及种族歧视政策的宣传；</w:t>
      </w:r>
    </w:p>
    <w:p w14:paraId="4827BA03" w14:textId="77777777" w:rsidR="00802993" w:rsidRDefault="00802993" w:rsidP="00B64353">
      <w:pPr>
        <w:rPr>
          <w:lang w:eastAsia="zh-CN"/>
        </w:rPr>
      </w:pPr>
      <w:r>
        <w:rPr>
          <w:lang w:eastAsia="zh-CN"/>
        </w:rPr>
        <w:t>11</w:t>
      </w:r>
      <w:r w:rsidR="00E04370">
        <w:rPr>
          <w:lang w:eastAsia="zh-CN"/>
        </w:rPr>
        <w:tab/>
      </w:r>
      <w:r>
        <w:rPr>
          <w:rFonts w:ascii="STKaiti" w:eastAsia="STKaiti" w:hAnsi="SimSun" w:hint="eastAsia"/>
          <w:lang w:eastAsia="zh-CN"/>
        </w:rPr>
        <w:t>请</w:t>
      </w:r>
      <w:r>
        <w:rPr>
          <w:rFonts w:hint="eastAsia"/>
          <w:lang w:eastAsia="zh-CN"/>
        </w:rPr>
        <w:t>所有国家阻止移民，尤其是熟练人员及技术人员，前往南非；</w:t>
      </w:r>
    </w:p>
    <w:p w14:paraId="4827BA04" w14:textId="77777777" w:rsidR="00802993" w:rsidRDefault="00802993" w:rsidP="00B64353">
      <w:pPr>
        <w:rPr>
          <w:lang w:eastAsia="zh-CN"/>
        </w:rPr>
      </w:pPr>
      <w:r>
        <w:rPr>
          <w:lang w:eastAsia="zh-CN"/>
        </w:rPr>
        <w:t>12</w:t>
      </w:r>
      <w:r w:rsidR="00E04370">
        <w:rPr>
          <w:lang w:eastAsia="zh-CN"/>
        </w:rPr>
        <w:tab/>
      </w:r>
      <w:r>
        <w:rPr>
          <w:rFonts w:ascii="STKaiti" w:eastAsia="STKaiti" w:hAnsi="SimSun" w:hint="eastAsia"/>
          <w:lang w:eastAsia="zh-CN"/>
        </w:rPr>
        <w:t>请</w:t>
      </w:r>
      <w:r>
        <w:rPr>
          <w:rFonts w:hint="eastAsia"/>
          <w:lang w:eastAsia="zh-CN"/>
        </w:rPr>
        <w:t>所有国家和组织停止与南非种族主义政权及实行</w:t>
      </w:r>
      <w:r>
        <w:rPr>
          <w:rFonts w:ascii="STKaiti" w:eastAsia="STKaiti" w:hAnsi="SimSun" w:hint="eastAsia"/>
          <w:lang w:eastAsia="zh-CN"/>
        </w:rPr>
        <w:t>种族隔离</w:t>
      </w:r>
      <w:r>
        <w:rPr>
          <w:rFonts w:ascii="SimSun" w:hAnsi="SimSun" w:hint="eastAsia"/>
          <w:lang w:eastAsia="zh-CN"/>
        </w:rPr>
        <w:t>的组织或机构进行文化、教育、体育及其他方面的交流；</w:t>
      </w:r>
    </w:p>
    <w:p w14:paraId="4827BA05" w14:textId="77777777" w:rsidR="00802993" w:rsidRDefault="00802993" w:rsidP="00B64353">
      <w:pPr>
        <w:rPr>
          <w:lang w:eastAsia="zh-CN"/>
        </w:rPr>
      </w:pPr>
      <w:r>
        <w:rPr>
          <w:lang w:eastAsia="zh-CN"/>
        </w:rPr>
        <w:t>13</w:t>
      </w:r>
      <w:r w:rsidR="00E04370">
        <w:rPr>
          <w:lang w:eastAsia="zh-CN"/>
        </w:rPr>
        <w:tab/>
      </w:r>
      <w:r>
        <w:rPr>
          <w:rFonts w:ascii="STKaiti" w:eastAsia="STKaiti" w:hAnsi="SimSun" w:hint="eastAsia"/>
          <w:lang w:eastAsia="zh-CN"/>
        </w:rPr>
        <w:t>请</w:t>
      </w:r>
      <w:r>
        <w:rPr>
          <w:rFonts w:hint="eastAsia"/>
          <w:lang w:eastAsia="zh-CN"/>
        </w:rPr>
        <w:t>所有国家及组织尽可能广泛地于一九六九年庆祝国际消除种族歧视日，以表示与南非受压迫人民团结一致；</w:t>
      </w:r>
    </w:p>
    <w:p w14:paraId="4827BA06" w14:textId="77777777" w:rsidR="00802993" w:rsidRDefault="00802993" w:rsidP="00B64353">
      <w:pPr>
        <w:rPr>
          <w:lang w:eastAsia="zh-CN"/>
        </w:rPr>
      </w:pPr>
      <w:r>
        <w:rPr>
          <w:lang w:eastAsia="zh-CN"/>
        </w:rPr>
        <w:t>14</w:t>
      </w:r>
      <w:r w:rsidR="00E04370">
        <w:rPr>
          <w:lang w:eastAsia="zh-CN"/>
        </w:rPr>
        <w:tab/>
      </w:r>
      <w:r>
        <w:rPr>
          <w:rFonts w:ascii="STKaiti" w:eastAsia="STKaiti" w:hAnsi="SimSun" w:hint="eastAsia"/>
          <w:lang w:eastAsia="zh-CN"/>
        </w:rPr>
        <w:t>要求</w:t>
      </w:r>
      <w:r>
        <w:rPr>
          <w:rFonts w:hint="eastAsia"/>
          <w:lang w:eastAsia="zh-CN"/>
        </w:rPr>
        <w:t>南非共和国政府</w:t>
      </w:r>
      <w:r>
        <w:rPr>
          <w:rFonts w:ascii="STKaiti" w:eastAsia="STKaiti" w:hAnsi="SimSun" w:hint="eastAsia"/>
          <w:lang w:eastAsia="zh-CN"/>
        </w:rPr>
        <w:t>种族隔离政策</w:t>
      </w:r>
      <w:r>
        <w:rPr>
          <w:rFonts w:ascii="SimSun" w:hAnsi="SimSun" w:hint="eastAsia"/>
          <w:lang w:eastAsia="zh-CN"/>
        </w:rPr>
        <w:t>问题特别委员会作为优先处理事项就联合国关于</w:t>
      </w:r>
      <w:r>
        <w:rPr>
          <w:rFonts w:ascii="STKaiti" w:eastAsia="STKaiti" w:hAnsi="SimSun" w:hint="eastAsia"/>
          <w:lang w:eastAsia="zh-CN"/>
        </w:rPr>
        <w:t>种族隔离</w:t>
      </w:r>
      <w:r>
        <w:rPr>
          <w:rFonts w:ascii="SimSun" w:hAnsi="SimSun" w:hint="eastAsia"/>
          <w:lang w:eastAsia="zh-CN"/>
        </w:rPr>
        <w:t>问题各项决议的实施情况，所采措施的效力，及达成更有效国际行动的方法，进行研究并提出报告；</w:t>
      </w:r>
    </w:p>
    <w:p w14:paraId="4827BA07" w14:textId="77777777" w:rsidR="00802993" w:rsidRDefault="00802993" w:rsidP="00B64353">
      <w:pPr>
        <w:rPr>
          <w:lang w:eastAsia="zh-CN"/>
        </w:rPr>
      </w:pPr>
      <w:r>
        <w:rPr>
          <w:lang w:eastAsia="zh-CN"/>
        </w:rPr>
        <w:t>15</w:t>
      </w:r>
      <w:r w:rsidR="00E04370">
        <w:rPr>
          <w:lang w:eastAsia="zh-CN"/>
        </w:rPr>
        <w:tab/>
      </w:r>
      <w:r>
        <w:rPr>
          <w:rFonts w:ascii="STKaiti" w:eastAsia="STKaiti" w:hAnsi="SimSun" w:hint="eastAsia"/>
          <w:lang w:eastAsia="zh-CN"/>
        </w:rPr>
        <w:t>要求</w:t>
      </w:r>
      <w:r>
        <w:rPr>
          <w:rFonts w:hint="eastAsia"/>
          <w:lang w:eastAsia="zh-CN"/>
        </w:rPr>
        <w:t>特别委员会加紧促进国际反</w:t>
      </w:r>
      <w:r>
        <w:rPr>
          <w:rFonts w:ascii="STKaiti" w:eastAsia="STKaiti" w:hAnsi="SimSun" w:hint="eastAsia"/>
          <w:lang w:eastAsia="zh-CN"/>
        </w:rPr>
        <w:t>种族隔离</w:t>
      </w:r>
      <w:r>
        <w:rPr>
          <w:rFonts w:hint="eastAsia"/>
          <w:lang w:eastAsia="zh-CN"/>
        </w:rPr>
        <w:t>运动的努力，并为此授权该委员会：</w:t>
      </w:r>
    </w:p>
    <w:p w14:paraId="4827BA08" w14:textId="77777777" w:rsidR="00802993" w:rsidRDefault="00802993" w:rsidP="00376870">
      <w:pPr>
        <w:pStyle w:val="enumlev1"/>
        <w:rPr>
          <w:lang w:eastAsia="zh-CN"/>
        </w:rPr>
      </w:pPr>
      <w:r>
        <w:rPr>
          <w:lang w:eastAsia="zh-CN"/>
        </w:rPr>
        <w:t>a</w:t>
      </w:r>
      <w:r w:rsidR="00DA374E">
        <w:rPr>
          <w:rFonts w:hint="eastAsia"/>
          <w:lang w:eastAsia="zh-CN"/>
        </w:rPr>
        <w:t>)</w:t>
      </w:r>
      <w:r>
        <w:rPr>
          <w:lang w:eastAsia="zh-CN"/>
        </w:rPr>
        <w:tab/>
      </w:r>
      <w:r>
        <w:rPr>
          <w:rFonts w:hint="eastAsia"/>
          <w:lang w:eastAsia="zh-CN"/>
        </w:rPr>
        <w:t>在总部以外地点举行会议或派遣分组委员会前往各专门机构、各区域组织、各国及各非政府组织进行磋商；</w:t>
      </w:r>
    </w:p>
    <w:p w14:paraId="4827BA09" w14:textId="77777777" w:rsidR="00802993" w:rsidRDefault="00802993" w:rsidP="00376870">
      <w:pPr>
        <w:pStyle w:val="enumlev1"/>
        <w:rPr>
          <w:lang w:eastAsia="zh-CN"/>
        </w:rPr>
      </w:pPr>
      <w:r>
        <w:rPr>
          <w:lang w:eastAsia="zh-CN"/>
        </w:rPr>
        <w:t>b</w:t>
      </w:r>
      <w:r w:rsidR="00DA374E">
        <w:rPr>
          <w:rFonts w:hint="eastAsia"/>
          <w:lang w:eastAsia="zh-CN"/>
        </w:rPr>
        <w:t>)</w:t>
      </w:r>
      <w:r>
        <w:rPr>
          <w:lang w:eastAsia="zh-CN"/>
        </w:rPr>
        <w:tab/>
      </w:r>
      <w:r>
        <w:rPr>
          <w:rFonts w:hint="eastAsia"/>
          <w:lang w:eastAsia="zh-CN"/>
        </w:rPr>
        <w:t>会同秘书长并在为此用途所拨预算款项范围内与各专家进行磋商，并安排关于</w:t>
      </w:r>
      <w:r>
        <w:rPr>
          <w:rFonts w:ascii="STKaiti" w:eastAsia="STKaiti" w:hAnsi="SimSun" w:hint="eastAsia"/>
          <w:lang w:eastAsia="zh-CN"/>
        </w:rPr>
        <w:t>种族隔离</w:t>
      </w:r>
      <w:r>
        <w:rPr>
          <w:rFonts w:ascii="SimSun" w:hAnsi="SimSun" w:hint="eastAsia"/>
          <w:lang w:eastAsia="zh-CN"/>
        </w:rPr>
        <w:t>各方面的专题研究；</w:t>
      </w:r>
    </w:p>
    <w:p w14:paraId="4827BA0A" w14:textId="77777777" w:rsidR="00802993" w:rsidRDefault="00802993" w:rsidP="00B64353">
      <w:pPr>
        <w:rPr>
          <w:lang w:eastAsia="zh-CN"/>
        </w:rPr>
      </w:pPr>
      <w:r>
        <w:rPr>
          <w:lang w:eastAsia="zh-CN"/>
        </w:rPr>
        <w:t>16</w:t>
      </w:r>
      <w:r w:rsidR="00E04370">
        <w:rPr>
          <w:lang w:eastAsia="zh-CN"/>
        </w:rPr>
        <w:tab/>
      </w:r>
      <w:r>
        <w:rPr>
          <w:rFonts w:ascii="STKaiti" w:eastAsia="STKaiti" w:hAnsi="SimSun" w:hint="eastAsia"/>
          <w:lang w:eastAsia="zh-CN"/>
        </w:rPr>
        <w:t>要求</w:t>
      </w:r>
      <w:r>
        <w:rPr>
          <w:rFonts w:hint="eastAsia"/>
          <w:lang w:eastAsia="zh-CN"/>
        </w:rPr>
        <w:t>所有国家、各专门机构及其他组织参照特别委员会报告加紧传播关于</w:t>
      </w:r>
      <w:r>
        <w:rPr>
          <w:rFonts w:eastAsia="STKaiti" w:hint="eastAsia"/>
          <w:lang w:eastAsia="zh-CN"/>
        </w:rPr>
        <w:t>种族隔离</w:t>
      </w:r>
      <w:r>
        <w:rPr>
          <w:rFonts w:ascii="SimSun" w:hAnsi="SimSun" w:hint="eastAsia"/>
          <w:lang w:eastAsia="zh-CN"/>
        </w:rPr>
        <w:t>罪恶的资料，并为此再次要求尚未遵照办理的各国依</w:t>
      </w:r>
      <w:r>
        <w:rPr>
          <w:rFonts w:hint="eastAsia"/>
          <w:lang w:eastAsia="zh-CN"/>
        </w:rPr>
        <w:t>一九六七年十二月十三日第</w:t>
      </w:r>
      <w:r>
        <w:rPr>
          <w:lang w:eastAsia="zh-CN"/>
        </w:rPr>
        <w:t>2307</w:t>
      </w:r>
      <w:r>
        <w:rPr>
          <w:rFonts w:hint="eastAsia"/>
          <w:lang w:eastAsia="zh-CN"/>
        </w:rPr>
        <w:t>号大会决议案（第二十二届大会）第</w:t>
      </w:r>
      <w:r>
        <w:rPr>
          <w:lang w:eastAsia="zh-CN"/>
        </w:rPr>
        <w:t>9</w:t>
      </w:r>
      <w:r>
        <w:rPr>
          <w:rFonts w:hint="eastAsia"/>
          <w:lang w:eastAsia="zh-CN"/>
        </w:rPr>
        <w:t>段的规定鼓励成立国内委员会；</w:t>
      </w:r>
    </w:p>
    <w:p w14:paraId="4827BA0B" w14:textId="77777777" w:rsidR="00802993" w:rsidRDefault="00802993" w:rsidP="00B64353">
      <w:pPr>
        <w:rPr>
          <w:lang w:eastAsia="zh-CN"/>
        </w:rPr>
      </w:pPr>
      <w:r>
        <w:rPr>
          <w:lang w:eastAsia="zh-CN"/>
        </w:rPr>
        <w:t>17</w:t>
      </w:r>
      <w:r w:rsidR="00E04370">
        <w:rPr>
          <w:lang w:eastAsia="zh-CN"/>
        </w:rPr>
        <w:tab/>
      </w:r>
      <w:r>
        <w:rPr>
          <w:rFonts w:ascii="STKaiti" w:eastAsia="STKaiti" w:hAnsi="SimSun" w:hint="eastAsia"/>
          <w:lang w:eastAsia="zh-CN"/>
        </w:rPr>
        <w:t>要求</w:t>
      </w:r>
      <w:r>
        <w:rPr>
          <w:rFonts w:hint="eastAsia"/>
          <w:lang w:eastAsia="zh-CN"/>
        </w:rPr>
        <w:t>秘书长参照特别委员会关于广泛传播</w:t>
      </w:r>
      <w:r>
        <w:rPr>
          <w:rFonts w:ascii="STKaiti" w:eastAsia="STKaiti" w:hAnsi="SimSun" w:hint="eastAsia"/>
          <w:lang w:eastAsia="zh-CN"/>
        </w:rPr>
        <w:t>种族隔离</w:t>
      </w:r>
      <w:r>
        <w:rPr>
          <w:rFonts w:ascii="SimSun" w:hAnsi="SimSun" w:hint="eastAsia"/>
          <w:lang w:eastAsia="zh-CN"/>
        </w:rPr>
        <w:t>资料的建议：</w:t>
      </w:r>
    </w:p>
    <w:p w14:paraId="4827BA0C" w14:textId="77777777" w:rsidR="00802993" w:rsidRDefault="00802993" w:rsidP="00376870">
      <w:pPr>
        <w:pStyle w:val="enumlev1"/>
        <w:rPr>
          <w:lang w:eastAsia="zh-CN"/>
        </w:rPr>
      </w:pPr>
      <w:r>
        <w:rPr>
          <w:lang w:eastAsia="zh-CN"/>
        </w:rPr>
        <w:t>a</w:t>
      </w:r>
      <w:r w:rsidR="00DA374E">
        <w:rPr>
          <w:rFonts w:hint="eastAsia"/>
          <w:lang w:eastAsia="zh-CN"/>
        </w:rPr>
        <w:t>)</w:t>
      </w:r>
      <w:r>
        <w:rPr>
          <w:lang w:eastAsia="zh-CN"/>
        </w:rPr>
        <w:tab/>
      </w:r>
      <w:r>
        <w:rPr>
          <w:rFonts w:hint="eastAsia"/>
          <w:lang w:eastAsia="zh-CN"/>
        </w:rPr>
        <w:t>确保依照一九六六年十月二十六日第</w:t>
      </w:r>
      <w:r>
        <w:rPr>
          <w:lang w:eastAsia="zh-CN"/>
        </w:rPr>
        <w:t>2144A</w:t>
      </w:r>
      <w:r>
        <w:rPr>
          <w:rFonts w:hint="eastAsia"/>
          <w:lang w:eastAsia="zh-CN"/>
        </w:rPr>
        <w:t>号大会决议案（第二十一届大会）设置的</w:t>
      </w:r>
      <w:r>
        <w:rPr>
          <w:rFonts w:eastAsia="STKaiti" w:hint="eastAsia"/>
          <w:lang w:eastAsia="zh-CN"/>
        </w:rPr>
        <w:t>种族</w:t>
      </w:r>
      <w:r>
        <w:rPr>
          <w:rFonts w:ascii="STKaiti" w:eastAsia="STKaiti" w:hAnsi="SimSun" w:hint="eastAsia"/>
          <w:lang w:eastAsia="zh-CN"/>
        </w:rPr>
        <w:t>隔离</w:t>
      </w:r>
      <w:r>
        <w:rPr>
          <w:rFonts w:ascii="SimSun" w:hAnsi="SimSun" w:hint="eastAsia"/>
          <w:lang w:eastAsia="zh-CN"/>
        </w:rPr>
        <w:t>问题处按照特别委员会报告第</w:t>
      </w:r>
      <w:r w:rsidRPr="00503F41">
        <w:rPr>
          <w:lang w:eastAsia="zh-CN"/>
        </w:rPr>
        <w:t>146</w:t>
      </w:r>
      <w:r>
        <w:rPr>
          <w:rFonts w:ascii="SimSun" w:hAnsi="SimSun" w:hint="eastAsia"/>
          <w:lang w:eastAsia="zh-CN"/>
        </w:rPr>
        <w:t>段中的建议，履行其业已增多的职能；</w:t>
      </w:r>
    </w:p>
    <w:p w14:paraId="4827BA0D" w14:textId="77777777" w:rsidR="00802993" w:rsidRDefault="00802993" w:rsidP="00376870">
      <w:pPr>
        <w:pStyle w:val="enumlev1"/>
        <w:rPr>
          <w:lang w:eastAsia="zh-CN"/>
        </w:rPr>
      </w:pPr>
      <w:r>
        <w:rPr>
          <w:lang w:eastAsia="zh-CN"/>
        </w:rPr>
        <w:t>b</w:t>
      </w:r>
      <w:r w:rsidR="00DA374E">
        <w:rPr>
          <w:rFonts w:hint="eastAsia"/>
          <w:lang w:eastAsia="zh-CN"/>
        </w:rPr>
        <w:t>)</w:t>
      </w:r>
      <w:r>
        <w:rPr>
          <w:lang w:eastAsia="zh-CN"/>
        </w:rPr>
        <w:tab/>
      </w:r>
      <w:r>
        <w:rPr>
          <w:rFonts w:hint="eastAsia"/>
          <w:lang w:eastAsia="zh-CN"/>
        </w:rPr>
        <w:t>采取其他适当步骤协助所有国家、各专门机构及其他组织加紧传播此类资料；</w:t>
      </w:r>
    </w:p>
    <w:p w14:paraId="4827BA0E" w14:textId="77777777" w:rsidR="00802993" w:rsidRDefault="00802993" w:rsidP="00B64353">
      <w:pPr>
        <w:rPr>
          <w:lang w:eastAsia="zh-CN"/>
        </w:rPr>
      </w:pPr>
      <w:r>
        <w:rPr>
          <w:lang w:eastAsia="zh-CN"/>
        </w:rPr>
        <w:t>18</w:t>
      </w:r>
      <w:r w:rsidR="00E04370">
        <w:rPr>
          <w:lang w:eastAsia="zh-CN"/>
        </w:rPr>
        <w:tab/>
      </w:r>
      <w:r>
        <w:rPr>
          <w:rFonts w:ascii="STKaiti" w:eastAsia="STKaiti" w:hAnsi="SimSun" w:hint="eastAsia"/>
          <w:lang w:eastAsia="zh-CN"/>
        </w:rPr>
        <w:t>要求</w:t>
      </w:r>
      <w:r>
        <w:rPr>
          <w:rFonts w:hint="eastAsia"/>
          <w:lang w:eastAsia="zh-CN"/>
        </w:rPr>
        <w:t>秘书长继续向特别委员会提供为切实完成其任务所需的一切必要手段，包括适当经费在内；</w:t>
      </w:r>
    </w:p>
    <w:p w14:paraId="4827BA0F" w14:textId="77777777" w:rsidR="00802993" w:rsidRDefault="00802993" w:rsidP="00B64353">
      <w:pPr>
        <w:rPr>
          <w:lang w:eastAsia="zh-CN"/>
        </w:rPr>
      </w:pPr>
      <w:r>
        <w:rPr>
          <w:lang w:eastAsia="zh-CN"/>
        </w:rPr>
        <w:t>19</w:t>
      </w:r>
      <w:r w:rsidR="00E04370">
        <w:rPr>
          <w:lang w:eastAsia="zh-CN"/>
        </w:rPr>
        <w:tab/>
      </w:r>
      <w:r>
        <w:rPr>
          <w:rFonts w:ascii="STKaiti" w:eastAsia="STKaiti" w:hAnsi="SimSun" w:hint="eastAsia"/>
          <w:lang w:eastAsia="zh-CN"/>
        </w:rPr>
        <w:t>请</w:t>
      </w:r>
      <w:r>
        <w:rPr>
          <w:rFonts w:hint="eastAsia"/>
          <w:lang w:eastAsia="zh-CN"/>
        </w:rPr>
        <w:t>各国、各专门机构、各区域组织及各非政府组织与秘书长及特别委员会合作，以完成本决议所赋予它们的任务。</w:t>
      </w:r>
    </w:p>
    <w:p w14:paraId="4827BA10" w14:textId="77777777" w:rsidR="00FD528B" w:rsidRDefault="00FD528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4827BA11" w14:textId="77777777" w:rsidR="00BF54E4" w:rsidRDefault="00802993" w:rsidP="00B64353">
      <w:pPr>
        <w:pStyle w:val="AnnexNo"/>
        <w:rPr>
          <w:rFonts w:ascii="SimSun" w:hAnsi="SimSun"/>
          <w:lang w:eastAsia="zh-CN"/>
        </w:rPr>
      </w:pPr>
      <w:bookmarkStart w:id="2632" w:name="_Toc531707108"/>
      <w:r w:rsidRPr="00914BB6">
        <w:rPr>
          <w:rFonts w:ascii="SimSun" w:hAnsi="SimSun" w:hint="eastAsia"/>
          <w:lang w:eastAsia="zh-CN"/>
        </w:rPr>
        <w:lastRenderedPageBreak/>
        <w:t>第</w:t>
      </w:r>
      <w:r w:rsidRPr="00914BB6">
        <w:rPr>
          <w:lang w:eastAsia="zh-CN"/>
        </w:rPr>
        <w:t>2426</w:t>
      </w:r>
      <w:r w:rsidR="00914BB6">
        <w:rPr>
          <w:rFonts w:hint="eastAsia"/>
          <w:lang w:eastAsia="zh-CN"/>
        </w:rPr>
        <w:t>（</w:t>
      </w:r>
      <w:r w:rsidR="00914BB6">
        <w:rPr>
          <w:rFonts w:hint="eastAsia"/>
          <w:lang w:eastAsia="zh-CN"/>
        </w:rPr>
        <w:t>XXIII</w:t>
      </w:r>
      <w:r w:rsidR="00914BB6">
        <w:rPr>
          <w:rFonts w:hint="eastAsia"/>
          <w:lang w:eastAsia="zh-CN"/>
        </w:rPr>
        <w:t>）</w:t>
      </w:r>
      <w:r w:rsidRPr="00914BB6">
        <w:rPr>
          <w:rFonts w:ascii="SimSun" w:hAnsi="SimSun" w:hint="eastAsia"/>
          <w:lang w:eastAsia="zh-CN"/>
        </w:rPr>
        <w:t>号决议</w:t>
      </w:r>
      <w:r w:rsidR="003C71A1">
        <w:rPr>
          <w:rStyle w:val="FootnoteReference"/>
          <w:lang w:eastAsia="zh-CN"/>
        </w:rPr>
        <w:footnoteReference w:customMarkFollows="1" w:id="20"/>
        <w:t>4</w:t>
      </w:r>
      <w:bookmarkEnd w:id="2632"/>
    </w:p>
    <w:p w14:paraId="4827BA12" w14:textId="77777777" w:rsidR="00567CBA" w:rsidRPr="004A4A3B" w:rsidRDefault="00BF54E4" w:rsidP="004A4A3B">
      <w:pPr>
        <w:pStyle w:val="AnnexNo"/>
        <w:spacing w:before="0"/>
        <w:rPr>
          <w:b/>
          <w:lang w:eastAsia="zh-CN"/>
        </w:rPr>
      </w:pPr>
      <w:bookmarkStart w:id="2633" w:name="_Toc531707109"/>
      <w:r w:rsidRPr="004A4A3B">
        <w:rPr>
          <w:rFonts w:hint="eastAsia"/>
          <w:b/>
          <w:lang w:eastAsia="zh-CN"/>
        </w:rPr>
        <w:t>附件</w:t>
      </w:r>
      <w:r w:rsidRPr="004A4A3B">
        <w:rPr>
          <w:b/>
          <w:lang w:eastAsia="zh-CN"/>
        </w:rPr>
        <w:t>3</w:t>
      </w:r>
    </w:p>
    <w:p w14:paraId="4827BA13" w14:textId="77777777" w:rsidR="00802993" w:rsidRDefault="00802993" w:rsidP="00567CBA">
      <w:pPr>
        <w:pStyle w:val="Annextitle"/>
        <w:rPr>
          <w:lang w:eastAsia="zh-CN"/>
        </w:rPr>
      </w:pPr>
      <w:r>
        <w:rPr>
          <w:rFonts w:hint="eastAsia"/>
          <w:lang w:eastAsia="zh-CN"/>
        </w:rPr>
        <w:t>各专门机构及与联合国有联系的国际机构实施</w:t>
      </w:r>
      <w:r>
        <w:rPr>
          <w:lang w:eastAsia="zh-CN"/>
        </w:rPr>
        <w:br/>
      </w:r>
      <w:r>
        <w:rPr>
          <w:rFonts w:hint="eastAsia"/>
          <w:lang w:eastAsia="zh-CN"/>
        </w:rPr>
        <w:t>准许殖民地国家及民族独立的宣言</w:t>
      </w:r>
      <w:bookmarkEnd w:id="2633"/>
    </w:p>
    <w:p w14:paraId="4827BA14" w14:textId="77777777" w:rsidR="00802993" w:rsidRDefault="00802993" w:rsidP="00B64353">
      <w:pPr>
        <w:rPr>
          <w:lang w:eastAsia="zh-CN"/>
        </w:rPr>
      </w:pPr>
      <w:r>
        <w:rPr>
          <w:lang w:eastAsia="zh-CN"/>
        </w:rPr>
        <w:tab/>
      </w:r>
      <w:r>
        <w:rPr>
          <w:rFonts w:ascii="STKaiti" w:eastAsia="STKaiti" w:hAnsi="SimSun" w:hint="eastAsia"/>
          <w:lang w:eastAsia="zh-CN"/>
        </w:rPr>
        <w:t>大会</w:t>
      </w:r>
      <w:r w:rsidRPr="00801E75">
        <w:rPr>
          <w:rFonts w:ascii="SimSun" w:hAnsi="SimSun" w:hint="eastAsia"/>
          <w:lang w:eastAsia="zh-CN"/>
        </w:rPr>
        <w:t>，</w:t>
      </w:r>
    </w:p>
    <w:p w14:paraId="4827BA15" w14:textId="77777777" w:rsidR="00802993" w:rsidRDefault="00802993" w:rsidP="00B64353">
      <w:pPr>
        <w:rPr>
          <w:lang w:eastAsia="zh-CN"/>
        </w:rPr>
      </w:pPr>
      <w:r>
        <w:rPr>
          <w:lang w:eastAsia="zh-CN"/>
        </w:rPr>
        <w:tab/>
      </w:r>
      <w:r>
        <w:rPr>
          <w:rFonts w:ascii="STKaiti" w:eastAsia="STKaiti" w:hAnsi="SimSun" w:hint="eastAsia"/>
          <w:lang w:eastAsia="zh-CN"/>
        </w:rPr>
        <w:t>经审议</w:t>
      </w:r>
      <w:r>
        <w:rPr>
          <w:rFonts w:hint="eastAsia"/>
          <w:lang w:eastAsia="zh-CN"/>
        </w:rPr>
        <w:t>“各专门机构及与联合国有联系的国际机构实施准许殖民地国家及民族独立的宣言”议项，</w:t>
      </w:r>
    </w:p>
    <w:p w14:paraId="4827BA16" w14:textId="77777777" w:rsidR="00802993" w:rsidRDefault="00802993" w:rsidP="00B64353">
      <w:pPr>
        <w:rPr>
          <w:lang w:eastAsia="zh-CN"/>
        </w:rPr>
      </w:pPr>
      <w:r>
        <w:rPr>
          <w:lang w:eastAsia="zh-CN"/>
        </w:rPr>
        <w:tab/>
      </w:r>
      <w:r>
        <w:rPr>
          <w:rFonts w:ascii="STKaiti" w:eastAsia="STKaiti" w:hAnsi="SimSun" w:hint="eastAsia"/>
          <w:lang w:eastAsia="zh-CN"/>
        </w:rPr>
        <w:t>忆及</w:t>
      </w:r>
      <w:r>
        <w:rPr>
          <w:rFonts w:hint="eastAsia"/>
          <w:lang w:eastAsia="zh-CN"/>
        </w:rPr>
        <w:t>一九六零年十二月十四日第</w:t>
      </w:r>
      <w:r>
        <w:rPr>
          <w:lang w:eastAsia="zh-CN"/>
        </w:rPr>
        <w:t>1514</w:t>
      </w:r>
      <w:r>
        <w:rPr>
          <w:rFonts w:hint="eastAsia"/>
          <w:lang w:eastAsia="zh-CN"/>
        </w:rPr>
        <w:t>号大会决议（第十五届大会）所载的准许殖民地国家及民族独立的宣言，</w:t>
      </w:r>
    </w:p>
    <w:p w14:paraId="4827BA17" w14:textId="77777777" w:rsidR="00802993" w:rsidRDefault="00802993" w:rsidP="00B64353">
      <w:pPr>
        <w:rPr>
          <w:lang w:eastAsia="zh-CN"/>
        </w:rPr>
      </w:pPr>
      <w:r>
        <w:rPr>
          <w:lang w:eastAsia="zh-CN"/>
        </w:rPr>
        <w:tab/>
      </w:r>
      <w:r>
        <w:rPr>
          <w:rFonts w:ascii="STKaiti" w:eastAsia="STKaiti" w:hAnsi="SimSun" w:hint="eastAsia"/>
          <w:lang w:eastAsia="zh-CN"/>
        </w:rPr>
        <w:t>忆及</w:t>
      </w:r>
      <w:r>
        <w:rPr>
          <w:rFonts w:hint="eastAsia"/>
          <w:lang w:eastAsia="zh-CN"/>
        </w:rPr>
        <w:t>一九六七年十二月十四日第</w:t>
      </w:r>
      <w:r>
        <w:rPr>
          <w:lang w:eastAsia="zh-CN"/>
        </w:rPr>
        <w:t>2311</w:t>
      </w:r>
      <w:r>
        <w:rPr>
          <w:rFonts w:hint="eastAsia"/>
          <w:lang w:eastAsia="zh-CN"/>
        </w:rPr>
        <w:t>号大会决议（第二十二届大会）及其他有关的大会决议，</w:t>
      </w:r>
    </w:p>
    <w:p w14:paraId="4827BA18" w14:textId="77777777" w:rsidR="00802993" w:rsidRDefault="00802993" w:rsidP="00B64353">
      <w:pPr>
        <w:rPr>
          <w:lang w:eastAsia="zh-CN"/>
        </w:rPr>
      </w:pPr>
      <w:r>
        <w:rPr>
          <w:lang w:eastAsia="zh-CN"/>
        </w:rPr>
        <w:tab/>
      </w:r>
      <w:r>
        <w:rPr>
          <w:rFonts w:ascii="STKaiti" w:eastAsia="STKaiti" w:hAnsi="SimSun" w:hint="eastAsia"/>
          <w:lang w:eastAsia="zh-CN"/>
        </w:rPr>
        <w:t>考虑到</w:t>
      </w:r>
      <w:r>
        <w:rPr>
          <w:rFonts w:hint="eastAsia"/>
          <w:lang w:eastAsia="zh-CN"/>
        </w:rPr>
        <w:t>秘书长、经济暨社会理事会及准许殖民地国家及民族独立宣言实施情况特别委员会就各专门机构及与联合国有联系的国际机构实施该宣言方面的有关报告，</w:t>
      </w:r>
    </w:p>
    <w:p w14:paraId="4827BA19" w14:textId="77777777" w:rsidR="00802993" w:rsidRDefault="00802993" w:rsidP="00B64353">
      <w:pPr>
        <w:rPr>
          <w:lang w:val="en-US" w:eastAsia="zh-CN"/>
        </w:rPr>
      </w:pPr>
      <w:r>
        <w:rPr>
          <w:lang w:eastAsia="zh-CN"/>
        </w:rPr>
        <w:tab/>
      </w:r>
      <w:r>
        <w:rPr>
          <w:rFonts w:ascii="STKaiti" w:eastAsia="STKaiti" w:hAnsi="SimSun" w:hint="eastAsia"/>
          <w:lang w:eastAsia="zh-CN"/>
        </w:rPr>
        <w:t>铭记</w:t>
      </w:r>
      <w:r>
        <w:rPr>
          <w:rFonts w:hint="eastAsia"/>
          <w:lang w:eastAsia="zh-CN"/>
        </w:rPr>
        <w:t>殖民地领土，特别是非洲的民族解放运动在其争取自由与独立的斗争中需各专门机构予以紧急援助，特别是教育、卫生及营养等方面的援助，</w:t>
      </w:r>
    </w:p>
    <w:p w14:paraId="4827BA1A" w14:textId="77777777" w:rsidR="00802993" w:rsidRDefault="00802993" w:rsidP="00B64353">
      <w:pPr>
        <w:rPr>
          <w:lang w:eastAsia="zh-CN"/>
        </w:rPr>
      </w:pPr>
      <w:r>
        <w:rPr>
          <w:lang w:eastAsia="zh-CN"/>
        </w:rPr>
        <w:tab/>
      </w:r>
      <w:r>
        <w:rPr>
          <w:rFonts w:ascii="STKaiti" w:eastAsia="STKaiti" w:hAnsi="SimSun" w:hint="eastAsia"/>
          <w:lang w:eastAsia="zh-CN"/>
        </w:rPr>
        <w:t>遗憾地注意到</w:t>
      </w:r>
      <w:r>
        <w:rPr>
          <w:rFonts w:hint="eastAsia"/>
          <w:lang w:eastAsia="zh-CN"/>
        </w:rPr>
        <w:t>若干专门机构及与联合国有联系的国际机构，特别是国际复兴开发银行及国际货币基金组织，至今仍未实施第</w:t>
      </w:r>
      <w:r>
        <w:rPr>
          <w:lang w:eastAsia="zh-CN"/>
        </w:rPr>
        <w:t>2311</w:t>
      </w:r>
      <w:r>
        <w:rPr>
          <w:rFonts w:hint="eastAsia"/>
          <w:lang w:eastAsia="zh-CN"/>
        </w:rPr>
        <w:t>号大会决议（第二十二届大会）及其他有关决议，</w:t>
      </w:r>
    </w:p>
    <w:p w14:paraId="4827BA1B" w14:textId="77777777" w:rsidR="00802993" w:rsidRDefault="00802993" w:rsidP="00B64353">
      <w:pPr>
        <w:rPr>
          <w:lang w:eastAsia="zh-CN"/>
        </w:rPr>
      </w:pPr>
      <w:r>
        <w:rPr>
          <w:lang w:eastAsia="zh-CN"/>
        </w:rPr>
        <w:tab/>
      </w:r>
      <w:r>
        <w:rPr>
          <w:rFonts w:ascii="STKaiti" w:eastAsia="STKaiti" w:hAnsi="SimSun" w:hint="eastAsia"/>
          <w:lang w:eastAsia="zh-CN"/>
        </w:rPr>
        <w:t>考虑到</w:t>
      </w:r>
      <w:r>
        <w:rPr>
          <w:rFonts w:hint="eastAsia"/>
          <w:lang w:eastAsia="zh-CN"/>
        </w:rPr>
        <w:t>联合国根据联合国宪章，特别是第九章及第十章规定，协调各专门机构的政策与工作作出建议，</w:t>
      </w:r>
    </w:p>
    <w:p w14:paraId="4827BA1C" w14:textId="77777777" w:rsidR="00802993" w:rsidRDefault="00802993" w:rsidP="00B64353">
      <w:pPr>
        <w:rPr>
          <w:lang w:eastAsia="zh-CN"/>
        </w:rPr>
      </w:pPr>
      <w:r>
        <w:rPr>
          <w:lang w:eastAsia="zh-CN"/>
        </w:rPr>
        <w:t>1</w:t>
      </w:r>
      <w:r w:rsidR="00E04370">
        <w:rPr>
          <w:lang w:eastAsia="zh-CN"/>
        </w:rPr>
        <w:tab/>
      </w:r>
      <w:r>
        <w:rPr>
          <w:rFonts w:ascii="STKaiti" w:eastAsia="STKaiti" w:hAnsi="SimSun" w:hint="eastAsia"/>
          <w:lang w:eastAsia="zh-CN"/>
        </w:rPr>
        <w:t>再次呼吁</w:t>
      </w:r>
      <w:r>
        <w:rPr>
          <w:rFonts w:ascii="SimSun" w:hAnsi="SimSun" w:hint="eastAsia"/>
          <w:lang w:eastAsia="zh-CN"/>
        </w:rPr>
        <w:t>各专门机构、国际原子能机构及与联合国</w:t>
      </w:r>
      <w:r>
        <w:rPr>
          <w:rFonts w:hint="eastAsia"/>
          <w:lang w:eastAsia="zh-CN"/>
        </w:rPr>
        <w:t>有联系的国际机构与联合国充分合作，以实现第</w:t>
      </w:r>
      <w:r>
        <w:rPr>
          <w:lang w:eastAsia="zh-CN"/>
        </w:rPr>
        <w:t>1514</w:t>
      </w:r>
      <w:r>
        <w:rPr>
          <w:rFonts w:hint="eastAsia"/>
          <w:lang w:eastAsia="zh-CN"/>
        </w:rPr>
        <w:t>号大会决议（第十五届大会）及其他有关决议的目标与规定；</w:t>
      </w:r>
    </w:p>
    <w:p w14:paraId="4827BA1D"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A1E" w14:textId="77777777" w:rsidR="00802993" w:rsidRDefault="00802993" w:rsidP="00B64353">
      <w:pPr>
        <w:rPr>
          <w:lang w:eastAsia="zh-CN"/>
        </w:rPr>
      </w:pPr>
      <w:r>
        <w:rPr>
          <w:lang w:eastAsia="zh-CN"/>
        </w:rPr>
        <w:lastRenderedPageBreak/>
        <w:t>2</w:t>
      </w:r>
      <w:r w:rsidR="00E04370">
        <w:rPr>
          <w:lang w:eastAsia="zh-CN"/>
        </w:rPr>
        <w:tab/>
      </w:r>
      <w:r>
        <w:rPr>
          <w:rFonts w:eastAsia="STKaiti" w:hint="eastAsia"/>
          <w:lang w:eastAsia="zh-CN"/>
        </w:rPr>
        <w:t>对</w:t>
      </w:r>
      <w:r>
        <w:rPr>
          <w:rFonts w:ascii="SimSun" w:hAnsi="SimSun" w:hint="eastAsia"/>
          <w:lang w:eastAsia="zh-CN"/>
        </w:rPr>
        <w:t>联合国难民事务高级专员办事处并对曾与联合国合作实施有关</w:t>
      </w:r>
      <w:r>
        <w:rPr>
          <w:rFonts w:hint="eastAsia"/>
          <w:lang w:eastAsia="zh-CN"/>
        </w:rPr>
        <w:t>大会决议的各专门机构及国际机构，</w:t>
      </w:r>
      <w:r>
        <w:rPr>
          <w:rFonts w:ascii="STKaiti" w:eastAsia="STKaiti" w:hAnsi="SimSun" w:hint="eastAsia"/>
          <w:lang w:eastAsia="zh-CN"/>
        </w:rPr>
        <w:t>表示感谢</w:t>
      </w:r>
      <w:r>
        <w:rPr>
          <w:rFonts w:hint="eastAsia"/>
          <w:lang w:eastAsia="zh-CN"/>
        </w:rPr>
        <w:t>；</w:t>
      </w:r>
    </w:p>
    <w:p w14:paraId="4827BA1F" w14:textId="77777777" w:rsidR="00802993" w:rsidRDefault="00802993" w:rsidP="00B64353">
      <w:pPr>
        <w:rPr>
          <w:lang w:eastAsia="zh-CN"/>
        </w:rPr>
      </w:pPr>
      <w:r>
        <w:rPr>
          <w:lang w:eastAsia="zh-CN"/>
        </w:rPr>
        <w:t>3</w:t>
      </w:r>
      <w:r w:rsidR="00E04370">
        <w:rPr>
          <w:lang w:eastAsia="zh-CN"/>
        </w:rPr>
        <w:tab/>
      </w:r>
      <w:r>
        <w:rPr>
          <w:rFonts w:ascii="STKaiti" w:eastAsia="STKaiti" w:hAnsi="SimSun" w:hint="eastAsia"/>
          <w:lang w:eastAsia="zh-CN"/>
        </w:rPr>
        <w:t>建议</w:t>
      </w:r>
      <w:r>
        <w:rPr>
          <w:rFonts w:ascii="SimSun" w:hAnsi="SimSun" w:hint="eastAsia"/>
          <w:lang w:eastAsia="zh-CN"/>
        </w:rPr>
        <w:t>各有关专门机构及国际机构协助正在为寻求摆脱殖民统治而斗争的各个民族，特别应在各自的工作范围内，协同非洲统一组织，并通过该组织协同各民族解放运动组织，拟订具体方案，以协助南罗得西亚、纳米比亚及葡萄牙统治下各领土的被压迫人民；</w:t>
      </w:r>
    </w:p>
    <w:p w14:paraId="4827BA20" w14:textId="77777777" w:rsidR="00802993" w:rsidRDefault="00802993" w:rsidP="00B64353">
      <w:pPr>
        <w:rPr>
          <w:lang w:eastAsia="zh-CN"/>
        </w:rPr>
      </w:pPr>
      <w:r>
        <w:rPr>
          <w:lang w:eastAsia="zh-CN"/>
        </w:rPr>
        <w:t>4</w:t>
      </w:r>
      <w:r w:rsidR="00E04370">
        <w:rPr>
          <w:lang w:eastAsia="zh-CN"/>
        </w:rPr>
        <w:tab/>
      </w:r>
      <w:r>
        <w:rPr>
          <w:rFonts w:ascii="STKaiti" w:eastAsia="STKaiti" w:hAnsi="SimSun" w:hint="eastAsia"/>
          <w:lang w:eastAsia="zh-CN"/>
        </w:rPr>
        <w:t>再次呼吁</w:t>
      </w:r>
      <w:r>
        <w:rPr>
          <w:rFonts w:ascii="SimSun" w:hAnsi="SimSun" w:hint="eastAsia"/>
          <w:lang w:eastAsia="zh-CN"/>
        </w:rPr>
        <w:t>所有专门机构及国际机构，</w:t>
      </w:r>
      <w:r>
        <w:rPr>
          <w:rFonts w:hint="eastAsia"/>
          <w:lang w:eastAsia="zh-CN"/>
        </w:rPr>
        <w:t>特别是国际复兴开发银行及国际货币基金组织，采取一切必要步骤，在葡萄牙及南非两国政府未放弃其种族歧视与殖民统治政策之前，不给予财政、经济、技术及其他协助；</w:t>
      </w:r>
    </w:p>
    <w:p w14:paraId="4827BA21" w14:textId="77777777" w:rsidR="00802993" w:rsidRDefault="00802993" w:rsidP="00B64353">
      <w:pPr>
        <w:rPr>
          <w:lang w:eastAsia="zh-CN"/>
        </w:rPr>
      </w:pPr>
      <w:r>
        <w:rPr>
          <w:lang w:eastAsia="zh-CN"/>
        </w:rPr>
        <w:t>5</w:t>
      </w:r>
      <w:r w:rsidR="00E04370">
        <w:rPr>
          <w:lang w:eastAsia="zh-CN"/>
        </w:rPr>
        <w:tab/>
      </w:r>
      <w:r>
        <w:rPr>
          <w:rFonts w:ascii="STKaiti" w:eastAsia="STKaiti" w:hAnsi="SimSun" w:hint="eastAsia"/>
          <w:lang w:eastAsia="zh-CN"/>
        </w:rPr>
        <w:t>建议</w:t>
      </w:r>
      <w:r>
        <w:rPr>
          <w:rFonts w:hint="eastAsia"/>
          <w:lang w:eastAsia="zh-CN"/>
        </w:rPr>
        <w:t>国际复兴开发银行取消其给予葡萄牙及南非政府的贷款及信贷，该两国正在利用这些资金镇压葡属各殖民地及纳米比亚的民族解放运动并压迫南非的非洲人民；</w:t>
      </w:r>
    </w:p>
    <w:p w14:paraId="4827BA22" w14:textId="77777777" w:rsidR="00802993" w:rsidRDefault="00802993" w:rsidP="00B64353">
      <w:pPr>
        <w:rPr>
          <w:lang w:eastAsia="zh-CN"/>
        </w:rPr>
      </w:pPr>
      <w:r>
        <w:rPr>
          <w:lang w:eastAsia="zh-CN"/>
        </w:rPr>
        <w:t>6</w:t>
      </w:r>
      <w:r w:rsidR="00E04370">
        <w:rPr>
          <w:lang w:eastAsia="zh-CN"/>
        </w:rPr>
        <w:tab/>
      </w:r>
      <w:r>
        <w:rPr>
          <w:rFonts w:ascii="STKaiti" w:eastAsia="STKaiti" w:hAnsi="SimSun" w:hint="eastAsia"/>
          <w:lang w:eastAsia="zh-CN"/>
        </w:rPr>
        <w:t>要求</w:t>
      </w:r>
      <w:r>
        <w:rPr>
          <w:rFonts w:hint="eastAsia"/>
          <w:lang w:eastAsia="zh-CN"/>
        </w:rPr>
        <w:t>所有国家通过其所参加的专门机构及国际机构的行动，促进大会有关决议的充分和迅速实施；</w:t>
      </w:r>
    </w:p>
    <w:p w14:paraId="4827BA23" w14:textId="77777777" w:rsidR="00802993" w:rsidRDefault="00802993" w:rsidP="00B64353">
      <w:pPr>
        <w:rPr>
          <w:lang w:eastAsia="zh-CN"/>
        </w:rPr>
      </w:pPr>
      <w:r>
        <w:rPr>
          <w:lang w:eastAsia="zh-CN"/>
        </w:rPr>
        <w:t>7</w:t>
      </w:r>
      <w:r w:rsidR="00E04370">
        <w:rPr>
          <w:lang w:eastAsia="zh-CN"/>
        </w:rPr>
        <w:tab/>
      </w:r>
      <w:r>
        <w:rPr>
          <w:rFonts w:ascii="STKaiti" w:eastAsia="STKaiti" w:hAnsi="SimSun" w:hint="eastAsia"/>
          <w:lang w:eastAsia="zh-CN"/>
        </w:rPr>
        <w:t>要求</w:t>
      </w:r>
      <w:r>
        <w:rPr>
          <w:rFonts w:hint="eastAsia"/>
          <w:lang w:eastAsia="zh-CN"/>
        </w:rPr>
        <w:t>经济暨社会理事会会商特别委员会考虑采取协调各专门机构政策与工作的适当措施以实施大会有关决议；</w:t>
      </w:r>
    </w:p>
    <w:p w14:paraId="4827BA24" w14:textId="77777777" w:rsidR="00802993" w:rsidRDefault="00802993" w:rsidP="00B64353">
      <w:pPr>
        <w:rPr>
          <w:lang w:eastAsia="zh-CN"/>
        </w:rPr>
      </w:pPr>
      <w:r>
        <w:rPr>
          <w:lang w:eastAsia="zh-CN"/>
        </w:rPr>
        <w:t>8</w:t>
      </w:r>
      <w:r w:rsidR="00E04370">
        <w:rPr>
          <w:lang w:eastAsia="zh-CN"/>
        </w:rPr>
        <w:tab/>
      </w:r>
      <w:r>
        <w:rPr>
          <w:rFonts w:ascii="STKaiti" w:eastAsia="STKaiti" w:hAnsi="SimSun" w:hint="eastAsia"/>
          <w:lang w:eastAsia="zh-CN"/>
        </w:rPr>
        <w:t>请</w:t>
      </w:r>
      <w:r w:rsidRPr="00700AE9">
        <w:rPr>
          <w:rFonts w:ascii="STKaiti" w:eastAsia="STKaiti" w:hAnsi="STKaiti" w:hint="eastAsia"/>
          <w:lang w:eastAsia="zh-CN"/>
        </w:rPr>
        <w:t>秘书长：</w:t>
      </w:r>
    </w:p>
    <w:p w14:paraId="4827BA25" w14:textId="77777777" w:rsidR="00802993" w:rsidRDefault="00802993" w:rsidP="00376870">
      <w:pPr>
        <w:pStyle w:val="enumlev1"/>
        <w:rPr>
          <w:lang w:eastAsia="zh-CN"/>
        </w:rPr>
      </w:pPr>
      <w:r>
        <w:rPr>
          <w:lang w:eastAsia="zh-CN"/>
        </w:rPr>
        <w:t>a</w:t>
      </w:r>
      <w:r w:rsidR="000E6A83">
        <w:rPr>
          <w:lang w:eastAsia="zh-CN"/>
        </w:rPr>
        <w:t>)</w:t>
      </w:r>
      <w:r w:rsidR="000E6A83">
        <w:rPr>
          <w:lang w:eastAsia="zh-CN"/>
        </w:rPr>
        <w:tab/>
      </w:r>
      <w:r>
        <w:rPr>
          <w:rFonts w:hint="eastAsia"/>
          <w:lang w:eastAsia="zh-CN"/>
        </w:rPr>
        <w:t>继续协助各有关专门机构及国际机构拟订实施有关大会决议和适当措施，并就此事向大会第二十四届会议提出报告；</w:t>
      </w:r>
    </w:p>
    <w:p w14:paraId="4827BA26" w14:textId="77777777" w:rsidR="00802993" w:rsidRDefault="00802993" w:rsidP="00376870">
      <w:pPr>
        <w:pStyle w:val="enumlev1"/>
        <w:rPr>
          <w:lang w:eastAsia="zh-CN"/>
        </w:rPr>
      </w:pPr>
      <w:r>
        <w:rPr>
          <w:lang w:eastAsia="zh-CN"/>
        </w:rPr>
        <w:t>b</w:t>
      </w:r>
      <w:r w:rsidR="000E6A83">
        <w:rPr>
          <w:lang w:eastAsia="zh-CN"/>
        </w:rPr>
        <w:t>)</w:t>
      </w:r>
      <w:r w:rsidR="000E6A83">
        <w:rPr>
          <w:lang w:eastAsia="zh-CN"/>
        </w:rPr>
        <w:tab/>
      </w:r>
      <w:r>
        <w:rPr>
          <w:rFonts w:hint="eastAsia"/>
          <w:lang w:eastAsia="zh-CN"/>
        </w:rPr>
        <w:t>征得各有关机构及国际机构关于充分和迅速实施大会有关决议的最佳方法的具体建议，提交特别委员会审议；</w:t>
      </w:r>
    </w:p>
    <w:p w14:paraId="4827BA27" w14:textId="77777777" w:rsidR="00802993" w:rsidRDefault="00802993" w:rsidP="00B64353">
      <w:pPr>
        <w:rPr>
          <w:lang w:val="en-US" w:eastAsia="zh-CN"/>
        </w:rPr>
      </w:pPr>
      <w:r>
        <w:rPr>
          <w:lang w:eastAsia="zh-CN"/>
        </w:rPr>
        <w:t>9</w:t>
      </w:r>
      <w:r w:rsidR="00E04370">
        <w:rPr>
          <w:lang w:eastAsia="zh-CN"/>
        </w:rPr>
        <w:tab/>
      </w:r>
      <w:r>
        <w:rPr>
          <w:rFonts w:ascii="STKaiti" w:eastAsia="STKaiti" w:hAnsi="SimSun" w:hint="eastAsia"/>
          <w:lang w:eastAsia="zh-CN"/>
        </w:rPr>
        <w:t>要求</w:t>
      </w:r>
      <w:r>
        <w:rPr>
          <w:rFonts w:hint="eastAsia"/>
          <w:lang w:eastAsia="zh-CN"/>
        </w:rPr>
        <w:t>特别委员会继续审查本问题，并向大会第二十四届会议提出报告。</w:t>
      </w:r>
    </w:p>
    <w:p w14:paraId="4827BA28"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rFonts w:ascii="SimSun" w:hAnsi="SimSun"/>
          <w:lang w:eastAsia="zh-CN"/>
        </w:rPr>
      </w:pPr>
      <w:bookmarkStart w:id="2634" w:name="_Toc531707110"/>
    </w:p>
    <w:p w14:paraId="4827BA29"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rFonts w:ascii="SimSun" w:hAnsi="SimSun"/>
          <w:lang w:eastAsia="zh-CN"/>
        </w:rPr>
      </w:pPr>
    </w:p>
    <w:p w14:paraId="4827BA2A"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rFonts w:ascii="SimSun" w:hAnsi="SimSun"/>
          <w:lang w:eastAsia="zh-CN"/>
        </w:rPr>
      </w:pPr>
    </w:p>
    <w:p w14:paraId="4827BA2B"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rFonts w:ascii="SimSun" w:hAnsi="SimSun"/>
          <w:lang w:eastAsia="zh-CN"/>
        </w:rPr>
      </w:pPr>
    </w:p>
    <w:p w14:paraId="4827BA2C"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rFonts w:ascii="SimSun" w:hAnsi="SimSun"/>
          <w:caps/>
          <w:sz w:val="28"/>
          <w:lang w:eastAsia="zh-CN"/>
        </w:rPr>
      </w:pPr>
      <w:r>
        <w:rPr>
          <w:rFonts w:ascii="SimSun" w:hAnsi="SimSun"/>
          <w:lang w:eastAsia="zh-CN"/>
        </w:rPr>
        <w:br w:type="page"/>
      </w:r>
    </w:p>
    <w:p w14:paraId="4827BA2D" w14:textId="77777777" w:rsidR="00802993" w:rsidRPr="00BF54E4" w:rsidRDefault="00802993" w:rsidP="00B64353">
      <w:pPr>
        <w:pStyle w:val="AnnexNo"/>
        <w:rPr>
          <w:rFonts w:ascii="Arial Unicode MS" w:eastAsia="Arial Unicode MS" w:hAnsi="Arial Unicode MS" w:cs="Arial Unicode MS"/>
          <w:lang w:eastAsia="zh-CN"/>
        </w:rPr>
      </w:pPr>
      <w:r w:rsidRPr="00BF54E4">
        <w:rPr>
          <w:rFonts w:ascii="SimSun" w:hAnsi="SimSun" w:hint="eastAsia"/>
          <w:lang w:eastAsia="zh-CN"/>
        </w:rPr>
        <w:lastRenderedPageBreak/>
        <w:t>第</w:t>
      </w:r>
      <w:r w:rsidRPr="00BF54E4">
        <w:rPr>
          <w:lang w:eastAsia="zh-CN"/>
        </w:rPr>
        <w:t>2465</w:t>
      </w:r>
      <w:r w:rsidR="00914BB6" w:rsidRPr="00BF54E4">
        <w:rPr>
          <w:rFonts w:hint="eastAsia"/>
          <w:lang w:eastAsia="zh-CN"/>
        </w:rPr>
        <w:t>（</w:t>
      </w:r>
      <w:r w:rsidR="00914BB6" w:rsidRPr="00BF54E4">
        <w:rPr>
          <w:rFonts w:hint="eastAsia"/>
          <w:lang w:eastAsia="zh-CN"/>
        </w:rPr>
        <w:t>XXIII</w:t>
      </w:r>
      <w:r w:rsidR="00914BB6" w:rsidRPr="00BF54E4">
        <w:rPr>
          <w:rFonts w:hint="eastAsia"/>
          <w:lang w:eastAsia="zh-CN"/>
        </w:rPr>
        <w:t>）</w:t>
      </w:r>
      <w:r w:rsidRPr="00BF54E4">
        <w:rPr>
          <w:rFonts w:ascii="SimSun" w:hAnsi="SimSun" w:hint="eastAsia"/>
          <w:lang w:eastAsia="zh-CN"/>
        </w:rPr>
        <w:t>号决议</w:t>
      </w:r>
      <w:r w:rsidR="003C71A1">
        <w:rPr>
          <w:rStyle w:val="FootnoteReference"/>
          <w:rFonts w:eastAsia="Arial Unicode MS" w:cs="Arial Unicode MS"/>
          <w:lang w:eastAsia="zh-CN"/>
        </w:rPr>
        <w:footnoteReference w:customMarkFollows="1" w:id="21"/>
        <w:t>5</w:t>
      </w:r>
      <w:bookmarkEnd w:id="2634"/>
    </w:p>
    <w:p w14:paraId="4827BA2E" w14:textId="77777777" w:rsidR="00567CBA" w:rsidRPr="004A4A3B" w:rsidRDefault="00BF54E4" w:rsidP="004A4A3B">
      <w:pPr>
        <w:pStyle w:val="AnnexNo"/>
        <w:spacing w:before="240"/>
        <w:rPr>
          <w:b/>
          <w:lang w:eastAsia="zh-CN"/>
        </w:rPr>
      </w:pPr>
      <w:bookmarkStart w:id="2635" w:name="_Toc531707111"/>
      <w:r w:rsidRPr="004A4A3B">
        <w:rPr>
          <w:rFonts w:hint="eastAsia"/>
          <w:b/>
          <w:lang w:eastAsia="zh-CN"/>
        </w:rPr>
        <w:t>附件</w:t>
      </w:r>
      <w:r w:rsidRPr="004A4A3B">
        <w:rPr>
          <w:b/>
          <w:lang w:eastAsia="zh-CN"/>
        </w:rPr>
        <w:t>4</w:t>
      </w:r>
    </w:p>
    <w:p w14:paraId="4827BA2F" w14:textId="77777777" w:rsidR="00802993" w:rsidRPr="00BF54E4" w:rsidRDefault="00802993" w:rsidP="00567CBA">
      <w:pPr>
        <w:pStyle w:val="Annextitle"/>
        <w:rPr>
          <w:lang w:val="en-US" w:eastAsia="zh-CN"/>
        </w:rPr>
      </w:pPr>
      <w:r w:rsidRPr="00BF54E4">
        <w:rPr>
          <w:rFonts w:hint="eastAsia"/>
          <w:lang w:eastAsia="zh-CN"/>
        </w:rPr>
        <w:t>实施准许殖民地国家及民族独立的宣言</w:t>
      </w:r>
      <w:bookmarkEnd w:id="2635"/>
    </w:p>
    <w:p w14:paraId="4827BA30" w14:textId="77777777" w:rsidR="00802993" w:rsidRPr="00530A3B" w:rsidRDefault="00802993" w:rsidP="00B64353">
      <w:pPr>
        <w:rPr>
          <w:rFonts w:ascii="SimSun" w:hAnsi="SimSun"/>
          <w:lang w:eastAsia="zh-CN"/>
        </w:rPr>
      </w:pPr>
      <w:r>
        <w:rPr>
          <w:lang w:eastAsia="zh-CN"/>
        </w:rPr>
        <w:tab/>
      </w:r>
      <w:r w:rsidRPr="00DE2D51">
        <w:rPr>
          <w:rFonts w:ascii="SimSun" w:eastAsia="STKaiti" w:hAnsi="SimSun" w:hint="eastAsia"/>
          <w:lang w:eastAsia="zh-CN"/>
        </w:rPr>
        <w:t>大会</w:t>
      </w:r>
      <w:r w:rsidRPr="00530A3B">
        <w:rPr>
          <w:rFonts w:ascii="SimSun" w:hAnsi="SimSun" w:hint="eastAsia"/>
          <w:lang w:eastAsia="zh-CN"/>
        </w:rPr>
        <w:t>，</w:t>
      </w:r>
    </w:p>
    <w:p w14:paraId="4827BA31" w14:textId="77777777" w:rsidR="00802993" w:rsidRDefault="00802993" w:rsidP="00B64353">
      <w:pPr>
        <w:rPr>
          <w:lang w:eastAsia="zh-CN"/>
        </w:rPr>
      </w:pPr>
      <w:r>
        <w:rPr>
          <w:lang w:eastAsia="zh-CN"/>
        </w:rPr>
        <w:tab/>
      </w:r>
      <w:r>
        <w:rPr>
          <w:rFonts w:ascii="STKaiti" w:eastAsia="STKaiti" w:hAnsi="SimSun" w:hint="eastAsia"/>
          <w:lang w:eastAsia="zh-CN"/>
        </w:rPr>
        <w:t>忆及</w:t>
      </w:r>
      <w:r>
        <w:rPr>
          <w:rFonts w:hint="eastAsia"/>
          <w:lang w:eastAsia="zh-CN"/>
        </w:rPr>
        <w:t>一九六零年十二月十四日第</w:t>
      </w:r>
      <w:r>
        <w:rPr>
          <w:lang w:eastAsia="zh-CN"/>
        </w:rPr>
        <w:t>1514</w:t>
      </w:r>
      <w:r>
        <w:rPr>
          <w:rFonts w:hint="eastAsia"/>
          <w:lang w:eastAsia="zh-CN"/>
        </w:rPr>
        <w:t>号决议（第十五届大会）所载的准许殖民地国家及民族独立的宣言，</w:t>
      </w:r>
    </w:p>
    <w:p w14:paraId="4827BA32" w14:textId="77777777" w:rsidR="00802993" w:rsidRDefault="00802993" w:rsidP="00B64353">
      <w:pPr>
        <w:rPr>
          <w:lang w:eastAsia="zh-CN"/>
        </w:rPr>
      </w:pPr>
      <w:r>
        <w:rPr>
          <w:lang w:eastAsia="zh-CN"/>
        </w:rPr>
        <w:tab/>
      </w:r>
      <w:r>
        <w:rPr>
          <w:rFonts w:ascii="STKaiti" w:eastAsia="STKaiti" w:hAnsi="SimSun" w:hint="eastAsia"/>
          <w:lang w:eastAsia="zh-CN"/>
        </w:rPr>
        <w:t>忆及</w:t>
      </w:r>
      <w:r>
        <w:rPr>
          <w:rFonts w:hint="eastAsia"/>
          <w:lang w:eastAsia="zh-CN"/>
        </w:rPr>
        <w:t>大会一九六一年十一月二十七日第</w:t>
      </w:r>
      <w:r>
        <w:rPr>
          <w:lang w:eastAsia="zh-CN"/>
        </w:rPr>
        <w:t>1654</w:t>
      </w:r>
      <w:r>
        <w:rPr>
          <w:rFonts w:hint="eastAsia"/>
          <w:lang w:eastAsia="zh-CN"/>
        </w:rPr>
        <w:t>号决议（第十六届大会），一九六二年十二月十七日第</w:t>
      </w:r>
      <w:r>
        <w:rPr>
          <w:lang w:eastAsia="zh-CN"/>
        </w:rPr>
        <w:t>1810</w:t>
      </w:r>
      <w:r>
        <w:rPr>
          <w:rFonts w:hint="eastAsia"/>
          <w:lang w:eastAsia="zh-CN"/>
        </w:rPr>
        <w:t>号决议（第十七届大会），一九六三年十二月十一日第</w:t>
      </w:r>
      <w:r>
        <w:rPr>
          <w:lang w:eastAsia="zh-CN"/>
        </w:rPr>
        <w:t>1956</w:t>
      </w:r>
      <w:r>
        <w:rPr>
          <w:rFonts w:hint="eastAsia"/>
          <w:lang w:eastAsia="zh-CN"/>
        </w:rPr>
        <w:t>号决议（第十八届大会），一九六三年十二月十六日第</w:t>
      </w:r>
      <w:r>
        <w:rPr>
          <w:lang w:eastAsia="zh-CN"/>
        </w:rPr>
        <w:t>1970</w:t>
      </w:r>
      <w:r>
        <w:rPr>
          <w:rFonts w:hint="eastAsia"/>
          <w:lang w:eastAsia="zh-CN"/>
        </w:rPr>
        <w:t>号决议（第十八届大会），一九六五年十二月二十日第</w:t>
      </w:r>
      <w:r>
        <w:rPr>
          <w:lang w:eastAsia="zh-CN"/>
        </w:rPr>
        <w:t>2105</w:t>
      </w:r>
      <w:r>
        <w:rPr>
          <w:rFonts w:hint="eastAsia"/>
          <w:lang w:eastAsia="zh-CN"/>
        </w:rPr>
        <w:t>号决议（第二十届大会），一九六六年十二月十三日第</w:t>
      </w:r>
      <w:r>
        <w:rPr>
          <w:lang w:eastAsia="zh-CN"/>
        </w:rPr>
        <w:t>2189</w:t>
      </w:r>
      <w:r>
        <w:rPr>
          <w:rFonts w:hint="eastAsia"/>
          <w:lang w:eastAsia="zh-CN"/>
        </w:rPr>
        <w:t>号决议（第二十一届大会）及一九六七年十二月十六日第</w:t>
      </w:r>
      <w:r>
        <w:rPr>
          <w:lang w:eastAsia="zh-CN"/>
        </w:rPr>
        <w:t>2326</w:t>
      </w:r>
      <w:r>
        <w:rPr>
          <w:rFonts w:hint="eastAsia"/>
          <w:lang w:eastAsia="zh-CN"/>
        </w:rPr>
        <w:t>号决议（第二十二届大会），</w:t>
      </w:r>
    </w:p>
    <w:p w14:paraId="4827BA33" w14:textId="77777777" w:rsidR="00802993" w:rsidRDefault="00802993" w:rsidP="00B64353">
      <w:pPr>
        <w:rPr>
          <w:lang w:eastAsia="zh-CN"/>
        </w:rPr>
      </w:pPr>
      <w:r>
        <w:rPr>
          <w:lang w:eastAsia="zh-CN"/>
        </w:rPr>
        <w:tab/>
      </w:r>
      <w:r>
        <w:rPr>
          <w:rFonts w:ascii="STKaiti" w:eastAsia="STKaiti" w:hint="eastAsia"/>
          <w:lang w:eastAsia="zh-CN"/>
        </w:rPr>
        <w:t>同时忆及</w:t>
      </w:r>
      <w:r>
        <w:rPr>
          <w:rFonts w:hint="eastAsia"/>
          <w:lang w:eastAsia="zh-CN"/>
        </w:rPr>
        <w:t>大会就题为“在</w:t>
      </w:r>
      <w:r>
        <w:rPr>
          <w:rFonts w:ascii="SimSun" w:hint="eastAsia"/>
          <w:lang w:eastAsia="zh-CN"/>
        </w:rPr>
        <w:t>南罗得西亚、纳米比亚及葡萄牙统治下各领土以及所有其他殖民统治领土内妨害</w:t>
      </w:r>
      <w:r>
        <w:rPr>
          <w:rFonts w:hint="eastAsia"/>
          <w:lang w:eastAsia="zh-CN"/>
        </w:rPr>
        <w:t>准许殖民地国家及民族独立宣言的</w:t>
      </w:r>
      <w:r>
        <w:rPr>
          <w:rFonts w:ascii="SimSun" w:hint="eastAsia"/>
          <w:lang w:eastAsia="zh-CN"/>
        </w:rPr>
        <w:t>实施并在非洲南部妨碍消除殖民制度、种族隔离及种族歧视的努力的外国经济及其他势力的活动”的议项通过的</w:t>
      </w:r>
      <w:r>
        <w:rPr>
          <w:rFonts w:hint="eastAsia"/>
          <w:lang w:eastAsia="zh-CN"/>
        </w:rPr>
        <w:t>一九六七年十二月七日第</w:t>
      </w:r>
      <w:r>
        <w:rPr>
          <w:lang w:eastAsia="zh-CN"/>
        </w:rPr>
        <w:t>2288</w:t>
      </w:r>
      <w:r>
        <w:rPr>
          <w:rFonts w:hint="eastAsia"/>
          <w:lang w:eastAsia="zh-CN"/>
        </w:rPr>
        <w:t>号决议（第二十二届大会）及一九六八年十二月十八日第</w:t>
      </w:r>
      <w:r>
        <w:rPr>
          <w:lang w:eastAsia="zh-CN"/>
        </w:rPr>
        <w:t>2425</w:t>
      </w:r>
      <w:r>
        <w:rPr>
          <w:rFonts w:hint="eastAsia"/>
          <w:lang w:eastAsia="zh-CN"/>
        </w:rPr>
        <w:t>号决议（第二十三届大会），</w:t>
      </w:r>
    </w:p>
    <w:p w14:paraId="4827BA34" w14:textId="77777777" w:rsidR="00802993" w:rsidRDefault="00802993" w:rsidP="00B64353">
      <w:pPr>
        <w:rPr>
          <w:lang w:eastAsia="zh-CN"/>
        </w:rPr>
      </w:pPr>
      <w:r>
        <w:rPr>
          <w:lang w:eastAsia="zh-CN"/>
        </w:rPr>
        <w:tab/>
      </w:r>
      <w:r>
        <w:rPr>
          <w:rFonts w:ascii="STKaiti" w:eastAsia="STKaiti" w:hAnsi="SimSun" w:hint="eastAsia"/>
          <w:lang w:eastAsia="zh-CN"/>
        </w:rPr>
        <w:t>进一步忆及</w:t>
      </w:r>
      <w:r>
        <w:rPr>
          <w:rFonts w:hint="eastAsia"/>
          <w:lang w:eastAsia="zh-CN"/>
        </w:rPr>
        <w:t>大会就</w:t>
      </w:r>
      <w:r>
        <w:rPr>
          <w:rFonts w:ascii="SimSun" w:hAnsi="SimSun" w:hint="eastAsia"/>
          <w:lang w:eastAsia="zh-CN"/>
        </w:rPr>
        <w:t>各专门机构</w:t>
      </w:r>
      <w:r>
        <w:rPr>
          <w:rFonts w:hint="eastAsia"/>
          <w:lang w:eastAsia="zh-CN"/>
        </w:rPr>
        <w:t>及</w:t>
      </w:r>
      <w:r w:rsidRPr="00286A3C">
        <w:rPr>
          <w:rFonts w:hint="eastAsia"/>
          <w:szCs w:val="22"/>
          <w:lang w:eastAsia="zh-CN"/>
        </w:rPr>
        <w:t>与联合</w:t>
      </w:r>
      <w:r>
        <w:rPr>
          <w:rFonts w:hint="eastAsia"/>
          <w:lang w:eastAsia="zh-CN"/>
        </w:rPr>
        <w:t>国有联系的国际机构实施准许殖民地国家及民族独立宣言情况通过的一九六七年十二月十四日第</w:t>
      </w:r>
      <w:r>
        <w:rPr>
          <w:lang w:eastAsia="zh-CN"/>
        </w:rPr>
        <w:t>2311</w:t>
      </w:r>
      <w:r>
        <w:rPr>
          <w:rFonts w:hint="eastAsia"/>
          <w:lang w:eastAsia="zh-CN"/>
        </w:rPr>
        <w:t>号决议（第二十二届大会）及一九六八年十二月十八日第</w:t>
      </w:r>
      <w:r>
        <w:rPr>
          <w:lang w:eastAsia="zh-CN"/>
        </w:rPr>
        <w:t>2426</w:t>
      </w:r>
      <w:r>
        <w:rPr>
          <w:rFonts w:hint="eastAsia"/>
          <w:lang w:eastAsia="zh-CN"/>
        </w:rPr>
        <w:t>号决议（第二十三届大会）</w:t>
      </w:r>
    </w:p>
    <w:p w14:paraId="4827BA35" w14:textId="77777777" w:rsidR="00802993" w:rsidRDefault="00802993" w:rsidP="00B64353">
      <w:pPr>
        <w:rPr>
          <w:lang w:eastAsia="zh-CN"/>
        </w:rPr>
      </w:pPr>
      <w:r>
        <w:rPr>
          <w:rFonts w:eastAsia="STKaiti"/>
          <w:lang w:eastAsia="zh-CN"/>
        </w:rPr>
        <w:tab/>
      </w:r>
      <w:r>
        <w:rPr>
          <w:rFonts w:ascii="STKaiti" w:eastAsia="STKaiti" w:hAnsi="SimSun" w:hint="eastAsia"/>
          <w:lang w:eastAsia="zh-CN"/>
        </w:rPr>
        <w:t>考虑到</w:t>
      </w:r>
      <w:r>
        <w:rPr>
          <w:rFonts w:hint="eastAsia"/>
          <w:lang w:eastAsia="zh-CN"/>
        </w:rPr>
        <w:t>一九六八年四月二十二日至五月十三日在德黑兰举行的国际人权大会的最后</w:t>
      </w:r>
      <w:r>
        <w:rPr>
          <w:rFonts w:hint="eastAsia"/>
          <w:color w:val="000000"/>
          <w:lang w:eastAsia="zh-CN"/>
        </w:rPr>
        <w:t>文件，</w:t>
      </w:r>
    </w:p>
    <w:p w14:paraId="4827BA36" w14:textId="77777777" w:rsidR="00802993" w:rsidRDefault="00802993" w:rsidP="00B64353">
      <w:pPr>
        <w:rPr>
          <w:lang w:eastAsia="zh-CN"/>
        </w:rPr>
      </w:pPr>
      <w:r>
        <w:rPr>
          <w:lang w:eastAsia="zh-CN"/>
        </w:rPr>
        <w:tab/>
      </w:r>
      <w:r>
        <w:rPr>
          <w:rFonts w:ascii="STKaiti" w:eastAsia="STKaiti" w:hAnsi="SimSun" w:hint="eastAsia"/>
          <w:lang w:eastAsia="zh-CN"/>
        </w:rPr>
        <w:t>注意到并严重关注</w:t>
      </w:r>
      <w:r>
        <w:rPr>
          <w:rFonts w:hint="eastAsia"/>
          <w:lang w:eastAsia="zh-CN"/>
        </w:rPr>
        <w:t>宣言通过八年之后仍有许多领土处于殖民统治之下</w:t>
      </w:r>
      <w:r w:rsidRPr="00801E75">
        <w:rPr>
          <w:rFonts w:ascii="SimSun" w:hAnsi="SimSun" w:hint="eastAsia"/>
          <w:lang w:eastAsia="zh-CN"/>
        </w:rPr>
        <w:t>，</w:t>
      </w:r>
    </w:p>
    <w:p w14:paraId="4827BA37" w14:textId="77777777" w:rsidR="00802993" w:rsidRDefault="00802993" w:rsidP="00B64353">
      <w:pPr>
        <w:rPr>
          <w:lang w:eastAsia="zh-CN"/>
        </w:rPr>
      </w:pPr>
      <w:r>
        <w:rPr>
          <w:lang w:eastAsia="zh-CN"/>
        </w:rPr>
        <w:tab/>
      </w:r>
      <w:r>
        <w:rPr>
          <w:rFonts w:ascii="STKaiti" w:eastAsia="STKaiti" w:hAnsi="SimSun" w:hint="eastAsia"/>
          <w:lang w:eastAsia="zh-CN"/>
        </w:rPr>
        <w:t>强烈反对</w:t>
      </w:r>
      <w:r>
        <w:rPr>
          <w:rFonts w:hint="eastAsia"/>
          <w:lang w:eastAsia="zh-CN"/>
        </w:rPr>
        <w:t>若干殖民国家，尤其是葡萄牙及南非，拒不执行宣言及关于消除殖民主义问题的各项决议，尤其是关于葡萄牙统治下各领土、</w:t>
      </w:r>
      <w:r>
        <w:rPr>
          <w:rFonts w:ascii="SimSun" w:hAnsi="SimSun" w:hint="eastAsia"/>
          <w:lang w:eastAsia="zh-CN"/>
        </w:rPr>
        <w:t>南罗得西亚及纳米比亚的决议；并对在实施上述决议中不予以充分合作的各成员国的态度深表忧虑，</w:t>
      </w:r>
    </w:p>
    <w:p w14:paraId="4827BA38" w14:textId="77777777" w:rsidR="00802993" w:rsidRDefault="00802993" w:rsidP="00B64353">
      <w:pPr>
        <w:rPr>
          <w:lang w:eastAsia="zh-CN"/>
        </w:rPr>
      </w:pPr>
      <w:r>
        <w:rPr>
          <w:lang w:eastAsia="zh-CN"/>
        </w:rPr>
        <w:tab/>
      </w:r>
      <w:r>
        <w:rPr>
          <w:rFonts w:ascii="STKaiti" w:eastAsia="STKaiti" w:hAnsi="SimSun" w:hint="eastAsia"/>
          <w:lang w:eastAsia="zh-CN"/>
        </w:rPr>
        <w:t>铭记</w:t>
      </w:r>
      <w:r>
        <w:rPr>
          <w:rFonts w:hint="eastAsia"/>
          <w:lang w:eastAsia="zh-CN"/>
        </w:rPr>
        <w:t>殖民主义的继续存在及其种种表现，包括种族主义与</w:t>
      </w:r>
      <w:r>
        <w:rPr>
          <w:rFonts w:ascii="STKaiti" w:eastAsia="STKaiti" w:hAnsi="SimSun" w:hint="eastAsia"/>
          <w:lang w:eastAsia="zh-CN"/>
        </w:rPr>
        <w:t>种族隔离</w:t>
      </w:r>
      <w:r>
        <w:rPr>
          <w:rFonts w:ascii="SimSun" w:hAnsi="SimSun" w:hint="eastAsia"/>
          <w:lang w:eastAsia="zh-CN"/>
        </w:rPr>
        <w:t>，以及若干殖民国家对殖民地人民采取镇压行动以期抑制民族解放运动的企图，实为联合国宪章、世界人权宣言及</w:t>
      </w:r>
      <w:r>
        <w:rPr>
          <w:rFonts w:hint="eastAsia"/>
          <w:lang w:eastAsia="zh-CN"/>
        </w:rPr>
        <w:t>准许殖民地国家及民族独立的宣言所不容，</w:t>
      </w:r>
    </w:p>
    <w:p w14:paraId="4827BA39" w14:textId="77777777" w:rsidR="00802993" w:rsidRDefault="00802993" w:rsidP="00B64353">
      <w:pPr>
        <w:rPr>
          <w:rFonts w:ascii="SimSun" w:hAnsi="SimSun"/>
          <w:lang w:val="en-US" w:eastAsia="zh-CN"/>
        </w:rPr>
      </w:pPr>
      <w:r>
        <w:rPr>
          <w:lang w:eastAsia="zh-CN"/>
        </w:rPr>
        <w:tab/>
      </w:r>
      <w:r>
        <w:rPr>
          <w:rFonts w:ascii="STKaiti" w:eastAsia="STKaiti" w:hAnsi="SimSun" w:hint="eastAsia"/>
          <w:lang w:eastAsia="zh-CN"/>
        </w:rPr>
        <w:t>对</w:t>
      </w:r>
      <w:r>
        <w:rPr>
          <w:rFonts w:hint="eastAsia"/>
          <w:lang w:eastAsia="zh-CN"/>
        </w:rPr>
        <w:t>某些国家不顾安全理事会、大会及准许殖民地国家及人民独立宣言实施情况</w:t>
      </w:r>
      <w:r>
        <w:rPr>
          <w:rFonts w:ascii="SimSun" w:hAnsi="SimSun" w:hint="eastAsia"/>
          <w:lang w:eastAsia="zh-CN"/>
        </w:rPr>
        <w:t>特别委员会的各项有关决议，仍与继续镇压非洲人民的葡萄牙及南非政府以及南罗得西亚非法种族主义少数政权合作，表示愤慨，</w:t>
      </w:r>
    </w:p>
    <w:p w14:paraId="4827BA3A"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A3B" w14:textId="77777777" w:rsidR="00802993" w:rsidRDefault="00802993" w:rsidP="00B64353">
      <w:pPr>
        <w:rPr>
          <w:lang w:eastAsia="zh-CN"/>
        </w:rPr>
      </w:pPr>
      <w:r>
        <w:rPr>
          <w:lang w:eastAsia="zh-CN"/>
        </w:rPr>
        <w:lastRenderedPageBreak/>
        <w:tab/>
      </w:r>
      <w:r>
        <w:rPr>
          <w:rFonts w:eastAsia="STKaiti" w:hint="eastAsia"/>
          <w:lang w:eastAsia="zh-CN"/>
        </w:rPr>
        <w:t>对于</w:t>
      </w:r>
      <w:r>
        <w:rPr>
          <w:rFonts w:hint="eastAsia"/>
          <w:lang w:eastAsia="zh-CN"/>
        </w:rPr>
        <w:t>葡萄牙及南非两国政府与</w:t>
      </w:r>
      <w:r>
        <w:rPr>
          <w:rFonts w:ascii="SimSun" w:hAnsi="SimSun" w:hint="eastAsia"/>
          <w:lang w:eastAsia="zh-CN"/>
        </w:rPr>
        <w:t>南罗得西亚非法种族主义少数政权在非洲南部达成谅解的事态，</w:t>
      </w:r>
      <w:r>
        <w:rPr>
          <w:rFonts w:ascii="STKaiti" w:eastAsia="STKaiti" w:hAnsi="SimSun" w:hint="eastAsia"/>
          <w:lang w:eastAsia="zh-CN"/>
        </w:rPr>
        <w:t>深感忧虑</w:t>
      </w:r>
      <w:r>
        <w:rPr>
          <w:rFonts w:hint="eastAsia"/>
          <w:lang w:eastAsia="zh-CN"/>
        </w:rPr>
        <w:t>，这种活</w:t>
      </w:r>
      <w:r>
        <w:rPr>
          <w:rFonts w:ascii="SimSun" w:hAnsi="SimSun" w:hint="eastAsia"/>
          <w:lang w:eastAsia="zh-CN"/>
        </w:rPr>
        <w:t>动危及国际和平与安全，</w:t>
      </w:r>
    </w:p>
    <w:p w14:paraId="4827BA3C" w14:textId="77777777" w:rsidR="00802993" w:rsidRDefault="00802993" w:rsidP="00B64353">
      <w:pPr>
        <w:rPr>
          <w:lang w:eastAsia="zh-CN"/>
        </w:rPr>
      </w:pPr>
      <w:r>
        <w:rPr>
          <w:lang w:eastAsia="zh-CN"/>
        </w:rPr>
        <w:tab/>
      </w:r>
      <w:r>
        <w:rPr>
          <w:rFonts w:ascii="STKaiti" w:eastAsia="STKaiti" w:hAnsi="SimSun" w:hint="eastAsia"/>
          <w:lang w:eastAsia="zh-CN"/>
        </w:rPr>
        <w:t>深信</w:t>
      </w:r>
      <w:r>
        <w:rPr>
          <w:rFonts w:hint="eastAsia"/>
          <w:lang w:eastAsia="zh-CN"/>
        </w:rPr>
        <w:t>进一步拖延宣言的迅速有效实施，是国际纠纷与争执的根源，这些纠纷与争执严重妨碍国际合作并危及国际和平与安全，</w:t>
      </w:r>
    </w:p>
    <w:p w14:paraId="4827BA3D" w14:textId="77777777" w:rsidR="00802993" w:rsidRDefault="00802993" w:rsidP="00B64353">
      <w:pPr>
        <w:rPr>
          <w:lang w:eastAsia="zh-CN"/>
        </w:rPr>
      </w:pPr>
      <w:r>
        <w:rPr>
          <w:lang w:eastAsia="zh-CN"/>
        </w:rPr>
        <w:tab/>
      </w:r>
      <w:r>
        <w:rPr>
          <w:rFonts w:ascii="STKaiti" w:eastAsia="STKaiti" w:hAnsi="SimSun" w:hint="eastAsia"/>
          <w:lang w:eastAsia="zh-CN"/>
        </w:rPr>
        <w:t>再次强调</w:t>
      </w:r>
      <w:r>
        <w:rPr>
          <w:rFonts w:hint="eastAsia"/>
          <w:lang w:eastAsia="zh-CN"/>
        </w:rPr>
        <w:t>需要继续大规模宣传联合国在消除殖民主义方面的工作、各殖民地的情况以及殖民地人民正在继续进行的解放斗争，</w:t>
      </w:r>
    </w:p>
    <w:p w14:paraId="4827BA3E" w14:textId="77777777" w:rsidR="00802993" w:rsidRDefault="00802993" w:rsidP="00B64353">
      <w:pPr>
        <w:rPr>
          <w:lang w:eastAsia="zh-CN"/>
        </w:rPr>
      </w:pPr>
      <w:r>
        <w:rPr>
          <w:lang w:eastAsia="zh-CN"/>
        </w:rPr>
        <w:tab/>
      </w:r>
      <w:r>
        <w:rPr>
          <w:rFonts w:ascii="STKaiti" w:eastAsia="STKaiti" w:hAnsi="SimSun" w:hint="eastAsia"/>
          <w:lang w:eastAsia="zh-CN"/>
        </w:rPr>
        <w:t>忆及</w:t>
      </w:r>
      <w:r>
        <w:rPr>
          <w:rFonts w:hint="eastAsia"/>
          <w:lang w:eastAsia="zh-CN"/>
        </w:rPr>
        <w:t>一九七零年将为通过宣言的十周年，</w:t>
      </w:r>
    </w:p>
    <w:p w14:paraId="4827BA3F" w14:textId="77777777" w:rsidR="00802993" w:rsidRDefault="00802993" w:rsidP="00B64353">
      <w:pPr>
        <w:rPr>
          <w:lang w:eastAsia="zh-CN"/>
        </w:rPr>
      </w:pPr>
      <w:r>
        <w:rPr>
          <w:lang w:eastAsia="zh-CN"/>
        </w:rPr>
        <w:t>1</w:t>
      </w:r>
      <w:r w:rsidR="00E04370">
        <w:rPr>
          <w:lang w:eastAsia="zh-CN"/>
        </w:rPr>
        <w:tab/>
      </w:r>
      <w:r>
        <w:rPr>
          <w:rFonts w:ascii="STKaiti" w:eastAsia="STKaiti" w:hAnsi="SimSun" w:hint="eastAsia"/>
          <w:lang w:eastAsia="zh-CN"/>
        </w:rPr>
        <w:t>重申</w:t>
      </w:r>
      <w:r>
        <w:rPr>
          <w:rFonts w:hint="eastAsia"/>
          <w:lang w:eastAsia="zh-CN"/>
        </w:rPr>
        <w:t>大会第</w:t>
      </w:r>
      <w:r>
        <w:rPr>
          <w:lang w:eastAsia="zh-CN"/>
        </w:rPr>
        <w:t>1514</w:t>
      </w:r>
      <w:r>
        <w:rPr>
          <w:rFonts w:hint="eastAsia"/>
          <w:lang w:eastAsia="zh-CN"/>
        </w:rPr>
        <w:t>号决议（第十五届大会）及所有其他关于消除殖民主义问题的决议；</w:t>
      </w:r>
    </w:p>
    <w:p w14:paraId="4827BA40" w14:textId="77777777" w:rsidR="00802993" w:rsidRDefault="00802993" w:rsidP="00B64353">
      <w:pPr>
        <w:rPr>
          <w:lang w:eastAsia="zh-CN"/>
        </w:rPr>
      </w:pPr>
      <w:r>
        <w:rPr>
          <w:lang w:eastAsia="zh-CN"/>
        </w:rPr>
        <w:t>2</w:t>
      </w:r>
      <w:r w:rsidR="00E04370">
        <w:rPr>
          <w:lang w:eastAsia="zh-CN"/>
        </w:rPr>
        <w:tab/>
      </w:r>
      <w:r>
        <w:rPr>
          <w:rFonts w:ascii="STKaiti" w:eastAsia="STKaiti" w:hAnsi="SimSun" w:hint="eastAsia"/>
          <w:lang w:eastAsia="zh-CN"/>
        </w:rPr>
        <w:t>满意地注意到</w:t>
      </w:r>
      <w:r>
        <w:rPr>
          <w:rFonts w:hint="eastAsia"/>
          <w:lang w:eastAsia="zh-CN"/>
        </w:rPr>
        <w:t>准许殖民地国家及民族独立宣言实施情况</w:t>
      </w:r>
      <w:r>
        <w:rPr>
          <w:rFonts w:ascii="SimSun" w:hAnsi="SimSun" w:hint="eastAsia"/>
          <w:lang w:eastAsia="zh-CN"/>
        </w:rPr>
        <w:t>特别委员会所完成的工作，并对特别委员会为确保彻底有效实施宣言而作的努力，表示赞赏；</w:t>
      </w:r>
    </w:p>
    <w:p w14:paraId="4827BA41" w14:textId="77777777" w:rsidR="00802993" w:rsidRDefault="00802993" w:rsidP="00B64353">
      <w:pPr>
        <w:rPr>
          <w:lang w:eastAsia="zh-CN"/>
        </w:rPr>
      </w:pPr>
      <w:r>
        <w:rPr>
          <w:lang w:eastAsia="zh-CN"/>
        </w:rPr>
        <w:t>3</w:t>
      </w:r>
      <w:r w:rsidR="00E04370">
        <w:rPr>
          <w:lang w:eastAsia="zh-CN"/>
        </w:rPr>
        <w:tab/>
      </w:r>
      <w:r>
        <w:rPr>
          <w:rFonts w:ascii="STKaiti" w:eastAsia="STKaiti" w:hAnsi="SimSun" w:hint="eastAsia"/>
          <w:lang w:eastAsia="zh-CN"/>
        </w:rPr>
        <w:t>批准</w:t>
      </w:r>
      <w:r>
        <w:rPr>
          <w:rFonts w:ascii="SimSun" w:hAnsi="SimSun" w:hint="eastAsia"/>
          <w:lang w:eastAsia="zh-CN"/>
        </w:rPr>
        <w:t>特别委员会</w:t>
      </w:r>
      <w:r>
        <w:rPr>
          <w:rFonts w:hint="eastAsia"/>
          <w:lang w:eastAsia="zh-CN"/>
        </w:rPr>
        <w:t>一九六八年工作报告及其所拟定的委员会一九六九年工作计划；敦促各管理国家将该报告中为迅速实施宣言及联合国有关决议案而提出的各项建议付诸实施；</w:t>
      </w:r>
    </w:p>
    <w:p w14:paraId="4827BA42" w14:textId="77777777" w:rsidR="00802993" w:rsidRDefault="00802993" w:rsidP="00B64353">
      <w:pPr>
        <w:rPr>
          <w:lang w:eastAsia="zh-CN"/>
        </w:rPr>
      </w:pPr>
      <w:r>
        <w:rPr>
          <w:lang w:eastAsia="zh-CN"/>
        </w:rPr>
        <w:t>4</w:t>
      </w:r>
      <w:r w:rsidR="00E04370">
        <w:rPr>
          <w:lang w:eastAsia="zh-CN"/>
        </w:rPr>
        <w:tab/>
      </w:r>
      <w:r>
        <w:rPr>
          <w:rFonts w:ascii="STKaiti" w:eastAsia="STKaiti" w:hAnsi="SimSun" w:hint="eastAsia"/>
          <w:lang w:eastAsia="zh-CN"/>
        </w:rPr>
        <w:t>重申</w:t>
      </w:r>
      <w:r>
        <w:rPr>
          <w:rFonts w:hint="eastAsia"/>
          <w:lang w:eastAsia="zh-CN"/>
        </w:rPr>
        <w:t>其宣言如下：殖民统治的继续存在威胁国际和平与安全，</w:t>
      </w:r>
      <w:r>
        <w:rPr>
          <w:rFonts w:ascii="STKaiti" w:eastAsia="STKaiti" w:hAnsi="SimSun" w:hint="eastAsia"/>
          <w:lang w:eastAsia="zh-CN"/>
        </w:rPr>
        <w:t>种族隔离</w:t>
      </w:r>
      <w:r>
        <w:rPr>
          <w:rFonts w:ascii="SimSun" w:hAnsi="SimSun" w:hint="eastAsia"/>
          <w:lang w:eastAsia="zh-CN"/>
        </w:rPr>
        <w:t>及各种形式的种族歧视均构成危害人类之罪行；</w:t>
      </w:r>
    </w:p>
    <w:p w14:paraId="4827BA43" w14:textId="77777777" w:rsidR="00802993" w:rsidRDefault="00802993" w:rsidP="00B64353">
      <w:pPr>
        <w:rPr>
          <w:lang w:eastAsia="zh-CN"/>
        </w:rPr>
      </w:pPr>
      <w:r>
        <w:rPr>
          <w:lang w:eastAsia="zh-CN"/>
        </w:rPr>
        <w:t>5</w:t>
      </w:r>
      <w:r w:rsidR="00E04370">
        <w:rPr>
          <w:lang w:eastAsia="zh-CN"/>
        </w:rPr>
        <w:tab/>
      </w:r>
      <w:r>
        <w:rPr>
          <w:rFonts w:ascii="STKaiti" w:eastAsia="STKaiti" w:hAnsi="SimSun" w:hint="eastAsia"/>
          <w:lang w:eastAsia="zh-CN"/>
        </w:rPr>
        <w:t>重申</w:t>
      </w:r>
      <w:r>
        <w:rPr>
          <w:rFonts w:hint="eastAsia"/>
          <w:lang w:eastAsia="zh-CN"/>
        </w:rPr>
        <w:t>承认殖民地人民为行使自决与独立权利所作的斗争为合法斗争，并满意地注意到民族解放运动组织通过自己的斗争和重建方案，在殖民地内取得进展，并敦促各国为它们提供道义及物质援助；</w:t>
      </w:r>
    </w:p>
    <w:p w14:paraId="4827BA44" w14:textId="77777777" w:rsidR="00802993" w:rsidRDefault="00802993" w:rsidP="00B64353">
      <w:pPr>
        <w:rPr>
          <w:lang w:eastAsia="zh-CN"/>
        </w:rPr>
      </w:pPr>
      <w:r>
        <w:rPr>
          <w:lang w:eastAsia="zh-CN"/>
        </w:rPr>
        <w:t>6</w:t>
      </w:r>
      <w:r w:rsidR="00E04370">
        <w:rPr>
          <w:lang w:eastAsia="zh-CN"/>
        </w:rPr>
        <w:tab/>
      </w:r>
      <w:r>
        <w:rPr>
          <w:rFonts w:ascii="STKaiti" w:eastAsia="STKaiti" w:hAnsi="SimSun" w:hint="eastAsia"/>
          <w:lang w:eastAsia="zh-CN"/>
        </w:rPr>
        <w:t>敦促</w:t>
      </w:r>
      <w:r>
        <w:rPr>
          <w:rFonts w:hint="eastAsia"/>
          <w:lang w:eastAsia="zh-CN"/>
        </w:rPr>
        <w:t>各国严格遵守大会及安全理事会各项有关殖民地的决议条款，尤其对各该殖民地人民为实现自由与独立所作的合法斗争，给予必要的道义、政治及物质支持；</w:t>
      </w:r>
    </w:p>
    <w:p w14:paraId="4827BA45" w14:textId="77777777" w:rsidR="00802993" w:rsidRDefault="00802993" w:rsidP="00B64353">
      <w:pPr>
        <w:rPr>
          <w:lang w:eastAsia="zh-CN"/>
        </w:rPr>
      </w:pPr>
      <w:r>
        <w:rPr>
          <w:lang w:eastAsia="zh-CN"/>
        </w:rPr>
        <w:t>7</w:t>
      </w:r>
      <w:r w:rsidR="00E04370">
        <w:rPr>
          <w:lang w:eastAsia="zh-CN"/>
        </w:rPr>
        <w:tab/>
      </w:r>
      <w:r>
        <w:rPr>
          <w:rFonts w:ascii="STKaiti" w:eastAsia="STKaiti" w:hAnsi="SimSun" w:hint="eastAsia"/>
          <w:lang w:eastAsia="zh-CN"/>
        </w:rPr>
        <w:t>要求</w:t>
      </w:r>
      <w:r>
        <w:rPr>
          <w:rFonts w:hint="eastAsia"/>
          <w:lang w:eastAsia="zh-CN"/>
        </w:rPr>
        <w:t>各国</w:t>
      </w:r>
      <w:r>
        <w:rPr>
          <w:rFonts w:ascii="SimSun" w:hAnsi="SimSun" w:hint="eastAsia"/>
          <w:lang w:eastAsia="zh-CN"/>
        </w:rPr>
        <w:t>、各专门机构</w:t>
      </w:r>
      <w:r>
        <w:rPr>
          <w:rFonts w:hint="eastAsia"/>
          <w:lang w:eastAsia="zh-CN"/>
        </w:rPr>
        <w:t>及国际机构在葡萄牙及南非两国以及</w:t>
      </w:r>
      <w:r>
        <w:rPr>
          <w:rFonts w:ascii="SimSun" w:hAnsi="SimSun" w:hint="eastAsia"/>
          <w:lang w:eastAsia="zh-CN"/>
        </w:rPr>
        <w:t>南罗得西亚非法种族主义少数政权放弃其殖民主义统治及种族歧视以前，不再予以其任何形式的援助；</w:t>
      </w:r>
    </w:p>
    <w:p w14:paraId="4827BA46" w14:textId="77777777" w:rsidR="00802993" w:rsidRDefault="00802993" w:rsidP="00B64353">
      <w:pPr>
        <w:rPr>
          <w:lang w:eastAsia="zh-CN"/>
        </w:rPr>
      </w:pPr>
      <w:r>
        <w:rPr>
          <w:lang w:eastAsia="zh-CN"/>
        </w:rPr>
        <w:t>8</w:t>
      </w:r>
      <w:r w:rsidR="00E04370">
        <w:rPr>
          <w:lang w:eastAsia="zh-CN"/>
        </w:rPr>
        <w:tab/>
      </w:r>
      <w:r>
        <w:rPr>
          <w:rFonts w:ascii="STKaiti" w:eastAsia="STKaiti" w:hAnsi="SimSun" w:hint="eastAsia"/>
          <w:lang w:eastAsia="zh-CN"/>
        </w:rPr>
        <w:t>宣告</w:t>
      </w:r>
      <w:r>
        <w:rPr>
          <w:rFonts w:hint="eastAsia"/>
          <w:lang w:eastAsia="zh-CN"/>
        </w:rPr>
        <w:t>以雇佣军镇压民族解放及独立运动系犯罪行为，各雇佣军应为不受法律保护的罪犯，并呼吁各国政府制订法律，宣告在其领土内征募、资助及训练雇佣军系一种刑事犯罪，并禁止其公民参加雇佣军；</w:t>
      </w:r>
    </w:p>
    <w:p w14:paraId="4827BA47" w14:textId="77777777" w:rsidR="00802993" w:rsidRDefault="00802993" w:rsidP="00B64353">
      <w:pPr>
        <w:rPr>
          <w:lang w:eastAsia="zh-CN"/>
        </w:rPr>
      </w:pPr>
      <w:r>
        <w:rPr>
          <w:lang w:eastAsia="zh-CN"/>
        </w:rPr>
        <w:t>9</w:t>
      </w:r>
      <w:r w:rsidR="00E04370">
        <w:rPr>
          <w:lang w:eastAsia="zh-CN"/>
        </w:rPr>
        <w:tab/>
      </w:r>
      <w:r>
        <w:rPr>
          <w:rFonts w:ascii="STKaiti" w:eastAsia="STKaiti" w:hAnsi="SimSun" w:hint="eastAsia"/>
          <w:lang w:eastAsia="zh-CN"/>
        </w:rPr>
        <w:t>要求</w:t>
      </w:r>
      <w:r>
        <w:rPr>
          <w:rFonts w:hint="eastAsia"/>
          <w:lang w:eastAsia="zh-CN"/>
        </w:rPr>
        <w:t>殖民国家拆除其在殖民领土内的军事基地及设备并不建立新基地及设备，亦不利用现仍存在的基地及设备以干涉殖民地领土内人民为行使其享受自由及独立的正当权利所从事的解放运动；</w:t>
      </w:r>
    </w:p>
    <w:p w14:paraId="4827BA48"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A49" w14:textId="77777777" w:rsidR="00802993" w:rsidRDefault="00802993" w:rsidP="00B64353">
      <w:pPr>
        <w:rPr>
          <w:lang w:val="en-US" w:eastAsia="zh-CN"/>
        </w:rPr>
      </w:pPr>
      <w:r>
        <w:rPr>
          <w:lang w:eastAsia="zh-CN"/>
        </w:rPr>
        <w:lastRenderedPageBreak/>
        <w:t>10</w:t>
      </w:r>
      <w:r w:rsidR="00E04370">
        <w:rPr>
          <w:lang w:eastAsia="zh-CN"/>
        </w:rPr>
        <w:tab/>
      </w:r>
      <w:r>
        <w:rPr>
          <w:rFonts w:ascii="STKaiti" w:eastAsia="STKaiti" w:hAnsi="SimSun" w:hint="eastAsia"/>
          <w:lang w:eastAsia="zh-CN"/>
        </w:rPr>
        <w:t>再次谴责</w:t>
      </w:r>
      <w:r>
        <w:rPr>
          <w:rFonts w:hint="eastAsia"/>
          <w:lang w:eastAsia="zh-CN"/>
        </w:rPr>
        <w:t>某些殖民国家在其统治领土内所采取强迫建立不代表人民的政权及实施不代表人民的宪法，加强外国经济及其他利益地位，欺骗世界舆论，及鼓励外国移民有系统的流入，同时使原住民失所，并将之驱除出境并转移到其他地方的种种政策，并敦促各该国家不再玩弄此类伎俩；</w:t>
      </w:r>
    </w:p>
    <w:p w14:paraId="4827BA4A" w14:textId="77777777" w:rsidR="00802993" w:rsidRDefault="00802993" w:rsidP="00B64353">
      <w:pPr>
        <w:rPr>
          <w:lang w:eastAsia="zh-CN"/>
        </w:rPr>
      </w:pPr>
      <w:r>
        <w:rPr>
          <w:lang w:eastAsia="zh-CN"/>
        </w:rPr>
        <w:t>11</w:t>
      </w:r>
      <w:r w:rsidR="00E04370">
        <w:rPr>
          <w:lang w:eastAsia="zh-CN"/>
        </w:rPr>
        <w:tab/>
      </w:r>
      <w:r>
        <w:rPr>
          <w:rFonts w:ascii="STKaiti" w:eastAsia="STKaiti" w:hAnsi="SimSun" w:hint="eastAsia"/>
          <w:lang w:eastAsia="zh-CN"/>
        </w:rPr>
        <w:t>要求</w:t>
      </w:r>
      <w:r>
        <w:rPr>
          <w:rFonts w:ascii="SimSun" w:hAnsi="SimSun" w:hint="eastAsia"/>
          <w:lang w:eastAsia="zh-CN"/>
        </w:rPr>
        <w:t>特别委员会继续执行任务并寻求在尚未实现独立的各领土内立即充分实施该宣言的适当方法；</w:t>
      </w:r>
    </w:p>
    <w:p w14:paraId="4827BA4B" w14:textId="77777777" w:rsidR="00802993" w:rsidRDefault="00802993" w:rsidP="00B64353">
      <w:pPr>
        <w:rPr>
          <w:lang w:eastAsia="zh-CN"/>
        </w:rPr>
      </w:pPr>
      <w:r>
        <w:rPr>
          <w:lang w:eastAsia="zh-CN"/>
        </w:rPr>
        <w:t>12</w:t>
      </w:r>
      <w:r w:rsidR="00E04370">
        <w:rPr>
          <w:lang w:eastAsia="zh-CN"/>
        </w:rPr>
        <w:tab/>
      </w:r>
      <w:r>
        <w:rPr>
          <w:rFonts w:ascii="STKaiti" w:eastAsia="STKaiti" w:hAnsi="SimSun" w:hint="eastAsia"/>
          <w:lang w:eastAsia="zh-CN"/>
        </w:rPr>
        <w:t>要求</w:t>
      </w:r>
      <w:r>
        <w:rPr>
          <w:rFonts w:ascii="SimSun" w:hAnsi="SimSun" w:hint="eastAsia"/>
          <w:lang w:eastAsia="zh-CN"/>
        </w:rPr>
        <w:t>特别委员会</w:t>
      </w:r>
      <w:r>
        <w:rPr>
          <w:rFonts w:hint="eastAsia"/>
          <w:lang w:eastAsia="zh-CN"/>
        </w:rPr>
        <w:t>提出具体建议以协助安全理事会考虑对于各殖民地内足以威胁国际和平与安全的发展情况采用符合联合国宪章的适当措施，并建议理事会充分考虑此类建议；</w:t>
      </w:r>
    </w:p>
    <w:p w14:paraId="4827BA4C" w14:textId="77777777" w:rsidR="00802993" w:rsidRDefault="00802993" w:rsidP="00B64353">
      <w:pPr>
        <w:rPr>
          <w:lang w:eastAsia="zh-CN"/>
        </w:rPr>
      </w:pPr>
      <w:r>
        <w:rPr>
          <w:lang w:eastAsia="zh-CN"/>
        </w:rPr>
        <w:t>13</w:t>
      </w:r>
      <w:r w:rsidR="00E04370">
        <w:rPr>
          <w:lang w:eastAsia="zh-CN"/>
        </w:rPr>
        <w:tab/>
      </w:r>
      <w:r>
        <w:rPr>
          <w:rFonts w:ascii="STKaiti" w:eastAsia="STKaiti" w:hAnsi="SimSun" w:hint="eastAsia"/>
          <w:lang w:eastAsia="zh-CN"/>
        </w:rPr>
        <w:t>要求</w:t>
      </w:r>
      <w:r>
        <w:rPr>
          <w:rFonts w:ascii="SimSun" w:hAnsi="SimSun" w:hint="eastAsia"/>
          <w:lang w:eastAsia="zh-CN"/>
        </w:rPr>
        <w:t>特别委员会继续审查</w:t>
      </w:r>
      <w:r>
        <w:rPr>
          <w:rFonts w:hint="eastAsia"/>
          <w:lang w:eastAsia="zh-CN"/>
        </w:rPr>
        <w:t>成员国遵守该宣言及关于消除殖民主义问题的其他有关决议的情况，特别是遵守有关</w:t>
      </w:r>
      <w:r>
        <w:rPr>
          <w:rFonts w:ascii="SimSun" w:hAnsi="SimSun" w:hint="eastAsia"/>
          <w:lang w:eastAsia="zh-CN"/>
        </w:rPr>
        <w:t>葡萄牙统治下各领土、南罗得西亚以及纳米比亚的各决议的情况，并向第二十四届大会提出报告；</w:t>
      </w:r>
    </w:p>
    <w:p w14:paraId="4827BA4D" w14:textId="77777777" w:rsidR="00802993" w:rsidRDefault="00802993" w:rsidP="00B64353">
      <w:pPr>
        <w:rPr>
          <w:lang w:eastAsia="zh-CN"/>
        </w:rPr>
      </w:pPr>
      <w:r>
        <w:rPr>
          <w:lang w:eastAsia="zh-CN"/>
        </w:rPr>
        <w:t>14</w:t>
      </w:r>
      <w:r w:rsidR="00E04370">
        <w:rPr>
          <w:lang w:eastAsia="zh-CN"/>
        </w:rPr>
        <w:tab/>
      </w:r>
      <w:r>
        <w:rPr>
          <w:rFonts w:ascii="STKaiti" w:eastAsia="STKaiti" w:hAnsi="SimSun" w:hint="eastAsia"/>
          <w:lang w:eastAsia="zh-CN"/>
        </w:rPr>
        <w:t>要求</w:t>
      </w:r>
      <w:r>
        <w:rPr>
          <w:rFonts w:ascii="SimSun" w:hAnsi="SimSun" w:hint="eastAsia"/>
          <w:lang w:eastAsia="zh-CN"/>
        </w:rPr>
        <w:t>特别委员会继续审查</w:t>
      </w:r>
      <w:r>
        <w:rPr>
          <w:rFonts w:hint="eastAsia"/>
          <w:lang w:eastAsia="zh-CN"/>
        </w:rPr>
        <w:t>成员国遵守该宣言及关于消除殖民主义问题的其他有关决议的情况，特别是遵守有关</w:t>
      </w:r>
      <w:r>
        <w:rPr>
          <w:rFonts w:ascii="SimSun" w:hAnsi="SimSun" w:hint="eastAsia"/>
          <w:lang w:eastAsia="zh-CN"/>
        </w:rPr>
        <w:t>葡萄牙统治下各领土、南罗得西亚以及纳米比亚的各决议的情况，并向第二十四届大会提出报告；</w:t>
      </w:r>
    </w:p>
    <w:p w14:paraId="4827BA4E" w14:textId="77777777" w:rsidR="00802993" w:rsidRDefault="00802993" w:rsidP="00B64353">
      <w:pPr>
        <w:rPr>
          <w:lang w:eastAsia="zh-CN"/>
        </w:rPr>
      </w:pPr>
      <w:r>
        <w:rPr>
          <w:lang w:eastAsia="zh-CN"/>
        </w:rPr>
        <w:t>15</w:t>
      </w:r>
      <w:r w:rsidR="00E04370">
        <w:rPr>
          <w:lang w:eastAsia="zh-CN"/>
        </w:rPr>
        <w:tab/>
      </w:r>
      <w:r>
        <w:rPr>
          <w:rFonts w:ascii="STKaiti" w:eastAsia="STKaiti" w:hAnsi="SimSun" w:hint="eastAsia"/>
          <w:lang w:eastAsia="zh-CN"/>
        </w:rPr>
        <w:t>敦促</w:t>
      </w:r>
      <w:r>
        <w:rPr>
          <w:rFonts w:hint="eastAsia"/>
          <w:lang w:eastAsia="zh-CN"/>
        </w:rPr>
        <w:t>管理国家与</w:t>
      </w:r>
      <w:r>
        <w:rPr>
          <w:rFonts w:ascii="SimSun" w:hAnsi="SimSun" w:hint="eastAsia"/>
          <w:lang w:eastAsia="zh-CN"/>
        </w:rPr>
        <w:t>特别委员会合作，准许视察团依据大会及特别委员会</w:t>
      </w:r>
      <w:r>
        <w:rPr>
          <w:rFonts w:hint="eastAsia"/>
          <w:lang w:eastAsia="zh-CN"/>
        </w:rPr>
        <w:t>以往所作的决定进入各殖民地领土；</w:t>
      </w:r>
    </w:p>
    <w:p w14:paraId="4827BA4F" w14:textId="77777777" w:rsidR="00802993" w:rsidRDefault="00802993" w:rsidP="00B64353">
      <w:pPr>
        <w:rPr>
          <w:lang w:eastAsia="zh-CN"/>
        </w:rPr>
      </w:pPr>
      <w:r>
        <w:rPr>
          <w:lang w:eastAsia="zh-CN"/>
        </w:rPr>
        <w:t>16</w:t>
      </w:r>
      <w:r w:rsidR="00E04370">
        <w:rPr>
          <w:lang w:eastAsia="zh-CN"/>
        </w:rPr>
        <w:tab/>
      </w:r>
      <w:r>
        <w:rPr>
          <w:rFonts w:ascii="STKaiti" w:eastAsia="STKaiti" w:hAnsi="SimSun" w:hint="eastAsia"/>
          <w:lang w:eastAsia="zh-CN"/>
        </w:rPr>
        <w:t>作出议定</w:t>
      </w:r>
      <w:r>
        <w:rPr>
          <w:rFonts w:hint="eastAsia"/>
          <w:lang w:eastAsia="zh-CN"/>
        </w:rPr>
        <w:t>设立准许殖民地国家及民族独立宣言发表第十周年纪念筹备委员会，由</w:t>
      </w:r>
      <w:r>
        <w:rPr>
          <w:rFonts w:ascii="SimSun" w:hAnsi="SimSun" w:hint="eastAsia"/>
          <w:lang w:eastAsia="zh-CN"/>
        </w:rPr>
        <w:t>特别委员会委员及大会主席商同特别委员会主席指派的其他六名委员组成，并要求该委员会拟订一项纪念该宣言通过十周年的特别活动方案，以找到其他加速实现宣言目标的方法，并向第二十四届大会作出报告；</w:t>
      </w:r>
    </w:p>
    <w:p w14:paraId="4827BA50" w14:textId="77777777" w:rsidR="00802993" w:rsidRDefault="00802993" w:rsidP="00B64353">
      <w:pPr>
        <w:rPr>
          <w:lang w:eastAsia="zh-CN"/>
        </w:rPr>
      </w:pPr>
      <w:r>
        <w:rPr>
          <w:lang w:eastAsia="zh-CN"/>
        </w:rPr>
        <w:t>17</w:t>
      </w:r>
      <w:r w:rsidR="00E04370">
        <w:rPr>
          <w:lang w:eastAsia="zh-CN"/>
        </w:rPr>
        <w:tab/>
      </w:r>
      <w:r>
        <w:rPr>
          <w:rFonts w:ascii="STKaiti" w:eastAsia="STKaiti" w:hAnsi="SimSun" w:hint="eastAsia"/>
          <w:lang w:eastAsia="zh-CN"/>
        </w:rPr>
        <w:t>要求</w:t>
      </w:r>
      <w:r>
        <w:rPr>
          <w:rFonts w:hint="eastAsia"/>
          <w:lang w:eastAsia="zh-CN"/>
        </w:rPr>
        <w:t>秘书长考虑</w:t>
      </w:r>
      <w:r>
        <w:rPr>
          <w:rFonts w:ascii="SimSun" w:hAnsi="SimSun" w:hint="eastAsia"/>
          <w:lang w:eastAsia="zh-CN"/>
        </w:rPr>
        <w:t>特别委员会的建议，通过由其支配的各种媒介，包括出版物，广播及电视，采取具体措施，将联合国在</w:t>
      </w:r>
      <w:r>
        <w:rPr>
          <w:rFonts w:hint="eastAsia"/>
          <w:lang w:eastAsia="zh-CN"/>
        </w:rPr>
        <w:t>消除殖民主义方面的工作，各殖民领土的情况以及殖民地人民正在继续进行的解放斗争，予以广泛和持续不断的宣传；</w:t>
      </w:r>
    </w:p>
    <w:p w14:paraId="4827BA51" w14:textId="77777777" w:rsidR="00802993" w:rsidRDefault="00802993" w:rsidP="00B64353">
      <w:pPr>
        <w:rPr>
          <w:lang w:eastAsia="zh-CN"/>
        </w:rPr>
      </w:pPr>
      <w:r>
        <w:rPr>
          <w:lang w:eastAsia="zh-CN"/>
        </w:rPr>
        <w:t>18</w:t>
      </w:r>
      <w:r w:rsidR="00E04370">
        <w:rPr>
          <w:lang w:eastAsia="zh-CN"/>
        </w:rPr>
        <w:tab/>
      </w:r>
      <w:r>
        <w:rPr>
          <w:rFonts w:ascii="STKaiti" w:eastAsia="STKaiti" w:hAnsi="SimSun" w:hint="eastAsia"/>
          <w:lang w:eastAsia="zh-CN"/>
        </w:rPr>
        <w:t>要求</w:t>
      </w:r>
      <w:r>
        <w:rPr>
          <w:rFonts w:hint="eastAsia"/>
          <w:lang w:eastAsia="zh-CN"/>
        </w:rPr>
        <w:t>管理国家与秘书长合作，促进大规模传播关于联合国实施宣言工作方面的信息；</w:t>
      </w:r>
    </w:p>
    <w:p w14:paraId="4827BA52" w14:textId="77777777" w:rsidR="00F11D1D" w:rsidRPr="00D746C3" w:rsidRDefault="00802993" w:rsidP="00B64353">
      <w:pPr>
        <w:rPr>
          <w:lang w:eastAsia="zh-CN"/>
        </w:rPr>
      </w:pPr>
      <w:r>
        <w:rPr>
          <w:lang w:eastAsia="zh-CN"/>
        </w:rPr>
        <w:t>19</w:t>
      </w:r>
      <w:r w:rsidR="00E04370">
        <w:rPr>
          <w:lang w:eastAsia="zh-CN"/>
        </w:rPr>
        <w:tab/>
      </w:r>
      <w:r>
        <w:rPr>
          <w:rFonts w:ascii="STKaiti" w:eastAsia="STKaiti" w:hAnsi="SimSun" w:hint="eastAsia"/>
          <w:lang w:eastAsia="zh-CN"/>
        </w:rPr>
        <w:t>要求</w:t>
      </w:r>
      <w:r>
        <w:rPr>
          <w:rFonts w:hint="eastAsia"/>
          <w:lang w:eastAsia="zh-CN"/>
        </w:rPr>
        <w:t>秘书长提供实施本决议所需的一切便利条件。</w:t>
      </w:r>
    </w:p>
    <w:p w14:paraId="4827BA53" w14:textId="77777777" w:rsidR="0002090F" w:rsidRPr="00781F81" w:rsidRDefault="0002090F" w:rsidP="0002090F">
      <w:pPr>
        <w:pStyle w:val="Endtext"/>
        <w:rPr>
          <w:rFonts w:ascii="SimSun" w:hAnsi="SimSun"/>
          <w:lang w:val="en-GB" w:eastAsia="zh-CN"/>
        </w:rPr>
      </w:pPr>
      <w:bookmarkStart w:id="2636" w:name="_Toc161224117"/>
      <w:bookmarkStart w:id="2637" w:name="_Toc161732163"/>
      <w:bookmarkStart w:id="2638" w:name="_Toc161741095"/>
      <w:bookmarkStart w:id="2639" w:name="_Toc185237761"/>
      <w:bookmarkStart w:id="2640" w:name="_Toc311469672"/>
      <w:r>
        <w:rPr>
          <w:rFonts w:ascii="STKaiti" w:hAnsi="SimSun" w:hint="eastAsia"/>
          <w:lang w:eastAsia="zh-CN"/>
        </w:rPr>
        <w:t>参阅</w:t>
      </w:r>
      <w:r w:rsidRPr="00781F81">
        <w:rPr>
          <w:rFonts w:ascii="STKaiti" w:hAnsi="SimSun" w:hint="eastAsia"/>
          <w:lang w:val="en-GB" w:eastAsia="zh-CN"/>
        </w:rPr>
        <w:t>：</w:t>
      </w:r>
      <w:r w:rsidRPr="00781F81">
        <w:rPr>
          <w:lang w:val="en-GB" w:eastAsia="zh-CN"/>
        </w:rPr>
        <w:tab/>
        <w:t>3977/CA24</w:t>
      </w:r>
      <w:r w:rsidRPr="00781F81">
        <w:rPr>
          <w:lang w:val="en-GB" w:eastAsia="zh-CN"/>
        </w:rPr>
        <w:t>（</w:t>
      </w:r>
      <w:r w:rsidRPr="00781F81">
        <w:rPr>
          <w:lang w:val="en-GB" w:eastAsia="zh-CN"/>
        </w:rPr>
        <w:t>1969</w:t>
      </w:r>
      <w:r>
        <w:rPr>
          <w:rFonts w:hint="eastAsia"/>
          <w:lang w:eastAsia="zh-CN"/>
        </w:rPr>
        <w:t>年</w:t>
      </w:r>
      <w:r w:rsidRPr="00781F81">
        <w:rPr>
          <w:lang w:val="en-GB" w:eastAsia="zh-CN"/>
        </w:rPr>
        <w:t>）</w:t>
      </w:r>
      <w:r>
        <w:rPr>
          <w:rFonts w:hint="eastAsia"/>
          <w:lang w:eastAsia="zh-CN"/>
        </w:rPr>
        <w:t>、</w:t>
      </w:r>
      <w:r w:rsidRPr="00781F81">
        <w:rPr>
          <w:lang w:val="en-GB" w:eastAsia="zh-CN"/>
        </w:rPr>
        <w:t>4402/CA27</w:t>
      </w:r>
      <w:r w:rsidRPr="00781F81">
        <w:rPr>
          <w:lang w:val="en-GB" w:eastAsia="zh-CN"/>
        </w:rPr>
        <w:t>（</w:t>
      </w:r>
      <w:r w:rsidRPr="00781F81">
        <w:rPr>
          <w:lang w:val="en-GB" w:eastAsia="zh-CN"/>
        </w:rPr>
        <w:t>1972</w:t>
      </w:r>
      <w:r>
        <w:rPr>
          <w:rFonts w:hint="eastAsia"/>
          <w:lang w:eastAsia="zh-CN"/>
        </w:rPr>
        <w:t>年</w:t>
      </w:r>
      <w:r w:rsidRPr="00781F81">
        <w:rPr>
          <w:lang w:val="en-GB" w:eastAsia="zh-CN"/>
        </w:rPr>
        <w:t>）</w:t>
      </w:r>
      <w:r>
        <w:rPr>
          <w:rFonts w:hint="eastAsia"/>
          <w:lang w:eastAsia="zh-CN"/>
        </w:rPr>
        <w:t>、</w:t>
      </w:r>
      <w:r w:rsidRPr="00781F81">
        <w:rPr>
          <w:lang w:val="en-GB" w:eastAsia="zh-CN"/>
        </w:rPr>
        <w:t>4965/CA31</w:t>
      </w:r>
      <w:r w:rsidRPr="00781F81">
        <w:rPr>
          <w:lang w:val="en-GB" w:eastAsia="zh-CN"/>
        </w:rPr>
        <w:t>（</w:t>
      </w:r>
      <w:r w:rsidRPr="00781F81">
        <w:rPr>
          <w:lang w:val="en-GB" w:eastAsia="zh-CN"/>
        </w:rPr>
        <w:t>1976</w:t>
      </w:r>
      <w:r>
        <w:rPr>
          <w:rFonts w:hint="eastAsia"/>
          <w:lang w:eastAsia="zh-CN"/>
        </w:rPr>
        <w:t>年</w:t>
      </w:r>
      <w:r w:rsidRPr="00781F81">
        <w:rPr>
          <w:lang w:val="en-GB" w:eastAsia="zh-CN"/>
        </w:rPr>
        <w:t>）</w:t>
      </w:r>
      <w:r>
        <w:rPr>
          <w:rFonts w:hint="eastAsia"/>
          <w:lang w:eastAsia="zh-CN"/>
        </w:rPr>
        <w:t>、</w:t>
      </w:r>
      <w:r>
        <w:rPr>
          <w:lang w:val="en-US" w:eastAsia="zh-CN"/>
        </w:rPr>
        <w:br/>
      </w:r>
      <w:r w:rsidRPr="00781F81">
        <w:rPr>
          <w:lang w:val="en-GB" w:eastAsia="zh-CN"/>
        </w:rPr>
        <w:t>5703/CA36</w:t>
      </w:r>
      <w:r w:rsidRPr="00781F81">
        <w:rPr>
          <w:lang w:val="en-GB" w:eastAsia="zh-CN"/>
        </w:rPr>
        <w:t>（</w:t>
      </w:r>
      <w:r w:rsidRPr="00781F81">
        <w:rPr>
          <w:lang w:val="en-GB" w:eastAsia="zh-CN"/>
        </w:rPr>
        <w:t>1981</w:t>
      </w:r>
      <w:r>
        <w:rPr>
          <w:rFonts w:hint="eastAsia"/>
          <w:lang w:eastAsia="zh-CN"/>
        </w:rPr>
        <w:t>年</w:t>
      </w:r>
      <w:r w:rsidRPr="00781F81">
        <w:rPr>
          <w:lang w:val="en-GB" w:eastAsia="zh-CN"/>
        </w:rPr>
        <w:t>）</w:t>
      </w:r>
      <w:r>
        <w:rPr>
          <w:rFonts w:hint="eastAsia"/>
          <w:lang w:eastAsia="zh-CN"/>
        </w:rPr>
        <w:t>、</w:t>
      </w:r>
      <w:r w:rsidRPr="00781F81">
        <w:rPr>
          <w:lang w:val="en-GB" w:eastAsia="zh-CN"/>
        </w:rPr>
        <w:t>6197/CA39</w:t>
      </w:r>
      <w:r w:rsidRPr="00781F81">
        <w:rPr>
          <w:lang w:val="en-GB" w:eastAsia="zh-CN"/>
        </w:rPr>
        <w:t>（</w:t>
      </w:r>
      <w:r w:rsidRPr="00781F81">
        <w:rPr>
          <w:lang w:val="en-GB" w:eastAsia="zh-CN"/>
        </w:rPr>
        <w:t>1984</w:t>
      </w:r>
      <w:r>
        <w:rPr>
          <w:rFonts w:hint="eastAsia"/>
          <w:lang w:eastAsia="zh-CN"/>
        </w:rPr>
        <w:t>年</w:t>
      </w:r>
      <w:r w:rsidRPr="00781F81">
        <w:rPr>
          <w:lang w:val="en-GB" w:eastAsia="zh-CN"/>
        </w:rPr>
        <w:t>）</w:t>
      </w:r>
      <w:r>
        <w:rPr>
          <w:rFonts w:ascii="SimSun" w:hAnsi="SimSun" w:hint="eastAsia"/>
          <w:lang w:eastAsia="zh-CN"/>
        </w:rPr>
        <w:t>号</w:t>
      </w:r>
      <w:r w:rsidRPr="00E27EE0">
        <w:rPr>
          <w:rFonts w:hint="eastAsia"/>
          <w:lang w:eastAsia="zh-CN"/>
        </w:rPr>
        <w:t>文件</w:t>
      </w:r>
      <w:r>
        <w:rPr>
          <w:rFonts w:ascii="SimSun" w:hAnsi="SimSun" w:hint="eastAsia"/>
          <w:lang w:eastAsia="zh-CN"/>
        </w:rPr>
        <w:t>。</w:t>
      </w:r>
    </w:p>
    <w:p w14:paraId="4827BA54" w14:textId="77777777" w:rsidR="00567CBA" w:rsidRDefault="00567CBA" w:rsidP="00567CBA">
      <w:pPr>
        <w:jc w:val="center"/>
        <w:rPr>
          <w:lang w:eastAsia="zh-CN"/>
        </w:rPr>
      </w:pPr>
      <w:r>
        <w:rPr>
          <w:lang w:eastAsia="zh-CN"/>
        </w:rPr>
        <w:t>______________</w:t>
      </w:r>
    </w:p>
    <w:p w14:paraId="4827BA55"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56"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57" w14:textId="77777777" w:rsidR="0095638D" w:rsidRDefault="0095638D">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A58" w14:textId="77777777" w:rsidR="0002090F" w:rsidRPr="0002090F" w:rsidRDefault="00802993" w:rsidP="000D18CD">
      <w:pPr>
        <w:pStyle w:val="ResNo"/>
        <w:outlineLvl w:val="0"/>
        <w:rPr>
          <w:lang w:eastAsia="zh-CN"/>
        </w:rPr>
      </w:pPr>
      <w:bookmarkStart w:id="2641" w:name="_Toc424117144"/>
      <w:bookmarkStart w:id="2642" w:name="_Toc531706492"/>
      <w:bookmarkStart w:id="2643" w:name="_Toc531707112"/>
      <w:bookmarkStart w:id="2644" w:name="_Toc531768584"/>
      <w:bookmarkStart w:id="2645" w:name="_Toc16085911"/>
      <w:bookmarkStart w:id="2646" w:name="_Toc86395706"/>
      <w:r w:rsidRPr="0002090F">
        <w:rPr>
          <w:rFonts w:hint="eastAsia"/>
          <w:lang w:eastAsia="zh-CN"/>
        </w:rPr>
        <w:lastRenderedPageBreak/>
        <w:t>第</w:t>
      </w:r>
      <w:r w:rsidRPr="0002090F">
        <w:rPr>
          <w:lang w:eastAsia="zh-CN"/>
        </w:rPr>
        <w:t>708</w:t>
      </w:r>
      <w:r w:rsidRPr="0002090F">
        <w:rPr>
          <w:rFonts w:hint="eastAsia"/>
          <w:lang w:eastAsia="zh-CN"/>
        </w:rPr>
        <w:t>号决议</w:t>
      </w:r>
      <w:r w:rsidR="0002090F">
        <w:rPr>
          <w:rFonts w:hint="eastAsia"/>
          <w:lang w:eastAsia="zh-CN"/>
        </w:rPr>
        <w:t>（</w:t>
      </w:r>
      <w:r w:rsidR="0002090F" w:rsidRPr="0002090F">
        <w:rPr>
          <w:lang w:eastAsia="zh-CN"/>
        </w:rPr>
        <w:t>C-1972</w:t>
      </w:r>
      <w:r w:rsidR="0002090F">
        <w:rPr>
          <w:rFonts w:hint="eastAsia"/>
          <w:lang w:eastAsia="zh-CN"/>
        </w:rPr>
        <w:t>）</w:t>
      </w:r>
      <w:bookmarkEnd w:id="2641"/>
      <w:bookmarkEnd w:id="2642"/>
      <w:bookmarkEnd w:id="2643"/>
      <w:bookmarkEnd w:id="2644"/>
      <w:bookmarkEnd w:id="2645"/>
      <w:bookmarkEnd w:id="2646"/>
    </w:p>
    <w:p w14:paraId="4827BA59" w14:textId="77777777" w:rsidR="00802993" w:rsidRPr="0002090F" w:rsidRDefault="00802993" w:rsidP="00B31FF3">
      <w:pPr>
        <w:pStyle w:val="Restitle"/>
        <w:spacing w:before="0"/>
        <w:rPr>
          <w:lang w:eastAsia="zh-CN"/>
        </w:rPr>
      </w:pPr>
      <w:bookmarkStart w:id="2647" w:name="_Toc424116278"/>
      <w:bookmarkStart w:id="2648" w:name="_Toc424117145"/>
      <w:bookmarkStart w:id="2649" w:name="_Toc460248256"/>
      <w:bookmarkStart w:id="2650" w:name="_Toc531706493"/>
      <w:bookmarkStart w:id="2651" w:name="_Toc531707113"/>
      <w:bookmarkStart w:id="2652" w:name="_Toc531768585"/>
      <w:bookmarkStart w:id="2653" w:name="_Toc16085912"/>
      <w:bookmarkStart w:id="2654" w:name="_Toc86395707"/>
      <w:r>
        <w:rPr>
          <w:rFonts w:hint="eastAsia"/>
          <w:lang w:eastAsia="zh-CN"/>
        </w:rPr>
        <w:t>联合国大会的决议</w:t>
      </w:r>
      <w:bookmarkEnd w:id="2636"/>
      <w:bookmarkEnd w:id="2637"/>
      <w:bookmarkEnd w:id="2638"/>
      <w:bookmarkEnd w:id="2639"/>
      <w:bookmarkEnd w:id="2640"/>
      <w:bookmarkEnd w:id="2647"/>
      <w:bookmarkEnd w:id="2648"/>
      <w:bookmarkEnd w:id="2649"/>
      <w:bookmarkEnd w:id="2650"/>
      <w:bookmarkEnd w:id="2651"/>
      <w:bookmarkEnd w:id="2652"/>
      <w:bookmarkEnd w:id="2653"/>
      <w:bookmarkEnd w:id="2654"/>
    </w:p>
    <w:p w14:paraId="4827BA5A" w14:textId="77777777" w:rsidR="00802993" w:rsidRDefault="00802993" w:rsidP="0002090F">
      <w:pPr>
        <w:pStyle w:val="Normalaftertitle"/>
        <w:rPr>
          <w:lang w:eastAsia="zh-CN"/>
        </w:rPr>
      </w:pPr>
      <w:r>
        <w:rPr>
          <w:rFonts w:hint="eastAsia"/>
          <w:lang w:eastAsia="zh-CN"/>
        </w:rPr>
        <w:t>理事会，</w:t>
      </w:r>
    </w:p>
    <w:p w14:paraId="4827BA5B" w14:textId="77777777" w:rsidR="00802993" w:rsidRDefault="00802993" w:rsidP="00B64353">
      <w:pPr>
        <w:pStyle w:val="Call"/>
        <w:rPr>
          <w:lang w:eastAsia="zh-CN"/>
        </w:rPr>
      </w:pPr>
      <w:r>
        <w:rPr>
          <w:rFonts w:hint="eastAsia"/>
          <w:lang w:eastAsia="zh-CN"/>
        </w:rPr>
        <w:t>忆及</w:t>
      </w:r>
    </w:p>
    <w:p w14:paraId="4827BA5C" w14:textId="77777777" w:rsidR="00802993" w:rsidRDefault="00802993" w:rsidP="00B64353">
      <w:pPr>
        <w:rPr>
          <w:rFonts w:ascii="SimSun" w:hAnsi="SimSun"/>
          <w:lang w:val="en-US" w:eastAsia="zh-CN"/>
        </w:rPr>
      </w:pPr>
      <w:r w:rsidRPr="00376870">
        <w:rPr>
          <w:i/>
          <w:iCs/>
          <w:lang w:eastAsia="zh-CN"/>
        </w:rPr>
        <w:t>a</w:t>
      </w:r>
      <w:r w:rsidR="000E6A83" w:rsidRPr="00376870">
        <w:rPr>
          <w:i/>
          <w:iCs/>
          <w:lang w:eastAsia="zh-CN"/>
        </w:rPr>
        <w:t>)</w:t>
      </w:r>
      <w:r w:rsidR="000E6A83">
        <w:rPr>
          <w:lang w:eastAsia="zh-CN"/>
        </w:rPr>
        <w:tab/>
      </w:r>
      <w:r>
        <w:rPr>
          <w:rFonts w:ascii="SimSun" w:hAnsi="SimSun" w:hint="eastAsia"/>
          <w:lang w:eastAsia="zh-CN"/>
        </w:rPr>
        <w:t>联合国大会</w:t>
      </w:r>
      <w:r>
        <w:rPr>
          <w:rFonts w:hint="eastAsia"/>
          <w:lang w:eastAsia="zh-CN"/>
        </w:rPr>
        <w:t>于</w:t>
      </w:r>
      <w:r>
        <w:rPr>
          <w:lang w:eastAsia="zh-CN"/>
        </w:rPr>
        <w:t>1960</w:t>
      </w:r>
      <w:r>
        <w:rPr>
          <w:rFonts w:hint="eastAsia"/>
          <w:lang w:eastAsia="zh-CN"/>
        </w:rPr>
        <w:t>年</w:t>
      </w:r>
      <w:r>
        <w:rPr>
          <w:lang w:eastAsia="zh-CN"/>
        </w:rPr>
        <w:t>12</w:t>
      </w:r>
      <w:r>
        <w:rPr>
          <w:rFonts w:hint="eastAsia"/>
          <w:lang w:eastAsia="zh-CN"/>
        </w:rPr>
        <w:t>月</w:t>
      </w:r>
      <w:r>
        <w:rPr>
          <w:lang w:eastAsia="zh-CN"/>
        </w:rPr>
        <w:t>14</w:t>
      </w:r>
      <w:r>
        <w:rPr>
          <w:rFonts w:hint="eastAsia"/>
          <w:lang w:eastAsia="zh-CN"/>
        </w:rPr>
        <w:t>日通过的第</w:t>
      </w:r>
      <w:r>
        <w:rPr>
          <w:lang w:eastAsia="zh-CN"/>
        </w:rPr>
        <w:t>1514</w:t>
      </w:r>
      <w:r w:rsidR="00914BB6">
        <w:rPr>
          <w:rFonts w:hint="eastAsia"/>
          <w:lang w:eastAsia="zh-CN"/>
        </w:rPr>
        <w:t>（</w:t>
      </w:r>
      <w:r w:rsidR="00914BB6">
        <w:rPr>
          <w:rFonts w:hint="eastAsia"/>
          <w:lang w:eastAsia="zh-CN"/>
        </w:rPr>
        <w:t>XV</w:t>
      </w:r>
      <w:r w:rsidR="00914BB6">
        <w:rPr>
          <w:rFonts w:hint="eastAsia"/>
          <w:lang w:eastAsia="zh-CN"/>
        </w:rPr>
        <w:t>）</w:t>
      </w:r>
      <w:r>
        <w:rPr>
          <w:rFonts w:hint="eastAsia"/>
          <w:lang w:eastAsia="zh-CN"/>
        </w:rPr>
        <w:t>号决议中所含的准许殖民地国家及民族独立的宣言及该大会的其它有关</w:t>
      </w:r>
      <w:r>
        <w:rPr>
          <w:rFonts w:ascii="SimSun" w:hAnsi="SimSun" w:hint="eastAsia"/>
          <w:lang w:eastAsia="zh-CN"/>
        </w:rPr>
        <w:t>决议；</w:t>
      </w:r>
    </w:p>
    <w:p w14:paraId="4827BA5D" w14:textId="77777777" w:rsidR="00802993" w:rsidRDefault="00802993" w:rsidP="00B64353">
      <w:pPr>
        <w:tabs>
          <w:tab w:val="clear" w:pos="794"/>
          <w:tab w:val="left" w:pos="868"/>
        </w:tabs>
        <w:rPr>
          <w:lang w:eastAsia="zh-CN"/>
        </w:rPr>
      </w:pPr>
      <w:r w:rsidRPr="00376870">
        <w:rPr>
          <w:i/>
          <w:iCs/>
          <w:lang w:eastAsia="zh-CN"/>
        </w:rPr>
        <w:t>b</w:t>
      </w:r>
      <w:r w:rsidR="000E6A83" w:rsidRPr="00376870">
        <w:rPr>
          <w:i/>
          <w:iCs/>
          <w:lang w:eastAsia="zh-CN"/>
        </w:rPr>
        <w:t>)</w:t>
      </w:r>
      <w:r w:rsidR="000E6A83">
        <w:rPr>
          <w:lang w:eastAsia="zh-CN"/>
        </w:rPr>
        <w:tab/>
      </w:r>
      <w:r>
        <w:rPr>
          <w:rFonts w:hint="eastAsia"/>
          <w:lang w:eastAsia="zh-CN"/>
        </w:rPr>
        <w:t>理事会在其</w:t>
      </w:r>
      <w:r>
        <w:rPr>
          <w:lang w:eastAsia="zh-CN"/>
        </w:rPr>
        <w:t>24</w:t>
      </w:r>
      <w:r>
        <w:rPr>
          <w:rFonts w:hint="eastAsia"/>
          <w:lang w:eastAsia="zh-CN"/>
        </w:rPr>
        <w:t>届会议上通过的第</w:t>
      </w:r>
      <w:r>
        <w:rPr>
          <w:lang w:eastAsia="zh-CN"/>
        </w:rPr>
        <w:t>659</w:t>
      </w:r>
      <w:r>
        <w:rPr>
          <w:rFonts w:hint="eastAsia"/>
          <w:lang w:eastAsia="zh-CN"/>
        </w:rPr>
        <w:t>号决议，</w:t>
      </w:r>
    </w:p>
    <w:p w14:paraId="4827BA5E" w14:textId="77777777" w:rsidR="00802993" w:rsidRPr="00BA31AA" w:rsidRDefault="00802993" w:rsidP="009513E7">
      <w:pPr>
        <w:tabs>
          <w:tab w:val="clear" w:pos="794"/>
          <w:tab w:val="clear" w:pos="1191"/>
          <w:tab w:val="clear" w:pos="1588"/>
          <w:tab w:val="clear" w:pos="1985"/>
          <w:tab w:val="left" w:pos="851"/>
        </w:tabs>
        <w:overflowPunct/>
        <w:autoSpaceDE/>
        <w:autoSpaceDN/>
        <w:adjustRightInd/>
        <w:textAlignment w:val="auto"/>
        <w:rPr>
          <w:rFonts w:eastAsia="Arial Unicode MS"/>
          <w:szCs w:val="24"/>
          <w:lang w:eastAsia="zh-CN"/>
        </w:rPr>
      </w:pPr>
      <w:r>
        <w:rPr>
          <w:lang w:eastAsia="zh-CN"/>
        </w:rPr>
        <w:tab/>
      </w:r>
      <w:r>
        <w:rPr>
          <w:rFonts w:ascii="STKaiti" w:eastAsia="STKaiti" w:hAnsi="SimSun" w:hint="eastAsia"/>
          <w:lang w:eastAsia="zh-CN"/>
        </w:rPr>
        <w:t>注意到</w:t>
      </w:r>
      <w:r>
        <w:rPr>
          <w:rFonts w:ascii="SimSun" w:hAnsi="SimSun" w:hint="eastAsia"/>
          <w:lang w:eastAsia="zh-CN"/>
        </w:rPr>
        <w:t>根据联合国与国际电联</w:t>
      </w:r>
      <w:r w:rsidRPr="00BA31AA">
        <w:rPr>
          <w:rFonts w:hAnsi="SimSun"/>
          <w:lang w:eastAsia="zh-CN"/>
        </w:rPr>
        <w:t>的协议第四条规定提交理事会的、作为</w:t>
      </w:r>
      <w:r w:rsidRPr="00BA31AA">
        <w:rPr>
          <w:lang w:eastAsia="zh-CN"/>
        </w:rPr>
        <w:t>4303/CA27</w:t>
      </w:r>
      <w:r w:rsidRPr="00BA31AA">
        <w:rPr>
          <w:rFonts w:hAnsi="SimSun"/>
          <w:lang w:eastAsia="zh-CN"/>
        </w:rPr>
        <w:t>号文件</w:t>
      </w:r>
      <w:r w:rsidR="009513E7">
        <w:rPr>
          <w:rStyle w:val="FootnoteReference"/>
          <w:lang w:eastAsia="zh-CN"/>
        </w:rPr>
        <w:footnoteReference w:customMarkFollows="1" w:id="22"/>
        <w:t>1</w:t>
      </w:r>
      <w:r w:rsidRPr="00BA31AA">
        <w:rPr>
          <w:rFonts w:hAnsi="SimSun"/>
          <w:lang w:eastAsia="zh-CN"/>
        </w:rPr>
        <w:t>附件的联大第二十六届大会的决议，</w:t>
      </w:r>
    </w:p>
    <w:p w14:paraId="4827BA5F" w14:textId="77777777" w:rsidR="00802993" w:rsidRDefault="00802993" w:rsidP="00B64353">
      <w:pPr>
        <w:rPr>
          <w:lang w:eastAsia="zh-CN"/>
        </w:rPr>
      </w:pPr>
      <w:r>
        <w:rPr>
          <w:lang w:eastAsia="zh-CN"/>
        </w:rPr>
        <w:tab/>
      </w:r>
      <w:r>
        <w:rPr>
          <w:rFonts w:ascii="STKaiti" w:eastAsia="STKaiti" w:hAnsi="SimSun" w:hint="eastAsia"/>
          <w:lang w:eastAsia="zh-CN"/>
        </w:rPr>
        <w:t>请</w:t>
      </w:r>
      <w:r>
        <w:rPr>
          <w:rFonts w:ascii="SimSun" w:hAnsi="SimSun" w:hint="eastAsia"/>
          <w:lang w:eastAsia="zh-CN"/>
        </w:rPr>
        <w:t>各主管部门，特别是有来自非洲附属地难民的那些国家的主管部门，在其职业培训中心为一定数量的、有资助的、愿参加电信培训的难民安排培训，</w:t>
      </w:r>
    </w:p>
    <w:p w14:paraId="4827BA60" w14:textId="77777777" w:rsidR="00802993" w:rsidRDefault="00802993" w:rsidP="00B64353">
      <w:pPr>
        <w:pStyle w:val="Call"/>
        <w:rPr>
          <w:lang w:eastAsia="zh-CN"/>
        </w:rPr>
      </w:pPr>
      <w:r>
        <w:rPr>
          <w:rFonts w:hint="eastAsia"/>
          <w:lang w:eastAsia="zh-CN"/>
        </w:rPr>
        <w:t>要求秘书长</w:t>
      </w:r>
    </w:p>
    <w:p w14:paraId="4827BA61" w14:textId="77777777" w:rsidR="00802993" w:rsidRDefault="00802993" w:rsidP="00B64353">
      <w:pPr>
        <w:rPr>
          <w:lang w:eastAsia="zh-CN"/>
        </w:rPr>
      </w:pPr>
      <w:r>
        <w:rPr>
          <w:lang w:eastAsia="zh-CN"/>
        </w:rPr>
        <w:t>1</w:t>
      </w:r>
      <w:r w:rsidR="00E04370">
        <w:rPr>
          <w:lang w:eastAsia="zh-CN"/>
        </w:rPr>
        <w:tab/>
      </w:r>
      <w:r>
        <w:rPr>
          <w:rFonts w:hint="eastAsia"/>
          <w:lang w:eastAsia="zh-CN"/>
        </w:rPr>
        <w:t>与</w:t>
      </w:r>
      <w:r>
        <w:rPr>
          <w:rFonts w:ascii="SimSun" w:hAnsi="STKaiti" w:hint="eastAsia"/>
          <w:color w:val="000000"/>
          <w:lang w:eastAsia="zh-CN"/>
        </w:rPr>
        <w:t>联合国难民事务高级专员、联合国系统其它机构和非洲统一组织</w:t>
      </w:r>
      <w:r>
        <w:rPr>
          <w:rFonts w:hint="eastAsia"/>
          <w:lang w:eastAsia="zh-CN"/>
        </w:rPr>
        <w:t>保持联系，以便在此领域进行合作，</w:t>
      </w:r>
    </w:p>
    <w:p w14:paraId="4827BA62" w14:textId="77777777" w:rsidR="00802993" w:rsidRDefault="00802993" w:rsidP="00B64353">
      <w:pPr>
        <w:rPr>
          <w:lang w:eastAsia="zh-CN"/>
        </w:rPr>
      </w:pPr>
      <w:r>
        <w:rPr>
          <w:lang w:eastAsia="zh-CN"/>
        </w:rPr>
        <w:t>2</w:t>
      </w:r>
      <w:r w:rsidR="00E04370">
        <w:rPr>
          <w:lang w:eastAsia="zh-CN"/>
        </w:rPr>
        <w:tab/>
      </w:r>
      <w:r>
        <w:rPr>
          <w:rFonts w:hint="eastAsia"/>
          <w:lang w:eastAsia="zh-CN"/>
        </w:rPr>
        <w:t>继续与</w:t>
      </w:r>
      <w:r>
        <w:rPr>
          <w:rFonts w:ascii="SimSun" w:hAnsi="STKaiti" w:hint="eastAsia"/>
          <w:color w:val="000000"/>
          <w:lang w:eastAsia="zh-CN"/>
        </w:rPr>
        <w:t>联合国难民事务高级专员合作，实施第</w:t>
      </w:r>
      <w:r>
        <w:rPr>
          <w:lang w:eastAsia="zh-CN"/>
        </w:rPr>
        <w:t>659</w:t>
      </w:r>
      <w:r>
        <w:rPr>
          <w:rFonts w:ascii="SimSun" w:hAnsi="STKaiti" w:hint="eastAsia"/>
          <w:color w:val="000000"/>
          <w:lang w:eastAsia="zh-CN"/>
        </w:rPr>
        <w:t>号决议，</w:t>
      </w:r>
    </w:p>
    <w:p w14:paraId="4827BA63" w14:textId="77777777" w:rsidR="00802993" w:rsidRDefault="00802993" w:rsidP="00B64353">
      <w:pPr>
        <w:pStyle w:val="Call"/>
        <w:rPr>
          <w:lang w:eastAsia="zh-CN"/>
        </w:rPr>
      </w:pPr>
      <w:r w:rsidRPr="00E55240">
        <w:rPr>
          <w:rFonts w:hint="eastAsia"/>
          <w:lang w:eastAsia="zh-CN"/>
        </w:rPr>
        <w:t>责成秘书长</w:t>
      </w:r>
    </w:p>
    <w:p w14:paraId="4827BA64" w14:textId="77777777" w:rsidR="00802993" w:rsidRDefault="00802993" w:rsidP="00B64353">
      <w:pPr>
        <w:rPr>
          <w:lang w:eastAsia="zh-CN"/>
        </w:rPr>
      </w:pPr>
      <w:r>
        <w:rPr>
          <w:lang w:eastAsia="zh-CN"/>
        </w:rPr>
        <w:t>1</w:t>
      </w:r>
      <w:r w:rsidR="00E04370">
        <w:rPr>
          <w:lang w:eastAsia="zh-CN"/>
        </w:rPr>
        <w:tab/>
      </w:r>
      <w:r>
        <w:rPr>
          <w:rFonts w:hint="eastAsia"/>
          <w:lang w:eastAsia="zh-CN"/>
        </w:rPr>
        <w:t>提请国际电联成员国注意本决议，并将本决议内容告知联合国秘书长、</w:t>
      </w:r>
      <w:r>
        <w:rPr>
          <w:rFonts w:ascii="SimSun" w:hAnsi="STKaiti" w:hint="eastAsia"/>
          <w:color w:val="000000"/>
          <w:lang w:eastAsia="zh-CN"/>
        </w:rPr>
        <w:t>联合国难民事务高级专员、</w:t>
      </w:r>
      <w:r>
        <w:rPr>
          <w:rFonts w:hint="eastAsia"/>
          <w:lang w:eastAsia="zh-CN"/>
        </w:rPr>
        <w:t>各专门机构以及国际原子能机构的负责人和非洲统一组织秘书长，</w:t>
      </w:r>
    </w:p>
    <w:p w14:paraId="4827BA65" w14:textId="77777777" w:rsidR="00802993" w:rsidRDefault="00802993" w:rsidP="00B64353">
      <w:pPr>
        <w:rPr>
          <w:lang w:eastAsia="zh-CN"/>
        </w:rPr>
      </w:pPr>
      <w:r>
        <w:rPr>
          <w:lang w:eastAsia="zh-CN"/>
        </w:rPr>
        <w:t>2</w:t>
      </w:r>
      <w:r w:rsidR="00E04370">
        <w:rPr>
          <w:lang w:eastAsia="zh-CN"/>
        </w:rPr>
        <w:tab/>
      </w:r>
      <w:r>
        <w:rPr>
          <w:rFonts w:hint="eastAsia"/>
          <w:lang w:eastAsia="zh-CN"/>
        </w:rPr>
        <w:t>向理事会第</w:t>
      </w:r>
      <w:r>
        <w:rPr>
          <w:lang w:eastAsia="zh-CN"/>
        </w:rPr>
        <w:t>28</w:t>
      </w:r>
      <w:r>
        <w:rPr>
          <w:rFonts w:hint="eastAsia"/>
          <w:lang w:eastAsia="zh-CN"/>
        </w:rPr>
        <w:t>届及之后的会议报告根据此决议采取的任何行动。</w:t>
      </w:r>
    </w:p>
    <w:p w14:paraId="4827BA66" w14:textId="77777777" w:rsidR="00F11D1D" w:rsidRPr="00D746C3" w:rsidRDefault="00802993" w:rsidP="0002090F">
      <w:pPr>
        <w:pStyle w:val="Endtext"/>
        <w:rPr>
          <w:lang w:eastAsia="zh-CN"/>
        </w:rPr>
      </w:pPr>
      <w:r>
        <w:rPr>
          <w:rFonts w:ascii="STKaiti" w:hAnsi="SimSun" w:hint="eastAsia"/>
          <w:lang w:eastAsia="zh-CN"/>
        </w:rPr>
        <w:t>参阅：</w:t>
      </w:r>
      <w:r>
        <w:rPr>
          <w:lang w:eastAsia="zh-CN"/>
        </w:rPr>
        <w:tab/>
        <w:t>4402/CA27</w:t>
      </w:r>
      <w:r>
        <w:rPr>
          <w:lang w:eastAsia="zh-CN"/>
        </w:rPr>
        <w:t>（</w:t>
      </w:r>
      <w:r>
        <w:rPr>
          <w:lang w:eastAsia="zh-CN"/>
        </w:rPr>
        <w:t>1972</w:t>
      </w:r>
      <w:r>
        <w:rPr>
          <w:rFonts w:hint="eastAsia"/>
          <w:lang w:eastAsia="zh-CN"/>
        </w:rPr>
        <w:t>年</w:t>
      </w:r>
      <w:r>
        <w:rPr>
          <w:lang w:eastAsia="zh-CN"/>
        </w:rPr>
        <w:t>）</w:t>
      </w:r>
      <w:r>
        <w:rPr>
          <w:rFonts w:ascii="SimSun" w:hAnsi="SimSun" w:hint="eastAsia"/>
          <w:lang w:eastAsia="zh-CN"/>
        </w:rPr>
        <w:t>号文件。</w:t>
      </w:r>
    </w:p>
    <w:p w14:paraId="4827BA67" w14:textId="77777777" w:rsidR="00567CBA" w:rsidRDefault="00567CBA" w:rsidP="00567CBA">
      <w:pPr>
        <w:jc w:val="center"/>
        <w:rPr>
          <w:lang w:eastAsia="zh-CN"/>
        </w:rPr>
      </w:pPr>
      <w:bookmarkStart w:id="2655" w:name="_Toc161224118"/>
      <w:bookmarkStart w:id="2656" w:name="_Toc161732164"/>
      <w:bookmarkStart w:id="2657" w:name="_Toc161741096"/>
      <w:bookmarkStart w:id="2658" w:name="_Toc185237762"/>
      <w:bookmarkStart w:id="2659" w:name="_Toc311469673"/>
      <w:r>
        <w:rPr>
          <w:lang w:eastAsia="zh-CN"/>
        </w:rPr>
        <w:t>______________</w:t>
      </w:r>
    </w:p>
    <w:p w14:paraId="4827BA68"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69"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6A" w14:textId="77777777" w:rsidR="0095638D" w:rsidRDefault="0095638D">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A6B" w14:textId="77777777" w:rsidR="0002090F" w:rsidRDefault="002F0D08" w:rsidP="000D18CD">
      <w:pPr>
        <w:pStyle w:val="ResNo"/>
        <w:outlineLvl w:val="0"/>
        <w:rPr>
          <w:lang w:eastAsia="zh-CN"/>
        </w:rPr>
      </w:pPr>
      <w:bookmarkStart w:id="2660" w:name="_Toc424117146"/>
      <w:bookmarkStart w:id="2661" w:name="_Toc531706494"/>
      <w:bookmarkStart w:id="2662" w:name="_Toc531707114"/>
      <w:bookmarkStart w:id="2663" w:name="_Toc531768586"/>
      <w:bookmarkStart w:id="2664" w:name="_Toc16085913"/>
      <w:bookmarkStart w:id="2665" w:name="_Toc86395708"/>
      <w:r>
        <w:rPr>
          <w:rFonts w:hint="eastAsia"/>
          <w:lang w:eastAsia="zh-CN"/>
        </w:rPr>
        <w:lastRenderedPageBreak/>
        <w:t>第</w:t>
      </w:r>
      <w:r>
        <w:rPr>
          <w:lang w:eastAsia="zh-CN"/>
        </w:rPr>
        <w:t>800</w:t>
      </w:r>
      <w:r w:rsidRPr="00103004">
        <w:rPr>
          <w:rFonts w:hint="eastAsia"/>
          <w:lang w:eastAsia="zh-CN"/>
        </w:rPr>
        <w:t>号决议</w:t>
      </w:r>
      <w:r w:rsidR="0002090F">
        <w:rPr>
          <w:rFonts w:hint="eastAsia"/>
          <w:lang w:eastAsia="zh-CN"/>
        </w:rPr>
        <w:t>（</w:t>
      </w:r>
      <w:r w:rsidR="0002090F">
        <w:rPr>
          <w:lang w:eastAsia="zh-CN"/>
        </w:rPr>
        <w:t>C-1977</w:t>
      </w:r>
      <w:r w:rsidR="0002090F">
        <w:rPr>
          <w:rFonts w:hint="eastAsia"/>
          <w:lang w:eastAsia="zh-CN"/>
        </w:rPr>
        <w:t>，</w:t>
      </w:r>
      <w:r w:rsidR="0002090F" w:rsidRPr="00F609DD">
        <w:rPr>
          <w:rFonts w:hint="eastAsia"/>
          <w:lang w:eastAsia="zh-CN"/>
        </w:rPr>
        <w:t>最后修正</w:t>
      </w:r>
      <w:r w:rsidR="0002090F" w:rsidRPr="00F609DD">
        <w:rPr>
          <w:lang w:eastAsia="zh-CN"/>
        </w:rPr>
        <w:t>C-1984</w:t>
      </w:r>
      <w:r w:rsidR="0002090F">
        <w:rPr>
          <w:rFonts w:hint="eastAsia"/>
          <w:lang w:eastAsia="zh-CN"/>
        </w:rPr>
        <w:t>）</w:t>
      </w:r>
      <w:bookmarkEnd w:id="2660"/>
      <w:bookmarkEnd w:id="2661"/>
      <w:bookmarkEnd w:id="2662"/>
      <w:bookmarkEnd w:id="2663"/>
      <w:bookmarkEnd w:id="2664"/>
      <w:bookmarkEnd w:id="2665"/>
    </w:p>
    <w:p w14:paraId="4827BA6C" w14:textId="77777777" w:rsidR="002F0D08" w:rsidRPr="0002090F" w:rsidRDefault="002F0D08" w:rsidP="00B31FF3">
      <w:pPr>
        <w:pStyle w:val="Restitle"/>
        <w:spacing w:before="0"/>
        <w:rPr>
          <w:lang w:eastAsia="zh-CN"/>
        </w:rPr>
      </w:pPr>
      <w:bookmarkStart w:id="2666" w:name="_Toc424116279"/>
      <w:bookmarkStart w:id="2667" w:name="_Toc424117147"/>
      <w:bookmarkStart w:id="2668" w:name="_Toc460248258"/>
      <w:bookmarkStart w:id="2669" w:name="_Toc531706495"/>
      <w:bookmarkStart w:id="2670" w:name="_Toc531707115"/>
      <w:bookmarkStart w:id="2671" w:name="_Toc531768587"/>
      <w:bookmarkStart w:id="2672" w:name="_Toc16085914"/>
      <w:bookmarkStart w:id="2673" w:name="_Toc86395709"/>
      <w:r>
        <w:rPr>
          <w:rFonts w:hint="eastAsia"/>
          <w:lang w:eastAsia="zh-CN"/>
        </w:rPr>
        <w:t>电信，</w:t>
      </w:r>
      <w:r w:rsidRPr="00103004">
        <w:rPr>
          <w:rFonts w:hint="eastAsia"/>
          <w:bCs/>
          <w:lang w:eastAsia="zh-CN"/>
        </w:rPr>
        <w:t>经济社会发展的一个重要因素</w:t>
      </w:r>
      <w:r>
        <w:rPr>
          <w:rFonts w:hint="eastAsia"/>
          <w:lang w:eastAsia="zh-CN"/>
        </w:rPr>
        <w:t>：</w:t>
      </w:r>
      <w:r w:rsidR="0002090F">
        <w:rPr>
          <w:lang w:eastAsia="zh-CN"/>
        </w:rPr>
        <w:br/>
      </w:r>
      <w:r>
        <w:rPr>
          <w:rFonts w:hint="eastAsia"/>
          <w:lang w:eastAsia="zh-CN"/>
        </w:rPr>
        <w:t>国际电联在此领域的作用</w:t>
      </w:r>
      <w:bookmarkEnd w:id="2655"/>
      <w:bookmarkEnd w:id="2656"/>
      <w:bookmarkEnd w:id="2657"/>
      <w:bookmarkEnd w:id="2658"/>
      <w:bookmarkEnd w:id="2659"/>
      <w:bookmarkEnd w:id="2666"/>
      <w:bookmarkEnd w:id="2667"/>
      <w:bookmarkEnd w:id="2668"/>
      <w:bookmarkEnd w:id="2669"/>
      <w:bookmarkEnd w:id="2670"/>
      <w:bookmarkEnd w:id="2671"/>
      <w:bookmarkEnd w:id="2672"/>
      <w:bookmarkEnd w:id="2673"/>
    </w:p>
    <w:p w14:paraId="4827BA6D" w14:textId="77777777" w:rsidR="00802993" w:rsidRDefault="00802993" w:rsidP="0002090F">
      <w:pPr>
        <w:pStyle w:val="Normalaftertitle"/>
        <w:rPr>
          <w:lang w:eastAsia="zh-CN"/>
        </w:rPr>
      </w:pPr>
      <w:r>
        <w:rPr>
          <w:rFonts w:hint="eastAsia"/>
          <w:lang w:eastAsia="zh-CN"/>
        </w:rPr>
        <w:t>理事会，</w:t>
      </w:r>
    </w:p>
    <w:p w14:paraId="4827BA6E" w14:textId="77777777" w:rsidR="00802993" w:rsidRDefault="00802993" w:rsidP="00B64353">
      <w:pPr>
        <w:rPr>
          <w:lang w:eastAsia="zh-CN"/>
        </w:rPr>
      </w:pPr>
      <w:r>
        <w:rPr>
          <w:lang w:eastAsia="zh-CN"/>
        </w:rPr>
        <w:tab/>
      </w:r>
      <w:r>
        <w:rPr>
          <w:rFonts w:ascii="STKaiti" w:eastAsia="STKaiti" w:hAnsi="SimSun" w:hint="eastAsia"/>
          <w:lang w:eastAsia="zh-CN"/>
        </w:rPr>
        <w:t>经审议</w:t>
      </w:r>
      <w:r>
        <w:rPr>
          <w:rFonts w:hint="eastAsia"/>
          <w:lang w:eastAsia="zh-CN"/>
        </w:rPr>
        <w:t>秘书长题为“</w:t>
      </w:r>
      <w:r>
        <w:rPr>
          <w:rFonts w:ascii="SimSun" w:hAnsi="SimSun" w:hint="eastAsia"/>
          <w:lang w:eastAsia="zh-CN"/>
        </w:rPr>
        <w:t>电信，经济社会发展的一个重要因素：国际电联在此领域的作用</w:t>
      </w:r>
      <w:r>
        <w:rPr>
          <w:rFonts w:hint="eastAsia"/>
          <w:lang w:eastAsia="zh-CN"/>
        </w:rPr>
        <w:t>”的说明，（第</w:t>
      </w:r>
      <w:r>
        <w:rPr>
          <w:lang w:eastAsia="zh-CN"/>
        </w:rPr>
        <w:t>5073/CA32</w:t>
      </w:r>
      <w:r>
        <w:rPr>
          <w:rFonts w:hint="eastAsia"/>
          <w:lang w:eastAsia="zh-CN"/>
        </w:rPr>
        <w:t>号文件），</w:t>
      </w:r>
    </w:p>
    <w:p w14:paraId="4827BA6F" w14:textId="77777777" w:rsidR="00802993" w:rsidRDefault="00802993" w:rsidP="00B64353">
      <w:pPr>
        <w:pStyle w:val="Call"/>
        <w:rPr>
          <w:lang w:eastAsia="zh-CN"/>
        </w:rPr>
      </w:pPr>
      <w:r w:rsidRPr="00E55240">
        <w:rPr>
          <w:rFonts w:hint="eastAsia"/>
          <w:lang w:eastAsia="zh-CN"/>
        </w:rPr>
        <w:t>注意到</w:t>
      </w:r>
    </w:p>
    <w:p w14:paraId="4827BA70" w14:textId="77777777" w:rsidR="00802993" w:rsidRDefault="00802993" w:rsidP="0002090F">
      <w:pPr>
        <w:rPr>
          <w:lang w:eastAsia="zh-CN"/>
        </w:rPr>
      </w:pPr>
      <w:r w:rsidRPr="00376870">
        <w:rPr>
          <w:i/>
          <w:iCs/>
          <w:lang w:eastAsia="zh-CN"/>
        </w:rPr>
        <w:t>a</w:t>
      </w:r>
      <w:r w:rsidR="000E6A83" w:rsidRPr="00376870">
        <w:rPr>
          <w:i/>
          <w:iCs/>
          <w:lang w:eastAsia="zh-CN"/>
        </w:rPr>
        <w:t>)</w:t>
      </w:r>
      <w:r w:rsidR="000E6A83">
        <w:rPr>
          <w:lang w:eastAsia="zh-CN"/>
        </w:rPr>
        <w:tab/>
      </w:r>
      <w:r>
        <w:rPr>
          <w:rFonts w:hint="eastAsia"/>
          <w:lang w:eastAsia="zh-CN"/>
        </w:rPr>
        <w:t>无论各国发展水平如何，完备的电信基础设施在其经济和社会各领域的发展中发挥着至关重要的作用。因此，除国际电联外，许多国际组织都非常关心某个或多个电信领域的发展；</w:t>
      </w:r>
    </w:p>
    <w:p w14:paraId="4827BA71" w14:textId="77777777" w:rsidR="00802993" w:rsidRDefault="00802993" w:rsidP="0002090F">
      <w:pPr>
        <w:rPr>
          <w:lang w:eastAsia="zh-CN"/>
        </w:rPr>
      </w:pPr>
      <w:r w:rsidRPr="00376870">
        <w:rPr>
          <w:i/>
          <w:iCs/>
          <w:lang w:eastAsia="zh-CN"/>
        </w:rPr>
        <w:t>b</w:t>
      </w:r>
      <w:r w:rsidR="000E6A83" w:rsidRPr="00376870">
        <w:rPr>
          <w:i/>
          <w:iCs/>
          <w:lang w:eastAsia="zh-CN"/>
        </w:rPr>
        <w:t>)</w:t>
      </w:r>
      <w:r w:rsidR="000E6A83">
        <w:rPr>
          <w:lang w:eastAsia="zh-CN"/>
        </w:rPr>
        <w:tab/>
      </w:r>
      <w:r>
        <w:rPr>
          <w:rFonts w:hint="eastAsia"/>
          <w:lang w:eastAsia="zh-CN"/>
        </w:rPr>
        <w:t>并非所有国际组织都充分了解国际电联在制定电信规则和标准方面发挥的作用，以及国际电联在制定关于规划和利用电信基础设施和业务的报告和建议书方面开展的活动；</w:t>
      </w:r>
    </w:p>
    <w:p w14:paraId="4827BA72" w14:textId="77777777" w:rsidR="00802993" w:rsidRDefault="00802993" w:rsidP="0002090F">
      <w:pPr>
        <w:rPr>
          <w:lang w:eastAsia="zh-CN"/>
        </w:rPr>
      </w:pPr>
      <w:r w:rsidRPr="00376870">
        <w:rPr>
          <w:i/>
          <w:iCs/>
          <w:lang w:eastAsia="zh-CN"/>
        </w:rPr>
        <w:t>c</w:t>
      </w:r>
      <w:r w:rsidR="000E6A83" w:rsidRPr="00376870">
        <w:rPr>
          <w:i/>
          <w:iCs/>
          <w:lang w:eastAsia="zh-CN"/>
        </w:rPr>
        <w:t>)</w:t>
      </w:r>
      <w:r w:rsidR="000E6A83">
        <w:rPr>
          <w:lang w:eastAsia="zh-CN"/>
        </w:rPr>
        <w:tab/>
      </w:r>
      <w:r>
        <w:rPr>
          <w:rFonts w:hint="eastAsia"/>
          <w:lang w:eastAsia="zh-CN"/>
        </w:rPr>
        <w:t>联合国大会在其第</w:t>
      </w:r>
      <w:r>
        <w:rPr>
          <w:lang w:eastAsia="zh-CN"/>
        </w:rPr>
        <w:t>A/RES/31/139</w:t>
      </w:r>
      <w:r>
        <w:rPr>
          <w:rFonts w:hint="eastAsia"/>
          <w:lang w:eastAsia="zh-CN"/>
        </w:rPr>
        <w:t>号决议中要求联合国教科文组织总干事与有关专门机构合作，提交有关发展大众通信系统的进展报告，该报告将由第</w:t>
      </w:r>
      <w:r>
        <w:rPr>
          <w:lang w:eastAsia="zh-CN"/>
        </w:rPr>
        <w:t>33</w:t>
      </w:r>
      <w:r>
        <w:rPr>
          <w:rFonts w:hint="eastAsia"/>
          <w:lang w:eastAsia="zh-CN"/>
        </w:rPr>
        <w:t>届联大（</w:t>
      </w:r>
      <w:r>
        <w:rPr>
          <w:lang w:eastAsia="zh-CN"/>
        </w:rPr>
        <w:t>1978</w:t>
      </w:r>
      <w:r>
        <w:rPr>
          <w:rFonts w:hint="eastAsia"/>
          <w:lang w:eastAsia="zh-CN"/>
        </w:rPr>
        <w:t>年）审议；</w:t>
      </w:r>
    </w:p>
    <w:p w14:paraId="4827BA73" w14:textId="77777777" w:rsidR="00802993" w:rsidRDefault="00802993" w:rsidP="00B64353">
      <w:pPr>
        <w:pStyle w:val="Call"/>
        <w:rPr>
          <w:lang w:eastAsia="zh-CN"/>
        </w:rPr>
      </w:pPr>
      <w:r w:rsidRPr="00E55240">
        <w:rPr>
          <w:rFonts w:hint="eastAsia"/>
          <w:lang w:eastAsia="zh-CN"/>
        </w:rPr>
        <w:t>考虑到</w:t>
      </w:r>
    </w:p>
    <w:p w14:paraId="4827BA74" w14:textId="77777777" w:rsidR="00802993" w:rsidRDefault="00802993" w:rsidP="0002090F">
      <w:pPr>
        <w:rPr>
          <w:lang w:eastAsia="zh-CN"/>
        </w:rPr>
      </w:pPr>
      <w:r w:rsidRPr="00376870">
        <w:rPr>
          <w:i/>
          <w:iCs/>
          <w:lang w:eastAsia="zh-CN"/>
        </w:rPr>
        <w:t>a</w:t>
      </w:r>
      <w:r w:rsidR="000E6A83" w:rsidRPr="00376870">
        <w:rPr>
          <w:i/>
          <w:iCs/>
          <w:lang w:eastAsia="zh-CN"/>
        </w:rPr>
        <w:t>)</w:t>
      </w:r>
      <w:r w:rsidR="000E6A83">
        <w:rPr>
          <w:lang w:eastAsia="zh-CN"/>
        </w:rPr>
        <w:tab/>
      </w:r>
      <w:r>
        <w:rPr>
          <w:rFonts w:hint="eastAsia"/>
          <w:lang w:eastAsia="zh-CN"/>
        </w:rPr>
        <w:t>国际电信联盟是联合国认可的、按照其基本法规采取适当行动以实现基本法规所制定宗旨的专门机构</w:t>
      </w:r>
      <w:r w:rsidR="00E40D62">
        <w:rPr>
          <w:rFonts w:hint="eastAsia"/>
          <w:lang w:eastAsia="zh-CN"/>
        </w:rPr>
        <w:t>；</w:t>
      </w:r>
    </w:p>
    <w:p w14:paraId="4827BA75" w14:textId="77777777" w:rsidR="00802993" w:rsidRDefault="00802993" w:rsidP="0002090F">
      <w:pPr>
        <w:rPr>
          <w:lang w:eastAsia="zh-CN"/>
        </w:rPr>
      </w:pPr>
      <w:r w:rsidRPr="00376870">
        <w:rPr>
          <w:i/>
          <w:iCs/>
          <w:lang w:eastAsia="zh-CN"/>
        </w:rPr>
        <w:t>b</w:t>
      </w:r>
      <w:r w:rsidR="000E6A83" w:rsidRPr="00376870">
        <w:rPr>
          <w:i/>
          <w:iCs/>
          <w:lang w:eastAsia="zh-CN"/>
        </w:rPr>
        <w:t>)</w:t>
      </w:r>
      <w:r w:rsidR="000E6A83">
        <w:rPr>
          <w:lang w:eastAsia="zh-CN"/>
        </w:rPr>
        <w:tab/>
      </w:r>
      <w:r>
        <w:rPr>
          <w:rFonts w:hint="eastAsia"/>
          <w:lang w:eastAsia="zh-CN"/>
        </w:rPr>
        <w:t>《国际电信联盟公约》（</w:t>
      </w:r>
      <w:r>
        <w:rPr>
          <w:lang w:eastAsia="zh-CN"/>
        </w:rPr>
        <w:t>1982</w:t>
      </w:r>
      <w:r>
        <w:rPr>
          <w:rFonts w:hint="eastAsia"/>
          <w:lang w:eastAsia="zh-CN"/>
        </w:rPr>
        <w:t>年，内罗毕）第</w:t>
      </w:r>
      <w:r>
        <w:rPr>
          <w:lang w:eastAsia="zh-CN"/>
        </w:rPr>
        <w:t>4</w:t>
      </w:r>
      <w:r>
        <w:rPr>
          <w:rFonts w:hint="eastAsia"/>
          <w:lang w:eastAsia="zh-CN"/>
        </w:rPr>
        <w:t>条规定国际电联宗旨如下：</w:t>
      </w:r>
    </w:p>
    <w:p w14:paraId="4827BA76" w14:textId="77777777" w:rsidR="00802993" w:rsidRDefault="00802993" w:rsidP="00376870">
      <w:pPr>
        <w:pStyle w:val="enumlev1"/>
        <w:rPr>
          <w:lang w:eastAsia="zh-CN"/>
        </w:rPr>
      </w:pPr>
      <w:r>
        <w:rPr>
          <w:lang w:eastAsia="zh-CN"/>
        </w:rPr>
        <w:t>–</w:t>
      </w:r>
      <w:r>
        <w:rPr>
          <w:lang w:eastAsia="zh-CN"/>
        </w:rPr>
        <w:tab/>
      </w:r>
      <w:r>
        <w:rPr>
          <w:rFonts w:hint="eastAsia"/>
          <w:lang w:eastAsia="zh-CN"/>
        </w:rPr>
        <w:t>保持和扩大所有成员国之间的国际合作，以改进和合理使用各种电信，并在电信领域内促进和提供对发展中国家的技术援助；</w:t>
      </w:r>
    </w:p>
    <w:p w14:paraId="4827BA77" w14:textId="77777777" w:rsidR="00802993" w:rsidRDefault="00802993" w:rsidP="00376870">
      <w:pPr>
        <w:pStyle w:val="enumlev1"/>
        <w:rPr>
          <w:lang w:eastAsia="zh-CN"/>
        </w:rPr>
      </w:pPr>
      <w:r>
        <w:rPr>
          <w:lang w:eastAsia="zh-CN"/>
        </w:rPr>
        <w:t>–</w:t>
      </w:r>
      <w:r>
        <w:rPr>
          <w:lang w:eastAsia="zh-CN"/>
        </w:rPr>
        <w:tab/>
      </w:r>
      <w:r>
        <w:rPr>
          <w:rFonts w:hint="eastAsia"/>
          <w:lang w:eastAsia="zh-CN"/>
        </w:rPr>
        <w:t>促进技术设施的发展及其最有效的运营，以提高电信业务的效率，增强其效用并尽量使之为公众普遍利用；</w:t>
      </w:r>
    </w:p>
    <w:p w14:paraId="4827BA78" w14:textId="77777777" w:rsidR="00802993" w:rsidRDefault="00F609DD" w:rsidP="00376870">
      <w:pPr>
        <w:pStyle w:val="enumlev1"/>
        <w:rPr>
          <w:lang w:eastAsia="zh-CN"/>
        </w:rPr>
      </w:pPr>
      <w:r>
        <w:rPr>
          <w:lang w:eastAsia="zh-CN"/>
        </w:rPr>
        <w:t>–</w:t>
      </w:r>
      <w:r>
        <w:rPr>
          <w:lang w:eastAsia="zh-CN"/>
        </w:rPr>
        <w:tab/>
      </w:r>
      <w:r w:rsidR="00802993">
        <w:rPr>
          <w:rFonts w:hint="eastAsia"/>
          <w:lang w:eastAsia="zh-CN"/>
        </w:rPr>
        <w:t>协调各成员国的行动以达到上述目的；</w:t>
      </w:r>
    </w:p>
    <w:p w14:paraId="4827BA79" w14:textId="77777777" w:rsidR="00802993" w:rsidRDefault="00802993" w:rsidP="0002090F">
      <w:pPr>
        <w:rPr>
          <w:lang w:eastAsia="zh-CN"/>
        </w:rPr>
      </w:pPr>
      <w:r w:rsidRPr="00376870">
        <w:rPr>
          <w:i/>
          <w:iCs/>
          <w:lang w:eastAsia="zh-CN"/>
        </w:rPr>
        <w:t>c</w:t>
      </w:r>
      <w:r w:rsidR="000E6A83" w:rsidRPr="00376870">
        <w:rPr>
          <w:i/>
          <w:iCs/>
          <w:lang w:eastAsia="zh-CN"/>
        </w:rPr>
        <w:t>)</w:t>
      </w:r>
      <w:r w:rsidR="000E6A83">
        <w:rPr>
          <w:lang w:eastAsia="zh-CN"/>
        </w:rPr>
        <w:tab/>
      </w:r>
      <w:r>
        <w:rPr>
          <w:rFonts w:hint="eastAsia"/>
          <w:lang w:eastAsia="zh-CN"/>
        </w:rPr>
        <w:t>按照《国际电信公约》第</w:t>
      </w:r>
      <w:r>
        <w:rPr>
          <w:lang w:eastAsia="zh-CN"/>
        </w:rPr>
        <w:t>5</w:t>
      </w:r>
      <w:r>
        <w:rPr>
          <w:rFonts w:hint="eastAsia"/>
          <w:lang w:eastAsia="zh-CN"/>
        </w:rPr>
        <w:t>条的规定，国际电联通过其各个机构在诸多方面开展工作，包括制定规则和标准，完成技术研究，以制定各种电信业务规划、运营和维护的政府间协议，包括用于大众通信的电信传输系统和资费；</w:t>
      </w:r>
    </w:p>
    <w:p w14:paraId="4827BA7A"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i/>
          <w:iCs/>
          <w:lang w:eastAsia="zh-CN"/>
        </w:rPr>
      </w:pPr>
      <w:r>
        <w:rPr>
          <w:i/>
          <w:iCs/>
          <w:lang w:eastAsia="zh-CN"/>
        </w:rPr>
        <w:br w:type="page"/>
      </w:r>
    </w:p>
    <w:p w14:paraId="4827BA7B" w14:textId="77777777" w:rsidR="00802993" w:rsidRDefault="00802993" w:rsidP="0002090F">
      <w:pPr>
        <w:rPr>
          <w:lang w:val="en-US" w:eastAsia="zh-CN"/>
        </w:rPr>
      </w:pPr>
      <w:r w:rsidRPr="00376870">
        <w:rPr>
          <w:i/>
          <w:iCs/>
          <w:lang w:eastAsia="zh-CN"/>
        </w:rPr>
        <w:lastRenderedPageBreak/>
        <w:t>d</w:t>
      </w:r>
      <w:r w:rsidR="000E6A83" w:rsidRPr="00376870">
        <w:rPr>
          <w:i/>
          <w:iCs/>
          <w:lang w:eastAsia="zh-CN"/>
        </w:rPr>
        <w:t>)</w:t>
      </w:r>
      <w:r w:rsidR="000E6A83">
        <w:rPr>
          <w:lang w:eastAsia="zh-CN"/>
        </w:rPr>
        <w:tab/>
      </w:r>
      <w:r>
        <w:rPr>
          <w:rFonts w:hint="eastAsia"/>
          <w:lang w:eastAsia="zh-CN"/>
        </w:rPr>
        <w:t>国际电联作为电信项目的执行机构全面参与联合国开发计划署的活动，</w:t>
      </w:r>
    </w:p>
    <w:p w14:paraId="4827BA7C" w14:textId="77777777" w:rsidR="00802993" w:rsidRDefault="00802993" w:rsidP="00B64353">
      <w:pPr>
        <w:rPr>
          <w:lang w:eastAsia="zh-CN"/>
        </w:rPr>
      </w:pPr>
      <w:r>
        <w:rPr>
          <w:lang w:eastAsia="zh-CN"/>
        </w:rPr>
        <w:tab/>
      </w:r>
      <w:r>
        <w:rPr>
          <w:rFonts w:ascii="STKaiti" w:eastAsia="STKaiti" w:hAnsi="SimSun" w:hint="eastAsia"/>
          <w:lang w:eastAsia="zh-CN"/>
        </w:rPr>
        <w:t>认识到</w:t>
      </w:r>
      <w:r>
        <w:rPr>
          <w:rFonts w:hint="eastAsia"/>
          <w:lang w:eastAsia="zh-CN"/>
        </w:rPr>
        <w:t>国际电联在协调国际国内电信发展工作中，应该与负责处理通信的其他国际组织保持联系，以了解它们的工作，并向它们传达现有的规则和标准条款以及国际电联过去和目前从事的影响到这些组织工作的活动，</w:t>
      </w:r>
    </w:p>
    <w:p w14:paraId="4827BA7D" w14:textId="77777777" w:rsidR="00802993" w:rsidRDefault="00802993" w:rsidP="0002090F">
      <w:pPr>
        <w:pStyle w:val="Call"/>
        <w:rPr>
          <w:lang w:eastAsia="zh-CN"/>
        </w:rPr>
      </w:pPr>
      <w:r>
        <w:rPr>
          <w:rFonts w:ascii="STKaiti" w:hAnsi="SimSun" w:hint="eastAsia"/>
          <w:lang w:eastAsia="zh-CN"/>
        </w:rPr>
        <w:t>请</w:t>
      </w:r>
      <w:r>
        <w:rPr>
          <w:rFonts w:hint="eastAsia"/>
          <w:lang w:eastAsia="zh-CN"/>
        </w:rPr>
        <w:t>国际电联所有成员国</w:t>
      </w:r>
    </w:p>
    <w:p w14:paraId="4827BA7E" w14:textId="77777777" w:rsidR="00802993" w:rsidRDefault="00802993" w:rsidP="0002090F">
      <w:pPr>
        <w:rPr>
          <w:lang w:eastAsia="zh-CN"/>
        </w:rPr>
      </w:pPr>
      <w:r>
        <w:rPr>
          <w:lang w:eastAsia="zh-CN"/>
        </w:rPr>
        <w:t>1</w:t>
      </w:r>
      <w:r w:rsidR="00E04370">
        <w:rPr>
          <w:lang w:eastAsia="zh-CN"/>
        </w:rPr>
        <w:tab/>
      </w:r>
      <w:r>
        <w:rPr>
          <w:rFonts w:hint="eastAsia"/>
          <w:lang w:eastAsia="zh-CN"/>
        </w:rPr>
        <w:t>向出席讨论有关通信事宜的联合国、专门机构和其他国际组织会议的国家代表团，关于国际电联在电信领域发挥的作用和担当的责任的简要介绍，</w:t>
      </w:r>
    </w:p>
    <w:p w14:paraId="4827BA7F" w14:textId="77777777" w:rsidR="00802993" w:rsidRDefault="00802993" w:rsidP="0002090F">
      <w:pPr>
        <w:rPr>
          <w:lang w:eastAsia="zh-CN"/>
        </w:rPr>
      </w:pPr>
      <w:r>
        <w:rPr>
          <w:lang w:eastAsia="zh-CN"/>
        </w:rPr>
        <w:t>2</w:t>
      </w:r>
      <w:r w:rsidR="00E04370">
        <w:rPr>
          <w:lang w:eastAsia="zh-CN"/>
        </w:rPr>
        <w:tab/>
      </w:r>
      <w:r>
        <w:rPr>
          <w:rFonts w:hint="eastAsia"/>
          <w:lang w:eastAsia="zh-CN"/>
        </w:rPr>
        <w:t>将本决议通知上述国家代表团，</w:t>
      </w:r>
    </w:p>
    <w:p w14:paraId="4827BA80" w14:textId="77777777" w:rsidR="00802993" w:rsidRPr="00E55240" w:rsidRDefault="00802993" w:rsidP="00B64353">
      <w:pPr>
        <w:pStyle w:val="Call"/>
        <w:rPr>
          <w:lang w:eastAsia="zh-CN"/>
        </w:rPr>
      </w:pPr>
      <w:r w:rsidRPr="00E55240">
        <w:rPr>
          <w:rFonts w:hint="eastAsia"/>
          <w:lang w:eastAsia="zh-CN"/>
        </w:rPr>
        <w:t>责成秘书长</w:t>
      </w:r>
    </w:p>
    <w:p w14:paraId="4827BA81" w14:textId="77777777" w:rsidR="00802993" w:rsidRDefault="00802993" w:rsidP="0002090F">
      <w:pPr>
        <w:rPr>
          <w:lang w:eastAsia="zh-CN"/>
        </w:rPr>
      </w:pPr>
      <w:r>
        <w:rPr>
          <w:lang w:eastAsia="zh-CN"/>
        </w:rPr>
        <w:t>1</w:t>
      </w:r>
      <w:r w:rsidR="00E04370">
        <w:rPr>
          <w:lang w:eastAsia="zh-CN"/>
        </w:rPr>
        <w:tab/>
      </w:r>
      <w:r>
        <w:rPr>
          <w:rFonts w:hint="eastAsia"/>
          <w:lang w:eastAsia="zh-CN"/>
        </w:rPr>
        <w:t>将本决议通知联合国秘书长以及关心电信发展的联合国专门机构和其他所有国际组织的负责人；</w:t>
      </w:r>
    </w:p>
    <w:p w14:paraId="4827BA82" w14:textId="77777777" w:rsidR="00802993" w:rsidRDefault="00802993" w:rsidP="0002090F">
      <w:pPr>
        <w:rPr>
          <w:lang w:eastAsia="zh-CN"/>
        </w:rPr>
      </w:pPr>
      <w:r>
        <w:rPr>
          <w:lang w:eastAsia="zh-CN"/>
        </w:rPr>
        <w:t>2</w:t>
      </w:r>
      <w:r w:rsidR="00E04370">
        <w:rPr>
          <w:lang w:eastAsia="zh-CN"/>
        </w:rPr>
        <w:tab/>
      </w:r>
      <w:r>
        <w:rPr>
          <w:rFonts w:hint="eastAsia"/>
          <w:lang w:eastAsia="zh-CN"/>
        </w:rPr>
        <w:t>与联合国教科文组织总干事充分合作制定联大第</w:t>
      </w:r>
      <w:r>
        <w:rPr>
          <w:lang w:eastAsia="zh-CN"/>
        </w:rPr>
        <w:t>A/RES/31/139</w:t>
      </w:r>
      <w:r>
        <w:rPr>
          <w:rFonts w:hint="eastAsia"/>
          <w:lang w:eastAsia="zh-CN"/>
        </w:rPr>
        <w:t>号决议所要求的报告，并向理事会第</w:t>
      </w:r>
      <w:r>
        <w:rPr>
          <w:lang w:eastAsia="zh-CN"/>
        </w:rPr>
        <w:t>33</w:t>
      </w:r>
      <w:r>
        <w:rPr>
          <w:rFonts w:hint="eastAsia"/>
          <w:lang w:eastAsia="zh-CN"/>
        </w:rPr>
        <w:t>届会议提交进展报告</w:t>
      </w:r>
      <w:r w:rsidR="00E40D62">
        <w:rPr>
          <w:rFonts w:hint="eastAsia"/>
          <w:lang w:eastAsia="zh-CN"/>
        </w:rPr>
        <w:t>；</w:t>
      </w:r>
    </w:p>
    <w:p w14:paraId="4827BA83" w14:textId="77777777" w:rsidR="00802993" w:rsidRDefault="00802993" w:rsidP="0002090F">
      <w:pPr>
        <w:rPr>
          <w:lang w:eastAsia="zh-CN"/>
        </w:rPr>
      </w:pPr>
      <w:r>
        <w:rPr>
          <w:lang w:eastAsia="zh-CN"/>
        </w:rPr>
        <w:t>3</w:t>
      </w:r>
      <w:r w:rsidR="00E04370">
        <w:rPr>
          <w:lang w:eastAsia="zh-CN"/>
        </w:rPr>
        <w:tab/>
      </w:r>
      <w:r>
        <w:rPr>
          <w:rFonts w:hint="eastAsia"/>
          <w:lang w:eastAsia="zh-CN"/>
        </w:rPr>
        <w:t>继续参与联合国和其他国际组织有关电信方面的工作，以进一步实现国际电联的宗旨；在上述工作中，强调国际电联在电信发展中所发挥的作用和开展的活动。</w:t>
      </w:r>
    </w:p>
    <w:p w14:paraId="4827BA84" w14:textId="77777777" w:rsidR="00F11D1D" w:rsidRPr="002E405F" w:rsidRDefault="00802993" w:rsidP="0002090F">
      <w:pPr>
        <w:pStyle w:val="Endtext"/>
        <w:rPr>
          <w:lang w:val="fr-FR" w:eastAsia="zh-CN"/>
        </w:rPr>
      </w:pPr>
      <w:r>
        <w:rPr>
          <w:rFonts w:ascii="STKaiti" w:hAnsi="SimSun" w:hint="eastAsia"/>
          <w:lang w:eastAsia="zh-CN"/>
        </w:rPr>
        <w:t>参阅：</w:t>
      </w:r>
      <w:r>
        <w:rPr>
          <w:lang w:eastAsia="zh-CN"/>
        </w:rPr>
        <w:tab/>
        <w:t>5148</w:t>
      </w:r>
      <w:r w:rsidR="00CF621C">
        <w:rPr>
          <w:lang w:val="en-US" w:eastAsia="zh-CN"/>
        </w:rPr>
        <w:t>(</w:t>
      </w:r>
      <w:r>
        <w:rPr>
          <w:lang w:eastAsia="zh-CN"/>
        </w:rPr>
        <w:t>Rev.</w:t>
      </w:r>
      <w:r w:rsidR="00CF621C">
        <w:rPr>
          <w:lang w:eastAsia="zh-CN"/>
        </w:rPr>
        <w:t>)</w:t>
      </w:r>
      <w:r>
        <w:rPr>
          <w:lang w:eastAsia="zh-CN"/>
        </w:rPr>
        <w:t>/CA32</w:t>
      </w:r>
      <w:r>
        <w:rPr>
          <w:lang w:eastAsia="zh-CN"/>
        </w:rPr>
        <w:t>（</w:t>
      </w:r>
      <w:r>
        <w:rPr>
          <w:lang w:eastAsia="zh-CN"/>
        </w:rPr>
        <w:t>1977</w:t>
      </w:r>
      <w:r>
        <w:rPr>
          <w:rFonts w:hint="eastAsia"/>
          <w:lang w:eastAsia="zh-CN"/>
        </w:rPr>
        <w:t>年</w:t>
      </w:r>
      <w:r>
        <w:rPr>
          <w:lang w:eastAsia="zh-CN"/>
        </w:rPr>
        <w:t>）</w:t>
      </w:r>
      <w:r>
        <w:rPr>
          <w:rFonts w:hint="eastAsia"/>
          <w:lang w:eastAsia="zh-CN"/>
        </w:rPr>
        <w:t>，</w:t>
      </w:r>
      <w:r>
        <w:rPr>
          <w:lang w:eastAsia="zh-CN"/>
        </w:rPr>
        <w:t>6197/CA39</w:t>
      </w:r>
      <w:r>
        <w:rPr>
          <w:lang w:eastAsia="zh-CN"/>
        </w:rPr>
        <w:t>（</w:t>
      </w:r>
      <w:r>
        <w:rPr>
          <w:lang w:eastAsia="zh-CN"/>
        </w:rPr>
        <w:t>1984</w:t>
      </w:r>
      <w:r>
        <w:rPr>
          <w:rFonts w:hint="eastAsia"/>
          <w:lang w:eastAsia="zh-CN"/>
        </w:rPr>
        <w:t>年</w:t>
      </w:r>
      <w:r>
        <w:rPr>
          <w:lang w:eastAsia="zh-CN"/>
        </w:rPr>
        <w:t>）</w:t>
      </w:r>
      <w:r>
        <w:rPr>
          <w:rFonts w:ascii="SimSun" w:hAnsi="SimSun" w:hint="eastAsia"/>
          <w:lang w:eastAsia="zh-CN"/>
        </w:rPr>
        <w:t>号文件。</w:t>
      </w:r>
    </w:p>
    <w:p w14:paraId="4827BA85" w14:textId="77777777" w:rsidR="00567CBA" w:rsidRDefault="00567CBA" w:rsidP="00567CBA">
      <w:pPr>
        <w:jc w:val="center"/>
        <w:rPr>
          <w:lang w:eastAsia="zh-CN"/>
        </w:rPr>
      </w:pPr>
      <w:bookmarkStart w:id="2674" w:name="_Toc424117148"/>
      <w:bookmarkStart w:id="2675" w:name="_Toc531706496"/>
      <w:bookmarkStart w:id="2676" w:name="_Toc531707116"/>
      <w:bookmarkStart w:id="2677" w:name="_Toc531768588"/>
      <w:bookmarkStart w:id="2678" w:name="_Toc161224119"/>
      <w:bookmarkStart w:id="2679" w:name="_Toc161732165"/>
      <w:bookmarkStart w:id="2680" w:name="_Toc161741097"/>
      <w:bookmarkStart w:id="2681" w:name="_Toc185237763"/>
      <w:bookmarkStart w:id="2682" w:name="_Toc311469674"/>
      <w:r>
        <w:rPr>
          <w:lang w:eastAsia="zh-CN"/>
        </w:rPr>
        <w:t>______________</w:t>
      </w:r>
    </w:p>
    <w:p w14:paraId="4827BA86" w14:textId="77777777" w:rsidR="0002090F" w:rsidRPr="0002090F" w:rsidRDefault="00802993" w:rsidP="000D18CD">
      <w:pPr>
        <w:pStyle w:val="ResNo"/>
        <w:outlineLvl w:val="0"/>
        <w:rPr>
          <w:lang w:eastAsia="zh-CN"/>
        </w:rPr>
      </w:pPr>
      <w:bookmarkStart w:id="2683" w:name="_Toc16085915"/>
      <w:bookmarkStart w:id="2684" w:name="_Toc86395710"/>
      <w:r w:rsidRPr="0002090F">
        <w:rPr>
          <w:rFonts w:hint="eastAsia"/>
          <w:lang w:eastAsia="zh-CN"/>
        </w:rPr>
        <w:t>第</w:t>
      </w:r>
      <w:r w:rsidRPr="0002090F">
        <w:rPr>
          <w:lang w:eastAsia="zh-CN"/>
        </w:rPr>
        <w:t>1027</w:t>
      </w:r>
      <w:r w:rsidRPr="0002090F">
        <w:rPr>
          <w:rFonts w:hint="eastAsia"/>
          <w:lang w:eastAsia="zh-CN"/>
        </w:rPr>
        <w:t>号决议</w:t>
      </w:r>
      <w:r w:rsidR="0002090F">
        <w:rPr>
          <w:rFonts w:hint="eastAsia"/>
          <w:lang w:eastAsia="zh-CN"/>
        </w:rPr>
        <w:t>（</w:t>
      </w:r>
      <w:r w:rsidR="0002090F" w:rsidRPr="0002090F">
        <w:rPr>
          <w:lang w:eastAsia="zh-CN"/>
        </w:rPr>
        <w:t>C-1992</w:t>
      </w:r>
      <w:r w:rsidR="0002090F">
        <w:rPr>
          <w:rFonts w:hint="eastAsia"/>
          <w:lang w:eastAsia="zh-CN"/>
        </w:rPr>
        <w:t>）</w:t>
      </w:r>
      <w:bookmarkEnd w:id="2674"/>
      <w:bookmarkEnd w:id="2675"/>
      <w:bookmarkEnd w:id="2676"/>
      <w:bookmarkEnd w:id="2677"/>
      <w:bookmarkEnd w:id="2683"/>
      <w:bookmarkEnd w:id="2684"/>
    </w:p>
    <w:p w14:paraId="4827BA87" w14:textId="77777777" w:rsidR="00802993" w:rsidRDefault="00802993" w:rsidP="0002090F">
      <w:pPr>
        <w:pStyle w:val="Restitle"/>
        <w:rPr>
          <w:lang w:eastAsia="zh-CN"/>
        </w:rPr>
      </w:pPr>
      <w:bookmarkStart w:id="2685" w:name="_Toc424116280"/>
      <w:bookmarkStart w:id="2686" w:name="_Toc424117149"/>
      <w:bookmarkStart w:id="2687" w:name="_Toc460248260"/>
      <w:bookmarkStart w:id="2688" w:name="_Toc531706497"/>
      <w:bookmarkStart w:id="2689" w:name="_Toc531707117"/>
      <w:bookmarkStart w:id="2690" w:name="_Toc531768589"/>
      <w:bookmarkStart w:id="2691" w:name="_Toc16085916"/>
      <w:bookmarkStart w:id="2692" w:name="_Toc86395711"/>
      <w:r>
        <w:rPr>
          <w:rFonts w:hint="eastAsia"/>
          <w:lang w:eastAsia="zh-CN"/>
        </w:rPr>
        <w:t>国际电联一百周年大奖基金</w:t>
      </w:r>
      <w:bookmarkEnd w:id="2678"/>
      <w:bookmarkEnd w:id="2679"/>
      <w:bookmarkEnd w:id="2680"/>
      <w:bookmarkEnd w:id="2681"/>
      <w:bookmarkEnd w:id="2682"/>
      <w:bookmarkEnd w:id="2685"/>
      <w:bookmarkEnd w:id="2686"/>
      <w:bookmarkEnd w:id="2687"/>
      <w:bookmarkEnd w:id="2688"/>
      <w:bookmarkEnd w:id="2689"/>
      <w:bookmarkEnd w:id="2690"/>
      <w:bookmarkEnd w:id="2691"/>
      <w:bookmarkEnd w:id="2692"/>
    </w:p>
    <w:p w14:paraId="4827BA88" w14:textId="77777777" w:rsidR="00802993" w:rsidRPr="0002090F" w:rsidRDefault="00802993" w:rsidP="0002090F">
      <w:pPr>
        <w:pStyle w:val="Normalaftertitle"/>
        <w:rPr>
          <w:lang w:eastAsia="zh-CN"/>
        </w:rPr>
      </w:pPr>
      <w:r w:rsidRPr="0002090F">
        <w:rPr>
          <w:rFonts w:hint="eastAsia"/>
          <w:lang w:eastAsia="zh-CN"/>
        </w:rPr>
        <w:t>理事会，</w:t>
      </w:r>
    </w:p>
    <w:p w14:paraId="4827BA89" w14:textId="77777777" w:rsidR="00802993" w:rsidRDefault="00802993" w:rsidP="0002090F">
      <w:pPr>
        <w:rPr>
          <w:lang w:eastAsia="zh-CN"/>
        </w:rPr>
      </w:pPr>
      <w:r>
        <w:rPr>
          <w:lang w:eastAsia="zh-CN"/>
        </w:rPr>
        <w:tab/>
      </w:r>
      <w:r>
        <w:rPr>
          <w:rFonts w:ascii="STKaiti" w:eastAsia="STKaiti" w:hAnsi="SimSun" w:hint="eastAsia"/>
          <w:lang w:eastAsia="zh-CN"/>
        </w:rPr>
        <w:t>忆及</w:t>
      </w:r>
      <w:r>
        <w:rPr>
          <w:rFonts w:ascii="SimSun" w:hAnsi="SimSun" w:hint="eastAsia"/>
          <w:lang w:eastAsia="zh-CN"/>
        </w:rPr>
        <w:t>题为“国际电联一百周年大奖</w:t>
      </w:r>
      <w:r>
        <w:rPr>
          <w:rFonts w:hint="eastAsia"/>
          <w:lang w:eastAsia="zh-CN"/>
        </w:rPr>
        <w:t>”的第</w:t>
      </w:r>
      <w:r>
        <w:rPr>
          <w:lang w:eastAsia="zh-CN"/>
        </w:rPr>
        <w:t>816</w:t>
      </w:r>
      <w:r>
        <w:rPr>
          <w:rFonts w:hint="eastAsia"/>
          <w:lang w:eastAsia="zh-CN"/>
        </w:rPr>
        <w:t>号决议</w:t>
      </w:r>
      <w:r>
        <w:rPr>
          <w:lang w:eastAsia="zh-CN"/>
        </w:rPr>
        <w:t>（</w:t>
      </w:r>
      <w:r>
        <w:rPr>
          <w:rFonts w:hint="eastAsia"/>
          <w:lang w:eastAsia="zh-CN"/>
        </w:rPr>
        <w:t>修正版</w:t>
      </w:r>
      <w:r>
        <w:rPr>
          <w:lang w:eastAsia="zh-CN"/>
        </w:rPr>
        <w:t>）</w:t>
      </w:r>
      <w:r>
        <w:rPr>
          <w:rFonts w:hint="eastAsia"/>
          <w:lang w:eastAsia="zh-CN"/>
        </w:rPr>
        <w:t>，</w:t>
      </w:r>
    </w:p>
    <w:p w14:paraId="4827BA8A" w14:textId="77777777" w:rsidR="00802993" w:rsidRDefault="00802993" w:rsidP="0002090F">
      <w:pPr>
        <w:rPr>
          <w:lang w:eastAsia="zh-CN"/>
        </w:rPr>
      </w:pPr>
      <w:r>
        <w:rPr>
          <w:lang w:eastAsia="zh-CN"/>
        </w:rPr>
        <w:tab/>
      </w:r>
      <w:r>
        <w:rPr>
          <w:rFonts w:ascii="STKaiti" w:eastAsia="STKaiti" w:hint="eastAsia"/>
          <w:lang w:eastAsia="zh-CN"/>
        </w:rPr>
        <w:t>经审议</w:t>
      </w:r>
      <w:r>
        <w:rPr>
          <w:lang w:eastAsia="zh-CN"/>
        </w:rPr>
        <w:t>7238/CA47</w:t>
      </w:r>
      <w:r>
        <w:rPr>
          <w:rFonts w:hint="eastAsia"/>
          <w:lang w:eastAsia="zh-CN"/>
        </w:rPr>
        <w:t>号文件中题为“一百周年大奖基金使用”的秘书长报告，</w:t>
      </w:r>
    </w:p>
    <w:p w14:paraId="4827BA8B" w14:textId="77777777" w:rsidR="00802993" w:rsidRDefault="00802993" w:rsidP="00B64353">
      <w:pPr>
        <w:rPr>
          <w:lang w:eastAsia="zh-CN"/>
        </w:rPr>
      </w:pPr>
      <w:r>
        <w:rPr>
          <w:lang w:eastAsia="zh-CN"/>
        </w:rPr>
        <w:tab/>
      </w:r>
      <w:r>
        <w:rPr>
          <w:rFonts w:ascii="STKaiti" w:eastAsia="STKaiti" w:hAnsi="SimSun" w:hint="eastAsia"/>
          <w:lang w:eastAsia="zh-CN"/>
        </w:rPr>
        <w:t>注意到</w:t>
      </w:r>
      <w:r>
        <w:rPr>
          <w:rFonts w:ascii="SimSun" w:hAnsi="SimSun" w:hint="eastAsia"/>
          <w:lang w:eastAsia="zh-CN"/>
        </w:rPr>
        <w:t>理事国赞同将原准备用于建造国际电联一百周年纪念碑的现有基金用于国际电联中心图书馆的更新换代，</w:t>
      </w:r>
    </w:p>
    <w:p w14:paraId="4827BA8C" w14:textId="77777777" w:rsidR="00802993" w:rsidRDefault="00802993" w:rsidP="00B64353">
      <w:pPr>
        <w:rPr>
          <w:lang w:eastAsia="zh-CN"/>
        </w:rPr>
      </w:pPr>
      <w:r>
        <w:rPr>
          <w:lang w:eastAsia="zh-CN"/>
        </w:rPr>
        <w:tab/>
      </w:r>
      <w:r>
        <w:rPr>
          <w:rFonts w:ascii="STKaiti" w:eastAsia="STKaiti" w:hAnsi="SimSun" w:hint="eastAsia"/>
          <w:lang w:eastAsia="zh-CN"/>
        </w:rPr>
        <w:t>考虑到</w:t>
      </w:r>
      <w:r>
        <w:rPr>
          <w:rFonts w:ascii="SimSun" w:hAnsi="SimSun" w:hint="eastAsia"/>
          <w:lang w:eastAsia="zh-CN"/>
        </w:rPr>
        <w:t>为能确保国际电联总部现有信息的更有效地交换与交流，图书馆的计算机化必将体现为在向国际电联成员国-特别是最不发达国家-提供服务方面的量的和质的改进，</w:t>
      </w:r>
    </w:p>
    <w:p w14:paraId="4827BA8D" w14:textId="77777777" w:rsidR="00802993" w:rsidRDefault="00802993" w:rsidP="00B64353">
      <w:pPr>
        <w:rPr>
          <w:lang w:eastAsia="zh-CN"/>
        </w:rPr>
      </w:pPr>
      <w:r>
        <w:rPr>
          <w:lang w:eastAsia="zh-CN"/>
        </w:rPr>
        <w:tab/>
      </w:r>
      <w:r>
        <w:rPr>
          <w:rFonts w:ascii="STKaiti" w:eastAsia="STKaiti" w:hAnsi="SimSun" w:hint="eastAsia"/>
          <w:lang w:eastAsia="zh-CN"/>
        </w:rPr>
        <w:t>做出决议，</w:t>
      </w:r>
      <w:r>
        <w:rPr>
          <w:rFonts w:ascii="SimSun" w:hAnsi="SimSun" w:hint="eastAsia"/>
          <w:lang w:eastAsia="zh-CN"/>
        </w:rPr>
        <w:t>在捐赠方批准的情况下，将一百周年大奖基金用于国际电联中心图书馆的现代化工程，</w:t>
      </w:r>
    </w:p>
    <w:p w14:paraId="4827BA8E"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lang w:eastAsia="zh-CN"/>
        </w:rPr>
        <w:br w:type="page"/>
      </w:r>
    </w:p>
    <w:p w14:paraId="4827BA8F" w14:textId="77777777" w:rsidR="00802993" w:rsidRDefault="00802993" w:rsidP="00B64353">
      <w:pPr>
        <w:pStyle w:val="Call"/>
        <w:rPr>
          <w:lang w:eastAsia="zh-CN"/>
        </w:rPr>
      </w:pPr>
      <w:r>
        <w:rPr>
          <w:rFonts w:hint="eastAsia"/>
          <w:lang w:eastAsia="zh-CN"/>
        </w:rPr>
        <w:lastRenderedPageBreak/>
        <w:t>责成秘书长</w:t>
      </w:r>
    </w:p>
    <w:p w14:paraId="4827BA90" w14:textId="77777777" w:rsidR="00802993" w:rsidRDefault="00802993" w:rsidP="00B64353">
      <w:pPr>
        <w:rPr>
          <w:lang w:eastAsia="zh-CN"/>
        </w:rPr>
      </w:pPr>
      <w:r>
        <w:rPr>
          <w:lang w:eastAsia="zh-CN"/>
        </w:rPr>
        <w:t>1</w:t>
      </w:r>
      <w:r w:rsidR="00E04370">
        <w:rPr>
          <w:lang w:eastAsia="zh-CN"/>
        </w:rPr>
        <w:tab/>
      </w:r>
      <w:r>
        <w:rPr>
          <w:rFonts w:hint="eastAsia"/>
          <w:lang w:eastAsia="zh-CN"/>
        </w:rPr>
        <w:t>征得向基金捐款的各主管部门的批准，</w:t>
      </w:r>
    </w:p>
    <w:p w14:paraId="4827BA91" w14:textId="77777777" w:rsidR="00802993" w:rsidRDefault="00802993" w:rsidP="00B64353">
      <w:pPr>
        <w:rPr>
          <w:lang w:eastAsia="zh-CN"/>
        </w:rPr>
      </w:pPr>
      <w:r>
        <w:rPr>
          <w:lang w:eastAsia="zh-CN"/>
        </w:rPr>
        <w:t>2</w:t>
      </w:r>
      <w:r w:rsidR="00E04370">
        <w:rPr>
          <w:lang w:eastAsia="zh-CN"/>
        </w:rPr>
        <w:tab/>
      </w:r>
      <w:r>
        <w:rPr>
          <w:rFonts w:hint="eastAsia"/>
          <w:lang w:eastAsia="zh-CN"/>
        </w:rPr>
        <w:t>根据</w:t>
      </w:r>
      <w:r>
        <w:rPr>
          <w:lang w:eastAsia="zh-CN"/>
        </w:rPr>
        <w:t>7238/CA47</w:t>
      </w:r>
      <w:r>
        <w:rPr>
          <w:rFonts w:hint="eastAsia"/>
          <w:lang w:eastAsia="zh-CN"/>
        </w:rPr>
        <w:t>号文件中的提案，落实该项目。</w:t>
      </w:r>
    </w:p>
    <w:p w14:paraId="4827BA92" w14:textId="77777777" w:rsidR="00802993" w:rsidRDefault="00802993" w:rsidP="00B64353">
      <w:pPr>
        <w:rPr>
          <w:lang w:eastAsia="zh-CN"/>
        </w:rPr>
      </w:pPr>
      <w:r>
        <w:rPr>
          <w:rFonts w:hint="eastAsia"/>
          <w:lang w:eastAsia="zh-CN"/>
        </w:rPr>
        <w:tab/>
      </w:r>
      <w:r>
        <w:rPr>
          <w:rFonts w:hint="eastAsia"/>
          <w:lang w:eastAsia="zh-CN"/>
        </w:rPr>
        <w:t>本决议废除并取代第</w:t>
      </w:r>
      <w:r>
        <w:rPr>
          <w:lang w:eastAsia="zh-CN"/>
        </w:rPr>
        <w:t>816</w:t>
      </w:r>
      <w:r>
        <w:rPr>
          <w:rFonts w:hint="eastAsia"/>
          <w:lang w:eastAsia="zh-CN"/>
        </w:rPr>
        <w:t>号决议（修正版）。</w:t>
      </w:r>
    </w:p>
    <w:p w14:paraId="4827BA93" w14:textId="77777777" w:rsidR="00F11D1D" w:rsidRPr="00D746C3" w:rsidRDefault="00802993" w:rsidP="0002090F">
      <w:pPr>
        <w:pStyle w:val="Endtext"/>
        <w:rPr>
          <w:lang w:eastAsia="zh-CN"/>
        </w:rPr>
      </w:pPr>
      <w:r>
        <w:rPr>
          <w:rFonts w:ascii="STKaiti" w:hAnsi="SimSun" w:hint="eastAsia"/>
          <w:lang w:eastAsia="zh-CN"/>
        </w:rPr>
        <w:t>参阅：</w:t>
      </w:r>
      <w:r>
        <w:rPr>
          <w:lang w:eastAsia="zh-CN"/>
        </w:rPr>
        <w:tab/>
      </w:r>
      <w:r>
        <w:rPr>
          <w:rFonts w:hint="eastAsia"/>
          <w:lang w:eastAsia="zh-CN"/>
        </w:rPr>
        <w:t>第</w:t>
      </w:r>
      <w:r w:rsidR="00F609DD">
        <w:rPr>
          <w:lang w:eastAsia="zh-CN"/>
        </w:rPr>
        <w:t>816</w:t>
      </w:r>
      <w:r>
        <w:rPr>
          <w:rFonts w:ascii="SimSun" w:hAnsi="SimSun" w:hint="eastAsia"/>
          <w:lang w:eastAsia="zh-CN"/>
        </w:rPr>
        <w:t>号决议</w:t>
      </w:r>
      <w:r>
        <w:rPr>
          <w:lang w:eastAsia="zh-CN"/>
        </w:rPr>
        <w:t>（</w:t>
      </w:r>
      <w:r>
        <w:rPr>
          <w:rFonts w:hint="eastAsia"/>
          <w:lang w:eastAsia="zh-CN"/>
        </w:rPr>
        <w:t>修正版</w:t>
      </w:r>
      <w:r>
        <w:rPr>
          <w:lang w:eastAsia="zh-CN"/>
        </w:rPr>
        <w:t>）</w:t>
      </w:r>
      <w:r>
        <w:rPr>
          <w:rFonts w:ascii="SimSun" w:hAnsi="SimSun" w:hint="eastAsia"/>
          <w:lang w:eastAsia="zh-CN"/>
        </w:rPr>
        <w:t>和</w:t>
      </w:r>
      <w:r>
        <w:rPr>
          <w:lang w:eastAsia="zh-CN"/>
        </w:rPr>
        <w:t>7238</w:t>
      </w:r>
      <w:r w:rsidR="00BF54E4">
        <w:rPr>
          <w:rFonts w:hint="eastAsia"/>
          <w:lang w:eastAsia="zh-CN"/>
        </w:rPr>
        <w:t>、</w:t>
      </w:r>
      <w:r>
        <w:rPr>
          <w:lang w:eastAsia="zh-CN"/>
        </w:rPr>
        <w:t>7320</w:t>
      </w:r>
      <w:r>
        <w:rPr>
          <w:rFonts w:hint="eastAsia"/>
          <w:lang w:eastAsia="zh-CN"/>
        </w:rPr>
        <w:t>和</w:t>
      </w:r>
      <w:r>
        <w:rPr>
          <w:lang w:eastAsia="zh-CN"/>
        </w:rPr>
        <w:t>7321/CA47</w:t>
      </w:r>
      <w:r>
        <w:rPr>
          <w:lang w:eastAsia="zh-CN"/>
        </w:rPr>
        <w:t>（</w:t>
      </w:r>
      <w:r>
        <w:rPr>
          <w:lang w:eastAsia="zh-CN"/>
        </w:rPr>
        <w:t>1992</w:t>
      </w:r>
      <w:r>
        <w:rPr>
          <w:rFonts w:hint="eastAsia"/>
          <w:lang w:eastAsia="zh-CN"/>
        </w:rPr>
        <w:t>年</w:t>
      </w:r>
      <w:r>
        <w:rPr>
          <w:lang w:eastAsia="zh-CN"/>
        </w:rPr>
        <w:t>）</w:t>
      </w:r>
      <w:r>
        <w:rPr>
          <w:rFonts w:ascii="SimSun" w:hAnsi="SimSun" w:hint="eastAsia"/>
          <w:lang w:eastAsia="zh-CN"/>
        </w:rPr>
        <w:t>号文件。</w:t>
      </w:r>
    </w:p>
    <w:p w14:paraId="4827BA94" w14:textId="77777777" w:rsidR="00567CBA" w:rsidRDefault="00567CBA" w:rsidP="00567CBA">
      <w:pPr>
        <w:jc w:val="center"/>
        <w:rPr>
          <w:lang w:eastAsia="zh-CN"/>
        </w:rPr>
      </w:pPr>
      <w:bookmarkStart w:id="2693" w:name="_Toc424117150"/>
      <w:bookmarkStart w:id="2694" w:name="_Toc531706498"/>
      <w:bookmarkStart w:id="2695" w:name="_Toc531707118"/>
      <w:bookmarkStart w:id="2696" w:name="_Toc531768590"/>
      <w:bookmarkStart w:id="2697" w:name="_Toc161224120"/>
      <w:bookmarkStart w:id="2698" w:name="_Toc161732166"/>
      <w:bookmarkStart w:id="2699" w:name="_Toc161741098"/>
      <w:bookmarkStart w:id="2700" w:name="_Toc185237764"/>
      <w:bookmarkStart w:id="2701" w:name="_Toc311469675"/>
      <w:r>
        <w:rPr>
          <w:lang w:eastAsia="zh-CN"/>
        </w:rPr>
        <w:t>______________</w:t>
      </w:r>
    </w:p>
    <w:p w14:paraId="4827BA95" w14:textId="77777777" w:rsidR="0002090F" w:rsidRPr="0002090F" w:rsidRDefault="00307199" w:rsidP="000D18CD">
      <w:pPr>
        <w:pStyle w:val="ResNo"/>
        <w:outlineLvl w:val="0"/>
        <w:rPr>
          <w:lang w:eastAsia="zh-CN"/>
        </w:rPr>
      </w:pPr>
      <w:bookmarkStart w:id="2702" w:name="_Toc16085917"/>
      <w:bookmarkStart w:id="2703" w:name="_Toc86395712"/>
      <w:r w:rsidRPr="0002090F">
        <w:rPr>
          <w:rFonts w:hint="eastAsia"/>
          <w:lang w:eastAsia="zh-CN"/>
        </w:rPr>
        <w:t>第</w:t>
      </w:r>
      <w:r w:rsidRPr="0002090F">
        <w:rPr>
          <w:lang w:eastAsia="zh-CN"/>
        </w:rPr>
        <w:t>1353</w:t>
      </w:r>
      <w:r w:rsidRPr="0002090F">
        <w:rPr>
          <w:rFonts w:hint="eastAsia"/>
          <w:lang w:eastAsia="zh-CN"/>
        </w:rPr>
        <w:t>号决议</w:t>
      </w:r>
      <w:r w:rsidR="0002090F">
        <w:rPr>
          <w:rFonts w:hint="eastAsia"/>
          <w:lang w:eastAsia="zh-CN"/>
        </w:rPr>
        <w:t>（</w:t>
      </w:r>
      <w:r w:rsidR="0002090F" w:rsidRPr="0002090F">
        <w:rPr>
          <w:lang w:eastAsia="zh-CN"/>
        </w:rPr>
        <w:t>C</w:t>
      </w:r>
      <w:r w:rsidR="0002090F">
        <w:rPr>
          <w:lang w:eastAsia="zh-CN"/>
        </w:rPr>
        <w:t>12</w:t>
      </w:r>
      <w:r w:rsidR="0002090F">
        <w:rPr>
          <w:rFonts w:hint="eastAsia"/>
          <w:lang w:eastAsia="zh-CN"/>
        </w:rPr>
        <w:t>）</w:t>
      </w:r>
      <w:bookmarkEnd w:id="2693"/>
      <w:bookmarkEnd w:id="2694"/>
      <w:bookmarkEnd w:id="2695"/>
      <w:bookmarkEnd w:id="2696"/>
      <w:bookmarkEnd w:id="2702"/>
      <w:bookmarkEnd w:id="2703"/>
    </w:p>
    <w:p w14:paraId="4827BA96" w14:textId="77777777" w:rsidR="00307199" w:rsidRPr="00B81E94" w:rsidRDefault="00307199" w:rsidP="00B81E94">
      <w:pPr>
        <w:pStyle w:val="Restitle"/>
        <w:rPr>
          <w:lang w:eastAsia="zh-CN"/>
        </w:rPr>
      </w:pPr>
      <w:bookmarkStart w:id="2704" w:name="_Toc424116281"/>
      <w:bookmarkStart w:id="2705" w:name="_Toc424117151"/>
      <w:bookmarkStart w:id="2706" w:name="_Toc460248262"/>
      <w:bookmarkStart w:id="2707" w:name="_Toc531706499"/>
      <w:bookmarkStart w:id="2708" w:name="_Toc531707119"/>
      <w:bookmarkStart w:id="2709" w:name="_Toc531768591"/>
      <w:bookmarkStart w:id="2710" w:name="_Toc16085918"/>
      <w:bookmarkStart w:id="2711" w:name="_Toc86395713"/>
      <w:r w:rsidRPr="00B81E94">
        <w:rPr>
          <w:rFonts w:hint="eastAsia"/>
          <w:lang w:eastAsia="zh-CN"/>
        </w:rPr>
        <w:t>国际电联在落实</w:t>
      </w:r>
      <w:r w:rsidRPr="00B81E94">
        <w:rPr>
          <w:rFonts w:hint="eastAsia"/>
          <w:lang w:eastAsia="zh-CN"/>
        </w:rPr>
        <w:t>2012</w:t>
      </w:r>
      <w:r w:rsidRPr="00B81E94">
        <w:rPr>
          <w:rFonts w:hint="eastAsia"/>
          <w:lang w:eastAsia="zh-CN"/>
        </w:rPr>
        <w:t>年联合国可持续发展</w:t>
      </w:r>
      <w:r w:rsidR="00B81E94" w:rsidRPr="00B81E94">
        <w:rPr>
          <w:lang w:eastAsia="zh-CN"/>
        </w:rPr>
        <w:br/>
      </w:r>
      <w:r w:rsidRPr="00B81E94">
        <w:rPr>
          <w:rFonts w:hint="eastAsia"/>
          <w:lang w:eastAsia="zh-CN"/>
        </w:rPr>
        <w:t>会议</w:t>
      </w:r>
      <w:r w:rsidRPr="00B81E94">
        <w:rPr>
          <w:lang w:eastAsia="zh-CN"/>
        </w:rPr>
        <w:t>（</w:t>
      </w:r>
      <w:r w:rsidRPr="00B81E94">
        <w:rPr>
          <w:lang w:eastAsia="zh-CN"/>
        </w:rPr>
        <w:t>R</w:t>
      </w:r>
      <w:r w:rsidRPr="00B81E94">
        <w:rPr>
          <w:rFonts w:hint="eastAsia"/>
          <w:lang w:eastAsia="zh-CN"/>
        </w:rPr>
        <w:t>io</w:t>
      </w:r>
      <w:r w:rsidRPr="00B81E94">
        <w:rPr>
          <w:lang w:eastAsia="zh-CN"/>
        </w:rPr>
        <w:t>+20</w:t>
      </w:r>
      <w:r w:rsidRPr="00B81E94">
        <w:rPr>
          <w:lang w:eastAsia="zh-CN"/>
        </w:rPr>
        <w:t>）</w:t>
      </w:r>
      <w:r w:rsidRPr="00B81E94">
        <w:rPr>
          <w:rFonts w:hint="eastAsia"/>
          <w:lang w:eastAsia="zh-CN"/>
        </w:rPr>
        <w:t>成果方面的作用</w:t>
      </w:r>
      <w:bookmarkEnd w:id="2704"/>
      <w:bookmarkEnd w:id="2705"/>
      <w:bookmarkEnd w:id="2706"/>
      <w:bookmarkEnd w:id="2707"/>
      <w:bookmarkEnd w:id="2708"/>
      <w:bookmarkEnd w:id="2709"/>
      <w:bookmarkEnd w:id="2710"/>
      <w:bookmarkEnd w:id="2711"/>
    </w:p>
    <w:p w14:paraId="4827BA97" w14:textId="77777777" w:rsidR="00307199" w:rsidRPr="003636BE" w:rsidRDefault="00307199" w:rsidP="00B81E94">
      <w:pPr>
        <w:pStyle w:val="Normalaftertitle"/>
        <w:rPr>
          <w:lang w:val="en-US" w:eastAsia="zh-CN"/>
        </w:rPr>
      </w:pPr>
      <w:r w:rsidRPr="003636BE">
        <w:rPr>
          <w:rFonts w:hint="eastAsia"/>
          <w:lang w:val="en-US" w:eastAsia="zh-CN"/>
        </w:rPr>
        <w:t>理事会，</w:t>
      </w:r>
    </w:p>
    <w:p w14:paraId="4827BA98" w14:textId="77777777" w:rsidR="00307199" w:rsidRPr="003636BE" w:rsidRDefault="00307199" w:rsidP="00B64353">
      <w:pPr>
        <w:pStyle w:val="Call"/>
        <w:rPr>
          <w:b/>
          <w:bCs/>
          <w:lang w:eastAsia="zh-CN"/>
        </w:rPr>
      </w:pPr>
      <w:r w:rsidRPr="003636BE">
        <w:rPr>
          <w:rFonts w:hint="eastAsia"/>
          <w:lang w:eastAsia="zh-CN"/>
        </w:rPr>
        <w:t>忆及</w:t>
      </w:r>
    </w:p>
    <w:p w14:paraId="4827BA99" w14:textId="77777777" w:rsidR="00307199" w:rsidRPr="003636BE" w:rsidRDefault="00307199" w:rsidP="00B64353">
      <w:pPr>
        <w:rPr>
          <w:lang w:eastAsia="zh-CN"/>
        </w:rPr>
      </w:pPr>
      <w:r w:rsidRPr="003636BE">
        <w:rPr>
          <w:rFonts w:hint="eastAsia"/>
          <w:i/>
          <w:iCs/>
          <w:lang w:eastAsia="zh-CN"/>
        </w:rPr>
        <w:t>a)</w:t>
      </w:r>
      <w:r w:rsidRPr="003636BE">
        <w:rPr>
          <w:rFonts w:hint="eastAsia"/>
          <w:lang w:eastAsia="zh-CN"/>
        </w:rPr>
        <w:tab/>
      </w:r>
      <w:r w:rsidRPr="003636BE">
        <w:rPr>
          <w:rFonts w:hint="eastAsia"/>
          <w:lang w:eastAsia="zh-CN"/>
        </w:rPr>
        <w:t>有关“电信对环境保护的支持”的第</w:t>
      </w:r>
      <w:r w:rsidRPr="003636BE">
        <w:rPr>
          <w:lang w:eastAsia="zh-CN"/>
        </w:rPr>
        <w:t>35</w:t>
      </w:r>
      <w:r w:rsidRPr="003636BE">
        <w:rPr>
          <w:rFonts w:hint="eastAsia"/>
          <w:lang w:eastAsia="zh-CN"/>
        </w:rPr>
        <w:t>号决议（</w:t>
      </w:r>
      <w:r w:rsidRPr="003636BE">
        <w:rPr>
          <w:lang w:eastAsia="zh-CN"/>
        </w:rPr>
        <w:t>1994</w:t>
      </w:r>
      <w:r w:rsidRPr="003636BE">
        <w:rPr>
          <w:rFonts w:hint="eastAsia"/>
          <w:lang w:val="fr-FR" w:eastAsia="zh-CN"/>
        </w:rPr>
        <w:t>年</w:t>
      </w:r>
      <w:r w:rsidRPr="003636BE">
        <w:rPr>
          <w:rFonts w:hint="eastAsia"/>
          <w:lang w:eastAsia="zh-CN"/>
        </w:rPr>
        <w:t>，</w:t>
      </w:r>
      <w:r w:rsidRPr="003636BE">
        <w:rPr>
          <w:rFonts w:hint="eastAsia"/>
          <w:lang w:val="fr-FR" w:eastAsia="zh-CN"/>
        </w:rPr>
        <w:t>京都</w:t>
      </w:r>
      <w:r w:rsidRPr="003636BE">
        <w:rPr>
          <w:rFonts w:hint="eastAsia"/>
          <w:lang w:eastAsia="zh-CN"/>
        </w:rPr>
        <w:t>）；</w:t>
      </w:r>
    </w:p>
    <w:p w14:paraId="4827BA9A" w14:textId="77777777" w:rsidR="00307199" w:rsidRPr="003636BE" w:rsidRDefault="00307199" w:rsidP="00B64353">
      <w:pPr>
        <w:rPr>
          <w:lang w:eastAsia="zh-CN"/>
        </w:rPr>
      </w:pPr>
      <w:r w:rsidRPr="003636BE">
        <w:rPr>
          <w:rFonts w:hint="eastAsia"/>
          <w:i/>
          <w:iCs/>
          <w:lang w:eastAsia="zh-CN"/>
        </w:rPr>
        <w:t>b)</w:t>
      </w:r>
      <w:r w:rsidRPr="003636BE">
        <w:rPr>
          <w:rFonts w:hint="eastAsia"/>
          <w:lang w:eastAsia="zh-CN"/>
        </w:rPr>
        <w:tab/>
      </w:r>
      <w:r w:rsidRPr="003636BE">
        <w:rPr>
          <w:rFonts w:hint="eastAsia"/>
          <w:lang w:eastAsia="zh-CN"/>
        </w:rPr>
        <w:t>有关“国际电联在发展电信</w:t>
      </w:r>
      <w:r w:rsidRPr="003636BE">
        <w:rPr>
          <w:rFonts w:hint="eastAsia"/>
          <w:lang w:eastAsia="zh-CN"/>
        </w:rPr>
        <w:t>/</w:t>
      </w:r>
      <w:r w:rsidRPr="003636BE">
        <w:rPr>
          <w:rFonts w:hint="eastAsia"/>
          <w:lang w:eastAsia="zh-CN"/>
        </w:rPr>
        <w:t>信息通信技术、向发展中国家提供技术援助和咨询以及实施相关各国、区域性和跨区域性项目中的作用”的第</w:t>
      </w:r>
      <w:r w:rsidRPr="003636BE">
        <w:rPr>
          <w:lang w:eastAsia="zh-CN"/>
        </w:rPr>
        <w:t>135</w:t>
      </w:r>
      <w:r w:rsidRPr="003636BE">
        <w:rPr>
          <w:rFonts w:hint="eastAsia"/>
          <w:lang w:eastAsia="zh-CN"/>
        </w:rPr>
        <w:t>号决议（</w:t>
      </w:r>
      <w:r w:rsidRPr="003636BE">
        <w:rPr>
          <w:rFonts w:hint="eastAsia"/>
          <w:lang w:eastAsia="zh-CN"/>
        </w:rPr>
        <w:t>2010</w:t>
      </w:r>
      <w:r w:rsidRPr="003636BE">
        <w:rPr>
          <w:rFonts w:hint="eastAsia"/>
          <w:lang w:eastAsia="zh-CN"/>
        </w:rPr>
        <w:t>年，瓜达拉哈拉，修订版）；</w:t>
      </w:r>
    </w:p>
    <w:p w14:paraId="4827BA9B" w14:textId="77777777" w:rsidR="00307199" w:rsidRPr="003636BE" w:rsidRDefault="00307199" w:rsidP="00B64353">
      <w:pPr>
        <w:rPr>
          <w:lang w:eastAsia="zh-CN"/>
        </w:rPr>
      </w:pPr>
      <w:r w:rsidRPr="003636BE">
        <w:rPr>
          <w:rFonts w:hint="eastAsia"/>
          <w:i/>
          <w:iCs/>
          <w:lang w:eastAsia="zh-CN"/>
        </w:rPr>
        <w:t>c)</w:t>
      </w:r>
      <w:r w:rsidRPr="003636BE">
        <w:rPr>
          <w:rFonts w:hint="eastAsia"/>
          <w:lang w:eastAsia="zh-CN"/>
        </w:rPr>
        <w:tab/>
      </w:r>
      <w:r w:rsidRPr="003636BE">
        <w:rPr>
          <w:rFonts w:hint="eastAsia"/>
          <w:lang w:eastAsia="zh-CN"/>
        </w:rPr>
        <w:t>有关“通过电信</w:t>
      </w:r>
      <w:r w:rsidRPr="003636BE">
        <w:rPr>
          <w:lang w:eastAsia="zh-CN"/>
        </w:rPr>
        <w:t>/</w:t>
      </w:r>
      <w:r w:rsidRPr="003636BE">
        <w:rPr>
          <w:rFonts w:hint="eastAsia"/>
          <w:lang w:eastAsia="zh-CN"/>
        </w:rPr>
        <w:t>信息通信技术弥合数字鸿沟并建设包容性信息社会”的第</w:t>
      </w:r>
      <w:r w:rsidRPr="003636BE">
        <w:rPr>
          <w:lang w:eastAsia="zh-CN"/>
        </w:rPr>
        <w:t>13</w:t>
      </w:r>
      <w:r w:rsidRPr="003636BE">
        <w:rPr>
          <w:rFonts w:hint="eastAsia"/>
          <w:lang w:eastAsia="zh-CN"/>
        </w:rPr>
        <w:t>9</w:t>
      </w:r>
      <w:r w:rsidRPr="003636BE">
        <w:rPr>
          <w:rFonts w:hint="eastAsia"/>
          <w:lang w:eastAsia="zh-CN"/>
        </w:rPr>
        <w:t>号决议（</w:t>
      </w:r>
      <w:r w:rsidRPr="003636BE">
        <w:rPr>
          <w:rFonts w:hint="eastAsia"/>
          <w:lang w:eastAsia="zh-CN"/>
        </w:rPr>
        <w:t>2010</w:t>
      </w:r>
      <w:r w:rsidRPr="003636BE">
        <w:rPr>
          <w:rFonts w:hint="eastAsia"/>
          <w:lang w:eastAsia="zh-CN"/>
        </w:rPr>
        <w:t>年，瓜达拉哈拉，修订版）；</w:t>
      </w:r>
    </w:p>
    <w:p w14:paraId="4827BA9C" w14:textId="77777777" w:rsidR="00307199" w:rsidRPr="003636BE" w:rsidRDefault="00307199" w:rsidP="00B64353">
      <w:pPr>
        <w:rPr>
          <w:lang w:eastAsia="zh-CN"/>
        </w:rPr>
      </w:pPr>
      <w:r w:rsidRPr="003636BE">
        <w:rPr>
          <w:rFonts w:hint="eastAsia"/>
          <w:i/>
          <w:iCs/>
          <w:lang w:eastAsia="zh-CN"/>
        </w:rPr>
        <w:t>d)</w:t>
      </w:r>
      <w:r w:rsidRPr="003636BE">
        <w:rPr>
          <w:rFonts w:hint="eastAsia"/>
          <w:lang w:eastAsia="zh-CN"/>
        </w:rPr>
        <w:tab/>
      </w:r>
      <w:r w:rsidRPr="003636BE">
        <w:rPr>
          <w:rFonts w:hint="eastAsia"/>
          <w:lang w:eastAsia="zh-CN"/>
        </w:rPr>
        <w:t>有关“电信</w:t>
      </w:r>
      <w:r w:rsidRPr="003636BE">
        <w:rPr>
          <w:rFonts w:hint="eastAsia"/>
          <w:lang w:eastAsia="zh-CN"/>
        </w:rPr>
        <w:t>/</w:t>
      </w:r>
      <w:r w:rsidRPr="003636BE">
        <w:rPr>
          <w:rFonts w:hint="eastAsia"/>
          <w:lang w:eastAsia="zh-CN"/>
        </w:rPr>
        <w:t>信息通信技术在气候变化和环境保护方面的作用”的第</w:t>
      </w:r>
      <w:r w:rsidRPr="003636BE">
        <w:rPr>
          <w:lang w:eastAsia="zh-CN"/>
        </w:rPr>
        <w:t>1</w:t>
      </w:r>
      <w:r w:rsidRPr="003636BE">
        <w:rPr>
          <w:rFonts w:hint="eastAsia"/>
          <w:lang w:eastAsia="zh-CN"/>
        </w:rPr>
        <w:t>82</w:t>
      </w:r>
      <w:r w:rsidRPr="003636BE">
        <w:rPr>
          <w:rFonts w:hint="eastAsia"/>
          <w:lang w:eastAsia="zh-CN"/>
        </w:rPr>
        <w:t>号决议（</w:t>
      </w:r>
      <w:r w:rsidRPr="003636BE">
        <w:rPr>
          <w:rFonts w:hint="eastAsia"/>
          <w:lang w:eastAsia="zh-CN"/>
        </w:rPr>
        <w:t>2010</w:t>
      </w:r>
      <w:r w:rsidRPr="003636BE">
        <w:rPr>
          <w:rFonts w:hint="eastAsia"/>
          <w:lang w:eastAsia="zh-CN"/>
        </w:rPr>
        <w:t>年，瓜达拉哈拉）；</w:t>
      </w:r>
    </w:p>
    <w:p w14:paraId="4827BA9D" w14:textId="77777777" w:rsidR="00307199" w:rsidRPr="003636BE" w:rsidRDefault="00307199" w:rsidP="00B64353">
      <w:pPr>
        <w:rPr>
          <w:lang w:eastAsia="zh-CN"/>
        </w:rPr>
      </w:pPr>
      <w:r w:rsidRPr="003636BE">
        <w:rPr>
          <w:rFonts w:hint="eastAsia"/>
          <w:i/>
          <w:iCs/>
          <w:lang w:eastAsia="zh-CN"/>
        </w:rPr>
        <w:t>e)</w:t>
      </w:r>
      <w:r w:rsidRPr="003636BE">
        <w:rPr>
          <w:rFonts w:hint="eastAsia"/>
          <w:lang w:eastAsia="zh-CN"/>
        </w:rPr>
        <w:tab/>
      </w:r>
      <w:r w:rsidRPr="003636BE">
        <w:rPr>
          <w:rFonts w:hint="eastAsia"/>
          <w:lang w:eastAsia="zh-CN"/>
        </w:rPr>
        <w:t>有关“推进针对原住民的数字包容性举措”的第</w:t>
      </w:r>
      <w:r w:rsidRPr="003636BE">
        <w:rPr>
          <w:lang w:eastAsia="zh-CN"/>
        </w:rPr>
        <w:t>1</w:t>
      </w:r>
      <w:r w:rsidRPr="003636BE">
        <w:rPr>
          <w:rFonts w:hint="eastAsia"/>
          <w:lang w:eastAsia="zh-CN"/>
        </w:rPr>
        <w:t>84</w:t>
      </w:r>
      <w:r w:rsidRPr="003636BE">
        <w:rPr>
          <w:rFonts w:hint="eastAsia"/>
          <w:lang w:eastAsia="zh-CN"/>
        </w:rPr>
        <w:t>号决议（</w:t>
      </w:r>
      <w:r w:rsidRPr="003636BE">
        <w:rPr>
          <w:rFonts w:hint="eastAsia"/>
          <w:lang w:eastAsia="zh-CN"/>
        </w:rPr>
        <w:t>2010</w:t>
      </w:r>
      <w:r w:rsidRPr="003636BE">
        <w:rPr>
          <w:rFonts w:hint="eastAsia"/>
          <w:lang w:eastAsia="zh-CN"/>
        </w:rPr>
        <w:t>年，瓜达拉哈拉），</w:t>
      </w:r>
    </w:p>
    <w:p w14:paraId="4827BA9E" w14:textId="77777777" w:rsidR="00307199" w:rsidRPr="003636BE" w:rsidRDefault="00307199" w:rsidP="00B64353">
      <w:pPr>
        <w:pStyle w:val="Call"/>
        <w:rPr>
          <w:b/>
          <w:bCs/>
          <w:lang w:eastAsia="zh-CN"/>
        </w:rPr>
      </w:pPr>
      <w:r w:rsidRPr="003636BE">
        <w:rPr>
          <w:rFonts w:hint="eastAsia"/>
          <w:lang w:eastAsia="zh-CN"/>
        </w:rPr>
        <w:t>进一步忆及</w:t>
      </w:r>
    </w:p>
    <w:p w14:paraId="4827BA9F" w14:textId="77777777" w:rsidR="00307199" w:rsidRPr="003636BE" w:rsidRDefault="00307199" w:rsidP="00B64353">
      <w:pPr>
        <w:rPr>
          <w:lang w:eastAsia="zh-CN"/>
        </w:rPr>
      </w:pPr>
      <w:r w:rsidRPr="003636BE">
        <w:rPr>
          <w:rFonts w:hint="eastAsia"/>
          <w:i/>
          <w:iCs/>
          <w:lang w:eastAsia="zh-CN"/>
        </w:rPr>
        <w:t>a)</w:t>
      </w:r>
      <w:r w:rsidRPr="003636BE">
        <w:rPr>
          <w:rFonts w:hint="eastAsia"/>
          <w:lang w:eastAsia="zh-CN"/>
        </w:rPr>
        <w:tab/>
      </w:r>
      <w:r w:rsidRPr="003636BE">
        <w:rPr>
          <w:rFonts w:hint="eastAsia"/>
          <w:lang w:eastAsia="zh-CN"/>
        </w:rPr>
        <w:t>有关可持续发展和脱贫问题的联合国大会和峰会的成果，其中包括：</w:t>
      </w:r>
    </w:p>
    <w:p w14:paraId="4827BAA0" w14:textId="77777777" w:rsidR="00307199" w:rsidRPr="003636BE" w:rsidRDefault="00307199" w:rsidP="00B64353">
      <w:pPr>
        <w:pStyle w:val="enumlev1"/>
        <w:rPr>
          <w:lang w:eastAsia="zh-CN"/>
        </w:rPr>
      </w:pPr>
      <w:r w:rsidRPr="003636BE">
        <w:rPr>
          <w:lang w:eastAsia="zh-CN"/>
        </w:rPr>
        <w:t>•</w:t>
      </w:r>
      <w:r w:rsidRPr="003636BE">
        <w:rPr>
          <w:rFonts w:hint="eastAsia"/>
          <w:lang w:eastAsia="zh-CN"/>
        </w:rPr>
        <w:tab/>
        <w:t>1972</w:t>
      </w:r>
      <w:r w:rsidRPr="003636BE">
        <w:rPr>
          <w:rFonts w:hint="eastAsia"/>
          <w:lang w:eastAsia="zh-CN"/>
        </w:rPr>
        <w:t>年在（瑞典）斯德哥尔摩通过的《联合国人类环境会议斯德哥尔摩宣言》；</w:t>
      </w:r>
    </w:p>
    <w:p w14:paraId="4827BAA1" w14:textId="77777777" w:rsidR="00307199" w:rsidRPr="003636BE" w:rsidRDefault="00307199" w:rsidP="00B64353">
      <w:pPr>
        <w:pStyle w:val="enumlev1"/>
        <w:rPr>
          <w:lang w:eastAsia="zh-CN"/>
        </w:rPr>
      </w:pPr>
      <w:r w:rsidRPr="003636BE">
        <w:rPr>
          <w:lang w:eastAsia="zh-CN"/>
        </w:rPr>
        <w:t>•</w:t>
      </w:r>
      <w:r w:rsidRPr="003636BE">
        <w:rPr>
          <w:rFonts w:hint="eastAsia"/>
          <w:lang w:eastAsia="zh-CN"/>
        </w:rPr>
        <w:tab/>
        <w:t>1992</w:t>
      </w:r>
      <w:r w:rsidRPr="003636BE">
        <w:rPr>
          <w:rFonts w:hint="eastAsia"/>
          <w:lang w:eastAsia="zh-CN"/>
        </w:rPr>
        <w:t>年在（巴西）里约热内卢通过的联合国环境与发展会议的《环境与发展里约宣言》和《二十一世纪议程》；</w:t>
      </w:r>
    </w:p>
    <w:p w14:paraId="4827BAA2"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AA3" w14:textId="77777777" w:rsidR="00307199" w:rsidRPr="003636BE" w:rsidRDefault="00307199" w:rsidP="00B64353">
      <w:pPr>
        <w:pStyle w:val="enumlev1"/>
        <w:rPr>
          <w:lang w:eastAsia="zh-CN"/>
        </w:rPr>
      </w:pPr>
      <w:r w:rsidRPr="003636BE">
        <w:rPr>
          <w:lang w:eastAsia="zh-CN"/>
        </w:rPr>
        <w:lastRenderedPageBreak/>
        <w:t>•</w:t>
      </w:r>
      <w:r w:rsidRPr="003636BE">
        <w:rPr>
          <w:rFonts w:hint="eastAsia"/>
          <w:lang w:eastAsia="zh-CN"/>
        </w:rPr>
        <w:tab/>
        <w:t>2002</w:t>
      </w:r>
      <w:r w:rsidRPr="003636BE">
        <w:rPr>
          <w:rFonts w:hint="eastAsia"/>
          <w:lang w:eastAsia="zh-CN"/>
        </w:rPr>
        <w:t>年在（南非）约翰内斯堡通过的可持续发展世界首脑会议的《约翰内斯堡执行计划》（</w:t>
      </w:r>
      <w:r w:rsidRPr="003636BE">
        <w:rPr>
          <w:lang w:eastAsia="zh-CN"/>
        </w:rPr>
        <w:t>JPOI</w:t>
      </w:r>
      <w:r w:rsidRPr="003636BE">
        <w:rPr>
          <w:rFonts w:hint="eastAsia"/>
          <w:lang w:eastAsia="zh-CN"/>
        </w:rPr>
        <w:t>）和《约翰内斯堡宣言》；</w:t>
      </w:r>
    </w:p>
    <w:p w14:paraId="4827BAA4" w14:textId="77777777" w:rsidR="00307199" w:rsidRPr="003636BE" w:rsidRDefault="00307199" w:rsidP="00B64353">
      <w:pPr>
        <w:pStyle w:val="enumlev1"/>
        <w:rPr>
          <w:lang w:eastAsia="zh-CN"/>
        </w:rPr>
      </w:pPr>
      <w:r w:rsidRPr="003636BE">
        <w:rPr>
          <w:lang w:eastAsia="zh-CN"/>
        </w:rPr>
        <w:t>•</w:t>
      </w:r>
      <w:r w:rsidRPr="003636BE">
        <w:rPr>
          <w:rFonts w:hint="eastAsia"/>
          <w:lang w:eastAsia="zh-CN"/>
        </w:rPr>
        <w:tab/>
        <w:t>2011</w:t>
      </w:r>
      <w:r w:rsidRPr="003636BE">
        <w:rPr>
          <w:rFonts w:hint="eastAsia"/>
          <w:lang w:eastAsia="zh-CN"/>
        </w:rPr>
        <w:t>年在（土耳其）伊斯坦布尔通过的</w:t>
      </w:r>
      <w:r w:rsidRPr="003636BE">
        <w:rPr>
          <w:lang w:eastAsia="zh-CN"/>
        </w:rPr>
        <w:t>第四次联合国最不发达国家问题会议</w:t>
      </w:r>
      <w:r>
        <w:rPr>
          <w:rFonts w:hint="eastAsia"/>
          <w:lang w:eastAsia="zh-CN"/>
        </w:rPr>
        <w:t>的《伊斯坦布尔行动纲领》；</w:t>
      </w:r>
    </w:p>
    <w:p w14:paraId="4827BAA5" w14:textId="77777777" w:rsidR="00307199" w:rsidRPr="003636BE" w:rsidRDefault="00307199" w:rsidP="00B64353">
      <w:pPr>
        <w:rPr>
          <w:szCs w:val="24"/>
          <w:lang w:eastAsia="zh-CN"/>
        </w:rPr>
      </w:pPr>
      <w:r w:rsidRPr="003636BE">
        <w:rPr>
          <w:rFonts w:hint="eastAsia"/>
          <w:i/>
          <w:iCs/>
          <w:lang w:eastAsia="zh-CN"/>
        </w:rPr>
        <w:t>b)</w:t>
      </w:r>
      <w:r w:rsidRPr="003636BE">
        <w:rPr>
          <w:rFonts w:hint="eastAsia"/>
          <w:lang w:eastAsia="zh-CN"/>
        </w:rPr>
        <w:tab/>
        <w:t>2003</w:t>
      </w:r>
      <w:r w:rsidRPr="003636BE">
        <w:rPr>
          <w:rFonts w:hint="eastAsia"/>
          <w:lang w:eastAsia="zh-CN"/>
        </w:rPr>
        <w:t>年通过的《日内瓦原则宣言》和《日内瓦行动计划》以及</w:t>
      </w:r>
      <w:r w:rsidRPr="003636BE">
        <w:rPr>
          <w:rFonts w:hint="eastAsia"/>
          <w:lang w:eastAsia="zh-CN"/>
        </w:rPr>
        <w:t>2005</w:t>
      </w:r>
      <w:r w:rsidRPr="003636BE">
        <w:rPr>
          <w:rFonts w:hint="eastAsia"/>
          <w:lang w:eastAsia="zh-CN"/>
        </w:rPr>
        <w:t>年在信息社会世界峰会上通过的《突尼斯承诺》和《信息社会突尼斯议程》均得到联合国大会的赞同并定义了使用</w:t>
      </w:r>
      <w:r w:rsidRPr="003636BE">
        <w:rPr>
          <w:szCs w:val="24"/>
          <w:lang w:eastAsia="zh-CN"/>
        </w:rPr>
        <w:t>ICT</w:t>
      </w:r>
      <w:r w:rsidRPr="003636BE">
        <w:rPr>
          <w:rFonts w:eastAsiaTheme="minorEastAsia" w:hint="eastAsia"/>
          <w:szCs w:val="24"/>
          <w:lang w:eastAsia="zh-CN"/>
        </w:rPr>
        <w:t>促进可持续发展的数项原则和行动，</w:t>
      </w:r>
    </w:p>
    <w:p w14:paraId="4827BAA6" w14:textId="77777777" w:rsidR="00307199" w:rsidRPr="003636BE" w:rsidRDefault="00307199" w:rsidP="00B64353">
      <w:pPr>
        <w:pStyle w:val="Call"/>
        <w:rPr>
          <w:lang w:eastAsia="zh-CN"/>
        </w:rPr>
      </w:pPr>
      <w:r w:rsidRPr="003636BE">
        <w:rPr>
          <w:rFonts w:hint="eastAsia"/>
          <w:lang w:eastAsia="zh-CN"/>
        </w:rPr>
        <w:t>考虑到</w:t>
      </w:r>
    </w:p>
    <w:p w14:paraId="4827BAA7" w14:textId="77777777" w:rsidR="00307199" w:rsidRPr="003636BE" w:rsidRDefault="00307199" w:rsidP="00B64353">
      <w:pPr>
        <w:ind w:firstLineChars="200" w:firstLine="480"/>
        <w:rPr>
          <w:lang w:eastAsia="zh-CN"/>
        </w:rPr>
      </w:pPr>
      <w:r w:rsidRPr="003636BE">
        <w:rPr>
          <w:rFonts w:hint="eastAsia"/>
          <w:lang w:eastAsia="zh-CN"/>
        </w:rPr>
        <w:t>联合国大会通过第</w:t>
      </w:r>
      <w:r w:rsidRPr="003636BE">
        <w:rPr>
          <w:lang w:eastAsia="zh-CN"/>
        </w:rPr>
        <w:t>A/RES/66/197</w:t>
      </w:r>
      <w:r w:rsidRPr="003636BE">
        <w:rPr>
          <w:rFonts w:hint="eastAsia"/>
          <w:lang w:eastAsia="zh-CN"/>
        </w:rPr>
        <w:t>号决议请各联合国组织全面有效地参与</w:t>
      </w:r>
      <w:r w:rsidRPr="003636BE">
        <w:rPr>
          <w:lang w:eastAsia="zh-CN"/>
        </w:rPr>
        <w:t>Rio+20</w:t>
      </w:r>
      <w:r w:rsidRPr="003636BE">
        <w:rPr>
          <w:rFonts w:hint="eastAsia"/>
          <w:lang w:eastAsia="zh-CN"/>
        </w:rPr>
        <w:t>会议并提供反映其经验教训的想法和提案，作为大会筹备进程的文稿，</w:t>
      </w:r>
    </w:p>
    <w:p w14:paraId="4827BAA8" w14:textId="77777777" w:rsidR="00307199" w:rsidRPr="003636BE" w:rsidRDefault="00307199" w:rsidP="00B64353">
      <w:pPr>
        <w:pStyle w:val="Call"/>
        <w:rPr>
          <w:lang w:eastAsia="zh-CN"/>
        </w:rPr>
      </w:pPr>
      <w:r w:rsidRPr="003636BE">
        <w:rPr>
          <w:rFonts w:hint="eastAsia"/>
          <w:lang w:eastAsia="zh-CN"/>
        </w:rPr>
        <w:t>亦考虑到</w:t>
      </w:r>
    </w:p>
    <w:p w14:paraId="4827BAA9" w14:textId="77777777" w:rsidR="00307199" w:rsidRPr="003636BE" w:rsidRDefault="00307199" w:rsidP="00B64353">
      <w:pPr>
        <w:rPr>
          <w:lang w:eastAsia="zh-CN"/>
        </w:rPr>
      </w:pPr>
      <w:r w:rsidRPr="003636BE">
        <w:rPr>
          <w:rFonts w:hint="eastAsia"/>
          <w:i/>
          <w:iCs/>
          <w:lang w:eastAsia="zh-CN"/>
        </w:rPr>
        <w:t>a)</w:t>
      </w:r>
      <w:r w:rsidRPr="003636BE">
        <w:rPr>
          <w:rFonts w:hint="eastAsia"/>
          <w:lang w:eastAsia="zh-CN"/>
        </w:rPr>
        <w:tab/>
      </w:r>
      <w:r w:rsidRPr="003636BE">
        <w:rPr>
          <w:rFonts w:hint="eastAsia"/>
          <w:lang w:eastAsia="zh-CN"/>
        </w:rPr>
        <w:t>有关</w:t>
      </w:r>
      <w:r w:rsidRPr="003636BE">
        <w:rPr>
          <w:rFonts w:hint="eastAsia"/>
          <w:lang w:eastAsia="zh-CN"/>
        </w:rPr>
        <w:t>ICT</w:t>
      </w:r>
      <w:r w:rsidRPr="003636BE">
        <w:rPr>
          <w:rFonts w:hint="eastAsia"/>
          <w:lang w:eastAsia="zh-CN"/>
        </w:rPr>
        <w:t>、环境与气候变化问题的一系列国际电联专题研讨会；</w:t>
      </w:r>
    </w:p>
    <w:p w14:paraId="4827BAAA" w14:textId="77777777" w:rsidR="00307199" w:rsidRPr="003636BE" w:rsidRDefault="00307199" w:rsidP="00B64353">
      <w:pPr>
        <w:rPr>
          <w:lang w:eastAsia="zh-CN"/>
        </w:rPr>
      </w:pPr>
      <w:r w:rsidRPr="00920A87">
        <w:rPr>
          <w:i/>
          <w:iCs/>
          <w:lang w:eastAsia="zh-CN"/>
        </w:rPr>
        <w:t>b)</w:t>
      </w:r>
      <w:r w:rsidRPr="003636BE">
        <w:rPr>
          <w:rFonts w:hint="eastAsia"/>
          <w:lang w:eastAsia="zh-CN"/>
        </w:rPr>
        <w:tab/>
      </w:r>
      <w:r>
        <w:rPr>
          <w:rFonts w:hint="eastAsia"/>
          <w:lang w:eastAsia="zh-CN"/>
        </w:rPr>
        <w:t>以“</w:t>
      </w:r>
      <w:r w:rsidRPr="003636BE">
        <w:rPr>
          <w:rFonts w:hint="eastAsia"/>
          <w:lang w:eastAsia="zh-CN"/>
        </w:rPr>
        <w:t>蒙特利尔宣言”形式体现于</w:t>
      </w:r>
      <w:r w:rsidRPr="003636BE">
        <w:rPr>
          <w:rFonts w:hint="eastAsia"/>
          <w:lang w:eastAsia="zh-CN"/>
        </w:rPr>
        <w:t>2012</w:t>
      </w:r>
      <w:r w:rsidRPr="003636BE">
        <w:rPr>
          <w:rFonts w:hint="eastAsia"/>
          <w:lang w:eastAsia="zh-CN"/>
        </w:rPr>
        <w:t>年</w:t>
      </w:r>
      <w:r w:rsidRPr="003636BE">
        <w:rPr>
          <w:rFonts w:hint="eastAsia"/>
          <w:lang w:eastAsia="zh-CN"/>
        </w:rPr>
        <w:t>5</w:t>
      </w:r>
      <w:r w:rsidRPr="003636BE">
        <w:rPr>
          <w:rFonts w:hint="eastAsia"/>
          <w:lang w:eastAsia="zh-CN"/>
        </w:rPr>
        <w:t>月</w:t>
      </w:r>
      <w:r w:rsidRPr="003636BE">
        <w:rPr>
          <w:rFonts w:hint="eastAsia"/>
          <w:lang w:eastAsia="zh-CN"/>
        </w:rPr>
        <w:t>29-31</w:t>
      </w:r>
      <w:r w:rsidRPr="003636BE">
        <w:rPr>
          <w:rFonts w:hint="eastAsia"/>
          <w:lang w:eastAsia="zh-CN"/>
        </w:rPr>
        <w:t>日举办的第</w:t>
      </w:r>
      <w:r w:rsidRPr="003636BE">
        <w:rPr>
          <w:rFonts w:hint="eastAsia"/>
          <w:lang w:eastAsia="zh-CN"/>
        </w:rPr>
        <w:t>7</w:t>
      </w:r>
      <w:r w:rsidRPr="003636BE">
        <w:rPr>
          <w:rFonts w:hint="eastAsia"/>
          <w:lang w:eastAsia="zh-CN"/>
        </w:rPr>
        <w:t>届专题研讨会的结果，该宣言请</w:t>
      </w:r>
      <w:r w:rsidRPr="003636BE">
        <w:rPr>
          <w:rFonts w:hint="eastAsia"/>
          <w:lang w:eastAsia="zh-CN"/>
        </w:rPr>
        <w:t>Rio+20</w:t>
      </w:r>
      <w:r w:rsidRPr="003636BE">
        <w:rPr>
          <w:rFonts w:hint="eastAsia"/>
          <w:lang w:eastAsia="zh-CN"/>
        </w:rPr>
        <w:t>大会与会者确定主要工作重点并就其达成一致意见，同时就如何通过</w:t>
      </w:r>
      <w:r w:rsidRPr="003636BE">
        <w:rPr>
          <w:rFonts w:hint="eastAsia"/>
          <w:lang w:eastAsia="zh-CN"/>
        </w:rPr>
        <w:t>ICT</w:t>
      </w:r>
      <w:r w:rsidRPr="003636BE">
        <w:rPr>
          <w:rFonts w:hint="eastAsia"/>
          <w:lang w:eastAsia="zh-CN"/>
        </w:rPr>
        <w:t>的使用推进全球绿色议程提供明确的指导意见，</w:t>
      </w:r>
    </w:p>
    <w:p w14:paraId="4827BAAB" w14:textId="77777777" w:rsidR="00307199" w:rsidRPr="003636BE" w:rsidRDefault="00307199" w:rsidP="00B64353">
      <w:pPr>
        <w:pStyle w:val="Call"/>
        <w:rPr>
          <w:b/>
          <w:bCs/>
          <w:lang w:eastAsia="zh-CN"/>
        </w:rPr>
      </w:pPr>
      <w:r w:rsidRPr="003636BE">
        <w:rPr>
          <w:rFonts w:hint="eastAsia"/>
          <w:lang w:eastAsia="zh-CN"/>
        </w:rPr>
        <w:t>满意地注意到</w:t>
      </w:r>
    </w:p>
    <w:p w14:paraId="4827BAAC" w14:textId="77777777" w:rsidR="00307199" w:rsidRPr="003636BE" w:rsidRDefault="00307199" w:rsidP="00B64353">
      <w:pPr>
        <w:rPr>
          <w:lang w:eastAsia="zh-CN"/>
        </w:rPr>
      </w:pPr>
      <w:r w:rsidRPr="003636BE">
        <w:rPr>
          <w:rFonts w:hint="eastAsia"/>
          <w:i/>
          <w:iCs/>
          <w:lang w:eastAsia="zh-CN"/>
        </w:rPr>
        <w:t>a)</w:t>
      </w:r>
      <w:r w:rsidRPr="003636BE">
        <w:rPr>
          <w:rFonts w:hint="eastAsia"/>
          <w:lang w:eastAsia="zh-CN"/>
        </w:rPr>
        <w:tab/>
      </w:r>
      <w:r w:rsidRPr="003636BE">
        <w:rPr>
          <w:rFonts w:hint="eastAsia"/>
          <w:lang w:eastAsia="zh-CN"/>
        </w:rPr>
        <w:t>国际电联参与了</w:t>
      </w:r>
      <w:r w:rsidRPr="003636BE">
        <w:rPr>
          <w:rFonts w:hint="eastAsia"/>
          <w:lang w:eastAsia="zh-CN"/>
        </w:rPr>
        <w:t>2012</w:t>
      </w:r>
      <w:r w:rsidRPr="003636BE">
        <w:rPr>
          <w:rFonts w:hint="eastAsia"/>
          <w:lang w:eastAsia="zh-CN"/>
        </w:rPr>
        <w:t>年联合国可持续发展会议（</w:t>
      </w:r>
      <w:r w:rsidRPr="003636BE">
        <w:rPr>
          <w:lang w:eastAsia="zh-CN"/>
        </w:rPr>
        <w:t>Rio+20</w:t>
      </w:r>
      <w:r w:rsidRPr="003636BE">
        <w:rPr>
          <w:rFonts w:hint="eastAsia"/>
          <w:lang w:eastAsia="zh-CN"/>
        </w:rPr>
        <w:t>）的筹备进程及会议本身；</w:t>
      </w:r>
    </w:p>
    <w:p w14:paraId="4827BAAD" w14:textId="77777777" w:rsidR="00307199" w:rsidRPr="003636BE" w:rsidRDefault="00307199" w:rsidP="00B64353">
      <w:pPr>
        <w:rPr>
          <w:lang w:eastAsia="zh-CN"/>
        </w:rPr>
      </w:pPr>
      <w:r w:rsidRPr="003636BE">
        <w:rPr>
          <w:rFonts w:hint="eastAsia"/>
          <w:i/>
          <w:iCs/>
          <w:lang w:eastAsia="zh-CN"/>
        </w:rPr>
        <w:t>b)</w:t>
      </w:r>
      <w:r w:rsidRPr="003636BE">
        <w:rPr>
          <w:rFonts w:hint="eastAsia"/>
          <w:lang w:eastAsia="zh-CN"/>
        </w:rPr>
        <w:tab/>
      </w:r>
      <w:r w:rsidRPr="003636BE">
        <w:rPr>
          <w:lang w:eastAsia="zh-CN"/>
        </w:rPr>
        <w:t>Rio+20</w:t>
      </w:r>
      <w:r w:rsidRPr="003636BE">
        <w:rPr>
          <w:rFonts w:hint="eastAsia"/>
          <w:lang w:eastAsia="zh-CN"/>
        </w:rPr>
        <w:t>通过的名为《我们期许的未来》的成果文件反映了了推动可持续发展并摆脱贫困的再一次政治承诺；</w:t>
      </w:r>
    </w:p>
    <w:p w14:paraId="4827BAAE" w14:textId="77777777" w:rsidR="00307199" w:rsidRPr="003636BE" w:rsidRDefault="00307199" w:rsidP="00B64353">
      <w:pPr>
        <w:rPr>
          <w:lang w:eastAsia="zh-CN"/>
        </w:rPr>
      </w:pPr>
      <w:r w:rsidRPr="003636BE">
        <w:rPr>
          <w:rFonts w:hint="eastAsia"/>
          <w:i/>
          <w:iCs/>
          <w:lang w:eastAsia="zh-CN"/>
        </w:rPr>
        <w:t>c)</w:t>
      </w:r>
      <w:r w:rsidRPr="003636BE">
        <w:rPr>
          <w:rFonts w:hint="eastAsia"/>
          <w:lang w:eastAsia="zh-CN"/>
        </w:rPr>
        <w:tab/>
      </w:r>
      <w:r w:rsidRPr="003636BE">
        <w:rPr>
          <w:rFonts w:hint="eastAsia"/>
          <w:lang w:eastAsia="zh-CN"/>
        </w:rPr>
        <w:t>该成果文件认识到</w:t>
      </w:r>
      <w:r w:rsidRPr="003636BE">
        <w:rPr>
          <w:rFonts w:hint="eastAsia"/>
          <w:lang w:eastAsia="zh-CN"/>
        </w:rPr>
        <w:t>ICT</w:t>
      </w:r>
      <w:r w:rsidRPr="003636BE">
        <w:rPr>
          <w:rFonts w:hint="eastAsia"/>
          <w:lang w:eastAsia="zh-CN"/>
        </w:rPr>
        <w:t>正促进政府和公众之间的信息交流，并强调有必要继续努力改善对</w:t>
      </w:r>
      <w:r w:rsidRPr="003636BE">
        <w:rPr>
          <w:rFonts w:hint="eastAsia"/>
          <w:lang w:eastAsia="zh-CN"/>
        </w:rPr>
        <w:t>ICT</w:t>
      </w:r>
      <w:r w:rsidRPr="003636BE">
        <w:rPr>
          <w:rFonts w:hint="eastAsia"/>
          <w:lang w:eastAsia="zh-CN"/>
        </w:rPr>
        <w:t>的获取，特别是对宽带网络和服务的获取并弥合数字鸿沟，同时认可了国际合作在此方面所做出的贡献；</w:t>
      </w:r>
    </w:p>
    <w:p w14:paraId="4827BAAF" w14:textId="77777777" w:rsidR="00307199" w:rsidRPr="003636BE" w:rsidRDefault="00307199" w:rsidP="00B64353">
      <w:pPr>
        <w:rPr>
          <w:lang w:eastAsia="zh-CN"/>
        </w:rPr>
      </w:pPr>
      <w:r w:rsidRPr="003636BE">
        <w:rPr>
          <w:rFonts w:hint="eastAsia"/>
          <w:i/>
          <w:iCs/>
          <w:lang w:eastAsia="zh-CN"/>
        </w:rPr>
        <w:t>d)</w:t>
      </w:r>
      <w:r w:rsidRPr="003636BE">
        <w:rPr>
          <w:rFonts w:hint="eastAsia"/>
          <w:lang w:eastAsia="zh-CN"/>
        </w:rPr>
        <w:tab/>
      </w:r>
      <w:r w:rsidRPr="003636BE">
        <w:rPr>
          <w:rFonts w:hint="eastAsia"/>
          <w:lang w:eastAsia="zh-CN"/>
        </w:rPr>
        <w:t>该会议呼吁进一步在整个联合国系统内使可持续发展的三个方面成为主流，并请各联合国专门机构审议在整个联合国系统的运作活动中综合社会、经济和环境方面并根据发展中国家的要求支持其实现可持续发展的适当措施，</w:t>
      </w:r>
    </w:p>
    <w:p w14:paraId="4827BAB0" w14:textId="77777777" w:rsidR="00307199" w:rsidRPr="003636BE" w:rsidRDefault="00307199" w:rsidP="00B64353">
      <w:pPr>
        <w:pStyle w:val="Call"/>
        <w:rPr>
          <w:b/>
          <w:bCs/>
          <w:lang w:eastAsia="zh-CN"/>
        </w:rPr>
      </w:pPr>
      <w:r w:rsidRPr="003636BE">
        <w:rPr>
          <w:rFonts w:hint="eastAsia"/>
          <w:lang w:eastAsia="zh-CN"/>
        </w:rPr>
        <w:t>做出决议</w:t>
      </w:r>
      <w:r w:rsidRPr="003636BE">
        <w:rPr>
          <w:lang w:eastAsia="zh-CN"/>
        </w:rPr>
        <w:t xml:space="preserve"> </w:t>
      </w:r>
    </w:p>
    <w:p w14:paraId="4827BAB1" w14:textId="77777777" w:rsidR="00307199" w:rsidRPr="003636BE" w:rsidRDefault="00307199" w:rsidP="00B64353">
      <w:pPr>
        <w:ind w:firstLineChars="200" w:firstLine="480"/>
        <w:rPr>
          <w:lang w:eastAsia="zh-CN"/>
        </w:rPr>
      </w:pPr>
      <w:r w:rsidRPr="003636BE">
        <w:rPr>
          <w:rFonts w:hint="eastAsia"/>
          <w:lang w:eastAsia="zh-CN"/>
        </w:rPr>
        <w:t>将</w:t>
      </w:r>
      <w:r w:rsidRPr="003636BE">
        <w:rPr>
          <w:lang w:eastAsia="zh-CN"/>
        </w:rPr>
        <w:t>Rio+20</w:t>
      </w:r>
      <w:r w:rsidRPr="003636BE">
        <w:rPr>
          <w:rFonts w:hint="eastAsia"/>
          <w:lang w:eastAsia="zh-CN"/>
        </w:rPr>
        <w:t>的成果文件</w:t>
      </w:r>
      <w:r w:rsidRPr="003636BE">
        <w:rPr>
          <w:rFonts w:hint="eastAsia"/>
          <w:lang w:eastAsia="zh-CN"/>
        </w:rPr>
        <w:t xml:space="preserve"> </w:t>
      </w:r>
      <w:r w:rsidRPr="003636BE">
        <w:rPr>
          <w:lang w:eastAsia="zh-CN"/>
        </w:rPr>
        <w:t>–</w:t>
      </w:r>
      <w:r w:rsidRPr="003636BE">
        <w:rPr>
          <w:rFonts w:hint="eastAsia"/>
          <w:lang w:eastAsia="zh-CN"/>
        </w:rPr>
        <w:t>《我们期许的未来》记录在案并启动将这些主要原则进一步综合到国际电联活动中的进程，推动采用</w:t>
      </w:r>
      <w:r w:rsidRPr="003636BE">
        <w:rPr>
          <w:rFonts w:hint="eastAsia"/>
          <w:lang w:eastAsia="zh-CN"/>
        </w:rPr>
        <w:t>ICT</w:t>
      </w:r>
      <w:r w:rsidRPr="003636BE">
        <w:rPr>
          <w:rFonts w:hint="eastAsia"/>
          <w:lang w:eastAsia="zh-CN"/>
        </w:rPr>
        <w:t>促进可持续发展的经济、社会和环境支柱的一体化工作；</w:t>
      </w:r>
    </w:p>
    <w:p w14:paraId="4827BAB2"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lang w:eastAsia="zh-CN"/>
        </w:rPr>
        <w:br w:type="page"/>
      </w:r>
    </w:p>
    <w:p w14:paraId="4827BAB3" w14:textId="77777777" w:rsidR="00307199" w:rsidRPr="003636BE" w:rsidRDefault="00307199" w:rsidP="00B64353">
      <w:pPr>
        <w:pStyle w:val="Call"/>
        <w:rPr>
          <w:b/>
          <w:bCs/>
          <w:lang w:eastAsia="zh-CN"/>
        </w:rPr>
      </w:pPr>
      <w:r w:rsidRPr="003636BE">
        <w:rPr>
          <w:rFonts w:hint="eastAsia"/>
          <w:lang w:eastAsia="zh-CN"/>
        </w:rPr>
        <w:lastRenderedPageBreak/>
        <w:t>责成秘书长，与各局主任协作</w:t>
      </w:r>
    </w:p>
    <w:p w14:paraId="4827BAB4" w14:textId="77777777" w:rsidR="00307199" w:rsidRPr="003636BE" w:rsidRDefault="00307199" w:rsidP="00B64353">
      <w:pPr>
        <w:rPr>
          <w:lang w:eastAsia="zh-CN"/>
        </w:rPr>
      </w:pPr>
      <w:r w:rsidRPr="003636BE">
        <w:rPr>
          <w:rFonts w:hint="eastAsia"/>
          <w:lang w:eastAsia="zh-CN"/>
        </w:rPr>
        <w:t>1</w:t>
      </w:r>
      <w:r w:rsidRPr="003636BE">
        <w:rPr>
          <w:rFonts w:hint="eastAsia"/>
          <w:lang w:eastAsia="zh-CN"/>
        </w:rPr>
        <w:tab/>
      </w:r>
      <w:r w:rsidRPr="003636BE">
        <w:rPr>
          <w:rFonts w:hint="eastAsia"/>
          <w:lang w:eastAsia="zh-CN"/>
        </w:rPr>
        <w:t>在国际电联即将召开的相关会议和大会中介绍</w:t>
      </w:r>
      <w:r w:rsidRPr="003636BE">
        <w:rPr>
          <w:lang w:eastAsia="zh-CN"/>
        </w:rPr>
        <w:t>Rio+20</w:t>
      </w:r>
      <w:r w:rsidRPr="003636BE">
        <w:rPr>
          <w:rFonts w:hint="eastAsia"/>
          <w:lang w:eastAsia="zh-CN"/>
        </w:rPr>
        <w:t>会议的成果；</w:t>
      </w:r>
    </w:p>
    <w:p w14:paraId="4827BAB5" w14:textId="77777777" w:rsidR="00307199" w:rsidRPr="003636BE" w:rsidRDefault="00307199" w:rsidP="00B64353">
      <w:pPr>
        <w:rPr>
          <w:lang w:eastAsia="zh-CN"/>
        </w:rPr>
      </w:pPr>
      <w:r w:rsidRPr="003636BE">
        <w:rPr>
          <w:rFonts w:hint="eastAsia"/>
          <w:lang w:eastAsia="zh-CN"/>
        </w:rPr>
        <w:t>2</w:t>
      </w:r>
      <w:r w:rsidRPr="003636BE">
        <w:rPr>
          <w:rFonts w:hint="eastAsia"/>
          <w:lang w:eastAsia="zh-CN"/>
        </w:rPr>
        <w:tab/>
      </w:r>
      <w:r w:rsidRPr="003636BE">
        <w:rPr>
          <w:rFonts w:hint="eastAsia"/>
          <w:lang w:eastAsia="zh-CN"/>
        </w:rPr>
        <w:t>向成员及电信</w:t>
      </w:r>
      <w:r w:rsidRPr="003636BE">
        <w:rPr>
          <w:rFonts w:hint="eastAsia"/>
          <w:lang w:eastAsia="zh-CN"/>
        </w:rPr>
        <w:t>/ICT</w:t>
      </w:r>
      <w:r w:rsidRPr="003636BE">
        <w:rPr>
          <w:rFonts w:hint="eastAsia"/>
          <w:lang w:eastAsia="zh-CN"/>
        </w:rPr>
        <w:t>行业的其他相关利益攸关方通报</w:t>
      </w:r>
      <w:r w:rsidRPr="003636BE">
        <w:rPr>
          <w:lang w:eastAsia="zh-CN"/>
        </w:rPr>
        <w:t>Rio+20</w:t>
      </w:r>
      <w:r w:rsidRPr="003636BE">
        <w:rPr>
          <w:rFonts w:hint="eastAsia"/>
          <w:lang w:eastAsia="zh-CN"/>
        </w:rPr>
        <w:t>会议的成果；</w:t>
      </w:r>
    </w:p>
    <w:p w14:paraId="4827BAB6" w14:textId="77777777" w:rsidR="00307199" w:rsidRPr="003636BE" w:rsidRDefault="00307199" w:rsidP="00B64353">
      <w:pPr>
        <w:rPr>
          <w:lang w:eastAsia="zh-CN"/>
        </w:rPr>
      </w:pPr>
      <w:r w:rsidRPr="003636BE">
        <w:rPr>
          <w:rFonts w:hint="eastAsia"/>
          <w:lang w:eastAsia="zh-CN"/>
        </w:rPr>
        <w:t>3</w:t>
      </w:r>
      <w:r w:rsidRPr="003636BE">
        <w:rPr>
          <w:rFonts w:hint="eastAsia"/>
          <w:lang w:eastAsia="zh-CN"/>
        </w:rPr>
        <w:tab/>
      </w:r>
      <w:r w:rsidRPr="003636BE">
        <w:rPr>
          <w:rFonts w:hint="eastAsia"/>
          <w:lang w:eastAsia="zh-CN"/>
        </w:rPr>
        <w:t>起草一份分析</w:t>
      </w:r>
      <w:r w:rsidRPr="003636BE">
        <w:rPr>
          <w:lang w:eastAsia="zh-CN"/>
        </w:rPr>
        <w:t>Rio+20</w:t>
      </w:r>
      <w:r w:rsidRPr="003636BE">
        <w:rPr>
          <w:rFonts w:hint="eastAsia"/>
          <w:lang w:eastAsia="zh-CN"/>
        </w:rPr>
        <w:t>会议成果的报告，突出其对国际电联的影响，其中包括：</w:t>
      </w:r>
    </w:p>
    <w:p w14:paraId="4827BAB7" w14:textId="77777777" w:rsidR="00307199" w:rsidRPr="003636BE" w:rsidRDefault="00307199" w:rsidP="00376870">
      <w:pPr>
        <w:pStyle w:val="enumlev1"/>
        <w:rPr>
          <w:lang w:eastAsia="zh-CN"/>
        </w:rPr>
      </w:pPr>
      <w:r w:rsidRPr="00920A87">
        <w:rPr>
          <w:rFonts w:hint="eastAsia"/>
          <w:lang w:eastAsia="zh-CN"/>
        </w:rPr>
        <w:t>a)</w:t>
      </w:r>
      <w:r w:rsidRPr="003636BE">
        <w:rPr>
          <w:rFonts w:hint="eastAsia"/>
          <w:lang w:eastAsia="zh-CN"/>
        </w:rPr>
        <w:tab/>
      </w:r>
      <w:r w:rsidRPr="003636BE">
        <w:rPr>
          <w:rFonts w:hint="eastAsia"/>
          <w:lang w:eastAsia="zh-CN"/>
        </w:rPr>
        <w:t>与</w:t>
      </w:r>
      <w:r w:rsidRPr="003636BE">
        <w:rPr>
          <w:lang w:eastAsia="zh-CN"/>
        </w:rPr>
        <w:t>Rio+20</w:t>
      </w:r>
      <w:r w:rsidRPr="003636BE">
        <w:rPr>
          <w:rFonts w:hint="eastAsia"/>
          <w:lang w:eastAsia="zh-CN"/>
        </w:rPr>
        <w:t>会议成果有关的、可能需要在未来大会中进行复审的国际电联决议的概要分析；</w:t>
      </w:r>
    </w:p>
    <w:p w14:paraId="4827BAB8" w14:textId="77777777" w:rsidR="00307199" w:rsidRPr="003636BE" w:rsidRDefault="00307199" w:rsidP="00376870">
      <w:pPr>
        <w:pStyle w:val="enumlev1"/>
        <w:rPr>
          <w:lang w:eastAsia="zh-CN"/>
        </w:rPr>
      </w:pPr>
      <w:r w:rsidRPr="00920A87">
        <w:rPr>
          <w:rFonts w:hint="eastAsia"/>
          <w:lang w:eastAsia="zh-CN"/>
        </w:rPr>
        <w:t>b)</w:t>
      </w:r>
      <w:r w:rsidRPr="003636BE">
        <w:rPr>
          <w:rFonts w:hint="eastAsia"/>
          <w:lang w:eastAsia="zh-CN"/>
        </w:rPr>
        <w:tab/>
      </w:r>
      <w:r w:rsidRPr="003636BE">
        <w:rPr>
          <w:rFonts w:hint="eastAsia"/>
          <w:lang w:eastAsia="zh-CN"/>
        </w:rPr>
        <w:t>确定国际电联在现有的预算框架内将要采取的行动，以进一步在国际电联的计划、活动、战略和决策进程中将可持续发展主流化并改进国际电联的“环境足迹”；</w:t>
      </w:r>
    </w:p>
    <w:p w14:paraId="4827BAB9" w14:textId="77777777" w:rsidR="00307199" w:rsidRPr="003636BE" w:rsidRDefault="00307199" w:rsidP="00376870">
      <w:pPr>
        <w:pStyle w:val="enumlev1"/>
        <w:rPr>
          <w:lang w:eastAsia="zh-CN"/>
        </w:rPr>
      </w:pPr>
      <w:r w:rsidRPr="00920A87">
        <w:rPr>
          <w:rFonts w:hint="eastAsia"/>
          <w:lang w:eastAsia="zh-CN"/>
        </w:rPr>
        <w:t>c)</w:t>
      </w:r>
      <w:r w:rsidRPr="003636BE">
        <w:rPr>
          <w:rFonts w:hint="eastAsia"/>
          <w:lang w:eastAsia="zh-CN"/>
        </w:rPr>
        <w:tab/>
      </w:r>
      <w:r w:rsidRPr="003636BE">
        <w:rPr>
          <w:rFonts w:hint="eastAsia"/>
          <w:lang w:eastAsia="zh-CN"/>
        </w:rPr>
        <w:t>确定国际电联为支持发展中国家通过电信和</w:t>
      </w:r>
      <w:r w:rsidRPr="003636BE">
        <w:rPr>
          <w:rFonts w:hint="eastAsia"/>
          <w:lang w:eastAsia="zh-CN"/>
        </w:rPr>
        <w:t>ICT</w:t>
      </w:r>
      <w:r w:rsidRPr="003636BE">
        <w:rPr>
          <w:rFonts w:hint="eastAsia"/>
          <w:lang w:eastAsia="zh-CN"/>
        </w:rPr>
        <w:t>实现可持续发展而需要开展的新活动；</w:t>
      </w:r>
    </w:p>
    <w:p w14:paraId="4827BABA" w14:textId="77777777" w:rsidR="00307199" w:rsidRPr="003636BE" w:rsidRDefault="00307199" w:rsidP="00B64353">
      <w:pPr>
        <w:rPr>
          <w:lang w:eastAsia="zh-CN"/>
        </w:rPr>
      </w:pPr>
      <w:r w:rsidRPr="003636BE">
        <w:rPr>
          <w:rFonts w:hint="eastAsia"/>
          <w:lang w:eastAsia="zh-CN"/>
        </w:rPr>
        <w:t>4</w:t>
      </w:r>
      <w:r w:rsidRPr="003636BE">
        <w:rPr>
          <w:rFonts w:hint="eastAsia"/>
          <w:lang w:eastAsia="zh-CN"/>
        </w:rPr>
        <w:tab/>
      </w:r>
      <w:r w:rsidRPr="003636BE">
        <w:rPr>
          <w:rFonts w:hint="eastAsia"/>
          <w:lang w:eastAsia="zh-CN"/>
        </w:rPr>
        <w:t>考虑到国际电联在</w:t>
      </w:r>
      <w:r w:rsidRPr="003636BE">
        <w:rPr>
          <w:lang w:eastAsia="zh-CN"/>
        </w:rPr>
        <w:t>WSIS+10</w:t>
      </w:r>
      <w:r w:rsidRPr="003636BE">
        <w:rPr>
          <w:rFonts w:hint="eastAsia"/>
          <w:lang w:eastAsia="zh-CN"/>
        </w:rPr>
        <w:t>全面审查中的作用，确保</w:t>
      </w:r>
      <w:r w:rsidRPr="003636BE">
        <w:rPr>
          <w:lang w:eastAsia="zh-CN"/>
        </w:rPr>
        <w:t>Rio+20</w:t>
      </w:r>
      <w:r w:rsidRPr="003636BE">
        <w:rPr>
          <w:rFonts w:hint="eastAsia"/>
          <w:lang w:eastAsia="zh-CN"/>
        </w:rPr>
        <w:t>成果与</w:t>
      </w:r>
      <w:r w:rsidRPr="003636BE">
        <w:rPr>
          <w:lang w:eastAsia="zh-CN"/>
        </w:rPr>
        <w:t>WSIS+10</w:t>
      </w:r>
      <w:r w:rsidRPr="003636BE">
        <w:rPr>
          <w:rFonts w:hint="eastAsia"/>
          <w:lang w:eastAsia="zh-CN"/>
        </w:rPr>
        <w:t>审议进程的整合；</w:t>
      </w:r>
    </w:p>
    <w:p w14:paraId="4827BABB" w14:textId="77777777" w:rsidR="00307199" w:rsidRPr="003636BE" w:rsidRDefault="00307199" w:rsidP="00B64353">
      <w:pPr>
        <w:rPr>
          <w:lang w:eastAsia="zh-CN"/>
        </w:rPr>
      </w:pPr>
      <w:r w:rsidRPr="003636BE">
        <w:rPr>
          <w:rFonts w:hint="eastAsia"/>
          <w:lang w:eastAsia="zh-CN"/>
        </w:rPr>
        <w:t>5</w:t>
      </w:r>
      <w:r w:rsidRPr="003636BE">
        <w:rPr>
          <w:rFonts w:hint="eastAsia"/>
          <w:lang w:eastAsia="zh-CN"/>
        </w:rPr>
        <w:tab/>
      </w:r>
      <w:r w:rsidRPr="003636BE">
        <w:rPr>
          <w:rFonts w:hint="eastAsia"/>
          <w:lang w:eastAsia="zh-CN"/>
        </w:rPr>
        <w:t>请联合国信息社会小组（</w:t>
      </w:r>
      <w:r w:rsidRPr="003636BE">
        <w:rPr>
          <w:lang w:eastAsia="zh-CN"/>
        </w:rPr>
        <w:t>UNGIS</w:t>
      </w:r>
      <w:r w:rsidRPr="003636BE">
        <w:rPr>
          <w:rFonts w:hint="eastAsia"/>
          <w:lang w:eastAsia="zh-CN"/>
        </w:rPr>
        <w:t>）的成员为通过有效协调与信息社会发展有关的实际政策问题和</w:t>
      </w:r>
      <w:r w:rsidRPr="003636BE">
        <w:rPr>
          <w:rFonts w:hint="eastAsia"/>
          <w:lang w:eastAsia="zh-CN"/>
        </w:rPr>
        <w:t>WSIS</w:t>
      </w:r>
      <w:r w:rsidRPr="003636BE">
        <w:rPr>
          <w:rFonts w:hint="eastAsia"/>
          <w:lang w:eastAsia="zh-CN"/>
        </w:rPr>
        <w:t>成果的落实，进一步将可持续发展的三个方面主流化提出建议；</w:t>
      </w:r>
    </w:p>
    <w:p w14:paraId="4827BABC" w14:textId="77777777" w:rsidR="00307199" w:rsidRPr="003636BE" w:rsidRDefault="00307199" w:rsidP="00B64353">
      <w:pPr>
        <w:rPr>
          <w:lang w:eastAsia="zh-CN"/>
        </w:rPr>
      </w:pPr>
      <w:r w:rsidRPr="003636BE">
        <w:rPr>
          <w:rFonts w:hint="eastAsia"/>
          <w:lang w:eastAsia="zh-CN"/>
        </w:rPr>
        <w:t>6</w:t>
      </w:r>
      <w:r w:rsidRPr="003636BE">
        <w:rPr>
          <w:rFonts w:hint="eastAsia"/>
          <w:lang w:eastAsia="zh-CN"/>
        </w:rPr>
        <w:tab/>
      </w:r>
      <w:r w:rsidRPr="003636BE">
        <w:rPr>
          <w:rFonts w:hint="eastAsia"/>
          <w:lang w:eastAsia="zh-CN"/>
        </w:rPr>
        <w:t>积极参与</w:t>
      </w:r>
      <w:r w:rsidRPr="003636BE">
        <w:rPr>
          <w:lang w:eastAsia="zh-CN"/>
        </w:rPr>
        <w:t>Rio+20</w:t>
      </w:r>
      <w:r w:rsidRPr="003636BE">
        <w:rPr>
          <w:rFonts w:hint="eastAsia"/>
          <w:lang w:eastAsia="zh-CN"/>
        </w:rPr>
        <w:t>会议的后续活动，向所有相关的外部论坛和政府间组织提供输入和专业知识；</w:t>
      </w:r>
    </w:p>
    <w:p w14:paraId="4827BABD" w14:textId="77777777" w:rsidR="00307199" w:rsidRPr="003636BE" w:rsidRDefault="00307199" w:rsidP="00B64353">
      <w:pPr>
        <w:rPr>
          <w:lang w:eastAsia="zh-CN"/>
        </w:rPr>
      </w:pPr>
      <w:r w:rsidRPr="003636BE">
        <w:rPr>
          <w:rFonts w:hint="eastAsia"/>
          <w:lang w:eastAsia="zh-CN"/>
        </w:rPr>
        <w:t>7</w:t>
      </w:r>
      <w:r w:rsidRPr="003636BE">
        <w:rPr>
          <w:rFonts w:hint="eastAsia"/>
          <w:lang w:eastAsia="zh-CN"/>
        </w:rPr>
        <w:tab/>
      </w:r>
      <w:r w:rsidRPr="003636BE">
        <w:rPr>
          <w:rFonts w:hint="eastAsia"/>
          <w:lang w:eastAsia="zh-CN"/>
        </w:rPr>
        <w:t>就落实本决议的进展情况每年向国际电联理事会做出报告，</w:t>
      </w:r>
    </w:p>
    <w:p w14:paraId="4827BABE" w14:textId="77777777" w:rsidR="00307199" w:rsidRPr="003636BE" w:rsidRDefault="00307199" w:rsidP="00B64353">
      <w:pPr>
        <w:pStyle w:val="Call"/>
        <w:rPr>
          <w:b/>
          <w:bCs/>
          <w:lang w:eastAsia="zh-CN"/>
        </w:rPr>
      </w:pPr>
      <w:r w:rsidRPr="003636BE">
        <w:rPr>
          <w:rFonts w:hint="eastAsia"/>
          <w:lang w:eastAsia="zh-CN"/>
        </w:rPr>
        <w:t>请国际电联成员</w:t>
      </w:r>
    </w:p>
    <w:p w14:paraId="4827BABF" w14:textId="77777777" w:rsidR="00307199" w:rsidRPr="003636BE" w:rsidRDefault="00307199" w:rsidP="00B64353">
      <w:pPr>
        <w:rPr>
          <w:lang w:eastAsia="zh-CN"/>
        </w:rPr>
      </w:pPr>
      <w:r w:rsidRPr="003636BE">
        <w:rPr>
          <w:rFonts w:hint="eastAsia"/>
          <w:lang w:eastAsia="zh-CN"/>
        </w:rPr>
        <w:t>1</w:t>
      </w:r>
      <w:r w:rsidRPr="003636BE">
        <w:rPr>
          <w:rFonts w:hint="eastAsia"/>
          <w:lang w:eastAsia="zh-CN"/>
        </w:rPr>
        <w:tab/>
      </w:r>
      <w:r w:rsidRPr="003636BE">
        <w:rPr>
          <w:rFonts w:hint="eastAsia"/>
          <w:lang w:eastAsia="zh-CN"/>
        </w:rPr>
        <w:t>进一步在其组织及电信</w:t>
      </w:r>
      <w:r w:rsidRPr="003636BE">
        <w:rPr>
          <w:rFonts w:hint="eastAsia"/>
          <w:lang w:eastAsia="zh-CN"/>
        </w:rPr>
        <w:t>/ICT</w:t>
      </w:r>
      <w:r w:rsidRPr="003636BE">
        <w:rPr>
          <w:rFonts w:hint="eastAsia"/>
          <w:lang w:eastAsia="zh-CN"/>
        </w:rPr>
        <w:t>行业内促进可持续发展的主流化；</w:t>
      </w:r>
    </w:p>
    <w:p w14:paraId="4827BAC0" w14:textId="77777777" w:rsidR="00307199" w:rsidRPr="003636BE" w:rsidRDefault="00307199" w:rsidP="00B64353">
      <w:pPr>
        <w:rPr>
          <w:lang w:eastAsia="zh-CN"/>
        </w:rPr>
      </w:pPr>
      <w:r w:rsidRPr="003636BE">
        <w:rPr>
          <w:rFonts w:hint="eastAsia"/>
          <w:lang w:eastAsia="zh-CN"/>
        </w:rPr>
        <w:t>2</w:t>
      </w:r>
      <w:r w:rsidRPr="003636BE">
        <w:rPr>
          <w:rFonts w:hint="eastAsia"/>
          <w:lang w:eastAsia="zh-CN"/>
        </w:rPr>
        <w:tab/>
      </w:r>
      <w:r w:rsidRPr="003636BE">
        <w:rPr>
          <w:rFonts w:hint="eastAsia"/>
          <w:lang w:eastAsia="zh-CN"/>
        </w:rPr>
        <w:t>为本决议所述的各项活动做出贡献。</w:t>
      </w:r>
    </w:p>
    <w:p w14:paraId="4827BAC1" w14:textId="77777777" w:rsidR="00B81E94" w:rsidRDefault="00307199" w:rsidP="00B81E94">
      <w:pPr>
        <w:pStyle w:val="Endtext"/>
        <w:rPr>
          <w:lang w:val="fr-FR" w:eastAsia="zh-CN"/>
        </w:rPr>
      </w:pPr>
      <w:r>
        <w:rPr>
          <w:rFonts w:ascii="STKaiti" w:hAnsi="SimSun" w:hint="eastAsia"/>
          <w:lang w:eastAsia="zh-CN"/>
        </w:rPr>
        <w:t>参阅：</w:t>
      </w:r>
      <w:r>
        <w:rPr>
          <w:lang w:eastAsia="zh-CN"/>
        </w:rPr>
        <w:tab/>
      </w:r>
      <w:hyperlink r:id="rId487" w:history="1">
        <w:r w:rsidR="00B81E94" w:rsidRPr="003C453B">
          <w:rPr>
            <w:rStyle w:val="Hyperlink"/>
            <w:lang w:val="fr-FR" w:eastAsia="zh-CN"/>
          </w:rPr>
          <w:t>C12/102</w:t>
        </w:r>
      </w:hyperlink>
      <w:r w:rsidR="00B81E94">
        <w:rPr>
          <w:rFonts w:hint="eastAsia"/>
          <w:lang w:val="fr-FR" w:eastAsia="zh-CN"/>
        </w:rPr>
        <w:t>和</w:t>
      </w:r>
      <w:hyperlink r:id="rId488" w:history="1">
        <w:r w:rsidR="00B81E94" w:rsidRPr="003C453B">
          <w:rPr>
            <w:rStyle w:val="Hyperlink"/>
            <w:lang w:val="fr-FR" w:eastAsia="zh-CN"/>
          </w:rPr>
          <w:t>C12/110</w:t>
        </w:r>
      </w:hyperlink>
      <w:r w:rsidR="00B81E94">
        <w:rPr>
          <w:rFonts w:hint="eastAsia"/>
          <w:lang w:val="fr-FR" w:eastAsia="zh-CN"/>
        </w:rPr>
        <w:t>号</w:t>
      </w:r>
      <w:r w:rsidR="00B81E94">
        <w:rPr>
          <w:lang w:val="fr-FR" w:eastAsia="zh-CN"/>
        </w:rPr>
        <w:t>文件。</w:t>
      </w:r>
    </w:p>
    <w:p w14:paraId="4827BAC2" w14:textId="77777777" w:rsidR="00567CBA" w:rsidRDefault="00567CBA" w:rsidP="00567CBA">
      <w:pPr>
        <w:jc w:val="center"/>
        <w:rPr>
          <w:lang w:eastAsia="zh-CN"/>
        </w:rPr>
      </w:pPr>
      <w:bookmarkStart w:id="2712" w:name="_Toc424117152"/>
      <w:bookmarkStart w:id="2713" w:name="_Toc531706500"/>
      <w:bookmarkStart w:id="2714" w:name="_Toc531707120"/>
      <w:bookmarkStart w:id="2715" w:name="_Toc531768592"/>
      <w:r>
        <w:rPr>
          <w:lang w:eastAsia="zh-CN"/>
        </w:rPr>
        <w:t>______________</w:t>
      </w:r>
    </w:p>
    <w:p w14:paraId="4827BAC3"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C4"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C5"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C6"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C7"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C8"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C9"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ACA" w14:textId="77777777" w:rsidR="00B81E94" w:rsidRDefault="002F0D08" w:rsidP="000D18CD">
      <w:pPr>
        <w:pStyle w:val="DecNo"/>
        <w:outlineLvl w:val="0"/>
        <w:rPr>
          <w:rFonts w:ascii="Times New Roman Bold" w:hAnsi="Times New Roman Bold" w:hint="eastAsia"/>
        </w:rPr>
      </w:pPr>
      <w:bookmarkStart w:id="2716" w:name="_Toc16085919"/>
      <w:bookmarkStart w:id="2717" w:name="_Toc86395714"/>
      <w:r>
        <w:rPr>
          <w:rFonts w:hint="eastAsia"/>
        </w:rPr>
        <w:lastRenderedPageBreak/>
        <w:t>第</w:t>
      </w:r>
      <w:r>
        <w:t>43</w:t>
      </w:r>
      <w:r w:rsidRPr="00103004">
        <w:rPr>
          <w:rFonts w:hint="eastAsia"/>
          <w:bCs/>
        </w:rPr>
        <w:t>号决定</w:t>
      </w:r>
      <w:r w:rsidR="00B81E94">
        <w:rPr>
          <w:rFonts w:hint="eastAsia"/>
          <w:bCs/>
        </w:rPr>
        <w:t>（</w:t>
      </w:r>
      <w:r w:rsidR="00B81E94" w:rsidRPr="0049692E">
        <w:t>C-1951</w:t>
      </w:r>
      <w:r w:rsidR="00C504EF">
        <w:rPr>
          <w:rFonts w:hint="eastAsia"/>
        </w:rPr>
        <w:t>，</w:t>
      </w:r>
      <w:r w:rsidR="00B81E94" w:rsidRPr="0049692E">
        <w:t>最后修正</w:t>
      </w:r>
      <w:r w:rsidR="00B81E94" w:rsidRPr="0049692E">
        <w:t>C-1954</w:t>
      </w:r>
      <w:r w:rsidR="00B81E94">
        <w:rPr>
          <w:rFonts w:hint="eastAsia"/>
        </w:rPr>
        <w:t>）</w:t>
      </w:r>
      <w:bookmarkEnd w:id="2712"/>
      <w:bookmarkEnd w:id="2713"/>
      <w:bookmarkEnd w:id="2714"/>
      <w:bookmarkEnd w:id="2715"/>
      <w:bookmarkEnd w:id="2716"/>
      <w:bookmarkEnd w:id="2717"/>
    </w:p>
    <w:p w14:paraId="4827BACB" w14:textId="77777777" w:rsidR="002F0D08" w:rsidRDefault="002F0D08" w:rsidP="00B81E94">
      <w:pPr>
        <w:pStyle w:val="Dectitle"/>
      </w:pPr>
      <w:bookmarkStart w:id="2718" w:name="_Toc424117153"/>
      <w:bookmarkStart w:id="2719" w:name="_Toc460248264"/>
      <w:bookmarkStart w:id="2720" w:name="_Toc531706501"/>
      <w:bookmarkStart w:id="2721" w:name="_Toc531707121"/>
      <w:bookmarkStart w:id="2722" w:name="_Toc531768593"/>
      <w:bookmarkStart w:id="2723" w:name="_Toc16085920"/>
      <w:bookmarkStart w:id="2724" w:name="_Toc86395715"/>
      <w:r w:rsidRPr="00103004">
        <w:rPr>
          <w:rFonts w:hint="eastAsia"/>
        </w:rPr>
        <w:t>联合国大会有关专门机构行政预算的第</w:t>
      </w:r>
      <w:r w:rsidRPr="00BA31AA">
        <w:t>411</w:t>
      </w:r>
      <w:r w:rsidR="00286A3C">
        <w:t xml:space="preserve"> </w:t>
      </w:r>
      <w:r w:rsidR="00286A3C">
        <w:rPr>
          <w:lang w:val="en-US"/>
        </w:rPr>
        <w:t>(</w:t>
      </w:r>
      <w:r w:rsidRPr="00BA31AA">
        <w:t>V</w:t>
      </w:r>
      <w:r w:rsidR="00286A3C">
        <w:t xml:space="preserve">) </w:t>
      </w:r>
      <w:r>
        <w:rPr>
          <w:rFonts w:ascii="SimSun" w:hAnsi="SimSun" w:hint="eastAsia"/>
        </w:rPr>
        <w:t>号决议</w:t>
      </w:r>
      <w:bookmarkEnd w:id="2697"/>
      <w:bookmarkEnd w:id="2698"/>
      <w:bookmarkEnd w:id="2699"/>
      <w:bookmarkEnd w:id="2700"/>
      <w:bookmarkEnd w:id="2701"/>
      <w:bookmarkEnd w:id="2718"/>
      <w:bookmarkEnd w:id="2719"/>
      <w:bookmarkEnd w:id="2720"/>
      <w:bookmarkEnd w:id="2721"/>
      <w:bookmarkEnd w:id="2722"/>
      <w:bookmarkEnd w:id="2723"/>
      <w:bookmarkEnd w:id="2724"/>
    </w:p>
    <w:p w14:paraId="4827BACC" w14:textId="77777777" w:rsidR="00802993" w:rsidRDefault="00802993" w:rsidP="001B0F1A">
      <w:pPr>
        <w:pStyle w:val="Normalaftertitle"/>
        <w:rPr>
          <w:lang w:eastAsia="zh-CN"/>
        </w:rPr>
      </w:pPr>
      <w:r>
        <w:rPr>
          <w:lang w:eastAsia="zh-CN"/>
        </w:rPr>
        <w:tab/>
      </w:r>
      <w:r>
        <w:rPr>
          <w:rFonts w:hint="eastAsia"/>
          <w:lang w:eastAsia="zh-CN"/>
        </w:rPr>
        <w:t>秘书长或副秘书长应出席行政问题协商委员会会议。</w:t>
      </w:r>
    </w:p>
    <w:p w14:paraId="4827BACD" w14:textId="77777777" w:rsidR="00F11D1D" w:rsidRPr="00D746C3" w:rsidRDefault="00802993" w:rsidP="001B0F1A">
      <w:pPr>
        <w:pStyle w:val="Endtext"/>
        <w:rPr>
          <w:lang w:eastAsia="zh-CN"/>
        </w:rPr>
      </w:pPr>
      <w:r>
        <w:rPr>
          <w:rFonts w:ascii="STKaiti" w:hAnsi="SimSun" w:hint="eastAsia"/>
          <w:lang w:eastAsia="zh-CN"/>
        </w:rPr>
        <w:t>参阅：</w:t>
      </w:r>
      <w:r>
        <w:rPr>
          <w:lang w:eastAsia="zh-CN"/>
        </w:rPr>
        <w:tab/>
        <w:t>981/CA6</w:t>
      </w:r>
      <w:r>
        <w:rPr>
          <w:lang w:eastAsia="zh-CN"/>
        </w:rPr>
        <w:t>（</w:t>
      </w:r>
      <w:r>
        <w:rPr>
          <w:lang w:eastAsia="zh-CN"/>
        </w:rPr>
        <w:t>1951</w:t>
      </w:r>
      <w:r>
        <w:rPr>
          <w:rFonts w:hint="eastAsia"/>
          <w:lang w:eastAsia="zh-CN"/>
        </w:rPr>
        <w:t>年</w:t>
      </w:r>
      <w:r>
        <w:rPr>
          <w:lang w:eastAsia="zh-CN"/>
        </w:rPr>
        <w:t>）</w:t>
      </w:r>
      <w:r w:rsidR="00BF54E4">
        <w:rPr>
          <w:rFonts w:hint="eastAsia"/>
          <w:lang w:eastAsia="zh-CN"/>
        </w:rPr>
        <w:t>、</w:t>
      </w:r>
      <w:r>
        <w:rPr>
          <w:lang w:eastAsia="zh-CN"/>
        </w:rPr>
        <w:t>1606/CA9</w:t>
      </w:r>
      <w:r>
        <w:rPr>
          <w:lang w:eastAsia="zh-CN"/>
        </w:rPr>
        <w:t>（</w:t>
      </w:r>
      <w:r>
        <w:rPr>
          <w:lang w:eastAsia="zh-CN"/>
        </w:rPr>
        <w:t>1954</w:t>
      </w:r>
      <w:r>
        <w:rPr>
          <w:rFonts w:hint="eastAsia"/>
          <w:lang w:eastAsia="zh-CN"/>
        </w:rPr>
        <w:t>年</w:t>
      </w:r>
      <w:r>
        <w:rPr>
          <w:lang w:eastAsia="zh-CN"/>
        </w:rPr>
        <w:t>）</w:t>
      </w:r>
      <w:r>
        <w:rPr>
          <w:rFonts w:ascii="SimSun" w:hAnsi="SimSun" w:hint="eastAsia"/>
          <w:lang w:eastAsia="zh-CN"/>
        </w:rPr>
        <w:t>号文件。</w:t>
      </w:r>
    </w:p>
    <w:p w14:paraId="4827BACE" w14:textId="77777777" w:rsidR="00567CBA" w:rsidRDefault="00567CBA" w:rsidP="00567CBA">
      <w:pPr>
        <w:jc w:val="center"/>
        <w:rPr>
          <w:lang w:eastAsia="zh-CN"/>
        </w:rPr>
      </w:pPr>
      <w:bookmarkStart w:id="2725" w:name="_Toc424117154"/>
      <w:bookmarkStart w:id="2726" w:name="_Toc531706502"/>
      <w:bookmarkStart w:id="2727" w:name="_Toc531707122"/>
      <w:bookmarkStart w:id="2728" w:name="_Toc531768594"/>
      <w:bookmarkStart w:id="2729" w:name="_Toc161224121"/>
      <w:bookmarkStart w:id="2730" w:name="_Toc161732167"/>
      <w:bookmarkStart w:id="2731" w:name="_Toc161741099"/>
      <w:bookmarkStart w:id="2732" w:name="_Toc185237765"/>
      <w:bookmarkStart w:id="2733" w:name="_Toc311469676"/>
      <w:r>
        <w:rPr>
          <w:lang w:eastAsia="zh-CN"/>
        </w:rPr>
        <w:t>______________</w:t>
      </w:r>
    </w:p>
    <w:p w14:paraId="4827BACF" w14:textId="77777777" w:rsidR="004A4A3B" w:rsidRDefault="004A4A3B" w:rsidP="004A4A3B">
      <w:pPr>
        <w:rPr>
          <w:lang w:eastAsia="zh-CN"/>
        </w:rPr>
      </w:pPr>
    </w:p>
    <w:p w14:paraId="4827BAD0" w14:textId="77777777" w:rsidR="001B0F1A" w:rsidRDefault="00A40D37" w:rsidP="000D18CD">
      <w:pPr>
        <w:pStyle w:val="DecNo"/>
        <w:outlineLvl w:val="0"/>
      </w:pPr>
      <w:bookmarkStart w:id="2734" w:name="_Toc16085921"/>
      <w:bookmarkStart w:id="2735" w:name="_Toc86395716"/>
      <w:r>
        <w:rPr>
          <w:rFonts w:hint="eastAsia"/>
        </w:rPr>
        <w:t>第</w:t>
      </w:r>
      <w:r>
        <w:t>45</w:t>
      </w:r>
      <w:r w:rsidRPr="00103004">
        <w:rPr>
          <w:rFonts w:hint="eastAsia"/>
        </w:rPr>
        <w:t>号决定</w:t>
      </w:r>
      <w:r w:rsidR="001B0F1A">
        <w:rPr>
          <w:rFonts w:hint="eastAsia"/>
        </w:rPr>
        <w:t>（</w:t>
      </w:r>
      <w:r w:rsidR="001B0F1A" w:rsidRPr="00CF621C">
        <w:t>C-1951</w:t>
      </w:r>
      <w:r w:rsidR="001B0F1A">
        <w:rPr>
          <w:rFonts w:hint="eastAsia"/>
        </w:rPr>
        <w:t>）</w:t>
      </w:r>
      <w:bookmarkEnd w:id="2725"/>
      <w:bookmarkEnd w:id="2726"/>
      <w:bookmarkEnd w:id="2727"/>
      <w:bookmarkEnd w:id="2728"/>
      <w:bookmarkEnd w:id="2734"/>
      <w:bookmarkEnd w:id="2735"/>
    </w:p>
    <w:p w14:paraId="4827BAD1" w14:textId="77777777" w:rsidR="00A40D37" w:rsidRDefault="00A40D37" w:rsidP="001B0F1A">
      <w:pPr>
        <w:pStyle w:val="Dectitle"/>
      </w:pPr>
      <w:bookmarkStart w:id="2736" w:name="_Toc424117155"/>
      <w:bookmarkStart w:id="2737" w:name="_Toc460248266"/>
      <w:bookmarkStart w:id="2738" w:name="_Toc531706503"/>
      <w:bookmarkStart w:id="2739" w:name="_Toc531707123"/>
      <w:bookmarkStart w:id="2740" w:name="_Toc531768595"/>
      <w:bookmarkStart w:id="2741" w:name="_Toc16085922"/>
      <w:bookmarkStart w:id="2742" w:name="_Toc86395717"/>
      <w:r w:rsidRPr="00103004">
        <w:rPr>
          <w:rFonts w:hint="eastAsia"/>
        </w:rPr>
        <w:t>就联合国的会议议程问题与联合国进行合作</w:t>
      </w:r>
      <w:bookmarkEnd w:id="2729"/>
      <w:bookmarkEnd w:id="2730"/>
      <w:bookmarkEnd w:id="2731"/>
      <w:bookmarkEnd w:id="2732"/>
      <w:bookmarkEnd w:id="2733"/>
      <w:bookmarkEnd w:id="2736"/>
      <w:bookmarkEnd w:id="2737"/>
      <w:bookmarkEnd w:id="2738"/>
      <w:bookmarkEnd w:id="2739"/>
      <w:bookmarkEnd w:id="2740"/>
      <w:bookmarkEnd w:id="2741"/>
      <w:bookmarkEnd w:id="2742"/>
    </w:p>
    <w:p w14:paraId="4827BAD2" w14:textId="77777777" w:rsidR="00802993" w:rsidRDefault="00802993" w:rsidP="001B0F1A">
      <w:pPr>
        <w:pStyle w:val="Normalaftertitle"/>
        <w:rPr>
          <w:lang w:eastAsia="zh-CN"/>
        </w:rPr>
      </w:pPr>
      <w:r w:rsidRPr="001B0F1A">
        <w:rPr>
          <w:rFonts w:hint="eastAsia"/>
          <w:lang w:eastAsia="zh-CN"/>
        </w:rPr>
        <w:t>理事会</w:t>
      </w:r>
      <w:r>
        <w:rPr>
          <w:rFonts w:hint="eastAsia"/>
          <w:lang w:eastAsia="zh-CN"/>
        </w:rPr>
        <w:t>，</w:t>
      </w:r>
    </w:p>
    <w:p w14:paraId="4827BAD3" w14:textId="77777777" w:rsidR="00802993" w:rsidRDefault="00802993" w:rsidP="00B64353">
      <w:pPr>
        <w:rPr>
          <w:lang w:eastAsia="zh-CN"/>
        </w:rPr>
      </w:pPr>
      <w:r>
        <w:rPr>
          <w:lang w:eastAsia="zh-CN"/>
        </w:rPr>
        <w:tab/>
      </w:r>
      <w:r>
        <w:rPr>
          <w:rFonts w:ascii="STKaiti" w:eastAsia="STKaiti" w:hAnsi="SimSun" w:hint="eastAsia"/>
          <w:lang w:eastAsia="zh-CN"/>
        </w:rPr>
        <w:t>请</w:t>
      </w:r>
      <w:r>
        <w:rPr>
          <w:rFonts w:ascii="SimSun" w:hAnsi="SimSun" w:hint="eastAsia"/>
          <w:lang w:eastAsia="zh-CN"/>
        </w:rPr>
        <w:t>秘书长与联合国联系，希望其在起草联合国机构和委员会的议程时与国际电联协商，以便将与国际电联有关的问题放在一起讨论并尽可能在短时间内处理。这样的程序可以减少国际电联代表的等待时间，从而减少出差费用。</w:t>
      </w:r>
    </w:p>
    <w:p w14:paraId="4827BAD4" w14:textId="77777777" w:rsidR="00F11D1D" w:rsidRPr="00D746C3" w:rsidRDefault="00802993" w:rsidP="001B0F1A">
      <w:pPr>
        <w:pStyle w:val="Endtext"/>
        <w:rPr>
          <w:lang w:eastAsia="zh-CN"/>
        </w:rPr>
      </w:pPr>
      <w:r>
        <w:rPr>
          <w:rFonts w:ascii="STKaiti" w:hAnsi="SimSun" w:hint="eastAsia"/>
          <w:lang w:eastAsia="zh-CN"/>
        </w:rPr>
        <w:t>参阅：</w:t>
      </w:r>
      <w:r>
        <w:rPr>
          <w:lang w:eastAsia="zh-CN"/>
        </w:rPr>
        <w:tab/>
        <w:t>970/CA6</w:t>
      </w:r>
      <w:r>
        <w:rPr>
          <w:lang w:eastAsia="zh-CN"/>
        </w:rPr>
        <w:t>（</w:t>
      </w:r>
      <w:r>
        <w:rPr>
          <w:lang w:eastAsia="zh-CN"/>
        </w:rPr>
        <w:t>1951</w:t>
      </w:r>
      <w:r>
        <w:rPr>
          <w:rFonts w:hint="eastAsia"/>
          <w:lang w:eastAsia="zh-CN"/>
        </w:rPr>
        <w:t>年</w:t>
      </w:r>
      <w:r>
        <w:rPr>
          <w:lang w:eastAsia="zh-CN"/>
        </w:rPr>
        <w:t>）</w:t>
      </w:r>
      <w:r>
        <w:rPr>
          <w:rFonts w:ascii="SimSun" w:hAnsi="SimSun" w:hint="eastAsia"/>
          <w:lang w:eastAsia="zh-CN"/>
        </w:rPr>
        <w:t>号文件。</w:t>
      </w:r>
    </w:p>
    <w:p w14:paraId="4827BAD5" w14:textId="77777777" w:rsidR="00567CBA" w:rsidRDefault="00567CBA" w:rsidP="00567CBA">
      <w:pPr>
        <w:jc w:val="center"/>
        <w:rPr>
          <w:lang w:eastAsia="zh-CN"/>
        </w:rPr>
      </w:pPr>
      <w:r>
        <w:rPr>
          <w:lang w:eastAsia="zh-CN"/>
        </w:rPr>
        <w:t>______________</w:t>
      </w:r>
    </w:p>
    <w:p w14:paraId="4827BAD6"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D7"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D8"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D9"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DA"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DB"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DC"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DD"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DE" w14:textId="77777777" w:rsidR="00E223C8" w:rsidRDefault="00E223C8" w:rsidP="00B64353">
      <w:pPr>
        <w:rPr>
          <w:lang w:eastAsia="zh-CN"/>
        </w:rPr>
      </w:pPr>
    </w:p>
    <w:p w14:paraId="4827BADF" w14:textId="77777777" w:rsidR="00E223C8" w:rsidRDefault="00E223C8" w:rsidP="00B64353">
      <w:pPr>
        <w:rPr>
          <w:lang w:eastAsia="zh-CN"/>
        </w:rPr>
      </w:pPr>
    </w:p>
    <w:p w14:paraId="4827BAE0" w14:textId="77777777" w:rsidR="00E223C8" w:rsidRDefault="00E223C8" w:rsidP="00B64353">
      <w:pPr>
        <w:rPr>
          <w:lang w:eastAsia="zh-CN"/>
        </w:rPr>
      </w:pPr>
    </w:p>
    <w:p w14:paraId="4827BAE1" w14:textId="77777777" w:rsidR="00E223C8" w:rsidRDefault="00E223C8" w:rsidP="00B64353">
      <w:pPr>
        <w:rPr>
          <w:lang w:eastAsia="zh-CN"/>
        </w:rPr>
        <w:sectPr w:rsidR="00E223C8" w:rsidSect="00FD528B">
          <w:headerReference w:type="even" r:id="rId489"/>
          <w:headerReference w:type="default" r:id="rId490"/>
          <w:footerReference w:type="even" r:id="rId491"/>
          <w:footerReference w:type="default" r:id="rId492"/>
          <w:headerReference w:type="first" r:id="rId493"/>
          <w:footerReference w:type="first" r:id="rId494"/>
          <w:footnotePr>
            <w:pos w:val="beneathText"/>
          </w:footnotePr>
          <w:endnotePr>
            <w:numFmt w:val="decimal"/>
          </w:endnotePr>
          <w:pgSz w:w="11907" w:h="16840" w:code="9"/>
          <w:pgMar w:top="1418" w:right="1134" w:bottom="1134" w:left="1134" w:header="737" w:footer="567" w:gutter="284"/>
          <w:cols w:space="720"/>
          <w:vAlign w:val="both"/>
          <w:titlePg/>
        </w:sectPr>
      </w:pPr>
    </w:p>
    <w:p w14:paraId="4827BAE2" w14:textId="77777777" w:rsidR="00F11D1D" w:rsidRPr="004D30D4" w:rsidRDefault="00F11D1D" w:rsidP="004D30D4">
      <w:pPr>
        <w:pStyle w:val="ChapNo"/>
        <w:spacing w:before="240"/>
        <w:rPr>
          <w:b w:val="0"/>
          <w:bCs/>
          <w:lang w:eastAsia="zh-CN"/>
        </w:rPr>
      </w:pPr>
      <w:bookmarkStart w:id="2743" w:name="_Toc81880184"/>
      <w:bookmarkStart w:id="2744" w:name="_Toc161224122"/>
      <w:bookmarkStart w:id="2745" w:name="_Toc161732168"/>
      <w:bookmarkStart w:id="2746" w:name="_Toc161741100"/>
      <w:bookmarkStart w:id="2747" w:name="_Toc185237766"/>
      <w:bookmarkStart w:id="2748" w:name="_Toc311469677"/>
      <w:bookmarkStart w:id="2749" w:name="_Toc424115679"/>
      <w:bookmarkStart w:id="2750" w:name="_Toc424116282"/>
      <w:bookmarkStart w:id="2751" w:name="_Toc424117156"/>
      <w:bookmarkStart w:id="2752" w:name="_Toc531707126"/>
      <w:bookmarkStart w:id="2753" w:name="_Toc531707159"/>
      <w:bookmarkStart w:id="2754" w:name="_Toc531768598"/>
      <w:bookmarkStart w:id="2755" w:name="_Toc16085923"/>
      <w:bookmarkStart w:id="2756" w:name="_Toc16173305"/>
      <w:bookmarkStart w:id="2757" w:name="_Toc16173762"/>
      <w:bookmarkStart w:id="2758" w:name="_Toc86395718"/>
      <w:r w:rsidRPr="004D30D4">
        <w:rPr>
          <w:b w:val="0"/>
          <w:bCs/>
          <w:lang w:eastAsia="zh-CN"/>
        </w:rPr>
        <w:lastRenderedPageBreak/>
        <w:t>7</w:t>
      </w:r>
      <w:r w:rsidRPr="004D30D4">
        <w:rPr>
          <w:b w:val="0"/>
          <w:bCs/>
          <w:lang w:eastAsia="zh-CN"/>
        </w:rPr>
        <w:tab/>
      </w:r>
      <w:bookmarkEnd w:id="2743"/>
      <w:r w:rsidR="00802993" w:rsidRPr="004D30D4">
        <w:rPr>
          <w:rFonts w:hint="eastAsia"/>
          <w:b w:val="0"/>
          <w:bCs/>
          <w:lang w:eastAsia="zh-CN"/>
        </w:rPr>
        <w:t>其它事宜</w:t>
      </w:r>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p>
    <w:p w14:paraId="4827BAE3" w14:textId="77777777" w:rsidR="00F11D1D" w:rsidRPr="00D746C3" w:rsidRDefault="00F11D1D" w:rsidP="004D30D4">
      <w:pPr>
        <w:pStyle w:val="Chaptitle"/>
        <w:rPr>
          <w:lang w:eastAsia="zh-CN"/>
        </w:rPr>
      </w:pPr>
      <w:bookmarkStart w:id="2759" w:name="_Toc81880185"/>
      <w:bookmarkStart w:id="2760" w:name="_Toc161224123"/>
      <w:bookmarkStart w:id="2761" w:name="_Toc161732169"/>
      <w:bookmarkStart w:id="2762" w:name="_Toc161741101"/>
      <w:bookmarkStart w:id="2763" w:name="_Toc185237767"/>
      <w:bookmarkStart w:id="2764" w:name="_Toc311469678"/>
      <w:bookmarkStart w:id="2765" w:name="_Toc424117157"/>
      <w:bookmarkStart w:id="2766" w:name="_Toc531706506"/>
      <w:bookmarkStart w:id="2767" w:name="_Toc531707127"/>
      <w:bookmarkStart w:id="2768" w:name="_Toc531768599"/>
      <w:bookmarkStart w:id="2769" w:name="_Toc16085924"/>
      <w:bookmarkStart w:id="2770" w:name="_Toc86395719"/>
      <w:r w:rsidRPr="00A91440">
        <w:rPr>
          <w:lang w:eastAsia="zh-CN"/>
        </w:rPr>
        <w:t>7.1</w:t>
      </w:r>
      <w:r w:rsidRPr="00A91440">
        <w:rPr>
          <w:lang w:eastAsia="zh-CN"/>
        </w:rPr>
        <w:tab/>
      </w:r>
      <w:r w:rsidR="00802993" w:rsidRPr="00A91440">
        <w:rPr>
          <w:rFonts w:hint="eastAsia"/>
          <w:lang w:eastAsia="zh-CN"/>
        </w:rPr>
        <w:t>建筑物、房屋、设备</w:t>
      </w:r>
      <w:bookmarkEnd w:id="2759"/>
      <w:bookmarkEnd w:id="2760"/>
      <w:bookmarkEnd w:id="2761"/>
      <w:bookmarkEnd w:id="2762"/>
      <w:bookmarkEnd w:id="2763"/>
      <w:bookmarkEnd w:id="2764"/>
      <w:bookmarkEnd w:id="2765"/>
      <w:bookmarkEnd w:id="2766"/>
      <w:bookmarkEnd w:id="2767"/>
      <w:bookmarkEnd w:id="2768"/>
      <w:bookmarkEnd w:id="2769"/>
      <w:bookmarkEnd w:id="2770"/>
    </w:p>
    <w:p w14:paraId="4827BAE4" w14:textId="77777777" w:rsidR="00E223C8" w:rsidRDefault="00E223C8" w:rsidP="000D18CD">
      <w:pPr>
        <w:pStyle w:val="DecNo"/>
        <w:outlineLvl w:val="0"/>
      </w:pPr>
      <w:bookmarkStart w:id="2771" w:name="_Toc531706507"/>
      <w:bookmarkStart w:id="2772" w:name="_Toc531707128"/>
      <w:bookmarkStart w:id="2773" w:name="_Toc531768600"/>
      <w:bookmarkStart w:id="2774" w:name="_Toc16085925"/>
      <w:bookmarkStart w:id="2775" w:name="_Toc86395720"/>
      <w:r w:rsidRPr="00D102BE">
        <w:rPr>
          <w:rFonts w:hint="eastAsia"/>
        </w:rPr>
        <w:t>第</w:t>
      </w:r>
      <w:r w:rsidRPr="00D102BE">
        <w:rPr>
          <w:rFonts w:hint="eastAsia"/>
        </w:rPr>
        <w:t>588</w:t>
      </w:r>
      <w:r w:rsidRPr="00D102BE">
        <w:rPr>
          <w:rFonts w:hint="eastAsia"/>
        </w:rPr>
        <w:t>号决定</w:t>
      </w:r>
      <w:r w:rsidR="00C63A9B">
        <w:rPr>
          <w:rFonts w:hint="eastAsia"/>
        </w:rPr>
        <w:t>（</w:t>
      </w:r>
      <w:r w:rsidR="00C63A9B">
        <w:t>C16</w:t>
      </w:r>
      <w:r w:rsidR="00C63A9B">
        <w:rPr>
          <w:rFonts w:hint="eastAsia"/>
        </w:rPr>
        <w:t>）</w:t>
      </w:r>
      <w:bookmarkEnd w:id="2771"/>
      <w:bookmarkEnd w:id="2772"/>
      <w:bookmarkEnd w:id="2773"/>
      <w:bookmarkEnd w:id="2774"/>
      <w:bookmarkEnd w:id="2775"/>
    </w:p>
    <w:p w14:paraId="4827BAE5" w14:textId="77777777" w:rsidR="00E223C8" w:rsidRPr="00E677C4" w:rsidRDefault="00E223C8" w:rsidP="00E223C8">
      <w:pPr>
        <w:pStyle w:val="Dectitle"/>
        <w:rPr>
          <w:rFonts w:eastAsia="Times New Roman"/>
        </w:rPr>
      </w:pPr>
      <w:bookmarkStart w:id="2776" w:name="_Toc460248272"/>
      <w:bookmarkStart w:id="2777" w:name="_Toc531706508"/>
      <w:bookmarkStart w:id="2778" w:name="_Toc531707129"/>
      <w:bookmarkStart w:id="2779" w:name="_Toc531768601"/>
      <w:bookmarkStart w:id="2780" w:name="_Toc16085926"/>
      <w:bookmarkStart w:id="2781" w:name="_Toc86395721"/>
      <w:r w:rsidRPr="00E677C4">
        <w:rPr>
          <w:rFonts w:hint="eastAsia"/>
        </w:rPr>
        <w:t>总部</w:t>
      </w:r>
      <w:r w:rsidRPr="00E677C4">
        <w:t>办公场所</w:t>
      </w:r>
      <w:bookmarkEnd w:id="2776"/>
      <w:bookmarkEnd w:id="2777"/>
      <w:bookmarkEnd w:id="2778"/>
      <w:bookmarkEnd w:id="2779"/>
      <w:bookmarkEnd w:id="2780"/>
      <w:bookmarkEnd w:id="2781"/>
    </w:p>
    <w:p w14:paraId="4827BAE6" w14:textId="77777777" w:rsidR="00E223C8" w:rsidRPr="00E677C4" w:rsidRDefault="00E223C8" w:rsidP="00E51375">
      <w:pPr>
        <w:pStyle w:val="Normalaftertitle0"/>
        <w:rPr>
          <w:rFonts w:eastAsia="Times New Roman"/>
        </w:rPr>
      </w:pPr>
      <w:r w:rsidRPr="00E677C4">
        <w:rPr>
          <w:rFonts w:hint="eastAsia"/>
        </w:rPr>
        <w:t>理事会</w:t>
      </w:r>
      <w:r w:rsidRPr="00E677C4">
        <w:t>，</w:t>
      </w:r>
    </w:p>
    <w:p w14:paraId="4827BAE7" w14:textId="77777777" w:rsidR="00E223C8" w:rsidRPr="004A3328" w:rsidRDefault="00E223C8" w:rsidP="00E223C8">
      <w:pPr>
        <w:pStyle w:val="Call"/>
        <w:rPr>
          <w:lang w:eastAsia="zh-CN"/>
        </w:rPr>
      </w:pPr>
      <w:r w:rsidRPr="004A3328">
        <w:rPr>
          <w:rFonts w:hint="eastAsia"/>
          <w:lang w:eastAsia="zh-CN"/>
        </w:rPr>
        <w:t>忆及</w:t>
      </w:r>
    </w:p>
    <w:p w14:paraId="4827BAE8" w14:textId="77777777" w:rsidR="00E223C8" w:rsidRPr="00E677C4" w:rsidRDefault="00E223C8" w:rsidP="00E223C8">
      <w:pPr>
        <w:widowControl w:val="0"/>
        <w:tabs>
          <w:tab w:val="clear" w:pos="794"/>
          <w:tab w:val="clear" w:pos="1191"/>
          <w:tab w:val="clear" w:pos="1588"/>
          <w:tab w:val="clear" w:pos="1985"/>
          <w:tab w:val="left" w:pos="567"/>
          <w:tab w:val="left" w:pos="1134"/>
          <w:tab w:val="left" w:pos="1701"/>
          <w:tab w:val="left" w:pos="2268"/>
          <w:tab w:val="left" w:pos="2835"/>
        </w:tabs>
        <w:overflowPunct/>
        <w:spacing w:after="120"/>
        <w:ind w:firstLineChars="200" w:firstLine="480"/>
        <w:textAlignment w:val="auto"/>
        <w:rPr>
          <w:rFonts w:eastAsia="Times New Roman" w:cs="Calibri"/>
          <w:szCs w:val="24"/>
          <w:lang w:eastAsia="zh-CN"/>
        </w:rPr>
      </w:pPr>
      <w:r>
        <w:rPr>
          <w:rFonts w:cs="Calibri" w:hint="eastAsia"/>
          <w:szCs w:val="24"/>
          <w:lang w:eastAsia="zh-CN"/>
        </w:rPr>
        <w:t>有关</w:t>
      </w:r>
      <w:r w:rsidRPr="00E677C4">
        <w:rPr>
          <w:rFonts w:cs="Calibri" w:hint="eastAsia"/>
          <w:szCs w:val="24"/>
          <w:lang w:eastAsia="zh-CN"/>
        </w:rPr>
        <w:t>国际电联总部长期办公场所选择方案的</w:t>
      </w:r>
      <w:r w:rsidRPr="00E677C4">
        <w:rPr>
          <w:rFonts w:cs="Calibri"/>
          <w:szCs w:val="24"/>
          <w:lang w:eastAsia="zh-CN"/>
        </w:rPr>
        <w:t>第</w:t>
      </w:r>
      <w:r w:rsidRPr="00E677C4">
        <w:rPr>
          <w:rFonts w:cs="Calibri" w:hint="eastAsia"/>
          <w:szCs w:val="24"/>
          <w:lang w:eastAsia="zh-CN"/>
        </w:rPr>
        <w:t>194</w:t>
      </w:r>
      <w:r w:rsidRPr="00E677C4">
        <w:rPr>
          <w:rFonts w:cs="Calibri" w:hint="eastAsia"/>
          <w:szCs w:val="24"/>
          <w:lang w:eastAsia="zh-CN"/>
        </w:rPr>
        <w:t>号决议</w:t>
      </w:r>
      <w:r w:rsidRPr="00E677C4">
        <w:rPr>
          <w:rFonts w:cs="Calibri"/>
          <w:szCs w:val="24"/>
          <w:lang w:eastAsia="zh-CN"/>
        </w:rPr>
        <w:t>（</w:t>
      </w:r>
      <w:r w:rsidRPr="00E677C4">
        <w:rPr>
          <w:rFonts w:cs="Calibri" w:hint="eastAsia"/>
          <w:szCs w:val="24"/>
          <w:lang w:eastAsia="zh-CN"/>
        </w:rPr>
        <w:t>2014</w:t>
      </w:r>
      <w:r w:rsidRPr="00E677C4">
        <w:rPr>
          <w:rFonts w:cs="Calibri" w:hint="eastAsia"/>
          <w:szCs w:val="24"/>
          <w:lang w:eastAsia="zh-CN"/>
        </w:rPr>
        <w:t>年</w:t>
      </w:r>
      <w:r w:rsidRPr="00E677C4">
        <w:rPr>
          <w:rFonts w:cs="Calibri"/>
          <w:szCs w:val="24"/>
          <w:lang w:eastAsia="zh-CN"/>
        </w:rPr>
        <w:t>，釜山），</w:t>
      </w:r>
    </w:p>
    <w:p w14:paraId="4827BAE9" w14:textId="77777777" w:rsidR="00E223C8" w:rsidRPr="004A3328" w:rsidRDefault="00E223C8" w:rsidP="00E223C8">
      <w:pPr>
        <w:pStyle w:val="Call"/>
        <w:rPr>
          <w:lang w:eastAsia="zh-CN"/>
        </w:rPr>
      </w:pPr>
      <w:r w:rsidRPr="004A3328">
        <w:rPr>
          <w:rFonts w:hint="eastAsia"/>
          <w:lang w:eastAsia="zh-CN"/>
        </w:rPr>
        <w:t>进一步</w:t>
      </w:r>
      <w:r w:rsidRPr="004A3328">
        <w:rPr>
          <w:lang w:eastAsia="zh-CN"/>
        </w:rPr>
        <w:t>忆及</w:t>
      </w:r>
    </w:p>
    <w:p w14:paraId="4827BAEA" w14:textId="77777777" w:rsidR="00E223C8" w:rsidRPr="00E677C4" w:rsidRDefault="00E223C8" w:rsidP="00E223C8">
      <w:pPr>
        <w:widowControl w:val="0"/>
        <w:tabs>
          <w:tab w:val="clear" w:pos="794"/>
          <w:tab w:val="clear" w:pos="1191"/>
          <w:tab w:val="clear" w:pos="1588"/>
          <w:tab w:val="clear" w:pos="1985"/>
          <w:tab w:val="left" w:pos="567"/>
          <w:tab w:val="left" w:pos="1134"/>
          <w:tab w:val="left" w:pos="1701"/>
          <w:tab w:val="left" w:pos="2268"/>
          <w:tab w:val="left" w:pos="2835"/>
        </w:tabs>
        <w:overflowPunct/>
        <w:spacing w:after="120"/>
        <w:ind w:firstLineChars="200" w:firstLine="480"/>
        <w:textAlignment w:val="auto"/>
        <w:rPr>
          <w:rFonts w:eastAsia="Times New Roman" w:cs="Calibri"/>
          <w:szCs w:val="24"/>
          <w:lang w:eastAsia="zh-CN"/>
        </w:rPr>
      </w:pPr>
      <w:r>
        <w:rPr>
          <w:rFonts w:cs="Calibri" w:hint="eastAsia"/>
          <w:szCs w:val="24"/>
          <w:lang w:eastAsia="zh-CN"/>
        </w:rPr>
        <w:t>有关</w:t>
      </w:r>
      <w:r w:rsidRPr="00E677C4">
        <w:rPr>
          <w:rFonts w:cs="Calibri" w:hint="eastAsia"/>
          <w:szCs w:val="24"/>
          <w:lang w:eastAsia="zh-CN"/>
        </w:rPr>
        <w:t>成立</w:t>
      </w:r>
      <w:r w:rsidRPr="00E677C4">
        <w:rPr>
          <w:rFonts w:cs="Calibri"/>
          <w:szCs w:val="24"/>
          <w:lang w:eastAsia="zh-CN"/>
        </w:rPr>
        <w:t>理事会总部办公场所工作组</w:t>
      </w:r>
      <w:r w:rsidRPr="00E677C4">
        <w:rPr>
          <w:rFonts w:cs="Calibri" w:hint="eastAsia"/>
          <w:szCs w:val="24"/>
          <w:lang w:eastAsia="zh-CN"/>
        </w:rPr>
        <w:t>（</w:t>
      </w:r>
      <w:r w:rsidRPr="00E677C4">
        <w:rPr>
          <w:rFonts w:eastAsia="Times New Roman" w:cs="Calibri"/>
          <w:szCs w:val="24"/>
          <w:lang w:eastAsia="zh-CN"/>
        </w:rPr>
        <w:t>CWG-HQP</w:t>
      </w:r>
      <w:r w:rsidRPr="00E677C4">
        <w:rPr>
          <w:rFonts w:cs="Calibri" w:hint="eastAsia"/>
          <w:szCs w:val="24"/>
          <w:lang w:eastAsia="zh-CN"/>
        </w:rPr>
        <w:t>）的</w:t>
      </w:r>
      <w:r w:rsidRPr="00E677C4">
        <w:rPr>
          <w:lang w:eastAsia="zh-CN"/>
        </w:rPr>
        <w:t>决定</w:t>
      </w:r>
      <w:r w:rsidRPr="00E677C4">
        <w:rPr>
          <w:rFonts w:cs="Calibri"/>
          <w:szCs w:val="24"/>
          <w:lang w:eastAsia="zh-CN"/>
        </w:rPr>
        <w:t>，</w:t>
      </w:r>
    </w:p>
    <w:p w14:paraId="4827BAEB" w14:textId="77777777" w:rsidR="00E223C8" w:rsidRPr="004A3328" w:rsidRDefault="00E223C8" w:rsidP="00E223C8">
      <w:pPr>
        <w:pStyle w:val="Call"/>
        <w:rPr>
          <w:lang w:eastAsia="zh-CN"/>
        </w:rPr>
      </w:pPr>
      <w:r w:rsidRPr="004A3328">
        <w:rPr>
          <w:rFonts w:hint="eastAsia"/>
          <w:lang w:eastAsia="zh-CN"/>
        </w:rPr>
        <w:t>经审议</w:t>
      </w:r>
    </w:p>
    <w:p w14:paraId="4827BAEC" w14:textId="77777777" w:rsidR="00E223C8" w:rsidRPr="00E677C4" w:rsidRDefault="00E223C8" w:rsidP="00C5063C">
      <w:pPr>
        <w:tabs>
          <w:tab w:val="clear" w:pos="794"/>
          <w:tab w:val="clear" w:pos="1191"/>
          <w:tab w:val="clear" w:pos="1588"/>
          <w:tab w:val="clear" w:pos="1985"/>
          <w:tab w:val="left" w:pos="567"/>
          <w:tab w:val="left" w:pos="1134"/>
          <w:tab w:val="left" w:pos="1701"/>
          <w:tab w:val="left" w:pos="2268"/>
          <w:tab w:val="left" w:pos="2835"/>
        </w:tabs>
        <w:spacing w:after="120"/>
        <w:ind w:firstLineChars="200" w:firstLine="480"/>
        <w:rPr>
          <w:rFonts w:eastAsia="Times New Roman" w:cs="Calibri"/>
          <w:szCs w:val="24"/>
          <w:lang w:eastAsia="zh-CN"/>
        </w:rPr>
      </w:pPr>
      <w:r>
        <w:rPr>
          <w:rFonts w:cs="Calibri" w:hint="eastAsia"/>
          <w:szCs w:val="24"/>
          <w:lang w:eastAsia="zh-CN"/>
        </w:rPr>
        <w:t>CWG-HQP</w:t>
      </w:r>
      <w:r w:rsidRPr="00E677C4">
        <w:rPr>
          <w:rFonts w:cs="Calibri" w:hint="eastAsia"/>
          <w:szCs w:val="24"/>
          <w:lang w:eastAsia="zh-CN"/>
        </w:rPr>
        <w:t>工作组</w:t>
      </w:r>
      <w:r w:rsidRPr="00E677C4">
        <w:rPr>
          <w:rFonts w:cs="Calibri"/>
          <w:szCs w:val="24"/>
          <w:lang w:eastAsia="zh-CN"/>
        </w:rPr>
        <w:t>的最后报告并</w:t>
      </w:r>
      <w:r>
        <w:rPr>
          <w:rFonts w:cs="Calibri" w:hint="eastAsia"/>
          <w:szCs w:val="24"/>
          <w:lang w:eastAsia="zh-CN"/>
        </w:rPr>
        <w:t>赞同</w:t>
      </w:r>
      <w:r w:rsidRPr="00E677C4">
        <w:rPr>
          <w:rFonts w:cs="Calibri"/>
          <w:szCs w:val="24"/>
          <w:lang w:eastAsia="zh-CN"/>
        </w:rPr>
        <w:t>其最</w:t>
      </w:r>
      <w:r w:rsidRPr="00E677C4">
        <w:rPr>
          <w:rFonts w:cs="Calibri" w:hint="eastAsia"/>
          <w:szCs w:val="24"/>
          <w:lang w:eastAsia="zh-CN"/>
        </w:rPr>
        <w:t>终结论</w:t>
      </w:r>
      <w:r w:rsidRPr="00E677C4">
        <w:rPr>
          <w:rFonts w:cs="Calibri"/>
          <w:szCs w:val="24"/>
          <w:lang w:eastAsia="zh-CN"/>
        </w:rPr>
        <w:t>及建议（</w:t>
      </w:r>
      <w:hyperlink r:id="rId495" w:history="1">
        <w:r w:rsidRPr="005A0FA9">
          <w:rPr>
            <w:rStyle w:val="Hyperlink"/>
            <w:rFonts w:eastAsia="Times New Roman" w:cs="Calibri"/>
            <w:szCs w:val="24"/>
            <w:lang w:eastAsia="zh-CN"/>
          </w:rPr>
          <w:t>C16/</w:t>
        </w:r>
        <w:r w:rsidR="00C5063C">
          <w:rPr>
            <w:rStyle w:val="Hyperlink"/>
            <w:rFonts w:eastAsia="Times New Roman" w:cs="Calibri"/>
            <w:szCs w:val="24"/>
            <w:lang w:eastAsia="zh-CN"/>
          </w:rPr>
          <w:t>7</w:t>
        </w:r>
        <w:r w:rsidR="00C5063C">
          <w:rPr>
            <w:rStyle w:val="Hyperlink"/>
            <w:rFonts w:eastAsiaTheme="minorEastAsia" w:cs="Calibri" w:hint="eastAsia"/>
            <w:szCs w:val="24"/>
            <w:lang w:eastAsia="zh-CN"/>
          </w:rPr>
          <w:t>号</w:t>
        </w:r>
        <w:r w:rsidR="00C5063C">
          <w:rPr>
            <w:rStyle w:val="Hyperlink"/>
            <w:rFonts w:eastAsiaTheme="minorEastAsia" w:cs="Calibri"/>
            <w:szCs w:val="24"/>
            <w:lang w:eastAsia="zh-CN"/>
          </w:rPr>
          <w:t>文件</w:t>
        </w:r>
      </w:hyperlink>
      <w:r w:rsidRPr="00E677C4">
        <w:rPr>
          <w:rFonts w:cs="Calibri"/>
          <w:szCs w:val="24"/>
          <w:lang w:eastAsia="zh-CN"/>
        </w:rPr>
        <w:t>）；</w:t>
      </w:r>
    </w:p>
    <w:p w14:paraId="4827BAED" w14:textId="77777777" w:rsidR="00E223C8" w:rsidRPr="004A3328" w:rsidRDefault="00E223C8" w:rsidP="00E223C8">
      <w:pPr>
        <w:pStyle w:val="Call"/>
        <w:rPr>
          <w:lang w:eastAsia="zh-CN"/>
        </w:rPr>
      </w:pPr>
      <w:r w:rsidRPr="004A3328">
        <w:rPr>
          <w:rFonts w:hint="eastAsia"/>
          <w:lang w:eastAsia="zh-CN"/>
        </w:rPr>
        <w:t>还考虑到</w:t>
      </w:r>
    </w:p>
    <w:p w14:paraId="4827BAEE" w14:textId="77777777" w:rsidR="00E223C8" w:rsidRPr="00E677C4" w:rsidRDefault="00E223C8" w:rsidP="00E223C8">
      <w:pPr>
        <w:tabs>
          <w:tab w:val="clear" w:pos="794"/>
          <w:tab w:val="clear" w:pos="1191"/>
          <w:tab w:val="clear" w:pos="1588"/>
          <w:tab w:val="clear" w:pos="1985"/>
          <w:tab w:val="left" w:pos="567"/>
          <w:tab w:val="left" w:pos="1134"/>
          <w:tab w:val="left" w:pos="1701"/>
          <w:tab w:val="left" w:pos="2268"/>
          <w:tab w:val="left" w:pos="2835"/>
        </w:tabs>
        <w:spacing w:after="120"/>
        <w:ind w:firstLineChars="200" w:firstLine="480"/>
        <w:rPr>
          <w:rFonts w:eastAsia="Times New Roman" w:cs="Calibri"/>
          <w:szCs w:val="24"/>
          <w:lang w:eastAsia="zh-CN"/>
        </w:rPr>
      </w:pPr>
      <w:r w:rsidRPr="00E677C4">
        <w:rPr>
          <w:rFonts w:eastAsia="Times New Roman" w:cs="Calibri"/>
          <w:szCs w:val="24"/>
          <w:lang w:eastAsia="zh-CN"/>
        </w:rPr>
        <w:t>2014</w:t>
      </w:r>
      <w:r w:rsidRPr="00E677C4">
        <w:rPr>
          <w:rFonts w:cs="Calibri" w:hint="eastAsia"/>
          <w:szCs w:val="24"/>
          <w:lang w:eastAsia="zh-CN"/>
        </w:rPr>
        <w:t>年</w:t>
      </w:r>
      <w:r w:rsidRPr="00E677C4">
        <w:rPr>
          <w:rFonts w:cs="Calibri"/>
          <w:szCs w:val="24"/>
          <w:lang w:eastAsia="zh-CN"/>
        </w:rPr>
        <w:t>釜山全权代表大会</w:t>
      </w:r>
      <w:r w:rsidRPr="00E677C4">
        <w:rPr>
          <w:rFonts w:hint="eastAsia"/>
          <w:lang w:eastAsia="zh-CN"/>
        </w:rPr>
        <w:t>赋予此事宜的紧迫性</w:t>
      </w:r>
      <w:r w:rsidRPr="00E677C4">
        <w:rPr>
          <w:rFonts w:cs="Calibri"/>
          <w:szCs w:val="24"/>
          <w:lang w:eastAsia="zh-CN"/>
        </w:rPr>
        <w:t>，</w:t>
      </w:r>
    </w:p>
    <w:p w14:paraId="4827BAEF" w14:textId="77777777" w:rsidR="00E223C8" w:rsidRPr="004A3328" w:rsidRDefault="00E223C8" w:rsidP="00E223C8">
      <w:pPr>
        <w:pStyle w:val="Call"/>
        <w:rPr>
          <w:lang w:eastAsia="zh-CN"/>
        </w:rPr>
      </w:pPr>
      <w:r w:rsidRPr="004A3328">
        <w:rPr>
          <w:rFonts w:hint="eastAsia"/>
          <w:lang w:eastAsia="zh-CN"/>
        </w:rPr>
        <w:t>欢迎</w:t>
      </w:r>
    </w:p>
    <w:p w14:paraId="4827BAF0" w14:textId="77777777" w:rsidR="00E223C8" w:rsidRPr="00E677C4" w:rsidRDefault="00E223C8" w:rsidP="00E223C8">
      <w:pPr>
        <w:tabs>
          <w:tab w:val="clear" w:pos="794"/>
          <w:tab w:val="clear" w:pos="1191"/>
          <w:tab w:val="clear" w:pos="1588"/>
          <w:tab w:val="clear" w:pos="1985"/>
          <w:tab w:val="left" w:pos="567"/>
          <w:tab w:val="left" w:pos="1134"/>
          <w:tab w:val="left" w:pos="1701"/>
          <w:tab w:val="left" w:pos="2268"/>
          <w:tab w:val="left" w:pos="2835"/>
        </w:tabs>
        <w:spacing w:after="120"/>
        <w:ind w:firstLineChars="200" w:firstLine="480"/>
        <w:rPr>
          <w:rFonts w:eastAsia="Times New Roman" w:cs="Calibri"/>
          <w:szCs w:val="24"/>
          <w:lang w:eastAsia="zh-CN"/>
        </w:rPr>
      </w:pPr>
      <w:r w:rsidRPr="00E677C4">
        <w:rPr>
          <w:rFonts w:cs="Calibri" w:hint="eastAsia"/>
          <w:szCs w:val="24"/>
          <w:lang w:eastAsia="zh-CN"/>
        </w:rPr>
        <w:t>东道国</w:t>
      </w:r>
      <w:r>
        <w:rPr>
          <w:rFonts w:cs="Calibri" w:hint="eastAsia"/>
          <w:szCs w:val="24"/>
          <w:lang w:eastAsia="zh-CN"/>
        </w:rPr>
        <w:t>提出的</w:t>
      </w:r>
      <w:r w:rsidRPr="00E677C4">
        <w:rPr>
          <w:rFonts w:cs="Calibri"/>
          <w:szCs w:val="24"/>
          <w:lang w:eastAsia="zh-CN"/>
        </w:rPr>
        <w:t>为新建</w:t>
      </w:r>
      <w:r w:rsidRPr="00E677C4">
        <w:rPr>
          <w:rFonts w:eastAsia="Times New Roman" w:cs="Calibri"/>
          <w:szCs w:val="24"/>
          <w:lang w:eastAsia="zh-CN"/>
        </w:rPr>
        <w:t>Varembé</w:t>
      </w:r>
      <w:r w:rsidRPr="00E677C4">
        <w:rPr>
          <w:rFonts w:cs="Calibri" w:hint="eastAsia"/>
          <w:szCs w:val="24"/>
          <w:lang w:eastAsia="zh-CN"/>
        </w:rPr>
        <w:t>办公楼及其</w:t>
      </w:r>
      <w:r w:rsidRPr="00E677C4">
        <w:rPr>
          <w:rFonts w:cs="Calibri"/>
          <w:szCs w:val="24"/>
          <w:lang w:eastAsia="zh-CN"/>
        </w:rPr>
        <w:t>与</w:t>
      </w:r>
      <w:r w:rsidRPr="00E677C4">
        <w:rPr>
          <w:rFonts w:eastAsia="Times New Roman" w:cs="Calibri"/>
          <w:szCs w:val="24"/>
          <w:lang w:eastAsia="zh-CN"/>
        </w:rPr>
        <w:t>Montbrillant</w:t>
      </w:r>
      <w:r w:rsidRPr="00E677C4">
        <w:rPr>
          <w:rFonts w:cs="Calibri" w:hint="eastAsia"/>
          <w:szCs w:val="24"/>
          <w:lang w:eastAsia="zh-CN"/>
        </w:rPr>
        <w:t>办公楼</w:t>
      </w:r>
      <w:r w:rsidRPr="00E677C4">
        <w:rPr>
          <w:rFonts w:cs="Calibri"/>
          <w:szCs w:val="24"/>
          <w:lang w:eastAsia="zh-CN"/>
        </w:rPr>
        <w:t>连接部分提供</w:t>
      </w:r>
      <w:r w:rsidRPr="00E677C4">
        <w:rPr>
          <w:rFonts w:cs="Calibri" w:hint="eastAsia"/>
          <w:szCs w:val="24"/>
          <w:lang w:eastAsia="zh-CN"/>
        </w:rPr>
        <w:t>1.</w:t>
      </w:r>
      <w:r w:rsidRPr="00E677C4">
        <w:rPr>
          <w:rFonts w:cs="Calibri"/>
          <w:szCs w:val="24"/>
          <w:lang w:eastAsia="zh-CN"/>
        </w:rPr>
        <w:t>5</w:t>
      </w:r>
      <w:r w:rsidRPr="00E677C4">
        <w:rPr>
          <w:rFonts w:cs="Calibri" w:hint="eastAsia"/>
          <w:szCs w:val="24"/>
          <w:lang w:eastAsia="zh-CN"/>
        </w:rPr>
        <w:t>亿</w:t>
      </w:r>
      <w:r w:rsidRPr="00E677C4">
        <w:rPr>
          <w:rFonts w:cs="Calibri"/>
          <w:szCs w:val="24"/>
          <w:lang w:eastAsia="zh-CN"/>
        </w:rPr>
        <w:t>瑞士法郎无息贷款的</w:t>
      </w:r>
      <w:r>
        <w:rPr>
          <w:rFonts w:cs="Calibri" w:hint="eastAsia"/>
          <w:szCs w:val="24"/>
          <w:lang w:eastAsia="zh-CN"/>
        </w:rPr>
        <w:t>意向</w:t>
      </w:r>
      <w:r w:rsidRPr="00E677C4">
        <w:rPr>
          <w:rFonts w:cs="Calibri"/>
          <w:szCs w:val="24"/>
          <w:lang w:eastAsia="zh-CN"/>
        </w:rPr>
        <w:t>；</w:t>
      </w:r>
    </w:p>
    <w:p w14:paraId="4827BAF1" w14:textId="77777777" w:rsidR="00E223C8" w:rsidRPr="004A3328" w:rsidRDefault="00E223C8" w:rsidP="00E223C8">
      <w:pPr>
        <w:pStyle w:val="Call"/>
        <w:rPr>
          <w:lang w:eastAsia="zh-CN"/>
        </w:rPr>
      </w:pPr>
      <w:r>
        <w:rPr>
          <w:rFonts w:hint="eastAsia"/>
          <w:lang w:eastAsia="zh-CN"/>
        </w:rPr>
        <w:t>做出</w:t>
      </w:r>
      <w:r w:rsidRPr="004A3328">
        <w:rPr>
          <w:rFonts w:hint="eastAsia"/>
          <w:lang w:eastAsia="zh-CN"/>
        </w:rPr>
        <w:t>决定</w:t>
      </w:r>
    </w:p>
    <w:p w14:paraId="4827BAF2" w14:textId="77777777" w:rsidR="00E223C8" w:rsidRPr="0067430B" w:rsidRDefault="00E223C8" w:rsidP="0067430B">
      <w:pPr>
        <w:rPr>
          <w:rFonts w:cstheme="minorHAnsi"/>
          <w:szCs w:val="24"/>
          <w:lang w:eastAsia="zh-CN"/>
        </w:rPr>
      </w:pPr>
      <w:r w:rsidRPr="0067430B">
        <w:rPr>
          <w:rFonts w:cstheme="minorHAnsi"/>
          <w:szCs w:val="24"/>
          <w:lang w:eastAsia="zh-CN"/>
        </w:rPr>
        <w:t>1</w:t>
      </w:r>
      <w:r w:rsidRPr="0067430B">
        <w:rPr>
          <w:rFonts w:cstheme="minorHAnsi"/>
          <w:szCs w:val="24"/>
          <w:lang w:eastAsia="zh-CN"/>
        </w:rPr>
        <w:tab/>
      </w:r>
      <w:r w:rsidRPr="0067430B">
        <w:rPr>
          <w:rFonts w:cstheme="minorHAnsi" w:hint="eastAsia"/>
          <w:szCs w:val="24"/>
          <w:lang w:eastAsia="zh-CN"/>
        </w:rPr>
        <w:t>建设</w:t>
      </w:r>
      <w:r w:rsidRPr="0067430B">
        <w:rPr>
          <w:rFonts w:cstheme="minorHAnsi"/>
          <w:szCs w:val="24"/>
          <w:lang w:eastAsia="zh-CN"/>
        </w:rPr>
        <w:t>一座</w:t>
      </w:r>
      <w:r w:rsidRPr="0067430B">
        <w:rPr>
          <w:rFonts w:cstheme="minorHAnsi" w:hint="eastAsia"/>
          <w:szCs w:val="24"/>
          <w:lang w:eastAsia="zh-CN"/>
        </w:rPr>
        <w:t>可容纳塔楼</w:t>
      </w:r>
      <w:r w:rsidRPr="0067430B">
        <w:rPr>
          <w:rFonts w:cstheme="minorHAnsi"/>
          <w:szCs w:val="24"/>
          <w:lang w:eastAsia="zh-CN"/>
        </w:rPr>
        <w:t>办公室</w:t>
      </w:r>
      <w:r w:rsidRPr="0067430B">
        <w:rPr>
          <w:rFonts w:cstheme="minorHAnsi" w:hint="eastAsia"/>
          <w:szCs w:val="24"/>
          <w:lang w:eastAsia="zh-CN"/>
        </w:rPr>
        <w:t>及设施的新楼</w:t>
      </w:r>
      <w:r w:rsidRPr="0067430B">
        <w:rPr>
          <w:rFonts w:cstheme="minorHAnsi"/>
          <w:szCs w:val="24"/>
          <w:lang w:eastAsia="zh-CN"/>
        </w:rPr>
        <w:t>以替代</w:t>
      </w:r>
      <w:r w:rsidRPr="0067430B">
        <w:rPr>
          <w:rFonts w:cstheme="minorHAnsi"/>
          <w:szCs w:val="24"/>
          <w:lang w:eastAsia="zh-CN"/>
        </w:rPr>
        <w:t>Varembé</w:t>
      </w:r>
      <w:r w:rsidRPr="0067430B">
        <w:rPr>
          <w:rFonts w:cstheme="minorHAnsi" w:hint="eastAsia"/>
          <w:szCs w:val="24"/>
          <w:lang w:eastAsia="zh-CN"/>
        </w:rPr>
        <w:t>办公楼，同时保留并翻修</w:t>
      </w:r>
      <w:r w:rsidRPr="0067430B">
        <w:rPr>
          <w:rFonts w:cstheme="minorHAnsi"/>
          <w:szCs w:val="24"/>
          <w:lang w:eastAsia="zh-CN"/>
        </w:rPr>
        <w:t>Montbrillant</w:t>
      </w:r>
      <w:r w:rsidRPr="0067430B">
        <w:rPr>
          <w:rFonts w:cstheme="minorHAnsi" w:hint="eastAsia"/>
          <w:szCs w:val="24"/>
          <w:lang w:eastAsia="zh-CN"/>
        </w:rPr>
        <w:t>楼</w:t>
      </w:r>
      <w:r w:rsidRPr="0067430B">
        <w:rPr>
          <w:rFonts w:cstheme="minorHAnsi"/>
          <w:szCs w:val="24"/>
          <w:lang w:eastAsia="zh-CN"/>
        </w:rPr>
        <w:t>；</w:t>
      </w:r>
    </w:p>
    <w:p w14:paraId="4827BAF3" w14:textId="77777777" w:rsidR="00E223C8" w:rsidRPr="0067430B" w:rsidRDefault="00E223C8" w:rsidP="0067430B">
      <w:pPr>
        <w:rPr>
          <w:rFonts w:cstheme="minorHAnsi"/>
          <w:szCs w:val="24"/>
          <w:lang w:eastAsia="zh-CN"/>
        </w:rPr>
      </w:pPr>
      <w:r w:rsidRPr="0067430B">
        <w:rPr>
          <w:rFonts w:cstheme="minorHAnsi"/>
          <w:szCs w:val="24"/>
          <w:lang w:eastAsia="zh-CN"/>
        </w:rPr>
        <w:t>2</w:t>
      </w:r>
      <w:r w:rsidRPr="0067430B">
        <w:rPr>
          <w:rFonts w:cstheme="minorHAnsi"/>
          <w:szCs w:val="24"/>
          <w:lang w:eastAsia="zh-CN"/>
        </w:rPr>
        <w:tab/>
      </w:r>
      <w:r w:rsidRPr="0067430B">
        <w:rPr>
          <w:rFonts w:cstheme="minorHAnsi" w:hint="eastAsia"/>
          <w:szCs w:val="24"/>
          <w:lang w:eastAsia="zh-CN"/>
        </w:rPr>
        <w:t>成立</w:t>
      </w:r>
      <w:r w:rsidRPr="0067430B">
        <w:rPr>
          <w:rFonts w:cstheme="minorHAnsi"/>
          <w:szCs w:val="24"/>
          <w:lang w:eastAsia="zh-CN"/>
        </w:rPr>
        <w:t>成员国顾问委员会，就该项目向理事会和秘书长提</w:t>
      </w:r>
      <w:r w:rsidRPr="0067430B">
        <w:rPr>
          <w:rFonts w:cstheme="minorHAnsi" w:hint="eastAsia"/>
          <w:szCs w:val="24"/>
          <w:lang w:eastAsia="zh-CN"/>
        </w:rPr>
        <w:t>出</w:t>
      </w:r>
      <w:r w:rsidRPr="0067430B">
        <w:rPr>
          <w:rFonts w:cstheme="minorHAnsi"/>
          <w:szCs w:val="24"/>
          <w:lang w:eastAsia="zh-CN"/>
        </w:rPr>
        <w:t>独立</w:t>
      </w:r>
      <w:r w:rsidRPr="0067430B">
        <w:rPr>
          <w:rFonts w:cstheme="minorHAnsi" w:hint="eastAsia"/>
          <w:szCs w:val="24"/>
          <w:lang w:eastAsia="zh-CN"/>
        </w:rPr>
        <w:t>且</w:t>
      </w:r>
      <w:r w:rsidRPr="0067430B">
        <w:rPr>
          <w:rFonts w:cstheme="minorHAnsi"/>
          <w:szCs w:val="24"/>
          <w:lang w:eastAsia="zh-CN"/>
        </w:rPr>
        <w:t>公正的</w:t>
      </w:r>
      <w:r w:rsidRPr="0067430B">
        <w:rPr>
          <w:rFonts w:cstheme="minorHAnsi" w:hint="eastAsia"/>
          <w:szCs w:val="24"/>
          <w:lang w:eastAsia="zh-CN"/>
        </w:rPr>
        <w:t>建议</w:t>
      </w:r>
      <w:r w:rsidRPr="0067430B">
        <w:rPr>
          <w:rFonts w:cstheme="minorHAnsi"/>
          <w:szCs w:val="24"/>
          <w:lang w:eastAsia="zh-CN"/>
        </w:rPr>
        <w:t>；</w:t>
      </w:r>
    </w:p>
    <w:p w14:paraId="4827BAF4" w14:textId="77777777" w:rsidR="00E223C8" w:rsidRPr="0067430B" w:rsidRDefault="00E223C8" w:rsidP="0067430B">
      <w:pPr>
        <w:rPr>
          <w:rFonts w:cstheme="minorHAnsi"/>
          <w:szCs w:val="24"/>
          <w:lang w:eastAsia="zh-CN"/>
        </w:rPr>
      </w:pPr>
      <w:r w:rsidRPr="0067430B">
        <w:rPr>
          <w:rFonts w:cstheme="minorHAnsi"/>
          <w:szCs w:val="24"/>
          <w:lang w:eastAsia="zh-CN"/>
        </w:rPr>
        <w:t>3</w:t>
      </w:r>
      <w:r w:rsidRPr="0067430B">
        <w:rPr>
          <w:rFonts w:cstheme="minorHAnsi"/>
          <w:szCs w:val="24"/>
          <w:lang w:eastAsia="zh-CN"/>
        </w:rPr>
        <w:tab/>
      </w:r>
      <w:r w:rsidRPr="0067430B">
        <w:rPr>
          <w:rFonts w:cstheme="minorHAnsi" w:hint="eastAsia"/>
          <w:szCs w:val="24"/>
          <w:lang w:eastAsia="zh-CN"/>
        </w:rPr>
        <w:t>授权</w:t>
      </w:r>
      <w:r w:rsidRPr="0067430B">
        <w:rPr>
          <w:rFonts w:cstheme="minorHAnsi"/>
          <w:szCs w:val="24"/>
          <w:lang w:eastAsia="zh-CN"/>
        </w:rPr>
        <w:t>在</w:t>
      </w:r>
      <w:r w:rsidRPr="0067430B">
        <w:rPr>
          <w:rFonts w:cstheme="minorHAnsi" w:hint="eastAsia"/>
          <w:szCs w:val="24"/>
          <w:lang w:eastAsia="zh-CN"/>
        </w:rPr>
        <w:t>塔楼出售之前为</w:t>
      </w:r>
      <w:r w:rsidRPr="0067430B">
        <w:rPr>
          <w:rFonts w:cstheme="minorHAnsi"/>
          <w:szCs w:val="24"/>
          <w:lang w:eastAsia="zh-CN"/>
        </w:rPr>
        <w:t>项目总</w:t>
      </w:r>
      <w:r w:rsidRPr="0067430B">
        <w:rPr>
          <w:rFonts w:cstheme="minorHAnsi" w:hint="eastAsia"/>
          <w:szCs w:val="24"/>
          <w:lang w:eastAsia="zh-CN"/>
        </w:rPr>
        <w:t>费用</w:t>
      </w:r>
      <w:r w:rsidRPr="0067430B">
        <w:rPr>
          <w:rFonts w:cstheme="minorHAnsi"/>
          <w:szCs w:val="24"/>
          <w:lang w:eastAsia="zh-CN"/>
        </w:rPr>
        <w:t>提供最大限</w:t>
      </w:r>
      <w:r w:rsidRPr="0067430B">
        <w:rPr>
          <w:rFonts w:cstheme="minorHAnsi" w:hint="eastAsia"/>
          <w:szCs w:val="24"/>
          <w:lang w:eastAsia="zh-CN"/>
        </w:rPr>
        <w:t>额</w:t>
      </w:r>
      <w:r w:rsidRPr="0067430B">
        <w:rPr>
          <w:rFonts w:cstheme="minorHAnsi"/>
          <w:szCs w:val="24"/>
          <w:lang w:eastAsia="zh-CN"/>
        </w:rPr>
        <w:t>预算</w:t>
      </w:r>
      <w:r w:rsidRPr="0067430B">
        <w:rPr>
          <w:rFonts w:cstheme="minorHAnsi" w:hint="eastAsia"/>
          <w:szCs w:val="24"/>
          <w:lang w:eastAsia="zh-CN"/>
        </w:rPr>
        <w:t>1.4</w:t>
      </w:r>
      <w:r w:rsidRPr="0067430B">
        <w:rPr>
          <w:rFonts w:cstheme="minorHAnsi" w:hint="eastAsia"/>
          <w:szCs w:val="24"/>
          <w:lang w:eastAsia="zh-CN"/>
        </w:rPr>
        <w:t>亿</w:t>
      </w:r>
      <w:r w:rsidRPr="0067430B">
        <w:rPr>
          <w:rFonts w:cstheme="minorHAnsi"/>
          <w:szCs w:val="24"/>
          <w:lang w:eastAsia="zh-CN"/>
        </w:rPr>
        <w:t>瑞士法郎</w:t>
      </w:r>
      <w:r w:rsidRPr="0067430B">
        <w:rPr>
          <w:rFonts w:cstheme="minorHAnsi" w:hint="eastAsia"/>
          <w:szCs w:val="24"/>
          <w:lang w:eastAsia="zh-CN"/>
        </w:rPr>
        <w:t>和</w:t>
      </w:r>
      <w:r w:rsidRPr="0067430B">
        <w:rPr>
          <w:rFonts w:cstheme="minorHAnsi"/>
          <w:szCs w:val="24"/>
          <w:lang w:eastAsia="zh-CN"/>
        </w:rPr>
        <w:t>另外</w:t>
      </w:r>
      <w:r w:rsidRPr="0067430B">
        <w:rPr>
          <w:rFonts w:cstheme="minorHAnsi" w:hint="eastAsia"/>
          <w:szCs w:val="24"/>
          <w:lang w:eastAsia="zh-CN"/>
        </w:rPr>
        <w:t>一笔</w:t>
      </w:r>
      <w:r w:rsidRPr="0067430B">
        <w:rPr>
          <w:rFonts w:cstheme="minorHAnsi" w:hint="eastAsia"/>
          <w:szCs w:val="24"/>
          <w:lang w:eastAsia="zh-CN"/>
        </w:rPr>
        <w:t>700</w:t>
      </w:r>
      <w:r w:rsidRPr="0067430B">
        <w:rPr>
          <w:rFonts w:cstheme="minorHAnsi" w:hint="eastAsia"/>
          <w:szCs w:val="24"/>
          <w:lang w:eastAsia="zh-CN"/>
        </w:rPr>
        <w:t>万</w:t>
      </w:r>
      <w:r w:rsidRPr="0067430B">
        <w:rPr>
          <w:rFonts w:cstheme="minorHAnsi"/>
          <w:szCs w:val="24"/>
          <w:lang w:eastAsia="zh-CN"/>
        </w:rPr>
        <w:t>瑞士法郎的应急资金，</w:t>
      </w:r>
      <w:r w:rsidRPr="0067430B">
        <w:rPr>
          <w:rFonts w:cstheme="minorHAnsi" w:hint="eastAsia"/>
          <w:szCs w:val="24"/>
          <w:lang w:eastAsia="zh-CN"/>
        </w:rPr>
        <w:t>必要时</w:t>
      </w:r>
      <w:r w:rsidRPr="0067430B">
        <w:rPr>
          <w:rFonts w:cstheme="minorHAnsi"/>
          <w:szCs w:val="24"/>
          <w:lang w:eastAsia="zh-CN"/>
        </w:rPr>
        <w:t>用于不可预见的成本超支，</w:t>
      </w:r>
    </w:p>
    <w:p w14:paraId="4827BAF5" w14:textId="77777777" w:rsidR="00E223C8" w:rsidRPr="00E677C4" w:rsidRDefault="00E223C8" w:rsidP="00C63A9B">
      <w:pPr>
        <w:pStyle w:val="Call"/>
        <w:keepNext w:val="0"/>
        <w:keepLines w:val="0"/>
        <w:rPr>
          <w:lang w:eastAsia="zh-CN"/>
        </w:rPr>
      </w:pPr>
      <w:r w:rsidRPr="00E677C4">
        <w:rPr>
          <w:rFonts w:hint="eastAsia"/>
          <w:lang w:eastAsia="zh-CN"/>
        </w:rPr>
        <w:t>责成秘书长</w:t>
      </w:r>
    </w:p>
    <w:p w14:paraId="4827BAF6" w14:textId="77777777" w:rsidR="00E223C8" w:rsidRPr="00E677C4" w:rsidRDefault="00E223C8" w:rsidP="0067430B">
      <w:pPr>
        <w:tabs>
          <w:tab w:val="clear" w:pos="794"/>
          <w:tab w:val="clear" w:pos="1191"/>
          <w:tab w:val="clear" w:pos="1588"/>
          <w:tab w:val="clear" w:pos="1985"/>
          <w:tab w:val="left" w:pos="798"/>
        </w:tabs>
        <w:overflowPunct/>
        <w:autoSpaceDE/>
        <w:autoSpaceDN/>
        <w:adjustRightInd/>
        <w:snapToGrid w:val="0"/>
        <w:spacing w:after="120"/>
        <w:textAlignment w:val="auto"/>
        <w:rPr>
          <w:rFonts w:eastAsia="Times New Roman"/>
          <w:lang w:eastAsia="zh-CN"/>
        </w:rPr>
      </w:pPr>
      <w:r w:rsidRPr="00E677C4">
        <w:rPr>
          <w:rFonts w:eastAsia="Times New Roman"/>
          <w:lang w:eastAsia="zh-CN"/>
        </w:rPr>
        <w:t>1</w:t>
      </w:r>
      <w:r w:rsidRPr="00E677C4">
        <w:rPr>
          <w:rFonts w:eastAsia="Times New Roman"/>
          <w:lang w:eastAsia="zh-CN"/>
        </w:rPr>
        <w:tab/>
      </w:r>
      <w:r w:rsidRPr="00E677C4">
        <w:rPr>
          <w:rFonts w:hint="eastAsia"/>
          <w:lang w:eastAsia="zh-CN"/>
        </w:rPr>
        <w:t>请</w:t>
      </w:r>
      <w:r w:rsidRPr="00E677C4">
        <w:rPr>
          <w:lang w:eastAsia="zh-CN"/>
        </w:rPr>
        <w:t>东道国</w:t>
      </w:r>
      <w:r w:rsidRPr="00E677C4">
        <w:rPr>
          <w:rFonts w:hint="eastAsia"/>
          <w:lang w:eastAsia="zh-CN"/>
        </w:rPr>
        <w:t>提供</w:t>
      </w:r>
      <w:r w:rsidRPr="00E677C4">
        <w:rPr>
          <w:rFonts w:hint="eastAsia"/>
          <w:lang w:eastAsia="zh-CN"/>
        </w:rPr>
        <w:t>1.5</w:t>
      </w:r>
      <w:r w:rsidRPr="00E677C4">
        <w:rPr>
          <w:rFonts w:hint="eastAsia"/>
          <w:lang w:eastAsia="zh-CN"/>
        </w:rPr>
        <w:t>亿瑞士法郎的</w:t>
      </w:r>
      <w:r w:rsidRPr="00E677C4">
        <w:rPr>
          <w:lang w:eastAsia="zh-CN"/>
        </w:rPr>
        <w:t>无息贷款，偿还期自新楼首批</w:t>
      </w:r>
      <w:r>
        <w:rPr>
          <w:rFonts w:hint="eastAsia"/>
          <w:lang w:eastAsia="zh-CN"/>
        </w:rPr>
        <w:t>入住</w:t>
      </w:r>
      <w:r>
        <w:rPr>
          <w:lang w:eastAsia="zh-CN"/>
        </w:rPr>
        <w:t>算</w:t>
      </w:r>
      <w:r w:rsidRPr="00E677C4">
        <w:rPr>
          <w:rFonts w:hint="eastAsia"/>
          <w:lang w:eastAsia="zh-CN"/>
        </w:rPr>
        <w:t>起</w:t>
      </w:r>
      <w:r w:rsidRPr="00E677C4">
        <w:rPr>
          <w:rFonts w:hint="eastAsia"/>
          <w:lang w:eastAsia="zh-CN"/>
        </w:rPr>
        <w:t>50</w:t>
      </w:r>
      <w:r w:rsidRPr="00E677C4">
        <w:rPr>
          <w:rFonts w:hint="eastAsia"/>
          <w:lang w:eastAsia="zh-CN"/>
        </w:rPr>
        <w:t>年</w:t>
      </w:r>
      <w:r w:rsidRPr="00E677C4">
        <w:rPr>
          <w:lang w:eastAsia="zh-CN"/>
        </w:rPr>
        <w:t>；</w:t>
      </w:r>
    </w:p>
    <w:p w14:paraId="4827BAF7" w14:textId="77777777" w:rsidR="00E223C8" w:rsidRPr="00E677C4" w:rsidRDefault="00E223C8" w:rsidP="0067430B">
      <w:pPr>
        <w:tabs>
          <w:tab w:val="clear" w:pos="794"/>
          <w:tab w:val="clear" w:pos="1191"/>
          <w:tab w:val="clear" w:pos="1588"/>
          <w:tab w:val="clear" w:pos="1985"/>
          <w:tab w:val="left" w:pos="798"/>
        </w:tabs>
        <w:overflowPunct/>
        <w:autoSpaceDE/>
        <w:autoSpaceDN/>
        <w:adjustRightInd/>
        <w:snapToGrid w:val="0"/>
        <w:spacing w:after="120"/>
        <w:textAlignment w:val="auto"/>
        <w:rPr>
          <w:rFonts w:eastAsia="Times New Roman"/>
          <w:lang w:eastAsia="zh-CN"/>
        </w:rPr>
      </w:pPr>
      <w:r w:rsidRPr="00E677C4">
        <w:rPr>
          <w:rFonts w:eastAsia="Times New Roman"/>
          <w:lang w:eastAsia="zh-CN"/>
        </w:rPr>
        <w:t>2</w:t>
      </w:r>
      <w:r w:rsidRPr="00E677C4">
        <w:rPr>
          <w:rFonts w:eastAsia="Times New Roman"/>
          <w:lang w:eastAsia="zh-CN"/>
        </w:rPr>
        <w:tab/>
      </w:r>
      <w:r w:rsidRPr="00E677C4">
        <w:rPr>
          <w:rFonts w:hint="eastAsia"/>
          <w:lang w:eastAsia="zh-CN"/>
        </w:rPr>
        <w:t>估计该项目对</w:t>
      </w:r>
      <w:r w:rsidRPr="00E677C4">
        <w:rPr>
          <w:lang w:eastAsia="zh-CN"/>
        </w:rPr>
        <w:t>国际电联预算</w:t>
      </w:r>
      <w:r w:rsidRPr="00E677C4">
        <w:rPr>
          <w:rFonts w:hint="eastAsia"/>
          <w:lang w:eastAsia="zh-CN"/>
        </w:rPr>
        <w:t>的</w:t>
      </w:r>
      <w:r w:rsidRPr="00E677C4">
        <w:rPr>
          <w:lang w:eastAsia="zh-CN"/>
        </w:rPr>
        <w:t>长期可持续性</w:t>
      </w:r>
      <w:r w:rsidRPr="00E677C4">
        <w:rPr>
          <w:rFonts w:hint="eastAsia"/>
          <w:lang w:eastAsia="zh-CN"/>
        </w:rPr>
        <w:t>影响并</w:t>
      </w:r>
      <w:r w:rsidRPr="00E677C4">
        <w:rPr>
          <w:lang w:eastAsia="zh-CN"/>
        </w:rPr>
        <w:t>向理事会提供</w:t>
      </w:r>
      <w:r w:rsidRPr="00E677C4">
        <w:rPr>
          <w:rFonts w:hint="eastAsia"/>
          <w:lang w:eastAsia="zh-CN"/>
        </w:rPr>
        <w:t>此信息</w:t>
      </w:r>
      <w:r w:rsidRPr="00E677C4">
        <w:rPr>
          <w:lang w:eastAsia="zh-CN"/>
        </w:rPr>
        <w:t>；</w:t>
      </w:r>
    </w:p>
    <w:p w14:paraId="4827BAF8" w14:textId="77777777" w:rsidR="00E223C8" w:rsidRPr="00E677C4" w:rsidRDefault="00E223C8" w:rsidP="0067430B">
      <w:pPr>
        <w:tabs>
          <w:tab w:val="clear" w:pos="794"/>
          <w:tab w:val="clear" w:pos="1191"/>
          <w:tab w:val="clear" w:pos="1588"/>
          <w:tab w:val="clear" w:pos="1985"/>
          <w:tab w:val="left" w:pos="798"/>
        </w:tabs>
        <w:overflowPunct/>
        <w:autoSpaceDE/>
        <w:autoSpaceDN/>
        <w:adjustRightInd/>
        <w:snapToGrid w:val="0"/>
        <w:spacing w:after="120"/>
        <w:textAlignment w:val="auto"/>
        <w:rPr>
          <w:rFonts w:eastAsia="Times New Roman"/>
          <w:lang w:eastAsia="zh-CN"/>
        </w:rPr>
      </w:pPr>
      <w:r w:rsidRPr="00E677C4">
        <w:rPr>
          <w:rFonts w:eastAsia="Times New Roman"/>
          <w:lang w:eastAsia="zh-CN"/>
        </w:rPr>
        <w:t>3</w:t>
      </w:r>
      <w:r w:rsidRPr="00E677C4">
        <w:rPr>
          <w:rFonts w:eastAsia="Times New Roman"/>
          <w:lang w:eastAsia="zh-CN"/>
        </w:rPr>
        <w:tab/>
      </w:r>
      <w:r w:rsidRPr="00E677C4">
        <w:rPr>
          <w:rFonts w:hint="eastAsia"/>
          <w:lang w:eastAsia="zh-CN"/>
        </w:rPr>
        <w:t>根据</w:t>
      </w:r>
      <w:r w:rsidRPr="00E677C4">
        <w:rPr>
          <w:lang w:eastAsia="zh-CN"/>
        </w:rPr>
        <w:t>联合国最佳做法</w:t>
      </w:r>
      <w:r w:rsidRPr="00E677C4">
        <w:rPr>
          <w:rFonts w:hint="eastAsia"/>
          <w:lang w:eastAsia="zh-CN"/>
        </w:rPr>
        <w:t>，获取</w:t>
      </w:r>
      <w:r w:rsidRPr="00E677C4">
        <w:rPr>
          <w:lang w:eastAsia="zh-CN"/>
        </w:rPr>
        <w:t>新办公楼详细要求规范并</w:t>
      </w:r>
      <w:r w:rsidRPr="00E677C4">
        <w:rPr>
          <w:rFonts w:hint="eastAsia"/>
          <w:lang w:eastAsia="zh-CN"/>
        </w:rPr>
        <w:t>向理事会</w:t>
      </w:r>
      <w:r w:rsidRPr="00E677C4">
        <w:rPr>
          <w:rFonts w:hint="eastAsia"/>
          <w:lang w:eastAsia="zh-CN"/>
        </w:rPr>
        <w:t>2017</w:t>
      </w:r>
      <w:r w:rsidRPr="00E677C4">
        <w:rPr>
          <w:rFonts w:hint="eastAsia"/>
          <w:lang w:eastAsia="zh-CN"/>
        </w:rPr>
        <w:t>年会议</w:t>
      </w:r>
      <w:r w:rsidRPr="00E677C4">
        <w:rPr>
          <w:lang w:eastAsia="zh-CN"/>
        </w:rPr>
        <w:t>报告；</w:t>
      </w:r>
    </w:p>
    <w:p w14:paraId="4827BAF9" w14:textId="77777777" w:rsidR="005F6CBD" w:rsidRDefault="005F6CBD">
      <w:pPr>
        <w:tabs>
          <w:tab w:val="clear" w:pos="794"/>
          <w:tab w:val="clear" w:pos="1191"/>
          <w:tab w:val="clear" w:pos="1588"/>
          <w:tab w:val="clear" w:pos="1985"/>
        </w:tabs>
        <w:overflowPunct/>
        <w:autoSpaceDE/>
        <w:autoSpaceDN/>
        <w:adjustRightInd/>
        <w:spacing w:before="0"/>
        <w:jc w:val="left"/>
        <w:textAlignment w:val="auto"/>
        <w:rPr>
          <w:rFonts w:eastAsia="Times New Roman"/>
          <w:lang w:eastAsia="zh-CN"/>
        </w:rPr>
      </w:pPr>
      <w:r>
        <w:rPr>
          <w:rFonts w:eastAsia="Times New Roman"/>
          <w:lang w:eastAsia="zh-CN"/>
        </w:rPr>
        <w:br w:type="page"/>
      </w:r>
    </w:p>
    <w:p w14:paraId="4827BAFA" w14:textId="77777777" w:rsidR="00E223C8" w:rsidRPr="0067430B" w:rsidRDefault="00E223C8" w:rsidP="0067430B">
      <w:pPr>
        <w:rPr>
          <w:rFonts w:cstheme="minorHAnsi"/>
          <w:szCs w:val="24"/>
          <w:lang w:eastAsia="zh-CN"/>
        </w:rPr>
      </w:pPr>
      <w:r w:rsidRPr="0067430B">
        <w:rPr>
          <w:rFonts w:cstheme="minorHAnsi"/>
          <w:szCs w:val="24"/>
          <w:lang w:eastAsia="zh-CN"/>
        </w:rPr>
        <w:lastRenderedPageBreak/>
        <w:t>4</w:t>
      </w:r>
      <w:r w:rsidRPr="0067430B">
        <w:rPr>
          <w:rFonts w:cstheme="minorHAnsi"/>
          <w:szCs w:val="24"/>
          <w:lang w:eastAsia="zh-CN"/>
        </w:rPr>
        <w:tab/>
      </w:r>
      <w:r w:rsidRPr="0067430B">
        <w:rPr>
          <w:rFonts w:cstheme="minorHAnsi" w:hint="eastAsia"/>
          <w:szCs w:val="24"/>
          <w:lang w:eastAsia="zh-CN"/>
        </w:rPr>
        <w:t>与</w:t>
      </w:r>
      <w:r w:rsidRPr="0067430B">
        <w:rPr>
          <w:rFonts w:cstheme="minorHAnsi"/>
          <w:szCs w:val="24"/>
          <w:lang w:eastAsia="zh-CN"/>
        </w:rPr>
        <w:t>东道国</w:t>
      </w:r>
      <w:r w:rsidRPr="0067430B">
        <w:rPr>
          <w:rFonts w:cstheme="minorHAnsi" w:hint="eastAsia"/>
          <w:szCs w:val="24"/>
          <w:lang w:eastAsia="zh-CN"/>
        </w:rPr>
        <w:t>一道</w:t>
      </w:r>
      <w:r w:rsidRPr="0067430B">
        <w:rPr>
          <w:rFonts w:cstheme="minorHAnsi"/>
          <w:szCs w:val="24"/>
          <w:lang w:eastAsia="zh-CN"/>
        </w:rPr>
        <w:t>，</w:t>
      </w:r>
      <w:r w:rsidRPr="0067430B">
        <w:rPr>
          <w:rFonts w:cstheme="minorHAnsi" w:hint="eastAsia"/>
          <w:szCs w:val="24"/>
          <w:lang w:eastAsia="zh-CN"/>
        </w:rPr>
        <w:t>努力</w:t>
      </w:r>
      <w:r w:rsidRPr="0067430B">
        <w:rPr>
          <w:rFonts w:cstheme="minorHAnsi"/>
          <w:szCs w:val="24"/>
          <w:lang w:eastAsia="zh-CN"/>
        </w:rPr>
        <w:t>降低</w:t>
      </w:r>
      <w:r w:rsidRPr="0067430B">
        <w:rPr>
          <w:rFonts w:cstheme="minorHAnsi" w:hint="eastAsia"/>
          <w:szCs w:val="24"/>
          <w:lang w:eastAsia="zh-CN"/>
        </w:rPr>
        <w:t>临时安置</w:t>
      </w:r>
      <w:r w:rsidRPr="0067430B">
        <w:rPr>
          <w:rFonts w:cstheme="minorHAnsi"/>
          <w:szCs w:val="24"/>
          <w:lang w:eastAsia="zh-CN"/>
        </w:rPr>
        <w:t>成本；</w:t>
      </w:r>
    </w:p>
    <w:p w14:paraId="4827BAFB" w14:textId="77777777" w:rsidR="00E223C8" w:rsidRPr="0067430B" w:rsidRDefault="00E223C8" w:rsidP="0067430B">
      <w:pPr>
        <w:rPr>
          <w:rFonts w:cstheme="minorHAnsi"/>
          <w:szCs w:val="24"/>
          <w:lang w:eastAsia="zh-CN"/>
        </w:rPr>
      </w:pPr>
      <w:r w:rsidRPr="0067430B">
        <w:rPr>
          <w:rFonts w:cstheme="minorHAnsi"/>
          <w:szCs w:val="24"/>
          <w:lang w:eastAsia="zh-CN"/>
        </w:rPr>
        <w:t>5</w:t>
      </w:r>
      <w:r w:rsidRPr="0067430B">
        <w:rPr>
          <w:rFonts w:cstheme="minorHAnsi"/>
          <w:szCs w:val="24"/>
          <w:lang w:eastAsia="zh-CN"/>
        </w:rPr>
        <w:tab/>
      </w:r>
      <w:r w:rsidRPr="0067430B">
        <w:rPr>
          <w:rFonts w:cstheme="minorHAnsi" w:hint="eastAsia"/>
          <w:szCs w:val="24"/>
          <w:lang w:eastAsia="zh-CN"/>
        </w:rPr>
        <w:t>继续谋求为降低项目最终总净成本而实行节约增效；</w:t>
      </w:r>
    </w:p>
    <w:p w14:paraId="4827BAFC" w14:textId="77777777" w:rsidR="00E223C8" w:rsidRPr="0067430B" w:rsidRDefault="00E223C8" w:rsidP="0067430B">
      <w:pPr>
        <w:rPr>
          <w:rFonts w:cstheme="minorHAnsi"/>
          <w:szCs w:val="24"/>
          <w:lang w:eastAsia="zh-CN"/>
        </w:rPr>
      </w:pPr>
      <w:r w:rsidRPr="0067430B">
        <w:rPr>
          <w:rFonts w:cstheme="minorHAnsi"/>
          <w:szCs w:val="24"/>
          <w:lang w:eastAsia="zh-CN"/>
        </w:rPr>
        <w:t>6</w:t>
      </w:r>
      <w:r w:rsidRPr="0067430B">
        <w:rPr>
          <w:rFonts w:cstheme="minorHAnsi"/>
          <w:szCs w:val="24"/>
          <w:lang w:eastAsia="zh-CN"/>
        </w:rPr>
        <w:tab/>
      </w:r>
      <w:r w:rsidRPr="0067430B">
        <w:rPr>
          <w:rFonts w:cstheme="minorHAnsi" w:hint="eastAsia"/>
          <w:szCs w:val="24"/>
          <w:lang w:eastAsia="zh-CN"/>
        </w:rPr>
        <w:t>游说成员国、部门成员和部门准成员为此项目的某些部分提供赞助（如会议</w:t>
      </w:r>
      <w:r w:rsidRPr="0067430B">
        <w:rPr>
          <w:rFonts w:cstheme="minorHAnsi"/>
          <w:szCs w:val="24"/>
          <w:lang w:eastAsia="zh-CN"/>
        </w:rPr>
        <w:t>厅</w:t>
      </w:r>
      <w:r w:rsidRPr="0067430B">
        <w:rPr>
          <w:rFonts w:cstheme="minorHAnsi" w:hint="eastAsia"/>
          <w:szCs w:val="24"/>
          <w:lang w:eastAsia="zh-CN"/>
        </w:rPr>
        <w:t>、家具、信息通信</w:t>
      </w:r>
      <w:r w:rsidRPr="0067430B">
        <w:rPr>
          <w:rFonts w:cstheme="minorHAnsi"/>
          <w:szCs w:val="24"/>
          <w:lang w:eastAsia="zh-CN"/>
        </w:rPr>
        <w:t>技术展示馆</w:t>
      </w:r>
      <w:r w:rsidRPr="0067430B">
        <w:rPr>
          <w:rFonts w:cstheme="minorHAnsi" w:hint="eastAsia"/>
          <w:szCs w:val="24"/>
          <w:lang w:eastAsia="zh-CN"/>
        </w:rPr>
        <w:t>或装潢等</w:t>
      </w:r>
      <w:r w:rsidRPr="0067430B">
        <w:rPr>
          <w:rFonts w:cstheme="minorHAnsi"/>
          <w:szCs w:val="24"/>
          <w:lang w:eastAsia="zh-CN"/>
        </w:rPr>
        <w:t>）</w:t>
      </w:r>
      <w:r w:rsidRPr="0067430B">
        <w:rPr>
          <w:rFonts w:cstheme="minorHAnsi" w:hint="eastAsia"/>
          <w:szCs w:val="24"/>
          <w:lang w:eastAsia="zh-CN"/>
        </w:rPr>
        <w:t>；</w:t>
      </w:r>
    </w:p>
    <w:p w14:paraId="4827BAFD" w14:textId="77777777" w:rsidR="00E223C8" w:rsidRPr="0067430B" w:rsidRDefault="00E223C8" w:rsidP="0067430B">
      <w:pPr>
        <w:rPr>
          <w:rFonts w:cstheme="minorHAnsi"/>
          <w:szCs w:val="24"/>
          <w:lang w:eastAsia="zh-CN"/>
        </w:rPr>
      </w:pPr>
      <w:r w:rsidRPr="0067430B">
        <w:rPr>
          <w:rFonts w:cstheme="minorHAnsi"/>
          <w:szCs w:val="24"/>
          <w:lang w:eastAsia="zh-CN"/>
        </w:rPr>
        <w:t>7</w:t>
      </w:r>
      <w:r w:rsidRPr="0067430B">
        <w:rPr>
          <w:rFonts w:cstheme="minorHAnsi"/>
          <w:szCs w:val="24"/>
          <w:lang w:eastAsia="zh-CN"/>
        </w:rPr>
        <w:tab/>
      </w:r>
      <w:r w:rsidRPr="0067430B">
        <w:rPr>
          <w:rFonts w:cstheme="minorHAnsi" w:hint="eastAsia"/>
          <w:szCs w:val="24"/>
          <w:lang w:eastAsia="zh-CN"/>
        </w:rPr>
        <w:t>除在本项目实施中</w:t>
      </w:r>
      <w:r w:rsidRPr="0067430B">
        <w:rPr>
          <w:rFonts w:cstheme="minorHAnsi"/>
          <w:szCs w:val="24"/>
          <w:lang w:eastAsia="zh-CN"/>
        </w:rPr>
        <w:t>考虑</w:t>
      </w:r>
      <w:r w:rsidRPr="0067430B">
        <w:rPr>
          <w:rFonts w:cstheme="minorHAnsi" w:hint="eastAsia"/>
          <w:szCs w:val="24"/>
          <w:lang w:eastAsia="zh-CN"/>
        </w:rPr>
        <w:t>至关重要的开放空间工作原则外，亦考虑今后引入灵活工作空间的</w:t>
      </w:r>
      <w:r w:rsidRPr="0067430B">
        <w:rPr>
          <w:rFonts w:cstheme="minorHAnsi"/>
          <w:szCs w:val="24"/>
          <w:lang w:eastAsia="zh-CN"/>
        </w:rPr>
        <w:t>问题</w:t>
      </w:r>
      <w:r w:rsidRPr="0067430B">
        <w:rPr>
          <w:rFonts w:cstheme="minorHAnsi" w:hint="eastAsia"/>
          <w:szCs w:val="24"/>
          <w:lang w:eastAsia="zh-CN"/>
        </w:rPr>
        <w:t>；</w:t>
      </w:r>
    </w:p>
    <w:p w14:paraId="4827BAFE" w14:textId="77777777" w:rsidR="00E223C8" w:rsidRPr="0067430B" w:rsidRDefault="00E223C8" w:rsidP="0067430B">
      <w:pPr>
        <w:rPr>
          <w:rFonts w:cstheme="minorHAnsi"/>
          <w:szCs w:val="24"/>
          <w:lang w:eastAsia="zh-CN"/>
        </w:rPr>
      </w:pPr>
      <w:r w:rsidRPr="0067430B">
        <w:rPr>
          <w:rFonts w:cstheme="minorHAnsi"/>
          <w:szCs w:val="24"/>
          <w:lang w:eastAsia="zh-CN"/>
        </w:rPr>
        <w:t>8</w:t>
      </w:r>
      <w:r w:rsidRPr="0067430B">
        <w:rPr>
          <w:rFonts w:cstheme="minorHAnsi"/>
          <w:szCs w:val="24"/>
          <w:lang w:eastAsia="zh-CN"/>
        </w:rPr>
        <w:tab/>
      </w:r>
      <w:r w:rsidRPr="0067430B">
        <w:rPr>
          <w:rFonts w:cstheme="minorHAnsi" w:hint="eastAsia"/>
          <w:szCs w:val="24"/>
          <w:lang w:eastAsia="zh-CN"/>
        </w:rPr>
        <w:t>进一步评估</w:t>
      </w:r>
      <w:r w:rsidRPr="0067430B">
        <w:rPr>
          <w:rFonts w:cstheme="minorHAnsi" w:hint="eastAsia"/>
          <w:szCs w:val="24"/>
          <w:lang w:eastAsia="zh-CN"/>
        </w:rPr>
        <w:t>500</w:t>
      </w:r>
      <w:r w:rsidRPr="0067430B">
        <w:rPr>
          <w:rFonts w:cstheme="minorHAnsi" w:hint="eastAsia"/>
          <w:szCs w:val="24"/>
          <w:lang w:eastAsia="zh-CN"/>
        </w:rPr>
        <w:t>席、</w:t>
      </w:r>
      <w:r w:rsidRPr="0067430B">
        <w:rPr>
          <w:rFonts w:cstheme="minorHAnsi" w:hint="eastAsia"/>
          <w:szCs w:val="24"/>
          <w:lang w:eastAsia="zh-CN"/>
        </w:rPr>
        <w:t>4</w:t>
      </w:r>
      <w:r w:rsidRPr="0067430B">
        <w:rPr>
          <w:rFonts w:cstheme="minorHAnsi" w:hint="eastAsia"/>
          <w:szCs w:val="24"/>
          <w:lang w:eastAsia="zh-CN"/>
        </w:rPr>
        <w:t>通道可分割主会议厅的成本；</w:t>
      </w:r>
    </w:p>
    <w:p w14:paraId="4827BAFF" w14:textId="77777777" w:rsidR="00E223C8" w:rsidRPr="0067430B" w:rsidRDefault="00E223C8" w:rsidP="0067430B">
      <w:pPr>
        <w:rPr>
          <w:rFonts w:cstheme="minorHAnsi"/>
          <w:szCs w:val="24"/>
          <w:lang w:eastAsia="zh-CN"/>
        </w:rPr>
      </w:pPr>
      <w:r w:rsidRPr="0067430B">
        <w:rPr>
          <w:rFonts w:cstheme="minorHAnsi"/>
          <w:szCs w:val="24"/>
          <w:lang w:eastAsia="zh-CN"/>
        </w:rPr>
        <w:t>9</w:t>
      </w:r>
      <w:r w:rsidRPr="0067430B">
        <w:rPr>
          <w:rFonts w:cstheme="minorHAnsi"/>
          <w:szCs w:val="24"/>
          <w:lang w:eastAsia="zh-CN"/>
        </w:rPr>
        <w:tab/>
      </w:r>
      <w:r w:rsidRPr="0067430B">
        <w:rPr>
          <w:rFonts w:cstheme="minorHAnsi" w:hint="eastAsia"/>
          <w:szCs w:val="24"/>
          <w:lang w:eastAsia="zh-CN"/>
        </w:rPr>
        <w:t>通过</w:t>
      </w:r>
      <w:r w:rsidRPr="0067430B">
        <w:rPr>
          <w:rFonts w:cstheme="minorHAnsi"/>
          <w:szCs w:val="24"/>
          <w:lang w:eastAsia="zh-CN"/>
        </w:rPr>
        <w:t>综合建筑基金</w:t>
      </w:r>
      <w:r w:rsidRPr="0067430B">
        <w:rPr>
          <w:rFonts w:cstheme="minorHAnsi" w:hint="eastAsia"/>
          <w:szCs w:val="24"/>
          <w:lang w:eastAsia="zh-CN"/>
        </w:rPr>
        <w:t>和</w:t>
      </w:r>
      <w:r w:rsidRPr="0067430B">
        <w:rPr>
          <w:rFonts w:cstheme="minorHAnsi"/>
          <w:szCs w:val="24"/>
          <w:lang w:eastAsia="zh-CN"/>
        </w:rPr>
        <w:t>节支增效为</w:t>
      </w:r>
      <w:r w:rsidRPr="0067430B">
        <w:rPr>
          <w:rFonts w:cstheme="minorHAnsi"/>
          <w:szCs w:val="24"/>
          <w:lang w:eastAsia="zh-CN"/>
        </w:rPr>
        <w:t>Montbrillant</w:t>
      </w:r>
      <w:r w:rsidRPr="0067430B">
        <w:rPr>
          <w:rFonts w:cstheme="minorHAnsi" w:hint="eastAsia"/>
          <w:szCs w:val="24"/>
          <w:lang w:eastAsia="zh-CN"/>
        </w:rPr>
        <w:t>办公楼</w:t>
      </w:r>
      <w:r w:rsidRPr="0067430B">
        <w:rPr>
          <w:rFonts w:cstheme="minorHAnsi"/>
          <w:szCs w:val="24"/>
          <w:lang w:eastAsia="zh-CN"/>
        </w:rPr>
        <w:t>翻修提供资金；</w:t>
      </w:r>
    </w:p>
    <w:p w14:paraId="4827BB00" w14:textId="77777777" w:rsidR="00E223C8" w:rsidRPr="0067430B" w:rsidRDefault="00E223C8" w:rsidP="0067430B">
      <w:pPr>
        <w:rPr>
          <w:rFonts w:cstheme="minorHAnsi"/>
          <w:szCs w:val="24"/>
          <w:lang w:eastAsia="zh-CN"/>
        </w:rPr>
      </w:pPr>
      <w:r w:rsidRPr="0067430B">
        <w:rPr>
          <w:rFonts w:cstheme="minorHAnsi"/>
          <w:szCs w:val="24"/>
          <w:lang w:eastAsia="zh-CN"/>
        </w:rPr>
        <w:t>10</w:t>
      </w:r>
      <w:r w:rsidRPr="0067430B">
        <w:rPr>
          <w:rFonts w:cstheme="minorHAnsi"/>
          <w:szCs w:val="24"/>
          <w:lang w:eastAsia="zh-CN"/>
        </w:rPr>
        <w:tab/>
      </w:r>
      <w:r w:rsidRPr="0067430B">
        <w:rPr>
          <w:rFonts w:cstheme="minorHAnsi" w:hint="eastAsia"/>
          <w:szCs w:val="24"/>
          <w:lang w:eastAsia="zh-CN"/>
        </w:rPr>
        <w:t>与东道国就待处置资产的现存贷款开展优惠条件谈判；</w:t>
      </w:r>
    </w:p>
    <w:p w14:paraId="4827BB01" w14:textId="77777777" w:rsidR="00E223C8" w:rsidRPr="0067430B" w:rsidRDefault="00E223C8" w:rsidP="0067430B">
      <w:pPr>
        <w:rPr>
          <w:rFonts w:cstheme="minorHAnsi"/>
          <w:szCs w:val="24"/>
          <w:lang w:eastAsia="zh-CN"/>
        </w:rPr>
      </w:pPr>
      <w:r w:rsidRPr="0067430B">
        <w:rPr>
          <w:rFonts w:cstheme="minorHAnsi"/>
          <w:szCs w:val="24"/>
          <w:lang w:eastAsia="zh-CN"/>
        </w:rPr>
        <w:t>11</w:t>
      </w:r>
      <w:r w:rsidRPr="0067430B">
        <w:rPr>
          <w:rFonts w:cstheme="minorHAnsi"/>
          <w:szCs w:val="24"/>
          <w:lang w:eastAsia="zh-CN"/>
        </w:rPr>
        <w:tab/>
      </w:r>
      <w:r w:rsidRPr="0067430B">
        <w:rPr>
          <w:rFonts w:cstheme="minorHAnsi" w:hint="eastAsia"/>
          <w:szCs w:val="24"/>
          <w:lang w:eastAsia="zh-CN"/>
        </w:rPr>
        <w:t>在项目</w:t>
      </w:r>
      <w:r w:rsidRPr="0067430B">
        <w:rPr>
          <w:rFonts w:cstheme="minorHAnsi"/>
          <w:szCs w:val="24"/>
          <w:lang w:eastAsia="zh-CN"/>
        </w:rPr>
        <w:t>竣工前的适当时</w:t>
      </w:r>
      <w:r w:rsidRPr="0067430B">
        <w:rPr>
          <w:rFonts w:cstheme="minorHAnsi" w:hint="eastAsia"/>
          <w:szCs w:val="24"/>
          <w:lang w:eastAsia="zh-CN"/>
        </w:rPr>
        <w:t>间，虑及塔楼优越而独特的地理位置，对</w:t>
      </w:r>
      <w:r w:rsidRPr="0067430B">
        <w:rPr>
          <w:rFonts w:cstheme="minorHAnsi"/>
          <w:szCs w:val="24"/>
          <w:lang w:eastAsia="zh-CN"/>
        </w:rPr>
        <w:t>塔楼的市值进行</w:t>
      </w:r>
      <w:r w:rsidRPr="0067430B">
        <w:rPr>
          <w:rFonts w:cstheme="minorHAnsi" w:hint="eastAsia"/>
          <w:szCs w:val="24"/>
          <w:lang w:eastAsia="zh-CN"/>
        </w:rPr>
        <w:t>进一步独立</w:t>
      </w:r>
      <w:r w:rsidRPr="0067430B">
        <w:rPr>
          <w:rFonts w:cstheme="minorHAnsi"/>
          <w:szCs w:val="24"/>
          <w:lang w:eastAsia="zh-CN"/>
        </w:rPr>
        <w:t>研究；</w:t>
      </w:r>
    </w:p>
    <w:p w14:paraId="4827BB02" w14:textId="77777777" w:rsidR="00E223C8" w:rsidRPr="0067430B" w:rsidRDefault="00E223C8" w:rsidP="0067430B">
      <w:pPr>
        <w:rPr>
          <w:rFonts w:cstheme="minorHAnsi"/>
          <w:szCs w:val="24"/>
          <w:lang w:eastAsia="zh-CN"/>
        </w:rPr>
      </w:pPr>
      <w:r w:rsidRPr="0067430B">
        <w:rPr>
          <w:rFonts w:cstheme="minorHAnsi"/>
          <w:szCs w:val="24"/>
          <w:lang w:eastAsia="zh-CN"/>
        </w:rPr>
        <w:t>12</w:t>
      </w:r>
      <w:r w:rsidRPr="0067430B">
        <w:rPr>
          <w:rFonts w:cstheme="minorHAnsi"/>
          <w:szCs w:val="24"/>
          <w:lang w:eastAsia="zh-CN"/>
        </w:rPr>
        <w:tab/>
      </w:r>
      <w:r w:rsidRPr="0067430B">
        <w:rPr>
          <w:rFonts w:cstheme="minorHAnsi" w:hint="eastAsia"/>
          <w:szCs w:val="24"/>
          <w:lang w:eastAsia="zh-CN"/>
        </w:rPr>
        <w:t>就塔楼的可续期商用地权与东道国谈判，这将最大程度地提高塔楼售价；</w:t>
      </w:r>
    </w:p>
    <w:p w14:paraId="4827BB03" w14:textId="77777777" w:rsidR="00E223C8" w:rsidRPr="0067430B" w:rsidRDefault="00E223C8" w:rsidP="0067430B">
      <w:pPr>
        <w:rPr>
          <w:rFonts w:cstheme="minorHAnsi"/>
          <w:szCs w:val="24"/>
          <w:lang w:eastAsia="zh-CN"/>
        </w:rPr>
      </w:pPr>
      <w:r w:rsidRPr="0067430B">
        <w:rPr>
          <w:rFonts w:cstheme="minorHAnsi"/>
          <w:szCs w:val="24"/>
          <w:lang w:eastAsia="zh-CN"/>
        </w:rPr>
        <w:t>13</w:t>
      </w:r>
      <w:r w:rsidRPr="0067430B">
        <w:rPr>
          <w:rFonts w:cstheme="minorHAnsi"/>
          <w:szCs w:val="24"/>
          <w:lang w:eastAsia="zh-CN"/>
        </w:rPr>
        <w:tab/>
      </w:r>
      <w:r w:rsidRPr="0067430B">
        <w:rPr>
          <w:rFonts w:cstheme="minorHAnsi" w:hint="eastAsia"/>
          <w:szCs w:val="24"/>
          <w:lang w:eastAsia="zh-CN"/>
        </w:rPr>
        <w:t>用</w:t>
      </w:r>
      <w:r w:rsidRPr="0067430B">
        <w:rPr>
          <w:rFonts w:cstheme="minorHAnsi"/>
          <w:szCs w:val="24"/>
          <w:lang w:eastAsia="zh-CN"/>
        </w:rPr>
        <w:t>塔楼的全部销售收入</w:t>
      </w:r>
      <w:r w:rsidRPr="0067430B">
        <w:rPr>
          <w:rFonts w:cstheme="minorHAnsi" w:hint="eastAsia"/>
          <w:szCs w:val="24"/>
          <w:lang w:eastAsia="zh-CN"/>
        </w:rPr>
        <w:t>抵消待处置</w:t>
      </w:r>
      <w:r w:rsidRPr="0067430B">
        <w:rPr>
          <w:rFonts w:cstheme="minorHAnsi"/>
          <w:szCs w:val="24"/>
          <w:lang w:eastAsia="zh-CN"/>
        </w:rPr>
        <w:t>资产的</w:t>
      </w:r>
      <w:r w:rsidRPr="0067430B">
        <w:rPr>
          <w:rFonts w:cstheme="minorHAnsi" w:hint="eastAsia"/>
          <w:szCs w:val="24"/>
          <w:lang w:eastAsia="zh-CN"/>
        </w:rPr>
        <w:t>现有贷款以及</w:t>
      </w:r>
      <w:r w:rsidRPr="0067430B">
        <w:rPr>
          <w:rFonts w:cstheme="minorHAnsi"/>
          <w:szCs w:val="24"/>
          <w:lang w:eastAsia="zh-CN"/>
        </w:rPr>
        <w:t>与销售相关的必要成</w:t>
      </w:r>
      <w:r w:rsidRPr="0067430B">
        <w:rPr>
          <w:rFonts w:cstheme="minorHAnsi" w:hint="eastAsia"/>
          <w:szCs w:val="24"/>
          <w:lang w:eastAsia="zh-CN"/>
        </w:rPr>
        <w:t>本，</w:t>
      </w:r>
      <w:r w:rsidRPr="0067430B">
        <w:rPr>
          <w:rFonts w:cstheme="minorHAnsi"/>
          <w:szCs w:val="24"/>
          <w:lang w:eastAsia="zh-CN"/>
        </w:rPr>
        <w:t>并最大限度地减少</w:t>
      </w:r>
      <w:r w:rsidRPr="0067430B">
        <w:rPr>
          <w:rFonts w:cstheme="minorHAnsi" w:hint="eastAsia"/>
          <w:szCs w:val="24"/>
          <w:lang w:eastAsia="zh-CN"/>
        </w:rPr>
        <w:t>未尝贷款</w:t>
      </w:r>
      <w:r w:rsidRPr="0067430B">
        <w:rPr>
          <w:rFonts w:cstheme="minorHAnsi"/>
          <w:szCs w:val="24"/>
          <w:lang w:eastAsia="zh-CN"/>
        </w:rPr>
        <w:t>；</w:t>
      </w:r>
    </w:p>
    <w:p w14:paraId="4827BB04" w14:textId="77777777" w:rsidR="00E223C8" w:rsidRPr="0067430B" w:rsidRDefault="00E223C8" w:rsidP="0067430B">
      <w:pPr>
        <w:rPr>
          <w:rFonts w:cstheme="minorHAnsi"/>
          <w:szCs w:val="24"/>
          <w:lang w:eastAsia="zh-CN"/>
        </w:rPr>
      </w:pPr>
      <w:r w:rsidRPr="0067430B">
        <w:rPr>
          <w:rFonts w:cstheme="minorHAnsi"/>
          <w:szCs w:val="24"/>
          <w:lang w:eastAsia="zh-CN"/>
        </w:rPr>
        <w:t>14</w:t>
      </w:r>
      <w:r w:rsidRPr="0067430B">
        <w:rPr>
          <w:rFonts w:cstheme="minorHAnsi"/>
          <w:szCs w:val="24"/>
          <w:lang w:eastAsia="zh-CN"/>
        </w:rPr>
        <w:tab/>
      </w:r>
      <w:r w:rsidRPr="0067430B">
        <w:rPr>
          <w:rFonts w:cstheme="minorHAnsi" w:hint="eastAsia"/>
          <w:szCs w:val="24"/>
          <w:lang w:eastAsia="zh-CN"/>
        </w:rPr>
        <w:t>向理事会</w:t>
      </w:r>
      <w:r w:rsidRPr="0067430B">
        <w:rPr>
          <w:rFonts w:cstheme="minorHAnsi"/>
          <w:szCs w:val="24"/>
          <w:lang w:eastAsia="zh-CN"/>
        </w:rPr>
        <w:t>报告项目实施的进展情况，包括</w:t>
      </w:r>
      <w:r w:rsidRPr="0067430B">
        <w:rPr>
          <w:rFonts w:cstheme="minorHAnsi" w:hint="eastAsia"/>
          <w:szCs w:val="24"/>
          <w:lang w:eastAsia="zh-CN"/>
        </w:rPr>
        <w:t>预计</w:t>
      </w:r>
      <w:r w:rsidRPr="0067430B">
        <w:rPr>
          <w:rFonts w:cstheme="minorHAnsi"/>
          <w:szCs w:val="24"/>
          <w:lang w:eastAsia="zh-CN"/>
        </w:rPr>
        <w:t>项目</w:t>
      </w:r>
      <w:r w:rsidRPr="0067430B">
        <w:rPr>
          <w:rFonts w:cstheme="minorHAnsi" w:hint="eastAsia"/>
          <w:szCs w:val="24"/>
          <w:lang w:eastAsia="zh-CN"/>
        </w:rPr>
        <w:t>总成本</w:t>
      </w:r>
      <w:r w:rsidRPr="0067430B">
        <w:rPr>
          <w:rFonts w:cstheme="minorHAnsi"/>
          <w:szCs w:val="24"/>
          <w:lang w:eastAsia="zh-CN"/>
        </w:rPr>
        <w:t>的任何</w:t>
      </w:r>
      <w:r w:rsidRPr="0067430B">
        <w:rPr>
          <w:rFonts w:cstheme="minorHAnsi" w:hint="eastAsia"/>
          <w:szCs w:val="24"/>
          <w:lang w:eastAsia="zh-CN"/>
        </w:rPr>
        <w:t>最新变化</w:t>
      </w:r>
      <w:r w:rsidRPr="0067430B">
        <w:rPr>
          <w:rFonts w:cstheme="minorHAnsi"/>
          <w:szCs w:val="24"/>
          <w:lang w:eastAsia="zh-CN"/>
        </w:rPr>
        <w:t>。</w:t>
      </w:r>
    </w:p>
    <w:p w14:paraId="4827BB05" w14:textId="77777777" w:rsidR="00C63A9B" w:rsidRPr="00D746C3" w:rsidRDefault="00C63A9B" w:rsidP="00C63A9B">
      <w:pPr>
        <w:pStyle w:val="Endtext"/>
        <w:rPr>
          <w:lang w:eastAsia="zh-CN"/>
        </w:rPr>
      </w:pPr>
      <w:r>
        <w:rPr>
          <w:rFonts w:ascii="STKaiti" w:hAnsi="SimSun" w:hint="eastAsia"/>
          <w:lang w:eastAsia="zh-CN"/>
        </w:rPr>
        <w:t>参阅：</w:t>
      </w:r>
      <w:r>
        <w:rPr>
          <w:lang w:eastAsia="zh-CN"/>
        </w:rPr>
        <w:tab/>
      </w:r>
      <w:hyperlink r:id="rId496" w:history="1">
        <w:r w:rsidRPr="003C453B">
          <w:rPr>
            <w:rStyle w:val="Hyperlink"/>
            <w:lang w:val="fr-FR" w:eastAsia="zh-CN"/>
          </w:rPr>
          <w:t>C1</w:t>
        </w:r>
        <w:r>
          <w:rPr>
            <w:rStyle w:val="Hyperlink"/>
            <w:lang w:val="fr-FR" w:eastAsia="zh-CN"/>
          </w:rPr>
          <w:t>6</w:t>
        </w:r>
        <w:r w:rsidRPr="003C453B">
          <w:rPr>
            <w:rStyle w:val="Hyperlink"/>
            <w:lang w:val="fr-FR" w:eastAsia="zh-CN"/>
          </w:rPr>
          <w:t>/1</w:t>
        </w:r>
        <w:r>
          <w:rPr>
            <w:rStyle w:val="Hyperlink"/>
            <w:lang w:val="fr-FR" w:eastAsia="zh-CN"/>
          </w:rPr>
          <w:t>19</w:t>
        </w:r>
      </w:hyperlink>
      <w:r>
        <w:rPr>
          <w:rFonts w:hint="eastAsia"/>
          <w:lang w:val="fr-FR" w:eastAsia="zh-CN"/>
        </w:rPr>
        <w:t>和</w:t>
      </w:r>
      <w:hyperlink r:id="rId497" w:history="1">
        <w:r w:rsidRPr="003C453B">
          <w:rPr>
            <w:rStyle w:val="Hyperlink"/>
            <w:lang w:val="fr-FR" w:eastAsia="zh-CN"/>
          </w:rPr>
          <w:t>C1</w:t>
        </w:r>
        <w:r>
          <w:rPr>
            <w:rStyle w:val="Hyperlink"/>
            <w:lang w:val="fr-FR" w:eastAsia="zh-CN"/>
          </w:rPr>
          <w:t>6</w:t>
        </w:r>
        <w:r w:rsidRPr="003C453B">
          <w:rPr>
            <w:rStyle w:val="Hyperlink"/>
            <w:lang w:val="fr-FR" w:eastAsia="zh-CN"/>
          </w:rPr>
          <w:t>/1</w:t>
        </w:r>
        <w:r>
          <w:rPr>
            <w:rStyle w:val="Hyperlink"/>
            <w:lang w:val="fr-FR" w:eastAsia="zh-CN"/>
          </w:rPr>
          <w:t>24</w:t>
        </w:r>
      </w:hyperlink>
      <w:r>
        <w:rPr>
          <w:rFonts w:ascii="SimSun" w:hAnsi="SimSun" w:hint="eastAsia"/>
          <w:lang w:eastAsia="zh-CN"/>
        </w:rPr>
        <w:t>号文件。</w:t>
      </w:r>
    </w:p>
    <w:p w14:paraId="4827BB06" w14:textId="77777777" w:rsidR="00C33678" w:rsidRDefault="00C33678" w:rsidP="00C33678">
      <w:pPr>
        <w:jc w:val="center"/>
        <w:rPr>
          <w:lang w:eastAsia="zh-CN"/>
        </w:rPr>
      </w:pPr>
      <w:r>
        <w:rPr>
          <w:lang w:eastAsia="zh-CN"/>
        </w:rPr>
        <w:t>______________</w:t>
      </w:r>
    </w:p>
    <w:p w14:paraId="4827BB07" w14:textId="77777777" w:rsidR="00DD6DA3" w:rsidRDefault="00DD6DA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B08" w14:textId="77777777" w:rsidR="00DD6DA3" w:rsidRDefault="00DD6DA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B09" w14:textId="77777777" w:rsidR="00DD6DA3" w:rsidRDefault="00DD6DA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B0A" w14:textId="77777777" w:rsidR="00DD6DA3" w:rsidRDefault="00DD6DA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B0B" w14:textId="77777777" w:rsidR="00DD6DA3" w:rsidRDefault="00DD6DA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B0C" w14:textId="77777777" w:rsidR="00DD6DA3" w:rsidRDefault="00DD6DA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B0D" w14:textId="77777777" w:rsidR="00DD6DA3" w:rsidRDefault="00DD6DA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B0E" w14:textId="77777777" w:rsidR="00DD6DA3" w:rsidRDefault="00DD6DA3">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B0F" w14:textId="2C32F4E4" w:rsidR="006661BF" w:rsidRPr="00556B68" w:rsidRDefault="006661BF" w:rsidP="000D18CD">
      <w:pPr>
        <w:pStyle w:val="DecNo"/>
        <w:outlineLvl w:val="0"/>
      </w:pPr>
      <w:bookmarkStart w:id="2782" w:name="_Toc86395722"/>
      <w:r>
        <w:rPr>
          <w:rFonts w:hint="eastAsia"/>
        </w:rPr>
        <w:lastRenderedPageBreak/>
        <w:t>第</w:t>
      </w:r>
      <w:r>
        <w:rPr>
          <w:rFonts w:hint="eastAsia"/>
        </w:rPr>
        <w:t>619</w:t>
      </w:r>
      <w:r>
        <w:rPr>
          <w:rFonts w:hint="eastAsia"/>
        </w:rPr>
        <w:t>号决定</w:t>
      </w:r>
      <w:r w:rsidRPr="00556B68">
        <w:rPr>
          <w:rFonts w:hint="eastAsia"/>
        </w:rPr>
        <w:t>（</w:t>
      </w:r>
      <w:r w:rsidRPr="00556B68">
        <w:rPr>
          <w:rFonts w:hint="eastAsia"/>
        </w:rPr>
        <w:t>C19</w:t>
      </w:r>
      <w:r w:rsidR="001A12B5" w:rsidRPr="001A12B5">
        <w:rPr>
          <w:rFonts w:hint="eastAsia"/>
        </w:rPr>
        <w:t>，最</w:t>
      </w:r>
      <w:r w:rsidR="000078F2">
        <w:rPr>
          <w:rFonts w:hint="eastAsia"/>
        </w:rPr>
        <w:t>后</w:t>
      </w:r>
      <w:r w:rsidR="001A12B5" w:rsidRPr="001A12B5">
        <w:rPr>
          <w:rFonts w:hint="eastAsia"/>
        </w:rPr>
        <w:t>修正</w:t>
      </w:r>
      <w:r w:rsidR="001A12B5" w:rsidRPr="001A12B5">
        <w:rPr>
          <w:rFonts w:hint="eastAsia"/>
        </w:rPr>
        <w:t>C21</w:t>
      </w:r>
      <w:r w:rsidRPr="00556B68">
        <w:rPr>
          <w:rFonts w:hint="eastAsia"/>
        </w:rPr>
        <w:t>）</w:t>
      </w:r>
      <w:bookmarkEnd w:id="2782"/>
    </w:p>
    <w:p w14:paraId="4827BB10" w14:textId="77777777" w:rsidR="006661BF" w:rsidRPr="00912B68" w:rsidRDefault="006661BF" w:rsidP="006661BF">
      <w:pPr>
        <w:pStyle w:val="Dectitle"/>
      </w:pPr>
      <w:bookmarkStart w:id="2783" w:name="_Toc86395723"/>
      <w:r>
        <w:rPr>
          <w:rFonts w:hint="eastAsia"/>
        </w:rPr>
        <w:t>总部办公场所</w:t>
      </w:r>
      <w:bookmarkEnd w:id="2783"/>
    </w:p>
    <w:p w14:paraId="2FA0E4BF" w14:textId="77777777" w:rsidR="001A12B5" w:rsidRDefault="001A12B5" w:rsidP="001A12B5">
      <w:pPr>
        <w:pStyle w:val="Normalaftertitle0"/>
      </w:pPr>
      <w:r>
        <w:rPr>
          <w:rFonts w:ascii="SimSun" w:hAnsi="SimSun" w:cs="SimSun" w:hint="eastAsia"/>
        </w:rPr>
        <w:t>国际电联理事会，</w:t>
      </w:r>
    </w:p>
    <w:p w14:paraId="4A744E33" w14:textId="77777777" w:rsidR="001A12B5" w:rsidRDefault="001A12B5" w:rsidP="001A12B5">
      <w:pPr>
        <w:pStyle w:val="Call"/>
        <w:rPr>
          <w:i/>
          <w:iCs/>
          <w:lang w:eastAsia="zh-CN"/>
        </w:rPr>
      </w:pPr>
      <w:r>
        <w:rPr>
          <w:rFonts w:hint="eastAsia"/>
          <w:iCs/>
          <w:lang w:eastAsia="zh-CN"/>
        </w:rPr>
        <w:t>忆及</w:t>
      </w:r>
    </w:p>
    <w:p w14:paraId="6AE8DA0F" w14:textId="77777777" w:rsidR="001A12B5" w:rsidRDefault="001A12B5" w:rsidP="001A12B5">
      <w:pPr>
        <w:ind w:firstLineChars="200" w:firstLine="480"/>
        <w:rPr>
          <w:rFonts w:cstheme="minorHAnsi"/>
          <w:szCs w:val="24"/>
          <w:lang w:eastAsia="zh-CN"/>
        </w:rPr>
      </w:pPr>
      <w:r>
        <w:rPr>
          <w:rFonts w:cstheme="minorHAnsi" w:hint="eastAsia"/>
          <w:szCs w:val="24"/>
          <w:lang w:eastAsia="zh-CN"/>
        </w:rPr>
        <w:t>关于国际电联总部未来长期办公场所的第</w:t>
      </w:r>
      <w:r>
        <w:rPr>
          <w:rFonts w:cstheme="minorHAnsi"/>
          <w:szCs w:val="24"/>
          <w:lang w:eastAsia="zh-CN"/>
        </w:rPr>
        <w:t>212</w:t>
      </w:r>
      <w:r>
        <w:rPr>
          <w:rFonts w:cstheme="minorHAnsi" w:hint="eastAsia"/>
          <w:szCs w:val="24"/>
          <w:lang w:eastAsia="zh-CN"/>
        </w:rPr>
        <w:t>号决议（</w:t>
      </w:r>
      <w:r>
        <w:rPr>
          <w:rFonts w:cstheme="minorHAnsi"/>
          <w:szCs w:val="24"/>
          <w:lang w:eastAsia="zh-CN"/>
        </w:rPr>
        <w:t>2018</w:t>
      </w:r>
      <w:r>
        <w:rPr>
          <w:rFonts w:cstheme="minorHAnsi" w:hint="eastAsia"/>
          <w:szCs w:val="24"/>
          <w:lang w:eastAsia="zh-CN"/>
        </w:rPr>
        <w:t>年，迪拜）和关于总部办公场所的理事会第</w:t>
      </w:r>
      <w:r>
        <w:rPr>
          <w:rFonts w:cstheme="minorHAnsi"/>
          <w:szCs w:val="24"/>
          <w:lang w:eastAsia="zh-CN"/>
        </w:rPr>
        <w:t>588</w:t>
      </w:r>
      <w:r>
        <w:rPr>
          <w:rFonts w:cstheme="minorHAnsi" w:hint="eastAsia"/>
          <w:szCs w:val="24"/>
          <w:lang w:eastAsia="zh-CN"/>
        </w:rPr>
        <w:t>号决定，</w:t>
      </w:r>
    </w:p>
    <w:p w14:paraId="020261FF" w14:textId="77777777" w:rsidR="001A12B5" w:rsidRDefault="001A12B5" w:rsidP="001A12B5">
      <w:pPr>
        <w:pStyle w:val="Call"/>
        <w:rPr>
          <w:rFonts w:ascii="STKaiti" w:hAnsi="STKaiti"/>
          <w:lang w:eastAsia="zh-CN"/>
        </w:rPr>
      </w:pPr>
      <w:r>
        <w:rPr>
          <w:rFonts w:hint="eastAsia"/>
          <w:iCs/>
          <w:lang w:eastAsia="zh-CN"/>
        </w:rPr>
        <w:t>进一步忆及</w:t>
      </w:r>
    </w:p>
    <w:p w14:paraId="30762085" w14:textId="77777777" w:rsidR="001A12B5" w:rsidRDefault="001A12B5" w:rsidP="001A12B5">
      <w:pPr>
        <w:ind w:firstLineChars="200" w:firstLine="480"/>
        <w:rPr>
          <w:rFonts w:cstheme="minorHAnsi"/>
          <w:szCs w:val="24"/>
          <w:lang w:eastAsia="zh-CN"/>
        </w:rPr>
      </w:pPr>
      <w:r>
        <w:rPr>
          <w:rFonts w:cstheme="minorHAnsi" w:hint="eastAsia"/>
          <w:szCs w:val="24"/>
          <w:lang w:eastAsia="zh-CN"/>
        </w:rPr>
        <w:t>第</w:t>
      </w:r>
      <w:r>
        <w:rPr>
          <w:rFonts w:cstheme="minorHAnsi"/>
          <w:szCs w:val="24"/>
          <w:lang w:eastAsia="zh-CN"/>
        </w:rPr>
        <w:t>212</w:t>
      </w:r>
      <w:r>
        <w:rPr>
          <w:rFonts w:cstheme="minorHAnsi" w:hint="eastAsia"/>
          <w:szCs w:val="24"/>
          <w:lang w:eastAsia="zh-CN"/>
        </w:rPr>
        <w:t>号决议</w:t>
      </w:r>
      <w:r>
        <w:rPr>
          <w:rFonts w:hint="eastAsia"/>
          <w:lang w:eastAsia="zh-CN"/>
        </w:rPr>
        <w:t>的</w:t>
      </w:r>
      <w:r>
        <w:rPr>
          <w:rFonts w:eastAsia="STKaiti" w:cstheme="minorHAnsi" w:hint="eastAsia"/>
          <w:iCs/>
          <w:lang w:eastAsia="zh-CN"/>
        </w:rPr>
        <w:t>忆及</w:t>
      </w:r>
      <w:r>
        <w:rPr>
          <w:rFonts w:eastAsia="STKaiti" w:cstheme="minorHAnsi"/>
          <w:iCs/>
          <w:lang w:eastAsia="zh-CN"/>
        </w:rPr>
        <w:t>c) v)</w:t>
      </w:r>
      <w:r>
        <w:rPr>
          <w:rFonts w:cstheme="minorHAnsi" w:hint="eastAsia"/>
          <w:szCs w:val="24"/>
          <w:lang w:eastAsia="zh-CN"/>
        </w:rPr>
        <w:t>段，将出售塔楼的所有收益用于待处置资产的现有贷款、与出售相关的必要成本，从而抵消最终项目总成本，并且最大程度地减少贷款的未偿金额，</w:t>
      </w:r>
    </w:p>
    <w:p w14:paraId="3ECA6097" w14:textId="77777777" w:rsidR="001A12B5" w:rsidRDefault="001A12B5" w:rsidP="001A12B5">
      <w:pPr>
        <w:pStyle w:val="Call"/>
        <w:rPr>
          <w:rFonts w:ascii="STKaiti" w:hAnsi="STKaiti"/>
          <w:lang w:eastAsia="zh-CN"/>
        </w:rPr>
      </w:pPr>
      <w:r>
        <w:rPr>
          <w:rFonts w:hint="eastAsia"/>
          <w:iCs/>
          <w:lang w:eastAsia="zh-CN"/>
        </w:rPr>
        <w:t>赞赏地注意到</w:t>
      </w:r>
    </w:p>
    <w:p w14:paraId="74E85C44" w14:textId="77777777" w:rsidR="001A12B5" w:rsidRDefault="001A12B5" w:rsidP="001A12B5">
      <w:pPr>
        <w:ind w:firstLineChars="200" w:firstLine="480"/>
        <w:rPr>
          <w:rFonts w:cstheme="minorHAnsi"/>
          <w:szCs w:val="24"/>
          <w:lang w:eastAsia="zh-CN"/>
        </w:rPr>
      </w:pPr>
      <w:r>
        <w:rPr>
          <w:rFonts w:cstheme="minorHAnsi" w:hint="eastAsia"/>
          <w:szCs w:val="24"/>
          <w:lang w:eastAsia="zh-CN"/>
        </w:rPr>
        <w:t>国际电联管理层和</w:t>
      </w:r>
      <w:r>
        <w:rPr>
          <w:rFonts w:cstheme="minorHAnsi"/>
          <w:szCs w:val="24"/>
          <w:lang w:eastAsia="zh-CN"/>
        </w:rPr>
        <w:t>BPD</w:t>
      </w:r>
      <w:r>
        <w:rPr>
          <w:rFonts w:cstheme="minorHAnsi" w:hint="eastAsia"/>
          <w:szCs w:val="24"/>
          <w:lang w:eastAsia="zh-CN"/>
        </w:rPr>
        <w:t>（办公楼项目处）努力优化费用，以降低国际电联新总部的总体成本，</w:t>
      </w:r>
    </w:p>
    <w:p w14:paraId="11288DA0" w14:textId="77777777" w:rsidR="001A12B5" w:rsidRDefault="001A12B5" w:rsidP="001A12B5">
      <w:pPr>
        <w:pStyle w:val="Call"/>
        <w:rPr>
          <w:rFonts w:ascii="STKaiti" w:hAnsi="STKaiti"/>
          <w:lang w:eastAsia="zh-CN"/>
        </w:rPr>
      </w:pPr>
      <w:r>
        <w:rPr>
          <w:rFonts w:hint="eastAsia"/>
          <w:iCs/>
          <w:lang w:eastAsia="zh-CN"/>
        </w:rPr>
        <w:t>经审议</w:t>
      </w:r>
    </w:p>
    <w:p w14:paraId="5BCDDC69" w14:textId="77777777" w:rsidR="001A12B5" w:rsidRDefault="001A12B5" w:rsidP="001A12B5">
      <w:pPr>
        <w:ind w:firstLineChars="200" w:firstLine="480"/>
        <w:rPr>
          <w:rFonts w:cstheme="minorHAnsi"/>
          <w:szCs w:val="24"/>
          <w:lang w:eastAsia="zh-CN"/>
        </w:rPr>
      </w:pPr>
      <w:r>
        <w:rPr>
          <w:rFonts w:cstheme="minorHAnsi"/>
          <w:szCs w:val="24"/>
          <w:lang w:eastAsia="zh-CN"/>
        </w:rPr>
        <w:t>C19-ADD/2</w:t>
      </w:r>
      <w:r>
        <w:rPr>
          <w:rFonts w:cstheme="minorHAnsi" w:hint="eastAsia"/>
          <w:szCs w:val="24"/>
          <w:lang w:eastAsia="zh-CN"/>
        </w:rPr>
        <w:t>号文件所含的秘书长的报告，</w:t>
      </w:r>
    </w:p>
    <w:p w14:paraId="038D8536" w14:textId="77777777" w:rsidR="001A12B5" w:rsidRDefault="001A12B5" w:rsidP="001A12B5">
      <w:pPr>
        <w:pStyle w:val="Call"/>
        <w:rPr>
          <w:rFonts w:ascii="STKaiti" w:hAnsi="STKaiti"/>
          <w:lang w:eastAsia="zh-CN"/>
        </w:rPr>
      </w:pPr>
      <w:r>
        <w:rPr>
          <w:rFonts w:hint="eastAsia"/>
          <w:iCs/>
          <w:lang w:eastAsia="zh-CN"/>
        </w:rPr>
        <w:t>顾及</w:t>
      </w:r>
    </w:p>
    <w:p w14:paraId="673C0CA8" w14:textId="77777777" w:rsidR="001A12B5" w:rsidRDefault="001A12B5" w:rsidP="001A12B5">
      <w:pPr>
        <w:ind w:firstLineChars="200" w:firstLine="480"/>
        <w:rPr>
          <w:rFonts w:cstheme="minorHAnsi"/>
          <w:szCs w:val="24"/>
          <w:lang w:eastAsia="zh-CN"/>
        </w:rPr>
      </w:pPr>
      <w:r>
        <w:rPr>
          <w:rFonts w:cstheme="minorHAnsi" w:hint="eastAsia"/>
          <w:szCs w:val="24"/>
          <w:lang w:eastAsia="zh-CN"/>
        </w:rPr>
        <w:t>成员国对于在拆除和早期建设阶段将国际电联的会议移至日内瓦以外举办所表示的关切，因为设在日内瓦的国家代表机构拥有出席国际电联会议的人力资源，但并非在所有国家都有此类资源；而且国际电联职员也表示了类似关切，认为不应期待他们为了国际电联安排的、但可能在日内瓦以外举办的高频次会议长时间远离他们在日内瓦的家庭，</w:t>
      </w:r>
    </w:p>
    <w:p w14:paraId="05BE7109" w14:textId="77777777" w:rsidR="001A12B5" w:rsidRDefault="001A12B5" w:rsidP="001A12B5">
      <w:pPr>
        <w:pStyle w:val="Call"/>
        <w:rPr>
          <w:rFonts w:ascii="STKaiti" w:hAnsi="STKaiti"/>
          <w:lang w:eastAsia="zh-CN"/>
        </w:rPr>
      </w:pPr>
      <w:r>
        <w:rPr>
          <w:rFonts w:hint="eastAsia"/>
          <w:iCs/>
          <w:lang w:eastAsia="zh-CN"/>
        </w:rPr>
        <w:t>做出决定</w:t>
      </w:r>
    </w:p>
    <w:p w14:paraId="76031E3D" w14:textId="77777777" w:rsidR="001A12B5" w:rsidRDefault="001A12B5" w:rsidP="001A12B5">
      <w:pPr>
        <w:rPr>
          <w:rFonts w:cstheme="minorHAnsi"/>
          <w:szCs w:val="24"/>
          <w:lang w:eastAsia="zh-CN"/>
        </w:rPr>
      </w:pPr>
      <w:r>
        <w:rPr>
          <w:rFonts w:cstheme="minorHAnsi"/>
          <w:szCs w:val="24"/>
          <w:lang w:eastAsia="zh-CN"/>
        </w:rPr>
        <w:t>1</w:t>
      </w:r>
      <w:r>
        <w:rPr>
          <w:rFonts w:cstheme="minorHAnsi"/>
          <w:szCs w:val="24"/>
          <w:lang w:eastAsia="zh-CN"/>
        </w:rPr>
        <w:tab/>
      </w:r>
      <w:r>
        <w:rPr>
          <w:rFonts w:cstheme="minorHAnsi" w:hint="eastAsia"/>
          <w:szCs w:val="24"/>
          <w:lang w:eastAsia="zh-CN"/>
        </w:rPr>
        <w:t>批准继续实施建造一座新办公楼替代</w:t>
      </w:r>
      <w:r>
        <w:rPr>
          <w:rFonts w:cstheme="minorHAnsi"/>
          <w:szCs w:val="24"/>
          <w:lang w:eastAsia="zh-CN"/>
        </w:rPr>
        <w:t>Varembé</w:t>
      </w:r>
      <w:r>
        <w:rPr>
          <w:rFonts w:cstheme="minorHAnsi" w:hint="eastAsia"/>
          <w:szCs w:val="24"/>
          <w:lang w:eastAsia="zh-CN"/>
        </w:rPr>
        <w:t>楼和塔楼的项目，该楼将与现有的</w:t>
      </w:r>
      <w:r>
        <w:rPr>
          <w:rFonts w:cstheme="minorHAnsi"/>
          <w:szCs w:val="24"/>
          <w:lang w:eastAsia="zh-CN"/>
        </w:rPr>
        <w:t>Montbrillant</w:t>
      </w:r>
      <w:r>
        <w:rPr>
          <w:rFonts w:cstheme="minorHAnsi" w:hint="eastAsia"/>
          <w:szCs w:val="24"/>
          <w:lang w:eastAsia="zh-CN"/>
        </w:rPr>
        <w:t>楼一同成为国际电联新的日内瓦总部；</w:t>
      </w:r>
    </w:p>
    <w:p w14:paraId="70ABFE4C" w14:textId="77777777" w:rsidR="001A12B5" w:rsidRDefault="001A12B5" w:rsidP="001A12B5">
      <w:pPr>
        <w:rPr>
          <w:rFonts w:cstheme="minorHAnsi"/>
          <w:szCs w:val="24"/>
          <w:lang w:eastAsia="zh-CN"/>
        </w:rPr>
      </w:pPr>
      <w:r>
        <w:rPr>
          <w:rFonts w:cstheme="minorHAnsi"/>
          <w:szCs w:val="24"/>
          <w:lang w:eastAsia="zh-CN"/>
        </w:rPr>
        <w:t>2</w:t>
      </w:r>
      <w:r>
        <w:rPr>
          <w:rFonts w:cstheme="minorHAnsi"/>
          <w:szCs w:val="24"/>
          <w:lang w:eastAsia="zh-CN"/>
        </w:rPr>
        <w:tab/>
      </w:r>
      <w:r>
        <w:rPr>
          <w:rFonts w:cstheme="minorHAnsi" w:hint="eastAsia"/>
          <w:szCs w:val="24"/>
          <w:lang w:eastAsia="zh-CN"/>
        </w:rPr>
        <w:t>批准</w:t>
      </w:r>
      <w:r>
        <w:rPr>
          <w:rFonts w:cstheme="minorHAnsi"/>
          <w:szCs w:val="24"/>
          <w:lang w:eastAsia="zh-CN"/>
        </w:rPr>
        <w:t>C19-ADD/2</w:t>
      </w:r>
      <w:r>
        <w:rPr>
          <w:rFonts w:cstheme="minorHAnsi" w:hint="eastAsia"/>
          <w:szCs w:val="24"/>
          <w:lang w:eastAsia="zh-CN"/>
        </w:rPr>
        <w:t>号文件中所述的</w:t>
      </w:r>
      <w:r>
        <w:rPr>
          <w:rFonts w:cstheme="minorHAnsi"/>
          <w:szCs w:val="24"/>
          <w:lang w:eastAsia="zh-CN"/>
        </w:rPr>
        <w:t>170,139,000</w:t>
      </w:r>
      <w:r>
        <w:rPr>
          <w:rFonts w:cstheme="minorHAnsi" w:hint="eastAsia"/>
          <w:szCs w:val="24"/>
          <w:lang w:eastAsia="zh-CN"/>
        </w:rPr>
        <w:t>瑞郎最终直接项目成本，资金完全来自于</w:t>
      </w:r>
      <w:r>
        <w:rPr>
          <w:rFonts w:cstheme="minorHAnsi"/>
          <w:szCs w:val="24"/>
          <w:lang w:eastAsia="zh-CN"/>
        </w:rPr>
        <w:t>150,000,000</w:t>
      </w:r>
      <w:r>
        <w:rPr>
          <w:rFonts w:cstheme="minorHAnsi" w:hint="eastAsia"/>
          <w:szCs w:val="24"/>
          <w:lang w:eastAsia="zh-CN"/>
        </w:rPr>
        <w:t>瑞郎的东道国贷款可用资金、</w:t>
      </w:r>
      <w:r>
        <w:rPr>
          <w:rFonts w:cstheme="minorHAnsi"/>
          <w:szCs w:val="24"/>
          <w:lang w:eastAsia="zh-CN"/>
        </w:rPr>
        <w:t>15,140,000</w:t>
      </w:r>
      <w:r>
        <w:rPr>
          <w:rFonts w:cstheme="minorHAnsi" w:hint="eastAsia"/>
          <w:szCs w:val="24"/>
          <w:lang w:eastAsia="zh-CN"/>
        </w:rPr>
        <w:t>瑞郎的赞助和捐赠以及</w:t>
      </w:r>
      <w:r>
        <w:rPr>
          <w:rFonts w:cstheme="minorHAnsi"/>
          <w:szCs w:val="24"/>
          <w:lang w:eastAsia="zh-CN"/>
        </w:rPr>
        <w:t>5,000,000</w:t>
      </w:r>
      <w:r>
        <w:rPr>
          <w:rFonts w:cstheme="minorHAnsi" w:hint="eastAsia"/>
          <w:szCs w:val="24"/>
          <w:lang w:eastAsia="zh-CN"/>
        </w:rPr>
        <w:t>瑞郎的新办公楼基金；</w:t>
      </w:r>
    </w:p>
    <w:p w14:paraId="4887EBB8" w14:textId="77777777" w:rsidR="001A12B5" w:rsidRDefault="001A12B5">
      <w:pPr>
        <w:tabs>
          <w:tab w:val="clear" w:pos="794"/>
          <w:tab w:val="clear" w:pos="1191"/>
          <w:tab w:val="clear" w:pos="1588"/>
          <w:tab w:val="clear" w:pos="1985"/>
        </w:tabs>
        <w:overflowPunct/>
        <w:autoSpaceDE/>
        <w:autoSpaceDN/>
        <w:adjustRightInd/>
        <w:spacing w:before="0"/>
        <w:jc w:val="left"/>
        <w:textAlignment w:val="auto"/>
        <w:rPr>
          <w:rFonts w:cstheme="minorHAnsi"/>
          <w:szCs w:val="24"/>
          <w:lang w:eastAsia="zh-CN"/>
        </w:rPr>
      </w:pPr>
      <w:r>
        <w:rPr>
          <w:rFonts w:cstheme="minorHAnsi"/>
          <w:szCs w:val="24"/>
          <w:lang w:eastAsia="zh-CN"/>
        </w:rPr>
        <w:br w:type="page"/>
      </w:r>
    </w:p>
    <w:p w14:paraId="1147986E" w14:textId="25D71D33" w:rsidR="001A12B5" w:rsidRDefault="001A12B5" w:rsidP="001A12B5">
      <w:pPr>
        <w:rPr>
          <w:rFonts w:cstheme="minorHAnsi"/>
          <w:szCs w:val="24"/>
          <w:lang w:eastAsia="zh-CN"/>
        </w:rPr>
      </w:pPr>
      <w:r>
        <w:rPr>
          <w:rFonts w:cstheme="minorHAnsi"/>
          <w:szCs w:val="24"/>
          <w:lang w:eastAsia="zh-CN"/>
        </w:rPr>
        <w:lastRenderedPageBreak/>
        <w:t>3</w:t>
      </w:r>
      <w:r>
        <w:rPr>
          <w:rFonts w:cstheme="minorHAnsi"/>
          <w:szCs w:val="24"/>
          <w:lang w:eastAsia="zh-CN"/>
        </w:rPr>
        <w:tab/>
      </w:r>
      <w:r>
        <w:rPr>
          <w:rFonts w:cstheme="minorHAnsi" w:hint="eastAsia"/>
          <w:szCs w:val="24"/>
          <w:lang w:eastAsia="zh-CN"/>
        </w:rPr>
        <w:t>按照《财务规则和财务细则》，通过创立</w:t>
      </w:r>
      <w:bookmarkStart w:id="2784" w:name="_Hlk80118827"/>
      <w:r>
        <w:rPr>
          <w:rFonts w:cstheme="minorHAnsi" w:hint="eastAsia"/>
          <w:szCs w:val="24"/>
          <w:lang w:eastAsia="zh-CN"/>
        </w:rPr>
        <w:t>自</w:t>
      </w:r>
      <w:r>
        <w:rPr>
          <w:rFonts w:cstheme="minorHAnsi"/>
          <w:szCs w:val="24"/>
          <w:lang w:eastAsia="zh-CN"/>
        </w:rPr>
        <w:t>2020</w:t>
      </w:r>
      <w:r>
        <w:rPr>
          <w:rFonts w:cstheme="minorHAnsi" w:hint="eastAsia"/>
          <w:szCs w:val="24"/>
          <w:lang w:eastAsia="zh-CN"/>
        </w:rPr>
        <w:t>年起根据理事会决定供资的风险登记基金（</w:t>
      </w:r>
      <w:r>
        <w:rPr>
          <w:rFonts w:cstheme="minorHAnsi"/>
          <w:szCs w:val="24"/>
          <w:lang w:eastAsia="zh-CN"/>
        </w:rPr>
        <w:t>Risk Register Fund</w:t>
      </w:r>
      <w:bookmarkEnd w:id="2784"/>
      <w:r>
        <w:rPr>
          <w:rFonts w:cstheme="minorHAnsi" w:hint="eastAsia"/>
          <w:szCs w:val="24"/>
          <w:lang w:eastAsia="zh-CN"/>
        </w:rPr>
        <w:t>），</w:t>
      </w:r>
      <w:bookmarkStart w:id="2785" w:name="_Hlk80118714"/>
      <w:r>
        <w:rPr>
          <w:rFonts w:cstheme="minorHAnsi" w:hint="eastAsia"/>
          <w:szCs w:val="24"/>
          <w:lang w:eastAsia="zh-CN"/>
        </w:rPr>
        <w:t>针对未缓解的风险</w:t>
      </w:r>
      <w:bookmarkEnd w:id="2785"/>
      <w:r>
        <w:rPr>
          <w:rFonts w:cstheme="minorHAnsi" w:hint="eastAsia"/>
          <w:szCs w:val="24"/>
          <w:lang w:eastAsia="zh-CN"/>
        </w:rPr>
        <w:t>提供额外的、最高可达</w:t>
      </w:r>
      <w:r>
        <w:rPr>
          <w:rFonts w:cstheme="minorHAnsi"/>
          <w:szCs w:val="24"/>
          <w:lang w:eastAsia="zh-CN"/>
        </w:rPr>
        <w:t>12,600,000</w:t>
      </w:r>
      <w:r>
        <w:rPr>
          <w:rFonts w:cstheme="minorHAnsi" w:hint="eastAsia"/>
          <w:szCs w:val="24"/>
          <w:lang w:eastAsia="zh-CN"/>
        </w:rPr>
        <w:t>瑞郎的</w:t>
      </w:r>
      <w:bookmarkStart w:id="2786" w:name="_Hlk80118664"/>
      <w:r>
        <w:rPr>
          <w:rFonts w:cstheme="minorHAnsi" w:hint="eastAsia"/>
          <w:szCs w:val="24"/>
          <w:lang w:eastAsia="zh-CN"/>
        </w:rPr>
        <w:t>财务缓冲</w:t>
      </w:r>
      <w:bookmarkEnd w:id="2786"/>
      <w:r>
        <w:rPr>
          <w:rFonts w:cstheme="minorHAnsi" w:hint="eastAsia"/>
          <w:szCs w:val="24"/>
          <w:lang w:eastAsia="zh-CN"/>
        </w:rPr>
        <w:t>，代表着</w:t>
      </w:r>
      <w:r>
        <w:rPr>
          <w:rFonts w:cstheme="minorHAnsi"/>
          <w:szCs w:val="24"/>
          <w:lang w:eastAsia="zh-CN"/>
        </w:rPr>
        <w:t>C19-ADD/2</w:t>
      </w:r>
      <w:r>
        <w:rPr>
          <w:rFonts w:cstheme="minorHAnsi" w:hint="eastAsia"/>
          <w:szCs w:val="24"/>
          <w:lang w:eastAsia="zh-CN"/>
        </w:rPr>
        <w:t>号文件所述直接费用当前估算值</w:t>
      </w:r>
      <w:r>
        <w:rPr>
          <w:rFonts w:cstheme="minorHAnsi"/>
          <w:szCs w:val="24"/>
          <w:lang w:eastAsia="zh-CN"/>
        </w:rPr>
        <w:t>8%</w:t>
      </w:r>
      <w:r>
        <w:rPr>
          <w:rFonts w:cstheme="minorHAnsi" w:hint="eastAsia"/>
          <w:szCs w:val="24"/>
          <w:lang w:eastAsia="zh-CN"/>
        </w:rPr>
        <w:t>的累计限额；</w:t>
      </w:r>
    </w:p>
    <w:p w14:paraId="02AF8051" w14:textId="77777777" w:rsidR="001A12B5" w:rsidRPr="008E4E05" w:rsidRDefault="001A12B5" w:rsidP="001A12B5">
      <w:pPr>
        <w:tabs>
          <w:tab w:val="clear" w:pos="794"/>
          <w:tab w:val="clear" w:pos="1191"/>
          <w:tab w:val="clear" w:pos="1588"/>
          <w:tab w:val="clear" w:pos="1985"/>
          <w:tab w:val="left" w:pos="567"/>
        </w:tabs>
        <w:rPr>
          <w:szCs w:val="24"/>
          <w:lang w:eastAsia="zh-CN"/>
        </w:rPr>
      </w:pPr>
      <w:r w:rsidRPr="008E4E05">
        <w:rPr>
          <w:szCs w:val="24"/>
          <w:lang w:eastAsia="zh-CN"/>
        </w:rPr>
        <w:t>4</w:t>
      </w:r>
      <w:r w:rsidRPr="008E4E05">
        <w:rPr>
          <w:szCs w:val="24"/>
          <w:lang w:eastAsia="zh-CN"/>
        </w:rPr>
        <w:tab/>
      </w:r>
      <w:r>
        <w:rPr>
          <w:rFonts w:hint="eastAsia"/>
          <w:lang w:eastAsia="zh-CN"/>
        </w:rPr>
        <w:t>自本决定通过之日起，只有在以下行动之后国际电联才能接受任何未来的赞助或捐赠：</w:t>
      </w:r>
    </w:p>
    <w:p w14:paraId="21DA5A6D" w14:textId="77777777" w:rsidR="001A12B5" w:rsidRPr="00EE26B6" w:rsidRDefault="001A12B5" w:rsidP="001A12B5">
      <w:pPr>
        <w:pStyle w:val="enumlev1"/>
        <w:rPr>
          <w:szCs w:val="24"/>
          <w:lang w:eastAsia="zh-CN"/>
        </w:rPr>
      </w:pPr>
      <w:r>
        <w:rPr>
          <w:lang w:eastAsia="zh-CN"/>
        </w:rPr>
        <w:t>–</w:t>
      </w:r>
      <w:r>
        <w:rPr>
          <w:lang w:eastAsia="zh-CN"/>
        </w:rPr>
        <w:tab/>
      </w:r>
      <w:r w:rsidRPr="00EE26B6">
        <w:rPr>
          <w:rFonts w:hint="eastAsia"/>
          <w:lang w:eastAsia="zh-CN"/>
        </w:rPr>
        <w:t>国际电联管理层和办公楼项目处（</w:t>
      </w:r>
      <w:r w:rsidRPr="00EE26B6">
        <w:rPr>
          <w:lang w:eastAsia="zh-CN"/>
        </w:rPr>
        <w:t>BPD</w:t>
      </w:r>
      <w:r w:rsidRPr="00EE26B6">
        <w:rPr>
          <w:rFonts w:hint="eastAsia"/>
          <w:lang w:eastAsia="zh-CN"/>
        </w:rPr>
        <w:t>）对拟议的设计变更单进行估</w:t>
      </w:r>
      <w:r>
        <w:rPr>
          <w:rFonts w:hint="eastAsia"/>
          <w:lang w:eastAsia="zh-CN"/>
        </w:rPr>
        <w:t>价</w:t>
      </w:r>
      <w:r w:rsidRPr="00EE26B6">
        <w:rPr>
          <w:rFonts w:hint="eastAsia"/>
          <w:lang w:eastAsia="zh-CN"/>
        </w:rPr>
        <w:t>，以</w:t>
      </w:r>
      <w:r>
        <w:rPr>
          <w:rFonts w:hint="eastAsia"/>
          <w:lang w:eastAsia="zh-CN"/>
        </w:rPr>
        <w:t>评估</w:t>
      </w:r>
      <w:r w:rsidRPr="00EE26B6">
        <w:rPr>
          <w:rFonts w:hint="eastAsia"/>
          <w:lang w:eastAsia="zh-CN"/>
        </w:rPr>
        <w:t>所有间接费用（包括建筑师费用、建筑管理顾问费用、总承包商费用等）、所有净直接费用以及对项目进度的影响；</w:t>
      </w:r>
    </w:p>
    <w:p w14:paraId="50CBC783" w14:textId="77777777" w:rsidR="001A12B5" w:rsidRPr="00EE26B6" w:rsidRDefault="001A12B5" w:rsidP="001A12B5">
      <w:pPr>
        <w:pStyle w:val="enumlev1"/>
        <w:rPr>
          <w:szCs w:val="24"/>
          <w:lang w:eastAsia="zh-CN"/>
        </w:rPr>
      </w:pPr>
      <w:r>
        <w:rPr>
          <w:lang w:eastAsia="zh-CN"/>
        </w:rPr>
        <w:t>–</w:t>
      </w:r>
      <w:r>
        <w:rPr>
          <w:lang w:eastAsia="zh-CN"/>
        </w:rPr>
        <w:tab/>
      </w:r>
      <w:r w:rsidRPr="00EE26B6">
        <w:rPr>
          <w:rFonts w:hint="eastAsia"/>
          <w:lang w:eastAsia="zh-CN"/>
        </w:rPr>
        <w:t>预期赞助商同意支付所有这些增加的直接和间接项目费用，</w:t>
      </w:r>
      <w:r>
        <w:rPr>
          <w:rFonts w:hint="eastAsia"/>
          <w:lang w:eastAsia="zh-CN"/>
        </w:rPr>
        <w:t>将此</w:t>
      </w:r>
      <w:r w:rsidRPr="00EE26B6">
        <w:rPr>
          <w:rFonts w:hint="eastAsia"/>
          <w:lang w:eastAsia="zh-CN"/>
        </w:rPr>
        <w:t>作为其赞助或捐赠的一部分；而且</w:t>
      </w:r>
    </w:p>
    <w:p w14:paraId="34B1DB1C" w14:textId="77777777" w:rsidR="001A12B5" w:rsidRPr="00EE26B6" w:rsidRDefault="001A12B5" w:rsidP="001A12B5">
      <w:pPr>
        <w:pStyle w:val="enumlev1"/>
        <w:rPr>
          <w:lang w:eastAsia="zh-CN"/>
        </w:rPr>
      </w:pPr>
      <w:r>
        <w:rPr>
          <w:lang w:eastAsia="zh-CN"/>
        </w:rPr>
        <w:t>–</w:t>
      </w:r>
      <w:r>
        <w:rPr>
          <w:lang w:eastAsia="zh-CN"/>
        </w:rPr>
        <w:tab/>
      </w:r>
      <w:r w:rsidRPr="00EE26B6">
        <w:rPr>
          <w:lang w:eastAsia="zh-CN"/>
        </w:rPr>
        <w:t>BPD</w:t>
      </w:r>
      <w:r w:rsidRPr="00EE26B6">
        <w:rPr>
          <w:rFonts w:hint="eastAsia"/>
          <w:lang w:eastAsia="zh-CN"/>
        </w:rPr>
        <w:t>确定赞助或捐赠</w:t>
      </w:r>
      <w:r>
        <w:rPr>
          <w:rFonts w:hint="eastAsia"/>
          <w:lang w:eastAsia="zh-CN"/>
        </w:rPr>
        <w:t>将</w:t>
      </w:r>
      <w:r w:rsidRPr="00EE26B6">
        <w:rPr>
          <w:rFonts w:hint="eastAsia"/>
          <w:lang w:eastAsia="zh-CN"/>
        </w:rPr>
        <w:t>不会造成项目的进一步延误</w:t>
      </w:r>
      <w:r>
        <w:rPr>
          <w:rFonts w:hint="eastAsia"/>
          <w:lang w:eastAsia="zh-CN"/>
        </w:rPr>
        <w:t>；</w:t>
      </w:r>
    </w:p>
    <w:p w14:paraId="262F97F1" w14:textId="77777777" w:rsidR="001A12B5" w:rsidRDefault="001A12B5" w:rsidP="001A12B5">
      <w:pPr>
        <w:rPr>
          <w:rFonts w:cstheme="minorHAnsi"/>
          <w:szCs w:val="24"/>
          <w:lang w:eastAsia="zh-CN"/>
        </w:rPr>
      </w:pPr>
      <w:r w:rsidRPr="00EE26B6">
        <w:rPr>
          <w:rFonts w:cstheme="minorHAnsi"/>
          <w:szCs w:val="24"/>
          <w:lang w:eastAsia="zh-CN"/>
        </w:rPr>
        <w:t>5</w:t>
      </w:r>
      <w:r>
        <w:rPr>
          <w:rFonts w:cstheme="minorHAnsi"/>
          <w:szCs w:val="24"/>
          <w:lang w:eastAsia="zh-CN"/>
        </w:rPr>
        <w:tab/>
      </w:r>
      <w:r>
        <w:rPr>
          <w:rFonts w:cstheme="minorHAnsi" w:hint="eastAsia"/>
          <w:szCs w:val="24"/>
          <w:lang w:eastAsia="zh-CN"/>
        </w:rPr>
        <w:t>通过采取《财务规则和财务细则》所概述的措施，批准在</w:t>
      </w:r>
      <w:r>
        <w:rPr>
          <w:rFonts w:cstheme="minorHAnsi"/>
          <w:szCs w:val="24"/>
          <w:lang w:eastAsia="zh-CN"/>
        </w:rPr>
        <w:t>2021-2023</w:t>
      </w:r>
      <w:r>
        <w:rPr>
          <w:rFonts w:cstheme="minorHAnsi" w:hint="eastAsia"/>
          <w:szCs w:val="24"/>
          <w:lang w:eastAsia="zh-CN"/>
        </w:rPr>
        <w:t>年时间段最多将</w:t>
      </w:r>
      <w:r>
        <w:rPr>
          <w:rFonts w:cstheme="minorHAnsi"/>
          <w:szCs w:val="24"/>
          <w:lang w:eastAsia="zh-CN"/>
        </w:rPr>
        <w:t>2,275,000</w:t>
      </w:r>
      <w:r>
        <w:rPr>
          <w:rFonts w:cstheme="minorHAnsi" w:hint="eastAsia"/>
          <w:szCs w:val="24"/>
          <w:lang w:eastAsia="zh-CN"/>
        </w:rPr>
        <w:t>瑞郎用于间接项目费用，并且建议</w:t>
      </w:r>
      <w:r>
        <w:rPr>
          <w:rFonts w:cstheme="minorHAnsi"/>
          <w:szCs w:val="24"/>
          <w:lang w:eastAsia="zh-CN"/>
        </w:rPr>
        <w:t>2022</w:t>
      </w:r>
      <w:r>
        <w:rPr>
          <w:rFonts w:cstheme="minorHAnsi" w:hint="eastAsia"/>
          <w:szCs w:val="24"/>
          <w:lang w:eastAsia="zh-CN"/>
        </w:rPr>
        <w:t>年全权代表大会（</w:t>
      </w:r>
      <w:r>
        <w:rPr>
          <w:rFonts w:cstheme="minorHAnsi"/>
          <w:szCs w:val="24"/>
          <w:lang w:eastAsia="zh-CN"/>
        </w:rPr>
        <w:t>PP-22</w:t>
      </w:r>
      <w:r>
        <w:rPr>
          <w:rFonts w:cstheme="minorHAnsi" w:hint="eastAsia"/>
          <w:szCs w:val="24"/>
          <w:lang w:eastAsia="zh-CN"/>
        </w:rPr>
        <w:t>）将</w:t>
      </w:r>
      <w:r>
        <w:rPr>
          <w:rFonts w:cstheme="minorHAnsi"/>
          <w:szCs w:val="24"/>
          <w:lang w:eastAsia="zh-CN"/>
        </w:rPr>
        <w:t>2,315,000</w:t>
      </w:r>
      <w:r>
        <w:rPr>
          <w:rFonts w:cstheme="minorHAnsi" w:hint="eastAsia"/>
          <w:szCs w:val="24"/>
          <w:lang w:eastAsia="zh-CN"/>
        </w:rPr>
        <w:t>瑞郎纳入</w:t>
      </w:r>
      <w:r>
        <w:rPr>
          <w:rFonts w:cstheme="minorHAnsi"/>
          <w:szCs w:val="24"/>
          <w:lang w:eastAsia="zh-CN"/>
        </w:rPr>
        <w:t>2024-2027</w:t>
      </w:r>
      <w:r>
        <w:rPr>
          <w:rFonts w:cstheme="minorHAnsi" w:hint="eastAsia"/>
          <w:szCs w:val="24"/>
          <w:lang w:eastAsia="zh-CN"/>
        </w:rPr>
        <w:t>年时间段的财务规划草案，作为资本基金；</w:t>
      </w:r>
    </w:p>
    <w:p w14:paraId="0AE4B911" w14:textId="77777777" w:rsidR="001A12B5" w:rsidRDefault="001A12B5" w:rsidP="001A12B5">
      <w:pPr>
        <w:rPr>
          <w:rFonts w:cstheme="minorHAnsi"/>
          <w:szCs w:val="24"/>
          <w:lang w:eastAsia="zh-CN"/>
        </w:rPr>
      </w:pPr>
      <w:r>
        <w:rPr>
          <w:rFonts w:cstheme="minorHAnsi"/>
          <w:szCs w:val="24"/>
          <w:lang w:eastAsia="zh-CN"/>
        </w:rPr>
        <w:t>6</w:t>
      </w:r>
      <w:r>
        <w:rPr>
          <w:rFonts w:cstheme="minorHAnsi"/>
          <w:szCs w:val="24"/>
          <w:lang w:eastAsia="zh-CN"/>
        </w:rPr>
        <w:tab/>
      </w:r>
      <w:r>
        <w:rPr>
          <w:rFonts w:cstheme="minorHAnsi" w:hint="eastAsia"/>
          <w:szCs w:val="24"/>
          <w:lang w:eastAsia="zh-CN"/>
        </w:rPr>
        <w:t>根据第</w:t>
      </w:r>
      <w:r>
        <w:rPr>
          <w:rFonts w:cstheme="minorHAnsi"/>
          <w:szCs w:val="24"/>
          <w:lang w:eastAsia="zh-CN"/>
        </w:rPr>
        <w:t>212</w:t>
      </w:r>
      <w:r>
        <w:rPr>
          <w:rFonts w:cstheme="minorHAnsi" w:hint="eastAsia"/>
          <w:szCs w:val="24"/>
          <w:lang w:eastAsia="zh-CN"/>
        </w:rPr>
        <w:t>号决议的</w:t>
      </w:r>
      <w:r>
        <w:rPr>
          <w:rFonts w:eastAsia="STKaiti" w:cstheme="minorHAnsi" w:hint="eastAsia"/>
          <w:szCs w:val="24"/>
          <w:lang w:eastAsia="zh-CN"/>
        </w:rPr>
        <w:t>忆及</w:t>
      </w:r>
      <w:r>
        <w:rPr>
          <w:rFonts w:eastAsia="STKaiti" w:cstheme="minorHAnsi"/>
          <w:szCs w:val="24"/>
          <w:lang w:eastAsia="zh-CN"/>
        </w:rPr>
        <w:t>c) v)</w:t>
      </w:r>
      <w:r>
        <w:rPr>
          <w:rFonts w:asciiTheme="minorEastAsia" w:eastAsiaTheme="minorEastAsia" w:hAnsiTheme="minorEastAsia" w:cstheme="minorHAnsi" w:hint="eastAsia"/>
          <w:szCs w:val="24"/>
          <w:lang w:eastAsia="zh-CN"/>
        </w:rPr>
        <w:t>段</w:t>
      </w:r>
      <w:r>
        <w:rPr>
          <w:rFonts w:cstheme="minorHAnsi" w:hint="eastAsia"/>
          <w:szCs w:val="24"/>
          <w:lang w:eastAsia="zh-CN"/>
        </w:rPr>
        <w:t>的规定，使用出售塔楼的所有收益，</w:t>
      </w:r>
    </w:p>
    <w:p w14:paraId="039C83B7" w14:textId="77777777" w:rsidR="001A12B5" w:rsidRDefault="001A12B5" w:rsidP="001A12B5">
      <w:pPr>
        <w:pStyle w:val="Call"/>
        <w:rPr>
          <w:rFonts w:ascii="STKaiti" w:hAnsi="STKaiti"/>
          <w:i/>
          <w:iCs/>
          <w:lang w:eastAsia="zh-CN"/>
        </w:rPr>
      </w:pPr>
      <w:r>
        <w:rPr>
          <w:rFonts w:hint="eastAsia"/>
          <w:iCs/>
          <w:lang w:eastAsia="zh-CN"/>
        </w:rPr>
        <w:t>责成秘书长</w:t>
      </w:r>
    </w:p>
    <w:p w14:paraId="2675C259" w14:textId="77777777" w:rsidR="001A12B5" w:rsidRDefault="001A12B5" w:rsidP="001A12B5">
      <w:pPr>
        <w:rPr>
          <w:rFonts w:cstheme="minorHAnsi"/>
          <w:szCs w:val="24"/>
          <w:lang w:eastAsia="zh-CN"/>
        </w:rPr>
      </w:pPr>
      <w:r>
        <w:rPr>
          <w:rFonts w:cstheme="minorHAnsi"/>
          <w:szCs w:val="24"/>
          <w:lang w:eastAsia="zh-CN"/>
        </w:rPr>
        <w:t>1</w:t>
      </w:r>
      <w:r>
        <w:rPr>
          <w:rFonts w:cstheme="minorHAnsi"/>
          <w:szCs w:val="24"/>
          <w:lang w:eastAsia="zh-CN"/>
        </w:rPr>
        <w:tab/>
      </w:r>
      <w:r>
        <w:rPr>
          <w:rFonts w:cstheme="minorHAnsi" w:hint="eastAsia"/>
          <w:szCs w:val="24"/>
          <w:lang w:eastAsia="zh-CN"/>
        </w:rPr>
        <w:t>继续向瑞士有关当局申请</w:t>
      </w:r>
      <w:r>
        <w:rPr>
          <w:rFonts w:cstheme="minorHAnsi"/>
          <w:szCs w:val="24"/>
          <w:lang w:eastAsia="zh-CN"/>
        </w:rPr>
        <w:t>150,000,000</w:t>
      </w:r>
      <w:r>
        <w:rPr>
          <w:rFonts w:cstheme="minorHAnsi" w:hint="eastAsia"/>
          <w:szCs w:val="24"/>
          <w:lang w:eastAsia="zh-CN"/>
        </w:rPr>
        <w:t>瑞郎贷款的第二期贷款；</w:t>
      </w:r>
    </w:p>
    <w:p w14:paraId="0EAD9306" w14:textId="77777777" w:rsidR="001A12B5" w:rsidRDefault="001A12B5" w:rsidP="001A12B5">
      <w:pPr>
        <w:rPr>
          <w:rFonts w:cstheme="minorHAnsi"/>
          <w:szCs w:val="24"/>
          <w:lang w:eastAsia="zh-CN"/>
        </w:rPr>
      </w:pPr>
      <w:r>
        <w:rPr>
          <w:rFonts w:cstheme="minorHAnsi"/>
          <w:szCs w:val="24"/>
          <w:lang w:eastAsia="zh-CN"/>
        </w:rPr>
        <w:t>2</w:t>
      </w:r>
      <w:r>
        <w:rPr>
          <w:rFonts w:cstheme="minorHAnsi"/>
          <w:szCs w:val="24"/>
          <w:lang w:eastAsia="zh-CN"/>
        </w:rPr>
        <w:tab/>
      </w:r>
      <w:r>
        <w:rPr>
          <w:rFonts w:cstheme="minorHAnsi" w:hint="eastAsia"/>
          <w:szCs w:val="24"/>
          <w:lang w:eastAsia="zh-CN"/>
        </w:rPr>
        <w:t>设立上述</w:t>
      </w:r>
      <w:r>
        <w:rPr>
          <w:rFonts w:ascii="STKaiti" w:eastAsia="STKaiti" w:hAnsi="STKaiti" w:cstheme="minorHAnsi" w:hint="eastAsia"/>
          <w:szCs w:val="24"/>
          <w:lang w:eastAsia="zh-CN"/>
        </w:rPr>
        <w:t>做出</w:t>
      </w:r>
      <w:r>
        <w:rPr>
          <w:rFonts w:eastAsia="STKaiti" w:cstheme="minorHAnsi" w:hint="eastAsia"/>
          <w:szCs w:val="24"/>
          <w:lang w:eastAsia="zh-CN"/>
        </w:rPr>
        <w:t>决定</w:t>
      </w:r>
      <w:r>
        <w:rPr>
          <w:rFonts w:eastAsia="STKaiti" w:cstheme="minorHAnsi"/>
          <w:szCs w:val="24"/>
          <w:lang w:eastAsia="zh-CN"/>
        </w:rPr>
        <w:t>3</w:t>
      </w:r>
      <w:r>
        <w:rPr>
          <w:rFonts w:cstheme="minorHAnsi" w:hint="eastAsia"/>
          <w:szCs w:val="24"/>
          <w:lang w:eastAsia="zh-CN"/>
        </w:rPr>
        <w:t>一段所述的风险登记基金，同时注意到，在施工结束时，该账目中所剩的任何款项均将置于准备金账目；</w:t>
      </w:r>
    </w:p>
    <w:p w14:paraId="33EDF39E" w14:textId="77777777" w:rsidR="001A12B5" w:rsidRDefault="001A12B5" w:rsidP="001A12B5">
      <w:pPr>
        <w:rPr>
          <w:rFonts w:cstheme="minorHAnsi"/>
          <w:szCs w:val="24"/>
          <w:lang w:eastAsia="zh-CN"/>
        </w:rPr>
      </w:pPr>
      <w:r>
        <w:rPr>
          <w:rFonts w:cstheme="minorHAnsi"/>
          <w:szCs w:val="24"/>
          <w:lang w:eastAsia="zh-CN"/>
        </w:rPr>
        <w:t>3</w:t>
      </w:r>
      <w:r>
        <w:rPr>
          <w:rFonts w:cstheme="minorHAnsi"/>
          <w:szCs w:val="24"/>
          <w:lang w:eastAsia="zh-CN"/>
        </w:rPr>
        <w:tab/>
      </w:r>
      <w:r>
        <w:rPr>
          <w:rFonts w:cstheme="minorHAnsi" w:hint="eastAsia"/>
          <w:szCs w:val="24"/>
          <w:lang w:eastAsia="zh-CN"/>
        </w:rPr>
        <w:t>研究解决在项目的拆除和早期建设阶段对临时性大会和会议设施的需求，编制一份需求清单，其中包括这一阶段的大会和会议的日期，并且向成员国顾问组（</w:t>
      </w:r>
      <w:r>
        <w:rPr>
          <w:rFonts w:cstheme="minorHAnsi"/>
          <w:szCs w:val="24"/>
          <w:lang w:eastAsia="zh-CN"/>
        </w:rPr>
        <w:t>MSAG</w:t>
      </w:r>
      <w:r>
        <w:rPr>
          <w:rFonts w:cstheme="minorHAnsi" w:hint="eastAsia"/>
          <w:szCs w:val="24"/>
          <w:lang w:eastAsia="zh-CN"/>
        </w:rPr>
        <w:t>）报告进展情况；</w:t>
      </w:r>
    </w:p>
    <w:p w14:paraId="4AA7D535" w14:textId="77777777" w:rsidR="001A12B5" w:rsidRDefault="001A12B5" w:rsidP="001A12B5">
      <w:pPr>
        <w:rPr>
          <w:rFonts w:cstheme="minorHAnsi"/>
          <w:szCs w:val="24"/>
          <w:lang w:eastAsia="zh-CN"/>
        </w:rPr>
      </w:pPr>
      <w:r>
        <w:rPr>
          <w:rFonts w:cstheme="minorHAnsi"/>
          <w:szCs w:val="24"/>
          <w:lang w:eastAsia="zh-CN"/>
        </w:rPr>
        <w:t>4</w:t>
      </w:r>
      <w:r>
        <w:rPr>
          <w:rFonts w:cstheme="minorHAnsi"/>
          <w:szCs w:val="24"/>
          <w:lang w:eastAsia="zh-CN"/>
        </w:rPr>
        <w:tab/>
      </w:r>
      <w:r>
        <w:rPr>
          <w:rFonts w:cstheme="minorHAnsi" w:hint="eastAsia"/>
          <w:szCs w:val="24"/>
          <w:lang w:eastAsia="zh-CN"/>
        </w:rPr>
        <w:t>继续执行关于保留波波夫厅的理事会决定，其中包括对于理事会</w:t>
      </w:r>
      <w:r>
        <w:rPr>
          <w:rFonts w:cstheme="minorHAnsi"/>
          <w:szCs w:val="24"/>
          <w:lang w:eastAsia="zh-CN"/>
        </w:rPr>
        <w:t>2019</w:t>
      </w:r>
      <w:r>
        <w:rPr>
          <w:rFonts w:cstheme="minorHAnsi" w:hint="eastAsia"/>
          <w:szCs w:val="24"/>
          <w:lang w:eastAsia="zh-CN"/>
        </w:rPr>
        <w:t>年例会第九次暨最后一次全体会议的摘要记录（</w:t>
      </w:r>
      <w:hyperlink r:id="rId498" w:history="1">
        <w:r>
          <w:rPr>
            <w:rStyle w:val="Hyperlink"/>
            <w:rFonts w:cstheme="minorHAnsi"/>
            <w:szCs w:val="24"/>
            <w:lang w:eastAsia="zh-CN"/>
          </w:rPr>
          <w:t>C19/120</w:t>
        </w:r>
      </w:hyperlink>
      <w:r>
        <w:rPr>
          <w:rFonts w:cstheme="minorHAnsi" w:hint="eastAsia"/>
          <w:szCs w:val="24"/>
          <w:lang w:eastAsia="zh-CN"/>
        </w:rPr>
        <w:t>号文件）第</w:t>
      </w:r>
      <w:r>
        <w:rPr>
          <w:rFonts w:cstheme="minorHAnsi"/>
          <w:szCs w:val="24"/>
          <w:lang w:eastAsia="zh-CN"/>
        </w:rPr>
        <w:t>2.2.18.13</w:t>
      </w:r>
      <w:r>
        <w:rPr>
          <w:rFonts w:cstheme="minorHAnsi" w:hint="eastAsia"/>
          <w:szCs w:val="24"/>
          <w:lang w:eastAsia="zh-CN"/>
        </w:rPr>
        <w:t>段中所列的备选方案提供财务和法律分析；</w:t>
      </w:r>
    </w:p>
    <w:p w14:paraId="23AB1FCF" w14:textId="77777777" w:rsidR="001A12B5" w:rsidRDefault="001A12B5" w:rsidP="001A12B5">
      <w:pPr>
        <w:rPr>
          <w:rFonts w:cstheme="minorHAnsi"/>
          <w:szCs w:val="24"/>
          <w:lang w:eastAsia="zh-CN"/>
        </w:rPr>
      </w:pPr>
      <w:r>
        <w:rPr>
          <w:rFonts w:cstheme="minorHAnsi"/>
          <w:szCs w:val="24"/>
          <w:lang w:eastAsia="zh-CN"/>
        </w:rPr>
        <w:t>5</w:t>
      </w:r>
      <w:r>
        <w:rPr>
          <w:rFonts w:cstheme="minorHAnsi"/>
          <w:szCs w:val="24"/>
          <w:lang w:eastAsia="zh-CN"/>
        </w:rPr>
        <w:tab/>
      </w:r>
      <w:r>
        <w:rPr>
          <w:rFonts w:cstheme="minorHAnsi" w:hint="eastAsia"/>
          <w:szCs w:val="24"/>
          <w:lang w:eastAsia="zh-CN"/>
        </w:rPr>
        <w:t>与东道国合作，研究解决执行联合国安全和安保部（</w:t>
      </w:r>
      <w:r>
        <w:rPr>
          <w:rFonts w:cstheme="minorHAnsi"/>
          <w:szCs w:val="24"/>
          <w:lang w:eastAsia="zh-CN"/>
        </w:rPr>
        <w:t>UNDSS</w:t>
      </w:r>
      <w:r>
        <w:rPr>
          <w:rFonts w:cstheme="minorHAnsi" w:hint="eastAsia"/>
          <w:szCs w:val="24"/>
          <w:lang w:eastAsia="zh-CN"/>
        </w:rPr>
        <w:t>）关于遵守联合国最低运作安保标准（</w:t>
      </w:r>
      <w:r>
        <w:rPr>
          <w:rFonts w:cstheme="minorHAnsi"/>
          <w:szCs w:val="24"/>
          <w:lang w:eastAsia="zh-CN"/>
        </w:rPr>
        <w:t>UN MOSS</w:t>
      </w:r>
      <w:r>
        <w:rPr>
          <w:rFonts w:cstheme="minorHAnsi" w:hint="eastAsia"/>
          <w:szCs w:val="24"/>
          <w:lang w:eastAsia="zh-CN"/>
        </w:rPr>
        <w:t>）的要求的问题；</w:t>
      </w:r>
    </w:p>
    <w:p w14:paraId="1A052782" w14:textId="77777777" w:rsidR="001A12B5" w:rsidRDefault="001A12B5">
      <w:pPr>
        <w:tabs>
          <w:tab w:val="clear" w:pos="794"/>
          <w:tab w:val="clear" w:pos="1191"/>
          <w:tab w:val="clear" w:pos="1588"/>
          <w:tab w:val="clear" w:pos="1985"/>
        </w:tabs>
        <w:overflowPunct/>
        <w:autoSpaceDE/>
        <w:autoSpaceDN/>
        <w:adjustRightInd/>
        <w:spacing w:before="0"/>
        <w:jc w:val="left"/>
        <w:textAlignment w:val="auto"/>
        <w:rPr>
          <w:rFonts w:cstheme="minorHAnsi"/>
          <w:szCs w:val="24"/>
          <w:lang w:eastAsia="zh-CN"/>
        </w:rPr>
      </w:pPr>
      <w:r>
        <w:rPr>
          <w:rFonts w:cstheme="minorHAnsi"/>
          <w:szCs w:val="24"/>
          <w:lang w:eastAsia="zh-CN"/>
        </w:rPr>
        <w:br w:type="page"/>
      </w:r>
    </w:p>
    <w:p w14:paraId="76EFFB99" w14:textId="6D315E8D" w:rsidR="001A12B5" w:rsidRDefault="001A12B5" w:rsidP="001A12B5">
      <w:pPr>
        <w:rPr>
          <w:rFonts w:cstheme="minorHAnsi"/>
          <w:szCs w:val="24"/>
          <w:lang w:eastAsia="zh-CN"/>
        </w:rPr>
      </w:pPr>
      <w:r>
        <w:rPr>
          <w:rFonts w:cstheme="minorHAnsi"/>
          <w:szCs w:val="24"/>
          <w:lang w:eastAsia="zh-CN"/>
        </w:rPr>
        <w:lastRenderedPageBreak/>
        <w:t>6</w:t>
      </w:r>
      <w:r>
        <w:rPr>
          <w:rFonts w:cstheme="minorHAnsi"/>
          <w:szCs w:val="24"/>
          <w:lang w:eastAsia="zh-CN"/>
        </w:rPr>
        <w:tab/>
      </w:r>
      <w:r>
        <w:rPr>
          <w:rFonts w:cstheme="minorHAnsi" w:hint="eastAsia"/>
          <w:szCs w:val="24"/>
          <w:lang w:eastAsia="zh-CN"/>
        </w:rPr>
        <w:t>继续与职工委员会接触，在整个搬迁和设计进程中增加透明度、促进对话，在职员为国际电联的利益而工作时，确保他们能够士气高涨、关心他们的福祉并且行之有效；</w:t>
      </w:r>
    </w:p>
    <w:p w14:paraId="6F940DA5" w14:textId="77777777" w:rsidR="001A12B5" w:rsidRDefault="001A12B5" w:rsidP="001A12B5">
      <w:pPr>
        <w:rPr>
          <w:rFonts w:cstheme="minorHAnsi"/>
          <w:szCs w:val="24"/>
          <w:lang w:eastAsia="zh-CN"/>
        </w:rPr>
      </w:pPr>
      <w:r>
        <w:rPr>
          <w:rFonts w:cstheme="minorHAnsi"/>
          <w:szCs w:val="24"/>
          <w:lang w:eastAsia="zh-CN"/>
        </w:rPr>
        <w:t>7</w:t>
      </w:r>
      <w:r>
        <w:rPr>
          <w:rFonts w:cstheme="minorHAnsi"/>
          <w:szCs w:val="24"/>
          <w:lang w:eastAsia="zh-CN"/>
        </w:rPr>
        <w:tab/>
      </w:r>
      <w:r>
        <w:rPr>
          <w:rFonts w:cstheme="minorHAnsi" w:hint="eastAsia"/>
          <w:szCs w:val="24"/>
          <w:lang w:eastAsia="zh-CN"/>
        </w:rPr>
        <w:t>制定</w:t>
      </w:r>
      <w:r>
        <w:rPr>
          <w:rFonts w:asciiTheme="majorEastAsia" w:eastAsiaTheme="majorEastAsia" w:hAnsiTheme="majorEastAsia" w:cstheme="minorHAnsi" w:hint="eastAsia"/>
          <w:szCs w:val="24"/>
          <w:lang w:eastAsia="zh-CN"/>
        </w:rPr>
        <w:t>“</w:t>
      </w:r>
      <w:r>
        <w:rPr>
          <w:rFonts w:ascii="STKaiti" w:eastAsia="STKaiti" w:hAnsi="STKaiti" w:cstheme="minorHAnsi" w:hint="eastAsia"/>
          <w:szCs w:val="24"/>
          <w:lang w:eastAsia="zh-CN"/>
        </w:rPr>
        <w:t>职员工作条件战略和实施计划</w:t>
      </w:r>
      <w:r>
        <w:rPr>
          <w:rFonts w:asciiTheme="minorEastAsia" w:eastAsiaTheme="minorEastAsia" w:hAnsiTheme="minorEastAsia" w:cstheme="minorHAnsi" w:hint="eastAsia"/>
          <w:szCs w:val="24"/>
          <w:lang w:eastAsia="zh-CN"/>
        </w:rPr>
        <w:t>”</w:t>
      </w:r>
      <w:r>
        <w:rPr>
          <w:rFonts w:cstheme="minorHAnsi" w:hint="eastAsia"/>
          <w:szCs w:val="24"/>
          <w:lang w:eastAsia="zh-CN"/>
        </w:rPr>
        <w:t>，供理事会</w:t>
      </w:r>
      <w:r>
        <w:rPr>
          <w:rFonts w:cstheme="minorHAnsi"/>
          <w:szCs w:val="24"/>
          <w:lang w:eastAsia="zh-CN"/>
        </w:rPr>
        <w:t>2020</w:t>
      </w:r>
      <w:r>
        <w:rPr>
          <w:rFonts w:cstheme="minorHAnsi" w:hint="eastAsia"/>
          <w:szCs w:val="24"/>
          <w:lang w:eastAsia="zh-CN"/>
        </w:rPr>
        <w:t>年会议审议，其中包括落实可促进灵活工作安排的措施，包括允许职员居家办公的计划；</w:t>
      </w:r>
    </w:p>
    <w:p w14:paraId="1DDC76E4" w14:textId="77777777" w:rsidR="001A12B5" w:rsidRDefault="001A12B5" w:rsidP="001A12B5">
      <w:pPr>
        <w:rPr>
          <w:rFonts w:cstheme="minorHAnsi"/>
          <w:szCs w:val="24"/>
          <w:lang w:eastAsia="zh-CN"/>
        </w:rPr>
      </w:pPr>
      <w:r>
        <w:rPr>
          <w:rFonts w:cstheme="minorHAnsi"/>
          <w:szCs w:val="24"/>
          <w:lang w:eastAsia="zh-CN"/>
        </w:rPr>
        <w:t>8</w:t>
      </w:r>
      <w:r>
        <w:rPr>
          <w:rFonts w:cstheme="minorHAnsi"/>
          <w:szCs w:val="24"/>
          <w:lang w:eastAsia="zh-CN"/>
        </w:rPr>
        <w:tab/>
      </w:r>
      <w:r>
        <w:rPr>
          <w:rFonts w:cstheme="minorHAnsi" w:hint="eastAsia"/>
          <w:szCs w:val="24"/>
          <w:lang w:eastAsia="zh-CN"/>
        </w:rPr>
        <w:t>向</w:t>
      </w:r>
      <w:r>
        <w:rPr>
          <w:rFonts w:cstheme="minorHAnsi"/>
          <w:szCs w:val="24"/>
          <w:lang w:eastAsia="zh-CN"/>
        </w:rPr>
        <w:t>MSAG</w:t>
      </w:r>
      <w:r>
        <w:rPr>
          <w:rFonts w:cstheme="minorHAnsi" w:hint="eastAsia"/>
          <w:szCs w:val="24"/>
          <w:lang w:eastAsia="zh-CN"/>
        </w:rPr>
        <w:t>提供季度简报，包括风险登记方面的最新信息；</w:t>
      </w:r>
    </w:p>
    <w:p w14:paraId="2DC9DDB9" w14:textId="77777777" w:rsidR="001A12B5" w:rsidRDefault="001A12B5" w:rsidP="001A12B5">
      <w:pPr>
        <w:rPr>
          <w:rFonts w:cstheme="minorHAnsi"/>
          <w:szCs w:val="24"/>
          <w:lang w:eastAsia="zh-CN"/>
        </w:rPr>
      </w:pPr>
      <w:r>
        <w:rPr>
          <w:rFonts w:cstheme="minorHAnsi"/>
          <w:szCs w:val="24"/>
          <w:lang w:eastAsia="zh-CN"/>
        </w:rPr>
        <w:t>9</w:t>
      </w:r>
      <w:r>
        <w:rPr>
          <w:rFonts w:cstheme="minorHAnsi"/>
          <w:szCs w:val="24"/>
          <w:lang w:eastAsia="zh-CN"/>
        </w:rPr>
        <w:tab/>
      </w:r>
      <w:r>
        <w:rPr>
          <w:rFonts w:cstheme="minorHAnsi" w:hint="eastAsia"/>
          <w:szCs w:val="24"/>
          <w:lang w:eastAsia="zh-CN"/>
        </w:rPr>
        <w:t>对项目进行定期审计；</w:t>
      </w:r>
    </w:p>
    <w:p w14:paraId="344BD454" w14:textId="77777777" w:rsidR="001A12B5" w:rsidRDefault="001A12B5" w:rsidP="001A12B5">
      <w:pPr>
        <w:rPr>
          <w:rFonts w:cstheme="minorHAnsi"/>
          <w:szCs w:val="24"/>
          <w:lang w:eastAsia="zh-CN"/>
        </w:rPr>
      </w:pPr>
      <w:r>
        <w:rPr>
          <w:rFonts w:cstheme="minorHAnsi"/>
          <w:szCs w:val="24"/>
          <w:lang w:eastAsia="zh-CN"/>
        </w:rPr>
        <w:t>10</w:t>
      </w:r>
      <w:r>
        <w:rPr>
          <w:rFonts w:cstheme="minorHAnsi"/>
          <w:szCs w:val="24"/>
          <w:lang w:eastAsia="zh-CN"/>
        </w:rPr>
        <w:tab/>
      </w:r>
      <w:r>
        <w:rPr>
          <w:rFonts w:cstheme="minorHAnsi" w:hint="eastAsia"/>
          <w:szCs w:val="24"/>
          <w:lang w:eastAsia="zh-CN"/>
        </w:rPr>
        <w:t>在项目整个阶段所组织的所有招标程序中继续遵守道德和采购方面的最高标准。</w:t>
      </w:r>
    </w:p>
    <w:p w14:paraId="4827BB2F" w14:textId="164ED810" w:rsidR="006661BF" w:rsidRDefault="006661BF" w:rsidP="006661BF">
      <w:pPr>
        <w:pStyle w:val="Endtext"/>
        <w:rPr>
          <w:lang w:eastAsia="zh-CN"/>
        </w:rPr>
      </w:pPr>
      <w:r w:rsidRPr="00EA5664">
        <w:rPr>
          <w:rFonts w:hint="eastAsia"/>
          <w:lang w:eastAsia="zh-CN"/>
        </w:rPr>
        <w:t>参阅</w:t>
      </w:r>
      <w:r w:rsidRPr="00EA5664">
        <w:rPr>
          <w:rFonts w:ascii="STKaiti" w:hAnsi="SimSun" w:hint="eastAsia"/>
          <w:lang w:eastAsia="zh-CN"/>
        </w:rPr>
        <w:t>：</w:t>
      </w:r>
      <w:r w:rsidRPr="00EA5664">
        <w:rPr>
          <w:lang w:eastAsia="zh-CN"/>
        </w:rPr>
        <w:tab/>
      </w:r>
      <w:hyperlink r:id="rId499" w:history="1">
        <w:r w:rsidR="001A12B5" w:rsidRPr="001A12B5">
          <w:rPr>
            <w:rStyle w:val="Hyperlink"/>
            <w:lang w:val="en-GB" w:eastAsia="zh-CN"/>
          </w:rPr>
          <w:t>C19-ADD/5</w:t>
        </w:r>
      </w:hyperlink>
      <w:r w:rsidR="001A12B5">
        <w:rPr>
          <w:rFonts w:hint="eastAsia"/>
          <w:lang w:val="en-GB" w:eastAsia="zh-CN"/>
        </w:rPr>
        <w:t>、</w:t>
      </w:r>
      <w:hyperlink r:id="rId500" w:history="1">
        <w:r w:rsidR="001A12B5" w:rsidRPr="001A12B5">
          <w:rPr>
            <w:rStyle w:val="Hyperlink"/>
            <w:lang w:val="en-GB" w:eastAsia="zh-CN"/>
          </w:rPr>
          <w:t>C19-ADD/6</w:t>
        </w:r>
      </w:hyperlink>
      <w:r w:rsidR="001A12B5">
        <w:rPr>
          <w:rFonts w:hint="eastAsia"/>
          <w:lang w:val="en-GB" w:eastAsia="zh-CN"/>
        </w:rPr>
        <w:t>、</w:t>
      </w:r>
      <w:hyperlink r:id="rId501" w:history="1">
        <w:r w:rsidR="001A12B5" w:rsidRPr="001A12B5">
          <w:rPr>
            <w:rStyle w:val="Hyperlink"/>
            <w:lang w:val="en-GB" w:eastAsia="zh-CN"/>
          </w:rPr>
          <w:t>C21/77</w:t>
        </w:r>
      </w:hyperlink>
      <w:r w:rsidR="001A12B5">
        <w:rPr>
          <w:rFonts w:hint="eastAsia"/>
          <w:lang w:val="en-GB" w:eastAsia="zh-CN"/>
        </w:rPr>
        <w:t>、</w:t>
      </w:r>
      <w:hyperlink r:id="rId502" w:history="1">
        <w:r w:rsidR="001A12B5" w:rsidRPr="001A12B5">
          <w:rPr>
            <w:rStyle w:val="Hyperlink"/>
            <w:lang w:val="en-GB" w:eastAsia="zh-CN"/>
          </w:rPr>
          <w:t>C21/99</w:t>
        </w:r>
      </w:hyperlink>
      <w:r w:rsidR="001A12B5">
        <w:rPr>
          <w:rFonts w:hint="eastAsia"/>
          <w:lang w:val="en-GB" w:eastAsia="zh-CN"/>
        </w:rPr>
        <w:t>和</w:t>
      </w:r>
      <w:hyperlink r:id="rId503" w:history="1">
        <w:r w:rsidR="001A12B5" w:rsidRPr="001A12B5">
          <w:rPr>
            <w:rStyle w:val="Hyperlink"/>
            <w:lang w:val="en-GB" w:eastAsia="zh-CN"/>
          </w:rPr>
          <w:t>DM-21/1017</w:t>
        </w:r>
      </w:hyperlink>
      <w:r>
        <w:rPr>
          <w:rFonts w:hint="eastAsia"/>
          <w:lang w:eastAsia="zh-CN"/>
        </w:rPr>
        <w:t>号</w:t>
      </w:r>
      <w:r>
        <w:rPr>
          <w:lang w:eastAsia="zh-CN"/>
        </w:rPr>
        <w:t>文件。</w:t>
      </w:r>
    </w:p>
    <w:p w14:paraId="4827BB30" w14:textId="77777777" w:rsidR="006661BF" w:rsidRDefault="006661BF" w:rsidP="006661BF">
      <w:pPr>
        <w:jc w:val="center"/>
        <w:rPr>
          <w:lang w:eastAsia="zh-CN"/>
        </w:rPr>
      </w:pPr>
      <w:r>
        <w:rPr>
          <w:lang w:eastAsia="zh-CN"/>
        </w:rPr>
        <w:t>______________</w:t>
      </w:r>
    </w:p>
    <w:p w14:paraId="4827BB31" w14:textId="69C3A3F1" w:rsidR="006661BF" w:rsidRDefault="006661BF" w:rsidP="006661BF">
      <w:pPr>
        <w:rPr>
          <w:lang w:eastAsia="zh-CN"/>
        </w:rPr>
      </w:pPr>
    </w:p>
    <w:p w14:paraId="1175555B" w14:textId="5D5840C0" w:rsidR="001A12B5" w:rsidRDefault="001A12B5" w:rsidP="006661BF">
      <w:pPr>
        <w:rPr>
          <w:lang w:eastAsia="zh-CN"/>
        </w:rPr>
      </w:pPr>
    </w:p>
    <w:p w14:paraId="1DB8E489" w14:textId="59242CFE" w:rsidR="001A12B5" w:rsidRDefault="001A12B5" w:rsidP="006661BF">
      <w:pPr>
        <w:rPr>
          <w:lang w:eastAsia="zh-CN"/>
        </w:rPr>
      </w:pPr>
    </w:p>
    <w:p w14:paraId="5BDEE237" w14:textId="10993EEF" w:rsidR="001A12B5" w:rsidRDefault="001A12B5" w:rsidP="006661BF">
      <w:pPr>
        <w:rPr>
          <w:lang w:eastAsia="zh-CN"/>
        </w:rPr>
      </w:pPr>
    </w:p>
    <w:p w14:paraId="62102054" w14:textId="77777777" w:rsidR="001A12B5" w:rsidRDefault="001A12B5" w:rsidP="006661BF">
      <w:pPr>
        <w:rPr>
          <w:lang w:eastAsia="zh-CN"/>
        </w:rPr>
      </w:pPr>
    </w:p>
    <w:p w14:paraId="4827BB32" w14:textId="77777777" w:rsidR="006661BF" w:rsidRDefault="006661BF" w:rsidP="006661BF">
      <w:pPr>
        <w:rPr>
          <w:lang w:eastAsia="zh-CN"/>
        </w:rPr>
      </w:pPr>
    </w:p>
    <w:p w14:paraId="4827BB33" w14:textId="77777777" w:rsidR="00C63A9B" w:rsidRPr="00C63A9B" w:rsidRDefault="00C63A9B" w:rsidP="00B64353">
      <w:pPr>
        <w:rPr>
          <w:bCs/>
          <w:lang w:eastAsia="zh-CN"/>
        </w:rPr>
      </w:pPr>
    </w:p>
    <w:p w14:paraId="4827BB34" w14:textId="77777777" w:rsidR="00C63A9B" w:rsidRPr="00C63A9B" w:rsidRDefault="00C63A9B" w:rsidP="00B64353">
      <w:pPr>
        <w:rPr>
          <w:bCs/>
          <w:lang w:eastAsia="zh-CN"/>
        </w:rPr>
      </w:pPr>
    </w:p>
    <w:p w14:paraId="4827BB35" w14:textId="77777777" w:rsidR="00C63A9B" w:rsidRPr="00C63A9B" w:rsidRDefault="00C63A9B" w:rsidP="00B64353">
      <w:pPr>
        <w:rPr>
          <w:bCs/>
          <w:lang w:eastAsia="zh-CN"/>
        </w:rPr>
      </w:pPr>
    </w:p>
    <w:p w14:paraId="4827BB36" w14:textId="77777777" w:rsidR="005869C4" w:rsidRDefault="005869C4">
      <w:pPr>
        <w:tabs>
          <w:tab w:val="clear" w:pos="794"/>
          <w:tab w:val="clear" w:pos="1191"/>
          <w:tab w:val="clear" w:pos="1588"/>
          <w:tab w:val="clear" w:pos="1985"/>
        </w:tabs>
        <w:overflowPunct/>
        <w:autoSpaceDE/>
        <w:autoSpaceDN/>
        <w:adjustRightInd/>
        <w:spacing w:before="0"/>
        <w:jc w:val="left"/>
        <w:textAlignment w:val="auto"/>
        <w:rPr>
          <w:lang w:eastAsia="zh-CN"/>
        </w:rPr>
        <w:sectPr w:rsidR="005869C4" w:rsidSect="00B31FF3">
          <w:headerReference w:type="even" r:id="rId504"/>
          <w:headerReference w:type="default" r:id="rId505"/>
          <w:footerReference w:type="even" r:id="rId506"/>
          <w:footerReference w:type="default" r:id="rId507"/>
          <w:headerReference w:type="first" r:id="rId508"/>
          <w:footerReference w:type="first" r:id="rId509"/>
          <w:footnotePr>
            <w:pos w:val="beneathText"/>
          </w:footnotePr>
          <w:endnotePr>
            <w:numFmt w:val="decimal"/>
          </w:endnotePr>
          <w:type w:val="oddPage"/>
          <w:pgSz w:w="11907" w:h="16840" w:code="9"/>
          <w:pgMar w:top="1418" w:right="1134" w:bottom="1134" w:left="1134" w:header="737" w:footer="567" w:gutter="284"/>
          <w:cols w:space="720"/>
          <w:vAlign w:val="both"/>
          <w:titlePg/>
        </w:sectPr>
      </w:pPr>
      <w:bookmarkStart w:id="2790" w:name="_Toc81880187"/>
      <w:bookmarkStart w:id="2791" w:name="_Toc161224124"/>
      <w:bookmarkStart w:id="2792" w:name="_Toc161732170"/>
      <w:bookmarkStart w:id="2793" w:name="_Toc161741102"/>
      <w:bookmarkStart w:id="2794" w:name="_Toc185237768"/>
      <w:bookmarkStart w:id="2795" w:name="_Toc311469679"/>
      <w:bookmarkStart w:id="2796" w:name="_Toc424117158"/>
    </w:p>
    <w:p w14:paraId="4827BB37" w14:textId="77777777" w:rsidR="00F11D1D" w:rsidRPr="00D746C3" w:rsidRDefault="00F11D1D" w:rsidP="004D30D4">
      <w:pPr>
        <w:pStyle w:val="Chaptitle"/>
        <w:rPr>
          <w:lang w:eastAsia="zh-CN"/>
        </w:rPr>
      </w:pPr>
      <w:bookmarkStart w:id="2797" w:name="_Toc531706509"/>
      <w:bookmarkStart w:id="2798" w:name="_Toc531707130"/>
      <w:bookmarkStart w:id="2799" w:name="_Toc531768602"/>
      <w:bookmarkStart w:id="2800" w:name="_Toc16085927"/>
      <w:bookmarkStart w:id="2801" w:name="_Toc86395724"/>
      <w:r w:rsidRPr="00A91440">
        <w:rPr>
          <w:lang w:eastAsia="zh-CN"/>
        </w:rPr>
        <w:lastRenderedPageBreak/>
        <w:t>7.2</w:t>
      </w:r>
      <w:r w:rsidRPr="00A91440">
        <w:rPr>
          <w:lang w:eastAsia="zh-CN"/>
        </w:rPr>
        <w:tab/>
      </w:r>
      <w:bookmarkEnd w:id="2790"/>
      <w:r w:rsidR="00802993" w:rsidRPr="00A91440">
        <w:rPr>
          <w:rFonts w:hint="eastAsia"/>
          <w:lang w:eastAsia="zh-CN"/>
        </w:rPr>
        <w:t>其它杂项事宜</w:t>
      </w:r>
      <w:bookmarkEnd w:id="2791"/>
      <w:bookmarkEnd w:id="2792"/>
      <w:bookmarkEnd w:id="2793"/>
      <w:bookmarkEnd w:id="2794"/>
      <w:bookmarkEnd w:id="2795"/>
      <w:bookmarkEnd w:id="2796"/>
      <w:bookmarkEnd w:id="2797"/>
      <w:bookmarkEnd w:id="2798"/>
      <w:bookmarkEnd w:id="2799"/>
      <w:bookmarkEnd w:id="2800"/>
      <w:bookmarkEnd w:id="2801"/>
    </w:p>
    <w:p w14:paraId="4827BB38" w14:textId="77777777" w:rsidR="00294EE9" w:rsidRPr="00294EE9" w:rsidRDefault="00D15B9B" w:rsidP="000D18CD">
      <w:pPr>
        <w:pStyle w:val="ResNo"/>
        <w:outlineLvl w:val="0"/>
        <w:rPr>
          <w:lang w:eastAsia="zh-CN"/>
        </w:rPr>
      </w:pPr>
      <w:bookmarkStart w:id="2802" w:name="_Toc424117163"/>
      <w:bookmarkStart w:id="2803" w:name="_Toc531706510"/>
      <w:bookmarkStart w:id="2804" w:name="_Toc531707131"/>
      <w:bookmarkStart w:id="2805" w:name="_Toc531768603"/>
      <w:bookmarkStart w:id="2806" w:name="_Toc16085928"/>
      <w:bookmarkStart w:id="2807" w:name="_Toc86395725"/>
      <w:bookmarkStart w:id="2808" w:name="_Toc311469684"/>
      <w:bookmarkStart w:id="2809" w:name="_Toc161224134"/>
      <w:bookmarkStart w:id="2810" w:name="_Toc161732180"/>
      <w:bookmarkStart w:id="2811" w:name="_Toc161741112"/>
      <w:bookmarkStart w:id="2812" w:name="_Toc185237773"/>
      <w:r w:rsidRPr="00294EE9">
        <w:rPr>
          <w:rFonts w:hint="eastAsia"/>
          <w:lang w:eastAsia="zh-CN"/>
        </w:rPr>
        <w:t>第</w:t>
      </w:r>
      <w:r w:rsidRPr="00294EE9">
        <w:rPr>
          <w:rFonts w:hint="eastAsia"/>
          <w:lang w:eastAsia="zh-CN"/>
        </w:rPr>
        <w:t>1327</w:t>
      </w:r>
      <w:r w:rsidRPr="00294EE9">
        <w:rPr>
          <w:rFonts w:hint="eastAsia"/>
          <w:lang w:eastAsia="zh-CN"/>
        </w:rPr>
        <w:t>号决议</w:t>
      </w:r>
      <w:r w:rsidR="00294EE9">
        <w:rPr>
          <w:rFonts w:hint="eastAsia"/>
          <w:lang w:eastAsia="zh-CN"/>
        </w:rPr>
        <w:t>（</w:t>
      </w:r>
      <w:r w:rsidR="00294EE9" w:rsidRPr="00294EE9">
        <w:rPr>
          <w:lang w:eastAsia="zh-CN"/>
        </w:rPr>
        <w:t>C1</w:t>
      </w:r>
      <w:r w:rsidR="00294EE9" w:rsidRPr="00294EE9">
        <w:rPr>
          <w:rFonts w:hint="eastAsia"/>
          <w:lang w:eastAsia="zh-CN"/>
        </w:rPr>
        <w:t>1</w:t>
      </w:r>
      <w:r w:rsidR="00294EE9">
        <w:rPr>
          <w:rFonts w:hint="eastAsia"/>
          <w:lang w:eastAsia="zh-CN"/>
        </w:rPr>
        <w:t>）</w:t>
      </w:r>
      <w:bookmarkEnd w:id="2802"/>
      <w:bookmarkEnd w:id="2803"/>
      <w:bookmarkEnd w:id="2804"/>
      <w:bookmarkEnd w:id="2805"/>
      <w:bookmarkEnd w:id="2806"/>
      <w:bookmarkEnd w:id="2807"/>
    </w:p>
    <w:p w14:paraId="4827BB39" w14:textId="77777777" w:rsidR="00D15B9B" w:rsidRPr="00294EE9" w:rsidRDefault="00D15B9B" w:rsidP="00B31FF3">
      <w:pPr>
        <w:pStyle w:val="Restitle"/>
        <w:spacing w:before="0"/>
        <w:rPr>
          <w:lang w:eastAsia="zh-CN"/>
        </w:rPr>
      </w:pPr>
      <w:bookmarkStart w:id="2813" w:name="_Toc424116285"/>
      <w:bookmarkStart w:id="2814" w:name="_Toc424117164"/>
      <w:bookmarkStart w:id="2815" w:name="_Toc460248275"/>
      <w:bookmarkStart w:id="2816" w:name="_Toc531706511"/>
      <w:bookmarkStart w:id="2817" w:name="_Toc531707132"/>
      <w:bookmarkStart w:id="2818" w:name="_Toc531768604"/>
      <w:bookmarkStart w:id="2819" w:name="_Toc16085929"/>
      <w:bookmarkStart w:id="2820" w:name="_Toc86395726"/>
      <w:r w:rsidRPr="00294EE9">
        <w:rPr>
          <w:rFonts w:hint="eastAsia"/>
          <w:lang w:eastAsia="zh-CN"/>
        </w:rPr>
        <w:t>国际电联在信息通信技术</w:t>
      </w:r>
      <w:r w:rsidR="003D5C48" w:rsidRPr="00294EE9">
        <w:rPr>
          <w:rFonts w:hint="eastAsia"/>
          <w:lang w:eastAsia="zh-CN"/>
        </w:rPr>
        <w:t>和</w:t>
      </w:r>
      <w:r w:rsidRPr="00294EE9">
        <w:rPr>
          <w:rFonts w:hint="eastAsia"/>
          <w:lang w:eastAsia="zh-CN"/>
        </w:rPr>
        <w:t>赋予妇女和</w:t>
      </w:r>
      <w:r w:rsidR="00294EE9">
        <w:rPr>
          <w:lang w:eastAsia="zh-CN"/>
        </w:rPr>
        <w:br/>
      </w:r>
      <w:r w:rsidRPr="00294EE9">
        <w:rPr>
          <w:rFonts w:hint="eastAsia"/>
          <w:lang w:eastAsia="zh-CN"/>
        </w:rPr>
        <w:t>年轻女性权力方面的作用</w:t>
      </w:r>
      <w:bookmarkEnd w:id="2808"/>
      <w:bookmarkEnd w:id="2813"/>
      <w:bookmarkEnd w:id="2814"/>
      <w:bookmarkEnd w:id="2815"/>
      <w:bookmarkEnd w:id="2816"/>
      <w:bookmarkEnd w:id="2817"/>
      <w:bookmarkEnd w:id="2818"/>
      <w:bookmarkEnd w:id="2819"/>
      <w:bookmarkEnd w:id="2820"/>
    </w:p>
    <w:p w14:paraId="4827BB3A" w14:textId="77777777" w:rsidR="00D15B9B" w:rsidRPr="007444F8" w:rsidRDefault="00D15B9B" w:rsidP="00294EE9">
      <w:pPr>
        <w:pStyle w:val="Normalaftertitle"/>
        <w:rPr>
          <w:lang w:eastAsia="zh-CN"/>
        </w:rPr>
      </w:pPr>
      <w:r>
        <w:rPr>
          <w:rFonts w:hint="eastAsia"/>
          <w:lang w:eastAsia="zh-CN"/>
        </w:rPr>
        <w:t>理事会，</w:t>
      </w:r>
    </w:p>
    <w:p w14:paraId="4827BB3B" w14:textId="77777777" w:rsidR="00D15B9B" w:rsidRPr="00C97399" w:rsidRDefault="00D15B9B" w:rsidP="00B64353">
      <w:pPr>
        <w:pStyle w:val="Call"/>
        <w:rPr>
          <w:lang w:eastAsia="zh-CN"/>
        </w:rPr>
      </w:pPr>
      <w:r w:rsidRPr="00C97399">
        <w:rPr>
          <w:rFonts w:hint="eastAsia"/>
          <w:lang w:eastAsia="zh-CN"/>
        </w:rPr>
        <w:t>考虑到</w:t>
      </w:r>
    </w:p>
    <w:p w14:paraId="4827BB3C" w14:textId="77777777" w:rsidR="00D15B9B" w:rsidRPr="007444F8" w:rsidRDefault="00D15B9B" w:rsidP="00B64353">
      <w:pPr>
        <w:rPr>
          <w:szCs w:val="24"/>
          <w:lang w:eastAsia="zh-CN"/>
        </w:rPr>
      </w:pPr>
      <w:r w:rsidRPr="00522246">
        <w:rPr>
          <w:i/>
          <w:iCs/>
          <w:szCs w:val="24"/>
          <w:lang w:eastAsia="zh-CN"/>
        </w:rPr>
        <w:t>а)</w:t>
      </w:r>
      <w:r>
        <w:rPr>
          <w:szCs w:val="24"/>
          <w:lang w:eastAsia="zh-CN"/>
        </w:rPr>
        <w:tab/>
      </w:r>
      <w:r>
        <w:rPr>
          <w:rFonts w:hint="eastAsia"/>
          <w:szCs w:val="24"/>
          <w:lang w:eastAsia="zh-CN"/>
        </w:rPr>
        <w:t>联合国大会</w:t>
      </w:r>
      <w:r>
        <w:rPr>
          <w:rFonts w:hint="eastAsia"/>
          <w:szCs w:val="24"/>
          <w:lang w:eastAsia="zh-CN"/>
        </w:rPr>
        <w:t>1979</w:t>
      </w:r>
      <w:r>
        <w:rPr>
          <w:rFonts w:hint="eastAsia"/>
          <w:szCs w:val="24"/>
          <w:lang w:eastAsia="zh-CN"/>
        </w:rPr>
        <w:t>年通过的、由前言和</w:t>
      </w:r>
      <w:r>
        <w:rPr>
          <w:rFonts w:hint="eastAsia"/>
          <w:szCs w:val="24"/>
          <w:lang w:eastAsia="zh-CN"/>
        </w:rPr>
        <w:t>30</w:t>
      </w:r>
      <w:r>
        <w:rPr>
          <w:rFonts w:hint="eastAsia"/>
          <w:szCs w:val="24"/>
          <w:lang w:eastAsia="zh-CN"/>
        </w:rPr>
        <w:t>条条款组成的、常常被描述为妇女权利国际法案的《消除对妇女一切形式歧视公约》对歧视妇女做出了定义，并确立了终止此类歧视的国家行动议程；</w:t>
      </w:r>
    </w:p>
    <w:p w14:paraId="4827BB3D" w14:textId="77777777" w:rsidR="00D15B9B" w:rsidRDefault="00D15B9B" w:rsidP="00B64353">
      <w:pPr>
        <w:rPr>
          <w:szCs w:val="24"/>
          <w:lang w:eastAsia="zh-CN"/>
        </w:rPr>
      </w:pPr>
      <w:r w:rsidRPr="00522246">
        <w:rPr>
          <w:i/>
          <w:iCs/>
          <w:szCs w:val="24"/>
          <w:lang w:eastAsia="zh-CN"/>
        </w:rPr>
        <w:t>b)</w:t>
      </w:r>
      <w:r>
        <w:rPr>
          <w:szCs w:val="24"/>
          <w:lang w:eastAsia="zh-CN"/>
        </w:rPr>
        <w:tab/>
      </w:r>
      <w:r>
        <w:rPr>
          <w:rFonts w:hint="eastAsia"/>
          <w:szCs w:val="24"/>
          <w:lang w:eastAsia="zh-CN"/>
        </w:rPr>
        <w:t>国际电信联盟全权代表大会</w:t>
      </w:r>
      <w:r w:rsidRPr="009D418A">
        <w:rPr>
          <w:rFonts w:hint="eastAsia"/>
          <w:lang w:val="fr-FR" w:eastAsia="zh-CN"/>
        </w:rPr>
        <w:t>第</w:t>
      </w:r>
      <w:r w:rsidRPr="009D418A">
        <w:rPr>
          <w:lang w:eastAsia="zh-CN"/>
        </w:rPr>
        <w:t>70</w:t>
      </w:r>
      <w:r w:rsidRPr="009D418A">
        <w:rPr>
          <w:rFonts w:hint="eastAsia"/>
          <w:lang w:val="fr-FR" w:eastAsia="zh-CN"/>
        </w:rPr>
        <w:t>号决议</w:t>
      </w:r>
      <w:r w:rsidRPr="009D418A">
        <w:rPr>
          <w:rFonts w:hint="eastAsia"/>
          <w:lang w:eastAsia="zh-CN"/>
        </w:rPr>
        <w:t>（</w:t>
      </w:r>
      <w:r w:rsidRPr="009D418A">
        <w:rPr>
          <w:rFonts w:hint="eastAsia"/>
          <w:lang w:eastAsia="zh-CN"/>
        </w:rPr>
        <w:t>2010</w:t>
      </w:r>
      <w:r w:rsidRPr="009D418A">
        <w:rPr>
          <w:rFonts w:hint="eastAsia"/>
          <w:lang w:val="fr-FR" w:eastAsia="zh-CN"/>
        </w:rPr>
        <w:t>年</w:t>
      </w:r>
      <w:r w:rsidRPr="009D418A">
        <w:rPr>
          <w:rFonts w:hint="eastAsia"/>
          <w:lang w:eastAsia="zh-CN"/>
        </w:rPr>
        <w:t>，</w:t>
      </w:r>
      <w:r w:rsidRPr="009D418A">
        <w:rPr>
          <w:rFonts w:hint="eastAsia"/>
          <w:lang w:val="fr-FR" w:eastAsia="zh-CN"/>
        </w:rPr>
        <w:t>瓜达拉哈拉</w:t>
      </w:r>
      <w:r w:rsidRPr="009D418A">
        <w:rPr>
          <w:rFonts w:hint="eastAsia"/>
          <w:lang w:eastAsia="zh-CN"/>
        </w:rPr>
        <w:t>，</w:t>
      </w:r>
      <w:r w:rsidRPr="009D418A">
        <w:rPr>
          <w:rFonts w:hint="eastAsia"/>
          <w:lang w:val="fr-FR" w:eastAsia="zh-CN"/>
        </w:rPr>
        <w:t>修订版</w:t>
      </w:r>
      <w:r w:rsidRPr="009D418A">
        <w:rPr>
          <w:rFonts w:hint="eastAsia"/>
          <w:lang w:eastAsia="zh-CN"/>
        </w:rPr>
        <w:t>）</w:t>
      </w:r>
      <w:r>
        <w:rPr>
          <w:lang w:eastAsia="zh-CN"/>
        </w:rPr>
        <w:t>–</w:t>
      </w:r>
      <w:r>
        <w:rPr>
          <w:rFonts w:hint="eastAsia"/>
          <w:lang w:eastAsia="zh-CN"/>
        </w:rPr>
        <w:t>“</w:t>
      </w:r>
      <w:r w:rsidRPr="006B0571">
        <w:rPr>
          <w:rFonts w:hint="eastAsia"/>
          <w:lang w:eastAsia="zh-CN"/>
        </w:rPr>
        <w:t>将性别平等观点纳入国际电联工作、促进性别平等并通过信息通信技术赋予妇女权</w:t>
      </w:r>
      <w:r>
        <w:rPr>
          <w:rFonts w:hint="eastAsia"/>
          <w:lang w:eastAsia="zh-CN"/>
        </w:rPr>
        <w:t>力”；</w:t>
      </w:r>
    </w:p>
    <w:p w14:paraId="4827BB3E" w14:textId="77777777" w:rsidR="00D15B9B" w:rsidRDefault="00D15B9B" w:rsidP="00B64353">
      <w:pPr>
        <w:rPr>
          <w:szCs w:val="24"/>
          <w:lang w:eastAsia="zh-CN"/>
        </w:rPr>
      </w:pPr>
      <w:r w:rsidRPr="00522246">
        <w:rPr>
          <w:i/>
          <w:iCs/>
          <w:szCs w:val="24"/>
          <w:lang w:eastAsia="zh-CN"/>
        </w:rPr>
        <w:t>c)</w:t>
      </w:r>
      <w:r>
        <w:rPr>
          <w:szCs w:val="24"/>
          <w:lang w:eastAsia="zh-CN"/>
        </w:rPr>
        <w:tab/>
      </w:r>
      <w:r>
        <w:rPr>
          <w:rFonts w:hint="eastAsia"/>
          <w:szCs w:val="24"/>
          <w:lang w:eastAsia="zh-CN"/>
        </w:rPr>
        <w:t>联合国大会于</w:t>
      </w:r>
      <w:r>
        <w:rPr>
          <w:rFonts w:hint="eastAsia"/>
          <w:szCs w:val="24"/>
          <w:lang w:eastAsia="zh-CN"/>
        </w:rPr>
        <w:t>2010</w:t>
      </w:r>
      <w:r>
        <w:rPr>
          <w:rFonts w:hint="eastAsia"/>
          <w:szCs w:val="24"/>
          <w:lang w:eastAsia="zh-CN"/>
        </w:rPr>
        <w:t>年</w:t>
      </w:r>
      <w:r>
        <w:rPr>
          <w:rFonts w:hint="eastAsia"/>
          <w:szCs w:val="24"/>
          <w:lang w:eastAsia="zh-CN"/>
        </w:rPr>
        <w:t>7</w:t>
      </w:r>
      <w:r>
        <w:rPr>
          <w:rFonts w:hint="eastAsia"/>
          <w:szCs w:val="24"/>
          <w:lang w:eastAsia="zh-CN"/>
        </w:rPr>
        <w:t>月</w:t>
      </w:r>
      <w:r>
        <w:rPr>
          <w:rFonts w:hint="eastAsia"/>
          <w:szCs w:val="24"/>
          <w:lang w:eastAsia="zh-CN"/>
        </w:rPr>
        <w:t>21</w:t>
      </w:r>
      <w:r>
        <w:rPr>
          <w:rFonts w:hint="eastAsia"/>
          <w:szCs w:val="24"/>
          <w:lang w:eastAsia="zh-CN"/>
        </w:rPr>
        <w:t>日通过的有关全系统一致性的第</w:t>
      </w:r>
      <w:r w:rsidRPr="007444F8">
        <w:rPr>
          <w:szCs w:val="24"/>
          <w:lang w:eastAsia="zh-CN"/>
        </w:rPr>
        <w:t>64/289</w:t>
      </w:r>
      <w:r>
        <w:rPr>
          <w:rFonts w:hint="eastAsia"/>
          <w:szCs w:val="24"/>
          <w:lang w:eastAsia="zh-CN"/>
        </w:rPr>
        <w:t>号决议成立了联合国促进两性平等和增强妇女权能署，又称“联合国妇女署”，其职责是促进性别平等并赋予妇女权力；</w:t>
      </w:r>
    </w:p>
    <w:p w14:paraId="4827BB3F" w14:textId="77777777" w:rsidR="00D15B9B" w:rsidRDefault="00D15B9B" w:rsidP="00B64353">
      <w:pPr>
        <w:rPr>
          <w:szCs w:val="24"/>
          <w:lang w:eastAsia="zh-CN"/>
        </w:rPr>
      </w:pPr>
      <w:r w:rsidRPr="00522246">
        <w:rPr>
          <w:i/>
          <w:iCs/>
          <w:szCs w:val="24"/>
          <w:lang w:eastAsia="zh-CN"/>
        </w:rPr>
        <w:t>d)</w:t>
      </w:r>
      <w:r>
        <w:rPr>
          <w:szCs w:val="24"/>
          <w:lang w:eastAsia="zh-CN"/>
        </w:rPr>
        <w:tab/>
      </w:r>
      <w:r>
        <w:rPr>
          <w:rFonts w:hint="eastAsia"/>
          <w:szCs w:val="24"/>
          <w:lang w:eastAsia="zh-CN"/>
        </w:rPr>
        <w:t>《千年发展目标》的具体目标</w:t>
      </w:r>
      <w:r>
        <w:rPr>
          <w:rFonts w:hint="eastAsia"/>
          <w:szCs w:val="24"/>
          <w:lang w:eastAsia="zh-CN"/>
        </w:rPr>
        <w:t xml:space="preserve">3 </w:t>
      </w:r>
      <w:r w:rsidRPr="00314F44">
        <w:rPr>
          <w:szCs w:val="24"/>
          <w:lang w:eastAsia="zh-CN"/>
        </w:rPr>
        <w:t>–</w:t>
      </w:r>
      <w:r>
        <w:rPr>
          <w:rFonts w:hint="eastAsia"/>
          <w:szCs w:val="24"/>
          <w:lang w:eastAsia="zh-CN"/>
        </w:rPr>
        <w:t xml:space="preserve"> </w:t>
      </w:r>
      <w:r>
        <w:rPr>
          <w:rFonts w:hint="eastAsia"/>
          <w:szCs w:val="24"/>
          <w:lang w:eastAsia="zh-CN"/>
        </w:rPr>
        <w:t>最好到</w:t>
      </w:r>
      <w:r>
        <w:rPr>
          <w:rFonts w:hint="eastAsia"/>
          <w:szCs w:val="24"/>
          <w:lang w:eastAsia="zh-CN"/>
        </w:rPr>
        <w:t>2005</w:t>
      </w:r>
      <w:r>
        <w:rPr>
          <w:rFonts w:hint="eastAsia"/>
          <w:szCs w:val="24"/>
          <w:lang w:eastAsia="zh-CN"/>
        </w:rPr>
        <w:t>年消除初等教育和中等教育中的两性差距，并努力在</w:t>
      </w:r>
      <w:r>
        <w:rPr>
          <w:rFonts w:hint="eastAsia"/>
          <w:szCs w:val="24"/>
          <w:lang w:eastAsia="zh-CN"/>
        </w:rPr>
        <w:t>2015</w:t>
      </w:r>
      <w:r>
        <w:rPr>
          <w:rFonts w:hint="eastAsia"/>
          <w:szCs w:val="24"/>
          <w:lang w:eastAsia="zh-CN"/>
        </w:rPr>
        <w:t>年之前消除各级教育中的这种差距。《千年宣言》和《千年发展目标》均得到了联合国所有成员国的拥护；</w:t>
      </w:r>
    </w:p>
    <w:p w14:paraId="4827BB40" w14:textId="77777777" w:rsidR="00D15B9B" w:rsidRPr="007444F8" w:rsidRDefault="00D15B9B" w:rsidP="00B64353">
      <w:pPr>
        <w:rPr>
          <w:szCs w:val="24"/>
          <w:lang w:eastAsia="zh-CN"/>
        </w:rPr>
      </w:pPr>
      <w:r w:rsidRPr="00522246">
        <w:rPr>
          <w:i/>
          <w:iCs/>
          <w:szCs w:val="24"/>
          <w:lang w:eastAsia="zh-CN"/>
        </w:rPr>
        <w:t>e)</w:t>
      </w:r>
      <w:r>
        <w:rPr>
          <w:szCs w:val="24"/>
          <w:lang w:eastAsia="zh-CN"/>
        </w:rPr>
        <w:tab/>
      </w:r>
      <w:r>
        <w:rPr>
          <w:rFonts w:hint="eastAsia"/>
          <w:szCs w:val="24"/>
          <w:lang w:eastAsia="zh-CN"/>
        </w:rPr>
        <w:t>联合国秘书长在第六十四届联大上宣布，“妇女和年轻女性的平等权不仅是基本人权，而且在社会和经济发展中不可或缺。在妇女受到教育和获得权能的地方，其经济生产效率更高、发展更强劲；在妇女具有充分代表性的地方，其社会更加和平、安定”，</w:t>
      </w:r>
    </w:p>
    <w:p w14:paraId="4827BB41" w14:textId="77777777" w:rsidR="00D15B9B" w:rsidRPr="0001231F" w:rsidRDefault="00D15B9B" w:rsidP="00B64353">
      <w:pPr>
        <w:pStyle w:val="Call"/>
        <w:rPr>
          <w:lang w:eastAsia="zh-CN"/>
        </w:rPr>
      </w:pPr>
      <w:r w:rsidRPr="0001231F">
        <w:rPr>
          <w:rFonts w:hint="eastAsia"/>
          <w:lang w:eastAsia="zh-CN"/>
        </w:rPr>
        <w:t>进一步考虑到</w:t>
      </w:r>
    </w:p>
    <w:p w14:paraId="4827BB42" w14:textId="77777777" w:rsidR="00D15B9B" w:rsidRPr="006B0571" w:rsidRDefault="00D15B9B" w:rsidP="00B64353">
      <w:pPr>
        <w:rPr>
          <w:lang w:eastAsia="zh-CN"/>
        </w:rPr>
      </w:pPr>
      <w:r w:rsidRPr="00F54F4C">
        <w:rPr>
          <w:rFonts w:hint="eastAsia"/>
          <w:i/>
          <w:iCs/>
          <w:lang w:eastAsia="zh-CN"/>
        </w:rPr>
        <w:t>a)</w:t>
      </w:r>
      <w:r w:rsidRPr="006B0571">
        <w:rPr>
          <w:lang w:eastAsia="zh-CN"/>
        </w:rPr>
        <w:tab/>
      </w:r>
      <w:r w:rsidRPr="006B0571">
        <w:rPr>
          <w:rFonts w:hint="eastAsia"/>
          <w:lang w:eastAsia="zh-CN"/>
        </w:rPr>
        <w:t>国际电联，特别是电信发展局在建设和实施</w:t>
      </w:r>
      <w:r>
        <w:rPr>
          <w:rFonts w:hint="eastAsia"/>
          <w:lang w:eastAsia="zh-CN"/>
        </w:rPr>
        <w:t>利用信息通信技术（</w:t>
      </w:r>
      <w:r>
        <w:rPr>
          <w:rFonts w:hint="eastAsia"/>
          <w:lang w:eastAsia="zh-CN"/>
        </w:rPr>
        <w:t>ICT</w:t>
      </w:r>
      <w:r>
        <w:rPr>
          <w:rFonts w:hint="eastAsia"/>
          <w:lang w:eastAsia="zh-CN"/>
        </w:rPr>
        <w:t>）</w:t>
      </w:r>
      <w:r w:rsidRPr="006B0571">
        <w:rPr>
          <w:rFonts w:hint="eastAsia"/>
          <w:lang w:eastAsia="zh-CN"/>
        </w:rPr>
        <w:t>加强妇女和</w:t>
      </w:r>
      <w:r>
        <w:rPr>
          <w:rFonts w:hint="eastAsia"/>
          <w:lang w:eastAsia="zh-CN"/>
        </w:rPr>
        <w:t>年轻女性</w:t>
      </w:r>
      <w:r w:rsidRPr="006B0571">
        <w:rPr>
          <w:rFonts w:hint="eastAsia"/>
          <w:lang w:eastAsia="zh-CN"/>
        </w:rPr>
        <w:t>的经济和社会</w:t>
      </w:r>
      <w:r>
        <w:rPr>
          <w:rFonts w:hint="eastAsia"/>
          <w:lang w:eastAsia="zh-CN"/>
        </w:rPr>
        <w:t>权力的</w:t>
      </w:r>
      <w:r w:rsidRPr="006B0571">
        <w:rPr>
          <w:rFonts w:hint="eastAsia"/>
          <w:lang w:eastAsia="zh-CN"/>
        </w:rPr>
        <w:t>行动和项目</w:t>
      </w:r>
      <w:r>
        <w:rPr>
          <w:rFonts w:hint="eastAsia"/>
          <w:lang w:eastAsia="zh-CN"/>
        </w:rPr>
        <w:t>中取得的进展，以及</w:t>
      </w:r>
      <w:r w:rsidRPr="006B0571">
        <w:rPr>
          <w:rFonts w:hint="eastAsia"/>
          <w:lang w:eastAsia="zh-CN"/>
        </w:rPr>
        <w:t>国际电联内部以及成员国和部门成员对性别平等问题与</w:t>
      </w:r>
      <w:r w:rsidRPr="006B0571">
        <w:rPr>
          <w:rFonts w:hint="eastAsia"/>
          <w:lang w:eastAsia="zh-CN"/>
        </w:rPr>
        <w:t>ICT</w:t>
      </w:r>
      <w:r w:rsidRPr="006B0571">
        <w:rPr>
          <w:rFonts w:hint="eastAsia"/>
          <w:lang w:eastAsia="zh-CN"/>
        </w:rPr>
        <w:t>之间联系的认识</w:t>
      </w:r>
      <w:r>
        <w:rPr>
          <w:rFonts w:hint="eastAsia"/>
          <w:lang w:eastAsia="zh-CN"/>
        </w:rPr>
        <w:t>的提高</w:t>
      </w:r>
      <w:r w:rsidRPr="006B0571">
        <w:rPr>
          <w:rFonts w:hint="eastAsia"/>
          <w:lang w:eastAsia="zh-CN"/>
        </w:rPr>
        <w:t>；</w:t>
      </w:r>
    </w:p>
    <w:p w14:paraId="4827BB43" w14:textId="77777777" w:rsidR="00D15B9B" w:rsidRPr="007444F8" w:rsidRDefault="00D15B9B" w:rsidP="00B64353">
      <w:pPr>
        <w:rPr>
          <w:szCs w:val="24"/>
          <w:lang w:eastAsia="zh-CN"/>
        </w:rPr>
      </w:pPr>
      <w:r w:rsidRPr="00F54F4C">
        <w:rPr>
          <w:rFonts w:hint="eastAsia"/>
          <w:i/>
          <w:iCs/>
          <w:lang w:eastAsia="zh-CN"/>
        </w:rPr>
        <w:t>b)</w:t>
      </w:r>
      <w:r w:rsidRPr="006B0571">
        <w:rPr>
          <w:rFonts w:hint="eastAsia"/>
          <w:lang w:eastAsia="zh-CN"/>
        </w:rPr>
        <w:tab/>
      </w:r>
      <w:r w:rsidRPr="006B0571">
        <w:rPr>
          <w:rFonts w:hint="eastAsia"/>
          <w:lang w:eastAsia="zh-CN"/>
        </w:rPr>
        <w:t>性别问题工作组在促进性别平等方面取得的成果，</w:t>
      </w:r>
    </w:p>
    <w:p w14:paraId="4827BB44" w14:textId="77777777" w:rsidR="00C33678" w:rsidRDefault="00C33678">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lang w:eastAsia="zh-CN"/>
        </w:rPr>
        <w:br w:type="page"/>
      </w:r>
    </w:p>
    <w:p w14:paraId="4827BB45" w14:textId="77777777" w:rsidR="00D15B9B" w:rsidRPr="00F668CA" w:rsidRDefault="00D15B9B" w:rsidP="00B64353">
      <w:pPr>
        <w:pStyle w:val="Call"/>
        <w:rPr>
          <w:lang w:eastAsia="zh-CN"/>
        </w:rPr>
      </w:pPr>
      <w:r w:rsidRPr="0000086A">
        <w:rPr>
          <w:rFonts w:hint="eastAsia"/>
          <w:lang w:eastAsia="zh-CN"/>
        </w:rPr>
        <w:lastRenderedPageBreak/>
        <w:t>认识到</w:t>
      </w:r>
    </w:p>
    <w:p w14:paraId="4827BB46" w14:textId="77777777" w:rsidR="00D15B9B" w:rsidRPr="006B0571" w:rsidRDefault="00D15B9B" w:rsidP="00B64353">
      <w:pPr>
        <w:rPr>
          <w:lang w:eastAsia="zh-CN"/>
        </w:rPr>
      </w:pPr>
      <w:r w:rsidRPr="006B0571">
        <w:rPr>
          <w:i/>
          <w:iCs/>
          <w:lang w:eastAsia="zh-CN"/>
        </w:rPr>
        <w:t>a)</w:t>
      </w:r>
      <w:r w:rsidRPr="006B0571">
        <w:rPr>
          <w:lang w:eastAsia="zh-CN"/>
        </w:rPr>
        <w:tab/>
      </w:r>
      <w:r w:rsidRPr="006B0571">
        <w:rPr>
          <w:rFonts w:hint="eastAsia"/>
          <w:lang w:eastAsia="zh-CN"/>
        </w:rPr>
        <w:t>社会作为一个整体，特别是在信息和知识社会的</w:t>
      </w:r>
      <w:r>
        <w:rPr>
          <w:rFonts w:hint="eastAsia"/>
          <w:lang w:eastAsia="zh-CN"/>
        </w:rPr>
        <w:t>背景</w:t>
      </w:r>
      <w:r w:rsidRPr="006B0571">
        <w:rPr>
          <w:rFonts w:hint="eastAsia"/>
          <w:lang w:eastAsia="zh-CN"/>
        </w:rPr>
        <w:t>下，将从男女平等参与</w:t>
      </w:r>
      <w:r>
        <w:rPr>
          <w:rFonts w:hint="eastAsia"/>
          <w:lang w:eastAsia="zh-CN"/>
        </w:rPr>
        <w:t>决</w:t>
      </w:r>
      <w:r w:rsidRPr="006B0571">
        <w:rPr>
          <w:rFonts w:hint="eastAsia"/>
          <w:lang w:eastAsia="zh-CN"/>
        </w:rPr>
        <w:t>策和决定以及从通信服务</w:t>
      </w:r>
      <w:r>
        <w:rPr>
          <w:rFonts w:hint="eastAsia"/>
          <w:lang w:eastAsia="zh-CN"/>
        </w:rPr>
        <w:t>的</w:t>
      </w:r>
      <w:r w:rsidRPr="006B0571">
        <w:rPr>
          <w:rFonts w:hint="eastAsia"/>
          <w:lang w:eastAsia="zh-CN"/>
        </w:rPr>
        <w:t>平等享用中获益；</w:t>
      </w:r>
    </w:p>
    <w:p w14:paraId="4827BB47" w14:textId="77777777" w:rsidR="00D15B9B" w:rsidRDefault="00D15B9B" w:rsidP="00B64353">
      <w:pPr>
        <w:rPr>
          <w:lang w:val="en-US" w:eastAsia="zh-CN"/>
        </w:rPr>
      </w:pPr>
      <w:r>
        <w:rPr>
          <w:i/>
          <w:iCs/>
          <w:lang w:eastAsia="zh-CN"/>
        </w:rPr>
        <w:t>b)</w:t>
      </w:r>
      <w:r w:rsidRPr="006B0571">
        <w:rPr>
          <w:i/>
          <w:iCs/>
          <w:lang w:eastAsia="zh-CN"/>
        </w:rPr>
        <w:tab/>
      </w:r>
      <w:r w:rsidRPr="006B0571">
        <w:rPr>
          <w:rFonts w:hint="eastAsia"/>
          <w:lang w:eastAsia="zh-CN"/>
        </w:rPr>
        <w:t>信息通信技术（</w:t>
      </w:r>
      <w:r w:rsidRPr="006B0571">
        <w:rPr>
          <w:rFonts w:hint="eastAsia"/>
          <w:lang w:eastAsia="zh-CN"/>
        </w:rPr>
        <w:t>ICT</w:t>
      </w:r>
      <w:r w:rsidRPr="006B0571">
        <w:rPr>
          <w:rFonts w:hint="eastAsia"/>
          <w:lang w:eastAsia="zh-CN"/>
        </w:rPr>
        <w:t>）是促进性别平等和</w:t>
      </w:r>
      <w:r>
        <w:rPr>
          <w:rFonts w:hint="eastAsia"/>
          <w:lang w:eastAsia="zh-CN"/>
        </w:rPr>
        <w:t>赋予妇女权力</w:t>
      </w:r>
      <w:r w:rsidRPr="006B0571">
        <w:rPr>
          <w:rFonts w:hint="eastAsia"/>
          <w:lang w:eastAsia="zh-CN"/>
        </w:rPr>
        <w:t>的工具，并且是建设男女均能积极贡献并参与的信息社会不可缺少的工具；</w:t>
      </w:r>
    </w:p>
    <w:p w14:paraId="4827BB48" w14:textId="77777777" w:rsidR="00D15B9B" w:rsidRPr="006B0571" w:rsidRDefault="00D15B9B" w:rsidP="00B64353">
      <w:pPr>
        <w:rPr>
          <w:lang w:eastAsia="zh-CN"/>
        </w:rPr>
      </w:pPr>
      <w:r w:rsidRPr="006B0571">
        <w:rPr>
          <w:i/>
          <w:iCs/>
          <w:lang w:eastAsia="zh-CN"/>
        </w:rPr>
        <w:t>c)</w:t>
      </w:r>
      <w:r w:rsidRPr="006B0571">
        <w:rPr>
          <w:i/>
          <w:iCs/>
          <w:lang w:eastAsia="zh-CN"/>
        </w:rPr>
        <w:tab/>
      </w:r>
      <w:r w:rsidRPr="006B0571">
        <w:rPr>
          <w:rFonts w:hint="eastAsia"/>
          <w:lang w:eastAsia="zh-CN"/>
        </w:rPr>
        <w:t>信息社会世界</w:t>
      </w:r>
      <w:r>
        <w:rPr>
          <w:rFonts w:hint="eastAsia"/>
          <w:lang w:eastAsia="zh-CN"/>
        </w:rPr>
        <w:t>高</w:t>
      </w:r>
      <w:r w:rsidRPr="006B0571">
        <w:rPr>
          <w:rFonts w:hint="eastAsia"/>
          <w:lang w:eastAsia="zh-CN"/>
        </w:rPr>
        <w:t>峰会</w:t>
      </w:r>
      <w:r>
        <w:rPr>
          <w:rFonts w:hint="eastAsia"/>
          <w:lang w:eastAsia="zh-CN"/>
        </w:rPr>
        <w:t>议</w:t>
      </w:r>
      <w:r w:rsidRPr="006B0571">
        <w:rPr>
          <w:rFonts w:hint="eastAsia"/>
          <w:lang w:eastAsia="zh-CN"/>
        </w:rPr>
        <w:t>（</w:t>
      </w:r>
      <w:r w:rsidRPr="006B0571">
        <w:rPr>
          <w:lang w:eastAsia="zh-CN"/>
        </w:rPr>
        <w:t>WSIS</w:t>
      </w:r>
      <w:r w:rsidRPr="006B0571">
        <w:rPr>
          <w:rFonts w:hint="eastAsia"/>
          <w:lang w:eastAsia="zh-CN"/>
        </w:rPr>
        <w:t>）的成果，即《</w:t>
      </w:r>
      <w:r>
        <w:rPr>
          <w:rFonts w:hint="eastAsia"/>
          <w:lang w:eastAsia="zh-CN"/>
        </w:rPr>
        <w:t>日内瓦原则宣言》、《日内瓦行动计划》、《突尼斯承诺》和《</w:t>
      </w:r>
      <w:r w:rsidRPr="006B0571">
        <w:rPr>
          <w:rFonts w:hint="eastAsia"/>
          <w:lang w:eastAsia="zh-CN"/>
        </w:rPr>
        <w:t>突尼斯议程》概括了信息社会</w:t>
      </w:r>
      <w:r>
        <w:rPr>
          <w:rFonts w:hint="eastAsia"/>
          <w:lang w:eastAsia="zh-CN"/>
        </w:rPr>
        <w:t>的</w:t>
      </w:r>
      <w:r w:rsidRPr="006B0571">
        <w:rPr>
          <w:rFonts w:hint="eastAsia"/>
          <w:lang w:eastAsia="zh-CN"/>
        </w:rPr>
        <w:t>概念，</w:t>
      </w:r>
      <w:r>
        <w:rPr>
          <w:rFonts w:hint="eastAsia"/>
          <w:lang w:eastAsia="zh-CN"/>
        </w:rPr>
        <w:t>而且</w:t>
      </w:r>
      <w:r w:rsidRPr="006B0571">
        <w:rPr>
          <w:rFonts w:hint="eastAsia"/>
          <w:lang w:eastAsia="zh-CN"/>
        </w:rPr>
        <w:t>为了弥合性别方面的数字鸿沟，必须继续进行努力</w:t>
      </w:r>
      <w:r>
        <w:rPr>
          <w:rFonts w:hint="eastAsia"/>
          <w:lang w:eastAsia="zh-CN"/>
        </w:rPr>
        <w:t>；</w:t>
      </w:r>
    </w:p>
    <w:p w14:paraId="4827BB49" w14:textId="77777777" w:rsidR="00D15B9B" w:rsidRPr="006B0571" w:rsidRDefault="00D15B9B" w:rsidP="00B64353">
      <w:pPr>
        <w:rPr>
          <w:lang w:eastAsia="zh-CN"/>
        </w:rPr>
      </w:pPr>
      <w:r w:rsidRPr="00032DC1">
        <w:rPr>
          <w:i/>
          <w:iCs/>
          <w:lang w:eastAsia="zh-CN"/>
        </w:rPr>
        <w:t>d)</w:t>
      </w:r>
      <w:r>
        <w:rPr>
          <w:rFonts w:hint="eastAsia"/>
          <w:lang w:eastAsia="zh-CN"/>
        </w:rPr>
        <w:tab/>
      </w:r>
      <w:r w:rsidRPr="006B0571">
        <w:rPr>
          <w:rFonts w:hint="eastAsia"/>
          <w:lang w:eastAsia="zh-CN"/>
        </w:rPr>
        <w:t>在</w:t>
      </w:r>
      <w:r w:rsidRPr="006B0571">
        <w:rPr>
          <w:rFonts w:hint="eastAsia"/>
          <w:lang w:eastAsia="zh-CN"/>
        </w:rPr>
        <w:t>ICT</w:t>
      </w:r>
      <w:r>
        <w:rPr>
          <w:rFonts w:hint="eastAsia"/>
          <w:lang w:eastAsia="zh-CN"/>
        </w:rPr>
        <w:t>领域（包括在相关部委、国家</w:t>
      </w:r>
      <w:r w:rsidRPr="006B0571">
        <w:rPr>
          <w:rFonts w:hint="eastAsia"/>
          <w:lang w:eastAsia="zh-CN"/>
        </w:rPr>
        <w:t>监管机构和业界</w:t>
      </w:r>
      <w:r>
        <w:rPr>
          <w:rFonts w:hint="eastAsia"/>
          <w:lang w:eastAsia="zh-CN"/>
        </w:rPr>
        <w:t>），越来越多</w:t>
      </w:r>
      <w:r>
        <w:rPr>
          <w:rFonts w:hint="eastAsia"/>
          <w:lang w:eastAsia="zh-CN"/>
        </w:rPr>
        <w:t>ICT</w:t>
      </w:r>
      <w:r>
        <w:rPr>
          <w:rFonts w:hint="eastAsia"/>
          <w:lang w:eastAsia="zh-CN"/>
        </w:rPr>
        <w:t>领域的妇女拥有决策权，</w:t>
      </w:r>
      <w:r w:rsidRPr="006B0571">
        <w:rPr>
          <w:rFonts w:hint="eastAsia"/>
          <w:lang w:eastAsia="zh-CN"/>
        </w:rPr>
        <w:t>她们可以促进国际电联的工作，鼓励更多的年轻女性选择</w:t>
      </w:r>
      <w:r w:rsidRPr="006B0571">
        <w:rPr>
          <w:rFonts w:hint="eastAsia"/>
          <w:lang w:eastAsia="zh-CN"/>
        </w:rPr>
        <w:t>ICT</w:t>
      </w:r>
      <w:r>
        <w:rPr>
          <w:rFonts w:hint="eastAsia"/>
          <w:lang w:eastAsia="zh-CN"/>
        </w:rPr>
        <w:t>领域的</w:t>
      </w:r>
      <w:r w:rsidRPr="006B0571">
        <w:rPr>
          <w:rFonts w:hint="eastAsia"/>
          <w:lang w:eastAsia="zh-CN"/>
        </w:rPr>
        <w:t>职业</w:t>
      </w:r>
      <w:r>
        <w:rPr>
          <w:rFonts w:hint="eastAsia"/>
          <w:lang w:eastAsia="zh-CN"/>
        </w:rPr>
        <w:t>，</w:t>
      </w:r>
      <w:r w:rsidRPr="006B0571">
        <w:rPr>
          <w:rFonts w:hint="eastAsia"/>
          <w:lang w:eastAsia="zh-CN"/>
        </w:rPr>
        <w:t>并为加强妇女和</w:t>
      </w:r>
      <w:r>
        <w:rPr>
          <w:rFonts w:hint="eastAsia"/>
          <w:lang w:eastAsia="zh-CN"/>
        </w:rPr>
        <w:t>年轻女性</w:t>
      </w:r>
      <w:r w:rsidRPr="006B0571">
        <w:rPr>
          <w:rFonts w:hint="eastAsia"/>
          <w:lang w:eastAsia="zh-CN"/>
        </w:rPr>
        <w:t>的社会和经济</w:t>
      </w:r>
      <w:r>
        <w:rPr>
          <w:rFonts w:hint="eastAsia"/>
          <w:lang w:eastAsia="zh-CN"/>
        </w:rPr>
        <w:t>权力促进</w:t>
      </w:r>
      <w:r w:rsidRPr="006B0571">
        <w:rPr>
          <w:rFonts w:hint="eastAsia"/>
          <w:lang w:eastAsia="zh-CN"/>
        </w:rPr>
        <w:t>ICT</w:t>
      </w:r>
      <w:r>
        <w:rPr>
          <w:rFonts w:hint="eastAsia"/>
          <w:lang w:eastAsia="zh-CN"/>
        </w:rPr>
        <w:t>的</w:t>
      </w:r>
      <w:r w:rsidRPr="006B0571">
        <w:rPr>
          <w:rFonts w:hint="eastAsia"/>
          <w:lang w:eastAsia="zh-CN"/>
        </w:rPr>
        <w:t>使用，</w:t>
      </w:r>
    </w:p>
    <w:p w14:paraId="4827BB4A" w14:textId="77777777" w:rsidR="00D15B9B" w:rsidRPr="00F668CA" w:rsidRDefault="00D15B9B" w:rsidP="00B64353">
      <w:pPr>
        <w:pStyle w:val="Call"/>
        <w:rPr>
          <w:lang w:eastAsia="zh-CN"/>
        </w:rPr>
      </w:pPr>
      <w:r w:rsidRPr="0001231F">
        <w:rPr>
          <w:rFonts w:hint="eastAsia"/>
          <w:lang w:eastAsia="zh-CN"/>
        </w:rPr>
        <w:t>进一步认识到</w:t>
      </w:r>
    </w:p>
    <w:p w14:paraId="4827BB4B" w14:textId="77777777" w:rsidR="00D15B9B" w:rsidRPr="006B0571" w:rsidRDefault="00D15B9B" w:rsidP="00294EE9">
      <w:pPr>
        <w:rPr>
          <w:lang w:eastAsia="zh-CN"/>
        </w:rPr>
      </w:pPr>
      <w:r w:rsidRPr="006B0571">
        <w:rPr>
          <w:i/>
          <w:iCs/>
          <w:lang w:eastAsia="zh-CN"/>
        </w:rPr>
        <w:t>a)</w:t>
      </w:r>
      <w:r w:rsidRPr="006B0571">
        <w:rPr>
          <w:i/>
          <w:iCs/>
          <w:lang w:eastAsia="zh-CN"/>
        </w:rPr>
        <w:tab/>
      </w:r>
      <w:r w:rsidRPr="006B0571">
        <w:rPr>
          <w:rFonts w:hint="eastAsia"/>
          <w:lang w:eastAsia="zh-CN"/>
        </w:rPr>
        <w:t>在国际电联内部和各成员国中，对性别平等观点</w:t>
      </w:r>
      <w:r>
        <w:rPr>
          <w:rFonts w:hint="eastAsia"/>
          <w:lang w:eastAsia="zh-CN"/>
        </w:rPr>
        <w:t>重要性</w:t>
      </w:r>
      <w:r w:rsidRPr="006B0571">
        <w:rPr>
          <w:rFonts w:hint="eastAsia"/>
          <w:lang w:eastAsia="zh-CN"/>
        </w:rPr>
        <w:t>的认识有所提高，认识到重要的是将这种观点纳入国际电联所有工作计划</w:t>
      </w:r>
      <w:r>
        <w:rPr>
          <w:rFonts w:hint="eastAsia"/>
          <w:lang w:eastAsia="zh-CN"/>
        </w:rPr>
        <w:t>中并</w:t>
      </w:r>
      <w:r w:rsidRPr="006B0571">
        <w:rPr>
          <w:rFonts w:hint="eastAsia"/>
          <w:lang w:eastAsia="zh-CN"/>
        </w:rPr>
        <w:t>在国际电联增加妇女专业人员</w:t>
      </w:r>
      <w:r>
        <w:rPr>
          <w:rFonts w:hint="eastAsia"/>
          <w:lang w:eastAsia="zh-CN"/>
        </w:rPr>
        <w:t>的人数，</w:t>
      </w:r>
      <w:r w:rsidRPr="006B0571">
        <w:rPr>
          <w:rFonts w:hint="eastAsia"/>
          <w:lang w:eastAsia="zh-CN"/>
        </w:rPr>
        <w:t>特别是高层管理人员的人数，同时力求在一般事务类职位中平等吸纳男女职员；</w:t>
      </w:r>
    </w:p>
    <w:p w14:paraId="4827BB4C" w14:textId="77777777" w:rsidR="00D15B9B" w:rsidRPr="00294EE9" w:rsidRDefault="00D15B9B" w:rsidP="00294EE9">
      <w:pPr>
        <w:rPr>
          <w:lang w:eastAsia="zh-CN"/>
        </w:rPr>
      </w:pPr>
      <w:r w:rsidRPr="006B0571">
        <w:rPr>
          <w:rFonts w:hint="eastAsia"/>
          <w:i/>
          <w:iCs/>
          <w:lang w:eastAsia="zh-CN"/>
        </w:rPr>
        <w:t>b</w:t>
      </w:r>
      <w:r w:rsidRPr="006B0571">
        <w:rPr>
          <w:i/>
          <w:iCs/>
          <w:lang w:eastAsia="zh-CN"/>
        </w:rPr>
        <w:t>)</w:t>
      </w:r>
      <w:r w:rsidRPr="00967944">
        <w:rPr>
          <w:i/>
          <w:iCs/>
          <w:lang w:eastAsia="zh-CN"/>
        </w:rPr>
        <w:tab/>
      </w:r>
      <w:r w:rsidRPr="00967944">
        <w:rPr>
          <w:rFonts w:hint="eastAsia"/>
          <w:lang w:eastAsia="zh-CN"/>
        </w:rPr>
        <w:t>国际电联在联合国组织大家庭系统内在性别平等和</w:t>
      </w:r>
      <w:r w:rsidRPr="00967944">
        <w:rPr>
          <w:lang w:eastAsia="zh-CN"/>
        </w:rPr>
        <w:t>信息通信技术</w:t>
      </w:r>
      <w:r w:rsidRPr="00967944">
        <w:rPr>
          <w:rFonts w:hint="eastAsia"/>
          <w:lang w:eastAsia="zh-CN"/>
        </w:rPr>
        <w:t>方面开展的工作得到显著承认，</w:t>
      </w:r>
    </w:p>
    <w:p w14:paraId="4827BB4D" w14:textId="77777777" w:rsidR="00D15B9B" w:rsidRPr="00F00211" w:rsidRDefault="00D15B9B" w:rsidP="00B64353">
      <w:pPr>
        <w:pStyle w:val="Call"/>
        <w:rPr>
          <w:szCs w:val="24"/>
          <w:lang w:eastAsia="zh-CN"/>
        </w:rPr>
      </w:pPr>
      <w:r w:rsidRPr="00F00211">
        <w:rPr>
          <w:rFonts w:hint="eastAsia"/>
          <w:lang w:eastAsia="zh-CN"/>
        </w:rPr>
        <w:t>注意到</w:t>
      </w:r>
    </w:p>
    <w:p w14:paraId="4827BB4E" w14:textId="77777777" w:rsidR="00D15B9B" w:rsidRDefault="00D15B9B" w:rsidP="00B64353">
      <w:pPr>
        <w:rPr>
          <w:lang w:eastAsia="zh-CN"/>
        </w:rPr>
      </w:pPr>
      <w:r w:rsidRPr="00F54F4C">
        <w:rPr>
          <w:i/>
          <w:iCs/>
          <w:szCs w:val="24"/>
          <w:lang w:eastAsia="zh-CN"/>
        </w:rPr>
        <w:t>a)</w:t>
      </w:r>
      <w:r w:rsidRPr="009D418A">
        <w:rPr>
          <w:szCs w:val="24"/>
          <w:lang w:eastAsia="zh-CN"/>
        </w:rPr>
        <w:tab/>
      </w:r>
      <w:r w:rsidRPr="009D418A">
        <w:rPr>
          <w:rFonts w:hint="eastAsia"/>
          <w:lang w:val="fr-FR" w:eastAsia="zh-CN"/>
        </w:rPr>
        <w:t>第</w:t>
      </w:r>
      <w:r w:rsidRPr="009D418A">
        <w:rPr>
          <w:lang w:eastAsia="zh-CN"/>
        </w:rPr>
        <w:t>70</w:t>
      </w:r>
      <w:r w:rsidRPr="009D418A">
        <w:rPr>
          <w:rFonts w:hint="eastAsia"/>
          <w:lang w:val="fr-FR" w:eastAsia="zh-CN"/>
        </w:rPr>
        <w:t>号决议</w:t>
      </w:r>
      <w:r w:rsidRPr="009D418A">
        <w:rPr>
          <w:rFonts w:hint="eastAsia"/>
          <w:lang w:eastAsia="zh-CN"/>
        </w:rPr>
        <w:t>（</w:t>
      </w:r>
      <w:r w:rsidRPr="009D418A">
        <w:rPr>
          <w:rFonts w:hint="eastAsia"/>
          <w:lang w:eastAsia="zh-CN"/>
        </w:rPr>
        <w:t>2010</w:t>
      </w:r>
      <w:r w:rsidRPr="009D418A">
        <w:rPr>
          <w:rFonts w:hint="eastAsia"/>
          <w:lang w:val="fr-FR" w:eastAsia="zh-CN"/>
        </w:rPr>
        <w:t>年</w:t>
      </w:r>
      <w:r w:rsidRPr="009D418A">
        <w:rPr>
          <w:rFonts w:hint="eastAsia"/>
          <w:lang w:eastAsia="zh-CN"/>
        </w:rPr>
        <w:t>，</w:t>
      </w:r>
      <w:r w:rsidRPr="009D418A">
        <w:rPr>
          <w:rFonts w:hint="eastAsia"/>
          <w:lang w:val="fr-FR" w:eastAsia="zh-CN"/>
        </w:rPr>
        <w:t>瓜达拉哈拉</w:t>
      </w:r>
      <w:r w:rsidRPr="009D418A">
        <w:rPr>
          <w:rFonts w:hint="eastAsia"/>
          <w:lang w:eastAsia="zh-CN"/>
        </w:rPr>
        <w:t>，</w:t>
      </w:r>
      <w:r w:rsidRPr="009D418A">
        <w:rPr>
          <w:rFonts w:hint="eastAsia"/>
          <w:lang w:val="fr-FR" w:eastAsia="zh-CN"/>
        </w:rPr>
        <w:t>修订版</w:t>
      </w:r>
      <w:r w:rsidRPr="009D418A">
        <w:rPr>
          <w:rFonts w:hint="eastAsia"/>
          <w:lang w:eastAsia="zh-CN"/>
        </w:rPr>
        <w:t>）</w:t>
      </w:r>
      <w:r>
        <w:rPr>
          <w:rFonts w:hint="eastAsia"/>
          <w:szCs w:val="24"/>
          <w:lang w:eastAsia="zh-CN"/>
        </w:rPr>
        <w:t>责成国际电联理事会</w:t>
      </w:r>
      <w:r>
        <w:rPr>
          <w:rFonts w:hint="eastAsia"/>
          <w:lang w:eastAsia="zh-CN"/>
        </w:rPr>
        <w:t>考虑</w:t>
      </w:r>
      <w:r w:rsidRPr="006B0571">
        <w:rPr>
          <w:rFonts w:hint="eastAsia"/>
          <w:lang w:eastAsia="zh-CN"/>
        </w:rPr>
        <w:t>将</w:t>
      </w:r>
      <w:r w:rsidRPr="006B0571">
        <w:rPr>
          <w:rFonts w:hint="eastAsia"/>
          <w:lang w:eastAsia="zh-CN"/>
        </w:rPr>
        <w:t>2012</w:t>
      </w:r>
      <w:r w:rsidRPr="006B0571">
        <w:rPr>
          <w:rFonts w:hint="eastAsia"/>
          <w:lang w:eastAsia="zh-CN"/>
        </w:rPr>
        <w:t>年世界电信和信息</w:t>
      </w:r>
      <w:r>
        <w:rPr>
          <w:rFonts w:hint="eastAsia"/>
          <w:lang w:eastAsia="zh-CN"/>
        </w:rPr>
        <w:t>社会</w:t>
      </w:r>
      <w:r w:rsidRPr="006B0571">
        <w:rPr>
          <w:rFonts w:hint="eastAsia"/>
          <w:lang w:eastAsia="zh-CN"/>
        </w:rPr>
        <w:t>日的主题确定为“</w:t>
      </w:r>
      <w:r>
        <w:rPr>
          <w:rFonts w:hint="eastAsia"/>
          <w:lang w:eastAsia="zh-CN"/>
        </w:rPr>
        <w:t>信息通信与女性</w:t>
      </w:r>
      <w:r w:rsidRPr="006B0571">
        <w:rPr>
          <w:rFonts w:hint="eastAsia"/>
          <w:lang w:eastAsia="zh-CN"/>
        </w:rPr>
        <w:t>”</w:t>
      </w:r>
      <w:r>
        <w:rPr>
          <w:rFonts w:hint="eastAsia"/>
          <w:lang w:eastAsia="zh-CN"/>
        </w:rPr>
        <w:t>；</w:t>
      </w:r>
    </w:p>
    <w:p w14:paraId="4827BB4F" w14:textId="77777777" w:rsidR="00D15B9B" w:rsidRPr="006B0571" w:rsidRDefault="00D15B9B" w:rsidP="00B64353">
      <w:pPr>
        <w:rPr>
          <w:lang w:eastAsia="zh-CN"/>
        </w:rPr>
      </w:pPr>
      <w:r w:rsidRPr="00F54F4C">
        <w:rPr>
          <w:i/>
          <w:iCs/>
          <w:szCs w:val="24"/>
          <w:lang w:eastAsia="zh-CN"/>
        </w:rPr>
        <w:t>b)</w:t>
      </w:r>
      <w:r w:rsidRPr="006B0571">
        <w:rPr>
          <w:i/>
          <w:iCs/>
          <w:lang w:eastAsia="zh-CN"/>
        </w:rPr>
        <w:tab/>
      </w:r>
      <w:r w:rsidRPr="006B0571">
        <w:rPr>
          <w:rFonts w:hint="eastAsia"/>
          <w:lang w:eastAsia="zh-CN"/>
        </w:rPr>
        <w:t>国际电联</w:t>
      </w:r>
      <w:r>
        <w:rPr>
          <w:rFonts w:hint="eastAsia"/>
          <w:lang w:eastAsia="zh-CN"/>
        </w:rPr>
        <w:t>有必</w:t>
      </w:r>
      <w:r w:rsidRPr="006B0571">
        <w:rPr>
          <w:rFonts w:hint="eastAsia"/>
          <w:lang w:eastAsia="zh-CN"/>
        </w:rPr>
        <w:t>要调查、分析和进一步了解电信</w:t>
      </w:r>
      <w:r w:rsidRPr="006B0571">
        <w:rPr>
          <w:rFonts w:hint="eastAsia"/>
          <w:lang w:eastAsia="zh-CN"/>
        </w:rPr>
        <w:t>/ICT</w:t>
      </w:r>
      <w:r w:rsidRPr="006B0571">
        <w:rPr>
          <w:rFonts w:hint="eastAsia"/>
          <w:lang w:eastAsia="zh-CN"/>
        </w:rPr>
        <w:t>技术对女性和男性的影响；</w:t>
      </w:r>
    </w:p>
    <w:p w14:paraId="4827BB50" w14:textId="77777777" w:rsidR="00D15B9B" w:rsidRPr="006B0571" w:rsidRDefault="00D15B9B" w:rsidP="00B64353">
      <w:pPr>
        <w:rPr>
          <w:lang w:eastAsia="zh-CN"/>
        </w:rPr>
      </w:pPr>
      <w:r w:rsidRPr="00F54F4C">
        <w:rPr>
          <w:i/>
          <w:iCs/>
          <w:szCs w:val="24"/>
          <w:lang w:eastAsia="zh-CN"/>
        </w:rPr>
        <w:t>c)</w:t>
      </w:r>
      <w:r w:rsidRPr="006B0571">
        <w:rPr>
          <w:i/>
          <w:iCs/>
          <w:lang w:eastAsia="zh-CN"/>
        </w:rPr>
        <w:tab/>
      </w:r>
      <w:r w:rsidRPr="00F54F4C">
        <w:rPr>
          <w:rFonts w:hint="eastAsia"/>
          <w:lang w:eastAsia="zh-CN"/>
        </w:rPr>
        <w:t>国际电联应当率先为电信</w:t>
      </w:r>
      <w:r w:rsidRPr="00F54F4C">
        <w:rPr>
          <w:rFonts w:hint="eastAsia"/>
          <w:lang w:eastAsia="zh-CN"/>
        </w:rPr>
        <w:t>/ICT</w:t>
      </w:r>
      <w:r w:rsidRPr="00F54F4C">
        <w:rPr>
          <w:rFonts w:hint="eastAsia"/>
          <w:lang w:eastAsia="zh-CN"/>
        </w:rPr>
        <w:t>行业制定与性别相关的指标；</w:t>
      </w:r>
    </w:p>
    <w:p w14:paraId="4827BB51" w14:textId="77777777" w:rsidR="00D15B9B" w:rsidRPr="006B0571" w:rsidRDefault="00D15B9B" w:rsidP="00B64353">
      <w:pPr>
        <w:rPr>
          <w:lang w:eastAsia="zh-CN"/>
        </w:rPr>
      </w:pPr>
      <w:r w:rsidRPr="00F54F4C">
        <w:rPr>
          <w:i/>
          <w:iCs/>
          <w:szCs w:val="24"/>
          <w:lang w:eastAsia="zh-CN"/>
        </w:rPr>
        <w:t>d)</w:t>
      </w:r>
      <w:r w:rsidRPr="006B0571">
        <w:rPr>
          <w:lang w:eastAsia="zh-CN"/>
        </w:rPr>
        <w:tab/>
      </w:r>
      <w:r w:rsidRPr="006B0571">
        <w:rPr>
          <w:rFonts w:hint="eastAsia"/>
          <w:lang w:eastAsia="zh-CN"/>
        </w:rPr>
        <w:t>需要进行更多的工作才能确保性别平等的观点被纳入国际电联所有的政策、工作计划、信息发布活动、出版物、研究组、研讨会、讲习班和大会</w:t>
      </w:r>
      <w:r>
        <w:rPr>
          <w:rFonts w:hint="eastAsia"/>
          <w:lang w:eastAsia="zh-CN"/>
        </w:rPr>
        <w:t>中；</w:t>
      </w:r>
    </w:p>
    <w:p w14:paraId="4827BB52" w14:textId="77777777" w:rsidR="00D15B9B" w:rsidRPr="002D401F" w:rsidRDefault="00D15B9B" w:rsidP="00B64353">
      <w:pPr>
        <w:rPr>
          <w:lang w:eastAsia="zh-CN"/>
        </w:rPr>
      </w:pPr>
      <w:r w:rsidRPr="00F54F4C">
        <w:rPr>
          <w:i/>
          <w:iCs/>
          <w:szCs w:val="24"/>
          <w:lang w:eastAsia="zh-CN"/>
        </w:rPr>
        <w:t>e)</w:t>
      </w:r>
      <w:r>
        <w:rPr>
          <w:rFonts w:hint="eastAsia"/>
          <w:i/>
          <w:lang w:eastAsia="zh-CN"/>
        </w:rPr>
        <w:tab/>
      </w:r>
      <w:r w:rsidRPr="006B0571">
        <w:rPr>
          <w:rFonts w:hint="eastAsia"/>
          <w:lang w:eastAsia="zh-CN"/>
        </w:rPr>
        <w:t>有必要促进妇女</w:t>
      </w:r>
      <w:r>
        <w:rPr>
          <w:rFonts w:hint="eastAsia"/>
          <w:lang w:eastAsia="zh-CN"/>
        </w:rPr>
        <w:t>进</w:t>
      </w:r>
      <w:r w:rsidRPr="006B0571">
        <w:rPr>
          <w:rFonts w:hint="eastAsia"/>
          <w:lang w:eastAsia="zh-CN"/>
        </w:rPr>
        <w:t>入到</w:t>
      </w:r>
      <w:r w:rsidRPr="006B0571">
        <w:rPr>
          <w:rFonts w:hint="eastAsia"/>
          <w:lang w:eastAsia="zh-CN"/>
        </w:rPr>
        <w:t>ICT</w:t>
      </w:r>
      <w:r w:rsidRPr="006B0571">
        <w:rPr>
          <w:rFonts w:hint="eastAsia"/>
          <w:lang w:eastAsia="zh-CN"/>
        </w:rPr>
        <w:t>领域</w:t>
      </w:r>
      <w:r>
        <w:rPr>
          <w:rFonts w:hint="eastAsia"/>
          <w:lang w:eastAsia="zh-CN"/>
        </w:rPr>
        <w:t>，并</w:t>
      </w:r>
      <w:r w:rsidRPr="006B0571">
        <w:rPr>
          <w:rFonts w:hint="eastAsia"/>
          <w:lang w:eastAsia="zh-CN"/>
        </w:rPr>
        <w:t>为</w:t>
      </w:r>
      <w:r>
        <w:rPr>
          <w:rFonts w:hint="eastAsia"/>
          <w:lang w:eastAsia="zh-CN"/>
        </w:rPr>
        <w:t>进一步</w:t>
      </w:r>
      <w:r w:rsidRPr="006B0571">
        <w:rPr>
          <w:rFonts w:hint="eastAsia"/>
          <w:lang w:eastAsia="zh-CN"/>
        </w:rPr>
        <w:t>的政策制定工作提供输入</w:t>
      </w:r>
      <w:r>
        <w:rPr>
          <w:rFonts w:hint="eastAsia"/>
          <w:lang w:eastAsia="zh-CN"/>
        </w:rPr>
        <w:t>意见</w:t>
      </w:r>
      <w:r w:rsidRPr="006B0571">
        <w:rPr>
          <w:rFonts w:hint="eastAsia"/>
          <w:lang w:eastAsia="zh-CN"/>
        </w:rPr>
        <w:t>，</w:t>
      </w:r>
    </w:p>
    <w:p w14:paraId="4827BB53" w14:textId="77777777" w:rsidR="00D15B9B" w:rsidRPr="009D418A" w:rsidRDefault="00D15B9B" w:rsidP="00B64353">
      <w:pPr>
        <w:pStyle w:val="Call"/>
        <w:rPr>
          <w:szCs w:val="24"/>
          <w:lang w:eastAsia="zh-CN"/>
        </w:rPr>
      </w:pPr>
      <w:r w:rsidRPr="0008045E">
        <w:rPr>
          <w:rFonts w:hint="eastAsia"/>
          <w:lang w:eastAsia="zh-CN"/>
        </w:rPr>
        <w:t>做出决议</w:t>
      </w:r>
    </w:p>
    <w:p w14:paraId="4827BB54" w14:textId="77777777" w:rsidR="00D15B9B" w:rsidRPr="009D418A" w:rsidRDefault="00D15B9B" w:rsidP="00B64353">
      <w:pPr>
        <w:rPr>
          <w:lang w:eastAsia="zh-CN"/>
        </w:rPr>
      </w:pPr>
      <w:r w:rsidRPr="009D418A">
        <w:rPr>
          <w:lang w:eastAsia="zh-CN"/>
        </w:rPr>
        <w:t>1</w:t>
      </w:r>
      <w:r w:rsidRPr="009D418A">
        <w:rPr>
          <w:lang w:eastAsia="zh-CN"/>
        </w:rPr>
        <w:tab/>
      </w:r>
      <w:r>
        <w:rPr>
          <w:rFonts w:hint="eastAsia"/>
          <w:lang w:eastAsia="zh-CN"/>
        </w:rPr>
        <w:t>将“信息通信与女性”这一主题纳入</w:t>
      </w:r>
      <w:r>
        <w:rPr>
          <w:rFonts w:hint="eastAsia"/>
          <w:lang w:eastAsia="zh-CN"/>
        </w:rPr>
        <w:t>2012</w:t>
      </w:r>
      <w:r>
        <w:rPr>
          <w:rFonts w:hint="eastAsia"/>
          <w:lang w:eastAsia="zh-CN"/>
        </w:rPr>
        <w:t>年</w:t>
      </w:r>
      <w:r>
        <w:rPr>
          <w:rFonts w:hint="eastAsia"/>
          <w:lang w:eastAsia="zh-CN"/>
        </w:rPr>
        <w:t>WSIS</w:t>
      </w:r>
      <w:r>
        <w:rPr>
          <w:rFonts w:hint="eastAsia"/>
          <w:lang w:eastAsia="zh-CN"/>
        </w:rPr>
        <w:t>论坛的相关主题中，并按照第</w:t>
      </w:r>
      <w:r>
        <w:rPr>
          <w:rFonts w:hint="eastAsia"/>
          <w:lang w:eastAsia="zh-CN"/>
        </w:rPr>
        <w:t>68</w:t>
      </w:r>
      <w:r>
        <w:rPr>
          <w:rFonts w:hint="eastAsia"/>
          <w:lang w:eastAsia="zh-CN"/>
        </w:rPr>
        <w:t>号决议（</w:t>
      </w:r>
      <w:r>
        <w:rPr>
          <w:rFonts w:hint="eastAsia"/>
          <w:lang w:eastAsia="zh-CN"/>
        </w:rPr>
        <w:t>2010</w:t>
      </w:r>
      <w:r>
        <w:rPr>
          <w:rFonts w:hint="eastAsia"/>
          <w:lang w:eastAsia="zh-CN"/>
        </w:rPr>
        <w:t>年，瓜达拉哈拉，修订版），将“信息通信与女性”批准为“</w:t>
      </w:r>
      <w:r>
        <w:rPr>
          <w:rFonts w:hint="eastAsia"/>
          <w:lang w:eastAsia="zh-CN"/>
        </w:rPr>
        <w:t>2012</w:t>
      </w:r>
      <w:r>
        <w:rPr>
          <w:rFonts w:hint="eastAsia"/>
          <w:lang w:eastAsia="zh-CN"/>
        </w:rPr>
        <w:t>年世界电信和信息社会日”的主题。</w:t>
      </w:r>
    </w:p>
    <w:p w14:paraId="4827BB55" w14:textId="77777777" w:rsidR="00C33678" w:rsidRDefault="00C33678">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B56" w14:textId="77777777" w:rsidR="00D15B9B" w:rsidRDefault="00D15B9B" w:rsidP="00B64353">
      <w:pPr>
        <w:rPr>
          <w:lang w:eastAsia="zh-CN"/>
        </w:rPr>
      </w:pPr>
      <w:r w:rsidRPr="009D418A">
        <w:rPr>
          <w:lang w:eastAsia="zh-CN"/>
        </w:rPr>
        <w:lastRenderedPageBreak/>
        <w:t>2</w:t>
      </w:r>
      <w:r w:rsidRPr="009D418A">
        <w:rPr>
          <w:lang w:eastAsia="zh-CN"/>
        </w:rPr>
        <w:tab/>
      </w:r>
      <w:r w:rsidRPr="006B0571">
        <w:rPr>
          <w:rFonts w:hint="eastAsia"/>
          <w:lang w:eastAsia="zh-CN"/>
        </w:rPr>
        <w:t>请</w:t>
      </w:r>
      <w:r>
        <w:rPr>
          <w:rFonts w:hint="eastAsia"/>
          <w:lang w:eastAsia="zh-CN"/>
        </w:rPr>
        <w:t>国际电联各成员国和部门成员将</w:t>
      </w:r>
      <w:r w:rsidRPr="006B0571">
        <w:rPr>
          <w:rFonts w:hint="eastAsia"/>
          <w:lang w:eastAsia="zh-CN"/>
        </w:rPr>
        <w:t>每年</w:t>
      </w:r>
      <w:r>
        <w:rPr>
          <w:rFonts w:hint="eastAsia"/>
          <w:lang w:eastAsia="zh-CN"/>
        </w:rPr>
        <w:t>四月的</w:t>
      </w:r>
      <w:r w:rsidRPr="006B0571">
        <w:rPr>
          <w:rFonts w:hint="eastAsia"/>
          <w:lang w:eastAsia="zh-CN"/>
        </w:rPr>
        <w:t>第</w:t>
      </w:r>
      <w:r>
        <w:rPr>
          <w:rFonts w:hint="eastAsia"/>
          <w:lang w:eastAsia="zh-CN"/>
        </w:rPr>
        <w:t>四</w:t>
      </w:r>
      <w:r w:rsidRPr="006B0571">
        <w:rPr>
          <w:rFonts w:hint="eastAsia"/>
          <w:lang w:eastAsia="zh-CN"/>
        </w:rPr>
        <w:t>个星期四</w:t>
      </w:r>
      <w:r>
        <w:rPr>
          <w:rFonts w:hint="eastAsia"/>
          <w:lang w:eastAsia="zh-CN"/>
        </w:rPr>
        <w:t>定为</w:t>
      </w:r>
      <w:r w:rsidRPr="006B0571">
        <w:rPr>
          <w:rFonts w:hint="eastAsia"/>
          <w:lang w:eastAsia="zh-CN"/>
        </w:rPr>
        <w:t>国际“</w:t>
      </w:r>
      <w:r>
        <w:rPr>
          <w:rFonts w:hint="eastAsia"/>
          <w:lang w:eastAsia="zh-CN"/>
        </w:rPr>
        <w:t>信息通信年轻女性”日，</w:t>
      </w:r>
      <w:r w:rsidRPr="006B0571">
        <w:rPr>
          <w:rFonts w:hint="eastAsia"/>
          <w:lang w:eastAsia="zh-CN"/>
        </w:rPr>
        <w:t>请</w:t>
      </w:r>
      <w:r w:rsidRPr="006B0571">
        <w:rPr>
          <w:rFonts w:hint="eastAsia"/>
          <w:lang w:eastAsia="zh-CN"/>
        </w:rPr>
        <w:t>ICT</w:t>
      </w:r>
      <w:r w:rsidRPr="006B0571">
        <w:rPr>
          <w:rFonts w:hint="eastAsia"/>
          <w:lang w:eastAsia="zh-CN"/>
        </w:rPr>
        <w:t>企业、其它</w:t>
      </w:r>
      <w:r>
        <w:rPr>
          <w:rFonts w:hint="eastAsia"/>
          <w:lang w:eastAsia="zh-CN"/>
        </w:rPr>
        <w:t>拥</w:t>
      </w:r>
      <w:r w:rsidRPr="006B0571">
        <w:rPr>
          <w:rFonts w:hint="eastAsia"/>
          <w:lang w:eastAsia="zh-CN"/>
        </w:rPr>
        <w:t>有</w:t>
      </w:r>
      <w:r w:rsidRPr="006B0571">
        <w:rPr>
          <w:rFonts w:hint="eastAsia"/>
          <w:lang w:eastAsia="zh-CN"/>
        </w:rPr>
        <w:t>ICT</w:t>
      </w:r>
      <w:r w:rsidRPr="006B0571">
        <w:rPr>
          <w:rFonts w:hint="eastAsia"/>
          <w:lang w:eastAsia="zh-CN"/>
        </w:rPr>
        <w:t>部门的</w:t>
      </w:r>
      <w:r>
        <w:rPr>
          <w:rFonts w:hint="eastAsia"/>
          <w:lang w:eastAsia="zh-CN"/>
        </w:rPr>
        <w:t>公司</w:t>
      </w:r>
      <w:r w:rsidRPr="006B0571">
        <w:rPr>
          <w:rFonts w:hint="eastAsia"/>
          <w:lang w:eastAsia="zh-CN"/>
        </w:rPr>
        <w:t>、</w:t>
      </w:r>
      <w:r w:rsidRPr="006B0571">
        <w:rPr>
          <w:rFonts w:hint="eastAsia"/>
          <w:lang w:eastAsia="zh-CN"/>
        </w:rPr>
        <w:t>ICT</w:t>
      </w:r>
      <w:r w:rsidRPr="006B0571">
        <w:rPr>
          <w:rFonts w:hint="eastAsia"/>
          <w:lang w:eastAsia="zh-CN"/>
        </w:rPr>
        <w:t>培训机构、大学、研究中心和所有与</w:t>
      </w:r>
      <w:r w:rsidRPr="006B0571">
        <w:rPr>
          <w:rFonts w:hint="eastAsia"/>
          <w:lang w:eastAsia="zh-CN"/>
        </w:rPr>
        <w:t>ICT</w:t>
      </w:r>
      <w:r>
        <w:rPr>
          <w:rFonts w:hint="eastAsia"/>
          <w:lang w:eastAsia="zh-CN"/>
        </w:rPr>
        <w:t>相关的机构为年轻女性举办</w:t>
      </w:r>
      <w:r w:rsidRPr="006B0571">
        <w:rPr>
          <w:rFonts w:hint="eastAsia"/>
          <w:lang w:eastAsia="zh-CN"/>
        </w:rPr>
        <w:t>开放日</w:t>
      </w:r>
      <w:r>
        <w:rPr>
          <w:rFonts w:hint="eastAsia"/>
          <w:lang w:eastAsia="zh-CN"/>
        </w:rPr>
        <w:t>，以便</w:t>
      </w:r>
      <w:r>
        <w:rPr>
          <w:rFonts w:hint="eastAsia"/>
          <w:lang w:eastAsia="zh-CN"/>
        </w:rPr>
        <w:t>ICT</w:t>
      </w:r>
      <w:r>
        <w:rPr>
          <w:rFonts w:hint="eastAsia"/>
          <w:lang w:eastAsia="zh-CN"/>
        </w:rPr>
        <w:t>行业能为全球年轻女性获得教育和职业发展提供机会。</w:t>
      </w:r>
    </w:p>
    <w:p w14:paraId="4827BB57" w14:textId="77777777" w:rsidR="00294EE9" w:rsidRPr="00C76172" w:rsidRDefault="00D15B9B" w:rsidP="00294EE9">
      <w:pPr>
        <w:pStyle w:val="Endtext"/>
        <w:rPr>
          <w:lang w:val="fr-FR" w:eastAsia="zh-CN"/>
        </w:rPr>
      </w:pPr>
      <w:r w:rsidRPr="00EA5664">
        <w:rPr>
          <w:rFonts w:hint="eastAsia"/>
          <w:lang w:eastAsia="zh-CN"/>
        </w:rPr>
        <w:t>参阅</w:t>
      </w:r>
      <w:r w:rsidRPr="00EA5664">
        <w:rPr>
          <w:rFonts w:ascii="STKaiti" w:hAnsi="SimSun" w:hint="eastAsia"/>
          <w:lang w:eastAsia="zh-CN"/>
        </w:rPr>
        <w:t>：</w:t>
      </w:r>
      <w:r w:rsidR="003316AB" w:rsidRPr="00EA5664">
        <w:rPr>
          <w:lang w:eastAsia="zh-CN"/>
        </w:rPr>
        <w:tab/>
      </w:r>
      <w:hyperlink r:id="rId510" w:history="1">
        <w:r w:rsidR="00294EE9" w:rsidRPr="003C453B">
          <w:rPr>
            <w:rStyle w:val="Hyperlink"/>
            <w:lang w:val="fr-FR" w:eastAsia="zh-CN"/>
          </w:rPr>
          <w:t>C11/81</w:t>
        </w:r>
      </w:hyperlink>
      <w:r w:rsidR="00294EE9">
        <w:rPr>
          <w:rFonts w:hint="eastAsia"/>
          <w:lang w:val="fr-FR" w:eastAsia="zh-CN"/>
        </w:rPr>
        <w:t>和</w:t>
      </w:r>
      <w:hyperlink r:id="rId511" w:history="1">
        <w:r w:rsidR="00294EE9" w:rsidRPr="003C453B">
          <w:rPr>
            <w:rStyle w:val="Hyperlink"/>
            <w:lang w:val="fr-FR" w:eastAsia="zh-CN"/>
          </w:rPr>
          <w:t>C11/86</w:t>
        </w:r>
      </w:hyperlink>
      <w:r w:rsidR="00294EE9">
        <w:rPr>
          <w:rFonts w:hint="eastAsia"/>
          <w:lang w:val="fr-FR" w:eastAsia="zh-CN"/>
        </w:rPr>
        <w:t>号</w:t>
      </w:r>
      <w:r w:rsidR="00294EE9">
        <w:rPr>
          <w:lang w:val="fr-FR" w:eastAsia="zh-CN"/>
        </w:rPr>
        <w:t>文件。</w:t>
      </w:r>
    </w:p>
    <w:p w14:paraId="4827BB58" w14:textId="77777777" w:rsidR="00C33678" w:rsidRDefault="00C33678" w:rsidP="00C33678">
      <w:pPr>
        <w:jc w:val="center"/>
        <w:rPr>
          <w:lang w:eastAsia="zh-CN"/>
        </w:rPr>
      </w:pPr>
      <w:bookmarkStart w:id="2821" w:name="_Toc424117167"/>
      <w:bookmarkStart w:id="2822" w:name="_Toc531706512"/>
      <w:bookmarkStart w:id="2823" w:name="_Toc531707133"/>
      <w:bookmarkStart w:id="2824" w:name="_Toc531768605"/>
      <w:bookmarkStart w:id="2825" w:name="_Toc311469685"/>
      <w:r>
        <w:rPr>
          <w:lang w:eastAsia="zh-CN"/>
        </w:rPr>
        <w:t>______________</w:t>
      </w:r>
    </w:p>
    <w:p w14:paraId="4827BB59" w14:textId="77777777" w:rsidR="00294EE9" w:rsidRPr="0095638D" w:rsidRDefault="00294EE9" w:rsidP="000D18CD">
      <w:pPr>
        <w:pStyle w:val="ResNo"/>
        <w:outlineLvl w:val="0"/>
        <w:rPr>
          <w:lang w:val="en-US" w:eastAsia="zh-CN"/>
        </w:rPr>
      </w:pPr>
      <w:bookmarkStart w:id="2826" w:name="_Toc16085930"/>
      <w:bookmarkStart w:id="2827" w:name="_Toc86395727"/>
      <w:r>
        <w:rPr>
          <w:rFonts w:hint="eastAsia"/>
          <w:lang w:eastAsia="zh-CN"/>
        </w:rPr>
        <w:t>第</w:t>
      </w:r>
      <w:r>
        <w:rPr>
          <w:rFonts w:hint="eastAsia"/>
          <w:lang w:eastAsia="zh-CN"/>
        </w:rPr>
        <w:t>1374</w:t>
      </w:r>
      <w:r>
        <w:rPr>
          <w:rFonts w:hint="eastAsia"/>
          <w:lang w:eastAsia="zh-CN"/>
        </w:rPr>
        <w:t>号</w:t>
      </w:r>
      <w:r>
        <w:rPr>
          <w:lang w:eastAsia="zh-CN"/>
        </w:rPr>
        <w:t>决</w:t>
      </w:r>
      <w:r>
        <w:rPr>
          <w:rFonts w:hint="eastAsia"/>
          <w:lang w:eastAsia="zh-CN"/>
        </w:rPr>
        <w:t>议</w:t>
      </w:r>
      <w:r w:rsidR="0095638D">
        <w:rPr>
          <w:rFonts w:hint="eastAsia"/>
          <w:lang w:eastAsia="zh-CN"/>
        </w:rPr>
        <w:t>（</w:t>
      </w:r>
      <w:r w:rsidR="0095638D">
        <w:rPr>
          <w:lang w:val="en-US" w:eastAsia="zh-CN"/>
        </w:rPr>
        <w:t>C15</w:t>
      </w:r>
      <w:r w:rsidR="0095638D">
        <w:rPr>
          <w:rFonts w:hint="eastAsia"/>
          <w:lang w:val="en-US" w:eastAsia="zh-CN"/>
        </w:rPr>
        <w:t>）</w:t>
      </w:r>
      <w:bookmarkEnd w:id="2821"/>
      <w:bookmarkEnd w:id="2822"/>
      <w:bookmarkEnd w:id="2823"/>
      <w:bookmarkEnd w:id="2824"/>
      <w:bookmarkEnd w:id="2826"/>
      <w:bookmarkEnd w:id="2827"/>
    </w:p>
    <w:p w14:paraId="4827BB5A" w14:textId="77777777" w:rsidR="00294EE9" w:rsidRDefault="00294EE9" w:rsidP="00C63A9B">
      <w:pPr>
        <w:pStyle w:val="Restitle"/>
        <w:rPr>
          <w:lang w:eastAsia="zh-CN"/>
        </w:rPr>
      </w:pPr>
      <w:bookmarkStart w:id="2828" w:name="_Toc424116287"/>
      <w:bookmarkStart w:id="2829" w:name="_Toc424117168"/>
      <w:bookmarkStart w:id="2830" w:name="_Toc460248277"/>
      <w:bookmarkStart w:id="2831" w:name="_Toc531706513"/>
      <w:bookmarkStart w:id="2832" w:name="_Toc531707134"/>
      <w:bookmarkStart w:id="2833" w:name="_Toc531768606"/>
      <w:bookmarkStart w:id="2834" w:name="_Toc16085931"/>
      <w:bookmarkStart w:id="2835" w:name="_Toc86395728"/>
      <w:r>
        <w:rPr>
          <w:rFonts w:hint="eastAsia"/>
          <w:lang w:eastAsia="zh-CN"/>
        </w:rPr>
        <w:t>加快通过电信</w:t>
      </w:r>
      <w:r>
        <w:rPr>
          <w:lang w:eastAsia="zh-CN"/>
        </w:rPr>
        <w:t>/</w:t>
      </w:r>
      <w:r>
        <w:rPr>
          <w:rFonts w:hint="eastAsia"/>
          <w:lang w:eastAsia="zh-CN"/>
        </w:rPr>
        <w:t>信息通信技术（</w:t>
      </w:r>
      <w:r>
        <w:rPr>
          <w:lang w:eastAsia="zh-CN"/>
        </w:rPr>
        <w:t>ICT</w:t>
      </w:r>
      <w:r>
        <w:rPr>
          <w:rFonts w:hint="eastAsia"/>
          <w:lang w:eastAsia="zh-CN"/>
        </w:rPr>
        <w:t>）增强青年的权能</w:t>
      </w:r>
      <w:bookmarkEnd w:id="2828"/>
      <w:bookmarkEnd w:id="2829"/>
      <w:bookmarkEnd w:id="2830"/>
      <w:bookmarkEnd w:id="2831"/>
      <w:bookmarkEnd w:id="2832"/>
      <w:bookmarkEnd w:id="2833"/>
      <w:bookmarkEnd w:id="2834"/>
      <w:bookmarkEnd w:id="2835"/>
    </w:p>
    <w:p w14:paraId="4827BB5B" w14:textId="77777777" w:rsidR="00294EE9" w:rsidRPr="00294EE9" w:rsidRDefault="00294EE9" w:rsidP="00294EE9">
      <w:pPr>
        <w:pStyle w:val="Normalaftertitle"/>
        <w:rPr>
          <w:lang w:eastAsia="zh-CN"/>
        </w:rPr>
      </w:pPr>
      <w:r w:rsidRPr="00294EE9">
        <w:rPr>
          <w:rFonts w:hint="eastAsia"/>
          <w:lang w:eastAsia="zh-CN"/>
        </w:rPr>
        <w:t>理事会，</w:t>
      </w:r>
    </w:p>
    <w:p w14:paraId="4827BB5C" w14:textId="77777777" w:rsidR="00294EE9" w:rsidRDefault="00294EE9" w:rsidP="00294EE9">
      <w:pPr>
        <w:pStyle w:val="Call"/>
        <w:rPr>
          <w:lang w:eastAsia="zh-CN"/>
        </w:rPr>
      </w:pPr>
      <w:r>
        <w:rPr>
          <w:rFonts w:hint="eastAsia"/>
          <w:lang w:eastAsia="zh-CN"/>
        </w:rPr>
        <w:t>考虑到</w:t>
      </w:r>
    </w:p>
    <w:p w14:paraId="4827BB5D" w14:textId="77777777" w:rsidR="00294EE9" w:rsidRDefault="00294EE9" w:rsidP="00294EE9">
      <w:pPr>
        <w:rPr>
          <w:szCs w:val="22"/>
          <w:lang w:val="en-US" w:eastAsia="zh-CN"/>
        </w:rPr>
      </w:pPr>
      <w:r>
        <w:rPr>
          <w:i/>
          <w:iCs/>
          <w:szCs w:val="22"/>
          <w:lang w:val="en-US" w:eastAsia="zh-CN"/>
        </w:rPr>
        <w:t>a)</w:t>
      </w:r>
      <w:r>
        <w:rPr>
          <w:szCs w:val="22"/>
          <w:lang w:val="en-US" w:eastAsia="zh-CN"/>
        </w:rPr>
        <w:tab/>
      </w:r>
      <w:r>
        <w:rPr>
          <w:rFonts w:hint="eastAsia"/>
          <w:lang w:eastAsia="zh-CN"/>
        </w:rPr>
        <w:t>信息通信技术（</w:t>
      </w:r>
      <w:r>
        <w:rPr>
          <w:lang w:eastAsia="zh-CN"/>
        </w:rPr>
        <w:t>ICT</w:t>
      </w:r>
      <w:r>
        <w:rPr>
          <w:rFonts w:hint="eastAsia"/>
          <w:lang w:eastAsia="zh-CN"/>
        </w:rPr>
        <w:t>）是一种工具，青年可以利用这种工具为其社会和经济发展做出实质性贡献、参与发展之中并对之加以充分利用；</w:t>
      </w:r>
    </w:p>
    <w:p w14:paraId="4827BB5E" w14:textId="77777777" w:rsidR="00294EE9" w:rsidRDefault="00294EE9" w:rsidP="00294EE9">
      <w:pPr>
        <w:rPr>
          <w:szCs w:val="22"/>
          <w:lang w:val="en-US" w:eastAsia="zh-CN"/>
        </w:rPr>
      </w:pPr>
      <w:r>
        <w:rPr>
          <w:i/>
          <w:iCs/>
          <w:szCs w:val="22"/>
          <w:lang w:val="en-US" w:eastAsia="zh-CN"/>
        </w:rPr>
        <w:t>b)</w:t>
      </w:r>
      <w:r>
        <w:rPr>
          <w:szCs w:val="22"/>
          <w:lang w:val="en-US" w:eastAsia="zh-CN"/>
        </w:rPr>
        <w:tab/>
      </w:r>
      <w:r>
        <w:rPr>
          <w:rFonts w:hint="eastAsia"/>
          <w:lang w:eastAsia="zh-CN"/>
        </w:rPr>
        <w:t>青年是数字原生代，是推广</w:t>
      </w:r>
      <w:r>
        <w:rPr>
          <w:lang w:eastAsia="zh-CN"/>
        </w:rPr>
        <w:t>ICT</w:t>
      </w:r>
      <w:r>
        <w:rPr>
          <w:rFonts w:hint="eastAsia"/>
          <w:lang w:eastAsia="zh-CN"/>
        </w:rPr>
        <w:t>的最佳群体；</w:t>
      </w:r>
    </w:p>
    <w:p w14:paraId="4827BB5F" w14:textId="77777777" w:rsidR="00294EE9" w:rsidRDefault="00294EE9" w:rsidP="00294EE9">
      <w:pPr>
        <w:rPr>
          <w:szCs w:val="22"/>
          <w:lang w:val="en-US" w:eastAsia="zh-CN"/>
        </w:rPr>
      </w:pPr>
      <w:r>
        <w:rPr>
          <w:i/>
          <w:iCs/>
          <w:szCs w:val="22"/>
          <w:lang w:val="en-US" w:eastAsia="zh-CN"/>
        </w:rPr>
        <w:t>c)</w:t>
      </w:r>
      <w:r>
        <w:rPr>
          <w:szCs w:val="22"/>
          <w:lang w:val="en-US" w:eastAsia="zh-CN"/>
        </w:rPr>
        <w:tab/>
      </w:r>
      <w:r>
        <w:rPr>
          <w:rFonts w:hint="eastAsia"/>
          <w:lang w:eastAsia="zh-CN"/>
        </w:rPr>
        <w:t>电信</w:t>
      </w:r>
      <w:r>
        <w:rPr>
          <w:lang w:eastAsia="zh-CN"/>
        </w:rPr>
        <w:t>/ICT</w:t>
      </w:r>
      <w:r>
        <w:rPr>
          <w:rFonts w:hint="eastAsia"/>
          <w:lang w:eastAsia="zh-CN"/>
        </w:rPr>
        <w:t>工具和应用有助于青年利用机会，而且青年可在国际电联提供的独特环境中了解社会中的这些技术及其应用，</w:t>
      </w:r>
    </w:p>
    <w:p w14:paraId="4827BB60" w14:textId="77777777" w:rsidR="00294EE9" w:rsidRDefault="00294EE9" w:rsidP="00294EE9">
      <w:pPr>
        <w:pStyle w:val="Call"/>
        <w:rPr>
          <w:lang w:eastAsia="zh-CN"/>
        </w:rPr>
      </w:pPr>
      <w:r>
        <w:rPr>
          <w:rFonts w:hint="eastAsia"/>
          <w:lang w:eastAsia="zh-CN"/>
        </w:rPr>
        <w:t>忆及</w:t>
      </w:r>
    </w:p>
    <w:p w14:paraId="4827BB61" w14:textId="77777777" w:rsidR="00294EE9" w:rsidRDefault="00294EE9" w:rsidP="00294EE9">
      <w:pPr>
        <w:rPr>
          <w:szCs w:val="22"/>
          <w:lang w:val="en-US" w:eastAsia="zh-CN"/>
        </w:rPr>
      </w:pPr>
      <w:r>
        <w:rPr>
          <w:i/>
          <w:iCs/>
          <w:szCs w:val="22"/>
          <w:lang w:val="en-US" w:eastAsia="zh-CN"/>
        </w:rPr>
        <w:t>a)</w:t>
      </w:r>
      <w:r>
        <w:rPr>
          <w:szCs w:val="22"/>
          <w:lang w:val="en-US" w:eastAsia="zh-CN"/>
        </w:rPr>
        <w:tab/>
      </w:r>
      <w:r>
        <w:rPr>
          <w:rFonts w:hint="eastAsia"/>
          <w:spacing w:val="2"/>
          <w:szCs w:val="22"/>
          <w:lang w:val="en-US" w:eastAsia="zh-CN"/>
        </w:rPr>
        <w:t>世界电信发展大会（</w:t>
      </w:r>
      <w:r>
        <w:rPr>
          <w:spacing w:val="2"/>
          <w:szCs w:val="22"/>
          <w:lang w:val="en-US" w:eastAsia="zh-CN"/>
        </w:rPr>
        <w:t>WTDC</w:t>
      </w:r>
      <w:r>
        <w:rPr>
          <w:rFonts w:hint="eastAsia"/>
          <w:spacing w:val="2"/>
          <w:szCs w:val="22"/>
          <w:lang w:val="en-US" w:eastAsia="zh-CN"/>
        </w:rPr>
        <w:t>）关于增强男女青年对电信</w:t>
      </w:r>
      <w:r>
        <w:rPr>
          <w:spacing w:val="2"/>
          <w:szCs w:val="22"/>
          <w:lang w:val="en-US" w:eastAsia="zh-CN"/>
        </w:rPr>
        <w:t>/ICT</w:t>
      </w:r>
      <w:r>
        <w:rPr>
          <w:rFonts w:hint="eastAsia"/>
          <w:spacing w:val="2"/>
          <w:szCs w:val="22"/>
          <w:lang w:val="en-US" w:eastAsia="zh-CN"/>
        </w:rPr>
        <w:t>可赋予社会和经济权能的认识的第</w:t>
      </w:r>
      <w:r>
        <w:rPr>
          <w:szCs w:val="22"/>
          <w:lang w:val="en-US" w:eastAsia="zh-CN"/>
        </w:rPr>
        <w:t>76</w:t>
      </w:r>
      <w:r>
        <w:rPr>
          <w:rFonts w:hint="eastAsia"/>
          <w:szCs w:val="22"/>
          <w:lang w:val="en-US" w:eastAsia="zh-CN"/>
        </w:rPr>
        <w:t>号决议（</w:t>
      </w:r>
      <w:r>
        <w:rPr>
          <w:szCs w:val="22"/>
          <w:lang w:val="en-US" w:eastAsia="zh-CN"/>
        </w:rPr>
        <w:t>2014</w:t>
      </w:r>
      <w:r>
        <w:rPr>
          <w:rFonts w:hint="eastAsia"/>
          <w:szCs w:val="22"/>
          <w:lang w:val="en-US" w:eastAsia="zh-CN"/>
        </w:rPr>
        <w:t>年，迪拜）；</w:t>
      </w:r>
    </w:p>
    <w:p w14:paraId="4827BB62" w14:textId="77777777" w:rsidR="00294EE9" w:rsidRDefault="00294EE9" w:rsidP="00294EE9">
      <w:pPr>
        <w:rPr>
          <w:lang w:val="en-US" w:eastAsia="zh-CN"/>
        </w:rPr>
      </w:pPr>
      <w:r>
        <w:rPr>
          <w:i/>
          <w:iCs/>
          <w:szCs w:val="22"/>
          <w:lang w:val="en-US" w:eastAsia="zh-CN"/>
        </w:rPr>
        <w:t>b)</w:t>
      </w:r>
      <w:r>
        <w:rPr>
          <w:szCs w:val="22"/>
          <w:lang w:val="en-US" w:eastAsia="zh-CN"/>
        </w:rPr>
        <w:tab/>
      </w:r>
      <w:r>
        <w:rPr>
          <w:rFonts w:hint="eastAsia"/>
          <w:szCs w:val="22"/>
          <w:lang w:val="en-US" w:eastAsia="zh-CN"/>
        </w:rPr>
        <w:t>关于</w:t>
      </w:r>
      <w:r>
        <w:rPr>
          <w:rFonts w:hint="eastAsia"/>
          <w:lang w:eastAsia="zh-CN"/>
        </w:rPr>
        <w:t>加快通过电信</w:t>
      </w:r>
      <w:r>
        <w:rPr>
          <w:lang w:eastAsia="zh-CN"/>
        </w:rPr>
        <w:t>/</w:t>
      </w:r>
      <w:r>
        <w:rPr>
          <w:rFonts w:hint="eastAsia"/>
          <w:lang w:eastAsia="zh-CN"/>
        </w:rPr>
        <w:t>信息通信技术增强青年的权能</w:t>
      </w:r>
      <w:r>
        <w:rPr>
          <w:rFonts w:hint="eastAsia"/>
          <w:lang w:val="en-US" w:eastAsia="zh-CN"/>
        </w:rPr>
        <w:t>的</w:t>
      </w:r>
      <w:r>
        <w:rPr>
          <w:rFonts w:hint="eastAsia"/>
          <w:szCs w:val="22"/>
          <w:lang w:val="en-US" w:eastAsia="zh-CN"/>
        </w:rPr>
        <w:t>全权代表大会</w:t>
      </w:r>
      <w:r>
        <w:rPr>
          <w:rFonts w:hint="eastAsia"/>
          <w:lang w:val="en-US" w:eastAsia="zh-CN"/>
        </w:rPr>
        <w:t>第</w:t>
      </w:r>
      <w:r>
        <w:rPr>
          <w:lang w:val="en-US" w:eastAsia="zh-CN"/>
        </w:rPr>
        <w:t>198</w:t>
      </w:r>
      <w:r>
        <w:rPr>
          <w:rFonts w:hint="eastAsia"/>
          <w:lang w:val="en-US" w:eastAsia="zh-CN"/>
        </w:rPr>
        <w:t>号决议（</w:t>
      </w:r>
      <w:r>
        <w:rPr>
          <w:lang w:val="en-US" w:eastAsia="zh-CN"/>
        </w:rPr>
        <w:t>2014</w:t>
      </w:r>
      <w:r>
        <w:rPr>
          <w:rFonts w:hint="eastAsia"/>
          <w:lang w:val="en-US" w:eastAsia="zh-CN"/>
        </w:rPr>
        <w:t>年，釜山）；</w:t>
      </w:r>
    </w:p>
    <w:p w14:paraId="4827BB63" w14:textId="77777777" w:rsidR="00294EE9" w:rsidRDefault="00294EE9" w:rsidP="00294EE9">
      <w:pPr>
        <w:rPr>
          <w:szCs w:val="22"/>
          <w:lang w:val="en-US" w:eastAsia="zh-CN"/>
        </w:rPr>
      </w:pPr>
      <w:r>
        <w:rPr>
          <w:i/>
          <w:iCs/>
          <w:spacing w:val="2"/>
          <w:szCs w:val="22"/>
          <w:lang w:val="en-US" w:eastAsia="zh-CN"/>
        </w:rPr>
        <w:t>c)</w:t>
      </w:r>
      <w:r>
        <w:rPr>
          <w:spacing w:val="2"/>
          <w:szCs w:val="22"/>
          <w:lang w:val="en-US" w:eastAsia="zh-CN"/>
        </w:rPr>
        <w:tab/>
      </w:r>
      <w:r>
        <w:rPr>
          <w:rFonts w:hint="eastAsia"/>
          <w:szCs w:val="24"/>
          <w:lang w:eastAsia="zh-CN"/>
        </w:rPr>
        <w:t>信息社会世界高峰会议</w:t>
      </w:r>
      <w:r>
        <w:rPr>
          <w:szCs w:val="24"/>
          <w:lang w:eastAsia="zh-CN"/>
        </w:rPr>
        <w:t>2005</w:t>
      </w:r>
      <w:r>
        <w:rPr>
          <w:rFonts w:hint="eastAsia"/>
          <w:szCs w:val="24"/>
          <w:lang w:eastAsia="zh-CN"/>
        </w:rPr>
        <w:t>年阶段会议的《突尼斯承诺》重申，各成员国致力于赋予作为建设包容性信息社会中坚力量的青年权能，以积极吸引青年参与基于</w:t>
      </w:r>
      <w:r>
        <w:rPr>
          <w:rFonts w:hint="eastAsia"/>
          <w:spacing w:val="2"/>
          <w:szCs w:val="22"/>
          <w:lang w:val="en-US" w:eastAsia="zh-CN"/>
        </w:rPr>
        <w:t>电信</w:t>
      </w:r>
      <w:r>
        <w:rPr>
          <w:spacing w:val="2"/>
          <w:szCs w:val="22"/>
          <w:lang w:val="en-US" w:eastAsia="zh-CN"/>
        </w:rPr>
        <w:t>/ICT</w:t>
      </w:r>
      <w:r>
        <w:rPr>
          <w:rFonts w:hint="eastAsia"/>
          <w:szCs w:val="24"/>
          <w:lang w:eastAsia="zh-CN"/>
        </w:rPr>
        <w:t>的创新性开发计划，并增加他们参与信息通信战略进程的机会；</w:t>
      </w:r>
    </w:p>
    <w:p w14:paraId="4827BB64" w14:textId="77777777" w:rsidR="00294EE9" w:rsidRDefault="00294EE9" w:rsidP="00294EE9">
      <w:pPr>
        <w:rPr>
          <w:szCs w:val="24"/>
          <w:lang w:eastAsia="zh-CN"/>
        </w:rPr>
      </w:pPr>
      <w:r>
        <w:rPr>
          <w:i/>
          <w:iCs/>
          <w:szCs w:val="24"/>
          <w:lang w:eastAsia="zh-CN"/>
        </w:rPr>
        <w:t>d)</w:t>
      </w:r>
      <w:r>
        <w:rPr>
          <w:szCs w:val="24"/>
          <w:lang w:eastAsia="zh-CN"/>
        </w:rPr>
        <w:tab/>
      </w:r>
      <w:r>
        <w:rPr>
          <w:rFonts w:eastAsia="STKaiti"/>
          <w:lang w:val="en-US" w:eastAsia="zh-CN"/>
        </w:rPr>
        <w:t>2013</w:t>
      </w:r>
      <w:r>
        <w:rPr>
          <w:rFonts w:eastAsia="STKaiti" w:hint="eastAsia"/>
          <w:lang w:val="en-US" w:eastAsia="zh-CN"/>
        </w:rPr>
        <w:t>年哥斯达黎加宣言</w:t>
      </w:r>
      <w:r>
        <w:rPr>
          <w:rFonts w:eastAsia="STKaiti" w:hint="eastAsia"/>
          <w:szCs w:val="24"/>
          <w:lang w:val="en-US" w:eastAsia="zh-CN"/>
        </w:rPr>
        <w:t>跨越</w:t>
      </w:r>
      <w:r>
        <w:rPr>
          <w:rFonts w:eastAsia="STKaiti"/>
          <w:szCs w:val="24"/>
          <w:lang w:val="en-US" w:eastAsia="zh-CN"/>
        </w:rPr>
        <w:t>2015</w:t>
      </w:r>
      <w:r>
        <w:rPr>
          <w:rFonts w:eastAsia="STKaiti" w:hint="eastAsia"/>
          <w:szCs w:val="24"/>
          <w:lang w:val="en-US" w:eastAsia="zh-CN"/>
        </w:rPr>
        <w:t>年全球青年峰会</w:t>
      </w:r>
      <w:r>
        <w:rPr>
          <w:rFonts w:hint="eastAsia"/>
          <w:szCs w:val="24"/>
          <w:lang w:val="en-US" w:eastAsia="zh-CN"/>
        </w:rPr>
        <w:t>突出了就业和创业、教育、政治包容性、网络安全、卫生和环境可持续性问题，认为这些领域是青年感到会因增强</w:t>
      </w:r>
      <w:r>
        <w:rPr>
          <w:rFonts w:hint="eastAsia"/>
          <w:spacing w:val="2"/>
          <w:szCs w:val="22"/>
          <w:lang w:val="en-US" w:eastAsia="zh-CN"/>
        </w:rPr>
        <w:t>电信</w:t>
      </w:r>
      <w:r>
        <w:rPr>
          <w:spacing w:val="2"/>
          <w:szCs w:val="22"/>
          <w:lang w:val="en-US" w:eastAsia="zh-CN"/>
        </w:rPr>
        <w:t>/ICT</w:t>
      </w:r>
      <w:r>
        <w:rPr>
          <w:rFonts w:hint="eastAsia"/>
          <w:szCs w:val="24"/>
          <w:lang w:val="en-US" w:eastAsia="zh-CN"/>
        </w:rPr>
        <w:t>获取会产生最大影响的领域，这一点得到了联大第</w:t>
      </w:r>
      <w:r>
        <w:rPr>
          <w:szCs w:val="24"/>
          <w:lang w:val="en-US" w:eastAsia="zh-CN"/>
        </w:rPr>
        <w:t>68</w:t>
      </w:r>
      <w:r>
        <w:rPr>
          <w:rFonts w:hint="eastAsia"/>
          <w:szCs w:val="24"/>
          <w:lang w:val="en-US" w:eastAsia="zh-CN"/>
        </w:rPr>
        <w:t>届会议的正式承认；</w:t>
      </w:r>
    </w:p>
    <w:p w14:paraId="4827BB65" w14:textId="77777777" w:rsidR="00C33678" w:rsidRDefault="00C33678">
      <w:pPr>
        <w:tabs>
          <w:tab w:val="clear" w:pos="794"/>
          <w:tab w:val="clear" w:pos="1191"/>
          <w:tab w:val="clear" w:pos="1588"/>
          <w:tab w:val="clear" w:pos="1985"/>
        </w:tabs>
        <w:overflowPunct/>
        <w:autoSpaceDE/>
        <w:autoSpaceDN/>
        <w:adjustRightInd/>
        <w:spacing w:before="0"/>
        <w:jc w:val="left"/>
        <w:textAlignment w:val="auto"/>
        <w:rPr>
          <w:i/>
          <w:iCs/>
          <w:szCs w:val="24"/>
          <w:lang w:val="en-US" w:eastAsia="zh-CN"/>
        </w:rPr>
      </w:pPr>
      <w:r>
        <w:rPr>
          <w:i/>
          <w:iCs/>
          <w:szCs w:val="24"/>
          <w:lang w:val="en-US" w:eastAsia="zh-CN"/>
        </w:rPr>
        <w:br w:type="page"/>
      </w:r>
    </w:p>
    <w:p w14:paraId="4827BB66" w14:textId="77777777" w:rsidR="00294EE9" w:rsidRDefault="00294EE9" w:rsidP="00294EE9">
      <w:pPr>
        <w:rPr>
          <w:szCs w:val="24"/>
          <w:lang w:eastAsia="zh-CN"/>
        </w:rPr>
      </w:pPr>
      <w:r>
        <w:rPr>
          <w:i/>
          <w:iCs/>
          <w:szCs w:val="24"/>
          <w:lang w:val="en-US" w:eastAsia="zh-CN"/>
        </w:rPr>
        <w:lastRenderedPageBreak/>
        <w:t>e)</w:t>
      </w:r>
      <w:r>
        <w:rPr>
          <w:szCs w:val="24"/>
          <w:lang w:val="en-US" w:eastAsia="zh-CN"/>
        </w:rPr>
        <w:tab/>
      </w:r>
      <w:r>
        <w:rPr>
          <w:rFonts w:hint="eastAsia"/>
          <w:szCs w:val="24"/>
          <w:lang w:val="en-US" w:eastAsia="zh-CN"/>
        </w:rPr>
        <w:t>题为</w:t>
      </w:r>
      <w:r>
        <w:rPr>
          <w:rFonts w:ascii="SimSun" w:hAnsi="SimSun" w:hint="eastAsia"/>
          <w:szCs w:val="24"/>
          <w:lang w:val="en-US" w:eastAsia="zh-CN"/>
        </w:rPr>
        <w:t>“</w:t>
      </w:r>
      <w:r>
        <w:rPr>
          <w:rFonts w:hint="eastAsia"/>
          <w:szCs w:val="24"/>
          <w:lang w:val="en-US" w:eastAsia="zh-CN"/>
        </w:rPr>
        <w:t>变革手段：将宽带用于后</w:t>
      </w:r>
      <w:r>
        <w:rPr>
          <w:szCs w:val="24"/>
          <w:lang w:val="en-US" w:eastAsia="zh-CN"/>
        </w:rPr>
        <w:t>2015</w:t>
      </w:r>
      <w:r>
        <w:rPr>
          <w:rFonts w:hint="eastAsia"/>
          <w:szCs w:val="24"/>
          <w:lang w:val="en-US" w:eastAsia="zh-CN"/>
        </w:rPr>
        <w:t>年发展议程</w:t>
      </w:r>
      <w:r>
        <w:rPr>
          <w:rFonts w:ascii="SimSun" w:hAnsi="SimSun" w:hint="eastAsia"/>
          <w:szCs w:val="24"/>
          <w:lang w:val="en-US" w:eastAsia="zh-CN"/>
        </w:rPr>
        <w:t>”</w:t>
      </w:r>
      <w:r>
        <w:rPr>
          <w:rFonts w:hint="eastAsia"/>
          <w:szCs w:val="24"/>
          <w:lang w:val="en-US" w:eastAsia="zh-CN"/>
        </w:rPr>
        <w:t>的宽带委员会任务组有关可持续发展的报告，凸显了掌握</w:t>
      </w:r>
      <w:r>
        <w:rPr>
          <w:szCs w:val="24"/>
          <w:lang w:val="en-US" w:eastAsia="zh-CN"/>
        </w:rPr>
        <w:t>ICT</w:t>
      </w:r>
      <w:r>
        <w:rPr>
          <w:rFonts w:hint="eastAsia"/>
          <w:szCs w:val="24"/>
          <w:lang w:val="en-US" w:eastAsia="zh-CN"/>
        </w:rPr>
        <w:t>技能在通过提高年轻女性能力获得</w:t>
      </w:r>
      <w:r>
        <w:rPr>
          <w:rFonts w:ascii="SimSun" w:hAnsi="SimSun" w:hint="eastAsia"/>
          <w:szCs w:val="24"/>
          <w:lang w:val="en-US" w:eastAsia="zh-CN"/>
        </w:rPr>
        <w:t>“</w:t>
      </w:r>
      <w:r>
        <w:rPr>
          <w:rFonts w:hint="eastAsia"/>
          <w:szCs w:val="24"/>
          <w:lang w:val="en-US" w:eastAsia="zh-CN"/>
        </w:rPr>
        <w:t>提高生活质量的健康、教育、金融和企业支持方面发挥的作用，”</w:t>
      </w:r>
    </w:p>
    <w:p w14:paraId="4827BB67" w14:textId="77777777" w:rsidR="00294EE9" w:rsidRDefault="00294EE9" w:rsidP="00294EE9">
      <w:pPr>
        <w:pStyle w:val="Call"/>
        <w:rPr>
          <w:lang w:eastAsia="zh-CN"/>
        </w:rPr>
      </w:pPr>
      <w:r>
        <w:rPr>
          <w:rFonts w:hint="eastAsia"/>
          <w:lang w:eastAsia="zh-CN"/>
        </w:rPr>
        <w:t>认识到</w:t>
      </w:r>
    </w:p>
    <w:p w14:paraId="4827BB68" w14:textId="77777777" w:rsidR="00294EE9" w:rsidRDefault="00294EE9" w:rsidP="00294EE9">
      <w:pPr>
        <w:rPr>
          <w:szCs w:val="24"/>
          <w:lang w:eastAsia="zh-CN"/>
        </w:rPr>
      </w:pPr>
      <w:r>
        <w:rPr>
          <w:i/>
          <w:iCs/>
          <w:szCs w:val="24"/>
          <w:lang w:eastAsia="zh-CN"/>
        </w:rPr>
        <w:t>a)</w:t>
      </w:r>
      <w:r>
        <w:rPr>
          <w:szCs w:val="24"/>
          <w:lang w:eastAsia="zh-CN"/>
        </w:rPr>
        <w:tab/>
      </w:r>
      <w:r>
        <w:rPr>
          <w:rFonts w:hint="eastAsia"/>
          <w:szCs w:val="24"/>
          <w:lang w:eastAsia="zh-CN"/>
        </w:rPr>
        <w:t>如秘书长提交理事会</w:t>
      </w:r>
      <w:r>
        <w:rPr>
          <w:szCs w:val="24"/>
          <w:lang w:eastAsia="zh-CN"/>
        </w:rPr>
        <w:t>2015</w:t>
      </w:r>
      <w:r>
        <w:rPr>
          <w:rFonts w:hint="eastAsia"/>
          <w:szCs w:val="24"/>
          <w:lang w:eastAsia="zh-CN"/>
        </w:rPr>
        <w:t>年会议的报告（</w:t>
      </w:r>
      <w:r>
        <w:rPr>
          <w:szCs w:val="24"/>
          <w:lang w:eastAsia="zh-CN"/>
        </w:rPr>
        <w:t>C15/91</w:t>
      </w:r>
      <w:r>
        <w:rPr>
          <w:rFonts w:hint="eastAsia"/>
          <w:szCs w:val="24"/>
          <w:lang w:eastAsia="zh-CN"/>
        </w:rPr>
        <w:t>号文件）所述，国际电联开展了一系列提高青年和信息通信技术参与的活动，包括：</w:t>
      </w:r>
    </w:p>
    <w:p w14:paraId="4827BB69" w14:textId="77777777" w:rsidR="00294EE9" w:rsidRDefault="00294EE9" w:rsidP="00294EE9">
      <w:pPr>
        <w:pStyle w:val="enumlev1"/>
        <w:rPr>
          <w:szCs w:val="24"/>
          <w:lang w:eastAsia="zh-CN"/>
        </w:rPr>
      </w:pPr>
      <w:r>
        <w:rPr>
          <w:szCs w:val="24"/>
          <w:lang w:eastAsia="zh-CN"/>
        </w:rPr>
        <w:t>•</w:t>
      </w:r>
      <w:r>
        <w:rPr>
          <w:szCs w:val="24"/>
          <w:lang w:eastAsia="zh-CN"/>
        </w:rPr>
        <w:tab/>
      </w:r>
      <w:r>
        <w:rPr>
          <w:rFonts w:hint="eastAsia"/>
          <w:szCs w:val="24"/>
          <w:lang w:eastAsia="zh-CN"/>
        </w:rPr>
        <w:t>国际电联于</w:t>
      </w:r>
      <w:r>
        <w:rPr>
          <w:szCs w:val="24"/>
          <w:lang w:eastAsia="zh-CN"/>
        </w:rPr>
        <w:t>2014</w:t>
      </w:r>
      <w:r>
        <w:rPr>
          <w:rFonts w:hint="eastAsia"/>
          <w:szCs w:val="24"/>
          <w:lang w:eastAsia="zh-CN"/>
        </w:rPr>
        <w:t>年夏推出了</w:t>
      </w:r>
      <w:r>
        <w:rPr>
          <w:szCs w:val="24"/>
          <w:lang w:eastAsia="zh-CN"/>
        </w:rPr>
        <w:t>#PP14</w:t>
      </w:r>
      <w:r>
        <w:rPr>
          <w:rFonts w:hint="eastAsia"/>
          <w:szCs w:val="24"/>
          <w:lang w:eastAsia="zh-CN"/>
        </w:rPr>
        <w:t>青年举措，旨在推广</w:t>
      </w:r>
      <w:r>
        <w:rPr>
          <w:szCs w:val="24"/>
          <w:lang w:eastAsia="zh-CN"/>
        </w:rPr>
        <w:t>2013</w:t>
      </w:r>
      <w:r>
        <w:rPr>
          <w:rFonts w:hint="eastAsia"/>
          <w:szCs w:val="24"/>
          <w:lang w:eastAsia="zh-CN"/>
        </w:rPr>
        <w:t>年</w:t>
      </w:r>
      <w:r>
        <w:rPr>
          <w:szCs w:val="24"/>
          <w:lang w:eastAsia="zh-CN"/>
        </w:rPr>
        <w:t>9</w:t>
      </w:r>
      <w:r>
        <w:rPr>
          <w:rFonts w:hint="eastAsia"/>
          <w:szCs w:val="24"/>
          <w:lang w:eastAsia="zh-CN"/>
        </w:rPr>
        <w:t>月在哥斯达黎加</w:t>
      </w:r>
      <w:r>
        <w:rPr>
          <w:rFonts w:hint="eastAsia"/>
          <w:szCs w:val="24"/>
          <w:lang w:val="en-US" w:eastAsia="zh-CN"/>
        </w:rPr>
        <w:t>圣何塞</w:t>
      </w:r>
      <w:r>
        <w:rPr>
          <w:rFonts w:hint="eastAsia"/>
          <w:szCs w:val="24"/>
          <w:lang w:eastAsia="zh-CN"/>
        </w:rPr>
        <w:t>召开的跨越</w:t>
      </w:r>
      <w:r>
        <w:rPr>
          <w:szCs w:val="24"/>
          <w:lang w:eastAsia="zh-CN"/>
        </w:rPr>
        <w:t>2015</w:t>
      </w:r>
      <w:r>
        <w:rPr>
          <w:rFonts w:hint="eastAsia"/>
          <w:szCs w:val="24"/>
          <w:lang w:eastAsia="zh-CN"/>
        </w:rPr>
        <w:t>年全球青年峰会的成功经验；</w:t>
      </w:r>
    </w:p>
    <w:p w14:paraId="4827BB6A" w14:textId="77777777" w:rsidR="00294EE9" w:rsidRDefault="00294EE9" w:rsidP="00294EE9">
      <w:pPr>
        <w:pStyle w:val="enumlev1"/>
        <w:rPr>
          <w:szCs w:val="24"/>
          <w:lang w:eastAsia="zh-CN"/>
        </w:rPr>
      </w:pPr>
      <w:r>
        <w:rPr>
          <w:szCs w:val="24"/>
          <w:lang w:eastAsia="zh-CN"/>
        </w:rPr>
        <w:t>•</w:t>
      </w:r>
      <w:r>
        <w:rPr>
          <w:szCs w:val="24"/>
          <w:lang w:eastAsia="zh-CN"/>
        </w:rPr>
        <w:tab/>
      </w:r>
      <w:r>
        <w:rPr>
          <w:rFonts w:hint="eastAsia"/>
          <w:szCs w:val="24"/>
          <w:lang w:val="en-US" w:eastAsia="zh-CN"/>
        </w:rPr>
        <w:t>国际电联电信标准化部门（</w:t>
      </w:r>
      <w:r>
        <w:rPr>
          <w:szCs w:val="24"/>
          <w:lang w:val="en-US" w:eastAsia="zh-CN"/>
        </w:rPr>
        <w:t>ITU-T</w:t>
      </w:r>
      <w:r>
        <w:rPr>
          <w:rFonts w:hint="eastAsia"/>
          <w:szCs w:val="24"/>
          <w:lang w:val="en-US" w:eastAsia="zh-CN"/>
        </w:rPr>
        <w:t>）针对年轻</w:t>
      </w:r>
      <w:r>
        <w:rPr>
          <w:szCs w:val="24"/>
          <w:lang w:val="en-US" w:eastAsia="zh-CN"/>
        </w:rPr>
        <w:t>ICT</w:t>
      </w:r>
      <w:r>
        <w:rPr>
          <w:rFonts w:hint="eastAsia"/>
          <w:szCs w:val="24"/>
          <w:lang w:val="en-US" w:eastAsia="zh-CN"/>
        </w:rPr>
        <w:t>科学家、研究人员和工程师组织举办的年度“大视野”学术论文大赛；</w:t>
      </w:r>
    </w:p>
    <w:p w14:paraId="4827BB6B" w14:textId="77777777" w:rsidR="00294EE9" w:rsidRDefault="00294EE9" w:rsidP="00294EE9">
      <w:pPr>
        <w:pStyle w:val="enumlev1"/>
        <w:rPr>
          <w:szCs w:val="24"/>
          <w:lang w:eastAsia="zh-CN"/>
        </w:rPr>
      </w:pPr>
      <w:r>
        <w:rPr>
          <w:szCs w:val="24"/>
          <w:lang w:eastAsia="zh-CN"/>
        </w:rPr>
        <w:t>•</w:t>
      </w:r>
      <w:r>
        <w:rPr>
          <w:szCs w:val="24"/>
          <w:lang w:eastAsia="zh-CN"/>
        </w:rPr>
        <w:tab/>
      </w:r>
      <w:r>
        <w:rPr>
          <w:szCs w:val="24"/>
          <w:lang w:val="en-US" w:eastAsia="zh-CN"/>
        </w:rPr>
        <w:t>2011</w:t>
      </w:r>
      <w:r>
        <w:rPr>
          <w:rFonts w:hint="eastAsia"/>
          <w:szCs w:val="24"/>
          <w:lang w:val="en-US" w:eastAsia="zh-CN"/>
        </w:rPr>
        <w:t>年以来每年举办一次的国际电联世界电信展“年轻发明家”大赛；</w:t>
      </w:r>
    </w:p>
    <w:p w14:paraId="4827BB6C" w14:textId="77777777" w:rsidR="00294EE9" w:rsidRDefault="00294EE9" w:rsidP="00294EE9">
      <w:pPr>
        <w:pStyle w:val="enumlev1"/>
        <w:rPr>
          <w:szCs w:val="24"/>
          <w:lang w:eastAsia="zh-CN"/>
        </w:rPr>
      </w:pPr>
      <w:r>
        <w:rPr>
          <w:szCs w:val="24"/>
          <w:lang w:eastAsia="zh-CN"/>
        </w:rPr>
        <w:t>•</w:t>
      </w:r>
      <w:r>
        <w:rPr>
          <w:szCs w:val="24"/>
          <w:lang w:eastAsia="zh-CN"/>
        </w:rPr>
        <w:tab/>
      </w:r>
      <w:r>
        <w:rPr>
          <w:rFonts w:hint="eastAsia"/>
          <w:szCs w:val="24"/>
          <w:lang w:val="en-US" w:eastAsia="zh-CN"/>
        </w:rPr>
        <w:t>国际电联每年协调举办的“信息通信年轻女性日”，旨在鼓励年轻女性到</w:t>
      </w:r>
      <w:r>
        <w:rPr>
          <w:szCs w:val="24"/>
          <w:lang w:val="en-US" w:eastAsia="zh-CN"/>
        </w:rPr>
        <w:t>ICT</w:t>
      </w:r>
      <w:r>
        <w:rPr>
          <w:rFonts w:hint="eastAsia"/>
          <w:szCs w:val="24"/>
          <w:lang w:val="en-US" w:eastAsia="zh-CN"/>
        </w:rPr>
        <w:t>领域就业；</w:t>
      </w:r>
    </w:p>
    <w:p w14:paraId="4827BB6D" w14:textId="77777777" w:rsidR="00294EE9" w:rsidRDefault="00294EE9" w:rsidP="00294EE9">
      <w:pPr>
        <w:pStyle w:val="enumlev1"/>
        <w:rPr>
          <w:szCs w:val="24"/>
          <w:lang w:eastAsia="zh-CN"/>
        </w:rPr>
      </w:pPr>
      <w:r>
        <w:rPr>
          <w:szCs w:val="24"/>
          <w:lang w:eastAsia="zh-CN"/>
        </w:rPr>
        <w:t>•</w:t>
      </w:r>
      <w:r>
        <w:rPr>
          <w:szCs w:val="24"/>
          <w:lang w:eastAsia="zh-CN"/>
        </w:rPr>
        <w:tab/>
      </w:r>
      <w:r>
        <w:rPr>
          <w:rFonts w:hint="eastAsia"/>
          <w:szCs w:val="24"/>
          <w:lang w:eastAsia="zh-CN"/>
        </w:rPr>
        <w:t>国际电联，而且特别是电信发展局（</w:t>
      </w:r>
      <w:r>
        <w:rPr>
          <w:szCs w:val="24"/>
          <w:lang w:eastAsia="zh-CN"/>
        </w:rPr>
        <w:t>BDT</w:t>
      </w:r>
      <w:r>
        <w:rPr>
          <w:rFonts w:hint="eastAsia"/>
          <w:szCs w:val="24"/>
          <w:lang w:eastAsia="zh-CN"/>
        </w:rPr>
        <w:t>）在开展和落实有关利用</w:t>
      </w:r>
      <w:r>
        <w:rPr>
          <w:szCs w:val="24"/>
          <w:lang w:eastAsia="zh-CN"/>
        </w:rPr>
        <w:t>ICT</w:t>
      </w:r>
      <w:r>
        <w:rPr>
          <w:rFonts w:hint="eastAsia"/>
          <w:szCs w:val="24"/>
          <w:lang w:eastAsia="zh-CN"/>
        </w:rPr>
        <w:t>增强青年经济和社会权能的行动和项目方面的进展；</w:t>
      </w:r>
    </w:p>
    <w:p w14:paraId="4827BB6E" w14:textId="77777777" w:rsidR="00294EE9" w:rsidRDefault="00294EE9" w:rsidP="00294EE9">
      <w:pPr>
        <w:pStyle w:val="enumlev1"/>
        <w:rPr>
          <w:szCs w:val="24"/>
          <w:lang w:eastAsia="zh-CN"/>
        </w:rPr>
      </w:pPr>
      <w:r>
        <w:rPr>
          <w:szCs w:val="24"/>
          <w:lang w:eastAsia="zh-CN"/>
        </w:rPr>
        <w:t>•</w:t>
      </w:r>
      <w:r>
        <w:rPr>
          <w:szCs w:val="24"/>
          <w:lang w:eastAsia="zh-CN"/>
        </w:rPr>
        <w:tab/>
      </w:r>
      <w:r>
        <w:rPr>
          <w:rFonts w:hint="eastAsia"/>
          <w:szCs w:val="24"/>
          <w:lang w:val="en-US" w:eastAsia="zh-CN"/>
        </w:rPr>
        <w:t>国际电联向</w:t>
      </w:r>
      <w:r>
        <w:rPr>
          <w:rFonts w:hint="eastAsia"/>
          <w:lang w:eastAsia="zh-CN"/>
        </w:rPr>
        <w:t>联合国</w:t>
      </w:r>
      <w:r>
        <w:rPr>
          <w:rFonts w:hint="eastAsia"/>
          <w:szCs w:val="24"/>
          <w:lang w:val="en-US" w:eastAsia="zh-CN"/>
        </w:rPr>
        <w:t>秘书长的青年特使提供的支持、对联合国机构间青年发展网络的积极参与以及对联合国全系统有关青年的行动计划的贡献；</w:t>
      </w:r>
    </w:p>
    <w:p w14:paraId="4827BB6F" w14:textId="77777777" w:rsidR="00294EE9" w:rsidRDefault="00294EE9" w:rsidP="00294EE9">
      <w:pPr>
        <w:pStyle w:val="enumlev1"/>
        <w:rPr>
          <w:szCs w:val="24"/>
          <w:lang w:eastAsia="zh-CN"/>
        </w:rPr>
      </w:pPr>
      <w:r>
        <w:rPr>
          <w:szCs w:val="24"/>
          <w:lang w:eastAsia="zh-CN"/>
        </w:rPr>
        <w:t>•</w:t>
      </w:r>
      <w:r>
        <w:rPr>
          <w:szCs w:val="24"/>
          <w:lang w:eastAsia="zh-CN"/>
        </w:rPr>
        <w:tab/>
      </w:r>
      <w:r>
        <w:rPr>
          <w:szCs w:val="24"/>
          <w:lang w:val="en-US" w:eastAsia="zh-CN"/>
        </w:rPr>
        <w:t>2014</w:t>
      </w:r>
      <w:r>
        <w:rPr>
          <w:rFonts w:hint="eastAsia"/>
          <w:szCs w:val="24"/>
          <w:lang w:val="en-US" w:eastAsia="zh-CN"/>
        </w:rPr>
        <w:t>年全权代表大会发起的青年</w:t>
      </w:r>
      <w:r>
        <w:rPr>
          <w:szCs w:val="24"/>
          <w:lang w:eastAsia="zh-CN"/>
        </w:rPr>
        <w:t>ICT</w:t>
      </w:r>
      <w:r>
        <w:rPr>
          <w:rFonts w:hint="eastAsia"/>
          <w:szCs w:val="24"/>
          <w:lang w:eastAsia="zh-CN"/>
        </w:rPr>
        <w:t>政策领导者举措，为年轻的专业人才提供了通过国家代表团参加国际电联活动和</w:t>
      </w:r>
      <w:r>
        <w:rPr>
          <w:rFonts w:hint="eastAsia"/>
          <w:lang w:eastAsia="zh-CN"/>
        </w:rPr>
        <w:t>大会</w:t>
      </w:r>
      <w:r>
        <w:rPr>
          <w:rFonts w:hint="eastAsia"/>
          <w:szCs w:val="24"/>
          <w:lang w:eastAsia="zh-CN"/>
        </w:rPr>
        <w:t>的机会，</w:t>
      </w:r>
    </w:p>
    <w:p w14:paraId="4827BB70" w14:textId="77777777" w:rsidR="00294EE9" w:rsidRDefault="00294EE9" w:rsidP="00294EE9">
      <w:pPr>
        <w:rPr>
          <w:szCs w:val="24"/>
          <w:lang w:val="en-US" w:eastAsia="zh-CN"/>
        </w:rPr>
      </w:pPr>
      <w:r>
        <w:rPr>
          <w:i/>
          <w:iCs/>
          <w:szCs w:val="24"/>
          <w:lang w:eastAsia="zh-CN"/>
        </w:rPr>
        <w:t>b</w:t>
      </w:r>
      <w:r>
        <w:rPr>
          <w:i/>
          <w:iCs/>
          <w:szCs w:val="24"/>
          <w:lang w:val="en-US" w:eastAsia="zh-CN"/>
        </w:rPr>
        <w:t>)</w:t>
      </w:r>
      <w:r>
        <w:rPr>
          <w:szCs w:val="24"/>
          <w:lang w:val="en-US" w:eastAsia="zh-CN"/>
        </w:rPr>
        <w:tab/>
      </w:r>
      <w:r>
        <w:rPr>
          <w:rFonts w:hint="eastAsia"/>
          <w:szCs w:val="24"/>
          <w:lang w:val="en-US" w:eastAsia="zh-CN"/>
        </w:rPr>
        <w:t>提交理事会的秘书长报告附件</w:t>
      </w:r>
      <w:r>
        <w:rPr>
          <w:szCs w:val="24"/>
          <w:lang w:val="en-US" w:eastAsia="zh-CN"/>
        </w:rPr>
        <w:t>1</w:t>
      </w:r>
      <w:r>
        <w:rPr>
          <w:rFonts w:hint="eastAsia"/>
          <w:szCs w:val="24"/>
          <w:lang w:val="en-US" w:eastAsia="zh-CN"/>
        </w:rPr>
        <w:t>包括未来四年国际电联未来青年活动路线图；</w:t>
      </w:r>
    </w:p>
    <w:p w14:paraId="4827BB71" w14:textId="77777777" w:rsidR="00294EE9" w:rsidRDefault="00294EE9" w:rsidP="00294EE9">
      <w:pPr>
        <w:rPr>
          <w:szCs w:val="24"/>
          <w:lang w:val="en-US" w:eastAsia="zh-CN"/>
        </w:rPr>
      </w:pPr>
      <w:r>
        <w:rPr>
          <w:i/>
          <w:iCs/>
          <w:szCs w:val="24"/>
          <w:lang w:val="en-US" w:eastAsia="zh-CN"/>
        </w:rPr>
        <w:t>c)</w:t>
      </w:r>
      <w:r>
        <w:rPr>
          <w:szCs w:val="24"/>
          <w:lang w:val="en-US" w:eastAsia="zh-CN"/>
        </w:rPr>
        <w:tab/>
      </w:r>
      <w:r>
        <w:rPr>
          <w:rFonts w:hint="eastAsia"/>
          <w:szCs w:val="24"/>
          <w:lang w:val="en-US" w:eastAsia="zh-CN"/>
        </w:rPr>
        <w:t>第</w:t>
      </w:r>
      <w:r>
        <w:rPr>
          <w:szCs w:val="24"/>
          <w:lang w:val="en-US" w:eastAsia="zh-CN"/>
        </w:rPr>
        <w:t>198</w:t>
      </w:r>
      <w:r>
        <w:rPr>
          <w:rFonts w:hint="eastAsia"/>
          <w:szCs w:val="24"/>
          <w:lang w:val="en-US" w:eastAsia="zh-CN"/>
        </w:rPr>
        <w:t>号决议（</w:t>
      </w:r>
      <w:r>
        <w:rPr>
          <w:szCs w:val="24"/>
          <w:lang w:val="en-US" w:eastAsia="zh-CN"/>
        </w:rPr>
        <w:t>2014</w:t>
      </w:r>
      <w:r>
        <w:rPr>
          <w:rFonts w:hint="eastAsia"/>
          <w:szCs w:val="24"/>
          <w:lang w:val="en-US" w:eastAsia="zh-CN"/>
        </w:rPr>
        <w:t>年，釜山）责成理事会：</w:t>
      </w:r>
    </w:p>
    <w:p w14:paraId="4827BB72" w14:textId="77777777" w:rsidR="00294EE9" w:rsidRDefault="00294EE9" w:rsidP="00294EE9">
      <w:pPr>
        <w:pStyle w:val="enumlev1"/>
        <w:rPr>
          <w:lang w:eastAsia="zh-CN"/>
        </w:rPr>
      </w:pPr>
      <w:r>
        <w:rPr>
          <w:lang w:eastAsia="zh-CN"/>
        </w:rPr>
        <w:t>•</w:t>
      </w:r>
      <w:r>
        <w:rPr>
          <w:lang w:eastAsia="zh-CN"/>
        </w:rPr>
        <w:tab/>
      </w:r>
      <w:r>
        <w:rPr>
          <w:rFonts w:hint="eastAsia"/>
          <w:lang w:eastAsia="zh-CN"/>
        </w:rPr>
        <w:t>在现有预算资源范围内，将过去四年来开展的举措发扬光大，加快将青年赋能问题纳入整个国际电联的工作进程，确保青年的能力建设和提升；</w:t>
      </w:r>
    </w:p>
    <w:p w14:paraId="4827BB73" w14:textId="77777777" w:rsidR="00294EE9" w:rsidRDefault="00294EE9" w:rsidP="00294EE9">
      <w:pPr>
        <w:pStyle w:val="enumlev1"/>
        <w:rPr>
          <w:szCs w:val="24"/>
          <w:lang w:eastAsia="zh-CN"/>
        </w:rPr>
      </w:pPr>
      <w:r>
        <w:rPr>
          <w:szCs w:val="24"/>
          <w:lang w:eastAsia="zh-CN"/>
        </w:rPr>
        <w:t>•</w:t>
      </w:r>
      <w:r>
        <w:rPr>
          <w:szCs w:val="24"/>
          <w:lang w:eastAsia="zh-CN"/>
        </w:rPr>
        <w:tab/>
      </w:r>
      <w:r>
        <w:rPr>
          <w:rFonts w:hint="eastAsia"/>
          <w:szCs w:val="24"/>
          <w:lang w:eastAsia="zh-CN"/>
        </w:rPr>
        <w:t>考虑根据全权代表大会第</w:t>
      </w:r>
      <w:r>
        <w:rPr>
          <w:szCs w:val="24"/>
          <w:lang w:eastAsia="zh-CN"/>
        </w:rPr>
        <w:t>68</w:t>
      </w:r>
      <w:r>
        <w:rPr>
          <w:rFonts w:hint="eastAsia"/>
          <w:szCs w:val="24"/>
          <w:lang w:eastAsia="zh-CN"/>
        </w:rPr>
        <w:t>号决议（</w:t>
      </w:r>
      <w:r>
        <w:rPr>
          <w:szCs w:val="24"/>
          <w:lang w:eastAsia="zh-CN"/>
        </w:rPr>
        <w:t>2010</w:t>
      </w:r>
      <w:r>
        <w:rPr>
          <w:rFonts w:hint="eastAsia"/>
          <w:szCs w:val="24"/>
          <w:lang w:eastAsia="zh-CN"/>
        </w:rPr>
        <w:t>年，瓜达拉哈拉，修订版）让青年参与国际电联</w:t>
      </w:r>
      <w:r>
        <w:rPr>
          <w:szCs w:val="24"/>
          <w:lang w:eastAsia="zh-CN"/>
        </w:rPr>
        <w:t>150</w:t>
      </w:r>
      <w:r>
        <w:rPr>
          <w:rFonts w:hint="eastAsia"/>
          <w:szCs w:val="24"/>
          <w:lang w:eastAsia="zh-CN"/>
        </w:rPr>
        <w:t>周年庆祝活动及世界电信和信息社会日庆祝活动，并发起一项特别奖活动，表彰在</w:t>
      </w:r>
      <w:r>
        <w:rPr>
          <w:szCs w:val="24"/>
          <w:lang w:eastAsia="zh-CN"/>
        </w:rPr>
        <w:t>ICT</w:t>
      </w:r>
      <w:r>
        <w:rPr>
          <w:rFonts w:hint="eastAsia"/>
          <w:szCs w:val="24"/>
          <w:lang w:eastAsia="zh-CN"/>
        </w:rPr>
        <w:t>领域做出杰出贡献的年轻人，</w:t>
      </w:r>
    </w:p>
    <w:p w14:paraId="4827BB74" w14:textId="77777777" w:rsidR="00C33678" w:rsidRDefault="00C33678">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lang w:eastAsia="zh-CN"/>
        </w:rPr>
        <w:br w:type="page"/>
      </w:r>
    </w:p>
    <w:p w14:paraId="4827BB75" w14:textId="77777777" w:rsidR="00294EE9" w:rsidRDefault="00294EE9" w:rsidP="00294EE9">
      <w:pPr>
        <w:pStyle w:val="Call"/>
        <w:rPr>
          <w:lang w:eastAsia="zh-CN"/>
        </w:rPr>
      </w:pPr>
      <w:r>
        <w:rPr>
          <w:rFonts w:hint="eastAsia"/>
          <w:lang w:eastAsia="zh-CN"/>
        </w:rPr>
        <w:lastRenderedPageBreak/>
        <w:t>强调</w:t>
      </w:r>
    </w:p>
    <w:p w14:paraId="4827BB76" w14:textId="77777777" w:rsidR="00294EE9" w:rsidRDefault="00294EE9" w:rsidP="00294EE9">
      <w:pPr>
        <w:ind w:firstLineChars="200" w:firstLine="480"/>
        <w:rPr>
          <w:lang w:eastAsia="zh-CN"/>
        </w:rPr>
      </w:pPr>
      <w:r>
        <w:rPr>
          <w:rFonts w:hint="eastAsia"/>
          <w:lang w:eastAsia="zh-CN"/>
        </w:rPr>
        <w:t>国际电联、特别是电信发展局正在进行的工作对于通过推广有助于改善青年、尤其是发展中国家青年的社会经济地位的政策，通过</w:t>
      </w:r>
      <w:r>
        <w:rPr>
          <w:lang w:eastAsia="zh-CN"/>
        </w:rPr>
        <w:t>ICT</w:t>
      </w:r>
      <w:r>
        <w:rPr>
          <w:rFonts w:hint="eastAsia"/>
          <w:lang w:eastAsia="zh-CN"/>
        </w:rPr>
        <w:t>赋予青年权能的重要性。</w:t>
      </w:r>
    </w:p>
    <w:p w14:paraId="4827BB77" w14:textId="77777777" w:rsidR="00294EE9" w:rsidRDefault="00294EE9" w:rsidP="00294EE9">
      <w:pPr>
        <w:pStyle w:val="Call"/>
        <w:rPr>
          <w:lang w:eastAsia="zh-CN"/>
        </w:rPr>
      </w:pPr>
      <w:r>
        <w:rPr>
          <w:rFonts w:hint="eastAsia"/>
          <w:lang w:eastAsia="zh-CN"/>
        </w:rPr>
        <w:t>做出决议</w:t>
      </w:r>
    </w:p>
    <w:p w14:paraId="4827BB78" w14:textId="77777777" w:rsidR="00294EE9" w:rsidRDefault="00294EE9" w:rsidP="00294EE9">
      <w:pPr>
        <w:rPr>
          <w:szCs w:val="24"/>
          <w:lang w:val="en-US" w:eastAsia="zh-CN"/>
        </w:rPr>
      </w:pPr>
      <w:r>
        <w:rPr>
          <w:szCs w:val="24"/>
          <w:lang w:val="en-US" w:eastAsia="zh-CN"/>
        </w:rPr>
        <w:t>1</w:t>
      </w:r>
      <w:r>
        <w:rPr>
          <w:szCs w:val="24"/>
          <w:lang w:val="en-US" w:eastAsia="zh-CN"/>
        </w:rPr>
        <w:tab/>
      </w:r>
      <w:r>
        <w:rPr>
          <w:rFonts w:hint="eastAsia"/>
          <w:szCs w:val="24"/>
          <w:lang w:val="en-US" w:eastAsia="zh-CN"/>
        </w:rPr>
        <w:t>鼓励国际电联通过走出去的方式、能力建设和其它活动继续和加快接纳青年女性和男性参与的进程，重点通过与学术成员建立伙伴关系推动创新、创业和技能培养，并通过在</w:t>
      </w:r>
      <w:r>
        <w:rPr>
          <w:szCs w:val="24"/>
          <w:lang w:val="en-US" w:eastAsia="zh-CN"/>
        </w:rPr>
        <w:t>WTSA-16</w:t>
      </w:r>
      <w:r>
        <w:rPr>
          <w:rFonts w:hint="eastAsia"/>
          <w:szCs w:val="24"/>
          <w:lang w:val="en-US" w:eastAsia="zh-CN"/>
        </w:rPr>
        <w:t>、</w:t>
      </w:r>
      <w:r>
        <w:rPr>
          <w:szCs w:val="24"/>
          <w:lang w:val="en-US" w:eastAsia="zh-CN"/>
        </w:rPr>
        <w:t>WRC-15</w:t>
      </w:r>
      <w:r>
        <w:rPr>
          <w:rFonts w:hint="eastAsia"/>
          <w:szCs w:val="24"/>
          <w:lang w:val="en-US" w:eastAsia="zh-CN"/>
        </w:rPr>
        <w:t>磋商会或其他适当的国际电联会议期间接纳技术或法律专业的学生旁听，以落实秘书长提交理事会报告（</w:t>
      </w:r>
      <w:r>
        <w:rPr>
          <w:szCs w:val="24"/>
          <w:lang w:eastAsia="zh-CN"/>
        </w:rPr>
        <w:t>C15/91</w:t>
      </w:r>
      <w:r>
        <w:rPr>
          <w:rFonts w:hint="eastAsia"/>
          <w:szCs w:val="24"/>
          <w:lang w:eastAsia="zh-CN"/>
        </w:rPr>
        <w:t>号文件）附件</w:t>
      </w:r>
      <w:r>
        <w:rPr>
          <w:szCs w:val="24"/>
          <w:lang w:eastAsia="zh-CN"/>
        </w:rPr>
        <w:t>1</w:t>
      </w:r>
      <w:r>
        <w:rPr>
          <w:rFonts w:hint="eastAsia"/>
          <w:szCs w:val="24"/>
          <w:lang w:eastAsia="zh-CN"/>
        </w:rPr>
        <w:t>所列的活动，并在会后由一名国际电联职员引导讨论所发生的情况及原因；</w:t>
      </w:r>
    </w:p>
    <w:p w14:paraId="4827BB79" w14:textId="77777777" w:rsidR="00294EE9" w:rsidRDefault="00294EE9" w:rsidP="00294EE9">
      <w:pPr>
        <w:rPr>
          <w:szCs w:val="24"/>
          <w:lang w:val="en-US" w:eastAsia="zh-CN"/>
        </w:rPr>
      </w:pPr>
      <w:r>
        <w:rPr>
          <w:szCs w:val="24"/>
          <w:lang w:val="en-US" w:eastAsia="zh-CN"/>
        </w:rPr>
        <w:t>2</w:t>
      </w:r>
      <w:r>
        <w:rPr>
          <w:szCs w:val="24"/>
          <w:lang w:val="en-US" w:eastAsia="zh-CN"/>
        </w:rPr>
        <w:tab/>
      </w:r>
      <w:r>
        <w:rPr>
          <w:rFonts w:hint="eastAsia"/>
          <w:szCs w:val="24"/>
          <w:lang w:val="en-US" w:eastAsia="zh-CN"/>
        </w:rPr>
        <w:t>重点吸收更多青年参与国际电联的活动和大会；</w:t>
      </w:r>
    </w:p>
    <w:p w14:paraId="4827BB7A" w14:textId="77777777" w:rsidR="00294EE9" w:rsidRDefault="00294EE9" w:rsidP="00294EE9">
      <w:pPr>
        <w:rPr>
          <w:szCs w:val="24"/>
          <w:lang w:val="en-US" w:eastAsia="zh-CN"/>
        </w:rPr>
      </w:pPr>
      <w:r>
        <w:rPr>
          <w:szCs w:val="24"/>
          <w:lang w:eastAsia="zh-CN"/>
        </w:rPr>
        <w:t>3</w:t>
      </w:r>
      <w:r>
        <w:rPr>
          <w:szCs w:val="24"/>
          <w:lang w:eastAsia="zh-CN"/>
        </w:rPr>
        <w:tab/>
      </w:r>
      <w:r>
        <w:rPr>
          <w:rFonts w:hint="eastAsia"/>
          <w:szCs w:val="24"/>
          <w:lang w:eastAsia="zh-CN"/>
        </w:rPr>
        <w:t>在实施国际电联</w:t>
      </w:r>
      <w:r>
        <w:rPr>
          <w:szCs w:val="24"/>
          <w:lang w:eastAsia="zh-CN"/>
        </w:rPr>
        <w:t>2016-2019</w:t>
      </w:r>
      <w:r>
        <w:rPr>
          <w:rFonts w:hint="eastAsia"/>
          <w:szCs w:val="24"/>
          <w:lang w:eastAsia="zh-CN"/>
        </w:rPr>
        <w:t>年战略规划和财务规划以及各部门和总秘书处的运作规划的过程中保留和扩展青年视角；</w:t>
      </w:r>
    </w:p>
    <w:p w14:paraId="4827BB7B" w14:textId="77777777" w:rsidR="00294EE9" w:rsidRDefault="00294EE9" w:rsidP="00294EE9">
      <w:pPr>
        <w:rPr>
          <w:szCs w:val="24"/>
          <w:lang w:val="en-US" w:eastAsia="zh-CN"/>
        </w:rPr>
      </w:pPr>
      <w:r>
        <w:rPr>
          <w:szCs w:val="24"/>
          <w:lang w:eastAsia="zh-CN"/>
        </w:rPr>
        <w:t>4</w:t>
      </w:r>
      <w:r>
        <w:rPr>
          <w:szCs w:val="24"/>
          <w:lang w:eastAsia="zh-CN"/>
        </w:rPr>
        <w:tab/>
      </w:r>
      <w:r>
        <w:rPr>
          <w:rFonts w:hint="eastAsia"/>
          <w:szCs w:val="24"/>
          <w:lang w:val="en-US" w:eastAsia="zh-CN"/>
        </w:rPr>
        <w:t>本决议预见的各项活动均应在国际电联现有财务资源范围内进行，</w:t>
      </w:r>
    </w:p>
    <w:p w14:paraId="4827BB7C" w14:textId="77777777" w:rsidR="00294EE9" w:rsidRDefault="00294EE9" w:rsidP="00294EE9">
      <w:pPr>
        <w:pStyle w:val="Call"/>
        <w:rPr>
          <w:lang w:eastAsia="zh-CN"/>
        </w:rPr>
      </w:pPr>
      <w:r>
        <w:rPr>
          <w:rFonts w:hint="eastAsia"/>
          <w:lang w:eastAsia="zh-CN"/>
        </w:rPr>
        <w:t>责成秘书长</w:t>
      </w:r>
    </w:p>
    <w:p w14:paraId="4827BB7D" w14:textId="77777777" w:rsidR="00294EE9" w:rsidRDefault="00294EE9" w:rsidP="00294EE9">
      <w:pPr>
        <w:rPr>
          <w:lang w:val="en-US" w:eastAsia="zh-CN"/>
        </w:rPr>
      </w:pPr>
      <w:r>
        <w:rPr>
          <w:lang w:eastAsia="zh-CN"/>
        </w:rPr>
        <w:t>1</w:t>
      </w:r>
      <w:r>
        <w:rPr>
          <w:lang w:eastAsia="zh-CN"/>
        </w:rPr>
        <w:tab/>
      </w:r>
      <w:r>
        <w:rPr>
          <w:rFonts w:hint="eastAsia"/>
          <w:lang w:eastAsia="zh-CN"/>
        </w:rPr>
        <w:t>继续确保将得到加强的青年观点贯彻到国际电联的工作计划和活动中，尤其是国际电联</w:t>
      </w:r>
      <w:r>
        <w:rPr>
          <w:lang w:eastAsia="zh-CN"/>
        </w:rPr>
        <w:t>150</w:t>
      </w:r>
      <w:r>
        <w:rPr>
          <w:rFonts w:hint="eastAsia"/>
          <w:lang w:eastAsia="zh-CN"/>
        </w:rPr>
        <w:t>周年庆典，并继续向国际电联理事会报告国际电联涉及青年和电信</w:t>
      </w:r>
      <w:r>
        <w:rPr>
          <w:lang w:val="en-US" w:eastAsia="zh-CN"/>
        </w:rPr>
        <w:t>/ICT</w:t>
      </w:r>
      <w:r>
        <w:rPr>
          <w:rFonts w:hint="eastAsia"/>
          <w:lang w:val="en-US" w:eastAsia="zh-CN"/>
        </w:rPr>
        <w:t>的活动；</w:t>
      </w:r>
    </w:p>
    <w:p w14:paraId="4827BB7E" w14:textId="77777777" w:rsidR="00294EE9" w:rsidRDefault="00294EE9" w:rsidP="00294EE9">
      <w:pPr>
        <w:rPr>
          <w:szCs w:val="24"/>
          <w:lang w:eastAsia="zh-CN"/>
        </w:rPr>
      </w:pPr>
      <w:r>
        <w:rPr>
          <w:lang w:val="en-US" w:eastAsia="zh-CN"/>
        </w:rPr>
        <w:t>2</w:t>
      </w:r>
      <w:r>
        <w:rPr>
          <w:lang w:val="en-US" w:eastAsia="zh-CN"/>
        </w:rPr>
        <w:tab/>
      </w:r>
      <w:r>
        <w:rPr>
          <w:rFonts w:hint="eastAsia"/>
          <w:lang w:val="en-US" w:eastAsia="zh-CN"/>
        </w:rPr>
        <w:t>考虑在其提交国际电联理事会的年度报告中确定下一年青年参与活动的主题，为国际电联、成员国和部门成员开展的活动设定重点；</w:t>
      </w:r>
    </w:p>
    <w:p w14:paraId="4827BB7F" w14:textId="77777777" w:rsidR="00294EE9" w:rsidRDefault="00294EE9" w:rsidP="00294EE9">
      <w:pPr>
        <w:rPr>
          <w:lang w:val="en-US" w:eastAsia="zh-CN"/>
        </w:rPr>
      </w:pPr>
      <w:r>
        <w:rPr>
          <w:lang w:val="en-US" w:eastAsia="zh-CN"/>
        </w:rPr>
        <w:t>3</w:t>
      </w:r>
      <w:r>
        <w:rPr>
          <w:lang w:val="en-US" w:eastAsia="zh-CN"/>
        </w:rPr>
        <w:tab/>
      </w:r>
      <w:r>
        <w:rPr>
          <w:rFonts w:hint="eastAsia"/>
          <w:lang w:val="en-US" w:eastAsia="zh-CN"/>
        </w:rPr>
        <w:t>确保在</w:t>
      </w:r>
      <w:r>
        <w:rPr>
          <w:lang w:val="en-US" w:eastAsia="zh-CN"/>
        </w:rPr>
        <w:t>2016-2018</w:t>
      </w:r>
      <w:r>
        <w:rPr>
          <w:rFonts w:hint="eastAsia"/>
          <w:lang w:val="en-US" w:eastAsia="zh-CN"/>
        </w:rPr>
        <w:t>年期间落实国际电联活动路线图的过程中协调国际电联的活动，加快接纳青年参与国际电联的电信</w:t>
      </w:r>
      <w:r>
        <w:rPr>
          <w:lang w:val="en-US" w:eastAsia="zh-CN"/>
        </w:rPr>
        <w:t>/ICT</w:t>
      </w:r>
      <w:r>
        <w:rPr>
          <w:rFonts w:hint="eastAsia"/>
          <w:lang w:val="en-US" w:eastAsia="zh-CN"/>
        </w:rPr>
        <w:t>活动，以便尽可能避免三个部门在这些活动上的重复与重叠；</w:t>
      </w:r>
    </w:p>
    <w:p w14:paraId="4827BB80" w14:textId="77777777" w:rsidR="00294EE9" w:rsidRDefault="00294EE9" w:rsidP="00294EE9">
      <w:pPr>
        <w:rPr>
          <w:szCs w:val="24"/>
          <w:lang w:val="en-US" w:eastAsia="zh-CN"/>
        </w:rPr>
      </w:pPr>
      <w:r>
        <w:rPr>
          <w:szCs w:val="24"/>
          <w:lang w:eastAsia="zh-CN"/>
        </w:rPr>
        <w:t>4</w:t>
      </w:r>
      <w:r>
        <w:rPr>
          <w:szCs w:val="24"/>
          <w:lang w:eastAsia="zh-CN"/>
        </w:rPr>
        <w:tab/>
      </w:r>
      <w:r>
        <w:rPr>
          <w:rFonts w:hint="eastAsia"/>
          <w:szCs w:val="24"/>
          <w:lang w:eastAsia="zh-CN"/>
        </w:rPr>
        <w:t>尽可能</w:t>
      </w:r>
      <w:r>
        <w:rPr>
          <w:rFonts w:hint="eastAsia"/>
          <w:szCs w:val="24"/>
          <w:lang w:val="en-US" w:eastAsia="zh-CN"/>
        </w:rPr>
        <w:t>在国际电联结构内强化学术成员的作用，以提升学术成员和青年参与国际电联工作的价值；</w:t>
      </w:r>
    </w:p>
    <w:p w14:paraId="4827BB81" w14:textId="77777777" w:rsidR="00294EE9" w:rsidRDefault="00294EE9" w:rsidP="00294EE9">
      <w:pPr>
        <w:rPr>
          <w:szCs w:val="24"/>
          <w:lang w:eastAsia="zh-CN"/>
        </w:rPr>
      </w:pPr>
      <w:r>
        <w:rPr>
          <w:szCs w:val="24"/>
          <w:lang w:eastAsia="zh-CN"/>
        </w:rPr>
        <w:t>5</w:t>
      </w:r>
      <w:r>
        <w:rPr>
          <w:szCs w:val="24"/>
          <w:lang w:eastAsia="zh-CN"/>
        </w:rPr>
        <w:tab/>
      </w:r>
      <w:r>
        <w:rPr>
          <w:rFonts w:hint="eastAsia"/>
          <w:color w:val="000000"/>
          <w:lang w:eastAsia="zh-CN"/>
        </w:rPr>
        <w:t>收集有关最成功青年举措的信息，侧重于通过</w:t>
      </w:r>
      <w:r>
        <w:rPr>
          <w:color w:val="000000"/>
          <w:lang w:eastAsia="zh-CN"/>
        </w:rPr>
        <w:t>ICT</w:t>
      </w:r>
      <w:r>
        <w:rPr>
          <w:rFonts w:hint="eastAsia"/>
          <w:color w:val="000000"/>
          <w:lang w:eastAsia="zh-CN"/>
        </w:rPr>
        <w:t>和电信增强权</w:t>
      </w:r>
      <w:r>
        <w:rPr>
          <w:rFonts w:ascii="SimSun" w:hAnsi="SimSun" w:cs="SimSun" w:hint="eastAsia"/>
          <w:color w:val="000000"/>
          <w:lang w:eastAsia="zh-CN"/>
        </w:rPr>
        <w:t>能，以便在成员国所在各区域推广；</w:t>
      </w:r>
    </w:p>
    <w:p w14:paraId="4827BB82" w14:textId="77777777" w:rsidR="00294EE9" w:rsidRDefault="00294EE9" w:rsidP="00294EE9">
      <w:pPr>
        <w:rPr>
          <w:szCs w:val="24"/>
          <w:lang w:eastAsia="zh-CN"/>
        </w:rPr>
      </w:pPr>
      <w:r>
        <w:rPr>
          <w:szCs w:val="24"/>
          <w:lang w:eastAsia="zh-CN"/>
        </w:rPr>
        <w:t>6</w:t>
      </w:r>
      <w:r>
        <w:rPr>
          <w:szCs w:val="24"/>
          <w:lang w:eastAsia="zh-CN"/>
        </w:rPr>
        <w:tab/>
      </w:r>
      <w:r>
        <w:rPr>
          <w:rFonts w:hint="eastAsia"/>
          <w:color w:val="000000"/>
          <w:lang w:eastAsia="zh-CN"/>
        </w:rPr>
        <w:t>确定可协助各国在其公共决策过程中将承诺推动有利于青年参与其最自身关心的、</w:t>
      </w:r>
      <w:r>
        <w:rPr>
          <w:color w:val="000000"/>
          <w:lang w:eastAsia="zh-CN"/>
        </w:rPr>
        <w:t>2013</w:t>
      </w:r>
      <w:r>
        <w:rPr>
          <w:rFonts w:hint="eastAsia"/>
          <w:color w:val="000000"/>
          <w:lang w:eastAsia="zh-CN"/>
        </w:rPr>
        <w:t>年《圣何塞宣言》所述领域的举措包括在内的措施。</w:t>
      </w:r>
      <w:r>
        <w:rPr>
          <w:rFonts w:hint="eastAsia"/>
          <w:color w:val="000000"/>
          <w:lang w:eastAsia="zh-CN"/>
        </w:rPr>
        <w:t xml:space="preserve"> </w:t>
      </w:r>
      <w:r>
        <w:rPr>
          <w:rFonts w:hint="eastAsia"/>
          <w:color w:val="000000"/>
          <w:lang w:eastAsia="zh-CN"/>
        </w:rPr>
        <w:t>该宣言旨在收集青年人对现今全球现实状况的见解和关</w:t>
      </w:r>
      <w:r>
        <w:rPr>
          <w:rFonts w:ascii="SimSun" w:hAnsi="SimSun" w:cs="SimSun" w:hint="eastAsia"/>
          <w:color w:val="000000"/>
          <w:lang w:eastAsia="zh-CN"/>
        </w:rPr>
        <w:t>注；</w:t>
      </w:r>
    </w:p>
    <w:p w14:paraId="4827BB83" w14:textId="77777777" w:rsidR="00294EE9" w:rsidRDefault="00294EE9" w:rsidP="00294EE9">
      <w:pPr>
        <w:rPr>
          <w:szCs w:val="24"/>
          <w:lang w:eastAsia="zh-CN"/>
        </w:rPr>
      </w:pPr>
      <w:r>
        <w:rPr>
          <w:szCs w:val="24"/>
          <w:lang w:eastAsia="zh-CN"/>
        </w:rPr>
        <w:t>7</w:t>
      </w:r>
      <w:r>
        <w:rPr>
          <w:szCs w:val="24"/>
          <w:lang w:eastAsia="zh-CN"/>
        </w:rPr>
        <w:tab/>
      </w:r>
      <w:r>
        <w:rPr>
          <w:rFonts w:hint="eastAsia"/>
          <w:szCs w:val="24"/>
          <w:lang w:eastAsia="zh-CN"/>
        </w:rPr>
        <w:t>考虑</w:t>
      </w:r>
      <w:r>
        <w:rPr>
          <w:rFonts w:hint="eastAsia"/>
          <w:color w:val="000000"/>
          <w:lang w:eastAsia="zh-CN"/>
        </w:rPr>
        <w:t>与其他相关组织结成伙伴合作关系，以完善现有的举措并最高效地利用可用资</w:t>
      </w:r>
      <w:r>
        <w:rPr>
          <w:rFonts w:ascii="SimSun" w:hAnsi="SimSun" w:cs="SimSun" w:hint="eastAsia"/>
          <w:color w:val="000000"/>
          <w:lang w:eastAsia="zh-CN"/>
        </w:rPr>
        <w:t>源；</w:t>
      </w:r>
    </w:p>
    <w:p w14:paraId="4827BB84" w14:textId="77777777" w:rsidR="00C33678" w:rsidRDefault="00C33678">
      <w:pPr>
        <w:tabs>
          <w:tab w:val="clear" w:pos="794"/>
          <w:tab w:val="clear" w:pos="1191"/>
          <w:tab w:val="clear" w:pos="1588"/>
          <w:tab w:val="clear" w:pos="1985"/>
        </w:tabs>
        <w:overflowPunct/>
        <w:autoSpaceDE/>
        <w:autoSpaceDN/>
        <w:adjustRightInd/>
        <w:spacing w:before="0"/>
        <w:jc w:val="left"/>
        <w:textAlignment w:val="auto"/>
        <w:rPr>
          <w:szCs w:val="24"/>
          <w:lang w:eastAsia="zh-CN"/>
        </w:rPr>
      </w:pPr>
      <w:r>
        <w:rPr>
          <w:szCs w:val="24"/>
          <w:lang w:eastAsia="zh-CN"/>
        </w:rPr>
        <w:br w:type="page"/>
      </w:r>
    </w:p>
    <w:p w14:paraId="4827BB85" w14:textId="77777777" w:rsidR="00294EE9" w:rsidRDefault="00294EE9" w:rsidP="00294EE9">
      <w:pPr>
        <w:rPr>
          <w:szCs w:val="24"/>
          <w:lang w:val="en-US" w:eastAsia="zh-CN"/>
        </w:rPr>
      </w:pPr>
      <w:r>
        <w:rPr>
          <w:szCs w:val="24"/>
          <w:lang w:eastAsia="zh-CN"/>
        </w:rPr>
        <w:lastRenderedPageBreak/>
        <w:t>8</w:t>
      </w:r>
      <w:r>
        <w:rPr>
          <w:szCs w:val="24"/>
          <w:lang w:eastAsia="zh-CN"/>
        </w:rPr>
        <w:tab/>
      </w:r>
      <w:r>
        <w:rPr>
          <w:rFonts w:hint="eastAsia"/>
          <w:color w:val="000000"/>
          <w:lang w:eastAsia="zh-CN"/>
        </w:rPr>
        <w:t>设立一项特别基金，以扩大国际电联与落实第</w:t>
      </w:r>
      <w:r>
        <w:rPr>
          <w:color w:val="000000"/>
          <w:lang w:eastAsia="zh-CN"/>
        </w:rPr>
        <w:t>198</w:t>
      </w:r>
      <w:r>
        <w:rPr>
          <w:rFonts w:hint="eastAsia"/>
          <w:color w:val="000000"/>
          <w:lang w:eastAsia="zh-CN"/>
        </w:rPr>
        <w:t>号决议（</w:t>
      </w:r>
      <w:r>
        <w:rPr>
          <w:color w:val="000000"/>
          <w:lang w:eastAsia="zh-CN"/>
        </w:rPr>
        <w:t>2014</w:t>
      </w:r>
      <w:r>
        <w:rPr>
          <w:rFonts w:hint="eastAsia"/>
          <w:color w:val="000000"/>
          <w:lang w:eastAsia="zh-CN"/>
        </w:rPr>
        <w:t>年，釜山）有关措施的财务资源。该基金将由国际电联成员国和部门成员以及非盈利基金、基金组织等其他相关组织提供的自愿捐款构</w:t>
      </w:r>
      <w:r>
        <w:rPr>
          <w:rFonts w:ascii="SimSun" w:hAnsi="SimSun" w:cs="SimSun" w:hint="eastAsia"/>
          <w:color w:val="000000"/>
          <w:lang w:eastAsia="zh-CN"/>
        </w:rPr>
        <w:t>成，</w:t>
      </w:r>
    </w:p>
    <w:p w14:paraId="4827BB86" w14:textId="77777777" w:rsidR="00294EE9" w:rsidRDefault="00294EE9" w:rsidP="00294EE9">
      <w:pPr>
        <w:pStyle w:val="Call"/>
        <w:rPr>
          <w:lang w:eastAsia="zh-CN"/>
        </w:rPr>
      </w:pPr>
      <w:r>
        <w:rPr>
          <w:rFonts w:hint="eastAsia"/>
          <w:lang w:eastAsia="zh-CN"/>
        </w:rPr>
        <w:t>责成三个局的主任</w:t>
      </w:r>
    </w:p>
    <w:p w14:paraId="4827BB87" w14:textId="77777777" w:rsidR="00294EE9" w:rsidRDefault="00294EE9" w:rsidP="00294EE9">
      <w:pPr>
        <w:ind w:firstLineChars="200" w:firstLine="480"/>
        <w:rPr>
          <w:szCs w:val="24"/>
          <w:lang w:val="en-US" w:eastAsia="zh-CN"/>
        </w:rPr>
      </w:pPr>
      <w:r>
        <w:rPr>
          <w:rFonts w:hint="eastAsia"/>
          <w:szCs w:val="24"/>
          <w:lang w:val="en-US" w:eastAsia="zh-CN"/>
        </w:rPr>
        <w:t>继续探讨提供额外的有意义机遇的方式和手段，方便青年参与各局工作。</w:t>
      </w:r>
    </w:p>
    <w:p w14:paraId="4827BB88" w14:textId="77777777" w:rsidR="00294EE9" w:rsidRDefault="00294EE9" w:rsidP="00294EE9">
      <w:pPr>
        <w:pStyle w:val="Call"/>
        <w:rPr>
          <w:i/>
          <w:szCs w:val="24"/>
          <w:lang w:eastAsia="zh-CN"/>
        </w:rPr>
      </w:pPr>
      <w:r>
        <w:rPr>
          <w:rFonts w:hint="eastAsia"/>
          <w:lang w:eastAsia="zh-CN"/>
        </w:rPr>
        <w:t>责成理事会财务和人力资源工作组</w:t>
      </w:r>
    </w:p>
    <w:p w14:paraId="4827BB89" w14:textId="77777777" w:rsidR="00294EE9" w:rsidRDefault="00294EE9" w:rsidP="00294EE9">
      <w:pPr>
        <w:ind w:firstLineChars="200" w:firstLine="480"/>
        <w:rPr>
          <w:szCs w:val="24"/>
          <w:lang w:val="en-US" w:eastAsia="zh-CN"/>
        </w:rPr>
      </w:pPr>
      <w:r>
        <w:rPr>
          <w:rFonts w:hint="eastAsia"/>
          <w:szCs w:val="24"/>
          <w:lang w:eastAsia="zh-CN"/>
        </w:rPr>
        <w:t>考虑在该理事会工作组内设立一个特设组，专门审议青年参与</w:t>
      </w:r>
      <w:r>
        <w:rPr>
          <w:szCs w:val="24"/>
          <w:lang w:eastAsia="zh-CN"/>
        </w:rPr>
        <w:t>ICT</w:t>
      </w:r>
      <w:r>
        <w:rPr>
          <w:rFonts w:hint="eastAsia"/>
          <w:szCs w:val="24"/>
          <w:lang w:eastAsia="zh-CN"/>
        </w:rPr>
        <w:t>问题。这个特设组可为青年更多地参与国际电联的活动提供一个场所。</w:t>
      </w:r>
    </w:p>
    <w:p w14:paraId="4827BB8A" w14:textId="77777777" w:rsidR="00294EE9" w:rsidRDefault="00294EE9" w:rsidP="00294EE9">
      <w:pPr>
        <w:pStyle w:val="Call"/>
        <w:rPr>
          <w:lang w:eastAsia="zh-CN"/>
        </w:rPr>
      </w:pPr>
      <w:r>
        <w:rPr>
          <w:rFonts w:hint="eastAsia"/>
          <w:lang w:eastAsia="zh-CN"/>
        </w:rPr>
        <w:t>请成员国和部门成员</w:t>
      </w:r>
    </w:p>
    <w:p w14:paraId="4827BB8B" w14:textId="77777777" w:rsidR="00294EE9" w:rsidRDefault="00294EE9" w:rsidP="00294EE9">
      <w:pPr>
        <w:rPr>
          <w:lang w:eastAsia="zh-CN"/>
        </w:rPr>
      </w:pPr>
      <w:r>
        <w:rPr>
          <w:lang w:eastAsia="zh-CN"/>
        </w:rPr>
        <w:t>1</w:t>
      </w:r>
      <w:r>
        <w:rPr>
          <w:lang w:eastAsia="zh-CN"/>
        </w:rPr>
        <w:tab/>
      </w:r>
      <w:r>
        <w:rPr>
          <w:rFonts w:hint="eastAsia"/>
          <w:szCs w:val="24"/>
          <w:lang w:eastAsia="zh-CN"/>
        </w:rPr>
        <w:t>积极支持和参加国际电联宣传青年参与国际电联</w:t>
      </w:r>
      <w:r>
        <w:rPr>
          <w:rFonts w:hint="eastAsia"/>
          <w:szCs w:val="24"/>
          <w:lang w:val="en-US" w:eastAsia="zh-CN"/>
        </w:rPr>
        <w:t>电信</w:t>
      </w:r>
      <w:r>
        <w:rPr>
          <w:szCs w:val="24"/>
          <w:lang w:val="en-US" w:eastAsia="zh-CN"/>
        </w:rPr>
        <w:t>/ICT</w:t>
      </w:r>
      <w:r>
        <w:rPr>
          <w:rFonts w:hint="eastAsia"/>
          <w:szCs w:val="24"/>
          <w:lang w:val="en-US" w:eastAsia="zh-CN"/>
        </w:rPr>
        <w:t>活动的重要性，并通过诸如青年实际参与国际电联</w:t>
      </w:r>
      <w:r>
        <w:rPr>
          <w:szCs w:val="24"/>
          <w:lang w:val="en-US" w:eastAsia="zh-CN"/>
        </w:rPr>
        <w:t>150</w:t>
      </w:r>
      <w:r>
        <w:rPr>
          <w:rFonts w:hint="eastAsia"/>
          <w:szCs w:val="24"/>
          <w:lang w:val="en-US" w:eastAsia="zh-CN"/>
        </w:rPr>
        <w:t>周年庆典和秘书长提交理事会的报告（</w:t>
      </w:r>
      <w:r>
        <w:rPr>
          <w:szCs w:val="24"/>
          <w:lang w:eastAsia="zh-CN"/>
        </w:rPr>
        <w:t>C15/91</w:t>
      </w:r>
      <w:r>
        <w:rPr>
          <w:rFonts w:hint="eastAsia"/>
          <w:szCs w:val="24"/>
          <w:lang w:eastAsia="zh-CN"/>
        </w:rPr>
        <w:t>号文件）附件</w:t>
      </w:r>
      <w:r>
        <w:rPr>
          <w:szCs w:val="24"/>
          <w:lang w:eastAsia="zh-CN"/>
        </w:rPr>
        <w:t>1</w:t>
      </w:r>
      <w:r>
        <w:rPr>
          <w:rFonts w:hint="eastAsia"/>
          <w:szCs w:val="24"/>
          <w:lang w:eastAsia="zh-CN"/>
        </w:rPr>
        <w:t>所列活动，确定强化与青年联系的方式；</w:t>
      </w:r>
    </w:p>
    <w:p w14:paraId="4827BB8C" w14:textId="77777777" w:rsidR="00294EE9" w:rsidRDefault="00294EE9" w:rsidP="00294EE9">
      <w:pPr>
        <w:rPr>
          <w:lang w:eastAsia="zh-CN"/>
        </w:rPr>
      </w:pPr>
      <w:r>
        <w:rPr>
          <w:lang w:eastAsia="zh-CN"/>
        </w:rPr>
        <w:t>2</w:t>
      </w:r>
      <w:r>
        <w:rPr>
          <w:lang w:eastAsia="zh-CN"/>
        </w:rPr>
        <w:tab/>
      </w:r>
      <w:r>
        <w:rPr>
          <w:rFonts w:hint="eastAsia"/>
          <w:lang w:eastAsia="zh-CN"/>
        </w:rPr>
        <w:t>继续与民间团体和</w:t>
      </w:r>
      <w:r>
        <w:rPr>
          <w:rFonts w:cstheme="minorHAnsi" w:hint="eastAsia"/>
          <w:lang w:eastAsia="zh-CN"/>
        </w:rPr>
        <w:t>和私营部门开展协作，以推广导师计划和专业化以及最新的青年创新者电信</w:t>
      </w:r>
      <w:r>
        <w:rPr>
          <w:rFonts w:cstheme="minorHAnsi"/>
          <w:lang w:val="en-US" w:eastAsia="zh-CN"/>
        </w:rPr>
        <w:t>/ICT</w:t>
      </w:r>
      <w:r>
        <w:rPr>
          <w:rFonts w:cstheme="minorHAnsi" w:hint="eastAsia"/>
          <w:lang w:val="en-US" w:eastAsia="zh-CN"/>
        </w:rPr>
        <w:t>使用培训，以帮助他们了解和有效参与国际电联的工作；</w:t>
      </w:r>
    </w:p>
    <w:p w14:paraId="4827BB8D" w14:textId="77777777" w:rsidR="00294EE9" w:rsidRDefault="00294EE9" w:rsidP="00294EE9">
      <w:pPr>
        <w:rPr>
          <w:lang w:val="en-US" w:eastAsia="zh-CN"/>
        </w:rPr>
      </w:pPr>
      <w:r>
        <w:rPr>
          <w:lang w:eastAsia="zh-CN"/>
        </w:rPr>
        <w:t>3</w:t>
      </w:r>
      <w:r>
        <w:rPr>
          <w:lang w:eastAsia="zh-CN"/>
        </w:rPr>
        <w:tab/>
      </w:r>
      <w:r>
        <w:rPr>
          <w:rFonts w:hint="eastAsia"/>
          <w:lang w:eastAsia="zh-CN"/>
        </w:rPr>
        <w:t>与有提高青年能力经验的相关国际组织合作，为与电信</w:t>
      </w:r>
      <w:r>
        <w:rPr>
          <w:lang w:val="en-US" w:eastAsia="zh-CN"/>
        </w:rPr>
        <w:t>/ICT</w:t>
      </w:r>
      <w:r>
        <w:rPr>
          <w:rFonts w:hint="eastAsia"/>
          <w:lang w:val="en-US" w:eastAsia="zh-CN"/>
        </w:rPr>
        <w:t>相关的青年项目和计划开发工具和制定指导原则，并帮助提高青年在</w:t>
      </w:r>
      <w:r>
        <w:rPr>
          <w:lang w:val="en-US" w:eastAsia="zh-CN"/>
        </w:rPr>
        <w:t>ICT</w:t>
      </w:r>
      <w:r>
        <w:rPr>
          <w:rFonts w:hint="eastAsia"/>
          <w:lang w:val="en-US" w:eastAsia="zh-CN"/>
        </w:rPr>
        <w:t>活动中的参与度；</w:t>
      </w:r>
    </w:p>
    <w:p w14:paraId="4827BB8E" w14:textId="77777777" w:rsidR="00294EE9" w:rsidRDefault="00294EE9" w:rsidP="00294EE9">
      <w:pPr>
        <w:rPr>
          <w:lang w:eastAsia="zh-CN"/>
        </w:rPr>
      </w:pPr>
      <w:r>
        <w:rPr>
          <w:lang w:eastAsia="zh-CN"/>
        </w:rPr>
        <w:t>4</w:t>
      </w:r>
      <w:r>
        <w:rPr>
          <w:lang w:eastAsia="zh-CN"/>
        </w:rPr>
        <w:tab/>
      </w:r>
      <w:r>
        <w:rPr>
          <w:rFonts w:hint="eastAsia"/>
          <w:lang w:eastAsia="zh-CN"/>
        </w:rPr>
        <w:t>考虑允许其专业人员借调到初级专业项目或其他此类项目工作</w:t>
      </w:r>
      <w:r>
        <w:rPr>
          <w:lang w:eastAsia="zh-CN"/>
        </w:rPr>
        <w:t>12</w:t>
      </w:r>
      <w:r>
        <w:rPr>
          <w:rFonts w:hint="eastAsia"/>
          <w:lang w:eastAsia="zh-CN"/>
        </w:rPr>
        <w:t>或</w:t>
      </w:r>
      <w:r>
        <w:rPr>
          <w:lang w:eastAsia="zh-CN"/>
        </w:rPr>
        <w:t>24</w:t>
      </w:r>
      <w:r>
        <w:rPr>
          <w:rFonts w:hint="eastAsia"/>
          <w:lang w:eastAsia="zh-CN"/>
        </w:rPr>
        <w:t>个月，以支持本决议及第</w:t>
      </w:r>
      <w:r>
        <w:rPr>
          <w:lang w:eastAsia="zh-CN"/>
        </w:rPr>
        <w:t>198</w:t>
      </w:r>
      <w:r>
        <w:rPr>
          <w:rFonts w:hint="eastAsia"/>
          <w:lang w:eastAsia="zh-CN"/>
        </w:rPr>
        <w:t>号决议（</w:t>
      </w:r>
      <w:r>
        <w:rPr>
          <w:lang w:eastAsia="zh-CN"/>
        </w:rPr>
        <w:t>2014</w:t>
      </w:r>
      <w:r>
        <w:rPr>
          <w:rFonts w:hint="eastAsia"/>
          <w:lang w:eastAsia="zh-CN"/>
        </w:rPr>
        <w:t>年，釜山）的落实，</w:t>
      </w:r>
    </w:p>
    <w:p w14:paraId="4827BB8F" w14:textId="77777777" w:rsidR="00294EE9" w:rsidRDefault="00294EE9" w:rsidP="00294EE9">
      <w:pPr>
        <w:pStyle w:val="Call"/>
        <w:rPr>
          <w:lang w:eastAsia="zh-CN"/>
        </w:rPr>
      </w:pPr>
      <w:r>
        <w:rPr>
          <w:rFonts w:hint="eastAsia"/>
          <w:lang w:eastAsia="zh-CN"/>
        </w:rPr>
        <w:t>请成员国</w:t>
      </w:r>
    </w:p>
    <w:p w14:paraId="4827BB90" w14:textId="77777777" w:rsidR="00294EE9" w:rsidRDefault="00294EE9" w:rsidP="00294EE9">
      <w:pPr>
        <w:rPr>
          <w:rFonts w:cstheme="minorHAnsi"/>
          <w:lang w:val="en-US" w:eastAsia="zh-CN"/>
        </w:rPr>
      </w:pPr>
      <w:r>
        <w:rPr>
          <w:rFonts w:cstheme="minorHAnsi"/>
          <w:lang w:val="en-US" w:eastAsia="zh-CN"/>
        </w:rPr>
        <w:t>1</w:t>
      </w:r>
      <w:r>
        <w:rPr>
          <w:rFonts w:cstheme="minorHAnsi"/>
          <w:lang w:val="en-US" w:eastAsia="zh-CN"/>
        </w:rPr>
        <w:tab/>
      </w:r>
      <w:r>
        <w:rPr>
          <w:rFonts w:cstheme="minorHAnsi" w:hint="eastAsia"/>
          <w:lang w:val="en-US" w:eastAsia="zh-CN"/>
        </w:rPr>
        <w:t>就加快青年参与电信</w:t>
      </w:r>
      <w:r>
        <w:rPr>
          <w:rFonts w:cstheme="minorHAnsi"/>
          <w:lang w:val="en-US" w:eastAsia="zh-CN"/>
        </w:rPr>
        <w:t>/ICT</w:t>
      </w:r>
      <w:r>
        <w:rPr>
          <w:rFonts w:cstheme="minorHAnsi" w:hint="eastAsia"/>
          <w:lang w:val="en-US" w:eastAsia="zh-CN"/>
        </w:rPr>
        <w:t>相关活动和计划交流最佳的国家做法，为在其它国家和国际电联开展类似工作树立榜样；</w:t>
      </w:r>
    </w:p>
    <w:p w14:paraId="4827BB91" w14:textId="77777777" w:rsidR="00294EE9" w:rsidRDefault="00294EE9" w:rsidP="00294EE9">
      <w:pPr>
        <w:rPr>
          <w:szCs w:val="24"/>
          <w:lang w:eastAsia="zh-CN"/>
        </w:rPr>
      </w:pPr>
      <w:r>
        <w:rPr>
          <w:rFonts w:cstheme="minorHAnsi"/>
          <w:lang w:val="en-US" w:eastAsia="zh-CN"/>
        </w:rPr>
        <w:t>2</w:t>
      </w:r>
      <w:r>
        <w:rPr>
          <w:rFonts w:cstheme="minorHAnsi"/>
          <w:lang w:val="en-US" w:eastAsia="zh-CN"/>
        </w:rPr>
        <w:tab/>
      </w:r>
      <w:r>
        <w:rPr>
          <w:rFonts w:hint="eastAsia"/>
          <w:szCs w:val="24"/>
          <w:lang w:eastAsia="zh-CN"/>
        </w:rPr>
        <w:t>考虑通过在一国出席主要国际电联大会的官方代表团中将年轻代表包括在内的青年代表计划，同时考虑到性别平衡，以提高青年人的认识、增加知识并激发他们对</w:t>
      </w:r>
      <w:r>
        <w:rPr>
          <w:szCs w:val="24"/>
          <w:lang w:eastAsia="zh-CN"/>
        </w:rPr>
        <w:t>ICT</w:t>
      </w:r>
      <w:r>
        <w:rPr>
          <w:rFonts w:hint="eastAsia"/>
          <w:szCs w:val="24"/>
          <w:lang w:eastAsia="zh-CN"/>
        </w:rPr>
        <w:t>的兴趣，从而直接推动这项决议的落实工作；</w:t>
      </w:r>
    </w:p>
    <w:p w14:paraId="4827BB92" w14:textId="77777777" w:rsidR="00294EE9" w:rsidRDefault="00294EE9" w:rsidP="00294EE9">
      <w:pPr>
        <w:rPr>
          <w:rFonts w:cstheme="minorHAnsi"/>
          <w:lang w:eastAsia="zh-CN"/>
        </w:rPr>
      </w:pPr>
      <w:r>
        <w:rPr>
          <w:szCs w:val="24"/>
          <w:lang w:eastAsia="zh-CN"/>
        </w:rPr>
        <w:t>3</w:t>
      </w:r>
      <w:r>
        <w:rPr>
          <w:szCs w:val="24"/>
          <w:lang w:eastAsia="zh-CN"/>
        </w:rPr>
        <w:tab/>
      </w:r>
      <w:r>
        <w:rPr>
          <w:rFonts w:hint="eastAsia"/>
          <w:color w:val="000000"/>
          <w:lang w:eastAsia="zh-CN"/>
        </w:rPr>
        <w:t>推动各组织、企业和政府部门内的自愿性举措和专业实践，以创建一种实用方法，促进</w:t>
      </w:r>
      <w:r>
        <w:rPr>
          <w:color w:val="000000"/>
          <w:lang w:eastAsia="zh-CN"/>
        </w:rPr>
        <w:t>ICT</w:t>
      </w:r>
      <w:r>
        <w:rPr>
          <w:rFonts w:hint="eastAsia"/>
          <w:color w:val="000000"/>
          <w:lang w:eastAsia="zh-CN"/>
        </w:rPr>
        <w:t>和电信成为增强青年经济和生产能力</w:t>
      </w:r>
      <w:r>
        <w:rPr>
          <w:rFonts w:ascii="SimSun" w:hAnsi="SimSun" w:cs="SimSun" w:hint="eastAsia"/>
          <w:color w:val="000000"/>
          <w:lang w:eastAsia="zh-CN"/>
        </w:rPr>
        <w:t>的平台，</w:t>
      </w:r>
    </w:p>
    <w:p w14:paraId="4827BB93" w14:textId="77777777" w:rsidR="00C33678" w:rsidRDefault="00C33678">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lang w:eastAsia="zh-CN"/>
        </w:rPr>
        <w:br w:type="page"/>
      </w:r>
    </w:p>
    <w:p w14:paraId="4827BB94" w14:textId="77777777" w:rsidR="00294EE9" w:rsidRDefault="00294EE9" w:rsidP="00294EE9">
      <w:pPr>
        <w:pStyle w:val="Call"/>
        <w:rPr>
          <w:lang w:eastAsia="zh-CN"/>
        </w:rPr>
      </w:pPr>
      <w:r>
        <w:rPr>
          <w:rFonts w:hint="eastAsia"/>
          <w:lang w:eastAsia="zh-CN"/>
        </w:rPr>
        <w:lastRenderedPageBreak/>
        <w:t>请学术成员</w:t>
      </w:r>
    </w:p>
    <w:p w14:paraId="4827BB95" w14:textId="77777777" w:rsidR="00294EE9" w:rsidRDefault="00294EE9" w:rsidP="00294EE9">
      <w:pPr>
        <w:rPr>
          <w:szCs w:val="22"/>
          <w:lang w:val="en-US" w:eastAsia="zh-CN"/>
        </w:rPr>
      </w:pPr>
      <w:r>
        <w:rPr>
          <w:szCs w:val="22"/>
          <w:lang w:val="en-US" w:eastAsia="zh-CN"/>
        </w:rPr>
        <w:t>1</w:t>
      </w:r>
      <w:r>
        <w:rPr>
          <w:szCs w:val="22"/>
          <w:lang w:val="en-US" w:eastAsia="zh-CN"/>
        </w:rPr>
        <w:tab/>
      </w:r>
      <w:r>
        <w:rPr>
          <w:rFonts w:hint="eastAsia"/>
          <w:szCs w:val="22"/>
          <w:lang w:val="en-US" w:eastAsia="zh-CN"/>
        </w:rPr>
        <w:t>继续通过提供信息、与会补贴和奖励参加国际电联活动等方式，为有效地更多接触青年提供必要机遇；</w:t>
      </w:r>
    </w:p>
    <w:p w14:paraId="4827BB96" w14:textId="77777777" w:rsidR="00294EE9" w:rsidRDefault="00294EE9" w:rsidP="00294EE9">
      <w:pPr>
        <w:rPr>
          <w:rFonts w:cstheme="minorHAnsi"/>
          <w:lang w:val="en-US" w:eastAsia="zh-CN"/>
        </w:rPr>
      </w:pPr>
      <w:r>
        <w:rPr>
          <w:szCs w:val="22"/>
          <w:lang w:val="en-US" w:eastAsia="zh-CN"/>
        </w:rPr>
        <w:t>2</w:t>
      </w:r>
      <w:r>
        <w:rPr>
          <w:szCs w:val="22"/>
          <w:lang w:val="en-US" w:eastAsia="zh-CN"/>
        </w:rPr>
        <w:tab/>
      </w:r>
      <w:r>
        <w:rPr>
          <w:rFonts w:cstheme="minorHAnsi" w:hint="eastAsia"/>
          <w:lang w:val="en-US" w:eastAsia="zh-CN"/>
        </w:rPr>
        <w:t>组织青年讲师和研究人员以及学生参与国际电联相关活动，通过能力建设使其能够有效参与上述活动；</w:t>
      </w:r>
    </w:p>
    <w:p w14:paraId="4827BB97" w14:textId="77777777" w:rsidR="00294EE9" w:rsidRDefault="00294EE9" w:rsidP="00294EE9">
      <w:pPr>
        <w:rPr>
          <w:szCs w:val="22"/>
          <w:lang w:val="en-US" w:eastAsia="zh-CN"/>
        </w:rPr>
      </w:pPr>
      <w:r>
        <w:rPr>
          <w:color w:val="222222"/>
          <w:szCs w:val="24"/>
          <w:shd w:val="clear" w:color="auto" w:fill="FFFFFF"/>
          <w:lang w:eastAsia="zh-CN"/>
        </w:rPr>
        <w:t>3</w:t>
      </w:r>
      <w:r>
        <w:rPr>
          <w:color w:val="222222"/>
          <w:szCs w:val="24"/>
          <w:shd w:val="clear" w:color="auto" w:fill="FFFFFF"/>
          <w:lang w:eastAsia="zh-CN"/>
        </w:rPr>
        <w:tab/>
      </w:r>
      <w:r>
        <w:rPr>
          <w:rFonts w:hint="eastAsia"/>
          <w:color w:val="000000"/>
          <w:lang w:eastAsia="zh-CN"/>
        </w:rPr>
        <w:t>强化从性别平等角度促进研究创新科技岗位的措施，这也包括在小学和中学及大学层面的项目和课</w:t>
      </w:r>
      <w:r>
        <w:rPr>
          <w:rFonts w:ascii="SimSun" w:hAnsi="SimSun" w:cs="SimSun" w:hint="eastAsia"/>
          <w:color w:val="000000"/>
          <w:lang w:eastAsia="zh-CN"/>
        </w:rPr>
        <w:t>程。</w:t>
      </w:r>
    </w:p>
    <w:p w14:paraId="4827BB98" w14:textId="77777777" w:rsidR="00294EE9" w:rsidRPr="00C76172" w:rsidRDefault="00294EE9" w:rsidP="00DD5BE8">
      <w:pPr>
        <w:pStyle w:val="Endtext"/>
        <w:rPr>
          <w:lang w:val="fr-FR" w:eastAsia="zh-CN"/>
        </w:rPr>
      </w:pPr>
      <w:r>
        <w:rPr>
          <w:rFonts w:hint="eastAsia"/>
          <w:lang w:val="fr-FR" w:eastAsia="zh-CN"/>
        </w:rPr>
        <w:t>参阅</w:t>
      </w:r>
      <w:r>
        <w:rPr>
          <w:lang w:val="fr-FR" w:eastAsia="zh-CN"/>
        </w:rPr>
        <w:t>：</w:t>
      </w:r>
      <w:r w:rsidR="00DD5BE8">
        <w:rPr>
          <w:lang w:val="fr-FR" w:eastAsia="zh-CN"/>
        </w:rPr>
        <w:tab/>
      </w:r>
      <w:hyperlink r:id="rId512" w:history="1">
        <w:r w:rsidRPr="003C453B">
          <w:rPr>
            <w:rStyle w:val="Hyperlink"/>
            <w:lang w:val="fr-FR" w:eastAsia="zh-CN"/>
          </w:rPr>
          <w:t>C15/124</w:t>
        </w:r>
      </w:hyperlink>
      <w:r>
        <w:rPr>
          <w:rFonts w:hint="eastAsia"/>
          <w:lang w:val="fr-FR" w:eastAsia="zh-CN"/>
        </w:rPr>
        <w:t>和</w:t>
      </w:r>
      <w:hyperlink r:id="rId513" w:history="1">
        <w:r w:rsidRPr="003C453B">
          <w:rPr>
            <w:rStyle w:val="Hyperlink"/>
            <w:lang w:val="fr-FR" w:eastAsia="zh-CN"/>
          </w:rPr>
          <w:t>C15/114</w:t>
        </w:r>
      </w:hyperlink>
      <w:r>
        <w:rPr>
          <w:rFonts w:hint="eastAsia"/>
          <w:lang w:val="fr-FR" w:eastAsia="zh-CN"/>
        </w:rPr>
        <w:t>号</w:t>
      </w:r>
      <w:r>
        <w:rPr>
          <w:lang w:val="fr-FR" w:eastAsia="zh-CN"/>
        </w:rPr>
        <w:t>文件。</w:t>
      </w:r>
    </w:p>
    <w:p w14:paraId="4827BB99" w14:textId="77777777" w:rsidR="00C33678" w:rsidRDefault="00C33678" w:rsidP="00C33678">
      <w:pPr>
        <w:jc w:val="center"/>
        <w:rPr>
          <w:lang w:eastAsia="zh-CN"/>
        </w:rPr>
      </w:pPr>
      <w:bookmarkStart w:id="2836" w:name="_Toc531706514"/>
      <w:bookmarkStart w:id="2837" w:name="_Toc531707135"/>
      <w:bookmarkStart w:id="2838" w:name="_Toc531768607"/>
      <w:bookmarkStart w:id="2839" w:name="_Toc424117169"/>
      <w:r>
        <w:rPr>
          <w:lang w:eastAsia="zh-CN"/>
        </w:rPr>
        <w:t>______________</w:t>
      </w:r>
    </w:p>
    <w:p w14:paraId="4827BB9A" w14:textId="77777777" w:rsidR="00C33678" w:rsidRDefault="00C33678" w:rsidP="000D18CD">
      <w:pPr>
        <w:pStyle w:val="ResNo"/>
        <w:outlineLvl w:val="0"/>
        <w:rPr>
          <w:lang w:eastAsia="zh-CN"/>
        </w:rPr>
      </w:pPr>
      <w:bookmarkStart w:id="2840" w:name="_Toc16085932"/>
      <w:bookmarkStart w:id="2841" w:name="_Toc86395729"/>
      <w:bookmarkStart w:id="2842" w:name="_Toc531706516"/>
      <w:bookmarkStart w:id="2843" w:name="_Toc531707138"/>
      <w:bookmarkStart w:id="2844" w:name="_Toc531768609"/>
      <w:bookmarkEnd w:id="2836"/>
      <w:bookmarkEnd w:id="2837"/>
      <w:bookmarkEnd w:id="2838"/>
      <w:r>
        <w:rPr>
          <w:rFonts w:hint="eastAsia"/>
          <w:lang w:eastAsia="zh-CN"/>
        </w:rPr>
        <w:t>第</w:t>
      </w:r>
      <w:r>
        <w:rPr>
          <w:lang w:val="fr-CH" w:eastAsia="zh-CN"/>
        </w:rPr>
        <w:t>1379</w:t>
      </w:r>
      <w:r w:rsidRPr="00C33678">
        <w:rPr>
          <w:rFonts w:hint="eastAsia"/>
          <w:lang w:eastAsia="zh-CN"/>
        </w:rPr>
        <w:t>号</w:t>
      </w:r>
      <w:r w:rsidRPr="00C33678">
        <w:rPr>
          <w:lang w:eastAsia="zh-CN"/>
        </w:rPr>
        <w:t>决议</w:t>
      </w:r>
      <w:r>
        <w:rPr>
          <w:lang w:eastAsia="zh-CN"/>
        </w:rPr>
        <w:t>（</w:t>
      </w:r>
      <w:r>
        <w:rPr>
          <w:lang w:eastAsia="zh-CN"/>
        </w:rPr>
        <w:t>C</w:t>
      </w:r>
      <w:r>
        <w:rPr>
          <w:rFonts w:hint="eastAsia"/>
          <w:lang w:eastAsia="zh-CN"/>
        </w:rPr>
        <w:t>16</w:t>
      </w:r>
      <w:r>
        <w:rPr>
          <w:rFonts w:hint="eastAsia"/>
          <w:lang w:eastAsia="zh-CN"/>
        </w:rPr>
        <w:t>，最后修正</w:t>
      </w:r>
      <w:r>
        <w:rPr>
          <w:rFonts w:hint="eastAsia"/>
          <w:lang w:eastAsia="zh-CN"/>
        </w:rPr>
        <w:t>C19</w:t>
      </w:r>
      <w:r>
        <w:rPr>
          <w:lang w:eastAsia="zh-CN"/>
        </w:rPr>
        <w:t>）</w:t>
      </w:r>
      <w:bookmarkEnd w:id="2840"/>
      <w:bookmarkEnd w:id="2841"/>
    </w:p>
    <w:p w14:paraId="4827BB9B" w14:textId="77777777" w:rsidR="00C33678" w:rsidRPr="00895626" w:rsidRDefault="00C33678" w:rsidP="00C33678">
      <w:pPr>
        <w:pStyle w:val="Restitle"/>
        <w:rPr>
          <w:lang w:eastAsia="zh-CN"/>
        </w:rPr>
      </w:pPr>
      <w:bookmarkStart w:id="2845" w:name="_Toc16085933"/>
      <w:bookmarkStart w:id="2846" w:name="_Toc86395730"/>
      <w:r>
        <w:rPr>
          <w:rFonts w:hint="eastAsia"/>
          <w:lang w:eastAsia="zh-CN"/>
        </w:rPr>
        <w:t>《</w:t>
      </w:r>
      <w:r w:rsidRPr="00C33678">
        <w:rPr>
          <w:rFonts w:hint="eastAsia"/>
          <w:lang w:eastAsia="zh-CN"/>
        </w:rPr>
        <w:t>国际</w:t>
      </w:r>
      <w:r w:rsidRPr="00C33678">
        <w:rPr>
          <w:lang w:eastAsia="zh-CN"/>
        </w:rPr>
        <w:t>电信规则</w:t>
      </w:r>
      <w:r>
        <w:rPr>
          <w:lang w:eastAsia="zh-CN"/>
        </w:rPr>
        <w:t>》</w:t>
      </w:r>
      <w:r>
        <w:rPr>
          <w:rFonts w:hint="eastAsia"/>
          <w:lang w:eastAsia="zh-CN"/>
        </w:rPr>
        <w:t>专家组</w:t>
      </w:r>
      <w:r>
        <w:rPr>
          <w:lang w:eastAsia="zh-CN"/>
        </w:rPr>
        <w:t>（</w:t>
      </w:r>
      <w:r>
        <w:rPr>
          <w:rFonts w:hint="eastAsia"/>
          <w:lang w:eastAsia="zh-CN"/>
        </w:rPr>
        <w:t>EG-ITR</w:t>
      </w:r>
      <w:r>
        <w:rPr>
          <w:lang w:eastAsia="zh-CN"/>
        </w:rPr>
        <w:t>s</w:t>
      </w:r>
      <w:r>
        <w:rPr>
          <w:lang w:eastAsia="zh-CN"/>
        </w:rPr>
        <w:t>）</w:t>
      </w:r>
      <w:bookmarkEnd w:id="2845"/>
      <w:bookmarkEnd w:id="2846"/>
    </w:p>
    <w:p w14:paraId="4827BB9C" w14:textId="77777777" w:rsidR="00C33678" w:rsidRPr="0053727E" w:rsidRDefault="00C33678" w:rsidP="00E51375">
      <w:pPr>
        <w:pStyle w:val="Normalaftertitle0"/>
      </w:pPr>
      <w:r w:rsidRPr="0053727E">
        <w:rPr>
          <w:rFonts w:hint="eastAsia"/>
        </w:rPr>
        <w:t>理事会，</w:t>
      </w:r>
    </w:p>
    <w:p w14:paraId="4827BB9D" w14:textId="77777777" w:rsidR="00C33678" w:rsidRPr="000713BD" w:rsidRDefault="00C33678" w:rsidP="00C33678">
      <w:pPr>
        <w:pStyle w:val="Call"/>
        <w:rPr>
          <w:lang w:eastAsia="zh-CN"/>
        </w:rPr>
      </w:pPr>
      <w:r w:rsidRPr="000713BD">
        <w:rPr>
          <w:rFonts w:hint="eastAsia"/>
          <w:lang w:eastAsia="zh-CN"/>
        </w:rPr>
        <w:t>考虑到</w:t>
      </w:r>
    </w:p>
    <w:p w14:paraId="4827BB9E" w14:textId="77777777" w:rsidR="00C33678" w:rsidRPr="00895626" w:rsidRDefault="00C33678" w:rsidP="00C33678">
      <w:pPr>
        <w:snapToGrid w:val="0"/>
        <w:rPr>
          <w:szCs w:val="24"/>
          <w:lang w:val="en-US" w:eastAsia="zh-CN"/>
        </w:rPr>
      </w:pPr>
      <w:r w:rsidRPr="00895626">
        <w:rPr>
          <w:i/>
          <w:szCs w:val="24"/>
          <w:lang w:val="en-US" w:eastAsia="zh-CN"/>
        </w:rPr>
        <w:t>a)</w:t>
      </w:r>
      <w:r w:rsidRPr="00895626">
        <w:rPr>
          <w:szCs w:val="24"/>
          <w:lang w:val="en-US" w:eastAsia="zh-CN"/>
        </w:rPr>
        <w:tab/>
      </w:r>
      <w:r>
        <w:rPr>
          <w:rFonts w:hint="eastAsia"/>
          <w:szCs w:val="24"/>
          <w:lang w:val="en-US" w:eastAsia="zh-CN"/>
        </w:rPr>
        <w:t>有关</w:t>
      </w:r>
      <w:r>
        <w:rPr>
          <w:szCs w:val="24"/>
          <w:lang w:val="en-US" w:eastAsia="zh-CN"/>
        </w:rPr>
        <w:t>国际电信世界大会（</w:t>
      </w:r>
      <w:r>
        <w:rPr>
          <w:rFonts w:hint="eastAsia"/>
          <w:szCs w:val="24"/>
          <w:lang w:val="en-US" w:eastAsia="zh-CN"/>
        </w:rPr>
        <w:t>WCIT</w:t>
      </w:r>
      <w:r>
        <w:rPr>
          <w:szCs w:val="24"/>
          <w:lang w:val="en-US" w:eastAsia="zh-CN"/>
        </w:rPr>
        <w:t>）</w:t>
      </w:r>
      <w:r>
        <w:rPr>
          <w:rFonts w:hint="eastAsia"/>
          <w:szCs w:val="24"/>
          <w:lang w:val="en-US" w:eastAsia="zh-CN"/>
        </w:rPr>
        <w:t>的国际</w:t>
      </w:r>
      <w:r>
        <w:rPr>
          <w:szCs w:val="24"/>
          <w:lang w:val="en-US" w:eastAsia="zh-CN"/>
        </w:rPr>
        <w:t>电联《</w:t>
      </w:r>
      <w:r>
        <w:rPr>
          <w:rFonts w:hint="eastAsia"/>
          <w:szCs w:val="24"/>
          <w:lang w:val="en-US" w:eastAsia="zh-CN"/>
        </w:rPr>
        <w:t>组织法</w:t>
      </w:r>
      <w:r>
        <w:rPr>
          <w:szCs w:val="24"/>
          <w:lang w:val="en-US" w:eastAsia="zh-CN"/>
        </w:rPr>
        <w:t>》第</w:t>
      </w:r>
      <w:r>
        <w:rPr>
          <w:rFonts w:hint="eastAsia"/>
          <w:szCs w:val="24"/>
          <w:lang w:val="en-US" w:eastAsia="zh-CN"/>
        </w:rPr>
        <w:t>25</w:t>
      </w:r>
      <w:r>
        <w:rPr>
          <w:rFonts w:hint="eastAsia"/>
          <w:szCs w:val="24"/>
          <w:lang w:val="en-US" w:eastAsia="zh-CN"/>
        </w:rPr>
        <w:t>条</w:t>
      </w:r>
      <w:r>
        <w:rPr>
          <w:szCs w:val="24"/>
          <w:lang w:val="en-US" w:eastAsia="zh-CN"/>
        </w:rPr>
        <w:t>；</w:t>
      </w:r>
    </w:p>
    <w:p w14:paraId="4827BB9F" w14:textId="77777777" w:rsidR="00C33678" w:rsidRPr="00895626" w:rsidRDefault="00C33678" w:rsidP="00C33678">
      <w:pPr>
        <w:snapToGrid w:val="0"/>
        <w:rPr>
          <w:szCs w:val="24"/>
          <w:lang w:val="en-US" w:eastAsia="zh-CN"/>
        </w:rPr>
      </w:pPr>
      <w:r w:rsidRPr="00895626">
        <w:rPr>
          <w:i/>
          <w:szCs w:val="24"/>
          <w:lang w:val="en-US" w:eastAsia="zh-CN"/>
        </w:rPr>
        <w:t>b)</w:t>
      </w:r>
      <w:r w:rsidRPr="00895626">
        <w:rPr>
          <w:szCs w:val="24"/>
          <w:lang w:val="en-US" w:eastAsia="zh-CN"/>
        </w:rPr>
        <w:tab/>
      </w:r>
      <w:r>
        <w:rPr>
          <w:rFonts w:hint="eastAsia"/>
          <w:szCs w:val="24"/>
          <w:lang w:val="en-US" w:eastAsia="zh-CN"/>
        </w:rPr>
        <w:t>有关</w:t>
      </w:r>
      <w:r>
        <w:rPr>
          <w:szCs w:val="24"/>
          <w:lang w:val="en-US" w:eastAsia="zh-CN"/>
        </w:rPr>
        <w:t>其它大会和全会的国际电联</w:t>
      </w:r>
      <w:r>
        <w:rPr>
          <w:rFonts w:hint="eastAsia"/>
          <w:szCs w:val="24"/>
          <w:lang w:val="en-US" w:eastAsia="zh-CN"/>
        </w:rPr>
        <w:t>《公约</w:t>
      </w:r>
      <w:r>
        <w:rPr>
          <w:szCs w:val="24"/>
          <w:lang w:val="en-US" w:eastAsia="zh-CN"/>
        </w:rPr>
        <w:t>》</w:t>
      </w:r>
      <w:r>
        <w:rPr>
          <w:rFonts w:hint="eastAsia"/>
          <w:szCs w:val="24"/>
          <w:lang w:val="en-US" w:eastAsia="zh-CN"/>
        </w:rPr>
        <w:t>第</w:t>
      </w:r>
      <w:r>
        <w:rPr>
          <w:rFonts w:hint="eastAsia"/>
          <w:szCs w:val="24"/>
          <w:lang w:val="en-US" w:eastAsia="zh-CN"/>
        </w:rPr>
        <w:t>3</w:t>
      </w:r>
      <w:r>
        <w:rPr>
          <w:rFonts w:hint="eastAsia"/>
          <w:szCs w:val="24"/>
          <w:lang w:val="en-US" w:eastAsia="zh-CN"/>
        </w:rPr>
        <w:t>条</w:t>
      </w:r>
      <w:r>
        <w:rPr>
          <w:szCs w:val="24"/>
          <w:lang w:val="en-US" w:eastAsia="zh-CN"/>
        </w:rPr>
        <w:t>第</w:t>
      </w:r>
      <w:r>
        <w:rPr>
          <w:rFonts w:hint="eastAsia"/>
          <w:szCs w:val="24"/>
          <w:lang w:val="en-US" w:eastAsia="zh-CN"/>
        </w:rPr>
        <w:t>48</w:t>
      </w:r>
      <w:r>
        <w:rPr>
          <w:rFonts w:hint="eastAsia"/>
          <w:szCs w:val="24"/>
          <w:lang w:val="en-US" w:eastAsia="zh-CN"/>
        </w:rPr>
        <w:t>款</w:t>
      </w:r>
      <w:r>
        <w:rPr>
          <w:szCs w:val="24"/>
          <w:lang w:val="en-US" w:eastAsia="zh-CN"/>
        </w:rPr>
        <w:t>；</w:t>
      </w:r>
    </w:p>
    <w:p w14:paraId="4827BBA0" w14:textId="77777777" w:rsidR="00C33678" w:rsidRDefault="00C33678" w:rsidP="00C33678">
      <w:pPr>
        <w:rPr>
          <w:lang w:eastAsia="zh-CN"/>
        </w:rPr>
      </w:pPr>
      <w:r w:rsidRPr="00895626">
        <w:rPr>
          <w:i/>
          <w:iCs/>
          <w:lang w:val="en-US" w:eastAsia="zh-CN"/>
        </w:rPr>
        <w:t>c)</w:t>
      </w:r>
      <w:r w:rsidRPr="00895626">
        <w:rPr>
          <w:lang w:val="en-US" w:eastAsia="zh-CN"/>
        </w:rPr>
        <w:tab/>
      </w:r>
      <w:r>
        <w:rPr>
          <w:lang w:val="en-US" w:eastAsia="zh-CN"/>
        </w:rPr>
        <w:t>有关定期审议和修订《</w:t>
      </w:r>
      <w:r>
        <w:rPr>
          <w:rFonts w:hint="eastAsia"/>
          <w:lang w:val="en-US" w:eastAsia="zh-CN"/>
        </w:rPr>
        <w:t>国际</w:t>
      </w:r>
      <w:r>
        <w:rPr>
          <w:lang w:val="en-US" w:eastAsia="zh-CN"/>
        </w:rPr>
        <w:t>电信</w:t>
      </w:r>
      <w:r>
        <w:rPr>
          <w:rFonts w:hint="eastAsia"/>
          <w:lang w:val="en-US" w:eastAsia="zh-CN"/>
        </w:rPr>
        <w:t>规则</w:t>
      </w:r>
      <w:r>
        <w:rPr>
          <w:lang w:val="en-US" w:eastAsia="zh-CN"/>
        </w:rPr>
        <w:t>》的全权代表大会第</w:t>
      </w:r>
      <w:r>
        <w:rPr>
          <w:rFonts w:hint="eastAsia"/>
          <w:lang w:val="en-US" w:eastAsia="zh-CN"/>
        </w:rPr>
        <w:t>146</w:t>
      </w:r>
      <w:r>
        <w:rPr>
          <w:rFonts w:hint="eastAsia"/>
          <w:lang w:val="en-US" w:eastAsia="zh-CN"/>
        </w:rPr>
        <w:t>号</w:t>
      </w:r>
      <w:r>
        <w:rPr>
          <w:lang w:val="en-US" w:eastAsia="zh-CN"/>
        </w:rPr>
        <w:t>决议（</w:t>
      </w:r>
      <w:r>
        <w:rPr>
          <w:rFonts w:hint="eastAsia"/>
          <w:lang w:val="en-US" w:eastAsia="zh-CN"/>
        </w:rPr>
        <w:t>201</w:t>
      </w:r>
      <w:r>
        <w:rPr>
          <w:lang w:val="en-US" w:eastAsia="zh-CN"/>
        </w:rPr>
        <w:t>8</w:t>
      </w:r>
      <w:r>
        <w:rPr>
          <w:rFonts w:hint="eastAsia"/>
          <w:lang w:val="en-US" w:eastAsia="zh-CN"/>
        </w:rPr>
        <w:t>年</w:t>
      </w:r>
      <w:r>
        <w:rPr>
          <w:lang w:val="en-US" w:eastAsia="zh-CN"/>
        </w:rPr>
        <w:t>，</w:t>
      </w:r>
      <w:r>
        <w:rPr>
          <w:rFonts w:hint="eastAsia"/>
          <w:lang w:val="en-US" w:eastAsia="zh-CN"/>
        </w:rPr>
        <w:t>迪拜</w:t>
      </w:r>
      <w:r>
        <w:rPr>
          <w:lang w:val="en-US" w:eastAsia="zh-CN"/>
        </w:rPr>
        <w:t>，修订版）</w:t>
      </w:r>
      <w:r>
        <w:rPr>
          <w:rFonts w:hint="eastAsia"/>
          <w:lang w:eastAsia="zh-CN"/>
        </w:rPr>
        <w:t>；</w:t>
      </w:r>
    </w:p>
    <w:p w14:paraId="4827BBA1" w14:textId="77777777" w:rsidR="00C33678" w:rsidRPr="00895626" w:rsidRDefault="00C33678" w:rsidP="00C33678">
      <w:pPr>
        <w:snapToGrid w:val="0"/>
        <w:rPr>
          <w:szCs w:val="24"/>
          <w:lang w:val="en-US" w:eastAsia="zh-CN"/>
        </w:rPr>
      </w:pPr>
      <w:r>
        <w:rPr>
          <w:i/>
          <w:szCs w:val="24"/>
          <w:lang w:val="en-US" w:eastAsia="zh-CN"/>
        </w:rPr>
        <w:t>d</w:t>
      </w:r>
      <w:r w:rsidRPr="00895626">
        <w:rPr>
          <w:i/>
          <w:szCs w:val="24"/>
          <w:lang w:val="en-US" w:eastAsia="zh-CN"/>
        </w:rPr>
        <w:t>)</w:t>
      </w:r>
      <w:r w:rsidRPr="00895626">
        <w:rPr>
          <w:szCs w:val="24"/>
          <w:lang w:val="en-US" w:eastAsia="zh-CN"/>
        </w:rPr>
        <w:tab/>
      </w:r>
      <w:r>
        <w:rPr>
          <w:rFonts w:hint="eastAsia"/>
          <w:szCs w:val="24"/>
          <w:lang w:val="en-US" w:eastAsia="zh-CN"/>
        </w:rPr>
        <w:t>有关</w:t>
      </w:r>
      <w:r>
        <w:rPr>
          <w:szCs w:val="24"/>
          <w:lang w:val="en-US" w:eastAsia="zh-CN"/>
        </w:rPr>
        <w:t>定期审议</w:t>
      </w:r>
      <w:r>
        <w:rPr>
          <w:rFonts w:hint="eastAsia"/>
          <w:szCs w:val="24"/>
          <w:lang w:val="en-US" w:eastAsia="zh-CN"/>
        </w:rPr>
        <w:t>《国际</w:t>
      </w:r>
      <w:r>
        <w:rPr>
          <w:szCs w:val="24"/>
          <w:lang w:val="en-US" w:eastAsia="zh-CN"/>
        </w:rPr>
        <w:t>电信规则</w:t>
      </w:r>
      <w:r>
        <w:rPr>
          <w:rFonts w:hint="eastAsia"/>
          <w:szCs w:val="24"/>
          <w:lang w:val="en-US" w:eastAsia="zh-CN"/>
        </w:rPr>
        <w:t>》</w:t>
      </w:r>
      <w:r>
        <w:rPr>
          <w:szCs w:val="24"/>
          <w:lang w:val="en-US" w:eastAsia="zh-CN"/>
        </w:rPr>
        <w:t>的国际电信世界大会第</w:t>
      </w:r>
      <w:r>
        <w:rPr>
          <w:rFonts w:hint="eastAsia"/>
          <w:szCs w:val="24"/>
          <w:lang w:val="en-US" w:eastAsia="zh-CN"/>
        </w:rPr>
        <w:t>4</w:t>
      </w:r>
      <w:r>
        <w:rPr>
          <w:rFonts w:hint="eastAsia"/>
          <w:szCs w:val="24"/>
          <w:lang w:val="en-US" w:eastAsia="zh-CN"/>
        </w:rPr>
        <w:t>号</w:t>
      </w:r>
      <w:r>
        <w:rPr>
          <w:szCs w:val="24"/>
          <w:lang w:val="en-US" w:eastAsia="zh-CN"/>
        </w:rPr>
        <w:t>决议（</w:t>
      </w:r>
      <w:r>
        <w:rPr>
          <w:rFonts w:hint="eastAsia"/>
          <w:szCs w:val="24"/>
          <w:lang w:val="en-US" w:eastAsia="zh-CN"/>
        </w:rPr>
        <w:t>2012</w:t>
      </w:r>
      <w:r>
        <w:rPr>
          <w:rFonts w:hint="eastAsia"/>
          <w:szCs w:val="24"/>
          <w:lang w:val="en-US" w:eastAsia="zh-CN"/>
        </w:rPr>
        <w:t>年，</w:t>
      </w:r>
      <w:r>
        <w:rPr>
          <w:szCs w:val="24"/>
          <w:lang w:val="en-US" w:eastAsia="zh-CN"/>
        </w:rPr>
        <w:t>迪拜）</w:t>
      </w:r>
      <w:r>
        <w:rPr>
          <w:rFonts w:hint="eastAsia"/>
          <w:szCs w:val="24"/>
          <w:lang w:val="en-US" w:eastAsia="zh-CN"/>
        </w:rPr>
        <w:t>，</w:t>
      </w:r>
    </w:p>
    <w:p w14:paraId="4827BBA2" w14:textId="77777777" w:rsidR="00C33678" w:rsidRPr="0016774D" w:rsidRDefault="00C33678" w:rsidP="00C33678">
      <w:pPr>
        <w:pStyle w:val="Call"/>
        <w:rPr>
          <w:lang w:eastAsia="zh-CN"/>
        </w:rPr>
      </w:pPr>
      <w:r w:rsidRPr="00A263BA">
        <w:rPr>
          <w:rFonts w:hint="eastAsia"/>
          <w:lang w:eastAsia="zh-CN"/>
        </w:rPr>
        <w:t>忆及</w:t>
      </w:r>
    </w:p>
    <w:p w14:paraId="4827BBA3" w14:textId="77777777" w:rsidR="00C33678" w:rsidRDefault="00C33678" w:rsidP="00C33678">
      <w:pPr>
        <w:ind w:firstLineChars="200" w:firstLine="480"/>
        <w:rPr>
          <w:rFonts w:eastAsia="STKaiti"/>
          <w:lang w:eastAsia="zh-CN"/>
        </w:rPr>
      </w:pPr>
      <w:r w:rsidRPr="00205508">
        <w:rPr>
          <w:rFonts w:hint="eastAsia"/>
          <w:lang w:eastAsia="zh-CN"/>
        </w:rPr>
        <w:t>理事会</w:t>
      </w:r>
      <w:r w:rsidRPr="00205508">
        <w:rPr>
          <w:rFonts w:hint="eastAsia"/>
          <w:lang w:eastAsia="zh-CN"/>
        </w:rPr>
        <w:t>2016</w:t>
      </w:r>
      <w:r w:rsidRPr="00205508">
        <w:rPr>
          <w:rFonts w:hint="eastAsia"/>
          <w:lang w:eastAsia="zh-CN"/>
        </w:rPr>
        <w:t>年会议创建了《国际电信规则》专家组（</w:t>
      </w:r>
      <w:r>
        <w:rPr>
          <w:rFonts w:hint="eastAsia"/>
          <w:lang w:eastAsia="zh-CN"/>
        </w:rPr>
        <w:t>EG-ITR</w:t>
      </w:r>
      <w:r>
        <w:rPr>
          <w:lang w:eastAsia="zh-CN"/>
        </w:rPr>
        <w:t>s</w:t>
      </w:r>
      <w:r w:rsidRPr="00205508">
        <w:rPr>
          <w:rFonts w:hint="eastAsia"/>
          <w:lang w:eastAsia="zh-CN"/>
        </w:rPr>
        <w:t>），该专家组根据其职责范围编拟了关于审议</w:t>
      </w:r>
      <w:r w:rsidRPr="00205508">
        <w:rPr>
          <w:rFonts w:hint="eastAsia"/>
          <w:lang w:eastAsia="zh-CN"/>
        </w:rPr>
        <w:t>2012</w:t>
      </w:r>
      <w:r w:rsidRPr="00205508">
        <w:rPr>
          <w:rFonts w:hint="eastAsia"/>
          <w:lang w:eastAsia="zh-CN"/>
        </w:rPr>
        <w:t>年版《国际电信规则》的最终报告</w:t>
      </w:r>
      <w:r>
        <w:rPr>
          <w:rFonts w:hint="eastAsia"/>
          <w:lang w:eastAsia="zh-CN"/>
        </w:rPr>
        <w:t>，该报告</w:t>
      </w:r>
      <w:r w:rsidRPr="00205508">
        <w:rPr>
          <w:rFonts w:hint="eastAsia"/>
          <w:lang w:eastAsia="zh-CN"/>
        </w:rPr>
        <w:t>随后提交</w:t>
      </w:r>
      <w:r w:rsidRPr="00205508">
        <w:rPr>
          <w:rFonts w:hint="eastAsia"/>
          <w:lang w:eastAsia="zh-CN"/>
        </w:rPr>
        <w:t>2018</w:t>
      </w:r>
      <w:r w:rsidRPr="00205508">
        <w:rPr>
          <w:rFonts w:hint="eastAsia"/>
          <w:lang w:eastAsia="zh-CN"/>
        </w:rPr>
        <w:t>年全权代表大会，</w:t>
      </w:r>
    </w:p>
    <w:p w14:paraId="4827BBA4" w14:textId="77777777" w:rsidR="00C33678" w:rsidRPr="000713BD" w:rsidRDefault="00C33678" w:rsidP="00C33678">
      <w:pPr>
        <w:pStyle w:val="Call"/>
        <w:rPr>
          <w:lang w:eastAsia="zh-CN"/>
        </w:rPr>
      </w:pPr>
      <w:r w:rsidRPr="000713BD">
        <w:rPr>
          <w:rFonts w:hint="eastAsia"/>
          <w:lang w:eastAsia="zh-CN"/>
        </w:rPr>
        <w:t>做出</w:t>
      </w:r>
      <w:r w:rsidRPr="000713BD">
        <w:rPr>
          <w:lang w:eastAsia="zh-CN"/>
        </w:rPr>
        <w:t>决议</w:t>
      </w:r>
    </w:p>
    <w:p w14:paraId="4827BBA5" w14:textId="77777777" w:rsidR="00C33678" w:rsidRPr="00895626" w:rsidRDefault="00C33678" w:rsidP="00C33678">
      <w:pPr>
        <w:rPr>
          <w:lang w:eastAsia="zh-CN"/>
        </w:rPr>
      </w:pPr>
      <w:r w:rsidRPr="00895626">
        <w:rPr>
          <w:lang w:eastAsia="zh-CN"/>
        </w:rPr>
        <w:t>1</w:t>
      </w:r>
      <w:r w:rsidRPr="00895626">
        <w:rPr>
          <w:lang w:eastAsia="zh-CN"/>
        </w:rPr>
        <w:tab/>
      </w:r>
      <w:r>
        <w:rPr>
          <w:rFonts w:hint="eastAsia"/>
          <w:lang w:eastAsia="zh-CN"/>
        </w:rPr>
        <w:t>召集向</w:t>
      </w:r>
      <w:r>
        <w:rPr>
          <w:lang w:eastAsia="zh-CN"/>
        </w:rPr>
        <w:t>所有成员国和部门成员开放</w:t>
      </w:r>
      <w:r>
        <w:rPr>
          <w:rFonts w:hint="eastAsia"/>
          <w:lang w:eastAsia="zh-CN"/>
        </w:rPr>
        <w:t>的</w:t>
      </w:r>
      <w:r>
        <w:rPr>
          <w:lang w:eastAsia="zh-CN"/>
        </w:rPr>
        <w:t>《</w:t>
      </w:r>
      <w:r>
        <w:rPr>
          <w:rFonts w:hint="eastAsia"/>
          <w:lang w:eastAsia="zh-CN"/>
        </w:rPr>
        <w:t>国际</w:t>
      </w:r>
      <w:r>
        <w:rPr>
          <w:lang w:eastAsia="zh-CN"/>
        </w:rPr>
        <w:t>电信</w:t>
      </w:r>
      <w:r>
        <w:rPr>
          <w:rFonts w:hint="eastAsia"/>
          <w:lang w:eastAsia="zh-CN"/>
        </w:rPr>
        <w:t>规则</w:t>
      </w:r>
      <w:r>
        <w:rPr>
          <w:lang w:eastAsia="zh-CN"/>
        </w:rPr>
        <w:t>》</w:t>
      </w:r>
      <w:r>
        <w:rPr>
          <w:rFonts w:hint="eastAsia"/>
          <w:lang w:eastAsia="zh-CN"/>
        </w:rPr>
        <w:t>专家组</w:t>
      </w:r>
      <w:r>
        <w:rPr>
          <w:lang w:eastAsia="zh-CN"/>
        </w:rPr>
        <w:t>（</w:t>
      </w:r>
      <w:r>
        <w:rPr>
          <w:rFonts w:hint="eastAsia"/>
          <w:lang w:eastAsia="zh-CN"/>
        </w:rPr>
        <w:t>EG</w:t>
      </w:r>
      <w:r>
        <w:rPr>
          <w:lang w:eastAsia="zh-CN"/>
        </w:rPr>
        <w:t>-ITR</w:t>
      </w:r>
      <w:r>
        <w:rPr>
          <w:rFonts w:hint="eastAsia"/>
          <w:lang w:eastAsia="zh-CN"/>
        </w:rPr>
        <w:t>s</w:t>
      </w:r>
      <w:r>
        <w:rPr>
          <w:lang w:eastAsia="zh-CN"/>
        </w:rPr>
        <w:t>）</w:t>
      </w:r>
      <w:r>
        <w:rPr>
          <w:rFonts w:hint="eastAsia"/>
          <w:lang w:eastAsia="zh-CN"/>
        </w:rPr>
        <w:t>，对《国际电信规则》进行全面审查，以便就《国际电信规则》</w:t>
      </w:r>
      <w:r w:rsidRPr="003E1F55">
        <w:rPr>
          <w:rFonts w:hint="eastAsia"/>
          <w:lang w:eastAsia="zh-CN"/>
        </w:rPr>
        <w:t>的未来方向达成共识，</w:t>
      </w:r>
      <w:r>
        <w:rPr>
          <w:lang w:eastAsia="zh-CN"/>
        </w:rPr>
        <w:t>该组的职责范围</w:t>
      </w:r>
      <w:r>
        <w:rPr>
          <w:rFonts w:hint="eastAsia"/>
          <w:lang w:eastAsia="zh-CN"/>
        </w:rPr>
        <w:t>见</w:t>
      </w:r>
      <w:r>
        <w:rPr>
          <w:lang w:eastAsia="zh-CN"/>
        </w:rPr>
        <w:t>本决议附件</w:t>
      </w:r>
      <w:r>
        <w:rPr>
          <w:rFonts w:hint="eastAsia"/>
          <w:lang w:eastAsia="zh-CN"/>
        </w:rPr>
        <w:t>1</w:t>
      </w:r>
      <w:r>
        <w:rPr>
          <w:lang w:eastAsia="zh-CN"/>
        </w:rPr>
        <w:t>；</w:t>
      </w:r>
    </w:p>
    <w:p w14:paraId="4827BBA6" w14:textId="77777777" w:rsidR="00C33678" w:rsidRPr="00895626" w:rsidRDefault="00C33678" w:rsidP="00C33678">
      <w:pPr>
        <w:rPr>
          <w:lang w:eastAsia="zh-CN"/>
        </w:rPr>
      </w:pPr>
      <w:r w:rsidRPr="00895626">
        <w:rPr>
          <w:lang w:eastAsia="zh-CN"/>
        </w:rPr>
        <w:t>2</w:t>
      </w:r>
      <w:r w:rsidRPr="00895626">
        <w:rPr>
          <w:lang w:eastAsia="zh-CN"/>
        </w:rPr>
        <w:tab/>
      </w:r>
      <w:r>
        <w:rPr>
          <w:rFonts w:hint="eastAsia"/>
          <w:lang w:eastAsia="zh-CN"/>
        </w:rPr>
        <w:t>专家组有一位主席和六位副主席（国际电联每个区域一位），由</w:t>
      </w:r>
      <w:r>
        <w:rPr>
          <w:lang w:eastAsia="zh-CN"/>
        </w:rPr>
        <w:t>理事会在顾及能力和资格同时关注性别平衡</w:t>
      </w:r>
      <w:r>
        <w:rPr>
          <w:rFonts w:hint="eastAsia"/>
          <w:lang w:eastAsia="zh-CN"/>
        </w:rPr>
        <w:t>的</w:t>
      </w:r>
      <w:r>
        <w:rPr>
          <w:lang w:eastAsia="zh-CN"/>
        </w:rPr>
        <w:t>情况下</w:t>
      </w:r>
      <w:r>
        <w:rPr>
          <w:rFonts w:hint="eastAsia"/>
          <w:lang w:eastAsia="zh-CN"/>
        </w:rPr>
        <w:t>提名；</w:t>
      </w:r>
    </w:p>
    <w:p w14:paraId="4827BBA7" w14:textId="77777777" w:rsidR="00C33678" w:rsidRDefault="00C33678">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BA8" w14:textId="77777777" w:rsidR="00C33678" w:rsidRDefault="00C33678" w:rsidP="00C33678">
      <w:pPr>
        <w:rPr>
          <w:lang w:eastAsia="zh-CN"/>
        </w:rPr>
      </w:pPr>
      <w:r w:rsidRPr="00895626">
        <w:rPr>
          <w:lang w:eastAsia="zh-CN"/>
        </w:rPr>
        <w:lastRenderedPageBreak/>
        <w:t>3</w:t>
      </w:r>
      <w:r w:rsidRPr="00895626">
        <w:rPr>
          <w:lang w:eastAsia="zh-CN"/>
        </w:rPr>
        <w:tab/>
      </w:r>
      <w:r>
        <w:rPr>
          <w:lang w:eastAsia="zh-CN"/>
        </w:rPr>
        <w:t>EG-ITR</w:t>
      </w:r>
      <w:r>
        <w:rPr>
          <w:rFonts w:hint="eastAsia"/>
          <w:lang w:eastAsia="zh-CN"/>
        </w:rPr>
        <w:t>s</w:t>
      </w:r>
      <w:r>
        <w:rPr>
          <w:rFonts w:hint="eastAsia"/>
          <w:lang w:eastAsia="zh-CN"/>
        </w:rPr>
        <w:t>须</w:t>
      </w:r>
      <w:r>
        <w:rPr>
          <w:lang w:eastAsia="zh-CN"/>
        </w:rPr>
        <w:t>制定工作进展报告</w:t>
      </w:r>
      <w:r>
        <w:rPr>
          <w:rFonts w:hint="eastAsia"/>
          <w:lang w:eastAsia="zh-CN"/>
        </w:rPr>
        <w:t>，</w:t>
      </w:r>
      <w:r>
        <w:rPr>
          <w:lang w:eastAsia="zh-CN"/>
        </w:rPr>
        <w:t>提交理事会</w:t>
      </w:r>
      <w:r>
        <w:rPr>
          <w:rFonts w:hint="eastAsia"/>
          <w:lang w:eastAsia="zh-CN"/>
        </w:rPr>
        <w:t>年度</w:t>
      </w:r>
      <w:r>
        <w:rPr>
          <w:lang w:eastAsia="zh-CN"/>
        </w:rPr>
        <w:t>会议</w:t>
      </w:r>
      <w:r>
        <w:rPr>
          <w:rFonts w:hint="eastAsia"/>
          <w:lang w:eastAsia="zh-CN"/>
        </w:rPr>
        <w:t>；</w:t>
      </w:r>
    </w:p>
    <w:p w14:paraId="4827BBA9" w14:textId="77777777" w:rsidR="00C33678" w:rsidRPr="001A268A" w:rsidRDefault="00C33678" w:rsidP="00C33678">
      <w:pPr>
        <w:rPr>
          <w:lang w:eastAsia="zh-CN"/>
        </w:rPr>
      </w:pPr>
      <w:r>
        <w:rPr>
          <w:lang w:eastAsia="zh-CN"/>
        </w:rPr>
        <w:t>4</w:t>
      </w:r>
      <w:r>
        <w:rPr>
          <w:lang w:eastAsia="zh-CN"/>
        </w:rPr>
        <w:tab/>
      </w:r>
      <w:r w:rsidRPr="001A268A">
        <w:rPr>
          <w:rFonts w:hint="eastAsia"/>
          <w:lang w:eastAsia="zh-CN"/>
        </w:rPr>
        <w:t>EG-ITR</w:t>
      </w:r>
      <w:r>
        <w:rPr>
          <w:rFonts w:hint="eastAsia"/>
          <w:lang w:eastAsia="zh-CN"/>
        </w:rPr>
        <w:t>s</w:t>
      </w:r>
      <w:r w:rsidRPr="001A268A">
        <w:rPr>
          <w:rFonts w:hint="eastAsia"/>
          <w:lang w:eastAsia="zh-CN"/>
        </w:rPr>
        <w:t>须制定</w:t>
      </w:r>
      <w:r>
        <w:rPr>
          <w:lang w:eastAsia="zh-CN"/>
        </w:rPr>
        <w:t>最</w:t>
      </w:r>
      <w:r>
        <w:rPr>
          <w:rFonts w:hint="eastAsia"/>
          <w:lang w:eastAsia="zh-CN"/>
        </w:rPr>
        <w:t>终</w:t>
      </w:r>
      <w:r>
        <w:rPr>
          <w:lang w:eastAsia="zh-CN"/>
        </w:rPr>
        <w:t>报告</w:t>
      </w:r>
      <w:r>
        <w:rPr>
          <w:rFonts w:hint="eastAsia"/>
          <w:lang w:eastAsia="zh-CN"/>
        </w:rPr>
        <w:t>，</w:t>
      </w:r>
      <w:r w:rsidRPr="001A268A">
        <w:rPr>
          <w:rFonts w:hint="eastAsia"/>
          <w:lang w:eastAsia="zh-CN"/>
        </w:rPr>
        <w:t>提交理事会</w:t>
      </w:r>
      <w:r>
        <w:rPr>
          <w:rFonts w:hint="eastAsia"/>
          <w:lang w:eastAsia="zh-CN"/>
        </w:rPr>
        <w:t>20</w:t>
      </w:r>
      <w:r>
        <w:rPr>
          <w:lang w:eastAsia="zh-CN"/>
        </w:rPr>
        <w:t>22</w:t>
      </w:r>
      <w:r>
        <w:rPr>
          <w:rFonts w:hint="eastAsia"/>
          <w:lang w:eastAsia="zh-CN"/>
        </w:rPr>
        <w:t>年</w:t>
      </w:r>
      <w:r>
        <w:rPr>
          <w:lang w:eastAsia="zh-CN"/>
        </w:rPr>
        <w:t>会议，</w:t>
      </w:r>
      <w:r>
        <w:rPr>
          <w:rFonts w:hint="eastAsia"/>
          <w:lang w:eastAsia="zh-CN"/>
        </w:rPr>
        <w:t>以便</w:t>
      </w:r>
      <w:r>
        <w:rPr>
          <w:lang w:eastAsia="zh-CN"/>
        </w:rPr>
        <w:t>将该报告</w:t>
      </w:r>
      <w:r>
        <w:rPr>
          <w:rFonts w:hint="eastAsia"/>
          <w:lang w:eastAsia="zh-CN"/>
        </w:rPr>
        <w:t>以</w:t>
      </w:r>
      <w:r>
        <w:rPr>
          <w:lang w:eastAsia="zh-CN"/>
        </w:rPr>
        <w:t>及理事会的意见提交</w:t>
      </w:r>
      <w:r>
        <w:rPr>
          <w:rFonts w:hint="eastAsia"/>
          <w:lang w:eastAsia="zh-CN"/>
        </w:rPr>
        <w:t>20</w:t>
      </w:r>
      <w:r>
        <w:rPr>
          <w:lang w:eastAsia="zh-CN"/>
        </w:rPr>
        <w:t>22</w:t>
      </w:r>
      <w:r>
        <w:rPr>
          <w:rFonts w:hint="eastAsia"/>
          <w:lang w:eastAsia="zh-CN"/>
        </w:rPr>
        <w:t>年</w:t>
      </w:r>
      <w:r>
        <w:rPr>
          <w:lang w:eastAsia="zh-CN"/>
        </w:rPr>
        <w:t>全权代表大会；</w:t>
      </w:r>
    </w:p>
    <w:p w14:paraId="4827BBAA" w14:textId="77777777" w:rsidR="00C33678" w:rsidRDefault="00C33678" w:rsidP="00C33678">
      <w:pPr>
        <w:rPr>
          <w:lang w:eastAsia="zh-CN"/>
        </w:rPr>
      </w:pPr>
      <w:r>
        <w:rPr>
          <w:lang w:eastAsia="zh-CN"/>
        </w:rPr>
        <w:t>5</w:t>
      </w:r>
      <w:r w:rsidRPr="00895626">
        <w:rPr>
          <w:lang w:eastAsia="zh-CN"/>
        </w:rPr>
        <w:tab/>
      </w:r>
      <w:r>
        <w:rPr>
          <w:rFonts w:hint="eastAsia"/>
          <w:lang w:eastAsia="zh-CN"/>
        </w:rPr>
        <w:t>《国际</w:t>
      </w:r>
      <w:r>
        <w:rPr>
          <w:lang w:eastAsia="zh-CN"/>
        </w:rPr>
        <w:t>电联大会、全会和会议的总规则》以</w:t>
      </w:r>
      <w:r>
        <w:rPr>
          <w:rFonts w:hint="eastAsia"/>
          <w:lang w:eastAsia="zh-CN"/>
        </w:rPr>
        <w:t>及</w:t>
      </w:r>
      <w:r>
        <w:rPr>
          <w:lang w:eastAsia="zh-CN"/>
        </w:rPr>
        <w:t>与理事会工作组</w:t>
      </w:r>
      <w:r>
        <w:rPr>
          <w:rFonts w:hint="eastAsia"/>
          <w:lang w:eastAsia="zh-CN"/>
        </w:rPr>
        <w:t>相关</w:t>
      </w:r>
      <w:r>
        <w:rPr>
          <w:lang w:eastAsia="zh-CN"/>
        </w:rPr>
        <w:t>的《</w:t>
      </w:r>
      <w:r>
        <w:rPr>
          <w:rFonts w:hint="eastAsia"/>
          <w:lang w:eastAsia="zh-CN"/>
        </w:rPr>
        <w:t>理事会</w:t>
      </w:r>
      <w:r>
        <w:rPr>
          <w:lang w:eastAsia="zh-CN"/>
        </w:rPr>
        <w:t>议事规则》</w:t>
      </w:r>
      <w:r>
        <w:rPr>
          <w:rFonts w:hint="eastAsia"/>
          <w:lang w:eastAsia="zh-CN"/>
        </w:rPr>
        <w:t>须</w:t>
      </w:r>
      <w:r>
        <w:rPr>
          <w:lang w:eastAsia="zh-CN"/>
        </w:rPr>
        <w:t>适用于专家组；</w:t>
      </w:r>
    </w:p>
    <w:p w14:paraId="4827BBAB" w14:textId="77777777" w:rsidR="00C33678" w:rsidRPr="00895626" w:rsidRDefault="00C33678" w:rsidP="00C33678">
      <w:pPr>
        <w:rPr>
          <w:lang w:eastAsia="zh-CN"/>
        </w:rPr>
      </w:pPr>
      <w:r>
        <w:rPr>
          <w:rFonts w:hint="eastAsia"/>
          <w:lang w:eastAsia="zh-CN"/>
        </w:rPr>
        <w:t>6</w:t>
      </w:r>
      <w:r>
        <w:rPr>
          <w:rFonts w:hint="eastAsia"/>
          <w:lang w:eastAsia="zh-CN"/>
        </w:rPr>
        <w:tab/>
      </w:r>
      <w:r>
        <w:rPr>
          <w:rFonts w:hint="eastAsia"/>
          <w:lang w:eastAsia="zh-CN"/>
        </w:rPr>
        <w:t>在最大</w:t>
      </w:r>
      <w:r>
        <w:rPr>
          <w:lang w:eastAsia="zh-CN"/>
        </w:rPr>
        <w:t>可行程度上提供</w:t>
      </w:r>
      <w:r>
        <w:rPr>
          <w:rFonts w:hint="eastAsia"/>
          <w:lang w:eastAsia="zh-CN"/>
        </w:rPr>
        <w:t>国际电联</w:t>
      </w:r>
      <w:r w:rsidRPr="003E1F55">
        <w:rPr>
          <w:rFonts w:hint="eastAsia"/>
          <w:lang w:eastAsia="zh-CN"/>
        </w:rPr>
        <w:t>六种正式语文</w:t>
      </w:r>
      <w:r>
        <w:rPr>
          <w:rFonts w:hint="eastAsia"/>
          <w:lang w:eastAsia="zh-CN"/>
        </w:rPr>
        <w:t>的</w:t>
      </w:r>
      <w:r w:rsidRPr="003E1F55">
        <w:rPr>
          <w:rFonts w:hint="eastAsia"/>
          <w:lang w:eastAsia="zh-CN"/>
        </w:rPr>
        <w:t>同声传译</w:t>
      </w:r>
      <w:r>
        <w:rPr>
          <w:rFonts w:hint="eastAsia"/>
          <w:lang w:eastAsia="zh-CN"/>
        </w:rPr>
        <w:t>、</w:t>
      </w:r>
      <w:r>
        <w:rPr>
          <w:lang w:eastAsia="zh-CN"/>
        </w:rPr>
        <w:t>远程参</w:t>
      </w:r>
      <w:r>
        <w:rPr>
          <w:rFonts w:hint="eastAsia"/>
          <w:lang w:eastAsia="zh-CN"/>
        </w:rPr>
        <w:t>会</w:t>
      </w:r>
      <w:r>
        <w:rPr>
          <w:lang w:eastAsia="zh-CN"/>
        </w:rPr>
        <w:t>、网播、</w:t>
      </w:r>
      <w:r>
        <w:rPr>
          <w:rFonts w:hint="eastAsia"/>
          <w:lang w:eastAsia="zh-CN"/>
        </w:rPr>
        <w:t>字幕和转录文本</w:t>
      </w:r>
      <w:r>
        <w:rPr>
          <w:lang w:eastAsia="zh-CN"/>
        </w:rPr>
        <w:t>；</w:t>
      </w:r>
    </w:p>
    <w:p w14:paraId="4827BBAC" w14:textId="77777777" w:rsidR="00C33678" w:rsidRPr="001A268A" w:rsidRDefault="00C33678" w:rsidP="00C33678">
      <w:pPr>
        <w:rPr>
          <w:lang w:eastAsia="zh-CN"/>
        </w:rPr>
      </w:pPr>
      <w:r>
        <w:rPr>
          <w:lang w:eastAsia="zh-CN"/>
        </w:rPr>
        <w:t>7</w:t>
      </w:r>
      <w:r w:rsidRPr="00895626">
        <w:rPr>
          <w:lang w:eastAsia="zh-CN"/>
        </w:rPr>
        <w:tab/>
      </w:r>
      <w:r w:rsidRPr="003E1F55">
        <w:rPr>
          <w:rFonts w:hint="eastAsia"/>
          <w:lang w:eastAsia="zh-CN"/>
        </w:rPr>
        <w:t>根据国际电联</w:t>
      </w:r>
      <w:r>
        <w:rPr>
          <w:rFonts w:hint="eastAsia"/>
          <w:lang w:eastAsia="zh-CN"/>
        </w:rPr>
        <w:t>的</w:t>
      </w:r>
      <w:r w:rsidRPr="003E1F55">
        <w:rPr>
          <w:rFonts w:hint="eastAsia"/>
          <w:lang w:eastAsia="zh-CN"/>
        </w:rPr>
        <w:t>文件获取政策</w:t>
      </w:r>
      <w:r>
        <w:rPr>
          <w:rFonts w:hint="eastAsia"/>
          <w:lang w:eastAsia="zh-CN"/>
        </w:rPr>
        <w:t>，专家组</w:t>
      </w:r>
      <w:r>
        <w:rPr>
          <w:lang w:eastAsia="zh-CN"/>
        </w:rPr>
        <w:t>会议</w:t>
      </w:r>
      <w:r>
        <w:rPr>
          <w:rFonts w:hint="eastAsia"/>
          <w:lang w:eastAsia="zh-CN"/>
        </w:rPr>
        <w:t>的</w:t>
      </w:r>
      <w:r>
        <w:rPr>
          <w:lang w:eastAsia="zh-CN"/>
        </w:rPr>
        <w:t>所有</w:t>
      </w:r>
      <w:r>
        <w:rPr>
          <w:rFonts w:hint="eastAsia"/>
          <w:lang w:eastAsia="zh-CN"/>
        </w:rPr>
        <w:t>输出</w:t>
      </w:r>
      <w:r>
        <w:rPr>
          <w:lang w:eastAsia="zh-CN"/>
        </w:rPr>
        <w:t>文件</w:t>
      </w:r>
      <w:r>
        <w:rPr>
          <w:rFonts w:hint="eastAsia"/>
          <w:lang w:eastAsia="zh-CN"/>
        </w:rPr>
        <w:t>均</w:t>
      </w:r>
      <w:r>
        <w:rPr>
          <w:lang w:eastAsia="zh-CN"/>
        </w:rPr>
        <w:t>公开提供，</w:t>
      </w:r>
      <w:r>
        <w:rPr>
          <w:rFonts w:hint="eastAsia"/>
          <w:lang w:eastAsia="zh-CN"/>
        </w:rPr>
        <w:t>而</w:t>
      </w:r>
      <w:r>
        <w:rPr>
          <w:lang w:eastAsia="zh-CN"/>
        </w:rPr>
        <w:t>且所有输入文件</w:t>
      </w:r>
      <w:r>
        <w:rPr>
          <w:rFonts w:hint="eastAsia"/>
          <w:lang w:eastAsia="zh-CN"/>
        </w:rPr>
        <w:t>须</w:t>
      </w:r>
      <w:r>
        <w:rPr>
          <w:lang w:eastAsia="zh-CN"/>
        </w:rPr>
        <w:t>根据提交</w:t>
      </w:r>
      <w:r>
        <w:rPr>
          <w:rFonts w:hint="eastAsia"/>
          <w:lang w:eastAsia="zh-CN"/>
        </w:rPr>
        <w:t>方</w:t>
      </w:r>
      <w:r>
        <w:rPr>
          <w:lang w:eastAsia="zh-CN"/>
        </w:rPr>
        <w:t>的决定公开提供；</w:t>
      </w:r>
    </w:p>
    <w:p w14:paraId="4827BBAD" w14:textId="77777777" w:rsidR="00C33678" w:rsidRPr="004E1B1B" w:rsidRDefault="00C33678" w:rsidP="00C33678">
      <w:pPr>
        <w:rPr>
          <w:lang w:val="en-US" w:eastAsia="zh-CN"/>
        </w:rPr>
      </w:pPr>
      <w:r>
        <w:rPr>
          <w:lang w:val="en-US" w:eastAsia="zh-CN"/>
        </w:rPr>
        <w:t>8</w:t>
      </w:r>
      <w:r>
        <w:rPr>
          <w:lang w:val="en-US" w:eastAsia="zh-CN"/>
        </w:rPr>
        <w:tab/>
      </w:r>
      <w:r>
        <w:rPr>
          <w:rFonts w:hint="eastAsia"/>
          <w:lang w:eastAsia="zh-CN"/>
        </w:rPr>
        <w:t>E</w:t>
      </w:r>
      <w:r>
        <w:rPr>
          <w:lang w:eastAsia="zh-CN"/>
        </w:rPr>
        <w:t>G-ITR</w:t>
      </w:r>
      <w:r>
        <w:rPr>
          <w:rFonts w:hint="eastAsia"/>
          <w:lang w:eastAsia="zh-CN"/>
        </w:rPr>
        <w:t>s</w:t>
      </w:r>
      <w:r>
        <w:rPr>
          <w:rFonts w:hint="eastAsia"/>
          <w:lang w:eastAsia="zh-CN"/>
        </w:rPr>
        <w:t>应在</w:t>
      </w:r>
      <w:r>
        <w:rPr>
          <w:rFonts w:hint="eastAsia"/>
          <w:lang w:eastAsia="zh-CN"/>
        </w:rPr>
        <w:t>201</w:t>
      </w:r>
      <w:r>
        <w:rPr>
          <w:lang w:eastAsia="zh-CN"/>
        </w:rPr>
        <w:t>9</w:t>
      </w:r>
      <w:r>
        <w:rPr>
          <w:rFonts w:hint="eastAsia"/>
          <w:lang w:eastAsia="zh-CN"/>
        </w:rPr>
        <w:t>年、</w:t>
      </w:r>
      <w:r>
        <w:rPr>
          <w:rFonts w:hint="eastAsia"/>
          <w:lang w:eastAsia="zh-CN"/>
        </w:rPr>
        <w:t>2020</w:t>
      </w:r>
      <w:r>
        <w:rPr>
          <w:rFonts w:hint="eastAsia"/>
          <w:lang w:eastAsia="zh-CN"/>
        </w:rPr>
        <w:t>年和</w:t>
      </w:r>
      <w:r>
        <w:rPr>
          <w:rFonts w:hint="eastAsia"/>
          <w:lang w:eastAsia="zh-CN"/>
        </w:rPr>
        <w:t>20</w:t>
      </w:r>
      <w:r>
        <w:rPr>
          <w:lang w:eastAsia="zh-CN"/>
        </w:rPr>
        <w:t>21</w:t>
      </w:r>
      <w:r>
        <w:rPr>
          <w:rFonts w:hint="eastAsia"/>
          <w:lang w:eastAsia="zh-CN"/>
        </w:rPr>
        <w:t>年理事会工作组集中开会时段召开面对面会议，而且最后的面对面会议应在理事会</w:t>
      </w:r>
      <w:r>
        <w:rPr>
          <w:rFonts w:hint="eastAsia"/>
          <w:lang w:eastAsia="zh-CN"/>
        </w:rPr>
        <w:t>20</w:t>
      </w:r>
      <w:r>
        <w:rPr>
          <w:lang w:eastAsia="zh-CN"/>
        </w:rPr>
        <w:t>22</w:t>
      </w:r>
      <w:r>
        <w:rPr>
          <w:rFonts w:hint="eastAsia"/>
          <w:lang w:eastAsia="zh-CN"/>
        </w:rPr>
        <w:t>年会议之前召开，</w:t>
      </w:r>
    </w:p>
    <w:p w14:paraId="4827BBAE" w14:textId="77777777" w:rsidR="00C33678" w:rsidRPr="000713BD" w:rsidRDefault="00C33678" w:rsidP="00C33678">
      <w:pPr>
        <w:pStyle w:val="Call"/>
        <w:rPr>
          <w:lang w:eastAsia="zh-CN"/>
        </w:rPr>
      </w:pPr>
      <w:r>
        <w:rPr>
          <w:rFonts w:hint="eastAsia"/>
          <w:lang w:eastAsia="zh-CN"/>
        </w:rPr>
        <w:t>责成</w:t>
      </w:r>
      <w:r>
        <w:rPr>
          <w:lang w:eastAsia="zh-CN"/>
        </w:rPr>
        <w:t>秘书长</w:t>
      </w:r>
    </w:p>
    <w:p w14:paraId="4827BBAF" w14:textId="77777777" w:rsidR="00C33678" w:rsidRPr="00895626" w:rsidRDefault="00C33678" w:rsidP="00C33678">
      <w:pPr>
        <w:ind w:firstLineChars="200" w:firstLine="480"/>
        <w:rPr>
          <w:lang w:eastAsia="zh-CN"/>
        </w:rPr>
      </w:pPr>
      <w:r>
        <w:rPr>
          <w:rFonts w:hint="eastAsia"/>
          <w:lang w:eastAsia="zh-CN"/>
        </w:rPr>
        <w:t>为</w:t>
      </w:r>
      <w:r>
        <w:rPr>
          <w:lang w:eastAsia="zh-CN"/>
        </w:rPr>
        <w:t>落实本决议</w:t>
      </w:r>
      <w:r>
        <w:rPr>
          <w:rFonts w:hint="eastAsia"/>
          <w:lang w:eastAsia="zh-CN"/>
        </w:rPr>
        <w:t>做出必要</w:t>
      </w:r>
      <w:r>
        <w:rPr>
          <w:lang w:eastAsia="zh-CN"/>
        </w:rPr>
        <w:t>安排，</w:t>
      </w:r>
    </w:p>
    <w:p w14:paraId="4827BBB0" w14:textId="77777777" w:rsidR="00C33678" w:rsidRPr="00895626" w:rsidRDefault="00C33678" w:rsidP="00C33678">
      <w:pPr>
        <w:pStyle w:val="Call"/>
        <w:rPr>
          <w:lang w:val="en-US" w:eastAsia="zh-CN"/>
        </w:rPr>
      </w:pPr>
      <w:r w:rsidRPr="00C81067">
        <w:rPr>
          <w:rFonts w:hint="eastAsia"/>
          <w:lang w:eastAsia="zh-CN"/>
        </w:rPr>
        <w:t>责成</w:t>
      </w:r>
      <w:r>
        <w:rPr>
          <w:rFonts w:hint="eastAsia"/>
          <w:lang w:eastAsia="zh-CN"/>
        </w:rPr>
        <w:t>各</w:t>
      </w:r>
      <w:r w:rsidRPr="00C81067">
        <w:rPr>
          <w:lang w:eastAsia="zh-CN"/>
        </w:rPr>
        <w:t>局主任</w:t>
      </w:r>
    </w:p>
    <w:p w14:paraId="4827BBB1" w14:textId="77777777" w:rsidR="00C33678" w:rsidRPr="00895626" w:rsidRDefault="00C33678" w:rsidP="00C33678">
      <w:pPr>
        <w:rPr>
          <w:lang w:val="en-US" w:eastAsia="zh-CN"/>
        </w:rPr>
      </w:pPr>
      <w:r w:rsidRPr="00895626">
        <w:rPr>
          <w:lang w:val="en-US" w:eastAsia="zh-CN"/>
        </w:rPr>
        <w:t>1</w:t>
      </w:r>
      <w:r w:rsidRPr="00895626">
        <w:rPr>
          <w:lang w:val="en-US" w:eastAsia="zh-CN"/>
        </w:rPr>
        <w:tab/>
      </w:r>
      <w:r>
        <w:rPr>
          <w:lang w:val="en-US" w:eastAsia="zh-CN"/>
        </w:rPr>
        <w:t>在</w:t>
      </w:r>
      <w:r>
        <w:rPr>
          <w:rFonts w:hint="eastAsia"/>
          <w:lang w:val="en-US" w:eastAsia="zh-CN"/>
        </w:rPr>
        <w:t>各自</w:t>
      </w:r>
      <w:r>
        <w:rPr>
          <w:lang w:val="en-US" w:eastAsia="zh-CN"/>
        </w:rPr>
        <w:t>职权范围内，并且在听取</w:t>
      </w:r>
      <w:r>
        <w:rPr>
          <w:rFonts w:hint="eastAsia"/>
          <w:lang w:val="en-US" w:eastAsia="zh-CN"/>
        </w:rPr>
        <w:t>相关</w:t>
      </w:r>
      <w:r>
        <w:rPr>
          <w:lang w:val="en-US" w:eastAsia="zh-CN"/>
        </w:rPr>
        <w:t>顾问组建议的情况下</w:t>
      </w:r>
      <w:r>
        <w:rPr>
          <w:rFonts w:hint="eastAsia"/>
          <w:lang w:val="en-US" w:eastAsia="zh-CN"/>
        </w:rPr>
        <w:t>，</w:t>
      </w:r>
      <w:r>
        <w:rPr>
          <w:lang w:val="en-US" w:eastAsia="zh-CN"/>
        </w:rPr>
        <w:t>为</w:t>
      </w:r>
      <w:r>
        <w:rPr>
          <w:rFonts w:hint="eastAsia"/>
          <w:szCs w:val="24"/>
          <w:lang w:eastAsia="zh-CN"/>
        </w:rPr>
        <w:t>专家组</w:t>
      </w:r>
      <w:r>
        <w:rPr>
          <w:lang w:val="en-US" w:eastAsia="zh-CN"/>
        </w:rPr>
        <w:t>的工作献计献策，同时认识到，国际电联电信标准化部门开展</w:t>
      </w:r>
      <w:r>
        <w:rPr>
          <w:rFonts w:hint="eastAsia"/>
          <w:lang w:val="en-US" w:eastAsia="zh-CN"/>
        </w:rPr>
        <w:t>的</w:t>
      </w:r>
      <w:r>
        <w:rPr>
          <w:lang w:val="en-US" w:eastAsia="zh-CN"/>
        </w:rPr>
        <w:t>多数工作与《国际电信规则》相关</w:t>
      </w:r>
      <w:r>
        <w:rPr>
          <w:rFonts w:hint="eastAsia"/>
          <w:lang w:val="en-US" w:eastAsia="zh-CN"/>
        </w:rPr>
        <w:t>；</w:t>
      </w:r>
    </w:p>
    <w:p w14:paraId="4827BBB2" w14:textId="77777777" w:rsidR="00C33678" w:rsidRPr="00895626" w:rsidRDefault="00C33678" w:rsidP="00C33678">
      <w:pPr>
        <w:rPr>
          <w:lang w:val="en-US" w:eastAsia="zh-CN"/>
        </w:rPr>
      </w:pPr>
      <w:r w:rsidRPr="00895626">
        <w:rPr>
          <w:lang w:val="en-US" w:eastAsia="zh-CN"/>
        </w:rPr>
        <w:t>2</w:t>
      </w:r>
      <w:r w:rsidRPr="00895626">
        <w:rPr>
          <w:lang w:val="en-US" w:eastAsia="zh-CN"/>
        </w:rPr>
        <w:tab/>
      </w:r>
      <w:r>
        <w:rPr>
          <w:rFonts w:hint="eastAsia"/>
          <w:lang w:val="en-US" w:eastAsia="zh-CN"/>
        </w:rPr>
        <w:t>将其</w:t>
      </w:r>
      <w:r>
        <w:rPr>
          <w:lang w:val="en-US" w:eastAsia="zh-CN"/>
        </w:rPr>
        <w:t>工作结果提交</w:t>
      </w:r>
      <w:r>
        <w:rPr>
          <w:rFonts w:hint="eastAsia"/>
          <w:lang w:val="en-US" w:eastAsia="zh-CN"/>
        </w:rPr>
        <w:t>E</w:t>
      </w:r>
      <w:r>
        <w:rPr>
          <w:lang w:val="en-US" w:eastAsia="zh-CN"/>
        </w:rPr>
        <w:t>G-ITR</w:t>
      </w:r>
      <w:r>
        <w:rPr>
          <w:rFonts w:hint="eastAsia"/>
          <w:lang w:val="en-US" w:eastAsia="zh-CN"/>
        </w:rPr>
        <w:t>s</w:t>
      </w:r>
      <w:r>
        <w:rPr>
          <w:lang w:val="en-US" w:eastAsia="zh-CN"/>
        </w:rPr>
        <w:t>；</w:t>
      </w:r>
    </w:p>
    <w:p w14:paraId="4827BBB3" w14:textId="77777777" w:rsidR="00C33678" w:rsidRPr="001A268A" w:rsidRDefault="00C33678" w:rsidP="00C33678">
      <w:pPr>
        <w:rPr>
          <w:lang w:val="en-US" w:eastAsia="zh-CN"/>
        </w:rPr>
      </w:pPr>
      <w:r w:rsidRPr="00895626">
        <w:rPr>
          <w:lang w:val="en-US" w:eastAsia="zh-CN"/>
        </w:rPr>
        <w:t>3</w:t>
      </w:r>
      <w:r w:rsidRPr="00895626">
        <w:rPr>
          <w:lang w:val="en-US" w:eastAsia="zh-CN"/>
        </w:rPr>
        <w:tab/>
      </w:r>
      <w:r>
        <w:rPr>
          <w:rFonts w:hint="eastAsia"/>
          <w:lang w:val="en-US" w:eastAsia="zh-CN"/>
        </w:rPr>
        <w:t>在</w:t>
      </w:r>
      <w:r>
        <w:rPr>
          <w:lang w:val="en-US" w:eastAsia="zh-CN"/>
        </w:rPr>
        <w:t>拥有可用资源时，按照联合国确</w:t>
      </w:r>
      <w:r>
        <w:rPr>
          <w:rFonts w:hint="eastAsia"/>
          <w:lang w:val="en-US" w:eastAsia="zh-CN"/>
        </w:rPr>
        <w:t>定</w:t>
      </w:r>
      <w:r>
        <w:rPr>
          <w:lang w:val="en-US" w:eastAsia="zh-CN"/>
        </w:rPr>
        <w:t>的发展中国家和最不发达国家名单，考虑提供与会补贴，以</w:t>
      </w:r>
      <w:r>
        <w:rPr>
          <w:rFonts w:hint="eastAsia"/>
          <w:lang w:val="en-US" w:eastAsia="zh-CN"/>
        </w:rPr>
        <w:t>扩</w:t>
      </w:r>
      <w:r>
        <w:rPr>
          <w:lang w:val="en-US" w:eastAsia="zh-CN"/>
        </w:rPr>
        <w:t>大专家组工作的参与度，</w:t>
      </w:r>
    </w:p>
    <w:p w14:paraId="4827BBB4" w14:textId="77777777" w:rsidR="00C33678" w:rsidRPr="00895626" w:rsidRDefault="00C33678" w:rsidP="00C33678">
      <w:pPr>
        <w:pStyle w:val="Call"/>
        <w:rPr>
          <w:lang w:eastAsia="zh-CN"/>
        </w:rPr>
      </w:pPr>
      <w:r w:rsidRPr="009A57D9">
        <w:rPr>
          <w:rFonts w:hint="eastAsia"/>
          <w:lang w:eastAsia="zh-CN"/>
        </w:rPr>
        <w:t>请</w:t>
      </w:r>
      <w:r w:rsidRPr="009A57D9">
        <w:rPr>
          <w:lang w:eastAsia="zh-CN"/>
        </w:rPr>
        <w:t>成员国和部门成员</w:t>
      </w:r>
    </w:p>
    <w:p w14:paraId="4827BBB5" w14:textId="77777777" w:rsidR="00C33678" w:rsidRDefault="00C33678" w:rsidP="00C33678">
      <w:pPr>
        <w:ind w:firstLineChars="200" w:firstLine="480"/>
        <w:rPr>
          <w:lang w:eastAsia="zh-CN"/>
        </w:rPr>
      </w:pPr>
      <w:r>
        <w:rPr>
          <w:rFonts w:hint="eastAsia"/>
          <w:lang w:eastAsia="zh-CN"/>
        </w:rPr>
        <w:t>参加</w:t>
      </w:r>
      <w:r>
        <w:rPr>
          <w:lang w:eastAsia="zh-CN"/>
        </w:rPr>
        <w:t>EG-ITR</w:t>
      </w:r>
      <w:r>
        <w:rPr>
          <w:rFonts w:hint="eastAsia"/>
          <w:lang w:eastAsia="zh-CN"/>
        </w:rPr>
        <w:t>s</w:t>
      </w:r>
      <w:r>
        <w:rPr>
          <w:rFonts w:hint="eastAsia"/>
          <w:lang w:eastAsia="zh-CN"/>
        </w:rPr>
        <w:t>的工作并</w:t>
      </w:r>
      <w:r>
        <w:rPr>
          <w:lang w:eastAsia="zh-CN"/>
        </w:rPr>
        <w:t>为审议《</w:t>
      </w:r>
      <w:r>
        <w:rPr>
          <w:rFonts w:hint="eastAsia"/>
          <w:lang w:eastAsia="zh-CN"/>
        </w:rPr>
        <w:t>国际电信</w:t>
      </w:r>
      <w:r>
        <w:rPr>
          <w:lang w:eastAsia="zh-CN"/>
        </w:rPr>
        <w:t>规则》</w:t>
      </w:r>
      <w:r>
        <w:rPr>
          <w:rFonts w:hint="eastAsia"/>
          <w:lang w:eastAsia="zh-CN"/>
        </w:rPr>
        <w:t>贡献力量。</w:t>
      </w:r>
    </w:p>
    <w:p w14:paraId="4827BBB6" w14:textId="77777777" w:rsidR="00C33678" w:rsidRPr="00895626" w:rsidRDefault="00C33678" w:rsidP="00C33678">
      <w:pPr>
        <w:spacing w:before="840"/>
        <w:rPr>
          <w:szCs w:val="24"/>
          <w:lang w:eastAsia="zh-CN"/>
        </w:rPr>
      </w:pPr>
      <w:r w:rsidRPr="00DA0712">
        <w:rPr>
          <w:rFonts w:hint="eastAsia"/>
          <w:b/>
          <w:bCs/>
          <w:lang w:eastAsia="zh-CN"/>
        </w:rPr>
        <w:t>附件：</w:t>
      </w:r>
      <w:r w:rsidRPr="00B71FAF">
        <w:rPr>
          <w:lang w:eastAsia="zh-CN"/>
        </w:rPr>
        <w:t>1</w:t>
      </w:r>
      <w:r>
        <w:rPr>
          <w:rFonts w:hint="eastAsia"/>
          <w:lang w:eastAsia="zh-CN"/>
        </w:rPr>
        <w:t>件</w:t>
      </w:r>
    </w:p>
    <w:p w14:paraId="4827BBB7" w14:textId="77777777" w:rsidR="00C33678" w:rsidRDefault="00C33678" w:rsidP="00C33678">
      <w:pPr>
        <w:overflowPunct/>
        <w:autoSpaceDE/>
        <w:autoSpaceDN/>
        <w:snapToGrid w:val="0"/>
        <w:spacing w:after="120"/>
        <w:textAlignment w:val="auto"/>
        <w:rPr>
          <w:szCs w:val="24"/>
          <w:lang w:eastAsia="zh-CN"/>
        </w:rPr>
      </w:pPr>
    </w:p>
    <w:p w14:paraId="4827BBB8" w14:textId="77777777" w:rsidR="00C33678" w:rsidRDefault="00C33678" w:rsidP="00C33678">
      <w:pPr>
        <w:overflowPunct/>
        <w:autoSpaceDE/>
        <w:autoSpaceDN/>
        <w:snapToGrid w:val="0"/>
        <w:spacing w:after="120"/>
        <w:textAlignment w:val="auto"/>
        <w:rPr>
          <w:szCs w:val="24"/>
          <w:lang w:eastAsia="zh-CN"/>
        </w:rPr>
      </w:pPr>
    </w:p>
    <w:p w14:paraId="4827BBB9" w14:textId="77777777" w:rsidR="00C33678" w:rsidRDefault="00C33678" w:rsidP="00C33678">
      <w:pPr>
        <w:overflowPunct/>
        <w:autoSpaceDE/>
        <w:autoSpaceDN/>
        <w:snapToGrid w:val="0"/>
        <w:spacing w:after="120"/>
        <w:textAlignment w:val="auto"/>
        <w:rPr>
          <w:szCs w:val="24"/>
          <w:lang w:eastAsia="zh-CN"/>
        </w:rPr>
      </w:pPr>
    </w:p>
    <w:p w14:paraId="4827BBBA" w14:textId="77777777" w:rsidR="00C33678" w:rsidRDefault="00C33678" w:rsidP="00C33678">
      <w:pPr>
        <w:overflowPunct/>
        <w:autoSpaceDE/>
        <w:autoSpaceDN/>
        <w:snapToGrid w:val="0"/>
        <w:spacing w:after="120"/>
        <w:textAlignment w:val="auto"/>
        <w:rPr>
          <w:szCs w:val="24"/>
          <w:lang w:eastAsia="zh-CN"/>
        </w:rPr>
      </w:pPr>
    </w:p>
    <w:p w14:paraId="4827BBBB" w14:textId="77777777" w:rsidR="00C33678" w:rsidRDefault="00C33678" w:rsidP="00C33678">
      <w:pPr>
        <w:overflowPunct/>
        <w:autoSpaceDE/>
        <w:autoSpaceDN/>
        <w:snapToGrid w:val="0"/>
        <w:spacing w:after="120"/>
        <w:textAlignment w:val="auto"/>
        <w:rPr>
          <w:szCs w:val="24"/>
          <w:lang w:eastAsia="zh-CN"/>
        </w:rPr>
      </w:pPr>
    </w:p>
    <w:p w14:paraId="4827BBBC" w14:textId="77777777" w:rsidR="00C33678" w:rsidRPr="00895626" w:rsidRDefault="00C33678" w:rsidP="00C33678">
      <w:pPr>
        <w:overflowPunct/>
        <w:autoSpaceDE/>
        <w:autoSpaceDN/>
        <w:snapToGrid w:val="0"/>
        <w:spacing w:after="120"/>
        <w:textAlignment w:val="auto"/>
        <w:rPr>
          <w:caps/>
          <w:szCs w:val="24"/>
          <w:lang w:eastAsia="zh-CN"/>
        </w:rPr>
      </w:pPr>
      <w:r w:rsidRPr="00895626">
        <w:rPr>
          <w:szCs w:val="24"/>
          <w:lang w:eastAsia="zh-CN"/>
        </w:rPr>
        <w:br w:type="page"/>
      </w:r>
    </w:p>
    <w:p w14:paraId="4827BBBD" w14:textId="77777777" w:rsidR="00C33678" w:rsidRPr="00023AE9" w:rsidRDefault="00C33678" w:rsidP="00C33678">
      <w:pPr>
        <w:pStyle w:val="AnnexNo"/>
        <w:rPr>
          <w:lang w:eastAsia="zh-CN"/>
        </w:rPr>
      </w:pPr>
      <w:r w:rsidRPr="00023AE9">
        <w:rPr>
          <w:lang w:eastAsia="zh-CN"/>
        </w:rPr>
        <w:lastRenderedPageBreak/>
        <w:t>附件</w:t>
      </w:r>
    </w:p>
    <w:p w14:paraId="4827BBBE" w14:textId="77777777" w:rsidR="00C33678" w:rsidRPr="00065A01" w:rsidRDefault="00C33678" w:rsidP="00C33678">
      <w:pPr>
        <w:pStyle w:val="Annextitle"/>
        <w:rPr>
          <w:rFonts w:eastAsiaTheme="minorEastAsia"/>
          <w:lang w:eastAsia="zh-CN"/>
        </w:rPr>
      </w:pPr>
      <w:r w:rsidRPr="00065A01">
        <w:rPr>
          <w:rFonts w:eastAsiaTheme="minorEastAsia"/>
          <w:lang w:eastAsia="zh-CN"/>
        </w:rPr>
        <w:t>《国际电信规则》专家组（</w:t>
      </w:r>
      <w:r w:rsidRPr="00065A01">
        <w:rPr>
          <w:rFonts w:eastAsiaTheme="minorEastAsia"/>
          <w:lang w:eastAsia="zh-CN"/>
        </w:rPr>
        <w:t>EG-ITR</w:t>
      </w:r>
      <w:r>
        <w:rPr>
          <w:rFonts w:eastAsiaTheme="minorEastAsia" w:hint="eastAsia"/>
          <w:lang w:eastAsia="zh-CN"/>
        </w:rPr>
        <w:t>s</w:t>
      </w:r>
      <w:r w:rsidRPr="00065A01">
        <w:rPr>
          <w:rFonts w:eastAsiaTheme="minorEastAsia"/>
          <w:lang w:eastAsia="zh-CN"/>
        </w:rPr>
        <w:t>）的职责范围</w:t>
      </w:r>
    </w:p>
    <w:p w14:paraId="4827BBBF" w14:textId="77777777" w:rsidR="00C33678" w:rsidRDefault="00C33678" w:rsidP="00C33678">
      <w:pPr>
        <w:rPr>
          <w:lang w:eastAsia="zh-CN"/>
        </w:rPr>
      </w:pPr>
      <w:r w:rsidRPr="00895626">
        <w:rPr>
          <w:lang w:val="en-US" w:eastAsia="zh-CN"/>
        </w:rPr>
        <w:t>1</w:t>
      </w:r>
      <w:r w:rsidRPr="00895626">
        <w:rPr>
          <w:lang w:val="en-US" w:eastAsia="zh-CN"/>
        </w:rPr>
        <w:tab/>
      </w:r>
      <w:r>
        <w:rPr>
          <w:rFonts w:hint="eastAsia"/>
          <w:lang w:eastAsia="zh-CN"/>
        </w:rPr>
        <w:t>E</w:t>
      </w:r>
      <w:r>
        <w:rPr>
          <w:lang w:eastAsia="zh-CN"/>
        </w:rPr>
        <w:t>G-ITR</w:t>
      </w:r>
      <w:r>
        <w:rPr>
          <w:rFonts w:hint="eastAsia"/>
          <w:lang w:eastAsia="zh-CN"/>
        </w:rPr>
        <w:t>s</w:t>
      </w:r>
      <w:r>
        <w:rPr>
          <w:rFonts w:hint="eastAsia"/>
          <w:lang w:eastAsia="zh-CN"/>
        </w:rPr>
        <w:t>须在</w:t>
      </w:r>
      <w:r>
        <w:rPr>
          <w:lang w:eastAsia="zh-CN"/>
        </w:rPr>
        <w:t>成员国、部门成员</w:t>
      </w:r>
      <w:r>
        <w:rPr>
          <w:rFonts w:hint="eastAsia"/>
          <w:lang w:eastAsia="zh-CN"/>
        </w:rPr>
        <w:t>提交的</w:t>
      </w:r>
      <w:r>
        <w:rPr>
          <w:lang w:eastAsia="zh-CN"/>
        </w:rPr>
        <w:t>文稿以及</w:t>
      </w:r>
      <w:r>
        <w:rPr>
          <w:rFonts w:hint="eastAsia"/>
          <w:lang w:eastAsia="zh-CN"/>
        </w:rPr>
        <w:t>必要时各</w:t>
      </w:r>
      <w:r>
        <w:rPr>
          <w:lang w:eastAsia="zh-CN"/>
        </w:rPr>
        <w:t>局主任</w:t>
      </w:r>
      <w:r>
        <w:rPr>
          <w:rFonts w:hint="eastAsia"/>
          <w:lang w:eastAsia="zh-CN"/>
        </w:rPr>
        <w:t>提供的</w:t>
      </w:r>
      <w:r>
        <w:rPr>
          <w:lang w:eastAsia="zh-CN"/>
        </w:rPr>
        <w:t>输入</w:t>
      </w:r>
      <w:r>
        <w:rPr>
          <w:rFonts w:hint="eastAsia"/>
          <w:lang w:eastAsia="zh-CN"/>
        </w:rPr>
        <w:t>意见</w:t>
      </w:r>
      <w:r>
        <w:rPr>
          <w:lang w:eastAsia="zh-CN"/>
        </w:rPr>
        <w:t>的基础上</w:t>
      </w:r>
      <w:r>
        <w:rPr>
          <w:rFonts w:hint="eastAsia"/>
          <w:lang w:eastAsia="zh-CN"/>
        </w:rPr>
        <w:t>全面</w:t>
      </w:r>
      <w:r>
        <w:rPr>
          <w:lang w:eastAsia="zh-CN"/>
        </w:rPr>
        <w:t>审议</w:t>
      </w:r>
      <w:r>
        <w:rPr>
          <w:rFonts w:hint="eastAsia"/>
          <w:lang w:eastAsia="zh-CN"/>
        </w:rPr>
        <w:t>《</w:t>
      </w:r>
      <w:r>
        <w:rPr>
          <w:lang w:eastAsia="zh-CN"/>
        </w:rPr>
        <w:t>国</w:t>
      </w:r>
      <w:r>
        <w:rPr>
          <w:rFonts w:hint="eastAsia"/>
          <w:lang w:eastAsia="zh-CN"/>
        </w:rPr>
        <w:t>际</w:t>
      </w:r>
      <w:r>
        <w:rPr>
          <w:lang w:eastAsia="zh-CN"/>
        </w:rPr>
        <w:t>电信规则》。</w:t>
      </w:r>
    </w:p>
    <w:p w14:paraId="4827BBC0" w14:textId="77777777" w:rsidR="00C33678" w:rsidRDefault="00C33678" w:rsidP="00C33678">
      <w:pPr>
        <w:rPr>
          <w:lang w:eastAsia="zh-CN"/>
        </w:rPr>
      </w:pPr>
      <w:r>
        <w:rPr>
          <w:lang w:eastAsia="zh-CN"/>
        </w:rPr>
        <w:t>2</w:t>
      </w:r>
      <w:r>
        <w:rPr>
          <w:lang w:eastAsia="zh-CN"/>
        </w:rPr>
        <w:tab/>
      </w:r>
      <w:r w:rsidRPr="00B1131B">
        <w:rPr>
          <w:rFonts w:hint="eastAsia"/>
          <w:lang w:eastAsia="zh-CN"/>
        </w:rPr>
        <w:t>EG-ITRs</w:t>
      </w:r>
      <w:r w:rsidRPr="00B1131B">
        <w:rPr>
          <w:rFonts w:hint="eastAsia"/>
          <w:lang w:eastAsia="zh-CN"/>
        </w:rPr>
        <w:t>须对《国际电信规则》进行逐款审议，</w:t>
      </w:r>
      <w:r>
        <w:rPr>
          <w:rFonts w:hint="eastAsia"/>
          <w:lang w:eastAsia="zh-CN"/>
        </w:rPr>
        <w:t>重点关注</w:t>
      </w:r>
      <w:r w:rsidRPr="00B1131B">
        <w:rPr>
          <w:rFonts w:hint="eastAsia"/>
          <w:lang w:eastAsia="zh-CN"/>
        </w:rPr>
        <w:t>2012</w:t>
      </w:r>
      <w:r w:rsidRPr="00B1131B">
        <w:rPr>
          <w:rFonts w:hint="eastAsia"/>
          <w:lang w:eastAsia="zh-CN"/>
        </w:rPr>
        <w:t>年版《国际电信规则》</w:t>
      </w:r>
      <w:r>
        <w:rPr>
          <w:rFonts w:hint="eastAsia"/>
          <w:lang w:eastAsia="zh-CN"/>
        </w:rPr>
        <w:t>，</w:t>
      </w:r>
      <w:r>
        <w:rPr>
          <w:lang w:eastAsia="zh-CN"/>
        </w:rPr>
        <w:t>同时考虑到电信</w:t>
      </w:r>
      <w:r>
        <w:rPr>
          <w:rFonts w:hint="eastAsia"/>
          <w:lang w:eastAsia="zh-CN"/>
        </w:rPr>
        <w:t>/ICT</w:t>
      </w:r>
      <w:r>
        <w:rPr>
          <w:lang w:eastAsia="zh-CN"/>
        </w:rPr>
        <w:t>的新趋势</w:t>
      </w:r>
      <w:r>
        <w:rPr>
          <w:rFonts w:hint="eastAsia"/>
          <w:lang w:eastAsia="zh-CN"/>
        </w:rPr>
        <w:t>和国际电信</w:t>
      </w:r>
      <w:r>
        <w:rPr>
          <w:rFonts w:hint="eastAsia"/>
          <w:lang w:eastAsia="zh-CN"/>
        </w:rPr>
        <w:t>/</w:t>
      </w:r>
      <w:r>
        <w:rPr>
          <w:lang w:eastAsia="zh-CN"/>
        </w:rPr>
        <w:t>ICT</w:t>
      </w:r>
      <w:r>
        <w:rPr>
          <w:rFonts w:hint="eastAsia"/>
          <w:lang w:eastAsia="zh-CN"/>
        </w:rPr>
        <w:t>环境中</w:t>
      </w:r>
      <w:r>
        <w:rPr>
          <w:lang w:eastAsia="zh-CN"/>
        </w:rPr>
        <w:t>正在出现的问题。</w:t>
      </w:r>
    </w:p>
    <w:p w14:paraId="4827BBC1" w14:textId="77777777" w:rsidR="00C33678" w:rsidRPr="001A268A" w:rsidRDefault="00C33678" w:rsidP="00C33678">
      <w:pPr>
        <w:rPr>
          <w:szCs w:val="24"/>
          <w:lang w:eastAsia="zh-CN"/>
        </w:rPr>
      </w:pPr>
      <w:r>
        <w:rPr>
          <w:szCs w:val="24"/>
          <w:lang w:eastAsia="zh-CN"/>
        </w:rPr>
        <w:t>3</w:t>
      </w:r>
      <w:r w:rsidRPr="00A67A90">
        <w:rPr>
          <w:szCs w:val="24"/>
          <w:lang w:eastAsia="zh-CN"/>
        </w:rPr>
        <w:tab/>
      </w:r>
      <w:r>
        <w:rPr>
          <w:rFonts w:hint="eastAsia"/>
          <w:szCs w:val="24"/>
          <w:lang w:eastAsia="zh-CN"/>
        </w:rPr>
        <w:t>审议工作</w:t>
      </w:r>
      <w:r>
        <w:rPr>
          <w:szCs w:val="24"/>
          <w:lang w:eastAsia="zh-CN"/>
        </w:rPr>
        <w:t>应</w:t>
      </w:r>
      <w:r>
        <w:rPr>
          <w:rFonts w:hint="eastAsia"/>
          <w:szCs w:val="24"/>
          <w:lang w:eastAsia="zh-CN"/>
        </w:rPr>
        <w:t>包括：</w:t>
      </w:r>
    </w:p>
    <w:p w14:paraId="4827BBC2" w14:textId="77777777" w:rsidR="00C33678" w:rsidRPr="00A67A90" w:rsidRDefault="00C33678" w:rsidP="004A4A3B">
      <w:pPr>
        <w:pStyle w:val="enumlev2"/>
        <w:rPr>
          <w:lang w:eastAsia="zh-CN"/>
        </w:rPr>
      </w:pPr>
      <w:r w:rsidRPr="00DA4F70">
        <w:rPr>
          <w:lang w:val="ru-RU" w:eastAsia="zh-CN"/>
        </w:rPr>
        <w:t>a)</w:t>
      </w:r>
      <w:r w:rsidRPr="00DA4F70">
        <w:rPr>
          <w:lang w:val="ru-RU" w:eastAsia="zh-CN"/>
        </w:rPr>
        <w:tab/>
      </w:r>
      <w:r w:rsidRPr="005B2844">
        <w:rPr>
          <w:rFonts w:hint="eastAsia"/>
          <w:lang w:eastAsia="zh-CN"/>
        </w:rPr>
        <w:t>《国际电信规则》</w:t>
      </w:r>
      <w:r>
        <w:rPr>
          <w:rFonts w:hint="eastAsia"/>
          <w:lang w:eastAsia="zh-CN"/>
        </w:rPr>
        <w:t>条款在</w:t>
      </w:r>
      <w:r w:rsidRPr="005B2844">
        <w:rPr>
          <w:rFonts w:hint="eastAsia"/>
          <w:lang w:eastAsia="zh-CN"/>
        </w:rPr>
        <w:t>促进国际电信</w:t>
      </w:r>
      <w:r>
        <w:rPr>
          <w:rFonts w:hint="eastAsia"/>
          <w:lang w:eastAsia="zh-CN"/>
        </w:rPr>
        <w:t>/</w:t>
      </w:r>
      <w:r>
        <w:rPr>
          <w:lang w:eastAsia="zh-CN"/>
        </w:rPr>
        <w:t>ICT</w:t>
      </w:r>
      <w:r w:rsidRPr="005B2844">
        <w:rPr>
          <w:rFonts w:hint="eastAsia"/>
          <w:lang w:eastAsia="zh-CN"/>
        </w:rPr>
        <w:t>业务和网络的提供与发展</w:t>
      </w:r>
      <w:r>
        <w:rPr>
          <w:rFonts w:hint="eastAsia"/>
          <w:lang w:eastAsia="zh-CN"/>
        </w:rPr>
        <w:t>方面的适用性；</w:t>
      </w:r>
    </w:p>
    <w:p w14:paraId="4827BBC3" w14:textId="77777777" w:rsidR="00C33678" w:rsidRPr="00A67A90" w:rsidRDefault="00C33678" w:rsidP="004A4A3B">
      <w:pPr>
        <w:pStyle w:val="enumlev2"/>
        <w:rPr>
          <w:lang w:eastAsia="zh-CN"/>
        </w:rPr>
      </w:pPr>
      <w:r>
        <w:rPr>
          <w:lang w:val="ru-RU" w:eastAsia="zh-CN"/>
        </w:rPr>
        <w:t>b</w:t>
      </w:r>
      <w:r w:rsidRPr="00DA4F70">
        <w:rPr>
          <w:lang w:val="ru-RU" w:eastAsia="zh-CN"/>
        </w:rPr>
        <w:t>)</w:t>
      </w:r>
      <w:r w:rsidRPr="00DA4F70">
        <w:rPr>
          <w:lang w:val="ru-RU" w:eastAsia="zh-CN"/>
        </w:rPr>
        <w:tab/>
      </w:r>
      <w:r>
        <w:rPr>
          <w:rFonts w:hint="eastAsia"/>
          <w:lang w:val="ru-RU" w:eastAsia="zh-CN"/>
        </w:rPr>
        <w:t>《国际电信规则》条款的灵活性或缺乏灵活性之处，以适应</w:t>
      </w:r>
      <w:r w:rsidRPr="005B2844">
        <w:rPr>
          <w:rFonts w:hint="eastAsia"/>
          <w:lang w:val="ru-RU" w:eastAsia="zh-CN"/>
        </w:rPr>
        <w:t>电信</w:t>
      </w:r>
      <w:r w:rsidRPr="005B2844">
        <w:rPr>
          <w:rFonts w:hint="eastAsia"/>
          <w:lang w:val="ru-RU" w:eastAsia="zh-CN"/>
        </w:rPr>
        <w:t>/ICT</w:t>
      </w:r>
      <w:r w:rsidRPr="005B2844">
        <w:rPr>
          <w:rFonts w:hint="eastAsia"/>
          <w:lang w:val="ru-RU" w:eastAsia="zh-CN"/>
        </w:rPr>
        <w:t>新趋势</w:t>
      </w:r>
      <w:r>
        <w:rPr>
          <w:rFonts w:hint="eastAsia"/>
          <w:lang w:val="ru-RU" w:eastAsia="zh-CN"/>
        </w:rPr>
        <w:t>并研究解决国际电信</w:t>
      </w:r>
      <w:r>
        <w:rPr>
          <w:rFonts w:hint="eastAsia"/>
          <w:lang w:val="ru-RU" w:eastAsia="zh-CN"/>
        </w:rPr>
        <w:t>/</w:t>
      </w:r>
      <w:r>
        <w:rPr>
          <w:lang w:val="ru-RU" w:eastAsia="zh-CN"/>
        </w:rPr>
        <w:t>ICT</w:t>
      </w:r>
      <w:r>
        <w:rPr>
          <w:rFonts w:hint="eastAsia"/>
          <w:lang w:val="ru-RU" w:eastAsia="zh-CN"/>
        </w:rPr>
        <w:t>环境中正在出现的问题</w:t>
      </w:r>
      <w:r>
        <w:rPr>
          <w:rFonts w:hint="eastAsia"/>
          <w:lang w:eastAsia="zh-CN"/>
        </w:rPr>
        <w:t>；</w:t>
      </w:r>
    </w:p>
    <w:p w14:paraId="4827BBC4" w14:textId="77777777" w:rsidR="00C33678" w:rsidRDefault="00C33678" w:rsidP="00C33678">
      <w:pPr>
        <w:rPr>
          <w:lang w:eastAsia="zh-CN"/>
        </w:rPr>
      </w:pPr>
      <w:r>
        <w:rPr>
          <w:lang w:eastAsia="zh-CN"/>
        </w:rPr>
        <w:t>4</w:t>
      </w:r>
      <w:r w:rsidRPr="00A67A90">
        <w:rPr>
          <w:lang w:eastAsia="zh-CN"/>
        </w:rPr>
        <w:tab/>
      </w:r>
      <w:r>
        <w:rPr>
          <w:rFonts w:hint="eastAsia"/>
          <w:lang w:eastAsia="zh-CN"/>
        </w:rPr>
        <w:t>E</w:t>
      </w:r>
      <w:r>
        <w:rPr>
          <w:lang w:eastAsia="zh-CN"/>
        </w:rPr>
        <w:t>G-ITR</w:t>
      </w:r>
      <w:r>
        <w:rPr>
          <w:rFonts w:hint="eastAsia"/>
          <w:lang w:eastAsia="zh-CN"/>
        </w:rPr>
        <w:t>s</w:t>
      </w:r>
      <w:r>
        <w:rPr>
          <w:rFonts w:hint="eastAsia"/>
          <w:lang w:eastAsia="zh-CN"/>
        </w:rPr>
        <w:t>将向理事会</w:t>
      </w:r>
      <w:r>
        <w:rPr>
          <w:rFonts w:hint="eastAsia"/>
          <w:lang w:eastAsia="zh-CN"/>
        </w:rPr>
        <w:t>20</w:t>
      </w:r>
      <w:r>
        <w:rPr>
          <w:lang w:eastAsia="zh-CN"/>
        </w:rPr>
        <w:t>20</w:t>
      </w:r>
      <w:r>
        <w:rPr>
          <w:rFonts w:hint="eastAsia"/>
          <w:lang w:eastAsia="zh-CN"/>
        </w:rPr>
        <w:t>年和</w:t>
      </w:r>
      <w:r>
        <w:rPr>
          <w:rFonts w:hint="eastAsia"/>
          <w:lang w:eastAsia="zh-CN"/>
        </w:rPr>
        <w:t>2021</w:t>
      </w:r>
      <w:r>
        <w:rPr>
          <w:rFonts w:hint="eastAsia"/>
          <w:lang w:eastAsia="zh-CN"/>
        </w:rPr>
        <w:t>年会议提交反映出审议《国际电信规则》所有观点的进展报告，并且向理事会</w:t>
      </w:r>
      <w:r>
        <w:rPr>
          <w:rFonts w:hint="eastAsia"/>
          <w:lang w:eastAsia="zh-CN"/>
        </w:rPr>
        <w:t>20</w:t>
      </w:r>
      <w:r>
        <w:rPr>
          <w:lang w:eastAsia="zh-CN"/>
        </w:rPr>
        <w:t>22</w:t>
      </w:r>
      <w:r>
        <w:rPr>
          <w:rFonts w:hint="eastAsia"/>
          <w:lang w:eastAsia="zh-CN"/>
        </w:rPr>
        <w:t>年会议提交最终报告供</w:t>
      </w:r>
      <w:r>
        <w:rPr>
          <w:lang w:eastAsia="zh-CN"/>
        </w:rPr>
        <w:t>其审查</w:t>
      </w:r>
      <w:r>
        <w:rPr>
          <w:rFonts w:hint="eastAsia"/>
          <w:lang w:eastAsia="zh-CN"/>
        </w:rPr>
        <w:t>，之后将报告连同理事会的意见一并提交</w:t>
      </w:r>
      <w:r>
        <w:rPr>
          <w:rFonts w:hint="eastAsia"/>
          <w:lang w:eastAsia="zh-CN"/>
        </w:rPr>
        <w:t>20</w:t>
      </w:r>
      <w:r>
        <w:rPr>
          <w:lang w:eastAsia="zh-CN"/>
        </w:rPr>
        <w:t>22</w:t>
      </w:r>
      <w:r>
        <w:rPr>
          <w:rFonts w:hint="eastAsia"/>
          <w:lang w:eastAsia="zh-CN"/>
        </w:rPr>
        <w:t>年全权代表大会。</w:t>
      </w:r>
    </w:p>
    <w:p w14:paraId="4827BBC5" w14:textId="77777777" w:rsidR="004A4A3B" w:rsidRPr="00C76172" w:rsidRDefault="004A4A3B" w:rsidP="004A4A3B">
      <w:pPr>
        <w:pStyle w:val="Endtext"/>
        <w:rPr>
          <w:lang w:val="fr-FR" w:eastAsia="zh-CN"/>
        </w:rPr>
      </w:pPr>
      <w:r>
        <w:rPr>
          <w:rFonts w:hint="eastAsia"/>
          <w:lang w:val="fr-FR" w:eastAsia="zh-CN"/>
        </w:rPr>
        <w:t>参阅</w:t>
      </w:r>
      <w:r>
        <w:rPr>
          <w:lang w:val="fr-FR" w:eastAsia="zh-CN"/>
        </w:rPr>
        <w:t>：</w:t>
      </w:r>
      <w:r>
        <w:rPr>
          <w:lang w:val="fr-FR" w:eastAsia="zh-CN"/>
        </w:rPr>
        <w:tab/>
      </w:r>
      <w:hyperlink r:id="rId514" w:history="1">
        <w:r w:rsidRPr="003C453B">
          <w:rPr>
            <w:rStyle w:val="Hyperlink"/>
            <w:lang w:val="fr-FR" w:eastAsia="zh-CN"/>
          </w:rPr>
          <w:t>C1</w:t>
        </w:r>
        <w:r>
          <w:rPr>
            <w:rStyle w:val="Hyperlink"/>
            <w:lang w:val="fr-FR" w:eastAsia="zh-CN"/>
          </w:rPr>
          <w:t>6</w:t>
        </w:r>
        <w:r w:rsidRPr="003C453B">
          <w:rPr>
            <w:rStyle w:val="Hyperlink"/>
            <w:lang w:val="fr-FR" w:eastAsia="zh-CN"/>
          </w:rPr>
          <w:t>/1</w:t>
        </w:r>
        <w:r>
          <w:rPr>
            <w:rStyle w:val="Hyperlink"/>
            <w:lang w:val="fr-FR" w:eastAsia="zh-CN"/>
          </w:rPr>
          <w:t>19</w:t>
        </w:r>
      </w:hyperlink>
      <w:r>
        <w:rPr>
          <w:rFonts w:hint="eastAsia"/>
          <w:lang w:val="fr-FR" w:eastAsia="zh-CN"/>
        </w:rPr>
        <w:t>、</w:t>
      </w:r>
      <w:hyperlink r:id="rId515" w:history="1">
        <w:r w:rsidRPr="003C453B">
          <w:rPr>
            <w:rStyle w:val="Hyperlink"/>
            <w:lang w:val="fr-FR" w:eastAsia="zh-CN"/>
          </w:rPr>
          <w:t>C1</w:t>
        </w:r>
        <w:r>
          <w:rPr>
            <w:rStyle w:val="Hyperlink"/>
            <w:lang w:val="fr-FR" w:eastAsia="zh-CN"/>
          </w:rPr>
          <w:t>6</w:t>
        </w:r>
        <w:r w:rsidRPr="003C453B">
          <w:rPr>
            <w:rStyle w:val="Hyperlink"/>
            <w:lang w:val="fr-FR" w:eastAsia="zh-CN"/>
          </w:rPr>
          <w:t>/1</w:t>
        </w:r>
        <w:r>
          <w:rPr>
            <w:rStyle w:val="Hyperlink"/>
            <w:lang w:val="fr-FR" w:eastAsia="zh-CN"/>
          </w:rPr>
          <w:t>25</w:t>
        </w:r>
      </w:hyperlink>
      <w:r>
        <w:rPr>
          <w:rFonts w:hint="eastAsia"/>
          <w:lang w:eastAsia="zh-CN"/>
        </w:rPr>
        <w:t>、</w:t>
      </w:r>
      <w:hyperlink r:id="rId516" w:history="1">
        <w:r w:rsidRPr="00843859">
          <w:rPr>
            <w:rStyle w:val="Hyperlink"/>
            <w:lang w:val="fr-FR" w:eastAsia="zh-CN"/>
          </w:rPr>
          <w:t>C19/139</w:t>
        </w:r>
      </w:hyperlink>
      <w:r>
        <w:rPr>
          <w:rFonts w:hint="eastAsia"/>
          <w:lang w:val="fr-FR" w:eastAsia="zh-CN"/>
        </w:rPr>
        <w:t>和</w:t>
      </w:r>
      <w:hyperlink r:id="rId517" w:history="1">
        <w:r w:rsidRPr="00843859">
          <w:rPr>
            <w:rStyle w:val="Hyperlink"/>
            <w:lang w:val="fr-FR" w:eastAsia="zh-CN"/>
          </w:rPr>
          <w:t>C19/117</w:t>
        </w:r>
      </w:hyperlink>
      <w:r>
        <w:rPr>
          <w:rFonts w:hint="eastAsia"/>
          <w:lang w:val="fr-FR" w:eastAsia="zh-CN"/>
        </w:rPr>
        <w:t>号</w:t>
      </w:r>
      <w:r>
        <w:rPr>
          <w:lang w:val="fr-FR" w:eastAsia="zh-CN"/>
        </w:rPr>
        <w:t>文件。</w:t>
      </w:r>
    </w:p>
    <w:p w14:paraId="4827BBC6" w14:textId="77777777" w:rsidR="00C33678" w:rsidRDefault="00C33678" w:rsidP="00C33678">
      <w:pPr>
        <w:jc w:val="center"/>
        <w:rPr>
          <w:lang w:eastAsia="zh-CN"/>
        </w:rPr>
      </w:pPr>
      <w:r w:rsidRPr="00F82938">
        <w:rPr>
          <w:lang w:eastAsia="zh-CN"/>
        </w:rPr>
        <w:t>______________</w:t>
      </w:r>
    </w:p>
    <w:p w14:paraId="4827BBC7" w14:textId="77777777" w:rsidR="00D507C1" w:rsidRDefault="00D507C1" w:rsidP="000D18CD">
      <w:pPr>
        <w:pStyle w:val="ResNo"/>
        <w:outlineLvl w:val="0"/>
        <w:rPr>
          <w:lang w:eastAsia="zh-CN"/>
        </w:rPr>
      </w:pPr>
      <w:bookmarkStart w:id="2847" w:name="_Toc16085934"/>
      <w:bookmarkStart w:id="2848" w:name="_Toc86395731"/>
      <w:r>
        <w:rPr>
          <w:rFonts w:hint="eastAsia"/>
          <w:lang w:eastAsia="zh-CN"/>
        </w:rPr>
        <w:t>第</w:t>
      </w:r>
      <w:r>
        <w:rPr>
          <w:rFonts w:hint="eastAsia"/>
          <w:lang w:eastAsia="zh-CN"/>
        </w:rPr>
        <w:t>1386</w:t>
      </w:r>
      <w:r>
        <w:rPr>
          <w:rFonts w:hint="eastAsia"/>
          <w:lang w:eastAsia="zh-CN"/>
        </w:rPr>
        <w:t>号</w:t>
      </w:r>
      <w:r>
        <w:rPr>
          <w:lang w:eastAsia="zh-CN"/>
        </w:rPr>
        <w:t>决议</w:t>
      </w:r>
      <w:r w:rsidR="00C5063C">
        <w:rPr>
          <w:rFonts w:hint="eastAsia"/>
          <w:lang w:eastAsia="zh-CN"/>
        </w:rPr>
        <w:t>（</w:t>
      </w:r>
      <w:r w:rsidR="00C5063C">
        <w:rPr>
          <w:rFonts w:hint="eastAsia"/>
          <w:lang w:eastAsia="zh-CN"/>
        </w:rPr>
        <w:t>C17</w:t>
      </w:r>
      <w:r w:rsidR="00C5063C">
        <w:rPr>
          <w:rFonts w:hint="eastAsia"/>
          <w:lang w:eastAsia="zh-CN"/>
        </w:rPr>
        <w:t>）</w:t>
      </w:r>
      <w:bookmarkEnd w:id="2842"/>
      <w:bookmarkEnd w:id="2843"/>
      <w:bookmarkEnd w:id="2844"/>
      <w:bookmarkEnd w:id="2847"/>
      <w:bookmarkEnd w:id="2848"/>
    </w:p>
    <w:p w14:paraId="4827BBC8" w14:textId="77777777" w:rsidR="00D507C1" w:rsidRPr="0014312B" w:rsidRDefault="00D507C1" w:rsidP="00D507C1">
      <w:pPr>
        <w:pStyle w:val="Restitle"/>
        <w:rPr>
          <w:lang w:val="en-US" w:eastAsia="zh-CN"/>
        </w:rPr>
      </w:pPr>
      <w:bookmarkStart w:id="2849" w:name="_Toc531706517"/>
      <w:bookmarkStart w:id="2850" w:name="_Toc531707139"/>
      <w:bookmarkStart w:id="2851" w:name="_Toc531768610"/>
      <w:bookmarkStart w:id="2852" w:name="_Toc16085935"/>
      <w:bookmarkStart w:id="2853" w:name="_Toc86395732"/>
      <w:r w:rsidRPr="00EC4B1E">
        <w:rPr>
          <w:rFonts w:hint="eastAsia"/>
          <w:bCs/>
          <w:szCs w:val="28"/>
          <w:lang w:val="en-US" w:eastAsia="zh-CN"/>
        </w:rPr>
        <w:t>国际电联</w:t>
      </w:r>
      <w:r w:rsidRPr="00FD5B9C">
        <w:rPr>
          <w:rFonts w:hint="eastAsia"/>
          <w:bCs/>
          <w:szCs w:val="28"/>
          <w:lang w:val="en-US" w:eastAsia="zh-CN"/>
        </w:rPr>
        <w:t>术语</w:t>
      </w:r>
      <w:r w:rsidRPr="00EC4B1E">
        <w:rPr>
          <w:rFonts w:hint="eastAsia"/>
          <w:bCs/>
          <w:szCs w:val="28"/>
          <w:lang w:val="en-US" w:eastAsia="zh-CN"/>
        </w:rPr>
        <w:t>协调委员会（</w:t>
      </w:r>
      <w:r w:rsidRPr="00EC4B1E">
        <w:rPr>
          <w:rFonts w:hint="eastAsia"/>
          <w:bCs/>
          <w:szCs w:val="28"/>
          <w:lang w:val="en-US" w:eastAsia="zh-CN"/>
        </w:rPr>
        <w:t>ITU CC</w:t>
      </w:r>
      <w:r>
        <w:rPr>
          <w:bCs/>
          <w:szCs w:val="28"/>
          <w:lang w:val="en-US" w:eastAsia="zh-CN"/>
        </w:rPr>
        <w:t>T</w:t>
      </w:r>
      <w:r w:rsidRPr="00EC4B1E">
        <w:rPr>
          <w:rFonts w:hint="eastAsia"/>
          <w:bCs/>
          <w:szCs w:val="28"/>
          <w:lang w:val="en-US" w:eastAsia="zh-CN"/>
        </w:rPr>
        <w:t>）</w:t>
      </w:r>
      <w:bookmarkEnd w:id="2849"/>
      <w:bookmarkEnd w:id="2850"/>
      <w:bookmarkEnd w:id="2851"/>
      <w:bookmarkEnd w:id="2852"/>
      <w:bookmarkEnd w:id="2853"/>
    </w:p>
    <w:p w14:paraId="4827BBC9" w14:textId="77777777" w:rsidR="00D507C1" w:rsidRPr="006718B7" w:rsidRDefault="00D507C1" w:rsidP="00D507C1">
      <w:pPr>
        <w:spacing w:before="320"/>
        <w:rPr>
          <w:lang w:val="en-US" w:eastAsia="zh-CN"/>
        </w:rPr>
      </w:pPr>
      <w:r w:rsidRPr="006718B7">
        <w:rPr>
          <w:rFonts w:hint="eastAsia"/>
          <w:lang w:val="en-US" w:eastAsia="zh-CN"/>
        </w:rPr>
        <w:t>理事会，</w:t>
      </w:r>
    </w:p>
    <w:p w14:paraId="4827BBCA" w14:textId="77777777" w:rsidR="00D507C1" w:rsidRPr="006718B7" w:rsidRDefault="00D507C1" w:rsidP="00D507C1">
      <w:pPr>
        <w:keepNext/>
        <w:keepLines/>
        <w:spacing w:before="160"/>
        <w:ind w:left="794"/>
        <w:rPr>
          <w:rFonts w:eastAsia="STKaiti"/>
          <w:lang w:eastAsia="zh-CN"/>
        </w:rPr>
      </w:pPr>
      <w:r w:rsidRPr="006718B7">
        <w:rPr>
          <w:rFonts w:eastAsia="STKaiti" w:hint="eastAsia"/>
          <w:lang w:eastAsia="zh-CN"/>
        </w:rPr>
        <w:t>忆及</w:t>
      </w:r>
    </w:p>
    <w:p w14:paraId="4827BBCB" w14:textId="77777777" w:rsidR="00D507C1" w:rsidRPr="006718B7" w:rsidRDefault="00D507C1" w:rsidP="00D507C1">
      <w:pPr>
        <w:rPr>
          <w:lang w:eastAsia="zh-CN"/>
        </w:rPr>
      </w:pPr>
      <w:r w:rsidRPr="006718B7">
        <w:rPr>
          <w:i/>
          <w:iCs/>
          <w:lang w:eastAsia="zh-CN"/>
        </w:rPr>
        <w:t>a)</w:t>
      </w:r>
      <w:r w:rsidRPr="006718B7">
        <w:rPr>
          <w:szCs w:val="24"/>
          <w:lang w:val="en-US" w:eastAsia="zh-CN"/>
        </w:rPr>
        <w:tab/>
      </w:r>
      <w:r w:rsidRPr="006718B7">
        <w:rPr>
          <w:rFonts w:hint="eastAsia"/>
          <w:lang w:eastAsia="zh-CN"/>
        </w:rPr>
        <w:t>有关在同等地位上使用国际电联六种正式语文的</w:t>
      </w:r>
      <w:r w:rsidRPr="006718B7">
        <w:rPr>
          <w:rFonts w:hint="eastAsia"/>
          <w:szCs w:val="24"/>
          <w:lang w:val="en-US" w:eastAsia="zh-CN"/>
        </w:rPr>
        <w:t>全权代表大会第</w:t>
      </w:r>
      <w:r w:rsidRPr="006718B7">
        <w:rPr>
          <w:lang w:eastAsia="zh-CN"/>
        </w:rPr>
        <w:t>154</w:t>
      </w:r>
      <w:r w:rsidRPr="006718B7">
        <w:rPr>
          <w:rFonts w:hint="eastAsia"/>
          <w:lang w:eastAsia="zh-CN"/>
        </w:rPr>
        <w:t>号决议（</w:t>
      </w:r>
      <w:r w:rsidRPr="006718B7">
        <w:rPr>
          <w:lang w:eastAsia="zh-CN"/>
        </w:rPr>
        <w:t>2014</w:t>
      </w:r>
      <w:r w:rsidRPr="006718B7">
        <w:rPr>
          <w:rFonts w:hint="eastAsia"/>
          <w:lang w:eastAsia="zh-CN"/>
        </w:rPr>
        <w:t>年，釜山，修订版）；</w:t>
      </w:r>
    </w:p>
    <w:p w14:paraId="4827BBCC" w14:textId="77777777" w:rsidR="00D507C1" w:rsidRPr="006718B7" w:rsidRDefault="00D507C1" w:rsidP="00D507C1">
      <w:pPr>
        <w:rPr>
          <w:lang w:val="en-US" w:eastAsia="zh-CN"/>
        </w:rPr>
      </w:pPr>
      <w:r w:rsidRPr="006718B7">
        <w:rPr>
          <w:i/>
          <w:iCs/>
          <w:lang w:val="en-US" w:eastAsia="zh-CN"/>
        </w:rPr>
        <w:t>b)</w:t>
      </w:r>
      <w:r w:rsidRPr="006718B7">
        <w:rPr>
          <w:i/>
          <w:iCs/>
          <w:lang w:val="en-US" w:eastAsia="zh-CN"/>
        </w:rPr>
        <w:tab/>
      </w:r>
      <w:r w:rsidRPr="006718B7">
        <w:rPr>
          <w:rFonts w:hint="eastAsia"/>
          <w:lang w:val="en-US" w:eastAsia="zh-CN"/>
        </w:rPr>
        <w:t>经</w:t>
      </w:r>
      <w:r w:rsidRPr="006718B7">
        <w:rPr>
          <w:rFonts w:hint="eastAsia"/>
          <w:lang w:eastAsia="zh-CN"/>
        </w:rPr>
        <w:t>理事会</w:t>
      </w:r>
      <w:r w:rsidRPr="006718B7">
        <w:rPr>
          <w:rFonts w:hint="eastAsia"/>
          <w:lang w:eastAsia="zh-CN"/>
        </w:rPr>
        <w:t>2016</w:t>
      </w:r>
      <w:r w:rsidRPr="006718B7">
        <w:rPr>
          <w:rFonts w:hint="eastAsia"/>
          <w:lang w:eastAsia="zh-CN"/>
        </w:rPr>
        <w:t>年会议修订的第</w:t>
      </w:r>
      <w:r w:rsidRPr="006718B7">
        <w:rPr>
          <w:rFonts w:hint="eastAsia"/>
          <w:lang w:eastAsia="zh-CN"/>
        </w:rPr>
        <w:t>1372</w:t>
      </w:r>
      <w:r w:rsidRPr="006718B7">
        <w:rPr>
          <w:rFonts w:hint="eastAsia"/>
          <w:lang w:eastAsia="zh-CN"/>
        </w:rPr>
        <w:t>号决议，注意到</w:t>
      </w:r>
      <w:r w:rsidRPr="006718B7">
        <w:rPr>
          <w:rFonts w:hint="eastAsia"/>
          <w:lang w:eastAsia="zh-CN"/>
        </w:rPr>
        <w:t>ITU-R</w:t>
      </w:r>
      <w:r w:rsidRPr="006718B7">
        <w:rPr>
          <w:rFonts w:hint="eastAsia"/>
          <w:lang w:eastAsia="zh-CN"/>
        </w:rPr>
        <w:t>词汇协调委员会（</w:t>
      </w:r>
      <w:r w:rsidRPr="006718B7">
        <w:rPr>
          <w:rFonts w:hint="eastAsia"/>
          <w:lang w:eastAsia="zh-CN"/>
        </w:rPr>
        <w:t>CCV</w:t>
      </w:r>
      <w:r w:rsidRPr="006718B7">
        <w:rPr>
          <w:rFonts w:hint="eastAsia"/>
          <w:lang w:eastAsia="zh-CN"/>
        </w:rPr>
        <w:t>）和</w:t>
      </w:r>
      <w:r w:rsidRPr="006718B7">
        <w:rPr>
          <w:rFonts w:hint="eastAsia"/>
          <w:lang w:eastAsia="zh-CN"/>
        </w:rPr>
        <w:t>ITU-T</w:t>
      </w:r>
      <w:r w:rsidRPr="006718B7">
        <w:rPr>
          <w:rFonts w:hint="eastAsia"/>
          <w:lang w:eastAsia="zh-CN"/>
        </w:rPr>
        <w:t>词汇标准化委员会（</w:t>
      </w:r>
      <w:r w:rsidRPr="006718B7">
        <w:rPr>
          <w:rFonts w:hint="eastAsia"/>
          <w:lang w:eastAsia="zh-CN"/>
        </w:rPr>
        <w:t>SCV</w:t>
      </w:r>
      <w:r w:rsidRPr="006718B7">
        <w:rPr>
          <w:rFonts w:hint="eastAsia"/>
          <w:lang w:eastAsia="zh-CN"/>
        </w:rPr>
        <w:t>）在</w:t>
      </w:r>
      <w:r w:rsidRPr="006718B7">
        <w:rPr>
          <w:lang w:eastAsia="zh-CN"/>
        </w:rPr>
        <w:t>以</w:t>
      </w:r>
      <w:r w:rsidRPr="006718B7">
        <w:rPr>
          <w:rFonts w:hint="eastAsia"/>
          <w:lang w:eastAsia="zh-CN"/>
        </w:rPr>
        <w:t>国际电联</w:t>
      </w:r>
      <w:r>
        <w:rPr>
          <w:rFonts w:hint="eastAsia"/>
          <w:lang w:eastAsia="zh-CN"/>
        </w:rPr>
        <w:t>所有</w:t>
      </w:r>
      <w:r w:rsidRPr="006718B7">
        <w:rPr>
          <w:rFonts w:hint="eastAsia"/>
          <w:lang w:eastAsia="zh-CN"/>
        </w:rPr>
        <w:t>六种正式语文通过和认可电信</w:t>
      </w:r>
      <w:r w:rsidRPr="006718B7">
        <w:rPr>
          <w:rFonts w:hint="eastAsia"/>
          <w:lang w:eastAsia="zh-CN"/>
        </w:rPr>
        <w:t>/</w:t>
      </w:r>
      <w:r w:rsidRPr="006718B7">
        <w:rPr>
          <w:rFonts w:hint="eastAsia"/>
          <w:lang w:eastAsia="zh-CN"/>
        </w:rPr>
        <w:t>信息通信技术（</w:t>
      </w:r>
      <w:r w:rsidRPr="006718B7">
        <w:rPr>
          <w:rFonts w:hint="eastAsia"/>
          <w:lang w:eastAsia="zh-CN"/>
        </w:rPr>
        <w:t>ICT</w:t>
      </w:r>
      <w:r w:rsidRPr="006718B7">
        <w:rPr>
          <w:rFonts w:hint="eastAsia"/>
          <w:lang w:eastAsia="zh-CN"/>
        </w:rPr>
        <w:t>）领域术语和定义方面所做的工作；</w:t>
      </w:r>
    </w:p>
    <w:p w14:paraId="4827BBCD" w14:textId="77777777" w:rsidR="00D507C1" w:rsidRPr="006718B7" w:rsidRDefault="00D507C1" w:rsidP="00D507C1">
      <w:pPr>
        <w:rPr>
          <w:lang w:val="en-US" w:eastAsia="zh-CN"/>
        </w:rPr>
      </w:pPr>
      <w:r w:rsidRPr="006718B7">
        <w:rPr>
          <w:i/>
          <w:iCs/>
          <w:lang w:val="en-US" w:eastAsia="zh-CN"/>
        </w:rPr>
        <w:t>c)</w:t>
      </w:r>
      <w:r w:rsidRPr="006718B7">
        <w:rPr>
          <w:i/>
          <w:iCs/>
          <w:lang w:val="en-US" w:eastAsia="zh-CN"/>
        </w:rPr>
        <w:tab/>
      </w:r>
      <w:r w:rsidRPr="006718B7">
        <w:rPr>
          <w:rFonts w:hint="eastAsia"/>
          <w:lang w:eastAsia="zh-CN"/>
        </w:rPr>
        <w:t>理事会</w:t>
      </w:r>
      <w:r>
        <w:rPr>
          <w:rFonts w:hint="eastAsia"/>
          <w:lang w:eastAsia="zh-CN"/>
        </w:rPr>
        <w:t>有</w:t>
      </w:r>
      <w:r>
        <w:rPr>
          <w:lang w:eastAsia="zh-CN"/>
        </w:rPr>
        <w:t>关</w:t>
      </w:r>
      <w:r w:rsidRPr="006718B7">
        <w:rPr>
          <w:rFonts w:hint="eastAsia"/>
          <w:lang w:eastAsia="zh-CN"/>
        </w:rPr>
        <w:t>将语言编辑职能</w:t>
      </w:r>
      <w:r>
        <w:rPr>
          <w:rFonts w:hint="eastAsia"/>
          <w:lang w:eastAsia="zh-CN"/>
        </w:rPr>
        <w:t>集中</w:t>
      </w:r>
      <w:r w:rsidRPr="006718B7">
        <w:rPr>
          <w:rFonts w:hint="eastAsia"/>
          <w:lang w:eastAsia="zh-CN"/>
        </w:rPr>
        <w:t>纳入总秘书处（大会和出版部）的决定，呼吁各部门仅提供英文的最终文本（这</w:t>
      </w:r>
      <w:r>
        <w:rPr>
          <w:rFonts w:hint="eastAsia"/>
          <w:lang w:eastAsia="zh-CN"/>
        </w:rPr>
        <w:t>亦</w:t>
      </w:r>
      <w:r w:rsidRPr="006718B7">
        <w:rPr>
          <w:rFonts w:hint="eastAsia"/>
          <w:lang w:eastAsia="zh-CN"/>
        </w:rPr>
        <w:t>适用于术语和定义）；</w:t>
      </w:r>
    </w:p>
    <w:p w14:paraId="4827BBCE" w14:textId="77777777" w:rsidR="00D507C1" w:rsidRDefault="00D507C1">
      <w:pPr>
        <w:tabs>
          <w:tab w:val="clear" w:pos="794"/>
          <w:tab w:val="clear" w:pos="1191"/>
          <w:tab w:val="clear" w:pos="1588"/>
          <w:tab w:val="clear" w:pos="1985"/>
        </w:tabs>
        <w:overflowPunct/>
        <w:autoSpaceDE/>
        <w:autoSpaceDN/>
        <w:adjustRightInd/>
        <w:spacing w:before="0"/>
        <w:jc w:val="left"/>
        <w:textAlignment w:val="auto"/>
        <w:rPr>
          <w:i/>
          <w:iCs/>
          <w:lang w:val="en-US" w:eastAsia="zh-CN"/>
        </w:rPr>
      </w:pPr>
      <w:r>
        <w:rPr>
          <w:i/>
          <w:iCs/>
          <w:lang w:val="en-US" w:eastAsia="zh-CN"/>
        </w:rPr>
        <w:br w:type="page"/>
      </w:r>
    </w:p>
    <w:p w14:paraId="4827BBCF" w14:textId="77777777" w:rsidR="00D507C1" w:rsidRPr="006718B7" w:rsidRDefault="00D507C1" w:rsidP="00D507C1">
      <w:pPr>
        <w:rPr>
          <w:lang w:val="en-US" w:eastAsia="zh-CN"/>
        </w:rPr>
      </w:pPr>
      <w:r w:rsidRPr="006718B7">
        <w:rPr>
          <w:i/>
          <w:iCs/>
          <w:lang w:val="en-US" w:eastAsia="zh-CN"/>
        </w:rPr>
        <w:lastRenderedPageBreak/>
        <w:t>d)</w:t>
      </w:r>
      <w:r w:rsidRPr="006718B7">
        <w:rPr>
          <w:i/>
          <w:iCs/>
          <w:lang w:val="en-US" w:eastAsia="zh-CN"/>
        </w:rPr>
        <w:tab/>
      </w:r>
      <w:r w:rsidRPr="006718B7">
        <w:rPr>
          <w:rFonts w:hint="eastAsia"/>
          <w:lang w:eastAsia="zh-CN"/>
        </w:rPr>
        <w:t>关于</w:t>
      </w:r>
      <w:r w:rsidRPr="006718B7">
        <w:rPr>
          <w:lang w:eastAsia="zh-CN"/>
        </w:rPr>
        <w:t>词汇协调工作的国际电联</w:t>
      </w:r>
      <w:r w:rsidRPr="006718B7">
        <w:rPr>
          <w:rFonts w:hint="eastAsia"/>
          <w:lang w:eastAsia="zh-CN"/>
        </w:rPr>
        <w:t>无线电通信</w:t>
      </w:r>
      <w:r w:rsidRPr="006718B7">
        <w:rPr>
          <w:lang w:eastAsia="zh-CN"/>
        </w:rPr>
        <w:t>全会</w:t>
      </w:r>
      <w:r w:rsidRPr="006718B7">
        <w:rPr>
          <w:lang w:eastAsia="zh-CN"/>
        </w:rPr>
        <w:t>ITU-R</w:t>
      </w:r>
      <w:r w:rsidRPr="006718B7">
        <w:rPr>
          <w:rFonts w:hint="eastAsia"/>
          <w:lang w:eastAsia="zh-CN"/>
        </w:rPr>
        <w:t>第</w:t>
      </w:r>
      <w:r w:rsidRPr="006718B7">
        <w:rPr>
          <w:lang w:eastAsia="zh-CN"/>
        </w:rPr>
        <w:t>36-4</w:t>
      </w:r>
      <w:r w:rsidRPr="006718B7">
        <w:rPr>
          <w:rFonts w:hint="eastAsia"/>
          <w:lang w:eastAsia="zh-CN"/>
        </w:rPr>
        <w:t>号决议；</w:t>
      </w:r>
    </w:p>
    <w:p w14:paraId="4827BBD0" w14:textId="77777777" w:rsidR="00D507C1" w:rsidRPr="006718B7" w:rsidRDefault="00D507C1" w:rsidP="00D507C1">
      <w:pPr>
        <w:snapToGrid w:val="0"/>
        <w:spacing w:after="120"/>
        <w:rPr>
          <w:lang w:eastAsia="zh-CN"/>
        </w:rPr>
      </w:pPr>
      <w:r w:rsidRPr="006718B7">
        <w:rPr>
          <w:i/>
          <w:iCs/>
          <w:lang w:val="en-US" w:eastAsia="zh-CN"/>
        </w:rPr>
        <w:t>e)</w:t>
      </w:r>
      <w:r w:rsidRPr="006718B7">
        <w:rPr>
          <w:i/>
          <w:iCs/>
          <w:lang w:val="en-US" w:eastAsia="zh-CN"/>
        </w:rPr>
        <w:tab/>
      </w:r>
      <w:r w:rsidRPr="006718B7">
        <w:rPr>
          <w:rFonts w:hint="eastAsia"/>
          <w:lang w:eastAsia="zh-CN"/>
        </w:rPr>
        <w:t>世界电信标准化全会</w:t>
      </w:r>
      <w:r>
        <w:rPr>
          <w:rFonts w:hint="eastAsia"/>
          <w:lang w:eastAsia="zh-CN"/>
        </w:rPr>
        <w:t>（</w:t>
      </w:r>
      <w:r>
        <w:rPr>
          <w:rFonts w:hint="eastAsia"/>
          <w:lang w:eastAsia="zh-CN"/>
        </w:rPr>
        <w:t>WTSA</w:t>
      </w:r>
      <w:r>
        <w:rPr>
          <w:lang w:eastAsia="zh-CN"/>
        </w:rPr>
        <w:t>）</w:t>
      </w:r>
      <w:r w:rsidRPr="006718B7">
        <w:rPr>
          <w:rFonts w:hint="eastAsia"/>
          <w:lang w:eastAsia="zh-CN"/>
        </w:rPr>
        <w:t>关于在国际电联电信标准化部门</w:t>
      </w:r>
      <w:r>
        <w:rPr>
          <w:rFonts w:hint="eastAsia"/>
          <w:lang w:eastAsia="zh-CN"/>
        </w:rPr>
        <w:t>在</w:t>
      </w:r>
      <w:r>
        <w:rPr>
          <w:lang w:eastAsia="zh-CN"/>
        </w:rPr>
        <w:t>同等地位上</w:t>
      </w:r>
      <w:r w:rsidRPr="006718B7">
        <w:rPr>
          <w:rFonts w:hint="eastAsia"/>
          <w:lang w:eastAsia="zh-CN"/>
        </w:rPr>
        <w:t>使用国际电联语文的第</w:t>
      </w:r>
      <w:r w:rsidRPr="006718B7">
        <w:rPr>
          <w:rFonts w:hint="eastAsia"/>
          <w:lang w:eastAsia="zh-CN"/>
        </w:rPr>
        <w:t>67</w:t>
      </w:r>
      <w:r w:rsidRPr="006718B7">
        <w:rPr>
          <w:rFonts w:hint="eastAsia"/>
          <w:lang w:eastAsia="zh-CN"/>
        </w:rPr>
        <w:t>号决议（</w:t>
      </w:r>
      <w:r w:rsidRPr="006718B7">
        <w:rPr>
          <w:rFonts w:hint="eastAsia"/>
          <w:lang w:eastAsia="zh-CN"/>
        </w:rPr>
        <w:t>2016</w:t>
      </w:r>
      <w:r w:rsidRPr="006718B7">
        <w:rPr>
          <w:rFonts w:hint="eastAsia"/>
          <w:lang w:eastAsia="zh-CN"/>
        </w:rPr>
        <w:t>年，哈马马特，修订版），</w:t>
      </w:r>
    </w:p>
    <w:p w14:paraId="4827BBD1" w14:textId="77777777" w:rsidR="00D507C1" w:rsidRPr="006718B7" w:rsidRDefault="00D507C1" w:rsidP="00D507C1">
      <w:pPr>
        <w:keepNext/>
        <w:keepLines/>
        <w:spacing w:before="160"/>
        <w:ind w:left="794"/>
        <w:rPr>
          <w:rFonts w:eastAsia="STKaiti"/>
          <w:lang w:eastAsia="zh-CN"/>
        </w:rPr>
      </w:pPr>
      <w:r w:rsidRPr="006718B7">
        <w:rPr>
          <w:rFonts w:eastAsia="STKaiti" w:hint="eastAsia"/>
          <w:lang w:eastAsia="zh-CN"/>
        </w:rPr>
        <w:t>考虑到</w:t>
      </w:r>
    </w:p>
    <w:p w14:paraId="4827BBD2" w14:textId="77777777" w:rsidR="00D507C1" w:rsidRPr="006718B7" w:rsidRDefault="00D507C1" w:rsidP="00D507C1">
      <w:pPr>
        <w:keepNext/>
        <w:keepLines/>
        <w:snapToGrid w:val="0"/>
        <w:spacing w:after="120"/>
        <w:rPr>
          <w:lang w:val="ru-RU" w:eastAsia="zh-CN"/>
        </w:rPr>
      </w:pPr>
      <w:r w:rsidRPr="006718B7">
        <w:rPr>
          <w:i/>
          <w:iCs/>
          <w:lang w:eastAsia="zh-CN"/>
        </w:rPr>
        <w:t>a</w:t>
      </w:r>
      <w:r w:rsidRPr="006718B7">
        <w:rPr>
          <w:i/>
          <w:iCs/>
          <w:lang w:val="ru-RU" w:eastAsia="zh-CN"/>
        </w:rPr>
        <w:t>)</w:t>
      </w:r>
      <w:r w:rsidRPr="006718B7">
        <w:rPr>
          <w:lang w:val="ru-RU" w:eastAsia="zh-CN"/>
        </w:rPr>
        <w:tab/>
      </w:r>
      <w:r w:rsidRPr="006718B7">
        <w:rPr>
          <w:rFonts w:hint="eastAsia"/>
          <w:szCs w:val="24"/>
          <w:lang w:val="en-US" w:eastAsia="zh-CN"/>
        </w:rPr>
        <w:t>理事会语文工作组（</w:t>
      </w:r>
      <w:r w:rsidRPr="006718B7">
        <w:rPr>
          <w:szCs w:val="24"/>
          <w:lang w:val="en-US" w:eastAsia="zh-CN"/>
        </w:rPr>
        <w:t>CWG-LANG</w:t>
      </w:r>
      <w:r w:rsidRPr="006718B7">
        <w:rPr>
          <w:rFonts w:hint="eastAsia"/>
          <w:szCs w:val="24"/>
          <w:lang w:val="en-US" w:eastAsia="zh-CN"/>
        </w:rPr>
        <w:t>）提交理事会</w:t>
      </w:r>
      <w:r w:rsidRPr="006718B7">
        <w:rPr>
          <w:szCs w:val="24"/>
          <w:lang w:val="en-US" w:eastAsia="zh-CN"/>
        </w:rPr>
        <w:t>2017</w:t>
      </w:r>
      <w:r w:rsidRPr="006718B7">
        <w:rPr>
          <w:rFonts w:hint="eastAsia"/>
          <w:szCs w:val="24"/>
          <w:lang w:val="en-US" w:eastAsia="zh-CN"/>
        </w:rPr>
        <w:t>年会议并获得通过的报告（</w:t>
      </w:r>
      <w:hyperlink r:id="rId518" w:history="1">
        <w:r w:rsidRPr="006718B7">
          <w:rPr>
            <w:color w:val="0000FF"/>
            <w:u w:val="single"/>
            <w:lang w:val="en-US" w:eastAsia="zh-CN"/>
          </w:rPr>
          <w:t>C17/12</w:t>
        </w:r>
      </w:hyperlink>
      <w:r w:rsidRPr="006718B7">
        <w:rPr>
          <w:rFonts w:hint="eastAsia"/>
          <w:color w:val="0000FF"/>
          <w:u w:val="single"/>
          <w:lang w:val="en-US" w:eastAsia="zh-CN"/>
        </w:rPr>
        <w:t>号</w:t>
      </w:r>
      <w:r w:rsidRPr="006718B7">
        <w:rPr>
          <w:color w:val="0000FF"/>
          <w:u w:val="single"/>
          <w:lang w:val="en-US" w:eastAsia="zh-CN"/>
        </w:rPr>
        <w:t>文件</w:t>
      </w:r>
      <w:r w:rsidRPr="006718B7">
        <w:rPr>
          <w:rFonts w:hint="eastAsia"/>
          <w:szCs w:val="24"/>
          <w:lang w:val="en-US" w:eastAsia="zh-CN"/>
        </w:rPr>
        <w:t>）；</w:t>
      </w:r>
    </w:p>
    <w:p w14:paraId="4827BBD3" w14:textId="77777777" w:rsidR="00D507C1" w:rsidRPr="006718B7" w:rsidRDefault="00D507C1" w:rsidP="00D507C1">
      <w:pPr>
        <w:rPr>
          <w:lang w:val="ru-RU" w:eastAsia="zh-CN"/>
        </w:rPr>
      </w:pPr>
      <w:r w:rsidRPr="006718B7">
        <w:rPr>
          <w:i/>
          <w:iCs/>
          <w:lang w:val="en-US" w:eastAsia="zh-CN"/>
        </w:rPr>
        <w:t>b</w:t>
      </w:r>
      <w:r w:rsidRPr="006718B7">
        <w:rPr>
          <w:i/>
          <w:iCs/>
          <w:lang w:val="ru-RU" w:eastAsia="zh-CN"/>
        </w:rPr>
        <w:t>)</w:t>
      </w:r>
      <w:r w:rsidRPr="006718B7">
        <w:rPr>
          <w:i/>
          <w:iCs/>
          <w:lang w:val="ru-RU" w:eastAsia="zh-CN"/>
        </w:rPr>
        <w:tab/>
      </w:r>
      <w:r w:rsidRPr="006718B7">
        <w:rPr>
          <w:rFonts w:hint="eastAsia"/>
          <w:szCs w:val="24"/>
          <w:lang w:val="en-US" w:eastAsia="zh-CN"/>
        </w:rPr>
        <w:t>WTSA</w:t>
      </w:r>
      <w:r w:rsidRPr="006718B7">
        <w:rPr>
          <w:rFonts w:hint="eastAsia"/>
          <w:szCs w:val="24"/>
          <w:lang w:val="en-US" w:eastAsia="zh-CN"/>
        </w:rPr>
        <w:t>在第</w:t>
      </w:r>
      <w:r w:rsidRPr="006718B7">
        <w:rPr>
          <w:rFonts w:hint="eastAsia"/>
          <w:szCs w:val="24"/>
          <w:lang w:val="ru-RU" w:eastAsia="zh-CN"/>
        </w:rPr>
        <w:t>67</w:t>
      </w:r>
      <w:r w:rsidRPr="006718B7">
        <w:rPr>
          <w:rFonts w:hint="eastAsia"/>
          <w:szCs w:val="24"/>
          <w:lang w:val="en-US" w:eastAsia="zh-CN"/>
        </w:rPr>
        <w:t>号决议</w:t>
      </w:r>
      <w:r w:rsidRPr="006718B7">
        <w:rPr>
          <w:rFonts w:hint="eastAsia"/>
          <w:szCs w:val="24"/>
          <w:lang w:val="ru-RU" w:eastAsia="zh-CN"/>
        </w:rPr>
        <w:t>（</w:t>
      </w:r>
      <w:r w:rsidRPr="006718B7">
        <w:rPr>
          <w:rFonts w:hint="eastAsia"/>
          <w:szCs w:val="24"/>
          <w:lang w:val="en-US" w:eastAsia="zh-CN"/>
        </w:rPr>
        <w:t>即哈马马特</w:t>
      </w:r>
      <w:r w:rsidRPr="006718B7">
        <w:rPr>
          <w:rFonts w:hint="eastAsia"/>
          <w:szCs w:val="24"/>
          <w:lang w:val="ru-RU" w:eastAsia="zh-CN"/>
        </w:rPr>
        <w:t>，</w:t>
      </w:r>
      <w:r w:rsidRPr="006718B7">
        <w:rPr>
          <w:rFonts w:hint="eastAsia"/>
          <w:szCs w:val="24"/>
          <w:lang w:val="ru-RU" w:eastAsia="zh-CN"/>
        </w:rPr>
        <w:t>2016</w:t>
      </w:r>
      <w:r w:rsidRPr="006718B7">
        <w:rPr>
          <w:rFonts w:hint="eastAsia"/>
          <w:szCs w:val="24"/>
          <w:lang w:val="en-US" w:eastAsia="zh-CN"/>
        </w:rPr>
        <w:t>年</w:t>
      </w:r>
      <w:r w:rsidRPr="006718B7">
        <w:rPr>
          <w:rFonts w:hint="eastAsia"/>
          <w:szCs w:val="24"/>
          <w:lang w:val="ru-RU" w:eastAsia="zh-CN"/>
        </w:rPr>
        <w:t>）中</w:t>
      </w:r>
      <w:r>
        <w:rPr>
          <w:rFonts w:hint="eastAsia"/>
          <w:szCs w:val="24"/>
          <w:lang w:val="ru-RU" w:eastAsia="zh-CN"/>
        </w:rPr>
        <w:t>做</w:t>
      </w:r>
      <w:r w:rsidRPr="006718B7">
        <w:rPr>
          <w:rFonts w:hint="eastAsia"/>
          <w:szCs w:val="24"/>
          <w:lang w:val="ru-RU" w:eastAsia="zh-CN"/>
        </w:rPr>
        <w:t>出决议，</w:t>
      </w:r>
      <w:r w:rsidRPr="006718B7">
        <w:rPr>
          <w:rFonts w:hint="eastAsia"/>
          <w:szCs w:val="24"/>
          <w:lang w:val="en-US" w:eastAsia="zh-CN"/>
        </w:rPr>
        <w:t>电信标准化顾问组</w:t>
      </w:r>
      <w:r w:rsidRPr="006718B7">
        <w:rPr>
          <w:rFonts w:hint="eastAsia"/>
          <w:szCs w:val="24"/>
          <w:lang w:val="ru-RU" w:eastAsia="zh-CN"/>
        </w:rPr>
        <w:t>（</w:t>
      </w:r>
      <w:r w:rsidRPr="006718B7">
        <w:rPr>
          <w:rFonts w:hint="eastAsia"/>
          <w:szCs w:val="24"/>
          <w:lang w:val="en-US" w:eastAsia="zh-CN"/>
        </w:rPr>
        <w:t>TSAG</w:t>
      </w:r>
      <w:r w:rsidRPr="006718B7">
        <w:rPr>
          <w:rFonts w:hint="eastAsia"/>
          <w:szCs w:val="24"/>
          <w:lang w:val="ru-RU" w:eastAsia="zh-CN"/>
        </w:rPr>
        <w:t>）</w:t>
      </w:r>
      <w:r w:rsidRPr="006718B7">
        <w:rPr>
          <w:rFonts w:hint="eastAsia"/>
          <w:szCs w:val="24"/>
          <w:lang w:val="en-US" w:eastAsia="zh-CN"/>
        </w:rPr>
        <w:t>和无线电通信顾问组</w:t>
      </w:r>
      <w:r w:rsidRPr="006718B7">
        <w:rPr>
          <w:rFonts w:hint="eastAsia"/>
          <w:szCs w:val="24"/>
          <w:lang w:val="ru-RU" w:eastAsia="zh-CN"/>
        </w:rPr>
        <w:t>（</w:t>
      </w:r>
      <w:r w:rsidRPr="006718B7">
        <w:rPr>
          <w:rFonts w:hint="eastAsia"/>
          <w:szCs w:val="24"/>
          <w:lang w:val="en-US" w:eastAsia="zh-CN"/>
        </w:rPr>
        <w:t>RAG</w:t>
      </w:r>
      <w:r w:rsidRPr="006718B7">
        <w:rPr>
          <w:rFonts w:hint="eastAsia"/>
          <w:szCs w:val="24"/>
          <w:lang w:val="ru-RU" w:eastAsia="zh-CN"/>
        </w:rPr>
        <w:t>）</w:t>
      </w:r>
      <w:r w:rsidRPr="006718B7">
        <w:rPr>
          <w:rFonts w:hint="eastAsia"/>
          <w:szCs w:val="24"/>
          <w:lang w:val="en-US" w:eastAsia="zh-CN"/>
        </w:rPr>
        <w:t>应考虑在国际电联内部设立一个联合工作机构</w:t>
      </w:r>
      <w:r w:rsidRPr="006718B7">
        <w:rPr>
          <w:rFonts w:hint="eastAsia"/>
          <w:szCs w:val="24"/>
          <w:lang w:val="ru-RU" w:eastAsia="zh-CN"/>
        </w:rPr>
        <w:t>，</w:t>
      </w:r>
      <w:r w:rsidRPr="006718B7">
        <w:rPr>
          <w:rFonts w:hint="eastAsia"/>
          <w:szCs w:val="24"/>
          <w:lang w:val="en-US" w:eastAsia="zh-CN"/>
        </w:rPr>
        <w:t>处理词汇和</w:t>
      </w:r>
      <w:r>
        <w:rPr>
          <w:rFonts w:hint="eastAsia"/>
          <w:szCs w:val="24"/>
          <w:lang w:val="en-US" w:eastAsia="zh-CN"/>
        </w:rPr>
        <w:t>在</w:t>
      </w:r>
      <w:r>
        <w:rPr>
          <w:szCs w:val="24"/>
          <w:lang w:val="en-US" w:eastAsia="zh-CN"/>
        </w:rPr>
        <w:t>同等地位上</w:t>
      </w:r>
      <w:r w:rsidRPr="006718B7">
        <w:rPr>
          <w:rFonts w:hint="eastAsia"/>
          <w:szCs w:val="24"/>
          <w:lang w:val="en-US" w:eastAsia="zh-CN"/>
        </w:rPr>
        <w:t>使用</w:t>
      </w:r>
      <w:r w:rsidRPr="006718B7">
        <w:rPr>
          <w:rFonts w:hint="eastAsia"/>
          <w:lang w:eastAsia="zh-CN"/>
        </w:rPr>
        <w:t>国际电联</w:t>
      </w:r>
      <w:r>
        <w:rPr>
          <w:rFonts w:hint="eastAsia"/>
          <w:lang w:eastAsia="zh-CN"/>
        </w:rPr>
        <w:t>所</w:t>
      </w:r>
      <w:r>
        <w:rPr>
          <w:lang w:eastAsia="zh-CN"/>
        </w:rPr>
        <w:t>有</w:t>
      </w:r>
      <w:r w:rsidRPr="006718B7">
        <w:rPr>
          <w:rFonts w:hint="eastAsia"/>
          <w:lang w:eastAsia="zh-CN"/>
        </w:rPr>
        <w:t>六种正式语文</w:t>
      </w:r>
      <w:r w:rsidRPr="006718B7">
        <w:rPr>
          <w:rFonts w:hint="eastAsia"/>
          <w:szCs w:val="24"/>
          <w:lang w:val="en-US" w:eastAsia="zh-CN"/>
        </w:rPr>
        <w:t>的可行性</w:t>
      </w:r>
      <w:r w:rsidRPr="006718B7">
        <w:rPr>
          <w:rFonts w:hint="eastAsia"/>
          <w:szCs w:val="24"/>
          <w:lang w:val="ru-RU" w:eastAsia="zh-CN"/>
        </w:rPr>
        <w:t>，</w:t>
      </w:r>
      <w:r w:rsidRPr="006718B7">
        <w:rPr>
          <w:rFonts w:hint="eastAsia"/>
          <w:szCs w:val="24"/>
          <w:lang w:val="en-US" w:eastAsia="zh-CN"/>
        </w:rPr>
        <w:t>并向各自全会</w:t>
      </w:r>
      <w:r>
        <w:rPr>
          <w:rFonts w:hint="eastAsia"/>
          <w:szCs w:val="24"/>
          <w:lang w:val="en-US" w:eastAsia="zh-CN"/>
        </w:rPr>
        <w:t>做</w:t>
      </w:r>
      <w:r w:rsidRPr="006718B7">
        <w:rPr>
          <w:rFonts w:hint="eastAsia"/>
          <w:szCs w:val="24"/>
          <w:lang w:val="en-US" w:eastAsia="zh-CN"/>
        </w:rPr>
        <w:t>出报告</w:t>
      </w:r>
      <w:r w:rsidRPr="006718B7">
        <w:rPr>
          <w:szCs w:val="24"/>
          <w:lang w:val="ru-RU" w:eastAsia="zh-CN"/>
        </w:rPr>
        <w:t>；</w:t>
      </w:r>
    </w:p>
    <w:p w14:paraId="4827BBD4" w14:textId="77777777" w:rsidR="00D507C1" w:rsidRPr="006718B7" w:rsidRDefault="00D507C1" w:rsidP="00D507C1">
      <w:pPr>
        <w:snapToGrid w:val="0"/>
        <w:spacing w:after="120"/>
        <w:rPr>
          <w:lang w:val="en-US" w:eastAsia="zh-CN"/>
        </w:rPr>
      </w:pPr>
      <w:r w:rsidRPr="006718B7">
        <w:rPr>
          <w:i/>
          <w:iCs/>
          <w:lang w:val="en-US" w:eastAsia="zh-CN"/>
        </w:rPr>
        <w:t>c</w:t>
      </w:r>
      <w:r w:rsidRPr="006718B7">
        <w:rPr>
          <w:i/>
          <w:iCs/>
          <w:lang w:val="ru-RU" w:eastAsia="zh-CN"/>
        </w:rPr>
        <w:t>)</w:t>
      </w:r>
      <w:r w:rsidRPr="006718B7">
        <w:rPr>
          <w:i/>
          <w:iCs/>
          <w:lang w:val="ru-RU" w:eastAsia="zh-CN"/>
        </w:rPr>
        <w:tab/>
      </w:r>
      <w:r w:rsidRPr="006718B7">
        <w:rPr>
          <w:rFonts w:hint="eastAsia"/>
          <w:lang w:val="en-US" w:eastAsia="zh-CN"/>
        </w:rPr>
        <w:t>所有顾问组</w:t>
      </w:r>
      <w:r>
        <w:rPr>
          <w:rFonts w:hint="eastAsia"/>
          <w:lang w:val="en-US" w:eastAsia="zh-CN"/>
        </w:rPr>
        <w:t>均</w:t>
      </w:r>
      <w:r w:rsidRPr="006718B7">
        <w:rPr>
          <w:rFonts w:hint="eastAsia"/>
          <w:lang w:val="en-US" w:eastAsia="zh-CN"/>
        </w:rPr>
        <w:t>在其</w:t>
      </w:r>
      <w:r w:rsidRPr="006718B7">
        <w:rPr>
          <w:rFonts w:hint="eastAsia"/>
          <w:lang w:val="ru-RU" w:eastAsia="zh-CN"/>
        </w:rPr>
        <w:t>2017</w:t>
      </w:r>
      <w:r>
        <w:rPr>
          <w:rFonts w:hint="eastAsia"/>
          <w:lang w:val="en-US" w:eastAsia="zh-CN"/>
        </w:rPr>
        <w:t>年</w:t>
      </w:r>
      <w:r w:rsidRPr="006718B7">
        <w:rPr>
          <w:rFonts w:hint="eastAsia"/>
          <w:lang w:val="en-US" w:eastAsia="zh-CN"/>
        </w:rPr>
        <w:t>会议上</w:t>
      </w:r>
      <w:r>
        <w:rPr>
          <w:rFonts w:hint="eastAsia"/>
          <w:lang w:val="ru-RU" w:eastAsia="zh-CN"/>
        </w:rPr>
        <w:t>表示</w:t>
      </w:r>
      <w:r>
        <w:rPr>
          <w:lang w:val="ru-RU" w:eastAsia="zh-CN"/>
        </w:rPr>
        <w:t>支持</w:t>
      </w:r>
      <w:r w:rsidRPr="006718B7">
        <w:rPr>
          <w:rFonts w:hint="eastAsia"/>
          <w:lang w:val="en-US" w:eastAsia="zh-CN"/>
        </w:rPr>
        <w:t>设立联合</w:t>
      </w:r>
      <w:r w:rsidRPr="006718B7">
        <w:rPr>
          <w:rFonts w:hint="eastAsia"/>
          <w:lang w:val="ru-RU" w:eastAsia="zh-CN"/>
        </w:rPr>
        <w:t>“</w:t>
      </w:r>
      <w:r w:rsidRPr="006718B7">
        <w:rPr>
          <w:rFonts w:hint="eastAsia"/>
          <w:lang w:val="en-US" w:eastAsia="zh-CN"/>
        </w:rPr>
        <w:t>国际电联词汇协调委员会</w:t>
      </w:r>
      <w:r w:rsidRPr="006718B7">
        <w:rPr>
          <w:rFonts w:hint="eastAsia"/>
          <w:lang w:val="ru-RU" w:eastAsia="zh-CN"/>
        </w:rPr>
        <w:t>”</w:t>
      </w:r>
      <w:r w:rsidRPr="006718B7">
        <w:rPr>
          <w:rFonts w:hint="eastAsia"/>
          <w:lang w:val="en-US" w:eastAsia="zh-CN"/>
        </w:rPr>
        <w:t>，</w:t>
      </w:r>
    </w:p>
    <w:p w14:paraId="4827BBD5" w14:textId="77777777" w:rsidR="00D507C1" w:rsidRPr="006718B7" w:rsidRDefault="00D507C1" w:rsidP="00D507C1">
      <w:pPr>
        <w:keepNext/>
        <w:keepLines/>
        <w:spacing w:before="160"/>
        <w:ind w:left="794"/>
        <w:rPr>
          <w:rFonts w:eastAsia="STKaiti"/>
          <w:lang w:eastAsia="zh-CN"/>
        </w:rPr>
      </w:pPr>
      <w:r w:rsidRPr="006718B7">
        <w:rPr>
          <w:rFonts w:eastAsia="STKaiti" w:hint="eastAsia"/>
          <w:lang w:eastAsia="zh-CN"/>
        </w:rPr>
        <w:t>进一步考虑到</w:t>
      </w:r>
    </w:p>
    <w:p w14:paraId="4827BBD6" w14:textId="77777777" w:rsidR="00D507C1" w:rsidRPr="006718B7" w:rsidRDefault="00D507C1" w:rsidP="00D507C1">
      <w:pPr>
        <w:rPr>
          <w:lang w:eastAsia="zh-CN"/>
        </w:rPr>
      </w:pPr>
      <w:r w:rsidRPr="006718B7">
        <w:rPr>
          <w:i/>
          <w:iCs/>
          <w:lang w:eastAsia="zh-CN"/>
        </w:rPr>
        <w:t>a)</w:t>
      </w:r>
      <w:r w:rsidRPr="006718B7">
        <w:rPr>
          <w:lang w:eastAsia="zh-CN"/>
        </w:rPr>
        <w:tab/>
      </w:r>
      <w:r w:rsidRPr="006718B7">
        <w:rPr>
          <w:rFonts w:hint="eastAsia"/>
          <w:lang w:eastAsia="zh-CN"/>
        </w:rPr>
        <w:t>理事会</w:t>
      </w:r>
      <w:r>
        <w:rPr>
          <w:rFonts w:hint="eastAsia"/>
          <w:lang w:eastAsia="zh-CN"/>
        </w:rPr>
        <w:t>在</w:t>
      </w:r>
      <w:r w:rsidRPr="006718B7">
        <w:rPr>
          <w:rFonts w:hint="eastAsia"/>
          <w:lang w:eastAsia="zh-CN"/>
        </w:rPr>
        <w:t>第</w:t>
      </w:r>
      <w:r w:rsidRPr="006718B7">
        <w:rPr>
          <w:rFonts w:hint="eastAsia"/>
          <w:lang w:eastAsia="zh-CN"/>
        </w:rPr>
        <w:t>1372</w:t>
      </w:r>
      <w:r w:rsidRPr="006718B7">
        <w:rPr>
          <w:rFonts w:hint="eastAsia"/>
          <w:lang w:eastAsia="zh-CN"/>
        </w:rPr>
        <w:t>号决议（</w:t>
      </w:r>
      <w:r w:rsidRPr="006718B7">
        <w:rPr>
          <w:rFonts w:hint="eastAsia"/>
          <w:lang w:eastAsia="zh-CN"/>
        </w:rPr>
        <w:t>2016</w:t>
      </w:r>
      <w:r w:rsidRPr="006718B7">
        <w:rPr>
          <w:rFonts w:hint="eastAsia"/>
          <w:lang w:eastAsia="zh-CN"/>
        </w:rPr>
        <w:t>年，修改版）</w:t>
      </w:r>
      <w:r>
        <w:rPr>
          <w:rFonts w:hint="eastAsia"/>
          <w:lang w:eastAsia="zh-CN"/>
        </w:rPr>
        <w:t>中</w:t>
      </w:r>
      <w:r w:rsidRPr="006718B7">
        <w:rPr>
          <w:rFonts w:hint="eastAsia"/>
          <w:lang w:eastAsia="zh-CN"/>
        </w:rPr>
        <w:t>做出决议，</w:t>
      </w:r>
      <w:r>
        <w:rPr>
          <w:rFonts w:hint="eastAsia"/>
          <w:lang w:eastAsia="zh-CN"/>
        </w:rPr>
        <w:t>继</w:t>
      </w:r>
      <w:r w:rsidRPr="006718B7">
        <w:rPr>
          <w:rFonts w:hint="eastAsia"/>
          <w:lang w:eastAsia="zh-CN"/>
        </w:rPr>
        <w:t>续</w:t>
      </w:r>
      <w:r>
        <w:rPr>
          <w:rFonts w:hint="eastAsia"/>
          <w:lang w:eastAsia="zh-CN"/>
        </w:rPr>
        <w:t>开展</w:t>
      </w:r>
      <w:r w:rsidRPr="006718B7">
        <w:rPr>
          <w:rFonts w:hint="eastAsia"/>
          <w:lang w:eastAsia="zh-CN"/>
        </w:rPr>
        <w:t>理事会语</w:t>
      </w:r>
      <w:r>
        <w:rPr>
          <w:rFonts w:hint="eastAsia"/>
          <w:lang w:eastAsia="zh-CN"/>
        </w:rPr>
        <w:t>文</w:t>
      </w:r>
      <w:r w:rsidRPr="006718B7">
        <w:rPr>
          <w:rFonts w:hint="eastAsia"/>
          <w:lang w:eastAsia="zh-CN"/>
        </w:rPr>
        <w:t>工作组（</w:t>
      </w:r>
      <w:r w:rsidRPr="006718B7">
        <w:rPr>
          <w:rFonts w:hint="eastAsia"/>
          <w:lang w:eastAsia="zh-CN"/>
        </w:rPr>
        <w:t>CWG-LANG</w:t>
      </w:r>
      <w:r w:rsidRPr="006718B7">
        <w:rPr>
          <w:rFonts w:hint="eastAsia"/>
          <w:lang w:eastAsia="zh-CN"/>
        </w:rPr>
        <w:t>）的工作，以监</w:t>
      </w:r>
      <w:r>
        <w:rPr>
          <w:rFonts w:hint="eastAsia"/>
          <w:lang w:eastAsia="zh-CN"/>
        </w:rPr>
        <w:t>督</w:t>
      </w:r>
      <w:r>
        <w:rPr>
          <w:lang w:eastAsia="zh-CN"/>
        </w:rPr>
        <w:t>进展</w:t>
      </w:r>
      <w:r w:rsidRPr="006718B7">
        <w:rPr>
          <w:rFonts w:hint="eastAsia"/>
          <w:lang w:eastAsia="zh-CN"/>
        </w:rPr>
        <w:t>并向理事会通报全权代表大会第</w:t>
      </w:r>
      <w:r w:rsidRPr="006718B7">
        <w:rPr>
          <w:rFonts w:hint="eastAsia"/>
          <w:lang w:eastAsia="zh-CN"/>
        </w:rPr>
        <w:t>154</w:t>
      </w:r>
      <w:r w:rsidRPr="006718B7">
        <w:rPr>
          <w:rFonts w:hint="eastAsia"/>
          <w:lang w:eastAsia="zh-CN"/>
        </w:rPr>
        <w:t>号决议（</w:t>
      </w:r>
      <w:r w:rsidRPr="006718B7">
        <w:rPr>
          <w:rFonts w:hint="eastAsia"/>
          <w:lang w:eastAsia="zh-CN"/>
        </w:rPr>
        <w:t>2014</w:t>
      </w:r>
      <w:r w:rsidRPr="006718B7">
        <w:rPr>
          <w:rFonts w:hint="eastAsia"/>
          <w:lang w:eastAsia="zh-CN"/>
        </w:rPr>
        <w:t>年、釜山、</w:t>
      </w:r>
      <w:r w:rsidRPr="006718B7">
        <w:rPr>
          <w:lang w:eastAsia="zh-CN"/>
        </w:rPr>
        <w:t>修订版</w:t>
      </w:r>
      <w:r w:rsidRPr="006718B7">
        <w:rPr>
          <w:rFonts w:hint="eastAsia"/>
          <w:lang w:eastAsia="zh-CN"/>
        </w:rPr>
        <w:t>）的落实情况；</w:t>
      </w:r>
    </w:p>
    <w:p w14:paraId="4827BBD7" w14:textId="77777777" w:rsidR="00D507C1" w:rsidRPr="006718B7" w:rsidRDefault="00D507C1" w:rsidP="00D507C1">
      <w:pPr>
        <w:rPr>
          <w:lang w:eastAsia="zh-CN"/>
        </w:rPr>
      </w:pPr>
      <w:r w:rsidRPr="006718B7">
        <w:rPr>
          <w:i/>
          <w:iCs/>
          <w:lang w:eastAsia="zh-CN"/>
        </w:rPr>
        <w:t>b)</w:t>
      </w:r>
      <w:r w:rsidRPr="006718B7">
        <w:rPr>
          <w:lang w:eastAsia="zh-CN"/>
        </w:rPr>
        <w:tab/>
      </w:r>
      <w:r w:rsidRPr="006718B7">
        <w:rPr>
          <w:rFonts w:hint="eastAsia"/>
          <w:lang w:eastAsia="zh-CN"/>
        </w:rPr>
        <w:t>国际电联，特别是无线电通信部门（</w:t>
      </w:r>
      <w:r w:rsidRPr="006718B7">
        <w:rPr>
          <w:rFonts w:hint="eastAsia"/>
          <w:lang w:eastAsia="zh-CN"/>
        </w:rPr>
        <w:t>ITU</w:t>
      </w:r>
      <w:r w:rsidRPr="006718B7">
        <w:rPr>
          <w:lang w:eastAsia="zh-CN"/>
        </w:rPr>
        <w:t>-</w:t>
      </w:r>
      <w:r w:rsidRPr="006718B7">
        <w:rPr>
          <w:rFonts w:hint="eastAsia"/>
          <w:lang w:eastAsia="zh-CN"/>
        </w:rPr>
        <w:t>R</w:t>
      </w:r>
      <w:r w:rsidRPr="006718B7">
        <w:rPr>
          <w:rFonts w:hint="eastAsia"/>
          <w:lang w:eastAsia="zh-CN"/>
        </w:rPr>
        <w:t>）有必要与其他关注</w:t>
      </w:r>
      <w:r>
        <w:rPr>
          <w:rFonts w:hint="eastAsia"/>
          <w:lang w:eastAsia="zh-CN"/>
        </w:rPr>
        <w:t>文件</w:t>
      </w:r>
      <w:r>
        <w:rPr>
          <w:lang w:eastAsia="zh-CN"/>
        </w:rPr>
        <w:t>制作中的</w:t>
      </w:r>
      <w:r w:rsidRPr="006718B7">
        <w:rPr>
          <w:rFonts w:hint="eastAsia"/>
          <w:lang w:eastAsia="zh-CN"/>
        </w:rPr>
        <w:t>术语和定义、图形符号、字母符号</w:t>
      </w:r>
      <w:r>
        <w:rPr>
          <w:rFonts w:hint="eastAsia"/>
          <w:lang w:eastAsia="zh-CN"/>
        </w:rPr>
        <w:t>及</w:t>
      </w:r>
      <w:r w:rsidRPr="006718B7">
        <w:rPr>
          <w:rFonts w:hint="eastAsia"/>
          <w:lang w:eastAsia="zh-CN"/>
        </w:rPr>
        <w:t>其他表达方式、</w:t>
      </w:r>
      <w:r>
        <w:rPr>
          <w:rFonts w:hint="eastAsia"/>
          <w:lang w:eastAsia="zh-CN"/>
        </w:rPr>
        <w:t>衡量</w:t>
      </w:r>
      <w:r w:rsidRPr="006718B7">
        <w:rPr>
          <w:rFonts w:hint="eastAsia"/>
          <w:lang w:eastAsia="zh-CN"/>
        </w:rPr>
        <w:t>单位等的组织进行沟通，旨在规范这些要素等；</w:t>
      </w:r>
    </w:p>
    <w:p w14:paraId="4827BBD8" w14:textId="77777777" w:rsidR="00D507C1" w:rsidRPr="006718B7" w:rsidRDefault="00D507C1" w:rsidP="00D507C1">
      <w:pPr>
        <w:rPr>
          <w:lang w:eastAsia="zh-CN"/>
        </w:rPr>
      </w:pPr>
      <w:r w:rsidRPr="006718B7">
        <w:rPr>
          <w:i/>
          <w:iCs/>
          <w:lang w:eastAsia="zh-CN"/>
        </w:rPr>
        <w:t>c)</w:t>
      </w:r>
      <w:r w:rsidRPr="006718B7">
        <w:rPr>
          <w:lang w:eastAsia="zh-CN"/>
        </w:rPr>
        <w:tab/>
      </w:r>
      <w:r w:rsidRPr="006718B7">
        <w:rPr>
          <w:rFonts w:hint="eastAsia"/>
          <w:lang w:eastAsia="zh-CN"/>
        </w:rPr>
        <w:t>尤其</w:t>
      </w:r>
      <w:r>
        <w:rPr>
          <w:rFonts w:hint="eastAsia"/>
          <w:lang w:eastAsia="zh-CN"/>
        </w:rPr>
        <w:t>在</w:t>
      </w:r>
      <w:r w:rsidRPr="006718B7">
        <w:rPr>
          <w:rFonts w:hint="eastAsia"/>
          <w:lang w:eastAsia="zh-CN"/>
        </w:rPr>
        <w:t>涉及</w:t>
      </w:r>
      <w:r w:rsidRPr="006718B7">
        <w:rPr>
          <w:lang w:eastAsia="zh-CN"/>
        </w:rPr>
        <w:t>不同部门</w:t>
      </w:r>
      <w:r w:rsidRPr="006718B7">
        <w:rPr>
          <w:rFonts w:hint="eastAsia"/>
          <w:lang w:eastAsia="zh-CN"/>
        </w:rPr>
        <w:t>的多个研究组时，就定义达成一致</w:t>
      </w:r>
      <w:r>
        <w:rPr>
          <w:rFonts w:hint="eastAsia"/>
          <w:lang w:eastAsia="zh-CN"/>
        </w:rPr>
        <w:t>存在</w:t>
      </w:r>
      <w:r w:rsidRPr="006718B7">
        <w:rPr>
          <w:rFonts w:hint="eastAsia"/>
          <w:lang w:eastAsia="zh-CN"/>
        </w:rPr>
        <w:t>难度</w:t>
      </w:r>
      <w:r w:rsidRPr="006718B7">
        <w:rPr>
          <w:rFonts w:hint="eastAsia"/>
          <w:w w:val="120"/>
          <w:lang w:eastAsia="zh-CN"/>
        </w:rPr>
        <w:t>；</w:t>
      </w:r>
    </w:p>
    <w:p w14:paraId="4827BBD9" w14:textId="77777777" w:rsidR="00D507C1" w:rsidRPr="006718B7" w:rsidRDefault="00D507C1" w:rsidP="00D507C1">
      <w:pPr>
        <w:rPr>
          <w:lang w:eastAsia="zh-CN"/>
        </w:rPr>
      </w:pPr>
      <w:r w:rsidRPr="006718B7">
        <w:rPr>
          <w:i/>
          <w:iCs/>
          <w:lang w:eastAsia="zh-CN"/>
        </w:rPr>
        <w:t>d)</w:t>
      </w:r>
      <w:r w:rsidRPr="006718B7">
        <w:rPr>
          <w:lang w:eastAsia="zh-CN"/>
        </w:rPr>
        <w:tab/>
      </w:r>
      <w:r w:rsidRPr="006718B7">
        <w:rPr>
          <w:rFonts w:hint="eastAsia"/>
          <w:lang w:eastAsia="zh-CN"/>
        </w:rPr>
        <w:t>国际电联正在与国际电工委员会（</w:t>
      </w:r>
      <w:r w:rsidRPr="006718B7">
        <w:rPr>
          <w:rFonts w:hint="eastAsia"/>
          <w:lang w:eastAsia="zh-CN"/>
        </w:rPr>
        <w:t>IEC</w:t>
      </w:r>
      <w:r w:rsidRPr="006718B7">
        <w:rPr>
          <w:rFonts w:hint="eastAsia"/>
          <w:lang w:eastAsia="zh-CN"/>
        </w:rPr>
        <w:t>）</w:t>
      </w:r>
      <w:r>
        <w:rPr>
          <w:rFonts w:hint="eastAsia"/>
          <w:lang w:eastAsia="zh-CN"/>
        </w:rPr>
        <w:t>开展</w:t>
      </w:r>
      <w:r>
        <w:rPr>
          <w:lang w:eastAsia="zh-CN"/>
        </w:rPr>
        <w:t>协</w:t>
      </w:r>
      <w:r w:rsidRPr="006718B7">
        <w:rPr>
          <w:rFonts w:hint="eastAsia"/>
          <w:lang w:eastAsia="zh-CN"/>
        </w:rPr>
        <w:t>作，以提供</w:t>
      </w:r>
      <w:r>
        <w:rPr>
          <w:rFonts w:hint="eastAsia"/>
          <w:lang w:eastAsia="zh-CN"/>
        </w:rPr>
        <w:t>并</w:t>
      </w:r>
      <w:r>
        <w:rPr>
          <w:lang w:eastAsia="zh-CN"/>
        </w:rPr>
        <w:t>充实完善一套</w:t>
      </w:r>
      <w:r w:rsidRPr="006718B7">
        <w:rPr>
          <w:rFonts w:hint="eastAsia"/>
          <w:lang w:eastAsia="zh-CN"/>
        </w:rPr>
        <w:t>国际认可的电信</w:t>
      </w:r>
      <w:r w:rsidRPr="006718B7">
        <w:rPr>
          <w:rFonts w:hint="eastAsia"/>
          <w:lang w:eastAsia="zh-CN"/>
        </w:rPr>
        <w:t>/</w:t>
      </w:r>
      <w:r w:rsidRPr="006718B7">
        <w:rPr>
          <w:rFonts w:hint="eastAsia"/>
          <w:lang w:eastAsia="zh-CN"/>
        </w:rPr>
        <w:t>信息通信技术词汇</w:t>
      </w:r>
      <w:r>
        <w:rPr>
          <w:rFonts w:hint="eastAsia"/>
          <w:lang w:eastAsia="zh-CN"/>
        </w:rPr>
        <w:t>表</w:t>
      </w:r>
      <w:r w:rsidRPr="006718B7">
        <w:rPr>
          <w:rFonts w:hint="eastAsia"/>
          <w:lang w:eastAsia="zh-CN"/>
        </w:rPr>
        <w:t>，</w:t>
      </w:r>
      <w:r>
        <w:rPr>
          <w:rFonts w:hint="eastAsia"/>
          <w:lang w:eastAsia="zh-CN"/>
        </w:rPr>
        <w:t>同</w:t>
      </w:r>
      <w:r>
        <w:rPr>
          <w:lang w:eastAsia="zh-CN"/>
        </w:rPr>
        <w:t>时提供</w:t>
      </w:r>
      <w:r w:rsidRPr="006718B7">
        <w:rPr>
          <w:rFonts w:hint="eastAsia"/>
          <w:lang w:eastAsia="zh-CN"/>
        </w:rPr>
        <w:t>国际认可的图形符号</w:t>
      </w:r>
      <w:r>
        <w:rPr>
          <w:rFonts w:hint="eastAsia"/>
          <w:lang w:eastAsia="zh-CN"/>
        </w:rPr>
        <w:t>用</w:t>
      </w:r>
      <w:r>
        <w:rPr>
          <w:lang w:eastAsia="zh-CN"/>
        </w:rPr>
        <w:t>于</w:t>
      </w:r>
      <w:r w:rsidRPr="006718B7">
        <w:rPr>
          <w:rFonts w:hint="eastAsia"/>
          <w:lang w:eastAsia="zh-CN"/>
        </w:rPr>
        <w:t>图表和设备，</w:t>
      </w:r>
      <w:r>
        <w:rPr>
          <w:rFonts w:hint="eastAsia"/>
          <w:lang w:eastAsia="zh-CN"/>
        </w:rPr>
        <w:t>并且</w:t>
      </w:r>
      <w:r>
        <w:rPr>
          <w:lang w:eastAsia="zh-CN"/>
        </w:rPr>
        <w:t>批准用于</w:t>
      </w:r>
      <w:r>
        <w:rPr>
          <w:rFonts w:hint="eastAsia"/>
          <w:lang w:eastAsia="zh-CN"/>
        </w:rPr>
        <w:t>文件</w:t>
      </w:r>
      <w:r w:rsidRPr="006718B7">
        <w:rPr>
          <w:rFonts w:hint="eastAsia"/>
          <w:lang w:eastAsia="zh-CN"/>
        </w:rPr>
        <w:t>编制</w:t>
      </w:r>
      <w:r w:rsidRPr="006718B7">
        <w:rPr>
          <w:lang w:eastAsia="zh-CN"/>
        </w:rPr>
        <w:t>和</w:t>
      </w:r>
      <w:r>
        <w:rPr>
          <w:rFonts w:hint="eastAsia"/>
          <w:lang w:eastAsia="zh-CN"/>
        </w:rPr>
        <w:t>项目</w:t>
      </w:r>
      <w:r w:rsidRPr="006718B7">
        <w:rPr>
          <w:rFonts w:hint="eastAsia"/>
          <w:lang w:eastAsia="zh-CN"/>
        </w:rPr>
        <w:t>标识的规则；</w:t>
      </w:r>
    </w:p>
    <w:p w14:paraId="4827BBDA" w14:textId="77777777" w:rsidR="00D507C1" w:rsidRPr="006718B7" w:rsidRDefault="00D507C1" w:rsidP="00D507C1">
      <w:pPr>
        <w:keepNext/>
        <w:keepLines/>
        <w:rPr>
          <w:lang w:eastAsia="zh-CN"/>
        </w:rPr>
      </w:pPr>
      <w:r w:rsidRPr="006718B7">
        <w:rPr>
          <w:i/>
          <w:iCs/>
          <w:lang w:eastAsia="zh-CN"/>
        </w:rPr>
        <w:t>e)</w:t>
      </w:r>
      <w:r w:rsidRPr="006718B7">
        <w:rPr>
          <w:lang w:eastAsia="zh-CN"/>
        </w:rPr>
        <w:tab/>
      </w:r>
      <w:r w:rsidRPr="006718B7">
        <w:rPr>
          <w:rFonts w:hint="eastAsia"/>
          <w:lang w:eastAsia="zh-CN"/>
        </w:rPr>
        <w:t>国际电联正与</w:t>
      </w:r>
      <w:r w:rsidRPr="006718B7">
        <w:rPr>
          <w:lang w:eastAsia="zh-CN"/>
        </w:rPr>
        <w:t>IEC</w:t>
      </w:r>
      <w:r w:rsidRPr="006718B7">
        <w:rPr>
          <w:rFonts w:hint="eastAsia"/>
          <w:lang w:eastAsia="zh-CN"/>
        </w:rPr>
        <w:t>（第</w:t>
      </w:r>
      <w:r w:rsidRPr="006718B7">
        <w:rPr>
          <w:lang w:eastAsia="zh-CN"/>
        </w:rPr>
        <w:t>25</w:t>
      </w:r>
      <w:r w:rsidRPr="006718B7">
        <w:rPr>
          <w:rFonts w:hint="eastAsia"/>
          <w:lang w:eastAsia="zh-CN"/>
        </w:rPr>
        <w:t>技术委员会（</w:t>
      </w:r>
      <w:r w:rsidRPr="006718B7">
        <w:rPr>
          <w:lang w:eastAsia="zh-CN"/>
        </w:rPr>
        <w:t>TC 25</w:t>
      </w:r>
      <w:r w:rsidRPr="006718B7">
        <w:rPr>
          <w:rFonts w:hint="eastAsia"/>
          <w:lang w:eastAsia="zh-CN"/>
        </w:rPr>
        <w:t>））</w:t>
      </w:r>
      <w:r>
        <w:rPr>
          <w:rFonts w:hint="eastAsia"/>
          <w:lang w:eastAsia="zh-CN"/>
        </w:rPr>
        <w:t>开展</w:t>
      </w:r>
      <w:r>
        <w:rPr>
          <w:lang w:eastAsia="zh-CN"/>
        </w:rPr>
        <w:t>协</w:t>
      </w:r>
      <w:r w:rsidRPr="006718B7">
        <w:rPr>
          <w:rFonts w:hint="eastAsia"/>
          <w:lang w:eastAsia="zh-CN"/>
        </w:rPr>
        <w:t>作，以便提供国际统一的字母符号和单位等；</w:t>
      </w:r>
    </w:p>
    <w:p w14:paraId="4827BBDB" w14:textId="77777777" w:rsidR="00D507C1" w:rsidRPr="006718B7" w:rsidRDefault="00D507C1" w:rsidP="00D507C1">
      <w:pPr>
        <w:rPr>
          <w:lang w:eastAsia="zh-CN"/>
        </w:rPr>
      </w:pPr>
      <w:r w:rsidRPr="006718B7">
        <w:rPr>
          <w:i/>
          <w:iCs/>
          <w:lang w:eastAsia="zh-CN"/>
        </w:rPr>
        <w:t>f)</w:t>
      </w:r>
      <w:r w:rsidRPr="006718B7">
        <w:rPr>
          <w:lang w:eastAsia="zh-CN"/>
        </w:rPr>
        <w:tab/>
      </w:r>
      <w:r w:rsidRPr="006718B7">
        <w:rPr>
          <w:rFonts w:hint="eastAsia"/>
          <w:lang w:eastAsia="zh-CN"/>
        </w:rPr>
        <w:t>有必要继续出版适用于</w:t>
      </w:r>
      <w:r>
        <w:rPr>
          <w:rFonts w:hint="eastAsia"/>
          <w:lang w:eastAsia="zh-CN"/>
        </w:rPr>
        <w:t>国</w:t>
      </w:r>
      <w:r>
        <w:rPr>
          <w:lang w:eastAsia="zh-CN"/>
        </w:rPr>
        <w:t>际电联</w:t>
      </w:r>
      <w:r w:rsidRPr="006718B7">
        <w:rPr>
          <w:rFonts w:hint="eastAsia"/>
          <w:lang w:eastAsia="zh-CN"/>
        </w:rPr>
        <w:t>工作的术语和定义；</w:t>
      </w:r>
    </w:p>
    <w:p w14:paraId="4827BBDC" w14:textId="77777777" w:rsidR="00D507C1" w:rsidRPr="006718B7" w:rsidRDefault="00D507C1" w:rsidP="00D507C1">
      <w:pPr>
        <w:rPr>
          <w:lang w:eastAsia="zh-CN"/>
        </w:rPr>
      </w:pPr>
      <w:r w:rsidRPr="006718B7">
        <w:rPr>
          <w:i/>
          <w:iCs/>
          <w:lang w:eastAsia="zh-CN"/>
        </w:rPr>
        <w:t>g)</w:t>
      </w:r>
      <w:r w:rsidRPr="006718B7">
        <w:rPr>
          <w:lang w:eastAsia="zh-CN"/>
        </w:rPr>
        <w:tab/>
      </w:r>
      <w:r w:rsidRPr="006718B7">
        <w:rPr>
          <w:rFonts w:hint="eastAsia"/>
          <w:lang w:eastAsia="zh-CN"/>
        </w:rPr>
        <w:t>通过对国际电联研究组在词汇和相关</w:t>
      </w:r>
      <w:r>
        <w:rPr>
          <w:rFonts w:hint="eastAsia"/>
          <w:lang w:eastAsia="zh-CN"/>
        </w:rPr>
        <w:t>主</w:t>
      </w:r>
      <w:r w:rsidRPr="006718B7">
        <w:rPr>
          <w:rFonts w:hint="eastAsia"/>
          <w:lang w:eastAsia="zh-CN"/>
        </w:rPr>
        <w:t>题方面所开展的所有工作的有效协调</w:t>
      </w:r>
      <w:r w:rsidRPr="006718B7">
        <w:rPr>
          <w:rFonts w:hint="eastAsia"/>
          <w:lang w:val="en-US" w:eastAsia="zh-CN"/>
        </w:rPr>
        <w:t>和落实</w:t>
      </w:r>
      <w:r>
        <w:rPr>
          <w:rFonts w:hint="eastAsia"/>
          <w:lang w:eastAsia="zh-CN"/>
        </w:rPr>
        <w:t>，可避免不必要或重复</w:t>
      </w:r>
      <w:r w:rsidRPr="006718B7">
        <w:rPr>
          <w:rFonts w:hint="eastAsia"/>
          <w:lang w:eastAsia="zh-CN"/>
        </w:rPr>
        <w:t>的工作；</w:t>
      </w:r>
    </w:p>
    <w:p w14:paraId="4827BBDD" w14:textId="77777777" w:rsidR="00D507C1" w:rsidRPr="006718B7" w:rsidRDefault="00D507C1" w:rsidP="00D507C1">
      <w:pPr>
        <w:snapToGrid w:val="0"/>
        <w:spacing w:after="120"/>
        <w:rPr>
          <w:lang w:val="ru-RU" w:eastAsia="zh-CN"/>
        </w:rPr>
      </w:pPr>
      <w:r w:rsidRPr="006718B7">
        <w:rPr>
          <w:i/>
          <w:iCs/>
          <w:lang w:eastAsia="zh-CN"/>
        </w:rPr>
        <w:t>h)</w:t>
      </w:r>
      <w:r w:rsidRPr="006718B7">
        <w:rPr>
          <w:lang w:eastAsia="zh-CN"/>
        </w:rPr>
        <w:tab/>
      </w:r>
      <w:r w:rsidRPr="006718B7">
        <w:rPr>
          <w:rFonts w:hint="eastAsia"/>
          <w:lang w:eastAsia="zh-CN"/>
        </w:rPr>
        <w:t>术语工作的长期目标必须是以国际电联</w:t>
      </w:r>
      <w:r>
        <w:rPr>
          <w:rFonts w:hint="eastAsia"/>
          <w:lang w:eastAsia="zh-CN"/>
        </w:rPr>
        <w:t>所</w:t>
      </w:r>
      <w:r>
        <w:rPr>
          <w:lang w:eastAsia="zh-CN"/>
        </w:rPr>
        <w:t>有六种</w:t>
      </w:r>
      <w:r w:rsidRPr="006718B7">
        <w:rPr>
          <w:rFonts w:hint="eastAsia"/>
          <w:lang w:eastAsia="zh-CN"/>
        </w:rPr>
        <w:t>正式语文编写一</w:t>
      </w:r>
      <w:r>
        <w:rPr>
          <w:rFonts w:hint="eastAsia"/>
          <w:lang w:eastAsia="zh-CN"/>
        </w:rPr>
        <w:t>套</w:t>
      </w:r>
      <w:r w:rsidRPr="006718B7">
        <w:rPr>
          <w:rFonts w:hint="eastAsia"/>
          <w:lang w:eastAsia="zh-CN"/>
        </w:rPr>
        <w:t>电信</w:t>
      </w:r>
      <w:r w:rsidRPr="006718B7">
        <w:rPr>
          <w:rFonts w:hint="eastAsia"/>
          <w:lang w:eastAsia="zh-CN"/>
        </w:rPr>
        <w:t>/</w:t>
      </w:r>
      <w:r w:rsidRPr="006718B7">
        <w:rPr>
          <w:rFonts w:hint="eastAsia"/>
          <w:lang w:eastAsia="zh-CN"/>
        </w:rPr>
        <w:t>信息</w:t>
      </w:r>
      <w:r w:rsidRPr="006718B7">
        <w:rPr>
          <w:lang w:eastAsia="zh-CN"/>
        </w:rPr>
        <w:t>通信技术（</w:t>
      </w:r>
      <w:r w:rsidRPr="006718B7">
        <w:rPr>
          <w:rFonts w:hint="eastAsia"/>
          <w:lang w:eastAsia="zh-CN"/>
        </w:rPr>
        <w:t>ICT</w:t>
      </w:r>
      <w:r w:rsidRPr="006718B7">
        <w:rPr>
          <w:lang w:eastAsia="zh-CN"/>
        </w:rPr>
        <w:t>）</w:t>
      </w:r>
      <w:r w:rsidRPr="006718B7">
        <w:rPr>
          <w:rFonts w:hint="eastAsia"/>
          <w:lang w:eastAsia="zh-CN"/>
        </w:rPr>
        <w:t>综合词汇</w:t>
      </w:r>
      <w:r>
        <w:rPr>
          <w:rFonts w:hint="eastAsia"/>
          <w:lang w:eastAsia="zh-CN"/>
        </w:rPr>
        <w:t>表</w:t>
      </w:r>
      <w:r w:rsidRPr="006718B7">
        <w:rPr>
          <w:rFonts w:hint="eastAsia"/>
          <w:lang w:eastAsia="zh-CN"/>
        </w:rPr>
        <w:t>，</w:t>
      </w:r>
    </w:p>
    <w:p w14:paraId="4827BBDE" w14:textId="77777777" w:rsidR="00D507C1" w:rsidRPr="006718B7" w:rsidRDefault="00D507C1" w:rsidP="00D507C1">
      <w:pPr>
        <w:keepNext/>
        <w:keepLines/>
        <w:spacing w:before="160"/>
        <w:ind w:left="794"/>
        <w:rPr>
          <w:rFonts w:eastAsia="STKaiti"/>
          <w:sz w:val="22"/>
          <w:szCs w:val="22"/>
          <w:lang w:val="ru-RU" w:eastAsia="zh-CN"/>
        </w:rPr>
      </w:pPr>
      <w:r w:rsidRPr="006718B7">
        <w:rPr>
          <w:rFonts w:eastAsia="STKaiti" w:hint="eastAsia"/>
          <w:lang w:eastAsia="zh-CN"/>
        </w:rPr>
        <w:t>认识到</w:t>
      </w:r>
    </w:p>
    <w:p w14:paraId="4827BBDF" w14:textId="77777777" w:rsidR="00D507C1" w:rsidRPr="006718B7" w:rsidRDefault="00D507C1" w:rsidP="00D507C1">
      <w:pPr>
        <w:snapToGrid w:val="0"/>
        <w:spacing w:after="120"/>
        <w:ind w:firstLineChars="200" w:firstLine="480"/>
        <w:rPr>
          <w:i/>
          <w:lang w:val="ru-RU" w:eastAsia="zh-CN"/>
        </w:rPr>
      </w:pPr>
      <w:r w:rsidRPr="006718B7">
        <w:rPr>
          <w:lang w:eastAsia="zh-CN"/>
        </w:rPr>
        <w:t>ITU-R CCV</w:t>
      </w:r>
      <w:r w:rsidRPr="006718B7">
        <w:rPr>
          <w:rFonts w:hint="eastAsia"/>
          <w:lang w:eastAsia="zh-CN"/>
        </w:rPr>
        <w:t>和</w:t>
      </w:r>
      <w:r w:rsidRPr="006718B7">
        <w:rPr>
          <w:lang w:eastAsia="zh-CN"/>
        </w:rPr>
        <w:t>ITU-T SCV</w:t>
      </w:r>
      <w:r w:rsidRPr="006718B7">
        <w:rPr>
          <w:rFonts w:hint="eastAsia"/>
          <w:lang w:eastAsia="zh-CN"/>
        </w:rPr>
        <w:t>所完成的采用国际电联所有六种正式语文</w:t>
      </w:r>
      <w:r>
        <w:rPr>
          <w:rFonts w:hint="eastAsia"/>
          <w:lang w:eastAsia="zh-CN"/>
        </w:rPr>
        <w:t>的</w:t>
      </w:r>
      <w:r w:rsidRPr="006718B7">
        <w:rPr>
          <w:rFonts w:hint="eastAsia"/>
          <w:lang w:eastAsia="zh-CN"/>
        </w:rPr>
        <w:t>电信</w:t>
      </w:r>
      <w:r w:rsidRPr="006718B7">
        <w:rPr>
          <w:lang w:eastAsia="zh-CN"/>
        </w:rPr>
        <w:t>/</w:t>
      </w:r>
      <w:r w:rsidRPr="006718B7">
        <w:rPr>
          <w:rFonts w:hint="eastAsia"/>
          <w:lang w:eastAsia="zh-CN"/>
        </w:rPr>
        <w:t>信息通信技术（</w:t>
      </w:r>
      <w:r w:rsidRPr="006718B7">
        <w:rPr>
          <w:lang w:eastAsia="zh-CN"/>
        </w:rPr>
        <w:t>ICT</w:t>
      </w:r>
      <w:r w:rsidRPr="006718B7">
        <w:rPr>
          <w:rFonts w:hint="eastAsia"/>
          <w:lang w:eastAsia="zh-CN"/>
        </w:rPr>
        <w:t>）领域术语和定义并就</w:t>
      </w:r>
      <w:r>
        <w:rPr>
          <w:rFonts w:hint="eastAsia"/>
          <w:lang w:eastAsia="zh-CN"/>
        </w:rPr>
        <w:t>其</w:t>
      </w:r>
      <w:r w:rsidRPr="006718B7">
        <w:rPr>
          <w:rFonts w:hint="eastAsia"/>
          <w:lang w:eastAsia="zh-CN"/>
        </w:rPr>
        <w:t>达成一致的工作，</w:t>
      </w:r>
    </w:p>
    <w:p w14:paraId="4827BBE0" w14:textId="77777777" w:rsidR="002802D7" w:rsidRDefault="002802D7">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rFonts w:eastAsia="STKaiti"/>
          <w:lang w:eastAsia="zh-CN"/>
        </w:rPr>
        <w:br w:type="page"/>
      </w:r>
    </w:p>
    <w:p w14:paraId="4827BBE1" w14:textId="77777777" w:rsidR="00D507C1" w:rsidRPr="006718B7" w:rsidRDefault="00D507C1" w:rsidP="00D507C1">
      <w:pPr>
        <w:keepNext/>
        <w:keepLines/>
        <w:spacing w:before="160"/>
        <w:ind w:left="794"/>
        <w:rPr>
          <w:rFonts w:eastAsia="STKaiti"/>
          <w:sz w:val="22"/>
          <w:szCs w:val="22"/>
          <w:lang w:eastAsia="zh-CN"/>
        </w:rPr>
      </w:pPr>
      <w:r w:rsidRPr="006718B7">
        <w:rPr>
          <w:rFonts w:eastAsia="STKaiti" w:hint="eastAsia"/>
          <w:lang w:eastAsia="zh-CN"/>
        </w:rPr>
        <w:lastRenderedPageBreak/>
        <w:t>做出</w:t>
      </w:r>
      <w:r w:rsidRPr="006718B7">
        <w:rPr>
          <w:rFonts w:eastAsia="STKaiti"/>
          <w:lang w:eastAsia="zh-CN"/>
        </w:rPr>
        <w:t>决议</w:t>
      </w:r>
    </w:p>
    <w:p w14:paraId="4827BBE2" w14:textId="77777777" w:rsidR="00D507C1" w:rsidRPr="006718B7" w:rsidRDefault="00D507C1" w:rsidP="00D507C1">
      <w:pPr>
        <w:snapToGrid w:val="0"/>
        <w:spacing w:after="120"/>
        <w:rPr>
          <w:lang w:val="en-US" w:eastAsia="zh-CN"/>
        </w:rPr>
      </w:pPr>
      <w:r w:rsidRPr="006718B7">
        <w:rPr>
          <w:lang w:val="en-US" w:eastAsia="zh-CN"/>
        </w:rPr>
        <w:t>1</w:t>
      </w:r>
      <w:r w:rsidRPr="006718B7">
        <w:rPr>
          <w:lang w:val="en-US" w:eastAsia="zh-CN"/>
        </w:rPr>
        <w:tab/>
      </w:r>
      <w:r w:rsidRPr="006718B7">
        <w:rPr>
          <w:rFonts w:hint="eastAsia"/>
          <w:lang w:val="en-US" w:eastAsia="zh-CN"/>
        </w:rPr>
        <w:t>在</w:t>
      </w:r>
      <w:r w:rsidRPr="006718B7">
        <w:rPr>
          <w:rFonts w:hint="eastAsia"/>
          <w:lang w:val="en-US" w:eastAsia="zh-CN"/>
        </w:rPr>
        <w:t>RA-19</w:t>
      </w:r>
      <w:r w:rsidRPr="006718B7">
        <w:rPr>
          <w:rFonts w:hint="eastAsia"/>
          <w:lang w:val="en-US" w:eastAsia="zh-CN"/>
        </w:rPr>
        <w:t>和</w:t>
      </w:r>
      <w:r w:rsidRPr="006718B7">
        <w:rPr>
          <w:lang w:val="en-US" w:eastAsia="zh-CN"/>
        </w:rPr>
        <w:t>WTSA-20</w:t>
      </w:r>
      <w:r w:rsidRPr="006718B7">
        <w:rPr>
          <w:rFonts w:hint="eastAsia"/>
          <w:lang w:val="en-US" w:eastAsia="zh-CN"/>
        </w:rPr>
        <w:t>做出决定</w:t>
      </w:r>
      <w:r>
        <w:rPr>
          <w:rFonts w:hint="eastAsia"/>
          <w:lang w:val="en-US" w:eastAsia="zh-CN"/>
        </w:rPr>
        <w:t>之</w:t>
      </w:r>
      <w:r w:rsidRPr="006718B7">
        <w:rPr>
          <w:rFonts w:hint="eastAsia"/>
          <w:lang w:val="en-US" w:eastAsia="zh-CN"/>
        </w:rPr>
        <w:t>前，联合</w:t>
      </w:r>
      <w:r>
        <w:rPr>
          <w:rFonts w:hint="eastAsia"/>
          <w:lang w:val="en-US" w:eastAsia="zh-CN"/>
        </w:rPr>
        <w:t>的</w:t>
      </w:r>
      <w:r w:rsidRPr="006718B7">
        <w:rPr>
          <w:rFonts w:hint="eastAsia"/>
          <w:lang w:val="en-US" w:eastAsia="zh-CN"/>
        </w:rPr>
        <w:t>国际电联术语协调委员会（</w:t>
      </w:r>
      <w:r w:rsidRPr="006718B7">
        <w:rPr>
          <w:rFonts w:hint="eastAsia"/>
          <w:lang w:val="en-US" w:eastAsia="zh-CN"/>
        </w:rPr>
        <w:t>C</w:t>
      </w:r>
      <w:r w:rsidRPr="006718B7">
        <w:rPr>
          <w:lang w:val="en-US" w:eastAsia="zh-CN"/>
        </w:rPr>
        <w:t>C</w:t>
      </w:r>
      <w:r w:rsidRPr="006718B7">
        <w:rPr>
          <w:rFonts w:hint="eastAsia"/>
          <w:lang w:val="en-US" w:eastAsia="zh-CN"/>
        </w:rPr>
        <w:t>T</w:t>
      </w:r>
      <w:r w:rsidRPr="006718B7">
        <w:rPr>
          <w:rFonts w:hint="eastAsia"/>
          <w:lang w:val="en-US" w:eastAsia="zh-CN"/>
        </w:rPr>
        <w:t>）应包括</w:t>
      </w:r>
      <w:r w:rsidRPr="006718B7">
        <w:rPr>
          <w:lang w:val="en-US" w:eastAsia="zh-CN"/>
        </w:rPr>
        <w:t>按照</w:t>
      </w:r>
      <w:r w:rsidRPr="006718B7">
        <w:rPr>
          <w:rFonts w:hint="eastAsia"/>
          <w:lang w:val="en-US" w:eastAsia="zh-CN"/>
        </w:rPr>
        <w:t>ITU-R</w:t>
      </w:r>
      <w:r w:rsidRPr="006718B7">
        <w:rPr>
          <w:rFonts w:hint="eastAsia"/>
          <w:lang w:val="en-US" w:eastAsia="zh-CN"/>
        </w:rPr>
        <w:t>第</w:t>
      </w:r>
      <w:r w:rsidRPr="006718B7">
        <w:rPr>
          <w:rFonts w:hint="eastAsia"/>
          <w:lang w:val="en-US" w:eastAsia="zh-CN"/>
        </w:rPr>
        <w:t>34</w:t>
      </w:r>
      <w:r w:rsidRPr="006718B7">
        <w:rPr>
          <w:lang w:val="en-US" w:eastAsia="zh-CN"/>
        </w:rPr>
        <w:t>-4</w:t>
      </w:r>
      <w:r w:rsidRPr="006718B7">
        <w:rPr>
          <w:rFonts w:hint="eastAsia"/>
          <w:lang w:val="en-US" w:eastAsia="zh-CN"/>
        </w:rPr>
        <w:t>、</w:t>
      </w:r>
      <w:r w:rsidRPr="006718B7">
        <w:rPr>
          <w:rFonts w:hint="eastAsia"/>
          <w:lang w:val="en-US" w:eastAsia="zh-CN"/>
        </w:rPr>
        <w:t>35</w:t>
      </w:r>
      <w:r w:rsidRPr="006718B7">
        <w:rPr>
          <w:lang w:val="en-US" w:eastAsia="zh-CN"/>
        </w:rPr>
        <w:t>-4</w:t>
      </w:r>
      <w:r w:rsidRPr="006718B7">
        <w:rPr>
          <w:rFonts w:hint="eastAsia"/>
          <w:lang w:val="en-US" w:eastAsia="zh-CN"/>
        </w:rPr>
        <w:t>和</w:t>
      </w:r>
      <w:r w:rsidRPr="006718B7">
        <w:rPr>
          <w:rFonts w:hint="eastAsia"/>
          <w:lang w:val="en-US" w:eastAsia="zh-CN"/>
        </w:rPr>
        <w:t>36</w:t>
      </w:r>
      <w:r w:rsidRPr="006718B7">
        <w:rPr>
          <w:lang w:val="en-US" w:eastAsia="zh-CN"/>
        </w:rPr>
        <w:t>-4</w:t>
      </w:r>
      <w:r w:rsidRPr="006718B7">
        <w:rPr>
          <w:rFonts w:hint="eastAsia"/>
          <w:lang w:val="en-US" w:eastAsia="zh-CN"/>
        </w:rPr>
        <w:t>号决议</w:t>
      </w:r>
      <w:r w:rsidRPr="006718B7">
        <w:rPr>
          <w:lang w:val="en-US" w:eastAsia="zh-CN"/>
        </w:rPr>
        <w:t>运作的</w:t>
      </w:r>
      <w:r w:rsidRPr="006718B7">
        <w:rPr>
          <w:rFonts w:hint="eastAsia"/>
          <w:lang w:val="en-US" w:eastAsia="zh-CN"/>
        </w:rPr>
        <w:t>ITU-R</w:t>
      </w:r>
      <w:r w:rsidRPr="006718B7">
        <w:rPr>
          <w:lang w:val="en-US" w:eastAsia="zh-CN"/>
        </w:rPr>
        <w:t xml:space="preserve"> CCV</w:t>
      </w:r>
      <w:r w:rsidRPr="006718B7">
        <w:rPr>
          <w:rFonts w:hint="eastAsia"/>
          <w:lang w:val="en-US" w:eastAsia="zh-CN"/>
        </w:rPr>
        <w:t>、根据</w:t>
      </w:r>
      <w:r w:rsidRPr="006718B7">
        <w:rPr>
          <w:lang w:val="en-US" w:eastAsia="zh-CN"/>
        </w:rPr>
        <w:t>WTSA-16</w:t>
      </w:r>
      <w:r w:rsidRPr="006718B7">
        <w:rPr>
          <w:rFonts w:hint="eastAsia"/>
          <w:lang w:val="en-US" w:eastAsia="zh-CN"/>
        </w:rPr>
        <w:t>第</w:t>
      </w:r>
      <w:r w:rsidRPr="006718B7">
        <w:rPr>
          <w:rFonts w:hint="eastAsia"/>
          <w:lang w:val="en-US" w:eastAsia="zh-CN"/>
        </w:rPr>
        <w:t>67</w:t>
      </w:r>
      <w:r w:rsidRPr="006718B7">
        <w:rPr>
          <w:rFonts w:hint="eastAsia"/>
          <w:lang w:val="en-US" w:eastAsia="zh-CN"/>
        </w:rPr>
        <w:t>号决议</w:t>
      </w:r>
      <w:r w:rsidRPr="006718B7">
        <w:rPr>
          <w:lang w:val="en-US" w:eastAsia="zh-CN"/>
        </w:rPr>
        <w:t>运作的</w:t>
      </w:r>
      <w:r w:rsidRPr="006718B7">
        <w:rPr>
          <w:rFonts w:hint="eastAsia"/>
          <w:lang w:val="en-US" w:eastAsia="zh-CN"/>
        </w:rPr>
        <w:t>ITU-</w:t>
      </w:r>
      <w:r w:rsidRPr="006718B7">
        <w:rPr>
          <w:lang w:val="en-US" w:eastAsia="zh-CN"/>
        </w:rPr>
        <w:t>T SCV</w:t>
      </w:r>
      <w:r>
        <w:rPr>
          <w:rFonts w:hint="eastAsia"/>
          <w:lang w:val="en-US" w:eastAsia="zh-CN"/>
        </w:rPr>
        <w:t>以</w:t>
      </w:r>
      <w:r>
        <w:rPr>
          <w:lang w:val="en-US" w:eastAsia="zh-CN"/>
        </w:rPr>
        <w:t>及</w:t>
      </w:r>
      <w:r w:rsidRPr="006718B7">
        <w:rPr>
          <w:lang w:val="en-US" w:eastAsia="zh-CN"/>
        </w:rPr>
        <w:t>ITU-D</w:t>
      </w:r>
      <w:r w:rsidRPr="006718B7">
        <w:rPr>
          <w:lang w:val="en-US" w:eastAsia="zh-CN"/>
        </w:rPr>
        <w:t>的代表，</w:t>
      </w:r>
      <w:r w:rsidRPr="006718B7">
        <w:rPr>
          <w:rFonts w:hint="eastAsia"/>
          <w:lang w:val="en-US" w:eastAsia="zh-CN"/>
        </w:rPr>
        <w:t>并</w:t>
      </w:r>
      <w:r>
        <w:rPr>
          <w:rFonts w:hint="eastAsia"/>
          <w:lang w:val="en-US" w:eastAsia="zh-CN"/>
        </w:rPr>
        <w:t>且与秘书处开展</w:t>
      </w:r>
      <w:r w:rsidRPr="006718B7">
        <w:rPr>
          <w:rFonts w:hint="eastAsia"/>
          <w:lang w:val="en-US" w:eastAsia="zh-CN"/>
        </w:rPr>
        <w:t>密</w:t>
      </w:r>
      <w:r>
        <w:rPr>
          <w:rFonts w:hint="eastAsia"/>
          <w:lang w:val="en-US" w:eastAsia="zh-CN"/>
        </w:rPr>
        <w:t>切</w:t>
      </w:r>
      <w:r>
        <w:rPr>
          <w:lang w:val="en-US" w:eastAsia="zh-CN"/>
        </w:rPr>
        <w:t>协</w:t>
      </w:r>
      <w:r w:rsidRPr="006718B7">
        <w:rPr>
          <w:rFonts w:hint="eastAsia"/>
          <w:lang w:val="en-US" w:eastAsia="zh-CN"/>
        </w:rPr>
        <w:t>作</w:t>
      </w:r>
      <w:r w:rsidRPr="006718B7">
        <w:rPr>
          <w:lang w:val="en-US" w:eastAsia="zh-CN"/>
        </w:rPr>
        <w:t>；</w:t>
      </w:r>
    </w:p>
    <w:p w14:paraId="4827BBE3" w14:textId="77777777" w:rsidR="00D507C1" w:rsidRPr="006718B7" w:rsidRDefault="00D507C1" w:rsidP="00D507C1">
      <w:pPr>
        <w:snapToGrid w:val="0"/>
        <w:spacing w:after="120"/>
        <w:rPr>
          <w:lang w:eastAsia="zh-CN"/>
        </w:rPr>
      </w:pPr>
      <w:r w:rsidRPr="006718B7">
        <w:rPr>
          <w:lang w:val="ru-RU" w:eastAsia="zh-CN"/>
        </w:rPr>
        <w:t>2</w:t>
      </w:r>
      <w:r w:rsidRPr="006718B7">
        <w:rPr>
          <w:lang w:val="ru-RU" w:eastAsia="zh-CN"/>
        </w:rPr>
        <w:tab/>
      </w:r>
      <w:r w:rsidRPr="006718B7">
        <w:rPr>
          <w:rFonts w:hint="eastAsia"/>
          <w:lang w:val="en-US" w:eastAsia="zh-CN"/>
        </w:rPr>
        <w:t>ITU-R</w:t>
      </w:r>
      <w:r w:rsidRPr="006718B7">
        <w:rPr>
          <w:rFonts w:hint="eastAsia"/>
          <w:lang w:val="en-US" w:eastAsia="zh-CN"/>
        </w:rPr>
        <w:t>和</w:t>
      </w:r>
      <w:r w:rsidRPr="006718B7">
        <w:rPr>
          <w:rFonts w:hint="eastAsia"/>
          <w:lang w:val="en-US" w:eastAsia="zh-CN"/>
        </w:rPr>
        <w:t>ITU-T</w:t>
      </w:r>
      <w:r>
        <w:rPr>
          <w:rFonts w:hint="eastAsia"/>
          <w:lang w:val="en-US" w:eastAsia="zh-CN"/>
        </w:rPr>
        <w:t>各</w:t>
      </w:r>
      <w:r w:rsidRPr="006718B7">
        <w:rPr>
          <w:rFonts w:hint="eastAsia"/>
          <w:lang w:val="en-US" w:eastAsia="zh-CN"/>
        </w:rPr>
        <w:t>研究组应在其职</w:t>
      </w:r>
      <w:r>
        <w:rPr>
          <w:rFonts w:hint="eastAsia"/>
          <w:lang w:val="en-US" w:eastAsia="zh-CN"/>
        </w:rPr>
        <w:t>责</w:t>
      </w:r>
      <w:r w:rsidRPr="006718B7">
        <w:rPr>
          <w:rFonts w:hint="eastAsia"/>
          <w:lang w:val="en-US" w:eastAsia="zh-CN"/>
        </w:rPr>
        <w:t>范围内，继续仅以英文</w:t>
      </w:r>
      <w:r>
        <w:rPr>
          <w:rFonts w:hint="eastAsia"/>
          <w:lang w:val="en-US" w:eastAsia="zh-CN"/>
        </w:rPr>
        <w:t>开展</w:t>
      </w:r>
      <w:r w:rsidRPr="006718B7">
        <w:rPr>
          <w:rFonts w:hint="eastAsia"/>
          <w:lang w:val="en-US" w:eastAsia="zh-CN"/>
        </w:rPr>
        <w:t>技术和业务术语及其定义</w:t>
      </w:r>
      <w:r>
        <w:rPr>
          <w:rFonts w:hint="eastAsia"/>
          <w:lang w:val="en-US" w:eastAsia="zh-CN"/>
        </w:rPr>
        <w:t>的</w:t>
      </w:r>
      <w:r w:rsidRPr="006718B7">
        <w:rPr>
          <w:rFonts w:hint="eastAsia"/>
          <w:lang w:val="en-US" w:eastAsia="zh-CN"/>
        </w:rPr>
        <w:t>工作</w:t>
      </w:r>
      <w:r w:rsidRPr="006718B7">
        <w:rPr>
          <w:lang w:val="en-US" w:eastAsia="zh-CN"/>
        </w:rPr>
        <w:t>；</w:t>
      </w:r>
    </w:p>
    <w:p w14:paraId="4827BBE4" w14:textId="77777777" w:rsidR="00D507C1" w:rsidRPr="006718B7" w:rsidRDefault="00D507C1" w:rsidP="00D507C1">
      <w:pPr>
        <w:snapToGrid w:val="0"/>
        <w:spacing w:after="120"/>
        <w:rPr>
          <w:lang w:val="ru-RU" w:eastAsia="zh-CN"/>
        </w:rPr>
      </w:pPr>
      <w:r w:rsidRPr="006718B7">
        <w:rPr>
          <w:lang w:eastAsia="zh-CN"/>
        </w:rPr>
        <w:t>3</w:t>
      </w:r>
      <w:r w:rsidRPr="006718B7">
        <w:rPr>
          <w:lang w:val="ru-RU" w:eastAsia="zh-CN"/>
        </w:rPr>
        <w:tab/>
      </w:r>
      <w:r>
        <w:rPr>
          <w:rFonts w:hint="eastAsia"/>
          <w:lang w:eastAsia="zh-CN"/>
        </w:rPr>
        <w:t>国</w:t>
      </w:r>
      <w:r>
        <w:rPr>
          <w:lang w:eastAsia="zh-CN"/>
        </w:rPr>
        <w:t>际电联</w:t>
      </w:r>
      <w:r w:rsidRPr="006718B7">
        <w:rPr>
          <w:rFonts w:hint="eastAsia"/>
          <w:lang w:eastAsia="zh-CN"/>
        </w:rPr>
        <w:t>内部的词汇</w:t>
      </w:r>
      <w:r>
        <w:rPr>
          <w:rFonts w:hint="eastAsia"/>
          <w:lang w:eastAsia="zh-CN"/>
        </w:rPr>
        <w:t>标准</w:t>
      </w:r>
      <w:r>
        <w:rPr>
          <w:lang w:eastAsia="zh-CN"/>
        </w:rPr>
        <w:t>化</w:t>
      </w:r>
      <w:r w:rsidRPr="006718B7">
        <w:rPr>
          <w:rFonts w:hint="eastAsia"/>
          <w:lang w:eastAsia="zh-CN"/>
        </w:rPr>
        <w:t>工作将基于</w:t>
      </w:r>
      <w:r>
        <w:rPr>
          <w:rFonts w:hint="eastAsia"/>
          <w:lang w:eastAsia="zh-CN"/>
        </w:rPr>
        <w:t>各</w:t>
      </w:r>
      <w:r w:rsidRPr="006718B7">
        <w:rPr>
          <w:rFonts w:hint="eastAsia"/>
          <w:lang w:eastAsia="zh-CN"/>
        </w:rPr>
        <w:t>研究组用英文提交的</w:t>
      </w:r>
      <w:r>
        <w:rPr>
          <w:rFonts w:hint="eastAsia"/>
          <w:lang w:eastAsia="zh-CN"/>
        </w:rPr>
        <w:t>建议</w:t>
      </w:r>
      <w:r w:rsidRPr="006718B7">
        <w:rPr>
          <w:rFonts w:hint="eastAsia"/>
          <w:lang w:eastAsia="zh-CN"/>
        </w:rPr>
        <w:t>，之后根据国际</w:t>
      </w:r>
      <w:r w:rsidRPr="006718B7">
        <w:rPr>
          <w:lang w:eastAsia="zh-CN"/>
        </w:rPr>
        <w:t>电联</w:t>
      </w:r>
      <w:r w:rsidRPr="006718B7">
        <w:rPr>
          <w:rFonts w:hint="eastAsia"/>
          <w:lang w:eastAsia="zh-CN"/>
        </w:rPr>
        <w:t>总秘书处</w:t>
      </w:r>
      <w:r>
        <w:rPr>
          <w:rFonts w:hint="eastAsia"/>
          <w:lang w:eastAsia="zh-CN"/>
        </w:rPr>
        <w:t>提交</w:t>
      </w:r>
      <w:r w:rsidRPr="006718B7">
        <w:rPr>
          <w:rFonts w:hint="eastAsia"/>
          <w:lang w:eastAsia="zh-CN"/>
        </w:rPr>
        <w:t>的其它五种正式语文译文进行</w:t>
      </w:r>
      <w:r>
        <w:rPr>
          <w:rFonts w:hint="eastAsia"/>
          <w:lang w:eastAsia="zh-CN"/>
        </w:rPr>
        <w:t>讨论</w:t>
      </w:r>
      <w:r w:rsidRPr="006718B7">
        <w:rPr>
          <w:rFonts w:hint="eastAsia"/>
          <w:lang w:eastAsia="zh-CN"/>
        </w:rPr>
        <w:t>并予以通过，</w:t>
      </w:r>
      <w:r>
        <w:rPr>
          <w:rFonts w:hint="eastAsia"/>
          <w:lang w:eastAsia="zh-CN"/>
        </w:rPr>
        <w:t>这</w:t>
      </w:r>
      <w:r>
        <w:rPr>
          <w:lang w:eastAsia="zh-CN"/>
        </w:rPr>
        <w:t>将是</w:t>
      </w:r>
      <w:r>
        <w:rPr>
          <w:lang w:eastAsia="zh-CN"/>
        </w:rPr>
        <w:t xml:space="preserve">ITU </w:t>
      </w:r>
      <w:r w:rsidRPr="006718B7">
        <w:rPr>
          <w:lang w:eastAsia="zh-CN"/>
        </w:rPr>
        <w:t>CCT</w:t>
      </w:r>
      <w:r>
        <w:rPr>
          <w:rFonts w:hint="eastAsia"/>
          <w:lang w:eastAsia="zh-CN"/>
        </w:rPr>
        <w:t>的</w:t>
      </w:r>
      <w:r>
        <w:rPr>
          <w:lang w:eastAsia="zh-CN"/>
        </w:rPr>
        <w:t>责任，</w:t>
      </w:r>
      <w:r w:rsidRPr="006718B7">
        <w:rPr>
          <w:rFonts w:hint="eastAsia"/>
          <w:lang w:eastAsia="zh-CN"/>
        </w:rPr>
        <w:t>词汇协调委员会的组成人员包括</w:t>
      </w:r>
      <w:r>
        <w:rPr>
          <w:rFonts w:hint="eastAsia"/>
          <w:lang w:eastAsia="zh-CN"/>
        </w:rPr>
        <w:t>掌握各种正式语文的专家</w:t>
      </w:r>
      <w:r w:rsidRPr="006718B7">
        <w:rPr>
          <w:rFonts w:hint="eastAsia"/>
          <w:lang w:eastAsia="zh-CN"/>
        </w:rPr>
        <w:t>相关主管部门指定的</w:t>
      </w:r>
      <w:r>
        <w:rPr>
          <w:rFonts w:hint="eastAsia"/>
          <w:lang w:eastAsia="zh-CN"/>
        </w:rPr>
        <w:t>人</w:t>
      </w:r>
      <w:r w:rsidRPr="006718B7">
        <w:rPr>
          <w:rFonts w:hint="eastAsia"/>
          <w:lang w:eastAsia="zh-CN"/>
        </w:rPr>
        <w:t>员以及</w:t>
      </w:r>
      <w:r>
        <w:rPr>
          <w:rFonts w:hint="eastAsia"/>
          <w:lang w:eastAsia="zh-CN"/>
        </w:rPr>
        <w:t>参与</w:t>
      </w:r>
      <w:r>
        <w:rPr>
          <w:lang w:eastAsia="zh-CN"/>
        </w:rPr>
        <w:t>国际电联</w:t>
      </w:r>
      <w:r w:rsidRPr="006718B7">
        <w:rPr>
          <w:rFonts w:hint="eastAsia"/>
          <w:lang w:eastAsia="zh-CN"/>
        </w:rPr>
        <w:t>工作的其他</w:t>
      </w:r>
      <w:r>
        <w:rPr>
          <w:rFonts w:hint="eastAsia"/>
          <w:lang w:eastAsia="zh-CN"/>
        </w:rPr>
        <w:t>各</w:t>
      </w:r>
      <w:r>
        <w:rPr>
          <w:lang w:eastAsia="zh-CN"/>
        </w:rPr>
        <w:t>方，委员会与国际电联总秘书处（大会和出版部）以及各局的编辑密切协</w:t>
      </w:r>
      <w:r>
        <w:rPr>
          <w:rFonts w:hint="eastAsia"/>
          <w:lang w:eastAsia="zh-CN"/>
        </w:rPr>
        <w:t>作</w:t>
      </w:r>
      <w:r w:rsidRPr="006718B7">
        <w:rPr>
          <w:rFonts w:hint="eastAsia"/>
          <w:lang w:eastAsia="zh-CN"/>
        </w:rPr>
        <w:t>；</w:t>
      </w:r>
    </w:p>
    <w:p w14:paraId="4827BBE5" w14:textId="77777777" w:rsidR="00D507C1" w:rsidRPr="006718B7" w:rsidRDefault="00D507C1" w:rsidP="00D507C1">
      <w:pPr>
        <w:rPr>
          <w:lang w:val="ru-RU" w:eastAsia="zh-CN"/>
        </w:rPr>
      </w:pPr>
      <w:r w:rsidRPr="006718B7">
        <w:rPr>
          <w:lang w:val="ru-RU" w:eastAsia="zh-CN"/>
        </w:rPr>
        <w:t>4</w:t>
      </w:r>
      <w:r w:rsidRPr="006718B7">
        <w:rPr>
          <w:lang w:val="ru-RU" w:eastAsia="zh-CN"/>
        </w:rPr>
        <w:tab/>
      </w:r>
      <w:r w:rsidRPr="006718B7">
        <w:rPr>
          <w:rFonts w:hint="eastAsia"/>
          <w:lang w:val="en-US" w:eastAsia="zh-CN"/>
        </w:rPr>
        <w:t>如</w:t>
      </w:r>
      <w:r>
        <w:rPr>
          <w:rFonts w:hint="eastAsia"/>
          <w:lang w:val="en-US" w:eastAsia="zh-CN"/>
        </w:rPr>
        <w:t>果多个国际电联研究组在定义同一</w:t>
      </w:r>
      <w:r w:rsidRPr="006718B7">
        <w:rPr>
          <w:rFonts w:hint="eastAsia"/>
          <w:lang w:val="en-US" w:eastAsia="zh-CN"/>
        </w:rPr>
        <w:t>术语和</w:t>
      </w:r>
      <w:r w:rsidRPr="006718B7">
        <w:rPr>
          <w:rFonts w:hint="eastAsia"/>
          <w:lang w:val="ru-RU" w:eastAsia="zh-CN"/>
        </w:rPr>
        <w:t>/</w:t>
      </w:r>
      <w:r w:rsidRPr="006718B7">
        <w:rPr>
          <w:rFonts w:hint="eastAsia"/>
          <w:lang w:val="en-US" w:eastAsia="zh-CN"/>
        </w:rPr>
        <w:t>或概念</w:t>
      </w:r>
      <w:r w:rsidRPr="006718B7">
        <w:rPr>
          <w:rFonts w:hint="eastAsia"/>
          <w:lang w:val="ru-RU" w:eastAsia="zh-CN"/>
        </w:rPr>
        <w:t>，</w:t>
      </w:r>
      <w:r>
        <w:rPr>
          <w:rFonts w:hint="eastAsia"/>
          <w:lang w:val="ru-RU" w:eastAsia="zh-CN"/>
        </w:rPr>
        <w:t>则</w:t>
      </w:r>
      <w:r w:rsidRPr="006718B7">
        <w:rPr>
          <w:rFonts w:hint="eastAsia"/>
          <w:lang w:val="en-US" w:eastAsia="zh-CN"/>
        </w:rPr>
        <w:t>应努力选择一个可为所有相关研究组接受的</w:t>
      </w:r>
      <w:r>
        <w:rPr>
          <w:rFonts w:hint="eastAsia"/>
          <w:lang w:val="en-US" w:eastAsia="zh-CN"/>
        </w:rPr>
        <w:t>单</w:t>
      </w:r>
      <w:r w:rsidRPr="006718B7">
        <w:rPr>
          <w:rFonts w:hint="eastAsia"/>
          <w:lang w:val="en-US" w:eastAsia="zh-CN"/>
        </w:rPr>
        <w:t>一术语和定义</w:t>
      </w:r>
      <w:r w:rsidRPr="006718B7">
        <w:rPr>
          <w:rFonts w:hint="eastAsia"/>
          <w:lang w:val="ru-RU" w:eastAsia="zh-CN"/>
        </w:rPr>
        <w:t>；</w:t>
      </w:r>
    </w:p>
    <w:p w14:paraId="4827BBE6" w14:textId="77777777" w:rsidR="00D507C1" w:rsidRPr="006718B7" w:rsidRDefault="00D507C1" w:rsidP="00D507C1">
      <w:pPr>
        <w:snapToGrid w:val="0"/>
        <w:spacing w:after="120"/>
        <w:rPr>
          <w:lang w:val="ru-RU" w:eastAsia="zh-CN"/>
        </w:rPr>
      </w:pPr>
      <w:r w:rsidRPr="006718B7">
        <w:rPr>
          <w:lang w:val="ru-RU" w:eastAsia="zh-CN"/>
        </w:rPr>
        <w:t>5</w:t>
      </w:r>
      <w:r w:rsidRPr="006718B7">
        <w:rPr>
          <w:lang w:val="ru-RU" w:eastAsia="zh-CN"/>
        </w:rPr>
        <w:tab/>
      </w:r>
      <w:r w:rsidRPr="006718B7">
        <w:rPr>
          <w:rFonts w:hint="eastAsia"/>
          <w:lang w:val="en-US" w:eastAsia="zh-CN"/>
        </w:rPr>
        <w:t>在选择术语和</w:t>
      </w:r>
      <w:r>
        <w:rPr>
          <w:rFonts w:hint="eastAsia"/>
          <w:lang w:val="en-US" w:eastAsia="zh-CN"/>
        </w:rPr>
        <w:t>起草</w:t>
      </w:r>
      <w:r w:rsidRPr="006718B7">
        <w:rPr>
          <w:rFonts w:hint="eastAsia"/>
          <w:lang w:val="en-US" w:eastAsia="zh-CN"/>
        </w:rPr>
        <w:t>定义时</w:t>
      </w:r>
      <w:r w:rsidRPr="006718B7">
        <w:rPr>
          <w:rFonts w:hint="eastAsia"/>
          <w:lang w:val="ru-RU" w:eastAsia="zh-CN"/>
        </w:rPr>
        <w:t>，</w:t>
      </w:r>
      <w:r w:rsidRPr="006718B7">
        <w:rPr>
          <w:rFonts w:hint="eastAsia"/>
          <w:lang w:val="en-US" w:eastAsia="zh-CN"/>
        </w:rPr>
        <w:t>研究组</w:t>
      </w:r>
      <w:r>
        <w:rPr>
          <w:rFonts w:hint="eastAsia"/>
          <w:lang w:val="en-US" w:eastAsia="zh-CN"/>
        </w:rPr>
        <w:t>须</w:t>
      </w:r>
      <w:r>
        <w:rPr>
          <w:lang w:val="en-US" w:eastAsia="zh-CN"/>
        </w:rPr>
        <w:t>顾及</w:t>
      </w:r>
      <w:r w:rsidRPr="006718B7">
        <w:rPr>
          <w:rFonts w:hint="eastAsia"/>
          <w:lang w:val="en-US" w:eastAsia="zh-CN"/>
        </w:rPr>
        <w:t>在国际电联</w:t>
      </w:r>
      <w:r>
        <w:rPr>
          <w:rFonts w:hint="eastAsia"/>
          <w:lang w:val="en-US" w:eastAsia="zh-CN"/>
        </w:rPr>
        <w:t>已经</w:t>
      </w:r>
      <w:r w:rsidRPr="006718B7">
        <w:rPr>
          <w:rFonts w:hint="eastAsia"/>
          <w:lang w:val="en-US" w:eastAsia="zh-CN"/>
        </w:rPr>
        <w:t>约定俗成使用</w:t>
      </w:r>
      <w:r>
        <w:rPr>
          <w:rFonts w:hint="eastAsia"/>
          <w:lang w:val="en-US" w:eastAsia="zh-CN"/>
        </w:rPr>
        <w:t>的</w:t>
      </w:r>
      <w:r w:rsidRPr="006718B7">
        <w:rPr>
          <w:rFonts w:hint="eastAsia"/>
          <w:lang w:val="en-US" w:eastAsia="zh-CN"/>
        </w:rPr>
        <w:t>术语和现有定义</w:t>
      </w:r>
      <w:r w:rsidRPr="006718B7">
        <w:rPr>
          <w:rFonts w:hint="eastAsia"/>
          <w:lang w:val="ru-RU" w:eastAsia="zh-CN"/>
        </w:rPr>
        <w:t>，</w:t>
      </w:r>
      <w:r w:rsidRPr="006718B7">
        <w:rPr>
          <w:rFonts w:hint="eastAsia"/>
          <w:lang w:val="en-US" w:eastAsia="zh-CN"/>
        </w:rPr>
        <w:t>特别是</w:t>
      </w:r>
      <w:r>
        <w:rPr>
          <w:rFonts w:hint="eastAsia"/>
          <w:lang w:val="en-US" w:eastAsia="zh-CN"/>
        </w:rPr>
        <w:t>已被</w:t>
      </w:r>
      <w:r w:rsidRPr="006718B7">
        <w:rPr>
          <w:rFonts w:hint="eastAsia"/>
          <w:lang w:val="en-US" w:eastAsia="zh-CN"/>
        </w:rPr>
        <w:t>国际电联在线术语和定义数据库收录的术语和定义</w:t>
      </w:r>
      <w:r w:rsidRPr="006718B7">
        <w:rPr>
          <w:rFonts w:hint="eastAsia"/>
          <w:lang w:val="ru-RU" w:eastAsia="zh-CN"/>
        </w:rPr>
        <w:t>；</w:t>
      </w:r>
    </w:p>
    <w:p w14:paraId="4827BBE7" w14:textId="77777777" w:rsidR="00D507C1" w:rsidRPr="006718B7" w:rsidRDefault="00D507C1" w:rsidP="00D507C1">
      <w:pPr>
        <w:rPr>
          <w:lang w:eastAsia="zh-CN"/>
        </w:rPr>
      </w:pPr>
      <w:r w:rsidRPr="006718B7">
        <w:rPr>
          <w:bCs/>
          <w:lang w:eastAsia="zh-CN"/>
        </w:rPr>
        <w:t>6</w:t>
      </w:r>
      <w:r w:rsidRPr="006718B7">
        <w:rPr>
          <w:lang w:eastAsia="zh-CN"/>
        </w:rPr>
        <w:tab/>
      </w:r>
      <w:r w:rsidRPr="006718B7">
        <w:rPr>
          <w:rFonts w:hint="eastAsia"/>
          <w:lang w:eastAsia="zh-CN"/>
        </w:rPr>
        <w:t xml:space="preserve">ITU-R </w:t>
      </w:r>
      <w:r w:rsidRPr="006718B7">
        <w:rPr>
          <w:lang w:eastAsia="zh-CN"/>
        </w:rPr>
        <w:t>CCV</w:t>
      </w:r>
      <w:r w:rsidRPr="006718B7">
        <w:rPr>
          <w:rFonts w:hint="eastAsia"/>
          <w:lang w:eastAsia="zh-CN"/>
        </w:rPr>
        <w:t>将继续审议并在必要时修订现有的</w:t>
      </w:r>
      <w:r w:rsidRPr="006718B7">
        <w:rPr>
          <w:lang w:eastAsia="zh-CN"/>
        </w:rPr>
        <w:t>V</w:t>
      </w:r>
      <w:r w:rsidRPr="006718B7">
        <w:rPr>
          <w:rFonts w:hint="eastAsia"/>
          <w:lang w:eastAsia="zh-CN"/>
        </w:rPr>
        <w:t>系列建议书</w:t>
      </w:r>
      <w:r>
        <w:rPr>
          <w:rFonts w:hint="eastAsia"/>
          <w:lang w:eastAsia="zh-CN"/>
        </w:rPr>
        <w:t>；</w:t>
      </w:r>
      <w:r w:rsidRPr="006718B7">
        <w:rPr>
          <w:rFonts w:hint="eastAsia"/>
          <w:lang w:eastAsia="zh-CN"/>
        </w:rPr>
        <w:t>新的和经修订的建议书应由</w:t>
      </w:r>
      <w:r w:rsidRPr="006718B7">
        <w:rPr>
          <w:rFonts w:hint="eastAsia"/>
          <w:lang w:eastAsia="zh-CN"/>
        </w:rPr>
        <w:t xml:space="preserve">ITU-R </w:t>
      </w:r>
      <w:r w:rsidRPr="006718B7">
        <w:rPr>
          <w:lang w:eastAsia="zh-CN"/>
        </w:rPr>
        <w:t>CCV</w:t>
      </w:r>
      <w:r w:rsidRPr="006718B7">
        <w:rPr>
          <w:rFonts w:hint="eastAsia"/>
          <w:lang w:eastAsia="zh-CN"/>
        </w:rPr>
        <w:t>通过，并根据</w:t>
      </w:r>
      <w:r w:rsidRPr="006718B7">
        <w:rPr>
          <w:lang w:eastAsia="zh-CN"/>
        </w:rPr>
        <w:t>ITU-R</w:t>
      </w:r>
      <w:r w:rsidRPr="006718B7">
        <w:rPr>
          <w:rFonts w:hint="eastAsia"/>
          <w:lang w:eastAsia="zh-CN"/>
        </w:rPr>
        <w:t>第</w:t>
      </w:r>
      <w:r w:rsidRPr="006718B7">
        <w:rPr>
          <w:lang w:eastAsia="zh-CN"/>
        </w:rPr>
        <w:t>1</w:t>
      </w:r>
      <w:r w:rsidRPr="006718B7">
        <w:rPr>
          <w:rFonts w:hint="eastAsia"/>
          <w:lang w:eastAsia="zh-CN"/>
        </w:rPr>
        <w:t>号决议的规定</w:t>
      </w:r>
      <w:r>
        <w:rPr>
          <w:rFonts w:hint="eastAsia"/>
          <w:lang w:eastAsia="zh-CN"/>
        </w:rPr>
        <w:t>通过</w:t>
      </w:r>
      <w:r>
        <w:rPr>
          <w:lang w:eastAsia="zh-CN"/>
        </w:rPr>
        <w:t>无线电通信局主任</w:t>
      </w:r>
      <w:r w:rsidRPr="006718B7">
        <w:rPr>
          <w:rFonts w:hint="eastAsia"/>
          <w:lang w:eastAsia="zh-CN"/>
        </w:rPr>
        <w:t>提交批准；</w:t>
      </w:r>
    </w:p>
    <w:p w14:paraId="4827BBE8" w14:textId="77777777" w:rsidR="00D507C1" w:rsidRPr="006718B7" w:rsidRDefault="00D507C1" w:rsidP="00D507C1">
      <w:pPr>
        <w:rPr>
          <w:lang w:val="ru-RU" w:eastAsia="zh-CN"/>
        </w:rPr>
      </w:pPr>
      <w:r w:rsidRPr="006718B7">
        <w:rPr>
          <w:lang w:val="ru-RU" w:eastAsia="zh-CN"/>
        </w:rPr>
        <w:t>7</w:t>
      </w:r>
      <w:r w:rsidRPr="006718B7">
        <w:rPr>
          <w:lang w:val="ru-RU" w:eastAsia="zh-CN"/>
        </w:rPr>
        <w:tab/>
      </w:r>
      <w:r w:rsidRPr="006718B7">
        <w:rPr>
          <w:rFonts w:hint="eastAsia"/>
          <w:lang w:val="en-US" w:eastAsia="zh-CN"/>
        </w:rPr>
        <w:t>相关</w:t>
      </w:r>
      <w:r>
        <w:rPr>
          <w:rFonts w:hint="eastAsia"/>
          <w:lang w:val="en-US" w:eastAsia="zh-CN"/>
        </w:rPr>
        <w:t>各</w:t>
      </w:r>
      <w:r w:rsidRPr="006718B7">
        <w:rPr>
          <w:rFonts w:hint="eastAsia"/>
          <w:lang w:val="en-US" w:eastAsia="zh-CN"/>
        </w:rPr>
        <w:t>局应与国际电联</w:t>
      </w:r>
      <w:r w:rsidRPr="006718B7">
        <w:rPr>
          <w:rFonts w:hint="eastAsia"/>
          <w:lang w:val="en-US" w:eastAsia="zh-CN"/>
        </w:rPr>
        <w:t>CC</w:t>
      </w:r>
      <w:r w:rsidRPr="006718B7">
        <w:rPr>
          <w:lang w:val="en-US" w:eastAsia="zh-CN"/>
        </w:rPr>
        <w:t>T</w:t>
      </w:r>
      <w:r w:rsidRPr="006718B7">
        <w:rPr>
          <w:rFonts w:hint="eastAsia"/>
          <w:lang w:val="en-US" w:eastAsia="zh-CN"/>
        </w:rPr>
        <w:t>协商</w:t>
      </w:r>
      <w:r>
        <w:rPr>
          <w:rFonts w:hint="eastAsia"/>
          <w:lang w:val="en-US" w:eastAsia="zh-CN"/>
        </w:rPr>
        <w:t>，</w:t>
      </w:r>
      <w:r w:rsidRPr="006718B7">
        <w:rPr>
          <w:rFonts w:hint="eastAsia"/>
          <w:lang w:val="en-US" w:eastAsia="zh-CN"/>
        </w:rPr>
        <w:t>收集国际电联</w:t>
      </w:r>
      <w:r>
        <w:rPr>
          <w:rFonts w:hint="eastAsia"/>
          <w:lang w:val="en-US" w:eastAsia="zh-CN"/>
        </w:rPr>
        <w:t>各</w:t>
      </w:r>
      <w:r w:rsidRPr="006718B7">
        <w:rPr>
          <w:rFonts w:hint="eastAsia"/>
          <w:lang w:val="en-US" w:eastAsia="zh-CN"/>
        </w:rPr>
        <w:t>研究组提出的所有新术语和定义</w:t>
      </w:r>
      <w:r w:rsidRPr="006718B7">
        <w:rPr>
          <w:rFonts w:hint="eastAsia"/>
          <w:lang w:val="ru-RU" w:eastAsia="zh-CN"/>
        </w:rPr>
        <w:t>，</w:t>
      </w:r>
      <w:r w:rsidRPr="006718B7">
        <w:rPr>
          <w:rFonts w:hint="eastAsia"/>
          <w:lang w:val="en-US" w:eastAsia="zh-CN"/>
        </w:rPr>
        <w:t>并将</w:t>
      </w:r>
      <w:r>
        <w:rPr>
          <w:rFonts w:hint="eastAsia"/>
          <w:lang w:val="en-US" w:eastAsia="zh-CN"/>
        </w:rPr>
        <w:t>其</w:t>
      </w:r>
      <w:r w:rsidRPr="006718B7">
        <w:rPr>
          <w:rFonts w:hint="eastAsia"/>
          <w:lang w:val="en-US" w:eastAsia="zh-CN"/>
        </w:rPr>
        <w:t>录入在线国际电联术语和定义数据</w:t>
      </w:r>
      <w:r>
        <w:rPr>
          <w:rFonts w:hint="eastAsia"/>
          <w:lang w:val="en-US" w:eastAsia="zh-CN"/>
        </w:rPr>
        <w:t>库</w:t>
      </w:r>
      <w:r w:rsidRPr="006718B7">
        <w:rPr>
          <w:rFonts w:hint="eastAsia"/>
          <w:lang w:val="en-US" w:eastAsia="zh-CN"/>
        </w:rPr>
        <w:t>；</w:t>
      </w:r>
    </w:p>
    <w:p w14:paraId="4827BBE9" w14:textId="77777777" w:rsidR="00D507C1" w:rsidRPr="006718B7" w:rsidRDefault="00D507C1" w:rsidP="00D507C1">
      <w:pPr>
        <w:snapToGrid w:val="0"/>
        <w:spacing w:after="120"/>
        <w:rPr>
          <w:lang w:val="ru-RU" w:eastAsia="zh-CN"/>
        </w:rPr>
      </w:pPr>
      <w:r w:rsidRPr="006718B7">
        <w:rPr>
          <w:lang w:val="ru-RU" w:eastAsia="zh-CN"/>
        </w:rPr>
        <w:t>8</w:t>
      </w:r>
      <w:r w:rsidRPr="006718B7">
        <w:rPr>
          <w:lang w:val="ru-RU" w:eastAsia="zh-CN"/>
        </w:rPr>
        <w:tab/>
      </w:r>
      <w:r>
        <w:rPr>
          <w:rFonts w:hint="eastAsia"/>
          <w:lang w:val="ru-RU" w:eastAsia="zh-CN"/>
        </w:rPr>
        <w:t>ITU</w:t>
      </w:r>
      <w:r>
        <w:rPr>
          <w:lang w:val="ru-RU" w:eastAsia="zh-CN"/>
        </w:rPr>
        <w:t xml:space="preserve"> </w:t>
      </w:r>
      <w:r w:rsidRPr="006718B7">
        <w:rPr>
          <w:rFonts w:hint="eastAsia"/>
          <w:lang w:val="en-US" w:eastAsia="zh-CN"/>
        </w:rPr>
        <w:t>CC</w:t>
      </w:r>
      <w:r w:rsidRPr="006718B7">
        <w:rPr>
          <w:lang w:val="en-US" w:eastAsia="zh-CN"/>
        </w:rPr>
        <w:t>T</w:t>
      </w:r>
      <w:r w:rsidRPr="006718B7">
        <w:rPr>
          <w:rFonts w:hint="eastAsia"/>
          <w:lang w:val="en-US" w:eastAsia="zh-CN"/>
        </w:rPr>
        <w:t>应</w:t>
      </w:r>
      <w:r w:rsidRPr="006718B7">
        <w:rPr>
          <w:lang w:val="ru-RU" w:eastAsia="zh-CN"/>
        </w:rPr>
        <w:t>与</w:t>
      </w:r>
      <w:r w:rsidRPr="006718B7">
        <w:rPr>
          <w:lang w:val="en-US" w:eastAsia="zh-CN"/>
        </w:rPr>
        <w:t>CWG</w:t>
      </w:r>
      <w:r w:rsidRPr="006718B7">
        <w:rPr>
          <w:lang w:val="ru-RU" w:eastAsia="zh-CN"/>
        </w:rPr>
        <w:t>-</w:t>
      </w:r>
      <w:r w:rsidRPr="006718B7">
        <w:rPr>
          <w:lang w:val="en-US" w:eastAsia="zh-CN"/>
        </w:rPr>
        <w:t>LANG</w:t>
      </w:r>
      <w:r w:rsidRPr="006718B7">
        <w:rPr>
          <w:lang w:val="en-US" w:eastAsia="zh-CN"/>
        </w:rPr>
        <w:t>紧密</w:t>
      </w:r>
      <w:r>
        <w:rPr>
          <w:rFonts w:hint="eastAsia"/>
          <w:lang w:val="en-US" w:eastAsia="zh-CN"/>
        </w:rPr>
        <w:t>协</w:t>
      </w:r>
      <w:r w:rsidRPr="006718B7">
        <w:rPr>
          <w:lang w:val="en-US" w:eastAsia="zh-CN"/>
        </w:rPr>
        <w:t>作</w:t>
      </w:r>
      <w:r w:rsidRPr="006718B7">
        <w:rPr>
          <w:lang w:val="ru-RU" w:eastAsia="zh-CN"/>
        </w:rPr>
        <w:t>；</w:t>
      </w:r>
    </w:p>
    <w:p w14:paraId="4827BBEA" w14:textId="77777777" w:rsidR="00D507C1" w:rsidRPr="006718B7" w:rsidRDefault="00D507C1" w:rsidP="00D507C1">
      <w:pPr>
        <w:rPr>
          <w:lang w:val="ru-RU" w:eastAsia="zh-CN"/>
        </w:rPr>
      </w:pPr>
      <w:r w:rsidRPr="006718B7">
        <w:rPr>
          <w:lang w:val="ru-RU" w:eastAsia="zh-CN"/>
        </w:rPr>
        <w:t>9</w:t>
      </w:r>
      <w:r w:rsidRPr="006718B7">
        <w:rPr>
          <w:lang w:val="ru-RU" w:eastAsia="zh-CN"/>
        </w:rPr>
        <w:tab/>
      </w:r>
      <w:r w:rsidRPr="006718B7">
        <w:rPr>
          <w:rFonts w:hint="eastAsia"/>
          <w:lang w:eastAsia="zh-CN"/>
        </w:rPr>
        <w:t>无线电通信全会和世界电信标准化全会应</w:t>
      </w:r>
      <w:r>
        <w:rPr>
          <w:rFonts w:hint="eastAsia"/>
          <w:lang w:eastAsia="zh-CN"/>
        </w:rPr>
        <w:t>任命</w:t>
      </w:r>
      <w:r w:rsidRPr="006718B7">
        <w:rPr>
          <w:rFonts w:hint="eastAsia"/>
          <w:lang w:eastAsia="zh-CN"/>
        </w:rPr>
        <w:t>一位主席和各代表一种正式语文的六位副主席</w:t>
      </w:r>
      <w:r w:rsidRPr="006718B7">
        <w:rPr>
          <w:rFonts w:hint="eastAsia"/>
          <w:lang w:val="ru-RU" w:eastAsia="zh-CN"/>
        </w:rPr>
        <w:t>；</w:t>
      </w:r>
      <w:r w:rsidRPr="006718B7">
        <w:rPr>
          <w:rFonts w:hint="eastAsia"/>
          <w:lang w:eastAsia="zh-CN"/>
        </w:rPr>
        <w:t>如果两个部门</w:t>
      </w:r>
      <w:r>
        <w:rPr>
          <w:rFonts w:hint="eastAsia"/>
          <w:lang w:eastAsia="zh-CN"/>
        </w:rPr>
        <w:t>任命</w:t>
      </w:r>
      <w:r w:rsidRPr="006718B7">
        <w:rPr>
          <w:rFonts w:hint="eastAsia"/>
          <w:lang w:eastAsia="zh-CN"/>
        </w:rPr>
        <w:t>了两位主席</w:t>
      </w:r>
      <w:r w:rsidRPr="006718B7">
        <w:rPr>
          <w:rFonts w:hint="eastAsia"/>
          <w:lang w:val="ru-RU" w:eastAsia="zh-CN"/>
        </w:rPr>
        <w:t>，</w:t>
      </w:r>
      <w:r w:rsidRPr="006718B7">
        <w:rPr>
          <w:rFonts w:hint="eastAsia"/>
          <w:lang w:eastAsia="zh-CN"/>
        </w:rPr>
        <w:t>他们将担任</w:t>
      </w:r>
      <w:r>
        <w:rPr>
          <w:rFonts w:hint="eastAsia"/>
          <w:lang w:val="ru-RU" w:eastAsia="zh-CN"/>
        </w:rPr>
        <w:t>ITU</w:t>
      </w:r>
      <w:r>
        <w:rPr>
          <w:lang w:val="ru-RU" w:eastAsia="zh-CN"/>
        </w:rPr>
        <w:t xml:space="preserve"> </w:t>
      </w:r>
      <w:r w:rsidRPr="006718B7">
        <w:rPr>
          <w:rFonts w:hint="eastAsia"/>
          <w:lang w:val="en-US" w:eastAsia="zh-CN"/>
        </w:rPr>
        <w:t>CC</w:t>
      </w:r>
      <w:r w:rsidRPr="006718B7">
        <w:rPr>
          <w:lang w:val="en-US" w:eastAsia="zh-CN"/>
        </w:rPr>
        <w:t>T</w:t>
      </w:r>
      <w:r w:rsidRPr="006718B7">
        <w:rPr>
          <w:rFonts w:hint="eastAsia"/>
          <w:lang w:eastAsia="zh-CN"/>
        </w:rPr>
        <w:t>的共同主席</w:t>
      </w:r>
      <w:r w:rsidRPr="006718B7">
        <w:rPr>
          <w:rFonts w:hint="eastAsia"/>
          <w:lang w:val="ru-RU" w:eastAsia="zh-CN"/>
        </w:rPr>
        <w:t>；</w:t>
      </w:r>
    </w:p>
    <w:p w14:paraId="4827BBEB" w14:textId="77777777" w:rsidR="00D507C1" w:rsidRPr="006718B7" w:rsidRDefault="00D507C1" w:rsidP="00D507C1">
      <w:pPr>
        <w:rPr>
          <w:lang w:val="ru-RU" w:eastAsia="zh-CN"/>
        </w:rPr>
      </w:pPr>
      <w:r w:rsidRPr="006718B7">
        <w:rPr>
          <w:lang w:val="ru-RU" w:eastAsia="zh-CN"/>
        </w:rPr>
        <w:t>10</w:t>
      </w:r>
      <w:r w:rsidRPr="006718B7">
        <w:rPr>
          <w:lang w:val="ru-RU" w:eastAsia="zh-CN"/>
        </w:rPr>
        <w:tab/>
      </w:r>
      <w:r w:rsidRPr="006718B7">
        <w:rPr>
          <w:rFonts w:hint="eastAsia"/>
          <w:lang w:val="en-US" w:eastAsia="zh-CN"/>
        </w:rPr>
        <w:t>世界电信发展大会应任命两位副主席</w:t>
      </w:r>
      <w:r w:rsidRPr="006718B7">
        <w:rPr>
          <w:rFonts w:hint="eastAsia"/>
          <w:lang w:val="ru-RU" w:eastAsia="zh-CN"/>
        </w:rPr>
        <w:t>，</w:t>
      </w:r>
      <w:r w:rsidRPr="006718B7">
        <w:rPr>
          <w:lang w:val="en-US" w:eastAsia="zh-CN"/>
        </w:rPr>
        <w:t>作为</w:t>
      </w:r>
      <w:r w:rsidRPr="006718B7">
        <w:rPr>
          <w:lang w:val="en-US" w:eastAsia="zh-CN"/>
        </w:rPr>
        <w:t>ITU</w:t>
      </w:r>
      <w:r w:rsidRPr="006718B7">
        <w:rPr>
          <w:lang w:val="ru-RU" w:eastAsia="zh-CN"/>
        </w:rPr>
        <w:t>-</w:t>
      </w:r>
      <w:r w:rsidRPr="006718B7">
        <w:rPr>
          <w:lang w:val="en-US" w:eastAsia="zh-CN"/>
        </w:rPr>
        <w:t>D</w:t>
      </w:r>
      <w:r w:rsidRPr="006718B7">
        <w:rPr>
          <w:rFonts w:hint="eastAsia"/>
          <w:lang w:val="en-US" w:eastAsia="zh-CN"/>
        </w:rPr>
        <w:t>在</w:t>
      </w:r>
      <w:r>
        <w:rPr>
          <w:rFonts w:hint="eastAsia"/>
          <w:lang w:val="en-US" w:eastAsia="zh-CN"/>
        </w:rPr>
        <w:t>ITU</w:t>
      </w:r>
      <w:r>
        <w:rPr>
          <w:lang w:val="en-US" w:eastAsia="zh-CN"/>
        </w:rPr>
        <w:t xml:space="preserve"> </w:t>
      </w:r>
      <w:r w:rsidRPr="006718B7">
        <w:rPr>
          <w:lang w:val="en-US" w:eastAsia="zh-CN"/>
        </w:rPr>
        <w:t>CCT</w:t>
      </w:r>
      <w:r w:rsidRPr="006718B7">
        <w:rPr>
          <w:rFonts w:hint="eastAsia"/>
          <w:lang w:val="en-US" w:eastAsia="zh-CN"/>
        </w:rPr>
        <w:t>的代表</w:t>
      </w:r>
      <w:r w:rsidRPr="006718B7">
        <w:rPr>
          <w:rFonts w:hint="eastAsia"/>
          <w:lang w:val="ru-RU" w:eastAsia="zh-CN"/>
        </w:rPr>
        <w:t>，</w:t>
      </w:r>
    </w:p>
    <w:p w14:paraId="4827BBEC" w14:textId="77777777" w:rsidR="00D507C1" w:rsidRPr="006718B7" w:rsidRDefault="00D507C1" w:rsidP="00D507C1">
      <w:pPr>
        <w:keepNext/>
        <w:keepLines/>
        <w:spacing w:before="160"/>
        <w:ind w:left="794"/>
        <w:rPr>
          <w:rFonts w:eastAsia="STKaiti"/>
          <w:lang w:eastAsia="zh-CN"/>
        </w:rPr>
      </w:pPr>
      <w:r w:rsidRPr="006718B7">
        <w:rPr>
          <w:rFonts w:eastAsia="STKaiti" w:hint="eastAsia"/>
          <w:lang w:eastAsia="zh-CN"/>
        </w:rPr>
        <w:t>责成秘书长与各局主任密切合作，</w:t>
      </w:r>
      <w:r>
        <w:rPr>
          <w:rFonts w:eastAsia="STKaiti" w:hint="eastAsia"/>
          <w:lang w:eastAsia="zh-CN"/>
        </w:rPr>
        <w:t>并且</w:t>
      </w:r>
      <w:r w:rsidRPr="006718B7">
        <w:rPr>
          <w:rFonts w:eastAsia="STKaiti" w:hint="eastAsia"/>
          <w:lang w:eastAsia="zh-CN"/>
        </w:rPr>
        <w:t>与理事会语文工作组进行磋商</w:t>
      </w:r>
      <w:r w:rsidRPr="006718B7">
        <w:rPr>
          <w:rFonts w:eastAsia="STKaiti"/>
          <w:lang w:eastAsia="zh-CN"/>
        </w:rPr>
        <w:t>，</w:t>
      </w:r>
    </w:p>
    <w:p w14:paraId="4827BBED" w14:textId="77777777" w:rsidR="00D507C1" w:rsidRPr="006718B7" w:rsidRDefault="00D507C1" w:rsidP="00D507C1">
      <w:pPr>
        <w:keepNext/>
        <w:keepLines/>
        <w:rPr>
          <w:lang w:val="ru-RU" w:eastAsia="zh-CN"/>
        </w:rPr>
      </w:pPr>
      <w:r w:rsidRPr="006718B7">
        <w:rPr>
          <w:lang w:val="ru-RU" w:eastAsia="zh-CN"/>
        </w:rPr>
        <w:t>1</w:t>
      </w:r>
      <w:r w:rsidRPr="006718B7">
        <w:rPr>
          <w:lang w:val="ru-RU" w:eastAsia="zh-CN"/>
        </w:rPr>
        <w:tab/>
      </w:r>
      <w:r w:rsidRPr="006718B7">
        <w:rPr>
          <w:rFonts w:hint="eastAsia"/>
          <w:lang w:val="en-US" w:eastAsia="zh-CN"/>
        </w:rPr>
        <w:t>向</w:t>
      </w:r>
      <w:r>
        <w:rPr>
          <w:rFonts w:hint="eastAsia"/>
          <w:lang w:val="en-US" w:eastAsia="zh-CN"/>
        </w:rPr>
        <w:t>ITU</w:t>
      </w:r>
      <w:r>
        <w:rPr>
          <w:lang w:val="en-US" w:eastAsia="zh-CN"/>
        </w:rPr>
        <w:t xml:space="preserve"> </w:t>
      </w:r>
      <w:r w:rsidRPr="006718B7">
        <w:rPr>
          <w:lang w:val="en-US" w:eastAsia="zh-CN"/>
        </w:rPr>
        <w:t>CCT</w:t>
      </w:r>
      <w:r w:rsidRPr="006718B7">
        <w:rPr>
          <w:rFonts w:hint="eastAsia"/>
          <w:lang w:val="en-US" w:eastAsia="zh-CN"/>
        </w:rPr>
        <w:t>提供</w:t>
      </w:r>
      <w:r w:rsidRPr="006718B7">
        <w:rPr>
          <w:lang w:val="en-US" w:eastAsia="zh-CN"/>
        </w:rPr>
        <w:t>所有</w:t>
      </w:r>
      <w:r w:rsidRPr="006718B7">
        <w:rPr>
          <w:rFonts w:hint="eastAsia"/>
          <w:lang w:val="en-US" w:eastAsia="zh-CN"/>
        </w:rPr>
        <w:t>相关信息和支持</w:t>
      </w:r>
      <w:r w:rsidRPr="006718B7">
        <w:rPr>
          <w:rFonts w:hint="eastAsia"/>
          <w:lang w:val="ru-RU" w:eastAsia="zh-CN"/>
        </w:rPr>
        <w:t>；</w:t>
      </w:r>
    </w:p>
    <w:p w14:paraId="4827BBEE" w14:textId="77777777" w:rsidR="00D507C1" w:rsidRDefault="00D507C1" w:rsidP="00D507C1">
      <w:pPr>
        <w:snapToGrid w:val="0"/>
        <w:spacing w:after="120"/>
        <w:rPr>
          <w:lang w:val="en-US" w:eastAsia="zh-CN"/>
        </w:rPr>
      </w:pPr>
      <w:r w:rsidRPr="006718B7">
        <w:rPr>
          <w:lang w:val="ru-RU" w:eastAsia="zh-CN"/>
        </w:rPr>
        <w:t>2</w:t>
      </w:r>
      <w:r w:rsidRPr="006718B7">
        <w:rPr>
          <w:lang w:val="ru-RU" w:eastAsia="zh-CN"/>
        </w:rPr>
        <w:tab/>
      </w:r>
      <w:r w:rsidRPr="006718B7">
        <w:rPr>
          <w:rFonts w:hint="eastAsia"/>
          <w:lang w:val="en-US" w:eastAsia="zh-CN"/>
        </w:rPr>
        <w:t>监</w:t>
      </w:r>
      <w:r>
        <w:rPr>
          <w:rFonts w:hint="eastAsia"/>
          <w:lang w:val="en-US" w:eastAsia="zh-CN"/>
        </w:rPr>
        <w:t>督</w:t>
      </w:r>
      <w:r>
        <w:rPr>
          <w:lang w:val="en-US" w:eastAsia="zh-CN"/>
        </w:rPr>
        <w:t>笔译质量</w:t>
      </w:r>
      <w:r>
        <w:rPr>
          <w:rFonts w:hint="eastAsia"/>
          <w:lang w:val="en-US" w:eastAsia="zh-CN"/>
        </w:rPr>
        <w:t>及</w:t>
      </w:r>
      <w:r w:rsidRPr="006718B7">
        <w:rPr>
          <w:lang w:val="en-US" w:eastAsia="zh-CN"/>
        </w:rPr>
        <w:t>相关成本。</w:t>
      </w:r>
    </w:p>
    <w:p w14:paraId="4827BBEF" w14:textId="77777777" w:rsidR="00D507C1" w:rsidRDefault="00D507C1" w:rsidP="00D507C1">
      <w:pPr>
        <w:pStyle w:val="Endtext"/>
        <w:rPr>
          <w:lang w:val="fr-FR" w:eastAsia="zh-CN"/>
        </w:rPr>
      </w:pPr>
      <w:r w:rsidRPr="00802318">
        <w:rPr>
          <w:rFonts w:hAnsi="STKaiti"/>
          <w:lang w:eastAsia="zh-CN"/>
        </w:rPr>
        <w:t>参阅</w:t>
      </w:r>
      <w:r w:rsidRPr="00802318">
        <w:rPr>
          <w:lang w:eastAsia="zh-CN"/>
        </w:rPr>
        <w:t>：</w:t>
      </w:r>
      <w:r w:rsidRPr="00802318">
        <w:rPr>
          <w:lang w:eastAsia="zh-CN"/>
        </w:rPr>
        <w:tab/>
      </w:r>
      <w:hyperlink r:id="rId519" w:history="1">
        <w:r w:rsidRPr="00D93107">
          <w:rPr>
            <w:rStyle w:val="Hyperlink"/>
            <w:lang w:val="fr-FR" w:eastAsia="zh-CN"/>
          </w:rPr>
          <w:t>C17/127</w:t>
        </w:r>
      </w:hyperlink>
      <w:r>
        <w:rPr>
          <w:rFonts w:hint="eastAsia"/>
          <w:lang w:val="fr-FR" w:eastAsia="zh-CN"/>
        </w:rPr>
        <w:t>和</w:t>
      </w:r>
      <w:hyperlink r:id="rId520" w:history="1">
        <w:r w:rsidRPr="00F87C08">
          <w:rPr>
            <w:rStyle w:val="Hyperlink"/>
            <w:lang w:val="fr-FR" w:eastAsia="zh-CN"/>
          </w:rPr>
          <w:t>C17/128</w:t>
        </w:r>
      </w:hyperlink>
      <w:r>
        <w:rPr>
          <w:rFonts w:hint="eastAsia"/>
          <w:lang w:val="fr-FR" w:eastAsia="zh-CN"/>
        </w:rPr>
        <w:t>号</w:t>
      </w:r>
      <w:r>
        <w:rPr>
          <w:lang w:val="fr-FR" w:eastAsia="zh-CN"/>
        </w:rPr>
        <w:t>文件。</w:t>
      </w:r>
    </w:p>
    <w:p w14:paraId="4827BBF0" w14:textId="77777777" w:rsidR="002802D7" w:rsidRDefault="002802D7" w:rsidP="002802D7">
      <w:pPr>
        <w:jc w:val="center"/>
        <w:rPr>
          <w:lang w:eastAsia="zh-CN"/>
        </w:rPr>
      </w:pPr>
      <w:bookmarkStart w:id="2854" w:name="_Toc531706518"/>
      <w:bookmarkStart w:id="2855" w:name="_Toc531707140"/>
      <w:bookmarkStart w:id="2856" w:name="_Toc531768611"/>
      <w:r>
        <w:rPr>
          <w:lang w:eastAsia="zh-CN"/>
        </w:rPr>
        <w:t>______________</w:t>
      </w:r>
    </w:p>
    <w:p w14:paraId="4827BBF1" w14:textId="77777777" w:rsidR="002802D7" w:rsidRDefault="002802D7">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BF2" w14:textId="77777777" w:rsidR="002802D7" w:rsidRDefault="002802D7">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BF3" w14:textId="77777777" w:rsidR="002802D7" w:rsidRDefault="002802D7">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BF4" w14:textId="77777777" w:rsidR="00294EE9" w:rsidRPr="00294EE9" w:rsidRDefault="00802993" w:rsidP="000D18CD">
      <w:pPr>
        <w:pStyle w:val="DecNo"/>
        <w:outlineLvl w:val="0"/>
      </w:pPr>
      <w:bookmarkStart w:id="2857" w:name="_Toc16085936"/>
      <w:bookmarkStart w:id="2858" w:name="_Toc86395733"/>
      <w:r w:rsidRPr="00294EE9">
        <w:rPr>
          <w:rFonts w:hint="eastAsia"/>
        </w:rPr>
        <w:lastRenderedPageBreak/>
        <w:t>第</w:t>
      </w:r>
      <w:r w:rsidRPr="00294EE9">
        <w:t>500</w:t>
      </w:r>
      <w:r w:rsidRPr="00294EE9">
        <w:rPr>
          <w:rFonts w:hint="eastAsia"/>
        </w:rPr>
        <w:t>号决定</w:t>
      </w:r>
      <w:r w:rsidR="00294EE9">
        <w:rPr>
          <w:rFonts w:hint="eastAsia"/>
        </w:rPr>
        <w:t>（</w:t>
      </w:r>
      <w:r w:rsidR="00294EE9" w:rsidRPr="00294EE9">
        <w:t>C-2000</w:t>
      </w:r>
      <w:r w:rsidR="00294EE9">
        <w:rPr>
          <w:rFonts w:hint="eastAsia"/>
        </w:rPr>
        <w:t>）</w:t>
      </w:r>
      <w:bookmarkEnd w:id="2839"/>
      <w:bookmarkEnd w:id="2854"/>
      <w:bookmarkEnd w:id="2855"/>
      <w:bookmarkEnd w:id="2856"/>
      <w:bookmarkEnd w:id="2857"/>
      <w:bookmarkEnd w:id="2858"/>
    </w:p>
    <w:p w14:paraId="4827BBF5" w14:textId="77777777" w:rsidR="00802993" w:rsidRDefault="00802993" w:rsidP="00C63A9B">
      <w:pPr>
        <w:pStyle w:val="Dectitle"/>
      </w:pPr>
      <w:bookmarkStart w:id="2859" w:name="_Toc424117170"/>
      <w:bookmarkStart w:id="2860" w:name="_Toc460248281"/>
      <w:bookmarkStart w:id="2861" w:name="_Toc531706519"/>
      <w:bookmarkStart w:id="2862" w:name="_Toc531707141"/>
      <w:bookmarkStart w:id="2863" w:name="_Toc531768612"/>
      <w:bookmarkStart w:id="2864" w:name="_Toc16085937"/>
      <w:bookmarkStart w:id="2865" w:name="_Toc86395734"/>
      <w:r>
        <w:rPr>
          <w:rFonts w:hint="eastAsia"/>
        </w:rPr>
        <w:t>“主席”（</w:t>
      </w:r>
      <w:r>
        <w:rPr>
          <w:rFonts w:hint="eastAsia"/>
        </w:rPr>
        <w:t>Chairman</w:t>
      </w:r>
      <w:r>
        <w:rPr>
          <w:rFonts w:hint="eastAsia"/>
        </w:rPr>
        <w:t>）一词的使用</w:t>
      </w:r>
      <w:bookmarkEnd w:id="2809"/>
      <w:bookmarkEnd w:id="2810"/>
      <w:bookmarkEnd w:id="2811"/>
      <w:bookmarkEnd w:id="2812"/>
      <w:bookmarkEnd w:id="2825"/>
      <w:bookmarkEnd w:id="2859"/>
      <w:bookmarkEnd w:id="2860"/>
      <w:bookmarkEnd w:id="2861"/>
      <w:bookmarkEnd w:id="2862"/>
      <w:bookmarkEnd w:id="2863"/>
      <w:bookmarkEnd w:id="2864"/>
      <w:bookmarkEnd w:id="2865"/>
    </w:p>
    <w:p w14:paraId="4827BBF6" w14:textId="77777777" w:rsidR="00802993" w:rsidRPr="00294EE9" w:rsidRDefault="00802993" w:rsidP="00294EE9">
      <w:pPr>
        <w:pStyle w:val="Normalaftertitle"/>
        <w:rPr>
          <w:lang w:eastAsia="zh-CN"/>
        </w:rPr>
      </w:pPr>
      <w:r w:rsidRPr="00294EE9">
        <w:rPr>
          <w:rFonts w:hint="eastAsia"/>
          <w:lang w:eastAsia="zh-CN"/>
        </w:rPr>
        <w:t>理事会，</w:t>
      </w:r>
    </w:p>
    <w:p w14:paraId="4827BBF7" w14:textId="77777777" w:rsidR="00802993" w:rsidRPr="00294EE9" w:rsidRDefault="00802993" w:rsidP="00294EE9">
      <w:pPr>
        <w:pStyle w:val="Call"/>
        <w:rPr>
          <w:lang w:eastAsia="zh-CN"/>
        </w:rPr>
      </w:pPr>
      <w:r w:rsidRPr="00294EE9">
        <w:rPr>
          <w:rFonts w:hint="eastAsia"/>
          <w:lang w:eastAsia="zh-CN"/>
        </w:rPr>
        <w:t>注意到</w:t>
      </w:r>
    </w:p>
    <w:p w14:paraId="4827BBF8" w14:textId="77777777" w:rsidR="00802993" w:rsidRPr="00802318" w:rsidRDefault="00802993" w:rsidP="00B64353">
      <w:pPr>
        <w:rPr>
          <w:lang w:eastAsia="zh-CN"/>
        </w:rPr>
      </w:pPr>
      <w:r w:rsidRPr="00D507C1">
        <w:rPr>
          <w:i/>
          <w:iCs/>
          <w:lang w:eastAsia="zh-CN"/>
        </w:rPr>
        <w:t>a</w:t>
      </w:r>
      <w:r w:rsidR="000E6A83" w:rsidRPr="00D507C1">
        <w:rPr>
          <w:i/>
          <w:iCs/>
          <w:lang w:eastAsia="zh-CN"/>
        </w:rPr>
        <w:t>)</w:t>
      </w:r>
      <w:r w:rsidR="000E6A83">
        <w:rPr>
          <w:lang w:eastAsia="zh-CN"/>
        </w:rPr>
        <w:tab/>
      </w:r>
      <w:r w:rsidRPr="00802318">
        <w:rPr>
          <w:lang w:eastAsia="zh-CN"/>
        </w:rPr>
        <w:t>C2000/50</w:t>
      </w:r>
      <w:r w:rsidRPr="00802318">
        <w:rPr>
          <w:lang w:eastAsia="zh-CN"/>
        </w:rPr>
        <w:t>号文件；和</w:t>
      </w:r>
    </w:p>
    <w:p w14:paraId="4827BBF9" w14:textId="77777777" w:rsidR="00802993" w:rsidRPr="00802318" w:rsidRDefault="00802993" w:rsidP="00B64353">
      <w:pPr>
        <w:rPr>
          <w:lang w:eastAsia="zh-CN"/>
        </w:rPr>
      </w:pPr>
      <w:r w:rsidRPr="00D507C1">
        <w:rPr>
          <w:i/>
          <w:iCs/>
          <w:lang w:eastAsia="zh-CN"/>
        </w:rPr>
        <w:t>b</w:t>
      </w:r>
      <w:r w:rsidR="000E6A83" w:rsidRPr="00D507C1">
        <w:rPr>
          <w:i/>
          <w:iCs/>
          <w:lang w:eastAsia="zh-CN"/>
        </w:rPr>
        <w:t>)</w:t>
      </w:r>
      <w:r w:rsidR="000E6A83">
        <w:rPr>
          <w:lang w:eastAsia="zh-CN"/>
        </w:rPr>
        <w:tab/>
      </w:r>
      <w:r w:rsidRPr="00802318">
        <w:rPr>
          <w:lang w:eastAsia="zh-CN"/>
        </w:rPr>
        <w:t>全权代表大会第</w:t>
      </w:r>
      <w:r w:rsidRPr="00802318">
        <w:rPr>
          <w:lang w:eastAsia="zh-CN"/>
        </w:rPr>
        <w:t>70</w:t>
      </w:r>
      <w:r w:rsidRPr="00802318">
        <w:rPr>
          <w:lang w:eastAsia="zh-CN"/>
        </w:rPr>
        <w:t>号决议（</w:t>
      </w:r>
      <w:r w:rsidRPr="00802318">
        <w:rPr>
          <w:lang w:eastAsia="zh-CN"/>
        </w:rPr>
        <w:t>1998</w:t>
      </w:r>
      <w:r w:rsidRPr="00802318">
        <w:rPr>
          <w:lang w:eastAsia="zh-CN"/>
        </w:rPr>
        <w:t>年，明尼阿波利斯），</w:t>
      </w:r>
    </w:p>
    <w:p w14:paraId="4827BBFA" w14:textId="77777777" w:rsidR="00802993" w:rsidRPr="00802318" w:rsidRDefault="00802993" w:rsidP="00B64353">
      <w:pPr>
        <w:rPr>
          <w:lang w:eastAsia="zh-CN"/>
        </w:rPr>
      </w:pPr>
      <w:r w:rsidRPr="00802318">
        <w:rPr>
          <w:lang w:eastAsia="zh-CN"/>
        </w:rPr>
        <w:tab/>
      </w:r>
      <w:r>
        <w:rPr>
          <w:rFonts w:eastAsia="STKaiti" w:hAnsi="STKaiti"/>
          <w:lang w:eastAsia="zh-CN"/>
        </w:rPr>
        <w:t>做出决定，</w:t>
      </w:r>
      <w:r>
        <w:rPr>
          <w:rFonts w:hint="eastAsia"/>
          <w:lang w:eastAsia="zh-CN"/>
        </w:rPr>
        <w:t>“</w:t>
      </w:r>
      <w:r w:rsidRPr="00802318">
        <w:rPr>
          <w:lang w:eastAsia="zh-CN"/>
        </w:rPr>
        <w:t>主席</w:t>
      </w:r>
      <w:r>
        <w:rPr>
          <w:rFonts w:hint="eastAsia"/>
          <w:lang w:eastAsia="zh-CN"/>
        </w:rPr>
        <w:t>”</w:t>
      </w:r>
      <w:r w:rsidRPr="00802318">
        <w:rPr>
          <w:lang w:eastAsia="zh-CN"/>
        </w:rPr>
        <w:t>（</w:t>
      </w:r>
      <w:r w:rsidRPr="00802318">
        <w:rPr>
          <w:lang w:eastAsia="zh-CN"/>
        </w:rPr>
        <w:t>Chairman</w:t>
      </w:r>
      <w:r w:rsidRPr="00802318">
        <w:rPr>
          <w:lang w:eastAsia="zh-CN"/>
        </w:rPr>
        <w:t>）一词应被视为没有性别区分，并应在国际电联文件的所有英文文本中使用。</w:t>
      </w:r>
    </w:p>
    <w:p w14:paraId="4827BBFB" w14:textId="77777777" w:rsidR="00294EE9" w:rsidRDefault="00802993" w:rsidP="00294EE9">
      <w:pPr>
        <w:pStyle w:val="Endtext"/>
        <w:rPr>
          <w:lang w:val="fr-FR" w:eastAsia="zh-CN"/>
        </w:rPr>
      </w:pPr>
      <w:r w:rsidRPr="00802318">
        <w:rPr>
          <w:rFonts w:hAnsi="STKaiti"/>
          <w:lang w:eastAsia="zh-CN"/>
        </w:rPr>
        <w:t>参阅</w:t>
      </w:r>
      <w:r w:rsidRPr="00802318">
        <w:rPr>
          <w:lang w:eastAsia="zh-CN"/>
        </w:rPr>
        <w:t>：</w:t>
      </w:r>
      <w:r w:rsidRPr="00802318">
        <w:rPr>
          <w:lang w:eastAsia="zh-CN"/>
        </w:rPr>
        <w:tab/>
      </w:r>
      <w:hyperlink r:id="rId521" w:history="1">
        <w:r w:rsidR="00294EE9" w:rsidRPr="003C453B">
          <w:rPr>
            <w:rStyle w:val="Hyperlink"/>
            <w:lang w:val="fr-FR" w:eastAsia="zh-CN"/>
          </w:rPr>
          <w:t>C2000/77</w:t>
        </w:r>
      </w:hyperlink>
      <w:r w:rsidR="00294EE9">
        <w:rPr>
          <w:rFonts w:hint="eastAsia"/>
          <w:lang w:val="fr-FR" w:eastAsia="zh-CN"/>
        </w:rPr>
        <w:t>和</w:t>
      </w:r>
      <w:hyperlink r:id="rId522" w:history="1">
        <w:r w:rsidR="00294EE9" w:rsidRPr="003C453B">
          <w:rPr>
            <w:rStyle w:val="Hyperlink"/>
            <w:lang w:val="fr-FR" w:eastAsia="zh-CN"/>
          </w:rPr>
          <w:t>C2000/98</w:t>
        </w:r>
      </w:hyperlink>
      <w:r w:rsidR="00294EE9">
        <w:rPr>
          <w:rFonts w:hint="eastAsia"/>
          <w:lang w:val="fr-FR" w:eastAsia="zh-CN"/>
        </w:rPr>
        <w:t>号</w:t>
      </w:r>
      <w:r w:rsidR="00294EE9">
        <w:rPr>
          <w:lang w:val="fr-FR" w:eastAsia="zh-CN"/>
        </w:rPr>
        <w:t>文件。</w:t>
      </w:r>
    </w:p>
    <w:p w14:paraId="4827BBFC" w14:textId="77777777" w:rsidR="002802D7" w:rsidRDefault="002802D7" w:rsidP="002802D7">
      <w:pPr>
        <w:jc w:val="center"/>
        <w:rPr>
          <w:lang w:eastAsia="zh-CN"/>
        </w:rPr>
      </w:pPr>
      <w:bookmarkStart w:id="2866" w:name="_Toc424117171"/>
      <w:bookmarkStart w:id="2867" w:name="_Toc531706520"/>
      <w:bookmarkStart w:id="2868" w:name="_Toc531707142"/>
      <w:bookmarkStart w:id="2869" w:name="_Toc531768613"/>
      <w:r>
        <w:rPr>
          <w:lang w:eastAsia="zh-CN"/>
        </w:rPr>
        <w:t>______________</w:t>
      </w:r>
    </w:p>
    <w:p w14:paraId="4827BBFD" w14:textId="77777777" w:rsidR="00D57EA3" w:rsidRDefault="00D57EA3" w:rsidP="00D57EA3">
      <w:pPr>
        <w:rPr>
          <w:lang w:eastAsia="zh-CN"/>
        </w:rPr>
      </w:pPr>
    </w:p>
    <w:p w14:paraId="4827BBFE" w14:textId="77777777" w:rsidR="00103021" w:rsidRPr="00103021" w:rsidRDefault="00B673B6" w:rsidP="000D18CD">
      <w:pPr>
        <w:pStyle w:val="DecNo"/>
        <w:outlineLvl w:val="0"/>
      </w:pPr>
      <w:bookmarkStart w:id="2870" w:name="_Toc16085938"/>
      <w:bookmarkStart w:id="2871" w:name="_Toc86395735"/>
      <w:r w:rsidRPr="00103021">
        <w:rPr>
          <w:rFonts w:hint="eastAsia"/>
        </w:rPr>
        <w:t>第</w:t>
      </w:r>
      <w:r w:rsidRPr="00103021">
        <w:t>576</w:t>
      </w:r>
      <w:r w:rsidRPr="00103021">
        <w:rPr>
          <w:rFonts w:hint="eastAsia"/>
        </w:rPr>
        <w:t>号决定</w:t>
      </w:r>
      <w:r w:rsidR="00103021">
        <w:rPr>
          <w:rFonts w:hint="eastAsia"/>
        </w:rPr>
        <w:t>（</w:t>
      </w:r>
      <w:r w:rsidR="00103021" w:rsidRPr="00103021">
        <w:t>C13</w:t>
      </w:r>
      <w:r w:rsidR="00103021">
        <w:rPr>
          <w:rFonts w:hint="eastAsia"/>
        </w:rPr>
        <w:t>）</w:t>
      </w:r>
      <w:bookmarkEnd w:id="2866"/>
      <w:bookmarkEnd w:id="2867"/>
      <w:bookmarkEnd w:id="2868"/>
      <w:bookmarkEnd w:id="2869"/>
      <w:bookmarkEnd w:id="2870"/>
      <w:bookmarkEnd w:id="2871"/>
    </w:p>
    <w:p w14:paraId="4827BBFF" w14:textId="77777777" w:rsidR="00B673B6" w:rsidRPr="00103021" w:rsidRDefault="00B673B6" w:rsidP="002802D7">
      <w:pPr>
        <w:pStyle w:val="Dectitle"/>
      </w:pPr>
      <w:bookmarkStart w:id="2872" w:name="_Toc424117172"/>
      <w:bookmarkStart w:id="2873" w:name="_Toc460248283"/>
      <w:bookmarkStart w:id="2874" w:name="_Toc531706521"/>
      <w:bookmarkStart w:id="2875" w:name="_Toc531707143"/>
      <w:bookmarkStart w:id="2876" w:name="_Toc531768614"/>
      <w:bookmarkStart w:id="2877" w:name="_Toc16085939"/>
      <w:bookmarkStart w:id="2878" w:name="_Toc86395736"/>
      <w:r w:rsidRPr="00103021">
        <w:t>对国际电联按照《</w:t>
      </w:r>
      <w:r w:rsidRPr="002802D7">
        <w:t>空间议定书</w:t>
      </w:r>
      <w:r w:rsidRPr="00103021">
        <w:t>》</w:t>
      </w:r>
      <w:r w:rsidRPr="00103021">
        <w:rPr>
          <w:rFonts w:hint="eastAsia"/>
        </w:rPr>
        <w:t>作为</w:t>
      </w:r>
      <w:r w:rsidRPr="00103021">
        <w:t>空间资产国际登记系统</w:t>
      </w:r>
      <w:r w:rsidR="00103021">
        <w:br/>
      </w:r>
      <w:r w:rsidRPr="00103021">
        <w:t>监督机构</w:t>
      </w:r>
      <w:r w:rsidRPr="00103021">
        <w:rPr>
          <w:rFonts w:hint="eastAsia"/>
        </w:rPr>
        <w:t>可能发挥作用</w:t>
      </w:r>
      <w:r w:rsidRPr="00103021">
        <w:t>的审议</w:t>
      </w:r>
      <w:bookmarkEnd w:id="2872"/>
      <w:bookmarkEnd w:id="2873"/>
      <w:bookmarkEnd w:id="2874"/>
      <w:bookmarkEnd w:id="2875"/>
      <w:bookmarkEnd w:id="2876"/>
      <w:bookmarkEnd w:id="2877"/>
      <w:bookmarkEnd w:id="2878"/>
    </w:p>
    <w:p w14:paraId="4827BC00" w14:textId="77777777" w:rsidR="00B673B6" w:rsidRPr="008D6410" w:rsidRDefault="00B673B6" w:rsidP="00103021">
      <w:pPr>
        <w:pStyle w:val="Normalaftertitle"/>
        <w:rPr>
          <w:lang w:eastAsia="zh-CN"/>
        </w:rPr>
      </w:pPr>
      <w:r w:rsidRPr="008D6410">
        <w:rPr>
          <w:lang w:eastAsia="zh-CN"/>
        </w:rPr>
        <w:t>理事会</w:t>
      </w:r>
      <w:r>
        <w:rPr>
          <w:rFonts w:hint="eastAsia"/>
          <w:lang w:eastAsia="zh-CN"/>
        </w:rPr>
        <w:t>，</w:t>
      </w:r>
    </w:p>
    <w:p w14:paraId="4827BC01" w14:textId="77777777" w:rsidR="00B673B6" w:rsidRPr="008D6410" w:rsidRDefault="00B673B6" w:rsidP="00B673B6">
      <w:pPr>
        <w:pStyle w:val="Call"/>
        <w:rPr>
          <w:lang w:eastAsia="zh-CN"/>
        </w:rPr>
      </w:pPr>
      <w:r w:rsidRPr="008D6410">
        <w:rPr>
          <w:lang w:eastAsia="zh-CN"/>
        </w:rPr>
        <w:t>认识到</w:t>
      </w:r>
    </w:p>
    <w:p w14:paraId="4827BC02" w14:textId="77777777" w:rsidR="00B673B6" w:rsidRPr="008D6410" w:rsidRDefault="00B673B6" w:rsidP="00B673B6">
      <w:pPr>
        <w:snapToGrid w:val="0"/>
        <w:spacing w:after="120"/>
        <w:rPr>
          <w:rFonts w:cstheme="minorHAnsi"/>
          <w:szCs w:val="24"/>
          <w:lang w:eastAsia="zh-CN"/>
        </w:rPr>
      </w:pPr>
      <w:r w:rsidRPr="00F75B27">
        <w:rPr>
          <w:rFonts w:cstheme="minorHAnsi"/>
          <w:i/>
          <w:iCs/>
          <w:szCs w:val="24"/>
          <w:lang w:eastAsia="zh-CN"/>
        </w:rPr>
        <w:t>a)</w:t>
      </w:r>
      <w:r w:rsidRPr="008D6410">
        <w:rPr>
          <w:rFonts w:cstheme="minorHAnsi"/>
          <w:szCs w:val="24"/>
          <w:lang w:eastAsia="zh-CN"/>
        </w:rPr>
        <w:tab/>
      </w:r>
      <w:r w:rsidRPr="008D6410">
        <w:rPr>
          <w:rFonts w:cstheme="minorHAnsi"/>
          <w:szCs w:val="24"/>
          <w:lang w:val="zh-CN" w:eastAsia="zh-CN"/>
        </w:rPr>
        <w:t>国际电联《组织法》第</w:t>
      </w:r>
      <w:r w:rsidRPr="008D6410">
        <w:rPr>
          <w:rFonts w:cstheme="minorHAnsi"/>
          <w:szCs w:val="24"/>
          <w:lang w:val="en-US" w:eastAsia="zh-CN"/>
        </w:rPr>
        <w:t>1</w:t>
      </w:r>
      <w:r w:rsidRPr="008D6410">
        <w:rPr>
          <w:rFonts w:cstheme="minorHAnsi"/>
          <w:szCs w:val="24"/>
          <w:lang w:val="zh-CN" w:eastAsia="zh-CN"/>
        </w:rPr>
        <w:t>条定义了国际电联的宗旨</w:t>
      </w:r>
      <w:r w:rsidRPr="008D6410">
        <w:rPr>
          <w:rFonts w:cstheme="minorHAnsi"/>
          <w:szCs w:val="24"/>
          <w:lang w:eastAsia="zh-CN"/>
        </w:rPr>
        <w:t>；</w:t>
      </w:r>
    </w:p>
    <w:p w14:paraId="4827BC03" w14:textId="77777777" w:rsidR="00B673B6" w:rsidRPr="008D6410" w:rsidRDefault="00B673B6" w:rsidP="00B673B6">
      <w:pPr>
        <w:snapToGrid w:val="0"/>
        <w:spacing w:after="120"/>
        <w:rPr>
          <w:rFonts w:cstheme="minorHAnsi"/>
          <w:color w:val="000000" w:themeColor="text1"/>
          <w:szCs w:val="24"/>
          <w:lang w:eastAsia="zh-CN"/>
        </w:rPr>
      </w:pPr>
      <w:r w:rsidRPr="00F75B27">
        <w:rPr>
          <w:rFonts w:cstheme="minorHAnsi"/>
          <w:i/>
          <w:iCs/>
          <w:szCs w:val="24"/>
          <w:lang w:eastAsia="zh-CN"/>
        </w:rPr>
        <w:t>b)</w:t>
      </w:r>
      <w:r w:rsidRPr="008D6410">
        <w:rPr>
          <w:rFonts w:cstheme="minorHAnsi"/>
          <w:szCs w:val="24"/>
          <w:lang w:eastAsia="zh-CN"/>
        </w:rPr>
        <w:tab/>
      </w:r>
      <w:r>
        <w:rPr>
          <w:rFonts w:cstheme="minorHAnsi" w:hint="eastAsia"/>
          <w:szCs w:val="24"/>
          <w:lang w:eastAsia="zh-CN"/>
        </w:rPr>
        <w:t>在</w:t>
      </w:r>
      <w:r w:rsidRPr="008D6410">
        <w:rPr>
          <w:rFonts w:cstheme="minorHAnsi"/>
          <w:szCs w:val="24"/>
          <w:lang w:eastAsia="zh-CN"/>
        </w:rPr>
        <w:t>国际统一私法协会（</w:t>
      </w:r>
      <w:r w:rsidRPr="007913B1">
        <w:rPr>
          <w:rFonts w:ascii="SimSun" w:hAnsi="SimSun" w:cstheme="minorHAnsi"/>
          <w:szCs w:val="24"/>
          <w:lang w:eastAsia="zh-CN"/>
        </w:rPr>
        <w:t>“</w:t>
      </w:r>
      <w:r w:rsidRPr="008D6410">
        <w:rPr>
          <w:rFonts w:eastAsia="Times New Roman" w:cstheme="minorHAnsi"/>
          <w:color w:val="000000"/>
          <w:szCs w:val="24"/>
          <w:lang w:eastAsia="zh-CN"/>
        </w:rPr>
        <w:t>UNIDROIT</w:t>
      </w:r>
      <w:r w:rsidRPr="007913B1">
        <w:rPr>
          <w:rFonts w:ascii="SimSun" w:hAnsi="SimSun" w:cstheme="minorHAnsi"/>
          <w:color w:val="000000"/>
          <w:szCs w:val="24"/>
          <w:lang w:eastAsia="zh-CN"/>
        </w:rPr>
        <w:t>”</w:t>
      </w:r>
      <w:r w:rsidRPr="008D6410">
        <w:rPr>
          <w:rFonts w:cstheme="minorHAnsi"/>
          <w:szCs w:val="24"/>
          <w:lang w:eastAsia="zh-CN"/>
        </w:rPr>
        <w:t>）</w:t>
      </w:r>
      <w:r>
        <w:rPr>
          <w:rFonts w:cstheme="minorHAnsi" w:hint="eastAsia"/>
          <w:szCs w:val="24"/>
          <w:lang w:eastAsia="zh-CN"/>
        </w:rPr>
        <w:t>支持的、</w:t>
      </w:r>
      <w:r>
        <w:rPr>
          <w:rFonts w:cstheme="minorHAnsi" w:hint="eastAsia"/>
          <w:szCs w:val="24"/>
          <w:lang w:eastAsia="zh-CN"/>
        </w:rPr>
        <w:t>2012</w:t>
      </w:r>
      <w:r>
        <w:rPr>
          <w:rFonts w:cstheme="minorHAnsi" w:hint="eastAsia"/>
          <w:szCs w:val="24"/>
          <w:lang w:eastAsia="zh-CN"/>
        </w:rPr>
        <w:t>年于柏林举办的外交大会上，全体代表们</w:t>
      </w:r>
      <w:r w:rsidRPr="008D6410">
        <w:rPr>
          <w:rFonts w:cstheme="minorHAnsi"/>
          <w:szCs w:val="24"/>
          <w:lang w:val="zh-CN" w:eastAsia="zh-CN"/>
        </w:rPr>
        <w:t>通过了</w:t>
      </w:r>
      <w:r w:rsidRPr="008D6410">
        <w:rPr>
          <w:rFonts w:cstheme="minorHAnsi"/>
          <w:lang w:eastAsia="zh-CN"/>
        </w:rPr>
        <w:t>《移动设备国际权益公约关于空间资产特定问题的议定书》</w:t>
      </w:r>
      <w:r w:rsidRPr="008D6410">
        <w:rPr>
          <w:rFonts w:cstheme="minorHAnsi"/>
          <w:szCs w:val="24"/>
          <w:lang w:val="en-US" w:eastAsia="zh-CN"/>
        </w:rPr>
        <w:t>（</w:t>
      </w:r>
      <w:r w:rsidRPr="007913B1">
        <w:rPr>
          <w:rFonts w:ascii="SimSun" w:hAnsi="SimSun" w:cstheme="minorHAnsi"/>
          <w:szCs w:val="24"/>
          <w:lang w:val="en-US" w:eastAsia="zh-CN"/>
        </w:rPr>
        <w:t>“</w:t>
      </w:r>
      <w:r w:rsidRPr="008D6410">
        <w:rPr>
          <w:rFonts w:cstheme="minorHAnsi"/>
          <w:szCs w:val="24"/>
          <w:lang w:val="zh-CN" w:eastAsia="zh-CN"/>
        </w:rPr>
        <w:t>空间议定书</w:t>
      </w:r>
      <w:r w:rsidRPr="007913B1">
        <w:rPr>
          <w:rFonts w:ascii="SimSun" w:hAnsi="SimSun" w:cstheme="minorHAnsi"/>
          <w:szCs w:val="24"/>
          <w:lang w:val="en-US" w:eastAsia="zh-CN"/>
        </w:rPr>
        <w:t>”</w:t>
      </w:r>
      <w:r w:rsidRPr="008D6410">
        <w:rPr>
          <w:rFonts w:cstheme="minorHAnsi"/>
          <w:szCs w:val="24"/>
          <w:lang w:val="en-US" w:eastAsia="zh-CN"/>
        </w:rPr>
        <w:t>）</w:t>
      </w:r>
      <w:r w:rsidRPr="008D6410">
        <w:rPr>
          <w:rFonts w:cstheme="minorHAnsi"/>
          <w:szCs w:val="24"/>
          <w:lang w:eastAsia="zh-CN"/>
        </w:rPr>
        <w:t>；</w:t>
      </w:r>
    </w:p>
    <w:p w14:paraId="4827BC04" w14:textId="77777777" w:rsidR="00B673B6" w:rsidRPr="008D6410" w:rsidRDefault="00B673B6" w:rsidP="00B673B6">
      <w:pPr>
        <w:snapToGrid w:val="0"/>
        <w:spacing w:after="120"/>
        <w:rPr>
          <w:rFonts w:cstheme="minorHAnsi"/>
          <w:color w:val="000000" w:themeColor="text1"/>
          <w:szCs w:val="24"/>
          <w:lang w:eastAsia="zh-CN"/>
        </w:rPr>
      </w:pPr>
      <w:r w:rsidRPr="00F75B27">
        <w:rPr>
          <w:rFonts w:cstheme="minorHAnsi"/>
          <w:i/>
          <w:iCs/>
          <w:color w:val="000000" w:themeColor="text1"/>
          <w:szCs w:val="24"/>
          <w:lang w:eastAsia="zh-CN"/>
        </w:rPr>
        <w:t>c)</w:t>
      </w:r>
      <w:r w:rsidRPr="008D6410">
        <w:rPr>
          <w:rFonts w:cstheme="minorHAnsi"/>
          <w:color w:val="000000" w:themeColor="text1"/>
          <w:szCs w:val="24"/>
          <w:lang w:eastAsia="zh-CN"/>
        </w:rPr>
        <w:tab/>
      </w:r>
      <w:r w:rsidRPr="008D6410">
        <w:rPr>
          <w:rFonts w:cstheme="minorHAnsi"/>
          <w:szCs w:val="24"/>
          <w:lang w:eastAsia="zh-CN"/>
        </w:rPr>
        <w:t>只有在至少</w:t>
      </w:r>
      <w:r w:rsidRPr="008D6410">
        <w:rPr>
          <w:rFonts w:cstheme="minorHAnsi"/>
          <w:szCs w:val="24"/>
          <w:lang w:val="zh-CN" w:eastAsia="zh-CN"/>
        </w:rPr>
        <w:t>十个国家成为缔约方时</w:t>
      </w:r>
      <w:r w:rsidRPr="008D6410">
        <w:rPr>
          <w:rFonts w:cstheme="minorHAnsi"/>
          <w:szCs w:val="24"/>
          <w:lang w:eastAsia="zh-CN"/>
        </w:rPr>
        <w:t>，</w:t>
      </w:r>
      <w:r w:rsidRPr="007913B1">
        <w:rPr>
          <w:rFonts w:ascii="SimSun" w:hAnsi="SimSun" w:cstheme="minorHAnsi"/>
          <w:szCs w:val="24"/>
          <w:lang w:eastAsia="zh-CN"/>
        </w:rPr>
        <w:t>“</w:t>
      </w:r>
      <w:r w:rsidRPr="008D6410">
        <w:rPr>
          <w:rFonts w:cstheme="minorHAnsi"/>
          <w:szCs w:val="24"/>
          <w:lang w:val="zh-CN" w:eastAsia="zh-CN"/>
        </w:rPr>
        <w:t>空间议定书</w:t>
      </w:r>
      <w:r w:rsidRPr="007913B1">
        <w:rPr>
          <w:rFonts w:ascii="SimSun" w:hAnsi="SimSun" w:cstheme="minorHAnsi"/>
          <w:szCs w:val="24"/>
          <w:lang w:eastAsia="zh-CN"/>
        </w:rPr>
        <w:t>”</w:t>
      </w:r>
      <w:r w:rsidRPr="008D6410">
        <w:rPr>
          <w:rFonts w:cstheme="minorHAnsi"/>
          <w:szCs w:val="24"/>
          <w:lang w:eastAsia="zh-CN"/>
        </w:rPr>
        <w:t>才</w:t>
      </w:r>
      <w:r w:rsidRPr="008D6410">
        <w:rPr>
          <w:rFonts w:cstheme="minorHAnsi"/>
          <w:szCs w:val="24"/>
          <w:lang w:val="zh-CN" w:eastAsia="zh-CN"/>
        </w:rPr>
        <w:t>会生效</w:t>
      </w:r>
      <w:r w:rsidRPr="008D6410">
        <w:rPr>
          <w:rFonts w:cstheme="minorHAnsi"/>
          <w:szCs w:val="24"/>
          <w:lang w:eastAsia="zh-CN"/>
        </w:rPr>
        <w:t>；</w:t>
      </w:r>
    </w:p>
    <w:p w14:paraId="4827BC05" w14:textId="77777777" w:rsidR="00B673B6" w:rsidRPr="008D6410" w:rsidRDefault="00B673B6" w:rsidP="00B673B6">
      <w:pPr>
        <w:snapToGrid w:val="0"/>
        <w:spacing w:after="120"/>
        <w:rPr>
          <w:rFonts w:cstheme="minorHAnsi"/>
          <w:color w:val="000000" w:themeColor="text1"/>
          <w:szCs w:val="24"/>
          <w:lang w:eastAsia="zh-CN"/>
        </w:rPr>
      </w:pPr>
      <w:r w:rsidRPr="00F75B27">
        <w:rPr>
          <w:rFonts w:cstheme="minorHAnsi"/>
          <w:i/>
          <w:iCs/>
          <w:color w:val="000000" w:themeColor="text1"/>
          <w:szCs w:val="24"/>
          <w:lang w:eastAsia="zh-CN"/>
        </w:rPr>
        <w:t>d)</w:t>
      </w:r>
      <w:r w:rsidRPr="008D6410">
        <w:rPr>
          <w:rFonts w:cstheme="minorHAnsi"/>
          <w:color w:val="000000" w:themeColor="text1"/>
          <w:szCs w:val="24"/>
          <w:lang w:eastAsia="zh-CN"/>
        </w:rPr>
        <w:tab/>
      </w:r>
      <w:r>
        <w:rPr>
          <w:rFonts w:cstheme="minorHAnsi" w:hint="eastAsia"/>
          <w:color w:val="000000" w:themeColor="text1"/>
          <w:szCs w:val="24"/>
          <w:lang w:eastAsia="zh-CN"/>
        </w:rPr>
        <w:t>外交大会</w:t>
      </w:r>
      <w:r w:rsidRPr="008D6410">
        <w:rPr>
          <w:rFonts w:cstheme="minorHAnsi"/>
          <w:szCs w:val="24"/>
          <w:lang w:val="zh-CN" w:eastAsia="zh-CN"/>
        </w:rPr>
        <w:t>还通过了第</w:t>
      </w:r>
      <w:r w:rsidRPr="008D6410">
        <w:rPr>
          <w:rFonts w:cstheme="minorHAnsi"/>
          <w:szCs w:val="24"/>
          <w:lang w:eastAsia="zh-CN"/>
        </w:rPr>
        <w:t>1</w:t>
      </w:r>
      <w:r w:rsidRPr="008D6410">
        <w:rPr>
          <w:rFonts w:cstheme="minorHAnsi"/>
          <w:szCs w:val="24"/>
          <w:lang w:val="zh-CN" w:eastAsia="zh-CN"/>
        </w:rPr>
        <w:t>号决议</w:t>
      </w:r>
      <w:r w:rsidRPr="008D6410">
        <w:rPr>
          <w:rFonts w:cstheme="minorHAnsi"/>
          <w:szCs w:val="24"/>
          <w:lang w:eastAsia="zh-CN"/>
        </w:rPr>
        <w:t>，其中规定</w:t>
      </w:r>
      <w:r w:rsidRPr="008D6410">
        <w:rPr>
          <w:rFonts w:cstheme="minorHAnsi"/>
          <w:szCs w:val="24"/>
          <w:lang w:val="zh-CN" w:eastAsia="zh-CN"/>
        </w:rPr>
        <w:t>在</w:t>
      </w:r>
      <w:r w:rsidRPr="007913B1">
        <w:rPr>
          <w:rFonts w:ascii="SimSun" w:hAnsi="SimSun" w:cstheme="minorHAnsi"/>
          <w:szCs w:val="24"/>
          <w:lang w:val="zh-CN" w:eastAsia="zh-CN"/>
        </w:rPr>
        <w:t>“</w:t>
      </w:r>
      <w:r w:rsidRPr="008D6410">
        <w:rPr>
          <w:rFonts w:cstheme="minorHAnsi"/>
          <w:szCs w:val="24"/>
          <w:lang w:val="zh-CN" w:eastAsia="zh-CN"/>
        </w:rPr>
        <w:t>议定书</w:t>
      </w:r>
      <w:r w:rsidRPr="007913B1">
        <w:rPr>
          <w:rFonts w:ascii="SimSun" w:hAnsi="SimSun" w:cstheme="minorHAnsi"/>
          <w:szCs w:val="24"/>
          <w:lang w:val="zh-CN" w:eastAsia="zh-CN"/>
        </w:rPr>
        <w:t>”</w:t>
      </w:r>
      <w:r w:rsidRPr="008D6410">
        <w:rPr>
          <w:rFonts w:cstheme="minorHAnsi"/>
          <w:szCs w:val="24"/>
          <w:lang w:val="zh-CN" w:eastAsia="zh-CN"/>
        </w:rPr>
        <w:t>生效之前成立一个筹备委员会作为临时监督机构，且该委员会将在</w:t>
      </w:r>
      <w:r w:rsidRPr="008D6410">
        <w:rPr>
          <w:rFonts w:cstheme="minorHAnsi"/>
          <w:szCs w:val="24"/>
          <w:lang w:eastAsia="zh-CN"/>
        </w:rPr>
        <w:t>UNIDROIT</w:t>
      </w:r>
      <w:r w:rsidRPr="008D6410">
        <w:rPr>
          <w:rFonts w:cstheme="minorHAnsi"/>
          <w:szCs w:val="24"/>
          <w:lang w:val="zh-CN" w:eastAsia="zh-CN"/>
        </w:rPr>
        <w:t>大会的指导下</w:t>
      </w:r>
      <w:r w:rsidRPr="008D6410">
        <w:rPr>
          <w:rFonts w:cstheme="minorHAnsi"/>
          <w:szCs w:val="24"/>
          <w:lang w:eastAsia="zh-CN"/>
        </w:rPr>
        <w:t>为建立</w:t>
      </w:r>
      <w:r w:rsidRPr="008D6410">
        <w:rPr>
          <w:rFonts w:cstheme="minorHAnsi"/>
          <w:szCs w:val="24"/>
          <w:lang w:val="zh-CN" w:eastAsia="zh-CN"/>
        </w:rPr>
        <w:t>空间资产国际登记系统全权开展工作</w:t>
      </w:r>
      <w:r w:rsidRPr="008D6410">
        <w:rPr>
          <w:rFonts w:cstheme="minorHAnsi"/>
          <w:szCs w:val="24"/>
          <w:lang w:eastAsia="zh-CN"/>
        </w:rPr>
        <w:t>，</w:t>
      </w:r>
      <w:r w:rsidRPr="008D6410">
        <w:rPr>
          <w:rFonts w:cstheme="minorHAnsi"/>
          <w:szCs w:val="24"/>
          <w:lang w:val="zh-CN" w:eastAsia="zh-CN"/>
        </w:rPr>
        <w:t>决议</w:t>
      </w:r>
      <w:r w:rsidRPr="008D6410">
        <w:rPr>
          <w:rFonts w:cstheme="minorHAnsi"/>
          <w:szCs w:val="24"/>
          <w:lang w:eastAsia="zh-CN"/>
        </w:rPr>
        <w:t>2</w:t>
      </w:r>
      <w:r w:rsidRPr="008D6410">
        <w:rPr>
          <w:rFonts w:cstheme="minorHAnsi"/>
          <w:szCs w:val="24"/>
          <w:lang w:eastAsia="zh-CN"/>
        </w:rPr>
        <w:t>则</w:t>
      </w:r>
      <w:r w:rsidRPr="008D6410">
        <w:rPr>
          <w:rFonts w:cstheme="minorHAnsi"/>
          <w:szCs w:val="24"/>
          <w:lang w:val="zh-CN" w:eastAsia="zh-CN"/>
        </w:rPr>
        <w:t>邀请国际电联的理事机构研究</w:t>
      </w:r>
      <w:r w:rsidRPr="008D6410">
        <w:rPr>
          <w:rFonts w:cstheme="minorHAnsi"/>
          <w:szCs w:val="24"/>
          <w:lang w:eastAsia="zh-CN"/>
        </w:rPr>
        <w:t>在</w:t>
      </w:r>
      <w:r w:rsidRPr="007913B1">
        <w:rPr>
          <w:rFonts w:ascii="SimSun" w:hAnsi="SimSun" w:cstheme="minorHAnsi"/>
          <w:szCs w:val="24"/>
          <w:lang w:eastAsia="zh-CN"/>
        </w:rPr>
        <w:t>“</w:t>
      </w:r>
      <w:r w:rsidRPr="008D6410">
        <w:rPr>
          <w:rFonts w:cstheme="minorHAnsi"/>
          <w:szCs w:val="24"/>
          <w:lang w:val="zh-CN" w:eastAsia="zh-CN"/>
        </w:rPr>
        <w:t>议定书</w:t>
      </w:r>
      <w:r w:rsidRPr="007913B1">
        <w:rPr>
          <w:rFonts w:ascii="SimSun" w:hAnsi="SimSun" w:cstheme="minorHAnsi"/>
          <w:szCs w:val="24"/>
          <w:lang w:eastAsia="zh-CN"/>
        </w:rPr>
        <w:t>”</w:t>
      </w:r>
      <w:r w:rsidRPr="008D6410">
        <w:rPr>
          <w:rFonts w:cstheme="minorHAnsi"/>
          <w:szCs w:val="24"/>
          <w:lang w:val="zh-CN" w:eastAsia="zh-CN"/>
        </w:rPr>
        <w:t>生效</w:t>
      </w:r>
      <w:r>
        <w:rPr>
          <w:rFonts w:cstheme="minorHAnsi" w:hint="eastAsia"/>
          <w:szCs w:val="24"/>
          <w:lang w:val="zh-CN" w:eastAsia="zh-CN"/>
        </w:rPr>
        <w:t>时或生效之后</w:t>
      </w:r>
      <w:r w:rsidRPr="008D6410">
        <w:rPr>
          <w:rFonts w:cstheme="minorHAnsi"/>
          <w:szCs w:val="24"/>
          <w:lang w:val="zh-CN" w:eastAsia="zh-CN"/>
        </w:rPr>
        <w:t>根据</w:t>
      </w:r>
      <w:r w:rsidRPr="007913B1">
        <w:rPr>
          <w:rFonts w:ascii="SimSun" w:hAnsi="SimSun" w:cstheme="minorHAnsi"/>
          <w:szCs w:val="24"/>
          <w:lang w:val="zh-CN" w:eastAsia="zh-CN"/>
        </w:rPr>
        <w:t>“</w:t>
      </w:r>
      <w:r w:rsidRPr="008D6410">
        <w:rPr>
          <w:rFonts w:cstheme="minorHAnsi"/>
          <w:szCs w:val="24"/>
          <w:lang w:val="zh-CN" w:eastAsia="zh-CN"/>
        </w:rPr>
        <w:t>空间议定书</w:t>
      </w:r>
      <w:r w:rsidRPr="007913B1">
        <w:rPr>
          <w:rFonts w:ascii="SimSun" w:hAnsi="SimSun" w:cstheme="minorHAnsi"/>
          <w:szCs w:val="24"/>
          <w:lang w:val="zh-CN" w:eastAsia="zh-CN"/>
        </w:rPr>
        <w:t>”</w:t>
      </w:r>
      <w:r w:rsidRPr="008D6410">
        <w:rPr>
          <w:rFonts w:cstheme="minorHAnsi"/>
          <w:szCs w:val="24"/>
          <w:lang w:val="zh-CN" w:eastAsia="zh-CN"/>
        </w:rPr>
        <w:t>由</w:t>
      </w:r>
      <w:r w:rsidRPr="008D6410">
        <w:rPr>
          <w:rFonts w:cstheme="minorHAnsi"/>
          <w:szCs w:val="24"/>
          <w:lang w:eastAsia="zh-CN"/>
        </w:rPr>
        <w:t>国际电联担任</w:t>
      </w:r>
      <w:r w:rsidRPr="008D6410">
        <w:rPr>
          <w:rFonts w:cstheme="minorHAnsi"/>
          <w:lang w:eastAsia="zh-CN"/>
        </w:rPr>
        <w:t>空间资产</w:t>
      </w:r>
      <w:r w:rsidRPr="008D6410">
        <w:rPr>
          <w:rFonts w:cstheme="minorHAnsi"/>
          <w:szCs w:val="24"/>
          <w:lang w:val="zh-CN" w:eastAsia="zh-CN"/>
        </w:rPr>
        <w:t>国际登记系统监督机构的问题</w:t>
      </w:r>
      <w:r w:rsidRPr="008D6410">
        <w:rPr>
          <w:rFonts w:cstheme="minorHAnsi"/>
          <w:szCs w:val="24"/>
          <w:lang w:eastAsia="zh-CN"/>
        </w:rPr>
        <w:t>，</w:t>
      </w:r>
      <w:r w:rsidRPr="008D6410">
        <w:rPr>
          <w:rFonts w:cstheme="minorHAnsi"/>
          <w:szCs w:val="24"/>
          <w:lang w:val="zh-CN" w:eastAsia="zh-CN"/>
        </w:rPr>
        <w:t>并向</w:t>
      </w:r>
      <w:r w:rsidRPr="008D6410">
        <w:rPr>
          <w:rFonts w:cstheme="minorHAnsi"/>
          <w:color w:val="000000" w:themeColor="text1"/>
          <w:szCs w:val="24"/>
          <w:lang w:eastAsia="zh-CN"/>
        </w:rPr>
        <w:t>UNIDROIT</w:t>
      </w:r>
      <w:r w:rsidRPr="008D6410">
        <w:rPr>
          <w:rFonts w:cstheme="minorHAnsi"/>
          <w:color w:val="000000" w:themeColor="text1"/>
          <w:szCs w:val="24"/>
          <w:lang w:eastAsia="zh-CN"/>
        </w:rPr>
        <w:t>做出</w:t>
      </w:r>
      <w:r w:rsidRPr="008D6410">
        <w:rPr>
          <w:rFonts w:cstheme="minorHAnsi"/>
          <w:szCs w:val="24"/>
          <w:lang w:val="zh-CN" w:eastAsia="zh-CN"/>
        </w:rPr>
        <w:t>相应报告</w:t>
      </w:r>
      <w:r w:rsidRPr="008D6410">
        <w:rPr>
          <w:rFonts w:cstheme="minorHAnsi"/>
          <w:szCs w:val="24"/>
          <w:lang w:eastAsia="zh-CN"/>
        </w:rPr>
        <w:t>，</w:t>
      </w:r>
    </w:p>
    <w:p w14:paraId="4827BC06" w14:textId="77777777" w:rsidR="00B673B6" w:rsidRPr="008D6410" w:rsidRDefault="00B673B6" w:rsidP="00B673B6">
      <w:pPr>
        <w:pStyle w:val="Call"/>
        <w:rPr>
          <w:i/>
          <w:lang w:eastAsia="zh-CN"/>
        </w:rPr>
      </w:pPr>
      <w:r w:rsidRPr="008D6410">
        <w:rPr>
          <w:lang w:eastAsia="zh-CN"/>
        </w:rPr>
        <w:t>考虑到</w:t>
      </w:r>
    </w:p>
    <w:p w14:paraId="4827BC07" w14:textId="77777777" w:rsidR="00B673B6" w:rsidRPr="008D6410" w:rsidRDefault="00B673B6" w:rsidP="00B673B6">
      <w:pPr>
        <w:snapToGrid w:val="0"/>
        <w:spacing w:after="120"/>
        <w:rPr>
          <w:rFonts w:cstheme="minorHAnsi"/>
          <w:szCs w:val="24"/>
          <w:lang w:eastAsia="zh-CN"/>
        </w:rPr>
      </w:pPr>
      <w:r w:rsidRPr="00F75B27">
        <w:rPr>
          <w:rFonts w:cstheme="minorHAnsi"/>
          <w:i/>
          <w:iCs/>
          <w:szCs w:val="24"/>
          <w:lang w:eastAsia="zh-CN"/>
        </w:rPr>
        <w:t>a)</w:t>
      </w:r>
      <w:r w:rsidRPr="008D6410">
        <w:rPr>
          <w:rFonts w:cstheme="minorHAnsi"/>
          <w:szCs w:val="24"/>
          <w:lang w:eastAsia="zh-CN"/>
        </w:rPr>
        <w:tab/>
      </w:r>
      <w:r w:rsidRPr="008D6410">
        <w:rPr>
          <w:rFonts w:cstheme="minorHAnsi"/>
          <w:szCs w:val="24"/>
          <w:lang w:val="zh-CN" w:eastAsia="zh-CN"/>
        </w:rPr>
        <w:t>国际电联是否能成为监督机构的问题将由国际电联全权代表大会进行审议</w:t>
      </w:r>
      <w:r w:rsidRPr="008D6410">
        <w:rPr>
          <w:rFonts w:cstheme="minorHAnsi"/>
          <w:szCs w:val="24"/>
          <w:lang w:eastAsia="zh-CN"/>
        </w:rPr>
        <w:t>；</w:t>
      </w:r>
    </w:p>
    <w:p w14:paraId="4827BC08" w14:textId="77777777" w:rsidR="002802D7" w:rsidRDefault="002802D7">
      <w:pPr>
        <w:tabs>
          <w:tab w:val="clear" w:pos="794"/>
          <w:tab w:val="clear" w:pos="1191"/>
          <w:tab w:val="clear" w:pos="1588"/>
          <w:tab w:val="clear" w:pos="1985"/>
        </w:tabs>
        <w:overflowPunct/>
        <w:autoSpaceDE/>
        <w:autoSpaceDN/>
        <w:adjustRightInd/>
        <w:spacing w:before="0"/>
        <w:jc w:val="left"/>
        <w:textAlignment w:val="auto"/>
        <w:rPr>
          <w:rFonts w:cstheme="minorHAnsi"/>
          <w:i/>
          <w:iCs/>
          <w:szCs w:val="24"/>
          <w:lang w:eastAsia="zh-CN"/>
        </w:rPr>
      </w:pPr>
      <w:r>
        <w:rPr>
          <w:rFonts w:cstheme="minorHAnsi"/>
          <w:i/>
          <w:iCs/>
          <w:szCs w:val="24"/>
          <w:lang w:eastAsia="zh-CN"/>
        </w:rPr>
        <w:br w:type="page"/>
      </w:r>
    </w:p>
    <w:p w14:paraId="4827BC09" w14:textId="77777777" w:rsidR="00B673B6" w:rsidRPr="008D6410" w:rsidRDefault="00B673B6" w:rsidP="00B673B6">
      <w:pPr>
        <w:snapToGrid w:val="0"/>
        <w:spacing w:after="120"/>
        <w:rPr>
          <w:rFonts w:cstheme="minorHAnsi"/>
          <w:szCs w:val="24"/>
          <w:lang w:eastAsia="zh-CN"/>
        </w:rPr>
      </w:pPr>
      <w:r w:rsidRPr="00F75B27">
        <w:rPr>
          <w:rFonts w:cstheme="minorHAnsi"/>
          <w:i/>
          <w:iCs/>
          <w:szCs w:val="24"/>
          <w:lang w:eastAsia="zh-CN"/>
        </w:rPr>
        <w:lastRenderedPageBreak/>
        <w:t>b)</w:t>
      </w:r>
      <w:r w:rsidRPr="008D6410">
        <w:rPr>
          <w:rFonts w:cstheme="minorHAnsi"/>
          <w:szCs w:val="24"/>
          <w:lang w:eastAsia="zh-CN"/>
        </w:rPr>
        <w:tab/>
      </w:r>
      <w:r w:rsidRPr="008D6410">
        <w:rPr>
          <w:rFonts w:cstheme="minorHAnsi"/>
          <w:szCs w:val="24"/>
          <w:lang w:val="zh-CN" w:eastAsia="zh-CN"/>
        </w:rPr>
        <w:t>尽管</w:t>
      </w:r>
      <w:r w:rsidRPr="008D6410">
        <w:rPr>
          <w:rFonts w:cstheme="minorHAnsi"/>
          <w:szCs w:val="24"/>
          <w:lang w:eastAsia="zh-CN"/>
        </w:rPr>
        <w:t>a)</w:t>
      </w:r>
      <w:r w:rsidRPr="008D6410">
        <w:rPr>
          <w:rFonts w:cstheme="minorHAnsi"/>
          <w:szCs w:val="24"/>
          <w:lang w:eastAsia="zh-CN"/>
        </w:rPr>
        <w:t>所述确为事实，但</w:t>
      </w:r>
      <w:r w:rsidRPr="008D6410">
        <w:rPr>
          <w:rFonts w:cstheme="minorHAnsi"/>
          <w:szCs w:val="24"/>
          <w:lang w:val="zh-CN" w:eastAsia="zh-CN"/>
        </w:rPr>
        <w:t>理事会</w:t>
      </w:r>
      <w:r w:rsidRPr="008D6410">
        <w:rPr>
          <w:rFonts w:cstheme="minorHAnsi"/>
          <w:szCs w:val="24"/>
          <w:lang w:eastAsia="zh-CN"/>
        </w:rPr>
        <w:t>2012</w:t>
      </w:r>
      <w:r w:rsidRPr="008D6410">
        <w:rPr>
          <w:rFonts w:cstheme="minorHAnsi"/>
          <w:szCs w:val="24"/>
          <w:lang w:val="zh-CN" w:eastAsia="zh-CN"/>
        </w:rPr>
        <w:t>年会议已授权秘书长作为观察员参加筹备委员会的工作</w:t>
      </w:r>
      <w:r w:rsidRPr="008D6410">
        <w:rPr>
          <w:rFonts w:cstheme="minorHAnsi"/>
          <w:szCs w:val="24"/>
          <w:lang w:eastAsia="zh-CN"/>
        </w:rPr>
        <w:t>，</w:t>
      </w:r>
      <w:r w:rsidRPr="008D6410">
        <w:rPr>
          <w:rFonts w:cstheme="minorHAnsi"/>
          <w:szCs w:val="24"/>
          <w:lang w:val="zh-CN" w:eastAsia="zh-CN"/>
        </w:rPr>
        <w:t>以获取相关信息</w:t>
      </w:r>
      <w:r w:rsidRPr="008D6410">
        <w:rPr>
          <w:rFonts w:cstheme="minorHAnsi"/>
          <w:szCs w:val="24"/>
          <w:lang w:eastAsia="zh-CN"/>
        </w:rPr>
        <w:t>，</w:t>
      </w:r>
      <w:r w:rsidRPr="008D6410">
        <w:rPr>
          <w:rFonts w:cstheme="minorHAnsi"/>
          <w:szCs w:val="24"/>
          <w:lang w:val="zh-CN" w:eastAsia="zh-CN"/>
        </w:rPr>
        <w:t>这将有助于全权代表大会对此问题进行审议</w:t>
      </w:r>
      <w:r w:rsidRPr="008D6410">
        <w:rPr>
          <w:rFonts w:cstheme="minorHAnsi"/>
          <w:szCs w:val="24"/>
          <w:lang w:eastAsia="zh-CN"/>
        </w:rPr>
        <w:t>；</w:t>
      </w:r>
    </w:p>
    <w:p w14:paraId="4827BC0A" w14:textId="77777777" w:rsidR="00B673B6" w:rsidRPr="008D6410" w:rsidRDefault="00B673B6" w:rsidP="00B673B6">
      <w:pPr>
        <w:snapToGrid w:val="0"/>
        <w:spacing w:after="120"/>
        <w:rPr>
          <w:rFonts w:cstheme="minorHAnsi"/>
          <w:szCs w:val="24"/>
          <w:lang w:eastAsia="zh-CN"/>
        </w:rPr>
      </w:pPr>
      <w:r w:rsidRPr="00F75B27">
        <w:rPr>
          <w:rFonts w:cstheme="minorHAnsi"/>
          <w:i/>
          <w:iCs/>
          <w:szCs w:val="24"/>
          <w:lang w:eastAsia="zh-CN"/>
        </w:rPr>
        <w:t>c)</w:t>
      </w:r>
      <w:r w:rsidRPr="008D6410">
        <w:rPr>
          <w:rFonts w:cstheme="minorHAnsi"/>
          <w:szCs w:val="24"/>
          <w:lang w:eastAsia="zh-CN"/>
        </w:rPr>
        <w:tab/>
      </w:r>
      <w:r w:rsidRPr="008D6410">
        <w:rPr>
          <w:rFonts w:cstheme="minorHAnsi"/>
          <w:szCs w:val="24"/>
          <w:lang w:val="zh-CN" w:eastAsia="zh-CN"/>
        </w:rPr>
        <w:t>国际电联理事会</w:t>
      </w:r>
      <w:r w:rsidRPr="008D6410">
        <w:rPr>
          <w:rFonts w:cstheme="minorHAnsi"/>
          <w:szCs w:val="24"/>
          <w:lang w:eastAsia="zh-CN"/>
        </w:rPr>
        <w:t>2011</w:t>
      </w:r>
      <w:r w:rsidRPr="008D6410">
        <w:rPr>
          <w:rFonts w:cstheme="minorHAnsi"/>
          <w:szCs w:val="24"/>
          <w:lang w:val="zh-CN" w:eastAsia="zh-CN"/>
        </w:rPr>
        <w:t>年</w:t>
      </w:r>
      <w:r w:rsidRPr="008D6410">
        <w:rPr>
          <w:rFonts w:cstheme="minorHAnsi"/>
          <w:szCs w:val="24"/>
          <w:lang w:eastAsia="zh-CN"/>
        </w:rPr>
        <w:t>、</w:t>
      </w:r>
      <w:r w:rsidRPr="008D6410">
        <w:rPr>
          <w:rFonts w:cstheme="minorHAnsi"/>
          <w:szCs w:val="24"/>
          <w:lang w:eastAsia="zh-CN"/>
        </w:rPr>
        <w:t>2012</w:t>
      </w:r>
      <w:r w:rsidRPr="008D6410">
        <w:rPr>
          <w:rFonts w:cstheme="minorHAnsi"/>
          <w:szCs w:val="24"/>
          <w:lang w:val="zh-CN" w:eastAsia="zh-CN"/>
        </w:rPr>
        <w:t>年和</w:t>
      </w:r>
      <w:r w:rsidRPr="008D6410">
        <w:rPr>
          <w:rFonts w:cstheme="minorHAnsi"/>
          <w:szCs w:val="24"/>
          <w:lang w:eastAsia="zh-CN"/>
        </w:rPr>
        <w:t>2013</w:t>
      </w:r>
      <w:r w:rsidRPr="008D6410">
        <w:rPr>
          <w:rFonts w:cstheme="minorHAnsi"/>
          <w:szCs w:val="24"/>
          <w:lang w:val="zh-CN" w:eastAsia="zh-CN"/>
        </w:rPr>
        <w:t>年会议</w:t>
      </w:r>
      <w:r w:rsidRPr="008D6410">
        <w:rPr>
          <w:rFonts w:cstheme="minorHAnsi"/>
          <w:szCs w:val="24"/>
          <w:lang w:eastAsia="zh-CN"/>
        </w:rPr>
        <w:t>已</w:t>
      </w:r>
      <w:r w:rsidRPr="008D6410">
        <w:rPr>
          <w:rFonts w:cstheme="minorHAnsi"/>
          <w:szCs w:val="24"/>
          <w:lang w:val="zh-CN" w:eastAsia="zh-CN"/>
        </w:rPr>
        <w:t>请国际电联秘书长就国际电联担任上述监督机构的影响做出澄清</w:t>
      </w:r>
      <w:r w:rsidRPr="008D6410">
        <w:rPr>
          <w:rFonts w:cstheme="minorHAnsi"/>
          <w:szCs w:val="24"/>
          <w:lang w:eastAsia="zh-CN"/>
        </w:rPr>
        <w:t>，其中</w:t>
      </w:r>
      <w:r w:rsidRPr="008D6410">
        <w:rPr>
          <w:rFonts w:cstheme="minorHAnsi"/>
          <w:szCs w:val="24"/>
          <w:lang w:val="zh-CN" w:eastAsia="zh-CN"/>
        </w:rPr>
        <w:t>包括对成员国和部门成员权利的影响</w:t>
      </w:r>
      <w:r w:rsidRPr="008D6410">
        <w:rPr>
          <w:rFonts w:cstheme="minorHAnsi"/>
          <w:szCs w:val="24"/>
          <w:lang w:eastAsia="zh-CN"/>
        </w:rPr>
        <w:t>，</w:t>
      </w:r>
      <w:r w:rsidRPr="008D6410">
        <w:rPr>
          <w:rFonts w:cstheme="minorHAnsi"/>
          <w:szCs w:val="24"/>
          <w:lang w:val="zh-CN" w:eastAsia="zh-CN"/>
        </w:rPr>
        <w:t>国际电联秘书长亦已向理事会报告了其调查结果</w:t>
      </w:r>
      <w:r w:rsidRPr="008D6410">
        <w:rPr>
          <w:rFonts w:cstheme="minorHAnsi"/>
          <w:szCs w:val="24"/>
          <w:lang w:eastAsia="zh-CN"/>
        </w:rPr>
        <w:t>，</w:t>
      </w:r>
    </w:p>
    <w:p w14:paraId="4827BC0B" w14:textId="77777777" w:rsidR="00B673B6" w:rsidRPr="008D6410" w:rsidRDefault="00B673B6" w:rsidP="00B673B6">
      <w:pPr>
        <w:pStyle w:val="Call"/>
        <w:rPr>
          <w:lang w:eastAsia="zh-CN"/>
        </w:rPr>
      </w:pPr>
      <w:r w:rsidRPr="008D6410">
        <w:rPr>
          <w:lang w:eastAsia="zh-CN"/>
        </w:rPr>
        <w:t>做出决定</w:t>
      </w:r>
    </w:p>
    <w:p w14:paraId="4827BC0C" w14:textId="77777777" w:rsidR="00B673B6" w:rsidRDefault="00B673B6" w:rsidP="00B673B6">
      <w:pPr>
        <w:snapToGrid w:val="0"/>
        <w:spacing w:after="120"/>
        <w:ind w:firstLine="720"/>
        <w:rPr>
          <w:rFonts w:cstheme="minorHAnsi"/>
          <w:szCs w:val="24"/>
          <w:lang w:eastAsia="zh-CN"/>
        </w:rPr>
      </w:pPr>
      <w:r w:rsidRPr="008D6410">
        <w:rPr>
          <w:rFonts w:cstheme="minorHAnsi"/>
          <w:szCs w:val="24"/>
          <w:lang w:eastAsia="zh-CN"/>
        </w:rPr>
        <w:t>在</w:t>
      </w:r>
      <w:r w:rsidRPr="007913B1">
        <w:rPr>
          <w:rFonts w:ascii="SimSun" w:hAnsi="SimSun" w:cstheme="minorHAnsi"/>
          <w:szCs w:val="24"/>
          <w:lang w:eastAsia="zh-CN"/>
        </w:rPr>
        <w:t>“</w:t>
      </w:r>
      <w:r w:rsidRPr="008D6410">
        <w:rPr>
          <w:rFonts w:cstheme="minorHAnsi"/>
          <w:szCs w:val="24"/>
          <w:lang w:eastAsia="zh-CN"/>
        </w:rPr>
        <w:t>议定书</w:t>
      </w:r>
      <w:r w:rsidRPr="007913B1">
        <w:rPr>
          <w:rFonts w:ascii="SimSun" w:hAnsi="SimSun" w:cstheme="minorHAnsi"/>
          <w:szCs w:val="24"/>
          <w:lang w:eastAsia="zh-CN"/>
        </w:rPr>
        <w:t>”</w:t>
      </w:r>
      <w:r w:rsidRPr="008D6410">
        <w:rPr>
          <w:rFonts w:cstheme="minorHAnsi"/>
          <w:szCs w:val="24"/>
          <w:lang w:eastAsia="zh-CN"/>
        </w:rPr>
        <w:t>生效时</w:t>
      </w:r>
      <w:r w:rsidRPr="008D6410">
        <w:rPr>
          <w:rFonts w:cstheme="minorHAnsi"/>
          <w:szCs w:val="24"/>
          <w:lang w:val="zh-CN" w:eastAsia="zh-CN"/>
        </w:rPr>
        <w:t>或生效后</w:t>
      </w:r>
      <w:r w:rsidRPr="008D6410">
        <w:rPr>
          <w:rFonts w:cstheme="minorHAnsi"/>
          <w:szCs w:val="24"/>
          <w:lang w:eastAsia="zh-CN"/>
        </w:rPr>
        <w:t>，授权秘书长就国际电联有意成为监督机构继续表态，并授权秘书长或其代表作为观察员参加筹备委员会的工作。</w:t>
      </w:r>
    </w:p>
    <w:p w14:paraId="4827BC0D" w14:textId="77777777" w:rsidR="00B673B6" w:rsidRDefault="00B673B6" w:rsidP="00B673B6">
      <w:pPr>
        <w:pStyle w:val="Call"/>
        <w:rPr>
          <w:lang w:eastAsia="zh-CN"/>
        </w:rPr>
      </w:pPr>
      <w:r w:rsidRPr="008D6410">
        <w:rPr>
          <w:lang w:eastAsia="zh-CN"/>
        </w:rPr>
        <w:t>责成秘书长</w:t>
      </w:r>
    </w:p>
    <w:p w14:paraId="4827BC0E" w14:textId="77777777" w:rsidR="00B673B6" w:rsidRDefault="00B673B6" w:rsidP="00B673B6">
      <w:pPr>
        <w:snapToGrid w:val="0"/>
        <w:spacing w:after="120"/>
        <w:rPr>
          <w:rFonts w:cstheme="minorHAnsi"/>
          <w:szCs w:val="24"/>
          <w:lang w:eastAsia="zh-CN"/>
        </w:rPr>
      </w:pPr>
      <w:r>
        <w:rPr>
          <w:rFonts w:cstheme="minorHAnsi" w:hint="eastAsia"/>
          <w:szCs w:val="24"/>
          <w:lang w:val="zh-CN" w:eastAsia="zh-CN"/>
        </w:rPr>
        <w:t>1</w:t>
      </w:r>
      <w:r>
        <w:rPr>
          <w:rFonts w:cstheme="minorHAnsi" w:hint="eastAsia"/>
          <w:szCs w:val="24"/>
          <w:lang w:val="zh-CN" w:eastAsia="zh-CN"/>
        </w:rPr>
        <w:tab/>
      </w:r>
      <w:r w:rsidRPr="00955CF7">
        <w:rPr>
          <w:rFonts w:cstheme="minorHAnsi"/>
          <w:szCs w:val="24"/>
          <w:lang w:val="zh-CN" w:eastAsia="zh-CN"/>
        </w:rPr>
        <w:t>就筹备委员会的成果和国际电联担任监督机构的相关金融</w:t>
      </w:r>
      <w:r w:rsidRPr="00955CF7">
        <w:rPr>
          <w:rFonts w:cstheme="minorHAnsi"/>
          <w:szCs w:val="24"/>
          <w:lang w:eastAsia="zh-CN"/>
        </w:rPr>
        <w:t>、</w:t>
      </w:r>
      <w:r w:rsidRPr="00955CF7">
        <w:rPr>
          <w:rFonts w:cstheme="minorHAnsi"/>
          <w:szCs w:val="24"/>
          <w:lang w:val="zh-CN" w:eastAsia="zh-CN"/>
        </w:rPr>
        <w:t>法律和技术影响向理事会</w:t>
      </w:r>
      <w:r w:rsidRPr="00955CF7">
        <w:rPr>
          <w:rFonts w:cstheme="minorHAnsi"/>
          <w:szCs w:val="24"/>
          <w:lang w:eastAsia="zh-CN"/>
        </w:rPr>
        <w:t>2014</w:t>
      </w:r>
      <w:r w:rsidRPr="00955CF7">
        <w:rPr>
          <w:rFonts w:cstheme="minorHAnsi"/>
          <w:szCs w:val="24"/>
          <w:lang w:val="zh-CN" w:eastAsia="zh-CN"/>
        </w:rPr>
        <w:t>年会议和下届全权代表大会提交一份报告</w:t>
      </w:r>
      <w:r w:rsidRPr="00955CF7">
        <w:rPr>
          <w:rFonts w:cstheme="minorHAnsi"/>
          <w:szCs w:val="24"/>
          <w:lang w:eastAsia="zh-CN"/>
        </w:rPr>
        <w:t>，</w:t>
      </w:r>
      <w:r w:rsidRPr="00955CF7">
        <w:rPr>
          <w:rFonts w:cstheme="minorHAnsi"/>
          <w:szCs w:val="24"/>
          <w:lang w:val="zh-CN" w:eastAsia="zh-CN"/>
        </w:rPr>
        <w:t>同时考虑到届时筹备委员会的新动向</w:t>
      </w:r>
      <w:r w:rsidRPr="00955CF7">
        <w:rPr>
          <w:rFonts w:cstheme="minorHAnsi"/>
          <w:szCs w:val="24"/>
          <w:lang w:eastAsia="zh-CN"/>
        </w:rPr>
        <w:t>，并解决</w:t>
      </w:r>
      <w:r w:rsidRPr="00955CF7">
        <w:rPr>
          <w:rFonts w:ascii="STKaiti" w:eastAsia="STKaiti" w:hAnsi="STKaiti" w:cstheme="minorHAnsi"/>
          <w:szCs w:val="24"/>
          <w:lang w:val="zh-CN" w:eastAsia="zh-CN"/>
        </w:rPr>
        <w:t>考虑到</w:t>
      </w:r>
      <w:r w:rsidRPr="00955CF7">
        <w:rPr>
          <w:rFonts w:cstheme="minorHAnsi"/>
          <w:i/>
          <w:iCs/>
          <w:szCs w:val="24"/>
          <w:lang w:eastAsia="zh-CN"/>
        </w:rPr>
        <w:t>c</w:t>
      </w:r>
      <w:r w:rsidRPr="00955CF7">
        <w:rPr>
          <w:rFonts w:ascii="STKaiti" w:eastAsia="STKaiti" w:hAnsi="STKaiti" w:cstheme="minorHAnsi"/>
          <w:iCs/>
          <w:szCs w:val="24"/>
          <w:lang w:eastAsia="zh-CN"/>
        </w:rPr>
        <w:t>）</w:t>
      </w:r>
      <w:r w:rsidRPr="00955CF7">
        <w:rPr>
          <w:rFonts w:cstheme="minorHAnsi"/>
          <w:szCs w:val="24"/>
          <w:lang w:eastAsia="zh-CN"/>
        </w:rPr>
        <w:t>中所述的</w:t>
      </w:r>
      <w:r w:rsidRPr="00955CF7">
        <w:rPr>
          <w:rFonts w:cstheme="minorHAnsi"/>
          <w:szCs w:val="24"/>
          <w:lang w:val="zh-CN" w:eastAsia="zh-CN"/>
        </w:rPr>
        <w:t>理事会要求澄清的问题</w:t>
      </w:r>
      <w:r w:rsidRPr="00955CF7">
        <w:rPr>
          <w:rFonts w:cstheme="minorHAnsi"/>
          <w:szCs w:val="24"/>
          <w:lang w:eastAsia="zh-CN"/>
        </w:rPr>
        <w:t>；</w:t>
      </w:r>
    </w:p>
    <w:p w14:paraId="4827BC0F" w14:textId="77777777" w:rsidR="00B673B6" w:rsidRDefault="00B673B6" w:rsidP="00B673B6">
      <w:pPr>
        <w:snapToGrid w:val="0"/>
        <w:spacing w:after="120"/>
        <w:rPr>
          <w:rFonts w:cstheme="minorHAnsi"/>
          <w:szCs w:val="24"/>
          <w:lang w:eastAsia="zh-CN"/>
        </w:rPr>
      </w:pPr>
      <w:r>
        <w:rPr>
          <w:rFonts w:cstheme="minorHAnsi" w:hint="eastAsia"/>
          <w:szCs w:val="24"/>
          <w:lang w:eastAsia="zh-CN"/>
        </w:rPr>
        <w:t>2</w:t>
      </w:r>
      <w:r>
        <w:rPr>
          <w:rFonts w:cstheme="minorHAnsi" w:hint="eastAsia"/>
          <w:szCs w:val="24"/>
          <w:lang w:eastAsia="zh-CN"/>
        </w:rPr>
        <w:tab/>
      </w:r>
      <w:r w:rsidRPr="00955CF7">
        <w:rPr>
          <w:rFonts w:cstheme="minorHAnsi"/>
          <w:szCs w:val="24"/>
          <w:lang w:eastAsia="zh-CN"/>
        </w:rPr>
        <w:t>在</w:t>
      </w:r>
      <w:r w:rsidRPr="00955CF7">
        <w:rPr>
          <w:rFonts w:ascii="SimSun" w:hAnsi="SimSun" w:cstheme="minorHAnsi"/>
          <w:szCs w:val="24"/>
          <w:lang w:eastAsia="zh-CN"/>
        </w:rPr>
        <w:t>“</w:t>
      </w:r>
      <w:r w:rsidRPr="00955CF7">
        <w:rPr>
          <w:rFonts w:cstheme="minorHAnsi"/>
          <w:szCs w:val="24"/>
          <w:lang w:val="zh-CN" w:eastAsia="zh-CN"/>
        </w:rPr>
        <w:t>议定书</w:t>
      </w:r>
      <w:r w:rsidRPr="00955CF7">
        <w:rPr>
          <w:rFonts w:ascii="SimSun" w:hAnsi="SimSun" w:cstheme="minorHAnsi"/>
          <w:szCs w:val="24"/>
          <w:lang w:eastAsia="zh-CN"/>
        </w:rPr>
        <w:t>”</w:t>
      </w:r>
      <w:r w:rsidRPr="00955CF7">
        <w:rPr>
          <w:rFonts w:cstheme="minorHAnsi"/>
          <w:szCs w:val="24"/>
          <w:lang w:val="zh-CN" w:eastAsia="zh-CN"/>
        </w:rPr>
        <w:t>生效时或生效后</w:t>
      </w:r>
      <w:r w:rsidRPr="00955CF7">
        <w:rPr>
          <w:rFonts w:cstheme="minorHAnsi"/>
          <w:szCs w:val="24"/>
          <w:lang w:eastAsia="zh-CN"/>
        </w:rPr>
        <w:t>，就国际电联</w:t>
      </w:r>
      <w:r w:rsidRPr="00955CF7">
        <w:rPr>
          <w:rFonts w:cstheme="minorHAnsi"/>
          <w:szCs w:val="24"/>
          <w:lang w:val="zh-CN" w:eastAsia="zh-CN"/>
        </w:rPr>
        <w:t>参与筹备委员会会议的财务影响及其担任监督机构的各类财务影响做出报告</w:t>
      </w:r>
      <w:r w:rsidRPr="00955CF7">
        <w:rPr>
          <w:rFonts w:cstheme="minorHAnsi"/>
          <w:szCs w:val="24"/>
          <w:lang w:eastAsia="zh-CN"/>
        </w:rPr>
        <w:t>；</w:t>
      </w:r>
    </w:p>
    <w:p w14:paraId="4827BC10" w14:textId="77777777" w:rsidR="00B673B6" w:rsidRPr="00955CF7" w:rsidRDefault="00B673B6" w:rsidP="00B673B6">
      <w:pPr>
        <w:snapToGrid w:val="0"/>
        <w:spacing w:after="120"/>
        <w:rPr>
          <w:rFonts w:cstheme="minorHAnsi"/>
          <w:szCs w:val="24"/>
          <w:lang w:eastAsia="zh-CN"/>
        </w:rPr>
      </w:pPr>
      <w:r>
        <w:rPr>
          <w:rFonts w:cstheme="minorHAnsi" w:hint="eastAsia"/>
          <w:szCs w:val="24"/>
          <w:lang w:eastAsia="zh-CN"/>
        </w:rPr>
        <w:t>3</w:t>
      </w:r>
      <w:r>
        <w:rPr>
          <w:rFonts w:cstheme="minorHAnsi" w:hint="eastAsia"/>
          <w:szCs w:val="24"/>
          <w:lang w:eastAsia="zh-CN"/>
        </w:rPr>
        <w:tab/>
      </w:r>
      <w:r w:rsidRPr="00955CF7">
        <w:rPr>
          <w:rFonts w:cstheme="minorHAnsi"/>
          <w:szCs w:val="24"/>
          <w:lang w:eastAsia="zh-CN"/>
        </w:rPr>
        <w:t>针对</w:t>
      </w:r>
      <w:r w:rsidRPr="00955CF7">
        <w:rPr>
          <w:rFonts w:cstheme="minorHAnsi"/>
          <w:szCs w:val="24"/>
          <w:lang w:val="zh-CN" w:eastAsia="zh-CN"/>
        </w:rPr>
        <w:t>国际电联担任监督机构的问题</w:t>
      </w:r>
      <w:r w:rsidRPr="00955CF7">
        <w:rPr>
          <w:rFonts w:cstheme="minorHAnsi"/>
          <w:szCs w:val="24"/>
          <w:lang w:eastAsia="zh-CN"/>
        </w:rPr>
        <w:t>，</w:t>
      </w:r>
      <w:r w:rsidRPr="00955CF7">
        <w:rPr>
          <w:rFonts w:cstheme="minorHAnsi"/>
          <w:szCs w:val="24"/>
          <w:lang w:val="zh-CN" w:eastAsia="zh-CN"/>
        </w:rPr>
        <w:t>确定国际电联成员国和部门成员可就此展开审议或发表评论的机制。</w:t>
      </w:r>
    </w:p>
    <w:p w14:paraId="4827BC11" w14:textId="77777777" w:rsidR="00103021" w:rsidRDefault="00B673B6" w:rsidP="00103021">
      <w:pPr>
        <w:pStyle w:val="Endtext"/>
        <w:rPr>
          <w:lang w:eastAsia="zh-CN"/>
        </w:rPr>
      </w:pPr>
      <w:r w:rsidRPr="00EA5664">
        <w:rPr>
          <w:rFonts w:hint="eastAsia"/>
          <w:lang w:eastAsia="zh-CN"/>
        </w:rPr>
        <w:t>参阅</w:t>
      </w:r>
      <w:r w:rsidRPr="00EA5664">
        <w:rPr>
          <w:rFonts w:ascii="STKaiti" w:hAnsi="SimSun" w:hint="eastAsia"/>
          <w:lang w:eastAsia="zh-CN"/>
        </w:rPr>
        <w:t>：</w:t>
      </w:r>
      <w:r w:rsidRPr="00EA5664">
        <w:rPr>
          <w:lang w:eastAsia="zh-CN"/>
        </w:rPr>
        <w:tab/>
      </w:r>
      <w:hyperlink r:id="rId523" w:history="1">
        <w:r w:rsidR="00103021" w:rsidRPr="003C453B">
          <w:rPr>
            <w:rStyle w:val="Hyperlink"/>
            <w:lang w:val="fr-FR" w:eastAsia="zh-CN"/>
          </w:rPr>
          <w:t>C13/107</w:t>
        </w:r>
      </w:hyperlink>
      <w:r w:rsidR="00103021">
        <w:rPr>
          <w:rFonts w:hint="eastAsia"/>
          <w:lang w:val="fr-FR" w:eastAsia="zh-CN"/>
        </w:rPr>
        <w:t>和</w:t>
      </w:r>
      <w:hyperlink r:id="rId524" w:history="1">
        <w:r w:rsidR="00103021" w:rsidRPr="003C453B">
          <w:rPr>
            <w:rStyle w:val="Hyperlink"/>
            <w:lang w:val="fr-FR" w:eastAsia="zh-CN"/>
          </w:rPr>
          <w:t>C13/121</w:t>
        </w:r>
      </w:hyperlink>
      <w:r w:rsidR="00103021">
        <w:rPr>
          <w:rFonts w:hint="eastAsia"/>
          <w:lang w:eastAsia="zh-CN"/>
        </w:rPr>
        <w:t>号</w:t>
      </w:r>
      <w:r w:rsidR="00103021">
        <w:rPr>
          <w:lang w:eastAsia="zh-CN"/>
        </w:rPr>
        <w:t>文件。</w:t>
      </w:r>
    </w:p>
    <w:p w14:paraId="4827BC12" w14:textId="77777777" w:rsidR="002802D7" w:rsidRDefault="002802D7" w:rsidP="002802D7">
      <w:pPr>
        <w:jc w:val="center"/>
        <w:rPr>
          <w:lang w:eastAsia="zh-CN"/>
        </w:rPr>
      </w:pPr>
      <w:r>
        <w:rPr>
          <w:lang w:eastAsia="zh-CN"/>
        </w:rPr>
        <w:t>______________</w:t>
      </w:r>
    </w:p>
    <w:p w14:paraId="4827BC13" w14:textId="77777777" w:rsidR="00B31FF3" w:rsidRDefault="00B31FF3" w:rsidP="00B64353">
      <w:pPr>
        <w:rPr>
          <w:lang w:eastAsia="zh-CN"/>
        </w:rPr>
      </w:pPr>
    </w:p>
    <w:p w14:paraId="4827BC14" w14:textId="77777777" w:rsidR="00B31FF3" w:rsidRDefault="00B31FF3" w:rsidP="00B64353">
      <w:pPr>
        <w:rPr>
          <w:lang w:eastAsia="zh-CN"/>
        </w:rPr>
      </w:pPr>
    </w:p>
    <w:p w14:paraId="4827BC15" w14:textId="77777777" w:rsidR="00B31FF3" w:rsidRDefault="00B31FF3" w:rsidP="00B64353">
      <w:pPr>
        <w:rPr>
          <w:lang w:eastAsia="zh-CN"/>
        </w:rPr>
      </w:pPr>
    </w:p>
    <w:p w14:paraId="4827BC16" w14:textId="77777777" w:rsidR="00B31FF3" w:rsidRDefault="00B31FF3" w:rsidP="00B64353">
      <w:pPr>
        <w:rPr>
          <w:lang w:eastAsia="zh-CN"/>
        </w:rPr>
      </w:pPr>
    </w:p>
    <w:p w14:paraId="4827BC17" w14:textId="77777777" w:rsidR="00B31FF3" w:rsidRDefault="00B31FF3" w:rsidP="00B64353">
      <w:pPr>
        <w:rPr>
          <w:lang w:eastAsia="zh-CN"/>
        </w:rPr>
      </w:pPr>
    </w:p>
    <w:p w14:paraId="4827BC18" w14:textId="77777777" w:rsidR="00B31FF3" w:rsidRDefault="00B31FF3" w:rsidP="00B64353">
      <w:pPr>
        <w:rPr>
          <w:lang w:eastAsia="zh-CN"/>
        </w:rPr>
      </w:pPr>
    </w:p>
    <w:p w14:paraId="4827BC19" w14:textId="77777777" w:rsidR="00B31FF3" w:rsidRDefault="00B31FF3" w:rsidP="00B64353">
      <w:pPr>
        <w:rPr>
          <w:lang w:eastAsia="zh-CN"/>
        </w:rPr>
      </w:pPr>
    </w:p>
    <w:p w14:paraId="4827BC1A" w14:textId="77777777" w:rsidR="00B31FF3" w:rsidRDefault="00B31FF3" w:rsidP="00B64353">
      <w:pPr>
        <w:rPr>
          <w:lang w:eastAsia="zh-CN"/>
        </w:rPr>
      </w:pPr>
    </w:p>
    <w:p w14:paraId="4827BC1B" w14:textId="77777777" w:rsidR="00556B68" w:rsidRDefault="00556B68">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C1C" w14:textId="77777777" w:rsidR="00B31FF3" w:rsidRDefault="00B31FF3" w:rsidP="00B64353">
      <w:pPr>
        <w:rPr>
          <w:lang w:eastAsia="zh-CN"/>
        </w:rPr>
      </w:pPr>
    </w:p>
    <w:p w14:paraId="4827BC1D" w14:textId="77777777" w:rsidR="00B31FF3" w:rsidRPr="00D746C3" w:rsidRDefault="00B31FF3" w:rsidP="00B64353">
      <w:pPr>
        <w:rPr>
          <w:lang w:eastAsia="zh-CN"/>
        </w:rPr>
        <w:sectPr w:rsidR="00B31FF3" w:rsidRPr="00D746C3" w:rsidSect="00DD6DA3">
          <w:headerReference w:type="even" r:id="rId525"/>
          <w:headerReference w:type="default" r:id="rId526"/>
          <w:headerReference w:type="first" r:id="rId527"/>
          <w:footnotePr>
            <w:pos w:val="beneathText"/>
          </w:footnotePr>
          <w:endnotePr>
            <w:numFmt w:val="decimal"/>
          </w:endnotePr>
          <w:pgSz w:w="11907" w:h="16840" w:code="9"/>
          <w:pgMar w:top="1418" w:right="1134" w:bottom="1134" w:left="1134" w:header="737" w:footer="567" w:gutter="284"/>
          <w:cols w:space="720"/>
          <w:vAlign w:val="both"/>
          <w:titlePg/>
        </w:sectPr>
      </w:pPr>
    </w:p>
    <w:p w14:paraId="4827BC1E" w14:textId="77777777" w:rsidR="00F731E3" w:rsidRDefault="006E3B9B" w:rsidP="000D18CD">
      <w:pPr>
        <w:pStyle w:val="AppendixNo"/>
        <w:spacing w:before="120"/>
        <w:outlineLvl w:val="0"/>
        <w:rPr>
          <w:lang w:val="en-US" w:eastAsia="zh-CN"/>
        </w:rPr>
      </w:pPr>
      <w:bookmarkStart w:id="2879" w:name="_Toc185237774"/>
      <w:bookmarkStart w:id="2880" w:name="_Toc311469686"/>
      <w:bookmarkStart w:id="2881" w:name="_Toc16173763"/>
      <w:bookmarkStart w:id="2882" w:name="_Toc86395737"/>
      <w:bookmarkStart w:id="2883" w:name="_Toc424115680"/>
      <w:bookmarkStart w:id="2884" w:name="_Toc424116288"/>
      <w:bookmarkStart w:id="2885" w:name="_Toc424117173"/>
      <w:bookmarkStart w:id="2886" w:name="_Toc531706522"/>
      <w:bookmarkStart w:id="2887" w:name="_Toc161224135"/>
      <w:r w:rsidRPr="003854B6">
        <w:rPr>
          <w:rFonts w:hAnsi="SimSun"/>
          <w:lang w:val="en-US" w:eastAsia="zh-CN"/>
        </w:rPr>
        <w:lastRenderedPageBreak/>
        <w:t>附录</w:t>
      </w:r>
      <w:r w:rsidRPr="003854B6">
        <w:rPr>
          <w:lang w:val="en-US" w:eastAsia="zh-CN"/>
        </w:rPr>
        <w:t>A</w:t>
      </w:r>
      <w:bookmarkStart w:id="2888" w:name="_Toc161732182"/>
      <w:bookmarkStart w:id="2889" w:name="_Toc161741114"/>
      <w:bookmarkEnd w:id="2879"/>
      <w:bookmarkEnd w:id="2880"/>
      <w:bookmarkEnd w:id="2881"/>
      <w:bookmarkEnd w:id="2882"/>
    </w:p>
    <w:p w14:paraId="4827BC1F" w14:textId="77777777" w:rsidR="006E3B9B" w:rsidRPr="006E3B9B" w:rsidRDefault="006E3B9B" w:rsidP="00F731E3">
      <w:pPr>
        <w:pStyle w:val="Appendixtitle"/>
        <w:rPr>
          <w:lang w:val="en-US" w:eastAsia="zh-CN"/>
        </w:rPr>
      </w:pPr>
      <w:r w:rsidRPr="006E3B9B">
        <w:rPr>
          <w:rFonts w:hint="eastAsia"/>
          <w:lang w:val="en-US" w:eastAsia="zh-CN"/>
        </w:rPr>
        <w:t>国际电联理事会各项决议编号列表</w:t>
      </w:r>
      <w:bookmarkEnd w:id="2883"/>
      <w:bookmarkEnd w:id="2884"/>
      <w:bookmarkEnd w:id="2885"/>
      <w:bookmarkEnd w:id="2886"/>
      <w:bookmarkEnd w:id="2888"/>
      <w:bookmarkEnd w:id="2889"/>
    </w:p>
    <w:p w14:paraId="4827BC20" w14:textId="77777777" w:rsidR="006E3B9B" w:rsidRPr="006E3B9B" w:rsidRDefault="006E3B9B" w:rsidP="00B64353">
      <w:pPr>
        <w:tabs>
          <w:tab w:val="clear" w:pos="794"/>
          <w:tab w:val="clear" w:pos="1191"/>
          <w:tab w:val="clear" w:pos="1588"/>
          <w:tab w:val="clear" w:pos="1985"/>
          <w:tab w:val="left" w:pos="1701"/>
          <w:tab w:val="right" w:pos="9639"/>
        </w:tabs>
        <w:rPr>
          <w:rFonts w:ascii="SimSun" w:hAnsi="SimSun"/>
          <w:bCs/>
          <w:szCs w:val="22"/>
          <w:lang w:eastAsia="zh-CN"/>
        </w:rPr>
      </w:pPr>
      <w:r w:rsidRPr="006E3B9B">
        <w:rPr>
          <w:rFonts w:ascii="SimSun" w:hAnsi="SimSun" w:hint="eastAsia"/>
          <w:bCs/>
          <w:szCs w:val="22"/>
          <w:lang w:eastAsia="zh-CN"/>
        </w:rPr>
        <w:t>题目右栏列出了相关案文所在章节的编号。</w:t>
      </w:r>
    </w:p>
    <w:p w14:paraId="4827BC21" w14:textId="77777777" w:rsidR="006E3B9B" w:rsidRPr="006E3B9B" w:rsidRDefault="006E3B9B" w:rsidP="00B64353">
      <w:pPr>
        <w:tabs>
          <w:tab w:val="clear" w:pos="794"/>
          <w:tab w:val="clear" w:pos="1191"/>
          <w:tab w:val="clear" w:pos="1588"/>
          <w:tab w:val="clear" w:pos="1985"/>
          <w:tab w:val="left" w:pos="1701"/>
          <w:tab w:val="right" w:pos="9639"/>
        </w:tabs>
        <w:rPr>
          <w:lang w:val="en-US" w:eastAsia="zh-CN"/>
        </w:rPr>
      </w:pPr>
      <w:r w:rsidRPr="006E3B9B">
        <w:rPr>
          <w:rFonts w:hint="eastAsia"/>
          <w:lang w:val="en-US" w:eastAsia="zh-CN"/>
        </w:rPr>
        <w:t>对于那些已经失效的案文，相关章节编号由理事会做出决定将其从《汇编》中删除的年份取代。</w:t>
      </w:r>
    </w:p>
    <w:p w14:paraId="4827BC22" w14:textId="77777777" w:rsidR="006E3B9B" w:rsidRPr="006E3B9B" w:rsidRDefault="006E3B9B" w:rsidP="00B64353">
      <w:pPr>
        <w:tabs>
          <w:tab w:val="clear" w:pos="794"/>
          <w:tab w:val="clear" w:pos="1191"/>
          <w:tab w:val="clear" w:pos="1588"/>
          <w:tab w:val="clear" w:pos="1985"/>
          <w:tab w:val="left" w:pos="1701"/>
          <w:tab w:val="right" w:pos="9639"/>
        </w:tabs>
        <w:jc w:val="center"/>
        <w:rPr>
          <w:sz w:val="20"/>
          <w:lang w:val="en-US" w:eastAsia="zh-CN"/>
        </w:rPr>
      </w:pPr>
      <w:r w:rsidRPr="006E3B9B">
        <w:rPr>
          <w:sz w:val="20"/>
          <w:lang w:val="en-US" w:eastAsia="zh-CN"/>
        </w:rPr>
        <w:t>________________</w:t>
      </w:r>
    </w:p>
    <w:p w14:paraId="4827BC23" w14:textId="77777777" w:rsidR="006E3B9B" w:rsidRPr="006E3B9B" w:rsidRDefault="006E3B9B" w:rsidP="007113E0">
      <w:pPr>
        <w:pStyle w:val="Reftitle"/>
        <w:spacing w:before="360"/>
        <w:rPr>
          <w:lang w:val="en-US" w:eastAsia="zh-CN"/>
        </w:rPr>
      </w:pPr>
      <w:r w:rsidRPr="006E3B9B">
        <w:rPr>
          <w:rFonts w:hint="eastAsia"/>
          <w:lang w:eastAsia="zh-CN"/>
        </w:rPr>
        <w:t>第</w:t>
      </w:r>
      <w:r w:rsidRPr="006E3B9B">
        <w:rPr>
          <w:rFonts w:hint="eastAsia"/>
          <w:lang w:eastAsia="zh-CN"/>
        </w:rPr>
        <w:t>2</w:t>
      </w:r>
      <w:r w:rsidRPr="006E3B9B">
        <w:rPr>
          <w:rFonts w:hint="eastAsia"/>
          <w:lang w:eastAsia="zh-CN"/>
        </w:rPr>
        <w:t>届会议</w:t>
      </w:r>
      <w:r w:rsidRPr="006E3B9B">
        <w:rPr>
          <w:lang w:val="en-US" w:eastAsia="zh-CN"/>
        </w:rPr>
        <w:t>（</w:t>
      </w:r>
      <w:r w:rsidRPr="006E3B9B">
        <w:rPr>
          <w:lang w:val="en-US" w:eastAsia="zh-CN"/>
        </w:rPr>
        <w:t>1948</w:t>
      </w:r>
      <w:r w:rsidRPr="006E3B9B">
        <w:rPr>
          <w:rFonts w:hint="eastAsia"/>
          <w:lang w:val="en-US" w:eastAsia="zh-CN"/>
        </w:rPr>
        <w:t>年</w:t>
      </w:r>
      <w:r w:rsidRPr="006E3B9B">
        <w:rPr>
          <w:rFonts w:hint="eastAsia"/>
          <w:lang w:val="en-US" w:eastAsia="zh-CN"/>
        </w:rPr>
        <w:t>2</w:t>
      </w:r>
      <w:r w:rsidRPr="006E3B9B">
        <w:rPr>
          <w:rFonts w:hint="eastAsia"/>
          <w:lang w:val="en-US" w:eastAsia="zh-CN"/>
        </w:rPr>
        <w:t>月</w:t>
      </w:r>
      <w:r w:rsidRPr="006E3B9B">
        <w:rPr>
          <w:lang w:val="en-US" w:eastAsia="zh-CN"/>
        </w:rPr>
        <w:t>）</w:t>
      </w:r>
    </w:p>
    <w:p w14:paraId="4827BC24"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w:t>
      </w:r>
      <w:r w:rsidRPr="006E3B9B">
        <w:rPr>
          <w:lang w:val="en-US" w:eastAsia="zh-CN"/>
        </w:rPr>
        <w:t>号决议</w:t>
      </w:r>
      <w:r w:rsidRPr="006E3B9B">
        <w:rPr>
          <w:rFonts w:hint="eastAsia"/>
          <w:lang w:val="en-US" w:eastAsia="zh-CN"/>
        </w:rPr>
        <w:tab/>
      </w:r>
      <w:r w:rsidRPr="006E3B9B">
        <w:rPr>
          <w:rFonts w:hint="eastAsia"/>
          <w:lang w:eastAsia="zh-CN"/>
        </w:rPr>
        <w:t>理事会议事规则</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25"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w:t>
      </w:r>
      <w:r w:rsidRPr="006E3B9B">
        <w:rPr>
          <w:lang w:val="en-US" w:eastAsia="zh-CN"/>
        </w:rPr>
        <w:t>号决议</w:t>
      </w:r>
      <w:r w:rsidRPr="006E3B9B">
        <w:rPr>
          <w:lang w:val="en-US" w:eastAsia="zh-CN"/>
        </w:rPr>
        <w:tab/>
      </w:r>
      <w:r w:rsidRPr="006E3B9B">
        <w:rPr>
          <w:rFonts w:hint="eastAsia"/>
          <w:lang w:eastAsia="zh-CN"/>
        </w:rPr>
        <w:t>理事国参加理事会会议</w:t>
      </w:r>
      <w:r w:rsidRPr="006E3B9B">
        <w:rPr>
          <w:lang w:val="en-US" w:eastAsia="zh-CN"/>
        </w:rPr>
        <w:tab/>
      </w:r>
      <w:r w:rsidR="00A45877">
        <w:rPr>
          <w:lang w:val="en-US" w:eastAsia="zh-CN"/>
        </w:rPr>
        <w:tab/>
      </w:r>
      <w:r w:rsidRPr="006E3B9B">
        <w:rPr>
          <w:lang w:val="en-US" w:eastAsia="zh-CN"/>
        </w:rPr>
        <w:t>3.2</w:t>
      </w:r>
    </w:p>
    <w:p w14:paraId="4827BC26"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w:t>
      </w:r>
      <w:r w:rsidRPr="006E3B9B">
        <w:rPr>
          <w:lang w:val="en-US" w:eastAsia="zh-CN"/>
        </w:rPr>
        <w:t>号决议</w:t>
      </w:r>
      <w:r w:rsidRPr="006E3B9B">
        <w:rPr>
          <w:lang w:val="en-US" w:eastAsia="zh-CN"/>
        </w:rPr>
        <w:tab/>
      </w:r>
      <w:r w:rsidRPr="006E3B9B">
        <w:rPr>
          <w:rFonts w:hint="eastAsia"/>
          <w:lang w:eastAsia="zh-CN"/>
        </w:rPr>
        <w:t>理事国参加常设机构会议的权利</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C27"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w:t>
      </w:r>
      <w:r w:rsidRPr="006E3B9B">
        <w:rPr>
          <w:lang w:val="en-US" w:eastAsia="zh-CN"/>
        </w:rPr>
        <w:t>号决议</w:t>
      </w:r>
      <w:r w:rsidRPr="006E3B9B">
        <w:rPr>
          <w:lang w:val="en-US" w:eastAsia="zh-CN"/>
        </w:rPr>
        <w:tab/>
      </w:r>
      <w:r w:rsidRPr="006E3B9B">
        <w:rPr>
          <w:lang w:eastAsia="zh-CN"/>
        </w:rPr>
        <w:t>1948</w:t>
      </w:r>
      <w:r w:rsidRPr="006E3B9B">
        <w:rPr>
          <w:rFonts w:hint="eastAsia"/>
          <w:lang w:eastAsia="zh-CN"/>
        </w:rPr>
        <w:t>年</w:t>
      </w:r>
      <w:r w:rsidRPr="006E3B9B">
        <w:rPr>
          <w:lang w:eastAsia="zh-CN"/>
        </w:rPr>
        <w:t>9</w:t>
      </w:r>
      <w:r w:rsidRPr="006E3B9B">
        <w:rPr>
          <w:rFonts w:hint="eastAsia"/>
          <w:lang w:eastAsia="zh-CN"/>
        </w:rPr>
        <w:t>月会议的议程草案</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28"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5a</w:t>
      </w:r>
      <w:r w:rsidRPr="006E3B9B">
        <w:rPr>
          <w:rFonts w:hint="eastAsia"/>
          <w:lang w:val="en-US" w:eastAsia="zh-CN"/>
        </w:rPr>
        <w:t>号决议</w:t>
      </w:r>
      <w:r w:rsidRPr="006E3B9B">
        <w:rPr>
          <w:rFonts w:hint="eastAsia"/>
          <w:lang w:val="en-US" w:eastAsia="zh-CN"/>
        </w:rPr>
        <w:tab/>
      </w:r>
      <w:r w:rsidRPr="006E3B9B">
        <w:rPr>
          <w:rFonts w:hint="eastAsia"/>
          <w:lang w:eastAsia="zh-CN"/>
        </w:rPr>
        <w:t>各组领土的会费等级</w:t>
      </w:r>
      <w:r w:rsidRPr="006E3B9B">
        <w:rPr>
          <w:lang w:val="en-US" w:eastAsia="zh-CN"/>
        </w:rPr>
        <w:tab/>
      </w:r>
      <w:r w:rsidR="00A45877">
        <w:rPr>
          <w:lang w:val="en-US" w:eastAsia="zh-CN"/>
        </w:rPr>
        <w:tab/>
      </w:r>
      <w:r w:rsidRPr="006E3B9B">
        <w:rPr>
          <w:lang w:val="en-US" w:eastAsia="zh-CN"/>
        </w:rPr>
        <w:t>1975</w:t>
      </w:r>
      <w:r w:rsidRPr="006E3B9B">
        <w:rPr>
          <w:rFonts w:hint="eastAsia"/>
          <w:lang w:val="en-US" w:eastAsia="zh-CN"/>
        </w:rPr>
        <w:t>年</w:t>
      </w:r>
    </w:p>
    <w:p w14:paraId="4827BC29"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5b</w:t>
      </w:r>
      <w:r w:rsidRPr="006E3B9B">
        <w:rPr>
          <w:rFonts w:hint="eastAsia"/>
          <w:lang w:val="en-US" w:eastAsia="zh-CN"/>
        </w:rPr>
        <w:t>号决议</w:t>
      </w:r>
      <w:r w:rsidRPr="006E3B9B">
        <w:rPr>
          <w:lang w:val="en-US" w:eastAsia="zh-CN"/>
        </w:rPr>
        <w:tab/>
      </w:r>
      <w:r w:rsidRPr="006E3B9B">
        <w:rPr>
          <w:rFonts w:hint="eastAsia"/>
          <w:lang w:val="en-US" w:eastAsia="zh-CN"/>
        </w:rPr>
        <w:t>临时频率委员会（</w:t>
      </w:r>
      <w:r w:rsidRPr="006E3B9B">
        <w:rPr>
          <w:lang w:eastAsia="zh-CN"/>
        </w:rPr>
        <w:t>PFB</w:t>
      </w:r>
      <w:r w:rsidRPr="006E3B9B">
        <w:rPr>
          <w:rFonts w:hint="eastAsia"/>
          <w:lang w:eastAsia="zh-CN"/>
        </w:rPr>
        <w:t>）对大西洋城决议作少许变动的权限</w:t>
      </w:r>
      <w:r w:rsidRPr="006E3B9B">
        <w:rPr>
          <w:lang w:val="en-US" w:eastAsia="zh-CN"/>
        </w:rPr>
        <w:tab/>
      </w:r>
      <w:r w:rsidR="00A45877">
        <w:rPr>
          <w:lang w:val="en-US" w:eastAsia="zh-CN"/>
        </w:rPr>
        <w:tab/>
      </w:r>
      <w:r w:rsidRPr="006E3B9B">
        <w:rPr>
          <w:lang w:val="en-US" w:eastAsia="zh-CN"/>
        </w:rPr>
        <w:t>1949</w:t>
      </w:r>
      <w:r w:rsidRPr="006E3B9B">
        <w:rPr>
          <w:rFonts w:hint="eastAsia"/>
          <w:lang w:val="en-US" w:eastAsia="zh-CN"/>
        </w:rPr>
        <w:t>年</w:t>
      </w:r>
    </w:p>
    <w:p w14:paraId="4827BC2A"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6</w:t>
      </w:r>
      <w:r w:rsidRPr="006E3B9B">
        <w:rPr>
          <w:lang w:val="en-US" w:eastAsia="zh-CN"/>
        </w:rPr>
        <w:t>号决议</w:t>
      </w:r>
      <w:r w:rsidRPr="006E3B9B">
        <w:rPr>
          <w:rFonts w:hint="eastAsia"/>
          <w:lang w:val="en-US" w:eastAsia="zh-CN"/>
        </w:rPr>
        <w:tab/>
      </w:r>
      <w:r w:rsidRPr="006E3B9B">
        <w:rPr>
          <w:rFonts w:hint="eastAsia"/>
          <w:lang w:eastAsia="zh-CN"/>
        </w:rPr>
        <w:t>致布鲁塞尔</w:t>
      </w:r>
      <w:r w:rsidRPr="006E3B9B">
        <w:rPr>
          <w:rFonts w:hint="eastAsia"/>
          <w:lang w:eastAsia="zh-CN"/>
        </w:rPr>
        <w:t>8</w:t>
      </w:r>
      <w:r w:rsidRPr="006E3B9B">
        <w:rPr>
          <w:rFonts w:hint="eastAsia"/>
          <w:lang w:eastAsia="zh-CN"/>
        </w:rPr>
        <w:t>国委员会的第一封电报</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2B"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7</w:t>
      </w:r>
      <w:r w:rsidRPr="006E3B9B">
        <w:rPr>
          <w:lang w:val="en-US" w:eastAsia="zh-CN"/>
        </w:rPr>
        <w:t>号决议</w:t>
      </w:r>
      <w:r w:rsidRPr="006E3B9B">
        <w:rPr>
          <w:lang w:val="en-US" w:eastAsia="zh-CN"/>
        </w:rPr>
        <w:tab/>
      </w:r>
      <w:r w:rsidRPr="006E3B9B">
        <w:rPr>
          <w:rFonts w:hint="eastAsia"/>
          <w:lang w:eastAsia="zh-CN"/>
        </w:rPr>
        <w:t>致布鲁塞尔</w:t>
      </w:r>
      <w:r w:rsidRPr="006E3B9B">
        <w:rPr>
          <w:rFonts w:hint="eastAsia"/>
          <w:lang w:eastAsia="zh-CN"/>
        </w:rPr>
        <w:t>8</w:t>
      </w:r>
      <w:r w:rsidRPr="006E3B9B">
        <w:rPr>
          <w:rFonts w:hint="eastAsia"/>
          <w:lang w:eastAsia="zh-CN"/>
        </w:rPr>
        <w:t>国委员会的第二封电报</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2C"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8</w:t>
      </w:r>
      <w:r w:rsidRPr="006E3B9B">
        <w:rPr>
          <w:lang w:val="en-US" w:eastAsia="zh-CN"/>
        </w:rPr>
        <w:t>号决议</w:t>
      </w:r>
      <w:r w:rsidRPr="006E3B9B">
        <w:rPr>
          <w:lang w:val="en-US" w:eastAsia="zh-CN"/>
        </w:rPr>
        <w:tab/>
      </w:r>
      <w:r w:rsidRPr="006E3B9B">
        <w:rPr>
          <w:rFonts w:hint="eastAsia"/>
          <w:lang w:eastAsia="zh-CN"/>
        </w:rPr>
        <w:t>电报电话行政大会（</w:t>
      </w:r>
      <w:r w:rsidRPr="006E3B9B">
        <w:rPr>
          <w:lang w:eastAsia="zh-CN"/>
        </w:rPr>
        <w:t>1949</w:t>
      </w:r>
      <w:r w:rsidRPr="006E3B9B">
        <w:rPr>
          <w:rFonts w:hint="eastAsia"/>
          <w:lang w:eastAsia="zh-CN"/>
        </w:rPr>
        <w:t>年，巴黎）</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2D"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9</w:t>
      </w:r>
      <w:r w:rsidRPr="006E3B9B">
        <w:rPr>
          <w:lang w:val="en-US" w:eastAsia="zh-CN"/>
        </w:rPr>
        <w:t>号决议</w:t>
      </w:r>
      <w:r w:rsidRPr="006E3B9B">
        <w:rPr>
          <w:lang w:val="en-US" w:eastAsia="zh-CN"/>
        </w:rPr>
        <w:tab/>
      </w:r>
      <w:r w:rsidRPr="006E3B9B">
        <w:rPr>
          <w:lang w:eastAsia="zh-CN"/>
        </w:rPr>
        <w:t>1948</w:t>
      </w:r>
      <w:r w:rsidRPr="006E3B9B">
        <w:rPr>
          <w:rFonts w:hint="eastAsia"/>
          <w:lang w:eastAsia="zh-CN"/>
        </w:rPr>
        <w:t>年航空无线电大会</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2E"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10</w:t>
      </w:r>
      <w:r w:rsidRPr="006E3B9B">
        <w:rPr>
          <w:lang w:val="en-US" w:eastAsia="zh-CN"/>
        </w:rPr>
        <w:t>号决议</w:t>
      </w:r>
      <w:r w:rsidRPr="006E3B9B">
        <w:rPr>
          <w:lang w:val="en-US" w:eastAsia="zh-CN"/>
        </w:rPr>
        <w:tab/>
      </w:r>
      <w:r w:rsidRPr="006E3B9B">
        <w:rPr>
          <w:rFonts w:hint="eastAsia"/>
          <w:lang w:eastAsia="zh-CN"/>
        </w:rPr>
        <w:t>向国际海事组织（</w:t>
      </w:r>
      <w:r w:rsidRPr="006E3B9B">
        <w:rPr>
          <w:lang w:eastAsia="zh-CN"/>
        </w:rPr>
        <w:t>IMO</w:t>
      </w:r>
      <w:r w:rsidRPr="006E3B9B">
        <w:rPr>
          <w:rFonts w:hint="eastAsia"/>
          <w:lang w:eastAsia="zh-CN"/>
        </w:rPr>
        <w:t>）发出的出席航空无线电大会的邀请</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2F"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11</w:t>
      </w:r>
      <w:r w:rsidRPr="006E3B9B">
        <w:rPr>
          <w:lang w:val="en-US" w:eastAsia="zh-CN"/>
        </w:rPr>
        <w:t>号决议</w:t>
      </w:r>
      <w:r w:rsidRPr="006E3B9B">
        <w:rPr>
          <w:lang w:val="en-US" w:eastAsia="zh-CN"/>
        </w:rPr>
        <w:tab/>
      </w:r>
      <w:r w:rsidRPr="006E3B9B">
        <w:rPr>
          <w:rFonts w:hint="eastAsia"/>
          <w:lang w:eastAsia="zh-CN"/>
        </w:rPr>
        <w:t>临时频率委员会通过第</w:t>
      </w:r>
      <w:r w:rsidRPr="006E3B9B">
        <w:rPr>
          <w:lang w:eastAsia="zh-CN"/>
        </w:rPr>
        <w:t>66</w:t>
      </w:r>
      <w:r w:rsidRPr="006E3B9B">
        <w:rPr>
          <w:rFonts w:hint="eastAsia"/>
          <w:lang w:eastAsia="zh-CN"/>
        </w:rPr>
        <w:t>号文件</w:t>
      </w:r>
      <w:r w:rsidRPr="006E3B9B">
        <w:rPr>
          <w:lang w:eastAsia="zh-CN"/>
        </w:rPr>
        <w:t>（</w:t>
      </w:r>
      <w:r w:rsidRPr="006E3B9B">
        <w:rPr>
          <w:lang w:eastAsia="zh-CN"/>
        </w:rPr>
        <w:t>PFB</w:t>
      </w:r>
      <w:r w:rsidRPr="006E3B9B">
        <w:rPr>
          <w:lang w:eastAsia="zh-CN"/>
        </w:rPr>
        <w:t>）</w:t>
      </w:r>
      <w:r w:rsidRPr="006E3B9B">
        <w:rPr>
          <w:rFonts w:hint="eastAsia"/>
          <w:lang w:eastAsia="zh-CN"/>
        </w:rPr>
        <w:t>提交的建议</w:t>
      </w:r>
      <w:r w:rsidRPr="006E3B9B">
        <w:rPr>
          <w:lang w:val="en-US" w:eastAsia="zh-CN"/>
        </w:rPr>
        <w:tab/>
      </w:r>
      <w:r w:rsidR="00A45877">
        <w:rPr>
          <w:lang w:val="en-US" w:eastAsia="zh-CN"/>
        </w:rPr>
        <w:tab/>
      </w:r>
      <w:r w:rsidRPr="006E3B9B">
        <w:rPr>
          <w:lang w:val="en-US" w:eastAsia="zh-CN"/>
        </w:rPr>
        <w:t>1949</w:t>
      </w:r>
      <w:r w:rsidRPr="006E3B9B">
        <w:rPr>
          <w:rFonts w:hint="eastAsia"/>
          <w:lang w:val="en-US" w:eastAsia="zh-CN"/>
        </w:rPr>
        <w:t>年</w:t>
      </w:r>
    </w:p>
    <w:p w14:paraId="4827BC30"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12</w:t>
      </w:r>
      <w:r w:rsidRPr="006E3B9B">
        <w:rPr>
          <w:lang w:val="en-US" w:eastAsia="zh-CN"/>
        </w:rPr>
        <w:t>号决议</w:t>
      </w:r>
      <w:r w:rsidRPr="006E3B9B">
        <w:rPr>
          <w:lang w:val="en-US" w:eastAsia="zh-CN"/>
        </w:rPr>
        <w:tab/>
      </w:r>
      <w:r w:rsidRPr="006E3B9B">
        <w:rPr>
          <w:rFonts w:hint="eastAsia"/>
          <w:lang w:val="en-US" w:eastAsia="zh-CN"/>
        </w:rPr>
        <w:t>国际广播组织（</w:t>
      </w:r>
      <w:r w:rsidRPr="006E3B9B">
        <w:rPr>
          <w:lang w:eastAsia="zh-CN"/>
        </w:rPr>
        <w:t>OIR</w:t>
      </w:r>
      <w:r w:rsidRPr="006E3B9B">
        <w:rPr>
          <w:rFonts w:hint="eastAsia"/>
          <w:lang w:eastAsia="zh-CN"/>
        </w:rPr>
        <w:t>）参加斯德哥尔摩国际无线电咨询委员会（</w:t>
      </w:r>
      <w:r w:rsidRPr="006E3B9B">
        <w:rPr>
          <w:rFonts w:hint="eastAsia"/>
          <w:lang w:eastAsia="zh-CN"/>
        </w:rPr>
        <w:t>CCIR</w:t>
      </w:r>
      <w:r w:rsidRPr="006E3B9B">
        <w:rPr>
          <w:rFonts w:hint="eastAsia"/>
          <w:lang w:eastAsia="zh-CN"/>
        </w:rPr>
        <w:t>）会议</w:t>
      </w:r>
      <w:r w:rsidR="00A45877">
        <w:rPr>
          <w:lang w:eastAsia="zh-CN"/>
        </w:rPr>
        <w:tab/>
      </w:r>
      <w:r w:rsidRPr="006E3B9B">
        <w:rPr>
          <w:lang w:val="en-US" w:eastAsia="zh-CN"/>
        </w:rPr>
        <w:tab/>
        <w:t>1948</w:t>
      </w:r>
      <w:r w:rsidRPr="006E3B9B">
        <w:rPr>
          <w:rFonts w:hint="eastAsia"/>
          <w:lang w:val="en-US" w:eastAsia="zh-CN"/>
        </w:rPr>
        <w:t>年</w:t>
      </w:r>
    </w:p>
    <w:p w14:paraId="4827BC31"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13</w:t>
      </w:r>
      <w:r w:rsidRPr="006E3B9B">
        <w:rPr>
          <w:lang w:val="en-US" w:eastAsia="zh-CN"/>
        </w:rPr>
        <w:t>号决议</w:t>
      </w:r>
      <w:r w:rsidRPr="006E3B9B">
        <w:rPr>
          <w:lang w:val="en-US" w:eastAsia="zh-CN"/>
        </w:rPr>
        <w:tab/>
      </w:r>
      <w:r w:rsidRPr="006E3B9B">
        <w:rPr>
          <w:lang w:eastAsia="zh-CN"/>
        </w:rPr>
        <w:t>1948</w:t>
      </w:r>
      <w:r w:rsidRPr="006E3B9B">
        <w:rPr>
          <w:rFonts w:hint="eastAsia"/>
          <w:lang w:eastAsia="zh-CN"/>
        </w:rPr>
        <w:t>年预算</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32"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14</w:t>
      </w:r>
      <w:r w:rsidRPr="006E3B9B">
        <w:rPr>
          <w:lang w:val="en-US" w:eastAsia="zh-CN"/>
        </w:rPr>
        <w:t>号决议</w:t>
      </w:r>
      <w:r w:rsidRPr="006E3B9B">
        <w:rPr>
          <w:lang w:val="en-US" w:eastAsia="zh-CN"/>
        </w:rPr>
        <w:tab/>
      </w:r>
      <w:r w:rsidRPr="006E3B9B">
        <w:rPr>
          <w:lang w:eastAsia="zh-CN"/>
        </w:rPr>
        <w:t>1948</w:t>
      </w:r>
      <w:r w:rsidRPr="006E3B9B">
        <w:rPr>
          <w:rFonts w:hint="eastAsia"/>
          <w:lang w:eastAsia="zh-CN"/>
        </w:rPr>
        <w:t>年预算的批准</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33"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15</w:t>
      </w:r>
      <w:r w:rsidRPr="006E3B9B">
        <w:rPr>
          <w:lang w:val="en-US" w:eastAsia="zh-CN"/>
        </w:rPr>
        <w:t>号决议</w:t>
      </w:r>
      <w:r w:rsidRPr="006E3B9B">
        <w:rPr>
          <w:lang w:val="en-US" w:eastAsia="zh-CN"/>
        </w:rPr>
        <w:tab/>
      </w:r>
      <w:r w:rsidRPr="006E3B9B">
        <w:rPr>
          <w:rFonts w:hint="eastAsia"/>
          <w:lang w:eastAsia="zh-CN"/>
        </w:rPr>
        <w:t>拖欠会费的国际电联成员国</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C34"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16</w:t>
      </w:r>
      <w:r w:rsidRPr="006E3B9B">
        <w:rPr>
          <w:lang w:val="en-US" w:eastAsia="zh-CN"/>
        </w:rPr>
        <w:t>号决议</w:t>
      </w:r>
      <w:r w:rsidRPr="006E3B9B">
        <w:rPr>
          <w:lang w:val="en-US" w:eastAsia="zh-CN"/>
        </w:rPr>
        <w:tab/>
      </w:r>
      <w:r w:rsidRPr="006E3B9B">
        <w:rPr>
          <w:rFonts w:hint="eastAsia"/>
          <w:lang w:eastAsia="zh-CN"/>
        </w:rPr>
        <w:t>大西洋城大会费用的分担</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35"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17</w:t>
      </w:r>
      <w:r w:rsidRPr="006E3B9B">
        <w:rPr>
          <w:lang w:val="en-US" w:eastAsia="zh-CN"/>
        </w:rPr>
        <w:t>号决议</w:t>
      </w:r>
      <w:r w:rsidRPr="006E3B9B">
        <w:rPr>
          <w:lang w:val="en-US" w:eastAsia="zh-CN"/>
        </w:rPr>
        <w:tab/>
      </w:r>
      <w:r w:rsidRPr="006E3B9B">
        <w:rPr>
          <w:rFonts w:hint="eastAsia"/>
          <w:lang w:eastAsia="zh-CN"/>
        </w:rPr>
        <w:t>某些国家对</w:t>
      </w:r>
      <w:r w:rsidRPr="006E3B9B">
        <w:rPr>
          <w:lang w:eastAsia="zh-CN"/>
        </w:rPr>
        <w:t>1947</w:t>
      </w:r>
      <w:r w:rsidRPr="006E3B9B">
        <w:rPr>
          <w:rFonts w:hint="eastAsia"/>
          <w:lang w:eastAsia="zh-CN"/>
        </w:rPr>
        <w:t>年会费的分摊</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36"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18</w:t>
      </w:r>
      <w:r w:rsidRPr="006E3B9B">
        <w:rPr>
          <w:lang w:val="en-US" w:eastAsia="zh-CN"/>
        </w:rPr>
        <w:t>号决议</w:t>
      </w:r>
      <w:r w:rsidRPr="006E3B9B">
        <w:rPr>
          <w:lang w:val="en-US" w:eastAsia="zh-CN"/>
        </w:rPr>
        <w:tab/>
      </w:r>
      <w:r w:rsidRPr="006E3B9B">
        <w:rPr>
          <w:rFonts w:hint="eastAsia"/>
          <w:lang w:eastAsia="zh-CN"/>
        </w:rPr>
        <w:t>德国和日本的债务</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C37"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19</w:t>
      </w:r>
      <w:r w:rsidRPr="006E3B9B">
        <w:rPr>
          <w:lang w:val="en-US" w:eastAsia="zh-CN"/>
        </w:rPr>
        <w:t>号决议</w:t>
      </w:r>
      <w:r w:rsidRPr="006E3B9B">
        <w:rPr>
          <w:lang w:val="en-US" w:eastAsia="zh-CN"/>
        </w:rPr>
        <w:tab/>
      </w:r>
      <w:r w:rsidRPr="006E3B9B">
        <w:rPr>
          <w:rFonts w:hint="eastAsia"/>
          <w:lang w:eastAsia="zh-CN"/>
        </w:rPr>
        <w:t>大会临时调用人员的费用</w:t>
      </w:r>
      <w:r w:rsidRPr="006E3B9B">
        <w:rPr>
          <w:lang w:val="en-US" w:eastAsia="zh-CN"/>
        </w:rPr>
        <w:tab/>
      </w:r>
      <w:r w:rsidR="00A45877">
        <w:rPr>
          <w:lang w:val="en-US" w:eastAsia="zh-CN"/>
        </w:rPr>
        <w:tab/>
      </w:r>
      <w:r w:rsidRPr="006E3B9B">
        <w:rPr>
          <w:lang w:val="en-US" w:eastAsia="zh-CN"/>
        </w:rPr>
        <w:t>1949</w:t>
      </w:r>
      <w:r w:rsidRPr="006E3B9B">
        <w:rPr>
          <w:rFonts w:hint="eastAsia"/>
          <w:lang w:val="en-US" w:eastAsia="zh-CN"/>
        </w:rPr>
        <w:t>年</w:t>
      </w:r>
    </w:p>
    <w:p w14:paraId="4827BC38"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20</w:t>
      </w:r>
      <w:r w:rsidRPr="006E3B9B">
        <w:rPr>
          <w:lang w:val="en-US" w:eastAsia="zh-CN"/>
        </w:rPr>
        <w:t>号决议</w:t>
      </w:r>
      <w:r w:rsidRPr="006E3B9B">
        <w:rPr>
          <w:lang w:val="en-US" w:eastAsia="zh-CN"/>
        </w:rPr>
        <w:tab/>
      </w:r>
      <w:r w:rsidRPr="006E3B9B">
        <w:rPr>
          <w:rFonts w:hint="eastAsia"/>
          <w:lang w:eastAsia="zh-CN"/>
        </w:rPr>
        <w:t>区域性大会对长期职员的临时调用</w:t>
      </w:r>
      <w:r w:rsidRPr="006E3B9B">
        <w:rPr>
          <w:lang w:val="en-US" w:eastAsia="zh-CN"/>
        </w:rPr>
        <w:tab/>
      </w:r>
      <w:r w:rsidR="00A45877">
        <w:rPr>
          <w:lang w:val="en-US" w:eastAsia="zh-CN"/>
        </w:rPr>
        <w:tab/>
      </w:r>
      <w:r w:rsidRPr="006E3B9B">
        <w:rPr>
          <w:lang w:val="en-US" w:eastAsia="zh-CN"/>
        </w:rPr>
        <w:t>1949</w:t>
      </w:r>
      <w:r w:rsidRPr="006E3B9B">
        <w:rPr>
          <w:rFonts w:hint="eastAsia"/>
          <w:lang w:val="en-US" w:eastAsia="zh-CN"/>
        </w:rPr>
        <w:t>年</w:t>
      </w:r>
    </w:p>
    <w:p w14:paraId="4827BC39"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21</w:t>
      </w:r>
      <w:r w:rsidRPr="006E3B9B">
        <w:rPr>
          <w:lang w:val="en-US" w:eastAsia="zh-CN"/>
        </w:rPr>
        <w:t>号决议</w:t>
      </w:r>
      <w:r w:rsidRPr="006E3B9B">
        <w:rPr>
          <w:lang w:val="en-US" w:eastAsia="zh-CN"/>
        </w:rPr>
        <w:tab/>
      </w:r>
      <w:r w:rsidRPr="006E3B9B">
        <w:rPr>
          <w:rFonts w:hint="eastAsia"/>
          <w:lang w:eastAsia="zh-CN"/>
        </w:rPr>
        <w:t>国际电报电话咨询委员会（</w:t>
      </w:r>
      <w:r w:rsidRPr="006E3B9B">
        <w:rPr>
          <w:rFonts w:hint="eastAsia"/>
          <w:lang w:eastAsia="zh-CN"/>
        </w:rPr>
        <w:t>CCITT</w:t>
      </w:r>
      <w:r w:rsidRPr="006E3B9B">
        <w:rPr>
          <w:rFonts w:hint="eastAsia"/>
          <w:lang w:eastAsia="zh-CN"/>
        </w:rPr>
        <w:t>）布鲁塞尔会议和国际无线电咨询委员会斯德哥尔摩会议的费用</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3A"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22</w:t>
      </w:r>
      <w:r w:rsidRPr="006E3B9B">
        <w:rPr>
          <w:lang w:val="en-US" w:eastAsia="zh-CN"/>
        </w:rPr>
        <w:t>号决议</w:t>
      </w:r>
      <w:r w:rsidRPr="006E3B9B">
        <w:rPr>
          <w:lang w:val="en-US" w:eastAsia="zh-CN"/>
        </w:rPr>
        <w:tab/>
      </w:r>
      <w:r w:rsidRPr="006E3B9B">
        <w:rPr>
          <w:rFonts w:hint="eastAsia"/>
          <w:lang w:val="en-US" w:eastAsia="zh-CN"/>
        </w:rPr>
        <w:t>国际咨询委员会（</w:t>
      </w:r>
      <w:r w:rsidRPr="006E3B9B">
        <w:rPr>
          <w:lang w:eastAsia="zh-CN"/>
        </w:rPr>
        <w:t>CCI</w:t>
      </w:r>
      <w:r w:rsidRPr="006E3B9B">
        <w:rPr>
          <w:rFonts w:hint="eastAsia"/>
          <w:lang w:eastAsia="zh-CN"/>
        </w:rPr>
        <w:t>）研究组会议的费用</w:t>
      </w:r>
      <w:r w:rsidRPr="006E3B9B">
        <w:rPr>
          <w:lang w:val="en-US" w:eastAsia="zh-CN"/>
        </w:rPr>
        <w:tab/>
      </w:r>
      <w:r w:rsidR="00A45877">
        <w:rPr>
          <w:lang w:val="en-US" w:eastAsia="zh-CN"/>
        </w:rPr>
        <w:tab/>
      </w:r>
      <w:r w:rsidRPr="006E3B9B">
        <w:rPr>
          <w:lang w:val="en-US" w:eastAsia="zh-CN"/>
        </w:rPr>
        <w:t>1949</w:t>
      </w:r>
      <w:r w:rsidRPr="006E3B9B">
        <w:rPr>
          <w:rFonts w:hint="eastAsia"/>
          <w:lang w:val="en-US" w:eastAsia="zh-CN"/>
        </w:rPr>
        <w:t>年</w:t>
      </w:r>
    </w:p>
    <w:p w14:paraId="4827BC3B"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23</w:t>
      </w:r>
      <w:r w:rsidRPr="006E3B9B">
        <w:rPr>
          <w:lang w:val="en-US" w:eastAsia="zh-CN"/>
        </w:rPr>
        <w:t>号决议</w:t>
      </w:r>
      <w:r w:rsidRPr="006E3B9B">
        <w:rPr>
          <w:lang w:val="en-US" w:eastAsia="zh-CN"/>
        </w:rPr>
        <w:tab/>
      </w:r>
      <w:r w:rsidRPr="006E3B9B">
        <w:rPr>
          <w:rFonts w:hint="eastAsia"/>
          <w:lang w:val="en-US" w:eastAsia="zh-CN"/>
        </w:rPr>
        <w:t>国际</w:t>
      </w:r>
      <w:r w:rsidRPr="006E3B9B">
        <w:rPr>
          <w:rFonts w:hint="eastAsia"/>
          <w:lang w:eastAsia="zh-CN"/>
        </w:rPr>
        <w:t>电联在其它国际组织中的代表权</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3C"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24</w:t>
      </w:r>
      <w:r w:rsidRPr="006E3B9B">
        <w:rPr>
          <w:lang w:val="en-US" w:eastAsia="zh-CN"/>
        </w:rPr>
        <w:t>号决议</w:t>
      </w:r>
      <w:r w:rsidRPr="006E3B9B">
        <w:rPr>
          <w:lang w:val="en-US" w:eastAsia="zh-CN"/>
        </w:rPr>
        <w:tab/>
      </w:r>
      <w:r w:rsidRPr="006E3B9B">
        <w:rPr>
          <w:rFonts w:hint="eastAsia"/>
          <w:lang w:eastAsia="zh-CN"/>
        </w:rPr>
        <w:t>使用正式语文的费用</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3D"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25</w:t>
      </w:r>
      <w:r w:rsidRPr="006E3B9B">
        <w:rPr>
          <w:lang w:val="en-US" w:eastAsia="zh-CN"/>
        </w:rPr>
        <w:t>号决议</w:t>
      </w:r>
      <w:r w:rsidRPr="006E3B9B">
        <w:rPr>
          <w:lang w:val="en-US" w:eastAsia="zh-CN"/>
        </w:rPr>
        <w:tab/>
      </w:r>
      <w:r w:rsidRPr="006E3B9B">
        <w:rPr>
          <w:rFonts w:hint="eastAsia"/>
          <w:lang w:eastAsia="zh-CN"/>
        </w:rPr>
        <w:t>语言服务所需的人员</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3E"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26</w:t>
      </w:r>
      <w:r w:rsidRPr="006E3B9B">
        <w:rPr>
          <w:lang w:val="en-US" w:eastAsia="zh-CN"/>
        </w:rPr>
        <w:t>号决议</w:t>
      </w:r>
      <w:r w:rsidRPr="006E3B9B">
        <w:rPr>
          <w:lang w:val="en-US" w:eastAsia="zh-CN"/>
        </w:rPr>
        <w:tab/>
      </w:r>
      <w:r w:rsidRPr="006E3B9B">
        <w:rPr>
          <w:rFonts w:hint="eastAsia"/>
          <w:lang w:eastAsia="zh-CN"/>
        </w:rPr>
        <w:t>五种或三种正式语文的业务文件</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3F"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27</w:t>
      </w:r>
      <w:r w:rsidRPr="006E3B9B">
        <w:rPr>
          <w:lang w:val="en-US" w:eastAsia="zh-CN"/>
        </w:rPr>
        <w:t>号决议</w:t>
      </w:r>
      <w:r w:rsidRPr="006E3B9B">
        <w:rPr>
          <w:lang w:val="en-US" w:eastAsia="zh-CN"/>
        </w:rPr>
        <w:tab/>
      </w:r>
      <w:r w:rsidRPr="006E3B9B">
        <w:rPr>
          <w:rFonts w:hint="eastAsia"/>
          <w:lang w:eastAsia="zh-CN"/>
        </w:rPr>
        <w:t>大西洋城文件的出版</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40"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28</w:t>
      </w:r>
      <w:r w:rsidRPr="006E3B9B">
        <w:rPr>
          <w:lang w:val="en-US" w:eastAsia="zh-CN"/>
        </w:rPr>
        <w:t>号决议</w:t>
      </w:r>
      <w:r w:rsidRPr="006E3B9B">
        <w:rPr>
          <w:lang w:val="en-US" w:eastAsia="zh-CN"/>
        </w:rPr>
        <w:tab/>
      </w:r>
      <w:r w:rsidRPr="006E3B9B">
        <w:rPr>
          <w:rFonts w:hint="eastAsia"/>
          <w:lang w:eastAsia="zh-CN"/>
        </w:rPr>
        <w:t>文件的免费分发</w:t>
      </w:r>
      <w:r w:rsidRPr="006E3B9B">
        <w:rPr>
          <w:lang w:val="en-US" w:eastAsia="zh-CN"/>
        </w:rPr>
        <w:tab/>
      </w:r>
      <w:r w:rsidR="00A45877">
        <w:rPr>
          <w:lang w:val="en-US" w:eastAsia="zh-CN"/>
        </w:rPr>
        <w:tab/>
      </w:r>
      <w:r w:rsidRPr="006E3B9B">
        <w:rPr>
          <w:lang w:val="en-US" w:eastAsia="zh-CN"/>
        </w:rPr>
        <w:t>1949</w:t>
      </w:r>
      <w:r w:rsidRPr="006E3B9B">
        <w:rPr>
          <w:rFonts w:hint="eastAsia"/>
          <w:lang w:val="en-US" w:eastAsia="zh-CN"/>
        </w:rPr>
        <w:t>年</w:t>
      </w:r>
    </w:p>
    <w:p w14:paraId="4827BC41"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29</w:t>
      </w:r>
      <w:r w:rsidRPr="006E3B9B">
        <w:rPr>
          <w:lang w:val="en-US" w:eastAsia="zh-CN"/>
        </w:rPr>
        <w:t>号决议</w:t>
      </w:r>
      <w:r w:rsidRPr="006E3B9B">
        <w:rPr>
          <w:lang w:val="en-US" w:eastAsia="zh-CN"/>
        </w:rPr>
        <w:tab/>
      </w:r>
      <w:r w:rsidRPr="006E3B9B">
        <w:rPr>
          <w:lang w:eastAsia="zh-CN"/>
        </w:rPr>
        <w:t>1948</w:t>
      </w:r>
      <w:r w:rsidRPr="006E3B9B">
        <w:rPr>
          <w:rFonts w:hint="eastAsia"/>
          <w:lang w:eastAsia="zh-CN"/>
        </w:rPr>
        <w:t>年的业务文件的出版</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42"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30</w:t>
      </w:r>
      <w:r w:rsidRPr="006E3B9B">
        <w:rPr>
          <w:lang w:val="en-US" w:eastAsia="zh-CN"/>
        </w:rPr>
        <w:t>号决议</w:t>
      </w:r>
      <w:r w:rsidRPr="006E3B9B">
        <w:rPr>
          <w:lang w:val="en-US" w:eastAsia="zh-CN"/>
        </w:rPr>
        <w:tab/>
      </w:r>
      <w:r w:rsidRPr="006E3B9B">
        <w:rPr>
          <w:lang w:eastAsia="zh-CN"/>
        </w:rPr>
        <w:t>1948</w:t>
      </w:r>
      <w:r w:rsidRPr="006E3B9B">
        <w:rPr>
          <w:rFonts w:hint="eastAsia"/>
          <w:lang w:eastAsia="zh-CN"/>
        </w:rPr>
        <w:t>年的人员招聘</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43"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31</w:t>
      </w:r>
      <w:r w:rsidRPr="006E3B9B">
        <w:rPr>
          <w:lang w:val="en-US" w:eastAsia="zh-CN"/>
        </w:rPr>
        <w:t>号决议</w:t>
      </w:r>
      <w:r w:rsidRPr="006E3B9B">
        <w:rPr>
          <w:lang w:val="en-US" w:eastAsia="zh-CN"/>
        </w:rPr>
        <w:tab/>
      </w:r>
      <w:r w:rsidRPr="006E3B9B">
        <w:rPr>
          <w:rFonts w:hint="eastAsia"/>
          <w:lang w:eastAsia="zh-CN"/>
        </w:rPr>
        <w:t>临时人员的招聘</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44"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32</w:t>
      </w:r>
      <w:r w:rsidRPr="006E3B9B">
        <w:rPr>
          <w:lang w:val="en-US" w:eastAsia="zh-CN"/>
        </w:rPr>
        <w:t>号决议</w:t>
      </w:r>
      <w:r w:rsidRPr="006E3B9B">
        <w:rPr>
          <w:lang w:val="en-US" w:eastAsia="zh-CN"/>
        </w:rPr>
        <w:tab/>
      </w:r>
      <w:r w:rsidRPr="006E3B9B">
        <w:rPr>
          <w:rFonts w:hint="eastAsia"/>
          <w:lang w:val="en-US" w:eastAsia="zh-CN"/>
        </w:rPr>
        <w:t>国际</w:t>
      </w:r>
      <w:r w:rsidRPr="006E3B9B">
        <w:rPr>
          <w:rFonts w:hint="eastAsia"/>
          <w:lang w:eastAsia="zh-CN"/>
        </w:rPr>
        <w:t>电联职员的养恤金体制</w:t>
      </w:r>
      <w:r w:rsidRPr="006E3B9B">
        <w:rPr>
          <w:lang w:val="en-US" w:eastAsia="zh-CN"/>
        </w:rPr>
        <w:tab/>
      </w:r>
      <w:r w:rsidR="00A45877">
        <w:rPr>
          <w:lang w:val="en-US" w:eastAsia="zh-CN"/>
        </w:rPr>
        <w:tab/>
      </w:r>
      <w:r w:rsidRPr="006E3B9B">
        <w:rPr>
          <w:lang w:val="en-US" w:eastAsia="zh-CN"/>
        </w:rPr>
        <w:t>1949</w:t>
      </w:r>
      <w:r w:rsidRPr="006E3B9B">
        <w:rPr>
          <w:rFonts w:hint="eastAsia"/>
          <w:lang w:val="en-US" w:eastAsia="zh-CN"/>
        </w:rPr>
        <w:t>年</w:t>
      </w:r>
    </w:p>
    <w:p w14:paraId="4827BC45"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33</w:t>
      </w:r>
      <w:r w:rsidRPr="006E3B9B">
        <w:rPr>
          <w:lang w:val="en-US" w:eastAsia="zh-CN"/>
        </w:rPr>
        <w:t>号决议</w:t>
      </w:r>
      <w:r w:rsidRPr="006E3B9B">
        <w:rPr>
          <w:lang w:val="en-US" w:eastAsia="zh-CN"/>
        </w:rPr>
        <w:tab/>
      </w:r>
      <w:r w:rsidRPr="006E3B9B">
        <w:rPr>
          <w:rFonts w:hint="eastAsia"/>
          <w:lang w:eastAsia="zh-CN"/>
        </w:rPr>
        <w:t>将总秘书处从伯尔尼迁至日内瓦</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46"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34</w:t>
      </w:r>
      <w:r w:rsidRPr="006E3B9B">
        <w:rPr>
          <w:lang w:val="en-US" w:eastAsia="zh-CN"/>
        </w:rPr>
        <w:t>号决议</w:t>
      </w:r>
      <w:r w:rsidRPr="006E3B9B">
        <w:rPr>
          <w:lang w:val="en-US" w:eastAsia="zh-CN"/>
        </w:rPr>
        <w:tab/>
      </w:r>
      <w:r w:rsidRPr="006E3B9B">
        <w:rPr>
          <w:rFonts w:hint="eastAsia"/>
          <w:lang w:eastAsia="zh-CN"/>
        </w:rPr>
        <w:t>将国际电话咨询委员会（</w:t>
      </w:r>
      <w:r w:rsidRPr="006E3B9B">
        <w:rPr>
          <w:lang w:eastAsia="zh-CN"/>
        </w:rPr>
        <w:t>CCIF</w:t>
      </w:r>
      <w:r w:rsidRPr="006E3B9B">
        <w:rPr>
          <w:rFonts w:hint="eastAsia"/>
          <w:lang w:eastAsia="zh-CN"/>
        </w:rPr>
        <w:t>）的秘书处从巴黎迁至日内瓦</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47" w14:textId="77777777" w:rsidR="006E3B9B" w:rsidRPr="006E3B9B" w:rsidRDefault="006E3B9B" w:rsidP="00A45877">
      <w:pPr>
        <w:pStyle w:val="Appendixref"/>
        <w:rPr>
          <w:lang w:val="en-US" w:eastAsia="zh-CN"/>
        </w:rPr>
      </w:pPr>
      <w:r w:rsidRPr="006E3B9B">
        <w:rPr>
          <w:lang w:val="en-US" w:eastAsia="zh-CN"/>
        </w:rPr>
        <w:lastRenderedPageBreak/>
        <w:t>第</w:t>
      </w:r>
      <w:r w:rsidRPr="006E3B9B">
        <w:rPr>
          <w:lang w:val="en-US" w:eastAsia="zh-CN"/>
        </w:rPr>
        <w:t>35</w:t>
      </w:r>
      <w:r w:rsidRPr="006E3B9B">
        <w:rPr>
          <w:lang w:val="en-US" w:eastAsia="zh-CN"/>
        </w:rPr>
        <w:t>号决议</w:t>
      </w:r>
      <w:r w:rsidRPr="006E3B9B">
        <w:rPr>
          <w:lang w:val="en-US" w:eastAsia="zh-CN"/>
        </w:rPr>
        <w:tab/>
      </w:r>
      <w:r w:rsidRPr="006E3B9B">
        <w:rPr>
          <w:rFonts w:hint="eastAsia"/>
          <w:lang w:val="fr-FR" w:eastAsia="zh-CN"/>
        </w:rPr>
        <w:t>联合国通行证</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C48"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36</w:t>
      </w:r>
      <w:r w:rsidRPr="006E3B9B">
        <w:rPr>
          <w:lang w:val="en-US" w:eastAsia="zh-CN"/>
        </w:rPr>
        <w:t>号决议</w:t>
      </w:r>
      <w:r w:rsidRPr="006E3B9B">
        <w:rPr>
          <w:lang w:val="en-US" w:eastAsia="zh-CN"/>
        </w:rPr>
        <w:tab/>
      </w:r>
      <w:r w:rsidRPr="006E3B9B">
        <w:rPr>
          <w:rFonts w:hint="eastAsia"/>
          <w:lang w:eastAsia="zh-CN"/>
        </w:rPr>
        <w:t>专门机构的特权与豁免权</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49"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37</w:t>
      </w:r>
      <w:r w:rsidRPr="006E3B9B">
        <w:rPr>
          <w:lang w:val="en-US" w:eastAsia="zh-CN"/>
        </w:rPr>
        <w:t>号决议</w:t>
      </w:r>
      <w:r w:rsidRPr="006E3B9B">
        <w:rPr>
          <w:lang w:val="en-US" w:eastAsia="zh-CN"/>
        </w:rPr>
        <w:tab/>
      </w:r>
      <w:r w:rsidRPr="006E3B9B">
        <w:rPr>
          <w:lang w:eastAsia="zh-CN"/>
        </w:rPr>
        <w:t>1949</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1</w:t>
      </w:r>
      <w:r w:rsidRPr="006E3B9B">
        <w:rPr>
          <w:rFonts w:hint="eastAsia"/>
          <w:lang w:eastAsia="zh-CN"/>
        </w:rPr>
        <w:t>日后对政府电报的处理</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4A"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38</w:t>
      </w:r>
      <w:r w:rsidRPr="006E3B9B">
        <w:rPr>
          <w:lang w:val="en-US" w:eastAsia="zh-CN"/>
        </w:rPr>
        <w:t>号决议</w:t>
      </w:r>
      <w:r w:rsidRPr="006E3B9B">
        <w:rPr>
          <w:lang w:val="en-US" w:eastAsia="zh-CN"/>
        </w:rPr>
        <w:tab/>
      </w:r>
      <w:r w:rsidRPr="006E3B9B">
        <w:rPr>
          <w:lang w:eastAsia="zh-CN"/>
        </w:rPr>
        <w:t>1949</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1</w:t>
      </w:r>
      <w:r w:rsidRPr="006E3B9B">
        <w:rPr>
          <w:rFonts w:hint="eastAsia"/>
          <w:lang w:eastAsia="zh-CN"/>
        </w:rPr>
        <w:t>日后对政府电话交谈的处理</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4B"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39</w:t>
      </w:r>
      <w:r w:rsidRPr="006E3B9B">
        <w:rPr>
          <w:lang w:val="en-US" w:eastAsia="zh-CN"/>
        </w:rPr>
        <w:t>号决议</w:t>
      </w:r>
      <w:r w:rsidRPr="006E3B9B">
        <w:rPr>
          <w:lang w:val="en-US" w:eastAsia="zh-CN"/>
        </w:rPr>
        <w:tab/>
      </w:r>
      <w:r w:rsidRPr="006E3B9B">
        <w:rPr>
          <w:lang w:eastAsia="zh-CN"/>
        </w:rPr>
        <w:t>1948</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20</w:t>
      </w:r>
      <w:r w:rsidRPr="006E3B9B">
        <w:rPr>
          <w:rFonts w:hint="eastAsia"/>
          <w:lang w:eastAsia="zh-CN"/>
        </w:rPr>
        <w:t>日发给莫斯科的电报</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4C"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40</w:t>
      </w:r>
      <w:r w:rsidRPr="006E3B9B">
        <w:rPr>
          <w:lang w:val="en-US" w:eastAsia="zh-CN"/>
        </w:rPr>
        <w:t>号决议</w:t>
      </w:r>
      <w:r w:rsidRPr="006E3B9B">
        <w:rPr>
          <w:lang w:val="en-US" w:eastAsia="zh-CN"/>
        </w:rPr>
        <w:tab/>
      </w:r>
      <w:r w:rsidRPr="006E3B9B">
        <w:rPr>
          <w:lang w:eastAsia="zh-CN"/>
        </w:rPr>
        <w:t>1948</w:t>
      </w:r>
      <w:r w:rsidRPr="006E3B9B">
        <w:rPr>
          <w:rFonts w:hint="eastAsia"/>
          <w:lang w:eastAsia="zh-CN"/>
        </w:rPr>
        <w:t>年</w:t>
      </w:r>
      <w:r w:rsidRPr="006E3B9B">
        <w:rPr>
          <w:lang w:eastAsia="zh-CN"/>
        </w:rPr>
        <w:t>2</w:t>
      </w:r>
      <w:r w:rsidRPr="006E3B9B">
        <w:rPr>
          <w:rFonts w:hint="eastAsia"/>
          <w:lang w:eastAsia="zh-CN"/>
        </w:rPr>
        <w:t>月</w:t>
      </w:r>
      <w:r w:rsidRPr="006E3B9B">
        <w:rPr>
          <w:lang w:eastAsia="zh-CN"/>
        </w:rPr>
        <w:t>11</w:t>
      </w:r>
      <w:r w:rsidRPr="006E3B9B">
        <w:rPr>
          <w:rFonts w:hint="eastAsia"/>
          <w:lang w:eastAsia="zh-CN"/>
        </w:rPr>
        <w:t>日发给莫斯科的电报</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4D"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41</w:t>
      </w:r>
      <w:r w:rsidRPr="006E3B9B">
        <w:rPr>
          <w:lang w:val="en-US" w:eastAsia="zh-CN"/>
        </w:rPr>
        <w:t>号决议</w:t>
      </w:r>
      <w:r w:rsidRPr="006E3B9B">
        <w:rPr>
          <w:lang w:val="en-US" w:eastAsia="zh-CN"/>
        </w:rPr>
        <w:tab/>
      </w:r>
      <w:r w:rsidRPr="006E3B9B">
        <w:rPr>
          <w:rFonts w:hint="eastAsia"/>
          <w:lang w:eastAsia="zh-CN"/>
        </w:rPr>
        <w:t>新闻发布稿</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4E" w14:textId="77777777" w:rsidR="006E3B9B" w:rsidRPr="006E3B9B" w:rsidRDefault="006E3B9B" w:rsidP="003E11A1">
      <w:pPr>
        <w:pStyle w:val="Reftitle"/>
        <w:rPr>
          <w:lang w:val="en-US" w:eastAsia="zh-CN"/>
        </w:rPr>
      </w:pPr>
      <w:r w:rsidRPr="006E3B9B">
        <w:rPr>
          <w:rFonts w:hint="eastAsia"/>
          <w:lang w:eastAsia="zh-CN"/>
        </w:rPr>
        <w:t>第</w:t>
      </w:r>
      <w:r w:rsidRPr="006E3B9B">
        <w:rPr>
          <w:rFonts w:hint="eastAsia"/>
          <w:lang w:eastAsia="zh-CN"/>
        </w:rPr>
        <w:t>3</w:t>
      </w:r>
      <w:r w:rsidRPr="006E3B9B">
        <w:rPr>
          <w:rFonts w:hint="eastAsia"/>
          <w:lang w:eastAsia="zh-CN"/>
        </w:rPr>
        <w:t>届会议</w:t>
      </w:r>
      <w:r w:rsidRPr="006E3B9B">
        <w:rPr>
          <w:lang w:eastAsia="zh-CN"/>
        </w:rPr>
        <w:t>（</w:t>
      </w:r>
      <w:r w:rsidRPr="006E3B9B">
        <w:rPr>
          <w:lang w:eastAsia="zh-CN"/>
        </w:rPr>
        <w:t>1948</w:t>
      </w:r>
      <w:r w:rsidRPr="006E3B9B">
        <w:rPr>
          <w:rFonts w:hint="eastAsia"/>
          <w:lang w:eastAsia="zh-CN"/>
        </w:rPr>
        <w:t>年</w:t>
      </w:r>
      <w:r w:rsidRPr="006E3B9B">
        <w:rPr>
          <w:lang w:eastAsia="zh-CN"/>
        </w:rPr>
        <w:t>9</w:t>
      </w:r>
      <w:r w:rsidRPr="006E3B9B">
        <w:rPr>
          <w:rFonts w:hint="eastAsia"/>
          <w:lang w:eastAsia="zh-CN"/>
        </w:rPr>
        <w:t>月</w:t>
      </w:r>
      <w:r w:rsidRPr="006E3B9B">
        <w:rPr>
          <w:lang w:eastAsia="zh-CN"/>
        </w:rPr>
        <w:t>-10</w:t>
      </w:r>
      <w:r w:rsidRPr="006E3B9B">
        <w:rPr>
          <w:rFonts w:hint="eastAsia"/>
          <w:lang w:eastAsia="zh-CN"/>
        </w:rPr>
        <w:t>月</w:t>
      </w:r>
      <w:r w:rsidRPr="006E3B9B">
        <w:rPr>
          <w:lang w:eastAsia="zh-CN"/>
        </w:rPr>
        <w:t>）</w:t>
      </w:r>
    </w:p>
    <w:p w14:paraId="4827BC4F"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42</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1948</w:t>
      </w:r>
      <w:r w:rsidRPr="006E3B9B">
        <w:rPr>
          <w:rFonts w:hint="eastAsia"/>
          <w:lang w:eastAsia="zh-CN"/>
        </w:rPr>
        <w:t>年预算</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50"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43</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1949</w:t>
      </w:r>
      <w:r w:rsidRPr="006E3B9B">
        <w:rPr>
          <w:rFonts w:hint="eastAsia"/>
          <w:lang w:eastAsia="zh-CN"/>
        </w:rPr>
        <w:t>年预算</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51"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44</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1949</w:t>
      </w:r>
      <w:r w:rsidRPr="006E3B9B">
        <w:rPr>
          <w:rFonts w:hint="eastAsia"/>
          <w:lang w:eastAsia="zh-CN"/>
        </w:rPr>
        <w:t>年预算的修订</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52"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45</w:t>
      </w:r>
      <w:r w:rsidRPr="006E3B9B">
        <w:rPr>
          <w:lang w:val="en-US" w:eastAsia="zh-CN"/>
        </w:rPr>
        <w:t>号决议</w:t>
      </w:r>
      <w:r w:rsidRPr="006E3B9B">
        <w:rPr>
          <w:lang w:val="en-US" w:eastAsia="zh-CN"/>
        </w:rPr>
        <w:tab/>
      </w:r>
      <w:r w:rsidRPr="006E3B9B">
        <w:rPr>
          <w:rFonts w:hint="eastAsia"/>
          <w:lang w:val="en-US" w:eastAsia="zh-CN"/>
        </w:rPr>
        <w:t>国际</w:t>
      </w:r>
      <w:r w:rsidRPr="006E3B9B">
        <w:rPr>
          <w:rFonts w:hint="eastAsia"/>
          <w:lang w:eastAsia="zh-CN"/>
        </w:rPr>
        <w:t>电联《财务规则》</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53"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46</w:t>
      </w:r>
      <w:r w:rsidRPr="006E3B9B">
        <w:rPr>
          <w:lang w:val="en-US" w:eastAsia="zh-CN"/>
        </w:rPr>
        <w:t>号决议</w:t>
      </w:r>
      <w:r w:rsidRPr="006E3B9B">
        <w:rPr>
          <w:lang w:val="en-US" w:eastAsia="zh-CN"/>
        </w:rPr>
        <w:tab/>
      </w:r>
      <w:r w:rsidRPr="006E3B9B">
        <w:rPr>
          <w:rFonts w:hint="eastAsia"/>
          <w:lang w:eastAsia="zh-CN"/>
        </w:rPr>
        <w:t>支出控制</w:t>
      </w:r>
      <w:r w:rsidRPr="006E3B9B">
        <w:rPr>
          <w:lang w:val="en-US" w:eastAsia="zh-CN"/>
        </w:rPr>
        <w:tab/>
      </w:r>
      <w:r w:rsidR="00A45877">
        <w:rPr>
          <w:lang w:val="en-US" w:eastAsia="zh-CN"/>
        </w:rPr>
        <w:tab/>
      </w:r>
      <w:r w:rsidRPr="006E3B9B">
        <w:rPr>
          <w:lang w:val="en-US" w:eastAsia="zh-CN"/>
        </w:rPr>
        <w:t>1949</w:t>
      </w:r>
      <w:r w:rsidRPr="006E3B9B">
        <w:rPr>
          <w:rFonts w:hint="eastAsia"/>
          <w:lang w:val="en-US" w:eastAsia="zh-CN"/>
        </w:rPr>
        <w:t>年</w:t>
      </w:r>
    </w:p>
    <w:p w14:paraId="4827BC54"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47</w:t>
      </w:r>
      <w:r w:rsidRPr="006E3B9B">
        <w:rPr>
          <w:lang w:val="en-US" w:eastAsia="zh-CN"/>
        </w:rPr>
        <w:t>号决议</w:t>
      </w:r>
      <w:r w:rsidRPr="006E3B9B">
        <w:rPr>
          <w:lang w:val="en-US" w:eastAsia="zh-CN"/>
        </w:rPr>
        <w:tab/>
      </w:r>
      <w:r w:rsidRPr="006E3B9B">
        <w:rPr>
          <w:rFonts w:hint="eastAsia"/>
          <w:lang w:eastAsia="zh-CN"/>
        </w:rPr>
        <w:t>总秘书处财务部门的机构设置</w:t>
      </w:r>
      <w:r w:rsidRPr="006E3B9B">
        <w:rPr>
          <w:lang w:val="en-US" w:eastAsia="zh-CN"/>
        </w:rPr>
        <w:tab/>
      </w:r>
      <w:r w:rsidR="00A45877">
        <w:rPr>
          <w:lang w:val="en-US" w:eastAsia="zh-CN"/>
        </w:rPr>
        <w:tab/>
      </w:r>
      <w:r w:rsidRPr="006E3B9B">
        <w:rPr>
          <w:lang w:val="en-US" w:eastAsia="zh-CN"/>
        </w:rPr>
        <w:t>1951</w:t>
      </w:r>
      <w:r w:rsidRPr="006E3B9B">
        <w:rPr>
          <w:rFonts w:hint="eastAsia"/>
          <w:lang w:val="en-US" w:eastAsia="zh-CN"/>
        </w:rPr>
        <w:t>年</w:t>
      </w:r>
    </w:p>
    <w:p w14:paraId="4827BC55"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48</w:t>
      </w:r>
      <w:r w:rsidRPr="006E3B9B">
        <w:rPr>
          <w:lang w:val="en-US" w:eastAsia="zh-CN"/>
        </w:rPr>
        <w:t>号决议</w:t>
      </w:r>
      <w:r w:rsidRPr="006E3B9B">
        <w:rPr>
          <w:lang w:val="en-US" w:eastAsia="zh-CN"/>
        </w:rPr>
        <w:tab/>
      </w:r>
      <w:r w:rsidRPr="006E3B9B">
        <w:rPr>
          <w:rFonts w:hint="eastAsia"/>
          <w:lang w:eastAsia="zh-CN"/>
        </w:rPr>
        <w:t>协调委员会</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C56"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49</w:t>
      </w:r>
      <w:r w:rsidRPr="006E3B9B">
        <w:rPr>
          <w:lang w:val="en-US" w:eastAsia="zh-CN"/>
        </w:rPr>
        <w:t>号决议</w:t>
      </w:r>
      <w:r w:rsidRPr="006E3B9B">
        <w:rPr>
          <w:lang w:val="en-US" w:eastAsia="zh-CN"/>
        </w:rPr>
        <w:tab/>
      </w:r>
      <w:r w:rsidRPr="006E3B9B">
        <w:rPr>
          <w:rFonts w:hint="eastAsia"/>
          <w:lang w:eastAsia="zh-CN"/>
        </w:rPr>
        <w:t>将国际电联所有费用纳入一个单一的预算中并设立周转基金</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C57"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50</w:t>
      </w:r>
      <w:r w:rsidRPr="006E3B9B">
        <w:rPr>
          <w:lang w:val="en-US" w:eastAsia="zh-CN"/>
        </w:rPr>
        <w:t>号决议</w:t>
      </w:r>
      <w:r w:rsidRPr="006E3B9B">
        <w:rPr>
          <w:lang w:val="en-US" w:eastAsia="zh-CN"/>
        </w:rPr>
        <w:tab/>
      </w:r>
      <w:r w:rsidRPr="006E3B9B">
        <w:rPr>
          <w:rFonts w:hint="eastAsia"/>
          <w:lang w:eastAsia="zh-CN"/>
        </w:rPr>
        <w:t>瑞士政府预付的资金</w:t>
      </w:r>
      <w:r w:rsidRPr="006E3B9B">
        <w:rPr>
          <w:lang w:val="en-US" w:eastAsia="zh-CN"/>
        </w:rPr>
        <w:tab/>
      </w:r>
      <w:r w:rsidR="00A45877">
        <w:rPr>
          <w:lang w:val="en-US" w:eastAsia="zh-CN"/>
        </w:rPr>
        <w:tab/>
      </w:r>
      <w:r w:rsidRPr="006E3B9B">
        <w:rPr>
          <w:lang w:val="en-US" w:eastAsia="zh-CN"/>
        </w:rPr>
        <w:t>1951</w:t>
      </w:r>
      <w:r w:rsidRPr="006E3B9B">
        <w:rPr>
          <w:rFonts w:hint="eastAsia"/>
          <w:lang w:val="en-US" w:eastAsia="zh-CN"/>
        </w:rPr>
        <w:t>年</w:t>
      </w:r>
    </w:p>
    <w:p w14:paraId="4827BC58"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51</w:t>
      </w:r>
      <w:r w:rsidRPr="006E3B9B">
        <w:rPr>
          <w:lang w:val="en-US" w:eastAsia="zh-CN"/>
        </w:rPr>
        <w:t>号决议</w:t>
      </w:r>
      <w:r w:rsidRPr="006E3B9B">
        <w:rPr>
          <w:lang w:val="en-US" w:eastAsia="zh-CN"/>
        </w:rPr>
        <w:tab/>
      </w:r>
      <w:r w:rsidRPr="006E3B9B">
        <w:rPr>
          <w:rFonts w:hint="eastAsia"/>
          <w:lang w:val="en-US" w:eastAsia="zh-CN"/>
        </w:rPr>
        <w:t>国际</w:t>
      </w:r>
      <w:r w:rsidRPr="006E3B9B">
        <w:rPr>
          <w:rFonts w:hint="eastAsia"/>
          <w:lang w:eastAsia="zh-CN"/>
        </w:rPr>
        <w:t>电联账目的审计</w:t>
      </w:r>
      <w:r w:rsidRPr="006E3B9B">
        <w:rPr>
          <w:lang w:val="en-US" w:eastAsia="zh-CN"/>
        </w:rPr>
        <w:tab/>
      </w:r>
      <w:r w:rsidR="00A45877">
        <w:rPr>
          <w:lang w:val="en-US" w:eastAsia="zh-CN"/>
        </w:rPr>
        <w:tab/>
      </w:r>
      <w:r w:rsidRPr="006E3B9B">
        <w:rPr>
          <w:lang w:val="en-US" w:eastAsia="zh-CN"/>
        </w:rPr>
        <w:t>1950</w:t>
      </w:r>
      <w:r w:rsidRPr="006E3B9B">
        <w:rPr>
          <w:rFonts w:hint="eastAsia"/>
          <w:lang w:val="en-US" w:eastAsia="zh-CN"/>
        </w:rPr>
        <w:t>年</w:t>
      </w:r>
    </w:p>
    <w:p w14:paraId="4827BC59"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52</w:t>
      </w:r>
      <w:r w:rsidRPr="006E3B9B">
        <w:rPr>
          <w:lang w:val="en-US" w:eastAsia="zh-CN"/>
        </w:rPr>
        <w:t>号决议</w:t>
      </w:r>
      <w:r w:rsidRPr="006E3B9B">
        <w:rPr>
          <w:lang w:val="en-US" w:eastAsia="zh-CN"/>
        </w:rPr>
        <w:tab/>
      </w:r>
      <w:r w:rsidRPr="006E3B9B">
        <w:rPr>
          <w:lang w:eastAsia="zh-CN"/>
        </w:rPr>
        <w:t>1946</w:t>
      </w:r>
      <w:r w:rsidRPr="006E3B9B">
        <w:rPr>
          <w:rFonts w:hint="eastAsia"/>
          <w:lang w:eastAsia="zh-CN"/>
        </w:rPr>
        <w:t>年年底欠款额的结算</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C5A"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53</w:t>
      </w:r>
      <w:r w:rsidRPr="006E3B9B">
        <w:rPr>
          <w:lang w:val="en-US" w:eastAsia="zh-CN"/>
        </w:rPr>
        <w:t>号决议</w:t>
      </w:r>
      <w:r w:rsidRPr="006E3B9B">
        <w:rPr>
          <w:lang w:val="en-US" w:eastAsia="zh-CN"/>
        </w:rPr>
        <w:tab/>
      </w:r>
      <w:r w:rsidRPr="006E3B9B">
        <w:rPr>
          <w:rFonts w:hint="eastAsia"/>
          <w:lang w:val="en-US" w:eastAsia="zh-CN"/>
        </w:rPr>
        <w:t>用于国际频率登记委员会（</w:t>
      </w:r>
      <w:r w:rsidRPr="006E3B9B">
        <w:rPr>
          <w:lang w:eastAsia="zh-CN"/>
        </w:rPr>
        <w:t>IFRB</w:t>
      </w:r>
      <w:r w:rsidRPr="006E3B9B">
        <w:rPr>
          <w:rFonts w:hint="eastAsia"/>
          <w:lang w:eastAsia="zh-CN"/>
        </w:rPr>
        <w:t>）委员搬迁费用的款项</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5B"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54</w:t>
      </w:r>
      <w:r w:rsidRPr="006E3B9B">
        <w:rPr>
          <w:lang w:val="en-US" w:eastAsia="zh-CN"/>
        </w:rPr>
        <w:t>号决议</w:t>
      </w:r>
      <w:r w:rsidRPr="006E3B9B">
        <w:rPr>
          <w:lang w:val="en-US" w:eastAsia="zh-CN"/>
        </w:rPr>
        <w:tab/>
      </w:r>
      <w:r w:rsidRPr="006E3B9B">
        <w:rPr>
          <w:rFonts w:hint="eastAsia"/>
          <w:lang w:eastAsia="zh-CN"/>
        </w:rPr>
        <w:t>综合预算</w:t>
      </w:r>
      <w:r w:rsidRPr="006E3B9B">
        <w:rPr>
          <w:lang w:val="en-US" w:eastAsia="zh-CN"/>
        </w:rPr>
        <w:tab/>
      </w:r>
      <w:r w:rsidR="00A45877">
        <w:rPr>
          <w:lang w:val="en-US" w:eastAsia="zh-CN"/>
        </w:rPr>
        <w:tab/>
      </w:r>
      <w:r w:rsidRPr="006E3B9B">
        <w:rPr>
          <w:lang w:val="en-US" w:eastAsia="zh-CN"/>
        </w:rPr>
        <w:t>1949</w:t>
      </w:r>
      <w:r w:rsidRPr="006E3B9B">
        <w:rPr>
          <w:rFonts w:hint="eastAsia"/>
          <w:lang w:val="en-US" w:eastAsia="zh-CN"/>
        </w:rPr>
        <w:t>年</w:t>
      </w:r>
    </w:p>
    <w:p w14:paraId="4827BC5C"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55</w:t>
      </w:r>
      <w:r w:rsidRPr="006E3B9B">
        <w:rPr>
          <w:lang w:val="en-US" w:eastAsia="zh-CN"/>
        </w:rPr>
        <w:t>号决议</w:t>
      </w:r>
      <w:r w:rsidRPr="006E3B9B">
        <w:rPr>
          <w:lang w:val="en-US" w:eastAsia="zh-CN"/>
        </w:rPr>
        <w:tab/>
      </w:r>
      <w:r w:rsidRPr="006E3B9B">
        <w:rPr>
          <w:rFonts w:hint="eastAsia"/>
          <w:lang w:eastAsia="zh-CN"/>
        </w:rPr>
        <w:t>关于每日生活津贴的规定</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5D"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56</w:t>
      </w:r>
      <w:r w:rsidRPr="006E3B9B">
        <w:rPr>
          <w:lang w:val="en-US" w:eastAsia="zh-CN"/>
        </w:rPr>
        <w:t>号决议</w:t>
      </w:r>
      <w:r w:rsidRPr="006E3B9B">
        <w:rPr>
          <w:lang w:val="en-US" w:eastAsia="zh-CN"/>
        </w:rPr>
        <w:tab/>
      </w:r>
      <w:r w:rsidRPr="006E3B9B">
        <w:rPr>
          <w:rFonts w:hint="eastAsia"/>
          <w:lang w:eastAsia="zh-CN"/>
        </w:rPr>
        <w:t>临时人员的长期合同</w:t>
      </w:r>
      <w:r w:rsidRPr="006E3B9B">
        <w:rPr>
          <w:lang w:val="en-US" w:eastAsia="zh-CN"/>
        </w:rPr>
        <w:tab/>
      </w:r>
      <w:r w:rsidR="00A45877">
        <w:rPr>
          <w:lang w:val="en-US" w:eastAsia="zh-CN"/>
        </w:rPr>
        <w:tab/>
      </w:r>
      <w:r w:rsidRPr="006E3B9B">
        <w:rPr>
          <w:lang w:val="en-US" w:eastAsia="zh-CN"/>
        </w:rPr>
        <w:t>1949</w:t>
      </w:r>
      <w:r w:rsidRPr="006E3B9B">
        <w:rPr>
          <w:rFonts w:hint="eastAsia"/>
          <w:lang w:val="en-US" w:eastAsia="zh-CN"/>
        </w:rPr>
        <w:t>年</w:t>
      </w:r>
    </w:p>
    <w:p w14:paraId="4827BC5E"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57</w:t>
      </w:r>
      <w:r w:rsidRPr="006E3B9B">
        <w:rPr>
          <w:lang w:val="en-US" w:eastAsia="zh-CN"/>
        </w:rPr>
        <w:t>号决议</w:t>
      </w:r>
      <w:r w:rsidRPr="006E3B9B">
        <w:rPr>
          <w:lang w:val="en-US" w:eastAsia="zh-CN"/>
        </w:rPr>
        <w:tab/>
      </w:r>
      <w:r w:rsidRPr="006E3B9B">
        <w:rPr>
          <w:rFonts w:hint="eastAsia"/>
          <w:lang w:eastAsia="zh-CN"/>
        </w:rPr>
        <w:t>东北大西洋特别行政大会的召开</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5F"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58</w:t>
      </w:r>
      <w:r w:rsidRPr="006E3B9B">
        <w:rPr>
          <w:lang w:val="en-US" w:eastAsia="zh-CN"/>
        </w:rPr>
        <w:t>号决议</w:t>
      </w:r>
      <w:r w:rsidRPr="006E3B9B">
        <w:rPr>
          <w:lang w:val="en-US" w:eastAsia="zh-CN"/>
        </w:rPr>
        <w:tab/>
      </w:r>
      <w:r w:rsidRPr="006E3B9B">
        <w:rPr>
          <w:rFonts w:hint="eastAsia"/>
          <w:lang w:eastAsia="zh-CN"/>
        </w:rPr>
        <w:t>航空无线电大会第二部分会议</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60"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59</w:t>
      </w:r>
      <w:r w:rsidRPr="006E3B9B">
        <w:rPr>
          <w:lang w:val="en-US" w:eastAsia="zh-CN"/>
        </w:rPr>
        <w:t>号决议</w:t>
      </w:r>
      <w:r w:rsidRPr="006E3B9B">
        <w:rPr>
          <w:lang w:val="en-US" w:eastAsia="zh-CN"/>
        </w:rPr>
        <w:tab/>
      </w:r>
      <w:r w:rsidRPr="006E3B9B">
        <w:rPr>
          <w:rFonts w:hint="eastAsia"/>
          <w:lang w:eastAsia="zh-CN"/>
        </w:rPr>
        <w:t>1</w:t>
      </w:r>
      <w:r w:rsidRPr="006E3B9B">
        <w:rPr>
          <w:rFonts w:hint="eastAsia"/>
          <w:lang w:eastAsia="zh-CN"/>
        </w:rPr>
        <w:t>区无线电行政大会的召开</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61"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60</w:t>
      </w:r>
      <w:r w:rsidRPr="006E3B9B">
        <w:rPr>
          <w:lang w:val="en-US" w:eastAsia="zh-CN"/>
        </w:rPr>
        <w:t>号决议</w:t>
      </w:r>
      <w:r w:rsidRPr="006E3B9B">
        <w:rPr>
          <w:lang w:val="en-US" w:eastAsia="zh-CN"/>
        </w:rPr>
        <w:tab/>
      </w:r>
      <w:r w:rsidRPr="006E3B9B">
        <w:rPr>
          <w:rFonts w:hint="eastAsia"/>
          <w:lang w:eastAsia="zh-CN"/>
        </w:rPr>
        <w:t>2</w:t>
      </w:r>
      <w:r w:rsidRPr="006E3B9B">
        <w:rPr>
          <w:rFonts w:hint="eastAsia"/>
          <w:lang w:eastAsia="zh-CN"/>
        </w:rPr>
        <w:t>区无线电行政大会的召开</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62"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61</w:t>
      </w:r>
      <w:r w:rsidRPr="006E3B9B">
        <w:rPr>
          <w:lang w:val="en-US" w:eastAsia="zh-CN"/>
        </w:rPr>
        <w:t>号决议</w:t>
      </w:r>
      <w:r w:rsidRPr="006E3B9B">
        <w:rPr>
          <w:lang w:val="en-US" w:eastAsia="zh-CN"/>
        </w:rPr>
        <w:tab/>
      </w:r>
      <w:r w:rsidRPr="006E3B9B">
        <w:rPr>
          <w:rFonts w:hint="eastAsia"/>
          <w:lang w:eastAsia="zh-CN"/>
        </w:rPr>
        <w:t>3</w:t>
      </w:r>
      <w:r w:rsidRPr="006E3B9B">
        <w:rPr>
          <w:rFonts w:hint="eastAsia"/>
          <w:lang w:eastAsia="zh-CN"/>
        </w:rPr>
        <w:t>区无线电行政大会的召开</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63"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62</w:t>
      </w:r>
      <w:r w:rsidRPr="006E3B9B">
        <w:rPr>
          <w:lang w:val="en-US" w:eastAsia="zh-CN"/>
        </w:rPr>
        <w:t>号决议</w:t>
      </w:r>
      <w:r w:rsidRPr="006E3B9B">
        <w:rPr>
          <w:lang w:val="en-US" w:eastAsia="zh-CN"/>
        </w:rPr>
        <w:tab/>
      </w:r>
      <w:r w:rsidRPr="006E3B9B">
        <w:rPr>
          <w:lang w:eastAsia="zh-CN"/>
        </w:rPr>
        <w:t>1948</w:t>
      </w:r>
      <w:r w:rsidRPr="006E3B9B">
        <w:rPr>
          <w:rFonts w:hint="eastAsia"/>
          <w:lang w:eastAsia="zh-CN"/>
        </w:rPr>
        <w:t>年斯德哥尔摩</w:t>
      </w:r>
      <w:r w:rsidRPr="006E3B9B">
        <w:rPr>
          <w:lang w:eastAsia="zh-CN"/>
        </w:rPr>
        <w:t>CCIR</w:t>
      </w:r>
      <w:r w:rsidRPr="006E3B9B">
        <w:rPr>
          <w:rFonts w:hint="eastAsia"/>
          <w:lang w:eastAsia="zh-CN"/>
        </w:rPr>
        <w:t>第五届会议的工作</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C64"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63</w:t>
      </w:r>
      <w:r w:rsidRPr="006E3B9B">
        <w:rPr>
          <w:lang w:val="en-US" w:eastAsia="zh-CN"/>
        </w:rPr>
        <w:t>号决议</w:t>
      </w:r>
      <w:r w:rsidRPr="006E3B9B">
        <w:rPr>
          <w:lang w:val="en-US" w:eastAsia="zh-CN"/>
        </w:rPr>
        <w:tab/>
      </w:r>
      <w:r w:rsidRPr="006E3B9B">
        <w:rPr>
          <w:rFonts w:hint="eastAsia"/>
          <w:lang w:val="en-US" w:eastAsia="zh-CN"/>
        </w:rPr>
        <w:t>国际无线电咨询委员会（</w:t>
      </w:r>
      <w:r w:rsidRPr="006E3B9B">
        <w:rPr>
          <w:lang w:eastAsia="zh-CN"/>
        </w:rPr>
        <w:t>CCIR</w:t>
      </w:r>
      <w:r w:rsidRPr="006E3B9B">
        <w:rPr>
          <w:rFonts w:hint="eastAsia"/>
          <w:lang w:eastAsia="zh-CN"/>
        </w:rPr>
        <w:t>）第五届会议费用的分摊</w:t>
      </w:r>
      <w:r w:rsidR="00A45877">
        <w:rPr>
          <w:lang w:eastAsia="zh-CN"/>
        </w:rPr>
        <w:tab/>
      </w:r>
      <w:r w:rsidRPr="006E3B9B">
        <w:rPr>
          <w:lang w:val="en-US" w:eastAsia="zh-CN"/>
        </w:rPr>
        <w:tab/>
        <w:t>1948</w:t>
      </w:r>
      <w:r w:rsidRPr="006E3B9B">
        <w:rPr>
          <w:rFonts w:hint="eastAsia"/>
          <w:lang w:val="en-US" w:eastAsia="zh-CN"/>
        </w:rPr>
        <w:t>年</w:t>
      </w:r>
    </w:p>
    <w:p w14:paraId="4827BC65"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64</w:t>
      </w:r>
      <w:r w:rsidRPr="006E3B9B">
        <w:rPr>
          <w:lang w:val="en-US" w:eastAsia="zh-CN"/>
        </w:rPr>
        <w:t>号决议</w:t>
      </w:r>
      <w:r w:rsidRPr="006E3B9B">
        <w:rPr>
          <w:lang w:val="en-US" w:eastAsia="zh-CN"/>
        </w:rPr>
        <w:tab/>
      </w:r>
      <w:r w:rsidRPr="006E3B9B">
        <w:rPr>
          <w:lang w:eastAsia="zh-CN"/>
        </w:rPr>
        <w:t>CCIR</w:t>
      </w:r>
      <w:r w:rsidRPr="006E3B9B">
        <w:rPr>
          <w:rFonts w:hint="eastAsia"/>
          <w:lang w:eastAsia="zh-CN"/>
        </w:rPr>
        <w:t>研究组费用的分配</w:t>
      </w:r>
      <w:r w:rsidRPr="006E3B9B">
        <w:rPr>
          <w:lang w:val="en-US" w:eastAsia="zh-CN"/>
        </w:rPr>
        <w:tab/>
      </w:r>
      <w:r w:rsidR="00A45877">
        <w:rPr>
          <w:lang w:val="en-US" w:eastAsia="zh-CN"/>
        </w:rPr>
        <w:tab/>
      </w:r>
      <w:r w:rsidRPr="006E3B9B">
        <w:rPr>
          <w:lang w:val="en-US" w:eastAsia="zh-CN"/>
        </w:rPr>
        <w:t>1949</w:t>
      </w:r>
      <w:r w:rsidRPr="006E3B9B">
        <w:rPr>
          <w:rFonts w:hint="eastAsia"/>
          <w:lang w:val="en-US" w:eastAsia="zh-CN"/>
        </w:rPr>
        <w:t>年</w:t>
      </w:r>
    </w:p>
    <w:p w14:paraId="4827BC66"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65</w:t>
      </w:r>
      <w:r w:rsidRPr="006E3B9B">
        <w:rPr>
          <w:lang w:val="en-US" w:eastAsia="zh-CN"/>
        </w:rPr>
        <w:t>号决议</w:t>
      </w:r>
      <w:r w:rsidRPr="006E3B9B">
        <w:rPr>
          <w:lang w:val="en-US" w:eastAsia="zh-CN"/>
        </w:rPr>
        <w:tab/>
      </w:r>
      <w:r w:rsidRPr="006E3B9B">
        <w:rPr>
          <w:lang w:eastAsia="zh-CN"/>
        </w:rPr>
        <w:t>CCIR</w:t>
      </w:r>
      <w:r w:rsidRPr="006E3B9B">
        <w:rPr>
          <w:rFonts w:hint="eastAsia"/>
          <w:lang w:eastAsia="zh-CN"/>
        </w:rPr>
        <w:t>第五届会议文件的出版</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67"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66</w:t>
      </w:r>
      <w:r w:rsidRPr="006E3B9B">
        <w:rPr>
          <w:lang w:val="en-US" w:eastAsia="zh-CN"/>
        </w:rPr>
        <w:t>号决议</w:t>
      </w:r>
      <w:r w:rsidRPr="006E3B9B">
        <w:rPr>
          <w:lang w:val="en-US" w:eastAsia="zh-CN"/>
        </w:rPr>
        <w:tab/>
      </w:r>
      <w:r w:rsidRPr="006E3B9B">
        <w:rPr>
          <w:rFonts w:hint="eastAsia"/>
          <w:lang w:eastAsia="zh-CN"/>
        </w:rPr>
        <w:t>无线电技术专用术语、符号和缩略语词汇表的编写</w:t>
      </w:r>
      <w:r w:rsidR="00A45877">
        <w:rPr>
          <w:lang w:eastAsia="zh-CN"/>
        </w:rPr>
        <w:tab/>
      </w:r>
      <w:r w:rsidRPr="006E3B9B">
        <w:rPr>
          <w:lang w:val="en-US" w:eastAsia="zh-CN"/>
        </w:rPr>
        <w:tab/>
        <w:t>1951</w:t>
      </w:r>
      <w:r w:rsidRPr="006E3B9B">
        <w:rPr>
          <w:rFonts w:hint="eastAsia"/>
          <w:lang w:val="en-US" w:eastAsia="zh-CN"/>
        </w:rPr>
        <w:t>年</w:t>
      </w:r>
    </w:p>
    <w:p w14:paraId="4827BC68"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67</w:t>
      </w:r>
      <w:r w:rsidRPr="006E3B9B">
        <w:rPr>
          <w:lang w:val="en-US" w:eastAsia="zh-CN"/>
        </w:rPr>
        <w:t>号决议</w:t>
      </w:r>
      <w:r w:rsidRPr="006E3B9B">
        <w:rPr>
          <w:lang w:val="en-US" w:eastAsia="zh-CN"/>
        </w:rPr>
        <w:tab/>
      </w:r>
      <w:r w:rsidRPr="006E3B9B">
        <w:rPr>
          <w:rFonts w:hint="eastAsia"/>
          <w:lang w:eastAsia="zh-CN"/>
        </w:rPr>
        <w:t>词汇表、技术符号和通用十进制分类</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C69"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68</w:t>
      </w:r>
      <w:r w:rsidRPr="006E3B9B">
        <w:rPr>
          <w:lang w:val="en-US" w:eastAsia="zh-CN"/>
        </w:rPr>
        <w:t>号决议</w:t>
      </w:r>
      <w:r w:rsidRPr="006E3B9B">
        <w:rPr>
          <w:lang w:val="en-US" w:eastAsia="zh-CN"/>
        </w:rPr>
        <w:tab/>
      </w:r>
      <w:r w:rsidRPr="006E3B9B">
        <w:rPr>
          <w:rFonts w:hint="eastAsia"/>
          <w:lang w:eastAsia="zh-CN"/>
        </w:rPr>
        <w:t>国际无线电咨询委员会副主任的职责</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6A"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69</w:t>
      </w:r>
      <w:r w:rsidRPr="006E3B9B">
        <w:rPr>
          <w:lang w:val="en-US" w:eastAsia="zh-CN"/>
        </w:rPr>
        <w:t>号决议</w:t>
      </w:r>
      <w:r w:rsidRPr="006E3B9B">
        <w:rPr>
          <w:lang w:val="en-US" w:eastAsia="zh-CN"/>
        </w:rPr>
        <w:tab/>
      </w:r>
      <w:r w:rsidRPr="006E3B9B">
        <w:rPr>
          <w:rFonts w:hint="eastAsia"/>
          <w:lang w:eastAsia="zh-CN"/>
        </w:rPr>
        <w:t>对频登会（</w:t>
      </w:r>
      <w:r w:rsidRPr="006E3B9B">
        <w:rPr>
          <w:lang w:eastAsia="zh-CN"/>
        </w:rPr>
        <w:t>IFRB</w:t>
      </w:r>
      <w:r w:rsidRPr="006E3B9B">
        <w:rPr>
          <w:rFonts w:hint="eastAsia"/>
          <w:lang w:eastAsia="zh-CN"/>
        </w:rPr>
        <w:t>）委员实施《大西洋城公约》第</w:t>
      </w:r>
      <w:r w:rsidRPr="006E3B9B">
        <w:rPr>
          <w:lang w:eastAsia="zh-CN"/>
        </w:rPr>
        <w:t>7</w:t>
      </w:r>
      <w:r w:rsidRPr="006E3B9B">
        <w:rPr>
          <w:rFonts w:hint="eastAsia"/>
          <w:lang w:eastAsia="zh-CN"/>
        </w:rPr>
        <w:t>条的规定</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6B"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70</w:t>
      </w:r>
      <w:r w:rsidRPr="006E3B9B">
        <w:rPr>
          <w:lang w:val="en-US" w:eastAsia="zh-CN"/>
        </w:rPr>
        <w:t>号决议</w:t>
      </w:r>
      <w:r w:rsidRPr="006E3B9B">
        <w:rPr>
          <w:lang w:val="en-US" w:eastAsia="zh-CN"/>
        </w:rPr>
        <w:tab/>
      </w:r>
      <w:r w:rsidRPr="006E3B9B">
        <w:rPr>
          <w:rFonts w:hint="eastAsia"/>
          <w:lang w:eastAsia="zh-CN"/>
        </w:rPr>
        <w:t>频登会的语文</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C6C"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71</w:t>
      </w:r>
      <w:r w:rsidRPr="006E3B9B">
        <w:rPr>
          <w:lang w:val="en-US" w:eastAsia="zh-CN"/>
        </w:rPr>
        <w:t>号决议</w:t>
      </w:r>
      <w:r w:rsidRPr="006E3B9B">
        <w:rPr>
          <w:lang w:val="en-US" w:eastAsia="zh-CN"/>
        </w:rPr>
        <w:tab/>
      </w:r>
      <w:r w:rsidRPr="006E3B9B">
        <w:rPr>
          <w:rFonts w:hint="eastAsia"/>
          <w:lang w:eastAsia="zh-CN"/>
        </w:rPr>
        <w:t>对</w:t>
      </w:r>
      <w:r w:rsidRPr="006E3B9B">
        <w:rPr>
          <w:lang w:eastAsia="zh-CN"/>
        </w:rPr>
        <w:t>9</w:t>
      </w:r>
      <w:r w:rsidRPr="006E3B9B">
        <w:rPr>
          <w:rFonts w:hint="eastAsia"/>
          <w:lang w:eastAsia="zh-CN"/>
        </w:rPr>
        <w:t>和</w:t>
      </w:r>
      <w:r w:rsidRPr="006E3B9B">
        <w:rPr>
          <w:lang w:eastAsia="zh-CN"/>
        </w:rPr>
        <w:t>11 Mc/s</w:t>
      </w:r>
      <w:r w:rsidRPr="006E3B9B">
        <w:rPr>
          <w:rFonts w:hint="eastAsia"/>
          <w:lang w:eastAsia="zh-CN"/>
        </w:rPr>
        <w:t>频带限值的确定</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6D"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72</w:t>
      </w:r>
      <w:r w:rsidRPr="006E3B9B">
        <w:rPr>
          <w:lang w:val="en-US" w:eastAsia="zh-CN"/>
        </w:rPr>
        <w:t>号决议</w:t>
      </w:r>
      <w:r w:rsidRPr="006E3B9B">
        <w:rPr>
          <w:lang w:val="en-US" w:eastAsia="zh-CN"/>
        </w:rPr>
        <w:tab/>
      </w:r>
      <w:r w:rsidRPr="006E3B9B">
        <w:rPr>
          <w:rFonts w:hint="eastAsia"/>
          <w:lang w:eastAsia="zh-CN"/>
        </w:rPr>
        <w:t>临时频率委员会（</w:t>
      </w:r>
      <w:r w:rsidRPr="006E3B9B">
        <w:rPr>
          <w:rFonts w:hint="eastAsia"/>
          <w:lang w:eastAsia="zh-CN"/>
        </w:rPr>
        <w:t>PFB</w:t>
      </w:r>
      <w:r w:rsidRPr="006E3B9B">
        <w:rPr>
          <w:rFonts w:hint="eastAsia"/>
          <w:lang w:eastAsia="zh-CN"/>
        </w:rPr>
        <w:t>）电路需求清单的打印</w:t>
      </w:r>
      <w:r w:rsidRPr="006E3B9B">
        <w:rPr>
          <w:lang w:val="en-US" w:eastAsia="zh-CN"/>
        </w:rPr>
        <w:tab/>
      </w:r>
      <w:r w:rsidR="00A45877">
        <w:rPr>
          <w:lang w:val="en-US" w:eastAsia="zh-CN"/>
        </w:rPr>
        <w:tab/>
      </w:r>
      <w:r w:rsidRPr="006E3B9B">
        <w:rPr>
          <w:lang w:val="en-US" w:eastAsia="zh-CN"/>
        </w:rPr>
        <w:t xml:space="preserve"> 1949</w:t>
      </w:r>
      <w:r w:rsidRPr="006E3B9B">
        <w:rPr>
          <w:rFonts w:hint="eastAsia"/>
          <w:lang w:val="en-US" w:eastAsia="zh-CN"/>
        </w:rPr>
        <w:t>年</w:t>
      </w:r>
    </w:p>
    <w:p w14:paraId="4827BC6E"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73</w:t>
      </w:r>
      <w:r w:rsidRPr="006E3B9B">
        <w:rPr>
          <w:lang w:val="en-US" w:eastAsia="zh-CN"/>
        </w:rPr>
        <w:t>号决议</w:t>
      </w:r>
      <w:r w:rsidRPr="006E3B9B">
        <w:rPr>
          <w:lang w:val="en-US" w:eastAsia="zh-CN"/>
        </w:rPr>
        <w:tab/>
      </w:r>
      <w:r w:rsidRPr="006E3B9B">
        <w:rPr>
          <w:rFonts w:hint="eastAsia"/>
          <w:lang w:eastAsia="zh-CN"/>
        </w:rPr>
        <w:t>发送给主管部门</w:t>
      </w:r>
      <w:r w:rsidRPr="006E3B9B">
        <w:rPr>
          <w:lang w:eastAsia="zh-CN"/>
        </w:rPr>
        <w:t>临时频率委员会</w:t>
      </w:r>
      <w:r w:rsidRPr="006E3B9B">
        <w:rPr>
          <w:rFonts w:hint="eastAsia"/>
          <w:lang w:eastAsia="zh-CN"/>
        </w:rPr>
        <w:t>第</w:t>
      </w:r>
      <w:r w:rsidRPr="006E3B9B">
        <w:rPr>
          <w:lang w:eastAsia="zh-CN"/>
        </w:rPr>
        <w:t>12</w:t>
      </w:r>
      <w:r w:rsidRPr="006E3B9B">
        <w:rPr>
          <w:rFonts w:hint="eastAsia"/>
          <w:lang w:eastAsia="zh-CN"/>
        </w:rPr>
        <w:t>次全体会议的会议记录</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6F"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74</w:t>
      </w:r>
      <w:r w:rsidRPr="006E3B9B">
        <w:rPr>
          <w:lang w:val="en-US" w:eastAsia="zh-CN"/>
        </w:rPr>
        <w:t>号决议</w:t>
      </w:r>
      <w:r w:rsidRPr="006E3B9B">
        <w:rPr>
          <w:lang w:val="en-US" w:eastAsia="zh-CN"/>
        </w:rPr>
        <w:tab/>
      </w:r>
      <w:r w:rsidRPr="006E3B9B">
        <w:rPr>
          <w:rFonts w:hint="eastAsia"/>
          <w:lang w:eastAsia="zh-CN"/>
        </w:rPr>
        <w:t>临时频率委员会的工作</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70"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75</w:t>
      </w:r>
      <w:r w:rsidRPr="006E3B9B">
        <w:rPr>
          <w:lang w:val="en-US" w:eastAsia="zh-CN"/>
        </w:rPr>
        <w:t>号决议</w:t>
      </w:r>
      <w:r w:rsidRPr="006E3B9B">
        <w:rPr>
          <w:lang w:val="en-US" w:eastAsia="zh-CN"/>
        </w:rPr>
        <w:tab/>
      </w:r>
      <w:r w:rsidRPr="006E3B9B">
        <w:rPr>
          <w:rFonts w:hint="eastAsia"/>
          <w:lang w:eastAsia="zh-CN"/>
        </w:rPr>
        <w:t>国际电报电话咨询委员会（</w:t>
      </w:r>
      <w:r w:rsidRPr="006E3B9B">
        <w:rPr>
          <w:rFonts w:hint="eastAsia"/>
          <w:lang w:eastAsia="zh-CN"/>
        </w:rPr>
        <w:t>CCIT</w:t>
      </w:r>
      <w:r w:rsidRPr="006E3B9B">
        <w:rPr>
          <w:rFonts w:hint="eastAsia"/>
          <w:lang w:eastAsia="zh-CN"/>
        </w:rPr>
        <w:t>）未来主任的任命</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71" w14:textId="77777777" w:rsidR="00BF1CF1" w:rsidRDefault="00BF1CF1">
      <w:pPr>
        <w:tabs>
          <w:tab w:val="clear" w:pos="794"/>
          <w:tab w:val="clear" w:pos="1191"/>
          <w:tab w:val="clear" w:pos="1588"/>
          <w:tab w:val="clear" w:pos="1985"/>
        </w:tabs>
        <w:overflowPunct/>
        <w:autoSpaceDE/>
        <w:autoSpaceDN/>
        <w:adjustRightInd/>
        <w:spacing w:before="0"/>
        <w:jc w:val="left"/>
        <w:textAlignment w:val="auto"/>
        <w:rPr>
          <w:sz w:val="20"/>
          <w:lang w:val="en-US" w:eastAsia="zh-CN"/>
        </w:rPr>
      </w:pPr>
      <w:r>
        <w:rPr>
          <w:lang w:val="en-US" w:eastAsia="zh-CN"/>
        </w:rPr>
        <w:br w:type="page"/>
      </w:r>
    </w:p>
    <w:p w14:paraId="4827BC72" w14:textId="77777777" w:rsidR="006E3B9B" w:rsidRPr="006E3B9B" w:rsidRDefault="006E3B9B" w:rsidP="00A45877">
      <w:pPr>
        <w:pStyle w:val="Appendixref"/>
        <w:rPr>
          <w:lang w:val="en-US" w:eastAsia="zh-CN"/>
        </w:rPr>
      </w:pPr>
      <w:r w:rsidRPr="006E3B9B">
        <w:rPr>
          <w:lang w:val="en-US" w:eastAsia="zh-CN"/>
        </w:rPr>
        <w:lastRenderedPageBreak/>
        <w:t>第</w:t>
      </w:r>
      <w:r w:rsidRPr="006E3B9B">
        <w:rPr>
          <w:lang w:val="en-US" w:eastAsia="zh-CN"/>
        </w:rPr>
        <w:t>76</w:t>
      </w:r>
      <w:r w:rsidRPr="006E3B9B">
        <w:rPr>
          <w:lang w:val="en-US" w:eastAsia="zh-CN"/>
        </w:rPr>
        <w:t>号决议</w:t>
      </w:r>
      <w:r w:rsidRPr="006E3B9B">
        <w:rPr>
          <w:lang w:val="en-US" w:eastAsia="zh-CN"/>
        </w:rPr>
        <w:tab/>
      </w:r>
      <w:r w:rsidRPr="006E3B9B">
        <w:rPr>
          <w:rFonts w:hint="eastAsia"/>
          <w:lang w:eastAsia="zh-CN"/>
        </w:rPr>
        <w:t>应受邀参加</w:t>
      </w:r>
      <w:r w:rsidRPr="006E3B9B">
        <w:rPr>
          <w:lang w:eastAsia="zh-CN"/>
        </w:rPr>
        <w:t>1949</w:t>
      </w:r>
      <w:r w:rsidRPr="006E3B9B">
        <w:rPr>
          <w:rFonts w:hint="eastAsia"/>
          <w:lang w:eastAsia="zh-CN"/>
        </w:rPr>
        <w:t>年巴黎电报电话大会的国家</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73"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77</w:t>
      </w:r>
      <w:r w:rsidRPr="006E3B9B">
        <w:rPr>
          <w:lang w:val="en-US" w:eastAsia="zh-CN"/>
        </w:rPr>
        <w:t>号决议</w:t>
      </w:r>
      <w:r w:rsidRPr="006E3B9B">
        <w:rPr>
          <w:lang w:val="en-US" w:eastAsia="zh-CN"/>
        </w:rPr>
        <w:tab/>
      </w:r>
      <w:r w:rsidRPr="006E3B9B">
        <w:rPr>
          <w:rFonts w:hint="eastAsia"/>
          <w:lang w:val="en-US" w:eastAsia="zh-CN"/>
        </w:rPr>
        <w:t>《</w:t>
      </w:r>
      <w:r w:rsidRPr="006E3B9B">
        <w:rPr>
          <w:rFonts w:hint="eastAsia"/>
          <w:lang w:eastAsia="zh-CN"/>
        </w:rPr>
        <w:t>电报规则》修订委员会会议的召集</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74"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78</w:t>
      </w:r>
      <w:r w:rsidRPr="006E3B9B">
        <w:rPr>
          <w:lang w:val="en-US" w:eastAsia="zh-CN"/>
        </w:rPr>
        <w:t>号决议</w:t>
      </w:r>
      <w:r w:rsidRPr="006E3B9B">
        <w:rPr>
          <w:lang w:val="en-US" w:eastAsia="zh-CN"/>
        </w:rPr>
        <w:tab/>
      </w:r>
      <w:r w:rsidRPr="006E3B9B">
        <w:rPr>
          <w:rFonts w:hint="eastAsia"/>
          <w:lang w:val="en-US" w:eastAsia="zh-CN"/>
        </w:rPr>
        <w:t>《</w:t>
      </w:r>
      <w:r w:rsidRPr="006E3B9B">
        <w:rPr>
          <w:rFonts w:hint="eastAsia"/>
          <w:lang w:eastAsia="zh-CN"/>
        </w:rPr>
        <w:t>政府电报公约》新条款的实施</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75"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79</w:t>
      </w:r>
      <w:r w:rsidRPr="006E3B9B">
        <w:rPr>
          <w:lang w:val="en-US" w:eastAsia="zh-CN"/>
        </w:rPr>
        <w:t>号决议</w:t>
      </w:r>
      <w:r w:rsidRPr="006E3B9B">
        <w:rPr>
          <w:lang w:val="en-US" w:eastAsia="zh-CN"/>
        </w:rPr>
        <w:tab/>
      </w:r>
      <w:r w:rsidRPr="006E3B9B">
        <w:rPr>
          <w:rFonts w:hint="eastAsia"/>
          <w:lang w:val="en-US" w:eastAsia="zh-CN"/>
        </w:rPr>
        <w:t>《</w:t>
      </w:r>
      <w:r w:rsidRPr="006E3B9B">
        <w:rPr>
          <w:rFonts w:hint="eastAsia"/>
          <w:lang w:eastAsia="zh-CN"/>
        </w:rPr>
        <w:t>政府电话通话公约》新条款的实施</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76"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80</w:t>
      </w:r>
      <w:r w:rsidRPr="006E3B9B">
        <w:rPr>
          <w:lang w:val="en-US" w:eastAsia="zh-CN"/>
        </w:rPr>
        <w:t>号决议</w:t>
      </w:r>
      <w:r w:rsidRPr="006E3B9B">
        <w:rPr>
          <w:lang w:val="en-US" w:eastAsia="zh-CN"/>
        </w:rPr>
        <w:tab/>
      </w:r>
      <w:r w:rsidRPr="006E3B9B">
        <w:rPr>
          <w:rFonts w:hint="eastAsia"/>
          <w:lang w:eastAsia="zh-CN"/>
        </w:rPr>
        <w:t>政府电报的资费和电报资费的统一</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77"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81</w:t>
      </w:r>
      <w:r w:rsidRPr="006E3B9B">
        <w:rPr>
          <w:lang w:val="en-US" w:eastAsia="zh-CN"/>
        </w:rPr>
        <w:t>号决议</w:t>
      </w:r>
      <w:r w:rsidRPr="006E3B9B">
        <w:rPr>
          <w:lang w:val="en-US" w:eastAsia="zh-CN"/>
        </w:rPr>
        <w:tab/>
      </w:r>
      <w:r w:rsidRPr="006E3B9B">
        <w:rPr>
          <w:rFonts w:hint="eastAsia"/>
          <w:lang w:eastAsia="zh-CN"/>
        </w:rPr>
        <w:t>总秘书处享受的免费电报和电话特权</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78"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82</w:t>
      </w:r>
      <w:r w:rsidRPr="006E3B9B">
        <w:rPr>
          <w:lang w:val="en-US" w:eastAsia="zh-CN"/>
        </w:rPr>
        <w:t>号决议</w:t>
      </w:r>
      <w:r w:rsidRPr="006E3B9B">
        <w:rPr>
          <w:lang w:val="en-US" w:eastAsia="zh-CN"/>
        </w:rPr>
        <w:tab/>
      </w:r>
      <w:r w:rsidRPr="006E3B9B">
        <w:rPr>
          <w:rFonts w:hint="eastAsia"/>
          <w:lang w:eastAsia="zh-CN"/>
        </w:rPr>
        <w:t>电信电路的租用和可能成立的专业化国际电信公司</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79"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83</w:t>
      </w:r>
      <w:r w:rsidRPr="006E3B9B">
        <w:rPr>
          <w:lang w:val="en-US" w:eastAsia="zh-CN"/>
        </w:rPr>
        <w:t>号决议</w:t>
      </w:r>
      <w:r w:rsidRPr="006E3B9B">
        <w:rPr>
          <w:lang w:val="en-US" w:eastAsia="zh-CN"/>
        </w:rPr>
        <w:tab/>
      </w:r>
      <w:r w:rsidRPr="006E3B9B">
        <w:rPr>
          <w:rFonts w:hint="eastAsia"/>
          <w:lang w:eastAsia="zh-CN"/>
        </w:rPr>
        <w:t>大会和会议的组织、资金来源和账目的清算</w:t>
      </w:r>
      <w:r w:rsidRPr="006E3B9B">
        <w:rPr>
          <w:lang w:val="en-US" w:eastAsia="zh-CN"/>
        </w:rPr>
        <w:tab/>
      </w:r>
      <w:r w:rsidR="00A45877">
        <w:rPr>
          <w:lang w:val="en-US" w:eastAsia="zh-CN"/>
        </w:rPr>
        <w:tab/>
      </w:r>
      <w:r w:rsidRPr="006E3B9B">
        <w:rPr>
          <w:lang w:val="en-US" w:eastAsia="zh-CN"/>
        </w:rPr>
        <w:t>3.1</w:t>
      </w:r>
    </w:p>
    <w:p w14:paraId="4827BC7A"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84</w:t>
      </w:r>
      <w:r w:rsidRPr="006E3B9B">
        <w:rPr>
          <w:lang w:val="en-US" w:eastAsia="zh-CN"/>
        </w:rPr>
        <w:t>号决议</w:t>
      </w:r>
      <w:r w:rsidRPr="006E3B9B">
        <w:rPr>
          <w:lang w:val="en-US" w:eastAsia="zh-CN"/>
        </w:rPr>
        <w:tab/>
      </w:r>
      <w:r w:rsidRPr="006E3B9B">
        <w:rPr>
          <w:rFonts w:hint="eastAsia"/>
          <w:lang w:val="en-US" w:eastAsia="zh-CN"/>
        </w:rPr>
        <w:t>在</w:t>
      </w:r>
      <w:r w:rsidRPr="006E3B9B">
        <w:rPr>
          <w:rFonts w:hint="eastAsia"/>
          <w:lang w:eastAsia="zh-CN"/>
        </w:rPr>
        <w:t>大会和会议上使用更多的口译工作语言</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C7B"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85</w:t>
      </w:r>
      <w:r w:rsidRPr="006E3B9B">
        <w:rPr>
          <w:lang w:val="en-US" w:eastAsia="zh-CN"/>
        </w:rPr>
        <w:t>号决议</w:t>
      </w:r>
      <w:r w:rsidRPr="006E3B9B">
        <w:rPr>
          <w:lang w:val="en-US" w:eastAsia="zh-CN"/>
        </w:rPr>
        <w:tab/>
      </w:r>
      <w:r w:rsidRPr="006E3B9B">
        <w:rPr>
          <w:rFonts w:hint="eastAsia"/>
          <w:lang w:eastAsia="zh-CN"/>
        </w:rPr>
        <w:t>大会和会议使用更多的口译语言时的费用分摊</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7C"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86</w:t>
      </w:r>
      <w:r w:rsidRPr="006E3B9B">
        <w:rPr>
          <w:lang w:val="en-US" w:eastAsia="zh-CN"/>
        </w:rPr>
        <w:t>号决议</w:t>
      </w:r>
      <w:r w:rsidRPr="006E3B9B">
        <w:rPr>
          <w:lang w:val="en-US" w:eastAsia="zh-CN"/>
        </w:rPr>
        <w:tab/>
      </w:r>
      <w:r w:rsidRPr="006E3B9B">
        <w:rPr>
          <w:rFonts w:hint="eastAsia"/>
          <w:lang w:eastAsia="zh-CN"/>
        </w:rPr>
        <w:t>自</w:t>
      </w:r>
      <w:r w:rsidRPr="006E3B9B">
        <w:rPr>
          <w:lang w:eastAsia="zh-CN"/>
        </w:rPr>
        <w:t>1949</w:t>
      </w:r>
      <w:r w:rsidRPr="006E3B9B">
        <w:rPr>
          <w:rFonts w:hint="eastAsia"/>
          <w:lang w:eastAsia="zh-CN"/>
        </w:rPr>
        <w:t>年</w:t>
      </w:r>
      <w:r w:rsidRPr="006E3B9B">
        <w:rPr>
          <w:rFonts w:hint="eastAsia"/>
          <w:lang w:eastAsia="zh-CN"/>
        </w:rPr>
        <w:t>1</w:t>
      </w:r>
      <w:r w:rsidRPr="006E3B9B">
        <w:rPr>
          <w:rFonts w:hint="eastAsia"/>
          <w:lang w:eastAsia="zh-CN"/>
        </w:rPr>
        <w:t>月</w:t>
      </w:r>
      <w:r w:rsidRPr="006E3B9B">
        <w:rPr>
          <w:rFonts w:hint="eastAsia"/>
          <w:lang w:eastAsia="zh-CN"/>
        </w:rPr>
        <w:t>1</w:t>
      </w:r>
      <w:r w:rsidRPr="006E3B9B">
        <w:rPr>
          <w:rFonts w:hint="eastAsia"/>
          <w:lang w:eastAsia="zh-CN"/>
        </w:rPr>
        <w:t>日起提供通知和通函的条件</w:t>
      </w:r>
      <w:r w:rsidRPr="006E3B9B">
        <w:rPr>
          <w:lang w:val="en-US" w:eastAsia="zh-CN"/>
        </w:rPr>
        <w:tab/>
      </w:r>
      <w:r w:rsidR="00A45877">
        <w:rPr>
          <w:lang w:val="en-US" w:eastAsia="zh-CN"/>
        </w:rPr>
        <w:tab/>
      </w:r>
      <w:r w:rsidRPr="006E3B9B">
        <w:rPr>
          <w:lang w:val="en-US" w:eastAsia="zh-CN"/>
        </w:rPr>
        <w:t>1949</w:t>
      </w:r>
      <w:r w:rsidRPr="006E3B9B">
        <w:rPr>
          <w:rFonts w:hint="eastAsia"/>
          <w:lang w:val="en-US" w:eastAsia="zh-CN"/>
        </w:rPr>
        <w:t>年</w:t>
      </w:r>
    </w:p>
    <w:p w14:paraId="4827BC7D"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87</w:t>
      </w:r>
      <w:r w:rsidRPr="006E3B9B">
        <w:rPr>
          <w:lang w:val="en-US" w:eastAsia="zh-CN"/>
        </w:rPr>
        <w:t>号决议</w:t>
      </w:r>
      <w:r w:rsidRPr="006E3B9B">
        <w:rPr>
          <w:lang w:val="en-US" w:eastAsia="zh-CN"/>
        </w:rPr>
        <w:tab/>
      </w:r>
      <w:r w:rsidRPr="006E3B9B">
        <w:rPr>
          <w:rFonts w:hint="eastAsia"/>
          <w:lang w:eastAsia="zh-CN"/>
        </w:rPr>
        <w:t>自</w:t>
      </w:r>
      <w:r w:rsidRPr="006E3B9B">
        <w:rPr>
          <w:lang w:eastAsia="zh-CN"/>
        </w:rPr>
        <w:t>1949</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1</w:t>
      </w:r>
      <w:r w:rsidRPr="006E3B9B">
        <w:rPr>
          <w:rFonts w:hint="eastAsia"/>
          <w:lang w:eastAsia="zh-CN"/>
        </w:rPr>
        <w:t>日起自动向所有成员国和联系成员发送总秘书处出版的</w:t>
      </w:r>
      <w:r w:rsidR="00FB65F9">
        <w:rPr>
          <w:lang w:val="en-US" w:eastAsia="zh-CN"/>
        </w:rPr>
        <w:br/>
      </w:r>
      <w:r w:rsidRPr="006E3B9B">
        <w:rPr>
          <w:rFonts w:hint="eastAsia"/>
          <w:lang w:eastAsia="zh-CN"/>
        </w:rPr>
        <w:t>所有文件的副本</w:t>
      </w:r>
      <w:r w:rsidRPr="006E3B9B">
        <w:rPr>
          <w:lang w:val="en-US" w:eastAsia="zh-CN"/>
        </w:rPr>
        <w:tab/>
      </w:r>
      <w:r w:rsidR="00A45877">
        <w:rPr>
          <w:lang w:val="en-US" w:eastAsia="zh-CN"/>
        </w:rPr>
        <w:tab/>
      </w:r>
      <w:r w:rsidRPr="006E3B9B">
        <w:rPr>
          <w:lang w:val="en-US" w:eastAsia="zh-CN"/>
        </w:rPr>
        <w:t>1949</w:t>
      </w:r>
      <w:r w:rsidRPr="006E3B9B">
        <w:rPr>
          <w:rFonts w:hint="eastAsia"/>
          <w:lang w:val="en-US" w:eastAsia="zh-CN"/>
        </w:rPr>
        <w:t>年</w:t>
      </w:r>
    </w:p>
    <w:p w14:paraId="4827BC7E"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88</w:t>
      </w:r>
      <w:r w:rsidRPr="006E3B9B">
        <w:rPr>
          <w:lang w:val="en-US" w:eastAsia="zh-CN"/>
        </w:rPr>
        <w:t>号决议</w:t>
      </w:r>
      <w:r w:rsidRPr="006E3B9B">
        <w:rPr>
          <w:lang w:val="en-US" w:eastAsia="zh-CN"/>
        </w:rPr>
        <w:tab/>
      </w:r>
      <w:r w:rsidRPr="006E3B9B">
        <w:rPr>
          <w:rFonts w:hint="eastAsia"/>
          <w:lang w:val="en-US" w:eastAsia="zh-CN"/>
        </w:rPr>
        <w:t>国际电联</w:t>
      </w:r>
      <w:r w:rsidRPr="006E3B9B">
        <w:rPr>
          <w:rFonts w:hint="eastAsia"/>
          <w:lang w:eastAsia="zh-CN"/>
        </w:rPr>
        <w:t>总秘书处与非国际电联成员国的国家或主管部门的关系</w:t>
      </w:r>
      <w:r w:rsidRPr="006E3B9B">
        <w:rPr>
          <w:lang w:val="en-US" w:eastAsia="zh-CN"/>
        </w:rPr>
        <w:tab/>
      </w:r>
      <w:r w:rsidR="00A45877">
        <w:rPr>
          <w:lang w:val="en-US" w:eastAsia="zh-CN"/>
        </w:rPr>
        <w:tab/>
      </w:r>
      <w:r w:rsidRPr="006E3B9B">
        <w:rPr>
          <w:lang w:val="en-US" w:eastAsia="zh-CN"/>
        </w:rPr>
        <w:t>6.1</w:t>
      </w:r>
    </w:p>
    <w:p w14:paraId="4827BC7F"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89</w:t>
      </w:r>
      <w:r w:rsidRPr="006E3B9B">
        <w:rPr>
          <w:lang w:val="en-US" w:eastAsia="zh-CN"/>
        </w:rPr>
        <w:t>号决议</w:t>
      </w:r>
      <w:r w:rsidRPr="006E3B9B">
        <w:rPr>
          <w:lang w:val="en-US" w:eastAsia="zh-CN"/>
        </w:rPr>
        <w:tab/>
      </w:r>
      <w:r w:rsidRPr="006E3B9B">
        <w:rPr>
          <w:rFonts w:hint="eastAsia"/>
          <w:lang w:val="en-US" w:eastAsia="zh-CN"/>
        </w:rPr>
        <w:t>《</w:t>
      </w:r>
      <w:r w:rsidRPr="006E3B9B">
        <w:rPr>
          <w:rFonts w:hint="eastAsia"/>
          <w:lang w:eastAsia="zh-CN"/>
        </w:rPr>
        <w:t>大西洋城公约》第</w:t>
      </w:r>
      <w:r w:rsidRPr="006E3B9B">
        <w:rPr>
          <w:lang w:eastAsia="zh-CN"/>
        </w:rPr>
        <w:t>1</w:t>
      </w:r>
      <w:r w:rsidRPr="006E3B9B">
        <w:rPr>
          <w:rFonts w:hint="eastAsia"/>
          <w:lang w:eastAsia="zh-CN"/>
        </w:rPr>
        <w:t>条规定的实施</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80"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90</w:t>
      </w:r>
      <w:r w:rsidRPr="006E3B9B">
        <w:rPr>
          <w:lang w:val="en-US" w:eastAsia="zh-CN"/>
        </w:rPr>
        <w:t>号决议</w:t>
      </w:r>
      <w:r w:rsidRPr="006E3B9B">
        <w:rPr>
          <w:lang w:val="en-US" w:eastAsia="zh-CN"/>
        </w:rPr>
        <w:tab/>
      </w:r>
      <w:r w:rsidRPr="006E3B9B">
        <w:rPr>
          <w:rFonts w:hint="eastAsia"/>
          <w:lang w:val="en-US" w:eastAsia="zh-CN"/>
        </w:rPr>
        <w:t>《</w:t>
      </w:r>
      <w:r w:rsidRPr="006E3B9B">
        <w:rPr>
          <w:rFonts w:hint="eastAsia"/>
          <w:lang w:eastAsia="zh-CN"/>
        </w:rPr>
        <w:t>大西洋城公约》第</w:t>
      </w:r>
      <w:r w:rsidRPr="006E3B9B">
        <w:rPr>
          <w:lang w:eastAsia="zh-CN"/>
        </w:rPr>
        <w:t>1</w:t>
      </w:r>
      <w:r w:rsidRPr="006E3B9B">
        <w:rPr>
          <w:rFonts w:hint="eastAsia"/>
          <w:lang w:eastAsia="zh-CN"/>
        </w:rPr>
        <w:t>条第</w:t>
      </w:r>
      <w:r w:rsidRPr="006E3B9B">
        <w:rPr>
          <w:lang w:eastAsia="zh-CN"/>
        </w:rPr>
        <w:t>2 c</w:t>
      </w:r>
      <w:r w:rsidRPr="006E3B9B">
        <w:rPr>
          <w:rFonts w:hint="eastAsia"/>
          <w:lang w:eastAsia="zh-CN"/>
        </w:rPr>
        <w:t>)</w:t>
      </w:r>
      <w:r w:rsidRPr="006E3B9B">
        <w:rPr>
          <w:rFonts w:hint="eastAsia"/>
          <w:lang w:eastAsia="zh-CN"/>
        </w:rPr>
        <w:t>段规定的实施</w:t>
      </w:r>
      <w:r w:rsidRPr="006E3B9B">
        <w:rPr>
          <w:lang w:val="en-US" w:eastAsia="zh-CN"/>
        </w:rPr>
        <w:tab/>
      </w:r>
      <w:r w:rsidR="00A45877">
        <w:rPr>
          <w:lang w:val="en-US" w:eastAsia="zh-CN"/>
        </w:rPr>
        <w:tab/>
      </w:r>
      <w:r w:rsidRPr="006E3B9B">
        <w:rPr>
          <w:lang w:val="en-US" w:eastAsia="zh-CN"/>
        </w:rPr>
        <w:t>1950</w:t>
      </w:r>
      <w:r w:rsidRPr="006E3B9B">
        <w:rPr>
          <w:rFonts w:hint="eastAsia"/>
          <w:lang w:val="en-US" w:eastAsia="zh-CN"/>
        </w:rPr>
        <w:t>年</w:t>
      </w:r>
    </w:p>
    <w:p w14:paraId="4827BC81"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91</w:t>
      </w:r>
      <w:r w:rsidRPr="006E3B9B">
        <w:rPr>
          <w:lang w:val="en-US" w:eastAsia="zh-CN"/>
        </w:rPr>
        <w:t>号决议</w:t>
      </w:r>
      <w:r w:rsidRPr="006E3B9B">
        <w:rPr>
          <w:lang w:val="en-US" w:eastAsia="zh-CN"/>
        </w:rPr>
        <w:tab/>
      </w:r>
      <w:r w:rsidRPr="006E3B9B">
        <w:rPr>
          <w:rFonts w:hint="eastAsia"/>
          <w:lang w:val="en-US" w:eastAsia="zh-CN"/>
        </w:rPr>
        <w:t>国际</w:t>
      </w:r>
      <w:r w:rsidRPr="006E3B9B">
        <w:rPr>
          <w:rFonts w:hint="eastAsia"/>
          <w:lang w:eastAsia="zh-CN"/>
        </w:rPr>
        <w:t>电联秘书长和副秘书长职位的候选人</w:t>
      </w:r>
      <w:r w:rsidR="00A45877">
        <w:rPr>
          <w:lang w:eastAsia="zh-CN"/>
        </w:rPr>
        <w:tab/>
      </w:r>
      <w:r w:rsidRPr="006E3B9B">
        <w:rPr>
          <w:lang w:val="en-US" w:eastAsia="zh-CN"/>
        </w:rPr>
        <w:tab/>
        <w:t>1964</w:t>
      </w:r>
      <w:r w:rsidRPr="006E3B9B">
        <w:rPr>
          <w:rFonts w:hint="eastAsia"/>
          <w:lang w:val="en-US" w:eastAsia="zh-CN"/>
        </w:rPr>
        <w:t>年</w:t>
      </w:r>
    </w:p>
    <w:p w14:paraId="4827BC82"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92</w:t>
      </w:r>
      <w:r w:rsidRPr="006E3B9B">
        <w:rPr>
          <w:lang w:val="en-US" w:eastAsia="zh-CN"/>
        </w:rPr>
        <w:t>号决议</w:t>
      </w:r>
      <w:r w:rsidRPr="006E3B9B">
        <w:rPr>
          <w:lang w:val="en-US" w:eastAsia="zh-CN"/>
        </w:rPr>
        <w:tab/>
      </w:r>
      <w:r w:rsidRPr="006E3B9B">
        <w:rPr>
          <w:rFonts w:hint="eastAsia"/>
          <w:lang w:val="en-US" w:eastAsia="zh-CN"/>
        </w:rPr>
        <w:t>国际</w:t>
      </w:r>
      <w:r w:rsidRPr="006E3B9B">
        <w:rPr>
          <w:rFonts w:hint="eastAsia"/>
          <w:lang w:eastAsia="zh-CN"/>
        </w:rPr>
        <w:t>电联职员的养恤金制度</w:t>
      </w:r>
      <w:r w:rsidRPr="006E3B9B">
        <w:rPr>
          <w:lang w:val="en-US" w:eastAsia="zh-CN"/>
        </w:rPr>
        <w:tab/>
      </w:r>
      <w:r w:rsidR="00A45877">
        <w:rPr>
          <w:lang w:val="en-US" w:eastAsia="zh-CN"/>
        </w:rPr>
        <w:tab/>
      </w:r>
      <w:r w:rsidRPr="006E3B9B">
        <w:rPr>
          <w:lang w:val="en-US" w:eastAsia="zh-CN"/>
        </w:rPr>
        <w:t>1949</w:t>
      </w:r>
      <w:r w:rsidRPr="006E3B9B">
        <w:rPr>
          <w:rFonts w:hint="eastAsia"/>
          <w:lang w:val="en-US" w:eastAsia="zh-CN"/>
        </w:rPr>
        <w:t>年</w:t>
      </w:r>
    </w:p>
    <w:p w14:paraId="4827BC83"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93</w:t>
      </w:r>
      <w:r w:rsidRPr="006E3B9B">
        <w:rPr>
          <w:lang w:val="en-US" w:eastAsia="zh-CN"/>
        </w:rPr>
        <w:t>号决议</w:t>
      </w:r>
      <w:r w:rsidRPr="006E3B9B">
        <w:rPr>
          <w:lang w:val="en-US" w:eastAsia="zh-CN"/>
        </w:rPr>
        <w:tab/>
      </w:r>
      <w:r w:rsidRPr="006E3B9B">
        <w:rPr>
          <w:rFonts w:hint="eastAsia"/>
          <w:lang w:eastAsia="zh-CN"/>
        </w:rPr>
        <w:t>频登会委员的养恤金制度</w:t>
      </w:r>
      <w:r w:rsidR="00A45877">
        <w:rPr>
          <w:lang w:eastAsia="zh-CN"/>
        </w:rPr>
        <w:tab/>
      </w:r>
      <w:r w:rsidRPr="006E3B9B">
        <w:rPr>
          <w:lang w:val="en-US" w:eastAsia="zh-CN"/>
        </w:rPr>
        <w:tab/>
        <w:t>1951</w:t>
      </w:r>
      <w:r w:rsidRPr="006E3B9B">
        <w:rPr>
          <w:rFonts w:hint="eastAsia"/>
          <w:lang w:val="en-US" w:eastAsia="zh-CN"/>
        </w:rPr>
        <w:t>年</w:t>
      </w:r>
    </w:p>
    <w:p w14:paraId="4827BC84"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94</w:t>
      </w:r>
      <w:r w:rsidRPr="006E3B9B">
        <w:rPr>
          <w:lang w:val="en-US" w:eastAsia="zh-CN"/>
        </w:rPr>
        <w:t>号决议</w:t>
      </w:r>
      <w:r w:rsidRPr="006E3B9B">
        <w:rPr>
          <w:lang w:val="en-US" w:eastAsia="zh-CN"/>
        </w:rPr>
        <w:tab/>
      </w:r>
      <w:r w:rsidRPr="006E3B9B">
        <w:rPr>
          <w:rFonts w:hint="eastAsia"/>
          <w:lang w:eastAsia="zh-CN"/>
        </w:rPr>
        <w:t>国际电话咨询委员会（</w:t>
      </w:r>
      <w:r w:rsidRPr="006E3B9B">
        <w:rPr>
          <w:rFonts w:hint="eastAsia"/>
          <w:lang w:eastAsia="zh-CN"/>
        </w:rPr>
        <w:t>CCIF</w:t>
      </w:r>
      <w:r w:rsidRPr="006E3B9B">
        <w:rPr>
          <w:rFonts w:hint="eastAsia"/>
          <w:lang w:eastAsia="zh-CN"/>
        </w:rPr>
        <w:t>）前职员的的养恤金制度</w:t>
      </w:r>
      <w:r w:rsidR="00A45877">
        <w:rPr>
          <w:lang w:eastAsia="zh-CN"/>
        </w:rPr>
        <w:tab/>
      </w:r>
      <w:r w:rsidRPr="006E3B9B">
        <w:rPr>
          <w:lang w:val="en-US" w:eastAsia="zh-CN"/>
        </w:rPr>
        <w:tab/>
        <w:t>1948</w:t>
      </w:r>
      <w:r w:rsidRPr="006E3B9B">
        <w:rPr>
          <w:rFonts w:hint="eastAsia"/>
          <w:lang w:val="en-US" w:eastAsia="zh-CN"/>
        </w:rPr>
        <w:t>年</w:t>
      </w:r>
    </w:p>
    <w:p w14:paraId="4827BC85"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95</w:t>
      </w:r>
      <w:r w:rsidRPr="006E3B9B">
        <w:rPr>
          <w:lang w:val="en-US" w:eastAsia="zh-CN"/>
        </w:rPr>
        <w:t>号决议</w:t>
      </w:r>
      <w:r w:rsidRPr="006E3B9B">
        <w:rPr>
          <w:lang w:val="en-US" w:eastAsia="zh-CN"/>
        </w:rPr>
        <w:tab/>
      </w:r>
      <w:r w:rsidRPr="006E3B9B">
        <w:rPr>
          <w:rFonts w:hint="eastAsia"/>
          <w:lang w:eastAsia="zh-CN"/>
        </w:rPr>
        <w:t>同声传译系统设备</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86"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96</w:t>
      </w:r>
      <w:r w:rsidRPr="006E3B9B">
        <w:rPr>
          <w:lang w:val="en-US" w:eastAsia="zh-CN"/>
        </w:rPr>
        <w:t>号决议</w:t>
      </w:r>
      <w:r w:rsidRPr="006E3B9B">
        <w:rPr>
          <w:lang w:val="en-US" w:eastAsia="zh-CN"/>
        </w:rPr>
        <w:tab/>
      </w:r>
      <w:r w:rsidRPr="006E3B9B">
        <w:rPr>
          <w:rFonts w:hint="eastAsia"/>
          <w:lang w:eastAsia="zh-CN"/>
        </w:rPr>
        <w:t>联合国参加理事会会议</w:t>
      </w:r>
      <w:r w:rsidRPr="006E3B9B">
        <w:rPr>
          <w:lang w:val="en-US" w:eastAsia="zh-CN"/>
        </w:rPr>
        <w:tab/>
      </w:r>
      <w:r w:rsidR="00A45877">
        <w:rPr>
          <w:lang w:val="en-US" w:eastAsia="zh-CN"/>
        </w:rPr>
        <w:tab/>
      </w:r>
      <w:r w:rsidRPr="006E3B9B">
        <w:rPr>
          <w:lang w:val="en-US" w:eastAsia="zh-CN"/>
        </w:rPr>
        <w:t>1954</w:t>
      </w:r>
      <w:r w:rsidRPr="006E3B9B">
        <w:rPr>
          <w:rFonts w:hint="eastAsia"/>
          <w:lang w:val="en-US" w:eastAsia="zh-CN"/>
        </w:rPr>
        <w:t>年</w:t>
      </w:r>
    </w:p>
    <w:p w14:paraId="4827BC87"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97</w:t>
      </w:r>
      <w:r w:rsidRPr="006E3B9B">
        <w:rPr>
          <w:lang w:val="en-US" w:eastAsia="zh-CN"/>
        </w:rPr>
        <w:t>号决议</w:t>
      </w:r>
      <w:r w:rsidRPr="006E3B9B">
        <w:rPr>
          <w:lang w:val="en-US" w:eastAsia="zh-CN"/>
        </w:rPr>
        <w:tab/>
      </w:r>
      <w:r w:rsidRPr="006E3B9B">
        <w:rPr>
          <w:rFonts w:hint="eastAsia"/>
          <w:lang w:val="en-US" w:eastAsia="zh-CN"/>
        </w:rPr>
        <w:t>国际</w:t>
      </w:r>
      <w:r w:rsidRPr="006E3B9B">
        <w:rPr>
          <w:rFonts w:hint="eastAsia"/>
          <w:lang w:eastAsia="zh-CN"/>
        </w:rPr>
        <w:t>电联在联合国专门机构和其他国际组织会议上的代表权</w:t>
      </w:r>
      <w:r w:rsidR="00A45877">
        <w:rPr>
          <w:lang w:eastAsia="zh-CN"/>
        </w:rPr>
        <w:tab/>
      </w:r>
      <w:r w:rsidRPr="006E3B9B">
        <w:rPr>
          <w:lang w:val="en-US" w:eastAsia="zh-CN"/>
        </w:rPr>
        <w:tab/>
        <w:t>1949</w:t>
      </w:r>
      <w:r w:rsidRPr="006E3B9B">
        <w:rPr>
          <w:rFonts w:hint="eastAsia"/>
          <w:lang w:val="en-US" w:eastAsia="zh-CN"/>
        </w:rPr>
        <w:t>年</w:t>
      </w:r>
    </w:p>
    <w:p w14:paraId="4827BC88"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98</w:t>
      </w:r>
      <w:r w:rsidRPr="006E3B9B">
        <w:rPr>
          <w:lang w:val="en-US" w:eastAsia="zh-CN"/>
        </w:rPr>
        <w:t>号决议</w:t>
      </w:r>
      <w:r w:rsidRPr="006E3B9B">
        <w:rPr>
          <w:lang w:val="en-US" w:eastAsia="zh-CN"/>
        </w:rPr>
        <w:tab/>
      </w:r>
      <w:r w:rsidRPr="006E3B9B">
        <w:rPr>
          <w:rFonts w:hint="eastAsia"/>
          <w:lang w:eastAsia="zh-CN"/>
        </w:rPr>
        <w:t>国际电联在联合国及其专门机构大会上的代表权</w:t>
      </w:r>
      <w:r w:rsidR="00A45877">
        <w:rPr>
          <w:lang w:eastAsia="zh-CN"/>
        </w:rPr>
        <w:tab/>
      </w:r>
      <w:r w:rsidRPr="006E3B9B">
        <w:rPr>
          <w:lang w:val="en-US" w:eastAsia="zh-CN"/>
        </w:rPr>
        <w:tab/>
        <w:t>1949</w:t>
      </w:r>
      <w:r w:rsidRPr="006E3B9B">
        <w:rPr>
          <w:rFonts w:hint="eastAsia"/>
          <w:lang w:val="en-US" w:eastAsia="zh-CN"/>
        </w:rPr>
        <w:t>年</w:t>
      </w:r>
    </w:p>
    <w:p w14:paraId="4827BC89"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99</w:t>
      </w:r>
      <w:r w:rsidRPr="006E3B9B">
        <w:rPr>
          <w:lang w:val="en-US" w:eastAsia="zh-CN"/>
        </w:rPr>
        <w:t>号决议</w:t>
      </w:r>
      <w:r w:rsidRPr="006E3B9B">
        <w:rPr>
          <w:lang w:val="en-US" w:eastAsia="zh-CN"/>
        </w:rPr>
        <w:tab/>
      </w:r>
      <w:r w:rsidRPr="006E3B9B">
        <w:rPr>
          <w:rFonts w:hint="eastAsia"/>
          <w:lang w:eastAsia="zh-CN"/>
        </w:rPr>
        <w:t>国际电联在联合国大会第三届常会上的代表权</w:t>
      </w:r>
      <w:r w:rsidR="00A45877">
        <w:rPr>
          <w:lang w:eastAsia="zh-CN"/>
        </w:rPr>
        <w:tab/>
      </w:r>
      <w:r w:rsidRPr="006E3B9B">
        <w:rPr>
          <w:lang w:val="en-US" w:eastAsia="zh-CN"/>
        </w:rPr>
        <w:tab/>
        <w:t>1948</w:t>
      </w:r>
      <w:r w:rsidRPr="006E3B9B">
        <w:rPr>
          <w:rFonts w:hint="eastAsia"/>
          <w:lang w:val="en-US" w:eastAsia="zh-CN"/>
        </w:rPr>
        <w:t>年</w:t>
      </w:r>
    </w:p>
    <w:p w14:paraId="4827BC8A"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100</w:t>
      </w:r>
      <w:r w:rsidRPr="006E3B9B">
        <w:rPr>
          <w:lang w:val="en-US" w:eastAsia="zh-CN"/>
        </w:rPr>
        <w:t>号决议</w:t>
      </w:r>
      <w:r w:rsidRPr="006E3B9B">
        <w:rPr>
          <w:lang w:val="en-US" w:eastAsia="zh-CN"/>
        </w:rPr>
        <w:tab/>
      </w:r>
      <w:r w:rsidRPr="006E3B9B">
        <w:rPr>
          <w:rFonts w:hint="eastAsia"/>
          <w:lang w:eastAsia="zh-CN"/>
        </w:rPr>
        <w:t>联合国关于召集大会的规定</w:t>
      </w:r>
      <w:r w:rsidR="00A45877">
        <w:rPr>
          <w:lang w:eastAsia="zh-CN"/>
        </w:rPr>
        <w:tab/>
      </w:r>
      <w:r w:rsidRPr="006E3B9B">
        <w:rPr>
          <w:lang w:val="en-US" w:eastAsia="zh-CN"/>
        </w:rPr>
        <w:tab/>
        <w:t>1948</w:t>
      </w:r>
      <w:r w:rsidRPr="006E3B9B">
        <w:rPr>
          <w:rFonts w:hint="eastAsia"/>
          <w:lang w:val="en-US" w:eastAsia="zh-CN"/>
        </w:rPr>
        <w:t>年</w:t>
      </w:r>
    </w:p>
    <w:p w14:paraId="4827BC8B"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101</w:t>
      </w:r>
      <w:r w:rsidRPr="006E3B9B">
        <w:rPr>
          <w:lang w:val="en-US" w:eastAsia="zh-CN"/>
        </w:rPr>
        <w:t>号决议</w:t>
      </w:r>
      <w:r w:rsidRPr="006E3B9B">
        <w:rPr>
          <w:lang w:val="en-US" w:eastAsia="zh-CN"/>
        </w:rPr>
        <w:tab/>
      </w:r>
      <w:r w:rsidRPr="006E3B9B">
        <w:rPr>
          <w:rFonts w:hint="eastAsia"/>
          <w:lang w:eastAsia="zh-CN"/>
        </w:rPr>
        <w:t>国际电联与联合国之间的文件交换</w:t>
      </w:r>
      <w:r w:rsidR="00A45877">
        <w:rPr>
          <w:lang w:eastAsia="zh-CN"/>
        </w:rPr>
        <w:tab/>
      </w:r>
      <w:r w:rsidRPr="006E3B9B">
        <w:rPr>
          <w:lang w:val="en-US" w:eastAsia="zh-CN"/>
        </w:rPr>
        <w:tab/>
        <w:t>6.2</w:t>
      </w:r>
    </w:p>
    <w:p w14:paraId="4827BC8C"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102</w:t>
      </w:r>
      <w:r w:rsidRPr="006E3B9B">
        <w:rPr>
          <w:lang w:val="en-US" w:eastAsia="zh-CN"/>
        </w:rPr>
        <w:t>号决议</w:t>
      </w:r>
      <w:r w:rsidRPr="006E3B9B">
        <w:rPr>
          <w:lang w:val="en-US" w:eastAsia="zh-CN"/>
        </w:rPr>
        <w:tab/>
      </w:r>
      <w:r w:rsidRPr="006E3B9B">
        <w:rPr>
          <w:rFonts w:hint="eastAsia"/>
          <w:lang w:eastAsia="zh-CN"/>
        </w:rPr>
        <w:t>与联合国交换统计资料</w:t>
      </w:r>
      <w:r w:rsidR="00A45877">
        <w:rPr>
          <w:lang w:eastAsia="zh-CN"/>
        </w:rPr>
        <w:tab/>
      </w:r>
      <w:r w:rsidRPr="006E3B9B">
        <w:rPr>
          <w:lang w:val="en-US" w:eastAsia="zh-CN"/>
        </w:rPr>
        <w:tab/>
        <w:t>6.2</w:t>
      </w:r>
    </w:p>
    <w:p w14:paraId="4827BC8D"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103</w:t>
      </w:r>
      <w:r w:rsidRPr="006E3B9B">
        <w:rPr>
          <w:lang w:val="en-US" w:eastAsia="zh-CN"/>
        </w:rPr>
        <w:t>号决议</w:t>
      </w:r>
      <w:r w:rsidRPr="006E3B9B">
        <w:rPr>
          <w:lang w:val="en-US" w:eastAsia="zh-CN"/>
        </w:rPr>
        <w:tab/>
      </w:r>
      <w:r w:rsidRPr="006E3B9B">
        <w:rPr>
          <w:rFonts w:hint="eastAsia"/>
          <w:lang w:eastAsia="zh-CN"/>
        </w:rPr>
        <w:t>向联合国提交预算和有关国际电联工作的年度报告</w:t>
      </w:r>
      <w:r w:rsidR="00A45877">
        <w:rPr>
          <w:lang w:eastAsia="zh-CN"/>
        </w:rPr>
        <w:tab/>
      </w:r>
      <w:r w:rsidRPr="006E3B9B">
        <w:rPr>
          <w:lang w:val="en-US" w:eastAsia="zh-CN"/>
        </w:rPr>
        <w:tab/>
        <w:t>1949</w:t>
      </w:r>
      <w:r w:rsidRPr="006E3B9B">
        <w:rPr>
          <w:rFonts w:hint="eastAsia"/>
          <w:lang w:val="en-US" w:eastAsia="zh-CN"/>
        </w:rPr>
        <w:t>年</w:t>
      </w:r>
    </w:p>
    <w:p w14:paraId="4827BC8E"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104</w:t>
      </w:r>
      <w:r w:rsidRPr="006E3B9B">
        <w:rPr>
          <w:lang w:val="en-US" w:eastAsia="zh-CN"/>
        </w:rPr>
        <w:t>号决议</w:t>
      </w:r>
      <w:r w:rsidRPr="006E3B9B">
        <w:rPr>
          <w:lang w:val="en-US" w:eastAsia="zh-CN"/>
        </w:rPr>
        <w:tab/>
      </w:r>
      <w:r w:rsidRPr="006E3B9B">
        <w:rPr>
          <w:rFonts w:hint="eastAsia"/>
          <w:lang w:eastAsia="zh-CN"/>
        </w:rPr>
        <w:t>《专门机构特权与豁免公约》第四条的实施</w:t>
      </w:r>
      <w:r w:rsidR="00A45877">
        <w:rPr>
          <w:lang w:eastAsia="zh-CN"/>
        </w:rPr>
        <w:tab/>
      </w:r>
      <w:r w:rsidRPr="006E3B9B">
        <w:rPr>
          <w:lang w:val="en-US" w:eastAsia="zh-CN"/>
        </w:rPr>
        <w:tab/>
        <w:t>1948</w:t>
      </w:r>
      <w:r w:rsidRPr="006E3B9B">
        <w:rPr>
          <w:rFonts w:hint="eastAsia"/>
          <w:lang w:val="en-US" w:eastAsia="zh-CN"/>
        </w:rPr>
        <w:t>年</w:t>
      </w:r>
    </w:p>
    <w:p w14:paraId="4827BC8F"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105</w:t>
      </w:r>
      <w:r w:rsidRPr="006E3B9B">
        <w:rPr>
          <w:lang w:val="en-US" w:eastAsia="zh-CN"/>
        </w:rPr>
        <w:t>号决议</w:t>
      </w:r>
      <w:r w:rsidRPr="006E3B9B">
        <w:rPr>
          <w:lang w:val="en-US" w:eastAsia="zh-CN"/>
        </w:rPr>
        <w:tab/>
      </w:r>
      <w:r w:rsidRPr="006E3B9B">
        <w:rPr>
          <w:rFonts w:hint="eastAsia"/>
          <w:lang w:eastAsia="zh-CN"/>
        </w:rPr>
        <w:t>向国际电联官员发放联合国通行证</w:t>
      </w:r>
      <w:r w:rsidRPr="006E3B9B">
        <w:rPr>
          <w:lang w:val="en-US" w:eastAsia="zh-CN"/>
        </w:rPr>
        <w:tab/>
      </w:r>
      <w:r w:rsidR="00A45877">
        <w:rPr>
          <w:lang w:val="en-US" w:eastAsia="zh-CN"/>
        </w:rPr>
        <w:tab/>
      </w:r>
      <w:r w:rsidRPr="006E3B9B">
        <w:rPr>
          <w:lang w:val="en-US" w:eastAsia="zh-CN"/>
        </w:rPr>
        <w:t>2.4</w:t>
      </w:r>
    </w:p>
    <w:p w14:paraId="4827BC90"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106</w:t>
      </w:r>
      <w:r w:rsidRPr="006E3B9B">
        <w:rPr>
          <w:lang w:val="en-US" w:eastAsia="zh-CN"/>
        </w:rPr>
        <w:t>号决议</w:t>
      </w:r>
      <w:r w:rsidRPr="006E3B9B">
        <w:rPr>
          <w:lang w:val="en-US" w:eastAsia="zh-CN"/>
        </w:rPr>
        <w:tab/>
      </w:r>
      <w:r w:rsidRPr="006E3B9B">
        <w:rPr>
          <w:rFonts w:hint="eastAsia"/>
          <w:lang w:eastAsia="zh-CN"/>
        </w:rPr>
        <w:t>出席国际电联会议的国际电联成员国代表的特权和豁免权</w:t>
      </w:r>
      <w:r w:rsidRPr="006E3B9B">
        <w:rPr>
          <w:lang w:val="en-US" w:eastAsia="zh-CN"/>
        </w:rPr>
        <w:tab/>
      </w:r>
      <w:r w:rsidR="00A45877">
        <w:rPr>
          <w:lang w:val="en-US" w:eastAsia="zh-CN"/>
        </w:rPr>
        <w:tab/>
      </w:r>
      <w:r w:rsidRPr="006E3B9B">
        <w:rPr>
          <w:lang w:val="en-US" w:eastAsia="zh-CN"/>
        </w:rPr>
        <w:t>1949</w:t>
      </w:r>
      <w:r w:rsidRPr="006E3B9B">
        <w:rPr>
          <w:rFonts w:hint="eastAsia"/>
          <w:lang w:val="en-US" w:eastAsia="zh-CN"/>
        </w:rPr>
        <w:t>年</w:t>
      </w:r>
    </w:p>
    <w:p w14:paraId="4827BC91"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107</w:t>
      </w:r>
      <w:r w:rsidRPr="006E3B9B">
        <w:rPr>
          <w:lang w:val="en-US" w:eastAsia="zh-CN"/>
        </w:rPr>
        <w:t>号决议</w:t>
      </w:r>
      <w:r w:rsidRPr="006E3B9B">
        <w:rPr>
          <w:lang w:val="en-US" w:eastAsia="zh-CN"/>
        </w:rPr>
        <w:tab/>
      </w:r>
      <w:r w:rsidRPr="006E3B9B">
        <w:rPr>
          <w:rFonts w:hint="eastAsia"/>
          <w:lang w:val="fr-FR" w:eastAsia="zh-CN"/>
        </w:rPr>
        <w:t>联合国电信服务</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C92"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108</w:t>
      </w:r>
      <w:r w:rsidRPr="006E3B9B">
        <w:rPr>
          <w:lang w:val="en-US" w:eastAsia="zh-CN"/>
        </w:rPr>
        <w:t>号决议</w:t>
      </w:r>
      <w:r w:rsidRPr="006E3B9B">
        <w:rPr>
          <w:lang w:val="en-US" w:eastAsia="zh-CN"/>
        </w:rPr>
        <w:tab/>
      </w:r>
      <w:r w:rsidRPr="006E3B9B">
        <w:rPr>
          <w:rFonts w:hint="eastAsia"/>
          <w:lang w:eastAsia="zh-CN"/>
        </w:rPr>
        <w:t>联合国关于信息自由的决议</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93"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109</w:t>
      </w:r>
      <w:r w:rsidRPr="006E3B9B">
        <w:rPr>
          <w:lang w:val="en-US" w:eastAsia="zh-CN"/>
        </w:rPr>
        <w:t>号决议</w:t>
      </w:r>
      <w:r w:rsidRPr="006E3B9B">
        <w:rPr>
          <w:lang w:val="en-US" w:eastAsia="zh-CN"/>
        </w:rPr>
        <w:tab/>
      </w:r>
      <w:r w:rsidRPr="006E3B9B">
        <w:rPr>
          <w:rFonts w:hint="eastAsia"/>
          <w:lang w:eastAsia="zh-CN"/>
        </w:rPr>
        <w:t>联合国专门机构出席国际电联的大会和会议</w:t>
      </w:r>
      <w:r w:rsidR="00A45877">
        <w:rPr>
          <w:lang w:eastAsia="zh-CN"/>
        </w:rPr>
        <w:tab/>
      </w:r>
      <w:r w:rsidRPr="006E3B9B">
        <w:rPr>
          <w:lang w:val="en-US" w:eastAsia="zh-CN"/>
        </w:rPr>
        <w:tab/>
        <w:t>1948</w:t>
      </w:r>
      <w:r w:rsidRPr="006E3B9B">
        <w:rPr>
          <w:rFonts w:hint="eastAsia"/>
          <w:lang w:val="en-US" w:eastAsia="zh-CN"/>
        </w:rPr>
        <w:t>年</w:t>
      </w:r>
    </w:p>
    <w:p w14:paraId="4827BC94"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110</w:t>
      </w:r>
      <w:r w:rsidRPr="006E3B9B">
        <w:rPr>
          <w:lang w:val="en-US" w:eastAsia="zh-CN"/>
        </w:rPr>
        <w:t>号决议</w:t>
      </w:r>
      <w:r w:rsidRPr="006E3B9B">
        <w:rPr>
          <w:lang w:val="en-US" w:eastAsia="zh-CN"/>
        </w:rPr>
        <w:tab/>
      </w:r>
      <w:r w:rsidRPr="006E3B9B">
        <w:rPr>
          <w:rFonts w:hint="eastAsia"/>
          <w:lang w:val="en-US" w:eastAsia="zh-CN"/>
        </w:rPr>
        <w:t>国际民航组织（</w:t>
      </w:r>
      <w:r w:rsidRPr="006E3B9B">
        <w:rPr>
          <w:lang w:eastAsia="zh-CN"/>
        </w:rPr>
        <w:t>ICAO</w:t>
      </w:r>
      <w:r w:rsidRPr="006E3B9B">
        <w:rPr>
          <w:rFonts w:hint="eastAsia"/>
          <w:lang w:eastAsia="zh-CN"/>
        </w:rPr>
        <w:t>）出席国际电联的大会和会议</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95"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111</w:t>
      </w:r>
      <w:r w:rsidRPr="006E3B9B">
        <w:rPr>
          <w:lang w:val="en-US" w:eastAsia="zh-CN"/>
        </w:rPr>
        <w:t>号决议</w:t>
      </w:r>
      <w:r w:rsidRPr="006E3B9B">
        <w:rPr>
          <w:lang w:val="en-US" w:eastAsia="zh-CN"/>
        </w:rPr>
        <w:tab/>
      </w:r>
      <w:r w:rsidRPr="006E3B9B">
        <w:rPr>
          <w:rFonts w:hint="eastAsia"/>
          <w:lang w:eastAsia="zh-CN"/>
        </w:rPr>
        <w:t>承认国际民航组织为航空无线电业务的国际专门机构</w:t>
      </w:r>
      <w:r w:rsidR="00A45877">
        <w:rPr>
          <w:lang w:eastAsia="zh-CN"/>
        </w:rPr>
        <w:tab/>
      </w:r>
      <w:r w:rsidRPr="006E3B9B">
        <w:rPr>
          <w:lang w:val="en-US" w:eastAsia="zh-CN"/>
        </w:rPr>
        <w:tab/>
        <w:t>1964</w:t>
      </w:r>
      <w:r w:rsidRPr="006E3B9B">
        <w:rPr>
          <w:rFonts w:hint="eastAsia"/>
          <w:lang w:val="en-US" w:eastAsia="zh-CN"/>
        </w:rPr>
        <w:t>年</w:t>
      </w:r>
    </w:p>
    <w:p w14:paraId="4827BC96"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112</w:t>
      </w:r>
      <w:r w:rsidRPr="006E3B9B">
        <w:rPr>
          <w:lang w:val="en-US" w:eastAsia="zh-CN"/>
        </w:rPr>
        <w:t>号决议</w:t>
      </w:r>
      <w:r w:rsidRPr="006E3B9B">
        <w:rPr>
          <w:lang w:val="en-US" w:eastAsia="zh-CN"/>
        </w:rPr>
        <w:tab/>
      </w:r>
      <w:r w:rsidRPr="006E3B9B">
        <w:rPr>
          <w:rFonts w:hint="eastAsia"/>
          <w:lang w:val="en-US" w:eastAsia="zh-CN"/>
        </w:rPr>
        <w:t>气候应用特别方案（</w:t>
      </w:r>
      <w:r w:rsidRPr="006E3B9B">
        <w:rPr>
          <w:lang w:eastAsia="zh-CN"/>
        </w:rPr>
        <w:t>SCAP</w:t>
      </w:r>
      <w:r w:rsidRPr="006E3B9B">
        <w:rPr>
          <w:rFonts w:hint="eastAsia"/>
          <w:lang w:eastAsia="zh-CN"/>
        </w:rPr>
        <w:t>）在国际电联大会上的代表权以及总秘书处</w:t>
      </w:r>
      <w:r w:rsidRPr="006E3B9B">
        <w:rPr>
          <w:lang w:eastAsia="zh-CN"/>
        </w:rPr>
        <w:br/>
      </w:r>
      <w:r w:rsidRPr="006E3B9B">
        <w:rPr>
          <w:rFonts w:hint="eastAsia"/>
          <w:lang w:eastAsia="zh-CN"/>
        </w:rPr>
        <w:t>与</w:t>
      </w:r>
      <w:r w:rsidRPr="006E3B9B">
        <w:rPr>
          <w:lang w:eastAsia="zh-CN"/>
        </w:rPr>
        <w:t>SCAP</w:t>
      </w:r>
      <w:r w:rsidRPr="006E3B9B">
        <w:rPr>
          <w:rFonts w:hint="eastAsia"/>
          <w:lang w:eastAsia="zh-CN"/>
        </w:rPr>
        <w:t>之间的关系</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97" w14:textId="77777777" w:rsidR="00BF1CF1" w:rsidRDefault="00BF1CF1">
      <w:pPr>
        <w:tabs>
          <w:tab w:val="clear" w:pos="794"/>
          <w:tab w:val="clear" w:pos="1191"/>
          <w:tab w:val="clear" w:pos="1588"/>
          <w:tab w:val="clear" w:pos="1985"/>
        </w:tabs>
        <w:overflowPunct/>
        <w:autoSpaceDE/>
        <w:autoSpaceDN/>
        <w:adjustRightInd/>
        <w:spacing w:before="0"/>
        <w:jc w:val="left"/>
        <w:textAlignment w:val="auto"/>
        <w:rPr>
          <w:sz w:val="20"/>
          <w:lang w:val="en-US" w:eastAsia="zh-CN"/>
        </w:rPr>
      </w:pPr>
      <w:r>
        <w:rPr>
          <w:lang w:val="en-US" w:eastAsia="zh-CN"/>
        </w:rPr>
        <w:br w:type="page"/>
      </w:r>
    </w:p>
    <w:p w14:paraId="4827BC98" w14:textId="77777777" w:rsidR="006E3B9B" w:rsidRPr="006E3B9B" w:rsidRDefault="006E3B9B" w:rsidP="00A45877">
      <w:pPr>
        <w:pStyle w:val="Appendixref"/>
        <w:rPr>
          <w:lang w:val="en-US" w:eastAsia="zh-CN"/>
        </w:rPr>
      </w:pPr>
      <w:r w:rsidRPr="006E3B9B">
        <w:rPr>
          <w:lang w:val="en-US" w:eastAsia="zh-CN"/>
        </w:rPr>
        <w:lastRenderedPageBreak/>
        <w:t>第</w:t>
      </w:r>
      <w:r w:rsidRPr="006E3B9B">
        <w:rPr>
          <w:lang w:val="en-US" w:eastAsia="zh-CN"/>
        </w:rPr>
        <w:t>113</w:t>
      </w:r>
      <w:r w:rsidRPr="006E3B9B">
        <w:rPr>
          <w:lang w:val="en-US" w:eastAsia="zh-CN"/>
        </w:rPr>
        <w:t>号决议</w:t>
      </w:r>
      <w:r w:rsidRPr="006E3B9B">
        <w:rPr>
          <w:lang w:val="en-US" w:eastAsia="zh-CN"/>
        </w:rPr>
        <w:tab/>
      </w:r>
      <w:r w:rsidRPr="006E3B9B">
        <w:rPr>
          <w:rFonts w:hint="eastAsia"/>
          <w:lang w:val="en-US" w:eastAsia="zh-CN"/>
        </w:rPr>
        <w:t>国际</w:t>
      </w:r>
      <w:r w:rsidRPr="006E3B9B">
        <w:rPr>
          <w:rFonts w:hint="eastAsia"/>
          <w:lang w:eastAsia="zh-CN"/>
        </w:rPr>
        <w:t>电联在海事和空中安全方面的合作</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C99"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114</w:t>
      </w:r>
      <w:r w:rsidRPr="006E3B9B">
        <w:rPr>
          <w:lang w:val="en-US" w:eastAsia="zh-CN"/>
        </w:rPr>
        <w:t>号决议</w:t>
      </w:r>
      <w:r w:rsidRPr="006E3B9B">
        <w:rPr>
          <w:lang w:val="en-US" w:eastAsia="zh-CN"/>
        </w:rPr>
        <w:tab/>
      </w:r>
      <w:r w:rsidRPr="006E3B9B">
        <w:rPr>
          <w:rFonts w:hint="eastAsia"/>
          <w:lang w:eastAsia="zh-CN"/>
        </w:rPr>
        <w:t>航空和海事业务在电信领域中的协调</w:t>
      </w:r>
      <w:r w:rsidRPr="006E3B9B">
        <w:rPr>
          <w:lang w:val="en-US" w:eastAsia="zh-CN"/>
        </w:rPr>
        <w:tab/>
      </w:r>
      <w:r w:rsidR="00A45877">
        <w:rPr>
          <w:lang w:val="en-US" w:eastAsia="zh-CN"/>
        </w:rPr>
        <w:tab/>
      </w:r>
      <w:r w:rsidRPr="006E3B9B">
        <w:rPr>
          <w:lang w:val="en-US" w:eastAsia="zh-CN"/>
        </w:rPr>
        <w:t>1949</w:t>
      </w:r>
      <w:r w:rsidRPr="006E3B9B">
        <w:rPr>
          <w:rFonts w:hint="eastAsia"/>
          <w:lang w:val="en-US" w:eastAsia="zh-CN"/>
        </w:rPr>
        <w:t>年</w:t>
      </w:r>
    </w:p>
    <w:p w14:paraId="4827BC9A"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115</w:t>
      </w:r>
      <w:r w:rsidRPr="006E3B9B">
        <w:rPr>
          <w:lang w:val="en-US" w:eastAsia="zh-CN"/>
        </w:rPr>
        <w:t>号决议</w:t>
      </w:r>
      <w:r w:rsidRPr="006E3B9B">
        <w:rPr>
          <w:lang w:val="en-US" w:eastAsia="zh-CN"/>
        </w:rPr>
        <w:tab/>
      </w:r>
      <w:r w:rsidRPr="006E3B9B">
        <w:rPr>
          <w:rFonts w:hint="eastAsia"/>
          <w:lang w:eastAsia="zh-CN"/>
        </w:rPr>
        <w:t>与国际气象组织的关系</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9B"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116</w:t>
      </w:r>
      <w:r w:rsidRPr="006E3B9B">
        <w:rPr>
          <w:lang w:val="en-US" w:eastAsia="zh-CN"/>
        </w:rPr>
        <w:t>号决议</w:t>
      </w:r>
      <w:r w:rsidRPr="006E3B9B">
        <w:rPr>
          <w:lang w:val="en-US" w:eastAsia="zh-CN"/>
        </w:rPr>
        <w:tab/>
      </w:r>
      <w:r w:rsidRPr="006E3B9B">
        <w:rPr>
          <w:rFonts w:hint="eastAsia"/>
          <w:lang w:val="en-US" w:eastAsia="zh-CN"/>
        </w:rPr>
        <w:t>可能</w:t>
      </w:r>
      <w:r w:rsidRPr="006E3B9B">
        <w:rPr>
          <w:rFonts w:hint="eastAsia"/>
          <w:lang w:eastAsia="zh-CN"/>
        </w:rPr>
        <w:t>与联合国教科文组织进行的安排</w:t>
      </w:r>
      <w:r w:rsidR="00A45877">
        <w:rPr>
          <w:lang w:eastAsia="zh-CN"/>
        </w:rPr>
        <w:tab/>
      </w:r>
      <w:r w:rsidRPr="006E3B9B">
        <w:rPr>
          <w:lang w:val="en-US" w:eastAsia="zh-CN"/>
        </w:rPr>
        <w:tab/>
        <w:t>1948</w:t>
      </w:r>
      <w:r w:rsidRPr="006E3B9B">
        <w:rPr>
          <w:rFonts w:hint="eastAsia"/>
          <w:lang w:val="en-US" w:eastAsia="zh-CN"/>
        </w:rPr>
        <w:t>年</w:t>
      </w:r>
    </w:p>
    <w:p w14:paraId="4827BC9C"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117</w:t>
      </w:r>
      <w:r w:rsidRPr="006E3B9B">
        <w:rPr>
          <w:lang w:val="en-US" w:eastAsia="zh-CN"/>
        </w:rPr>
        <w:t>号决议</w:t>
      </w:r>
      <w:r w:rsidRPr="006E3B9B">
        <w:rPr>
          <w:lang w:val="en-US" w:eastAsia="zh-CN"/>
        </w:rPr>
        <w:tab/>
      </w:r>
      <w:r w:rsidRPr="006E3B9B">
        <w:rPr>
          <w:rFonts w:hint="eastAsia"/>
          <w:lang w:eastAsia="zh-CN"/>
        </w:rPr>
        <w:t>国际电联和万国邮联之间的特权交换</w:t>
      </w:r>
      <w:r w:rsidRPr="006E3B9B">
        <w:rPr>
          <w:lang w:val="en-US" w:eastAsia="zh-CN"/>
        </w:rPr>
        <w:tab/>
      </w:r>
      <w:r w:rsidR="00A45877">
        <w:rPr>
          <w:lang w:val="en-US" w:eastAsia="zh-CN"/>
        </w:rPr>
        <w:tab/>
      </w:r>
      <w:r w:rsidRPr="006E3B9B">
        <w:rPr>
          <w:lang w:val="en-US" w:eastAsia="zh-CN"/>
        </w:rPr>
        <w:t>1948</w:t>
      </w:r>
      <w:r w:rsidRPr="006E3B9B">
        <w:rPr>
          <w:rFonts w:hint="eastAsia"/>
          <w:lang w:val="en-US" w:eastAsia="zh-CN"/>
        </w:rPr>
        <w:t>年</w:t>
      </w:r>
    </w:p>
    <w:p w14:paraId="4827BC9D"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118</w:t>
      </w:r>
      <w:r w:rsidRPr="006E3B9B">
        <w:rPr>
          <w:lang w:val="en-US" w:eastAsia="zh-CN"/>
        </w:rPr>
        <w:t>号决议</w:t>
      </w:r>
      <w:r w:rsidRPr="006E3B9B">
        <w:rPr>
          <w:lang w:val="en-US" w:eastAsia="zh-CN"/>
        </w:rPr>
        <w:tab/>
      </w:r>
      <w:r w:rsidRPr="006E3B9B">
        <w:rPr>
          <w:rFonts w:hint="eastAsia"/>
          <w:lang w:eastAsia="zh-CN"/>
        </w:rPr>
        <w:t>某些国际组织参加国际咨询委员会会议的财务条件</w:t>
      </w:r>
      <w:r w:rsidRPr="006E3B9B">
        <w:rPr>
          <w:lang w:val="en-US" w:eastAsia="zh-CN"/>
        </w:rPr>
        <w:tab/>
      </w:r>
      <w:r w:rsidR="00A45877">
        <w:rPr>
          <w:lang w:val="en-US" w:eastAsia="zh-CN"/>
        </w:rPr>
        <w:tab/>
      </w:r>
      <w:r w:rsidRPr="006E3B9B">
        <w:rPr>
          <w:lang w:val="en-US" w:eastAsia="zh-CN"/>
        </w:rPr>
        <w:t>1950</w:t>
      </w:r>
      <w:r w:rsidRPr="006E3B9B">
        <w:rPr>
          <w:rFonts w:hint="eastAsia"/>
          <w:lang w:val="en-US" w:eastAsia="zh-CN"/>
        </w:rPr>
        <w:t>年</w:t>
      </w:r>
    </w:p>
    <w:p w14:paraId="4827BC9E" w14:textId="77777777" w:rsidR="006E3B9B" w:rsidRPr="006E3B9B" w:rsidRDefault="006E3B9B" w:rsidP="003E11A1">
      <w:pPr>
        <w:pStyle w:val="Reftitle"/>
        <w:rPr>
          <w:lang w:val="en-US" w:eastAsia="zh-CN"/>
        </w:rPr>
      </w:pPr>
      <w:r w:rsidRPr="006E3B9B">
        <w:rPr>
          <w:rFonts w:hint="eastAsia"/>
          <w:lang w:eastAsia="zh-CN"/>
        </w:rPr>
        <w:t>第</w:t>
      </w:r>
      <w:r w:rsidRPr="006E3B9B">
        <w:rPr>
          <w:rFonts w:hint="eastAsia"/>
          <w:lang w:eastAsia="zh-CN"/>
        </w:rPr>
        <w:t>4</w:t>
      </w:r>
      <w:r w:rsidRPr="006E3B9B">
        <w:rPr>
          <w:rFonts w:hint="eastAsia"/>
          <w:lang w:eastAsia="zh-CN"/>
        </w:rPr>
        <w:t>届会议</w:t>
      </w:r>
      <w:r w:rsidRPr="006E3B9B">
        <w:rPr>
          <w:lang w:eastAsia="zh-CN"/>
        </w:rPr>
        <w:t>（</w:t>
      </w:r>
      <w:r w:rsidRPr="006E3B9B">
        <w:rPr>
          <w:lang w:eastAsia="zh-CN"/>
        </w:rPr>
        <w:t>1949</w:t>
      </w:r>
      <w:r w:rsidRPr="006E3B9B">
        <w:rPr>
          <w:rFonts w:hint="eastAsia"/>
          <w:lang w:eastAsia="zh-CN"/>
        </w:rPr>
        <w:t>年</w:t>
      </w:r>
      <w:r w:rsidRPr="006E3B9B">
        <w:rPr>
          <w:lang w:eastAsia="zh-CN"/>
        </w:rPr>
        <w:t>8</w:t>
      </w:r>
      <w:r w:rsidRPr="006E3B9B">
        <w:rPr>
          <w:rFonts w:hint="eastAsia"/>
          <w:lang w:eastAsia="zh-CN"/>
        </w:rPr>
        <w:t>月</w:t>
      </w:r>
      <w:r w:rsidRPr="006E3B9B">
        <w:rPr>
          <w:lang w:eastAsia="zh-CN"/>
        </w:rPr>
        <w:t>-9</w:t>
      </w:r>
      <w:r w:rsidRPr="006E3B9B">
        <w:rPr>
          <w:rFonts w:hint="eastAsia"/>
          <w:lang w:eastAsia="zh-CN"/>
        </w:rPr>
        <w:t>月</w:t>
      </w:r>
      <w:r w:rsidRPr="006E3B9B">
        <w:rPr>
          <w:lang w:eastAsia="zh-CN"/>
        </w:rPr>
        <w:t>）</w:t>
      </w:r>
    </w:p>
    <w:p w14:paraId="4827BC9F"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119</w:t>
      </w:r>
      <w:r w:rsidRPr="006E3B9B">
        <w:rPr>
          <w:lang w:val="en-US" w:eastAsia="zh-CN"/>
        </w:rPr>
        <w:t>号决议</w:t>
      </w:r>
      <w:r w:rsidRPr="006E3B9B">
        <w:rPr>
          <w:lang w:val="en-US" w:eastAsia="zh-CN"/>
        </w:rPr>
        <w:tab/>
      </w:r>
      <w:r w:rsidRPr="006E3B9B">
        <w:rPr>
          <w:rFonts w:hint="eastAsia"/>
          <w:lang w:val="en-US" w:eastAsia="zh-CN"/>
        </w:rPr>
        <w:t>《</w:t>
      </w:r>
      <w:r w:rsidRPr="006E3B9B">
        <w:rPr>
          <w:rFonts w:hint="eastAsia"/>
          <w:lang w:eastAsia="zh-CN"/>
        </w:rPr>
        <w:t>大西洋城公约》第</w:t>
      </w:r>
      <w:r w:rsidRPr="006E3B9B">
        <w:rPr>
          <w:lang w:eastAsia="zh-CN"/>
        </w:rPr>
        <w:t>1</w:t>
      </w:r>
      <w:r w:rsidRPr="006E3B9B">
        <w:rPr>
          <w:rFonts w:hint="eastAsia"/>
          <w:lang w:eastAsia="zh-CN"/>
        </w:rPr>
        <w:t>条规定的实施</w:t>
      </w:r>
      <w:r w:rsidRPr="006E3B9B">
        <w:rPr>
          <w:lang w:val="en-US" w:eastAsia="zh-CN"/>
        </w:rPr>
        <w:tab/>
      </w:r>
      <w:r w:rsidR="00A45877">
        <w:rPr>
          <w:lang w:val="en-US" w:eastAsia="zh-CN"/>
        </w:rPr>
        <w:tab/>
      </w:r>
      <w:r w:rsidRPr="006E3B9B">
        <w:rPr>
          <w:lang w:val="en-US" w:eastAsia="zh-CN"/>
        </w:rPr>
        <w:t>1949</w:t>
      </w:r>
      <w:r w:rsidRPr="006E3B9B">
        <w:rPr>
          <w:rFonts w:hint="eastAsia"/>
          <w:lang w:val="en-US" w:eastAsia="zh-CN"/>
        </w:rPr>
        <w:t>年</w:t>
      </w:r>
    </w:p>
    <w:p w14:paraId="4827BCA0"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120</w:t>
      </w:r>
      <w:r w:rsidRPr="006E3B9B">
        <w:rPr>
          <w:lang w:val="en-US" w:eastAsia="zh-CN"/>
        </w:rPr>
        <w:t>号决议</w:t>
      </w:r>
      <w:r w:rsidRPr="006E3B9B">
        <w:rPr>
          <w:lang w:val="en-US" w:eastAsia="zh-CN"/>
        </w:rPr>
        <w:tab/>
      </w:r>
      <w:r w:rsidRPr="006E3B9B">
        <w:rPr>
          <w:rFonts w:hint="eastAsia"/>
          <w:lang w:eastAsia="zh-CN"/>
        </w:rPr>
        <w:t>日本加入《大西洋城公约》</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CA1"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121</w:t>
      </w:r>
      <w:r w:rsidRPr="006E3B9B">
        <w:rPr>
          <w:lang w:val="en-US" w:eastAsia="zh-CN"/>
        </w:rPr>
        <w:t>号决议</w:t>
      </w:r>
      <w:r w:rsidRPr="006E3B9B">
        <w:rPr>
          <w:lang w:val="en-US" w:eastAsia="zh-CN"/>
        </w:rPr>
        <w:tab/>
      </w:r>
      <w:r w:rsidRPr="006E3B9B">
        <w:rPr>
          <w:rFonts w:hint="eastAsia"/>
          <w:lang w:eastAsia="zh-CN"/>
        </w:rPr>
        <w:t>加入《大西洋城公约》</w:t>
      </w:r>
      <w:r w:rsidRPr="006E3B9B">
        <w:rPr>
          <w:lang w:val="en-US" w:eastAsia="zh-CN"/>
        </w:rPr>
        <w:tab/>
      </w:r>
      <w:r w:rsidR="00A45877">
        <w:rPr>
          <w:lang w:val="en-US" w:eastAsia="zh-CN"/>
        </w:rPr>
        <w:tab/>
      </w:r>
      <w:r w:rsidRPr="006E3B9B">
        <w:rPr>
          <w:lang w:val="en-US" w:eastAsia="zh-CN"/>
        </w:rPr>
        <w:t>1950</w:t>
      </w:r>
      <w:r w:rsidRPr="006E3B9B">
        <w:rPr>
          <w:rFonts w:hint="eastAsia"/>
          <w:lang w:val="en-US" w:eastAsia="zh-CN"/>
        </w:rPr>
        <w:t>年</w:t>
      </w:r>
    </w:p>
    <w:p w14:paraId="4827BCA2"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122</w:t>
      </w:r>
      <w:r w:rsidRPr="006E3B9B">
        <w:rPr>
          <w:lang w:val="en-US" w:eastAsia="zh-CN"/>
        </w:rPr>
        <w:t>号决议</w:t>
      </w:r>
      <w:r w:rsidRPr="006E3B9B">
        <w:rPr>
          <w:lang w:val="en-US" w:eastAsia="zh-CN"/>
        </w:rPr>
        <w:tab/>
      </w:r>
      <w:r w:rsidRPr="006E3B9B">
        <w:rPr>
          <w:rFonts w:hint="eastAsia"/>
          <w:lang w:val="en-US" w:eastAsia="zh-CN"/>
        </w:rPr>
        <w:t>国际电报咨询委员会（</w:t>
      </w:r>
      <w:r w:rsidRPr="006E3B9B">
        <w:rPr>
          <w:lang w:eastAsia="zh-CN"/>
        </w:rPr>
        <w:t>CCIT</w:t>
      </w:r>
      <w:r w:rsidRPr="006E3B9B">
        <w:rPr>
          <w:rFonts w:hint="eastAsia"/>
          <w:lang w:eastAsia="zh-CN"/>
        </w:rPr>
        <w:t>）的工作条件</w:t>
      </w:r>
      <w:r w:rsidRPr="006E3B9B">
        <w:rPr>
          <w:lang w:val="en-US" w:eastAsia="zh-CN"/>
        </w:rPr>
        <w:tab/>
      </w:r>
      <w:r w:rsidR="00A45877">
        <w:rPr>
          <w:lang w:val="en-US" w:eastAsia="zh-CN"/>
        </w:rPr>
        <w:tab/>
      </w:r>
      <w:r w:rsidRPr="006E3B9B">
        <w:rPr>
          <w:lang w:val="en-US" w:eastAsia="zh-CN"/>
        </w:rPr>
        <w:t>1949</w:t>
      </w:r>
      <w:r w:rsidRPr="006E3B9B">
        <w:rPr>
          <w:rFonts w:hint="eastAsia"/>
          <w:lang w:val="en-US" w:eastAsia="zh-CN"/>
        </w:rPr>
        <w:t>年</w:t>
      </w:r>
    </w:p>
    <w:p w14:paraId="4827BCA3"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123</w:t>
      </w:r>
      <w:r w:rsidRPr="006E3B9B">
        <w:rPr>
          <w:lang w:val="en-US" w:eastAsia="zh-CN"/>
        </w:rPr>
        <w:t>号决议</w:t>
      </w:r>
      <w:r w:rsidRPr="006E3B9B">
        <w:rPr>
          <w:lang w:val="en-US" w:eastAsia="zh-CN"/>
        </w:rPr>
        <w:tab/>
      </w:r>
      <w:r w:rsidRPr="006E3B9B">
        <w:rPr>
          <w:rFonts w:hint="eastAsia"/>
          <w:lang w:val="en-US" w:eastAsia="zh-CN"/>
        </w:rPr>
        <w:t>起草</w:t>
      </w:r>
      <w:r w:rsidRPr="006E3B9B">
        <w:rPr>
          <w:rFonts w:hint="eastAsia"/>
          <w:lang w:eastAsia="zh-CN"/>
        </w:rPr>
        <w:t>秘书长年度报告的导则</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CA4"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124</w:t>
      </w:r>
      <w:r w:rsidRPr="006E3B9B">
        <w:rPr>
          <w:lang w:val="en-US" w:eastAsia="zh-CN"/>
        </w:rPr>
        <w:t>号决议</w:t>
      </w:r>
      <w:r w:rsidRPr="006E3B9B">
        <w:rPr>
          <w:lang w:val="en-US" w:eastAsia="zh-CN"/>
        </w:rPr>
        <w:tab/>
      </w:r>
      <w:r w:rsidRPr="006E3B9B">
        <w:rPr>
          <w:rFonts w:hint="eastAsia"/>
          <w:lang w:eastAsia="zh-CN"/>
        </w:rPr>
        <w:t>第</w:t>
      </w:r>
      <w:r w:rsidRPr="006E3B9B">
        <w:rPr>
          <w:lang w:eastAsia="zh-CN"/>
        </w:rPr>
        <w:t>88</w:t>
      </w:r>
      <w:r w:rsidRPr="006E3B9B">
        <w:rPr>
          <w:rFonts w:hint="eastAsia"/>
          <w:lang w:eastAsia="zh-CN"/>
        </w:rPr>
        <w:t>号决议的第一修正案</w:t>
      </w:r>
      <w:r w:rsidRPr="006E3B9B">
        <w:rPr>
          <w:lang w:val="en-US" w:eastAsia="zh-CN"/>
        </w:rPr>
        <w:tab/>
      </w:r>
      <w:r w:rsidR="00A45877">
        <w:rPr>
          <w:lang w:val="en-US" w:eastAsia="zh-CN"/>
        </w:rPr>
        <w:tab/>
      </w:r>
      <w:r w:rsidRPr="006E3B9B">
        <w:rPr>
          <w:lang w:val="en-US" w:eastAsia="zh-CN"/>
        </w:rPr>
        <w:t>1949</w:t>
      </w:r>
      <w:r w:rsidRPr="006E3B9B">
        <w:rPr>
          <w:rFonts w:hint="eastAsia"/>
          <w:lang w:val="en-US" w:eastAsia="zh-CN"/>
        </w:rPr>
        <w:t>年</w:t>
      </w:r>
    </w:p>
    <w:p w14:paraId="4827BCA5"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125</w:t>
      </w:r>
      <w:r w:rsidRPr="006E3B9B">
        <w:rPr>
          <w:lang w:val="en-US" w:eastAsia="zh-CN"/>
        </w:rPr>
        <w:t>号决议</w:t>
      </w:r>
      <w:r w:rsidRPr="006E3B9B">
        <w:rPr>
          <w:lang w:val="en-US" w:eastAsia="zh-CN"/>
        </w:rPr>
        <w:tab/>
      </w:r>
      <w:r w:rsidRPr="006E3B9B">
        <w:rPr>
          <w:rFonts w:hint="eastAsia"/>
          <w:lang w:eastAsia="zh-CN"/>
        </w:rPr>
        <w:t>第</w:t>
      </w:r>
      <w:r w:rsidRPr="006E3B9B">
        <w:rPr>
          <w:lang w:eastAsia="zh-CN"/>
        </w:rPr>
        <w:t>88</w:t>
      </w:r>
      <w:r w:rsidRPr="006E3B9B">
        <w:rPr>
          <w:rFonts w:hint="eastAsia"/>
          <w:lang w:eastAsia="zh-CN"/>
        </w:rPr>
        <w:t>号决议的第二修正案</w:t>
      </w:r>
      <w:r w:rsidRPr="006E3B9B">
        <w:rPr>
          <w:lang w:val="en-US" w:eastAsia="zh-CN"/>
        </w:rPr>
        <w:tab/>
      </w:r>
      <w:r w:rsidR="00A45877">
        <w:rPr>
          <w:lang w:val="en-US" w:eastAsia="zh-CN"/>
        </w:rPr>
        <w:tab/>
      </w:r>
      <w:r w:rsidRPr="006E3B9B">
        <w:rPr>
          <w:lang w:val="en-US" w:eastAsia="zh-CN"/>
        </w:rPr>
        <w:t>1949</w:t>
      </w:r>
      <w:r w:rsidRPr="006E3B9B">
        <w:rPr>
          <w:rFonts w:hint="eastAsia"/>
          <w:lang w:val="en-US" w:eastAsia="zh-CN"/>
        </w:rPr>
        <w:t>年</w:t>
      </w:r>
    </w:p>
    <w:p w14:paraId="4827BCA6"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126</w:t>
      </w:r>
      <w:r w:rsidRPr="006E3B9B">
        <w:rPr>
          <w:lang w:val="en-US" w:eastAsia="zh-CN"/>
        </w:rPr>
        <w:t>号决议</w:t>
      </w:r>
      <w:r w:rsidRPr="006E3B9B">
        <w:rPr>
          <w:lang w:val="en-US" w:eastAsia="zh-CN"/>
        </w:rPr>
        <w:tab/>
      </w:r>
      <w:r w:rsidRPr="006E3B9B">
        <w:rPr>
          <w:rFonts w:hint="eastAsia"/>
          <w:lang w:eastAsia="zh-CN"/>
        </w:rPr>
        <w:t>国家授权和国际授权之间的关系</w:t>
      </w:r>
      <w:r w:rsidRPr="006E3B9B">
        <w:rPr>
          <w:lang w:val="en-US" w:eastAsia="zh-CN"/>
        </w:rPr>
        <w:tab/>
      </w:r>
      <w:r w:rsidR="00A45877">
        <w:rPr>
          <w:lang w:val="en-US" w:eastAsia="zh-CN"/>
        </w:rPr>
        <w:tab/>
      </w:r>
      <w:r w:rsidRPr="006E3B9B">
        <w:rPr>
          <w:lang w:val="en-US" w:eastAsia="zh-CN"/>
        </w:rPr>
        <w:t>6.2</w:t>
      </w:r>
    </w:p>
    <w:p w14:paraId="4827BCA7"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127</w:t>
      </w:r>
      <w:r w:rsidRPr="006E3B9B">
        <w:rPr>
          <w:lang w:val="en-US" w:eastAsia="zh-CN"/>
        </w:rPr>
        <w:t>号决议</w:t>
      </w:r>
      <w:r w:rsidRPr="006E3B9B">
        <w:rPr>
          <w:lang w:val="en-US" w:eastAsia="zh-CN"/>
        </w:rPr>
        <w:tab/>
      </w:r>
      <w:r w:rsidRPr="006E3B9B">
        <w:rPr>
          <w:rFonts w:hint="eastAsia"/>
          <w:lang w:eastAsia="zh-CN"/>
        </w:rPr>
        <w:t>第</w:t>
      </w:r>
      <w:r w:rsidRPr="006E3B9B">
        <w:rPr>
          <w:lang w:eastAsia="zh-CN"/>
        </w:rPr>
        <w:t>83</w:t>
      </w:r>
      <w:r w:rsidRPr="006E3B9B">
        <w:rPr>
          <w:rFonts w:hint="eastAsia"/>
          <w:lang w:eastAsia="zh-CN"/>
        </w:rPr>
        <w:t>号决议的修正案</w:t>
      </w:r>
      <w:r w:rsidRPr="006E3B9B">
        <w:rPr>
          <w:lang w:val="en-US" w:eastAsia="zh-CN"/>
        </w:rPr>
        <w:tab/>
      </w:r>
      <w:r w:rsidR="00A45877">
        <w:rPr>
          <w:lang w:val="en-US" w:eastAsia="zh-CN"/>
        </w:rPr>
        <w:tab/>
      </w:r>
      <w:r w:rsidRPr="006E3B9B">
        <w:rPr>
          <w:lang w:val="en-US" w:eastAsia="zh-CN"/>
        </w:rPr>
        <w:t>1949</w:t>
      </w:r>
      <w:r w:rsidRPr="006E3B9B">
        <w:rPr>
          <w:rFonts w:hint="eastAsia"/>
          <w:lang w:val="en-US" w:eastAsia="zh-CN"/>
        </w:rPr>
        <w:t>年</w:t>
      </w:r>
    </w:p>
    <w:p w14:paraId="4827BCA8"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128</w:t>
      </w:r>
      <w:r w:rsidRPr="006E3B9B">
        <w:rPr>
          <w:lang w:val="en-US" w:eastAsia="zh-CN"/>
        </w:rPr>
        <w:t>号决议</w:t>
      </w:r>
      <w:r w:rsidRPr="006E3B9B">
        <w:rPr>
          <w:lang w:val="en-US" w:eastAsia="zh-CN"/>
        </w:rPr>
        <w:tab/>
      </w:r>
      <w:r w:rsidRPr="006E3B9B">
        <w:rPr>
          <w:rFonts w:hint="eastAsia"/>
          <w:lang w:val="en-US" w:eastAsia="zh-CN"/>
        </w:rPr>
        <w:t>国际</w:t>
      </w:r>
      <w:r w:rsidRPr="006E3B9B">
        <w:rPr>
          <w:rFonts w:hint="eastAsia"/>
          <w:lang w:eastAsia="zh-CN"/>
        </w:rPr>
        <w:t>电联</w:t>
      </w:r>
      <w:r w:rsidRPr="006E3B9B">
        <w:rPr>
          <w:lang w:eastAsia="zh-CN"/>
        </w:rPr>
        <w:t>1949</w:t>
      </w:r>
      <w:r w:rsidRPr="006E3B9B">
        <w:rPr>
          <w:rFonts w:hint="eastAsia"/>
          <w:lang w:eastAsia="zh-CN"/>
        </w:rPr>
        <w:t>和</w:t>
      </w:r>
      <w:r w:rsidRPr="006E3B9B">
        <w:rPr>
          <w:lang w:eastAsia="zh-CN"/>
        </w:rPr>
        <w:t>1950</w:t>
      </w:r>
      <w:r w:rsidRPr="006E3B9B">
        <w:rPr>
          <w:rFonts w:hint="eastAsia"/>
          <w:lang w:eastAsia="zh-CN"/>
        </w:rPr>
        <w:t>年的预算</w:t>
      </w:r>
      <w:r w:rsidRPr="006E3B9B">
        <w:rPr>
          <w:lang w:val="en-US" w:eastAsia="zh-CN"/>
        </w:rPr>
        <w:tab/>
      </w:r>
      <w:r w:rsidR="00A45877">
        <w:rPr>
          <w:lang w:val="en-US" w:eastAsia="zh-CN"/>
        </w:rPr>
        <w:tab/>
      </w:r>
      <w:r w:rsidRPr="006E3B9B">
        <w:rPr>
          <w:lang w:val="en-US" w:eastAsia="zh-CN"/>
        </w:rPr>
        <w:t>1949</w:t>
      </w:r>
      <w:r w:rsidRPr="006E3B9B">
        <w:rPr>
          <w:rFonts w:hint="eastAsia"/>
          <w:lang w:val="en-US" w:eastAsia="zh-CN"/>
        </w:rPr>
        <w:t>年</w:t>
      </w:r>
    </w:p>
    <w:p w14:paraId="4827BCA9"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129</w:t>
      </w:r>
      <w:r w:rsidRPr="006E3B9B">
        <w:rPr>
          <w:lang w:val="en-US" w:eastAsia="zh-CN"/>
        </w:rPr>
        <w:t>号决议</w:t>
      </w:r>
      <w:r w:rsidRPr="006E3B9B">
        <w:rPr>
          <w:lang w:val="en-US" w:eastAsia="zh-CN"/>
        </w:rPr>
        <w:tab/>
      </w:r>
      <w:r w:rsidRPr="006E3B9B">
        <w:rPr>
          <w:rFonts w:hint="eastAsia"/>
          <w:lang w:val="en-US" w:eastAsia="zh-CN"/>
        </w:rPr>
        <w:t>1948</w:t>
      </w:r>
      <w:r w:rsidRPr="006E3B9B">
        <w:rPr>
          <w:rFonts w:hint="eastAsia"/>
          <w:lang w:val="en-US" w:eastAsia="zh-CN"/>
        </w:rPr>
        <w:t>年国际</w:t>
      </w:r>
      <w:r w:rsidRPr="006E3B9B">
        <w:rPr>
          <w:rFonts w:hint="eastAsia"/>
          <w:lang w:eastAsia="zh-CN"/>
        </w:rPr>
        <w:t>电联财务管理报告</w:t>
      </w:r>
      <w:r w:rsidR="00A45877">
        <w:rPr>
          <w:lang w:eastAsia="zh-CN"/>
        </w:rPr>
        <w:tab/>
      </w:r>
      <w:r w:rsidRPr="006E3B9B">
        <w:rPr>
          <w:lang w:val="en-US" w:eastAsia="zh-CN"/>
        </w:rPr>
        <w:tab/>
        <w:t>1949</w:t>
      </w:r>
      <w:r w:rsidRPr="006E3B9B">
        <w:rPr>
          <w:rFonts w:hint="eastAsia"/>
          <w:lang w:val="en-US" w:eastAsia="zh-CN"/>
        </w:rPr>
        <w:t>年</w:t>
      </w:r>
    </w:p>
    <w:p w14:paraId="4827BCAA"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130</w:t>
      </w:r>
      <w:r w:rsidRPr="006E3B9B">
        <w:rPr>
          <w:lang w:val="en-US" w:eastAsia="zh-CN"/>
        </w:rPr>
        <w:t>号决议</w:t>
      </w:r>
      <w:r w:rsidRPr="006E3B9B">
        <w:rPr>
          <w:lang w:val="en-US" w:eastAsia="zh-CN"/>
        </w:rPr>
        <w:tab/>
      </w:r>
      <w:r w:rsidRPr="006E3B9B">
        <w:rPr>
          <w:rFonts w:hint="eastAsia"/>
          <w:lang w:eastAsia="zh-CN"/>
        </w:rPr>
        <w:t>临时频率委员会的预算控制委员会</w:t>
      </w:r>
      <w:r w:rsidRPr="006E3B9B">
        <w:rPr>
          <w:lang w:val="en-US" w:eastAsia="zh-CN"/>
        </w:rPr>
        <w:tab/>
      </w:r>
      <w:r w:rsidR="00A45877">
        <w:rPr>
          <w:lang w:val="en-US" w:eastAsia="zh-CN"/>
        </w:rPr>
        <w:tab/>
      </w:r>
      <w:r w:rsidRPr="006E3B9B">
        <w:rPr>
          <w:lang w:val="en-US" w:eastAsia="zh-CN"/>
        </w:rPr>
        <w:t>1949</w:t>
      </w:r>
      <w:r w:rsidRPr="006E3B9B">
        <w:rPr>
          <w:rFonts w:hint="eastAsia"/>
          <w:lang w:val="en-US" w:eastAsia="zh-CN"/>
        </w:rPr>
        <w:t>年</w:t>
      </w:r>
    </w:p>
    <w:p w14:paraId="4827BCAB"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131</w:t>
      </w:r>
      <w:r w:rsidRPr="006E3B9B">
        <w:rPr>
          <w:lang w:val="en-US" w:eastAsia="zh-CN"/>
        </w:rPr>
        <w:t>号决议</w:t>
      </w:r>
      <w:r w:rsidRPr="006E3B9B">
        <w:rPr>
          <w:lang w:val="en-US" w:eastAsia="zh-CN"/>
        </w:rPr>
        <w:tab/>
      </w:r>
      <w:r w:rsidRPr="006E3B9B">
        <w:rPr>
          <w:rFonts w:hint="eastAsia"/>
          <w:lang w:eastAsia="zh-CN"/>
        </w:rPr>
        <w:t>私营运营机构对行政大会支出的分摊</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CAC"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132</w:t>
      </w:r>
      <w:r w:rsidRPr="006E3B9B">
        <w:rPr>
          <w:lang w:val="en-US" w:eastAsia="zh-CN"/>
        </w:rPr>
        <w:t>号决议</w:t>
      </w:r>
      <w:r w:rsidRPr="006E3B9B">
        <w:rPr>
          <w:lang w:val="en-US" w:eastAsia="zh-CN"/>
        </w:rPr>
        <w:tab/>
      </w:r>
      <w:r w:rsidRPr="006E3B9B">
        <w:rPr>
          <w:rFonts w:hint="eastAsia"/>
          <w:lang w:eastAsia="zh-CN"/>
        </w:rPr>
        <w:t>国际咨询委员会（</w:t>
      </w:r>
      <w:r w:rsidRPr="006E3B9B">
        <w:rPr>
          <w:rFonts w:hint="eastAsia"/>
          <w:lang w:eastAsia="zh-CN"/>
        </w:rPr>
        <w:t>CCI</w:t>
      </w:r>
      <w:r w:rsidRPr="006E3B9B">
        <w:rPr>
          <w:rFonts w:hint="eastAsia"/>
          <w:lang w:eastAsia="zh-CN"/>
        </w:rPr>
        <w:t>）非常支出的分配</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CAD"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133</w:t>
      </w:r>
      <w:r w:rsidRPr="006E3B9B">
        <w:rPr>
          <w:lang w:val="en-US" w:eastAsia="zh-CN"/>
        </w:rPr>
        <w:t>号决议</w:t>
      </w:r>
      <w:r w:rsidRPr="006E3B9B">
        <w:rPr>
          <w:lang w:val="en-US" w:eastAsia="zh-CN"/>
        </w:rPr>
        <w:tab/>
      </w:r>
      <w:r w:rsidRPr="006E3B9B">
        <w:rPr>
          <w:lang w:eastAsia="zh-CN"/>
        </w:rPr>
        <w:t>CCIR</w:t>
      </w:r>
      <w:r w:rsidRPr="006E3B9B">
        <w:rPr>
          <w:rFonts w:hint="eastAsia"/>
          <w:lang w:eastAsia="zh-CN"/>
        </w:rPr>
        <w:t>研究组费用的分配</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CAE"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134</w:t>
      </w:r>
      <w:r w:rsidRPr="006E3B9B">
        <w:rPr>
          <w:lang w:val="en-US" w:eastAsia="zh-CN"/>
        </w:rPr>
        <w:t>号决议</w:t>
      </w:r>
      <w:r w:rsidRPr="006E3B9B">
        <w:rPr>
          <w:lang w:val="en-US" w:eastAsia="zh-CN"/>
        </w:rPr>
        <w:tab/>
      </w:r>
      <w:r w:rsidRPr="006E3B9B">
        <w:rPr>
          <w:rFonts w:hint="eastAsia"/>
          <w:lang w:eastAsia="zh-CN"/>
        </w:rPr>
        <w:t>有关厉行节约的指示</w:t>
      </w:r>
      <w:r w:rsidRPr="006E3B9B">
        <w:rPr>
          <w:lang w:val="en-US" w:eastAsia="zh-CN"/>
        </w:rPr>
        <w:tab/>
      </w:r>
      <w:r w:rsidR="00A45877">
        <w:rPr>
          <w:lang w:val="en-US" w:eastAsia="zh-CN"/>
        </w:rPr>
        <w:tab/>
      </w:r>
      <w:r w:rsidRPr="006E3B9B">
        <w:rPr>
          <w:lang w:val="en-US" w:eastAsia="zh-CN"/>
        </w:rPr>
        <w:t>1949</w:t>
      </w:r>
      <w:r w:rsidRPr="006E3B9B">
        <w:rPr>
          <w:rFonts w:hint="eastAsia"/>
          <w:lang w:val="en-US" w:eastAsia="zh-CN"/>
        </w:rPr>
        <w:t>年</w:t>
      </w:r>
    </w:p>
    <w:p w14:paraId="4827BCAF"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135</w:t>
      </w:r>
      <w:r w:rsidRPr="006E3B9B">
        <w:rPr>
          <w:lang w:val="en-US" w:eastAsia="zh-CN"/>
        </w:rPr>
        <w:t>号决议</w:t>
      </w:r>
      <w:r w:rsidRPr="006E3B9B">
        <w:rPr>
          <w:lang w:val="en-US" w:eastAsia="zh-CN"/>
        </w:rPr>
        <w:tab/>
      </w:r>
      <w:r w:rsidRPr="006E3B9B">
        <w:rPr>
          <w:lang w:eastAsia="zh-CN"/>
        </w:rPr>
        <w:t>1948</w:t>
      </w:r>
      <w:r w:rsidRPr="006E3B9B">
        <w:rPr>
          <w:rFonts w:hint="eastAsia"/>
          <w:lang w:eastAsia="zh-CN"/>
        </w:rPr>
        <w:t>年布鲁塞尔国际电报咨询委员会全会第六届会议费用的分配</w:t>
      </w:r>
      <w:r w:rsidRPr="006E3B9B">
        <w:rPr>
          <w:lang w:val="en-US" w:eastAsia="zh-CN"/>
        </w:rPr>
        <w:tab/>
      </w:r>
      <w:r w:rsidR="00A45877">
        <w:rPr>
          <w:lang w:val="en-US" w:eastAsia="zh-CN"/>
        </w:rPr>
        <w:tab/>
      </w:r>
      <w:r w:rsidRPr="006E3B9B">
        <w:rPr>
          <w:lang w:val="en-US" w:eastAsia="zh-CN"/>
        </w:rPr>
        <w:t>1949</w:t>
      </w:r>
      <w:r w:rsidRPr="006E3B9B">
        <w:rPr>
          <w:rFonts w:hint="eastAsia"/>
          <w:lang w:val="en-US" w:eastAsia="zh-CN"/>
        </w:rPr>
        <w:t>年</w:t>
      </w:r>
    </w:p>
    <w:p w14:paraId="4827BCB0"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136</w:t>
      </w:r>
      <w:r w:rsidRPr="006E3B9B">
        <w:rPr>
          <w:lang w:val="en-US" w:eastAsia="zh-CN"/>
        </w:rPr>
        <w:t>号决议</w:t>
      </w:r>
      <w:r w:rsidRPr="006E3B9B">
        <w:rPr>
          <w:lang w:val="en-US" w:eastAsia="zh-CN"/>
        </w:rPr>
        <w:tab/>
      </w:r>
      <w:r w:rsidRPr="006E3B9B">
        <w:rPr>
          <w:rFonts w:hint="eastAsia"/>
          <w:lang w:eastAsia="zh-CN"/>
        </w:rPr>
        <w:t>南斯拉夫联邦人民共和国：欠款的结算</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CB1"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137</w:t>
      </w:r>
      <w:r w:rsidRPr="006E3B9B">
        <w:rPr>
          <w:lang w:val="en-US" w:eastAsia="zh-CN"/>
        </w:rPr>
        <w:t>号决议</w:t>
      </w:r>
      <w:r w:rsidRPr="006E3B9B">
        <w:rPr>
          <w:lang w:val="en-US" w:eastAsia="zh-CN"/>
        </w:rPr>
        <w:tab/>
      </w:r>
      <w:r w:rsidRPr="006E3B9B">
        <w:rPr>
          <w:lang w:eastAsia="zh-CN"/>
        </w:rPr>
        <w:t>1947</w:t>
      </w:r>
      <w:r w:rsidRPr="006E3B9B">
        <w:rPr>
          <w:rFonts w:hint="eastAsia"/>
          <w:lang w:eastAsia="zh-CN"/>
        </w:rPr>
        <w:t>年爱沙尼亚、拉脱维亚和立陶宛苏维埃社会主义共和国的账目结算</w:t>
      </w:r>
      <w:r w:rsidRPr="006E3B9B">
        <w:rPr>
          <w:lang w:val="en-US" w:eastAsia="zh-CN"/>
        </w:rPr>
        <w:tab/>
      </w:r>
      <w:r w:rsidR="00A45877">
        <w:rPr>
          <w:lang w:val="en-US" w:eastAsia="zh-CN"/>
        </w:rPr>
        <w:tab/>
      </w:r>
      <w:r w:rsidRPr="006E3B9B">
        <w:rPr>
          <w:lang w:val="en-US" w:eastAsia="zh-CN"/>
        </w:rPr>
        <w:t>1949</w:t>
      </w:r>
      <w:r w:rsidRPr="006E3B9B">
        <w:rPr>
          <w:rFonts w:hint="eastAsia"/>
          <w:lang w:val="en-US" w:eastAsia="zh-CN"/>
        </w:rPr>
        <w:t>年</w:t>
      </w:r>
    </w:p>
    <w:p w14:paraId="4827BCB2"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138</w:t>
      </w:r>
      <w:r w:rsidRPr="006E3B9B">
        <w:rPr>
          <w:lang w:val="en-US" w:eastAsia="zh-CN"/>
        </w:rPr>
        <w:t>号决议</w:t>
      </w:r>
      <w:r w:rsidRPr="006E3B9B">
        <w:rPr>
          <w:lang w:val="en-US" w:eastAsia="zh-CN"/>
        </w:rPr>
        <w:tab/>
      </w:r>
      <w:r w:rsidRPr="006E3B9B">
        <w:rPr>
          <w:rFonts w:hint="eastAsia"/>
          <w:lang w:eastAsia="zh-CN"/>
        </w:rPr>
        <w:t>国际电话咨询委员会文件的出版</w:t>
      </w:r>
      <w:r w:rsidRPr="006E3B9B">
        <w:rPr>
          <w:lang w:val="en-US" w:eastAsia="zh-CN"/>
        </w:rPr>
        <w:tab/>
      </w:r>
      <w:r w:rsidR="00A45877">
        <w:rPr>
          <w:lang w:val="en-US" w:eastAsia="zh-CN"/>
        </w:rPr>
        <w:tab/>
      </w:r>
      <w:r w:rsidRPr="006E3B9B">
        <w:rPr>
          <w:lang w:val="en-US" w:eastAsia="zh-CN"/>
        </w:rPr>
        <w:t>1949</w:t>
      </w:r>
      <w:r w:rsidRPr="006E3B9B">
        <w:rPr>
          <w:rFonts w:hint="eastAsia"/>
          <w:lang w:val="en-US" w:eastAsia="zh-CN"/>
        </w:rPr>
        <w:t>年</w:t>
      </w:r>
    </w:p>
    <w:p w14:paraId="4827BCB3"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139</w:t>
      </w:r>
      <w:r w:rsidRPr="006E3B9B">
        <w:rPr>
          <w:lang w:val="en-US" w:eastAsia="zh-CN"/>
        </w:rPr>
        <w:t>号决议</w:t>
      </w:r>
      <w:r w:rsidRPr="006E3B9B">
        <w:rPr>
          <w:lang w:val="en-US" w:eastAsia="zh-CN"/>
        </w:rPr>
        <w:tab/>
      </w:r>
      <w:r w:rsidRPr="006E3B9B">
        <w:rPr>
          <w:lang w:eastAsia="zh-CN"/>
        </w:rPr>
        <w:t>临时频率委员会</w:t>
      </w:r>
      <w:r w:rsidRPr="006E3B9B">
        <w:rPr>
          <w:rFonts w:hint="eastAsia"/>
          <w:lang w:eastAsia="zh-CN"/>
        </w:rPr>
        <w:t>的语文</w:t>
      </w:r>
      <w:r w:rsidRPr="006E3B9B">
        <w:rPr>
          <w:lang w:val="en-US" w:eastAsia="zh-CN"/>
        </w:rPr>
        <w:tab/>
      </w:r>
      <w:r w:rsidR="00A45877">
        <w:rPr>
          <w:lang w:val="en-US" w:eastAsia="zh-CN"/>
        </w:rPr>
        <w:tab/>
      </w:r>
      <w:r w:rsidRPr="006E3B9B">
        <w:rPr>
          <w:lang w:val="en-US" w:eastAsia="zh-CN"/>
        </w:rPr>
        <w:t>1949</w:t>
      </w:r>
      <w:r w:rsidRPr="006E3B9B">
        <w:rPr>
          <w:rFonts w:hint="eastAsia"/>
          <w:lang w:val="en-US" w:eastAsia="zh-CN"/>
        </w:rPr>
        <w:t>年</w:t>
      </w:r>
    </w:p>
    <w:p w14:paraId="4827BCB4"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140</w:t>
      </w:r>
      <w:r w:rsidRPr="006E3B9B">
        <w:rPr>
          <w:lang w:val="en-US" w:eastAsia="zh-CN"/>
        </w:rPr>
        <w:t>号决议</w:t>
      </w:r>
      <w:r w:rsidRPr="006E3B9B">
        <w:rPr>
          <w:lang w:val="en-US" w:eastAsia="zh-CN"/>
        </w:rPr>
        <w:tab/>
      </w:r>
      <w:r w:rsidRPr="006E3B9B">
        <w:rPr>
          <w:rFonts w:hint="eastAsia"/>
          <w:lang w:eastAsia="zh-CN"/>
        </w:rPr>
        <w:t>理事会第</w:t>
      </w:r>
      <w:r w:rsidRPr="006E3B9B">
        <w:rPr>
          <w:lang w:eastAsia="zh-CN"/>
        </w:rPr>
        <w:t>6</w:t>
      </w:r>
      <w:r w:rsidRPr="006E3B9B">
        <w:rPr>
          <w:rFonts w:hint="eastAsia"/>
          <w:lang w:eastAsia="zh-CN"/>
        </w:rPr>
        <w:t>届例会的语文</w:t>
      </w:r>
      <w:r w:rsidRPr="006E3B9B">
        <w:rPr>
          <w:lang w:val="en-US" w:eastAsia="zh-CN"/>
        </w:rPr>
        <w:tab/>
      </w:r>
      <w:r w:rsidR="00A45877">
        <w:rPr>
          <w:lang w:val="en-US" w:eastAsia="zh-CN"/>
        </w:rPr>
        <w:tab/>
      </w:r>
      <w:r w:rsidRPr="006E3B9B">
        <w:rPr>
          <w:lang w:val="en-US" w:eastAsia="zh-CN"/>
        </w:rPr>
        <w:t>1950</w:t>
      </w:r>
      <w:r w:rsidRPr="006E3B9B">
        <w:rPr>
          <w:rFonts w:hint="eastAsia"/>
          <w:lang w:val="en-US" w:eastAsia="zh-CN"/>
        </w:rPr>
        <w:t>年</w:t>
      </w:r>
    </w:p>
    <w:p w14:paraId="4827BCB5"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141</w:t>
      </w:r>
      <w:r w:rsidRPr="006E3B9B">
        <w:rPr>
          <w:lang w:val="en-US" w:eastAsia="zh-CN"/>
        </w:rPr>
        <w:t>号决议</w:t>
      </w:r>
      <w:r w:rsidRPr="006E3B9B">
        <w:rPr>
          <w:lang w:val="en-US" w:eastAsia="zh-CN"/>
        </w:rPr>
        <w:tab/>
      </w:r>
      <w:r w:rsidRPr="006E3B9B">
        <w:rPr>
          <w:rFonts w:hint="eastAsia"/>
          <w:lang w:eastAsia="zh-CN"/>
        </w:rPr>
        <w:t>同声传译设备</w:t>
      </w:r>
      <w:r w:rsidRPr="006E3B9B">
        <w:rPr>
          <w:lang w:val="en-US" w:eastAsia="zh-CN"/>
        </w:rPr>
        <w:tab/>
      </w:r>
      <w:r w:rsidR="00A45877">
        <w:rPr>
          <w:lang w:val="en-US" w:eastAsia="zh-CN"/>
        </w:rPr>
        <w:tab/>
      </w:r>
      <w:r w:rsidRPr="006E3B9B">
        <w:rPr>
          <w:lang w:val="en-US" w:eastAsia="zh-CN"/>
        </w:rPr>
        <w:t>1949</w:t>
      </w:r>
      <w:r w:rsidRPr="006E3B9B">
        <w:rPr>
          <w:rFonts w:hint="eastAsia"/>
          <w:lang w:val="en-US" w:eastAsia="zh-CN"/>
        </w:rPr>
        <w:t>年</w:t>
      </w:r>
    </w:p>
    <w:p w14:paraId="4827BCB6" w14:textId="77777777" w:rsidR="009513E7" w:rsidRDefault="006E3B9B" w:rsidP="00A45877">
      <w:pPr>
        <w:pStyle w:val="Appendixref"/>
        <w:rPr>
          <w:lang w:val="en-US" w:eastAsia="zh-CN"/>
        </w:rPr>
      </w:pPr>
      <w:r w:rsidRPr="006E3B9B">
        <w:rPr>
          <w:lang w:val="en-US" w:eastAsia="zh-CN"/>
        </w:rPr>
        <w:t>第</w:t>
      </w:r>
      <w:r w:rsidRPr="006E3B9B">
        <w:rPr>
          <w:lang w:val="en-US" w:eastAsia="zh-CN"/>
        </w:rPr>
        <w:t>142</w:t>
      </w:r>
      <w:r w:rsidRPr="006E3B9B">
        <w:rPr>
          <w:lang w:val="en-US" w:eastAsia="zh-CN"/>
        </w:rPr>
        <w:t>号决议</w:t>
      </w:r>
      <w:r w:rsidRPr="006E3B9B">
        <w:rPr>
          <w:lang w:val="en-US" w:eastAsia="zh-CN"/>
        </w:rPr>
        <w:tab/>
      </w:r>
      <w:r w:rsidRPr="006E3B9B">
        <w:rPr>
          <w:rFonts w:hint="eastAsia"/>
          <w:lang w:eastAsia="zh-CN"/>
        </w:rPr>
        <w:t>《专门机构特权与豁免公约》第四条的实施</w:t>
      </w:r>
      <w:r w:rsidRPr="006E3B9B">
        <w:rPr>
          <w:lang w:val="en-US" w:eastAsia="zh-CN"/>
        </w:rPr>
        <w:tab/>
      </w:r>
      <w:r w:rsidR="00A45877">
        <w:rPr>
          <w:lang w:val="en-US" w:eastAsia="zh-CN"/>
        </w:rPr>
        <w:tab/>
      </w:r>
      <w:r w:rsidRPr="006E3B9B">
        <w:rPr>
          <w:lang w:val="en-US" w:eastAsia="zh-CN"/>
        </w:rPr>
        <w:t>1949</w:t>
      </w:r>
      <w:r w:rsidRPr="006E3B9B">
        <w:rPr>
          <w:rFonts w:hint="eastAsia"/>
          <w:lang w:val="en-US" w:eastAsia="zh-CN"/>
        </w:rPr>
        <w:t>年</w:t>
      </w:r>
    </w:p>
    <w:p w14:paraId="4827BCB7"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143</w:t>
      </w:r>
      <w:r w:rsidRPr="006E3B9B">
        <w:rPr>
          <w:lang w:val="en-US" w:eastAsia="zh-CN"/>
        </w:rPr>
        <w:t>号决议</w:t>
      </w:r>
      <w:r w:rsidRPr="006E3B9B">
        <w:rPr>
          <w:lang w:val="en-US" w:eastAsia="zh-CN"/>
        </w:rPr>
        <w:tab/>
      </w:r>
      <w:r w:rsidRPr="006E3B9B">
        <w:rPr>
          <w:rFonts w:hint="eastAsia"/>
          <w:lang w:eastAsia="zh-CN"/>
        </w:rPr>
        <w:t>联合国</w:t>
      </w:r>
      <w:r w:rsidRPr="006E3B9B">
        <w:rPr>
          <w:rFonts w:hint="eastAsia"/>
          <w:lang w:val="en-US" w:eastAsia="zh-CN"/>
        </w:rPr>
        <w:t>《新闻</w:t>
      </w:r>
      <w:r w:rsidRPr="006E3B9B">
        <w:rPr>
          <w:rFonts w:hint="eastAsia"/>
          <w:lang w:eastAsia="zh-CN"/>
        </w:rPr>
        <w:t>自由公约》草案和《大西洋城公约》之间的区别</w:t>
      </w:r>
      <w:r w:rsidRPr="006E3B9B">
        <w:rPr>
          <w:lang w:val="en-US" w:eastAsia="zh-CN"/>
        </w:rPr>
        <w:tab/>
      </w:r>
      <w:r w:rsidR="00A45877">
        <w:rPr>
          <w:lang w:val="en-US" w:eastAsia="zh-CN"/>
        </w:rPr>
        <w:tab/>
      </w:r>
      <w:r w:rsidRPr="006E3B9B">
        <w:rPr>
          <w:lang w:val="en-US" w:eastAsia="zh-CN"/>
        </w:rPr>
        <w:t>1949</w:t>
      </w:r>
      <w:r w:rsidRPr="006E3B9B">
        <w:rPr>
          <w:rFonts w:hint="eastAsia"/>
          <w:lang w:val="en-US" w:eastAsia="zh-CN"/>
        </w:rPr>
        <w:t>年</w:t>
      </w:r>
    </w:p>
    <w:p w14:paraId="4827BCB8"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144</w:t>
      </w:r>
      <w:r w:rsidRPr="006E3B9B">
        <w:rPr>
          <w:lang w:val="en-US" w:eastAsia="zh-CN"/>
        </w:rPr>
        <w:t>号决议</w:t>
      </w:r>
      <w:r w:rsidRPr="006E3B9B">
        <w:rPr>
          <w:lang w:val="en-US" w:eastAsia="zh-CN"/>
        </w:rPr>
        <w:tab/>
      </w:r>
      <w:r w:rsidRPr="006E3B9B">
        <w:rPr>
          <w:rFonts w:hint="eastAsia"/>
          <w:lang w:eastAsia="zh-CN"/>
        </w:rPr>
        <w:t>专门机构参与国际电联的大会和会议</w:t>
      </w:r>
      <w:r w:rsidRPr="006E3B9B">
        <w:rPr>
          <w:lang w:val="en-US" w:eastAsia="zh-CN"/>
        </w:rPr>
        <w:tab/>
      </w:r>
      <w:r w:rsidR="00A45877">
        <w:rPr>
          <w:lang w:val="en-US" w:eastAsia="zh-CN"/>
        </w:rPr>
        <w:tab/>
      </w:r>
      <w:r w:rsidRPr="006E3B9B">
        <w:rPr>
          <w:lang w:val="en-US" w:eastAsia="zh-CN"/>
        </w:rPr>
        <w:t>1950</w:t>
      </w:r>
      <w:r w:rsidRPr="006E3B9B">
        <w:rPr>
          <w:rFonts w:hint="eastAsia"/>
          <w:lang w:val="en-US" w:eastAsia="zh-CN"/>
        </w:rPr>
        <w:t>年</w:t>
      </w:r>
    </w:p>
    <w:p w14:paraId="4827BCB9"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145</w:t>
      </w:r>
      <w:r w:rsidRPr="006E3B9B">
        <w:rPr>
          <w:lang w:val="en-US" w:eastAsia="zh-CN"/>
        </w:rPr>
        <w:t>号决议</w:t>
      </w:r>
      <w:r w:rsidRPr="006E3B9B">
        <w:rPr>
          <w:lang w:val="en-US" w:eastAsia="zh-CN"/>
        </w:rPr>
        <w:tab/>
      </w:r>
      <w:r w:rsidRPr="006E3B9B">
        <w:rPr>
          <w:rFonts w:hint="eastAsia"/>
          <w:lang w:eastAsia="zh-CN"/>
        </w:rPr>
        <w:t>某些国际组织参加</w:t>
      </w:r>
      <w:r w:rsidRPr="006E3B9B">
        <w:rPr>
          <w:lang w:eastAsia="zh-CN"/>
        </w:rPr>
        <w:t>CCIR</w:t>
      </w:r>
      <w:r w:rsidRPr="006E3B9B">
        <w:rPr>
          <w:rFonts w:hint="eastAsia"/>
          <w:lang w:eastAsia="zh-CN"/>
        </w:rPr>
        <w:t>会议的财务条件</w:t>
      </w:r>
      <w:r w:rsidRPr="006E3B9B">
        <w:rPr>
          <w:lang w:val="en-US" w:eastAsia="zh-CN"/>
        </w:rPr>
        <w:tab/>
      </w:r>
      <w:r w:rsidR="00A45877">
        <w:rPr>
          <w:lang w:val="en-US" w:eastAsia="zh-CN"/>
        </w:rPr>
        <w:tab/>
      </w:r>
      <w:r w:rsidRPr="006E3B9B">
        <w:rPr>
          <w:lang w:val="en-US" w:eastAsia="zh-CN"/>
        </w:rPr>
        <w:t>1950</w:t>
      </w:r>
      <w:r w:rsidRPr="006E3B9B">
        <w:rPr>
          <w:rFonts w:hint="eastAsia"/>
          <w:lang w:val="en-US" w:eastAsia="zh-CN"/>
        </w:rPr>
        <w:t>年</w:t>
      </w:r>
    </w:p>
    <w:p w14:paraId="4827BCBA"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146</w:t>
      </w:r>
      <w:r w:rsidRPr="006E3B9B">
        <w:rPr>
          <w:lang w:val="en-US" w:eastAsia="zh-CN"/>
        </w:rPr>
        <w:t>号决议</w:t>
      </w:r>
      <w:r w:rsidRPr="006E3B9B">
        <w:rPr>
          <w:lang w:val="en-US" w:eastAsia="zh-CN"/>
        </w:rPr>
        <w:tab/>
      </w:r>
      <w:r w:rsidRPr="006E3B9B">
        <w:rPr>
          <w:rFonts w:hint="eastAsia"/>
          <w:lang w:eastAsia="zh-CN"/>
        </w:rPr>
        <w:t>某些国际组织参加国际电联的大会和会议的财务条件</w:t>
      </w:r>
      <w:r w:rsidRPr="006E3B9B">
        <w:rPr>
          <w:lang w:val="en-US" w:eastAsia="zh-CN"/>
        </w:rPr>
        <w:tab/>
      </w:r>
      <w:r w:rsidR="00A45877">
        <w:rPr>
          <w:lang w:val="en-US" w:eastAsia="zh-CN"/>
        </w:rPr>
        <w:tab/>
      </w:r>
      <w:r w:rsidRPr="006E3B9B">
        <w:rPr>
          <w:lang w:val="en-US" w:eastAsia="zh-CN"/>
        </w:rPr>
        <w:t>1950</w:t>
      </w:r>
      <w:r w:rsidRPr="006E3B9B">
        <w:rPr>
          <w:rFonts w:hint="eastAsia"/>
          <w:lang w:val="en-US" w:eastAsia="zh-CN"/>
        </w:rPr>
        <w:t>年</w:t>
      </w:r>
    </w:p>
    <w:p w14:paraId="4827BCBB"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147</w:t>
      </w:r>
      <w:r w:rsidRPr="006E3B9B">
        <w:rPr>
          <w:lang w:val="en-US" w:eastAsia="zh-CN"/>
        </w:rPr>
        <w:t>号决议</w:t>
      </w:r>
      <w:r w:rsidRPr="006E3B9B">
        <w:rPr>
          <w:lang w:val="en-US" w:eastAsia="zh-CN"/>
        </w:rPr>
        <w:tab/>
      </w:r>
      <w:r w:rsidRPr="006E3B9B">
        <w:rPr>
          <w:rFonts w:hint="eastAsia"/>
          <w:lang w:eastAsia="zh-CN"/>
        </w:rPr>
        <w:t>与联合国教科文组织的协议</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CBC"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148</w:t>
      </w:r>
      <w:r w:rsidRPr="006E3B9B">
        <w:rPr>
          <w:lang w:val="en-US" w:eastAsia="zh-CN"/>
        </w:rPr>
        <w:t>号决议</w:t>
      </w:r>
      <w:r w:rsidRPr="006E3B9B">
        <w:rPr>
          <w:lang w:val="en-US" w:eastAsia="zh-CN"/>
        </w:rPr>
        <w:tab/>
      </w:r>
      <w:r w:rsidRPr="006E3B9B">
        <w:rPr>
          <w:rFonts w:hint="eastAsia"/>
          <w:lang w:eastAsia="zh-CN"/>
        </w:rPr>
        <w:t>协调</w:t>
      </w:r>
      <w:r w:rsidRPr="006E3B9B">
        <w:rPr>
          <w:rFonts w:hint="eastAsia"/>
          <w:lang w:val="en-US" w:eastAsia="zh-CN"/>
        </w:rPr>
        <w:t>各</w:t>
      </w:r>
      <w:r w:rsidRPr="006E3B9B">
        <w:rPr>
          <w:rFonts w:hint="eastAsia"/>
          <w:lang w:eastAsia="zh-CN"/>
        </w:rPr>
        <w:t>国际组织开展的电信研究</w:t>
      </w:r>
      <w:r w:rsidRPr="006E3B9B">
        <w:rPr>
          <w:lang w:val="en-US" w:eastAsia="zh-CN"/>
        </w:rPr>
        <w:tab/>
      </w:r>
      <w:r w:rsidR="00A45877">
        <w:rPr>
          <w:lang w:val="en-US" w:eastAsia="zh-CN"/>
        </w:rPr>
        <w:tab/>
      </w:r>
      <w:r w:rsidRPr="006E3B9B">
        <w:rPr>
          <w:lang w:val="en-US" w:eastAsia="zh-CN"/>
        </w:rPr>
        <w:t>1999</w:t>
      </w:r>
      <w:r w:rsidRPr="006E3B9B">
        <w:rPr>
          <w:rFonts w:hint="eastAsia"/>
          <w:lang w:val="en-US" w:eastAsia="zh-CN"/>
        </w:rPr>
        <w:t>年</w:t>
      </w:r>
    </w:p>
    <w:p w14:paraId="4827BCBD"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149</w:t>
      </w:r>
      <w:r w:rsidRPr="006E3B9B">
        <w:rPr>
          <w:lang w:val="en-US" w:eastAsia="zh-CN"/>
        </w:rPr>
        <w:t>号决议</w:t>
      </w:r>
      <w:r w:rsidRPr="006E3B9B">
        <w:rPr>
          <w:lang w:val="en-US" w:eastAsia="zh-CN"/>
        </w:rPr>
        <w:tab/>
      </w:r>
      <w:r w:rsidRPr="006E3B9B">
        <w:rPr>
          <w:rFonts w:hint="eastAsia"/>
          <w:lang w:eastAsia="zh-CN"/>
        </w:rPr>
        <w:t>电信领域的国际协作</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CBE"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150</w:t>
      </w:r>
      <w:r w:rsidRPr="006E3B9B">
        <w:rPr>
          <w:lang w:val="en-US" w:eastAsia="zh-CN"/>
        </w:rPr>
        <w:t>号决议</w:t>
      </w:r>
      <w:r w:rsidRPr="006E3B9B">
        <w:rPr>
          <w:lang w:val="en-US" w:eastAsia="zh-CN"/>
        </w:rPr>
        <w:tab/>
      </w:r>
      <w:r w:rsidRPr="006E3B9B">
        <w:rPr>
          <w:rFonts w:hint="eastAsia"/>
          <w:lang w:eastAsia="zh-CN"/>
        </w:rPr>
        <w:t>可用呼号的分配</w:t>
      </w:r>
      <w:r w:rsidRPr="006E3B9B">
        <w:rPr>
          <w:lang w:val="en-US" w:eastAsia="zh-CN"/>
        </w:rPr>
        <w:tab/>
      </w:r>
      <w:r w:rsidR="00A45877">
        <w:rPr>
          <w:lang w:val="en-US" w:eastAsia="zh-CN"/>
        </w:rPr>
        <w:tab/>
      </w:r>
      <w:r w:rsidRPr="006E3B9B">
        <w:rPr>
          <w:lang w:val="en-US" w:eastAsia="zh-CN"/>
        </w:rPr>
        <w:t>1949</w:t>
      </w:r>
      <w:r w:rsidRPr="006E3B9B">
        <w:rPr>
          <w:rFonts w:hint="eastAsia"/>
          <w:lang w:val="en-US" w:eastAsia="zh-CN"/>
        </w:rPr>
        <w:t>年</w:t>
      </w:r>
    </w:p>
    <w:p w14:paraId="4827BCBF" w14:textId="77777777" w:rsidR="00BF1CF1" w:rsidRDefault="00BF1CF1">
      <w:pPr>
        <w:tabs>
          <w:tab w:val="clear" w:pos="794"/>
          <w:tab w:val="clear" w:pos="1191"/>
          <w:tab w:val="clear" w:pos="1588"/>
          <w:tab w:val="clear" w:pos="1985"/>
        </w:tabs>
        <w:overflowPunct/>
        <w:autoSpaceDE/>
        <w:autoSpaceDN/>
        <w:adjustRightInd/>
        <w:spacing w:before="0"/>
        <w:jc w:val="left"/>
        <w:textAlignment w:val="auto"/>
        <w:rPr>
          <w:sz w:val="20"/>
          <w:lang w:val="en-US" w:eastAsia="zh-CN"/>
        </w:rPr>
      </w:pPr>
      <w:r>
        <w:rPr>
          <w:lang w:val="en-US" w:eastAsia="zh-CN"/>
        </w:rPr>
        <w:br w:type="page"/>
      </w:r>
    </w:p>
    <w:p w14:paraId="4827BCC0" w14:textId="77777777" w:rsidR="006E3B9B" w:rsidRPr="006E3B9B" w:rsidRDefault="006E3B9B" w:rsidP="00A45877">
      <w:pPr>
        <w:pStyle w:val="Appendixref"/>
        <w:rPr>
          <w:lang w:val="en-US" w:eastAsia="zh-CN"/>
        </w:rPr>
      </w:pPr>
      <w:r w:rsidRPr="006E3B9B">
        <w:rPr>
          <w:lang w:val="en-US" w:eastAsia="zh-CN"/>
        </w:rPr>
        <w:lastRenderedPageBreak/>
        <w:t>第</w:t>
      </w:r>
      <w:r w:rsidRPr="006E3B9B">
        <w:rPr>
          <w:lang w:val="en-US" w:eastAsia="zh-CN"/>
        </w:rPr>
        <w:t>151</w:t>
      </w:r>
      <w:r w:rsidRPr="006E3B9B">
        <w:rPr>
          <w:lang w:val="en-US" w:eastAsia="zh-CN"/>
        </w:rPr>
        <w:t>号决议</w:t>
      </w:r>
      <w:r w:rsidRPr="006E3B9B">
        <w:rPr>
          <w:lang w:val="en-US" w:eastAsia="zh-CN"/>
        </w:rPr>
        <w:tab/>
      </w:r>
      <w:r w:rsidRPr="006E3B9B">
        <w:rPr>
          <w:rFonts w:hint="eastAsia"/>
          <w:lang w:eastAsia="zh-CN"/>
        </w:rPr>
        <w:t>可用呼号的分配</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CC1"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152</w:t>
      </w:r>
      <w:r w:rsidRPr="006E3B9B">
        <w:rPr>
          <w:lang w:val="en-US" w:eastAsia="zh-CN"/>
        </w:rPr>
        <w:t>号决议</w:t>
      </w:r>
      <w:r w:rsidRPr="006E3B9B">
        <w:rPr>
          <w:lang w:val="en-US" w:eastAsia="zh-CN"/>
        </w:rPr>
        <w:tab/>
      </w:r>
      <w:r w:rsidRPr="006E3B9B">
        <w:rPr>
          <w:rFonts w:hint="eastAsia"/>
          <w:lang w:eastAsia="zh-CN"/>
        </w:rPr>
        <w:t>为大会和会议代表提供的免费优待</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CC2"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153</w:t>
      </w:r>
      <w:r w:rsidRPr="006E3B9B">
        <w:rPr>
          <w:lang w:val="en-US" w:eastAsia="zh-CN"/>
        </w:rPr>
        <w:t>号决议</w:t>
      </w:r>
      <w:r w:rsidRPr="006E3B9B">
        <w:rPr>
          <w:lang w:val="en-US" w:eastAsia="zh-CN"/>
        </w:rPr>
        <w:tab/>
      </w:r>
      <w:r w:rsidRPr="006E3B9B">
        <w:rPr>
          <w:rFonts w:hint="eastAsia"/>
          <w:lang w:eastAsia="zh-CN"/>
        </w:rPr>
        <w:t>电信词汇</w:t>
      </w:r>
      <w:r w:rsidRPr="006E3B9B">
        <w:rPr>
          <w:lang w:val="en-US" w:eastAsia="zh-CN"/>
        </w:rPr>
        <w:tab/>
      </w:r>
      <w:r w:rsidR="00A45877">
        <w:rPr>
          <w:lang w:val="en-US" w:eastAsia="zh-CN"/>
        </w:rPr>
        <w:tab/>
      </w:r>
      <w:r w:rsidRPr="006E3B9B">
        <w:rPr>
          <w:lang w:val="en-US" w:eastAsia="zh-CN"/>
        </w:rPr>
        <w:t>1951</w:t>
      </w:r>
      <w:r w:rsidRPr="006E3B9B">
        <w:rPr>
          <w:rFonts w:hint="eastAsia"/>
          <w:lang w:val="en-US" w:eastAsia="zh-CN"/>
        </w:rPr>
        <w:t>年</w:t>
      </w:r>
    </w:p>
    <w:p w14:paraId="4827BCC3"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154</w:t>
      </w:r>
      <w:r w:rsidRPr="006E3B9B">
        <w:rPr>
          <w:lang w:val="en-US" w:eastAsia="zh-CN"/>
        </w:rPr>
        <w:t>号决议</w:t>
      </w:r>
      <w:r w:rsidRPr="006E3B9B">
        <w:rPr>
          <w:lang w:val="en-US" w:eastAsia="zh-CN"/>
        </w:rPr>
        <w:tab/>
      </w:r>
      <w:r w:rsidRPr="006E3B9B">
        <w:rPr>
          <w:rFonts w:hint="eastAsia"/>
          <w:lang w:eastAsia="zh-CN"/>
        </w:rPr>
        <w:t>临时频率委员会</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CC4"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155</w:t>
      </w:r>
      <w:r w:rsidRPr="006E3B9B">
        <w:rPr>
          <w:lang w:val="en-US" w:eastAsia="zh-CN"/>
        </w:rPr>
        <w:t>号决议</w:t>
      </w:r>
      <w:r w:rsidRPr="006E3B9B">
        <w:rPr>
          <w:lang w:val="en-US" w:eastAsia="zh-CN"/>
        </w:rPr>
        <w:tab/>
      </w:r>
      <w:r w:rsidRPr="006E3B9B">
        <w:rPr>
          <w:rFonts w:hint="eastAsia"/>
          <w:lang w:eastAsia="zh-CN"/>
        </w:rPr>
        <w:t>1</w:t>
      </w:r>
      <w:r w:rsidRPr="006E3B9B">
        <w:rPr>
          <w:rFonts w:hint="eastAsia"/>
          <w:lang w:eastAsia="zh-CN"/>
        </w:rPr>
        <w:t>区欧洲之外国家委员会召开的一次会议</w:t>
      </w:r>
      <w:r w:rsidR="00A45877">
        <w:rPr>
          <w:lang w:eastAsia="zh-CN"/>
        </w:rPr>
        <w:tab/>
      </w:r>
      <w:r w:rsidRPr="006E3B9B">
        <w:rPr>
          <w:lang w:val="en-US" w:eastAsia="zh-CN"/>
        </w:rPr>
        <w:tab/>
        <w:t>1949</w:t>
      </w:r>
      <w:r w:rsidRPr="006E3B9B">
        <w:rPr>
          <w:rFonts w:hint="eastAsia"/>
          <w:lang w:val="en-US" w:eastAsia="zh-CN"/>
        </w:rPr>
        <w:t>年</w:t>
      </w:r>
    </w:p>
    <w:p w14:paraId="4827BCC5"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156</w:t>
      </w:r>
      <w:r w:rsidRPr="006E3B9B">
        <w:rPr>
          <w:lang w:val="en-US" w:eastAsia="zh-CN"/>
        </w:rPr>
        <w:t>号决议</w:t>
      </w:r>
      <w:r w:rsidRPr="006E3B9B">
        <w:rPr>
          <w:lang w:val="en-US" w:eastAsia="zh-CN"/>
        </w:rPr>
        <w:tab/>
      </w:r>
      <w:r w:rsidRPr="006E3B9B">
        <w:rPr>
          <w:lang w:eastAsia="zh-CN"/>
        </w:rPr>
        <w:t>1949</w:t>
      </w:r>
      <w:r w:rsidRPr="006E3B9B">
        <w:rPr>
          <w:rFonts w:hint="eastAsia"/>
          <w:lang w:eastAsia="zh-CN"/>
        </w:rPr>
        <w:t>年华盛顿</w:t>
      </w:r>
      <w:r w:rsidRPr="006E3B9B">
        <w:rPr>
          <w:rFonts w:hint="eastAsia"/>
          <w:lang w:eastAsia="zh-CN"/>
        </w:rPr>
        <w:t>2</w:t>
      </w:r>
      <w:r w:rsidRPr="006E3B9B">
        <w:rPr>
          <w:rFonts w:hint="eastAsia"/>
          <w:lang w:eastAsia="zh-CN"/>
        </w:rPr>
        <w:t>区无线电行政大会</w:t>
      </w:r>
      <w:r w:rsidRPr="006E3B9B">
        <w:rPr>
          <w:lang w:val="en-US" w:eastAsia="zh-CN"/>
        </w:rPr>
        <w:tab/>
      </w:r>
      <w:r w:rsidR="00A45877">
        <w:rPr>
          <w:lang w:val="en-US" w:eastAsia="zh-CN"/>
        </w:rPr>
        <w:tab/>
      </w:r>
      <w:r w:rsidRPr="006E3B9B">
        <w:rPr>
          <w:lang w:val="en-US" w:eastAsia="zh-CN"/>
        </w:rPr>
        <w:t>1951</w:t>
      </w:r>
      <w:r w:rsidRPr="006E3B9B">
        <w:rPr>
          <w:rFonts w:hint="eastAsia"/>
          <w:lang w:val="en-US" w:eastAsia="zh-CN"/>
        </w:rPr>
        <w:t>年</w:t>
      </w:r>
    </w:p>
    <w:p w14:paraId="4827BCC6"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157</w:t>
      </w:r>
      <w:r w:rsidRPr="006E3B9B">
        <w:rPr>
          <w:lang w:val="en-US" w:eastAsia="zh-CN"/>
        </w:rPr>
        <w:t>号决议</w:t>
      </w:r>
      <w:r w:rsidRPr="006E3B9B">
        <w:rPr>
          <w:lang w:val="en-US" w:eastAsia="zh-CN"/>
        </w:rPr>
        <w:tab/>
      </w:r>
      <w:r w:rsidRPr="006E3B9B">
        <w:rPr>
          <w:rFonts w:hint="eastAsia"/>
          <w:lang w:eastAsia="zh-CN"/>
        </w:rPr>
        <w:t>佛罗伦萨高频广播大会会议</w:t>
      </w:r>
      <w:r w:rsidRPr="006E3B9B">
        <w:rPr>
          <w:lang w:val="en-US" w:eastAsia="zh-CN"/>
        </w:rPr>
        <w:tab/>
      </w:r>
      <w:r w:rsidR="00A45877">
        <w:rPr>
          <w:lang w:val="en-US" w:eastAsia="zh-CN"/>
        </w:rPr>
        <w:tab/>
      </w:r>
      <w:r w:rsidRPr="006E3B9B">
        <w:rPr>
          <w:lang w:val="en-US" w:eastAsia="zh-CN"/>
        </w:rPr>
        <w:t>1949</w:t>
      </w:r>
      <w:r w:rsidRPr="006E3B9B">
        <w:rPr>
          <w:rFonts w:hint="eastAsia"/>
          <w:lang w:val="en-US" w:eastAsia="zh-CN"/>
        </w:rPr>
        <w:t>年</w:t>
      </w:r>
    </w:p>
    <w:p w14:paraId="4827BCC7"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158</w:t>
      </w:r>
      <w:r w:rsidRPr="006E3B9B">
        <w:rPr>
          <w:lang w:val="en-US" w:eastAsia="zh-CN"/>
        </w:rPr>
        <w:t>号决议</w:t>
      </w:r>
      <w:r w:rsidRPr="006E3B9B">
        <w:rPr>
          <w:lang w:val="en-US" w:eastAsia="zh-CN"/>
        </w:rPr>
        <w:tab/>
      </w:r>
      <w:r w:rsidRPr="006E3B9B">
        <w:rPr>
          <w:rFonts w:hint="eastAsia"/>
          <w:lang w:eastAsia="zh-CN"/>
        </w:rPr>
        <w:t>高频广播规划的实施</w:t>
      </w:r>
      <w:r w:rsidR="00A45877">
        <w:rPr>
          <w:lang w:eastAsia="zh-CN"/>
        </w:rPr>
        <w:tab/>
      </w:r>
      <w:r w:rsidRPr="006E3B9B">
        <w:rPr>
          <w:lang w:val="en-US" w:eastAsia="zh-CN"/>
        </w:rPr>
        <w:tab/>
        <w:t>1949</w:t>
      </w:r>
      <w:r w:rsidRPr="006E3B9B">
        <w:rPr>
          <w:rFonts w:hint="eastAsia"/>
          <w:lang w:val="en-US" w:eastAsia="zh-CN"/>
        </w:rPr>
        <w:t>年</w:t>
      </w:r>
    </w:p>
    <w:p w14:paraId="4827BCC8"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159</w:t>
      </w:r>
      <w:r w:rsidRPr="006E3B9B">
        <w:rPr>
          <w:lang w:val="en-US" w:eastAsia="zh-CN"/>
        </w:rPr>
        <w:t>号决议</w:t>
      </w:r>
      <w:r w:rsidRPr="006E3B9B">
        <w:rPr>
          <w:lang w:val="en-US" w:eastAsia="zh-CN"/>
        </w:rPr>
        <w:tab/>
      </w:r>
      <w:r w:rsidRPr="006E3B9B">
        <w:rPr>
          <w:rFonts w:hint="eastAsia"/>
          <w:lang w:val="en-US" w:eastAsia="zh-CN"/>
        </w:rPr>
        <w:t>国际</w:t>
      </w:r>
      <w:r w:rsidRPr="006E3B9B">
        <w:rPr>
          <w:rFonts w:hint="eastAsia"/>
          <w:lang w:eastAsia="zh-CN"/>
        </w:rPr>
        <w:t>电联秘书长</w:t>
      </w:r>
      <w:r w:rsidRPr="006E3B9B">
        <w:rPr>
          <w:lang w:eastAsia="zh-CN"/>
        </w:rPr>
        <w:t>F. von Ernst</w:t>
      </w:r>
      <w:r w:rsidRPr="006E3B9B">
        <w:rPr>
          <w:rFonts w:hint="eastAsia"/>
          <w:lang w:eastAsia="zh-CN"/>
        </w:rPr>
        <w:t>博士的养恤金</w:t>
      </w:r>
      <w:r w:rsidR="00A45877">
        <w:rPr>
          <w:lang w:eastAsia="zh-CN"/>
        </w:rPr>
        <w:tab/>
      </w:r>
      <w:r w:rsidRPr="006E3B9B">
        <w:rPr>
          <w:lang w:val="en-US" w:eastAsia="zh-CN"/>
        </w:rPr>
        <w:tab/>
        <w:t>1949</w:t>
      </w:r>
      <w:r w:rsidRPr="006E3B9B">
        <w:rPr>
          <w:rFonts w:hint="eastAsia"/>
          <w:lang w:val="en-US" w:eastAsia="zh-CN"/>
        </w:rPr>
        <w:t>年</w:t>
      </w:r>
    </w:p>
    <w:p w14:paraId="4827BCC9"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160</w:t>
      </w:r>
      <w:r w:rsidRPr="006E3B9B">
        <w:rPr>
          <w:lang w:val="en-US" w:eastAsia="zh-CN"/>
        </w:rPr>
        <w:t>号决议</w:t>
      </w:r>
      <w:r w:rsidRPr="006E3B9B">
        <w:rPr>
          <w:lang w:val="en-US" w:eastAsia="zh-CN"/>
        </w:rPr>
        <w:tab/>
      </w:r>
      <w:r w:rsidRPr="006E3B9B">
        <w:rPr>
          <w:rFonts w:hint="eastAsia"/>
          <w:lang w:eastAsia="zh-CN"/>
        </w:rPr>
        <w:t>国际无线电咨询委员会主任</w:t>
      </w:r>
      <w:r w:rsidRPr="006E3B9B">
        <w:rPr>
          <w:lang w:eastAsia="zh-CN"/>
        </w:rPr>
        <w:t>van der Pol</w:t>
      </w:r>
      <w:r w:rsidRPr="006E3B9B">
        <w:rPr>
          <w:rFonts w:hint="eastAsia"/>
          <w:lang w:eastAsia="zh-CN"/>
        </w:rPr>
        <w:t>博士和副主任</w:t>
      </w:r>
      <w:r w:rsidRPr="006E3B9B">
        <w:rPr>
          <w:lang w:eastAsia="zh-CN"/>
        </w:rPr>
        <w:t>L.W. Hayes</w:t>
      </w:r>
      <w:r w:rsidRPr="006E3B9B">
        <w:rPr>
          <w:rFonts w:hint="eastAsia"/>
          <w:lang w:eastAsia="zh-CN"/>
        </w:rPr>
        <w:t>先生的养恤金</w:t>
      </w:r>
      <w:r w:rsidR="00A45877">
        <w:rPr>
          <w:lang w:eastAsia="zh-CN"/>
        </w:rPr>
        <w:tab/>
      </w:r>
      <w:r w:rsidRPr="006E3B9B">
        <w:rPr>
          <w:lang w:val="en-US" w:eastAsia="zh-CN"/>
        </w:rPr>
        <w:tab/>
        <w:t>1952</w:t>
      </w:r>
      <w:r w:rsidRPr="006E3B9B">
        <w:rPr>
          <w:rFonts w:hint="eastAsia"/>
          <w:lang w:val="en-US" w:eastAsia="zh-CN"/>
        </w:rPr>
        <w:t>年</w:t>
      </w:r>
    </w:p>
    <w:p w14:paraId="4827BCCA"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161</w:t>
      </w:r>
      <w:r w:rsidRPr="006E3B9B">
        <w:rPr>
          <w:lang w:val="en-US" w:eastAsia="zh-CN"/>
        </w:rPr>
        <w:t>号决议</w:t>
      </w:r>
      <w:r w:rsidRPr="006E3B9B">
        <w:rPr>
          <w:lang w:val="en-US" w:eastAsia="zh-CN"/>
        </w:rPr>
        <w:tab/>
      </w:r>
      <w:r w:rsidRPr="006E3B9B">
        <w:rPr>
          <w:rFonts w:hint="eastAsia"/>
          <w:lang w:eastAsia="zh-CN"/>
        </w:rPr>
        <w:t>国际电话咨询委员会职员的养恤金</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CCB"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162</w:t>
      </w:r>
      <w:r w:rsidRPr="006E3B9B">
        <w:rPr>
          <w:lang w:val="en-US" w:eastAsia="zh-CN"/>
        </w:rPr>
        <w:t>号决议</w:t>
      </w:r>
      <w:r w:rsidRPr="006E3B9B">
        <w:rPr>
          <w:lang w:val="en-US" w:eastAsia="zh-CN"/>
        </w:rPr>
        <w:tab/>
      </w:r>
      <w:r w:rsidRPr="006E3B9B">
        <w:rPr>
          <w:rFonts w:hint="eastAsia"/>
          <w:lang w:eastAsia="zh-CN"/>
        </w:rPr>
        <w:t>向</w:t>
      </w:r>
      <w:r w:rsidRPr="006E3B9B">
        <w:rPr>
          <w:lang w:eastAsia="zh-CN"/>
        </w:rPr>
        <w:t>1948</w:t>
      </w:r>
      <w:r w:rsidRPr="006E3B9B">
        <w:rPr>
          <w:rFonts w:hint="eastAsia"/>
          <w:lang w:eastAsia="zh-CN"/>
        </w:rPr>
        <w:t>年年底前退休官员提供的生活费用上涨津贴</w:t>
      </w:r>
      <w:r w:rsidRPr="006E3B9B">
        <w:rPr>
          <w:lang w:val="en-US" w:eastAsia="zh-CN"/>
        </w:rPr>
        <w:tab/>
      </w:r>
      <w:r w:rsidR="00A45877">
        <w:rPr>
          <w:lang w:val="en-US" w:eastAsia="zh-CN"/>
        </w:rPr>
        <w:tab/>
      </w:r>
      <w:r w:rsidRPr="006E3B9B">
        <w:rPr>
          <w:lang w:val="en-US" w:eastAsia="zh-CN"/>
        </w:rPr>
        <w:t>1949</w:t>
      </w:r>
      <w:r w:rsidRPr="006E3B9B">
        <w:rPr>
          <w:rFonts w:hint="eastAsia"/>
          <w:lang w:val="en-US" w:eastAsia="zh-CN"/>
        </w:rPr>
        <w:t>年</w:t>
      </w:r>
    </w:p>
    <w:p w14:paraId="4827BCCC"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163</w:t>
      </w:r>
      <w:r w:rsidRPr="006E3B9B">
        <w:rPr>
          <w:lang w:val="en-US" w:eastAsia="zh-CN"/>
        </w:rPr>
        <w:t>号决议</w:t>
      </w:r>
      <w:r w:rsidRPr="006E3B9B">
        <w:rPr>
          <w:lang w:val="en-US" w:eastAsia="zh-CN"/>
        </w:rPr>
        <w:tab/>
      </w:r>
      <w:r w:rsidRPr="006E3B9B">
        <w:rPr>
          <w:rFonts w:hint="eastAsia"/>
          <w:lang w:eastAsia="zh-CN"/>
        </w:rPr>
        <w:t>无国籍人员的就业</w:t>
      </w:r>
      <w:r w:rsidRPr="006E3B9B">
        <w:rPr>
          <w:lang w:val="en-US" w:eastAsia="zh-CN"/>
        </w:rPr>
        <w:tab/>
      </w:r>
      <w:r w:rsidR="00A45877">
        <w:rPr>
          <w:lang w:val="en-US" w:eastAsia="zh-CN"/>
        </w:rPr>
        <w:tab/>
      </w:r>
      <w:r w:rsidRPr="006E3B9B">
        <w:rPr>
          <w:lang w:val="en-US" w:eastAsia="zh-CN"/>
        </w:rPr>
        <w:t>1954</w:t>
      </w:r>
      <w:r w:rsidRPr="006E3B9B">
        <w:rPr>
          <w:rFonts w:hint="eastAsia"/>
          <w:lang w:val="en-US" w:eastAsia="zh-CN"/>
        </w:rPr>
        <w:t>年</w:t>
      </w:r>
    </w:p>
    <w:p w14:paraId="4827BCCD"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164</w:t>
      </w:r>
      <w:r w:rsidRPr="006E3B9B">
        <w:rPr>
          <w:lang w:val="en-US" w:eastAsia="zh-CN"/>
        </w:rPr>
        <w:t>号决议</w:t>
      </w:r>
      <w:r w:rsidRPr="006E3B9B">
        <w:rPr>
          <w:lang w:val="en-US" w:eastAsia="zh-CN"/>
        </w:rPr>
        <w:tab/>
      </w:r>
      <w:r w:rsidRPr="006E3B9B">
        <w:rPr>
          <w:rFonts w:hint="eastAsia"/>
          <w:lang w:eastAsia="zh-CN"/>
        </w:rPr>
        <w:t>国际频登会成员的回籍假</w:t>
      </w:r>
      <w:r w:rsidRPr="006E3B9B">
        <w:rPr>
          <w:lang w:val="en-US" w:eastAsia="zh-CN"/>
        </w:rPr>
        <w:tab/>
      </w:r>
      <w:r w:rsidR="00A45877">
        <w:rPr>
          <w:lang w:val="en-US" w:eastAsia="zh-CN"/>
        </w:rPr>
        <w:tab/>
      </w:r>
      <w:r w:rsidRPr="006E3B9B">
        <w:rPr>
          <w:lang w:val="en-US" w:eastAsia="zh-CN"/>
        </w:rPr>
        <w:t>1949</w:t>
      </w:r>
      <w:r w:rsidRPr="006E3B9B">
        <w:rPr>
          <w:rFonts w:hint="eastAsia"/>
          <w:lang w:val="en-US" w:eastAsia="zh-CN"/>
        </w:rPr>
        <w:t>年</w:t>
      </w:r>
    </w:p>
    <w:p w14:paraId="4827BCCE"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165</w:t>
      </w:r>
      <w:r w:rsidRPr="006E3B9B">
        <w:rPr>
          <w:lang w:val="en-US" w:eastAsia="zh-CN"/>
        </w:rPr>
        <w:t>号决议</w:t>
      </w:r>
      <w:r w:rsidRPr="006E3B9B">
        <w:rPr>
          <w:lang w:val="en-US" w:eastAsia="zh-CN"/>
        </w:rPr>
        <w:tab/>
      </w:r>
      <w:r w:rsidRPr="006E3B9B">
        <w:rPr>
          <w:rFonts w:hint="eastAsia"/>
          <w:lang w:eastAsia="zh-CN"/>
        </w:rPr>
        <w:t>关于世界暴风雨分布的气象信息</w:t>
      </w:r>
      <w:r w:rsidRPr="006E3B9B">
        <w:rPr>
          <w:lang w:val="en-US" w:eastAsia="zh-CN"/>
        </w:rPr>
        <w:tab/>
      </w:r>
      <w:r w:rsidR="00A45877">
        <w:rPr>
          <w:lang w:val="en-US" w:eastAsia="zh-CN"/>
        </w:rPr>
        <w:tab/>
      </w:r>
      <w:r w:rsidRPr="006E3B9B">
        <w:rPr>
          <w:lang w:val="en-US" w:eastAsia="zh-CN"/>
        </w:rPr>
        <w:t>1949</w:t>
      </w:r>
      <w:r w:rsidRPr="006E3B9B">
        <w:rPr>
          <w:rFonts w:hint="eastAsia"/>
          <w:lang w:val="en-US" w:eastAsia="zh-CN"/>
        </w:rPr>
        <w:t>年</w:t>
      </w:r>
    </w:p>
    <w:p w14:paraId="4827BCCF"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166</w:t>
      </w:r>
      <w:r w:rsidRPr="006E3B9B">
        <w:rPr>
          <w:lang w:val="en-US" w:eastAsia="zh-CN"/>
        </w:rPr>
        <w:t>号决议</w:t>
      </w:r>
      <w:r w:rsidRPr="006E3B9B">
        <w:rPr>
          <w:lang w:val="en-US" w:eastAsia="zh-CN"/>
        </w:rPr>
        <w:tab/>
      </w:r>
      <w:r w:rsidRPr="006E3B9B">
        <w:rPr>
          <w:rFonts w:hint="eastAsia"/>
          <w:lang w:eastAsia="zh-CN"/>
        </w:rPr>
        <w:t>以色列国高频广播的频率需求</w:t>
      </w:r>
      <w:r w:rsidRPr="006E3B9B">
        <w:rPr>
          <w:lang w:val="en-US" w:eastAsia="zh-CN"/>
        </w:rPr>
        <w:tab/>
      </w:r>
      <w:r w:rsidR="00A45877">
        <w:rPr>
          <w:lang w:val="en-US" w:eastAsia="zh-CN"/>
        </w:rPr>
        <w:tab/>
      </w:r>
      <w:r w:rsidRPr="006E3B9B">
        <w:rPr>
          <w:lang w:val="en-US" w:eastAsia="zh-CN"/>
        </w:rPr>
        <w:t>1949</w:t>
      </w:r>
      <w:r w:rsidRPr="006E3B9B">
        <w:rPr>
          <w:rFonts w:hint="eastAsia"/>
          <w:lang w:val="en-US" w:eastAsia="zh-CN"/>
        </w:rPr>
        <w:t>年</w:t>
      </w:r>
    </w:p>
    <w:p w14:paraId="4827BCD0"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167</w:t>
      </w:r>
      <w:r w:rsidRPr="006E3B9B">
        <w:rPr>
          <w:lang w:val="en-US" w:eastAsia="zh-CN"/>
        </w:rPr>
        <w:t>号决议</w:t>
      </w:r>
      <w:r w:rsidRPr="006E3B9B">
        <w:rPr>
          <w:lang w:val="en-US" w:eastAsia="zh-CN"/>
        </w:rPr>
        <w:tab/>
      </w:r>
      <w:r w:rsidRPr="006E3B9B">
        <w:rPr>
          <w:rFonts w:hint="eastAsia"/>
          <w:lang w:eastAsia="zh-CN"/>
        </w:rPr>
        <w:t>专利</w:t>
      </w:r>
      <w:r w:rsidRPr="006E3B9B">
        <w:rPr>
          <w:lang w:val="en-US" w:eastAsia="zh-CN"/>
        </w:rPr>
        <w:tab/>
      </w:r>
      <w:r w:rsidR="00A45877">
        <w:rPr>
          <w:lang w:val="en-US" w:eastAsia="zh-CN"/>
        </w:rPr>
        <w:tab/>
      </w:r>
      <w:r w:rsidRPr="006E3B9B">
        <w:rPr>
          <w:lang w:val="en-US" w:eastAsia="zh-CN"/>
        </w:rPr>
        <w:t>1949</w:t>
      </w:r>
      <w:r w:rsidRPr="006E3B9B">
        <w:rPr>
          <w:rFonts w:hint="eastAsia"/>
          <w:lang w:val="en-US" w:eastAsia="zh-CN"/>
        </w:rPr>
        <w:t>年</w:t>
      </w:r>
    </w:p>
    <w:p w14:paraId="4827BCD1" w14:textId="77777777" w:rsidR="006E3B9B" w:rsidRPr="006E3B9B" w:rsidRDefault="006E3B9B" w:rsidP="003E11A1">
      <w:pPr>
        <w:pStyle w:val="Reftitle"/>
        <w:rPr>
          <w:lang w:eastAsia="zh-CN"/>
        </w:rPr>
      </w:pPr>
      <w:r w:rsidRPr="006E3B9B">
        <w:rPr>
          <w:rFonts w:hint="eastAsia"/>
          <w:lang w:eastAsia="zh-CN"/>
        </w:rPr>
        <w:t>第</w:t>
      </w:r>
      <w:r w:rsidRPr="006E3B9B">
        <w:rPr>
          <w:lang w:eastAsia="zh-CN"/>
        </w:rPr>
        <w:t>5</w:t>
      </w:r>
      <w:r w:rsidRPr="006E3B9B">
        <w:rPr>
          <w:rFonts w:hint="eastAsia"/>
          <w:lang w:eastAsia="zh-CN"/>
        </w:rPr>
        <w:t>届会议</w:t>
      </w:r>
      <w:r w:rsidRPr="006E3B9B">
        <w:rPr>
          <w:lang w:eastAsia="zh-CN"/>
        </w:rPr>
        <w:t>（</w:t>
      </w:r>
      <w:r w:rsidRPr="006E3B9B">
        <w:rPr>
          <w:lang w:eastAsia="zh-CN"/>
        </w:rPr>
        <w:t>1950</w:t>
      </w:r>
      <w:r w:rsidRPr="006E3B9B">
        <w:rPr>
          <w:rFonts w:hint="eastAsia"/>
          <w:lang w:eastAsia="zh-CN"/>
        </w:rPr>
        <w:t>年</w:t>
      </w:r>
      <w:r w:rsidRPr="006E3B9B">
        <w:rPr>
          <w:lang w:eastAsia="zh-CN"/>
        </w:rPr>
        <w:t>9</w:t>
      </w:r>
      <w:r w:rsidRPr="006E3B9B">
        <w:rPr>
          <w:rFonts w:hint="eastAsia"/>
          <w:lang w:eastAsia="zh-CN"/>
        </w:rPr>
        <w:t>月</w:t>
      </w:r>
      <w:r w:rsidRPr="006E3B9B">
        <w:rPr>
          <w:lang w:eastAsia="zh-CN"/>
        </w:rPr>
        <w:t>-10</w:t>
      </w:r>
      <w:r w:rsidRPr="006E3B9B">
        <w:rPr>
          <w:rFonts w:hint="eastAsia"/>
          <w:lang w:eastAsia="zh-CN"/>
        </w:rPr>
        <w:t>月</w:t>
      </w:r>
      <w:r w:rsidRPr="006E3B9B">
        <w:rPr>
          <w:lang w:eastAsia="zh-CN"/>
        </w:rPr>
        <w:t>）</w:t>
      </w:r>
    </w:p>
    <w:p w14:paraId="4827BCD2"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168</w:t>
      </w:r>
      <w:r w:rsidRPr="006E3B9B">
        <w:rPr>
          <w:lang w:val="en-US" w:eastAsia="zh-CN"/>
        </w:rPr>
        <w:t>号决议</w:t>
      </w:r>
      <w:r w:rsidRPr="006E3B9B">
        <w:rPr>
          <w:lang w:val="en-US" w:eastAsia="zh-CN"/>
        </w:rPr>
        <w:tab/>
      </w:r>
      <w:r w:rsidRPr="006E3B9B">
        <w:rPr>
          <w:rFonts w:hint="eastAsia"/>
          <w:lang w:eastAsia="zh-CN"/>
        </w:rPr>
        <w:t>理事会编写的关于修正《公约》和《总规则》的提案</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CD3"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169</w:t>
      </w:r>
      <w:r w:rsidRPr="006E3B9B">
        <w:rPr>
          <w:lang w:val="en-US" w:eastAsia="zh-CN"/>
        </w:rPr>
        <w:t>号决议</w:t>
      </w:r>
      <w:r w:rsidRPr="006E3B9B">
        <w:rPr>
          <w:lang w:val="en-US" w:eastAsia="zh-CN"/>
        </w:rPr>
        <w:tab/>
      </w:r>
      <w:r w:rsidRPr="006E3B9B">
        <w:rPr>
          <w:rFonts w:hint="eastAsia"/>
          <w:lang w:val="en-US" w:eastAsia="zh-CN"/>
        </w:rPr>
        <w:t>《</w:t>
      </w:r>
      <w:r w:rsidRPr="006E3B9B">
        <w:rPr>
          <w:rFonts w:hint="eastAsia"/>
          <w:lang w:eastAsia="zh-CN"/>
        </w:rPr>
        <w:t>公约》第</w:t>
      </w:r>
      <w:r w:rsidRPr="006E3B9B">
        <w:rPr>
          <w:lang w:eastAsia="zh-CN"/>
        </w:rPr>
        <w:t>1</w:t>
      </w:r>
      <w:r w:rsidRPr="006E3B9B">
        <w:rPr>
          <w:rFonts w:hint="eastAsia"/>
          <w:lang w:eastAsia="zh-CN"/>
        </w:rPr>
        <w:t>条的实施</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CD4"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170</w:t>
      </w:r>
      <w:r w:rsidRPr="006E3B9B">
        <w:rPr>
          <w:lang w:val="en-US" w:eastAsia="zh-CN"/>
        </w:rPr>
        <w:t>号决议</w:t>
      </w:r>
      <w:r w:rsidRPr="006E3B9B">
        <w:rPr>
          <w:lang w:val="en-US" w:eastAsia="zh-CN"/>
        </w:rPr>
        <w:tab/>
      </w:r>
      <w:r w:rsidRPr="006E3B9B">
        <w:rPr>
          <w:rFonts w:hint="eastAsia"/>
          <w:lang w:eastAsia="zh-CN"/>
        </w:rPr>
        <w:t>由一发出邀请的政府召集的大会或会议</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CD5"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171</w:t>
      </w:r>
      <w:r w:rsidRPr="006E3B9B">
        <w:rPr>
          <w:lang w:val="en-US" w:eastAsia="zh-CN"/>
        </w:rPr>
        <w:t>号决议</w:t>
      </w:r>
      <w:r w:rsidRPr="006E3B9B">
        <w:rPr>
          <w:lang w:val="en-US" w:eastAsia="zh-CN"/>
        </w:rPr>
        <w:tab/>
      </w:r>
      <w:r w:rsidRPr="006E3B9B">
        <w:rPr>
          <w:lang w:eastAsia="zh-CN"/>
        </w:rPr>
        <w:t>国际咨询委员会</w:t>
      </w:r>
      <w:r w:rsidRPr="006E3B9B">
        <w:rPr>
          <w:rFonts w:hint="eastAsia"/>
          <w:lang w:eastAsia="zh-CN"/>
        </w:rPr>
        <w:t>工作文件的分发</w:t>
      </w:r>
      <w:r w:rsidRPr="006E3B9B">
        <w:rPr>
          <w:lang w:val="en-US" w:eastAsia="zh-CN"/>
        </w:rPr>
        <w:tab/>
      </w:r>
      <w:r w:rsidR="00A45877">
        <w:rPr>
          <w:lang w:val="en-US" w:eastAsia="zh-CN"/>
        </w:rPr>
        <w:tab/>
      </w:r>
      <w:r w:rsidRPr="006E3B9B">
        <w:rPr>
          <w:lang w:val="en-US" w:eastAsia="zh-CN"/>
        </w:rPr>
        <w:t>1999</w:t>
      </w:r>
      <w:r w:rsidRPr="006E3B9B">
        <w:rPr>
          <w:rFonts w:hint="eastAsia"/>
          <w:lang w:val="en-US" w:eastAsia="zh-CN"/>
        </w:rPr>
        <w:t>年</w:t>
      </w:r>
    </w:p>
    <w:p w14:paraId="4827BCD6"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172</w:t>
      </w:r>
      <w:r w:rsidRPr="006E3B9B">
        <w:rPr>
          <w:lang w:val="en-US" w:eastAsia="zh-CN"/>
        </w:rPr>
        <w:t>号决议</w:t>
      </w:r>
      <w:r w:rsidRPr="006E3B9B">
        <w:rPr>
          <w:lang w:val="en-US" w:eastAsia="zh-CN"/>
        </w:rPr>
        <w:tab/>
      </w:r>
      <w:r w:rsidRPr="006E3B9B">
        <w:rPr>
          <w:lang w:eastAsia="zh-CN"/>
        </w:rPr>
        <w:t>国际</w:t>
      </w:r>
      <w:r w:rsidRPr="006E3B9B">
        <w:rPr>
          <w:rFonts w:hint="eastAsia"/>
          <w:lang w:eastAsia="zh-CN"/>
        </w:rPr>
        <w:t>电报</w:t>
      </w:r>
      <w:r w:rsidRPr="006E3B9B">
        <w:rPr>
          <w:lang w:eastAsia="zh-CN"/>
        </w:rPr>
        <w:t>咨询委员会</w:t>
      </w:r>
      <w:r w:rsidRPr="006E3B9B">
        <w:rPr>
          <w:rFonts w:hint="eastAsia"/>
          <w:lang w:eastAsia="zh-CN"/>
        </w:rPr>
        <w:t>的运作</w:t>
      </w:r>
      <w:r w:rsidRPr="006E3B9B">
        <w:rPr>
          <w:lang w:val="en-US" w:eastAsia="zh-CN"/>
        </w:rPr>
        <w:tab/>
      </w:r>
      <w:r w:rsidR="00A45877">
        <w:rPr>
          <w:lang w:val="en-US" w:eastAsia="zh-CN"/>
        </w:rPr>
        <w:tab/>
      </w:r>
      <w:r w:rsidRPr="006E3B9B">
        <w:rPr>
          <w:lang w:val="en-US" w:eastAsia="zh-CN"/>
        </w:rPr>
        <w:t>1954</w:t>
      </w:r>
      <w:r w:rsidRPr="006E3B9B">
        <w:rPr>
          <w:rFonts w:hint="eastAsia"/>
          <w:lang w:val="en-US" w:eastAsia="zh-CN"/>
        </w:rPr>
        <w:t>年</w:t>
      </w:r>
    </w:p>
    <w:p w14:paraId="4827BCD7"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173</w:t>
      </w:r>
      <w:r w:rsidRPr="006E3B9B">
        <w:rPr>
          <w:lang w:val="en-US" w:eastAsia="zh-CN"/>
        </w:rPr>
        <w:t>号决议</w:t>
      </w:r>
      <w:r w:rsidRPr="006E3B9B">
        <w:rPr>
          <w:lang w:val="en-US" w:eastAsia="zh-CN"/>
        </w:rPr>
        <w:tab/>
      </w:r>
      <w:r w:rsidRPr="006E3B9B">
        <w:rPr>
          <w:lang w:eastAsia="zh-CN"/>
        </w:rPr>
        <w:t>国际咨询委员会</w:t>
      </w:r>
      <w:r w:rsidRPr="006E3B9B">
        <w:rPr>
          <w:rFonts w:hint="eastAsia"/>
          <w:lang w:eastAsia="zh-CN"/>
        </w:rPr>
        <w:t>文件的出版</w:t>
      </w:r>
      <w:r w:rsidRPr="006E3B9B">
        <w:rPr>
          <w:lang w:val="en-US" w:eastAsia="zh-CN"/>
        </w:rPr>
        <w:tab/>
      </w:r>
      <w:r w:rsidR="00A45877">
        <w:rPr>
          <w:lang w:val="en-US" w:eastAsia="zh-CN"/>
        </w:rPr>
        <w:tab/>
      </w:r>
      <w:r w:rsidRPr="006E3B9B">
        <w:rPr>
          <w:lang w:val="en-US" w:eastAsia="zh-CN"/>
        </w:rPr>
        <w:t>1954</w:t>
      </w:r>
      <w:r w:rsidRPr="006E3B9B">
        <w:rPr>
          <w:rFonts w:hint="eastAsia"/>
          <w:lang w:val="en-US" w:eastAsia="zh-CN"/>
        </w:rPr>
        <w:t>年</w:t>
      </w:r>
    </w:p>
    <w:p w14:paraId="4827BCD8"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174</w:t>
      </w:r>
      <w:r w:rsidRPr="006E3B9B">
        <w:rPr>
          <w:lang w:val="en-US" w:eastAsia="zh-CN"/>
        </w:rPr>
        <w:t>号决议</w:t>
      </w:r>
      <w:r w:rsidRPr="006E3B9B">
        <w:rPr>
          <w:lang w:val="en-US" w:eastAsia="zh-CN"/>
        </w:rPr>
        <w:tab/>
      </w:r>
      <w:r w:rsidRPr="006E3B9B">
        <w:rPr>
          <w:rFonts w:hint="eastAsia"/>
          <w:lang w:eastAsia="zh-CN"/>
        </w:rPr>
        <w:t>CCIR</w:t>
      </w:r>
      <w:r w:rsidRPr="006E3B9B">
        <w:rPr>
          <w:rFonts w:hint="eastAsia"/>
          <w:lang w:eastAsia="zh-CN"/>
        </w:rPr>
        <w:t>对一个新课题（第</w:t>
      </w:r>
      <w:r w:rsidRPr="006E3B9B">
        <w:rPr>
          <w:lang w:eastAsia="zh-CN"/>
        </w:rPr>
        <w:t>44</w:t>
      </w:r>
      <w:r w:rsidRPr="006E3B9B">
        <w:rPr>
          <w:rFonts w:hint="eastAsia"/>
          <w:lang w:eastAsia="zh-CN"/>
        </w:rPr>
        <w:t>号）的研究</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CD9"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175</w:t>
      </w:r>
      <w:r w:rsidRPr="006E3B9B">
        <w:rPr>
          <w:lang w:val="en-US" w:eastAsia="zh-CN"/>
        </w:rPr>
        <w:t>号决议</w:t>
      </w:r>
      <w:r w:rsidRPr="006E3B9B">
        <w:rPr>
          <w:lang w:val="en-US" w:eastAsia="zh-CN"/>
        </w:rPr>
        <w:tab/>
      </w:r>
      <w:r w:rsidRPr="006E3B9B">
        <w:rPr>
          <w:rFonts w:hint="eastAsia"/>
          <w:lang w:val="en-US" w:eastAsia="zh-CN"/>
        </w:rPr>
        <w:t>《</w:t>
      </w:r>
      <w:r w:rsidRPr="006E3B9B">
        <w:rPr>
          <w:rFonts w:hint="eastAsia"/>
          <w:lang w:eastAsia="zh-CN"/>
        </w:rPr>
        <w:t>国际电信词汇》的编写</w:t>
      </w:r>
      <w:r w:rsidRPr="006E3B9B">
        <w:rPr>
          <w:lang w:val="en-US" w:eastAsia="zh-CN"/>
        </w:rPr>
        <w:tab/>
      </w:r>
      <w:r w:rsidR="00A45877">
        <w:rPr>
          <w:lang w:val="en-US" w:eastAsia="zh-CN"/>
        </w:rPr>
        <w:tab/>
      </w:r>
      <w:r w:rsidRPr="006E3B9B">
        <w:rPr>
          <w:lang w:val="en-US" w:eastAsia="zh-CN"/>
        </w:rPr>
        <w:t>1951</w:t>
      </w:r>
      <w:r w:rsidRPr="006E3B9B">
        <w:rPr>
          <w:rFonts w:hint="eastAsia"/>
          <w:lang w:val="en-US" w:eastAsia="zh-CN"/>
        </w:rPr>
        <w:t>年</w:t>
      </w:r>
    </w:p>
    <w:p w14:paraId="4827BCDA"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176</w:t>
      </w:r>
      <w:r w:rsidRPr="006E3B9B">
        <w:rPr>
          <w:lang w:val="en-US" w:eastAsia="zh-CN"/>
        </w:rPr>
        <w:t>号决议</w:t>
      </w:r>
      <w:r w:rsidRPr="006E3B9B">
        <w:rPr>
          <w:lang w:val="en-US" w:eastAsia="zh-CN"/>
        </w:rPr>
        <w:tab/>
      </w:r>
      <w:r w:rsidRPr="006E3B9B">
        <w:rPr>
          <w:rFonts w:hint="eastAsia"/>
          <w:lang w:eastAsia="zh-CN"/>
        </w:rPr>
        <w:t>总秘书处的机构设置</w:t>
      </w:r>
      <w:r w:rsidRPr="006E3B9B">
        <w:rPr>
          <w:lang w:val="en-US" w:eastAsia="zh-CN"/>
        </w:rPr>
        <w:tab/>
      </w:r>
      <w:r w:rsidR="00A45877">
        <w:rPr>
          <w:lang w:val="en-US" w:eastAsia="zh-CN"/>
        </w:rPr>
        <w:tab/>
      </w:r>
      <w:r w:rsidRPr="006E3B9B">
        <w:rPr>
          <w:lang w:val="en-US" w:eastAsia="zh-CN"/>
        </w:rPr>
        <w:t>1951</w:t>
      </w:r>
      <w:r w:rsidRPr="006E3B9B">
        <w:rPr>
          <w:rFonts w:hint="eastAsia"/>
          <w:lang w:val="en-US" w:eastAsia="zh-CN"/>
        </w:rPr>
        <w:t>年</w:t>
      </w:r>
    </w:p>
    <w:p w14:paraId="4827BCDB"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177</w:t>
      </w:r>
      <w:r w:rsidRPr="006E3B9B">
        <w:rPr>
          <w:lang w:val="en-US" w:eastAsia="zh-CN"/>
        </w:rPr>
        <w:t>号决议</w:t>
      </w:r>
      <w:r w:rsidRPr="006E3B9B">
        <w:rPr>
          <w:lang w:val="en-US" w:eastAsia="zh-CN"/>
        </w:rPr>
        <w:tab/>
      </w:r>
      <w:r w:rsidRPr="006E3B9B">
        <w:rPr>
          <w:rFonts w:hint="eastAsia"/>
          <w:lang w:eastAsia="zh-CN"/>
        </w:rPr>
        <w:t>发给主管部门的通函电报</w:t>
      </w:r>
      <w:r w:rsidRPr="006E3B9B">
        <w:rPr>
          <w:lang w:val="en-US" w:eastAsia="zh-CN"/>
        </w:rPr>
        <w:tab/>
      </w:r>
      <w:r w:rsidR="00A45877">
        <w:rPr>
          <w:lang w:val="en-US" w:eastAsia="zh-CN"/>
        </w:rPr>
        <w:tab/>
      </w:r>
      <w:r w:rsidRPr="006E3B9B">
        <w:rPr>
          <w:lang w:val="en-US" w:eastAsia="zh-CN"/>
        </w:rPr>
        <w:t>6.1</w:t>
      </w:r>
    </w:p>
    <w:p w14:paraId="4827BCDC"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178</w:t>
      </w:r>
      <w:r w:rsidRPr="006E3B9B">
        <w:rPr>
          <w:lang w:val="en-US" w:eastAsia="zh-CN"/>
        </w:rPr>
        <w:t>号决议</w:t>
      </w:r>
      <w:r w:rsidRPr="006E3B9B">
        <w:rPr>
          <w:lang w:val="en-US" w:eastAsia="zh-CN"/>
        </w:rPr>
        <w:tab/>
      </w:r>
      <w:r w:rsidRPr="006E3B9B">
        <w:rPr>
          <w:rFonts w:hint="eastAsia"/>
          <w:lang w:eastAsia="zh-CN"/>
        </w:rPr>
        <w:t>召集非常大会和变更大会时间或地点的程序</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CDD"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179</w:t>
      </w:r>
      <w:r w:rsidRPr="006E3B9B">
        <w:rPr>
          <w:lang w:val="en-US" w:eastAsia="zh-CN"/>
        </w:rPr>
        <w:t>号决议</w:t>
      </w:r>
      <w:r w:rsidRPr="006E3B9B">
        <w:rPr>
          <w:lang w:val="en-US" w:eastAsia="zh-CN"/>
        </w:rPr>
        <w:tab/>
      </w:r>
      <w:r w:rsidRPr="006E3B9B">
        <w:rPr>
          <w:rFonts w:hint="eastAsia"/>
          <w:lang w:val="en-US" w:eastAsia="zh-CN"/>
        </w:rPr>
        <w:t>《</w:t>
      </w:r>
      <w:r w:rsidRPr="006E3B9B">
        <w:rPr>
          <w:rFonts w:hint="eastAsia"/>
          <w:lang w:eastAsia="zh-CN"/>
        </w:rPr>
        <w:t>行政大会议事规则》</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CDE"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180</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1950</w:t>
      </w:r>
      <w:r w:rsidRPr="006E3B9B">
        <w:rPr>
          <w:rFonts w:hint="eastAsia"/>
          <w:lang w:eastAsia="zh-CN"/>
        </w:rPr>
        <w:t>年和</w:t>
      </w:r>
      <w:r w:rsidRPr="006E3B9B">
        <w:rPr>
          <w:lang w:eastAsia="zh-CN"/>
        </w:rPr>
        <w:t>1951</w:t>
      </w:r>
      <w:r w:rsidRPr="006E3B9B">
        <w:rPr>
          <w:rFonts w:hint="eastAsia"/>
          <w:lang w:eastAsia="zh-CN"/>
        </w:rPr>
        <w:t>年预算</w:t>
      </w:r>
      <w:r w:rsidRPr="006E3B9B">
        <w:rPr>
          <w:lang w:val="en-US" w:eastAsia="zh-CN"/>
        </w:rPr>
        <w:tab/>
      </w:r>
      <w:r w:rsidR="00A45877">
        <w:rPr>
          <w:lang w:val="en-US" w:eastAsia="zh-CN"/>
        </w:rPr>
        <w:tab/>
      </w:r>
      <w:r w:rsidRPr="006E3B9B">
        <w:rPr>
          <w:lang w:val="en-US" w:eastAsia="zh-CN"/>
        </w:rPr>
        <w:t>1950</w:t>
      </w:r>
      <w:r w:rsidRPr="006E3B9B">
        <w:rPr>
          <w:rFonts w:hint="eastAsia"/>
          <w:lang w:val="en-US" w:eastAsia="zh-CN"/>
        </w:rPr>
        <w:t>年</w:t>
      </w:r>
    </w:p>
    <w:p w14:paraId="4827BCDF"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181</w:t>
      </w:r>
      <w:r w:rsidRPr="006E3B9B">
        <w:rPr>
          <w:lang w:val="en-US" w:eastAsia="zh-CN"/>
        </w:rPr>
        <w:t>号决议</w:t>
      </w:r>
      <w:r w:rsidRPr="006E3B9B">
        <w:rPr>
          <w:lang w:val="en-US" w:eastAsia="zh-CN"/>
        </w:rPr>
        <w:tab/>
      </w:r>
      <w:r w:rsidRPr="006E3B9B">
        <w:rPr>
          <w:rFonts w:hint="eastAsia"/>
          <w:lang w:eastAsia="zh-CN"/>
        </w:rPr>
        <w:t>打印材料的补充预算</w:t>
      </w:r>
      <w:r w:rsidRPr="006E3B9B">
        <w:rPr>
          <w:lang w:val="en-US" w:eastAsia="zh-CN"/>
        </w:rPr>
        <w:tab/>
      </w:r>
      <w:r w:rsidR="00A45877">
        <w:rPr>
          <w:lang w:val="en-US" w:eastAsia="zh-CN"/>
        </w:rPr>
        <w:tab/>
      </w:r>
      <w:r w:rsidRPr="006E3B9B">
        <w:rPr>
          <w:lang w:val="en-US" w:eastAsia="zh-CN"/>
        </w:rPr>
        <w:t>1950</w:t>
      </w:r>
      <w:r w:rsidRPr="006E3B9B">
        <w:rPr>
          <w:rFonts w:hint="eastAsia"/>
          <w:lang w:val="en-US" w:eastAsia="zh-CN"/>
        </w:rPr>
        <w:t>年</w:t>
      </w:r>
    </w:p>
    <w:p w14:paraId="4827BCE0"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182</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1949</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1</w:t>
      </w:r>
      <w:r w:rsidRPr="006E3B9B">
        <w:rPr>
          <w:rFonts w:hint="eastAsia"/>
          <w:lang w:eastAsia="zh-CN"/>
        </w:rPr>
        <w:t>日至</w:t>
      </w:r>
      <w:r w:rsidRPr="006E3B9B">
        <w:rPr>
          <w:lang w:eastAsia="zh-CN"/>
        </w:rPr>
        <w:t>1950</w:t>
      </w:r>
      <w:r w:rsidRPr="006E3B9B">
        <w:rPr>
          <w:rFonts w:hint="eastAsia"/>
          <w:lang w:eastAsia="zh-CN"/>
        </w:rPr>
        <w:t>年</w:t>
      </w:r>
      <w:r w:rsidRPr="006E3B9B">
        <w:rPr>
          <w:lang w:eastAsia="zh-CN"/>
        </w:rPr>
        <w:t>7</w:t>
      </w:r>
      <w:r w:rsidRPr="006E3B9B">
        <w:rPr>
          <w:rFonts w:hint="eastAsia"/>
          <w:lang w:eastAsia="zh-CN"/>
        </w:rPr>
        <w:t>月</w:t>
      </w:r>
      <w:r w:rsidRPr="006E3B9B">
        <w:rPr>
          <w:lang w:eastAsia="zh-CN"/>
        </w:rPr>
        <w:t>31</w:t>
      </w:r>
      <w:r w:rsidRPr="006E3B9B">
        <w:rPr>
          <w:rFonts w:hint="eastAsia"/>
          <w:lang w:eastAsia="zh-CN"/>
        </w:rPr>
        <w:t>日账目的审计</w:t>
      </w:r>
      <w:r w:rsidRPr="006E3B9B">
        <w:rPr>
          <w:lang w:val="en-US" w:eastAsia="zh-CN"/>
        </w:rPr>
        <w:tab/>
      </w:r>
      <w:r w:rsidR="00A45877">
        <w:rPr>
          <w:lang w:val="en-US" w:eastAsia="zh-CN"/>
        </w:rPr>
        <w:tab/>
      </w:r>
      <w:r w:rsidRPr="006E3B9B">
        <w:rPr>
          <w:lang w:val="en-US" w:eastAsia="zh-CN"/>
        </w:rPr>
        <w:t>1950</w:t>
      </w:r>
      <w:r w:rsidRPr="006E3B9B">
        <w:rPr>
          <w:rFonts w:hint="eastAsia"/>
          <w:lang w:val="en-US" w:eastAsia="zh-CN"/>
        </w:rPr>
        <w:t>年</w:t>
      </w:r>
    </w:p>
    <w:p w14:paraId="4827BCE1"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183</w:t>
      </w:r>
      <w:r w:rsidRPr="006E3B9B">
        <w:rPr>
          <w:lang w:val="en-US" w:eastAsia="zh-CN"/>
        </w:rPr>
        <w:t>号决议</w:t>
      </w:r>
      <w:r w:rsidRPr="006E3B9B">
        <w:rPr>
          <w:lang w:val="en-US" w:eastAsia="zh-CN"/>
        </w:rPr>
        <w:tab/>
      </w:r>
      <w:r w:rsidRPr="006E3B9B">
        <w:rPr>
          <w:rFonts w:hint="eastAsia"/>
          <w:lang w:eastAsia="zh-CN"/>
        </w:rPr>
        <w:t>财务控制委员会的设立</w:t>
      </w:r>
      <w:r w:rsidRPr="006E3B9B">
        <w:rPr>
          <w:lang w:val="en-US" w:eastAsia="zh-CN"/>
        </w:rPr>
        <w:tab/>
      </w:r>
      <w:r w:rsidR="00A45877">
        <w:rPr>
          <w:lang w:val="en-US" w:eastAsia="zh-CN"/>
        </w:rPr>
        <w:tab/>
      </w:r>
      <w:r w:rsidRPr="006E3B9B">
        <w:rPr>
          <w:lang w:val="en-US" w:eastAsia="zh-CN"/>
        </w:rPr>
        <w:t>1950</w:t>
      </w:r>
      <w:r w:rsidRPr="006E3B9B">
        <w:rPr>
          <w:rFonts w:hint="eastAsia"/>
          <w:lang w:val="en-US" w:eastAsia="zh-CN"/>
        </w:rPr>
        <w:t>年</w:t>
      </w:r>
    </w:p>
    <w:p w14:paraId="4827BCE2"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184</w:t>
      </w:r>
      <w:r w:rsidRPr="006E3B9B">
        <w:rPr>
          <w:lang w:val="en-US" w:eastAsia="zh-CN"/>
        </w:rPr>
        <w:t>号决议</w:t>
      </w:r>
      <w:r w:rsidRPr="006E3B9B">
        <w:rPr>
          <w:lang w:val="en-US" w:eastAsia="zh-CN"/>
        </w:rPr>
        <w:tab/>
      </w:r>
      <w:r w:rsidRPr="006E3B9B">
        <w:rPr>
          <w:rFonts w:hint="eastAsia"/>
          <w:lang w:eastAsia="zh-CN"/>
        </w:rPr>
        <w:t>某些国际组织参加</w:t>
      </w:r>
      <w:r w:rsidRPr="006E3B9B">
        <w:rPr>
          <w:lang w:eastAsia="zh-CN"/>
        </w:rPr>
        <w:t>国际咨询委员会</w:t>
      </w:r>
      <w:r w:rsidRPr="006E3B9B">
        <w:rPr>
          <w:rFonts w:hint="eastAsia"/>
          <w:lang w:eastAsia="zh-CN"/>
        </w:rPr>
        <w:t>会议的财务条件</w:t>
      </w:r>
      <w:r w:rsidRPr="006E3B9B">
        <w:rPr>
          <w:lang w:val="en-US" w:eastAsia="zh-CN"/>
        </w:rPr>
        <w:tab/>
      </w:r>
      <w:r w:rsidR="00A45877">
        <w:rPr>
          <w:lang w:val="en-US" w:eastAsia="zh-CN"/>
        </w:rPr>
        <w:tab/>
      </w:r>
      <w:r w:rsidRPr="006E3B9B">
        <w:rPr>
          <w:lang w:val="en-US" w:eastAsia="zh-CN"/>
        </w:rPr>
        <w:t>1950</w:t>
      </w:r>
      <w:r w:rsidRPr="006E3B9B">
        <w:rPr>
          <w:rFonts w:hint="eastAsia"/>
          <w:lang w:val="en-US" w:eastAsia="zh-CN"/>
        </w:rPr>
        <w:t>年</w:t>
      </w:r>
    </w:p>
    <w:p w14:paraId="4827BCE3"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185</w:t>
      </w:r>
      <w:r w:rsidRPr="006E3B9B">
        <w:rPr>
          <w:lang w:val="en-US" w:eastAsia="zh-CN"/>
        </w:rPr>
        <w:t>号决议</w:t>
      </w:r>
      <w:r w:rsidRPr="006E3B9B">
        <w:rPr>
          <w:lang w:val="en-US" w:eastAsia="zh-CN"/>
        </w:rPr>
        <w:tab/>
      </w:r>
      <w:r w:rsidRPr="006E3B9B">
        <w:rPr>
          <w:rFonts w:hint="eastAsia"/>
          <w:lang w:eastAsia="zh-CN"/>
        </w:rPr>
        <w:t>国际航海无线电协会为支付</w:t>
      </w:r>
      <w:r w:rsidRPr="006E3B9B">
        <w:rPr>
          <w:rFonts w:hint="eastAsia"/>
          <w:lang w:eastAsia="zh-CN"/>
        </w:rPr>
        <w:t xml:space="preserve">CCIR </w:t>
      </w:r>
      <w:r w:rsidRPr="006E3B9B">
        <w:rPr>
          <w:lang w:eastAsia="zh-CN"/>
        </w:rPr>
        <w:t>1948</w:t>
      </w:r>
      <w:r w:rsidRPr="006E3B9B">
        <w:rPr>
          <w:rFonts w:hint="eastAsia"/>
          <w:lang w:eastAsia="zh-CN"/>
        </w:rPr>
        <w:t>年斯德哥尔摩会议和哥本哈根大会的费用</w:t>
      </w:r>
      <w:r w:rsidRPr="006E3B9B">
        <w:rPr>
          <w:lang w:eastAsia="zh-CN"/>
        </w:rPr>
        <w:br/>
      </w:r>
      <w:r w:rsidRPr="006E3B9B">
        <w:rPr>
          <w:rFonts w:hint="eastAsia"/>
          <w:lang w:eastAsia="zh-CN"/>
        </w:rPr>
        <w:t>提供的资金</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CE4"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186</w:t>
      </w:r>
      <w:r w:rsidRPr="006E3B9B">
        <w:rPr>
          <w:lang w:val="en-US" w:eastAsia="zh-CN"/>
        </w:rPr>
        <w:t>号决议</w:t>
      </w:r>
      <w:r w:rsidRPr="006E3B9B">
        <w:rPr>
          <w:lang w:val="en-US" w:eastAsia="zh-CN"/>
        </w:rPr>
        <w:tab/>
      </w:r>
      <w:r w:rsidRPr="006E3B9B">
        <w:rPr>
          <w:rFonts w:hint="eastAsia"/>
          <w:lang w:eastAsia="zh-CN"/>
        </w:rPr>
        <w:t>国际广播联盟为支付</w:t>
      </w:r>
      <w:r w:rsidRPr="006E3B9B">
        <w:rPr>
          <w:lang w:eastAsia="zh-CN"/>
        </w:rPr>
        <w:t>CCIR</w:t>
      </w:r>
      <w:r w:rsidRPr="006E3B9B">
        <w:rPr>
          <w:rFonts w:hint="eastAsia"/>
          <w:lang w:eastAsia="zh-CN"/>
        </w:rPr>
        <w:t xml:space="preserve"> </w:t>
      </w:r>
      <w:r w:rsidRPr="006E3B9B">
        <w:rPr>
          <w:lang w:eastAsia="zh-CN"/>
        </w:rPr>
        <w:t>1948</w:t>
      </w:r>
      <w:r w:rsidRPr="006E3B9B">
        <w:rPr>
          <w:rFonts w:hint="eastAsia"/>
          <w:lang w:eastAsia="zh-CN"/>
        </w:rPr>
        <w:t>年斯德哥尔摩会议分摊的费用</w:t>
      </w:r>
      <w:r w:rsidRPr="006E3B9B">
        <w:rPr>
          <w:lang w:val="en-US" w:eastAsia="zh-CN"/>
        </w:rPr>
        <w:tab/>
      </w:r>
      <w:r w:rsidR="00A45877">
        <w:rPr>
          <w:lang w:val="en-US" w:eastAsia="zh-CN"/>
        </w:rPr>
        <w:tab/>
      </w:r>
      <w:r w:rsidRPr="006E3B9B">
        <w:rPr>
          <w:lang w:val="en-US" w:eastAsia="zh-CN"/>
        </w:rPr>
        <w:t>1950</w:t>
      </w:r>
      <w:r w:rsidRPr="006E3B9B">
        <w:rPr>
          <w:rFonts w:hint="eastAsia"/>
          <w:lang w:val="en-US" w:eastAsia="zh-CN"/>
        </w:rPr>
        <w:t>年</w:t>
      </w:r>
    </w:p>
    <w:p w14:paraId="4827BCE5"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187</w:t>
      </w:r>
      <w:r w:rsidRPr="006E3B9B">
        <w:rPr>
          <w:lang w:val="en-US" w:eastAsia="zh-CN"/>
        </w:rPr>
        <w:t>号决议</w:t>
      </w:r>
      <w:r w:rsidRPr="006E3B9B">
        <w:rPr>
          <w:lang w:val="en-US" w:eastAsia="zh-CN"/>
        </w:rPr>
        <w:tab/>
      </w:r>
      <w:r w:rsidRPr="006E3B9B">
        <w:rPr>
          <w:rFonts w:hint="eastAsia"/>
          <w:lang w:val="en-US" w:eastAsia="zh-CN"/>
        </w:rPr>
        <w:t>免除欧广联（</w:t>
      </w:r>
      <w:r w:rsidRPr="006E3B9B">
        <w:rPr>
          <w:lang w:eastAsia="zh-CN"/>
        </w:rPr>
        <w:t>EBU</w:t>
      </w:r>
      <w:r w:rsidRPr="006E3B9B">
        <w:rPr>
          <w:rFonts w:hint="eastAsia"/>
          <w:lang w:eastAsia="zh-CN"/>
        </w:rPr>
        <w:t>）分摊佛罗伦萨</w:t>
      </w:r>
      <w:r w:rsidRPr="006E3B9B">
        <w:rPr>
          <w:lang w:eastAsia="zh-CN"/>
        </w:rPr>
        <w:t>/</w:t>
      </w:r>
      <w:r w:rsidRPr="006E3B9B">
        <w:rPr>
          <w:rFonts w:hint="eastAsia"/>
          <w:lang w:eastAsia="zh-CN"/>
        </w:rPr>
        <w:t>拉巴洛高频广播大会费用的义务</w:t>
      </w:r>
      <w:r w:rsidR="00A45877">
        <w:rPr>
          <w:lang w:eastAsia="zh-CN"/>
        </w:rPr>
        <w:tab/>
      </w:r>
      <w:r w:rsidRPr="006E3B9B">
        <w:rPr>
          <w:lang w:val="en-US" w:eastAsia="zh-CN"/>
        </w:rPr>
        <w:tab/>
        <w:t>1950</w:t>
      </w:r>
      <w:r w:rsidRPr="006E3B9B">
        <w:rPr>
          <w:rFonts w:hint="eastAsia"/>
          <w:lang w:val="en-US" w:eastAsia="zh-CN"/>
        </w:rPr>
        <w:t>年</w:t>
      </w:r>
    </w:p>
    <w:p w14:paraId="4827BCE6"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188</w:t>
      </w:r>
      <w:r w:rsidRPr="006E3B9B">
        <w:rPr>
          <w:lang w:val="en-US" w:eastAsia="zh-CN"/>
        </w:rPr>
        <w:t>号决议</w:t>
      </w:r>
      <w:r w:rsidRPr="006E3B9B">
        <w:rPr>
          <w:lang w:val="en-US" w:eastAsia="zh-CN"/>
        </w:rPr>
        <w:tab/>
      </w:r>
      <w:r w:rsidRPr="006E3B9B">
        <w:rPr>
          <w:rFonts w:hint="eastAsia"/>
          <w:lang w:eastAsia="zh-CN"/>
        </w:rPr>
        <w:t>佛罗伦萨</w:t>
      </w:r>
      <w:r w:rsidRPr="006E3B9B">
        <w:rPr>
          <w:lang w:eastAsia="zh-CN"/>
        </w:rPr>
        <w:t>/</w:t>
      </w:r>
      <w:r w:rsidRPr="006E3B9B">
        <w:rPr>
          <w:rFonts w:hint="eastAsia"/>
          <w:lang w:eastAsia="zh-CN"/>
        </w:rPr>
        <w:t>拉巴洛大会费用的分摊</w:t>
      </w:r>
      <w:r w:rsidRPr="006E3B9B">
        <w:rPr>
          <w:lang w:val="en-US" w:eastAsia="zh-CN"/>
        </w:rPr>
        <w:tab/>
      </w:r>
      <w:r w:rsidR="00A45877">
        <w:rPr>
          <w:lang w:val="en-US" w:eastAsia="zh-CN"/>
        </w:rPr>
        <w:tab/>
      </w:r>
      <w:r w:rsidRPr="006E3B9B">
        <w:rPr>
          <w:lang w:val="en-US" w:eastAsia="zh-CN"/>
        </w:rPr>
        <w:t>1950</w:t>
      </w:r>
      <w:r w:rsidRPr="006E3B9B">
        <w:rPr>
          <w:rFonts w:hint="eastAsia"/>
          <w:lang w:val="en-US" w:eastAsia="zh-CN"/>
        </w:rPr>
        <w:t>年</w:t>
      </w:r>
    </w:p>
    <w:p w14:paraId="4827BCE7"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189</w:t>
      </w:r>
      <w:r w:rsidRPr="006E3B9B">
        <w:rPr>
          <w:lang w:val="en-US" w:eastAsia="zh-CN"/>
        </w:rPr>
        <w:t>号决议</w:t>
      </w:r>
      <w:r w:rsidRPr="006E3B9B">
        <w:rPr>
          <w:lang w:val="en-US" w:eastAsia="zh-CN"/>
        </w:rPr>
        <w:tab/>
      </w:r>
      <w:r w:rsidRPr="006E3B9B">
        <w:rPr>
          <w:rFonts w:hint="eastAsia"/>
          <w:lang w:eastAsia="zh-CN"/>
        </w:rPr>
        <w:t>埃塞俄比亚要求降低会费等级</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CE8" w14:textId="77777777" w:rsidR="00BF1CF1" w:rsidRDefault="00BF1CF1">
      <w:pPr>
        <w:tabs>
          <w:tab w:val="clear" w:pos="794"/>
          <w:tab w:val="clear" w:pos="1191"/>
          <w:tab w:val="clear" w:pos="1588"/>
          <w:tab w:val="clear" w:pos="1985"/>
        </w:tabs>
        <w:overflowPunct/>
        <w:autoSpaceDE/>
        <w:autoSpaceDN/>
        <w:adjustRightInd/>
        <w:spacing w:before="0"/>
        <w:jc w:val="left"/>
        <w:textAlignment w:val="auto"/>
        <w:rPr>
          <w:sz w:val="20"/>
          <w:lang w:val="en-US" w:eastAsia="zh-CN"/>
        </w:rPr>
      </w:pPr>
      <w:r>
        <w:rPr>
          <w:lang w:val="en-US" w:eastAsia="zh-CN"/>
        </w:rPr>
        <w:br w:type="page"/>
      </w:r>
    </w:p>
    <w:p w14:paraId="4827BCE9" w14:textId="77777777" w:rsidR="006E3B9B" w:rsidRPr="006E3B9B" w:rsidRDefault="006E3B9B" w:rsidP="00A45877">
      <w:pPr>
        <w:pStyle w:val="Appendixref"/>
        <w:rPr>
          <w:lang w:val="en-US" w:eastAsia="zh-CN"/>
        </w:rPr>
      </w:pPr>
      <w:r w:rsidRPr="006E3B9B">
        <w:rPr>
          <w:lang w:val="en-US" w:eastAsia="zh-CN"/>
        </w:rPr>
        <w:lastRenderedPageBreak/>
        <w:t>第</w:t>
      </w:r>
      <w:r w:rsidRPr="006E3B9B">
        <w:rPr>
          <w:lang w:val="en-US" w:eastAsia="zh-CN"/>
        </w:rPr>
        <w:t>190</w:t>
      </w:r>
      <w:r w:rsidRPr="006E3B9B">
        <w:rPr>
          <w:lang w:val="en-US" w:eastAsia="zh-CN"/>
        </w:rPr>
        <w:t>号决议</w:t>
      </w:r>
      <w:r w:rsidRPr="006E3B9B">
        <w:rPr>
          <w:lang w:val="en-US" w:eastAsia="zh-CN"/>
        </w:rPr>
        <w:tab/>
      </w:r>
      <w:r w:rsidRPr="006E3B9B">
        <w:rPr>
          <w:rFonts w:hint="eastAsia"/>
          <w:lang w:val="en-US" w:eastAsia="zh-CN"/>
        </w:rPr>
        <w:t>以</w:t>
      </w:r>
      <w:r w:rsidRPr="006E3B9B">
        <w:rPr>
          <w:rFonts w:hint="eastAsia"/>
          <w:lang w:eastAsia="zh-CN"/>
        </w:rPr>
        <w:t>法文之外的其它语文出版</w:t>
      </w:r>
      <w:r w:rsidRPr="006E3B9B">
        <w:rPr>
          <w:lang w:eastAsia="zh-CN"/>
        </w:rPr>
        <w:t>国际电话咨询委员会</w:t>
      </w:r>
      <w:r w:rsidRPr="006E3B9B">
        <w:rPr>
          <w:rFonts w:hint="eastAsia"/>
          <w:lang w:eastAsia="zh-CN"/>
        </w:rPr>
        <w:t>的文件</w:t>
      </w:r>
      <w:r w:rsidR="00A45877">
        <w:rPr>
          <w:lang w:eastAsia="zh-CN"/>
        </w:rPr>
        <w:tab/>
      </w:r>
      <w:r w:rsidRPr="006E3B9B">
        <w:rPr>
          <w:lang w:val="en-US" w:eastAsia="zh-CN"/>
        </w:rPr>
        <w:tab/>
        <w:t>1954</w:t>
      </w:r>
      <w:r w:rsidRPr="006E3B9B">
        <w:rPr>
          <w:rFonts w:hint="eastAsia"/>
          <w:lang w:val="en-US" w:eastAsia="zh-CN"/>
        </w:rPr>
        <w:t>年</w:t>
      </w:r>
    </w:p>
    <w:p w14:paraId="4827BCEA"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191</w:t>
      </w:r>
      <w:r w:rsidRPr="006E3B9B">
        <w:rPr>
          <w:lang w:val="en-US" w:eastAsia="zh-CN"/>
        </w:rPr>
        <w:t>号决议</w:t>
      </w:r>
      <w:r w:rsidRPr="006E3B9B">
        <w:rPr>
          <w:lang w:val="en-US" w:eastAsia="zh-CN"/>
        </w:rPr>
        <w:tab/>
      </w:r>
      <w:r w:rsidRPr="006E3B9B">
        <w:rPr>
          <w:rFonts w:hint="eastAsia"/>
          <w:lang w:eastAsia="zh-CN"/>
        </w:rPr>
        <w:t>业务文件的分发</w:t>
      </w:r>
      <w:r w:rsidRPr="006E3B9B">
        <w:rPr>
          <w:lang w:val="en-US" w:eastAsia="zh-CN"/>
        </w:rPr>
        <w:tab/>
      </w:r>
      <w:r w:rsidR="00A45877">
        <w:rPr>
          <w:lang w:val="en-US" w:eastAsia="zh-CN"/>
        </w:rPr>
        <w:tab/>
      </w:r>
      <w:r w:rsidRPr="006E3B9B">
        <w:rPr>
          <w:lang w:val="en-US" w:eastAsia="zh-CN"/>
        </w:rPr>
        <w:t>1999</w:t>
      </w:r>
      <w:r w:rsidRPr="006E3B9B">
        <w:rPr>
          <w:rFonts w:hint="eastAsia"/>
          <w:lang w:val="en-US" w:eastAsia="zh-CN"/>
        </w:rPr>
        <w:t>年</w:t>
      </w:r>
    </w:p>
    <w:p w14:paraId="4827BCEB"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192</w:t>
      </w:r>
      <w:r w:rsidRPr="006E3B9B">
        <w:rPr>
          <w:lang w:val="en-US" w:eastAsia="zh-CN"/>
        </w:rPr>
        <w:t>号决议</w:t>
      </w:r>
      <w:r w:rsidRPr="006E3B9B">
        <w:rPr>
          <w:lang w:val="en-US" w:eastAsia="zh-CN"/>
        </w:rPr>
        <w:tab/>
      </w:r>
      <w:r w:rsidRPr="006E3B9B">
        <w:rPr>
          <w:rFonts w:hint="eastAsia"/>
          <w:lang w:val="en-US" w:eastAsia="zh-CN"/>
        </w:rPr>
        <w:t>国际</w:t>
      </w:r>
      <w:r w:rsidRPr="006E3B9B">
        <w:rPr>
          <w:rFonts w:hint="eastAsia"/>
          <w:lang w:eastAsia="zh-CN"/>
        </w:rPr>
        <w:t>电联提交经济和社会理事会的报告</w:t>
      </w:r>
      <w:r w:rsidRPr="006E3B9B">
        <w:rPr>
          <w:lang w:val="en-US" w:eastAsia="zh-CN"/>
        </w:rPr>
        <w:tab/>
      </w:r>
      <w:r w:rsidR="00A45877">
        <w:rPr>
          <w:lang w:val="en-US" w:eastAsia="zh-CN"/>
        </w:rPr>
        <w:tab/>
      </w:r>
      <w:r w:rsidRPr="006E3B9B">
        <w:rPr>
          <w:lang w:val="en-US" w:eastAsia="zh-CN"/>
        </w:rPr>
        <w:t>1951</w:t>
      </w:r>
      <w:r w:rsidRPr="006E3B9B">
        <w:rPr>
          <w:rFonts w:hint="eastAsia"/>
          <w:lang w:val="en-US" w:eastAsia="zh-CN"/>
        </w:rPr>
        <w:t>年</w:t>
      </w:r>
    </w:p>
    <w:p w14:paraId="4827BCEC"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193</w:t>
      </w:r>
      <w:r w:rsidRPr="006E3B9B">
        <w:rPr>
          <w:lang w:val="en-US" w:eastAsia="zh-CN"/>
        </w:rPr>
        <w:t>号决议</w:t>
      </w:r>
      <w:r w:rsidRPr="006E3B9B">
        <w:rPr>
          <w:lang w:val="en-US" w:eastAsia="zh-CN"/>
        </w:rPr>
        <w:tab/>
      </w:r>
      <w:r w:rsidRPr="006E3B9B">
        <w:rPr>
          <w:rFonts w:hint="eastAsia"/>
          <w:lang w:eastAsia="zh-CN"/>
        </w:rPr>
        <w:t>《专门机构特权与豁免公约》</w:t>
      </w:r>
      <w:r w:rsidRPr="006E3B9B">
        <w:rPr>
          <w:lang w:val="en-US" w:eastAsia="zh-CN"/>
        </w:rPr>
        <w:tab/>
      </w:r>
      <w:r w:rsidR="00A45877">
        <w:rPr>
          <w:lang w:val="en-US" w:eastAsia="zh-CN"/>
        </w:rPr>
        <w:tab/>
      </w:r>
      <w:r w:rsidRPr="006E3B9B">
        <w:rPr>
          <w:lang w:val="en-US" w:eastAsia="zh-CN"/>
        </w:rPr>
        <w:t>6.2</w:t>
      </w:r>
    </w:p>
    <w:p w14:paraId="4827BCED"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194</w:t>
      </w:r>
      <w:r w:rsidRPr="006E3B9B">
        <w:rPr>
          <w:lang w:val="en-US" w:eastAsia="zh-CN"/>
        </w:rPr>
        <w:t>号决议</w:t>
      </w:r>
      <w:r w:rsidRPr="006E3B9B">
        <w:rPr>
          <w:lang w:val="en-US" w:eastAsia="zh-CN"/>
        </w:rPr>
        <w:tab/>
      </w:r>
      <w:r w:rsidRPr="006E3B9B">
        <w:rPr>
          <w:rFonts w:hint="eastAsia"/>
          <w:lang w:val="en-US" w:eastAsia="zh-CN"/>
        </w:rPr>
        <w:t>代表国际</w:t>
      </w:r>
      <w:r w:rsidRPr="006E3B9B">
        <w:rPr>
          <w:rFonts w:hint="eastAsia"/>
          <w:lang w:eastAsia="zh-CN"/>
        </w:rPr>
        <w:t>电联出席联合国的大会和会议</w:t>
      </w:r>
      <w:r w:rsidRPr="006E3B9B">
        <w:rPr>
          <w:lang w:val="en-US" w:eastAsia="zh-CN"/>
        </w:rPr>
        <w:tab/>
      </w:r>
      <w:r w:rsidR="00A45877">
        <w:rPr>
          <w:lang w:val="en-US" w:eastAsia="zh-CN"/>
        </w:rPr>
        <w:tab/>
      </w:r>
      <w:r w:rsidRPr="006E3B9B">
        <w:rPr>
          <w:lang w:val="en-US" w:eastAsia="zh-CN"/>
        </w:rPr>
        <w:t>1999</w:t>
      </w:r>
      <w:r w:rsidRPr="006E3B9B">
        <w:rPr>
          <w:rFonts w:hint="eastAsia"/>
          <w:lang w:val="en-US" w:eastAsia="zh-CN"/>
        </w:rPr>
        <w:t>年</w:t>
      </w:r>
    </w:p>
    <w:p w14:paraId="4827BCEE"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195</w:t>
      </w:r>
      <w:r w:rsidRPr="006E3B9B">
        <w:rPr>
          <w:lang w:val="en-US" w:eastAsia="zh-CN"/>
        </w:rPr>
        <w:t>号决议</w:t>
      </w:r>
      <w:r w:rsidRPr="006E3B9B">
        <w:rPr>
          <w:lang w:val="en-US" w:eastAsia="zh-CN"/>
        </w:rPr>
        <w:tab/>
      </w:r>
      <w:r w:rsidRPr="006E3B9B">
        <w:rPr>
          <w:rFonts w:hint="eastAsia"/>
          <w:lang w:eastAsia="zh-CN"/>
        </w:rPr>
        <w:t>向朝鲜民众提供援助</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CEF"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196</w:t>
      </w:r>
      <w:r w:rsidRPr="006E3B9B">
        <w:rPr>
          <w:lang w:val="en-US" w:eastAsia="zh-CN"/>
        </w:rPr>
        <w:t>号决议</w:t>
      </w:r>
      <w:r w:rsidRPr="006E3B9B">
        <w:rPr>
          <w:lang w:val="en-US" w:eastAsia="zh-CN"/>
        </w:rPr>
        <w:tab/>
      </w:r>
      <w:r w:rsidRPr="006E3B9B">
        <w:rPr>
          <w:rFonts w:hint="eastAsia"/>
          <w:lang w:val="en-US" w:eastAsia="zh-CN"/>
        </w:rPr>
        <w:t>国际</w:t>
      </w:r>
      <w:r w:rsidRPr="006E3B9B">
        <w:rPr>
          <w:rFonts w:hint="eastAsia"/>
          <w:lang w:eastAsia="zh-CN"/>
        </w:rPr>
        <w:t>电联和其它与电信业务密切相关的专门机构之间的关系</w:t>
      </w:r>
      <w:r w:rsidR="00A45877">
        <w:rPr>
          <w:lang w:eastAsia="zh-CN"/>
        </w:rPr>
        <w:tab/>
      </w:r>
      <w:r w:rsidRPr="006E3B9B">
        <w:rPr>
          <w:lang w:val="en-US" w:eastAsia="zh-CN"/>
        </w:rPr>
        <w:tab/>
        <w:t>1999</w:t>
      </w:r>
      <w:r w:rsidRPr="006E3B9B">
        <w:rPr>
          <w:rFonts w:hint="eastAsia"/>
          <w:lang w:val="en-US" w:eastAsia="zh-CN"/>
        </w:rPr>
        <w:t>年</w:t>
      </w:r>
    </w:p>
    <w:p w14:paraId="4827BCF0"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197</w:t>
      </w:r>
      <w:r w:rsidRPr="006E3B9B">
        <w:rPr>
          <w:lang w:val="en-US" w:eastAsia="zh-CN"/>
        </w:rPr>
        <w:t>号决议</w:t>
      </w:r>
      <w:r w:rsidRPr="006E3B9B">
        <w:rPr>
          <w:lang w:val="en-US" w:eastAsia="zh-CN"/>
        </w:rPr>
        <w:tab/>
      </w:r>
      <w:r w:rsidRPr="006E3B9B">
        <w:rPr>
          <w:rFonts w:hint="eastAsia"/>
          <w:lang w:eastAsia="zh-CN"/>
        </w:rPr>
        <w:t>国际电联大会和会议上的代理表决和代表参会</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CF1"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198</w:t>
      </w:r>
      <w:r w:rsidRPr="006E3B9B">
        <w:rPr>
          <w:lang w:val="en-US" w:eastAsia="zh-CN"/>
        </w:rPr>
        <w:t>号决议</w:t>
      </w:r>
      <w:r w:rsidRPr="006E3B9B">
        <w:rPr>
          <w:lang w:val="en-US" w:eastAsia="zh-CN"/>
        </w:rPr>
        <w:tab/>
      </w:r>
      <w:r w:rsidRPr="006E3B9B">
        <w:rPr>
          <w:rFonts w:hint="eastAsia"/>
          <w:lang w:eastAsia="zh-CN"/>
        </w:rPr>
        <w:t>出席行政大会代表团的证书格式</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CF2"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199</w:t>
      </w:r>
      <w:r w:rsidRPr="006E3B9B">
        <w:rPr>
          <w:lang w:val="en-US" w:eastAsia="zh-CN"/>
        </w:rPr>
        <w:t>号决议</w:t>
      </w:r>
      <w:r w:rsidRPr="006E3B9B">
        <w:rPr>
          <w:lang w:val="en-US" w:eastAsia="zh-CN"/>
        </w:rPr>
        <w:tab/>
      </w:r>
      <w:r w:rsidRPr="006E3B9B">
        <w:rPr>
          <w:lang w:eastAsia="zh-CN"/>
        </w:rPr>
        <w:t>1951</w:t>
      </w:r>
      <w:r w:rsidRPr="006E3B9B">
        <w:rPr>
          <w:rFonts w:hint="eastAsia"/>
          <w:lang w:eastAsia="zh-CN"/>
        </w:rPr>
        <w:t>年</w:t>
      </w:r>
      <w:r w:rsidRPr="006E3B9B">
        <w:rPr>
          <w:lang w:eastAsia="zh-CN"/>
        </w:rPr>
        <w:t>8</w:t>
      </w:r>
      <w:r w:rsidRPr="006E3B9B">
        <w:rPr>
          <w:rFonts w:hint="eastAsia"/>
          <w:lang w:eastAsia="zh-CN"/>
        </w:rPr>
        <w:t>月</w:t>
      </w:r>
      <w:r w:rsidRPr="006E3B9B">
        <w:rPr>
          <w:lang w:eastAsia="zh-CN"/>
        </w:rPr>
        <w:t>16</w:t>
      </w:r>
      <w:r w:rsidRPr="006E3B9B">
        <w:rPr>
          <w:rFonts w:hint="eastAsia"/>
          <w:lang w:eastAsia="zh-CN"/>
        </w:rPr>
        <w:t>日在日内瓦举行特别行政无线电大会（</w:t>
      </w:r>
      <w:r w:rsidRPr="006E3B9B">
        <w:rPr>
          <w:lang w:eastAsia="zh-CN"/>
        </w:rPr>
        <w:t>EARC</w:t>
      </w:r>
      <w:r w:rsidRPr="006E3B9B">
        <w:rPr>
          <w:rFonts w:hint="eastAsia"/>
          <w:lang w:eastAsia="zh-CN"/>
        </w:rPr>
        <w:t>）</w:t>
      </w:r>
      <w:r w:rsidR="00A45877">
        <w:rPr>
          <w:lang w:eastAsia="zh-CN"/>
        </w:rPr>
        <w:tab/>
      </w:r>
      <w:r w:rsidRPr="006E3B9B">
        <w:rPr>
          <w:lang w:val="en-US" w:eastAsia="zh-CN"/>
        </w:rPr>
        <w:tab/>
        <w:t>1952</w:t>
      </w:r>
      <w:r w:rsidRPr="006E3B9B">
        <w:rPr>
          <w:rFonts w:hint="eastAsia"/>
          <w:lang w:val="en-US" w:eastAsia="zh-CN"/>
        </w:rPr>
        <w:t>年</w:t>
      </w:r>
    </w:p>
    <w:p w14:paraId="4827BCF3"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200</w:t>
      </w:r>
      <w:r w:rsidRPr="006E3B9B">
        <w:rPr>
          <w:lang w:val="en-US" w:eastAsia="zh-CN"/>
        </w:rPr>
        <w:t>号决议</w:t>
      </w:r>
      <w:r w:rsidRPr="006E3B9B">
        <w:rPr>
          <w:lang w:val="en-US" w:eastAsia="zh-CN"/>
        </w:rPr>
        <w:tab/>
      </w:r>
      <w:r w:rsidRPr="006E3B9B">
        <w:rPr>
          <w:rFonts w:hint="eastAsia"/>
          <w:lang w:eastAsia="zh-CN"/>
        </w:rPr>
        <w:t>特别行政无线电大会的筹备</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CF4"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201</w:t>
      </w:r>
      <w:r w:rsidRPr="006E3B9B">
        <w:rPr>
          <w:lang w:val="en-US" w:eastAsia="zh-CN"/>
        </w:rPr>
        <w:t>号决议</w:t>
      </w:r>
      <w:r w:rsidRPr="006E3B9B">
        <w:rPr>
          <w:lang w:val="en-US" w:eastAsia="zh-CN"/>
        </w:rPr>
        <w:tab/>
      </w:r>
      <w:r w:rsidRPr="006E3B9B">
        <w:rPr>
          <w:rFonts w:hint="eastAsia"/>
          <w:lang w:eastAsia="zh-CN"/>
        </w:rPr>
        <w:t>过渡阶段的频率指配</w:t>
      </w:r>
      <w:r w:rsidRPr="006E3B9B">
        <w:rPr>
          <w:lang w:val="en-US" w:eastAsia="zh-CN"/>
        </w:rPr>
        <w:tab/>
      </w:r>
      <w:r w:rsidR="00A45877">
        <w:rPr>
          <w:lang w:val="en-US" w:eastAsia="zh-CN"/>
        </w:rPr>
        <w:tab/>
      </w:r>
      <w:r w:rsidRPr="006E3B9B">
        <w:rPr>
          <w:lang w:val="en-US" w:eastAsia="zh-CN"/>
        </w:rPr>
        <w:t>1951</w:t>
      </w:r>
      <w:r w:rsidRPr="006E3B9B">
        <w:rPr>
          <w:rFonts w:hint="eastAsia"/>
          <w:lang w:val="en-US" w:eastAsia="zh-CN"/>
        </w:rPr>
        <w:t>年</w:t>
      </w:r>
    </w:p>
    <w:p w14:paraId="4827BCF5"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202</w:t>
      </w:r>
      <w:r w:rsidRPr="006E3B9B">
        <w:rPr>
          <w:lang w:val="en-US" w:eastAsia="zh-CN"/>
        </w:rPr>
        <w:t>号决议</w:t>
      </w:r>
      <w:r w:rsidRPr="006E3B9B">
        <w:rPr>
          <w:lang w:val="en-US" w:eastAsia="zh-CN"/>
        </w:rPr>
        <w:tab/>
      </w:r>
      <w:r w:rsidRPr="006E3B9B">
        <w:rPr>
          <w:lang w:eastAsia="zh-CN"/>
        </w:rPr>
        <w:t>27,500 kc/s</w:t>
      </w:r>
      <w:r w:rsidRPr="006E3B9B">
        <w:rPr>
          <w:rFonts w:hint="eastAsia"/>
          <w:lang w:eastAsia="zh-CN"/>
        </w:rPr>
        <w:t>以上频率的通知</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CF6"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203</w:t>
      </w:r>
      <w:r w:rsidRPr="006E3B9B">
        <w:rPr>
          <w:lang w:val="en-US" w:eastAsia="zh-CN"/>
        </w:rPr>
        <w:t>号决议</w:t>
      </w:r>
      <w:r w:rsidRPr="006E3B9B">
        <w:rPr>
          <w:lang w:val="en-US" w:eastAsia="zh-CN"/>
        </w:rPr>
        <w:tab/>
      </w:r>
      <w:r w:rsidRPr="006E3B9B">
        <w:rPr>
          <w:rFonts w:hint="eastAsia"/>
          <w:lang w:eastAsia="zh-CN"/>
        </w:rPr>
        <w:t>分摊临时频率委员会费用的会费</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CF7"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204</w:t>
      </w:r>
      <w:r w:rsidRPr="006E3B9B">
        <w:rPr>
          <w:lang w:val="en-US" w:eastAsia="zh-CN"/>
        </w:rPr>
        <w:t>号决议</w:t>
      </w:r>
      <w:r w:rsidRPr="006E3B9B">
        <w:rPr>
          <w:lang w:val="en-US" w:eastAsia="zh-CN"/>
        </w:rPr>
        <w:tab/>
      </w:r>
      <w:r w:rsidRPr="006E3B9B">
        <w:rPr>
          <w:rFonts w:hint="eastAsia"/>
          <w:lang w:eastAsia="zh-CN"/>
        </w:rPr>
        <w:t>分摊高频广播技术委员会费用的会费</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CF8"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205</w:t>
      </w:r>
      <w:r w:rsidRPr="006E3B9B">
        <w:rPr>
          <w:lang w:val="en-US" w:eastAsia="zh-CN"/>
        </w:rPr>
        <w:t>号决议</w:t>
      </w:r>
      <w:r w:rsidRPr="006E3B9B">
        <w:rPr>
          <w:lang w:val="en-US" w:eastAsia="zh-CN"/>
        </w:rPr>
        <w:tab/>
      </w:r>
      <w:r w:rsidRPr="006E3B9B">
        <w:rPr>
          <w:rFonts w:hint="eastAsia"/>
          <w:lang w:eastAsia="zh-CN"/>
        </w:rPr>
        <w:t>高频广播规划的实施</w:t>
      </w:r>
      <w:r w:rsidRPr="006E3B9B">
        <w:rPr>
          <w:lang w:val="en-US" w:eastAsia="zh-CN"/>
        </w:rPr>
        <w:tab/>
      </w:r>
      <w:r w:rsidR="00A45877">
        <w:rPr>
          <w:lang w:val="en-US" w:eastAsia="zh-CN"/>
        </w:rPr>
        <w:tab/>
      </w:r>
      <w:r w:rsidRPr="006E3B9B">
        <w:rPr>
          <w:lang w:val="en-US" w:eastAsia="zh-CN"/>
        </w:rPr>
        <w:t>1954</w:t>
      </w:r>
      <w:r w:rsidRPr="006E3B9B">
        <w:rPr>
          <w:rFonts w:hint="eastAsia"/>
          <w:lang w:val="en-US" w:eastAsia="zh-CN"/>
        </w:rPr>
        <w:t>年</w:t>
      </w:r>
    </w:p>
    <w:p w14:paraId="4827BCF9"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206</w:t>
      </w:r>
      <w:r w:rsidRPr="006E3B9B">
        <w:rPr>
          <w:lang w:val="en-US" w:eastAsia="zh-CN"/>
        </w:rPr>
        <w:t>号决议</w:t>
      </w:r>
      <w:r w:rsidRPr="006E3B9B">
        <w:rPr>
          <w:lang w:val="en-US" w:eastAsia="zh-CN"/>
        </w:rPr>
        <w:tab/>
      </w:r>
      <w:r w:rsidRPr="006E3B9B">
        <w:rPr>
          <w:rFonts w:hint="eastAsia"/>
          <w:lang w:eastAsia="zh-CN"/>
        </w:rPr>
        <w:t>针对协调</w:t>
      </w:r>
      <w:r w:rsidRPr="006E3B9B">
        <w:rPr>
          <w:lang w:eastAsia="zh-CN"/>
        </w:rPr>
        <w:t>4000 kc/s</w:t>
      </w:r>
      <w:r w:rsidRPr="006E3B9B">
        <w:rPr>
          <w:rFonts w:hint="eastAsia"/>
          <w:lang w:eastAsia="zh-CN"/>
        </w:rPr>
        <w:t>以下</w:t>
      </w:r>
      <w:r w:rsidRPr="006E3B9B">
        <w:rPr>
          <w:rFonts w:hint="eastAsia"/>
          <w:lang w:eastAsia="zh-CN"/>
        </w:rPr>
        <w:t>2</w:t>
      </w:r>
      <w:r w:rsidRPr="006E3B9B">
        <w:rPr>
          <w:rFonts w:hint="eastAsia"/>
          <w:lang w:eastAsia="zh-CN"/>
        </w:rPr>
        <w:t>区国家频率清单向</w:t>
      </w:r>
      <w:r w:rsidRPr="006E3B9B">
        <w:rPr>
          <w:rFonts w:hint="eastAsia"/>
          <w:lang w:eastAsia="zh-CN"/>
        </w:rPr>
        <w:t>2</w:t>
      </w:r>
      <w:r w:rsidRPr="006E3B9B">
        <w:rPr>
          <w:rFonts w:hint="eastAsia"/>
          <w:lang w:eastAsia="zh-CN"/>
        </w:rPr>
        <w:t>区国家提出的建议</w:t>
      </w:r>
      <w:r w:rsidRPr="006E3B9B">
        <w:rPr>
          <w:lang w:val="en-US" w:eastAsia="zh-CN"/>
        </w:rPr>
        <w:tab/>
      </w:r>
      <w:r w:rsidR="00A45877">
        <w:rPr>
          <w:lang w:val="en-US" w:eastAsia="zh-CN"/>
        </w:rPr>
        <w:tab/>
      </w:r>
      <w:r w:rsidRPr="006E3B9B">
        <w:rPr>
          <w:lang w:val="en-US" w:eastAsia="zh-CN"/>
        </w:rPr>
        <w:t>1951</w:t>
      </w:r>
      <w:r w:rsidRPr="006E3B9B">
        <w:rPr>
          <w:rFonts w:hint="eastAsia"/>
          <w:lang w:val="en-US" w:eastAsia="zh-CN"/>
        </w:rPr>
        <w:t>年</w:t>
      </w:r>
    </w:p>
    <w:p w14:paraId="4827BCFA"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207</w:t>
      </w:r>
      <w:r w:rsidRPr="006E3B9B">
        <w:rPr>
          <w:lang w:val="en-US" w:eastAsia="zh-CN"/>
        </w:rPr>
        <w:t>号决议</w:t>
      </w:r>
      <w:r w:rsidRPr="006E3B9B">
        <w:rPr>
          <w:lang w:val="en-US" w:eastAsia="zh-CN"/>
        </w:rPr>
        <w:tab/>
      </w:r>
      <w:r w:rsidRPr="006E3B9B">
        <w:rPr>
          <w:rFonts w:hint="eastAsia"/>
          <w:lang w:eastAsia="zh-CN"/>
        </w:rPr>
        <w:t>接收国对国外广播的事先认可</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CFB"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208</w:t>
      </w:r>
      <w:r w:rsidRPr="006E3B9B">
        <w:rPr>
          <w:lang w:val="en-US" w:eastAsia="zh-CN"/>
        </w:rPr>
        <w:t>号决议</w:t>
      </w:r>
      <w:r w:rsidRPr="006E3B9B">
        <w:rPr>
          <w:lang w:val="en-US" w:eastAsia="zh-CN"/>
        </w:rPr>
        <w:tab/>
      </w:r>
      <w:r w:rsidRPr="006E3B9B">
        <w:rPr>
          <w:rFonts w:hint="eastAsia"/>
          <w:lang w:eastAsia="zh-CN"/>
        </w:rPr>
        <w:t>有关国际电联职员养恤金方案的研究</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CFC"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209</w:t>
      </w:r>
      <w:r w:rsidRPr="006E3B9B">
        <w:rPr>
          <w:lang w:val="en-US" w:eastAsia="zh-CN"/>
        </w:rPr>
        <w:t>号决议</w:t>
      </w:r>
      <w:r w:rsidRPr="006E3B9B">
        <w:rPr>
          <w:lang w:val="en-US" w:eastAsia="zh-CN"/>
        </w:rPr>
        <w:tab/>
      </w:r>
      <w:r w:rsidRPr="006E3B9B">
        <w:rPr>
          <w:rFonts w:hint="eastAsia"/>
          <w:lang w:eastAsia="zh-CN"/>
        </w:rPr>
        <w:t>国际电联职员疾病保险方案</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CFD"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210</w:t>
      </w:r>
      <w:r w:rsidRPr="006E3B9B">
        <w:rPr>
          <w:lang w:val="en-US" w:eastAsia="zh-CN"/>
        </w:rPr>
        <w:t>号决议</w:t>
      </w:r>
      <w:r w:rsidRPr="006E3B9B">
        <w:rPr>
          <w:lang w:val="en-US" w:eastAsia="zh-CN"/>
        </w:rPr>
        <w:tab/>
      </w:r>
      <w:r w:rsidRPr="006E3B9B">
        <w:rPr>
          <w:rFonts w:hint="eastAsia"/>
          <w:lang w:eastAsia="zh-CN"/>
        </w:rPr>
        <w:t>本地招聘职员的就业条件</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CFE"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211</w:t>
      </w:r>
      <w:r w:rsidRPr="006E3B9B">
        <w:rPr>
          <w:lang w:val="en-US" w:eastAsia="zh-CN"/>
        </w:rPr>
        <w:t>号决议</w:t>
      </w:r>
      <w:r w:rsidRPr="006E3B9B">
        <w:rPr>
          <w:lang w:val="en-US" w:eastAsia="zh-CN"/>
        </w:rPr>
        <w:tab/>
      </w:r>
      <w:r w:rsidRPr="006E3B9B">
        <w:rPr>
          <w:rFonts w:hint="eastAsia"/>
          <w:lang w:eastAsia="zh-CN"/>
        </w:rPr>
        <w:t>《人事规则》</w:t>
      </w:r>
      <w:r w:rsidRPr="006E3B9B">
        <w:rPr>
          <w:lang w:val="en-US" w:eastAsia="zh-CN"/>
        </w:rPr>
        <w:tab/>
      </w:r>
      <w:r w:rsidR="00A45877">
        <w:rPr>
          <w:lang w:val="en-US" w:eastAsia="zh-CN"/>
        </w:rPr>
        <w:tab/>
      </w:r>
      <w:r w:rsidRPr="006E3B9B">
        <w:rPr>
          <w:lang w:val="en-US" w:eastAsia="zh-CN"/>
        </w:rPr>
        <w:t>1950</w:t>
      </w:r>
      <w:r w:rsidRPr="006E3B9B">
        <w:rPr>
          <w:rFonts w:hint="eastAsia"/>
          <w:lang w:val="en-US" w:eastAsia="zh-CN"/>
        </w:rPr>
        <w:t>年</w:t>
      </w:r>
    </w:p>
    <w:p w14:paraId="4827BCFF"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212</w:t>
      </w:r>
      <w:r w:rsidRPr="006E3B9B">
        <w:rPr>
          <w:lang w:val="en-US" w:eastAsia="zh-CN"/>
        </w:rPr>
        <w:t>号决议</w:t>
      </w:r>
      <w:r w:rsidRPr="006E3B9B">
        <w:rPr>
          <w:lang w:val="en-US" w:eastAsia="zh-CN"/>
        </w:rPr>
        <w:tab/>
      </w:r>
      <w:r w:rsidRPr="006E3B9B">
        <w:rPr>
          <w:rFonts w:hint="eastAsia"/>
          <w:lang w:val="fr-FR" w:eastAsia="zh-CN"/>
        </w:rPr>
        <w:t>专利</w:t>
      </w:r>
      <w:r w:rsidRPr="006E3B9B">
        <w:rPr>
          <w:lang w:val="en-US" w:eastAsia="zh-CN"/>
        </w:rPr>
        <w:tab/>
      </w:r>
      <w:r w:rsidR="00A45877">
        <w:rPr>
          <w:lang w:val="en-US" w:eastAsia="zh-CN"/>
        </w:rPr>
        <w:tab/>
      </w:r>
      <w:r w:rsidRPr="006E3B9B">
        <w:rPr>
          <w:lang w:val="en-US" w:eastAsia="zh-CN"/>
        </w:rPr>
        <w:t>1954</w:t>
      </w:r>
      <w:r w:rsidRPr="006E3B9B">
        <w:rPr>
          <w:rFonts w:hint="eastAsia"/>
          <w:lang w:val="en-US" w:eastAsia="zh-CN"/>
        </w:rPr>
        <w:t>年</w:t>
      </w:r>
    </w:p>
    <w:p w14:paraId="4827BD00"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213</w:t>
      </w:r>
      <w:r w:rsidRPr="006E3B9B">
        <w:rPr>
          <w:lang w:val="en-US" w:eastAsia="zh-CN"/>
        </w:rPr>
        <w:t>号决议</w:t>
      </w:r>
      <w:r w:rsidRPr="006E3B9B">
        <w:rPr>
          <w:lang w:val="en-US" w:eastAsia="zh-CN"/>
        </w:rPr>
        <w:tab/>
      </w:r>
      <w:r w:rsidRPr="006E3B9B">
        <w:rPr>
          <w:rFonts w:hint="eastAsia"/>
          <w:lang w:eastAsia="zh-CN"/>
        </w:rPr>
        <w:t>同声传译设备</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D01"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214</w:t>
      </w:r>
      <w:r w:rsidRPr="006E3B9B">
        <w:rPr>
          <w:lang w:val="en-US" w:eastAsia="zh-CN"/>
        </w:rPr>
        <w:t>号决议</w:t>
      </w:r>
      <w:r w:rsidRPr="006E3B9B">
        <w:rPr>
          <w:lang w:val="en-US" w:eastAsia="zh-CN"/>
        </w:rPr>
        <w:tab/>
      </w:r>
      <w:r w:rsidRPr="006E3B9B">
        <w:rPr>
          <w:rFonts w:hint="eastAsia"/>
          <w:lang w:val="en-US" w:eastAsia="zh-CN"/>
        </w:rPr>
        <w:t>国际</w:t>
      </w:r>
      <w:r w:rsidRPr="006E3B9B">
        <w:rPr>
          <w:rFonts w:hint="eastAsia"/>
          <w:lang w:eastAsia="zh-CN"/>
        </w:rPr>
        <w:t>电联在日内瓦建设一座办公楼的可能性</w:t>
      </w:r>
      <w:r w:rsidRPr="006E3B9B">
        <w:rPr>
          <w:lang w:val="en-US" w:eastAsia="zh-CN"/>
        </w:rPr>
        <w:tab/>
      </w:r>
      <w:r w:rsidR="00A45877">
        <w:rPr>
          <w:lang w:val="en-US" w:eastAsia="zh-CN"/>
        </w:rPr>
        <w:tab/>
      </w:r>
      <w:r w:rsidRPr="006E3B9B">
        <w:rPr>
          <w:lang w:val="en-US" w:eastAsia="zh-CN"/>
        </w:rPr>
        <w:t>1951</w:t>
      </w:r>
      <w:r w:rsidRPr="006E3B9B">
        <w:rPr>
          <w:rFonts w:hint="eastAsia"/>
          <w:lang w:val="en-US" w:eastAsia="zh-CN"/>
        </w:rPr>
        <w:t>年</w:t>
      </w:r>
    </w:p>
    <w:p w14:paraId="4827BD02"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215</w:t>
      </w:r>
      <w:r w:rsidRPr="006E3B9B">
        <w:rPr>
          <w:lang w:val="en-US" w:eastAsia="zh-CN"/>
        </w:rPr>
        <w:t>号决议</w:t>
      </w:r>
      <w:r w:rsidRPr="006E3B9B">
        <w:rPr>
          <w:lang w:val="en-US" w:eastAsia="zh-CN"/>
        </w:rPr>
        <w:tab/>
      </w:r>
      <w:r w:rsidRPr="006E3B9B">
        <w:rPr>
          <w:rFonts w:hint="eastAsia"/>
          <w:lang w:eastAsia="zh-CN"/>
        </w:rPr>
        <w:t>放弃将海牙作为特别行政无线电大会总部所造成的费用的分摊</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D03" w14:textId="77777777" w:rsidR="006E3B9B" w:rsidRPr="006E3B9B" w:rsidRDefault="006E3B9B" w:rsidP="003E11A1">
      <w:pPr>
        <w:pStyle w:val="Reftitle"/>
        <w:rPr>
          <w:lang w:eastAsia="zh-CN"/>
        </w:rPr>
      </w:pPr>
      <w:r w:rsidRPr="006E3B9B">
        <w:rPr>
          <w:rFonts w:hint="eastAsia"/>
          <w:lang w:eastAsia="zh-CN"/>
        </w:rPr>
        <w:t>第</w:t>
      </w:r>
      <w:r w:rsidRPr="006E3B9B">
        <w:rPr>
          <w:lang w:eastAsia="zh-CN"/>
        </w:rPr>
        <w:t>6</w:t>
      </w:r>
      <w:r w:rsidRPr="006E3B9B">
        <w:rPr>
          <w:rFonts w:hint="eastAsia"/>
          <w:lang w:eastAsia="zh-CN"/>
        </w:rPr>
        <w:t>届会议（</w:t>
      </w:r>
      <w:r w:rsidRPr="006E3B9B">
        <w:rPr>
          <w:lang w:eastAsia="zh-CN"/>
        </w:rPr>
        <w:t>1951</w:t>
      </w:r>
      <w:r w:rsidRPr="006E3B9B">
        <w:rPr>
          <w:rFonts w:hint="eastAsia"/>
          <w:lang w:eastAsia="zh-CN"/>
        </w:rPr>
        <w:t>年</w:t>
      </w:r>
      <w:r w:rsidRPr="006E3B9B">
        <w:rPr>
          <w:lang w:eastAsia="zh-CN"/>
        </w:rPr>
        <w:t>4</w:t>
      </w:r>
      <w:r w:rsidRPr="006E3B9B">
        <w:rPr>
          <w:rFonts w:hint="eastAsia"/>
          <w:lang w:eastAsia="zh-CN"/>
        </w:rPr>
        <w:t>月</w:t>
      </w:r>
      <w:r w:rsidRPr="006E3B9B">
        <w:rPr>
          <w:lang w:eastAsia="zh-CN"/>
        </w:rPr>
        <w:t>-5</w:t>
      </w:r>
      <w:r w:rsidRPr="006E3B9B">
        <w:rPr>
          <w:rFonts w:hint="eastAsia"/>
          <w:lang w:eastAsia="zh-CN"/>
        </w:rPr>
        <w:t>月）</w:t>
      </w:r>
    </w:p>
    <w:p w14:paraId="4827BD04"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216</w:t>
      </w:r>
      <w:r w:rsidRPr="006E3B9B">
        <w:rPr>
          <w:lang w:val="en-US" w:eastAsia="zh-CN"/>
        </w:rPr>
        <w:t>号决议</w:t>
      </w:r>
      <w:r w:rsidRPr="006E3B9B">
        <w:rPr>
          <w:lang w:val="en-US" w:eastAsia="zh-CN"/>
        </w:rPr>
        <w:tab/>
      </w:r>
      <w:r w:rsidRPr="006E3B9B">
        <w:rPr>
          <w:rFonts w:hint="eastAsia"/>
          <w:lang w:val="en-US" w:eastAsia="zh-CN"/>
        </w:rPr>
        <w:t>要求成为国际</w:t>
      </w:r>
      <w:r w:rsidRPr="006E3B9B">
        <w:rPr>
          <w:rFonts w:hint="eastAsia"/>
          <w:lang w:eastAsia="zh-CN"/>
        </w:rPr>
        <w:t>电联成员国的申请</w:t>
      </w:r>
      <w:r w:rsidRPr="006E3B9B">
        <w:rPr>
          <w:rFonts w:hint="eastAsia"/>
          <w:lang w:eastAsia="zh-CN"/>
        </w:rPr>
        <w:tab/>
      </w:r>
      <w:r w:rsidR="00A45877">
        <w:rPr>
          <w:lang w:eastAsia="zh-CN"/>
        </w:rPr>
        <w:tab/>
      </w:r>
      <w:r w:rsidRPr="006E3B9B">
        <w:rPr>
          <w:lang w:val="en-US" w:eastAsia="zh-CN"/>
        </w:rPr>
        <w:t>6.1</w:t>
      </w:r>
    </w:p>
    <w:p w14:paraId="4827BD05"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217</w:t>
      </w:r>
      <w:r w:rsidRPr="006E3B9B">
        <w:rPr>
          <w:lang w:val="en-US" w:eastAsia="zh-CN"/>
        </w:rPr>
        <w:t>号决议</w:t>
      </w:r>
      <w:r w:rsidRPr="006E3B9B">
        <w:rPr>
          <w:lang w:val="en-US" w:eastAsia="zh-CN"/>
        </w:rPr>
        <w:tab/>
      </w:r>
      <w:r w:rsidRPr="006E3B9B">
        <w:rPr>
          <w:rFonts w:hint="eastAsia"/>
          <w:lang w:eastAsia="zh-CN"/>
        </w:rPr>
        <w:t>理事会相关文件的汇编</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D06"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218</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1951</w:t>
      </w:r>
      <w:r w:rsidRPr="006E3B9B">
        <w:rPr>
          <w:rFonts w:hint="eastAsia"/>
          <w:lang w:eastAsia="zh-CN"/>
        </w:rPr>
        <w:t>年</w:t>
      </w:r>
      <w:r w:rsidRPr="006E3B9B">
        <w:rPr>
          <w:lang w:eastAsia="zh-CN"/>
        </w:rPr>
        <w:t>-1952</w:t>
      </w:r>
      <w:r w:rsidRPr="006E3B9B">
        <w:rPr>
          <w:rFonts w:hint="eastAsia"/>
          <w:lang w:eastAsia="zh-CN"/>
        </w:rPr>
        <w:t>年预算</w:t>
      </w:r>
      <w:r w:rsidRPr="006E3B9B">
        <w:rPr>
          <w:lang w:val="en-US" w:eastAsia="zh-CN"/>
        </w:rPr>
        <w:tab/>
      </w:r>
      <w:r w:rsidR="00A45877">
        <w:rPr>
          <w:lang w:val="en-US" w:eastAsia="zh-CN"/>
        </w:rPr>
        <w:tab/>
      </w:r>
      <w:r w:rsidRPr="006E3B9B">
        <w:rPr>
          <w:lang w:val="en-US" w:eastAsia="zh-CN"/>
        </w:rPr>
        <w:t>1951</w:t>
      </w:r>
      <w:r w:rsidRPr="006E3B9B">
        <w:rPr>
          <w:rFonts w:hint="eastAsia"/>
          <w:lang w:val="en-US" w:eastAsia="zh-CN"/>
        </w:rPr>
        <w:t>年</w:t>
      </w:r>
    </w:p>
    <w:p w14:paraId="4827BD07"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219</w:t>
      </w:r>
      <w:r w:rsidRPr="006E3B9B">
        <w:rPr>
          <w:lang w:val="en-US" w:eastAsia="zh-CN"/>
        </w:rPr>
        <w:t>号决议</w:t>
      </w:r>
      <w:r w:rsidRPr="006E3B9B">
        <w:rPr>
          <w:lang w:val="en-US" w:eastAsia="zh-CN"/>
        </w:rPr>
        <w:tab/>
      </w:r>
      <w:r w:rsidRPr="006E3B9B">
        <w:rPr>
          <w:lang w:eastAsia="zh-CN"/>
        </w:rPr>
        <w:t>1950</w:t>
      </w:r>
      <w:r w:rsidRPr="006E3B9B">
        <w:rPr>
          <w:rFonts w:hint="eastAsia"/>
          <w:lang w:eastAsia="zh-CN"/>
        </w:rPr>
        <w:t>年财务工作报告</w:t>
      </w:r>
      <w:r w:rsidRPr="006E3B9B">
        <w:rPr>
          <w:lang w:val="en-US" w:eastAsia="zh-CN"/>
        </w:rPr>
        <w:tab/>
      </w:r>
      <w:r w:rsidR="00A45877">
        <w:rPr>
          <w:lang w:val="en-US" w:eastAsia="zh-CN"/>
        </w:rPr>
        <w:tab/>
      </w:r>
      <w:r w:rsidRPr="006E3B9B">
        <w:rPr>
          <w:lang w:val="en-US" w:eastAsia="zh-CN"/>
        </w:rPr>
        <w:t>1951</w:t>
      </w:r>
      <w:r w:rsidRPr="006E3B9B">
        <w:rPr>
          <w:rFonts w:hint="eastAsia"/>
          <w:lang w:val="en-US" w:eastAsia="zh-CN"/>
        </w:rPr>
        <w:t>年</w:t>
      </w:r>
    </w:p>
    <w:p w14:paraId="4827BD08"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220</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1950</w:t>
      </w:r>
      <w:r w:rsidRPr="006E3B9B">
        <w:rPr>
          <w:rFonts w:hint="eastAsia"/>
          <w:lang w:eastAsia="zh-CN"/>
        </w:rPr>
        <w:t>年</w:t>
      </w:r>
      <w:r w:rsidRPr="006E3B9B">
        <w:rPr>
          <w:lang w:eastAsia="zh-CN"/>
        </w:rPr>
        <w:t>8</w:t>
      </w:r>
      <w:r w:rsidRPr="006E3B9B">
        <w:rPr>
          <w:rFonts w:hint="eastAsia"/>
          <w:lang w:eastAsia="zh-CN"/>
        </w:rPr>
        <w:t>月</w:t>
      </w:r>
      <w:r w:rsidRPr="006E3B9B">
        <w:rPr>
          <w:lang w:eastAsia="zh-CN"/>
        </w:rPr>
        <w:t>1</w:t>
      </w:r>
      <w:r w:rsidRPr="006E3B9B">
        <w:rPr>
          <w:rFonts w:hint="eastAsia"/>
          <w:lang w:eastAsia="zh-CN"/>
        </w:rPr>
        <w:t>日</w:t>
      </w:r>
      <w:r w:rsidRPr="006E3B9B">
        <w:rPr>
          <w:lang w:eastAsia="zh-CN"/>
        </w:rPr>
        <w:t>-12</w:t>
      </w:r>
      <w:r w:rsidRPr="006E3B9B">
        <w:rPr>
          <w:rFonts w:hint="eastAsia"/>
          <w:lang w:eastAsia="zh-CN"/>
        </w:rPr>
        <w:t>月</w:t>
      </w:r>
      <w:r w:rsidRPr="006E3B9B">
        <w:rPr>
          <w:lang w:eastAsia="zh-CN"/>
        </w:rPr>
        <w:t>31</w:t>
      </w:r>
      <w:r w:rsidRPr="006E3B9B">
        <w:rPr>
          <w:rFonts w:hint="eastAsia"/>
          <w:lang w:eastAsia="zh-CN"/>
        </w:rPr>
        <w:t>日账目的审计</w:t>
      </w:r>
      <w:r w:rsidRPr="006E3B9B">
        <w:rPr>
          <w:lang w:val="en-US" w:eastAsia="zh-CN"/>
        </w:rPr>
        <w:tab/>
      </w:r>
      <w:r w:rsidR="00A45877">
        <w:rPr>
          <w:lang w:val="en-US" w:eastAsia="zh-CN"/>
        </w:rPr>
        <w:tab/>
      </w:r>
      <w:r w:rsidRPr="006E3B9B">
        <w:rPr>
          <w:lang w:val="en-US" w:eastAsia="zh-CN"/>
        </w:rPr>
        <w:t>1951</w:t>
      </w:r>
      <w:r w:rsidRPr="006E3B9B">
        <w:rPr>
          <w:rFonts w:hint="eastAsia"/>
          <w:lang w:val="en-US" w:eastAsia="zh-CN"/>
        </w:rPr>
        <w:t>年</w:t>
      </w:r>
    </w:p>
    <w:p w14:paraId="4827BD09"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221</w:t>
      </w:r>
      <w:r w:rsidRPr="006E3B9B">
        <w:rPr>
          <w:lang w:val="en-US" w:eastAsia="zh-CN"/>
        </w:rPr>
        <w:t>号决议</w:t>
      </w:r>
      <w:r w:rsidRPr="006E3B9B">
        <w:rPr>
          <w:lang w:val="en-US" w:eastAsia="zh-CN"/>
        </w:rPr>
        <w:tab/>
      </w:r>
      <w:r w:rsidRPr="006E3B9B">
        <w:rPr>
          <w:rFonts w:hint="eastAsia"/>
          <w:lang w:eastAsia="zh-CN"/>
        </w:rPr>
        <w:t>出版物处的补充预算</w:t>
      </w:r>
      <w:r w:rsidRPr="006E3B9B">
        <w:rPr>
          <w:lang w:val="en-US" w:eastAsia="zh-CN"/>
        </w:rPr>
        <w:tab/>
      </w:r>
      <w:r w:rsidR="00A45877">
        <w:rPr>
          <w:lang w:val="en-US" w:eastAsia="zh-CN"/>
        </w:rPr>
        <w:tab/>
      </w:r>
      <w:r w:rsidRPr="006E3B9B">
        <w:rPr>
          <w:lang w:val="en-US" w:eastAsia="zh-CN"/>
        </w:rPr>
        <w:t>1984</w:t>
      </w:r>
      <w:r w:rsidRPr="006E3B9B">
        <w:rPr>
          <w:rFonts w:hint="eastAsia"/>
          <w:lang w:val="en-US" w:eastAsia="zh-CN"/>
        </w:rPr>
        <w:t>年</w:t>
      </w:r>
    </w:p>
    <w:p w14:paraId="4827BD0A"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222</w:t>
      </w:r>
      <w:r w:rsidRPr="006E3B9B">
        <w:rPr>
          <w:lang w:val="en-US" w:eastAsia="zh-CN"/>
        </w:rPr>
        <w:t>号决议</w:t>
      </w:r>
      <w:r w:rsidRPr="006E3B9B">
        <w:rPr>
          <w:lang w:val="en-US" w:eastAsia="zh-CN"/>
        </w:rPr>
        <w:tab/>
      </w:r>
      <w:r w:rsidRPr="006E3B9B">
        <w:rPr>
          <w:rFonts w:hint="eastAsia"/>
          <w:lang w:eastAsia="zh-CN"/>
        </w:rPr>
        <w:t>专门机构和其它国际组织参加国际电联大会和会议的财务条件</w:t>
      </w:r>
      <w:r w:rsidRPr="006E3B9B">
        <w:rPr>
          <w:lang w:val="en-US" w:eastAsia="zh-CN"/>
        </w:rPr>
        <w:tab/>
      </w:r>
      <w:r w:rsidR="00A45877">
        <w:rPr>
          <w:lang w:val="en-US" w:eastAsia="zh-CN"/>
        </w:rPr>
        <w:tab/>
      </w:r>
      <w:r w:rsidRPr="006E3B9B">
        <w:rPr>
          <w:lang w:val="en-US" w:eastAsia="zh-CN"/>
        </w:rPr>
        <w:t>1967</w:t>
      </w:r>
      <w:r w:rsidRPr="006E3B9B">
        <w:rPr>
          <w:rFonts w:hint="eastAsia"/>
          <w:lang w:val="en-US" w:eastAsia="zh-CN"/>
        </w:rPr>
        <w:t>年</w:t>
      </w:r>
    </w:p>
    <w:p w14:paraId="4827BD0B"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223</w:t>
      </w:r>
      <w:r w:rsidRPr="006E3B9B">
        <w:rPr>
          <w:lang w:val="en-US" w:eastAsia="zh-CN"/>
        </w:rPr>
        <w:t>号决议</w:t>
      </w:r>
      <w:r w:rsidRPr="006E3B9B">
        <w:rPr>
          <w:lang w:val="en-US" w:eastAsia="zh-CN"/>
        </w:rPr>
        <w:tab/>
      </w:r>
      <w:r w:rsidRPr="006E3B9B">
        <w:rPr>
          <w:rFonts w:hint="eastAsia"/>
          <w:lang w:eastAsia="zh-CN"/>
        </w:rPr>
        <w:t>财务控制委员会的成员构成</w:t>
      </w:r>
      <w:r w:rsidRPr="006E3B9B">
        <w:rPr>
          <w:lang w:val="en-US" w:eastAsia="zh-CN"/>
        </w:rPr>
        <w:tab/>
      </w:r>
      <w:r w:rsidR="00A45877">
        <w:rPr>
          <w:lang w:val="en-US" w:eastAsia="zh-CN"/>
        </w:rPr>
        <w:tab/>
      </w:r>
      <w:r w:rsidRPr="006E3B9B">
        <w:rPr>
          <w:lang w:val="en-US" w:eastAsia="zh-CN"/>
        </w:rPr>
        <w:t>1954</w:t>
      </w:r>
      <w:r w:rsidRPr="006E3B9B">
        <w:rPr>
          <w:rFonts w:hint="eastAsia"/>
          <w:lang w:val="en-US" w:eastAsia="zh-CN"/>
        </w:rPr>
        <w:t>年</w:t>
      </w:r>
    </w:p>
    <w:p w14:paraId="4827BD0C"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224</w:t>
      </w:r>
      <w:r w:rsidRPr="006E3B9B">
        <w:rPr>
          <w:lang w:val="en-US" w:eastAsia="zh-CN"/>
        </w:rPr>
        <w:t>号决议</w:t>
      </w:r>
      <w:r w:rsidRPr="006E3B9B">
        <w:rPr>
          <w:lang w:val="en-US" w:eastAsia="zh-CN"/>
        </w:rPr>
        <w:tab/>
      </w:r>
      <w:r w:rsidRPr="006E3B9B">
        <w:rPr>
          <w:rFonts w:hint="eastAsia"/>
          <w:lang w:eastAsia="zh-CN"/>
        </w:rPr>
        <w:t>财务控制委员会报告</w:t>
      </w:r>
      <w:r w:rsidRPr="006E3B9B">
        <w:rPr>
          <w:lang w:val="en-US" w:eastAsia="zh-CN"/>
        </w:rPr>
        <w:tab/>
      </w:r>
      <w:r w:rsidR="00A45877">
        <w:rPr>
          <w:lang w:val="en-US" w:eastAsia="zh-CN"/>
        </w:rPr>
        <w:tab/>
      </w:r>
      <w:r w:rsidRPr="006E3B9B">
        <w:rPr>
          <w:lang w:val="en-US" w:eastAsia="zh-CN"/>
        </w:rPr>
        <w:t>1951</w:t>
      </w:r>
      <w:r w:rsidRPr="006E3B9B">
        <w:rPr>
          <w:rFonts w:hint="eastAsia"/>
          <w:lang w:val="en-US" w:eastAsia="zh-CN"/>
        </w:rPr>
        <w:t>年</w:t>
      </w:r>
    </w:p>
    <w:p w14:paraId="4827BD0D"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225</w:t>
      </w:r>
      <w:r w:rsidRPr="006E3B9B">
        <w:rPr>
          <w:lang w:val="en-US" w:eastAsia="zh-CN"/>
        </w:rPr>
        <w:t>号决议</w:t>
      </w:r>
      <w:r w:rsidRPr="006E3B9B">
        <w:rPr>
          <w:lang w:val="en-US" w:eastAsia="zh-CN"/>
        </w:rPr>
        <w:tab/>
      </w:r>
      <w:r w:rsidRPr="006E3B9B">
        <w:rPr>
          <w:rFonts w:hint="eastAsia"/>
          <w:lang w:eastAsia="zh-CN"/>
        </w:rPr>
        <w:t>技术援助</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D0E"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226</w:t>
      </w:r>
      <w:r w:rsidRPr="006E3B9B">
        <w:rPr>
          <w:lang w:val="en-US" w:eastAsia="zh-CN"/>
        </w:rPr>
        <w:t>号决议</w:t>
      </w:r>
      <w:r w:rsidRPr="006E3B9B">
        <w:rPr>
          <w:lang w:val="en-US" w:eastAsia="zh-CN"/>
        </w:rPr>
        <w:tab/>
      </w:r>
      <w:r w:rsidRPr="006E3B9B">
        <w:rPr>
          <w:rFonts w:hint="eastAsia"/>
          <w:lang w:eastAsia="zh-CN"/>
        </w:rPr>
        <w:t>世界卫生组织有关国际流行病的电报</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D0F" w14:textId="77777777" w:rsidR="00BF1CF1" w:rsidRDefault="00BF1CF1">
      <w:pPr>
        <w:tabs>
          <w:tab w:val="clear" w:pos="794"/>
          <w:tab w:val="clear" w:pos="1191"/>
          <w:tab w:val="clear" w:pos="1588"/>
          <w:tab w:val="clear" w:pos="1985"/>
        </w:tabs>
        <w:overflowPunct/>
        <w:autoSpaceDE/>
        <w:autoSpaceDN/>
        <w:adjustRightInd/>
        <w:spacing w:before="0"/>
        <w:jc w:val="left"/>
        <w:textAlignment w:val="auto"/>
        <w:rPr>
          <w:sz w:val="20"/>
          <w:lang w:val="en-US" w:eastAsia="zh-CN"/>
        </w:rPr>
      </w:pPr>
      <w:r>
        <w:rPr>
          <w:lang w:val="en-US" w:eastAsia="zh-CN"/>
        </w:rPr>
        <w:br w:type="page"/>
      </w:r>
    </w:p>
    <w:p w14:paraId="4827BD10" w14:textId="77777777" w:rsidR="006E3B9B" w:rsidRPr="006E3B9B" w:rsidRDefault="006E3B9B" w:rsidP="00A45877">
      <w:pPr>
        <w:pStyle w:val="Appendixref"/>
        <w:rPr>
          <w:lang w:val="en-US" w:eastAsia="zh-CN"/>
        </w:rPr>
      </w:pPr>
      <w:r w:rsidRPr="006E3B9B">
        <w:rPr>
          <w:lang w:val="en-US" w:eastAsia="zh-CN"/>
        </w:rPr>
        <w:lastRenderedPageBreak/>
        <w:t>第</w:t>
      </w:r>
      <w:r w:rsidRPr="006E3B9B">
        <w:rPr>
          <w:lang w:val="en-US" w:eastAsia="zh-CN"/>
        </w:rPr>
        <w:t>227</w:t>
      </w:r>
      <w:r w:rsidRPr="006E3B9B">
        <w:rPr>
          <w:lang w:val="en-US" w:eastAsia="zh-CN"/>
        </w:rPr>
        <w:t>号决议</w:t>
      </w:r>
      <w:r w:rsidRPr="006E3B9B">
        <w:rPr>
          <w:lang w:val="en-US" w:eastAsia="zh-CN"/>
        </w:rPr>
        <w:tab/>
      </w:r>
      <w:r w:rsidRPr="006E3B9B">
        <w:rPr>
          <w:rFonts w:hint="eastAsia"/>
          <w:lang w:eastAsia="zh-CN"/>
        </w:rPr>
        <w:t>世界卫生组织有关国际流行病的电话商谈</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D11"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228</w:t>
      </w:r>
      <w:r w:rsidRPr="006E3B9B">
        <w:rPr>
          <w:lang w:val="en-US" w:eastAsia="zh-CN"/>
        </w:rPr>
        <w:t>号决议</w:t>
      </w:r>
      <w:r w:rsidRPr="006E3B9B">
        <w:rPr>
          <w:lang w:val="en-US" w:eastAsia="zh-CN"/>
        </w:rPr>
        <w:tab/>
      </w:r>
      <w:r w:rsidRPr="006E3B9B">
        <w:rPr>
          <w:lang w:eastAsia="zh-CN"/>
        </w:rPr>
        <w:t>特别行政无线电大会</w:t>
      </w:r>
      <w:r w:rsidRPr="006E3B9B">
        <w:rPr>
          <w:rFonts w:hint="eastAsia"/>
          <w:lang w:eastAsia="zh-CN"/>
        </w:rPr>
        <w:t>的筹备工作</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D12"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229</w:t>
      </w:r>
      <w:r w:rsidRPr="006E3B9B">
        <w:rPr>
          <w:lang w:val="en-US" w:eastAsia="zh-CN"/>
        </w:rPr>
        <w:t>号决议</w:t>
      </w:r>
      <w:r w:rsidRPr="006E3B9B">
        <w:rPr>
          <w:lang w:val="en-US" w:eastAsia="zh-CN"/>
        </w:rPr>
        <w:tab/>
      </w:r>
      <w:r w:rsidRPr="006E3B9B">
        <w:rPr>
          <w:lang w:eastAsia="zh-CN"/>
        </w:rPr>
        <w:t>特别行政无线电大会</w:t>
      </w:r>
      <w:r w:rsidRPr="006E3B9B">
        <w:rPr>
          <w:rFonts w:hint="eastAsia"/>
          <w:lang w:eastAsia="zh-CN"/>
        </w:rPr>
        <w:t>的筹备</w:t>
      </w:r>
      <w:r w:rsidRPr="006E3B9B">
        <w:rPr>
          <w:lang w:val="en-US" w:eastAsia="zh-CN"/>
        </w:rPr>
        <w:tab/>
      </w:r>
      <w:r w:rsidR="00A45877">
        <w:rPr>
          <w:lang w:val="en-US" w:eastAsia="zh-CN"/>
        </w:rPr>
        <w:tab/>
      </w:r>
      <w:r w:rsidRPr="006E3B9B">
        <w:rPr>
          <w:lang w:val="en-US" w:eastAsia="zh-CN"/>
        </w:rPr>
        <w:t>1951</w:t>
      </w:r>
      <w:r w:rsidRPr="006E3B9B">
        <w:rPr>
          <w:rFonts w:hint="eastAsia"/>
          <w:lang w:val="en-US" w:eastAsia="zh-CN"/>
        </w:rPr>
        <w:t>年</w:t>
      </w:r>
    </w:p>
    <w:p w14:paraId="4827BD13"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230</w:t>
      </w:r>
      <w:r w:rsidRPr="006E3B9B">
        <w:rPr>
          <w:lang w:val="en-US" w:eastAsia="zh-CN"/>
        </w:rPr>
        <w:t>号决议</w:t>
      </w:r>
      <w:r w:rsidRPr="006E3B9B">
        <w:rPr>
          <w:lang w:val="en-US" w:eastAsia="zh-CN"/>
        </w:rPr>
        <w:tab/>
      </w:r>
      <w:r w:rsidRPr="006E3B9B">
        <w:rPr>
          <w:lang w:eastAsia="zh-CN"/>
        </w:rPr>
        <w:t>1950</w:t>
      </w:r>
      <w:r w:rsidRPr="006E3B9B">
        <w:rPr>
          <w:rFonts w:hint="eastAsia"/>
          <w:lang w:eastAsia="zh-CN"/>
        </w:rPr>
        <w:t>年国际电联职员退休和福利基金的管理报告</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D14"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231</w:t>
      </w:r>
      <w:r w:rsidRPr="006E3B9B">
        <w:rPr>
          <w:lang w:val="en-US" w:eastAsia="zh-CN"/>
        </w:rPr>
        <w:t>号决议</w:t>
      </w:r>
      <w:r w:rsidRPr="006E3B9B">
        <w:rPr>
          <w:lang w:val="en-US" w:eastAsia="zh-CN"/>
        </w:rPr>
        <w:tab/>
      </w:r>
      <w:r w:rsidRPr="006E3B9B">
        <w:rPr>
          <w:rFonts w:hint="eastAsia"/>
          <w:lang w:eastAsia="zh-CN"/>
        </w:rPr>
        <w:t>国际电联《人事规则》与联合国《人事规则》的比较</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D15"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232</w:t>
      </w:r>
      <w:r w:rsidRPr="006E3B9B">
        <w:rPr>
          <w:lang w:val="en-US" w:eastAsia="zh-CN"/>
        </w:rPr>
        <w:t>号决议</w:t>
      </w:r>
      <w:r w:rsidRPr="006E3B9B">
        <w:rPr>
          <w:lang w:val="en-US" w:eastAsia="zh-CN"/>
        </w:rPr>
        <w:tab/>
      </w:r>
      <w:r w:rsidRPr="006E3B9B">
        <w:rPr>
          <w:rFonts w:hint="eastAsia"/>
          <w:lang w:eastAsia="zh-CN"/>
        </w:rPr>
        <w:t>从主管部门借调官员的临时聘用</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16"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233</w:t>
      </w:r>
      <w:r w:rsidRPr="006E3B9B">
        <w:rPr>
          <w:lang w:val="en-US" w:eastAsia="zh-CN"/>
        </w:rPr>
        <w:t>号决议</w:t>
      </w:r>
      <w:r w:rsidRPr="006E3B9B">
        <w:rPr>
          <w:lang w:val="en-US" w:eastAsia="zh-CN"/>
        </w:rPr>
        <w:tab/>
      </w:r>
      <w:r w:rsidRPr="006E3B9B">
        <w:rPr>
          <w:rFonts w:hint="eastAsia"/>
          <w:lang w:eastAsia="zh-CN"/>
        </w:rPr>
        <w:t>私人汽车的使用条件</w:t>
      </w:r>
      <w:r w:rsidRPr="006E3B9B">
        <w:rPr>
          <w:lang w:val="en-US" w:eastAsia="zh-CN"/>
        </w:rPr>
        <w:tab/>
      </w:r>
      <w:r w:rsidR="00A45877">
        <w:rPr>
          <w:lang w:val="en-US" w:eastAsia="zh-CN"/>
        </w:rPr>
        <w:tab/>
      </w:r>
      <w:r w:rsidRPr="006E3B9B">
        <w:rPr>
          <w:lang w:val="en-US" w:eastAsia="zh-CN"/>
        </w:rPr>
        <w:t>1951</w:t>
      </w:r>
      <w:r w:rsidRPr="006E3B9B">
        <w:rPr>
          <w:rFonts w:hint="eastAsia"/>
          <w:lang w:val="en-US" w:eastAsia="zh-CN"/>
        </w:rPr>
        <w:t>年</w:t>
      </w:r>
    </w:p>
    <w:p w14:paraId="4827BD17"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234</w:t>
      </w:r>
      <w:r w:rsidRPr="006E3B9B">
        <w:rPr>
          <w:lang w:val="en-US" w:eastAsia="zh-CN"/>
        </w:rPr>
        <w:t>号决议</w:t>
      </w:r>
      <w:r w:rsidRPr="006E3B9B">
        <w:rPr>
          <w:lang w:val="en-US" w:eastAsia="zh-CN"/>
        </w:rPr>
        <w:tab/>
      </w:r>
      <w:r w:rsidRPr="006E3B9B">
        <w:rPr>
          <w:rFonts w:hint="eastAsia"/>
          <w:lang w:eastAsia="zh-CN"/>
        </w:rPr>
        <w:t>交际和娱乐活动补贴</w:t>
      </w:r>
      <w:r w:rsidR="00A45877">
        <w:rPr>
          <w:lang w:eastAsia="zh-CN"/>
        </w:rPr>
        <w:tab/>
      </w:r>
      <w:r w:rsidRPr="006E3B9B">
        <w:rPr>
          <w:lang w:val="en-US" w:eastAsia="zh-CN"/>
        </w:rPr>
        <w:tab/>
        <w:t>1964</w:t>
      </w:r>
      <w:r w:rsidRPr="006E3B9B">
        <w:rPr>
          <w:rFonts w:hint="eastAsia"/>
          <w:lang w:val="en-US" w:eastAsia="zh-CN"/>
        </w:rPr>
        <w:t>年</w:t>
      </w:r>
    </w:p>
    <w:p w14:paraId="4827BD18"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235</w:t>
      </w:r>
      <w:r w:rsidRPr="006E3B9B">
        <w:rPr>
          <w:lang w:val="en-US" w:eastAsia="zh-CN"/>
        </w:rPr>
        <w:t>号决议</w:t>
      </w:r>
      <w:r w:rsidRPr="006E3B9B">
        <w:rPr>
          <w:lang w:val="en-US" w:eastAsia="zh-CN"/>
        </w:rPr>
        <w:tab/>
      </w:r>
      <w:r w:rsidRPr="006E3B9B">
        <w:rPr>
          <w:rFonts w:hint="eastAsia"/>
          <w:lang w:eastAsia="zh-CN"/>
        </w:rPr>
        <w:t>兵役假</w:t>
      </w:r>
      <w:r w:rsidR="00A45877">
        <w:rPr>
          <w:lang w:eastAsia="zh-CN"/>
        </w:rPr>
        <w:tab/>
      </w:r>
      <w:r w:rsidRPr="006E3B9B">
        <w:rPr>
          <w:lang w:val="en-US" w:eastAsia="zh-CN"/>
        </w:rPr>
        <w:tab/>
        <w:t>1951</w:t>
      </w:r>
      <w:r w:rsidRPr="006E3B9B">
        <w:rPr>
          <w:rFonts w:hint="eastAsia"/>
          <w:lang w:val="en-US" w:eastAsia="zh-CN"/>
        </w:rPr>
        <w:t>年</w:t>
      </w:r>
    </w:p>
    <w:p w14:paraId="4827BD19" w14:textId="77777777" w:rsidR="006E3B9B" w:rsidRPr="006E3B9B" w:rsidRDefault="006E3B9B" w:rsidP="003E11A1">
      <w:pPr>
        <w:pStyle w:val="Reftitle"/>
        <w:rPr>
          <w:lang w:eastAsia="zh-CN"/>
        </w:rPr>
      </w:pPr>
      <w:r w:rsidRPr="006E3B9B">
        <w:rPr>
          <w:rFonts w:hint="eastAsia"/>
          <w:lang w:eastAsia="zh-CN"/>
        </w:rPr>
        <w:t>第</w:t>
      </w:r>
      <w:r w:rsidRPr="006E3B9B">
        <w:rPr>
          <w:lang w:eastAsia="zh-CN"/>
        </w:rPr>
        <w:t>7</w:t>
      </w:r>
      <w:r w:rsidRPr="006E3B9B">
        <w:rPr>
          <w:rFonts w:hint="eastAsia"/>
          <w:lang w:eastAsia="zh-CN"/>
        </w:rPr>
        <w:t>届会议（</w:t>
      </w:r>
      <w:r w:rsidRPr="006E3B9B">
        <w:rPr>
          <w:lang w:eastAsia="zh-CN"/>
        </w:rPr>
        <w:t>1952</w:t>
      </w:r>
      <w:r w:rsidRPr="006E3B9B">
        <w:rPr>
          <w:rFonts w:hint="eastAsia"/>
          <w:lang w:eastAsia="zh-CN"/>
        </w:rPr>
        <w:t>年</w:t>
      </w:r>
      <w:r w:rsidRPr="006E3B9B">
        <w:rPr>
          <w:lang w:eastAsia="zh-CN"/>
        </w:rPr>
        <w:t>4</w:t>
      </w:r>
      <w:r w:rsidRPr="006E3B9B">
        <w:rPr>
          <w:rFonts w:hint="eastAsia"/>
          <w:lang w:eastAsia="zh-CN"/>
        </w:rPr>
        <w:t>月</w:t>
      </w:r>
      <w:r w:rsidRPr="006E3B9B">
        <w:rPr>
          <w:lang w:eastAsia="zh-CN"/>
        </w:rPr>
        <w:t>- 6</w:t>
      </w:r>
      <w:r w:rsidRPr="006E3B9B">
        <w:rPr>
          <w:rFonts w:hint="eastAsia"/>
          <w:lang w:eastAsia="zh-CN"/>
        </w:rPr>
        <w:t>月）</w:t>
      </w:r>
    </w:p>
    <w:p w14:paraId="4827BD1A"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236</w:t>
      </w:r>
      <w:r w:rsidRPr="006E3B9B">
        <w:rPr>
          <w:lang w:val="en-US" w:eastAsia="zh-CN"/>
        </w:rPr>
        <w:t>号决议</w:t>
      </w:r>
      <w:r w:rsidRPr="006E3B9B">
        <w:rPr>
          <w:lang w:val="en-US" w:eastAsia="zh-CN"/>
        </w:rPr>
        <w:tab/>
      </w:r>
      <w:r w:rsidRPr="006E3B9B">
        <w:rPr>
          <w:rFonts w:hint="eastAsia"/>
          <w:lang w:eastAsia="zh-CN"/>
        </w:rPr>
        <w:t>布宜诺斯艾利斯全权代表大会期间的理事会会议</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D1B"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237</w:t>
      </w:r>
      <w:r w:rsidRPr="006E3B9B">
        <w:rPr>
          <w:lang w:val="en-US" w:eastAsia="zh-CN"/>
        </w:rPr>
        <w:t>号决议</w:t>
      </w:r>
      <w:r w:rsidRPr="006E3B9B">
        <w:rPr>
          <w:lang w:val="en-US" w:eastAsia="zh-CN"/>
        </w:rPr>
        <w:tab/>
      </w:r>
      <w:r w:rsidRPr="006E3B9B">
        <w:rPr>
          <w:rFonts w:hint="eastAsia"/>
          <w:lang w:eastAsia="zh-CN"/>
        </w:rPr>
        <w:t>经修订的</w:t>
      </w:r>
      <w:r w:rsidRPr="006E3B9B">
        <w:rPr>
          <w:lang w:eastAsia="zh-CN"/>
        </w:rPr>
        <w:t>1952</w:t>
      </w:r>
      <w:r w:rsidRPr="006E3B9B">
        <w:rPr>
          <w:rFonts w:hint="eastAsia"/>
          <w:lang w:eastAsia="zh-CN"/>
        </w:rPr>
        <w:t>年预算</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D1C"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238</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1953</w:t>
      </w:r>
      <w:r w:rsidRPr="006E3B9B">
        <w:rPr>
          <w:rFonts w:hint="eastAsia"/>
          <w:lang w:eastAsia="zh-CN"/>
        </w:rPr>
        <w:t>年预算</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D1D"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239</w:t>
      </w:r>
      <w:r w:rsidRPr="006E3B9B">
        <w:rPr>
          <w:lang w:val="en-US" w:eastAsia="zh-CN"/>
        </w:rPr>
        <w:t>号决议</w:t>
      </w:r>
      <w:r w:rsidRPr="006E3B9B">
        <w:rPr>
          <w:lang w:val="en-US" w:eastAsia="zh-CN"/>
        </w:rPr>
        <w:tab/>
      </w:r>
      <w:r w:rsidRPr="006E3B9B">
        <w:rPr>
          <w:rFonts w:hint="eastAsia"/>
          <w:lang w:eastAsia="zh-CN"/>
        </w:rPr>
        <w:t>财务工作报告</w:t>
      </w:r>
      <w:r w:rsidRPr="006E3B9B">
        <w:rPr>
          <w:lang w:val="en-US" w:eastAsia="zh-CN"/>
        </w:rPr>
        <w:tab/>
      </w:r>
      <w:r w:rsidR="00A45877">
        <w:rPr>
          <w:lang w:val="en-US" w:eastAsia="zh-CN"/>
        </w:rPr>
        <w:tab/>
      </w:r>
      <w:r w:rsidRPr="006E3B9B">
        <w:rPr>
          <w:lang w:val="en-US" w:eastAsia="zh-CN"/>
        </w:rPr>
        <w:t>1981</w:t>
      </w:r>
      <w:r w:rsidRPr="006E3B9B">
        <w:rPr>
          <w:rFonts w:hint="eastAsia"/>
          <w:lang w:val="en-US" w:eastAsia="zh-CN"/>
        </w:rPr>
        <w:t>年</w:t>
      </w:r>
    </w:p>
    <w:p w14:paraId="4827BD1E"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240</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1951</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1</w:t>
      </w:r>
      <w:r w:rsidRPr="006E3B9B">
        <w:rPr>
          <w:rFonts w:hint="eastAsia"/>
          <w:lang w:eastAsia="zh-CN"/>
        </w:rPr>
        <w:t>日</w:t>
      </w:r>
      <w:r w:rsidRPr="006E3B9B">
        <w:rPr>
          <w:lang w:eastAsia="zh-CN"/>
        </w:rPr>
        <w:t>-12</w:t>
      </w:r>
      <w:r w:rsidRPr="006E3B9B">
        <w:rPr>
          <w:rFonts w:hint="eastAsia"/>
          <w:lang w:eastAsia="zh-CN"/>
        </w:rPr>
        <w:t>月</w:t>
      </w:r>
      <w:r w:rsidRPr="006E3B9B">
        <w:rPr>
          <w:lang w:eastAsia="zh-CN"/>
        </w:rPr>
        <w:t>31</w:t>
      </w:r>
      <w:r w:rsidRPr="006E3B9B">
        <w:rPr>
          <w:rFonts w:hint="eastAsia"/>
          <w:lang w:eastAsia="zh-CN"/>
        </w:rPr>
        <w:t>日账目的审计</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D1F"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241</w:t>
      </w:r>
      <w:r w:rsidRPr="006E3B9B">
        <w:rPr>
          <w:lang w:val="en-US" w:eastAsia="zh-CN"/>
        </w:rPr>
        <w:t>号决议</w:t>
      </w:r>
      <w:r w:rsidRPr="006E3B9B">
        <w:rPr>
          <w:lang w:val="en-US" w:eastAsia="zh-CN"/>
        </w:rPr>
        <w:tab/>
      </w:r>
      <w:r w:rsidRPr="006E3B9B">
        <w:rPr>
          <w:rFonts w:hint="eastAsia"/>
          <w:lang w:eastAsia="zh-CN"/>
        </w:rPr>
        <w:t>向瑞士联邦支付为国际电联提供的垫付款的利息</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D20" w14:textId="77777777" w:rsidR="006E3B9B" w:rsidRPr="006E3B9B" w:rsidRDefault="006E3B9B" w:rsidP="00DD37AD">
      <w:pPr>
        <w:pStyle w:val="Appendixref"/>
        <w:rPr>
          <w:lang w:val="en-US" w:eastAsia="zh-CN"/>
        </w:rPr>
      </w:pPr>
      <w:r w:rsidRPr="006E3B9B">
        <w:rPr>
          <w:lang w:val="en-US" w:eastAsia="zh-CN"/>
        </w:rPr>
        <w:t>第</w:t>
      </w:r>
      <w:r w:rsidRPr="006E3B9B">
        <w:rPr>
          <w:lang w:val="en-US" w:eastAsia="zh-CN"/>
        </w:rPr>
        <w:t>242</w:t>
      </w:r>
      <w:r w:rsidRPr="006E3B9B">
        <w:rPr>
          <w:lang w:val="en-US" w:eastAsia="zh-CN"/>
        </w:rPr>
        <w:t>号决议</w:t>
      </w:r>
      <w:r w:rsidRPr="006E3B9B">
        <w:rPr>
          <w:lang w:val="en-US" w:eastAsia="zh-CN"/>
        </w:rPr>
        <w:tab/>
      </w:r>
      <w:r w:rsidRPr="006E3B9B">
        <w:rPr>
          <w:rFonts w:hint="eastAsia"/>
          <w:lang w:eastAsia="zh-CN"/>
        </w:rPr>
        <w:t>使用储备金账目资金支付</w:t>
      </w:r>
      <w:r w:rsidRPr="006E3B9B">
        <w:rPr>
          <w:lang w:eastAsia="zh-CN"/>
        </w:rPr>
        <w:t>1952</w:t>
      </w:r>
      <w:r w:rsidRPr="006E3B9B">
        <w:rPr>
          <w:rFonts w:hint="eastAsia"/>
          <w:lang w:eastAsia="zh-CN"/>
        </w:rPr>
        <w:t>年期间因</w:t>
      </w:r>
      <w:r w:rsidRPr="006E3B9B">
        <w:rPr>
          <w:lang w:eastAsia="zh-CN"/>
        </w:rPr>
        <w:t>特别行政无线电大会</w:t>
      </w:r>
      <w:r w:rsidRPr="006E3B9B">
        <w:rPr>
          <w:rFonts w:hint="eastAsia"/>
          <w:lang w:eastAsia="zh-CN"/>
        </w:rPr>
        <w:t>做出的决定而产生的支出</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D21"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243</w:t>
      </w:r>
      <w:r w:rsidRPr="006E3B9B">
        <w:rPr>
          <w:lang w:val="en-US" w:eastAsia="zh-CN"/>
        </w:rPr>
        <w:t>号决议</w:t>
      </w:r>
      <w:r w:rsidRPr="006E3B9B">
        <w:rPr>
          <w:lang w:val="en-US" w:eastAsia="zh-CN"/>
        </w:rPr>
        <w:tab/>
      </w:r>
      <w:r w:rsidRPr="006E3B9B">
        <w:rPr>
          <w:rFonts w:hint="eastAsia"/>
          <w:lang w:val="en-US" w:eastAsia="zh-CN"/>
        </w:rPr>
        <w:t>国际</w:t>
      </w:r>
      <w:r w:rsidRPr="006E3B9B">
        <w:rPr>
          <w:rFonts w:hint="eastAsia"/>
          <w:lang w:eastAsia="zh-CN"/>
        </w:rPr>
        <w:t>电联提交经社理事会的报告</w:t>
      </w:r>
      <w:r w:rsidRPr="006E3B9B">
        <w:rPr>
          <w:lang w:val="en-US" w:eastAsia="zh-CN"/>
        </w:rPr>
        <w:tab/>
      </w:r>
      <w:r w:rsidR="00A45877">
        <w:rPr>
          <w:lang w:val="en-US" w:eastAsia="zh-CN"/>
        </w:rPr>
        <w:tab/>
      </w:r>
      <w:r w:rsidRPr="006E3B9B">
        <w:rPr>
          <w:lang w:val="en-US" w:eastAsia="zh-CN"/>
        </w:rPr>
        <w:t>1970</w:t>
      </w:r>
      <w:r w:rsidRPr="006E3B9B">
        <w:rPr>
          <w:rFonts w:hint="eastAsia"/>
          <w:lang w:val="en-US" w:eastAsia="zh-CN"/>
        </w:rPr>
        <w:t>年</w:t>
      </w:r>
    </w:p>
    <w:p w14:paraId="4827BD22"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244</w:t>
      </w:r>
      <w:r w:rsidRPr="006E3B9B">
        <w:rPr>
          <w:lang w:val="en-US" w:eastAsia="zh-CN"/>
        </w:rPr>
        <w:t>号决议</w:t>
      </w:r>
      <w:r w:rsidRPr="006E3B9B">
        <w:rPr>
          <w:lang w:val="en-US" w:eastAsia="zh-CN"/>
        </w:rPr>
        <w:tab/>
      </w:r>
      <w:r w:rsidRPr="006E3B9B">
        <w:rPr>
          <w:rFonts w:hint="eastAsia"/>
          <w:lang w:val="en-US" w:eastAsia="zh-CN"/>
        </w:rPr>
        <w:t>国际</w:t>
      </w:r>
      <w:r w:rsidRPr="006E3B9B">
        <w:rPr>
          <w:rFonts w:hint="eastAsia"/>
          <w:lang w:eastAsia="zh-CN"/>
        </w:rPr>
        <w:t>电联参与联合国的技术援助扩大方案</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23"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245</w:t>
      </w:r>
      <w:r w:rsidRPr="006E3B9B">
        <w:rPr>
          <w:lang w:val="en-US" w:eastAsia="zh-CN"/>
        </w:rPr>
        <w:t>号决议</w:t>
      </w:r>
      <w:r w:rsidRPr="006E3B9B">
        <w:rPr>
          <w:lang w:val="en-US" w:eastAsia="zh-CN"/>
        </w:rPr>
        <w:tab/>
      </w:r>
      <w:r w:rsidRPr="006E3B9B">
        <w:rPr>
          <w:rFonts w:hint="eastAsia"/>
          <w:lang w:eastAsia="zh-CN"/>
        </w:rPr>
        <w:t>通过航空业务电信网传送的业务</w:t>
      </w:r>
      <w:r w:rsidRPr="006E3B9B">
        <w:rPr>
          <w:lang w:val="en-US" w:eastAsia="zh-CN"/>
        </w:rPr>
        <w:tab/>
      </w:r>
      <w:r w:rsidR="00A45877">
        <w:rPr>
          <w:lang w:val="en-US" w:eastAsia="zh-CN"/>
        </w:rPr>
        <w:tab/>
      </w:r>
      <w:r w:rsidRPr="006E3B9B">
        <w:rPr>
          <w:lang w:val="en-US" w:eastAsia="zh-CN"/>
        </w:rPr>
        <w:t>1954</w:t>
      </w:r>
      <w:r w:rsidRPr="006E3B9B">
        <w:rPr>
          <w:rFonts w:hint="eastAsia"/>
          <w:lang w:val="en-US" w:eastAsia="zh-CN"/>
        </w:rPr>
        <w:t>年</w:t>
      </w:r>
    </w:p>
    <w:p w14:paraId="4827BD24"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246</w:t>
      </w:r>
      <w:r w:rsidRPr="006E3B9B">
        <w:rPr>
          <w:lang w:val="en-US" w:eastAsia="zh-CN"/>
        </w:rPr>
        <w:t>号决议</w:t>
      </w:r>
      <w:r w:rsidRPr="006E3B9B">
        <w:rPr>
          <w:lang w:val="en-US" w:eastAsia="zh-CN"/>
        </w:rPr>
        <w:tab/>
      </w:r>
      <w:r w:rsidRPr="006E3B9B">
        <w:rPr>
          <w:rFonts w:hint="eastAsia"/>
          <w:lang w:eastAsia="zh-CN"/>
        </w:rPr>
        <w:t>电信标准化部门和无线电通信部门之间的互补性研究</w:t>
      </w:r>
      <w:r w:rsidRPr="006E3B9B">
        <w:rPr>
          <w:lang w:val="en-US" w:eastAsia="zh-CN"/>
        </w:rPr>
        <w:tab/>
      </w:r>
      <w:r w:rsidR="00A45877">
        <w:rPr>
          <w:lang w:val="en-US" w:eastAsia="zh-CN"/>
        </w:rPr>
        <w:tab/>
      </w:r>
      <w:r w:rsidRPr="006E3B9B">
        <w:rPr>
          <w:lang w:val="en-US" w:eastAsia="zh-CN"/>
        </w:rPr>
        <w:t>1999</w:t>
      </w:r>
      <w:r w:rsidRPr="006E3B9B">
        <w:rPr>
          <w:rFonts w:hint="eastAsia"/>
          <w:lang w:val="en-US" w:eastAsia="zh-CN"/>
        </w:rPr>
        <w:t>年</w:t>
      </w:r>
    </w:p>
    <w:p w14:paraId="4827BD25"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247</w:t>
      </w:r>
      <w:r w:rsidRPr="006E3B9B">
        <w:rPr>
          <w:lang w:val="en-US" w:eastAsia="zh-CN"/>
        </w:rPr>
        <w:t>号决议</w:t>
      </w:r>
      <w:r w:rsidRPr="006E3B9B">
        <w:rPr>
          <w:lang w:val="en-US" w:eastAsia="zh-CN"/>
        </w:rPr>
        <w:tab/>
      </w:r>
      <w:r w:rsidRPr="006E3B9B">
        <w:rPr>
          <w:lang w:eastAsia="zh-CN"/>
        </w:rPr>
        <w:t>国际咨询委员会</w:t>
      </w:r>
      <w:r w:rsidRPr="006E3B9B">
        <w:rPr>
          <w:rFonts w:hint="eastAsia"/>
          <w:lang w:eastAsia="zh-CN"/>
        </w:rPr>
        <w:t>三届会议开展的针对电信网络交换进行研究的新课题</w:t>
      </w:r>
      <w:r w:rsidR="00A45877">
        <w:rPr>
          <w:lang w:eastAsia="zh-CN"/>
        </w:rPr>
        <w:tab/>
      </w:r>
      <w:r w:rsidRPr="006E3B9B">
        <w:rPr>
          <w:lang w:val="en-US" w:eastAsia="zh-CN"/>
        </w:rPr>
        <w:tab/>
        <w:t>1952</w:t>
      </w:r>
      <w:r w:rsidRPr="006E3B9B">
        <w:rPr>
          <w:rFonts w:hint="eastAsia"/>
          <w:lang w:val="en-US" w:eastAsia="zh-CN"/>
        </w:rPr>
        <w:t>年</w:t>
      </w:r>
    </w:p>
    <w:p w14:paraId="4827BD26"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248</w:t>
      </w:r>
      <w:r w:rsidRPr="006E3B9B">
        <w:rPr>
          <w:lang w:val="en-US" w:eastAsia="zh-CN"/>
        </w:rPr>
        <w:t>号决议</w:t>
      </w:r>
      <w:r w:rsidRPr="006E3B9B">
        <w:rPr>
          <w:lang w:val="en-US" w:eastAsia="zh-CN"/>
        </w:rPr>
        <w:tab/>
      </w:r>
      <w:r w:rsidRPr="006E3B9B">
        <w:rPr>
          <w:rFonts w:hint="eastAsia"/>
          <w:lang w:eastAsia="zh-CN"/>
        </w:rPr>
        <w:t>国际电信词汇</w:t>
      </w:r>
      <w:r w:rsidRPr="006E3B9B">
        <w:rPr>
          <w:lang w:val="en-US" w:eastAsia="zh-CN"/>
        </w:rPr>
        <w:tab/>
      </w:r>
      <w:r w:rsidR="00A45877">
        <w:rPr>
          <w:lang w:val="en-US" w:eastAsia="zh-CN"/>
        </w:rPr>
        <w:tab/>
      </w:r>
      <w:r w:rsidRPr="006E3B9B">
        <w:rPr>
          <w:lang w:val="en-US" w:eastAsia="zh-CN"/>
        </w:rPr>
        <w:t>1954</w:t>
      </w:r>
      <w:r w:rsidRPr="006E3B9B">
        <w:rPr>
          <w:rFonts w:hint="eastAsia"/>
          <w:lang w:val="en-US" w:eastAsia="zh-CN"/>
        </w:rPr>
        <w:t>年</w:t>
      </w:r>
    </w:p>
    <w:p w14:paraId="4827BD27"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249</w:t>
      </w:r>
      <w:r w:rsidRPr="006E3B9B">
        <w:rPr>
          <w:lang w:val="en-US" w:eastAsia="zh-CN"/>
        </w:rPr>
        <w:t>号决议</w:t>
      </w:r>
      <w:r w:rsidRPr="006E3B9B">
        <w:rPr>
          <w:lang w:val="en-US" w:eastAsia="zh-CN"/>
        </w:rPr>
        <w:tab/>
      </w:r>
      <w:r w:rsidRPr="006E3B9B">
        <w:rPr>
          <w:lang w:eastAsia="zh-CN"/>
        </w:rPr>
        <w:t>国际电报咨询委员会</w:t>
      </w:r>
      <w:r w:rsidRPr="006E3B9B">
        <w:rPr>
          <w:rFonts w:hint="eastAsia"/>
          <w:lang w:eastAsia="zh-CN"/>
        </w:rPr>
        <w:t>对一新课题的研究</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D28"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250</w:t>
      </w:r>
      <w:r w:rsidRPr="006E3B9B">
        <w:rPr>
          <w:lang w:val="en-US" w:eastAsia="zh-CN"/>
        </w:rPr>
        <w:t>号决议</w:t>
      </w:r>
      <w:r w:rsidRPr="006E3B9B">
        <w:rPr>
          <w:lang w:val="en-US" w:eastAsia="zh-CN"/>
        </w:rPr>
        <w:tab/>
      </w:r>
      <w:r w:rsidRPr="006E3B9B">
        <w:rPr>
          <w:lang w:eastAsia="zh-CN"/>
        </w:rPr>
        <w:t>CCITT</w:t>
      </w:r>
      <w:r w:rsidRPr="006E3B9B">
        <w:rPr>
          <w:rFonts w:hint="eastAsia"/>
          <w:lang w:eastAsia="zh-CN"/>
        </w:rPr>
        <w:t>实验室进行的测试和测量的适用费率</w:t>
      </w:r>
      <w:r w:rsidRPr="006E3B9B">
        <w:rPr>
          <w:lang w:val="en-US" w:eastAsia="zh-CN"/>
        </w:rPr>
        <w:tab/>
      </w:r>
      <w:r w:rsidR="00A45877">
        <w:rPr>
          <w:lang w:val="en-US" w:eastAsia="zh-CN"/>
        </w:rPr>
        <w:tab/>
      </w:r>
      <w:r w:rsidRPr="006E3B9B">
        <w:rPr>
          <w:lang w:val="en-US" w:eastAsia="zh-CN"/>
        </w:rPr>
        <w:t>1991</w:t>
      </w:r>
      <w:r w:rsidRPr="006E3B9B">
        <w:rPr>
          <w:rFonts w:hint="eastAsia"/>
          <w:lang w:val="en-US" w:eastAsia="zh-CN"/>
        </w:rPr>
        <w:t>年</w:t>
      </w:r>
    </w:p>
    <w:p w14:paraId="4827BD29"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251</w:t>
      </w:r>
      <w:r w:rsidRPr="006E3B9B">
        <w:rPr>
          <w:lang w:val="en-US" w:eastAsia="zh-CN"/>
        </w:rPr>
        <w:t>号决议</w:t>
      </w:r>
      <w:r w:rsidRPr="006E3B9B">
        <w:rPr>
          <w:lang w:val="en-US" w:eastAsia="zh-CN"/>
        </w:rPr>
        <w:tab/>
      </w:r>
      <w:r w:rsidRPr="006E3B9B">
        <w:rPr>
          <w:rFonts w:hint="eastAsia"/>
          <w:lang w:eastAsia="zh-CN"/>
        </w:rPr>
        <w:t>总秘书处的机构设置</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2A"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252</w:t>
      </w:r>
      <w:r w:rsidRPr="006E3B9B">
        <w:rPr>
          <w:lang w:val="en-US" w:eastAsia="zh-CN"/>
        </w:rPr>
        <w:t>号决议</w:t>
      </w:r>
      <w:r w:rsidRPr="006E3B9B">
        <w:rPr>
          <w:lang w:val="en-US" w:eastAsia="zh-CN"/>
        </w:rPr>
        <w:tab/>
      </w:r>
      <w:r w:rsidRPr="006E3B9B">
        <w:rPr>
          <w:rFonts w:hint="eastAsia"/>
          <w:lang w:eastAsia="zh-CN"/>
        </w:rPr>
        <w:t>向总秘书处提供信息</w:t>
      </w:r>
      <w:r w:rsidRPr="006E3B9B">
        <w:rPr>
          <w:lang w:val="en-US" w:eastAsia="zh-CN"/>
        </w:rPr>
        <w:tab/>
      </w:r>
      <w:r w:rsidR="00A45877">
        <w:rPr>
          <w:lang w:val="en-US" w:eastAsia="zh-CN"/>
        </w:rPr>
        <w:tab/>
      </w:r>
      <w:r w:rsidRPr="006E3B9B">
        <w:rPr>
          <w:lang w:val="en-US" w:eastAsia="zh-CN"/>
        </w:rPr>
        <w:t>1999</w:t>
      </w:r>
      <w:r w:rsidRPr="006E3B9B">
        <w:rPr>
          <w:rFonts w:hint="eastAsia"/>
          <w:lang w:val="en-US" w:eastAsia="zh-CN"/>
        </w:rPr>
        <w:t>年</w:t>
      </w:r>
    </w:p>
    <w:p w14:paraId="4827BD2B"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253</w:t>
      </w:r>
      <w:r w:rsidRPr="006E3B9B">
        <w:rPr>
          <w:lang w:val="en-US" w:eastAsia="zh-CN"/>
        </w:rPr>
        <w:t>号决议</w:t>
      </w:r>
      <w:r w:rsidRPr="006E3B9B">
        <w:rPr>
          <w:lang w:val="en-US" w:eastAsia="zh-CN"/>
        </w:rPr>
        <w:tab/>
      </w:r>
      <w:r w:rsidRPr="006E3B9B">
        <w:rPr>
          <w:rFonts w:hint="eastAsia"/>
          <w:lang w:eastAsia="zh-CN"/>
        </w:rPr>
        <w:t>一般性无线电行政大会的召开</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D2C"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254</w:t>
      </w:r>
      <w:r w:rsidRPr="006E3B9B">
        <w:rPr>
          <w:lang w:val="en-US" w:eastAsia="zh-CN"/>
        </w:rPr>
        <w:t>号决议</w:t>
      </w:r>
      <w:r w:rsidRPr="006E3B9B">
        <w:rPr>
          <w:lang w:val="en-US" w:eastAsia="zh-CN"/>
        </w:rPr>
        <w:tab/>
      </w:r>
      <w:r w:rsidRPr="006E3B9B">
        <w:rPr>
          <w:rFonts w:hint="eastAsia"/>
          <w:lang w:eastAsia="zh-CN"/>
        </w:rPr>
        <w:t>同声传译设备的租赁条件</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D2D"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255</w:t>
      </w:r>
      <w:r w:rsidRPr="006E3B9B">
        <w:rPr>
          <w:lang w:val="en-US" w:eastAsia="zh-CN"/>
        </w:rPr>
        <w:t>号决议</w:t>
      </w:r>
      <w:r w:rsidRPr="006E3B9B">
        <w:rPr>
          <w:lang w:val="en-US" w:eastAsia="zh-CN"/>
        </w:rPr>
        <w:tab/>
      </w:r>
      <w:r w:rsidRPr="006E3B9B">
        <w:rPr>
          <w:rFonts w:hint="eastAsia"/>
          <w:lang w:eastAsia="zh-CN"/>
        </w:rPr>
        <w:t>在日内瓦建设一座国际电联大楼</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D2E"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256</w:t>
      </w:r>
      <w:r w:rsidRPr="006E3B9B">
        <w:rPr>
          <w:lang w:val="en-US" w:eastAsia="zh-CN"/>
        </w:rPr>
        <w:t>号决议</w:t>
      </w:r>
      <w:r w:rsidRPr="006E3B9B">
        <w:rPr>
          <w:lang w:val="en-US" w:eastAsia="zh-CN"/>
        </w:rPr>
        <w:tab/>
      </w:r>
      <w:r w:rsidRPr="006E3B9B">
        <w:rPr>
          <w:rFonts w:hint="eastAsia"/>
          <w:lang w:val="en-US" w:eastAsia="zh-CN"/>
        </w:rPr>
        <w:t>国际</w:t>
      </w:r>
      <w:r w:rsidRPr="006E3B9B">
        <w:rPr>
          <w:rFonts w:hint="eastAsia"/>
          <w:lang w:eastAsia="zh-CN"/>
        </w:rPr>
        <w:t>电联职员的国际化</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2F"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257</w:t>
      </w:r>
      <w:r w:rsidRPr="006E3B9B">
        <w:rPr>
          <w:lang w:val="en-US" w:eastAsia="zh-CN"/>
        </w:rPr>
        <w:t>号决议</w:t>
      </w:r>
      <w:r w:rsidRPr="006E3B9B">
        <w:rPr>
          <w:lang w:val="en-US" w:eastAsia="zh-CN"/>
        </w:rPr>
        <w:tab/>
      </w:r>
      <w:r w:rsidRPr="006E3B9B">
        <w:rPr>
          <w:lang w:eastAsia="zh-CN"/>
        </w:rPr>
        <w:t>频登会</w:t>
      </w:r>
      <w:r w:rsidRPr="006E3B9B">
        <w:rPr>
          <w:rFonts w:hint="eastAsia"/>
          <w:lang w:eastAsia="zh-CN"/>
        </w:rPr>
        <w:t>（</w:t>
      </w:r>
      <w:r w:rsidRPr="006E3B9B">
        <w:rPr>
          <w:rFonts w:hint="eastAsia"/>
          <w:lang w:eastAsia="zh-CN"/>
        </w:rPr>
        <w:t>IFRB</w:t>
      </w:r>
      <w:r w:rsidRPr="006E3B9B">
        <w:rPr>
          <w:rFonts w:hint="eastAsia"/>
          <w:lang w:eastAsia="zh-CN"/>
        </w:rPr>
        <w:t>）委员的保险制度</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30"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258</w:t>
      </w:r>
      <w:r w:rsidRPr="006E3B9B">
        <w:rPr>
          <w:lang w:val="en-US" w:eastAsia="zh-CN"/>
        </w:rPr>
        <w:t>号决议</w:t>
      </w:r>
      <w:r w:rsidRPr="006E3B9B">
        <w:rPr>
          <w:lang w:val="en-US" w:eastAsia="zh-CN"/>
        </w:rPr>
        <w:tab/>
      </w:r>
      <w:r w:rsidRPr="006E3B9B">
        <w:rPr>
          <w:lang w:eastAsia="zh-CN"/>
        </w:rPr>
        <w:t>频登会</w:t>
      </w:r>
      <w:r w:rsidRPr="006E3B9B">
        <w:rPr>
          <w:rFonts w:hint="eastAsia"/>
          <w:lang w:eastAsia="zh-CN"/>
        </w:rPr>
        <w:t>领导下的职员</w:t>
      </w:r>
      <w:r w:rsidRPr="006E3B9B">
        <w:rPr>
          <w:lang w:val="en-US" w:eastAsia="zh-CN"/>
        </w:rPr>
        <w:tab/>
      </w:r>
      <w:r w:rsidR="00A45877">
        <w:rPr>
          <w:lang w:val="en-US" w:eastAsia="zh-CN"/>
        </w:rPr>
        <w:tab/>
      </w:r>
      <w:r w:rsidRPr="006E3B9B">
        <w:rPr>
          <w:lang w:val="en-US" w:eastAsia="zh-CN"/>
        </w:rPr>
        <w:t>1952</w:t>
      </w:r>
      <w:r w:rsidRPr="006E3B9B">
        <w:rPr>
          <w:rFonts w:hint="eastAsia"/>
          <w:lang w:val="en-US" w:eastAsia="zh-CN"/>
        </w:rPr>
        <w:t>年</w:t>
      </w:r>
    </w:p>
    <w:p w14:paraId="4827BD31"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259</w:t>
      </w:r>
      <w:r w:rsidRPr="006E3B9B">
        <w:rPr>
          <w:lang w:val="en-US" w:eastAsia="zh-CN"/>
        </w:rPr>
        <w:t>号决议</w:t>
      </w:r>
      <w:r w:rsidRPr="006E3B9B">
        <w:rPr>
          <w:lang w:val="en-US" w:eastAsia="zh-CN"/>
        </w:rPr>
        <w:tab/>
      </w:r>
      <w:r w:rsidRPr="006E3B9B">
        <w:rPr>
          <w:rFonts w:hint="eastAsia"/>
          <w:lang w:eastAsia="zh-CN"/>
        </w:rPr>
        <w:t>私人汽车的使用条件</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32"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260</w:t>
      </w:r>
      <w:r w:rsidRPr="006E3B9B">
        <w:rPr>
          <w:lang w:val="en-US" w:eastAsia="zh-CN"/>
        </w:rPr>
        <w:t>号决议</w:t>
      </w:r>
      <w:r w:rsidRPr="006E3B9B">
        <w:rPr>
          <w:lang w:val="en-US" w:eastAsia="zh-CN"/>
        </w:rPr>
        <w:tab/>
      </w:r>
      <w:r w:rsidRPr="006E3B9B">
        <w:rPr>
          <w:rFonts w:hint="eastAsia"/>
          <w:lang w:eastAsia="zh-CN"/>
        </w:rPr>
        <w:t>兵役假</w:t>
      </w:r>
      <w:r w:rsidRPr="006E3B9B">
        <w:rPr>
          <w:lang w:val="en-US" w:eastAsia="zh-CN"/>
        </w:rPr>
        <w:tab/>
      </w:r>
      <w:r w:rsidR="00A45877">
        <w:rPr>
          <w:lang w:val="en-US" w:eastAsia="zh-CN"/>
        </w:rPr>
        <w:tab/>
      </w:r>
      <w:r w:rsidRPr="006E3B9B">
        <w:rPr>
          <w:lang w:val="en-US" w:eastAsia="zh-CN"/>
        </w:rPr>
        <w:t>2.1</w:t>
      </w:r>
    </w:p>
    <w:p w14:paraId="4827BD33"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261</w:t>
      </w:r>
      <w:r w:rsidRPr="006E3B9B">
        <w:rPr>
          <w:lang w:val="en-US" w:eastAsia="zh-CN"/>
        </w:rPr>
        <w:t>号决议</w:t>
      </w:r>
      <w:r w:rsidRPr="006E3B9B">
        <w:rPr>
          <w:lang w:val="en-US" w:eastAsia="zh-CN"/>
        </w:rPr>
        <w:tab/>
      </w:r>
      <w:r w:rsidRPr="006E3B9B">
        <w:rPr>
          <w:rFonts w:hint="eastAsia"/>
          <w:lang w:eastAsia="zh-CN"/>
        </w:rPr>
        <w:t>可能被征兵的国际电联官员的家属的地位</w:t>
      </w:r>
      <w:r w:rsidRPr="006E3B9B">
        <w:rPr>
          <w:lang w:val="en-US" w:eastAsia="zh-CN"/>
        </w:rPr>
        <w:tab/>
      </w:r>
      <w:r w:rsidR="00A45877">
        <w:rPr>
          <w:lang w:val="en-US" w:eastAsia="zh-CN"/>
        </w:rPr>
        <w:tab/>
      </w:r>
      <w:r w:rsidRPr="006E3B9B">
        <w:rPr>
          <w:lang w:val="en-US" w:eastAsia="zh-CN"/>
        </w:rPr>
        <w:t>2.1</w:t>
      </w:r>
    </w:p>
    <w:p w14:paraId="4827BD34"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262</w:t>
      </w:r>
      <w:r w:rsidRPr="006E3B9B">
        <w:rPr>
          <w:lang w:val="en-US" w:eastAsia="zh-CN"/>
        </w:rPr>
        <w:t>号决议</w:t>
      </w:r>
      <w:r w:rsidRPr="006E3B9B">
        <w:rPr>
          <w:lang w:val="en-US" w:eastAsia="zh-CN"/>
        </w:rPr>
        <w:tab/>
      </w:r>
      <w:r w:rsidRPr="006E3B9B">
        <w:rPr>
          <w:rFonts w:hint="eastAsia"/>
          <w:lang w:val="en-US" w:eastAsia="zh-CN"/>
        </w:rPr>
        <w:t>国际</w:t>
      </w:r>
      <w:r w:rsidRPr="006E3B9B">
        <w:rPr>
          <w:rFonts w:hint="eastAsia"/>
          <w:lang w:eastAsia="zh-CN"/>
        </w:rPr>
        <w:t>电联成员国对其他成员国的投诉</w:t>
      </w:r>
      <w:r w:rsidRPr="006E3B9B">
        <w:rPr>
          <w:lang w:val="en-US" w:eastAsia="zh-CN"/>
        </w:rPr>
        <w:tab/>
      </w:r>
      <w:r w:rsidR="00A45877">
        <w:rPr>
          <w:lang w:val="en-US" w:eastAsia="zh-CN"/>
        </w:rPr>
        <w:tab/>
      </w:r>
      <w:r w:rsidRPr="006E3B9B">
        <w:rPr>
          <w:lang w:val="en-US" w:eastAsia="zh-CN"/>
        </w:rPr>
        <w:t>6.1</w:t>
      </w:r>
    </w:p>
    <w:p w14:paraId="4827BD35" w14:textId="77777777" w:rsidR="00BF1CF1" w:rsidRDefault="00BF1CF1">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4827BD36" w14:textId="77777777" w:rsidR="006E3B9B" w:rsidRPr="006E3B9B" w:rsidRDefault="006E3B9B" w:rsidP="003E11A1">
      <w:pPr>
        <w:pStyle w:val="Reftitle"/>
        <w:rPr>
          <w:lang w:val="en-US" w:eastAsia="zh-CN"/>
        </w:rPr>
      </w:pPr>
      <w:r w:rsidRPr="006E3B9B">
        <w:rPr>
          <w:rFonts w:hint="eastAsia"/>
          <w:lang w:eastAsia="zh-CN"/>
        </w:rPr>
        <w:lastRenderedPageBreak/>
        <w:t>第</w:t>
      </w:r>
      <w:r w:rsidRPr="006E3B9B">
        <w:rPr>
          <w:lang w:eastAsia="zh-CN"/>
        </w:rPr>
        <w:t>8</w:t>
      </w:r>
      <w:r w:rsidRPr="006E3B9B">
        <w:rPr>
          <w:rFonts w:hint="eastAsia"/>
          <w:lang w:eastAsia="zh-CN"/>
        </w:rPr>
        <w:t>届会议（</w:t>
      </w:r>
      <w:r w:rsidRPr="006E3B9B">
        <w:rPr>
          <w:lang w:eastAsia="zh-CN"/>
        </w:rPr>
        <w:t>1953</w:t>
      </w:r>
      <w:r w:rsidRPr="006E3B9B">
        <w:rPr>
          <w:rFonts w:hint="eastAsia"/>
          <w:lang w:eastAsia="zh-CN"/>
        </w:rPr>
        <w:t>年</w:t>
      </w:r>
      <w:r w:rsidRPr="006E3B9B">
        <w:rPr>
          <w:lang w:eastAsia="zh-CN"/>
        </w:rPr>
        <w:t>5</w:t>
      </w:r>
      <w:r w:rsidRPr="006E3B9B">
        <w:rPr>
          <w:rFonts w:hint="eastAsia"/>
          <w:lang w:eastAsia="zh-CN"/>
        </w:rPr>
        <w:t>月</w:t>
      </w:r>
      <w:r w:rsidRPr="006E3B9B">
        <w:rPr>
          <w:lang w:eastAsia="zh-CN"/>
        </w:rPr>
        <w:t>-6</w:t>
      </w:r>
      <w:r w:rsidRPr="006E3B9B">
        <w:rPr>
          <w:rFonts w:hint="eastAsia"/>
          <w:lang w:eastAsia="zh-CN"/>
        </w:rPr>
        <w:t>月）</w:t>
      </w:r>
    </w:p>
    <w:p w14:paraId="4827BD37"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263</w:t>
      </w:r>
      <w:r w:rsidRPr="006E3B9B">
        <w:rPr>
          <w:lang w:val="en-US" w:eastAsia="zh-CN"/>
        </w:rPr>
        <w:t>号决议</w:t>
      </w:r>
      <w:r w:rsidRPr="006E3B9B">
        <w:rPr>
          <w:lang w:val="en-US" w:eastAsia="zh-CN"/>
        </w:rPr>
        <w:tab/>
      </w:r>
      <w:r w:rsidRPr="006E3B9B">
        <w:rPr>
          <w:rFonts w:hint="eastAsia"/>
          <w:lang w:eastAsia="zh-CN"/>
        </w:rPr>
        <w:t>理事会的《议事规则》</w:t>
      </w:r>
      <w:r w:rsidRPr="006E3B9B">
        <w:rPr>
          <w:lang w:val="en-US" w:eastAsia="zh-CN"/>
        </w:rPr>
        <w:tab/>
      </w:r>
      <w:r w:rsidR="00A45877">
        <w:rPr>
          <w:lang w:val="en-US" w:eastAsia="zh-CN"/>
        </w:rPr>
        <w:tab/>
      </w:r>
      <w:r w:rsidRPr="006E3B9B">
        <w:rPr>
          <w:lang w:val="en-US" w:eastAsia="zh-CN"/>
        </w:rPr>
        <w:t>1954</w:t>
      </w:r>
      <w:r w:rsidRPr="006E3B9B">
        <w:rPr>
          <w:rFonts w:hint="eastAsia"/>
          <w:lang w:val="en-US" w:eastAsia="zh-CN"/>
        </w:rPr>
        <w:t>年</w:t>
      </w:r>
    </w:p>
    <w:p w14:paraId="4827BD38"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264</w:t>
      </w:r>
      <w:r w:rsidRPr="006E3B9B">
        <w:rPr>
          <w:lang w:val="en-US" w:eastAsia="zh-CN"/>
        </w:rPr>
        <w:t>号决议</w:t>
      </w:r>
      <w:r w:rsidRPr="006E3B9B">
        <w:rPr>
          <w:lang w:val="en-US" w:eastAsia="zh-CN"/>
        </w:rPr>
        <w:tab/>
      </w:r>
      <w:r w:rsidRPr="006E3B9B">
        <w:rPr>
          <w:rFonts w:hint="eastAsia"/>
          <w:lang w:eastAsia="zh-CN"/>
        </w:rPr>
        <w:t>秘书长</w:t>
      </w:r>
      <w:r w:rsidRPr="006E3B9B">
        <w:rPr>
          <w:lang w:eastAsia="zh-CN"/>
        </w:rPr>
        <w:t>Mulatier</w:t>
      </w:r>
      <w:r w:rsidRPr="006E3B9B">
        <w:rPr>
          <w:rFonts w:hint="eastAsia"/>
          <w:lang w:eastAsia="zh-CN"/>
        </w:rPr>
        <w:t>先生的养恤金</w:t>
      </w:r>
      <w:r w:rsidRPr="006E3B9B">
        <w:rPr>
          <w:lang w:val="en-US" w:eastAsia="zh-CN"/>
        </w:rPr>
        <w:tab/>
      </w:r>
      <w:r w:rsidR="00A45877">
        <w:rPr>
          <w:lang w:val="en-US" w:eastAsia="zh-CN"/>
        </w:rPr>
        <w:tab/>
      </w:r>
      <w:r w:rsidRPr="006E3B9B">
        <w:rPr>
          <w:lang w:val="en-US" w:eastAsia="zh-CN"/>
        </w:rPr>
        <w:t>1981</w:t>
      </w:r>
      <w:r w:rsidRPr="006E3B9B">
        <w:rPr>
          <w:rFonts w:hint="eastAsia"/>
          <w:lang w:val="en-US" w:eastAsia="zh-CN"/>
        </w:rPr>
        <w:t>年</w:t>
      </w:r>
    </w:p>
    <w:p w14:paraId="4827BD39"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265</w:t>
      </w:r>
      <w:r w:rsidRPr="006E3B9B">
        <w:rPr>
          <w:lang w:val="en-US" w:eastAsia="zh-CN"/>
        </w:rPr>
        <w:t>号决议</w:t>
      </w:r>
      <w:r w:rsidRPr="006E3B9B">
        <w:rPr>
          <w:lang w:val="en-US" w:eastAsia="zh-CN"/>
        </w:rPr>
        <w:tab/>
      </w:r>
      <w:r w:rsidRPr="006E3B9B">
        <w:rPr>
          <w:rFonts w:hint="eastAsia"/>
          <w:lang w:eastAsia="zh-CN"/>
        </w:rPr>
        <w:t>任命</w:t>
      </w:r>
      <w:r w:rsidRPr="006E3B9B">
        <w:rPr>
          <w:lang w:eastAsia="zh-CN"/>
        </w:rPr>
        <w:t>M.A. Andrada</w:t>
      </w:r>
      <w:r w:rsidRPr="006E3B9B">
        <w:rPr>
          <w:rFonts w:hint="eastAsia"/>
          <w:lang w:eastAsia="zh-CN"/>
        </w:rPr>
        <w:t>博士为国际电联秘书长</w:t>
      </w:r>
      <w:r w:rsidRPr="006E3B9B">
        <w:rPr>
          <w:lang w:val="en-US" w:eastAsia="zh-CN"/>
        </w:rPr>
        <w:tab/>
      </w:r>
      <w:r w:rsidR="00A45877">
        <w:rPr>
          <w:lang w:val="en-US" w:eastAsia="zh-CN"/>
        </w:rPr>
        <w:tab/>
      </w:r>
      <w:r w:rsidRPr="006E3B9B">
        <w:rPr>
          <w:lang w:val="en-US" w:eastAsia="zh-CN"/>
        </w:rPr>
        <w:t>1954</w:t>
      </w:r>
      <w:r w:rsidRPr="006E3B9B">
        <w:rPr>
          <w:rFonts w:hint="eastAsia"/>
          <w:lang w:val="en-US" w:eastAsia="zh-CN"/>
        </w:rPr>
        <w:t>年</w:t>
      </w:r>
    </w:p>
    <w:p w14:paraId="4827BD3A"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266</w:t>
      </w:r>
      <w:r w:rsidRPr="006E3B9B">
        <w:rPr>
          <w:lang w:val="en-US" w:eastAsia="zh-CN"/>
        </w:rPr>
        <w:t>号决议</w:t>
      </w:r>
      <w:r w:rsidRPr="006E3B9B">
        <w:rPr>
          <w:lang w:val="en-US" w:eastAsia="zh-CN"/>
        </w:rPr>
        <w:tab/>
      </w:r>
      <w:r w:rsidRPr="006E3B9B">
        <w:rPr>
          <w:rFonts w:hint="eastAsia"/>
          <w:lang w:eastAsia="zh-CN"/>
        </w:rPr>
        <w:t>秘书长的任期</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3B"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267</w:t>
      </w:r>
      <w:r w:rsidRPr="006E3B9B">
        <w:rPr>
          <w:lang w:val="en-US" w:eastAsia="zh-CN"/>
        </w:rPr>
        <w:t>号决议</w:t>
      </w:r>
      <w:r w:rsidRPr="006E3B9B">
        <w:rPr>
          <w:lang w:val="en-US" w:eastAsia="zh-CN"/>
        </w:rPr>
        <w:tab/>
      </w:r>
      <w:r w:rsidRPr="006E3B9B">
        <w:rPr>
          <w:rFonts w:hint="eastAsia"/>
          <w:lang w:eastAsia="zh-CN"/>
        </w:rPr>
        <w:t>电报电话行政例行大会的召开</w:t>
      </w:r>
      <w:r w:rsidRPr="006E3B9B">
        <w:rPr>
          <w:lang w:val="en-US" w:eastAsia="zh-CN"/>
        </w:rPr>
        <w:tab/>
      </w:r>
      <w:r w:rsidR="00A45877">
        <w:rPr>
          <w:lang w:val="en-US" w:eastAsia="zh-CN"/>
        </w:rPr>
        <w:tab/>
      </w:r>
      <w:r w:rsidRPr="006E3B9B">
        <w:rPr>
          <w:lang w:val="en-US" w:eastAsia="zh-CN"/>
        </w:rPr>
        <w:t>1953</w:t>
      </w:r>
      <w:r w:rsidRPr="006E3B9B">
        <w:rPr>
          <w:rFonts w:hint="eastAsia"/>
          <w:lang w:val="en-US" w:eastAsia="zh-CN"/>
        </w:rPr>
        <w:t>年</w:t>
      </w:r>
    </w:p>
    <w:p w14:paraId="4827BD3C"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268</w:t>
      </w:r>
      <w:r w:rsidRPr="006E3B9B">
        <w:rPr>
          <w:lang w:val="en-US" w:eastAsia="zh-CN"/>
        </w:rPr>
        <w:t>号决议</w:t>
      </w:r>
      <w:r w:rsidRPr="006E3B9B">
        <w:rPr>
          <w:lang w:val="en-US" w:eastAsia="zh-CN"/>
        </w:rPr>
        <w:tab/>
      </w:r>
      <w:r w:rsidRPr="006E3B9B">
        <w:rPr>
          <w:rFonts w:hint="eastAsia"/>
          <w:lang w:eastAsia="zh-CN"/>
        </w:rPr>
        <w:t>国际电联成为国际劳工组织行政法庭的成员</w:t>
      </w:r>
      <w:r w:rsidRPr="006E3B9B">
        <w:rPr>
          <w:lang w:val="en-US" w:eastAsia="zh-CN"/>
        </w:rPr>
        <w:tab/>
      </w:r>
      <w:r w:rsidR="00A45877">
        <w:rPr>
          <w:lang w:val="en-US" w:eastAsia="zh-CN"/>
        </w:rPr>
        <w:tab/>
      </w:r>
      <w:r w:rsidRPr="006E3B9B">
        <w:rPr>
          <w:lang w:val="en-US" w:eastAsia="zh-CN"/>
        </w:rPr>
        <w:t>1954</w:t>
      </w:r>
      <w:r w:rsidRPr="006E3B9B">
        <w:rPr>
          <w:rFonts w:hint="eastAsia"/>
          <w:lang w:val="en-US" w:eastAsia="zh-CN"/>
        </w:rPr>
        <w:t>年</w:t>
      </w:r>
    </w:p>
    <w:p w14:paraId="4827BD3D"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269</w:t>
      </w:r>
      <w:r w:rsidRPr="006E3B9B">
        <w:rPr>
          <w:lang w:val="en-US" w:eastAsia="zh-CN"/>
        </w:rPr>
        <w:t>号决议</w:t>
      </w:r>
      <w:r w:rsidRPr="006E3B9B">
        <w:rPr>
          <w:lang w:val="en-US" w:eastAsia="zh-CN"/>
        </w:rPr>
        <w:tab/>
      </w:r>
      <w:r w:rsidRPr="006E3B9B">
        <w:rPr>
          <w:rFonts w:hint="eastAsia"/>
          <w:lang w:eastAsia="zh-CN"/>
        </w:rPr>
        <w:t>未清账目</w:t>
      </w:r>
      <w:r w:rsidRPr="006E3B9B">
        <w:rPr>
          <w:lang w:val="en-US" w:eastAsia="zh-CN"/>
        </w:rPr>
        <w:tab/>
      </w:r>
      <w:r w:rsidR="00A45877">
        <w:rPr>
          <w:lang w:val="en-US" w:eastAsia="zh-CN"/>
        </w:rPr>
        <w:tab/>
      </w:r>
      <w:r w:rsidRPr="006E3B9B">
        <w:rPr>
          <w:lang w:val="en-US" w:eastAsia="zh-CN"/>
        </w:rPr>
        <w:t>1954</w:t>
      </w:r>
      <w:r w:rsidRPr="006E3B9B">
        <w:rPr>
          <w:rFonts w:hint="eastAsia"/>
          <w:lang w:val="en-US" w:eastAsia="zh-CN"/>
        </w:rPr>
        <w:t>年</w:t>
      </w:r>
    </w:p>
    <w:p w14:paraId="4827BD3E"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270</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1952</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1</w:t>
      </w:r>
      <w:r w:rsidRPr="006E3B9B">
        <w:rPr>
          <w:rFonts w:hint="eastAsia"/>
          <w:lang w:eastAsia="zh-CN"/>
        </w:rPr>
        <w:t>日</w:t>
      </w:r>
      <w:r w:rsidRPr="006E3B9B">
        <w:rPr>
          <w:lang w:eastAsia="zh-CN"/>
        </w:rPr>
        <w:t>-12</w:t>
      </w:r>
      <w:r w:rsidRPr="006E3B9B">
        <w:rPr>
          <w:rFonts w:hint="eastAsia"/>
          <w:lang w:eastAsia="zh-CN"/>
        </w:rPr>
        <w:t>月</w:t>
      </w:r>
      <w:r w:rsidRPr="006E3B9B">
        <w:rPr>
          <w:lang w:eastAsia="zh-CN"/>
        </w:rPr>
        <w:t>31</w:t>
      </w:r>
      <w:r w:rsidRPr="006E3B9B">
        <w:rPr>
          <w:rFonts w:hint="eastAsia"/>
          <w:lang w:eastAsia="zh-CN"/>
        </w:rPr>
        <w:t>日账目的审计</w:t>
      </w:r>
      <w:r w:rsidRPr="006E3B9B">
        <w:rPr>
          <w:lang w:val="en-US" w:eastAsia="zh-CN"/>
        </w:rPr>
        <w:tab/>
      </w:r>
      <w:r w:rsidR="00A45877">
        <w:rPr>
          <w:lang w:val="en-US" w:eastAsia="zh-CN"/>
        </w:rPr>
        <w:tab/>
      </w:r>
      <w:r w:rsidRPr="006E3B9B">
        <w:rPr>
          <w:lang w:val="en-US" w:eastAsia="zh-CN"/>
        </w:rPr>
        <w:t>1953</w:t>
      </w:r>
      <w:r w:rsidRPr="006E3B9B">
        <w:rPr>
          <w:rFonts w:hint="eastAsia"/>
          <w:lang w:val="en-US" w:eastAsia="zh-CN"/>
        </w:rPr>
        <w:t>年</w:t>
      </w:r>
    </w:p>
    <w:p w14:paraId="4827BD3F"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271</w:t>
      </w:r>
      <w:r w:rsidRPr="006E3B9B">
        <w:rPr>
          <w:lang w:val="en-US" w:eastAsia="zh-CN"/>
        </w:rPr>
        <w:t>号决议</w:t>
      </w:r>
      <w:r w:rsidRPr="006E3B9B">
        <w:rPr>
          <w:lang w:val="en-US" w:eastAsia="zh-CN"/>
        </w:rPr>
        <w:tab/>
      </w:r>
      <w:r w:rsidRPr="006E3B9B">
        <w:rPr>
          <w:lang w:eastAsia="zh-CN"/>
        </w:rPr>
        <w:t>1952</w:t>
      </w:r>
      <w:r w:rsidRPr="006E3B9B">
        <w:rPr>
          <w:rFonts w:hint="eastAsia"/>
          <w:lang w:eastAsia="zh-CN"/>
        </w:rPr>
        <w:t>年财务工作报告</w:t>
      </w:r>
      <w:r w:rsidRPr="006E3B9B">
        <w:rPr>
          <w:lang w:val="en-US" w:eastAsia="zh-CN"/>
        </w:rPr>
        <w:tab/>
      </w:r>
      <w:r w:rsidR="00A45877">
        <w:rPr>
          <w:lang w:val="en-US" w:eastAsia="zh-CN"/>
        </w:rPr>
        <w:tab/>
      </w:r>
      <w:r w:rsidRPr="006E3B9B">
        <w:rPr>
          <w:lang w:val="en-US" w:eastAsia="zh-CN"/>
        </w:rPr>
        <w:t>1953</w:t>
      </w:r>
      <w:r w:rsidRPr="006E3B9B">
        <w:rPr>
          <w:rFonts w:hint="eastAsia"/>
          <w:lang w:val="en-US" w:eastAsia="zh-CN"/>
        </w:rPr>
        <w:t>年</w:t>
      </w:r>
    </w:p>
    <w:p w14:paraId="4827BD40"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272</w:t>
      </w:r>
      <w:r w:rsidRPr="006E3B9B">
        <w:rPr>
          <w:lang w:val="en-US" w:eastAsia="zh-CN"/>
        </w:rPr>
        <w:t>号决议</w:t>
      </w:r>
      <w:r w:rsidRPr="006E3B9B">
        <w:rPr>
          <w:lang w:val="en-US" w:eastAsia="zh-CN"/>
        </w:rPr>
        <w:tab/>
      </w:r>
      <w:r w:rsidRPr="006E3B9B">
        <w:rPr>
          <w:rFonts w:hint="eastAsia"/>
          <w:lang w:eastAsia="zh-CN"/>
        </w:rPr>
        <w:t>经修订的</w:t>
      </w:r>
      <w:r w:rsidRPr="006E3B9B">
        <w:rPr>
          <w:lang w:eastAsia="zh-CN"/>
        </w:rPr>
        <w:t>1953</w:t>
      </w:r>
      <w:r w:rsidRPr="006E3B9B">
        <w:rPr>
          <w:rFonts w:hint="eastAsia"/>
          <w:lang w:eastAsia="zh-CN"/>
        </w:rPr>
        <w:t>和</w:t>
      </w:r>
      <w:r w:rsidRPr="006E3B9B">
        <w:rPr>
          <w:lang w:eastAsia="zh-CN"/>
        </w:rPr>
        <w:t>1954</w:t>
      </w:r>
      <w:r w:rsidRPr="006E3B9B">
        <w:rPr>
          <w:rFonts w:hint="eastAsia"/>
          <w:lang w:eastAsia="zh-CN"/>
        </w:rPr>
        <w:t>年预算</w:t>
      </w:r>
      <w:r w:rsidRPr="006E3B9B">
        <w:rPr>
          <w:lang w:val="en-US" w:eastAsia="zh-CN"/>
        </w:rPr>
        <w:tab/>
      </w:r>
      <w:r w:rsidR="00A45877">
        <w:rPr>
          <w:lang w:val="en-US" w:eastAsia="zh-CN"/>
        </w:rPr>
        <w:tab/>
      </w:r>
      <w:r w:rsidRPr="006E3B9B">
        <w:rPr>
          <w:lang w:val="en-US" w:eastAsia="zh-CN"/>
        </w:rPr>
        <w:t>1954</w:t>
      </w:r>
      <w:r w:rsidRPr="006E3B9B">
        <w:rPr>
          <w:rFonts w:hint="eastAsia"/>
          <w:lang w:val="en-US" w:eastAsia="zh-CN"/>
        </w:rPr>
        <w:t>年</w:t>
      </w:r>
    </w:p>
    <w:p w14:paraId="4827BD41"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273</w:t>
      </w:r>
      <w:r w:rsidRPr="006E3B9B">
        <w:rPr>
          <w:lang w:val="en-US" w:eastAsia="zh-CN"/>
        </w:rPr>
        <w:t>号决议</w:t>
      </w:r>
      <w:r w:rsidRPr="006E3B9B">
        <w:rPr>
          <w:lang w:val="en-US" w:eastAsia="zh-CN"/>
        </w:rPr>
        <w:tab/>
      </w:r>
      <w:r w:rsidRPr="006E3B9B">
        <w:rPr>
          <w:rFonts w:hint="eastAsia"/>
          <w:lang w:eastAsia="zh-CN"/>
        </w:rPr>
        <w:t>为</w:t>
      </w:r>
      <w:r w:rsidRPr="006E3B9B">
        <w:rPr>
          <w:lang w:eastAsia="zh-CN"/>
        </w:rPr>
        <w:t>1954</w:t>
      </w:r>
      <w:r w:rsidRPr="006E3B9B">
        <w:rPr>
          <w:rFonts w:hint="eastAsia"/>
          <w:lang w:eastAsia="zh-CN"/>
        </w:rPr>
        <w:t>年经常性支出确定的会费份额</w:t>
      </w:r>
      <w:r w:rsidRPr="006E3B9B">
        <w:rPr>
          <w:lang w:val="en-US" w:eastAsia="zh-CN"/>
        </w:rPr>
        <w:tab/>
      </w:r>
      <w:r w:rsidR="00A45877">
        <w:rPr>
          <w:lang w:val="en-US" w:eastAsia="zh-CN"/>
        </w:rPr>
        <w:tab/>
      </w:r>
      <w:r w:rsidRPr="006E3B9B">
        <w:rPr>
          <w:lang w:val="en-US" w:eastAsia="zh-CN"/>
        </w:rPr>
        <w:t>1954</w:t>
      </w:r>
      <w:r w:rsidRPr="006E3B9B">
        <w:rPr>
          <w:rFonts w:hint="eastAsia"/>
          <w:lang w:val="en-US" w:eastAsia="zh-CN"/>
        </w:rPr>
        <w:t>年</w:t>
      </w:r>
    </w:p>
    <w:p w14:paraId="4827BD42"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274</w:t>
      </w:r>
      <w:r w:rsidRPr="006E3B9B">
        <w:rPr>
          <w:lang w:val="en-US" w:eastAsia="zh-CN"/>
        </w:rPr>
        <w:t>号决议</w:t>
      </w:r>
      <w:r w:rsidRPr="006E3B9B">
        <w:rPr>
          <w:lang w:val="en-US" w:eastAsia="zh-CN"/>
        </w:rPr>
        <w:tab/>
      </w:r>
      <w:r w:rsidRPr="006E3B9B">
        <w:rPr>
          <w:lang w:eastAsia="zh-CN"/>
        </w:rPr>
        <w:t>1953</w:t>
      </w:r>
      <w:r w:rsidRPr="006E3B9B">
        <w:rPr>
          <w:rFonts w:hint="eastAsia"/>
          <w:lang w:eastAsia="zh-CN"/>
        </w:rPr>
        <w:t>年结账后应转入</w:t>
      </w:r>
      <w:r w:rsidRPr="006E3B9B">
        <w:rPr>
          <w:lang w:eastAsia="zh-CN"/>
        </w:rPr>
        <w:t>1955</w:t>
      </w:r>
      <w:r w:rsidRPr="006E3B9B">
        <w:rPr>
          <w:rFonts w:hint="eastAsia"/>
          <w:lang w:eastAsia="zh-CN"/>
        </w:rPr>
        <w:t>年并支付到储备金账目的余额</w:t>
      </w:r>
      <w:r w:rsidRPr="006E3B9B">
        <w:rPr>
          <w:lang w:val="en-US" w:eastAsia="zh-CN"/>
        </w:rPr>
        <w:tab/>
      </w:r>
      <w:r w:rsidR="00A45877">
        <w:rPr>
          <w:lang w:val="en-US" w:eastAsia="zh-CN"/>
        </w:rPr>
        <w:tab/>
      </w:r>
      <w:r w:rsidRPr="006E3B9B">
        <w:rPr>
          <w:lang w:val="en-US" w:eastAsia="zh-CN"/>
        </w:rPr>
        <w:t>1954</w:t>
      </w:r>
      <w:r w:rsidRPr="006E3B9B">
        <w:rPr>
          <w:rFonts w:hint="eastAsia"/>
          <w:lang w:val="en-US" w:eastAsia="zh-CN"/>
        </w:rPr>
        <w:t>年</w:t>
      </w:r>
    </w:p>
    <w:p w14:paraId="4827BD43"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275</w:t>
      </w:r>
      <w:r w:rsidRPr="006E3B9B">
        <w:rPr>
          <w:lang w:val="en-US" w:eastAsia="zh-CN"/>
        </w:rPr>
        <w:t>号决议</w:t>
      </w:r>
      <w:r w:rsidR="00A45877">
        <w:rPr>
          <w:lang w:val="en-US" w:eastAsia="zh-CN"/>
        </w:rPr>
        <w:tab/>
      </w:r>
      <w:r w:rsidRPr="006E3B9B">
        <w:rPr>
          <w:lang w:eastAsia="zh-CN"/>
        </w:rPr>
        <w:t>1955</w:t>
      </w:r>
      <w:r w:rsidRPr="006E3B9B">
        <w:rPr>
          <w:rFonts w:hint="eastAsia"/>
          <w:lang w:eastAsia="zh-CN"/>
        </w:rPr>
        <w:t>年预算</w:t>
      </w:r>
      <w:r w:rsidRPr="006E3B9B">
        <w:rPr>
          <w:lang w:val="en-US" w:eastAsia="zh-CN"/>
        </w:rPr>
        <w:tab/>
      </w:r>
      <w:r w:rsidR="00A45877">
        <w:rPr>
          <w:lang w:val="en-US" w:eastAsia="zh-CN"/>
        </w:rPr>
        <w:tab/>
      </w:r>
      <w:r w:rsidRPr="006E3B9B">
        <w:rPr>
          <w:lang w:val="en-US" w:eastAsia="zh-CN"/>
        </w:rPr>
        <w:t>1953</w:t>
      </w:r>
      <w:r w:rsidRPr="006E3B9B">
        <w:rPr>
          <w:rFonts w:hint="eastAsia"/>
          <w:lang w:val="en-US" w:eastAsia="zh-CN"/>
        </w:rPr>
        <w:t>年</w:t>
      </w:r>
    </w:p>
    <w:p w14:paraId="4827BD44"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276</w:t>
      </w:r>
      <w:r w:rsidRPr="006E3B9B">
        <w:rPr>
          <w:lang w:val="en-US" w:eastAsia="zh-CN"/>
        </w:rPr>
        <w:t>号决议</w:t>
      </w:r>
      <w:r w:rsidRPr="006E3B9B">
        <w:rPr>
          <w:lang w:val="en-US" w:eastAsia="zh-CN"/>
        </w:rPr>
        <w:tab/>
      </w:r>
      <w:r w:rsidRPr="006E3B9B">
        <w:rPr>
          <w:rFonts w:hint="eastAsia"/>
          <w:lang w:eastAsia="zh-CN"/>
        </w:rPr>
        <w:t>生活费补贴</w:t>
      </w:r>
      <w:r w:rsidRPr="006E3B9B">
        <w:rPr>
          <w:lang w:val="en-US" w:eastAsia="zh-CN"/>
        </w:rPr>
        <w:tab/>
      </w:r>
      <w:r w:rsidR="00A45877">
        <w:rPr>
          <w:lang w:val="en-US" w:eastAsia="zh-CN"/>
        </w:rPr>
        <w:tab/>
      </w:r>
      <w:r w:rsidRPr="006E3B9B">
        <w:rPr>
          <w:lang w:val="en-US" w:eastAsia="zh-CN"/>
        </w:rPr>
        <w:t>1954</w:t>
      </w:r>
      <w:r w:rsidRPr="006E3B9B">
        <w:rPr>
          <w:rFonts w:hint="eastAsia"/>
          <w:lang w:val="en-US" w:eastAsia="zh-CN"/>
        </w:rPr>
        <w:t>年</w:t>
      </w:r>
    </w:p>
    <w:p w14:paraId="4827BD45"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277</w:t>
      </w:r>
      <w:r w:rsidRPr="006E3B9B">
        <w:rPr>
          <w:lang w:val="en-US" w:eastAsia="zh-CN"/>
        </w:rPr>
        <w:t>号决议</w:t>
      </w:r>
      <w:r w:rsidRPr="006E3B9B">
        <w:rPr>
          <w:lang w:val="en-US" w:eastAsia="zh-CN"/>
        </w:rPr>
        <w:tab/>
      </w:r>
      <w:r w:rsidRPr="006E3B9B">
        <w:rPr>
          <w:lang w:eastAsia="zh-CN"/>
        </w:rPr>
        <w:t>频登会</w:t>
      </w:r>
      <w:r w:rsidRPr="006E3B9B">
        <w:rPr>
          <w:rFonts w:hint="eastAsia"/>
          <w:lang w:eastAsia="zh-CN"/>
        </w:rPr>
        <w:t>委员的召回</w:t>
      </w:r>
      <w:r w:rsidRPr="006E3B9B">
        <w:rPr>
          <w:lang w:val="en-US" w:eastAsia="zh-CN"/>
        </w:rPr>
        <w:tab/>
      </w:r>
      <w:r w:rsidR="00A45877">
        <w:rPr>
          <w:lang w:val="en-US" w:eastAsia="zh-CN"/>
        </w:rPr>
        <w:tab/>
      </w:r>
      <w:r w:rsidRPr="006E3B9B">
        <w:rPr>
          <w:lang w:val="en-US" w:eastAsia="zh-CN"/>
        </w:rPr>
        <w:t>1953</w:t>
      </w:r>
      <w:r w:rsidRPr="006E3B9B">
        <w:rPr>
          <w:rFonts w:hint="eastAsia"/>
          <w:lang w:val="en-US" w:eastAsia="zh-CN"/>
        </w:rPr>
        <w:t>年</w:t>
      </w:r>
    </w:p>
    <w:p w14:paraId="4827BD46"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278</w:t>
      </w:r>
      <w:r w:rsidRPr="006E3B9B">
        <w:rPr>
          <w:lang w:val="en-US" w:eastAsia="zh-CN"/>
        </w:rPr>
        <w:t>号决议</w:t>
      </w:r>
      <w:r w:rsidRPr="006E3B9B">
        <w:rPr>
          <w:lang w:val="en-US" w:eastAsia="zh-CN"/>
        </w:rPr>
        <w:tab/>
      </w:r>
      <w:r w:rsidRPr="006E3B9B">
        <w:rPr>
          <w:rFonts w:hint="eastAsia"/>
          <w:lang w:val="en-US" w:eastAsia="zh-CN"/>
        </w:rPr>
        <w:t>国际</w:t>
      </w:r>
      <w:r w:rsidRPr="006E3B9B">
        <w:rPr>
          <w:rFonts w:hint="eastAsia"/>
          <w:lang w:eastAsia="zh-CN"/>
        </w:rPr>
        <w:t>电联职员的招聘</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47"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279</w:t>
      </w:r>
      <w:r w:rsidRPr="006E3B9B">
        <w:rPr>
          <w:lang w:val="en-US" w:eastAsia="zh-CN"/>
        </w:rPr>
        <w:t>号决议</w:t>
      </w:r>
      <w:r w:rsidRPr="006E3B9B">
        <w:rPr>
          <w:lang w:val="en-US" w:eastAsia="zh-CN"/>
        </w:rPr>
        <w:tab/>
      </w:r>
      <w:r w:rsidRPr="006E3B9B">
        <w:rPr>
          <w:rFonts w:hint="eastAsia"/>
          <w:lang w:eastAsia="zh-CN"/>
        </w:rPr>
        <w:t>某些职位的改叙</w:t>
      </w:r>
      <w:r w:rsidRPr="006E3B9B">
        <w:rPr>
          <w:lang w:val="en-US" w:eastAsia="zh-CN"/>
        </w:rPr>
        <w:tab/>
      </w:r>
      <w:r w:rsidR="00A45877">
        <w:rPr>
          <w:lang w:val="en-US" w:eastAsia="zh-CN"/>
        </w:rPr>
        <w:tab/>
      </w:r>
      <w:r w:rsidRPr="006E3B9B">
        <w:rPr>
          <w:lang w:val="en-US" w:eastAsia="zh-CN"/>
        </w:rPr>
        <w:t>1954</w:t>
      </w:r>
      <w:r w:rsidRPr="006E3B9B">
        <w:rPr>
          <w:rFonts w:hint="eastAsia"/>
          <w:lang w:val="en-US" w:eastAsia="zh-CN"/>
        </w:rPr>
        <w:t>年</w:t>
      </w:r>
    </w:p>
    <w:p w14:paraId="4827BD48"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280</w:t>
      </w:r>
      <w:r w:rsidRPr="006E3B9B">
        <w:rPr>
          <w:lang w:val="en-US" w:eastAsia="zh-CN"/>
        </w:rPr>
        <w:t>号决议</w:t>
      </w:r>
      <w:r w:rsidRPr="006E3B9B">
        <w:rPr>
          <w:lang w:val="en-US" w:eastAsia="zh-CN"/>
        </w:rPr>
        <w:tab/>
      </w:r>
      <w:r w:rsidRPr="006E3B9B">
        <w:rPr>
          <w:rFonts w:hint="eastAsia"/>
          <w:lang w:eastAsia="zh-CN"/>
        </w:rPr>
        <w:t>《人事规则》的变更</w:t>
      </w:r>
      <w:r w:rsidRPr="006E3B9B">
        <w:rPr>
          <w:lang w:val="en-US" w:eastAsia="zh-CN"/>
        </w:rPr>
        <w:tab/>
      </w:r>
      <w:r w:rsidR="00A45877">
        <w:rPr>
          <w:lang w:val="en-US" w:eastAsia="zh-CN"/>
        </w:rPr>
        <w:tab/>
      </w:r>
      <w:r w:rsidRPr="006E3B9B">
        <w:rPr>
          <w:lang w:val="en-US" w:eastAsia="zh-CN"/>
        </w:rPr>
        <w:t>1954</w:t>
      </w:r>
      <w:r w:rsidRPr="006E3B9B">
        <w:rPr>
          <w:rFonts w:hint="eastAsia"/>
          <w:lang w:val="en-US" w:eastAsia="zh-CN"/>
        </w:rPr>
        <w:t>年</w:t>
      </w:r>
    </w:p>
    <w:p w14:paraId="4827BD49"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281</w:t>
      </w:r>
      <w:r w:rsidRPr="006E3B9B">
        <w:rPr>
          <w:lang w:val="en-US" w:eastAsia="zh-CN"/>
        </w:rPr>
        <w:t>号决议</w:t>
      </w:r>
      <w:r w:rsidRPr="006E3B9B">
        <w:rPr>
          <w:lang w:val="en-US" w:eastAsia="zh-CN"/>
        </w:rPr>
        <w:tab/>
      </w:r>
      <w:r w:rsidRPr="006E3B9B">
        <w:rPr>
          <w:rFonts w:hint="eastAsia"/>
          <w:lang w:eastAsia="zh-CN"/>
        </w:rPr>
        <w:t>一、职员退休和福利基金规则的变更</w:t>
      </w:r>
      <w:r w:rsidRPr="006E3B9B">
        <w:rPr>
          <w:lang w:val="en-US" w:eastAsia="zh-CN"/>
        </w:rPr>
        <w:tab/>
      </w:r>
      <w:r w:rsidR="00A45877">
        <w:rPr>
          <w:lang w:val="en-US" w:eastAsia="zh-CN"/>
        </w:rPr>
        <w:tab/>
      </w:r>
      <w:r w:rsidRPr="006E3B9B">
        <w:rPr>
          <w:lang w:val="en-US" w:eastAsia="zh-CN"/>
        </w:rPr>
        <w:t>1954</w:t>
      </w:r>
      <w:r w:rsidRPr="006E3B9B">
        <w:rPr>
          <w:rFonts w:hint="eastAsia"/>
          <w:lang w:val="en-US" w:eastAsia="zh-CN"/>
        </w:rPr>
        <w:t>年</w:t>
      </w:r>
    </w:p>
    <w:p w14:paraId="4827BD4A"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282</w:t>
      </w:r>
      <w:r w:rsidRPr="006E3B9B">
        <w:rPr>
          <w:lang w:val="en-US" w:eastAsia="zh-CN"/>
        </w:rPr>
        <w:t>号决议</w:t>
      </w:r>
      <w:r w:rsidRPr="006E3B9B">
        <w:rPr>
          <w:lang w:val="en-US" w:eastAsia="zh-CN"/>
        </w:rPr>
        <w:tab/>
      </w:r>
      <w:r w:rsidRPr="006E3B9B">
        <w:rPr>
          <w:rFonts w:hint="eastAsia"/>
          <w:lang w:eastAsia="zh-CN"/>
        </w:rPr>
        <w:t>二、职员退休和福利基金规则的变更</w:t>
      </w:r>
      <w:r w:rsidRPr="006E3B9B">
        <w:rPr>
          <w:lang w:val="en-US" w:eastAsia="zh-CN"/>
        </w:rPr>
        <w:tab/>
      </w:r>
      <w:r w:rsidR="00A45877">
        <w:rPr>
          <w:lang w:val="en-US" w:eastAsia="zh-CN"/>
        </w:rPr>
        <w:tab/>
      </w:r>
      <w:r w:rsidRPr="006E3B9B">
        <w:rPr>
          <w:lang w:val="en-US" w:eastAsia="zh-CN"/>
        </w:rPr>
        <w:t>1954</w:t>
      </w:r>
      <w:r w:rsidRPr="006E3B9B">
        <w:rPr>
          <w:rFonts w:hint="eastAsia"/>
          <w:lang w:val="en-US" w:eastAsia="zh-CN"/>
        </w:rPr>
        <w:t>年</w:t>
      </w:r>
    </w:p>
    <w:p w14:paraId="4827BD4B"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283</w:t>
      </w:r>
      <w:r w:rsidRPr="006E3B9B">
        <w:rPr>
          <w:lang w:val="en-US" w:eastAsia="zh-CN"/>
        </w:rPr>
        <w:t>号决议</w:t>
      </w:r>
      <w:r w:rsidRPr="006E3B9B">
        <w:rPr>
          <w:lang w:val="en-US" w:eastAsia="zh-CN"/>
        </w:rPr>
        <w:tab/>
      </w:r>
      <w:r w:rsidRPr="006E3B9B">
        <w:rPr>
          <w:rFonts w:hint="eastAsia"/>
          <w:lang w:eastAsia="zh-CN"/>
        </w:rPr>
        <w:t>国际电信词汇</w:t>
      </w:r>
      <w:r w:rsidRPr="006E3B9B">
        <w:rPr>
          <w:lang w:val="en-US" w:eastAsia="zh-CN"/>
        </w:rPr>
        <w:tab/>
      </w:r>
      <w:r w:rsidR="00A45877">
        <w:rPr>
          <w:lang w:val="en-US" w:eastAsia="zh-CN"/>
        </w:rPr>
        <w:tab/>
      </w:r>
      <w:r w:rsidRPr="006E3B9B">
        <w:rPr>
          <w:lang w:val="en-US" w:eastAsia="zh-CN"/>
        </w:rPr>
        <w:t>1975</w:t>
      </w:r>
      <w:r w:rsidRPr="006E3B9B">
        <w:rPr>
          <w:rFonts w:hint="eastAsia"/>
          <w:lang w:val="en-US" w:eastAsia="zh-CN"/>
        </w:rPr>
        <w:t>年</w:t>
      </w:r>
    </w:p>
    <w:p w14:paraId="4827BD4C"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284</w:t>
      </w:r>
      <w:r w:rsidRPr="006E3B9B">
        <w:rPr>
          <w:lang w:val="en-US" w:eastAsia="zh-CN"/>
        </w:rPr>
        <w:t>号决议</w:t>
      </w:r>
      <w:r w:rsidRPr="006E3B9B">
        <w:rPr>
          <w:lang w:val="en-US" w:eastAsia="zh-CN"/>
        </w:rPr>
        <w:tab/>
      </w:r>
      <w:r w:rsidRPr="006E3B9B">
        <w:rPr>
          <w:rFonts w:hint="eastAsia"/>
          <w:lang w:eastAsia="zh-CN"/>
        </w:rPr>
        <w:t>通过航空电信网传送的业务</w:t>
      </w:r>
      <w:r w:rsidRPr="006E3B9B">
        <w:rPr>
          <w:lang w:val="en-US" w:eastAsia="zh-CN"/>
        </w:rPr>
        <w:tab/>
      </w:r>
      <w:r w:rsidR="00A45877">
        <w:rPr>
          <w:lang w:val="en-US" w:eastAsia="zh-CN"/>
        </w:rPr>
        <w:tab/>
      </w:r>
      <w:r w:rsidRPr="006E3B9B">
        <w:rPr>
          <w:lang w:val="en-US" w:eastAsia="zh-CN"/>
        </w:rPr>
        <w:t>1954</w:t>
      </w:r>
      <w:r w:rsidRPr="006E3B9B">
        <w:rPr>
          <w:rFonts w:hint="eastAsia"/>
          <w:lang w:val="en-US" w:eastAsia="zh-CN"/>
        </w:rPr>
        <w:t>年</w:t>
      </w:r>
    </w:p>
    <w:p w14:paraId="4827BD4D"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285</w:t>
      </w:r>
      <w:r w:rsidRPr="006E3B9B">
        <w:rPr>
          <w:lang w:val="en-US" w:eastAsia="zh-CN"/>
        </w:rPr>
        <w:t>号决议</w:t>
      </w:r>
      <w:r w:rsidRPr="006E3B9B">
        <w:rPr>
          <w:lang w:val="en-US" w:eastAsia="zh-CN"/>
        </w:rPr>
        <w:tab/>
      </w:r>
      <w:r w:rsidRPr="006E3B9B">
        <w:rPr>
          <w:rFonts w:hint="eastAsia"/>
          <w:lang w:eastAsia="zh-CN"/>
        </w:rPr>
        <w:t>启用《大西洋城无线电规则》划分给船载无线电报台站的频段</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4E"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286</w:t>
      </w:r>
      <w:r w:rsidRPr="006E3B9B">
        <w:rPr>
          <w:lang w:val="en-US" w:eastAsia="zh-CN"/>
        </w:rPr>
        <w:t>号决议</w:t>
      </w:r>
      <w:r w:rsidRPr="006E3B9B">
        <w:rPr>
          <w:lang w:val="en-US" w:eastAsia="zh-CN"/>
        </w:rPr>
        <w:tab/>
      </w:r>
      <w:r w:rsidRPr="006E3B9B">
        <w:rPr>
          <w:lang w:eastAsia="zh-CN"/>
        </w:rPr>
        <w:t>频登会</w:t>
      </w:r>
      <w:r w:rsidRPr="006E3B9B">
        <w:rPr>
          <w:rFonts w:hint="eastAsia"/>
          <w:lang w:eastAsia="zh-CN"/>
        </w:rPr>
        <w:t>对高频广播业务规划草案的起草</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4F"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287</w:t>
      </w:r>
      <w:r w:rsidRPr="006E3B9B">
        <w:rPr>
          <w:lang w:val="en-US" w:eastAsia="zh-CN"/>
        </w:rPr>
        <w:t>号决议</w:t>
      </w:r>
      <w:r w:rsidRPr="006E3B9B">
        <w:rPr>
          <w:lang w:val="en-US" w:eastAsia="zh-CN"/>
        </w:rPr>
        <w:tab/>
      </w:r>
      <w:r w:rsidRPr="006E3B9B">
        <w:rPr>
          <w:rFonts w:hint="eastAsia"/>
          <w:lang w:eastAsia="zh-CN"/>
        </w:rPr>
        <w:t>国际电联的房屋设施</w:t>
      </w:r>
      <w:r w:rsidRPr="006E3B9B">
        <w:rPr>
          <w:lang w:val="en-US" w:eastAsia="zh-CN"/>
        </w:rPr>
        <w:tab/>
      </w:r>
      <w:r w:rsidR="00A45877">
        <w:rPr>
          <w:lang w:val="en-US" w:eastAsia="zh-CN"/>
        </w:rPr>
        <w:tab/>
      </w:r>
      <w:r w:rsidRPr="006E3B9B">
        <w:rPr>
          <w:lang w:val="en-US" w:eastAsia="zh-CN"/>
        </w:rPr>
        <w:t>1953</w:t>
      </w:r>
      <w:r w:rsidRPr="006E3B9B">
        <w:rPr>
          <w:rFonts w:hint="eastAsia"/>
          <w:lang w:val="en-US" w:eastAsia="zh-CN"/>
        </w:rPr>
        <w:t>年</w:t>
      </w:r>
    </w:p>
    <w:p w14:paraId="4827BD50"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288</w:t>
      </w:r>
      <w:r w:rsidRPr="006E3B9B">
        <w:rPr>
          <w:lang w:val="en-US" w:eastAsia="zh-CN"/>
        </w:rPr>
        <w:t>号决议</w:t>
      </w:r>
      <w:r w:rsidRPr="006E3B9B">
        <w:rPr>
          <w:lang w:val="en-US" w:eastAsia="zh-CN"/>
        </w:rPr>
        <w:tab/>
      </w:r>
      <w:r w:rsidRPr="006E3B9B">
        <w:rPr>
          <w:rFonts w:hint="eastAsia"/>
          <w:lang w:eastAsia="zh-CN"/>
        </w:rPr>
        <w:t>同传设备的租赁条件</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51"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289</w:t>
      </w:r>
      <w:r w:rsidRPr="006E3B9B">
        <w:rPr>
          <w:lang w:val="en-US" w:eastAsia="zh-CN"/>
        </w:rPr>
        <w:t>号决议</w:t>
      </w:r>
      <w:r w:rsidRPr="006E3B9B">
        <w:rPr>
          <w:lang w:val="en-US" w:eastAsia="zh-CN"/>
        </w:rPr>
        <w:tab/>
      </w:r>
      <w:r w:rsidRPr="006E3B9B">
        <w:rPr>
          <w:rFonts w:hint="eastAsia"/>
          <w:lang w:eastAsia="zh-CN"/>
        </w:rPr>
        <w:t>某些决议的修改</w:t>
      </w:r>
      <w:r w:rsidRPr="006E3B9B">
        <w:rPr>
          <w:lang w:val="en-US" w:eastAsia="zh-CN"/>
        </w:rPr>
        <w:tab/>
      </w:r>
      <w:r w:rsidR="00A45877">
        <w:rPr>
          <w:lang w:val="en-US" w:eastAsia="zh-CN"/>
        </w:rPr>
        <w:tab/>
      </w:r>
      <w:r w:rsidRPr="006E3B9B">
        <w:rPr>
          <w:lang w:val="en-US" w:eastAsia="zh-CN"/>
        </w:rPr>
        <w:t>1953</w:t>
      </w:r>
      <w:r w:rsidRPr="006E3B9B">
        <w:rPr>
          <w:rFonts w:hint="eastAsia"/>
          <w:lang w:val="en-US" w:eastAsia="zh-CN"/>
        </w:rPr>
        <w:t>年</w:t>
      </w:r>
    </w:p>
    <w:p w14:paraId="4827BD52" w14:textId="77777777" w:rsidR="006E3B9B" w:rsidRPr="006E3B9B" w:rsidRDefault="006E3B9B" w:rsidP="003E11A1">
      <w:pPr>
        <w:pStyle w:val="Reftitle"/>
        <w:rPr>
          <w:lang w:eastAsia="zh-CN"/>
        </w:rPr>
      </w:pPr>
      <w:r w:rsidRPr="006E3B9B">
        <w:rPr>
          <w:rFonts w:hint="eastAsia"/>
          <w:lang w:eastAsia="zh-CN"/>
        </w:rPr>
        <w:t>第</w:t>
      </w:r>
      <w:r w:rsidRPr="006E3B9B">
        <w:rPr>
          <w:lang w:eastAsia="zh-CN"/>
        </w:rPr>
        <w:t>9</w:t>
      </w:r>
      <w:r w:rsidRPr="006E3B9B">
        <w:rPr>
          <w:rFonts w:hint="eastAsia"/>
          <w:lang w:eastAsia="zh-CN"/>
        </w:rPr>
        <w:t>届会议（</w:t>
      </w:r>
      <w:r w:rsidRPr="006E3B9B">
        <w:rPr>
          <w:lang w:eastAsia="zh-CN"/>
        </w:rPr>
        <w:t>1954</w:t>
      </w:r>
      <w:r w:rsidRPr="006E3B9B">
        <w:rPr>
          <w:rFonts w:hint="eastAsia"/>
          <w:lang w:eastAsia="zh-CN"/>
        </w:rPr>
        <w:t>年</w:t>
      </w:r>
      <w:r w:rsidRPr="006E3B9B">
        <w:rPr>
          <w:lang w:eastAsia="zh-CN"/>
        </w:rPr>
        <w:t>5</w:t>
      </w:r>
      <w:r w:rsidRPr="006E3B9B">
        <w:rPr>
          <w:rFonts w:hint="eastAsia"/>
          <w:lang w:eastAsia="zh-CN"/>
        </w:rPr>
        <w:t>月）</w:t>
      </w:r>
    </w:p>
    <w:p w14:paraId="4827BD53"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290</w:t>
      </w:r>
      <w:r w:rsidRPr="006E3B9B">
        <w:rPr>
          <w:lang w:val="en-US" w:eastAsia="zh-CN"/>
        </w:rPr>
        <w:t>号决议</w:t>
      </w:r>
      <w:r w:rsidRPr="006E3B9B">
        <w:rPr>
          <w:lang w:val="en-US" w:eastAsia="zh-CN"/>
        </w:rPr>
        <w:tab/>
      </w:r>
      <w:r w:rsidRPr="006E3B9B">
        <w:rPr>
          <w:rFonts w:hint="eastAsia"/>
          <w:lang w:eastAsia="zh-CN"/>
        </w:rPr>
        <w:t>例行电报电话行政大会的召开</w:t>
      </w:r>
      <w:r w:rsidRPr="006E3B9B">
        <w:rPr>
          <w:lang w:val="en-US" w:eastAsia="zh-CN"/>
        </w:rPr>
        <w:tab/>
      </w:r>
      <w:r w:rsidR="00A45877">
        <w:rPr>
          <w:lang w:val="en-US" w:eastAsia="zh-CN"/>
        </w:rPr>
        <w:tab/>
      </w:r>
      <w:r w:rsidRPr="006E3B9B">
        <w:rPr>
          <w:lang w:val="en-US" w:eastAsia="zh-CN"/>
        </w:rPr>
        <w:t>1954</w:t>
      </w:r>
      <w:r w:rsidRPr="006E3B9B">
        <w:rPr>
          <w:rFonts w:hint="eastAsia"/>
          <w:lang w:val="en-US" w:eastAsia="zh-CN"/>
        </w:rPr>
        <w:t>年</w:t>
      </w:r>
    </w:p>
    <w:p w14:paraId="4827BD54"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291</w:t>
      </w:r>
      <w:r w:rsidRPr="006E3B9B">
        <w:rPr>
          <w:lang w:val="en-US" w:eastAsia="zh-CN"/>
        </w:rPr>
        <w:t>号决议</w:t>
      </w:r>
      <w:r w:rsidRPr="006E3B9B">
        <w:rPr>
          <w:lang w:val="en-US" w:eastAsia="zh-CN"/>
        </w:rPr>
        <w:tab/>
      </w:r>
      <w:r w:rsidRPr="006E3B9B">
        <w:rPr>
          <w:lang w:eastAsia="zh-CN"/>
        </w:rPr>
        <w:t>国际电报咨询委员会</w:t>
      </w:r>
      <w:r w:rsidRPr="006E3B9B">
        <w:rPr>
          <w:rFonts w:hint="eastAsia"/>
          <w:lang w:eastAsia="zh-CN"/>
        </w:rPr>
        <w:t>和</w:t>
      </w:r>
      <w:r w:rsidRPr="006E3B9B">
        <w:rPr>
          <w:lang w:eastAsia="zh-CN"/>
        </w:rPr>
        <w:t>国际电话咨询委员会</w:t>
      </w:r>
      <w:r w:rsidRPr="006E3B9B">
        <w:rPr>
          <w:rFonts w:hint="eastAsia"/>
          <w:lang w:eastAsia="zh-CN"/>
        </w:rPr>
        <w:t>合并的可能性</w:t>
      </w:r>
      <w:r w:rsidRPr="006E3B9B">
        <w:rPr>
          <w:lang w:val="en-US" w:eastAsia="zh-CN"/>
        </w:rPr>
        <w:tab/>
      </w:r>
      <w:r w:rsidR="00A45877">
        <w:rPr>
          <w:lang w:val="en-US" w:eastAsia="zh-CN"/>
        </w:rPr>
        <w:tab/>
      </w:r>
      <w:r w:rsidRPr="006E3B9B">
        <w:rPr>
          <w:lang w:val="en-US" w:eastAsia="zh-CN"/>
        </w:rPr>
        <w:t>1954</w:t>
      </w:r>
      <w:r w:rsidRPr="006E3B9B">
        <w:rPr>
          <w:rFonts w:hint="eastAsia"/>
          <w:lang w:val="en-US" w:eastAsia="zh-CN"/>
        </w:rPr>
        <w:t>年</w:t>
      </w:r>
    </w:p>
    <w:p w14:paraId="4827BD55"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292</w:t>
      </w:r>
      <w:r w:rsidRPr="006E3B9B">
        <w:rPr>
          <w:lang w:val="en-US" w:eastAsia="zh-CN"/>
        </w:rPr>
        <w:t>号决议</w:t>
      </w:r>
      <w:r w:rsidRPr="006E3B9B">
        <w:rPr>
          <w:lang w:val="en-US" w:eastAsia="zh-CN"/>
        </w:rPr>
        <w:tab/>
      </w:r>
      <w:r w:rsidRPr="006E3B9B">
        <w:rPr>
          <w:lang w:eastAsia="zh-CN"/>
        </w:rPr>
        <w:t>国际电话咨询委员会</w:t>
      </w:r>
      <w:r w:rsidRPr="006E3B9B">
        <w:rPr>
          <w:rFonts w:hint="eastAsia"/>
          <w:lang w:eastAsia="zh-CN"/>
        </w:rPr>
        <w:t>通用交换计划委员会</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56"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293</w:t>
      </w:r>
      <w:r w:rsidRPr="006E3B9B">
        <w:rPr>
          <w:lang w:val="en-US" w:eastAsia="zh-CN"/>
        </w:rPr>
        <w:t>号决议</w:t>
      </w:r>
      <w:r w:rsidRPr="006E3B9B">
        <w:rPr>
          <w:lang w:val="en-US" w:eastAsia="zh-CN"/>
        </w:rPr>
        <w:tab/>
      </w:r>
      <w:r w:rsidRPr="006E3B9B">
        <w:rPr>
          <w:lang w:eastAsia="zh-CN"/>
        </w:rPr>
        <w:t>频登会</w:t>
      </w:r>
      <w:r w:rsidRPr="006E3B9B">
        <w:rPr>
          <w:rFonts w:hint="eastAsia"/>
          <w:lang w:eastAsia="zh-CN"/>
        </w:rPr>
        <w:t>委员的召回</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57"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294</w:t>
      </w:r>
      <w:r w:rsidRPr="006E3B9B">
        <w:rPr>
          <w:lang w:val="en-US" w:eastAsia="zh-CN"/>
        </w:rPr>
        <w:t>号决议</w:t>
      </w:r>
      <w:r w:rsidRPr="006E3B9B">
        <w:rPr>
          <w:lang w:val="en-US" w:eastAsia="zh-CN"/>
        </w:rPr>
        <w:tab/>
      </w:r>
      <w:r w:rsidRPr="006E3B9B">
        <w:rPr>
          <w:lang w:eastAsia="zh-CN"/>
        </w:rPr>
        <w:t>频登会</w:t>
      </w:r>
      <w:r w:rsidRPr="006E3B9B">
        <w:rPr>
          <w:rFonts w:hint="eastAsia"/>
          <w:lang w:eastAsia="zh-CN"/>
        </w:rPr>
        <w:t>对高频广播业务规划草案的筹备</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58"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295</w:t>
      </w:r>
      <w:r w:rsidRPr="006E3B9B">
        <w:rPr>
          <w:lang w:val="en-US" w:eastAsia="zh-CN"/>
        </w:rPr>
        <w:t>号决议</w:t>
      </w:r>
      <w:r w:rsidRPr="006E3B9B">
        <w:rPr>
          <w:lang w:val="en-US" w:eastAsia="zh-CN"/>
        </w:rPr>
        <w:tab/>
      </w:r>
      <w:r w:rsidRPr="006E3B9B">
        <w:rPr>
          <w:lang w:eastAsia="zh-CN"/>
        </w:rPr>
        <w:t>频登会</w:t>
      </w:r>
      <w:r w:rsidRPr="006E3B9B">
        <w:rPr>
          <w:rFonts w:hint="eastAsia"/>
          <w:lang w:eastAsia="zh-CN"/>
        </w:rPr>
        <w:t>和</w:t>
      </w:r>
      <w:r w:rsidRPr="006E3B9B">
        <w:rPr>
          <w:lang w:eastAsia="zh-CN"/>
        </w:rPr>
        <w:t>CCIR</w:t>
      </w:r>
      <w:r w:rsidRPr="006E3B9B">
        <w:rPr>
          <w:rFonts w:hint="eastAsia"/>
          <w:lang w:eastAsia="zh-CN"/>
        </w:rPr>
        <w:t>文件的出版</w:t>
      </w:r>
      <w:r w:rsidRPr="006E3B9B">
        <w:rPr>
          <w:lang w:val="en-US" w:eastAsia="zh-CN"/>
        </w:rPr>
        <w:tab/>
      </w:r>
      <w:r w:rsidR="00A45877">
        <w:rPr>
          <w:lang w:val="en-US" w:eastAsia="zh-CN"/>
        </w:rPr>
        <w:tab/>
      </w:r>
      <w:r w:rsidRPr="006E3B9B">
        <w:rPr>
          <w:lang w:val="en-US" w:eastAsia="zh-CN"/>
        </w:rPr>
        <w:t>1954</w:t>
      </w:r>
      <w:r w:rsidRPr="006E3B9B">
        <w:rPr>
          <w:rFonts w:hint="eastAsia"/>
          <w:lang w:val="en-US" w:eastAsia="zh-CN"/>
        </w:rPr>
        <w:t>年</w:t>
      </w:r>
    </w:p>
    <w:p w14:paraId="4827BD59"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296</w:t>
      </w:r>
      <w:r w:rsidRPr="006E3B9B">
        <w:rPr>
          <w:lang w:val="en-US" w:eastAsia="zh-CN"/>
        </w:rPr>
        <w:t>号决议</w:t>
      </w:r>
      <w:r w:rsidRPr="006E3B9B">
        <w:rPr>
          <w:lang w:val="en-US" w:eastAsia="zh-CN"/>
        </w:rPr>
        <w:tab/>
      </w:r>
      <w:r w:rsidRPr="006E3B9B">
        <w:rPr>
          <w:rFonts w:hint="eastAsia"/>
          <w:lang w:eastAsia="zh-CN"/>
        </w:rPr>
        <w:t>使用联合国电信网传送专门机构的电报业务</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5A"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297</w:t>
      </w:r>
      <w:r w:rsidRPr="006E3B9B">
        <w:rPr>
          <w:lang w:val="en-US" w:eastAsia="zh-CN"/>
        </w:rPr>
        <w:t>号决议</w:t>
      </w:r>
      <w:r w:rsidRPr="006E3B9B">
        <w:rPr>
          <w:lang w:val="en-US" w:eastAsia="zh-CN"/>
        </w:rPr>
        <w:tab/>
      </w:r>
      <w:r w:rsidRPr="006E3B9B">
        <w:rPr>
          <w:rFonts w:hint="eastAsia"/>
          <w:lang w:eastAsia="zh-CN"/>
        </w:rPr>
        <w:t>新闻自由</w:t>
      </w:r>
      <w:r w:rsidRPr="006E3B9B">
        <w:rPr>
          <w:lang w:val="en-US" w:eastAsia="zh-CN"/>
        </w:rPr>
        <w:tab/>
      </w:r>
      <w:r w:rsidR="00A45877">
        <w:rPr>
          <w:lang w:val="en-US" w:eastAsia="zh-CN"/>
        </w:rPr>
        <w:tab/>
      </w:r>
      <w:r w:rsidRPr="006E3B9B">
        <w:rPr>
          <w:lang w:val="en-US" w:eastAsia="zh-CN"/>
        </w:rPr>
        <w:t>1954</w:t>
      </w:r>
      <w:r w:rsidRPr="006E3B9B">
        <w:rPr>
          <w:rFonts w:hint="eastAsia"/>
          <w:lang w:val="en-US" w:eastAsia="zh-CN"/>
        </w:rPr>
        <w:t>年</w:t>
      </w:r>
    </w:p>
    <w:p w14:paraId="4827BD5B"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298</w:t>
      </w:r>
      <w:r w:rsidRPr="006E3B9B">
        <w:rPr>
          <w:lang w:val="en-US" w:eastAsia="zh-CN"/>
        </w:rPr>
        <w:t>号决议</w:t>
      </w:r>
      <w:r w:rsidRPr="006E3B9B">
        <w:rPr>
          <w:lang w:val="en-US" w:eastAsia="zh-CN"/>
        </w:rPr>
        <w:tab/>
      </w:r>
      <w:r w:rsidRPr="006E3B9B">
        <w:rPr>
          <w:rFonts w:hint="eastAsia"/>
          <w:lang w:eastAsia="zh-CN"/>
        </w:rPr>
        <w:t>技术援助</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5C"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299</w:t>
      </w:r>
      <w:r w:rsidRPr="006E3B9B">
        <w:rPr>
          <w:lang w:val="en-US" w:eastAsia="zh-CN"/>
        </w:rPr>
        <w:t>号决议</w:t>
      </w:r>
      <w:r w:rsidRPr="006E3B9B">
        <w:rPr>
          <w:lang w:val="en-US" w:eastAsia="zh-CN"/>
        </w:rPr>
        <w:tab/>
      </w:r>
      <w:r w:rsidRPr="006E3B9B">
        <w:rPr>
          <w:rFonts w:hint="eastAsia"/>
          <w:lang w:eastAsia="zh-CN"/>
        </w:rPr>
        <w:t>通过航空电信网传送的业务</w:t>
      </w:r>
      <w:r w:rsidRPr="006E3B9B">
        <w:rPr>
          <w:lang w:val="en-US" w:eastAsia="zh-CN"/>
        </w:rPr>
        <w:tab/>
      </w:r>
      <w:r w:rsidR="00A45877">
        <w:rPr>
          <w:lang w:val="en-US" w:eastAsia="zh-CN"/>
        </w:rPr>
        <w:tab/>
      </w:r>
      <w:r w:rsidRPr="006E3B9B">
        <w:rPr>
          <w:lang w:val="en-US" w:eastAsia="zh-CN"/>
        </w:rPr>
        <w:t>1954</w:t>
      </w:r>
      <w:r w:rsidRPr="006E3B9B">
        <w:rPr>
          <w:rFonts w:hint="eastAsia"/>
          <w:lang w:val="en-US" w:eastAsia="zh-CN"/>
        </w:rPr>
        <w:t>年</w:t>
      </w:r>
    </w:p>
    <w:p w14:paraId="4827BD5D" w14:textId="77777777" w:rsidR="00BF1CF1" w:rsidRDefault="00BF1CF1">
      <w:pPr>
        <w:tabs>
          <w:tab w:val="clear" w:pos="794"/>
          <w:tab w:val="clear" w:pos="1191"/>
          <w:tab w:val="clear" w:pos="1588"/>
          <w:tab w:val="clear" w:pos="1985"/>
        </w:tabs>
        <w:overflowPunct/>
        <w:autoSpaceDE/>
        <w:autoSpaceDN/>
        <w:adjustRightInd/>
        <w:spacing w:before="0"/>
        <w:jc w:val="left"/>
        <w:textAlignment w:val="auto"/>
        <w:rPr>
          <w:sz w:val="20"/>
          <w:lang w:val="en-US" w:eastAsia="zh-CN"/>
        </w:rPr>
      </w:pPr>
      <w:r>
        <w:rPr>
          <w:lang w:val="en-US" w:eastAsia="zh-CN"/>
        </w:rPr>
        <w:br w:type="page"/>
      </w:r>
    </w:p>
    <w:p w14:paraId="4827BD5E" w14:textId="77777777" w:rsidR="006E3B9B" w:rsidRPr="006E3B9B" w:rsidRDefault="006E3B9B" w:rsidP="00A45877">
      <w:pPr>
        <w:pStyle w:val="Appendixref"/>
        <w:rPr>
          <w:lang w:val="en-US" w:eastAsia="zh-CN"/>
        </w:rPr>
      </w:pPr>
      <w:r w:rsidRPr="006E3B9B">
        <w:rPr>
          <w:lang w:val="en-US" w:eastAsia="zh-CN"/>
        </w:rPr>
        <w:lastRenderedPageBreak/>
        <w:t>第</w:t>
      </w:r>
      <w:r w:rsidRPr="006E3B9B">
        <w:rPr>
          <w:lang w:val="en-US" w:eastAsia="zh-CN"/>
        </w:rPr>
        <w:t>300</w:t>
      </w:r>
      <w:r w:rsidRPr="006E3B9B">
        <w:rPr>
          <w:lang w:val="en-US" w:eastAsia="zh-CN"/>
        </w:rPr>
        <w:t>号决议</w:t>
      </w:r>
      <w:r w:rsidRPr="006E3B9B">
        <w:rPr>
          <w:lang w:val="en-US" w:eastAsia="zh-CN"/>
        </w:rPr>
        <w:tab/>
      </w:r>
      <w:r w:rsidRPr="006E3B9B">
        <w:rPr>
          <w:rFonts w:hint="eastAsia"/>
          <w:lang w:eastAsia="zh-CN"/>
        </w:rPr>
        <w:t>国际电联成为国际劳工组织行政法庭的成员</w:t>
      </w:r>
      <w:r w:rsidRPr="006E3B9B">
        <w:rPr>
          <w:lang w:val="en-US" w:eastAsia="zh-CN"/>
        </w:rPr>
        <w:tab/>
      </w:r>
      <w:r w:rsidR="00A45877">
        <w:rPr>
          <w:lang w:val="en-US" w:eastAsia="zh-CN"/>
        </w:rPr>
        <w:tab/>
      </w:r>
      <w:r w:rsidRPr="006E3B9B">
        <w:rPr>
          <w:lang w:val="en-US" w:eastAsia="zh-CN"/>
        </w:rPr>
        <w:t>1954</w:t>
      </w:r>
      <w:r w:rsidRPr="006E3B9B">
        <w:rPr>
          <w:rFonts w:hint="eastAsia"/>
          <w:lang w:val="en-US" w:eastAsia="zh-CN"/>
        </w:rPr>
        <w:t>年</w:t>
      </w:r>
    </w:p>
    <w:p w14:paraId="4827BD5F"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301</w:t>
      </w:r>
      <w:r w:rsidRPr="006E3B9B">
        <w:rPr>
          <w:lang w:val="en-US" w:eastAsia="zh-CN"/>
        </w:rPr>
        <w:t>号决议</w:t>
      </w:r>
      <w:r w:rsidRPr="006E3B9B">
        <w:rPr>
          <w:lang w:val="en-US" w:eastAsia="zh-CN"/>
        </w:rPr>
        <w:tab/>
      </w:r>
      <w:r w:rsidRPr="006E3B9B">
        <w:rPr>
          <w:rFonts w:hint="eastAsia"/>
          <w:lang w:eastAsia="zh-CN"/>
        </w:rPr>
        <w:t>对国际电联《财务规则》的修正</w:t>
      </w:r>
      <w:r w:rsidRPr="006E3B9B">
        <w:rPr>
          <w:lang w:val="en-US" w:eastAsia="zh-CN"/>
        </w:rPr>
        <w:tab/>
      </w:r>
      <w:r w:rsidR="00A45877">
        <w:rPr>
          <w:lang w:val="en-US" w:eastAsia="zh-CN"/>
        </w:rPr>
        <w:tab/>
      </w:r>
      <w:r w:rsidRPr="006E3B9B">
        <w:rPr>
          <w:lang w:val="en-US" w:eastAsia="zh-CN"/>
        </w:rPr>
        <w:t>1954</w:t>
      </w:r>
      <w:r w:rsidRPr="006E3B9B">
        <w:rPr>
          <w:rFonts w:hint="eastAsia"/>
          <w:lang w:val="en-US" w:eastAsia="zh-CN"/>
        </w:rPr>
        <w:t>年</w:t>
      </w:r>
    </w:p>
    <w:p w14:paraId="4827BD60"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302</w:t>
      </w:r>
      <w:r w:rsidRPr="006E3B9B">
        <w:rPr>
          <w:lang w:val="en-US" w:eastAsia="zh-CN"/>
        </w:rPr>
        <w:t>号决议</w:t>
      </w:r>
      <w:r w:rsidRPr="006E3B9B">
        <w:rPr>
          <w:lang w:val="en-US" w:eastAsia="zh-CN"/>
        </w:rPr>
        <w:tab/>
      </w:r>
      <w:r w:rsidRPr="006E3B9B">
        <w:rPr>
          <w:rFonts w:hint="eastAsia"/>
          <w:lang w:eastAsia="zh-CN"/>
        </w:rPr>
        <w:t>预算格式；利息账目；储备金账目</w:t>
      </w:r>
      <w:r w:rsidRPr="006E3B9B">
        <w:rPr>
          <w:lang w:val="en-US" w:eastAsia="zh-CN"/>
        </w:rPr>
        <w:tab/>
      </w:r>
      <w:r w:rsidR="00A45877">
        <w:rPr>
          <w:lang w:val="en-US" w:eastAsia="zh-CN"/>
        </w:rPr>
        <w:tab/>
      </w:r>
      <w:r w:rsidRPr="006E3B9B">
        <w:rPr>
          <w:lang w:val="en-US" w:eastAsia="zh-CN"/>
        </w:rPr>
        <w:t>1954</w:t>
      </w:r>
      <w:r w:rsidRPr="006E3B9B">
        <w:rPr>
          <w:rFonts w:hint="eastAsia"/>
          <w:lang w:val="en-US" w:eastAsia="zh-CN"/>
        </w:rPr>
        <w:t>年</w:t>
      </w:r>
    </w:p>
    <w:p w14:paraId="4827BD61"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303</w:t>
      </w:r>
      <w:r w:rsidRPr="006E3B9B">
        <w:rPr>
          <w:lang w:val="en-US" w:eastAsia="zh-CN"/>
        </w:rPr>
        <w:t>号决议</w:t>
      </w:r>
      <w:r w:rsidRPr="006E3B9B">
        <w:rPr>
          <w:lang w:val="en-US" w:eastAsia="zh-CN"/>
        </w:rPr>
        <w:tab/>
      </w:r>
      <w:r w:rsidRPr="006E3B9B">
        <w:rPr>
          <w:rFonts w:hint="eastAsia"/>
          <w:lang w:eastAsia="zh-CN"/>
        </w:rPr>
        <w:t>受到查询的账目</w:t>
      </w:r>
      <w:r w:rsidRPr="006E3B9B">
        <w:rPr>
          <w:lang w:val="en-US" w:eastAsia="zh-CN"/>
        </w:rPr>
        <w:tab/>
      </w:r>
      <w:r w:rsidR="00A45877">
        <w:rPr>
          <w:lang w:val="en-US" w:eastAsia="zh-CN"/>
        </w:rPr>
        <w:tab/>
      </w:r>
      <w:r w:rsidRPr="006E3B9B">
        <w:rPr>
          <w:lang w:val="en-US" w:eastAsia="zh-CN"/>
        </w:rPr>
        <w:t>1954</w:t>
      </w:r>
      <w:r w:rsidRPr="006E3B9B">
        <w:rPr>
          <w:rFonts w:hint="eastAsia"/>
          <w:lang w:val="en-US" w:eastAsia="zh-CN"/>
        </w:rPr>
        <w:t>年</w:t>
      </w:r>
    </w:p>
    <w:p w14:paraId="4827BD62"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304</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1953</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1</w:t>
      </w:r>
      <w:r w:rsidRPr="006E3B9B">
        <w:rPr>
          <w:rFonts w:hint="eastAsia"/>
          <w:lang w:eastAsia="zh-CN"/>
        </w:rPr>
        <w:t>日</w:t>
      </w:r>
      <w:r w:rsidRPr="006E3B9B">
        <w:rPr>
          <w:lang w:eastAsia="zh-CN"/>
        </w:rPr>
        <w:t>-12</w:t>
      </w:r>
      <w:r w:rsidRPr="006E3B9B">
        <w:rPr>
          <w:rFonts w:hint="eastAsia"/>
          <w:lang w:eastAsia="zh-CN"/>
        </w:rPr>
        <w:t>月</w:t>
      </w:r>
      <w:r w:rsidRPr="006E3B9B">
        <w:rPr>
          <w:lang w:eastAsia="zh-CN"/>
        </w:rPr>
        <w:t>31</w:t>
      </w:r>
      <w:r w:rsidRPr="006E3B9B">
        <w:rPr>
          <w:rFonts w:hint="eastAsia"/>
          <w:lang w:eastAsia="zh-CN"/>
        </w:rPr>
        <w:t>日账目的审计</w:t>
      </w:r>
      <w:r w:rsidRPr="006E3B9B">
        <w:rPr>
          <w:lang w:val="en-US" w:eastAsia="zh-CN"/>
        </w:rPr>
        <w:tab/>
      </w:r>
      <w:r w:rsidR="00A45877">
        <w:rPr>
          <w:lang w:val="en-US" w:eastAsia="zh-CN"/>
        </w:rPr>
        <w:tab/>
      </w:r>
      <w:r w:rsidRPr="006E3B9B">
        <w:rPr>
          <w:lang w:val="en-US" w:eastAsia="zh-CN"/>
        </w:rPr>
        <w:t>1954</w:t>
      </w:r>
      <w:r w:rsidRPr="006E3B9B">
        <w:rPr>
          <w:rFonts w:hint="eastAsia"/>
          <w:lang w:val="en-US" w:eastAsia="zh-CN"/>
        </w:rPr>
        <w:t>年</w:t>
      </w:r>
    </w:p>
    <w:p w14:paraId="4827BD63"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305</w:t>
      </w:r>
      <w:r w:rsidRPr="006E3B9B">
        <w:rPr>
          <w:lang w:val="en-US" w:eastAsia="zh-CN"/>
        </w:rPr>
        <w:t>号决议</w:t>
      </w:r>
      <w:r w:rsidRPr="006E3B9B">
        <w:rPr>
          <w:lang w:val="en-US" w:eastAsia="zh-CN"/>
        </w:rPr>
        <w:tab/>
      </w:r>
      <w:r w:rsidRPr="006E3B9B">
        <w:rPr>
          <w:lang w:eastAsia="zh-CN"/>
        </w:rPr>
        <w:t>1953</w:t>
      </w:r>
      <w:r w:rsidRPr="006E3B9B">
        <w:rPr>
          <w:rFonts w:hint="eastAsia"/>
          <w:lang w:eastAsia="zh-CN"/>
        </w:rPr>
        <w:t>年财务工作报告</w:t>
      </w:r>
      <w:r w:rsidRPr="006E3B9B">
        <w:rPr>
          <w:lang w:val="en-US" w:eastAsia="zh-CN"/>
        </w:rPr>
        <w:tab/>
      </w:r>
      <w:r w:rsidR="00A45877">
        <w:rPr>
          <w:lang w:val="en-US" w:eastAsia="zh-CN"/>
        </w:rPr>
        <w:tab/>
      </w:r>
      <w:r w:rsidRPr="006E3B9B">
        <w:rPr>
          <w:lang w:val="en-US" w:eastAsia="zh-CN"/>
        </w:rPr>
        <w:t>1954</w:t>
      </w:r>
      <w:r w:rsidRPr="006E3B9B">
        <w:rPr>
          <w:rFonts w:hint="eastAsia"/>
          <w:lang w:val="en-US" w:eastAsia="zh-CN"/>
        </w:rPr>
        <w:t>年</w:t>
      </w:r>
    </w:p>
    <w:p w14:paraId="4827BD64"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306</w:t>
      </w:r>
      <w:r w:rsidRPr="006E3B9B">
        <w:rPr>
          <w:lang w:val="en-US" w:eastAsia="zh-CN"/>
        </w:rPr>
        <w:t>号决议</w:t>
      </w:r>
      <w:r w:rsidRPr="006E3B9B">
        <w:rPr>
          <w:lang w:val="en-US" w:eastAsia="zh-CN"/>
        </w:rPr>
        <w:tab/>
      </w:r>
      <w:r w:rsidRPr="006E3B9B">
        <w:rPr>
          <w:lang w:eastAsia="zh-CN"/>
        </w:rPr>
        <w:t>国际航海无线电协会</w:t>
      </w:r>
      <w:r w:rsidRPr="006E3B9B">
        <w:rPr>
          <w:rFonts w:hint="eastAsia"/>
          <w:lang w:eastAsia="zh-CN"/>
        </w:rPr>
        <w:t>提出的免付欠款利息的请求</w:t>
      </w:r>
      <w:r w:rsidRPr="006E3B9B">
        <w:rPr>
          <w:lang w:val="en-US" w:eastAsia="zh-CN"/>
        </w:rPr>
        <w:tab/>
      </w:r>
      <w:r w:rsidR="00A45877">
        <w:rPr>
          <w:lang w:val="en-US" w:eastAsia="zh-CN"/>
        </w:rPr>
        <w:tab/>
      </w:r>
      <w:r w:rsidRPr="006E3B9B">
        <w:rPr>
          <w:lang w:val="en-US" w:eastAsia="zh-CN"/>
        </w:rPr>
        <w:t>1954</w:t>
      </w:r>
      <w:r w:rsidRPr="006E3B9B">
        <w:rPr>
          <w:rFonts w:hint="eastAsia"/>
          <w:lang w:val="en-US" w:eastAsia="zh-CN"/>
        </w:rPr>
        <w:t>年</w:t>
      </w:r>
    </w:p>
    <w:p w14:paraId="4827BD65"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307</w:t>
      </w:r>
      <w:r w:rsidRPr="006E3B9B">
        <w:rPr>
          <w:lang w:val="en-US" w:eastAsia="zh-CN"/>
        </w:rPr>
        <w:t>号决议</w:t>
      </w:r>
      <w:r w:rsidRPr="006E3B9B">
        <w:rPr>
          <w:lang w:val="en-US" w:eastAsia="zh-CN"/>
        </w:rPr>
        <w:tab/>
      </w:r>
      <w:r w:rsidRPr="006E3B9B">
        <w:rPr>
          <w:rFonts w:hint="eastAsia"/>
          <w:lang w:eastAsia="zh-CN"/>
        </w:rPr>
        <w:t>经修订的</w:t>
      </w:r>
      <w:r w:rsidRPr="006E3B9B">
        <w:rPr>
          <w:lang w:eastAsia="zh-CN"/>
        </w:rPr>
        <w:t>1954</w:t>
      </w:r>
      <w:r w:rsidRPr="006E3B9B">
        <w:rPr>
          <w:rFonts w:hint="eastAsia"/>
          <w:lang w:eastAsia="zh-CN"/>
        </w:rPr>
        <w:t>年预算和</w:t>
      </w:r>
      <w:r w:rsidRPr="006E3B9B">
        <w:rPr>
          <w:lang w:eastAsia="zh-CN"/>
        </w:rPr>
        <w:t>1955</w:t>
      </w:r>
      <w:r w:rsidRPr="006E3B9B">
        <w:rPr>
          <w:rFonts w:hint="eastAsia"/>
          <w:lang w:eastAsia="zh-CN"/>
        </w:rPr>
        <w:t>年预算</w:t>
      </w:r>
      <w:r w:rsidRPr="006E3B9B">
        <w:rPr>
          <w:lang w:val="en-US" w:eastAsia="zh-CN"/>
        </w:rPr>
        <w:tab/>
      </w:r>
      <w:r w:rsidR="00A45877">
        <w:rPr>
          <w:lang w:val="en-US" w:eastAsia="zh-CN"/>
        </w:rPr>
        <w:tab/>
      </w:r>
      <w:r w:rsidRPr="006E3B9B">
        <w:rPr>
          <w:lang w:val="en-US" w:eastAsia="zh-CN"/>
        </w:rPr>
        <w:t>1954</w:t>
      </w:r>
      <w:r w:rsidRPr="006E3B9B">
        <w:rPr>
          <w:rFonts w:hint="eastAsia"/>
          <w:lang w:val="en-US" w:eastAsia="zh-CN"/>
        </w:rPr>
        <w:t>年</w:t>
      </w:r>
    </w:p>
    <w:p w14:paraId="4827BD66"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308</w:t>
      </w:r>
      <w:r w:rsidRPr="006E3B9B">
        <w:rPr>
          <w:lang w:val="en-US" w:eastAsia="zh-CN"/>
        </w:rPr>
        <w:t>号决议</w:t>
      </w:r>
      <w:r w:rsidRPr="006E3B9B">
        <w:rPr>
          <w:lang w:val="en-US" w:eastAsia="zh-CN"/>
        </w:rPr>
        <w:tab/>
      </w:r>
      <w:r w:rsidRPr="006E3B9B">
        <w:rPr>
          <w:rFonts w:hint="eastAsia"/>
          <w:lang w:eastAsia="zh-CN"/>
        </w:rPr>
        <w:t>副秘书长</w:t>
      </w:r>
      <w:r w:rsidRPr="006E3B9B">
        <w:rPr>
          <w:lang w:eastAsia="zh-CN"/>
        </w:rPr>
        <w:t>H</w:t>
      </w:r>
      <w:r w:rsidRPr="006E3B9B">
        <w:rPr>
          <w:rFonts w:hint="eastAsia"/>
          <w:lang w:eastAsia="zh-CN"/>
        </w:rPr>
        <w:t>.T</w:t>
      </w:r>
      <w:r w:rsidRPr="006E3B9B">
        <w:rPr>
          <w:lang w:eastAsia="zh-CN"/>
        </w:rPr>
        <w:t>ownshend</w:t>
      </w:r>
      <w:r w:rsidRPr="006E3B9B">
        <w:rPr>
          <w:rFonts w:hint="eastAsia"/>
          <w:lang w:eastAsia="zh-CN"/>
        </w:rPr>
        <w:t>先生任期的延长</w:t>
      </w:r>
      <w:r w:rsidRPr="006E3B9B">
        <w:rPr>
          <w:lang w:val="en-US" w:eastAsia="zh-CN"/>
        </w:rPr>
        <w:tab/>
      </w:r>
      <w:r w:rsidR="00A45877">
        <w:rPr>
          <w:lang w:val="en-US" w:eastAsia="zh-CN"/>
        </w:rPr>
        <w:tab/>
      </w:r>
      <w:r w:rsidRPr="006E3B9B">
        <w:rPr>
          <w:lang w:val="en-US" w:eastAsia="zh-CN"/>
        </w:rPr>
        <w:t>1954</w:t>
      </w:r>
      <w:r w:rsidRPr="006E3B9B">
        <w:rPr>
          <w:rFonts w:hint="eastAsia"/>
          <w:lang w:val="en-US" w:eastAsia="zh-CN"/>
        </w:rPr>
        <w:t>年</w:t>
      </w:r>
    </w:p>
    <w:p w14:paraId="4827BD67"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309</w:t>
      </w:r>
      <w:r w:rsidRPr="006E3B9B">
        <w:rPr>
          <w:lang w:val="en-US" w:eastAsia="zh-CN"/>
        </w:rPr>
        <w:t>号决议</w:t>
      </w:r>
      <w:r w:rsidRPr="006E3B9B">
        <w:rPr>
          <w:lang w:val="en-US" w:eastAsia="zh-CN"/>
        </w:rPr>
        <w:tab/>
      </w:r>
      <w:r w:rsidRPr="006E3B9B">
        <w:rPr>
          <w:rFonts w:hint="eastAsia"/>
          <w:lang w:eastAsia="zh-CN"/>
        </w:rPr>
        <w:t>对国际电联基本职员薪金表可能做出的修改</w:t>
      </w:r>
      <w:r w:rsidRPr="006E3B9B">
        <w:rPr>
          <w:lang w:val="en-US" w:eastAsia="zh-CN"/>
        </w:rPr>
        <w:tab/>
      </w:r>
      <w:r w:rsidR="00A45877">
        <w:rPr>
          <w:lang w:val="en-US" w:eastAsia="zh-CN"/>
        </w:rPr>
        <w:tab/>
      </w:r>
      <w:r w:rsidRPr="006E3B9B">
        <w:rPr>
          <w:lang w:val="en-US" w:eastAsia="zh-CN"/>
        </w:rPr>
        <w:t>1954</w:t>
      </w:r>
      <w:r w:rsidRPr="006E3B9B">
        <w:rPr>
          <w:rFonts w:hint="eastAsia"/>
          <w:lang w:val="en-US" w:eastAsia="zh-CN"/>
        </w:rPr>
        <w:t>年</w:t>
      </w:r>
    </w:p>
    <w:p w14:paraId="4827BD68"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310</w:t>
      </w:r>
      <w:r w:rsidRPr="006E3B9B">
        <w:rPr>
          <w:lang w:val="en-US" w:eastAsia="zh-CN"/>
        </w:rPr>
        <w:t>号决议</w:t>
      </w:r>
      <w:r w:rsidRPr="006E3B9B">
        <w:rPr>
          <w:lang w:val="en-US" w:eastAsia="zh-CN"/>
        </w:rPr>
        <w:tab/>
      </w:r>
      <w:r w:rsidRPr="006E3B9B">
        <w:rPr>
          <w:rFonts w:hint="eastAsia"/>
          <w:lang w:eastAsia="zh-CN"/>
        </w:rPr>
        <w:t>对《人事规则》第</w:t>
      </w:r>
      <w:r w:rsidRPr="006E3B9B">
        <w:rPr>
          <w:lang w:eastAsia="zh-CN"/>
        </w:rPr>
        <w:t>30</w:t>
      </w:r>
      <w:r w:rsidRPr="006E3B9B">
        <w:rPr>
          <w:rFonts w:hint="eastAsia"/>
          <w:lang w:eastAsia="zh-CN"/>
        </w:rPr>
        <w:t>条的修正</w:t>
      </w:r>
      <w:r w:rsidRPr="006E3B9B">
        <w:rPr>
          <w:lang w:val="en-US" w:eastAsia="zh-CN"/>
        </w:rPr>
        <w:tab/>
      </w:r>
      <w:r w:rsidR="00A45877">
        <w:rPr>
          <w:lang w:val="en-US" w:eastAsia="zh-CN"/>
        </w:rPr>
        <w:tab/>
      </w:r>
      <w:r w:rsidRPr="006E3B9B">
        <w:rPr>
          <w:lang w:val="en-US" w:eastAsia="zh-CN"/>
        </w:rPr>
        <w:t>1954</w:t>
      </w:r>
      <w:r w:rsidRPr="006E3B9B">
        <w:rPr>
          <w:rFonts w:hint="eastAsia"/>
          <w:lang w:val="en-US" w:eastAsia="zh-CN"/>
        </w:rPr>
        <w:t>年</w:t>
      </w:r>
    </w:p>
    <w:p w14:paraId="4827BD69"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311</w:t>
      </w:r>
      <w:r w:rsidRPr="006E3B9B">
        <w:rPr>
          <w:lang w:val="en-US" w:eastAsia="zh-CN"/>
        </w:rPr>
        <w:t>号决议</w:t>
      </w:r>
      <w:r w:rsidRPr="006E3B9B">
        <w:rPr>
          <w:lang w:val="en-US" w:eastAsia="zh-CN"/>
        </w:rPr>
        <w:tab/>
      </w:r>
      <w:r w:rsidRPr="006E3B9B">
        <w:rPr>
          <w:lang w:eastAsia="zh-CN"/>
        </w:rPr>
        <w:t>1</w:t>
      </w:r>
      <w:r w:rsidRPr="006E3B9B">
        <w:rPr>
          <w:rFonts w:hint="eastAsia"/>
          <w:lang w:eastAsia="zh-CN"/>
        </w:rPr>
        <w:t>至</w:t>
      </w:r>
      <w:r w:rsidRPr="006E3B9B">
        <w:rPr>
          <w:lang w:eastAsia="zh-CN"/>
        </w:rPr>
        <w:t>3</w:t>
      </w:r>
      <w:r w:rsidRPr="006E3B9B">
        <w:rPr>
          <w:rFonts w:hint="eastAsia"/>
          <w:lang w:eastAsia="zh-CN"/>
        </w:rPr>
        <w:t>级长期职位候选人的年龄限制</w:t>
      </w:r>
      <w:r w:rsidRPr="006E3B9B">
        <w:rPr>
          <w:lang w:val="en-US" w:eastAsia="zh-CN"/>
        </w:rPr>
        <w:tab/>
      </w:r>
      <w:r w:rsidR="00A45877">
        <w:rPr>
          <w:lang w:val="en-US" w:eastAsia="zh-CN"/>
        </w:rPr>
        <w:tab/>
      </w:r>
      <w:r w:rsidRPr="006E3B9B">
        <w:rPr>
          <w:lang w:val="en-US" w:eastAsia="zh-CN"/>
        </w:rPr>
        <w:t>1954</w:t>
      </w:r>
      <w:r w:rsidRPr="006E3B9B">
        <w:rPr>
          <w:rFonts w:hint="eastAsia"/>
          <w:lang w:val="en-US" w:eastAsia="zh-CN"/>
        </w:rPr>
        <w:t>年</w:t>
      </w:r>
    </w:p>
    <w:p w14:paraId="4827BD6A"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312</w:t>
      </w:r>
      <w:r w:rsidRPr="006E3B9B">
        <w:rPr>
          <w:lang w:val="en-US" w:eastAsia="zh-CN"/>
        </w:rPr>
        <w:t>号决议</w:t>
      </w:r>
      <w:r w:rsidRPr="006E3B9B">
        <w:rPr>
          <w:lang w:val="en-US" w:eastAsia="zh-CN"/>
        </w:rPr>
        <w:tab/>
      </w:r>
      <w:r w:rsidRPr="006E3B9B">
        <w:rPr>
          <w:rFonts w:hint="eastAsia"/>
          <w:lang w:eastAsia="zh-CN"/>
        </w:rPr>
        <w:t>生活费补贴</w:t>
      </w:r>
      <w:r w:rsidRPr="006E3B9B">
        <w:rPr>
          <w:lang w:val="en-US" w:eastAsia="zh-CN"/>
        </w:rPr>
        <w:tab/>
      </w:r>
      <w:r w:rsidR="00A45877">
        <w:rPr>
          <w:lang w:val="en-US" w:eastAsia="zh-CN"/>
        </w:rPr>
        <w:tab/>
      </w:r>
      <w:r w:rsidRPr="006E3B9B">
        <w:rPr>
          <w:lang w:val="en-US" w:eastAsia="zh-CN"/>
        </w:rPr>
        <w:t>1954</w:t>
      </w:r>
      <w:r w:rsidRPr="006E3B9B">
        <w:rPr>
          <w:rFonts w:hint="eastAsia"/>
          <w:lang w:val="en-US" w:eastAsia="zh-CN"/>
        </w:rPr>
        <w:t>年</w:t>
      </w:r>
    </w:p>
    <w:p w14:paraId="4827BD6B"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313</w:t>
      </w:r>
      <w:r w:rsidRPr="006E3B9B">
        <w:rPr>
          <w:lang w:val="en-US" w:eastAsia="zh-CN"/>
        </w:rPr>
        <w:t>号决议</w:t>
      </w:r>
      <w:r w:rsidRPr="006E3B9B">
        <w:rPr>
          <w:lang w:val="en-US" w:eastAsia="zh-CN"/>
        </w:rPr>
        <w:tab/>
      </w:r>
      <w:r w:rsidRPr="006E3B9B">
        <w:rPr>
          <w:rFonts w:hint="eastAsia"/>
          <w:lang w:eastAsia="zh-CN"/>
        </w:rPr>
        <w:t>总秘书处两个职位的改叙</w:t>
      </w:r>
      <w:r w:rsidRPr="006E3B9B">
        <w:rPr>
          <w:lang w:val="en-US" w:eastAsia="zh-CN"/>
        </w:rPr>
        <w:tab/>
      </w:r>
      <w:r w:rsidR="00A45877">
        <w:rPr>
          <w:lang w:val="en-US" w:eastAsia="zh-CN"/>
        </w:rPr>
        <w:tab/>
      </w:r>
      <w:r w:rsidRPr="006E3B9B">
        <w:rPr>
          <w:lang w:val="en-US" w:eastAsia="zh-CN"/>
        </w:rPr>
        <w:t>1954</w:t>
      </w:r>
      <w:r w:rsidRPr="006E3B9B">
        <w:rPr>
          <w:rFonts w:hint="eastAsia"/>
          <w:lang w:val="en-US" w:eastAsia="zh-CN"/>
        </w:rPr>
        <w:t>年</w:t>
      </w:r>
    </w:p>
    <w:p w14:paraId="4827BD6C"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314</w:t>
      </w:r>
      <w:r w:rsidRPr="006E3B9B">
        <w:rPr>
          <w:lang w:val="en-US" w:eastAsia="zh-CN"/>
        </w:rPr>
        <w:t>号决议</w:t>
      </w:r>
      <w:r w:rsidRPr="006E3B9B">
        <w:rPr>
          <w:lang w:val="en-US" w:eastAsia="zh-CN"/>
        </w:rPr>
        <w:tab/>
      </w:r>
      <w:r w:rsidRPr="006E3B9B">
        <w:rPr>
          <w:rFonts w:hint="eastAsia"/>
          <w:lang w:eastAsia="zh-CN"/>
        </w:rPr>
        <w:t>国际电联的新大楼</w:t>
      </w:r>
      <w:r w:rsidRPr="006E3B9B">
        <w:rPr>
          <w:lang w:val="en-US" w:eastAsia="zh-CN"/>
        </w:rPr>
        <w:tab/>
      </w:r>
      <w:r w:rsidR="00A45877">
        <w:rPr>
          <w:lang w:val="en-US" w:eastAsia="zh-CN"/>
        </w:rPr>
        <w:tab/>
      </w:r>
      <w:r w:rsidRPr="006E3B9B">
        <w:rPr>
          <w:lang w:val="en-US" w:eastAsia="zh-CN"/>
        </w:rPr>
        <w:t>1954</w:t>
      </w:r>
      <w:r w:rsidRPr="006E3B9B">
        <w:rPr>
          <w:rFonts w:hint="eastAsia"/>
          <w:lang w:val="en-US" w:eastAsia="zh-CN"/>
        </w:rPr>
        <w:t>年</w:t>
      </w:r>
    </w:p>
    <w:p w14:paraId="4827BD6D"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315</w:t>
      </w:r>
      <w:r w:rsidRPr="006E3B9B">
        <w:rPr>
          <w:lang w:val="en-US" w:eastAsia="zh-CN"/>
        </w:rPr>
        <w:t>号决议</w:t>
      </w:r>
      <w:r w:rsidRPr="006E3B9B">
        <w:rPr>
          <w:lang w:val="en-US" w:eastAsia="zh-CN"/>
        </w:rPr>
        <w:tab/>
      </w:r>
      <w:r w:rsidRPr="006E3B9B">
        <w:rPr>
          <w:rFonts w:hint="eastAsia"/>
          <w:lang w:eastAsia="zh-CN"/>
        </w:rPr>
        <w:t>某些决议的修改</w:t>
      </w:r>
      <w:r w:rsidRPr="006E3B9B">
        <w:rPr>
          <w:lang w:val="en-US" w:eastAsia="zh-CN"/>
        </w:rPr>
        <w:tab/>
      </w:r>
      <w:r w:rsidR="00A45877">
        <w:rPr>
          <w:lang w:val="en-US" w:eastAsia="zh-CN"/>
        </w:rPr>
        <w:tab/>
      </w:r>
      <w:r w:rsidRPr="006E3B9B">
        <w:rPr>
          <w:lang w:val="en-US" w:eastAsia="zh-CN"/>
        </w:rPr>
        <w:t>1954</w:t>
      </w:r>
      <w:r w:rsidRPr="006E3B9B">
        <w:rPr>
          <w:rFonts w:hint="eastAsia"/>
          <w:lang w:val="en-US" w:eastAsia="zh-CN"/>
        </w:rPr>
        <w:t>年</w:t>
      </w:r>
    </w:p>
    <w:p w14:paraId="4827BD6E" w14:textId="77777777" w:rsidR="006E3B9B" w:rsidRPr="006E3B9B" w:rsidRDefault="006E3B9B" w:rsidP="003E11A1">
      <w:pPr>
        <w:pStyle w:val="Reftitle"/>
        <w:rPr>
          <w:lang w:val="en-US" w:eastAsia="zh-CN"/>
        </w:rPr>
      </w:pPr>
      <w:r w:rsidRPr="006E3B9B">
        <w:rPr>
          <w:rFonts w:hint="eastAsia"/>
          <w:lang w:eastAsia="zh-CN"/>
        </w:rPr>
        <w:t>第</w:t>
      </w:r>
      <w:r w:rsidRPr="006E3B9B">
        <w:rPr>
          <w:lang w:eastAsia="zh-CN"/>
        </w:rPr>
        <w:t>10</w:t>
      </w:r>
      <w:r w:rsidRPr="006E3B9B">
        <w:rPr>
          <w:rFonts w:hint="eastAsia"/>
          <w:lang w:eastAsia="zh-CN"/>
        </w:rPr>
        <w:t>届会议</w:t>
      </w:r>
      <w:r w:rsidRPr="006E3B9B">
        <w:rPr>
          <w:lang w:eastAsia="zh-CN"/>
        </w:rPr>
        <w:t>（</w:t>
      </w:r>
      <w:r w:rsidRPr="006E3B9B">
        <w:rPr>
          <w:lang w:eastAsia="zh-CN"/>
        </w:rPr>
        <w:t>1955</w:t>
      </w:r>
      <w:r w:rsidRPr="006E3B9B">
        <w:rPr>
          <w:rFonts w:hint="eastAsia"/>
          <w:lang w:eastAsia="zh-CN"/>
        </w:rPr>
        <w:t>年</w:t>
      </w:r>
      <w:r w:rsidRPr="006E3B9B">
        <w:rPr>
          <w:lang w:eastAsia="zh-CN"/>
        </w:rPr>
        <w:t>4-5</w:t>
      </w:r>
      <w:r w:rsidRPr="006E3B9B">
        <w:rPr>
          <w:rFonts w:hint="eastAsia"/>
          <w:lang w:eastAsia="zh-CN"/>
        </w:rPr>
        <w:t>月</w:t>
      </w:r>
      <w:r w:rsidRPr="006E3B9B">
        <w:rPr>
          <w:lang w:eastAsia="zh-CN"/>
        </w:rPr>
        <w:t>）</w:t>
      </w:r>
    </w:p>
    <w:p w14:paraId="4827BD6F"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316</w:t>
      </w:r>
      <w:r w:rsidRPr="006E3B9B">
        <w:rPr>
          <w:lang w:val="en-US" w:eastAsia="zh-CN"/>
        </w:rPr>
        <w:t>号决议</w:t>
      </w:r>
      <w:r w:rsidRPr="006E3B9B">
        <w:rPr>
          <w:lang w:val="en-US" w:eastAsia="zh-CN"/>
        </w:rPr>
        <w:tab/>
      </w:r>
      <w:r w:rsidRPr="006E3B9B">
        <w:rPr>
          <w:rFonts w:hint="eastAsia"/>
          <w:lang w:eastAsia="zh-CN"/>
        </w:rPr>
        <w:t>电报电话行政大会的召开</w:t>
      </w:r>
      <w:r w:rsidRPr="006E3B9B">
        <w:rPr>
          <w:lang w:val="en-US" w:eastAsia="zh-CN"/>
        </w:rPr>
        <w:tab/>
      </w:r>
      <w:r w:rsidR="00A45877">
        <w:rPr>
          <w:lang w:val="en-US" w:eastAsia="zh-CN"/>
        </w:rPr>
        <w:tab/>
      </w:r>
      <w:r w:rsidRPr="006E3B9B">
        <w:rPr>
          <w:lang w:val="en-US" w:eastAsia="zh-CN"/>
        </w:rPr>
        <w:t>1955</w:t>
      </w:r>
      <w:r w:rsidRPr="006E3B9B">
        <w:rPr>
          <w:rFonts w:hint="eastAsia"/>
          <w:lang w:val="en-US" w:eastAsia="zh-CN"/>
        </w:rPr>
        <w:t>年</w:t>
      </w:r>
    </w:p>
    <w:p w14:paraId="4827BD70"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317</w:t>
      </w:r>
      <w:r w:rsidRPr="006E3B9B">
        <w:rPr>
          <w:lang w:val="en-US" w:eastAsia="zh-CN"/>
        </w:rPr>
        <w:t>号决议</w:t>
      </w:r>
      <w:r w:rsidRPr="006E3B9B">
        <w:rPr>
          <w:lang w:val="en-US" w:eastAsia="zh-CN"/>
        </w:rPr>
        <w:tab/>
      </w:r>
      <w:r w:rsidRPr="006E3B9B">
        <w:rPr>
          <w:rFonts w:hint="eastAsia"/>
          <w:lang w:eastAsia="zh-CN"/>
        </w:rPr>
        <w:t>理事会的经常费用</w:t>
      </w:r>
      <w:r w:rsidRPr="006E3B9B">
        <w:rPr>
          <w:lang w:val="en-US" w:eastAsia="zh-CN"/>
        </w:rPr>
        <w:tab/>
      </w:r>
      <w:r w:rsidR="00A45877">
        <w:rPr>
          <w:lang w:val="en-US" w:eastAsia="zh-CN"/>
        </w:rPr>
        <w:tab/>
      </w:r>
      <w:r w:rsidRPr="006E3B9B">
        <w:rPr>
          <w:lang w:val="en-US" w:eastAsia="zh-CN"/>
        </w:rPr>
        <w:t>1967</w:t>
      </w:r>
      <w:r w:rsidRPr="006E3B9B">
        <w:rPr>
          <w:rFonts w:hint="eastAsia"/>
          <w:lang w:val="en-US" w:eastAsia="zh-CN"/>
        </w:rPr>
        <w:t>年</w:t>
      </w:r>
    </w:p>
    <w:p w14:paraId="4827BD71"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318</w:t>
      </w:r>
      <w:r w:rsidRPr="006E3B9B">
        <w:rPr>
          <w:lang w:val="en-US" w:eastAsia="zh-CN"/>
        </w:rPr>
        <w:t>号决议</w:t>
      </w:r>
      <w:r w:rsidRPr="006E3B9B">
        <w:rPr>
          <w:lang w:val="en-US" w:eastAsia="zh-CN"/>
        </w:rPr>
        <w:tab/>
      </w:r>
      <w:r w:rsidRPr="006E3B9B">
        <w:rPr>
          <w:lang w:eastAsia="zh-CN"/>
        </w:rPr>
        <w:t>国际电报咨询委员会</w:t>
      </w:r>
      <w:r w:rsidRPr="006E3B9B">
        <w:rPr>
          <w:rFonts w:hint="eastAsia"/>
          <w:lang w:eastAsia="zh-CN"/>
        </w:rPr>
        <w:t>和</w:t>
      </w:r>
      <w:r w:rsidRPr="006E3B9B">
        <w:rPr>
          <w:lang w:eastAsia="zh-CN"/>
        </w:rPr>
        <w:t>国际电话咨询委员会</w:t>
      </w:r>
      <w:r w:rsidRPr="006E3B9B">
        <w:rPr>
          <w:rFonts w:hint="eastAsia"/>
          <w:lang w:eastAsia="zh-CN"/>
        </w:rPr>
        <w:t>的合并</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72"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319</w:t>
      </w:r>
      <w:r w:rsidRPr="006E3B9B">
        <w:rPr>
          <w:lang w:val="en-US" w:eastAsia="zh-CN"/>
        </w:rPr>
        <w:t>号决议</w:t>
      </w:r>
      <w:r w:rsidRPr="006E3B9B">
        <w:rPr>
          <w:lang w:val="en-US" w:eastAsia="zh-CN"/>
        </w:rPr>
        <w:tab/>
      </w:r>
      <w:r w:rsidRPr="006E3B9B">
        <w:rPr>
          <w:lang w:eastAsia="zh-CN"/>
        </w:rPr>
        <w:t>国际电报咨询委员会</w:t>
      </w:r>
      <w:r w:rsidRPr="006E3B9B">
        <w:rPr>
          <w:rFonts w:hint="eastAsia"/>
          <w:lang w:eastAsia="zh-CN"/>
        </w:rPr>
        <w:t>和</w:t>
      </w:r>
      <w:r w:rsidRPr="006E3B9B">
        <w:rPr>
          <w:lang w:eastAsia="zh-CN"/>
        </w:rPr>
        <w:t>国际电话咨询委员会</w:t>
      </w:r>
      <w:r w:rsidRPr="006E3B9B">
        <w:rPr>
          <w:rFonts w:hint="eastAsia"/>
          <w:lang w:eastAsia="zh-CN"/>
        </w:rPr>
        <w:t>的合并程序</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73"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320</w:t>
      </w:r>
      <w:r w:rsidRPr="006E3B9B">
        <w:rPr>
          <w:lang w:val="en-US" w:eastAsia="zh-CN"/>
        </w:rPr>
        <w:t>号决议</w:t>
      </w:r>
      <w:r w:rsidRPr="006E3B9B">
        <w:rPr>
          <w:lang w:val="en-US" w:eastAsia="zh-CN"/>
        </w:rPr>
        <w:tab/>
      </w:r>
      <w:r w:rsidRPr="006E3B9B">
        <w:rPr>
          <w:rFonts w:hint="eastAsia"/>
          <w:lang w:eastAsia="zh-CN"/>
        </w:rPr>
        <w:t>公共服务的集中</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74"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321</w:t>
      </w:r>
      <w:r w:rsidRPr="006E3B9B">
        <w:rPr>
          <w:lang w:val="en-US" w:eastAsia="zh-CN"/>
        </w:rPr>
        <w:t>号决议</w:t>
      </w:r>
      <w:r w:rsidRPr="006E3B9B">
        <w:rPr>
          <w:lang w:val="en-US" w:eastAsia="zh-CN"/>
        </w:rPr>
        <w:tab/>
      </w:r>
      <w:r w:rsidRPr="006E3B9B">
        <w:rPr>
          <w:rFonts w:hint="eastAsia"/>
          <w:lang w:eastAsia="zh-CN"/>
        </w:rPr>
        <w:t>新闻自由</w:t>
      </w:r>
      <w:r w:rsidRPr="006E3B9B">
        <w:rPr>
          <w:lang w:val="en-US" w:eastAsia="zh-CN"/>
        </w:rPr>
        <w:tab/>
      </w:r>
      <w:r w:rsidR="00A45877">
        <w:rPr>
          <w:lang w:val="en-US" w:eastAsia="zh-CN"/>
        </w:rPr>
        <w:tab/>
      </w:r>
      <w:r w:rsidRPr="006E3B9B">
        <w:rPr>
          <w:lang w:val="en-US" w:eastAsia="zh-CN"/>
        </w:rPr>
        <w:t>1955</w:t>
      </w:r>
      <w:r w:rsidRPr="006E3B9B">
        <w:rPr>
          <w:rFonts w:hint="eastAsia"/>
          <w:lang w:val="en-US" w:eastAsia="zh-CN"/>
        </w:rPr>
        <w:t>年</w:t>
      </w:r>
    </w:p>
    <w:p w14:paraId="4827BD75"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322</w:t>
      </w:r>
      <w:r w:rsidRPr="006E3B9B">
        <w:rPr>
          <w:lang w:val="en-US" w:eastAsia="zh-CN"/>
        </w:rPr>
        <w:t>号决议</w:t>
      </w:r>
      <w:r w:rsidRPr="006E3B9B">
        <w:rPr>
          <w:lang w:val="en-US" w:eastAsia="zh-CN"/>
        </w:rPr>
        <w:tab/>
      </w:r>
      <w:r w:rsidRPr="006E3B9B">
        <w:rPr>
          <w:rFonts w:hint="eastAsia"/>
          <w:lang w:eastAsia="zh-CN"/>
        </w:rPr>
        <w:t>技术援助</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76"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323</w:t>
      </w:r>
      <w:r w:rsidRPr="006E3B9B">
        <w:rPr>
          <w:lang w:val="en-US" w:eastAsia="zh-CN"/>
        </w:rPr>
        <w:t>号决议</w:t>
      </w:r>
      <w:r w:rsidRPr="006E3B9B">
        <w:rPr>
          <w:lang w:val="en-US" w:eastAsia="zh-CN"/>
        </w:rPr>
        <w:tab/>
      </w:r>
      <w:r w:rsidRPr="006E3B9B">
        <w:rPr>
          <w:rFonts w:hint="eastAsia"/>
          <w:lang w:eastAsia="zh-CN"/>
        </w:rPr>
        <w:t>通过航空电信网传送的业务</w:t>
      </w:r>
      <w:r w:rsidRPr="006E3B9B">
        <w:rPr>
          <w:lang w:val="en-US" w:eastAsia="zh-CN"/>
        </w:rPr>
        <w:tab/>
      </w:r>
      <w:r w:rsidR="00A45877">
        <w:rPr>
          <w:lang w:val="en-US" w:eastAsia="zh-CN"/>
        </w:rPr>
        <w:tab/>
      </w:r>
      <w:r w:rsidRPr="006E3B9B">
        <w:rPr>
          <w:lang w:val="en-US" w:eastAsia="zh-CN"/>
        </w:rPr>
        <w:t>1955</w:t>
      </w:r>
      <w:r w:rsidRPr="006E3B9B">
        <w:rPr>
          <w:rFonts w:hint="eastAsia"/>
          <w:lang w:val="en-US" w:eastAsia="zh-CN"/>
        </w:rPr>
        <w:t>年</w:t>
      </w:r>
    </w:p>
    <w:p w14:paraId="4827BD77"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324</w:t>
      </w:r>
      <w:r w:rsidRPr="006E3B9B">
        <w:rPr>
          <w:lang w:val="en-US" w:eastAsia="zh-CN"/>
        </w:rPr>
        <w:t>号决议</w:t>
      </w:r>
      <w:r w:rsidRPr="006E3B9B">
        <w:rPr>
          <w:lang w:val="en-US" w:eastAsia="zh-CN"/>
        </w:rPr>
        <w:tab/>
      </w:r>
      <w:r w:rsidRPr="006E3B9B">
        <w:rPr>
          <w:rFonts w:hint="eastAsia"/>
          <w:lang w:val="en-US" w:eastAsia="zh-CN"/>
        </w:rPr>
        <w:t>国际</w:t>
      </w:r>
      <w:r w:rsidRPr="006E3B9B">
        <w:rPr>
          <w:rFonts w:hint="eastAsia"/>
          <w:lang w:eastAsia="zh-CN"/>
        </w:rPr>
        <w:t>电联预算的新格式</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78"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325</w:t>
      </w:r>
      <w:r w:rsidRPr="006E3B9B">
        <w:rPr>
          <w:lang w:val="en-US" w:eastAsia="zh-CN"/>
        </w:rPr>
        <w:t>号决议</w:t>
      </w:r>
      <w:r w:rsidRPr="006E3B9B">
        <w:rPr>
          <w:lang w:val="en-US" w:eastAsia="zh-CN"/>
        </w:rPr>
        <w:tab/>
      </w:r>
      <w:r w:rsidRPr="006E3B9B">
        <w:rPr>
          <w:rFonts w:hint="eastAsia"/>
          <w:lang w:eastAsia="zh-CN"/>
        </w:rPr>
        <w:t>有关家具、办公机器和办公用品的预算项目的合并</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79"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326</w:t>
      </w:r>
      <w:r w:rsidRPr="006E3B9B">
        <w:rPr>
          <w:lang w:val="en-US" w:eastAsia="zh-CN"/>
        </w:rPr>
        <w:t>号决议</w:t>
      </w:r>
      <w:r w:rsidRPr="006E3B9B">
        <w:rPr>
          <w:lang w:val="en-US" w:eastAsia="zh-CN"/>
        </w:rPr>
        <w:tab/>
      </w:r>
      <w:r w:rsidRPr="006E3B9B">
        <w:rPr>
          <w:rFonts w:hint="eastAsia"/>
          <w:lang w:eastAsia="zh-CN"/>
        </w:rPr>
        <w:t>与差旅费相关的预算项目的集中</w:t>
      </w:r>
      <w:r w:rsidRPr="006E3B9B">
        <w:rPr>
          <w:lang w:val="en-US" w:eastAsia="zh-CN"/>
        </w:rPr>
        <w:tab/>
      </w:r>
      <w:r w:rsidR="00A45877">
        <w:rPr>
          <w:lang w:val="en-US" w:eastAsia="zh-CN"/>
        </w:rPr>
        <w:tab/>
      </w:r>
      <w:r w:rsidRPr="006E3B9B">
        <w:rPr>
          <w:lang w:val="en-US" w:eastAsia="zh-CN"/>
        </w:rPr>
        <w:t>1993</w:t>
      </w:r>
      <w:r w:rsidRPr="006E3B9B">
        <w:rPr>
          <w:rFonts w:hint="eastAsia"/>
          <w:lang w:val="en-US" w:eastAsia="zh-CN"/>
        </w:rPr>
        <w:t>年</w:t>
      </w:r>
    </w:p>
    <w:p w14:paraId="4827BD7A"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327</w:t>
      </w:r>
      <w:r w:rsidRPr="006E3B9B">
        <w:rPr>
          <w:lang w:val="en-US" w:eastAsia="zh-CN"/>
        </w:rPr>
        <w:t>号决议</w:t>
      </w:r>
      <w:r w:rsidRPr="006E3B9B">
        <w:rPr>
          <w:lang w:val="en-US" w:eastAsia="zh-CN"/>
        </w:rPr>
        <w:tab/>
      </w:r>
      <w:r w:rsidRPr="006E3B9B">
        <w:rPr>
          <w:lang w:eastAsia="zh-CN"/>
        </w:rPr>
        <w:t>1956</w:t>
      </w:r>
      <w:r w:rsidRPr="006E3B9B">
        <w:rPr>
          <w:rFonts w:hint="eastAsia"/>
          <w:lang w:eastAsia="zh-CN"/>
        </w:rPr>
        <w:t>年的预算；新合并的</w:t>
      </w:r>
      <w:r w:rsidRPr="006E3B9B">
        <w:rPr>
          <w:lang w:eastAsia="zh-CN"/>
        </w:rPr>
        <w:t>国际电报咨询委员会</w:t>
      </w:r>
      <w:r w:rsidRPr="006E3B9B">
        <w:rPr>
          <w:lang w:eastAsia="zh-CN"/>
        </w:rPr>
        <w:t>1956</w:t>
      </w:r>
      <w:r w:rsidRPr="006E3B9B">
        <w:rPr>
          <w:rFonts w:hint="eastAsia"/>
          <w:lang w:eastAsia="zh-CN"/>
        </w:rPr>
        <w:t>年的预计支出；经修订的</w:t>
      </w:r>
      <w:r w:rsidRPr="006E3B9B">
        <w:rPr>
          <w:lang w:eastAsia="zh-CN"/>
        </w:rPr>
        <w:br/>
      </w:r>
      <w:r w:rsidRPr="006E3B9B">
        <w:rPr>
          <w:lang w:eastAsia="zh-CN"/>
        </w:rPr>
        <w:t>国际电话咨询委员会</w:t>
      </w:r>
      <w:r w:rsidRPr="006E3B9B">
        <w:rPr>
          <w:lang w:eastAsia="zh-CN"/>
        </w:rPr>
        <w:t>1955</w:t>
      </w:r>
      <w:r w:rsidRPr="006E3B9B">
        <w:rPr>
          <w:rFonts w:hint="eastAsia"/>
          <w:lang w:eastAsia="zh-CN"/>
        </w:rPr>
        <w:t>年非常预算</w:t>
      </w:r>
      <w:r w:rsidRPr="006E3B9B">
        <w:rPr>
          <w:lang w:val="en-US" w:eastAsia="zh-CN"/>
        </w:rPr>
        <w:tab/>
      </w:r>
      <w:r w:rsidR="00A45877">
        <w:rPr>
          <w:lang w:val="en-US" w:eastAsia="zh-CN"/>
        </w:rPr>
        <w:tab/>
      </w:r>
      <w:r w:rsidRPr="006E3B9B">
        <w:rPr>
          <w:lang w:val="en-US" w:eastAsia="zh-CN"/>
        </w:rPr>
        <w:t>1955</w:t>
      </w:r>
      <w:r w:rsidRPr="006E3B9B">
        <w:rPr>
          <w:rFonts w:hint="eastAsia"/>
          <w:lang w:val="en-US" w:eastAsia="zh-CN"/>
        </w:rPr>
        <w:t>年</w:t>
      </w:r>
    </w:p>
    <w:p w14:paraId="4827BD7B"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328</w:t>
      </w:r>
      <w:r w:rsidRPr="006E3B9B">
        <w:rPr>
          <w:lang w:val="en-US" w:eastAsia="zh-CN"/>
        </w:rPr>
        <w:t>号决议</w:t>
      </w:r>
      <w:r w:rsidRPr="006E3B9B">
        <w:rPr>
          <w:lang w:val="en-US" w:eastAsia="zh-CN"/>
        </w:rPr>
        <w:tab/>
      </w:r>
      <w:r w:rsidRPr="006E3B9B">
        <w:rPr>
          <w:lang w:eastAsia="zh-CN"/>
        </w:rPr>
        <w:t>1954</w:t>
      </w:r>
      <w:r w:rsidRPr="006E3B9B">
        <w:rPr>
          <w:rFonts w:hint="eastAsia"/>
          <w:lang w:eastAsia="zh-CN"/>
        </w:rPr>
        <w:t>年财务工作报告</w:t>
      </w:r>
      <w:r w:rsidRPr="006E3B9B">
        <w:rPr>
          <w:lang w:val="en-US" w:eastAsia="zh-CN"/>
        </w:rPr>
        <w:tab/>
      </w:r>
      <w:r w:rsidR="00A45877">
        <w:rPr>
          <w:lang w:val="en-US" w:eastAsia="zh-CN"/>
        </w:rPr>
        <w:tab/>
      </w:r>
      <w:r w:rsidRPr="006E3B9B">
        <w:rPr>
          <w:lang w:val="en-US" w:eastAsia="zh-CN"/>
        </w:rPr>
        <w:t>1955</w:t>
      </w:r>
      <w:r w:rsidRPr="006E3B9B">
        <w:rPr>
          <w:rFonts w:hint="eastAsia"/>
          <w:lang w:val="en-US" w:eastAsia="zh-CN"/>
        </w:rPr>
        <w:t>年</w:t>
      </w:r>
    </w:p>
    <w:p w14:paraId="4827BD7C"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329</w:t>
      </w:r>
      <w:r w:rsidRPr="006E3B9B">
        <w:rPr>
          <w:lang w:val="en-US" w:eastAsia="zh-CN"/>
        </w:rPr>
        <w:t>号决议</w:t>
      </w:r>
      <w:r w:rsidRPr="006E3B9B">
        <w:rPr>
          <w:lang w:val="en-US" w:eastAsia="zh-CN"/>
        </w:rPr>
        <w:tab/>
      </w:r>
      <w:r w:rsidRPr="006E3B9B">
        <w:rPr>
          <w:rFonts w:hint="eastAsia"/>
          <w:lang w:eastAsia="zh-CN"/>
        </w:rPr>
        <w:t>受到查询的账目</w:t>
      </w:r>
      <w:r w:rsidRPr="006E3B9B">
        <w:rPr>
          <w:lang w:val="en-US" w:eastAsia="zh-CN"/>
        </w:rPr>
        <w:tab/>
      </w:r>
      <w:r w:rsidR="00A45877">
        <w:rPr>
          <w:lang w:val="en-US" w:eastAsia="zh-CN"/>
        </w:rPr>
        <w:tab/>
      </w:r>
      <w:r w:rsidRPr="006E3B9B">
        <w:rPr>
          <w:lang w:val="en-US" w:eastAsia="zh-CN"/>
        </w:rPr>
        <w:t>1955</w:t>
      </w:r>
      <w:r w:rsidRPr="006E3B9B">
        <w:rPr>
          <w:rFonts w:hint="eastAsia"/>
          <w:lang w:val="en-US" w:eastAsia="zh-CN"/>
        </w:rPr>
        <w:t>年</w:t>
      </w:r>
    </w:p>
    <w:p w14:paraId="4827BD7D"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330</w:t>
      </w:r>
      <w:r w:rsidRPr="006E3B9B">
        <w:rPr>
          <w:lang w:val="en-US" w:eastAsia="zh-CN"/>
        </w:rPr>
        <w:t>号决议</w:t>
      </w:r>
      <w:r w:rsidRPr="006E3B9B">
        <w:rPr>
          <w:lang w:val="en-US" w:eastAsia="zh-CN"/>
        </w:rPr>
        <w:tab/>
      </w:r>
      <w:r w:rsidRPr="006E3B9B">
        <w:rPr>
          <w:rFonts w:hint="eastAsia"/>
          <w:lang w:eastAsia="zh-CN"/>
        </w:rPr>
        <w:t>会费欠款</w:t>
      </w:r>
      <w:r w:rsidRPr="006E3B9B">
        <w:rPr>
          <w:lang w:val="en-US" w:eastAsia="zh-CN"/>
        </w:rPr>
        <w:tab/>
      </w:r>
      <w:r w:rsidR="00A45877">
        <w:rPr>
          <w:lang w:val="en-US" w:eastAsia="zh-CN"/>
        </w:rPr>
        <w:tab/>
      </w:r>
      <w:r w:rsidRPr="006E3B9B">
        <w:rPr>
          <w:lang w:val="en-US" w:eastAsia="zh-CN"/>
        </w:rPr>
        <w:t>1955</w:t>
      </w:r>
      <w:r w:rsidRPr="006E3B9B">
        <w:rPr>
          <w:rFonts w:hint="eastAsia"/>
          <w:lang w:val="en-US" w:eastAsia="zh-CN"/>
        </w:rPr>
        <w:t>年</w:t>
      </w:r>
    </w:p>
    <w:p w14:paraId="4827BD7E"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331</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1954</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1</w:t>
      </w:r>
      <w:r w:rsidRPr="006E3B9B">
        <w:rPr>
          <w:rFonts w:hint="eastAsia"/>
          <w:lang w:eastAsia="zh-CN"/>
        </w:rPr>
        <w:t>日</w:t>
      </w:r>
      <w:r w:rsidRPr="006E3B9B">
        <w:rPr>
          <w:lang w:eastAsia="zh-CN"/>
        </w:rPr>
        <w:t>-12</w:t>
      </w:r>
      <w:r w:rsidRPr="006E3B9B">
        <w:rPr>
          <w:rFonts w:hint="eastAsia"/>
          <w:lang w:eastAsia="zh-CN"/>
        </w:rPr>
        <w:t>月</w:t>
      </w:r>
      <w:r w:rsidRPr="006E3B9B">
        <w:rPr>
          <w:lang w:eastAsia="zh-CN"/>
        </w:rPr>
        <w:t>31</w:t>
      </w:r>
      <w:r w:rsidRPr="006E3B9B">
        <w:rPr>
          <w:rFonts w:hint="eastAsia"/>
          <w:lang w:eastAsia="zh-CN"/>
        </w:rPr>
        <w:t>日账目的审计</w:t>
      </w:r>
      <w:r w:rsidRPr="006E3B9B">
        <w:rPr>
          <w:lang w:val="en-US" w:eastAsia="zh-CN"/>
        </w:rPr>
        <w:tab/>
      </w:r>
      <w:r w:rsidR="00A45877">
        <w:rPr>
          <w:lang w:val="en-US" w:eastAsia="zh-CN"/>
        </w:rPr>
        <w:tab/>
      </w:r>
      <w:r w:rsidRPr="006E3B9B">
        <w:rPr>
          <w:lang w:val="en-US" w:eastAsia="zh-CN"/>
        </w:rPr>
        <w:t>1955</w:t>
      </w:r>
      <w:r w:rsidRPr="006E3B9B">
        <w:rPr>
          <w:rFonts w:hint="eastAsia"/>
          <w:lang w:val="en-US" w:eastAsia="zh-CN"/>
        </w:rPr>
        <w:t>年</w:t>
      </w:r>
    </w:p>
    <w:p w14:paraId="4827BD7F"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332</w:t>
      </w:r>
      <w:r w:rsidRPr="006E3B9B">
        <w:rPr>
          <w:lang w:val="en-US" w:eastAsia="zh-CN"/>
        </w:rPr>
        <w:t>号决议</w:t>
      </w:r>
      <w:r w:rsidRPr="006E3B9B">
        <w:rPr>
          <w:lang w:val="en-US" w:eastAsia="zh-CN"/>
        </w:rPr>
        <w:tab/>
      </w:r>
      <w:r w:rsidRPr="006E3B9B">
        <w:rPr>
          <w:rFonts w:hint="eastAsia"/>
          <w:lang w:eastAsia="zh-CN"/>
        </w:rPr>
        <w:t>一位</w:t>
      </w:r>
      <w:r w:rsidRPr="006E3B9B">
        <w:rPr>
          <w:lang w:eastAsia="zh-CN"/>
        </w:rPr>
        <w:t>国际咨询委员会</w:t>
      </w:r>
      <w:r w:rsidRPr="006E3B9B">
        <w:rPr>
          <w:rFonts w:hint="eastAsia"/>
          <w:lang w:eastAsia="zh-CN"/>
        </w:rPr>
        <w:t>代表出席</w:t>
      </w:r>
      <w:r w:rsidRPr="006E3B9B">
        <w:rPr>
          <w:lang w:eastAsia="zh-CN"/>
        </w:rPr>
        <w:t>国际咨询委员会</w:t>
      </w:r>
      <w:r w:rsidRPr="006E3B9B">
        <w:rPr>
          <w:rFonts w:hint="eastAsia"/>
          <w:lang w:eastAsia="zh-CN"/>
        </w:rPr>
        <w:t>另一个会议产生的费用</w:t>
      </w:r>
      <w:r w:rsidR="00A45877">
        <w:rPr>
          <w:lang w:eastAsia="zh-CN"/>
        </w:rPr>
        <w:tab/>
      </w:r>
      <w:r w:rsidRPr="006E3B9B">
        <w:rPr>
          <w:lang w:val="en-US" w:eastAsia="zh-CN"/>
        </w:rPr>
        <w:tab/>
        <w:t>1981</w:t>
      </w:r>
      <w:r w:rsidRPr="006E3B9B">
        <w:rPr>
          <w:rFonts w:hint="eastAsia"/>
          <w:lang w:val="en-US" w:eastAsia="zh-CN"/>
        </w:rPr>
        <w:t>年</w:t>
      </w:r>
    </w:p>
    <w:p w14:paraId="4827BD80"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333</w:t>
      </w:r>
      <w:r w:rsidRPr="006E3B9B">
        <w:rPr>
          <w:lang w:val="en-US" w:eastAsia="zh-CN"/>
        </w:rPr>
        <w:t>号决议</w:t>
      </w:r>
      <w:r w:rsidRPr="006E3B9B">
        <w:rPr>
          <w:lang w:val="en-US" w:eastAsia="zh-CN"/>
        </w:rPr>
        <w:tab/>
      </w:r>
      <w:r w:rsidRPr="006E3B9B">
        <w:rPr>
          <w:rFonts w:hint="eastAsia"/>
          <w:lang w:eastAsia="zh-CN"/>
        </w:rPr>
        <w:t>对国际电联职员基本薪金表可能做出的修改</w:t>
      </w:r>
      <w:r w:rsidRPr="006E3B9B">
        <w:rPr>
          <w:lang w:val="en-US" w:eastAsia="zh-CN"/>
        </w:rPr>
        <w:tab/>
      </w:r>
      <w:r w:rsidR="00A45877">
        <w:rPr>
          <w:lang w:val="en-US" w:eastAsia="zh-CN"/>
        </w:rPr>
        <w:tab/>
      </w:r>
      <w:r w:rsidRPr="006E3B9B">
        <w:rPr>
          <w:lang w:val="en-US" w:eastAsia="zh-CN"/>
        </w:rPr>
        <w:t>1955</w:t>
      </w:r>
      <w:r w:rsidRPr="006E3B9B">
        <w:rPr>
          <w:rFonts w:hint="eastAsia"/>
          <w:lang w:val="en-US" w:eastAsia="zh-CN"/>
        </w:rPr>
        <w:t>年</w:t>
      </w:r>
    </w:p>
    <w:p w14:paraId="4827BD81"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334</w:t>
      </w:r>
      <w:r w:rsidRPr="006E3B9B">
        <w:rPr>
          <w:lang w:val="en-US" w:eastAsia="zh-CN"/>
        </w:rPr>
        <w:t>号决议</w:t>
      </w:r>
      <w:r w:rsidRPr="006E3B9B">
        <w:rPr>
          <w:lang w:val="en-US" w:eastAsia="zh-CN"/>
        </w:rPr>
        <w:tab/>
      </w:r>
      <w:r w:rsidRPr="006E3B9B">
        <w:rPr>
          <w:rFonts w:hint="eastAsia"/>
          <w:lang w:eastAsia="zh-CN"/>
        </w:rPr>
        <w:t>职员退休和福利基金的财务状况</w:t>
      </w:r>
      <w:r w:rsidRPr="006E3B9B">
        <w:rPr>
          <w:lang w:val="en-US" w:eastAsia="zh-CN"/>
        </w:rPr>
        <w:tab/>
      </w:r>
      <w:r w:rsidR="00A45877">
        <w:rPr>
          <w:lang w:val="en-US" w:eastAsia="zh-CN"/>
        </w:rPr>
        <w:tab/>
      </w:r>
      <w:r w:rsidRPr="006E3B9B">
        <w:rPr>
          <w:lang w:val="en-US" w:eastAsia="zh-CN"/>
        </w:rPr>
        <w:t>1955</w:t>
      </w:r>
      <w:r w:rsidRPr="006E3B9B">
        <w:rPr>
          <w:rFonts w:hint="eastAsia"/>
          <w:lang w:val="en-US" w:eastAsia="zh-CN"/>
        </w:rPr>
        <w:t>年</w:t>
      </w:r>
    </w:p>
    <w:p w14:paraId="4827BD82"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335</w:t>
      </w:r>
      <w:r w:rsidRPr="006E3B9B">
        <w:rPr>
          <w:lang w:val="en-US" w:eastAsia="zh-CN"/>
        </w:rPr>
        <w:t>号决议</w:t>
      </w:r>
      <w:r w:rsidRPr="006E3B9B">
        <w:rPr>
          <w:lang w:val="en-US" w:eastAsia="zh-CN"/>
        </w:rPr>
        <w:tab/>
      </w:r>
      <w:r w:rsidRPr="006E3B9B">
        <w:rPr>
          <w:rFonts w:hint="eastAsia"/>
          <w:lang w:eastAsia="zh-CN"/>
        </w:rPr>
        <w:t>养恤金；加入费</w:t>
      </w:r>
      <w:r w:rsidRPr="006E3B9B">
        <w:rPr>
          <w:lang w:val="en-US" w:eastAsia="zh-CN"/>
        </w:rPr>
        <w:tab/>
      </w:r>
      <w:r w:rsidR="00A45877">
        <w:rPr>
          <w:lang w:val="en-US" w:eastAsia="zh-CN"/>
        </w:rPr>
        <w:tab/>
      </w:r>
      <w:r w:rsidRPr="006E3B9B">
        <w:rPr>
          <w:lang w:val="en-US" w:eastAsia="zh-CN"/>
        </w:rPr>
        <w:t>1955</w:t>
      </w:r>
      <w:r w:rsidRPr="006E3B9B">
        <w:rPr>
          <w:rFonts w:hint="eastAsia"/>
          <w:lang w:val="en-US" w:eastAsia="zh-CN"/>
        </w:rPr>
        <w:t>年</w:t>
      </w:r>
    </w:p>
    <w:p w14:paraId="4827BD83"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336</w:t>
      </w:r>
      <w:r w:rsidRPr="006E3B9B">
        <w:rPr>
          <w:lang w:val="en-US" w:eastAsia="zh-CN"/>
        </w:rPr>
        <w:t>号决议</w:t>
      </w:r>
      <w:r w:rsidRPr="006E3B9B">
        <w:rPr>
          <w:lang w:val="en-US" w:eastAsia="zh-CN"/>
        </w:rPr>
        <w:tab/>
      </w:r>
      <w:r w:rsidRPr="006E3B9B">
        <w:rPr>
          <w:rFonts w:hint="eastAsia"/>
          <w:lang w:eastAsia="zh-CN"/>
        </w:rPr>
        <w:t>实施大西洋城频率划分表</w:t>
      </w:r>
      <w:r w:rsidRPr="006E3B9B">
        <w:rPr>
          <w:lang w:eastAsia="zh-CN"/>
        </w:rPr>
        <w:t>3950kc/s</w:t>
      </w:r>
      <w:r w:rsidRPr="006E3B9B">
        <w:rPr>
          <w:rFonts w:hint="eastAsia"/>
          <w:lang w:eastAsia="zh-CN"/>
        </w:rPr>
        <w:t>和</w:t>
      </w:r>
      <w:r w:rsidRPr="006E3B9B">
        <w:rPr>
          <w:lang w:eastAsia="zh-CN"/>
        </w:rPr>
        <w:t>27500kc/s</w:t>
      </w:r>
      <w:r w:rsidRPr="006E3B9B">
        <w:rPr>
          <w:rFonts w:hint="eastAsia"/>
          <w:lang w:eastAsia="zh-CN"/>
        </w:rPr>
        <w:t>部分</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84"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337</w:t>
      </w:r>
      <w:r w:rsidRPr="006E3B9B">
        <w:rPr>
          <w:lang w:val="en-US" w:eastAsia="zh-CN"/>
        </w:rPr>
        <w:t>号决议</w:t>
      </w:r>
      <w:r w:rsidRPr="006E3B9B">
        <w:rPr>
          <w:lang w:val="en-US" w:eastAsia="zh-CN"/>
        </w:rPr>
        <w:tab/>
      </w:r>
      <w:r w:rsidRPr="006E3B9B">
        <w:rPr>
          <w:rFonts w:hint="eastAsia"/>
          <w:lang w:eastAsia="zh-CN"/>
        </w:rPr>
        <w:t>专利</w:t>
      </w:r>
      <w:r w:rsidRPr="006E3B9B">
        <w:rPr>
          <w:lang w:val="en-US" w:eastAsia="zh-CN"/>
        </w:rPr>
        <w:tab/>
      </w:r>
      <w:r w:rsidR="00A45877">
        <w:rPr>
          <w:lang w:val="en-US" w:eastAsia="zh-CN"/>
        </w:rPr>
        <w:tab/>
      </w:r>
      <w:r w:rsidRPr="006E3B9B">
        <w:rPr>
          <w:lang w:val="en-US" w:eastAsia="zh-CN"/>
        </w:rPr>
        <w:t>1955</w:t>
      </w:r>
      <w:r w:rsidRPr="006E3B9B">
        <w:rPr>
          <w:rFonts w:hint="eastAsia"/>
          <w:lang w:val="en-US" w:eastAsia="zh-CN"/>
        </w:rPr>
        <w:t>年</w:t>
      </w:r>
    </w:p>
    <w:p w14:paraId="4827BD85" w14:textId="77777777" w:rsidR="00BF1CF1" w:rsidRDefault="00BF1CF1">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4827BD86" w14:textId="77777777" w:rsidR="006E3B9B" w:rsidRPr="006E3B9B" w:rsidRDefault="006E3B9B" w:rsidP="003E11A1">
      <w:pPr>
        <w:pStyle w:val="Reftitle"/>
        <w:rPr>
          <w:lang w:val="en-US" w:eastAsia="zh-CN"/>
        </w:rPr>
      </w:pPr>
      <w:r w:rsidRPr="006E3B9B">
        <w:rPr>
          <w:rFonts w:hint="eastAsia"/>
          <w:lang w:eastAsia="zh-CN"/>
        </w:rPr>
        <w:lastRenderedPageBreak/>
        <w:t>第</w:t>
      </w:r>
      <w:r w:rsidRPr="006E3B9B">
        <w:rPr>
          <w:lang w:eastAsia="zh-CN"/>
        </w:rPr>
        <w:t>11</w:t>
      </w:r>
      <w:r w:rsidRPr="006E3B9B">
        <w:rPr>
          <w:rFonts w:hint="eastAsia"/>
          <w:lang w:eastAsia="zh-CN"/>
        </w:rPr>
        <w:t>届会议</w:t>
      </w:r>
      <w:r w:rsidRPr="006E3B9B">
        <w:rPr>
          <w:lang w:eastAsia="zh-CN"/>
        </w:rPr>
        <w:t>（</w:t>
      </w:r>
      <w:r w:rsidRPr="006E3B9B">
        <w:rPr>
          <w:lang w:eastAsia="zh-CN"/>
        </w:rPr>
        <w:t>1956</w:t>
      </w:r>
      <w:r w:rsidRPr="006E3B9B">
        <w:rPr>
          <w:rFonts w:hint="eastAsia"/>
          <w:lang w:eastAsia="zh-CN"/>
        </w:rPr>
        <w:t>年</w:t>
      </w:r>
      <w:r w:rsidRPr="006E3B9B">
        <w:rPr>
          <w:lang w:eastAsia="zh-CN"/>
        </w:rPr>
        <w:t>4</w:t>
      </w:r>
      <w:r w:rsidRPr="006E3B9B">
        <w:rPr>
          <w:rFonts w:hint="eastAsia"/>
          <w:lang w:eastAsia="zh-CN"/>
        </w:rPr>
        <w:t>月</w:t>
      </w:r>
      <w:r w:rsidRPr="006E3B9B">
        <w:rPr>
          <w:lang w:eastAsia="zh-CN"/>
        </w:rPr>
        <w:t>-5</w:t>
      </w:r>
      <w:r w:rsidRPr="006E3B9B">
        <w:rPr>
          <w:rFonts w:hint="eastAsia"/>
          <w:lang w:eastAsia="zh-CN"/>
        </w:rPr>
        <w:t>月</w:t>
      </w:r>
      <w:r w:rsidRPr="006E3B9B">
        <w:rPr>
          <w:lang w:eastAsia="zh-CN"/>
        </w:rPr>
        <w:t>）</w:t>
      </w:r>
    </w:p>
    <w:p w14:paraId="4827BD87"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338</w:t>
      </w:r>
      <w:r w:rsidRPr="006E3B9B">
        <w:rPr>
          <w:lang w:val="en-US" w:eastAsia="zh-CN"/>
        </w:rPr>
        <w:t>号决议</w:t>
      </w:r>
      <w:r w:rsidRPr="006E3B9B">
        <w:rPr>
          <w:lang w:val="en-US" w:eastAsia="zh-CN"/>
        </w:rPr>
        <w:tab/>
      </w:r>
      <w:r w:rsidRPr="006E3B9B">
        <w:rPr>
          <w:rFonts w:hint="eastAsia"/>
          <w:lang w:val="en-US" w:eastAsia="zh-CN"/>
        </w:rPr>
        <w:t>国际</w:t>
      </w:r>
      <w:r w:rsidRPr="006E3B9B">
        <w:rPr>
          <w:rFonts w:hint="eastAsia"/>
          <w:lang w:eastAsia="zh-CN"/>
        </w:rPr>
        <w:t>电联办公楼的建</w:t>
      </w:r>
      <w:r w:rsidRPr="006E3B9B">
        <w:rPr>
          <w:rFonts w:hint="eastAsia"/>
          <w:lang w:val="en-US" w:eastAsia="zh-CN"/>
        </w:rPr>
        <w:t>造</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88"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339</w:t>
      </w:r>
      <w:r w:rsidRPr="006E3B9B">
        <w:rPr>
          <w:lang w:val="en-US" w:eastAsia="zh-CN"/>
        </w:rPr>
        <w:t>号决议</w:t>
      </w:r>
      <w:r w:rsidRPr="006E3B9B">
        <w:rPr>
          <w:lang w:val="en-US" w:eastAsia="zh-CN"/>
        </w:rPr>
        <w:tab/>
      </w:r>
      <w:r w:rsidRPr="006E3B9B">
        <w:rPr>
          <w:lang w:eastAsia="zh-CN"/>
        </w:rPr>
        <w:t>国际咨询委员会</w:t>
      </w:r>
      <w:r w:rsidRPr="006E3B9B">
        <w:rPr>
          <w:rFonts w:hint="eastAsia"/>
          <w:lang w:eastAsia="zh-CN"/>
        </w:rPr>
        <w:t>主任的选举程序</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89"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340</w:t>
      </w:r>
      <w:r w:rsidRPr="006E3B9B">
        <w:rPr>
          <w:lang w:val="en-US" w:eastAsia="zh-CN"/>
        </w:rPr>
        <w:t>号决议</w:t>
      </w:r>
      <w:r w:rsidRPr="006E3B9B">
        <w:rPr>
          <w:lang w:val="en-US" w:eastAsia="zh-CN"/>
        </w:rPr>
        <w:tab/>
      </w:r>
      <w:r w:rsidRPr="006E3B9B">
        <w:rPr>
          <w:rFonts w:hint="eastAsia"/>
          <w:lang w:eastAsia="zh-CN"/>
        </w:rPr>
        <w:t>1957</w:t>
      </w:r>
      <w:r w:rsidRPr="006E3B9B">
        <w:rPr>
          <w:rFonts w:hint="eastAsia"/>
          <w:lang w:eastAsia="zh-CN"/>
        </w:rPr>
        <w:t>年预算；经修订的</w:t>
      </w:r>
      <w:r w:rsidRPr="006E3B9B">
        <w:rPr>
          <w:rFonts w:hint="eastAsia"/>
          <w:lang w:eastAsia="zh-CN"/>
        </w:rPr>
        <w:t>CCIR1956</w:t>
      </w:r>
      <w:r w:rsidRPr="006E3B9B">
        <w:rPr>
          <w:rFonts w:hint="eastAsia"/>
          <w:lang w:eastAsia="zh-CN"/>
        </w:rPr>
        <w:t>年非常预算</w:t>
      </w:r>
      <w:r w:rsidRPr="006E3B9B">
        <w:rPr>
          <w:lang w:val="en-US" w:eastAsia="zh-CN"/>
        </w:rPr>
        <w:tab/>
      </w:r>
      <w:r w:rsidR="00A45877">
        <w:rPr>
          <w:lang w:val="en-US" w:eastAsia="zh-CN"/>
        </w:rPr>
        <w:tab/>
      </w:r>
      <w:r w:rsidRPr="006E3B9B">
        <w:rPr>
          <w:lang w:val="en-US" w:eastAsia="zh-CN"/>
        </w:rPr>
        <w:t>1956</w:t>
      </w:r>
      <w:r w:rsidRPr="006E3B9B">
        <w:rPr>
          <w:rFonts w:hint="eastAsia"/>
          <w:lang w:val="en-US" w:eastAsia="zh-CN"/>
        </w:rPr>
        <w:t>年</w:t>
      </w:r>
    </w:p>
    <w:p w14:paraId="4827BD8A"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341</w:t>
      </w:r>
      <w:r w:rsidRPr="006E3B9B">
        <w:rPr>
          <w:lang w:val="en-US" w:eastAsia="zh-CN"/>
        </w:rPr>
        <w:t>号决议</w:t>
      </w:r>
      <w:r w:rsidRPr="006E3B9B">
        <w:rPr>
          <w:lang w:val="en-US" w:eastAsia="zh-CN"/>
        </w:rPr>
        <w:tab/>
      </w:r>
      <w:r w:rsidRPr="006E3B9B">
        <w:rPr>
          <w:lang w:eastAsia="zh-CN"/>
        </w:rPr>
        <w:t>1955</w:t>
      </w:r>
      <w:r w:rsidRPr="006E3B9B">
        <w:rPr>
          <w:rFonts w:hint="eastAsia"/>
          <w:lang w:eastAsia="zh-CN"/>
        </w:rPr>
        <w:t>年国际电联财务工作报告</w:t>
      </w:r>
      <w:r w:rsidRPr="006E3B9B">
        <w:rPr>
          <w:lang w:val="en-US" w:eastAsia="zh-CN"/>
        </w:rPr>
        <w:tab/>
      </w:r>
      <w:r w:rsidR="00A45877">
        <w:rPr>
          <w:lang w:val="en-US" w:eastAsia="zh-CN"/>
        </w:rPr>
        <w:tab/>
      </w:r>
      <w:r w:rsidRPr="006E3B9B">
        <w:rPr>
          <w:lang w:val="en-US" w:eastAsia="zh-CN"/>
        </w:rPr>
        <w:t>1956</w:t>
      </w:r>
      <w:r w:rsidRPr="006E3B9B">
        <w:rPr>
          <w:rFonts w:hint="eastAsia"/>
          <w:lang w:val="en-US" w:eastAsia="zh-CN"/>
        </w:rPr>
        <w:t>年</w:t>
      </w:r>
    </w:p>
    <w:p w14:paraId="4827BD8B"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342</w:t>
      </w:r>
      <w:r w:rsidRPr="006E3B9B">
        <w:rPr>
          <w:lang w:val="en-US" w:eastAsia="zh-CN"/>
        </w:rPr>
        <w:t>号决议</w:t>
      </w:r>
      <w:r w:rsidRPr="006E3B9B">
        <w:rPr>
          <w:lang w:val="en-US" w:eastAsia="zh-CN"/>
        </w:rPr>
        <w:tab/>
      </w:r>
      <w:r w:rsidRPr="006E3B9B">
        <w:rPr>
          <w:rFonts w:hint="eastAsia"/>
          <w:lang w:eastAsia="zh-CN"/>
        </w:rPr>
        <w:t>受到查询的账目</w:t>
      </w:r>
      <w:r w:rsidRPr="006E3B9B">
        <w:rPr>
          <w:lang w:val="en-US" w:eastAsia="zh-CN"/>
        </w:rPr>
        <w:tab/>
      </w:r>
      <w:r w:rsidR="00A45877">
        <w:rPr>
          <w:lang w:val="en-US" w:eastAsia="zh-CN"/>
        </w:rPr>
        <w:tab/>
      </w:r>
      <w:r w:rsidRPr="006E3B9B">
        <w:rPr>
          <w:lang w:val="en-US" w:eastAsia="zh-CN"/>
        </w:rPr>
        <w:t>1956</w:t>
      </w:r>
      <w:r w:rsidRPr="006E3B9B">
        <w:rPr>
          <w:rFonts w:hint="eastAsia"/>
          <w:lang w:val="en-US" w:eastAsia="zh-CN"/>
        </w:rPr>
        <w:t>年</w:t>
      </w:r>
    </w:p>
    <w:p w14:paraId="4827BD8C"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343</w:t>
      </w:r>
      <w:r w:rsidRPr="006E3B9B">
        <w:rPr>
          <w:lang w:val="en-US" w:eastAsia="zh-CN"/>
        </w:rPr>
        <w:t>号决议</w:t>
      </w:r>
      <w:r w:rsidRPr="006E3B9B">
        <w:rPr>
          <w:lang w:val="en-US" w:eastAsia="zh-CN"/>
        </w:rPr>
        <w:tab/>
      </w:r>
      <w:r w:rsidRPr="006E3B9B">
        <w:rPr>
          <w:rFonts w:hint="eastAsia"/>
          <w:lang w:eastAsia="zh-CN"/>
        </w:rPr>
        <w:t>欠款账目</w:t>
      </w:r>
      <w:r w:rsidRPr="006E3B9B">
        <w:rPr>
          <w:lang w:val="en-US" w:eastAsia="zh-CN"/>
        </w:rPr>
        <w:tab/>
      </w:r>
      <w:r w:rsidR="00A45877">
        <w:rPr>
          <w:lang w:val="en-US" w:eastAsia="zh-CN"/>
        </w:rPr>
        <w:tab/>
      </w:r>
      <w:r w:rsidRPr="006E3B9B">
        <w:rPr>
          <w:lang w:val="en-US" w:eastAsia="zh-CN"/>
        </w:rPr>
        <w:t>1956</w:t>
      </w:r>
      <w:r w:rsidRPr="006E3B9B">
        <w:rPr>
          <w:rFonts w:hint="eastAsia"/>
          <w:lang w:val="en-US" w:eastAsia="zh-CN"/>
        </w:rPr>
        <w:t>年</w:t>
      </w:r>
    </w:p>
    <w:p w14:paraId="4827BD8D"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344</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1955</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1</w:t>
      </w:r>
      <w:r w:rsidRPr="006E3B9B">
        <w:rPr>
          <w:rFonts w:hint="eastAsia"/>
          <w:lang w:eastAsia="zh-CN"/>
        </w:rPr>
        <w:t>日</w:t>
      </w:r>
      <w:r w:rsidRPr="006E3B9B">
        <w:rPr>
          <w:lang w:eastAsia="zh-CN"/>
        </w:rPr>
        <w:t>-12</w:t>
      </w:r>
      <w:r w:rsidRPr="006E3B9B">
        <w:rPr>
          <w:rFonts w:hint="eastAsia"/>
          <w:lang w:eastAsia="zh-CN"/>
        </w:rPr>
        <w:t>月</w:t>
      </w:r>
      <w:r w:rsidRPr="006E3B9B">
        <w:rPr>
          <w:lang w:eastAsia="zh-CN"/>
        </w:rPr>
        <w:t>31</w:t>
      </w:r>
      <w:r w:rsidRPr="006E3B9B">
        <w:rPr>
          <w:rFonts w:hint="eastAsia"/>
          <w:lang w:eastAsia="zh-CN"/>
        </w:rPr>
        <w:t>日财政年度账目的审计</w:t>
      </w:r>
      <w:r w:rsidRPr="006E3B9B">
        <w:rPr>
          <w:lang w:val="en-US" w:eastAsia="zh-CN"/>
        </w:rPr>
        <w:tab/>
      </w:r>
      <w:r w:rsidR="00A45877">
        <w:rPr>
          <w:lang w:val="en-US" w:eastAsia="zh-CN"/>
        </w:rPr>
        <w:tab/>
      </w:r>
      <w:r w:rsidRPr="006E3B9B">
        <w:rPr>
          <w:lang w:val="en-US" w:eastAsia="zh-CN"/>
        </w:rPr>
        <w:t>1956</w:t>
      </w:r>
      <w:r w:rsidRPr="006E3B9B">
        <w:rPr>
          <w:rFonts w:hint="eastAsia"/>
          <w:lang w:val="en-US" w:eastAsia="zh-CN"/>
        </w:rPr>
        <w:t>年</w:t>
      </w:r>
    </w:p>
    <w:p w14:paraId="4827BD8E"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345</w:t>
      </w:r>
      <w:r w:rsidRPr="006E3B9B">
        <w:rPr>
          <w:lang w:val="en-US" w:eastAsia="zh-CN"/>
        </w:rPr>
        <w:t>号决议</w:t>
      </w:r>
      <w:r w:rsidRPr="006E3B9B">
        <w:rPr>
          <w:lang w:val="en-US" w:eastAsia="zh-CN"/>
        </w:rPr>
        <w:tab/>
      </w:r>
      <w:r w:rsidRPr="006E3B9B">
        <w:rPr>
          <w:rFonts w:hint="eastAsia"/>
          <w:lang w:eastAsia="zh-CN"/>
        </w:rPr>
        <w:t>与亚洲及远东经济委员会（</w:t>
      </w:r>
      <w:r w:rsidRPr="006E3B9B">
        <w:rPr>
          <w:lang w:eastAsia="zh-CN"/>
        </w:rPr>
        <w:t>ECAFE</w:t>
      </w:r>
      <w:r w:rsidRPr="006E3B9B">
        <w:rPr>
          <w:rFonts w:hint="eastAsia"/>
          <w:lang w:eastAsia="zh-CN"/>
        </w:rPr>
        <w:t>）的关系</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8F"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346</w:t>
      </w:r>
      <w:r w:rsidRPr="006E3B9B">
        <w:rPr>
          <w:lang w:val="en-US" w:eastAsia="zh-CN"/>
        </w:rPr>
        <w:t>号决议</w:t>
      </w:r>
      <w:r w:rsidRPr="006E3B9B">
        <w:rPr>
          <w:lang w:val="en-US" w:eastAsia="zh-CN"/>
        </w:rPr>
        <w:tab/>
      </w:r>
      <w:r w:rsidRPr="006E3B9B">
        <w:rPr>
          <w:rFonts w:hint="eastAsia"/>
          <w:lang w:eastAsia="zh-CN"/>
        </w:rPr>
        <w:t>技术援助</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90"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347</w:t>
      </w:r>
      <w:r w:rsidRPr="006E3B9B">
        <w:rPr>
          <w:lang w:val="en-US" w:eastAsia="zh-CN"/>
        </w:rPr>
        <w:t>号决议</w:t>
      </w:r>
      <w:r w:rsidRPr="006E3B9B">
        <w:rPr>
          <w:lang w:val="en-US" w:eastAsia="zh-CN"/>
        </w:rPr>
        <w:tab/>
      </w:r>
      <w:r w:rsidRPr="006E3B9B">
        <w:rPr>
          <w:rFonts w:hint="eastAsia"/>
          <w:lang w:eastAsia="zh-CN"/>
        </w:rPr>
        <w:t>实施大西洋城频率划分表</w:t>
      </w:r>
      <w:r w:rsidRPr="006E3B9B">
        <w:rPr>
          <w:lang w:eastAsia="zh-CN"/>
        </w:rPr>
        <w:t>3950kc/s</w:t>
      </w:r>
      <w:r w:rsidRPr="006E3B9B">
        <w:rPr>
          <w:rFonts w:hint="eastAsia"/>
          <w:lang w:eastAsia="zh-CN"/>
        </w:rPr>
        <w:t>和</w:t>
      </w:r>
      <w:r w:rsidRPr="006E3B9B">
        <w:rPr>
          <w:lang w:eastAsia="zh-CN"/>
        </w:rPr>
        <w:t>27500kc/s</w:t>
      </w:r>
      <w:r w:rsidRPr="006E3B9B">
        <w:rPr>
          <w:rFonts w:hint="eastAsia"/>
          <w:lang w:eastAsia="zh-CN"/>
        </w:rPr>
        <w:t>部分</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91"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348</w:t>
      </w:r>
      <w:r w:rsidRPr="006E3B9B">
        <w:rPr>
          <w:lang w:val="en-US" w:eastAsia="zh-CN"/>
        </w:rPr>
        <w:t>号决议</w:t>
      </w:r>
      <w:r w:rsidRPr="006E3B9B">
        <w:rPr>
          <w:lang w:val="en-US" w:eastAsia="zh-CN"/>
        </w:rPr>
        <w:tab/>
      </w:r>
      <w:r w:rsidRPr="006E3B9B">
        <w:rPr>
          <w:rFonts w:hint="eastAsia"/>
          <w:lang w:eastAsia="zh-CN"/>
        </w:rPr>
        <w:t>高频广播业务规划草案的起草</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92"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349</w:t>
      </w:r>
      <w:r w:rsidRPr="006E3B9B">
        <w:rPr>
          <w:lang w:val="en-US" w:eastAsia="zh-CN"/>
        </w:rPr>
        <w:t>号决议</w:t>
      </w:r>
      <w:r w:rsidRPr="006E3B9B">
        <w:rPr>
          <w:lang w:val="en-US" w:eastAsia="zh-CN"/>
        </w:rPr>
        <w:tab/>
      </w:r>
      <w:r w:rsidRPr="006E3B9B">
        <w:rPr>
          <w:rFonts w:hint="eastAsia"/>
          <w:lang w:eastAsia="zh-CN"/>
        </w:rPr>
        <w:t>对国际电联职员基本薪金表可能做出的修改</w:t>
      </w:r>
      <w:r w:rsidRPr="006E3B9B">
        <w:rPr>
          <w:lang w:val="en-US" w:eastAsia="zh-CN"/>
        </w:rPr>
        <w:tab/>
      </w:r>
      <w:r w:rsidR="00A45877">
        <w:rPr>
          <w:lang w:val="en-US" w:eastAsia="zh-CN"/>
        </w:rPr>
        <w:tab/>
      </w:r>
      <w:r w:rsidRPr="006E3B9B">
        <w:rPr>
          <w:lang w:val="en-US" w:eastAsia="zh-CN"/>
        </w:rPr>
        <w:t>1956</w:t>
      </w:r>
      <w:r w:rsidRPr="006E3B9B">
        <w:rPr>
          <w:rFonts w:hint="eastAsia"/>
          <w:lang w:val="en-US" w:eastAsia="zh-CN"/>
        </w:rPr>
        <w:t>年</w:t>
      </w:r>
    </w:p>
    <w:p w14:paraId="4827BD93"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350</w:t>
      </w:r>
      <w:r w:rsidRPr="006E3B9B">
        <w:rPr>
          <w:lang w:val="en-US" w:eastAsia="zh-CN"/>
        </w:rPr>
        <w:t>号决议</w:t>
      </w:r>
      <w:r w:rsidRPr="006E3B9B">
        <w:rPr>
          <w:lang w:val="en-US" w:eastAsia="zh-CN"/>
        </w:rPr>
        <w:tab/>
      </w:r>
      <w:r w:rsidRPr="006E3B9B">
        <w:rPr>
          <w:rFonts w:hint="eastAsia"/>
          <w:lang w:eastAsia="zh-CN"/>
        </w:rPr>
        <w:t>职员退休和福利基金的精算状况和新的精算基准的采用</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94"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351</w:t>
      </w:r>
      <w:r w:rsidRPr="006E3B9B">
        <w:rPr>
          <w:lang w:val="en-US" w:eastAsia="zh-CN"/>
        </w:rPr>
        <w:t>号决议</w:t>
      </w:r>
      <w:r w:rsidRPr="006E3B9B">
        <w:rPr>
          <w:lang w:val="en-US" w:eastAsia="zh-CN"/>
        </w:rPr>
        <w:tab/>
      </w:r>
      <w:r w:rsidRPr="006E3B9B">
        <w:rPr>
          <w:lang w:eastAsia="zh-CN"/>
        </w:rPr>
        <w:t>国际电话咨询委员会</w:t>
      </w:r>
      <w:r w:rsidRPr="006E3B9B">
        <w:rPr>
          <w:rFonts w:hint="eastAsia"/>
          <w:lang w:eastAsia="zh-CN"/>
        </w:rPr>
        <w:t>主任和</w:t>
      </w:r>
      <w:r w:rsidRPr="006E3B9B">
        <w:rPr>
          <w:lang w:eastAsia="zh-CN"/>
        </w:rPr>
        <w:t>国际电话咨询委员会</w:t>
      </w:r>
      <w:r w:rsidRPr="006E3B9B">
        <w:rPr>
          <w:rFonts w:hint="eastAsia"/>
          <w:lang w:eastAsia="zh-CN"/>
        </w:rPr>
        <w:t>某些官员的养恤金权利</w:t>
      </w:r>
      <w:r w:rsidRPr="006E3B9B">
        <w:rPr>
          <w:lang w:val="en-US" w:eastAsia="zh-CN"/>
        </w:rPr>
        <w:tab/>
      </w:r>
      <w:r w:rsidR="00A45877">
        <w:rPr>
          <w:lang w:val="en-US" w:eastAsia="zh-CN"/>
        </w:rPr>
        <w:tab/>
      </w:r>
      <w:r w:rsidRPr="006E3B9B">
        <w:rPr>
          <w:lang w:val="en-US" w:eastAsia="zh-CN"/>
        </w:rPr>
        <w:t>1975</w:t>
      </w:r>
      <w:r w:rsidRPr="006E3B9B">
        <w:rPr>
          <w:rFonts w:hint="eastAsia"/>
          <w:lang w:val="en-US" w:eastAsia="zh-CN"/>
        </w:rPr>
        <w:t>年</w:t>
      </w:r>
    </w:p>
    <w:p w14:paraId="4827BD95"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352</w:t>
      </w:r>
      <w:r w:rsidRPr="006E3B9B">
        <w:rPr>
          <w:lang w:val="en-US" w:eastAsia="zh-CN"/>
        </w:rPr>
        <w:t>号决议</w:t>
      </w:r>
      <w:r w:rsidRPr="006E3B9B">
        <w:rPr>
          <w:lang w:val="en-US" w:eastAsia="zh-CN"/>
        </w:rPr>
        <w:tab/>
      </w:r>
      <w:r w:rsidRPr="006E3B9B">
        <w:rPr>
          <w:rFonts w:hint="eastAsia"/>
          <w:lang w:val="fr-FR" w:eastAsia="zh-CN"/>
        </w:rPr>
        <w:t>专利</w:t>
      </w:r>
      <w:r w:rsidRPr="006E3B9B">
        <w:rPr>
          <w:lang w:val="en-US" w:eastAsia="zh-CN"/>
        </w:rPr>
        <w:tab/>
      </w:r>
      <w:r w:rsidR="00A45877">
        <w:rPr>
          <w:lang w:val="en-US" w:eastAsia="zh-CN"/>
        </w:rPr>
        <w:tab/>
      </w:r>
      <w:r w:rsidRPr="006E3B9B">
        <w:rPr>
          <w:lang w:val="en-US" w:eastAsia="zh-CN"/>
        </w:rPr>
        <w:t>1956</w:t>
      </w:r>
      <w:r w:rsidRPr="006E3B9B">
        <w:rPr>
          <w:rFonts w:hint="eastAsia"/>
          <w:lang w:val="en-US" w:eastAsia="zh-CN"/>
        </w:rPr>
        <w:t>年</w:t>
      </w:r>
    </w:p>
    <w:p w14:paraId="4827BD96"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353</w:t>
      </w:r>
      <w:r w:rsidRPr="006E3B9B">
        <w:rPr>
          <w:lang w:val="en-US" w:eastAsia="zh-CN"/>
        </w:rPr>
        <w:t>号决议</w:t>
      </w:r>
      <w:r w:rsidRPr="006E3B9B">
        <w:rPr>
          <w:lang w:val="en-US" w:eastAsia="zh-CN"/>
        </w:rPr>
        <w:tab/>
      </w:r>
      <w:r w:rsidRPr="006E3B9B">
        <w:rPr>
          <w:rFonts w:hint="eastAsia"/>
          <w:lang w:eastAsia="zh-CN"/>
        </w:rPr>
        <w:t>打卡制度</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97" w14:textId="77777777" w:rsidR="006E3B9B" w:rsidRPr="006E3B9B" w:rsidRDefault="006E3B9B" w:rsidP="003E11A1">
      <w:pPr>
        <w:pStyle w:val="Reftitle"/>
        <w:rPr>
          <w:lang w:val="en-US" w:eastAsia="zh-CN"/>
        </w:rPr>
      </w:pPr>
      <w:r w:rsidRPr="006E3B9B">
        <w:rPr>
          <w:rFonts w:hint="eastAsia"/>
          <w:lang w:eastAsia="zh-CN"/>
        </w:rPr>
        <w:t>第</w:t>
      </w:r>
      <w:r w:rsidRPr="006E3B9B">
        <w:rPr>
          <w:lang w:eastAsia="zh-CN"/>
        </w:rPr>
        <w:t>12</w:t>
      </w:r>
      <w:r w:rsidRPr="006E3B9B">
        <w:rPr>
          <w:rFonts w:hint="eastAsia"/>
          <w:lang w:eastAsia="zh-CN"/>
        </w:rPr>
        <w:t>届会议</w:t>
      </w:r>
      <w:r w:rsidRPr="006E3B9B">
        <w:rPr>
          <w:lang w:eastAsia="zh-CN"/>
        </w:rPr>
        <w:t>（</w:t>
      </w:r>
      <w:r w:rsidRPr="006E3B9B">
        <w:rPr>
          <w:lang w:eastAsia="zh-CN"/>
        </w:rPr>
        <w:t>1957</w:t>
      </w:r>
      <w:r w:rsidRPr="006E3B9B">
        <w:rPr>
          <w:rFonts w:hint="eastAsia"/>
          <w:lang w:eastAsia="zh-CN"/>
        </w:rPr>
        <w:t>年</w:t>
      </w:r>
      <w:r w:rsidRPr="006E3B9B">
        <w:rPr>
          <w:lang w:eastAsia="zh-CN"/>
        </w:rPr>
        <w:t>4</w:t>
      </w:r>
      <w:r w:rsidRPr="006E3B9B">
        <w:rPr>
          <w:rFonts w:hint="eastAsia"/>
          <w:lang w:eastAsia="zh-CN"/>
        </w:rPr>
        <w:t>月</w:t>
      </w:r>
      <w:r w:rsidRPr="006E3B9B">
        <w:rPr>
          <w:lang w:eastAsia="zh-CN"/>
        </w:rPr>
        <w:t>-5</w:t>
      </w:r>
      <w:r w:rsidRPr="006E3B9B">
        <w:rPr>
          <w:rFonts w:hint="eastAsia"/>
          <w:lang w:eastAsia="zh-CN"/>
        </w:rPr>
        <w:t>月</w:t>
      </w:r>
      <w:r w:rsidRPr="006E3B9B">
        <w:rPr>
          <w:lang w:eastAsia="zh-CN"/>
        </w:rPr>
        <w:t>）</w:t>
      </w:r>
    </w:p>
    <w:p w14:paraId="4827BD98"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354</w:t>
      </w:r>
      <w:r w:rsidRPr="006E3B9B">
        <w:rPr>
          <w:lang w:val="en-US" w:eastAsia="zh-CN"/>
        </w:rPr>
        <w:t>号决议</w:t>
      </w:r>
      <w:r w:rsidRPr="006E3B9B">
        <w:rPr>
          <w:lang w:val="en-US" w:eastAsia="zh-CN"/>
        </w:rPr>
        <w:tab/>
      </w:r>
      <w:r w:rsidRPr="006E3B9B">
        <w:rPr>
          <w:rFonts w:hint="eastAsia"/>
          <w:lang w:eastAsia="zh-CN"/>
        </w:rPr>
        <w:t>例行电报电话行政大会的召开</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99"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355</w:t>
      </w:r>
      <w:r w:rsidRPr="006E3B9B">
        <w:rPr>
          <w:lang w:val="en-US" w:eastAsia="zh-CN"/>
        </w:rPr>
        <w:t>号决议</w:t>
      </w:r>
      <w:r w:rsidRPr="006E3B9B">
        <w:rPr>
          <w:lang w:val="en-US" w:eastAsia="zh-CN"/>
        </w:rPr>
        <w:tab/>
      </w:r>
      <w:r w:rsidRPr="006E3B9B">
        <w:rPr>
          <w:rFonts w:hint="eastAsia"/>
          <w:lang w:eastAsia="zh-CN"/>
        </w:rPr>
        <w:t>经修订的</w:t>
      </w:r>
      <w:r w:rsidRPr="006E3B9B">
        <w:rPr>
          <w:lang w:eastAsia="zh-CN"/>
        </w:rPr>
        <w:t xml:space="preserve"> 1957</w:t>
      </w:r>
      <w:r w:rsidRPr="006E3B9B">
        <w:rPr>
          <w:rFonts w:hint="eastAsia"/>
          <w:lang w:eastAsia="zh-CN"/>
        </w:rPr>
        <w:t>年普通预算</w:t>
      </w:r>
      <w:r w:rsidRPr="006E3B9B">
        <w:rPr>
          <w:lang w:val="en-US" w:eastAsia="zh-CN"/>
        </w:rPr>
        <w:tab/>
      </w:r>
      <w:r w:rsidR="00A45877">
        <w:rPr>
          <w:lang w:val="en-US" w:eastAsia="zh-CN"/>
        </w:rPr>
        <w:tab/>
      </w:r>
      <w:r w:rsidRPr="006E3B9B">
        <w:rPr>
          <w:lang w:val="en-US" w:eastAsia="zh-CN"/>
        </w:rPr>
        <w:t>1957</w:t>
      </w:r>
      <w:r w:rsidRPr="006E3B9B">
        <w:rPr>
          <w:rFonts w:hint="eastAsia"/>
          <w:lang w:val="en-US" w:eastAsia="zh-CN"/>
        </w:rPr>
        <w:t>年</w:t>
      </w:r>
    </w:p>
    <w:p w14:paraId="4827BD9A"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356</w:t>
      </w:r>
      <w:r w:rsidRPr="006E3B9B">
        <w:rPr>
          <w:lang w:val="en-US" w:eastAsia="zh-CN"/>
        </w:rPr>
        <w:t>号决议</w:t>
      </w:r>
      <w:r w:rsidRPr="006E3B9B">
        <w:rPr>
          <w:lang w:val="en-US" w:eastAsia="zh-CN"/>
        </w:rPr>
        <w:tab/>
      </w:r>
      <w:r w:rsidRPr="006E3B9B">
        <w:rPr>
          <w:rFonts w:hint="eastAsia"/>
          <w:lang w:val="en-US" w:eastAsia="zh-CN"/>
        </w:rPr>
        <w:t>国际</w:t>
      </w:r>
      <w:r w:rsidRPr="006E3B9B">
        <w:rPr>
          <w:rFonts w:hint="eastAsia"/>
          <w:lang w:eastAsia="zh-CN"/>
        </w:rPr>
        <w:t>电联</w:t>
      </w:r>
      <w:r w:rsidRPr="006E3B9B">
        <w:rPr>
          <w:lang w:eastAsia="zh-CN"/>
        </w:rPr>
        <w:t>1958</w:t>
      </w:r>
      <w:r w:rsidRPr="006E3B9B">
        <w:rPr>
          <w:rFonts w:hint="eastAsia"/>
          <w:lang w:eastAsia="zh-CN"/>
        </w:rPr>
        <w:t>年预算</w:t>
      </w:r>
      <w:r w:rsidRPr="006E3B9B">
        <w:rPr>
          <w:lang w:eastAsia="zh-CN"/>
        </w:rPr>
        <w:t>-</w:t>
      </w:r>
      <w:r w:rsidRPr="006E3B9B">
        <w:rPr>
          <w:rFonts w:hint="eastAsia"/>
          <w:lang w:eastAsia="zh-CN"/>
        </w:rPr>
        <w:t>经修订的</w:t>
      </w:r>
      <w:r w:rsidRPr="006E3B9B">
        <w:rPr>
          <w:lang w:eastAsia="zh-CN"/>
        </w:rPr>
        <w:t>CCIR1957</w:t>
      </w:r>
      <w:r w:rsidRPr="006E3B9B">
        <w:rPr>
          <w:rFonts w:hint="eastAsia"/>
          <w:lang w:eastAsia="zh-CN"/>
        </w:rPr>
        <w:t>年非常预算</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9B"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357</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1956</w:t>
      </w:r>
      <w:r w:rsidRPr="006E3B9B">
        <w:rPr>
          <w:rFonts w:hint="eastAsia"/>
          <w:lang w:eastAsia="zh-CN"/>
        </w:rPr>
        <w:t>年财务工作报告</w:t>
      </w:r>
      <w:r w:rsidRPr="006E3B9B">
        <w:rPr>
          <w:lang w:val="en-US" w:eastAsia="zh-CN"/>
        </w:rPr>
        <w:tab/>
      </w:r>
      <w:r w:rsidR="00A45877">
        <w:rPr>
          <w:lang w:val="en-US" w:eastAsia="zh-CN"/>
        </w:rPr>
        <w:tab/>
      </w:r>
      <w:r w:rsidRPr="006E3B9B">
        <w:rPr>
          <w:lang w:val="en-US" w:eastAsia="zh-CN"/>
        </w:rPr>
        <w:t>1957</w:t>
      </w:r>
      <w:r w:rsidRPr="006E3B9B">
        <w:rPr>
          <w:rFonts w:hint="eastAsia"/>
          <w:lang w:val="en-US" w:eastAsia="zh-CN"/>
        </w:rPr>
        <w:t>年</w:t>
      </w:r>
    </w:p>
    <w:p w14:paraId="4827BD9C"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358</w:t>
      </w:r>
      <w:r w:rsidRPr="006E3B9B">
        <w:rPr>
          <w:lang w:val="en-US" w:eastAsia="zh-CN"/>
        </w:rPr>
        <w:t>号决议</w:t>
      </w:r>
      <w:r w:rsidRPr="006E3B9B">
        <w:rPr>
          <w:lang w:val="en-US" w:eastAsia="zh-CN"/>
        </w:rPr>
        <w:tab/>
      </w:r>
      <w:r w:rsidRPr="006E3B9B">
        <w:rPr>
          <w:rFonts w:hint="eastAsia"/>
          <w:lang w:eastAsia="zh-CN"/>
        </w:rPr>
        <w:t>受到查询的账目</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9D"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359</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1956</w:t>
      </w:r>
      <w:r w:rsidRPr="006E3B9B">
        <w:rPr>
          <w:rFonts w:hint="eastAsia"/>
          <w:lang w:eastAsia="zh-CN"/>
        </w:rPr>
        <w:t>年</w:t>
      </w:r>
      <w:r w:rsidRPr="006E3B9B">
        <w:rPr>
          <w:lang w:eastAsia="zh-CN"/>
        </w:rPr>
        <w:t>1</w:t>
      </w:r>
      <w:r w:rsidRPr="006E3B9B">
        <w:rPr>
          <w:rFonts w:hint="eastAsia"/>
          <w:lang w:eastAsia="zh-CN"/>
        </w:rPr>
        <w:t>月</w:t>
      </w:r>
      <w:r w:rsidRPr="006E3B9B">
        <w:rPr>
          <w:rFonts w:hint="eastAsia"/>
          <w:lang w:eastAsia="zh-CN"/>
        </w:rPr>
        <w:t>1</w:t>
      </w:r>
      <w:r w:rsidRPr="006E3B9B">
        <w:rPr>
          <w:rFonts w:hint="eastAsia"/>
          <w:lang w:eastAsia="zh-CN"/>
        </w:rPr>
        <w:t>日</w:t>
      </w:r>
      <w:r w:rsidRPr="006E3B9B">
        <w:rPr>
          <w:lang w:eastAsia="zh-CN"/>
        </w:rPr>
        <w:t>-12</w:t>
      </w:r>
      <w:r w:rsidRPr="006E3B9B">
        <w:rPr>
          <w:rFonts w:hint="eastAsia"/>
          <w:lang w:eastAsia="zh-CN"/>
        </w:rPr>
        <w:t>月</w:t>
      </w:r>
      <w:r w:rsidRPr="006E3B9B">
        <w:rPr>
          <w:lang w:eastAsia="zh-CN"/>
        </w:rPr>
        <w:t>31</w:t>
      </w:r>
      <w:r w:rsidRPr="006E3B9B">
        <w:rPr>
          <w:rFonts w:hint="eastAsia"/>
          <w:lang w:eastAsia="zh-CN"/>
        </w:rPr>
        <w:t>日账目的审计</w:t>
      </w:r>
      <w:r w:rsidRPr="006E3B9B">
        <w:rPr>
          <w:lang w:val="en-US" w:eastAsia="zh-CN"/>
        </w:rPr>
        <w:tab/>
      </w:r>
      <w:r w:rsidR="00A45877">
        <w:rPr>
          <w:lang w:val="en-US" w:eastAsia="zh-CN"/>
        </w:rPr>
        <w:tab/>
      </w:r>
      <w:r w:rsidRPr="006E3B9B">
        <w:rPr>
          <w:lang w:val="en-US" w:eastAsia="zh-CN"/>
        </w:rPr>
        <w:t>1957</w:t>
      </w:r>
      <w:r w:rsidRPr="006E3B9B">
        <w:rPr>
          <w:rFonts w:hint="eastAsia"/>
          <w:lang w:val="en-US" w:eastAsia="zh-CN"/>
        </w:rPr>
        <w:t>年</w:t>
      </w:r>
    </w:p>
    <w:p w14:paraId="4827BD9E"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360</w:t>
      </w:r>
      <w:r w:rsidRPr="006E3B9B">
        <w:rPr>
          <w:lang w:val="en-US" w:eastAsia="zh-CN"/>
        </w:rPr>
        <w:t>号决议</w:t>
      </w:r>
      <w:r w:rsidRPr="006E3B9B">
        <w:rPr>
          <w:lang w:val="en-US" w:eastAsia="zh-CN"/>
        </w:rPr>
        <w:tab/>
      </w:r>
      <w:r w:rsidRPr="006E3B9B">
        <w:rPr>
          <w:rFonts w:hint="eastAsia"/>
          <w:lang w:eastAsia="zh-CN"/>
        </w:rPr>
        <w:t>因特殊情况和因实施《国际电联行政规则》而导致的预期外与不可避免支出</w:t>
      </w:r>
      <w:r w:rsidRPr="006E3B9B">
        <w:rPr>
          <w:lang w:eastAsia="zh-CN"/>
        </w:rPr>
        <w:br/>
      </w:r>
      <w:r w:rsidRPr="006E3B9B">
        <w:rPr>
          <w:rFonts w:hint="eastAsia"/>
          <w:lang w:eastAsia="zh-CN"/>
        </w:rPr>
        <w:t>的承诺资金</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9F"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361</w:t>
      </w:r>
      <w:r w:rsidRPr="006E3B9B">
        <w:rPr>
          <w:lang w:val="en-US" w:eastAsia="zh-CN"/>
        </w:rPr>
        <w:t>号决议</w:t>
      </w:r>
      <w:r w:rsidRPr="006E3B9B">
        <w:rPr>
          <w:lang w:val="en-US" w:eastAsia="zh-CN"/>
        </w:rPr>
        <w:tab/>
      </w:r>
      <w:r w:rsidRPr="006E3B9B">
        <w:rPr>
          <w:rFonts w:hint="eastAsia"/>
          <w:lang w:eastAsia="zh-CN"/>
        </w:rPr>
        <w:t>对</w:t>
      </w:r>
      <w:r w:rsidRPr="006E3B9B">
        <w:rPr>
          <w:lang w:eastAsia="zh-CN"/>
        </w:rPr>
        <w:t>1955</w:t>
      </w:r>
      <w:r w:rsidRPr="006E3B9B">
        <w:rPr>
          <w:rFonts w:hint="eastAsia"/>
          <w:lang w:eastAsia="zh-CN"/>
        </w:rPr>
        <w:t>年版国际电联《财务规则》的修正</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A0"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362</w:t>
      </w:r>
      <w:r w:rsidRPr="006E3B9B">
        <w:rPr>
          <w:lang w:val="en-US" w:eastAsia="zh-CN"/>
        </w:rPr>
        <w:t>号决议</w:t>
      </w:r>
      <w:r w:rsidRPr="006E3B9B">
        <w:rPr>
          <w:lang w:val="en-US" w:eastAsia="zh-CN"/>
        </w:rPr>
        <w:tab/>
      </w:r>
      <w:r w:rsidRPr="006E3B9B">
        <w:rPr>
          <w:rFonts w:hint="eastAsia"/>
          <w:lang w:eastAsia="zh-CN"/>
        </w:rPr>
        <w:t>通过航空固定电信网传送的业务</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A1"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363</w:t>
      </w:r>
      <w:r w:rsidRPr="006E3B9B">
        <w:rPr>
          <w:lang w:val="en-US" w:eastAsia="zh-CN"/>
        </w:rPr>
        <w:t>号决议</w:t>
      </w:r>
      <w:r w:rsidRPr="006E3B9B">
        <w:rPr>
          <w:lang w:val="en-US" w:eastAsia="zh-CN"/>
        </w:rPr>
        <w:tab/>
      </w:r>
      <w:r w:rsidRPr="006E3B9B">
        <w:rPr>
          <w:rFonts w:hint="eastAsia"/>
          <w:lang w:val="en-US" w:eastAsia="zh-CN"/>
        </w:rPr>
        <w:t>有关</w:t>
      </w:r>
      <w:r w:rsidRPr="006E3B9B">
        <w:rPr>
          <w:rFonts w:hint="eastAsia"/>
          <w:lang w:eastAsia="zh-CN"/>
        </w:rPr>
        <w:t>电信事宜的科技合作</w:t>
      </w:r>
      <w:r w:rsidRPr="006E3B9B">
        <w:rPr>
          <w:lang w:val="en-US" w:eastAsia="zh-CN"/>
        </w:rPr>
        <w:tab/>
      </w:r>
      <w:r w:rsidR="00A45877">
        <w:rPr>
          <w:lang w:val="en-US" w:eastAsia="zh-CN"/>
        </w:rPr>
        <w:tab/>
      </w:r>
      <w:r w:rsidRPr="006E3B9B">
        <w:rPr>
          <w:lang w:val="en-US" w:eastAsia="zh-CN"/>
        </w:rPr>
        <w:t>2002</w:t>
      </w:r>
      <w:r w:rsidRPr="006E3B9B">
        <w:rPr>
          <w:rFonts w:hint="eastAsia"/>
          <w:lang w:val="en-US" w:eastAsia="zh-CN"/>
        </w:rPr>
        <w:t>年</w:t>
      </w:r>
    </w:p>
    <w:p w14:paraId="4827BDA2"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364</w:t>
      </w:r>
      <w:r w:rsidRPr="006E3B9B">
        <w:rPr>
          <w:lang w:val="en-US" w:eastAsia="zh-CN"/>
        </w:rPr>
        <w:t>号决议</w:t>
      </w:r>
      <w:r w:rsidRPr="006E3B9B">
        <w:rPr>
          <w:lang w:val="en-US" w:eastAsia="zh-CN"/>
        </w:rPr>
        <w:tab/>
      </w:r>
      <w:r w:rsidRPr="006E3B9B">
        <w:rPr>
          <w:rFonts w:hint="eastAsia"/>
          <w:lang w:eastAsia="zh-CN"/>
        </w:rPr>
        <w:t>实施大西洋城频率划分表</w:t>
      </w:r>
      <w:r w:rsidRPr="006E3B9B">
        <w:rPr>
          <w:lang w:eastAsia="zh-CN"/>
        </w:rPr>
        <w:t>3950kc/s</w:t>
      </w:r>
      <w:r w:rsidRPr="006E3B9B">
        <w:rPr>
          <w:rFonts w:hint="eastAsia"/>
          <w:lang w:eastAsia="zh-CN"/>
        </w:rPr>
        <w:t>和</w:t>
      </w:r>
      <w:r w:rsidRPr="006E3B9B">
        <w:rPr>
          <w:lang w:eastAsia="zh-CN"/>
        </w:rPr>
        <w:t>27500kc/s</w:t>
      </w:r>
      <w:r w:rsidRPr="006E3B9B">
        <w:rPr>
          <w:rFonts w:hint="eastAsia"/>
          <w:lang w:eastAsia="zh-CN"/>
        </w:rPr>
        <w:t>部分</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A3"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365</w:t>
      </w:r>
      <w:r w:rsidRPr="006E3B9B">
        <w:rPr>
          <w:lang w:val="en-US" w:eastAsia="zh-CN"/>
        </w:rPr>
        <w:t>号决议</w:t>
      </w:r>
      <w:r w:rsidRPr="006E3B9B">
        <w:rPr>
          <w:lang w:val="en-US" w:eastAsia="zh-CN"/>
        </w:rPr>
        <w:tab/>
      </w:r>
      <w:r w:rsidRPr="006E3B9B">
        <w:rPr>
          <w:rFonts w:hint="eastAsia"/>
          <w:lang w:eastAsia="zh-CN"/>
        </w:rPr>
        <w:t>高频广播业务规划草案的起草</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A4"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366</w:t>
      </w:r>
      <w:r w:rsidRPr="006E3B9B">
        <w:rPr>
          <w:lang w:val="en-US" w:eastAsia="zh-CN"/>
        </w:rPr>
        <w:t>号决议</w:t>
      </w:r>
      <w:r w:rsidRPr="006E3B9B">
        <w:rPr>
          <w:lang w:val="en-US" w:eastAsia="zh-CN"/>
        </w:rPr>
        <w:tab/>
      </w:r>
      <w:r w:rsidRPr="006E3B9B">
        <w:rPr>
          <w:rFonts w:hint="eastAsia"/>
          <w:lang w:val="en-US" w:eastAsia="zh-CN"/>
        </w:rPr>
        <w:t>国际</w:t>
      </w:r>
      <w:r w:rsidRPr="006E3B9B">
        <w:rPr>
          <w:rFonts w:hint="eastAsia"/>
          <w:lang w:eastAsia="zh-CN"/>
        </w:rPr>
        <w:t>电联职员的工资</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A5"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367</w:t>
      </w:r>
      <w:r w:rsidRPr="006E3B9B">
        <w:rPr>
          <w:lang w:val="en-US" w:eastAsia="zh-CN"/>
        </w:rPr>
        <w:t>号决议</w:t>
      </w:r>
      <w:r w:rsidRPr="006E3B9B">
        <w:rPr>
          <w:lang w:val="en-US" w:eastAsia="zh-CN"/>
        </w:rPr>
        <w:tab/>
      </w:r>
      <w:r w:rsidRPr="006E3B9B">
        <w:rPr>
          <w:rFonts w:hint="eastAsia"/>
          <w:lang w:eastAsia="zh-CN"/>
        </w:rPr>
        <w:t>将国际劳工组织</w:t>
      </w:r>
      <w:r w:rsidRPr="006E3B9B">
        <w:rPr>
          <w:lang w:eastAsia="zh-CN"/>
        </w:rPr>
        <w:t>/</w:t>
      </w:r>
      <w:r w:rsidRPr="006E3B9B">
        <w:rPr>
          <w:rFonts w:hint="eastAsia"/>
          <w:lang w:eastAsia="zh-CN"/>
        </w:rPr>
        <w:t>国际电联职员医疗保险基金的福利范围扩大到官员家属</w:t>
      </w:r>
      <w:r w:rsidR="00A45877">
        <w:rPr>
          <w:lang w:eastAsia="zh-CN"/>
        </w:rPr>
        <w:tab/>
      </w:r>
      <w:r w:rsidRPr="006E3B9B">
        <w:rPr>
          <w:lang w:val="en-US" w:eastAsia="zh-CN"/>
        </w:rPr>
        <w:tab/>
        <w:t>1964</w:t>
      </w:r>
      <w:r w:rsidRPr="006E3B9B">
        <w:rPr>
          <w:rFonts w:hint="eastAsia"/>
          <w:lang w:val="en-US" w:eastAsia="zh-CN"/>
        </w:rPr>
        <w:t>年</w:t>
      </w:r>
    </w:p>
    <w:p w14:paraId="4827BDA6"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368</w:t>
      </w:r>
      <w:r w:rsidRPr="006E3B9B">
        <w:rPr>
          <w:lang w:val="en-US" w:eastAsia="zh-CN"/>
        </w:rPr>
        <w:t>号决议</w:t>
      </w:r>
      <w:r w:rsidRPr="006E3B9B">
        <w:rPr>
          <w:lang w:val="en-US" w:eastAsia="zh-CN"/>
        </w:rPr>
        <w:tab/>
      </w:r>
      <w:r w:rsidRPr="006E3B9B">
        <w:rPr>
          <w:lang w:eastAsia="zh-CN"/>
        </w:rPr>
        <w:t>频登会</w:t>
      </w:r>
      <w:r w:rsidRPr="006E3B9B">
        <w:rPr>
          <w:rFonts w:hint="eastAsia"/>
          <w:lang w:eastAsia="zh-CN"/>
        </w:rPr>
        <w:t>委员退出捷克斯洛伐克国籍</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A7"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369</w:t>
      </w:r>
      <w:r w:rsidRPr="006E3B9B">
        <w:rPr>
          <w:lang w:val="en-US" w:eastAsia="zh-CN"/>
        </w:rPr>
        <w:t>号决议</w:t>
      </w:r>
      <w:r w:rsidRPr="006E3B9B">
        <w:rPr>
          <w:lang w:val="en-US" w:eastAsia="zh-CN"/>
        </w:rPr>
        <w:tab/>
        <w:t>Brunet</w:t>
      </w:r>
      <w:r w:rsidRPr="006E3B9B">
        <w:rPr>
          <w:rFonts w:hint="eastAsia"/>
          <w:lang w:eastAsia="zh-CN"/>
        </w:rPr>
        <w:t>夫人的呼吁</w:t>
      </w:r>
      <w:r w:rsidRPr="006E3B9B">
        <w:rPr>
          <w:lang w:val="en-US" w:eastAsia="zh-CN"/>
        </w:rPr>
        <w:tab/>
      </w:r>
      <w:r w:rsidR="00A45877">
        <w:rPr>
          <w:lang w:val="en-US" w:eastAsia="zh-CN"/>
        </w:rPr>
        <w:tab/>
      </w:r>
      <w:r w:rsidRPr="006E3B9B">
        <w:rPr>
          <w:lang w:val="en-US" w:eastAsia="zh-CN"/>
        </w:rPr>
        <w:t>1957</w:t>
      </w:r>
      <w:r w:rsidRPr="006E3B9B">
        <w:rPr>
          <w:rFonts w:hint="eastAsia"/>
          <w:lang w:val="en-US" w:eastAsia="zh-CN"/>
        </w:rPr>
        <w:t>年</w:t>
      </w:r>
    </w:p>
    <w:p w14:paraId="4827BDA8"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370</w:t>
      </w:r>
      <w:r w:rsidRPr="006E3B9B">
        <w:rPr>
          <w:lang w:val="en-US" w:eastAsia="zh-CN"/>
        </w:rPr>
        <w:t>号决议</w:t>
      </w:r>
      <w:r w:rsidRPr="006E3B9B">
        <w:rPr>
          <w:lang w:val="en-US" w:eastAsia="zh-CN"/>
        </w:rPr>
        <w:tab/>
      </w:r>
      <w:r w:rsidRPr="006E3B9B">
        <w:rPr>
          <w:rFonts w:hint="eastAsia"/>
          <w:lang w:val="en-US" w:eastAsia="zh-CN"/>
        </w:rPr>
        <w:t>国际</w:t>
      </w:r>
      <w:r w:rsidRPr="006E3B9B">
        <w:rPr>
          <w:rFonts w:hint="eastAsia"/>
          <w:lang w:eastAsia="zh-CN"/>
        </w:rPr>
        <w:t>电联办公楼的建造</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A9"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371</w:t>
      </w:r>
      <w:r w:rsidRPr="006E3B9B">
        <w:rPr>
          <w:lang w:val="en-US" w:eastAsia="zh-CN"/>
        </w:rPr>
        <w:t>号决议</w:t>
      </w:r>
      <w:r w:rsidRPr="006E3B9B">
        <w:rPr>
          <w:lang w:val="en-US" w:eastAsia="zh-CN"/>
        </w:rPr>
        <w:tab/>
      </w:r>
      <w:r w:rsidRPr="006E3B9B">
        <w:rPr>
          <w:rFonts w:hint="eastAsia"/>
          <w:lang w:eastAsia="zh-CN"/>
        </w:rPr>
        <w:t>专利</w:t>
      </w:r>
      <w:r w:rsidRPr="006E3B9B">
        <w:rPr>
          <w:lang w:val="en-US" w:eastAsia="zh-CN"/>
        </w:rPr>
        <w:tab/>
      </w:r>
      <w:r w:rsidR="00A45877">
        <w:rPr>
          <w:lang w:val="en-US" w:eastAsia="zh-CN"/>
        </w:rPr>
        <w:tab/>
      </w:r>
      <w:r w:rsidRPr="006E3B9B">
        <w:rPr>
          <w:lang w:val="en-US" w:eastAsia="zh-CN"/>
        </w:rPr>
        <w:t>1975</w:t>
      </w:r>
      <w:r w:rsidRPr="006E3B9B">
        <w:rPr>
          <w:rFonts w:hint="eastAsia"/>
          <w:lang w:val="en-US" w:eastAsia="zh-CN"/>
        </w:rPr>
        <w:t>年</w:t>
      </w:r>
    </w:p>
    <w:p w14:paraId="4827BDAA" w14:textId="77777777" w:rsidR="00BF1CF1" w:rsidRDefault="00BF1CF1">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4827BDAB" w14:textId="77777777" w:rsidR="006E3B9B" w:rsidRPr="006E3B9B" w:rsidRDefault="006E3B9B" w:rsidP="003E11A1">
      <w:pPr>
        <w:pStyle w:val="Reftitle"/>
        <w:rPr>
          <w:lang w:val="en-US" w:eastAsia="zh-CN"/>
        </w:rPr>
      </w:pPr>
      <w:r w:rsidRPr="006E3B9B">
        <w:rPr>
          <w:rFonts w:hint="eastAsia"/>
          <w:lang w:eastAsia="zh-CN"/>
        </w:rPr>
        <w:lastRenderedPageBreak/>
        <w:t>第</w:t>
      </w:r>
      <w:r w:rsidRPr="006E3B9B">
        <w:rPr>
          <w:lang w:eastAsia="zh-CN"/>
        </w:rPr>
        <w:t>13</w:t>
      </w:r>
      <w:r w:rsidRPr="006E3B9B">
        <w:rPr>
          <w:rFonts w:hint="eastAsia"/>
          <w:lang w:eastAsia="zh-CN"/>
        </w:rPr>
        <w:t>届会议</w:t>
      </w:r>
      <w:r w:rsidRPr="006E3B9B">
        <w:rPr>
          <w:lang w:eastAsia="zh-CN"/>
        </w:rPr>
        <w:t>（</w:t>
      </w:r>
      <w:r w:rsidRPr="006E3B9B">
        <w:rPr>
          <w:lang w:eastAsia="zh-CN"/>
        </w:rPr>
        <w:t>1958</w:t>
      </w:r>
      <w:r w:rsidRPr="006E3B9B">
        <w:rPr>
          <w:rFonts w:hint="eastAsia"/>
          <w:lang w:eastAsia="zh-CN"/>
        </w:rPr>
        <w:t>年</w:t>
      </w:r>
      <w:r w:rsidRPr="006E3B9B">
        <w:rPr>
          <w:lang w:eastAsia="zh-CN"/>
        </w:rPr>
        <w:t>4</w:t>
      </w:r>
      <w:r w:rsidRPr="006E3B9B">
        <w:rPr>
          <w:rFonts w:hint="eastAsia"/>
          <w:lang w:eastAsia="zh-CN"/>
        </w:rPr>
        <w:t>月</w:t>
      </w:r>
      <w:r w:rsidRPr="006E3B9B">
        <w:rPr>
          <w:lang w:eastAsia="zh-CN"/>
        </w:rPr>
        <w:t>-5</w:t>
      </w:r>
      <w:r w:rsidRPr="006E3B9B">
        <w:rPr>
          <w:rFonts w:hint="eastAsia"/>
          <w:lang w:eastAsia="zh-CN"/>
        </w:rPr>
        <w:t>月</w:t>
      </w:r>
      <w:r w:rsidRPr="006E3B9B">
        <w:rPr>
          <w:lang w:eastAsia="zh-CN"/>
        </w:rPr>
        <w:t>）</w:t>
      </w:r>
    </w:p>
    <w:p w14:paraId="4827BDAC"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372</w:t>
      </w:r>
      <w:r w:rsidRPr="006E3B9B">
        <w:rPr>
          <w:lang w:val="en-US" w:eastAsia="zh-CN"/>
        </w:rPr>
        <w:t>号决议</w:t>
      </w:r>
      <w:r w:rsidRPr="006E3B9B">
        <w:rPr>
          <w:lang w:val="en-US" w:eastAsia="zh-CN"/>
        </w:rPr>
        <w:tab/>
      </w:r>
      <w:r w:rsidRPr="006E3B9B">
        <w:rPr>
          <w:rFonts w:hint="eastAsia"/>
          <w:lang w:eastAsia="zh-CN"/>
        </w:rPr>
        <w:t>下届无线电行政大会的会期</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AD"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373</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1957</w:t>
      </w:r>
      <w:r w:rsidRPr="006E3B9B">
        <w:rPr>
          <w:rFonts w:hint="eastAsia"/>
          <w:lang w:eastAsia="zh-CN"/>
        </w:rPr>
        <w:t>年财务工作报告</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AE"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374</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1957</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1</w:t>
      </w:r>
      <w:r w:rsidRPr="006E3B9B">
        <w:rPr>
          <w:rFonts w:hint="eastAsia"/>
          <w:lang w:eastAsia="zh-CN"/>
        </w:rPr>
        <w:t>日</w:t>
      </w:r>
      <w:r w:rsidRPr="006E3B9B">
        <w:rPr>
          <w:lang w:eastAsia="zh-CN"/>
        </w:rPr>
        <w:t>-12</w:t>
      </w:r>
      <w:r w:rsidRPr="006E3B9B">
        <w:rPr>
          <w:rFonts w:hint="eastAsia"/>
          <w:lang w:eastAsia="zh-CN"/>
        </w:rPr>
        <w:t>月</w:t>
      </w:r>
      <w:r w:rsidRPr="006E3B9B">
        <w:rPr>
          <w:lang w:eastAsia="zh-CN"/>
        </w:rPr>
        <w:t>31</w:t>
      </w:r>
      <w:r w:rsidRPr="006E3B9B">
        <w:rPr>
          <w:rFonts w:hint="eastAsia"/>
          <w:lang w:eastAsia="zh-CN"/>
        </w:rPr>
        <w:t>日账目的审计</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AF"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375</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1958</w:t>
      </w:r>
      <w:r w:rsidRPr="006E3B9B">
        <w:rPr>
          <w:rFonts w:hint="eastAsia"/>
          <w:lang w:eastAsia="zh-CN"/>
        </w:rPr>
        <w:t>年预算</w:t>
      </w:r>
      <w:r w:rsidRPr="006E3B9B">
        <w:rPr>
          <w:lang w:eastAsia="zh-CN"/>
        </w:rPr>
        <w:t>（</w:t>
      </w:r>
      <w:r w:rsidRPr="006E3B9B">
        <w:rPr>
          <w:rFonts w:hint="eastAsia"/>
          <w:lang w:eastAsia="zh-CN"/>
        </w:rPr>
        <w:t>修订版</w:t>
      </w:r>
      <w:r w:rsidRPr="006E3B9B">
        <w:rPr>
          <w:lang w:eastAsia="zh-CN"/>
        </w:rPr>
        <w:t>）</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B0"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376</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1959</w:t>
      </w:r>
      <w:r w:rsidRPr="006E3B9B">
        <w:rPr>
          <w:rFonts w:hint="eastAsia"/>
          <w:lang w:eastAsia="zh-CN"/>
        </w:rPr>
        <w:t>年预算</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B1"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377</w:t>
      </w:r>
      <w:r w:rsidRPr="006E3B9B">
        <w:rPr>
          <w:lang w:val="en-US" w:eastAsia="zh-CN"/>
        </w:rPr>
        <w:t>号决议</w:t>
      </w:r>
      <w:r w:rsidRPr="006E3B9B">
        <w:rPr>
          <w:lang w:val="en-US" w:eastAsia="zh-CN"/>
        </w:rPr>
        <w:tab/>
      </w:r>
      <w:r w:rsidRPr="006E3B9B">
        <w:rPr>
          <w:lang w:eastAsia="zh-CN"/>
        </w:rPr>
        <w:t>1959</w:t>
      </w:r>
      <w:r w:rsidRPr="006E3B9B">
        <w:rPr>
          <w:rFonts w:hint="eastAsia"/>
          <w:lang w:eastAsia="zh-CN"/>
        </w:rPr>
        <w:t>年普通支出的限额</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B2"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378</w:t>
      </w:r>
      <w:r w:rsidRPr="006E3B9B">
        <w:rPr>
          <w:lang w:val="en-US" w:eastAsia="zh-CN"/>
        </w:rPr>
        <w:t>号决议</w:t>
      </w:r>
      <w:r w:rsidRPr="006E3B9B">
        <w:rPr>
          <w:lang w:val="en-US" w:eastAsia="zh-CN"/>
        </w:rPr>
        <w:tab/>
      </w:r>
      <w:r w:rsidRPr="006E3B9B">
        <w:rPr>
          <w:rFonts w:hint="eastAsia"/>
          <w:lang w:eastAsia="zh-CN"/>
        </w:rPr>
        <w:t>欠款账目</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B3"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379</w:t>
      </w:r>
      <w:r w:rsidRPr="006E3B9B">
        <w:rPr>
          <w:lang w:val="en-US" w:eastAsia="zh-CN"/>
        </w:rPr>
        <w:t>号决议</w:t>
      </w:r>
      <w:r w:rsidRPr="006E3B9B">
        <w:rPr>
          <w:lang w:val="en-US" w:eastAsia="zh-CN"/>
        </w:rPr>
        <w:tab/>
      </w:r>
      <w:r w:rsidRPr="006E3B9B">
        <w:rPr>
          <w:rFonts w:hint="eastAsia"/>
          <w:lang w:eastAsia="zh-CN"/>
        </w:rPr>
        <w:t>受到查询的账目</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B4"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380</w:t>
      </w:r>
      <w:r w:rsidRPr="006E3B9B">
        <w:rPr>
          <w:lang w:val="en-US" w:eastAsia="zh-CN"/>
        </w:rPr>
        <w:t>号决议</w:t>
      </w:r>
      <w:r w:rsidRPr="006E3B9B">
        <w:rPr>
          <w:lang w:val="en-US" w:eastAsia="zh-CN"/>
        </w:rPr>
        <w:tab/>
      </w:r>
      <w:r w:rsidRPr="006E3B9B">
        <w:rPr>
          <w:rFonts w:hint="eastAsia"/>
          <w:lang w:eastAsia="zh-CN"/>
        </w:rPr>
        <w:t>节约措施</w:t>
      </w:r>
      <w:r w:rsidRPr="006E3B9B">
        <w:rPr>
          <w:lang w:val="en-US" w:eastAsia="zh-CN"/>
        </w:rPr>
        <w:t xml:space="preserve"> </w:t>
      </w:r>
      <w:r w:rsidRPr="006E3B9B">
        <w:rPr>
          <w:lang w:eastAsia="zh-CN"/>
        </w:rPr>
        <w:t xml:space="preserve">– </w:t>
      </w:r>
      <w:r w:rsidRPr="006E3B9B">
        <w:rPr>
          <w:rFonts w:hint="eastAsia"/>
          <w:lang w:eastAsia="zh-CN"/>
        </w:rPr>
        <w:t>长期职位的填补</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B5"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381</w:t>
      </w:r>
      <w:r w:rsidRPr="006E3B9B">
        <w:rPr>
          <w:lang w:val="en-US" w:eastAsia="zh-CN"/>
        </w:rPr>
        <w:t>号决议</w:t>
      </w:r>
      <w:r w:rsidRPr="006E3B9B">
        <w:rPr>
          <w:lang w:val="en-US" w:eastAsia="zh-CN"/>
        </w:rPr>
        <w:tab/>
      </w:r>
      <w:r w:rsidRPr="006E3B9B">
        <w:rPr>
          <w:rFonts w:hint="eastAsia"/>
          <w:lang w:eastAsia="zh-CN"/>
        </w:rPr>
        <w:t>节约措施</w:t>
      </w:r>
      <w:r w:rsidRPr="006E3B9B">
        <w:rPr>
          <w:lang w:val="en-US" w:eastAsia="zh-CN"/>
        </w:rPr>
        <w:t xml:space="preserve"> </w:t>
      </w:r>
      <w:r w:rsidRPr="006E3B9B">
        <w:rPr>
          <w:lang w:eastAsia="zh-CN"/>
        </w:rPr>
        <w:t xml:space="preserve">– </w:t>
      </w:r>
      <w:r w:rsidRPr="006E3B9B">
        <w:rPr>
          <w:rFonts w:hint="eastAsia"/>
          <w:lang w:eastAsia="zh-CN"/>
        </w:rPr>
        <w:t>国际电联各项服务的重组</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B6"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382</w:t>
      </w:r>
      <w:r w:rsidRPr="006E3B9B">
        <w:rPr>
          <w:lang w:val="en-US" w:eastAsia="zh-CN"/>
        </w:rPr>
        <w:t>号决议</w:t>
      </w:r>
      <w:r w:rsidRPr="006E3B9B">
        <w:rPr>
          <w:lang w:val="en-US" w:eastAsia="zh-CN"/>
        </w:rPr>
        <w:tab/>
      </w:r>
      <w:r w:rsidRPr="006E3B9B">
        <w:rPr>
          <w:rFonts w:hint="eastAsia"/>
          <w:lang w:eastAsia="zh-CN"/>
        </w:rPr>
        <w:t>为发展国家和国际网络进行文件编制</w:t>
      </w:r>
      <w:r w:rsidRPr="006E3B9B">
        <w:rPr>
          <w:lang w:val="en-US" w:eastAsia="zh-CN"/>
        </w:rPr>
        <w:tab/>
      </w:r>
      <w:r w:rsidR="00A45877">
        <w:rPr>
          <w:lang w:val="en-US" w:eastAsia="zh-CN"/>
        </w:rPr>
        <w:tab/>
      </w:r>
      <w:r w:rsidRPr="006E3B9B">
        <w:rPr>
          <w:lang w:val="en-US" w:eastAsia="zh-CN"/>
        </w:rPr>
        <w:t>1966</w:t>
      </w:r>
      <w:r w:rsidRPr="006E3B9B">
        <w:rPr>
          <w:rFonts w:hint="eastAsia"/>
          <w:lang w:val="en-US" w:eastAsia="zh-CN"/>
        </w:rPr>
        <w:t>年</w:t>
      </w:r>
    </w:p>
    <w:p w14:paraId="4827BDB7"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383</w:t>
      </w:r>
      <w:r w:rsidRPr="006E3B9B">
        <w:rPr>
          <w:lang w:val="en-US" w:eastAsia="zh-CN"/>
        </w:rPr>
        <w:t>号决议</w:t>
      </w:r>
      <w:r w:rsidRPr="006E3B9B">
        <w:rPr>
          <w:lang w:val="en-US" w:eastAsia="zh-CN"/>
        </w:rPr>
        <w:tab/>
      </w:r>
      <w:r w:rsidRPr="006E3B9B">
        <w:rPr>
          <w:rFonts w:hint="eastAsia"/>
          <w:lang w:val="en-US" w:eastAsia="zh-CN"/>
        </w:rPr>
        <w:t>扩展</w:t>
      </w:r>
      <w:r w:rsidRPr="006E3B9B">
        <w:rPr>
          <w:rFonts w:hint="eastAsia"/>
          <w:lang w:eastAsia="zh-CN"/>
        </w:rPr>
        <w:t>国际电信网的总体发展规划</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B8"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384</w:t>
      </w:r>
      <w:r w:rsidRPr="006E3B9B">
        <w:rPr>
          <w:lang w:val="en-US" w:eastAsia="zh-CN"/>
        </w:rPr>
        <w:t>号决议</w:t>
      </w:r>
      <w:r w:rsidRPr="006E3B9B">
        <w:rPr>
          <w:lang w:val="en-US" w:eastAsia="zh-CN"/>
        </w:rPr>
        <w:tab/>
      </w:r>
      <w:r w:rsidRPr="006E3B9B">
        <w:rPr>
          <w:rFonts w:hint="eastAsia"/>
          <w:lang w:eastAsia="zh-CN"/>
        </w:rPr>
        <w:t>国际电联参与改进亚洲和远东的电信工作</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B9"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385</w:t>
      </w:r>
      <w:r w:rsidRPr="006E3B9B">
        <w:rPr>
          <w:lang w:val="en-US" w:eastAsia="zh-CN"/>
        </w:rPr>
        <w:t>号决议</w:t>
      </w:r>
      <w:r w:rsidRPr="006E3B9B">
        <w:rPr>
          <w:lang w:val="en-US" w:eastAsia="zh-CN"/>
        </w:rPr>
        <w:tab/>
      </w:r>
      <w:r w:rsidRPr="006E3B9B">
        <w:rPr>
          <w:rFonts w:hint="eastAsia"/>
          <w:lang w:eastAsia="zh-CN"/>
        </w:rPr>
        <w:t>技术援助</w:t>
      </w:r>
      <w:r w:rsidRPr="006E3B9B">
        <w:rPr>
          <w:lang w:val="en-US" w:eastAsia="zh-CN"/>
        </w:rPr>
        <w:t xml:space="preserve"> </w:t>
      </w:r>
      <w:r w:rsidRPr="006E3B9B">
        <w:rPr>
          <w:lang w:eastAsia="zh-CN"/>
        </w:rPr>
        <w:t xml:space="preserve">– </w:t>
      </w:r>
      <w:r w:rsidRPr="006E3B9B">
        <w:rPr>
          <w:rFonts w:hint="eastAsia"/>
          <w:lang w:eastAsia="zh-CN"/>
        </w:rPr>
        <w:t>行政和运作成本的借记</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BA"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386</w:t>
      </w:r>
      <w:r w:rsidRPr="006E3B9B">
        <w:rPr>
          <w:lang w:val="en-US" w:eastAsia="zh-CN"/>
        </w:rPr>
        <w:t>号决议</w:t>
      </w:r>
      <w:r w:rsidRPr="006E3B9B">
        <w:rPr>
          <w:lang w:val="en-US" w:eastAsia="zh-CN"/>
        </w:rPr>
        <w:tab/>
      </w:r>
      <w:r w:rsidRPr="006E3B9B">
        <w:rPr>
          <w:rFonts w:hint="eastAsia"/>
          <w:lang w:eastAsia="zh-CN"/>
        </w:rPr>
        <w:t>实施大西洋城频率划分表</w:t>
      </w:r>
      <w:r w:rsidRPr="006E3B9B">
        <w:rPr>
          <w:lang w:eastAsia="zh-CN"/>
        </w:rPr>
        <w:t>3950kc/s</w:t>
      </w:r>
      <w:r w:rsidRPr="006E3B9B">
        <w:rPr>
          <w:rFonts w:hint="eastAsia"/>
          <w:lang w:eastAsia="zh-CN"/>
        </w:rPr>
        <w:t>和</w:t>
      </w:r>
      <w:r w:rsidRPr="006E3B9B">
        <w:rPr>
          <w:lang w:eastAsia="zh-CN"/>
        </w:rPr>
        <w:t>27500kc/s</w:t>
      </w:r>
      <w:r w:rsidRPr="006E3B9B">
        <w:rPr>
          <w:rFonts w:hint="eastAsia"/>
          <w:lang w:eastAsia="zh-CN"/>
        </w:rPr>
        <w:t>部分</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BB"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387</w:t>
      </w:r>
      <w:r w:rsidRPr="006E3B9B">
        <w:rPr>
          <w:lang w:val="en-US" w:eastAsia="zh-CN"/>
        </w:rPr>
        <w:t>号决议</w:t>
      </w:r>
      <w:r w:rsidRPr="006E3B9B">
        <w:rPr>
          <w:lang w:val="en-US" w:eastAsia="zh-CN"/>
        </w:rPr>
        <w:tab/>
      </w:r>
      <w:r w:rsidRPr="006E3B9B">
        <w:rPr>
          <w:rFonts w:hint="eastAsia"/>
          <w:lang w:eastAsia="zh-CN"/>
        </w:rPr>
        <w:t>高频广播业务规划草案的起草</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BC"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388</w:t>
      </w:r>
      <w:r w:rsidRPr="006E3B9B">
        <w:rPr>
          <w:lang w:val="en-US" w:eastAsia="zh-CN"/>
        </w:rPr>
        <w:t>号决议</w:t>
      </w:r>
      <w:r w:rsidRPr="006E3B9B">
        <w:rPr>
          <w:lang w:val="en-US" w:eastAsia="zh-CN"/>
        </w:rPr>
        <w:tab/>
      </w:r>
      <w:r w:rsidRPr="006E3B9B">
        <w:rPr>
          <w:rFonts w:hint="eastAsia"/>
          <w:lang w:eastAsia="zh-CN"/>
        </w:rPr>
        <w:t>职员的重新定级和《人事规则》的修改</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BD"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389</w:t>
      </w:r>
      <w:r w:rsidRPr="006E3B9B">
        <w:rPr>
          <w:lang w:val="en-US" w:eastAsia="zh-CN"/>
        </w:rPr>
        <w:t>号决议</w:t>
      </w:r>
      <w:r w:rsidRPr="006E3B9B">
        <w:rPr>
          <w:lang w:val="en-US" w:eastAsia="zh-CN"/>
        </w:rPr>
        <w:tab/>
      </w:r>
      <w:r w:rsidRPr="006E3B9B">
        <w:rPr>
          <w:rFonts w:hint="eastAsia"/>
          <w:lang w:eastAsia="zh-CN"/>
        </w:rPr>
        <w:t>对《人事规则》第</w:t>
      </w:r>
      <w:r w:rsidRPr="006E3B9B">
        <w:rPr>
          <w:lang w:eastAsia="zh-CN"/>
        </w:rPr>
        <w:t>68</w:t>
      </w:r>
      <w:r w:rsidRPr="006E3B9B">
        <w:rPr>
          <w:rFonts w:hint="eastAsia"/>
          <w:lang w:eastAsia="zh-CN"/>
        </w:rPr>
        <w:t>和第</w:t>
      </w:r>
      <w:r w:rsidRPr="006E3B9B">
        <w:rPr>
          <w:lang w:eastAsia="zh-CN"/>
        </w:rPr>
        <w:t>69</w:t>
      </w:r>
      <w:r w:rsidRPr="006E3B9B">
        <w:rPr>
          <w:rFonts w:hint="eastAsia"/>
          <w:lang w:eastAsia="zh-CN"/>
        </w:rPr>
        <w:t>条的修正</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BE"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390</w:t>
      </w:r>
      <w:r w:rsidRPr="006E3B9B">
        <w:rPr>
          <w:lang w:val="en-US" w:eastAsia="zh-CN"/>
        </w:rPr>
        <w:t>号决议</w:t>
      </w:r>
      <w:r w:rsidRPr="006E3B9B">
        <w:rPr>
          <w:lang w:val="en-US" w:eastAsia="zh-CN"/>
        </w:rPr>
        <w:tab/>
      </w:r>
      <w:r w:rsidRPr="006E3B9B">
        <w:rPr>
          <w:rFonts w:hint="eastAsia"/>
          <w:lang w:val="en-US" w:eastAsia="zh-CN"/>
        </w:rPr>
        <w:t>国际</w:t>
      </w:r>
      <w:r w:rsidRPr="006E3B9B">
        <w:rPr>
          <w:rFonts w:hint="eastAsia"/>
          <w:lang w:eastAsia="zh-CN"/>
        </w:rPr>
        <w:t>电联职员的补贴和福利</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BF"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391</w:t>
      </w:r>
      <w:r w:rsidRPr="006E3B9B">
        <w:rPr>
          <w:lang w:val="en-US" w:eastAsia="zh-CN"/>
        </w:rPr>
        <w:t>号决议</w:t>
      </w:r>
      <w:r w:rsidRPr="006E3B9B">
        <w:rPr>
          <w:lang w:val="en-US" w:eastAsia="zh-CN"/>
        </w:rPr>
        <w:tab/>
      </w:r>
      <w:r w:rsidRPr="006E3B9B">
        <w:rPr>
          <w:rFonts w:hint="eastAsia"/>
          <w:lang w:eastAsia="zh-CN"/>
        </w:rPr>
        <w:t>对《职员退休和福利基金规则》的修正</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C0"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392</w:t>
      </w:r>
      <w:r w:rsidRPr="006E3B9B">
        <w:rPr>
          <w:lang w:val="en-US" w:eastAsia="zh-CN"/>
        </w:rPr>
        <w:t>号决议</w:t>
      </w:r>
      <w:r w:rsidRPr="006E3B9B">
        <w:rPr>
          <w:lang w:val="en-US" w:eastAsia="zh-CN"/>
        </w:rPr>
        <w:tab/>
      </w:r>
      <w:r w:rsidRPr="006E3B9B">
        <w:rPr>
          <w:rFonts w:hint="eastAsia"/>
          <w:lang w:eastAsia="zh-CN"/>
        </w:rPr>
        <w:t>国际电联官员加入联合国合办职员养恤金基金的可能性</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C1"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393</w:t>
      </w:r>
      <w:r w:rsidRPr="006E3B9B">
        <w:rPr>
          <w:lang w:val="en-US" w:eastAsia="zh-CN"/>
        </w:rPr>
        <w:t>号决议</w:t>
      </w:r>
      <w:r w:rsidRPr="006E3B9B">
        <w:rPr>
          <w:lang w:val="en-US" w:eastAsia="zh-CN"/>
        </w:rPr>
        <w:tab/>
      </w:r>
      <w:r w:rsidRPr="006E3B9B">
        <w:rPr>
          <w:rFonts w:hint="eastAsia"/>
          <w:lang w:val="en-US" w:eastAsia="zh-CN"/>
        </w:rPr>
        <w:t>《</w:t>
      </w:r>
      <w:r w:rsidRPr="006E3B9B">
        <w:rPr>
          <w:rFonts w:hint="eastAsia"/>
          <w:lang w:eastAsia="zh-CN"/>
        </w:rPr>
        <w:t>理事会决议与决定》的出版</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C2"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394</w:t>
      </w:r>
      <w:r w:rsidRPr="006E3B9B">
        <w:rPr>
          <w:lang w:val="en-US" w:eastAsia="zh-CN"/>
        </w:rPr>
        <w:t>号决议</w:t>
      </w:r>
      <w:r w:rsidRPr="006E3B9B">
        <w:rPr>
          <w:lang w:val="en-US" w:eastAsia="zh-CN"/>
        </w:rPr>
        <w:tab/>
      </w:r>
      <w:r w:rsidRPr="006E3B9B">
        <w:rPr>
          <w:rFonts w:hint="eastAsia"/>
          <w:lang w:val="en-US" w:eastAsia="zh-CN"/>
        </w:rPr>
        <w:t>《</w:t>
      </w:r>
      <w:r w:rsidRPr="006E3B9B">
        <w:rPr>
          <w:rFonts w:hint="eastAsia"/>
          <w:lang w:eastAsia="zh-CN"/>
        </w:rPr>
        <w:t>无线电频率纪录》第</w:t>
      </w:r>
      <w:r w:rsidRPr="006E3B9B">
        <w:rPr>
          <w:lang w:eastAsia="zh-CN"/>
        </w:rPr>
        <w:t>6</w:t>
      </w:r>
      <w:r w:rsidRPr="006E3B9B">
        <w:rPr>
          <w:rFonts w:hint="eastAsia"/>
          <w:lang w:eastAsia="zh-CN"/>
        </w:rPr>
        <w:t>版的出版</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C3" w14:textId="77777777" w:rsidR="006E3B9B" w:rsidRPr="006E3B9B" w:rsidRDefault="006E3B9B" w:rsidP="003E11A1">
      <w:pPr>
        <w:pStyle w:val="Reftitle"/>
        <w:rPr>
          <w:lang w:val="en-US" w:eastAsia="zh-CN"/>
        </w:rPr>
      </w:pPr>
      <w:r w:rsidRPr="006E3B9B">
        <w:rPr>
          <w:rFonts w:hint="eastAsia"/>
          <w:lang w:eastAsia="zh-CN"/>
        </w:rPr>
        <w:t>第</w:t>
      </w:r>
      <w:r w:rsidRPr="006E3B9B">
        <w:rPr>
          <w:lang w:eastAsia="zh-CN"/>
        </w:rPr>
        <w:t>14</w:t>
      </w:r>
      <w:r w:rsidRPr="006E3B9B">
        <w:rPr>
          <w:rFonts w:hint="eastAsia"/>
          <w:lang w:eastAsia="zh-CN"/>
        </w:rPr>
        <w:t>届会议</w:t>
      </w:r>
      <w:r w:rsidRPr="006E3B9B">
        <w:rPr>
          <w:lang w:eastAsia="zh-CN"/>
        </w:rPr>
        <w:t>（</w:t>
      </w:r>
      <w:r w:rsidRPr="006E3B9B">
        <w:rPr>
          <w:lang w:eastAsia="zh-CN"/>
        </w:rPr>
        <w:t>1959</w:t>
      </w:r>
      <w:r w:rsidRPr="006E3B9B">
        <w:rPr>
          <w:rFonts w:hint="eastAsia"/>
          <w:lang w:eastAsia="zh-CN"/>
        </w:rPr>
        <w:t>年</w:t>
      </w:r>
      <w:r w:rsidRPr="006E3B9B">
        <w:rPr>
          <w:lang w:eastAsia="zh-CN"/>
        </w:rPr>
        <w:t>5</w:t>
      </w:r>
      <w:r w:rsidRPr="006E3B9B">
        <w:rPr>
          <w:rFonts w:hint="eastAsia"/>
          <w:lang w:eastAsia="zh-CN"/>
        </w:rPr>
        <w:t>月</w:t>
      </w:r>
      <w:r w:rsidRPr="006E3B9B">
        <w:rPr>
          <w:lang w:eastAsia="zh-CN"/>
        </w:rPr>
        <w:t>-6</w:t>
      </w:r>
      <w:r w:rsidRPr="006E3B9B">
        <w:rPr>
          <w:rFonts w:hint="eastAsia"/>
          <w:lang w:eastAsia="zh-CN"/>
        </w:rPr>
        <w:t>月</w:t>
      </w:r>
      <w:r w:rsidRPr="006E3B9B">
        <w:rPr>
          <w:lang w:eastAsia="zh-CN"/>
        </w:rPr>
        <w:t>）</w:t>
      </w:r>
    </w:p>
    <w:p w14:paraId="4827BDC4"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395</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1958</w:t>
      </w:r>
      <w:r w:rsidRPr="006E3B9B">
        <w:rPr>
          <w:rFonts w:hint="eastAsia"/>
          <w:lang w:eastAsia="zh-CN"/>
        </w:rPr>
        <w:t>年财务工作报告</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C5"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396</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1958</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1</w:t>
      </w:r>
      <w:r w:rsidRPr="006E3B9B">
        <w:rPr>
          <w:rFonts w:hint="eastAsia"/>
          <w:lang w:eastAsia="zh-CN"/>
        </w:rPr>
        <w:t>日</w:t>
      </w:r>
      <w:r w:rsidRPr="006E3B9B">
        <w:rPr>
          <w:lang w:eastAsia="zh-CN"/>
        </w:rPr>
        <w:t>-12</w:t>
      </w:r>
      <w:r w:rsidRPr="006E3B9B">
        <w:rPr>
          <w:rFonts w:hint="eastAsia"/>
          <w:lang w:eastAsia="zh-CN"/>
        </w:rPr>
        <w:t>月</w:t>
      </w:r>
      <w:r w:rsidRPr="006E3B9B">
        <w:rPr>
          <w:lang w:eastAsia="zh-CN"/>
        </w:rPr>
        <w:t>31</w:t>
      </w:r>
      <w:r w:rsidRPr="006E3B9B">
        <w:rPr>
          <w:rFonts w:hint="eastAsia"/>
          <w:lang w:eastAsia="zh-CN"/>
        </w:rPr>
        <w:t>日账目的审计</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C6"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397</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1959</w:t>
      </w:r>
      <w:r w:rsidRPr="006E3B9B">
        <w:rPr>
          <w:rFonts w:hint="eastAsia"/>
          <w:lang w:eastAsia="zh-CN"/>
        </w:rPr>
        <w:t>年预算（修订版）</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C7"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398</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1960</w:t>
      </w:r>
      <w:r w:rsidRPr="006E3B9B">
        <w:rPr>
          <w:rFonts w:hint="eastAsia"/>
          <w:lang w:eastAsia="zh-CN"/>
        </w:rPr>
        <w:t>年预算</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C8"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399</w:t>
      </w:r>
      <w:r w:rsidRPr="006E3B9B">
        <w:rPr>
          <w:lang w:val="en-US" w:eastAsia="zh-CN"/>
        </w:rPr>
        <w:t>号决议</w:t>
      </w:r>
      <w:r w:rsidRPr="006E3B9B">
        <w:rPr>
          <w:lang w:val="en-US" w:eastAsia="zh-CN"/>
        </w:rPr>
        <w:tab/>
      </w:r>
      <w:r w:rsidRPr="006E3B9B">
        <w:rPr>
          <w:lang w:eastAsia="zh-CN"/>
        </w:rPr>
        <w:t>1959</w:t>
      </w:r>
      <w:r w:rsidRPr="006E3B9B">
        <w:rPr>
          <w:rFonts w:hint="eastAsia"/>
          <w:lang w:eastAsia="zh-CN"/>
        </w:rPr>
        <w:t>年一般性支出的限额（经修订的预算）</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C9"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400</w:t>
      </w:r>
      <w:r w:rsidRPr="006E3B9B">
        <w:rPr>
          <w:lang w:val="en-US" w:eastAsia="zh-CN"/>
        </w:rPr>
        <w:t>号决议</w:t>
      </w:r>
      <w:r w:rsidRPr="006E3B9B">
        <w:rPr>
          <w:lang w:val="en-US" w:eastAsia="zh-CN"/>
        </w:rPr>
        <w:tab/>
      </w:r>
      <w:r w:rsidRPr="006E3B9B">
        <w:rPr>
          <w:rFonts w:hint="eastAsia"/>
          <w:lang w:eastAsia="zh-CN"/>
        </w:rPr>
        <w:t>欠款账目</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CA"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401</w:t>
      </w:r>
      <w:r w:rsidRPr="006E3B9B">
        <w:rPr>
          <w:lang w:val="en-US" w:eastAsia="zh-CN"/>
        </w:rPr>
        <w:t>号决议</w:t>
      </w:r>
      <w:r w:rsidRPr="006E3B9B">
        <w:rPr>
          <w:lang w:val="en-US" w:eastAsia="zh-CN"/>
        </w:rPr>
        <w:tab/>
      </w:r>
      <w:r w:rsidRPr="006E3B9B">
        <w:rPr>
          <w:rFonts w:hint="eastAsia"/>
          <w:lang w:eastAsia="zh-CN"/>
        </w:rPr>
        <w:t>受到查询的账目</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CB"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402</w:t>
      </w:r>
      <w:r w:rsidRPr="006E3B9B">
        <w:rPr>
          <w:lang w:val="en-US" w:eastAsia="zh-CN"/>
        </w:rPr>
        <w:t>号决议</w:t>
      </w:r>
      <w:r w:rsidRPr="006E3B9B">
        <w:rPr>
          <w:lang w:val="en-US" w:eastAsia="zh-CN"/>
        </w:rPr>
        <w:tab/>
      </w:r>
      <w:r w:rsidRPr="006E3B9B">
        <w:rPr>
          <w:rFonts w:hint="eastAsia"/>
          <w:lang w:eastAsia="zh-CN"/>
        </w:rPr>
        <w:t>参加国际咨询委员会的工作</w:t>
      </w:r>
      <w:r w:rsidRPr="006E3B9B">
        <w:rPr>
          <w:lang w:val="en-US" w:eastAsia="zh-CN"/>
        </w:rPr>
        <w:tab/>
      </w:r>
      <w:r w:rsidR="00A45877">
        <w:rPr>
          <w:lang w:val="en-US" w:eastAsia="zh-CN"/>
        </w:rPr>
        <w:tab/>
      </w:r>
      <w:r w:rsidRPr="006E3B9B">
        <w:rPr>
          <w:lang w:val="en-US" w:eastAsia="zh-CN"/>
        </w:rPr>
        <w:t>1999</w:t>
      </w:r>
      <w:r w:rsidRPr="006E3B9B">
        <w:rPr>
          <w:rFonts w:hint="eastAsia"/>
          <w:lang w:val="en-US" w:eastAsia="zh-CN"/>
        </w:rPr>
        <w:t>年</w:t>
      </w:r>
    </w:p>
    <w:p w14:paraId="4827BDCC"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403</w:t>
      </w:r>
      <w:r w:rsidRPr="006E3B9B">
        <w:rPr>
          <w:lang w:val="en-US" w:eastAsia="zh-CN"/>
        </w:rPr>
        <w:t>号决议</w:t>
      </w:r>
      <w:r w:rsidRPr="006E3B9B">
        <w:rPr>
          <w:lang w:val="en-US" w:eastAsia="zh-CN"/>
        </w:rPr>
        <w:tab/>
      </w:r>
      <w:r w:rsidRPr="006E3B9B">
        <w:rPr>
          <w:lang w:eastAsia="zh-CN"/>
        </w:rPr>
        <w:t>CCITT</w:t>
      </w:r>
      <w:r w:rsidRPr="006E3B9B">
        <w:rPr>
          <w:rFonts w:hint="eastAsia"/>
          <w:lang w:eastAsia="zh-CN"/>
        </w:rPr>
        <w:t>参加国际海事委员会（</w:t>
      </w:r>
      <w:r w:rsidRPr="006E3B9B">
        <w:rPr>
          <w:lang w:eastAsia="zh-CN"/>
        </w:rPr>
        <w:t>CMI</w:t>
      </w:r>
      <w:r w:rsidRPr="006E3B9B">
        <w:rPr>
          <w:rFonts w:hint="eastAsia"/>
          <w:lang w:eastAsia="zh-CN"/>
        </w:rPr>
        <w:t>）的活动</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CD"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404</w:t>
      </w:r>
      <w:r w:rsidRPr="006E3B9B">
        <w:rPr>
          <w:lang w:val="en-US" w:eastAsia="zh-CN"/>
        </w:rPr>
        <w:t>号决议</w:t>
      </w:r>
      <w:r w:rsidRPr="006E3B9B">
        <w:rPr>
          <w:lang w:val="en-US" w:eastAsia="zh-CN"/>
        </w:rPr>
        <w:tab/>
      </w:r>
      <w:r w:rsidRPr="006E3B9B">
        <w:rPr>
          <w:rFonts w:hint="eastAsia"/>
          <w:lang w:eastAsia="zh-CN"/>
        </w:rPr>
        <w:t>亚洲与远东的电信发展</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CE"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405</w:t>
      </w:r>
      <w:r w:rsidRPr="006E3B9B">
        <w:rPr>
          <w:lang w:val="en-US" w:eastAsia="zh-CN"/>
        </w:rPr>
        <w:t>号决议</w:t>
      </w:r>
      <w:r w:rsidRPr="006E3B9B">
        <w:rPr>
          <w:lang w:val="en-US" w:eastAsia="zh-CN"/>
        </w:rPr>
        <w:tab/>
      </w:r>
      <w:r w:rsidRPr="006E3B9B">
        <w:rPr>
          <w:rFonts w:hint="eastAsia"/>
          <w:lang w:val="en-US" w:eastAsia="zh-CN"/>
        </w:rPr>
        <w:t>各国</w:t>
      </w:r>
      <w:r w:rsidRPr="006E3B9B">
        <w:rPr>
          <w:rFonts w:hint="eastAsia"/>
          <w:lang w:eastAsia="zh-CN"/>
        </w:rPr>
        <w:t>主管部门在技术援助方面所做的特殊努力</w:t>
      </w:r>
      <w:r w:rsidRPr="006E3B9B">
        <w:rPr>
          <w:lang w:val="en-US" w:eastAsia="zh-CN"/>
        </w:rPr>
        <w:tab/>
      </w:r>
      <w:r w:rsidR="00A45877">
        <w:rPr>
          <w:lang w:val="en-US" w:eastAsia="zh-CN"/>
        </w:rPr>
        <w:tab/>
      </w:r>
      <w:r w:rsidRPr="006E3B9B">
        <w:rPr>
          <w:lang w:val="en-US" w:eastAsia="zh-CN"/>
        </w:rPr>
        <w:t>1975</w:t>
      </w:r>
      <w:r w:rsidRPr="006E3B9B">
        <w:rPr>
          <w:rFonts w:hint="eastAsia"/>
          <w:lang w:val="en-US" w:eastAsia="zh-CN"/>
        </w:rPr>
        <w:t>年</w:t>
      </w:r>
    </w:p>
    <w:p w14:paraId="4827BDCF"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406</w:t>
      </w:r>
      <w:r w:rsidRPr="006E3B9B">
        <w:rPr>
          <w:lang w:val="en-US" w:eastAsia="zh-CN"/>
        </w:rPr>
        <w:t>号决议</w:t>
      </w:r>
      <w:r w:rsidRPr="006E3B9B">
        <w:rPr>
          <w:lang w:val="en-US" w:eastAsia="zh-CN"/>
        </w:rPr>
        <w:tab/>
      </w:r>
      <w:r w:rsidRPr="006E3B9B">
        <w:rPr>
          <w:rFonts w:hint="eastAsia"/>
          <w:lang w:eastAsia="zh-CN"/>
        </w:rPr>
        <w:t>实施大西洋城频率划分表</w:t>
      </w:r>
      <w:r w:rsidRPr="006E3B9B">
        <w:rPr>
          <w:lang w:eastAsia="zh-CN"/>
        </w:rPr>
        <w:t>3950kc/s</w:t>
      </w:r>
      <w:r w:rsidRPr="006E3B9B">
        <w:rPr>
          <w:rFonts w:hint="eastAsia"/>
          <w:lang w:eastAsia="zh-CN"/>
        </w:rPr>
        <w:t>和</w:t>
      </w:r>
      <w:r w:rsidRPr="006E3B9B">
        <w:rPr>
          <w:lang w:eastAsia="zh-CN"/>
        </w:rPr>
        <w:t>27500kc/s</w:t>
      </w:r>
      <w:r w:rsidRPr="006E3B9B">
        <w:rPr>
          <w:rFonts w:hint="eastAsia"/>
          <w:lang w:eastAsia="zh-CN"/>
        </w:rPr>
        <w:t>部分</w:t>
      </w:r>
      <w:r w:rsidR="00A45877">
        <w:rPr>
          <w:lang w:eastAsia="zh-CN"/>
        </w:rPr>
        <w:tab/>
      </w:r>
      <w:r w:rsidRPr="006E3B9B">
        <w:rPr>
          <w:lang w:val="en-US" w:eastAsia="zh-CN"/>
        </w:rPr>
        <w:tab/>
        <w:t>1964</w:t>
      </w:r>
      <w:r w:rsidRPr="006E3B9B">
        <w:rPr>
          <w:rFonts w:hint="eastAsia"/>
          <w:lang w:val="en-US" w:eastAsia="zh-CN"/>
        </w:rPr>
        <w:t>年</w:t>
      </w:r>
    </w:p>
    <w:p w14:paraId="4827BDD0"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407</w:t>
      </w:r>
      <w:r w:rsidRPr="006E3B9B">
        <w:rPr>
          <w:lang w:val="en-US" w:eastAsia="zh-CN"/>
        </w:rPr>
        <w:t>号决议</w:t>
      </w:r>
      <w:r w:rsidRPr="006E3B9B">
        <w:rPr>
          <w:lang w:val="en-US" w:eastAsia="zh-CN"/>
        </w:rPr>
        <w:tab/>
      </w:r>
      <w:r w:rsidRPr="006E3B9B">
        <w:rPr>
          <w:rFonts w:hint="eastAsia"/>
          <w:lang w:eastAsia="zh-CN"/>
        </w:rPr>
        <w:t>高频广播业务规划草案的起草</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D1"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408</w:t>
      </w:r>
      <w:r w:rsidRPr="006E3B9B">
        <w:rPr>
          <w:lang w:val="en-US" w:eastAsia="zh-CN"/>
        </w:rPr>
        <w:t>号决议</w:t>
      </w:r>
      <w:r w:rsidRPr="006E3B9B">
        <w:rPr>
          <w:lang w:val="en-US" w:eastAsia="zh-CN"/>
        </w:rPr>
        <w:tab/>
      </w:r>
      <w:r w:rsidRPr="006E3B9B">
        <w:rPr>
          <w:rFonts w:hint="eastAsia"/>
          <w:lang w:eastAsia="zh-CN"/>
        </w:rPr>
        <w:t>对《人事规则》的修正</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D2"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409</w:t>
      </w:r>
      <w:r w:rsidRPr="006E3B9B">
        <w:rPr>
          <w:lang w:val="en-US" w:eastAsia="zh-CN"/>
        </w:rPr>
        <w:t>号决议</w:t>
      </w:r>
      <w:r w:rsidRPr="006E3B9B">
        <w:rPr>
          <w:lang w:val="en-US" w:eastAsia="zh-CN"/>
        </w:rPr>
        <w:tab/>
      </w:r>
      <w:r w:rsidRPr="006E3B9B">
        <w:rPr>
          <w:rFonts w:hint="eastAsia"/>
          <w:lang w:eastAsia="zh-CN"/>
        </w:rPr>
        <w:t>与国际电联及其活动相关的公共信息</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D3" w14:textId="77777777" w:rsidR="00BF1CF1" w:rsidRDefault="00BF1CF1">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4827BDD4" w14:textId="77777777" w:rsidR="006E3B9B" w:rsidRPr="006E3B9B" w:rsidRDefault="006E3B9B" w:rsidP="003E11A1">
      <w:pPr>
        <w:pStyle w:val="Reftitle"/>
        <w:rPr>
          <w:lang w:val="en-US" w:eastAsia="zh-CN"/>
        </w:rPr>
      </w:pPr>
      <w:r w:rsidRPr="006E3B9B">
        <w:rPr>
          <w:rFonts w:hint="eastAsia"/>
          <w:lang w:eastAsia="zh-CN"/>
        </w:rPr>
        <w:lastRenderedPageBreak/>
        <w:t>第</w:t>
      </w:r>
      <w:r w:rsidRPr="006E3B9B">
        <w:rPr>
          <w:lang w:eastAsia="zh-CN"/>
        </w:rPr>
        <w:t>15</w:t>
      </w:r>
      <w:r w:rsidRPr="006E3B9B">
        <w:rPr>
          <w:rFonts w:hint="eastAsia"/>
          <w:lang w:eastAsia="zh-CN"/>
        </w:rPr>
        <w:t>届会议（</w:t>
      </w:r>
      <w:r w:rsidRPr="006E3B9B">
        <w:rPr>
          <w:lang w:eastAsia="zh-CN"/>
        </w:rPr>
        <w:t>1960</w:t>
      </w:r>
      <w:r w:rsidRPr="006E3B9B">
        <w:rPr>
          <w:rFonts w:hint="eastAsia"/>
          <w:lang w:eastAsia="zh-CN"/>
        </w:rPr>
        <w:t>年</w:t>
      </w:r>
      <w:r w:rsidRPr="006E3B9B">
        <w:rPr>
          <w:lang w:eastAsia="zh-CN"/>
        </w:rPr>
        <w:t>5</w:t>
      </w:r>
      <w:r w:rsidRPr="006E3B9B">
        <w:rPr>
          <w:rFonts w:hint="eastAsia"/>
          <w:lang w:eastAsia="zh-CN"/>
        </w:rPr>
        <w:t>月</w:t>
      </w:r>
      <w:r w:rsidRPr="006E3B9B">
        <w:rPr>
          <w:lang w:eastAsia="zh-CN"/>
        </w:rPr>
        <w:t>-7</w:t>
      </w:r>
      <w:r w:rsidRPr="006E3B9B">
        <w:rPr>
          <w:rFonts w:hint="eastAsia"/>
          <w:lang w:eastAsia="zh-CN"/>
        </w:rPr>
        <w:t>月）</w:t>
      </w:r>
    </w:p>
    <w:p w14:paraId="4827BDD5"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410</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1959</w:t>
      </w:r>
      <w:r w:rsidRPr="006E3B9B">
        <w:rPr>
          <w:rFonts w:hint="eastAsia"/>
          <w:lang w:eastAsia="zh-CN"/>
        </w:rPr>
        <w:t>年财务工作报告</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D6"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411</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1959</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1</w:t>
      </w:r>
      <w:r w:rsidRPr="006E3B9B">
        <w:rPr>
          <w:rFonts w:hint="eastAsia"/>
          <w:lang w:eastAsia="zh-CN"/>
        </w:rPr>
        <w:t>日</w:t>
      </w:r>
      <w:r w:rsidRPr="006E3B9B">
        <w:rPr>
          <w:lang w:eastAsia="zh-CN"/>
        </w:rPr>
        <w:t>-12</w:t>
      </w:r>
      <w:r w:rsidRPr="006E3B9B">
        <w:rPr>
          <w:rFonts w:hint="eastAsia"/>
          <w:lang w:eastAsia="zh-CN"/>
        </w:rPr>
        <w:t>月</w:t>
      </w:r>
      <w:r w:rsidRPr="006E3B9B">
        <w:rPr>
          <w:lang w:eastAsia="zh-CN"/>
        </w:rPr>
        <w:t>31</w:t>
      </w:r>
      <w:r w:rsidRPr="006E3B9B">
        <w:rPr>
          <w:rFonts w:hint="eastAsia"/>
          <w:lang w:eastAsia="zh-CN"/>
        </w:rPr>
        <w:t>日账目的审计</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D7"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412</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1960</w:t>
      </w:r>
      <w:r w:rsidRPr="006E3B9B">
        <w:rPr>
          <w:rFonts w:hint="eastAsia"/>
          <w:lang w:eastAsia="zh-CN"/>
        </w:rPr>
        <w:t>年预算（修订版）</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D8"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413</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1961</w:t>
      </w:r>
      <w:r w:rsidRPr="006E3B9B">
        <w:rPr>
          <w:rFonts w:hint="eastAsia"/>
          <w:lang w:eastAsia="zh-CN"/>
        </w:rPr>
        <w:t>年预算</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D9"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414</w:t>
      </w:r>
      <w:r w:rsidRPr="006E3B9B">
        <w:rPr>
          <w:lang w:val="en-US" w:eastAsia="zh-CN"/>
        </w:rPr>
        <w:t>号决议</w:t>
      </w:r>
      <w:r w:rsidRPr="006E3B9B">
        <w:rPr>
          <w:lang w:val="en-US" w:eastAsia="zh-CN"/>
        </w:rPr>
        <w:tab/>
      </w:r>
      <w:r w:rsidRPr="006E3B9B">
        <w:rPr>
          <w:rFonts w:hint="eastAsia"/>
          <w:lang w:eastAsia="zh-CN"/>
        </w:rPr>
        <w:t>成员国和联系成员为摊付国际电联费用而缴纳的会费</w:t>
      </w:r>
      <w:r w:rsidRPr="006E3B9B">
        <w:rPr>
          <w:lang w:val="en-US" w:eastAsia="zh-CN"/>
        </w:rPr>
        <w:tab/>
      </w:r>
      <w:r w:rsidR="00A45877">
        <w:rPr>
          <w:lang w:val="en-US" w:eastAsia="zh-CN"/>
        </w:rPr>
        <w:tab/>
      </w:r>
      <w:r w:rsidRPr="006E3B9B">
        <w:rPr>
          <w:lang w:val="en-US" w:eastAsia="zh-CN"/>
        </w:rPr>
        <w:t>1966</w:t>
      </w:r>
      <w:r w:rsidRPr="006E3B9B">
        <w:rPr>
          <w:rFonts w:hint="eastAsia"/>
          <w:lang w:val="en-US" w:eastAsia="zh-CN"/>
        </w:rPr>
        <w:t>年</w:t>
      </w:r>
    </w:p>
    <w:p w14:paraId="4827BDDA"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415</w:t>
      </w:r>
      <w:r w:rsidRPr="006E3B9B">
        <w:rPr>
          <w:lang w:val="en-US" w:eastAsia="zh-CN"/>
        </w:rPr>
        <w:t>号决议</w:t>
      </w:r>
      <w:r w:rsidRPr="006E3B9B">
        <w:rPr>
          <w:lang w:val="en-US" w:eastAsia="zh-CN"/>
        </w:rPr>
        <w:tab/>
      </w:r>
      <w:r w:rsidRPr="006E3B9B">
        <w:rPr>
          <w:rFonts w:hint="eastAsia"/>
          <w:lang w:eastAsia="zh-CN"/>
        </w:rPr>
        <w:t>经认可的私营运营机构等为支付国际电联大会与会议的费用而缴纳的会费</w:t>
      </w:r>
      <w:r w:rsidR="00A45877">
        <w:rPr>
          <w:lang w:eastAsia="zh-CN"/>
        </w:rPr>
        <w:tab/>
      </w:r>
      <w:r w:rsidRPr="006E3B9B">
        <w:rPr>
          <w:lang w:val="en-US" w:eastAsia="zh-CN"/>
        </w:rPr>
        <w:tab/>
        <w:t>1966</w:t>
      </w:r>
      <w:r w:rsidRPr="006E3B9B">
        <w:rPr>
          <w:rFonts w:hint="eastAsia"/>
          <w:lang w:val="en-US" w:eastAsia="zh-CN"/>
        </w:rPr>
        <w:t>年</w:t>
      </w:r>
    </w:p>
    <w:p w14:paraId="4827BDDB"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416</w:t>
      </w:r>
      <w:r w:rsidRPr="006E3B9B">
        <w:rPr>
          <w:lang w:val="en-US" w:eastAsia="zh-CN"/>
        </w:rPr>
        <w:t>号决议</w:t>
      </w:r>
      <w:r w:rsidRPr="006E3B9B">
        <w:rPr>
          <w:lang w:val="en-US" w:eastAsia="zh-CN"/>
        </w:rPr>
        <w:tab/>
      </w:r>
      <w:r w:rsidRPr="006E3B9B">
        <w:rPr>
          <w:rFonts w:hint="eastAsia"/>
          <w:lang w:eastAsia="zh-CN"/>
        </w:rPr>
        <w:t>有关迄今未摊付国际电报电话咨询委员会非常支出的国家派代表出席</w:t>
      </w:r>
      <w:r w:rsidRPr="006E3B9B">
        <w:rPr>
          <w:lang w:eastAsia="zh-CN"/>
        </w:rPr>
        <w:t>CCITT</w:t>
      </w:r>
      <w:r w:rsidRPr="006E3B9B">
        <w:rPr>
          <w:rFonts w:hint="eastAsia"/>
          <w:lang w:eastAsia="zh-CN"/>
        </w:rPr>
        <w:br/>
      </w:r>
      <w:r w:rsidRPr="006E3B9B">
        <w:rPr>
          <w:rFonts w:hint="eastAsia"/>
          <w:lang w:eastAsia="zh-CN"/>
        </w:rPr>
        <w:t>第二届全会的规则</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DC"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417</w:t>
      </w:r>
      <w:r w:rsidRPr="006E3B9B">
        <w:rPr>
          <w:lang w:val="en-US" w:eastAsia="zh-CN"/>
        </w:rPr>
        <w:t>号决议</w:t>
      </w:r>
      <w:r w:rsidRPr="006E3B9B">
        <w:rPr>
          <w:lang w:val="en-US" w:eastAsia="zh-CN"/>
        </w:rPr>
        <w:tab/>
      </w:r>
      <w:r w:rsidRPr="006E3B9B">
        <w:rPr>
          <w:rFonts w:hint="eastAsia"/>
          <w:lang w:eastAsia="zh-CN"/>
        </w:rPr>
        <w:t>欠款但未受到查询的账目</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DD"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418</w:t>
      </w:r>
      <w:r w:rsidRPr="006E3B9B">
        <w:rPr>
          <w:lang w:val="en-US" w:eastAsia="zh-CN"/>
        </w:rPr>
        <w:t>号决议</w:t>
      </w:r>
      <w:r w:rsidRPr="006E3B9B">
        <w:rPr>
          <w:lang w:val="en-US" w:eastAsia="zh-CN"/>
        </w:rPr>
        <w:tab/>
      </w:r>
      <w:r w:rsidRPr="006E3B9B">
        <w:rPr>
          <w:rFonts w:hint="eastAsia"/>
          <w:lang w:eastAsia="zh-CN"/>
        </w:rPr>
        <w:t>欠款但未受到查询的账目（圣马力诺共和国）</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DE"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419</w:t>
      </w:r>
      <w:r w:rsidRPr="006E3B9B">
        <w:rPr>
          <w:lang w:val="en-US" w:eastAsia="zh-CN"/>
        </w:rPr>
        <w:t>号决议</w:t>
      </w:r>
      <w:r w:rsidRPr="006E3B9B">
        <w:rPr>
          <w:lang w:val="en-US" w:eastAsia="zh-CN"/>
        </w:rPr>
        <w:tab/>
      </w:r>
      <w:r w:rsidRPr="006E3B9B">
        <w:rPr>
          <w:rFonts w:hint="eastAsia"/>
          <w:lang w:eastAsia="zh-CN"/>
        </w:rPr>
        <w:t>受到查询的会费</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DF"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420</w:t>
      </w:r>
      <w:r w:rsidRPr="006E3B9B">
        <w:rPr>
          <w:lang w:val="en-US" w:eastAsia="zh-CN"/>
        </w:rPr>
        <w:t>号决议</w:t>
      </w:r>
      <w:r w:rsidRPr="006E3B9B">
        <w:rPr>
          <w:lang w:val="en-US" w:eastAsia="zh-CN"/>
        </w:rPr>
        <w:tab/>
      </w:r>
      <w:r w:rsidRPr="006E3B9B">
        <w:rPr>
          <w:rFonts w:hint="eastAsia"/>
          <w:lang w:eastAsia="zh-CN"/>
        </w:rPr>
        <w:t>因第二次世界大战而暂停支付的会费</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E0"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421</w:t>
      </w:r>
      <w:r w:rsidRPr="006E3B9B">
        <w:rPr>
          <w:lang w:val="en-US" w:eastAsia="zh-CN"/>
        </w:rPr>
        <w:t>号决议</w:t>
      </w:r>
      <w:r w:rsidRPr="006E3B9B">
        <w:rPr>
          <w:lang w:val="en-US" w:eastAsia="zh-CN"/>
        </w:rPr>
        <w:tab/>
      </w:r>
      <w:r w:rsidRPr="006E3B9B">
        <w:rPr>
          <w:rFonts w:hint="eastAsia"/>
          <w:lang w:val="en-US" w:eastAsia="zh-CN"/>
        </w:rPr>
        <w:t>国际</w:t>
      </w:r>
      <w:r w:rsidRPr="006E3B9B">
        <w:rPr>
          <w:rFonts w:hint="eastAsia"/>
          <w:lang w:eastAsia="zh-CN"/>
        </w:rPr>
        <w:t>电联账目的外部审计</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E1"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422</w:t>
      </w:r>
      <w:r w:rsidRPr="006E3B9B">
        <w:rPr>
          <w:lang w:val="en-US" w:eastAsia="zh-CN"/>
        </w:rPr>
        <w:t>号决议</w:t>
      </w:r>
      <w:r w:rsidRPr="006E3B9B">
        <w:rPr>
          <w:lang w:val="en-US" w:eastAsia="zh-CN"/>
        </w:rPr>
        <w:tab/>
      </w:r>
      <w:r w:rsidRPr="006E3B9B">
        <w:rPr>
          <w:rFonts w:hint="eastAsia"/>
          <w:lang w:eastAsia="zh-CN"/>
        </w:rPr>
        <w:t>国际电联《财务规则》（修订版）</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E2"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423</w:t>
      </w:r>
      <w:r w:rsidRPr="006E3B9B">
        <w:rPr>
          <w:lang w:val="en-US" w:eastAsia="zh-CN"/>
        </w:rPr>
        <w:t>号决议</w:t>
      </w:r>
      <w:r w:rsidRPr="006E3B9B">
        <w:rPr>
          <w:lang w:val="en-US" w:eastAsia="zh-CN"/>
        </w:rPr>
        <w:tab/>
      </w:r>
      <w:r w:rsidRPr="006E3B9B">
        <w:rPr>
          <w:rFonts w:hint="eastAsia"/>
          <w:lang w:eastAsia="zh-CN"/>
        </w:rPr>
        <w:t>对国际电联秘书处工作的专家调查</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E3"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424</w:t>
      </w:r>
      <w:r w:rsidRPr="006E3B9B">
        <w:rPr>
          <w:lang w:val="en-US" w:eastAsia="zh-CN"/>
        </w:rPr>
        <w:t>号决议</w:t>
      </w:r>
      <w:r w:rsidRPr="006E3B9B">
        <w:rPr>
          <w:lang w:val="en-US" w:eastAsia="zh-CN"/>
        </w:rPr>
        <w:tab/>
      </w:r>
      <w:r w:rsidRPr="006E3B9B">
        <w:rPr>
          <w:rFonts w:hint="eastAsia"/>
          <w:lang w:eastAsia="zh-CN"/>
        </w:rPr>
        <w:t>电子计算机的使用</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E4"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425</w:t>
      </w:r>
      <w:r w:rsidRPr="006E3B9B">
        <w:rPr>
          <w:lang w:val="en-US" w:eastAsia="zh-CN"/>
        </w:rPr>
        <w:t>号决议</w:t>
      </w:r>
      <w:r w:rsidRPr="006E3B9B">
        <w:rPr>
          <w:lang w:val="en-US" w:eastAsia="zh-CN"/>
        </w:rPr>
        <w:tab/>
      </w:r>
      <w:r w:rsidRPr="006E3B9B">
        <w:rPr>
          <w:lang w:eastAsia="zh-CN"/>
        </w:rPr>
        <w:t>频登会</w:t>
      </w:r>
      <w:r w:rsidRPr="006E3B9B">
        <w:rPr>
          <w:rFonts w:hint="eastAsia"/>
          <w:lang w:eastAsia="zh-CN"/>
        </w:rPr>
        <w:t>使用的打卡机械系统</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E5"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426</w:t>
      </w:r>
      <w:r w:rsidRPr="006E3B9B">
        <w:rPr>
          <w:lang w:val="en-US" w:eastAsia="zh-CN"/>
        </w:rPr>
        <w:t>号决议</w:t>
      </w:r>
      <w:r w:rsidRPr="006E3B9B">
        <w:rPr>
          <w:lang w:val="en-US" w:eastAsia="zh-CN"/>
        </w:rPr>
        <w:tab/>
      </w:r>
      <w:r w:rsidRPr="006E3B9B">
        <w:rPr>
          <w:rFonts w:hint="eastAsia"/>
          <w:lang w:eastAsia="zh-CN"/>
        </w:rPr>
        <w:t>电信发展的融资</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E6"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427</w:t>
      </w:r>
      <w:r w:rsidRPr="006E3B9B">
        <w:rPr>
          <w:lang w:val="en-US" w:eastAsia="zh-CN"/>
        </w:rPr>
        <w:t>号决议</w:t>
      </w:r>
      <w:r w:rsidRPr="006E3B9B">
        <w:rPr>
          <w:lang w:val="en-US" w:eastAsia="zh-CN"/>
        </w:rPr>
        <w:tab/>
      </w:r>
      <w:r w:rsidRPr="006E3B9B">
        <w:rPr>
          <w:rFonts w:hint="eastAsia"/>
          <w:lang w:eastAsia="zh-CN"/>
        </w:rPr>
        <w:t>国际电联技术援助活动</w:t>
      </w:r>
      <w:r w:rsidRPr="006E3B9B">
        <w:rPr>
          <w:lang w:val="en-US" w:eastAsia="zh-CN"/>
        </w:rPr>
        <w:tab/>
      </w:r>
      <w:r w:rsidR="00A45877">
        <w:rPr>
          <w:lang w:val="en-US" w:eastAsia="zh-CN"/>
        </w:rPr>
        <w:tab/>
      </w:r>
      <w:r w:rsidRPr="006E3B9B">
        <w:rPr>
          <w:lang w:val="en-US" w:eastAsia="zh-CN"/>
        </w:rPr>
        <w:t>1966</w:t>
      </w:r>
      <w:r w:rsidRPr="006E3B9B">
        <w:rPr>
          <w:rFonts w:hint="eastAsia"/>
          <w:lang w:val="en-US" w:eastAsia="zh-CN"/>
        </w:rPr>
        <w:t>年</w:t>
      </w:r>
    </w:p>
    <w:p w14:paraId="4827BDE7"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428</w:t>
      </w:r>
      <w:r w:rsidRPr="006E3B9B">
        <w:rPr>
          <w:lang w:val="en-US" w:eastAsia="zh-CN"/>
        </w:rPr>
        <w:t>号决议</w:t>
      </w:r>
      <w:r w:rsidRPr="006E3B9B">
        <w:rPr>
          <w:lang w:val="en-US" w:eastAsia="zh-CN"/>
        </w:rPr>
        <w:tab/>
      </w:r>
      <w:r w:rsidRPr="006E3B9B">
        <w:rPr>
          <w:rFonts w:hint="eastAsia"/>
          <w:lang w:eastAsia="zh-CN"/>
        </w:rPr>
        <w:t>国际电联在联合国特别基金中的协作</w:t>
      </w:r>
      <w:r w:rsidRPr="006E3B9B">
        <w:rPr>
          <w:lang w:val="en-US" w:eastAsia="zh-CN"/>
        </w:rPr>
        <w:tab/>
      </w:r>
      <w:r w:rsidR="00A45877">
        <w:rPr>
          <w:lang w:val="en-US" w:eastAsia="zh-CN"/>
        </w:rPr>
        <w:tab/>
      </w:r>
      <w:r w:rsidRPr="006E3B9B">
        <w:rPr>
          <w:lang w:val="en-US" w:eastAsia="zh-CN"/>
        </w:rPr>
        <w:t>1966</w:t>
      </w:r>
      <w:r w:rsidRPr="006E3B9B">
        <w:rPr>
          <w:rFonts w:hint="eastAsia"/>
          <w:lang w:val="en-US" w:eastAsia="zh-CN"/>
        </w:rPr>
        <w:t>年</w:t>
      </w:r>
    </w:p>
    <w:p w14:paraId="4827BDE8"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429</w:t>
      </w:r>
      <w:r w:rsidRPr="006E3B9B">
        <w:rPr>
          <w:lang w:val="en-US" w:eastAsia="zh-CN"/>
        </w:rPr>
        <w:t>号决议</w:t>
      </w:r>
      <w:r w:rsidRPr="006E3B9B">
        <w:rPr>
          <w:lang w:val="en-US" w:eastAsia="zh-CN"/>
        </w:rPr>
        <w:tab/>
      </w:r>
      <w:r w:rsidRPr="006E3B9B">
        <w:rPr>
          <w:rFonts w:hint="eastAsia"/>
          <w:lang w:eastAsia="zh-CN"/>
        </w:rPr>
        <w:t>起草联合国特别基金批准项目定购设备的规则</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E9"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430</w:t>
      </w:r>
      <w:r w:rsidRPr="006E3B9B">
        <w:rPr>
          <w:lang w:val="en-US" w:eastAsia="zh-CN"/>
        </w:rPr>
        <w:t>号决议</w:t>
      </w:r>
      <w:r w:rsidRPr="006E3B9B">
        <w:rPr>
          <w:lang w:val="en-US" w:eastAsia="zh-CN"/>
        </w:rPr>
        <w:tab/>
      </w:r>
      <w:r w:rsidRPr="006E3B9B">
        <w:rPr>
          <w:rFonts w:hint="eastAsia"/>
          <w:lang w:eastAsia="zh-CN"/>
        </w:rPr>
        <w:t>反饥饿运动</w:t>
      </w:r>
      <w:r w:rsidRPr="006E3B9B">
        <w:rPr>
          <w:lang w:val="en-US" w:eastAsia="zh-CN"/>
        </w:rPr>
        <w:tab/>
      </w:r>
      <w:r w:rsidR="00A45877">
        <w:rPr>
          <w:lang w:val="en-US" w:eastAsia="zh-CN"/>
        </w:rPr>
        <w:tab/>
      </w:r>
      <w:r w:rsidRPr="006E3B9B">
        <w:rPr>
          <w:lang w:val="en-US" w:eastAsia="zh-CN"/>
        </w:rPr>
        <w:t>1967</w:t>
      </w:r>
      <w:r w:rsidRPr="006E3B9B">
        <w:rPr>
          <w:rFonts w:hint="eastAsia"/>
          <w:lang w:val="en-US" w:eastAsia="zh-CN"/>
        </w:rPr>
        <w:t>年</w:t>
      </w:r>
    </w:p>
    <w:p w14:paraId="4827BDEA"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431</w:t>
      </w:r>
      <w:r w:rsidRPr="006E3B9B">
        <w:rPr>
          <w:lang w:val="en-US" w:eastAsia="zh-CN"/>
        </w:rPr>
        <w:t>号决议</w:t>
      </w:r>
      <w:r w:rsidRPr="006E3B9B">
        <w:rPr>
          <w:lang w:val="en-US" w:eastAsia="zh-CN"/>
        </w:rPr>
        <w:tab/>
      </w:r>
      <w:r w:rsidRPr="006E3B9B">
        <w:rPr>
          <w:lang w:eastAsia="zh-CN"/>
        </w:rPr>
        <w:t>1961</w:t>
      </w:r>
      <w:r w:rsidRPr="006E3B9B">
        <w:rPr>
          <w:rFonts w:hint="eastAsia"/>
          <w:lang w:eastAsia="zh-CN"/>
        </w:rPr>
        <w:t>年欧洲广播大会</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EB"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432</w:t>
      </w:r>
      <w:r w:rsidRPr="006E3B9B">
        <w:rPr>
          <w:lang w:val="en-US" w:eastAsia="zh-CN"/>
        </w:rPr>
        <w:t>号决议</w:t>
      </w:r>
      <w:r w:rsidRPr="006E3B9B">
        <w:rPr>
          <w:lang w:val="en-US" w:eastAsia="zh-CN"/>
        </w:rPr>
        <w:tab/>
      </w:r>
      <w:r w:rsidRPr="006E3B9B">
        <w:rPr>
          <w:rFonts w:hint="eastAsia"/>
          <w:lang w:eastAsia="zh-CN"/>
        </w:rPr>
        <w:t>旨在减少</w:t>
      </w:r>
      <w:r w:rsidRPr="006E3B9B">
        <w:rPr>
          <w:lang w:eastAsia="zh-CN"/>
        </w:rPr>
        <w:t>4</w:t>
      </w:r>
      <w:r w:rsidRPr="006E3B9B">
        <w:rPr>
          <w:rFonts w:hint="eastAsia"/>
          <w:lang w:eastAsia="zh-CN"/>
        </w:rPr>
        <w:t>和</w:t>
      </w:r>
      <w:r w:rsidRPr="006E3B9B">
        <w:rPr>
          <w:lang w:eastAsia="zh-CN"/>
        </w:rPr>
        <w:t>27,5 Mc/s</w:t>
      </w:r>
      <w:r w:rsidRPr="006E3B9B">
        <w:rPr>
          <w:rFonts w:hint="eastAsia"/>
          <w:lang w:eastAsia="zh-CN"/>
        </w:rPr>
        <w:t>之间频段拥塞的措施</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EC"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433</w:t>
      </w:r>
      <w:r w:rsidRPr="006E3B9B">
        <w:rPr>
          <w:lang w:val="en-US" w:eastAsia="zh-CN"/>
        </w:rPr>
        <w:t>号决议</w:t>
      </w:r>
      <w:r w:rsidRPr="006E3B9B">
        <w:rPr>
          <w:lang w:val="en-US" w:eastAsia="zh-CN"/>
        </w:rPr>
        <w:tab/>
      </w:r>
      <w:r w:rsidRPr="006E3B9B">
        <w:rPr>
          <w:rFonts w:hint="eastAsia"/>
          <w:lang w:val="en-US" w:eastAsia="zh-CN"/>
        </w:rPr>
        <w:t>国际电联的服务条件向联合国共同制度的服务条件靠拢</w:t>
      </w:r>
      <w:r w:rsidR="00A45877">
        <w:rPr>
          <w:lang w:val="en-US" w:eastAsia="zh-CN"/>
        </w:rPr>
        <w:tab/>
      </w:r>
      <w:r w:rsidRPr="006E3B9B">
        <w:rPr>
          <w:lang w:val="en-US" w:eastAsia="zh-CN"/>
        </w:rPr>
        <w:tab/>
        <w:t>1964</w:t>
      </w:r>
      <w:r w:rsidRPr="006E3B9B">
        <w:rPr>
          <w:rFonts w:hint="eastAsia"/>
          <w:lang w:val="en-US" w:eastAsia="zh-CN"/>
        </w:rPr>
        <w:t>年</w:t>
      </w:r>
    </w:p>
    <w:p w14:paraId="4827BDED"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434</w:t>
      </w:r>
      <w:r w:rsidRPr="006E3B9B">
        <w:rPr>
          <w:lang w:val="en-US" w:eastAsia="zh-CN"/>
        </w:rPr>
        <w:t>号决议</w:t>
      </w:r>
      <w:r w:rsidRPr="006E3B9B">
        <w:rPr>
          <w:lang w:val="en-US" w:eastAsia="zh-CN"/>
        </w:rPr>
        <w:tab/>
      </w:r>
      <w:r w:rsidRPr="006E3B9B">
        <w:rPr>
          <w:rFonts w:hint="eastAsia"/>
          <w:lang w:eastAsia="zh-CN"/>
        </w:rPr>
        <w:t>《人事规则和细则》</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EE"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435</w:t>
      </w:r>
      <w:r w:rsidRPr="006E3B9B">
        <w:rPr>
          <w:lang w:val="en-US" w:eastAsia="zh-CN"/>
        </w:rPr>
        <w:t>号决议</w:t>
      </w:r>
      <w:r w:rsidRPr="006E3B9B">
        <w:rPr>
          <w:lang w:val="en-US" w:eastAsia="zh-CN"/>
        </w:rPr>
        <w:tab/>
      </w:r>
      <w:r w:rsidRPr="006E3B9B">
        <w:rPr>
          <w:rFonts w:hint="eastAsia"/>
          <w:lang w:val="en-US" w:eastAsia="zh-CN"/>
        </w:rPr>
        <w:t>适用于</w:t>
      </w:r>
      <w:r w:rsidRPr="006E3B9B">
        <w:rPr>
          <w:rFonts w:hint="eastAsia"/>
          <w:lang w:eastAsia="zh-CN"/>
        </w:rPr>
        <w:t>选任官员的《人事规则》</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EF"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436</w:t>
      </w:r>
      <w:r w:rsidRPr="006E3B9B">
        <w:rPr>
          <w:lang w:val="en-US" w:eastAsia="zh-CN"/>
        </w:rPr>
        <w:t>号决议</w:t>
      </w:r>
      <w:r w:rsidRPr="006E3B9B">
        <w:rPr>
          <w:lang w:val="en-US" w:eastAsia="zh-CN"/>
        </w:rPr>
        <w:tab/>
      </w:r>
      <w:r w:rsidRPr="006E3B9B">
        <w:rPr>
          <w:rFonts w:hint="eastAsia"/>
          <w:lang w:eastAsia="zh-CN"/>
        </w:rPr>
        <w:t>一般事务类职员的薪金表</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F0"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437</w:t>
      </w:r>
      <w:r w:rsidRPr="006E3B9B">
        <w:rPr>
          <w:lang w:val="en-US" w:eastAsia="zh-CN"/>
        </w:rPr>
        <w:t>号决议</w:t>
      </w:r>
      <w:r w:rsidRPr="006E3B9B">
        <w:rPr>
          <w:lang w:val="en-US" w:eastAsia="zh-CN"/>
        </w:rPr>
        <w:tab/>
      </w:r>
      <w:r w:rsidRPr="006E3B9B">
        <w:rPr>
          <w:rFonts w:hint="eastAsia"/>
          <w:lang w:val="en-US" w:eastAsia="zh-CN"/>
        </w:rPr>
        <w:t>定</w:t>
      </w:r>
      <w:r w:rsidRPr="006E3B9B">
        <w:rPr>
          <w:rFonts w:hint="eastAsia"/>
          <w:lang w:eastAsia="zh-CN"/>
        </w:rPr>
        <w:t>级标准</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F1"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438</w:t>
      </w:r>
      <w:r w:rsidRPr="006E3B9B">
        <w:rPr>
          <w:lang w:val="en-US" w:eastAsia="zh-CN"/>
        </w:rPr>
        <w:t>号决议</w:t>
      </w:r>
      <w:r w:rsidRPr="006E3B9B">
        <w:rPr>
          <w:lang w:val="en-US" w:eastAsia="zh-CN"/>
        </w:rPr>
        <w:tab/>
      </w:r>
      <w:r w:rsidRPr="006E3B9B">
        <w:rPr>
          <w:rFonts w:hint="eastAsia"/>
          <w:lang w:eastAsia="zh-CN"/>
        </w:rPr>
        <w:t>国际电联职员养恤金委员会的委员</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F2"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439</w:t>
      </w:r>
      <w:r w:rsidRPr="006E3B9B">
        <w:rPr>
          <w:lang w:val="en-US" w:eastAsia="zh-CN"/>
        </w:rPr>
        <w:t>号决议</w:t>
      </w:r>
      <w:r w:rsidRPr="006E3B9B">
        <w:rPr>
          <w:lang w:val="en-US" w:eastAsia="zh-CN"/>
        </w:rPr>
        <w:tab/>
      </w:r>
      <w:r w:rsidRPr="006E3B9B">
        <w:rPr>
          <w:rFonts w:hint="eastAsia"/>
          <w:lang w:val="en-US" w:eastAsia="zh-CN"/>
        </w:rPr>
        <w:t>职员退休和福利基金的规则</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F3"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440</w:t>
      </w:r>
      <w:r w:rsidRPr="006E3B9B">
        <w:rPr>
          <w:lang w:val="en-US" w:eastAsia="zh-CN"/>
        </w:rPr>
        <w:t>号决议</w:t>
      </w:r>
      <w:r w:rsidRPr="006E3B9B">
        <w:rPr>
          <w:lang w:val="en-US" w:eastAsia="zh-CN"/>
        </w:rPr>
        <w:tab/>
      </w:r>
      <w:r w:rsidRPr="006E3B9B">
        <w:rPr>
          <w:rFonts w:hint="eastAsia"/>
          <w:lang w:eastAsia="zh-CN"/>
        </w:rPr>
        <w:t>国际电联职员退休和福利基金资金的投资</w:t>
      </w:r>
      <w:r w:rsidRPr="006E3B9B">
        <w:rPr>
          <w:lang w:val="en-US" w:eastAsia="zh-CN"/>
        </w:rPr>
        <w:tab/>
      </w:r>
      <w:r w:rsidR="00A45877">
        <w:rPr>
          <w:lang w:val="en-US" w:eastAsia="zh-CN"/>
        </w:rPr>
        <w:tab/>
      </w:r>
      <w:r w:rsidRPr="006E3B9B">
        <w:rPr>
          <w:lang w:val="en-US" w:eastAsia="zh-CN"/>
        </w:rPr>
        <w:t>2.3</w:t>
      </w:r>
    </w:p>
    <w:p w14:paraId="4827BDF4"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441</w:t>
      </w:r>
      <w:r w:rsidRPr="006E3B9B">
        <w:rPr>
          <w:lang w:val="en-US" w:eastAsia="zh-CN"/>
        </w:rPr>
        <w:t>号决议</w:t>
      </w:r>
      <w:r w:rsidRPr="006E3B9B">
        <w:rPr>
          <w:lang w:val="en-US" w:eastAsia="zh-CN"/>
        </w:rPr>
        <w:tab/>
      </w:r>
      <w:r w:rsidRPr="006E3B9B">
        <w:rPr>
          <w:rFonts w:hint="eastAsia"/>
          <w:lang w:eastAsia="zh-CN"/>
        </w:rPr>
        <w:t>对职员退休和福利基金中保留款额的精算</w:t>
      </w:r>
      <w:r w:rsidRPr="006E3B9B">
        <w:rPr>
          <w:lang w:val="en-US" w:eastAsia="zh-CN"/>
        </w:rPr>
        <w:tab/>
      </w:r>
      <w:r w:rsidR="00A45877">
        <w:rPr>
          <w:lang w:val="en-US" w:eastAsia="zh-CN"/>
        </w:rPr>
        <w:tab/>
      </w:r>
      <w:r w:rsidRPr="006E3B9B">
        <w:rPr>
          <w:lang w:val="en-US" w:eastAsia="zh-CN"/>
        </w:rPr>
        <w:t>1966</w:t>
      </w:r>
      <w:r w:rsidRPr="006E3B9B">
        <w:rPr>
          <w:rFonts w:hint="eastAsia"/>
          <w:lang w:val="en-US" w:eastAsia="zh-CN"/>
        </w:rPr>
        <w:t>年</w:t>
      </w:r>
    </w:p>
    <w:p w14:paraId="4827BDF5"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442</w:t>
      </w:r>
      <w:r w:rsidRPr="006E3B9B">
        <w:rPr>
          <w:lang w:val="en-US" w:eastAsia="zh-CN"/>
        </w:rPr>
        <w:t>号决议</w:t>
      </w:r>
      <w:r w:rsidRPr="006E3B9B">
        <w:rPr>
          <w:lang w:val="en-US" w:eastAsia="zh-CN"/>
        </w:rPr>
        <w:tab/>
      </w:r>
      <w:r w:rsidRPr="006E3B9B">
        <w:rPr>
          <w:lang w:eastAsia="zh-CN"/>
        </w:rPr>
        <w:t>频登会</w:t>
      </w:r>
      <w:r w:rsidRPr="006E3B9B">
        <w:rPr>
          <w:rFonts w:hint="eastAsia"/>
          <w:lang w:eastAsia="zh-CN"/>
        </w:rPr>
        <w:t>委员的保险制度</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F6"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443</w:t>
      </w:r>
      <w:r w:rsidRPr="006E3B9B">
        <w:rPr>
          <w:lang w:val="en-US" w:eastAsia="zh-CN"/>
        </w:rPr>
        <w:t>号决议</w:t>
      </w:r>
      <w:r w:rsidRPr="006E3B9B">
        <w:rPr>
          <w:lang w:val="en-US" w:eastAsia="zh-CN"/>
        </w:rPr>
        <w:tab/>
      </w:r>
      <w:r w:rsidRPr="006E3B9B">
        <w:rPr>
          <w:rFonts w:hint="eastAsia"/>
          <w:lang w:eastAsia="zh-CN"/>
        </w:rPr>
        <w:t>适用于大会和其他短期活动聘用的职员的条例</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F7"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444</w:t>
      </w:r>
      <w:r w:rsidRPr="006E3B9B">
        <w:rPr>
          <w:lang w:val="en-US" w:eastAsia="zh-CN"/>
        </w:rPr>
        <w:t>号决议</w:t>
      </w:r>
      <w:r w:rsidRPr="006E3B9B">
        <w:rPr>
          <w:lang w:val="en-US" w:eastAsia="zh-CN"/>
        </w:rPr>
        <w:tab/>
      </w:r>
      <w:r w:rsidRPr="006E3B9B">
        <w:rPr>
          <w:lang w:eastAsia="zh-CN"/>
        </w:rPr>
        <w:t>CCIR</w:t>
      </w:r>
      <w:r w:rsidRPr="006E3B9B">
        <w:rPr>
          <w:rFonts w:hint="eastAsia"/>
          <w:lang w:eastAsia="zh-CN"/>
        </w:rPr>
        <w:t>副主任职责范围的扩大</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F8"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445</w:t>
      </w:r>
      <w:r w:rsidRPr="006E3B9B">
        <w:rPr>
          <w:lang w:val="en-US" w:eastAsia="zh-CN"/>
        </w:rPr>
        <w:t>号决议</w:t>
      </w:r>
      <w:r w:rsidRPr="006E3B9B">
        <w:rPr>
          <w:lang w:val="en-US" w:eastAsia="zh-CN"/>
        </w:rPr>
        <w:tab/>
      </w:r>
      <w:r w:rsidRPr="006E3B9B">
        <w:rPr>
          <w:rFonts w:hint="eastAsia"/>
          <w:lang w:eastAsia="zh-CN"/>
        </w:rPr>
        <w:t>国际电联开展的信息通报活动</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F9" w14:textId="77777777" w:rsidR="00BF1CF1" w:rsidRDefault="00BF1CF1">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4827BDFA" w14:textId="77777777" w:rsidR="006E3B9B" w:rsidRPr="006E3B9B" w:rsidRDefault="006E3B9B" w:rsidP="003E11A1">
      <w:pPr>
        <w:pStyle w:val="Reftitle"/>
        <w:rPr>
          <w:lang w:val="en-US" w:eastAsia="zh-CN"/>
        </w:rPr>
      </w:pPr>
      <w:r w:rsidRPr="006E3B9B">
        <w:rPr>
          <w:rFonts w:hint="eastAsia"/>
          <w:lang w:eastAsia="zh-CN"/>
        </w:rPr>
        <w:lastRenderedPageBreak/>
        <w:t>第</w:t>
      </w:r>
      <w:r w:rsidRPr="006E3B9B">
        <w:rPr>
          <w:lang w:eastAsia="zh-CN"/>
        </w:rPr>
        <w:t>16</w:t>
      </w:r>
      <w:r w:rsidRPr="006E3B9B">
        <w:rPr>
          <w:rFonts w:hint="eastAsia"/>
          <w:lang w:eastAsia="zh-CN"/>
        </w:rPr>
        <w:t>届会议（</w:t>
      </w:r>
      <w:r w:rsidRPr="006E3B9B">
        <w:rPr>
          <w:lang w:eastAsia="zh-CN"/>
        </w:rPr>
        <w:t>1961</w:t>
      </w:r>
      <w:r w:rsidRPr="006E3B9B">
        <w:rPr>
          <w:rFonts w:hint="eastAsia"/>
          <w:lang w:eastAsia="zh-CN"/>
        </w:rPr>
        <w:t>年</w:t>
      </w:r>
      <w:r w:rsidRPr="006E3B9B">
        <w:rPr>
          <w:lang w:eastAsia="zh-CN"/>
        </w:rPr>
        <w:t>4</w:t>
      </w:r>
      <w:r w:rsidRPr="006E3B9B">
        <w:rPr>
          <w:rFonts w:hint="eastAsia"/>
          <w:lang w:eastAsia="zh-CN"/>
        </w:rPr>
        <w:t>月</w:t>
      </w:r>
      <w:r w:rsidRPr="006E3B9B">
        <w:rPr>
          <w:lang w:eastAsia="zh-CN"/>
        </w:rPr>
        <w:t>-5</w:t>
      </w:r>
      <w:r w:rsidRPr="006E3B9B">
        <w:rPr>
          <w:rFonts w:hint="eastAsia"/>
          <w:lang w:eastAsia="zh-CN"/>
        </w:rPr>
        <w:t>月）</w:t>
      </w:r>
    </w:p>
    <w:p w14:paraId="4827BDFB"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446</w:t>
      </w:r>
      <w:r w:rsidRPr="006E3B9B">
        <w:rPr>
          <w:lang w:val="en-US" w:eastAsia="zh-CN"/>
        </w:rPr>
        <w:t>号决议</w:t>
      </w:r>
      <w:r w:rsidRPr="006E3B9B">
        <w:rPr>
          <w:lang w:val="en-US" w:eastAsia="zh-CN"/>
        </w:rPr>
        <w:tab/>
      </w:r>
      <w:r w:rsidRPr="006E3B9B">
        <w:rPr>
          <w:rFonts w:hint="eastAsia"/>
          <w:lang w:eastAsia="zh-CN"/>
        </w:rPr>
        <w:t>电子计算机的使用</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FC"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447</w:t>
      </w:r>
      <w:r w:rsidRPr="006E3B9B">
        <w:rPr>
          <w:lang w:val="en-US" w:eastAsia="zh-CN"/>
        </w:rPr>
        <w:t>号决议</w:t>
      </w:r>
      <w:r w:rsidRPr="006E3B9B">
        <w:rPr>
          <w:lang w:val="en-US" w:eastAsia="zh-CN"/>
        </w:rPr>
        <w:tab/>
      </w:r>
      <w:r w:rsidRPr="006E3B9B">
        <w:rPr>
          <w:rFonts w:hint="eastAsia"/>
          <w:lang w:eastAsia="zh-CN"/>
        </w:rPr>
        <w:t>旨在减少</w:t>
      </w:r>
      <w:r w:rsidRPr="006E3B9B">
        <w:rPr>
          <w:lang w:eastAsia="zh-CN"/>
        </w:rPr>
        <w:t>4</w:t>
      </w:r>
      <w:r w:rsidRPr="006E3B9B">
        <w:rPr>
          <w:rFonts w:hint="eastAsia"/>
          <w:lang w:eastAsia="zh-CN"/>
        </w:rPr>
        <w:t>和</w:t>
      </w:r>
      <w:r w:rsidRPr="006E3B9B">
        <w:rPr>
          <w:lang w:eastAsia="zh-CN"/>
        </w:rPr>
        <w:t>27,5 Mc/s</w:t>
      </w:r>
      <w:r w:rsidRPr="006E3B9B">
        <w:rPr>
          <w:rFonts w:hint="eastAsia"/>
          <w:lang w:eastAsia="zh-CN"/>
        </w:rPr>
        <w:t>之间频段拥塞的措施</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DFD"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448</w:t>
      </w:r>
      <w:r w:rsidRPr="006E3B9B">
        <w:rPr>
          <w:lang w:val="en-US" w:eastAsia="zh-CN"/>
        </w:rPr>
        <w:t>号决议</w:t>
      </w:r>
      <w:r w:rsidRPr="006E3B9B">
        <w:rPr>
          <w:lang w:val="en-US" w:eastAsia="zh-CN"/>
        </w:rPr>
        <w:tab/>
      </w:r>
      <w:r w:rsidRPr="006E3B9B">
        <w:rPr>
          <w:rFonts w:hint="eastAsia"/>
          <w:lang w:eastAsia="zh-CN"/>
        </w:rPr>
        <w:t>世界规划委员会</w:t>
      </w:r>
      <w:r w:rsidRPr="006E3B9B">
        <w:rPr>
          <w:lang w:val="en-US" w:eastAsia="zh-CN"/>
        </w:rPr>
        <w:tab/>
      </w:r>
      <w:r w:rsidR="00A45877">
        <w:rPr>
          <w:lang w:val="en-US" w:eastAsia="zh-CN"/>
        </w:rPr>
        <w:tab/>
      </w:r>
      <w:r w:rsidRPr="006E3B9B">
        <w:rPr>
          <w:lang w:val="en-US" w:eastAsia="zh-CN"/>
        </w:rPr>
        <w:t>1993</w:t>
      </w:r>
      <w:r w:rsidRPr="006E3B9B">
        <w:rPr>
          <w:rFonts w:hint="eastAsia"/>
          <w:lang w:val="en-US" w:eastAsia="zh-CN"/>
        </w:rPr>
        <w:t>年</w:t>
      </w:r>
    </w:p>
    <w:p w14:paraId="4827BDFE"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449</w:t>
      </w:r>
      <w:r w:rsidRPr="006E3B9B">
        <w:rPr>
          <w:lang w:val="en-US" w:eastAsia="zh-CN"/>
        </w:rPr>
        <w:t>号决议</w:t>
      </w:r>
      <w:r w:rsidRPr="006E3B9B">
        <w:rPr>
          <w:lang w:val="en-US" w:eastAsia="zh-CN"/>
        </w:rPr>
        <w:tab/>
      </w:r>
      <w:r w:rsidRPr="006E3B9B">
        <w:rPr>
          <w:lang w:eastAsia="zh-CN"/>
        </w:rPr>
        <w:t>国际咨询委员会</w:t>
      </w:r>
      <w:r w:rsidRPr="006E3B9B">
        <w:rPr>
          <w:rFonts w:hint="eastAsia"/>
          <w:lang w:eastAsia="zh-CN"/>
        </w:rPr>
        <w:t>的研究组会议</w:t>
      </w:r>
      <w:r w:rsidRPr="006E3B9B">
        <w:rPr>
          <w:lang w:val="en-US" w:eastAsia="zh-CN"/>
        </w:rPr>
        <w:tab/>
      </w:r>
      <w:r w:rsidR="00A45877">
        <w:rPr>
          <w:lang w:val="en-US" w:eastAsia="zh-CN"/>
        </w:rPr>
        <w:tab/>
      </w:r>
      <w:r w:rsidRPr="006E3B9B">
        <w:rPr>
          <w:lang w:val="en-US" w:eastAsia="zh-CN"/>
        </w:rPr>
        <w:t>1993</w:t>
      </w:r>
      <w:r w:rsidRPr="006E3B9B">
        <w:rPr>
          <w:rFonts w:hint="eastAsia"/>
          <w:lang w:val="en-US" w:eastAsia="zh-CN"/>
        </w:rPr>
        <w:t>年</w:t>
      </w:r>
    </w:p>
    <w:p w14:paraId="4827BDFF"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450</w:t>
      </w:r>
      <w:r w:rsidRPr="006E3B9B">
        <w:rPr>
          <w:lang w:val="en-US" w:eastAsia="zh-CN"/>
        </w:rPr>
        <w:t>号决议</w:t>
      </w:r>
      <w:r w:rsidRPr="006E3B9B">
        <w:rPr>
          <w:lang w:val="en-US" w:eastAsia="zh-CN"/>
        </w:rPr>
        <w:tab/>
      </w:r>
      <w:r w:rsidRPr="006E3B9B">
        <w:rPr>
          <w:rFonts w:hint="eastAsia"/>
          <w:lang w:eastAsia="zh-CN"/>
        </w:rPr>
        <w:t>国际电联开展的向新兴国家与发展中国家提供实物技术援助</w:t>
      </w:r>
      <w:r w:rsidR="00A45877">
        <w:rPr>
          <w:lang w:eastAsia="zh-CN"/>
        </w:rPr>
        <w:tab/>
      </w:r>
      <w:r w:rsidRPr="006E3B9B">
        <w:rPr>
          <w:lang w:val="en-US" w:eastAsia="zh-CN"/>
        </w:rPr>
        <w:tab/>
        <w:t>1964</w:t>
      </w:r>
      <w:r w:rsidRPr="006E3B9B">
        <w:rPr>
          <w:rFonts w:hint="eastAsia"/>
          <w:lang w:val="en-US" w:eastAsia="zh-CN"/>
        </w:rPr>
        <w:t>年</w:t>
      </w:r>
    </w:p>
    <w:p w14:paraId="4827BE00"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451</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1961</w:t>
      </w:r>
      <w:r w:rsidRPr="006E3B9B">
        <w:rPr>
          <w:rFonts w:hint="eastAsia"/>
          <w:lang w:eastAsia="zh-CN"/>
        </w:rPr>
        <w:t>年预算（修订版）</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E01"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452</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1962</w:t>
      </w:r>
      <w:r w:rsidRPr="006E3B9B">
        <w:rPr>
          <w:rFonts w:hint="eastAsia"/>
          <w:lang w:eastAsia="zh-CN"/>
        </w:rPr>
        <w:t>年预算</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E02"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453</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1960</w:t>
      </w:r>
      <w:r w:rsidRPr="006E3B9B">
        <w:rPr>
          <w:rFonts w:hint="eastAsia"/>
          <w:lang w:eastAsia="zh-CN"/>
        </w:rPr>
        <w:t>年财务工作报告</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E03"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454</w:t>
      </w:r>
      <w:r w:rsidRPr="006E3B9B">
        <w:rPr>
          <w:lang w:val="en-US" w:eastAsia="zh-CN"/>
        </w:rPr>
        <w:t>号决议</w:t>
      </w:r>
      <w:r w:rsidRPr="006E3B9B">
        <w:rPr>
          <w:lang w:val="en-US" w:eastAsia="zh-CN"/>
        </w:rPr>
        <w:tab/>
      </w:r>
      <w:r w:rsidRPr="006E3B9B">
        <w:rPr>
          <w:rFonts w:hint="eastAsia"/>
          <w:lang w:eastAsia="zh-CN"/>
        </w:rPr>
        <w:t>国际电联账目的外部审计（</w:t>
      </w:r>
      <w:r w:rsidRPr="006E3B9B">
        <w:rPr>
          <w:lang w:eastAsia="zh-CN"/>
        </w:rPr>
        <w:t>1960</w:t>
      </w:r>
      <w:r w:rsidRPr="006E3B9B">
        <w:rPr>
          <w:rFonts w:hint="eastAsia"/>
          <w:lang w:eastAsia="zh-CN"/>
        </w:rPr>
        <w:t>年</w:t>
      </w:r>
      <w:r w:rsidRPr="006E3B9B">
        <w:rPr>
          <w:lang w:eastAsia="zh-CN"/>
        </w:rPr>
        <w:t>1</w:t>
      </w:r>
      <w:r w:rsidRPr="006E3B9B">
        <w:rPr>
          <w:rFonts w:hint="eastAsia"/>
          <w:lang w:eastAsia="zh-CN"/>
        </w:rPr>
        <w:t>月</w:t>
      </w:r>
      <w:r w:rsidRPr="006E3B9B">
        <w:rPr>
          <w:rFonts w:hint="eastAsia"/>
          <w:lang w:eastAsia="zh-CN"/>
        </w:rPr>
        <w:t>1</w:t>
      </w:r>
      <w:r w:rsidRPr="006E3B9B">
        <w:rPr>
          <w:rFonts w:hint="eastAsia"/>
          <w:lang w:eastAsia="zh-CN"/>
        </w:rPr>
        <w:t>日</w:t>
      </w:r>
      <w:r w:rsidRPr="006E3B9B">
        <w:rPr>
          <w:lang w:eastAsia="zh-CN"/>
        </w:rPr>
        <w:t>-12</w:t>
      </w:r>
      <w:r w:rsidRPr="006E3B9B">
        <w:rPr>
          <w:rFonts w:hint="eastAsia"/>
          <w:lang w:eastAsia="zh-CN"/>
        </w:rPr>
        <w:t>月</w:t>
      </w:r>
      <w:r w:rsidRPr="006E3B9B">
        <w:rPr>
          <w:lang w:eastAsia="zh-CN"/>
        </w:rPr>
        <w:t>31</w:t>
      </w:r>
      <w:r w:rsidRPr="006E3B9B">
        <w:rPr>
          <w:rFonts w:hint="eastAsia"/>
          <w:lang w:eastAsia="zh-CN"/>
        </w:rPr>
        <w:t>日）</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E04"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455</w:t>
      </w:r>
      <w:r w:rsidRPr="006E3B9B">
        <w:rPr>
          <w:lang w:val="en-US" w:eastAsia="zh-CN"/>
        </w:rPr>
        <w:t>号决议</w:t>
      </w:r>
      <w:r w:rsidRPr="006E3B9B">
        <w:rPr>
          <w:lang w:val="en-US" w:eastAsia="zh-CN"/>
        </w:rPr>
        <w:tab/>
      </w:r>
      <w:r w:rsidRPr="006E3B9B">
        <w:rPr>
          <w:rFonts w:hint="eastAsia"/>
          <w:lang w:eastAsia="zh-CN"/>
        </w:rPr>
        <w:t>欠款账目</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E05"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456</w:t>
      </w:r>
      <w:r w:rsidRPr="006E3B9B">
        <w:rPr>
          <w:lang w:val="en-US" w:eastAsia="zh-CN"/>
        </w:rPr>
        <w:t>号决议</w:t>
      </w:r>
      <w:r w:rsidRPr="006E3B9B">
        <w:rPr>
          <w:lang w:val="en-US" w:eastAsia="zh-CN"/>
        </w:rPr>
        <w:tab/>
      </w:r>
      <w:r w:rsidRPr="006E3B9B">
        <w:rPr>
          <w:rFonts w:hint="eastAsia"/>
          <w:lang w:eastAsia="zh-CN"/>
        </w:rPr>
        <w:t>国际电联《财务规则》（修订版）</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E06"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457</w:t>
      </w:r>
      <w:r w:rsidRPr="006E3B9B">
        <w:rPr>
          <w:lang w:val="en-US" w:eastAsia="zh-CN"/>
        </w:rPr>
        <w:t>号决议</w:t>
      </w:r>
      <w:r w:rsidRPr="006E3B9B">
        <w:rPr>
          <w:lang w:val="en-US" w:eastAsia="zh-CN"/>
        </w:rPr>
        <w:tab/>
      </w:r>
      <w:r w:rsidRPr="006E3B9B">
        <w:rPr>
          <w:rFonts w:hint="eastAsia"/>
          <w:lang w:eastAsia="zh-CN"/>
        </w:rPr>
        <w:t>财务工作报告的版式</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E07"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458</w:t>
      </w:r>
      <w:r w:rsidRPr="006E3B9B">
        <w:rPr>
          <w:lang w:val="en-US" w:eastAsia="zh-CN"/>
        </w:rPr>
        <w:t>号决议</w:t>
      </w:r>
      <w:r w:rsidRPr="006E3B9B">
        <w:rPr>
          <w:lang w:val="en-US" w:eastAsia="zh-CN"/>
        </w:rPr>
        <w:tab/>
      </w:r>
      <w:r w:rsidRPr="006E3B9B">
        <w:rPr>
          <w:rFonts w:hint="eastAsia"/>
          <w:lang w:eastAsia="zh-CN"/>
        </w:rPr>
        <w:t>教育补助金</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E08"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459</w:t>
      </w:r>
      <w:r w:rsidRPr="006E3B9B">
        <w:rPr>
          <w:lang w:val="en-US" w:eastAsia="zh-CN"/>
        </w:rPr>
        <w:t>号决议</w:t>
      </w:r>
      <w:r w:rsidRPr="006E3B9B">
        <w:rPr>
          <w:lang w:val="en-US" w:eastAsia="zh-CN"/>
        </w:rPr>
        <w:tab/>
      </w:r>
      <w:r w:rsidRPr="006E3B9B">
        <w:rPr>
          <w:rFonts w:hint="eastAsia"/>
          <w:lang w:eastAsia="zh-CN"/>
        </w:rPr>
        <w:t>国际电联职员养恤金委员会的委员</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E09"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460</w:t>
      </w:r>
      <w:r w:rsidRPr="006E3B9B">
        <w:rPr>
          <w:lang w:val="en-US" w:eastAsia="zh-CN"/>
        </w:rPr>
        <w:t>号决议</w:t>
      </w:r>
      <w:r w:rsidRPr="006E3B9B">
        <w:rPr>
          <w:lang w:val="en-US" w:eastAsia="zh-CN"/>
        </w:rPr>
        <w:tab/>
      </w:r>
      <w:r w:rsidRPr="006E3B9B">
        <w:rPr>
          <w:rFonts w:hint="eastAsia"/>
          <w:lang w:eastAsia="zh-CN"/>
        </w:rPr>
        <w:t>国际电联职员退休和福利基金规则</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E0A"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461</w:t>
      </w:r>
      <w:r w:rsidRPr="006E3B9B">
        <w:rPr>
          <w:lang w:val="en-US" w:eastAsia="zh-CN"/>
        </w:rPr>
        <w:t>号决议</w:t>
      </w:r>
      <w:r w:rsidRPr="006E3B9B">
        <w:rPr>
          <w:lang w:val="en-US" w:eastAsia="zh-CN"/>
        </w:rPr>
        <w:tab/>
      </w:r>
      <w:r w:rsidRPr="006E3B9B">
        <w:rPr>
          <w:rFonts w:hint="eastAsia"/>
          <w:lang w:eastAsia="zh-CN"/>
        </w:rPr>
        <w:t>自</w:t>
      </w:r>
      <w:r w:rsidRPr="006E3B9B">
        <w:rPr>
          <w:lang w:eastAsia="zh-CN"/>
        </w:rPr>
        <w:t>1961</w:t>
      </w:r>
      <w:r w:rsidRPr="006E3B9B">
        <w:rPr>
          <w:rFonts w:hint="eastAsia"/>
          <w:lang w:eastAsia="zh-CN"/>
        </w:rPr>
        <w:t>年</w:t>
      </w:r>
      <w:r w:rsidRPr="006E3B9B">
        <w:rPr>
          <w:lang w:eastAsia="zh-CN"/>
        </w:rPr>
        <w:t>4</w:t>
      </w:r>
      <w:r w:rsidRPr="006E3B9B">
        <w:rPr>
          <w:rFonts w:hint="eastAsia"/>
          <w:lang w:eastAsia="zh-CN"/>
        </w:rPr>
        <w:t>月</w:t>
      </w:r>
      <w:r w:rsidRPr="006E3B9B">
        <w:rPr>
          <w:lang w:eastAsia="zh-CN"/>
        </w:rPr>
        <w:t>1</w:t>
      </w:r>
      <w:r w:rsidRPr="006E3B9B">
        <w:rPr>
          <w:rFonts w:hint="eastAsia"/>
          <w:lang w:eastAsia="zh-CN"/>
        </w:rPr>
        <w:t>日起联合国合办职员养恤金基金的变更</w:t>
      </w:r>
      <w:r w:rsidR="00A45877">
        <w:rPr>
          <w:lang w:eastAsia="zh-CN"/>
        </w:rPr>
        <w:tab/>
      </w:r>
      <w:r w:rsidRPr="006E3B9B">
        <w:rPr>
          <w:lang w:val="en-US" w:eastAsia="zh-CN"/>
        </w:rPr>
        <w:tab/>
        <w:t>1964</w:t>
      </w:r>
      <w:r w:rsidRPr="006E3B9B">
        <w:rPr>
          <w:rFonts w:hint="eastAsia"/>
          <w:lang w:val="en-US" w:eastAsia="zh-CN"/>
        </w:rPr>
        <w:t>年</w:t>
      </w:r>
    </w:p>
    <w:p w14:paraId="4827BE0B"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462</w:t>
      </w:r>
      <w:r w:rsidRPr="006E3B9B">
        <w:rPr>
          <w:lang w:val="en-US" w:eastAsia="zh-CN"/>
        </w:rPr>
        <w:t>号决议</w:t>
      </w:r>
      <w:r w:rsidRPr="006E3B9B">
        <w:rPr>
          <w:lang w:val="en-US" w:eastAsia="zh-CN"/>
        </w:rPr>
        <w:tab/>
      </w:r>
      <w:r w:rsidRPr="006E3B9B">
        <w:rPr>
          <w:rFonts w:hint="eastAsia"/>
          <w:lang w:eastAsia="zh-CN"/>
        </w:rPr>
        <w:t>向国际电联退休官员发放的一项津贴</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E0C"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463</w:t>
      </w:r>
      <w:r w:rsidRPr="006E3B9B">
        <w:rPr>
          <w:lang w:val="en-US" w:eastAsia="zh-CN"/>
        </w:rPr>
        <w:t>号决议</w:t>
      </w:r>
      <w:r w:rsidRPr="006E3B9B">
        <w:rPr>
          <w:lang w:val="en-US" w:eastAsia="zh-CN"/>
        </w:rPr>
        <w:tab/>
      </w:r>
      <w:r w:rsidRPr="006E3B9B">
        <w:rPr>
          <w:rFonts w:hint="eastAsia"/>
          <w:lang w:eastAsia="zh-CN"/>
        </w:rPr>
        <w:t>国际电联职员退休和福利基金的精算基础</w:t>
      </w:r>
      <w:r w:rsidR="00A45877">
        <w:rPr>
          <w:lang w:eastAsia="zh-CN"/>
        </w:rPr>
        <w:tab/>
      </w:r>
      <w:r w:rsidRPr="006E3B9B">
        <w:rPr>
          <w:lang w:val="en-US" w:eastAsia="zh-CN"/>
        </w:rPr>
        <w:tab/>
        <w:t>2.3</w:t>
      </w:r>
    </w:p>
    <w:p w14:paraId="4827BE0D"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464</w:t>
      </w:r>
      <w:r w:rsidRPr="006E3B9B">
        <w:rPr>
          <w:lang w:val="en-US" w:eastAsia="zh-CN"/>
        </w:rPr>
        <w:t>号决议</w:t>
      </w:r>
      <w:r w:rsidRPr="006E3B9B">
        <w:rPr>
          <w:lang w:val="en-US" w:eastAsia="zh-CN"/>
        </w:rPr>
        <w:tab/>
      </w:r>
      <w:r w:rsidRPr="006E3B9B">
        <w:rPr>
          <w:rFonts w:hint="eastAsia"/>
          <w:lang w:eastAsia="zh-CN"/>
        </w:rPr>
        <w:t>国际电联职员退休和福利基金的利率</w:t>
      </w:r>
      <w:r w:rsidRPr="006E3B9B">
        <w:rPr>
          <w:lang w:val="en-US" w:eastAsia="zh-CN"/>
        </w:rPr>
        <w:tab/>
      </w:r>
      <w:r w:rsidR="00A45877">
        <w:rPr>
          <w:lang w:val="en-US" w:eastAsia="zh-CN"/>
        </w:rPr>
        <w:tab/>
      </w:r>
      <w:r w:rsidRPr="006E3B9B">
        <w:rPr>
          <w:lang w:val="en-US" w:eastAsia="zh-CN"/>
        </w:rPr>
        <w:t>1974</w:t>
      </w:r>
      <w:r w:rsidRPr="006E3B9B">
        <w:rPr>
          <w:rFonts w:hint="eastAsia"/>
          <w:lang w:val="en-US" w:eastAsia="zh-CN"/>
        </w:rPr>
        <w:t>年</w:t>
      </w:r>
    </w:p>
    <w:p w14:paraId="4827BE0E"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465</w:t>
      </w:r>
      <w:r w:rsidRPr="006E3B9B">
        <w:rPr>
          <w:lang w:val="en-US" w:eastAsia="zh-CN"/>
        </w:rPr>
        <w:t>号决议</w:t>
      </w:r>
      <w:r w:rsidRPr="006E3B9B">
        <w:rPr>
          <w:lang w:val="en-US" w:eastAsia="zh-CN"/>
        </w:rPr>
        <w:tab/>
      </w:r>
      <w:r w:rsidRPr="006E3B9B">
        <w:rPr>
          <w:rFonts w:hint="eastAsia"/>
          <w:lang w:eastAsia="zh-CN"/>
        </w:rPr>
        <w:t>国际电联各秘书处的机构设置</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E0F"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466</w:t>
      </w:r>
      <w:r w:rsidRPr="006E3B9B">
        <w:rPr>
          <w:lang w:val="en-US" w:eastAsia="zh-CN"/>
        </w:rPr>
        <w:t>号决议</w:t>
      </w:r>
      <w:r w:rsidRPr="006E3B9B">
        <w:rPr>
          <w:lang w:val="en-US" w:eastAsia="zh-CN"/>
        </w:rPr>
        <w:tab/>
      </w:r>
      <w:r w:rsidRPr="006E3B9B">
        <w:rPr>
          <w:rFonts w:hint="eastAsia"/>
          <w:lang w:eastAsia="zh-CN"/>
        </w:rPr>
        <w:t>国际电联职员的地域分配</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E10"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467</w:t>
      </w:r>
      <w:r w:rsidRPr="006E3B9B">
        <w:rPr>
          <w:lang w:val="en-US" w:eastAsia="zh-CN"/>
        </w:rPr>
        <w:t>号决议</w:t>
      </w:r>
      <w:r w:rsidRPr="006E3B9B">
        <w:rPr>
          <w:lang w:val="en-US" w:eastAsia="zh-CN"/>
        </w:rPr>
        <w:tab/>
      </w:r>
      <w:r w:rsidRPr="006E3B9B">
        <w:rPr>
          <w:rFonts w:hint="eastAsia"/>
          <w:lang w:eastAsia="zh-CN"/>
        </w:rPr>
        <w:t>国际电联职员向联合国共同制度靠拢</w:t>
      </w:r>
      <w:r w:rsidRPr="006E3B9B">
        <w:rPr>
          <w:lang w:val="en-US" w:eastAsia="zh-CN"/>
        </w:rPr>
        <w:tab/>
      </w:r>
      <w:r w:rsidR="00A45877">
        <w:rPr>
          <w:lang w:val="en-US" w:eastAsia="zh-CN"/>
        </w:rPr>
        <w:tab/>
      </w:r>
      <w:r w:rsidRPr="006E3B9B">
        <w:rPr>
          <w:lang w:val="en-US" w:eastAsia="zh-CN"/>
        </w:rPr>
        <w:t>1966</w:t>
      </w:r>
      <w:r w:rsidRPr="006E3B9B">
        <w:rPr>
          <w:rFonts w:hint="eastAsia"/>
          <w:lang w:val="en-US" w:eastAsia="zh-CN"/>
        </w:rPr>
        <w:t>年</w:t>
      </w:r>
    </w:p>
    <w:p w14:paraId="4827BE11"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468</w:t>
      </w:r>
      <w:r w:rsidRPr="006E3B9B">
        <w:rPr>
          <w:lang w:val="en-US" w:eastAsia="zh-CN"/>
        </w:rPr>
        <w:t>号决议</w:t>
      </w:r>
      <w:r w:rsidRPr="006E3B9B">
        <w:rPr>
          <w:lang w:val="en-US" w:eastAsia="zh-CN"/>
        </w:rPr>
        <w:tab/>
      </w:r>
      <w:r w:rsidRPr="006E3B9B">
        <w:rPr>
          <w:rFonts w:hint="eastAsia"/>
          <w:lang w:eastAsia="zh-CN"/>
        </w:rPr>
        <w:t>适用于日内瓦的任职地点补贴调整数的等级</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E12"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469</w:t>
      </w:r>
      <w:r w:rsidRPr="006E3B9B">
        <w:rPr>
          <w:lang w:val="en-US" w:eastAsia="zh-CN"/>
        </w:rPr>
        <w:t>号决议</w:t>
      </w:r>
      <w:r w:rsidRPr="006E3B9B">
        <w:rPr>
          <w:lang w:val="en-US" w:eastAsia="zh-CN"/>
        </w:rPr>
        <w:tab/>
      </w:r>
      <w:r w:rsidRPr="006E3B9B">
        <w:rPr>
          <w:rFonts w:hint="eastAsia"/>
          <w:lang w:eastAsia="zh-CN"/>
        </w:rPr>
        <w:t>《人事规则和细则》</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E13"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470</w:t>
      </w:r>
      <w:r w:rsidRPr="006E3B9B">
        <w:rPr>
          <w:lang w:val="en-US" w:eastAsia="zh-CN"/>
        </w:rPr>
        <w:t>号决议</w:t>
      </w:r>
      <w:r w:rsidRPr="006E3B9B">
        <w:rPr>
          <w:lang w:val="en-US" w:eastAsia="zh-CN"/>
        </w:rPr>
        <w:tab/>
      </w:r>
      <w:r w:rsidRPr="006E3B9B">
        <w:rPr>
          <w:rFonts w:hint="eastAsia"/>
          <w:lang w:eastAsia="zh-CN"/>
        </w:rPr>
        <w:t>对共同制度津贴的调整，包括适用于日内瓦的任职地点补贴调整数</w:t>
      </w:r>
      <w:r w:rsidR="00A45877">
        <w:rPr>
          <w:lang w:eastAsia="zh-CN"/>
        </w:rPr>
        <w:tab/>
      </w:r>
      <w:r w:rsidRPr="006E3B9B">
        <w:rPr>
          <w:lang w:val="en-US" w:eastAsia="zh-CN"/>
        </w:rPr>
        <w:tab/>
        <w:t>1969</w:t>
      </w:r>
      <w:r w:rsidRPr="006E3B9B">
        <w:rPr>
          <w:rFonts w:hint="eastAsia"/>
          <w:lang w:val="en-US" w:eastAsia="zh-CN"/>
        </w:rPr>
        <w:t>年</w:t>
      </w:r>
    </w:p>
    <w:p w14:paraId="4827BE14"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471</w:t>
      </w:r>
      <w:r w:rsidRPr="006E3B9B">
        <w:rPr>
          <w:lang w:val="en-US" w:eastAsia="zh-CN"/>
        </w:rPr>
        <w:t>号决议</w:t>
      </w:r>
      <w:r w:rsidRPr="006E3B9B">
        <w:rPr>
          <w:lang w:val="en-US" w:eastAsia="zh-CN"/>
        </w:rPr>
        <w:tab/>
      </w:r>
      <w:r w:rsidRPr="006E3B9B">
        <w:rPr>
          <w:rFonts w:hint="eastAsia"/>
          <w:lang w:eastAsia="zh-CN"/>
        </w:rPr>
        <w:t>一般事务类职员薪金表</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E15"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472</w:t>
      </w:r>
      <w:r w:rsidRPr="006E3B9B">
        <w:rPr>
          <w:lang w:val="en-US" w:eastAsia="zh-CN"/>
        </w:rPr>
        <w:t>号决议</w:t>
      </w:r>
      <w:r w:rsidRPr="006E3B9B">
        <w:rPr>
          <w:lang w:val="en-US" w:eastAsia="zh-CN"/>
        </w:rPr>
        <w:tab/>
      </w:r>
      <w:r w:rsidRPr="006E3B9B">
        <w:rPr>
          <w:rFonts w:hint="eastAsia"/>
          <w:lang w:val="en-US" w:eastAsia="zh-CN"/>
        </w:rPr>
        <w:t>定</w:t>
      </w:r>
      <w:r w:rsidRPr="006E3B9B">
        <w:rPr>
          <w:rFonts w:hint="eastAsia"/>
          <w:lang w:eastAsia="zh-CN"/>
        </w:rPr>
        <w:t>级标准</w:t>
      </w:r>
      <w:r w:rsidRPr="006E3B9B">
        <w:rPr>
          <w:lang w:val="en-US" w:eastAsia="zh-CN"/>
        </w:rPr>
        <w:tab/>
      </w:r>
      <w:r w:rsidR="00A45877">
        <w:rPr>
          <w:lang w:val="en-US" w:eastAsia="zh-CN"/>
        </w:rPr>
        <w:tab/>
      </w:r>
      <w:r w:rsidRPr="006E3B9B">
        <w:rPr>
          <w:lang w:val="en-US" w:eastAsia="zh-CN"/>
        </w:rPr>
        <w:t>1968</w:t>
      </w:r>
      <w:r w:rsidRPr="006E3B9B">
        <w:rPr>
          <w:rFonts w:hint="eastAsia"/>
          <w:lang w:val="en-US" w:eastAsia="zh-CN"/>
        </w:rPr>
        <w:t>年</w:t>
      </w:r>
    </w:p>
    <w:p w14:paraId="4827BE16"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473</w:t>
      </w:r>
      <w:r w:rsidRPr="006E3B9B">
        <w:rPr>
          <w:lang w:val="en-US" w:eastAsia="zh-CN"/>
        </w:rPr>
        <w:t>号决议</w:t>
      </w:r>
      <w:r w:rsidRPr="006E3B9B">
        <w:rPr>
          <w:lang w:val="en-US" w:eastAsia="zh-CN"/>
        </w:rPr>
        <w:tab/>
      </w:r>
      <w:r w:rsidRPr="006E3B9B">
        <w:rPr>
          <w:rFonts w:hint="eastAsia"/>
          <w:lang w:eastAsia="zh-CN"/>
        </w:rPr>
        <w:t>职位的设立</w:t>
      </w:r>
      <w:r w:rsidRPr="006E3B9B">
        <w:rPr>
          <w:lang w:val="en-US" w:eastAsia="zh-CN"/>
        </w:rPr>
        <w:tab/>
      </w:r>
      <w:r w:rsidR="00A45877">
        <w:rPr>
          <w:lang w:val="en-US" w:eastAsia="zh-CN"/>
        </w:rPr>
        <w:tab/>
      </w:r>
      <w:r w:rsidRPr="006E3B9B">
        <w:rPr>
          <w:lang w:val="en-US" w:eastAsia="zh-CN"/>
        </w:rPr>
        <w:t>1964</w:t>
      </w:r>
      <w:r w:rsidRPr="006E3B9B">
        <w:rPr>
          <w:rFonts w:hint="eastAsia"/>
          <w:lang w:val="en-US" w:eastAsia="zh-CN"/>
        </w:rPr>
        <w:t>年</w:t>
      </w:r>
    </w:p>
    <w:p w14:paraId="4827BE17"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474</w:t>
      </w:r>
      <w:r w:rsidRPr="006E3B9B">
        <w:rPr>
          <w:lang w:val="en-US" w:eastAsia="zh-CN"/>
        </w:rPr>
        <w:t>号决议</w:t>
      </w:r>
      <w:r w:rsidRPr="006E3B9B">
        <w:rPr>
          <w:lang w:val="en-US" w:eastAsia="zh-CN"/>
        </w:rPr>
        <w:tab/>
      </w:r>
      <w:r w:rsidRPr="006E3B9B">
        <w:rPr>
          <w:rFonts w:hint="eastAsia"/>
          <w:lang w:eastAsia="zh-CN"/>
        </w:rPr>
        <w:t>职位空缺公告</w:t>
      </w:r>
      <w:r w:rsidRPr="006E3B9B">
        <w:rPr>
          <w:lang w:val="en-US" w:eastAsia="zh-CN"/>
        </w:rPr>
        <w:tab/>
      </w:r>
      <w:r w:rsidR="00A45877">
        <w:rPr>
          <w:lang w:val="en-US" w:eastAsia="zh-CN"/>
        </w:rPr>
        <w:tab/>
      </w:r>
      <w:r w:rsidRPr="006E3B9B">
        <w:rPr>
          <w:lang w:val="en-US" w:eastAsia="zh-CN"/>
        </w:rPr>
        <w:t>1968</w:t>
      </w:r>
      <w:r w:rsidRPr="006E3B9B">
        <w:rPr>
          <w:rFonts w:hint="eastAsia"/>
          <w:lang w:val="en-US" w:eastAsia="zh-CN"/>
        </w:rPr>
        <w:t>年</w:t>
      </w:r>
    </w:p>
    <w:p w14:paraId="4827BE18" w14:textId="77777777" w:rsidR="006E3B9B" w:rsidRPr="006E3B9B" w:rsidRDefault="006E3B9B" w:rsidP="00A45877">
      <w:pPr>
        <w:pStyle w:val="Appendixref"/>
        <w:rPr>
          <w:lang w:val="en-US" w:eastAsia="zh-CN"/>
        </w:rPr>
      </w:pPr>
      <w:r w:rsidRPr="006E3B9B">
        <w:rPr>
          <w:lang w:val="en-US" w:eastAsia="zh-CN"/>
        </w:rPr>
        <w:t>第</w:t>
      </w:r>
      <w:r w:rsidRPr="006E3B9B">
        <w:rPr>
          <w:lang w:val="en-US" w:eastAsia="zh-CN"/>
        </w:rPr>
        <w:t>475</w:t>
      </w:r>
      <w:r w:rsidRPr="006E3B9B">
        <w:rPr>
          <w:lang w:val="en-US" w:eastAsia="zh-CN"/>
        </w:rPr>
        <w:t>号决议</w:t>
      </w:r>
      <w:r w:rsidRPr="006E3B9B">
        <w:rPr>
          <w:lang w:val="en-US" w:eastAsia="zh-CN"/>
        </w:rPr>
        <w:tab/>
      </w:r>
      <w:r w:rsidRPr="006E3B9B">
        <w:rPr>
          <w:rFonts w:hint="eastAsia"/>
          <w:lang w:eastAsia="zh-CN"/>
        </w:rPr>
        <w:t>适用于大会和其它短期活动聘用的职员的条例</w:t>
      </w:r>
      <w:r w:rsidRPr="006E3B9B">
        <w:rPr>
          <w:lang w:val="en-US" w:eastAsia="zh-CN"/>
        </w:rPr>
        <w:tab/>
      </w:r>
      <w:r w:rsidR="00A45877">
        <w:rPr>
          <w:lang w:val="en-US" w:eastAsia="zh-CN"/>
        </w:rPr>
        <w:tab/>
      </w:r>
      <w:r w:rsidRPr="006E3B9B">
        <w:rPr>
          <w:lang w:val="en-US" w:eastAsia="zh-CN"/>
        </w:rPr>
        <w:t>1981</w:t>
      </w:r>
      <w:r w:rsidRPr="006E3B9B">
        <w:rPr>
          <w:rFonts w:hint="eastAsia"/>
          <w:lang w:val="en-US" w:eastAsia="zh-CN"/>
        </w:rPr>
        <w:t>年</w:t>
      </w:r>
    </w:p>
    <w:p w14:paraId="4827BE19" w14:textId="77777777" w:rsidR="006E3B9B" w:rsidRPr="006E3B9B" w:rsidRDefault="006E3B9B" w:rsidP="003E11A1">
      <w:pPr>
        <w:pStyle w:val="Reftitle"/>
        <w:rPr>
          <w:lang w:val="en-US" w:eastAsia="zh-CN"/>
        </w:rPr>
      </w:pPr>
      <w:r w:rsidRPr="006E3B9B">
        <w:rPr>
          <w:rFonts w:hint="eastAsia"/>
          <w:lang w:eastAsia="zh-CN"/>
        </w:rPr>
        <w:t>第</w:t>
      </w:r>
      <w:r w:rsidRPr="006E3B9B">
        <w:rPr>
          <w:lang w:eastAsia="zh-CN"/>
        </w:rPr>
        <w:t>17</w:t>
      </w:r>
      <w:r w:rsidRPr="006E3B9B">
        <w:rPr>
          <w:rFonts w:hint="eastAsia"/>
          <w:lang w:eastAsia="zh-CN"/>
        </w:rPr>
        <w:t>届会议（</w:t>
      </w:r>
      <w:r w:rsidRPr="006E3B9B">
        <w:rPr>
          <w:lang w:eastAsia="zh-CN"/>
        </w:rPr>
        <w:t>1962</w:t>
      </w:r>
      <w:r w:rsidRPr="006E3B9B">
        <w:rPr>
          <w:rFonts w:hint="eastAsia"/>
          <w:lang w:eastAsia="zh-CN"/>
        </w:rPr>
        <w:t>年</w:t>
      </w:r>
      <w:r w:rsidRPr="006E3B9B">
        <w:rPr>
          <w:lang w:eastAsia="zh-CN"/>
        </w:rPr>
        <w:t>5</w:t>
      </w:r>
      <w:r w:rsidRPr="006E3B9B">
        <w:rPr>
          <w:rFonts w:hint="eastAsia"/>
          <w:lang w:eastAsia="zh-CN"/>
        </w:rPr>
        <w:t>月</w:t>
      </w:r>
      <w:r w:rsidRPr="006E3B9B">
        <w:rPr>
          <w:lang w:eastAsia="zh-CN"/>
        </w:rPr>
        <w:t>-6</w:t>
      </w:r>
      <w:r w:rsidRPr="006E3B9B">
        <w:rPr>
          <w:rFonts w:hint="eastAsia"/>
          <w:lang w:eastAsia="zh-CN"/>
        </w:rPr>
        <w:t>月）</w:t>
      </w:r>
    </w:p>
    <w:p w14:paraId="4827BE1A"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476</w:t>
      </w:r>
      <w:r w:rsidRPr="006E3B9B">
        <w:rPr>
          <w:lang w:val="en-US" w:eastAsia="zh-CN"/>
        </w:rPr>
        <w:t>号决议</w:t>
      </w:r>
      <w:r w:rsidRPr="006E3B9B">
        <w:rPr>
          <w:lang w:val="en-US" w:eastAsia="zh-CN"/>
        </w:rPr>
        <w:tab/>
      </w:r>
      <w:r w:rsidRPr="006E3B9B">
        <w:rPr>
          <w:rFonts w:hint="eastAsia"/>
          <w:lang w:eastAsia="zh-CN"/>
        </w:rPr>
        <w:t>选任官员的薪金</w:t>
      </w:r>
      <w:r w:rsidRPr="006E3B9B">
        <w:rPr>
          <w:lang w:val="en-US" w:eastAsia="zh-CN"/>
        </w:rPr>
        <w:tab/>
      </w:r>
      <w:r w:rsidR="003E11A1">
        <w:rPr>
          <w:lang w:val="en-US" w:eastAsia="zh-CN"/>
        </w:rPr>
        <w:tab/>
      </w:r>
      <w:r w:rsidRPr="006E3B9B">
        <w:rPr>
          <w:lang w:val="en-US" w:eastAsia="zh-CN"/>
        </w:rPr>
        <w:t>1966</w:t>
      </w:r>
      <w:r w:rsidRPr="006E3B9B">
        <w:rPr>
          <w:rFonts w:hint="eastAsia"/>
          <w:lang w:val="en-US" w:eastAsia="zh-CN"/>
        </w:rPr>
        <w:t>年</w:t>
      </w:r>
    </w:p>
    <w:p w14:paraId="4827BE1B"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477</w:t>
      </w:r>
      <w:r w:rsidRPr="006E3B9B">
        <w:rPr>
          <w:lang w:val="en-US" w:eastAsia="zh-CN"/>
        </w:rPr>
        <w:t>号决议</w:t>
      </w:r>
      <w:r w:rsidRPr="006E3B9B">
        <w:rPr>
          <w:lang w:val="en-US" w:eastAsia="zh-CN"/>
        </w:rPr>
        <w:tab/>
      </w:r>
      <w:r w:rsidRPr="006E3B9B">
        <w:rPr>
          <w:rFonts w:hint="eastAsia"/>
          <w:lang w:eastAsia="zh-CN"/>
        </w:rPr>
        <w:t>专业职类和高级顾问职类职员的底薪表等</w:t>
      </w:r>
      <w:r w:rsidRPr="006E3B9B">
        <w:rPr>
          <w:lang w:val="en-US" w:eastAsia="zh-CN"/>
        </w:rPr>
        <w:tab/>
      </w:r>
      <w:r w:rsidR="003E11A1">
        <w:rPr>
          <w:lang w:val="en-US" w:eastAsia="zh-CN"/>
        </w:rPr>
        <w:tab/>
      </w:r>
      <w:r w:rsidRPr="006E3B9B">
        <w:rPr>
          <w:lang w:val="en-US" w:eastAsia="zh-CN"/>
        </w:rPr>
        <w:t>1964</w:t>
      </w:r>
      <w:r w:rsidRPr="006E3B9B">
        <w:rPr>
          <w:rFonts w:hint="eastAsia"/>
          <w:lang w:val="en-US" w:eastAsia="zh-CN"/>
        </w:rPr>
        <w:t>年</w:t>
      </w:r>
    </w:p>
    <w:p w14:paraId="4827BE1C"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478</w:t>
      </w:r>
      <w:r w:rsidRPr="006E3B9B">
        <w:rPr>
          <w:lang w:val="en-US" w:eastAsia="zh-CN"/>
        </w:rPr>
        <w:t>号决议</w:t>
      </w:r>
      <w:r w:rsidRPr="006E3B9B">
        <w:rPr>
          <w:lang w:val="en-US" w:eastAsia="zh-CN"/>
        </w:rPr>
        <w:tab/>
      </w:r>
      <w:r w:rsidRPr="006E3B9B">
        <w:rPr>
          <w:rFonts w:hint="eastAsia"/>
          <w:lang w:eastAsia="zh-CN"/>
        </w:rPr>
        <w:t>适用于日内瓦的任职地点补贴调整数的等级</w:t>
      </w:r>
      <w:r w:rsidRPr="006E3B9B">
        <w:rPr>
          <w:lang w:val="en-US" w:eastAsia="zh-CN"/>
        </w:rPr>
        <w:tab/>
      </w:r>
      <w:r w:rsidR="003E11A1">
        <w:rPr>
          <w:lang w:val="en-US" w:eastAsia="zh-CN"/>
        </w:rPr>
        <w:tab/>
      </w:r>
      <w:r w:rsidRPr="006E3B9B">
        <w:rPr>
          <w:lang w:val="en-US" w:eastAsia="zh-CN"/>
        </w:rPr>
        <w:t>1964</w:t>
      </w:r>
      <w:r w:rsidRPr="006E3B9B">
        <w:rPr>
          <w:rFonts w:hint="eastAsia"/>
          <w:lang w:val="en-US" w:eastAsia="zh-CN"/>
        </w:rPr>
        <w:t>年</w:t>
      </w:r>
    </w:p>
    <w:p w14:paraId="4827BE1D"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479</w:t>
      </w:r>
      <w:r w:rsidRPr="006E3B9B">
        <w:rPr>
          <w:lang w:val="en-US" w:eastAsia="zh-CN"/>
        </w:rPr>
        <w:t>号决议</w:t>
      </w:r>
      <w:r w:rsidRPr="006E3B9B">
        <w:rPr>
          <w:lang w:val="en-US" w:eastAsia="zh-CN"/>
        </w:rPr>
        <w:tab/>
      </w:r>
      <w:r w:rsidRPr="006E3B9B">
        <w:rPr>
          <w:rFonts w:hint="eastAsia"/>
          <w:lang w:eastAsia="zh-CN"/>
        </w:rPr>
        <w:t>教育补助金</w:t>
      </w:r>
      <w:r w:rsidRPr="006E3B9B">
        <w:rPr>
          <w:lang w:val="en-US" w:eastAsia="zh-CN"/>
        </w:rPr>
        <w:tab/>
      </w:r>
      <w:r w:rsidR="003E11A1">
        <w:rPr>
          <w:lang w:val="en-US" w:eastAsia="zh-CN"/>
        </w:rPr>
        <w:tab/>
      </w:r>
      <w:r w:rsidRPr="006E3B9B">
        <w:rPr>
          <w:lang w:val="en-US" w:eastAsia="zh-CN"/>
        </w:rPr>
        <w:t>1964</w:t>
      </w:r>
      <w:r w:rsidRPr="006E3B9B">
        <w:rPr>
          <w:rFonts w:hint="eastAsia"/>
          <w:lang w:val="en-US" w:eastAsia="zh-CN"/>
        </w:rPr>
        <w:t>年</w:t>
      </w:r>
    </w:p>
    <w:p w14:paraId="4827BE1E"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480</w:t>
      </w:r>
      <w:r w:rsidRPr="006E3B9B">
        <w:rPr>
          <w:lang w:val="en-US" w:eastAsia="zh-CN"/>
        </w:rPr>
        <w:t>号决议</w:t>
      </w:r>
      <w:r w:rsidRPr="006E3B9B">
        <w:rPr>
          <w:lang w:val="en-US" w:eastAsia="zh-CN"/>
        </w:rPr>
        <w:tab/>
      </w:r>
      <w:r w:rsidRPr="006E3B9B">
        <w:rPr>
          <w:rFonts w:hint="eastAsia"/>
          <w:lang w:eastAsia="zh-CN"/>
        </w:rPr>
        <w:t>一般事务类职员的就业条件</w:t>
      </w:r>
      <w:r w:rsidRPr="006E3B9B">
        <w:rPr>
          <w:lang w:val="en-US" w:eastAsia="zh-CN"/>
        </w:rPr>
        <w:tab/>
      </w:r>
      <w:r w:rsidR="003E11A1">
        <w:rPr>
          <w:lang w:val="en-US" w:eastAsia="zh-CN"/>
        </w:rPr>
        <w:tab/>
      </w:r>
      <w:r w:rsidRPr="006E3B9B">
        <w:rPr>
          <w:lang w:val="en-US" w:eastAsia="zh-CN"/>
        </w:rPr>
        <w:t>1964</w:t>
      </w:r>
      <w:r w:rsidRPr="006E3B9B">
        <w:rPr>
          <w:rFonts w:hint="eastAsia"/>
          <w:lang w:val="en-US" w:eastAsia="zh-CN"/>
        </w:rPr>
        <w:t>年</w:t>
      </w:r>
    </w:p>
    <w:p w14:paraId="4827BE1F"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481</w:t>
      </w:r>
      <w:r w:rsidRPr="006E3B9B">
        <w:rPr>
          <w:lang w:val="en-US" w:eastAsia="zh-CN"/>
        </w:rPr>
        <w:t>号决议</w:t>
      </w:r>
      <w:r w:rsidRPr="006E3B9B">
        <w:rPr>
          <w:lang w:val="en-US" w:eastAsia="zh-CN"/>
        </w:rPr>
        <w:tab/>
      </w:r>
      <w:r w:rsidRPr="006E3B9B">
        <w:rPr>
          <w:rFonts w:hint="eastAsia"/>
          <w:lang w:eastAsia="zh-CN"/>
        </w:rPr>
        <w:t>职位的设立</w:t>
      </w:r>
      <w:r w:rsidRPr="006E3B9B">
        <w:rPr>
          <w:lang w:val="en-US" w:eastAsia="zh-CN"/>
        </w:rPr>
        <w:tab/>
      </w:r>
      <w:r w:rsidR="003E11A1">
        <w:rPr>
          <w:lang w:val="en-US" w:eastAsia="zh-CN"/>
        </w:rPr>
        <w:tab/>
      </w:r>
      <w:r w:rsidRPr="006E3B9B">
        <w:rPr>
          <w:lang w:val="en-US" w:eastAsia="zh-CN"/>
        </w:rPr>
        <w:t>1964</w:t>
      </w:r>
      <w:r w:rsidRPr="006E3B9B">
        <w:rPr>
          <w:rFonts w:hint="eastAsia"/>
          <w:lang w:val="en-US" w:eastAsia="zh-CN"/>
        </w:rPr>
        <w:t>年</w:t>
      </w:r>
    </w:p>
    <w:p w14:paraId="4827BE20"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482</w:t>
      </w:r>
      <w:r w:rsidRPr="006E3B9B">
        <w:rPr>
          <w:lang w:val="en-US" w:eastAsia="zh-CN"/>
        </w:rPr>
        <w:t>号决议</w:t>
      </w:r>
      <w:r w:rsidRPr="006E3B9B">
        <w:rPr>
          <w:lang w:val="en-US" w:eastAsia="zh-CN"/>
        </w:rPr>
        <w:tab/>
      </w:r>
      <w:r w:rsidRPr="006E3B9B">
        <w:rPr>
          <w:rFonts w:hint="eastAsia"/>
          <w:lang w:eastAsia="zh-CN"/>
        </w:rPr>
        <w:t>期刊科科长的定级</w:t>
      </w:r>
      <w:r w:rsidRPr="006E3B9B">
        <w:rPr>
          <w:lang w:val="en-US" w:eastAsia="zh-CN"/>
        </w:rPr>
        <w:tab/>
      </w:r>
      <w:r w:rsidR="003E11A1">
        <w:rPr>
          <w:lang w:val="en-US" w:eastAsia="zh-CN"/>
        </w:rPr>
        <w:tab/>
      </w:r>
      <w:r w:rsidRPr="006E3B9B">
        <w:rPr>
          <w:lang w:val="en-US" w:eastAsia="zh-CN"/>
        </w:rPr>
        <w:t>1964</w:t>
      </w:r>
      <w:r w:rsidRPr="006E3B9B">
        <w:rPr>
          <w:rFonts w:hint="eastAsia"/>
          <w:lang w:val="en-US" w:eastAsia="zh-CN"/>
        </w:rPr>
        <w:t>年</w:t>
      </w:r>
    </w:p>
    <w:p w14:paraId="4827BE21"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483</w:t>
      </w:r>
      <w:r w:rsidRPr="006E3B9B">
        <w:rPr>
          <w:lang w:val="en-US" w:eastAsia="zh-CN"/>
        </w:rPr>
        <w:t>号决议</w:t>
      </w:r>
      <w:r w:rsidRPr="006E3B9B">
        <w:rPr>
          <w:lang w:val="en-US" w:eastAsia="zh-CN"/>
        </w:rPr>
        <w:tab/>
      </w:r>
      <w:r w:rsidRPr="006E3B9B">
        <w:rPr>
          <w:rFonts w:hint="eastAsia"/>
          <w:lang w:eastAsia="zh-CN"/>
        </w:rPr>
        <w:t>隶属于国际电联总部的来自主管部门的专家</w:t>
      </w:r>
      <w:r w:rsidRPr="006E3B9B">
        <w:rPr>
          <w:lang w:val="en-US" w:eastAsia="zh-CN"/>
        </w:rPr>
        <w:tab/>
      </w:r>
      <w:r w:rsidR="003E11A1">
        <w:rPr>
          <w:lang w:val="en-US" w:eastAsia="zh-CN"/>
        </w:rPr>
        <w:tab/>
      </w:r>
      <w:r w:rsidRPr="006E3B9B">
        <w:rPr>
          <w:lang w:val="en-US" w:eastAsia="zh-CN"/>
        </w:rPr>
        <w:t>1993</w:t>
      </w:r>
      <w:r w:rsidRPr="006E3B9B">
        <w:rPr>
          <w:rFonts w:hint="eastAsia"/>
          <w:lang w:val="en-US" w:eastAsia="zh-CN"/>
        </w:rPr>
        <w:t>年</w:t>
      </w:r>
    </w:p>
    <w:p w14:paraId="4827BE22"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484</w:t>
      </w:r>
      <w:r w:rsidRPr="006E3B9B">
        <w:rPr>
          <w:lang w:val="en-US" w:eastAsia="zh-CN"/>
        </w:rPr>
        <w:t>号决议</w:t>
      </w:r>
      <w:r w:rsidRPr="006E3B9B">
        <w:rPr>
          <w:lang w:val="en-US" w:eastAsia="zh-CN"/>
        </w:rPr>
        <w:tab/>
      </w:r>
      <w:r w:rsidRPr="006E3B9B">
        <w:rPr>
          <w:rFonts w:hint="eastAsia"/>
          <w:lang w:eastAsia="zh-CN"/>
        </w:rPr>
        <w:t>国际电联职员养恤金委员会的委员</w:t>
      </w:r>
      <w:r w:rsidRPr="006E3B9B">
        <w:rPr>
          <w:lang w:val="en-US" w:eastAsia="zh-CN"/>
        </w:rPr>
        <w:tab/>
      </w:r>
      <w:r w:rsidR="003E11A1">
        <w:rPr>
          <w:lang w:val="en-US" w:eastAsia="zh-CN"/>
        </w:rPr>
        <w:tab/>
      </w:r>
      <w:r w:rsidRPr="006E3B9B">
        <w:rPr>
          <w:lang w:val="en-US" w:eastAsia="zh-CN"/>
        </w:rPr>
        <w:t>1964</w:t>
      </w:r>
      <w:r w:rsidRPr="006E3B9B">
        <w:rPr>
          <w:rFonts w:hint="eastAsia"/>
          <w:lang w:val="en-US" w:eastAsia="zh-CN"/>
        </w:rPr>
        <w:t>年</w:t>
      </w:r>
    </w:p>
    <w:p w14:paraId="4827BE23"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485</w:t>
      </w:r>
      <w:r w:rsidRPr="006E3B9B">
        <w:rPr>
          <w:lang w:val="en-US" w:eastAsia="zh-CN"/>
        </w:rPr>
        <w:t>号决议</w:t>
      </w:r>
      <w:r w:rsidRPr="006E3B9B">
        <w:rPr>
          <w:lang w:val="en-US" w:eastAsia="zh-CN"/>
        </w:rPr>
        <w:tab/>
      </w:r>
      <w:r w:rsidRPr="006E3B9B">
        <w:rPr>
          <w:lang w:eastAsia="zh-CN"/>
        </w:rPr>
        <w:t>频登会</w:t>
      </w:r>
      <w:r w:rsidRPr="006E3B9B">
        <w:rPr>
          <w:rFonts w:hint="eastAsia"/>
          <w:lang w:eastAsia="zh-CN"/>
        </w:rPr>
        <w:t>委员的保险制度</w:t>
      </w:r>
      <w:r w:rsidRPr="006E3B9B">
        <w:rPr>
          <w:lang w:val="en-US" w:eastAsia="zh-CN"/>
        </w:rPr>
        <w:tab/>
      </w:r>
      <w:r w:rsidR="003E11A1">
        <w:rPr>
          <w:lang w:val="en-US" w:eastAsia="zh-CN"/>
        </w:rPr>
        <w:tab/>
      </w:r>
      <w:r w:rsidRPr="006E3B9B">
        <w:rPr>
          <w:lang w:val="en-US" w:eastAsia="zh-CN"/>
        </w:rPr>
        <w:t>1967</w:t>
      </w:r>
      <w:r w:rsidRPr="006E3B9B">
        <w:rPr>
          <w:rFonts w:hint="eastAsia"/>
          <w:lang w:val="en-US" w:eastAsia="zh-CN"/>
        </w:rPr>
        <w:t>年</w:t>
      </w:r>
    </w:p>
    <w:p w14:paraId="4827BE24" w14:textId="77777777" w:rsidR="00BF1CF1" w:rsidRDefault="00BF1CF1">
      <w:pPr>
        <w:tabs>
          <w:tab w:val="clear" w:pos="794"/>
          <w:tab w:val="clear" w:pos="1191"/>
          <w:tab w:val="clear" w:pos="1588"/>
          <w:tab w:val="clear" w:pos="1985"/>
        </w:tabs>
        <w:overflowPunct/>
        <w:autoSpaceDE/>
        <w:autoSpaceDN/>
        <w:adjustRightInd/>
        <w:spacing w:before="0"/>
        <w:jc w:val="left"/>
        <w:textAlignment w:val="auto"/>
        <w:rPr>
          <w:sz w:val="20"/>
          <w:lang w:val="en-US" w:eastAsia="zh-CN"/>
        </w:rPr>
      </w:pPr>
      <w:r>
        <w:rPr>
          <w:lang w:val="en-US" w:eastAsia="zh-CN"/>
        </w:rPr>
        <w:br w:type="page"/>
      </w:r>
    </w:p>
    <w:p w14:paraId="4827BE25" w14:textId="77777777" w:rsidR="006E3B9B" w:rsidRPr="006E3B9B" w:rsidRDefault="006E3B9B" w:rsidP="003E11A1">
      <w:pPr>
        <w:pStyle w:val="Appendixref"/>
        <w:rPr>
          <w:lang w:val="en-US" w:eastAsia="zh-CN"/>
        </w:rPr>
      </w:pPr>
      <w:r w:rsidRPr="006E3B9B">
        <w:rPr>
          <w:lang w:val="en-US" w:eastAsia="zh-CN"/>
        </w:rPr>
        <w:lastRenderedPageBreak/>
        <w:t>第</w:t>
      </w:r>
      <w:r w:rsidRPr="006E3B9B">
        <w:rPr>
          <w:lang w:val="en-US" w:eastAsia="zh-CN"/>
        </w:rPr>
        <w:t>486</w:t>
      </w:r>
      <w:r w:rsidRPr="006E3B9B">
        <w:rPr>
          <w:lang w:val="en-US" w:eastAsia="zh-CN"/>
        </w:rPr>
        <w:t>号决议</w:t>
      </w:r>
      <w:r w:rsidRPr="006E3B9B">
        <w:rPr>
          <w:lang w:val="en-US" w:eastAsia="zh-CN"/>
        </w:rPr>
        <w:tab/>
      </w:r>
      <w:r w:rsidRPr="006E3B9B">
        <w:rPr>
          <w:lang w:eastAsia="zh-CN"/>
        </w:rPr>
        <w:t>1961</w:t>
      </w:r>
      <w:r w:rsidRPr="006E3B9B">
        <w:rPr>
          <w:rFonts w:hint="eastAsia"/>
          <w:lang w:eastAsia="zh-CN"/>
        </w:rPr>
        <w:t>年财务工作报告</w:t>
      </w:r>
      <w:r w:rsidRPr="006E3B9B">
        <w:rPr>
          <w:lang w:val="en-US" w:eastAsia="zh-CN"/>
        </w:rPr>
        <w:tab/>
      </w:r>
      <w:r w:rsidR="003E11A1">
        <w:rPr>
          <w:lang w:val="en-US" w:eastAsia="zh-CN"/>
        </w:rPr>
        <w:tab/>
      </w:r>
      <w:r w:rsidRPr="006E3B9B">
        <w:rPr>
          <w:lang w:val="en-US" w:eastAsia="zh-CN"/>
        </w:rPr>
        <w:t>1964</w:t>
      </w:r>
      <w:r w:rsidRPr="006E3B9B">
        <w:rPr>
          <w:rFonts w:hint="eastAsia"/>
          <w:lang w:val="en-US" w:eastAsia="zh-CN"/>
        </w:rPr>
        <w:t>年</w:t>
      </w:r>
    </w:p>
    <w:p w14:paraId="4827BE26"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487</w:t>
      </w:r>
      <w:r w:rsidRPr="006E3B9B">
        <w:rPr>
          <w:lang w:val="en-US" w:eastAsia="zh-CN"/>
        </w:rPr>
        <w:t>号决议</w:t>
      </w:r>
      <w:r w:rsidRPr="006E3B9B">
        <w:rPr>
          <w:lang w:val="en-US" w:eastAsia="zh-CN"/>
        </w:rPr>
        <w:tab/>
      </w:r>
      <w:r w:rsidRPr="006E3B9B">
        <w:rPr>
          <w:rFonts w:hint="eastAsia"/>
          <w:lang w:eastAsia="zh-CN"/>
        </w:rPr>
        <w:t>对国际电联</w:t>
      </w:r>
      <w:r w:rsidRPr="006E3B9B">
        <w:rPr>
          <w:lang w:eastAsia="zh-CN"/>
        </w:rPr>
        <w:t>1961</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1</w:t>
      </w:r>
      <w:r w:rsidRPr="006E3B9B">
        <w:rPr>
          <w:rFonts w:hint="eastAsia"/>
          <w:lang w:eastAsia="zh-CN"/>
        </w:rPr>
        <w:t>日</w:t>
      </w:r>
      <w:r w:rsidRPr="006E3B9B">
        <w:rPr>
          <w:lang w:eastAsia="zh-CN"/>
        </w:rPr>
        <w:t>-12</w:t>
      </w:r>
      <w:r w:rsidRPr="006E3B9B">
        <w:rPr>
          <w:rFonts w:hint="eastAsia"/>
          <w:lang w:eastAsia="zh-CN"/>
        </w:rPr>
        <w:t>月</w:t>
      </w:r>
      <w:r w:rsidRPr="006E3B9B">
        <w:rPr>
          <w:lang w:eastAsia="zh-CN"/>
        </w:rPr>
        <w:t>31</w:t>
      </w:r>
      <w:r w:rsidRPr="006E3B9B">
        <w:rPr>
          <w:rFonts w:hint="eastAsia"/>
          <w:lang w:eastAsia="zh-CN"/>
        </w:rPr>
        <w:t>日账目的外部审计</w:t>
      </w:r>
      <w:r w:rsidR="003E11A1">
        <w:rPr>
          <w:lang w:eastAsia="zh-CN"/>
        </w:rPr>
        <w:tab/>
      </w:r>
      <w:r w:rsidRPr="006E3B9B">
        <w:rPr>
          <w:lang w:val="en-US" w:eastAsia="zh-CN"/>
        </w:rPr>
        <w:tab/>
        <w:t>1964</w:t>
      </w:r>
      <w:r w:rsidRPr="006E3B9B">
        <w:rPr>
          <w:rFonts w:hint="eastAsia"/>
          <w:lang w:val="en-US" w:eastAsia="zh-CN"/>
        </w:rPr>
        <w:t>年</w:t>
      </w:r>
    </w:p>
    <w:p w14:paraId="4827BE27"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488</w:t>
      </w:r>
      <w:r w:rsidRPr="006E3B9B">
        <w:rPr>
          <w:lang w:val="en-US" w:eastAsia="zh-CN"/>
        </w:rPr>
        <w:t>号决议</w:t>
      </w:r>
      <w:r w:rsidRPr="006E3B9B">
        <w:rPr>
          <w:lang w:val="en-US" w:eastAsia="zh-CN"/>
        </w:rPr>
        <w:tab/>
      </w:r>
      <w:r w:rsidRPr="006E3B9B">
        <w:rPr>
          <w:rFonts w:hint="eastAsia"/>
          <w:lang w:eastAsia="zh-CN"/>
        </w:rPr>
        <w:t>欠款账目</w:t>
      </w:r>
      <w:r w:rsidRPr="006E3B9B">
        <w:rPr>
          <w:lang w:val="en-US" w:eastAsia="zh-CN"/>
        </w:rPr>
        <w:tab/>
      </w:r>
      <w:r w:rsidR="003E11A1">
        <w:rPr>
          <w:lang w:val="en-US" w:eastAsia="zh-CN"/>
        </w:rPr>
        <w:tab/>
      </w:r>
      <w:r w:rsidRPr="006E3B9B">
        <w:rPr>
          <w:lang w:val="en-US" w:eastAsia="zh-CN"/>
        </w:rPr>
        <w:t>1964</w:t>
      </w:r>
      <w:r w:rsidRPr="006E3B9B">
        <w:rPr>
          <w:rFonts w:hint="eastAsia"/>
          <w:lang w:val="en-US" w:eastAsia="zh-CN"/>
        </w:rPr>
        <w:t>年</w:t>
      </w:r>
    </w:p>
    <w:p w14:paraId="4827BE28"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489</w:t>
      </w:r>
      <w:r w:rsidRPr="006E3B9B">
        <w:rPr>
          <w:lang w:val="en-US" w:eastAsia="zh-CN"/>
        </w:rPr>
        <w:t>号决议</w:t>
      </w:r>
      <w:r w:rsidRPr="006E3B9B">
        <w:rPr>
          <w:lang w:val="en-US" w:eastAsia="zh-CN"/>
        </w:rPr>
        <w:tab/>
      </w:r>
      <w:r w:rsidRPr="006E3B9B">
        <w:rPr>
          <w:lang w:eastAsia="zh-CN"/>
        </w:rPr>
        <w:t>1962</w:t>
      </w:r>
      <w:r w:rsidRPr="006E3B9B">
        <w:rPr>
          <w:rFonts w:hint="eastAsia"/>
          <w:lang w:eastAsia="zh-CN"/>
        </w:rPr>
        <w:t>年追加拨款</w:t>
      </w:r>
      <w:r w:rsidRPr="006E3B9B">
        <w:rPr>
          <w:lang w:val="en-US" w:eastAsia="zh-CN"/>
        </w:rPr>
        <w:tab/>
      </w:r>
      <w:r w:rsidR="003E11A1">
        <w:rPr>
          <w:lang w:val="en-US" w:eastAsia="zh-CN"/>
        </w:rPr>
        <w:tab/>
      </w:r>
      <w:r w:rsidRPr="006E3B9B">
        <w:rPr>
          <w:lang w:val="en-US" w:eastAsia="zh-CN"/>
        </w:rPr>
        <w:t>1964</w:t>
      </w:r>
      <w:r w:rsidRPr="006E3B9B">
        <w:rPr>
          <w:rFonts w:hint="eastAsia"/>
          <w:lang w:val="en-US" w:eastAsia="zh-CN"/>
        </w:rPr>
        <w:t>年</w:t>
      </w:r>
    </w:p>
    <w:p w14:paraId="4827BE29"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490</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1963</w:t>
      </w:r>
      <w:r w:rsidRPr="006E3B9B">
        <w:rPr>
          <w:rFonts w:hint="eastAsia"/>
          <w:lang w:eastAsia="zh-CN"/>
        </w:rPr>
        <w:t>年预算</w:t>
      </w:r>
      <w:r w:rsidRPr="006E3B9B">
        <w:rPr>
          <w:lang w:val="en-US" w:eastAsia="zh-CN"/>
        </w:rPr>
        <w:tab/>
      </w:r>
      <w:r w:rsidR="003E11A1">
        <w:rPr>
          <w:lang w:val="en-US" w:eastAsia="zh-CN"/>
        </w:rPr>
        <w:tab/>
      </w:r>
      <w:r w:rsidRPr="006E3B9B">
        <w:rPr>
          <w:lang w:val="en-US" w:eastAsia="zh-CN"/>
        </w:rPr>
        <w:t>1964</w:t>
      </w:r>
      <w:r w:rsidRPr="006E3B9B">
        <w:rPr>
          <w:rFonts w:hint="eastAsia"/>
          <w:lang w:val="en-US" w:eastAsia="zh-CN"/>
        </w:rPr>
        <w:t>年</w:t>
      </w:r>
    </w:p>
    <w:p w14:paraId="4827BE2A"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491</w:t>
      </w:r>
      <w:r w:rsidRPr="006E3B9B">
        <w:rPr>
          <w:lang w:val="en-US" w:eastAsia="zh-CN"/>
        </w:rPr>
        <w:t>号决议</w:t>
      </w:r>
      <w:r w:rsidRPr="006E3B9B">
        <w:rPr>
          <w:lang w:val="en-US" w:eastAsia="zh-CN"/>
        </w:rPr>
        <w:tab/>
      </w:r>
      <w:r w:rsidRPr="006E3B9B">
        <w:rPr>
          <w:rFonts w:hint="eastAsia"/>
          <w:lang w:eastAsia="zh-CN"/>
        </w:rPr>
        <w:t>电信发展融资</w:t>
      </w:r>
      <w:r w:rsidRPr="006E3B9B">
        <w:rPr>
          <w:lang w:val="en-US" w:eastAsia="zh-CN"/>
        </w:rPr>
        <w:tab/>
      </w:r>
      <w:r w:rsidR="003E11A1">
        <w:rPr>
          <w:lang w:val="en-US" w:eastAsia="zh-CN"/>
        </w:rPr>
        <w:tab/>
      </w:r>
      <w:r w:rsidRPr="006E3B9B">
        <w:rPr>
          <w:lang w:val="en-US" w:eastAsia="zh-CN"/>
        </w:rPr>
        <w:t>1999</w:t>
      </w:r>
      <w:r w:rsidRPr="006E3B9B">
        <w:rPr>
          <w:rFonts w:hint="eastAsia"/>
          <w:lang w:val="en-US" w:eastAsia="zh-CN"/>
        </w:rPr>
        <w:t>年</w:t>
      </w:r>
    </w:p>
    <w:p w14:paraId="4827BE2B"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492</w:t>
      </w:r>
      <w:r w:rsidRPr="006E3B9B">
        <w:rPr>
          <w:lang w:val="en-US" w:eastAsia="zh-CN"/>
        </w:rPr>
        <w:t>号决议</w:t>
      </w:r>
      <w:r w:rsidRPr="006E3B9B">
        <w:rPr>
          <w:lang w:val="en-US" w:eastAsia="zh-CN"/>
        </w:rPr>
        <w:tab/>
      </w:r>
      <w:r w:rsidRPr="006E3B9B">
        <w:rPr>
          <w:rFonts w:hint="eastAsia"/>
          <w:lang w:eastAsia="zh-CN"/>
        </w:rPr>
        <w:t>电子计算机的使用</w:t>
      </w:r>
      <w:r w:rsidRPr="006E3B9B">
        <w:rPr>
          <w:lang w:val="en-US" w:eastAsia="zh-CN"/>
        </w:rPr>
        <w:tab/>
      </w:r>
      <w:r w:rsidR="003E11A1">
        <w:rPr>
          <w:lang w:val="en-US" w:eastAsia="zh-CN"/>
        </w:rPr>
        <w:tab/>
      </w:r>
      <w:r w:rsidRPr="006E3B9B">
        <w:rPr>
          <w:lang w:val="en-US" w:eastAsia="zh-CN"/>
        </w:rPr>
        <w:t>1964</w:t>
      </w:r>
      <w:r w:rsidRPr="006E3B9B">
        <w:rPr>
          <w:rFonts w:hint="eastAsia"/>
          <w:lang w:val="en-US" w:eastAsia="zh-CN"/>
        </w:rPr>
        <w:t>年</w:t>
      </w:r>
    </w:p>
    <w:p w14:paraId="4827BE2C"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493</w:t>
      </w:r>
      <w:r w:rsidRPr="006E3B9B">
        <w:rPr>
          <w:lang w:val="en-US" w:eastAsia="zh-CN"/>
        </w:rPr>
        <w:t>号决议</w:t>
      </w:r>
      <w:r w:rsidRPr="006E3B9B">
        <w:rPr>
          <w:lang w:val="en-US" w:eastAsia="zh-CN"/>
        </w:rPr>
        <w:tab/>
      </w:r>
      <w:r w:rsidRPr="006E3B9B">
        <w:rPr>
          <w:rFonts w:hint="eastAsia"/>
          <w:lang w:eastAsia="zh-CN"/>
        </w:rPr>
        <w:t>国际电联各秘书处的机构设置</w:t>
      </w:r>
      <w:r w:rsidRPr="006E3B9B">
        <w:rPr>
          <w:lang w:val="en-US" w:eastAsia="zh-CN"/>
        </w:rPr>
        <w:tab/>
      </w:r>
      <w:r w:rsidR="003E11A1">
        <w:rPr>
          <w:lang w:val="en-US" w:eastAsia="zh-CN"/>
        </w:rPr>
        <w:tab/>
      </w:r>
      <w:r w:rsidRPr="006E3B9B">
        <w:rPr>
          <w:lang w:val="en-US" w:eastAsia="zh-CN"/>
        </w:rPr>
        <w:t>1964</w:t>
      </w:r>
      <w:r w:rsidRPr="006E3B9B">
        <w:rPr>
          <w:rFonts w:hint="eastAsia"/>
          <w:lang w:val="en-US" w:eastAsia="zh-CN"/>
        </w:rPr>
        <w:t>年</w:t>
      </w:r>
    </w:p>
    <w:p w14:paraId="4827BE2D"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494</w:t>
      </w:r>
      <w:r w:rsidRPr="006E3B9B">
        <w:rPr>
          <w:lang w:val="en-US" w:eastAsia="zh-CN"/>
        </w:rPr>
        <w:t>号决议</w:t>
      </w:r>
      <w:r w:rsidRPr="006E3B9B">
        <w:rPr>
          <w:lang w:val="en-US" w:eastAsia="zh-CN"/>
        </w:rPr>
        <w:tab/>
      </w:r>
      <w:r w:rsidRPr="006E3B9B">
        <w:rPr>
          <w:rFonts w:hint="eastAsia"/>
          <w:lang w:eastAsia="zh-CN"/>
        </w:rPr>
        <w:t>对无线电大会和无线电规则的结构可能做出的修改</w:t>
      </w:r>
      <w:r w:rsidRPr="006E3B9B">
        <w:rPr>
          <w:lang w:val="en-US" w:eastAsia="zh-CN"/>
        </w:rPr>
        <w:tab/>
      </w:r>
      <w:r w:rsidR="003E11A1">
        <w:rPr>
          <w:lang w:val="en-US" w:eastAsia="zh-CN"/>
        </w:rPr>
        <w:tab/>
      </w:r>
      <w:r w:rsidRPr="006E3B9B">
        <w:rPr>
          <w:lang w:val="en-US" w:eastAsia="zh-CN"/>
        </w:rPr>
        <w:t>1964</w:t>
      </w:r>
      <w:r w:rsidRPr="006E3B9B">
        <w:rPr>
          <w:rFonts w:hint="eastAsia"/>
          <w:lang w:val="en-US" w:eastAsia="zh-CN"/>
        </w:rPr>
        <w:t>年</w:t>
      </w:r>
    </w:p>
    <w:p w14:paraId="4827BE2E"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495</w:t>
      </w:r>
      <w:r w:rsidRPr="006E3B9B">
        <w:rPr>
          <w:lang w:val="en-US" w:eastAsia="zh-CN"/>
        </w:rPr>
        <w:t>号决议</w:t>
      </w:r>
      <w:r w:rsidRPr="006E3B9B">
        <w:rPr>
          <w:lang w:val="en-US" w:eastAsia="zh-CN"/>
        </w:rPr>
        <w:tab/>
      </w:r>
      <w:r w:rsidRPr="006E3B9B">
        <w:rPr>
          <w:rFonts w:hint="eastAsia"/>
          <w:lang w:eastAsia="zh-CN"/>
        </w:rPr>
        <w:t>为空间无线电通信划分频段的</w:t>
      </w:r>
      <w:r w:rsidRPr="006E3B9B">
        <w:rPr>
          <w:lang w:eastAsia="zh-CN"/>
        </w:rPr>
        <w:t>特别无线电行政大会</w:t>
      </w:r>
      <w:r w:rsidRPr="006E3B9B">
        <w:rPr>
          <w:lang w:val="en-US" w:eastAsia="zh-CN"/>
        </w:rPr>
        <w:tab/>
      </w:r>
      <w:r w:rsidR="003E11A1">
        <w:rPr>
          <w:lang w:val="en-US" w:eastAsia="zh-CN"/>
        </w:rPr>
        <w:tab/>
      </w:r>
      <w:r w:rsidRPr="006E3B9B">
        <w:rPr>
          <w:lang w:val="en-US" w:eastAsia="zh-CN"/>
        </w:rPr>
        <w:t>1964</w:t>
      </w:r>
      <w:r w:rsidRPr="006E3B9B">
        <w:rPr>
          <w:rFonts w:hint="eastAsia"/>
          <w:lang w:val="en-US" w:eastAsia="zh-CN"/>
        </w:rPr>
        <w:t>年</w:t>
      </w:r>
    </w:p>
    <w:p w14:paraId="4827BE2F"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496</w:t>
      </w:r>
      <w:r w:rsidRPr="006E3B9B">
        <w:rPr>
          <w:lang w:val="en-US" w:eastAsia="zh-CN"/>
        </w:rPr>
        <w:t>号决议</w:t>
      </w:r>
      <w:r w:rsidRPr="006E3B9B">
        <w:rPr>
          <w:lang w:val="en-US" w:eastAsia="zh-CN"/>
        </w:rPr>
        <w:tab/>
      </w:r>
      <w:r w:rsidRPr="006E3B9B">
        <w:rPr>
          <w:rFonts w:hint="eastAsia"/>
          <w:lang w:eastAsia="zh-CN"/>
        </w:rPr>
        <w:t>电信和外层空间的和平利用</w:t>
      </w:r>
      <w:r w:rsidRPr="006E3B9B">
        <w:rPr>
          <w:lang w:val="en-US" w:eastAsia="zh-CN"/>
        </w:rPr>
        <w:tab/>
      </w:r>
      <w:r w:rsidR="003E11A1">
        <w:rPr>
          <w:lang w:val="en-US" w:eastAsia="zh-CN"/>
        </w:rPr>
        <w:tab/>
      </w:r>
      <w:r w:rsidRPr="006E3B9B">
        <w:rPr>
          <w:lang w:val="en-US" w:eastAsia="zh-CN"/>
        </w:rPr>
        <w:t>1964</w:t>
      </w:r>
      <w:r w:rsidRPr="006E3B9B">
        <w:rPr>
          <w:rFonts w:hint="eastAsia"/>
          <w:lang w:val="en-US" w:eastAsia="zh-CN"/>
        </w:rPr>
        <w:t>年</w:t>
      </w:r>
    </w:p>
    <w:p w14:paraId="4827BE30"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497</w:t>
      </w:r>
      <w:r w:rsidRPr="006E3B9B">
        <w:rPr>
          <w:lang w:val="en-US" w:eastAsia="zh-CN"/>
        </w:rPr>
        <w:t>号决议</w:t>
      </w:r>
      <w:r w:rsidRPr="006E3B9B">
        <w:rPr>
          <w:lang w:val="en-US" w:eastAsia="zh-CN"/>
        </w:rPr>
        <w:tab/>
      </w:r>
      <w:r w:rsidRPr="006E3B9B">
        <w:rPr>
          <w:rFonts w:hint="eastAsia"/>
          <w:lang w:eastAsia="zh-CN"/>
        </w:rPr>
        <w:t>非洲广播大会</w:t>
      </w:r>
      <w:r w:rsidRPr="006E3B9B">
        <w:rPr>
          <w:lang w:val="en-US" w:eastAsia="zh-CN"/>
        </w:rPr>
        <w:tab/>
      </w:r>
      <w:r w:rsidR="003E11A1">
        <w:rPr>
          <w:lang w:val="en-US" w:eastAsia="zh-CN"/>
        </w:rPr>
        <w:tab/>
      </w:r>
      <w:r w:rsidRPr="006E3B9B">
        <w:rPr>
          <w:lang w:val="en-US" w:eastAsia="zh-CN"/>
        </w:rPr>
        <w:t>1967</w:t>
      </w:r>
      <w:r w:rsidRPr="006E3B9B">
        <w:rPr>
          <w:rFonts w:hint="eastAsia"/>
          <w:lang w:val="en-US" w:eastAsia="zh-CN"/>
        </w:rPr>
        <w:t>年</w:t>
      </w:r>
    </w:p>
    <w:p w14:paraId="4827BE31"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498</w:t>
      </w:r>
      <w:r w:rsidRPr="006E3B9B">
        <w:rPr>
          <w:lang w:val="en-US" w:eastAsia="zh-CN"/>
        </w:rPr>
        <w:t>号决议</w:t>
      </w:r>
      <w:r w:rsidRPr="006E3B9B">
        <w:rPr>
          <w:lang w:val="en-US" w:eastAsia="zh-CN"/>
        </w:rPr>
        <w:tab/>
      </w:r>
      <w:r w:rsidRPr="006E3B9B">
        <w:rPr>
          <w:rFonts w:hint="eastAsia"/>
          <w:lang w:eastAsia="zh-CN"/>
        </w:rPr>
        <w:t>世界各区域电信规划的制定</w:t>
      </w:r>
      <w:r w:rsidRPr="006E3B9B">
        <w:rPr>
          <w:lang w:val="en-US" w:eastAsia="zh-CN"/>
        </w:rPr>
        <w:tab/>
      </w:r>
      <w:r w:rsidR="003E11A1">
        <w:rPr>
          <w:lang w:val="en-US" w:eastAsia="zh-CN"/>
        </w:rPr>
        <w:tab/>
      </w:r>
      <w:r w:rsidRPr="006E3B9B">
        <w:rPr>
          <w:lang w:val="en-US" w:eastAsia="zh-CN"/>
        </w:rPr>
        <w:t>1970</w:t>
      </w:r>
      <w:r w:rsidRPr="006E3B9B">
        <w:rPr>
          <w:rFonts w:hint="eastAsia"/>
          <w:lang w:val="en-US" w:eastAsia="zh-CN"/>
        </w:rPr>
        <w:t>年</w:t>
      </w:r>
    </w:p>
    <w:p w14:paraId="4827BE32"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499</w:t>
      </w:r>
      <w:r w:rsidRPr="006E3B9B">
        <w:rPr>
          <w:lang w:val="en-US" w:eastAsia="zh-CN"/>
        </w:rPr>
        <w:t>号决议</w:t>
      </w:r>
      <w:r w:rsidRPr="006E3B9B">
        <w:rPr>
          <w:lang w:val="en-US" w:eastAsia="zh-CN"/>
        </w:rPr>
        <w:tab/>
      </w:r>
      <w:r w:rsidRPr="006E3B9B">
        <w:rPr>
          <w:rFonts w:hint="eastAsia"/>
          <w:lang w:eastAsia="zh-CN"/>
        </w:rPr>
        <w:t>对新兴国家或发展中国家的技术援助</w:t>
      </w:r>
      <w:r w:rsidRPr="006E3B9B">
        <w:rPr>
          <w:lang w:val="en-US" w:eastAsia="zh-CN"/>
        </w:rPr>
        <w:tab/>
      </w:r>
      <w:r w:rsidR="003E11A1">
        <w:rPr>
          <w:lang w:val="en-US" w:eastAsia="zh-CN"/>
        </w:rPr>
        <w:tab/>
      </w:r>
      <w:r w:rsidRPr="006E3B9B">
        <w:rPr>
          <w:lang w:val="en-US" w:eastAsia="zh-CN"/>
        </w:rPr>
        <w:t>1964</w:t>
      </w:r>
      <w:r w:rsidRPr="006E3B9B">
        <w:rPr>
          <w:rFonts w:hint="eastAsia"/>
          <w:lang w:val="en-US" w:eastAsia="zh-CN"/>
        </w:rPr>
        <w:t>年</w:t>
      </w:r>
    </w:p>
    <w:p w14:paraId="4827BE33"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500</w:t>
      </w:r>
      <w:r w:rsidRPr="006E3B9B">
        <w:rPr>
          <w:lang w:val="en-US" w:eastAsia="zh-CN"/>
        </w:rPr>
        <w:t>号决议</w:t>
      </w:r>
      <w:r w:rsidRPr="006E3B9B">
        <w:rPr>
          <w:lang w:val="en-US" w:eastAsia="zh-CN"/>
        </w:rPr>
        <w:tab/>
      </w:r>
      <w:r w:rsidRPr="006E3B9B">
        <w:rPr>
          <w:rFonts w:hint="eastAsia"/>
          <w:lang w:eastAsia="zh-CN"/>
        </w:rPr>
        <w:t>对新兴国家或发展中国家的实物技术援助</w:t>
      </w:r>
      <w:r w:rsidRPr="006E3B9B">
        <w:rPr>
          <w:lang w:val="en-US" w:eastAsia="zh-CN"/>
        </w:rPr>
        <w:tab/>
      </w:r>
      <w:r w:rsidR="003E11A1">
        <w:rPr>
          <w:lang w:val="en-US" w:eastAsia="zh-CN"/>
        </w:rPr>
        <w:tab/>
      </w:r>
      <w:r w:rsidRPr="006E3B9B">
        <w:rPr>
          <w:lang w:val="en-US" w:eastAsia="zh-CN"/>
        </w:rPr>
        <w:t>1964</w:t>
      </w:r>
      <w:r w:rsidRPr="006E3B9B">
        <w:rPr>
          <w:rFonts w:hint="eastAsia"/>
          <w:lang w:val="en-US" w:eastAsia="zh-CN"/>
        </w:rPr>
        <w:t>年</w:t>
      </w:r>
    </w:p>
    <w:p w14:paraId="4827BE34"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501</w:t>
      </w:r>
      <w:r w:rsidRPr="006E3B9B">
        <w:rPr>
          <w:lang w:val="en-US" w:eastAsia="zh-CN"/>
        </w:rPr>
        <w:t>号决议</w:t>
      </w:r>
      <w:r w:rsidRPr="006E3B9B">
        <w:rPr>
          <w:lang w:val="en-US" w:eastAsia="zh-CN"/>
        </w:rPr>
        <w:tab/>
      </w:r>
      <w:r w:rsidRPr="006E3B9B">
        <w:rPr>
          <w:rFonts w:hint="eastAsia"/>
          <w:lang w:eastAsia="zh-CN"/>
        </w:rPr>
        <w:t>庆祝国际电联成立</w:t>
      </w:r>
      <w:r w:rsidRPr="006E3B9B">
        <w:rPr>
          <w:lang w:eastAsia="zh-CN"/>
        </w:rPr>
        <w:t>100</w:t>
      </w:r>
      <w:r w:rsidRPr="006E3B9B">
        <w:rPr>
          <w:rFonts w:hint="eastAsia"/>
          <w:lang w:eastAsia="zh-CN"/>
        </w:rPr>
        <w:t>周年</w:t>
      </w:r>
      <w:r w:rsidRPr="006E3B9B">
        <w:rPr>
          <w:lang w:val="en-US" w:eastAsia="zh-CN"/>
        </w:rPr>
        <w:tab/>
      </w:r>
      <w:r w:rsidR="003E11A1">
        <w:rPr>
          <w:lang w:val="en-US" w:eastAsia="zh-CN"/>
        </w:rPr>
        <w:tab/>
      </w:r>
      <w:r w:rsidRPr="006E3B9B">
        <w:rPr>
          <w:lang w:val="en-US" w:eastAsia="zh-CN"/>
        </w:rPr>
        <w:t>1964</w:t>
      </w:r>
      <w:r w:rsidRPr="006E3B9B">
        <w:rPr>
          <w:rFonts w:hint="eastAsia"/>
          <w:lang w:val="en-US" w:eastAsia="zh-CN"/>
        </w:rPr>
        <w:t>年</w:t>
      </w:r>
    </w:p>
    <w:p w14:paraId="4827BE35" w14:textId="77777777" w:rsidR="006E3B9B" w:rsidRPr="006E3B9B" w:rsidRDefault="006E3B9B" w:rsidP="003E11A1">
      <w:pPr>
        <w:pStyle w:val="Reftitle"/>
        <w:rPr>
          <w:lang w:val="en-US" w:eastAsia="zh-CN"/>
        </w:rPr>
      </w:pPr>
      <w:r w:rsidRPr="006E3B9B">
        <w:rPr>
          <w:rFonts w:hint="eastAsia"/>
          <w:lang w:eastAsia="zh-CN"/>
        </w:rPr>
        <w:t>第</w:t>
      </w:r>
      <w:r w:rsidRPr="006E3B9B">
        <w:rPr>
          <w:lang w:eastAsia="zh-CN"/>
        </w:rPr>
        <w:t>18</w:t>
      </w:r>
      <w:r w:rsidRPr="006E3B9B">
        <w:rPr>
          <w:rFonts w:hint="eastAsia"/>
          <w:lang w:eastAsia="zh-CN"/>
        </w:rPr>
        <w:t>届会议</w:t>
      </w:r>
      <w:r w:rsidRPr="006E3B9B">
        <w:rPr>
          <w:lang w:eastAsia="zh-CN"/>
        </w:rPr>
        <w:t>（</w:t>
      </w:r>
      <w:r w:rsidRPr="006E3B9B">
        <w:rPr>
          <w:lang w:eastAsia="zh-CN"/>
        </w:rPr>
        <w:t>1963</w:t>
      </w:r>
      <w:r w:rsidRPr="006E3B9B">
        <w:rPr>
          <w:rFonts w:hint="eastAsia"/>
          <w:lang w:eastAsia="zh-CN"/>
        </w:rPr>
        <w:t>年</w:t>
      </w:r>
      <w:r w:rsidRPr="006E3B9B">
        <w:rPr>
          <w:lang w:eastAsia="zh-CN"/>
        </w:rPr>
        <w:t>4</w:t>
      </w:r>
      <w:r w:rsidRPr="006E3B9B">
        <w:rPr>
          <w:rFonts w:hint="eastAsia"/>
          <w:lang w:eastAsia="zh-CN"/>
        </w:rPr>
        <w:t>月</w:t>
      </w:r>
      <w:r w:rsidRPr="006E3B9B">
        <w:rPr>
          <w:lang w:eastAsia="zh-CN"/>
        </w:rPr>
        <w:t>-5</w:t>
      </w:r>
      <w:r w:rsidRPr="006E3B9B">
        <w:rPr>
          <w:rFonts w:hint="eastAsia"/>
          <w:lang w:eastAsia="zh-CN"/>
        </w:rPr>
        <w:t>月</w:t>
      </w:r>
      <w:r w:rsidRPr="006E3B9B">
        <w:rPr>
          <w:lang w:eastAsia="zh-CN"/>
        </w:rPr>
        <w:t>）</w:t>
      </w:r>
    </w:p>
    <w:p w14:paraId="4827BE36"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502</w:t>
      </w:r>
      <w:r w:rsidRPr="006E3B9B">
        <w:rPr>
          <w:lang w:val="en-US" w:eastAsia="zh-CN"/>
        </w:rPr>
        <w:t>号决议</w:t>
      </w:r>
      <w:r w:rsidRPr="006E3B9B">
        <w:rPr>
          <w:lang w:val="en-US" w:eastAsia="zh-CN"/>
        </w:rPr>
        <w:tab/>
      </w:r>
      <w:r w:rsidRPr="006E3B9B">
        <w:rPr>
          <w:rFonts w:hint="eastAsia"/>
          <w:lang w:eastAsia="zh-CN"/>
        </w:rPr>
        <w:t>行政理事的生活补贴</w:t>
      </w:r>
      <w:r w:rsidR="003E11A1">
        <w:rPr>
          <w:lang w:eastAsia="zh-CN"/>
        </w:rPr>
        <w:tab/>
      </w:r>
      <w:r w:rsidRPr="006E3B9B">
        <w:rPr>
          <w:lang w:val="en-US" w:eastAsia="zh-CN"/>
        </w:rPr>
        <w:tab/>
        <w:t>1966</w:t>
      </w:r>
      <w:r w:rsidRPr="006E3B9B">
        <w:rPr>
          <w:rFonts w:hint="eastAsia"/>
          <w:lang w:val="en-US" w:eastAsia="zh-CN"/>
        </w:rPr>
        <w:t>年</w:t>
      </w:r>
    </w:p>
    <w:p w14:paraId="4827BE37"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503</w:t>
      </w:r>
      <w:r w:rsidRPr="006E3B9B">
        <w:rPr>
          <w:lang w:val="en-US" w:eastAsia="zh-CN"/>
        </w:rPr>
        <w:t>号决议</w:t>
      </w:r>
      <w:r w:rsidRPr="006E3B9B">
        <w:rPr>
          <w:lang w:val="en-US" w:eastAsia="zh-CN"/>
        </w:rPr>
        <w:tab/>
      </w:r>
      <w:r w:rsidRPr="006E3B9B">
        <w:rPr>
          <w:rFonts w:hint="eastAsia"/>
          <w:lang w:val="en-US" w:eastAsia="zh-CN"/>
        </w:rPr>
        <w:t>适用于</w:t>
      </w:r>
      <w:r w:rsidRPr="006E3B9B">
        <w:rPr>
          <w:rFonts w:hint="eastAsia"/>
          <w:lang w:eastAsia="zh-CN"/>
        </w:rPr>
        <w:t>选任官员的临时《人事规则》</w:t>
      </w:r>
      <w:r w:rsidR="003E11A1">
        <w:rPr>
          <w:lang w:eastAsia="zh-CN"/>
        </w:rPr>
        <w:tab/>
      </w:r>
      <w:r w:rsidRPr="006E3B9B">
        <w:rPr>
          <w:lang w:val="en-US" w:eastAsia="zh-CN"/>
        </w:rPr>
        <w:tab/>
        <w:t>1966</w:t>
      </w:r>
      <w:r w:rsidRPr="006E3B9B">
        <w:rPr>
          <w:rFonts w:hint="eastAsia"/>
          <w:lang w:val="en-US" w:eastAsia="zh-CN"/>
        </w:rPr>
        <w:t>年</w:t>
      </w:r>
    </w:p>
    <w:p w14:paraId="4827BE38"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504</w:t>
      </w:r>
      <w:r w:rsidRPr="006E3B9B">
        <w:rPr>
          <w:lang w:val="en-US" w:eastAsia="zh-CN"/>
        </w:rPr>
        <w:t>号决议</w:t>
      </w:r>
      <w:r w:rsidRPr="006E3B9B">
        <w:rPr>
          <w:lang w:val="en-US" w:eastAsia="zh-CN"/>
        </w:rPr>
        <w:tab/>
      </w:r>
      <w:r w:rsidRPr="006E3B9B">
        <w:rPr>
          <w:rFonts w:hint="eastAsia"/>
          <w:lang w:eastAsia="zh-CN"/>
        </w:rPr>
        <w:t>适用于日内瓦的任职地点补贴调整数的等级</w:t>
      </w:r>
      <w:r w:rsidR="003E11A1">
        <w:rPr>
          <w:lang w:eastAsia="zh-CN"/>
        </w:rPr>
        <w:tab/>
      </w:r>
      <w:r w:rsidRPr="006E3B9B">
        <w:rPr>
          <w:lang w:val="en-US" w:eastAsia="zh-CN"/>
        </w:rPr>
        <w:tab/>
        <w:t>1964</w:t>
      </w:r>
      <w:r w:rsidRPr="006E3B9B">
        <w:rPr>
          <w:rFonts w:hint="eastAsia"/>
          <w:lang w:val="en-US" w:eastAsia="zh-CN"/>
        </w:rPr>
        <w:t>年</w:t>
      </w:r>
    </w:p>
    <w:p w14:paraId="4827BE39"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505</w:t>
      </w:r>
      <w:r w:rsidRPr="006E3B9B">
        <w:rPr>
          <w:lang w:val="en-US" w:eastAsia="zh-CN"/>
        </w:rPr>
        <w:t>号决议</w:t>
      </w:r>
      <w:r w:rsidRPr="006E3B9B">
        <w:rPr>
          <w:lang w:val="en-US" w:eastAsia="zh-CN"/>
        </w:rPr>
        <w:tab/>
      </w:r>
      <w:r w:rsidRPr="006E3B9B">
        <w:rPr>
          <w:rFonts w:hint="eastAsia"/>
          <w:lang w:eastAsia="zh-CN"/>
        </w:rPr>
        <w:t>一般事务职类职员薪金表的调整</w:t>
      </w:r>
      <w:r w:rsidR="003E11A1">
        <w:rPr>
          <w:lang w:eastAsia="zh-CN"/>
        </w:rPr>
        <w:tab/>
      </w:r>
      <w:r w:rsidRPr="006E3B9B">
        <w:rPr>
          <w:lang w:val="en-US" w:eastAsia="zh-CN"/>
        </w:rPr>
        <w:tab/>
        <w:t>1969</w:t>
      </w:r>
      <w:r w:rsidRPr="006E3B9B">
        <w:rPr>
          <w:rFonts w:hint="eastAsia"/>
          <w:lang w:val="en-US" w:eastAsia="zh-CN"/>
        </w:rPr>
        <w:t>年</w:t>
      </w:r>
    </w:p>
    <w:p w14:paraId="4827BE3A"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506</w:t>
      </w:r>
      <w:r w:rsidRPr="006E3B9B">
        <w:rPr>
          <w:lang w:val="en-US" w:eastAsia="zh-CN"/>
        </w:rPr>
        <w:t>号决议</w:t>
      </w:r>
      <w:r w:rsidRPr="006E3B9B">
        <w:rPr>
          <w:lang w:val="en-US" w:eastAsia="zh-CN"/>
        </w:rPr>
        <w:tab/>
      </w:r>
      <w:r w:rsidRPr="006E3B9B">
        <w:rPr>
          <w:rFonts w:hint="eastAsia"/>
          <w:lang w:val="en-US" w:eastAsia="zh-CN"/>
        </w:rPr>
        <w:t>国际</w:t>
      </w:r>
      <w:r w:rsidRPr="006E3B9B">
        <w:rPr>
          <w:rFonts w:hint="eastAsia"/>
          <w:lang w:eastAsia="zh-CN"/>
        </w:rPr>
        <w:t>电联退休人员生活费补贴的提高</w:t>
      </w:r>
      <w:r w:rsidR="003E11A1">
        <w:rPr>
          <w:lang w:eastAsia="zh-CN"/>
        </w:rPr>
        <w:tab/>
      </w:r>
      <w:r w:rsidRPr="006E3B9B">
        <w:rPr>
          <w:lang w:val="en-US" w:eastAsia="zh-CN"/>
        </w:rPr>
        <w:tab/>
        <w:t>1966</w:t>
      </w:r>
      <w:r w:rsidRPr="006E3B9B">
        <w:rPr>
          <w:rFonts w:hint="eastAsia"/>
          <w:lang w:val="en-US" w:eastAsia="zh-CN"/>
        </w:rPr>
        <w:t>年</w:t>
      </w:r>
    </w:p>
    <w:p w14:paraId="4827BE3B"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507</w:t>
      </w:r>
      <w:r w:rsidRPr="006E3B9B">
        <w:rPr>
          <w:lang w:val="en-US" w:eastAsia="zh-CN"/>
        </w:rPr>
        <w:t>号决议</w:t>
      </w:r>
      <w:r w:rsidRPr="006E3B9B">
        <w:rPr>
          <w:lang w:val="en-US" w:eastAsia="zh-CN"/>
        </w:rPr>
        <w:tab/>
      </w:r>
      <w:r w:rsidRPr="006E3B9B">
        <w:rPr>
          <w:rFonts w:hint="eastAsia"/>
          <w:lang w:val="en-US" w:eastAsia="zh-CN"/>
        </w:rPr>
        <w:t>国际</w:t>
      </w:r>
      <w:r w:rsidRPr="006E3B9B">
        <w:rPr>
          <w:rFonts w:hint="eastAsia"/>
          <w:lang w:eastAsia="zh-CN"/>
        </w:rPr>
        <w:t>电联职员的地域分配</w:t>
      </w:r>
      <w:r w:rsidR="003E11A1">
        <w:rPr>
          <w:lang w:eastAsia="zh-CN"/>
        </w:rPr>
        <w:tab/>
      </w:r>
      <w:r w:rsidRPr="006E3B9B">
        <w:rPr>
          <w:lang w:val="en-US" w:eastAsia="zh-CN"/>
        </w:rPr>
        <w:tab/>
        <w:t>1966</w:t>
      </w:r>
      <w:r w:rsidRPr="006E3B9B">
        <w:rPr>
          <w:rFonts w:hint="eastAsia"/>
          <w:lang w:val="en-US" w:eastAsia="zh-CN"/>
        </w:rPr>
        <w:t>年</w:t>
      </w:r>
    </w:p>
    <w:p w14:paraId="4827BE3C"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508</w:t>
      </w:r>
      <w:r w:rsidRPr="006E3B9B">
        <w:rPr>
          <w:lang w:val="en-US" w:eastAsia="zh-CN"/>
        </w:rPr>
        <w:t>号决议</w:t>
      </w:r>
      <w:r w:rsidRPr="006E3B9B">
        <w:rPr>
          <w:lang w:val="en-US" w:eastAsia="zh-CN"/>
        </w:rPr>
        <w:tab/>
      </w:r>
      <w:r w:rsidRPr="006E3B9B">
        <w:rPr>
          <w:rFonts w:hint="eastAsia"/>
          <w:lang w:eastAsia="zh-CN"/>
        </w:rPr>
        <w:t>当地招聘</w:t>
      </w:r>
      <w:r w:rsidRPr="006E3B9B">
        <w:rPr>
          <w:lang w:val="en-US" w:eastAsia="zh-CN"/>
        </w:rPr>
        <w:tab/>
      </w:r>
      <w:r w:rsidR="003E11A1">
        <w:rPr>
          <w:lang w:val="en-US" w:eastAsia="zh-CN"/>
        </w:rPr>
        <w:tab/>
      </w:r>
      <w:r w:rsidRPr="006E3B9B">
        <w:rPr>
          <w:lang w:val="en-US" w:eastAsia="zh-CN"/>
        </w:rPr>
        <w:t>1964</w:t>
      </w:r>
      <w:r w:rsidRPr="006E3B9B">
        <w:rPr>
          <w:rFonts w:hint="eastAsia"/>
          <w:lang w:val="en-US" w:eastAsia="zh-CN"/>
        </w:rPr>
        <w:t>年</w:t>
      </w:r>
    </w:p>
    <w:p w14:paraId="4827BE3D"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509</w:t>
      </w:r>
      <w:r w:rsidRPr="006E3B9B">
        <w:rPr>
          <w:lang w:val="en-US" w:eastAsia="zh-CN"/>
        </w:rPr>
        <w:t>号决议</w:t>
      </w:r>
      <w:r w:rsidRPr="006E3B9B">
        <w:rPr>
          <w:lang w:val="en-US" w:eastAsia="zh-CN"/>
        </w:rPr>
        <w:tab/>
      </w:r>
      <w:r w:rsidRPr="006E3B9B">
        <w:rPr>
          <w:rFonts w:hint="eastAsia"/>
          <w:lang w:eastAsia="zh-CN"/>
        </w:rPr>
        <w:t>在通常招聘地区以外挑选非技术性</w:t>
      </w:r>
      <w:r w:rsidRPr="006E3B9B">
        <w:rPr>
          <w:lang w:eastAsia="zh-CN"/>
        </w:rPr>
        <w:t>G5</w:t>
      </w:r>
      <w:r w:rsidRPr="006E3B9B">
        <w:rPr>
          <w:rFonts w:hint="eastAsia"/>
          <w:lang w:eastAsia="zh-CN"/>
        </w:rPr>
        <w:t>、</w:t>
      </w:r>
      <w:r w:rsidRPr="006E3B9B">
        <w:rPr>
          <w:lang w:eastAsia="zh-CN"/>
        </w:rPr>
        <w:t>G6</w:t>
      </w:r>
      <w:r w:rsidRPr="006E3B9B">
        <w:rPr>
          <w:rFonts w:hint="eastAsia"/>
          <w:lang w:eastAsia="zh-CN"/>
        </w:rPr>
        <w:t>和</w:t>
      </w:r>
      <w:r w:rsidRPr="006E3B9B">
        <w:rPr>
          <w:lang w:eastAsia="zh-CN"/>
        </w:rPr>
        <w:t>G7</w:t>
      </w:r>
      <w:r w:rsidRPr="006E3B9B">
        <w:rPr>
          <w:rFonts w:hint="eastAsia"/>
          <w:lang w:eastAsia="zh-CN"/>
        </w:rPr>
        <w:t>职员</w:t>
      </w:r>
      <w:r w:rsidR="003E11A1">
        <w:rPr>
          <w:lang w:eastAsia="zh-CN"/>
        </w:rPr>
        <w:tab/>
      </w:r>
      <w:r w:rsidRPr="006E3B9B">
        <w:rPr>
          <w:lang w:val="en-US" w:eastAsia="zh-CN"/>
        </w:rPr>
        <w:tab/>
        <w:t>1964</w:t>
      </w:r>
      <w:r w:rsidRPr="006E3B9B">
        <w:rPr>
          <w:rFonts w:hint="eastAsia"/>
          <w:lang w:val="en-US" w:eastAsia="zh-CN"/>
        </w:rPr>
        <w:t>年</w:t>
      </w:r>
    </w:p>
    <w:p w14:paraId="4827BE3E"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510</w:t>
      </w:r>
      <w:r w:rsidRPr="006E3B9B">
        <w:rPr>
          <w:lang w:val="en-US" w:eastAsia="zh-CN"/>
        </w:rPr>
        <w:t>号决议</w:t>
      </w:r>
      <w:r w:rsidRPr="006E3B9B">
        <w:rPr>
          <w:lang w:val="en-US" w:eastAsia="zh-CN"/>
        </w:rPr>
        <w:tab/>
      </w:r>
      <w:r w:rsidRPr="006E3B9B">
        <w:rPr>
          <w:rFonts w:hint="eastAsia"/>
          <w:lang w:eastAsia="zh-CN"/>
        </w:rPr>
        <w:t>职位的设立</w:t>
      </w:r>
      <w:r w:rsidRPr="006E3B9B">
        <w:rPr>
          <w:lang w:val="en-US" w:eastAsia="zh-CN"/>
        </w:rPr>
        <w:tab/>
      </w:r>
      <w:r w:rsidR="003E11A1">
        <w:rPr>
          <w:lang w:val="en-US" w:eastAsia="zh-CN"/>
        </w:rPr>
        <w:tab/>
      </w:r>
      <w:r w:rsidRPr="006E3B9B">
        <w:rPr>
          <w:lang w:val="en-US" w:eastAsia="zh-CN"/>
        </w:rPr>
        <w:t>1966</w:t>
      </w:r>
      <w:r w:rsidRPr="006E3B9B">
        <w:rPr>
          <w:rFonts w:hint="eastAsia"/>
          <w:lang w:val="en-US" w:eastAsia="zh-CN"/>
        </w:rPr>
        <w:t>年</w:t>
      </w:r>
    </w:p>
    <w:p w14:paraId="4827BE3F"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511</w:t>
      </w:r>
      <w:r w:rsidRPr="006E3B9B">
        <w:rPr>
          <w:lang w:val="en-US" w:eastAsia="zh-CN"/>
        </w:rPr>
        <w:t>号决议</w:t>
      </w:r>
      <w:r w:rsidRPr="006E3B9B">
        <w:rPr>
          <w:lang w:val="en-US" w:eastAsia="zh-CN"/>
        </w:rPr>
        <w:tab/>
      </w:r>
      <w:r w:rsidRPr="006E3B9B">
        <w:rPr>
          <w:rFonts w:hint="eastAsia"/>
          <w:lang w:eastAsia="zh-CN"/>
        </w:rPr>
        <w:t>职位的重新定级</w:t>
      </w:r>
      <w:r w:rsidRPr="006E3B9B">
        <w:rPr>
          <w:lang w:val="en-US" w:eastAsia="zh-CN"/>
        </w:rPr>
        <w:tab/>
      </w:r>
      <w:r w:rsidR="003E11A1">
        <w:rPr>
          <w:lang w:val="en-US" w:eastAsia="zh-CN"/>
        </w:rPr>
        <w:tab/>
      </w:r>
      <w:r w:rsidRPr="006E3B9B">
        <w:rPr>
          <w:lang w:val="en-US" w:eastAsia="zh-CN"/>
        </w:rPr>
        <w:t>1964</w:t>
      </w:r>
      <w:r w:rsidRPr="006E3B9B">
        <w:rPr>
          <w:rFonts w:hint="eastAsia"/>
          <w:lang w:val="en-US" w:eastAsia="zh-CN"/>
        </w:rPr>
        <w:t>年</w:t>
      </w:r>
    </w:p>
    <w:p w14:paraId="4827BE40"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512</w:t>
      </w:r>
      <w:r w:rsidRPr="006E3B9B">
        <w:rPr>
          <w:lang w:val="en-US" w:eastAsia="zh-CN"/>
        </w:rPr>
        <w:t>号决议</w:t>
      </w:r>
      <w:r w:rsidRPr="006E3B9B">
        <w:rPr>
          <w:lang w:val="en-US" w:eastAsia="zh-CN"/>
        </w:rPr>
        <w:tab/>
      </w:r>
      <w:r w:rsidRPr="006E3B9B">
        <w:rPr>
          <w:rFonts w:hint="eastAsia"/>
          <w:lang w:eastAsia="zh-CN"/>
        </w:rPr>
        <w:t>国际电联职员养恤金委员会的委员</w:t>
      </w:r>
      <w:r w:rsidRPr="006E3B9B">
        <w:rPr>
          <w:lang w:val="en-US" w:eastAsia="zh-CN"/>
        </w:rPr>
        <w:tab/>
      </w:r>
      <w:r w:rsidR="003E11A1">
        <w:rPr>
          <w:lang w:val="en-US" w:eastAsia="zh-CN"/>
        </w:rPr>
        <w:tab/>
      </w:r>
      <w:r w:rsidRPr="006E3B9B">
        <w:rPr>
          <w:lang w:val="en-US" w:eastAsia="zh-CN"/>
        </w:rPr>
        <w:t>1964</w:t>
      </w:r>
      <w:r w:rsidRPr="006E3B9B">
        <w:rPr>
          <w:rFonts w:hint="eastAsia"/>
          <w:lang w:val="en-US" w:eastAsia="zh-CN"/>
        </w:rPr>
        <w:t>年</w:t>
      </w:r>
    </w:p>
    <w:p w14:paraId="4827BE41"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513</w:t>
      </w:r>
      <w:r w:rsidRPr="006E3B9B">
        <w:rPr>
          <w:lang w:val="en-US" w:eastAsia="zh-CN"/>
        </w:rPr>
        <w:t>号决议</w:t>
      </w:r>
      <w:r w:rsidRPr="006E3B9B">
        <w:rPr>
          <w:lang w:val="en-US" w:eastAsia="zh-CN"/>
        </w:rPr>
        <w:tab/>
      </w:r>
      <w:r w:rsidRPr="006E3B9B">
        <w:rPr>
          <w:rFonts w:hint="eastAsia"/>
          <w:lang w:val="en-US" w:eastAsia="zh-CN"/>
        </w:rPr>
        <w:t>国际</w:t>
      </w:r>
      <w:r w:rsidRPr="006E3B9B">
        <w:rPr>
          <w:rFonts w:hint="eastAsia"/>
          <w:lang w:eastAsia="zh-CN"/>
        </w:rPr>
        <w:t>电联职员退休和福利基金管理委员会的成员</w:t>
      </w:r>
      <w:r w:rsidRPr="006E3B9B">
        <w:rPr>
          <w:lang w:val="en-US" w:eastAsia="zh-CN"/>
        </w:rPr>
        <w:tab/>
      </w:r>
      <w:r w:rsidR="003E11A1">
        <w:rPr>
          <w:lang w:val="en-US" w:eastAsia="zh-CN"/>
        </w:rPr>
        <w:tab/>
      </w:r>
      <w:r w:rsidRPr="006E3B9B">
        <w:rPr>
          <w:lang w:val="en-US" w:eastAsia="zh-CN"/>
        </w:rPr>
        <w:t>1964</w:t>
      </w:r>
      <w:r w:rsidRPr="006E3B9B">
        <w:rPr>
          <w:rFonts w:hint="eastAsia"/>
          <w:lang w:val="en-US" w:eastAsia="zh-CN"/>
        </w:rPr>
        <w:t>年</w:t>
      </w:r>
    </w:p>
    <w:p w14:paraId="4827BE42"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514</w:t>
      </w:r>
      <w:r w:rsidRPr="006E3B9B">
        <w:rPr>
          <w:lang w:val="en-US" w:eastAsia="zh-CN"/>
        </w:rPr>
        <w:t>号决议</w:t>
      </w:r>
      <w:r w:rsidRPr="006E3B9B">
        <w:rPr>
          <w:lang w:val="en-US" w:eastAsia="zh-CN"/>
        </w:rPr>
        <w:tab/>
      </w:r>
      <w:r w:rsidRPr="006E3B9B">
        <w:rPr>
          <w:rFonts w:hint="eastAsia"/>
          <w:lang w:eastAsia="zh-CN"/>
        </w:rPr>
        <w:t>《财务规则》第</w:t>
      </w:r>
      <w:r w:rsidRPr="006E3B9B">
        <w:rPr>
          <w:lang w:eastAsia="zh-CN"/>
        </w:rPr>
        <w:t>18.1</w:t>
      </w:r>
      <w:r w:rsidRPr="006E3B9B">
        <w:rPr>
          <w:rFonts w:hint="eastAsia"/>
          <w:lang w:eastAsia="zh-CN"/>
        </w:rPr>
        <w:t>条的修正</w:t>
      </w:r>
      <w:r w:rsidRPr="006E3B9B">
        <w:rPr>
          <w:lang w:val="en-US" w:eastAsia="zh-CN"/>
        </w:rPr>
        <w:tab/>
      </w:r>
      <w:r w:rsidR="003E11A1">
        <w:rPr>
          <w:lang w:val="en-US" w:eastAsia="zh-CN"/>
        </w:rPr>
        <w:tab/>
      </w:r>
      <w:r w:rsidRPr="006E3B9B">
        <w:rPr>
          <w:lang w:val="en-US" w:eastAsia="zh-CN"/>
        </w:rPr>
        <w:t>1964</w:t>
      </w:r>
      <w:r w:rsidRPr="006E3B9B">
        <w:rPr>
          <w:rFonts w:hint="eastAsia"/>
          <w:lang w:val="en-US" w:eastAsia="zh-CN"/>
        </w:rPr>
        <w:t>年</w:t>
      </w:r>
    </w:p>
    <w:p w14:paraId="4827BE43"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515</w:t>
      </w:r>
      <w:r w:rsidRPr="006E3B9B">
        <w:rPr>
          <w:lang w:val="en-US" w:eastAsia="zh-CN"/>
        </w:rPr>
        <w:t>号决议</w:t>
      </w:r>
      <w:r w:rsidRPr="006E3B9B">
        <w:rPr>
          <w:lang w:val="en-US" w:eastAsia="zh-CN"/>
        </w:rPr>
        <w:tab/>
      </w:r>
      <w:r w:rsidRPr="006E3B9B">
        <w:rPr>
          <w:lang w:eastAsia="zh-CN"/>
        </w:rPr>
        <w:t>1962</w:t>
      </w:r>
      <w:r w:rsidRPr="006E3B9B">
        <w:rPr>
          <w:rFonts w:hint="eastAsia"/>
          <w:lang w:eastAsia="zh-CN"/>
        </w:rPr>
        <w:t>年财务工作报告</w:t>
      </w:r>
      <w:r w:rsidRPr="006E3B9B">
        <w:rPr>
          <w:lang w:val="en-US" w:eastAsia="zh-CN"/>
        </w:rPr>
        <w:tab/>
      </w:r>
      <w:r w:rsidR="003E11A1">
        <w:rPr>
          <w:lang w:val="en-US" w:eastAsia="zh-CN"/>
        </w:rPr>
        <w:tab/>
      </w:r>
      <w:r w:rsidRPr="006E3B9B">
        <w:rPr>
          <w:lang w:val="en-US" w:eastAsia="zh-CN"/>
        </w:rPr>
        <w:t>1964</w:t>
      </w:r>
      <w:r w:rsidRPr="006E3B9B">
        <w:rPr>
          <w:rFonts w:hint="eastAsia"/>
          <w:lang w:val="en-US" w:eastAsia="zh-CN"/>
        </w:rPr>
        <w:t>年</w:t>
      </w:r>
    </w:p>
    <w:p w14:paraId="4827BE44"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516</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1962</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1</w:t>
      </w:r>
      <w:r w:rsidRPr="006E3B9B">
        <w:rPr>
          <w:rFonts w:hint="eastAsia"/>
          <w:lang w:eastAsia="zh-CN"/>
        </w:rPr>
        <w:t>日</w:t>
      </w:r>
      <w:r w:rsidRPr="006E3B9B">
        <w:rPr>
          <w:lang w:eastAsia="zh-CN"/>
        </w:rPr>
        <w:t>-12</w:t>
      </w:r>
      <w:r w:rsidRPr="006E3B9B">
        <w:rPr>
          <w:rFonts w:hint="eastAsia"/>
          <w:lang w:eastAsia="zh-CN"/>
        </w:rPr>
        <w:t>月</w:t>
      </w:r>
      <w:r w:rsidRPr="006E3B9B">
        <w:rPr>
          <w:lang w:eastAsia="zh-CN"/>
        </w:rPr>
        <w:t>31</w:t>
      </w:r>
      <w:r w:rsidRPr="006E3B9B">
        <w:rPr>
          <w:rFonts w:hint="eastAsia"/>
          <w:lang w:eastAsia="zh-CN"/>
        </w:rPr>
        <w:t>日账目的外部审计</w:t>
      </w:r>
      <w:r w:rsidRPr="006E3B9B">
        <w:rPr>
          <w:lang w:val="en-US" w:eastAsia="zh-CN"/>
        </w:rPr>
        <w:tab/>
      </w:r>
      <w:r w:rsidR="003E11A1">
        <w:rPr>
          <w:lang w:val="en-US" w:eastAsia="zh-CN"/>
        </w:rPr>
        <w:tab/>
      </w:r>
      <w:r w:rsidRPr="006E3B9B">
        <w:rPr>
          <w:lang w:val="en-US" w:eastAsia="zh-CN"/>
        </w:rPr>
        <w:t>1964</w:t>
      </w:r>
      <w:r w:rsidRPr="006E3B9B">
        <w:rPr>
          <w:rFonts w:hint="eastAsia"/>
          <w:lang w:val="en-US" w:eastAsia="zh-CN"/>
        </w:rPr>
        <w:t>年</w:t>
      </w:r>
    </w:p>
    <w:p w14:paraId="4827BE45"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517</w:t>
      </w:r>
      <w:r w:rsidRPr="006E3B9B">
        <w:rPr>
          <w:lang w:val="en-US" w:eastAsia="zh-CN"/>
        </w:rPr>
        <w:t>号决议</w:t>
      </w:r>
      <w:r w:rsidRPr="006E3B9B">
        <w:rPr>
          <w:lang w:val="en-US" w:eastAsia="zh-CN"/>
        </w:rPr>
        <w:tab/>
      </w:r>
      <w:r w:rsidRPr="006E3B9B">
        <w:rPr>
          <w:rFonts w:hint="eastAsia"/>
          <w:lang w:eastAsia="zh-CN"/>
        </w:rPr>
        <w:t>欠款账目</w:t>
      </w:r>
      <w:r w:rsidR="003E11A1">
        <w:rPr>
          <w:lang w:eastAsia="zh-CN"/>
        </w:rPr>
        <w:tab/>
      </w:r>
      <w:r w:rsidRPr="006E3B9B">
        <w:rPr>
          <w:lang w:val="en-US" w:eastAsia="zh-CN"/>
        </w:rPr>
        <w:tab/>
        <w:t>1964</w:t>
      </w:r>
      <w:r w:rsidRPr="006E3B9B">
        <w:rPr>
          <w:rFonts w:hint="eastAsia"/>
          <w:lang w:val="en-US" w:eastAsia="zh-CN"/>
        </w:rPr>
        <w:t>年</w:t>
      </w:r>
    </w:p>
    <w:p w14:paraId="4827BE46"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518</w:t>
      </w:r>
      <w:r w:rsidRPr="006E3B9B">
        <w:rPr>
          <w:lang w:val="en-US" w:eastAsia="zh-CN"/>
        </w:rPr>
        <w:t>号决议</w:t>
      </w:r>
      <w:r w:rsidRPr="006E3B9B">
        <w:rPr>
          <w:lang w:val="en-US" w:eastAsia="zh-CN"/>
        </w:rPr>
        <w:tab/>
      </w:r>
      <w:r w:rsidRPr="006E3B9B">
        <w:rPr>
          <w:lang w:eastAsia="zh-CN"/>
        </w:rPr>
        <w:t>1963</w:t>
      </w:r>
      <w:r w:rsidRPr="006E3B9B">
        <w:rPr>
          <w:rFonts w:hint="eastAsia"/>
          <w:lang w:eastAsia="zh-CN"/>
        </w:rPr>
        <w:t>年的追加拨款</w:t>
      </w:r>
      <w:r w:rsidR="003E11A1">
        <w:rPr>
          <w:lang w:eastAsia="zh-CN"/>
        </w:rPr>
        <w:tab/>
      </w:r>
      <w:r w:rsidRPr="006E3B9B">
        <w:rPr>
          <w:lang w:val="en-US" w:eastAsia="zh-CN"/>
        </w:rPr>
        <w:tab/>
        <w:t>1964</w:t>
      </w:r>
      <w:r w:rsidRPr="006E3B9B">
        <w:rPr>
          <w:rFonts w:hint="eastAsia"/>
          <w:lang w:val="en-US" w:eastAsia="zh-CN"/>
        </w:rPr>
        <w:t>年</w:t>
      </w:r>
    </w:p>
    <w:p w14:paraId="4827BE47"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519</w:t>
      </w:r>
      <w:r w:rsidRPr="006E3B9B">
        <w:rPr>
          <w:lang w:val="en-US" w:eastAsia="zh-CN"/>
        </w:rPr>
        <w:t>号决议</w:t>
      </w:r>
      <w:r w:rsidRPr="006E3B9B">
        <w:rPr>
          <w:lang w:val="en-US" w:eastAsia="zh-CN"/>
        </w:rPr>
        <w:tab/>
      </w:r>
      <w:r w:rsidRPr="006E3B9B">
        <w:rPr>
          <w:rFonts w:hint="eastAsia"/>
          <w:lang w:val="en-US" w:eastAsia="zh-CN"/>
        </w:rPr>
        <w:t>国际</w:t>
      </w:r>
      <w:r w:rsidRPr="006E3B9B">
        <w:rPr>
          <w:rFonts w:hint="eastAsia"/>
          <w:lang w:eastAsia="zh-CN"/>
        </w:rPr>
        <w:t>电联</w:t>
      </w:r>
      <w:r w:rsidRPr="006E3B9B">
        <w:rPr>
          <w:lang w:eastAsia="zh-CN"/>
        </w:rPr>
        <w:t>1964</w:t>
      </w:r>
      <w:r w:rsidRPr="006E3B9B">
        <w:rPr>
          <w:rFonts w:hint="eastAsia"/>
          <w:lang w:eastAsia="zh-CN"/>
        </w:rPr>
        <w:t>年预算</w:t>
      </w:r>
      <w:r w:rsidR="003E11A1">
        <w:rPr>
          <w:lang w:eastAsia="zh-CN"/>
        </w:rPr>
        <w:tab/>
      </w:r>
      <w:r w:rsidRPr="006E3B9B">
        <w:rPr>
          <w:lang w:val="en-US" w:eastAsia="zh-CN"/>
        </w:rPr>
        <w:tab/>
        <w:t>1964</w:t>
      </w:r>
      <w:r w:rsidRPr="006E3B9B">
        <w:rPr>
          <w:rFonts w:hint="eastAsia"/>
          <w:lang w:val="en-US" w:eastAsia="zh-CN"/>
        </w:rPr>
        <w:t>年</w:t>
      </w:r>
    </w:p>
    <w:p w14:paraId="4827BE48"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520</w:t>
      </w:r>
      <w:r w:rsidRPr="006E3B9B">
        <w:rPr>
          <w:lang w:val="en-US" w:eastAsia="zh-CN"/>
        </w:rPr>
        <w:t>号决议</w:t>
      </w:r>
      <w:r w:rsidRPr="006E3B9B">
        <w:rPr>
          <w:lang w:val="en-US" w:eastAsia="zh-CN"/>
        </w:rPr>
        <w:tab/>
      </w:r>
      <w:r w:rsidRPr="006E3B9B">
        <w:rPr>
          <w:rFonts w:hint="eastAsia"/>
          <w:lang w:val="en-US" w:eastAsia="zh-CN"/>
        </w:rPr>
        <w:t>国际</w:t>
      </w:r>
      <w:r w:rsidRPr="006E3B9B">
        <w:rPr>
          <w:rFonts w:hint="eastAsia"/>
          <w:lang w:eastAsia="zh-CN"/>
        </w:rPr>
        <w:t>电联对电子计算机的使用</w:t>
      </w:r>
      <w:r w:rsidR="003E11A1">
        <w:rPr>
          <w:lang w:eastAsia="zh-CN"/>
        </w:rPr>
        <w:tab/>
      </w:r>
      <w:r w:rsidRPr="006E3B9B">
        <w:rPr>
          <w:lang w:val="en-US" w:eastAsia="zh-CN"/>
        </w:rPr>
        <w:tab/>
        <w:t>1964</w:t>
      </w:r>
      <w:r w:rsidRPr="006E3B9B">
        <w:rPr>
          <w:rFonts w:hint="eastAsia"/>
          <w:lang w:val="en-US" w:eastAsia="zh-CN"/>
        </w:rPr>
        <w:t>年</w:t>
      </w:r>
    </w:p>
    <w:p w14:paraId="4827BE49"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521</w:t>
      </w:r>
      <w:r w:rsidRPr="006E3B9B">
        <w:rPr>
          <w:lang w:val="en-US" w:eastAsia="zh-CN"/>
        </w:rPr>
        <w:t>号决议</w:t>
      </w:r>
      <w:r w:rsidRPr="006E3B9B">
        <w:rPr>
          <w:lang w:val="en-US" w:eastAsia="zh-CN"/>
        </w:rPr>
        <w:tab/>
      </w:r>
      <w:r w:rsidRPr="006E3B9B">
        <w:rPr>
          <w:rFonts w:hint="eastAsia"/>
          <w:lang w:val="en-US" w:eastAsia="zh-CN"/>
        </w:rPr>
        <w:t>国际</w:t>
      </w:r>
      <w:r w:rsidRPr="006E3B9B">
        <w:rPr>
          <w:rFonts w:hint="eastAsia"/>
          <w:lang w:eastAsia="zh-CN"/>
        </w:rPr>
        <w:t>电联总部办公楼的扩建</w:t>
      </w:r>
      <w:r w:rsidR="003E11A1">
        <w:rPr>
          <w:lang w:eastAsia="zh-CN"/>
        </w:rPr>
        <w:tab/>
      </w:r>
      <w:r w:rsidRPr="006E3B9B">
        <w:rPr>
          <w:lang w:val="en-US" w:eastAsia="zh-CN"/>
        </w:rPr>
        <w:tab/>
        <w:t>1964</w:t>
      </w:r>
      <w:r w:rsidRPr="006E3B9B">
        <w:rPr>
          <w:rFonts w:hint="eastAsia"/>
          <w:lang w:val="en-US" w:eastAsia="zh-CN"/>
        </w:rPr>
        <w:t>年</w:t>
      </w:r>
    </w:p>
    <w:p w14:paraId="4827BE4A"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522</w:t>
      </w:r>
      <w:r w:rsidRPr="006E3B9B">
        <w:rPr>
          <w:lang w:val="en-US" w:eastAsia="zh-CN"/>
        </w:rPr>
        <w:t>号决议</w:t>
      </w:r>
      <w:r w:rsidRPr="006E3B9B">
        <w:rPr>
          <w:lang w:val="en-US" w:eastAsia="zh-CN"/>
        </w:rPr>
        <w:tab/>
      </w:r>
      <w:r w:rsidRPr="006E3B9B">
        <w:rPr>
          <w:rFonts w:hint="eastAsia"/>
          <w:lang w:eastAsia="zh-CN"/>
        </w:rPr>
        <w:t>对无线电大会和《无线电规则》结构可能做出的修改</w:t>
      </w:r>
      <w:r w:rsidR="003E11A1">
        <w:rPr>
          <w:lang w:eastAsia="zh-CN"/>
        </w:rPr>
        <w:tab/>
      </w:r>
      <w:r w:rsidRPr="006E3B9B">
        <w:rPr>
          <w:lang w:val="en-US" w:eastAsia="zh-CN"/>
        </w:rPr>
        <w:tab/>
        <w:t>1967</w:t>
      </w:r>
      <w:r w:rsidRPr="006E3B9B">
        <w:rPr>
          <w:rFonts w:hint="eastAsia"/>
          <w:lang w:val="en-US" w:eastAsia="zh-CN"/>
        </w:rPr>
        <w:t>年</w:t>
      </w:r>
    </w:p>
    <w:p w14:paraId="4827BE4B"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523</w:t>
      </w:r>
      <w:r w:rsidRPr="006E3B9B">
        <w:rPr>
          <w:lang w:val="en-US" w:eastAsia="zh-CN"/>
        </w:rPr>
        <w:t>号决议</w:t>
      </w:r>
      <w:r w:rsidRPr="006E3B9B">
        <w:rPr>
          <w:lang w:val="en-US" w:eastAsia="zh-CN"/>
        </w:rPr>
        <w:tab/>
      </w:r>
      <w:r w:rsidRPr="006E3B9B">
        <w:rPr>
          <w:rFonts w:hint="eastAsia"/>
          <w:lang w:eastAsia="zh-CN"/>
        </w:rPr>
        <w:t>无线电大会和《无线电规则》的结构</w:t>
      </w:r>
      <w:r w:rsidR="003E11A1">
        <w:rPr>
          <w:lang w:eastAsia="zh-CN"/>
        </w:rPr>
        <w:tab/>
      </w:r>
      <w:r w:rsidR="003E11A1">
        <w:rPr>
          <w:lang w:val="en-US" w:eastAsia="zh-CN"/>
        </w:rPr>
        <w:tab/>
      </w:r>
      <w:r w:rsidRPr="006E3B9B">
        <w:rPr>
          <w:lang w:val="en-US" w:eastAsia="zh-CN"/>
        </w:rPr>
        <w:t>1967</w:t>
      </w:r>
      <w:r w:rsidRPr="006E3B9B">
        <w:rPr>
          <w:rFonts w:hint="eastAsia"/>
          <w:lang w:val="en-US" w:eastAsia="zh-CN"/>
        </w:rPr>
        <w:t>年</w:t>
      </w:r>
    </w:p>
    <w:p w14:paraId="4827BE4C"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524</w:t>
      </w:r>
      <w:r w:rsidRPr="006E3B9B">
        <w:rPr>
          <w:lang w:val="en-US" w:eastAsia="zh-CN"/>
        </w:rPr>
        <w:t>号决议</w:t>
      </w:r>
      <w:r w:rsidRPr="006E3B9B">
        <w:rPr>
          <w:lang w:val="en-US" w:eastAsia="zh-CN"/>
        </w:rPr>
        <w:tab/>
      </w:r>
      <w:r w:rsidRPr="006E3B9B">
        <w:rPr>
          <w:rFonts w:hint="eastAsia"/>
          <w:lang w:eastAsia="zh-CN"/>
        </w:rPr>
        <w:t>为无线电通信划分频段的</w:t>
      </w:r>
      <w:r w:rsidRPr="006E3B9B">
        <w:rPr>
          <w:lang w:eastAsia="zh-CN"/>
        </w:rPr>
        <w:t>特别无线电行政大会</w:t>
      </w:r>
      <w:r w:rsidR="003E11A1">
        <w:rPr>
          <w:lang w:eastAsia="zh-CN"/>
        </w:rPr>
        <w:tab/>
      </w:r>
      <w:r w:rsidRPr="006E3B9B">
        <w:rPr>
          <w:lang w:val="en-US" w:eastAsia="zh-CN"/>
        </w:rPr>
        <w:tab/>
        <w:t>1964</w:t>
      </w:r>
      <w:r w:rsidRPr="006E3B9B">
        <w:rPr>
          <w:rFonts w:hint="eastAsia"/>
          <w:lang w:val="en-US" w:eastAsia="zh-CN"/>
        </w:rPr>
        <w:t>年</w:t>
      </w:r>
    </w:p>
    <w:p w14:paraId="4827BE4D"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525</w:t>
      </w:r>
      <w:r w:rsidRPr="006E3B9B">
        <w:rPr>
          <w:lang w:val="en-US" w:eastAsia="zh-CN"/>
        </w:rPr>
        <w:t>号决议</w:t>
      </w:r>
      <w:r w:rsidRPr="006E3B9B">
        <w:rPr>
          <w:lang w:val="en-US" w:eastAsia="zh-CN"/>
        </w:rPr>
        <w:tab/>
      </w:r>
      <w:r w:rsidRPr="006E3B9B">
        <w:rPr>
          <w:rFonts w:hint="eastAsia"/>
          <w:lang w:eastAsia="zh-CN"/>
        </w:rPr>
        <w:t>为准备修订航空移动业务分配计划而召开的</w:t>
      </w:r>
      <w:r w:rsidRPr="006E3B9B">
        <w:rPr>
          <w:lang w:eastAsia="zh-CN"/>
        </w:rPr>
        <w:t>特别无线电行政大会</w:t>
      </w:r>
      <w:r w:rsidRPr="006E3B9B">
        <w:rPr>
          <w:lang w:val="en-US" w:eastAsia="zh-CN"/>
        </w:rPr>
        <w:tab/>
      </w:r>
      <w:r w:rsidR="003E11A1">
        <w:rPr>
          <w:lang w:val="en-US" w:eastAsia="zh-CN"/>
        </w:rPr>
        <w:tab/>
      </w:r>
      <w:r w:rsidRPr="006E3B9B">
        <w:rPr>
          <w:lang w:val="en-US" w:eastAsia="zh-CN"/>
        </w:rPr>
        <w:t>1964</w:t>
      </w:r>
      <w:r w:rsidRPr="006E3B9B">
        <w:rPr>
          <w:rFonts w:hint="eastAsia"/>
          <w:lang w:val="en-US" w:eastAsia="zh-CN"/>
        </w:rPr>
        <w:t>年</w:t>
      </w:r>
    </w:p>
    <w:p w14:paraId="4827BE4E" w14:textId="77777777" w:rsidR="00BF1CF1" w:rsidRDefault="00BF1CF1">
      <w:pPr>
        <w:tabs>
          <w:tab w:val="clear" w:pos="794"/>
          <w:tab w:val="clear" w:pos="1191"/>
          <w:tab w:val="clear" w:pos="1588"/>
          <w:tab w:val="clear" w:pos="1985"/>
        </w:tabs>
        <w:overflowPunct/>
        <w:autoSpaceDE/>
        <w:autoSpaceDN/>
        <w:adjustRightInd/>
        <w:spacing w:before="0"/>
        <w:jc w:val="left"/>
        <w:textAlignment w:val="auto"/>
        <w:rPr>
          <w:sz w:val="20"/>
          <w:lang w:val="en-US" w:eastAsia="zh-CN"/>
        </w:rPr>
      </w:pPr>
      <w:r>
        <w:rPr>
          <w:lang w:val="en-US" w:eastAsia="zh-CN"/>
        </w:rPr>
        <w:br w:type="page"/>
      </w:r>
    </w:p>
    <w:p w14:paraId="4827BE4F" w14:textId="77777777" w:rsidR="006E3B9B" w:rsidRPr="006E3B9B" w:rsidRDefault="006E3B9B" w:rsidP="003E11A1">
      <w:pPr>
        <w:pStyle w:val="Appendixref"/>
        <w:rPr>
          <w:lang w:val="en-US" w:eastAsia="zh-CN"/>
        </w:rPr>
      </w:pPr>
      <w:r w:rsidRPr="006E3B9B">
        <w:rPr>
          <w:lang w:val="en-US" w:eastAsia="zh-CN"/>
        </w:rPr>
        <w:lastRenderedPageBreak/>
        <w:t>第</w:t>
      </w:r>
      <w:r w:rsidRPr="006E3B9B">
        <w:rPr>
          <w:lang w:val="en-US" w:eastAsia="zh-CN"/>
        </w:rPr>
        <w:t>526</w:t>
      </w:r>
      <w:r w:rsidRPr="006E3B9B">
        <w:rPr>
          <w:lang w:val="en-US" w:eastAsia="zh-CN"/>
        </w:rPr>
        <w:t>号决议</w:t>
      </w:r>
      <w:r w:rsidRPr="006E3B9B">
        <w:rPr>
          <w:lang w:val="en-US" w:eastAsia="zh-CN"/>
        </w:rPr>
        <w:tab/>
      </w:r>
      <w:r w:rsidRPr="006E3B9B">
        <w:rPr>
          <w:rFonts w:hint="eastAsia"/>
          <w:lang w:eastAsia="zh-CN"/>
        </w:rPr>
        <w:t>非洲低频</w:t>
      </w:r>
      <w:r w:rsidRPr="006E3B9B">
        <w:rPr>
          <w:lang w:eastAsia="zh-CN"/>
        </w:rPr>
        <w:t>/</w:t>
      </w:r>
      <w:r w:rsidRPr="006E3B9B">
        <w:rPr>
          <w:rFonts w:hint="eastAsia"/>
          <w:lang w:eastAsia="zh-CN"/>
        </w:rPr>
        <w:t>中频广播大会</w:t>
      </w:r>
      <w:r w:rsidRPr="006E3B9B">
        <w:rPr>
          <w:lang w:val="en-US" w:eastAsia="zh-CN"/>
        </w:rPr>
        <w:tab/>
      </w:r>
      <w:r w:rsidR="003E11A1">
        <w:rPr>
          <w:lang w:val="en-US" w:eastAsia="zh-CN"/>
        </w:rPr>
        <w:tab/>
      </w:r>
      <w:r w:rsidRPr="006E3B9B">
        <w:rPr>
          <w:lang w:val="en-US" w:eastAsia="zh-CN"/>
        </w:rPr>
        <w:t>1967</w:t>
      </w:r>
      <w:r w:rsidRPr="006E3B9B">
        <w:rPr>
          <w:rFonts w:hint="eastAsia"/>
          <w:lang w:val="en-US" w:eastAsia="zh-CN"/>
        </w:rPr>
        <w:t>年</w:t>
      </w:r>
    </w:p>
    <w:p w14:paraId="4827BE50"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527</w:t>
      </w:r>
      <w:r w:rsidRPr="006E3B9B">
        <w:rPr>
          <w:lang w:val="en-US" w:eastAsia="zh-CN"/>
        </w:rPr>
        <w:t>号决议</w:t>
      </w:r>
      <w:r w:rsidRPr="006E3B9B">
        <w:rPr>
          <w:lang w:val="en-US" w:eastAsia="zh-CN"/>
        </w:rPr>
        <w:tab/>
      </w:r>
      <w:r w:rsidRPr="006E3B9B">
        <w:rPr>
          <w:rFonts w:hint="eastAsia"/>
          <w:lang w:eastAsia="zh-CN"/>
        </w:rPr>
        <w:t>非洲低频</w:t>
      </w:r>
      <w:r w:rsidRPr="006E3B9B">
        <w:rPr>
          <w:lang w:eastAsia="zh-CN"/>
        </w:rPr>
        <w:t>/</w:t>
      </w:r>
      <w:r w:rsidRPr="006E3B9B">
        <w:rPr>
          <w:rFonts w:hint="eastAsia"/>
          <w:lang w:eastAsia="zh-CN"/>
        </w:rPr>
        <w:t>中频广播大会</w:t>
      </w:r>
      <w:r w:rsidRPr="006E3B9B">
        <w:rPr>
          <w:lang w:val="en-US" w:eastAsia="zh-CN"/>
        </w:rPr>
        <w:tab/>
      </w:r>
      <w:r w:rsidR="003E11A1">
        <w:rPr>
          <w:lang w:val="en-US" w:eastAsia="zh-CN"/>
        </w:rPr>
        <w:tab/>
      </w:r>
      <w:r w:rsidRPr="006E3B9B">
        <w:rPr>
          <w:lang w:val="en-US" w:eastAsia="zh-CN"/>
        </w:rPr>
        <w:t>1967</w:t>
      </w:r>
      <w:r w:rsidRPr="006E3B9B">
        <w:rPr>
          <w:rFonts w:hint="eastAsia"/>
          <w:lang w:val="en-US" w:eastAsia="zh-CN"/>
        </w:rPr>
        <w:t>年</w:t>
      </w:r>
    </w:p>
    <w:p w14:paraId="4827BE51"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528</w:t>
      </w:r>
      <w:r w:rsidRPr="006E3B9B">
        <w:rPr>
          <w:lang w:val="en-US" w:eastAsia="zh-CN"/>
        </w:rPr>
        <w:t>号决议</w:t>
      </w:r>
      <w:r w:rsidRPr="006E3B9B">
        <w:rPr>
          <w:lang w:val="en-US" w:eastAsia="zh-CN"/>
        </w:rPr>
        <w:tab/>
      </w:r>
      <w:r w:rsidRPr="006E3B9B">
        <w:rPr>
          <w:rFonts w:hint="eastAsia"/>
          <w:lang w:eastAsia="zh-CN"/>
        </w:rPr>
        <w:t>向发展中国家提供技术援助</w:t>
      </w:r>
      <w:r w:rsidRPr="006E3B9B">
        <w:rPr>
          <w:rFonts w:hint="eastAsia"/>
          <w:lang w:eastAsia="zh-CN"/>
        </w:rPr>
        <w:t xml:space="preserve"> </w:t>
      </w:r>
      <w:r w:rsidRPr="006E3B9B">
        <w:rPr>
          <w:lang w:eastAsia="zh-CN"/>
        </w:rPr>
        <w:t>–</w:t>
      </w:r>
      <w:r w:rsidRPr="006E3B9B">
        <w:rPr>
          <w:rFonts w:hint="eastAsia"/>
          <w:lang w:eastAsia="zh-CN"/>
        </w:rPr>
        <w:t xml:space="preserve"> </w:t>
      </w:r>
      <w:r w:rsidRPr="006E3B9B">
        <w:rPr>
          <w:lang w:eastAsia="zh-CN"/>
        </w:rPr>
        <w:t>频登会</w:t>
      </w:r>
      <w:r w:rsidRPr="006E3B9B">
        <w:rPr>
          <w:rFonts w:hint="eastAsia"/>
          <w:lang w:eastAsia="zh-CN"/>
        </w:rPr>
        <w:t>研讨会</w:t>
      </w:r>
      <w:r w:rsidRPr="006E3B9B">
        <w:rPr>
          <w:lang w:val="en-US" w:eastAsia="zh-CN"/>
        </w:rPr>
        <w:tab/>
      </w:r>
      <w:r w:rsidR="003E11A1">
        <w:rPr>
          <w:lang w:val="en-US" w:eastAsia="zh-CN"/>
        </w:rPr>
        <w:tab/>
      </w:r>
      <w:r w:rsidRPr="006E3B9B">
        <w:rPr>
          <w:lang w:val="en-US" w:eastAsia="zh-CN"/>
        </w:rPr>
        <w:t>1994</w:t>
      </w:r>
      <w:r w:rsidRPr="006E3B9B">
        <w:rPr>
          <w:rFonts w:hint="eastAsia"/>
          <w:lang w:val="en-US" w:eastAsia="zh-CN"/>
        </w:rPr>
        <w:t>年</w:t>
      </w:r>
    </w:p>
    <w:p w14:paraId="4827BE52"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529</w:t>
      </w:r>
      <w:r w:rsidRPr="006E3B9B">
        <w:rPr>
          <w:lang w:val="en-US" w:eastAsia="zh-CN"/>
        </w:rPr>
        <w:t>号决议</w:t>
      </w:r>
      <w:r w:rsidRPr="006E3B9B">
        <w:rPr>
          <w:lang w:val="en-US" w:eastAsia="zh-CN"/>
        </w:rPr>
        <w:tab/>
      </w:r>
      <w:r w:rsidRPr="006E3B9B">
        <w:rPr>
          <w:rFonts w:hint="eastAsia"/>
          <w:lang w:eastAsia="zh-CN"/>
        </w:rPr>
        <w:t>由区域专家开展的国际电联的技术援助</w:t>
      </w:r>
      <w:r w:rsidRPr="006E3B9B">
        <w:rPr>
          <w:lang w:val="en-US" w:eastAsia="zh-CN"/>
        </w:rPr>
        <w:tab/>
      </w:r>
      <w:r w:rsidR="003E11A1">
        <w:rPr>
          <w:lang w:val="en-US" w:eastAsia="zh-CN"/>
        </w:rPr>
        <w:tab/>
      </w:r>
      <w:r w:rsidRPr="006E3B9B">
        <w:rPr>
          <w:lang w:val="en-US" w:eastAsia="zh-CN"/>
        </w:rPr>
        <w:t>1975</w:t>
      </w:r>
      <w:r w:rsidRPr="006E3B9B">
        <w:rPr>
          <w:rFonts w:hint="eastAsia"/>
          <w:lang w:val="en-US" w:eastAsia="zh-CN"/>
        </w:rPr>
        <w:t>年</w:t>
      </w:r>
    </w:p>
    <w:p w14:paraId="4827BE53"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530</w:t>
      </w:r>
      <w:r w:rsidRPr="006E3B9B">
        <w:rPr>
          <w:lang w:val="en-US" w:eastAsia="zh-CN"/>
        </w:rPr>
        <w:t>号决议</w:t>
      </w:r>
      <w:r w:rsidRPr="006E3B9B">
        <w:rPr>
          <w:lang w:val="en-US" w:eastAsia="zh-CN"/>
        </w:rPr>
        <w:tab/>
      </w:r>
      <w:r w:rsidRPr="006E3B9B">
        <w:rPr>
          <w:rFonts w:hint="eastAsia"/>
          <w:lang w:eastAsia="zh-CN"/>
        </w:rPr>
        <w:t>非洲电信调查</w:t>
      </w:r>
      <w:r w:rsidRPr="006E3B9B">
        <w:rPr>
          <w:lang w:val="en-US" w:eastAsia="zh-CN"/>
        </w:rPr>
        <w:tab/>
      </w:r>
      <w:r w:rsidR="003E11A1">
        <w:rPr>
          <w:lang w:val="en-US" w:eastAsia="zh-CN"/>
        </w:rPr>
        <w:tab/>
      </w:r>
      <w:r w:rsidRPr="006E3B9B">
        <w:rPr>
          <w:lang w:val="en-US" w:eastAsia="zh-CN"/>
        </w:rPr>
        <w:t>1970</w:t>
      </w:r>
      <w:r w:rsidRPr="006E3B9B">
        <w:rPr>
          <w:rFonts w:hint="eastAsia"/>
          <w:lang w:val="en-US" w:eastAsia="zh-CN"/>
        </w:rPr>
        <w:t>年</w:t>
      </w:r>
    </w:p>
    <w:p w14:paraId="4827BE54"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531</w:t>
      </w:r>
      <w:r w:rsidRPr="006E3B9B">
        <w:rPr>
          <w:lang w:val="en-US" w:eastAsia="zh-CN"/>
        </w:rPr>
        <w:t>号决议</w:t>
      </w:r>
      <w:r w:rsidRPr="006E3B9B">
        <w:rPr>
          <w:lang w:val="en-US" w:eastAsia="zh-CN"/>
        </w:rPr>
        <w:tab/>
      </w:r>
      <w:r w:rsidRPr="006E3B9B">
        <w:rPr>
          <w:rFonts w:hint="eastAsia"/>
          <w:lang w:eastAsia="zh-CN"/>
        </w:rPr>
        <w:t>庆祝国际电联成立</w:t>
      </w:r>
      <w:r w:rsidRPr="006E3B9B">
        <w:rPr>
          <w:lang w:eastAsia="zh-CN"/>
        </w:rPr>
        <w:t>100</w:t>
      </w:r>
      <w:r w:rsidRPr="006E3B9B">
        <w:rPr>
          <w:rFonts w:hint="eastAsia"/>
          <w:lang w:eastAsia="zh-CN"/>
        </w:rPr>
        <w:t>周年</w:t>
      </w:r>
      <w:r w:rsidRPr="006E3B9B">
        <w:rPr>
          <w:lang w:val="en-US" w:eastAsia="zh-CN"/>
        </w:rPr>
        <w:tab/>
      </w:r>
      <w:r w:rsidR="003E11A1">
        <w:rPr>
          <w:lang w:val="en-US" w:eastAsia="zh-CN"/>
        </w:rPr>
        <w:tab/>
      </w:r>
      <w:r w:rsidRPr="006E3B9B">
        <w:rPr>
          <w:lang w:val="en-US" w:eastAsia="zh-CN"/>
        </w:rPr>
        <w:t>1967</w:t>
      </w:r>
      <w:r w:rsidRPr="006E3B9B">
        <w:rPr>
          <w:rFonts w:hint="eastAsia"/>
          <w:lang w:val="en-US" w:eastAsia="zh-CN"/>
        </w:rPr>
        <w:t>年</w:t>
      </w:r>
    </w:p>
    <w:p w14:paraId="4827BE55" w14:textId="77777777" w:rsidR="006E3B9B" w:rsidRPr="006E3B9B" w:rsidRDefault="006E3B9B" w:rsidP="003E11A1">
      <w:pPr>
        <w:pStyle w:val="Reftitle"/>
        <w:rPr>
          <w:lang w:val="en-US" w:eastAsia="zh-CN"/>
        </w:rPr>
      </w:pPr>
      <w:r w:rsidRPr="006E3B9B">
        <w:rPr>
          <w:rFonts w:hint="eastAsia"/>
          <w:lang w:eastAsia="zh-CN"/>
        </w:rPr>
        <w:t>第</w:t>
      </w:r>
      <w:r w:rsidRPr="006E3B9B">
        <w:rPr>
          <w:lang w:eastAsia="zh-CN"/>
        </w:rPr>
        <w:t>19</w:t>
      </w:r>
      <w:r w:rsidRPr="006E3B9B">
        <w:rPr>
          <w:rFonts w:hint="eastAsia"/>
          <w:lang w:eastAsia="zh-CN"/>
        </w:rPr>
        <w:t>届会议（</w:t>
      </w:r>
      <w:r w:rsidRPr="006E3B9B">
        <w:rPr>
          <w:lang w:eastAsia="zh-CN"/>
        </w:rPr>
        <w:t>1964</w:t>
      </w:r>
      <w:r w:rsidRPr="006E3B9B">
        <w:rPr>
          <w:rFonts w:hint="eastAsia"/>
          <w:lang w:eastAsia="zh-CN"/>
        </w:rPr>
        <w:t>年</w:t>
      </w:r>
      <w:r w:rsidRPr="006E3B9B">
        <w:rPr>
          <w:lang w:eastAsia="zh-CN"/>
        </w:rPr>
        <w:t>4</w:t>
      </w:r>
      <w:r w:rsidRPr="006E3B9B">
        <w:rPr>
          <w:rFonts w:hint="eastAsia"/>
          <w:lang w:eastAsia="zh-CN"/>
        </w:rPr>
        <w:t>月</w:t>
      </w:r>
      <w:r w:rsidRPr="006E3B9B">
        <w:rPr>
          <w:lang w:eastAsia="zh-CN"/>
        </w:rPr>
        <w:t>-5</w:t>
      </w:r>
      <w:r w:rsidRPr="006E3B9B">
        <w:rPr>
          <w:rFonts w:hint="eastAsia"/>
          <w:lang w:eastAsia="zh-CN"/>
        </w:rPr>
        <w:t>月）</w:t>
      </w:r>
    </w:p>
    <w:p w14:paraId="4827BE56"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532</w:t>
      </w:r>
      <w:r w:rsidRPr="006E3B9B">
        <w:rPr>
          <w:lang w:val="en-US" w:eastAsia="zh-CN"/>
        </w:rPr>
        <w:t>号决议</w:t>
      </w:r>
      <w:r w:rsidRPr="006E3B9B">
        <w:rPr>
          <w:lang w:val="en-US" w:eastAsia="zh-CN"/>
        </w:rPr>
        <w:tab/>
      </w:r>
      <w:r w:rsidRPr="006E3B9B">
        <w:rPr>
          <w:rFonts w:hint="eastAsia"/>
          <w:lang w:eastAsia="zh-CN"/>
        </w:rPr>
        <w:t>对人员支出的限制</w:t>
      </w:r>
      <w:r w:rsidRPr="006E3B9B">
        <w:rPr>
          <w:lang w:val="en-US" w:eastAsia="zh-CN"/>
        </w:rPr>
        <w:tab/>
      </w:r>
      <w:r w:rsidR="003E11A1">
        <w:rPr>
          <w:lang w:val="en-US" w:eastAsia="zh-CN"/>
        </w:rPr>
        <w:tab/>
      </w:r>
      <w:r w:rsidRPr="006E3B9B">
        <w:rPr>
          <w:lang w:val="en-US" w:eastAsia="zh-CN"/>
        </w:rPr>
        <w:t>1966</w:t>
      </w:r>
      <w:r w:rsidRPr="006E3B9B">
        <w:rPr>
          <w:rFonts w:hint="eastAsia"/>
          <w:lang w:val="en-US" w:eastAsia="zh-CN"/>
        </w:rPr>
        <w:t>年</w:t>
      </w:r>
    </w:p>
    <w:p w14:paraId="4827BE57"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533</w:t>
      </w:r>
      <w:r w:rsidRPr="006E3B9B">
        <w:rPr>
          <w:lang w:val="en-US" w:eastAsia="zh-CN"/>
        </w:rPr>
        <w:t>号决议</w:t>
      </w:r>
      <w:r w:rsidRPr="006E3B9B">
        <w:rPr>
          <w:lang w:val="en-US" w:eastAsia="zh-CN"/>
        </w:rPr>
        <w:tab/>
      </w:r>
      <w:r w:rsidRPr="006E3B9B">
        <w:rPr>
          <w:rFonts w:hint="eastAsia"/>
          <w:lang w:eastAsia="zh-CN"/>
        </w:rPr>
        <w:t>适用于日内瓦的任职地点补贴调整数的等级</w:t>
      </w:r>
      <w:r w:rsidRPr="006E3B9B">
        <w:rPr>
          <w:lang w:val="en-US" w:eastAsia="zh-CN"/>
        </w:rPr>
        <w:tab/>
      </w:r>
      <w:r w:rsidR="003E11A1">
        <w:rPr>
          <w:lang w:val="en-US" w:eastAsia="zh-CN"/>
        </w:rPr>
        <w:tab/>
      </w:r>
      <w:r w:rsidRPr="006E3B9B">
        <w:rPr>
          <w:lang w:val="en-US" w:eastAsia="zh-CN"/>
        </w:rPr>
        <w:t>1969</w:t>
      </w:r>
      <w:r w:rsidRPr="006E3B9B">
        <w:rPr>
          <w:rFonts w:hint="eastAsia"/>
          <w:lang w:val="en-US" w:eastAsia="zh-CN"/>
        </w:rPr>
        <w:t>年</w:t>
      </w:r>
    </w:p>
    <w:p w14:paraId="4827BE58"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534</w:t>
      </w:r>
      <w:r w:rsidRPr="006E3B9B">
        <w:rPr>
          <w:lang w:val="en-US" w:eastAsia="zh-CN"/>
        </w:rPr>
        <w:t>号决议</w:t>
      </w:r>
      <w:r w:rsidRPr="006E3B9B">
        <w:rPr>
          <w:lang w:val="en-US" w:eastAsia="zh-CN"/>
        </w:rPr>
        <w:tab/>
      </w:r>
      <w:r w:rsidRPr="006E3B9B">
        <w:rPr>
          <w:rFonts w:hint="eastAsia"/>
          <w:lang w:eastAsia="zh-CN"/>
        </w:rPr>
        <w:t>职位的重新定级</w:t>
      </w:r>
      <w:r w:rsidRPr="006E3B9B">
        <w:rPr>
          <w:lang w:val="en-US" w:eastAsia="zh-CN"/>
        </w:rPr>
        <w:tab/>
      </w:r>
      <w:r w:rsidR="003E11A1">
        <w:rPr>
          <w:lang w:val="en-US" w:eastAsia="zh-CN"/>
        </w:rPr>
        <w:tab/>
      </w:r>
      <w:r w:rsidRPr="006E3B9B">
        <w:rPr>
          <w:lang w:val="en-US" w:eastAsia="zh-CN"/>
        </w:rPr>
        <w:t>1964</w:t>
      </w:r>
      <w:r w:rsidRPr="006E3B9B">
        <w:rPr>
          <w:rFonts w:hint="eastAsia"/>
          <w:lang w:val="en-US" w:eastAsia="zh-CN"/>
        </w:rPr>
        <w:t>年</w:t>
      </w:r>
    </w:p>
    <w:p w14:paraId="4827BE59"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535</w:t>
      </w:r>
      <w:r w:rsidRPr="006E3B9B">
        <w:rPr>
          <w:lang w:val="en-US" w:eastAsia="zh-CN"/>
        </w:rPr>
        <w:t>号决议</w:t>
      </w:r>
      <w:r w:rsidRPr="006E3B9B">
        <w:rPr>
          <w:lang w:val="en-US" w:eastAsia="zh-CN"/>
        </w:rPr>
        <w:tab/>
      </w:r>
      <w:r w:rsidRPr="006E3B9B">
        <w:rPr>
          <w:rFonts w:hint="eastAsia"/>
          <w:lang w:eastAsia="zh-CN"/>
        </w:rPr>
        <w:t>职位的设立和延续</w:t>
      </w:r>
      <w:r w:rsidRPr="006E3B9B">
        <w:rPr>
          <w:lang w:val="en-US" w:eastAsia="zh-CN"/>
        </w:rPr>
        <w:tab/>
      </w:r>
      <w:r w:rsidR="003E11A1">
        <w:rPr>
          <w:lang w:val="en-US" w:eastAsia="zh-CN"/>
        </w:rPr>
        <w:tab/>
      </w:r>
      <w:r w:rsidRPr="006E3B9B">
        <w:rPr>
          <w:lang w:val="en-US" w:eastAsia="zh-CN"/>
        </w:rPr>
        <w:t>1966</w:t>
      </w:r>
      <w:r w:rsidRPr="006E3B9B">
        <w:rPr>
          <w:rFonts w:hint="eastAsia"/>
          <w:lang w:val="en-US" w:eastAsia="zh-CN"/>
        </w:rPr>
        <w:t>年</w:t>
      </w:r>
    </w:p>
    <w:p w14:paraId="4827BE5A"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536</w:t>
      </w:r>
      <w:r w:rsidRPr="006E3B9B">
        <w:rPr>
          <w:lang w:val="en-US" w:eastAsia="zh-CN"/>
        </w:rPr>
        <w:t>号决议</w:t>
      </w:r>
      <w:r w:rsidRPr="006E3B9B">
        <w:rPr>
          <w:lang w:val="en-US" w:eastAsia="zh-CN"/>
        </w:rPr>
        <w:tab/>
      </w:r>
      <w:r w:rsidRPr="006E3B9B">
        <w:rPr>
          <w:rFonts w:hint="eastAsia"/>
          <w:lang w:eastAsia="zh-CN"/>
        </w:rPr>
        <w:t>空缺职位的公布</w:t>
      </w:r>
      <w:r w:rsidRPr="006E3B9B">
        <w:rPr>
          <w:lang w:val="en-US" w:eastAsia="zh-CN"/>
        </w:rPr>
        <w:tab/>
      </w:r>
      <w:r w:rsidR="003E11A1">
        <w:rPr>
          <w:lang w:val="en-US" w:eastAsia="zh-CN"/>
        </w:rPr>
        <w:tab/>
      </w:r>
      <w:r w:rsidRPr="006E3B9B">
        <w:rPr>
          <w:lang w:val="en-US" w:eastAsia="zh-CN"/>
        </w:rPr>
        <w:t>1968</w:t>
      </w:r>
      <w:r w:rsidRPr="006E3B9B">
        <w:rPr>
          <w:rFonts w:hint="eastAsia"/>
          <w:lang w:val="en-US" w:eastAsia="zh-CN"/>
        </w:rPr>
        <w:t>年</w:t>
      </w:r>
    </w:p>
    <w:p w14:paraId="4827BE5B"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537</w:t>
      </w:r>
      <w:r w:rsidRPr="006E3B9B">
        <w:rPr>
          <w:lang w:val="en-US" w:eastAsia="zh-CN"/>
        </w:rPr>
        <w:t>号决议</w:t>
      </w:r>
      <w:r w:rsidRPr="006E3B9B">
        <w:rPr>
          <w:lang w:val="en-US" w:eastAsia="zh-CN"/>
        </w:rPr>
        <w:tab/>
      </w:r>
      <w:r w:rsidRPr="006E3B9B">
        <w:rPr>
          <w:rFonts w:hint="eastAsia"/>
          <w:lang w:eastAsia="zh-CN"/>
        </w:rPr>
        <w:t>《人事规则》的修正</w:t>
      </w:r>
      <w:r w:rsidRPr="006E3B9B">
        <w:rPr>
          <w:lang w:val="en-US" w:eastAsia="zh-CN"/>
        </w:rPr>
        <w:tab/>
      </w:r>
      <w:r w:rsidR="003E11A1">
        <w:rPr>
          <w:lang w:val="en-US" w:eastAsia="zh-CN"/>
        </w:rPr>
        <w:tab/>
      </w:r>
      <w:r w:rsidRPr="006E3B9B">
        <w:rPr>
          <w:lang w:val="en-US" w:eastAsia="zh-CN"/>
        </w:rPr>
        <w:t>1964</w:t>
      </w:r>
      <w:r w:rsidRPr="006E3B9B">
        <w:rPr>
          <w:rFonts w:hint="eastAsia"/>
          <w:lang w:val="en-US" w:eastAsia="zh-CN"/>
        </w:rPr>
        <w:t>年</w:t>
      </w:r>
    </w:p>
    <w:p w14:paraId="4827BE5C"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538</w:t>
      </w:r>
      <w:r w:rsidRPr="006E3B9B">
        <w:rPr>
          <w:lang w:val="en-US" w:eastAsia="zh-CN"/>
        </w:rPr>
        <w:t>号决议</w:t>
      </w:r>
      <w:r w:rsidRPr="006E3B9B">
        <w:rPr>
          <w:lang w:val="en-US" w:eastAsia="zh-CN"/>
        </w:rPr>
        <w:tab/>
      </w:r>
      <w:r w:rsidRPr="006E3B9B">
        <w:rPr>
          <w:rFonts w:hint="eastAsia"/>
          <w:lang w:eastAsia="zh-CN"/>
        </w:rPr>
        <w:t>指定</w:t>
      </w:r>
      <w:r w:rsidRPr="006E3B9B">
        <w:rPr>
          <w:lang w:eastAsia="zh-CN"/>
        </w:rPr>
        <w:t>CCIR</w:t>
      </w:r>
      <w:r w:rsidRPr="006E3B9B">
        <w:rPr>
          <w:rFonts w:hint="eastAsia"/>
          <w:lang w:eastAsia="zh-CN"/>
        </w:rPr>
        <w:t>代理主任</w:t>
      </w:r>
      <w:r w:rsidRPr="006E3B9B">
        <w:rPr>
          <w:lang w:val="en-US" w:eastAsia="zh-CN"/>
        </w:rPr>
        <w:tab/>
      </w:r>
      <w:r w:rsidR="003E11A1">
        <w:rPr>
          <w:lang w:val="en-US" w:eastAsia="zh-CN"/>
        </w:rPr>
        <w:tab/>
      </w:r>
      <w:r w:rsidRPr="006E3B9B">
        <w:rPr>
          <w:lang w:val="en-US" w:eastAsia="zh-CN"/>
        </w:rPr>
        <w:t>1967</w:t>
      </w:r>
      <w:r w:rsidRPr="006E3B9B">
        <w:rPr>
          <w:rFonts w:hint="eastAsia"/>
          <w:lang w:val="en-US" w:eastAsia="zh-CN"/>
        </w:rPr>
        <w:t>年</w:t>
      </w:r>
    </w:p>
    <w:p w14:paraId="4827BE5D"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539</w:t>
      </w:r>
      <w:r w:rsidRPr="006E3B9B">
        <w:rPr>
          <w:lang w:val="en-US" w:eastAsia="zh-CN"/>
        </w:rPr>
        <w:t>号决议</w:t>
      </w:r>
      <w:r w:rsidRPr="006E3B9B">
        <w:rPr>
          <w:lang w:val="en-US" w:eastAsia="zh-CN"/>
        </w:rPr>
        <w:tab/>
      </w:r>
      <w:r w:rsidRPr="006E3B9B">
        <w:rPr>
          <w:rFonts w:hint="eastAsia"/>
          <w:lang w:eastAsia="zh-CN"/>
        </w:rPr>
        <w:t>国际电联职员养恤金委员会的委员</w:t>
      </w:r>
      <w:r w:rsidRPr="006E3B9B">
        <w:rPr>
          <w:lang w:val="en-US" w:eastAsia="zh-CN"/>
        </w:rPr>
        <w:tab/>
      </w:r>
      <w:r w:rsidR="003E11A1">
        <w:rPr>
          <w:lang w:val="en-US" w:eastAsia="zh-CN"/>
        </w:rPr>
        <w:tab/>
      </w:r>
      <w:r w:rsidRPr="006E3B9B">
        <w:rPr>
          <w:lang w:val="en-US" w:eastAsia="zh-CN"/>
        </w:rPr>
        <w:t>1966</w:t>
      </w:r>
      <w:r w:rsidRPr="006E3B9B">
        <w:rPr>
          <w:rFonts w:hint="eastAsia"/>
          <w:lang w:val="en-US" w:eastAsia="zh-CN"/>
        </w:rPr>
        <w:t>年</w:t>
      </w:r>
    </w:p>
    <w:p w14:paraId="4827BE5E"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540</w:t>
      </w:r>
      <w:r w:rsidRPr="006E3B9B">
        <w:rPr>
          <w:lang w:val="en-US" w:eastAsia="zh-CN"/>
        </w:rPr>
        <w:t>号决议</w:t>
      </w:r>
      <w:r w:rsidRPr="006E3B9B">
        <w:rPr>
          <w:lang w:val="en-US" w:eastAsia="zh-CN"/>
        </w:rPr>
        <w:tab/>
      </w:r>
      <w:r w:rsidRPr="006E3B9B">
        <w:rPr>
          <w:rFonts w:hint="eastAsia"/>
          <w:lang w:val="en-US" w:eastAsia="zh-CN"/>
        </w:rPr>
        <w:t>国际</w:t>
      </w:r>
      <w:r w:rsidRPr="006E3B9B">
        <w:rPr>
          <w:rFonts w:hint="eastAsia"/>
          <w:lang w:eastAsia="zh-CN"/>
        </w:rPr>
        <w:t>电联</w:t>
      </w:r>
      <w:r w:rsidRPr="006E3B9B">
        <w:rPr>
          <w:lang w:eastAsia="zh-CN"/>
        </w:rPr>
        <w:t>1963</w:t>
      </w:r>
      <w:r w:rsidRPr="006E3B9B">
        <w:rPr>
          <w:rFonts w:hint="eastAsia"/>
          <w:lang w:eastAsia="zh-CN"/>
        </w:rPr>
        <w:t>年财务工作报告</w:t>
      </w:r>
      <w:r w:rsidRPr="006E3B9B">
        <w:rPr>
          <w:lang w:val="en-US" w:eastAsia="zh-CN"/>
        </w:rPr>
        <w:tab/>
      </w:r>
      <w:r w:rsidR="003E11A1">
        <w:rPr>
          <w:lang w:val="en-US" w:eastAsia="zh-CN"/>
        </w:rPr>
        <w:tab/>
      </w:r>
      <w:r w:rsidRPr="006E3B9B">
        <w:rPr>
          <w:lang w:val="en-US" w:eastAsia="zh-CN"/>
        </w:rPr>
        <w:t>1964</w:t>
      </w:r>
      <w:r w:rsidRPr="006E3B9B">
        <w:rPr>
          <w:rFonts w:hint="eastAsia"/>
          <w:lang w:val="en-US" w:eastAsia="zh-CN"/>
        </w:rPr>
        <w:t>年</w:t>
      </w:r>
    </w:p>
    <w:p w14:paraId="4827BE5F"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541</w:t>
      </w:r>
      <w:r w:rsidRPr="006E3B9B">
        <w:rPr>
          <w:lang w:val="en-US" w:eastAsia="zh-CN"/>
        </w:rPr>
        <w:t>号决议</w:t>
      </w:r>
      <w:r w:rsidRPr="006E3B9B">
        <w:rPr>
          <w:lang w:val="en-US" w:eastAsia="zh-CN"/>
        </w:rPr>
        <w:tab/>
      </w:r>
      <w:r w:rsidRPr="006E3B9B">
        <w:rPr>
          <w:rFonts w:hint="eastAsia"/>
          <w:lang w:val="en-US" w:eastAsia="zh-CN"/>
        </w:rPr>
        <w:t>国际</w:t>
      </w:r>
      <w:r w:rsidRPr="006E3B9B">
        <w:rPr>
          <w:rFonts w:hint="eastAsia"/>
          <w:lang w:eastAsia="zh-CN"/>
        </w:rPr>
        <w:t>电联</w:t>
      </w:r>
      <w:r w:rsidRPr="006E3B9B">
        <w:rPr>
          <w:lang w:eastAsia="zh-CN"/>
        </w:rPr>
        <w:t>1963</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1</w:t>
      </w:r>
      <w:r w:rsidRPr="006E3B9B">
        <w:rPr>
          <w:rFonts w:hint="eastAsia"/>
          <w:lang w:eastAsia="zh-CN"/>
        </w:rPr>
        <w:t>日至</w:t>
      </w:r>
      <w:r w:rsidRPr="006E3B9B">
        <w:rPr>
          <w:lang w:eastAsia="zh-CN"/>
        </w:rPr>
        <w:t>12</w:t>
      </w:r>
      <w:r w:rsidRPr="006E3B9B">
        <w:rPr>
          <w:rFonts w:hint="eastAsia"/>
          <w:lang w:eastAsia="zh-CN"/>
        </w:rPr>
        <w:t>月</w:t>
      </w:r>
      <w:r w:rsidRPr="006E3B9B">
        <w:rPr>
          <w:lang w:eastAsia="zh-CN"/>
        </w:rPr>
        <w:t>31</w:t>
      </w:r>
      <w:r w:rsidRPr="006E3B9B">
        <w:rPr>
          <w:rFonts w:hint="eastAsia"/>
          <w:lang w:eastAsia="zh-CN"/>
        </w:rPr>
        <w:t>日账目的外部审计</w:t>
      </w:r>
      <w:r w:rsidRPr="006E3B9B">
        <w:rPr>
          <w:lang w:val="en-US" w:eastAsia="zh-CN"/>
        </w:rPr>
        <w:tab/>
      </w:r>
      <w:r w:rsidR="003E11A1">
        <w:rPr>
          <w:lang w:val="en-US" w:eastAsia="zh-CN"/>
        </w:rPr>
        <w:tab/>
      </w:r>
      <w:r w:rsidRPr="006E3B9B">
        <w:rPr>
          <w:lang w:val="en-US" w:eastAsia="zh-CN"/>
        </w:rPr>
        <w:t>1964</w:t>
      </w:r>
      <w:r w:rsidRPr="006E3B9B">
        <w:rPr>
          <w:rFonts w:hint="eastAsia"/>
          <w:lang w:val="en-US" w:eastAsia="zh-CN"/>
        </w:rPr>
        <w:t>年</w:t>
      </w:r>
    </w:p>
    <w:p w14:paraId="4827BE60"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542</w:t>
      </w:r>
      <w:r w:rsidRPr="006E3B9B">
        <w:rPr>
          <w:lang w:val="en-US" w:eastAsia="zh-CN"/>
        </w:rPr>
        <w:t>号决议</w:t>
      </w:r>
      <w:r w:rsidRPr="006E3B9B">
        <w:rPr>
          <w:lang w:val="en-US" w:eastAsia="zh-CN"/>
        </w:rPr>
        <w:tab/>
      </w:r>
      <w:r w:rsidRPr="006E3B9B">
        <w:rPr>
          <w:rFonts w:hint="eastAsia"/>
          <w:lang w:eastAsia="zh-CN"/>
        </w:rPr>
        <w:t>欠款账目</w:t>
      </w:r>
      <w:r w:rsidRPr="006E3B9B">
        <w:rPr>
          <w:lang w:val="en-US" w:eastAsia="zh-CN"/>
        </w:rPr>
        <w:tab/>
      </w:r>
      <w:r w:rsidR="003E11A1">
        <w:rPr>
          <w:lang w:val="en-US" w:eastAsia="zh-CN"/>
        </w:rPr>
        <w:tab/>
      </w:r>
      <w:r w:rsidRPr="006E3B9B">
        <w:rPr>
          <w:lang w:val="en-US" w:eastAsia="zh-CN"/>
        </w:rPr>
        <w:t>1964</w:t>
      </w:r>
      <w:r w:rsidRPr="006E3B9B">
        <w:rPr>
          <w:rFonts w:hint="eastAsia"/>
          <w:lang w:val="en-US" w:eastAsia="zh-CN"/>
        </w:rPr>
        <w:t>年</w:t>
      </w:r>
    </w:p>
    <w:p w14:paraId="4827BE61"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543</w:t>
      </w:r>
      <w:r w:rsidRPr="006E3B9B">
        <w:rPr>
          <w:lang w:val="en-US" w:eastAsia="zh-CN"/>
        </w:rPr>
        <w:t>号决议</w:t>
      </w:r>
      <w:r w:rsidRPr="006E3B9B">
        <w:rPr>
          <w:lang w:val="en-US" w:eastAsia="zh-CN"/>
        </w:rPr>
        <w:tab/>
      </w:r>
      <w:r w:rsidRPr="006E3B9B">
        <w:rPr>
          <w:lang w:eastAsia="zh-CN"/>
        </w:rPr>
        <w:t>1964</w:t>
      </w:r>
      <w:r w:rsidRPr="006E3B9B">
        <w:rPr>
          <w:rFonts w:hint="eastAsia"/>
          <w:lang w:eastAsia="zh-CN"/>
        </w:rPr>
        <w:t>年的追加拨款和对</w:t>
      </w:r>
      <w:r w:rsidRPr="006E3B9B">
        <w:rPr>
          <w:lang w:eastAsia="zh-CN"/>
        </w:rPr>
        <w:t>1964</w:t>
      </w:r>
      <w:r w:rsidRPr="006E3B9B">
        <w:rPr>
          <w:rFonts w:hint="eastAsia"/>
          <w:lang w:eastAsia="zh-CN"/>
        </w:rPr>
        <w:t>年非洲低频</w:t>
      </w:r>
      <w:r w:rsidRPr="006E3B9B">
        <w:rPr>
          <w:lang w:eastAsia="zh-CN"/>
        </w:rPr>
        <w:t>/</w:t>
      </w:r>
      <w:r w:rsidRPr="006E3B9B">
        <w:rPr>
          <w:rFonts w:hint="eastAsia"/>
          <w:lang w:eastAsia="zh-CN"/>
        </w:rPr>
        <w:t>中频广播大会预算的修改</w:t>
      </w:r>
      <w:r w:rsidRPr="006E3B9B">
        <w:rPr>
          <w:lang w:val="en-US" w:eastAsia="zh-CN"/>
        </w:rPr>
        <w:tab/>
      </w:r>
      <w:r w:rsidR="003E11A1">
        <w:rPr>
          <w:lang w:val="en-US" w:eastAsia="zh-CN"/>
        </w:rPr>
        <w:tab/>
      </w:r>
      <w:r w:rsidRPr="006E3B9B">
        <w:rPr>
          <w:lang w:val="en-US" w:eastAsia="zh-CN"/>
        </w:rPr>
        <w:t>1966</w:t>
      </w:r>
      <w:r w:rsidRPr="006E3B9B">
        <w:rPr>
          <w:rFonts w:hint="eastAsia"/>
          <w:lang w:val="en-US" w:eastAsia="zh-CN"/>
        </w:rPr>
        <w:t>年</w:t>
      </w:r>
    </w:p>
    <w:p w14:paraId="4827BE62"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544</w:t>
      </w:r>
      <w:r w:rsidRPr="006E3B9B">
        <w:rPr>
          <w:lang w:val="en-US" w:eastAsia="zh-CN"/>
        </w:rPr>
        <w:t>号决议</w:t>
      </w:r>
      <w:r w:rsidRPr="006E3B9B">
        <w:rPr>
          <w:lang w:val="en-US" w:eastAsia="zh-CN"/>
        </w:rPr>
        <w:tab/>
      </w:r>
      <w:r w:rsidRPr="006E3B9B">
        <w:rPr>
          <w:rFonts w:hint="eastAsia"/>
          <w:lang w:val="en-US" w:eastAsia="zh-CN"/>
        </w:rPr>
        <w:t>国际</w:t>
      </w:r>
      <w:r w:rsidRPr="006E3B9B">
        <w:rPr>
          <w:rFonts w:hint="eastAsia"/>
          <w:lang w:eastAsia="zh-CN"/>
        </w:rPr>
        <w:t>电联</w:t>
      </w:r>
      <w:r w:rsidRPr="006E3B9B">
        <w:rPr>
          <w:lang w:eastAsia="zh-CN"/>
        </w:rPr>
        <w:t>1965</w:t>
      </w:r>
      <w:r w:rsidRPr="006E3B9B">
        <w:rPr>
          <w:rFonts w:hint="eastAsia"/>
          <w:lang w:eastAsia="zh-CN"/>
        </w:rPr>
        <w:t>年预算</w:t>
      </w:r>
      <w:r w:rsidRPr="006E3B9B">
        <w:rPr>
          <w:lang w:val="en-US" w:eastAsia="zh-CN"/>
        </w:rPr>
        <w:tab/>
      </w:r>
      <w:r w:rsidR="003E11A1">
        <w:rPr>
          <w:lang w:val="en-US" w:eastAsia="zh-CN"/>
        </w:rPr>
        <w:tab/>
      </w:r>
      <w:r w:rsidRPr="006E3B9B">
        <w:rPr>
          <w:lang w:val="en-US" w:eastAsia="zh-CN"/>
        </w:rPr>
        <w:t>1966</w:t>
      </w:r>
      <w:r w:rsidRPr="006E3B9B">
        <w:rPr>
          <w:rFonts w:hint="eastAsia"/>
          <w:lang w:val="en-US" w:eastAsia="zh-CN"/>
        </w:rPr>
        <w:t>年</w:t>
      </w:r>
    </w:p>
    <w:p w14:paraId="4827BE63"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545</w:t>
      </w:r>
      <w:r w:rsidRPr="006E3B9B">
        <w:rPr>
          <w:lang w:val="en-US" w:eastAsia="zh-CN"/>
        </w:rPr>
        <w:t>号决议</w:t>
      </w:r>
      <w:r w:rsidRPr="006E3B9B">
        <w:rPr>
          <w:lang w:val="en-US" w:eastAsia="zh-CN"/>
        </w:rPr>
        <w:tab/>
      </w:r>
      <w:r w:rsidRPr="006E3B9B">
        <w:rPr>
          <w:rFonts w:hint="eastAsia"/>
          <w:lang w:eastAsia="zh-CN"/>
        </w:rPr>
        <w:t>同传设备的租赁条件</w:t>
      </w:r>
      <w:r w:rsidRPr="006E3B9B">
        <w:rPr>
          <w:lang w:val="en-US" w:eastAsia="zh-CN"/>
        </w:rPr>
        <w:tab/>
      </w:r>
      <w:r w:rsidR="003E11A1">
        <w:rPr>
          <w:lang w:val="en-US" w:eastAsia="zh-CN"/>
        </w:rPr>
        <w:tab/>
      </w:r>
      <w:r w:rsidRPr="006E3B9B">
        <w:rPr>
          <w:lang w:val="en-US" w:eastAsia="zh-CN"/>
        </w:rPr>
        <w:t>1977</w:t>
      </w:r>
      <w:r w:rsidRPr="006E3B9B">
        <w:rPr>
          <w:rFonts w:hint="eastAsia"/>
          <w:lang w:val="en-US" w:eastAsia="zh-CN"/>
        </w:rPr>
        <w:t>年</w:t>
      </w:r>
    </w:p>
    <w:p w14:paraId="4827BE64"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546</w:t>
      </w:r>
      <w:r w:rsidRPr="006E3B9B">
        <w:rPr>
          <w:lang w:val="en-US" w:eastAsia="zh-CN"/>
        </w:rPr>
        <w:t>号决议</w:t>
      </w:r>
      <w:r w:rsidRPr="006E3B9B">
        <w:rPr>
          <w:lang w:val="en-US" w:eastAsia="zh-CN"/>
        </w:rPr>
        <w:tab/>
      </w:r>
      <w:r w:rsidRPr="006E3B9B">
        <w:rPr>
          <w:rFonts w:hint="eastAsia"/>
          <w:lang w:eastAsia="zh-CN"/>
        </w:rPr>
        <w:t>租用国际电联大楼内会议厅和办公室的条件</w:t>
      </w:r>
      <w:r w:rsidRPr="006E3B9B">
        <w:rPr>
          <w:lang w:val="en-US" w:eastAsia="zh-CN"/>
        </w:rPr>
        <w:tab/>
      </w:r>
      <w:r w:rsidR="003E11A1">
        <w:rPr>
          <w:lang w:val="en-US" w:eastAsia="zh-CN"/>
        </w:rPr>
        <w:tab/>
      </w:r>
      <w:r w:rsidRPr="006E3B9B">
        <w:rPr>
          <w:lang w:val="en-US" w:eastAsia="zh-CN"/>
        </w:rPr>
        <w:t>1975</w:t>
      </w:r>
      <w:r w:rsidRPr="006E3B9B">
        <w:rPr>
          <w:rFonts w:hint="eastAsia"/>
          <w:lang w:val="en-US" w:eastAsia="zh-CN"/>
        </w:rPr>
        <w:t>年</w:t>
      </w:r>
    </w:p>
    <w:p w14:paraId="4827BE65"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547</w:t>
      </w:r>
      <w:r w:rsidRPr="006E3B9B">
        <w:rPr>
          <w:lang w:val="en-US" w:eastAsia="zh-CN"/>
        </w:rPr>
        <w:t>号决议</w:t>
      </w:r>
      <w:r w:rsidRPr="006E3B9B">
        <w:rPr>
          <w:lang w:val="en-US" w:eastAsia="zh-CN"/>
        </w:rPr>
        <w:tab/>
      </w:r>
      <w:r w:rsidRPr="006E3B9B">
        <w:rPr>
          <w:rFonts w:hint="eastAsia"/>
          <w:lang w:eastAsia="zh-CN"/>
        </w:rPr>
        <w:t>非洲低频</w:t>
      </w:r>
      <w:r w:rsidRPr="006E3B9B">
        <w:rPr>
          <w:lang w:eastAsia="zh-CN"/>
        </w:rPr>
        <w:t>/</w:t>
      </w:r>
      <w:r w:rsidRPr="006E3B9B">
        <w:rPr>
          <w:rFonts w:hint="eastAsia"/>
          <w:lang w:eastAsia="zh-CN"/>
        </w:rPr>
        <w:t>中频广播大会</w:t>
      </w:r>
      <w:r w:rsidRPr="006E3B9B">
        <w:rPr>
          <w:lang w:val="en-US" w:eastAsia="zh-CN"/>
        </w:rPr>
        <w:tab/>
      </w:r>
      <w:r w:rsidR="003E11A1">
        <w:rPr>
          <w:lang w:val="en-US" w:eastAsia="zh-CN"/>
        </w:rPr>
        <w:tab/>
      </w:r>
      <w:r w:rsidRPr="006E3B9B">
        <w:rPr>
          <w:lang w:val="en-US" w:eastAsia="zh-CN"/>
        </w:rPr>
        <w:t>1967</w:t>
      </w:r>
      <w:r w:rsidRPr="006E3B9B">
        <w:rPr>
          <w:rFonts w:hint="eastAsia"/>
          <w:lang w:val="en-US" w:eastAsia="zh-CN"/>
        </w:rPr>
        <w:t>年</w:t>
      </w:r>
    </w:p>
    <w:p w14:paraId="4827BE66"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548</w:t>
      </w:r>
      <w:r w:rsidRPr="006E3B9B">
        <w:rPr>
          <w:lang w:val="en-US" w:eastAsia="zh-CN"/>
        </w:rPr>
        <w:t>号决议</w:t>
      </w:r>
      <w:r w:rsidRPr="006E3B9B">
        <w:rPr>
          <w:lang w:val="en-US" w:eastAsia="zh-CN"/>
        </w:rPr>
        <w:tab/>
      </w:r>
      <w:r w:rsidRPr="006E3B9B">
        <w:rPr>
          <w:rFonts w:hint="eastAsia"/>
          <w:lang w:eastAsia="zh-CN"/>
        </w:rPr>
        <w:t>为准备修订航空移动（</w:t>
      </w:r>
      <w:r w:rsidRPr="006E3B9B">
        <w:rPr>
          <w:rFonts w:hint="eastAsia"/>
          <w:lang w:eastAsia="zh-CN"/>
        </w:rPr>
        <w:t>R</w:t>
      </w:r>
      <w:r w:rsidRPr="006E3B9B">
        <w:rPr>
          <w:rFonts w:hint="eastAsia"/>
          <w:lang w:eastAsia="zh-CN"/>
        </w:rPr>
        <w:t>）业务的分配规划而召开的第二次</w:t>
      </w:r>
      <w:r w:rsidRPr="006E3B9B">
        <w:rPr>
          <w:lang w:eastAsia="zh-CN"/>
        </w:rPr>
        <w:t>特别无线电行政</w:t>
      </w:r>
      <w:r w:rsidR="004A6625">
        <w:rPr>
          <w:lang w:val="en-US" w:eastAsia="zh-CN"/>
        </w:rPr>
        <w:br/>
      </w:r>
      <w:r w:rsidRPr="006E3B9B">
        <w:rPr>
          <w:lang w:eastAsia="zh-CN"/>
        </w:rPr>
        <w:t>大会</w:t>
      </w:r>
      <w:r w:rsidRPr="006E3B9B">
        <w:rPr>
          <w:rFonts w:hint="eastAsia"/>
          <w:lang w:eastAsia="zh-CN"/>
        </w:rPr>
        <w:t>的日期</w:t>
      </w:r>
      <w:r w:rsidRPr="006E3B9B">
        <w:rPr>
          <w:lang w:val="en-US" w:eastAsia="zh-CN"/>
        </w:rPr>
        <w:tab/>
      </w:r>
      <w:r w:rsidR="00587F0E">
        <w:rPr>
          <w:lang w:val="en-US" w:eastAsia="zh-CN"/>
        </w:rPr>
        <w:tab/>
      </w:r>
      <w:r w:rsidRPr="006E3B9B">
        <w:rPr>
          <w:lang w:val="en-US" w:eastAsia="zh-CN"/>
        </w:rPr>
        <w:t>1964</w:t>
      </w:r>
      <w:r w:rsidRPr="006E3B9B">
        <w:rPr>
          <w:rFonts w:hint="eastAsia"/>
          <w:lang w:val="en-US" w:eastAsia="zh-CN"/>
        </w:rPr>
        <w:t>年</w:t>
      </w:r>
    </w:p>
    <w:p w14:paraId="4827BE67"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549</w:t>
      </w:r>
      <w:r w:rsidRPr="006E3B9B">
        <w:rPr>
          <w:lang w:val="en-US" w:eastAsia="zh-CN"/>
        </w:rPr>
        <w:t>号决议</w:t>
      </w:r>
      <w:r w:rsidRPr="006E3B9B">
        <w:rPr>
          <w:lang w:val="en-US" w:eastAsia="zh-CN"/>
        </w:rPr>
        <w:tab/>
      </w:r>
      <w:r w:rsidRPr="006E3B9B">
        <w:rPr>
          <w:rFonts w:hint="eastAsia"/>
          <w:lang w:eastAsia="zh-CN"/>
        </w:rPr>
        <w:t>对《无线电规则》的结构可能做出的修改</w:t>
      </w:r>
      <w:r w:rsidRPr="006E3B9B">
        <w:rPr>
          <w:lang w:val="en-US" w:eastAsia="zh-CN"/>
        </w:rPr>
        <w:tab/>
      </w:r>
      <w:r w:rsidR="003E11A1">
        <w:rPr>
          <w:lang w:val="en-US" w:eastAsia="zh-CN"/>
        </w:rPr>
        <w:tab/>
      </w:r>
      <w:r w:rsidRPr="006E3B9B">
        <w:rPr>
          <w:lang w:val="en-US" w:eastAsia="zh-CN"/>
        </w:rPr>
        <w:t>1967</w:t>
      </w:r>
      <w:r w:rsidRPr="006E3B9B">
        <w:rPr>
          <w:rFonts w:hint="eastAsia"/>
          <w:lang w:val="en-US" w:eastAsia="zh-CN"/>
        </w:rPr>
        <w:t>年</w:t>
      </w:r>
    </w:p>
    <w:p w14:paraId="4827BE68"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550</w:t>
      </w:r>
      <w:r w:rsidRPr="006E3B9B">
        <w:rPr>
          <w:lang w:val="en-US" w:eastAsia="zh-CN"/>
        </w:rPr>
        <w:t>号决议</w:t>
      </w:r>
      <w:r w:rsidRPr="006E3B9B">
        <w:rPr>
          <w:lang w:val="en-US" w:eastAsia="zh-CN"/>
        </w:rPr>
        <w:tab/>
      </w:r>
      <w:r w:rsidRPr="006E3B9B">
        <w:rPr>
          <w:rFonts w:hint="eastAsia"/>
          <w:lang w:eastAsia="zh-CN"/>
        </w:rPr>
        <w:t>对空间无线电通信领域进展的审议</w:t>
      </w:r>
      <w:r w:rsidRPr="006E3B9B">
        <w:rPr>
          <w:lang w:val="en-US" w:eastAsia="zh-CN"/>
        </w:rPr>
        <w:tab/>
      </w:r>
      <w:r w:rsidR="003E11A1">
        <w:rPr>
          <w:lang w:val="en-US" w:eastAsia="zh-CN"/>
        </w:rPr>
        <w:tab/>
      </w:r>
      <w:r w:rsidRPr="006E3B9B">
        <w:rPr>
          <w:lang w:val="en-US" w:eastAsia="zh-CN"/>
        </w:rPr>
        <w:t>1981</w:t>
      </w:r>
      <w:r w:rsidRPr="006E3B9B">
        <w:rPr>
          <w:rFonts w:hint="eastAsia"/>
          <w:lang w:val="en-US" w:eastAsia="zh-CN"/>
        </w:rPr>
        <w:t>年</w:t>
      </w:r>
    </w:p>
    <w:p w14:paraId="4827BE69"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551</w:t>
      </w:r>
      <w:r w:rsidRPr="006E3B9B">
        <w:rPr>
          <w:lang w:val="en-US" w:eastAsia="zh-CN"/>
        </w:rPr>
        <w:t>号决议</w:t>
      </w:r>
      <w:r w:rsidRPr="006E3B9B">
        <w:rPr>
          <w:lang w:val="en-US" w:eastAsia="zh-CN"/>
        </w:rPr>
        <w:tab/>
      </w:r>
      <w:r w:rsidRPr="006E3B9B">
        <w:rPr>
          <w:rFonts w:hint="eastAsia"/>
          <w:lang w:eastAsia="zh-CN"/>
        </w:rPr>
        <w:t>专家组关于研究减少</w:t>
      </w:r>
      <w:r w:rsidRPr="006E3B9B">
        <w:rPr>
          <w:lang w:eastAsia="zh-CN"/>
        </w:rPr>
        <w:t>4</w:t>
      </w:r>
      <w:r w:rsidRPr="006E3B9B">
        <w:rPr>
          <w:rFonts w:hint="eastAsia"/>
          <w:lang w:eastAsia="zh-CN"/>
        </w:rPr>
        <w:t>到</w:t>
      </w:r>
      <w:r w:rsidRPr="006E3B9B">
        <w:rPr>
          <w:lang w:eastAsia="zh-CN"/>
        </w:rPr>
        <w:t>27.5</w:t>
      </w:r>
      <w:r w:rsidRPr="006E3B9B">
        <w:rPr>
          <w:rFonts w:hint="eastAsia"/>
          <w:lang w:eastAsia="zh-CN"/>
        </w:rPr>
        <w:t>兆赫兹频段内拥塞的措施的建议</w:t>
      </w:r>
      <w:r w:rsidRPr="006E3B9B">
        <w:rPr>
          <w:lang w:val="en-US" w:eastAsia="zh-CN"/>
        </w:rPr>
        <w:tab/>
      </w:r>
      <w:r w:rsidR="003E11A1">
        <w:rPr>
          <w:lang w:val="en-US" w:eastAsia="zh-CN"/>
        </w:rPr>
        <w:tab/>
      </w:r>
      <w:r w:rsidRPr="006E3B9B">
        <w:rPr>
          <w:lang w:val="en-US" w:eastAsia="zh-CN"/>
        </w:rPr>
        <w:t>1986</w:t>
      </w:r>
      <w:r w:rsidRPr="006E3B9B">
        <w:rPr>
          <w:rFonts w:hint="eastAsia"/>
          <w:lang w:val="en-US" w:eastAsia="zh-CN"/>
        </w:rPr>
        <w:t>年</w:t>
      </w:r>
    </w:p>
    <w:p w14:paraId="4827BE6A"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552</w:t>
      </w:r>
      <w:r w:rsidRPr="006E3B9B">
        <w:rPr>
          <w:lang w:val="en-US" w:eastAsia="zh-CN"/>
        </w:rPr>
        <w:t>号决议</w:t>
      </w:r>
      <w:r w:rsidRPr="006E3B9B">
        <w:rPr>
          <w:lang w:val="en-US" w:eastAsia="zh-CN"/>
        </w:rPr>
        <w:tab/>
      </w:r>
      <w:r w:rsidRPr="006E3B9B">
        <w:rPr>
          <w:rFonts w:hint="eastAsia"/>
          <w:lang w:val="en-US" w:eastAsia="zh-CN"/>
        </w:rPr>
        <w:t>国际</w:t>
      </w:r>
      <w:r w:rsidRPr="006E3B9B">
        <w:rPr>
          <w:rFonts w:hint="eastAsia"/>
          <w:lang w:eastAsia="zh-CN"/>
        </w:rPr>
        <w:t>电联对电子计算机的使用</w:t>
      </w:r>
      <w:r w:rsidRPr="006E3B9B">
        <w:rPr>
          <w:lang w:val="en-US" w:eastAsia="zh-CN"/>
        </w:rPr>
        <w:tab/>
      </w:r>
      <w:r w:rsidR="003E11A1">
        <w:rPr>
          <w:lang w:val="en-US" w:eastAsia="zh-CN"/>
        </w:rPr>
        <w:tab/>
      </w:r>
      <w:r w:rsidRPr="006E3B9B">
        <w:rPr>
          <w:lang w:val="en-US" w:eastAsia="zh-CN"/>
        </w:rPr>
        <w:t>196</w:t>
      </w:r>
      <w:r w:rsidRPr="006E3B9B">
        <w:rPr>
          <w:rFonts w:hint="eastAsia"/>
          <w:lang w:val="en-US" w:eastAsia="zh-CN"/>
        </w:rPr>
        <w:t>6</w:t>
      </w:r>
      <w:r w:rsidRPr="006E3B9B">
        <w:rPr>
          <w:rFonts w:hint="eastAsia"/>
          <w:lang w:val="en-US" w:eastAsia="zh-CN"/>
        </w:rPr>
        <w:t>年</w:t>
      </w:r>
    </w:p>
    <w:p w14:paraId="4827BE6B" w14:textId="77777777" w:rsidR="006E3B9B" w:rsidRPr="006E3B9B" w:rsidRDefault="006E3B9B" w:rsidP="003E11A1">
      <w:pPr>
        <w:pStyle w:val="Reftitle"/>
        <w:rPr>
          <w:lang w:val="en-US" w:eastAsia="zh-CN"/>
        </w:rPr>
      </w:pPr>
      <w:r w:rsidRPr="006E3B9B">
        <w:rPr>
          <w:rFonts w:hint="eastAsia"/>
          <w:lang w:eastAsia="zh-CN"/>
        </w:rPr>
        <w:t>第</w:t>
      </w:r>
      <w:r w:rsidRPr="006E3B9B">
        <w:rPr>
          <w:lang w:eastAsia="zh-CN"/>
        </w:rPr>
        <w:t>20</w:t>
      </w:r>
      <w:r w:rsidRPr="006E3B9B">
        <w:rPr>
          <w:rFonts w:hint="eastAsia"/>
          <w:lang w:eastAsia="zh-CN"/>
        </w:rPr>
        <w:t>届会议（</w:t>
      </w:r>
      <w:r w:rsidRPr="006E3B9B">
        <w:rPr>
          <w:lang w:eastAsia="zh-CN"/>
        </w:rPr>
        <w:t>1965</w:t>
      </w:r>
      <w:r w:rsidRPr="006E3B9B">
        <w:rPr>
          <w:rFonts w:hint="eastAsia"/>
          <w:lang w:eastAsia="zh-CN"/>
        </w:rPr>
        <w:t>年</w:t>
      </w:r>
      <w:r w:rsidRPr="006E3B9B">
        <w:rPr>
          <w:lang w:eastAsia="zh-CN"/>
        </w:rPr>
        <w:t>4</w:t>
      </w:r>
      <w:r w:rsidRPr="006E3B9B">
        <w:rPr>
          <w:rFonts w:hint="eastAsia"/>
          <w:lang w:eastAsia="zh-CN"/>
        </w:rPr>
        <w:t>月</w:t>
      </w:r>
      <w:r w:rsidRPr="006E3B9B">
        <w:rPr>
          <w:lang w:eastAsia="zh-CN"/>
        </w:rPr>
        <w:t>-5</w:t>
      </w:r>
      <w:r w:rsidRPr="006E3B9B">
        <w:rPr>
          <w:rFonts w:hint="eastAsia"/>
          <w:lang w:eastAsia="zh-CN"/>
        </w:rPr>
        <w:t>月）</w:t>
      </w:r>
    </w:p>
    <w:p w14:paraId="4827BE6C"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553</w:t>
      </w:r>
      <w:r w:rsidRPr="006E3B9B">
        <w:rPr>
          <w:lang w:val="en-US" w:eastAsia="zh-CN"/>
        </w:rPr>
        <w:t>号决议</w:t>
      </w:r>
      <w:r w:rsidRPr="006E3B9B">
        <w:rPr>
          <w:lang w:val="en-US" w:eastAsia="zh-CN"/>
        </w:rPr>
        <w:tab/>
      </w:r>
      <w:r w:rsidRPr="006E3B9B">
        <w:rPr>
          <w:lang w:eastAsia="zh-CN"/>
        </w:rPr>
        <w:t>1965</w:t>
      </w:r>
      <w:r w:rsidRPr="006E3B9B">
        <w:rPr>
          <w:rFonts w:hint="eastAsia"/>
          <w:lang w:eastAsia="zh-CN"/>
        </w:rPr>
        <w:t>年的追加拨款</w:t>
      </w:r>
      <w:r w:rsidRPr="006E3B9B">
        <w:rPr>
          <w:lang w:val="en-US" w:eastAsia="zh-CN"/>
        </w:rPr>
        <w:tab/>
      </w:r>
      <w:r w:rsidR="003E11A1">
        <w:rPr>
          <w:lang w:val="en-US" w:eastAsia="zh-CN"/>
        </w:rPr>
        <w:tab/>
      </w:r>
      <w:r w:rsidRPr="006E3B9B">
        <w:rPr>
          <w:lang w:val="en-US" w:eastAsia="zh-CN"/>
        </w:rPr>
        <w:t>1966</w:t>
      </w:r>
      <w:r w:rsidRPr="006E3B9B">
        <w:rPr>
          <w:rFonts w:hint="eastAsia"/>
          <w:lang w:val="en-US" w:eastAsia="zh-CN"/>
        </w:rPr>
        <w:t>年</w:t>
      </w:r>
    </w:p>
    <w:p w14:paraId="4827BE6D"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554</w:t>
      </w:r>
      <w:r w:rsidRPr="006E3B9B">
        <w:rPr>
          <w:lang w:val="en-US" w:eastAsia="zh-CN"/>
        </w:rPr>
        <w:t>号决议</w:t>
      </w:r>
      <w:r w:rsidRPr="006E3B9B">
        <w:rPr>
          <w:lang w:val="en-US" w:eastAsia="zh-CN"/>
        </w:rPr>
        <w:tab/>
      </w:r>
      <w:r w:rsidRPr="006E3B9B">
        <w:rPr>
          <w:rFonts w:hint="eastAsia"/>
          <w:lang w:val="en-US" w:eastAsia="zh-CN"/>
        </w:rPr>
        <w:t>国际</w:t>
      </w:r>
      <w:r w:rsidRPr="006E3B9B">
        <w:rPr>
          <w:rFonts w:hint="eastAsia"/>
          <w:lang w:eastAsia="zh-CN"/>
        </w:rPr>
        <w:t>电联</w:t>
      </w:r>
      <w:r w:rsidRPr="006E3B9B">
        <w:rPr>
          <w:lang w:eastAsia="zh-CN"/>
        </w:rPr>
        <w:t>1965</w:t>
      </w:r>
      <w:r w:rsidRPr="006E3B9B">
        <w:rPr>
          <w:rFonts w:hint="eastAsia"/>
          <w:lang w:eastAsia="zh-CN"/>
        </w:rPr>
        <w:t>年预算</w:t>
      </w:r>
      <w:r w:rsidRPr="006E3B9B">
        <w:rPr>
          <w:lang w:val="en-US" w:eastAsia="zh-CN"/>
        </w:rPr>
        <w:tab/>
      </w:r>
      <w:r w:rsidR="003E11A1">
        <w:rPr>
          <w:lang w:val="en-US" w:eastAsia="zh-CN"/>
        </w:rPr>
        <w:tab/>
      </w:r>
      <w:r w:rsidRPr="006E3B9B">
        <w:rPr>
          <w:lang w:val="en-US" w:eastAsia="zh-CN"/>
        </w:rPr>
        <w:t>1967</w:t>
      </w:r>
      <w:r w:rsidRPr="006E3B9B">
        <w:rPr>
          <w:rFonts w:hint="eastAsia"/>
          <w:lang w:val="en-US" w:eastAsia="zh-CN"/>
        </w:rPr>
        <w:t>年</w:t>
      </w:r>
    </w:p>
    <w:p w14:paraId="4827BE6E"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555</w:t>
      </w:r>
      <w:r w:rsidRPr="006E3B9B">
        <w:rPr>
          <w:lang w:val="en-US" w:eastAsia="zh-CN"/>
        </w:rPr>
        <w:t>号决议</w:t>
      </w:r>
      <w:r w:rsidRPr="006E3B9B">
        <w:rPr>
          <w:lang w:val="en-US" w:eastAsia="zh-CN"/>
        </w:rPr>
        <w:tab/>
      </w:r>
      <w:r w:rsidRPr="006E3B9B">
        <w:rPr>
          <w:rFonts w:hint="eastAsia"/>
          <w:lang w:val="en-US" w:eastAsia="zh-CN"/>
        </w:rPr>
        <w:t>国际</w:t>
      </w:r>
      <w:r w:rsidRPr="006E3B9B">
        <w:rPr>
          <w:rFonts w:hint="eastAsia"/>
          <w:lang w:eastAsia="zh-CN"/>
        </w:rPr>
        <w:t>电联</w:t>
      </w:r>
      <w:r w:rsidRPr="006E3B9B">
        <w:rPr>
          <w:lang w:eastAsia="zh-CN"/>
        </w:rPr>
        <w:t>1964</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1</w:t>
      </w:r>
      <w:r w:rsidRPr="006E3B9B">
        <w:rPr>
          <w:rFonts w:hint="eastAsia"/>
          <w:lang w:eastAsia="zh-CN"/>
        </w:rPr>
        <w:t>日至</w:t>
      </w:r>
      <w:r w:rsidRPr="006E3B9B">
        <w:rPr>
          <w:lang w:eastAsia="zh-CN"/>
        </w:rPr>
        <w:t>12</w:t>
      </w:r>
      <w:r w:rsidRPr="006E3B9B">
        <w:rPr>
          <w:rFonts w:hint="eastAsia"/>
          <w:lang w:eastAsia="zh-CN"/>
        </w:rPr>
        <w:t>月</w:t>
      </w:r>
      <w:r w:rsidRPr="006E3B9B">
        <w:rPr>
          <w:lang w:eastAsia="zh-CN"/>
        </w:rPr>
        <w:t>31</w:t>
      </w:r>
      <w:r w:rsidRPr="006E3B9B">
        <w:rPr>
          <w:rFonts w:hint="eastAsia"/>
          <w:lang w:eastAsia="zh-CN"/>
        </w:rPr>
        <w:t>日账目的外部审计</w:t>
      </w:r>
      <w:r w:rsidRPr="006E3B9B">
        <w:rPr>
          <w:lang w:val="en-US" w:eastAsia="zh-CN"/>
        </w:rPr>
        <w:tab/>
      </w:r>
      <w:r w:rsidR="003E11A1">
        <w:rPr>
          <w:lang w:val="en-US" w:eastAsia="zh-CN"/>
        </w:rPr>
        <w:tab/>
      </w:r>
      <w:r w:rsidRPr="006E3B9B">
        <w:rPr>
          <w:lang w:val="en-US" w:eastAsia="zh-CN"/>
        </w:rPr>
        <w:t>1966</w:t>
      </w:r>
      <w:r w:rsidRPr="006E3B9B">
        <w:rPr>
          <w:rFonts w:hint="eastAsia"/>
          <w:lang w:val="en-US" w:eastAsia="zh-CN"/>
        </w:rPr>
        <w:t>年</w:t>
      </w:r>
    </w:p>
    <w:p w14:paraId="4827BE6F"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556</w:t>
      </w:r>
      <w:r w:rsidRPr="006E3B9B">
        <w:rPr>
          <w:lang w:val="en-US" w:eastAsia="zh-CN"/>
        </w:rPr>
        <w:t>号决议</w:t>
      </w:r>
      <w:r w:rsidRPr="006E3B9B">
        <w:rPr>
          <w:lang w:val="en-US" w:eastAsia="zh-CN"/>
        </w:rPr>
        <w:tab/>
      </w:r>
      <w:r w:rsidRPr="006E3B9B">
        <w:rPr>
          <w:rFonts w:hint="eastAsia"/>
          <w:lang w:val="en-US" w:eastAsia="zh-CN"/>
        </w:rPr>
        <w:t>国际</w:t>
      </w:r>
      <w:r w:rsidRPr="006E3B9B">
        <w:rPr>
          <w:rFonts w:hint="eastAsia"/>
          <w:lang w:eastAsia="zh-CN"/>
        </w:rPr>
        <w:t>电联</w:t>
      </w:r>
      <w:r w:rsidRPr="006E3B9B">
        <w:rPr>
          <w:lang w:eastAsia="zh-CN"/>
        </w:rPr>
        <w:t>1964</w:t>
      </w:r>
      <w:r w:rsidRPr="006E3B9B">
        <w:rPr>
          <w:rFonts w:hint="eastAsia"/>
          <w:lang w:eastAsia="zh-CN"/>
        </w:rPr>
        <w:t>年财务工作报告</w:t>
      </w:r>
      <w:r w:rsidRPr="006E3B9B">
        <w:rPr>
          <w:lang w:val="en-US" w:eastAsia="zh-CN"/>
        </w:rPr>
        <w:tab/>
      </w:r>
      <w:r w:rsidR="003E11A1">
        <w:rPr>
          <w:lang w:val="en-US" w:eastAsia="zh-CN"/>
        </w:rPr>
        <w:tab/>
      </w:r>
      <w:r w:rsidRPr="006E3B9B">
        <w:rPr>
          <w:lang w:val="en-US" w:eastAsia="zh-CN"/>
        </w:rPr>
        <w:t>1966</w:t>
      </w:r>
      <w:r w:rsidRPr="006E3B9B">
        <w:rPr>
          <w:rFonts w:hint="eastAsia"/>
          <w:lang w:val="en-US" w:eastAsia="zh-CN"/>
        </w:rPr>
        <w:t>年</w:t>
      </w:r>
    </w:p>
    <w:p w14:paraId="4827BE70"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557</w:t>
      </w:r>
      <w:r w:rsidRPr="006E3B9B">
        <w:rPr>
          <w:lang w:val="en-US" w:eastAsia="zh-CN"/>
        </w:rPr>
        <w:t>号决议</w:t>
      </w:r>
      <w:r w:rsidRPr="006E3B9B">
        <w:rPr>
          <w:lang w:val="en-US" w:eastAsia="zh-CN"/>
        </w:rPr>
        <w:tab/>
      </w:r>
      <w:r w:rsidRPr="006E3B9B">
        <w:rPr>
          <w:rFonts w:hint="eastAsia"/>
          <w:lang w:eastAsia="zh-CN"/>
        </w:rPr>
        <w:t>欠款账目</w:t>
      </w:r>
      <w:r w:rsidRPr="006E3B9B">
        <w:rPr>
          <w:lang w:val="en-US" w:eastAsia="zh-CN"/>
        </w:rPr>
        <w:tab/>
      </w:r>
      <w:r w:rsidR="003E11A1">
        <w:rPr>
          <w:lang w:val="en-US" w:eastAsia="zh-CN"/>
        </w:rPr>
        <w:tab/>
      </w:r>
      <w:r w:rsidRPr="006E3B9B">
        <w:rPr>
          <w:lang w:val="en-US" w:eastAsia="zh-CN"/>
        </w:rPr>
        <w:t>1966</w:t>
      </w:r>
      <w:r w:rsidRPr="006E3B9B">
        <w:rPr>
          <w:rFonts w:hint="eastAsia"/>
          <w:lang w:val="en-US" w:eastAsia="zh-CN"/>
        </w:rPr>
        <w:t>年</w:t>
      </w:r>
    </w:p>
    <w:p w14:paraId="4827BE71"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558</w:t>
      </w:r>
      <w:r w:rsidRPr="006E3B9B">
        <w:rPr>
          <w:lang w:val="en-US" w:eastAsia="zh-CN"/>
        </w:rPr>
        <w:t>号决议</w:t>
      </w:r>
      <w:r w:rsidRPr="006E3B9B">
        <w:rPr>
          <w:lang w:val="en-US" w:eastAsia="zh-CN"/>
        </w:rPr>
        <w:tab/>
      </w:r>
      <w:r w:rsidRPr="006E3B9B">
        <w:rPr>
          <w:rFonts w:hint="eastAsia"/>
          <w:lang w:eastAsia="zh-CN"/>
        </w:rPr>
        <w:t>向一般事务类官员提供的、</w:t>
      </w:r>
      <w:r w:rsidRPr="006E3B9B">
        <w:rPr>
          <w:rFonts w:hint="eastAsia"/>
          <w:lang w:val="en-US" w:eastAsia="zh-CN"/>
        </w:rPr>
        <w:t>针对子女的</w:t>
      </w:r>
      <w:r w:rsidRPr="006E3B9B">
        <w:rPr>
          <w:rFonts w:hint="eastAsia"/>
          <w:lang w:eastAsia="zh-CN"/>
        </w:rPr>
        <w:t>扶养人补贴</w:t>
      </w:r>
      <w:r w:rsidRPr="006E3B9B">
        <w:rPr>
          <w:rFonts w:hint="eastAsia"/>
          <w:lang w:eastAsia="zh-CN"/>
        </w:rPr>
        <w:t xml:space="preserve"> </w:t>
      </w:r>
      <w:r w:rsidRPr="006E3B9B">
        <w:rPr>
          <w:lang w:eastAsia="zh-CN"/>
        </w:rPr>
        <w:t>–</w:t>
      </w:r>
      <w:r w:rsidRPr="006E3B9B">
        <w:rPr>
          <w:rFonts w:hint="eastAsia"/>
          <w:lang w:eastAsia="zh-CN"/>
        </w:rPr>
        <w:t>《人事规则》规则</w:t>
      </w:r>
      <w:r w:rsidRPr="006E3B9B">
        <w:rPr>
          <w:lang w:eastAsia="zh-CN"/>
        </w:rPr>
        <w:t>3.12</w:t>
      </w:r>
      <w:r w:rsidRPr="006E3B9B">
        <w:rPr>
          <w:rFonts w:hint="eastAsia"/>
          <w:lang w:eastAsia="zh-CN"/>
        </w:rPr>
        <w:t>的修正案</w:t>
      </w:r>
      <w:r w:rsidRPr="006E3B9B">
        <w:rPr>
          <w:lang w:val="en-US" w:eastAsia="zh-CN"/>
        </w:rPr>
        <w:tab/>
      </w:r>
      <w:r w:rsidR="003E11A1">
        <w:rPr>
          <w:lang w:val="en-US" w:eastAsia="zh-CN"/>
        </w:rPr>
        <w:tab/>
      </w:r>
      <w:r w:rsidRPr="006E3B9B">
        <w:rPr>
          <w:lang w:val="en-US" w:eastAsia="zh-CN"/>
        </w:rPr>
        <w:t>1966</w:t>
      </w:r>
      <w:r w:rsidRPr="006E3B9B">
        <w:rPr>
          <w:rFonts w:hint="eastAsia"/>
          <w:lang w:val="en-US" w:eastAsia="zh-CN"/>
        </w:rPr>
        <w:t>年</w:t>
      </w:r>
    </w:p>
    <w:p w14:paraId="4827BE72"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559</w:t>
      </w:r>
      <w:r w:rsidRPr="006E3B9B">
        <w:rPr>
          <w:lang w:val="en-US" w:eastAsia="zh-CN"/>
        </w:rPr>
        <w:t>号决议</w:t>
      </w:r>
      <w:r w:rsidRPr="006E3B9B">
        <w:rPr>
          <w:lang w:val="en-US" w:eastAsia="zh-CN"/>
        </w:rPr>
        <w:tab/>
      </w:r>
      <w:r w:rsidRPr="006E3B9B">
        <w:rPr>
          <w:rFonts w:hint="eastAsia"/>
          <w:lang w:eastAsia="zh-CN"/>
        </w:rPr>
        <w:t>职员退休和福利基金受益人的生活费补贴</w:t>
      </w:r>
      <w:r w:rsidRPr="006E3B9B">
        <w:rPr>
          <w:lang w:val="en-US" w:eastAsia="zh-CN"/>
        </w:rPr>
        <w:tab/>
      </w:r>
      <w:r w:rsidR="003E11A1">
        <w:rPr>
          <w:lang w:val="en-US" w:eastAsia="zh-CN"/>
        </w:rPr>
        <w:tab/>
      </w:r>
      <w:r w:rsidRPr="006E3B9B">
        <w:rPr>
          <w:lang w:val="en-US" w:eastAsia="zh-CN"/>
        </w:rPr>
        <w:t>2.3</w:t>
      </w:r>
    </w:p>
    <w:p w14:paraId="4827BE73"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560</w:t>
      </w:r>
      <w:r w:rsidRPr="006E3B9B">
        <w:rPr>
          <w:lang w:val="en-US" w:eastAsia="zh-CN"/>
        </w:rPr>
        <w:t>号决议</w:t>
      </w:r>
      <w:r w:rsidRPr="006E3B9B">
        <w:rPr>
          <w:lang w:val="en-US" w:eastAsia="zh-CN"/>
        </w:rPr>
        <w:tab/>
      </w:r>
      <w:r w:rsidRPr="006E3B9B">
        <w:rPr>
          <w:rFonts w:hint="eastAsia"/>
          <w:lang w:eastAsia="zh-CN"/>
        </w:rPr>
        <w:t>国际电联职员养恤金委员会的委员</w:t>
      </w:r>
      <w:r w:rsidRPr="006E3B9B">
        <w:rPr>
          <w:lang w:val="en-US" w:eastAsia="zh-CN"/>
        </w:rPr>
        <w:tab/>
      </w:r>
      <w:r w:rsidR="003E11A1">
        <w:rPr>
          <w:lang w:val="en-US" w:eastAsia="zh-CN"/>
        </w:rPr>
        <w:tab/>
      </w:r>
      <w:r w:rsidRPr="006E3B9B">
        <w:rPr>
          <w:lang w:val="en-US" w:eastAsia="zh-CN"/>
        </w:rPr>
        <w:t>1966</w:t>
      </w:r>
      <w:r w:rsidRPr="006E3B9B">
        <w:rPr>
          <w:rFonts w:hint="eastAsia"/>
          <w:lang w:val="en-US" w:eastAsia="zh-CN"/>
        </w:rPr>
        <w:t>年</w:t>
      </w:r>
    </w:p>
    <w:p w14:paraId="4827BE74"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561</w:t>
      </w:r>
      <w:r w:rsidRPr="006E3B9B">
        <w:rPr>
          <w:lang w:val="en-US" w:eastAsia="zh-CN"/>
        </w:rPr>
        <w:t>号决议</w:t>
      </w:r>
      <w:r w:rsidRPr="006E3B9B">
        <w:rPr>
          <w:lang w:val="en-US" w:eastAsia="zh-CN"/>
        </w:rPr>
        <w:tab/>
      </w:r>
      <w:r w:rsidRPr="006E3B9B">
        <w:rPr>
          <w:rFonts w:hint="eastAsia"/>
          <w:lang w:eastAsia="zh-CN"/>
        </w:rPr>
        <w:t>应计养恤金的薪酬</w:t>
      </w:r>
      <w:r w:rsidRPr="006E3B9B">
        <w:rPr>
          <w:lang w:val="en-US" w:eastAsia="zh-CN"/>
        </w:rPr>
        <w:tab/>
      </w:r>
      <w:r w:rsidR="003E11A1">
        <w:rPr>
          <w:lang w:val="en-US" w:eastAsia="zh-CN"/>
        </w:rPr>
        <w:tab/>
      </w:r>
      <w:r w:rsidRPr="006E3B9B">
        <w:rPr>
          <w:lang w:val="en-US" w:eastAsia="zh-CN"/>
        </w:rPr>
        <w:t>1966</w:t>
      </w:r>
      <w:r w:rsidRPr="006E3B9B">
        <w:rPr>
          <w:rFonts w:hint="eastAsia"/>
          <w:lang w:val="en-US" w:eastAsia="zh-CN"/>
        </w:rPr>
        <w:t>年</w:t>
      </w:r>
    </w:p>
    <w:p w14:paraId="4827BE75"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562</w:t>
      </w:r>
      <w:r w:rsidRPr="006E3B9B">
        <w:rPr>
          <w:lang w:val="en-US" w:eastAsia="zh-CN"/>
        </w:rPr>
        <w:t>号决议</w:t>
      </w:r>
      <w:r w:rsidRPr="006E3B9B">
        <w:rPr>
          <w:lang w:val="en-US" w:eastAsia="zh-CN"/>
        </w:rPr>
        <w:tab/>
      </w:r>
      <w:r w:rsidRPr="006E3B9B">
        <w:rPr>
          <w:rFonts w:hint="eastAsia"/>
          <w:lang w:eastAsia="zh-CN"/>
        </w:rPr>
        <w:t>职员评估计划</w:t>
      </w:r>
      <w:r w:rsidRPr="006E3B9B">
        <w:rPr>
          <w:lang w:val="en-US" w:eastAsia="zh-CN"/>
        </w:rPr>
        <w:tab/>
      </w:r>
      <w:r w:rsidR="003E11A1">
        <w:rPr>
          <w:lang w:val="en-US" w:eastAsia="zh-CN"/>
        </w:rPr>
        <w:tab/>
      </w:r>
      <w:r w:rsidRPr="006E3B9B">
        <w:rPr>
          <w:lang w:val="en-US" w:eastAsia="zh-CN"/>
        </w:rPr>
        <w:t>1966</w:t>
      </w:r>
      <w:r w:rsidRPr="006E3B9B">
        <w:rPr>
          <w:rFonts w:hint="eastAsia"/>
          <w:lang w:val="en-US" w:eastAsia="zh-CN"/>
        </w:rPr>
        <w:t>年</w:t>
      </w:r>
    </w:p>
    <w:p w14:paraId="4827BE76" w14:textId="77777777" w:rsidR="00BF1CF1" w:rsidRDefault="00BF1CF1">
      <w:pPr>
        <w:tabs>
          <w:tab w:val="clear" w:pos="794"/>
          <w:tab w:val="clear" w:pos="1191"/>
          <w:tab w:val="clear" w:pos="1588"/>
          <w:tab w:val="clear" w:pos="1985"/>
        </w:tabs>
        <w:overflowPunct/>
        <w:autoSpaceDE/>
        <w:autoSpaceDN/>
        <w:adjustRightInd/>
        <w:spacing w:before="0"/>
        <w:jc w:val="left"/>
        <w:textAlignment w:val="auto"/>
        <w:rPr>
          <w:sz w:val="20"/>
          <w:lang w:val="en-US" w:eastAsia="zh-CN"/>
        </w:rPr>
      </w:pPr>
      <w:r>
        <w:rPr>
          <w:lang w:val="en-US" w:eastAsia="zh-CN"/>
        </w:rPr>
        <w:br w:type="page"/>
      </w:r>
    </w:p>
    <w:p w14:paraId="4827BE77" w14:textId="77777777" w:rsidR="006E3B9B" w:rsidRPr="006E3B9B" w:rsidRDefault="006E3B9B" w:rsidP="003E11A1">
      <w:pPr>
        <w:pStyle w:val="Appendixref"/>
        <w:rPr>
          <w:lang w:val="en-US" w:eastAsia="zh-CN"/>
        </w:rPr>
      </w:pPr>
      <w:r w:rsidRPr="006E3B9B">
        <w:rPr>
          <w:lang w:val="en-US" w:eastAsia="zh-CN"/>
        </w:rPr>
        <w:lastRenderedPageBreak/>
        <w:t>第</w:t>
      </w:r>
      <w:r w:rsidRPr="006E3B9B">
        <w:rPr>
          <w:lang w:val="en-US" w:eastAsia="zh-CN"/>
        </w:rPr>
        <w:t>563</w:t>
      </w:r>
      <w:r w:rsidRPr="006E3B9B">
        <w:rPr>
          <w:lang w:val="en-US" w:eastAsia="zh-CN"/>
        </w:rPr>
        <w:t>号决议</w:t>
      </w:r>
      <w:r w:rsidRPr="006E3B9B">
        <w:rPr>
          <w:lang w:val="en-US" w:eastAsia="zh-CN"/>
        </w:rPr>
        <w:tab/>
      </w:r>
      <w:r w:rsidRPr="006E3B9B">
        <w:rPr>
          <w:rFonts w:hint="eastAsia"/>
          <w:lang w:eastAsia="zh-CN"/>
        </w:rPr>
        <w:t>为准备修订航空移动（</w:t>
      </w:r>
      <w:r w:rsidRPr="006E3B9B">
        <w:rPr>
          <w:lang w:eastAsia="zh-CN"/>
        </w:rPr>
        <w:t>R</w:t>
      </w:r>
      <w:r w:rsidRPr="006E3B9B">
        <w:rPr>
          <w:rFonts w:hint="eastAsia"/>
          <w:lang w:eastAsia="zh-CN"/>
        </w:rPr>
        <w:t>）业务的分配规划而召开的第二次</w:t>
      </w:r>
      <w:r w:rsidRPr="006E3B9B">
        <w:rPr>
          <w:lang w:eastAsia="zh-CN"/>
        </w:rPr>
        <w:t>特别无线电行政</w:t>
      </w:r>
      <w:r w:rsidR="003E11A1">
        <w:rPr>
          <w:lang w:eastAsia="zh-CN"/>
        </w:rPr>
        <w:br/>
      </w:r>
      <w:r w:rsidRPr="006E3B9B">
        <w:rPr>
          <w:lang w:eastAsia="zh-CN"/>
        </w:rPr>
        <w:t>大会</w:t>
      </w:r>
      <w:r w:rsidRPr="006E3B9B">
        <w:rPr>
          <w:lang w:val="en-US" w:eastAsia="zh-CN"/>
        </w:rPr>
        <w:tab/>
      </w:r>
      <w:r w:rsidR="003E11A1">
        <w:rPr>
          <w:lang w:val="en-US" w:eastAsia="zh-CN"/>
        </w:rPr>
        <w:tab/>
      </w:r>
      <w:r w:rsidRPr="006E3B9B">
        <w:rPr>
          <w:lang w:val="en-US" w:eastAsia="zh-CN"/>
        </w:rPr>
        <w:t>1966</w:t>
      </w:r>
      <w:r w:rsidRPr="006E3B9B">
        <w:rPr>
          <w:rFonts w:hint="eastAsia"/>
          <w:lang w:val="en-US" w:eastAsia="zh-CN"/>
        </w:rPr>
        <w:t>年</w:t>
      </w:r>
    </w:p>
    <w:p w14:paraId="4827BE78"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564</w:t>
      </w:r>
      <w:r w:rsidRPr="006E3B9B">
        <w:rPr>
          <w:lang w:val="en-US" w:eastAsia="zh-CN"/>
        </w:rPr>
        <w:t>号决议</w:t>
      </w:r>
      <w:r w:rsidRPr="006E3B9B">
        <w:rPr>
          <w:lang w:val="en-US" w:eastAsia="zh-CN"/>
        </w:rPr>
        <w:tab/>
      </w:r>
      <w:r w:rsidRPr="006E3B9B">
        <w:rPr>
          <w:rFonts w:hint="eastAsia"/>
          <w:lang w:eastAsia="zh-CN"/>
        </w:rPr>
        <w:t>可能需要召开的处理水上移动业务事宜的</w:t>
      </w:r>
      <w:r w:rsidRPr="006E3B9B">
        <w:rPr>
          <w:lang w:eastAsia="zh-CN"/>
        </w:rPr>
        <w:t>特别无线电行政大会</w:t>
      </w:r>
      <w:r w:rsidRPr="006E3B9B">
        <w:rPr>
          <w:lang w:val="en-US" w:eastAsia="zh-CN"/>
        </w:rPr>
        <w:tab/>
      </w:r>
      <w:r w:rsidR="003E11A1">
        <w:rPr>
          <w:lang w:val="en-US" w:eastAsia="zh-CN"/>
        </w:rPr>
        <w:tab/>
      </w:r>
      <w:r w:rsidRPr="006E3B9B">
        <w:rPr>
          <w:lang w:val="en-US" w:eastAsia="zh-CN"/>
        </w:rPr>
        <w:t>1967</w:t>
      </w:r>
      <w:r w:rsidRPr="006E3B9B">
        <w:rPr>
          <w:rFonts w:hint="eastAsia"/>
          <w:lang w:val="en-US" w:eastAsia="zh-CN"/>
        </w:rPr>
        <w:t>年</w:t>
      </w:r>
    </w:p>
    <w:p w14:paraId="4827BE79"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565</w:t>
      </w:r>
      <w:r w:rsidRPr="006E3B9B">
        <w:rPr>
          <w:lang w:val="en-US" w:eastAsia="zh-CN"/>
        </w:rPr>
        <w:t>号决议</w:t>
      </w:r>
      <w:r w:rsidRPr="006E3B9B">
        <w:rPr>
          <w:lang w:val="en-US" w:eastAsia="zh-CN"/>
        </w:rPr>
        <w:tab/>
      </w:r>
      <w:r w:rsidRPr="006E3B9B">
        <w:rPr>
          <w:rFonts w:hint="eastAsia"/>
          <w:lang w:eastAsia="zh-CN"/>
        </w:rPr>
        <w:t>非洲低频</w:t>
      </w:r>
      <w:r w:rsidRPr="006E3B9B">
        <w:rPr>
          <w:lang w:eastAsia="zh-CN"/>
        </w:rPr>
        <w:t>/</w:t>
      </w:r>
      <w:r w:rsidRPr="006E3B9B">
        <w:rPr>
          <w:rFonts w:hint="eastAsia"/>
          <w:lang w:eastAsia="zh-CN"/>
        </w:rPr>
        <w:t>中频广播大会</w:t>
      </w:r>
      <w:r w:rsidRPr="006E3B9B">
        <w:rPr>
          <w:lang w:val="en-US" w:eastAsia="zh-CN"/>
        </w:rPr>
        <w:tab/>
      </w:r>
      <w:r w:rsidR="003E11A1">
        <w:rPr>
          <w:lang w:val="en-US" w:eastAsia="zh-CN"/>
        </w:rPr>
        <w:tab/>
      </w:r>
      <w:r w:rsidRPr="006E3B9B">
        <w:rPr>
          <w:lang w:val="en-US" w:eastAsia="zh-CN"/>
        </w:rPr>
        <w:t>1967</w:t>
      </w:r>
      <w:r w:rsidRPr="006E3B9B">
        <w:rPr>
          <w:rFonts w:hint="eastAsia"/>
          <w:lang w:val="en-US" w:eastAsia="zh-CN"/>
        </w:rPr>
        <w:t>年</w:t>
      </w:r>
    </w:p>
    <w:p w14:paraId="4827BE7A"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566</w:t>
      </w:r>
      <w:r w:rsidRPr="006E3B9B">
        <w:rPr>
          <w:lang w:val="en-US" w:eastAsia="zh-CN"/>
        </w:rPr>
        <w:t>号决议</w:t>
      </w:r>
      <w:r w:rsidRPr="006E3B9B">
        <w:rPr>
          <w:lang w:val="en-US" w:eastAsia="zh-CN"/>
        </w:rPr>
        <w:tab/>
      </w:r>
      <w:r w:rsidRPr="006E3B9B">
        <w:rPr>
          <w:rFonts w:hint="eastAsia"/>
          <w:lang w:eastAsia="zh-CN"/>
        </w:rPr>
        <w:t>国际信号代码</w:t>
      </w:r>
      <w:r w:rsidRPr="006E3B9B">
        <w:rPr>
          <w:lang w:val="en-US" w:eastAsia="zh-CN"/>
        </w:rPr>
        <w:tab/>
      </w:r>
      <w:r w:rsidR="003E11A1">
        <w:rPr>
          <w:lang w:val="en-US" w:eastAsia="zh-CN"/>
        </w:rPr>
        <w:tab/>
      </w:r>
      <w:r w:rsidRPr="006E3B9B">
        <w:rPr>
          <w:lang w:val="en-US" w:eastAsia="zh-CN"/>
        </w:rPr>
        <w:t>1966</w:t>
      </w:r>
      <w:r w:rsidRPr="006E3B9B">
        <w:rPr>
          <w:rFonts w:hint="eastAsia"/>
          <w:lang w:val="en-US" w:eastAsia="zh-CN"/>
        </w:rPr>
        <w:t>年</w:t>
      </w:r>
    </w:p>
    <w:p w14:paraId="4827BE7B"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567</w:t>
      </w:r>
      <w:r w:rsidRPr="006E3B9B">
        <w:rPr>
          <w:lang w:val="en-US" w:eastAsia="zh-CN"/>
        </w:rPr>
        <w:t>号决议</w:t>
      </w:r>
      <w:r w:rsidRPr="006E3B9B">
        <w:rPr>
          <w:lang w:val="en-US" w:eastAsia="zh-CN"/>
        </w:rPr>
        <w:tab/>
      </w:r>
      <w:r w:rsidRPr="006E3B9B">
        <w:rPr>
          <w:rFonts w:hint="eastAsia"/>
          <w:lang w:eastAsia="zh-CN"/>
        </w:rPr>
        <w:t>技术合作项目的评估</w:t>
      </w:r>
      <w:r w:rsidRPr="006E3B9B">
        <w:rPr>
          <w:lang w:val="en-US" w:eastAsia="zh-CN"/>
        </w:rPr>
        <w:tab/>
      </w:r>
      <w:r w:rsidR="003E11A1">
        <w:rPr>
          <w:lang w:val="en-US" w:eastAsia="zh-CN"/>
        </w:rPr>
        <w:tab/>
      </w:r>
      <w:r w:rsidRPr="006E3B9B">
        <w:rPr>
          <w:lang w:val="en-US" w:eastAsia="zh-CN"/>
        </w:rPr>
        <w:t>1966</w:t>
      </w:r>
      <w:r w:rsidRPr="006E3B9B">
        <w:rPr>
          <w:rFonts w:hint="eastAsia"/>
          <w:lang w:val="en-US" w:eastAsia="zh-CN"/>
        </w:rPr>
        <w:t>年</w:t>
      </w:r>
    </w:p>
    <w:p w14:paraId="4827BE7C"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568</w:t>
      </w:r>
      <w:r w:rsidRPr="006E3B9B">
        <w:rPr>
          <w:lang w:val="en-US" w:eastAsia="zh-CN"/>
        </w:rPr>
        <w:t>号决议</w:t>
      </w:r>
      <w:r w:rsidRPr="006E3B9B">
        <w:rPr>
          <w:lang w:val="en-US" w:eastAsia="zh-CN"/>
        </w:rPr>
        <w:tab/>
      </w:r>
      <w:r w:rsidRPr="006E3B9B">
        <w:rPr>
          <w:rFonts w:hint="eastAsia"/>
          <w:lang w:eastAsia="zh-CN"/>
        </w:rPr>
        <w:t>实物性技术援助</w:t>
      </w:r>
      <w:r w:rsidRPr="006E3B9B">
        <w:rPr>
          <w:lang w:val="en-US" w:eastAsia="zh-CN"/>
        </w:rPr>
        <w:tab/>
      </w:r>
      <w:r w:rsidR="003E11A1">
        <w:rPr>
          <w:lang w:val="en-US" w:eastAsia="zh-CN"/>
        </w:rPr>
        <w:tab/>
      </w:r>
      <w:r w:rsidRPr="006E3B9B">
        <w:rPr>
          <w:lang w:val="en-US" w:eastAsia="zh-CN"/>
        </w:rPr>
        <w:t>1966</w:t>
      </w:r>
      <w:r w:rsidRPr="006E3B9B">
        <w:rPr>
          <w:rFonts w:hint="eastAsia"/>
          <w:lang w:val="en-US" w:eastAsia="zh-CN"/>
        </w:rPr>
        <w:t>年</w:t>
      </w:r>
    </w:p>
    <w:p w14:paraId="4827BE7D"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569</w:t>
      </w:r>
      <w:r w:rsidRPr="006E3B9B">
        <w:rPr>
          <w:lang w:val="en-US" w:eastAsia="zh-CN"/>
        </w:rPr>
        <w:t>号决议</w:t>
      </w:r>
      <w:r w:rsidRPr="006E3B9B">
        <w:rPr>
          <w:lang w:val="en-US" w:eastAsia="zh-CN"/>
        </w:rPr>
        <w:tab/>
      </w:r>
      <w:r w:rsidRPr="006E3B9B">
        <w:rPr>
          <w:rFonts w:hint="eastAsia"/>
          <w:lang w:val="en-US" w:eastAsia="zh-CN"/>
        </w:rPr>
        <w:t>《</w:t>
      </w:r>
      <w:r w:rsidRPr="006E3B9B">
        <w:rPr>
          <w:rFonts w:hint="eastAsia"/>
          <w:lang w:eastAsia="zh-CN"/>
        </w:rPr>
        <w:t>理事会决议和决定》的出版</w:t>
      </w:r>
      <w:r w:rsidRPr="006E3B9B">
        <w:rPr>
          <w:lang w:val="en-US" w:eastAsia="zh-CN"/>
        </w:rPr>
        <w:tab/>
      </w:r>
      <w:r w:rsidR="003E11A1">
        <w:rPr>
          <w:lang w:val="en-US" w:eastAsia="zh-CN"/>
        </w:rPr>
        <w:tab/>
      </w:r>
      <w:r w:rsidRPr="006E3B9B">
        <w:rPr>
          <w:lang w:val="en-US" w:eastAsia="zh-CN"/>
        </w:rPr>
        <w:t>1976</w:t>
      </w:r>
      <w:r w:rsidRPr="006E3B9B">
        <w:rPr>
          <w:rFonts w:hint="eastAsia"/>
          <w:lang w:val="en-US" w:eastAsia="zh-CN"/>
        </w:rPr>
        <w:t>年</w:t>
      </w:r>
    </w:p>
    <w:p w14:paraId="4827BE7E"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570</w:t>
      </w:r>
      <w:r w:rsidRPr="006E3B9B">
        <w:rPr>
          <w:lang w:val="en-US" w:eastAsia="zh-CN"/>
        </w:rPr>
        <w:t>号决议</w:t>
      </w:r>
      <w:r w:rsidRPr="006E3B9B">
        <w:rPr>
          <w:lang w:val="en-US" w:eastAsia="zh-CN"/>
        </w:rPr>
        <w:tab/>
      </w:r>
      <w:r w:rsidRPr="006E3B9B">
        <w:rPr>
          <w:rFonts w:hint="eastAsia"/>
          <w:lang w:val="en-US" w:eastAsia="zh-CN"/>
        </w:rPr>
        <w:t>《</w:t>
      </w:r>
      <w:r w:rsidRPr="006E3B9B">
        <w:rPr>
          <w:rFonts w:hint="eastAsia"/>
          <w:lang w:eastAsia="zh-CN"/>
        </w:rPr>
        <w:t>更好地利用高频无线电频谱并减少其拥塞的建议技术手册》一书的筹划</w:t>
      </w:r>
      <w:r w:rsidR="003E11A1">
        <w:rPr>
          <w:lang w:eastAsia="zh-CN"/>
        </w:rPr>
        <w:tab/>
      </w:r>
      <w:r w:rsidRPr="006E3B9B">
        <w:rPr>
          <w:lang w:val="en-US" w:eastAsia="zh-CN"/>
        </w:rPr>
        <w:tab/>
        <w:t>1975</w:t>
      </w:r>
      <w:r w:rsidRPr="006E3B9B">
        <w:rPr>
          <w:rFonts w:hint="eastAsia"/>
          <w:lang w:val="en-US" w:eastAsia="zh-CN"/>
        </w:rPr>
        <w:t>年</w:t>
      </w:r>
    </w:p>
    <w:p w14:paraId="4827BE7F"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571</w:t>
      </w:r>
      <w:r w:rsidRPr="006E3B9B">
        <w:rPr>
          <w:lang w:val="en-US" w:eastAsia="zh-CN"/>
        </w:rPr>
        <w:t>号决议</w:t>
      </w:r>
      <w:r w:rsidRPr="006E3B9B">
        <w:rPr>
          <w:lang w:val="en-US" w:eastAsia="zh-CN"/>
        </w:rPr>
        <w:tab/>
      </w:r>
      <w:r w:rsidRPr="006E3B9B">
        <w:rPr>
          <w:rFonts w:hint="eastAsia"/>
          <w:lang w:eastAsia="zh-CN"/>
        </w:rPr>
        <w:t>总部办公楼的购买</w:t>
      </w:r>
      <w:r w:rsidRPr="006E3B9B">
        <w:rPr>
          <w:lang w:val="en-US" w:eastAsia="zh-CN"/>
        </w:rPr>
        <w:tab/>
      </w:r>
      <w:r w:rsidR="003E11A1">
        <w:rPr>
          <w:lang w:val="en-US" w:eastAsia="zh-CN"/>
        </w:rPr>
        <w:tab/>
      </w:r>
      <w:r w:rsidRPr="006E3B9B">
        <w:rPr>
          <w:lang w:val="en-US" w:eastAsia="zh-CN"/>
        </w:rPr>
        <w:t>1966</w:t>
      </w:r>
      <w:r w:rsidRPr="006E3B9B">
        <w:rPr>
          <w:rFonts w:hint="eastAsia"/>
          <w:lang w:val="en-US" w:eastAsia="zh-CN"/>
        </w:rPr>
        <w:t>年</w:t>
      </w:r>
    </w:p>
    <w:p w14:paraId="4827BE80"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572</w:t>
      </w:r>
      <w:r w:rsidRPr="006E3B9B">
        <w:rPr>
          <w:lang w:val="en-US" w:eastAsia="zh-CN"/>
        </w:rPr>
        <w:t>号决议</w:t>
      </w:r>
      <w:r w:rsidRPr="006E3B9B">
        <w:rPr>
          <w:lang w:val="en-US" w:eastAsia="zh-CN"/>
        </w:rPr>
        <w:tab/>
      </w:r>
      <w:r w:rsidRPr="006E3B9B">
        <w:rPr>
          <w:rFonts w:hint="eastAsia"/>
          <w:lang w:val="en-US" w:eastAsia="zh-CN"/>
        </w:rPr>
        <w:t>国际</w:t>
      </w:r>
      <w:r w:rsidRPr="006E3B9B">
        <w:rPr>
          <w:rFonts w:hint="eastAsia"/>
          <w:lang w:eastAsia="zh-CN"/>
        </w:rPr>
        <w:t>电联总部办公楼的扩建</w:t>
      </w:r>
      <w:r w:rsidRPr="006E3B9B">
        <w:rPr>
          <w:lang w:val="en-US" w:eastAsia="zh-CN"/>
        </w:rPr>
        <w:tab/>
      </w:r>
      <w:r w:rsidR="003E11A1">
        <w:rPr>
          <w:lang w:val="en-US" w:eastAsia="zh-CN"/>
        </w:rPr>
        <w:tab/>
      </w:r>
      <w:r w:rsidRPr="006E3B9B">
        <w:rPr>
          <w:lang w:val="en-US" w:eastAsia="zh-CN"/>
        </w:rPr>
        <w:t>1966</w:t>
      </w:r>
      <w:r w:rsidRPr="006E3B9B">
        <w:rPr>
          <w:rFonts w:hint="eastAsia"/>
          <w:lang w:val="en-US" w:eastAsia="zh-CN"/>
        </w:rPr>
        <w:t>年</w:t>
      </w:r>
    </w:p>
    <w:p w14:paraId="4827BE81" w14:textId="77777777" w:rsidR="006E3B9B" w:rsidRPr="006E3B9B" w:rsidRDefault="006E3B9B" w:rsidP="003E11A1">
      <w:pPr>
        <w:pStyle w:val="Reftitle"/>
        <w:rPr>
          <w:sz w:val="20"/>
          <w:lang w:val="en-US" w:eastAsia="zh-CN"/>
        </w:rPr>
      </w:pPr>
      <w:r w:rsidRPr="006E3B9B">
        <w:rPr>
          <w:rFonts w:hint="eastAsia"/>
          <w:lang w:eastAsia="zh-CN"/>
        </w:rPr>
        <w:t>第</w:t>
      </w:r>
      <w:r w:rsidRPr="006E3B9B">
        <w:rPr>
          <w:lang w:eastAsia="zh-CN"/>
        </w:rPr>
        <w:t>21</w:t>
      </w:r>
      <w:r w:rsidRPr="006E3B9B">
        <w:rPr>
          <w:rFonts w:hint="eastAsia"/>
          <w:lang w:eastAsia="zh-CN"/>
        </w:rPr>
        <w:t>届会议（</w:t>
      </w:r>
      <w:r w:rsidRPr="006E3B9B">
        <w:rPr>
          <w:lang w:eastAsia="zh-CN"/>
        </w:rPr>
        <w:t>1966</w:t>
      </w:r>
      <w:r w:rsidRPr="006E3B9B">
        <w:rPr>
          <w:rFonts w:hint="eastAsia"/>
          <w:lang w:eastAsia="zh-CN"/>
        </w:rPr>
        <w:t>年</w:t>
      </w:r>
      <w:r w:rsidRPr="006E3B9B">
        <w:rPr>
          <w:lang w:eastAsia="zh-CN"/>
        </w:rPr>
        <w:t>5</w:t>
      </w:r>
      <w:r w:rsidRPr="006E3B9B">
        <w:rPr>
          <w:rFonts w:hint="eastAsia"/>
          <w:lang w:eastAsia="zh-CN"/>
        </w:rPr>
        <w:t>月</w:t>
      </w:r>
      <w:r w:rsidRPr="006E3B9B">
        <w:rPr>
          <w:lang w:eastAsia="zh-CN"/>
        </w:rPr>
        <w:t>-6</w:t>
      </w:r>
      <w:r w:rsidRPr="006E3B9B">
        <w:rPr>
          <w:rFonts w:hint="eastAsia"/>
          <w:lang w:eastAsia="zh-CN"/>
        </w:rPr>
        <w:t>月）</w:t>
      </w:r>
    </w:p>
    <w:p w14:paraId="4827BE82"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573</w:t>
      </w:r>
      <w:r w:rsidRPr="006E3B9B">
        <w:rPr>
          <w:lang w:val="en-US" w:eastAsia="zh-CN"/>
        </w:rPr>
        <w:t>号决议</w:t>
      </w:r>
      <w:r w:rsidRPr="006E3B9B">
        <w:rPr>
          <w:lang w:val="en-US" w:eastAsia="zh-CN"/>
        </w:rPr>
        <w:tab/>
      </w:r>
      <w:r w:rsidRPr="006E3B9B">
        <w:rPr>
          <w:rFonts w:hint="eastAsia"/>
          <w:lang w:eastAsia="zh-CN"/>
        </w:rPr>
        <w:t>专业职类及更高职类职员薪金表的调整</w:t>
      </w:r>
      <w:r w:rsidRPr="006E3B9B">
        <w:rPr>
          <w:lang w:val="en-US" w:eastAsia="zh-CN"/>
        </w:rPr>
        <w:tab/>
      </w:r>
      <w:r w:rsidR="003E11A1">
        <w:rPr>
          <w:lang w:val="en-US" w:eastAsia="zh-CN"/>
        </w:rPr>
        <w:tab/>
      </w:r>
      <w:r w:rsidRPr="006E3B9B">
        <w:rPr>
          <w:lang w:val="en-US" w:eastAsia="zh-CN"/>
        </w:rPr>
        <w:t>1967</w:t>
      </w:r>
      <w:r w:rsidRPr="006E3B9B">
        <w:rPr>
          <w:rFonts w:hint="eastAsia"/>
          <w:lang w:val="en-US" w:eastAsia="zh-CN"/>
        </w:rPr>
        <w:t>年</w:t>
      </w:r>
    </w:p>
    <w:p w14:paraId="4827BE83"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574</w:t>
      </w:r>
      <w:r w:rsidRPr="006E3B9B">
        <w:rPr>
          <w:lang w:val="en-US" w:eastAsia="zh-CN"/>
        </w:rPr>
        <w:t>号决议</w:t>
      </w:r>
      <w:r w:rsidRPr="006E3B9B">
        <w:rPr>
          <w:lang w:val="en-US" w:eastAsia="zh-CN"/>
        </w:rPr>
        <w:tab/>
      </w:r>
      <w:r w:rsidRPr="006E3B9B">
        <w:rPr>
          <w:rFonts w:hint="eastAsia"/>
          <w:lang w:eastAsia="zh-CN"/>
        </w:rPr>
        <w:t>专门机构及其它国际组织参加国际电联大会和会议的财务条件</w:t>
      </w:r>
      <w:r w:rsidR="003E11A1">
        <w:rPr>
          <w:lang w:eastAsia="zh-CN"/>
        </w:rPr>
        <w:tab/>
      </w:r>
      <w:r w:rsidRPr="006E3B9B">
        <w:rPr>
          <w:lang w:val="en-US" w:eastAsia="zh-CN"/>
        </w:rPr>
        <w:tab/>
        <w:t>1985</w:t>
      </w:r>
      <w:r w:rsidRPr="006E3B9B">
        <w:rPr>
          <w:rFonts w:hint="eastAsia"/>
          <w:lang w:val="en-US" w:eastAsia="zh-CN"/>
        </w:rPr>
        <w:t>年</w:t>
      </w:r>
    </w:p>
    <w:p w14:paraId="4827BE84"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575</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1966</w:t>
      </w:r>
      <w:r w:rsidRPr="006E3B9B">
        <w:rPr>
          <w:rFonts w:hint="eastAsia"/>
          <w:lang w:eastAsia="zh-CN"/>
        </w:rPr>
        <w:t>年预算</w:t>
      </w:r>
      <w:r w:rsidRPr="006E3B9B">
        <w:rPr>
          <w:rFonts w:hint="eastAsia"/>
          <w:lang w:eastAsia="zh-CN"/>
        </w:rPr>
        <w:t xml:space="preserve"> </w:t>
      </w:r>
      <w:r w:rsidRPr="006E3B9B">
        <w:rPr>
          <w:lang w:eastAsia="zh-CN"/>
        </w:rPr>
        <w:t>–</w:t>
      </w:r>
      <w:r w:rsidRPr="006E3B9B">
        <w:rPr>
          <w:rFonts w:hint="eastAsia"/>
          <w:lang w:eastAsia="zh-CN"/>
        </w:rPr>
        <w:t xml:space="preserve"> </w:t>
      </w:r>
      <w:r w:rsidRPr="006E3B9B">
        <w:rPr>
          <w:rFonts w:hint="eastAsia"/>
          <w:lang w:eastAsia="zh-CN"/>
        </w:rPr>
        <w:t>追加拨款</w:t>
      </w:r>
      <w:r w:rsidRPr="006E3B9B">
        <w:rPr>
          <w:lang w:val="en-US" w:eastAsia="zh-CN"/>
        </w:rPr>
        <w:tab/>
      </w:r>
      <w:r w:rsidR="003E11A1">
        <w:rPr>
          <w:lang w:val="en-US" w:eastAsia="zh-CN"/>
        </w:rPr>
        <w:tab/>
      </w:r>
      <w:r w:rsidRPr="006E3B9B">
        <w:rPr>
          <w:lang w:val="en-US" w:eastAsia="zh-CN"/>
        </w:rPr>
        <w:t>1967</w:t>
      </w:r>
      <w:r w:rsidRPr="006E3B9B">
        <w:rPr>
          <w:rFonts w:hint="eastAsia"/>
          <w:lang w:val="en-US" w:eastAsia="zh-CN"/>
        </w:rPr>
        <w:t>年</w:t>
      </w:r>
    </w:p>
    <w:p w14:paraId="4827BE85" w14:textId="77777777" w:rsidR="006E3B9B" w:rsidRPr="006E3B9B" w:rsidRDefault="006E3B9B" w:rsidP="003E11A1">
      <w:pPr>
        <w:pStyle w:val="Appendixref"/>
        <w:rPr>
          <w:lang w:val="en-US" w:eastAsia="zh-CN"/>
        </w:rPr>
      </w:pPr>
      <w:r w:rsidRPr="006E3B9B">
        <w:rPr>
          <w:lang w:val="en-US" w:eastAsia="zh-CN"/>
        </w:rPr>
        <w:t>第</w:t>
      </w:r>
      <w:r w:rsidRPr="006E3B9B">
        <w:rPr>
          <w:lang w:val="en-US" w:eastAsia="zh-CN"/>
        </w:rPr>
        <w:t>576</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1967</w:t>
      </w:r>
      <w:r w:rsidRPr="006E3B9B">
        <w:rPr>
          <w:rFonts w:hint="eastAsia"/>
          <w:lang w:eastAsia="zh-CN"/>
        </w:rPr>
        <w:t>年预算</w:t>
      </w:r>
      <w:r w:rsidRPr="006E3B9B">
        <w:rPr>
          <w:lang w:val="en-US" w:eastAsia="zh-CN"/>
        </w:rPr>
        <w:tab/>
      </w:r>
      <w:r w:rsidR="003E11A1">
        <w:rPr>
          <w:lang w:val="en-US" w:eastAsia="zh-CN"/>
        </w:rPr>
        <w:tab/>
      </w:r>
      <w:r w:rsidRPr="006E3B9B">
        <w:rPr>
          <w:lang w:val="en-US" w:eastAsia="zh-CN"/>
        </w:rPr>
        <w:t>1968</w:t>
      </w:r>
      <w:r w:rsidRPr="006E3B9B">
        <w:rPr>
          <w:rFonts w:hint="eastAsia"/>
          <w:lang w:val="en-US" w:eastAsia="zh-CN"/>
        </w:rPr>
        <w:t>年</w:t>
      </w:r>
    </w:p>
    <w:p w14:paraId="4827BE86" w14:textId="77777777" w:rsidR="006E3B9B" w:rsidRPr="006E3B9B" w:rsidRDefault="006E3B9B" w:rsidP="00F378A3">
      <w:pPr>
        <w:pStyle w:val="Appendixref"/>
        <w:rPr>
          <w:lang w:val="en-US" w:eastAsia="zh-CN"/>
        </w:rPr>
      </w:pPr>
      <w:r w:rsidRPr="006E3B9B">
        <w:rPr>
          <w:lang w:val="en-US" w:eastAsia="zh-CN"/>
        </w:rPr>
        <w:t>第</w:t>
      </w:r>
      <w:r w:rsidRPr="006E3B9B">
        <w:rPr>
          <w:lang w:val="en-US" w:eastAsia="zh-CN"/>
        </w:rPr>
        <w:t>577</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1965</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1</w:t>
      </w:r>
      <w:r w:rsidRPr="006E3B9B">
        <w:rPr>
          <w:rFonts w:hint="eastAsia"/>
          <w:lang w:eastAsia="zh-CN"/>
        </w:rPr>
        <w:t>日至</w:t>
      </w:r>
      <w:r w:rsidRPr="006E3B9B">
        <w:rPr>
          <w:lang w:eastAsia="zh-CN"/>
        </w:rPr>
        <w:t>12</w:t>
      </w:r>
      <w:r w:rsidRPr="006E3B9B">
        <w:rPr>
          <w:rFonts w:hint="eastAsia"/>
          <w:lang w:eastAsia="zh-CN"/>
        </w:rPr>
        <w:t>月</w:t>
      </w:r>
      <w:r w:rsidRPr="006E3B9B">
        <w:rPr>
          <w:lang w:eastAsia="zh-CN"/>
        </w:rPr>
        <w:t>31</w:t>
      </w:r>
      <w:r w:rsidRPr="006E3B9B">
        <w:rPr>
          <w:rFonts w:hint="eastAsia"/>
          <w:lang w:eastAsia="zh-CN"/>
        </w:rPr>
        <w:t>日账目的外部审计</w:t>
      </w:r>
      <w:r w:rsidRPr="006E3B9B">
        <w:rPr>
          <w:lang w:val="en-US" w:eastAsia="zh-CN"/>
        </w:rPr>
        <w:tab/>
      </w:r>
      <w:r w:rsidR="003E11A1">
        <w:rPr>
          <w:lang w:val="en-US" w:eastAsia="zh-CN"/>
        </w:rPr>
        <w:tab/>
      </w:r>
      <w:r w:rsidRPr="006E3B9B">
        <w:rPr>
          <w:lang w:val="en-US" w:eastAsia="zh-CN"/>
        </w:rPr>
        <w:t>1967</w:t>
      </w:r>
      <w:r w:rsidRPr="006E3B9B">
        <w:rPr>
          <w:rFonts w:hint="eastAsia"/>
          <w:lang w:val="en-US" w:eastAsia="zh-CN"/>
        </w:rPr>
        <w:t>年</w:t>
      </w:r>
    </w:p>
    <w:p w14:paraId="4827BE87" w14:textId="77777777" w:rsidR="006E3B9B" w:rsidRPr="006E3B9B" w:rsidRDefault="006E3B9B" w:rsidP="00F378A3">
      <w:pPr>
        <w:pStyle w:val="Appendixref"/>
        <w:rPr>
          <w:lang w:val="en-US" w:eastAsia="zh-CN"/>
        </w:rPr>
      </w:pPr>
      <w:r w:rsidRPr="006E3B9B">
        <w:rPr>
          <w:lang w:val="en-US" w:eastAsia="zh-CN"/>
        </w:rPr>
        <w:t>第</w:t>
      </w:r>
      <w:r w:rsidRPr="006E3B9B">
        <w:rPr>
          <w:lang w:val="en-US" w:eastAsia="zh-CN"/>
        </w:rPr>
        <w:t>578</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1965</w:t>
      </w:r>
      <w:r w:rsidRPr="006E3B9B">
        <w:rPr>
          <w:rFonts w:hint="eastAsia"/>
          <w:lang w:eastAsia="zh-CN"/>
        </w:rPr>
        <w:t>年财务工作报告</w:t>
      </w:r>
      <w:r w:rsidRPr="006E3B9B">
        <w:rPr>
          <w:lang w:val="en-US" w:eastAsia="zh-CN"/>
        </w:rPr>
        <w:tab/>
      </w:r>
      <w:r w:rsidR="003E11A1">
        <w:rPr>
          <w:lang w:val="en-US" w:eastAsia="zh-CN"/>
        </w:rPr>
        <w:tab/>
      </w:r>
      <w:r w:rsidRPr="006E3B9B">
        <w:rPr>
          <w:lang w:val="en-US" w:eastAsia="zh-CN"/>
        </w:rPr>
        <w:t>1967</w:t>
      </w:r>
      <w:r w:rsidRPr="006E3B9B">
        <w:rPr>
          <w:rFonts w:hint="eastAsia"/>
          <w:lang w:val="en-US" w:eastAsia="zh-CN"/>
        </w:rPr>
        <w:t>年</w:t>
      </w:r>
    </w:p>
    <w:p w14:paraId="4827BE88" w14:textId="77777777" w:rsidR="006E3B9B" w:rsidRPr="006E3B9B" w:rsidRDefault="006E3B9B" w:rsidP="00F378A3">
      <w:pPr>
        <w:pStyle w:val="Appendixref"/>
        <w:rPr>
          <w:lang w:val="en-US" w:eastAsia="zh-CN"/>
        </w:rPr>
      </w:pPr>
      <w:r w:rsidRPr="006E3B9B">
        <w:rPr>
          <w:lang w:val="en-US" w:eastAsia="zh-CN"/>
        </w:rPr>
        <w:t>第</w:t>
      </w:r>
      <w:r w:rsidRPr="006E3B9B">
        <w:rPr>
          <w:lang w:val="en-US" w:eastAsia="zh-CN"/>
        </w:rPr>
        <w:t>579</w:t>
      </w:r>
      <w:r w:rsidRPr="006E3B9B">
        <w:rPr>
          <w:lang w:val="en-US" w:eastAsia="zh-CN"/>
        </w:rPr>
        <w:t>号决议</w:t>
      </w:r>
      <w:r w:rsidRPr="006E3B9B">
        <w:rPr>
          <w:lang w:val="en-US" w:eastAsia="zh-CN"/>
        </w:rPr>
        <w:tab/>
      </w:r>
      <w:r w:rsidRPr="006E3B9B">
        <w:rPr>
          <w:rFonts w:hint="eastAsia"/>
          <w:lang w:eastAsia="zh-CN"/>
        </w:rPr>
        <w:t>欠款账目</w:t>
      </w:r>
      <w:r w:rsidRPr="006E3B9B">
        <w:rPr>
          <w:lang w:val="en-US" w:eastAsia="zh-CN"/>
        </w:rPr>
        <w:tab/>
      </w:r>
      <w:r w:rsidR="003E11A1">
        <w:rPr>
          <w:lang w:val="en-US" w:eastAsia="zh-CN"/>
        </w:rPr>
        <w:tab/>
      </w:r>
      <w:r w:rsidRPr="006E3B9B">
        <w:rPr>
          <w:lang w:val="en-US" w:eastAsia="zh-CN"/>
        </w:rPr>
        <w:t>1975</w:t>
      </w:r>
      <w:r w:rsidRPr="006E3B9B">
        <w:rPr>
          <w:rFonts w:hint="eastAsia"/>
          <w:lang w:val="en-US" w:eastAsia="zh-CN"/>
        </w:rPr>
        <w:t>年</w:t>
      </w:r>
    </w:p>
    <w:p w14:paraId="4827BE89" w14:textId="77777777" w:rsidR="006E3B9B" w:rsidRPr="006E3B9B" w:rsidRDefault="006E3B9B" w:rsidP="00F378A3">
      <w:pPr>
        <w:pStyle w:val="Appendixref"/>
        <w:rPr>
          <w:lang w:val="en-US" w:eastAsia="zh-CN"/>
        </w:rPr>
      </w:pPr>
      <w:r w:rsidRPr="006E3B9B">
        <w:rPr>
          <w:lang w:val="en-US" w:eastAsia="zh-CN"/>
        </w:rPr>
        <w:t>第</w:t>
      </w:r>
      <w:r w:rsidRPr="006E3B9B">
        <w:rPr>
          <w:lang w:val="en-US" w:eastAsia="zh-CN"/>
        </w:rPr>
        <w:t>580</w:t>
      </w:r>
      <w:r w:rsidRPr="006E3B9B">
        <w:rPr>
          <w:lang w:val="en-US" w:eastAsia="zh-CN"/>
        </w:rPr>
        <w:t>号决议</w:t>
      </w:r>
      <w:r w:rsidRPr="006E3B9B">
        <w:rPr>
          <w:lang w:val="en-US" w:eastAsia="zh-CN"/>
        </w:rPr>
        <w:tab/>
      </w:r>
      <w:r w:rsidRPr="006E3B9B">
        <w:rPr>
          <w:rFonts w:hint="eastAsia"/>
          <w:lang w:eastAsia="zh-CN"/>
        </w:rPr>
        <w:t>国际电联职员的地域分配</w:t>
      </w:r>
      <w:r w:rsidRPr="006E3B9B">
        <w:rPr>
          <w:lang w:val="en-US" w:eastAsia="zh-CN"/>
        </w:rPr>
        <w:tab/>
      </w:r>
      <w:r w:rsidR="003E11A1">
        <w:rPr>
          <w:lang w:val="en-US" w:eastAsia="zh-CN"/>
        </w:rPr>
        <w:tab/>
      </w:r>
      <w:r w:rsidRPr="006E3B9B">
        <w:rPr>
          <w:lang w:val="en-US" w:eastAsia="zh-CN"/>
        </w:rPr>
        <w:t>1984</w:t>
      </w:r>
      <w:r w:rsidRPr="006E3B9B">
        <w:rPr>
          <w:rFonts w:hint="eastAsia"/>
          <w:lang w:val="en-US" w:eastAsia="zh-CN"/>
        </w:rPr>
        <w:t>年</w:t>
      </w:r>
    </w:p>
    <w:p w14:paraId="4827BE8A" w14:textId="77777777" w:rsidR="006E3B9B" w:rsidRPr="006E3B9B" w:rsidRDefault="006E3B9B" w:rsidP="00F378A3">
      <w:pPr>
        <w:pStyle w:val="Appendixref"/>
        <w:rPr>
          <w:lang w:val="en-US" w:eastAsia="zh-CN"/>
        </w:rPr>
      </w:pPr>
      <w:r w:rsidRPr="006E3B9B">
        <w:rPr>
          <w:lang w:val="en-US" w:eastAsia="zh-CN"/>
        </w:rPr>
        <w:t>第</w:t>
      </w:r>
      <w:r w:rsidRPr="006E3B9B">
        <w:rPr>
          <w:lang w:val="en-US" w:eastAsia="zh-CN"/>
        </w:rPr>
        <w:t>581</w:t>
      </w:r>
      <w:r w:rsidRPr="006E3B9B">
        <w:rPr>
          <w:lang w:val="en-US" w:eastAsia="zh-CN"/>
        </w:rPr>
        <w:t>号决议</w:t>
      </w:r>
      <w:r w:rsidRPr="006E3B9B">
        <w:rPr>
          <w:lang w:val="en-US" w:eastAsia="zh-CN"/>
        </w:rPr>
        <w:tab/>
      </w:r>
      <w:r w:rsidRPr="006E3B9B">
        <w:rPr>
          <w:rFonts w:hint="eastAsia"/>
          <w:lang w:eastAsia="zh-CN"/>
        </w:rPr>
        <w:t>定级标准</w:t>
      </w:r>
      <w:r w:rsidRPr="006E3B9B">
        <w:rPr>
          <w:lang w:val="en-US" w:eastAsia="zh-CN"/>
        </w:rPr>
        <w:tab/>
      </w:r>
      <w:r w:rsidR="003E11A1">
        <w:rPr>
          <w:lang w:val="en-US" w:eastAsia="zh-CN"/>
        </w:rPr>
        <w:tab/>
      </w:r>
      <w:r w:rsidRPr="006E3B9B">
        <w:rPr>
          <w:lang w:val="en-US" w:eastAsia="zh-CN"/>
        </w:rPr>
        <w:t>1968</w:t>
      </w:r>
      <w:r w:rsidRPr="006E3B9B">
        <w:rPr>
          <w:rFonts w:hint="eastAsia"/>
          <w:lang w:val="en-US" w:eastAsia="zh-CN"/>
        </w:rPr>
        <w:t>年</w:t>
      </w:r>
    </w:p>
    <w:p w14:paraId="4827BE8B" w14:textId="77777777" w:rsidR="006E3B9B" w:rsidRPr="006E3B9B" w:rsidRDefault="006E3B9B" w:rsidP="00F378A3">
      <w:pPr>
        <w:pStyle w:val="Appendixref"/>
        <w:rPr>
          <w:lang w:val="en-US" w:eastAsia="zh-CN"/>
        </w:rPr>
      </w:pPr>
      <w:r w:rsidRPr="006E3B9B">
        <w:rPr>
          <w:lang w:val="en-US" w:eastAsia="zh-CN"/>
        </w:rPr>
        <w:t>第</w:t>
      </w:r>
      <w:r w:rsidRPr="006E3B9B">
        <w:rPr>
          <w:lang w:val="en-US" w:eastAsia="zh-CN"/>
        </w:rPr>
        <w:t>582</w:t>
      </w:r>
      <w:r w:rsidRPr="006E3B9B">
        <w:rPr>
          <w:lang w:val="en-US" w:eastAsia="zh-CN"/>
        </w:rPr>
        <w:t>号决议</w:t>
      </w:r>
      <w:r w:rsidRPr="006E3B9B">
        <w:rPr>
          <w:lang w:val="en-US" w:eastAsia="zh-CN"/>
        </w:rPr>
        <w:tab/>
      </w:r>
      <w:r w:rsidRPr="006E3B9B">
        <w:rPr>
          <w:rFonts w:hint="eastAsia"/>
          <w:lang w:eastAsia="zh-CN"/>
        </w:rPr>
        <w:t>设立和转换职位的原则</w:t>
      </w:r>
      <w:r w:rsidRPr="006E3B9B">
        <w:rPr>
          <w:lang w:val="en-US" w:eastAsia="zh-CN"/>
        </w:rPr>
        <w:tab/>
      </w:r>
      <w:r w:rsidR="003E11A1">
        <w:rPr>
          <w:lang w:val="en-US" w:eastAsia="zh-CN"/>
        </w:rPr>
        <w:tab/>
      </w:r>
      <w:r w:rsidRPr="006E3B9B">
        <w:rPr>
          <w:lang w:val="en-US" w:eastAsia="zh-CN"/>
        </w:rPr>
        <w:t>1984</w:t>
      </w:r>
      <w:r w:rsidRPr="006E3B9B">
        <w:rPr>
          <w:rFonts w:hint="eastAsia"/>
          <w:lang w:val="en-US" w:eastAsia="zh-CN"/>
        </w:rPr>
        <w:t>年</w:t>
      </w:r>
    </w:p>
    <w:p w14:paraId="4827BE8C" w14:textId="77777777" w:rsidR="006E3B9B" w:rsidRPr="006E3B9B" w:rsidRDefault="006E3B9B" w:rsidP="00F378A3">
      <w:pPr>
        <w:pStyle w:val="Appendixref"/>
        <w:rPr>
          <w:lang w:val="en-US" w:eastAsia="zh-CN"/>
        </w:rPr>
      </w:pPr>
      <w:r w:rsidRPr="006E3B9B">
        <w:rPr>
          <w:lang w:val="en-US" w:eastAsia="zh-CN"/>
        </w:rPr>
        <w:t>第</w:t>
      </w:r>
      <w:r w:rsidRPr="006E3B9B">
        <w:rPr>
          <w:lang w:val="en-US" w:eastAsia="zh-CN"/>
        </w:rPr>
        <w:t>583</w:t>
      </w:r>
      <w:r w:rsidRPr="006E3B9B">
        <w:rPr>
          <w:lang w:val="en-US" w:eastAsia="zh-CN"/>
        </w:rPr>
        <w:t>号决议</w:t>
      </w:r>
      <w:r w:rsidRPr="006E3B9B">
        <w:rPr>
          <w:lang w:val="en-US" w:eastAsia="zh-CN"/>
        </w:rPr>
        <w:tab/>
      </w:r>
      <w:r w:rsidRPr="006E3B9B">
        <w:rPr>
          <w:rFonts w:hint="eastAsia"/>
          <w:lang w:eastAsia="zh-CN"/>
        </w:rPr>
        <w:t>职位的设立</w:t>
      </w:r>
      <w:r w:rsidRPr="006E3B9B">
        <w:rPr>
          <w:lang w:val="en-US" w:eastAsia="zh-CN"/>
        </w:rPr>
        <w:tab/>
      </w:r>
      <w:r w:rsidR="003E11A1">
        <w:rPr>
          <w:lang w:val="en-US" w:eastAsia="zh-CN"/>
        </w:rPr>
        <w:tab/>
      </w:r>
      <w:r w:rsidRPr="006E3B9B">
        <w:rPr>
          <w:lang w:val="en-US" w:eastAsia="zh-CN"/>
        </w:rPr>
        <w:t>1970</w:t>
      </w:r>
      <w:r w:rsidRPr="006E3B9B">
        <w:rPr>
          <w:rFonts w:hint="eastAsia"/>
          <w:lang w:val="en-US" w:eastAsia="zh-CN"/>
        </w:rPr>
        <w:t>年</w:t>
      </w:r>
    </w:p>
    <w:p w14:paraId="4827BE8D" w14:textId="77777777" w:rsidR="006E3B9B" w:rsidRPr="006E3B9B" w:rsidRDefault="006E3B9B" w:rsidP="00F378A3">
      <w:pPr>
        <w:pStyle w:val="Appendixref"/>
        <w:rPr>
          <w:lang w:val="en-US" w:eastAsia="zh-CN"/>
        </w:rPr>
      </w:pPr>
      <w:r w:rsidRPr="006E3B9B">
        <w:rPr>
          <w:lang w:val="en-US" w:eastAsia="zh-CN"/>
        </w:rPr>
        <w:t>第</w:t>
      </w:r>
      <w:r w:rsidRPr="006E3B9B">
        <w:rPr>
          <w:lang w:val="en-US" w:eastAsia="zh-CN"/>
        </w:rPr>
        <w:t>584</w:t>
      </w:r>
      <w:r w:rsidRPr="006E3B9B">
        <w:rPr>
          <w:lang w:val="en-US" w:eastAsia="zh-CN"/>
        </w:rPr>
        <w:t>号决议</w:t>
      </w:r>
      <w:r w:rsidRPr="006E3B9B">
        <w:rPr>
          <w:lang w:val="en-US" w:eastAsia="zh-CN"/>
        </w:rPr>
        <w:tab/>
      </w:r>
      <w:r w:rsidRPr="006E3B9B">
        <w:rPr>
          <w:rFonts w:hint="eastAsia"/>
          <w:lang w:eastAsia="zh-CN"/>
        </w:rPr>
        <w:t>定期职位向长期职位的转换</w:t>
      </w:r>
      <w:r w:rsidRPr="006E3B9B">
        <w:rPr>
          <w:lang w:val="en-US" w:eastAsia="zh-CN"/>
        </w:rPr>
        <w:tab/>
      </w:r>
      <w:r w:rsidR="003E11A1">
        <w:rPr>
          <w:lang w:val="en-US" w:eastAsia="zh-CN"/>
        </w:rPr>
        <w:tab/>
      </w:r>
      <w:r w:rsidRPr="006E3B9B">
        <w:rPr>
          <w:lang w:val="en-US" w:eastAsia="zh-CN"/>
        </w:rPr>
        <w:t>1972</w:t>
      </w:r>
      <w:r w:rsidRPr="006E3B9B">
        <w:rPr>
          <w:rFonts w:hint="eastAsia"/>
          <w:lang w:val="en-US" w:eastAsia="zh-CN"/>
        </w:rPr>
        <w:t>年</w:t>
      </w:r>
    </w:p>
    <w:p w14:paraId="4827BE8E" w14:textId="77777777" w:rsidR="006E3B9B" w:rsidRPr="006E3B9B" w:rsidRDefault="006E3B9B" w:rsidP="00F378A3">
      <w:pPr>
        <w:pStyle w:val="Appendixref"/>
        <w:rPr>
          <w:lang w:val="en-US" w:eastAsia="zh-CN"/>
        </w:rPr>
      </w:pPr>
      <w:r w:rsidRPr="006E3B9B">
        <w:rPr>
          <w:lang w:val="en-US" w:eastAsia="zh-CN"/>
        </w:rPr>
        <w:t>第</w:t>
      </w:r>
      <w:r w:rsidRPr="006E3B9B">
        <w:rPr>
          <w:lang w:val="en-US" w:eastAsia="zh-CN"/>
        </w:rPr>
        <w:t>585</w:t>
      </w:r>
      <w:r w:rsidRPr="006E3B9B">
        <w:rPr>
          <w:lang w:val="en-US" w:eastAsia="zh-CN"/>
        </w:rPr>
        <w:t>号决议</w:t>
      </w:r>
      <w:r w:rsidRPr="006E3B9B">
        <w:rPr>
          <w:lang w:val="en-US" w:eastAsia="zh-CN"/>
        </w:rPr>
        <w:tab/>
      </w:r>
      <w:r w:rsidRPr="006E3B9B">
        <w:rPr>
          <w:rFonts w:hint="eastAsia"/>
          <w:lang w:eastAsia="zh-CN"/>
        </w:rPr>
        <w:t>技术合作部负责人职位的定级</w:t>
      </w:r>
      <w:r w:rsidRPr="006E3B9B">
        <w:rPr>
          <w:lang w:val="en-US" w:eastAsia="zh-CN"/>
        </w:rPr>
        <w:tab/>
      </w:r>
      <w:r w:rsidR="003E11A1">
        <w:rPr>
          <w:lang w:val="en-US" w:eastAsia="zh-CN"/>
        </w:rPr>
        <w:tab/>
      </w:r>
      <w:r w:rsidRPr="006E3B9B">
        <w:rPr>
          <w:lang w:val="en-US" w:eastAsia="zh-CN"/>
        </w:rPr>
        <w:t>1968</w:t>
      </w:r>
      <w:r w:rsidRPr="006E3B9B">
        <w:rPr>
          <w:rFonts w:hint="eastAsia"/>
          <w:lang w:val="en-US" w:eastAsia="zh-CN"/>
        </w:rPr>
        <w:t>年</w:t>
      </w:r>
    </w:p>
    <w:p w14:paraId="4827BE8F" w14:textId="77777777" w:rsidR="006E3B9B" w:rsidRPr="006E3B9B" w:rsidRDefault="006E3B9B" w:rsidP="00F378A3">
      <w:pPr>
        <w:pStyle w:val="Appendixref"/>
        <w:rPr>
          <w:lang w:val="en-US" w:eastAsia="zh-CN"/>
        </w:rPr>
      </w:pPr>
      <w:r w:rsidRPr="006E3B9B">
        <w:rPr>
          <w:lang w:val="en-US" w:eastAsia="zh-CN"/>
        </w:rPr>
        <w:t>第</w:t>
      </w:r>
      <w:r w:rsidRPr="006E3B9B">
        <w:rPr>
          <w:lang w:val="en-US" w:eastAsia="zh-CN"/>
        </w:rPr>
        <w:t>586</w:t>
      </w:r>
      <w:r w:rsidRPr="006E3B9B">
        <w:rPr>
          <w:lang w:val="en-US" w:eastAsia="zh-CN"/>
        </w:rPr>
        <w:t>号决议</w:t>
      </w:r>
      <w:r w:rsidRPr="006E3B9B">
        <w:rPr>
          <w:lang w:val="en-US" w:eastAsia="zh-CN"/>
        </w:rPr>
        <w:tab/>
      </w:r>
      <w:r w:rsidRPr="006E3B9B">
        <w:rPr>
          <w:rFonts w:hint="eastAsia"/>
          <w:lang w:eastAsia="zh-CN"/>
        </w:rPr>
        <w:t>《人事规则和细则》的修正</w:t>
      </w:r>
      <w:r w:rsidRPr="006E3B9B">
        <w:rPr>
          <w:lang w:val="en-US" w:eastAsia="zh-CN"/>
        </w:rPr>
        <w:tab/>
      </w:r>
      <w:r w:rsidR="003E11A1">
        <w:rPr>
          <w:lang w:val="en-US" w:eastAsia="zh-CN"/>
        </w:rPr>
        <w:tab/>
      </w:r>
      <w:r w:rsidRPr="006E3B9B">
        <w:rPr>
          <w:lang w:val="en-US" w:eastAsia="zh-CN"/>
        </w:rPr>
        <w:t>1967</w:t>
      </w:r>
      <w:r w:rsidRPr="006E3B9B">
        <w:rPr>
          <w:rFonts w:hint="eastAsia"/>
          <w:lang w:val="en-US" w:eastAsia="zh-CN"/>
        </w:rPr>
        <w:t>年</w:t>
      </w:r>
    </w:p>
    <w:p w14:paraId="4827BE90" w14:textId="77777777" w:rsidR="006E3B9B" w:rsidRPr="006E3B9B" w:rsidRDefault="006E3B9B" w:rsidP="00F378A3">
      <w:pPr>
        <w:pStyle w:val="Appendixref"/>
        <w:rPr>
          <w:lang w:val="en-US" w:eastAsia="zh-CN"/>
        </w:rPr>
      </w:pPr>
      <w:r w:rsidRPr="006E3B9B">
        <w:rPr>
          <w:lang w:val="en-US" w:eastAsia="zh-CN"/>
        </w:rPr>
        <w:t>第</w:t>
      </w:r>
      <w:r w:rsidRPr="006E3B9B">
        <w:rPr>
          <w:lang w:val="en-US" w:eastAsia="zh-CN"/>
        </w:rPr>
        <w:t>587</w:t>
      </w:r>
      <w:r w:rsidRPr="006E3B9B">
        <w:rPr>
          <w:lang w:val="en-US" w:eastAsia="zh-CN"/>
        </w:rPr>
        <w:t>号决议</w:t>
      </w:r>
      <w:r w:rsidRPr="006E3B9B">
        <w:rPr>
          <w:lang w:val="en-US" w:eastAsia="zh-CN"/>
        </w:rPr>
        <w:tab/>
      </w:r>
      <w:r w:rsidRPr="006E3B9B">
        <w:rPr>
          <w:rFonts w:hint="eastAsia"/>
          <w:lang w:val="en-US" w:eastAsia="zh-CN"/>
        </w:rPr>
        <w:t>适用于国际</w:t>
      </w:r>
      <w:r w:rsidRPr="006E3B9B">
        <w:rPr>
          <w:rFonts w:hint="eastAsia"/>
          <w:lang w:eastAsia="zh-CN"/>
        </w:rPr>
        <w:t>电联选任官员的临时《人事规则和细则》</w:t>
      </w:r>
      <w:r w:rsidRPr="006E3B9B">
        <w:rPr>
          <w:lang w:val="en-US" w:eastAsia="zh-CN"/>
        </w:rPr>
        <w:tab/>
      </w:r>
      <w:r w:rsidR="003E11A1">
        <w:rPr>
          <w:lang w:val="en-US" w:eastAsia="zh-CN"/>
        </w:rPr>
        <w:tab/>
      </w:r>
      <w:r w:rsidRPr="006E3B9B">
        <w:rPr>
          <w:lang w:val="en-US" w:eastAsia="zh-CN"/>
        </w:rPr>
        <w:t>1967</w:t>
      </w:r>
      <w:r w:rsidRPr="006E3B9B">
        <w:rPr>
          <w:rFonts w:hint="eastAsia"/>
          <w:lang w:val="en-US" w:eastAsia="zh-CN"/>
        </w:rPr>
        <w:t>年</w:t>
      </w:r>
    </w:p>
    <w:p w14:paraId="4827BE91" w14:textId="77777777" w:rsidR="006E3B9B" w:rsidRPr="006E3B9B" w:rsidRDefault="006E3B9B" w:rsidP="00F378A3">
      <w:pPr>
        <w:pStyle w:val="Appendixref"/>
        <w:rPr>
          <w:lang w:val="en-US" w:eastAsia="zh-CN"/>
        </w:rPr>
      </w:pPr>
      <w:r w:rsidRPr="006E3B9B">
        <w:rPr>
          <w:lang w:val="en-US" w:eastAsia="zh-CN"/>
        </w:rPr>
        <w:t>第</w:t>
      </w:r>
      <w:r w:rsidRPr="006E3B9B">
        <w:rPr>
          <w:lang w:val="en-US" w:eastAsia="zh-CN"/>
        </w:rPr>
        <w:t>588</w:t>
      </w:r>
      <w:r w:rsidRPr="006E3B9B">
        <w:rPr>
          <w:lang w:val="en-US" w:eastAsia="zh-CN"/>
        </w:rPr>
        <w:t>号决议</w:t>
      </w:r>
      <w:r w:rsidRPr="006E3B9B">
        <w:rPr>
          <w:lang w:val="en-US" w:eastAsia="zh-CN"/>
        </w:rPr>
        <w:tab/>
      </w:r>
      <w:r w:rsidRPr="006E3B9B">
        <w:rPr>
          <w:rFonts w:hint="eastAsia"/>
          <w:lang w:val="en-US" w:eastAsia="zh-CN"/>
        </w:rPr>
        <w:t>国际</w:t>
      </w:r>
      <w:r w:rsidRPr="006E3B9B">
        <w:rPr>
          <w:rFonts w:hint="eastAsia"/>
          <w:lang w:eastAsia="zh-CN"/>
        </w:rPr>
        <w:t>电联职员养恤金委员会的委员</w:t>
      </w:r>
      <w:r w:rsidRPr="006E3B9B">
        <w:rPr>
          <w:lang w:val="en-US" w:eastAsia="zh-CN"/>
        </w:rPr>
        <w:tab/>
      </w:r>
      <w:r w:rsidR="003E11A1">
        <w:rPr>
          <w:lang w:val="en-US" w:eastAsia="zh-CN"/>
        </w:rPr>
        <w:tab/>
      </w:r>
      <w:r w:rsidRPr="006E3B9B">
        <w:rPr>
          <w:lang w:val="en-US" w:eastAsia="zh-CN"/>
        </w:rPr>
        <w:t>1967</w:t>
      </w:r>
      <w:r w:rsidRPr="006E3B9B">
        <w:rPr>
          <w:rFonts w:hint="eastAsia"/>
          <w:lang w:val="en-US" w:eastAsia="zh-CN"/>
        </w:rPr>
        <w:t>年</w:t>
      </w:r>
    </w:p>
    <w:p w14:paraId="4827BE92" w14:textId="77777777" w:rsidR="006E3B9B" w:rsidRPr="006E3B9B" w:rsidRDefault="006E3B9B" w:rsidP="00F378A3">
      <w:pPr>
        <w:pStyle w:val="Appendixref"/>
        <w:rPr>
          <w:lang w:val="en-US" w:eastAsia="zh-CN"/>
        </w:rPr>
      </w:pPr>
      <w:r w:rsidRPr="006E3B9B">
        <w:rPr>
          <w:lang w:val="en-US" w:eastAsia="zh-CN"/>
        </w:rPr>
        <w:t>第</w:t>
      </w:r>
      <w:r w:rsidRPr="006E3B9B">
        <w:rPr>
          <w:lang w:val="en-US" w:eastAsia="zh-CN"/>
        </w:rPr>
        <w:t>589</w:t>
      </w:r>
      <w:r w:rsidRPr="006E3B9B">
        <w:rPr>
          <w:lang w:val="en-US" w:eastAsia="zh-CN"/>
        </w:rPr>
        <w:t>号决议</w:t>
      </w:r>
      <w:r w:rsidRPr="006E3B9B">
        <w:rPr>
          <w:lang w:val="en-US" w:eastAsia="zh-CN"/>
        </w:rPr>
        <w:tab/>
      </w:r>
      <w:r w:rsidRPr="006E3B9B">
        <w:rPr>
          <w:rFonts w:hint="eastAsia"/>
          <w:lang w:val="en-US" w:eastAsia="zh-CN"/>
        </w:rPr>
        <w:t>支付</w:t>
      </w:r>
      <w:r w:rsidRPr="006E3B9B">
        <w:rPr>
          <w:rFonts w:hint="eastAsia"/>
          <w:lang w:eastAsia="zh-CN"/>
        </w:rPr>
        <w:t>给国际电联职员退休和福利基金受益人的生活费补贴</w:t>
      </w:r>
      <w:r w:rsidRPr="006E3B9B">
        <w:rPr>
          <w:lang w:val="en-US" w:eastAsia="zh-CN"/>
        </w:rPr>
        <w:tab/>
      </w:r>
      <w:r w:rsidR="003E11A1">
        <w:rPr>
          <w:lang w:val="en-US" w:eastAsia="zh-CN"/>
        </w:rPr>
        <w:tab/>
      </w:r>
      <w:r w:rsidRPr="006E3B9B">
        <w:rPr>
          <w:lang w:val="en-US" w:eastAsia="zh-CN"/>
        </w:rPr>
        <w:t>2.3</w:t>
      </w:r>
    </w:p>
    <w:p w14:paraId="4827BE93" w14:textId="77777777" w:rsidR="006E3B9B" w:rsidRPr="006E3B9B" w:rsidRDefault="006E3B9B" w:rsidP="00F378A3">
      <w:pPr>
        <w:pStyle w:val="Appendixref"/>
        <w:rPr>
          <w:lang w:val="en-US" w:eastAsia="zh-CN"/>
        </w:rPr>
      </w:pPr>
      <w:r w:rsidRPr="006E3B9B">
        <w:rPr>
          <w:lang w:val="en-US" w:eastAsia="zh-CN"/>
        </w:rPr>
        <w:t>第</w:t>
      </w:r>
      <w:r w:rsidRPr="006E3B9B">
        <w:rPr>
          <w:lang w:val="en-US" w:eastAsia="zh-CN"/>
        </w:rPr>
        <w:t>590</w:t>
      </w:r>
      <w:r w:rsidRPr="006E3B9B">
        <w:rPr>
          <w:lang w:val="en-US" w:eastAsia="zh-CN"/>
        </w:rPr>
        <w:t>号决议</w:t>
      </w:r>
      <w:r w:rsidRPr="006E3B9B">
        <w:rPr>
          <w:lang w:val="en-US" w:eastAsia="zh-CN"/>
        </w:rPr>
        <w:tab/>
      </w:r>
      <w:r w:rsidRPr="006E3B9B">
        <w:rPr>
          <w:rFonts w:hint="eastAsia"/>
          <w:lang w:eastAsia="zh-CN"/>
        </w:rPr>
        <w:t>有关水上移动业务的世界无线电行政大会</w:t>
      </w:r>
      <w:r w:rsidRPr="006E3B9B">
        <w:rPr>
          <w:lang w:val="en-US" w:eastAsia="zh-CN"/>
        </w:rPr>
        <w:tab/>
      </w:r>
      <w:r w:rsidR="003E11A1">
        <w:rPr>
          <w:lang w:val="en-US" w:eastAsia="zh-CN"/>
        </w:rPr>
        <w:tab/>
      </w:r>
      <w:r w:rsidRPr="006E3B9B">
        <w:rPr>
          <w:lang w:val="en-US" w:eastAsia="zh-CN"/>
        </w:rPr>
        <w:t>1968</w:t>
      </w:r>
      <w:r w:rsidRPr="006E3B9B">
        <w:rPr>
          <w:rFonts w:hint="eastAsia"/>
          <w:lang w:val="en-US" w:eastAsia="zh-CN"/>
        </w:rPr>
        <w:t>年</w:t>
      </w:r>
    </w:p>
    <w:p w14:paraId="4827BE94" w14:textId="77777777" w:rsidR="006E3B9B" w:rsidRPr="006E3B9B" w:rsidRDefault="006E3B9B" w:rsidP="00F378A3">
      <w:pPr>
        <w:pStyle w:val="Appendixref"/>
        <w:rPr>
          <w:lang w:val="en-US" w:eastAsia="zh-CN"/>
        </w:rPr>
      </w:pPr>
      <w:r w:rsidRPr="006E3B9B">
        <w:rPr>
          <w:lang w:val="en-US" w:eastAsia="zh-CN"/>
        </w:rPr>
        <w:t>第</w:t>
      </w:r>
      <w:r w:rsidRPr="006E3B9B">
        <w:rPr>
          <w:lang w:val="en-US" w:eastAsia="zh-CN"/>
        </w:rPr>
        <w:t>591</w:t>
      </w:r>
      <w:r w:rsidRPr="006E3B9B">
        <w:rPr>
          <w:lang w:val="en-US" w:eastAsia="zh-CN"/>
        </w:rPr>
        <w:t>号决议</w:t>
      </w:r>
      <w:r w:rsidRPr="006E3B9B">
        <w:rPr>
          <w:lang w:val="en-US" w:eastAsia="zh-CN"/>
        </w:rPr>
        <w:tab/>
      </w:r>
      <w:r w:rsidRPr="006E3B9B">
        <w:rPr>
          <w:rFonts w:hint="eastAsia"/>
          <w:lang w:eastAsia="zh-CN"/>
        </w:rPr>
        <w:t>拉丁美洲区域大会</w:t>
      </w:r>
      <w:r w:rsidRPr="006E3B9B">
        <w:rPr>
          <w:lang w:val="en-US" w:eastAsia="zh-CN"/>
        </w:rPr>
        <w:tab/>
      </w:r>
      <w:r w:rsidR="003E11A1">
        <w:rPr>
          <w:lang w:val="en-US" w:eastAsia="zh-CN"/>
        </w:rPr>
        <w:tab/>
      </w:r>
      <w:r w:rsidRPr="006E3B9B">
        <w:rPr>
          <w:lang w:val="en-US" w:eastAsia="zh-CN"/>
        </w:rPr>
        <w:t>1970</w:t>
      </w:r>
      <w:r w:rsidRPr="006E3B9B">
        <w:rPr>
          <w:rFonts w:hint="eastAsia"/>
          <w:lang w:val="en-US" w:eastAsia="zh-CN"/>
        </w:rPr>
        <w:t>年</w:t>
      </w:r>
    </w:p>
    <w:p w14:paraId="4827BE95" w14:textId="77777777" w:rsidR="006E3B9B" w:rsidRPr="006E3B9B" w:rsidRDefault="006E3B9B" w:rsidP="00F378A3">
      <w:pPr>
        <w:pStyle w:val="Appendixref"/>
        <w:rPr>
          <w:lang w:val="en-US" w:eastAsia="zh-CN"/>
        </w:rPr>
      </w:pPr>
      <w:r w:rsidRPr="006E3B9B">
        <w:rPr>
          <w:lang w:val="en-US" w:eastAsia="zh-CN"/>
        </w:rPr>
        <w:t>第</w:t>
      </w:r>
      <w:r w:rsidRPr="006E3B9B">
        <w:rPr>
          <w:lang w:val="en-US" w:eastAsia="zh-CN"/>
        </w:rPr>
        <w:t>592</w:t>
      </w:r>
      <w:r w:rsidRPr="006E3B9B">
        <w:rPr>
          <w:lang w:val="en-US" w:eastAsia="zh-CN"/>
        </w:rPr>
        <w:t>号决议</w:t>
      </w:r>
      <w:r w:rsidRPr="006E3B9B">
        <w:rPr>
          <w:lang w:val="en-US" w:eastAsia="zh-CN"/>
        </w:rPr>
        <w:tab/>
      </w:r>
      <w:r w:rsidRPr="006E3B9B">
        <w:rPr>
          <w:rFonts w:hint="eastAsia"/>
          <w:lang w:val="en-US" w:eastAsia="zh-CN"/>
        </w:rPr>
        <w:t>《</w:t>
      </w:r>
      <w:r w:rsidRPr="006E3B9B">
        <w:rPr>
          <w:rFonts w:hint="eastAsia"/>
          <w:lang w:eastAsia="zh-CN"/>
        </w:rPr>
        <w:t>更好地利用高频无线电频谱并减少其拥塞的建议技术手册》一书的筹划</w:t>
      </w:r>
      <w:r w:rsidR="003E11A1">
        <w:rPr>
          <w:lang w:eastAsia="zh-CN"/>
        </w:rPr>
        <w:tab/>
      </w:r>
      <w:r w:rsidRPr="006E3B9B">
        <w:rPr>
          <w:lang w:val="en-US" w:eastAsia="zh-CN"/>
        </w:rPr>
        <w:tab/>
        <w:t>1975</w:t>
      </w:r>
      <w:r w:rsidRPr="006E3B9B">
        <w:rPr>
          <w:rFonts w:hint="eastAsia"/>
          <w:lang w:val="en-US" w:eastAsia="zh-CN"/>
        </w:rPr>
        <w:t>年</w:t>
      </w:r>
    </w:p>
    <w:p w14:paraId="4827BE96" w14:textId="77777777" w:rsidR="006E3B9B" w:rsidRPr="006E3B9B" w:rsidRDefault="006E3B9B" w:rsidP="00F378A3">
      <w:pPr>
        <w:pStyle w:val="Appendixref"/>
        <w:rPr>
          <w:lang w:val="en-US" w:eastAsia="zh-CN"/>
        </w:rPr>
      </w:pPr>
      <w:r w:rsidRPr="006E3B9B">
        <w:rPr>
          <w:lang w:val="en-US" w:eastAsia="zh-CN"/>
        </w:rPr>
        <w:t>第</w:t>
      </w:r>
      <w:r w:rsidRPr="006E3B9B">
        <w:rPr>
          <w:lang w:val="en-US" w:eastAsia="zh-CN"/>
        </w:rPr>
        <w:t>593</w:t>
      </w:r>
      <w:r w:rsidRPr="006E3B9B">
        <w:rPr>
          <w:lang w:val="en-US" w:eastAsia="zh-CN"/>
        </w:rPr>
        <w:t>号决议</w:t>
      </w:r>
      <w:r w:rsidRPr="006E3B9B">
        <w:rPr>
          <w:lang w:val="en-US" w:eastAsia="zh-CN"/>
        </w:rPr>
        <w:tab/>
      </w:r>
      <w:r w:rsidRPr="006E3B9B">
        <w:rPr>
          <w:rFonts w:hint="eastAsia"/>
          <w:lang w:eastAsia="zh-CN"/>
        </w:rPr>
        <w:t>使用电子计算机解决电信问题</w:t>
      </w:r>
      <w:r w:rsidRPr="006E3B9B">
        <w:rPr>
          <w:lang w:val="en-US" w:eastAsia="zh-CN"/>
        </w:rPr>
        <w:tab/>
      </w:r>
      <w:r w:rsidR="003E11A1">
        <w:rPr>
          <w:lang w:val="en-US" w:eastAsia="zh-CN"/>
        </w:rPr>
        <w:tab/>
      </w:r>
      <w:r w:rsidRPr="006E3B9B">
        <w:rPr>
          <w:lang w:val="en-US" w:eastAsia="zh-CN"/>
        </w:rPr>
        <w:t>1993</w:t>
      </w:r>
      <w:r w:rsidRPr="006E3B9B">
        <w:rPr>
          <w:rFonts w:hint="eastAsia"/>
          <w:lang w:val="en-US" w:eastAsia="zh-CN"/>
        </w:rPr>
        <w:t>年</w:t>
      </w:r>
    </w:p>
    <w:p w14:paraId="4827BE97" w14:textId="77777777" w:rsidR="006E3B9B" w:rsidRPr="006E3B9B" w:rsidRDefault="006E3B9B" w:rsidP="00F378A3">
      <w:pPr>
        <w:pStyle w:val="Appendixref"/>
        <w:rPr>
          <w:lang w:val="en-US" w:eastAsia="zh-CN"/>
        </w:rPr>
      </w:pPr>
      <w:r w:rsidRPr="006E3B9B">
        <w:rPr>
          <w:lang w:val="en-US" w:eastAsia="zh-CN"/>
        </w:rPr>
        <w:t>第</w:t>
      </w:r>
      <w:r w:rsidRPr="006E3B9B">
        <w:rPr>
          <w:lang w:val="en-US" w:eastAsia="zh-CN"/>
        </w:rPr>
        <w:t>594</w:t>
      </w:r>
      <w:r w:rsidRPr="006E3B9B">
        <w:rPr>
          <w:lang w:val="en-US" w:eastAsia="zh-CN"/>
        </w:rPr>
        <w:t>号决议</w:t>
      </w:r>
      <w:r w:rsidRPr="006E3B9B">
        <w:rPr>
          <w:lang w:val="en-US" w:eastAsia="zh-CN"/>
        </w:rPr>
        <w:tab/>
      </w:r>
      <w:r w:rsidRPr="006E3B9B">
        <w:rPr>
          <w:rFonts w:hint="eastAsia"/>
          <w:lang w:eastAsia="zh-CN"/>
        </w:rPr>
        <w:t>电子计算机</w:t>
      </w:r>
      <w:r w:rsidRPr="006E3B9B">
        <w:rPr>
          <w:lang w:val="en-US" w:eastAsia="zh-CN"/>
        </w:rPr>
        <w:tab/>
      </w:r>
      <w:r w:rsidR="003E11A1">
        <w:rPr>
          <w:lang w:val="en-US" w:eastAsia="zh-CN"/>
        </w:rPr>
        <w:tab/>
      </w:r>
      <w:r w:rsidRPr="006E3B9B">
        <w:rPr>
          <w:lang w:val="en-US" w:eastAsia="zh-CN"/>
        </w:rPr>
        <w:t>1967</w:t>
      </w:r>
      <w:r w:rsidRPr="006E3B9B">
        <w:rPr>
          <w:rFonts w:hint="eastAsia"/>
          <w:lang w:val="en-US" w:eastAsia="zh-CN"/>
        </w:rPr>
        <w:t>年</w:t>
      </w:r>
    </w:p>
    <w:p w14:paraId="4827BE98" w14:textId="77777777" w:rsidR="006E3B9B" w:rsidRPr="006E3B9B" w:rsidRDefault="006E3B9B" w:rsidP="00F378A3">
      <w:pPr>
        <w:pStyle w:val="Appendixref"/>
        <w:rPr>
          <w:lang w:val="en-US" w:eastAsia="zh-CN"/>
        </w:rPr>
      </w:pPr>
      <w:r w:rsidRPr="006E3B9B">
        <w:rPr>
          <w:lang w:val="en-US" w:eastAsia="zh-CN"/>
        </w:rPr>
        <w:t>第</w:t>
      </w:r>
      <w:r w:rsidRPr="006E3B9B">
        <w:rPr>
          <w:lang w:val="en-US" w:eastAsia="zh-CN"/>
        </w:rPr>
        <w:t>595</w:t>
      </w:r>
      <w:r w:rsidRPr="006E3B9B">
        <w:rPr>
          <w:lang w:val="en-US" w:eastAsia="zh-CN"/>
        </w:rPr>
        <w:t>号决议</w:t>
      </w:r>
      <w:r w:rsidRPr="006E3B9B">
        <w:rPr>
          <w:lang w:val="en-US" w:eastAsia="zh-CN"/>
        </w:rPr>
        <w:tab/>
      </w:r>
      <w:r w:rsidRPr="006E3B9B">
        <w:rPr>
          <w:rFonts w:hint="eastAsia"/>
          <w:lang w:eastAsia="zh-CN"/>
        </w:rPr>
        <w:t>技术合作的改进</w:t>
      </w:r>
      <w:r w:rsidRPr="006E3B9B">
        <w:rPr>
          <w:lang w:val="en-US" w:eastAsia="zh-CN"/>
        </w:rPr>
        <w:tab/>
      </w:r>
      <w:r w:rsidR="003E11A1">
        <w:rPr>
          <w:lang w:val="en-US" w:eastAsia="zh-CN"/>
        </w:rPr>
        <w:tab/>
      </w:r>
      <w:r w:rsidRPr="006E3B9B">
        <w:rPr>
          <w:lang w:val="en-US" w:eastAsia="zh-CN"/>
        </w:rPr>
        <w:t>1975</w:t>
      </w:r>
      <w:r w:rsidRPr="006E3B9B">
        <w:rPr>
          <w:rFonts w:hint="eastAsia"/>
          <w:lang w:val="en-US" w:eastAsia="zh-CN"/>
        </w:rPr>
        <w:t>年</w:t>
      </w:r>
    </w:p>
    <w:p w14:paraId="4827BE99" w14:textId="77777777" w:rsidR="006E3B9B" w:rsidRPr="006E3B9B" w:rsidRDefault="006E3B9B" w:rsidP="00F378A3">
      <w:pPr>
        <w:pStyle w:val="Appendixref"/>
        <w:rPr>
          <w:lang w:val="en-US" w:eastAsia="zh-CN"/>
        </w:rPr>
      </w:pPr>
      <w:r w:rsidRPr="006E3B9B">
        <w:rPr>
          <w:lang w:val="en-US" w:eastAsia="zh-CN"/>
        </w:rPr>
        <w:t>第</w:t>
      </w:r>
      <w:r w:rsidRPr="006E3B9B">
        <w:rPr>
          <w:lang w:val="en-US" w:eastAsia="zh-CN"/>
        </w:rPr>
        <w:t>596</w:t>
      </w:r>
      <w:r w:rsidRPr="006E3B9B">
        <w:rPr>
          <w:lang w:val="en-US" w:eastAsia="zh-CN"/>
        </w:rPr>
        <w:t>号决议</w:t>
      </w:r>
      <w:r w:rsidRPr="006E3B9B">
        <w:rPr>
          <w:lang w:val="en-US" w:eastAsia="zh-CN"/>
        </w:rPr>
        <w:tab/>
      </w:r>
      <w:r w:rsidRPr="006E3B9B">
        <w:rPr>
          <w:rFonts w:hint="eastAsia"/>
          <w:lang w:eastAsia="zh-CN"/>
        </w:rPr>
        <w:t>为鼓励更多地区参加研讨会而采取的特别措施</w:t>
      </w:r>
      <w:r w:rsidRPr="006E3B9B">
        <w:rPr>
          <w:lang w:val="en-US" w:eastAsia="zh-CN"/>
        </w:rPr>
        <w:tab/>
      </w:r>
      <w:r w:rsidR="003E11A1">
        <w:rPr>
          <w:lang w:val="en-US" w:eastAsia="zh-CN"/>
        </w:rPr>
        <w:tab/>
      </w:r>
      <w:r w:rsidRPr="006E3B9B">
        <w:rPr>
          <w:lang w:val="en-US" w:eastAsia="zh-CN"/>
        </w:rPr>
        <w:t>1969</w:t>
      </w:r>
      <w:r w:rsidRPr="006E3B9B">
        <w:rPr>
          <w:rFonts w:hint="eastAsia"/>
          <w:lang w:val="en-US" w:eastAsia="zh-CN"/>
        </w:rPr>
        <w:t>年</w:t>
      </w:r>
    </w:p>
    <w:p w14:paraId="4827BE9A" w14:textId="77777777" w:rsidR="006E3B9B" w:rsidRPr="006E3B9B" w:rsidRDefault="006E3B9B" w:rsidP="00F378A3">
      <w:pPr>
        <w:pStyle w:val="Appendixref"/>
        <w:rPr>
          <w:lang w:val="en-US" w:eastAsia="zh-CN"/>
        </w:rPr>
      </w:pPr>
      <w:r w:rsidRPr="006E3B9B">
        <w:rPr>
          <w:lang w:val="en-US" w:eastAsia="zh-CN"/>
        </w:rPr>
        <w:t>第</w:t>
      </w:r>
      <w:r w:rsidRPr="006E3B9B">
        <w:rPr>
          <w:lang w:val="en-US" w:eastAsia="zh-CN"/>
        </w:rPr>
        <w:t>597</w:t>
      </w:r>
      <w:r w:rsidRPr="006E3B9B">
        <w:rPr>
          <w:lang w:val="en-US" w:eastAsia="zh-CN"/>
        </w:rPr>
        <w:t>号决议</w:t>
      </w:r>
      <w:r w:rsidRPr="006E3B9B">
        <w:rPr>
          <w:lang w:val="en-US" w:eastAsia="zh-CN"/>
        </w:rPr>
        <w:tab/>
      </w:r>
      <w:r w:rsidRPr="006E3B9B">
        <w:rPr>
          <w:rFonts w:hint="eastAsia"/>
          <w:lang w:eastAsia="zh-CN"/>
        </w:rPr>
        <w:t>从发展中国家的利益出发应用电信科技</w:t>
      </w:r>
      <w:r w:rsidRPr="006E3B9B">
        <w:rPr>
          <w:lang w:val="en-US" w:eastAsia="zh-CN"/>
        </w:rPr>
        <w:tab/>
      </w:r>
      <w:r w:rsidR="003E11A1">
        <w:rPr>
          <w:lang w:val="en-US" w:eastAsia="zh-CN"/>
        </w:rPr>
        <w:tab/>
      </w:r>
      <w:r w:rsidRPr="006E3B9B">
        <w:rPr>
          <w:lang w:val="en-US" w:eastAsia="zh-CN"/>
        </w:rPr>
        <w:t>1975</w:t>
      </w:r>
      <w:r w:rsidRPr="006E3B9B">
        <w:rPr>
          <w:rFonts w:hint="eastAsia"/>
          <w:lang w:val="en-US" w:eastAsia="zh-CN"/>
        </w:rPr>
        <w:t>年</w:t>
      </w:r>
    </w:p>
    <w:p w14:paraId="4827BE9B" w14:textId="77777777" w:rsidR="006E3B9B" w:rsidRPr="006E3B9B" w:rsidRDefault="006E3B9B" w:rsidP="00F378A3">
      <w:pPr>
        <w:pStyle w:val="Appendixref"/>
        <w:rPr>
          <w:lang w:val="en-US" w:eastAsia="zh-CN"/>
        </w:rPr>
      </w:pPr>
      <w:r w:rsidRPr="006E3B9B">
        <w:rPr>
          <w:lang w:val="en-US" w:eastAsia="zh-CN"/>
        </w:rPr>
        <w:t>第</w:t>
      </w:r>
      <w:r w:rsidRPr="006E3B9B">
        <w:rPr>
          <w:lang w:val="en-US" w:eastAsia="zh-CN"/>
        </w:rPr>
        <w:t>598</w:t>
      </w:r>
      <w:r w:rsidRPr="006E3B9B">
        <w:rPr>
          <w:lang w:val="en-US" w:eastAsia="zh-CN"/>
        </w:rPr>
        <w:t>号决议</w:t>
      </w:r>
      <w:r w:rsidRPr="006E3B9B">
        <w:rPr>
          <w:lang w:val="en-US" w:eastAsia="zh-CN"/>
        </w:rPr>
        <w:tab/>
      </w:r>
      <w:r w:rsidRPr="006E3B9B">
        <w:rPr>
          <w:rFonts w:hint="eastAsia"/>
          <w:lang w:eastAsia="zh-CN"/>
        </w:rPr>
        <w:t>从发展中国家的利益出发应用电信科技</w:t>
      </w:r>
      <w:r w:rsidRPr="006E3B9B">
        <w:rPr>
          <w:lang w:val="en-US" w:eastAsia="zh-CN"/>
        </w:rPr>
        <w:tab/>
      </w:r>
      <w:r w:rsidR="003E11A1">
        <w:rPr>
          <w:lang w:val="en-US" w:eastAsia="zh-CN"/>
        </w:rPr>
        <w:tab/>
      </w:r>
      <w:r w:rsidRPr="006E3B9B">
        <w:rPr>
          <w:lang w:val="en-US" w:eastAsia="zh-CN"/>
        </w:rPr>
        <w:t>1975</w:t>
      </w:r>
      <w:r w:rsidRPr="006E3B9B">
        <w:rPr>
          <w:rFonts w:hint="eastAsia"/>
          <w:lang w:val="en-US" w:eastAsia="zh-CN"/>
        </w:rPr>
        <w:t>年</w:t>
      </w:r>
    </w:p>
    <w:p w14:paraId="4827BE9C" w14:textId="77777777" w:rsidR="00BF1CF1" w:rsidRDefault="00BF1CF1">
      <w:pPr>
        <w:tabs>
          <w:tab w:val="clear" w:pos="794"/>
          <w:tab w:val="clear" w:pos="1191"/>
          <w:tab w:val="clear" w:pos="1588"/>
          <w:tab w:val="clear" w:pos="1985"/>
        </w:tabs>
        <w:overflowPunct/>
        <w:autoSpaceDE/>
        <w:autoSpaceDN/>
        <w:adjustRightInd/>
        <w:spacing w:before="0"/>
        <w:jc w:val="left"/>
        <w:textAlignment w:val="auto"/>
        <w:rPr>
          <w:sz w:val="20"/>
          <w:lang w:val="en-US" w:eastAsia="zh-CN"/>
        </w:rPr>
      </w:pPr>
      <w:r>
        <w:rPr>
          <w:lang w:val="en-US" w:eastAsia="zh-CN"/>
        </w:rPr>
        <w:br w:type="page"/>
      </w:r>
    </w:p>
    <w:p w14:paraId="4827BE9D" w14:textId="77777777" w:rsidR="006E3B9B" w:rsidRPr="006E3B9B" w:rsidRDefault="006E3B9B" w:rsidP="00F378A3">
      <w:pPr>
        <w:pStyle w:val="Appendixref"/>
        <w:rPr>
          <w:lang w:val="en-US" w:eastAsia="zh-CN"/>
        </w:rPr>
      </w:pPr>
      <w:r w:rsidRPr="006E3B9B">
        <w:rPr>
          <w:lang w:val="en-US" w:eastAsia="zh-CN"/>
        </w:rPr>
        <w:lastRenderedPageBreak/>
        <w:t>第</w:t>
      </w:r>
      <w:r w:rsidRPr="006E3B9B">
        <w:rPr>
          <w:lang w:val="en-US" w:eastAsia="zh-CN"/>
        </w:rPr>
        <w:t>599</w:t>
      </w:r>
      <w:r w:rsidRPr="006E3B9B">
        <w:rPr>
          <w:lang w:val="en-US" w:eastAsia="zh-CN"/>
        </w:rPr>
        <w:t>号决议</w:t>
      </w:r>
      <w:r w:rsidRPr="006E3B9B">
        <w:rPr>
          <w:lang w:val="en-US" w:eastAsia="zh-CN"/>
        </w:rPr>
        <w:tab/>
      </w:r>
      <w:r w:rsidRPr="006E3B9B">
        <w:rPr>
          <w:rFonts w:hint="eastAsia"/>
          <w:lang w:eastAsia="zh-CN"/>
        </w:rPr>
        <w:t>罗得西亚的状况</w:t>
      </w:r>
      <w:r w:rsidRPr="006E3B9B">
        <w:rPr>
          <w:lang w:val="en-US" w:eastAsia="zh-CN"/>
        </w:rPr>
        <w:tab/>
      </w:r>
      <w:r w:rsidR="003E11A1">
        <w:rPr>
          <w:lang w:val="en-US" w:eastAsia="zh-CN"/>
        </w:rPr>
        <w:tab/>
      </w:r>
      <w:r w:rsidRPr="006E3B9B">
        <w:rPr>
          <w:lang w:val="en-US" w:eastAsia="zh-CN"/>
        </w:rPr>
        <w:t>1980</w:t>
      </w:r>
      <w:r w:rsidRPr="006E3B9B">
        <w:rPr>
          <w:rFonts w:hint="eastAsia"/>
          <w:lang w:val="en-US" w:eastAsia="zh-CN"/>
        </w:rPr>
        <w:t>年</w:t>
      </w:r>
    </w:p>
    <w:p w14:paraId="4827BE9E" w14:textId="77777777" w:rsidR="006E3B9B" w:rsidRPr="006E3B9B" w:rsidRDefault="006E3B9B" w:rsidP="00F378A3">
      <w:pPr>
        <w:pStyle w:val="Appendixref"/>
        <w:rPr>
          <w:lang w:val="en-US" w:eastAsia="zh-CN"/>
        </w:rPr>
      </w:pPr>
      <w:r w:rsidRPr="006E3B9B">
        <w:rPr>
          <w:lang w:val="en-US" w:eastAsia="zh-CN"/>
        </w:rPr>
        <w:t>第</w:t>
      </w:r>
      <w:r w:rsidRPr="006E3B9B">
        <w:rPr>
          <w:lang w:val="en-US" w:eastAsia="zh-CN"/>
        </w:rPr>
        <w:t>600</w:t>
      </w:r>
      <w:r w:rsidRPr="006E3B9B">
        <w:rPr>
          <w:lang w:val="en-US" w:eastAsia="zh-CN"/>
        </w:rPr>
        <w:t>号决议</w:t>
      </w:r>
      <w:r w:rsidRPr="006E3B9B">
        <w:rPr>
          <w:lang w:val="en-US" w:eastAsia="zh-CN"/>
        </w:rPr>
        <w:tab/>
      </w:r>
      <w:r w:rsidRPr="006E3B9B">
        <w:rPr>
          <w:rFonts w:hint="eastAsia"/>
          <w:lang w:eastAsia="zh-CN"/>
        </w:rPr>
        <w:t>国际电信联盟在瑞士的法律地位</w:t>
      </w:r>
      <w:r w:rsidRPr="006E3B9B">
        <w:rPr>
          <w:lang w:val="en-US" w:eastAsia="zh-CN"/>
        </w:rPr>
        <w:tab/>
      </w:r>
      <w:r w:rsidR="003E11A1">
        <w:rPr>
          <w:lang w:val="en-US" w:eastAsia="zh-CN"/>
        </w:rPr>
        <w:tab/>
      </w:r>
      <w:r w:rsidRPr="006E3B9B">
        <w:rPr>
          <w:lang w:val="en-US" w:eastAsia="zh-CN"/>
        </w:rPr>
        <w:t>1971</w:t>
      </w:r>
      <w:r w:rsidRPr="006E3B9B">
        <w:rPr>
          <w:rFonts w:hint="eastAsia"/>
          <w:lang w:val="en-US" w:eastAsia="zh-CN"/>
        </w:rPr>
        <w:t>年</w:t>
      </w:r>
    </w:p>
    <w:p w14:paraId="4827BE9F" w14:textId="77777777" w:rsidR="006E3B9B" w:rsidRPr="006E3B9B" w:rsidRDefault="006E3B9B" w:rsidP="00F378A3">
      <w:pPr>
        <w:pStyle w:val="Appendixref"/>
        <w:rPr>
          <w:lang w:val="en-US" w:eastAsia="zh-CN"/>
        </w:rPr>
      </w:pPr>
      <w:r w:rsidRPr="006E3B9B">
        <w:rPr>
          <w:lang w:val="en-US" w:eastAsia="zh-CN"/>
        </w:rPr>
        <w:t>第</w:t>
      </w:r>
      <w:r w:rsidRPr="006E3B9B">
        <w:rPr>
          <w:lang w:val="en-US" w:eastAsia="zh-CN"/>
        </w:rPr>
        <w:t>601</w:t>
      </w:r>
      <w:r w:rsidRPr="006E3B9B">
        <w:rPr>
          <w:lang w:val="en-US" w:eastAsia="zh-CN"/>
        </w:rPr>
        <w:t>号决议</w:t>
      </w:r>
      <w:r w:rsidRPr="006E3B9B">
        <w:rPr>
          <w:lang w:val="en-US" w:eastAsia="zh-CN"/>
        </w:rPr>
        <w:tab/>
      </w:r>
      <w:r w:rsidRPr="006E3B9B">
        <w:rPr>
          <w:rFonts w:hint="eastAsia"/>
          <w:lang w:val="en-US" w:eastAsia="zh-CN"/>
        </w:rPr>
        <w:t>《</w:t>
      </w:r>
      <w:r w:rsidRPr="006E3B9B">
        <w:rPr>
          <w:rFonts w:hint="eastAsia"/>
          <w:lang w:eastAsia="zh-CN"/>
        </w:rPr>
        <w:t>宪章》草案的起草</w:t>
      </w:r>
      <w:r w:rsidRPr="006E3B9B">
        <w:rPr>
          <w:lang w:val="en-US" w:eastAsia="zh-CN"/>
        </w:rPr>
        <w:tab/>
      </w:r>
      <w:r w:rsidR="003E11A1">
        <w:rPr>
          <w:lang w:val="en-US" w:eastAsia="zh-CN"/>
        </w:rPr>
        <w:tab/>
      </w:r>
      <w:r w:rsidRPr="006E3B9B">
        <w:rPr>
          <w:lang w:val="en-US" w:eastAsia="zh-CN"/>
        </w:rPr>
        <w:t>1969</w:t>
      </w:r>
      <w:r w:rsidRPr="006E3B9B">
        <w:rPr>
          <w:rFonts w:hint="eastAsia"/>
          <w:lang w:val="en-US" w:eastAsia="zh-CN"/>
        </w:rPr>
        <w:t>年</w:t>
      </w:r>
    </w:p>
    <w:p w14:paraId="4827BEA0" w14:textId="77777777" w:rsidR="006E3B9B" w:rsidRPr="006E3B9B" w:rsidRDefault="006E3B9B" w:rsidP="003E11A1">
      <w:pPr>
        <w:pStyle w:val="Reftitle"/>
        <w:rPr>
          <w:lang w:val="en-US" w:eastAsia="zh-CN"/>
        </w:rPr>
      </w:pPr>
      <w:r w:rsidRPr="006E3B9B">
        <w:rPr>
          <w:rFonts w:hint="eastAsia"/>
          <w:lang w:eastAsia="zh-CN"/>
        </w:rPr>
        <w:t>第</w:t>
      </w:r>
      <w:r w:rsidRPr="006E3B9B">
        <w:rPr>
          <w:lang w:eastAsia="zh-CN"/>
        </w:rPr>
        <w:t>22</w:t>
      </w:r>
      <w:r w:rsidRPr="006E3B9B">
        <w:rPr>
          <w:rFonts w:hint="eastAsia"/>
          <w:lang w:eastAsia="zh-CN"/>
        </w:rPr>
        <w:t>届会议（</w:t>
      </w:r>
      <w:r w:rsidRPr="006E3B9B">
        <w:rPr>
          <w:lang w:eastAsia="zh-CN"/>
        </w:rPr>
        <w:t>1967</w:t>
      </w:r>
      <w:r w:rsidRPr="006E3B9B">
        <w:rPr>
          <w:rFonts w:hint="eastAsia"/>
          <w:lang w:eastAsia="zh-CN"/>
        </w:rPr>
        <w:t>年</w:t>
      </w:r>
      <w:r w:rsidRPr="006E3B9B">
        <w:rPr>
          <w:lang w:eastAsia="zh-CN"/>
        </w:rPr>
        <w:t>5</w:t>
      </w:r>
      <w:r w:rsidRPr="006E3B9B">
        <w:rPr>
          <w:rFonts w:hint="eastAsia"/>
          <w:lang w:eastAsia="zh-CN"/>
        </w:rPr>
        <w:t>月）</w:t>
      </w:r>
    </w:p>
    <w:p w14:paraId="4827BEA1" w14:textId="77777777" w:rsidR="006E3B9B" w:rsidRPr="006E3B9B" w:rsidRDefault="006E3B9B" w:rsidP="00F378A3">
      <w:pPr>
        <w:pStyle w:val="Appendixref"/>
        <w:rPr>
          <w:lang w:val="en-US" w:eastAsia="zh-CN"/>
        </w:rPr>
      </w:pPr>
      <w:r w:rsidRPr="006E3B9B">
        <w:rPr>
          <w:lang w:val="en-US" w:eastAsia="zh-CN"/>
        </w:rPr>
        <w:t>第</w:t>
      </w:r>
      <w:r w:rsidRPr="006E3B9B">
        <w:rPr>
          <w:lang w:val="en-US" w:eastAsia="zh-CN"/>
        </w:rPr>
        <w:t>602</w:t>
      </w:r>
      <w:r w:rsidRPr="006E3B9B">
        <w:rPr>
          <w:lang w:val="en-US" w:eastAsia="zh-CN"/>
        </w:rPr>
        <w:t>号决议</w:t>
      </w:r>
      <w:r w:rsidRPr="006E3B9B">
        <w:rPr>
          <w:lang w:val="en-US" w:eastAsia="zh-CN"/>
        </w:rPr>
        <w:tab/>
      </w:r>
      <w:r w:rsidRPr="006E3B9B">
        <w:rPr>
          <w:rFonts w:hint="eastAsia"/>
          <w:lang w:eastAsia="zh-CN"/>
        </w:rPr>
        <w:t>联合国组织内预算与财务活动的协调</w:t>
      </w:r>
      <w:r w:rsidRPr="006E3B9B">
        <w:rPr>
          <w:lang w:val="en-US" w:eastAsia="zh-CN"/>
        </w:rPr>
        <w:tab/>
      </w:r>
      <w:r w:rsidR="00F378A3">
        <w:rPr>
          <w:lang w:val="en-US" w:eastAsia="zh-CN"/>
        </w:rPr>
        <w:tab/>
      </w:r>
      <w:r w:rsidRPr="006E3B9B">
        <w:rPr>
          <w:lang w:val="en-US" w:eastAsia="zh-CN"/>
        </w:rPr>
        <w:t>1969</w:t>
      </w:r>
      <w:r w:rsidRPr="006E3B9B">
        <w:rPr>
          <w:rFonts w:hint="eastAsia"/>
          <w:lang w:val="en-US" w:eastAsia="zh-CN"/>
        </w:rPr>
        <w:t>年</w:t>
      </w:r>
    </w:p>
    <w:p w14:paraId="4827BEA2" w14:textId="77777777" w:rsidR="006E3B9B" w:rsidRPr="006E3B9B" w:rsidRDefault="006E3B9B" w:rsidP="00F378A3">
      <w:pPr>
        <w:pStyle w:val="Appendixref"/>
        <w:rPr>
          <w:lang w:val="en-US" w:eastAsia="zh-CN"/>
        </w:rPr>
      </w:pPr>
      <w:r w:rsidRPr="006E3B9B">
        <w:rPr>
          <w:lang w:val="en-US" w:eastAsia="zh-CN"/>
        </w:rPr>
        <w:t>第</w:t>
      </w:r>
      <w:r w:rsidRPr="006E3B9B">
        <w:rPr>
          <w:lang w:val="en-US" w:eastAsia="zh-CN"/>
        </w:rPr>
        <w:t>603</w:t>
      </w:r>
      <w:r w:rsidRPr="006E3B9B">
        <w:rPr>
          <w:lang w:val="en-US" w:eastAsia="zh-CN"/>
        </w:rPr>
        <w:t>号决议</w:t>
      </w:r>
      <w:r w:rsidRPr="006E3B9B">
        <w:rPr>
          <w:lang w:val="en-US" w:eastAsia="zh-CN"/>
        </w:rPr>
        <w:tab/>
      </w:r>
      <w:r w:rsidRPr="006E3B9B">
        <w:rPr>
          <w:lang w:eastAsia="zh-CN"/>
        </w:rPr>
        <w:t>1967</w:t>
      </w:r>
      <w:r w:rsidRPr="006E3B9B">
        <w:rPr>
          <w:rFonts w:hint="eastAsia"/>
          <w:lang w:eastAsia="zh-CN"/>
        </w:rPr>
        <w:t>年的追加拨款</w:t>
      </w:r>
      <w:r w:rsidRPr="006E3B9B">
        <w:rPr>
          <w:lang w:val="en-US" w:eastAsia="zh-CN"/>
        </w:rPr>
        <w:tab/>
      </w:r>
      <w:r w:rsidR="00F378A3">
        <w:rPr>
          <w:lang w:val="en-US" w:eastAsia="zh-CN"/>
        </w:rPr>
        <w:tab/>
      </w:r>
      <w:r w:rsidRPr="006E3B9B">
        <w:rPr>
          <w:lang w:val="en-US" w:eastAsia="zh-CN"/>
        </w:rPr>
        <w:t>1968</w:t>
      </w:r>
      <w:r w:rsidRPr="006E3B9B">
        <w:rPr>
          <w:rFonts w:hint="eastAsia"/>
          <w:lang w:val="en-US" w:eastAsia="zh-CN"/>
        </w:rPr>
        <w:t>年</w:t>
      </w:r>
    </w:p>
    <w:p w14:paraId="4827BEA3" w14:textId="77777777" w:rsidR="006E3B9B" w:rsidRPr="006E3B9B" w:rsidRDefault="006E3B9B" w:rsidP="00F378A3">
      <w:pPr>
        <w:pStyle w:val="Appendixref"/>
        <w:rPr>
          <w:lang w:val="en-US" w:eastAsia="zh-CN"/>
        </w:rPr>
      </w:pPr>
      <w:r w:rsidRPr="006E3B9B">
        <w:rPr>
          <w:lang w:val="en-US" w:eastAsia="zh-CN"/>
        </w:rPr>
        <w:t>第</w:t>
      </w:r>
      <w:r w:rsidRPr="006E3B9B">
        <w:rPr>
          <w:lang w:val="en-US" w:eastAsia="zh-CN"/>
        </w:rPr>
        <w:t>604</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1968</w:t>
      </w:r>
      <w:r w:rsidRPr="006E3B9B">
        <w:rPr>
          <w:rFonts w:hint="eastAsia"/>
          <w:lang w:eastAsia="zh-CN"/>
        </w:rPr>
        <w:t>年预算</w:t>
      </w:r>
      <w:r w:rsidRPr="006E3B9B">
        <w:rPr>
          <w:lang w:val="en-US" w:eastAsia="zh-CN"/>
        </w:rPr>
        <w:tab/>
      </w:r>
      <w:r w:rsidR="00F378A3">
        <w:rPr>
          <w:lang w:val="en-US" w:eastAsia="zh-CN"/>
        </w:rPr>
        <w:tab/>
      </w:r>
      <w:r w:rsidRPr="006E3B9B">
        <w:rPr>
          <w:lang w:val="en-US" w:eastAsia="zh-CN"/>
        </w:rPr>
        <w:t>1969</w:t>
      </w:r>
      <w:r w:rsidRPr="006E3B9B">
        <w:rPr>
          <w:rFonts w:hint="eastAsia"/>
          <w:lang w:val="en-US" w:eastAsia="zh-CN"/>
        </w:rPr>
        <w:t>年</w:t>
      </w:r>
    </w:p>
    <w:p w14:paraId="4827BEA4" w14:textId="77777777" w:rsidR="006E3B9B" w:rsidRPr="006E3B9B" w:rsidRDefault="006E3B9B" w:rsidP="00F378A3">
      <w:pPr>
        <w:pStyle w:val="Appendixref"/>
        <w:rPr>
          <w:lang w:val="en-US" w:eastAsia="zh-CN"/>
        </w:rPr>
      </w:pPr>
      <w:r w:rsidRPr="006E3B9B">
        <w:rPr>
          <w:lang w:val="en-US" w:eastAsia="zh-CN"/>
        </w:rPr>
        <w:t>第</w:t>
      </w:r>
      <w:r w:rsidRPr="006E3B9B">
        <w:rPr>
          <w:lang w:val="en-US" w:eastAsia="zh-CN"/>
        </w:rPr>
        <w:t>605</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1966</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1</w:t>
      </w:r>
      <w:r w:rsidRPr="006E3B9B">
        <w:rPr>
          <w:rFonts w:hint="eastAsia"/>
          <w:lang w:eastAsia="zh-CN"/>
        </w:rPr>
        <w:t>日至</w:t>
      </w:r>
      <w:r w:rsidRPr="006E3B9B">
        <w:rPr>
          <w:lang w:eastAsia="zh-CN"/>
        </w:rPr>
        <w:t>12</w:t>
      </w:r>
      <w:r w:rsidRPr="006E3B9B">
        <w:rPr>
          <w:rFonts w:hint="eastAsia"/>
          <w:lang w:eastAsia="zh-CN"/>
        </w:rPr>
        <w:t>月</w:t>
      </w:r>
      <w:r w:rsidRPr="006E3B9B">
        <w:rPr>
          <w:lang w:eastAsia="zh-CN"/>
        </w:rPr>
        <w:t>31</w:t>
      </w:r>
      <w:r w:rsidRPr="006E3B9B">
        <w:rPr>
          <w:rFonts w:hint="eastAsia"/>
          <w:lang w:eastAsia="zh-CN"/>
        </w:rPr>
        <w:t>日账目的外部审计</w:t>
      </w:r>
      <w:r w:rsidRPr="006E3B9B">
        <w:rPr>
          <w:lang w:val="en-US" w:eastAsia="zh-CN"/>
        </w:rPr>
        <w:tab/>
      </w:r>
      <w:r w:rsidR="00F378A3">
        <w:rPr>
          <w:lang w:val="en-US" w:eastAsia="zh-CN"/>
        </w:rPr>
        <w:tab/>
      </w:r>
      <w:r w:rsidRPr="006E3B9B">
        <w:rPr>
          <w:lang w:val="en-US" w:eastAsia="zh-CN"/>
        </w:rPr>
        <w:t>1968</w:t>
      </w:r>
      <w:r w:rsidRPr="006E3B9B">
        <w:rPr>
          <w:rFonts w:hint="eastAsia"/>
          <w:lang w:val="en-US" w:eastAsia="zh-CN"/>
        </w:rPr>
        <w:t>年</w:t>
      </w:r>
    </w:p>
    <w:p w14:paraId="4827BEA5" w14:textId="77777777" w:rsidR="006E3B9B" w:rsidRPr="006E3B9B" w:rsidRDefault="006E3B9B" w:rsidP="00F378A3">
      <w:pPr>
        <w:pStyle w:val="Appendixref"/>
        <w:rPr>
          <w:lang w:val="en-US" w:eastAsia="zh-CN"/>
        </w:rPr>
      </w:pPr>
      <w:r w:rsidRPr="006E3B9B">
        <w:rPr>
          <w:lang w:val="en-US" w:eastAsia="zh-CN"/>
        </w:rPr>
        <w:t>第</w:t>
      </w:r>
      <w:r w:rsidRPr="006E3B9B">
        <w:rPr>
          <w:lang w:val="en-US" w:eastAsia="zh-CN"/>
        </w:rPr>
        <w:t>606</w:t>
      </w:r>
      <w:r w:rsidRPr="006E3B9B">
        <w:rPr>
          <w:lang w:val="en-US" w:eastAsia="zh-CN"/>
        </w:rPr>
        <w:t>号决议</w:t>
      </w:r>
      <w:r w:rsidRPr="006E3B9B">
        <w:rPr>
          <w:lang w:val="en-US" w:eastAsia="zh-CN"/>
        </w:rPr>
        <w:tab/>
      </w:r>
      <w:r w:rsidRPr="006E3B9B">
        <w:rPr>
          <w:rFonts w:hint="eastAsia"/>
          <w:lang w:eastAsia="zh-CN"/>
        </w:rPr>
        <w:t>国际电联的《财务规则》（修订版）</w:t>
      </w:r>
      <w:r w:rsidRPr="006E3B9B">
        <w:rPr>
          <w:lang w:val="en-US" w:eastAsia="zh-CN"/>
        </w:rPr>
        <w:tab/>
      </w:r>
      <w:r w:rsidR="00F378A3">
        <w:rPr>
          <w:lang w:val="en-US" w:eastAsia="zh-CN"/>
        </w:rPr>
        <w:tab/>
      </w:r>
      <w:r w:rsidRPr="006E3B9B">
        <w:rPr>
          <w:lang w:val="en-US" w:eastAsia="zh-CN"/>
        </w:rPr>
        <w:t>1968</w:t>
      </w:r>
      <w:r w:rsidRPr="006E3B9B">
        <w:rPr>
          <w:rFonts w:hint="eastAsia"/>
          <w:lang w:val="en-US" w:eastAsia="zh-CN"/>
        </w:rPr>
        <w:t>年</w:t>
      </w:r>
    </w:p>
    <w:p w14:paraId="4827BEA6" w14:textId="77777777" w:rsidR="006E3B9B" w:rsidRPr="006E3B9B" w:rsidRDefault="006E3B9B" w:rsidP="00F378A3">
      <w:pPr>
        <w:pStyle w:val="Appendixref"/>
        <w:rPr>
          <w:lang w:val="en-US" w:eastAsia="zh-CN"/>
        </w:rPr>
      </w:pPr>
      <w:r w:rsidRPr="006E3B9B">
        <w:rPr>
          <w:lang w:val="en-US" w:eastAsia="zh-CN"/>
        </w:rPr>
        <w:t>第</w:t>
      </w:r>
      <w:r w:rsidRPr="006E3B9B">
        <w:rPr>
          <w:lang w:val="en-US" w:eastAsia="zh-CN"/>
        </w:rPr>
        <w:t>607</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1966</w:t>
      </w:r>
      <w:r w:rsidRPr="006E3B9B">
        <w:rPr>
          <w:rFonts w:hint="eastAsia"/>
          <w:lang w:eastAsia="zh-CN"/>
        </w:rPr>
        <w:t>年财务工作报告</w:t>
      </w:r>
      <w:r w:rsidRPr="006E3B9B">
        <w:rPr>
          <w:lang w:val="en-US" w:eastAsia="zh-CN"/>
        </w:rPr>
        <w:tab/>
      </w:r>
      <w:r w:rsidR="00F378A3">
        <w:rPr>
          <w:lang w:val="en-US" w:eastAsia="zh-CN"/>
        </w:rPr>
        <w:tab/>
      </w:r>
      <w:r w:rsidRPr="006E3B9B">
        <w:rPr>
          <w:lang w:val="en-US" w:eastAsia="zh-CN"/>
        </w:rPr>
        <w:t>1968</w:t>
      </w:r>
      <w:r w:rsidRPr="006E3B9B">
        <w:rPr>
          <w:rFonts w:hint="eastAsia"/>
          <w:lang w:val="en-US" w:eastAsia="zh-CN"/>
        </w:rPr>
        <w:t>年</w:t>
      </w:r>
    </w:p>
    <w:p w14:paraId="4827BEA7" w14:textId="77777777" w:rsidR="006E3B9B" w:rsidRPr="006E3B9B" w:rsidRDefault="006E3B9B" w:rsidP="00F378A3">
      <w:pPr>
        <w:pStyle w:val="Appendixref"/>
        <w:rPr>
          <w:lang w:val="en-US" w:eastAsia="zh-CN"/>
        </w:rPr>
      </w:pPr>
      <w:r w:rsidRPr="006E3B9B">
        <w:rPr>
          <w:lang w:val="en-US" w:eastAsia="zh-CN"/>
        </w:rPr>
        <w:t>第</w:t>
      </w:r>
      <w:r w:rsidRPr="006E3B9B">
        <w:rPr>
          <w:lang w:val="en-US" w:eastAsia="zh-CN"/>
        </w:rPr>
        <w:t>608</w:t>
      </w:r>
      <w:r w:rsidRPr="006E3B9B">
        <w:rPr>
          <w:lang w:val="en-US" w:eastAsia="zh-CN"/>
        </w:rPr>
        <w:t>号决议</w:t>
      </w:r>
      <w:r w:rsidRPr="006E3B9B">
        <w:rPr>
          <w:lang w:val="en-US" w:eastAsia="zh-CN"/>
        </w:rPr>
        <w:tab/>
      </w:r>
      <w:r w:rsidRPr="006E3B9B">
        <w:rPr>
          <w:rFonts w:hint="eastAsia"/>
          <w:lang w:eastAsia="zh-CN"/>
        </w:rPr>
        <w:t>定级标准</w:t>
      </w:r>
      <w:r w:rsidRPr="006E3B9B">
        <w:rPr>
          <w:lang w:val="en-US" w:eastAsia="zh-CN"/>
        </w:rPr>
        <w:tab/>
      </w:r>
      <w:r w:rsidR="00F378A3">
        <w:rPr>
          <w:lang w:val="en-US" w:eastAsia="zh-CN"/>
        </w:rPr>
        <w:tab/>
      </w:r>
      <w:r w:rsidRPr="006E3B9B">
        <w:rPr>
          <w:lang w:val="en-US" w:eastAsia="zh-CN"/>
        </w:rPr>
        <w:t>1968</w:t>
      </w:r>
      <w:r w:rsidRPr="006E3B9B">
        <w:rPr>
          <w:rFonts w:hint="eastAsia"/>
          <w:lang w:val="en-US" w:eastAsia="zh-CN"/>
        </w:rPr>
        <w:t>年</w:t>
      </w:r>
    </w:p>
    <w:p w14:paraId="4827BEA8" w14:textId="77777777" w:rsidR="006E3B9B" w:rsidRPr="006E3B9B" w:rsidRDefault="006E3B9B" w:rsidP="00F378A3">
      <w:pPr>
        <w:pStyle w:val="Appendixref"/>
        <w:rPr>
          <w:lang w:val="en-US" w:eastAsia="zh-CN"/>
        </w:rPr>
      </w:pPr>
      <w:r w:rsidRPr="006E3B9B">
        <w:rPr>
          <w:lang w:val="en-US" w:eastAsia="zh-CN"/>
        </w:rPr>
        <w:t>第</w:t>
      </w:r>
      <w:r w:rsidRPr="006E3B9B">
        <w:rPr>
          <w:lang w:val="en-US" w:eastAsia="zh-CN"/>
        </w:rPr>
        <w:t>609</w:t>
      </w:r>
      <w:r w:rsidRPr="006E3B9B">
        <w:rPr>
          <w:lang w:val="en-US" w:eastAsia="zh-CN"/>
        </w:rPr>
        <w:t>号决议</w:t>
      </w:r>
      <w:r w:rsidRPr="006E3B9B">
        <w:rPr>
          <w:lang w:val="en-US" w:eastAsia="zh-CN"/>
        </w:rPr>
        <w:tab/>
      </w:r>
      <w:r w:rsidRPr="006E3B9B">
        <w:rPr>
          <w:lang w:eastAsia="zh-CN"/>
        </w:rPr>
        <w:t>M.B.Sarwate</w:t>
      </w:r>
      <w:r w:rsidRPr="006E3B9B">
        <w:rPr>
          <w:rFonts w:hint="eastAsia"/>
          <w:lang w:eastAsia="zh-CN"/>
        </w:rPr>
        <w:t>博士去世引发的状况</w:t>
      </w:r>
      <w:r w:rsidRPr="006E3B9B">
        <w:rPr>
          <w:lang w:val="en-US" w:eastAsia="zh-CN"/>
        </w:rPr>
        <w:tab/>
      </w:r>
      <w:r w:rsidR="00F378A3">
        <w:rPr>
          <w:lang w:val="en-US" w:eastAsia="zh-CN"/>
        </w:rPr>
        <w:tab/>
      </w:r>
      <w:r w:rsidRPr="006E3B9B">
        <w:rPr>
          <w:lang w:val="en-US" w:eastAsia="zh-CN"/>
        </w:rPr>
        <w:t>1968</w:t>
      </w:r>
      <w:r w:rsidRPr="006E3B9B">
        <w:rPr>
          <w:rFonts w:hint="eastAsia"/>
          <w:lang w:val="en-US" w:eastAsia="zh-CN"/>
        </w:rPr>
        <w:t>年</w:t>
      </w:r>
    </w:p>
    <w:p w14:paraId="4827BEA9"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610</w:t>
      </w:r>
      <w:r w:rsidRPr="006E3B9B">
        <w:rPr>
          <w:lang w:val="en-US" w:eastAsia="zh-CN"/>
        </w:rPr>
        <w:t>号决议</w:t>
      </w:r>
      <w:r w:rsidRPr="006E3B9B">
        <w:rPr>
          <w:lang w:val="en-US" w:eastAsia="zh-CN"/>
        </w:rPr>
        <w:tab/>
      </w:r>
      <w:r w:rsidRPr="006E3B9B">
        <w:rPr>
          <w:rFonts w:hint="eastAsia"/>
          <w:lang w:eastAsia="zh-CN"/>
        </w:rPr>
        <w:t>职位的设立与延续</w:t>
      </w:r>
      <w:r w:rsidRPr="006E3B9B">
        <w:rPr>
          <w:lang w:val="en-US" w:eastAsia="zh-CN"/>
        </w:rPr>
        <w:tab/>
      </w:r>
      <w:r w:rsidR="00222D23">
        <w:rPr>
          <w:lang w:val="en-US" w:eastAsia="zh-CN"/>
        </w:rPr>
        <w:tab/>
      </w:r>
      <w:r w:rsidRPr="006E3B9B">
        <w:rPr>
          <w:lang w:val="en-US" w:eastAsia="zh-CN"/>
        </w:rPr>
        <w:t>1973</w:t>
      </w:r>
      <w:r w:rsidRPr="006E3B9B">
        <w:rPr>
          <w:rFonts w:hint="eastAsia"/>
          <w:lang w:val="en-US" w:eastAsia="zh-CN"/>
        </w:rPr>
        <w:t>年</w:t>
      </w:r>
    </w:p>
    <w:p w14:paraId="4827BEAA"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611</w:t>
      </w:r>
      <w:r w:rsidRPr="006E3B9B">
        <w:rPr>
          <w:lang w:val="en-US" w:eastAsia="zh-CN"/>
        </w:rPr>
        <w:t>号决议</w:t>
      </w:r>
      <w:r w:rsidRPr="006E3B9B">
        <w:rPr>
          <w:lang w:val="en-US" w:eastAsia="zh-CN"/>
        </w:rPr>
        <w:tab/>
      </w:r>
      <w:r w:rsidRPr="006E3B9B">
        <w:rPr>
          <w:lang w:eastAsia="zh-CN"/>
        </w:rPr>
        <w:t>G1</w:t>
      </w:r>
      <w:r w:rsidRPr="006E3B9B">
        <w:rPr>
          <w:rFonts w:hint="eastAsia"/>
          <w:lang w:eastAsia="zh-CN"/>
        </w:rPr>
        <w:t>至</w:t>
      </w:r>
      <w:r w:rsidRPr="006E3B9B">
        <w:rPr>
          <w:lang w:eastAsia="zh-CN"/>
        </w:rPr>
        <w:t>G5</w:t>
      </w:r>
      <w:r w:rsidRPr="006E3B9B">
        <w:rPr>
          <w:rFonts w:hint="eastAsia"/>
          <w:lang w:eastAsia="zh-CN"/>
        </w:rPr>
        <w:t>级职位的设立</w:t>
      </w:r>
      <w:r w:rsidRPr="006E3B9B">
        <w:rPr>
          <w:lang w:val="en-US" w:eastAsia="zh-CN"/>
        </w:rPr>
        <w:tab/>
      </w:r>
      <w:r w:rsidR="00222D23">
        <w:rPr>
          <w:lang w:val="en-US" w:eastAsia="zh-CN"/>
        </w:rPr>
        <w:tab/>
      </w:r>
      <w:r w:rsidRPr="006E3B9B">
        <w:rPr>
          <w:lang w:val="en-US" w:eastAsia="zh-CN"/>
        </w:rPr>
        <w:t>1970</w:t>
      </w:r>
      <w:r w:rsidRPr="006E3B9B">
        <w:rPr>
          <w:rFonts w:hint="eastAsia"/>
          <w:lang w:val="en-US" w:eastAsia="zh-CN"/>
        </w:rPr>
        <w:t>年</w:t>
      </w:r>
    </w:p>
    <w:p w14:paraId="4827BEAB"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612</w:t>
      </w:r>
      <w:r w:rsidRPr="006E3B9B">
        <w:rPr>
          <w:lang w:val="en-US" w:eastAsia="zh-CN"/>
        </w:rPr>
        <w:t>号决议</w:t>
      </w:r>
      <w:r w:rsidRPr="006E3B9B">
        <w:rPr>
          <w:lang w:val="en-US" w:eastAsia="zh-CN"/>
        </w:rPr>
        <w:tab/>
      </w:r>
      <w:r w:rsidRPr="006E3B9B">
        <w:rPr>
          <w:rFonts w:hint="eastAsia"/>
          <w:lang w:eastAsia="zh-CN"/>
        </w:rPr>
        <w:t>国际电联职员养恤金委员会的委员</w:t>
      </w:r>
      <w:r w:rsidRPr="006E3B9B">
        <w:rPr>
          <w:lang w:val="en-US" w:eastAsia="zh-CN"/>
        </w:rPr>
        <w:tab/>
      </w:r>
      <w:r w:rsidR="00222D23">
        <w:rPr>
          <w:lang w:val="en-US" w:eastAsia="zh-CN"/>
        </w:rPr>
        <w:tab/>
      </w:r>
      <w:r w:rsidRPr="006E3B9B">
        <w:rPr>
          <w:lang w:val="en-US" w:eastAsia="zh-CN"/>
        </w:rPr>
        <w:t>1968</w:t>
      </w:r>
      <w:r w:rsidRPr="006E3B9B">
        <w:rPr>
          <w:rFonts w:hint="eastAsia"/>
          <w:lang w:val="en-US" w:eastAsia="zh-CN"/>
        </w:rPr>
        <w:t>年</w:t>
      </w:r>
    </w:p>
    <w:p w14:paraId="4827BEAC"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613</w:t>
      </w:r>
      <w:r w:rsidRPr="006E3B9B">
        <w:rPr>
          <w:lang w:val="en-US" w:eastAsia="zh-CN"/>
        </w:rPr>
        <w:t>号决议</w:t>
      </w:r>
      <w:r w:rsidRPr="006E3B9B">
        <w:rPr>
          <w:lang w:val="en-US" w:eastAsia="zh-CN"/>
        </w:rPr>
        <w:tab/>
      </w:r>
      <w:r w:rsidRPr="006E3B9B">
        <w:rPr>
          <w:rFonts w:hint="eastAsia"/>
          <w:lang w:eastAsia="zh-CN"/>
        </w:rPr>
        <w:t>航空移动（</w:t>
      </w:r>
      <w:r w:rsidRPr="006E3B9B">
        <w:rPr>
          <w:lang w:eastAsia="zh-CN"/>
        </w:rPr>
        <w:t>OR</w:t>
      </w:r>
      <w:r w:rsidRPr="006E3B9B">
        <w:rPr>
          <w:rFonts w:hint="eastAsia"/>
          <w:lang w:eastAsia="zh-CN"/>
        </w:rPr>
        <w:t>）业务</w:t>
      </w:r>
      <w:r w:rsidRPr="006E3B9B">
        <w:rPr>
          <w:lang w:val="en-US" w:eastAsia="zh-CN"/>
        </w:rPr>
        <w:tab/>
      </w:r>
      <w:r w:rsidR="00222D23">
        <w:rPr>
          <w:lang w:val="en-US" w:eastAsia="zh-CN"/>
        </w:rPr>
        <w:tab/>
      </w:r>
      <w:r w:rsidRPr="006E3B9B">
        <w:rPr>
          <w:lang w:val="en-US" w:eastAsia="zh-CN"/>
        </w:rPr>
        <w:t>1992</w:t>
      </w:r>
      <w:r w:rsidRPr="006E3B9B">
        <w:rPr>
          <w:rFonts w:hint="eastAsia"/>
          <w:lang w:val="en-US" w:eastAsia="zh-CN"/>
        </w:rPr>
        <w:t>年</w:t>
      </w:r>
    </w:p>
    <w:p w14:paraId="4827BEAD"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614</w:t>
      </w:r>
      <w:r w:rsidRPr="006E3B9B">
        <w:rPr>
          <w:lang w:val="en-US" w:eastAsia="zh-CN"/>
        </w:rPr>
        <w:t>号决议</w:t>
      </w:r>
      <w:r w:rsidRPr="006E3B9B">
        <w:rPr>
          <w:lang w:val="en-US" w:eastAsia="zh-CN"/>
        </w:rPr>
        <w:tab/>
      </w:r>
      <w:r w:rsidRPr="006E3B9B">
        <w:rPr>
          <w:rFonts w:hint="eastAsia"/>
          <w:lang w:eastAsia="zh-CN"/>
        </w:rPr>
        <w:t>低频</w:t>
      </w:r>
      <w:r w:rsidRPr="006E3B9B">
        <w:rPr>
          <w:lang w:eastAsia="zh-CN"/>
        </w:rPr>
        <w:t>/</w:t>
      </w:r>
      <w:r w:rsidRPr="006E3B9B">
        <w:rPr>
          <w:rFonts w:hint="eastAsia"/>
          <w:lang w:eastAsia="zh-CN"/>
        </w:rPr>
        <w:t>中频广播的频率规划</w:t>
      </w:r>
      <w:r w:rsidRPr="006E3B9B">
        <w:rPr>
          <w:lang w:val="en-US" w:eastAsia="zh-CN"/>
        </w:rPr>
        <w:tab/>
      </w:r>
      <w:r w:rsidR="00222D23">
        <w:rPr>
          <w:lang w:val="en-US" w:eastAsia="zh-CN"/>
        </w:rPr>
        <w:tab/>
      </w:r>
      <w:r w:rsidRPr="006E3B9B">
        <w:rPr>
          <w:lang w:val="en-US" w:eastAsia="zh-CN"/>
        </w:rPr>
        <w:t>1970</w:t>
      </w:r>
      <w:r w:rsidRPr="006E3B9B">
        <w:rPr>
          <w:rFonts w:hint="eastAsia"/>
          <w:lang w:val="en-US" w:eastAsia="zh-CN"/>
        </w:rPr>
        <w:t>年</w:t>
      </w:r>
    </w:p>
    <w:p w14:paraId="4827BEAE"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615</w:t>
      </w:r>
      <w:r w:rsidRPr="006E3B9B">
        <w:rPr>
          <w:lang w:val="en-US" w:eastAsia="zh-CN"/>
        </w:rPr>
        <w:t>号决议</w:t>
      </w:r>
      <w:r w:rsidRPr="006E3B9B">
        <w:rPr>
          <w:lang w:val="en-US" w:eastAsia="zh-CN"/>
        </w:rPr>
        <w:tab/>
      </w:r>
      <w:r w:rsidRPr="006E3B9B">
        <w:rPr>
          <w:rFonts w:hint="eastAsia"/>
          <w:lang w:eastAsia="zh-CN"/>
        </w:rPr>
        <w:t>拉丁美洲区域行政大会</w:t>
      </w:r>
      <w:r w:rsidRPr="006E3B9B">
        <w:rPr>
          <w:lang w:eastAsia="zh-CN"/>
        </w:rPr>
        <w:t>（</w:t>
      </w:r>
      <w:r w:rsidRPr="006E3B9B">
        <w:rPr>
          <w:lang w:eastAsia="zh-CN"/>
        </w:rPr>
        <w:t>RACLA</w:t>
      </w:r>
      <w:r w:rsidRPr="006E3B9B">
        <w:rPr>
          <w:lang w:eastAsia="zh-CN"/>
        </w:rPr>
        <w:t>）</w:t>
      </w:r>
      <w:r w:rsidRPr="006E3B9B">
        <w:rPr>
          <w:lang w:val="en-US" w:eastAsia="zh-CN"/>
        </w:rPr>
        <w:tab/>
      </w:r>
      <w:r w:rsidR="00222D23">
        <w:rPr>
          <w:lang w:val="en-US" w:eastAsia="zh-CN"/>
        </w:rPr>
        <w:tab/>
      </w:r>
      <w:r w:rsidRPr="006E3B9B">
        <w:rPr>
          <w:lang w:val="en-US" w:eastAsia="zh-CN"/>
        </w:rPr>
        <w:t>1970</w:t>
      </w:r>
      <w:r w:rsidRPr="006E3B9B">
        <w:rPr>
          <w:rFonts w:hint="eastAsia"/>
          <w:lang w:val="en-US" w:eastAsia="zh-CN"/>
        </w:rPr>
        <w:t>年</w:t>
      </w:r>
    </w:p>
    <w:p w14:paraId="4827BEAF"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616</w:t>
      </w:r>
      <w:r w:rsidRPr="006E3B9B">
        <w:rPr>
          <w:lang w:val="en-US" w:eastAsia="zh-CN"/>
        </w:rPr>
        <w:t>号决议</w:t>
      </w:r>
      <w:r w:rsidRPr="006E3B9B">
        <w:rPr>
          <w:lang w:val="en-US" w:eastAsia="zh-CN"/>
        </w:rPr>
        <w:tab/>
      </w:r>
      <w:r w:rsidRPr="006E3B9B">
        <w:rPr>
          <w:lang w:eastAsia="zh-CN"/>
        </w:rPr>
        <w:t>频登会</w:t>
      </w:r>
      <w:r w:rsidRPr="006E3B9B">
        <w:rPr>
          <w:rFonts w:hint="eastAsia"/>
          <w:lang w:eastAsia="zh-CN"/>
        </w:rPr>
        <w:t>特设秘书处工作的协调</w:t>
      </w:r>
      <w:r w:rsidRPr="006E3B9B">
        <w:rPr>
          <w:lang w:val="en-US" w:eastAsia="zh-CN"/>
        </w:rPr>
        <w:tab/>
      </w:r>
      <w:r w:rsidR="00222D23">
        <w:rPr>
          <w:lang w:val="en-US" w:eastAsia="zh-CN"/>
        </w:rPr>
        <w:tab/>
      </w:r>
      <w:r w:rsidRPr="006E3B9B">
        <w:rPr>
          <w:lang w:val="en-US" w:eastAsia="zh-CN"/>
        </w:rPr>
        <w:t>1969</w:t>
      </w:r>
      <w:r w:rsidRPr="006E3B9B">
        <w:rPr>
          <w:rFonts w:hint="eastAsia"/>
          <w:lang w:val="en-US" w:eastAsia="zh-CN"/>
        </w:rPr>
        <w:t>年</w:t>
      </w:r>
    </w:p>
    <w:p w14:paraId="4827BEB0"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617</w:t>
      </w:r>
      <w:r w:rsidRPr="006E3B9B">
        <w:rPr>
          <w:lang w:val="en-US" w:eastAsia="zh-CN"/>
        </w:rPr>
        <w:t>号决议</w:t>
      </w:r>
      <w:r w:rsidRPr="006E3B9B">
        <w:rPr>
          <w:lang w:val="en-US" w:eastAsia="zh-CN"/>
        </w:rPr>
        <w:tab/>
      </w:r>
      <w:r w:rsidRPr="006E3B9B">
        <w:rPr>
          <w:rFonts w:hint="eastAsia"/>
          <w:lang w:eastAsia="zh-CN"/>
        </w:rPr>
        <w:t>计算机的操作</w:t>
      </w:r>
      <w:r w:rsidRPr="006E3B9B">
        <w:rPr>
          <w:lang w:val="en-US" w:eastAsia="zh-CN"/>
        </w:rPr>
        <w:tab/>
      </w:r>
      <w:r w:rsidR="00222D23">
        <w:rPr>
          <w:lang w:val="en-US" w:eastAsia="zh-CN"/>
        </w:rPr>
        <w:tab/>
      </w:r>
      <w:r w:rsidRPr="006E3B9B">
        <w:rPr>
          <w:lang w:val="en-US" w:eastAsia="zh-CN"/>
        </w:rPr>
        <w:t>1968</w:t>
      </w:r>
      <w:r w:rsidRPr="006E3B9B">
        <w:rPr>
          <w:rFonts w:hint="eastAsia"/>
          <w:lang w:val="en-US" w:eastAsia="zh-CN"/>
        </w:rPr>
        <w:t>年</w:t>
      </w:r>
    </w:p>
    <w:p w14:paraId="4827BEB1"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618</w:t>
      </w:r>
      <w:r w:rsidRPr="006E3B9B">
        <w:rPr>
          <w:lang w:val="en-US" w:eastAsia="zh-CN"/>
        </w:rPr>
        <w:t>号决议</w:t>
      </w:r>
      <w:r w:rsidRPr="006E3B9B">
        <w:rPr>
          <w:lang w:val="en-US" w:eastAsia="zh-CN"/>
        </w:rPr>
        <w:tab/>
      </w:r>
      <w:r w:rsidRPr="006E3B9B">
        <w:rPr>
          <w:rFonts w:hint="eastAsia"/>
          <w:lang w:eastAsia="zh-CN"/>
        </w:rPr>
        <w:t>技术合作的组织</w:t>
      </w:r>
      <w:r w:rsidRPr="006E3B9B">
        <w:rPr>
          <w:lang w:val="en-US" w:eastAsia="zh-CN"/>
        </w:rPr>
        <w:tab/>
      </w:r>
      <w:r w:rsidR="00222D23">
        <w:rPr>
          <w:lang w:val="en-US" w:eastAsia="zh-CN"/>
        </w:rPr>
        <w:tab/>
      </w:r>
      <w:r w:rsidRPr="006E3B9B">
        <w:rPr>
          <w:lang w:val="en-US" w:eastAsia="zh-CN"/>
        </w:rPr>
        <w:t>1968</w:t>
      </w:r>
      <w:r w:rsidRPr="006E3B9B">
        <w:rPr>
          <w:rFonts w:hint="eastAsia"/>
          <w:lang w:val="en-US" w:eastAsia="zh-CN"/>
        </w:rPr>
        <w:t>年</w:t>
      </w:r>
    </w:p>
    <w:p w14:paraId="4827BEB2"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619</w:t>
      </w:r>
      <w:r w:rsidRPr="006E3B9B">
        <w:rPr>
          <w:lang w:val="en-US" w:eastAsia="zh-CN"/>
        </w:rPr>
        <w:t>号决议</w:t>
      </w:r>
      <w:r w:rsidRPr="006E3B9B">
        <w:rPr>
          <w:lang w:val="en-US" w:eastAsia="zh-CN"/>
        </w:rPr>
        <w:tab/>
      </w:r>
      <w:r w:rsidRPr="006E3B9B">
        <w:rPr>
          <w:rFonts w:hint="eastAsia"/>
          <w:lang w:eastAsia="zh-CN"/>
        </w:rPr>
        <w:t>西南非洲领土问题</w:t>
      </w:r>
      <w:r w:rsidRPr="006E3B9B">
        <w:rPr>
          <w:lang w:val="en-US" w:eastAsia="zh-CN"/>
        </w:rPr>
        <w:tab/>
      </w:r>
      <w:r w:rsidR="00222D23">
        <w:rPr>
          <w:lang w:val="en-US" w:eastAsia="zh-CN"/>
        </w:rPr>
        <w:tab/>
      </w:r>
      <w:r w:rsidRPr="006E3B9B">
        <w:rPr>
          <w:lang w:val="en-US" w:eastAsia="zh-CN"/>
        </w:rPr>
        <w:t>1984</w:t>
      </w:r>
      <w:r w:rsidRPr="006E3B9B">
        <w:rPr>
          <w:rFonts w:hint="eastAsia"/>
          <w:lang w:val="en-US" w:eastAsia="zh-CN"/>
        </w:rPr>
        <w:t>年</w:t>
      </w:r>
    </w:p>
    <w:p w14:paraId="4827BEB3"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620</w:t>
      </w:r>
      <w:r w:rsidRPr="006E3B9B">
        <w:rPr>
          <w:lang w:val="en-US" w:eastAsia="zh-CN"/>
        </w:rPr>
        <w:t>号决议</w:t>
      </w:r>
      <w:r w:rsidRPr="006E3B9B">
        <w:rPr>
          <w:lang w:val="en-US" w:eastAsia="zh-CN"/>
        </w:rPr>
        <w:tab/>
      </w:r>
      <w:r w:rsidRPr="006E3B9B">
        <w:rPr>
          <w:rFonts w:hint="eastAsia"/>
          <w:lang w:eastAsia="zh-CN"/>
        </w:rPr>
        <w:t>总部设施</w:t>
      </w:r>
      <w:r w:rsidRPr="006E3B9B">
        <w:rPr>
          <w:lang w:val="en-US" w:eastAsia="zh-CN"/>
        </w:rPr>
        <w:tab/>
      </w:r>
      <w:r w:rsidR="00222D23">
        <w:rPr>
          <w:lang w:val="en-US" w:eastAsia="zh-CN"/>
        </w:rPr>
        <w:tab/>
      </w:r>
      <w:r w:rsidRPr="006E3B9B">
        <w:rPr>
          <w:lang w:val="en-US" w:eastAsia="zh-CN"/>
        </w:rPr>
        <w:t>1968</w:t>
      </w:r>
      <w:r w:rsidRPr="006E3B9B">
        <w:rPr>
          <w:rFonts w:hint="eastAsia"/>
          <w:lang w:val="en-US" w:eastAsia="zh-CN"/>
        </w:rPr>
        <w:t>年</w:t>
      </w:r>
    </w:p>
    <w:p w14:paraId="4827BEB4" w14:textId="77777777" w:rsidR="006E3B9B" w:rsidRPr="006E3B9B" w:rsidRDefault="006E3B9B" w:rsidP="003E11A1">
      <w:pPr>
        <w:pStyle w:val="Reftitle"/>
        <w:rPr>
          <w:lang w:val="en-US" w:eastAsia="zh-CN"/>
        </w:rPr>
      </w:pPr>
      <w:r w:rsidRPr="006E3B9B">
        <w:rPr>
          <w:rFonts w:hint="eastAsia"/>
          <w:lang w:eastAsia="zh-CN"/>
        </w:rPr>
        <w:t>第</w:t>
      </w:r>
      <w:r w:rsidRPr="006E3B9B">
        <w:rPr>
          <w:lang w:eastAsia="zh-CN"/>
        </w:rPr>
        <w:t>23</w:t>
      </w:r>
      <w:r w:rsidRPr="006E3B9B">
        <w:rPr>
          <w:rFonts w:hint="eastAsia"/>
          <w:lang w:eastAsia="zh-CN"/>
        </w:rPr>
        <w:t>届会议（</w:t>
      </w:r>
      <w:r w:rsidRPr="006E3B9B">
        <w:rPr>
          <w:lang w:eastAsia="zh-CN"/>
        </w:rPr>
        <w:t>1968</w:t>
      </w:r>
      <w:r w:rsidRPr="006E3B9B">
        <w:rPr>
          <w:rFonts w:hint="eastAsia"/>
          <w:lang w:eastAsia="zh-CN"/>
        </w:rPr>
        <w:t>年</w:t>
      </w:r>
      <w:r w:rsidRPr="006E3B9B">
        <w:rPr>
          <w:lang w:eastAsia="zh-CN"/>
        </w:rPr>
        <w:t>5</w:t>
      </w:r>
      <w:r w:rsidRPr="006E3B9B">
        <w:rPr>
          <w:rFonts w:hint="eastAsia"/>
          <w:lang w:eastAsia="zh-CN"/>
        </w:rPr>
        <w:t>月）</w:t>
      </w:r>
    </w:p>
    <w:p w14:paraId="4827BEB5"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621</w:t>
      </w:r>
      <w:r w:rsidRPr="006E3B9B">
        <w:rPr>
          <w:lang w:val="en-US" w:eastAsia="zh-CN"/>
        </w:rPr>
        <w:t>号决议</w:t>
      </w:r>
      <w:r w:rsidRPr="006E3B9B">
        <w:rPr>
          <w:lang w:val="en-US" w:eastAsia="zh-CN"/>
        </w:rPr>
        <w:tab/>
      </w:r>
      <w:r w:rsidRPr="006E3B9B">
        <w:rPr>
          <w:lang w:eastAsia="zh-CN"/>
        </w:rPr>
        <w:t>1968</w:t>
      </w:r>
      <w:r w:rsidRPr="006E3B9B">
        <w:rPr>
          <w:rFonts w:hint="eastAsia"/>
          <w:lang w:eastAsia="zh-CN"/>
        </w:rPr>
        <w:t>年的追加拨款</w:t>
      </w:r>
      <w:r w:rsidRPr="006E3B9B">
        <w:rPr>
          <w:lang w:val="en-US" w:eastAsia="zh-CN"/>
        </w:rPr>
        <w:tab/>
      </w:r>
      <w:r w:rsidR="00222D23">
        <w:rPr>
          <w:lang w:val="en-US" w:eastAsia="zh-CN"/>
        </w:rPr>
        <w:tab/>
      </w:r>
      <w:r w:rsidRPr="006E3B9B">
        <w:rPr>
          <w:lang w:val="en-US" w:eastAsia="zh-CN"/>
        </w:rPr>
        <w:t>1969</w:t>
      </w:r>
      <w:r w:rsidRPr="006E3B9B">
        <w:rPr>
          <w:rFonts w:hint="eastAsia"/>
          <w:lang w:val="en-US" w:eastAsia="zh-CN"/>
        </w:rPr>
        <w:t>年</w:t>
      </w:r>
    </w:p>
    <w:p w14:paraId="4827BEB6"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622</w:t>
      </w:r>
      <w:r w:rsidRPr="006E3B9B">
        <w:rPr>
          <w:lang w:val="en-US" w:eastAsia="zh-CN"/>
        </w:rPr>
        <w:t>号决议</w:t>
      </w:r>
      <w:r w:rsidRPr="006E3B9B">
        <w:rPr>
          <w:lang w:val="en-US" w:eastAsia="zh-CN"/>
        </w:rPr>
        <w:tab/>
      </w:r>
      <w:r w:rsidRPr="006E3B9B">
        <w:rPr>
          <w:rFonts w:hint="eastAsia"/>
          <w:lang w:eastAsia="zh-CN"/>
        </w:rPr>
        <w:t>国际电信联盟</w:t>
      </w:r>
      <w:r w:rsidRPr="006E3B9B">
        <w:rPr>
          <w:lang w:eastAsia="zh-CN"/>
        </w:rPr>
        <w:t>1969</w:t>
      </w:r>
      <w:r w:rsidRPr="006E3B9B">
        <w:rPr>
          <w:rFonts w:hint="eastAsia"/>
          <w:lang w:eastAsia="zh-CN"/>
        </w:rPr>
        <w:t>年的预算</w:t>
      </w:r>
      <w:r w:rsidRPr="006E3B9B">
        <w:rPr>
          <w:lang w:val="en-US" w:eastAsia="zh-CN"/>
        </w:rPr>
        <w:tab/>
      </w:r>
      <w:r w:rsidR="00222D23">
        <w:rPr>
          <w:lang w:val="en-US" w:eastAsia="zh-CN"/>
        </w:rPr>
        <w:tab/>
      </w:r>
      <w:r w:rsidRPr="006E3B9B">
        <w:rPr>
          <w:lang w:val="en-US" w:eastAsia="zh-CN"/>
        </w:rPr>
        <w:t>1970</w:t>
      </w:r>
      <w:r w:rsidRPr="006E3B9B">
        <w:rPr>
          <w:rFonts w:hint="eastAsia"/>
          <w:lang w:val="en-US" w:eastAsia="zh-CN"/>
        </w:rPr>
        <w:t>年</w:t>
      </w:r>
    </w:p>
    <w:p w14:paraId="4827BEB7"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623</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1967</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1</w:t>
      </w:r>
      <w:r w:rsidRPr="006E3B9B">
        <w:rPr>
          <w:rFonts w:hint="eastAsia"/>
          <w:lang w:eastAsia="zh-CN"/>
        </w:rPr>
        <w:t>日至</w:t>
      </w:r>
      <w:r w:rsidRPr="006E3B9B">
        <w:rPr>
          <w:lang w:eastAsia="zh-CN"/>
        </w:rPr>
        <w:t>12</w:t>
      </w:r>
      <w:r w:rsidRPr="006E3B9B">
        <w:rPr>
          <w:rFonts w:hint="eastAsia"/>
          <w:lang w:eastAsia="zh-CN"/>
        </w:rPr>
        <w:t>月</w:t>
      </w:r>
      <w:r w:rsidRPr="006E3B9B">
        <w:rPr>
          <w:lang w:eastAsia="zh-CN"/>
        </w:rPr>
        <w:t>31</w:t>
      </w:r>
      <w:r w:rsidRPr="006E3B9B">
        <w:rPr>
          <w:rFonts w:hint="eastAsia"/>
          <w:lang w:eastAsia="zh-CN"/>
        </w:rPr>
        <w:t>日账目的外部审计</w:t>
      </w:r>
      <w:r w:rsidRPr="006E3B9B">
        <w:rPr>
          <w:lang w:val="en-US" w:eastAsia="zh-CN"/>
        </w:rPr>
        <w:tab/>
      </w:r>
      <w:r w:rsidR="00222D23">
        <w:rPr>
          <w:lang w:val="en-US" w:eastAsia="zh-CN"/>
        </w:rPr>
        <w:tab/>
      </w:r>
      <w:r w:rsidRPr="006E3B9B">
        <w:rPr>
          <w:lang w:val="en-US" w:eastAsia="zh-CN"/>
        </w:rPr>
        <w:t>1969</w:t>
      </w:r>
      <w:r w:rsidRPr="006E3B9B">
        <w:rPr>
          <w:rFonts w:hint="eastAsia"/>
          <w:lang w:val="en-US" w:eastAsia="zh-CN"/>
        </w:rPr>
        <w:t>年</w:t>
      </w:r>
    </w:p>
    <w:p w14:paraId="4827BEB8"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624</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1967</w:t>
      </w:r>
      <w:r w:rsidRPr="006E3B9B">
        <w:rPr>
          <w:rFonts w:hint="eastAsia"/>
          <w:lang w:eastAsia="zh-CN"/>
        </w:rPr>
        <w:t>年财务工作报告</w:t>
      </w:r>
      <w:r w:rsidRPr="006E3B9B">
        <w:rPr>
          <w:lang w:val="en-US" w:eastAsia="zh-CN"/>
        </w:rPr>
        <w:tab/>
      </w:r>
      <w:r w:rsidR="00222D23">
        <w:rPr>
          <w:lang w:val="en-US" w:eastAsia="zh-CN"/>
        </w:rPr>
        <w:tab/>
      </w:r>
      <w:r w:rsidRPr="006E3B9B">
        <w:rPr>
          <w:lang w:val="en-US" w:eastAsia="zh-CN"/>
        </w:rPr>
        <w:t>1969</w:t>
      </w:r>
      <w:r w:rsidRPr="006E3B9B">
        <w:rPr>
          <w:rFonts w:hint="eastAsia"/>
          <w:lang w:val="en-US" w:eastAsia="zh-CN"/>
        </w:rPr>
        <w:t>年</w:t>
      </w:r>
    </w:p>
    <w:p w14:paraId="4827BEB9"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625</w:t>
      </w:r>
      <w:r w:rsidRPr="006E3B9B">
        <w:rPr>
          <w:lang w:val="en-US" w:eastAsia="zh-CN"/>
        </w:rPr>
        <w:t>号决议</w:t>
      </w:r>
      <w:r w:rsidRPr="006E3B9B">
        <w:rPr>
          <w:lang w:val="en-US" w:eastAsia="zh-CN"/>
        </w:rPr>
        <w:tab/>
      </w:r>
      <w:r w:rsidRPr="006E3B9B">
        <w:rPr>
          <w:rFonts w:hint="eastAsia"/>
          <w:lang w:eastAsia="zh-CN"/>
        </w:rPr>
        <w:t>定级标准和职务说明</w:t>
      </w:r>
      <w:r w:rsidRPr="006E3B9B">
        <w:rPr>
          <w:lang w:val="en-US" w:eastAsia="zh-CN"/>
        </w:rPr>
        <w:tab/>
      </w:r>
      <w:r w:rsidR="00222D23">
        <w:rPr>
          <w:lang w:val="en-US" w:eastAsia="zh-CN"/>
        </w:rPr>
        <w:tab/>
      </w:r>
      <w:r w:rsidRPr="006E3B9B">
        <w:rPr>
          <w:lang w:val="en-US" w:eastAsia="zh-CN"/>
        </w:rPr>
        <w:t>1979</w:t>
      </w:r>
      <w:r w:rsidRPr="006E3B9B">
        <w:rPr>
          <w:rFonts w:hint="eastAsia"/>
          <w:lang w:val="en-US" w:eastAsia="zh-CN"/>
        </w:rPr>
        <w:t>年</w:t>
      </w:r>
    </w:p>
    <w:p w14:paraId="4827BEBA"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626</w:t>
      </w:r>
      <w:r w:rsidRPr="006E3B9B">
        <w:rPr>
          <w:lang w:val="en-US" w:eastAsia="zh-CN"/>
        </w:rPr>
        <w:t>号决议</w:t>
      </w:r>
      <w:r w:rsidRPr="006E3B9B">
        <w:rPr>
          <w:lang w:val="en-US" w:eastAsia="zh-CN"/>
        </w:rPr>
        <w:tab/>
      </w:r>
      <w:r w:rsidRPr="006E3B9B">
        <w:rPr>
          <w:rFonts w:hint="eastAsia"/>
          <w:lang w:val="en-US" w:eastAsia="zh-CN"/>
        </w:rPr>
        <w:t>职位</w:t>
      </w:r>
      <w:r w:rsidRPr="006E3B9B">
        <w:rPr>
          <w:rFonts w:hint="eastAsia"/>
          <w:lang w:eastAsia="zh-CN"/>
        </w:rPr>
        <w:t>空缺的公布</w:t>
      </w:r>
      <w:r w:rsidRPr="006E3B9B">
        <w:rPr>
          <w:lang w:val="en-US" w:eastAsia="zh-CN"/>
        </w:rPr>
        <w:tab/>
      </w:r>
      <w:r w:rsidR="00222D23">
        <w:rPr>
          <w:lang w:val="en-US" w:eastAsia="zh-CN"/>
        </w:rPr>
        <w:tab/>
      </w:r>
      <w:r w:rsidRPr="006E3B9B">
        <w:rPr>
          <w:lang w:val="en-US" w:eastAsia="zh-CN"/>
        </w:rPr>
        <w:t>2.1</w:t>
      </w:r>
    </w:p>
    <w:p w14:paraId="4827BEBB"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627</w:t>
      </w:r>
      <w:r w:rsidRPr="006E3B9B">
        <w:rPr>
          <w:lang w:val="en-US" w:eastAsia="zh-CN"/>
        </w:rPr>
        <w:t>号决议</w:t>
      </w:r>
      <w:r w:rsidRPr="006E3B9B">
        <w:rPr>
          <w:lang w:val="en-US" w:eastAsia="zh-CN"/>
        </w:rPr>
        <w:tab/>
      </w:r>
      <w:r w:rsidRPr="006E3B9B">
        <w:rPr>
          <w:rFonts w:hint="eastAsia"/>
          <w:lang w:eastAsia="zh-CN"/>
        </w:rPr>
        <w:t>职位定级</w:t>
      </w:r>
      <w:r w:rsidRPr="006E3B9B">
        <w:rPr>
          <w:lang w:val="en-US" w:eastAsia="zh-CN"/>
        </w:rPr>
        <w:tab/>
      </w:r>
      <w:r w:rsidR="00222D23">
        <w:rPr>
          <w:lang w:val="en-US" w:eastAsia="zh-CN"/>
        </w:rPr>
        <w:tab/>
      </w:r>
      <w:r w:rsidRPr="006E3B9B">
        <w:rPr>
          <w:lang w:val="en-US" w:eastAsia="zh-CN"/>
        </w:rPr>
        <w:t>1969</w:t>
      </w:r>
      <w:r w:rsidRPr="006E3B9B">
        <w:rPr>
          <w:rFonts w:hint="eastAsia"/>
          <w:lang w:val="en-US" w:eastAsia="zh-CN"/>
        </w:rPr>
        <w:t>年</w:t>
      </w:r>
    </w:p>
    <w:p w14:paraId="4827BEBC"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628</w:t>
      </w:r>
      <w:r w:rsidRPr="006E3B9B">
        <w:rPr>
          <w:lang w:val="en-US" w:eastAsia="zh-CN"/>
        </w:rPr>
        <w:t>号决议</w:t>
      </w:r>
      <w:r w:rsidRPr="006E3B9B">
        <w:rPr>
          <w:lang w:val="en-US" w:eastAsia="zh-CN"/>
        </w:rPr>
        <w:tab/>
      </w:r>
      <w:r w:rsidRPr="006E3B9B">
        <w:rPr>
          <w:rFonts w:hint="eastAsia"/>
          <w:lang w:eastAsia="zh-CN"/>
        </w:rPr>
        <w:t>职位的取消与设立</w:t>
      </w:r>
      <w:r w:rsidRPr="006E3B9B">
        <w:rPr>
          <w:lang w:val="en-US" w:eastAsia="zh-CN"/>
        </w:rPr>
        <w:tab/>
      </w:r>
      <w:r w:rsidR="00222D23">
        <w:rPr>
          <w:lang w:val="en-US" w:eastAsia="zh-CN"/>
        </w:rPr>
        <w:tab/>
      </w:r>
      <w:r w:rsidRPr="006E3B9B">
        <w:rPr>
          <w:lang w:val="en-US" w:eastAsia="zh-CN"/>
        </w:rPr>
        <w:t>1970</w:t>
      </w:r>
      <w:r w:rsidRPr="006E3B9B">
        <w:rPr>
          <w:rFonts w:hint="eastAsia"/>
          <w:lang w:val="en-US" w:eastAsia="zh-CN"/>
        </w:rPr>
        <w:t>年</w:t>
      </w:r>
    </w:p>
    <w:p w14:paraId="4827BEBD"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629</w:t>
      </w:r>
      <w:r w:rsidRPr="006E3B9B">
        <w:rPr>
          <w:lang w:val="en-US" w:eastAsia="zh-CN"/>
        </w:rPr>
        <w:t>号决议</w:t>
      </w:r>
      <w:r w:rsidRPr="006E3B9B">
        <w:rPr>
          <w:lang w:val="en-US" w:eastAsia="zh-CN"/>
        </w:rPr>
        <w:tab/>
      </w:r>
      <w:r w:rsidRPr="006E3B9B">
        <w:rPr>
          <w:rFonts w:hint="eastAsia"/>
          <w:lang w:eastAsia="zh-CN"/>
        </w:rPr>
        <w:t>定期职位的延续</w:t>
      </w:r>
      <w:r w:rsidRPr="006E3B9B">
        <w:rPr>
          <w:lang w:val="en-US" w:eastAsia="zh-CN"/>
        </w:rPr>
        <w:tab/>
      </w:r>
      <w:r w:rsidR="00222D23">
        <w:rPr>
          <w:lang w:val="en-US" w:eastAsia="zh-CN"/>
        </w:rPr>
        <w:tab/>
      </w:r>
      <w:r w:rsidRPr="006E3B9B">
        <w:rPr>
          <w:lang w:val="en-US" w:eastAsia="zh-CN"/>
        </w:rPr>
        <w:t>1969</w:t>
      </w:r>
      <w:r w:rsidRPr="006E3B9B">
        <w:rPr>
          <w:rFonts w:hint="eastAsia"/>
          <w:lang w:val="en-US" w:eastAsia="zh-CN"/>
        </w:rPr>
        <w:t>年</w:t>
      </w:r>
    </w:p>
    <w:p w14:paraId="4827BEBE"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630</w:t>
      </w:r>
      <w:r w:rsidRPr="006E3B9B">
        <w:rPr>
          <w:lang w:val="en-US" w:eastAsia="zh-CN"/>
        </w:rPr>
        <w:t>号决议</w:t>
      </w:r>
      <w:r w:rsidRPr="006E3B9B">
        <w:rPr>
          <w:lang w:val="en-US" w:eastAsia="zh-CN"/>
        </w:rPr>
        <w:tab/>
      </w:r>
      <w:r w:rsidRPr="006E3B9B">
        <w:rPr>
          <w:rFonts w:hint="eastAsia"/>
          <w:lang w:eastAsia="zh-CN"/>
        </w:rPr>
        <w:t>联合国行政法庭的职权</w:t>
      </w:r>
      <w:r w:rsidRPr="006E3B9B">
        <w:rPr>
          <w:lang w:val="en-US" w:eastAsia="zh-CN"/>
        </w:rPr>
        <w:tab/>
      </w:r>
      <w:r w:rsidR="00222D23">
        <w:rPr>
          <w:lang w:val="en-US" w:eastAsia="zh-CN"/>
        </w:rPr>
        <w:tab/>
      </w:r>
      <w:r w:rsidRPr="006E3B9B">
        <w:rPr>
          <w:lang w:val="en-US" w:eastAsia="zh-CN"/>
        </w:rPr>
        <w:t>1971</w:t>
      </w:r>
      <w:r w:rsidRPr="006E3B9B">
        <w:rPr>
          <w:rFonts w:hint="eastAsia"/>
          <w:lang w:val="en-US" w:eastAsia="zh-CN"/>
        </w:rPr>
        <w:t>年</w:t>
      </w:r>
    </w:p>
    <w:p w14:paraId="4827BEBF"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631</w:t>
      </w:r>
      <w:r w:rsidRPr="006E3B9B">
        <w:rPr>
          <w:lang w:val="en-US" w:eastAsia="zh-CN"/>
        </w:rPr>
        <w:t>号决议</w:t>
      </w:r>
      <w:r w:rsidRPr="006E3B9B">
        <w:rPr>
          <w:lang w:val="en-US" w:eastAsia="zh-CN"/>
        </w:rPr>
        <w:tab/>
      </w:r>
      <w:r w:rsidRPr="006E3B9B">
        <w:rPr>
          <w:rFonts w:hint="eastAsia"/>
          <w:lang w:eastAsia="zh-CN"/>
        </w:rPr>
        <w:t>国际电联职员养恤金委员会的委员</w:t>
      </w:r>
      <w:r w:rsidRPr="006E3B9B">
        <w:rPr>
          <w:lang w:val="en-US" w:eastAsia="zh-CN"/>
        </w:rPr>
        <w:tab/>
      </w:r>
      <w:r w:rsidR="00222D23">
        <w:rPr>
          <w:lang w:val="en-US" w:eastAsia="zh-CN"/>
        </w:rPr>
        <w:tab/>
      </w:r>
      <w:r w:rsidRPr="006E3B9B">
        <w:rPr>
          <w:lang w:val="en-US" w:eastAsia="zh-CN"/>
        </w:rPr>
        <w:t>1969</w:t>
      </w:r>
      <w:r w:rsidRPr="006E3B9B">
        <w:rPr>
          <w:rFonts w:hint="eastAsia"/>
          <w:lang w:val="en-US" w:eastAsia="zh-CN"/>
        </w:rPr>
        <w:t>年</w:t>
      </w:r>
    </w:p>
    <w:p w14:paraId="4827BEC0"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632</w:t>
      </w:r>
      <w:r w:rsidRPr="006E3B9B">
        <w:rPr>
          <w:lang w:val="en-US" w:eastAsia="zh-CN"/>
        </w:rPr>
        <w:t>号决议</w:t>
      </w:r>
      <w:r w:rsidRPr="006E3B9B">
        <w:rPr>
          <w:lang w:val="en-US" w:eastAsia="zh-CN"/>
        </w:rPr>
        <w:tab/>
      </w:r>
      <w:r w:rsidRPr="006E3B9B">
        <w:rPr>
          <w:rFonts w:hint="eastAsia"/>
          <w:lang w:eastAsia="zh-CN"/>
        </w:rPr>
        <w:t>有关空间电信的世界无线电行政大会</w:t>
      </w:r>
      <w:r w:rsidRPr="006E3B9B">
        <w:rPr>
          <w:lang w:val="en-US" w:eastAsia="zh-CN"/>
        </w:rPr>
        <w:tab/>
      </w:r>
      <w:r w:rsidR="00222D23">
        <w:rPr>
          <w:lang w:val="en-US" w:eastAsia="zh-CN"/>
        </w:rPr>
        <w:tab/>
      </w:r>
      <w:r w:rsidRPr="006E3B9B">
        <w:rPr>
          <w:lang w:val="en-US" w:eastAsia="zh-CN"/>
        </w:rPr>
        <w:t>1969</w:t>
      </w:r>
      <w:r w:rsidRPr="006E3B9B">
        <w:rPr>
          <w:rFonts w:hint="eastAsia"/>
          <w:lang w:val="en-US" w:eastAsia="zh-CN"/>
        </w:rPr>
        <w:t>年</w:t>
      </w:r>
    </w:p>
    <w:p w14:paraId="4827BEC1"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633</w:t>
      </w:r>
      <w:r w:rsidRPr="006E3B9B">
        <w:rPr>
          <w:lang w:val="en-US" w:eastAsia="zh-CN"/>
        </w:rPr>
        <w:t>号决议</w:t>
      </w:r>
      <w:r w:rsidRPr="006E3B9B">
        <w:rPr>
          <w:lang w:val="en-US" w:eastAsia="zh-CN"/>
        </w:rPr>
        <w:tab/>
      </w:r>
      <w:r w:rsidRPr="006E3B9B">
        <w:rPr>
          <w:lang w:eastAsia="zh-CN"/>
        </w:rPr>
        <w:t>CCIR</w:t>
      </w:r>
      <w:r w:rsidRPr="006E3B9B">
        <w:rPr>
          <w:rFonts w:hint="eastAsia"/>
          <w:lang w:eastAsia="zh-CN"/>
        </w:rPr>
        <w:t>第十二届全会的日期和地点</w:t>
      </w:r>
      <w:r w:rsidRPr="006E3B9B">
        <w:rPr>
          <w:lang w:val="en-US" w:eastAsia="zh-CN"/>
        </w:rPr>
        <w:tab/>
      </w:r>
      <w:r w:rsidR="00222D23">
        <w:rPr>
          <w:lang w:val="en-US" w:eastAsia="zh-CN"/>
        </w:rPr>
        <w:tab/>
      </w:r>
      <w:r w:rsidRPr="006E3B9B">
        <w:rPr>
          <w:lang w:val="en-US" w:eastAsia="zh-CN"/>
        </w:rPr>
        <w:t>1970</w:t>
      </w:r>
      <w:r w:rsidRPr="006E3B9B">
        <w:rPr>
          <w:rFonts w:hint="eastAsia"/>
          <w:lang w:val="en-US" w:eastAsia="zh-CN"/>
        </w:rPr>
        <w:t>年</w:t>
      </w:r>
    </w:p>
    <w:p w14:paraId="4827BEC2"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634</w:t>
      </w:r>
      <w:r w:rsidRPr="006E3B9B">
        <w:rPr>
          <w:lang w:val="en-US" w:eastAsia="zh-CN"/>
        </w:rPr>
        <w:t>号决议</w:t>
      </w:r>
      <w:r w:rsidRPr="006E3B9B">
        <w:rPr>
          <w:lang w:val="en-US" w:eastAsia="zh-CN"/>
        </w:rPr>
        <w:tab/>
      </w:r>
      <w:r w:rsidRPr="006E3B9B">
        <w:rPr>
          <w:rFonts w:hint="eastAsia"/>
          <w:lang w:eastAsia="zh-CN"/>
        </w:rPr>
        <w:t>总秘书处的机构设置</w:t>
      </w:r>
      <w:r w:rsidRPr="006E3B9B">
        <w:rPr>
          <w:lang w:val="en-US" w:eastAsia="zh-CN"/>
        </w:rPr>
        <w:tab/>
      </w:r>
      <w:r w:rsidR="00222D23">
        <w:rPr>
          <w:lang w:val="en-US" w:eastAsia="zh-CN"/>
        </w:rPr>
        <w:tab/>
      </w:r>
      <w:r w:rsidRPr="006E3B9B">
        <w:rPr>
          <w:lang w:val="en-US" w:eastAsia="zh-CN"/>
        </w:rPr>
        <w:t>1969</w:t>
      </w:r>
      <w:r w:rsidRPr="006E3B9B">
        <w:rPr>
          <w:rFonts w:hint="eastAsia"/>
          <w:lang w:val="en-US" w:eastAsia="zh-CN"/>
        </w:rPr>
        <w:t>年</w:t>
      </w:r>
    </w:p>
    <w:p w14:paraId="4827BEC3"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635</w:t>
      </w:r>
      <w:r w:rsidRPr="006E3B9B">
        <w:rPr>
          <w:lang w:val="en-US" w:eastAsia="zh-CN"/>
        </w:rPr>
        <w:t>号决议</w:t>
      </w:r>
      <w:r w:rsidRPr="006E3B9B">
        <w:rPr>
          <w:lang w:val="en-US" w:eastAsia="zh-CN"/>
        </w:rPr>
        <w:tab/>
      </w:r>
      <w:r w:rsidRPr="006E3B9B">
        <w:rPr>
          <w:rFonts w:hint="eastAsia"/>
          <w:lang w:eastAsia="zh-CN"/>
        </w:rPr>
        <w:t>低频</w:t>
      </w:r>
      <w:r w:rsidRPr="006E3B9B">
        <w:rPr>
          <w:lang w:eastAsia="zh-CN"/>
        </w:rPr>
        <w:t>/</w:t>
      </w:r>
      <w:r w:rsidRPr="006E3B9B">
        <w:rPr>
          <w:rFonts w:hint="eastAsia"/>
          <w:lang w:eastAsia="zh-CN"/>
        </w:rPr>
        <w:t>中频广播的频率规划</w:t>
      </w:r>
      <w:r w:rsidRPr="006E3B9B">
        <w:rPr>
          <w:lang w:val="en-US" w:eastAsia="zh-CN"/>
        </w:rPr>
        <w:tab/>
      </w:r>
      <w:r w:rsidR="00222D23">
        <w:rPr>
          <w:lang w:val="en-US" w:eastAsia="zh-CN"/>
        </w:rPr>
        <w:tab/>
      </w:r>
      <w:r w:rsidRPr="006E3B9B">
        <w:rPr>
          <w:lang w:val="en-US" w:eastAsia="zh-CN"/>
        </w:rPr>
        <w:t>1969</w:t>
      </w:r>
      <w:r w:rsidRPr="006E3B9B">
        <w:rPr>
          <w:rFonts w:hint="eastAsia"/>
          <w:lang w:val="en-US" w:eastAsia="zh-CN"/>
        </w:rPr>
        <w:t>年</w:t>
      </w:r>
    </w:p>
    <w:p w14:paraId="4827BEC4" w14:textId="77777777" w:rsidR="00BF1CF1" w:rsidRDefault="00BF1CF1">
      <w:pPr>
        <w:tabs>
          <w:tab w:val="clear" w:pos="794"/>
          <w:tab w:val="clear" w:pos="1191"/>
          <w:tab w:val="clear" w:pos="1588"/>
          <w:tab w:val="clear" w:pos="1985"/>
        </w:tabs>
        <w:overflowPunct/>
        <w:autoSpaceDE/>
        <w:autoSpaceDN/>
        <w:adjustRightInd/>
        <w:spacing w:before="0"/>
        <w:jc w:val="left"/>
        <w:textAlignment w:val="auto"/>
        <w:rPr>
          <w:sz w:val="20"/>
          <w:lang w:val="en-US" w:eastAsia="zh-CN"/>
        </w:rPr>
      </w:pPr>
      <w:r>
        <w:rPr>
          <w:lang w:val="en-US" w:eastAsia="zh-CN"/>
        </w:rPr>
        <w:br w:type="page"/>
      </w:r>
    </w:p>
    <w:p w14:paraId="4827BEC5" w14:textId="77777777" w:rsidR="006E3B9B" w:rsidRPr="006E3B9B" w:rsidRDefault="006E3B9B" w:rsidP="00222D23">
      <w:pPr>
        <w:pStyle w:val="Appendixref"/>
        <w:rPr>
          <w:lang w:val="en-US" w:eastAsia="zh-CN"/>
        </w:rPr>
      </w:pPr>
      <w:r w:rsidRPr="006E3B9B">
        <w:rPr>
          <w:lang w:val="en-US" w:eastAsia="zh-CN"/>
        </w:rPr>
        <w:lastRenderedPageBreak/>
        <w:t>第</w:t>
      </w:r>
      <w:r w:rsidRPr="006E3B9B">
        <w:rPr>
          <w:lang w:val="en-US" w:eastAsia="zh-CN"/>
        </w:rPr>
        <w:t>636</w:t>
      </w:r>
      <w:r w:rsidRPr="006E3B9B">
        <w:rPr>
          <w:lang w:val="en-US" w:eastAsia="zh-CN"/>
        </w:rPr>
        <w:t>号决议</w:t>
      </w:r>
      <w:r w:rsidRPr="006E3B9B">
        <w:rPr>
          <w:lang w:val="en-US" w:eastAsia="zh-CN"/>
        </w:rPr>
        <w:tab/>
      </w:r>
      <w:r w:rsidRPr="006E3B9B">
        <w:rPr>
          <w:rFonts w:hint="eastAsia"/>
          <w:lang w:eastAsia="zh-CN"/>
        </w:rPr>
        <w:t>国际电联的空间电信活动</w:t>
      </w:r>
      <w:r w:rsidRPr="006E3B9B">
        <w:rPr>
          <w:lang w:val="en-US" w:eastAsia="zh-CN"/>
        </w:rPr>
        <w:tab/>
      </w:r>
      <w:r w:rsidR="00222D23">
        <w:rPr>
          <w:lang w:val="en-US" w:eastAsia="zh-CN"/>
        </w:rPr>
        <w:tab/>
      </w:r>
      <w:r w:rsidRPr="006E3B9B">
        <w:rPr>
          <w:lang w:val="en-US" w:eastAsia="zh-CN"/>
        </w:rPr>
        <w:t>1993</w:t>
      </w:r>
      <w:r w:rsidRPr="006E3B9B">
        <w:rPr>
          <w:rFonts w:hint="eastAsia"/>
          <w:lang w:val="en-US" w:eastAsia="zh-CN"/>
        </w:rPr>
        <w:t>年</w:t>
      </w:r>
    </w:p>
    <w:p w14:paraId="4827BEC6"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637</w:t>
      </w:r>
      <w:r w:rsidRPr="006E3B9B">
        <w:rPr>
          <w:lang w:val="en-US" w:eastAsia="zh-CN"/>
        </w:rPr>
        <w:t>号决议</w:t>
      </w:r>
      <w:r w:rsidRPr="006E3B9B">
        <w:rPr>
          <w:lang w:val="en-US" w:eastAsia="zh-CN"/>
        </w:rPr>
        <w:tab/>
      </w:r>
      <w:r w:rsidRPr="006E3B9B">
        <w:rPr>
          <w:rFonts w:hint="eastAsia"/>
          <w:lang w:eastAsia="zh-CN"/>
        </w:rPr>
        <w:t>国际电联在空间电信领域发挥的作用</w:t>
      </w:r>
      <w:r w:rsidRPr="006E3B9B">
        <w:rPr>
          <w:lang w:val="en-US" w:eastAsia="zh-CN"/>
        </w:rPr>
        <w:tab/>
      </w:r>
      <w:r w:rsidR="00222D23">
        <w:rPr>
          <w:lang w:val="en-US" w:eastAsia="zh-CN"/>
        </w:rPr>
        <w:tab/>
      </w:r>
      <w:r w:rsidRPr="006E3B9B">
        <w:rPr>
          <w:lang w:val="en-US" w:eastAsia="zh-CN"/>
        </w:rPr>
        <w:t>2002</w:t>
      </w:r>
      <w:r w:rsidRPr="006E3B9B">
        <w:rPr>
          <w:rFonts w:hint="eastAsia"/>
          <w:lang w:val="en-US" w:eastAsia="zh-CN"/>
        </w:rPr>
        <w:t>年</w:t>
      </w:r>
    </w:p>
    <w:p w14:paraId="4827BEC7"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638</w:t>
      </w:r>
      <w:r w:rsidRPr="006E3B9B">
        <w:rPr>
          <w:lang w:val="en-US" w:eastAsia="zh-CN"/>
        </w:rPr>
        <w:t>号决议</w:t>
      </w:r>
      <w:r w:rsidRPr="006E3B9B">
        <w:rPr>
          <w:lang w:val="en-US" w:eastAsia="zh-CN"/>
        </w:rPr>
        <w:tab/>
      </w:r>
      <w:r w:rsidRPr="006E3B9B">
        <w:rPr>
          <w:rFonts w:hint="eastAsia"/>
          <w:lang w:eastAsia="zh-CN"/>
        </w:rPr>
        <w:t>总部办公楼的扩建</w:t>
      </w:r>
      <w:r w:rsidRPr="006E3B9B">
        <w:rPr>
          <w:lang w:val="en-US" w:eastAsia="zh-CN"/>
        </w:rPr>
        <w:tab/>
      </w:r>
      <w:r w:rsidR="00222D23">
        <w:rPr>
          <w:lang w:val="en-US" w:eastAsia="zh-CN"/>
        </w:rPr>
        <w:tab/>
      </w:r>
      <w:r w:rsidRPr="006E3B9B">
        <w:rPr>
          <w:lang w:val="en-US" w:eastAsia="zh-CN"/>
        </w:rPr>
        <w:t>1973</w:t>
      </w:r>
      <w:r w:rsidRPr="006E3B9B">
        <w:rPr>
          <w:rFonts w:hint="eastAsia"/>
          <w:lang w:val="en-US" w:eastAsia="zh-CN"/>
        </w:rPr>
        <w:t>年</w:t>
      </w:r>
    </w:p>
    <w:p w14:paraId="4827BEC8" w14:textId="77777777" w:rsidR="006E3B9B" w:rsidRPr="006E3B9B" w:rsidRDefault="006E3B9B" w:rsidP="003E11A1">
      <w:pPr>
        <w:pStyle w:val="Reftitle"/>
        <w:rPr>
          <w:lang w:val="en-US" w:eastAsia="zh-CN"/>
        </w:rPr>
      </w:pPr>
      <w:r w:rsidRPr="006E3B9B">
        <w:rPr>
          <w:rFonts w:hint="eastAsia"/>
          <w:lang w:eastAsia="zh-CN"/>
        </w:rPr>
        <w:t>第</w:t>
      </w:r>
      <w:r w:rsidRPr="006E3B9B">
        <w:rPr>
          <w:lang w:eastAsia="zh-CN"/>
        </w:rPr>
        <w:t>24</w:t>
      </w:r>
      <w:r w:rsidRPr="006E3B9B">
        <w:rPr>
          <w:rFonts w:hint="eastAsia"/>
          <w:lang w:eastAsia="zh-CN"/>
        </w:rPr>
        <w:t>届会议（</w:t>
      </w:r>
      <w:r w:rsidRPr="006E3B9B">
        <w:rPr>
          <w:lang w:eastAsia="zh-CN"/>
        </w:rPr>
        <w:t>1969</w:t>
      </w:r>
      <w:r w:rsidRPr="006E3B9B">
        <w:rPr>
          <w:rFonts w:hint="eastAsia"/>
          <w:lang w:eastAsia="zh-CN"/>
        </w:rPr>
        <w:t>年</w:t>
      </w:r>
      <w:r w:rsidRPr="006E3B9B">
        <w:rPr>
          <w:lang w:eastAsia="zh-CN"/>
        </w:rPr>
        <w:t>5</w:t>
      </w:r>
      <w:r w:rsidRPr="006E3B9B">
        <w:rPr>
          <w:rFonts w:hint="eastAsia"/>
          <w:lang w:eastAsia="zh-CN"/>
        </w:rPr>
        <w:t>月）</w:t>
      </w:r>
    </w:p>
    <w:p w14:paraId="4827BEC9"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639</w:t>
      </w:r>
      <w:r w:rsidRPr="006E3B9B">
        <w:rPr>
          <w:lang w:val="en-US" w:eastAsia="zh-CN"/>
        </w:rPr>
        <w:t>号决议</w:t>
      </w:r>
      <w:r w:rsidRPr="006E3B9B">
        <w:rPr>
          <w:lang w:val="en-US" w:eastAsia="zh-CN"/>
        </w:rPr>
        <w:tab/>
      </w:r>
      <w:r w:rsidRPr="006E3B9B">
        <w:rPr>
          <w:rFonts w:hint="eastAsia"/>
          <w:lang w:eastAsia="zh-CN"/>
        </w:rPr>
        <w:t>联合国组织内预算与财务活动的协调</w:t>
      </w:r>
      <w:r w:rsidR="00222D23">
        <w:rPr>
          <w:lang w:eastAsia="zh-CN"/>
        </w:rPr>
        <w:tab/>
      </w:r>
      <w:r w:rsidRPr="006E3B9B">
        <w:rPr>
          <w:lang w:val="en-US" w:eastAsia="zh-CN"/>
        </w:rPr>
        <w:tab/>
        <w:t>1970</w:t>
      </w:r>
      <w:r w:rsidRPr="006E3B9B">
        <w:rPr>
          <w:rFonts w:hint="eastAsia"/>
          <w:lang w:val="en-US" w:eastAsia="zh-CN"/>
        </w:rPr>
        <w:t>年</w:t>
      </w:r>
    </w:p>
    <w:p w14:paraId="4827BECA"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640</w:t>
      </w:r>
      <w:r w:rsidRPr="006E3B9B">
        <w:rPr>
          <w:lang w:val="en-US" w:eastAsia="zh-CN"/>
        </w:rPr>
        <w:t>号决议</w:t>
      </w:r>
      <w:r w:rsidRPr="006E3B9B">
        <w:rPr>
          <w:lang w:val="en-US" w:eastAsia="zh-CN"/>
        </w:rPr>
        <w:tab/>
      </w:r>
      <w:r w:rsidRPr="006E3B9B">
        <w:rPr>
          <w:lang w:eastAsia="zh-CN"/>
        </w:rPr>
        <w:t>1969</w:t>
      </w:r>
      <w:r w:rsidRPr="006E3B9B">
        <w:rPr>
          <w:rFonts w:hint="eastAsia"/>
          <w:lang w:eastAsia="zh-CN"/>
        </w:rPr>
        <w:t>年的追加拨款</w:t>
      </w:r>
      <w:r w:rsidRPr="006E3B9B">
        <w:rPr>
          <w:lang w:val="en-US" w:eastAsia="zh-CN"/>
        </w:rPr>
        <w:tab/>
      </w:r>
      <w:r w:rsidR="00222D23">
        <w:rPr>
          <w:lang w:val="en-US" w:eastAsia="zh-CN"/>
        </w:rPr>
        <w:tab/>
      </w:r>
      <w:r w:rsidRPr="006E3B9B">
        <w:rPr>
          <w:lang w:val="en-US" w:eastAsia="zh-CN"/>
        </w:rPr>
        <w:t>1970</w:t>
      </w:r>
      <w:r w:rsidRPr="006E3B9B">
        <w:rPr>
          <w:rFonts w:hint="eastAsia"/>
          <w:lang w:val="en-US" w:eastAsia="zh-CN"/>
        </w:rPr>
        <w:t>年</w:t>
      </w:r>
    </w:p>
    <w:p w14:paraId="4827BECB"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641</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1970</w:t>
      </w:r>
      <w:r w:rsidRPr="006E3B9B">
        <w:rPr>
          <w:rFonts w:hint="eastAsia"/>
          <w:lang w:eastAsia="zh-CN"/>
        </w:rPr>
        <w:t>年预算</w:t>
      </w:r>
      <w:r w:rsidRPr="006E3B9B">
        <w:rPr>
          <w:lang w:val="en-US" w:eastAsia="zh-CN"/>
        </w:rPr>
        <w:tab/>
      </w:r>
      <w:r w:rsidR="00222D23">
        <w:rPr>
          <w:lang w:val="en-US" w:eastAsia="zh-CN"/>
        </w:rPr>
        <w:tab/>
      </w:r>
      <w:r w:rsidRPr="006E3B9B">
        <w:rPr>
          <w:lang w:val="en-US" w:eastAsia="zh-CN"/>
        </w:rPr>
        <w:t>1971</w:t>
      </w:r>
      <w:r w:rsidRPr="006E3B9B">
        <w:rPr>
          <w:rFonts w:hint="eastAsia"/>
          <w:lang w:val="en-US" w:eastAsia="zh-CN"/>
        </w:rPr>
        <w:t>年</w:t>
      </w:r>
    </w:p>
    <w:p w14:paraId="4827BECC"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642</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1968</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1</w:t>
      </w:r>
      <w:r w:rsidRPr="006E3B9B">
        <w:rPr>
          <w:rFonts w:hint="eastAsia"/>
          <w:lang w:eastAsia="zh-CN"/>
        </w:rPr>
        <w:t>日至</w:t>
      </w:r>
      <w:r w:rsidRPr="006E3B9B">
        <w:rPr>
          <w:lang w:eastAsia="zh-CN"/>
        </w:rPr>
        <w:t>12</w:t>
      </w:r>
      <w:r w:rsidRPr="006E3B9B">
        <w:rPr>
          <w:rFonts w:hint="eastAsia"/>
          <w:lang w:eastAsia="zh-CN"/>
        </w:rPr>
        <w:t>月</w:t>
      </w:r>
      <w:r w:rsidRPr="006E3B9B">
        <w:rPr>
          <w:lang w:eastAsia="zh-CN"/>
        </w:rPr>
        <w:t>31</w:t>
      </w:r>
      <w:r w:rsidRPr="006E3B9B">
        <w:rPr>
          <w:rFonts w:hint="eastAsia"/>
          <w:lang w:eastAsia="zh-CN"/>
        </w:rPr>
        <w:t>日账目的外部审计</w:t>
      </w:r>
      <w:r w:rsidR="00222D23">
        <w:rPr>
          <w:lang w:eastAsia="zh-CN"/>
        </w:rPr>
        <w:tab/>
      </w:r>
      <w:r w:rsidRPr="006E3B9B">
        <w:rPr>
          <w:lang w:val="en-US" w:eastAsia="zh-CN"/>
        </w:rPr>
        <w:tab/>
        <w:t>1970</w:t>
      </w:r>
      <w:r w:rsidRPr="006E3B9B">
        <w:rPr>
          <w:rFonts w:hint="eastAsia"/>
          <w:lang w:val="en-US" w:eastAsia="zh-CN"/>
        </w:rPr>
        <w:t>年</w:t>
      </w:r>
    </w:p>
    <w:p w14:paraId="4827BECD"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643</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1968</w:t>
      </w:r>
      <w:r w:rsidRPr="006E3B9B">
        <w:rPr>
          <w:rFonts w:hint="eastAsia"/>
          <w:lang w:eastAsia="zh-CN"/>
        </w:rPr>
        <w:t>年财务工作报告</w:t>
      </w:r>
      <w:r w:rsidRPr="006E3B9B">
        <w:rPr>
          <w:lang w:val="en-US" w:eastAsia="zh-CN"/>
        </w:rPr>
        <w:tab/>
      </w:r>
      <w:r w:rsidR="00222D23">
        <w:rPr>
          <w:lang w:val="en-US" w:eastAsia="zh-CN"/>
        </w:rPr>
        <w:tab/>
      </w:r>
      <w:r w:rsidRPr="006E3B9B">
        <w:rPr>
          <w:lang w:val="en-US" w:eastAsia="zh-CN"/>
        </w:rPr>
        <w:t>1970</w:t>
      </w:r>
      <w:r w:rsidRPr="006E3B9B">
        <w:rPr>
          <w:rFonts w:hint="eastAsia"/>
          <w:lang w:val="en-US" w:eastAsia="zh-CN"/>
        </w:rPr>
        <w:t>年</w:t>
      </w:r>
    </w:p>
    <w:p w14:paraId="4827BECE"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644</w:t>
      </w:r>
      <w:r w:rsidRPr="006E3B9B">
        <w:rPr>
          <w:lang w:val="en-US" w:eastAsia="zh-CN"/>
        </w:rPr>
        <w:t>号决议</w:t>
      </w:r>
      <w:r w:rsidRPr="006E3B9B">
        <w:rPr>
          <w:lang w:val="en-US" w:eastAsia="zh-CN"/>
        </w:rPr>
        <w:tab/>
      </w:r>
      <w:r w:rsidRPr="006E3B9B">
        <w:rPr>
          <w:rFonts w:hint="eastAsia"/>
          <w:lang w:eastAsia="zh-CN"/>
        </w:rPr>
        <w:t>古巴电话公司的欠款</w:t>
      </w:r>
      <w:r w:rsidRPr="006E3B9B">
        <w:rPr>
          <w:lang w:val="en-US" w:eastAsia="zh-CN"/>
        </w:rPr>
        <w:tab/>
      </w:r>
      <w:r w:rsidR="00222D23">
        <w:rPr>
          <w:lang w:val="en-US" w:eastAsia="zh-CN"/>
        </w:rPr>
        <w:tab/>
      </w:r>
      <w:r w:rsidRPr="006E3B9B">
        <w:rPr>
          <w:lang w:val="en-US" w:eastAsia="zh-CN"/>
        </w:rPr>
        <w:t>1971</w:t>
      </w:r>
      <w:r w:rsidRPr="006E3B9B">
        <w:rPr>
          <w:rFonts w:hint="eastAsia"/>
          <w:lang w:val="en-US" w:eastAsia="zh-CN"/>
        </w:rPr>
        <w:t>年</w:t>
      </w:r>
    </w:p>
    <w:p w14:paraId="4827BECF"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645</w:t>
      </w:r>
      <w:r w:rsidRPr="006E3B9B">
        <w:rPr>
          <w:lang w:val="en-US" w:eastAsia="zh-CN"/>
        </w:rPr>
        <w:t>号决议</w:t>
      </w:r>
      <w:r w:rsidRPr="006E3B9B">
        <w:rPr>
          <w:lang w:val="en-US" w:eastAsia="zh-CN"/>
        </w:rPr>
        <w:tab/>
      </w:r>
      <w:r w:rsidRPr="006E3B9B">
        <w:rPr>
          <w:rFonts w:hint="eastAsia"/>
          <w:lang w:eastAsia="zh-CN"/>
        </w:rPr>
        <w:t>职位的定级</w:t>
      </w:r>
      <w:r w:rsidRPr="006E3B9B">
        <w:rPr>
          <w:lang w:val="en-US" w:eastAsia="zh-CN"/>
        </w:rPr>
        <w:tab/>
      </w:r>
      <w:r w:rsidR="00222D23">
        <w:rPr>
          <w:lang w:val="en-US" w:eastAsia="zh-CN"/>
        </w:rPr>
        <w:tab/>
      </w:r>
      <w:r w:rsidRPr="006E3B9B">
        <w:rPr>
          <w:lang w:val="en-US" w:eastAsia="zh-CN"/>
        </w:rPr>
        <w:t>1970</w:t>
      </w:r>
      <w:r w:rsidRPr="006E3B9B">
        <w:rPr>
          <w:rFonts w:hint="eastAsia"/>
          <w:lang w:val="en-US" w:eastAsia="zh-CN"/>
        </w:rPr>
        <w:t>年</w:t>
      </w:r>
    </w:p>
    <w:p w14:paraId="4827BED0"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646</w:t>
      </w:r>
      <w:r w:rsidRPr="006E3B9B">
        <w:rPr>
          <w:lang w:val="en-US" w:eastAsia="zh-CN"/>
        </w:rPr>
        <w:t>号决议</w:t>
      </w:r>
      <w:r w:rsidRPr="006E3B9B">
        <w:rPr>
          <w:lang w:val="en-US" w:eastAsia="zh-CN"/>
        </w:rPr>
        <w:tab/>
      </w:r>
      <w:r w:rsidRPr="006E3B9B">
        <w:rPr>
          <w:rFonts w:hint="eastAsia"/>
          <w:lang w:eastAsia="zh-CN"/>
        </w:rPr>
        <w:t>职位的设立</w:t>
      </w:r>
      <w:r w:rsidRPr="006E3B9B">
        <w:rPr>
          <w:lang w:val="en-US" w:eastAsia="zh-CN"/>
        </w:rPr>
        <w:tab/>
      </w:r>
      <w:r w:rsidR="00222D23">
        <w:rPr>
          <w:lang w:val="en-US" w:eastAsia="zh-CN"/>
        </w:rPr>
        <w:tab/>
      </w:r>
      <w:r w:rsidRPr="006E3B9B">
        <w:rPr>
          <w:lang w:val="en-US" w:eastAsia="zh-CN"/>
        </w:rPr>
        <w:t>1970</w:t>
      </w:r>
      <w:r w:rsidRPr="006E3B9B">
        <w:rPr>
          <w:rFonts w:hint="eastAsia"/>
          <w:lang w:val="en-US" w:eastAsia="zh-CN"/>
        </w:rPr>
        <w:t>年</w:t>
      </w:r>
    </w:p>
    <w:p w14:paraId="4827BED1"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647</w:t>
      </w:r>
      <w:r w:rsidRPr="006E3B9B">
        <w:rPr>
          <w:lang w:val="en-US" w:eastAsia="zh-CN"/>
        </w:rPr>
        <w:t>号决议</w:t>
      </w:r>
      <w:r w:rsidRPr="006E3B9B">
        <w:rPr>
          <w:lang w:val="en-US" w:eastAsia="zh-CN"/>
        </w:rPr>
        <w:tab/>
      </w:r>
      <w:r w:rsidRPr="006E3B9B">
        <w:rPr>
          <w:rFonts w:hint="eastAsia"/>
          <w:lang w:eastAsia="zh-CN"/>
        </w:rPr>
        <w:t>联合国共同制度薪酬条件的变更</w:t>
      </w:r>
      <w:r w:rsidRPr="006E3B9B">
        <w:rPr>
          <w:lang w:val="en-US" w:eastAsia="zh-CN"/>
        </w:rPr>
        <w:tab/>
      </w:r>
      <w:r w:rsidR="00222D23">
        <w:rPr>
          <w:lang w:val="en-US" w:eastAsia="zh-CN"/>
        </w:rPr>
        <w:tab/>
      </w:r>
      <w:r w:rsidRPr="006E3B9B">
        <w:rPr>
          <w:lang w:val="en-US" w:eastAsia="zh-CN"/>
        </w:rPr>
        <w:t>2.1</w:t>
      </w:r>
    </w:p>
    <w:p w14:paraId="4827BED2"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648</w:t>
      </w:r>
      <w:r w:rsidRPr="006E3B9B">
        <w:rPr>
          <w:lang w:val="en-US" w:eastAsia="zh-CN"/>
        </w:rPr>
        <w:t>号决议</w:t>
      </w:r>
      <w:r w:rsidRPr="006E3B9B">
        <w:rPr>
          <w:lang w:val="en-US" w:eastAsia="zh-CN"/>
        </w:rPr>
        <w:tab/>
      </w:r>
      <w:r w:rsidRPr="006E3B9B">
        <w:rPr>
          <w:rFonts w:hint="eastAsia"/>
          <w:lang w:eastAsia="zh-CN"/>
        </w:rPr>
        <w:t>选任官员的薪金和任职地点补贴调整数</w:t>
      </w:r>
      <w:r w:rsidRPr="006E3B9B">
        <w:rPr>
          <w:lang w:val="en-US" w:eastAsia="zh-CN"/>
        </w:rPr>
        <w:tab/>
      </w:r>
      <w:r w:rsidR="00222D23">
        <w:rPr>
          <w:lang w:val="en-US" w:eastAsia="zh-CN"/>
        </w:rPr>
        <w:tab/>
      </w:r>
      <w:r w:rsidRPr="006E3B9B">
        <w:rPr>
          <w:lang w:val="en-US" w:eastAsia="zh-CN"/>
        </w:rPr>
        <w:t>1970</w:t>
      </w:r>
      <w:r w:rsidRPr="006E3B9B">
        <w:rPr>
          <w:rFonts w:hint="eastAsia"/>
          <w:lang w:val="en-US" w:eastAsia="zh-CN"/>
        </w:rPr>
        <w:t>年</w:t>
      </w:r>
    </w:p>
    <w:p w14:paraId="4827BED3"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649</w:t>
      </w:r>
      <w:r w:rsidRPr="006E3B9B">
        <w:rPr>
          <w:lang w:val="en-US" w:eastAsia="zh-CN"/>
        </w:rPr>
        <w:t>号决议</w:t>
      </w:r>
      <w:r w:rsidRPr="006E3B9B">
        <w:rPr>
          <w:lang w:val="en-US" w:eastAsia="zh-CN"/>
        </w:rPr>
        <w:tab/>
      </w:r>
      <w:r w:rsidRPr="006E3B9B">
        <w:rPr>
          <w:rFonts w:hint="eastAsia"/>
          <w:lang w:eastAsia="zh-CN"/>
        </w:rPr>
        <w:t>专业职类和高级顾问类职员的薪金标准和任职地点补贴调整数</w:t>
      </w:r>
      <w:r w:rsidR="00222D23">
        <w:rPr>
          <w:lang w:eastAsia="zh-CN"/>
        </w:rPr>
        <w:tab/>
      </w:r>
      <w:r w:rsidRPr="006E3B9B">
        <w:rPr>
          <w:lang w:val="en-US" w:eastAsia="zh-CN"/>
        </w:rPr>
        <w:tab/>
        <w:t>1970</w:t>
      </w:r>
      <w:r w:rsidRPr="006E3B9B">
        <w:rPr>
          <w:rFonts w:hint="eastAsia"/>
          <w:lang w:val="en-US" w:eastAsia="zh-CN"/>
        </w:rPr>
        <w:t>年</w:t>
      </w:r>
    </w:p>
    <w:p w14:paraId="4827BED4"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650</w:t>
      </w:r>
      <w:r w:rsidRPr="006E3B9B">
        <w:rPr>
          <w:lang w:val="en-US" w:eastAsia="zh-CN"/>
        </w:rPr>
        <w:t>号决议</w:t>
      </w:r>
      <w:r w:rsidRPr="006E3B9B">
        <w:rPr>
          <w:lang w:val="en-US" w:eastAsia="zh-CN"/>
        </w:rPr>
        <w:tab/>
      </w:r>
      <w:r w:rsidRPr="006E3B9B">
        <w:rPr>
          <w:rFonts w:hint="eastAsia"/>
          <w:lang w:eastAsia="zh-CN"/>
        </w:rPr>
        <w:t>《人事规则和人事细则》的修正案</w:t>
      </w:r>
      <w:r w:rsidRPr="006E3B9B">
        <w:rPr>
          <w:lang w:val="en-US" w:eastAsia="zh-CN"/>
        </w:rPr>
        <w:tab/>
      </w:r>
      <w:r w:rsidR="00222D23">
        <w:rPr>
          <w:lang w:val="en-US" w:eastAsia="zh-CN"/>
        </w:rPr>
        <w:tab/>
      </w:r>
      <w:r w:rsidRPr="006E3B9B">
        <w:rPr>
          <w:lang w:val="en-US" w:eastAsia="zh-CN"/>
        </w:rPr>
        <w:t>1970</w:t>
      </w:r>
      <w:r w:rsidRPr="006E3B9B">
        <w:rPr>
          <w:rFonts w:hint="eastAsia"/>
          <w:lang w:val="en-US" w:eastAsia="zh-CN"/>
        </w:rPr>
        <w:t>年</w:t>
      </w:r>
    </w:p>
    <w:p w14:paraId="4827BED5"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651</w:t>
      </w:r>
      <w:r w:rsidRPr="006E3B9B">
        <w:rPr>
          <w:lang w:val="en-US" w:eastAsia="zh-CN"/>
        </w:rPr>
        <w:t>号决议</w:t>
      </w:r>
      <w:r w:rsidRPr="006E3B9B">
        <w:rPr>
          <w:lang w:val="en-US" w:eastAsia="zh-CN"/>
        </w:rPr>
        <w:tab/>
      </w:r>
      <w:r w:rsidRPr="006E3B9B">
        <w:rPr>
          <w:rFonts w:hint="eastAsia"/>
          <w:lang w:eastAsia="zh-CN"/>
        </w:rPr>
        <w:t>国际电联养恤金委员会的委员</w:t>
      </w:r>
      <w:r w:rsidRPr="006E3B9B">
        <w:rPr>
          <w:lang w:val="en-US" w:eastAsia="zh-CN"/>
        </w:rPr>
        <w:tab/>
      </w:r>
      <w:r w:rsidR="00222D23">
        <w:rPr>
          <w:lang w:val="en-US" w:eastAsia="zh-CN"/>
        </w:rPr>
        <w:tab/>
      </w:r>
      <w:r w:rsidRPr="006E3B9B">
        <w:rPr>
          <w:lang w:val="en-US" w:eastAsia="zh-CN"/>
        </w:rPr>
        <w:t>1970</w:t>
      </w:r>
      <w:r w:rsidRPr="006E3B9B">
        <w:rPr>
          <w:rFonts w:hint="eastAsia"/>
          <w:lang w:val="en-US" w:eastAsia="zh-CN"/>
        </w:rPr>
        <w:t>年</w:t>
      </w:r>
    </w:p>
    <w:p w14:paraId="4827BED6"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652</w:t>
      </w:r>
      <w:r w:rsidRPr="006E3B9B">
        <w:rPr>
          <w:lang w:val="en-US" w:eastAsia="zh-CN"/>
        </w:rPr>
        <w:t>号决议</w:t>
      </w:r>
      <w:r w:rsidRPr="006E3B9B">
        <w:rPr>
          <w:lang w:val="en-US" w:eastAsia="zh-CN"/>
        </w:rPr>
        <w:tab/>
      </w:r>
      <w:r w:rsidRPr="006E3B9B">
        <w:rPr>
          <w:rFonts w:hint="eastAsia"/>
          <w:lang w:eastAsia="zh-CN"/>
        </w:rPr>
        <w:t>低频</w:t>
      </w:r>
      <w:r w:rsidRPr="006E3B9B">
        <w:rPr>
          <w:lang w:eastAsia="zh-CN"/>
        </w:rPr>
        <w:t>/</w:t>
      </w:r>
      <w:r w:rsidRPr="006E3B9B">
        <w:rPr>
          <w:rFonts w:hint="eastAsia"/>
          <w:lang w:eastAsia="zh-CN"/>
        </w:rPr>
        <w:t>中频广播频率规划</w:t>
      </w:r>
      <w:r w:rsidRPr="006E3B9B">
        <w:rPr>
          <w:lang w:val="en-US" w:eastAsia="zh-CN"/>
        </w:rPr>
        <w:tab/>
      </w:r>
      <w:r w:rsidR="00222D23">
        <w:rPr>
          <w:lang w:val="en-US" w:eastAsia="zh-CN"/>
        </w:rPr>
        <w:tab/>
      </w:r>
      <w:r w:rsidRPr="006E3B9B">
        <w:rPr>
          <w:lang w:val="en-US" w:eastAsia="zh-CN"/>
        </w:rPr>
        <w:t>1970</w:t>
      </w:r>
      <w:r w:rsidRPr="006E3B9B">
        <w:rPr>
          <w:rFonts w:hint="eastAsia"/>
          <w:lang w:val="en-US" w:eastAsia="zh-CN"/>
        </w:rPr>
        <w:t>年</w:t>
      </w:r>
    </w:p>
    <w:p w14:paraId="4827BED7"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653</w:t>
      </w:r>
      <w:r w:rsidRPr="006E3B9B">
        <w:rPr>
          <w:lang w:val="en-US" w:eastAsia="zh-CN"/>
        </w:rPr>
        <w:t>号决议</w:t>
      </w:r>
      <w:r w:rsidRPr="006E3B9B">
        <w:rPr>
          <w:lang w:val="en-US" w:eastAsia="zh-CN"/>
        </w:rPr>
        <w:tab/>
      </w:r>
      <w:r w:rsidRPr="006E3B9B">
        <w:rPr>
          <w:rFonts w:hint="eastAsia"/>
          <w:lang w:eastAsia="zh-CN"/>
        </w:rPr>
        <w:t>有关空间电信的世界无线电行政大会</w:t>
      </w:r>
      <w:r w:rsidRPr="006E3B9B">
        <w:rPr>
          <w:lang w:val="en-US" w:eastAsia="zh-CN"/>
        </w:rPr>
        <w:tab/>
      </w:r>
      <w:r w:rsidR="00222D23">
        <w:rPr>
          <w:lang w:val="en-US" w:eastAsia="zh-CN"/>
        </w:rPr>
        <w:tab/>
      </w:r>
      <w:r w:rsidRPr="006E3B9B">
        <w:rPr>
          <w:lang w:val="en-US" w:eastAsia="zh-CN"/>
        </w:rPr>
        <w:t>1972</w:t>
      </w:r>
      <w:r w:rsidRPr="006E3B9B">
        <w:rPr>
          <w:rFonts w:hint="eastAsia"/>
          <w:lang w:val="en-US" w:eastAsia="zh-CN"/>
        </w:rPr>
        <w:t>年</w:t>
      </w:r>
    </w:p>
    <w:p w14:paraId="4827BED8"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654</w:t>
      </w:r>
      <w:r w:rsidRPr="006E3B9B">
        <w:rPr>
          <w:lang w:val="en-US" w:eastAsia="zh-CN"/>
        </w:rPr>
        <w:t>号决议</w:t>
      </w:r>
      <w:r w:rsidRPr="006E3B9B">
        <w:rPr>
          <w:lang w:val="en-US" w:eastAsia="zh-CN"/>
        </w:rPr>
        <w:tab/>
      </w:r>
      <w:r w:rsidRPr="006E3B9B">
        <w:rPr>
          <w:rFonts w:hint="eastAsia"/>
          <w:lang w:eastAsia="zh-CN"/>
        </w:rPr>
        <w:t>电子计算机的要求</w:t>
      </w:r>
      <w:r w:rsidRPr="006E3B9B">
        <w:rPr>
          <w:lang w:val="en-US" w:eastAsia="zh-CN"/>
        </w:rPr>
        <w:tab/>
      </w:r>
      <w:r w:rsidR="00222D23">
        <w:rPr>
          <w:lang w:val="en-US" w:eastAsia="zh-CN"/>
        </w:rPr>
        <w:tab/>
      </w:r>
      <w:r w:rsidRPr="006E3B9B">
        <w:rPr>
          <w:lang w:val="en-US" w:eastAsia="zh-CN"/>
        </w:rPr>
        <w:t>1970</w:t>
      </w:r>
      <w:r w:rsidRPr="006E3B9B">
        <w:rPr>
          <w:rFonts w:hint="eastAsia"/>
          <w:lang w:val="en-US" w:eastAsia="zh-CN"/>
        </w:rPr>
        <w:t>年</w:t>
      </w:r>
    </w:p>
    <w:p w14:paraId="4827BED9"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655</w:t>
      </w:r>
      <w:r w:rsidRPr="006E3B9B">
        <w:rPr>
          <w:lang w:val="en-US" w:eastAsia="zh-CN"/>
        </w:rPr>
        <w:t>号决议</w:t>
      </w:r>
      <w:r w:rsidRPr="006E3B9B">
        <w:rPr>
          <w:lang w:val="en-US" w:eastAsia="zh-CN"/>
        </w:rPr>
        <w:tab/>
      </w:r>
      <w:r w:rsidRPr="006E3B9B">
        <w:rPr>
          <w:lang w:eastAsia="zh-CN"/>
        </w:rPr>
        <w:t>CCIR</w:t>
      </w:r>
      <w:r w:rsidRPr="006E3B9B">
        <w:rPr>
          <w:rFonts w:hint="eastAsia"/>
          <w:lang w:eastAsia="zh-CN"/>
        </w:rPr>
        <w:t>特设秘书处的机构设置</w:t>
      </w:r>
      <w:r w:rsidRPr="006E3B9B">
        <w:rPr>
          <w:lang w:val="en-US" w:eastAsia="zh-CN"/>
        </w:rPr>
        <w:tab/>
      </w:r>
      <w:r w:rsidR="00222D23">
        <w:rPr>
          <w:lang w:val="en-US" w:eastAsia="zh-CN"/>
        </w:rPr>
        <w:tab/>
      </w:r>
      <w:r w:rsidRPr="006E3B9B">
        <w:rPr>
          <w:lang w:val="en-US" w:eastAsia="zh-CN"/>
        </w:rPr>
        <w:t>1970</w:t>
      </w:r>
      <w:r w:rsidRPr="006E3B9B">
        <w:rPr>
          <w:rFonts w:hint="eastAsia"/>
          <w:lang w:val="en-US" w:eastAsia="zh-CN"/>
        </w:rPr>
        <w:t>年</w:t>
      </w:r>
    </w:p>
    <w:p w14:paraId="4827BEDA"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656</w:t>
      </w:r>
      <w:r w:rsidRPr="006E3B9B">
        <w:rPr>
          <w:lang w:val="en-US" w:eastAsia="zh-CN"/>
        </w:rPr>
        <w:t>号决议</w:t>
      </w:r>
      <w:r w:rsidRPr="006E3B9B">
        <w:rPr>
          <w:lang w:val="en-US" w:eastAsia="zh-CN"/>
        </w:rPr>
        <w:tab/>
      </w:r>
      <w:r w:rsidRPr="006E3B9B">
        <w:rPr>
          <w:rFonts w:hint="eastAsia"/>
          <w:lang w:eastAsia="zh-CN"/>
        </w:rPr>
        <w:t>研究</w:t>
      </w:r>
      <w:r w:rsidRPr="006E3B9B">
        <w:rPr>
          <w:lang w:eastAsia="zh-CN"/>
        </w:rPr>
        <w:t>CCITT</w:t>
      </w:r>
      <w:r w:rsidRPr="006E3B9B">
        <w:rPr>
          <w:rFonts w:hint="eastAsia"/>
          <w:lang w:eastAsia="zh-CN"/>
        </w:rPr>
        <w:t>机构设置和工作方法的专家组</w:t>
      </w:r>
      <w:r w:rsidRPr="006E3B9B">
        <w:rPr>
          <w:lang w:val="en-US" w:eastAsia="zh-CN"/>
        </w:rPr>
        <w:tab/>
      </w:r>
      <w:r w:rsidR="00222D23">
        <w:rPr>
          <w:lang w:val="en-US" w:eastAsia="zh-CN"/>
        </w:rPr>
        <w:tab/>
      </w:r>
      <w:r w:rsidRPr="006E3B9B">
        <w:rPr>
          <w:lang w:val="en-US" w:eastAsia="zh-CN"/>
        </w:rPr>
        <w:t>1972</w:t>
      </w:r>
      <w:r w:rsidRPr="006E3B9B">
        <w:rPr>
          <w:rFonts w:hint="eastAsia"/>
          <w:lang w:val="en-US" w:eastAsia="zh-CN"/>
        </w:rPr>
        <w:t>年</w:t>
      </w:r>
    </w:p>
    <w:p w14:paraId="4827BEDB"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657</w:t>
      </w:r>
      <w:r w:rsidRPr="006E3B9B">
        <w:rPr>
          <w:lang w:val="en-US" w:eastAsia="zh-CN"/>
        </w:rPr>
        <w:t>号决议</w:t>
      </w:r>
      <w:r w:rsidRPr="006E3B9B">
        <w:rPr>
          <w:lang w:val="en-US" w:eastAsia="zh-CN"/>
        </w:rPr>
        <w:tab/>
      </w:r>
      <w:r w:rsidRPr="006E3B9B">
        <w:rPr>
          <w:rFonts w:hint="eastAsia"/>
          <w:lang w:eastAsia="zh-CN"/>
        </w:rPr>
        <w:t>联合国开发计划署资助的职位</w:t>
      </w:r>
      <w:r w:rsidRPr="006E3B9B">
        <w:rPr>
          <w:lang w:val="en-US" w:eastAsia="zh-CN"/>
        </w:rPr>
        <w:tab/>
      </w:r>
      <w:r w:rsidR="00222D23">
        <w:rPr>
          <w:lang w:val="en-US" w:eastAsia="zh-CN"/>
        </w:rPr>
        <w:tab/>
      </w:r>
      <w:r w:rsidRPr="006E3B9B">
        <w:rPr>
          <w:lang w:val="en-US" w:eastAsia="zh-CN"/>
        </w:rPr>
        <w:t>1975</w:t>
      </w:r>
      <w:r w:rsidRPr="006E3B9B">
        <w:rPr>
          <w:rFonts w:hint="eastAsia"/>
          <w:lang w:val="en-US" w:eastAsia="zh-CN"/>
        </w:rPr>
        <w:t>年</w:t>
      </w:r>
    </w:p>
    <w:p w14:paraId="4827BEDC"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658</w:t>
      </w:r>
      <w:r w:rsidRPr="006E3B9B">
        <w:rPr>
          <w:lang w:val="en-US" w:eastAsia="zh-CN"/>
        </w:rPr>
        <w:t>号决议</w:t>
      </w:r>
      <w:r w:rsidRPr="006E3B9B">
        <w:rPr>
          <w:lang w:val="en-US" w:eastAsia="zh-CN"/>
        </w:rPr>
        <w:tab/>
      </w:r>
      <w:r w:rsidRPr="006E3B9B">
        <w:rPr>
          <w:rFonts w:hint="eastAsia"/>
          <w:lang w:eastAsia="zh-CN"/>
        </w:rPr>
        <w:t>通过专门代理分销国际电联出版物</w:t>
      </w:r>
      <w:r w:rsidRPr="006E3B9B">
        <w:rPr>
          <w:lang w:val="en-US" w:eastAsia="zh-CN"/>
        </w:rPr>
        <w:tab/>
      </w:r>
      <w:r w:rsidR="00222D23">
        <w:rPr>
          <w:lang w:val="en-US" w:eastAsia="zh-CN"/>
        </w:rPr>
        <w:tab/>
      </w:r>
      <w:r w:rsidRPr="006E3B9B">
        <w:rPr>
          <w:lang w:val="en-US" w:eastAsia="zh-CN"/>
        </w:rPr>
        <w:t>1999</w:t>
      </w:r>
      <w:r w:rsidRPr="006E3B9B">
        <w:rPr>
          <w:rFonts w:hint="eastAsia"/>
          <w:lang w:val="en-US" w:eastAsia="zh-CN"/>
        </w:rPr>
        <w:t>年</w:t>
      </w:r>
    </w:p>
    <w:p w14:paraId="4827BEDD"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659</w:t>
      </w:r>
      <w:r w:rsidRPr="006E3B9B">
        <w:rPr>
          <w:lang w:val="en-US" w:eastAsia="zh-CN"/>
        </w:rPr>
        <w:t>号决议</w:t>
      </w:r>
      <w:r w:rsidRPr="006E3B9B">
        <w:rPr>
          <w:lang w:val="en-US" w:eastAsia="zh-CN"/>
        </w:rPr>
        <w:tab/>
      </w:r>
      <w:r w:rsidRPr="006E3B9B">
        <w:rPr>
          <w:rFonts w:hint="eastAsia"/>
          <w:lang w:val="en-US" w:eastAsia="zh-CN"/>
        </w:rPr>
        <w:t>就联合国大会</w:t>
      </w:r>
      <w:r w:rsidRPr="006E3B9B">
        <w:rPr>
          <w:rFonts w:hint="eastAsia"/>
          <w:lang w:eastAsia="zh-CN"/>
        </w:rPr>
        <w:t>第</w:t>
      </w:r>
      <w:r w:rsidRPr="006E3B9B">
        <w:rPr>
          <w:lang w:eastAsia="zh-CN"/>
        </w:rPr>
        <w:t>2395</w:t>
      </w:r>
      <w:r w:rsidRPr="006E3B9B">
        <w:rPr>
          <w:rFonts w:hint="eastAsia"/>
          <w:lang w:eastAsia="zh-CN"/>
        </w:rPr>
        <w:t>、</w:t>
      </w:r>
      <w:r w:rsidRPr="006E3B9B">
        <w:rPr>
          <w:lang w:eastAsia="zh-CN"/>
        </w:rPr>
        <w:t>2396</w:t>
      </w:r>
      <w:r w:rsidRPr="006E3B9B">
        <w:rPr>
          <w:rFonts w:hint="eastAsia"/>
          <w:lang w:eastAsia="zh-CN"/>
        </w:rPr>
        <w:t>、</w:t>
      </w:r>
      <w:r w:rsidRPr="006E3B9B">
        <w:rPr>
          <w:lang w:eastAsia="zh-CN"/>
        </w:rPr>
        <w:t>2426</w:t>
      </w:r>
      <w:r w:rsidRPr="006E3B9B">
        <w:rPr>
          <w:rFonts w:hint="eastAsia"/>
          <w:lang w:eastAsia="zh-CN"/>
        </w:rPr>
        <w:t>和</w:t>
      </w:r>
      <w:r w:rsidRPr="006E3B9B">
        <w:rPr>
          <w:lang w:eastAsia="zh-CN"/>
        </w:rPr>
        <w:t>2465</w:t>
      </w:r>
      <w:r w:rsidRPr="006E3B9B">
        <w:rPr>
          <w:rFonts w:hint="eastAsia"/>
          <w:lang w:eastAsia="zh-CN"/>
        </w:rPr>
        <w:t>（</w:t>
      </w:r>
      <w:r w:rsidRPr="006E3B9B">
        <w:rPr>
          <w:rFonts w:hint="eastAsia"/>
          <w:lang w:eastAsia="zh-CN"/>
        </w:rPr>
        <w:t>XXIII</w:t>
      </w:r>
      <w:r w:rsidRPr="006E3B9B">
        <w:rPr>
          <w:rFonts w:hint="eastAsia"/>
          <w:lang w:eastAsia="zh-CN"/>
        </w:rPr>
        <w:t>）号决议采取的行动</w:t>
      </w:r>
      <w:r w:rsidR="00222D23">
        <w:rPr>
          <w:lang w:eastAsia="zh-CN"/>
        </w:rPr>
        <w:tab/>
      </w:r>
      <w:r w:rsidRPr="006E3B9B">
        <w:rPr>
          <w:lang w:val="en-US" w:eastAsia="zh-CN"/>
        </w:rPr>
        <w:tab/>
        <w:t>6.2</w:t>
      </w:r>
    </w:p>
    <w:p w14:paraId="4827BEDE"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660</w:t>
      </w:r>
      <w:r w:rsidRPr="006E3B9B">
        <w:rPr>
          <w:lang w:val="en-US" w:eastAsia="zh-CN"/>
        </w:rPr>
        <w:t>号决议</w:t>
      </w:r>
      <w:r w:rsidRPr="006E3B9B">
        <w:rPr>
          <w:lang w:val="en-US" w:eastAsia="zh-CN"/>
        </w:rPr>
        <w:tab/>
      </w:r>
      <w:r w:rsidRPr="006E3B9B">
        <w:rPr>
          <w:rFonts w:hint="eastAsia"/>
          <w:lang w:eastAsia="zh-CN"/>
        </w:rPr>
        <w:t>世界电信日</w:t>
      </w:r>
      <w:r w:rsidRPr="006E3B9B">
        <w:rPr>
          <w:lang w:val="en-US" w:eastAsia="zh-CN"/>
        </w:rPr>
        <w:tab/>
      </w:r>
      <w:r w:rsidR="00222D23">
        <w:rPr>
          <w:lang w:val="en-US" w:eastAsia="zh-CN"/>
        </w:rPr>
        <w:tab/>
      </w:r>
      <w:r w:rsidRPr="006E3B9B">
        <w:rPr>
          <w:lang w:val="en-US" w:eastAsia="zh-CN"/>
        </w:rPr>
        <w:t>1970</w:t>
      </w:r>
      <w:r w:rsidRPr="006E3B9B">
        <w:rPr>
          <w:rFonts w:hint="eastAsia"/>
          <w:lang w:val="en-US" w:eastAsia="zh-CN"/>
        </w:rPr>
        <w:t>年</w:t>
      </w:r>
    </w:p>
    <w:p w14:paraId="4827BEDF"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661</w:t>
      </w:r>
      <w:r w:rsidRPr="006E3B9B">
        <w:rPr>
          <w:lang w:val="en-US" w:eastAsia="zh-CN"/>
        </w:rPr>
        <w:t>号决议</w:t>
      </w:r>
      <w:r w:rsidRPr="006E3B9B">
        <w:rPr>
          <w:lang w:val="en-US" w:eastAsia="zh-CN"/>
        </w:rPr>
        <w:tab/>
      </w:r>
      <w:r w:rsidRPr="006E3B9B">
        <w:rPr>
          <w:rFonts w:hint="eastAsia"/>
          <w:lang w:val="en-US" w:eastAsia="zh-CN"/>
        </w:rPr>
        <w:t>《</w:t>
      </w:r>
      <w:r w:rsidRPr="006E3B9B">
        <w:rPr>
          <w:rFonts w:hint="eastAsia"/>
          <w:lang w:eastAsia="zh-CN"/>
        </w:rPr>
        <w:t>组织法》和《总规则》草案</w:t>
      </w:r>
      <w:r w:rsidRPr="006E3B9B">
        <w:rPr>
          <w:lang w:val="en-US" w:eastAsia="zh-CN"/>
        </w:rPr>
        <w:tab/>
      </w:r>
      <w:r w:rsidR="00222D23">
        <w:rPr>
          <w:lang w:val="en-US" w:eastAsia="zh-CN"/>
        </w:rPr>
        <w:tab/>
      </w:r>
      <w:r w:rsidRPr="006E3B9B">
        <w:rPr>
          <w:lang w:val="en-US" w:eastAsia="zh-CN"/>
        </w:rPr>
        <w:t>1970</w:t>
      </w:r>
      <w:r w:rsidRPr="006E3B9B">
        <w:rPr>
          <w:rFonts w:hint="eastAsia"/>
          <w:lang w:val="en-US" w:eastAsia="zh-CN"/>
        </w:rPr>
        <w:t>年</w:t>
      </w:r>
    </w:p>
    <w:p w14:paraId="4827BEE0" w14:textId="77777777" w:rsidR="006E3B9B" w:rsidRPr="006E3B9B" w:rsidRDefault="006E3B9B" w:rsidP="003E11A1">
      <w:pPr>
        <w:pStyle w:val="Reftitle"/>
        <w:rPr>
          <w:lang w:val="en-US" w:eastAsia="zh-CN"/>
        </w:rPr>
      </w:pPr>
      <w:r w:rsidRPr="006E3B9B">
        <w:rPr>
          <w:rFonts w:hint="eastAsia"/>
          <w:lang w:eastAsia="zh-CN"/>
        </w:rPr>
        <w:t>第</w:t>
      </w:r>
      <w:r w:rsidRPr="006E3B9B">
        <w:rPr>
          <w:lang w:eastAsia="zh-CN"/>
        </w:rPr>
        <w:t>25</w:t>
      </w:r>
      <w:r w:rsidRPr="006E3B9B">
        <w:rPr>
          <w:rFonts w:hint="eastAsia"/>
          <w:lang w:eastAsia="zh-CN"/>
        </w:rPr>
        <w:t>届会议（</w:t>
      </w:r>
      <w:r w:rsidRPr="006E3B9B">
        <w:rPr>
          <w:lang w:eastAsia="zh-CN"/>
        </w:rPr>
        <w:t>1970</w:t>
      </w:r>
      <w:r w:rsidRPr="006E3B9B">
        <w:rPr>
          <w:rFonts w:hint="eastAsia"/>
          <w:lang w:eastAsia="zh-CN"/>
        </w:rPr>
        <w:t>年</w:t>
      </w:r>
      <w:r w:rsidRPr="006E3B9B">
        <w:rPr>
          <w:lang w:eastAsia="zh-CN"/>
        </w:rPr>
        <w:t>5</w:t>
      </w:r>
      <w:r w:rsidRPr="006E3B9B">
        <w:rPr>
          <w:rFonts w:hint="eastAsia"/>
          <w:lang w:eastAsia="zh-CN"/>
        </w:rPr>
        <w:t>月</w:t>
      </w:r>
      <w:r w:rsidRPr="006E3B9B">
        <w:rPr>
          <w:lang w:eastAsia="zh-CN"/>
        </w:rPr>
        <w:t>-6</w:t>
      </w:r>
      <w:r w:rsidRPr="006E3B9B">
        <w:rPr>
          <w:rFonts w:hint="eastAsia"/>
          <w:lang w:eastAsia="zh-CN"/>
        </w:rPr>
        <w:t>月）</w:t>
      </w:r>
    </w:p>
    <w:p w14:paraId="4827BEE1"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662</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1969</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1</w:t>
      </w:r>
      <w:r w:rsidRPr="006E3B9B">
        <w:rPr>
          <w:rFonts w:hint="eastAsia"/>
          <w:lang w:eastAsia="zh-CN"/>
        </w:rPr>
        <w:t>日至</w:t>
      </w:r>
      <w:r w:rsidRPr="006E3B9B">
        <w:rPr>
          <w:lang w:eastAsia="zh-CN"/>
        </w:rPr>
        <w:t>12</w:t>
      </w:r>
      <w:r w:rsidRPr="006E3B9B">
        <w:rPr>
          <w:rFonts w:hint="eastAsia"/>
          <w:lang w:eastAsia="zh-CN"/>
        </w:rPr>
        <w:t>月</w:t>
      </w:r>
      <w:r w:rsidRPr="006E3B9B">
        <w:rPr>
          <w:lang w:eastAsia="zh-CN"/>
        </w:rPr>
        <w:t>31</w:t>
      </w:r>
      <w:r w:rsidRPr="006E3B9B">
        <w:rPr>
          <w:rFonts w:hint="eastAsia"/>
          <w:lang w:eastAsia="zh-CN"/>
        </w:rPr>
        <w:t>日账目的外部审计</w:t>
      </w:r>
      <w:r w:rsidRPr="006E3B9B">
        <w:rPr>
          <w:lang w:val="en-US" w:eastAsia="zh-CN"/>
        </w:rPr>
        <w:tab/>
      </w:r>
      <w:r w:rsidR="00222D23">
        <w:rPr>
          <w:lang w:val="en-US" w:eastAsia="zh-CN"/>
        </w:rPr>
        <w:tab/>
      </w:r>
      <w:r w:rsidRPr="006E3B9B">
        <w:rPr>
          <w:lang w:val="en-US" w:eastAsia="zh-CN"/>
        </w:rPr>
        <w:t>1971</w:t>
      </w:r>
      <w:r w:rsidRPr="006E3B9B">
        <w:rPr>
          <w:rFonts w:hint="eastAsia"/>
          <w:lang w:val="en-US" w:eastAsia="zh-CN"/>
        </w:rPr>
        <w:t>年</w:t>
      </w:r>
    </w:p>
    <w:p w14:paraId="4827BEE2"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663</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1969</w:t>
      </w:r>
      <w:r w:rsidRPr="006E3B9B">
        <w:rPr>
          <w:rFonts w:hint="eastAsia"/>
          <w:lang w:eastAsia="zh-CN"/>
        </w:rPr>
        <w:t>年财务工作报告</w:t>
      </w:r>
      <w:r w:rsidRPr="006E3B9B">
        <w:rPr>
          <w:lang w:val="en-US" w:eastAsia="zh-CN"/>
        </w:rPr>
        <w:tab/>
      </w:r>
      <w:r w:rsidR="00222D23">
        <w:rPr>
          <w:lang w:val="en-US" w:eastAsia="zh-CN"/>
        </w:rPr>
        <w:tab/>
      </w:r>
      <w:r w:rsidRPr="006E3B9B">
        <w:rPr>
          <w:lang w:val="en-US" w:eastAsia="zh-CN"/>
        </w:rPr>
        <w:t>1971</w:t>
      </w:r>
      <w:r w:rsidRPr="006E3B9B">
        <w:rPr>
          <w:rFonts w:hint="eastAsia"/>
          <w:lang w:val="en-US" w:eastAsia="zh-CN"/>
        </w:rPr>
        <w:t>年</w:t>
      </w:r>
    </w:p>
    <w:p w14:paraId="4827BEE3"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664</w:t>
      </w:r>
      <w:r w:rsidRPr="006E3B9B">
        <w:rPr>
          <w:lang w:val="en-US" w:eastAsia="zh-CN"/>
        </w:rPr>
        <w:t>号决议</w:t>
      </w:r>
      <w:r w:rsidRPr="006E3B9B">
        <w:rPr>
          <w:lang w:val="en-US" w:eastAsia="zh-CN"/>
        </w:rPr>
        <w:tab/>
      </w:r>
      <w:r w:rsidRPr="006E3B9B">
        <w:rPr>
          <w:rFonts w:hint="eastAsia"/>
          <w:lang w:val="en-US" w:eastAsia="zh-CN"/>
        </w:rPr>
        <w:t>国际</w:t>
      </w:r>
      <w:r w:rsidRPr="006E3B9B">
        <w:rPr>
          <w:rFonts w:hint="eastAsia"/>
          <w:lang w:eastAsia="zh-CN"/>
        </w:rPr>
        <w:t>电联《财务规则》</w:t>
      </w:r>
      <w:r w:rsidRPr="006E3B9B">
        <w:rPr>
          <w:lang w:val="en-US" w:eastAsia="zh-CN"/>
        </w:rPr>
        <w:tab/>
      </w:r>
      <w:r w:rsidR="00222D23">
        <w:rPr>
          <w:lang w:val="en-US" w:eastAsia="zh-CN"/>
        </w:rPr>
        <w:tab/>
      </w:r>
      <w:r w:rsidRPr="006E3B9B">
        <w:rPr>
          <w:lang w:val="en-US" w:eastAsia="zh-CN"/>
        </w:rPr>
        <w:t>1971</w:t>
      </w:r>
      <w:r w:rsidRPr="006E3B9B">
        <w:rPr>
          <w:rFonts w:hint="eastAsia"/>
          <w:lang w:val="en-US" w:eastAsia="zh-CN"/>
        </w:rPr>
        <w:t>年</w:t>
      </w:r>
    </w:p>
    <w:p w14:paraId="4827BEE4"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665</w:t>
      </w:r>
      <w:r w:rsidRPr="006E3B9B">
        <w:rPr>
          <w:lang w:val="en-US" w:eastAsia="zh-CN"/>
        </w:rPr>
        <w:t>号决议</w:t>
      </w:r>
      <w:r w:rsidRPr="006E3B9B">
        <w:rPr>
          <w:lang w:val="en-US" w:eastAsia="zh-CN"/>
        </w:rPr>
        <w:tab/>
      </w:r>
      <w:r w:rsidRPr="006E3B9B">
        <w:rPr>
          <w:rFonts w:hint="eastAsia"/>
          <w:lang w:eastAsia="zh-CN"/>
        </w:rPr>
        <w:t>有关空间电信的世界无线电行政大会</w:t>
      </w:r>
      <w:r w:rsidRPr="006E3B9B">
        <w:rPr>
          <w:lang w:val="en-US" w:eastAsia="zh-CN"/>
        </w:rPr>
        <w:tab/>
      </w:r>
      <w:r w:rsidR="00222D23">
        <w:rPr>
          <w:lang w:val="en-US" w:eastAsia="zh-CN"/>
        </w:rPr>
        <w:tab/>
      </w:r>
      <w:r w:rsidRPr="006E3B9B">
        <w:rPr>
          <w:lang w:val="en-US" w:eastAsia="zh-CN"/>
        </w:rPr>
        <w:t>1972</w:t>
      </w:r>
      <w:r w:rsidRPr="006E3B9B">
        <w:rPr>
          <w:rFonts w:hint="eastAsia"/>
          <w:lang w:val="en-US" w:eastAsia="zh-CN"/>
        </w:rPr>
        <w:t>年</w:t>
      </w:r>
    </w:p>
    <w:p w14:paraId="4827BEE5"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666</w:t>
      </w:r>
      <w:r w:rsidRPr="006E3B9B">
        <w:rPr>
          <w:lang w:val="en-US" w:eastAsia="zh-CN"/>
        </w:rPr>
        <w:t>号决议</w:t>
      </w:r>
      <w:r w:rsidRPr="006E3B9B">
        <w:rPr>
          <w:lang w:val="en-US" w:eastAsia="zh-CN"/>
        </w:rPr>
        <w:tab/>
      </w:r>
      <w:r w:rsidRPr="006E3B9B">
        <w:rPr>
          <w:lang w:eastAsia="zh-CN"/>
        </w:rPr>
        <w:t>G.1</w:t>
      </w:r>
      <w:r w:rsidRPr="006E3B9B">
        <w:rPr>
          <w:rFonts w:hint="eastAsia"/>
          <w:lang w:eastAsia="zh-CN"/>
        </w:rPr>
        <w:t>至</w:t>
      </w:r>
      <w:r w:rsidRPr="006E3B9B">
        <w:rPr>
          <w:lang w:eastAsia="zh-CN"/>
        </w:rPr>
        <w:t>G.7</w:t>
      </w:r>
      <w:r w:rsidRPr="006E3B9B">
        <w:rPr>
          <w:rFonts w:hint="eastAsia"/>
          <w:lang w:eastAsia="zh-CN"/>
        </w:rPr>
        <w:t>级职位</w:t>
      </w:r>
      <w:r w:rsidRPr="006E3B9B">
        <w:rPr>
          <w:lang w:val="en-US" w:eastAsia="zh-CN"/>
        </w:rPr>
        <w:tab/>
      </w:r>
      <w:r w:rsidR="00222D23">
        <w:rPr>
          <w:lang w:val="en-US" w:eastAsia="zh-CN"/>
        </w:rPr>
        <w:tab/>
      </w:r>
      <w:r w:rsidRPr="006E3B9B">
        <w:rPr>
          <w:lang w:val="en-US" w:eastAsia="zh-CN"/>
        </w:rPr>
        <w:t>1971</w:t>
      </w:r>
      <w:r w:rsidRPr="006E3B9B">
        <w:rPr>
          <w:rFonts w:hint="eastAsia"/>
          <w:lang w:val="en-US" w:eastAsia="zh-CN"/>
        </w:rPr>
        <w:t>年</w:t>
      </w:r>
    </w:p>
    <w:p w14:paraId="4827BEE6"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667</w:t>
      </w:r>
      <w:r w:rsidRPr="006E3B9B">
        <w:rPr>
          <w:lang w:val="en-US" w:eastAsia="zh-CN"/>
        </w:rPr>
        <w:t>号决议</w:t>
      </w:r>
      <w:r w:rsidRPr="006E3B9B">
        <w:rPr>
          <w:lang w:val="en-US" w:eastAsia="zh-CN"/>
        </w:rPr>
        <w:tab/>
      </w:r>
      <w:r w:rsidRPr="006E3B9B">
        <w:rPr>
          <w:rFonts w:hint="eastAsia"/>
          <w:lang w:eastAsia="zh-CN"/>
        </w:rPr>
        <w:t>可能进行的笔译</w:t>
      </w:r>
      <w:r w:rsidRPr="006E3B9B">
        <w:rPr>
          <w:lang w:eastAsia="zh-CN"/>
        </w:rPr>
        <w:t>/</w:t>
      </w:r>
      <w:r w:rsidRPr="006E3B9B">
        <w:rPr>
          <w:rFonts w:hint="eastAsia"/>
          <w:lang w:eastAsia="zh-CN"/>
        </w:rPr>
        <w:t>口译人员聘用</w:t>
      </w:r>
      <w:r w:rsidRPr="006E3B9B">
        <w:rPr>
          <w:lang w:val="en-US" w:eastAsia="zh-CN"/>
        </w:rPr>
        <w:tab/>
      </w:r>
      <w:r w:rsidR="00222D23">
        <w:rPr>
          <w:lang w:val="en-US" w:eastAsia="zh-CN"/>
        </w:rPr>
        <w:tab/>
      </w:r>
      <w:r w:rsidRPr="006E3B9B">
        <w:rPr>
          <w:lang w:val="en-US" w:eastAsia="zh-CN"/>
        </w:rPr>
        <w:t>1974</w:t>
      </w:r>
      <w:r w:rsidRPr="006E3B9B">
        <w:rPr>
          <w:rFonts w:hint="eastAsia"/>
          <w:lang w:val="en-US" w:eastAsia="zh-CN"/>
        </w:rPr>
        <w:t>年</w:t>
      </w:r>
    </w:p>
    <w:p w14:paraId="4827BEE7"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668</w:t>
      </w:r>
      <w:r w:rsidRPr="006E3B9B">
        <w:rPr>
          <w:lang w:val="en-US" w:eastAsia="zh-CN"/>
        </w:rPr>
        <w:t>号决议</w:t>
      </w:r>
      <w:r w:rsidRPr="006E3B9B">
        <w:rPr>
          <w:lang w:val="en-US" w:eastAsia="zh-CN"/>
        </w:rPr>
        <w:tab/>
      </w:r>
      <w:r w:rsidRPr="006E3B9B">
        <w:rPr>
          <w:rFonts w:hint="eastAsia"/>
          <w:lang w:val="en-US" w:eastAsia="zh-CN"/>
        </w:rPr>
        <w:t>《</w:t>
      </w:r>
      <w:r w:rsidRPr="006E3B9B">
        <w:rPr>
          <w:rFonts w:hint="eastAsia"/>
          <w:lang w:eastAsia="zh-CN"/>
        </w:rPr>
        <w:t>国际电联职员退休和福利基金规则》的修正案</w:t>
      </w:r>
      <w:r w:rsidRPr="006E3B9B">
        <w:rPr>
          <w:lang w:val="en-US" w:eastAsia="zh-CN"/>
        </w:rPr>
        <w:tab/>
      </w:r>
      <w:r w:rsidR="00222D23">
        <w:rPr>
          <w:lang w:val="en-US" w:eastAsia="zh-CN"/>
        </w:rPr>
        <w:tab/>
      </w:r>
      <w:r w:rsidRPr="006E3B9B">
        <w:rPr>
          <w:lang w:val="en-US" w:eastAsia="zh-CN"/>
        </w:rPr>
        <w:t>1971</w:t>
      </w:r>
      <w:r w:rsidRPr="006E3B9B">
        <w:rPr>
          <w:rFonts w:hint="eastAsia"/>
          <w:lang w:val="en-US" w:eastAsia="zh-CN"/>
        </w:rPr>
        <w:t>年</w:t>
      </w:r>
    </w:p>
    <w:p w14:paraId="4827BEE8"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669</w:t>
      </w:r>
      <w:r w:rsidRPr="006E3B9B">
        <w:rPr>
          <w:lang w:val="en-US" w:eastAsia="zh-CN"/>
        </w:rPr>
        <w:t>号决议</w:t>
      </w:r>
      <w:r w:rsidRPr="006E3B9B">
        <w:rPr>
          <w:lang w:val="en-US" w:eastAsia="zh-CN"/>
        </w:rPr>
        <w:tab/>
      </w:r>
      <w:r w:rsidRPr="006E3B9B">
        <w:rPr>
          <w:rFonts w:hint="eastAsia"/>
          <w:lang w:eastAsia="zh-CN"/>
        </w:rPr>
        <w:t>国际电联养恤金委员会的委员</w:t>
      </w:r>
      <w:r w:rsidRPr="006E3B9B">
        <w:rPr>
          <w:lang w:val="en-US" w:eastAsia="zh-CN"/>
        </w:rPr>
        <w:tab/>
      </w:r>
      <w:r w:rsidR="00222D23">
        <w:rPr>
          <w:lang w:val="en-US" w:eastAsia="zh-CN"/>
        </w:rPr>
        <w:tab/>
      </w:r>
      <w:r w:rsidRPr="006E3B9B">
        <w:rPr>
          <w:lang w:val="en-US" w:eastAsia="zh-CN"/>
        </w:rPr>
        <w:t>1971</w:t>
      </w:r>
      <w:r w:rsidRPr="006E3B9B">
        <w:rPr>
          <w:rFonts w:hint="eastAsia"/>
          <w:lang w:val="en-US" w:eastAsia="zh-CN"/>
        </w:rPr>
        <w:t>年</w:t>
      </w:r>
    </w:p>
    <w:p w14:paraId="4827BEE9"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670</w:t>
      </w:r>
      <w:r w:rsidRPr="006E3B9B">
        <w:rPr>
          <w:rFonts w:hint="eastAsia"/>
          <w:lang w:val="en-US" w:eastAsia="zh-CN"/>
        </w:rPr>
        <w:t>号决议</w:t>
      </w:r>
      <w:r w:rsidRPr="006E3B9B">
        <w:rPr>
          <w:rFonts w:hint="eastAsia"/>
          <w:lang w:val="en-US" w:eastAsia="zh-CN"/>
        </w:rPr>
        <w:tab/>
      </w:r>
      <w:r w:rsidRPr="006E3B9B">
        <w:rPr>
          <w:rFonts w:hint="eastAsia"/>
          <w:lang w:eastAsia="zh-CN"/>
        </w:rPr>
        <w:t>职位的设立、定级和取消</w:t>
      </w:r>
      <w:r w:rsidRPr="006E3B9B">
        <w:rPr>
          <w:lang w:val="en-US" w:eastAsia="zh-CN"/>
        </w:rPr>
        <w:tab/>
      </w:r>
      <w:r w:rsidR="00222D23">
        <w:rPr>
          <w:lang w:val="en-US" w:eastAsia="zh-CN"/>
        </w:rPr>
        <w:tab/>
      </w:r>
      <w:r w:rsidRPr="006E3B9B">
        <w:rPr>
          <w:lang w:val="en-US" w:eastAsia="zh-CN"/>
        </w:rPr>
        <w:t>1973</w:t>
      </w:r>
      <w:r w:rsidRPr="006E3B9B">
        <w:rPr>
          <w:rFonts w:hint="eastAsia"/>
          <w:lang w:val="en-US" w:eastAsia="zh-CN"/>
        </w:rPr>
        <w:t>年</w:t>
      </w:r>
    </w:p>
    <w:p w14:paraId="4827BEEA"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671</w:t>
      </w:r>
      <w:r w:rsidRPr="006E3B9B">
        <w:rPr>
          <w:lang w:val="en-US" w:eastAsia="zh-CN"/>
        </w:rPr>
        <w:t>号决议</w:t>
      </w:r>
      <w:r w:rsidRPr="006E3B9B">
        <w:rPr>
          <w:lang w:val="en-US" w:eastAsia="zh-CN"/>
        </w:rPr>
        <w:tab/>
      </w:r>
      <w:r w:rsidRPr="006E3B9B">
        <w:rPr>
          <w:rFonts w:hint="eastAsia"/>
          <w:lang w:val="en-US" w:eastAsia="zh-CN"/>
        </w:rPr>
        <w:t>区域</w:t>
      </w:r>
      <w:r w:rsidRPr="006E3B9B">
        <w:rPr>
          <w:rFonts w:hint="eastAsia"/>
          <w:lang w:eastAsia="zh-CN"/>
        </w:rPr>
        <w:t>低频</w:t>
      </w:r>
      <w:r w:rsidRPr="006E3B9B">
        <w:rPr>
          <w:lang w:eastAsia="zh-CN"/>
        </w:rPr>
        <w:t>/</w:t>
      </w:r>
      <w:r w:rsidRPr="006E3B9B">
        <w:rPr>
          <w:rFonts w:hint="eastAsia"/>
          <w:lang w:eastAsia="zh-CN"/>
        </w:rPr>
        <w:t>中频广播的频率规划</w:t>
      </w:r>
      <w:r w:rsidRPr="006E3B9B">
        <w:rPr>
          <w:lang w:val="en-US" w:eastAsia="zh-CN"/>
        </w:rPr>
        <w:tab/>
      </w:r>
      <w:r w:rsidR="00222D23">
        <w:rPr>
          <w:lang w:val="en-US" w:eastAsia="zh-CN"/>
        </w:rPr>
        <w:tab/>
      </w:r>
      <w:r w:rsidRPr="006E3B9B">
        <w:rPr>
          <w:lang w:val="en-US" w:eastAsia="zh-CN"/>
        </w:rPr>
        <w:t>1975</w:t>
      </w:r>
      <w:r w:rsidRPr="006E3B9B">
        <w:rPr>
          <w:rFonts w:hint="eastAsia"/>
          <w:lang w:val="en-US" w:eastAsia="zh-CN"/>
        </w:rPr>
        <w:t>年</w:t>
      </w:r>
    </w:p>
    <w:p w14:paraId="4827BEEB"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672</w:t>
      </w:r>
      <w:r w:rsidRPr="006E3B9B">
        <w:rPr>
          <w:lang w:val="en-US" w:eastAsia="zh-CN"/>
        </w:rPr>
        <w:t>号决议</w:t>
      </w:r>
      <w:r w:rsidRPr="006E3B9B">
        <w:rPr>
          <w:lang w:val="en-US" w:eastAsia="zh-CN"/>
        </w:rPr>
        <w:tab/>
      </w:r>
      <w:r w:rsidRPr="006E3B9B">
        <w:rPr>
          <w:lang w:eastAsia="zh-CN"/>
        </w:rPr>
        <w:t>1970</w:t>
      </w:r>
      <w:r w:rsidRPr="006E3B9B">
        <w:rPr>
          <w:rFonts w:hint="eastAsia"/>
          <w:lang w:eastAsia="zh-CN"/>
        </w:rPr>
        <w:t>年的追加拨款</w:t>
      </w:r>
      <w:r w:rsidRPr="006E3B9B">
        <w:rPr>
          <w:lang w:val="en-US" w:eastAsia="zh-CN"/>
        </w:rPr>
        <w:tab/>
      </w:r>
      <w:r w:rsidR="00222D23">
        <w:rPr>
          <w:lang w:val="en-US" w:eastAsia="zh-CN"/>
        </w:rPr>
        <w:tab/>
      </w:r>
      <w:r w:rsidRPr="006E3B9B">
        <w:rPr>
          <w:lang w:val="en-US" w:eastAsia="zh-CN"/>
        </w:rPr>
        <w:t>1971</w:t>
      </w:r>
      <w:r w:rsidRPr="006E3B9B">
        <w:rPr>
          <w:rFonts w:hint="eastAsia"/>
          <w:lang w:val="en-US" w:eastAsia="zh-CN"/>
        </w:rPr>
        <w:t>年</w:t>
      </w:r>
    </w:p>
    <w:p w14:paraId="4827BEEC" w14:textId="77777777" w:rsidR="00BF1CF1" w:rsidRDefault="00BF1CF1">
      <w:pPr>
        <w:tabs>
          <w:tab w:val="clear" w:pos="794"/>
          <w:tab w:val="clear" w:pos="1191"/>
          <w:tab w:val="clear" w:pos="1588"/>
          <w:tab w:val="clear" w:pos="1985"/>
        </w:tabs>
        <w:overflowPunct/>
        <w:autoSpaceDE/>
        <w:autoSpaceDN/>
        <w:adjustRightInd/>
        <w:spacing w:before="0"/>
        <w:jc w:val="left"/>
        <w:textAlignment w:val="auto"/>
        <w:rPr>
          <w:sz w:val="20"/>
          <w:lang w:val="en-US" w:eastAsia="zh-CN"/>
        </w:rPr>
      </w:pPr>
      <w:r>
        <w:rPr>
          <w:lang w:val="en-US" w:eastAsia="zh-CN"/>
        </w:rPr>
        <w:br w:type="page"/>
      </w:r>
    </w:p>
    <w:p w14:paraId="4827BEED" w14:textId="77777777" w:rsidR="006E3B9B" w:rsidRPr="006E3B9B" w:rsidRDefault="006E3B9B" w:rsidP="00222D23">
      <w:pPr>
        <w:pStyle w:val="Appendixref"/>
        <w:rPr>
          <w:lang w:val="en-US" w:eastAsia="zh-CN"/>
        </w:rPr>
      </w:pPr>
      <w:r w:rsidRPr="006E3B9B">
        <w:rPr>
          <w:lang w:val="en-US" w:eastAsia="zh-CN"/>
        </w:rPr>
        <w:lastRenderedPageBreak/>
        <w:t>第</w:t>
      </w:r>
      <w:r w:rsidRPr="006E3B9B">
        <w:rPr>
          <w:lang w:val="en-US" w:eastAsia="zh-CN"/>
        </w:rPr>
        <w:t>673</w:t>
      </w:r>
      <w:r w:rsidRPr="006E3B9B">
        <w:rPr>
          <w:lang w:val="en-US" w:eastAsia="zh-CN"/>
        </w:rPr>
        <w:t>号决议</w:t>
      </w:r>
      <w:r w:rsidRPr="006E3B9B">
        <w:rPr>
          <w:lang w:val="en-US" w:eastAsia="zh-CN"/>
        </w:rPr>
        <w:tab/>
      </w:r>
      <w:r w:rsidRPr="006E3B9B">
        <w:rPr>
          <w:rFonts w:hint="eastAsia"/>
          <w:lang w:eastAsia="zh-CN"/>
        </w:rPr>
        <w:t>世界电信日</w:t>
      </w:r>
      <w:r w:rsidRPr="006E3B9B">
        <w:rPr>
          <w:lang w:val="en-US" w:eastAsia="zh-CN"/>
        </w:rPr>
        <w:tab/>
      </w:r>
      <w:r w:rsidR="00222D23">
        <w:rPr>
          <w:lang w:val="en-US" w:eastAsia="zh-CN"/>
        </w:rPr>
        <w:tab/>
      </w:r>
      <w:r w:rsidRPr="006E3B9B">
        <w:rPr>
          <w:lang w:val="en-US" w:eastAsia="zh-CN"/>
        </w:rPr>
        <w:t>1973</w:t>
      </w:r>
      <w:r w:rsidRPr="006E3B9B">
        <w:rPr>
          <w:rFonts w:hint="eastAsia"/>
          <w:lang w:val="en-US" w:eastAsia="zh-CN"/>
        </w:rPr>
        <w:t>年</w:t>
      </w:r>
    </w:p>
    <w:p w14:paraId="4827BEEE"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674</w:t>
      </w:r>
      <w:r w:rsidRPr="006E3B9B">
        <w:rPr>
          <w:lang w:val="en-US" w:eastAsia="zh-CN"/>
        </w:rPr>
        <w:t>号决议</w:t>
      </w:r>
      <w:r w:rsidRPr="006E3B9B">
        <w:rPr>
          <w:lang w:val="en-US" w:eastAsia="zh-CN"/>
        </w:rPr>
        <w:tab/>
      </w:r>
      <w:r w:rsidRPr="006E3B9B">
        <w:rPr>
          <w:rFonts w:hint="eastAsia"/>
          <w:lang w:val="en-US" w:eastAsia="zh-CN"/>
        </w:rPr>
        <w:t>国际</w:t>
      </w:r>
      <w:r w:rsidRPr="006E3B9B">
        <w:rPr>
          <w:rFonts w:hint="eastAsia"/>
          <w:lang w:eastAsia="zh-CN"/>
        </w:rPr>
        <w:t>电联的电影资料馆</w:t>
      </w:r>
      <w:r w:rsidRPr="006E3B9B">
        <w:rPr>
          <w:lang w:val="en-US" w:eastAsia="zh-CN"/>
        </w:rPr>
        <w:tab/>
      </w:r>
      <w:r w:rsidR="00222D23">
        <w:rPr>
          <w:lang w:val="en-US" w:eastAsia="zh-CN"/>
        </w:rPr>
        <w:tab/>
      </w:r>
      <w:r w:rsidRPr="006E3B9B">
        <w:rPr>
          <w:lang w:val="en-US" w:eastAsia="zh-CN"/>
        </w:rPr>
        <w:t>2002</w:t>
      </w:r>
      <w:r w:rsidRPr="006E3B9B">
        <w:rPr>
          <w:rFonts w:hint="eastAsia"/>
          <w:lang w:val="en-US" w:eastAsia="zh-CN"/>
        </w:rPr>
        <w:t>年</w:t>
      </w:r>
    </w:p>
    <w:p w14:paraId="4827BEEF"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675</w:t>
      </w:r>
      <w:r w:rsidRPr="006E3B9B">
        <w:rPr>
          <w:lang w:val="en-US" w:eastAsia="zh-CN"/>
        </w:rPr>
        <w:t>号决议</w:t>
      </w:r>
      <w:r w:rsidRPr="006E3B9B">
        <w:rPr>
          <w:lang w:val="en-US" w:eastAsia="zh-CN"/>
        </w:rPr>
        <w:tab/>
      </w:r>
      <w:r w:rsidRPr="006E3B9B">
        <w:rPr>
          <w:rFonts w:hint="eastAsia"/>
          <w:lang w:eastAsia="zh-CN"/>
        </w:rPr>
        <w:t>电信统计数字</w:t>
      </w:r>
      <w:r w:rsidRPr="006E3B9B">
        <w:rPr>
          <w:lang w:val="en-US" w:eastAsia="zh-CN"/>
        </w:rPr>
        <w:tab/>
      </w:r>
      <w:r w:rsidR="00222D23">
        <w:rPr>
          <w:lang w:val="en-US" w:eastAsia="zh-CN"/>
        </w:rPr>
        <w:tab/>
      </w:r>
      <w:r w:rsidRPr="006E3B9B">
        <w:rPr>
          <w:lang w:val="en-US" w:eastAsia="zh-CN"/>
        </w:rPr>
        <w:t>1974</w:t>
      </w:r>
      <w:r w:rsidRPr="006E3B9B">
        <w:rPr>
          <w:rFonts w:hint="eastAsia"/>
          <w:lang w:val="en-US" w:eastAsia="zh-CN"/>
        </w:rPr>
        <w:t>年</w:t>
      </w:r>
    </w:p>
    <w:p w14:paraId="4827BEF0"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676</w:t>
      </w:r>
      <w:r w:rsidRPr="006E3B9B">
        <w:rPr>
          <w:lang w:val="en-US" w:eastAsia="zh-CN"/>
        </w:rPr>
        <w:t>号决议</w:t>
      </w:r>
      <w:r w:rsidRPr="006E3B9B">
        <w:rPr>
          <w:lang w:val="en-US" w:eastAsia="zh-CN"/>
        </w:rPr>
        <w:tab/>
      </w:r>
      <w:r w:rsidRPr="006E3B9B">
        <w:rPr>
          <w:rFonts w:hint="eastAsia"/>
          <w:lang w:eastAsia="zh-CN"/>
        </w:rPr>
        <w:t>南罗得西亚与国际电联</w:t>
      </w:r>
      <w:r w:rsidRPr="006E3B9B">
        <w:rPr>
          <w:lang w:val="en-US" w:eastAsia="zh-CN"/>
        </w:rPr>
        <w:tab/>
      </w:r>
      <w:r w:rsidR="00222D23">
        <w:rPr>
          <w:lang w:val="en-US" w:eastAsia="zh-CN"/>
        </w:rPr>
        <w:tab/>
      </w:r>
      <w:r w:rsidRPr="006E3B9B">
        <w:rPr>
          <w:lang w:val="en-US" w:eastAsia="zh-CN"/>
        </w:rPr>
        <w:t>1982</w:t>
      </w:r>
      <w:r w:rsidRPr="006E3B9B">
        <w:rPr>
          <w:rFonts w:hint="eastAsia"/>
          <w:lang w:val="en-US" w:eastAsia="zh-CN"/>
        </w:rPr>
        <w:t>年</w:t>
      </w:r>
    </w:p>
    <w:p w14:paraId="4827BEF1"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677</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1971</w:t>
      </w:r>
      <w:r w:rsidRPr="006E3B9B">
        <w:rPr>
          <w:rFonts w:hint="eastAsia"/>
          <w:lang w:eastAsia="zh-CN"/>
        </w:rPr>
        <w:t>年预算</w:t>
      </w:r>
      <w:r w:rsidRPr="006E3B9B">
        <w:rPr>
          <w:lang w:val="en-US" w:eastAsia="zh-CN"/>
        </w:rPr>
        <w:tab/>
      </w:r>
      <w:r w:rsidR="00222D23">
        <w:rPr>
          <w:lang w:val="en-US" w:eastAsia="zh-CN"/>
        </w:rPr>
        <w:tab/>
      </w:r>
      <w:r w:rsidRPr="006E3B9B">
        <w:rPr>
          <w:lang w:val="en-US" w:eastAsia="zh-CN"/>
        </w:rPr>
        <w:t>1972</w:t>
      </w:r>
      <w:r w:rsidRPr="006E3B9B">
        <w:rPr>
          <w:rFonts w:hint="eastAsia"/>
          <w:lang w:val="en-US" w:eastAsia="zh-CN"/>
        </w:rPr>
        <w:t>年</w:t>
      </w:r>
    </w:p>
    <w:p w14:paraId="4827BEF2"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678</w:t>
      </w:r>
      <w:r w:rsidRPr="006E3B9B">
        <w:rPr>
          <w:lang w:val="en-US" w:eastAsia="zh-CN"/>
        </w:rPr>
        <w:t>号决议</w:t>
      </w:r>
      <w:r w:rsidRPr="006E3B9B">
        <w:rPr>
          <w:lang w:val="en-US" w:eastAsia="zh-CN"/>
        </w:rPr>
        <w:tab/>
      </w:r>
      <w:r w:rsidRPr="006E3B9B">
        <w:rPr>
          <w:rFonts w:hint="eastAsia"/>
          <w:lang w:eastAsia="zh-CN"/>
        </w:rPr>
        <w:t>未来大会的安排</w:t>
      </w:r>
      <w:r w:rsidRPr="006E3B9B">
        <w:rPr>
          <w:lang w:val="en-US" w:eastAsia="zh-CN"/>
        </w:rPr>
        <w:tab/>
      </w:r>
      <w:r w:rsidR="00222D23">
        <w:rPr>
          <w:lang w:val="en-US" w:eastAsia="zh-CN"/>
        </w:rPr>
        <w:tab/>
      </w:r>
      <w:r w:rsidRPr="006E3B9B">
        <w:rPr>
          <w:lang w:val="en-US" w:eastAsia="zh-CN"/>
        </w:rPr>
        <w:t>1974</w:t>
      </w:r>
      <w:r w:rsidRPr="006E3B9B">
        <w:rPr>
          <w:rFonts w:hint="eastAsia"/>
          <w:lang w:val="en-US" w:eastAsia="zh-CN"/>
        </w:rPr>
        <w:t>年</w:t>
      </w:r>
    </w:p>
    <w:p w14:paraId="4827BEF3"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679</w:t>
      </w:r>
      <w:r w:rsidRPr="006E3B9B">
        <w:rPr>
          <w:lang w:val="en-US" w:eastAsia="zh-CN"/>
        </w:rPr>
        <w:t>号决议</w:t>
      </w:r>
      <w:r w:rsidRPr="006E3B9B">
        <w:rPr>
          <w:lang w:val="en-US" w:eastAsia="zh-CN"/>
        </w:rPr>
        <w:tab/>
      </w:r>
      <w:r w:rsidRPr="006E3B9B">
        <w:rPr>
          <w:rFonts w:hint="eastAsia"/>
          <w:lang w:eastAsia="zh-CN"/>
        </w:rPr>
        <w:t>计算机</w:t>
      </w:r>
      <w:r w:rsidRPr="006E3B9B">
        <w:rPr>
          <w:lang w:val="en-US" w:eastAsia="zh-CN"/>
        </w:rPr>
        <w:tab/>
      </w:r>
      <w:r w:rsidR="00222D23">
        <w:rPr>
          <w:lang w:val="en-US" w:eastAsia="zh-CN"/>
        </w:rPr>
        <w:tab/>
      </w:r>
      <w:r w:rsidRPr="006E3B9B">
        <w:rPr>
          <w:lang w:val="en-US" w:eastAsia="zh-CN"/>
        </w:rPr>
        <w:t>1993</w:t>
      </w:r>
      <w:r w:rsidRPr="006E3B9B">
        <w:rPr>
          <w:rFonts w:hint="eastAsia"/>
          <w:lang w:val="en-US" w:eastAsia="zh-CN"/>
        </w:rPr>
        <w:t>年</w:t>
      </w:r>
    </w:p>
    <w:p w14:paraId="4827BEF4" w14:textId="77777777" w:rsidR="006E3B9B" w:rsidRPr="006E3B9B" w:rsidRDefault="006E3B9B" w:rsidP="003E11A1">
      <w:pPr>
        <w:pStyle w:val="Reftitle"/>
        <w:rPr>
          <w:lang w:val="en-US" w:eastAsia="zh-CN"/>
        </w:rPr>
      </w:pPr>
      <w:r w:rsidRPr="006E3B9B">
        <w:rPr>
          <w:rFonts w:hint="eastAsia"/>
          <w:lang w:eastAsia="zh-CN"/>
        </w:rPr>
        <w:t>第</w:t>
      </w:r>
      <w:r w:rsidRPr="006E3B9B">
        <w:rPr>
          <w:lang w:eastAsia="zh-CN"/>
        </w:rPr>
        <w:t>26</w:t>
      </w:r>
      <w:r w:rsidRPr="006E3B9B">
        <w:rPr>
          <w:rFonts w:hint="eastAsia"/>
          <w:lang w:eastAsia="zh-CN"/>
        </w:rPr>
        <w:t>届会议（</w:t>
      </w:r>
      <w:r w:rsidRPr="006E3B9B">
        <w:rPr>
          <w:lang w:eastAsia="zh-CN"/>
        </w:rPr>
        <w:t>1971</w:t>
      </w:r>
      <w:r w:rsidRPr="006E3B9B">
        <w:rPr>
          <w:rFonts w:hint="eastAsia"/>
          <w:lang w:eastAsia="zh-CN"/>
        </w:rPr>
        <w:t>年</w:t>
      </w:r>
      <w:r w:rsidRPr="006E3B9B">
        <w:rPr>
          <w:lang w:eastAsia="zh-CN"/>
        </w:rPr>
        <w:t>5</w:t>
      </w:r>
      <w:r w:rsidRPr="006E3B9B">
        <w:rPr>
          <w:rFonts w:hint="eastAsia"/>
          <w:lang w:eastAsia="zh-CN"/>
        </w:rPr>
        <w:t>月）</w:t>
      </w:r>
    </w:p>
    <w:p w14:paraId="4827BEF5"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680</w:t>
      </w:r>
      <w:r w:rsidRPr="006E3B9B">
        <w:rPr>
          <w:lang w:val="en-US" w:eastAsia="zh-CN"/>
        </w:rPr>
        <w:t>号决议</w:t>
      </w:r>
      <w:r w:rsidRPr="006E3B9B">
        <w:rPr>
          <w:lang w:val="en-US" w:eastAsia="zh-CN"/>
        </w:rPr>
        <w:tab/>
      </w:r>
      <w:r w:rsidRPr="006E3B9B">
        <w:rPr>
          <w:rFonts w:hint="eastAsia"/>
          <w:lang w:val="en-US" w:eastAsia="zh-CN"/>
        </w:rPr>
        <w:t>国际</w:t>
      </w:r>
      <w:r w:rsidRPr="006E3B9B">
        <w:rPr>
          <w:rFonts w:hint="eastAsia"/>
          <w:lang w:eastAsia="zh-CN"/>
        </w:rPr>
        <w:t>电联</w:t>
      </w:r>
      <w:r w:rsidRPr="006E3B9B">
        <w:rPr>
          <w:lang w:eastAsia="zh-CN"/>
        </w:rPr>
        <w:t>1970</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1</w:t>
      </w:r>
      <w:r w:rsidRPr="006E3B9B">
        <w:rPr>
          <w:rFonts w:hint="eastAsia"/>
          <w:lang w:eastAsia="zh-CN"/>
        </w:rPr>
        <w:t>日至</w:t>
      </w:r>
      <w:r w:rsidRPr="006E3B9B">
        <w:rPr>
          <w:lang w:eastAsia="zh-CN"/>
        </w:rPr>
        <w:t>12</w:t>
      </w:r>
      <w:r w:rsidRPr="006E3B9B">
        <w:rPr>
          <w:rFonts w:hint="eastAsia"/>
          <w:lang w:eastAsia="zh-CN"/>
        </w:rPr>
        <w:t>月</w:t>
      </w:r>
      <w:r w:rsidRPr="006E3B9B">
        <w:rPr>
          <w:lang w:eastAsia="zh-CN"/>
        </w:rPr>
        <w:t>31</w:t>
      </w:r>
      <w:r w:rsidRPr="006E3B9B">
        <w:rPr>
          <w:rFonts w:hint="eastAsia"/>
          <w:lang w:eastAsia="zh-CN"/>
        </w:rPr>
        <w:t>日账目的外部审计</w:t>
      </w:r>
      <w:r w:rsidRPr="006E3B9B">
        <w:rPr>
          <w:lang w:val="en-US" w:eastAsia="zh-CN"/>
        </w:rPr>
        <w:tab/>
      </w:r>
      <w:r w:rsidR="00222D23">
        <w:rPr>
          <w:lang w:val="en-US" w:eastAsia="zh-CN"/>
        </w:rPr>
        <w:tab/>
      </w:r>
      <w:r w:rsidRPr="006E3B9B">
        <w:rPr>
          <w:lang w:val="en-US" w:eastAsia="zh-CN"/>
        </w:rPr>
        <w:t>1972</w:t>
      </w:r>
      <w:r w:rsidRPr="006E3B9B">
        <w:rPr>
          <w:rFonts w:hint="eastAsia"/>
          <w:lang w:val="en-US" w:eastAsia="zh-CN"/>
        </w:rPr>
        <w:t>年</w:t>
      </w:r>
    </w:p>
    <w:p w14:paraId="4827BEF6"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681</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1970</w:t>
      </w:r>
      <w:r w:rsidRPr="006E3B9B">
        <w:rPr>
          <w:rFonts w:hint="eastAsia"/>
          <w:lang w:eastAsia="zh-CN"/>
        </w:rPr>
        <w:t>年财务工作报告</w:t>
      </w:r>
      <w:r w:rsidRPr="006E3B9B">
        <w:rPr>
          <w:lang w:val="en-US" w:eastAsia="zh-CN"/>
        </w:rPr>
        <w:tab/>
      </w:r>
      <w:r w:rsidR="00222D23">
        <w:rPr>
          <w:lang w:val="en-US" w:eastAsia="zh-CN"/>
        </w:rPr>
        <w:tab/>
      </w:r>
      <w:r w:rsidRPr="006E3B9B">
        <w:rPr>
          <w:lang w:val="en-US" w:eastAsia="zh-CN"/>
        </w:rPr>
        <w:t>1972</w:t>
      </w:r>
      <w:r w:rsidRPr="006E3B9B">
        <w:rPr>
          <w:rFonts w:hint="eastAsia"/>
          <w:lang w:val="en-US" w:eastAsia="zh-CN"/>
        </w:rPr>
        <w:t>年</w:t>
      </w:r>
    </w:p>
    <w:p w14:paraId="4827BEF7"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682</w:t>
      </w:r>
      <w:r w:rsidRPr="006E3B9B">
        <w:rPr>
          <w:lang w:val="en-US" w:eastAsia="zh-CN"/>
        </w:rPr>
        <w:t>号决议</w:t>
      </w:r>
      <w:r w:rsidRPr="006E3B9B">
        <w:rPr>
          <w:lang w:val="en-US" w:eastAsia="zh-CN"/>
        </w:rPr>
        <w:tab/>
      </w:r>
      <w:r w:rsidRPr="006E3B9B">
        <w:rPr>
          <w:rFonts w:hint="eastAsia"/>
          <w:lang w:eastAsia="zh-CN"/>
        </w:rPr>
        <w:t>职位的设立、延续和重新定级</w:t>
      </w:r>
      <w:r w:rsidRPr="006E3B9B">
        <w:rPr>
          <w:lang w:val="en-US" w:eastAsia="zh-CN"/>
        </w:rPr>
        <w:tab/>
      </w:r>
      <w:r w:rsidR="00222D23">
        <w:rPr>
          <w:lang w:val="en-US" w:eastAsia="zh-CN"/>
        </w:rPr>
        <w:tab/>
      </w:r>
      <w:r w:rsidRPr="006E3B9B">
        <w:rPr>
          <w:lang w:val="en-US" w:eastAsia="zh-CN"/>
        </w:rPr>
        <w:t>1975</w:t>
      </w:r>
      <w:r w:rsidRPr="006E3B9B">
        <w:rPr>
          <w:rFonts w:hint="eastAsia"/>
          <w:lang w:val="en-US" w:eastAsia="zh-CN"/>
        </w:rPr>
        <w:t>年</w:t>
      </w:r>
    </w:p>
    <w:p w14:paraId="4827BEF8"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683</w:t>
      </w:r>
      <w:r w:rsidRPr="006E3B9B">
        <w:rPr>
          <w:lang w:val="en-US" w:eastAsia="zh-CN"/>
        </w:rPr>
        <w:t>号决议</w:t>
      </w:r>
      <w:r w:rsidRPr="006E3B9B">
        <w:rPr>
          <w:lang w:val="en-US" w:eastAsia="zh-CN"/>
        </w:rPr>
        <w:tab/>
      </w:r>
      <w:r w:rsidRPr="006E3B9B">
        <w:rPr>
          <w:rFonts w:hint="eastAsia"/>
          <w:lang w:eastAsia="zh-CN"/>
        </w:rPr>
        <w:t>《人事规则和细则》的修正</w:t>
      </w:r>
      <w:r w:rsidRPr="006E3B9B">
        <w:rPr>
          <w:lang w:val="en-US" w:eastAsia="zh-CN"/>
        </w:rPr>
        <w:tab/>
      </w:r>
      <w:r w:rsidR="00222D23">
        <w:rPr>
          <w:lang w:val="en-US" w:eastAsia="zh-CN"/>
        </w:rPr>
        <w:tab/>
      </w:r>
      <w:r w:rsidRPr="006E3B9B">
        <w:rPr>
          <w:lang w:val="en-US" w:eastAsia="zh-CN"/>
        </w:rPr>
        <w:t>1972</w:t>
      </w:r>
      <w:r w:rsidRPr="006E3B9B">
        <w:rPr>
          <w:rFonts w:hint="eastAsia"/>
          <w:lang w:val="en-US" w:eastAsia="zh-CN"/>
        </w:rPr>
        <w:t>年</w:t>
      </w:r>
    </w:p>
    <w:p w14:paraId="4827BEF9"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684</w:t>
      </w:r>
      <w:r w:rsidRPr="006E3B9B">
        <w:rPr>
          <w:lang w:val="en-US" w:eastAsia="zh-CN"/>
        </w:rPr>
        <w:t>号决议</w:t>
      </w:r>
      <w:r w:rsidRPr="006E3B9B">
        <w:rPr>
          <w:lang w:val="en-US" w:eastAsia="zh-CN"/>
        </w:rPr>
        <w:tab/>
      </w:r>
      <w:r w:rsidRPr="006E3B9B">
        <w:rPr>
          <w:lang w:eastAsia="zh-CN"/>
        </w:rPr>
        <w:t>G.1</w:t>
      </w:r>
      <w:r w:rsidRPr="006E3B9B">
        <w:rPr>
          <w:rFonts w:hint="eastAsia"/>
          <w:lang w:eastAsia="zh-CN"/>
        </w:rPr>
        <w:t>至</w:t>
      </w:r>
      <w:r w:rsidRPr="006E3B9B">
        <w:rPr>
          <w:lang w:eastAsia="zh-CN"/>
        </w:rPr>
        <w:t>G.7</w:t>
      </w:r>
      <w:r w:rsidRPr="006E3B9B">
        <w:rPr>
          <w:rFonts w:hint="eastAsia"/>
          <w:lang w:eastAsia="zh-CN"/>
        </w:rPr>
        <w:t>职位</w:t>
      </w:r>
      <w:r w:rsidRPr="006E3B9B">
        <w:rPr>
          <w:lang w:val="en-US" w:eastAsia="zh-CN"/>
        </w:rPr>
        <w:tab/>
      </w:r>
      <w:r w:rsidR="00222D23">
        <w:rPr>
          <w:lang w:val="en-US" w:eastAsia="zh-CN"/>
        </w:rPr>
        <w:tab/>
      </w:r>
      <w:r w:rsidRPr="006E3B9B">
        <w:rPr>
          <w:lang w:val="en-US" w:eastAsia="zh-CN"/>
        </w:rPr>
        <w:t>1975</w:t>
      </w:r>
      <w:r w:rsidRPr="006E3B9B">
        <w:rPr>
          <w:rFonts w:hint="eastAsia"/>
          <w:lang w:val="en-US" w:eastAsia="zh-CN"/>
        </w:rPr>
        <w:t>年</w:t>
      </w:r>
    </w:p>
    <w:p w14:paraId="4827BEFA"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685</w:t>
      </w:r>
      <w:r w:rsidRPr="006E3B9B">
        <w:rPr>
          <w:lang w:val="en-US" w:eastAsia="zh-CN"/>
        </w:rPr>
        <w:t>号决议</w:t>
      </w:r>
      <w:r w:rsidRPr="006E3B9B">
        <w:rPr>
          <w:lang w:val="en-US" w:eastAsia="zh-CN"/>
        </w:rPr>
        <w:tab/>
      </w:r>
      <w:r w:rsidRPr="006E3B9B">
        <w:rPr>
          <w:rFonts w:hint="eastAsia"/>
          <w:lang w:eastAsia="zh-CN"/>
        </w:rPr>
        <w:t>国际招聘程序</w:t>
      </w:r>
      <w:r w:rsidRPr="006E3B9B">
        <w:rPr>
          <w:lang w:val="en-US" w:eastAsia="zh-CN"/>
        </w:rPr>
        <w:tab/>
      </w:r>
      <w:r w:rsidR="00222D23">
        <w:rPr>
          <w:lang w:val="en-US" w:eastAsia="zh-CN"/>
        </w:rPr>
        <w:tab/>
      </w:r>
      <w:r w:rsidRPr="006E3B9B">
        <w:rPr>
          <w:lang w:val="en-US" w:eastAsia="zh-CN"/>
        </w:rPr>
        <w:t>2.1</w:t>
      </w:r>
    </w:p>
    <w:p w14:paraId="4827BEFB"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686</w:t>
      </w:r>
      <w:r w:rsidRPr="006E3B9B">
        <w:rPr>
          <w:lang w:val="en-US" w:eastAsia="zh-CN"/>
        </w:rPr>
        <w:t>号决议</w:t>
      </w:r>
      <w:r w:rsidRPr="006E3B9B">
        <w:rPr>
          <w:lang w:val="en-US" w:eastAsia="zh-CN"/>
        </w:rPr>
        <w:tab/>
      </w:r>
      <w:r w:rsidRPr="006E3B9B">
        <w:rPr>
          <w:rFonts w:hint="eastAsia"/>
          <w:lang w:eastAsia="zh-CN"/>
        </w:rPr>
        <w:t>选任官员的薪金和任职地点补贴调整数</w:t>
      </w:r>
      <w:r w:rsidRPr="006E3B9B">
        <w:rPr>
          <w:lang w:val="en-US" w:eastAsia="zh-CN"/>
        </w:rPr>
        <w:tab/>
      </w:r>
      <w:r w:rsidR="00222D23">
        <w:rPr>
          <w:lang w:val="en-US" w:eastAsia="zh-CN"/>
        </w:rPr>
        <w:tab/>
      </w:r>
      <w:r w:rsidRPr="006E3B9B">
        <w:rPr>
          <w:lang w:val="en-US" w:eastAsia="zh-CN"/>
        </w:rPr>
        <w:t>1974</w:t>
      </w:r>
      <w:r w:rsidRPr="006E3B9B">
        <w:rPr>
          <w:rFonts w:hint="eastAsia"/>
          <w:lang w:val="en-US" w:eastAsia="zh-CN"/>
        </w:rPr>
        <w:t>年</w:t>
      </w:r>
    </w:p>
    <w:p w14:paraId="4827BEFC"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687</w:t>
      </w:r>
      <w:r w:rsidRPr="006E3B9B">
        <w:rPr>
          <w:lang w:val="en-US" w:eastAsia="zh-CN"/>
        </w:rPr>
        <w:t>号决议</w:t>
      </w:r>
      <w:r w:rsidRPr="006E3B9B">
        <w:rPr>
          <w:lang w:val="en-US" w:eastAsia="zh-CN"/>
        </w:rPr>
        <w:tab/>
      </w:r>
      <w:r w:rsidRPr="006E3B9B">
        <w:rPr>
          <w:rFonts w:hint="eastAsia"/>
          <w:lang w:val="en-US" w:eastAsia="zh-CN"/>
        </w:rPr>
        <w:t>行政</w:t>
      </w:r>
      <w:r w:rsidRPr="006E3B9B">
        <w:rPr>
          <w:rFonts w:hint="eastAsia"/>
          <w:lang w:eastAsia="zh-CN"/>
        </w:rPr>
        <w:t>理事会成员所派代表的差旅费和每日生活津贴</w:t>
      </w:r>
      <w:r w:rsidRPr="006E3B9B">
        <w:rPr>
          <w:lang w:val="en-US" w:eastAsia="zh-CN"/>
        </w:rPr>
        <w:tab/>
      </w:r>
      <w:r w:rsidR="00222D23">
        <w:rPr>
          <w:lang w:val="en-US" w:eastAsia="zh-CN"/>
        </w:rPr>
        <w:tab/>
      </w:r>
      <w:r w:rsidRPr="006E3B9B">
        <w:rPr>
          <w:lang w:val="en-US" w:eastAsia="zh-CN"/>
        </w:rPr>
        <w:t>3.2</w:t>
      </w:r>
    </w:p>
    <w:p w14:paraId="4827BEFD"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688</w:t>
      </w:r>
      <w:r w:rsidRPr="006E3B9B">
        <w:rPr>
          <w:lang w:val="en-US" w:eastAsia="zh-CN"/>
        </w:rPr>
        <w:t>号决议</w:t>
      </w:r>
      <w:r w:rsidRPr="006E3B9B">
        <w:rPr>
          <w:lang w:val="en-US" w:eastAsia="zh-CN"/>
        </w:rPr>
        <w:tab/>
      </w:r>
      <w:r w:rsidRPr="006E3B9B">
        <w:rPr>
          <w:lang w:eastAsia="zh-CN"/>
        </w:rPr>
        <w:t>1971</w:t>
      </w:r>
      <w:r w:rsidRPr="006E3B9B">
        <w:rPr>
          <w:rFonts w:hint="eastAsia"/>
          <w:lang w:eastAsia="zh-CN"/>
        </w:rPr>
        <w:t>年的追加拨款</w:t>
      </w:r>
      <w:r w:rsidRPr="006E3B9B">
        <w:rPr>
          <w:lang w:val="en-US" w:eastAsia="zh-CN"/>
        </w:rPr>
        <w:tab/>
      </w:r>
      <w:r w:rsidR="00222D23">
        <w:rPr>
          <w:lang w:val="en-US" w:eastAsia="zh-CN"/>
        </w:rPr>
        <w:tab/>
      </w:r>
      <w:r w:rsidRPr="006E3B9B">
        <w:rPr>
          <w:lang w:val="en-US" w:eastAsia="zh-CN"/>
        </w:rPr>
        <w:t>1972</w:t>
      </w:r>
      <w:r w:rsidRPr="006E3B9B">
        <w:rPr>
          <w:rFonts w:hint="eastAsia"/>
          <w:lang w:val="en-US" w:eastAsia="zh-CN"/>
        </w:rPr>
        <w:t>年</w:t>
      </w:r>
    </w:p>
    <w:p w14:paraId="4827BEFE"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689</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1972</w:t>
      </w:r>
      <w:r w:rsidRPr="006E3B9B">
        <w:rPr>
          <w:rFonts w:hint="eastAsia"/>
          <w:lang w:eastAsia="zh-CN"/>
        </w:rPr>
        <w:t>年预算</w:t>
      </w:r>
      <w:r w:rsidRPr="006E3B9B">
        <w:rPr>
          <w:lang w:val="en-US" w:eastAsia="zh-CN"/>
        </w:rPr>
        <w:tab/>
      </w:r>
      <w:r w:rsidR="00222D23">
        <w:rPr>
          <w:lang w:val="en-US" w:eastAsia="zh-CN"/>
        </w:rPr>
        <w:tab/>
      </w:r>
      <w:r w:rsidRPr="006E3B9B">
        <w:rPr>
          <w:lang w:val="en-US" w:eastAsia="zh-CN"/>
        </w:rPr>
        <w:t>1973</w:t>
      </w:r>
      <w:r w:rsidRPr="006E3B9B">
        <w:rPr>
          <w:rFonts w:hint="eastAsia"/>
          <w:lang w:val="en-US" w:eastAsia="zh-CN"/>
        </w:rPr>
        <w:t>年</w:t>
      </w:r>
    </w:p>
    <w:p w14:paraId="4827BEFF"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690</w:t>
      </w:r>
      <w:r w:rsidRPr="006E3B9B">
        <w:rPr>
          <w:lang w:val="en-US" w:eastAsia="zh-CN"/>
        </w:rPr>
        <w:t>号决议</w:t>
      </w:r>
      <w:r w:rsidRPr="006E3B9B">
        <w:rPr>
          <w:lang w:val="en-US" w:eastAsia="zh-CN"/>
        </w:rPr>
        <w:tab/>
      </w:r>
      <w:r w:rsidRPr="006E3B9B">
        <w:rPr>
          <w:rFonts w:hint="eastAsia"/>
          <w:lang w:eastAsia="zh-CN"/>
        </w:rPr>
        <w:t>法律地位</w:t>
      </w:r>
      <w:r w:rsidRPr="006E3B9B">
        <w:rPr>
          <w:lang w:val="en-US" w:eastAsia="zh-CN"/>
        </w:rPr>
        <w:tab/>
      </w:r>
      <w:r w:rsidR="00222D23">
        <w:rPr>
          <w:lang w:val="en-US" w:eastAsia="zh-CN"/>
        </w:rPr>
        <w:tab/>
      </w:r>
      <w:r w:rsidRPr="006E3B9B">
        <w:rPr>
          <w:lang w:val="en-US" w:eastAsia="zh-CN"/>
        </w:rPr>
        <w:t>1972</w:t>
      </w:r>
      <w:r w:rsidRPr="006E3B9B">
        <w:rPr>
          <w:rFonts w:hint="eastAsia"/>
          <w:lang w:val="en-US" w:eastAsia="zh-CN"/>
        </w:rPr>
        <w:t>年</w:t>
      </w:r>
    </w:p>
    <w:p w14:paraId="4827BF00"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691</w:t>
      </w:r>
      <w:r w:rsidRPr="006E3B9B">
        <w:rPr>
          <w:lang w:val="en-US" w:eastAsia="zh-CN"/>
        </w:rPr>
        <w:t>号决议</w:t>
      </w:r>
      <w:r w:rsidRPr="006E3B9B">
        <w:rPr>
          <w:lang w:val="en-US" w:eastAsia="zh-CN"/>
        </w:rPr>
        <w:tab/>
      </w:r>
      <w:r w:rsidRPr="006E3B9B">
        <w:rPr>
          <w:rFonts w:hint="eastAsia"/>
          <w:lang w:val="en-US" w:eastAsia="zh-CN"/>
        </w:rPr>
        <w:t>国际</w:t>
      </w:r>
      <w:r w:rsidRPr="006E3B9B">
        <w:rPr>
          <w:rFonts w:hint="eastAsia"/>
          <w:lang w:eastAsia="zh-CN"/>
        </w:rPr>
        <w:t>电联总部办公楼的扩建</w:t>
      </w:r>
      <w:r w:rsidRPr="006E3B9B">
        <w:rPr>
          <w:lang w:val="en-US" w:eastAsia="zh-CN"/>
        </w:rPr>
        <w:tab/>
      </w:r>
      <w:r w:rsidR="00222D23">
        <w:rPr>
          <w:lang w:val="en-US" w:eastAsia="zh-CN"/>
        </w:rPr>
        <w:tab/>
      </w:r>
      <w:r w:rsidRPr="006E3B9B">
        <w:rPr>
          <w:lang w:val="en-US" w:eastAsia="zh-CN"/>
        </w:rPr>
        <w:t>1973</w:t>
      </w:r>
      <w:r w:rsidRPr="006E3B9B">
        <w:rPr>
          <w:rFonts w:hint="eastAsia"/>
          <w:lang w:val="en-US" w:eastAsia="zh-CN"/>
        </w:rPr>
        <w:t>年</w:t>
      </w:r>
    </w:p>
    <w:p w14:paraId="4827BF01" w14:textId="77777777" w:rsidR="006E3B9B" w:rsidRPr="006E3B9B" w:rsidRDefault="006E3B9B" w:rsidP="00222D23">
      <w:pPr>
        <w:pStyle w:val="Appendixref"/>
        <w:rPr>
          <w:lang w:val="en-US" w:eastAsia="zh-CN"/>
        </w:rPr>
      </w:pPr>
      <w:r w:rsidRPr="006E3B9B">
        <w:rPr>
          <w:lang w:val="en-US" w:eastAsia="zh-CN"/>
        </w:rPr>
        <w:t>第</w:t>
      </w:r>
      <w:r w:rsidRPr="006E3B9B">
        <w:rPr>
          <w:lang w:val="en-US" w:eastAsia="zh-CN"/>
        </w:rPr>
        <w:t>692</w:t>
      </w:r>
      <w:r w:rsidRPr="006E3B9B">
        <w:rPr>
          <w:rFonts w:hint="eastAsia"/>
          <w:lang w:val="en-US" w:eastAsia="zh-CN"/>
        </w:rPr>
        <w:t>号决议</w:t>
      </w:r>
      <w:r w:rsidRPr="006E3B9B">
        <w:rPr>
          <w:rFonts w:hint="eastAsia"/>
          <w:lang w:val="en-US" w:eastAsia="zh-CN"/>
        </w:rPr>
        <w:tab/>
      </w:r>
      <w:r w:rsidRPr="006E3B9B">
        <w:rPr>
          <w:rFonts w:hint="eastAsia"/>
          <w:lang w:eastAsia="zh-CN"/>
        </w:rPr>
        <w:t>国际电联职员养恤金委员会的委员</w:t>
      </w:r>
      <w:r w:rsidRPr="006E3B9B">
        <w:rPr>
          <w:lang w:val="en-US" w:eastAsia="zh-CN"/>
        </w:rPr>
        <w:tab/>
      </w:r>
      <w:r w:rsidR="00222D23">
        <w:rPr>
          <w:lang w:val="en-US" w:eastAsia="zh-CN"/>
        </w:rPr>
        <w:tab/>
      </w:r>
      <w:r w:rsidRPr="006E3B9B">
        <w:rPr>
          <w:lang w:val="en-US" w:eastAsia="zh-CN"/>
        </w:rPr>
        <w:t>1972</w:t>
      </w:r>
      <w:r w:rsidRPr="006E3B9B">
        <w:rPr>
          <w:rFonts w:hint="eastAsia"/>
          <w:lang w:val="en-US" w:eastAsia="zh-CN"/>
        </w:rPr>
        <w:t>年</w:t>
      </w:r>
    </w:p>
    <w:p w14:paraId="4827BF02" w14:textId="77777777" w:rsidR="006E3B9B" w:rsidRPr="006E3B9B" w:rsidRDefault="006E3B9B" w:rsidP="003E11A1">
      <w:pPr>
        <w:pStyle w:val="Reftitle"/>
        <w:rPr>
          <w:lang w:val="en-US" w:eastAsia="zh-CN"/>
        </w:rPr>
      </w:pPr>
      <w:r w:rsidRPr="006E3B9B">
        <w:rPr>
          <w:rFonts w:hint="eastAsia"/>
          <w:bCs/>
          <w:lang w:eastAsia="zh-CN"/>
        </w:rPr>
        <w:t>第</w:t>
      </w:r>
      <w:r w:rsidRPr="006E3B9B">
        <w:rPr>
          <w:bCs/>
          <w:lang w:eastAsia="zh-CN"/>
        </w:rPr>
        <w:t>27</w:t>
      </w:r>
      <w:r w:rsidRPr="006E3B9B">
        <w:rPr>
          <w:rFonts w:hint="eastAsia"/>
          <w:bCs/>
          <w:lang w:eastAsia="zh-CN"/>
        </w:rPr>
        <w:t>届会议</w:t>
      </w:r>
      <w:r w:rsidRPr="006E3B9B">
        <w:rPr>
          <w:rFonts w:hint="eastAsia"/>
          <w:lang w:eastAsia="zh-CN"/>
        </w:rPr>
        <w:t>（</w:t>
      </w:r>
      <w:r w:rsidRPr="006E3B9B">
        <w:rPr>
          <w:lang w:eastAsia="zh-CN"/>
        </w:rPr>
        <w:t>1972</w:t>
      </w:r>
      <w:r w:rsidRPr="006E3B9B">
        <w:rPr>
          <w:rFonts w:hint="eastAsia"/>
          <w:lang w:eastAsia="zh-CN"/>
        </w:rPr>
        <w:t>年</w:t>
      </w:r>
      <w:r w:rsidRPr="006E3B9B">
        <w:rPr>
          <w:lang w:eastAsia="zh-CN"/>
        </w:rPr>
        <w:t>5</w:t>
      </w:r>
      <w:r w:rsidRPr="006E3B9B">
        <w:rPr>
          <w:rFonts w:hint="eastAsia"/>
          <w:lang w:eastAsia="zh-CN"/>
        </w:rPr>
        <w:t>月</w:t>
      </w:r>
      <w:r w:rsidRPr="006E3B9B">
        <w:rPr>
          <w:lang w:eastAsia="zh-CN"/>
        </w:rPr>
        <w:t>-6</w:t>
      </w:r>
      <w:r w:rsidRPr="006E3B9B">
        <w:rPr>
          <w:rFonts w:hint="eastAsia"/>
          <w:lang w:eastAsia="zh-CN"/>
        </w:rPr>
        <w:t>月）</w:t>
      </w:r>
    </w:p>
    <w:p w14:paraId="4827BF03"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693</w:t>
      </w:r>
      <w:r w:rsidRPr="006E3B9B">
        <w:rPr>
          <w:lang w:val="en-US" w:eastAsia="zh-CN"/>
        </w:rPr>
        <w:t>号决议</w:t>
      </w:r>
      <w:r w:rsidRPr="006E3B9B">
        <w:rPr>
          <w:lang w:val="en-US" w:eastAsia="zh-CN"/>
        </w:rPr>
        <w:tab/>
      </w:r>
      <w:r w:rsidRPr="006E3B9B">
        <w:rPr>
          <w:rFonts w:hint="eastAsia"/>
          <w:lang w:eastAsia="zh-CN"/>
        </w:rPr>
        <w:t>中国的代表权</w:t>
      </w:r>
      <w:r w:rsidRPr="006E3B9B">
        <w:rPr>
          <w:lang w:val="en-US" w:eastAsia="zh-CN"/>
        </w:rPr>
        <w:tab/>
      </w:r>
      <w:r w:rsidR="00222D23">
        <w:rPr>
          <w:lang w:val="en-US" w:eastAsia="zh-CN"/>
        </w:rPr>
        <w:tab/>
      </w:r>
      <w:r w:rsidRPr="006E3B9B">
        <w:rPr>
          <w:lang w:val="en-US" w:eastAsia="zh-CN"/>
        </w:rPr>
        <w:t>1973</w:t>
      </w:r>
      <w:r w:rsidRPr="006E3B9B">
        <w:rPr>
          <w:rFonts w:hint="eastAsia"/>
          <w:lang w:val="en-US" w:eastAsia="zh-CN"/>
        </w:rPr>
        <w:t>年</w:t>
      </w:r>
    </w:p>
    <w:p w14:paraId="4827BF04"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694</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1971</w:t>
      </w:r>
      <w:r w:rsidRPr="006E3B9B">
        <w:rPr>
          <w:rFonts w:hint="eastAsia"/>
          <w:lang w:eastAsia="zh-CN"/>
        </w:rPr>
        <w:t>年财务工作报告</w:t>
      </w:r>
      <w:r w:rsidRPr="006E3B9B">
        <w:rPr>
          <w:lang w:val="en-US" w:eastAsia="zh-CN"/>
        </w:rPr>
        <w:tab/>
      </w:r>
      <w:r w:rsidR="00222D23">
        <w:rPr>
          <w:lang w:val="en-US" w:eastAsia="zh-CN"/>
        </w:rPr>
        <w:tab/>
      </w:r>
      <w:r w:rsidRPr="006E3B9B">
        <w:rPr>
          <w:lang w:val="en-US" w:eastAsia="zh-CN"/>
        </w:rPr>
        <w:t>1973</w:t>
      </w:r>
      <w:r w:rsidRPr="006E3B9B">
        <w:rPr>
          <w:rFonts w:hint="eastAsia"/>
          <w:lang w:val="en-US" w:eastAsia="zh-CN"/>
        </w:rPr>
        <w:t>年</w:t>
      </w:r>
    </w:p>
    <w:p w14:paraId="4827BF05"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695</w:t>
      </w:r>
      <w:r w:rsidRPr="006E3B9B">
        <w:rPr>
          <w:rFonts w:hint="eastAsia"/>
          <w:lang w:val="en-US" w:eastAsia="zh-CN"/>
        </w:rPr>
        <w:t>号决议</w:t>
      </w:r>
      <w:r w:rsidRPr="006E3B9B">
        <w:rPr>
          <w:rFonts w:hint="eastAsia"/>
          <w:lang w:val="en-US" w:eastAsia="zh-CN"/>
        </w:rPr>
        <w:tab/>
      </w:r>
      <w:r w:rsidRPr="006E3B9B">
        <w:rPr>
          <w:rFonts w:hint="eastAsia"/>
          <w:lang w:eastAsia="zh-CN"/>
        </w:rPr>
        <w:t>职位的设立、重新定级和取消</w:t>
      </w:r>
      <w:r w:rsidRPr="006E3B9B">
        <w:rPr>
          <w:lang w:val="en-US" w:eastAsia="zh-CN"/>
        </w:rPr>
        <w:tab/>
      </w:r>
      <w:r w:rsidR="00222D23">
        <w:rPr>
          <w:lang w:val="en-US" w:eastAsia="zh-CN"/>
        </w:rPr>
        <w:tab/>
      </w:r>
      <w:r w:rsidRPr="006E3B9B">
        <w:rPr>
          <w:lang w:val="en-US" w:eastAsia="zh-CN"/>
        </w:rPr>
        <w:t>1973</w:t>
      </w:r>
      <w:r w:rsidRPr="006E3B9B">
        <w:rPr>
          <w:rFonts w:hint="eastAsia"/>
          <w:lang w:val="en-US" w:eastAsia="zh-CN"/>
        </w:rPr>
        <w:t>年</w:t>
      </w:r>
    </w:p>
    <w:p w14:paraId="4827BF06"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696</w:t>
      </w:r>
      <w:r w:rsidRPr="006E3B9B">
        <w:rPr>
          <w:lang w:val="en-US" w:eastAsia="zh-CN"/>
        </w:rPr>
        <w:t>号决议</w:t>
      </w:r>
      <w:r w:rsidRPr="006E3B9B">
        <w:rPr>
          <w:lang w:val="en-US" w:eastAsia="zh-CN"/>
        </w:rPr>
        <w:tab/>
      </w:r>
      <w:r w:rsidRPr="006E3B9B">
        <w:rPr>
          <w:rFonts w:hint="eastAsia"/>
          <w:lang w:eastAsia="zh-CN"/>
        </w:rPr>
        <w:t>欧洲</w:t>
      </w:r>
      <w:r w:rsidRPr="006E3B9B">
        <w:rPr>
          <w:lang w:eastAsia="zh-CN"/>
        </w:rPr>
        <w:t>VHF/UHF</w:t>
      </w:r>
      <w:r w:rsidRPr="006E3B9B">
        <w:rPr>
          <w:rFonts w:hint="eastAsia"/>
          <w:lang w:eastAsia="zh-CN"/>
        </w:rPr>
        <w:t>广播大会（</w:t>
      </w:r>
      <w:r w:rsidRPr="006E3B9B">
        <w:rPr>
          <w:lang w:eastAsia="zh-CN"/>
        </w:rPr>
        <w:t>1961</w:t>
      </w:r>
      <w:r w:rsidRPr="006E3B9B">
        <w:rPr>
          <w:rFonts w:hint="eastAsia"/>
          <w:lang w:eastAsia="zh-CN"/>
        </w:rPr>
        <w:t>年，斯德哥尔摩）第</w:t>
      </w:r>
      <w:r w:rsidRPr="006E3B9B">
        <w:rPr>
          <w:lang w:eastAsia="zh-CN"/>
        </w:rPr>
        <w:t>5</w:t>
      </w:r>
      <w:r w:rsidRPr="006E3B9B">
        <w:rPr>
          <w:rFonts w:hint="eastAsia"/>
          <w:lang w:eastAsia="zh-CN"/>
        </w:rPr>
        <w:t>号建议</w:t>
      </w:r>
      <w:r w:rsidRPr="006E3B9B">
        <w:rPr>
          <w:lang w:val="en-US" w:eastAsia="zh-CN"/>
        </w:rPr>
        <w:tab/>
      </w:r>
      <w:r w:rsidR="00222D23">
        <w:rPr>
          <w:lang w:val="en-US" w:eastAsia="zh-CN"/>
        </w:rPr>
        <w:tab/>
      </w:r>
      <w:r w:rsidRPr="006E3B9B">
        <w:rPr>
          <w:lang w:val="en-US" w:eastAsia="zh-CN"/>
        </w:rPr>
        <w:t>1975</w:t>
      </w:r>
      <w:r w:rsidRPr="006E3B9B">
        <w:rPr>
          <w:rFonts w:hint="eastAsia"/>
          <w:lang w:val="en-US" w:eastAsia="zh-CN"/>
        </w:rPr>
        <w:t>年</w:t>
      </w:r>
    </w:p>
    <w:p w14:paraId="4827BF07"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697</w:t>
      </w:r>
      <w:r w:rsidRPr="006E3B9B">
        <w:rPr>
          <w:lang w:val="en-US" w:eastAsia="zh-CN"/>
        </w:rPr>
        <w:t>号决议</w:t>
      </w:r>
      <w:r w:rsidRPr="006E3B9B">
        <w:rPr>
          <w:lang w:val="en-US" w:eastAsia="zh-CN"/>
        </w:rPr>
        <w:tab/>
      </w:r>
      <w:r w:rsidRPr="006E3B9B">
        <w:rPr>
          <w:rFonts w:hint="eastAsia"/>
          <w:lang w:eastAsia="zh-CN"/>
        </w:rPr>
        <w:t>职位的设立</w:t>
      </w:r>
      <w:r w:rsidRPr="006E3B9B">
        <w:rPr>
          <w:lang w:val="en-US" w:eastAsia="zh-CN"/>
        </w:rPr>
        <w:tab/>
      </w:r>
      <w:r w:rsidR="00222D23">
        <w:rPr>
          <w:lang w:val="en-US" w:eastAsia="zh-CN"/>
        </w:rPr>
        <w:tab/>
      </w:r>
      <w:r w:rsidRPr="006E3B9B">
        <w:rPr>
          <w:lang w:val="en-US" w:eastAsia="zh-CN"/>
        </w:rPr>
        <w:t>1973</w:t>
      </w:r>
      <w:r w:rsidRPr="006E3B9B">
        <w:rPr>
          <w:rFonts w:hint="eastAsia"/>
          <w:lang w:val="en-US" w:eastAsia="zh-CN"/>
        </w:rPr>
        <w:t>年</w:t>
      </w:r>
    </w:p>
    <w:p w14:paraId="4827BF08"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698</w:t>
      </w:r>
      <w:r w:rsidRPr="006E3B9B">
        <w:rPr>
          <w:lang w:val="en-US" w:eastAsia="zh-CN"/>
        </w:rPr>
        <w:t>号决议</w:t>
      </w:r>
      <w:r w:rsidRPr="006E3B9B">
        <w:rPr>
          <w:lang w:val="en-US" w:eastAsia="zh-CN"/>
        </w:rPr>
        <w:tab/>
      </w:r>
      <w:r w:rsidRPr="006E3B9B">
        <w:rPr>
          <w:rFonts w:hint="eastAsia"/>
          <w:lang w:eastAsia="zh-CN"/>
        </w:rPr>
        <w:t>技术合作预算资助的职位的设立和重新定级</w:t>
      </w:r>
      <w:r w:rsidRPr="006E3B9B">
        <w:rPr>
          <w:lang w:val="en-US" w:eastAsia="zh-CN"/>
        </w:rPr>
        <w:tab/>
      </w:r>
      <w:r w:rsidR="00222D23">
        <w:rPr>
          <w:lang w:val="en-US" w:eastAsia="zh-CN"/>
        </w:rPr>
        <w:tab/>
      </w:r>
      <w:r w:rsidRPr="006E3B9B">
        <w:rPr>
          <w:lang w:val="en-US" w:eastAsia="zh-CN"/>
        </w:rPr>
        <w:t>1975</w:t>
      </w:r>
      <w:r w:rsidRPr="006E3B9B">
        <w:rPr>
          <w:rFonts w:hint="eastAsia"/>
          <w:lang w:val="en-US" w:eastAsia="zh-CN"/>
        </w:rPr>
        <w:t>年</w:t>
      </w:r>
    </w:p>
    <w:p w14:paraId="4827BF09"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699</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1971</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1</w:t>
      </w:r>
      <w:r w:rsidRPr="006E3B9B">
        <w:rPr>
          <w:rFonts w:hint="eastAsia"/>
          <w:lang w:eastAsia="zh-CN"/>
        </w:rPr>
        <w:t>日至</w:t>
      </w:r>
      <w:r w:rsidRPr="006E3B9B">
        <w:rPr>
          <w:lang w:eastAsia="zh-CN"/>
        </w:rPr>
        <w:t>12</w:t>
      </w:r>
      <w:r w:rsidRPr="006E3B9B">
        <w:rPr>
          <w:rFonts w:hint="eastAsia"/>
          <w:lang w:eastAsia="zh-CN"/>
        </w:rPr>
        <w:t>月</w:t>
      </w:r>
      <w:r w:rsidRPr="006E3B9B">
        <w:rPr>
          <w:lang w:eastAsia="zh-CN"/>
        </w:rPr>
        <w:t>31</w:t>
      </w:r>
      <w:r w:rsidRPr="006E3B9B">
        <w:rPr>
          <w:rFonts w:hint="eastAsia"/>
          <w:lang w:eastAsia="zh-CN"/>
        </w:rPr>
        <w:t>日账目的外部审计</w:t>
      </w:r>
      <w:r w:rsidRPr="006E3B9B">
        <w:rPr>
          <w:lang w:val="en-US" w:eastAsia="zh-CN"/>
        </w:rPr>
        <w:tab/>
      </w:r>
      <w:r w:rsidR="00222D23">
        <w:rPr>
          <w:lang w:val="en-US" w:eastAsia="zh-CN"/>
        </w:rPr>
        <w:tab/>
      </w:r>
      <w:r w:rsidRPr="006E3B9B">
        <w:rPr>
          <w:lang w:val="en-US" w:eastAsia="zh-CN"/>
        </w:rPr>
        <w:t>1973</w:t>
      </w:r>
      <w:r w:rsidRPr="006E3B9B">
        <w:rPr>
          <w:rFonts w:hint="eastAsia"/>
          <w:lang w:val="en-US" w:eastAsia="zh-CN"/>
        </w:rPr>
        <w:t>年</w:t>
      </w:r>
    </w:p>
    <w:p w14:paraId="4827BF0A"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700</w:t>
      </w:r>
      <w:r w:rsidRPr="006E3B9B">
        <w:rPr>
          <w:lang w:val="en-US" w:eastAsia="zh-CN"/>
        </w:rPr>
        <w:t>号决议</w:t>
      </w:r>
      <w:r w:rsidRPr="006E3B9B">
        <w:rPr>
          <w:lang w:val="en-US" w:eastAsia="zh-CN"/>
        </w:rPr>
        <w:tab/>
      </w:r>
      <w:r w:rsidRPr="006E3B9B">
        <w:rPr>
          <w:rFonts w:hint="eastAsia"/>
          <w:lang w:val="en-US" w:eastAsia="zh-CN"/>
        </w:rPr>
        <w:t>国际</w:t>
      </w:r>
      <w:r w:rsidRPr="006E3B9B">
        <w:rPr>
          <w:rFonts w:hint="eastAsia"/>
          <w:lang w:eastAsia="zh-CN"/>
        </w:rPr>
        <w:t>电联的《财务规则》</w:t>
      </w:r>
      <w:r w:rsidRPr="006E3B9B">
        <w:rPr>
          <w:lang w:val="en-US" w:eastAsia="zh-CN"/>
        </w:rPr>
        <w:tab/>
      </w:r>
      <w:r w:rsidR="00222D23">
        <w:rPr>
          <w:lang w:val="en-US" w:eastAsia="zh-CN"/>
        </w:rPr>
        <w:tab/>
      </w:r>
      <w:r w:rsidRPr="006E3B9B">
        <w:rPr>
          <w:lang w:val="en-US" w:eastAsia="zh-CN"/>
        </w:rPr>
        <w:t>1973</w:t>
      </w:r>
      <w:r w:rsidRPr="006E3B9B">
        <w:rPr>
          <w:rFonts w:hint="eastAsia"/>
          <w:lang w:val="en-US" w:eastAsia="zh-CN"/>
        </w:rPr>
        <w:t>年</w:t>
      </w:r>
    </w:p>
    <w:p w14:paraId="4827BF0B"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701</w:t>
      </w:r>
      <w:r w:rsidRPr="006E3B9B">
        <w:rPr>
          <w:lang w:val="en-US" w:eastAsia="zh-CN"/>
        </w:rPr>
        <w:t>号决议</w:t>
      </w:r>
      <w:r w:rsidRPr="006E3B9B">
        <w:rPr>
          <w:lang w:val="en-US" w:eastAsia="zh-CN"/>
        </w:rPr>
        <w:tab/>
      </w:r>
      <w:r w:rsidRPr="006E3B9B">
        <w:rPr>
          <w:rFonts w:hint="eastAsia"/>
          <w:lang w:eastAsia="zh-CN"/>
        </w:rPr>
        <w:t>职位的设立</w:t>
      </w:r>
      <w:r w:rsidRPr="006E3B9B">
        <w:rPr>
          <w:lang w:val="en-US" w:eastAsia="zh-CN"/>
        </w:rPr>
        <w:tab/>
      </w:r>
      <w:r w:rsidR="00222D23">
        <w:rPr>
          <w:lang w:val="en-US" w:eastAsia="zh-CN"/>
        </w:rPr>
        <w:tab/>
      </w:r>
      <w:r w:rsidRPr="006E3B9B">
        <w:rPr>
          <w:lang w:val="en-US" w:eastAsia="zh-CN"/>
        </w:rPr>
        <w:t>1973</w:t>
      </w:r>
      <w:r w:rsidRPr="006E3B9B">
        <w:rPr>
          <w:rFonts w:hint="eastAsia"/>
          <w:lang w:val="en-US" w:eastAsia="zh-CN"/>
        </w:rPr>
        <w:t>年</w:t>
      </w:r>
    </w:p>
    <w:p w14:paraId="4827BF0C"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702</w:t>
      </w:r>
      <w:r w:rsidRPr="006E3B9B">
        <w:rPr>
          <w:lang w:val="en-US" w:eastAsia="zh-CN"/>
        </w:rPr>
        <w:t>号决议</w:t>
      </w:r>
      <w:r w:rsidRPr="006E3B9B">
        <w:rPr>
          <w:lang w:val="en-US" w:eastAsia="zh-CN"/>
        </w:rPr>
        <w:tab/>
      </w:r>
      <w:r w:rsidRPr="006E3B9B">
        <w:rPr>
          <w:rFonts w:hint="eastAsia"/>
          <w:lang w:eastAsia="zh-CN"/>
        </w:rPr>
        <w:t>国际电联职员养恤金委员会的委员</w:t>
      </w:r>
      <w:r w:rsidRPr="006E3B9B">
        <w:rPr>
          <w:lang w:val="en-US" w:eastAsia="zh-CN"/>
        </w:rPr>
        <w:tab/>
      </w:r>
      <w:r w:rsidR="00222D23">
        <w:rPr>
          <w:lang w:val="en-US" w:eastAsia="zh-CN"/>
        </w:rPr>
        <w:tab/>
      </w:r>
      <w:r w:rsidRPr="006E3B9B">
        <w:rPr>
          <w:lang w:val="en-US" w:eastAsia="zh-CN"/>
        </w:rPr>
        <w:t>1973</w:t>
      </w:r>
      <w:r w:rsidRPr="006E3B9B">
        <w:rPr>
          <w:rFonts w:hint="eastAsia"/>
          <w:lang w:val="en-US" w:eastAsia="zh-CN"/>
        </w:rPr>
        <w:t>年</w:t>
      </w:r>
    </w:p>
    <w:p w14:paraId="4827BF0D"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703</w:t>
      </w:r>
      <w:r w:rsidRPr="006E3B9B">
        <w:rPr>
          <w:lang w:val="en-US" w:eastAsia="zh-CN"/>
        </w:rPr>
        <w:t>号决议</w:t>
      </w:r>
      <w:r w:rsidRPr="006E3B9B">
        <w:rPr>
          <w:lang w:val="en-US" w:eastAsia="zh-CN"/>
        </w:rPr>
        <w:tab/>
      </w:r>
      <w:r w:rsidRPr="006E3B9B">
        <w:rPr>
          <w:lang w:eastAsia="zh-CN"/>
        </w:rPr>
        <w:t>1972</w:t>
      </w:r>
      <w:r w:rsidRPr="006E3B9B">
        <w:rPr>
          <w:rFonts w:hint="eastAsia"/>
          <w:lang w:eastAsia="zh-CN"/>
        </w:rPr>
        <w:t>年的追加拨款</w:t>
      </w:r>
      <w:r w:rsidRPr="006E3B9B">
        <w:rPr>
          <w:lang w:val="en-US" w:eastAsia="zh-CN"/>
        </w:rPr>
        <w:tab/>
      </w:r>
      <w:r w:rsidR="00222D23">
        <w:rPr>
          <w:lang w:val="en-US" w:eastAsia="zh-CN"/>
        </w:rPr>
        <w:tab/>
      </w:r>
      <w:r w:rsidRPr="006E3B9B">
        <w:rPr>
          <w:lang w:val="en-US" w:eastAsia="zh-CN"/>
        </w:rPr>
        <w:t>1973</w:t>
      </w:r>
      <w:r w:rsidRPr="006E3B9B">
        <w:rPr>
          <w:rFonts w:hint="eastAsia"/>
          <w:lang w:val="en-US" w:eastAsia="zh-CN"/>
        </w:rPr>
        <w:t>年</w:t>
      </w:r>
    </w:p>
    <w:p w14:paraId="4827BF0E"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704</w:t>
      </w:r>
      <w:r w:rsidRPr="006E3B9B">
        <w:rPr>
          <w:lang w:val="en-US" w:eastAsia="zh-CN"/>
        </w:rPr>
        <w:t>号决议</w:t>
      </w:r>
      <w:r w:rsidRPr="006E3B9B">
        <w:rPr>
          <w:lang w:val="en-US" w:eastAsia="zh-CN"/>
        </w:rPr>
        <w:tab/>
      </w:r>
      <w:r w:rsidRPr="006E3B9B">
        <w:rPr>
          <w:rFonts w:hint="eastAsia"/>
          <w:lang w:eastAsia="zh-CN"/>
        </w:rPr>
        <w:t>关于水上移动电信的世界无线电行政大会</w:t>
      </w:r>
      <w:r w:rsidRPr="006E3B9B">
        <w:rPr>
          <w:lang w:val="en-US" w:eastAsia="zh-CN"/>
        </w:rPr>
        <w:tab/>
      </w:r>
      <w:r w:rsidR="00222D23">
        <w:rPr>
          <w:lang w:val="en-US" w:eastAsia="zh-CN"/>
        </w:rPr>
        <w:tab/>
      </w:r>
      <w:r w:rsidRPr="006E3B9B">
        <w:rPr>
          <w:lang w:val="en-US" w:eastAsia="zh-CN"/>
        </w:rPr>
        <w:t>1974</w:t>
      </w:r>
      <w:r w:rsidRPr="006E3B9B">
        <w:rPr>
          <w:rFonts w:hint="eastAsia"/>
          <w:lang w:val="en-US" w:eastAsia="zh-CN"/>
        </w:rPr>
        <w:t>年</w:t>
      </w:r>
    </w:p>
    <w:p w14:paraId="4827BF0F"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705</w:t>
      </w:r>
      <w:r w:rsidRPr="006E3B9B">
        <w:rPr>
          <w:lang w:val="en-US" w:eastAsia="zh-CN"/>
        </w:rPr>
        <w:t>号决议</w:t>
      </w:r>
      <w:r w:rsidRPr="006E3B9B">
        <w:rPr>
          <w:lang w:val="en-US" w:eastAsia="zh-CN"/>
        </w:rPr>
        <w:tab/>
      </w:r>
      <w:r w:rsidRPr="006E3B9B">
        <w:rPr>
          <w:rFonts w:hint="eastAsia"/>
          <w:lang w:eastAsia="zh-CN"/>
        </w:rPr>
        <w:t>世界电报电话行政大会</w:t>
      </w:r>
      <w:r w:rsidRPr="006E3B9B">
        <w:rPr>
          <w:lang w:val="en-US" w:eastAsia="zh-CN"/>
        </w:rPr>
        <w:tab/>
      </w:r>
      <w:r w:rsidR="00222D23">
        <w:rPr>
          <w:lang w:val="en-US" w:eastAsia="zh-CN"/>
        </w:rPr>
        <w:tab/>
      </w:r>
      <w:r w:rsidRPr="006E3B9B">
        <w:rPr>
          <w:lang w:val="en-US" w:eastAsia="zh-CN"/>
        </w:rPr>
        <w:t>1973</w:t>
      </w:r>
      <w:r w:rsidRPr="006E3B9B">
        <w:rPr>
          <w:rFonts w:hint="eastAsia"/>
          <w:lang w:val="en-US" w:eastAsia="zh-CN"/>
        </w:rPr>
        <w:t>年</w:t>
      </w:r>
    </w:p>
    <w:p w14:paraId="4827BF10"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706</w:t>
      </w:r>
      <w:r w:rsidRPr="006E3B9B">
        <w:rPr>
          <w:lang w:val="en-US" w:eastAsia="zh-CN"/>
        </w:rPr>
        <w:t>号决议</w:t>
      </w:r>
      <w:r w:rsidRPr="006E3B9B">
        <w:rPr>
          <w:lang w:val="en-US" w:eastAsia="zh-CN"/>
        </w:rPr>
        <w:tab/>
      </w:r>
      <w:r w:rsidRPr="006E3B9B">
        <w:rPr>
          <w:lang w:eastAsia="zh-CN"/>
        </w:rPr>
        <w:t>1973</w:t>
      </w:r>
      <w:r w:rsidRPr="006E3B9B">
        <w:rPr>
          <w:rFonts w:hint="eastAsia"/>
          <w:lang w:eastAsia="zh-CN"/>
        </w:rPr>
        <w:t>年全权代表大会</w:t>
      </w:r>
      <w:r w:rsidRPr="006E3B9B">
        <w:rPr>
          <w:lang w:val="en-US" w:eastAsia="zh-CN"/>
        </w:rPr>
        <w:tab/>
      </w:r>
      <w:r w:rsidR="00222D23">
        <w:rPr>
          <w:lang w:val="en-US" w:eastAsia="zh-CN"/>
        </w:rPr>
        <w:tab/>
      </w:r>
      <w:r w:rsidRPr="006E3B9B">
        <w:rPr>
          <w:lang w:val="en-US" w:eastAsia="zh-CN"/>
        </w:rPr>
        <w:t>1974</w:t>
      </w:r>
      <w:r w:rsidRPr="006E3B9B">
        <w:rPr>
          <w:rFonts w:hint="eastAsia"/>
          <w:lang w:val="en-US" w:eastAsia="zh-CN"/>
        </w:rPr>
        <w:t>年</w:t>
      </w:r>
    </w:p>
    <w:p w14:paraId="4827BF11"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707</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1973</w:t>
      </w:r>
      <w:r w:rsidRPr="006E3B9B">
        <w:rPr>
          <w:rFonts w:hint="eastAsia"/>
          <w:lang w:eastAsia="zh-CN"/>
        </w:rPr>
        <w:t>年预算</w:t>
      </w:r>
      <w:r w:rsidRPr="006E3B9B">
        <w:rPr>
          <w:lang w:val="en-US" w:eastAsia="zh-CN"/>
        </w:rPr>
        <w:tab/>
      </w:r>
      <w:r w:rsidR="00222D23">
        <w:rPr>
          <w:lang w:val="en-US" w:eastAsia="zh-CN"/>
        </w:rPr>
        <w:tab/>
      </w:r>
      <w:r w:rsidRPr="006E3B9B">
        <w:rPr>
          <w:lang w:val="en-US" w:eastAsia="zh-CN"/>
        </w:rPr>
        <w:t>1974</w:t>
      </w:r>
      <w:r w:rsidRPr="006E3B9B">
        <w:rPr>
          <w:rFonts w:hint="eastAsia"/>
          <w:lang w:val="en-US" w:eastAsia="zh-CN"/>
        </w:rPr>
        <w:t>年</w:t>
      </w:r>
    </w:p>
    <w:p w14:paraId="4827BF12"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708</w:t>
      </w:r>
      <w:r w:rsidRPr="006E3B9B">
        <w:rPr>
          <w:lang w:val="en-US" w:eastAsia="zh-CN"/>
        </w:rPr>
        <w:t>号决议</w:t>
      </w:r>
      <w:r w:rsidRPr="006E3B9B">
        <w:rPr>
          <w:lang w:val="en-US" w:eastAsia="zh-CN"/>
        </w:rPr>
        <w:tab/>
      </w:r>
      <w:r w:rsidRPr="006E3B9B">
        <w:rPr>
          <w:rFonts w:hint="eastAsia"/>
          <w:lang w:eastAsia="zh-CN"/>
        </w:rPr>
        <w:t>联合国大会的决议</w:t>
      </w:r>
      <w:r w:rsidRPr="006E3B9B">
        <w:rPr>
          <w:lang w:val="en-US" w:eastAsia="zh-CN"/>
        </w:rPr>
        <w:tab/>
      </w:r>
      <w:r w:rsidR="00222D23">
        <w:rPr>
          <w:lang w:val="en-US" w:eastAsia="zh-CN"/>
        </w:rPr>
        <w:tab/>
      </w:r>
      <w:r w:rsidRPr="006E3B9B">
        <w:rPr>
          <w:lang w:val="en-US" w:eastAsia="zh-CN"/>
        </w:rPr>
        <w:t>6.2</w:t>
      </w:r>
    </w:p>
    <w:p w14:paraId="4827BF13"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709</w:t>
      </w:r>
      <w:r w:rsidRPr="006E3B9B">
        <w:rPr>
          <w:lang w:val="en-US" w:eastAsia="zh-CN"/>
        </w:rPr>
        <w:t>号决议</w:t>
      </w:r>
      <w:r w:rsidRPr="006E3B9B">
        <w:rPr>
          <w:lang w:val="en-US" w:eastAsia="zh-CN"/>
        </w:rPr>
        <w:tab/>
      </w:r>
      <w:r w:rsidRPr="006E3B9B">
        <w:rPr>
          <w:rFonts w:hint="eastAsia"/>
          <w:lang w:eastAsia="zh-CN"/>
        </w:rPr>
        <w:t>征文比赛：“电子时代的青年”</w:t>
      </w:r>
      <w:r w:rsidRPr="006E3B9B">
        <w:rPr>
          <w:lang w:val="en-US" w:eastAsia="zh-CN"/>
        </w:rPr>
        <w:tab/>
      </w:r>
      <w:r w:rsidR="00222D23">
        <w:rPr>
          <w:lang w:val="en-US" w:eastAsia="zh-CN"/>
        </w:rPr>
        <w:tab/>
      </w:r>
      <w:r w:rsidRPr="006E3B9B">
        <w:rPr>
          <w:lang w:val="en-US" w:eastAsia="zh-CN"/>
        </w:rPr>
        <w:t>1973</w:t>
      </w:r>
      <w:r w:rsidRPr="006E3B9B">
        <w:rPr>
          <w:rFonts w:hint="eastAsia"/>
          <w:lang w:val="en-US" w:eastAsia="zh-CN"/>
        </w:rPr>
        <w:t>年</w:t>
      </w:r>
    </w:p>
    <w:p w14:paraId="4827BF14"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710</w:t>
      </w:r>
      <w:r w:rsidRPr="006E3B9B">
        <w:rPr>
          <w:lang w:val="en-US" w:eastAsia="zh-CN"/>
        </w:rPr>
        <w:t>号决议</w:t>
      </w:r>
      <w:r w:rsidRPr="006E3B9B">
        <w:rPr>
          <w:lang w:val="en-US" w:eastAsia="zh-CN"/>
        </w:rPr>
        <w:tab/>
      </w:r>
      <w:r w:rsidRPr="006E3B9B">
        <w:rPr>
          <w:rFonts w:hint="eastAsia"/>
          <w:lang w:eastAsia="zh-CN"/>
        </w:rPr>
        <w:t>国际电联办公楼的扩建</w:t>
      </w:r>
      <w:r w:rsidRPr="006E3B9B">
        <w:rPr>
          <w:lang w:val="en-US" w:eastAsia="zh-CN"/>
        </w:rPr>
        <w:tab/>
      </w:r>
      <w:r w:rsidR="00222D23">
        <w:rPr>
          <w:lang w:val="en-US" w:eastAsia="zh-CN"/>
        </w:rPr>
        <w:tab/>
      </w:r>
      <w:r w:rsidRPr="006E3B9B">
        <w:rPr>
          <w:lang w:val="en-US" w:eastAsia="zh-CN"/>
        </w:rPr>
        <w:t>1973</w:t>
      </w:r>
      <w:r w:rsidRPr="006E3B9B">
        <w:rPr>
          <w:rFonts w:hint="eastAsia"/>
          <w:lang w:val="en-US" w:eastAsia="zh-CN"/>
        </w:rPr>
        <w:t>年</w:t>
      </w:r>
    </w:p>
    <w:p w14:paraId="4827BF15" w14:textId="77777777" w:rsidR="00294CE7" w:rsidRDefault="00294CE7">
      <w:pPr>
        <w:tabs>
          <w:tab w:val="clear" w:pos="794"/>
          <w:tab w:val="clear" w:pos="1191"/>
          <w:tab w:val="clear" w:pos="1588"/>
          <w:tab w:val="clear" w:pos="1985"/>
        </w:tabs>
        <w:overflowPunct/>
        <w:autoSpaceDE/>
        <w:autoSpaceDN/>
        <w:adjustRightInd/>
        <w:spacing w:before="0"/>
        <w:jc w:val="left"/>
        <w:textAlignment w:val="auto"/>
        <w:rPr>
          <w:b/>
          <w:lang w:eastAsia="zh-CN"/>
        </w:rPr>
      </w:pPr>
      <w:r>
        <w:rPr>
          <w:b/>
          <w:lang w:eastAsia="zh-CN"/>
        </w:rPr>
        <w:br w:type="page"/>
      </w:r>
    </w:p>
    <w:p w14:paraId="4827BF16" w14:textId="77777777" w:rsidR="006E3B9B" w:rsidRPr="006E3B9B" w:rsidRDefault="006E3B9B" w:rsidP="003E11A1">
      <w:pPr>
        <w:pStyle w:val="Reftitle"/>
        <w:rPr>
          <w:lang w:val="en-US" w:eastAsia="zh-CN"/>
        </w:rPr>
      </w:pPr>
      <w:r w:rsidRPr="006E3B9B">
        <w:rPr>
          <w:rFonts w:hint="eastAsia"/>
          <w:lang w:eastAsia="zh-CN"/>
        </w:rPr>
        <w:lastRenderedPageBreak/>
        <w:t>第</w:t>
      </w:r>
      <w:r w:rsidRPr="006E3B9B">
        <w:rPr>
          <w:lang w:eastAsia="zh-CN"/>
        </w:rPr>
        <w:t>28</w:t>
      </w:r>
      <w:r w:rsidRPr="006E3B9B">
        <w:rPr>
          <w:rFonts w:hint="eastAsia"/>
          <w:lang w:eastAsia="zh-CN"/>
        </w:rPr>
        <w:t>届会议</w:t>
      </w:r>
      <w:r w:rsidRPr="006E3B9B">
        <w:rPr>
          <w:lang w:eastAsia="zh-CN"/>
        </w:rPr>
        <w:t>（</w:t>
      </w:r>
      <w:r w:rsidRPr="006E3B9B">
        <w:rPr>
          <w:lang w:eastAsia="zh-CN"/>
        </w:rPr>
        <w:t>1973</w:t>
      </w:r>
      <w:r w:rsidRPr="006E3B9B">
        <w:rPr>
          <w:rFonts w:hint="eastAsia"/>
          <w:lang w:eastAsia="zh-CN"/>
        </w:rPr>
        <w:t>年</w:t>
      </w:r>
      <w:r w:rsidRPr="006E3B9B">
        <w:rPr>
          <w:lang w:eastAsia="zh-CN"/>
        </w:rPr>
        <w:t>5</w:t>
      </w:r>
      <w:r w:rsidRPr="006E3B9B">
        <w:rPr>
          <w:rFonts w:hint="eastAsia"/>
          <w:lang w:eastAsia="zh-CN"/>
        </w:rPr>
        <w:t>月</w:t>
      </w:r>
      <w:r w:rsidRPr="006E3B9B">
        <w:rPr>
          <w:lang w:eastAsia="zh-CN"/>
        </w:rPr>
        <w:t>-6</w:t>
      </w:r>
      <w:r w:rsidRPr="006E3B9B">
        <w:rPr>
          <w:rFonts w:hint="eastAsia"/>
          <w:lang w:eastAsia="zh-CN"/>
        </w:rPr>
        <w:t>月</w:t>
      </w:r>
      <w:r w:rsidRPr="006E3B9B">
        <w:rPr>
          <w:lang w:eastAsia="zh-CN"/>
        </w:rPr>
        <w:t>）</w:t>
      </w:r>
    </w:p>
    <w:p w14:paraId="4827BF17"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711</w:t>
      </w:r>
      <w:r w:rsidRPr="006E3B9B">
        <w:rPr>
          <w:lang w:val="en-US" w:eastAsia="zh-CN"/>
        </w:rPr>
        <w:t>号决议</w:t>
      </w:r>
      <w:r w:rsidRPr="006E3B9B">
        <w:rPr>
          <w:lang w:val="en-US" w:eastAsia="zh-CN"/>
        </w:rPr>
        <w:tab/>
      </w:r>
      <w:r w:rsidRPr="006E3B9B">
        <w:rPr>
          <w:rFonts w:hint="eastAsia"/>
          <w:lang w:eastAsia="zh-CN"/>
        </w:rPr>
        <w:t>国际公务员制度委员会</w:t>
      </w:r>
      <w:r w:rsidR="0093668F">
        <w:rPr>
          <w:lang w:eastAsia="zh-CN"/>
        </w:rPr>
        <w:tab/>
      </w:r>
      <w:r w:rsidRPr="006E3B9B">
        <w:rPr>
          <w:lang w:val="en-US" w:eastAsia="zh-CN"/>
        </w:rPr>
        <w:tab/>
        <w:t>1977</w:t>
      </w:r>
      <w:r w:rsidRPr="006E3B9B">
        <w:rPr>
          <w:rFonts w:hint="eastAsia"/>
          <w:lang w:val="en-US" w:eastAsia="zh-CN"/>
        </w:rPr>
        <w:t>年</w:t>
      </w:r>
    </w:p>
    <w:p w14:paraId="4827BF18"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712</w:t>
      </w:r>
      <w:r w:rsidRPr="006E3B9B">
        <w:rPr>
          <w:lang w:val="en-US" w:eastAsia="zh-CN"/>
        </w:rPr>
        <w:t>号决议</w:t>
      </w:r>
      <w:r w:rsidRPr="006E3B9B">
        <w:rPr>
          <w:lang w:val="en-US" w:eastAsia="zh-CN"/>
        </w:rPr>
        <w:tab/>
      </w:r>
      <w:r w:rsidRPr="006E3B9B">
        <w:rPr>
          <w:rFonts w:hint="eastAsia"/>
          <w:lang w:eastAsia="zh-CN"/>
        </w:rPr>
        <w:t>职位的重新定级</w:t>
      </w:r>
      <w:r w:rsidR="0093668F">
        <w:rPr>
          <w:lang w:eastAsia="zh-CN"/>
        </w:rPr>
        <w:tab/>
      </w:r>
      <w:r w:rsidRPr="006E3B9B">
        <w:rPr>
          <w:lang w:val="en-US" w:eastAsia="zh-CN"/>
        </w:rPr>
        <w:tab/>
        <w:t>1974</w:t>
      </w:r>
      <w:r w:rsidRPr="006E3B9B">
        <w:rPr>
          <w:rFonts w:hint="eastAsia"/>
          <w:lang w:val="en-US" w:eastAsia="zh-CN"/>
        </w:rPr>
        <w:t>年</w:t>
      </w:r>
    </w:p>
    <w:p w14:paraId="4827BF19"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713</w:t>
      </w:r>
      <w:r w:rsidRPr="006E3B9B">
        <w:rPr>
          <w:lang w:val="en-US" w:eastAsia="zh-CN"/>
        </w:rPr>
        <w:t>号决议</w:t>
      </w:r>
      <w:r w:rsidRPr="006E3B9B">
        <w:rPr>
          <w:lang w:val="en-US" w:eastAsia="zh-CN"/>
        </w:rPr>
        <w:tab/>
      </w:r>
      <w:r w:rsidRPr="006E3B9B">
        <w:rPr>
          <w:rFonts w:hint="eastAsia"/>
          <w:lang w:eastAsia="zh-CN"/>
        </w:rPr>
        <w:t>技术合作预算资助的职位的设立与重新定级</w:t>
      </w:r>
      <w:r w:rsidR="0093668F">
        <w:rPr>
          <w:lang w:eastAsia="zh-CN"/>
        </w:rPr>
        <w:tab/>
      </w:r>
      <w:r w:rsidRPr="006E3B9B">
        <w:rPr>
          <w:lang w:val="en-US" w:eastAsia="zh-CN"/>
        </w:rPr>
        <w:tab/>
        <w:t>1975</w:t>
      </w:r>
      <w:r w:rsidRPr="006E3B9B">
        <w:rPr>
          <w:rFonts w:hint="eastAsia"/>
          <w:lang w:val="en-US" w:eastAsia="zh-CN"/>
        </w:rPr>
        <w:t>年</w:t>
      </w:r>
    </w:p>
    <w:p w14:paraId="4827BF1A"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714</w:t>
      </w:r>
      <w:r w:rsidRPr="006E3B9B">
        <w:rPr>
          <w:lang w:val="en-US" w:eastAsia="zh-CN"/>
        </w:rPr>
        <w:t>号决议</w:t>
      </w:r>
      <w:r w:rsidRPr="006E3B9B">
        <w:rPr>
          <w:lang w:val="en-US" w:eastAsia="zh-CN"/>
        </w:rPr>
        <w:tab/>
      </w:r>
      <w:r w:rsidRPr="006E3B9B">
        <w:rPr>
          <w:rFonts w:hint="eastAsia"/>
          <w:lang w:eastAsia="zh-CN"/>
        </w:rPr>
        <w:t>国际电联职员养恤金委员会的委员</w:t>
      </w:r>
      <w:r w:rsidR="0093668F">
        <w:rPr>
          <w:lang w:eastAsia="zh-CN"/>
        </w:rPr>
        <w:tab/>
      </w:r>
      <w:r w:rsidRPr="006E3B9B">
        <w:rPr>
          <w:lang w:val="en-US" w:eastAsia="zh-CN"/>
        </w:rPr>
        <w:tab/>
        <w:t>1974</w:t>
      </w:r>
      <w:r w:rsidRPr="006E3B9B">
        <w:rPr>
          <w:rFonts w:hint="eastAsia"/>
          <w:lang w:val="en-US" w:eastAsia="zh-CN"/>
        </w:rPr>
        <w:t>年</w:t>
      </w:r>
    </w:p>
    <w:p w14:paraId="4827BF1B"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715</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1972</w:t>
      </w:r>
      <w:r w:rsidRPr="006E3B9B">
        <w:rPr>
          <w:rFonts w:hint="eastAsia"/>
          <w:lang w:eastAsia="zh-CN"/>
        </w:rPr>
        <w:t>年财务工作报告</w:t>
      </w:r>
      <w:r w:rsidR="0093668F">
        <w:rPr>
          <w:lang w:eastAsia="zh-CN"/>
        </w:rPr>
        <w:tab/>
      </w:r>
      <w:r w:rsidRPr="006E3B9B">
        <w:rPr>
          <w:lang w:val="en-US" w:eastAsia="zh-CN"/>
        </w:rPr>
        <w:tab/>
        <w:t>1974</w:t>
      </w:r>
      <w:r w:rsidRPr="006E3B9B">
        <w:rPr>
          <w:rFonts w:hint="eastAsia"/>
          <w:lang w:val="en-US" w:eastAsia="zh-CN"/>
        </w:rPr>
        <w:t>年</w:t>
      </w:r>
    </w:p>
    <w:p w14:paraId="4827BF1C"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716</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1972</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1</w:t>
      </w:r>
      <w:r w:rsidRPr="006E3B9B">
        <w:rPr>
          <w:rFonts w:hint="eastAsia"/>
          <w:lang w:eastAsia="zh-CN"/>
        </w:rPr>
        <w:t>日至</w:t>
      </w:r>
      <w:r w:rsidRPr="006E3B9B">
        <w:rPr>
          <w:lang w:eastAsia="zh-CN"/>
        </w:rPr>
        <w:t>12</w:t>
      </w:r>
      <w:r w:rsidRPr="006E3B9B">
        <w:rPr>
          <w:rFonts w:hint="eastAsia"/>
          <w:lang w:eastAsia="zh-CN"/>
        </w:rPr>
        <w:t>月</w:t>
      </w:r>
      <w:r w:rsidRPr="006E3B9B">
        <w:rPr>
          <w:lang w:eastAsia="zh-CN"/>
        </w:rPr>
        <w:t>31</w:t>
      </w:r>
      <w:r w:rsidRPr="006E3B9B">
        <w:rPr>
          <w:rFonts w:hint="eastAsia"/>
          <w:lang w:eastAsia="zh-CN"/>
        </w:rPr>
        <w:t>日账目的外部审计</w:t>
      </w:r>
      <w:r w:rsidR="0093668F">
        <w:rPr>
          <w:lang w:eastAsia="zh-CN"/>
        </w:rPr>
        <w:tab/>
      </w:r>
      <w:r w:rsidRPr="006E3B9B">
        <w:rPr>
          <w:lang w:val="en-US" w:eastAsia="zh-CN"/>
        </w:rPr>
        <w:tab/>
        <w:t>1974</w:t>
      </w:r>
      <w:r w:rsidRPr="006E3B9B">
        <w:rPr>
          <w:rFonts w:hint="eastAsia"/>
          <w:lang w:val="en-US" w:eastAsia="zh-CN"/>
        </w:rPr>
        <w:t>年</w:t>
      </w:r>
    </w:p>
    <w:p w14:paraId="4827BF1D"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717</w:t>
      </w:r>
      <w:r w:rsidRPr="006E3B9B">
        <w:rPr>
          <w:lang w:val="en-US" w:eastAsia="zh-CN"/>
        </w:rPr>
        <w:t>号决议</w:t>
      </w:r>
      <w:r w:rsidRPr="006E3B9B">
        <w:rPr>
          <w:lang w:val="en-US" w:eastAsia="zh-CN"/>
        </w:rPr>
        <w:tab/>
      </w:r>
      <w:r w:rsidRPr="006E3B9B">
        <w:rPr>
          <w:rFonts w:hint="eastAsia"/>
          <w:lang w:eastAsia="zh-CN"/>
        </w:rPr>
        <w:t>国际电联《财务规则》</w:t>
      </w:r>
      <w:r w:rsidRPr="006E3B9B">
        <w:rPr>
          <w:lang w:val="en-US" w:eastAsia="zh-CN"/>
        </w:rPr>
        <w:tab/>
      </w:r>
      <w:r w:rsidR="0093668F">
        <w:rPr>
          <w:lang w:val="en-US" w:eastAsia="zh-CN"/>
        </w:rPr>
        <w:tab/>
      </w:r>
      <w:r w:rsidRPr="006E3B9B">
        <w:rPr>
          <w:lang w:val="en-US" w:eastAsia="zh-CN"/>
        </w:rPr>
        <w:t>1975</w:t>
      </w:r>
      <w:r w:rsidRPr="006E3B9B">
        <w:rPr>
          <w:rFonts w:hint="eastAsia"/>
          <w:lang w:val="en-US" w:eastAsia="zh-CN"/>
        </w:rPr>
        <w:t>年</w:t>
      </w:r>
    </w:p>
    <w:p w14:paraId="4827BF1E"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718</w:t>
      </w:r>
      <w:r w:rsidRPr="006E3B9B">
        <w:rPr>
          <w:lang w:val="en-US" w:eastAsia="zh-CN"/>
        </w:rPr>
        <w:t>号决议</w:t>
      </w:r>
      <w:r w:rsidRPr="006E3B9B">
        <w:rPr>
          <w:lang w:val="en-US" w:eastAsia="zh-CN"/>
        </w:rPr>
        <w:tab/>
      </w:r>
      <w:r w:rsidRPr="006E3B9B">
        <w:rPr>
          <w:lang w:eastAsia="zh-CN"/>
        </w:rPr>
        <w:t>1973</w:t>
      </w:r>
      <w:r w:rsidRPr="006E3B9B">
        <w:rPr>
          <w:rFonts w:hint="eastAsia"/>
          <w:lang w:eastAsia="zh-CN"/>
        </w:rPr>
        <w:t>年的追加拨款</w:t>
      </w:r>
      <w:r w:rsidRPr="006E3B9B">
        <w:rPr>
          <w:lang w:val="en-US" w:eastAsia="zh-CN"/>
        </w:rPr>
        <w:tab/>
      </w:r>
      <w:r w:rsidR="0093668F">
        <w:rPr>
          <w:lang w:val="en-US" w:eastAsia="zh-CN"/>
        </w:rPr>
        <w:tab/>
      </w:r>
      <w:r w:rsidRPr="006E3B9B">
        <w:rPr>
          <w:lang w:val="en-US" w:eastAsia="zh-CN"/>
        </w:rPr>
        <w:t>1974</w:t>
      </w:r>
      <w:r w:rsidRPr="006E3B9B">
        <w:rPr>
          <w:rFonts w:hint="eastAsia"/>
          <w:lang w:val="en-US" w:eastAsia="zh-CN"/>
        </w:rPr>
        <w:t>年</w:t>
      </w:r>
    </w:p>
    <w:p w14:paraId="4827BF1F"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719</w:t>
      </w:r>
      <w:r w:rsidRPr="006E3B9B">
        <w:rPr>
          <w:lang w:val="en-US" w:eastAsia="zh-CN"/>
        </w:rPr>
        <w:t>号决议</w:t>
      </w:r>
      <w:r w:rsidRPr="006E3B9B">
        <w:rPr>
          <w:lang w:val="en-US" w:eastAsia="zh-CN"/>
        </w:rPr>
        <w:tab/>
      </w:r>
      <w:r w:rsidRPr="006E3B9B">
        <w:rPr>
          <w:rFonts w:hint="eastAsia"/>
          <w:lang w:eastAsia="zh-CN"/>
        </w:rPr>
        <w:t>区域性</w:t>
      </w:r>
      <w:r w:rsidRPr="006E3B9B">
        <w:rPr>
          <w:lang w:eastAsia="zh-CN"/>
        </w:rPr>
        <w:t>LF/MF</w:t>
      </w:r>
      <w:r w:rsidRPr="006E3B9B">
        <w:rPr>
          <w:rFonts w:hint="eastAsia"/>
          <w:lang w:eastAsia="zh-CN"/>
        </w:rPr>
        <w:t>广播行政大会</w:t>
      </w:r>
      <w:r w:rsidR="0093668F">
        <w:rPr>
          <w:lang w:eastAsia="zh-CN"/>
        </w:rPr>
        <w:tab/>
      </w:r>
      <w:r w:rsidRPr="006E3B9B">
        <w:rPr>
          <w:lang w:val="en-US" w:eastAsia="zh-CN"/>
        </w:rPr>
        <w:tab/>
        <w:t>1975</w:t>
      </w:r>
      <w:r w:rsidRPr="006E3B9B">
        <w:rPr>
          <w:rFonts w:hint="eastAsia"/>
          <w:lang w:val="en-US" w:eastAsia="zh-CN"/>
        </w:rPr>
        <w:t>年</w:t>
      </w:r>
    </w:p>
    <w:p w14:paraId="4827BF20"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720</w:t>
      </w:r>
      <w:r w:rsidRPr="006E3B9B">
        <w:rPr>
          <w:lang w:val="en-US" w:eastAsia="zh-CN"/>
        </w:rPr>
        <w:t>号决议</w:t>
      </w:r>
      <w:r w:rsidRPr="006E3B9B">
        <w:rPr>
          <w:lang w:val="en-US" w:eastAsia="zh-CN"/>
        </w:rPr>
        <w:tab/>
      </w:r>
      <w:r w:rsidRPr="006E3B9B">
        <w:rPr>
          <w:lang w:eastAsia="zh-CN"/>
        </w:rPr>
        <w:t>1974</w:t>
      </w:r>
      <w:r w:rsidRPr="006E3B9B">
        <w:rPr>
          <w:rFonts w:hint="eastAsia"/>
          <w:lang w:eastAsia="zh-CN"/>
        </w:rPr>
        <w:t>年预算</w:t>
      </w:r>
      <w:r w:rsidRPr="006E3B9B">
        <w:rPr>
          <w:lang w:val="en-US" w:eastAsia="zh-CN"/>
        </w:rPr>
        <w:tab/>
      </w:r>
      <w:r w:rsidR="0093668F">
        <w:rPr>
          <w:lang w:val="en-US" w:eastAsia="zh-CN"/>
        </w:rPr>
        <w:tab/>
      </w:r>
      <w:r w:rsidRPr="006E3B9B">
        <w:rPr>
          <w:lang w:val="en-US" w:eastAsia="zh-CN"/>
        </w:rPr>
        <w:t>1974</w:t>
      </w:r>
      <w:r w:rsidRPr="006E3B9B">
        <w:rPr>
          <w:rFonts w:hint="eastAsia"/>
          <w:lang w:val="en-US" w:eastAsia="zh-CN"/>
        </w:rPr>
        <w:t>年</w:t>
      </w:r>
    </w:p>
    <w:p w14:paraId="4827BF21"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721</w:t>
      </w:r>
      <w:r w:rsidRPr="006E3B9B">
        <w:rPr>
          <w:lang w:val="en-US" w:eastAsia="zh-CN"/>
        </w:rPr>
        <w:t>号决议</w:t>
      </w:r>
      <w:r w:rsidRPr="006E3B9B">
        <w:rPr>
          <w:lang w:val="en-US" w:eastAsia="zh-CN"/>
        </w:rPr>
        <w:tab/>
      </w:r>
      <w:r w:rsidRPr="006E3B9B">
        <w:rPr>
          <w:rFonts w:hint="eastAsia"/>
          <w:lang w:eastAsia="zh-CN"/>
        </w:rPr>
        <w:t>《理事会议事规则》的修订</w:t>
      </w:r>
      <w:r w:rsidR="0093668F">
        <w:rPr>
          <w:lang w:eastAsia="zh-CN"/>
        </w:rPr>
        <w:tab/>
      </w:r>
      <w:r w:rsidRPr="006E3B9B">
        <w:rPr>
          <w:lang w:val="en-US" w:eastAsia="zh-CN"/>
        </w:rPr>
        <w:tab/>
        <w:t>1974</w:t>
      </w:r>
      <w:r w:rsidRPr="006E3B9B">
        <w:rPr>
          <w:rFonts w:hint="eastAsia"/>
          <w:lang w:val="en-US" w:eastAsia="zh-CN"/>
        </w:rPr>
        <w:t>年</w:t>
      </w:r>
    </w:p>
    <w:p w14:paraId="4827BF22" w14:textId="77777777" w:rsidR="006E3B9B" w:rsidRPr="006E3B9B" w:rsidRDefault="006E3B9B" w:rsidP="003E11A1">
      <w:pPr>
        <w:pStyle w:val="Reftitle"/>
        <w:rPr>
          <w:lang w:val="en-US" w:eastAsia="zh-CN"/>
        </w:rPr>
      </w:pPr>
      <w:r w:rsidRPr="006E3B9B">
        <w:rPr>
          <w:rFonts w:hint="eastAsia"/>
          <w:lang w:eastAsia="zh-CN"/>
        </w:rPr>
        <w:t>第</w:t>
      </w:r>
      <w:r w:rsidRPr="006E3B9B">
        <w:rPr>
          <w:lang w:eastAsia="zh-CN"/>
        </w:rPr>
        <w:t>29</w:t>
      </w:r>
      <w:r w:rsidRPr="006E3B9B">
        <w:rPr>
          <w:rFonts w:hint="eastAsia"/>
          <w:lang w:eastAsia="zh-CN"/>
        </w:rPr>
        <w:t>届会议（</w:t>
      </w:r>
      <w:r w:rsidRPr="006E3B9B">
        <w:rPr>
          <w:lang w:eastAsia="zh-CN"/>
        </w:rPr>
        <w:t>1974</w:t>
      </w:r>
      <w:r w:rsidRPr="006E3B9B">
        <w:rPr>
          <w:rFonts w:hint="eastAsia"/>
          <w:lang w:eastAsia="zh-CN"/>
        </w:rPr>
        <w:t>年</w:t>
      </w:r>
      <w:r w:rsidRPr="006E3B9B">
        <w:rPr>
          <w:lang w:eastAsia="zh-CN"/>
        </w:rPr>
        <w:t>6</w:t>
      </w:r>
      <w:r w:rsidRPr="006E3B9B">
        <w:rPr>
          <w:rFonts w:hint="eastAsia"/>
          <w:lang w:eastAsia="zh-CN"/>
        </w:rPr>
        <w:t>月</w:t>
      </w:r>
      <w:r w:rsidRPr="006E3B9B">
        <w:rPr>
          <w:lang w:eastAsia="zh-CN"/>
        </w:rPr>
        <w:t>-7</w:t>
      </w:r>
      <w:r w:rsidRPr="006E3B9B">
        <w:rPr>
          <w:rFonts w:hint="eastAsia"/>
          <w:lang w:eastAsia="zh-CN"/>
        </w:rPr>
        <w:t>月）</w:t>
      </w:r>
    </w:p>
    <w:p w14:paraId="4827BF23"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722</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1973</w:t>
      </w:r>
      <w:r w:rsidRPr="006E3B9B">
        <w:rPr>
          <w:rFonts w:hint="eastAsia"/>
          <w:lang w:eastAsia="zh-CN"/>
        </w:rPr>
        <w:t>年财务工作报告</w:t>
      </w:r>
      <w:r w:rsidRPr="006E3B9B">
        <w:rPr>
          <w:lang w:val="en-US" w:eastAsia="zh-CN"/>
        </w:rPr>
        <w:tab/>
      </w:r>
      <w:r w:rsidR="0093668F">
        <w:rPr>
          <w:lang w:val="en-US" w:eastAsia="zh-CN"/>
        </w:rPr>
        <w:tab/>
      </w:r>
      <w:r w:rsidRPr="006E3B9B">
        <w:rPr>
          <w:lang w:val="en-US" w:eastAsia="zh-CN"/>
        </w:rPr>
        <w:t>1975</w:t>
      </w:r>
      <w:r w:rsidRPr="006E3B9B">
        <w:rPr>
          <w:rFonts w:hint="eastAsia"/>
          <w:lang w:val="en-US" w:eastAsia="zh-CN"/>
        </w:rPr>
        <w:t>年</w:t>
      </w:r>
    </w:p>
    <w:p w14:paraId="4827BF24"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723</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1973</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1</w:t>
      </w:r>
      <w:r w:rsidRPr="006E3B9B">
        <w:rPr>
          <w:rFonts w:hint="eastAsia"/>
          <w:lang w:eastAsia="zh-CN"/>
        </w:rPr>
        <w:t>日至</w:t>
      </w:r>
      <w:r w:rsidRPr="006E3B9B">
        <w:rPr>
          <w:lang w:eastAsia="zh-CN"/>
        </w:rPr>
        <w:t>12</w:t>
      </w:r>
      <w:r w:rsidRPr="006E3B9B">
        <w:rPr>
          <w:rFonts w:hint="eastAsia"/>
          <w:lang w:eastAsia="zh-CN"/>
        </w:rPr>
        <w:t>月</w:t>
      </w:r>
      <w:r w:rsidRPr="006E3B9B">
        <w:rPr>
          <w:lang w:eastAsia="zh-CN"/>
        </w:rPr>
        <w:t>31</w:t>
      </w:r>
      <w:r w:rsidRPr="006E3B9B">
        <w:rPr>
          <w:rFonts w:hint="eastAsia"/>
          <w:lang w:eastAsia="zh-CN"/>
        </w:rPr>
        <w:t>日账目的外部审计</w:t>
      </w:r>
      <w:r w:rsidRPr="006E3B9B">
        <w:rPr>
          <w:lang w:val="en-US" w:eastAsia="zh-CN"/>
        </w:rPr>
        <w:tab/>
      </w:r>
      <w:r w:rsidR="0093668F">
        <w:rPr>
          <w:lang w:val="en-US" w:eastAsia="zh-CN"/>
        </w:rPr>
        <w:tab/>
      </w:r>
      <w:r w:rsidRPr="006E3B9B">
        <w:rPr>
          <w:lang w:val="en-US" w:eastAsia="zh-CN"/>
        </w:rPr>
        <w:t>1975</w:t>
      </w:r>
      <w:r w:rsidRPr="006E3B9B">
        <w:rPr>
          <w:rFonts w:hint="eastAsia"/>
          <w:lang w:val="en-US" w:eastAsia="zh-CN"/>
        </w:rPr>
        <w:t>年</w:t>
      </w:r>
    </w:p>
    <w:p w14:paraId="4827BF25"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724</w:t>
      </w:r>
      <w:r w:rsidRPr="006E3B9B">
        <w:rPr>
          <w:lang w:val="en-US" w:eastAsia="zh-CN"/>
        </w:rPr>
        <w:t>号决议</w:t>
      </w:r>
      <w:r w:rsidRPr="006E3B9B">
        <w:rPr>
          <w:lang w:val="en-US" w:eastAsia="zh-CN"/>
        </w:rPr>
        <w:tab/>
      </w:r>
      <w:r w:rsidRPr="006E3B9B">
        <w:rPr>
          <w:rFonts w:hint="eastAsia"/>
          <w:lang w:val="en-US" w:eastAsia="zh-CN"/>
        </w:rPr>
        <w:t>适用于</w:t>
      </w:r>
      <w:r w:rsidRPr="006E3B9B">
        <w:rPr>
          <w:rFonts w:hint="eastAsia"/>
          <w:lang w:eastAsia="zh-CN"/>
        </w:rPr>
        <w:t>选任官员的《人事规则和细则》</w:t>
      </w:r>
      <w:r w:rsidRPr="006E3B9B">
        <w:rPr>
          <w:lang w:val="en-US" w:eastAsia="zh-CN"/>
        </w:rPr>
        <w:tab/>
      </w:r>
      <w:r w:rsidR="0093668F">
        <w:rPr>
          <w:lang w:val="en-US" w:eastAsia="zh-CN"/>
        </w:rPr>
        <w:tab/>
      </w:r>
      <w:r w:rsidRPr="006E3B9B">
        <w:rPr>
          <w:lang w:val="en-US" w:eastAsia="zh-CN"/>
        </w:rPr>
        <w:t>1975</w:t>
      </w:r>
      <w:r w:rsidRPr="006E3B9B">
        <w:rPr>
          <w:rFonts w:hint="eastAsia"/>
          <w:lang w:val="en-US" w:eastAsia="zh-CN"/>
        </w:rPr>
        <w:t>年</w:t>
      </w:r>
    </w:p>
    <w:p w14:paraId="4827BF26"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725</w:t>
      </w:r>
      <w:r w:rsidRPr="006E3B9B">
        <w:rPr>
          <w:lang w:val="en-US" w:eastAsia="zh-CN"/>
        </w:rPr>
        <w:t>号决议</w:t>
      </w:r>
      <w:r w:rsidRPr="006E3B9B">
        <w:rPr>
          <w:lang w:val="en-US" w:eastAsia="zh-CN"/>
        </w:rPr>
        <w:tab/>
      </w:r>
      <w:r w:rsidRPr="006E3B9B">
        <w:rPr>
          <w:rFonts w:hint="eastAsia"/>
          <w:lang w:eastAsia="zh-CN"/>
        </w:rPr>
        <w:t>《人事规则和细则》修正案</w:t>
      </w:r>
      <w:r w:rsidRPr="006E3B9B">
        <w:rPr>
          <w:lang w:val="en-US" w:eastAsia="zh-CN"/>
        </w:rPr>
        <w:tab/>
      </w:r>
      <w:r w:rsidR="0093668F">
        <w:rPr>
          <w:lang w:val="en-US" w:eastAsia="zh-CN"/>
        </w:rPr>
        <w:tab/>
      </w:r>
      <w:r w:rsidRPr="006E3B9B">
        <w:rPr>
          <w:lang w:val="en-US" w:eastAsia="zh-CN"/>
        </w:rPr>
        <w:t>1975</w:t>
      </w:r>
      <w:r w:rsidRPr="006E3B9B">
        <w:rPr>
          <w:rFonts w:hint="eastAsia"/>
          <w:lang w:val="en-US" w:eastAsia="zh-CN"/>
        </w:rPr>
        <w:t>年</w:t>
      </w:r>
    </w:p>
    <w:p w14:paraId="4827BF27"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726</w:t>
      </w:r>
      <w:r w:rsidRPr="006E3B9B">
        <w:rPr>
          <w:lang w:val="en-US" w:eastAsia="zh-CN"/>
        </w:rPr>
        <w:t>号决议</w:t>
      </w:r>
      <w:r w:rsidRPr="006E3B9B">
        <w:rPr>
          <w:lang w:val="en-US" w:eastAsia="zh-CN"/>
        </w:rPr>
        <w:tab/>
      </w:r>
      <w:r w:rsidRPr="006E3B9B">
        <w:rPr>
          <w:rFonts w:hint="eastAsia"/>
          <w:lang w:eastAsia="zh-CN"/>
        </w:rPr>
        <w:t>选任官员的薪金</w:t>
      </w:r>
      <w:r w:rsidRPr="006E3B9B">
        <w:rPr>
          <w:lang w:val="en-US" w:eastAsia="zh-CN"/>
        </w:rPr>
        <w:tab/>
      </w:r>
      <w:r w:rsidR="0093668F">
        <w:rPr>
          <w:lang w:val="en-US" w:eastAsia="zh-CN"/>
        </w:rPr>
        <w:tab/>
      </w:r>
      <w:r w:rsidRPr="006E3B9B">
        <w:rPr>
          <w:lang w:val="en-US" w:eastAsia="zh-CN"/>
        </w:rPr>
        <w:t>1976</w:t>
      </w:r>
      <w:r w:rsidRPr="006E3B9B">
        <w:rPr>
          <w:rFonts w:hint="eastAsia"/>
          <w:lang w:val="en-US" w:eastAsia="zh-CN"/>
        </w:rPr>
        <w:t>年</w:t>
      </w:r>
    </w:p>
    <w:p w14:paraId="4827BF28"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727</w:t>
      </w:r>
      <w:r w:rsidRPr="006E3B9B">
        <w:rPr>
          <w:rFonts w:hint="eastAsia"/>
          <w:lang w:val="en-US" w:eastAsia="zh-CN"/>
        </w:rPr>
        <w:t>号决议</w:t>
      </w:r>
      <w:r w:rsidRPr="006E3B9B">
        <w:rPr>
          <w:rFonts w:hint="eastAsia"/>
          <w:lang w:val="en-US" w:eastAsia="zh-CN"/>
        </w:rPr>
        <w:tab/>
      </w:r>
      <w:r w:rsidRPr="006E3B9B">
        <w:rPr>
          <w:rFonts w:hint="eastAsia"/>
          <w:lang w:eastAsia="zh-CN"/>
        </w:rPr>
        <w:t>非常设职位向常设职位的转换</w:t>
      </w:r>
      <w:r w:rsidRPr="006E3B9B">
        <w:rPr>
          <w:lang w:val="en-US" w:eastAsia="zh-CN"/>
        </w:rPr>
        <w:tab/>
      </w:r>
      <w:r w:rsidR="0093668F">
        <w:rPr>
          <w:lang w:val="en-US" w:eastAsia="zh-CN"/>
        </w:rPr>
        <w:tab/>
      </w:r>
      <w:r w:rsidRPr="006E3B9B">
        <w:rPr>
          <w:lang w:val="en-US" w:eastAsia="zh-CN"/>
        </w:rPr>
        <w:t>1975</w:t>
      </w:r>
      <w:r w:rsidRPr="006E3B9B">
        <w:rPr>
          <w:rFonts w:hint="eastAsia"/>
          <w:lang w:val="en-US" w:eastAsia="zh-CN"/>
        </w:rPr>
        <w:t>年</w:t>
      </w:r>
    </w:p>
    <w:p w14:paraId="4827BF29"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728</w:t>
      </w:r>
      <w:r w:rsidRPr="006E3B9B">
        <w:rPr>
          <w:lang w:val="en-US" w:eastAsia="zh-CN"/>
        </w:rPr>
        <w:t>号决议</w:t>
      </w:r>
      <w:r w:rsidRPr="006E3B9B">
        <w:rPr>
          <w:lang w:val="en-US" w:eastAsia="zh-CN"/>
        </w:rPr>
        <w:tab/>
      </w:r>
      <w:r w:rsidRPr="006E3B9B">
        <w:rPr>
          <w:rFonts w:hint="eastAsia"/>
          <w:lang w:eastAsia="zh-CN"/>
        </w:rPr>
        <w:t>国际电联职员养恤金委员会的委员</w:t>
      </w:r>
      <w:r w:rsidRPr="006E3B9B">
        <w:rPr>
          <w:lang w:val="en-US" w:eastAsia="zh-CN"/>
        </w:rPr>
        <w:tab/>
      </w:r>
      <w:r w:rsidR="0093668F">
        <w:rPr>
          <w:lang w:val="en-US" w:eastAsia="zh-CN"/>
        </w:rPr>
        <w:tab/>
      </w:r>
      <w:r w:rsidRPr="006E3B9B">
        <w:rPr>
          <w:lang w:val="en-US" w:eastAsia="zh-CN"/>
        </w:rPr>
        <w:t>1975</w:t>
      </w:r>
      <w:r w:rsidRPr="006E3B9B">
        <w:rPr>
          <w:rFonts w:hint="eastAsia"/>
          <w:lang w:val="en-US" w:eastAsia="zh-CN"/>
        </w:rPr>
        <w:t>年</w:t>
      </w:r>
    </w:p>
    <w:p w14:paraId="4827BF2A"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729</w:t>
      </w:r>
      <w:r w:rsidRPr="006E3B9B">
        <w:rPr>
          <w:lang w:val="en-US" w:eastAsia="zh-CN"/>
        </w:rPr>
        <w:t>号决议</w:t>
      </w:r>
      <w:r w:rsidRPr="006E3B9B">
        <w:rPr>
          <w:lang w:val="en-US" w:eastAsia="zh-CN"/>
        </w:rPr>
        <w:tab/>
      </w:r>
      <w:r w:rsidRPr="006E3B9B">
        <w:rPr>
          <w:rFonts w:hint="eastAsia"/>
          <w:lang w:eastAsia="zh-CN"/>
        </w:rPr>
        <w:t>救济基金的筹集</w:t>
      </w:r>
      <w:r w:rsidRPr="006E3B9B">
        <w:rPr>
          <w:lang w:val="en-US" w:eastAsia="zh-CN"/>
        </w:rPr>
        <w:tab/>
      </w:r>
      <w:r w:rsidR="0093668F">
        <w:rPr>
          <w:lang w:val="en-US" w:eastAsia="zh-CN"/>
        </w:rPr>
        <w:tab/>
      </w:r>
      <w:r w:rsidRPr="006E3B9B">
        <w:rPr>
          <w:lang w:val="en-US" w:eastAsia="zh-CN"/>
        </w:rPr>
        <w:t>1984</w:t>
      </w:r>
      <w:r w:rsidRPr="006E3B9B">
        <w:rPr>
          <w:rFonts w:hint="eastAsia"/>
          <w:lang w:val="en-US" w:eastAsia="zh-CN"/>
        </w:rPr>
        <w:t>年</w:t>
      </w:r>
    </w:p>
    <w:p w14:paraId="4827BF2B"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730</w:t>
      </w:r>
      <w:r w:rsidRPr="006E3B9B">
        <w:rPr>
          <w:lang w:val="en-US" w:eastAsia="zh-CN"/>
        </w:rPr>
        <w:t>号决议</w:t>
      </w:r>
      <w:r w:rsidRPr="006E3B9B">
        <w:rPr>
          <w:lang w:val="en-US" w:eastAsia="zh-CN"/>
        </w:rPr>
        <w:tab/>
      </w:r>
      <w:r w:rsidRPr="006E3B9B">
        <w:rPr>
          <w:rFonts w:hint="eastAsia"/>
          <w:lang w:eastAsia="zh-CN"/>
        </w:rPr>
        <w:t>国际电联职员退休和福利基金规则条款的修正案</w:t>
      </w:r>
      <w:r w:rsidRPr="006E3B9B">
        <w:rPr>
          <w:lang w:val="en-US" w:eastAsia="zh-CN"/>
        </w:rPr>
        <w:tab/>
      </w:r>
      <w:r w:rsidR="0093668F">
        <w:rPr>
          <w:lang w:val="en-US" w:eastAsia="zh-CN"/>
        </w:rPr>
        <w:tab/>
      </w:r>
      <w:r w:rsidRPr="006E3B9B">
        <w:rPr>
          <w:lang w:val="en-US" w:eastAsia="zh-CN"/>
        </w:rPr>
        <w:t>1975</w:t>
      </w:r>
      <w:r w:rsidRPr="006E3B9B">
        <w:rPr>
          <w:rFonts w:hint="eastAsia"/>
          <w:lang w:val="en-US" w:eastAsia="zh-CN"/>
        </w:rPr>
        <w:t>年</w:t>
      </w:r>
    </w:p>
    <w:p w14:paraId="4827BF2C"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731</w:t>
      </w:r>
      <w:r w:rsidRPr="006E3B9B">
        <w:rPr>
          <w:lang w:val="en-US" w:eastAsia="zh-CN"/>
        </w:rPr>
        <w:t>号决议</w:t>
      </w:r>
      <w:r w:rsidRPr="006E3B9B">
        <w:rPr>
          <w:lang w:val="en-US" w:eastAsia="zh-CN"/>
        </w:rPr>
        <w:tab/>
      </w:r>
      <w:r w:rsidRPr="006E3B9B">
        <w:rPr>
          <w:rFonts w:hint="eastAsia"/>
          <w:lang w:eastAsia="zh-CN"/>
        </w:rPr>
        <w:t>国际电联职员退休和福利基金法定利率</w:t>
      </w:r>
      <w:r w:rsidRPr="006E3B9B">
        <w:rPr>
          <w:lang w:val="en-US" w:eastAsia="zh-CN"/>
        </w:rPr>
        <w:tab/>
      </w:r>
      <w:r w:rsidR="0093668F">
        <w:rPr>
          <w:lang w:val="en-US" w:eastAsia="zh-CN"/>
        </w:rPr>
        <w:tab/>
      </w:r>
      <w:r w:rsidRPr="006E3B9B">
        <w:rPr>
          <w:lang w:val="en-US" w:eastAsia="zh-CN"/>
        </w:rPr>
        <w:t>1999</w:t>
      </w:r>
      <w:r w:rsidRPr="006E3B9B">
        <w:rPr>
          <w:rFonts w:hint="eastAsia"/>
          <w:lang w:val="en-US" w:eastAsia="zh-CN"/>
        </w:rPr>
        <w:t>年</w:t>
      </w:r>
    </w:p>
    <w:p w14:paraId="4827BF2D"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732</w:t>
      </w:r>
      <w:r w:rsidRPr="006E3B9B">
        <w:rPr>
          <w:lang w:val="en-US" w:eastAsia="zh-CN"/>
        </w:rPr>
        <w:t>号决议</w:t>
      </w:r>
      <w:r w:rsidRPr="006E3B9B">
        <w:rPr>
          <w:lang w:val="en-US" w:eastAsia="zh-CN"/>
        </w:rPr>
        <w:tab/>
      </w:r>
      <w:r w:rsidRPr="006E3B9B">
        <w:rPr>
          <w:rFonts w:hint="eastAsia"/>
          <w:lang w:eastAsia="zh-CN"/>
        </w:rPr>
        <w:t>欠款账目的特别利息</w:t>
      </w:r>
      <w:r w:rsidRPr="006E3B9B">
        <w:rPr>
          <w:lang w:val="en-US" w:eastAsia="zh-CN"/>
        </w:rPr>
        <w:tab/>
      </w:r>
      <w:r w:rsidR="0093668F">
        <w:rPr>
          <w:lang w:val="en-US" w:eastAsia="zh-CN"/>
        </w:rPr>
        <w:tab/>
      </w:r>
      <w:r w:rsidRPr="006E3B9B">
        <w:rPr>
          <w:lang w:val="en-US" w:eastAsia="zh-CN"/>
        </w:rPr>
        <w:t>1977</w:t>
      </w:r>
      <w:r w:rsidRPr="006E3B9B">
        <w:rPr>
          <w:rFonts w:hint="eastAsia"/>
          <w:lang w:val="en-US" w:eastAsia="zh-CN"/>
        </w:rPr>
        <w:t>年</w:t>
      </w:r>
    </w:p>
    <w:p w14:paraId="4827BF2E"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733</w:t>
      </w:r>
      <w:r w:rsidRPr="006E3B9B">
        <w:rPr>
          <w:lang w:val="en-US" w:eastAsia="zh-CN"/>
        </w:rPr>
        <w:t>号决议</w:t>
      </w:r>
      <w:r w:rsidRPr="006E3B9B">
        <w:rPr>
          <w:lang w:val="en-US" w:eastAsia="zh-CN"/>
        </w:rPr>
        <w:tab/>
      </w:r>
      <w:r w:rsidRPr="006E3B9B">
        <w:rPr>
          <w:rFonts w:hint="eastAsia"/>
          <w:lang w:eastAsia="zh-CN"/>
        </w:rPr>
        <w:t>将非常设职位转为常设职位并利用出版物追加预算设立新的职位</w:t>
      </w:r>
      <w:r w:rsidRPr="006E3B9B">
        <w:rPr>
          <w:lang w:val="en-US" w:eastAsia="zh-CN"/>
        </w:rPr>
        <w:tab/>
      </w:r>
      <w:r w:rsidR="0093668F">
        <w:rPr>
          <w:lang w:val="en-US" w:eastAsia="zh-CN"/>
        </w:rPr>
        <w:tab/>
      </w:r>
      <w:r w:rsidRPr="006E3B9B">
        <w:rPr>
          <w:lang w:val="en-US" w:eastAsia="zh-CN"/>
        </w:rPr>
        <w:t>1978</w:t>
      </w:r>
      <w:r w:rsidRPr="006E3B9B">
        <w:rPr>
          <w:rFonts w:hint="eastAsia"/>
          <w:lang w:val="en-US" w:eastAsia="zh-CN"/>
        </w:rPr>
        <w:t>年</w:t>
      </w:r>
    </w:p>
    <w:p w14:paraId="4827BF2F"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734</w:t>
      </w:r>
      <w:r w:rsidRPr="006E3B9B">
        <w:rPr>
          <w:lang w:val="en-US" w:eastAsia="zh-CN"/>
        </w:rPr>
        <w:t>号决议</w:t>
      </w:r>
      <w:r w:rsidRPr="006E3B9B">
        <w:rPr>
          <w:lang w:val="en-US" w:eastAsia="zh-CN"/>
        </w:rPr>
        <w:tab/>
      </w:r>
      <w:r w:rsidRPr="006E3B9B">
        <w:rPr>
          <w:rFonts w:hint="eastAsia"/>
          <w:lang w:eastAsia="zh-CN"/>
        </w:rPr>
        <w:t>技术合作职位</w:t>
      </w:r>
      <w:r w:rsidRPr="006E3B9B">
        <w:rPr>
          <w:lang w:val="en-US" w:eastAsia="zh-CN"/>
        </w:rPr>
        <w:t xml:space="preserve"> </w:t>
      </w:r>
      <w:r w:rsidRPr="006E3B9B">
        <w:rPr>
          <w:lang w:eastAsia="zh-CN"/>
        </w:rPr>
        <w:t xml:space="preserve">– </w:t>
      </w:r>
      <w:r w:rsidRPr="006E3B9B">
        <w:rPr>
          <w:rFonts w:hint="eastAsia"/>
          <w:lang w:eastAsia="zh-CN"/>
        </w:rPr>
        <w:t>定期职位的延续和将定期职位转为长期职位</w:t>
      </w:r>
      <w:r w:rsidR="0093668F">
        <w:rPr>
          <w:lang w:eastAsia="zh-CN"/>
        </w:rPr>
        <w:tab/>
      </w:r>
      <w:r w:rsidRPr="006E3B9B">
        <w:rPr>
          <w:lang w:val="en-US" w:eastAsia="zh-CN"/>
        </w:rPr>
        <w:tab/>
        <w:t>1980</w:t>
      </w:r>
      <w:r w:rsidRPr="006E3B9B">
        <w:rPr>
          <w:rFonts w:hint="eastAsia"/>
          <w:lang w:val="en-US" w:eastAsia="zh-CN"/>
        </w:rPr>
        <w:t>年</w:t>
      </w:r>
    </w:p>
    <w:p w14:paraId="4827BF30"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735</w:t>
      </w:r>
      <w:r w:rsidRPr="006E3B9B">
        <w:rPr>
          <w:lang w:val="en-US" w:eastAsia="zh-CN"/>
        </w:rPr>
        <w:t>号决议</w:t>
      </w:r>
      <w:r w:rsidRPr="006E3B9B">
        <w:rPr>
          <w:lang w:val="en-US" w:eastAsia="zh-CN"/>
        </w:rPr>
        <w:tab/>
      </w:r>
      <w:r w:rsidRPr="006E3B9B">
        <w:rPr>
          <w:rFonts w:hint="eastAsia"/>
          <w:lang w:eastAsia="zh-CN"/>
        </w:rPr>
        <w:t>职位的设立</w:t>
      </w:r>
      <w:r w:rsidRPr="006E3B9B">
        <w:rPr>
          <w:lang w:val="en-US" w:eastAsia="zh-CN"/>
        </w:rPr>
        <w:tab/>
      </w:r>
      <w:r w:rsidR="0093668F">
        <w:rPr>
          <w:lang w:val="en-US" w:eastAsia="zh-CN"/>
        </w:rPr>
        <w:tab/>
      </w:r>
      <w:r w:rsidRPr="006E3B9B">
        <w:rPr>
          <w:lang w:val="en-US" w:eastAsia="zh-CN"/>
        </w:rPr>
        <w:t>1976</w:t>
      </w:r>
      <w:r w:rsidRPr="006E3B9B">
        <w:rPr>
          <w:rFonts w:hint="eastAsia"/>
          <w:lang w:val="en-US" w:eastAsia="zh-CN"/>
        </w:rPr>
        <w:t>年</w:t>
      </w:r>
    </w:p>
    <w:p w14:paraId="4827BF31"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736</w:t>
      </w:r>
      <w:r w:rsidRPr="006E3B9B">
        <w:rPr>
          <w:lang w:val="en-US" w:eastAsia="zh-CN"/>
        </w:rPr>
        <w:t>号决议</w:t>
      </w:r>
      <w:r w:rsidRPr="006E3B9B">
        <w:rPr>
          <w:lang w:val="en-US" w:eastAsia="zh-CN"/>
        </w:rPr>
        <w:tab/>
      </w:r>
      <w:r w:rsidRPr="006E3B9B">
        <w:rPr>
          <w:rFonts w:hint="eastAsia"/>
          <w:lang w:eastAsia="zh-CN"/>
        </w:rPr>
        <w:t>利用技术合作预算在技术合作部设立职位</w:t>
      </w:r>
      <w:r w:rsidR="0093668F">
        <w:rPr>
          <w:lang w:eastAsia="zh-CN"/>
        </w:rPr>
        <w:tab/>
      </w:r>
      <w:r w:rsidRPr="006E3B9B">
        <w:rPr>
          <w:lang w:val="en-US" w:eastAsia="zh-CN"/>
        </w:rPr>
        <w:tab/>
        <w:t>1980</w:t>
      </w:r>
      <w:r w:rsidRPr="006E3B9B">
        <w:rPr>
          <w:rFonts w:hint="eastAsia"/>
          <w:lang w:val="en-US" w:eastAsia="zh-CN"/>
        </w:rPr>
        <w:t>年</w:t>
      </w:r>
    </w:p>
    <w:p w14:paraId="4827BF32"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737</w:t>
      </w:r>
      <w:r w:rsidRPr="006E3B9B">
        <w:rPr>
          <w:lang w:val="en-US" w:eastAsia="zh-CN"/>
        </w:rPr>
        <w:t>号决议</w:t>
      </w:r>
      <w:r w:rsidRPr="006E3B9B">
        <w:rPr>
          <w:lang w:val="en-US" w:eastAsia="zh-CN"/>
        </w:rPr>
        <w:tab/>
      </w:r>
      <w:r w:rsidRPr="006E3B9B">
        <w:rPr>
          <w:rFonts w:hint="eastAsia"/>
          <w:lang w:val="en-US" w:eastAsia="zh-CN"/>
        </w:rPr>
        <w:t>对</w:t>
      </w:r>
      <w:r w:rsidRPr="006E3B9B">
        <w:rPr>
          <w:rFonts w:hint="eastAsia"/>
          <w:lang w:eastAsia="zh-CN"/>
        </w:rPr>
        <w:t>组织、方法和定级的审查</w:t>
      </w:r>
      <w:r w:rsidR="0093668F">
        <w:rPr>
          <w:lang w:eastAsia="zh-CN"/>
        </w:rPr>
        <w:tab/>
      </w:r>
      <w:r w:rsidRPr="006E3B9B">
        <w:rPr>
          <w:lang w:val="en-US" w:eastAsia="zh-CN"/>
        </w:rPr>
        <w:tab/>
        <w:t>1976</w:t>
      </w:r>
      <w:r w:rsidRPr="006E3B9B">
        <w:rPr>
          <w:rFonts w:hint="eastAsia"/>
          <w:lang w:val="en-US" w:eastAsia="zh-CN"/>
        </w:rPr>
        <w:t>年</w:t>
      </w:r>
    </w:p>
    <w:p w14:paraId="4827BF33"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738</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1975</w:t>
      </w:r>
      <w:r w:rsidRPr="006E3B9B">
        <w:rPr>
          <w:rFonts w:hint="eastAsia"/>
          <w:lang w:eastAsia="zh-CN"/>
        </w:rPr>
        <w:t>年预算</w:t>
      </w:r>
      <w:r w:rsidR="0093668F">
        <w:rPr>
          <w:lang w:eastAsia="zh-CN"/>
        </w:rPr>
        <w:tab/>
      </w:r>
      <w:r w:rsidRPr="006E3B9B">
        <w:rPr>
          <w:lang w:val="en-US" w:eastAsia="zh-CN"/>
        </w:rPr>
        <w:tab/>
        <w:t>1976</w:t>
      </w:r>
      <w:r w:rsidRPr="006E3B9B">
        <w:rPr>
          <w:rFonts w:hint="eastAsia"/>
          <w:lang w:val="en-US" w:eastAsia="zh-CN"/>
        </w:rPr>
        <w:t>年</w:t>
      </w:r>
    </w:p>
    <w:p w14:paraId="4827BF34"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739</w:t>
      </w:r>
      <w:r w:rsidRPr="006E3B9B">
        <w:rPr>
          <w:lang w:val="en-US" w:eastAsia="zh-CN"/>
        </w:rPr>
        <w:t>号决议</w:t>
      </w:r>
      <w:r w:rsidRPr="006E3B9B">
        <w:rPr>
          <w:lang w:val="en-US" w:eastAsia="zh-CN"/>
        </w:rPr>
        <w:tab/>
      </w:r>
      <w:r w:rsidRPr="006E3B9B">
        <w:rPr>
          <w:rFonts w:hint="eastAsia"/>
          <w:lang w:eastAsia="zh-CN"/>
        </w:rPr>
        <w:t>国际电联《财务规则》</w:t>
      </w:r>
      <w:r w:rsidR="0093668F">
        <w:rPr>
          <w:lang w:eastAsia="zh-CN"/>
        </w:rPr>
        <w:tab/>
      </w:r>
      <w:r w:rsidRPr="006E3B9B">
        <w:rPr>
          <w:lang w:val="en-US" w:eastAsia="zh-CN"/>
        </w:rPr>
        <w:tab/>
        <w:t>1975</w:t>
      </w:r>
      <w:r w:rsidRPr="006E3B9B">
        <w:rPr>
          <w:rFonts w:hint="eastAsia"/>
          <w:lang w:val="en-US" w:eastAsia="zh-CN"/>
        </w:rPr>
        <w:t>年</w:t>
      </w:r>
    </w:p>
    <w:p w14:paraId="4827BF35"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740</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1974</w:t>
      </w:r>
      <w:r w:rsidRPr="006E3B9B">
        <w:rPr>
          <w:rFonts w:hint="eastAsia"/>
          <w:lang w:eastAsia="zh-CN"/>
        </w:rPr>
        <w:t>年最终预算</w:t>
      </w:r>
      <w:r w:rsidR="0093668F">
        <w:rPr>
          <w:lang w:eastAsia="zh-CN"/>
        </w:rPr>
        <w:tab/>
      </w:r>
      <w:r w:rsidRPr="006E3B9B">
        <w:rPr>
          <w:lang w:val="en-US" w:eastAsia="zh-CN"/>
        </w:rPr>
        <w:tab/>
        <w:t>1975</w:t>
      </w:r>
      <w:r w:rsidRPr="006E3B9B">
        <w:rPr>
          <w:rFonts w:hint="eastAsia"/>
          <w:lang w:val="en-US" w:eastAsia="zh-CN"/>
        </w:rPr>
        <w:t>年</w:t>
      </w:r>
    </w:p>
    <w:p w14:paraId="4827BF36"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741</w:t>
      </w:r>
      <w:r w:rsidRPr="006E3B9B">
        <w:rPr>
          <w:lang w:val="en-US" w:eastAsia="zh-CN"/>
        </w:rPr>
        <w:t>号决议</w:t>
      </w:r>
      <w:r w:rsidRPr="006E3B9B">
        <w:rPr>
          <w:lang w:val="en-US" w:eastAsia="zh-CN"/>
        </w:rPr>
        <w:tab/>
      </w:r>
      <w:r w:rsidRPr="006E3B9B">
        <w:rPr>
          <w:rFonts w:hint="eastAsia"/>
          <w:lang w:eastAsia="zh-CN"/>
        </w:rPr>
        <w:t>解放组织参加国际电联会议的条件</w:t>
      </w:r>
      <w:r w:rsidR="0093668F">
        <w:rPr>
          <w:lang w:eastAsia="zh-CN"/>
        </w:rPr>
        <w:tab/>
      </w:r>
      <w:r w:rsidRPr="006E3B9B">
        <w:rPr>
          <w:lang w:val="en-US" w:eastAsia="zh-CN"/>
        </w:rPr>
        <w:tab/>
        <w:t>3.1</w:t>
      </w:r>
    </w:p>
    <w:p w14:paraId="4827BF37"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742</w:t>
      </w:r>
      <w:r w:rsidRPr="006E3B9B">
        <w:rPr>
          <w:rFonts w:hint="eastAsia"/>
          <w:lang w:val="en-US" w:eastAsia="zh-CN"/>
        </w:rPr>
        <w:t>号决议</w:t>
      </w:r>
      <w:r w:rsidRPr="006E3B9B">
        <w:rPr>
          <w:rFonts w:hint="eastAsia"/>
          <w:lang w:val="en-US" w:eastAsia="zh-CN"/>
        </w:rPr>
        <w:tab/>
      </w:r>
      <w:r w:rsidRPr="006E3B9B">
        <w:rPr>
          <w:rFonts w:hint="eastAsia"/>
          <w:lang w:eastAsia="zh-CN"/>
        </w:rPr>
        <w:t>以色列采取的非法行动</w:t>
      </w:r>
      <w:r w:rsidR="0093668F">
        <w:rPr>
          <w:lang w:eastAsia="zh-CN"/>
        </w:rPr>
        <w:tab/>
      </w:r>
      <w:r w:rsidRPr="006E3B9B">
        <w:rPr>
          <w:lang w:val="en-US" w:eastAsia="zh-CN"/>
        </w:rPr>
        <w:tab/>
        <w:t>1992</w:t>
      </w:r>
      <w:r w:rsidRPr="006E3B9B">
        <w:rPr>
          <w:rFonts w:hint="eastAsia"/>
          <w:lang w:val="en-US" w:eastAsia="zh-CN"/>
        </w:rPr>
        <w:t>年</w:t>
      </w:r>
    </w:p>
    <w:p w14:paraId="4827BF38"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743</w:t>
      </w:r>
      <w:r w:rsidRPr="006E3B9B">
        <w:rPr>
          <w:lang w:val="en-US" w:eastAsia="zh-CN"/>
        </w:rPr>
        <w:t>号决议</w:t>
      </w:r>
      <w:r w:rsidRPr="006E3B9B">
        <w:rPr>
          <w:lang w:val="en-US" w:eastAsia="zh-CN"/>
        </w:rPr>
        <w:tab/>
      </w:r>
      <w:r w:rsidRPr="006E3B9B">
        <w:rPr>
          <w:rFonts w:hint="eastAsia"/>
          <w:lang w:eastAsia="zh-CN"/>
        </w:rPr>
        <w:t>广播大会（第</w:t>
      </w:r>
      <w:r w:rsidRPr="006E3B9B">
        <w:rPr>
          <w:lang w:eastAsia="zh-CN"/>
        </w:rPr>
        <w:t>2</w:t>
      </w:r>
      <w:r w:rsidRPr="006E3B9B">
        <w:rPr>
          <w:rFonts w:hint="eastAsia"/>
          <w:lang w:eastAsia="zh-CN"/>
        </w:rPr>
        <w:t>届）</w:t>
      </w:r>
      <w:r w:rsidR="0093668F">
        <w:rPr>
          <w:lang w:eastAsia="zh-CN"/>
        </w:rPr>
        <w:tab/>
      </w:r>
      <w:r w:rsidRPr="006E3B9B">
        <w:rPr>
          <w:lang w:val="en-US" w:eastAsia="zh-CN"/>
        </w:rPr>
        <w:tab/>
        <w:t>1976</w:t>
      </w:r>
      <w:r w:rsidRPr="006E3B9B">
        <w:rPr>
          <w:rFonts w:hint="eastAsia"/>
          <w:lang w:val="en-US" w:eastAsia="zh-CN"/>
        </w:rPr>
        <w:t>年</w:t>
      </w:r>
    </w:p>
    <w:p w14:paraId="4827BF39" w14:textId="77777777" w:rsidR="006E3B9B" w:rsidRPr="006E3B9B" w:rsidRDefault="006E3B9B" w:rsidP="003E11A1">
      <w:pPr>
        <w:pStyle w:val="Reftitle"/>
        <w:rPr>
          <w:lang w:val="en-US" w:eastAsia="zh-CN"/>
        </w:rPr>
      </w:pPr>
      <w:r w:rsidRPr="006E3B9B">
        <w:rPr>
          <w:rFonts w:hint="eastAsia"/>
          <w:lang w:eastAsia="zh-CN"/>
        </w:rPr>
        <w:t>第</w:t>
      </w:r>
      <w:r w:rsidRPr="006E3B9B">
        <w:rPr>
          <w:lang w:eastAsia="zh-CN"/>
        </w:rPr>
        <w:t>30</w:t>
      </w:r>
      <w:r w:rsidRPr="006E3B9B">
        <w:rPr>
          <w:rFonts w:hint="eastAsia"/>
          <w:lang w:eastAsia="zh-CN"/>
        </w:rPr>
        <w:t>届会议（</w:t>
      </w:r>
      <w:r w:rsidRPr="006E3B9B">
        <w:rPr>
          <w:lang w:eastAsia="zh-CN"/>
        </w:rPr>
        <w:t>1975</w:t>
      </w:r>
      <w:r w:rsidRPr="006E3B9B">
        <w:rPr>
          <w:rFonts w:hint="eastAsia"/>
          <w:lang w:eastAsia="zh-CN"/>
        </w:rPr>
        <w:t>年</w:t>
      </w:r>
      <w:r w:rsidRPr="006E3B9B">
        <w:rPr>
          <w:lang w:eastAsia="zh-CN"/>
        </w:rPr>
        <w:t>6</w:t>
      </w:r>
      <w:r w:rsidRPr="006E3B9B">
        <w:rPr>
          <w:rFonts w:hint="eastAsia"/>
          <w:lang w:eastAsia="zh-CN"/>
        </w:rPr>
        <w:t>月）</w:t>
      </w:r>
    </w:p>
    <w:p w14:paraId="4827BF3A"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744</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1974</w:t>
      </w:r>
      <w:r w:rsidRPr="006E3B9B">
        <w:rPr>
          <w:rFonts w:hint="eastAsia"/>
          <w:lang w:eastAsia="zh-CN"/>
        </w:rPr>
        <w:t>年财务工作报告</w:t>
      </w:r>
      <w:r w:rsidRPr="006E3B9B">
        <w:rPr>
          <w:lang w:val="en-US" w:eastAsia="zh-CN"/>
        </w:rPr>
        <w:tab/>
      </w:r>
      <w:r w:rsidR="0093668F">
        <w:rPr>
          <w:lang w:val="en-US" w:eastAsia="zh-CN"/>
        </w:rPr>
        <w:tab/>
      </w:r>
      <w:r w:rsidRPr="006E3B9B">
        <w:rPr>
          <w:lang w:val="en-US" w:eastAsia="zh-CN"/>
        </w:rPr>
        <w:t>1976</w:t>
      </w:r>
      <w:r w:rsidRPr="006E3B9B">
        <w:rPr>
          <w:rFonts w:hint="eastAsia"/>
          <w:lang w:val="en-US" w:eastAsia="zh-CN"/>
        </w:rPr>
        <w:t>年</w:t>
      </w:r>
    </w:p>
    <w:p w14:paraId="4827BF3B"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745</w:t>
      </w:r>
      <w:r w:rsidRPr="006E3B9B">
        <w:rPr>
          <w:lang w:val="en-US" w:eastAsia="zh-CN"/>
        </w:rPr>
        <w:t>号决议</w:t>
      </w:r>
      <w:r w:rsidRPr="006E3B9B">
        <w:rPr>
          <w:lang w:val="en-US" w:eastAsia="zh-CN"/>
        </w:rPr>
        <w:tab/>
      </w:r>
      <w:r w:rsidRPr="006E3B9B">
        <w:rPr>
          <w:rFonts w:hint="eastAsia"/>
          <w:lang w:eastAsia="zh-CN"/>
        </w:rPr>
        <w:t>《人事规则》修正案</w:t>
      </w:r>
      <w:r w:rsidRPr="006E3B9B">
        <w:rPr>
          <w:lang w:val="en-US" w:eastAsia="zh-CN"/>
        </w:rPr>
        <w:tab/>
      </w:r>
      <w:r w:rsidR="0093668F">
        <w:rPr>
          <w:lang w:val="en-US" w:eastAsia="zh-CN"/>
        </w:rPr>
        <w:tab/>
      </w:r>
      <w:r w:rsidRPr="006E3B9B">
        <w:rPr>
          <w:lang w:val="en-US" w:eastAsia="zh-CN"/>
        </w:rPr>
        <w:t>1976</w:t>
      </w:r>
      <w:r w:rsidRPr="006E3B9B">
        <w:rPr>
          <w:rFonts w:hint="eastAsia"/>
          <w:lang w:val="en-US" w:eastAsia="zh-CN"/>
        </w:rPr>
        <w:t>年</w:t>
      </w:r>
    </w:p>
    <w:p w14:paraId="4827BF3C"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746</w:t>
      </w:r>
      <w:r w:rsidRPr="006E3B9B">
        <w:rPr>
          <w:lang w:val="en-US" w:eastAsia="zh-CN"/>
        </w:rPr>
        <w:t>号决议</w:t>
      </w:r>
      <w:r w:rsidRPr="006E3B9B">
        <w:rPr>
          <w:lang w:val="en-US" w:eastAsia="zh-CN"/>
        </w:rPr>
        <w:tab/>
      </w:r>
      <w:r w:rsidRPr="006E3B9B">
        <w:rPr>
          <w:rFonts w:hint="eastAsia"/>
          <w:lang w:eastAsia="zh-CN"/>
        </w:rPr>
        <w:t>《人事规则》修正案</w:t>
      </w:r>
      <w:r w:rsidRPr="006E3B9B">
        <w:rPr>
          <w:lang w:val="en-US" w:eastAsia="zh-CN"/>
        </w:rPr>
        <w:tab/>
      </w:r>
      <w:r w:rsidR="0093668F">
        <w:rPr>
          <w:lang w:val="en-US" w:eastAsia="zh-CN"/>
        </w:rPr>
        <w:tab/>
      </w:r>
      <w:r w:rsidRPr="006E3B9B">
        <w:rPr>
          <w:lang w:val="en-US" w:eastAsia="zh-CN"/>
        </w:rPr>
        <w:t>1976</w:t>
      </w:r>
      <w:r w:rsidRPr="006E3B9B">
        <w:rPr>
          <w:rFonts w:hint="eastAsia"/>
          <w:lang w:val="en-US" w:eastAsia="zh-CN"/>
        </w:rPr>
        <w:t>年</w:t>
      </w:r>
    </w:p>
    <w:p w14:paraId="4827BF3D"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747</w:t>
      </w:r>
      <w:r w:rsidRPr="006E3B9B">
        <w:rPr>
          <w:lang w:val="en-US" w:eastAsia="zh-CN"/>
        </w:rPr>
        <w:t>号决议</w:t>
      </w:r>
      <w:r w:rsidRPr="006E3B9B">
        <w:rPr>
          <w:lang w:val="en-US" w:eastAsia="zh-CN"/>
        </w:rPr>
        <w:tab/>
      </w:r>
      <w:r w:rsidRPr="006E3B9B">
        <w:rPr>
          <w:rFonts w:hint="eastAsia"/>
          <w:lang w:eastAsia="zh-CN"/>
        </w:rPr>
        <w:t>国际公务员制度委员会</w:t>
      </w:r>
      <w:r w:rsidRPr="006E3B9B">
        <w:rPr>
          <w:lang w:val="en-US" w:eastAsia="zh-CN"/>
        </w:rPr>
        <w:tab/>
      </w:r>
      <w:r w:rsidR="0093668F">
        <w:rPr>
          <w:lang w:val="en-US" w:eastAsia="zh-CN"/>
        </w:rPr>
        <w:tab/>
      </w:r>
      <w:r w:rsidRPr="006E3B9B">
        <w:rPr>
          <w:lang w:val="en-US" w:eastAsia="zh-CN"/>
        </w:rPr>
        <w:t>2.4</w:t>
      </w:r>
    </w:p>
    <w:p w14:paraId="4827BF3E" w14:textId="77777777" w:rsidR="00BF1CF1" w:rsidRDefault="00BF1CF1">
      <w:pPr>
        <w:tabs>
          <w:tab w:val="clear" w:pos="794"/>
          <w:tab w:val="clear" w:pos="1191"/>
          <w:tab w:val="clear" w:pos="1588"/>
          <w:tab w:val="clear" w:pos="1985"/>
        </w:tabs>
        <w:overflowPunct/>
        <w:autoSpaceDE/>
        <w:autoSpaceDN/>
        <w:adjustRightInd/>
        <w:spacing w:before="0"/>
        <w:jc w:val="left"/>
        <w:textAlignment w:val="auto"/>
        <w:rPr>
          <w:sz w:val="20"/>
          <w:lang w:val="en-US" w:eastAsia="zh-CN"/>
        </w:rPr>
      </w:pPr>
      <w:r>
        <w:rPr>
          <w:lang w:val="en-US" w:eastAsia="zh-CN"/>
        </w:rPr>
        <w:br w:type="page"/>
      </w:r>
    </w:p>
    <w:p w14:paraId="4827BF3F" w14:textId="77777777" w:rsidR="006E3B9B" w:rsidRPr="006E3B9B" w:rsidRDefault="006E3B9B" w:rsidP="0093668F">
      <w:pPr>
        <w:pStyle w:val="Appendixref"/>
        <w:rPr>
          <w:lang w:val="en-US" w:eastAsia="zh-CN"/>
        </w:rPr>
      </w:pPr>
      <w:r w:rsidRPr="006E3B9B">
        <w:rPr>
          <w:lang w:val="en-US" w:eastAsia="zh-CN"/>
        </w:rPr>
        <w:lastRenderedPageBreak/>
        <w:t>第</w:t>
      </w:r>
      <w:r w:rsidRPr="006E3B9B">
        <w:rPr>
          <w:lang w:val="en-US" w:eastAsia="zh-CN"/>
        </w:rPr>
        <w:t>748</w:t>
      </w:r>
      <w:r w:rsidRPr="006E3B9B">
        <w:rPr>
          <w:lang w:val="en-US" w:eastAsia="zh-CN"/>
        </w:rPr>
        <w:t>号决议</w:t>
      </w:r>
      <w:r w:rsidRPr="006E3B9B">
        <w:rPr>
          <w:lang w:val="en-US" w:eastAsia="zh-CN"/>
        </w:rPr>
        <w:tab/>
      </w:r>
      <w:r w:rsidRPr="006E3B9B">
        <w:rPr>
          <w:rFonts w:hint="eastAsia"/>
          <w:lang w:eastAsia="zh-CN"/>
        </w:rPr>
        <w:t>选任官员的薪金、任职地点调整数和受扶养人津贴</w:t>
      </w:r>
      <w:r w:rsidRPr="006E3B9B">
        <w:rPr>
          <w:rFonts w:hint="eastAsia"/>
          <w:lang w:eastAsia="zh-CN"/>
        </w:rPr>
        <w:tab/>
      </w:r>
      <w:r w:rsidR="0093668F">
        <w:rPr>
          <w:lang w:eastAsia="zh-CN"/>
        </w:rPr>
        <w:tab/>
      </w:r>
      <w:r w:rsidRPr="006E3B9B">
        <w:rPr>
          <w:rFonts w:hint="eastAsia"/>
          <w:lang w:eastAsia="zh-CN"/>
        </w:rPr>
        <w:t>1978</w:t>
      </w:r>
      <w:r w:rsidRPr="006E3B9B">
        <w:rPr>
          <w:rFonts w:hint="eastAsia"/>
          <w:lang w:val="en-US" w:eastAsia="zh-CN"/>
        </w:rPr>
        <w:t>年</w:t>
      </w:r>
    </w:p>
    <w:p w14:paraId="4827BF40"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749</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1974</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1</w:t>
      </w:r>
      <w:r w:rsidRPr="006E3B9B">
        <w:rPr>
          <w:rFonts w:hint="eastAsia"/>
          <w:lang w:eastAsia="zh-CN"/>
        </w:rPr>
        <w:t>日至</w:t>
      </w:r>
      <w:r w:rsidRPr="006E3B9B">
        <w:rPr>
          <w:lang w:eastAsia="zh-CN"/>
        </w:rPr>
        <w:t>12</w:t>
      </w:r>
      <w:r w:rsidRPr="006E3B9B">
        <w:rPr>
          <w:rFonts w:hint="eastAsia"/>
          <w:lang w:eastAsia="zh-CN"/>
        </w:rPr>
        <w:t>月</w:t>
      </w:r>
      <w:r w:rsidRPr="006E3B9B">
        <w:rPr>
          <w:lang w:eastAsia="zh-CN"/>
        </w:rPr>
        <w:t>31</w:t>
      </w:r>
      <w:r w:rsidRPr="006E3B9B">
        <w:rPr>
          <w:rFonts w:hint="eastAsia"/>
          <w:lang w:eastAsia="zh-CN"/>
        </w:rPr>
        <w:t>日账目的外部审计</w:t>
      </w:r>
      <w:r w:rsidRPr="006E3B9B">
        <w:rPr>
          <w:lang w:val="en-US" w:eastAsia="zh-CN"/>
        </w:rPr>
        <w:tab/>
      </w:r>
      <w:r w:rsidR="0093668F">
        <w:rPr>
          <w:lang w:val="en-US" w:eastAsia="zh-CN"/>
        </w:rPr>
        <w:tab/>
      </w:r>
      <w:r w:rsidRPr="006E3B9B">
        <w:rPr>
          <w:lang w:val="en-US" w:eastAsia="zh-CN"/>
        </w:rPr>
        <w:t>1976</w:t>
      </w:r>
      <w:r w:rsidRPr="006E3B9B">
        <w:rPr>
          <w:rFonts w:hint="eastAsia"/>
          <w:lang w:val="en-US" w:eastAsia="zh-CN"/>
        </w:rPr>
        <w:t>年</w:t>
      </w:r>
    </w:p>
    <w:p w14:paraId="4827BF41" w14:textId="77777777" w:rsidR="006E3B9B" w:rsidRPr="006E3B9B" w:rsidRDefault="0074758E" w:rsidP="0093668F">
      <w:pPr>
        <w:pStyle w:val="Appendixref"/>
        <w:rPr>
          <w:lang w:val="en-US" w:eastAsia="zh-CN"/>
        </w:rPr>
      </w:pPr>
      <w:r>
        <w:rPr>
          <w:rFonts w:hint="eastAsia"/>
          <w:lang w:val="en-US" w:eastAsia="zh-CN"/>
        </w:rPr>
        <w:t>第</w:t>
      </w:r>
      <w:r w:rsidR="006E3B9B" w:rsidRPr="006E3B9B">
        <w:rPr>
          <w:rFonts w:hint="eastAsia"/>
          <w:lang w:val="en-US" w:eastAsia="zh-CN"/>
        </w:rPr>
        <w:t>750</w:t>
      </w:r>
      <w:r w:rsidR="006E3B9B" w:rsidRPr="006E3B9B">
        <w:rPr>
          <w:rFonts w:hint="eastAsia"/>
          <w:lang w:val="en-US" w:eastAsia="zh-CN"/>
        </w:rPr>
        <w:t>号决议</w:t>
      </w:r>
      <w:r w:rsidR="006E3B9B" w:rsidRPr="006E3B9B">
        <w:rPr>
          <w:rFonts w:hint="eastAsia"/>
          <w:lang w:val="en-US" w:eastAsia="zh-CN"/>
        </w:rPr>
        <w:tab/>
      </w:r>
      <w:r w:rsidR="006E3B9B" w:rsidRPr="006E3B9B">
        <w:rPr>
          <w:rFonts w:hint="eastAsia"/>
          <w:lang w:val="en-US" w:eastAsia="zh-CN"/>
        </w:rPr>
        <w:t>有关</w:t>
      </w:r>
      <w:r w:rsidR="006E3B9B" w:rsidRPr="006E3B9B">
        <w:rPr>
          <w:rFonts w:hint="eastAsia"/>
          <w:lang w:val="en-US" w:eastAsia="zh-CN"/>
        </w:rPr>
        <w:t>CCITT</w:t>
      </w:r>
      <w:r w:rsidR="006E3B9B" w:rsidRPr="006E3B9B">
        <w:rPr>
          <w:rFonts w:hint="eastAsia"/>
          <w:lang w:val="en-US" w:eastAsia="zh-CN"/>
        </w:rPr>
        <w:t>工作的迟到文稿</w:t>
      </w:r>
      <w:r w:rsidR="006E3B9B" w:rsidRPr="006E3B9B">
        <w:rPr>
          <w:rFonts w:hint="eastAsia"/>
          <w:lang w:val="en-US" w:eastAsia="zh-CN"/>
        </w:rPr>
        <w:tab/>
      </w:r>
      <w:r w:rsidR="0093668F">
        <w:rPr>
          <w:lang w:val="en-US" w:eastAsia="zh-CN"/>
        </w:rPr>
        <w:tab/>
      </w:r>
      <w:r w:rsidR="006E3B9B" w:rsidRPr="006E3B9B">
        <w:rPr>
          <w:rFonts w:hint="eastAsia"/>
          <w:lang w:val="en-US" w:eastAsia="zh-CN"/>
        </w:rPr>
        <w:t>1977</w:t>
      </w:r>
      <w:r w:rsidR="006E3B9B" w:rsidRPr="006E3B9B">
        <w:rPr>
          <w:rFonts w:hint="eastAsia"/>
          <w:lang w:val="en-US" w:eastAsia="zh-CN"/>
        </w:rPr>
        <w:t>年</w:t>
      </w:r>
    </w:p>
    <w:p w14:paraId="4827BF42" w14:textId="77777777" w:rsidR="006E3B9B" w:rsidRPr="006E3B9B" w:rsidRDefault="0074758E" w:rsidP="0093668F">
      <w:pPr>
        <w:pStyle w:val="Appendixref"/>
        <w:rPr>
          <w:lang w:val="en-US" w:eastAsia="zh-CN"/>
        </w:rPr>
      </w:pPr>
      <w:r>
        <w:rPr>
          <w:rFonts w:hint="eastAsia"/>
          <w:lang w:val="en-US" w:eastAsia="zh-CN"/>
        </w:rPr>
        <w:t>第</w:t>
      </w:r>
      <w:r w:rsidR="006E3B9B" w:rsidRPr="006E3B9B">
        <w:rPr>
          <w:rFonts w:hint="eastAsia"/>
          <w:lang w:val="en-US" w:eastAsia="zh-CN"/>
        </w:rPr>
        <w:t>751</w:t>
      </w:r>
      <w:r w:rsidR="006E3B9B" w:rsidRPr="006E3B9B">
        <w:rPr>
          <w:rFonts w:hint="eastAsia"/>
          <w:lang w:val="en-US" w:eastAsia="zh-CN"/>
        </w:rPr>
        <w:t>号决议</w:t>
      </w:r>
      <w:r w:rsidR="006E3B9B" w:rsidRPr="006E3B9B">
        <w:rPr>
          <w:rFonts w:hint="eastAsia"/>
          <w:lang w:val="en-US" w:eastAsia="zh-CN"/>
        </w:rPr>
        <w:tab/>
      </w:r>
      <w:r w:rsidR="006E3B9B" w:rsidRPr="006E3B9B">
        <w:rPr>
          <w:rFonts w:hint="eastAsia"/>
          <w:lang w:val="en-US" w:eastAsia="zh-CN"/>
        </w:rPr>
        <w:t>国际电联总部办公楼的扩建</w:t>
      </w:r>
      <w:r w:rsidR="006E3B9B" w:rsidRPr="006E3B9B">
        <w:rPr>
          <w:rFonts w:hint="eastAsia"/>
          <w:lang w:val="en-US" w:eastAsia="zh-CN"/>
        </w:rPr>
        <w:tab/>
      </w:r>
      <w:r w:rsidR="0093668F">
        <w:rPr>
          <w:lang w:val="en-US" w:eastAsia="zh-CN"/>
        </w:rPr>
        <w:tab/>
      </w:r>
      <w:r w:rsidR="006E3B9B" w:rsidRPr="006E3B9B">
        <w:rPr>
          <w:rFonts w:hint="eastAsia"/>
          <w:lang w:val="en-US" w:eastAsia="zh-CN"/>
        </w:rPr>
        <w:t>1976</w:t>
      </w:r>
      <w:r w:rsidR="006E3B9B" w:rsidRPr="006E3B9B">
        <w:rPr>
          <w:rFonts w:hint="eastAsia"/>
          <w:lang w:val="en-US" w:eastAsia="zh-CN"/>
        </w:rPr>
        <w:t>年</w:t>
      </w:r>
    </w:p>
    <w:p w14:paraId="4827BF43"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752</w:t>
      </w:r>
      <w:r w:rsidRPr="006E3B9B">
        <w:rPr>
          <w:lang w:val="en-US" w:eastAsia="zh-CN"/>
        </w:rPr>
        <w:t>号决议</w:t>
      </w:r>
      <w:r w:rsidRPr="006E3B9B">
        <w:rPr>
          <w:lang w:val="en-US" w:eastAsia="zh-CN"/>
        </w:rPr>
        <w:tab/>
      </w:r>
      <w:r w:rsidRPr="006E3B9B">
        <w:rPr>
          <w:rFonts w:hint="eastAsia"/>
          <w:lang w:eastAsia="zh-CN"/>
        </w:rPr>
        <w:t>兑换率浮动对招聘条件的影响</w:t>
      </w:r>
      <w:r w:rsidRPr="006E3B9B">
        <w:rPr>
          <w:lang w:val="en-US" w:eastAsia="zh-CN"/>
        </w:rPr>
        <w:tab/>
      </w:r>
      <w:r w:rsidR="0093668F">
        <w:rPr>
          <w:lang w:val="en-US" w:eastAsia="zh-CN"/>
        </w:rPr>
        <w:tab/>
      </w:r>
      <w:r w:rsidRPr="006E3B9B">
        <w:rPr>
          <w:lang w:val="en-US" w:eastAsia="zh-CN"/>
        </w:rPr>
        <w:t>1981</w:t>
      </w:r>
      <w:r w:rsidRPr="006E3B9B">
        <w:rPr>
          <w:rFonts w:hint="eastAsia"/>
          <w:lang w:val="en-US" w:eastAsia="zh-CN"/>
        </w:rPr>
        <w:t>年</w:t>
      </w:r>
    </w:p>
    <w:p w14:paraId="4827BF44"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753</w:t>
      </w:r>
      <w:r w:rsidRPr="006E3B9B">
        <w:rPr>
          <w:lang w:val="en-US" w:eastAsia="zh-CN"/>
        </w:rPr>
        <w:t>号决议</w:t>
      </w:r>
      <w:r w:rsidRPr="006E3B9B">
        <w:rPr>
          <w:lang w:val="en-US" w:eastAsia="zh-CN"/>
        </w:rPr>
        <w:tab/>
      </w:r>
      <w:r w:rsidRPr="006E3B9B">
        <w:rPr>
          <w:lang w:eastAsia="zh-CN"/>
        </w:rPr>
        <w:t>G.1</w:t>
      </w:r>
      <w:r w:rsidRPr="006E3B9B">
        <w:rPr>
          <w:rFonts w:hint="eastAsia"/>
          <w:lang w:eastAsia="zh-CN"/>
        </w:rPr>
        <w:t>至</w:t>
      </w:r>
      <w:r w:rsidRPr="006E3B9B">
        <w:rPr>
          <w:lang w:eastAsia="zh-CN"/>
        </w:rPr>
        <w:t>G.7</w:t>
      </w:r>
      <w:r w:rsidRPr="006E3B9B">
        <w:rPr>
          <w:rFonts w:hint="eastAsia"/>
          <w:lang w:eastAsia="zh-CN"/>
        </w:rPr>
        <w:t>级职位</w:t>
      </w:r>
      <w:r w:rsidRPr="006E3B9B">
        <w:rPr>
          <w:lang w:val="en-US" w:eastAsia="zh-CN"/>
        </w:rPr>
        <w:tab/>
      </w:r>
      <w:r w:rsidR="0093668F">
        <w:rPr>
          <w:lang w:val="en-US" w:eastAsia="zh-CN"/>
        </w:rPr>
        <w:tab/>
      </w:r>
      <w:r w:rsidRPr="006E3B9B">
        <w:rPr>
          <w:lang w:val="en-US" w:eastAsia="zh-CN"/>
        </w:rPr>
        <w:t>1994</w:t>
      </w:r>
      <w:r w:rsidRPr="006E3B9B">
        <w:rPr>
          <w:rFonts w:hint="eastAsia"/>
          <w:lang w:val="en-US" w:eastAsia="zh-CN"/>
        </w:rPr>
        <w:t>年</w:t>
      </w:r>
    </w:p>
    <w:p w14:paraId="4827BF45"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754</w:t>
      </w:r>
      <w:r w:rsidRPr="006E3B9B">
        <w:rPr>
          <w:lang w:val="en-US" w:eastAsia="zh-CN"/>
        </w:rPr>
        <w:t>号决议</w:t>
      </w:r>
      <w:r w:rsidRPr="006E3B9B">
        <w:rPr>
          <w:lang w:val="en-US" w:eastAsia="zh-CN"/>
        </w:rPr>
        <w:tab/>
      </w:r>
      <w:r w:rsidRPr="006E3B9B">
        <w:rPr>
          <w:rFonts w:hint="eastAsia"/>
          <w:lang w:eastAsia="zh-CN"/>
        </w:rPr>
        <w:t>租用国际电联大楼内会议厅和办公室的条件</w:t>
      </w:r>
      <w:r w:rsidRPr="006E3B9B">
        <w:rPr>
          <w:lang w:val="en-US" w:eastAsia="zh-CN"/>
        </w:rPr>
        <w:tab/>
      </w:r>
      <w:r w:rsidR="0093668F">
        <w:rPr>
          <w:lang w:val="en-US" w:eastAsia="zh-CN"/>
        </w:rPr>
        <w:tab/>
      </w:r>
      <w:r w:rsidRPr="006E3B9B">
        <w:rPr>
          <w:lang w:val="en-US" w:eastAsia="zh-CN"/>
        </w:rPr>
        <w:t>1977</w:t>
      </w:r>
      <w:r w:rsidRPr="006E3B9B">
        <w:rPr>
          <w:rFonts w:hint="eastAsia"/>
          <w:lang w:val="en-US" w:eastAsia="zh-CN"/>
        </w:rPr>
        <w:t>年</w:t>
      </w:r>
    </w:p>
    <w:p w14:paraId="4827BF46"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755</w:t>
      </w:r>
      <w:r w:rsidRPr="006E3B9B">
        <w:rPr>
          <w:lang w:val="en-US" w:eastAsia="zh-CN"/>
        </w:rPr>
        <w:t>号决议</w:t>
      </w:r>
      <w:r w:rsidRPr="006E3B9B">
        <w:rPr>
          <w:lang w:val="en-US" w:eastAsia="zh-CN"/>
        </w:rPr>
        <w:tab/>
      </w:r>
      <w:r w:rsidRPr="006E3B9B">
        <w:rPr>
          <w:rFonts w:hint="eastAsia"/>
          <w:lang w:eastAsia="zh-CN"/>
        </w:rPr>
        <w:t>国际电联《财务规则》（修订版）</w:t>
      </w:r>
      <w:r w:rsidRPr="006E3B9B">
        <w:rPr>
          <w:lang w:val="en-US" w:eastAsia="zh-CN"/>
        </w:rPr>
        <w:tab/>
      </w:r>
      <w:r w:rsidR="0093668F">
        <w:rPr>
          <w:lang w:val="en-US" w:eastAsia="zh-CN"/>
        </w:rPr>
        <w:tab/>
      </w:r>
      <w:r w:rsidRPr="006E3B9B">
        <w:rPr>
          <w:lang w:val="en-US" w:eastAsia="zh-CN"/>
        </w:rPr>
        <w:t>1976</w:t>
      </w:r>
      <w:r w:rsidRPr="006E3B9B">
        <w:rPr>
          <w:rFonts w:hint="eastAsia"/>
          <w:lang w:val="en-US" w:eastAsia="zh-CN"/>
        </w:rPr>
        <w:t>年</w:t>
      </w:r>
    </w:p>
    <w:p w14:paraId="4827BF47"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756</w:t>
      </w:r>
      <w:r w:rsidRPr="006E3B9B">
        <w:rPr>
          <w:lang w:val="en-US" w:eastAsia="zh-CN"/>
        </w:rPr>
        <w:t>号决议</w:t>
      </w:r>
      <w:r w:rsidRPr="006E3B9B">
        <w:rPr>
          <w:lang w:val="en-US" w:eastAsia="zh-CN"/>
        </w:rPr>
        <w:tab/>
      </w:r>
      <w:r w:rsidRPr="006E3B9B">
        <w:rPr>
          <w:rFonts w:hint="eastAsia"/>
          <w:lang w:eastAsia="zh-CN"/>
        </w:rPr>
        <w:t>美国海底电缆公司的欠款</w:t>
      </w:r>
      <w:r w:rsidRPr="006E3B9B">
        <w:rPr>
          <w:lang w:val="en-US" w:eastAsia="zh-CN"/>
        </w:rPr>
        <w:tab/>
      </w:r>
      <w:r w:rsidR="0093668F">
        <w:rPr>
          <w:lang w:val="en-US" w:eastAsia="zh-CN"/>
        </w:rPr>
        <w:tab/>
      </w:r>
      <w:r w:rsidRPr="006E3B9B">
        <w:rPr>
          <w:lang w:val="en-US" w:eastAsia="zh-CN"/>
        </w:rPr>
        <w:t>1976</w:t>
      </w:r>
      <w:r w:rsidRPr="006E3B9B">
        <w:rPr>
          <w:rFonts w:hint="eastAsia"/>
          <w:lang w:val="en-US" w:eastAsia="zh-CN"/>
        </w:rPr>
        <w:t>年</w:t>
      </w:r>
    </w:p>
    <w:p w14:paraId="4827BF48"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757</w:t>
      </w:r>
      <w:r w:rsidRPr="006E3B9B">
        <w:rPr>
          <w:lang w:val="en-US" w:eastAsia="zh-CN"/>
        </w:rPr>
        <w:t>号决议</w:t>
      </w:r>
      <w:r w:rsidRPr="006E3B9B">
        <w:rPr>
          <w:lang w:val="en-US" w:eastAsia="zh-CN"/>
        </w:rPr>
        <w:tab/>
      </w:r>
      <w:r w:rsidRPr="006E3B9B">
        <w:rPr>
          <w:lang w:eastAsia="zh-CN"/>
        </w:rPr>
        <w:t>1975</w:t>
      </w:r>
      <w:r w:rsidRPr="006E3B9B">
        <w:rPr>
          <w:rFonts w:hint="eastAsia"/>
          <w:lang w:eastAsia="zh-CN"/>
        </w:rPr>
        <w:t>年的追加拨款</w:t>
      </w:r>
      <w:r w:rsidRPr="006E3B9B">
        <w:rPr>
          <w:lang w:val="en-US" w:eastAsia="zh-CN"/>
        </w:rPr>
        <w:tab/>
      </w:r>
      <w:r w:rsidR="0093668F">
        <w:rPr>
          <w:lang w:val="en-US" w:eastAsia="zh-CN"/>
        </w:rPr>
        <w:tab/>
      </w:r>
      <w:r w:rsidRPr="006E3B9B">
        <w:rPr>
          <w:lang w:val="en-US" w:eastAsia="zh-CN"/>
        </w:rPr>
        <w:t>1976</w:t>
      </w:r>
      <w:r w:rsidRPr="006E3B9B">
        <w:rPr>
          <w:rFonts w:hint="eastAsia"/>
          <w:lang w:val="en-US" w:eastAsia="zh-CN"/>
        </w:rPr>
        <w:t>年</w:t>
      </w:r>
    </w:p>
    <w:p w14:paraId="4827BF49"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758</w:t>
      </w:r>
      <w:r w:rsidRPr="006E3B9B">
        <w:rPr>
          <w:lang w:val="en-US" w:eastAsia="zh-CN"/>
        </w:rPr>
        <w:t>号决议</w:t>
      </w:r>
      <w:r w:rsidRPr="006E3B9B">
        <w:rPr>
          <w:lang w:val="en-US" w:eastAsia="zh-CN"/>
        </w:rPr>
        <w:tab/>
      </w:r>
      <w:r w:rsidRPr="006E3B9B">
        <w:rPr>
          <w:rFonts w:hint="eastAsia"/>
          <w:lang w:eastAsia="zh-CN"/>
        </w:rPr>
        <w:t>《人事规则》修正案</w:t>
      </w:r>
      <w:r w:rsidRPr="006E3B9B">
        <w:rPr>
          <w:lang w:val="en-US" w:eastAsia="zh-CN"/>
        </w:rPr>
        <w:tab/>
      </w:r>
      <w:r w:rsidR="0093668F">
        <w:rPr>
          <w:lang w:val="en-US" w:eastAsia="zh-CN"/>
        </w:rPr>
        <w:tab/>
      </w:r>
      <w:r w:rsidRPr="006E3B9B">
        <w:rPr>
          <w:lang w:val="en-US" w:eastAsia="zh-CN"/>
        </w:rPr>
        <w:t>1976</w:t>
      </w:r>
      <w:r w:rsidRPr="006E3B9B">
        <w:rPr>
          <w:rFonts w:hint="eastAsia"/>
          <w:lang w:val="en-US" w:eastAsia="zh-CN"/>
        </w:rPr>
        <w:t>年</w:t>
      </w:r>
    </w:p>
    <w:p w14:paraId="4827BF4A"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759</w:t>
      </w:r>
      <w:r w:rsidRPr="006E3B9B">
        <w:rPr>
          <w:lang w:val="en-US" w:eastAsia="zh-CN"/>
        </w:rPr>
        <w:t>号决议</w:t>
      </w:r>
      <w:r w:rsidRPr="006E3B9B">
        <w:rPr>
          <w:lang w:val="en-US" w:eastAsia="zh-CN"/>
        </w:rPr>
        <w:tab/>
      </w:r>
      <w:r w:rsidRPr="006E3B9B">
        <w:rPr>
          <w:rFonts w:hint="eastAsia"/>
          <w:lang w:eastAsia="zh-CN"/>
        </w:rPr>
        <w:t>职位的设立、撤消、延期和重新定级</w:t>
      </w:r>
      <w:r w:rsidRPr="006E3B9B">
        <w:rPr>
          <w:lang w:val="en-US" w:eastAsia="zh-CN"/>
        </w:rPr>
        <w:tab/>
      </w:r>
      <w:r w:rsidR="0093668F">
        <w:rPr>
          <w:lang w:val="en-US" w:eastAsia="zh-CN"/>
        </w:rPr>
        <w:tab/>
      </w:r>
      <w:r w:rsidRPr="006E3B9B">
        <w:rPr>
          <w:lang w:val="en-US" w:eastAsia="zh-CN"/>
        </w:rPr>
        <w:t>1980</w:t>
      </w:r>
      <w:r w:rsidRPr="006E3B9B">
        <w:rPr>
          <w:rFonts w:hint="eastAsia"/>
          <w:lang w:val="en-US" w:eastAsia="zh-CN"/>
        </w:rPr>
        <w:t>年</w:t>
      </w:r>
    </w:p>
    <w:p w14:paraId="4827BF4B"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760</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1976</w:t>
      </w:r>
      <w:r w:rsidRPr="006E3B9B">
        <w:rPr>
          <w:rFonts w:hint="eastAsia"/>
          <w:lang w:eastAsia="zh-CN"/>
        </w:rPr>
        <w:t>年预算</w:t>
      </w:r>
      <w:r w:rsidRPr="006E3B9B">
        <w:rPr>
          <w:lang w:val="en-US" w:eastAsia="zh-CN"/>
        </w:rPr>
        <w:tab/>
      </w:r>
      <w:r w:rsidR="0093668F">
        <w:rPr>
          <w:lang w:val="en-US" w:eastAsia="zh-CN"/>
        </w:rPr>
        <w:tab/>
      </w:r>
      <w:r w:rsidRPr="006E3B9B">
        <w:rPr>
          <w:lang w:val="en-US" w:eastAsia="zh-CN"/>
        </w:rPr>
        <w:t>1977</w:t>
      </w:r>
      <w:r w:rsidRPr="006E3B9B">
        <w:rPr>
          <w:rFonts w:hint="eastAsia"/>
          <w:lang w:val="en-US" w:eastAsia="zh-CN"/>
        </w:rPr>
        <w:t>年</w:t>
      </w:r>
    </w:p>
    <w:p w14:paraId="4827BF4C"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761</w:t>
      </w:r>
      <w:r w:rsidRPr="006E3B9B">
        <w:rPr>
          <w:lang w:val="en-US" w:eastAsia="zh-CN"/>
        </w:rPr>
        <w:t>号决议</w:t>
      </w:r>
      <w:r w:rsidRPr="006E3B9B">
        <w:rPr>
          <w:lang w:val="en-US" w:eastAsia="zh-CN"/>
        </w:rPr>
        <w:tab/>
      </w:r>
      <w:r w:rsidRPr="006E3B9B">
        <w:rPr>
          <w:lang w:eastAsia="zh-CN"/>
        </w:rPr>
        <w:t>CCIR</w:t>
      </w:r>
      <w:r w:rsidRPr="006E3B9B">
        <w:rPr>
          <w:rFonts w:hint="eastAsia"/>
          <w:lang w:eastAsia="zh-CN"/>
        </w:rPr>
        <w:t>就有关</w:t>
      </w:r>
      <w:r w:rsidRPr="006E3B9B">
        <w:rPr>
          <w:lang w:eastAsia="zh-CN"/>
        </w:rPr>
        <w:t>12 GHz</w:t>
      </w:r>
      <w:r w:rsidRPr="006E3B9B">
        <w:rPr>
          <w:rFonts w:hint="eastAsia"/>
          <w:lang w:eastAsia="zh-CN"/>
        </w:rPr>
        <w:t>频段卫星广播的世界无线电行政大会开展的筹备工作</w:t>
      </w:r>
      <w:r w:rsidR="0093668F">
        <w:rPr>
          <w:lang w:eastAsia="zh-CN"/>
        </w:rPr>
        <w:tab/>
      </w:r>
      <w:r w:rsidRPr="006E3B9B">
        <w:rPr>
          <w:lang w:val="en-US" w:eastAsia="zh-CN"/>
        </w:rPr>
        <w:tab/>
        <w:t>1977</w:t>
      </w:r>
      <w:r w:rsidRPr="006E3B9B">
        <w:rPr>
          <w:rFonts w:hint="eastAsia"/>
          <w:lang w:val="en-US" w:eastAsia="zh-CN"/>
        </w:rPr>
        <w:t>年</w:t>
      </w:r>
    </w:p>
    <w:p w14:paraId="4827BF4D"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762</w:t>
      </w:r>
      <w:r w:rsidRPr="006E3B9B">
        <w:rPr>
          <w:lang w:val="en-US" w:eastAsia="zh-CN"/>
        </w:rPr>
        <w:t>号决议</w:t>
      </w:r>
      <w:r w:rsidRPr="006E3B9B">
        <w:rPr>
          <w:lang w:val="en-US" w:eastAsia="zh-CN"/>
        </w:rPr>
        <w:tab/>
      </w:r>
      <w:r w:rsidRPr="006E3B9B">
        <w:rPr>
          <w:rFonts w:hint="eastAsia"/>
          <w:lang w:eastAsia="zh-CN"/>
        </w:rPr>
        <w:t>关于</w:t>
      </w:r>
      <w:r w:rsidRPr="006E3B9B">
        <w:rPr>
          <w:lang w:eastAsia="zh-CN"/>
        </w:rPr>
        <w:t>11.7-12.1GHz</w:t>
      </w:r>
      <w:r w:rsidRPr="006E3B9B">
        <w:rPr>
          <w:rFonts w:hint="eastAsia"/>
          <w:lang w:eastAsia="zh-CN"/>
        </w:rPr>
        <w:t>（</w:t>
      </w:r>
      <w:r w:rsidRPr="006E3B9B">
        <w:rPr>
          <w:lang w:eastAsia="zh-CN"/>
        </w:rPr>
        <w:t>2</w:t>
      </w:r>
      <w:r w:rsidRPr="006E3B9B">
        <w:rPr>
          <w:rFonts w:hint="eastAsia"/>
          <w:lang w:eastAsia="zh-CN"/>
        </w:rPr>
        <w:t>区和</w:t>
      </w:r>
      <w:r w:rsidRPr="006E3B9B">
        <w:rPr>
          <w:lang w:eastAsia="zh-CN"/>
        </w:rPr>
        <w:t>3</w:t>
      </w:r>
      <w:r w:rsidRPr="006E3B9B">
        <w:rPr>
          <w:rFonts w:hint="eastAsia"/>
          <w:lang w:eastAsia="zh-CN"/>
        </w:rPr>
        <w:t>区）和</w:t>
      </w:r>
      <w:r w:rsidRPr="006E3B9B">
        <w:rPr>
          <w:lang w:eastAsia="zh-CN"/>
        </w:rPr>
        <w:t>11.7-12.5GHz</w:t>
      </w:r>
      <w:r w:rsidRPr="006E3B9B">
        <w:rPr>
          <w:rFonts w:hint="eastAsia"/>
          <w:lang w:eastAsia="zh-CN"/>
        </w:rPr>
        <w:t>频段（</w:t>
      </w:r>
      <w:r w:rsidRPr="006E3B9B">
        <w:rPr>
          <w:rFonts w:hint="eastAsia"/>
          <w:lang w:eastAsia="zh-CN"/>
        </w:rPr>
        <w:t>1</w:t>
      </w:r>
      <w:r w:rsidRPr="006E3B9B">
        <w:rPr>
          <w:rFonts w:hint="eastAsia"/>
          <w:lang w:eastAsia="zh-CN"/>
        </w:rPr>
        <w:t>区）卫星广播业务规划的世界无线电行政大会</w:t>
      </w:r>
      <w:r w:rsidR="0093668F">
        <w:rPr>
          <w:lang w:eastAsia="zh-CN"/>
        </w:rPr>
        <w:tab/>
      </w:r>
      <w:r w:rsidRPr="006E3B9B">
        <w:rPr>
          <w:lang w:val="en-US" w:eastAsia="zh-CN"/>
        </w:rPr>
        <w:tab/>
        <w:t>1977</w:t>
      </w:r>
      <w:r w:rsidRPr="006E3B9B">
        <w:rPr>
          <w:rFonts w:hint="eastAsia"/>
          <w:lang w:val="en-US" w:eastAsia="zh-CN"/>
        </w:rPr>
        <w:t>年</w:t>
      </w:r>
    </w:p>
    <w:p w14:paraId="4827BF4E"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763</w:t>
      </w:r>
      <w:r w:rsidRPr="006E3B9B">
        <w:rPr>
          <w:lang w:val="en-US" w:eastAsia="zh-CN"/>
        </w:rPr>
        <w:t>号决议</w:t>
      </w:r>
      <w:r w:rsidRPr="006E3B9B">
        <w:rPr>
          <w:lang w:val="en-US" w:eastAsia="zh-CN"/>
        </w:rPr>
        <w:tab/>
      </w:r>
      <w:r w:rsidRPr="006E3B9B">
        <w:rPr>
          <w:rFonts w:hint="eastAsia"/>
          <w:lang w:eastAsia="zh-CN"/>
        </w:rPr>
        <w:t>关于航空移动（</w:t>
      </w:r>
      <w:r w:rsidRPr="006E3B9B">
        <w:rPr>
          <w:rFonts w:hint="eastAsia"/>
          <w:lang w:eastAsia="zh-CN"/>
        </w:rPr>
        <w:t>R</w:t>
      </w:r>
      <w:r w:rsidRPr="006E3B9B">
        <w:rPr>
          <w:rFonts w:hint="eastAsia"/>
          <w:lang w:eastAsia="zh-CN"/>
        </w:rPr>
        <w:t>）业务的世界无线电行政大会</w:t>
      </w:r>
      <w:r w:rsidRPr="006E3B9B">
        <w:rPr>
          <w:lang w:val="en-US" w:eastAsia="zh-CN"/>
        </w:rPr>
        <w:tab/>
      </w:r>
      <w:r w:rsidR="0093668F">
        <w:rPr>
          <w:lang w:val="en-US" w:eastAsia="zh-CN"/>
        </w:rPr>
        <w:tab/>
      </w:r>
      <w:r w:rsidRPr="006E3B9B">
        <w:rPr>
          <w:lang w:val="en-US" w:eastAsia="zh-CN"/>
        </w:rPr>
        <w:t>1978</w:t>
      </w:r>
      <w:r w:rsidRPr="006E3B9B">
        <w:rPr>
          <w:rFonts w:hint="eastAsia"/>
          <w:lang w:val="en-US" w:eastAsia="zh-CN"/>
        </w:rPr>
        <w:t>年</w:t>
      </w:r>
    </w:p>
    <w:p w14:paraId="4827BF4F"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764</w:t>
      </w:r>
      <w:r w:rsidRPr="006E3B9B">
        <w:rPr>
          <w:lang w:val="en-US" w:eastAsia="zh-CN"/>
        </w:rPr>
        <w:t>号决议</w:t>
      </w:r>
      <w:r w:rsidRPr="006E3B9B">
        <w:rPr>
          <w:lang w:val="en-US" w:eastAsia="zh-CN"/>
        </w:rPr>
        <w:tab/>
      </w:r>
      <w:r w:rsidRPr="006E3B9B">
        <w:rPr>
          <w:rFonts w:hint="eastAsia"/>
          <w:lang w:eastAsia="zh-CN"/>
        </w:rPr>
        <w:t>关于航空移动（</w:t>
      </w:r>
      <w:r w:rsidRPr="006E3B9B">
        <w:rPr>
          <w:rFonts w:hint="eastAsia"/>
          <w:lang w:eastAsia="zh-CN"/>
        </w:rPr>
        <w:t>R</w:t>
      </w:r>
      <w:r w:rsidRPr="006E3B9B">
        <w:rPr>
          <w:rFonts w:hint="eastAsia"/>
          <w:lang w:eastAsia="zh-CN"/>
        </w:rPr>
        <w:t>）业务的世界无线电行政大会（</w:t>
      </w:r>
      <w:r w:rsidRPr="006E3B9B">
        <w:rPr>
          <w:lang w:eastAsia="zh-CN"/>
        </w:rPr>
        <w:t>1977</w:t>
      </w:r>
      <w:r w:rsidRPr="006E3B9B">
        <w:rPr>
          <w:rFonts w:hint="eastAsia"/>
          <w:lang w:eastAsia="zh-CN"/>
        </w:rPr>
        <w:t>年）的筹备工作</w:t>
      </w:r>
      <w:r w:rsidR="0093668F">
        <w:rPr>
          <w:lang w:eastAsia="zh-CN"/>
        </w:rPr>
        <w:tab/>
      </w:r>
      <w:r w:rsidRPr="006E3B9B">
        <w:rPr>
          <w:lang w:val="en-US" w:eastAsia="zh-CN"/>
        </w:rPr>
        <w:tab/>
        <w:t>1978</w:t>
      </w:r>
      <w:r w:rsidRPr="006E3B9B">
        <w:rPr>
          <w:rFonts w:hint="eastAsia"/>
          <w:lang w:val="en-US" w:eastAsia="zh-CN"/>
        </w:rPr>
        <w:t>年</w:t>
      </w:r>
    </w:p>
    <w:p w14:paraId="4827BF50"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765</w:t>
      </w:r>
      <w:r w:rsidRPr="006E3B9B">
        <w:rPr>
          <w:lang w:val="en-US" w:eastAsia="zh-CN"/>
        </w:rPr>
        <w:t>号决议</w:t>
      </w:r>
      <w:r w:rsidRPr="006E3B9B">
        <w:rPr>
          <w:lang w:val="en-US" w:eastAsia="zh-CN"/>
        </w:rPr>
        <w:tab/>
      </w:r>
      <w:r w:rsidRPr="006E3B9B">
        <w:rPr>
          <w:lang w:eastAsia="zh-CN"/>
        </w:rPr>
        <w:t>1973</w:t>
      </w:r>
      <w:r w:rsidRPr="006E3B9B">
        <w:rPr>
          <w:rFonts w:hint="eastAsia"/>
          <w:lang w:eastAsia="zh-CN"/>
        </w:rPr>
        <w:t>年全权代表大会（马拉加</w:t>
      </w:r>
      <w:r w:rsidRPr="006E3B9B">
        <w:rPr>
          <w:rFonts w:ascii="SimSun" w:hAnsi="SimSun" w:hint="eastAsia"/>
          <w:lang w:eastAsia="zh-CN"/>
        </w:rPr>
        <w:t>-</w:t>
      </w:r>
      <w:r w:rsidRPr="006E3B9B">
        <w:rPr>
          <w:rFonts w:hint="eastAsia"/>
          <w:lang w:eastAsia="zh-CN"/>
        </w:rPr>
        <w:t>托雷莫利诺斯）第</w:t>
      </w:r>
      <w:r w:rsidRPr="006E3B9B">
        <w:rPr>
          <w:lang w:eastAsia="zh-CN"/>
        </w:rPr>
        <w:t>30</w:t>
      </w:r>
      <w:r w:rsidRPr="006E3B9B">
        <w:rPr>
          <w:rFonts w:hint="eastAsia"/>
          <w:lang w:eastAsia="zh-CN"/>
        </w:rPr>
        <w:t>号决议</w:t>
      </w:r>
      <w:r w:rsidRPr="006E3B9B">
        <w:rPr>
          <w:lang w:val="en-US" w:eastAsia="zh-CN"/>
        </w:rPr>
        <w:tab/>
      </w:r>
      <w:r w:rsidR="0093668F">
        <w:rPr>
          <w:lang w:val="en-US" w:eastAsia="zh-CN"/>
        </w:rPr>
        <w:tab/>
      </w:r>
      <w:r w:rsidRPr="006E3B9B">
        <w:rPr>
          <w:lang w:val="en-US" w:eastAsia="zh-CN"/>
        </w:rPr>
        <w:t>1983</w:t>
      </w:r>
      <w:r w:rsidRPr="006E3B9B">
        <w:rPr>
          <w:rFonts w:hint="eastAsia"/>
          <w:lang w:val="en-US" w:eastAsia="zh-CN"/>
        </w:rPr>
        <w:t>年</w:t>
      </w:r>
    </w:p>
    <w:p w14:paraId="4827BF51"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766</w:t>
      </w:r>
      <w:r w:rsidRPr="006E3B9B">
        <w:rPr>
          <w:lang w:val="en-US" w:eastAsia="zh-CN"/>
        </w:rPr>
        <w:t>号决议</w:t>
      </w:r>
      <w:r w:rsidRPr="006E3B9B">
        <w:rPr>
          <w:lang w:val="en-US" w:eastAsia="zh-CN"/>
        </w:rPr>
        <w:tab/>
      </w:r>
      <w:r w:rsidRPr="006E3B9B">
        <w:rPr>
          <w:rFonts w:hint="eastAsia"/>
          <w:lang w:eastAsia="zh-CN"/>
        </w:rPr>
        <w:t>世界无线电行政大会（</w:t>
      </w:r>
      <w:r w:rsidRPr="006E3B9B">
        <w:rPr>
          <w:lang w:eastAsia="zh-CN"/>
        </w:rPr>
        <w:t>1979</w:t>
      </w:r>
      <w:r w:rsidRPr="006E3B9B">
        <w:rPr>
          <w:rFonts w:hint="eastAsia"/>
          <w:lang w:eastAsia="zh-CN"/>
        </w:rPr>
        <w:t>年）的筹备工作</w:t>
      </w:r>
      <w:r w:rsidRPr="006E3B9B">
        <w:rPr>
          <w:lang w:val="en-US" w:eastAsia="zh-CN"/>
        </w:rPr>
        <w:tab/>
      </w:r>
      <w:r w:rsidR="0093668F">
        <w:rPr>
          <w:lang w:val="en-US" w:eastAsia="zh-CN"/>
        </w:rPr>
        <w:tab/>
      </w:r>
      <w:r w:rsidRPr="006E3B9B">
        <w:rPr>
          <w:lang w:val="en-US" w:eastAsia="zh-CN"/>
        </w:rPr>
        <w:t>1976</w:t>
      </w:r>
      <w:r w:rsidRPr="006E3B9B">
        <w:rPr>
          <w:rFonts w:hint="eastAsia"/>
          <w:lang w:val="en-US" w:eastAsia="zh-CN"/>
        </w:rPr>
        <w:t>年</w:t>
      </w:r>
    </w:p>
    <w:p w14:paraId="4827BF52"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767</w:t>
      </w:r>
      <w:r w:rsidRPr="006E3B9B">
        <w:rPr>
          <w:lang w:val="en-US" w:eastAsia="zh-CN"/>
        </w:rPr>
        <w:t>号决议</w:t>
      </w:r>
      <w:r w:rsidRPr="006E3B9B">
        <w:rPr>
          <w:lang w:val="en-US" w:eastAsia="zh-CN"/>
        </w:rPr>
        <w:tab/>
      </w:r>
      <w:r w:rsidRPr="006E3B9B">
        <w:rPr>
          <w:rFonts w:hint="eastAsia"/>
          <w:lang w:eastAsia="zh-CN"/>
        </w:rPr>
        <w:t>欧洲</w:t>
      </w:r>
      <w:r w:rsidRPr="006E3B9B">
        <w:rPr>
          <w:lang w:eastAsia="zh-CN"/>
        </w:rPr>
        <w:t>VHF/UHF</w:t>
      </w:r>
      <w:r w:rsidRPr="006E3B9B">
        <w:rPr>
          <w:rFonts w:hint="eastAsia"/>
          <w:lang w:eastAsia="zh-CN"/>
        </w:rPr>
        <w:t>广播大会（</w:t>
      </w:r>
      <w:r w:rsidRPr="006E3B9B">
        <w:rPr>
          <w:lang w:eastAsia="zh-CN"/>
        </w:rPr>
        <w:t>1961</w:t>
      </w:r>
      <w:r w:rsidRPr="006E3B9B">
        <w:rPr>
          <w:rFonts w:hint="eastAsia"/>
          <w:lang w:eastAsia="zh-CN"/>
        </w:rPr>
        <w:t>年，斯德哥尔摩）第</w:t>
      </w:r>
      <w:r w:rsidRPr="006E3B9B">
        <w:rPr>
          <w:lang w:eastAsia="zh-CN"/>
        </w:rPr>
        <w:t>5</w:t>
      </w:r>
      <w:r w:rsidRPr="006E3B9B">
        <w:rPr>
          <w:rFonts w:hint="eastAsia"/>
          <w:lang w:eastAsia="zh-CN"/>
        </w:rPr>
        <w:t>号建议</w:t>
      </w:r>
      <w:r w:rsidRPr="006E3B9B">
        <w:rPr>
          <w:lang w:val="en-US" w:eastAsia="zh-CN"/>
        </w:rPr>
        <w:tab/>
      </w:r>
      <w:r w:rsidR="0093668F">
        <w:rPr>
          <w:lang w:val="en-US" w:eastAsia="zh-CN"/>
        </w:rPr>
        <w:tab/>
      </w:r>
      <w:r w:rsidRPr="006E3B9B">
        <w:rPr>
          <w:lang w:val="en-US" w:eastAsia="zh-CN"/>
        </w:rPr>
        <w:t>1980</w:t>
      </w:r>
      <w:r w:rsidRPr="006E3B9B">
        <w:rPr>
          <w:rFonts w:hint="eastAsia"/>
          <w:lang w:val="en-US" w:eastAsia="zh-CN"/>
        </w:rPr>
        <w:t>年</w:t>
      </w:r>
    </w:p>
    <w:p w14:paraId="4827BF53"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768</w:t>
      </w:r>
      <w:r w:rsidRPr="006E3B9B">
        <w:rPr>
          <w:lang w:val="en-US" w:eastAsia="zh-CN"/>
        </w:rPr>
        <w:t>号决议</w:t>
      </w:r>
      <w:r w:rsidRPr="006E3B9B">
        <w:rPr>
          <w:lang w:val="en-US" w:eastAsia="zh-CN"/>
        </w:rPr>
        <w:tab/>
      </w:r>
      <w:r w:rsidRPr="006E3B9B">
        <w:rPr>
          <w:rFonts w:hint="eastAsia"/>
          <w:lang w:eastAsia="zh-CN"/>
        </w:rPr>
        <w:t>成立一个由各主管部门专家组成的专家组，研究对《无线电规则》可能进行的</w:t>
      </w:r>
      <w:r w:rsidRPr="006E3B9B">
        <w:rPr>
          <w:lang w:eastAsia="zh-CN"/>
        </w:rPr>
        <w:br/>
      </w:r>
      <w:r w:rsidRPr="006E3B9B">
        <w:rPr>
          <w:rFonts w:hint="eastAsia"/>
          <w:lang w:eastAsia="zh-CN"/>
        </w:rPr>
        <w:t>调整和增补</w:t>
      </w:r>
      <w:r w:rsidRPr="006E3B9B">
        <w:rPr>
          <w:lang w:val="en-US" w:eastAsia="zh-CN"/>
        </w:rPr>
        <w:tab/>
      </w:r>
      <w:r w:rsidR="0093668F">
        <w:rPr>
          <w:lang w:val="en-US" w:eastAsia="zh-CN"/>
        </w:rPr>
        <w:tab/>
      </w:r>
      <w:r w:rsidRPr="006E3B9B">
        <w:rPr>
          <w:lang w:val="en-US" w:eastAsia="zh-CN"/>
        </w:rPr>
        <w:t>1976</w:t>
      </w:r>
      <w:r w:rsidRPr="006E3B9B">
        <w:rPr>
          <w:rFonts w:hint="eastAsia"/>
          <w:lang w:val="en-US" w:eastAsia="zh-CN"/>
        </w:rPr>
        <w:t>年</w:t>
      </w:r>
    </w:p>
    <w:p w14:paraId="4827BF54"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769</w:t>
      </w:r>
      <w:r w:rsidRPr="006E3B9B">
        <w:rPr>
          <w:lang w:val="en-US" w:eastAsia="zh-CN"/>
        </w:rPr>
        <w:t>号决议</w:t>
      </w:r>
      <w:r w:rsidRPr="006E3B9B">
        <w:rPr>
          <w:lang w:val="en-US" w:eastAsia="zh-CN"/>
        </w:rPr>
        <w:tab/>
      </w:r>
      <w:r w:rsidRPr="006E3B9B">
        <w:rPr>
          <w:rFonts w:hint="eastAsia"/>
          <w:lang w:eastAsia="zh-CN"/>
        </w:rPr>
        <w:t>国际电联职员养恤金委员会的委员</w:t>
      </w:r>
      <w:r w:rsidRPr="006E3B9B">
        <w:rPr>
          <w:lang w:val="en-US" w:eastAsia="zh-CN"/>
        </w:rPr>
        <w:tab/>
      </w:r>
      <w:r w:rsidR="0093668F">
        <w:rPr>
          <w:lang w:val="en-US" w:eastAsia="zh-CN"/>
        </w:rPr>
        <w:tab/>
      </w:r>
      <w:r w:rsidRPr="006E3B9B">
        <w:rPr>
          <w:lang w:val="en-US" w:eastAsia="zh-CN"/>
        </w:rPr>
        <w:t>1976</w:t>
      </w:r>
      <w:r w:rsidRPr="006E3B9B">
        <w:rPr>
          <w:rFonts w:hint="eastAsia"/>
          <w:lang w:val="en-US" w:eastAsia="zh-CN"/>
        </w:rPr>
        <w:t>年</w:t>
      </w:r>
    </w:p>
    <w:p w14:paraId="4827BF55" w14:textId="77777777" w:rsidR="006E3B9B" w:rsidRPr="006E3B9B" w:rsidRDefault="006E3B9B" w:rsidP="003E11A1">
      <w:pPr>
        <w:pStyle w:val="Reftitle"/>
        <w:rPr>
          <w:lang w:val="en-US" w:eastAsia="zh-CN"/>
        </w:rPr>
      </w:pPr>
      <w:r w:rsidRPr="006E3B9B">
        <w:rPr>
          <w:rFonts w:hint="eastAsia"/>
          <w:lang w:eastAsia="zh-CN"/>
        </w:rPr>
        <w:t>第</w:t>
      </w:r>
      <w:r w:rsidRPr="006E3B9B">
        <w:rPr>
          <w:lang w:eastAsia="zh-CN"/>
        </w:rPr>
        <w:t>31</w:t>
      </w:r>
      <w:r w:rsidRPr="006E3B9B">
        <w:rPr>
          <w:rFonts w:hint="eastAsia"/>
          <w:lang w:eastAsia="zh-CN"/>
        </w:rPr>
        <w:t>届会议（</w:t>
      </w:r>
      <w:r w:rsidRPr="006E3B9B">
        <w:rPr>
          <w:lang w:eastAsia="zh-CN"/>
        </w:rPr>
        <w:t>1976</w:t>
      </w:r>
      <w:r w:rsidRPr="006E3B9B">
        <w:rPr>
          <w:rFonts w:hint="eastAsia"/>
          <w:lang w:eastAsia="zh-CN"/>
        </w:rPr>
        <w:t>年</w:t>
      </w:r>
      <w:r w:rsidRPr="006E3B9B">
        <w:rPr>
          <w:lang w:eastAsia="zh-CN"/>
        </w:rPr>
        <w:t>6</w:t>
      </w:r>
      <w:r w:rsidRPr="006E3B9B">
        <w:rPr>
          <w:rFonts w:hint="eastAsia"/>
          <w:lang w:eastAsia="zh-CN"/>
        </w:rPr>
        <w:t>月）</w:t>
      </w:r>
    </w:p>
    <w:p w14:paraId="4827BF56"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770</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1975</w:t>
      </w:r>
      <w:r w:rsidRPr="006E3B9B">
        <w:rPr>
          <w:rFonts w:hint="eastAsia"/>
          <w:lang w:eastAsia="zh-CN"/>
        </w:rPr>
        <w:t>年财务工作报告</w:t>
      </w:r>
      <w:r w:rsidRPr="006E3B9B">
        <w:rPr>
          <w:lang w:val="en-US" w:eastAsia="zh-CN"/>
        </w:rPr>
        <w:tab/>
      </w:r>
      <w:r w:rsidR="0093668F">
        <w:rPr>
          <w:lang w:val="en-US" w:eastAsia="zh-CN"/>
        </w:rPr>
        <w:tab/>
      </w:r>
      <w:r w:rsidRPr="006E3B9B">
        <w:rPr>
          <w:lang w:val="en-US" w:eastAsia="zh-CN"/>
        </w:rPr>
        <w:t>1977</w:t>
      </w:r>
      <w:r w:rsidRPr="006E3B9B">
        <w:rPr>
          <w:rFonts w:hint="eastAsia"/>
          <w:lang w:val="en-US" w:eastAsia="zh-CN"/>
        </w:rPr>
        <w:t>年</w:t>
      </w:r>
    </w:p>
    <w:p w14:paraId="4827BF57"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771</w:t>
      </w:r>
      <w:r w:rsidRPr="006E3B9B">
        <w:rPr>
          <w:lang w:val="en-US" w:eastAsia="zh-CN"/>
        </w:rPr>
        <w:t>号决议</w:t>
      </w:r>
      <w:r w:rsidRPr="006E3B9B">
        <w:rPr>
          <w:lang w:val="en-US" w:eastAsia="zh-CN"/>
        </w:rPr>
        <w:tab/>
      </w:r>
      <w:r w:rsidRPr="006E3B9B">
        <w:rPr>
          <w:rFonts w:hint="eastAsia"/>
          <w:lang w:eastAsia="zh-CN"/>
        </w:rPr>
        <w:t>《人事规则》规则</w:t>
      </w:r>
      <w:r w:rsidRPr="006E3B9B">
        <w:rPr>
          <w:lang w:eastAsia="zh-CN"/>
        </w:rPr>
        <w:t>3.9</w:t>
      </w:r>
      <w:r w:rsidRPr="006E3B9B">
        <w:rPr>
          <w:rFonts w:hint="eastAsia"/>
          <w:lang w:eastAsia="zh-CN"/>
        </w:rPr>
        <w:t>的修正案</w:t>
      </w:r>
      <w:r w:rsidRPr="006E3B9B">
        <w:rPr>
          <w:lang w:val="en-US" w:eastAsia="zh-CN"/>
        </w:rPr>
        <w:tab/>
      </w:r>
      <w:r w:rsidR="0093668F">
        <w:rPr>
          <w:lang w:val="en-US" w:eastAsia="zh-CN"/>
        </w:rPr>
        <w:tab/>
      </w:r>
      <w:r w:rsidRPr="006E3B9B">
        <w:rPr>
          <w:lang w:val="en-US" w:eastAsia="zh-CN"/>
        </w:rPr>
        <w:t>1977</w:t>
      </w:r>
      <w:r w:rsidRPr="006E3B9B">
        <w:rPr>
          <w:rFonts w:hint="eastAsia"/>
          <w:lang w:val="en-US" w:eastAsia="zh-CN"/>
        </w:rPr>
        <w:t>年</w:t>
      </w:r>
    </w:p>
    <w:p w14:paraId="4827BF58"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772</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1975</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1</w:t>
      </w:r>
      <w:r w:rsidRPr="006E3B9B">
        <w:rPr>
          <w:rFonts w:hint="eastAsia"/>
          <w:lang w:eastAsia="zh-CN"/>
        </w:rPr>
        <w:t>日至</w:t>
      </w:r>
      <w:r w:rsidRPr="006E3B9B">
        <w:rPr>
          <w:lang w:eastAsia="zh-CN"/>
        </w:rPr>
        <w:t>12</w:t>
      </w:r>
      <w:r w:rsidRPr="006E3B9B">
        <w:rPr>
          <w:rFonts w:hint="eastAsia"/>
          <w:lang w:eastAsia="zh-CN"/>
        </w:rPr>
        <w:t>月</w:t>
      </w:r>
      <w:r w:rsidRPr="006E3B9B">
        <w:rPr>
          <w:lang w:eastAsia="zh-CN"/>
        </w:rPr>
        <w:t>31</w:t>
      </w:r>
      <w:r w:rsidRPr="006E3B9B">
        <w:rPr>
          <w:rFonts w:hint="eastAsia"/>
          <w:lang w:eastAsia="zh-CN"/>
        </w:rPr>
        <w:t>日账目的外部审计</w:t>
      </w:r>
      <w:r w:rsidRPr="006E3B9B">
        <w:rPr>
          <w:lang w:val="en-US" w:eastAsia="zh-CN"/>
        </w:rPr>
        <w:tab/>
      </w:r>
      <w:r w:rsidR="0093668F">
        <w:rPr>
          <w:lang w:val="en-US" w:eastAsia="zh-CN"/>
        </w:rPr>
        <w:tab/>
      </w:r>
      <w:r w:rsidRPr="006E3B9B">
        <w:rPr>
          <w:lang w:val="en-US" w:eastAsia="zh-CN"/>
        </w:rPr>
        <w:t>1977</w:t>
      </w:r>
      <w:r w:rsidRPr="006E3B9B">
        <w:rPr>
          <w:rFonts w:hint="eastAsia"/>
          <w:lang w:val="en-US" w:eastAsia="zh-CN"/>
        </w:rPr>
        <w:t>年</w:t>
      </w:r>
    </w:p>
    <w:p w14:paraId="4827BF59"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773</w:t>
      </w:r>
      <w:r w:rsidRPr="006E3B9B">
        <w:rPr>
          <w:lang w:val="en-US" w:eastAsia="zh-CN"/>
        </w:rPr>
        <w:t>号决议</w:t>
      </w:r>
      <w:r w:rsidRPr="006E3B9B">
        <w:rPr>
          <w:lang w:val="en-US" w:eastAsia="zh-CN"/>
        </w:rPr>
        <w:tab/>
      </w:r>
      <w:r w:rsidRPr="006E3B9B">
        <w:rPr>
          <w:rFonts w:hint="eastAsia"/>
          <w:lang w:eastAsia="zh-CN"/>
        </w:rPr>
        <w:t>职位的撤消</w:t>
      </w:r>
      <w:r w:rsidRPr="006E3B9B">
        <w:rPr>
          <w:lang w:val="en-US" w:eastAsia="zh-CN"/>
        </w:rPr>
        <w:tab/>
      </w:r>
      <w:r w:rsidR="0093668F">
        <w:rPr>
          <w:lang w:val="en-US" w:eastAsia="zh-CN"/>
        </w:rPr>
        <w:tab/>
      </w:r>
      <w:r w:rsidRPr="006E3B9B">
        <w:rPr>
          <w:lang w:val="en-US" w:eastAsia="zh-CN"/>
        </w:rPr>
        <w:t>1977</w:t>
      </w:r>
      <w:r w:rsidRPr="006E3B9B">
        <w:rPr>
          <w:rFonts w:hint="eastAsia"/>
          <w:lang w:val="en-US" w:eastAsia="zh-CN"/>
        </w:rPr>
        <w:t>年</w:t>
      </w:r>
    </w:p>
    <w:p w14:paraId="4827BF5A"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774</w:t>
      </w:r>
      <w:r w:rsidRPr="006E3B9B">
        <w:rPr>
          <w:lang w:val="en-US" w:eastAsia="zh-CN"/>
        </w:rPr>
        <w:t>号决议</w:t>
      </w:r>
      <w:r w:rsidRPr="006E3B9B">
        <w:rPr>
          <w:lang w:val="en-US" w:eastAsia="zh-CN"/>
        </w:rPr>
        <w:tab/>
      </w:r>
      <w:r w:rsidRPr="006E3B9B">
        <w:rPr>
          <w:lang w:eastAsia="zh-CN"/>
        </w:rPr>
        <w:t>CCITT</w:t>
      </w:r>
      <w:r w:rsidRPr="006E3B9B">
        <w:rPr>
          <w:rFonts w:hint="eastAsia"/>
          <w:lang w:eastAsia="zh-CN"/>
        </w:rPr>
        <w:t>特设秘书处的重组</w:t>
      </w:r>
      <w:r w:rsidRPr="006E3B9B">
        <w:rPr>
          <w:lang w:val="en-US" w:eastAsia="zh-CN"/>
        </w:rPr>
        <w:tab/>
      </w:r>
      <w:r w:rsidR="0093668F">
        <w:rPr>
          <w:lang w:val="en-US" w:eastAsia="zh-CN"/>
        </w:rPr>
        <w:tab/>
      </w:r>
      <w:r w:rsidRPr="006E3B9B">
        <w:rPr>
          <w:lang w:val="en-US" w:eastAsia="zh-CN"/>
        </w:rPr>
        <w:t>1980</w:t>
      </w:r>
      <w:r w:rsidRPr="006E3B9B">
        <w:rPr>
          <w:rFonts w:hint="eastAsia"/>
          <w:lang w:val="en-US" w:eastAsia="zh-CN"/>
        </w:rPr>
        <w:t>年</w:t>
      </w:r>
    </w:p>
    <w:p w14:paraId="4827BF5B"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775</w:t>
      </w:r>
      <w:r w:rsidRPr="006E3B9B">
        <w:rPr>
          <w:lang w:val="en-US" w:eastAsia="zh-CN"/>
        </w:rPr>
        <w:t>号决议</w:t>
      </w:r>
      <w:r w:rsidRPr="006E3B9B">
        <w:rPr>
          <w:lang w:val="en-US" w:eastAsia="zh-CN"/>
        </w:rPr>
        <w:tab/>
      </w:r>
      <w:r w:rsidRPr="006E3B9B">
        <w:rPr>
          <w:rFonts w:hint="eastAsia"/>
          <w:lang w:eastAsia="zh-CN"/>
        </w:rPr>
        <w:t>世界无线电行政大会（</w:t>
      </w:r>
      <w:r w:rsidRPr="006E3B9B">
        <w:rPr>
          <w:lang w:eastAsia="zh-CN"/>
        </w:rPr>
        <w:t>1979</w:t>
      </w:r>
      <w:r w:rsidRPr="006E3B9B">
        <w:rPr>
          <w:rFonts w:hint="eastAsia"/>
          <w:lang w:eastAsia="zh-CN"/>
        </w:rPr>
        <w:t>年）的筹备</w:t>
      </w:r>
      <w:r w:rsidR="0093668F">
        <w:rPr>
          <w:lang w:eastAsia="zh-CN"/>
        </w:rPr>
        <w:tab/>
      </w:r>
      <w:r w:rsidRPr="006E3B9B">
        <w:rPr>
          <w:lang w:val="en-US" w:eastAsia="zh-CN"/>
        </w:rPr>
        <w:tab/>
        <w:t>1977</w:t>
      </w:r>
      <w:r w:rsidRPr="006E3B9B">
        <w:rPr>
          <w:rFonts w:hint="eastAsia"/>
          <w:lang w:val="en-US" w:eastAsia="zh-CN"/>
        </w:rPr>
        <w:t>年</w:t>
      </w:r>
    </w:p>
    <w:p w14:paraId="4827BF5C"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776</w:t>
      </w:r>
      <w:r w:rsidRPr="006E3B9B">
        <w:rPr>
          <w:lang w:val="en-US" w:eastAsia="zh-CN"/>
        </w:rPr>
        <w:t>号决议</w:t>
      </w:r>
      <w:r w:rsidRPr="006E3B9B">
        <w:rPr>
          <w:lang w:val="en-US" w:eastAsia="zh-CN"/>
        </w:rPr>
        <w:tab/>
      </w:r>
      <w:r w:rsidRPr="006E3B9B">
        <w:rPr>
          <w:rFonts w:hint="eastAsia"/>
          <w:lang w:eastAsia="zh-CN"/>
        </w:rPr>
        <w:t>世界无线电行政大会（</w:t>
      </w:r>
      <w:r w:rsidRPr="006E3B9B">
        <w:rPr>
          <w:lang w:eastAsia="zh-CN"/>
        </w:rPr>
        <w:t>1979</w:t>
      </w:r>
      <w:r w:rsidRPr="006E3B9B">
        <w:rPr>
          <w:rFonts w:hint="eastAsia"/>
          <w:lang w:eastAsia="zh-CN"/>
        </w:rPr>
        <w:t>年）的筹备</w:t>
      </w:r>
      <w:r w:rsidR="0093668F">
        <w:rPr>
          <w:lang w:eastAsia="zh-CN"/>
        </w:rPr>
        <w:tab/>
      </w:r>
      <w:r w:rsidRPr="006E3B9B">
        <w:rPr>
          <w:lang w:val="en-US" w:eastAsia="zh-CN"/>
        </w:rPr>
        <w:tab/>
        <w:t>1980</w:t>
      </w:r>
      <w:r w:rsidRPr="006E3B9B">
        <w:rPr>
          <w:rFonts w:hint="eastAsia"/>
          <w:lang w:val="en-US" w:eastAsia="zh-CN"/>
        </w:rPr>
        <w:t>年</w:t>
      </w:r>
    </w:p>
    <w:p w14:paraId="4827BF5D"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777</w:t>
      </w:r>
      <w:r w:rsidRPr="006E3B9B">
        <w:rPr>
          <w:lang w:val="en-US" w:eastAsia="zh-CN"/>
        </w:rPr>
        <w:t>号决议</w:t>
      </w:r>
      <w:r w:rsidRPr="006E3B9B">
        <w:rPr>
          <w:lang w:val="en-US" w:eastAsia="zh-CN"/>
        </w:rPr>
        <w:tab/>
      </w:r>
      <w:r w:rsidRPr="006E3B9B">
        <w:rPr>
          <w:rFonts w:hint="eastAsia"/>
          <w:lang w:eastAsia="zh-CN"/>
        </w:rPr>
        <w:t>有关</w:t>
      </w:r>
      <w:r w:rsidRPr="006E3B9B">
        <w:rPr>
          <w:lang w:eastAsia="zh-CN"/>
        </w:rPr>
        <w:t>12 GHz</w:t>
      </w:r>
      <w:r w:rsidRPr="006E3B9B">
        <w:rPr>
          <w:rFonts w:hint="eastAsia"/>
          <w:lang w:eastAsia="zh-CN"/>
        </w:rPr>
        <w:t>频段卫星广播业务规划的世界无线电行政大会的筹备工作</w:t>
      </w:r>
      <w:r w:rsidRPr="006E3B9B">
        <w:rPr>
          <w:lang w:val="en-US" w:eastAsia="zh-CN"/>
        </w:rPr>
        <w:tab/>
      </w:r>
      <w:r w:rsidR="0093668F">
        <w:rPr>
          <w:lang w:val="en-US" w:eastAsia="zh-CN"/>
        </w:rPr>
        <w:tab/>
      </w:r>
      <w:r w:rsidRPr="006E3B9B">
        <w:rPr>
          <w:lang w:val="en-US" w:eastAsia="zh-CN"/>
        </w:rPr>
        <w:t>1977</w:t>
      </w:r>
      <w:r w:rsidRPr="006E3B9B">
        <w:rPr>
          <w:rFonts w:hint="eastAsia"/>
          <w:lang w:val="en-US" w:eastAsia="zh-CN"/>
        </w:rPr>
        <w:t>年</w:t>
      </w:r>
    </w:p>
    <w:p w14:paraId="4827BF5E"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778</w:t>
      </w:r>
      <w:r w:rsidRPr="006E3B9B">
        <w:rPr>
          <w:lang w:val="en-US" w:eastAsia="zh-CN"/>
        </w:rPr>
        <w:t>号决议</w:t>
      </w:r>
      <w:r w:rsidRPr="006E3B9B">
        <w:rPr>
          <w:lang w:val="en-US" w:eastAsia="zh-CN"/>
        </w:rPr>
        <w:tab/>
      </w:r>
      <w:r w:rsidRPr="006E3B9B">
        <w:rPr>
          <w:rFonts w:hint="eastAsia"/>
          <w:lang w:eastAsia="zh-CN"/>
        </w:rPr>
        <w:t>国际电联职员养恤金委员会的委员</w:t>
      </w:r>
      <w:r w:rsidRPr="006E3B9B">
        <w:rPr>
          <w:lang w:val="en-US" w:eastAsia="zh-CN"/>
        </w:rPr>
        <w:tab/>
      </w:r>
      <w:r w:rsidR="0093668F">
        <w:rPr>
          <w:lang w:val="en-US" w:eastAsia="zh-CN"/>
        </w:rPr>
        <w:tab/>
      </w:r>
      <w:r w:rsidRPr="006E3B9B">
        <w:rPr>
          <w:lang w:val="en-US" w:eastAsia="zh-CN"/>
        </w:rPr>
        <w:t>1977</w:t>
      </w:r>
      <w:r w:rsidRPr="006E3B9B">
        <w:rPr>
          <w:rFonts w:hint="eastAsia"/>
          <w:lang w:val="en-US" w:eastAsia="zh-CN"/>
        </w:rPr>
        <w:t>年</w:t>
      </w:r>
    </w:p>
    <w:p w14:paraId="4827BF5F"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779</w:t>
      </w:r>
      <w:r w:rsidRPr="006E3B9B">
        <w:rPr>
          <w:lang w:val="en-US" w:eastAsia="zh-CN"/>
        </w:rPr>
        <w:t>号决议</w:t>
      </w:r>
      <w:r w:rsidRPr="006E3B9B">
        <w:rPr>
          <w:lang w:val="en-US" w:eastAsia="zh-CN"/>
        </w:rPr>
        <w:tab/>
      </w:r>
      <w:r w:rsidRPr="006E3B9B">
        <w:rPr>
          <w:rFonts w:hint="eastAsia"/>
          <w:lang w:eastAsia="zh-CN"/>
        </w:rPr>
        <w:t>联合国第二个发展十年国际发展战略的实施</w:t>
      </w:r>
      <w:r w:rsidRPr="006E3B9B">
        <w:rPr>
          <w:lang w:val="en-US" w:eastAsia="zh-CN"/>
        </w:rPr>
        <w:tab/>
      </w:r>
      <w:r w:rsidR="0093668F">
        <w:rPr>
          <w:lang w:val="en-US" w:eastAsia="zh-CN"/>
        </w:rPr>
        <w:tab/>
      </w:r>
      <w:r w:rsidRPr="006E3B9B">
        <w:rPr>
          <w:lang w:val="en-US" w:eastAsia="zh-CN"/>
        </w:rPr>
        <w:t>1993</w:t>
      </w:r>
      <w:r w:rsidRPr="006E3B9B">
        <w:rPr>
          <w:rFonts w:hint="eastAsia"/>
          <w:lang w:val="en-US" w:eastAsia="zh-CN"/>
        </w:rPr>
        <w:t>年</w:t>
      </w:r>
    </w:p>
    <w:p w14:paraId="4827BF60" w14:textId="77777777" w:rsidR="00BF1CF1" w:rsidRDefault="00BF1CF1">
      <w:pPr>
        <w:tabs>
          <w:tab w:val="clear" w:pos="794"/>
          <w:tab w:val="clear" w:pos="1191"/>
          <w:tab w:val="clear" w:pos="1588"/>
          <w:tab w:val="clear" w:pos="1985"/>
        </w:tabs>
        <w:overflowPunct/>
        <w:autoSpaceDE/>
        <w:autoSpaceDN/>
        <w:adjustRightInd/>
        <w:spacing w:before="0"/>
        <w:jc w:val="left"/>
        <w:textAlignment w:val="auto"/>
        <w:rPr>
          <w:sz w:val="20"/>
          <w:lang w:val="en-US" w:eastAsia="zh-CN"/>
        </w:rPr>
      </w:pPr>
      <w:r>
        <w:rPr>
          <w:lang w:val="en-US" w:eastAsia="zh-CN"/>
        </w:rPr>
        <w:br w:type="page"/>
      </w:r>
    </w:p>
    <w:p w14:paraId="4827BF61" w14:textId="77777777" w:rsidR="006E3B9B" w:rsidRPr="006E3B9B" w:rsidRDefault="006E3B9B" w:rsidP="0093668F">
      <w:pPr>
        <w:pStyle w:val="Appendixref"/>
        <w:rPr>
          <w:lang w:val="en-US" w:eastAsia="zh-CN"/>
        </w:rPr>
      </w:pPr>
      <w:r w:rsidRPr="006E3B9B">
        <w:rPr>
          <w:lang w:val="en-US" w:eastAsia="zh-CN"/>
        </w:rPr>
        <w:lastRenderedPageBreak/>
        <w:t>第</w:t>
      </w:r>
      <w:r w:rsidRPr="006E3B9B">
        <w:rPr>
          <w:lang w:val="en-US" w:eastAsia="zh-CN"/>
        </w:rPr>
        <w:t>780</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1977</w:t>
      </w:r>
      <w:r w:rsidRPr="006E3B9B">
        <w:rPr>
          <w:rFonts w:hint="eastAsia"/>
          <w:lang w:eastAsia="zh-CN"/>
        </w:rPr>
        <w:t>年预算</w:t>
      </w:r>
      <w:r w:rsidRPr="006E3B9B">
        <w:rPr>
          <w:lang w:val="en-US" w:eastAsia="zh-CN"/>
        </w:rPr>
        <w:tab/>
      </w:r>
      <w:r w:rsidR="0093668F">
        <w:rPr>
          <w:lang w:val="en-US" w:eastAsia="zh-CN"/>
        </w:rPr>
        <w:tab/>
      </w:r>
      <w:r w:rsidRPr="006E3B9B">
        <w:rPr>
          <w:lang w:val="en-US" w:eastAsia="zh-CN"/>
        </w:rPr>
        <w:t>1978</w:t>
      </w:r>
      <w:r w:rsidRPr="006E3B9B">
        <w:rPr>
          <w:rFonts w:hint="eastAsia"/>
          <w:lang w:val="en-US" w:eastAsia="zh-CN"/>
        </w:rPr>
        <w:t>年</w:t>
      </w:r>
    </w:p>
    <w:p w14:paraId="4827BF62"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781</w:t>
      </w:r>
      <w:r w:rsidRPr="006E3B9B">
        <w:rPr>
          <w:lang w:val="en-US" w:eastAsia="zh-CN"/>
        </w:rPr>
        <w:t>号决议</w:t>
      </w:r>
      <w:r w:rsidRPr="006E3B9B">
        <w:rPr>
          <w:lang w:val="en-US" w:eastAsia="zh-CN"/>
        </w:rPr>
        <w:tab/>
      </w:r>
      <w:r w:rsidRPr="006E3B9B">
        <w:rPr>
          <w:rFonts w:hint="eastAsia"/>
          <w:lang w:val="en-US" w:eastAsia="zh-CN"/>
        </w:rPr>
        <w:t>《</w:t>
      </w:r>
      <w:r w:rsidRPr="006E3B9B">
        <w:rPr>
          <w:rFonts w:hint="eastAsia"/>
          <w:lang w:eastAsia="zh-CN"/>
        </w:rPr>
        <w:t>行政理事会议事规则》</w:t>
      </w:r>
      <w:r w:rsidRPr="006E3B9B">
        <w:rPr>
          <w:lang w:val="en-US" w:eastAsia="zh-CN"/>
        </w:rPr>
        <w:tab/>
      </w:r>
      <w:r w:rsidR="0093668F">
        <w:rPr>
          <w:lang w:val="en-US" w:eastAsia="zh-CN"/>
        </w:rPr>
        <w:tab/>
      </w:r>
      <w:r w:rsidRPr="006E3B9B">
        <w:rPr>
          <w:lang w:val="en-US" w:eastAsia="zh-CN"/>
        </w:rPr>
        <w:t>1977</w:t>
      </w:r>
      <w:r w:rsidRPr="006E3B9B">
        <w:rPr>
          <w:rFonts w:hint="eastAsia"/>
          <w:lang w:val="en-US" w:eastAsia="zh-CN"/>
        </w:rPr>
        <w:t>年</w:t>
      </w:r>
    </w:p>
    <w:p w14:paraId="4827BF63"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782</w:t>
      </w:r>
      <w:r w:rsidRPr="006E3B9B">
        <w:rPr>
          <w:lang w:val="en-US" w:eastAsia="zh-CN"/>
        </w:rPr>
        <w:t>号决议</w:t>
      </w:r>
      <w:r w:rsidRPr="006E3B9B">
        <w:rPr>
          <w:lang w:val="en-US" w:eastAsia="zh-CN"/>
        </w:rPr>
        <w:tab/>
      </w:r>
      <w:r w:rsidRPr="006E3B9B">
        <w:rPr>
          <w:rFonts w:hint="eastAsia"/>
          <w:lang w:val="en-US" w:eastAsia="zh-CN"/>
        </w:rPr>
        <w:t>对《</w:t>
      </w:r>
      <w:r w:rsidRPr="006E3B9B">
        <w:rPr>
          <w:rFonts w:hint="eastAsia"/>
          <w:lang w:eastAsia="zh-CN"/>
        </w:rPr>
        <w:t>决议和决定汇编》的总修订</w:t>
      </w:r>
      <w:r w:rsidRPr="006E3B9B">
        <w:rPr>
          <w:lang w:val="en-US" w:eastAsia="zh-CN"/>
        </w:rPr>
        <w:tab/>
      </w:r>
      <w:r w:rsidR="0093668F">
        <w:rPr>
          <w:lang w:val="en-US" w:eastAsia="zh-CN"/>
        </w:rPr>
        <w:tab/>
      </w:r>
      <w:r w:rsidRPr="006E3B9B">
        <w:rPr>
          <w:lang w:val="en-US" w:eastAsia="zh-CN"/>
        </w:rPr>
        <w:t>1977</w:t>
      </w:r>
      <w:r w:rsidRPr="006E3B9B">
        <w:rPr>
          <w:rFonts w:hint="eastAsia"/>
          <w:lang w:val="en-US" w:eastAsia="zh-CN"/>
        </w:rPr>
        <w:t>年</w:t>
      </w:r>
    </w:p>
    <w:p w14:paraId="4827BF64"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783</w:t>
      </w:r>
      <w:r w:rsidRPr="006E3B9B">
        <w:rPr>
          <w:lang w:val="en-US" w:eastAsia="zh-CN"/>
        </w:rPr>
        <w:t>号决议</w:t>
      </w:r>
      <w:r w:rsidRPr="006E3B9B">
        <w:rPr>
          <w:lang w:val="en-US" w:eastAsia="zh-CN"/>
        </w:rPr>
        <w:tab/>
      </w:r>
      <w:r w:rsidRPr="006E3B9B">
        <w:rPr>
          <w:lang w:eastAsia="zh-CN"/>
        </w:rPr>
        <w:t>1979</w:t>
      </w:r>
      <w:r w:rsidRPr="006E3B9B">
        <w:rPr>
          <w:rFonts w:hint="eastAsia"/>
          <w:lang w:eastAsia="zh-CN"/>
        </w:rPr>
        <w:t>年世界无线电行政大会</w:t>
      </w:r>
      <w:r w:rsidRPr="006E3B9B">
        <w:rPr>
          <w:lang w:val="en-US" w:eastAsia="zh-CN"/>
        </w:rPr>
        <w:tab/>
      </w:r>
      <w:r w:rsidR="0093668F">
        <w:rPr>
          <w:lang w:val="en-US" w:eastAsia="zh-CN"/>
        </w:rPr>
        <w:tab/>
      </w:r>
      <w:r w:rsidRPr="006E3B9B">
        <w:rPr>
          <w:lang w:val="en-US" w:eastAsia="zh-CN"/>
        </w:rPr>
        <w:t>1977</w:t>
      </w:r>
      <w:r w:rsidRPr="006E3B9B">
        <w:rPr>
          <w:rFonts w:hint="eastAsia"/>
          <w:lang w:val="en-US" w:eastAsia="zh-CN"/>
        </w:rPr>
        <w:t>年</w:t>
      </w:r>
    </w:p>
    <w:p w14:paraId="4827BF65" w14:textId="77777777" w:rsidR="006E3B9B" w:rsidRPr="006E3B9B" w:rsidRDefault="006E3B9B" w:rsidP="003E11A1">
      <w:pPr>
        <w:pStyle w:val="Reftitle"/>
        <w:rPr>
          <w:lang w:val="en-US" w:eastAsia="zh-CN"/>
        </w:rPr>
      </w:pPr>
      <w:r w:rsidRPr="006E3B9B">
        <w:rPr>
          <w:rFonts w:hint="eastAsia"/>
          <w:lang w:eastAsia="zh-CN"/>
        </w:rPr>
        <w:t>第</w:t>
      </w:r>
      <w:r w:rsidRPr="006E3B9B">
        <w:rPr>
          <w:lang w:eastAsia="zh-CN"/>
        </w:rPr>
        <w:t>32</w:t>
      </w:r>
      <w:r w:rsidRPr="006E3B9B">
        <w:rPr>
          <w:rFonts w:hint="eastAsia"/>
          <w:lang w:eastAsia="zh-CN"/>
        </w:rPr>
        <w:t>届会议（</w:t>
      </w:r>
      <w:r w:rsidRPr="006E3B9B">
        <w:rPr>
          <w:lang w:eastAsia="zh-CN"/>
        </w:rPr>
        <w:t>1977</w:t>
      </w:r>
      <w:r w:rsidRPr="006E3B9B">
        <w:rPr>
          <w:rFonts w:hint="eastAsia"/>
          <w:lang w:eastAsia="zh-CN"/>
        </w:rPr>
        <w:t>年</w:t>
      </w:r>
      <w:r w:rsidRPr="006E3B9B">
        <w:rPr>
          <w:lang w:eastAsia="zh-CN"/>
        </w:rPr>
        <w:t>5</w:t>
      </w:r>
      <w:r w:rsidRPr="006E3B9B">
        <w:rPr>
          <w:rFonts w:hint="eastAsia"/>
          <w:lang w:eastAsia="zh-CN"/>
        </w:rPr>
        <w:t>月</w:t>
      </w:r>
      <w:r w:rsidRPr="006E3B9B">
        <w:rPr>
          <w:lang w:eastAsia="zh-CN"/>
        </w:rPr>
        <w:t>-6</w:t>
      </w:r>
      <w:r w:rsidRPr="006E3B9B">
        <w:rPr>
          <w:rFonts w:hint="eastAsia"/>
          <w:lang w:eastAsia="zh-CN"/>
        </w:rPr>
        <w:t>月）</w:t>
      </w:r>
    </w:p>
    <w:p w14:paraId="4827BF66"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784</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1976</w:t>
      </w:r>
      <w:r w:rsidRPr="006E3B9B">
        <w:rPr>
          <w:rFonts w:hint="eastAsia"/>
          <w:lang w:eastAsia="zh-CN"/>
        </w:rPr>
        <w:t>年财务工作报告</w:t>
      </w:r>
      <w:r w:rsidRPr="006E3B9B">
        <w:rPr>
          <w:lang w:val="en-US" w:eastAsia="zh-CN"/>
        </w:rPr>
        <w:tab/>
      </w:r>
      <w:r w:rsidR="0093668F">
        <w:rPr>
          <w:lang w:val="en-US" w:eastAsia="zh-CN"/>
        </w:rPr>
        <w:tab/>
      </w:r>
      <w:r w:rsidRPr="006E3B9B">
        <w:rPr>
          <w:lang w:val="en-US" w:eastAsia="zh-CN"/>
        </w:rPr>
        <w:t>1978</w:t>
      </w:r>
      <w:r w:rsidRPr="006E3B9B">
        <w:rPr>
          <w:rFonts w:hint="eastAsia"/>
          <w:lang w:val="en-US" w:eastAsia="zh-CN"/>
        </w:rPr>
        <w:t>年</w:t>
      </w:r>
    </w:p>
    <w:p w14:paraId="4827BF67"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785</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1976</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1</w:t>
      </w:r>
      <w:r w:rsidRPr="006E3B9B">
        <w:rPr>
          <w:rFonts w:hint="eastAsia"/>
          <w:lang w:eastAsia="zh-CN"/>
        </w:rPr>
        <w:t>日至</w:t>
      </w:r>
      <w:r w:rsidRPr="006E3B9B">
        <w:rPr>
          <w:lang w:eastAsia="zh-CN"/>
        </w:rPr>
        <w:t>12</w:t>
      </w:r>
      <w:r w:rsidRPr="006E3B9B">
        <w:rPr>
          <w:rFonts w:hint="eastAsia"/>
          <w:lang w:eastAsia="zh-CN"/>
        </w:rPr>
        <w:t>月</w:t>
      </w:r>
      <w:r w:rsidRPr="006E3B9B">
        <w:rPr>
          <w:lang w:eastAsia="zh-CN"/>
        </w:rPr>
        <w:t>31</w:t>
      </w:r>
      <w:r w:rsidRPr="006E3B9B">
        <w:rPr>
          <w:rFonts w:hint="eastAsia"/>
          <w:lang w:eastAsia="zh-CN"/>
        </w:rPr>
        <w:t>日账目的外部审计</w:t>
      </w:r>
      <w:r w:rsidRPr="006E3B9B">
        <w:rPr>
          <w:lang w:val="en-US" w:eastAsia="zh-CN"/>
        </w:rPr>
        <w:tab/>
      </w:r>
      <w:r w:rsidR="0093668F">
        <w:rPr>
          <w:lang w:val="en-US" w:eastAsia="zh-CN"/>
        </w:rPr>
        <w:tab/>
      </w:r>
      <w:r w:rsidRPr="006E3B9B">
        <w:rPr>
          <w:lang w:val="en-US" w:eastAsia="zh-CN"/>
        </w:rPr>
        <w:t>1978</w:t>
      </w:r>
      <w:r w:rsidRPr="006E3B9B">
        <w:rPr>
          <w:rFonts w:hint="eastAsia"/>
          <w:lang w:val="en-US" w:eastAsia="zh-CN"/>
        </w:rPr>
        <w:t>年</w:t>
      </w:r>
    </w:p>
    <w:p w14:paraId="4827BF68" w14:textId="77777777" w:rsidR="006E3B9B" w:rsidRPr="006E3B9B" w:rsidRDefault="006E3B9B" w:rsidP="0093668F">
      <w:pPr>
        <w:pStyle w:val="Appendixref"/>
        <w:rPr>
          <w:lang w:val="es-ES_tradnl" w:eastAsia="zh-CN"/>
        </w:rPr>
      </w:pPr>
      <w:r w:rsidRPr="006E3B9B">
        <w:rPr>
          <w:lang w:val="es-ES_tradnl" w:eastAsia="zh-CN"/>
        </w:rPr>
        <w:t>第</w:t>
      </w:r>
      <w:r w:rsidRPr="006E3B9B">
        <w:rPr>
          <w:lang w:val="es-ES_tradnl" w:eastAsia="zh-CN"/>
        </w:rPr>
        <w:t>786</w:t>
      </w:r>
      <w:r w:rsidRPr="006E3B9B">
        <w:rPr>
          <w:lang w:val="es-ES_tradnl" w:eastAsia="zh-CN"/>
        </w:rPr>
        <w:t>号决议</w:t>
      </w:r>
      <w:r w:rsidRPr="006E3B9B">
        <w:rPr>
          <w:lang w:val="es-ES_tradnl" w:eastAsia="zh-CN"/>
        </w:rPr>
        <w:tab/>
      </w:r>
      <w:r w:rsidRPr="006E3B9B">
        <w:rPr>
          <w:rFonts w:hint="eastAsia"/>
          <w:lang w:eastAsia="zh-CN"/>
        </w:rPr>
        <w:t>巴西</w:t>
      </w:r>
      <w:r w:rsidRPr="006E3B9B">
        <w:rPr>
          <w:lang w:val="es-ES" w:eastAsia="zh-CN"/>
        </w:rPr>
        <w:t>ENTEL SA</w:t>
      </w:r>
      <w:r w:rsidRPr="006E3B9B">
        <w:rPr>
          <w:rFonts w:hint="eastAsia"/>
          <w:lang w:eastAsia="zh-CN"/>
        </w:rPr>
        <w:t>公司的欠款</w:t>
      </w:r>
      <w:r w:rsidRPr="006E3B9B">
        <w:rPr>
          <w:lang w:val="es-ES_tradnl" w:eastAsia="zh-CN"/>
        </w:rPr>
        <w:tab/>
      </w:r>
      <w:r w:rsidR="0093668F">
        <w:rPr>
          <w:lang w:val="es-ES_tradnl" w:eastAsia="zh-CN"/>
        </w:rPr>
        <w:tab/>
      </w:r>
      <w:r w:rsidRPr="006E3B9B">
        <w:rPr>
          <w:lang w:val="es-ES_tradnl" w:eastAsia="zh-CN"/>
        </w:rPr>
        <w:t>1978</w:t>
      </w:r>
      <w:r w:rsidRPr="006E3B9B">
        <w:rPr>
          <w:rFonts w:hint="eastAsia"/>
          <w:lang w:val="en-US" w:eastAsia="zh-CN"/>
        </w:rPr>
        <w:t>年</w:t>
      </w:r>
    </w:p>
    <w:p w14:paraId="4827BF69"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787</w:t>
      </w:r>
      <w:r w:rsidRPr="006E3B9B">
        <w:rPr>
          <w:lang w:val="en-US" w:eastAsia="zh-CN"/>
        </w:rPr>
        <w:t>号决议</w:t>
      </w:r>
      <w:r w:rsidRPr="006E3B9B">
        <w:rPr>
          <w:lang w:val="en-US" w:eastAsia="zh-CN"/>
        </w:rPr>
        <w:tab/>
      </w:r>
      <w:r w:rsidRPr="006E3B9B">
        <w:rPr>
          <w:rFonts w:hint="eastAsia"/>
          <w:lang w:eastAsia="zh-CN"/>
        </w:rPr>
        <w:t>盐湖城</w:t>
      </w:r>
      <w:r w:rsidRPr="006E3B9B">
        <w:rPr>
          <w:lang w:eastAsia="zh-CN"/>
        </w:rPr>
        <w:t>NAVSAT</w:t>
      </w:r>
      <w:r w:rsidRPr="006E3B9B">
        <w:rPr>
          <w:rFonts w:hint="eastAsia"/>
          <w:lang w:eastAsia="zh-CN"/>
        </w:rPr>
        <w:t>系统公司的欠款</w:t>
      </w:r>
      <w:r w:rsidRPr="006E3B9B">
        <w:rPr>
          <w:lang w:val="en-US" w:eastAsia="zh-CN"/>
        </w:rPr>
        <w:tab/>
      </w:r>
      <w:r w:rsidR="0093668F">
        <w:rPr>
          <w:lang w:val="en-US" w:eastAsia="zh-CN"/>
        </w:rPr>
        <w:tab/>
      </w:r>
      <w:r w:rsidRPr="006E3B9B">
        <w:rPr>
          <w:lang w:val="en-US" w:eastAsia="zh-CN"/>
        </w:rPr>
        <w:t>1978</w:t>
      </w:r>
      <w:r w:rsidRPr="006E3B9B">
        <w:rPr>
          <w:rFonts w:hint="eastAsia"/>
          <w:lang w:val="en-US" w:eastAsia="zh-CN"/>
        </w:rPr>
        <w:t>年</w:t>
      </w:r>
    </w:p>
    <w:p w14:paraId="4827BF6A"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788</w:t>
      </w:r>
      <w:r w:rsidRPr="006E3B9B">
        <w:rPr>
          <w:lang w:val="en-US" w:eastAsia="zh-CN"/>
        </w:rPr>
        <w:t>号决议</w:t>
      </w:r>
      <w:r w:rsidRPr="006E3B9B">
        <w:rPr>
          <w:lang w:val="en-US" w:eastAsia="zh-CN"/>
        </w:rPr>
        <w:tab/>
      </w:r>
      <w:r w:rsidRPr="006E3B9B">
        <w:rPr>
          <w:rFonts w:hint="eastAsia"/>
          <w:lang w:eastAsia="zh-CN"/>
        </w:rPr>
        <w:t>选任官员的薪金和补贴</w:t>
      </w:r>
      <w:r w:rsidRPr="006E3B9B">
        <w:rPr>
          <w:lang w:val="en-US" w:eastAsia="zh-CN"/>
        </w:rPr>
        <w:tab/>
      </w:r>
      <w:r w:rsidR="0093668F">
        <w:rPr>
          <w:lang w:val="en-US" w:eastAsia="zh-CN"/>
        </w:rPr>
        <w:tab/>
      </w:r>
      <w:r w:rsidRPr="006E3B9B">
        <w:rPr>
          <w:lang w:val="en-US" w:eastAsia="zh-CN"/>
        </w:rPr>
        <w:t>1979</w:t>
      </w:r>
      <w:r w:rsidRPr="006E3B9B">
        <w:rPr>
          <w:rFonts w:hint="eastAsia"/>
          <w:lang w:val="en-US" w:eastAsia="zh-CN"/>
        </w:rPr>
        <w:t>年</w:t>
      </w:r>
    </w:p>
    <w:p w14:paraId="4827BF6B"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789</w:t>
      </w:r>
      <w:r w:rsidRPr="006E3B9B">
        <w:rPr>
          <w:lang w:val="en-US" w:eastAsia="zh-CN"/>
        </w:rPr>
        <w:t>号决议</w:t>
      </w:r>
      <w:r w:rsidRPr="006E3B9B">
        <w:rPr>
          <w:lang w:val="en-US" w:eastAsia="zh-CN"/>
        </w:rPr>
        <w:tab/>
      </w:r>
      <w:r w:rsidRPr="006E3B9B">
        <w:rPr>
          <w:lang w:eastAsia="zh-CN"/>
        </w:rPr>
        <w:t>频登会</w:t>
      </w:r>
      <w:r w:rsidRPr="006E3B9B">
        <w:rPr>
          <w:rFonts w:hint="eastAsia"/>
          <w:lang w:eastAsia="zh-CN"/>
        </w:rPr>
        <w:t>特设秘书处的重组以及计算机部门的相应变化</w:t>
      </w:r>
      <w:r w:rsidRPr="006E3B9B">
        <w:rPr>
          <w:lang w:val="en-US" w:eastAsia="zh-CN"/>
        </w:rPr>
        <w:tab/>
      </w:r>
      <w:r w:rsidR="0093668F">
        <w:rPr>
          <w:lang w:val="en-US" w:eastAsia="zh-CN"/>
        </w:rPr>
        <w:tab/>
      </w:r>
      <w:r w:rsidRPr="006E3B9B">
        <w:rPr>
          <w:lang w:val="en-US" w:eastAsia="zh-CN"/>
        </w:rPr>
        <w:t>1978</w:t>
      </w:r>
      <w:r w:rsidRPr="006E3B9B">
        <w:rPr>
          <w:rFonts w:hint="eastAsia"/>
          <w:lang w:val="en-US" w:eastAsia="zh-CN"/>
        </w:rPr>
        <w:t>年</w:t>
      </w:r>
    </w:p>
    <w:p w14:paraId="4827BF6C"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790</w:t>
      </w:r>
      <w:r w:rsidRPr="006E3B9B">
        <w:rPr>
          <w:lang w:val="en-US" w:eastAsia="zh-CN"/>
        </w:rPr>
        <w:t>号决议</w:t>
      </w:r>
      <w:r w:rsidRPr="006E3B9B">
        <w:rPr>
          <w:lang w:val="en-US" w:eastAsia="zh-CN"/>
        </w:rPr>
        <w:tab/>
      </w:r>
      <w:r w:rsidRPr="006E3B9B">
        <w:rPr>
          <w:rFonts w:hint="eastAsia"/>
          <w:lang w:eastAsia="zh-CN"/>
        </w:rPr>
        <w:t>国际电联职员养恤金委员会的委员</w:t>
      </w:r>
      <w:r w:rsidRPr="006E3B9B">
        <w:rPr>
          <w:lang w:val="en-US" w:eastAsia="zh-CN"/>
        </w:rPr>
        <w:tab/>
      </w:r>
      <w:r w:rsidR="0093668F">
        <w:rPr>
          <w:lang w:val="en-US" w:eastAsia="zh-CN"/>
        </w:rPr>
        <w:tab/>
      </w:r>
      <w:r w:rsidRPr="006E3B9B">
        <w:rPr>
          <w:lang w:val="en-US" w:eastAsia="zh-CN"/>
        </w:rPr>
        <w:t>1978</w:t>
      </w:r>
      <w:r w:rsidRPr="006E3B9B">
        <w:rPr>
          <w:rFonts w:hint="eastAsia"/>
          <w:lang w:val="en-US" w:eastAsia="zh-CN"/>
        </w:rPr>
        <w:t>年</w:t>
      </w:r>
    </w:p>
    <w:p w14:paraId="4827BF6D"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791</w:t>
      </w:r>
      <w:r w:rsidRPr="006E3B9B">
        <w:rPr>
          <w:lang w:val="en-US" w:eastAsia="zh-CN"/>
        </w:rPr>
        <w:t>号决议</w:t>
      </w:r>
      <w:r w:rsidRPr="006E3B9B">
        <w:rPr>
          <w:lang w:val="en-US" w:eastAsia="zh-CN"/>
        </w:rPr>
        <w:tab/>
      </w:r>
      <w:r w:rsidRPr="006E3B9B">
        <w:rPr>
          <w:rFonts w:hint="eastAsia"/>
          <w:lang w:eastAsia="zh-CN"/>
        </w:rPr>
        <w:t>职位的定级</w:t>
      </w:r>
      <w:r w:rsidRPr="006E3B9B">
        <w:rPr>
          <w:lang w:val="en-US" w:eastAsia="zh-CN"/>
        </w:rPr>
        <w:tab/>
      </w:r>
      <w:r w:rsidR="0093668F">
        <w:rPr>
          <w:lang w:val="en-US" w:eastAsia="zh-CN"/>
        </w:rPr>
        <w:tab/>
      </w:r>
      <w:r w:rsidRPr="006E3B9B">
        <w:rPr>
          <w:lang w:val="en-US" w:eastAsia="zh-CN"/>
        </w:rPr>
        <w:t>1978</w:t>
      </w:r>
      <w:r w:rsidRPr="006E3B9B">
        <w:rPr>
          <w:rFonts w:hint="eastAsia"/>
          <w:lang w:val="en-US" w:eastAsia="zh-CN"/>
        </w:rPr>
        <w:t>年</w:t>
      </w:r>
    </w:p>
    <w:p w14:paraId="4827BF6E"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792</w:t>
      </w:r>
      <w:r w:rsidRPr="006E3B9B">
        <w:rPr>
          <w:lang w:val="en-US" w:eastAsia="zh-CN"/>
        </w:rPr>
        <w:t>号决议</w:t>
      </w:r>
      <w:r w:rsidRPr="006E3B9B">
        <w:rPr>
          <w:lang w:val="en-US" w:eastAsia="zh-CN"/>
        </w:rPr>
        <w:tab/>
      </w:r>
      <w:r w:rsidRPr="006E3B9B">
        <w:rPr>
          <w:rFonts w:hint="eastAsia"/>
          <w:lang w:eastAsia="zh-CN"/>
        </w:rPr>
        <w:t>《人事规则和人事细则》的建议修正案</w:t>
      </w:r>
      <w:r w:rsidR="00245F7E">
        <w:rPr>
          <w:lang w:val="en-US" w:eastAsia="zh-CN"/>
        </w:rPr>
        <w:tab/>
      </w:r>
      <w:r w:rsidR="0093668F">
        <w:rPr>
          <w:lang w:val="en-US" w:eastAsia="zh-CN"/>
        </w:rPr>
        <w:tab/>
      </w:r>
      <w:r w:rsidR="00245F7E">
        <w:rPr>
          <w:lang w:val="en-US" w:eastAsia="zh-CN"/>
        </w:rPr>
        <w:t>2.1</w:t>
      </w:r>
    </w:p>
    <w:p w14:paraId="4827BF6F"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793</w:t>
      </w:r>
      <w:r w:rsidRPr="006E3B9B">
        <w:rPr>
          <w:lang w:val="en-US" w:eastAsia="zh-CN"/>
        </w:rPr>
        <w:t>号决议</w:t>
      </w:r>
      <w:r w:rsidRPr="006E3B9B">
        <w:rPr>
          <w:lang w:val="en-US" w:eastAsia="zh-CN"/>
        </w:rPr>
        <w:tab/>
      </w:r>
      <w:r w:rsidRPr="006E3B9B">
        <w:rPr>
          <w:rFonts w:hint="eastAsia"/>
          <w:lang w:eastAsia="zh-CN"/>
        </w:rPr>
        <w:t>人事部的机构设置</w:t>
      </w:r>
      <w:r w:rsidRPr="006E3B9B">
        <w:rPr>
          <w:lang w:val="en-US" w:eastAsia="zh-CN"/>
        </w:rPr>
        <w:tab/>
      </w:r>
      <w:r w:rsidR="0093668F">
        <w:rPr>
          <w:lang w:val="en-US" w:eastAsia="zh-CN"/>
        </w:rPr>
        <w:tab/>
      </w:r>
      <w:r w:rsidRPr="006E3B9B">
        <w:rPr>
          <w:lang w:val="en-US" w:eastAsia="zh-CN"/>
        </w:rPr>
        <w:t>1979</w:t>
      </w:r>
      <w:r w:rsidRPr="006E3B9B">
        <w:rPr>
          <w:rFonts w:hint="eastAsia"/>
          <w:lang w:val="en-US" w:eastAsia="zh-CN"/>
        </w:rPr>
        <w:t>年</w:t>
      </w:r>
    </w:p>
    <w:p w14:paraId="4827BF70"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794</w:t>
      </w:r>
      <w:r w:rsidRPr="006E3B9B">
        <w:rPr>
          <w:lang w:val="en-US" w:eastAsia="zh-CN"/>
        </w:rPr>
        <w:t>号决议</w:t>
      </w:r>
      <w:r w:rsidRPr="006E3B9B">
        <w:rPr>
          <w:lang w:val="en-US" w:eastAsia="zh-CN"/>
        </w:rPr>
        <w:tab/>
      </w:r>
      <w:r w:rsidRPr="006E3B9B">
        <w:rPr>
          <w:rFonts w:hint="eastAsia"/>
          <w:lang w:eastAsia="zh-CN"/>
        </w:rPr>
        <w:t>语言处的机构设置</w:t>
      </w:r>
      <w:r w:rsidRPr="006E3B9B">
        <w:rPr>
          <w:lang w:val="en-US" w:eastAsia="zh-CN"/>
        </w:rPr>
        <w:tab/>
      </w:r>
      <w:r w:rsidR="0093668F">
        <w:rPr>
          <w:lang w:val="en-US" w:eastAsia="zh-CN"/>
        </w:rPr>
        <w:tab/>
      </w:r>
      <w:r w:rsidRPr="006E3B9B">
        <w:rPr>
          <w:lang w:val="en-US" w:eastAsia="zh-CN"/>
        </w:rPr>
        <w:t>1978</w:t>
      </w:r>
      <w:r w:rsidRPr="006E3B9B">
        <w:rPr>
          <w:rFonts w:hint="eastAsia"/>
          <w:lang w:val="en-US" w:eastAsia="zh-CN"/>
        </w:rPr>
        <w:t>年</w:t>
      </w:r>
    </w:p>
    <w:p w14:paraId="4827BF71"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795</w:t>
      </w:r>
      <w:r w:rsidRPr="006E3B9B">
        <w:rPr>
          <w:lang w:val="en-US" w:eastAsia="zh-CN"/>
        </w:rPr>
        <w:t>号决议</w:t>
      </w:r>
      <w:r w:rsidRPr="006E3B9B">
        <w:rPr>
          <w:lang w:val="en-US" w:eastAsia="zh-CN"/>
        </w:rPr>
        <w:tab/>
      </w:r>
      <w:r w:rsidRPr="006E3B9B">
        <w:rPr>
          <w:rFonts w:hint="eastAsia"/>
          <w:lang w:eastAsia="zh-CN"/>
        </w:rPr>
        <w:t>国际电联职员的地域分配</w:t>
      </w:r>
      <w:r w:rsidRPr="006E3B9B">
        <w:rPr>
          <w:lang w:val="en-US" w:eastAsia="zh-CN"/>
        </w:rPr>
        <w:tab/>
      </w:r>
      <w:r w:rsidR="0093668F">
        <w:rPr>
          <w:lang w:val="en-US" w:eastAsia="zh-CN"/>
        </w:rPr>
        <w:tab/>
      </w:r>
      <w:r w:rsidRPr="006E3B9B">
        <w:rPr>
          <w:lang w:val="en-US" w:eastAsia="zh-CN"/>
        </w:rPr>
        <w:t>1984</w:t>
      </w:r>
      <w:r w:rsidRPr="006E3B9B">
        <w:rPr>
          <w:rFonts w:hint="eastAsia"/>
          <w:lang w:val="en-US" w:eastAsia="zh-CN"/>
        </w:rPr>
        <w:t>年</w:t>
      </w:r>
    </w:p>
    <w:p w14:paraId="4827BF72"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796</w:t>
      </w:r>
      <w:r w:rsidRPr="006E3B9B">
        <w:rPr>
          <w:lang w:val="en-US" w:eastAsia="zh-CN"/>
        </w:rPr>
        <w:t>号决议</w:t>
      </w:r>
      <w:r w:rsidRPr="006E3B9B">
        <w:rPr>
          <w:lang w:val="en-US" w:eastAsia="zh-CN"/>
        </w:rPr>
        <w:tab/>
      </w:r>
      <w:r w:rsidRPr="006E3B9B">
        <w:rPr>
          <w:rFonts w:hint="eastAsia"/>
          <w:lang w:eastAsia="zh-CN"/>
        </w:rPr>
        <w:t>租用国际电联大楼内会议厅和办公室的条件</w:t>
      </w:r>
      <w:r w:rsidRPr="006E3B9B">
        <w:rPr>
          <w:lang w:val="en-US" w:eastAsia="zh-CN"/>
        </w:rPr>
        <w:tab/>
      </w:r>
      <w:r w:rsidR="0093668F">
        <w:rPr>
          <w:lang w:val="en-US" w:eastAsia="zh-CN"/>
        </w:rPr>
        <w:tab/>
      </w:r>
      <w:r w:rsidRPr="006E3B9B">
        <w:rPr>
          <w:lang w:val="en-US" w:eastAsia="zh-CN"/>
        </w:rPr>
        <w:t>1983</w:t>
      </w:r>
      <w:r w:rsidRPr="006E3B9B">
        <w:rPr>
          <w:rFonts w:hint="eastAsia"/>
          <w:lang w:val="en-US" w:eastAsia="zh-CN"/>
        </w:rPr>
        <w:t>年</w:t>
      </w:r>
    </w:p>
    <w:p w14:paraId="4827BF73"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797</w:t>
      </w:r>
      <w:r w:rsidRPr="006E3B9B">
        <w:rPr>
          <w:lang w:val="en-US" w:eastAsia="zh-CN"/>
        </w:rPr>
        <w:t>号决议</w:t>
      </w:r>
      <w:r w:rsidRPr="006E3B9B">
        <w:rPr>
          <w:lang w:val="en-US" w:eastAsia="zh-CN"/>
        </w:rPr>
        <w:tab/>
      </w:r>
      <w:r w:rsidRPr="006E3B9B">
        <w:rPr>
          <w:rFonts w:hint="eastAsia"/>
          <w:lang w:eastAsia="zh-CN"/>
        </w:rPr>
        <w:t>国际电联《财务规则》的修订</w:t>
      </w:r>
      <w:r w:rsidRPr="006E3B9B">
        <w:rPr>
          <w:lang w:val="en-US" w:eastAsia="zh-CN"/>
        </w:rPr>
        <w:tab/>
      </w:r>
      <w:r w:rsidR="0093668F">
        <w:rPr>
          <w:lang w:val="en-US" w:eastAsia="zh-CN"/>
        </w:rPr>
        <w:tab/>
      </w:r>
      <w:r w:rsidRPr="006E3B9B">
        <w:rPr>
          <w:lang w:val="en-US" w:eastAsia="zh-CN"/>
        </w:rPr>
        <w:t>1978</w:t>
      </w:r>
      <w:r w:rsidRPr="006E3B9B">
        <w:rPr>
          <w:rFonts w:hint="eastAsia"/>
          <w:lang w:val="en-US" w:eastAsia="zh-CN"/>
        </w:rPr>
        <w:t>年</w:t>
      </w:r>
    </w:p>
    <w:p w14:paraId="4827BF74"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798</w:t>
      </w:r>
      <w:r w:rsidRPr="006E3B9B">
        <w:rPr>
          <w:lang w:val="en-US" w:eastAsia="zh-CN"/>
        </w:rPr>
        <w:t>号决议</w:t>
      </w:r>
      <w:r w:rsidRPr="006E3B9B">
        <w:rPr>
          <w:lang w:val="en-US" w:eastAsia="zh-CN"/>
        </w:rPr>
        <w:tab/>
      </w:r>
      <w:r w:rsidRPr="006E3B9B">
        <w:rPr>
          <w:rFonts w:hint="eastAsia"/>
          <w:lang w:eastAsia="zh-CN"/>
        </w:rPr>
        <w:t>行政理事会可支配的运作资金</w:t>
      </w:r>
      <w:r w:rsidRPr="006E3B9B">
        <w:rPr>
          <w:lang w:val="en-US" w:eastAsia="zh-CN"/>
        </w:rPr>
        <w:tab/>
      </w:r>
      <w:r w:rsidR="0093668F">
        <w:rPr>
          <w:lang w:val="en-US" w:eastAsia="zh-CN"/>
        </w:rPr>
        <w:tab/>
      </w:r>
      <w:r w:rsidRPr="006E3B9B">
        <w:rPr>
          <w:lang w:val="en-US" w:eastAsia="zh-CN"/>
        </w:rPr>
        <w:t>1978</w:t>
      </w:r>
      <w:r w:rsidRPr="006E3B9B">
        <w:rPr>
          <w:rFonts w:hint="eastAsia"/>
          <w:lang w:val="en-US" w:eastAsia="zh-CN"/>
        </w:rPr>
        <w:t>年</w:t>
      </w:r>
    </w:p>
    <w:p w14:paraId="4827BF75"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799</w:t>
      </w:r>
      <w:r w:rsidRPr="006E3B9B">
        <w:rPr>
          <w:lang w:val="en-US" w:eastAsia="zh-CN"/>
        </w:rPr>
        <w:t>号决议</w:t>
      </w:r>
      <w:r w:rsidRPr="006E3B9B">
        <w:rPr>
          <w:lang w:val="en-US" w:eastAsia="zh-CN"/>
        </w:rPr>
        <w:tab/>
      </w:r>
      <w:r w:rsidRPr="006E3B9B">
        <w:rPr>
          <w:rFonts w:hint="eastAsia"/>
          <w:lang w:eastAsia="zh-CN"/>
        </w:rPr>
        <w:t>国际电信联盟</w:t>
      </w:r>
      <w:r w:rsidRPr="006E3B9B">
        <w:rPr>
          <w:lang w:eastAsia="zh-CN"/>
        </w:rPr>
        <w:t>1978</w:t>
      </w:r>
      <w:r w:rsidRPr="006E3B9B">
        <w:rPr>
          <w:rFonts w:hint="eastAsia"/>
          <w:lang w:eastAsia="zh-CN"/>
        </w:rPr>
        <w:t>年预算</w:t>
      </w:r>
      <w:r w:rsidRPr="006E3B9B">
        <w:rPr>
          <w:lang w:val="en-US" w:eastAsia="zh-CN"/>
        </w:rPr>
        <w:tab/>
      </w:r>
      <w:r w:rsidR="0093668F">
        <w:rPr>
          <w:lang w:val="en-US" w:eastAsia="zh-CN"/>
        </w:rPr>
        <w:tab/>
      </w:r>
      <w:r w:rsidRPr="006E3B9B">
        <w:rPr>
          <w:lang w:val="en-US" w:eastAsia="zh-CN"/>
        </w:rPr>
        <w:t>1979</w:t>
      </w:r>
      <w:r w:rsidRPr="006E3B9B">
        <w:rPr>
          <w:rFonts w:hint="eastAsia"/>
          <w:lang w:val="en-US" w:eastAsia="zh-CN"/>
        </w:rPr>
        <w:t>年</w:t>
      </w:r>
    </w:p>
    <w:p w14:paraId="4827BF76"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800</w:t>
      </w:r>
      <w:r w:rsidRPr="006E3B9B">
        <w:rPr>
          <w:lang w:val="en-US" w:eastAsia="zh-CN"/>
        </w:rPr>
        <w:t>号决议</w:t>
      </w:r>
      <w:r w:rsidRPr="006E3B9B">
        <w:rPr>
          <w:lang w:val="en-US" w:eastAsia="zh-CN"/>
        </w:rPr>
        <w:tab/>
      </w:r>
      <w:r w:rsidRPr="006E3B9B">
        <w:rPr>
          <w:rFonts w:hint="eastAsia"/>
          <w:lang w:eastAsia="zh-CN"/>
        </w:rPr>
        <w:t>电信，经济和社会发展的一个重要因素：国际电联在此领域的作用</w:t>
      </w:r>
      <w:r w:rsidRPr="006E3B9B">
        <w:rPr>
          <w:lang w:val="en-US" w:eastAsia="zh-CN"/>
        </w:rPr>
        <w:tab/>
      </w:r>
      <w:r w:rsidR="0093668F">
        <w:rPr>
          <w:lang w:val="en-US" w:eastAsia="zh-CN"/>
        </w:rPr>
        <w:tab/>
      </w:r>
      <w:r w:rsidRPr="006E3B9B">
        <w:rPr>
          <w:lang w:val="en-US" w:eastAsia="zh-CN"/>
        </w:rPr>
        <w:t>6.2</w:t>
      </w:r>
    </w:p>
    <w:p w14:paraId="4827BF77"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801</w:t>
      </w:r>
      <w:r w:rsidRPr="006E3B9B">
        <w:rPr>
          <w:lang w:val="en-US" w:eastAsia="zh-CN"/>
        </w:rPr>
        <w:t>号决议</w:t>
      </w:r>
      <w:r w:rsidRPr="006E3B9B">
        <w:rPr>
          <w:lang w:val="en-US" w:eastAsia="zh-CN"/>
        </w:rPr>
        <w:tab/>
      </w:r>
      <w:r w:rsidRPr="006E3B9B">
        <w:rPr>
          <w:lang w:eastAsia="zh-CN"/>
        </w:rPr>
        <w:t>1979</w:t>
      </w:r>
      <w:r w:rsidRPr="006E3B9B">
        <w:rPr>
          <w:rFonts w:hint="eastAsia"/>
          <w:lang w:eastAsia="zh-CN"/>
        </w:rPr>
        <w:t>年世界无线电行政大会</w:t>
      </w:r>
      <w:r w:rsidRPr="006E3B9B">
        <w:rPr>
          <w:lang w:val="en-US" w:eastAsia="zh-CN"/>
        </w:rPr>
        <w:tab/>
      </w:r>
      <w:r w:rsidR="0093668F">
        <w:rPr>
          <w:lang w:val="en-US" w:eastAsia="zh-CN"/>
        </w:rPr>
        <w:tab/>
      </w:r>
      <w:r w:rsidRPr="006E3B9B">
        <w:rPr>
          <w:lang w:val="en-US" w:eastAsia="zh-CN"/>
        </w:rPr>
        <w:t>1980</w:t>
      </w:r>
      <w:r w:rsidRPr="006E3B9B">
        <w:rPr>
          <w:rFonts w:hint="eastAsia"/>
          <w:lang w:val="en-US" w:eastAsia="zh-CN"/>
        </w:rPr>
        <w:t>年</w:t>
      </w:r>
    </w:p>
    <w:p w14:paraId="4827BF78"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802</w:t>
      </w:r>
      <w:r w:rsidRPr="006E3B9B">
        <w:rPr>
          <w:lang w:val="en-US" w:eastAsia="zh-CN"/>
        </w:rPr>
        <w:t>号决议</w:t>
      </w:r>
      <w:r w:rsidRPr="006E3B9B">
        <w:rPr>
          <w:lang w:val="en-US" w:eastAsia="zh-CN"/>
        </w:rPr>
        <w:tab/>
      </w:r>
      <w:r w:rsidRPr="006E3B9B">
        <w:rPr>
          <w:rFonts w:hint="eastAsia"/>
          <w:lang w:eastAsia="zh-CN"/>
        </w:rPr>
        <w:t>关于航空移动</w:t>
      </w:r>
      <w:r w:rsidRPr="006E3B9B">
        <w:rPr>
          <w:rFonts w:hint="eastAsia"/>
          <w:lang w:eastAsia="zh-CN"/>
        </w:rPr>
        <w:t>(R)</w:t>
      </w:r>
      <w:r w:rsidRPr="006E3B9B">
        <w:rPr>
          <w:rFonts w:hint="eastAsia"/>
          <w:lang w:eastAsia="zh-CN"/>
        </w:rPr>
        <w:t>业务的世界无线电行政大会</w:t>
      </w:r>
      <w:r w:rsidRPr="006E3B9B">
        <w:rPr>
          <w:lang w:val="en-US" w:eastAsia="zh-CN"/>
        </w:rPr>
        <w:tab/>
      </w:r>
      <w:r w:rsidR="0093668F">
        <w:rPr>
          <w:lang w:val="en-US" w:eastAsia="zh-CN"/>
        </w:rPr>
        <w:tab/>
      </w:r>
      <w:r w:rsidRPr="006E3B9B">
        <w:rPr>
          <w:lang w:val="en-US" w:eastAsia="zh-CN"/>
        </w:rPr>
        <w:t>1978</w:t>
      </w:r>
      <w:r w:rsidRPr="006E3B9B">
        <w:rPr>
          <w:rFonts w:hint="eastAsia"/>
          <w:lang w:val="en-US" w:eastAsia="zh-CN"/>
        </w:rPr>
        <w:t>年</w:t>
      </w:r>
    </w:p>
    <w:p w14:paraId="4827BF79"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803</w:t>
      </w:r>
      <w:r w:rsidRPr="006E3B9B">
        <w:rPr>
          <w:lang w:val="en-US" w:eastAsia="zh-CN"/>
        </w:rPr>
        <w:t>号决议</w:t>
      </w:r>
      <w:r w:rsidRPr="006E3B9B">
        <w:rPr>
          <w:lang w:val="en-US" w:eastAsia="zh-CN"/>
        </w:rPr>
        <w:tab/>
      </w:r>
      <w:r w:rsidRPr="006E3B9B">
        <w:rPr>
          <w:rFonts w:hint="eastAsia"/>
          <w:lang w:val="en-US" w:eastAsia="zh-CN"/>
        </w:rPr>
        <w:t>在</w:t>
      </w:r>
      <w:r w:rsidRPr="006E3B9B">
        <w:rPr>
          <w:rFonts w:hint="eastAsia"/>
          <w:lang w:eastAsia="zh-CN"/>
        </w:rPr>
        <w:t>区域层面发展电信的专业力量</w:t>
      </w:r>
      <w:r w:rsidRPr="006E3B9B">
        <w:rPr>
          <w:lang w:val="en-US" w:eastAsia="zh-CN"/>
        </w:rPr>
        <w:tab/>
      </w:r>
      <w:r w:rsidR="0093668F">
        <w:rPr>
          <w:lang w:val="en-US" w:eastAsia="zh-CN"/>
        </w:rPr>
        <w:tab/>
      </w:r>
      <w:r w:rsidRPr="006E3B9B">
        <w:rPr>
          <w:lang w:val="en-US" w:eastAsia="zh-CN"/>
        </w:rPr>
        <w:t>1981</w:t>
      </w:r>
      <w:r w:rsidRPr="006E3B9B">
        <w:rPr>
          <w:rFonts w:hint="eastAsia"/>
          <w:lang w:val="en-US" w:eastAsia="zh-CN"/>
        </w:rPr>
        <w:t>年</w:t>
      </w:r>
    </w:p>
    <w:p w14:paraId="4827BF7A"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804</w:t>
      </w:r>
      <w:r w:rsidRPr="006E3B9B">
        <w:rPr>
          <w:lang w:val="en-US" w:eastAsia="zh-CN"/>
        </w:rPr>
        <w:t>号决议</w:t>
      </w:r>
      <w:r w:rsidRPr="006E3B9B">
        <w:rPr>
          <w:lang w:val="en-US" w:eastAsia="zh-CN"/>
        </w:rPr>
        <w:tab/>
      </w:r>
      <w:r w:rsidRPr="006E3B9B">
        <w:rPr>
          <w:rFonts w:hint="eastAsia"/>
          <w:lang w:eastAsia="zh-CN"/>
        </w:rPr>
        <w:t>世界无线电行政大会（</w:t>
      </w:r>
      <w:r w:rsidRPr="006E3B9B">
        <w:rPr>
          <w:lang w:eastAsia="zh-CN"/>
        </w:rPr>
        <w:t>1979</w:t>
      </w:r>
      <w:r w:rsidRPr="006E3B9B">
        <w:rPr>
          <w:rFonts w:hint="eastAsia"/>
          <w:lang w:eastAsia="zh-CN"/>
        </w:rPr>
        <w:t>年）的筹备工作</w:t>
      </w:r>
      <w:r w:rsidRPr="006E3B9B">
        <w:rPr>
          <w:lang w:val="en-US" w:eastAsia="zh-CN"/>
        </w:rPr>
        <w:tab/>
      </w:r>
      <w:r w:rsidR="0093668F">
        <w:rPr>
          <w:lang w:val="en-US" w:eastAsia="zh-CN"/>
        </w:rPr>
        <w:tab/>
      </w:r>
      <w:r w:rsidRPr="006E3B9B">
        <w:rPr>
          <w:lang w:val="en-US" w:eastAsia="zh-CN"/>
        </w:rPr>
        <w:t>1979</w:t>
      </w:r>
      <w:r w:rsidRPr="006E3B9B">
        <w:rPr>
          <w:rFonts w:hint="eastAsia"/>
          <w:lang w:val="en-US" w:eastAsia="zh-CN"/>
        </w:rPr>
        <w:t>年</w:t>
      </w:r>
    </w:p>
    <w:p w14:paraId="4827BF7B" w14:textId="77777777" w:rsidR="006E3B9B" w:rsidRPr="006E3B9B" w:rsidRDefault="006E3B9B" w:rsidP="003E11A1">
      <w:pPr>
        <w:pStyle w:val="Reftitle"/>
        <w:rPr>
          <w:lang w:val="en-US" w:eastAsia="zh-CN"/>
        </w:rPr>
      </w:pPr>
      <w:r w:rsidRPr="006E3B9B">
        <w:rPr>
          <w:rFonts w:hint="eastAsia"/>
          <w:lang w:eastAsia="zh-CN"/>
        </w:rPr>
        <w:t>第</w:t>
      </w:r>
      <w:r w:rsidRPr="006E3B9B">
        <w:rPr>
          <w:lang w:eastAsia="zh-CN"/>
        </w:rPr>
        <w:t>33</w:t>
      </w:r>
      <w:r w:rsidRPr="006E3B9B">
        <w:rPr>
          <w:rFonts w:hint="eastAsia"/>
          <w:lang w:eastAsia="zh-CN"/>
        </w:rPr>
        <w:t>届会议（</w:t>
      </w:r>
      <w:r w:rsidRPr="006E3B9B">
        <w:rPr>
          <w:lang w:eastAsia="zh-CN"/>
        </w:rPr>
        <w:t>1978</w:t>
      </w:r>
      <w:r w:rsidRPr="006E3B9B">
        <w:rPr>
          <w:rFonts w:hint="eastAsia"/>
          <w:lang w:eastAsia="zh-CN"/>
        </w:rPr>
        <w:t>年</w:t>
      </w:r>
      <w:r w:rsidRPr="006E3B9B">
        <w:rPr>
          <w:lang w:eastAsia="zh-CN"/>
        </w:rPr>
        <w:t>5</w:t>
      </w:r>
      <w:r w:rsidRPr="006E3B9B">
        <w:rPr>
          <w:rFonts w:hint="eastAsia"/>
          <w:lang w:eastAsia="zh-CN"/>
        </w:rPr>
        <w:t>月</w:t>
      </w:r>
      <w:r w:rsidRPr="006E3B9B">
        <w:rPr>
          <w:lang w:eastAsia="zh-CN"/>
        </w:rPr>
        <w:t>-6</w:t>
      </w:r>
      <w:r w:rsidRPr="006E3B9B">
        <w:rPr>
          <w:rFonts w:hint="eastAsia"/>
          <w:lang w:eastAsia="zh-CN"/>
        </w:rPr>
        <w:t>月）</w:t>
      </w:r>
    </w:p>
    <w:p w14:paraId="4827BF7C"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805</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1977</w:t>
      </w:r>
      <w:r w:rsidRPr="006E3B9B">
        <w:rPr>
          <w:rFonts w:hint="eastAsia"/>
          <w:lang w:eastAsia="zh-CN"/>
        </w:rPr>
        <w:t>年财务工作报告</w:t>
      </w:r>
      <w:r w:rsidRPr="006E3B9B">
        <w:rPr>
          <w:lang w:val="en-US" w:eastAsia="zh-CN"/>
        </w:rPr>
        <w:tab/>
      </w:r>
      <w:r w:rsidR="0093668F">
        <w:rPr>
          <w:lang w:val="en-US" w:eastAsia="zh-CN"/>
        </w:rPr>
        <w:tab/>
      </w:r>
      <w:r w:rsidRPr="006E3B9B">
        <w:rPr>
          <w:lang w:val="en-US" w:eastAsia="zh-CN"/>
        </w:rPr>
        <w:t>1979</w:t>
      </w:r>
      <w:r w:rsidRPr="006E3B9B">
        <w:rPr>
          <w:rFonts w:hint="eastAsia"/>
          <w:lang w:val="en-US" w:eastAsia="zh-CN"/>
        </w:rPr>
        <w:t>年</w:t>
      </w:r>
    </w:p>
    <w:p w14:paraId="4827BF7D"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806</w:t>
      </w:r>
      <w:r w:rsidRPr="006E3B9B">
        <w:rPr>
          <w:lang w:val="en-US" w:eastAsia="zh-CN"/>
        </w:rPr>
        <w:t>号决议</w:t>
      </w:r>
      <w:r w:rsidRPr="006E3B9B">
        <w:rPr>
          <w:lang w:val="en-US" w:eastAsia="zh-CN"/>
        </w:rPr>
        <w:tab/>
      </w:r>
      <w:r w:rsidRPr="006E3B9B">
        <w:rPr>
          <w:rFonts w:hint="eastAsia"/>
          <w:lang w:val="fr-FR" w:eastAsia="zh-CN"/>
        </w:rPr>
        <w:t>职位叙级</w:t>
      </w:r>
      <w:r w:rsidRPr="006E3B9B">
        <w:rPr>
          <w:lang w:val="en-US" w:eastAsia="zh-CN"/>
        </w:rPr>
        <w:tab/>
      </w:r>
      <w:r w:rsidR="0093668F">
        <w:rPr>
          <w:lang w:val="en-US" w:eastAsia="zh-CN"/>
        </w:rPr>
        <w:tab/>
      </w:r>
      <w:r w:rsidRPr="006E3B9B">
        <w:rPr>
          <w:lang w:val="en-US" w:eastAsia="zh-CN"/>
        </w:rPr>
        <w:t>1979</w:t>
      </w:r>
      <w:r w:rsidRPr="006E3B9B">
        <w:rPr>
          <w:rFonts w:hint="eastAsia"/>
          <w:lang w:val="en-US" w:eastAsia="zh-CN"/>
        </w:rPr>
        <w:t>年</w:t>
      </w:r>
    </w:p>
    <w:p w14:paraId="4827BF7E"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807</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1977</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1</w:t>
      </w:r>
      <w:r w:rsidRPr="006E3B9B">
        <w:rPr>
          <w:rFonts w:hint="eastAsia"/>
          <w:lang w:eastAsia="zh-CN"/>
        </w:rPr>
        <w:t>日至</w:t>
      </w:r>
      <w:r w:rsidRPr="006E3B9B">
        <w:rPr>
          <w:lang w:eastAsia="zh-CN"/>
        </w:rPr>
        <w:t>12</w:t>
      </w:r>
      <w:r w:rsidRPr="006E3B9B">
        <w:rPr>
          <w:rFonts w:hint="eastAsia"/>
          <w:lang w:eastAsia="zh-CN"/>
        </w:rPr>
        <w:t>月</w:t>
      </w:r>
      <w:r w:rsidRPr="006E3B9B">
        <w:rPr>
          <w:lang w:eastAsia="zh-CN"/>
        </w:rPr>
        <w:t>31</w:t>
      </w:r>
      <w:r w:rsidRPr="006E3B9B">
        <w:rPr>
          <w:rFonts w:hint="eastAsia"/>
          <w:lang w:eastAsia="zh-CN"/>
        </w:rPr>
        <w:t>日账目的外部审计</w:t>
      </w:r>
      <w:r w:rsidRPr="006E3B9B">
        <w:rPr>
          <w:lang w:val="en-US" w:eastAsia="zh-CN"/>
        </w:rPr>
        <w:tab/>
      </w:r>
      <w:r w:rsidR="0093668F">
        <w:rPr>
          <w:lang w:val="en-US" w:eastAsia="zh-CN"/>
        </w:rPr>
        <w:tab/>
      </w:r>
      <w:r w:rsidRPr="006E3B9B">
        <w:rPr>
          <w:lang w:val="en-US" w:eastAsia="zh-CN"/>
        </w:rPr>
        <w:t>1979</w:t>
      </w:r>
      <w:r w:rsidRPr="006E3B9B">
        <w:rPr>
          <w:rFonts w:hint="eastAsia"/>
          <w:lang w:val="en-US" w:eastAsia="zh-CN"/>
        </w:rPr>
        <w:t>年</w:t>
      </w:r>
    </w:p>
    <w:p w14:paraId="4827BF7F"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808</w:t>
      </w:r>
      <w:r w:rsidRPr="006E3B9B">
        <w:rPr>
          <w:lang w:val="en-US" w:eastAsia="zh-CN"/>
        </w:rPr>
        <w:t>号决议</w:t>
      </w:r>
      <w:r w:rsidRPr="006E3B9B">
        <w:rPr>
          <w:lang w:val="en-US" w:eastAsia="zh-CN"/>
        </w:rPr>
        <w:tab/>
      </w:r>
      <w:r w:rsidRPr="006E3B9B">
        <w:rPr>
          <w:rFonts w:hint="eastAsia"/>
          <w:lang w:eastAsia="zh-CN"/>
        </w:rPr>
        <w:t>国际电联职员退休和福利基金备用基金的恢复</w:t>
      </w:r>
      <w:r w:rsidRPr="006E3B9B">
        <w:rPr>
          <w:lang w:val="en-US" w:eastAsia="zh-CN"/>
        </w:rPr>
        <w:tab/>
      </w:r>
      <w:r w:rsidR="0093668F">
        <w:rPr>
          <w:lang w:val="en-US" w:eastAsia="zh-CN"/>
        </w:rPr>
        <w:tab/>
      </w:r>
      <w:r w:rsidRPr="006E3B9B">
        <w:rPr>
          <w:lang w:val="en-US" w:eastAsia="zh-CN"/>
        </w:rPr>
        <w:t>1981</w:t>
      </w:r>
      <w:r w:rsidRPr="006E3B9B">
        <w:rPr>
          <w:rFonts w:hint="eastAsia"/>
          <w:lang w:val="en-US" w:eastAsia="zh-CN"/>
        </w:rPr>
        <w:t>年</w:t>
      </w:r>
    </w:p>
    <w:p w14:paraId="4827BF80"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809</w:t>
      </w:r>
      <w:r w:rsidRPr="006E3B9B">
        <w:rPr>
          <w:lang w:val="en-US" w:eastAsia="zh-CN"/>
        </w:rPr>
        <w:t>号决议</w:t>
      </w:r>
      <w:r w:rsidRPr="006E3B9B">
        <w:rPr>
          <w:lang w:val="en-US" w:eastAsia="zh-CN"/>
        </w:rPr>
        <w:tab/>
      </w:r>
      <w:r w:rsidRPr="006E3B9B">
        <w:rPr>
          <w:rFonts w:hint="eastAsia"/>
          <w:lang w:eastAsia="zh-CN"/>
        </w:rPr>
        <w:t>职位的重新叙级</w:t>
      </w:r>
      <w:r w:rsidRPr="006E3B9B">
        <w:rPr>
          <w:lang w:val="en-US" w:eastAsia="zh-CN"/>
        </w:rPr>
        <w:tab/>
      </w:r>
      <w:r w:rsidR="0093668F">
        <w:rPr>
          <w:lang w:val="en-US" w:eastAsia="zh-CN"/>
        </w:rPr>
        <w:tab/>
      </w:r>
      <w:r w:rsidRPr="006E3B9B">
        <w:rPr>
          <w:lang w:val="en-US" w:eastAsia="zh-CN"/>
        </w:rPr>
        <w:t>1979</w:t>
      </w:r>
      <w:r w:rsidRPr="006E3B9B">
        <w:rPr>
          <w:rFonts w:hint="eastAsia"/>
          <w:lang w:val="en-US" w:eastAsia="zh-CN"/>
        </w:rPr>
        <w:t>年</w:t>
      </w:r>
    </w:p>
    <w:p w14:paraId="4827BF81"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810</w:t>
      </w:r>
      <w:r w:rsidRPr="006E3B9B">
        <w:rPr>
          <w:lang w:val="en-US" w:eastAsia="zh-CN"/>
        </w:rPr>
        <w:t>号决议</w:t>
      </w:r>
      <w:r w:rsidRPr="006E3B9B">
        <w:rPr>
          <w:lang w:val="en-US" w:eastAsia="zh-CN"/>
        </w:rPr>
        <w:tab/>
      </w:r>
      <w:r w:rsidRPr="006E3B9B">
        <w:rPr>
          <w:rFonts w:hint="eastAsia"/>
          <w:lang w:eastAsia="zh-CN"/>
        </w:rPr>
        <w:t>将翻译职位转为翻译</w:t>
      </w:r>
      <w:r w:rsidRPr="006E3B9B">
        <w:rPr>
          <w:lang w:eastAsia="zh-CN"/>
        </w:rPr>
        <w:t>/</w:t>
      </w:r>
      <w:r w:rsidRPr="006E3B9B">
        <w:rPr>
          <w:rFonts w:hint="eastAsia"/>
          <w:lang w:eastAsia="zh-CN"/>
        </w:rPr>
        <w:t>译审职位</w:t>
      </w:r>
      <w:r w:rsidRPr="006E3B9B">
        <w:rPr>
          <w:lang w:val="en-US" w:eastAsia="zh-CN"/>
        </w:rPr>
        <w:tab/>
      </w:r>
      <w:r w:rsidR="0093668F">
        <w:rPr>
          <w:lang w:val="en-US" w:eastAsia="zh-CN"/>
        </w:rPr>
        <w:tab/>
      </w:r>
      <w:r w:rsidRPr="006E3B9B">
        <w:rPr>
          <w:lang w:val="en-US" w:eastAsia="zh-CN"/>
        </w:rPr>
        <w:t>1979</w:t>
      </w:r>
      <w:r w:rsidRPr="006E3B9B">
        <w:rPr>
          <w:rFonts w:hint="eastAsia"/>
          <w:lang w:val="en-US" w:eastAsia="zh-CN"/>
        </w:rPr>
        <w:t>年</w:t>
      </w:r>
    </w:p>
    <w:p w14:paraId="4827BF82"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811</w:t>
      </w:r>
      <w:r w:rsidRPr="006E3B9B">
        <w:rPr>
          <w:lang w:val="en-US" w:eastAsia="zh-CN"/>
        </w:rPr>
        <w:t>号决议</w:t>
      </w:r>
      <w:r w:rsidRPr="006E3B9B">
        <w:rPr>
          <w:lang w:val="en-US" w:eastAsia="zh-CN"/>
        </w:rPr>
        <w:tab/>
      </w:r>
      <w:r w:rsidRPr="006E3B9B">
        <w:rPr>
          <w:rFonts w:hint="eastAsia"/>
          <w:lang w:eastAsia="zh-CN"/>
        </w:rPr>
        <w:t>汇率浮动</w:t>
      </w:r>
      <w:r w:rsidRPr="006E3B9B">
        <w:rPr>
          <w:lang w:val="en-US" w:eastAsia="zh-CN"/>
        </w:rPr>
        <w:tab/>
      </w:r>
      <w:r w:rsidR="0093668F">
        <w:rPr>
          <w:lang w:val="en-US" w:eastAsia="zh-CN"/>
        </w:rPr>
        <w:tab/>
      </w:r>
      <w:r w:rsidRPr="006E3B9B">
        <w:rPr>
          <w:lang w:val="en-US" w:eastAsia="zh-CN"/>
        </w:rPr>
        <w:t>1993</w:t>
      </w:r>
      <w:r w:rsidRPr="006E3B9B">
        <w:rPr>
          <w:rFonts w:hint="eastAsia"/>
          <w:lang w:val="en-US" w:eastAsia="zh-CN"/>
        </w:rPr>
        <w:t>年</w:t>
      </w:r>
    </w:p>
    <w:p w14:paraId="4827BF83"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812</w:t>
      </w:r>
      <w:r w:rsidRPr="006E3B9B">
        <w:rPr>
          <w:lang w:val="en-US" w:eastAsia="zh-CN"/>
        </w:rPr>
        <w:t>号决议</w:t>
      </w:r>
      <w:r w:rsidRPr="006E3B9B">
        <w:rPr>
          <w:lang w:val="en-US" w:eastAsia="zh-CN"/>
        </w:rPr>
        <w:tab/>
      </w:r>
      <w:r w:rsidRPr="006E3B9B">
        <w:rPr>
          <w:rFonts w:hint="eastAsia"/>
          <w:lang w:eastAsia="zh-CN"/>
        </w:rPr>
        <w:t>对外关系部</w:t>
      </w:r>
      <w:r w:rsidRPr="006E3B9B">
        <w:rPr>
          <w:lang w:val="en-US" w:eastAsia="zh-CN"/>
        </w:rPr>
        <w:tab/>
      </w:r>
      <w:r w:rsidR="0093668F">
        <w:rPr>
          <w:lang w:val="en-US" w:eastAsia="zh-CN"/>
        </w:rPr>
        <w:tab/>
      </w:r>
      <w:r w:rsidRPr="006E3B9B">
        <w:rPr>
          <w:lang w:val="en-US" w:eastAsia="zh-CN"/>
        </w:rPr>
        <w:t>1979</w:t>
      </w:r>
      <w:r w:rsidRPr="006E3B9B">
        <w:rPr>
          <w:rFonts w:hint="eastAsia"/>
          <w:lang w:val="en-US" w:eastAsia="zh-CN"/>
        </w:rPr>
        <w:t>年</w:t>
      </w:r>
    </w:p>
    <w:p w14:paraId="4827BF84"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813</w:t>
      </w:r>
      <w:r w:rsidRPr="006E3B9B">
        <w:rPr>
          <w:lang w:val="en-US" w:eastAsia="zh-CN"/>
        </w:rPr>
        <w:t>号决议</w:t>
      </w:r>
      <w:r w:rsidRPr="006E3B9B">
        <w:rPr>
          <w:lang w:val="en-US" w:eastAsia="zh-CN"/>
        </w:rPr>
        <w:tab/>
      </w:r>
      <w:r w:rsidRPr="006E3B9B">
        <w:rPr>
          <w:rFonts w:hint="eastAsia"/>
          <w:lang w:eastAsia="zh-CN"/>
        </w:rPr>
        <w:t>国际电联职员养恤金委员会的委员</w:t>
      </w:r>
      <w:r w:rsidRPr="006E3B9B">
        <w:rPr>
          <w:lang w:val="en-US" w:eastAsia="zh-CN"/>
        </w:rPr>
        <w:tab/>
      </w:r>
      <w:r w:rsidR="0093668F">
        <w:rPr>
          <w:lang w:val="en-US" w:eastAsia="zh-CN"/>
        </w:rPr>
        <w:tab/>
      </w:r>
      <w:r w:rsidRPr="006E3B9B">
        <w:rPr>
          <w:lang w:val="en-US" w:eastAsia="zh-CN"/>
        </w:rPr>
        <w:t>1979</w:t>
      </w:r>
      <w:r w:rsidRPr="006E3B9B">
        <w:rPr>
          <w:rFonts w:hint="eastAsia"/>
          <w:lang w:val="en-US" w:eastAsia="zh-CN"/>
        </w:rPr>
        <w:t>年</w:t>
      </w:r>
    </w:p>
    <w:p w14:paraId="4827BF85"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814</w:t>
      </w:r>
      <w:r w:rsidRPr="006E3B9B">
        <w:rPr>
          <w:lang w:val="en-US" w:eastAsia="zh-CN"/>
        </w:rPr>
        <w:t>号决议</w:t>
      </w:r>
      <w:r w:rsidRPr="006E3B9B">
        <w:rPr>
          <w:lang w:val="en-US" w:eastAsia="zh-CN"/>
        </w:rPr>
        <w:tab/>
      </w:r>
      <w:r w:rsidRPr="006E3B9B">
        <w:rPr>
          <w:rFonts w:hint="eastAsia"/>
          <w:lang w:eastAsia="zh-CN"/>
        </w:rPr>
        <w:t>关于移动业务的世界无线电行政大会</w:t>
      </w:r>
      <w:r w:rsidRPr="006E3B9B">
        <w:rPr>
          <w:lang w:val="en-US" w:eastAsia="zh-CN"/>
        </w:rPr>
        <w:tab/>
      </w:r>
      <w:r w:rsidR="0093668F">
        <w:rPr>
          <w:lang w:val="en-US" w:eastAsia="zh-CN"/>
        </w:rPr>
        <w:tab/>
      </w:r>
      <w:r w:rsidRPr="006E3B9B">
        <w:rPr>
          <w:lang w:val="en-US" w:eastAsia="zh-CN"/>
        </w:rPr>
        <w:t>1979</w:t>
      </w:r>
      <w:r w:rsidRPr="006E3B9B">
        <w:rPr>
          <w:rFonts w:hint="eastAsia"/>
          <w:lang w:val="en-US" w:eastAsia="zh-CN"/>
        </w:rPr>
        <w:t>年</w:t>
      </w:r>
    </w:p>
    <w:p w14:paraId="4827BF86"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815</w:t>
      </w:r>
      <w:r w:rsidRPr="006E3B9B">
        <w:rPr>
          <w:lang w:val="en-US" w:eastAsia="zh-CN"/>
        </w:rPr>
        <w:t>号决议</w:t>
      </w:r>
      <w:r w:rsidRPr="006E3B9B">
        <w:rPr>
          <w:lang w:val="en-US" w:eastAsia="zh-CN"/>
        </w:rPr>
        <w:tab/>
      </w:r>
      <w:r w:rsidRPr="006E3B9B">
        <w:rPr>
          <w:rFonts w:hint="eastAsia"/>
          <w:lang w:eastAsia="zh-CN"/>
        </w:rPr>
        <w:t>国际电信联盟</w:t>
      </w:r>
      <w:r w:rsidRPr="006E3B9B">
        <w:rPr>
          <w:lang w:eastAsia="zh-CN"/>
        </w:rPr>
        <w:t>1979</w:t>
      </w:r>
      <w:r w:rsidRPr="006E3B9B">
        <w:rPr>
          <w:rFonts w:hint="eastAsia"/>
          <w:lang w:eastAsia="zh-CN"/>
        </w:rPr>
        <w:t>年预算</w:t>
      </w:r>
      <w:r w:rsidRPr="006E3B9B">
        <w:rPr>
          <w:lang w:val="en-US" w:eastAsia="zh-CN"/>
        </w:rPr>
        <w:tab/>
      </w:r>
      <w:r w:rsidR="0093668F">
        <w:rPr>
          <w:lang w:val="en-US" w:eastAsia="zh-CN"/>
        </w:rPr>
        <w:tab/>
      </w:r>
      <w:r w:rsidRPr="006E3B9B">
        <w:rPr>
          <w:lang w:val="en-US" w:eastAsia="zh-CN"/>
        </w:rPr>
        <w:t>1980</w:t>
      </w:r>
      <w:r w:rsidRPr="006E3B9B">
        <w:rPr>
          <w:rFonts w:hint="eastAsia"/>
          <w:lang w:val="en-US" w:eastAsia="zh-CN"/>
        </w:rPr>
        <w:t>年</w:t>
      </w:r>
    </w:p>
    <w:p w14:paraId="4827BF87"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816</w:t>
      </w:r>
      <w:r w:rsidRPr="006E3B9B">
        <w:rPr>
          <w:lang w:val="en-US" w:eastAsia="zh-CN"/>
        </w:rPr>
        <w:t>号决议</w:t>
      </w:r>
      <w:r w:rsidRPr="006E3B9B">
        <w:rPr>
          <w:lang w:val="en-US" w:eastAsia="zh-CN"/>
        </w:rPr>
        <w:tab/>
      </w:r>
      <w:r w:rsidRPr="006E3B9B">
        <w:rPr>
          <w:rFonts w:hint="eastAsia"/>
          <w:lang w:eastAsia="zh-CN"/>
        </w:rPr>
        <w:t>国际电联一百周年大奖</w:t>
      </w:r>
      <w:r w:rsidRPr="006E3B9B">
        <w:rPr>
          <w:lang w:val="en-US" w:eastAsia="zh-CN"/>
        </w:rPr>
        <w:tab/>
      </w:r>
      <w:r w:rsidR="0093668F">
        <w:rPr>
          <w:lang w:val="en-US" w:eastAsia="zh-CN"/>
        </w:rPr>
        <w:tab/>
      </w:r>
      <w:r w:rsidRPr="006E3B9B">
        <w:rPr>
          <w:lang w:val="en-US" w:eastAsia="zh-CN"/>
        </w:rPr>
        <w:t>1992</w:t>
      </w:r>
      <w:r w:rsidRPr="006E3B9B">
        <w:rPr>
          <w:rFonts w:hint="eastAsia"/>
          <w:lang w:val="en-US" w:eastAsia="zh-CN"/>
        </w:rPr>
        <w:t>年</w:t>
      </w:r>
    </w:p>
    <w:p w14:paraId="4827BF88"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817</w:t>
      </w:r>
      <w:r w:rsidRPr="006E3B9B">
        <w:rPr>
          <w:lang w:val="en-US" w:eastAsia="zh-CN"/>
        </w:rPr>
        <w:t>号决议</w:t>
      </w:r>
      <w:r w:rsidRPr="006E3B9B">
        <w:rPr>
          <w:lang w:val="en-US" w:eastAsia="zh-CN"/>
        </w:rPr>
        <w:tab/>
      </w:r>
      <w:r w:rsidRPr="006E3B9B">
        <w:rPr>
          <w:rFonts w:hint="eastAsia"/>
          <w:lang w:eastAsia="zh-CN"/>
        </w:rPr>
        <w:t>行政理事会的工作方法</w:t>
      </w:r>
      <w:r w:rsidRPr="006E3B9B">
        <w:rPr>
          <w:lang w:val="en-US" w:eastAsia="zh-CN"/>
        </w:rPr>
        <w:tab/>
      </w:r>
      <w:r w:rsidR="0093668F">
        <w:rPr>
          <w:lang w:val="en-US" w:eastAsia="zh-CN"/>
        </w:rPr>
        <w:tab/>
      </w:r>
      <w:r w:rsidRPr="006E3B9B">
        <w:rPr>
          <w:lang w:val="en-US" w:eastAsia="zh-CN"/>
        </w:rPr>
        <w:t>1979</w:t>
      </w:r>
      <w:r w:rsidRPr="006E3B9B">
        <w:rPr>
          <w:rFonts w:hint="eastAsia"/>
          <w:lang w:val="en-US" w:eastAsia="zh-CN"/>
        </w:rPr>
        <w:t>年</w:t>
      </w:r>
    </w:p>
    <w:p w14:paraId="4827BF89" w14:textId="77777777" w:rsidR="00BF1CF1" w:rsidRDefault="00BF1CF1">
      <w:pPr>
        <w:tabs>
          <w:tab w:val="clear" w:pos="794"/>
          <w:tab w:val="clear" w:pos="1191"/>
          <w:tab w:val="clear" w:pos="1588"/>
          <w:tab w:val="clear" w:pos="1985"/>
        </w:tabs>
        <w:overflowPunct/>
        <w:autoSpaceDE/>
        <w:autoSpaceDN/>
        <w:adjustRightInd/>
        <w:spacing w:before="0"/>
        <w:jc w:val="left"/>
        <w:textAlignment w:val="auto"/>
        <w:rPr>
          <w:sz w:val="20"/>
          <w:lang w:val="en-US" w:eastAsia="zh-CN"/>
        </w:rPr>
      </w:pPr>
      <w:r>
        <w:rPr>
          <w:lang w:val="en-US" w:eastAsia="zh-CN"/>
        </w:rPr>
        <w:br w:type="page"/>
      </w:r>
    </w:p>
    <w:p w14:paraId="4827BF8A" w14:textId="77777777" w:rsidR="006E3B9B" w:rsidRPr="006E3B9B" w:rsidRDefault="006E3B9B" w:rsidP="0093668F">
      <w:pPr>
        <w:pStyle w:val="Appendixref"/>
        <w:rPr>
          <w:lang w:val="en-US" w:eastAsia="zh-CN"/>
        </w:rPr>
      </w:pPr>
      <w:r w:rsidRPr="006E3B9B">
        <w:rPr>
          <w:lang w:val="en-US" w:eastAsia="zh-CN"/>
        </w:rPr>
        <w:lastRenderedPageBreak/>
        <w:t>第</w:t>
      </w:r>
      <w:r w:rsidRPr="006E3B9B">
        <w:rPr>
          <w:lang w:val="en-US" w:eastAsia="zh-CN"/>
        </w:rPr>
        <w:t>818</w:t>
      </w:r>
      <w:r w:rsidRPr="006E3B9B">
        <w:rPr>
          <w:lang w:val="en-US" w:eastAsia="zh-CN"/>
        </w:rPr>
        <w:t>号决议</w:t>
      </w:r>
      <w:r w:rsidRPr="006E3B9B">
        <w:rPr>
          <w:lang w:val="en-US" w:eastAsia="zh-CN"/>
        </w:rPr>
        <w:tab/>
      </w:r>
      <w:r w:rsidRPr="006E3B9B">
        <w:rPr>
          <w:rFonts w:hint="eastAsia"/>
          <w:lang w:eastAsia="zh-CN"/>
        </w:rPr>
        <w:t>应计养恤金薪酬和养恤金的调整</w:t>
      </w:r>
      <w:r w:rsidRPr="006E3B9B">
        <w:rPr>
          <w:lang w:val="en-US" w:eastAsia="zh-CN"/>
        </w:rPr>
        <w:tab/>
      </w:r>
      <w:r w:rsidR="0093668F">
        <w:rPr>
          <w:lang w:val="en-US" w:eastAsia="zh-CN"/>
        </w:rPr>
        <w:tab/>
      </w:r>
      <w:r w:rsidRPr="006E3B9B">
        <w:rPr>
          <w:lang w:val="en-US" w:eastAsia="zh-CN"/>
        </w:rPr>
        <w:t>1984</w:t>
      </w:r>
      <w:r w:rsidRPr="006E3B9B">
        <w:rPr>
          <w:rFonts w:hint="eastAsia"/>
          <w:lang w:val="en-US" w:eastAsia="zh-CN"/>
        </w:rPr>
        <w:t>年</w:t>
      </w:r>
    </w:p>
    <w:p w14:paraId="4827BF8B"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819</w:t>
      </w:r>
      <w:r w:rsidRPr="006E3B9B">
        <w:rPr>
          <w:lang w:val="en-US" w:eastAsia="zh-CN"/>
        </w:rPr>
        <w:t>号决议</w:t>
      </w:r>
      <w:r w:rsidRPr="006E3B9B">
        <w:rPr>
          <w:lang w:val="en-US" w:eastAsia="zh-CN"/>
        </w:rPr>
        <w:tab/>
      </w:r>
      <w:r w:rsidRPr="006E3B9B">
        <w:rPr>
          <w:rFonts w:hint="eastAsia"/>
          <w:lang w:eastAsia="zh-CN"/>
        </w:rPr>
        <w:t>国际电联《财务规则》的修订</w:t>
      </w:r>
      <w:r w:rsidRPr="006E3B9B">
        <w:rPr>
          <w:lang w:val="en-US" w:eastAsia="zh-CN"/>
        </w:rPr>
        <w:tab/>
      </w:r>
      <w:r w:rsidR="0093668F">
        <w:rPr>
          <w:lang w:val="en-US" w:eastAsia="zh-CN"/>
        </w:rPr>
        <w:tab/>
      </w:r>
      <w:r w:rsidRPr="006E3B9B">
        <w:rPr>
          <w:lang w:val="en-US" w:eastAsia="zh-CN"/>
        </w:rPr>
        <w:t>1979</w:t>
      </w:r>
      <w:r w:rsidRPr="006E3B9B">
        <w:rPr>
          <w:rFonts w:hint="eastAsia"/>
          <w:lang w:val="en-US" w:eastAsia="zh-CN"/>
        </w:rPr>
        <w:t>年</w:t>
      </w:r>
    </w:p>
    <w:p w14:paraId="4827BF8C"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820</w:t>
      </w:r>
      <w:r w:rsidRPr="006E3B9B">
        <w:rPr>
          <w:lang w:val="en-US" w:eastAsia="zh-CN"/>
        </w:rPr>
        <w:t>号决议</w:t>
      </w:r>
      <w:r w:rsidRPr="006E3B9B">
        <w:rPr>
          <w:lang w:val="en-US" w:eastAsia="zh-CN"/>
        </w:rPr>
        <w:tab/>
      </w:r>
      <w:r w:rsidRPr="006E3B9B">
        <w:rPr>
          <w:rFonts w:hint="eastAsia"/>
          <w:lang w:eastAsia="zh-CN"/>
        </w:rPr>
        <w:t>世界通信年</w:t>
      </w:r>
      <w:r w:rsidRPr="006E3B9B">
        <w:rPr>
          <w:lang w:val="en-US" w:eastAsia="zh-CN"/>
        </w:rPr>
        <w:tab/>
      </w:r>
      <w:r w:rsidR="0093668F">
        <w:rPr>
          <w:lang w:val="en-US" w:eastAsia="zh-CN"/>
        </w:rPr>
        <w:tab/>
      </w:r>
      <w:r w:rsidRPr="006E3B9B">
        <w:rPr>
          <w:lang w:val="en-US" w:eastAsia="zh-CN"/>
        </w:rPr>
        <w:t>1984</w:t>
      </w:r>
      <w:r w:rsidRPr="006E3B9B">
        <w:rPr>
          <w:rFonts w:hint="eastAsia"/>
          <w:lang w:val="en-US" w:eastAsia="zh-CN"/>
        </w:rPr>
        <w:t>年</w:t>
      </w:r>
    </w:p>
    <w:p w14:paraId="4827BF8D" w14:textId="77777777" w:rsidR="006E3B9B" w:rsidRPr="006E3B9B" w:rsidRDefault="006E3B9B" w:rsidP="003E11A1">
      <w:pPr>
        <w:pStyle w:val="Reftitle"/>
        <w:rPr>
          <w:lang w:val="en-US" w:eastAsia="zh-CN"/>
        </w:rPr>
      </w:pPr>
      <w:r w:rsidRPr="006E3B9B">
        <w:rPr>
          <w:rFonts w:hint="eastAsia"/>
          <w:lang w:eastAsia="zh-CN"/>
        </w:rPr>
        <w:t>第</w:t>
      </w:r>
      <w:r w:rsidRPr="006E3B9B">
        <w:rPr>
          <w:lang w:eastAsia="zh-CN"/>
        </w:rPr>
        <w:t>34</w:t>
      </w:r>
      <w:r w:rsidRPr="006E3B9B">
        <w:rPr>
          <w:rFonts w:hint="eastAsia"/>
          <w:lang w:eastAsia="zh-CN"/>
        </w:rPr>
        <w:t>届会议（</w:t>
      </w:r>
      <w:r w:rsidRPr="006E3B9B">
        <w:rPr>
          <w:lang w:eastAsia="zh-CN"/>
        </w:rPr>
        <w:t>1979</w:t>
      </w:r>
      <w:r w:rsidRPr="006E3B9B">
        <w:rPr>
          <w:rFonts w:hint="eastAsia"/>
          <w:lang w:eastAsia="zh-CN"/>
        </w:rPr>
        <w:t>年</w:t>
      </w:r>
      <w:r w:rsidRPr="006E3B9B">
        <w:rPr>
          <w:lang w:eastAsia="zh-CN"/>
        </w:rPr>
        <w:t>6</w:t>
      </w:r>
      <w:r w:rsidRPr="006E3B9B">
        <w:rPr>
          <w:rFonts w:hint="eastAsia"/>
          <w:lang w:eastAsia="zh-CN"/>
        </w:rPr>
        <w:t>月）</w:t>
      </w:r>
    </w:p>
    <w:p w14:paraId="4827BF8E"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821</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1978</w:t>
      </w:r>
      <w:r w:rsidRPr="006E3B9B">
        <w:rPr>
          <w:rFonts w:hint="eastAsia"/>
          <w:lang w:eastAsia="zh-CN"/>
        </w:rPr>
        <w:t>年财务工作报告</w:t>
      </w:r>
      <w:r w:rsidRPr="006E3B9B">
        <w:rPr>
          <w:lang w:val="en-US" w:eastAsia="zh-CN"/>
        </w:rPr>
        <w:tab/>
      </w:r>
      <w:r w:rsidR="0093668F">
        <w:rPr>
          <w:lang w:val="en-US" w:eastAsia="zh-CN"/>
        </w:rPr>
        <w:tab/>
      </w:r>
      <w:r w:rsidRPr="006E3B9B">
        <w:rPr>
          <w:lang w:val="en-US" w:eastAsia="zh-CN"/>
        </w:rPr>
        <w:t>1980</w:t>
      </w:r>
      <w:r w:rsidRPr="006E3B9B">
        <w:rPr>
          <w:rFonts w:hint="eastAsia"/>
          <w:lang w:val="en-US" w:eastAsia="zh-CN"/>
        </w:rPr>
        <w:t>年</w:t>
      </w:r>
    </w:p>
    <w:p w14:paraId="4827BF8F"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822</w:t>
      </w:r>
      <w:r w:rsidRPr="006E3B9B">
        <w:rPr>
          <w:lang w:val="en-US" w:eastAsia="zh-CN"/>
        </w:rPr>
        <w:t>号决议</w:t>
      </w:r>
      <w:r w:rsidRPr="006E3B9B">
        <w:rPr>
          <w:lang w:val="en-US" w:eastAsia="zh-CN"/>
        </w:rPr>
        <w:tab/>
      </w:r>
      <w:r w:rsidRPr="006E3B9B">
        <w:rPr>
          <w:lang w:eastAsia="zh-CN"/>
        </w:rPr>
        <w:t>1979</w:t>
      </w:r>
      <w:r w:rsidRPr="006E3B9B">
        <w:rPr>
          <w:rFonts w:hint="eastAsia"/>
          <w:lang w:eastAsia="zh-CN"/>
        </w:rPr>
        <w:t>年世界无线电行政大会的追加拨款</w:t>
      </w:r>
      <w:r w:rsidRPr="006E3B9B">
        <w:rPr>
          <w:lang w:val="en-US" w:eastAsia="zh-CN"/>
        </w:rPr>
        <w:tab/>
      </w:r>
      <w:r w:rsidR="0093668F">
        <w:rPr>
          <w:lang w:val="en-US" w:eastAsia="zh-CN"/>
        </w:rPr>
        <w:tab/>
      </w:r>
      <w:r w:rsidRPr="006E3B9B">
        <w:rPr>
          <w:lang w:val="en-US" w:eastAsia="zh-CN"/>
        </w:rPr>
        <w:t>1980</w:t>
      </w:r>
      <w:r w:rsidRPr="006E3B9B">
        <w:rPr>
          <w:rFonts w:hint="eastAsia"/>
          <w:lang w:val="en-US" w:eastAsia="zh-CN"/>
        </w:rPr>
        <w:t>年</w:t>
      </w:r>
    </w:p>
    <w:p w14:paraId="4827BF90"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823</w:t>
      </w:r>
      <w:r w:rsidRPr="006E3B9B">
        <w:rPr>
          <w:lang w:val="en-US" w:eastAsia="zh-CN"/>
        </w:rPr>
        <w:t>号决议</w:t>
      </w:r>
      <w:r w:rsidRPr="006E3B9B">
        <w:rPr>
          <w:lang w:val="en-US" w:eastAsia="zh-CN"/>
        </w:rPr>
        <w:tab/>
      </w:r>
      <w:r w:rsidRPr="006E3B9B">
        <w:rPr>
          <w:rFonts w:hint="eastAsia"/>
          <w:lang w:eastAsia="zh-CN"/>
        </w:rPr>
        <w:t>《人事规则》和《人事细则》的建议修正案</w:t>
      </w:r>
      <w:r w:rsidRPr="006E3B9B">
        <w:rPr>
          <w:lang w:val="en-US" w:eastAsia="zh-CN"/>
        </w:rPr>
        <w:tab/>
      </w:r>
      <w:r w:rsidR="0093668F">
        <w:rPr>
          <w:lang w:val="en-US" w:eastAsia="zh-CN"/>
        </w:rPr>
        <w:tab/>
      </w:r>
      <w:r w:rsidRPr="006E3B9B">
        <w:rPr>
          <w:lang w:val="en-US" w:eastAsia="zh-CN"/>
        </w:rPr>
        <w:t>1981</w:t>
      </w:r>
      <w:r w:rsidRPr="006E3B9B">
        <w:rPr>
          <w:rFonts w:hint="eastAsia"/>
          <w:lang w:val="en-US" w:eastAsia="zh-CN"/>
        </w:rPr>
        <w:t>年</w:t>
      </w:r>
    </w:p>
    <w:p w14:paraId="4827BF91"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824</w:t>
      </w:r>
      <w:r w:rsidRPr="006E3B9B">
        <w:rPr>
          <w:lang w:val="en-US" w:eastAsia="zh-CN"/>
        </w:rPr>
        <w:t>号决议</w:t>
      </w:r>
      <w:r w:rsidRPr="006E3B9B">
        <w:rPr>
          <w:lang w:val="en-US" w:eastAsia="zh-CN"/>
        </w:rPr>
        <w:tab/>
      </w:r>
      <w:r w:rsidRPr="006E3B9B">
        <w:rPr>
          <w:rFonts w:hint="eastAsia"/>
          <w:lang w:eastAsia="zh-CN"/>
        </w:rPr>
        <w:t>技术合作职位－技术合作职位的延续</w:t>
      </w:r>
      <w:r w:rsidRPr="006E3B9B">
        <w:rPr>
          <w:lang w:val="en-US" w:eastAsia="zh-CN"/>
        </w:rPr>
        <w:tab/>
      </w:r>
      <w:r w:rsidR="0093668F">
        <w:rPr>
          <w:lang w:val="en-US" w:eastAsia="zh-CN"/>
        </w:rPr>
        <w:tab/>
      </w:r>
      <w:r w:rsidRPr="006E3B9B">
        <w:rPr>
          <w:lang w:val="en-US" w:eastAsia="zh-CN"/>
        </w:rPr>
        <w:t>1983</w:t>
      </w:r>
      <w:r w:rsidRPr="006E3B9B">
        <w:rPr>
          <w:rFonts w:hint="eastAsia"/>
          <w:lang w:val="en-US" w:eastAsia="zh-CN"/>
        </w:rPr>
        <w:t>年</w:t>
      </w:r>
    </w:p>
    <w:p w14:paraId="4827BF92"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825</w:t>
      </w:r>
      <w:r w:rsidRPr="006E3B9B">
        <w:rPr>
          <w:lang w:val="en-US" w:eastAsia="zh-CN"/>
        </w:rPr>
        <w:t>号决议</w:t>
      </w:r>
      <w:r w:rsidRPr="006E3B9B">
        <w:rPr>
          <w:lang w:val="en-US" w:eastAsia="zh-CN"/>
        </w:rPr>
        <w:tab/>
      </w:r>
      <w:r w:rsidRPr="006E3B9B">
        <w:rPr>
          <w:rFonts w:hint="eastAsia"/>
          <w:lang w:eastAsia="zh-CN"/>
        </w:rPr>
        <w:t>《人事规则》第</w:t>
      </w:r>
      <w:r w:rsidRPr="006E3B9B">
        <w:rPr>
          <w:lang w:eastAsia="zh-CN"/>
        </w:rPr>
        <w:t>2.1</w:t>
      </w:r>
      <w:r w:rsidRPr="006E3B9B">
        <w:rPr>
          <w:rFonts w:hint="eastAsia"/>
          <w:lang w:eastAsia="zh-CN"/>
        </w:rPr>
        <w:t>款的修正案</w:t>
      </w:r>
      <w:r w:rsidRPr="006E3B9B">
        <w:rPr>
          <w:lang w:val="en-US" w:eastAsia="zh-CN"/>
        </w:rPr>
        <w:tab/>
      </w:r>
      <w:r w:rsidR="0093668F">
        <w:rPr>
          <w:lang w:val="en-US" w:eastAsia="zh-CN"/>
        </w:rPr>
        <w:tab/>
      </w:r>
      <w:r w:rsidRPr="006E3B9B">
        <w:rPr>
          <w:lang w:val="en-US" w:eastAsia="zh-CN"/>
        </w:rPr>
        <w:t>1981</w:t>
      </w:r>
      <w:r w:rsidRPr="006E3B9B">
        <w:rPr>
          <w:rFonts w:hint="eastAsia"/>
          <w:lang w:val="en-US" w:eastAsia="zh-CN"/>
        </w:rPr>
        <w:t>年</w:t>
      </w:r>
    </w:p>
    <w:p w14:paraId="4827BF93"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826</w:t>
      </w:r>
      <w:r w:rsidRPr="006E3B9B">
        <w:rPr>
          <w:lang w:val="en-US" w:eastAsia="zh-CN"/>
        </w:rPr>
        <w:t>号决议</w:t>
      </w:r>
      <w:r w:rsidRPr="006E3B9B">
        <w:rPr>
          <w:lang w:val="en-US" w:eastAsia="zh-CN"/>
        </w:rPr>
        <w:tab/>
      </w:r>
      <w:r w:rsidRPr="006E3B9B">
        <w:rPr>
          <w:rFonts w:hint="eastAsia"/>
          <w:lang w:eastAsia="zh-CN"/>
        </w:rPr>
        <w:t>职位的设立和重新定级</w:t>
      </w:r>
      <w:r w:rsidRPr="006E3B9B">
        <w:rPr>
          <w:lang w:val="en-US" w:eastAsia="zh-CN"/>
        </w:rPr>
        <w:tab/>
      </w:r>
      <w:r w:rsidR="0093668F">
        <w:rPr>
          <w:lang w:val="en-US" w:eastAsia="zh-CN"/>
        </w:rPr>
        <w:tab/>
      </w:r>
      <w:r w:rsidRPr="006E3B9B">
        <w:rPr>
          <w:lang w:val="en-US" w:eastAsia="zh-CN"/>
        </w:rPr>
        <w:t>1981</w:t>
      </w:r>
      <w:r w:rsidRPr="006E3B9B">
        <w:rPr>
          <w:rFonts w:hint="eastAsia"/>
          <w:lang w:val="en-US" w:eastAsia="zh-CN"/>
        </w:rPr>
        <w:t>年</w:t>
      </w:r>
    </w:p>
    <w:p w14:paraId="4827BF94"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827</w:t>
      </w:r>
      <w:r w:rsidRPr="006E3B9B">
        <w:rPr>
          <w:lang w:val="en-US" w:eastAsia="zh-CN"/>
        </w:rPr>
        <w:t>号决议</w:t>
      </w:r>
      <w:r w:rsidRPr="006E3B9B">
        <w:rPr>
          <w:lang w:val="en-US" w:eastAsia="zh-CN"/>
        </w:rPr>
        <w:tab/>
      </w:r>
      <w:r w:rsidRPr="006E3B9B">
        <w:rPr>
          <w:rFonts w:hint="eastAsia"/>
          <w:lang w:eastAsia="zh-CN"/>
        </w:rPr>
        <w:t>贝尔格莱德</w:t>
      </w:r>
      <w:r w:rsidRPr="006E3B9B">
        <w:rPr>
          <w:lang w:eastAsia="zh-CN"/>
        </w:rPr>
        <w:t>Elektronska Industrija</w:t>
      </w:r>
      <w:r w:rsidRPr="006E3B9B">
        <w:rPr>
          <w:rFonts w:hint="eastAsia"/>
          <w:lang w:eastAsia="zh-CN"/>
        </w:rPr>
        <w:t>公司的欠款</w:t>
      </w:r>
      <w:r w:rsidRPr="006E3B9B">
        <w:rPr>
          <w:lang w:val="en-US" w:eastAsia="zh-CN"/>
        </w:rPr>
        <w:tab/>
      </w:r>
      <w:r w:rsidR="0093668F">
        <w:rPr>
          <w:lang w:val="en-US" w:eastAsia="zh-CN"/>
        </w:rPr>
        <w:tab/>
      </w:r>
      <w:r w:rsidRPr="006E3B9B">
        <w:rPr>
          <w:lang w:val="en-US" w:eastAsia="zh-CN"/>
        </w:rPr>
        <w:t>1980</w:t>
      </w:r>
      <w:r w:rsidRPr="006E3B9B">
        <w:rPr>
          <w:rFonts w:hint="eastAsia"/>
          <w:lang w:val="en-US" w:eastAsia="zh-CN"/>
        </w:rPr>
        <w:t>年</w:t>
      </w:r>
    </w:p>
    <w:p w14:paraId="4827BF95"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828</w:t>
      </w:r>
      <w:r w:rsidRPr="006E3B9B">
        <w:rPr>
          <w:lang w:val="en-US" w:eastAsia="zh-CN"/>
        </w:rPr>
        <w:t>号决议</w:t>
      </w:r>
      <w:r w:rsidRPr="006E3B9B">
        <w:rPr>
          <w:lang w:val="en-US" w:eastAsia="zh-CN"/>
        </w:rPr>
        <w:tab/>
      </w:r>
      <w:r w:rsidRPr="006E3B9B">
        <w:rPr>
          <w:rFonts w:hint="eastAsia"/>
          <w:lang w:eastAsia="zh-CN"/>
        </w:rPr>
        <w:t>美国</w:t>
      </w:r>
      <w:r w:rsidRPr="006E3B9B">
        <w:rPr>
          <w:lang w:eastAsia="zh-CN"/>
        </w:rPr>
        <w:t>CCA</w:t>
      </w:r>
      <w:r w:rsidRPr="006E3B9B">
        <w:rPr>
          <w:rFonts w:hint="eastAsia"/>
          <w:lang w:eastAsia="zh-CN"/>
        </w:rPr>
        <w:t>电子公司的欠款</w:t>
      </w:r>
      <w:r w:rsidRPr="006E3B9B">
        <w:rPr>
          <w:lang w:val="en-US" w:eastAsia="zh-CN"/>
        </w:rPr>
        <w:tab/>
      </w:r>
      <w:r w:rsidR="0093668F">
        <w:rPr>
          <w:lang w:val="en-US" w:eastAsia="zh-CN"/>
        </w:rPr>
        <w:tab/>
      </w:r>
      <w:r w:rsidRPr="006E3B9B">
        <w:rPr>
          <w:lang w:val="en-US" w:eastAsia="zh-CN"/>
        </w:rPr>
        <w:t>1980</w:t>
      </w:r>
      <w:r w:rsidRPr="006E3B9B">
        <w:rPr>
          <w:rFonts w:hint="eastAsia"/>
          <w:lang w:val="en-US" w:eastAsia="zh-CN"/>
        </w:rPr>
        <w:t>年</w:t>
      </w:r>
    </w:p>
    <w:p w14:paraId="4827BF96"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829</w:t>
      </w:r>
      <w:r w:rsidRPr="006E3B9B">
        <w:rPr>
          <w:lang w:val="en-US" w:eastAsia="zh-CN"/>
        </w:rPr>
        <w:t>号决议</w:t>
      </w:r>
      <w:r w:rsidRPr="006E3B9B">
        <w:rPr>
          <w:lang w:val="en-US" w:eastAsia="zh-CN"/>
        </w:rPr>
        <w:tab/>
      </w:r>
      <w:r w:rsidRPr="006E3B9B">
        <w:rPr>
          <w:rFonts w:hint="eastAsia"/>
          <w:lang w:eastAsia="zh-CN"/>
        </w:rPr>
        <w:t>里斯本</w:t>
      </w:r>
      <w:r w:rsidRPr="006E3B9B">
        <w:rPr>
          <w:lang w:eastAsia="zh-CN"/>
        </w:rPr>
        <w:t>Sema</w:t>
      </w:r>
      <w:r w:rsidRPr="006E3B9B">
        <w:rPr>
          <w:rFonts w:hint="eastAsia"/>
          <w:lang w:eastAsia="zh-CN"/>
        </w:rPr>
        <w:t>电子公司的欠款</w:t>
      </w:r>
      <w:r w:rsidRPr="006E3B9B">
        <w:rPr>
          <w:lang w:val="en-US" w:eastAsia="zh-CN"/>
        </w:rPr>
        <w:tab/>
      </w:r>
      <w:r w:rsidR="0093668F">
        <w:rPr>
          <w:lang w:val="en-US" w:eastAsia="zh-CN"/>
        </w:rPr>
        <w:tab/>
      </w:r>
      <w:r w:rsidRPr="006E3B9B">
        <w:rPr>
          <w:lang w:val="en-US" w:eastAsia="zh-CN"/>
        </w:rPr>
        <w:t>1980</w:t>
      </w:r>
      <w:r w:rsidRPr="006E3B9B">
        <w:rPr>
          <w:rFonts w:hint="eastAsia"/>
          <w:lang w:val="en-US" w:eastAsia="zh-CN"/>
        </w:rPr>
        <w:t>年</w:t>
      </w:r>
    </w:p>
    <w:p w14:paraId="4827BF97"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830</w:t>
      </w:r>
      <w:r w:rsidRPr="006E3B9B">
        <w:rPr>
          <w:lang w:val="en-US" w:eastAsia="zh-CN"/>
        </w:rPr>
        <w:t>号决议</w:t>
      </w:r>
      <w:r w:rsidRPr="006E3B9B">
        <w:rPr>
          <w:lang w:val="en-US" w:eastAsia="zh-CN"/>
        </w:rPr>
        <w:tab/>
      </w:r>
      <w:r w:rsidRPr="006E3B9B">
        <w:rPr>
          <w:rFonts w:hint="eastAsia"/>
          <w:lang w:eastAsia="zh-CN"/>
        </w:rPr>
        <w:t>国际电联《财务规则》的修订</w:t>
      </w:r>
      <w:r w:rsidRPr="006E3B9B">
        <w:rPr>
          <w:lang w:val="en-US" w:eastAsia="zh-CN"/>
        </w:rPr>
        <w:tab/>
      </w:r>
      <w:r w:rsidR="0093668F">
        <w:rPr>
          <w:lang w:val="en-US" w:eastAsia="zh-CN"/>
        </w:rPr>
        <w:tab/>
      </w:r>
      <w:r w:rsidRPr="006E3B9B">
        <w:rPr>
          <w:lang w:val="en-US" w:eastAsia="zh-CN"/>
        </w:rPr>
        <w:t>1980</w:t>
      </w:r>
      <w:r w:rsidRPr="006E3B9B">
        <w:rPr>
          <w:rFonts w:hint="eastAsia"/>
          <w:lang w:val="en-US" w:eastAsia="zh-CN"/>
        </w:rPr>
        <w:t>年</w:t>
      </w:r>
    </w:p>
    <w:p w14:paraId="4827BF98"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831</w:t>
      </w:r>
      <w:r w:rsidRPr="006E3B9B">
        <w:rPr>
          <w:lang w:val="en-US" w:eastAsia="zh-CN"/>
        </w:rPr>
        <w:t>号决议</w:t>
      </w:r>
      <w:r w:rsidRPr="006E3B9B">
        <w:rPr>
          <w:lang w:val="en-US" w:eastAsia="zh-CN"/>
        </w:rPr>
        <w:tab/>
      </w:r>
      <w:r w:rsidRPr="006E3B9B">
        <w:rPr>
          <w:rFonts w:hint="eastAsia"/>
          <w:lang w:eastAsia="zh-CN"/>
        </w:rPr>
        <w:t>国际电联职员退休和福利基金的援助基金的筹集</w:t>
      </w:r>
      <w:r w:rsidRPr="006E3B9B">
        <w:rPr>
          <w:lang w:val="en-US" w:eastAsia="zh-CN"/>
        </w:rPr>
        <w:tab/>
      </w:r>
      <w:r w:rsidR="0093668F">
        <w:rPr>
          <w:lang w:val="en-US" w:eastAsia="zh-CN"/>
        </w:rPr>
        <w:tab/>
      </w:r>
      <w:r w:rsidRPr="006E3B9B">
        <w:rPr>
          <w:lang w:val="en-US" w:eastAsia="zh-CN"/>
        </w:rPr>
        <w:t>1984</w:t>
      </w:r>
      <w:r w:rsidRPr="006E3B9B">
        <w:rPr>
          <w:rFonts w:hint="eastAsia"/>
          <w:lang w:val="en-US" w:eastAsia="zh-CN"/>
        </w:rPr>
        <w:t>年</w:t>
      </w:r>
    </w:p>
    <w:p w14:paraId="4827BF99"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832</w:t>
      </w:r>
      <w:r w:rsidRPr="006E3B9B">
        <w:rPr>
          <w:lang w:val="en-US" w:eastAsia="zh-CN"/>
        </w:rPr>
        <w:t>号决议</w:t>
      </w:r>
      <w:r w:rsidRPr="006E3B9B">
        <w:rPr>
          <w:lang w:val="en-US" w:eastAsia="zh-CN"/>
        </w:rPr>
        <w:tab/>
      </w:r>
      <w:r w:rsidRPr="006E3B9B">
        <w:rPr>
          <w:rFonts w:hint="eastAsia"/>
          <w:lang w:eastAsia="zh-CN"/>
        </w:rPr>
        <w:t>国际电联职员养恤金委员会的委员</w:t>
      </w:r>
      <w:r w:rsidRPr="006E3B9B">
        <w:rPr>
          <w:lang w:val="en-US" w:eastAsia="zh-CN"/>
        </w:rPr>
        <w:tab/>
      </w:r>
      <w:r w:rsidR="0093668F">
        <w:rPr>
          <w:lang w:val="en-US" w:eastAsia="zh-CN"/>
        </w:rPr>
        <w:tab/>
      </w:r>
      <w:r w:rsidRPr="006E3B9B">
        <w:rPr>
          <w:lang w:val="en-US" w:eastAsia="zh-CN"/>
        </w:rPr>
        <w:t>1980</w:t>
      </w:r>
      <w:r w:rsidRPr="006E3B9B">
        <w:rPr>
          <w:rFonts w:hint="eastAsia"/>
          <w:lang w:val="en-US" w:eastAsia="zh-CN"/>
        </w:rPr>
        <w:t>年</w:t>
      </w:r>
    </w:p>
    <w:p w14:paraId="4827BF9A"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833</w:t>
      </w:r>
      <w:r w:rsidRPr="006E3B9B">
        <w:rPr>
          <w:lang w:val="en-US" w:eastAsia="zh-CN"/>
        </w:rPr>
        <w:t>号决议</w:t>
      </w:r>
      <w:r w:rsidRPr="006E3B9B">
        <w:rPr>
          <w:lang w:val="en-US" w:eastAsia="zh-CN"/>
        </w:rPr>
        <w:tab/>
      </w:r>
      <w:r w:rsidRPr="006E3B9B">
        <w:rPr>
          <w:rFonts w:hint="eastAsia"/>
          <w:lang w:val="en-US" w:eastAsia="zh-CN"/>
        </w:rPr>
        <w:t>《</w:t>
      </w:r>
      <w:r w:rsidRPr="006E3B9B">
        <w:rPr>
          <w:rFonts w:hint="eastAsia"/>
          <w:lang w:eastAsia="zh-CN"/>
        </w:rPr>
        <w:t>行政理事会议事规则》的修订</w:t>
      </w:r>
      <w:r w:rsidRPr="006E3B9B">
        <w:rPr>
          <w:lang w:val="en-US" w:eastAsia="zh-CN"/>
        </w:rPr>
        <w:tab/>
      </w:r>
      <w:r w:rsidR="0093668F">
        <w:rPr>
          <w:lang w:val="en-US" w:eastAsia="zh-CN"/>
        </w:rPr>
        <w:tab/>
      </w:r>
      <w:r w:rsidRPr="006E3B9B">
        <w:rPr>
          <w:lang w:val="en-US" w:eastAsia="zh-CN"/>
        </w:rPr>
        <w:t>1980</w:t>
      </w:r>
      <w:r w:rsidRPr="006E3B9B">
        <w:rPr>
          <w:rFonts w:hint="eastAsia"/>
          <w:lang w:val="en-US" w:eastAsia="zh-CN"/>
        </w:rPr>
        <w:t>年</w:t>
      </w:r>
    </w:p>
    <w:p w14:paraId="4827BF9B"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834</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1978</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1</w:t>
      </w:r>
      <w:r w:rsidRPr="006E3B9B">
        <w:rPr>
          <w:rFonts w:hint="eastAsia"/>
          <w:lang w:eastAsia="zh-CN"/>
        </w:rPr>
        <w:t>日至</w:t>
      </w:r>
      <w:r w:rsidRPr="006E3B9B">
        <w:rPr>
          <w:lang w:eastAsia="zh-CN"/>
        </w:rPr>
        <w:t>12</w:t>
      </w:r>
      <w:r w:rsidRPr="006E3B9B">
        <w:rPr>
          <w:rFonts w:hint="eastAsia"/>
          <w:lang w:eastAsia="zh-CN"/>
        </w:rPr>
        <w:t>月</w:t>
      </w:r>
      <w:r w:rsidRPr="006E3B9B">
        <w:rPr>
          <w:lang w:eastAsia="zh-CN"/>
        </w:rPr>
        <w:t>31</w:t>
      </w:r>
      <w:r w:rsidRPr="006E3B9B">
        <w:rPr>
          <w:rFonts w:hint="eastAsia"/>
          <w:lang w:eastAsia="zh-CN"/>
        </w:rPr>
        <w:t>日账目的外部审计</w:t>
      </w:r>
      <w:r w:rsidRPr="006E3B9B">
        <w:rPr>
          <w:lang w:val="en-US" w:eastAsia="zh-CN"/>
        </w:rPr>
        <w:tab/>
      </w:r>
      <w:r w:rsidR="0093668F">
        <w:rPr>
          <w:lang w:val="en-US" w:eastAsia="zh-CN"/>
        </w:rPr>
        <w:tab/>
      </w:r>
      <w:r w:rsidRPr="006E3B9B">
        <w:rPr>
          <w:lang w:val="en-US" w:eastAsia="zh-CN"/>
        </w:rPr>
        <w:t>1980</w:t>
      </w:r>
      <w:r w:rsidRPr="006E3B9B">
        <w:rPr>
          <w:rFonts w:hint="eastAsia"/>
          <w:lang w:val="en-US" w:eastAsia="zh-CN"/>
        </w:rPr>
        <w:t>年</w:t>
      </w:r>
    </w:p>
    <w:p w14:paraId="4827BF9C"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835</w:t>
      </w:r>
      <w:r w:rsidRPr="006E3B9B">
        <w:rPr>
          <w:lang w:val="en-US" w:eastAsia="zh-CN"/>
        </w:rPr>
        <w:t>号决议</w:t>
      </w:r>
      <w:r w:rsidRPr="006E3B9B">
        <w:rPr>
          <w:lang w:val="en-US" w:eastAsia="zh-CN"/>
        </w:rPr>
        <w:tab/>
      </w:r>
      <w:r w:rsidRPr="006E3B9B">
        <w:rPr>
          <w:rFonts w:hint="eastAsia"/>
          <w:lang w:eastAsia="zh-CN"/>
        </w:rPr>
        <w:t>区域性</w:t>
      </w:r>
      <w:r w:rsidRPr="006E3B9B">
        <w:rPr>
          <w:lang w:eastAsia="zh-CN"/>
        </w:rPr>
        <w:t>MF</w:t>
      </w:r>
      <w:r w:rsidRPr="006E3B9B">
        <w:rPr>
          <w:rFonts w:hint="eastAsia"/>
          <w:lang w:eastAsia="zh-CN"/>
        </w:rPr>
        <w:t>广播行政大会（</w:t>
      </w:r>
      <w:r w:rsidRPr="006E3B9B">
        <w:rPr>
          <w:rFonts w:hint="eastAsia"/>
          <w:lang w:eastAsia="zh-CN"/>
        </w:rPr>
        <w:t>2</w:t>
      </w:r>
      <w:r w:rsidRPr="006E3B9B">
        <w:rPr>
          <w:rFonts w:hint="eastAsia"/>
          <w:lang w:eastAsia="zh-CN"/>
        </w:rPr>
        <w:t>区）</w:t>
      </w:r>
      <w:r w:rsidRPr="006E3B9B">
        <w:rPr>
          <w:lang w:val="en-US" w:eastAsia="zh-CN"/>
        </w:rPr>
        <w:tab/>
      </w:r>
      <w:r w:rsidR="0093668F">
        <w:rPr>
          <w:lang w:val="en-US" w:eastAsia="zh-CN"/>
        </w:rPr>
        <w:tab/>
      </w:r>
      <w:r w:rsidRPr="006E3B9B">
        <w:rPr>
          <w:lang w:val="en-US" w:eastAsia="zh-CN"/>
        </w:rPr>
        <w:t>1982</w:t>
      </w:r>
      <w:r w:rsidRPr="006E3B9B">
        <w:rPr>
          <w:rFonts w:hint="eastAsia"/>
          <w:lang w:val="en-US" w:eastAsia="zh-CN"/>
        </w:rPr>
        <w:t>年</w:t>
      </w:r>
    </w:p>
    <w:p w14:paraId="4827BF9D"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836</w:t>
      </w:r>
      <w:r w:rsidRPr="006E3B9B">
        <w:rPr>
          <w:lang w:val="en-US" w:eastAsia="zh-CN"/>
        </w:rPr>
        <w:t>号决议</w:t>
      </w:r>
      <w:r w:rsidRPr="006E3B9B">
        <w:rPr>
          <w:lang w:val="en-US" w:eastAsia="zh-CN"/>
        </w:rPr>
        <w:tab/>
      </w:r>
      <w:r w:rsidRPr="006E3B9B">
        <w:rPr>
          <w:rFonts w:hint="eastAsia"/>
          <w:lang w:eastAsia="zh-CN"/>
        </w:rPr>
        <w:t>区域性</w:t>
      </w:r>
      <w:r w:rsidRPr="006E3B9B">
        <w:rPr>
          <w:lang w:eastAsia="zh-CN"/>
        </w:rPr>
        <w:t>MF</w:t>
      </w:r>
      <w:r w:rsidRPr="006E3B9B">
        <w:rPr>
          <w:rFonts w:hint="eastAsia"/>
          <w:lang w:eastAsia="zh-CN"/>
        </w:rPr>
        <w:t>广播行政大会（</w:t>
      </w:r>
      <w:r w:rsidRPr="006E3B9B">
        <w:rPr>
          <w:rFonts w:hint="eastAsia"/>
          <w:lang w:eastAsia="zh-CN"/>
        </w:rPr>
        <w:t>2</w:t>
      </w:r>
      <w:r w:rsidRPr="006E3B9B">
        <w:rPr>
          <w:rFonts w:hint="eastAsia"/>
          <w:lang w:eastAsia="zh-CN"/>
        </w:rPr>
        <w:t>区）的筹备</w:t>
      </w:r>
      <w:r w:rsidRPr="006E3B9B">
        <w:rPr>
          <w:lang w:val="en-US" w:eastAsia="zh-CN"/>
        </w:rPr>
        <w:tab/>
      </w:r>
      <w:r w:rsidR="0093668F">
        <w:rPr>
          <w:lang w:val="en-US" w:eastAsia="zh-CN"/>
        </w:rPr>
        <w:tab/>
      </w:r>
      <w:r w:rsidRPr="006E3B9B">
        <w:rPr>
          <w:lang w:val="en-US" w:eastAsia="zh-CN"/>
        </w:rPr>
        <w:t>1982</w:t>
      </w:r>
      <w:r w:rsidRPr="006E3B9B">
        <w:rPr>
          <w:rFonts w:hint="eastAsia"/>
          <w:lang w:val="en-US" w:eastAsia="zh-CN"/>
        </w:rPr>
        <w:t>年</w:t>
      </w:r>
    </w:p>
    <w:p w14:paraId="4827BF9E"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837</w:t>
      </w:r>
      <w:r w:rsidRPr="006E3B9B">
        <w:rPr>
          <w:lang w:val="en-US" w:eastAsia="zh-CN"/>
        </w:rPr>
        <w:t>号决议</w:t>
      </w:r>
      <w:r w:rsidRPr="006E3B9B">
        <w:rPr>
          <w:lang w:val="en-US" w:eastAsia="zh-CN"/>
        </w:rPr>
        <w:tab/>
      </w:r>
      <w:r w:rsidRPr="006E3B9B">
        <w:rPr>
          <w:lang w:eastAsia="zh-CN"/>
        </w:rPr>
        <w:t>频登会</w:t>
      </w:r>
      <w:r w:rsidRPr="006E3B9B">
        <w:rPr>
          <w:rFonts w:hint="eastAsia"/>
          <w:lang w:eastAsia="zh-CN"/>
        </w:rPr>
        <w:t>扩大计算机的使用范围</w:t>
      </w:r>
      <w:r w:rsidRPr="006E3B9B">
        <w:rPr>
          <w:lang w:val="en-US" w:eastAsia="zh-CN"/>
        </w:rPr>
        <w:tab/>
      </w:r>
      <w:r w:rsidR="0093668F">
        <w:rPr>
          <w:lang w:val="en-US" w:eastAsia="zh-CN"/>
        </w:rPr>
        <w:tab/>
      </w:r>
      <w:r w:rsidRPr="006E3B9B">
        <w:rPr>
          <w:lang w:val="en-US" w:eastAsia="zh-CN"/>
        </w:rPr>
        <w:t>1982</w:t>
      </w:r>
      <w:r w:rsidRPr="006E3B9B">
        <w:rPr>
          <w:rFonts w:hint="eastAsia"/>
          <w:lang w:val="en-US" w:eastAsia="zh-CN"/>
        </w:rPr>
        <w:t>年</w:t>
      </w:r>
    </w:p>
    <w:p w14:paraId="4827BF9F"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838</w:t>
      </w:r>
      <w:r w:rsidRPr="006E3B9B">
        <w:rPr>
          <w:lang w:val="en-US" w:eastAsia="zh-CN"/>
        </w:rPr>
        <w:t>号决议</w:t>
      </w:r>
      <w:r w:rsidRPr="006E3B9B">
        <w:rPr>
          <w:lang w:val="en-US" w:eastAsia="zh-CN"/>
        </w:rPr>
        <w:tab/>
      </w:r>
      <w:r w:rsidRPr="006E3B9B">
        <w:rPr>
          <w:rFonts w:hint="eastAsia"/>
          <w:lang w:eastAsia="zh-CN"/>
        </w:rPr>
        <w:t>国际电信联盟</w:t>
      </w:r>
      <w:r w:rsidRPr="006E3B9B">
        <w:rPr>
          <w:lang w:eastAsia="zh-CN"/>
        </w:rPr>
        <w:t>1980</w:t>
      </w:r>
      <w:r w:rsidRPr="006E3B9B">
        <w:rPr>
          <w:rFonts w:hint="eastAsia"/>
          <w:lang w:eastAsia="zh-CN"/>
        </w:rPr>
        <w:t>年预算</w:t>
      </w:r>
      <w:r w:rsidRPr="006E3B9B">
        <w:rPr>
          <w:lang w:val="en-US" w:eastAsia="zh-CN"/>
        </w:rPr>
        <w:tab/>
      </w:r>
      <w:r w:rsidR="0093668F">
        <w:rPr>
          <w:lang w:val="en-US" w:eastAsia="zh-CN"/>
        </w:rPr>
        <w:tab/>
      </w:r>
      <w:r w:rsidRPr="006E3B9B">
        <w:rPr>
          <w:lang w:val="en-US" w:eastAsia="zh-CN"/>
        </w:rPr>
        <w:t>1981</w:t>
      </w:r>
      <w:r w:rsidRPr="006E3B9B">
        <w:rPr>
          <w:rFonts w:hint="eastAsia"/>
          <w:lang w:val="en-US" w:eastAsia="zh-CN"/>
        </w:rPr>
        <w:t>年</w:t>
      </w:r>
    </w:p>
    <w:p w14:paraId="4827BFA0"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839</w:t>
      </w:r>
      <w:r w:rsidRPr="006E3B9B">
        <w:rPr>
          <w:lang w:val="en-US" w:eastAsia="zh-CN"/>
        </w:rPr>
        <w:t>号决议</w:t>
      </w:r>
      <w:r w:rsidRPr="006E3B9B">
        <w:rPr>
          <w:lang w:val="en-US" w:eastAsia="zh-CN"/>
        </w:rPr>
        <w:tab/>
      </w:r>
      <w:r w:rsidRPr="006E3B9B">
        <w:rPr>
          <w:rFonts w:hint="eastAsia"/>
          <w:lang w:eastAsia="zh-CN"/>
        </w:rPr>
        <w:t>未来国际电联技术合作活动工作组的职责范围</w:t>
      </w:r>
      <w:r w:rsidRPr="006E3B9B">
        <w:rPr>
          <w:lang w:val="en-US" w:eastAsia="zh-CN"/>
        </w:rPr>
        <w:tab/>
      </w:r>
      <w:r w:rsidR="0093668F">
        <w:rPr>
          <w:lang w:val="en-US" w:eastAsia="zh-CN"/>
        </w:rPr>
        <w:tab/>
      </w:r>
      <w:r w:rsidRPr="006E3B9B">
        <w:rPr>
          <w:lang w:val="en-US" w:eastAsia="zh-CN"/>
        </w:rPr>
        <w:t>1983</w:t>
      </w:r>
      <w:r w:rsidRPr="006E3B9B">
        <w:rPr>
          <w:rFonts w:hint="eastAsia"/>
          <w:lang w:val="en-US" w:eastAsia="zh-CN"/>
        </w:rPr>
        <w:t>年</w:t>
      </w:r>
    </w:p>
    <w:p w14:paraId="4827BFA1" w14:textId="77777777" w:rsidR="006E3B9B" w:rsidRPr="006E3B9B" w:rsidRDefault="006E3B9B" w:rsidP="003E11A1">
      <w:pPr>
        <w:pStyle w:val="Reftitle"/>
        <w:rPr>
          <w:lang w:val="en-US" w:eastAsia="zh-CN"/>
        </w:rPr>
      </w:pPr>
      <w:r w:rsidRPr="006E3B9B">
        <w:rPr>
          <w:rFonts w:hint="eastAsia"/>
          <w:lang w:eastAsia="zh-CN"/>
        </w:rPr>
        <w:t>第</w:t>
      </w:r>
      <w:r w:rsidRPr="006E3B9B">
        <w:rPr>
          <w:lang w:eastAsia="zh-CN"/>
        </w:rPr>
        <w:t>35</w:t>
      </w:r>
      <w:r w:rsidRPr="006E3B9B">
        <w:rPr>
          <w:rFonts w:hint="eastAsia"/>
          <w:lang w:eastAsia="zh-CN"/>
        </w:rPr>
        <w:t>届会议（</w:t>
      </w:r>
      <w:r w:rsidRPr="006E3B9B">
        <w:rPr>
          <w:lang w:eastAsia="zh-CN"/>
        </w:rPr>
        <w:t>1980</w:t>
      </w:r>
      <w:r w:rsidRPr="006E3B9B">
        <w:rPr>
          <w:rFonts w:hint="eastAsia"/>
          <w:lang w:eastAsia="zh-CN"/>
        </w:rPr>
        <w:t>年</w:t>
      </w:r>
      <w:r w:rsidRPr="006E3B9B">
        <w:rPr>
          <w:lang w:eastAsia="zh-CN"/>
        </w:rPr>
        <w:t>5</w:t>
      </w:r>
      <w:r w:rsidRPr="006E3B9B">
        <w:rPr>
          <w:rFonts w:hint="eastAsia"/>
          <w:lang w:eastAsia="zh-CN"/>
        </w:rPr>
        <w:t>月）</w:t>
      </w:r>
    </w:p>
    <w:p w14:paraId="4827BFA2"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840</w:t>
      </w:r>
      <w:r w:rsidRPr="006E3B9B">
        <w:rPr>
          <w:lang w:val="en-US" w:eastAsia="zh-CN"/>
        </w:rPr>
        <w:t>号决议</w:t>
      </w:r>
      <w:r w:rsidRPr="006E3B9B">
        <w:rPr>
          <w:lang w:val="en-US" w:eastAsia="zh-CN"/>
        </w:rPr>
        <w:tab/>
      </w:r>
      <w:r w:rsidRPr="006E3B9B">
        <w:rPr>
          <w:rFonts w:hint="eastAsia"/>
          <w:lang w:eastAsia="zh-CN"/>
        </w:rPr>
        <w:t>国际电联</w:t>
      </w:r>
      <w:r w:rsidRPr="006E3B9B">
        <w:rPr>
          <w:rFonts w:hint="eastAsia"/>
          <w:lang w:eastAsia="zh-CN"/>
        </w:rPr>
        <w:t>1979</w:t>
      </w:r>
      <w:r w:rsidRPr="006E3B9B">
        <w:rPr>
          <w:rFonts w:hint="eastAsia"/>
          <w:lang w:eastAsia="zh-CN"/>
        </w:rPr>
        <w:t>年财务工作报告</w:t>
      </w:r>
      <w:r w:rsidRPr="006E3B9B">
        <w:rPr>
          <w:lang w:val="en-US" w:eastAsia="zh-CN"/>
        </w:rPr>
        <w:tab/>
      </w:r>
      <w:r w:rsidR="0093668F">
        <w:rPr>
          <w:lang w:val="en-US" w:eastAsia="zh-CN"/>
        </w:rPr>
        <w:tab/>
      </w:r>
      <w:r w:rsidRPr="006E3B9B">
        <w:rPr>
          <w:lang w:val="en-US" w:eastAsia="zh-CN"/>
        </w:rPr>
        <w:t>1981</w:t>
      </w:r>
      <w:r w:rsidRPr="006E3B9B">
        <w:rPr>
          <w:rFonts w:hint="eastAsia"/>
          <w:lang w:val="en-US" w:eastAsia="zh-CN"/>
        </w:rPr>
        <w:t>年</w:t>
      </w:r>
    </w:p>
    <w:p w14:paraId="4827BFA3"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841</w:t>
      </w:r>
      <w:r w:rsidRPr="006E3B9B">
        <w:rPr>
          <w:lang w:val="en-US" w:eastAsia="zh-CN"/>
        </w:rPr>
        <w:t>号决议</w:t>
      </w:r>
      <w:r w:rsidRPr="006E3B9B">
        <w:rPr>
          <w:lang w:val="en-US" w:eastAsia="zh-CN"/>
        </w:rPr>
        <w:tab/>
      </w:r>
      <w:r w:rsidRPr="006E3B9B">
        <w:rPr>
          <w:rFonts w:hint="eastAsia"/>
          <w:lang w:eastAsia="zh-CN"/>
        </w:rPr>
        <w:t>国际电联《财务规则》的修订</w:t>
      </w:r>
      <w:r w:rsidRPr="006E3B9B">
        <w:rPr>
          <w:lang w:val="en-US" w:eastAsia="zh-CN"/>
        </w:rPr>
        <w:tab/>
      </w:r>
      <w:r w:rsidR="0093668F">
        <w:rPr>
          <w:lang w:val="en-US" w:eastAsia="zh-CN"/>
        </w:rPr>
        <w:tab/>
      </w:r>
      <w:r w:rsidRPr="006E3B9B">
        <w:rPr>
          <w:lang w:val="en-US" w:eastAsia="zh-CN"/>
        </w:rPr>
        <w:t>1981</w:t>
      </w:r>
      <w:r w:rsidRPr="006E3B9B">
        <w:rPr>
          <w:rFonts w:hint="eastAsia"/>
          <w:lang w:val="en-US" w:eastAsia="zh-CN"/>
        </w:rPr>
        <w:t>年</w:t>
      </w:r>
    </w:p>
    <w:p w14:paraId="4827BFA4"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842</w:t>
      </w:r>
      <w:r w:rsidRPr="006E3B9B">
        <w:rPr>
          <w:lang w:val="en-US" w:eastAsia="zh-CN"/>
        </w:rPr>
        <w:t>号决议</w:t>
      </w:r>
      <w:r w:rsidRPr="006E3B9B">
        <w:rPr>
          <w:lang w:val="en-US" w:eastAsia="zh-CN"/>
        </w:rPr>
        <w:tab/>
      </w:r>
      <w:r w:rsidRPr="006E3B9B">
        <w:rPr>
          <w:rFonts w:hint="eastAsia"/>
          <w:lang w:eastAsia="zh-CN"/>
        </w:rPr>
        <w:t>国际电联职员退休和福利基金的备用基金的恢复</w:t>
      </w:r>
      <w:r w:rsidRPr="006E3B9B">
        <w:rPr>
          <w:lang w:val="en-US" w:eastAsia="zh-CN"/>
        </w:rPr>
        <w:tab/>
      </w:r>
      <w:r w:rsidR="0093668F">
        <w:rPr>
          <w:lang w:val="en-US" w:eastAsia="zh-CN"/>
        </w:rPr>
        <w:tab/>
      </w:r>
      <w:r w:rsidRPr="006E3B9B">
        <w:rPr>
          <w:lang w:val="en-US" w:eastAsia="zh-CN"/>
        </w:rPr>
        <w:t>1983</w:t>
      </w:r>
      <w:r w:rsidRPr="006E3B9B">
        <w:rPr>
          <w:rFonts w:hint="eastAsia"/>
          <w:lang w:val="en-US" w:eastAsia="zh-CN"/>
        </w:rPr>
        <w:t>年</w:t>
      </w:r>
    </w:p>
    <w:p w14:paraId="4827BFA5"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843</w:t>
      </w:r>
      <w:r w:rsidRPr="006E3B9B">
        <w:rPr>
          <w:lang w:val="en-US" w:eastAsia="zh-CN"/>
        </w:rPr>
        <w:t>号决议</w:t>
      </w:r>
      <w:r w:rsidRPr="006E3B9B">
        <w:rPr>
          <w:lang w:val="en-US" w:eastAsia="zh-CN"/>
        </w:rPr>
        <w:tab/>
      </w:r>
      <w:r w:rsidRPr="006E3B9B">
        <w:rPr>
          <w:rFonts w:hint="eastAsia"/>
          <w:lang w:eastAsia="zh-CN"/>
        </w:rPr>
        <w:t>国际电联职员养恤金委员会的委员</w:t>
      </w:r>
      <w:r w:rsidRPr="006E3B9B">
        <w:rPr>
          <w:lang w:val="en-US" w:eastAsia="zh-CN"/>
        </w:rPr>
        <w:tab/>
      </w:r>
      <w:r w:rsidR="0093668F">
        <w:rPr>
          <w:lang w:val="en-US" w:eastAsia="zh-CN"/>
        </w:rPr>
        <w:tab/>
      </w:r>
      <w:r w:rsidRPr="006E3B9B">
        <w:rPr>
          <w:lang w:val="en-US" w:eastAsia="zh-CN"/>
        </w:rPr>
        <w:t>1981</w:t>
      </w:r>
      <w:r w:rsidRPr="006E3B9B">
        <w:rPr>
          <w:rFonts w:hint="eastAsia"/>
          <w:lang w:val="en-US" w:eastAsia="zh-CN"/>
        </w:rPr>
        <w:t>年</w:t>
      </w:r>
    </w:p>
    <w:p w14:paraId="4827BFA6"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844</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1979</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1</w:t>
      </w:r>
      <w:r w:rsidRPr="006E3B9B">
        <w:rPr>
          <w:rFonts w:hint="eastAsia"/>
          <w:lang w:eastAsia="zh-CN"/>
        </w:rPr>
        <w:t>日至</w:t>
      </w:r>
      <w:r w:rsidRPr="006E3B9B">
        <w:rPr>
          <w:lang w:eastAsia="zh-CN"/>
        </w:rPr>
        <w:t>12</w:t>
      </w:r>
      <w:r w:rsidRPr="006E3B9B">
        <w:rPr>
          <w:rFonts w:hint="eastAsia"/>
          <w:lang w:eastAsia="zh-CN"/>
        </w:rPr>
        <w:t>月</w:t>
      </w:r>
      <w:r w:rsidRPr="006E3B9B">
        <w:rPr>
          <w:lang w:eastAsia="zh-CN"/>
        </w:rPr>
        <w:t>31</w:t>
      </w:r>
      <w:r w:rsidRPr="006E3B9B">
        <w:rPr>
          <w:rFonts w:hint="eastAsia"/>
          <w:lang w:eastAsia="zh-CN"/>
        </w:rPr>
        <w:t>日账目的外部审计</w:t>
      </w:r>
      <w:r w:rsidRPr="006E3B9B">
        <w:rPr>
          <w:lang w:val="en-US" w:eastAsia="zh-CN"/>
        </w:rPr>
        <w:tab/>
      </w:r>
      <w:r w:rsidR="0093668F">
        <w:rPr>
          <w:lang w:val="en-US" w:eastAsia="zh-CN"/>
        </w:rPr>
        <w:tab/>
      </w:r>
      <w:r w:rsidRPr="006E3B9B">
        <w:rPr>
          <w:lang w:val="en-US" w:eastAsia="zh-CN"/>
        </w:rPr>
        <w:t>1981</w:t>
      </w:r>
      <w:r w:rsidRPr="006E3B9B">
        <w:rPr>
          <w:rFonts w:hint="eastAsia"/>
          <w:lang w:val="en-US" w:eastAsia="zh-CN"/>
        </w:rPr>
        <w:t>年</w:t>
      </w:r>
    </w:p>
    <w:p w14:paraId="4827BFA7"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845</w:t>
      </w:r>
      <w:r w:rsidRPr="006E3B9B">
        <w:rPr>
          <w:lang w:val="en-US" w:eastAsia="zh-CN"/>
        </w:rPr>
        <w:t>号决议</w:t>
      </w:r>
      <w:r w:rsidRPr="006E3B9B">
        <w:rPr>
          <w:lang w:val="en-US" w:eastAsia="zh-CN"/>
        </w:rPr>
        <w:tab/>
      </w:r>
      <w:r w:rsidRPr="006E3B9B">
        <w:rPr>
          <w:lang w:eastAsia="zh-CN"/>
        </w:rPr>
        <w:t>1980</w:t>
      </w:r>
      <w:r w:rsidRPr="006E3B9B">
        <w:rPr>
          <w:rFonts w:hint="eastAsia"/>
          <w:lang w:eastAsia="zh-CN"/>
        </w:rPr>
        <w:t>年的追加拨款</w:t>
      </w:r>
      <w:r w:rsidRPr="006E3B9B">
        <w:rPr>
          <w:lang w:val="en-US" w:eastAsia="zh-CN"/>
        </w:rPr>
        <w:tab/>
      </w:r>
      <w:r w:rsidR="0093668F">
        <w:rPr>
          <w:lang w:val="en-US" w:eastAsia="zh-CN"/>
        </w:rPr>
        <w:tab/>
      </w:r>
      <w:r w:rsidRPr="006E3B9B">
        <w:rPr>
          <w:lang w:val="en-US" w:eastAsia="zh-CN"/>
        </w:rPr>
        <w:t>1981</w:t>
      </w:r>
      <w:r w:rsidRPr="006E3B9B">
        <w:rPr>
          <w:rFonts w:hint="eastAsia"/>
          <w:lang w:val="en-US" w:eastAsia="zh-CN"/>
        </w:rPr>
        <w:t>年</w:t>
      </w:r>
    </w:p>
    <w:p w14:paraId="4827BFA8"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846</w:t>
      </w:r>
      <w:r w:rsidRPr="006E3B9B">
        <w:rPr>
          <w:lang w:val="en-US" w:eastAsia="zh-CN"/>
        </w:rPr>
        <w:t>号决议</w:t>
      </w:r>
      <w:r w:rsidRPr="006E3B9B">
        <w:rPr>
          <w:lang w:val="en-US" w:eastAsia="zh-CN"/>
        </w:rPr>
        <w:tab/>
      </w:r>
      <w:r w:rsidRPr="006E3B9B">
        <w:rPr>
          <w:rFonts w:hint="eastAsia"/>
          <w:lang w:eastAsia="zh-CN"/>
        </w:rPr>
        <w:t>职位的设立</w:t>
      </w:r>
      <w:r w:rsidRPr="006E3B9B">
        <w:rPr>
          <w:lang w:val="en-US" w:eastAsia="zh-CN"/>
        </w:rPr>
        <w:tab/>
      </w:r>
      <w:r w:rsidR="0093668F">
        <w:rPr>
          <w:lang w:val="en-US" w:eastAsia="zh-CN"/>
        </w:rPr>
        <w:tab/>
      </w:r>
      <w:r w:rsidRPr="006E3B9B">
        <w:rPr>
          <w:lang w:val="en-US" w:eastAsia="zh-CN"/>
        </w:rPr>
        <w:t>1983</w:t>
      </w:r>
      <w:r w:rsidRPr="006E3B9B">
        <w:rPr>
          <w:rFonts w:hint="eastAsia"/>
          <w:lang w:val="en-US" w:eastAsia="zh-CN"/>
        </w:rPr>
        <w:t>年</w:t>
      </w:r>
    </w:p>
    <w:p w14:paraId="4827BFA9"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847</w:t>
      </w:r>
      <w:r w:rsidRPr="006E3B9B">
        <w:rPr>
          <w:lang w:val="en-US" w:eastAsia="zh-CN"/>
        </w:rPr>
        <w:t>号决议</w:t>
      </w:r>
      <w:r w:rsidRPr="006E3B9B">
        <w:rPr>
          <w:lang w:val="en-US" w:eastAsia="zh-CN"/>
        </w:rPr>
        <w:tab/>
      </w:r>
      <w:r w:rsidRPr="006E3B9B">
        <w:rPr>
          <w:lang w:eastAsia="zh-CN"/>
        </w:rPr>
        <w:t>国际咨询委员会</w:t>
      </w:r>
      <w:r w:rsidRPr="006E3B9B">
        <w:rPr>
          <w:rFonts w:hint="eastAsia"/>
          <w:lang w:eastAsia="zh-CN"/>
        </w:rPr>
        <w:t>会议文件－控制文件量以及遵守送达国际电联总部处理的时限</w:t>
      </w:r>
      <w:r w:rsidRPr="006E3B9B">
        <w:rPr>
          <w:lang w:val="en-US" w:eastAsia="zh-CN"/>
        </w:rPr>
        <w:tab/>
      </w:r>
      <w:r w:rsidR="0093668F">
        <w:rPr>
          <w:lang w:val="en-US" w:eastAsia="zh-CN"/>
        </w:rPr>
        <w:tab/>
      </w:r>
      <w:r w:rsidRPr="006E3B9B">
        <w:rPr>
          <w:lang w:val="en-US" w:eastAsia="zh-CN"/>
        </w:rPr>
        <w:t>1999</w:t>
      </w:r>
      <w:r w:rsidRPr="006E3B9B">
        <w:rPr>
          <w:rFonts w:hint="eastAsia"/>
          <w:lang w:val="en-US" w:eastAsia="zh-CN"/>
        </w:rPr>
        <w:t>年</w:t>
      </w:r>
    </w:p>
    <w:p w14:paraId="4827BFAA"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848</w:t>
      </w:r>
      <w:r w:rsidRPr="006E3B9B">
        <w:rPr>
          <w:lang w:val="en-US" w:eastAsia="zh-CN"/>
        </w:rPr>
        <w:t>号决议</w:t>
      </w:r>
      <w:r w:rsidRPr="006E3B9B">
        <w:rPr>
          <w:lang w:val="en-US" w:eastAsia="zh-CN"/>
        </w:rPr>
        <w:tab/>
      </w:r>
      <w:r w:rsidRPr="006E3B9B">
        <w:rPr>
          <w:rFonts w:hint="eastAsia"/>
          <w:lang w:eastAsia="zh-CN"/>
        </w:rPr>
        <w:t>区域性</w:t>
      </w:r>
      <w:r w:rsidRPr="006E3B9B">
        <w:rPr>
          <w:lang w:eastAsia="zh-CN"/>
        </w:rPr>
        <w:t>MF</w:t>
      </w:r>
      <w:r w:rsidRPr="006E3B9B">
        <w:rPr>
          <w:rFonts w:hint="eastAsia"/>
          <w:lang w:eastAsia="zh-CN"/>
        </w:rPr>
        <w:t>广播行政大会（</w:t>
      </w:r>
      <w:r w:rsidRPr="006E3B9B">
        <w:rPr>
          <w:rFonts w:hint="eastAsia"/>
          <w:lang w:eastAsia="zh-CN"/>
        </w:rPr>
        <w:t>2</w:t>
      </w:r>
      <w:r w:rsidRPr="006E3B9B">
        <w:rPr>
          <w:rFonts w:hint="eastAsia"/>
          <w:lang w:eastAsia="zh-CN"/>
        </w:rPr>
        <w:t>区）</w:t>
      </w:r>
      <w:r w:rsidRPr="006E3B9B">
        <w:rPr>
          <w:lang w:val="en-US" w:eastAsia="zh-CN"/>
        </w:rPr>
        <w:tab/>
      </w:r>
      <w:r w:rsidR="0093668F">
        <w:rPr>
          <w:lang w:val="en-US" w:eastAsia="zh-CN"/>
        </w:rPr>
        <w:tab/>
      </w:r>
      <w:r w:rsidRPr="006E3B9B">
        <w:rPr>
          <w:lang w:val="en-US" w:eastAsia="zh-CN"/>
        </w:rPr>
        <w:t>1982</w:t>
      </w:r>
      <w:r w:rsidRPr="006E3B9B">
        <w:rPr>
          <w:rFonts w:hint="eastAsia"/>
          <w:lang w:val="en-US" w:eastAsia="zh-CN"/>
        </w:rPr>
        <w:t>年</w:t>
      </w:r>
    </w:p>
    <w:p w14:paraId="4827BFAB"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849</w:t>
      </w:r>
      <w:r w:rsidRPr="006E3B9B">
        <w:rPr>
          <w:lang w:val="en-US" w:eastAsia="zh-CN"/>
        </w:rPr>
        <w:t>号决议</w:t>
      </w:r>
      <w:r w:rsidRPr="006E3B9B">
        <w:rPr>
          <w:lang w:val="en-US" w:eastAsia="zh-CN"/>
        </w:rPr>
        <w:tab/>
      </w:r>
      <w:r w:rsidRPr="006E3B9B">
        <w:rPr>
          <w:rFonts w:hint="eastAsia"/>
          <w:lang w:eastAsia="zh-CN"/>
        </w:rPr>
        <w:t>国际电信联盟</w:t>
      </w:r>
      <w:r w:rsidRPr="006E3B9B">
        <w:rPr>
          <w:lang w:eastAsia="zh-CN"/>
        </w:rPr>
        <w:t>1981</w:t>
      </w:r>
      <w:r w:rsidRPr="006E3B9B">
        <w:rPr>
          <w:rFonts w:hint="eastAsia"/>
          <w:lang w:eastAsia="zh-CN"/>
        </w:rPr>
        <w:t>年预算</w:t>
      </w:r>
      <w:r w:rsidRPr="006E3B9B">
        <w:rPr>
          <w:lang w:val="en-US" w:eastAsia="zh-CN"/>
        </w:rPr>
        <w:tab/>
      </w:r>
      <w:r w:rsidR="0093668F">
        <w:rPr>
          <w:lang w:val="en-US" w:eastAsia="zh-CN"/>
        </w:rPr>
        <w:tab/>
      </w:r>
      <w:r w:rsidRPr="006E3B9B">
        <w:rPr>
          <w:lang w:val="en-US" w:eastAsia="zh-CN"/>
        </w:rPr>
        <w:t>1982</w:t>
      </w:r>
      <w:r w:rsidRPr="006E3B9B">
        <w:rPr>
          <w:rFonts w:hint="eastAsia"/>
          <w:lang w:val="en-US" w:eastAsia="zh-CN"/>
        </w:rPr>
        <w:t>年</w:t>
      </w:r>
    </w:p>
    <w:p w14:paraId="4827BFAC"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850</w:t>
      </w:r>
      <w:r w:rsidRPr="006E3B9B">
        <w:rPr>
          <w:lang w:val="en-US" w:eastAsia="zh-CN"/>
        </w:rPr>
        <w:t>号决议</w:t>
      </w:r>
      <w:r w:rsidRPr="006E3B9B">
        <w:rPr>
          <w:lang w:val="en-US" w:eastAsia="zh-CN"/>
        </w:rPr>
        <w:tab/>
      </w:r>
      <w:r w:rsidRPr="006E3B9B">
        <w:rPr>
          <w:rFonts w:hint="eastAsia"/>
          <w:lang w:eastAsia="zh-CN"/>
        </w:rPr>
        <w:t>欧洲</w:t>
      </w:r>
      <w:r w:rsidRPr="006E3B9B">
        <w:rPr>
          <w:lang w:eastAsia="zh-CN"/>
        </w:rPr>
        <w:t>VHF/UHF</w:t>
      </w:r>
      <w:r w:rsidRPr="006E3B9B">
        <w:rPr>
          <w:rFonts w:hint="eastAsia"/>
          <w:lang w:eastAsia="zh-CN"/>
        </w:rPr>
        <w:t>广播大会（</w:t>
      </w:r>
      <w:r w:rsidRPr="006E3B9B">
        <w:rPr>
          <w:lang w:eastAsia="zh-CN"/>
        </w:rPr>
        <w:t>1961</w:t>
      </w:r>
      <w:r w:rsidRPr="006E3B9B">
        <w:rPr>
          <w:rFonts w:hint="eastAsia"/>
          <w:lang w:eastAsia="zh-CN"/>
        </w:rPr>
        <w:t>年，斯德哥尔摩）第</w:t>
      </w:r>
      <w:r w:rsidRPr="006E3B9B">
        <w:rPr>
          <w:lang w:eastAsia="zh-CN"/>
        </w:rPr>
        <w:t>5</w:t>
      </w:r>
      <w:r w:rsidRPr="006E3B9B">
        <w:rPr>
          <w:rFonts w:hint="eastAsia"/>
          <w:lang w:eastAsia="zh-CN"/>
        </w:rPr>
        <w:t>号建议</w:t>
      </w:r>
      <w:r w:rsidRPr="006E3B9B">
        <w:rPr>
          <w:lang w:val="en-US" w:eastAsia="zh-CN"/>
        </w:rPr>
        <w:tab/>
      </w:r>
      <w:r w:rsidR="0093668F">
        <w:rPr>
          <w:lang w:val="en-US" w:eastAsia="zh-CN"/>
        </w:rPr>
        <w:tab/>
      </w:r>
      <w:r w:rsidRPr="006E3B9B">
        <w:rPr>
          <w:lang w:val="en-US" w:eastAsia="zh-CN"/>
        </w:rPr>
        <w:t>1992</w:t>
      </w:r>
      <w:r w:rsidRPr="006E3B9B">
        <w:rPr>
          <w:rFonts w:hint="eastAsia"/>
          <w:lang w:val="en-US" w:eastAsia="zh-CN"/>
        </w:rPr>
        <w:t>年</w:t>
      </w:r>
    </w:p>
    <w:p w14:paraId="4827BFAD"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851</w:t>
      </w:r>
      <w:r w:rsidRPr="006E3B9B">
        <w:rPr>
          <w:lang w:val="en-US" w:eastAsia="zh-CN"/>
        </w:rPr>
        <w:t>号决议</w:t>
      </w:r>
      <w:r w:rsidRPr="006E3B9B">
        <w:rPr>
          <w:lang w:val="en-US" w:eastAsia="zh-CN"/>
        </w:rPr>
        <w:tab/>
      </w:r>
      <w:r w:rsidRPr="006E3B9B">
        <w:rPr>
          <w:rFonts w:hint="eastAsia"/>
          <w:lang w:eastAsia="zh-CN"/>
        </w:rPr>
        <w:t>行政理事会文件制作的准备</w:t>
      </w:r>
      <w:r w:rsidRPr="006E3B9B">
        <w:rPr>
          <w:lang w:val="en-US" w:eastAsia="zh-CN"/>
        </w:rPr>
        <w:tab/>
      </w:r>
      <w:r w:rsidR="0093668F">
        <w:rPr>
          <w:lang w:val="en-US" w:eastAsia="zh-CN"/>
        </w:rPr>
        <w:tab/>
      </w:r>
      <w:r w:rsidRPr="006E3B9B">
        <w:rPr>
          <w:lang w:val="en-US" w:eastAsia="zh-CN"/>
        </w:rPr>
        <w:t>1996</w:t>
      </w:r>
      <w:r w:rsidRPr="006E3B9B">
        <w:rPr>
          <w:rFonts w:hint="eastAsia"/>
          <w:lang w:val="en-US" w:eastAsia="zh-CN"/>
        </w:rPr>
        <w:t>年</w:t>
      </w:r>
    </w:p>
    <w:p w14:paraId="4827BFAE"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852</w:t>
      </w:r>
      <w:r w:rsidRPr="006E3B9B">
        <w:rPr>
          <w:rFonts w:hint="eastAsia"/>
          <w:lang w:val="en-US" w:eastAsia="zh-CN"/>
        </w:rPr>
        <w:t>号决议</w:t>
      </w:r>
      <w:r w:rsidRPr="006E3B9B">
        <w:rPr>
          <w:rFonts w:hint="eastAsia"/>
          <w:lang w:val="en-US" w:eastAsia="zh-CN"/>
        </w:rPr>
        <w:tab/>
      </w:r>
      <w:r w:rsidRPr="006E3B9B">
        <w:rPr>
          <w:lang w:eastAsia="zh-CN"/>
        </w:rPr>
        <w:t>VHF</w:t>
      </w:r>
      <w:r w:rsidRPr="006E3B9B">
        <w:rPr>
          <w:rFonts w:hint="eastAsia"/>
          <w:lang w:eastAsia="zh-CN"/>
        </w:rPr>
        <w:t>频段</w:t>
      </w:r>
      <w:r w:rsidRPr="006E3B9B">
        <w:rPr>
          <w:lang w:eastAsia="zh-CN"/>
        </w:rPr>
        <w:t>FM</w:t>
      </w:r>
      <w:r w:rsidRPr="006E3B9B">
        <w:rPr>
          <w:rFonts w:hint="eastAsia"/>
          <w:lang w:eastAsia="zh-CN"/>
        </w:rPr>
        <w:t>声音广播区域性行政大会（</w:t>
      </w:r>
      <w:r w:rsidRPr="006E3B9B">
        <w:rPr>
          <w:rFonts w:hint="eastAsia"/>
          <w:lang w:eastAsia="zh-CN"/>
        </w:rPr>
        <w:t>1</w:t>
      </w:r>
      <w:r w:rsidRPr="006E3B9B">
        <w:rPr>
          <w:rFonts w:hint="eastAsia"/>
          <w:lang w:eastAsia="zh-CN"/>
        </w:rPr>
        <w:t>区和</w:t>
      </w:r>
      <w:r w:rsidRPr="006E3B9B">
        <w:rPr>
          <w:rFonts w:hint="eastAsia"/>
          <w:lang w:eastAsia="zh-CN"/>
        </w:rPr>
        <w:t>3</w:t>
      </w:r>
      <w:r w:rsidRPr="006E3B9B">
        <w:rPr>
          <w:rFonts w:hint="eastAsia"/>
          <w:lang w:eastAsia="zh-CN"/>
        </w:rPr>
        <w:t>区的某些相关国家）</w:t>
      </w:r>
      <w:r w:rsidRPr="006E3B9B">
        <w:rPr>
          <w:lang w:val="en-US" w:eastAsia="zh-CN"/>
        </w:rPr>
        <w:tab/>
      </w:r>
      <w:r w:rsidR="0093668F">
        <w:rPr>
          <w:lang w:val="en-US" w:eastAsia="zh-CN"/>
        </w:rPr>
        <w:tab/>
      </w:r>
      <w:r w:rsidRPr="006E3B9B">
        <w:rPr>
          <w:lang w:val="en-US" w:eastAsia="zh-CN"/>
        </w:rPr>
        <w:t>1983</w:t>
      </w:r>
      <w:r w:rsidRPr="006E3B9B">
        <w:rPr>
          <w:rFonts w:hint="eastAsia"/>
          <w:lang w:val="en-US" w:eastAsia="zh-CN"/>
        </w:rPr>
        <w:t>年</w:t>
      </w:r>
    </w:p>
    <w:p w14:paraId="4827BFAF"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853</w:t>
      </w:r>
      <w:r w:rsidRPr="006E3B9B">
        <w:rPr>
          <w:lang w:val="en-US" w:eastAsia="zh-CN"/>
        </w:rPr>
        <w:t>号决议</w:t>
      </w:r>
      <w:r w:rsidRPr="006E3B9B">
        <w:rPr>
          <w:lang w:val="en-US" w:eastAsia="zh-CN"/>
        </w:rPr>
        <w:tab/>
      </w:r>
      <w:r w:rsidRPr="006E3B9B">
        <w:rPr>
          <w:rFonts w:hint="eastAsia"/>
          <w:lang w:eastAsia="zh-CN"/>
        </w:rPr>
        <w:t>关于移动通信的世界无线电行政大会</w:t>
      </w:r>
      <w:r w:rsidRPr="006E3B9B">
        <w:rPr>
          <w:lang w:val="en-US" w:eastAsia="zh-CN"/>
        </w:rPr>
        <w:tab/>
      </w:r>
      <w:r w:rsidR="0093668F">
        <w:rPr>
          <w:lang w:val="en-US" w:eastAsia="zh-CN"/>
        </w:rPr>
        <w:tab/>
      </w:r>
      <w:r w:rsidRPr="006E3B9B">
        <w:rPr>
          <w:lang w:val="en-US" w:eastAsia="zh-CN"/>
        </w:rPr>
        <w:t>1983</w:t>
      </w:r>
      <w:r w:rsidRPr="006E3B9B">
        <w:rPr>
          <w:rFonts w:hint="eastAsia"/>
          <w:lang w:val="en-US" w:eastAsia="zh-CN"/>
        </w:rPr>
        <w:t>年</w:t>
      </w:r>
    </w:p>
    <w:p w14:paraId="4827BFB0" w14:textId="77777777" w:rsidR="00BF1CF1" w:rsidRDefault="00BF1CF1">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4827BFB1" w14:textId="77777777" w:rsidR="006E3B9B" w:rsidRPr="006E3B9B" w:rsidRDefault="006E3B9B" w:rsidP="003E11A1">
      <w:pPr>
        <w:pStyle w:val="Reftitle"/>
        <w:rPr>
          <w:lang w:val="en-US" w:eastAsia="zh-CN"/>
        </w:rPr>
      </w:pPr>
      <w:r w:rsidRPr="006E3B9B">
        <w:rPr>
          <w:rFonts w:hint="eastAsia"/>
          <w:lang w:eastAsia="zh-CN"/>
        </w:rPr>
        <w:lastRenderedPageBreak/>
        <w:t>第</w:t>
      </w:r>
      <w:r w:rsidRPr="006E3B9B">
        <w:rPr>
          <w:lang w:eastAsia="zh-CN"/>
        </w:rPr>
        <w:t>36</w:t>
      </w:r>
      <w:r w:rsidRPr="006E3B9B">
        <w:rPr>
          <w:rFonts w:hint="eastAsia"/>
          <w:lang w:eastAsia="zh-CN"/>
        </w:rPr>
        <w:t>届会议（</w:t>
      </w:r>
      <w:r w:rsidRPr="006E3B9B">
        <w:rPr>
          <w:lang w:eastAsia="zh-CN"/>
        </w:rPr>
        <w:t>1981</w:t>
      </w:r>
      <w:r w:rsidRPr="006E3B9B">
        <w:rPr>
          <w:rFonts w:hint="eastAsia"/>
          <w:lang w:eastAsia="zh-CN"/>
        </w:rPr>
        <w:t>年</w:t>
      </w:r>
      <w:r w:rsidRPr="006E3B9B">
        <w:rPr>
          <w:lang w:eastAsia="zh-CN"/>
        </w:rPr>
        <w:t>6</w:t>
      </w:r>
      <w:r w:rsidRPr="006E3B9B">
        <w:rPr>
          <w:rFonts w:hint="eastAsia"/>
          <w:lang w:eastAsia="zh-CN"/>
        </w:rPr>
        <w:t>月）</w:t>
      </w:r>
    </w:p>
    <w:p w14:paraId="4827BFB2"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854</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1980</w:t>
      </w:r>
      <w:r w:rsidRPr="006E3B9B">
        <w:rPr>
          <w:rFonts w:hint="eastAsia"/>
          <w:lang w:eastAsia="zh-CN"/>
        </w:rPr>
        <w:t>年财务工作报告</w:t>
      </w:r>
      <w:r w:rsidRPr="006E3B9B">
        <w:rPr>
          <w:lang w:val="en-US" w:eastAsia="zh-CN"/>
        </w:rPr>
        <w:tab/>
      </w:r>
      <w:r w:rsidR="0093668F">
        <w:rPr>
          <w:lang w:val="en-US" w:eastAsia="zh-CN"/>
        </w:rPr>
        <w:tab/>
      </w:r>
      <w:r w:rsidRPr="006E3B9B">
        <w:rPr>
          <w:lang w:val="en-US" w:eastAsia="zh-CN"/>
        </w:rPr>
        <w:t>1982</w:t>
      </w:r>
      <w:r w:rsidRPr="006E3B9B">
        <w:rPr>
          <w:rFonts w:hint="eastAsia"/>
          <w:lang w:val="en-US" w:eastAsia="zh-CN"/>
        </w:rPr>
        <w:t>年</w:t>
      </w:r>
    </w:p>
    <w:p w14:paraId="4827BFB3"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855</w:t>
      </w:r>
      <w:r w:rsidRPr="006E3B9B">
        <w:rPr>
          <w:lang w:val="en-US" w:eastAsia="zh-CN"/>
        </w:rPr>
        <w:t>号决议</w:t>
      </w:r>
      <w:r w:rsidRPr="006E3B9B">
        <w:rPr>
          <w:lang w:val="en-US" w:eastAsia="zh-CN"/>
        </w:rPr>
        <w:tab/>
      </w:r>
      <w:r w:rsidRPr="006E3B9B">
        <w:rPr>
          <w:rFonts w:hint="eastAsia"/>
          <w:lang w:eastAsia="zh-CN"/>
        </w:rPr>
        <w:t>适用于选任官员的规则</w:t>
      </w:r>
      <w:r w:rsidRPr="006E3B9B">
        <w:rPr>
          <w:lang w:eastAsia="zh-CN"/>
        </w:rPr>
        <w:t>II.1</w:t>
      </w:r>
      <w:r w:rsidRPr="006E3B9B">
        <w:rPr>
          <w:rFonts w:hint="eastAsia"/>
          <w:lang w:eastAsia="zh-CN"/>
        </w:rPr>
        <w:t>、</w:t>
      </w:r>
      <w:r w:rsidRPr="006E3B9B">
        <w:rPr>
          <w:lang w:eastAsia="zh-CN"/>
        </w:rPr>
        <w:t>II.3</w:t>
      </w:r>
      <w:r w:rsidRPr="006E3B9B">
        <w:rPr>
          <w:rFonts w:hint="eastAsia"/>
          <w:lang w:eastAsia="zh-CN"/>
        </w:rPr>
        <w:t>和</w:t>
      </w:r>
      <w:r w:rsidRPr="006E3B9B">
        <w:rPr>
          <w:lang w:eastAsia="zh-CN"/>
        </w:rPr>
        <w:t>II.4</w:t>
      </w:r>
      <w:r w:rsidRPr="006E3B9B">
        <w:rPr>
          <w:rFonts w:hint="eastAsia"/>
          <w:lang w:eastAsia="zh-CN"/>
        </w:rPr>
        <w:t>条以及适用于委任职员的规则</w:t>
      </w:r>
      <w:r w:rsidRPr="006E3B9B">
        <w:rPr>
          <w:lang w:eastAsia="zh-CN"/>
        </w:rPr>
        <w:t>3.1</w:t>
      </w:r>
      <w:r w:rsidRPr="006E3B9B">
        <w:rPr>
          <w:rFonts w:hint="eastAsia"/>
          <w:lang w:eastAsia="zh-CN"/>
        </w:rPr>
        <w:t>、</w:t>
      </w:r>
      <w:r w:rsidRPr="006E3B9B">
        <w:rPr>
          <w:lang w:eastAsia="zh-CN"/>
        </w:rPr>
        <w:t>3.11</w:t>
      </w:r>
      <w:r w:rsidRPr="006E3B9B">
        <w:rPr>
          <w:rFonts w:hint="eastAsia"/>
          <w:lang w:eastAsia="zh-CN"/>
        </w:rPr>
        <w:t>和</w:t>
      </w:r>
      <w:r w:rsidR="006F4E9C">
        <w:rPr>
          <w:lang w:val="en-US" w:eastAsia="zh-CN"/>
        </w:rPr>
        <w:br/>
      </w:r>
      <w:r w:rsidRPr="006E3B9B">
        <w:rPr>
          <w:lang w:eastAsia="zh-CN"/>
        </w:rPr>
        <w:t>3.12</w:t>
      </w:r>
      <w:r w:rsidRPr="006E3B9B">
        <w:rPr>
          <w:rFonts w:hint="eastAsia"/>
          <w:lang w:eastAsia="zh-CN"/>
        </w:rPr>
        <w:t>款的修正案</w:t>
      </w:r>
      <w:r w:rsidRPr="006E3B9B">
        <w:rPr>
          <w:lang w:val="en-US" w:eastAsia="zh-CN"/>
        </w:rPr>
        <w:tab/>
      </w:r>
      <w:r w:rsidR="0093668F">
        <w:rPr>
          <w:lang w:val="en-US" w:eastAsia="zh-CN"/>
        </w:rPr>
        <w:tab/>
      </w:r>
      <w:r w:rsidRPr="006E3B9B">
        <w:rPr>
          <w:lang w:val="en-US" w:eastAsia="zh-CN"/>
        </w:rPr>
        <w:t>1982</w:t>
      </w:r>
      <w:r w:rsidRPr="006E3B9B">
        <w:rPr>
          <w:rFonts w:hint="eastAsia"/>
          <w:lang w:val="en-US" w:eastAsia="zh-CN"/>
        </w:rPr>
        <w:t>年</w:t>
      </w:r>
    </w:p>
    <w:p w14:paraId="4827BFB4"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856</w:t>
      </w:r>
      <w:r w:rsidRPr="006E3B9B">
        <w:rPr>
          <w:lang w:val="en-US" w:eastAsia="zh-CN"/>
        </w:rPr>
        <w:t>号决议</w:t>
      </w:r>
      <w:r w:rsidRPr="006E3B9B">
        <w:rPr>
          <w:lang w:val="en-US" w:eastAsia="zh-CN"/>
        </w:rPr>
        <w:tab/>
      </w:r>
      <w:r w:rsidRPr="006E3B9B">
        <w:rPr>
          <w:rFonts w:hint="eastAsia"/>
          <w:lang w:eastAsia="zh-CN"/>
        </w:rPr>
        <w:t>选任官员薪金、任职地点补贴调整数、教育补助金和职员薪金税率</w:t>
      </w:r>
      <w:r w:rsidRPr="006E3B9B">
        <w:rPr>
          <w:lang w:val="en-US" w:eastAsia="zh-CN"/>
        </w:rPr>
        <w:tab/>
      </w:r>
      <w:r w:rsidR="0093668F">
        <w:rPr>
          <w:lang w:val="en-US" w:eastAsia="zh-CN"/>
        </w:rPr>
        <w:tab/>
      </w:r>
      <w:r w:rsidRPr="006E3B9B">
        <w:rPr>
          <w:lang w:val="en-US" w:eastAsia="zh-CN"/>
        </w:rPr>
        <w:t>1982</w:t>
      </w:r>
      <w:r w:rsidRPr="006E3B9B">
        <w:rPr>
          <w:rFonts w:hint="eastAsia"/>
          <w:lang w:val="en-US" w:eastAsia="zh-CN"/>
        </w:rPr>
        <w:t>年</w:t>
      </w:r>
    </w:p>
    <w:p w14:paraId="4827BFB5"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857</w:t>
      </w:r>
      <w:r w:rsidRPr="006E3B9B">
        <w:rPr>
          <w:lang w:val="en-US" w:eastAsia="zh-CN"/>
        </w:rPr>
        <w:t>号决议</w:t>
      </w:r>
      <w:r w:rsidRPr="006E3B9B">
        <w:rPr>
          <w:lang w:val="en-US" w:eastAsia="zh-CN"/>
        </w:rPr>
        <w:tab/>
      </w:r>
      <w:r w:rsidRPr="006E3B9B">
        <w:rPr>
          <w:rFonts w:hint="eastAsia"/>
          <w:lang w:eastAsia="zh-CN"/>
        </w:rPr>
        <w:t>技术合作活动的支持费用</w:t>
      </w:r>
      <w:r w:rsidRPr="006E3B9B">
        <w:rPr>
          <w:lang w:val="en-US" w:eastAsia="zh-CN"/>
        </w:rPr>
        <w:tab/>
      </w:r>
      <w:r w:rsidR="0093668F">
        <w:rPr>
          <w:lang w:val="en-US" w:eastAsia="zh-CN"/>
        </w:rPr>
        <w:tab/>
      </w:r>
      <w:r w:rsidRPr="006E3B9B">
        <w:rPr>
          <w:lang w:val="en-US" w:eastAsia="zh-CN"/>
        </w:rPr>
        <w:t>1984</w:t>
      </w:r>
      <w:r w:rsidRPr="006E3B9B">
        <w:rPr>
          <w:rFonts w:hint="eastAsia"/>
          <w:lang w:val="en-US" w:eastAsia="zh-CN"/>
        </w:rPr>
        <w:t>年</w:t>
      </w:r>
    </w:p>
    <w:p w14:paraId="4827BFB6"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858</w:t>
      </w:r>
      <w:r w:rsidRPr="006E3B9B">
        <w:rPr>
          <w:lang w:val="en-US" w:eastAsia="zh-CN"/>
        </w:rPr>
        <w:t>号决议</w:t>
      </w:r>
      <w:r w:rsidRPr="006E3B9B">
        <w:rPr>
          <w:lang w:val="en-US" w:eastAsia="zh-CN"/>
        </w:rPr>
        <w:tab/>
      </w:r>
      <w:r w:rsidRPr="006E3B9B">
        <w:rPr>
          <w:rFonts w:hint="eastAsia"/>
          <w:lang w:eastAsia="zh-CN"/>
        </w:rPr>
        <w:t>出版物的资本账目</w:t>
      </w:r>
      <w:r w:rsidRPr="006E3B9B">
        <w:rPr>
          <w:lang w:val="en-US" w:eastAsia="zh-CN"/>
        </w:rPr>
        <w:tab/>
      </w:r>
      <w:r w:rsidR="0093668F">
        <w:rPr>
          <w:lang w:val="en-US" w:eastAsia="zh-CN"/>
        </w:rPr>
        <w:tab/>
      </w:r>
      <w:r w:rsidRPr="006E3B9B">
        <w:rPr>
          <w:lang w:val="en-US" w:eastAsia="zh-CN"/>
        </w:rPr>
        <w:t>1982</w:t>
      </w:r>
      <w:r w:rsidRPr="006E3B9B">
        <w:rPr>
          <w:rFonts w:hint="eastAsia"/>
          <w:lang w:val="en-US" w:eastAsia="zh-CN"/>
        </w:rPr>
        <w:t>年</w:t>
      </w:r>
    </w:p>
    <w:p w14:paraId="4827BFB7"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859</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1980</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1</w:t>
      </w:r>
      <w:r w:rsidRPr="006E3B9B">
        <w:rPr>
          <w:rFonts w:hint="eastAsia"/>
          <w:lang w:eastAsia="zh-CN"/>
        </w:rPr>
        <w:t>日至</w:t>
      </w:r>
      <w:r w:rsidRPr="006E3B9B">
        <w:rPr>
          <w:lang w:eastAsia="zh-CN"/>
        </w:rPr>
        <w:t>12</w:t>
      </w:r>
      <w:r w:rsidRPr="006E3B9B">
        <w:rPr>
          <w:rFonts w:hint="eastAsia"/>
          <w:lang w:eastAsia="zh-CN"/>
        </w:rPr>
        <w:t>月</w:t>
      </w:r>
      <w:r w:rsidRPr="006E3B9B">
        <w:rPr>
          <w:lang w:eastAsia="zh-CN"/>
        </w:rPr>
        <w:t>31</w:t>
      </w:r>
      <w:r w:rsidRPr="006E3B9B">
        <w:rPr>
          <w:rFonts w:hint="eastAsia"/>
          <w:lang w:eastAsia="zh-CN"/>
        </w:rPr>
        <w:t>日账目的外部审计</w:t>
      </w:r>
      <w:r w:rsidRPr="006E3B9B">
        <w:rPr>
          <w:lang w:val="en-US" w:eastAsia="zh-CN"/>
        </w:rPr>
        <w:tab/>
      </w:r>
      <w:r w:rsidR="0093668F">
        <w:rPr>
          <w:lang w:val="en-US" w:eastAsia="zh-CN"/>
        </w:rPr>
        <w:tab/>
      </w:r>
      <w:r w:rsidRPr="006E3B9B">
        <w:rPr>
          <w:lang w:val="en-US" w:eastAsia="zh-CN"/>
        </w:rPr>
        <w:t>1982</w:t>
      </w:r>
      <w:r w:rsidRPr="006E3B9B">
        <w:rPr>
          <w:rFonts w:hint="eastAsia"/>
          <w:lang w:val="en-US" w:eastAsia="zh-CN"/>
        </w:rPr>
        <w:t>年</w:t>
      </w:r>
    </w:p>
    <w:p w14:paraId="4827BFB8"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860</w:t>
      </w:r>
      <w:r w:rsidRPr="006E3B9B">
        <w:rPr>
          <w:lang w:val="en-US" w:eastAsia="zh-CN"/>
        </w:rPr>
        <w:t>号决议</w:t>
      </w:r>
      <w:r w:rsidRPr="006E3B9B">
        <w:rPr>
          <w:lang w:val="en-US" w:eastAsia="zh-CN"/>
        </w:rPr>
        <w:tab/>
      </w:r>
      <w:r w:rsidRPr="006E3B9B">
        <w:rPr>
          <w:rFonts w:hint="eastAsia"/>
          <w:lang w:eastAsia="zh-CN"/>
        </w:rPr>
        <w:t>国际电联职员养恤金委员会的委员</w:t>
      </w:r>
      <w:r w:rsidRPr="006E3B9B">
        <w:rPr>
          <w:lang w:val="en-US" w:eastAsia="zh-CN"/>
        </w:rPr>
        <w:tab/>
      </w:r>
      <w:r w:rsidR="0093668F">
        <w:rPr>
          <w:lang w:val="en-US" w:eastAsia="zh-CN"/>
        </w:rPr>
        <w:tab/>
      </w:r>
      <w:r w:rsidRPr="006E3B9B">
        <w:rPr>
          <w:lang w:val="en-US" w:eastAsia="zh-CN"/>
        </w:rPr>
        <w:t>1982</w:t>
      </w:r>
      <w:r w:rsidRPr="006E3B9B">
        <w:rPr>
          <w:rFonts w:hint="eastAsia"/>
          <w:lang w:val="en-US" w:eastAsia="zh-CN"/>
        </w:rPr>
        <w:t>年</w:t>
      </w:r>
    </w:p>
    <w:p w14:paraId="4827BFB9"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861</w:t>
      </w:r>
      <w:r w:rsidRPr="006E3B9B">
        <w:rPr>
          <w:lang w:val="en-US" w:eastAsia="zh-CN"/>
        </w:rPr>
        <w:t>号决议</w:t>
      </w:r>
      <w:r w:rsidRPr="006E3B9B">
        <w:rPr>
          <w:lang w:val="en-US" w:eastAsia="zh-CN"/>
        </w:rPr>
        <w:tab/>
      </w:r>
      <w:r w:rsidRPr="006E3B9B">
        <w:rPr>
          <w:rFonts w:hint="eastAsia"/>
          <w:lang w:eastAsia="zh-CN"/>
        </w:rPr>
        <w:t>职位的设立和定级</w:t>
      </w:r>
      <w:r w:rsidRPr="006E3B9B">
        <w:rPr>
          <w:lang w:val="en-US" w:eastAsia="zh-CN"/>
        </w:rPr>
        <w:tab/>
      </w:r>
      <w:r w:rsidR="0093668F">
        <w:rPr>
          <w:lang w:val="en-US" w:eastAsia="zh-CN"/>
        </w:rPr>
        <w:tab/>
      </w:r>
      <w:r w:rsidRPr="006E3B9B">
        <w:rPr>
          <w:lang w:val="en-US" w:eastAsia="zh-CN"/>
        </w:rPr>
        <w:t>1983</w:t>
      </w:r>
      <w:r w:rsidRPr="006E3B9B">
        <w:rPr>
          <w:rFonts w:hint="eastAsia"/>
          <w:lang w:val="en-US" w:eastAsia="zh-CN"/>
        </w:rPr>
        <w:t>年</w:t>
      </w:r>
    </w:p>
    <w:p w14:paraId="4827BFBA"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862</w:t>
      </w:r>
      <w:r w:rsidRPr="006E3B9B">
        <w:rPr>
          <w:lang w:val="en-US" w:eastAsia="zh-CN"/>
        </w:rPr>
        <w:t>号决议</w:t>
      </w:r>
      <w:r w:rsidRPr="006E3B9B">
        <w:rPr>
          <w:lang w:val="en-US" w:eastAsia="zh-CN"/>
        </w:rPr>
        <w:tab/>
      </w:r>
      <w:r w:rsidRPr="006E3B9B">
        <w:rPr>
          <w:rFonts w:hint="eastAsia"/>
          <w:lang w:eastAsia="zh-CN"/>
        </w:rPr>
        <w:t>全权代表大会</w:t>
      </w:r>
      <w:r w:rsidRPr="006E3B9B">
        <w:rPr>
          <w:lang w:val="en-US" w:eastAsia="zh-CN"/>
        </w:rPr>
        <w:tab/>
      </w:r>
      <w:r w:rsidR="0093668F">
        <w:rPr>
          <w:lang w:val="en-US" w:eastAsia="zh-CN"/>
        </w:rPr>
        <w:tab/>
      </w:r>
      <w:r w:rsidRPr="006E3B9B">
        <w:rPr>
          <w:lang w:val="en-US" w:eastAsia="zh-CN"/>
        </w:rPr>
        <w:t>1983</w:t>
      </w:r>
      <w:r w:rsidRPr="006E3B9B">
        <w:rPr>
          <w:rFonts w:hint="eastAsia"/>
          <w:lang w:val="en-US" w:eastAsia="zh-CN"/>
        </w:rPr>
        <w:t>年</w:t>
      </w:r>
    </w:p>
    <w:p w14:paraId="4827BFBB"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863</w:t>
      </w:r>
      <w:r w:rsidRPr="006E3B9B">
        <w:rPr>
          <w:lang w:val="en-US" w:eastAsia="zh-CN"/>
        </w:rPr>
        <w:t>号决议</w:t>
      </w:r>
      <w:r w:rsidRPr="006E3B9B">
        <w:rPr>
          <w:lang w:val="en-US" w:eastAsia="zh-CN"/>
        </w:rPr>
        <w:tab/>
      </w:r>
      <w:r w:rsidRPr="006E3B9B">
        <w:rPr>
          <w:rFonts w:hint="eastAsia"/>
          <w:lang w:eastAsia="zh-CN"/>
        </w:rPr>
        <w:t>职员的招聘和地域分配</w:t>
      </w:r>
      <w:r w:rsidRPr="006E3B9B">
        <w:rPr>
          <w:lang w:val="en-US" w:eastAsia="zh-CN"/>
        </w:rPr>
        <w:tab/>
      </w:r>
      <w:r w:rsidR="0093668F">
        <w:rPr>
          <w:lang w:val="en-US" w:eastAsia="zh-CN"/>
        </w:rPr>
        <w:tab/>
      </w:r>
      <w:r w:rsidRPr="006E3B9B">
        <w:rPr>
          <w:lang w:val="en-US" w:eastAsia="zh-CN"/>
        </w:rPr>
        <w:t>1984</w:t>
      </w:r>
      <w:r w:rsidRPr="006E3B9B">
        <w:rPr>
          <w:rFonts w:hint="eastAsia"/>
          <w:lang w:val="en-US" w:eastAsia="zh-CN"/>
        </w:rPr>
        <w:t>年</w:t>
      </w:r>
    </w:p>
    <w:p w14:paraId="4827BFBC"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864</w:t>
      </w:r>
      <w:r w:rsidRPr="006E3B9B">
        <w:rPr>
          <w:lang w:val="en-US" w:eastAsia="zh-CN"/>
        </w:rPr>
        <w:t>号决议</w:t>
      </w:r>
      <w:r w:rsidRPr="006E3B9B">
        <w:rPr>
          <w:lang w:val="en-US" w:eastAsia="zh-CN"/>
        </w:rPr>
        <w:tab/>
      </w:r>
      <w:r w:rsidRPr="006E3B9B">
        <w:rPr>
          <w:rFonts w:hint="eastAsia"/>
          <w:lang w:eastAsia="zh-CN"/>
        </w:rPr>
        <w:t>里约热内卢第</w:t>
      </w:r>
      <w:r w:rsidRPr="006E3B9B">
        <w:rPr>
          <w:lang w:eastAsia="zh-CN"/>
        </w:rPr>
        <w:t>2</w:t>
      </w:r>
      <w:r w:rsidRPr="006E3B9B">
        <w:rPr>
          <w:rFonts w:hint="eastAsia"/>
          <w:lang w:eastAsia="zh-CN"/>
        </w:rPr>
        <w:t>届区域性</w:t>
      </w:r>
      <w:r w:rsidRPr="006E3B9B">
        <w:rPr>
          <w:lang w:eastAsia="zh-CN"/>
        </w:rPr>
        <w:t>MF</w:t>
      </w:r>
      <w:r w:rsidRPr="006E3B9B">
        <w:rPr>
          <w:rFonts w:hint="eastAsia"/>
          <w:lang w:eastAsia="zh-CN"/>
        </w:rPr>
        <w:t>广播行政大会（</w:t>
      </w:r>
      <w:r w:rsidRPr="006E3B9B">
        <w:rPr>
          <w:rFonts w:hint="eastAsia"/>
          <w:lang w:eastAsia="zh-CN"/>
        </w:rPr>
        <w:t>2</w:t>
      </w:r>
      <w:r w:rsidRPr="006E3B9B">
        <w:rPr>
          <w:rFonts w:hint="eastAsia"/>
          <w:lang w:eastAsia="zh-CN"/>
        </w:rPr>
        <w:t>区）（巴西）</w:t>
      </w:r>
      <w:r w:rsidRPr="006E3B9B">
        <w:rPr>
          <w:lang w:val="en-US" w:eastAsia="zh-CN"/>
        </w:rPr>
        <w:tab/>
      </w:r>
      <w:r w:rsidR="0093668F">
        <w:rPr>
          <w:lang w:val="en-US" w:eastAsia="zh-CN"/>
        </w:rPr>
        <w:tab/>
      </w:r>
      <w:r w:rsidRPr="006E3B9B">
        <w:rPr>
          <w:lang w:val="en-US" w:eastAsia="zh-CN"/>
        </w:rPr>
        <w:t>1982</w:t>
      </w:r>
      <w:r w:rsidRPr="006E3B9B">
        <w:rPr>
          <w:rFonts w:hint="eastAsia"/>
          <w:lang w:val="en-US" w:eastAsia="zh-CN"/>
        </w:rPr>
        <w:t>年</w:t>
      </w:r>
    </w:p>
    <w:p w14:paraId="4827BFBD"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865</w:t>
      </w:r>
      <w:r w:rsidRPr="006E3B9B">
        <w:rPr>
          <w:lang w:val="en-US" w:eastAsia="zh-CN"/>
        </w:rPr>
        <w:t>号决议</w:t>
      </w:r>
      <w:r w:rsidRPr="006E3B9B">
        <w:rPr>
          <w:lang w:val="en-US" w:eastAsia="zh-CN"/>
        </w:rPr>
        <w:tab/>
      </w:r>
      <w:r w:rsidRPr="006E3B9B">
        <w:rPr>
          <w:rFonts w:hint="eastAsia"/>
          <w:lang w:eastAsia="zh-CN"/>
        </w:rPr>
        <w:t>2</w:t>
      </w:r>
      <w:r w:rsidRPr="006E3B9B">
        <w:rPr>
          <w:rFonts w:hint="eastAsia"/>
          <w:lang w:eastAsia="zh-CN"/>
        </w:rPr>
        <w:t>区卫星广播业务规划区域性行政大会</w:t>
      </w:r>
      <w:r w:rsidRPr="006E3B9B">
        <w:rPr>
          <w:lang w:val="en-US" w:eastAsia="zh-CN"/>
        </w:rPr>
        <w:tab/>
      </w:r>
      <w:r w:rsidR="0093668F">
        <w:rPr>
          <w:lang w:val="en-US" w:eastAsia="zh-CN"/>
        </w:rPr>
        <w:tab/>
      </w:r>
      <w:r w:rsidRPr="006E3B9B">
        <w:rPr>
          <w:lang w:val="en-US" w:eastAsia="zh-CN"/>
        </w:rPr>
        <w:t>1984</w:t>
      </w:r>
      <w:r w:rsidRPr="006E3B9B">
        <w:rPr>
          <w:rFonts w:hint="eastAsia"/>
          <w:lang w:val="en-US" w:eastAsia="zh-CN"/>
        </w:rPr>
        <w:t>年</w:t>
      </w:r>
    </w:p>
    <w:p w14:paraId="4827BFBE"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866</w:t>
      </w:r>
      <w:r w:rsidRPr="006E3B9B">
        <w:rPr>
          <w:lang w:val="en-US" w:eastAsia="zh-CN"/>
        </w:rPr>
        <w:t>号决议</w:t>
      </w:r>
      <w:r w:rsidRPr="006E3B9B">
        <w:rPr>
          <w:lang w:val="en-US" w:eastAsia="zh-CN"/>
        </w:rPr>
        <w:tab/>
      </w:r>
      <w:r w:rsidRPr="006E3B9B">
        <w:rPr>
          <w:rFonts w:hint="eastAsia"/>
          <w:lang w:eastAsia="zh-CN"/>
        </w:rPr>
        <w:t>国际电信联盟</w:t>
      </w:r>
      <w:r w:rsidRPr="006E3B9B">
        <w:rPr>
          <w:lang w:eastAsia="zh-CN"/>
        </w:rPr>
        <w:t>1982</w:t>
      </w:r>
      <w:r w:rsidRPr="006E3B9B">
        <w:rPr>
          <w:rFonts w:hint="eastAsia"/>
          <w:lang w:eastAsia="zh-CN"/>
        </w:rPr>
        <w:t>年预算</w:t>
      </w:r>
      <w:r w:rsidRPr="006E3B9B">
        <w:rPr>
          <w:lang w:val="en-US" w:eastAsia="zh-CN"/>
        </w:rPr>
        <w:tab/>
      </w:r>
      <w:r w:rsidR="0093668F">
        <w:rPr>
          <w:lang w:val="en-US" w:eastAsia="zh-CN"/>
        </w:rPr>
        <w:tab/>
      </w:r>
      <w:r w:rsidRPr="006E3B9B">
        <w:rPr>
          <w:lang w:val="en-US" w:eastAsia="zh-CN"/>
        </w:rPr>
        <w:t>1983</w:t>
      </w:r>
      <w:r w:rsidRPr="006E3B9B">
        <w:rPr>
          <w:rFonts w:hint="eastAsia"/>
          <w:lang w:val="en-US" w:eastAsia="zh-CN"/>
        </w:rPr>
        <w:t>年</w:t>
      </w:r>
    </w:p>
    <w:p w14:paraId="4827BFBF" w14:textId="77777777" w:rsidR="006E3B9B" w:rsidRPr="006E3B9B" w:rsidRDefault="006E3B9B" w:rsidP="003E11A1">
      <w:pPr>
        <w:pStyle w:val="Reftitle"/>
        <w:rPr>
          <w:lang w:val="en-US" w:eastAsia="zh-CN"/>
        </w:rPr>
      </w:pPr>
      <w:r w:rsidRPr="006E3B9B">
        <w:rPr>
          <w:rFonts w:hint="eastAsia"/>
          <w:lang w:eastAsia="zh-CN"/>
        </w:rPr>
        <w:t>第</w:t>
      </w:r>
      <w:r w:rsidRPr="006E3B9B">
        <w:rPr>
          <w:lang w:eastAsia="zh-CN"/>
        </w:rPr>
        <w:t>37</w:t>
      </w:r>
      <w:r w:rsidRPr="006E3B9B">
        <w:rPr>
          <w:rFonts w:hint="eastAsia"/>
          <w:lang w:eastAsia="zh-CN"/>
        </w:rPr>
        <w:t>届会议（</w:t>
      </w:r>
      <w:r w:rsidRPr="006E3B9B">
        <w:rPr>
          <w:lang w:eastAsia="zh-CN"/>
        </w:rPr>
        <w:t>1982</w:t>
      </w:r>
      <w:r w:rsidRPr="006E3B9B">
        <w:rPr>
          <w:rFonts w:hint="eastAsia"/>
          <w:lang w:eastAsia="zh-CN"/>
        </w:rPr>
        <w:t>年</w:t>
      </w:r>
      <w:r w:rsidRPr="006E3B9B">
        <w:rPr>
          <w:lang w:eastAsia="zh-CN"/>
        </w:rPr>
        <w:t>4</w:t>
      </w:r>
      <w:r w:rsidRPr="006E3B9B">
        <w:rPr>
          <w:rFonts w:hint="eastAsia"/>
          <w:lang w:eastAsia="zh-CN"/>
        </w:rPr>
        <w:t>月</w:t>
      </w:r>
      <w:r w:rsidRPr="006E3B9B">
        <w:rPr>
          <w:lang w:eastAsia="zh-CN"/>
        </w:rPr>
        <w:t>-5</w:t>
      </w:r>
      <w:r w:rsidRPr="006E3B9B">
        <w:rPr>
          <w:rFonts w:hint="eastAsia"/>
          <w:lang w:eastAsia="zh-CN"/>
        </w:rPr>
        <w:t>月）</w:t>
      </w:r>
    </w:p>
    <w:p w14:paraId="4827BFC0"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867</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1981</w:t>
      </w:r>
      <w:r w:rsidRPr="006E3B9B">
        <w:rPr>
          <w:rFonts w:hint="eastAsia"/>
          <w:lang w:eastAsia="zh-CN"/>
        </w:rPr>
        <w:t>年财务工作报告</w:t>
      </w:r>
      <w:r w:rsidRPr="006E3B9B">
        <w:rPr>
          <w:lang w:val="en-US" w:eastAsia="zh-CN"/>
        </w:rPr>
        <w:tab/>
      </w:r>
      <w:r w:rsidR="0093668F">
        <w:rPr>
          <w:lang w:val="en-US" w:eastAsia="zh-CN"/>
        </w:rPr>
        <w:tab/>
      </w:r>
      <w:r w:rsidRPr="006E3B9B">
        <w:rPr>
          <w:lang w:val="en-US" w:eastAsia="zh-CN"/>
        </w:rPr>
        <w:t>1983</w:t>
      </w:r>
      <w:r w:rsidRPr="006E3B9B">
        <w:rPr>
          <w:rFonts w:hint="eastAsia"/>
          <w:lang w:val="en-US" w:eastAsia="zh-CN"/>
        </w:rPr>
        <w:t>年</w:t>
      </w:r>
    </w:p>
    <w:p w14:paraId="4827BFC1"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868</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1981</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1</w:t>
      </w:r>
      <w:r w:rsidRPr="006E3B9B">
        <w:rPr>
          <w:rFonts w:hint="eastAsia"/>
          <w:lang w:eastAsia="zh-CN"/>
        </w:rPr>
        <w:t>日至</w:t>
      </w:r>
      <w:r w:rsidRPr="006E3B9B">
        <w:rPr>
          <w:lang w:eastAsia="zh-CN"/>
        </w:rPr>
        <w:t>12</w:t>
      </w:r>
      <w:r w:rsidRPr="006E3B9B">
        <w:rPr>
          <w:rFonts w:hint="eastAsia"/>
          <w:lang w:eastAsia="zh-CN"/>
        </w:rPr>
        <w:t>月</w:t>
      </w:r>
      <w:r w:rsidRPr="006E3B9B">
        <w:rPr>
          <w:lang w:eastAsia="zh-CN"/>
        </w:rPr>
        <w:t>31</w:t>
      </w:r>
      <w:r w:rsidRPr="006E3B9B">
        <w:rPr>
          <w:rFonts w:hint="eastAsia"/>
          <w:lang w:eastAsia="zh-CN"/>
        </w:rPr>
        <w:t>日账目的外部审计</w:t>
      </w:r>
      <w:r w:rsidRPr="006E3B9B">
        <w:rPr>
          <w:lang w:val="en-US" w:eastAsia="zh-CN"/>
        </w:rPr>
        <w:tab/>
      </w:r>
      <w:r w:rsidR="0093668F">
        <w:rPr>
          <w:lang w:val="en-US" w:eastAsia="zh-CN"/>
        </w:rPr>
        <w:tab/>
      </w:r>
      <w:r w:rsidRPr="006E3B9B">
        <w:rPr>
          <w:lang w:val="en-US" w:eastAsia="zh-CN"/>
        </w:rPr>
        <w:t>1983</w:t>
      </w:r>
      <w:r w:rsidRPr="006E3B9B">
        <w:rPr>
          <w:rFonts w:hint="eastAsia"/>
          <w:lang w:val="en-US" w:eastAsia="zh-CN"/>
        </w:rPr>
        <w:t>年</w:t>
      </w:r>
    </w:p>
    <w:p w14:paraId="4827BFC2"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869</w:t>
      </w:r>
      <w:r w:rsidRPr="006E3B9B">
        <w:rPr>
          <w:lang w:val="en-US" w:eastAsia="zh-CN"/>
        </w:rPr>
        <w:t>号决议</w:t>
      </w:r>
      <w:r w:rsidRPr="006E3B9B">
        <w:rPr>
          <w:lang w:val="en-US" w:eastAsia="zh-CN"/>
        </w:rPr>
        <w:tab/>
      </w:r>
      <w:r w:rsidRPr="006E3B9B">
        <w:rPr>
          <w:rFonts w:hint="eastAsia"/>
          <w:lang w:eastAsia="zh-CN"/>
        </w:rPr>
        <w:t>国际电联职员养恤金委员会的委员</w:t>
      </w:r>
      <w:r w:rsidRPr="006E3B9B">
        <w:rPr>
          <w:lang w:val="en-US" w:eastAsia="zh-CN"/>
        </w:rPr>
        <w:tab/>
      </w:r>
      <w:r w:rsidR="0093668F">
        <w:rPr>
          <w:lang w:val="en-US" w:eastAsia="zh-CN"/>
        </w:rPr>
        <w:tab/>
      </w:r>
      <w:r w:rsidRPr="006E3B9B">
        <w:rPr>
          <w:lang w:val="en-US" w:eastAsia="zh-CN"/>
        </w:rPr>
        <w:t>1983</w:t>
      </w:r>
      <w:r w:rsidRPr="006E3B9B">
        <w:rPr>
          <w:rFonts w:hint="eastAsia"/>
          <w:lang w:val="en-US" w:eastAsia="zh-CN"/>
        </w:rPr>
        <w:t>年</w:t>
      </w:r>
    </w:p>
    <w:p w14:paraId="4827BFC3"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870</w:t>
      </w:r>
      <w:r w:rsidRPr="006E3B9B">
        <w:rPr>
          <w:lang w:val="en-US" w:eastAsia="zh-CN"/>
        </w:rPr>
        <w:t>号决议</w:t>
      </w:r>
      <w:r w:rsidRPr="006E3B9B">
        <w:rPr>
          <w:lang w:val="en-US" w:eastAsia="zh-CN"/>
        </w:rPr>
        <w:tab/>
      </w:r>
      <w:r w:rsidRPr="006E3B9B">
        <w:rPr>
          <w:rFonts w:hint="eastAsia"/>
          <w:lang w:eastAsia="zh-CN"/>
        </w:rPr>
        <w:t>定期职位的设立</w:t>
      </w:r>
      <w:r w:rsidRPr="006E3B9B">
        <w:rPr>
          <w:lang w:val="en-US" w:eastAsia="zh-CN"/>
        </w:rPr>
        <w:tab/>
      </w:r>
      <w:r w:rsidR="0093668F">
        <w:rPr>
          <w:lang w:val="en-US" w:eastAsia="zh-CN"/>
        </w:rPr>
        <w:tab/>
      </w:r>
      <w:r w:rsidRPr="006E3B9B">
        <w:rPr>
          <w:lang w:val="en-US" w:eastAsia="zh-CN"/>
        </w:rPr>
        <w:t>1984</w:t>
      </w:r>
      <w:r w:rsidRPr="006E3B9B">
        <w:rPr>
          <w:rFonts w:hint="eastAsia"/>
          <w:lang w:val="en-US" w:eastAsia="zh-CN"/>
        </w:rPr>
        <w:t>年</w:t>
      </w:r>
    </w:p>
    <w:p w14:paraId="4827BFC4"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871</w:t>
      </w:r>
      <w:r w:rsidRPr="006E3B9B">
        <w:rPr>
          <w:lang w:val="en-US" w:eastAsia="zh-CN"/>
        </w:rPr>
        <w:t>号决议</w:t>
      </w:r>
      <w:r w:rsidRPr="006E3B9B">
        <w:rPr>
          <w:lang w:val="en-US" w:eastAsia="zh-CN"/>
        </w:rPr>
        <w:tab/>
      </w:r>
      <w:r w:rsidRPr="006E3B9B">
        <w:rPr>
          <w:rFonts w:hint="eastAsia"/>
          <w:lang w:eastAsia="zh-CN"/>
        </w:rPr>
        <w:t>职位的设立和定级</w:t>
      </w:r>
      <w:r w:rsidRPr="006E3B9B">
        <w:rPr>
          <w:lang w:val="en-US" w:eastAsia="zh-CN"/>
        </w:rPr>
        <w:tab/>
      </w:r>
      <w:r w:rsidR="0093668F">
        <w:rPr>
          <w:lang w:val="en-US" w:eastAsia="zh-CN"/>
        </w:rPr>
        <w:tab/>
      </w:r>
      <w:r w:rsidRPr="006E3B9B">
        <w:rPr>
          <w:lang w:val="en-US" w:eastAsia="zh-CN"/>
        </w:rPr>
        <w:t>1983</w:t>
      </w:r>
      <w:r w:rsidRPr="006E3B9B">
        <w:rPr>
          <w:rFonts w:hint="eastAsia"/>
          <w:lang w:val="en-US" w:eastAsia="zh-CN"/>
        </w:rPr>
        <w:t>年</w:t>
      </w:r>
    </w:p>
    <w:p w14:paraId="4827BFC5"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872</w:t>
      </w:r>
      <w:r w:rsidRPr="006E3B9B">
        <w:rPr>
          <w:lang w:val="en-US" w:eastAsia="zh-CN"/>
        </w:rPr>
        <w:t>号决议</w:t>
      </w:r>
      <w:r w:rsidRPr="006E3B9B">
        <w:rPr>
          <w:lang w:val="en-US" w:eastAsia="zh-CN"/>
        </w:rPr>
        <w:tab/>
      </w:r>
      <w:r w:rsidRPr="006E3B9B">
        <w:rPr>
          <w:lang w:eastAsia="zh-CN"/>
        </w:rPr>
        <w:t>1983</w:t>
      </w:r>
      <w:r w:rsidRPr="006E3B9B">
        <w:rPr>
          <w:rFonts w:hint="eastAsia"/>
          <w:lang w:eastAsia="zh-CN"/>
        </w:rPr>
        <w:t>世界通信年</w:t>
      </w:r>
      <w:r w:rsidRPr="006E3B9B">
        <w:rPr>
          <w:lang w:val="en-US" w:eastAsia="zh-CN"/>
        </w:rPr>
        <w:tab/>
      </w:r>
      <w:r w:rsidR="0093668F">
        <w:rPr>
          <w:lang w:val="en-US" w:eastAsia="zh-CN"/>
        </w:rPr>
        <w:tab/>
      </w:r>
      <w:r w:rsidRPr="006E3B9B">
        <w:rPr>
          <w:lang w:val="en-US" w:eastAsia="zh-CN"/>
        </w:rPr>
        <w:t>1984</w:t>
      </w:r>
      <w:r w:rsidRPr="006E3B9B">
        <w:rPr>
          <w:rFonts w:hint="eastAsia"/>
          <w:lang w:val="en-US" w:eastAsia="zh-CN"/>
        </w:rPr>
        <w:t>年</w:t>
      </w:r>
    </w:p>
    <w:p w14:paraId="4827BFC6"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873</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1983</w:t>
      </w:r>
      <w:r w:rsidRPr="006E3B9B">
        <w:rPr>
          <w:rFonts w:hint="eastAsia"/>
          <w:lang w:eastAsia="zh-CN"/>
        </w:rPr>
        <w:t>年临时预算</w:t>
      </w:r>
      <w:r w:rsidRPr="006E3B9B">
        <w:rPr>
          <w:lang w:val="en-US" w:eastAsia="zh-CN"/>
        </w:rPr>
        <w:tab/>
      </w:r>
      <w:r w:rsidR="0093668F">
        <w:rPr>
          <w:lang w:val="en-US" w:eastAsia="zh-CN"/>
        </w:rPr>
        <w:tab/>
      </w:r>
      <w:r w:rsidRPr="006E3B9B">
        <w:rPr>
          <w:lang w:val="en-US" w:eastAsia="zh-CN"/>
        </w:rPr>
        <w:t>1983</w:t>
      </w:r>
      <w:r w:rsidRPr="006E3B9B">
        <w:rPr>
          <w:rFonts w:hint="eastAsia"/>
          <w:lang w:val="en-US" w:eastAsia="zh-CN"/>
        </w:rPr>
        <w:t>年</w:t>
      </w:r>
    </w:p>
    <w:p w14:paraId="4827BFC7" w14:textId="77777777" w:rsidR="006E3B9B" w:rsidRPr="006E3B9B" w:rsidRDefault="006E3B9B" w:rsidP="003E11A1">
      <w:pPr>
        <w:pStyle w:val="Reftitle"/>
        <w:rPr>
          <w:lang w:val="en-US" w:eastAsia="zh-CN"/>
        </w:rPr>
      </w:pPr>
      <w:r w:rsidRPr="006E3B9B">
        <w:rPr>
          <w:rFonts w:hint="eastAsia"/>
          <w:lang w:eastAsia="zh-CN"/>
        </w:rPr>
        <w:t>第</w:t>
      </w:r>
      <w:r w:rsidRPr="006E3B9B">
        <w:rPr>
          <w:lang w:eastAsia="zh-CN"/>
        </w:rPr>
        <w:t>38</w:t>
      </w:r>
      <w:r w:rsidRPr="006E3B9B">
        <w:rPr>
          <w:rFonts w:hint="eastAsia"/>
          <w:lang w:eastAsia="zh-CN"/>
        </w:rPr>
        <w:t>届会议（</w:t>
      </w:r>
      <w:r w:rsidRPr="006E3B9B">
        <w:rPr>
          <w:lang w:eastAsia="zh-CN"/>
        </w:rPr>
        <w:t>1982</w:t>
      </w:r>
      <w:r w:rsidRPr="006E3B9B">
        <w:rPr>
          <w:rFonts w:hint="eastAsia"/>
          <w:lang w:eastAsia="zh-CN"/>
        </w:rPr>
        <w:t>年</w:t>
      </w:r>
      <w:r w:rsidRPr="006E3B9B">
        <w:rPr>
          <w:lang w:eastAsia="zh-CN"/>
        </w:rPr>
        <w:t>11</w:t>
      </w:r>
      <w:r w:rsidRPr="006E3B9B">
        <w:rPr>
          <w:rFonts w:hint="eastAsia"/>
          <w:lang w:eastAsia="zh-CN"/>
        </w:rPr>
        <w:t>月，内罗毕）</w:t>
      </w:r>
    </w:p>
    <w:p w14:paraId="4827BFC8"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874</w:t>
      </w:r>
      <w:r w:rsidRPr="006E3B9B">
        <w:rPr>
          <w:lang w:val="en-US" w:eastAsia="zh-CN"/>
        </w:rPr>
        <w:t>号决议</w:t>
      </w:r>
      <w:r w:rsidRPr="006E3B9B">
        <w:rPr>
          <w:lang w:val="en-US" w:eastAsia="zh-CN"/>
        </w:rPr>
        <w:tab/>
      </w:r>
      <w:r w:rsidRPr="006E3B9B">
        <w:rPr>
          <w:rFonts w:hint="eastAsia"/>
          <w:lang w:eastAsia="zh-CN"/>
        </w:rPr>
        <w:t>关于规划划分给广播业务的</w:t>
      </w:r>
      <w:r w:rsidRPr="006E3B9B">
        <w:rPr>
          <w:lang w:eastAsia="zh-CN"/>
        </w:rPr>
        <w:t>HF</w:t>
      </w:r>
      <w:r w:rsidRPr="006E3B9B">
        <w:rPr>
          <w:rFonts w:hint="eastAsia"/>
          <w:lang w:eastAsia="zh-CN"/>
        </w:rPr>
        <w:t>频段的世界无线电行政大会</w:t>
      </w:r>
      <w:r w:rsidRPr="006E3B9B">
        <w:rPr>
          <w:lang w:val="en-US" w:eastAsia="zh-CN"/>
        </w:rPr>
        <w:tab/>
      </w:r>
      <w:r w:rsidR="0093668F">
        <w:rPr>
          <w:lang w:val="en-US" w:eastAsia="zh-CN"/>
        </w:rPr>
        <w:tab/>
      </w:r>
      <w:r w:rsidRPr="006E3B9B">
        <w:rPr>
          <w:lang w:val="en-US" w:eastAsia="zh-CN"/>
        </w:rPr>
        <w:t>1985</w:t>
      </w:r>
      <w:r w:rsidRPr="006E3B9B">
        <w:rPr>
          <w:rFonts w:hint="eastAsia"/>
          <w:lang w:val="en-US" w:eastAsia="zh-CN"/>
        </w:rPr>
        <w:t>年</w:t>
      </w:r>
    </w:p>
    <w:p w14:paraId="4827BFC9" w14:textId="77777777" w:rsidR="006E3B9B" w:rsidRPr="006E3B9B" w:rsidRDefault="006E3B9B" w:rsidP="003E11A1">
      <w:pPr>
        <w:pStyle w:val="Reftitle"/>
        <w:rPr>
          <w:lang w:val="en-US" w:eastAsia="zh-CN"/>
        </w:rPr>
      </w:pPr>
      <w:r w:rsidRPr="006E3B9B">
        <w:rPr>
          <w:rFonts w:hint="eastAsia"/>
          <w:lang w:eastAsia="zh-CN"/>
        </w:rPr>
        <w:t>第</w:t>
      </w:r>
      <w:r w:rsidRPr="006E3B9B">
        <w:rPr>
          <w:lang w:eastAsia="zh-CN"/>
        </w:rPr>
        <w:t>38</w:t>
      </w:r>
      <w:r w:rsidRPr="006E3B9B">
        <w:rPr>
          <w:rFonts w:hint="eastAsia"/>
          <w:lang w:eastAsia="zh-CN"/>
        </w:rPr>
        <w:t>届会议（</w:t>
      </w:r>
      <w:r w:rsidRPr="006E3B9B">
        <w:rPr>
          <w:lang w:eastAsia="zh-CN"/>
        </w:rPr>
        <w:t>1983</w:t>
      </w:r>
      <w:r w:rsidRPr="006E3B9B">
        <w:rPr>
          <w:rFonts w:hint="eastAsia"/>
          <w:lang w:eastAsia="zh-CN"/>
        </w:rPr>
        <w:t>年</w:t>
      </w:r>
      <w:r w:rsidRPr="006E3B9B">
        <w:rPr>
          <w:lang w:eastAsia="zh-CN"/>
        </w:rPr>
        <w:t>5</w:t>
      </w:r>
      <w:r w:rsidRPr="006E3B9B">
        <w:rPr>
          <w:rFonts w:hint="eastAsia"/>
          <w:lang w:eastAsia="zh-CN"/>
        </w:rPr>
        <w:t>月，日内瓦）</w:t>
      </w:r>
    </w:p>
    <w:p w14:paraId="4827BFCA"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875</w:t>
      </w:r>
      <w:r w:rsidRPr="006E3B9B">
        <w:rPr>
          <w:lang w:val="en-US" w:eastAsia="zh-CN"/>
        </w:rPr>
        <w:t>号决议</w:t>
      </w:r>
      <w:r w:rsidRPr="006E3B9B">
        <w:rPr>
          <w:lang w:val="en-US" w:eastAsia="zh-CN"/>
        </w:rPr>
        <w:tab/>
      </w:r>
      <w:r w:rsidRPr="006E3B9B">
        <w:rPr>
          <w:rFonts w:hint="eastAsia"/>
          <w:lang w:eastAsia="zh-CN"/>
        </w:rPr>
        <w:t>职位的撤销</w:t>
      </w:r>
      <w:r w:rsidRPr="006E3B9B">
        <w:rPr>
          <w:lang w:val="en-US" w:eastAsia="zh-CN"/>
        </w:rPr>
        <w:tab/>
      </w:r>
      <w:r w:rsidR="0093668F">
        <w:rPr>
          <w:lang w:val="en-US" w:eastAsia="zh-CN"/>
        </w:rPr>
        <w:tab/>
      </w:r>
      <w:r w:rsidRPr="006E3B9B">
        <w:rPr>
          <w:lang w:val="en-US" w:eastAsia="zh-CN"/>
        </w:rPr>
        <w:t>1984</w:t>
      </w:r>
      <w:r w:rsidRPr="006E3B9B">
        <w:rPr>
          <w:rFonts w:hint="eastAsia"/>
          <w:lang w:val="en-US" w:eastAsia="zh-CN"/>
        </w:rPr>
        <w:t>年</w:t>
      </w:r>
    </w:p>
    <w:p w14:paraId="4827BFCB"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876</w:t>
      </w:r>
      <w:r w:rsidRPr="006E3B9B">
        <w:rPr>
          <w:lang w:val="en-US" w:eastAsia="zh-CN"/>
        </w:rPr>
        <w:t>号决议</w:t>
      </w:r>
      <w:r w:rsidRPr="006E3B9B">
        <w:rPr>
          <w:lang w:val="en-US" w:eastAsia="zh-CN"/>
        </w:rPr>
        <w:tab/>
      </w:r>
      <w:r w:rsidRPr="006E3B9B">
        <w:rPr>
          <w:rFonts w:hint="eastAsia"/>
          <w:lang w:eastAsia="zh-CN"/>
        </w:rPr>
        <w:t>利息专账</w:t>
      </w:r>
      <w:r w:rsidRPr="006E3B9B">
        <w:rPr>
          <w:lang w:val="en-US" w:eastAsia="zh-CN"/>
        </w:rPr>
        <w:tab/>
      </w:r>
      <w:r w:rsidR="0093668F">
        <w:rPr>
          <w:lang w:val="en-US" w:eastAsia="zh-CN"/>
        </w:rPr>
        <w:tab/>
      </w:r>
      <w:r w:rsidRPr="006E3B9B">
        <w:rPr>
          <w:lang w:val="en-US" w:eastAsia="zh-CN"/>
        </w:rPr>
        <w:t>1984</w:t>
      </w:r>
      <w:r w:rsidRPr="006E3B9B">
        <w:rPr>
          <w:rFonts w:hint="eastAsia"/>
          <w:lang w:val="en-US" w:eastAsia="zh-CN"/>
        </w:rPr>
        <w:t>年</w:t>
      </w:r>
    </w:p>
    <w:p w14:paraId="4827BFCC"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877</w:t>
      </w:r>
      <w:r w:rsidRPr="006E3B9B">
        <w:rPr>
          <w:lang w:val="en-US" w:eastAsia="zh-CN"/>
        </w:rPr>
        <w:t>号决议</w:t>
      </w:r>
      <w:r w:rsidRPr="006E3B9B">
        <w:rPr>
          <w:lang w:val="en-US" w:eastAsia="zh-CN"/>
        </w:rPr>
        <w:tab/>
      </w:r>
      <w:r w:rsidRPr="006E3B9B">
        <w:rPr>
          <w:rFonts w:hint="eastAsia"/>
          <w:lang w:eastAsia="zh-CN"/>
        </w:rPr>
        <w:t>租用国际电联大楼内会议厅和办公室的条件</w:t>
      </w:r>
      <w:r w:rsidRPr="006E3B9B">
        <w:rPr>
          <w:lang w:val="en-US" w:eastAsia="zh-CN"/>
        </w:rPr>
        <w:tab/>
      </w:r>
      <w:r w:rsidR="0093668F">
        <w:rPr>
          <w:lang w:val="en-US" w:eastAsia="zh-CN"/>
        </w:rPr>
        <w:tab/>
      </w:r>
      <w:r w:rsidRPr="006E3B9B">
        <w:rPr>
          <w:lang w:val="en-US" w:eastAsia="zh-CN"/>
        </w:rPr>
        <w:t>1991</w:t>
      </w:r>
      <w:r w:rsidRPr="006E3B9B">
        <w:rPr>
          <w:rFonts w:hint="eastAsia"/>
          <w:lang w:val="en-US" w:eastAsia="zh-CN"/>
        </w:rPr>
        <w:t>年</w:t>
      </w:r>
    </w:p>
    <w:p w14:paraId="4827BFCD"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878</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1982</w:t>
      </w:r>
      <w:r w:rsidRPr="006E3B9B">
        <w:rPr>
          <w:rFonts w:hint="eastAsia"/>
          <w:lang w:eastAsia="zh-CN"/>
        </w:rPr>
        <w:t>年财务工作报告</w:t>
      </w:r>
      <w:r w:rsidRPr="006E3B9B">
        <w:rPr>
          <w:lang w:val="en-US" w:eastAsia="zh-CN"/>
        </w:rPr>
        <w:tab/>
      </w:r>
      <w:r w:rsidR="0093668F">
        <w:rPr>
          <w:lang w:val="en-US" w:eastAsia="zh-CN"/>
        </w:rPr>
        <w:tab/>
      </w:r>
      <w:r w:rsidRPr="006E3B9B">
        <w:rPr>
          <w:lang w:val="en-US" w:eastAsia="zh-CN"/>
        </w:rPr>
        <w:t>1984</w:t>
      </w:r>
      <w:r w:rsidRPr="006E3B9B">
        <w:rPr>
          <w:rFonts w:hint="eastAsia"/>
          <w:lang w:val="en-US" w:eastAsia="zh-CN"/>
        </w:rPr>
        <w:t>年</w:t>
      </w:r>
    </w:p>
    <w:p w14:paraId="4827BFCE"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879</w:t>
      </w:r>
      <w:r w:rsidRPr="006E3B9B">
        <w:rPr>
          <w:lang w:val="en-US" w:eastAsia="zh-CN"/>
        </w:rPr>
        <w:t>号决议</w:t>
      </w:r>
      <w:r w:rsidRPr="006E3B9B">
        <w:rPr>
          <w:lang w:val="en-US" w:eastAsia="zh-CN"/>
        </w:rPr>
        <w:tab/>
      </w:r>
      <w:r w:rsidRPr="006E3B9B">
        <w:rPr>
          <w:rFonts w:hint="eastAsia"/>
          <w:lang w:val="en-US" w:eastAsia="zh-CN"/>
        </w:rPr>
        <w:t>对</w:t>
      </w:r>
      <w:r w:rsidRPr="006E3B9B">
        <w:rPr>
          <w:rFonts w:hint="eastAsia"/>
          <w:lang w:eastAsia="zh-CN"/>
        </w:rPr>
        <w:t>《人事规则》</w:t>
      </w:r>
      <w:r w:rsidRPr="006E3B9B">
        <w:rPr>
          <w:rFonts w:hint="eastAsia"/>
          <w:lang w:eastAsia="zh-CN"/>
        </w:rPr>
        <w:t>V</w:t>
      </w:r>
      <w:r w:rsidRPr="006E3B9B">
        <w:rPr>
          <w:lang w:eastAsia="zh-CN"/>
        </w:rPr>
        <w:t>III.3</w:t>
      </w:r>
      <w:r w:rsidRPr="006E3B9B">
        <w:rPr>
          <w:rFonts w:hint="eastAsia"/>
          <w:lang w:eastAsia="zh-CN"/>
        </w:rPr>
        <w:t>款（选任官员）和《人事规则》</w:t>
      </w:r>
      <w:r w:rsidRPr="006E3B9B">
        <w:rPr>
          <w:lang w:eastAsia="zh-CN"/>
        </w:rPr>
        <w:t>4.7</w:t>
      </w:r>
      <w:r w:rsidRPr="006E3B9B">
        <w:rPr>
          <w:rFonts w:hint="eastAsia"/>
          <w:lang w:eastAsia="zh-CN"/>
        </w:rPr>
        <w:t>和</w:t>
      </w:r>
      <w:r w:rsidRPr="006E3B9B">
        <w:rPr>
          <w:lang w:eastAsia="zh-CN"/>
        </w:rPr>
        <w:t>9.4</w:t>
      </w:r>
      <w:r w:rsidRPr="006E3B9B">
        <w:rPr>
          <w:rFonts w:hint="eastAsia"/>
          <w:lang w:eastAsia="zh-CN"/>
        </w:rPr>
        <w:t>款（委任职员）</w:t>
      </w:r>
      <w:r w:rsidR="004A6625">
        <w:rPr>
          <w:lang w:val="en-US" w:eastAsia="zh-CN"/>
        </w:rPr>
        <w:br/>
      </w:r>
      <w:r w:rsidRPr="006E3B9B">
        <w:rPr>
          <w:rFonts w:hint="eastAsia"/>
          <w:lang w:eastAsia="zh-CN"/>
        </w:rPr>
        <w:t>的修正案</w:t>
      </w:r>
      <w:r w:rsidRPr="006E3B9B">
        <w:rPr>
          <w:lang w:val="en-US" w:eastAsia="zh-CN"/>
        </w:rPr>
        <w:tab/>
      </w:r>
      <w:r w:rsidR="00587F0E">
        <w:rPr>
          <w:lang w:val="en-US" w:eastAsia="zh-CN"/>
        </w:rPr>
        <w:tab/>
      </w:r>
      <w:r w:rsidRPr="006E3B9B">
        <w:rPr>
          <w:lang w:val="en-US" w:eastAsia="zh-CN"/>
        </w:rPr>
        <w:t>1984</w:t>
      </w:r>
      <w:r w:rsidRPr="006E3B9B">
        <w:rPr>
          <w:rFonts w:hint="eastAsia"/>
          <w:lang w:val="en-US" w:eastAsia="zh-CN"/>
        </w:rPr>
        <w:t>年</w:t>
      </w:r>
    </w:p>
    <w:p w14:paraId="4827BFCF"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880</w:t>
      </w:r>
      <w:r w:rsidRPr="006E3B9B">
        <w:rPr>
          <w:lang w:val="en-US" w:eastAsia="zh-CN"/>
        </w:rPr>
        <w:t>号决议</w:t>
      </w:r>
      <w:r w:rsidRPr="006E3B9B">
        <w:rPr>
          <w:lang w:val="en-US" w:eastAsia="zh-CN"/>
        </w:rPr>
        <w:tab/>
      </w:r>
      <w:r w:rsidRPr="006E3B9B">
        <w:rPr>
          <w:rFonts w:hint="eastAsia"/>
          <w:lang w:eastAsia="zh-CN"/>
        </w:rPr>
        <w:t>房租补贴</w:t>
      </w:r>
      <w:r w:rsidRPr="006E3B9B">
        <w:rPr>
          <w:lang w:val="en-US" w:eastAsia="zh-CN"/>
        </w:rPr>
        <w:tab/>
      </w:r>
      <w:r w:rsidR="0093668F">
        <w:rPr>
          <w:lang w:val="en-US" w:eastAsia="zh-CN"/>
        </w:rPr>
        <w:tab/>
      </w:r>
      <w:r w:rsidRPr="006E3B9B">
        <w:rPr>
          <w:lang w:val="en-US" w:eastAsia="zh-CN"/>
        </w:rPr>
        <w:t>1984</w:t>
      </w:r>
      <w:r w:rsidRPr="006E3B9B">
        <w:rPr>
          <w:rFonts w:hint="eastAsia"/>
          <w:lang w:val="en-US" w:eastAsia="zh-CN"/>
        </w:rPr>
        <w:t>年</w:t>
      </w:r>
    </w:p>
    <w:p w14:paraId="4827BFD0"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881</w:t>
      </w:r>
      <w:r w:rsidRPr="006E3B9B">
        <w:rPr>
          <w:lang w:val="en-US" w:eastAsia="zh-CN"/>
        </w:rPr>
        <w:t>号决议</w:t>
      </w:r>
      <w:r w:rsidRPr="006E3B9B">
        <w:rPr>
          <w:lang w:val="en-US" w:eastAsia="zh-CN"/>
        </w:rPr>
        <w:tab/>
      </w:r>
      <w:r w:rsidRPr="006E3B9B">
        <w:rPr>
          <w:rFonts w:hint="eastAsia"/>
          <w:lang w:eastAsia="zh-CN"/>
        </w:rPr>
        <w:t>《人事规则》</w:t>
      </w:r>
      <w:r w:rsidRPr="006E3B9B">
        <w:rPr>
          <w:lang w:eastAsia="zh-CN"/>
        </w:rPr>
        <w:t>XI.2</w:t>
      </w:r>
      <w:r w:rsidRPr="006E3B9B">
        <w:rPr>
          <w:rFonts w:hint="eastAsia"/>
          <w:lang w:eastAsia="zh-CN"/>
        </w:rPr>
        <w:t>款（选任官员）和《人事规则》</w:t>
      </w:r>
      <w:r w:rsidRPr="006E3B9B">
        <w:rPr>
          <w:lang w:eastAsia="zh-CN"/>
        </w:rPr>
        <w:t>12.2</w:t>
      </w:r>
      <w:r w:rsidRPr="006E3B9B">
        <w:rPr>
          <w:rFonts w:hint="eastAsia"/>
          <w:lang w:eastAsia="zh-CN"/>
        </w:rPr>
        <w:t>款（委任职员）的修正案</w:t>
      </w:r>
      <w:r w:rsidR="00587F0E">
        <w:rPr>
          <w:lang w:val="en-US" w:eastAsia="zh-CN"/>
        </w:rPr>
        <w:tab/>
      </w:r>
      <w:r w:rsidRPr="006E3B9B">
        <w:rPr>
          <w:lang w:val="en-US" w:eastAsia="zh-CN"/>
        </w:rPr>
        <w:tab/>
        <w:t>1984</w:t>
      </w:r>
      <w:r w:rsidRPr="006E3B9B">
        <w:rPr>
          <w:rFonts w:hint="eastAsia"/>
          <w:lang w:val="en-US" w:eastAsia="zh-CN"/>
        </w:rPr>
        <w:t>年</w:t>
      </w:r>
    </w:p>
    <w:p w14:paraId="4827BFD1"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882</w:t>
      </w:r>
      <w:r w:rsidRPr="006E3B9B">
        <w:rPr>
          <w:lang w:val="en-US" w:eastAsia="zh-CN"/>
        </w:rPr>
        <w:t>号决议</w:t>
      </w:r>
      <w:r w:rsidRPr="006E3B9B">
        <w:rPr>
          <w:lang w:val="en-US" w:eastAsia="zh-CN"/>
        </w:rPr>
        <w:tab/>
      </w:r>
      <w:r w:rsidRPr="006E3B9B">
        <w:rPr>
          <w:rFonts w:hint="eastAsia"/>
          <w:lang w:eastAsia="zh-CN"/>
        </w:rPr>
        <w:t>国际电联《财务规则》的修订</w:t>
      </w:r>
      <w:r w:rsidRPr="006E3B9B">
        <w:rPr>
          <w:lang w:val="en-US" w:eastAsia="zh-CN"/>
        </w:rPr>
        <w:tab/>
      </w:r>
      <w:r w:rsidR="0093668F">
        <w:rPr>
          <w:lang w:val="en-US" w:eastAsia="zh-CN"/>
        </w:rPr>
        <w:tab/>
      </w:r>
      <w:r w:rsidRPr="006E3B9B">
        <w:rPr>
          <w:lang w:val="en-US" w:eastAsia="zh-CN"/>
        </w:rPr>
        <w:t>1984</w:t>
      </w:r>
      <w:r w:rsidRPr="006E3B9B">
        <w:rPr>
          <w:rFonts w:hint="eastAsia"/>
          <w:lang w:val="en-US" w:eastAsia="zh-CN"/>
        </w:rPr>
        <w:t>年</w:t>
      </w:r>
    </w:p>
    <w:p w14:paraId="4827BFD2"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883</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1982</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1</w:t>
      </w:r>
      <w:r w:rsidRPr="006E3B9B">
        <w:rPr>
          <w:rFonts w:hint="eastAsia"/>
          <w:lang w:eastAsia="zh-CN"/>
        </w:rPr>
        <w:t>日至</w:t>
      </w:r>
      <w:r w:rsidRPr="006E3B9B">
        <w:rPr>
          <w:lang w:eastAsia="zh-CN"/>
        </w:rPr>
        <w:t>12</w:t>
      </w:r>
      <w:r w:rsidRPr="006E3B9B">
        <w:rPr>
          <w:rFonts w:hint="eastAsia"/>
          <w:lang w:eastAsia="zh-CN"/>
        </w:rPr>
        <w:t>月</w:t>
      </w:r>
      <w:r w:rsidRPr="006E3B9B">
        <w:rPr>
          <w:lang w:eastAsia="zh-CN"/>
        </w:rPr>
        <w:t>31</w:t>
      </w:r>
      <w:r w:rsidRPr="006E3B9B">
        <w:rPr>
          <w:rFonts w:hint="eastAsia"/>
          <w:lang w:eastAsia="zh-CN"/>
        </w:rPr>
        <w:t>日账目的外部审计</w:t>
      </w:r>
      <w:r w:rsidRPr="006E3B9B">
        <w:rPr>
          <w:lang w:val="en-US" w:eastAsia="zh-CN"/>
        </w:rPr>
        <w:tab/>
      </w:r>
      <w:r w:rsidR="0093668F">
        <w:rPr>
          <w:lang w:val="en-US" w:eastAsia="zh-CN"/>
        </w:rPr>
        <w:tab/>
      </w:r>
      <w:r w:rsidRPr="006E3B9B">
        <w:rPr>
          <w:lang w:val="en-US" w:eastAsia="zh-CN"/>
        </w:rPr>
        <w:t>1984</w:t>
      </w:r>
      <w:r w:rsidRPr="006E3B9B">
        <w:rPr>
          <w:rFonts w:hint="eastAsia"/>
          <w:lang w:val="en-US" w:eastAsia="zh-CN"/>
        </w:rPr>
        <w:t>年</w:t>
      </w:r>
    </w:p>
    <w:p w14:paraId="4827BFD3" w14:textId="77777777" w:rsidR="00BF1CF1" w:rsidRDefault="00BF1CF1">
      <w:pPr>
        <w:tabs>
          <w:tab w:val="clear" w:pos="794"/>
          <w:tab w:val="clear" w:pos="1191"/>
          <w:tab w:val="clear" w:pos="1588"/>
          <w:tab w:val="clear" w:pos="1985"/>
        </w:tabs>
        <w:overflowPunct/>
        <w:autoSpaceDE/>
        <w:autoSpaceDN/>
        <w:adjustRightInd/>
        <w:spacing w:before="0"/>
        <w:jc w:val="left"/>
        <w:textAlignment w:val="auto"/>
        <w:rPr>
          <w:sz w:val="20"/>
          <w:lang w:val="en-US" w:eastAsia="zh-CN"/>
        </w:rPr>
      </w:pPr>
      <w:r>
        <w:rPr>
          <w:lang w:val="en-US" w:eastAsia="zh-CN"/>
        </w:rPr>
        <w:br w:type="page"/>
      </w:r>
    </w:p>
    <w:p w14:paraId="4827BFD4" w14:textId="77777777" w:rsidR="006E3B9B" w:rsidRPr="006E3B9B" w:rsidRDefault="006E3B9B" w:rsidP="0093668F">
      <w:pPr>
        <w:pStyle w:val="Appendixref"/>
        <w:rPr>
          <w:lang w:val="en-US" w:eastAsia="zh-CN"/>
        </w:rPr>
      </w:pPr>
      <w:r w:rsidRPr="006E3B9B">
        <w:rPr>
          <w:lang w:val="en-US" w:eastAsia="zh-CN"/>
        </w:rPr>
        <w:lastRenderedPageBreak/>
        <w:t>第</w:t>
      </w:r>
      <w:r w:rsidRPr="006E3B9B">
        <w:rPr>
          <w:lang w:val="en-US" w:eastAsia="zh-CN"/>
        </w:rPr>
        <w:t>884</w:t>
      </w:r>
      <w:r w:rsidRPr="006E3B9B">
        <w:rPr>
          <w:lang w:val="en-US" w:eastAsia="zh-CN"/>
        </w:rPr>
        <w:t>号决议</w:t>
      </w:r>
      <w:r w:rsidRPr="006E3B9B">
        <w:rPr>
          <w:lang w:val="en-US" w:eastAsia="zh-CN"/>
        </w:rPr>
        <w:tab/>
      </w:r>
      <w:r w:rsidRPr="006E3B9B">
        <w:rPr>
          <w:rFonts w:hint="eastAsia"/>
          <w:lang w:eastAsia="zh-CN"/>
        </w:rPr>
        <w:t>危地马拉</w:t>
      </w:r>
      <w:r w:rsidRPr="006E3B9B">
        <w:rPr>
          <w:lang w:eastAsia="zh-CN"/>
        </w:rPr>
        <w:t>1976</w:t>
      </w:r>
      <w:r w:rsidRPr="006E3B9B">
        <w:rPr>
          <w:rFonts w:hint="eastAsia"/>
          <w:lang w:eastAsia="zh-CN"/>
        </w:rPr>
        <w:t>年会费</w:t>
      </w:r>
      <w:r w:rsidRPr="006E3B9B">
        <w:rPr>
          <w:lang w:val="en-US" w:eastAsia="zh-CN"/>
        </w:rPr>
        <w:tab/>
      </w:r>
      <w:r w:rsidR="0093668F">
        <w:rPr>
          <w:lang w:val="en-US" w:eastAsia="zh-CN"/>
        </w:rPr>
        <w:tab/>
      </w:r>
      <w:r w:rsidRPr="006E3B9B">
        <w:rPr>
          <w:lang w:val="en-US" w:eastAsia="zh-CN"/>
        </w:rPr>
        <w:t>1984</w:t>
      </w:r>
      <w:r w:rsidRPr="006E3B9B">
        <w:rPr>
          <w:rFonts w:hint="eastAsia"/>
          <w:lang w:val="en-US" w:eastAsia="zh-CN"/>
        </w:rPr>
        <w:t>年</w:t>
      </w:r>
    </w:p>
    <w:p w14:paraId="4827BFD5"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885</w:t>
      </w:r>
      <w:r w:rsidRPr="006E3B9B">
        <w:rPr>
          <w:lang w:val="en-US" w:eastAsia="zh-CN"/>
        </w:rPr>
        <w:t>号决议</w:t>
      </w:r>
      <w:r w:rsidRPr="006E3B9B">
        <w:rPr>
          <w:lang w:val="en-US" w:eastAsia="zh-CN"/>
        </w:rPr>
        <w:tab/>
      </w:r>
      <w:r w:rsidRPr="006E3B9B">
        <w:rPr>
          <w:rFonts w:hint="eastAsia"/>
          <w:lang w:eastAsia="zh-CN"/>
        </w:rPr>
        <w:t>国际电联职员养恤金委员会的委员</w:t>
      </w:r>
      <w:r w:rsidRPr="006E3B9B">
        <w:rPr>
          <w:lang w:val="en-US" w:eastAsia="zh-CN"/>
        </w:rPr>
        <w:tab/>
      </w:r>
      <w:r w:rsidR="0093668F">
        <w:rPr>
          <w:lang w:val="en-US" w:eastAsia="zh-CN"/>
        </w:rPr>
        <w:tab/>
      </w:r>
      <w:r w:rsidRPr="006E3B9B">
        <w:rPr>
          <w:lang w:val="en-US" w:eastAsia="zh-CN"/>
        </w:rPr>
        <w:t>1984</w:t>
      </w:r>
      <w:r w:rsidRPr="006E3B9B">
        <w:rPr>
          <w:rFonts w:hint="eastAsia"/>
          <w:lang w:val="en-US" w:eastAsia="zh-CN"/>
        </w:rPr>
        <w:t>年</w:t>
      </w:r>
    </w:p>
    <w:p w14:paraId="4827BFD6"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886</w:t>
      </w:r>
      <w:r w:rsidRPr="006E3B9B">
        <w:rPr>
          <w:lang w:val="en-US" w:eastAsia="zh-CN"/>
        </w:rPr>
        <w:t>号决议</w:t>
      </w:r>
      <w:r w:rsidRPr="006E3B9B">
        <w:rPr>
          <w:lang w:val="en-US" w:eastAsia="zh-CN"/>
        </w:rPr>
        <w:tab/>
      </w:r>
      <w:r w:rsidRPr="006E3B9B">
        <w:rPr>
          <w:rFonts w:hint="eastAsia"/>
          <w:lang w:eastAsia="zh-CN"/>
        </w:rPr>
        <w:t>摊付国际电联支出的会费份额</w:t>
      </w:r>
      <w:r w:rsidRPr="006E3B9B">
        <w:rPr>
          <w:lang w:val="en-US" w:eastAsia="zh-CN"/>
        </w:rPr>
        <w:tab/>
      </w:r>
      <w:r w:rsidR="0093668F">
        <w:rPr>
          <w:lang w:val="en-US" w:eastAsia="zh-CN"/>
        </w:rPr>
        <w:tab/>
      </w:r>
      <w:r w:rsidRPr="006E3B9B">
        <w:rPr>
          <w:lang w:val="en-US" w:eastAsia="zh-CN"/>
        </w:rPr>
        <w:t>1987</w:t>
      </w:r>
      <w:r w:rsidRPr="006E3B9B">
        <w:rPr>
          <w:rFonts w:hint="eastAsia"/>
          <w:lang w:val="en-US" w:eastAsia="zh-CN"/>
        </w:rPr>
        <w:t>年</w:t>
      </w:r>
    </w:p>
    <w:p w14:paraId="4827BFD7"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887</w:t>
      </w:r>
      <w:r w:rsidRPr="006E3B9B">
        <w:rPr>
          <w:lang w:val="en-US" w:eastAsia="zh-CN"/>
        </w:rPr>
        <w:t>号决议</w:t>
      </w:r>
      <w:r w:rsidRPr="006E3B9B">
        <w:rPr>
          <w:lang w:val="en-US" w:eastAsia="zh-CN"/>
        </w:rPr>
        <w:tab/>
      </w:r>
      <w:r w:rsidRPr="006E3B9B">
        <w:rPr>
          <w:rFonts w:hint="eastAsia"/>
          <w:lang w:eastAsia="zh-CN"/>
        </w:rPr>
        <w:t>频登会扩大计算机的使用范围－各主管部门的专家组成的自愿专家组</w:t>
      </w:r>
      <w:r w:rsidR="0093668F">
        <w:rPr>
          <w:lang w:eastAsia="zh-CN"/>
        </w:rPr>
        <w:tab/>
      </w:r>
      <w:r w:rsidRPr="006E3B9B">
        <w:rPr>
          <w:lang w:val="en-US" w:eastAsia="zh-CN"/>
        </w:rPr>
        <w:tab/>
        <w:t>1991</w:t>
      </w:r>
      <w:r w:rsidRPr="006E3B9B">
        <w:rPr>
          <w:rFonts w:hint="eastAsia"/>
          <w:lang w:val="en-US" w:eastAsia="zh-CN"/>
        </w:rPr>
        <w:t>年</w:t>
      </w:r>
    </w:p>
    <w:p w14:paraId="4827BFD8"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888</w:t>
      </w:r>
      <w:r w:rsidRPr="006E3B9B">
        <w:rPr>
          <w:lang w:val="en-US" w:eastAsia="zh-CN"/>
        </w:rPr>
        <w:t>号决议</w:t>
      </w:r>
      <w:r w:rsidRPr="006E3B9B">
        <w:rPr>
          <w:lang w:val="en-US" w:eastAsia="zh-CN"/>
        </w:rPr>
        <w:tab/>
      </w:r>
      <w:r w:rsidRPr="006E3B9B">
        <w:rPr>
          <w:lang w:eastAsia="zh-CN"/>
        </w:rPr>
        <w:t>1983</w:t>
      </w:r>
      <w:r w:rsidRPr="006E3B9B">
        <w:rPr>
          <w:rFonts w:hint="eastAsia"/>
          <w:lang w:eastAsia="zh-CN"/>
        </w:rPr>
        <w:t>年国际电联的最终预算</w:t>
      </w:r>
      <w:r w:rsidRPr="006E3B9B">
        <w:rPr>
          <w:lang w:val="en-US" w:eastAsia="zh-CN"/>
        </w:rPr>
        <w:tab/>
      </w:r>
      <w:r w:rsidR="0093668F">
        <w:rPr>
          <w:lang w:val="en-US" w:eastAsia="zh-CN"/>
        </w:rPr>
        <w:tab/>
      </w:r>
      <w:r w:rsidRPr="006E3B9B">
        <w:rPr>
          <w:lang w:val="en-US" w:eastAsia="zh-CN"/>
        </w:rPr>
        <w:t>1984</w:t>
      </w:r>
      <w:r w:rsidRPr="006E3B9B">
        <w:rPr>
          <w:rFonts w:hint="eastAsia"/>
          <w:lang w:val="en-US" w:eastAsia="zh-CN"/>
        </w:rPr>
        <w:t>年</w:t>
      </w:r>
    </w:p>
    <w:p w14:paraId="4827BFD9"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889</w:t>
      </w:r>
      <w:r w:rsidRPr="006E3B9B">
        <w:rPr>
          <w:lang w:val="en-US" w:eastAsia="zh-CN"/>
        </w:rPr>
        <w:t>号决议</w:t>
      </w:r>
      <w:r w:rsidRPr="006E3B9B">
        <w:rPr>
          <w:lang w:val="en-US" w:eastAsia="zh-CN"/>
        </w:rPr>
        <w:tab/>
      </w:r>
      <w:r w:rsidRPr="006E3B9B">
        <w:rPr>
          <w:rFonts w:hint="eastAsia"/>
          <w:lang w:eastAsia="zh-CN"/>
        </w:rPr>
        <w:t>临时系统管理组职位的延续、计算机部设立一个职位以及</w:t>
      </w:r>
      <w:r w:rsidRPr="006E3B9B">
        <w:rPr>
          <w:lang w:eastAsia="zh-CN"/>
        </w:rPr>
        <w:t>频登会</w:t>
      </w:r>
      <w:r w:rsidRPr="006E3B9B">
        <w:rPr>
          <w:rFonts w:hint="eastAsia"/>
          <w:lang w:eastAsia="zh-CN"/>
        </w:rPr>
        <w:t>各职位的延续</w:t>
      </w:r>
      <w:r w:rsidR="004A6625">
        <w:rPr>
          <w:lang w:val="en-US" w:eastAsia="zh-CN"/>
        </w:rPr>
        <w:br/>
      </w:r>
      <w:r w:rsidRPr="006E3B9B">
        <w:rPr>
          <w:rFonts w:hint="eastAsia"/>
          <w:lang w:eastAsia="zh-CN"/>
        </w:rPr>
        <w:t>和设立</w:t>
      </w:r>
      <w:r w:rsidRPr="006E3B9B">
        <w:rPr>
          <w:lang w:val="en-US" w:eastAsia="zh-CN"/>
        </w:rPr>
        <w:tab/>
      </w:r>
      <w:r w:rsidR="00587F0E">
        <w:rPr>
          <w:lang w:val="en-US" w:eastAsia="zh-CN"/>
        </w:rPr>
        <w:tab/>
      </w:r>
      <w:r w:rsidRPr="006E3B9B">
        <w:rPr>
          <w:lang w:val="en-US" w:eastAsia="zh-CN"/>
        </w:rPr>
        <w:t>1990</w:t>
      </w:r>
      <w:r w:rsidRPr="006E3B9B">
        <w:rPr>
          <w:rFonts w:hint="eastAsia"/>
          <w:lang w:val="en-US" w:eastAsia="zh-CN"/>
        </w:rPr>
        <w:t>年</w:t>
      </w:r>
    </w:p>
    <w:p w14:paraId="4827BFDA"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890</w:t>
      </w:r>
      <w:r w:rsidRPr="006E3B9B">
        <w:rPr>
          <w:lang w:val="en-US" w:eastAsia="zh-CN"/>
        </w:rPr>
        <w:t>号决议</w:t>
      </w:r>
      <w:r w:rsidRPr="006E3B9B">
        <w:rPr>
          <w:lang w:val="en-US" w:eastAsia="zh-CN"/>
        </w:rPr>
        <w:tab/>
      </w:r>
      <w:r w:rsidRPr="006E3B9B">
        <w:rPr>
          <w:rFonts w:hint="eastAsia"/>
          <w:lang w:val="en-US" w:eastAsia="zh-CN"/>
        </w:rPr>
        <w:t>对比</w:t>
      </w:r>
      <w:r w:rsidRPr="006E3B9B">
        <w:rPr>
          <w:rFonts w:hint="eastAsia"/>
          <w:lang w:eastAsia="zh-CN"/>
        </w:rPr>
        <w:t>未列入名册的职位对短期或定期合同招聘职员状况进行规范化</w:t>
      </w:r>
      <w:r w:rsidRPr="006E3B9B">
        <w:rPr>
          <w:lang w:val="en-US" w:eastAsia="zh-CN"/>
        </w:rPr>
        <w:tab/>
      </w:r>
      <w:r w:rsidR="0093668F">
        <w:rPr>
          <w:lang w:val="en-US" w:eastAsia="zh-CN"/>
        </w:rPr>
        <w:tab/>
      </w:r>
      <w:r w:rsidRPr="006E3B9B">
        <w:rPr>
          <w:lang w:val="en-US" w:eastAsia="zh-CN"/>
        </w:rPr>
        <w:t>1984</w:t>
      </w:r>
      <w:r w:rsidRPr="006E3B9B">
        <w:rPr>
          <w:rFonts w:hint="eastAsia"/>
          <w:lang w:val="en-US" w:eastAsia="zh-CN"/>
        </w:rPr>
        <w:t>年</w:t>
      </w:r>
    </w:p>
    <w:p w14:paraId="4827BFDB"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891</w:t>
      </w:r>
      <w:r w:rsidRPr="006E3B9B">
        <w:rPr>
          <w:lang w:val="en-US" w:eastAsia="zh-CN"/>
        </w:rPr>
        <w:t>号决议</w:t>
      </w:r>
      <w:r w:rsidRPr="006E3B9B">
        <w:rPr>
          <w:lang w:val="en-US" w:eastAsia="zh-CN"/>
        </w:rPr>
        <w:tab/>
      </w:r>
      <w:r w:rsidRPr="006E3B9B">
        <w:rPr>
          <w:rFonts w:hint="eastAsia"/>
          <w:lang w:val="en-US" w:eastAsia="zh-CN"/>
        </w:rPr>
        <w:t>《</w:t>
      </w:r>
      <w:r w:rsidRPr="006E3B9B">
        <w:rPr>
          <w:rFonts w:hint="eastAsia"/>
          <w:lang w:eastAsia="zh-CN"/>
        </w:rPr>
        <w:t>行政理事会议事规则》的修订</w:t>
      </w:r>
      <w:r w:rsidRPr="006E3B9B">
        <w:rPr>
          <w:lang w:val="en-US" w:eastAsia="zh-CN"/>
        </w:rPr>
        <w:tab/>
      </w:r>
      <w:r w:rsidR="0093668F">
        <w:rPr>
          <w:lang w:val="en-US" w:eastAsia="zh-CN"/>
        </w:rPr>
        <w:tab/>
      </w:r>
      <w:r w:rsidRPr="006E3B9B">
        <w:rPr>
          <w:lang w:val="en-US" w:eastAsia="zh-CN"/>
        </w:rPr>
        <w:t>1984</w:t>
      </w:r>
      <w:r w:rsidRPr="006E3B9B">
        <w:rPr>
          <w:rFonts w:hint="eastAsia"/>
          <w:lang w:val="en-US" w:eastAsia="zh-CN"/>
        </w:rPr>
        <w:t>年</w:t>
      </w:r>
    </w:p>
    <w:p w14:paraId="4827BFDC"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892</w:t>
      </w:r>
      <w:r w:rsidRPr="006E3B9B">
        <w:rPr>
          <w:lang w:val="en-US" w:eastAsia="zh-CN"/>
        </w:rPr>
        <w:t>号决议</w:t>
      </w:r>
      <w:r w:rsidRPr="006E3B9B">
        <w:rPr>
          <w:lang w:val="en-US" w:eastAsia="zh-CN"/>
        </w:rPr>
        <w:tab/>
      </w:r>
      <w:r w:rsidRPr="006E3B9B">
        <w:rPr>
          <w:rFonts w:hint="eastAsia"/>
          <w:lang w:eastAsia="zh-CN"/>
        </w:rPr>
        <w:t>技术合作－根据全权代表大会（</w:t>
      </w:r>
      <w:r w:rsidRPr="006E3B9B">
        <w:rPr>
          <w:lang w:eastAsia="zh-CN"/>
        </w:rPr>
        <w:t>1982</w:t>
      </w:r>
      <w:r w:rsidRPr="006E3B9B">
        <w:rPr>
          <w:rFonts w:hint="eastAsia"/>
          <w:lang w:eastAsia="zh-CN"/>
        </w:rPr>
        <w:t>年，内罗毕）第</w:t>
      </w:r>
      <w:r w:rsidRPr="006E3B9B">
        <w:rPr>
          <w:lang w:eastAsia="zh-CN"/>
        </w:rPr>
        <w:t>18</w:t>
      </w:r>
      <w:r w:rsidRPr="006E3B9B">
        <w:rPr>
          <w:rFonts w:hint="eastAsia"/>
          <w:lang w:eastAsia="zh-CN"/>
        </w:rPr>
        <w:t>号决议设立和调动的职位清单</w:t>
      </w:r>
      <w:r w:rsidRPr="006E3B9B">
        <w:rPr>
          <w:lang w:val="en-US" w:eastAsia="zh-CN"/>
        </w:rPr>
        <w:tab/>
      </w:r>
      <w:r w:rsidR="00587F0E">
        <w:rPr>
          <w:lang w:val="en-US" w:eastAsia="zh-CN"/>
        </w:rPr>
        <w:tab/>
      </w:r>
      <w:r w:rsidRPr="006E3B9B">
        <w:rPr>
          <w:lang w:val="en-US" w:eastAsia="zh-CN"/>
        </w:rPr>
        <w:t>1990</w:t>
      </w:r>
      <w:r w:rsidRPr="006E3B9B">
        <w:rPr>
          <w:rFonts w:hint="eastAsia"/>
          <w:lang w:val="en-US" w:eastAsia="zh-CN"/>
        </w:rPr>
        <w:t>年</w:t>
      </w:r>
    </w:p>
    <w:p w14:paraId="4827BFDD"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893</w:t>
      </w:r>
      <w:r w:rsidRPr="006E3B9B">
        <w:rPr>
          <w:lang w:val="en-US" w:eastAsia="zh-CN"/>
        </w:rPr>
        <w:t>号决议</w:t>
      </w:r>
      <w:r w:rsidRPr="006E3B9B">
        <w:rPr>
          <w:lang w:val="en-US" w:eastAsia="zh-CN"/>
        </w:rPr>
        <w:tab/>
      </w:r>
      <w:r w:rsidRPr="006E3B9B">
        <w:rPr>
          <w:rFonts w:hint="eastAsia"/>
          <w:lang w:eastAsia="zh-CN"/>
        </w:rPr>
        <w:t>大会和会议的工作方法</w:t>
      </w:r>
      <w:r w:rsidRPr="006E3B9B">
        <w:rPr>
          <w:lang w:val="en-US" w:eastAsia="zh-CN"/>
        </w:rPr>
        <w:tab/>
      </w:r>
      <w:r w:rsidR="0093668F">
        <w:rPr>
          <w:lang w:val="en-US" w:eastAsia="zh-CN"/>
        </w:rPr>
        <w:tab/>
      </w:r>
      <w:r w:rsidRPr="006E3B9B">
        <w:rPr>
          <w:rFonts w:hint="eastAsia"/>
          <w:lang w:val="en-US" w:eastAsia="zh-CN"/>
        </w:rPr>
        <w:t>2006</w:t>
      </w:r>
      <w:r w:rsidRPr="006E3B9B">
        <w:rPr>
          <w:rFonts w:hint="eastAsia"/>
          <w:lang w:val="en-US" w:eastAsia="zh-CN"/>
        </w:rPr>
        <w:t>年</w:t>
      </w:r>
    </w:p>
    <w:p w14:paraId="4827BFDE"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894</w:t>
      </w:r>
      <w:r w:rsidRPr="006E3B9B">
        <w:rPr>
          <w:lang w:val="en-US" w:eastAsia="zh-CN"/>
        </w:rPr>
        <w:t>号决议</w:t>
      </w:r>
      <w:r w:rsidRPr="006E3B9B">
        <w:rPr>
          <w:lang w:val="en-US" w:eastAsia="zh-CN"/>
        </w:rPr>
        <w:tab/>
      </w:r>
      <w:r w:rsidRPr="006E3B9B">
        <w:rPr>
          <w:rFonts w:hint="eastAsia"/>
          <w:lang w:eastAsia="zh-CN"/>
        </w:rPr>
        <w:t>国际电信联盟</w:t>
      </w:r>
      <w:r w:rsidRPr="006E3B9B">
        <w:rPr>
          <w:lang w:eastAsia="zh-CN"/>
        </w:rPr>
        <w:t>1984</w:t>
      </w:r>
      <w:r w:rsidRPr="006E3B9B">
        <w:rPr>
          <w:rFonts w:hint="eastAsia"/>
          <w:lang w:eastAsia="zh-CN"/>
        </w:rPr>
        <w:t>年预算</w:t>
      </w:r>
      <w:r w:rsidRPr="006E3B9B">
        <w:rPr>
          <w:lang w:val="en-US" w:eastAsia="zh-CN"/>
        </w:rPr>
        <w:tab/>
      </w:r>
      <w:r w:rsidR="0093668F">
        <w:rPr>
          <w:lang w:val="en-US" w:eastAsia="zh-CN"/>
        </w:rPr>
        <w:tab/>
      </w:r>
      <w:r w:rsidRPr="006E3B9B">
        <w:rPr>
          <w:lang w:val="en-US" w:eastAsia="zh-CN"/>
        </w:rPr>
        <w:t>1985</w:t>
      </w:r>
      <w:r w:rsidRPr="006E3B9B">
        <w:rPr>
          <w:rFonts w:hint="eastAsia"/>
          <w:lang w:val="en-US" w:eastAsia="zh-CN"/>
        </w:rPr>
        <w:t>年</w:t>
      </w:r>
    </w:p>
    <w:p w14:paraId="4827BFDF"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895</w:t>
      </w:r>
      <w:r w:rsidRPr="006E3B9B">
        <w:rPr>
          <w:lang w:val="en-US" w:eastAsia="zh-CN"/>
        </w:rPr>
        <w:t>号决议</w:t>
      </w:r>
      <w:r w:rsidRPr="006E3B9B">
        <w:rPr>
          <w:lang w:val="en-US" w:eastAsia="zh-CN"/>
        </w:rPr>
        <w:tab/>
      </w:r>
      <w:r w:rsidRPr="006E3B9B">
        <w:rPr>
          <w:rFonts w:hint="eastAsia"/>
          <w:lang w:eastAsia="zh-CN"/>
        </w:rPr>
        <w:t>关于使用静止卫星轨道和规划使用该轨道的空间业务的世界无线电行政大会</w:t>
      </w:r>
      <w:r w:rsidR="0093668F">
        <w:rPr>
          <w:lang w:eastAsia="zh-CN"/>
        </w:rPr>
        <w:tab/>
      </w:r>
      <w:r w:rsidRPr="006E3B9B">
        <w:rPr>
          <w:lang w:val="en-US" w:eastAsia="zh-CN"/>
        </w:rPr>
        <w:tab/>
        <w:t>1986</w:t>
      </w:r>
      <w:r w:rsidRPr="006E3B9B">
        <w:rPr>
          <w:rFonts w:hint="eastAsia"/>
          <w:lang w:val="en-US" w:eastAsia="zh-CN"/>
        </w:rPr>
        <w:t>年</w:t>
      </w:r>
    </w:p>
    <w:p w14:paraId="4827BFE0"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896</w:t>
      </w:r>
      <w:r w:rsidRPr="006E3B9B">
        <w:rPr>
          <w:lang w:val="en-US" w:eastAsia="zh-CN"/>
        </w:rPr>
        <w:t>号决议</w:t>
      </w:r>
      <w:r w:rsidRPr="006E3B9B">
        <w:rPr>
          <w:lang w:val="en-US" w:eastAsia="zh-CN"/>
        </w:rPr>
        <w:tab/>
      </w:r>
      <w:r w:rsidRPr="006E3B9B">
        <w:rPr>
          <w:rFonts w:hint="eastAsia"/>
          <w:lang w:eastAsia="zh-CN"/>
        </w:rPr>
        <w:t>关于</w:t>
      </w:r>
      <w:r w:rsidRPr="006E3B9B">
        <w:rPr>
          <w:lang w:eastAsia="zh-CN"/>
        </w:rPr>
        <w:t>VHF</w:t>
      </w:r>
      <w:r w:rsidRPr="006E3B9B">
        <w:rPr>
          <w:rFonts w:hint="eastAsia"/>
          <w:lang w:eastAsia="zh-CN"/>
        </w:rPr>
        <w:t>频段</w:t>
      </w:r>
      <w:r w:rsidRPr="006E3B9B">
        <w:rPr>
          <w:lang w:eastAsia="zh-CN"/>
        </w:rPr>
        <w:t>FM</w:t>
      </w:r>
      <w:r w:rsidRPr="006E3B9B">
        <w:rPr>
          <w:rFonts w:hint="eastAsia"/>
          <w:lang w:eastAsia="zh-CN"/>
        </w:rPr>
        <w:t>声音广播的区域性行政大会（</w:t>
      </w:r>
      <w:r w:rsidRPr="006E3B9B">
        <w:rPr>
          <w:rFonts w:hint="eastAsia"/>
          <w:lang w:eastAsia="zh-CN"/>
        </w:rPr>
        <w:t>1</w:t>
      </w:r>
      <w:r w:rsidRPr="006E3B9B">
        <w:rPr>
          <w:rFonts w:hint="eastAsia"/>
          <w:lang w:eastAsia="zh-CN"/>
        </w:rPr>
        <w:t>区和</w:t>
      </w:r>
      <w:r w:rsidRPr="006E3B9B">
        <w:rPr>
          <w:rFonts w:hint="eastAsia"/>
          <w:lang w:eastAsia="zh-CN"/>
        </w:rPr>
        <w:t>3</w:t>
      </w:r>
      <w:r w:rsidRPr="006E3B9B">
        <w:rPr>
          <w:rFonts w:hint="eastAsia"/>
          <w:lang w:eastAsia="zh-CN"/>
        </w:rPr>
        <w:t>区的某些国家）</w:t>
      </w:r>
      <w:r w:rsidR="0093668F">
        <w:rPr>
          <w:lang w:eastAsia="zh-CN"/>
        </w:rPr>
        <w:tab/>
      </w:r>
      <w:r w:rsidRPr="006E3B9B">
        <w:rPr>
          <w:lang w:val="en-US" w:eastAsia="zh-CN"/>
        </w:rPr>
        <w:tab/>
        <w:t>1985</w:t>
      </w:r>
      <w:r w:rsidRPr="006E3B9B">
        <w:rPr>
          <w:rFonts w:hint="eastAsia"/>
          <w:lang w:val="en-US" w:eastAsia="zh-CN"/>
        </w:rPr>
        <w:t>年</w:t>
      </w:r>
    </w:p>
    <w:p w14:paraId="4827BFE1"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897</w:t>
      </w:r>
      <w:r w:rsidRPr="006E3B9B">
        <w:rPr>
          <w:lang w:val="en-US" w:eastAsia="zh-CN"/>
        </w:rPr>
        <w:t>号决议</w:t>
      </w:r>
      <w:r w:rsidRPr="006E3B9B">
        <w:rPr>
          <w:lang w:val="en-US" w:eastAsia="zh-CN"/>
        </w:rPr>
        <w:tab/>
      </w:r>
      <w:r w:rsidRPr="006E3B9B">
        <w:rPr>
          <w:rFonts w:hint="eastAsia"/>
          <w:lang w:eastAsia="zh-CN"/>
        </w:rPr>
        <w:t>关于</w:t>
      </w:r>
      <w:r w:rsidRPr="006E3B9B">
        <w:rPr>
          <w:rFonts w:hint="eastAsia"/>
          <w:lang w:eastAsia="zh-CN"/>
        </w:rPr>
        <w:t>1</w:t>
      </w:r>
      <w:r w:rsidRPr="006E3B9B">
        <w:rPr>
          <w:rFonts w:hint="eastAsia"/>
          <w:lang w:eastAsia="zh-CN"/>
        </w:rPr>
        <w:t>区</w:t>
      </w:r>
      <w:r w:rsidRPr="006E3B9B">
        <w:rPr>
          <w:lang w:eastAsia="zh-CN"/>
        </w:rPr>
        <w:t>MF</w:t>
      </w:r>
      <w:r w:rsidRPr="00587F0E">
        <w:rPr>
          <w:rFonts w:hint="eastAsia"/>
          <w:lang w:val="en-US" w:eastAsia="zh-CN"/>
        </w:rPr>
        <w:t>频段某些部分的水上移动业务和航空无线电导航业务的</w:t>
      </w:r>
      <w:r w:rsidRPr="006E3B9B">
        <w:rPr>
          <w:rFonts w:hint="eastAsia"/>
          <w:lang w:eastAsia="zh-CN"/>
        </w:rPr>
        <w:t>区域性无线电行政大会</w:t>
      </w:r>
      <w:r w:rsidRPr="006E3B9B">
        <w:rPr>
          <w:lang w:val="en-US" w:eastAsia="zh-CN"/>
        </w:rPr>
        <w:tab/>
      </w:r>
      <w:r w:rsidR="00587F0E">
        <w:rPr>
          <w:lang w:val="en-US" w:eastAsia="zh-CN"/>
        </w:rPr>
        <w:tab/>
      </w:r>
      <w:r w:rsidRPr="006E3B9B">
        <w:rPr>
          <w:lang w:val="en-US" w:eastAsia="zh-CN"/>
        </w:rPr>
        <w:t>1985</w:t>
      </w:r>
      <w:r w:rsidRPr="006E3B9B">
        <w:rPr>
          <w:rFonts w:hint="eastAsia"/>
          <w:lang w:val="en-US" w:eastAsia="zh-CN"/>
        </w:rPr>
        <w:t>年</w:t>
      </w:r>
    </w:p>
    <w:p w14:paraId="4827BFE2"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898</w:t>
      </w:r>
      <w:r w:rsidRPr="006E3B9B">
        <w:rPr>
          <w:lang w:val="en-US" w:eastAsia="zh-CN"/>
        </w:rPr>
        <w:t>号决议</w:t>
      </w:r>
      <w:r w:rsidRPr="006E3B9B">
        <w:rPr>
          <w:lang w:val="en-US" w:eastAsia="zh-CN"/>
        </w:rPr>
        <w:tab/>
      </w:r>
      <w:r w:rsidRPr="006E3B9B">
        <w:rPr>
          <w:rFonts w:hint="eastAsia"/>
          <w:lang w:eastAsia="zh-CN"/>
        </w:rPr>
        <w:t>关于欧洲海上区域海上无线电信标频率规划的区域性无线电行政大会</w:t>
      </w:r>
      <w:r w:rsidRPr="006E3B9B">
        <w:rPr>
          <w:lang w:val="en-US" w:eastAsia="zh-CN"/>
        </w:rPr>
        <w:tab/>
      </w:r>
      <w:r w:rsidR="0093668F">
        <w:rPr>
          <w:lang w:val="en-US" w:eastAsia="zh-CN"/>
        </w:rPr>
        <w:tab/>
      </w:r>
      <w:r w:rsidRPr="006E3B9B">
        <w:rPr>
          <w:lang w:val="en-US" w:eastAsia="zh-CN"/>
        </w:rPr>
        <w:t>1985</w:t>
      </w:r>
      <w:r w:rsidRPr="006E3B9B">
        <w:rPr>
          <w:rFonts w:hint="eastAsia"/>
          <w:lang w:val="en-US" w:eastAsia="zh-CN"/>
        </w:rPr>
        <w:t>年</w:t>
      </w:r>
    </w:p>
    <w:p w14:paraId="4827BFE3"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899</w:t>
      </w:r>
      <w:r w:rsidRPr="006E3B9B">
        <w:rPr>
          <w:lang w:val="en-US" w:eastAsia="zh-CN"/>
        </w:rPr>
        <w:t>号决议</w:t>
      </w:r>
      <w:r w:rsidRPr="006E3B9B">
        <w:rPr>
          <w:lang w:val="en-US" w:eastAsia="zh-CN"/>
        </w:rPr>
        <w:tab/>
      </w:r>
      <w:r w:rsidRPr="006E3B9B">
        <w:rPr>
          <w:rFonts w:hint="eastAsia"/>
          <w:lang w:eastAsia="zh-CN"/>
        </w:rPr>
        <w:t>对会议文件量和成本的限制</w:t>
      </w:r>
      <w:r w:rsidRPr="006E3B9B">
        <w:rPr>
          <w:lang w:val="en-US" w:eastAsia="zh-CN"/>
        </w:rPr>
        <w:tab/>
      </w:r>
      <w:r w:rsidR="0093668F">
        <w:rPr>
          <w:lang w:val="en-US" w:eastAsia="zh-CN"/>
        </w:rPr>
        <w:tab/>
      </w:r>
      <w:r w:rsidRPr="006E3B9B">
        <w:rPr>
          <w:lang w:val="en-US" w:eastAsia="zh-CN"/>
        </w:rPr>
        <w:t>1993</w:t>
      </w:r>
      <w:r w:rsidRPr="006E3B9B">
        <w:rPr>
          <w:rFonts w:hint="eastAsia"/>
          <w:lang w:val="en-US" w:eastAsia="zh-CN"/>
        </w:rPr>
        <w:t>年</w:t>
      </w:r>
    </w:p>
    <w:p w14:paraId="4827BFE4"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900</w:t>
      </w:r>
      <w:r w:rsidRPr="006E3B9B">
        <w:rPr>
          <w:lang w:val="en-US" w:eastAsia="zh-CN"/>
        </w:rPr>
        <w:t>号决议</w:t>
      </w:r>
      <w:r w:rsidRPr="006E3B9B">
        <w:rPr>
          <w:lang w:val="en-US" w:eastAsia="zh-CN"/>
        </w:rPr>
        <w:tab/>
      </w:r>
      <w:r w:rsidRPr="006E3B9B">
        <w:rPr>
          <w:rFonts w:hint="eastAsia"/>
          <w:lang w:eastAsia="zh-CN"/>
        </w:rPr>
        <w:t>世界电信发展独立国际委员会</w:t>
      </w:r>
      <w:r w:rsidRPr="006E3B9B">
        <w:rPr>
          <w:lang w:val="en-US" w:eastAsia="zh-CN"/>
        </w:rPr>
        <w:tab/>
      </w:r>
      <w:r w:rsidR="0093668F">
        <w:rPr>
          <w:lang w:val="en-US" w:eastAsia="zh-CN"/>
        </w:rPr>
        <w:tab/>
      </w:r>
      <w:r w:rsidRPr="006E3B9B">
        <w:rPr>
          <w:lang w:val="en-US" w:eastAsia="zh-CN"/>
        </w:rPr>
        <w:t>1988</w:t>
      </w:r>
      <w:r w:rsidRPr="006E3B9B">
        <w:rPr>
          <w:rFonts w:hint="eastAsia"/>
          <w:lang w:val="en-US" w:eastAsia="zh-CN"/>
        </w:rPr>
        <w:t>年</w:t>
      </w:r>
    </w:p>
    <w:p w14:paraId="4827BFE5" w14:textId="77777777" w:rsidR="006E3B9B" w:rsidRPr="006E3B9B" w:rsidRDefault="006E3B9B" w:rsidP="003E11A1">
      <w:pPr>
        <w:pStyle w:val="Reftitle"/>
        <w:rPr>
          <w:lang w:val="en-US" w:eastAsia="zh-CN"/>
        </w:rPr>
      </w:pPr>
      <w:r w:rsidRPr="006E3B9B">
        <w:rPr>
          <w:rFonts w:hint="eastAsia"/>
          <w:lang w:eastAsia="zh-CN"/>
        </w:rPr>
        <w:t>第</w:t>
      </w:r>
      <w:r w:rsidRPr="006E3B9B">
        <w:rPr>
          <w:lang w:eastAsia="zh-CN"/>
        </w:rPr>
        <w:t>39</w:t>
      </w:r>
      <w:r w:rsidRPr="006E3B9B">
        <w:rPr>
          <w:rFonts w:hint="eastAsia"/>
          <w:lang w:eastAsia="zh-CN"/>
        </w:rPr>
        <w:t>届会议（</w:t>
      </w:r>
      <w:r w:rsidRPr="006E3B9B">
        <w:rPr>
          <w:lang w:eastAsia="zh-CN"/>
        </w:rPr>
        <w:t>1984</w:t>
      </w:r>
      <w:r w:rsidRPr="006E3B9B">
        <w:rPr>
          <w:rFonts w:hint="eastAsia"/>
          <w:lang w:eastAsia="zh-CN"/>
        </w:rPr>
        <w:t>年</w:t>
      </w:r>
      <w:r w:rsidRPr="006E3B9B">
        <w:rPr>
          <w:lang w:eastAsia="zh-CN"/>
        </w:rPr>
        <w:t>4</w:t>
      </w:r>
      <w:r w:rsidRPr="006E3B9B">
        <w:rPr>
          <w:rFonts w:hint="eastAsia"/>
          <w:lang w:eastAsia="zh-CN"/>
        </w:rPr>
        <w:t>月）</w:t>
      </w:r>
    </w:p>
    <w:p w14:paraId="4827BFE6"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901</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1983</w:t>
      </w:r>
      <w:r w:rsidRPr="006E3B9B">
        <w:rPr>
          <w:rFonts w:hint="eastAsia"/>
          <w:lang w:eastAsia="zh-CN"/>
        </w:rPr>
        <w:t>年财务工作报告</w:t>
      </w:r>
      <w:r w:rsidRPr="006E3B9B">
        <w:rPr>
          <w:lang w:val="en-US" w:eastAsia="zh-CN"/>
        </w:rPr>
        <w:tab/>
      </w:r>
      <w:r w:rsidR="0093668F">
        <w:rPr>
          <w:lang w:val="en-US" w:eastAsia="zh-CN"/>
        </w:rPr>
        <w:tab/>
      </w:r>
      <w:r w:rsidRPr="006E3B9B">
        <w:rPr>
          <w:lang w:val="en-US" w:eastAsia="zh-CN"/>
        </w:rPr>
        <w:t>1985</w:t>
      </w:r>
      <w:r w:rsidRPr="006E3B9B">
        <w:rPr>
          <w:rFonts w:hint="eastAsia"/>
          <w:lang w:val="en-US" w:eastAsia="zh-CN"/>
        </w:rPr>
        <w:t>年</w:t>
      </w:r>
    </w:p>
    <w:p w14:paraId="4827BFE7"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902</w:t>
      </w:r>
      <w:r w:rsidRPr="006E3B9B">
        <w:rPr>
          <w:rFonts w:hint="eastAsia"/>
          <w:lang w:val="en-US" w:eastAsia="zh-CN"/>
        </w:rPr>
        <w:t>号决议</w:t>
      </w:r>
      <w:r w:rsidRPr="006E3B9B">
        <w:rPr>
          <w:rFonts w:hint="eastAsia"/>
          <w:lang w:val="en-US" w:eastAsia="zh-CN"/>
        </w:rPr>
        <w:tab/>
      </w:r>
      <w:r w:rsidRPr="006E3B9B">
        <w:rPr>
          <w:rFonts w:hint="eastAsia"/>
          <w:lang w:eastAsia="zh-CN"/>
        </w:rPr>
        <w:t>国际电联《财务规则》的修订</w:t>
      </w:r>
      <w:r w:rsidR="0093668F">
        <w:rPr>
          <w:lang w:eastAsia="zh-CN"/>
        </w:rPr>
        <w:tab/>
      </w:r>
      <w:r w:rsidRPr="006E3B9B">
        <w:rPr>
          <w:lang w:val="en-US" w:eastAsia="zh-CN"/>
        </w:rPr>
        <w:tab/>
        <w:t>1985</w:t>
      </w:r>
      <w:r w:rsidRPr="006E3B9B">
        <w:rPr>
          <w:rFonts w:hint="eastAsia"/>
          <w:lang w:val="en-US" w:eastAsia="zh-CN"/>
        </w:rPr>
        <w:t>年</w:t>
      </w:r>
    </w:p>
    <w:p w14:paraId="4827BFE8"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903</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1983</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1</w:t>
      </w:r>
      <w:r w:rsidRPr="006E3B9B">
        <w:rPr>
          <w:rFonts w:hint="eastAsia"/>
          <w:lang w:eastAsia="zh-CN"/>
        </w:rPr>
        <w:t>日至</w:t>
      </w:r>
      <w:r w:rsidRPr="006E3B9B">
        <w:rPr>
          <w:lang w:eastAsia="zh-CN"/>
        </w:rPr>
        <w:t>12</w:t>
      </w:r>
      <w:r w:rsidRPr="006E3B9B">
        <w:rPr>
          <w:rFonts w:hint="eastAsia"/>
          <w:lang w:eastAsia="zh-CN"/>
        </w:rPr>
        <w:t>月</w:t>
      </w:r>
      <w:r w:rsidRPr="006E3B9B">
        <w:rPr>
          <w:lang w:eastAsia="zh-CN"/>
        </w:rPr>
        <w:t>31</w:t>
      </w:r>
      <w:r w:rsidRPr="006E3B9B">
        <w:rPr>
          <w:rFonts w:hint="eastAsia"/>
          <w:lang w:eastAsia="zh-CN"/>
        </w:rPr>
        <w:t>日账目的外部审计</w:t>
      </w:r>
      <w:r w:rsidRPr="006E3B9B">
        <w:rPr>
          <w:lang w:val="en-US" w:eastAsia="zh-CN"/>
        </w:rPr>
        <w:tab/>
      </w:r>
      <w:r w:rsidR="0093668F">
        <w:rPr>
          <w:lang w:val="en-US" w:eastAsia="zh-CN"/>
        </w:rPr>
        <w:tab/>
      </w:r>
      <w:r w:rsidRPr="006E3B9B">
        <w:rPr>
          <w:lang w:val="en-US" w:eastAsia="zh-CN"/>
        </w:rPr>
        <w:t>1985</w:t>
      </w:r>
      <w:r w:rsidRPr="006E3B9B">
        <w:rPr>
          <w:rFonts w:hint="eastAsia"/>
          <w:lang w:val="en-US" w:eastAsia="zh-CN"/>
        </w:rPr>
        <w:t>年</w:t>
      </w:r>
    </w:p>
    <w:p w14:paraId="4827BFE9"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904</w:t>
      </w:r>
      <w:r w:rsidRPr="006E3B9B">
        <w:rPr>
          <w:lang w:val="en-US" w:eastAsia="zh-CN"/>
        </w:rPr>
        <w:t>号决议</w:t>
      </w:r>
      <w:r w:rsidRPr="006E3B9B">
        <w:rPr>
          <w:lang w:val="en-US" w:eastAsia="zh-CN"/>
        </w:rPr>
        <w:tab/>
      </w:r>
      <w:r w:rsidRPr="006E3B9B">
        <w:rPr>
          <w:rFonts w:hint="eastAsia"/>
          <w:lang w:eastAsia="zh-CN"/>
        </w:rPr>
        <w:t>适用于委任职员的《人事规则》第</w:t>
      </w:r>
      <w:r w:rsidRPr="006E3B9B">
        <w:rPr>
          <w:lang w:eastAsia="zh-CN"/>
        </w:rPr>
        <w:t>3.11</w:t>
      </w:r>
      <w:r w:rsidRPr="006E3B9B">
        <w:rPr>
          <w:rFonts w:hint="eastAsia"/>
          <w:lang w:eastAsia="zh-CN"/>
        </w:rPr>
        <w:t>款的修正案</w:t>
      </w:r>
      <w:r w:rsidRPr="006E3B9B">
        <w:rPr>
          <w:lang w:val="en-US" w:eastAsia="zh-CN"/>
        </w:rPr>
        <w:tab/>
      </w:r>
      <w:r w:rsidR="0093668F">
        <w:rPr>
          <w:lang w:val="en-US" w:eastAsia="zh-CN"/>
        </w:rPr>
        <w:tab/>
      </w:r>
      <w:r w:rsidRPr="006E3B9B">
        <w:rPr>
          <w:lang w:val="en-US" w:eastAsia="zh-CN"/>
        </w:rPr>
        <w:t>1985</w:t>
      </w:r>
      <w:r w:rsidRPr="006E3B9B">
        <w:rPr>
          <w:rFonts w:hint="eastAsia"/>
          <w:lang w:val="en-US" w:eastAsia="zh-CN"/>
        </w:rPr>
        <w:t>年</w:t>
      </w:r>
    </w:p>
    <w:p w14:paraId="4827BFEA"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905</w:t>
      </w:r>
      <w:r w:rsidRPr="006E3B9B">
        <w:rPr>
          <w:lang w:val="en-US" w:eastAsia="zh-CN"/>
        </w:rPr>
        <w:t>号决议</w:t>
      </w:r>
      <w:r w:rsidRPr="006E3B9B">
        <w:rPr>
          <w:lang w:val="en-US" w:eastAsia="zh-CN"/>
        </w:rPr>
        <w:tab/>
      </w:r>
      <w:r w:rsidRPr="006E3B9B">
        <w:rPr>
          <w:lang w:eastAsia="zh-CN"/>
        </w:rPr>
        <w:t>1984</w:t>
      </w:r>
      <w:r w:rsidRPr="006E3B9B">
        <w:rPr>
          <w:rFonts w:hint="eastAsia"/>
          <w:lang w:eastAsia="zh-CN"/>
        </w:rPr>
        <w:t>年的追加拨款</w:t>
      </w:r>
      <w:r w:rsidRPr="006E3B9B">
        <w:rPr>
          <w:lang w:val="en-US" w:eastAsia="zh-CN"/>
        </w:rPr>
        <w:tab/>
      </w:r>
      <w:r w:rsidR="0093668F">
        <w:rPr>
          <w:lang w:val="en-US" w:eastAsia="zh-CN"/>
        </w:rPr>
        <w:tab/>
      </w:r>
      <w:r w:rsidRPr="006E3B9B">
        <w:rPr>
          <w:lang w:val="en-US" w:eastAsia="zh-CN"/>
        </w:rPr>
        <w:t>1985</w:t>
      </w:r>
      <w:r w:rsidRPr="006E3B9B">
        <w:rPr>
          <w:rFonts w:hint="eastAsia"/>
          <w:lang w:val="en-US" w:eastAsia="zh-CN"/>
        </w:rPr>
        <w:t>年</w:t>
      </w:r>
    </w:p>
    <w:p w14:paraId="4827BFEB"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906</w:t>
      </w:r>
      <w:r w:rsidRPr="006E3B9B">
        <w:rPr>
          <w:lang w:val="en-US" w:eastAsia="zh-CN"/>
        </w:rPr>
        <w:t>号决议</w:t>
      </w:r>
      <w:r w:rsidRPr="006E3B9B">
        <w:rPr>
          <w:lang w:val="en-US" w:eastAsia="zh-CN"/>
        </w:rPr>
        <w:tab/>
      </w:r>
      <w:r w:rsidRPr="006E3B9B">
        <w:rPr>
          <w:rFonts w:hint="eastAsia"/>
          <w:lang w:eastAsia="zh-CN"/>
        </w:rPr>
        <w:t>房租补贴</w:t>
      </w:r>
      <w:r w:rsidRPr="006E3B9B">
        <w:rPr>
          <w:lang w:eastAsia="zh-CN"/>
        </w:rPr>
        <w:t>/</w:t>
      </w:r>
      <w:r w:rsidRPr="006E3B9B">
        <w:rPr>
          <w:rFonts w:hint="eastAsia"/>
          <w:lang w:eastAsia="zh-CN"/>
        </w:rPr>
        <w:t>非当地居民津贴</w:t>
      </w:r>
      <w:r w:rsidRPr="006E3B9B">
        <w:rPr>
          <w:lang w:val="en-US" w:eastAsia="zh-CN"/>
        </w:rPr>
        <w:tab/>
      </w:r>
      <w:r w:rsidR="0093668F">
        <w:rPr>
          <w:lang w:val="en-US" w:eastAsia="zh-CN"/>
        </w:rPr>
        <w:tab/>
      </w:r>
      <w:r w:rsidRPr="006E3B9B">
        <w:rPr>
          <w:lang w:val="en-US" w:eastAsia="zh-CN"/>
        </w:rPr>
        <w:t>1985</w:t>
      </w:r>
      <w:r w:rsidRPr="006E3B9B">
        <w:rPr>
          <w:rFonts w:hint="eastAsia"/>
          <w:lang w:val="en-US" w:eastAsia="zh-CN"/>
        </w:rPr>
        <w:t>年</w:t>
      </w:r>
    </w:p>
    <w:p w14:paraId="4827BFEC"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907</w:t>
      </w:r>
      <w:r w:rsidRPr="006E3B9B">
        <w:rPr>
          <w:lang w:val="en-US" w:eastAsia="zh-CN"/>
        </w:rPr>
        <w:t>号决议</w:t>
      </w:r>
      <w:r w:rsidRPr="006E3B9B">
        <w:rPr>
          <w:lang w:val="en-US" w:eastAsia="zh-CN"/>
        </w:rPr>
        <w:tab/>
      </w:r>
      <w:r w:rsidRPr="006E3B9B">
        <w:rPr>
          <w:rFonts w:hint="eastAsia"/>
          <w:lang w:eastAsia="zh-CN"/>
        </w:rPr>
        <w:t>国际电联职员养恤金委员会的委员</w:t>
      </w:r>
      <w:r w:rsidRPr="006E3B9B">
        <w:rPr>
          <w:lang w:val="en-US" w:eastAsia="zh-CN"/>
        </w:rPr>
        <w:tab/>
      </w:r>
      <w:r w:rsidR="0093668F">
        <w:rPr>
          <w:lang w:val="en-US" w:eastAsia="zh-CN"/>
        </w:rPr>
        <w:tab/>
      </w:r>
      <w:r w:rsidRPr="006E3B9B">
        <w:rPr>
          <w:lang w:val="en-US" w:eastAsia="zh-CN"/>
        </w:rPr>
        <w:t>1985</w:t>
      </w:r>
      <w:r w:rsidRPr="006E3B9B">
        <w:rPr>
          <w:rFonts w:hint="eastAsia"/>
          <w:lang w:val="en-US" w:eastAsia="zh-CN"/>
        </w:rPr>
        <w:t>年</w:t>
      </w:r>
    </w:p>
    <w:p w14:paraId="4827BFED"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908</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1985</w:t>
      </w:r>
      <w:r w:rsidRPr="006E3B9B">
        <w:rPr>
          <w:rFonts w:hint="eastAsia"/>
          <w:lang w:eastAsia="zh-CN"/>
        </w:rPr>
        <w:t>年预算</w:t>
      </w:r>
      <w:r w:rsidRPr="006E3B9B">
        <w:rPr>
          <w:lang w:val="en-US" w:eastAsia="zh-CN"/>
        </w:rPr>
        <w:tab/>
      </w:r>
      <w:r w:rsidR="0093668F">
        <w:rPr>
          <w:lang w:val="en-US" w:eastAsia="zh-CN"/>
        </w:rPr>
        <w:tab/>
      </w:r>
      <w:r w:rsidRPr="006E3B9B">
        <w:rPr>
          <w:lang w:val="en-US" w:eastAsia="zh-CN"/>
        </w:rPr>
        <w:t>1986</w:t>
      </w:r>
      <w:r w:rsidRPr="006E3B9B">
        <w:rPr>
          <w:rFonts w:hint="eastAsia"/>
          <w:lang w:val="en-US" w:eastAsia="zh-CN"/>
        </w:rPr>
        <w:t>年</w:t>
      </w:r>
    </w:p>
    <w:p w14:paraId="4827BFEE"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909</w:t>
      </w:r>
      <w:r w:rsidRPr="006E3B9B">
        <w:rPr>
          <w:lang w:val="en-US" w:eastAsia="zh-CN"/>
        </w:rPr>
        <w:t>号决议</w:t>
      </w:r>
      <w:r w:rsidRPr="006E3B9B">
        <w:rPr>
          <w:lang w:val="en-US" w:eastAsia="zh-CN"/>
        </w:rPr>
        <w:tab/>
      </w:r>
      <w:r w:rsidRPr="006E3B9B">
        <w:rPr>
          <w:rFonts w:hint="eastAsia"/>
          <w:lang w:eastAsia="zh-CN"/>
        </w:rPr>
        <w:t>职位的重新调配</w:t>
      </w:r>
      <w:r w:rsidRPr="006E3B9B">
        <w:rPr>
          <w:lang w:val="en-US" w:eastAsia="zh-CN"/>
        </w:rPr>
        <w:tab/>
      </w:r>
      <w:r w:rsidR="0093668F">
        <w:rPr>
          <w:lang w:val="en-US" w:eastAsia="zh-CN"/>
        </w:rPr>
        <w:tab/>
      </w:r>
      <w:r w:rsidRPr="006E3B9B">
        <w:rPr>
          <w:lang w:val="en-US" w:eastAsia="zh-CN"/>
        </w:rPr>
        <w:t>1986</w:t>
      </w:r>
      <w:r w:rsidRPr="006E3B9B">
        <w:rPr>
          <w:rFonts w:hint="eastAsia"/>
          <w:lang w:val="en-US" w:eastAsia="zh-CN"/>
        </w:rPr>
        <w:t>年</w:t>
      </w:r>
    </w:p>
    <w:p w14:paraId="4827BFEF"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910</w:t>
      </w:r>
      <w:r w:rsidRPr="006E3B9B">
        <w:rPr>
          <w:lang w:val="en-US" w:eastAsia="zh-CN"/>
        </w:rPr>
        <w:t>号决议</w:t>
      </w:r>
      <w:r w:rsidRPr="006E3B9B">
        <w:rPr>
          <w:lang w:val="en-US" w:eastAsia="zh-CN"/>
        </w:rPr>
        <w:tab/>
      </w:r>
      <w:r w:rsidRPr="006E3B9B">
        <w:rPr>
          <w:lang w:eastAsia="zh-CN"/>
        </w:rPr>
        <w:t>1984</w:t>
      </w:r>
      <w:r w:rsidRPr="006E3B9B">
        <w:rPr>
          <w:rFonts w:hint="eastAsia"/>
          <w:lang w:eastAsia="zh-CN"/>
        </w:rPr>
        <w:t>年</w:t>
      </w:r>
      <w:r w:rsidRPr="006E3B9B">
        <w:rPr>
          <w:lang w:eastAsia="zh-CN"/>
        </w:rPr>
        <w:t>1</w:t>
      </w:r>
      <w:r w:rsidRPr="006E3B9B">
        <w:rPr>
          <w:rFonts w:hint="eastAsia"/>
          <w:lang w:eastAsia="zh-CN"/>
        </w:rPr>
        <w:t>月至</w:t>
      </w:r>
      <w:r w:rsidRPr="006E3B9B">
        <w:rPr>
          <w:lang w:eastAsia="zh-CN"/>
        </w:rPr>
        <w:t>2</w:t>
      </w:r>
      <w:r w:rsidRPr="00587F0E">
        <w:rPr>
          <w:rFonts w:hint="eastAsia"/>
          <w:lang w:val="en-US" w:eastAsia="zh-CN"/>
        </w:rPr>
        <w:t>月召开的第一届高频广播世界无线电行政大会的决定所导致的</w:t>
      </w:r>
      <w:r w:rsidRPr="006E3B9B">
        <w:rPr>
          <w:rFonts w:hint="eastAsia"/>
          <w:lang w:eastAsia="zh-CN"/>
        </w:rPr>
        <w:t>会间工作</w:t>
      </w:r>
      <w:r w:rsidRPr="006E3B9B">
        <w:rPr>
          <w:lang w:val="en-US" w:eastAsia="zh-CN"/>
        </w:rPr>
        <w:tab/>
      </w:r>
      <w:r w:rsidR="00587F0E">
        <w:rPr>
          <w:lang w:val="en-US" w:eastAsia="zh-CN"/>
        </w:rPr>
        <w:tab/>
      </w:r>
      <w:r w:rsidRPr="006E3B9B">
        <w:rPr>
          <w:lang w:val="en-US" w:eastAsia="zh-CN"/>
        </w:rPr>
        <w:t>1985</w:t>
      </w:r>
      <w:r w:rsidRPr="006E3B9B">
        <w:rPr>
          <w:rFonts w:hint="eastAsia"/>
          <w:lang w:val="en-US" w:eastAsia="zh-CN"/>
        </w:rPr>
        <w:t>年</w:t>
      </w:r>
    </w:p>
    <w:p w14:paraId="4827BFF0"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911</w:t>
      </w:r>
      <w:r w:rsidRPr="006E3B9B">
        <w:rPr>
          <w:lang w:val="en-US" w:eastAsia="zh-CN"/>
        </w:rPr>
        <w:t>号决议</w:t>
      </w:r>
      <w:r w:rsidRPr="006E3B9B">
        <w:rPr>
          <w:lang w:val="en-US" w:eastAsia="zh-CN"/>
        </w:rPr>
        <w:tab/>
      </w:r>
      <w:r w:rsidRPr="006E3B9B">
        <w:rPr>
          <w:lang w:eastAsia="zh-CN"/>
        </w:rPr>
        <w:t>CCITT</w:t>
      </w:r>
      <w:r w:rsidRPr="006E3B9B">
        <w:rPr>
          <w:rFonts w:hint="eastAsia"/>
          <w:lang w:eastAsia="zh-CN"/>
        </w:rPr>
        <w:t>和万国邮联邮政研究协商理事会的关系</w:t>
      </w:r>
      <w:r w:rsidRPr="006E3B9B">
        <w:rPr>
          <w:lang w:val="en-US" w:eastAsia="zh-CN"/>
        </w:rPr>
        <w:tab/>
      </w:r>
      <w:r w:rsidR="0093668F">
        <w:rPr>
          <w:lang w:val="en-US" w:eastAsia="zh-CN"/>
        </w:rPr>
        <w:tab/>
      </w:r>
      <w:r w:rsidRPr="006E3B9B">
        <w:rPr>
          <w:lang w:val="en-US" w:eastAsia="zh-CN"/>
        </w:rPr>
        <w:t>1985</w:t>
      </w:r>
      <w:r w:rsidRPr="006E3B9B">
        <w:rPr>
          <w:rFonts w:hint="eastAsia"/>
          <w:lang w:val="en-US" w:eastAsia="zh-CN"/>
        </w:rPr>
        <w:t>年</w:t>
      </w:r>
    </w:p>
    <w:p w14:paraId="4827BFF1"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912</w:t>
      </w:r>
      <w:r w:rsidRPr="006E3B9B">
        <w:rPr>
          <w:lang w:val="en-US" w:eastAsia="zh-CN"/>
        </w:rPr>
        <w:t>号决议</w:t>
      </w:r>
      <w:r w:rsidRPr="006E3B9B">
        <w:rPr>
          <w:lang w:val="en-US" w:eastAsia="zh-CN"/>
        </w:rPr>
        <w:tab/>
      </w:r>
      <w:r w:rsidRPr="006E3B9B">
        <w:rPr>
          <w:rFonts w:hint="eastAsia"/>
          <w:lang w:eastAsia="zh-CN"/>
        </w:rPr>
        <w:t>关于规划分配给广播业务的高频频段的世界无线电行政大会第二届会议</w:t>
      </w:r>
      <w:r w:rsidRPr="006E3B9B">
        <w:rPr>
          <w:lang w:eastAsia="zh-CN"/>
        </w:rPr>
        <w:t>–</w:t>
      </w:r>
      <w:r w:rsidR="00077E87">
        <w:rPr>
          <w:lang w:eastAsia="zh-CN"/>
        </w:rPr>
        <w:br/>
      </w:r>
      <w:r w:rsidRPr="006E3B9B">
        <w:rPr>
          <w:lang w:eastAsia="zh-CN"/>
        </w:rPr>
        <w:t>HFBC</w:t>
      </w:r>
      <w:r w:rsidRPr="006E3B9B">
        <w:rPr>
          <w:rFonts w:hint="eastAsia"/>
          <w:lang w:eastAsia="zh-CN"/>
        </w:rPr>
        <w:t>（</w:t>
      </w:r>
      <w:r w:rsidRPr="006E3B9B">
        <w:rPr>
          <w:lang w:eastAsia="zh-CN"/>
        </w:rPr>
        <w:t>2</w:t>
      </w:r>
      <w:r w:rsidRPr="006E3B9B">
        <w:rPr>
          <w:rFonts w:hint="eastAsia"/>
          <w:lang w:eastAsia="zh-CN"/>
        </w:rPr>
        <w:t>）</w:t>
      </w:r>
      <w:r w:rsidRPr="006E3B9B">
        <w:rPr>
          <w:lang w:val="en-US" w:eastAsia="zh-CN"/>
        </w:rPr>
        <w:tab/>
      </w:r>
      <w:r w:rsidR="0093668F">
        <w:rPr>
          <w:lang w:val="en-US" w:eastAsia="zh-CN"/>
        </w:rPr>
        <w:tab/>
      </w:r>
      <w:r w:rsidRPr="006E3B9B">
        <w:rPr>
          <w:lang w:val="en-US" w:eastAsia="zh-CN"/>
        </w:rPr>
        <w:t>1987</w:t>
      </w:r>
      <w:r w:rsidRPr="006E3B9B">
        <w:rPr>
          <w:rFonts w:hint="eastAsia"/>
          <w:lang w:val="en-US" w:eastAsia="zh-CN"/>
        </w:rPr>
        <w:t>年</w:t>
      </w:r>
    </w:p>
    <w:p w14:paraId="4827BFF2"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913</w:t>
      </w:r>
      <w:r w:rsidRPr="006E3B9B">
        <w:rPr>
          <w:lang w:val="en-US" w:eastAsia="zh-CN"/>
        </w:rPr>
        <w:t>号决议</w:t>
      </w:r>
      <w:r w:rsidRPr="006E3B9B">
        <w:rPr>
          <w:lang w:val="en-US" w:eastAsia="zh-CN"/>
        </w:rPr>
        <w:tab/>
      </w:r>
      <w:r w:rsidRPr="006E3B9B">
        <w:rPr>
          <w:rFonts w:hint="eastAsia"/>
          <w:lang w:eastAsia="zh-CN"/>
        </w:rPr>
        <w:t>关于制定</w:t>
      </w:r>
      <w:r w:rsidRPr="006E3B9B">
        <w:rPr>
          <w:rFonts w:hint="eastAsia"/>
          <w:lang w:eastAsia="zh-CN"/>
        </w:rPr>
        <w:t>2</w:t>
      </w:r>
      <w:r w:rsidRPr="006E3B9B">
        <w:rPr>
          <w:rFonts w:hint="eastAsia"/>
          <w:lang w:eastAsia="zh-CN"/>
        </w:rPr>
        <w:t>区</w:t>
      </w:r>
      <w:r w:rsidRPr="006E3B9B">
        <w:rPr>
          <w:lang w:eastAsia="zh-CN"/>
        </w:rPr>
        <w:t>1605-1705kHz</w:t>
      </w:r>
      <w:r w:rsidRPr="00587F0E">
        <w:rPr>
          <w:rFonts w:hint="eastAsia"/>
          <w:lang w:val="en-US" w:eastAsia="zh-CN"/>
        </w:rPr>
        <w:t>频段广播业务规划的区域性无线电行政大会</w:t>
      </w:r>
      <w:r w:rsidR="00B80137">
        <w:rPr>
          <w:lang w:val="en-US" w:eastAsia="zh-CN"/>
        </w:rPr>
        <w:br/>
      </w:r>
      <w:r w:rsidRPr="00587F0E">
        <w:rPr>
          <w:rFonts w:hint="eastAsia"/>
          <w:lang w:val="en-US" w:eastAsia="zh-CN"/>
        </w:rPr>
        <w:t>第一次</w:t>
      </w:r>
      <w:r w:rsidRPr="006E3B9B">
        <w:rPr>
          <w:rFonts w:hint="eastAsia"/>
          <w:lang w:eastAsia="zh-CN"/>
        </w:rPr>
        <w:t>会议</w:t>
      </w:r>
      <w:r w:rsidRPr="006E3B9B">
        <w:rPr>
          <w:lang w:val="en-US" w:eastAsia="zh-CN"/>
        </w:rPr>
        <w:t xml:space="preserve"> </w:t>
      </w:r>
      <w:r w:rsidRPr="006E3B9B">
        <w:rPr>
          <w:lang w:eastAsia="zh-CN"/>
        </w:rPr>
        <w:t>– BC-R2</w:t>
      </w:r>
      <w:r w:rsidRPr="006E3B9B">
        <w:rPr>
          <w:lang w:eastAsia="zh-CN"/>
        </w:rPr>
        <w:t>（</w:t>
      </w:r>
      <w:r w:rsidRPr="006E3B9B">
        <w:rPr>
          <w:lang w:eastAsia="zh-CN"/>
        </w:rPr>
        <w:t>1</w:t>
      </w:r>
      <w:r w:rsidRPr="006E3B9B">
        <w:rPr>
          <w:lang w:eastAsia="zh-CN"/>
        </w:rPr>
        <w:t>）</w:t>
      </w:r>
      <w:r w:rsidRPr="006E3B9B">
        <w:rPr>
          <w:lang w:val="en-US" w:eastAsia="zh-CN"/>
        </w:rPr>
        <w:tab/>
      </w:r>
      <w:r w:rsidR="00587F0E">
        <w:rPr>
          <w:lang w:val="en-US" w:eastAsia="zh-CN"/>
        </w:rPr>
        <w:tab/>
      </w:r>
      <w:r w:rsidRPr="006E3B9B">
        <w:rPr>
          <w:lang w:val="en-US" w:eastAsia="zh-CN"/>
        </w:rPr>
        <w:t>1987</w:t>
      </w:r>
      <w:r w:rsidRPr="006E3B9B">
        <w:rPr>
          <w:rFonts w:hint="eastAsia"/>
          <w:lang w:val="en-US" w:eastAsia="zh-CN"/>
        </w:rPr>
        <w:t>年</w:t>
      </w:r>
    </w:p>
    <w:p w14:paraId="4827BFF3"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914</w:t>
      </w:r>
      <w:r w:rsidRPr="006E3B9B">
        <w:rPr>
          <w:lang w:val="en-US" w:eastAsia="zh-CN"/>
        </w:rPr>
        <w:t>号决议</w:t>
      </w:r>
      <w:r w:rsidRPr="006E3B9B">
        <w:rPr>
          <w:lang w:val="en-US" w:eastAsia="zh-CN"/>
        </w:rPr>
        <w:tab/>
      </w:r>
      <w:r w:rsidRPr="006E3B9B">
        <w:rPr>
          <w:rFonts w:hint="eastAsia"/>
          <w:lang w:eastAsia="zh-CN"/>
        </w:rPr>
        <w:t>关于审查和修订非洲</w:t>
      </w:r>
      <w:r w:rsidRPr="006E3B9B">
        <w:rPr>
          <w:lang w:eastAsia="zh-CN"/>
        </w:rPr>
        <w:t>VHF/UHF</w:t>
      </w:r>
      <w:r w:rsidRPr="00587F0E">
        <w:rPr>
          <w:rFonts w:hint="eastAsia"/>
          <w:lang w:val="en-US" w:eastAsia="zh-CN"/>
        </w:rPr>
        <w:t>广播大会最后文件条款的区域性无线电行政大会</w:t>
      </w:r>
      <w:r w:rsidR="00B80137">
        <w:rPr>
          <w:lang w:val="en-US" w:eastAsia="zh-CN"/>
        </w:rPr>
        <w:br/>
      </w:r>
      <w:r w:rsidRPr="006E3B9B">
        <w:rPr>
          <w:rFonts w:hint="eastAsia"/>
          <w:lang w:eastAsia="zh-CN"/>
        </w:rPr>
        <w:t>第一次会议</w:t>
      </w:r>
      <w:r w:rsidRPr="006E3B9B">
        <w:rPr>
          <w:rFonts w:hint="eastAsia"/>
          <w:lang w:eastAsia="zh-CN"/>
        </w:rPr>
        <w:t xml:space="preserve"> </w:t>
      </w:r>
      <w:r w:rsidRPr="006E3B9B">
        <w:rPr>
          <w:lang w:eastAsia="zh-CN"/>
        </w:rPr>
        <w:t>–</w:t>
      </w:r>
      <w:r w:rsidRPr="006E3B9B">
        <w:rPr>
          <w:rFonts w:hint="eastAsia"/>
          <w:lang w:eastAsia="zh-CN"/>
        </w:rPr>
        <w:t xml:space="preserve"> A</w:t>
      </w:r>
      <w:r w:rsidRPr="006E3B9B">
        <w:rPr>
          <w:lang w:eastAsia="zh-CN"/>
        </w:rPr>
        <w:t>FBC</w:t>
      </w:r>
      <w:r w:rsidRPr="006E3B9B">
        <w:rPr>
          <w:lang w:eastAsia="zh-CN"/>
        </w:rPr>
        <w:t>（</w:t>
      </w:r>
      <w:r w:rsidRPr="006E3B9B">
        <w:rPr>
          <w:lang w:eastAsia="zh-CN"/>
        </w:rPr>
        <w:t>1</w:t>
      </w:r>
      <w:r w:rsidRPr="006E3B9B">
        <w:rPr>
          <w:lang w:eastAsia="zh-CN"/>
        </w:rPr>
        <w:t>）</w:t>
      </w:r>
      <w:r w:rsidRPr="006E3B9B">
        <w:rPr>
          <w:lang w:val="en-US" w:eastAsia="zh-CN"/>
        </w:rPr>
        <w:tab/>
      </w:r>
      <w:r w:rsidR="00587F0E">
        <w:rPr>
          <w:lang w:val="en-US" w:eastAsia="zh-CN"/>
        </w:rPr>
        <w:tab/>
      </w:r>
      <w:r w:rsidRPr="006E3B9B">
        <w:rPr>
          <w:lang w:val="en-US" w:eastAsia="zh-CN"/>
        </w:rPr>
        <w:t>1987</w:t>
      </w:r>
      <w:r w:rsidRPr="006E3B9B">
        <w:rPr>
          <w:rFonts w:hint="eastAsia"/>
          <w:lang w:val="en-US" w:eastAsia="zh-CN"/>
        </w:rPr>
        <w:t>年</w:t>
      </w:r>
    </w:p>
    <w:p w14:paraId="4827BFF4" w14:textId="77777777" w:rsidR="00BF1CF1" w:rsidRDefault="00BF1CF1">
      <w:pPr>
        <w:tabs>
          <w:tab w:val="clear" w:pos="794"/>
          <w:tab w:val="clear" w:pos="1191"/>
          <w:tab w:val="clear" w:pos="1588"/>
          <w:tab w:val="clear" w:pos="1985"/>
        </w:tabs>
        <w:overflowPunct/>
        <w:autoSpaceDE/>
        <w:autoSpaceDN/>
        <w:adjustRightInd/>
        <w:spacing w:before="0"/>
        <w:jc w:val="left"/>
        <w:textAlignment w:val="auto"/>
        <w:rPr>
          <w:sz w:val="20"/>
          <w:lang w:val="en-US" w:eastAsia="zh-CN"/>
        </w:rPr>
      </w:pPr>
      <w:r>
        <w:rPr>
          <w:lang w:val="en-US" w:eastAsia="zh-CN"/>
        </w:rPr>
        <w:br w:type="page"/>
      </w:r>
    </w:p>
    <w:p w14:paraId="4827BFF5" w14:textId="77777777" w:rsidR="006E3B9B" w:rsidRPr="006E3B9B" w:rsidRDefault="006E3B9B" w:rsidP="0093668F">
      <w:pPr>
        <w:pStyle w:val="Appendixref"/>
        <w:rPr>
          <w:lang w:val="en-US" w:eastAsia="zh-CN"/>
        </w:rPr>
      </w:pPr>
      <w:r w:rsidRPr="006E3B9B">
        <w:rPr>
          <w:lang w:val="en-US" w:eastAsia="zh-CN"/>
        </w:rPr>
        <w:lastRenderedPageBreak/>
        <w:t>第</w:t>
      </w:r>
      <w:r w:rsidRPr="006E3B9B">
        <w:rPr>
          <w:lang w:val="en-US" w:eastAsia="zh-CN"/>
        </w:rPr>
        <w:t>915</w:t>
      </w:r>
      <w:r w:rsidRPr="006E3B9B">
        <w:rPr>
          <w:lang w:val="en-US" w:eastAsia="zh-CN"/>
        </w:rPr>
        <w:t>号决议</w:t>
      </w:r>
      <w:r w:rsidRPr="006E3B9B">
        <w:rPr>
          <w:lang w:val="en-US" w:eastAsia="zh-CN"/>
        </w:rPr>
        <w:tab/>
      </w:r>
      <w:r w:rsidRPr="006E3B9B">
        <w:rPr>
          <w:rFonts w:hint="eastAsia"/>
          <w:lang w:eastAsia="zh-CN"/>
        </w:rPr>
        <w:t>职位的延续、设立和定级</w:t>
      </w:r>
      <w:r w:rsidRPr="006E3B9B">
        <w:rPr>
          <w:lang w:val="en-US" w:eastAsia="zh-CN"/>
        </w:rPr>
        <w:tab/>
      </w:r>
      <w:r w:rsidR="0093668F">
        <w:rPr>
          <w:lang w:val="en-US" w:eastAsia="zh-CN"/>
        </w:rPr>
        <w:tab/>
      </w:r>
      <w:r w:rsidRPr="006E3B9B">
        <w:rPr>
          <w:lang w:val="en-US" w:eastAsia="zh-CN"/>
        </w:rPr>
        <w:t>1990</w:t>
      </w:r>
      <w:r w:rsidRPr="006E3B9B">
        <w:rPr>
          <w:rFonts w:hint="eastAsia"/>
          <w:lang w:val="en-US" w:eastAsia="zh-CN"/>
        </w:rPr>
        <w:t>年</w:t>
      </w:r>
    </w:p>
    <w:p w14:paraId="4827BFF6"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916</w:t>
      </w:r>
      <w:r w:rsidRPr="006E3B9B">
        <w:rPr>
          <w:lang w:val="en-US" w:eastAsia="zh-CN"/>
        </w:rPr>
        <w:t>号决议</w:t>
      </w:r>
      <w:r w:rsidRPr="006E3B9B">
        <w:rPr>
          <w:lang w:val="en-US" w:eastAsia="zh-CN"/>
        </w:rPr>
        <w:tab/>
      </w:r>
      <w:r w:rsidRPr="006E3B9B">
        <w:rPr>
          <w:rFonts w:hint="eastAsia"/>
          <w:lang w:eastAsia="zh-CN"/>
        </w:rPr>
        <w:t>技术合作的支持费用</w:t>
      </w:r>
      <w:r w:rsidRPr="006E3B9B">
        <w:rPr>
          <w:lang w:val="en-US" w:eastAsia="zh-CN"/>
        </w:rPr>
        <w:tab/>
      </w:r>
      <w:r w:rsidR="0093668F">
        <w:rPr>
          <w:lang w:val="en-US" w:eastAsia="zh-CN"/>
        </w:rPr>
        <w:tab/>
      </w:r>
      <w:r w:rsidRPr="006E3B9B">
        <w:rPr>
          <w:lang w:val="en-US" w:eastAsia="zh-CN"/>
        </w:rPr>
        <w:t>1988</w:t>
      </w:r>
      <w:r w:rsidRPr="006E3B9B">
        <w:rPr>
          <w:rFonts w:hint="eastAsia"/>
          <w:lang w:val="en-US" w:eastAsia="zh-CN"/>
        </w:rPr>
        <w:t>年</w:t>
      </w:r>
    </w:p>
    <w:p w14:paraId="4827BFF7"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917</w:t>
      </w:r>
      <w:r w:rsidRPr="006E3B9B">
        <w:rPr>
          <w:lang w:val="en-US" w:eastAsia="zh-CN"/>
        </w:rPr>
        <w:t>号决议</w:t>
      </w:r>
      <w:r w:rsidRPr="006E3B9B">
        <w:rPr>
          <w:lang w:val="en-US" w:eastAsia="zh-CN"/>
        </w:rPr>
        <w:tab/>
      </w:r>
      <w:r w:rsidRPr="006E3B9B">
        <w:rPr>
          <w:rFonts w:hint="eastAsia"/>
          <w:lang w:eastAsia="zh-CN"/>
        </w:rPr>
        <w:t>联合国合办职员养恤金基金的养恤金制度</w:t>
      </w:r>
      <w:r w:rsidRPr="006E3B9B">
        <w:rPr>
          <w:lang w:val="en-US" w:eastAsia="zh-CN"/>
        </w:rPr>
        <w:tab/>
      </w:r>
      <w:r w:rsidR="0093668F">
        <w:rPr>
          <w:lang w:val="en-US" w:eastAsia="zh-CN"/>
        </w:rPr>
        <w:tab/>
      </w:r>
      <w:r w:rsidRPr="006E3B9B">
        <w:rPr>
          <w:lang w:val="en-US" w:eastAsia="zh-CN"/>
        </w:rPr>
        <w:t>1985</w:t>
      </w:r>
      <w:r w:rsidRPr="006E3B9B">
        <w:rPr>
          <w:rFonts w:hint="eastAsia"/>
          <w:lang w:val="en-US" w:eastAsia="zh-CN"/>
        </w:rPr>
        <w:t>年</w:t>
      </w:r>
    </w:p>
    <w:p w14:paraId="4827BFF8" w14:textId="77777777" w:rsidR="006E3B9B" w:rsidRPr="006E3B9B" w:rsidRDefault="006E3B9B" w:rsidP="003E11A1">
      <w:pPr>
        <w:pStyle w:val="Reftitle"/>
        <w:rPr>
          <w:lang w:val="en-US" w:eastAsia="zh-CN"/>
        </w:rPr>
      </w:pPr>
      <w:r w:rsidRPr="006E3B9B">
        <w:rPr>
          <w:rFonts w:hint="eastAsia"/>
          <w:lang w:eastAsia="zh-CN"/>
        </w:rPr>
        <w:t>第</w:t>
      </w:r>
      <w:r w:rsidRPr="006E3B9B">
        <w:rPr>
          <w:lang w:eastAsia="zh-CN"/>
        </w:rPr>
        <w:t>40</w:t>
      </w:r>
      <w:r w:rsidRPr="006E3B9B">
        <w:rPr>
          <w:rFonts w:hint="eastAsia"/>
          <w:lang w:eastAsia="zh-CN"/>
        </w:rPr>
        <w:t>届会议（</w:t>
      </w:r>
      <w:r w:rsidRPr="006E3B9B">
        <w:rPr>
          <w:lang w:eastAsia="zh-CN"/>
        </w:rPr>
        <w:t>1985</w:t>
      </w:r>
      <w:r w:rsidRPr="006E3B9B">
        <w:rPr>
          <w:rFonts w:hint="eastAsia"/>
          <w:lang w:eastAsia="zh-CN"/>
        </w:rPr>
        <w:t>年</w:t>
      </w:r>
      <w:r w:rsidRPr="006E3B9B">
        <w:rPr>
          <w:lang w:eastAsia="zh-CN"/>
        </w:rPr>
        <w:t>7</w:t>
      </w:r>
      <w:r w:rsidRPr="006E3B9B">
        <w:rPr>
          <w:rFonts w:hint="eastAsia"/>
          <w:lang w:eastAsia="zh-CN"/>
        </w:rPr>
        <w:t>月）</w:t>
      </w:r>
    </w:p>
    <w:p w14:paraId="4827BFF9"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918</w:t>
      </w:r>
      <w:r w:rsidRPr="006E3B9B">
        <w:rPr>
          <w:lang w:val="en-US" w:eastAsia="zh-CN"/>
        </w:rPr>
        <w:t>号决议</w:t>
      </w:r>
      <w:r w:rsidRPr="006E3B9B">
        <w:rPr>
          <w:lang w:val="en-US" w:eastAsia="zh-CN"/>
        </w:rPr>
        <w:tab/>
      </w:r>
      <w:r w:rsidRPr="006E3B9B">
        <w:rPr>
          <w:rFonts w:hint="eastAsia"/>
          <w:lang w:val="en-US" w:eastAsia="zh-CN"/>
        </w:rPr>
        <w:t>国际电联</w:t>
      </w:r>
      <w:r w:rsidRPr="006E3B9B">
        <w:rPr>
          <w:lang w:val="en-US" w:eastAsia="zh-CN"/>
        </w:rPr>
        <w:t>1984</w:t>
      </w:r>
      <w:r w:rsidRPr="006E3B9B">
        <w:rPr>
          <w:rFonts w:hint="eastAsia"/>
          <w:lang w:val="en-US" w:eastAsia="zh-CN"/>
        </w:rPr>
        <w:t>年财务工作报告</w:t>
      </w:r>
      <w:r w:rsidRPr="006E3B9B">
        <w:rPr>
          <w:lang w:val="en-US" w:eastAsia="zh-CN"/>
        </w:rPr>
        <w:tab/>
      </w:r>
      <w:r w:rsidR="0093668F">
        <w:rPr>
          <w:lang w:val="en-US" w:eastAsia="zh-CN"/>
        </w:rPr>
        <w:tab/>
      </w:r>
      <w:r w:rsidRPr="006E3B9B">
        <w:rPr>
          <w:lang w:val="en-US" w:eastAsia="zh-CN"/>
        </w:rPr>
        <w:t>1986</w:t>
      </w:r>
      <w:r w:rsidRPr="006E3B9B">
        <w:rPr>
          <w:rFonts w:hint="eastAsia"/>
          <w:lang w:val="en-US" w:eastAsia="zh-CN"/>
        </w:rPr>
        <w:t>年</w:t>
      </w:r>
    </w:p>
    <w:p w14:paraId="4827BFFA"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919</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1984</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1</w:t>
      </w:r>
      <w:r w:rsidRPr="006E3B9B">
        <w:rPr>
          <w:rFonts w:hint="eastAsia"/>
          <w:lang w:eastAsia="zh-CN"/>
        </w:rPr>
        <w:t>日至</w:t>
      </w:r>
      <w:r w:rsidRPr="006E3B9B">
        <w:rPr>
          <w:lang w:eastAsia="zh-CN"/>
        </w:rPr>
        <w:t>12</w:t>
      </w:r>
      <w:r w:rsidRPr="006E3B9B">
        <w:rPr>
          <w:rFonts w:hint="eastAsia"/>
          <w:lang w:eastAsia="zh-CN"/>
        </w:rPr>
        <w:t>月</w:t>
      </w:r>
      <w:r w:rsidRPr="006E3B9B">
        <w:rPr>
          <w:lang w:eastAsia="zh-CN"/>
        </w:rPr>
        <w:t>31</w:t>
      </w:r>
      <w:r w:rsidRPr="006E3B9B">
        <w:rPr>
          <w:rFonts w:hint="eastAsia"/>
          <w:lang w:eastAsia="zh-CN"/>
        </w:rPr>
        <w:t>日账目的外部审计</w:t>
      </w:r>
      <w:r w:rsidRPr="006E3B9B">
        <w:rPr>
          <w:lang w:val="en-US" w:eastAsia="zh-CN"/>
        </w:rPr>
        <w:tab/>
      </w:r>
      <w:r w:rsidR="0093668F">
        <w:rPr>
          <w:lang w:val="en-US" w:eastAsia="zh-CN"/>
        </w:rPr>
        <w:tab/>
      </w:r>
      <w:r w:rsidRPr="006E3B9B">
        <w:rPr>
          <w:lang w:val="en-US" w:eastAsia="zh-CN"/>
        </w:rPr>
        <w:t>1986</w:t>
      </w:r>
      <w:r w:rsidRPr="006E3B9B">
        <w:rPr>
          <w:rFonts w:hint="eastAsia"/>
          <w:lang w:val="en-US" w:eastAsia="zh-CN"/>
        </w:rPr>
        <w:t>年</w:t>
      </w:r>
    </w:p>
    <w:p w14:paraId="4827BFFB"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920</w:t>
      </w:r>
      <w:r w:rsidRPr="006E3B9B">
        <w:rPr>
          <w:lang w:val="en-US" w:eastAsia="zh-CN"/>
        </w:rPr>
        <w:t>号决议</w:t>
      </w:r>
      <w:r w:rsidRPr="006E3B9B">
        <w:rPr>
          <w:lang w:val="en-US" w:eastAsia="zh-CN"/>
        </w:rPr>
        <w:tab/>
      </w:r>
      <w:r w:rsidRPr="006E3B9B">
        <w:rPr>
          <w:rFonts w:hint="eastAsia"/>
          <w:lang w:eastAsia="zh-CN"/>
        </w:rPr>
        <w:t>长期服务薪级</w:t>
      </w:r>
      <w:r w:rsidRPr="006E3B9B">
        <w:rPr>
          <w:lang w:val="en-US" w:eastAsia="zh-CN"/>
        </w:rPr>
        <w:tab/>
      </w:r>
      <w:r w:rsidR="0093668F">
        <w:rPr>
          <w:lang w:val="en-US" w:eastAsia="zh-CN"/>
        </w:rPr>
        <w:tab/>
      </w:r>
      <w:r w:rsidRPr="006E3B9B">
        <w:rPr>
          <w:lang w:val="en-US" w:eastAsia="zh-CN"/>
        </w:rPr>
        <w:t>1993</w:t>
      </w:r>
      <w:r w:rsidRPr="006E3B9B">
        <w:rPr>
          <w:rFonts w:hint="eastAsia"/>
          <w:lang w:val="en-US" w:eastAsia="zh-CN"/>
        </w:rPr>
        <w:t>年</w:t>
      </w:r>
    </w:p>
    <w:p w14:paraId="4827BFFC"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921</w:t>
      </w:r>
      <w:r w:rsidRPr="006E3B9B">
        <w:rPr>
          <w:lang w:val="en-US" w:eastAsia="zh-CN"/>
        </w:rPr>
        <w:t>号决议</w:t>
      </w:r>
      <w:r w:rsidRPr="006E3B9B">
        <w:rPr>
          <w:lang w:val="en-US" w:eastAsia="zh-CN"/>
        </w:rPr>
        <w:tab/>
      </w:r>
      <w:r w:rsidRPr="006E3B9B">
        <w:rPr>
          <w:rFonts w:hint="eastAsia"/>
          <w:lang w:eastAsia="zh-CN"/>
        </w:rPr>
        <w:t>适用于委任职员的规则</w:t>
      </w:r>
      <w:r w:rsidRPr="006E3B9B">
        <w:rPr>
          <w:lang w:eastAsia="zh-CN"/>
        </w:rPr>
        <w:t>3.12</w:t>
      </w:r>
      <w:r w:rsidRPr="006E3B9B">
        <w:rPr>
          <w:rFonts w:hint="eastAsia"/>
          <w:lang w:eastAsia="zh-CN"/>
        </w:rPr>
        <w:t>的修正案</w:t>
      </w:r>
      <w:r w:rsidRPr="006E3B9B">
        <w:rPr>
          <w:lang w:val="en-US" w:eastAsia="zh-CN"/>
        </w:rPr>
        <w:tab/>
      </w:r>
      <w:r w:rsidR="0093668F">
        <w:rPr>
          <w:lang w:val="en-US" w:eastAsia="zh-CN"/>
        </w:rPr>
        <w:tab/>
      </w:r>
      <w:r w:rsidRPr="006E3B9B">
        <w:rPr>
          <w:lang w:val="en-US" w:eastAsia="zh-CN"/>
        </w:rPr>
        <w:t>1986</w:t>
      </w:r>
      <w:r w:rsidRPr="006E3B9B">
        <w:rPr>
          <w:rFonts w:hint="eastAsia"/>
          <w:lang w:val="en-US" w:eastAsia="zh-CN"/>
        </w:rPr>
        <w:t>年</w:t>
      </w:r>
    </w:p>
    <w:p w14:paraId="4827BFFD"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922</w:t>
      </w:r>
      <w:r w:rsidRPr="006E3B9B">
        <w:rPr>
          <w:lang w:val="en-US" w:eastAsia="zh-CN"/>
        </w:rPr>
        <w:t>号决议</w:t>
      </w:r>
      <w:r w:rsidRPr="006E3B9B">
        <w:rPr>
          <w:lang w:val="en-US" w:eastAsia="zh-CN"/>
        </w:rPr>
        <w:tab/>
      </w:r>
      <w:r w:rsidRPr="006E3B9B">
        <w:rPr>
          <w:rFonts w:hint="eastAsia"/>
          <w:lang w:eastAsia="zh-CN"/>
        </w:rPr>
        <w:t>选任官员的薪金、任职地点补贴调整数和职员薪金税率</w:t>
      </w:r>
      <w:r w:rsidRPr="006E3B9B">
        <w:rPr>
          <w:lang w:val="en-US" w:eastAsia="zh-CN"/>
        </w:rPr>
        <w:tab/>
      </w:r>
      <w:r w:rsidR="0093668F">
        <w:rPr>
          <w:lang w:val="en-US" w:eastAsia="zh-CN"/>
        </w:rPr>
        <w:tab/>
      </w:r>
      <w:r w:rsidRPr="006E3B9B">
        <w:rPr>
          <w:lang w:val="en-US" w:eastAsia="zh-CN"/>
        </w:rPr>
        <w:t>1986</w:t>
      </w:r>
      <w:r w:rsidRPr="006E3B9B">
        <w:rPr>
          <w:rFonts w:hint="eastAsia"/>
          <w:lang w:val="en-US" w:eastAsia="zh-CN"/>
        </w:rPr>
        <w:t>年</w:t>
      </w:r>
    </w:p>
    <w:p w14:paraId="4827BFFE"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923</w:t>
      </w:r>
      <w:r w:rsidRPr="006E3B9B">
        <w:rPr>
          <w:lang w:val="en-US" w:eastAsia="zh-CN"/>
        </w:rPr>
        <w:t>号决议</w:t>
      </w:r>
      <w:r w:rsidRPr="006E3B9B">
        <w:rPr>
          <w:lang w:val="en-US" w:eastAsia="zh-CN"/>
        </w:rPr>
        <w:tab/>
      </w:r>
      <w:r w:rsidRPr="006E3B9B">
        <w:rPr>
          <w:lang w:eastAsia="zh-CN"/>
        </w:rPr>
        <w:t>P.1</w:t>
      </w:r>
      <w:r w:rsidRPr="006E3B9B">
        <w:rPr>
          <w:rFonts w:hint="eastAsia"/>
          <w:lang w:eastAsia="zh-CN"/>
        </w:rPr>
        <w:t>至</w:t>
      </w:r>
      <w:r w:rsidRPr="006E3B9B">
        <w:rPr>
          <w:lang w:eastAsia="zh-CN"/>
        </w:rPr>
        <w:t>P.5</w:t>
      </w:r>
      <w:r w:rsidRPr="006E3B9B">
        <w:rPr>
          <w:rFonts w:hint="eastAsia"/>
          <w:lang w:eastAsia="zh-CN"/>
        </w:rPr>
        <w:t>级职位</w:t>
      </w:r>
      <w:r w:rsidRPr="006E3B9B">
        <w:rPr>
          <w:lang w:val="en-US" w:eastAsia="zh-CN"/>
        </w:rPr>
        <w:tab/>
      </w:r>
      <w:r w:rsidR="0093668F">
        <w:rPr>
          <w:lang w:val="en-US" w:eastAsia="zh-CN"/>
        </w:rPr>
        <w:tab/>
      </w:r>
      <w:r w:rsidRPr="006E3B9B">
        <w:rPr>
          <w:lang w:val="en-US" w:eastAsia="zh-CN"/>
        </w:rPr>
        <w:t>1994</w:t>
      </w:r>
      <w:r w:rsidRPr="006E3B9B">
        <w:rPr>
          <w:rFonts w:hint="eastAsia"/>
          <w:lang w:val="en-US" w:eastAsia="zh-CN"/>
        </w:rPr>
        <w:t>年</w:t>
      </w:r>
    </w:p>
    <w:p w14:paraId="4827BFFF"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924</w:t>
      </w:r>
      <w:r w:rsidRPr="006E3B9B">
        <w:rPr>
          <w:lang w:val="en-US" w:eastAsia="zh-CN"/>
        </w:rPr>
        <w:t>号决议</w:t>
      </w:r>
      <w:r w:rsidRPr="006E3B9B">
        <w:rPr>
          <w:lang w:val="en-US" w:eastAsia="zh-CN"/>
        </w:rPr>
        <w:tab/>
      </w:r>
      <w:r w:rsidRPr="006E3B9B">
        <w:rPr>
          <w:rFonts w:hint="eastAsia"/>
          <w:lang w:eastAsia="zh-CN"/>
        </w:rPr>
        <w:t>世界电信发展独立国际委员会</w:t>
      </w:r>
      <w:r w:rsidRPr="006E3B9B">
        <w:rPr>
          <w:lang w:val="en-US" w:eastAsia="zh-CN"/>
        </w:rPr>
        <w:tab/>
      </w:r>
      <w:r w:rsidR="0093668F">
        <w:rPr>
          <w:lang w:val="en-US" w:eastAsia="zh-CN"/>
        </w:rPr>
        <w:tab/>
      </w:r>
      <w:r w:rsidRPr="006E3B9B">
        <w:rPr>
          <w:lang w:val="en-US" w:eastAsia="zh-CN"/>
        </w:rPr>
        <w:t>1990</w:t>
      </w:r>
      <w:r w:rsidRPr="006E3B9B">
        <w:rPr>
          <w:rFonts w:hint="eastAsia"/>
          <w:lang w:val="en-US" w:eastAsia="zh-CN"/>
        </w:rPr>
        <w:t>年</w:t>
      </w:r>
    </w:p>
    <w:p w14:paraId="4827C000"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925</w:t>
      </w:r>
      <w:r w:rsidRPr="006E3B9B">
        <w:rPr>
          <w:lang w:val="en-US" w:eastAsia="zh-CN"/>
        </w:rPr>
        <w:t>号决议</w:t>
      </w:r>
      <w:r w:rsidRPr="006E3B9B">
        <w:rPr>
          <w:lang w:val="en-US" w:eastAsia="zh-CN"/>
        </w:rPr>
        <w:tab/>
      </w:r>
      <w:r w:rsidRPr="006E3B9B">
        <w:rPr>
          <w:rFonts w:hint="eastAsia"/>
          <w:lang w:eastAsia="zh-CN"/>
        </w:rPr>
        <w:t>联合国、专门机构和其它国际组织参加国际电联大会和会议的财务条件</w:t>
      </w:r>
      <w:r w:rsidR="0093668F">
        <w:rPr>
          <w:lang w:eastAsia="zh-CN"/>
        </w:rPr>
        <w:tab/>
      </w:r>
      <w:r w:rsidRPr="006E3B9B">
        <w:rPr>
          <w:lang w:val="en-US" w:eastAsia="zh-CN"/>
        </w:rPr>
        <w:tab/>
        <w:t>1.2</w:t>
      </w:r>
    </w:p>
    <w:p w14:paraId="4827C001"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926</w:t>
      </w:r>
      <w:r w:rsidRPr="006E3B9B">
        <w:rPr>
          <w:lang w:val="en-US" w:eastAsia="zh-CN"/>
        </w:rPr>
        <w:t>号决议</w:t>
      </w:r>
      <w:r w:rsidRPr="006E3B9B">
        <w:rPr>
          <w:lang w:val="en-US" w:eastAsia="zh-CN"/>
        </w:rPr>
        <w:tab/>
      </w:r>
      <w:r w:rsidRPr="006E3B9B">
        <w:rPr>
          <w:rFonts w:hint="eastAsia"/>
          <w:lang w:eastAsia="zh-CN"/>
        </w:rPr>
        <w:t>国际电联职员养恤金委员会的委员</w:t>
      </w:r>
      <w:r w:rsidRPr="006E3B9B">
        <w:rPr>
          <w:lang w:val="en-US" w:eastAsia="zh-CN"/>
        </w:rPr>
        <w:tab/>
      </w:r>
      <w:r w:rsidR="0093668F">
        <w:rPr>
          <w:lang w:val="en-US" w:eastAsia="zh-CN"/>
        </w:rPr>
        <w:tab/>
      </w:r>
      <w:r w:rsidRPr="006E3B9B">
        <w:rPr>
          <w:lang w:val="en-US" w:eastAsia="zh-CN"/>
        </w:rPr>
        <w:t>1986</w:t>
      </w:r>
      <w:r w:rsidRPr="006E3B9B">
        <w:rPr>
          <w:rFonts w:hint="eastAsia"/>
          <w:lang w:val="en-US" w:eastAsia="zh-CN"/>
        </w:rPr>
        <w:t>年</w:t>
      </w:r>
    </w:p>
    <w:p w14:paraId="4827C002"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927</w:t>
      </w:r>
      <w:r w:rsidRPr="006E3B9B">
        <w:rPr>
          <w:lang w:val="en-US" w:eastAsia="zh-CN"/>
        </w:rPr>
        <w:t>号决议</w:t>
      </w:r>
      <w:r w:rsidRPr="006E3B9B">
        <w:rPr>
          <w:lang w:val="en-US" w:eastAsia="zh-CN"/>
        </w:rPr>
        <w:tab/>
      </w:r>
      <w:r w:rsidRPr="006E3B9B">
        <w:rPr>
          <w:lang w:eastAsia="zh-CN"/>
        </w:rPr>
        <w:t>1985</w:t>
      </w:r>
      <w:r w:rsidRPr="006E3B9B">
        <w:rPr>
          <w:rFonts w:hint="eastAsia"/>
          <w:lang w:eastAsia="zh-CN"/>
        </w:rPr>
        <w:t>年追加拨款</w:t>
      </w:r>
      <w:r w:rsidRPr="006E3B9B">
        <w:rPr>
          <w:rFonts w:hint="eastAsia"/>
          <w:lang w:eastAsia="zh-CN"/>
        </w:rPr>
        <w:t xml:space="preserve"> </w:t>
      </w:r>
      <w:r w:rsidRPr="006E3B9B">
        <w:rPr>
          <w:lang w:eastAsia="zh-CN"/>
        </w:rPr>
        <w:t>–</w:t>
      </w:r>
      <w:r w:rsidRPr="006E3B9B">
        <w:rPr>
          <w:rFonts w:hint="eastAsia"/>
          <w:lang w:eastAsia="zh-CN"/>
        </w:rPr>
        <w:t xml:space="preserve"> </w:t>
      </w:r>
      <w:r w:rsidRPr="006E3B9B">
        <w:rPr>
          <w:rFonts w:hint="eastAsia"/>
          <w:lang w:eastAsia="zh-CN"/>
        </w:rPr>
        <w:t>与</w:t>
      </w:r>
      <w:r w:rsidRPr="006E3B9B">
        <w:rPr>
          <w:lang w:eastAsia="zh-CN"/>
        </w:rPr>
        <w:t>1984</w:t>
      </w:r>
      <w:r w:rsidRPr="00587F0E">
        <w:rPr>
          <w:rFonts w:hint="eastAsia"/>
          <w:lang w:val="en-US" w:eastAsia="zh-CN"/>
        </w:rPr>
        <w:t>年日内瓦</w:t>
      </w:r>
      <w:r w:rsidRPr="006E3B9B">
        <w:rPr>
          <w:lang w:eastAsia="zh-CN"/>
        </w:rPr>
        <w:t>VHF</w:t>
      </w:r>
      <w:r w:rsidRPr="006E3B9B">
        <w:rPr>
          <w:rFonts w:hint="eastAsia"/>
          <w:lang w:eastAsia="zh-CN"/>
        </w:rPr>
        <w:t>频段</w:t>
      </w:r>
      <w:r w:rsidRPr="006E3B9B">
        <w:rPr>
          <w:lang w:eastAsia="zh-CN"/>
        </w:rPr>
        <w:t>FM</w:t>
      </w:r>
      <w:r w:rsidRPr="006E3B9B">
        <w:rPr>
          <w:rFonts w:hint="eastAsia"/>
          <w:lang w:eastAsia="zh-CN"/>
        </w:rPr>
        <w:t>声音广播区域性无线电行政大会给</w:t>
      </w:r>
      <w:r w:rsidRPr="006E3B9B">
        <w:rPr>
          <w:lang w:eastAsia="zh-CN"/>
        </w:rPr>
        <w:t>CCIR</w:t>
      </w:r>
      <w:r w:rsidRPr="006E3B9B">
        <w:rPr>
          <w:rFonts w:hint="eastAsia"/>
          <w:lang w:eastAsia="zh-CN"/>
        </w:rPr>
        <w:t>带来的附加工作相关的支出</w:t>
      </w:r>
      <w:r w:rsidRPr="006E3B9B">
        <w:rPr>
          <w:lang w:val="en-US" w:eastAsia="zh-CN"/>
        </w:rPr>
        <w:tab/>
      </w:r>
      <w:r w:rsidR="00587F0E">
        <w:rPr>
          <w:lang w:val="en-US" w:eastAsia="zh-CN"/>
        </w:rPr>
        <w:tab/>
      </w:r>
      <w:r w:rsidRPr="006E3B9B">
        <w:rPr>
          <w:lang w:val="en-US" w:eastAsia="zh-CN"/>
        </w:rPr>
        <w:t>1986</w:t>
      </w:r>
      <w:r w:rsidRPr="006E3B9B">
        <w:rPr>
          <w:rFonts w:hint="eastAsia"/>
          <w:lang w:val="en-US" w:eastAsia="zh-CN"/>
        </w:rPr>
        <w:t>年</w:t>
      </w:r>
    </w:p>
    <w:p w14:paraId="4827C003"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928</w:t>
      </w:r>
      <w:r w:rsidRPr="006E3B9B">
        <w:rPr>
          <w:lang w:val="en-US" w:eastAsia="zh-CN"/>
        </w:rPr>
        <w:t>号决议</w:t>
      </w:r>
      <w:r w:rsidRPr="006E3B9B">
        <w:rPr>
          <w:lang w:val="en-US" w:eastAsia="zh-CN"/>
        </w:rPr>
        <w:tab/>
      </w:r>
      <w:r w:rsidRPr="006E3B9B">
        <w:rPr>
          <w:lang w:eastAsia="zh-CN"/>
        </w:rPr>
        <w:t>1985</w:t>
      </w:r>
      <w:r w:rsidRPr="006E3B9B">
        <w:rPr>
          <w:rFonts w:hint="eastAsia"/>
          <w:lang w:eastAsia="zh-CN"/>
        </w:rPr>
        <w:t>年追加拨款</w:t>
      </w:r>
      <w:r w:rsidRPr="006E3B9B">
        <w:rPr>
          <w:lang w:val="en-US" w:eastAsia="zh-CN"/>
        </w:rPr>
        <w:t xml:space="preserve"> </w:t>
      </w:r>
      <w:r w:rsidRPr="006E3B9B">
        <w:rPr>
          <w:lang w:eastAsia="zh-CN"/>
        </w:rPr>
        <w:t xml:space="preserve">– </w:t>
      </w:r>
      <w:r w:rsidRPr="00587F0E">
        <w:rPr>
          <w:rFonts w:hint="eastAsia"/>
          <w:lang w:val="en-US" w:eastAsia="zh-CN"/>
        </w:rPr>
        <w:t>欧洲广播地区国际电联成员国区域性行政大会和非洲广播地区</w:t>
      </w:r>
      <w:r w:rsidRPr="006E3B9B">
        <w:rPr>
          <w:rFonts w:hint="eastAsia"/>
          <w:lang w:eastAsia="zh-CN"/>
        </w:rPr>
        <w:t>国际电联成员国区域性行政大会</w:t>
      </w:r>
      <w:r w:rsidRPr="006E3B9B">
        <w:rPr>
          <w:lang w:val="en-US" w:eastAsia="zh-CN"/>
        </w:rPr>
        <w:tab/>
      </w:r>
      <w:r w:rsidR="00587F0E">
        <w:rPr>
          <w:lang w:val="en-US" w:eastAsia="zh-CN"/>
        </w:rPr>
        <w:tab/>
      </w:r>
      <w:r w:rsidRPr="006E3B9B">
        <w:rPr>
          <w:lang w:val="en-US" w:eastAsia="zh-CN"/>
        </w:rPr>
        <w:t>1986</w:t>
      </w:r>
      <w:r w:rsidRPr="006E3B9B">
        <w:rPr>
          <w:rFonts w:hint="eastAsia"/>
          <w:lang w:val="en-US" w:eastAsia="zh-CN"/>
        </w:rPr>
        <w:t>年</w:t>
      </w:r>
    </w:p>
    <w:p w14:paraId="4827C004"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929</w:t>
      </w:r>
      <w:r w:rsidRPr="006E3B9B">
        <w:rPr>
          <w:lang w:val="en-US" w:eastAsia="zh-CN"/>
        </w:rPr>
        <w:t>号决议</w:t>
      </w:r>
      <w:r w:rsidRPr="006E3B9B">
        <w:rPr>
          <w:lang w:val="en-US" w:eastAsia="zh-CN"/>
        </w:rPr>
        <w:tab/>
      </w:r>
      <w:r w:rsidRPr="006E3B9B">
        <w:rPr>
          <w:rFonts w:hint="eastAsia"/>
          <w:lang w:eastAsia="zh-CN"/>
        </w:rPr>
        <w:t>电信发展中心</w:t>
      </w:r>
      <w:r w:rsidRPr="006E3B9B">
        <w:rPr>
          <w:lang w:val="en-US" w:eastAsia="zh-CN"/>
        </w:rPr>
        <w:tab/>
      </w:r>
      <w:r w:rsidR="0093668F">
        <w:rPr>
          <w:lang w:val="en-US" w:eastAsia="zh-CN"/>
        </w:rPr>
        <w:tab/>
      </w:r>
      <w:r w:rsidRPr="006E3B9B">
        <w:rPr>
          <w:lang w:val="en-US" w:eastAsia="zh-CN"/>
        </w:rPr>
        <w:t>1992</w:t>
      </w:r>
      <w:r w:rsidRPr="006E3B9B">
        <w:rPr>
          <w:rFonts w:hint="eastAsia"/>
          <w:lang w:val="en-US" w:eastAsia="zh-CN"/>
        </w:rPr>
        <w:t>年</w:t>
      </w:r>
    </w:p>
    <w:p w14:paraId="4827C005"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930</w:t>
      </w:r>
      <w:r w:rsidRPr="006E3B9B">
        <w:rPr>
          <w:lang w:val="en-US" w:eastAsia="zh-CN"/>
        </w:rPr>
        <w:t>号决议</w:t>
      </w:r>
      <w:r w:rsidRPr="006E3B9B">
        <w:rPr>
          <w:lang w:val="en-US" w:eastAsia="zh-CN"/>
        </w:rPr>
        <w:tab/>
      </w:r>
      <w:r w:rsidRPr="006E3B9B">
        <w:rPr>
          <w:rFonts w:hint="eastAsia"/>
          <w:lang w:eastAsia="zh-CN"/>
        </w:rPr>
        <w:t>联合检查组对技术合作和援助活动总体管理和运作的审查</w:t>
      </w:r>
      <w:r w:rsidRPr="006E3B9B">
        <w:rPr>
          <w:lang w:val="en-US" w:eastAsia="zh-CN"/>
        </w:rPr>
        <w:tab/>
      </w:r>
      <w:r w:rsidR="0093668F">
        <w:rPr>
          <w:lang w:val="en-US" w:eastAsia="zh-CN"/>
        </w:rPr>
        <w:tab/>
      </w:r>
      <w:r w:rsidRPr="006E3B9B">
        <w:rPr>
          <w:lang w:val="en-US" w:eastAsia="zh-CN"/>
        </w:rPr>
        <w:t>1988</w:t>
      </w:r>
      <w:r w:rsidRPr="006E3B9B">
        <w:rPr>
          <w:rFonts w:hint="eastAsia"/>
          <w:lang w:val="en-US" w:eastAsia="zh-CN"/>
        </w:rPr>
        <w:t>年</w:t>
      </w:r>
    </w:p>
    <w:p w14:paraId="4827C006"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931</w:t>
      </w:r>
      <w:r w:rsidRPr="006E3B9B">
        <w:rPr>
          <w:lang w:val="en-US" w:eastAsia="zh-CN"/>
        </w:rPr>
        <w:t>号决议</w:t>
      </w:r>
      <w:r w:rsidRPr="006E3B9B">
        <w:rPr>
          <w:lang w:val="en-US" w:eastAsia="zh-CN"/>
        </w:rPr>
        <w:tab/>
      </w:r>
      <w:r w:rsidRPr="006E3B9B">
        <w:rPr>
          <w:rFonts w:hint="eastAsia"/>
          <w:lang w:eastAsia="zh-CN"/>
        </w:rPr>
        <w:t>国际电信联盟</w:t>
      </w:r>
      <w:r w:rsidRPr="006E3B9B">
        <w:rPr>
          <w:lang w:eastAsia="zh-CN"/>
        </w:rPr>
        <w:t>1986</w:t>
      </w:r>
      <w:r w:rsidRPr="006E3B9B">
        <w:rPr>
          <w:rFonts w:hint="eastAsia"/>
          <w:lang w:eastAsia="zh-CN"/>
        </w:rPr>
        <w:t>年预算</w:t>
      </w:r>
      <w:r w:rsidRPr="006E3B9B">
        <w:rPr>
          <w:lang w:val="en-US" w:eastAsia="zh-CN"/>
        </w:rPr>
        <w:tab/>
      </w:r>
      <w:r w:rsidR="0093668F">
        <w:rPr>
          <w:lang w:val="en-US" w:eastAsia="zh-CN"/>
        </w:rPr>
        <w:tab/>
      </w:r>
      <w:r w:rsidRPr="006E3B9B">
        <w:rPr>
          <w:lang w:val="en-US" w:eastAsia="zh-CN"/>
        </w:rPr>
        <w:t>1987</w:t>
      </w:r>
      <w:r w:rsidRPr="006E3B9B">
        <w:rPr>
          <w:rFonts w:hint="eastAsia"/>
          <w:lang w:val="en-US" w:eastAsia="zh-CN"/>
        </w:rPr>
        <w:t>年</w:t>
      </w:r>
    </w:p>
    <w:p w14:paraId="4827C007"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932</w:t>
      </w:r>
      <w:r w:rsidRPr="006E3B9B">
        <w:rPr>
          <w:lang w:val="en-US" w:eastAsia="zh-CN"/>
        </w:rPr>
        <w:t>号决议</w:t>
      </w:r>
      <w:r w:rsidRPr="006E3B9B">
        <w:rPr>
          <w:lang w:val="en-US" w:eastAsia="zh-CN"/>
        </w:rPr>
        <w:tab/>
      </w:r>
      <w:r w:rsidRPr="006E3B9B">
        <w:rPr>
          <w:rFonts w:hint="eastAsia"/>
          <w:lang w:eastAsia="zh-CN"/>
        </w:rPr>
        <w:t>联合国合办职员养恤基金的养恤金制度</w:t>
      </w:r>
      <w:r w:rsidRPr="006E3B9B">
        <w:rPr>
          <w:lang w:val="en-US" w:eastAsia="zh-CN"/>
        </w:rPr>
        <w:tab/>
      </w:r>
      <w:r w:rsidR="0093668F">
        <w:rPr>
          <w:lang w:val="en-US" w:eastAsia="zh-CN"/>
        </w:rPr>
        <w:tab/>
      </w:r>
      <w:r w:rsidRPr="006E3B9B">
        <w:rPr>
          <w:lang w:val="en-US" w:eastAsia="zh-CN"/>
        </w:rPr>
        <w:t>1995</w:t>
      </w:r>
      <w:r w:rsidRPr="006E3B9B">
        <w:rPr>
          <w:rFonts w:hint="eastAsia"/>
          <w:lang w:val="en-US" w:eastAsia="zh-CN"/>
        </w:rPr>
        <w:t>年</w:t>
      </w:r>
    </w:p>
    <w:p w14:paraId="4827C008"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933</w:t>
      </w:r>
      <w:r w:rsidRPr="006E3B9B">
        <w:rPr>
          <w:lang w:val="en-US" w:eastAsia="zh-CN"/>
        </w:rPr>
        <w:t>号决议</w:t>
      </w:r>
      <w:r w:rsidRPr="006E3B9B">
        <w:rPr>
          <w:lang w:val="en-US" w:eastAsia="zh-CN"/>
        </w:rPr>
        <w:tab/>
      </w:r>
      <w:r w:rsidRPr="006E3B9B">
        <w:rPr>
          <w:rFonts w:hint="eastAsia"/>
          <w:lang w:eastAsia="zh-CN"/>
        </w:rPr>
        <w:t>有关移动业务的世界无线电行政大会</w:t>
      </w:r>
      <w:r w:rsidRPr="006E3B9B">
        <w:rPr>
          <w:lang w:val="en-US" w:eastAsia="zh-CN"/>
        </w:rPr>
        <w:tab/>
      </w:r>
      <w:r w:rsidR="0093668F">
        <w:rPr>
          <w:lang w:val="en-US" w:eastAsia="zh-CN"/>
        </w:rPr>
        <w:tab/>
      </w:r>
      <w:r w:rsidRPr="006E3B9B">
        <w:rPr>
          <w:lang w:val="en-US" w:eastAsia="zh-CN"/>
        </w:rPr>
        <w:t>1988</w:t>
      </w:r>
      <w:r w:rsidRPr="006E3B9B">
        <w:rPr>
          <w:rFonts w:hint="eastAsia"/>
          <w:lang w:val="en-US" w:eastAsia="zh-CN"/>
        </w:rPr>
        <w:t>年</w:t>
      </w:r>
    </w:p>
    <w:p w14:paraId="4827C009"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934</w:t>
      </w:r>
      <w:r w:rsidRPr="006E3B9B">
        <w:rPr>
          <w:lang w:val="en-US" w:eastAsia="zh-CN"/>
        </w:rPr>
        <w:t>号决议</w:t>
      </w:r>
      <w:r w:rsidRPr="006E3B9B">
        <w:rPr>
          <w:lang w:val="en-US" w:eastAsia="zh-CN"/>
        </w:rPr>
        <w:tab/>
      </w:r>
      <w:r w:rsidRPr="006E3B9B">
        <w:rPr>
          <w:rFonts w:hint="eastAsia"/>
          <w:lang w:eastAsia="zh-CN"/>
        </w:rPr>
        <w:t>职位的延续、设立和定级</w:t>
      </w:r>
      <w:r w:rsidRPr="006E3B9B">
        <w:rPr>
          <w:lang w:val="en-US" w:eastAsia="zh-CN"/>
        </w:rPr>
        <w:tab/>
      </w:r>
      <w:r w:rsidR="0093668F">
        <w:rPr>
          <w:lang w:val="en-US" w:eastAsia="zh-CN"/>
        </w:rPr>
        <w:tab/>
      </w:r>
      <w:r w:rsidRPr="006E3B9B">
        <w:rPr>
          <w:lang w:val="en-US" w:eastAsia="zh-CN"/>
        </w:rPr>
        <w:t>1990</w:t>
      </w:r>
      <w:r w:rsidRPr="006E3B9B">
        <w:rPr>
          <w:rFonts w:hint="eastAsia"/>
          <w:lang w:val="en-US" w:eastAsia="zh-CN"/>
        </w:rPr>
        <w:t>年</w:t>
      </w:r>
    </w:p>
    <w:p w14:paraId="4827C00A"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935</w:t>
      </w:r>
      <w:r w:rsidRPr="006E3B9B">
        <w:rPr>
          <w:lang w:val="en-US" w:eastAsia="zh-CN"/>
        </w:rPr>
        <w:t>号决议</w:t>
      </w:r>
      <w:r w:rsidRPr="006E3B9B">
        <w:rPr>
          <w:lang w:val="en-US" w:eastAsia="zh-CN"/>
        </w:rPr>
        <w:tab/>
      </w:r>
      <w:r w:rsidRPr="006E3B9B">
        <w:rPr>
          <w:rFonts w:hint="eastAsia"/>
          <w:lang w:eastAsia="zh-CN"/>
        </w:rPr>
        <w:t>任命和晋升委员会</w:t>
      </w:r>
      <w:r w:rsidRPr="006E3B9B">
        <w:rPr>
          <w:lang w:val="en-US" w:eastAsia="zh-CN"/>
        </w:rPr>
        <w:tab/>
      </w:r>
      <w:r w:rsidR="0093668F">
        <w:rPr>
          <w:lang w:val="en-US" w:eastAsia="zh-CN"/>
        </w:rPr>
        <w:tab/>
      </w:r>
      <w:r w:rsidRPr="006E3B9B">
        <w:rPr>
          <w:lang w:val="en-US" w:eastAsia="zh-CN"/>
        </w:rPr>
        <w:t>1986</w:t>
      </w:r>
      <w:r w:rsidRPr="006E3B9B">
        <w:rPr>
          <w:rFonts w:hint="eastAsia"/>
          <w:lang w:val="en-US" w:eastAsia="zh-CN"/>
        </w:rPr>
        <w:t>年</w:t>
      </w:r>
    </w:p>
    <w:p w14:paraId="4827C00B"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936</w:t>
      </w:r>
      <w:r w:rsidRPr="006E3B9B">
        <w:rPr>
          <w:lang w:val="en-US" w:eastAsia="zh-CN"/>
        </w:rPr>
        <w:t>号决议</w:t>
      </w:r>
      <w:r w:rsidRPr="006E3B9B">
        <w:rPr>
          <w:lang w:val="en-US" w:eastAsia="zh-CN"/>
        </w:rPr>
        <w:tab/>
      </w:r>
      <w:r w:rsidRPr="006E3B9B">
        <w:rPr>
          <w:rFonts w:hint="eastAsia"/>
          <w:lang w:eastAsia="zh-CN"/>
        </w:rPr>
        <w:t>协助实施内罗毕全权代表大第</w:t>
      </w:r>
      <w:r w:rsidRPr="006E3B9B">
        <w:rPr>
          <w:lang w:eastAsia="zh-CN"/>
        </w:rPr>
        <w:t>62</w:t>
      </w:r>
      <w:r w:rsidRPr="006E3B9B">
        <w:rPr>
          <w:rFonts w:hint="eastAsia"/>
          <w:lang w:eastAsia="zh-CN"/>
        </w:rPr>
        <w:t>号决议的专家组（《国际电联基本文件》）</w:t>
      </w:r>
      <w:r w:rsidR="0093668F">
        <w:rPr>
          <w:lang w:eastAsia="zh-CN"/>
        </w:rPr>
        <w:tab/>
      </w:r>
      <w:r w:rsidRPr="006E3B9B">
        <w:rPr>
          <w:lang w:val="en-US" w:eastAsia="zh-CN"/>
        </w:rPr>
        <w:tab/>
        <w:t>1990</w:t>
      </w:r>
      <w:r w:rsidRPr="006E3B9B">
        <w:rPr>
          <w:rFonts w:hint="eastAsia"/>
          <w:lang w:val="en-US" w:eastAsia="zh-CN"/>
        </w:rPr>
        <w:t>年</w:t>
      </w:r>
    </w:p>
    <w:p w14:paraId="4827C00C"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937</w:t>
      </w:r>
      <w:r w:rsidRPr="006E3B9B">
        <w:rPr>
          <w:lang w:val="en-US" w:eastAsia="zh-CN"/>
        </w:rPr>
        <w:t>号决议</w:t>
      </w:r>
      <w:r w:rsidRPr="006E3B9B">
        <w:rPr>
          <w:lang w:val="en-US" w:eastAsia="zh-CN"/>
        </w:rPr>
        <w:tab/>
      </w:r>
      <w:r w:rsidRPr="006E3B9B">
        <w:rPr>
          <w:rFonts w:hint="eastAsia"/>
          <w:lang w:eastAsia="zh-CN"/>
        </w:rPr>
        <w:t>共同制度的服务条件</w:t>
      </w:r>
      <w:r w:rsidRPr="006E3B9B">
        <w:rPr>
          <w:lang w:val="en-US" w:eastAsia="zh-CN"/>
        </w:rPr>
        <w:tab/>
      </w:r>
      <w:r w:rsidR="0093668F">
        <w:rPr>
          <w:lang w:val="en-US" w:eastAsia="zh-CN"/>
        </w:rPr>
        <w:tab/>
      </w:r>
      <w:r w:rsidRPr="006E3B9B">
        <w:rPr>
          <w:lang w:val="en-US" w:eastAsia="zh-CN"/>
        </w:rPr>
        <w:t>1991</w:t>
      </w:r>
      <w:r w:rsidRPr="006E3B9B">
        <w:rPr>
          <w:rFonts w:hint="eastAsia"/>
          <w:lang w:val="en-US" w:eastAsia="zh-CN"/>
        </w:rPr>
        <w:t>年</w:t>
      </w:r>
    </w:p>
    <w:p w14:paraId="4827C00D" w14:textId="77777777" w:rsidR="006E3B9B" w:rsidRPr="006E3B9B" w:rsidRDefault="006E3B9B" w:rsidP="0093668F">
      <w:pPr>
        <w:pStyle w:val="Appendixref"/>
        <w:rPr>
          <w:lang w:val="en-US" w:eastAsia="zh-CN"/>
        </w:rPr>
      </w:pPr>
      <w:r w:rsidRPr="006E3B9B">
        <w:rPr>
          <w:lang w:val="en-US" w:eastAsia="zh-CN"/>
        </w:rPr>
        <w:t>第</w:t>
      </w:r>
      <w:r w:rsidRPr="006E3B9B">
        <w:rPr>
          <w:lang w:val="en-US" w:eastAsia="zh-CN"/>
        </w:rPr>
        <w:t>938</w:t>
      </w:r>
      <w:r w:rsidRPr="006E3B9B">
        <w:rPr>
          <w:lang w:val="en-US" w:eastAsia="zh-CN"/>
        </w:rPr>
        <w:t>号决议</w:t>
      </w:r>
      <w:r w:rsidRPr="006E3B9B">
        <w:rPr>
          <w:lang w:val="en-US" w:eastAsia="zh-CN"/>
        </w:rPr>
        <w:tab/>
      </w:r>
      <w:r w:rsidRPr="006E3B9B">
        <w:rPr>
          <w:rFonts w:hint="eastAsia"/>
          <w:lang w:eastAsia="zh-CN"/>
        </w:rPr>
        <w:t>有关</w:t>
      </w:r>
      <w:r w:rsidRPr="006E3B9B">
        <w:rPr>
          <w:lang w:eastAsia="zh-CN"/>
        </w:rPr>
        <w:t>MF</w:t>
      </w:r>
      <w:r w:rsidRPr="00587F0E">
        <w:rPr>
          <w:rFonts w:hint="eastAsia"/>
          <w:lang w:val="en-US" w:eastAsia="zh-CN"/>
        </w:rPr>
        <w:t>水上移动和航空无线电导航业务规划的区域性无线电行政大会</w:t>
      </w:r>
      <w:r w:rsidRPr="006E3B9B">
        <w:rPr>
          <w:rFonts w:hint="eastAsia"/>
          <w:lang w:eastAsia="zh-CN"/>
        </w:rPr>
        <w:t>遗留难题的解决</w:t>
      </w:r>
      <w:r w:rsidRPr="006E3B9B">
        <w:rPr>
          <w:lang w:val="en-US" w:eastAsia="zh-CN"/>
        </w:rPr>
        <w:tab/>
      </w:r>
      <w:r w:rsidR="00587F0E">
        <w:rPr>
          <w:lang w:val="en-US" w:eastAsia="zh-CN"/>
        </w:rPr>
        <w:tab/>
      </w:r>
      <w:r w:rsidRPr="006E3B9B">
        <w:rPr>
          <w:lang w:val="en-US" w:eastAsia="zh-CN"/>
        </w:rPr>
        <w:t>1992</w:t>
      </w:r>
      <w:r w:rsidRPr="006E3B9B">
        <w:rPr>
          <w:rFonts w:hint="eastAsia"/>
          <w:lang w:val="en-US" w:eastAsia="zh-CN"/>
        </w:rPr>
        <w:t>年</w:t>
      </w:r>
    </w:p>
    <w:p w14:paraId="4827C00E" w14:textId="77777777" w:rsidR="006E3B9B" w:rsidRPr="006E3B9B" w:rsidRDefault="006E3B9B" w:rsidP="003E11A1">
      <w:pPr>
        <w:pStyle w:val="Reftitle"/>
        <w:rPr>
          <w:lang w:val="en-US" w:eastAsia="zh-CN"/>
        </w:rPr>
      </w:pPr>
      <w:r w:rsidRPr="006E3B9B">
        <w:rPr>
          <w:rFonts w:hint="eastAsia"/>
          <w:lang w:eastAsia="zh-CN"/>
        </w:rPr>
        <w:t>第</w:t>
      </w:r>
      <w:r w:rsidRPr="006E3B9B">
        <w:rPr>
          <w:lang w:eastAsia="zh-CN"/>
        </w:rPr>
        <w:t>41</w:t>
      </w:r>
      <w:r w:rsidRPr="006E3B9B">
        <w:rPr>
          <w:rFonts w:hint="eastAsia"/>
          <w:lang w:eastAsia="zh-CN"/>
        </w:rPr>
        <w:t>届会议（</w:t>
      </w:r>
      <w:r w:rsidRPr="006E3B9B">
        <w:rPr>
          <w:lang w:eastAsia="zh-CN"/>
        </w:rPr>
        <w:t>1986</w:t>
      </w:r>
      <w:r w:rsidRPr="006E3B9B">
        <w:rPr>
          <w:rFonts w:hint="eastAsia"/>
          <w:lang w:eastAsia="zh-CN"/>
        </w:rPr>
        <w:t>年</w:t>
      </w:r>
      <w:r w:rsidRPr="006E3B9B">
        <w:rPr>
          <w:lang w:eastAsia="zh-CN"/>
        </w:rPr>
        <w:t>6</w:t>
      </w:r>
      <w:r w:rsidRPr="006E3B9B">
        <w:rPr>
          <w:rFonts w:hint="eastAsia"/>
          <w:lang w:eastAsia="zh-CN"/>
        </w:rPr>
        <w:t>月）</w:t>
      </w:r>
    </w:p>
    <w:p w14:paraId="4827C00F"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939</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1985</w:t>
      </w:r>
      <w:r w:rsidRPr="006E3B9B">
        <w:rPr>
          <w:rFonts w:hint="eastAsia"/>
          <w:lang w:eastAsia="zh-CN"/>
        </w:rPr>
        <w:t>年财务工作报告</w:t>
      </w:r>
      <w:r w:rsidRPr="006E3B9B">
        <w:rPr>
          <w:lang w:val="en-US" w:eastAsia="zh-CN"/>
        </w:rPr>
        <w:tab/>
      </w:r>
      <w:r w:rsidR="005F6138">
        <w:rPr>
          <w:lang w:val="en-US" w:eastAsia="zh-CN"/>
        </w:rPr>
        <w:tab/>
      </w:r>
      <w:r w:rsidRPr="006E3B9B">
        <w:rPr>
          <w:lang w:val="en-US" w:eastAsia="zh-CN"/>
        </w:rPr>
        <w:t>1987</w:t>
      </w:r>
      <w:r w:rsidRPr="006E3B9B">
        <w:rPr>
          <w:rFonts w:hint="eastAsia"/>
          <w:lang w:val="en-US" w:eastAsia="zh-CN"/>
        </w:rPr>
        <w:t>年</w:t>
      </w:r>
    </w:p>
    <w:p w14:paraId="4827C010"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940</w:t>
      </w:r>
      <w:r w:rsidRPr="006E3B9B">
        <w:rPr>
          <w:lang w:val="en-US" w:eastAsia="zh-CN"/>
        </w:rPr>
        <w:t>号决议</w:t>
      </w:r>
      <w:r w:rsidRPr="006E3B9B">
        <w:rPr>
          <w:lang w:val="en-US" w:eastAsia="zh-CN"/>
        </w:rPr>
        <w:tab/>
      </w:r>
      <w:r w:rsidRPr="006E3B9B">
        <w:rPr>
          <w:rFonts w:hint="eastAsia"/>
          <w:lang w:eastAsia="zh-CN"/>
        </w:rPr>
        <w:t>东非对外电信公司的欠款</w:t>
      </w:r>
      <w:r w:rsidRPr="006E3B9B">
        <w:rPr>
          <w:lang w:val="en-US" w:eastAsia="zh-CN"/>
        </w:rPr>
        <w:tab/>
      </w:r>
      <w:r w:rsidR="005F6138">
        <w:rPr>
          <w:lang w:val="en-US" w:eastAsia="zh-CN"/>
        </w:rPr>
        <w:tab/>
      </w:r>
      <w:r w:rsidRPr="006E3B9B">
        <w:rPr>
          <w:lang w:val="en-US" w:eastAsia="zh-CN"/>
        </w:rPr>
        <w:t>1987</w:t>
      </w:r>
      <w:r w:rsidRPr="006E3B9B">
        <w:rPr>
          <w:rFonts w:hint="eastAsia"/>
          <w:lang w:val="en-US" w:eastAsia="zh-CN"/>
        </w:rPr>
        <w:t>年</w:t>
      </w:r>
    </w:p>
    <w:p w14:paraId="4827C011"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941</w:t>
      </w:r>
      <w:r w:rsidRPr="006E3B9B">
        <w:rPr>
          <w:lang w:val="en-US" w:eastAsia="zh-CN"/>
        </w:rPr>
        <w:t>号决议</w:t>
      </w:r>
      <w:r w:rsidRPr="006E3B9B">
        <w:rPr>
          <w:lang w:val="en-US" w:eastAsia="zh-CN"/>
        </w:rPr>
        <w:tab/>
      </w:r>
      <w:r w:rsidRPr="006E3B9B">
        <w:rPr>
          <w:rFonts w:hint="eastAsia"/>
          <w:lang w:eastAsia="zh-CN"/>
        </w:rPr>
        <w:t>美国银泉</w:t>
      </w:r>
      <w:r w:rsidRPr="006E3B9B">
        <w:rPr>
          <w:lang w:eastAsia="zh-CN"/>
        </w:rPr>
        <w:t>Rixon</w:t>
      </w:r>
      <w:r w:rsidRPr="006E3B9B">
        <w:rPr>
          <w:rFonts w:hint="eastAsia"/>
          <w:lang w:eastAsia="zh-CN"/>
        </w:rPr>
        <w:t>公司的欠款</w:t>
      </w:r>
      <w:r w:rsidRPr="006E3B9B">
        <w:rPr>
          <w:lang w:val="en-US" w:eastAsia="zh-CN"/>
        </w:rPr>
        <w:tab/>
      </w:r>
      <w:r w:rsidR="005F6138">
        <w:rPr>
          <w:lang w:val="en-US" w:eastAsia="zh-CN"/>
        </w:rPr>
        <w:tab/>
      </w:r>
      <w:r w:rsidRPr="006E3B9B">
        <w:rPr>
          <w:lang w:val="en-US" w:eastAsia="zh-CN"/>
        </w:rPr>
        <w:t>1987</w:t>
      </w:r>
      <w:r w:rsidRPr="006E3B9B">
        <w:rPr>
          <w:rFonts w:hint="eastAsia"/>
          <w:lang w:val="en-US" w:eastAsia="zh-CN"/>
        </w:rPr>
        <w:t>年</w:t>
      </w:r>
    </w:p>
    <w:p w14:paraId="4827C012"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942</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1985</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1</w:t>
      </w:r>
      <w:r w:rsidRPr="006E3B9B">
        <w:rPr>
          <w:rFonts w:hint="eastAsia"/>
          <w:lang w:eastAsia="zh-CN"/>
        </w:rPr>
        <w:t>日至</w:t>
      </w:r>
      <w:r w:rsidRPr="006E3B9B">
        <w:rPr>
          <w:lang w:eastAsia="zh-CN"/>
        </w:rPr>
        <w:t>12</w:t>
      </w:r>
      <w:r w:rsidRPr="006E3B9B">
        <w:rPr>
          <w:rFonts w:hint="eastAsia"/>
          <w:lang w:eastAsia="zh-CN"/>
        </w:rPr>
        <w:t>月</w:t>
      </w:r>
      <w:r w:rsidRPr="006E3B9B">
        <w:rPr>
          <w:lang w:eastAsia="zh-CN"/>
        </w:rPr>
        <w:t>31</w:t>
      </w:r>
      <w:r w:rsidRPr="006E3B9B">
        <w:rPr>
          <w:rFonts w:hint="eastAsia"/>
          <w:lang w:eastAsia="zh-CN"/>
        </w:rPr>
        <w:t>日账目的外部审计</w:t>
      </w:r>
      <w:r w:rsidRPr="006E3B9B">
        <w:rPr>
          <w:lang w:val="en-US" w:eastAsia="zh-CN"/>
        </w:rPr>
        <w:tab/>
      </w:r>
      <w:r w:rsidR="005F6138">
        <w:rPr>
          <w:lang w:val="en-US" w:eastAsia="zh-CN"/>
        </w:rPr>
        <w:tab/>
      </w:r>
      <w:r w:rsidRPr="006E3B9B">
        <w:rPr>
          <w:lang w:val="en-US" w:eastAsia="zh-CN"/>
        </w:rPr>
        <w:t>1987</w:t>
      </w:r>
      <w:r w:rsidRPr="006E3B9B">
        <w:rPr>
          <w:rFonts w:hint="eastAsia"/>
          <w:lang w:val="en-US" w:eastAsia="zh-CN"/>
        </w:rPr>
        <w:t>年</w:t>
      </w:r>
    </w:p>
    <w:p w14:paraId="4827C013"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943</w:t>
      </w:r>
      <w:r w:rsidRPr="006E3B9B">
        <w:rPr>
          <w:lang w:val="en-US" w:eastAsia="zh-CN"/>
        </w:rPr>
        <w:t>号决议</w:t>
      </w:r>
      <w:r w:rsidRPr="006E3B9B">
        <w:rPr>
          <w:lang w:val="en-US" w:eastAsia="zh-CN"/>
        </w:rPr>
        <w:tab/>
      </w:r>
      <w:r w:rsidRPr="006E3B9B">
        <w:rPr>
          <w:rFonts w:hint="eastAsia"/>
          <w:lang w:eastAsia="zh-CN"/>
        </w:rPr>
        <w:t>协助实施内罗毕全权代表大会第</w:t>
      </w:r>
      <w:r w:rsidRPr="006E3B9B">
        <w:rPr>
          <w:lang w:eastAsia="zh-CN"/>
        </w:rPr>
        <w:t>68</w:t>
      </w:r>
      <w:r w:rsidRPr="00587F0E">
        <w:rPr>
          <w:rFonts w:hint="eastAsia"/>
          <w:lang w:val="en-US" w:eastAsia="zh-CN"/>
        </w:rPr>
        <w:t>号决议的专家组</w:t>
      </w:r>
      <w:r w:rsidRPr="006E3B9B">
        <w:rPr>
          <w:rFonts w:hint="eastAsia"/>
          <w:lang w:eastAsia="zh-CN"/>
        </w:rPr>
        <w:t>（根据频登会长</w:t>
      </w:r>
      <w:r w:rsidRPr="006E3B9B">
        <w:rPr>
          <w:rFonts w:hint="eastAsia"/>
          <w:lang w:val="en-US" w:eastAsia="zh-CN"/>
        </w:rPr>
        <w:t>远未来</w:t>
      </w:r>
      <w:r w:rsidRPr="006E3B9B">
        <w:rPr>
          <w:rFonts w:hint="eastAsia"/>
          <w:lang w:eastAsia="zh-CN"/>
        </w:rPr>
        <w:t>的变化情况进行审议）</w:t>
      </w:r>
      <w:r w:rsidRPr="006E3B9B">
        <w:rPr>
          <w:lang w:val="en-US" w:eastAsia="zh-CN"/>
        </w:rPr>
        <w:tab/>
      </w:r>
      <w:r w:rsidR="00587F0E">
        <w:rPr>
          <w:lang w:val="en-US" w:eastAsia="zh-CN"/>
        </w:rPr>
        <w:tab/>
      </w:r>
      <w:r w:rsidRPr="006E3B9B">
        <w:rPr>
          <w:lang w:val="en-US" w:eastAsia="zh-CN"/>
        </w:rPr>
        <w:t>1990</w:t>
      </w:r>
      <w:r w:rsidRPr="006E3B9B">
        <w:rPr>
          <w:rFonts w:hint="eastAsia"/>
          <w:lang w:val="en-US" w:eastAsia="zh-CN"/>
        </w:rPr>
        <w:t>年</w:t>
      </w:r>
    </w:p>
    <w:p w14:paraId="4827C014"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944</w:t>
      </w:r>
      <w:r w:rsidRPr="006E3B9B">
        <w:rPr>
          <w:lang w:val="en-US" w:eastAsia="zh-CN"/>
        </w:rPr>
        <w:t>号决议</w:t>
      </w:r>
      <w:r w:rsidRPr="006E3B9B">
        <w:rPr>
          <w:lang w:val="en-US" w:eastAsia="zh-CN"/>
        </w:rPr>
        <w:tab/>
      </w:r>
      <w:r w:rsidRPr="006E3B9B">
        <w:rPr>
          <w:rFonts w:hint="eastAsia"/>
          <w:lang w:eastAsia="zh-CN"/>
        </w:rPr>
        <w:t>借方账目的特别准备金</w:t>
      </w:r>
      <w:r w:rsidRPr="006E3B9B">
        <w:rPr>
          <w:lang w:val="en-US" w:eastAsia="zh-CN"/>
        </w:rPr>
        <w:tab/>
      </w:r>
      <w:r w:rsidR="005F6138">
        <w:rPr>
          <w:lang w:val="en-US" w:eastAsia="zh-CN"/>
        </w:rPr>
        <w:tab/>
      </w:r>
      <w:r w:rsidRPr="006E3B9B">
        <w:rPr>
          <w:lang w:val="en-US" w:eastAsia="zh-CN"/>
        </w:rPr>
        <w:t>1993</w:t>
      </w:r>
      <w:r w:rsidRPr="006E3B9B">
        <w:rPr>
          <w:rFonts w:hint="eastAsia"/>
          <w:lang w:val="en-US" w:eastAsia="zh-CN"/>
        </w:rPr>
        <w:t>年</w:t>
      </w:r>
    </w:p>
    <w:p w14:paraId="4827C015" w14:textId="77777777" w:rsidR="00BF1CF1" w:rsidRDefault="00BF1CF1">
      <w:pPr>
        <w:tabs>
          <w:tab w:val="clear" w:pos="794"/>
          <w:tab w:val="clear" w:pos="1191"/>
          <w:tab w:val="clear" w:pos="1588"/>
          <w:tab w:val="clear" w:pos="1985"/>
        </w:tabs>
        <w:overflowPunct/>
        <w:autoSpaceDE/>
        <w:autoSpaceDN/>
        <w:adjustRightInd/>
        <w:spacing w:before="0"/>
        <w:jc w:val="left"/>
        <w:textAlignment w:val="auto"/>
        <w:rPr>
          <w:sz w:val="20"/>
          <w:lang w:val="en-US" w:eastAsia="zh-CN"/>
        </w:rPr>
      </w:pPr>
      <w:r>
        <w:rPr>
          <w:lang w:val="en-US" w:eastAsia="zh-CN"/>
        </w:rPr>
        <w:br w:type="page"/>
      </w:r>
    </w:p>
    <w:p w14:paraId="4827C016" w14:textId="77777777" w:rsidR="006E3B9B" w:rsidRPr="006E3B9B" w:rsidRDefault="006E3B9B" w:rsidP="005F6138">
      <w:pPr>
        <w:pStyle w:val="Appendixref"/>
        <w:rPr>
          <w:lang w:val="en-US" w:eastAsia="zh-CN"/>
        </w:rPr>
      </w:pPr>
      <w:r w:rsidRPr="006E3B9B">
        <w:rPr>
          <w:lang w:val="en-US" w:eastAsia="zh-CN"/>
        </w:rPr>
        <w:lastRenderedPageBreak/>
        <w:t>第</w:t>
      </w:r>
      <w:r w:rsidRPr="006E3B9B">
        <w:rPr>
          <w:lang w:val="en-US" w:eastAsia="zh-CN"/>
        </w:rPr>
        <w:t>945</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1986</w:t>
      </w:r>
      <w:r w:rsidRPr="006E3B9B">
        <w:rPr>
          <w:rFonts w:hint="eastAsia"/>
          <w:lang w:eastAsia="zh-CN"/>
        </w:rPr>
        <w:t>年预算</w:t>
      </w:r>
      <w:r w:rsidRPr="006E3B9B">
        <w:rPr>
          <w:lang w:val="en-US" w:eastAsia="zh-CN"/>
        </w:rPr>
        <w:tab/>
      </w:r>
      <w:r w:rsidR="005F6138">
        <w:rPr>
          <w:lang w:val="en-US" w:eastAsia="zh-CN"/>
        </w:rPr>
        <w:tab/>
      </w:r>
      <w:r w:rsidRPr="006E3B9B">
        <w:rPr>
          <w:lang w:val="en-US" w:eastAsia="zh-CN"/>
        </w:rPr>
        <w:t>1987</w:t>
      </w:r>
      <w:r w:rsidRPr="006E3B9B">
        <w:rPr>
          <w:rFonts w:hint="eastAsia"/>
          <w:lang w:val="en-US" w:eastAsia="zh-CN"/>
        </w:rPr>
        <w:t>年</w:t>
      </w:r>
    </w:p>
    <w:p w14:paraId="4827C017"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946</w:t>
      </w:r>
      <w:r w:rsidRPr="006E3B9B">
        <w:rPr>
          <w:lang w:val="en-US" w:eastAsia="zh-CN"/>
        </w:rPr>
        <w:t>号决议</w:t>
      </w:r>
      <w:r w:rsidRPr="006E3B9B">
        <w:rPr>
          <w:lang w:val="en-US" w:eastAsia="zh-CN"/>
        </w:rPr>
        <w:tab/>
      </w:r>
      <w:r w:rsidRPr="006E3B9B">
        <w:rPr>
          <w:rFonts w:hint="eastAsia"/>
          <w:lang w:eastAsia="zh-CN"/>
        </w:rPr>
        <w:t>国际电联《财务规则》的修订</w:t>
      </w:r>
      <w:r w:rsidRPr="006E3B9B">
        <w:rPr>
          <w:lang w:val="en-US" w:eastAsia="zh-CN"/>
        </w:rPr>
        <w:tab/>
      </w:r>
      <w:r w:rsidR="005F6138">
        <w:rPr>
          <w:lang w:val="en-US" w:eastAsia="zh-CN"/>
        </w:rPr>
        <w:tab/>
      </w:r>
      <w:r w:rsidRPr="006E3B9B">
        <w:rPr>
          <w:lang w:val="en-US" w:eastAsia="zh-CN"/>
        </w:rPr>
        <w:t>1987</w:t>
      </w:r>
      <w:r w:rsidRPr="006E3B9B">
        <w:rPr>
          <w:rFonts w:hint="eastAsia"/>
          <w:lang w:val="en-US" w:eastAsia="zh-CN"/>
        </w:rPr>
        <w:t>年</w:t>
      </w:r>
    </w:p>
    <w:p w14:paraId="4827C018"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947</w:t>
      </w:r>
      <w:r w:rsidRPr="006E3B9B">
        <w:rPr>
          <w:lang w:val="en-US" w:eastAsia="zh-CN"/>
        </w:rPr>
        <w:t>号决议</w:t>
      </w:r>
      <w:r w:rsidRPr="006E3B9B">
        <w:rPr>
          <w:lang w:val="en-US" w:eastAsia="zh-CN"/>
        </w:rPr>
        <w:tab/>
      </w:r>
      <w:r w:rsidRPr="006E3B9B">
        <w:rPr>
          <w:rFonts w:hint="eastAsia"/>
          <w:lang w:eastAsia="zh-CN"/>
        </w:rPr>
        <w:t>国际电联《财务规则》的修订</w:t>
      </w:r>
      <w:r w:rsidRPr="006E3B9B">
        <w:rPr>
          <w:lang w:val="en-US" w:eastAsia="zh-CN"/>
        </w:rPr>
        <w:tab/>
      </w:r>
      <w:r w:rsidR="005F6138">
        <w:rPr>
          <w:lang w:val="en-US" w:eastAsia="zh-CN"/>
        </w:rPr>
        <w:tab/>
      </w:r>
      <w:r w:rsidRPr="006E3B9B">
        <w:rPr>
          <w:lang w:val="en-US" w:eastAsia="zh-CN"/>
        </w:rPr>
        <w:t>1987</w:t>
      </w:r>
      <w:r w:rsidRPr="006E3B9B">
        <w:rPr>
          <w:rFonts w:hint="eastAsia"/>
          <w:lang w:val="en-US" w:eastAsia="zh-CN"/>
        </w:rPr>
        <w:t>年</w:t>
      </w:r>
    </w:p>
    <w:p w14:paraId="4827C019"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948</w:t>
      </w:r>
      <w:r w:rsidRPr="006E3B9B">
        <w:rPr>
          <w:lang w:val="en-US" w:eastAsia="zh-CN"/>
        </w:rPr>
        <w:t>号决议</w:t>
      </w:r>
      <w:r w:rsidRPr="006E3B9B">
        <w:rPr>
          <w:lang w:val="en-US" w:eastAsia="zh-CN"/>
        </w:rPr>
        <w:tab/>
      </w:r>
      <w:r w:rsidRPr="006E3B9B">
        <w:rPr>
          <w:rFonts w:hint="eastAsia"/>
          <w:lang w:eastAsia="zh-CN"/>
        </w:rPr>
        <w:t>国际电联职员养恤金委员会的委员</w:t>
      </w:r>
      <w:r w:rsidRPr="006E3B9B">
        <w:rPr>
          <w:lang w:val="en-US" w:eastAsia="zh-CN"/>
        </w:rPr>
        <w:tab/>
      </w:r>
      <w:r w:rsidR="005F6138">
        <w:rPr>
          <w:lang w:val="en-US" w:eastAsia="zh-CN"/>
        </w:rPr>
        <w:tab/>
      </w:r>
      <w:r w:rsidRPr="006E3B9B">
        <w:rPr>
          <w:lang w:val="en-US" w:eastAsia="zh-CN"/>
        </w:rPr>
        <w:t>1987</w:t>
      </w:r>
      <w:r w:rsidRPr="006E3B9B">
        <w:rPr>
          <w:rFonts w:hint="eastAsia"/>
          <w:lang w:val="en-US" w:eastAsia="zh-CN"/>
        </w:rPr>
        <w:t>年</w:t>
      </w:r>
    </w:p>
    <w:p w14:paraId="4827C01A"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949</w:t>
      </w:r>
      <w:r w:rsidRPr="006E3B9B">
        <w:rPr>
          <w:lang w:val="en-US" w:eastAsia="zh-CN"/>
        </w:rPr>
        <w:t>号决议</w:t>
      </w:r>
      <w:r w:rsidRPr="006E3B9B">
        <w:rPr>
          <w:lang w:val="en-US" w:eastAsia="zh-CN"/>
        </w:rPr>
        <w:tab/>
      </w:r>
      <w:r w:rsidRPr="006E3B9B">
        <w:rPr>
          <w:rFonts w:hint="eastAsia"/>
          <w:lang w:eastAsia="zh-CN"/>
        </w:rPr>
        <w:t>一般事务职类的薪金表和离职费表</w:t>
      </w:r>
      <w:r w:rsidRPr="006E3B9B">
        <w:rPr>
          <w:lang w:val="en-US" w:eastAsia="zh-CN"/>
        </w:rPr>
        <w:tab/>
      </w:r>
      <w:r w:rsidR="005F6138">
        <w:rPr>
          <w:lang w:val="en-US" w:eastAsia="zh-CN"/>
        </w:rPr>
        <w:tab/>
      </w:r>
      <w:r w:rsidRPr="006E3B9B">
        <w:rPr>
          <w:lang w:val="en-US" w:eastAsia="zh-CN"/>
        </w:rPr>
        <w:t>1988</w:t>
      </w:r>
      <w:r w:rsidRPr="006E3B9B">
        <w:rPr>
          <w:rFonts w:hint="eastAsia"/>
          <w:lang w:val="en-US" w:eastAsia="zh-CN"/>
        </w:rPr>
        <w:t>年</w:t>
      </w:r>
    </w:p>
    <w:p w14:paraId="4827C01B" w14:textId="77777777" w:rsidR="006E3B9B" w:rsidRPr="006E3B9B" w:rsidRDefault="006E3B9B" w:rsidP="00DA7942">
      <w:pPr>
        <w:pStyle w:val="Appendixref"/>
        <w:rPr>
          <w:lang w:val="en-US" w:eastAsia="zh-CN"/>
        </w:rPr>
      </w:pPr>
      <w:r w:rsidRPr="006E3B9B">
        <w:rPr>
          <w:lang w:val="en-US" w:eastAsia="zh-CN"/>
        </w:rPr>
        <w:t>第</w:t>
      </w:r>
      <w:r w:rsidRPr="006E3B9B">
        <w:rPr>
          <w:lang w:val="en-US" w:eastAsia="zh-CN"/>
        </w:rPr>
        <w:t>950</w:t>
      </w:r>
      <w:r w:rsidRPr="006E3B9B">
        <w:rPr>
          <w:lang w:val="en-US" w:eastAsia="zh-CN"/>
        </w:rPr>
        <w:t>号决议</w:t>
      </w:r>
      <w:r w:rsidRPr="006E3B9B">
        <w:rPr>
          <w:lang w:val="en-US" w:eastAsia="zh-CN"/>
        </w:rPr>
        <w:tab/>
      </w:r>
      <w:r w:rsidRPr="006E3B9B">
        <w:rPr>
          <w:rFonts w:hint="eastAsia"/>
          <w:lang w:val="en-US" w:eastAsia="zh-CN"/>
        </w:rPr>
        <w:t>对</w:t>
      </w:r>
      <w:r w:rsidRPr="006E3B9B">
        <w:rPr>
          <w:rFonts w:hint="eastAsia"/>
          <w:lang w:eastAsia="zh-CN"/>
        </w:rPr>
        <w:t>适用于选任官员的《人事规则》第</w:t>
      </w:r>
      <w:r w:rsidRPr="006E3B9B">
        <w:rPr>
          <w:lang w:eastAsia="zh-CN"/>
        </w:rPr>
        <w:t>II.3</w:t>
      </w:r>
      <w:r w:rsidRPr="00587F0E">
        <w:rPr>
          <w:rFonts w:hint="eastAsia"/>
          <w:lang w:val="en-US" w:eastAsia="zh-CN"/>
        </w:rPr>
        <w:t>款和适用于委任职员的</w:t>
      </w:r>
      <w:r w:rsidRPr="006E3B9B">
        <w:rPr>
          <w:rFonts w:hint="eastAsia"/>
          <w:lang w:eastAsia="zh-CN"/>
        </w:rPr>
        <w:t>《人事规则》第</w:t>
      </w:r>
      <w:r w:rsidRPr="006E3B9B">
        <w:rPr>
          <w:lang w:eastAsia="zh-CN"/>
        </w:rPr>
        <w:t>3.11</w:t>
      </w:r>
      <w:r w:rsidRPr="006E3B9B">
        <w:rPr>
          <w:rFonts w:hint="eastAsia"/>
          <w:lang w:eastAsia="zh-CN"/>
        </w:rPr>
        <w:t>款的修正</w:t>
      </w:r>
      <w:r w:rsidRPr="006E3B9B">
        <w:rPr>
          <w:lang w:val="en-US" w:eastAsia="zh-CN"/>
        </w:rPr>
        <w:tab/>
      </w:r>
      <w:r w:rsidR="00587F0E">
        <w:rPr>
          <w:lang w:val="en-US" w:eastAsia="zh-CN"/>
        </w:rPr>
        <w:tab/>
      </w:r>
      <w:r w:rsidRPr="006E3B9B">
        <w:rPr>
          <w:lang w:val="en-US" w:eastAsia="zh-CN"/>
        </w:rPr>
        <w:t>1987</w:t>
      </w:r>
      <w:r w:rsidRPr="006E3B9B">
        <w:rPr>
          <w:rFonts w:hint="eastAsia"/>
          <w:lang w:val="en-US" w:eastAsia="zh-CN"/>
        </w:rPr>
        <w:t>年</w:t>
      </w:r>
    </w:p>
    <w:p w14:paraId="4827C01C"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951</w:t>
      </w:r>
      <w:r w:rsidRPr="006E3B9B">
        <w:rPr>
          <w:lang w:val="en-US" w:eastAsia="zh-CN"/>
        </w:rPr>
        <w:t>号决议</w:t>
      </w:r>
      <w:r w:rsidRPr="006E3B9B">
        <w:rPr>
          <w:lang w:val="en-US" w:eastAsia="zh-CN"/>
        </w:rPr>
        <w:tab/>
      </w:r>
      <w:r w:rsidRPr="006E3B9B">
        <w:rPr>
          <w:rFonts w:hint="eastAsia"/>
          <w:lang w:eastAsia="zh-CN"/>
        </w:rPr>
        <w:t>摊付国际电联费用的会费份额</w:t>
      </w:r>
      <w:r w:rsidRPr="006E3B9B">
        <w:rPr>
          <w:lang w:val="en-US" w:eastAsia="zh-CN"/>
        </w:rPr>
        <w:tab/>
      </w:r>
      <w:r w:rsidR="00DA7942">
        <w:rPr>
          <w:lang w:val="en-US" w:eastAsia="zh-CN"/>
        </w:rPr>
        <w:tab/>
      </w:r>
      <w:r w:rsidRPr="006E3B9B">
        <w:rPr>
          <w:lang w:val="en-US" w:eastAsia="zh-CN"/>
        </w:rPr>
        <w:t>1990</w:t>
      </w:r>
      <w:r w:rsidRPr="006E3B9B">
        <w:rPr>
          <w:rFonts w:hint="eastAsia"/>
          <w:lang w:val="en-US" w:eastAsia="zh-CN"/>
        </w:rPr>
        <w:t>年</w:t>
      </w:r>
    </w:p>
    <w:p w14:paraId="4827C01D"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952</w:t>
      </w:r>
      <w:r w:rsidRPr="006E3B9B">
        <w:rPr>
          <w:lang w:val="en-US" w:eastAsia="zh-CN"/>
        </w:rPr>
        <w:t>号决议</w:t>
      </w:r>
      <w:r w:rsidRPr="006E3B9B">
        <w:rPr>
          <w:lang w:val="en-US" w:eastAsia="zh-CN"/>
        </w:rPr>
        <w:tab/>
      </w:r>
      <w:r w:rsidRPr="006E3B9B">
        <w:rPr>
          <w:rFonts w:hint="eastAsia"/>
          <w:lang w:eastAsia="zh-CN"/>
        </w:rPr>
        <w:t>关于制定</w:t>
      </w:r>
      <w:r w:rsidRPr="006E3B9B">
        <w:rPr>
          <w:lang w:eastAsia="zh-CN"/>
        </w:rPr>
        <w:t>2</w:t>
      </w:r>
      <w:r w:rsidRPr="006E3B9B">
        <w:rPr>
          <w:rFonts w:hint="eastAsia"/>
          <w:lang w:eastAsia="zh-CN"/>
        </w:rPr>
        <w:t>区</w:t>
      </w:r>
      <w:r w:rsidRPr="006E3B9B">
        <w:rPr>
          <w:lang w:eastAsia="zh-CN"/>
        </w:rPr>
        <w:t>1605-1705kHz</w:t>
      </w:r>
      <w:r w:rsidRPr="006E3B9B">
        <w:rPr>
          <w:rFonts w:hint="eastAsia"/>
          <w:lang w:eastAsia="zh-CN"/>
        </w:rPr>
        <w:t>频段广播业务规划的区域性无线电行政大会第二次</w:t>
      </w:r>
      <w:r w:rsidR="00DA7942">
        <w:rPr>
          <w:lang w:eastAsia="zh-CN"/>
        </w:rPr>
        <w:br/>
      </w:r>
      <w:r w:rsidRPr="006E3B9B">
        <w:rPr>
          <w:rFonts w:hint="eastAsia"/>
          <w:lang w:eastAsia="zh-CN"/>
        </w:rPr>
        <w:t>会议</w:t>
      </w:r>
      <w:r w:rsidRPr="006E3B9B">
        <w:rPr>
          <w:lang w:val="en-US" w:eastAsia="zh-CN"/>
        </w:rPr>
        <w:tab/>
      </w:r>
      <w:r w:rsidR="00DA7942">
        <w:rPr>
          <w:lang w:val="en-US" w:eastAsia="zh-CN"/>
        </w:rPr>
        <w:tab/>
      </w:r>
      <w:r w:rsidRPr="006E3B9B">
        <w:rPr>
          <w:lang w:val="en-US" w:eastAsia="zh-CN"/>
        </w:rPr>
        <w:t>1988</w:t>
      </w:r>
      <w:r w:rsidRPr="006E3B9B">
        <w:rPr>
          <w:rFonts w:hint="eastAsia"/>
          <w:lang w:val="en-US" w:eastAsia="zh-CN"/>
        </w:rPr>
        <w:t>年</w:t>
      </w:r>
    </w:p>
    <w:p w14:paraId="4827C01E"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953</w:t>
      </w:r>
      <w:r w:rsidRPr="006E3B9B">
        <w:rPr>
          <w:lang w:val="en-US" w:eastAsia="zh-CN"/>
        </w:rPr>
        <w:t>号决议</w:t>
      </w:r>
      <w:r w:rsidRPr="006E3B9B">
        <w:rPr>
          <w:lang w:val="en-US" w:eastAsia="zh-CN"/>
        </w:rPr>
        <w:tab/>
      </w:r>
      <w:r w:rsidRPr="00587F0E">
        <w:rPr>
          <w:rFonts w:hint="eastAsia"/>
          <w:lang w:val="en-US" w:eastAsia="zh-CN"/>
        </w:rPr>
        <w:t>关于对地静止卫星轨道的使用和使用该轨道的空间业务的规划的世界无线电行政大会</w:t>
      </w:r>
      <w:r w:rsidRPr="006E3B9B">
        <w:rPr>
          <w:rFonts w:hint="eastAsia"/>
          <w:lang w:eastAsia="zh-CN"/>
        </w:rPr>
        <w:t>（第二次会议，</w:t>
      </w:r>
      <w:r w:rsidRPr="006E3B9B">
        <w:rPr>
          <w:rFonts w:hint="eastAsia"/>
          <w:lang w:eastAsia="zh-CN"/>
        </w:rPr>
        <w:t>1988</w:t>
      </w:r>
      <w:r w:rsidRPr="006E3B9B">
        <w:rPr>
          <w:rFonts w:hint="eastAsia"/>
          <w:lang w:eastAsia="zh-CN"/>
        </w:rPr>
        <w:t>年，日内瓦）</w:t>
      </w:r>
      <w:r w:rsidRPr="006E3B9B">
        <w:rPr>
          <w:lang w:val="en-US" w:eastAsia="zh-CN"/>
        </w:rPr>
        <w:tab/>
      </w:r>
      <w:r w:rsidR="00587F0E">
        <w:rPr>
          <w:lang w:val="en-US" w:eastAsia="zh-CN"/>
        </w:rPr>
        <w:tab/>
      </w:r>
      <w:r w:rsidRPr="006E3B9B">
        <w:rPr>
          <w:lang w:val="en-US" w:eastAsia="zh-CN"/>
        </w:rPr>
        <w:t>1990</w:t>
      </w:r>
      <w:r w:rsidRPr="006E3B9B">
        <w:rPr>
          <w:rFonts w:hint="eastAsia"/>
          <w:lang w:val="en-US" w:eastAsia="zh-CN"/>
        </w:rPr>
        <w:t>年</w:t>
      </w:r>
    </w:p>
    <w:p w14:paraId="4827C01F"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954</w:t>
      </w:r>
      <w:r w:rsidRPr="006E3B9B">
        <w:rPr>
          <w:lang w:val="en-US" w:eastAsia="zh-CN"/>
        </w:rPr>
        <w:t>号决议</w:t>
      </w:r>
      <w:r w:rsidRPr="006E3B9B">
        <w:rPr>
          <w:lang w:val="en-US" w:eastAsia="zh-CN"/>
        </w:rPr>
        <w:tab/>
      </w:r>
      <w:r w:rsidRPr="006E3B9B">
        <w:rPr>
          <w:rFonts w:hint="eastAsia"/>
          <w:lang w:val="en-US" w:eastAsia="zh-CN"/>
        </w:rPr>
        <w:t>汇总</w:t>
      </w:r>
      <w:r w:rsidRPr="006E3B9B">
        <w:rPr>
          <w:rFonts w:hint="eastAsia"/>
          <w:lang w:eastAsia="zh-CN"/>
        </w:rPr>
        <w:t>有关人员需求的决定</w:t>
      </w:r>
      <w:r w:rsidRPr="006E3B9B">
        <w:rPr>
          <w:lang w:val="en-US" w:eastAsia="zh-CN"/>
        </w:rPr>
        <w:tab/>
      </w:r>
      <w:r w:rsidR="005F6138">
        <w:rPr>
          <w:lang w:val="en-US" w:eastAsia="zh-CN"/>
        </w:rPr>
        <w:tab/>
      </w:r>
      <w:r w:rsidRPr="006E3B9B">
        <w:rPr>
          <w:lang w:val="en-US" w:eastAsia="zh-CN"/>
        </w:rPr>
        <w:t>1990</w:t>
      </w:r>
      <w:r w:rsidRPr="006E3B9B">
        <w:rPr>
          <w:rFonts w:hint="eastAsia"/>
          <w:lang w:val="en-US" w:eastAsia="zh-CN"/>
        </w:rPr>
        <w:t>年</w:t>
      </w:r>
    </w:p>
    <w:p w14:paraId="4827C020"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955</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1987</w:t>
      </w:r>
      <w:r w:rsidRPr="006E3B9B">
        <w:rPr>
          <w:rFonts w:hint="eastAsia"/>
          <w:lang w:eastAsia="zh-CN"/>
        </w:rPr>
        <w:t>年预算</w:t>
      </w:r>
      <w:r w:rsidRPr="006E3B9B">
        <w:rPr>
          <w:lang w:val="en-US" w:eastAsia="zh-CN"/>
        </w:rPr>
        <w:tab/>
      </w:r>
      <w:r w:rsidR="005F6138">
        <w:rPr>
          <w:lang w:val="en-US" w:eastAsia="zh-CN"/>
        </w:rPr>
        <w:tab/>
      </w:r>
      <w:r w:rsidRPr="006E3B9B">
        <w:rPr>
          <w:lang w:val="en-US" w:eastAsia="zh-CN"/>
        </w:rPr>
        <w:t>1988</w:t>
      </w:r>
      <w:r w:rsidRPr="006E3B9B">
        <w:rPr>
          <w:rFonts w:hint="eastAsia"/>
          <w:lang w:val="en-US" w:eastAsia="zh-CN"/>
        </w:rPr>
        <w:t>年</w:t>
      </w:r>
    </w:p>
    <w:p w14:paraId="4827C021"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956</w:t>
      </w:r>
      <w:r w:rsidRPr="006E3B9B">
        <w:rPr>
          <w:lang w:val="en-US" w:eastAsia="zh-CN"/>
        </w:rPr>
        <w:t>号决议</w:t>
      </w:r>
      <w:r w:rsidRPr="006E3B9B">
        <w:rPr>
          <w:lang w:val="en-US" w:eastAsia="zh-CN"/>
        </w:rPr>
        <w:tab/>
      </w:r>
      <w:r w:rsidRPr="006E3B9B">
        <w:rPr>
          <w:rFonts w:hint="eastAsia"/>
          <w:lang w:eastAsia="zh-CN"/>
        </w:rPr>
        <w:t>联合国合办职员养恤金基金</w:t>
      </w:r>
      <w:r w:rsidRPr="006E3B9B">
        <w:rPr>
          <w:lang w:val="en-US" w:eastAsia="zh-CN"/>
        </w:rPr>
        <w:t>（</w:t>
      </w:r>
      <w:r w:rsidRPr="006E3B9B">
        <w:rPr>
          <w:lang w:val="en-US" w:eastAsia="zh-CN"/>
        </w:rPr>
        <w:t>UNJSPF</w:t>
      </w:r>
      <w:r w:rsidRPr="006E3B9B">
        <w:rPr>
          <w:lang w:val="en-US" w:eastAsia="zh-CN"/>
        </w:rPr>
        <w:t>）</w:t>
      </w:r>
      <w:r w:rsidRPr="006E3B9B">
        <w:rPr>
          <w:rFonts w:hint="eastAsia"/>
          <w:lang w:eastAsia="zh-CN"/>
        </w:rPr>
        <w:t>的养恤金制度</w:t>
      </w:r>
      <w:r w:rsidRPr="006E3B9B">
        <w:rPr>
          <w:lang w:val="en-US" w:eastAsia="zh-CN"/>
        </w:rPr>
        <w:t xml:space="preserve"> </w:t>
      </w:r>
      <w:r w:rsidRPr="006E3B9B">
        <w:rPr>
          <w:lang w:eastAsia="zh-CN"/>
        </w:rPr>
        <w:t xml:space="preserve">– </w:t>
      </w:r>
      <w:r w:rsidRPr="00587F0E">
        <w:rPr>
          <w:rFonts w:hint="eastAsia"/>
          <w:lang w:val="en-US" w:eastAsia="zh-CN"/>
        </w:rPr>
        <w:t>关于第</w:t>
      </w:r>
      <w:r w:rsidRPr="006E3B9B">
        <w:rPr>
          <w:lang w:eastAsia="zh-CN"/>
        </w:rPr>
        <w:t>41</w:t>
      </w:r>
      <w:r w:rsidRPr="006E3B9B">
        <w:rPr>
          <w:rFonts w:hint="eastAsia"/>
          <w:lang w:eastAsia="zh-CN"/>
        </w:rPr>
        <w:t>届联合国大会可能做出的决定的报告</w:t>
      </w:r>
      <w:r w:rsidRPr="006E3B9B">
        <w:rPr>
          <w:lang w:val="en-US" w:eastAsia="zh-CN"/>
        </w:rPr>
        <w:tab/>
      </w:r>
      <w:r w:rsidR="00587F0E">
        <w:rPr>
          <w:lang w:val="en-US" w:eastAsia="zh-CN"/>
        </w:rPr>
        <w:tab/>
      </w:r>
      <w:r w:rsidRPr="006E3B9B">
        <w:rPr>
          <w:lang w:val="en-US" w:eastAsia="zh-CN"/>
        </w:rPr>
        <w:t>1995</w:t>
      </w:r>
      <w:r w:rsidRPr="006E3B9B">
        <w:rPr>
          <w:rFonts w:hint="eastAsia"/>
          <w:lang w:val="en-US" w:eastAsia="zh-CN"/>
        </w:rPr>
        <w:t>年</w:t>
      </w:r>
    </w:p>
    <w:p w14:paraId="4827C022" w14:textId="77777777" w:rsidR="006E3B9B" w:rsidRPr="006E3B9B" w:rsidRDefault="006E3B9B" w:rsidP="003E11A1">
      <w:pPr>
        <w:pStyle w:val="Reftitle"/>
        <w:rPr>
          <w:lang w:val="en-US" w:eastAsia="zh-CN"/>
        </w:rPr>
      </w:pPr>
      <w:r w:rsidRPr="006E3B9B">
        <w:rPr>
          <w:rFonts w:hint="eastAsia"/>
          <w:lang w:eastAsia="zh-CN"/>
        </w:rPr>
        <w:t>第</w:t>
      </w:r>
      <w:r w:rsidRPr="006E3B9B">
        <w:rPr>
          <w:lang w:eastAsia="zh-CN"/>
        </w:rPr>
        <w:t>42</w:t>
      </w:r>
      <w:r w:rsidRPr="006E3B9B">
        <w:rPr>
          <w:rFonts w:hint="eastAsia"/>
          <w:lang w:eastAsia="zh-CN"/>
        </w:rPr>
        <w:t>届会议（</w:t>
      </w:r>
      <w:r w:rsidRPr="006E3B9B">
        <w:rPr>
          <w:lang w:eastAsia="zh-CN"/>
        </w:rPr>
        <w:t>1987</w:t>
      </w:r>
      <w:r w:rsidRPr="006E3B9B">
        <w:rPr>
          <w:rFonts w:hint="eastAsia"/>
          <w:lang w:eastAsia="zh-CN"/>
        </w:rPr>
        <w:t>年</w:t>
      </w:r>
      <w:r w:rsidRPr="006E3B9B">
        <w:rPr>
          <w:lang w:eastAsia="zh-CN"/>
        </w:rPr>
        <w:t>6</w:t>
      </w:r>
      <w:r w:rsidRPr="006E3B9B">
        <w:rPr>
          <w:rFonts w:hint="eastAsia"/>
          <w:lang w:eastAsia="zh-CN"/>
        </w:rPr>
        <w:t>月）</w:t>
      </w:r>
    </w:p>
    <w:p w14:paraId="4827C023"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957</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1986</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1</w:t>
      </w:r>
      <w:r w:rsidRPr="006E3B9B">
        <w:rPr>
          <w:rFonts w:hint="eastAsia"/>
          <w:lang w:eastAsia="zh-CN"/>
        </w:rPr>
        <w:t>日至</w:t>
      </w:r>
      <w:r w:rsidRPr="006E3B9B">
        <w:rPr>
          <w:lang w:eastAsia="zh-CN"/>
        </w:rPr>
        <w:t>12</w:t>
      </w:r>
      <w:r w:rsidRPr="006E3B9B">
        <w:rPr>
          <w:rFonts w:hint="eastAsia"/>
          <w:lang w:eastAsia="zh-CN"/>
        </w:rPr>
        <w:t>月</w:t>
      </w:r>
      <w:r w:rsidRPr="006E3B9B">
        <w:rPr>
          <w:lang w:eastAsia="zh-CN"/>
        </w:rPr>
        <w:t>31</w:t>
      </w:r>
      <w:r w:rsidRPr="006E3B9B">
        <w:rPr>
          <w:rFonts w:hint="eastAsia"/>
          <w:lang w:eastAsia="zh-CN"/>
        </w:rPr>
        <w:t>日账目的外部审计</w:t>
      </w:r>
      <w:r w:rsidRPr="006E3B9B">
        <w:rPr>
          <w:lang w:val="en-US" w:eastAsia="zh-CN"/>
        </w:rPr>
        <w:tab/>
      </w:r>
      <w:r w:rsidR="005F6138">
        <w:rPr>
          <w:lang w:val="en-US" w:eastAsia="zh-CN"/>
        </w:rPr>
        <w:tab/>
      </w:r>
      <w:r w:rsidRPr="006E3B9B">
        <w:rPr>
          <w:lang w:val="en-US" w:eastAsia="zh-CN"/>
        </w:rPr>
        <w:t>1988</w:t>
      </w:r>
      <w:r w:rsidRPr="006E3B9B">
        <w:rPr>
          <w:rFonts w:hint="eastAsia"/>
          <w:lang w:val="en-US" w:eastAsia="zh-CN"/>
        </w:rPr>
        <w:t>年</w:t>
      </w:r>
    </w:p>
    <w:p w14:paraId="4827C024"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958</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1986</w:t>
      </w:r>
      <w:r w:rsidRPr="006E3B9B">
        <w:rPr>
          <w:rFonts w:hint="eastAsia"/>
          <w:lang w:eastAsia="zh-CN"/>
        </w:rPr>
        <w:t>年财务工作报告</w:t>
      </w:r>
      <w:r w:rsidRPr="006E3B9B">
        <w:rPr>
          <w:lang w:val="en-US" w:eastAsia="zh-CN"/>
        </w:rPr>
        <w:tab/>
      </w:r>
      <w:r w:rsidR="005F6138">
        <w:rPr>
          <w:lang w:val="en-US" w:eastAsia="zh-CN"/>
        </w:rPr>
        <w:tab/>
      </w:r>
      <w:r w:rsidRPr="006E3B9B">
        <w:rPr>
          <w:lang w:val="en-US" w:eastAsia="zh-CN"/>
        </w:rPr>
        <w:t>1988</w:t>
      </w:r>
      <w:r w:rsidRPr="006E3B9B">
        <w:rPr>
          <w:rFonts w:hint="eastAsia"/>
          <w:lang w:val="en-US" w:eastAsia="zh-CN"/>
        </w:rPr>
        <w:t>年</w:t>
      </w:r>
    </w:p>
    <w:p w14:paraId="4827C025"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959</w:t>
      </w:r>
      <w:r w:rsidRPr="006E3B9B">
        <w:rPr>
          <w:lang w:val="en-US" w:eastAsia="zh-CN"/>
        </w:rPr>
        <w:t>号决议</w:t>
      </w:r>
      <w:r w:rsidRPr="006E3B9B">
        <w:rPr>
          <w:lang w:val="en-US" w:eastAsia="zh-CN"/>
        </w:rPr>
        <w:tab/>
      </w:r>
      <w:r w:rsidRPr="006E3B9B">
        <w:rPr>
          <w:rFonts w:hint="eastAsia"/>
          <w:lang w:eastAsia="zh-CN"/>
        </w:rPr>
        <w:t>摊付国际电联费用的会费份额</w:t>
      </w:r>
      <w:r w:rsidRPr="006E3B9B">
        <w:rPr>
          <w:lang w:val="en-US" w:eastAsia="zh-CN"/>
        </w:rPr>
        <w:tab/>
      </w:r>
      <w:r w:rsidR="005F6138">
        <w:rPr>
          <w:lang w:val="en-US" w:eastAsia="zh-CN"/>
        </w:rPr>
        <w:tab/>
      </w:r>
      <w:r w:rsidRPr="006E3B9B">
        <w:rPr>
          <w:lang w:val="en-US" w:eastAsia="zh-CN"/>
        </w:rPr>
        <w:t>1991</w:t>
      </w:r>
      <w:r w:rsidRPr="006E3B9B">
        <w:rPr>
          <w:rFonts w:hint="eastAsia"/>
          <w:lang w:val="en-US" w:eastAsia="zh-CN"/>
        </w:rPr>
        <w:t>年</w:t>
      </w:r>
    </w:p>
    <w:p w14:paraId="4827C026"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960</w:t>
      </w:r>
      <w:r w:rsidRPr="006E3B9B">
        <w:rPr>
          <w:lang w:val="en-US" w:eastAsia="zh-CN"/>
        </w:rPr>
        <w:t>号决议</w:t>
      </w:r>
      <w:r w:rsidRPr="006E3B9B">
        <w:rPr>
          <w:lang w:val="en-US" w:eastAsia="zh-CN"/>
        </w:rPr>
        <w:tab/>
      </w:r>
      <w:r w:rsidRPr="006E3B9B">
        <w:rPr>
          <w:rFonts w:hint="eastAsia"/>
          <w:lang w:eastAsia="zh-CN"/>
        </w:rPr>
        <w:t>借方账目特别准备金</w:t>
      </w:r>
      <w:r w:rsidRPr="006E3B9B">
        <w:rPr>
          <w:lang w:val="en-US" w:eastAsia="zh-CN"/>
        </w:rPr>
        <w:tab/>
      </w:r>
      <w:r w:rsidR="005F6138">
        <w:rPr>
          <w:lang w:val="en-US" w:eastAsia="zh-CN"/>
        </w:rPr>
        <w:tab/>
      </w:r>
      <w:r w:rsidRPr="006E3B9B">
        <w:rPr>
          <w:lang w:val="en-US" w:eastAsia="zh-CN"/>
        </w:rPr>
        <w:t>1991</w:t>
      </w:r>
      <w:r w:rsidRPr="006E3B9B">
        <w:rPr>
          <w:rFonts w:hint="eastAsia"/>
          <w:lang w:val="en-US" w:eastAsia="zh-CN"/>
        </w:rPr>
        <w:t>年</w:t>
      </w:r>
    </w:p>
    <w:p w14:paraId="4827C027"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961</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1987</w:t>
      </w:r>
      <w:r w:rsidRPr="006E3B9B">
        <w:rPr>
          <w:rFonts w:hint="eastAsia"/>
          <w:lang w:eastAsia="zh-CN"/>
        </w:rPr>
        <w:t>年预算</w:t>
      </w:r>
      <w:r w:rsidRPr="006E3B9B">
        <w:rPr>
          <w:lang w:val="en-US" w:eastAsia="zh-CN"/>
        </w:rPr>
        <w:t xml:space="preserve"> </w:t>
      </w:r>
      <w:r w:rsidRPr="006E3B9B">
        <w:rPr>
          <w:lang w:eastAsia="zh-CN"/>
        </w:rPr>
        <w:t xml:space="preserve">– </w:t>
      </w:r>
      <w:r w:rsidRPr="006E3B9B">
        <w:rPr>
          <w:rFonts w:hint="eastAsia"/>
          <w:lang w:eastAsia="zh-CN"/>
        </w:rPr>
        <w:t>有关非洲广播的无线电行政大会的追加拨款</w:t>
      </w:r>
      <w:r w:rsidRPr="006E3B9B">
        <w:rPr>
          <w:lang w:val="en-US" w:eastAsia="zh-CN"/>
        </w:rPr>
        <w:tab/>
      </w:r>
      <w:r w:rsidR="005F6138">
        <w:rPr>
          <w:lang w:val="en-US" w:eastAsia="zh-CN"/>
        </w:rPr>
        <w:tab/>
      </w:r>
      <w:r w:rsidRPr="006E3B9B">
        <w:rPr>
          <w:lang w:val="en-US" w:eastAsia="zh-CN"/>
        </w:rPr>
        <w:t>1988</w:t>
      </w:r>
      <w:r w:rsidRPr="006E3B9B">
        <w:rPr>
          <w:rFonts w:hint="eastAsia"/>
          <w:lang w:val="en-US" w:eastAsia="zh-CN"/>
        </w:rPr>
        <w:t>年</w:t>
      </w:r>
    </w:p>
    <w:p w14:paraId="4827C028"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962</w:t>
      </w:r>
      <w:r w:rsidRPr="006E3B9B">
        <w:rPr>
          <w:lang w:val="en-US" w:eastAsia="zh-CN"/>
        </w:rPr>
        <w:t>号决议</w:t>
      </w:r>
      <w:r w:rsidRPr="006E3B9B">
        <w:rPr>
          <w:lang w:val="en-US" w:eastAsia="zh-CN"/>
        </w:rPr>
        <w:tab/>
      </w:r>
      <w:r w:rsidRPr="006E3B9B">
        <w:rPr>
          <w:rFonts w:hint="eastAsia"/>
          <w:lang w:val="en-US" w:eastAsia="zh-CN"/>
        </w:rPr>
        <w:t>汇总有</w:t>
      </w:r>
      <w:r w:rsidRPr="006E3B9B">
        <w:rPr>
          <w:rFonts w:hint="eastAsia"/>
          <w:lang w:eastAsia="zh-CN"/>
        </w:rPr>
        <w:t>关人员需求的决定</w:t>
      </w:r>
      <w:r w:rsidRPr="006E3B9B">
        <w:rPr>
          <w:lang w:val="en-US" w:eastAsia="zh-CN"/>
        </w:rPr>
        <w:tab/>
      </w:r>
      <w:r w:rsidR="005F6138">
        <w:rPr>
          <w:lang w:val="en-US" w:eastAsia="zh-CN"/>
        </w:rPr>
        <w:tab/>
      </w:r>
      <w:r w:rsidRPr="006E3B9B">
        <w:rPr>
          <w:lang w:val="en-US" w:eastAsia="zh-CN"/>
        </w:rPr>
        <w:t>1991</w:t>
      </w:r>
      <w:r w:rsidRPr="006E3B9B">
        <w:rPr>
          <w:rFonts w:hint="eastAsia"/>
          <w:lang w:val="en-US" w:eastAsia="zh-CN"/>
        </w:rPr>
        <w:t>年</w:t>
      </w:r>
    </w:p>
    <w:p w14:paraId="4827C029"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963</w:t>
      </w:r>
      <w:r w:rsidRPr="006E3B9B">
        <w:rPr>
          <w:lang w:val="en-US" w:eastAsia="zh-CN"/>
        </w:rPr>
        <w:t>号决议</w:t>
      </w:r>
      <w:r w:rsidRPr="006E3B9B">
        <w:rPr>
          <w:lang w:val="en-US" w:eastAsia="zh-CN"/>
        </w:rPr>
        <w:tab/>
      </w:r>
      <w:r w:rsidRPr="006E3B9B">
        <w:rPr>
          <w:rFonts w:hint="eastAsia"/>
          <w:lang w:eastAsia="zh-CN"/>
        </w:rPr>
        <w:t>联合国合办职员养恤金基金（</w:t>
      </w:r>
      <w:r w:rsidRPr="006E3B9B">
        <w:rPr>
          <w:lang w:eastAsia="zh-CN"/>
        </w:rPr>
        <w:t>UNJSPE</w:t>
      </w:r>
      <w:r w:rsidRPr="006E3B9B">
        <w:rPr>
          <w:rFonts w:hint="eastAsia"/>
          <w:lang w:eastAsia="zh-CN"/>
        </w:rPr>
        <w:t>）</w:t>
      </w:r>
      <w:r w:rsidRPr="006E3B9B">
        <w:rPr>
          <w:lang w:eastAsia="zh-CN"/>
        </w:rPr>
        <w:t xml:space="preserve">– </w:t>
      </w:r>
      <w:r w:rsidRPr="006E3B9B">
        <w:rPr>
          <w:rFonts w:hint="eastAsia"/>
          <w:lang w:eastAsia="zh-CN"/>
        </w:rPr>
        <w:t>研究调整养恤金所需的措施</w:t>
      </w:r>
      <w:r w:rsidRPr="006E3B9B">
        <w:rPr>
          <w:lang w:val="en-US" w:eastAsia="zh-CN"/>
        </w:rPr>
        <w:tab/>
      </w:r>
      <w:r w:rsidR="005F6138">
        <w:rPr>
          <w:lang w:val="en-US" w:eastAsia="zh-CN"/>
        </w:rPr>
        <w:tab/>
      </w:r>
      <w:r w:rsidRPr="006E3B9B">
        <w:rPr>
          <w:lang w:val="en-US" w:eastAsia="zh-CN"/>
        </w:rPr>
        <w:t>1991</w:t>
      </w:r>
      <w:r w:rsidRPr="006E3B9B">
        <w:rPr>
          <w:rFonts w:hint="eastAsia"/>
          <w:lang w:val="en-US" w:eastAsia="zh-CN"/>
        </w:rPr>
        <w:t>年</w:t>
      </w:r>
    </w:p>
    <w:p w14:paraId="4827C02A"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964</w:t>
      </w:r>
      <w:r w:rsidRPr="006E3B9B">
        <w:rPr>
          <w:lang w:val="en-US" w:eastAsia="zh-CN"/>
        </w:rPr>
        <w:t>号决议</w:t>
      </w:r>
      <w:r w:rsidRPr="006E3B9B">
        <w:rPr>
          <w:lang w:val="en-US" w:eastAsia="zh-CN"/>
        </w:rPr>
        <w:tab/>
      </w:r>
      <w:r w:rsidRPr="006E3B9B">
        <w:rPr>
          <w:rFonts w:hint="eastAsia"/>
          <w:lang w:eastAsia="zh-CN"/>
        </w:rPr>
        <w:t>国际电联职员养恤金委员会的委员</w:t>
      </w:r>
      <w:r w:rsidRPr="006E3B9B">
        <w:rPr>
          <w:lang w:val="en-US" w:eastAsia="zh-CN"/>
        </w:rPr>
        <w:tab/>
      </w:r>
      <w:r w:rsidR="005F6138">
        <w:rPr>
          <w:lang w:val="en-US" w:eastAsia="zh-CN"/>
        </w:rPr>
        <w:tab/>
      </w:r>
      <w:r w:rsidRPr="006E3B9B">
        <w:rPr>
          <w:lang w:val="en-US" w:eastAsia="zh-CN"/>
        </w:rPr>
        <w:t>1988</w:t>
      </w:r>
      <w:r w:rsidRPr="006E3B9B">
        <w:rPr>
          <w:rFonts w:hint="eastAsia"/>
          <w:lang w:val="en-US" w:eastAsia="zh-CN"/>
        </w:rPr>
        <w:t>年</w:t>
      </w:r>
    </w:p>
    <w:p w14:paraId="4827C02B"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965</w:t>
      </w:r>
      <w:r w:rsidRPr="006E3B9B">
        <w:rPr>
          <w:lang w:val="en-US" w:eastAsia="zh-CN"/>
        </w:rPr>
        <w:t>号决议</w:t>
      </w:r>
      <w:r w:rsidRPr="006E3B9B">
        <w:rPr>
          <w:lang w:val="en-US" w:eastAsia="zh-CN"/>
        </w:rPr>
        <w:tab/>
      </w:r>
      <w:r w:rsidRPr="006E3B9B">
        <w:rPr>
          <w:rFonts w:hint="eastAsia"/>
          <w:lang w:eastAsia="zh-CN"/>
        </w:rPr>
        <w:t>选任官员的薪金和职员薪金税率</w:t>
      </w:r>
      <w:r w:rsidRPr="006E3B9B">
        <w:rPr>
          <w:lang w:val="en-US" w:eastAsia="zh-CN"/>
        </w:rPr>
        <w:tab/>
      </w:r>
      <w:r w:rsidR="005F6138">
        <w:rPr>
          <w:lang w:val="en-US" w:eastAsia="zh-CN"/>
        </w:rPr>
        <w:tab/>
      </w:r>
      <w:r w:rsidRPr="006E3B9B">
        <w:rPr>
          <w:lang w:val="en-US" w:eastAsia="zh-CN"/>
        </w:rPr>
        <w:t>1988</w:t>
      </w:r>
      <w:r w:rsidRPr="006E3B9B">
        <w:rPr>
          <w:rFonts w:hint="eastAsia"/>
          <w:lang w:val="en-US" w:eastAsia="zh-CN"/>
        </w:rPr>
        <w:t>年</w:t>
      </w:r>
    </w:p>
    <w:p w14:paraId="4827C02C"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966</w:t>
      </w:r>
      <w:r w:rsidRPr="006E3B9B">
        <w:rPr>
          <w:lang w:val="en-US" w:eastAsia="zh-CN"/>
        </w:rPr>
        <w:t>号决议</w:t>
      </w:r>
      <w:r w:rsidRPr="006E3B9B">
        <w:rPr>
          <w:lang w:val="en-US" w:eastAsia="zh-CN"/>
        </w:rPr>
        <w:tab/>
      </w:r>
      <w:r w:rsidRPr="006E3B9B">
        <w:rPr>
          <w:rFonts w:hint="eastAsia"/>
          <w:lang w:eastAsia="zh-CN"/>
        </w:rPr>
        <w:t>世界电报电话行政大会</w:t>
      </w:r>
      <w:r w:rsidRPr="006E3B9B">
        <w:rPr>
          <w:lang w:val="en-US" w:eastAsia="zh-CN"/>
        </w:rPr>
        <w:tab/>
      </w:r>
      <w:r w:rsidR="005F6138">
        <w:rPr>
          <w:lang w:val="en-US" w:eastAsia="zh-CN"/>
        </w:rPr>
        <w:tab/>
      </w:r>
      <w:r w:rsidRPr="006E3B9B">
        <w:rPr>
          <w:lang w:val="en-US" w:eastAsia="zh-CN"/>
        </w:rPr>
        <w:t>1990</w:t>
      </w:r>
      <w:r w:rsidRPr="006E3B9B">
        <w:rPr>
          <w:rFonts w:hint="eastAsia"/>
          <w:lang w:val="en-US" w:eastAsia="zh-CN"/>
        </w:rPr>
        <w:t>年</w:t>
      </w:r>
    </w:p>
    <w:p w14:paraId="4827C02D"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967</w:t>
      </w:r>
      <w:r w:rsidRPr="006E3B9B">
        <w:rPr>
          <w:lang w:val="en-US" w:eastAsia="zh-CN"/>
        </w:rPr>
        <w:t>号决议</w:t>
      </w:r>
      <w:r w:rsidRPr="006E3B9B">
        <w:rPr>
          <w:lang w:val="en-US" w:eastAsia="zh-CN"/>
        </w:rPr>
        <w:tab/>
      </w:r>
      <w:r w:rsidRPr="00587F0E">
        <w:rPr>
          <w:rFonts w:hint="eastAsia"/>
          <w:lang w:val="en-US" w:eastAsia="zh-CN"/>
        </w:rPr>
        <w:t>关于废止非洲广播区区域性协议的非洲广播区国际电联成员国区域性行政大会</w:t>
      </w:r>
      <w:r w:rsidRPr="006E3B9B">
        <w:rPr>
          <w:rFonts w:hint="eastAsia"/>
          <w:lang w:eastAsia="zh-CN"/>
        </w:rPr>
        <w:t>（</w:t>
      </w:r>
      <w:r w:rsidRPr="006E3B9B">
        <w:rPr>
          <w:lang w:eastAsia="zh-CN"/>
        </w:rPr>
        <w:t>1963</w:t>
      </w:r>
      <w:r w:rsidRPr="006E3B9B">
        <w:rPr>
          <w:rFonts w:hint="eastAsia"/>
          <w:lang w:eastAsia="zh-CN"/>
        </w:rPr>
        <w:t>年，日内瓦）</w:t>
      </w:r>
      <w:r w:rsidRPr="006E3B9B">
        <w:rPr>
          <w:lang w:val="en-US" w:eastAsia="zh-CN"/>
        </w:rPr>
        <w:tab/>
      </w:r>
      <w:r w:rsidR="00587F0E">
        <w:rPr>
          <w:lang w:val="en-US" w:eastAsia="zh-CN"/>
        </w:rPr>
        <w:tab/>
      </w:r>
      <w:r w:rsidRPr="006E3B9B">
        <w:rPr>
          <w:lang w:val="en-US" w:eastAsia="zh-CN"/>
        </w:rPr>
        <w:t>1990</w:t>
      </w:r>
      <w:r w:rsidRPr="006E3B9B">
        <w:rPr>
          <w:rFonts w:hint="eastAsia"/>
          <w:lang w:val="en-US" w:eastAsia="zh-CN"/>
        </w:rPr>
        <w:t>年</w:t>
      </w:r>
    </w:p>
    <w:p w14:paraId="4827C02E"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968</w:t>
      </w:r>
      <w:r w:rsidRPr="006E3B9B">
        <w:rPr>
          <w:lang w:val="en-US" w:eastAsia="zh-CN"/>
        </w:rPr>
        <w:t>号决议</w:t>
      </w:r>
      <w:r w:rsidRPr="006E3B9B">
        <w:rPr>
          <w:lang w:val="en-US" w:eastAsia="zh-CN"/>
        </w:rPr>
        <w:tab/>
      </w:r>
      <w:r w:rsidRPr="006E3B9B">
        <w:rPr>
          <w:rFonts w:hint="eastAsia"/>
          <w:lang w:eastAsia="zh-CN"/>
        </w:rPr>
        <w:t>关于规划非洲广播区及其周边国家的</w:t>
      </w:r>
      <w:r w:rsidRPr="006E3B9B">
        <w:rPr>
          <w:lang w:eastAsia="zh-CN"/>
        </w:rPr>
        <w:t>VHF/UHF</w:t>
      </w:r>
      <w:r w:rsidRPr="006E3B9B">
        <w:rPr>
          <w:rFonts w:hint="eastAsia"/>
          <w:lang w:eastAsia="zh-CN"/>
        </w:rPr>
        <w:t>电视广播的区域性行政大会第二次会议</w:t>
      </w:r>
      <w:r w:rsidRPr="006E3B9B">
        <w:rPr>
          <w:lang w:val="en-US" w:eastAsia="zh-CN"/>
        </w:rPr>
        <w:tab/>
      </w:r>
      <w:r w:rsidR="00587F0E">
        <w:rPr>
          <w:lang w:val="en-US" w:eastAsia="zh-CN"/>
        </w:rPr>
        <w:tab/>
      </w:r>
      <w:r w:rsidRPr="006E3B9B">
        <w:rPr>
          <w:lang w:val="en-US" w:eastAsia="zh-CN"/>
        </w:rPr>
        <w:t>1990</w:t>
      </w:r>
      <w:r w:rsidRPr="006E3B9B">
        <w:rPr>
          <w:rFonts w:hint="eastAsia"/>
          <w:lang w:val="en-US" w:eastAsia="zh-CN"/>
        </w:rPr>
        <w:t>年</w:t>
      </w:r>
    </w:p>
    <w:p w14:paraId="4827C02F"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969</w:t>
      </w:r>
      <w:r w:rsidRPr="006E3B9B">
        <w:rPr>
          <w:lang w:val="en-US" w:eastAsia="zh-CN"/>
        </w:rPr>
        <w:t>号决议</w:t>
      </w:r>
      <w:r w:rsidRPr="006E3B9B">
        <w:rPr>
          <w:lang w:val="en-US" w:eastAsia="zh-CN"/>
        </w:rPr>
        <w:tab/>
      </w:r>
      <w:r w:rsidRPr="006E3B9B">
        <w:rPr>
          <w:rFonts w:hint="eastAsia"/>
          <w:lang w:eastAsia="zh-CN"/>
        </w:rPr>
        <w:t>会费等级</w:t>
      </w:r>
      <w:r w:rsidRPr="006E3B9B">
        <w:rPr>
          <w:lang w:eastAsia="zh-CN"/>
        </w:rPr>
        <w:t>–</w:t>
      </w:r>
      <w:r w:rsidRPr="006E3B9B">
        <w:rPr>
          <w:rFonts w:hint="eastAsia"/>
          <w:lang w:eastAsia="zh-CN"/>
        </w:rPr>
        <w:t>尼加拉瓜</w:t>
      </w:r>
      <w:r w:rsidRPr="006E3B9B">
        <w:rPr>
          <w:lang w:val="en-US" w:eastAsia="zh-CN"/>
        </w:rPr>
        <w:tab/>
      </w:r>
      <w:r w:rsidR="005F6138">
        <w:rPr>
          <w:lang w:val="en-US" w:eastAsia="zh-CN"/>
        </w:rPr>
        <w:tab/>
      </w:r>
      <w:r w:rsidRPr="006E3B9B">
        <w:rPr>
          <w:lang w:val="en-US" w:eastAsia="zh-CN"/>
        </w:rPr>
        <w:t>1990</w:t>
      </w:r>
      <w:r w:rsidRPr="006E3B9B">
        <w:rPr>
          <w:rFonts w:hint="eastAsia"/>
          <w:lang w:val="en-US" w:eastAsia="zh-CN"/>
        </w:rPr>
        <w:t>年</w:t>
      </w:r>
    </w:p>
    <w:p w14:paraId="4827C030"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970</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1988</w:t>
      </w:r>
      <w:r w:rsidRPr="006E3B9B">
        <w:rPr>
          <w:rFonts w:hint="eastAsia"/>
          <w:lang w:eastAsia="zh-CN"/>
        </w:rPr>
        <w:t>年预算</w:t>
      </w:r>
      <w:r w:rsidRPr="006E3B9B">
        <w:rPr>
          <w:lang w:val="en-US" w:eastAsia="zh-CN"/>
        </w:rPr>
        <w:tab/>
      </w:r>
      <w:r w:rsidR="005F6138">
        <w:rPr>
          <w:lang w:val="en-US" w:eastAsia="zh-CN"/>
        </w:rPr>
        <w:tab/>
      </w:r>
      <w:r w:rsidRPr="006E3B9B">
        <w:rPr>
          <w:lang w:val="en-US" w:eastAsia="zh-CN"/>
        </w:rPr>
        <w:t>1990</w:t>
      </w:r>
      <w:r w:rsidRPr="006E3B9B">
        <w:rPr>
          <w:rFonts w:hint="eastAsia"/>
          <w:lang w:val="en-US" w:eastAsia="zh-CN"/>
        </w:rPr>
        <w:t>年</w:t>
      </w:r>
    </w:p>
    <w:p w14:paraId="4827C031"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971</w:t>
      </w:r>
      <w:r w:rsidRPr="006E3B9B">
        <w:rPr>
          <w:lang w:val="en-US" w:eastAsia="zh-CN"/>
        </w:rPr>
        <w:t>号决议</w:t>
      </w:r>
      <w:r w:rsidRPr="006E3B9B">
        <w:rPr>
          <w:lang w:val="en-US" w:eastAsia="zh-CN"/>
        </w:rPr>
        <w:tab/>
      </w:r>
      <w:r w:rsidRPr="006E3B9B">
        <w:rPr>
          <w:rFonts w:hint="eastAsia"/>
          <w:lang w:eastAsia="zh-CN"/>
        </w:rPr>
        <w:t>服务条件</w:t>
      </w:r>
      <w:r w:rsidRPr="006E3B9B">
        <w:rPr>
          <w:lang w:val="en-US" w:eastAsia="zh-CN"/>
        </w:rPr>
        <w:tab/>
      </w:r>
      <w:r w:rsidR="005F6138">
        <w:rPr>
          <w:lang w:val="en-US" w:eastAsia="zh-CN"/>
        </w:rPr>
        <w:tab/>
      </w:r>
      <w:r w:rsidRPr="006E3B9B">
        <w:rPr>
          <w:lang w:val="en-US" w:eastAsia="zh-CN"/>
        </w:rPr>
        <w:t>1991</w:t>
      </w:r>
      <w:r w:rsidRPr="006E3B9B">
        <w:rPr>
          <w:rFonts w:hint="eastAsia"/>
          <w:lang w:val="en-US" w:eastAsia="zh-CN"/>
        </w:rPr>
        <w:t>年</w:t>
      </w:r>
    </w:p>
    <w:p w14:paraId="4827C032" w14:textId="77777777" w:rsidR="00BF1CF1" w:rsidRDefault="00BF1CF1">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4827C033" w14:textId="77777777" w:rsidR="006E3B9B" w:rsidRPr="006E3B9B" w:rsidRDefault="006E3B9B" w:rsidP="003E11A1">
      <w:pPr>
        <w:pStyle w:val="Reftitle"/>
        <w:rPr>
          <w:sz w:val="20"/>
          <w:lang w:val="en-US" w:eastAsia="zh-CN"/>
        </w:rPr>
      </w:pPr>
      <w:r w:rsidRPr="006E3B9B">
        <w:rPr>
          <w:rFonts w:hint="eastAsia"/>
          <w:lang w:eastAsia="zh-CN"/>
        </w:rPr>
        <w:lastRenderedPageBreak/>
        <w:t>第</w:t>
      </w:r>
      <w:r w:rsidRPr="006E3B9B">
        <w:rPr>
          <w:lang w:eastAsia="zh-CN"/>
        </w:rPr>
        <w:t>43</w:t>
      </w:r>
      <w:r w:rsidRPr="006E3B9B">
        <w:rPr>
          <w:rFonts w:hint="eastAsia"/>
          <w:lang w:eastAsia="zh-CN"/>
        </w:rPr>
        <w:t>届会议（</w:t>
      </w:r>
      <w:r w:rsidRPr="006E3B9B">
        <w:rPr>
          <w:lang w:eastAsia="zh-CN"/>
        </w:rPr>
        <w:t>1988</w:t>
      </w:r>
      <w:r w:rsidRPr="006E3B9B">
        <w:rPr>
          <w:rFonts w:hint="eastAsia"/>
          <w:lang w:eastAsia="zh-CN"/>
        </w:rPr>
        <w:t>年</w:t>
      </w:r>
      <w:r w:rsidRPr="006E3B9B">
        <w:rPr>
          <w:lang w:eastAsia="zh-CN"/>
        </w:rPr>
        <w:t>6</w:t>
      </w:r>
      <w:r w:rsidRPr="006E3B9B">
        <w:rPr>
          <w:rFonts w:hint="eastAsia"/>
          <w:lang w:eastAsia="zh-CN"/>
        </w:rPr>
        <w:t>月）</w:t>
      </w:r>
    </w:p>
    <w:p w14:paraId="4827C034"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972</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1987</w:t>
      </w:r>
      <w:r w:rsidRPr="006E3B9B">
        <w:rPr>
          <w:rFonts w:hint="eastAsia"/>
          <w:lang w:eastAsia="zh-CN"/>
        </w:rPr>
        <w:t>年财务工作报告</w:t>
      </w:r>
      <w:r w:rsidRPr="006E3B9B">
        <w:rPr>
          <w:lang w:val="en-US" w:eastAsia="zh-CN"/>
        </w:rPr>
        <w:tab/>
      </w:r>
      <w:r w:rsidR="005F6138">
        <w:rPr>
          <w:lang w:val="en-US" w:eastAsia="zh-CN"/>
        </w:rPr>
        <w:tab/>
      </w:r>
      <w:r w:rsidRPr="006E3B9B">
        <w:rPr>
          <w:lang w:val="en-US" w:eastAsia="zh-CN"/>
        </w:rPr>
        <w:t>1990</w:t>
      </w:r>
      <w:r w:rsidRPr="006E3B9B">
        <w:rPr>
          <w:rFonts w:hint="eastAsia"/>
          <w:lang w:val="en-US" w:eastAsia="zh-CN"/>
        </w:rPr>
        <w:t>年</w:t>
      </w:r>
    </w:p>
    <w:p w14:paraId="4827C035"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973</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1987</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1</w:t>
      </w:r>
      <w:r w:rsidRPr="006E3B9B">
        <w:rPr>
          <w:rFonts w:hint="eastAsia"/>
          <w:lang w:eastAsia="zh-CN"/>
        </w:rPr>
        <w:t>日至</w:t>
      </w:r>
      <w:r w:rsidRPr="006E3B9B">
        <w:rPr>
          <w:lang w:eastAsia="zh-CN"/>
        </w:rPr>
        <w:t>12</w:t>
      </w:r>
      <w:r w:rsidRPr="006E3B9B">
        <w:rPr>
          <w:rFonts w:hint="eastAsia"/>
          <w:lang w:eastAsia="zh-CN"/>
        </w:rPr>
        <w:t>月</w:t>
      </w:r>
      <w:r w:rsidRPr="006E3B9B">
        <w:rPr>
          <w:lang w:eastAsia="zh-CN"/>
        </w:rPr>
        <w:t>31</w:t>
      </w:r>
      <w:r w:rsidRPr="006E3B9B">
        <w:rPr>
          <w:rFonts w:hint="eastAsia"/>
          <w:lang w:eastAsia="zh-CN"/>
        </w:rPr>
        <w:t>日账目的外部审计</w:t>
      </w:r>
      <w:r w:rsidRPr="006E3B9B">
        <w:rPr>
          <w:lang w:val="en-US" w:eastAsia="zh-CN"/>
        </w:rPr>
        <w:tab/>
      </w:r>
      <w:r w:rsidR="005F6138">
        <w:rPr>
          <w:lang w:val="en-US" w:eastAsia="zh-CN"/>
        </w:rPr>
        <w:tab/>
      </w:r>
      <w:r w:rsidRPr="006E3B9B">
        <w:rPr>
          <w:lang w:val="en-US" w:eastAsia="zh-CN"/>
        </w:rPr>
        <w:t>1990</w:t>
      </w:r>
      <w:r w:rsidRPr="006E3B9B">
        <w:rPr>
          <w:rFonts w:hint="eastAsia"/>
          <w:lang w:val="en-US" w:eastAsia="zh-CN"/>
        </w:rPr>
        <w:t>年</w:t>
      </w:r>
    </w:p>
    <w:p w14:paraId="4827C036"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974</w:t>
      </w:r>
      <w:r w:rsidRPr="006E3B9B">
        <w:rPr>
          <w:lang w:val="en-US" w:eastAsia="zh-CN"/>
        </w:rPr>
        <w:t>号决议</w:t>
      </w:r>
      <w:r w:rsidRPr="006E3B9B">
        <w:rPr>
          <w:lang w:val="en-US" w:eastAsia="zh-CN"/>
        </w:rPr>
        <w:tab/>
      </w:r>
      <w:r w:rsidRPr="006E3B9B">
        <w:rPr>
          <w:rFonts w:hint="eastAsia"/>
          <w:lang w:eastAsia="zh-CN"/>
        </w:rPr>
        <w:t>选任官员的薪金、任职地点补贴调整数和职员薪金税率</w:t>
      </w:r>
      <w:r w:rsidRPr="006E3B9B">
        <w:rPr>
          <w:lang w:val="en-US" w:eastAsia="zh-CN"/>
        </w:rPr>
        <w:tab/>
      </w:r>
      <w:r w:rsidR="005F6138">
        <w:rPr>
          <w:lang w:val="en-US" w:eastAsia="zh-CN"/>
        </w:rPr>
        <w:tab/>
      </w:r>
      <w:r w:rsidRPr="006E3B9B">
        <w:rPr>
          <w:lang w:val="en-US" w:eastAsia="zh-CN"/>
        </w:rPr>
        <w:t>1990</w:t>
      </w:r>
      <w:r w:rsidRPr="006E3B9B">
        <w:rPr>
          <w:rFonts w:hint="eastAsia"/>
          <w:lang w:val="en-US" w:eastAsia="zh-CN"/>
        </w:rPr>
        <w:t>年</w:t>
      </w:r>
    </w:p>
    <w:p w14:paraId="4827C037"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975</w:t>
      </w:r>
      <w:r w:rsidRPr="006E3B9B">
        <w:rPr>
          <w:lang w:val="en-US" w:eastAsia="zh-CN"/>
        </w:rPr>
        <w:t>号决议</w:t>
      </w:r>
      <w:r w:rsidRPr="006E3B9B">
        <w:rPr>
          <w:lang w:val="en-US" w:eastAsia="zh-CN"/>
        </w:rPr>
        <w:tab/>
      </w:r>
      <w:r w:rsidRPr="006E3B9B">
        <w:rPr>
          <w:rFonts w:hint="eastAsia"/>
          <w:lang w:eastAsia="zh-CN"/>
        </w:rPr>
        <w:t>职员安置和归国基金</w:t>
      </w:r>
      <w:r w:rsidRPr="006E3B9B">
        <w:rPr>
          <w:lang w:val="en-US" w:eastAsia="zh-CN"/>
        </w:rPr>
        <w:tab/>
      </w:r>
      <w:r w:rsidR="005F6138">
        <w:rPr>
          <w:lang w:val="en-US" w:eastAsia="zh-CN"/>
        </w:rPr>
        <w:tab/>
      </w:r>
      <w:r w:rsidRPr="006E3B9B">
        <w:rPr>
          <w:lang w:val="en-US" w:eastAsia="zh-CN"/>
        </w:rPr>
        <w:t>1990</w:t>
      </w:r>
      <w:r w:rsidRPr="006E3B9B">
        <w:rPr>
          <w:rFonts w:hint="eastAsia"/>
          <w:lang w:val="en-US" w:eastAsia="zh-CN"/>
        </w:rPr>
        <w:t>年</w:t>
      </w:r>
    </w:p>
    <w:p w14:paraId="4827C038"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976</w:t>
      </w:r>
      <w:r w:rsidRPr="006E3B9B">
        <w:rPr>
          <w:lang w:val="en-US" w:eastAsia="zh-CN"/>
        </w:rPr>
        <w:t>号决议</w:t>
      </w:r>
      <w:r w:rsidRPr="006E3B9B">
        <w:rPr>
          <w:lang w:val="en-US" w:eastAsia="zh-CN"/>
        </w:rPr>
        <w:tab/>
      </w:r>
      <w:r w:rsidRPr="006E3B9B">
        <w:rPr>
          <w:rFonts w:hint="eastAsia"/>
          <w:lang w:eastAsia="zh-CN"/>
        </w:rPr>
        <w:t>国际电联职员养恤金委员会的委员</w:t>
      </w:r>
      <w:r w:rsidRPr="006E3B9B">
        <w:rPr>
          <w:lang w:val="en-US" w:eastAsia="zh-CN"/>
        </w:rPr>
        <w:tab/>
      </w:r>
      <w:r w:rsidR="005F6138">
        <w:rPr>
          <w:lang w:val="en-US" w:eastAsia="zh-CN"/>
        </w:rPr>
        <w:tab/>
      </w:r>
      <w:r w:rsidRPr="006E3B9B">
        <w:rPr>
          <w:lang w:val="en-US" w:eastAsia="zh-CN"/>
        </w:rPr>
        <w:t>1990</w:t>
      </w:r>
      <w:r w:rsidRPr="006E3B9B">
        <w:rPr>
          <w:rFonts w:hint="eastAsia"/>
          <w:lang w:val="en-US" w:eastAsia="zh-CN"/>
        </w:rPr>
        <w:t>年</w:t>
      </w:r>
    </w:p>
    <w:p w14:paraId="4827C039"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977</w:t>
      </w:r>
      <w:r w:rsidRPr="006E3B9B">
        <w:rPr>
          <w:lang w:val="en-US" w:eastAsia="zh-CN"/>
        </w:rPr>
        <w:t>号决议</w:t>
      </w:r>
      <w:r w:rsidRPr="006E3B9B">
        <w:rPr>
          <w:lang w:val="en-US" w:eastAsia="zh-CN"/>
        </w:rPr>
        <w:tab/>
      </w:r>
      <w:r w:rsidRPr="006E3B9B">
        <w:rPr>
          <w:rFonts w:hint="eastAsia"/>
          <w:lang w:eastAsia="zh-CN"/>
        </w:rPr>
        <w:t>在日内瓦的国际电联职员的服务条件</w:t>
      </w:r>
      <w:r w:rsidRPr="006E3B9B">
        <w:rPr>
          <w:lang w:val="en-US" w:eastAsia="zh-CN"/>
        </w:rPr>
        <w:tab/>
      </w:r>
      <w:r w:rsidR="005F6138">
        <w:rPr>
          <w:lang w:val="en-US" w:eastAsia="zh-CN"/>
        </w:rPr>
        <w:tab/>
      </w:r>
      <w:r w:rsidRPr="006E3B9B">
        <w:rPr>
          <w:lang w:val="en-US" w:eastAsia="zh-CN"/>
        </w:rPr>
        <w:t>1995</w:t>
      </w:r>
      <w:r w:rsidRPr="006E3B9B">
        <w:rPr>
          <w:rFonts w:hint="eastAsia"/>
          <w:lang w:val="en-US" w:eastAsia="zh-CN"/>
        </w:rPr>
        <w:t>年</w:t>
      </w:r>
    </w:p>
    <w:p w14:paraId="4827C03A"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978</w:t>
      </w:r>
      <w:r w:rsidRPr="006E3B9B">
        <w:rPr>
          <w:lang w:val="en-US" w:eastAsia="zh-CN"/>
        </w:rPr>
        <w:t>号决议</w:t>
      </w:r>
      <w:r w:rsidRPr="006E3B9B">
        <w:rPr>
          <w:lang w:val="en-US" w:eastAsia="zh-CN"/>
        </w:rPr>
        <w:tab/>
      </w:r>
      <w:r w:rsidRPr="006E3B9B">
        <w:rPr>
          <w:rFonts w:hint="eastAsia"/>
          <w:lang w:val="fr-FR" w:eastAsia="zh-CN"/>
        </w:rPr>
        <w:t>养恤金</w:t>
      </w:r>
      <w:r w:rsidRPr="006E3B9B">
        <w:rPr>
          <w:lang w:val="en-US" w:eastAsia="zh-CN"/>
        </w:rPr>
        <w:tab/>
      </w:r>
      <w:r w:rsidR="005F6138">
        <w:rPr>
          <w:lang w:val="en-US" w:eastAsia="zh-CN"/>
        </w:rPr>
        <w:tab/>
      </w:r>
      <w:r w:rsidRPr="006E3B9B">
        <w:rPr>
          <w:lang w:val="en-US" w:eastAsia="zh-CN"/>
        </w:rPr>
        <w:t>1995</w:t>
      </w:r>
      <w:r w:rsidRPr="006E3B9B">
        <w:rPr>
          <w:rFonts w:hint="eastAsia"/>
          <w:lang w:val="en-US" w:eastAsia="zh-CN"/>
        </w:rPr>
        <w:t>年</w:t>
      </w:r>
    </w:p>
    <w:p w14:paraId="4827C03B"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979</w:t>
      </w:r>
      <w:r w:rsidRPr="006E3B9B">
        <w:rPr>
          <w:lang w:val="en-US" w:eastAsia="zh-CN"/>
        </w:rPr>
        <w:t>号决议</w:t>
      </w:r>
      <w:r w:rsidRPr="006E3B9B">
        <w:rPr>
          <w:lang w:val="en-US" w:eastAsia="zh-CN"/>
        </w:rPr>
        <w:tab/>
      </w:r>
      <w:r w:rsidRPr="006E3B9B">
        <w:rPr>
          <w:rFonts w:hint="eastAsia"/>
          <w:lang w:val="en-US" w:eastAsia="zh-CN"/>
        </w:rPr>
        <w:t>汇总有</w:t>
      </w:r>
      <w:r w:rsidRPr="006E3B9B">
        <w:rPr>
          <w:rFonts w:hint="eastAsia"/>
          <w:lang w:eastAsia="zh-CN"/>
        </w:rPr>
        <w:t>关人员需求的决定</w:t>
      </w:r>
      <w:r w:rsidRPr="006E3B9B">
        <w:rPr>
          <w:lang w:val="en-US" w:eastAsia="zh-CN"/>
        </w:rPr>
        <w:tab/>
      </w:r>
      <w:r w:rsidR="005F6138">
        <w:rPr>
          <w:lang w:val="en-US" w:eastAsia="zh-CN"/>
        </w:rPr>
        <w:tab/>
      </w:r>
      <w:r w:rsidRPr="006E3B9B">
        <w:rPr>
          <w:lang w:val="en-US" w:eastAsia="zh-CN"/>
        </w:rPr>
        <w:t>1991</w:t>
      </w:r>
      <w:r w:rsidRPr="006E3B9B">
        <w:rPr>
          <w:rFonts w:hint="eastAsia"/>
          <w:lang w:val="en-US" w:eastAsia="zh-CN"/>
        </w:rPr>
        <w:t>年</w:t>
      </w:r>
    </w:p>
    <w:p w14:paraId="4827C03C"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980</w:t>
      </w:r>
      <w:r w:rsidRPr="006E3B9B">
        <w:rPr>
          <w:lang w:val="en-US" w:eastAsia="zh-CN"/>
        </w:rPr>
        <w:t>号决议</w:t>
      </w:r>
      <w:r w:rsidRPr="006E3B9B">
        <w:rPr>
          <w:lang w:val="en-US" w:eastAsia="zh-CN"/>
        </w:rPr>
        <w:tab/>
      </w:r>
      <w:r w:rsidRPr="006E3B9B">
        <w:rPr>
          <w:rFonts w:hint="eastAsia"/>
          <w:lang w:eastAsia="zh-CN"/>
        </w:rPr>
        <w:t>国际电信联盟</w:t>
      </w:r>
      <w:r w:rsidRPr="006E3B9B">
        <w:rPr>
          <w:lang w:eastAsia="zh-CN"/>
        </w:rPr>
        <w:t>1989</w:t>
      </w:r>
      <w:r w:rsidRPr="006E3B9B">
        <w:rPr>
          <w:rFonts w:hint="eastAsia"/>
          <w:lang w:eastAsia="zh-CN"/>
        </w:rPr>
        <w:t>年预算</w:t>
      </w:r>
      <w:r w:rsidRPr="006E3B9B">
        <w:rPr>
          <w:lang w:val="en-US" w:eastAsia="zh-CN"/>
        </w:rPr>
        <w:tab/>
      </w:r>
      <w:r w:rsidR="005F6138">
        <w:rPr>
          <w:lang w:val="en-US" w:eastAsia="zh-CN"/>
        </w:rPr>
        <w:tab/>
      </w:r>
      <w:r w:rsidRPr="006E3B9B">
        <w:rPr>
          <w:lang w:val="en-US" w:eastAsia="zh-CN"/>
        </w:rPr>
        <w:t>1990</w:t>
      </w:r>
      <w:r w:rsidRPr="006E3B9B">
        <w:rPr>
          <w:rFonts w:hint="eastAsia"/>
          <w:lang w:val="en-US" w:eastAsia="zh-CN"/>
        </w:rPr>
        <w:t>年</w:t>
      </w:r>
    </w:p>
    <w:p w14:paraId="4827C03D" w14:textId="77777777" w:rsidR="006E3B9B" w:rsidRPr="006E3B9B" w:rsidRDefault="006E3B9B" w:rsidP="003E11A1">
      <w:pPr>
        <w:pStyle w:val="Reftitle"/>
        <w:rPr>
          <w:lang w:val="en-US" w:eastAsia="zh-CN"/>
        </w:rPr>
      </w:pPr>
      <w:r w:rsidRPr="006E3B9B">
        <w:rPr>
          <w:rFonts w:hint="eastAsia"/>
          <w:lang w:eastAsia="zh-CN"/>
        </w:rPr>
        <w:t>第</w:t>
      </w:r>
      <w:r w:rsidRPr="006E3B9B">
        <w:rPr>
          <w:lang w:eastAsia="zh-CN"/>
        </w:rPr>
        <w:t>44</w:t>
      </w:r>
      <w:r w:rsidRPr="006E3B9B">
        <w:rPr>
          <w:rFonts w:hint="eastAsia"/>
          <w:lang w:eastAsia="zh-CN"/>
        </w:rPr>
        <w:t>届会议（</w:t>
      </w:r>
      <w:r w:rsidRPr="006E3B9B">
        <w:rPr>
          <w:lang w:eastAsia="zh-CN"/>
        </w:rPr>
        <w:t>1989</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-2</w:t>
      </w:r>
      <w:r w:rsidRPr="006E3B9B">
        <w:rPr>
          <w:rFonts w:hint="eastAsia"/>
          <w:lang w:eastAsia="zh-CN"/>
        </w:rPr>
        <w:t>月及</w:t>
      </w:r>
      <w:r w:rsidRPr="006E3B9B">
        <w:rPr>
          <w:lang w:eastAsia="zh-CN"/>
        </w:rPr>
        <w:t>6</w:t>
      </w:r>
      <w:r w:rsidRPr="006E3B9B">
        <w:rPr>
          <w:rFonts w:hint="eastAsia"/>
          <w:lang w:eastAsia="zh-CN"/>
        </w:rPr>
        <w:t>月）</w:t>
      </w:r>
    </w:p>
    <w:p w14:paraId="4827C03E"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981</w:t>
      </w:r>
      <w:r w:rsidRPr="006E3B9B">
        <w:rPr>
          <w:lang w:val="en-US" w:eastAsia="zh-CN"/>
        </w:rPr>
        <w:t>号决议</w:t>
      </w:r>
      <w:r w:rsidRPr="006E3B9B">
        <w:rPr>
          <w:lang w:val="en-US" w:eastAsia="zh-CN"/>
        </w:rPr>
        <w:tab/>
      </w:r>
      <w:r w:rsidRPr="006E3B9B">
        <w:rPr>
          <w:lang w:eastAsia="zh-CN"/>
        </w:rPr>
        <w:t>1987</w:t>
      </w:r>
      <w:r w:rsidRPr="006E3B9B">
        <w:rPr>
          <w:rFonts w:hint="eastAsia"/>
          <w:lang w:eastAsia="zh-CN"/>
        </w:rPr>
        <w:t>年电信展相关活动账目的外部审计</w:t>
      </w:r>
      <w:r w:rsidRPr="006E3B9B">
        <w:rPr>
          <w:lang w:val="en-US" w:eastAsia="zh-CN"/>
        </w:rPr>
        <w:tab/>
      </w:r>
      <w:r w:rsidR="005F6138">
        <w:rPr>
          <w:lang w:val="en-US" w:eastAsia="zh-CN"/>
        </w:rPr>
        <w:tab/>
      </w:r>
      <w:r w:rsidRPr="006E3B9B">
        <w:rPr>
          <w:lang w:val="en-US" w:eastAsia="zh-CN"/>
        </w:rPr>
        <w:t>1990</w:t>
      </w:r>
      <w:r w:rsidRPr="006E3B9B">
        <w:rPr>
          <w:rFonts w:hint="eastAsia"/>
          <w:lang w:val="en-US" w:eastAsia="zh-CN"/>
        </w:rPr>
        <w:t>年</w:t>
      </w:r>
    </w:p>
    <w:p w14:paraId="4827C03F"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982</w:t>
      </w:r>
      <w:r w:rsidRPr="006E3B9B">
        <w:rPr>
          <w:lang w:val="en-US" w:eastAsia="zh-CN"/>
        </w:rPr>
        <w:t>号决议</w:t>
      </w:r>
      <w:r w:rsidRPr="006E3B9B">
        <w:rPr>
          <w:lang w:val="en-US" w:eastAsia="zh-CN"/>
        </w:rPr>
        <w:tab/>
      </w:r>
      <w:r w:rsidRPr="006E3B9B">
        <w:rPr>
          <w:rFonts w:hint="eastAsia"/>
          <w:lang w:val="en-US" w:eastAsia="zh-CN"/>
        </w:rPr>
        <w:t>汇总有</w:t>
      </w:r>
      <w:r w:rsidRPr="006E3B9B">
        <w:rPr>
          <w:rFonts w:hint="eastAsia"/>
          <w:lang w:eastAsia="zh-CN"/>
        </w:rPr>
        <w:t>关人员需求的决定</w:t>
      </w:r>
      <w:r w:rsidRPr="006E3B9B">
        <w:rPr>
          <w:lang w:val="en-US" w:eastAsia="zh-CN"/>
        </w:rPr>
        <w:tab/>
      </w:r>
      <w:r w:rsidR="005F6138">
        <w:rPr>
          <w:lang w:val="en-US" w:eastAsia="zh-CN"/>
        </w:rPr>
        <w:tab/>
      </w:r>
      <w:r w:rsidRPr="006E3B9B">
        <w:rPr>
          <w:lang w:val="en-US" w:eastAsia="zh-CN"/>
        </w:rPr>
        <w:t>1992</w:t>
      </w:r>
      <w:r w:rsidRPr="006E3B9B">
        <w:rPr>
          <w:rFonts w:hint="eastAsia"/>
          <w:lang w:val="en-US" w:eastAsia="zh-CN"/>
        </w:rPr>
        <w:t>年</w:t>
      </w:r>
    </w:p>
    <w:p w14:paraId="4827C040"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983</w:t>
      </w:r>
      <w:r w:rsidRPr="006E3B9B">
        <w:rPr>
          <w:lang w:val="en-US" w:eastAsia="zh-CN"/>
        </w:rPr>
        <w:t>号决议</w:t>
      </w:r>
      <w:r w:rsidRPr="006E3B9B">
        <w:rPr>
          <w:lang w:val="en-US" w:eastAsia="zh-CN"/>
        </w:rPr>
        <w:tab/>
      </w:r>
      <w:r w:rsidRPr="006E3B9B">
        <w:rPr>
          <w:rFonts w:hint="eastAsia"/>
          <w:lang w:eastAsia="zh-CN"/>
        </w:rPr>
        <w:t>国际电信联盟</w:t>
      </w:r>
      <w:r w:rsidRPr="006E3B9B">
        <w:rPr>
          <w:lang w:eastAsia="zh-CN"/>
        </w:rPr>
        <w:t>1990</w:t>
      </w:r>
      <w:r w:rsidRPr="006E3B9B">
        <w:rPr>
          <w:rFonts w:hint="eastAsia"/>
          <w:lang w:eastAsia="zh-CN"/>
        </w:rPr>
        <w:t>年临时预算</w:t>
      </w:r>
      <w:r w:rsidRPr="006E3B9B">
        <w:rPr>
          <w:lang w:val="en-US" w:eastAsia="zh-CN"/>
        </w:rPr>
        <w:tab/>
      </w:r>
      <w:r w:rsidR="005F6138">
        <w:rPr>
          <w:lang w:val="en-US" w:eastAsia="zh-CN"/>
        </w:rPr>
        <w:tab/>
      </w:r>
      <w:r w:rsidRPr="006E3B9B">
        <w:rPr>
          <w:lang w:val="en-US" w:eastAsia="zh-CN"/>
        </w:rPr>
        <w:t>1990</w:t>
      </w:r>
      <w:r w:rsidRPr="006E3B9B">
        <w:rPr>
          <w:rFonts w:hint="eastAsia"/>
          <w:lang w:val="en-US" w:eastAsia="zh-CN"/>
        </w:rPr>
        <w:t>年</w:t>
      </w:r>
    </w:p>
    <w:p w14:paraId="4827C041"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984</w:t>
      </w:r>
      <w:r w:rsidRPr="006E3B9B">
        <w:rPr>
          <w:lang w:val="en-US" w:eastAsia="zh-CN"/>
        </w:rPr>
        <w:t>号决议</w:t>
      </w:r>
      <w:r w:rsidRPr="006E3B9B">
        <w:rPr>
          <w:lang w:val="en-US" w:eastAsia="zh-CN"/>
        </w:rPr>
        <w:tab/>
      </w:r>
      <w:r w:rsidRPr="006E3B9B">
        <w:rPr>
          <w:rFonts w:hint="eastAsia"/>
          <w:lang w:val="en-US" w:eastAsia="zh-CN"/>
        </w:rPr>
        <w:t>与</w:t>
      </w:r>
      <w:r w:rsidRPr="006E3B9B">
        <w:rPr>
          <w:rFonts w:hint="eastAsia"/>
          <w:lang w:eastAsia="zh-CN"/>
        </w:rPr>
        <w:t>频率管理系统相关的职员要求的决定</w:t>
      </w:r>
      <w:r w:rsidRPr="006E3B9B">
        <w:rPr>
          <w:lang w:val="en-US" w:eastAsia="zh-CN"/>
        </w:rPr>
        <w:tab/>
      </w:r>
      <w:r w:rsidR="005F6138">
        <w:rPr>
          <w:lang w:val="en-US" w:eastAsia="zh-CN"/>
        </w:rPr>
        <w:tab/>
      </w:r>
      <w:r w:rsidRPr="006E3B9B">
        <w:rPr>
          <w:lang w:val="en-US" w:eastAsia="zh-CN"/>
        </w:rPr>
        <w:t>1992</w:t>
      </w:r>
      <w:r w:rsidRPr="006E3B9B">
        <w:rPr>
          <w:rFonts w:hint="eastAsia"/>
          <w:lang w:val="en-US" w:eastAsia="zh-CN"/>
        </w:rPr>
        <w:t>年</w:t>
      </w:r>
    </w:p>
    <w:p w14:paraId="4827C042"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985</w:t>
      </w:r>
      <w:r w:rsidRPr="006E3B9B">
        <w:rPr>
          <w:lang w:val="en-US" w:eastAsia="zh-CN"/>
        </w:rPr>
        <w:t>号决议</w:t>
      </w:r>
      <w:r w:rsidRPr="006E3B9B">
        <w:rPr>
          <w:lang w:val="en-US" w:eastAsia="zh-CN"/>
        </w:rPr>
        <w:tab/>
      </w:r>
      <w:r w:rsidRPr="006E3B9B">
        <w:rPr>
          <w:rFonts w:hint="eastAsia"/>
          <w:lang w:val="fr-FR" w:eastAsia="zh-CN"/>
        </w:rPr>
        <w:t>养恤金</w:t>
      </w:r>
      <w:r w:rsidRPr="006E3B9B">
        <w:rPr>
          <w:lang w:val="en-US" w:eastAsia="zh-CN"/>
        </w:rPr>
        <w:tab/>
      </w:r>
      <w:r w:rsidR="005F6138">
        <w:rPr>
          <w:lang w:val="en-US" w:eastAsia="zh-CN"/>
        </w:rPr>
        <w:tab/>
      </w:r>
      <w:r w:rsidRPr="006E3B9B">
        <w:rPr>
          <w:lang w:val="en-US" w:eastAsia="zh-CN"/>
        </w:rPr>
        <w:t>1993</w:t>
      </w:r>
      <w:r w:rsidRPr="006E3B9B">
        <w:rPr>
          <w:rFonts w:hint="eastAsia"/>
          <w:lang w:val="en-US" w:eastAsia="zh-CN"/>
        </w:rPr>
        <w:t>年</w:t>
      </w:r>
    </w:p>
    <w:p w14:paraId="4827C043"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986</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1988</w:t>
      </w:r>
      <w:r w:rsidRPr="006E3B9B">
        <w:rPr>
          <w:rFonts w:hint="eastAsia"/>
          <w:lang w:eastAsia="zh-CN"/>
        </w:rPr>
        <w:t>年财务工作报告</w:t>
      </w:r>
      <w:r w:rsidRPr="006E3B9B">
        <w:rPr>
          <w:lang w:val="en-US" w:eastAsia="zh-CN"/>
        </w:rPr>
        <w:tab/>
      </w:r>
      <w:r w:rsidR="005F6138">
        <w:rPr>
          <w:lang w:val="en-US" w:eastAsia="zh-CN"/>
        </w:rPr>
        <w:tab/>
      </w:r>
      <w:r w:rsidRPr="006E3B9B">
        <w:rPr>
          <w:lang w:val="en-US" w:eastAsia="zh-CN"/>
        </w:rPr>
        <w:t>1990</w:t>
      </w:r>
      <w:r w:rsidRPr="006E3B9B">
        <w:rPr>
          <w:rFonts w:hint="eastAsia"/>
          <w:lang w:val="en-US" w:eastAsia="zh-CN"/>
        </w:rPr>
        <w:t>年</w:t>
      </w:r>
    </w:p>
    <w:p w14:paraId="4827C044"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987</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1988</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1</w:t>
      </w:r>
      <w:r w:rsidRPr="006E3B9B">
        <w:rPr>
          <w:rFonts w:hint="eastAsia"/>
          <w:lang w:eastAsia="zh-CN"/>
        </w:rPr>
        <w:t>日至</w:t>
      </w:r>
      <w:r w:rsidRPr="006E3B9B">
        <w:rPr>
          <w:lang w:eastAsia="zh-CN"/>
        </w:rPr>
        <w:t>12</w:t>
      </w:r>
      <w:r w:rsidRPr="006E3B9B">
        <w:rPr>
          <w:rFonts w:hint="eastAsia"/>
          <w:lang w:eastAsia="zh-CN"/>
        </w:rPr>
        <w:t>月</w:t>
      </w:r>
      <w:r w:rsidRPr="006E3B9B">
        <w:rPr>
          <w:lang w:eastAsia="zh-CN"/>
        </w:rPr>
        <w:t>31</w:t>
      </w:r>
      <w:r w:rsidRPr="006E3B9B">
        <w:rPr>
          <w:rFonts w:hint="eastAsia"/>
          <w:lang w:eastAsia="zh-CN"/>
        </w:rPr>
        <w:t>日账目的外部审计</w:t>
      </w:r>
      <w:r w:rsidRPr="006E3B9B">
        <w:rPr>
          <w:lang w:val="en-US" w:eastAsia="zh-CN"/>
        </w:rPr>
        <w:tab/>
      </w:r>
      <w:r w:rsidR="005F6138">
        <w:rPr>
          <w:lang w:val="en-US" w:eastAsia="zh-CN"/>
        </w:rPr>
        <w:tab/>
      </w:r>
      <w:r w:rsidRPr="006E3B9B">
        <w:rPr>
          <w:lang w:val="en-US" w:eastAsia="zh-CN"/>
        </w:rPr>
        <w:t>1990</w:t>
      </w:r>
      <w:r w:rsidRPr="006E3B9B">
        <w:rPr>
          <w:rFonts w:hint="eastAsia"/>
          <w:lang w:val="en-US" w:eastAsia="zh-CN"/>
        </w:rPr>
        <w:t>年</w:t>
      </w:r>
    </w:p>
    <w:p w14:paraId="4827C045" w14:textId="77777777" w:rsidR="006E3B9B" w:rsidRPr="006E3B9B" w:rsidRDefault="006E3B9B" w:rsidP="003E11A1">
      <w:pPr>
        <w:pStyle w:val="Reftitle"/>
        <w:rPr>
          <w:lang w:val="en-US" w:eastAsia="zh-CN"/>
        </w:rPr>
      </w:pPr>
      <w:r w:rsidRPr="006E3B9B">
        <w:rPr>
          <w:rFonts w:hint="eastAsia"/>
          <w:lang w:eastAsia="zh-CN"/>
        </w:rPr>
        <w:t>第</w:t>
      </w:r>
      <w:r w:rsidRPr="006E3B9B">
        <w:rPr>
          <w:lang w:eastAsia="zh-CN"/>
        </w:rPr>
        <w:t>45</w:t>
      </w:r>
      <w:r w:rsidRPr="006E3B9B">
        <w:rPr>
          <w:rFonts w:hint="eastAsia"/>
          <w:lang w:eastAsia="zh-CN"/>
        </w:rPr>
        <w:t>届会议（开幕会议，</w:t>
      </w:r>
      <w:r w:rsidRPr="006E3B9B">
        <w:rPr>
          <w:lang w:eastAsia="zh-CN"/>
        </w:rPr>
        <w:t>1989</w:t>
      </w:r>
      <w:r w:rsidRPr="006E3B9B">
        <w:rPr>
          <w:rFonts w:hint="eastAsia"/>
          <w:lang w:eastAsia="zh-CN"/>
        </w:rPr>
        <w:t>年</w:t>
      </w:r>
      <w:r w:rsidRPr="006E3B9B">
        <w:rPr>
          <w:lang w:eastAsia="zh-CN"/>
        </w:rPr>
        <w:t>6</w:t>
      </w:r>
      <w:r w:rsidRPr="006E3B9B">
        <w:rPr>
          <w:rFonts w:hint="eastAsia"/>
          <w:lang w:eastAsia="zh-CN"/>
        </w:rPr>
        <w:t>月</w:t>
      </w:r>
      <w:r w:rsidRPr="006E3B9B">
        <w:rPr>
          <w:lang w:eastAsia="zh-CN"/>
        </w:rPr>
        <w:t>30</w:t>
      </w:r>
      <w:r w:rsidRPr="006E3B9B">
        <w:rPr>
          <w:rFonts w:hint="eastAsia"/>
          <w:lang w:eastAsia="zh-CN"/>
        </w:rPr>
        <w:t>日，尼斯）</w:t>
      </w:r>
    </w:p>
    <w:p w14:paraId="4827C046"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988</w:t>
      </w:r>
      <w:r w:rsidRPr="006E3B9B">
        <w:rPr>
          <w:lang w:val="en-US" w:eastAsia="zh-CN"/>
        </w:rPr>
        <w:t>号决议</w:t>
      </w:r>
      <w:r w:rsidRPr="006E3B9B">
        <w:rPr>
          <w:lang w:val="en-US" w:eastAsia="zh-CN"/>
        </w:rPr>
        <w:tab/>
      </w:r>
      <w:r w:rsidRPr="006E3B9B">
        <w:rPr>
          <w:rFonts w:hint="eastAsia"/>
          <w:lang w:eastAsia="zh-CN"/>
        </w:rPr>
        <w:t>国际电信联盟</w:t>
      </w:r>
      <w:r w:rsidRPr="006E3B9B">
        <w:rPr>
          <w:lang w:eastAsia="zh-CN"/>
        </w:rPr>
        <w:t>1990</w:t>
      </w:r>
      <w:r w:rsidRPr="006E3B9B">
        <w:rPr>
          <w:rFonts w:hint="eastAsia"/>
          <w:lang w:eastAsia="zh-CN"/>
        </w:rPr>
        <w:t>年预算</w:t>
      </w:r>
      <w:r w:rsidRPr="006E3B9B">
        <w:rPr>
          <w:lang w:val="en-US" w:eastAsia="zh-CN"/>
        </w:rPr>
        <w:tab/>
      </w:r>
      <w:r w:rsidR="005F6138">
        <w:rPr>
          <w:lang w:val="en-US" w:eastAsia="zh-CN"/>
        </w:rPr>
        <w:tab/>
      </w:r>
      <w:r w:rsidRPr="006E3B9B">
        <w:rPr>
          <w:lang w:val="en-US" w:eastAsia="zh-CN"/>
        </w:rPr>
        <w:t>1991</w:t>
      </w:r>
      <w:r w:rsidRPr="006E3B9B">
        <w:rPr>
          <w:rFonts w:hint="eastAsia"/>
          <w:lang w:val="en-US" w:eastAsia="zh-CN"/>
        </w:rPr>
        <w:t>年</w:t>
      </w:r>
    </w:p>
    <w:p w14:paraId="4827C047"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989</w:t>
      </w:r>
      <w:r w:rsidRPr="006E3B9B">
        <w:rPr>
          <w:lang w:val="en-US" w:eastAsia="zh-CN"/>
        </w:rPr>
        <w:t>号决议</w:t>
      </w:r>
      <w:r w:rsidRPr="006E3B9B">
        <w:rPr>
          <w:lang w:val="en-US" w:eastAsia="zh-CN"/>
        </w:rPr>
        <w:tab/>
      </w:r>
      <w:r w:rsidRPr="006E3B9B">
        <w:rPr>
          <w:rFonts w:hint="eastAsia"/>
          <w:lang w:eastAsia="zh-CN"/>
        </w:rPr>
        <w:t>国际电联职员养恤金委员会的委员</w:t>
      </w:r>
      <w:r w:rsidRPr="006E3B9B">
        <w:rPr>
          <w:lang w:val="en-US" w:eastAsia="zh-CN"/>
        </w:rPr>
        <w:tab/>
      </w:r>
      <w:r w:rsidR="005F6138">
        <w:rPr>
          <w:lang w:val="en-US" w:eastAsia="zh-CN"/>
        </w:rPr>
        <w:tab/>
      </w:r>
      <w:r w:rsidRPr="006E3B9B">
        <w:rPr>
          <w:lang w:val="en-US" w:eastAsia="zh-CN"/>
        </w:rPr>
        <w:t>1991</w:t>
      </w:r>
      <w:r w:rsidRPr="006E3B9B">
        <w:rPr>
          <w:rFonts w:hint="eastAsia"/>
          <w:lang w:val="en-US" w:eastAsia="zh-CN"/>
        </w:rPr>
        <w:t>年</w:t>
      </w:r>
    </w:p>
    <w:p w14:paraId="4827C048" w14:textId="77777777" w:rsidR="006E3B9B" w:rsidRPr="006E3B9B" w:rsidRDefault="006E3B9B" w:rsidP="003E11A1">
      <w:pPr>
        <w:pStyle w:val="Reftitle"/>
        <w:rPr>
          <w:lang w:val="en-US" w:eastAsia="zh-CN"/>
        </w:rPr>
      </w:pPr>
      <w:r w:rsidRPr="006E3B9B">
        <w:rPr>
          <w:rFonts w:hint="eastAsia"/>
          <w:lang w:eastAsia="zh-CN"/>
        </w:rPr>
        <w:t>第</w:t>
      </w:r>
      <w:r w:rsidRPr="006E3B9B">
        <w:rPr>
          <w:lang w:eastAsia="zh-CN"/>
        </w:rPr>
        <w:t>45</w:t>
      </w:r>
      <w:r w:rsidRPr="006E3B9B">
        <w:rPr>
          <w:rFonts w:hint="eastAsia"/>
          <w:lang w:eastAsia="zh-CN"/>
        </w:rPr>
        <w:t>届会议（非常会议</w:t>
      </w:r>
      <w:r w:rsidRPr="006E3B9B">
        <w:rPr>
          <w:rFonts w:hint="eastAsia"/>
          <w:lang w:eastAsia="zh-CN"/>
        </w:rPr>
        <w:t xml:space="preserve"> </w:t>
      </w:r>
      <w:r w:rsidRPr="006E3B9B">
        <w:rPr>
          <w:lang w:eastAsia="zh-CN"/>
        </w:rPr>
        <w:t>–</w:t>
      </w:r>
      <w:r w:rsidRPr="006E3B9B">
        <w:rPr>
          <w:rFonts w:hint="eastAsia"/>
          <w:lang w:eastAsia="zh-CN"/>
        </w:rPr>
        <w:t xml:space="preserve"> </w:t>
      </w:r>
      <w:r w:rsidRPr="006E3B9B">
        <w:rPr>
          <w:lang w:eastAsia="zh-CN"/>
        </w:rPr>
        <w:t>1989</w:t>
      </w:r>
      <w:r w:rsidRPr="006E3B9B">
        <w:rPr>
          <w:rFonts w:hint="eastAsia"/>
          <w:lang w:eastAsia="zh-CN"/>
        </w:rPr>
        <w:t>年</w:t>
      </w:r>
      <w:r w:rsidRPr="006E3B9B">
        <w:rPr>
          <w:lang w:eastAsia="zh-CN"/>
        </w:rPr>
        <w:t>11</w:t>
      </w:r>
      <w:r w:rsidRPr="006E3B9B">
        <w:rPr>
          <w:rFonts w:hint="eastAsia"/>
          <w:lang w:eastAsia="zh-CN"/>
        </w:rPr>
        <w:t>月）</w:t>
      </w:r>
    </w:p>
    <w:p w14:paraId="4827C049"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990</w:t>
      </w:r>
      <w:r w:rsidRPr="006E3B9B">
        <w:rPr>
          <w:lang w:val="en-US" w:eastAsia="zh-CN"/>
        </w:rPr>
        <w:t>号决议</w:t>
      </w:r>
      <w:r w:rsidRPr="006E3B9B">
        <w:rPr>
          <w:lang w:val="en-US" w:eastAsia="zh-CN"/>
        </w:rPr>
        <w:tab/>
      </w:r>
      <w:r w:rsidRPr="006E3B9B">
        <w:rPr>
          <w:rFonts w:hint="eastAsia"/>
          <w:lang w:val="en-US" w:eastAsia="zh-CN"/>
        </w:rPr>
        <w:t>审议国际电联组织结构及运作的高级委员会</w:t>
      </w:r>
      <w:r w:rsidRPr="006E3B9B">
        <w:rPr>
          <w:lang w:val="en-US" w:eastAsia="zh-CN"/>
        </w:rPr>
        <w:tab/>
      </w:r>
      <w:r w:rsidR="005F6138">
        <w:rPr>
          <w:lang w:val="en-US" w:eastAsia="zh-CN"/>
        </w:rPr>
        <w:tab/>
      </w:r>
      <w:r w:rsidRPr="006E3B9B">
        <w:rPr>
          <w:lang w:val="en-US" w:eastAsia="zh-CN"/>
        </w:rPr>
        <w:t>1992</w:t>
      </w:r>
      <w:r w:rsidRPr="006E3B9B">
        <w:rPr>
          <w:rFonts w:hint="eastAsia"/>
          <w:lang w:val="en-US" w:eastAsia="zh-CN"/>
        </w:rPr>
        <w:t>年</w:t>
      </w:r>
    </w:p>
    <w:p w14:paraId="4827C04A"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991</w:t>
      </w:r>
      <w:r w:rsidRPr="006E3B9B">
        <w:rPr>
          <w:lang w:val="en-US" w:eastAsia="zh-CN"/>
        </w:rPr>
        <w:t>号决议</w:t>
      </w:r>
      <w:r w:rsidRPr="006E3B9B">
        <w:rPr>
          <w:lang w:val="en-US" w:eastAsia="zh-CN"/>
        </w:rPr>
        <w:tab/>
      </w:r>
      <w:r w:rsidRPr="006E3B9B">
        <w:rPr>
          <w:rFonts w:hint="eastAsia"/>
          <w:lang w:eastAsia="zh-CN"/>
        </w:rPr>
        <w:t>电信发展局</w:t>
      </w:r>
      <w:r w:rsidRPr="006E3B9B">
        <w:rPr>
          <w:lang w:val="en-US" w:eastAsia="zh-CN"/>
        </w:rPr>
        <w:t xml:space="preserve"> </w:t>
      </w:r>
      <w:r w:rsidRPr="006E3B9B">
        <w:rPr>
          <w:lang w:eastAsia="zh-CN"/>
        </w:rPr>
        <w:t xml:space="preserve">– </w:t>
      </w:r>
      <w:r w:rsidRPr="006E3B9B">
        <w:rPr>
          <w:rFonts w:hint="eastAsia"/>
          <w:lang w:eastAsia="zh-CN"/>
        </w:rPr>
        <w:t>为落实</w:t>
      </w:r>
      <w:r w:rsidRPr="006E3B9B">
        <w:rPr>
          <w:lang w:eastAsia="zh-CN"/>
        </w:rPr>
        <w:t>1989</w:t>
      </w:r>
      <w:r w:rsidRPr="006E3B9B">
        <w:rPr>
          <w:rFonts w:hint="eastAsia"/>
          <w:lang w:eastAsia="zh-CN"/>
        </w:rPr>
        <w:t>年尼斯全权代表大会各项决定而需设立的职位列表</w:t>
      </w:r>
      <w:r w:rsidRPr="006E3B9B">
        <w:rPr>
          <w:lang w:val="en-US" w:eastAsia="zh-CN"/>
        </w:rPr>
        <w:tab/>
      </w:r>
      <w:r w:rsidR="005F6138">
        <w:rPr>
          <w:lang w:val="en-US" w:eastAsia="zh-CN"/>
        </w:rPr>
        <w:tab/>
      </w:r>
      <w:r w:rsidRPr="006E3B9B">
        <w:rPr>
          <w:lang w:val="en-US" w:eastAsia="zh-CN"/>
        </w:rPr>
        <w:t>1992</w:t>
      </w:r>
      <w:r w:rsidRPr="006E3B9B">
        <w:rPr>
          <w:rFonts w:hint="eastAsia"/>
          <w:lang w:val="en-US" w:eastAsia="zh-CN"/>
        </w:rPr>
        <w:t>年</w:t>
      </w:r>
    </w:p>
    <w:p w14:paraId="4827C04B" w14:textId="77777777" w:rsidR="006E3B9B" w:rsidRPr="006E3B9B" w:rsidRDefault="006E3B9B" w:rsidP="003E11A1">
      <w:pPr>
        <w:pStyle w:val="Reftitle"/>
        <w:rPr>
          <w:lang w:val="en-US" w:eastAsia="zh-CN"/>
        </w:rPr>
      </w:pPr>
      <w:r w:rsidRPr="006E3B9B">
        <w:rPr>
          <w:rFonts w:hint="eastAsia"/>
          <w:lang w:eastAsia="zh-CN"/>
        </w:rPr>
        <w:t>第</w:t>
      </w:r>
      <w:r w:rsidRPr="006E3B9B">
        <w:rPr>
          <w:lang w:eastAsia="zh-CN"/>
        </w:rPr>
        <w:t>45</w:t>
      </w:r>
      <w:r w:rsidRPr="006E3B9B">
        <w:rPr>
          <w:rFonts w:hint="eastAsia"/>
          <w:lang w:eastAsia="zh-CN"/>
        </w:rPr>
        <w:t>届会议（</w:t>
      </w:r>
      <w:r w:rsidRPr="006E3B9B">
        <w:rPr>
          <w:lang w:eastAsia="zh-CN"/>
        </w:rPr>
        <w:t>1990</w:t>
      </w:r>
      <w:r w:rsidRPr="006E3B9B">
        <w:rPr>
          <w:rFonts w:hint="eastAsia"/>
          <w:lang w:eastAsia="zh-CN"/>
        </w:rPr>
        <w:t>年</w:t>
      </w:r>
      <w:r w:rsidRPr="006E3B9B">
        <w:rPr>
          <w:lang w:eastAsia="zh-CN"/>
        </w:rPr>
        <w:t>6</w:t>
      </w:r>
      <w:r w:rsidRPr="006E3B9B">
        <w:rPr>
          <w:rFonts w:hint="eastAsia"/>
          <w:lang w:eastAsia="zh-CN"/>
        </w:rPr>
        <w:t>月）</w:t>
      </w:r>
    </w:p>
    <w:p w14:paraId="4827C04C"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992</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1989</w:t>
      </w:r>
      <w:r w:rsidRPr="006E3B9B">
        <w:rPr>
          <w:rFonts w:hint="eastAsia"/>
          <w:lang w:eastAsia="zh-CN"/>
        </w:rPr>
        <w:t>年财务工作报告</w:t>
      </w:r>
      <w:r w:rsidRPr="006E3B9B">
        <w:rPr>
          <w:lang w:val="en-US" w:eastAsia="zh-CN"/>
        </w:rPr>
        <w:tab/>
      </w:r>
      <w:r w:rsidR="005F6138">
        <w:rPr>
          <w:lang w:val="en-US" w:eastAsia="zh-CN"/>
        </w:rPr>
        <w:tab/>
      </w:r>
      <w:r w:rsidRPr="006E3B9B">
        <w:rPr>
          <w:lang w:val="en-US" w:eastAsia="zh-CN"/>
        </w:rPr>
        <w:t>1991</w:t>
      </w:r>
      <w:r w:rsidRPr="006E3B9B">
        <w:rPr>
          <w:rFonts w:hint="eastAsia"/>
          <w:lang w:val="en-US" w:eastAsia="zh-CN"/>
        </w:rPr>
        <w:t>年</w:t>
      </w:r>
    </w:p>
    <w:p w14:paraId="4827C04D"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993</w:t>
      </w:r>
      <w:r w:rsidRPr="006E3B9B">
        <w:rPr>
          <w:lang w:val="en-US" w:eastAsia="zh-CN"/>
        </w:rPr>
        <w:t>号决议</w:t>
      </w:r>
      <w:r w:rsidRPr="006E3B9B">
        <w:rPr>
          <w:lang w:val="en-US" w:eastAsia="zh-CN"/>
        </w:rPr>
        <w:tab/>
      </w:r>
      <w:r w:rsidRPr="006E3B9B">
        <w:rPr>
          <w:rFonts w:hint="eastAsia"/>
          <w:lang w:eastAsia="zh-CN"/>
        </w:rPr>
        <w:t>摊付国际电联费用的会费份额</w:t>
      </w:r>
      <w:r w:rsidRPr="006E3B9B">
        <w:rPr>
          <w:lang w:val="en-US" w:eastAsia="zh-CN"/>
        </w:rPr>
        <w:tab/>
      </w:r>
      <w:r w:rsidR="005F6138">
        <w:rPr>
          <w:lang w:val="en-US" w:eastAsia="zh-CN"/>
        </w:rPr>
        <w:tab/>
      </w:r>
      <w:r w:rsidRPr="006E3B9B">
        <w:rPr>
          <w:lang w:val="en-US" w:eastAsia="zh-CN"/>
        </w:rPr>
        <w:t>1993</w:t>
      </w:r>
      <w:r w:rsidRPr="006E3B9B">
        <w:rPr>
          <w:rFonts w:hint="eastAsia"/>
          <w:lang w:val="en-US" w:eastAsia="zh-CN"/>
        </w:rPr>
        <w:t>年</w:t>
      </w:r>
    </w:p>
    <w:p w14:paraId="4827C04E"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994</w:t>
      </w:r>
      <w:r w:rsidRPr="006E3B9B">
        <w:rPr>
          <w:lang w:val="en-US" w:eastAsia="zh-CN"/>
        </w:rPr>
        <w:t>号决议</w:t>
      </w:r>
      <w:r w:rsidRPr="006E3B9B">
        <w:rPr>
          <w:lang w:val="en-US" w:eastAsia="zh-CN"/>
        </w:rPr>
        <w:tab/>
      </w:r>
      <w:r w:rsidRPr="006E3B9B">
        <w:rPr>
          <w:rFonts w:hint="eastAsia"/>
          <w:lang w:eastAsia="zh-CN"/>
        </w:rPr>
        <w:t>国际电联</w:t>
      </w:r>
      <w:r w:rsidRPr="006E3B9B">
        <w:rPr>
          <w:rFonts w:hint="eastAsia"/>
          <w:lang w:eastAsia="zh-CN"/>
        </w:rPr>
        <w:t>1989</w:t>
      </w:r>
      <w:r w:rsidRPr="006E3B9B">
        <w:rPr>
          <w:rFonts w:hint="eastAsia"/>
          <w:lang w:eastAsia="zh-CN"/>
        </w:rPr>
        <w:t>年</w:t>
      </w:r>
      <w:r w:rsidRPr="006E3B9B">
        <w:rPr>
          <w:rFonts w:hint="eastAsia"/>
          <w:lang w:eastAsia="zh-CN"/>
        </w:rPr>
        <w:t>1</w:t>
      </w:r>
      <w:r w:rsidRPr="006E3B9B">
        <w:rPr>
          <w:rFonts w:hint="eastAsia"/>
          <w:lang w:eastAsia="zh-CN"/>
        </w:rPr>
        <w:t>月</w:t>
      </w:r>
      <w:r w:rsidRPr="006E3B9B">
        <w:rPr>
          <w:rFonts w:hint="eastAsia"/>
          <w:lang w:eastAsia="zh-CN"/>
        </w:rPr>
        <w:t>1</w:t>
      </w:r>
      <w:r w:rsidRPr="006E3B9B">
        <w:rPr>
          <w:rFonts w:hint="eastAsia"/>
          <w:lang w:eastAsia="zh-CN"/>
        </w:rPr>
        <w:t>日至</w:t>
      </w:r>
      <w:r w:rsidRPr="006E3B9B">
        <w:rPr>
          <w:rFonts w:hint="eastAsia"/>
          <w:lang w:eastAsia="zh-CN"/>
        </w:rPr>
        <w:t>12</w:t>
      </w:r>
      <w:r w:rsidRPr="006E3B9B">
        <w:rPr>
          <w:rFonts w:hint="eastAsia"/>
          <w:lang w:eastAsia="zh-CN"/>
        </w:rPr>
        <w:t>月</w:t>
      </w:r>
      <w:r w:rsidRPr="006E3B9B">
        <w:rPr>
          <w:rFonts w:hint="eastAsia"/>
          <w:lang w:eastAsia="zh-CN"/>
        </w:rPr>
        <w:t>31</w:t>
      </w:r>
      <w:r w:rsidRPr="006E3B9B">
        <w:rPr>
          <w:rFonts w:hint="eastAsia"/>
          <w:lang w:eastAsia="zh-CN"/>
        </w:rPr>
        <w:t>日账目的外部审计</w:t>
      </w:r>
      <w:r w:rsidRPr="006E3B9B">
        <w:rPr>
          <w:lang w:val="en-US" w:eastAsia="zh-CN"/>
        </w:rPr>
        <w:tab/>
      </w:r>
      <w:r w:rsidR="005F6138">
        <w:rPr>
          <w:lang w:val="en-US" w:eastAsia="zh-CN"/>
        </w:rPr>
        <w:tab/>
      </w:r>
      <w:r w:rsidRPr="006E3B9B">
        <w:rPr>
          <w:lang w:val="en-US" w:eastAsia="zh-CN"/>
        </w:rPr>
        <w:t>1991</w:t>
      </w:r>
      <w:r w:rsidRPr="006E3B9B">
        <w:rPr>
          <w:rFonts w:hint="eastAsia"/>
          <w:lang w:val="en-US" w:eastAsia="zh-CN"/>
        </w:rPr>
        <w:t>年</w:t>
      </w:r>
    </w:p>
    <w:p w14:paraId="4827C04F"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995</w:t>
      </w:r>
      <w:r w:rsidRPr="006E3B9B">
        <w:rPr>
          <w:lang w:val="en-US" w:eastAsia="zh-CN"/>
        </w:rPr>
        <w:t>号决议</w:t>
      </w:r>
      <w:r w:rsidRPr="006E3B9B">
        <w:rPr>
          <w:lang w:val="en-US" w:eastAsia="zh-CN"/>
        </w:rPr>
        <w:tab/>
      </w:r>
      <w:r w:rsidRPr="006E3B9B">
        <w:rPr>
          <w:rFonts w:hint="eastAsia"/>
          <w:lang w:eastAsia="zh-CN"/>
        </w:rPr>
        <w:t>关于频谱某些部分频率划分的世界无线电行政大会</w:t>
      </w:r>
      <w:r w:rsidRPr="006E3B9B">
        <w:rPr>
          <w:lang w:val="en-US" w:eastAsia="zh-CN"/>
        </w:rPr>
        <w:tab/>
      </w:r>
      <w:r w:rsidR="005F6138">
        <w:rPr>
          <w:lang w:val="en-US" w:eastAsia="zh-CN"/>
        </w:rPr>
        <w:tab/>
      </w:r>
      <w:r w:rsidRPr="006E3B9B">
        <w:rPr>
          <w:lang w:val="en-US" w:eastAsia="zh-CN"/>
        </w:rPr>
        <w:t>1992</w:t>
      </w:r>
      <w:r w:rsidRPr="006E3B9B">
        <w:rPr>
          <w:rFonts w:hint="eastAsia"/>
          <w:lang w:val="en-US" w:eastAsia="zh-CN"/>
        </w:rPr>
        <w:t>年</w:t>
      </w:r>
    </w:p>
    <w:p w14:paraId="4827C050"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996</w:t>
      </w:r>
      <w:r w:rsidRPr="006E3B9B">
        <w:rPr>
          <w:lang w:val="en-US" w:eastAsia="zh-CN"/>
        </w:rPr>
        <w:t>号决议</w:t>
      </w:r>
      <w:r w:rsidRPr="006E3B9B">
        <w:rPr>
          <w:lang w:val="en-US" w:eastAsia="zh-CN"/>
        </w:rPr>
        <w:tab/>
      </w:r>
      <w:r w:rsidRPr="006E3B9B">
        <w:rPr>
          <w:rFonts w:hint="eastAsia"/>
          <w:lang w:eastAsia="zh-CN"/>
        </w:rPr>
        <w:t>国际电联职员养恤金委员会的委员</w:t>
      </w:r>
      <w:r w:rsidRPr="006E3B9B">
        <w:rPr>
          <w:lang w:val="en-US" w:eastAsia="zh-CN"/>
        </w:rPr>
        <w:tab/>
      </w:r>
      <w:r w:rsidR="005F6138">
        <w:rPr>
          <w:lang w:val="en-US" w:eastAsia="zh-CN"/>
        </w:rPr>
        <w:tab/>
      </w:r>
      <w:r w:rsidRPr="006E3B9B">
        <w:rPr>
          <w:lang w:val="en-US" w:eastAsia="zh-CN"/>
        </w:rPr>
        <w:t>1992</w:t>
      </w:r>
      <w:r w:rsidRPr="006E3B9B">
        <w:rPr>
          <w:rFonts w:hint="eastAsia"/>
          <w:lang w:val="en-US" w:eastAsia="zh-CN"/>
        </w:rPr>
        <w:t>年</w:t>
      </w:r>
    </w:p>
    <w:p w14:paraId="4827C051"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997</w:t>
      </w:r>
      <w:r w:rsidRPr="006E3B9B">
        <w:rPr>
          <w:lang w:val="en-US" w:eastAsia="zh-CN"/>
        </w:rPr>
        <w:t>号决议</w:t>
      </w:r>
      <w:r w:rsidRPr="006E3B9B">
        <w:rPr>
          <w:lang w:val="en-US" w:eastAsia="zh-CN"/>
        </w:rPr>
        <w:tab/>
      </w:r>
      <w:r w:rsidRPr="006E3B9B">
        <w:rPr>
          <w:rFonts w:hint="eastAsia"/>
          <w:lang w:eastAsia="zh-CN"/>
        </w:rPr>
        <w:t>联合国合办职员养恤金基金（</w:t>
      </w:r>
      <w:r w:rsidRPr="006E3B9B">
        <w:rPr>
          <w:lang w:eastAsia="zh-CN"/>
        </w:rPr>
        <w:t>UNJSPE</w:t>
      </w:r>
      <w:r w:rsidRPr="006E3B9B">
        <w:rPr>
          <w:rFonts w:hint="eastAsia"/>
          <w:lang w:eastAsia="zh-CN"/>
        </w:rPr>
        <w:t>）</w:t>
      </w:r>
      <w:r w:rsidRPr="006E3B9B">
        <w:rPr>
          <w:lang w:eastAsia="zh-CN"/>
        </w:rPr>
        <w:t xml:space="preserve">– </w:t>
      </w:r>
      <w:r w:rsidRPr="006E3B9B">
        <w:rPr>
          <w:rFonts w:hint="eastAsia"/>
          <w:lang w:eastAsia="zh-CN"/>
        </w:rPr>
        <w:t>研究调整养恤金所需的措施</w:t>
      </w:r>
      <w:r w:rsidR="005F6138">
        <w:rPr>
          <w:lang w:eastAsia="zh-CN"/>
        </w:rPr>
        <w:tab/>
      </w:r>
      <w:r w:rsidRPr="006E3B9B">
        <w:rPr>
          <w:lang w:val="en-US" w:eastAsia="zh-CN"/>
        </w:rPr>
        <w:tab/>
        <w:t>1994</w:t>
      </w:r>
      <w:r w:rsidRPr="006E3B9B">
        <w:rPr>
          <w:rFonts w:hint="eastAsia"/>
          <w:lang w:val="en-US" w:eastAsia="zh-CN"/>
        </w:rPr>
        <w:t>年</w:t>
      </w:r>
    </w:p>
    <w:p w14:paraId="4827C052"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998</w:t>
      </w:r>
      <w:r w:rsidRPr="006E3B9B">
        <w:rPr>
          <w:lang w:val="en-US" w:eastAsia="zh-CN"/>
        </w:rPr>
        <w:t>号决议</w:t>
      </w:r>
      <w:r w:rsidRPr="006E3B9B">
        <w:rPr>
          <w:lang w:val="en-US" w:eastAsia="zh-CN"/>
        </w:rPr>
        <w:tab/>
      </w:r>
      <w:r w:rsidRPr="006E3B9B">
        <w:rPr>
          <w:rFonts w:hint="eastAsia"/>
          <w:lang w:eastAsia="zh-CN"/>
        </w:rPr>
        <w:t>选任官员的薪金、就职地点补贴调整数和职员薪金税率表</w:t>
      </w:r>
      <w:r w:rsidRPr="006E3B9B">
        <w:rPr>
          <w:lang w:val="en-US" w:eastAsia="zh-CN"/>
        </w:rPr>
        <w:tab/>
      </w:r>
      <w:r w:rsidR="005F6138">
        <w:rPr>
          <w:lang w:val="en-US" w:eastAsia="zh-CN"/>
        </w:rPr>
        <w:tab/>
      </w:r>
      <w:r w:rsidRPr="006E3B9B">
        <w:rPr>
          <w:lang w:val="en-US" w:eastAsia="zh-CN"/>
        </w:rPr>
        <w:t>1992</w:t>
      </w:r>
      <w:r w:rsidRPr="006E3B9B">
        <w:rPr>
          <w:rFonts w:hint="eastAsia"/>
          <w:lang w:val="en-US" w:eastAsia="zh-CN"/>
        </w:rPr>
        <w:t>年</w:t>
      </w:r>
    </w:p>
    <w:p w14:paraId="4827C053"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999</w:t>
      </w:r>
      <w:r w:rsidRPr="006E3B9B">
        <w:rPr>
          <w:lang w:val="en-US" w:eastAsia="zh-CN"/>
        </w:rPr>
        <w:t>号决议</w:t>
      </w:r>
      <w:r w:rsidRPr="006E3B9B">
        <w:rPr>
          <w:lang w:val="en-US" w:eastAsia="zh-CN"/>
        </w:rPr>
        <w:tab/>
      </w:r>
      <w:r w:rsidRPr="006E3B9B">
        <w:rPr>
          <w:rFonts w:hint="eastAsia"/>
          <w:lang w:val="en-US" w:eastAsia="zh-CN"/>
        </w:rPr>
        <w:t>汇总有</w:t>
      </w:r>
      <w:r w:rsidRPr="006E3B9B">
        <w:rPr>
          <w:rFonts w:hint="eastAsia"/>
          <w:lang w:eastAsia="zh-CN"/>
        </w:rPr>
        <w:t>关人员需求的决定</w:t>
      </w:r>
      <w:r w:rsidRPr="006E3B9B">
        <w:rPr>
          <w:lang w:val="en-US" w:eastAsia="zh-CN"/>
        </w:rPr>
        <w:tab/>
      </w:r>
      <w:r w:rsidR="005F6138">
        <w:rPr>
          <w:lang w:val="en-US" w:eastAsia="zh-CN"/>
        </w:rPr>
        <w:tab/>
      </w:r>
      <w:r w:rsidRPr="006E3B9B">
        <w:rPr>
          <w:lang w:val="en-US" w:eastAsia="zh-CN"/>
        </w:rPr>
        <w:t>1996</w:t>
      </w:r>
      <w:r w:rsidRPr="006E3B9B">
        <w:rPr>
          <w:rFonts w:hint="eastAsia"/>
          <w:lang w:val="en-US" w:eastAsia="zh-CN"/>
        </w:rPr>
        <w:t>年</w:t>
      </w:r>
    </w:p>
    <w:p w14:paraId="4827C054" w14:textId="77777777" w:rsidR="00091112" w:rsidRDefault="00091112">
      <w:pPr>
        <w:tabs>
          <w:tab w:val="clear" w:pos="794"/>
          <w:tab w:val="clear" w:pos="1191"/>
          <w:tab w:val="clear" w:pos="1588"/>
          <w:tab w:val="clear" w:pos="1985"/>
        </w:tabs>
        <w:overflowPunct/>
        <w:autoSpaceDE/>
        <w:autoSpaceDN/>
        <w:adjustRightInd/>
        <w:spacing w:before="0"/>
        <w:jc w:val="left"/>
        <w:textAlignment w:val="auto"/>
        <w:rPr>
          <w:sz w:val="20"/>
          <w:lang w:val="en-US" w:eastAsia="zh-CN"/>
        </w:rPr>
      </w:pPr>
      <w:r>
        <w:rPr>
          <w:lang w:val="en-US" w:eastAsia="zh-CN"/>
        </w:rPr>
        <w:br w:type="page"/>
      </w:r>
    </w:p>
    <w:p w14:paraId="4827C055" w14:textId="77777777" w:rsidR="006E3B9B" w:rsidRPr="006E3B9B" w:rsidRDefault="006E3B9B" w:rsidP="005F6138">
      <w:pPr>
        <w:pStyle w:val="Appendixref"/>
        <w:rPr>
          <w:lang w:val="en-US" w:eastAsia="zh-CN"/>
        </w:rPr>
      </w:pPr>
      <w:r w:rsidRPr="006E3B9B">
        <w:rPr>
          <w:lang w:val="en-US" w:eastAsia="zh-CN"/>
        </w:rPr>
        <w:lastRenderedPageBreak/>
        <w:t>第</w:t>
      </w:r>
      <w:r w:rsidRPr="006E3B9B">
        <w:rPr>
          <w:lang w:val="en-US" w:eastAsia="zh-CN"/>
        </w:rPr>
        <w:t>1000</w:t>
      </w:r>
      <w:r w:rsidRPr="006E3B9B">
        <w:rPr>
          <w:lang w:val="en-US" w:eastAsia="zh-CN"/>
        </w:rPr>
        <w:t>号决议</w:t>
      </w:r>
      <w:r w:rsidRPr="006E3B9B">
        <w:rPr>
          <w:lang w:val="en-US" w:eastAsia="zh-CN"/>
        </w:rPr>
        <w:tab/>
      </w:r>
      <w:r w:rsidRPr="006E3B9B">
        <w:rPr>
          <w:rFonts w:hint="eastAsia"/>
          <w:lang w:eastAsia="zh-CN"/>
        </w:rPr>
        <w:t>国际电信联盟</w:t>
      </w:r>
      <w:r w:rsidRPr="006E3B9B">
        <w:rPr>
          <w:lang w:eastAsia="zh-CN"/>
        </w:rPr>
        <w:t>1991</w:t>
      </w:r>
      <w:r w:rsidRPr="006E3B9B">
        <w:rPr>
          <w:rFonts w:hint="eastAsia"/>
          <w:lang w:eastAsia="zh-CN"/>
        </w:rPr>
        <w:t>年预算</w:t>
      </w:r>
      <w:r w:rsidRPr="006E3B9B">
        <w:rPr>
          <w:lang w:val="en-US" w:eastAsia="zh-CN"/>
        </w:rPr>
        <w:tab/>
      </w:r>
      <w:r w:rsidR="005F6138">
        <w:rPr>
          <w:lang w:val="en-US" w:eastAsia="zh-CN"/>
        </w:rPr>
        <w:tab/>
      </w:r>
      <w:r w:rsidRPr="006E3B9B">
        <w:rPr>
          <w:lang w:val="en-US" w:eastAsia="zh-CN"/>
        </w:rPr>
        <w:t>1992</w:t>
      </w:r>
      <w:r w:rsidRPr="006E3B9B">
        <w:rPr>
          <w:rFonts w:hint="eastAsia"/>
          <w:lang w:val="en-US" w:eastAsia="zh-CN"/>
        </w:rPr>
        <w:t>年</w:t>
      </w:r>
    </w:p>
    <w:p w14:paraId="4827C056"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1001</w:t>
      </w:r>
      <w:r w:rsidRPr="006E3B9B">
        <w:rPr>
          <w:lang w:val="en-US" w:eastAsia="zh-CN"/>
        </w:rPr>
        <w:t>号决议</w:t>
      </w:r>
      <w:r w:rsidRPr="006E3B9B">
        <w:rPr>
          <w:lang w:val="en-US" w:eastAsia="zh-CN"/>
        </w:rPr>
        <w:tab/>
      </w:r>
      <w:r w:rsidRPr="006E3B9B">
        <w:rPr>
          <w:rFonts w:hint="eastAsia"/>
          <w:lang w:eastAsia="zh-CN"/>
        </w:rPr>
        <w:t>国际电联《财务规则》的修订</w:t>
      </w:r>
      <w:r w:rsidRPr="006E3B9B">
        <w:rPr>
          <w:lang w:val="en-US" w:eastAsia="zh-CN"/>
        </w:rPr>
        <w:tab/>
      </w:r>
      <w:r w:rsidR="005F6138">
        <w:rPr>
          <w:lang w:val="en-US" w:eastAsia="zh-CN"/>
        </w:rPr>
        <w:tab/>
      </w:r>
      <w:r w:rsidRPr="006E3B9B">
        <w:rPr>
          <w:lang w:val="en-US" w:eastAsia="zh-CN"/>
        </w:rPr>
        <w:t>1992</w:t>
      </w:r>
      <w:r w:rsidRPr="006E3B9B">
        <w:rPr>
          <w:rFonts w:hint="eastAsia"/>
          <w:lang w:val="en-US" w:eastAsia="zh-CN"/>
        </w:rPr>
        <w:t>年</w:t>
      </w:r>
    </w:p>
    <w:p w14:paraId="4827C057"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1002</w:t>
      </w:r>
      <w:r w:rsidRPr="006E3B9B">
        <w:rPr>
          <w:lang w:val="en-US" w:eastAsia="zh-CN"/>
        </w:rPr>
        <w:t>号决议</w:t>
      </w:r>
      <w:r w:rsidRPr="006E3B9B">
        <w:rPr>
          <w:lang w:val="en-US" w:eastAsia="zh-CN"/>
        </w:rPr>
        <w:tab/>
      </w:r>
      <w:r w:rsidRPr="006E3B9B">
        <w:rPr>
          <w:rFonts w:hint="eastAsia"/>
          <w:lang w:eastAsia="zh-CN"/>
        </w:rPr>
        <w:t>利息专账</w:t>
      </w:r>
      <w:r w:rsidRPr="006E3B9B">
        <w:rPr>
          <w:lang w:val="en-US" w:eastAsia="zh-CN"/>
        </w:rPr>
        <w:tab/>
      </w:r>
      <w:r w:rsidR="005F6138">
        <w:rPr>
          <w:lang w:val="en-US" w:eastAsia="zh-CN"/>
        </w:rPr>
        <w:tab/>
      </w:r>
      <w:r w:rsidRPr="006E3B9B">
        <w:rPr>
          <w:lang w:val="en-US" w:eastAsia="zh-CN"/>
        </w:rPr>
        <w:t>1991</w:t>
      </w:r>
      <w:r w:rsidRPr="006E3B9B">
        <w:rPr>
          <w:rFonts w:hint="eastAsia"/>
          <w:lang w:val="en-US" w:eastAsia="zh-CN"/>
        </w:rPr>
        <w:t>年</w:t>
      </w:r>
    </w:p>
    <w:p w14:paraId="4827C058"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1003</w:t>
      </w:r>
      <w:r w:rsidRPr="006E3B9B">
        <w:rPr>
          <w:lang w:val="en-US" w:eastAsia="zh-CN"/>
        </w:rPr>
        <w:t>号决议</w:t>
      </w:r>
      <w:r w:rsidRPr="006E3B9B">
        <w:rPr>
          <w:lang w:val="en-US" w:eastAsia="zh-CN"/>
        </w:rPr>
        <w:tab/>
      </w:r>
      <w:r w:rsidRPr="006E3B9B">
        <w:rPr>
          <w:rFonts w:hint="eastAsia"/>
          <w:lang w:eastAsia="zh-CN"/>
        </w:rPr>
        <w:t>借方账目特别准备金</w:t>
      </w:r>
      <w:r w:rsidRPr="006E3B9B">
        <w:rPr>
          <w:lang w:val="en-US" w:eastAsia="zh-CN"/>
        </w:rPr>
        <w:tab/>
      </w:r>
      <w:r w:rsidR="005F6138">
        <w:rPr>
          <w:lang w:val="en-US" w:eastAsia="zh-CN"/>
        </w:rPr>
        <w:tab/>
      </w:r>
      <w:r w:rsidRPr="006E3B9B">
        <w:rPr>
          <w:lang w:val="en-US" w:eastAsia="zh-CN"/>
        </w:rPr>
        <w:t>1995</w:t>
      </w:r>
      <w:r w:rsidRPr="006E3B9B">
        <w:rPr>
          <w:rFonts w:hint="eastAsia"/>
          <w:lang w:val="en-US" w:eastAsia="zh-CN"/>
        </w:rPr>
        <w:t>年</w:t>
      </w:r>
    </w:p>
    <w:p w14:paraId="4827C059"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1004</w:t>
      </w:r>
      <w:r w:rsidRPr="006E3B9B">
        <w:rPr>
          <w:lang w:val="en-US" w:eastAsia="zh-CN"/>
        </w:rPr>
        <w:t>号决议</w:t>
      </w:r>
      <w:r w:rsidRPr="006E3B9B">
        <w:rPr>
          <w:lang w:val="en-US" w:eastAsia="zh-CN"/>
        </w:rPr>
        <w:tab/>
      </w:r>
      <w:r w:rsidRPr="006E3B9B">
        <w:rPr>
          <w:rFonts w:hint="eastAsia"/>
          <w:lang w:eastAsia="zh-CN"/>
        </w:rPr>
        <w:t>与国际电联活动有关的特权、豁免和便利</w:t>
      </w:r>
      <w:r w:rsidRPr="006E3B9B">
        <w:rPr>
          <w:lang w:val="en-US" w:eastAsia="zh-CN"/>
        </w:rPr>
        <w:tab/>
      </w:r>
      <w:r w:rsidR="005F6138">
        <w:rPr>
          <w:lang w:val="en-US" w:eastAsia="zh-CN"/>
        </w:rPr>
        <w:tab/>
      </w:r>
      <w:r w:rsidRPr="006E3B9B">
        <w:rPr>
          <w:lang w:val="en-US" w:eastAsia="zh-CN"/>
        </w:rPr>
        <w:t>2.1</w:t>
      </w:r>
    </w:p>
    <w:p w14:paraId="4827C05A"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1005</w:t>
      </w:r>
      <w:r w:rsidRPr="006E3B9B">
        <w:rPr>
          <w:lang w:val="en-US" w:eastAsia="zh-CN"/>
        </w:rPr>
        <w:t>号决议</w:t>
      </w:r>
      <w:r w:rsidRPr="006E3B9B">
        <w:rPr>
          <w:lang w:val="en-US" w:eastAsia="zh-CN"/>
        </w:rPr>
        <w:tab/>
      </w:r>
      <w:r w:rsidRPr="006E3B9B">
        <w:rPr>
          <w:rFonts w:hint="eastAsia"/>
          <w:lang w:val="en-US" w:eastAsia="zh-CN"/>
        </w:rPr>
        <w:t>《</w:t>
      </w:r>
      <w:r w:rsidRPr="006E3B9B">
        <w:rPr>
          <w:rFonts w:hint="eastAsia"/>
          <w:lang w:eastAsia="zh-CN"/>
        </w:rPr>
        <w:t>行政理事会议事规则》的修订</w:t>
      </w:r>
      <w:r w:rsidRPr="006E3B9B">
        <w:rPr>
          <w:lang w:val="en-US" w:eastAsia="zh-CN"/>
        </w:rPr>
        <w:tab/>
      </w:r>
      <w:r w:rsidR="005F6138">
        <w:rPr>
          <w:lang w:val="en-US" w:eastAsia="zh-CN"/>
        </w:rPr>
        <w:tab/>
      </w:r>
      <w:r w:rsidRPr="006E3B9B">
        <w:rPr>
          <w:lang w:val="en-US" w:eastAsia="zh-CN"/>
        </w:rPr>
        <w:t>1996</w:t>
      </w:r>
      <w:r w:rsidRPr="006E3B9B">
        <w:rPr>
          <w:rFonts w:hint="eastAsia"/>
          <w:lang w:val="en-US" w:eastAsia="zh-CN"/>
        </w:rPr>
        <w:t>年</w:t>
      </w:r>
    </w:p>
    <w:p w14:paraId="4827C05B"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1006</w:t>
      </w:r>
      <w:r w:rsidRPr="006E3B9B">
        <w:rPr>
          <w:lang w:val="en-US" w:eastAsia="zh-CN"/>
        </w:rPr>
        <w:t>号决议</w:t>
      </w:r>
      <w:r w:rsidRPr="006E3B9B">
        <w:rPr>
          <w:lang w:val="en-US" w:eastAsia="zh-CN"/>
        </w:rPr>
        <w:tab/>
      </w:r>
      <w:r w:rsidRPr="006E3B9B">
        <w:rPr>
          <w:rFonts w:hint="eastAsia"/>
          <w:lang w:eastAsia="zh-CN"/>
        </w:rPr>
        <w:t>尼斯《组织法》和《公约》生效所需的法律文书的交存</w:t>
      </w:r>
      <w:r w:rsidRPr="006E3B9B">
        <w:rPr>
          <w:lang w:val="en-US" w:eastAsia="zh-CN"/>
        </w:rPr>
        <w:tab/>
      </w:r>
      <w:r w:rsidR="005F6138">
        <w:rPr>
          <w:lang w:val="en-US" w:eastAsia="zh-CN"/>
        </w:rPr>
        <w:tab/>
      </w:r>
      <w:r w:rsidRPr="006E3B9B">
        <w:rPr>
          <w:lang w:val="en-US" w:eastAsia="zh-CN"/>
        </w:rPr>
        <w:t>1993</w:t>
      </w:r>
      <w:r w:rsidRPr="006E3B9B">
        <w:rPr>
          <w:rFonts w:hint="eastAsia"/>
          <w:lang w:val="en-US" w:eastAsia="zh-CN"/>
        </w:rPr>
        <w:t>年</w:t>
      </w:r>
    </w:p>
    <w:p w14:paraId="4827C05C"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1007</w:t>
      </w:r>
      <w:r w:rsidRPr="006E3B9B">
        <w:rPr>
          <w:lang w:val="en-US" w:eastAsia="zh-CN"/>
        </w:rPr>
        <w:t>号决议</w:t>
      </w:r>
      <w:r w:rsidRPr="006E3B9B">
        <w:rPr>
          <w:lang w:val="en-US" w:eastAsia="zh-CN"/>
        </w:rPr>
        <w:tab/>
      </w:r>
      <w:r w:rsidRPr="006E3B9B">
        <w:rPr>
          <w:rFonts w:hint="eastAsia"/>
          <w:lang w:eastAsia="zh-CN"/>
        </w:rPr>
        <w:t>阿根廷共和国摊付国际电联及相关事宜的费用的会费单位</w:t>
      </w:r>
      <w:r w:rsidRPr="006E3B9B">
        <w:rPr>
          <w:lang w:val="en-US" w:eastAsia="zh-CN"/>
        </w:rPr>
        <w:tab/>
      </w:r>
      <w:r w:rsidR="005F6138">
        <w:rPr>
          <w:lang w:val="en-US" w:eastAsia="zh-CN"/>
        </w:rPr>
        <w:tab/>
      </w:r>
      <w:r w:rsidRPr="006E3B9B">
        <w:rPr>
          <w:lang w:val="en-US" w:eastAsia="zh-CN"/>
        </w:rPr>
        <w:t>1995</w:t>
      </w:r>
      <w:r w:rsidRPr="006E3B9B">
        <w:rPr>
          <w:rFonts w:hint="eastAsia"/>
          <w:lang w:val="en-US" w:eastAsia="zh-CN"/>
        </w:rPr>
        <w:t>年</w:t>
      </w:r>
    </w:p>
    <w:p w14:paraId="4827C05D"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1008</w:t>
      </w:r>
      <w:r w:rsidRPr="006E3B9B">
        <w:rPr>
          <w:lang w:val="en-US" w:eastAsia="zh-CN"/>
        </w:rPr>
        <w:t>号决议</w:t>
      </w:r>
      <w:r w:rsidRPr="006E3B9B">
        <w:rPr>
          <w:lang w:val="en-US" w:eastAsia="zh-CN"/>
        </w:rPr>
        <w:tab/>
      </w:r>
      <w:r w:rsidRPr="006E3B9B">
        <w:rPr>
          <w:rFonts w:hint="eastAsia"/>
          <w:lang w:eastAsia="zh-CN"/>
        </w:rPr>
        <w:t>查明有关以色列违反《国际电信公约》事实的委员会</w:t>
      </w:r>
      <w:r w:rsidRPr="006E3B9B">
        <w:rPr>
          <w:lang w:val="en-US" w:eastAsia="zh-CN"/>
        </w:rPr>
        <w:tab/>
      </w:r>
      <w:r w:rsidR="005F6138">
        <w:rPr>
          <w:lang w:val="en-US" w:eastAsia="zh-CN"/>
        </w:rPr>
        <w:tab/>
      </w:r>
      <w:r w:rsidRPr="006E3B9B">
        <w:rPr>
          <w:lang w:val="en-US" w:eastAsia="zh-CN"/>
        </w:rPr>
        <w:t>6.1</w:t>
      </w:r>
    </w:p>
    <w:p w14:paraId="4827C05E"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1009</w:t>
      </w:r>
      <w:r w:rsidRPr="006E3B9B">
        <w:rPr>
          <w:lang w:val="en-US" w:eastAsia="zh-CN"/>
        </w:rPr>
        <w:t>号决议</w:t>
      </w:r>
      <w:r w:rsidRPr="006E3B9B">
        <w:rPr>
          <w:lang w:val="en-US" w:eastAsia="zh-CN"/>
        </w:rPr>
        <w:tab/>
      </w:r>
      <w:r w:rsidRPr="006E3B9B">
        <w:rPr>
          <w:rFonts w:hint="eastAsia"/>
          <w:lang w:eastAsia="zh-CN"/>
        </w:rPr>
        <w:t>成立一个自愿专家组，</w:t>
      </w:r>
      <w:r w:rsidRPr="00587F0E">
        <w:rPr>
          <w:rFonts w:hint="eastAsia"/>
          <w:lang w:val="en-US" w:eastAsia="zh-CN"/>
        </w:rPr>
        <w:t>研究如何划分和更好地使用无线电频谱以及</w:t>
      </w:r>
      <w:r w:rsidRPr="006E3B9B">
        <w:rPr>
          <w:rFonts w:hint="eastAsia"/>
          <w:lang w:eastAsia="zh-CN"/>
        </w:rPr>
        <w:t>简化《无线电规则》</w:t>
      </w:r>
      <w:r w:rsidRPr="006E3B9B">
        <w:rPr>
          <w:lang w:val="en-US" w:eastAsia="zh-CN"/>
        </w:rPr>
        <w:tab/>
      </w:r>
      <w:r w:rsidR="00587F0E">
        <w:rPr>
          <w:lang w:val="en-US" w:eastAsia="zh-CN"/>
        </w:rPr>
        <w:tab/>
      </w:r>
      <w:r w:rsidRPr="006E3B9B">
        <w:rPr>
          <w:lang w:val="en-US" w:eastAsia="zh-CN"/>
        </w:rPr>
        <w:t>1995</w:t>
      </w:r>
      <w:r w:rsidRPr="006E3B9B">
        <w:rPr>
          <w:rFonts w:hint="eastAsia"/>
          <w:lang w:val="en-US" w:eastAsia="zh-CN"/>
        </w:rPr>
        <w:t>年</w:t>
      </w:r>
    </w:p>
    <w:p w14:paraId="4827C05F" w14:textId="77777777" w:rsidR="006E3B9B" w:rsidRPr="006E3B9B" w:rsidRDefault="006E3B9B" w:rsidP="003E11A1">
      <w:pPr>
        <w:pStyle w:val="Reftitle"/>
        <w:rPr>
          <w:lang w:val="en-US" w:eastAsia="zh-CN"/>
        </w:rPr>
      </w:pPr>
      <w:r w:rsidRPr="006E3B9B">
        <w:rPr>
          <w:rFonts w:hint="eastAsia"/>
          <w:lang w:eastAsia="zh-CN"/>
        </w:rPr>
        <w:t>第</w:t>
      </w:r>
      <w:r w:rsidRPr="006E3B9B">
        <w:rPr>
          <w:lang w:eastAsia="zh-CN"/>
        </w:rPr>
        <w:t>46</w:t>
      </w:r>
      <w:r w:rsidRPr="006E3B9B">
        <w:rPr>
          <w:rFonts w:hint="eastAsia"/>
          <w:lang w:eastAsia="zh-CN"/>
        </w:rPr>
        <w:t>届会议（</w:t>
      </w:r>
      <w:r w:rsidRPr="006E3B9B">
        <w:rPr>
          <w:lang w:eastAsia="zh-CN"/>
        </w:rPr>
        <w:t>1991</w:t>
      </w:r>
      <w:r w:rsidRPr="006E3B9B">
        <w:rPr>
          <w:rFonts w:hint="eastAsia"/>
          <w:lang w:eastAsia="zh-CN"/>
        </w:rPr>
        <w:t>年</w:t>
      </w:r>
      <w:r w:rsidRPr="006E3B9B">
        <w:rPr>
          <w:lang w:eastAsia="zh-CN"/>
        </w:rPr>
        <w:t>5</w:t>
      </w:r>
      <w:r w:rsidRPr="006E3B9B">
        <w:rPr>
          <w:rFonts w:hint="eastAsia"/>
          <w:lang w:eastAsia="zh-CN"/>
        </w:rPr>
        <w:t>月</w:t>
      </w:r>
      <w:r w:rsidRPr="006E3B9B">
        <w:rPr>
          <w:lang w:eastAsia="zh-CN"/>
        </w:rPr>
        <w:t>-6</w:t>
      </w:r>
      <w:r w:rsidRPr="006E3B9B">
        <w:rPr>
          <w:rFonts w:hint="eastAsia"/>
          <w:lang w:eastAsia="zh-CN"/>
        </w:rPr>
        <w:t>月）</w:t>
      </w:r>
    </w:p>
    <w:p w14:paraId="4827C060"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1010</w:t>
      </w:r>
      <w:r w:rsidRPr="006E3B9B">
        <w:rPr>
          <w:lang w:val="en-US" w:eastAsia="zh-CN"/>
        </w:rPr>
        <w:t>号决议</w:t>
      </w:r>
      <w:r w:rsidRPr="006E3B9B">
        <w:rPr>
          <w:lang w:val="en-US" w:eastAsia="zh-CN"/>
        </w:rPr>
        <w:tab/>
      </w:r>
      <w:r w:rsidRPr="006E3B9B">
        <w:rPr>
          <w:rFonts w:hint="eastAsia"/>
          <w:lang w:eastAsia="zh-CN"/>
        </w:rPr>
        <w:t>国际电联职员养恤金委员会的委员</w:t>
      </w:r>
      <w:r w:rsidRPr="006E3B9B">
        <w:rPr>
          <w:lang w:val="en-US" w:eastAsia="zh-CN"/>
        </w:rPr>
        <w:tab/>
      </w:r>
      <w:r w:rsidR="005F6138">
        <w:rPr>
          <w:lang w:val="en-US" w:eastAsia="zh-CN"/>
        </w:rPr>
        <w:tab/>
      </w:r>
      <w:r w:rsidRPr="006E3B9B">
        <w:rPr>
          <w:lang w:val="en-US" w:eastAsia="zh-CN"/>
        </w:rPr>
        <w:t>1993</w:t>
      </w:r>
      <w:r w:rsidRPr="006E3B9B">
        <w:rPr>
          <w:rFonts w:hint="eastAsia"/>
          <w:lang w:val="en-US" w:eastAsia="zh-CN"/>
        </w:rPr>
        <w:t>年</w:t>
      </w:r>
    </w:p>
    <w:p w14:paraId="4827C061"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1011</w:t>
      </w:r>
      <w:r w:rsidRPr="006E3B9B">
        <w:rPr>
          <w:lang w:val="en-US" w:eastAsia="zh-CN"/>
        </w:rPr>
        <w:t>号决议</w:t>
      </w:r>
      <w:r w:rsidRPr="006E3B9B">
        <w:rPr>
          <w:lang w:val="en-US" w:eastAsia="zh-CN"/>
        </w:rPr>
        <w:tab/>
      </w:r>
      <w:r w:rsidRPr="006E3B9B">
        <w:rPr>
          <w:rFonts w:hint="eastAsia"/>
          <w:lang w:eastAsia="zh-CN"/>
        </w:rPr>
        <w:t>选任官员的薪金、任职地点补贴调整数和职员薪金税率</w:t>
      </w:r>
      <w:r w:rsidRPr="006E3B9B">
        <w:rPr>
          <w:lang w:val="en-US" w:eastAsia="zh-CN"/>
        </w:rPr>
        <w:tab/>
      </w:r>
      <w:r w:rsidR="005F6138">
        <w:rPr>
          <w:lang w:val="en-US" w:eastAsia="zh-CN"/>
        </w:rPr>
        <w:tab/>
      </w:r>
      <w:r w:rsidRPr="006E3B9B">
        <w:rPr>
          <w:lang w:val="en-US" w:eastAsia="zh-CN"/>
        </w:rPr>
        <w:t>1993</w:t>
      </w:r>
      <w:r w:rsidRPr="006E3B9B">
        <w:rPr>
          <w:rFonts w:hint="eastAsia"/>
          <w:lang w:val="en-US" w:eastAsia="zh-CN"/>
        </w:rPr>
        <w:t>年</w:t>
      </w:r>
    </w:p>
    <w:p w14:paraId="4827C062"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1012</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1990</w:t>
      </w:r>
      <w:r w:rsidRPr="006E3B9B">
        <w:rPr>
          <w:rFonts w:hint="eastAsia"/>
          <w:lang w:eastAsia="zh-CN"/>
        </w:rPr>
        <w:t>年财务工作报告</w:t>
      </w:r>
      <w:r w:rsidRPr="006E3B9B">
        <w:rPr>
          <w:lang w:val="en-US" w:eastAsia="zh-CN"/>
        </w:rPr>
        <w:tab/>
      </w:r>
      <w:r w:rsidR="005F6138">
        <w:rPr>
          <w:lang w:val="en-US" w:eastAsia="zh-CN"/>
        </w:rPr>
        <w:tab/>
      </w:r>
      <w:r w:rsidRPr="006E3B9B">
        <w:rPr>
          <w:lang w:val="en-US" w:eastAsia="zh-CN"/>
        </w:rPr>
        <w:t>1992</w:t>
      </w:r>
      <w:r w:rsidRPr="006E3B9B">
        <w:rPr>
          <w:rFonts w:hint="eastAsia"/>
          <w:lang w:val="en-US" w:eastAsia="zh-CN"/>
        </w:rPr>
        <w:t>年</w:t>
      </w:r>
    </w:p>
    <w:p w14:paraId="4827C063"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1013</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1991</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1</w:t>
      </w:r>
      <w:r w:rsidRPr="006E3B9B">
        <w:rPr>
          <w:rFonts w:hint="eastAsia"/>
          <w:lang w:eastAsia="zh-CN"/>
        </w:rPr>
        <w:t>日至</w:t>
      </w:r>
      <w:r w:rsidRPr="006E3B9B">
        <w:rPr>
          <w:lang w:eastAsia="zh-CN"/>
        </w:rPr>
        <w:t>12</w:t>
      </w:r>
      <w:r w:rsidRPr="006E3B9B">
        <w:rPr>
          <w:rFonts w:hint="eastAsia"/>
          <w:lang w:eastAsia="zh-CN"/>
        </w:rPr>
        <w:t>月</w:t>
      </w:r>
      <w:r w:rsidRPr="006E3B9B">
        <w:rPr>
          <w:lang w:eastAsia="zh-CN"/>
        </w:rPr>
        <w:t>31</w:t>
      </w:r>
      <w:r w:rsidRPr="006E3B9B">
        <w:rPr>
          <w:rFonts w:hint="eastAsia"/>
          <w:lang w:eastAsia="zh-CN"/>
        </w:rPr>
        <w:t>日账目的外部审计</w:t>
      </w:r>
      <w:r w:rsidRPr="006E3B9B">
        <w:rPr>
          <w:lang w:val="en-US" w:eastAsia="zh-CN"/>
        </w:rPr>
        <w:tab/>
      </w:r>
      <w:r w:rsidR="005F6138">
        <w:rPr>
          <w:lang w:val="en-US" w:eastAsia="zh-CN"/>
        </w:rPr>
        <w:tab/>
      </w:r>
      <w:r w:rsidRPr="006E3B9B">
        <w:rPr>
          <w:lang w:val="en-US" w:eastAsia="zh-CN"/>
        </w:rPr>
        <w:t>1992</w:t>
      </w:r>
      <w:r w:rsidRPr="006E3B9B">
        <w:rPr>
          <w:rFonts w:hint="eastAsia"/>
          <w:lang w:val="en-US" w:eastAsia="zh-CN"/>
        </w:rPr>
        <w:t>年</w:t>
      </w:r>
    </w:p>
    <w:p w14:paraId="4827C064"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1014</w:t>
      </w:r>
      <w:r w:rsidRPr="006E3B9B">
        <w:rPr>
          <w:lang w:val="en-US" w:eastAsia="zh-CN"/>
        </w:rPr>
        <w:t>号决议</w:t>
      </w:r>
      <w:r w:rsidRPr="006E3B9B">
        <w:rPr>
          <w:lang w:val="en-US" w:eastAsia="zh-CN"/>
        </w:rPr>
        <w:tab/>
      </w:r>
      <w:r w:rsidRPr="006E3B9B">
        <w:rPr>
          <w:rFonts w:hint="eastAsia"/>
          <w:lang w:eastAsia="zh-CN"/>
        </w:rPr>
        <w:t>将电信发展中心（</w:t>
      </w:r>
      <w:r w:rsidRPr="006E3B9B">
        <w:rPr>
          <w:lang w:eastAsia="zh-CN"/>
        </w:rPr>
        <w:t>CTD</w:t>
      </w:r>
      <w:r w:rsidRPr="006E3B9B">
        <w:rPr>
          <w:rFonts w:hint="eastAsia"/>
          <w:lang w:eastAsia="zh-CN"/>
        </w:rPr>
        <w:t>）纳入电信发展局</w:t>
      </w:r>
      <w:r w:rsidRPr="006E3B9B">
        <w:rPr>
          <w:lang w:val="en-US" w:eastAsia="zh-CN"/>
        </w:rPr>
        <w:tab/>
      </w:r>
      <w:r w:rsidR="005F6138">
        <w:rPr>
          <w:lang w:val="en-US" w:eastAsia="zh-CN"/>
        </w:rPr>
        <w:tab/>
      </w:r>
      <w:r w:rsidRPr="006E3B9B">
        <w:rPr>
          <w:lang w:val="en-US" w:eastAsia="zh-CN"/>
        </w:rPr>
        <w:t>1993</w:t>
      </w:r>
      <w:r w:rsidRPr="006E3B9B">
        <w:rPr>
          <w:rFonts w:hint="eastAsia"/>
          <w:lang w:val="en-US" w:eastAsia="zh-CN"/>
        </w:rPr>
        <w:t>年</w:t>
      </w:r>
    </w:p>
    <w:p w14:paraId="4827C065"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1015</w:t>
      </w:r>
      <w:r w:rsidRPr="006E3B9B">
        <w:rPr>
          <w:lang w:val="en-US" w:eastAsia="zh-CN"/>
        </w:rPr>
        <w:t>号决议</w:t>
      </w:r>
      <w:r w:rsidRPr="006E3B9B">
        <w:rPr>
          <w:lang w:val="en-US" w:eastAsia="zh-CN"/>
        </w:rPr>
        <w:tab/>
      </w:r>
      <w:r w:rsidRPr="006E3B9B">
        <w:rPr>
          <w:rFonts w:hint="eastAsia"/>
          <w:lang w:eastAsia="zh-CN"/>
        </w:rPr>
        <w:t>保护养恤金购买力保险计划（</w:t>
      </w:r>
      <w:r w:rsidRPr="006E3B9B">
        <w:rPr>
          <w:lang w:eastAsia="zh-CN"/>
        </w:rPr>
        <w:t>PPPPIP</w:t>
      </w:r>
      <w:r w:rsidRPr="006E3B9B">
        <w:rPr>
          <w:rFonts w:hint="eastAsia"/>
          <w:lang w:eastAsia="zh-CN"/>
        </w:rPr>
        <w:t>）</w:t>
      </w:r>
      <w:r w:rsidRPr="006E3B9B">
        <w:rPr>
          <w:lang w:val="en-US" w:eastAsia="zh-CN"/>
        </w:rPr>
        <w:tab/>
      </w:r>
      <w:r w:rsidR="005F6138">
        <w:rPr>
          <w:lang w:val="en-US" w:eastAsia="zh-CN"/>
        </w:rPr>
        <w:tab/>
      </w:r>
      <w:r w:rsidRPr="006E3B9B">
        <w:rPr>
          <w:lang w:val="en-US" w:eastAsia="zh-CN"/>
        </w:rPr>
        <w:t>1995</w:t>
      </w:r>
      <w:r w:rsidRPr="006E3B9B">
        <w:rPr>
          <w:rFonts w:hint="eastAsia"/>
          <w:lang w:val="en-US" w:eastAsia="zh-CN"/>
        </w:rPr>
        <w:t>年</w:t>
      </w:r>
    </w:p>
    <w:p w14:paraId="4827C066"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1016</w:t>
      </w:r>
      <w:r w:rsidRPr="006E3B9B">
        <w:rPr>
          <w:lang w:val="en-US" w:eastAsia="zh-CN"/>
        </w:rPr>
        <w:t>号决议</w:t>
      </w:r>
      <w:r w:rsidRPr="006E3B9B">
        <w:rPr>
          <w:lang w:val="en-US" w:eastAsia="zh-CN"/>
        </w:rPr>
        <w:tab/>
      </w:r>
      <w:r w:rsidRPr="006E3B9B">
        <w:rPr>
          <w:rFonts w:hint="eastAsia"/>
          <w:lang w:val="en-US" w:eastAsia="zh-CN"/>
        </w:rPr>
        <w:t>有</w:t>
      </w:r>
      <w:r w:rsidRPr="006E3B9B">
        <w:rPr>
          <w:rFonts w:hint="eastAsia"/>
          <w:lang w:eastAsia="zh-CN"/>
        </w:rPr>
        <w:t>关人员需求的决定</w:t>
      </w:r>
      <w:r w:rsidRPr="006E3B9B">
        <w:rPr>
          <w:lang w:val="en-US" w:eastAsia="zh-CN"/>
        </w:rPr>
        <w:tab/>
      </w:r>
      <w:r w:rsidR="005F6138">
        <w:rPr>
          <w:lang w:val="en-US" w:eastAsia="zh-CN"/>
        </w:rPr>
        <w:tab/>
      </w:r>
      <w:r w:rsidRPr="006E3B9B">
        <w:rPr>
          <w:lang w:val="en-US" w:eastAsia="zh-CN"/>
        </w:rPr>
        <w:t>1994</w:t>
      </w:r>
      <w:r w:rsidRPr="006E3B9B">
        <w:rPr>
          <w:rFonts w:hint="eastAsia"/>
          <w:lang w:val="en-US" w:eastAsia="zh-CN"/>
        </w:rPr>
        <w:t>年</w:t>
      </w:r>
    </w:p>
    <w:p w14:paraId="4827C067"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1017</w:t>
      </w:r>
      <w:r w:rsidRPr="006E3B9B">
        <w:rPr>
          <w:lang w:val="en-US" w:eastAsia="zh-CN"/>
        </w:rPr>
        <w:t>号决议</w:t>
      </w:r>
      <w:r w:rsidRPr="006E3B9B">
        <w:rPr>
          <w:lang w:val="en-US" w:eastAsia="zh-CN"/>
        </w:rPr>
        <w:tab/>
      </w:r>
      <w:r w:rsidRPr="006E3B9B">
        <w:rPr>
          <w:rFonts w:hint="eastAsia"/>
          <w:lang w:val="en-US" w:eastAsia="zh-CN"/>
        </w:rPr>
        <w:t>将类似于</w:t>
      </w:r>
      <w:r w:rsidRPr="006E3B9B">
        <w:rPr>
          <w:rFonts w:hint="eastAsia"/>
          <w:lang w:eastAsia="zh-CN"/>
        </w:rPr>
        <w:t>区域性电信组织的地位临时赋予运行卫星系统的政府间组织</w:t>
      </w:r>
      <w:r w:rsidR="005F6138">
        <w:rPr>
          <w:lang w:eastAsia="zh-CN"/>
        </w:rPr>
        <w:tab/>
      </w:r>
      <w:r w:rsidRPr="006E3B9B">
        <w:rPr>
          <w:lang w:val="en-US" w:eastAsia="zh-CN"/>
        </w:rPr>
        <w:tab/>
        <w:t>1994</w:t>
      </w:r>
      <w:r w:rsidRPr="006E3B9B">
        <w:rPr>
          <w:rFonts w:hint="eastAsia"/>
          <w:lang w:val="en-US" w:eastAsia="zh-CN"/>
        </w:rPr>
        <w:t>年</w:t>
      </w:r>
    </w:p>
    <w:p w14:paraId="4827C068"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1018</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1991</w:t>
      </w:r>
      <w:r w:rsidRPr="006E3B9B">
        <w:rPr>
          <w:rFonts w:hint="eastAsia"/>
          <w:lang w:eastAsia="zh-CN"/>
        </w:rPr>
        <w:t>年预算中的追加拨款</w:t>
      </w:r>
      <w:r w:rsidRPr="006E3B9B">
        <w:rPr>
          <w:lang w:val="en-US" w:eastAsia="zh-CN"/>
        </w:rPr>
        <w:tab/>
      </w:r>
      <w:r w:rsidR="005F6138">
        <w:rPr>
          <w:lang w:val="en-US" w:eastAsia="zh-CN"/>
        </w:rPr>
        <w:tab/>
      </w:r>
      <w:r w:rsidRPr="006E3B9B">
        <w:rPr>
          <w:lang w:val="en-US" w:eastAsia="zh-CN"/>
        </w:rPr>
        <w:t>1992</w:t>
      </w:r>
      <w:r w:rsidRPr="006E3B9B">
        <w:rPr>
          <w:rFonts w:hint="eastAsia"/>
          <w:lang w:val="en-US" w:eastAsia="zh-CN"/>
        </w:rPr>
        <w:t>年</w:t>
      </w:r>
    </w:p>
    <w:p w14:paraId="4827C069"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1019</w:t>
      </w:r>
      <w:r w:rsidRPr="006E3B9B">
        <w:rPr>
          <w:lang w:val="en-US" w:eastAsia="zh-CN"/>
        </w:rPr>
        <w:t>号决议</w:t>
      </w:r>
      <w:r w:rsidRPr="006E3B9B">
        <w:rPr>
          <w:lang w:val="en-US" w:eastAsia="zh-CN"/>
        </w:rPr>
        <w:tab/>
      </w:r>
      <w:r w:rsidRPr="006E3B9B">
        <w:rPr>
          <w:rFonts w:hint="eastAsia"/>
          <w:lang w:eastAsia="zh-CN"/>
        </w:rPr>
        <w:t>国际电信联盟</w:t>
      </w:r>
      <w:r w:rsidRPr="006E3B9B">
        <w:rPr>
          <w:lang w:eastAsia="zh-CN"/>
        </w:rPr>
        <w:t>1992</w:t>
      </w:r>
      <w:r w:rsidRPr="006E3B9B">
        <w:rPr>
          <w:rFonts w:hint="eastAsia"/>
          <w:lang w:eastAsia="zh-CN"/>
        </w:rPr>
        <w:t>年预算</w:t>
      </w:r>
      <w:r w:rsidRPr="006E3B9B">
        <w:rPr>
          <w:lang w:val="en-US" w:eastAsia="zh-CN"/>
        </w:rPr>
        <w:tab/>
      </w:r>
      <w:r w:rsidR="005F6138">
        <w:rPr>
          <w:lang w:val="en-US" w:eastAsia="zh-CN"/>
        </w:rPr>
        <w:tab/>
      </w:r>
      <w:r w:rsidRPr="006E3B9B">
        <w:rPr>
          <w:lang w:val="en-US" w:eastAsia="zh-CN"/>
        </w:rPr>
        <w:t>1993</w:t>
      </w:r>
      <w:r w:rsidRPr="006E3B9B">
        <w:rPr>
          <w:rFonts w:hint="eastAsia"/>
          <w:lang w:val="en-US" w:eastAsia="zh-CN"/>
        </w:rPr>
        <w:t>年</w:t>
      </w:r>
    </w:p>
    <w:p w14:paraId="4827C06A"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1020</w:t>
      </w:r>
      <w:r w:rsidRPr="006E3B9B">
        <w:rPr>
          <w:lang w:val="en-US" w:eastAsia="zh-CN"/>
        </w:rPr>
        <w:t>号决议</w:t>
      </w:r>
      <w:r w:rsidRPr="006E3B9B">
        <w:rPr>
          <w:lang w:val="en-US" w:eastAsia="zh-CN"/>
        </w:rPr>
        <w:tab/>
      </w:r>
      <w:r w:rsidRPr="006E3B9B">
        <w:rPr>
          <w:rFonts w:hint="eastAsia"/>
          <w:lang w:eastAsia="zh-CN"/>
        </w:rPr>
        <w:t>增开的全权代表大会</w:t>
      </w:r>
      <w:r w:rsidRPr="006E3B9B">
        <w:rPr>
          <w:lang w:val="en-US" w:eastAsia="zh-CN"/>
        </w:rPr>
        <w:tab/>
      </w:r>
      <w:r w:rsidR="005F6138">
        <w:rPr>
          <w:lang w:val="en-US" w:eastAsia="zh-CN"/>
        </w:rPr>
        <w:tab/>
      </w:r>
      <w:r w:rsidRPr="006E3B9B">
        <w:rPr>
          <w:lang w:val="en-US" w:eastAsia="zh-CN"/>
        </w:rPr>
        <w:t>1993</w:t>
      </w:r>
      <w:r w:rsidRPr="006E3B9B">
        <w:rPr>
          <w:rFonts w:hint="eastAsia"/>
          <w:lang w:val="en-US" w:eastAsia="zh-CN"/>
        </w:rPr>
        <w:t>年</w:t>
      </w:r>
    </w:p>
    <w:p w14:paraId="4827C06B"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1021</w:t>
      </w:r>
      <w:r w:rsidRPr="006E3B9B">
        <w:rPr>
          <w:lang w:val="en-US" w:eastAsia="zh-CN"/>
        </w:rPr>
        <w:t>号决议</w:t>
      </w:r>
      <w:r w:rsidRPr="006E3B9B">
        <w:rPr>
          <w:lang w:val="en-US" w:eastAsia="zh-CN"/>
        </w:rPr>
        <w:tab/>
      </w:r>
      <w:r w:rsidRPr="006E3B9B">
        <w:rPr>
          <w:rFonts w:hint="eastAsia"/>
          <w:lang w:eastAsia="zh-CN"/>
        </w:rPr>
        <w:t>增开的全权代表大会及相关事宜的文本草案的撰写</w:t>
      </w:r>
      <w:r w:rsidRPr="006E3B9B">
        <w:rPr>
          <w:lang w:val="en-US" w:eastAsia="zh-CN"/>
        </w:rPr>
        <w:tab/>
      </w:r>
      <w:r w:rsidR="005F6138">
        <w:rPr>
          <w:lang w:val="en-US" w:eastAsia="zh-CN"/>
        </w:rPr>
        <w:tab/>
      </w:r>
      <w:r w:rsidRPr="006E3B9B">
        <w:rPr>
          <w:lang w:val="en-US" w:eastAsia="zh-CN"/>
        </w:rPr>
        <w:t>1993</w:t>
      </w:r>
      <w:r w:rsidRPr="006E3B9B">
        <w:rPr>
          <w:rFonts w:hint="eastAsia"/>
          <w:lang w:val="en-US" w:eastAsia="zh-CN"/>
        </w:rPr>
        <w:t>年</w:t>
      </w:r>
    </w:p>
    <w:p w14:paraId="4827C06C" w14:textId="77777777" w:rsidR="006E3B9B" w:rsidRPr="006E3B9B" w:rsidRDefault="006E3B9B" w:rsidP="003E11A1">
      <w:pPr>
        <w:pStyle w:val="Reftitle"/>
        <w:rPr>
          <w:lang w:val="en-US" w:eastAsia="zh-CN"/>
        </w:rPr>
      </w:pPr>
      <w:r w:rsidRPr="006E3B9B">
        <w:rPr>
          <w:rFonts w:hint="eastAsia"/>
          <w:lang w:eastAsia="zh-CN"/>
        </w:rPr>
        <w:t>第</w:t>
      </w:r>
      <w:r w:rsidRPr="006E3B9B">
        <w:rPr>
          <w:lang w:eastAsia="zh-CN"/>
        </w:rPr>
        <w:t>47</w:t>
      </w:r>
      <w:r w:rsidRPr="006E3B9B">
        <w:rPr>
          <w:rFonts w:hint="eastAsia"/>
          <w:lang w:eastAsia="zh-CN"/>
        </w:rPr>
        <w:t>届会议（</w:t>
      </w:r>
      <w:r w:rsidRPr="006E3B9B">
        <w:rPr>
          <w:lang w:eastAsia="zh-CN"/>
        </w:rPr>
        <w:t>1992</w:t>
      </w:r>
      <w:r w:rsidRPr="006E3B9B">
        <w:rPr>
          <w:rFonts w:hint="eastAsia"/>
          <w:lang w:eastAsia="zh-CN"/>
        </w:rPr>
        <w:t>年</w:t>
      </w:r>
      <w:r w:rsidRPr="006E3B9B">
        <w:rPr>
          <w:lang w:eastAsia="zh-CN"/>
        </w:rPr>
        <w:t>6</w:t>
      </w:r>
      <w:r w:rsidRPr="006E3B9B">
        <w:rPr>
          <w:rFonts w:hint="eastAsia"/>
          <w:lang w:eastAsia="zh-CN"/>
        </w:rPr>
        <w:t>月</w:t>
      </w:r>
      <w:r w:rsidRPr="006E3B9B">
        <w:rPr>
          <w:lang w:eastAsia="zh-CN"/>
        </w:rPr>
        <w:t>-7</w:t>
      </w:r>
      <w:r w:rsidRPr="006E3B9B">
        <w:rPr>
          <w:rFonts w:hint="eastAsia"/>
          <w:lang w:eastAsia="zh-CN"/>
        </w:rPr>
        <w:t>月及</w:t>
      </w:r>
      <w:r w:rsidRPr="006E3B9B">
        <w:rPr>
          <w:lang w:eastAsia="zh-CN"/>
        </w:rPr>
        <w:t>12</w:t>
      </w:r>
      <w:r w:rsidRPr="006E3B9B">
        <w:rPr>
          <w:rFonts w:hint="eastAsia"/>
          <w:lang w:eastAsia="zh-CN"/>
        </w:rPr>
        <w:t>月）</w:t>
      </w:r>
    </w:p>
    <w:p w14:paraId="4827C06D"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1022</w:t>
      </w:r>
      <w:r w:rsidRPr="006E3B9B">
        <w:rPr>
          <w:lang w:val="en-US" w:eastAsia="zh-CN"/>
        </w:rPr>
        <w:t>号决议</w:t>
      </w:r>
      <w:r w:rsidRPr="006E3B9B">
        <w:rPr>
          <w:lang w:val="en-US" w:eastAsia="zh-CN"/>
        </w:rPr>
        <w:tab/>
      </w:r>
      <w:r w:rsidRPr="006E3B9B">
        <w:rPr>
          <w:rFonts w:hint="eastAsia"/>
          <w:lang w:eastAsia="zh-CN"/>
        </w:rPr>
        <w:t>选任官员的薪金、任职地点补贴调整数和职员薪金税率</w:t>
      </w:r>
      <w:r w:rsidR="005F6138">
        <w:rPr>
          <w:lang w:eastAsia="zh-CN"/>
        </w:rPr>
        <w:tab/>
      </w:r>
      <w:r w:rsidRPr="006E3B9B">
        <w:rPr>
          <w:lang w:val="en-US" w:eastAsia="zh-CN"/>
        </w:rPr>
        <w:tab/>
        <w:t>1994</w:t>
      </w:r>
      <w:r w:rsidRPr="006E3B9B">
        <w:rPr>
          <w:rFonts w:hint="eastAsia"/>
          <w:lang w:val="en-US" w:eastAsia="zh-CN"/>
        </w:rPr>
        <w:t>年</w:t>
      </w:r>
    </w:p>
    <w:p w14:paraId="4827C06E"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1023</w:t>
      </w:r>
      <w:r w:rsidRPr="006E3B9B">
        <w:rPr>
          <w:lang w:val="en-US" w:eastAsia="zh-CN"/>
        </w:rPr>
        <w:t>号决议</w:t>
      </w:r>
      <w:r w:rsidRPr="006E3B9B">
        <w:rPr>
          <w:lang w:val="en-US" w:eastAsia="zh-CN"/>
        </w:rPr>
        <w:tab/>
      </w:r>
      <w:r w:rsidRPr="006E3B9B">
        <w:rPr>
          <w:rFonts w:hint="eastAsia"/>
          <w:lang w:eastAsia="zh-CN"/>
        </w:rPr>
        <w:t>国际电联职员养恤金委员会的委员</w:t>
      </w:r>
      <w:r w:rsidR="005F6138">
        <w:rPr>
          <w:lang w:eastAsia="zh-CN"/>
        </w:rPr>
        <w:tab/>
      </w:r>
      <w:r w:rsidRPr="006E3B9B">
        <w:rPr>
          <w:lang w:val="en-US" w:eastAsia="zh-CN"/>
        </w:rPr>
        <w:tab/>
        <w:t>1994</w:t>
      </w:r>
      <w:r w:rsidRPr="006E3B9B">
        <w:rPr>
          <w:rFonts w:hint="eastAsia"/>
          <w:lang w:val="en-US" w:eastAsia="zh-CN"/>
        </w:rPr>
        <w:t>年</w:t>
      </w:r>
    </w:p>
    <w:p w14:paraId="4827C06F"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1024</w:t>
      </w:r>
      <w:r w:rsidRPr="006E3B9B">
        <w:rPr>
          <w:lang w:val="en-US" w:eastAsia="zh-CN"/>
        </w:rPr>
        <w:t>号决议</w:t>
      </w:r>
      <w:r w:rsidRPr="006E3B9B">
        <w:rPr>
          <w:lang w:val="en-US" w:eastAsia="zh-CN"/>
        </w:rPr>
        <w:tab/>
      </w:r>
      <w:r w:rsidRPr="006E3B9B">
        <w:rPr>
          <w:rFonts w:hint="eastAsia"/>
          <w:lang w:val="en-US" w:eastAsia="zh-CN"/>
        </w:rPr>
        <w:t>有关</w:t>
      </w:r>
      <w:r w:rsidRPr="006E3B9B">
        <w:rPr>
          <w:rFonts w:hint="eastAsia"/>
          <w:lang w:eastAsia="zh-CN"/>
        </w:rPr>
        <w:t>特殊职位津贴的规定</w:t>
      </w:r>
      <w:r w:rsidR="005F6138">
        <w:rPr>
          <w:lang w:eastAsia="zh-CN"/>
        </w:rPr>
        <w:tab/>
      </w:r>
      <w:r w:rsidRPr="006E3B9B">
        <w:rPr>
          <w:lang w:val="en-US" w:eastAsia="zh-CN"/>
        </w:rPr>
        <w:tab/>
        <w:t>1995</w:t>
      </w:r>
      <w:r w:rsidRPr="006E3B9B">
        <w:rPr>
          <w:rFonts w:hint="eastAsia"/>
          <w:lang w:val="en-US" w:eastAsia="zh-CN"/>
        </w:rPr>
        <w:t>年</w:t>
      </w:r>
    </w:p>
    <w:p w14:paraId="4827C070"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1025</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1991</w:t>
      </w:r>
      <w:r w:rsidRPr="006E3B9B">
        <w:rPr>
          <w:rFonts w:hint="eastAsia"/>
          <w:lang w:eastAsia="zh-CN"/>
        </w:rPr>
        <w:t>年财务工作报告</w:t>
      </w:r>
      <w:r w:rsidR="005F6138">
        <w:rPr>
          <w:lang w:eastAsia="zh-CN"/>
        </w:rPr>
        <w:tab/>
      </w:r>
      <w:r w:rsidRPr="006E3B9B">
        <w:rPr>
          <w:lang w:val="en-US" w:eastAsia="zh-CN"/>
        </w:rPr>
        <w:tab/>
        <w:t>1993</w:t>
      </w:r>
      <w:r w:rsidRPr="006E3B9B">
        <w:rPr>
          <w:rFonts w:hint="eastAsia"/>
          <w:lang w:val="en-US" w:eastAsia="zh-CN"/>
        </w:rPr>
        <w:t>年</w:t>
      </w:r>
    </w:p>
    <w:p w14:paraId="4827C071"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1026</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1991</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1</w:t>
      </w:r>
      <w:r w:rsidRPr="006E3B9B">
        <w:rPr>
          <w:rFonts w:hint="eastAsia"/>
          <w:lang w:eastAsia="zh-CN"/>
        </w:rPr>
        <w:t>日至</w:t>
      </w:r>
      <w:r w:rsidRPr="006E3B9B">
        <w:rPr>
          <w:lang w:eastAsia="zh-CN"/>
        </w:rPr>
        <w:t>12</w:t>
      </w:r>
      <w:r w:rsidRPr="006E3B9B">
        <w:rPr>
          <w:rFonts w:hint="eastAsia"/>
          <w:lang w:eastAsia="zh-CN"/>
        </w:rPr>
        <w:t>月</w:t>
      </w:r>
      <w:r w:rsidRPr="006E3B9B">
        <w:rPr>
          <w:lang w:eastAsia="zh-CN"/>
        </w:rPr>
        <w:t>31</w:t>
      </w:r>
      <w:r w:rsidRPr="006E3B9B">
        <w:rPr>
          <w:rFonts w:hint="eastAsia"/>
          <w:lang w:eastAsia="zh-CN"/>
        </w:rPr>
        <w:t>日账目的外部审计</w:t>
      </w:r>
      <w:r w:rsidR="005F6138">
        <w:rPr>
          <w:lang w:eastAsia="zh-CN"/>
        </w:rPr>
        <w:tab/>
      </w:r>
      <w:r w:rsidRPr="006E3B9B">
        <w:rPr>
          <w:lang w:val="en-US" w:eastAsia="zh-CN"/>
        </w:rPr>
        <w:tab/>
        <w:t>1993</w:t>
      </w:r>
      <w:r w:rsidRPr="006E3B9B">
        <w:rPr>
          <w:rFonts w:hint="eastAsia"/>
          <w:lang w:val="en-US" w:eastAsia="zh-CN"/>
        </w:rPr>
        <w:t>年</w:t>
      </w:r>
    </w:p>
    <w:p w14:paraId="4827C072"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1027</w:t>
      </w:r>
      <w:r w:rsidRPr="006E3B9B">
        <w:rPr>
          <w:lang w:val="en-US" w:eastAsia="zh-CN"/>
        </w:rPr>
        <w:t>号决议</w:t>
      </w:r>
      <w:r w:rsidRPr="006E3B9B">
        <w:rPr>
          <w:lang w:val="en-US" w:eastAsia="zh-CN"/>
        </w:rPr>
        <w:tab/>
      </w:r>
      <w:r w:rsidRPr="006E3B9B">
        <w:rPr>
          <w:rFonts w:hint="eastAsia"/>
          <w:lang w:eastAsia="zh-CN"/>
        </w:rPr>
        <w:t>国际电联一百周年大奖基金</w:t>
      </w:r>
      <w:r w:rsidRPr="006E3B9B">
        <w:rPr>
          <w:lang w:val="en-US" w:eastAsia="zh-CN"/>
        </w:rPr>
        <w:tab/>
      </w:r>
      <w:r w:rsidR="005F6138">
        <w:rPr>
          <w:lang w:val="en-US" w:eastAsia="zh-CN"/>
        </w:rPr>
        <w:tab/>
      </w:r>
      <w:r w:rsidRPr="006E3B9B">
        <w:rPr>
          <w:lang w:val="en-US" w:eastAsia="zh-CN"/>
        </w:rPr>
        <w:t>6.2</w:t>
      </w:r>
    </w:p>
    <w:p w14:paraId="4827C073"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1028</w:t>
      </w:r>
      <w:r w:rsidRPr="006E3B9B">
        <w:rPr>
          <w:lang w:val="en-US" w:eastAsia="zh-CN"/>
        </w:rPr>
        <w:t>号决议</w:t>
      </w:r>
      <w:r w:rsidRPr="006E3B9B">
        <w:rPr>
          <w:lang w:val="en-US" w:eastAsia="zh-CN"/>
        </w:rPr>
        <w:tab/>
      </w:r>
      <w:r w:rsidRPr="006E3B9B">
        <w:rPr>
          <w:rFonts w:hint="eastAsia"/>
          <w:lang w:eastAsia="zh-CN"/>
        </w:rPr>
        <w:t>一般事务职类职员的聘用条件</w:t>
      </w:r>
      <w:r w:rsidRPr="006E3B9B">
        <w:rPr>
          <w:lang w:val="en-US" w:eastAsia="zh-CN"/>
        </w:rPr>
        <w:tab/>
      </w:r>
      <w:r w:rsidR="005F6138">
        <w:rPr>
          <w:lang w:val="en-US" w:eastAsia="zh-CN"/>
        </w:rPr>
        <w:tab/>
      </w:r>
      <w:r w:rsidRPr="006E3B9B">
        <w:rPr>
          <w:lang w:val="en-US" w:eastAsia="zh-CN"/>
        </w:rPr>
        <w:t>2002</w:t>
      </w:r>
      <w:r w:rsidRPr="006E3B9B">
        <w:rPr>
          <w:rFonts w:hint="eastAsia"/>
          <w:lang w:val="en-US" w:eastAsia="zh-CN"/>
        </w:rPr>
        <w:t>年</w:t>
      </w:r>
    </w:p>
    <w:p w14:paraId="4827C074"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1029</w:t>
      </w:r>
      <w:r w:rsidRPr="006E3B9B">
        <w:rPr>
          <w:lang w:val="en-US" w:eastAsia="zh-CN"/>
        </w:rPr>
        <w:t>号决议</w:t>
      </w:r>
      <w:r w:rsidRPr="006E3B9B">
        <w:rPr>
          <w:lang w:val="en-US" w:eastAsia="zh-CN"/>
        </w:rPr>
        <w:tab/>
      </w:r>
      <w:r w:rsidRPr="006E3B9B">
        <w:rPr>
          <w:rFonts w:hint="eastAsia"/>
          <w:lang w:eastAsia="zh-CN"/>
        </w:rPr>
        <w:t>专业及专业以上职类职员的聘用条件</w:t>
      </w:r>
      <w:r w:rsidRPr="006E3B9B">
        <w:rPr>
          <w:lang w:val="en-US" w:eastAsia="zh-CN"/>
        </w:rPr>
        <w:tab/>
      </w:r>
      <w:r w:rsidR="005F6138">
        <w:rPr>
          <w:lang w:val="en-US" w:eastAsia="zh-CN"/>
        </w:rPr>
        <w:tab/>
      </w:r>
      <w:r w:rsidRPr="006E3B9B">
        <w:rPr>
          <w:lang w:val="en-US" w:eastAsia="zh-CN"/>
        </w:rPr>
        <w:t>2002</w:t>
      </w:r>
      <w:r w:rsidRPr="006E3B9B">
        <w:rPr>
          <w:rFonts w:hint="eastAsia"/>
          <w:lang w:val="en-US" w:eastAsia="zh-CN"/>
        </w:rPr>
        <w:t>年</w:t>
      </w:r>
    </w:p>
    <w:p w14:paraId="4827C075"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1030</w:t>
      </w:r>
      <w:r w:rsidRPr="006E3B9B">
        <w:rPr>
          <w:lang w:val="en-US" w:eastAsia="zh-CN"/>
        </w:rPr>
        <w:t>号决议</w:t>
      </w:r>
      <w:r w:rsidRPr="006E3B9B">
        <w:rPr>
          <w:lang w:val="en-US" w:eastAsia="zh-CN"/>
        </w:rPr>
        <w:tab/>
      </w:r>
      <w:r w:rsidRPr="006E3B9B">
        <w:rPr>
          <w:rFonts w:hint="eastAsia"/>
          <w:lang w:eastAsia="zh-CN"/>
        </w:rPr>
        <w:t>摊付国际电联支出的会费份额</w:t>
      </w:r>
      <w:r w:rsidRPr="006E3B9B">
        <w:rPr>
          <w:lang w:val="en-US" w:eastAsia="zh-CN"/>
        </w:rPr>
        <w:tab/>
      </w:r>
      <w:r w:rsidR="005F6138">
        <w:rPr>
          <w:lang w:val="en-US" w:eastAsia="zh-CN"/>
        </w:rPr>
        <w:tab/>
      </w:r>
      <w:r w:rsidRPr="006E3B9B">
        <w:rPr>
          <w:lang w:val="en-US" w:eastAsia="zh-CN"/>
        </w:rPr>
        <w:t>1993</w:t>
      </w:r>
      <w:r w:rsidRPr="006E3B9B">
        <w:rPr>
          <w:rFonts w:hint="eastAsia"/>
          <w:lang w:val="en-US" w:eastAsia="zh-CN"/>
        </w:rPr>
        <w:t>年</w:t>
      </w:r>
    </w:p>
    <w:p w14:paraId="4827C076"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1031</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1993</w:t>
      </w:r>
      <w:r w:rsidRPr="006E3B9B">
        <w:rPr>
          <w:rFonts w:hint="eastAsia"/>
          <w:lang w:eastAsia="zh-CN"/>
        </w:rPr>
        <w:t>年预算</w:t>
      </w:r>
      <w:r w:rsidRPr="006E3B9B">
        <w:rPr>
          <w:lang w:val="en-US" w:eastAsia="zh-CN"/>
        </w:rPr>
        <w:tab/>
      </w:r>
      <w:r w:rsidR="005F6138">
        <w:rPr>
          <w:lang w:val="en-US" w:eastAsia="zh-CN"/>
        </w:rPr>
        <w:tab/>
      </w:r>
      <w:r w:rsidRPr="006E3B9B">
        <w:rPr>
          <w:lang w:val="en-US" w:eastAsia="zh-CN"/>
        </w:rPr>
        <w:t>1994</w:t>
      </w:r>
      <w:r w:rsidRPr="006E3B9B">
        <w:rPr>
          <w:rFonts w:hint="eastAsia"/>
          <w:lang w:val="en-US" w:eastAsia="zh-CN"/>
        </w:rPr>
        <w:t>年</w:t>
      </w:r>
    </w:p>
    <w:p w14:paraId="4827C077"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1032</w:t>
      </w:r>
      <w:r w:rsidRPr="006E3B9B">
        <w:rPr>
          <w:lang w:val="en-US" w:eastAsia="zh-CN"/>
        </w:rPr>
        <w:t>号决议</w:t>
      </w:r>
      <w:r w:rsidRPr="006E3B9B">
        <w:rPr>
          <w:lang w:val="en-US" w:eastAsia="zh-CN"/>
        </w:rPr>
        <w:tab/>
      </w:r>
      <w:r w:rsidRPr="006E3B9B">
        <w:rPr>
          <w:lang w:eastAsia="zh-CN"/>
        </w:rPr>
        <w:t>1993</w:t>
      </w:r>
      <w:r w:rsidRPr="006E3B9B">
        <w:rPr>
          <w:rFonts w:hint="eastAsia"/>
          <w:lang w:eastAsia="zh-CN"/>
        </w:rPr>
        <w:t>年世界无线电通信大会</w:t>
      </w:r>
      <w:r w:rsidRPr="006E3B9B">
        <w:rPr>
          <w:lang w:val="en-US" w:eastAsia="zh-CN"/>
        </w:rPr>
        <w:tab/>
      </w:r>
      <w:r w:rsidR="005F6138">
        <w:rPr>
          <w:lang w:val="en-US" w:eastAsia="zh-CN"/>
        </w:rPr>
        <w:tab/>
      </w:r>
      <w:r w:rsidRPr="006E3B9B">
        <w:rPr>
          <w:lang w:val="en-US" w:eastAsia="zh-CN"/>
        </w:rPr>
        <w:t>1994</w:t>
      </w:r>
      <w:r w:rsidRPr="006E3B9B">
        <w:rPr>
          <w:rFonts w:hint="eastAsia"/>
          <w:lang w:val="en-US" w:eastAsia="zh-CN"/>
        </w:rPr>
        <w:t>年</w:t>
      </w:r>
    </w:p>
    <w:p w14:paraId="4827C078" w14:textId="77777777" w:rsidR="00091112" w:rsidRDefault="00091112">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4827C079" w14:textId="77777777" w:rsidR="006E3B9B" w:rsidRPr="006E3B9B" w:rsidRDefault="006E3B9B" w:rsidP="003E11A1">
      <w:pPr>
        <w:pStyle w:val="Reftitle"/>
        <w:rPr>
          <w:lang w:val="en-US" w:eastAsia="zh-CN"/>
        </w:rPr>
      </w:pPr>
      <w:r w:rsidRPr="006E3B9B">
        <w:rPr>
          <w:lang w:eastAsia="zh-CN"/>
        </w:rPr>
        <w:lastRenderedPageBreak/>
        <w:t>1993</w:t>
      </w:r>
      <w:r w:rsidRPr="006E3B9B">
        <w:rPr>
          <w:rFonts w:hint="eastAsia"/>
          <w:lang w:eastAsia="zh-CN"/>
        </w:rPr>
        <w:t>年会议（</w:t>
      </w:r>
      <w:r w:rsidRPr="006E3B9B">
        <w:rPr>
          <w:lang w:eastAsia="zh-CN"/>
        </w:rPr>
        <w:t>1993</w:t>
      </w:r>
      <w:r w:rsidRPr="006E3B9B">
        <w:rPr>
          <w:rFonts w:hint="eastAsia"/>
          <w:lang w:eastAsia="zh-CN"/>
        </w:rPr>
        <w:t>年</w:t>
      </w:r>
      <w:r w:rsidRPr="006E3B9B">
        <w:rPr>
          <w:lang w:eastAsia="zh-CN"/>
        </w:rPr>
        <w:t>6</w:t>
      </w:r>
      <w:r w:rsidRPr="006E3B9B">
        <w:rPr>
          <w:rFonts w:hint="eastAsia"/>
          <w:lang w:eastAsia="zh-CN"/>
        </w:rPr>
        <w:t>月</w:t>
      </w:r>
      <w:r w:rsidRPr="006E3B9B">
        <w:rPr>
          <w:lang w:eastAsia="zh-CN"/>
        </w:rPr>
        <w:t>-7</w:t>
      </w:r>
      <w:r w:rsidRPr="006E3B9B">
        <w:rPr>
          <w:rFonts w:hint="eastAsia"/>
          <w:lang w:eastAsia="zh-CN"/>
        </w:rPr>
        <w:t>月）</w:t>
      </w:r>
    </w:p>
    <w:p w14:paraId="4827C07A"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1033</w:t>
      </w:r>
      <w:r w:rsidRPr="006E3B9B">
        <w:rPr>
          <w:lang w:val="en-US" w:eastAsia="zh-CN"/>
        </w:rPr>
        <w:t>号决议</w:t>
      </w:r>
      <w:r w:rsidRPr="006E3B9B">
        <w:rPr>
          <w:lang w:val="en-US" w:eastAsia="zh-CN"/>
        </w:rPr>
        <w:tab/>
      </w:r>
      <w:r w:rsidRPr="006E3B9B">
        <w:rPr>
          <w:rFonts w:hint="eastAsia"/>
          <w:lang w:eastAsia="zh-CN"/>
        </w:rPr>
        <w:t>摊付国际电联支出的会费份额</w:t>
      </w:r>
      <w:r w:rsidR="005F6138">
        <w:rPr>
          <w:lang w:eastAsia="zh-CN"/>
        </w:rPr>
        <w:tab/>
      </w:r>
      <w:r w:rsidRPr="006E3B9B">
        <w:rPr>
          <w:lang w:val="en-US" w:eastAsia="zh-CN"/>
        </w:rPr>
        <w:tab/>
        <w:t>1994</w:t>
      </w:r>
      <w:r w:rsidRPr="006E3B9B">
        <w:rPr>
          <w:rFonts w:hint="eastAsia"/>
          <w:lang w:val="en-US" w:eastAsia="zh-CN"/>
        </w:rPr>
        <w:t>年</w:t>
      </w:r>
    </w:p>
    <w:p w14:paraId="4827C07B"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1034</w:t>
      </w:r>
      <w:r w:rsidRPr="006E3B9B">
        <w:rPr>
          <w:lang w:val="en-US" w:eastAsia="zh-CN"/>
        </w:rPr>
        <w:t>号决议</w:t>
      </w:r>
      <w:r w:rsidRPr="006E3B9B">
        <w:rPr>
          <w:lang w:val="en-US" w:eastAsia="zh-CN"/>
        </w:rPr>
        <w:tab/>
      </w:r>
      <w:r w:rsidRPr="006E3B9B">
        <w:rPr>
          <w:rFonts w:hint="eastAsia"/>
          <w:lang w:eastAsia="zh-CN"/>
        </w:rPr>
        <w:t>摊付国际电联支出的会费份额</w:t>
      </w:r>
      <w:r w:rsidR="005F6138">
        <w:rPr>
          <w:lang w:eastAsia="zh-CN"/>
        </w:rPr>
        <w:tab/>
      </w:r>
      <w:r w:rsidRPr="006E3B9B">
        <w:rPr>
          <w:lang w:val="en-US" w:eastAsia="zh-CN"/>
        </w:rPr>
        <w:tab/>
        <w:t>1994</w:t>
      </w:r>
      <w:r w:rsidRPr="006E3B9B">
        <w:rPr>
          <w:rFonts w:hint="eastAsia"/>
          <w:lang w:val="en-US" w:eastAsia="zh-CN"/>
        </w:rPr>
        <w:t>年</w:t>
      </w:r>
    </w:p>
    <w:p w14:paraId="4827C07C"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1035</w:t>
      </w:r>
      <w:r w:rsidRPr="006E3B9B">
        <w:rPr>
          <w:lang w:val="en-US" w:eastAsia="zh-CN"/>
        </w:rPr>
        <w:t>号决议</w:t>
      </w:r>
      <w:r w:rsidRPr="006E3B9B">
        <w:rPr>
          <w:lang w:val="en-US" w:eastAsia="zh-CN"/>
        </w:rPr>
        <w:tab/>
      </w:r>
      <w:r w:rsidRPr="006E3B9B">
        <w:rPr>
          <w:rFonts w:hint="eastAsia"/>
          <w:lang w:eastAsia="zh-CN"/>
        </w:rPr>
        <w:t>摊付国际电联支出的会费份额</w:t>
      </w:r>
      <w:r w:rsidR="005F6138">
        <w:rPr>
          <w:lang w:eastAsia="zh-CN"/>
        </w:rPr>
        <w:tab/>
      </w:r>
      <w:r w:rsidRPr="006E3B9B">
        <w:rPr>
          <w:lang w:val="en-US" w:eastAsia="zh-CN"/>
        </w:rPr>
        <w:tab/>
        <w:t>1994</w:t>
      </w:r>
      <w:r w:rsidRPr="006E3B9B">
        <w:rPr>
          <w:rFonts w:hint="eastAsia"/>
          <w:lang w:val="en-US" w:eastAsia="zh-CN"/>
        </w:rPr>
        <w:t>年</w:t>
      </w:r>
    </w:p>
    <w:p w14:paraId="4827C07D"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1036</w:t>
      </w:r>
      <w:r w:rsidRPr="006E3B9B">
        <w:rPr>
          <w:lang w:val="en-US" w:eastAsia="zh-CN"/>
        </w:rPr>
        <w:t>号决议</w:t>
      </w:r>
      <w:r w:rsidRPr="006E3B9B">
        <w:rPr>
          <w:lang w:val="en-US" w:eastAsia="zh-CN"/>
        </w:rPr>
        <w:tab/>
      </w:r>
      <w:r w:rsidRPr="006E3B9B">
        <w:rPr>
          <w:rFonts w:hint="eastAsia"/>
          <w:lang w:eastAsia="zh-CN"/>
        </w:rPr>
        <w:t>摊付国际电联支出的会费份额</w:t>
      </w:r>
      <w:r w:rsidR="005F6138">
        <w:rPr>
          <w:lang w:eastAsia="zh-CN"/>
        </w:rPr>
        <w:tab/>
      </w:r>
      <w:r w:rsidRPr="006E3B9B">
        <w:rPr>
          <w:lang w:val="en-US" w:eastAsia="zh-CN"/>
        </w:rPr>
        <w:tab/>
        <w:t>1994</w:t>
      </w:r>
      <w:r w:rsidRPr="006E3B9B">
        <w:rPr>
          <w:rFonts w:hint="eastAsia"/>
          <w:lang w:val="en-US" w:eastAsia="zh-CN"/>
        </w:rPr>
        <w:t>年</w:t>
      </w:r>
    </w:p>
    <w:p w14:paraId="4827C07E"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1037</w:t>
      </w:r>
      <w:r w:rsidRPr="006E3B9B">
        <w:rPr>
          <w:lang w:val="en-US" w:eastAsia="zh-CN"/>
        </w:rPr>
        <w:t>号决议</w:t>
      </w:r>
      <w:r w:rsidRPr="006E3B9B">
        <w:rPr>
          <w:lang w:val="en-US" w:eastAsia="zh-CN"/>
        </w:rPr>
        <w:tab/>
      </w:r>
      <w:r w:rsidRPr="006E3B9B">
        <w:rPr>
          <w:rFonts w:hint="eastAsia"/>
          <w:lang w:eastAsia="zh-CN"/>
        </w:rPr>
        <w:t>摊付国际电联支出的会费份额</w:t>
      </w:r>
      <w:r w:rsidR="005F6138">
        <w:rPr>
          <w:lang w:eastAsia="zh-CN"/>
        </w:rPr>
        <w:tab/>
      </w:r>
      <w:r w:rsidRPr="006E3B9B">
        <w:rPr>
          <w:lang w:val="en-US" w:eastAsia="zh-CN"/>
        </w:rPr>
        <w:tab/>
        <w:t>1994</w:t>
      </w:r>
      <w:r w:rsidRPr="006E3B9B">
        <w:rPr>
          <w:rFonts w:hint="eastAsia"/>
          <w:lang w:val="en-US" w:eastAsia="zh-CN"/>
        </w:rPr>
        <w:t>年</w:t>
      </w:r>
    </w:p>
    <w:p w14:paraId="4827C07F"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1038</w:t>
      </w:r>
      <w:r w:rsidRPr="006E3B9B">
        <w:rPr>
          <w:lang w:val="en-US" w:eastAsia="zh-CN"/>
        </w:rPr>
        <w:t>号决议</w:t>
      </w:r>
      <w:r w:rsidRPr="006E3B9B">
        <w:rPr>
          <w:lang w:val="en-US" w:eastAsia="zh-CN"/>
        </w:rPr>
        <w:tab/>
      </w:r>
      <w:r w:rsidRPr="006E3B9B">
        <w:rPr>
          <w:rFonts w:hint="eastAsia"/>
          <w:lang w:eastAsia="zh-CN"/>
        </w:rPr>
        <w:t>国际电联职员养恤金委员会的委员</w:t>
      </w:r>
      <w:r w:rsidR="005F6138">
        <w:rPr>
          <w:lang w:eastAsia="zh-CN"/>
        </w:rPr>
        <w:tab/>
      </w:r>
      <w:r w:rsidRPr="006E3B9B">
        <w:rPr>
          <w:lang w:val="en-US" w:eastAsia="zh-CN"/>
        </w:rPr>
        <w:tab/>
        <w:t>1995</w:t>
      </w:r>
      <w:r w:rsidRPr="006E3B9B">
        <w:rPr>
          <w:rFonts w:hint="eastAsia"/>
          <w:lang w:val="en-US" w:eastAsia="zh-CN"/>
        </w:rPr>
        <w:t>年</w:t>
      </w:r>
    </w:p>
    <w:p w14:paraId="4827C080"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1039</w:t>
      </w:r>
      <w:r w:rsidRPr="006E3B9B">
        <w:rPr>
          <w:lang w:val="en-US" w:eastAsia="zh-CN"/>
        </w:rPr>
        <w:t>号决议</w:t>
      </w:r>
      <w:r w:rsidRPr="006E3B9B">
        <w:rPr>
          <w:lang w:val="en-US" w:eastAsia="zh-CN"/>
        </w:rPr>
        <w:tab/>
      </w:r>
      <w:r w:rsidRPr="006E3B9B">
        <w:rPr>
          <w:rFonts w:hint="eastAsia"/>
          <w:lang w:eastAsia="zh-CN"/>
        </w:rPr>
        <w:t>选任官员的薪金、任职地点补贴调整数和职员税金税率</w:t>
      </w:r>
      <w:r w:rsidR="005F6138">
        <w:rPr>
          <w:lang w:eastAsia="zh-CN"/>
        </w:rPr>
        <w:tab/>
      </w:r>
      <w:r w:rsidRPr="006E3B9B">
        <w:rPr>
          <w:lang w:val="en-US" w:eastAsia="zh-CN"/>
        </w:rPr>
        <w:tab/>
        <w:t>1995</w:t>
      </w:r>
      <w:r w:rsidRPr="006E3B9B">
        <w:rPr>
          <w:rFonts w:hint="eastAsia"/>
          <w:lang w:val="en-US" w:eastAsia="zh-CN"/>
        </w:rPr>
        <w:t>年</w:t>
      </w:r>
    </w:p>
    <w:p w14:paraId="4827C081"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1040</w:t>
      </w:r>
      <w:r w:rsidRPr="006E3B9B">
        <w:rPr>
          <w:lang w:val="en-US" w:eastAsia="zh-CN"/>
        </w:rPr>
        <w:t>号决议</w:t>
      </w:r>
      <w:r w:rsidRPr="006E3B9B">
        <w:rPr>
          <w:lang w:val="en-US" w:eastAsia="zh-CN"/>
        </w:rPr>
        <w:tab/>
      </w:r>
      <w:r w:rsidRPr="006E3B9B">
        <w:rPr>
          <w:rFonts w:hint="eastAsia"/>
          <w:lang w:val="en-US" w:eastAsia="zh-CN"/>
        </w:rPr>
        <w:t>电信发展局的人员需求</w:t>
      </w:r>
      <w:r w:rsidRPr="006E3B9B">
        <w:rPr>
          <w:lang w:val="en-US" w:eastAsia="zh-CN"/>
        </w:rPr>
        <w:tab/>
      </w:r>
      <w:r w:rsidR="005F6138">
        <w:rPr>
          <w:lang w:val="en-US" w:eastAsia="zh-CN"/>
        </w:rPr>
        <w:tab/>
      </w:r>
      <w:r w:rsidRPr="006E3B9B">
        <w:rPr>
          <w:lang w:val="en-US" w:eastAsia="zh-CN"/>
        </w:rPr>
        <w:t>1996</w:t>
      </w:r>
      <w:r w:rsidRPr="006E3B9B">
        <w:rPr>
          <w:rFonts w:hint="eastAsia"/>
          <w:lang w:val="en-US" w:eastAsia="zh-CN"/>
        </w:rPr>
        <w:t>年</w:t>
      </w:r>
    </w:p>
    <w:p w14:paraId="4827C082"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1041</w:t>
      </w:r>
      <w:r w:rsidRPr="006E3B9B">
        <w:rPr>
          <w:lang w:val="en-US" w:eastAsia="zh-CN"/>
        </w:rPr>
        <w:t>号决议</w:t>
      </w:r>
      <w:r w:rsidRPr="006E3B9B">
        <w:rPr>
          <w:lang w:val="en-US" w:eastAsia="zh-CN"/>
        </w:rPr>
        <w:tab/>
      </w:r>
      <w:r w:rsidRPr="006E3B9B">
        <w:rPr>
          <w:rFonts w:hint="eastAsia"/>
          <w:lang w:val="en-US" w:eastAsia="zh-CN"/>
        </w:rPr>
        <w:t>《</w:t>
      </w:r>
      <w:r w:rsidRPr="006E3B9B">
        <w:rPr>
          <w:rFonts w:hint="eastAsia"/>
          <w:lang w:eastAsia="zh-CN"/>
        </w:rPr>
        <w:t>财务规则》的修订</w:t>
      </w:r>
      <w:r w:rsidRPr="006E3B9B">
        <w:rPr>
          <w:lang w:val="en-US" w:eastAsia="zh-CN"/>
        </w:rPr>
        <w:tab/>
      </w:r>
      <w:r w:rsidR="005F6138">
        <w:rPr>
          <w:lang w:val="en-US" w:eastAsia="zh-CN"/>
        </w:rPr>
        <w:tab/>
      </w:r>
      <w:r w:rsidRPr="006E3B9B">
        <w:rPr>
          <w:lang w:val="en-US" w:eastAsia="zh-CN"/>
        </w:rPr>
        <w:t>1995</w:t>
      </w:r>
      <w:r w:rsidRPr="006E3B9B">
        <w:rPr>
          <w:rFonts w:hint="eastAsia"/>
          <w:lang w:val="en-US" w:eastAsia="zh-CN"/>
        </w:rPr>
        <w:t>年</w:t>
      </w:r>
    </w:p>
    <w:p w14:paraId="4827C083"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1042</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1992</w:t>
      </w:r>
      <w:r w:rsidRPr="006E3B9B">
        <w:rPr>
          <w:rFonts w:hint="eastAsia"/>
          <w:lang w:eastAsia="zh-CN"/>
        </w:rPr>
        <w:t>年财务工作报告</w:t>
      </w:r>
      <w:r w:rsidR="005F6138">
        <w:rPr>
          <w:lang w:eastAsia="zh-CN"/>
        </w:rPr>
        <w:tab/>
      </w:r>
      <w:r w:rsidRPr="006E3B9B">
        <w:rPr>
          <w:lang w:val="en-US" w:eastAsia="zh-CN"/>
        </w:rPr>
        <w:tab/>
        <w:t>1994</w:t>
      </w:r>
      <w:r w:rsidRPr="006E3B9B">
        <w:rPr>
          <w:rFonts w:hint="eastAsia"/>
          <w:lang w:val="en-US" w:eastAsia="zh-CN"/>
        </w:rPr>
        <w:t>年</w:t>
      </w:r>
    </w:p>
    <w:p w14:paraId="4827C084"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1043</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1992</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1</w:t>
      </w:r>
      <w:r w:rsidRPr="006E3B9B">
        <w:rPr>
          <w:rFonts w:hint="eastAsia"/>
          <w:lang w:eastAsia="zh-CN"/>
        </w:rPr>
        <w:t>日至</w:t>
      </w:r>
      <w:r w:rsidRPr="006E3B9B">
        <w:rPr>
          <w:lang w:eastAsia="zh-CN"/>
        </w:rPr>
        <w:t>12</w:t>
      </w:r>
      <w:r w:rsidRPr="006E3B9B">
        <w:rPr>
          <w:rFonts w:hint="eastAsia"/>
          <w:lang w:eastAsia="zh-CN"/>
        </w:rPr>
        <w:t>月</w:t>
      </w:r>
      <w:r w:rsidRPr="006E3B9B">
        <w:rPr>
          <w:lang w:eastAsia="zh-CN"/>
        </w:rPr>
        <w:t>31</w:t>
      </w:r>
      <w:r w:rsidRPr="006E3B9B">
        <w:rPr>
          <w:rFonts w:hint="eastAsia"/>
          <w:lang w:eastAsia="zh-CN"/>
        </w:rPr>
        <w:t>日账目的外部审计</w:t>
      </w:r>
      <w:r w:rsidR="005F6138">
        <w:rPr>
          <w:lang w:eastAsia="zh-CN"/>
        </w:rPr>
        <w:tab/>
      </w:r>
      <w:r w:rsidRPr="006E3B9B">
        <w:rPr>
          <w:lang w:val="en-US" w:eastAsia="zh-CN"/>
        </w:rPr>
        <w:tab/>
        <w:t>1994</w:t>
      </w:r>
      <w:r w:rsidRPr="006E3B9B">
        <w:rPr>
          <w:rFonts w:hint="eastAsia"/>
          <w:lang w:val="en-US" w:eastAsia="zh-CN"/>
        </w:rPr>
        <w:t>年</w:t>
      </w:r>
    </w:p>
    <w:p w14:paraId="4827C085"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1044</w:t>
      </w:r>
      <w:r w:rsidRPr="006E3B9B">
        <w:rPr>
          <w:lang w:val="en-US" w:eastAsia="zh-CN"/>
        </w:rPr>
        <w:t>号决议</w:t>
      </w:r>
      <w:r w:rsidRPr="006E3B9B">
        <w:rPr>
          <w:lang w:val="en-US" w:eastAsia="zh-CN"/>
        </w:rPr>
        <w:tab/>
      </w:r>
      <w:r w:rsidRPr="006E3B9B">
        <w:rPr>
          <w:rFonts w:hint="eastAsia"/>
          <w:lang w:eastAsia="zh-CN"/>
        </w:rPr>
        <w:t>摊付国际电联支出的会费份额</w:t>
      </w:r>
      <w:r w:rsidR="005F6138">
        <w:rPr>
          <w:lang w:eastAsia="zh-CN"/>
        </w:rPr>
        <w:tab/>
      </w:r>
      <w:r w:rsidRPr="006E3B9B">
        <w:rPr>
          <w:lang w:val="en-US" w:eastAsia="zh-CN"/>
        </w:rPr>
        <w:tab/>
        <w:t>1999</w:t>
      </w:r>
      <w:r w:rsidRPr="006E3B9B">
        <w:rPr>
          <w:rFonts w:hint="eastAsia"/>
          <w:lang w:val="en-US" w:eastAsia="zh-CN"/>
        </w:rPr>
        <w:t>年</w:t>
      </w:r>
    </w:p>
    <w:p w14:paraId="4827C086"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1045</w:t>
      </w:r>
      <w:r w:rsidRPr="006E3B9B">
        <w:rPr>
          <w:lang w:val="en-US" w:eastAsia="zh-CN"/>
        </w:rPr>
        <w:t>号决议</w:t>
      </w:r>
      <w:r w:rsidRPr="006E3B9B">
        <w:rPr>
          <w:lang w:val="en-US" w:eastAsia="zh-CN"/>
        </w:rPr>
        <w:tab/>
      </w:r>
      <w:r w:rsidRPr="006E3B9B">
        <w:rPr>
          <w:rFonts w:hint="eastAsia"/>
          <w:lang w:eastAsia="zh-CN"/>
        </w:rPr>
        <w:t>摊付国际电联支出的会费份额</w:t>
      </w:r>
      <w:r w:rsidR="005F6138">
        <w:rPr>
          <w:lang w:eastAsia="zh-CN"/>
        </w:rPr>
        <w:tab/>
      </w:r>
      <w:r w:rsidRPr="006E3B9B">
        <w:rPr>
          <w:lang w:val="en-US" w:eastAsia="zh-CN"/>
        </w:rPr>
        <w:tab/>
        <w:t>1998</w:t>
      </w:r>
      <w:r w:rsidRPr="006E3B9B">
        <w:rPr>
          <w:rFonts w:hint="eastAsia"/>
          <w:lang w:val="en-US" w:eastAsia="zh-CN"/>
        </w:rPr>
        <w:t>年</w:t>
      </w:r>
    </w:p>
    <w:p w14:paraId="4827C087"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1046</w:t>
      </w:r>
      <w:r w:rsidRPr="006E3B9B">
        <w:rPr>
          <w:lang w:val="en-US" w:eastAsia="zh-CN"/>
        </w:rPr>
        <w:t>号决议</w:t>
      </w:r>
      <w:r w:rsidRPr="006E3B9B">
        <w:rPr>
          <w:lang w:val="en-US" w:eastAsia="zh-CN"/>
        </w:rPr>
        <w:tab/>
      </w:r>
      <w:r w:rsidRPr="006E3B9B">
        <w:rPr>
          <w:lang w:eastAsia="zh-CN"/>
        </w:rPr>
        <w:t>G.1</w:t>
      </w:r>
      <w:r w:rsidRPr="006E3B9B">
        <w:rPr>
          <w:rFonts w:hint="eastAsia"/>
          <w:lang w:eastAsia="zh-CN"/>
        </w:rPr>
        <w:t>至</w:t>
      </w:r>
      <w:r w:rsidRPr="006E3B9B">
        <w:rPr>
          <w:lang w:eastAsia="zh-CN"/>
        </w:rPr>
        <w:t>P.5</w:t>
      </w:r>
      <w:r w:rsidRPr="006E3B9B">
        <w:rPr>
          <w:rFonts w:hint="eastAsia"/>
          <w:lang w:eastAsia="zh-CN"/>
        </w:rPr>
        <w:t>级职位</w:t>
      </w:r>
      <w:r w:rsidR="005F6138">
        <w:rPr>
          <w:lang w:eastAsia="zh-CN"/>
        </w:rPr>
        <w:tab/>
      </w:r>
      <w:r w:rsidR="005E10E2">
        <w:rPr>
          <w:lang w:val="en-US" w:eastAsia="zh-CN"/>
        </w:rPr>
        <w:tab/>
        <w:t>1997</w:t>
      </w:r>
      <w:r w:rsidR="005E10E2">
        <w:rPr>
          <w:rFonts w:hint="eastAsia"/>
          <w:lang w:val="en-US" w:eastAsia="zh-CN"/>
        </w:rPr>
        <w:t>年</w:t>
      </w:r>
    </w:p>
    <w:p w14:paraId="4827C088"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1047</w:t>
      </w:r>
      <w:r w:rsidRPr="006E3B9B">
        <w:rPr>
          <w:lang w:val="en-US" w:eastAsia="zh-CN"/>
        </w:rPr>
        <w:t>号决议</w:t>
      </w:r>
      <w:r w:rsidRPr="006E3B9B">
        <w:rPr>
          <w:lang w:val="en-US" w:eastAsia="zh-CN"/>
        </w:rPr>
        <w:tab/>
      </w:r>
      <w:r w:rsidRPr="006E3B9B">
        <w:rPr>
          <w:rFonts w:hint="eastAsia"/>
          <w:lang w:eastAsia="zh-CN"/>
        </w:rPr>
        <w:t>对</w:t>
      </w:r>
      <w:r w:rsidRPr="006E3B9B">
        <w:rPr>
          <w:rFonts w:hint="eastAsia"/>
          <w:lang w:eastAsia="zh-CN"/>
        </w:rPr>
        <w:t>19</w:t>
      </w:r>
      <w:r w:rsidRPr="006E3B9B">
        <w:rPr>
          <w:lang w:eastAsia="zh-CN"/>
        </w:rPr>
        <w:t>91</w:t>
      </w:r>
      <w:r w:rsidRPr="006E3B9B">
        <w:rPr>
          <w:rFonts w:hint="eastAsia"/>
          <w:lang w:eastAsia="zh-CN"/>
        </w:rPr>
        <w:t>年电信展相关活动账目的外部审计</w:t>
      </w:r>
      <w:r w:rsidR="005F6138">
        <w:rPr>
          <w:lang w:eastAsia="zh-CN"/>
        </w:rPr>
        <w:tab/>
      </w:r>
      <w:r w:rsidRPr="006E3B9B">
        <w:rPr>
          <w:lang w:val="en-US" w:eastAsia="zh-CN"/>
        </w:rPr>
        <w:tab/>
        <w:t>1994</w:t>
      </w:r>
      <w:r w:rsidRPr="006E3B9B">
        <w:rPr>
          <w:rFonts w:hint="eastAsia"/>
          <w:lang w:val="en-US" w:eastAsia="zh-CN"/>
        </w:rPr>
        <w:t>年</w:t>
      </w:r>
    </w:p>
    <w:p w14:paraId="4827C089"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1048</w:t>
      </w:r>
      <w:r w:rsidRPr="006E3B9B">
        <w:rPr>
          <w:lang w:val="en-US" w:eastAsia="zh-CN"/>
        </w:rPr>
        <w:t>号决议</w:t>
      </w:r>
      <w:r w:rsidRPr="006E3B9B">
        <w:rPr>
          <w:lang w:val="en-US" w:eastAsia="zh-CN"/>
        </w:rPr>
        <w:tab/>
      </w:r>
      <w:r w:rsidRPr="006E3B9B">
        <w:rPr>
          <w:rFonts w:hint="eastAsia"/>
          <w:lang w:eastAsia="zh-CN"/>
        </w:rPr>
        <w:t>世界电信发展大会（</w:t>
      </w:r>
      <w:r w:rsidRPr="006E3B9B">
        <w:rPr>
          <w:lang w:eastAsia="zh-CN"/>
        </w:rPr>
        <w:t>WTDC-94</w:t>
      </w:r>
      <w:r w:rsidRPr="006E3B9B">
        <w:rPr>
          <w:rFonts w:hint="eastAsia"/>
          <w:lang w:eastAsia="zh-CN"/>
        </w:rPr>
        <w:t>）</w:t>
      </w:r>
      <w:r w:rsidR="005F6138">
        <w:rPr>
          <w:lang w:eastAsia="zh-CN"/>
        </w:rPr>
        <w:tab/>
      </w:r>
      <w:r w:rsidRPr="006E3B9B">
        <w:rPr>
          <w:lang w:val="en-US" w:eastAsia="zh-CN"/>
        </w:rPr>
        <w:tab/>
        <w:t>1994</w:t>
      </w:r>
      <w:r w:rsidRPr="006E3B9B">
        <w:rPr>
          <w:rFonts w:hint="eastAsia"/>
          <w:lang w:val="en-US" w:eastAsia="zh-CN"/>
        </w:rPr>
        <w:t>年</w:t>
      </w:r>
    </w:p>
    <w:p w14:paraId="4827C08A"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1049</w:t>
      </w:r>
      <w:r w:rsidRPr="006E3B9B">
        <w:rPr>
          <w:lang w:val="en-US" w:eastAsia="zh-CN"/>
        </w:rPr>
        <w:t>号决议</w:t>
      </w:r>
      <w:r w:rsidRPr="006E3B9B">
        <w:rPr>
          <w:lang w:val="en-US" w:eastAsia="zh-CN"/>
        </w:rPr>
        <w:tab/>
      </w:r>
      <w:r w:rsidRPr="006E3B9B">
        <w:rPr>
          <w:rFonts w:hint="eastAsia"/>
          <w:lang w:val="en-US" w:eastAsia="zh-CN"/>
        </w:rPr>
        <w:t>有</w:t>
      </w:r>
      <w:r w:rsidRPr="006E3B9B">
        <w:rPr>
          <w:rFonts w:hint="eastAsia"/>
          <w:lang w:eastAsia="zh-CN"/>
        </w:rPr>
        <w:t>关人员需求的决定</w:t>
      </w:r>
      <w:r w:rsidR="005F6138">
        <w:rPr>
          <w:lang w:eastAsia="zh-CN"/>
        </w:rPr>
        <w:tab/>
      </w:r>
      <w:r w:rsidRPr="006E3B9B">
        <w:rPr>
          <w:lang w:val="en-US" w:eastAsia="zh-CN"/>
        </w:rPr>
        <w:tab/>
        <w:t>1996</w:t>
      </w:r>
      <w:r w:rsidRPr="006E3B9B">
        <w:rPr>
          <w:rFonts w:hint="eastAsia"/>
          <w:lang w:val="en-US" w:eastAsia="zh-CN"/>
        </w:rPr>
        <w:t>年</w:t>
      </w:r>
    </w:p>
    <w:p w14:paraId="4827C08B"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1050</w:t>
      </w:r>
      <w:r w:rsidRPr="006E3B9B">
        <w:rPr>
          <w:lang w:val="en-US" w:eastAsia="zh-CN"/>
        </w:rPr>
        <w:t>号决议</w:t>
      </w:r>
      <w:r w:rsidRPr="006E3B9B">
        <w:rPr>
          <w:lang w:val="en-US" w:eastAsia="zh-CN"/>
        </w:rPr>
        <w:tab/>
      </w:r>
      <w:r w:rsidRPr="006E3B9B">
        <w:rPr>
          <w:rFonts w:hint="eastAsia"/>
          <w:lang w:eastAsia="zh-CN"/>
        </w:rPr>
        <w:t>国际电信联盟</w:t>
      </w:r>
      <w:r w:rsidRPr="006E3B9B">
        <w:rPr>
          <w:lang w:eastAsia="zh-CN"/>
        </w:rPr>
        <w:t>1994</w:t>
      </w:r>
      <w:r w:rsidRPr="006E3B9B">
        <w:rPr>
          <w:rFonts w:hint="eastAsia"/>
          <w:lang w:eastAsia="zh-CN"/>
        </w:rPr>
        <w:t>年预算</w:t>
      </w:r>
      <w:r w:rsidR="005F6138">
        <w:rPr>
          <w:lang w:eastAsia="zh-CN"/>
        </w:rPr>
        <w:tab/>
      </w:r>
      <w:r w:rsidRPr="006E3B9B">
        <w:rPr>
          <w:lang w:val="en-US" w:eastAsia="zh-CN"/>
        </w:rPr>
        <w:tab/>
        <w:t>1995</w:t>
      </w:r>
      <w:r w:rsidRPr="006E3B9B">
        <w:rPr>
          <w:rFonts w:hint="eastAsia"/>
          <w:lang w:val="en-US" w:eastAsia="zh-CN"/>
        </w:rPr>
        <w:t>年</w:t>
      </w:r>
    </w:p>
    <w:p w14:paraId="4827C08C"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1051</w:t>
      </w:r>
      <w:r w:rsidRPr="006E3B9B">
        <w:rPr>
          <w:lang w:val="en-US" w:eastAsia="zh-CN"/>
        </w:rPr>
        <w:t>号决议</w:t>
      </w:r>
      <w:r w:rsidRPr="006E3B9B">
        <w:rPr>
          <w:lang w:val="en-US" w:eastAsia="zh-CN"/>
        </w:rPr>
        <w:tab/>
      </w:r>
      <w:r w:rsidRPr="006E3B9B">
        <w:rPr>
          <w:rFonts w:hint="eastAsia"/>
          <w:lang w:eastAsia="zh-CN"/>
        </w:rPr>
        <w:t>研究划分和更好地使用无线电频谱以及简化《无线电规则》的自愿专家组（</w:t>
      </w:r>
      <w:r w:rsidRPr="006E3B9B">
        <w:rPr>
          <w:lang w:eastAsia="zh-CN"/>
        </w:rPr>
        <w:t>VGE</w:t>
      </w:r>
      <w:r w:rsidRPr="006E3B9B">
        <w:rPr>
          <w:rFonts w:hint="eastAsia"/>
          <w:lang w:eastAsia="zh-CN"/>
        </w:rPr>
        <w:t>）的未来工作和相关信息通报会议的计划</w:t>
      </w:r>
      <w:r w:rsidRPr="006E3B9B">
        <w:rPr>
          <w:lang w:val="en-US" w:eastAsia="zh-CN"/>
        </w:rPr>
        <w:tab/>
      </w:r>
      <w:r w:rsidR="00587F0E">
        <w:rPr>
          <w:lang w:val="en-US" w:eastAsia="zh-CN"/>
        </w:rPr>
        <w:tab/>
      </w:r>
      <w:r w:rsidRPr="006E3B9B">
        <w:rPr>
          <w:lang w:val="en-US" w:eastAsia="zh-CN"/>
        </w:rPr>
        <w:t>1995</w:t>
      </w:r>
      <w:r w:rsidRPr="006E3B9B">
        <w:rPr>
          <w:rFonts w:hint="eastAsia"/>
          <w:lang w:val="en-US" w:eastAsia="zh-CN"/>
        </w:rPr>
        <w:t>年</w:t>
      </w:r>
    </w:p>
    <w:p w14:paraId="4827C08D" w14:textId="77777777" w:rsidR="006E3B9B" w:rsidRPr="006E3B9B" w:rsidRDefault="006E3B9B" w:rsidP="003E11A1">
      <w:pPr>
        <w:pStyle w:val="Reftitle"/>
        <w:rPr>
          <w:lang w:val="en-US" w:eastAsia="zh-CN"/>
        </w:rPr>
      </w:pPr>
      <w:r w:rsidRPr="006E3B9B">
        <w:rPr>
          <w:lang w:eastAsia="zh-CN"/>
        </w:rPr>
        <w:t>1994</w:t>
      </w:r>
      <w:r w:rsidRPr="006E3B9B">
        <w:rPr>
          <w:rFonts w:hint="eastAsia"/>
          <w:lang w:eastAsia="zh-CN"/>
        </w:rPr>
        <w:t>年会议（</w:t>
      </w:r>
      <w:r w:rsidRPr="006E3B9B">
        <w:rPr>
          <w:lang w:eastAsia="zh-CN"/>
        </w:rPr>
        <w:t>1994</w:t>
      </w:r>
      <w:r w:rsidRPr="006E3B9B">
        <w:rPr>
          <w:rFonts w:hint="eastAsia"/>
          <w:lang w:eastAsia="zh-CN"/>
        </w:rPr>
        <w:t>年</w:t>
      </w:r>
      <w:r w:rsidRPr="006E3B9B">
        <w:rPr>
          <w:lang w:eastAsia="zh-CN"/>
        </w:rPr>
        <w:t>5</w:t>
      </w:r>
      <w:r w:rsidRPr="006E3B9B">
        <w:rPr>
          <w:rFonts w:hint="eastAsia"/>
          <w:lang w:eastAsia="zh-CN"/>
        </w:rPr>
        <w:t>月和</w:t>
      </w:r>
      <w:r w:rsidRPr="006E3B9B">
        <w:rPr>
          <w:lang w:eastAsia="zh-CN"/>
        </w:rPr>
        <w:t>1994</w:t>
      </w:r>
      <w:r w:rsidRPr="006E3B9B">
        <w:rPr>
          <w:rFonts w:hint="eastAsia"/>
          <w:lang w:eastAsia="zh-CN"/>
        </w:rPr>
        <w:t>年</w:t>
      </w:r>
      <w:r w:rsidRPr="006E3B9B">
        <w:rPr>
          <w:lang w:eastAsia="zh-CN"/>
        </w:rPr>
        <w:t>9</w:t>
      </w:r>
      <w:r w:rsidRPr="006E3B9B">
        <w:rPr>
          <w:rFonts w:hint="eastAsia"/>
          <w:lang w:eastAsia="zh-CN"/>
        </w:rPr>
        <w:t>月</w:t>
      </w:r>
      <w:r w:rsidRPr="006E3B9B">
        <w:rPr>
          <w:lang w:eastAsia="zh-CN"/>
        </w:rPr>
        <w:t>18</w:t>
      </w:r>
      <w:r w:rsidRPr="006E3B9B">
        <w:rPr>
          <w:rFonts w:hint="eastAsia"/>
          <w:lang w:eastAsia="zh-CN"/>
        </w:rPr>
        <w:t>日，京都）</w:t>
      </w:r>
    </w:p>
    <w:p w14:paraId="4827C08E" w14:textId="77777777" w:rsidR="006E3B9B" w:rsidRPr="005F6138" w:rsidRDefault="006E3B9B" w:rsidP="005F6138">
      <w:pPr>
        <w:pStyle w:val="Appendixref"/>
        <w:rPr>
          <w:lang w:val="en-US" w:eastAsia="zh-CN"/>
        </w:rPr>
      </w:pPr>
      <w:r w:rsidRPr="005F6138">
        <w:rPr>
          <w:lang w:val="en-US" w:eastAsia="zh-CN"/>
        </w:rPr>
        <w:t>第</w:t>
      </w:r>
      <w:r w:rsidRPr="005F6138">
        <w:rPr>
          <w:lang w:val="en-US" w:eastAsia="zh-CN"/>
        </w:rPr>
        <w:t>1052</w:t>
      </w:r>
      <w:r w:rsidRPr="005F6138">
        <w:rPr>
          <w:lang w:val="en-US" w:eastAsia="zh-CN"/>
        </w:rPr>
        <w:t>号决议</w:t>
      </w:r>
      <w:r w:rsidRPr="005F6138">
        <w:rPr>
          <w:lang w:val="en-US" w:eastAsia="zh-CN"/>
        </w:rPr>
        <w:tab/>
      </w:r>
      <w:r w:rsidRPr="005F6138">
        <w:rPr>
          <w:rFonts w:hint="eastAsia"/>
          <w:lang w:eastAsia="zh-CN"/>
        </w:rPr>
        <w:t>选任官员的薪金、任职地点补贴调整数和职员薪金税率</w:t>
      </w:r>
      <w:r w:rsidRPr="005F6138">
        <w:rPr>
          <w:lang w:val="en-US" w:eastAsia="zh-CN"/>
        </w:rPr>
        <w:tab/>
      </w:r>
      <w:r w:rsidR="005F6138">
        <w:rPr>
          <w:lang w:val="en-US" w:eastAsia="zh-CN"/>
        </w:rPr>
        <w:tab/>
      </w:r>
      <w:r w:rsidRPr="005F6138">
        <w:rPr>
          <w:lang w:val="en-US" w:eastAsia="zh-CN"/>
        </w:rPr>
        <w:t>1997</w:t>
      </w:r>
      <w:r w:rsidRPr="005F6138">
        <w:rPr>
          <w:rFonts w:hint="eastAsia"/>
          <w:lang w:val="en-US" w:eastAsia="zh-CN"/>
        </w:rPr>
        <w:t>年</w:t>
      </w:r>
    </w:p>
    <w:p w14:paraId="4827C08F" w14:textId="77777777" w:rsidR="006E3B9B" w:rsidRPr="005F6138" w:rsidRDefault="006E3B9B" w:rsidP="005F6138">
      <w:pPr>
        <w:pStyle w:val="Appendixref"/>
        <w:rPr>
          <w:lang w:val="en-US" w:eastAsia="zh-CN"/>
        </w:rPr>
      </w:pPr>
      <w:r w:rsidRPr="005F6138">
        <w:rPr>
          <w:lang w:val="en-US" w:eastAsia="zh-CN"/>
        </w:rPr>
        <w:t>第</w:t>
      </w:r>
      <w:r w:rsidRPr="005F6138">
        <w:rPr>
          <w:lang w:val="en-US" w:eastAsia="zh-CN"/>
        </w:rPr>
        <w:t>1053</w:t>
      </w:r>
      <w:r w:rsidRPr="005F6138">
        <w:rPr>
          <w:lang w:val="en-US" w:eastAsia="zh-CN"/>
        </w:rPr>
        <w:t>号决议</w:t>
      </w:r>
      <w:r w:rsidRPr="005F6138">
        <w:rPr>
          <w:lang w:val="en-US" w:eastAsia="zh-CN"/>
        </w:rPr>
        <w:tab/>
      </w:r>
      <w:r w:rsidRPr="005F6138">
        <w:rPr>
          <w:rFonts w:hint="eastAsia"/>
          <w:lang w:eastAsia="zh-CN"/>
        </w:rPr>
        <w:t>无线电通信局的人员需求</w:t>
      </w:r>
      <w:r w:rsidRPr="005F6138">
        <w:rPr>
          <w:lang w:val="en-US" w:eastAsia="zh-CN"/>
        </w:rPr>
        <w:tab/>
      </w:r>
      <w:r w:rsidR="005F6138">
        <w:rPr>
          <w:lang w:val="en-US" w:eastAsia="zh-CN"/>
        </w:rPr>
        <w:tab/>
      </w:r>
      <w:r w:rsidRPr="005F6138">
        <w:rPr>
          <w:lang w:val="en-US" w:eastAsia="zh-CN"/>
        </w:rPr>
        <w:t>1999</w:t>
      </w:r>
      <w:r w:rsidRPr="005F6138">
        <w:rPr>
          <w:rFonts w:hint="eastAsia"/>
          <w:lang w:val="en-US" w:eastAsia="zh-CN"/>
        </w:rPr>
        <w:t>年</w:t>
      </w:r>
    </w:p>
    <w:p w14:paraId="4827C090" w14:textId="77777777" w:rsidR="006E3B9B" w:rsidRPr="005F6138" w:rsidRDefault="006E3B9B" w:rsidP="005F6138">
      <w:pPr>
        <w:pStyle w:val="Appendixref"/>
        <w:rPr>
          <w:lang w:val="en-US" w:eastAsia="zh-CN"/>
        </w:rPr>
      </w:pPr>
      <w:r w:rsidRPr="005F6138">
        <w:rPr>
          <w:lang w:val="en-US" w:eastAsia="zh-CN"/>
        </w:rPr>
        <w:t>第</w:t>
      </w:r>
      <w:r w:rsidRPr="005F6138">
        <w:rPr>
          <w:lang w:val="en-US" w:eastAsia="zh-CN"/>
        </w:rPr>
        <w:t>1054</w:t>
      </w:r>
      <w:r w:rsidRPr="005F6138">
        <w:rPr>
          <w:lang w:val="en-US" w:eastAsia="zh-CN"/>
        </w:rPr>
        <w:t>号决议</w:t>
      </w:r>
      <w:r w:rsidRPr="005F6138">
        <w:rPr>
          <w:lang w:val="en-US" w:eastAsia="zh-CN"/>
        </w:rPr>
        <w:tab/>
      </w:r>
      <w:r w:rsidRPr="005F6138">
        <w:rPr>
          <w:rFonts w:hint="eastAsia"/>
          <w:lang w:eastAsia="zh-CN"/>
        </w:rPr>
        <w:t>国际电联</w:t>
      </w:r>
      <w:r w:rsidRPr="005F6138">
        <w:rPr>
          <w:lang w:eastAsia="zh-CN"/>
        </w:rPr>
        <w:t>1993</w:t>
      </w:r>
      <w:r w:rsidRPr="005F6138">
        <w:rPr>
          <w:rFonts w:hint="eastAsia"/>
          <w:lang w:eastAsia="zh-CN"/>
        </w:rPr>
        <w:t>年</w:t>
      </w:r>
      <w:r w:rsidRPr="005F6138">
        <w:rPr>
          <w:lang w:eastAsia="zh-CN"/>
        </w:rPr>
        <w:t>1</w:t>
      </w:r>
      <w:r w:rsidRPr="005F6138">
        <w:rPr>
          <w:rFonts w:hint="eastAsia"/>
          <w:lang w:eastAsia="zh-CN"/>
        </w:rPr>
        <w:t>月</w:t>
      </w:r>
      <w:r w:rsidRPr="005F6138">
        <w:rPr>
          <w:lang w:eastAsia="zh-CN"/>
        </w:rPr>
        <w:t>1</w:t>
      </w:r>
      <w:r w:rsidRPr="005F6138">
        <w:rPr>
          <w:rFonts w:hint="eastAsia"/>
          <w:lang w:eastAsia="zh-CN"/>
        </w:rPr>
        <w:t>日至</w:t>
      </w:r>
      <w:r w:rsidRPr="005F6138">
        <w:rPr>
          <w:lang w:eastAsia="zh-CN"/>
        </w:rPr>
        <w:t>12</w:t>
      </w:r>
      <w:r w:rsidRPr="005F6138">
        <w:rPr>
          <w:rFonts w:hint="eastAsia"/>
          <w:lang w:eastAsia="zh-CN"/>
        </w:rPr>
        <w:t>月</w:t>
      </w:r>
      <w:r w:rsidRPr="005F6138">
        <w:rPr>
          <w:lang w:eastAsia="zh-CN"/>
        </w:rPr>
        <w:t>31</w:t>
      </w:r>
      <w:r w:rsidRPr="005F6138">
        <w:rPr>
          <w:rFonts w:hint="eastAsia"/>
          <w:lang w:eastAsia="zh-CN"/>
        </w:rPr>
        <w:t>日账目的外部审计</w:t>
      </w:r>
      <w:r w:rsidRPr="005F6138">
        <w:rPr>
          <w:lang w:val="en-US" w:eastAsia="zh-CN"/>
        </w:rPr>
        <w:tab/>
      </w:r>
      <w:r w:rsidR="005F6138">
        <w:rPr>
          <w:lang w:val="en-US" w:eastAsia="zh-CN"/>
        </w:rPr>
        <w:tab/>
      </w:r>
      <w:r w:rsidRPr="005F6138">
        <w:rPr>
          <w:lang w:val="en-US" w:eastAsia="zh-CN"/>
        </w:rPr>
        <w:t>1995</w:t>
      </w:r>
      <w:r w:rsidRPr="005F6138">
        <w:rPr>
          <w:rFonts w:hint="eastAsia"/>
          <w:lang w:val="en-US" w:eastAsia="zh-CN"/>
        </w:rPr>
        <w:t>年</w:t>
      </w:r>
    </w:p>
    <w:p w14:paraId="4827C091" w14:textId="77777777" w:rsidR="006E3B9B" w:rsidRPr="005F6138" w:rsidRDefault="006E3B9B" w:rsidP="005F6138">
      <w:pPr>
        <w:pStyle w:val="Appendixref"/>
        <w:rPr>
          <w:lang w:val="en-US" w:eastAsia="zh-CN"/>
        </w:rPr>
      </w:pPr>
      <w:r w:rsidRPr="005F6138">
        <w:rPr>
          <w:lang w:val="en-US" w:eastAsia="zh-CN"/>
        </w:rPr>
        <w:t>第</w:t>
      </w:r>
      <w:r w:rsidRPr="005F6138">
        <w:rPr>
          <w:lang w:val="en-US" w:eastAsia="zh-CN"/>
        </w:rPr>
        <w:t>1055</w:t>
      </w:r>
      <w:r w:rsidRPr="005F6138">
        <w:rPr>
          <w:lang w:val="en-US" w:eastAsia="zh-CN"/>
        </w:rPr>
        <w:t>号决议</w:t>
      </w:r>
      <w:r w:rsidRPr="005F6138">
        <w:rPr>
          <w:lang w:val="en-US" w:eastAsia="zh-CN"/>
        </w:rPr>
        <w:tab/>
      </w:r>
      <w:r w:rsidRPr="005F6138">
        <w:rPr>
          <w:rFonts w:hint="eastAsia"/>
          <w:lang w:eastAsia="zh-CN"/>
        </w:rPr>
        <w:t>南非政府恢复其在国际电联的全部权利</w:t>
      </w:r>
      <w:r w:rsidRPr="005F6138">
        <w:rPr>
          <w:lang w:val="en-US" w:eastAsia="zh-CN"/>
        </w:rPr>
        <w:tab/>
      </w:r>
      <w:r w:rsidR="005F6138">
        <w:rPr>
          <w:lang w:val="en-US" w:eastAsia="zh-CN"/>
        </w:rPr>
        <w:tab/>
      </w:r>
      <w:r w:rsidRPr="005F6138">
        <w:rPr>
          <w:lang w:val="en-US" w:eastAsia="zh-CN"/>
        </w:rPr>
        <w:t>1995</w:t>
      </w:r>
      <w:r w:rsidRPr="005F6138">
        <w:rPr>
          <w:rFonts w:hint="eastAsia"/>
          <w:lang w:val="en-US" w:eastAsia="zh-CN"/>
        </w:rPr>
        <w:t>年</w:t>
      </w:r>
    </w:p>
    <w:p w14:paraId="4827C092" w14:textId="77777777" w:rsidR="006E3B9B" w:rsidRPr="005F6138" w:rsidRDefault="006E3B9B" w:rsidP="005F6138">
      <w:pPr>
        <w:pStyle w:val="Appendixref"/>
        <w:rPr>
          <w:lang w:val="en-US" w:eastAsia="zh-CN"/>
        </w:rPr>
      </w:pPr>
      <w:r w:rsidRPr="005F6138">
        <w:rPr>
          <w:lang w:val="en-US" w:eastAsia="zh-CN"/>
        </w:rPr>
        <w:t>第</w:t>
      </w:r>
      <w:r w:rsidRPr="005F6138">
        <w:rPr>
          <w:lang w:val="en-US" w:eastAsia="zh-CN"/>
        </w:rPr>
        <w:t>1056</w:t>
      </w:r>
      <w:r w:rsidRPr="005F6138">
        <w:rPr>
          <w:lang w:val="en-US" w:eastAsia="zh-CN"/>
        </w:rPr>
        <w:t>号决议</w:t>
      </w:r>
      <w:r w:rsidRPr="005F6138">
        <w:rPr>
          <w:lang w:val="en-US" w:eastAsia="zh-CN"/>
        </w:rPr>
        <w:tab/>
      </w:r>
      <w:r w:rsidRPr="005F6138">
        <w:rPr>
          <w:rFonts w:hint="eastAsia"/>
          <w:lang w:eastAsia="zh-CN"/>
        </w:rPr>
        <w:t>国际电联职员养恤金委员会的委员</w:t>
      </w:r>
      <w:r w:rsidRPr="005F6138">
        <w:rPr>
          <w:lang w:val="en-US" w:eastAsia="zh-CN"/>
        </w:rPr>
        <w:tab/>
      </w:r>
      <w:r w:rsidR="005F6138">
        <w:rPr>
          <w:lang w:val="en-US" w:eastAsia="zh-CN"/>
        </w:rPr>
        <w:tab/>
      </w:r>
      <w:r w:rsidRPr="005F6138">
        <w:rPr>
          <w:lang w:val="en-US" w:eastAsia="zh-CN"/>
        </w:rPr>
        <w:t>1996</w:t>
      </w:r>
      <w:r w:rsidRPr="005F6138">
        <w:rPr>
          <w:rFonts w:hint="eastAsia"/>
          <w:lang w:val="en-US" w:eastAsia="zh-CN"/>
        </w:rPr>
        <w:t>年</w:t>
      </w:r>
    </w:p>
    <w:p w14:paraId="4827C093" w14:textId="77777777" w:rsidR="006E3B9B" w:rsidRPr="005F6138" w:rsidRDefault="006E3B9B" w:rsidP="005F6138">
      <w:pPr>
        <w:pStyle w:val="Appendixref"/>
        <w:rPr>
          <w:lang w:val="en-US" w:eastAsia="zh-CN"/>
        </w:rPr>
      </w:pPr>
      <w:r w:rsidRPr="005F6138">
        <w:rPr>
          <w:lang w:val="en-US" w:eastAsia="zh-CN"/>
        </w:rPr>
        <w:t>第</w:t>
      </w:r>
      <w:r w:rsidRPr="005F6138">
        <w:rPr>
          <w:lang w:val="en-US" w:eastAsia="zh-CN"/>
        </w:rPr>
        <w:t>1057</w:t>
      </w:r>
      <w:r w:rsidRPr="005F6138">
        <w:rPr>
          <w:lang w:val="en-US" w:eastAsia="zh-CN"/>
        </w:rPr>
        <w:t>号决议</w:t>
      </w:r>
      <w:r w:rsidRPr="005F6138">
        <w:rPr>
          <w:lang w:val="en-US" w:eastAsia="zh-CN"/>
        </w:rPr>
        <w:tab/>
      </w:r>
      <w:r w:rsidRPr="005F6138">
        <w:rPr>
          <w:rFonts w:hint="eastAsia"/>
          <w:lang w:eastAsia="zh-CN"/>
        </w:rPr>
        <w:t>国际电联《财务规则》的修订</w:t>
      </w:r>
      <w:r w:rsidRPr="005F6138">
        <w:rPr>
          <w:lang w:val="en-US" w:eastAsia="zh-CN"/>
        </w:rPr>
        <w:tab/>
      </w:r>
      <w:r w:rsidR="005F6138">
        <w:rPr>
          <w:lang w:val="en-US" w:eastAsia="zh-CN"/>
        </w:rPr>
        <w:tab/>
      </w:r>
      <w:r w:rsidRPr="005F6138">
        <w:rPr>
          <w:lang w:val="en-US" w:eastAsia="zh-CN"/>
        </w:rPr>
        <w:t>1998</w:t>
      </w:r>
      <w:r w:rsidRPr="005F6138">
        <w:rPr>
          <w:rFonts w:hint="eastAsia"/>
          <w:lang w:val="en-US" w:eastAsia="zh-CN"/>
        </w:rPr>
        <w:t>年</w:t>
      </w:r>
    </w:p>
    <w:p w14:paraId="4827C094" w14:textId="77777777" w:rsidR="006E3B9B" w:rsidRPr="005F6138" w:rsidRDefault="006E3B9B" w:rsidP="005F6138">
      <w:pPr>
        <w:pStyle w:val="Appendixref"/>
        <w:rPr>
          <w:lang w:val="en-US" w:eastAsia="zh-CN"/>
        </w:rPr>
      </w:pPr>
      <w:r w:rsidRPr="005F6138">
        <w:rPr>
          <w:lang w:val="en-US" w:eastAsia="zh-CN"/>
        </w:rPr>
        <w:t>第</w:t>
      </w:r>
      <w:r w:rsidRPr="005F6138">
        <w:rPr>
          <w:lang w:val="en-US" w:eastAsia="zh-CN"/>
        </w:rPr>
        <w:t>1058</w:t>
      </w:r>
      <w:r w:rsidRPr="005F6138">
        <w:rPr>
          <w:lang w:val="en-US" w:eastAsia="zh-CN"/>
        </w:rPr>
        <w:t>号决议</w:t>
      </w:r>
      <w:r w:rsidRPr="005F6138">
        <w:rPr>
          <w:lang w:val="en-US" w:eastAsia="zh-CN"/>
        </w:rPr>
        <w:tab/>
      </w:r>
      <w:r w:rsidRPr="005F6138">
        <w:rPr>
          <w:rFonts w:hint="eastAsia"/>
          <w:lang w:eastAsia="zh-CN"/>
        </w:rPr>
        <w:t>国际电联</w:t>
      </w:r>
      <w:r w:rsidRPr="005F6138">
        <w:rPr>
          <w:lang w:eastAsia="zh-CN"/>
        </w:rPr>
        <w:t>1993</w:t>
      </w:r>
      <w:r w:rsidRPr="005F6138">
        <w:rPr>
          <w:rFonts w:hint="eastAsia"/>
          <w:lang w:eastAsia="zh-CN"/>
        </w:rPr>
        <w:t>年财务工作报告</w:t>
      </w:r>
      <w:r w:rsidRPr="005F6138">
        <w:rPr>
          <w:lang w:val="en-US" w:eastAsia="zh-CN"/>
        </w:rPr>
        <w:tab/>
      </w:r>
      <w:r w:rsidR="005F6138">
        <w:rPr>
          <w:lang w:val="en-US" w:eastAsia="zh-CN"/>
        </w:rPr>
        <w:tab/>
      </w:r>
      <w:r w:rsidRPr="005F6138">
        <w:rPr>
          <w:lang w:val="en-US" w:eastAsia="zh-CN"/>
        </w:rPr>
        <w:t>1995</w:t>
      </w:r>
      <w:r w:rsidRPr="005F6138">
        <w:rPr>
          <w:rFonts w:hint="eastAsia"/>
          <w:lang w:val="en-US" w:eastAsia="zh-CN"/>
        </w:rPr>
        <w:t>年</w:t>
      </w:r>
    </w:p>
    <w:p w14:paraId="4827C095" w14:textId="77777777" w:rsidR="006E3B9B" w:rsidRPr="005F6138" w:rsidRDefault="006E3B9B" w:rsidP="005F6138">
      <w:pPr>
        <w:pStyle w:val="Appendixref"/>
        <w:rPr>
          <w:lang w:val="en-US" w:eastAsia="zh-CN"/>
        </w:rPr>
      </w:pPr>
      <w:r w:rsidRPr="005F6138">
        <w:rPr>
          <w:lang w:val="en-US" w:eastAsia="zh-CN"/>
        </w:rPr>
        <w:t>第</w:t>
      </w:r>
      <w:r w:rsidRPr="005F6138">
        <w:rPr>
          <w:lang w:val="en-US" w:eastAsia="zh-CN"/>
        </w:rPr>
        <w:t>1059</w:t>
      </w:r>
      <w:r w:rsidRPr="005F6138">
        <w:rPr>
          <w:lang w:val="en-US" w:eastAsia="zh-CN"/>
        </w:rPr>
        <w:t>号决议</w:t>
      </w:r>
      <w:r w:rsidRPr="005F6138">
        <w:rPr>
          <w:lang w:val="en-US" w:eastAsia="zh-CN"/>
        </w:rPr>
        <w:tab/>
      </w:r>
      <w:r w:rsidRPr="005F6138">
        <w:rPr>
          <w:rFonts w:hint="eastAsia"/>
          <w:lang w:eastAsia="zh-CN"/>
        </w:rPr>
        <w:t>摊付国际电联费用的会费份额（厄立特里亚）</w:t>
      </w:r>
      <w:r w:rsidRPr="005F6138">
        <w:rPr>
          <w:lang w:val="en-US" w:eastAsia="zh-CN"/>
        </w:rPr>
        <w:tab/>
      </w:r>
      <w:r w:rsidR="005F6138">
        <w:rPr>
          <w:lang w:val="en-US" w:eastAsia="zh-CN"/>
        </w:rPr>
        <w:tab/>
      </w:r>
      <w:r w:rsidRPr="005F6138">
        <w:rPr>
          <w:lang w:val="en-US" w:eastAsia="zh-CN"/>
        </w:rPr>
        <w:t>1995</w:t>
      </w:r>
      <w:r w:rsidRPr="005F6138">
        <w:rPr>
          <w:rFonts w:hint="eastAsia"/>
          <w:lang w:val="en-US" w:eastAsia="zh-CN"/>
        </w:rPr>
        <w:t>年</w:t>
      </w:r>
    </w:p>
    <w:p w14:paraId="4827C096" w14:textId="77777777" w:rsidR="006E3B9B" w:rsidRPr="005F6138" w:rsidRDefault="006E3B9B" w:rsidP="005F6138">
      <w:pPr>
        <w:pStyle w:val="Appendixref"/>
        <w:rPr>
          <w:lang w:val="en-US" w:eastAsia="zh-CN"/>
        </w:rPr>
      </w:pPr>
      <w:r w:rsidRPr="005F6138">
        <w:rPr>
          <w:lang w:val="en-US" w:eastAsia="zh-CN"/>
        </w:rPr>
        <w:t>第</w:t>
      </w:r>
      <w:r w:rsidRPr="005F6138">
        <w:rPr>
          <w:lang w:val="en-US" w:eastAsia="zh-CN"/>
        </w:rPr>
        <w:t>1060</w:t>
      </w:r>
      <w:r w:rsidRPr="005F6138">
        <w:rPr>
          <w:lang w:val="en-US" w:eastAsia="zh-CN"/>
        </w:rPr>
        <w:t>号决议</w:t>
      </w:r>
      <w:r w:rsidRPr="005F6138">
        <w:rPr>
          <w:lang w:val="en-US" w:eastAsia="zh-CN"/>
        </w:rPr>
        <w:tab/>
      </w:r>
      <w:r w:rsidRPr="005F6138">
        <w:rPr>
          <w:rFonts w:hint="eastAsia"/>
          <w:lang w:eastAsia="zh-CN"/>
        </w:rPr>
        <w:t>摊付国际电联费用的会费份额（波黑共和国）</w:t>
      </w:r>
      <w:r w:rsidRPr="005F6138">
        <w:rPr>
          <w:lang w:val="en-US" w:eastAsia="zh-CN"/>
        </w:rPr>
        <w:tab/>
      </w:r>
      <w:r w:rsidR="005F6138">
        <w:rPr>
          <w:lang w:val="en-US" w:eastAsia="zh-CN"/>
        </w:rPr>
        <w:tab/>
      </w:r>
      <w:r w:rsidRPr="005F6138">
        <w:rPr>
          <w:lang w:val="en-US" w:eastAsia="zh-CN"/>
        </w:rPr>
        <w:t>1995</w:t>
      </w:r>
      <w:r w:rsidRPr="005F6138">
        <w:rPr>
          <w:rFonts w:hint="eastAsia"/>
          <w:lang w:val="en-US" w:eastAsia="zh-CN"/>
        </w:rPr>
        <w:t>年</w:t>
      </w:r>
    </w:p>
    <w:p w14:paraId="4827C097" w14:textId="77777777" w:rsidR="006E3B9B" w:rsidRPr="005F6138" w:rsidRDefault="006E3B9B" w:rsidP="005F6138">
      <w:pPr>
        <w:pStyle w:val="Appendixref"/>
        <w:rPr>
          <w:lang w:val="en-US" w:eastAsia="zh-CN"/>
        </w:rPr>
      </w:pPr>
      <w:r w:rsidRPr="005F6138">
        <w:rPr>
          <w:lang w:val="en-US" w:eastAsia="zh-CN"/>
        </w:rPr>
        <w:t>第</w:t>
      </w:r>
      <w:r w:rsidRPr="005F6138">
        <w:rPr>
          <w:lang w:val="en-US" w:eastAsia="zh-CN"/>
        </w:rPr>
        <w:t>1061</w:t>
      </w:r>
      <w:r w:rsidRPr="005F6138">
        <w:rPr>
          <w:lang w:val="en-US" w:eastAsia="zh-CN"/>
        </w:rPr>
        <w:t>号决议</w:t>
      </w:r>
      <w:r w:rsidRPr="005F6138">
        <w:rPr>
          <w:lang w:val="en-US" w:eastAsia="zh-CN"/>
        </w:rPr>
        <w:tab/>
      </w:r>
      <w:r w:rsidRPr="005F6138">
        <w:rPr>
          <w:rFonts w:hint="eastAsia"/>
          <w:lang w:eastAsia="zh-CN"/>
        </w:rPr>
        <w:t>摊付国际电联费用的会费份额（前南斯拉夫马其顿共和国）</w:t>
      </w:r>
      <w:r w:rsidRPr="005F6138">
        <w:rPr>
          <w:lang w:val="en-US" w:eastAsia="zh-CN"/>
        </w:rPr>
        <w:tab/>
      </w:r>
      <w:r w:rsidR="005F6138">
        <w:rPr>
          <w:lang w:val="en-US" w:eastAsia="zh-CN"/>
        </w:rPr>
        <w:tab/>
      </w:r>
      <w:r w:rsidRPr="005F6138">
        <w:rPr>
          <w:lang w:val="en-US" w:eastAsia="zh-CN"/>
        </w:rPr>
        <w:t>1995</w:t>
      </w:r>
      <w:r w:rsidRPr="005F6138">
        <w:rPr>
          <w:rFonts w:hint="eastAsia"/>
          <w:lang w:val="en-US" w:eastAsia="zh-CN"/>
        </w:rPr>
        <w:t>年</w:t>
      </w:r>
    </w:p>
    <w:p w14:paraId="4827C098" w14:textId="77777777" w:rsidR="006E3B9B" w:rsidRPr="005F6138" w:rsidRDefault="006E3B9B" w:rsidP="005F6138">
      <w:pPr>
        <w:pStyle w:val="Appendixref"/>
        <w:rPr>
          <w:lang w:val="en-US" w:eastAsia="zh-CN"/>
        </w:rPr>
      </w:pPr>
      <w:r w:rsidRPr="005F6138">
        <w:rPr>
          <w:lang w:val="en-US" w:eastAsia="zh-CN"/>
        </w:rPr>
        <w:t>第</w:t>
      </w:r>
      <w:r w:rsidRPr="005F6138">
        <w:rPr>
          <w:lang w:val="en-US" w:eastAsia="zh-CN"/>
        </w:rPr>
        <w:t>1062</w:t>
      </w:r>
      <w:r w:rsidRPr="005F6138">
        <w:rPr>
          <w:lang w:val="en-US" w:eastAsia="zh-CN"/>
        </w:rPr>
        <w:t>号决议</w:t>
      </w:r>
      <w:r w:rsidRPr="005F6138">
        <w:rPr>
          <w:lang w:val="en-US" w:eastAsia="zh-CN"/>
        </w:rPr>
        <w:tab/>
      </w:r>
      <w:r w:rsidRPr="005F6138">
        <w:rPr>
          <w:rFonts w:hint="eastAsia"/>
          <w:lang w:eastAsia="zh-CN"/>
        </w:rPr>
        <w:t>国际电联《人事规则》的修正案</w:t>
      </w:r>
      <w:r w:rsidRPr="005F6138">
        <w:rPr>
          <w:lang w:val="en-US" w:eastAsia="zh-CN"/>
        </w:rPr>
        <w:tab/>
      </w:r>
      <w:r w:rsidR="005F6138">
        <w:rPr>
          <w:lang w:val="en-US" w:eastAsia="zh-CN"/>
        </w:rPr>
        <w:tab/>
      </w:r>
      <w:r w:rsidRPr="005F6138">
        <w:rPr>
          <w:lang w:val="en-US" w:eastAsia="zh-CN"/>
        </w:rPr>
        <w:t>1996</w:t>
      </w:r>
      <w:r w:rsidRPr="005F6138">
        <w:rPr>
          <w:rFonts w:hint="eastAsia"/>
          <w:lang w:val="en-US" w:eastAsia="zh-CN"/>
        </w:rPr>
        <w:t>年</w:t>
      </w:r>
    </w:p>
    <w:p w14:paraId="4827C099" w14:textId="77777777" w:rsidR="006E3B9B" w:rsidRPr="005F6138" w:rsidRDefault="006E3B9B" w:rsidP="005F6138">
      <w:pPr>
        <w:pStyle w:val="Appendixref"/>
        <w:rPr>
          <w:lang w:val="en-US" w:eastAsia="zh-CN"/>
        </w:rPr>
      </w:pPr>
      <w:r w:rsidRPr="005F6138">
        <w:rPr>
          <w:lang w:val="en-US" w:eastAsia="zh-CN"/>
        </w:rPr>
        <w:t>第</w:t>
      </w:r>
      <w:r w:rsidRPr="005F6138">
        <w:rPr>
          <w:lang w:val="en-US" w:eastAsia="zh-CN"/>
        </w:rPr>
        <w:t>1063</w:t>
      </w:r>
      <w:r w:rsidRPr="005F6138">
        <w:rPr>
          <w:lang w:val="en-US" w:eastAsia="zh-CN"/>
        </w:rPr>
        <w:t>号决议</w:t>
      </w:r>
      <w:r w:rsidRPr="005F6138">
        <w:rPr>
          <w:lang w:val="en-US" w:eastAsia="zh-CN"/>
        </w:rPr>
        <w:tab/>
      </w:r>
      <w:r w:rsidRPr="005F6138">
        <w:rPr>
          <w:lang w:eastAsia="zh-CN"/>
        </w:rPr>
        <w:t>Varembé</w:t>
      </w:r>
      <w:r w:rsidRPr="005F6138">
        <w:rPr>
          <w:rFonts w:hint="eastAsia"/>
          <w:lang w:eastAsia="zh-CN"/>
        </w:rPr>
        <w:t>办公楼的空调</w:t>
      </w:r>
      <w:r w:rsidRPr="005F6138">
        <w:rPr>
          <w:lang w:val="en-US" w:eastAsia="zh-CN"/>
        </w:rPr>
        <w:tab/>
      </w:r>
      <w:r w:rsidR="005F6138">
        <w:rPr>
          <w:lang w:val="en-US" w:eastAsia="zh-CN"/>
        </w:rPr>
        <w:tab/>
      </w:r>
      <w:r w:rsidRPr="005F6138">
        <w:rPr>
          <w:lang w:val="en-US" w:eastAsia="zh-CN"/>
        </w:rPr>
        <w:t>1996</w:t>
      </w:r>
      <w:r w:rsidRPr="005F6138">
        <w:rPr>
          <w:rFonts w:hint="eastAsia"/>
          <w:lang w:val="en-US" w:eastAsia="zh-CN"/>
        </w:rPr>
        <w:t>年</w:t>
      </w:r>
    </w:p>
    <w:p w14:paraId="4827C09A" w14:textId="77777777" w:rsidR="006E3B9B" w:rsidRPr="005F6138" w:rsidRDefault="006E3B9B" w:rsidP="005F6138">
      <w:pPr>
        <w:pStyle w:val="Appendixref"/>
        <w:rPr>
          <w:lang w:val="en-US" w:eastAsia="zh-CN"/>
        </w:rPr>
      </w:pPr>
      <w:r w:rsidRPr="005F6138">
        <w:rPr>
          <w:lang w:val="en-US" w:eastAsia="zh-CN"/>
        </w:rPr>
        <w:t>第</w:t>
      </w:r>
      <w:r w:rsidRPr="005F6138">
        <w:rPr>
          <w:lang w:val="en-US" w:eastAsia="zh-CN"/>
        </w:rPr>
        <w:t>1064</w:t>
      </w:r>
      <w:r w:rsidRPr="005F6138">
        <w:rPr>
          <w:lang w:val="en-US" w:eastAsia="zh-CN"/>
        </w:rPr>
        <w:t>号决议</w:t>
      </w:r>
      <w:r w:rsidRPr="005F6138">
        <w:rPr>
          <w:lang w:val="en-US" w:eastAsia="zh-CN"/>
        </w:rPr>
        <w:tab/>
      </w:r>
      <w:r w:rsidRPr="005F6138">
        <w:rPr>
          <w:rFonts w:hint="eastAsia"/>
          <w:lang w:eastAsia="zh-CN"/>
        </w:rPr>
        <w:t>国际电联</w:t>
      </w:r>
      <w:r w:rsidRPr="005F6138">
        <w:rPr>
          <w:lang w:eastAsia="zh-CN"/>
        </w:rPr>
        <w:t>1994</w:t>
      </w:r>
      <w:r w:rsidRPr="005F6138">
        <w:rPr>
          <w:rFonts w:hint="eastAsia"/>
          <w:lang w:eastAsia="zh-CN"/>
        </w:rPr>
        <w:t>年预算的追加拨款</w:t>
      </w:r>
      <w:r w:rsidRPr="005F6138">
        <w:rPr>
          <w:lang w:val="en-US" w:eastAsia="zh-CN"/>
        </w:rPr>
        <w:tab/>
      </w:r>
      <w:r w:rsidR="005F6138">
        <w:rPr>
          <w:lang w:val="en-US" w:eastAsia="zh-CN"/>
        </w:rPr>
        <w:tab/>
      </w:r>
      <w:r w:rsidRPr="005F6138">
        <w:rPr>
          <w:lang w:val="en-US" w:eastAsia="zh-CN"/>
        </w:rPr>
        <w:t>1995</w:t>
      </w:r>
      <w:r w:rsidRPr="005F6138">
        <w:rPr>
          <w:rFonts w:hint="eastAsia"/>
          <w:lang w:val="en-US" w:eastAsia="zh-CN"/>
        </w:rPr>
        <w:t>年</w:t>
      </w:r>
    </w:p>
    <w:p w14:paraId="4827C09B" w14:textId="77777777" w:rsidR="006E3B9B" w:rsidRPr="005F6138" w:rsidRDefault="006E3B9B" w:rsidP="005F6138">
      <w:pPr>
        <w:pStyle w:val="Appendixref"/>
        <w:rPr>
          <w:lang w:val="en-US" w:eastAsia="zh-CN"/>
        </w:rPr>
      </w:pPr>
      <w:r w:rsidRPr="005F6138">
        <w:rPr>
          <w:lang w:val="en-US" w:eastAsia="zh-CN"/>
        </w:rPr>
        <w:t>第</w:t>
      </w:r>
      <w:r w:rsidRPr="005F6138">
        <w:rPr>
          <w:lang w:val="en-US" w:eastAsia="zh-CN"/>
        </w:rPr>
        <w:t>1065</w:t>
      </w:r>
      <w:r w:rsidRPr="005F6138">
        <w:rPr>
          <w:lang w:val="en-US" w:eastAsia="zh-CN"/>
        </w:rPr>
        <w:t>号决议</w:t>
      </w:r>
      <w:r w:rsidRPr="005F6138">
        <w:rPr>
          <w:lang w:val="en-US" w:eastAsia="zh-CN"/>
        </w:rPr>
        <w:tab/>
      </w:r>
      <w:r w:rsidRPr="005F6138">
        <w:rPr>
          <w:lang w:eastAsia="zh-CN"/>
        </w:rPr>
        <w:t>1995</w:t>
      </w:r>
      <w:r w:rsidRPr="005F6138">
        <w:rPr>
          <w:rFonts w:hint="eastAsia"/>
          <w:lang w:eastAsia="zh-CN"/>
        </w:rPr>
        <w:t>年世界无线电通信大会（</w:t>
      </w:r>
      <w:r w:rsidRPr="005F6138">
        <w:rPr>
          <w:lang w:eastAsia="zh-CN"/>
        </w:rPr>
        <w:t>WRC-95</w:t>
      </w:r>
      <w:r w:rsidRPr="005F6138">
        <w:rPr>
          <w:rFonts w:hint="eastAsia"/>
          <w:lang w:eastAsia="zh-CN"/>
        </w:rPr>
        <w:t>）</w:t>
      </w:r>
      <w:r w:rsidRPr="005F6138">
        <w:rPr>
          <w:lang w:val="en-US" w:eastAsia="zh-CN"/>
        </w:rPr>
        <w:tab/>
      </w:r>
      <w:r w:rsidR="005F6138">
        <w:rPr>
          <w:lang w:val="en-US" w:eastAsia="zh-CN"/>
        </w:rPr>
        <w:tab/>
      </w:r>
      <w:r w:rsidRPr="005F6138">
        <w:rPr>
          <w:lang w:val="en-US" w:eastAsia="zh-CN"/>
        </w:rPr>
        <w:t>1996</w:t>
      </w:r>
      <w:r w:rsidRPr="005F6138">
        <w:rPr>
          <w:rFonts w:hint="eastAsia"/>
          <w:lang w:val="en-US" w:eastAsia="zh-CN"/>
        </w:rPr>
        <w:t>年</w:t>
      </w:r>
    </w:p>
    <w:p w14:paraId="4827C09C" w14:textId="77777777" w:rsidR="006E3B9B" w:rsidRPr="005F6138" w:rsidRDefault="006E3B9B" w:rsidP="005F6138">
      <w:pPr>
        <w:pStyle w:val="Appendixref"/>
        <w:rPr>
          <w:lang w:val="en-US" w:eastAsia="zh-CN"/>
        </w:rPr>
      </w:pPr>
      <w:r w:rsidRPr="005F6138">
        <w:rPr>
          <w:lang w:val="en-US" w:eastAsia="zh-CN"/>
        </w:rPr>
        <w:t>第</w:t>
      </w:r>
      <w:r w:rsidRPr="005F6138">
        <w:rPr>
          <w:lang w:val="en-US" w:eastAsia="zh-CN"/>
        </w:rPr>
        <w:t>1066</w:t>
      </w:r>
      <w:r w:rsidRPr="005F6138">
        <w:rPr>
          <w:lang w:val="en-US" w:eastAsia="zh-CN"/>
        </w:rPr>
        <w:t>号决议</w:t>
      </w:r>
      <w:r w:rsidRPr="005F6138">
        <w:rPr>
          <w:lang w:val="en-US" w:eastAsia="zh-CN"/>
        </w:rPr>
        <w:tab/>
      </w:r>
      <w:r w:rsidRPr="005F6138">
        <w:rPr>
          <w:lang w:eastAsia="zh-CN"/>
        </w:rPr>
        <w:t>1995</w:t>
      </w:r>
      <w:r w:rsidRPr="005F6138">
        <w:rPr>
          <w:rFonts w:hint="eastAsia"/>
          <w:lang w:eastAsia="zh-CN"/>
        </w:rPr>
        <w:t>年无线电通信全会（</w:t>
      </w:r>
      <w:r w:rsidRPr="005F6138">
        <w:rPr>
          <w:lang w:eastAsia="zh-CN"/>
        </w:rPr>
        <w:t>RA</w:t>
      </w:r>
      <w:r w:rsidRPr="005F6138">
        <w:rPr>
          <w:rFonts w:hint="eastAsia"/>
          <w:lang w:eastAsia="zh-CN"/>
        </w:rPr>
        <w:t>-</w:t>
      </w:r>
      <w:r w:rsidRPr="005F6138">
        <w:rPr>
          <w:lang w:eastAsia="zh-CN"/>
        </w:rPr>
        <w:t>95</w:t>
      </w:r>
      <w:r w:rsidRPr="005F6138">
        <w:rPr>
          <w:rFonts w:hint="eastAsia"/>
          <w:lang w:eastAsia="zh-CN"/>
        </w:rPr>
        <w:t>）</w:t>
      </w:r>
      <w:r w:rsidRPr="005F6138">
        <w:rPr>
          <w:lang w:val="en-US" w:eastAsia="zh-CN"/>
        </w:rPr>
        <w:tab/>
      </w:r>
      <w:r w:rsidR="005F6138">
        <w:rPr>
          <w:lang w:val="en-US" w:eastAsia="zh-CN"/>
        </w:rPr>
        <w:tab/>
      </w:r>
      <w:r w:rsidRPr="005F6138">
        <w:rPr>
          <w:lang w:val="en-US" w:eastAsia="zh-CN"/>
        </w:rPr>
        <w:t>1996</w:t>
      </w:r>
      <w:r w:rsidRPr="005F6138">
        <w:rPr>
          <w:rFonts w:hint="eastAsia"/>
          <w:lang w:val="en-US" w:eastAsia="zh-CN"/>
        </w:rPr>
        <w:t>年</w:t>
      </w:r>
    </w:p>
    <w:p w14:paraId="4827C09D" w14:textId="77777777" w:rsidR="006E3B9B" w:rsidRPr="005F6138" w:rsidRDefault="006E3B9B" w:rsidP="005F6138">
      <w:pPr>
        <w:pStyle w:val="Appendixref"/>
        <w:rPr>
          <w:lang w:val="en-US" w:eastAsia="zh-CN"/>
        </w:rPr>
      </w:pPr>
      <w:r w:rsidRPr="005F6138">
        <w:rPr>
          <w:lang w:val="en-US" w:eastAsia="zh-CN"/>
        </w:rPr>
        <w:t>第</w:t>
      </w:r>
      <w:r w:rsidRPr="005F6138">
        <w:rPr>
          <w:lang w:val="en-US" w:eastAsia="zh-CN"/>
        </w:rPr>
        <w:t>1067</w:t>
      </w:r>
      <w:r w:rsidRPr="005F6138">
        <w:rPr>
          <w:lang w:val="en-US" w:eastAsia="zh-CN"/>
        </w:rPr>
        <w:t>号决议</w:t>
      </w:r>
      <w:r w:rsidRPr="005F6138">
        <w:rPr>
          <w:lang w:val="en-US" w:eastAsia="zh-CN"/>
        </w:rPr>
        <w:tab/>
      </w:r>
      <w:r w:rsidRPr="005F6138">
        <w:rPr>
          <w:rFonts w:hint="eastAsia"/>
          <w:lang w:eastAsia="zh-CN"/>
        </w:rPr>
        <w:t>国际电信联盟</w:t>
      </w:r>
      <w:r w:rsidRPr="005F6138">
        <w:rPr>
          <w:lang w:eastAsia="zh-CN"/>
        </w:rPr>
        <w:t>1995</w:t>
      </w:r>
      <w:r w:rsidRPr="005F6138">
        <w:rPr>
          <w:rFonts w:hint="eastAsia"/>
          <w:lang w:eastAsia="zh-CN"/>
        </w:rPr>
        <w:t>年临时预算</w:t>
      </w:r>
      <w:r w:rsidRPr="005F6138">
        <w:rPr>
          <w:lang w:val="en-US" w:eastAsia="zh-CN"/>
        </w:rPr>
        <w:tab/>
      </w:r>
      <w:r w:rsidR="005F6138">
        <w:rPr>
          <w:lang w:val="en-US" w:eastAsia="zh-CN"/>
        </w:rPr>
        <w:tab/>
      </w:r>
      <w:r w:rsidRPr="005F6138">
        <w:rPr>
          <w:lang w:val="en-US" w:eastAsia="zh-CN"/>
        </w:rPr>
        <w:t>1994</w:t>
      </w:r>
      <w:r w:rsidRPr="005F6138">
        <w:rPr>
          <w:rFonts w:hint="eastAsia"/>
          <w:lang w:val="en-US" w:eastAsia="zh-CN"/>
        </w:rPr>
        <w:t>年</w:t>
      </w:r>
    </w:p>
    <w:p w14:paraId="4827C09E" w14:textId="77777777" w:rsidR="006E3B9B" w:rsidRPr="005F6138" w:rsidRDefault="006E3B9B" w:rsidP="005F6138">
      <w:pPr>
        <w:pStyle w:val="Appendixref"/>
        <w:rPr>
          <w:lang w:val="en-US" w:eastAsia="zh-CN"/>
        </w:rPr>
      </w:pPr>
      <w:r w:rsidRPr="005F6138">
        <w:rPr>
          <w:lang w:val="en-US" w:eastAsia="zh-CN"/>
        </w:rPr>
        <w:t>第</w:t>
      </w:r>
      <w:r w:rsidRPr="005F6138">
        <w:rPr>
          <w:lang w:val="en-US" w:eastAsia="zh-CN"/>
        </w:rPr>
        <w:t>1068</w:t>
      </w:r>
      <w:r w:rsidRPr="005F6138">
        <w:rPr>
          <w:lang w:val="en-US" w:eastAsia="zh-CN"/>
        </w:rPr>
        <w:t>号决议</w:t>
      </w:r>
      <w:r w:rsidRPr="005F6138">
        <w:rPr>
          <w:lang w:val="en-US" w:eastAsia="zh-CN"/>
        </w:rPr>
        <w:tab/>
      </w:r>
      <w:r w:rsidRPr="005F6138">
        <w:rPr>
          <w:rFonts w:hint="eastAsia"/>
          <w:lang w:eastAsia="zh-CN"/>
        </w:rPr>
        <w:t>秘书长办公室</w:t>
      </w:r>
      <w:r w:rsidRPr="005F6138">
        <w:rPr>
          <w:lang w:val="en-US" w:eastAsia="zh-CN"/>
        </w:rPr>
        <w:tab/>
      </w:r>
      <w:r w:rsidR="005F6138">
        <w:rPr>
          <w:lang w:val="en-US" w:eastAsia="zh-CN"/>
        </w:rPr>
        <w:tab/>
      </w:r>
      <w:r w:rsidRPr="005F6138">
        <w:rPr>
          <w:lang w:val="en-US" w:eastAsia="zh-CN"/>
        </w:rPr>
        <w:t>1995</w:t>
      </w:r>
      <w:r w:rsidRPr="005F6138">
        <w:rPr>
          <w:rFonts w:hint="eastAsia"/>
          <w:lang w:val="en-US" w:eastAsia="zh-CN"/>
        </w:rPr>
        <w:t>年</w:t>
      </w:r>
    </w:p>
    <w:p w14:paraId="4827C09F" w14:textId="77777777" w:rsidR="006E3B9B" w:rsidRPr="00091112" w:rsidRDefault="006E3B9B" w:rsidP="005F6138">
      <w:pPr>
        <w:pStyle w:val="Appendixref"/>
        <w:rPr>
          <w:lang w:val="en-US" w:eastAsia="zh-CN"/>
        </w:rPr>
      </w:pPr>
      <w:r w:rsidRPr="00091112">
        <w:rPr>
          <w:lang w:val="en-US" w:eastAsia="zh-CN"/>
        </w:rPr>
        <w:t>第</w:t>
      </w:r>
      <w:r w:rsidRPr="00091112">
        <w:rPr>
          <w:lang w:val="en-US" w:eastAsia="zh-CN"/>
        </w:rPr>
        <w:t>1069</w:t>
      </w:r>
      <w:r w:rsidRPr="00091112">
        <w:rPr>
          <w:lang w:val="en-US" w:eastAsia="zh-CN"/>
        </w:rPr>
        <w:t>号决议</w:t>
      </w:r>
      <w:r w:rsidRPr="00091112">
        <w:rPr>
          <w:lang w:val="en-US" w:eastAsia="zh-CN"/>
        </w:rPr>
        <w:tab/>
      </w:r>
      <w:r w:rsidRPr="00091112">
        <w:rPr>
          <w:rFonts w:hint="eastAsia"/>
          <w:lang w:val="en-US" w:eastAsia="zh-CN"/>
        </w:rPr>
        <w:t>（</w:t>
      </w:r>
      <w:r w:rsidRPr="00091112">
        <w:rPr>
          <w:rFonts w:hint="eastAsia"/>
          <w:lang w:eastAsia="zh-CN"/>
        </w:rPr>
        <w:t>未使用</w:t>
      </w:r>
      <w:r w:rsidRPr="00091112">
        <w:rPr>
          <w:rFonts w:hint="eastAsia"/>
          <w:lang w:val="en-US" w:eastAsia="zh-CN"/>
        </w:rPr>
        <w:t>）</w:t>
      </w:r>
      <w:r w:rsidRPr="005F6138">
        <w:rPr>
          <w:lang w:val="en-US" w:eastAsia="zh-CN"/>
        </w:rPr>
        <w:tab/>
      </w:r>
      <w:r w:rsidR="00091112">
        <w:rPr>
          <w:lang w:val="en-US" w:eastAsia="zh-CN"/>
        </w:rPr>
        <w:tab/>
        <w:t>–      </w:t>
      </w:r>
    </w:p>
    <w:p w14:paraId="4827C0A0" w14:textId="77777777" w:rsidR="00091112" w:rsidRDefault="00091112">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4827C0A1" w14:textId="77777777" w:rsidR="006E3B9B" w:rsidRPr="006E3B9B" w:rsidRDefault="006E3B9B" w:rsidP="003E11A1">
      <w:pPr>
        <w:pStyle w:val="Reftitle"/>
        <w:rPr>
          <w:lang w:val="en-US" w:eastAsia="zh-CN"/>
        </w:rPr>
      </w:pPr>
      <w:r w:rsidRPr="006E3B9B">
        <w:rPr>
          <w:lang w:eastAsia="zh-CN"/>
        </w:rPr>
        <w:lastRenderedPageBreak/>
        <w:t>1995</w:t>
      </w:r>
      <w:r w:rsidRPr="006E3B9B">
        <w:rPr>
          <w:rFonts w:hint="eastAsia"/>
          <w:lang w:eastAsia="zh-CN"/>
        </w:rPr>
        <w:t>年会议（开幕会议，</w:t>
      </w:r>
      <w:r w:rsidRPr="006E3B9B">
        <w:rPr>
          <w:lang w:eastAsia="zh-CN"/>
        </w:rPr>
        <w:t>1994</w:t>
      </w:r>
      <w:r w:rsidRPr="006E3B9B">
        <w:rPr>
          <w:rFonts w:hint="eastAsia"/>
          <w:lang w:eastAsia="zh-CN"/>
        </w:rPr>
        <w:t>年</w:t>
      </w:r>
      <w:r w:rsidRPr="006E3B9B">
        <w:rPr>
          <w:lang w:eastAsia="zh-CN"/>
        </w:rPr>
        <w:t>10</w:t>
      </w:r>
      <w:r w:rsidRPr="006E3B9B">
        <w:rPr>
          <w:rFonts w:hint="eastAsia"/>
          <w:lang w:eastAsia="zh-CN"/>
        </w:rPr>
        <w:t>月</w:t>
      </w:r>
      <w:r w:rsidRPr="006E3B9B">
        <w:rPr>
          <w:lang w:eastAsia="zh-CN"/>
        </w:rPr>
        <w:t>14</w:t>
      </w:r>
      <w:r w:rsidRPr="006E3B9B">
        <w:rPr>
          <w:rFonts w:hint="eastAsia"/>
          <w:lang w:eastAsia="zh-CN"/>
        </w:rPr>
        <w:t>日，京都）</w:t>
      </w:r>
    </w:p>
    <w:p w14:paraId="4827C0A2" w14:textId="77777777" w:rsidR="006E3B9B" w:rsidRPr="005F6138" w:rsidRDefault="006E3B9B" w:rsidP="005F6138">
      <w:pPr>
        <w:pStyle w:val="Appendixref"/>
        <w:rPr>
          <w:lang w:val="en-US" w:eastAsia="zh-CN"/>
        </w:rPr>
      </w:pPr>
      <w:r w:rsidRPr="005F6138">
        <w:rPr>
          <w:lang w:val="en-US" w:eastAsia="zh-CN"/>
        </w:rPr>
        <w:t>第</w:t>
      </w:r>
      <w:r w:rsidRPr="005F6138">
        <w:rPr>
          <w:lang w:val="en-US" w:eastAsia="zh-CN"/>
        </w:rPr>
        <w:t>1070</w:t>
      </w:r>
      <w:r w:rsidRPr="005F6138">
        <w:rPr>
          <w:lang w:val="en-US" w:eastAsia="zh-CN"/>
        </w:rPr>
        <w:t>号决议</w:t>
      </w:r>
      <w:r w:rsidRPr="005F6138">
        <w:rPr>
          <w:lang w:val="en-US" w:eastAsia="zh-CN"/>
        </w:rPr>
        <w:tab/>
      </w:r>
      <w:r w:rsidRPr="005F6138">
        <w:rPr>
          <w:rFonts w:hint="eastAsia"/>
          <w:lang w:eastAsia="zh-CN"/>
        </w:rPr>
        <w:t>国际电联</w:t>
      </w:r>
      <w:r w:rsidRPr="005F6138">
        <w:rPr>
          <w:lang w:eastAsia="zh-CN"/>
        </w:rPr>
        <w:t>1995</w:t>
      </w:r>
      <w:r w:rsidRPr="005F6138">
        <w:rPr>
          <w:rFonts w:hint="eastAsia"/>
          <w:lang w:eastAsia="zh-CN"/>
        </w:rPr>
        <w:t>年预算</w:t>
      </w:r>
      <w:r w:rsidRPr="005F6138">
        <w:rPr>
          <w:lang w:val="en-US" w:eastAsia="zh-CN"/>
        </w:rPr>
        <w:tab/>
      </w:r>
      <w:r w:rsidR="005F6138">
        <w:rPr>
          <w:lang w:val="en-US" w:eastAsia="zh-CN"/>
        </w:rPr>
        <w:tab/>
      </w:r>
      <w:r w:rsidRPr="005F6138">
        <w:rPr>
          <w:lang w:val="en-US" w:eastAsia="zh-CN"/>
        </w:rPr>
        <w:t>1996</w:t>
      </w:r>
      <w:r w:rsidRPr="005F6138">
        <w:rPr>
          <w:rFonts w:hint="eastAsia"/>
          <w:lang w:val="en-US" w:eastAsia="zh-CN"/>
        </w:rPr>
        <w:t>年</w:t>
      </w:r>
    </w:p>
    <w:p w14:paraId="4827C0A3" w14:textId="77777777" w:rsidR="006E3B9B" w:rsidRPr="006E3B9B" w:rsidRDefault="006E3B9B" w:rsidP="003E11A1">
      <w:pPr>
        <w:pStyle w:val="Reftitle"/>
        <w:rPr>
          <w:lang w:val="en-US" w:eastAsia="zh-CN"/>
        </w:rPr>
      </w:pPr>
      <w:r w:rsidRPr="006E3B9B">
        <w:rPr>
          <w:lang w:eastAsia="zh-CN"/>
        </w:rPr>
        <w:t>1995</w:t>
      </w:r>
      <w:r w:rsidRPr="006E3B9B">
        <w:rPr>
          <w:rFonts w:hint="eastAsia"/>
          <w:lang w:eastAsia="zh-CN"/>
        </w:rPr>
        <w:t>年会议（</w:t>
      </w:r>
      <w:r w:rsidRPr="006E3B9B">
        <w:rPr>
          <w:lang w:eastAsia="zh-CN"/>
        </w:rPr>
        <w:t>1995</w:t>
      </w:r>
      <w:r w:rsidRPr="006E3B9B">
        <w:rPr>
          <w:rFonts w:hint="eastAsia"/>
          <w:lang w:eastAsia="zh-CN"/>
        </w:rPr>
        <w:t>年</w:t>
      </w:r>
      <w:r w:rsidRPr="006E3B9B">
        <w:rPr>
          <w:lang w:eastAsia="zh-CN"/>
        </w:rPr>
        <w:t>6</w:t>
      </w:r>
      <w:r w:rsidRPr="006E3B9B">
        <w:rPr>
          <w:rFonts w:hint="eastAsia"/>
          <w:lang w:eastAsia="zh-CN"/>
        </w:rPr>
        <w:t>月）</w:t>
      </w:r>
    </w:p>
    <w:p w14:paraId="4827C0A4"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1071</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1996</w:t>
      </w:r>
      <w:r w:rsidRPr="006E3B9B">
        <w:rPr>
          <w:rFonts w:hint="eastAsia"/>
          <w:lang w:eastAsia="zh-CN"/>
        </w:rPr>
        <w:t>年</w:t>
      </w:r>
      <w:r w:rsidRPr="006E3B9B">
        <w:rPr>
          <w:rFonts w:hint="eastAsia"/>
          <w:lang w:eastAsia="zh-CN"/>
        </w:rPr>
        <w:t>-</w:t>
      </w:r>
      <w:r w:rsidRPr="006E3B9B">
        <w:rPr>
          <w:lang w:eastAsia="zh-CN"/>
        </w:rPr>
        <w:t>1997</w:t>
      </w:r>
      <w:r w:rsidRPr="006E3B9B">
        <w:rPr>
          <w:rFonts w:hint="eastAsia"/>
          <w:lang w:eastAsia="zh-CN"/>
        </w:rPr>
        <w:t>年双年度预算</w:t>
      </w:r>
      <w:r w:rsidRPr="006E3B9B">
        <w:rPr>
          <w:lang w:val="en-US" w:eastAsia="zh-CN"/>
        </w:rPr>
        <w:tab/>
      </w:r>
      <w:r w:rsidR="005F6138">
        <w:rPr>
          <w:lang w:val="en-US" w:eastAsia="zh-CN"/>
        </w:rPr>
        <w:tab/>
      </w:r>
      <w:r w:rsidRPr="006E3B9B">
        <w:rPr>
          <w:lang w:val="en-US" w:eastAsia="zh-CN"/>
        </w:rPr>
        <w:t>1998</w:t>
      </w:r>
      <w:r w:rsidRPr="006E3B9B">
        <w:rPr>
          <w:rFonts w:hint="eastAsia"/>
          <w:lang w:val="en-US" w:eastAsia="zh-CN"/>
        </w:rPr>
        <w:t>年</w:t>
      </w:r>
    </w:p>
    <w:p w14:paraId="4827C0A5"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1072</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1994</w:t>
      </w:r>
      <w:r w:rsidRPr="006E3B9B">
        <w:rPr>
          <w:rFonts w:hint="eastAsia"/>
          <w:lang w:eastAsia="zh-CN"/>
        </w:rPr>
        <w:t>年财务工作报告</w:t>
      </w:r>
      <w:r w:rsidRPr="006E3B9B">
        <w:rPr>
          <w:lang w:val="en-US" w:eastAsia="zh-CN"/>
        </w:rPr>
        <w:tab/>
      </w:r>
      <w:r w:rsidR="005F6138">
        <w:rPr>
          <w:lang w:val="en-US" w:eastAsia="zh-CN"/>
        </w:rPr>
        <w:tab/>
      </w:r>
      <w:r w:rsidRPr="006E3B9B">
        <w:rPr>
          <w:lang w:val="en-US" w:eastAsia="zh-CN"/>
        </w:rPr>
        <w:t>1996</w:t>
      </w:r>
      <w:r w:rsidRPr="006E3B9B">
        <w:rPr>
          <w:rFonts w:hint="eastAsia"/>
          <w:lang w:val="en-US" w:eastAsia="zh-CN"/>
        </w:rPr>
        <w:t>年</w:t>
      </w:r>
    </w:p>
    <w:p w14:paraId="4827C0A6"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1073</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1994</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1</w:t>
      </w:r>
      <w:r w:rsidRPr="006E3B9B">
        <w:rPr>
          <w:rFonts w:hint="eastAsia"/>
          <w:lang w:eastAsia="zh-CN"/>
        </w:rPr>
        <w:t>日至</w:t>
      </w:r>
      <w:r w:rsidRPr="006E3B9B">
        <w:rPr>
          <w:lang w:eastAsia="zh-CN"/>
        </w:rPr>
        <w:t>12</w:t>
      </w:r>
      <w:r w:rsidRPr="006E3B9B">
        <w:rPr>
          <w:rFonts w:hint="eastAsia"/>
          <w:lang w:eastAsia="zh-CN"/>
        </w:rPr>
        <w:t>月</w:t>
      </w:r>
      <w:r w:rsidRPr="006E3B9B">
        <w:rPr>
          <w:lang w:eastAsia="zh-CN"/>
        </w:rPr>
        <w:t>31</w:t>
      </w:r>
      <w:r w:rsidRPr="006E3B9B">
        <w:rPr>
          <w:rFonts w:hint="eastAsia"/>
          <w:lang w:eastAsia="zh-CN"/>
        </w:rPr>
        <w:t>日账目的外部审计</w:t>
      </w:r>
      <w:r w:rsidRPr="006E3B9B">
        <w:rPr>
          <w:lang w:val="en-US" w:eastAsia="zh-CN"/>
        </w:rPr>
        <w:tab/>
      </w:r>
      <w:r w:rsidR="005F6138">
        <w:rPr>
          <w:lang w:val="en-US" w:eastAsia="zh-CN"/>
        </w:rPr>
        <w:tab/>
      </w:r>
      <w:r w:rsidRPr="006E3B9B">
        <w:rPr>
          <w:lang w:val="en-US" w:eastAsia="zh-CN"/>
        </w:rPr>
        <w:t>1996</w:t>
      </w:r>
      <w:r w:rsidRPr="006E3B9B">
        <w:rPr>
          <w:rFonts w:hint="eastAsia"/>
          <w:lang w:val="en-US" w:eastAsia="zh-CN"/>
        </w:rPr>
        <w:t>年</w:t>
      </w:r>
    </w:p>
    <w:p w14:paraId="4827C0A7"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1074</w:t>
      </w:r>
      <w:r w:rsidRPr="006E3B9B">
        <w:rPr>
          <w:lang w:val="en-US" w:eastAsia="zh-CN"/>
        </w:rPr>
        <w:t>号决议</w:t>
      </w:r>
      <w:r w:rsidRPr="006E3B9B">
        <w:rPr>
          <w:lang w:val="en-US" w:eastAsia="zh-CN"/>
        </w:rPr>
        <w:tab/>
      </w:r>
      <w:r w:rsidRPr="006E3B9B">
        <w:rPr>
          <w:rFonts w:hint="eastAsia"/>
          <w:lang w:eastAsia="zh-CN"/>
        </w:rPr>
        <w:t>利息专账</w:t>
      </w:r>
      <w:r w:rsidRPr="006E3B9B">
        <w:rPr>
          <w:lang w:val="en-US" w:eastAsia="zh-CN"/>
        </w:rPr>
        <w:tab/>
      </w:r>
      <w:r w:rsidR="005F6138">
        <w:rPr>
          <w:lang w:val="en-US" w:eastAsia="zh-CN"/>
        </w:rPr>
        <w:tab/>
      </w:r>
      <w:r w:rsidRPr="006E3B9B">
        <w:rPr>
          <w:lang w:val="en-US" w:eastAsia="zh-CN"/>
        </w:rPr>
        <w:t>1996</w:t>
      </w:r>
      <w:r w:rsidRPr="006E3B9B">
        <w:rPr>
          <w:rFonts w:hint="eastAsia"/>
          <w:lang w:val="en-US" w:eastAsia="zh-CN"/>
        </w:rPr>
        <w:t>年</w:t>
      </w:r>
    </w:p>
    <w:p w14:paraId="4827C0A8"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1075</w:t>
      </w:r>
      <w:r w:rsidRPr="006E3B9B">
        <w:rPr>
          <w:lang w:val="en-US" w:eastAsia="zh-CN"/>
        </w:rPr>
        <w:t>号决议</w:t>
      </w:r>
      <w:r w:rsidRPr="006E3B9B">
        <w:rPr>
          <w:lang w:val="en-US" w:eastAsia="zh-CN"/>
        </w:rPr>
        <w:tab/>
      </w:r>
      <w:r w:rsidRPr="006E3B9B">
        <w:rPr>
          <w:rFonts w:hint="eastAsia"/>
          <w:lang w:eastAsia="zh-CN"/>
        </w:rPr>
        <w:t>聘用条件</w:t>
      </w:r>
      <w:r w:rsidRPr="006E3B9B">
        <w:rPr>
          <w:lang w:val="en-US" w:eastAsia="zh-CN"/>
        </w:rPr>
        <w:tab/>
      </w:r>
      <w:r w:rsidR="005F6138">
        <w:rPr>
          <w:lang w:val="en-US" w:eastAsia="zh-CN"/>
        </w:rPr>
        <w:tab/>
      </w:r>
      <w:r w:rsidRPr="006E3B9B">
        <w:rPr>
          <w:lang w:val="en-US" w:eastAsia="zh-CN"/>
        </w:rPr>
        <w:t>1998</w:t>
      </w:r>
      <w:r w:rsidRPr="006E3B9B">
        <w:rPr>
          <w:rFonts w:hint="eastAsia"/>
          <w:lang w:val="en-US" w:eastAsia="zh-CN"/>
        </w:rPr>
        <w:t>年</w:t>
      </w:r>
    </w:p>
    <w:p w14:paraId="4827C0A9"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1076</w:t>
      </w:r>
      <w:r w:rsidRPr="006E3B9B">
        <w:rPr>
          <w:lang w:val="en-US" w:eastAsia="zh-CN"/>
        </w:rPr>
        <w:t>号决议</w:t>
      </w:r>
      <w:r w:rsidRPr="006E3B9B">
        <w:rPr>
          <w:lang w:val="en-US" w:eastAsia="zh-CN"/>
        </w:rPr>
        <w:tab/>
      </w:r>
      <w:r w:rsidRPr="006E3B9B">
        <w:rPr>
          <w:rFonts w:hint="eastAsia"/>
          <w:lang w:eastAsia="zh-CN"/>
        </w:rPr>
        <w:t>适用于选任官员的《人事规则》</w:t>
      </w:r>
      <w:r w:rsidRPr="006E3B9B">
        <w:rPr>
          <w:lang w:val="en-US" w:eastAsia="zh-CN"/>
        </w:rPr>
        <w:tab/>
      </w:r>
      <w:r w:rsidR="005F6138">
        <w:rPr>
          <w:lang w:val="en-US" w:eastAsia="zh-CN"/>
        </w:rPr>
        <w:tab/>
      </w:r>
      <w:r w:rsidRPr="006E3B9B">
        <w:rPr>
          <w:lang w:val="en-US" w:eastAsia="zh-CN"/>
        </w:rPr>
        <w:t>2002</w:t>
      </w:r>
      <w:r w:rsidRPr="006E3B9B">
        <w:rPr>
          <w:rFonts w:hint="eastAsia"/>
          <w:lang w:val="en-US" w:eastAsia="zh-CN"/>
        </w:rPr>
        <w:t>年</w:t>
      </w:r>
    </w:p>
    <w:p w14:paraId="4827C0AA"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1077</w:t>
      </w:r>
      <w:r w:rsidRPr="006E3B9B">
        <w:rPr>
          <w:lang w:val="en-US" w:eastAsia="zh-CN"/>
        </w:rPr>
        <w:t>号决议</w:t>
      </w:r>
      <w:r w:rsidRPr="006E3B9B">
        <w:rPr>
          <w:lang w:val="en-US" w:eastAsia="zh-CN"/>
        </w:rPr>
        <w:tab/>
      </w:r>
      <w:r w:rsidRPr="006E3B9B">
        <w:rPr>
          <w:rFonts w:hint="eastAsia"/>
          <w:lang w:eastAsia="zh-CN"/>
        </w:rPr>
        <w:t>国际电联委任职员参加竞选或当选为选任官员</w:t>
      </w:r>
      <w:r w:rsidRPr="006E3B9B">
        <w:rPr>
          <w:lang w:val="en-US" w:eastAsia="zh-CN"/>
        </w:rPr>
        <w:tab/>
      </w:r>
      <w:r w:rsidR="005F6138">
        <w:rPr>
          <w:lang w:val="en-US" w:eastAsia="zh-CN"/>
        </w:rPr>
        <w:tab/>
      </w:r>
      <w:r w:rsidRPr="006E3B9B">
        <w:rPr>
          <w:lang w:val="en-US" w:eastAsia="zh-CN"/>
        </w:rPr>
        <w:t>2002</w:t>
      </w:r>
      <w:r w:rsidRPr="006E3B9B">
        <w:rPr>
          <w:rFonts w:hint="eastAsia"/>
          <w:lang w:val="en-US" w:eastAsia="zh-CN"/>
        </w:rPr>
        <w:t>年</w:t>
      </w:r>
    </w:p>
    <w:p w14:paraId="4827C0AB"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1078</w:t>
      </w:r>
      <w:r w:rsidRPr="006E3B9B">
        <w:rPr>
          <w:lang w:val="en-US" w:eastAsia="zh-CN"/>
        </w:rPr>
        <w:t>号决议</w:t>
      </w:r>
      <w:r w:rsidRPr="006E3B9B">
        <w:rPr>
          <w:lang w:val="en-US" w:eastAsia="zh-CN"/>
        </w:rPr>
        <w:tab/>
      </w:r>
      <w:r w:rsidRPr="006E3B9B">
        <w:rPr>
          <w:rFonts w:hint="eastAsia"/>
          <w:lang w:eastAsia="zh-CN"/>
        </w:rPr>
        <w:t>国际电联《职员退休金和福利基金规则》修正案</w:t>
      </w:r>
      <w:r w:rsidRPr="006E3B9B">
        <w:rPr>
          <w:lang w:val="en-US" w:eastAsia="zh-CN"/>
        </w:rPr>
        <w:tab/>
      </w:r>
      <w:r w:rsidR="005F6138">
        <w:rPr>
          <w:lang w:val="en-US" w:eastAsia="zh-CN"/>
        </w:rPr>
        <w:tab/>
      </w:r>
      <w:r w:rsidRPr="006E3B9B">
        <w:rPr>
          <w:lang w:val="en-US" w:eastAsia="zh-CN"/>
        </w:rPr>
        <w:t>2</w:t>
      </w:r>
      <w:r w:rsidRPr="006E3B9B">
        <w:rPr>
          <w:rFonts w:hint="eastAsia"/>
          <w:lang w:val="en-US" w:eastAsia="zh-CN"/>
        </w:rPr>
        <w:t>00</w:t>
      </w:r>
      <w:r w:rsidRPr="006E3B9B">
        <w:rPr>
          <w:lang w:val="en-US" w:eastAsia="zh-CN"/>
        </w:rPr>
        <w:t>3</w:t>
      </w:r>
      <w:r w:rsidRPr="006E3B9B">
        <w:rPr>
          <w:rFonts w:hint="eastAsia"/>
          <w:lang w:val="en-US" w:eastAsia="zh-CN"/>
        </w:rPr>
        <w:t>年</w:t>
      </w:r>
    </w:p>
    <w:p w14:paraId="4827C0AC"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1079</w:t>
      </w:r>
      <w:r w:rsidRPr="006E3B9B">
        <w:rPr>
          <w:lang w:val="en-US" w:eastAsia="zh-CN"/>
        </w:rPr>
        <w:t>号决议</w:t>
      </w:r>
      <w:r w:rsidRPr="006E3B9B">
        <w:rPr>
          <w:lang w:val="en-US" w:eastAsia="zh-CN"/>
        </w:rPr>
        <w:tab/>
      </w:r>
      <w:r w:rsidRPr="006E3B9B">
        <w:rPr>
          <w:rFonts w:hint="eastAsia"/>
          <w:lang w:eastAsia="zh-CN"/>
        </w:rPr>
        <w:t>国际电联职员养恤金委员会的委员</w:t>
      </w:r>
      <w:r w:rsidR="005F6138">
        <w:rPr>
          <w:lang w:eastAsia="zh-CN"/>
        </w:rPr>
        <w:tab/>
      </w:r>
      <w:r w:rsidRPr="006E3B9B">
        <w:rPr>
          <w:lang w:val="en-US" w:eastAsia="zh-CN"/>
        </w:rPr>
        <w:tab/>
        <w:t>1997</w:t>
      </w:r>
      <w:r w:rsidRPr="006E3B9B">
        <w:rPr>
          <w:rFonts w:hint="eastAsia"/>
          <w:lang w:val="en-US" w:eastAsia="zh-CN"/>
        </w:rPr>
        <w:t>年</w:t>
      </w:r>
    </w:p>
    <w:p w14:paraId="4827C0AD"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1080</w:t>
      </w:r>
      <w:r w:rsidRPr="006E3B9B">
        <w:rPr>
          <w:lang w:val="en-US" w:eastAsia="zh-CN"/>
        </w:rPr>
        <w:t>号决议</w:t>
      </w:r>
      <w:r w:rsidRPr="006E3B9B">
        <w:rPr>
          <w:lang w:val="en-US" w:eastAsia="zh-CN"/>
        </w:rPr>
        <w:tab/>
      </w:r>
      <w:r w:rsidRPr="006E3B9B">
        <w:rPr>
          <w:rFonts w:hint="eastAsia"/>
          <w:lang w:eastAsia="zh-CN"/>
        </w:rPr>
        <w:t>受控可续任期（</w:t>
      </w:r>
      <w:r w:rsidRPr="006E3B9B">
        <w:rPr>
          <w:lang w:eastAsia="zh-CN"/>
        </w:rPr>
        <w:t>MRT</w:t>
      </w:r>
      <w:r w:rsidRPr="006E3B9B">
        <w:rPr>
          <w:rFonts w:hint="eastAsia"/>
          <w:lang w:eastAsia="zh-CN"/>
        </w:rPr>
        <w:t>）的任命</w:t>
      </w:r>
      <w:r w:rsidRPr="006E3B9B">
        <w:rPr>
          <w:lang w:val="en-US" w:eastAsia="zh-CN"/>
        </w:rPr>
        <w:tab/>
      </w:r>
      <w:r w:rsidR="005F6138">
        <w:rPr>
          <w:lang w:val="en-US" w:eastAsia="zh-CN"/>
        </w:rPr>
        <w:tab/>
      </w:r>
      <w:r w:rsidRPr="006E3B9B">
        <w:rPr>
          <w:lang w:val="en-US" w:eastAsia="zh-CN"/>
        </w:rPr>
        <w:t>2002</w:t>
      </w:r>
      <w:r w:rsidRPr="006E3B9B">
        <w:rPr>
          <w:rFonts w:hint="eastAsia"/>
          <w:lang w:val="en-US" w:eastAsia="zh-CN"/>
        </w:rPr>
        <w:t>年</w:t>
      </w:r>
    </w:p>
    <w:p w14:paraId="4827C0AE"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1081</w:t>
      </w:r>
      <w:r w:rsidRPr="006E3B9B">
        <w:rPr>
          <w:lang w:val="en-US" w:eastAsia="zh-CN"/>
        </w:rPr>
        <w:t>号决议</w:t>
      </w:r>
      <w:r w:rsidRPr="006E3B9B">
        <w:rPr>
          <w:lang w:val="en-US" w:eastAsia="zh-CN"/>
        </w:rPr>
        <w:tab/>
      </w:r>
      <w:r w:rsidRPr="006E3B9B">
        <w:rPr>
          <w:lang w:eastAsia="zh-CN"/>
        </w:rPr>
        <w:t>WorldTel</w:t>
      </w:r>
      <w:r w:rsidRPr="006E3B9B">
        <w:rPr>
          <w:lang w:val="en-US" w:eastAsia="zh-CN"/>
        </w:rPr>
        <w:tab/>
      </w:r>
      <w:r w:rsidR="005F6138">
        <w:rPr>
          <w:lang w:val="en-US" w:eastAsia="zh-CN"/>
        </w:rPr>
        <w:tab/>
      </w:r>
      <w:r w:rsidR="00950978" w:rsidRPr="006E3B9B">
        <w:rPr>
          <w:lang w:val="en-US" w:eastAsia="zh-CN"/>
        </w:rPr>
        <w:t>20</w:t>
      </w:r>
      <w:r w:rsidR="00950978">
        <w:rPr>
          <w:lang w:val="en-US" w:eastAsia="zh-CN"/>
        </w:rPr>
        <w:t>14</w:t>
      </w:r>
      <w:r w:rsidR="00950978" w:rsidRPr="006E3B9B">
        <w:rPr>
          <w:rFonts w:hint="eastAsia"/>
          <w:lang w:val="en-US" w:eastAsia="zh-CN"/>
        </w:rPr>
        <w:t>年</w:t>
      </w:r>
    </w:p>
    <w:p w14:paraId="4827C0AF"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1082</w:t>
      </w:r>
      <w:r w:rsidRPr="006E3B9B">
        <w:rPr>
          <w:lang w:val="en-US" w:eastAsia="zh-CN"/>
        </w:rPr>
        <w:t>号决议</w:t>
      </w:r>
      <w:r w:rsidRPr="006E3B9B">
        <w:rPr>
          <w:lang w:val="en-US" w:eastAsia="zh-CN"/>
        </w:rPr>
        <w:tab/>
      </w:r>
      <w:r w:rsidRPr="006E3B9B">
        <w:rPr>
          <w:rFonts w:hint="eastAsia"/>
          <w:lang w:eastAsia="zh-CN"/>
        </w:rPr>
        <w:t>世界电信标准化大会（</w:t>
      </w:r>
      <w:r w:rsidRPr="006E3B9B">
        <w:rPr>
          <w:lang w:eastAsia="zh-CN"/>
        </w:rPr>
        <w:t>WTSC-96</w:t>
      </w:r>
      <w:r w:rsidRPr="006E3B9B">
        <w:rPr>
          <w:rFonts w:hint="eastAsia"/>
          <w:lang w:eastAsia="zh-CN"/>
        </w:rPr>
        <w:t>）</w:t>
      </w:r>
      <w:r w:rsidRPr="006E3B9B">
        <w:rPr>
          <w:lang w:val="en-US" w:eastAsia="zh-CN"/>
        </w:rPr>
        <w:tab/>
      </w:r>
      <w:r w:rsidR="005F6138">
        <w:rPr>
          <w:lang w:val="en-US" w:eastAsia="zh-CN"/>
        </w:rPr>
        <w:tab/>
      </w:r>
      <w:r w:rsidRPr="006E3B9B">
        <w:rPr>
          <w:lang w:val="en-US" w:eastAsia="zh-CN"/>
        </w:rPr>
        <w:t>1997</w:t>
      </w:r>
      <w:r w:rsidRPr="006E3B9B">
        <w:rPr>
          <w:rFonts w:hint="eastAsia"/>
          <w:lang w:val="en-US" w:eastAsia="zh-CN"/>
        </w:rPr>
        <w:t>年</w:t>
      </w:r>
    </w:p>
    <w:p w14:paraId="4827C0B0"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1083</w:t>
      </w:r>
      <w:r w:rsidRPr="006E3B9B">
        <w:rPr>
          <w:lang w:val="en-US" w:eastAsia="zh-CN"/>
        </w:rPr>
        <w:t>号决议</w:t>
      </w:r>
      <w:r w:rsidRPr="006E3B9B">
        <w:rPr>
          <w:lang w:val="en-US" w:eastAsia="zh-CN"/>
        </w:rPr>
        <w:tab/>
      </w:r>
      <w:r w:rsidRPr="006E3B9B">
        <w:rPr>
          <w:rFonts w:hint="eastAsia"/>
          <w:lang w:eastAsia="zh-CN"/>
        </w:rPr>
        <w:t>世界电信政策论坛</w:t>
      </w:r>
      <w:r w:rsidRPr="006E3B9B">
        <w:rPr>
          <w:lang w:val="en-US" w:eastAsia="zh-CN"/>
        </w:rPr>
        <w:tab/>
      </w:r>
      <w:r w:rsidR="005F6138">
        <w:rPr>
          <w:lang w:val="en-US" w:eastAsia="zh-CN"/>
        </w:rPr>
        <w:tab/>
      </w:r>
      <w:r w:rsidRPr="006E3B9B">
        <w:rPr>
          <w:lang w:val="en-US" w:eastAsia="zh-CN"/>
        </w:rPr>
        <w:t>1998</w:t>
      </w:r>
      <w:r w:rsidRPr="006E3B9B">
        <w:rPr>
          <w:rFonts w:hint="eastAsia"/>
          <w:lang w:val="en-US" w:eastAsia="zh-CN"/>
        </w:rPr>
        <w:t>年</w:t>
      </w:r>
    </w:p>
    <w:p w14:paraId="4827C0B1"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1084</w:t>
      </w:r>
      <w:r w:rsidRPr="006E3B9B">
        <w:rPr>
          <w:lang w:val="en-US" w:eastAsia="zh-CN"/>
        </w:rPr>
        <w:t>号决议</w:t>
      </w:r>
      <w:r w:rsidRPr="006E3B9B">
        <w:rPr>
          <w:lang w:val="en-US" w:eastAsia="zh-CN"/>
        </w:rPr>
        <w:tab/>
      </w:r>
      <w:r w:rsidRPr="006E3B9B">
        <w:rPr>
          <w:lang w:eastAsia="zh-CN"/>
        </w:rPr>
        <w:t>1996</w:t>
      </w:r>
      <w:r w:rsidRPr="006E3B9B">
        <w:rPr>
          <w:rFonts w:hint="eastAsia"/>
          <w:lang w:eastAsia="zh-CN"/>
        </w:rPr>
        <w:t>年非洲区域区域性电信发展大会</w:t>
      </w:r>
      <w:r w:rsidRPr="006E3B9B">
        <w:rPr>
          <w:lang w:val="en-US" w:eastAsia="zh-CN"/>
        </w:rPr>
        <w:tab/>
      </w:r>
      <w:r w:rsidR="005F6138">
        <w:rPr>
          <w:lang w:val="en-US" w:eastAsia="zh-CN"/>
        </w:rPr>
        <w:tab/>
      </w:r>
      <w:r w:rsidRPr="006E3B9B">
        <w:rPr>
          <w:lang w:val="en-US" w:eastAsia="zh-CN"/>
        </w:rPr>
        <w:t>1997</w:t>
      </w:r>
      <w:r w:rsidRPr="006E3B9B">
        <w:rPr>
          <w:rFonts w:hint="eastAsia"/>
          <w:lang w:val="en-US" w:eastAsia="zh-CN"/>
        </w:rPr>
        <w:t>年</w:t>
      </w:r>
    </w:p>
    <w:p w14:paraId="4827C0B2"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1085</w:t>
      </w:r>
      <w:r w:rsidRPr="006E3B9B">
        <w:rPr>
          <w:lang w:val="en-US" w:eastAsia="zh-CN"/>
        </w:rPr>
        <w:t>号决议</w:t>
      </w:r>
      <w:r w:rsidRPr="006E3B9B">
        <w:rPr>
          <w:lang w:val="en-US" w:eastAsia="zh-CN"/>
        </w:rPr>
        <w:tab/>
      </w:r>
      <w:r w:rsidRPr="006E3B9B">
        <w:rPr>
          <w:rFonts w:hint="eastAsia"/>
          <w:lang w:eastAsia="zh-CN"/>
        </w:rPr>
        <w:t>1996</w:t>
      </w:r>
      <w:r w:rsidRPr="006E3B9B">
        <w:rPr>
          <w:rFonts w:hint="eastAsia"/>
          <w:lang w:eastAsia="zh-CN"/>
        </w:rPr>
        <w:t>年阿拉伯区域区域性电信发展大会</w:t>
      </w:r>
      <w:r w:rsidRPr="006E3B9B">
        <w:rPr>
          <w:lang w:val="en-US" w:eastAsia="zh-CN"/>
        </w:rPr>
        <w:tab/>
      </w:r>
      <w:r w:rsidR="005F6138">
        <w:rPr>
          <w:lang w:val="en-US" w:eastAsia="zh-CN"/>
        </w:rPr>
        <w:tab/>
      </w:r>
      <w:r w:rsidRPr="006E3B9B">
        <w:rPr>
          <w:lang w:val="en-US" w:eastAsia="zh-CN"/>
        </w:rPr>
        <w:t>1997</w:t>
      </w:r>
      <w:r w:rsidRPr="006E3B9B">
        <w:rPr>
          <w:rFonts w:hint="eastAsia"/>
          <w:lang w:val="en-US" w:eastAsia="zh-CN"/>
        </w:rPr>
        <w:t>年</w:t>
      </w:r>
    </w:p>
    <w:p w14:paraId="4827C0B3" w14:textId="77777777" w:rsidR="006E3B9B" w:rsidRPr="006E3B9B" w:rsidRDefault="006E3B9B" w:rsidP="003E11A1">
      <w:pPr>
        <w:pStyle w:val="Reftitle"/>
        <w:rPr>
          <w:lang w:eastAsia="zh-CN"/>
        </w:rPr>
      </w:pPr>
      <w:r w:rsidRPr="006E3B9B">
        <w:rPr>
          <w:lang w:eastAsia="zh-CN"/>
        </w:rPr>
        <w:t>1996</w:t>
      </w:r>
      <w:r w:rsidRPr="006E3B9B">
        <w:rPr>
          <w:rFonts w:hint="eastAsia"/>
          <w:lang w:eastAsia="zh-CN"/>
        </w:rPr>
        <w:t>年会议（</w:t>
      </w:r>
      <w:r w:rsidRPr="006E3B9B">
        <w:rPr>
          <w:lang w:eastAsia="zh-CN"/>
        </w:rPr>
        <w:t>1996</w:t>
      </w:r>
      <w:r w:rsidRPr="006E3B9B">
        <w:rPr>
          <w:rFonts w:hint="eastAsia"/>
          <w:lang w:eastAsia="zh-CN"/>
        </w:rPr>
        <w:t>年</w:t>
      </w:r>
      <w:r w:rsidRPr="006E3B9B">
        <w:rPr>
          <w:lang w:eastAsia="zh-CN"/>
        </w:rPr>
        <w:t>6</w:t>
      </w:r>
      <w:r w:rsidRPr="006E3B9B">
        <w:rPr>
          <w:rFonts w:hint="eastAsia"/>
          <w:lang w:eastAsia="zh-CN"/>
        </w:rPr>
        <w:t>月）</w:t>
      </w:r>
    </w:p>
    <w:p w14:paraId="4827C0B4"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1086</w:t>
      </w:r>
      <w:r w:rsidRPr="006E3B9B">
        <w:rPr>
          <w:lang w:val="en-US" w:eastAsia="zh-CN"/>
        </w:rPr>
        <w:t>号决议</w:t>
      </w:r>
      <w:r w:rsidRPr="006E3B9B">
        <w:rPr>
          <w:lang w:val="en-US" w:eastAsia="zh-CN"/>
        </w:rPr>
        <w:tab/>
      </w:r>
      <w:r w:rsidRPr="006E3B9B">
        <w:rPr>
          <w:lang w:eastAsia="zh-CN"/>
        </w:rPr>
        <w:t>1997</w:t>
      </w:r>
      <w:r w:rsidRPr="006E3B9B">
        <w:rPr>
          <w:rFonts w:hint="eastAsia"/>
          <w:lang w:eastAsia="zh-CN"/>
        </w:rPr>
        <w:t>年世界无线电通信大会（</w:t>
      </w:r>
      <w:r w:rsidRPr="006E3B9B">
        <w:rPr>
          <w:lang w:eastAsia="zh-CN"/>
        </w:rPr>
        <w:t>WRC-97</w:t>
      </w:r>
      <w:r w:rsidRPr="006E3B9B">
        <w:rPr>
          <w:rFonts w:hint="eastAsia"/>
          <w:lang w:eastAsia="zh-CN"/>
        </w:rPr>
        <w:t>）</w:t>
      </w:r>
      <w:r w:rsidRPr="006E3B9B">
        <w:rPr>
          <w:lang w:val="en-US" w:eastAsia="zh-CN"/>
        </w:rPr>
        <w:tab/>
      </w:r>
      <w:r w:rsidR="005F6138">
        <w:rPr>
          <w:lang w:val="en-US" w:eastAsia="zh-CN"/>
        </w:rPr>
        <w:tab/>
      </w:r>
      <w:r w:rsidRPr="006E3B9B">
        <w:rPr>
          <w:lang w:val="en-US" w:eastAsia="zh-CN"/>
        </w:rPr>
        <w:t>1998</w:t>
      </w:r>
      <w:r w:rsidRPr="006E3B9B">
        <w:rPr>
          <w:rFonts w:hint="eastAsia"/>
          <w:lang w:val="en-US" w:eastAsia="zh-CN"/>
        </w:rPr>
        <w:t>年</w:t>
      </w:r>
    </w:p>
    <w:p w14:paraId="4827C0B5"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1087</w:t>
      </w:r>
      <w:r w:rsidRPr="006E3B9B">
        <w:rPr>
          <w:lang w:val="en-US" w:eastAsia="zh-CN"/>
        </w:rPr>
        <w:t>号决议</w:t>
      </w:r>
      <w:r w:rsidRPr="006E3B9B">
        <w:rPr>
          <w:lang w:val="en-US" w:eastAsia="zh-CN"/>
        </w:rPr>
        <w:tab/>
      </w:r>
      <w:r w:rsidRPr="006E3B9B">
        <w:rPr>
          <w:lang w:eastAsia="zh-CN"/>
        </w:rPr>
        <w:t>1997</w:t>
      </w:r>
      <w:r w:rsidRPr="006E3B9B">
        <w:rPr>
          <w:rFonts w:hint="eastAsia"/>
          <w:lang w:eastAsia="zh-CN"/>
        </w:rPr>
        <w:t>年无线电通信全会（</w:t>
      </w:r>
      <w:r w:rsidRPr="006E3B9B">
        <w:rPr>
          <w:lang w:eastAsia="zh-CN"/>
        </w:rPr>
        <w:t>RA-97</w:t>
      </w:r>
      <w:r w:rsidRPr="006E3B9B">
        <w:rPr>
          <w:rFonts w:hint="eastAsia"/>
          <w:lang w:eastAsia="zh-CN"/>
        </w:rPr>
        <w:t>）</w:t>
      </w:r>
      <w:r w:rsidRPr="006E3B9B">
        <w:rPr>
          <w:lang w:val="en-US" w:eastAsia="zh-CN"/>
        </w:rPr>
        <w:tab/>
      </w:r>
      <w:r w:rsidR="005F6138">
        <w:rPr>
          <w:lang w:val="en-US" w:eastAsia="zh-CN"/>
        </w:rPr>
        <w:tab/>
      </w:r>
      <w:r w:rsidRPr="006E3B9B">
        <w:rPr>
          <w:lang w:val="en-US" w:eastAsia="zh-CN"/>
        </w:rPr>
        <w:t>1998</w:t>
      </w:r>
      <w:r w:rsidRPr="006E3B9B">
        <w:rPr>
          <w:rFonts w:hint="eastAsia"/>
          <w:lang w:val="en-US" w:eastAsia="zh-CN"/>
        </w:rPr>
        <w:t>年</w:t>
      </w:r>
    </w:p>
    <w:p w14:paraId="4827C0B6"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1088</w:t>
      </w:r>
      <w:r w:rsidRPr="006E3B9B">
        <w:rPr>
          <w:lang w:val="en-US" w:eastAsia="zh-CN"/>
        </w:rPr>
        <w:t>号决议</w:t>
      </w:r>
      <w:r w:rsidRPr="006E3B9B">
        <w:rPr>
          <w:lang w:val="en-US" w:eastAsia="zh-CN"/>
        </w:rPr>
        <w:tab/>
      </w:r>
      <w:r w:rsidRPr="006E3B9B">
        <w:rPr>
          <w:lang w:eastAsia="zh-CN"/>
        </w:rPr>
        <w:t>1996/1997</w:t>
      </w:r>
      <w:r w:rsidRPr="006E3B9B">
        <w:rPr>
          <w:rFonts w:hint="eastAsia"/>
          <w:lang w:eastAsia="zh-CN"/>
        </w:rPr>
        <w:t>年度预算的追加拨款</w:t>
      </w:r>
      <w:r w:rsidRPr="006E3B9B">
        <w:rPr>
          <w:lang w:val="en-US" w:eastAsia="zh-CN"/>
        </w:rPr>
        <w:tab/>
      </w:r>
      <w:r w:rsidR="005F6138">
        <w:rPr>
          <w:lang w:val="en-US" w:eastAsia="zh-CN"/>
        </w:rPr>
        <w:tab/>
      </w:r>
      <w:r w:rsidRPr="006E3B9B">
        <w:rPr>
          <w:lang w:val="en-US" w:eastAsia="zh-CN"/>
        </w:rPr>
        <w:t>1998</w:t>
      </w:r>
      <w:r w:rsidRPr="006E3B9B">
        <w:rPr>
          <w:rFonts w:hint="eastAsia"/>
          <w:lang w:val="en-US" w:eastAsia="zh-CN"/>
        </w:rPr>
        <w:t>年</w:t>
      </w:r>
    </w:p>
    <w:p w14:paraId="4827C0B7"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1089</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1995</w:t>
      </w:r>
      <w:r w:rsidRPr="006E3B9B">
        <w:rPr>
          <w:rFonts w:hint="eastAsia"/>
          <w:lang w:eastAsia="zh-CN"/>
        </w:rPr>
        <w:t>年财务工作报告</w:t>
      </w:r>
      <w:r w:rsidRPr="006E3B9B">
        <w:rPr>
          <w:lang w:val="en-US" w:eastAsia="zh-CN"/>
        </w:rPr>
        <w:tab/>
      </w:r>
      <w:r w:rsidR="005F6138">
        <w:rPr>
          <w:lang w:val="en-US" w:eastAsia="zh-CN"/>
        </w:rPr>
        <w:tab/>
      </w:r>
      <w:r w:rsidRPr="006E3B9B">
        <w:rPr>
          <w:lang w:val="en-US" w:eastAsia="zh-CN"/>
        </w:rPr>
        <w:t>1998</w:t>
      </w:r>
      <w:r w:rsidRPr="006E3B9B">
        <w:rPr>
          <w:rFonts w:hint="eastAsia"/>
          <w:lang w:val="en-US" w:eastAsia="zh-CN"/>
        </w:rPr>
        <w:t>年</w:t>
      </w:r>
    </w:p>
    <w:p w14:paraId="4827C0B8"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1090</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1995</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1</w:t>
      </w:r>
      <w:r w:rsidRPr="006E3B9B">
        <w:rPr>
          <w:rFonts w:hint="eastAsia"/>
          <w:lang w:eastAsia="zh-CN"/>
        </w:rPr>
        <w:t>日至</w:t>
      </w:r>
      <w:r w:rsidRPr="006E3B9B">
        <w:rPr>
          <w:lang w:eastAsia="zh-CN"/>
        </w:rPr>
        <w:t>12</w:t>
      </w:r>
      <w:r w:rsidRPr="006E3B9B">
        <w:rPr>
          <w:rFonts w:hint="eastAsia"/>
          <w:lang w:eastAsia="zh-CN"/>
        </w:rPr>
        <w:t>月</w:t>
      </w:r>
      <w:r w:rsidRPr="006E3B9B">
        <w:rPr>
          <w:lang w:eastAsia="zh-CN"/>
        </w:rPr>
        <w:t>31</w:t>
      </w:r>
      <w:r w:rsidRPr="006E3B9B">
        <w:rPr>
          <w:rFonts w:hint="eastAsia"/>
          <w:lang w:eastAsia="zh-CN"/>
        </w:rPr>
        <w:t>日账目的外部审计</w:t>
      </w:r>
      <w:r w:rsidRPr="006E3B9B">
        <w:rPr>
          <w:lang w:val="en-US" w:eastAsia="zh-CN"/>
        </w:rPr>
        <w:tab/>
      </w:r>
      <w:r w:rsidR="005F6138">
        <w:rPr>
          <w:lang w:val="en-US" w:eastAsia="zh-CN"/>
        </w:rPr>
        <w:tab/>
      </w:r>
      <w:r w:rsidRPr="006E3B9B">
        <w:rPr>
          <w:lang w:val="en-US" w:eastAsia="zh-CN"/>
        </w:rPr>
        <w:t>1998</w:t>
      </w:r>
      <w:r w:rsidRPr="006E3B9B">
        <w:rPr>
          <w:rFonts w:hint="eastAsia"/>
          <w:lang w:val="en-US" w:eastAsia="zh-CN"/>
        </w:rPr>
        <w:t>年</w:t>
      </w:r>
    </w:p>
    <w:p w14:paraId="4827C0B9"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1091</w:t>
      </w:r>
      <w:r w:rsidRPr="006E3B9B">
        <w:rPr>
          <w:lang w:val="en-US" w:eastAsia="zh-CN"/>
        </w:rPr>
        <w:t>号决议</w:t>
      </w:r>
      <w:r w:rsidRPr="006E3B9B">
        <w:rPr>
          <w:lang w:val="en-US" w:eastAsia="zh-CN"/>
        </w:rPr>
        <w:tab/>
      </w:r>
      <w:r w:rsidRPr="006E3B9B">
        <w:rPr>
          <w:rFonts w:hint="eastAsia"/>
          <w:lang w:eastAsia="zh-CN"/>
        </w:rPr>
        <w:t>摊付国际电联费用的会费份额</w:t>
      </w:r>
      <w:r w:rsidRPr="006E3B9B">
        <w:rPr>
          <w:lang w:val="en-US" w:eastAsia="zh-CN"/>
        </w:rPr>
        <w:tab/>
      </w:r>
      <w:r w:rsidR="005F6138">
        <w:rPr>
          <w:lang w:val="en-US" w:eastAsia="zh-CN"/>
        </w:rPr>
        <w:tab/>
      </w:r>
      <w:r w:rsidRPr="006E3B9B">
        <w:rPr>
          <w:lang w:val="en-US" w:eastAsia="zh-CN"/>
        </w:rPr>
        <w:t>1999</w:t>
      </w:r>
      <w:r w:rsidRPr="006E3B9B">
        <w:rPr>
          <w:rFonts w:hint="eastAsia"/>
          <w:lang w:val="en-US" w:eastAsia="zh-CN"/>
        </w:rPr>
        <w:t>年</w:t>
      </w:r>
    </w:p>
    <w:p w14:paraId="4827C0BA"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1092</w:t>
      </w:r>
      <w:r w:rsidRPr="006E3B9B">
        <w:rPr>
          <w:lang w:val="en-US" w:eastAsia="zh-CN"/>
        </w:rPr>
        <w:t>号决议</w:t>
      </w:r>
      <w:r w:rsidRPr="006E3B9B">
        <w:rPr>
          <w:lang w:val="en-US" w:eastAsia="zh-CN"/>
        </w:rPr>
        <w:tab/>
      </w:r>
      <w:r w:rsidRPr="006E3B9B">
        <w:rPr>
          <w:rFonts w:hint="eastAsia"/>
          <w:lang w:val="en-US" w:eastAsia="zh-CN"/>
        </w:rPr>
        <w:t>国际</w:t>
      </w:r>
      <w:r w:rsidRPr="006E3B9B">
        <w:rPr>
          <w:rFonts w:hint="eastAsia"/>
          <w:lang w:eastAsia="zh-CN"/>
        </w:rPr>
        <w:t>电联总部的房屋设施</w:t>
      </w:r>
      <w:r w:rsidRPr="006E3B9B">
        <w:rPr>
          <w:lang w:val="en-US" w:eastAsia="zh-CN"/>
        </w:rPr>
        <w:t xml:space="preserve"> </w:t>
      </w:r>
      <w:r w:rsidRPr="006E3B9B">
        <w:rPr>
          <w:lang w:eastAsia="zh-CN"/>
        </w:rPr>
        <w:t xml:space="preserve">– </w:t>
      </w:r>
      <w:r w:rsidRPr="006E3B9B">
        <w:rPr>
          <w:rFonts w:hint="eastAsia"/>
          <w:lang w:eastAsia="zh-CN"/>
        </w:rPr>
        <w:t>建设</w:t>
      </w:r>
      <w:r w:rsidRPr="006E3B9B">
        <w:rPr>
          <w:lang w:eastAsia="zh-CN"/>
        </w:rPr>
        <w:t>Montbrillant</w:t>
      </w:r>
      <w:r w:rsidRPr="006E3B9B">
        <w:rPr>
          <w:rFonts w:hint="eastAsia"/>
          <w:lang w:eastAsia="zh-CN"/>
        </w:rPr>
        <w:t>办公楼的前期融资</w:t>
      </w:r>
      <w:r w:rsidRPr="006E3B9B">
        <w:rPr>
          <w:lang w:val="en-US" w:eastAsia="zh-CN"/>
        </w:rPr>
        <w:tab/>
      </w:r>
      <w:r w:rsidR="005F6138">
        <w:rPr>
          <w:lang w:val="en-US" w:eastAsia="zh-CN"/>
        </w:rPr>
        <w:tab/>
      </w:r>
      <w:r w:rsidRPr="006E3B9B">
        <w:rPr>
          <w:lang w:val="en-US" w:eastAsia="zh-CN"/>
        </w:rPr>
        <w:t>1999</w:t>
      </w:r>
      <w:r w:rsidRPr="006E3B9B">
        <w:rPr>
          <w:rFonts w:hint="eastAsia"/>
          <w:lang w:val="en-US" w:eastAsia="zh-CN"/>
        </w:rPr>
        <w:t>年</w:t>
      </w:r>
    </w:p>
    <w:p w14:paraId="4827C0BB"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1093</w:t>
      </w:r>
      <w:r w:rsidRPr="006E3B9B">
        <w:rPr>
          <w:lang w:val="en-US" w:eastAsia="zh-CN"/>
        </w:rPr>
        <w:t>号决议</w:t>
      </w:r>
      <w:r w:rsidRPr="006E3B9B">
        <w:rPr>
          <w:lang w:val="en-US" w:eastAsia="zh-CN"/>
        </w:rPr>
        <w:tab/>
      </w:r>
      <w:r w:rsidRPr="006E3B9B">
        <w:rPr>
          <w:rFonts w:hint="eastAsia"/>
          <w:lang w:eastAsia="zh-CN"/>
        </w:rPr>
        <w:t>国际电联职员养恤金委员会的委员</w:t>
      </w:r>
      <w:r w:rsidRPr="006E3B9B">
        <w:rPr>
          <w:lang w:val="en-US" w:eastAsia="zh-CN"/>
        </w:rPr>
        <w:tab/>
      </w:r>
      <w:r w:rsidR="005F6138">
        <w:rPr>
          <w:lang w:val="en-US" w:eastAsia="zh-CN"/>
        </w:rPr>
        <w:tab/>
      </w:r>
      <w:r w:rsidRPr="006E3B9B">
        <w:rPr>
          <w:lang w:val="en-US" w:eastAsia="zh-CN"/>
        </w:rPr>
        <w:t>1998</w:t>
      </w:r>
      <w:r w:rsidRPr="006E3B9B">
        <w:rPr>
          <w:rFonts w:hint="eastAsia"/>
          <w:lang w:val="en-US" w:eastAsia="zh-CN"/>
        </w:rPr>
        <w:t>年</w:t>
      </w:r>
    </w:p>
    <w:p w14:paraId="4827C0BC"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1094</w:t>
      </w:r>
      <w:r w:rsidRPr="006E3B9B">
        <w:rPr>
          <w:lang w:val="en-US" w:eastAsia="zh-CN"/>
        </w:rPr>
        <w:t>号决议</w:t>
      </w:r>
      <w:r w:rsidRPr="006E3B9B">
        <w:rPr>
          <w:lang w:val="en-US" w:eastAsia="zh-CN"/>
        </w:rPr>
        <w:tab/>
      </w:r>
      <w:r w:rsidRPr="006E3B9B">
        <w:rPr>
          <w:rFonts w:hint="eastAsia"/>
          <w:lang w:eastAsia="zh-CN"/>
        </w:rPr>
        <w:t>人员需求</w:t>
      </w:r>
      <w:r w:rsidRPr="006E3B9B">
        <w:rPr>
          <w:lang w:val="en-US" w:eastAsia="zh-CN"/>
        </w:rPr>
        <w:tab/>
      </w:r>
      <w:r w:rsidR="005F6138">
        <w:rPr>
          <w:lang w:val="en-US" w:eastAsia="zh-CN"/>
        </w:rPr>
        <w:tab/>
      </w:r>
      <w:r w:rsidRPr="006E3B9B">
        <w:rPr>
          <w:lang w:val="en-US" w:eastAsia="zh-CN"/>
        </w:rPr>
        <w:t>2002</w:t>
      </w:r>
      <w:r w:rsidRPr="006E3B9B">
        <w:rPr>
          <w:rFonts w:hint="eastAsia"/>
          <w:lang w:val="en-US" w:eastAsia="zh-CN"/>
        </w:rPr>
        <w:t>年</w:t>
      </w:r>
    </w:p>
    <w:p w14:paraId="4827C0BD"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1095</w:t>
      </w:r>
      <w:r w:rsidRPr="006E3B9B">
        <w:rPr>
          <w:lang w:val="en-US" w:eastAsia="zh-CN"/>
        </w:rPr>
        <w:t>号决议</w:t>
      </w:r>
      <w:r w:rsidRPr="006E3B9B">
        <w:rPr>
          <w:lang w:val="en-US" w:eastAsia="zh-CN"/>
        </w:rPr>
        <w:tab/>
      </w:r>
      <w:r w:rsidRPr="006E3B9B">
        <w:rPr>
          <w:rFonts w:hint="eastAsia"/>
          <w:lang w:eastAsia="zh-CN"/>
        </w:rPr>
        <w:t>人力资源管理三方顾问组</w:t>
      </w:r>
      <w:r w:rsidRPr="006E3B9B">
        <w:rPr>
          <w:lang w:val="en-US" w:eastAsia="zh-CN"/>
        </w:rPr>
        <w:tab/>
      </w:r>
      <w:r w:rsidR="005F6138">
        <w:rPr>
          <w:lang w:val="en-US" w:eastAsia="zh-CN"/>
        </w:rPr>
        <w:tab/>
      </w:r>
      <w:r w:rsidRPr="006E3B9B">
        <w:rPr>
          <w:lang w:val="en-US" w:eastAsia="zh-CN"/>
        </w:rPr>
        <w:t>1999</w:t>
      </w:r>
      <w:r w:rsidRPr="006E3B9B">
        <w:rPr>
          <w:rFonts w:hint="eastAsia"/>
          <w:lang w:val="en-US" w:eastAsia="zh-CN"/>
        </w:rPr>
        <w:t>年</w:t>
      </w:r>
    </w:p>
    <w:p w14:paraId="4827C0BE"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1096</w:t>
      </w:r>
      <w:r w:rsidRPr="006E3B9B">
        <w:rPr>
          <w:lang w:val="en-US" w:eastAsia="zh-CN"/>
        </w:rPr>
        <w:t>号决议</w:t>
      </w:r>
      <w:r w:rsidRPr="006E3B9B">
        <w:rPr>
          <w:lang w:val="en-US" w:eastAsia="zh-CN"/>
        </w:rPr>
        <w:tab/>
      </w:r>
      <w:r w:rsidRPr="006E3B9B">
        <w:rPr>
          <w:rFonts w:hint="eastAsia"/>
          <w:lang w:eastAsia="zh-CN"/>
        </w:rPr>
        <w:t>电信发展局的职位结构</w:t>
      </w:r>
      <w:r w:rsidRPr="006E3B9B">
        <w:rPr>
          <w:lang w:val="en-US" w:eastAsia="zh-CN"/>
        </w:rPr>
        <w:tab/>
      </w:r>
      <w:r w:rsidR="005F6138">
        <w:rPr>
          <w:lang w:val="en-US" w:eastAsia="zh-CN"/>
        </w:rPr>
        <w:tab/>
      </w:r>
      <w:r w:rsidRPr="006E3B9B">
        <w:rPr>
          <w:rFonts w:hint="eastAsia"/>
          <w:lang w:val="en-US" w:eastAsia="zh-CN"/>
        </w:rPr>
        <w:t>2004</w:t>
      </w:r>
      <w:r w:rsidRPr="006E3B9B">
        <w:rPr>
          <w:rFonts w:hint="eastAsia"/>
          <w:lang w:val="en-US" w:eastAsia="zh-CN"/>
        </w:rPr>
        <w:t>年</w:t>
      </w:r>
    </w:p>
    <w:p w14:paraId="4827C0BF"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1097</w:t>
      </w:r>
      <w:r w:rsidRPr="006E3B9B">
        <w:rPr>
          <w:lang w:val="en-US" w:eastAsia="zh-CN"/>
        </w:rPr>
        <w:t>号决议</w:t>
      </w:r>
      <w:r w:rsidRPr="006E3B9B">
        <w:rPr>
          <w:lang w:val="en-US" w:eastAsia="zh-CN"/>
        </w:rPr>
        <w:tab/>
      </w:r>
      <w:r w:rsidRPr="006E3B9B">
        <w:rPr>
          <w:rFonts w:hint="eastAsia"/>
          <w:lang w:eastAsia="zh-CN"/>
        </w:rPr>
        <w:t>国际电联成员国的投票表决权</w:t>
      </w:r>
      <w:r w:rsidRPr="006E3B9B">
        <w:rPr>
          <w:lang w:val="en-US" w:eastAsia="zh-CN"/>
        </w:rPr>
        <w:tab/>
      </w:r>
      <w:r w:rsidR="005F6138">
        <w:rPr>
          <w:lang w:val="en-US" w:eastAsia="zh-CN"/>
        </w:rPr>
        <w:tab/>
      </w:r>
      <w:r w:rsidRPr="006E3B9B">
        <w:rPr>
          <w:lang w:val="en-US" w:eastAsia="zh-CN"/>
        </w:rPr>
        <w:t>6.</w:t>
      </w:r>
      <w:r w:rsidRPr="006E3B9B">
        <w:rPr>
          <w:rFonts w:hint="eastAsia"/>
          <w:lang w:val="en-US" w:eastAsia="zh-CN"/>
        </w:rPr>
        <w:t>1</w:t>
      </w:r>
    </w:p>
    <w:p w14:paraId="4827C0C0"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1098</w:t>
      </w:r>
      <w:r w:rsidRPr="006E3B9B">
        <w:rPr>
          <w:lang w:val="en-US" w:eastAsia="zh-CN"/>
        </w:rPr>
        <w:t>号决议</w:t>
      </w:r>
      <w:r w:rsidRPr="006E3B9B">
        <w:rPr>
          <w:lang w:val="en-US" w:eastAsia="zh-CN"/>
        </w:rPr>
        <w:tab/>
      </w:r>
      <w:r w:rsidRPr="006E3B9B">
        <w:rPr>
          <w:rFonts w:hint="eastAsia"/>
          <w:lang w:eastAsia="zh-CN"/>
        </w:rPr>
        <w:t>世界电信发展大会（</w:t>
      </w:r>
      <w:r w:rsidRPr="006E3B9B">
        <w:rPr>
          <w:lang w:eastAsia="zh-CN"/>
        </w:rPr>
        <w:t>WTDC-98</w:t>
      </w:r>
      <w:r w:rsidRPr="006E3B9B">
        <w:rPr>
          <w:rFonts w:hint="eastAsia"/>
          <w:lang w:eastAsia="zh-CN"/>
        </w:rPr>
        <w:t>）</w:t>
      </w:r>
      <w:r w:rsidRPr="006E3B9B">
        <w:rPr>
          <w:lang w:val="en-US" w:eastAsia="zh-CN"/>
        </w:rPr>
        <w:tab/>
      </w:r>
      <w:r w:rsidR="005F6138">
        <w:rPr>
          <w:lang w:val="en-US" w:eastAsia="zh-CN"/>
        </w:rPr>
        <w:tab/>
      </w:r>
      <w:r w:rsidRPr="006E3B9B">
        <w:rPr>
          <w:lang w:val="en-US" w:eastAsia="zh-CN"/>
        </w:rPr>
        <w:t>1998</w:t>
      </w:r>
      <w:r w:rsidRPr="006E3B9B">
        <w:rPr>
          <w:rFonts w:hint="eastAsia"/>
          <w:lang w:val="en-US" w:eastAsia="zh-CN"/>
        </w:rPr>
        <w:t>年</w:t>
      </w:r>
    </w:p>
    <w:p w14:paraId="4827C0C1"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1099</w:t>
      </w:r>
      <w:r w:rsidRPr="006E3B9B">
        <w:rPr>
          <w:lang w:val="en-US" w:eastAsia="zh-CN"/>
        </w:rPr>
        <w:t>号决议</w:t>
      </w:r>
      <w:r w:rsidRPr="006E3B9B">
        <w:rPr>
          <w:lang w:val="en-US" w:eastAsia="zh-CN"/>
        </w:rPr>
        <w:tab/>
      </w:r>
      <w:r w:rsidRPr="006E3B9B">
        <w:rPr>
          <w:rFonts w:hint="eastAsia"/>
          <w:lang w:eastAsia="zh-CN"/>
        </w:rPr>
        <w:t>国际电信网承载的迂回呼叫程序</w:t>
      </w:r>
      <w:r w:rsidRPr="006E3B9B">
        <w:rPr>
          <w:lang w:val="en-US" w:eastAsia="zh-CN"/>
        </w:rPr>
        <w:tab/>
      </w:r>
      <w:r w:rsidR="005F6138">
        <w:rPr>
          <w:lang w:val="en-US" w:eastAsia="zh-CN"/>
        </w:rPr>
        <w:tab/>
      </w:r>
      <w:r w:rsidRPr="006E3B9B">
        <w:rPr>
          <w:rFonts w:hint="eastAsia"/>
          <w:lang w:val="en-US" w:eastAsia="zh-CN"/>
        </w:rPr>
        <w:t>2002</w:t>
      </w:r>
      <w:r w:rsidRPr="006E3B9B">
        <w:rPr>
          <w:rFonts w:hint="eastAsia"/>
          <w:lang w:val="en-US" w:eastAsia="zh-CN"/>
        </w:rPr>
        <w:t>年</w:t>
      </w:r>
    </w:p>
    <w:p w14:paraId="4827C0C2" w14:textId="77777777" w:rsidR="006E3B9B" w:rsidRPr="006E3B9B" w:rsidRDefault="006E3B9B" w:rsidP="003E11A1">
      <w:pPr>
        <w:pStyle w:val="Reftitle"/>
        <w:rPr>
          <w:lang w:val="en-US" w:eastAsia="zh-CN"/>
        </w:rPr>
      </w:pPr>
      <w:r w:rsidRPr="006E3B9B">
        <w:rPr>
          <w:lang w:eastAsia="zh-CN"/>
        </w:rPr>
        <w:t>1997</w:t>
      </w:r>
      <w:r w:rsidRPr="006E3B9B">
        <w:rPr>
          <w:rFonts w:hint="eastAsia"/>
          <w:lang w:eastAsia="zh-CN"/>
        </w:rPr>
        <w:t>年会议（</w:t>
      </w:r>
      <w:r w:rsidRPr="006E3B9B">
        <w:rPr>
          <w:lang w:eastAsia="zh-CN"/>
        </w:rPr>
        <w:t>1997</w:t>
      </w:r>
      <w:r w:rsidRPr="006E3B9B">
        <w:rPr>
          <w:rFonts w:hint="eastAsia"/>
          <w:lang w:eastAsia="zh-CN"/>
        </w:rPr>
        <w:t>年</w:t>
      </w:r>
      <w:r w:rsidRPr="006E3B9B">
        <w:rPr>
          <w:lang w:eastAsia="zh-CN"/>
        </w:rPr>
        <w:t>6</w:t>
      </w:r>
      <w:r w:rsidRPr="006E3B9B">
        <w:rPr>
          <w:rFonts w:hint="eastAsia"/>
          <w:lang w:eastAsia="zh-CN"/>
        </w:rPr>
        <w:t>月）</w:t>
      </w:r>
    </w:p>
    <w:p w14:paraId="4827C0C3"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1100</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1998-1999</w:t>
      </w:r>
      <w:r w:rsidRPr="006E3B9B">
        <w:rPr>
          <w:rFonts w:hint="eastAsia"/>
          <w:lang w:eastAsia="zh-CN"/>
        </w:rPr>
        <w:t>年双年度预算</w:t>
      </w:r>
      <w:r w:rsidRPr="006E3B9B">
        <w:rPr>
          <w:lang w:val="en-US" w:eastAsia="zh-CN"/>
        </w:rPr>
        <w:tab/>
      </w:r>
      <w:r w:rsidR="005F6138">
        <w:rPr>
          <w:lang w:val="en-US" w:eastAsia="zh-CN"/>
        </w:rPr>
        <w:tab/>
      </w:r>
      <w:r w:rsidRPr="006E3B9B">
        <w:rPr>
          <w:lang w:val="en-US" w:eastAsia="zh-CN"/>
        </w:rPr>
        <w:t>2001</w:t>
      </w:r>
      <w:r w:rsidRPr="006E3B9B">
        <w:rPr>
          <w:rFonts w:hint="eastAsia"/>
          <w:lang w:val="en-US" w:eastAsia="zh-CN"/>
        </w:rPr>
        <w:t>年</w:t>
      </w:r>
    </w:p>
    <w:p w14:paraId="4827C0C4"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1101</w:t>
      </w:r>
      <w:r w:rsidRPr="006E3B9B">
        <w:rPr>
          <w:lang w:val="en-US" w:eastAsia="zh-CN"/>
        </w:rPr>
        <w:t>号决议</w:t>
      </w:r>
      <w:r w:rsidRPr="006E3B9B">
        <w:rPr>
          <w:lang w:val="en-US" w:eastAsia="zh-CN"/>
        </w:rPr>
        <w:tab/>
      </w:r>
      <w:r w:rsidRPr="006E3B9B">
        <w:rPr>
          <w:lang w:eastAsia="zh-CN"/>
        </w:rPr>
        <w:t>1996</w:t>
      </w:r>
      <w:r w:rsidRPr="006E3B9B">
        <w:rPr>
          <w:rFonts w:hint="eastAsia"/>
          <w:lang w:eastAsia="zh-CN"/>
        </w:rPr>
        <w:t>年国际电联职员退休金和福利基金管理报告</w:t>
      </w:r>
      <w:r w:rsidRPr="006E3B9B">
        <w:rPr>
          <w:lang w:val="en-US" w:eastAsia="zh-CN"/>
        </w:rPr>
        <w:tab/>
      </w:r>
      <w:r w:rsidR="005F6138">
        <w:rPr>
          <w:lang w:val="en-US" w:eastAsia="zh-CN"/>
        </w:rPr>
        <w:tab/>
      </w:r>
      <w:r w:rsidRPr="006E3B9B">
        <w:rPr>
          <w:lang w:val="en-US" w:eastAsia="zh-CN"/>
        </w:rPr>
        <w:t>1998</w:t>
      </w:r>
      <w:r w:rsidRPr="006E3B9B">
        <w:rPr>
          <w:rFonts w:hint="eastAsia"/>
          <w:lang w:val="en-US" w:eastAsia="zh-CN"/>
        </w:rPr>
        <w:t>年</w:t>
      </w:r>
    </w:p>
    <w:p w14:paraId="4827C0C5"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1102</w:t>
      </w:r>
      <w:r w:rsidRPr="006E3B9B">
        <w:rPr>
          <w:lang w:val="en-US" w:eastAsia="zh-CN"/>
        </w:rPr>
        <w:t>号决议</w:t>
      </w:r>
      <w:r w:rsidRPr="006E3B9B">
        <w:rPr>
          <w:lang w:val="en-US" w:eastAsia="zh-CN"/>
        </w:rPr>
        <w:tab/>
      </w:r>
      <w:r w:rsidRPr="006E3B9B">
        <w:rPr>
          <w:rFonts w:hint="eastAsia"/>
          <w:lang w:eastAsia="zh-CN"/>
        </w:rPr>
        <w:t>国际电联《财务规则》的修订</w:t>
      </w:r>
      <w:r w:rsidRPr="006E3B9B">
        <w:rPr>
          <w:lang w:val="en-US" w:eastAsia="zh-CN"/>
        </w:rPr>
        <w:tab/>
      </w:r>
      <w:r w:rsidR="005F6138">
        <w:rPr>
          <w:lang w:val="en-US" w:eastAsia="zh-CN"/>
        </w:rPr>
        <w:tab/>
      </w:r>
      <w:r w:rsidRPr="006E3B9B">
        <w:rPr>
          <w:lang w:val="en-US" w:eastAsia="zh-CN"/>
        </w:rPr>
        <w:t>1999</w:t>
      </w:r>
      <w:r w:rsidRPr="006E3B9B">
        <w:rPr>
          <w:rFonts w:hint="eastAsia"/>
          <w:lang w:val="en-US" w:eastAsia="zh-CN"/>
        </w:rPr>
        <w:t>年</w:t>
      </w:r>
    </w:p>
    <w:p w14:paraId="4827C0C6"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1103</w:t>
      </w:r>
      <w:r w:rsidRPr="006E3B9B">
        <w:rPr>
          <w:lang w:val="en-US" w:eastAsia="zh-CN"/>
        </w:rPr>
        <w:t>号决议</w:t>
      </w:r>
      <w:r w:rsidRPr="006E3B9B">
        <w:rPr>
          <w:lang w:val="en-US" w:eastAsia="zh-CN"/>
        </w:rPr>
        <w:tab/>
      </w:r>
      <w:r w:rsidRPr="006E3B9B">
        <w:rPr>
          <w:rFonts w:hint="eastAsia"/>
          <w:lang w:eastAsia="zh-CN"/>
        </w:rPr>
        <w:t>第七届世界电信展（</w:t>
      </w:r>
      <w:r w:rsidRPr="006E3B9B">
        <w:rPr>
          <w:lang w:eastAsia="zh-CN"/>
        </w:rPr>
        <w:t>TELECOM</w:t>
      </w:r>
      <w:r w:rsidRPr="006E3B9B">
        <w:rPr>
          <w:rFonts w:hint="eastAsia"/>
          <w:lang w:eastAsia="zh-CN"/>
        </w:rPr>
        <w:t xml:space="preserve"> </w:t>
      </w:r>
      <w:r w:rsidRPr="006E3B9B">
        <w:rPr>
          <w:lang w:eastAsia="zh-CN"/>
        </w:rPr>
        <w:t>95</w:t>
      </w:r>
      <w:r w:rsidRPr="006E3B9B">
        <w:rPr>
          <w:rFonts w:hint="eastAsia"/>
          <w:lang w:eastAsia="zh-CN"/>
        </w:rPr>
        <w:t>）及相关活动的账目</w:t>
      </w:r>
      <w:r w:rsidRPr="006E3B9B">
        <w:rPr>
          <w:lang w:val="en-US" w:eastAsia="zh-CN"/>
        </w:rPr>
        <w:tab/>
      </w:r>
      <w:r w:rsidR="005F6138">
        <w:rPr>
          <w:lang w:val="en-US" w:eastAsia="zh-CN"/>
        </w:rPr>
        <w:tab/>
      </w:r>
      <w:r w:rsidRPr="006E3B9B">
        <w:rPr>
          <w:lang w:val="en-US" w:eastAsia="zh-CN"/>
        </w:rPr>
        <w:t>1999</w:t>
      </w:r>
      <w:r w:rsidRPr="006E3B9B">
        <w:rPr>
          <w:rFonts w:hint="eastAsia"/>
          <w:lang w:val="en-US" w:eastAsia="zh-CN"/>
        </w:rPr>
        <w:t>年</w:t>
      </w:r>
    </w:p>
    <w:p w14:paraId="4827C0C7"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1104</w:t>
      </w:r>
      <w:r w:rsidRPr="006E3B9B">
        <w:rPr>
          <w:lang w:val="en-US" w:eastAsia="zh-CN"/>
        </w:rPr>
        <w:t>号决议</w:t>
      </w:r>
      <w:r w:rsidRPr="006E3B9B">
        <w:rPr>
          <w:lang w:val="en-US" w:eastAsia="zh-CN"/>
        </w:rPr>
        <w:tab/>
      </w:r>
      <w:r w:rsidRPr="006E3B9B">
        <w:rPr>
          <w:rFonts w:hint="eastAsia"/>
          <w:lang w:eastAsia="zh-CN"/>
        </w:rPr>
        <w:t>摊付国际电联费用的会费份额</w:t>
      </w:r>
      <w:r w:rsidRPr="006E3B9B">
        <w:rPr>
          <w:lang w:val="en-US" w:eastAsia="zh-CN"/>
        </w:rPr>
        <w:tab/>
      </w:r>
      <w:r w:rsidR="005F6138">
        <w:rPr>
          <w:lang w:val="en-US" w:eastAsia="zh-CN"/>
        </w:rPr>
        <w:tab/>
      </w:r>
      <w:r w:rsidRPr="006E3B9B">
        <w:rPr>
          <w:lang w:val="en-US" w:eastAsia="zh-CN"/>
        </w:rPr>
        <w:t>1999</w:t>
      </w:r>
      <w:r w:rsidRPr="006E3B9B">
        <w:rPr>
          <w:rFonts w:hint="eastAsia"/>
          <w:lang w:val="en-US" w:eastAsia="zh-CN"/>
        </w:rPr>
        <w:t>年</w:t>
      </w:r>
    </w:p>
    <w:p w14:paraId="4827C0C8"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1105</w:t>
      </w:r>
      <w:r w:rsidRPr="006E3B9B">
        <w:rPr>
          <w:lang w:val="en-US" w:eastAsia="zh-CN"/>
        </w:rPr>
        <w:t>号决议</w:t>
      </w:r>
      <w:r w:rsidRPr="006E3B9B">
        <w:rPr>
          <w:lang w:val="en-US" w:eastAsia="zh-CN"/>
        </w:rPr>
        <w:tab/>
      </w:r>
      <w:r w:rsidRPr="006E3B9B">
        <w:rPr>
          <w:rFonts w:hint="eastAsia"/>
          <w:lang w:eastAsia="zh-CN"/>
        </w:rPr>
        <w:t>国际电联选任官员的聘用条件</w:t>
      </w:r>
      <w:r w:rsidRPr="006E3B9B">
        <w:rPr>
          <w:lang w:val="en-US" w:eastAsia="zh-CN"/>
        </w:rPr>
        <w:tab/>
      </w:r>
      <w:r w:rsidR="005F6138">
        <w:rPr>
          <w:lang w:val="en-US" w:eastAsia="zh-CN"/>
        </w:rPr>
        <w:tab/>
      </w:r>
      <w:r w:rsidRPr="006E3B9B">
        <w:rPr>
          <w:lang w:val="en-US" w:eastAsia="zh-CN"/>
        </w:rPr>
        <w:t>2000</w:t>
      </w:r>
      <w:r w:rsidRPr="006E3B9B">
        <w:rPr>
          <w:rFonts w:hint="eastAsia"/>
          <w:lang w:val="en-US" w:eastAsia="zh-CN"/>
        </w:rPr>
        <w:t>年</w:t>
      </w:r>
    </w:p>
    <w:p w14:paraId="4827C0C9"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1106</w:t>
      </w:r>
      <w:r w:rsidRPr="006E3B9B">
        <w:rPr>
          <w:lang w:val="en-US" w:eastAsia="zh-CN"/>
        </w:rPr>
        <w:t>号决议</w:t>
      </w:r>
      <w:r w:rsidRPr="006E3B9B">
        <w:rPr>
          <w:lang w:val="en-US" w:eastAsia="zh-CN"/>
        </w:rPr>
        <w:tab/>
      </w:r>
      <w:r w:rsidRPr="006E3B9B">
        <w:rPr>
          <w:rFonts w:hint="eastAsia"/>
          <w:lang w:eastAsia="zh-CN"/>
        </w:rPr>
        <w:t>人力资源管理三方顾问组建议的实施</w:t>
      </w:r>
      <w:r w:rsidRPr="006E3B9B">
        <w:rPr>
          <w:lang w:val="en-US" w:eastAsia="zh-CN"/>
        </w:rPr>
        <w:tab/>
      </w:r>
      <w:r w:rsidR="005F6138">
        <w:rPr>
          <w:lang w:val="en-US" w:eastAsia="zh-CN"/>
        </w:rPr>
        <w:tab/>
      </w:r>
      <w:r w:rsidRPr="006E3B9B">
        <w:rPr>
          <w:lang w:val="en-US" w:eastAsia="zh-CN"/>
        </w:rPr>
        <w:t>2.2</w:t>
      </w:r>
    </w:p>
    <w:p w14:paraId="4827C0CA" w14:textId="77777777" w:rsidR="00091112" w:rsidRDefault="00091112">
      <w:pPr>
        <w:tabs>
          <w:tab w:val="clear" w:pos="794"/>
          <w:tab w:val="clear" w:pos="1191"/>
          <w:tab w:val="clear" w:pos="1588"/>
          <w:tab w:val="clear" w:pos="1985"/>
        </w:tabs>
        <w:overflowPunct/>
        <w:autoSpaceDE/>
        <w:autoSpaceDN/>
        <w:adjustRightInd/>
        <w:spacing w:before="0"/>
        <w:jc w:val="left"/>
        <w:textAlignment w:val="auto"/>
        <w:rPr>
          <w:sz w:val="20"/>
          <w:lang w:val="en-US" w:eastAsia="zh-CN"/>
        </w:rPr>
      </w:pPr>
      <w:r>
        <w:rPr>
          <w:lang w:val="en-US" w:eastAsia="zh-CN"/>
        </w:rPr>
        <w:br w:type="page"/>
      </w:r>
    </w:p>
    <w:p w14:paraId="4827C0CB" w14:textId="77777777" w:rsidR="006E3B9B" w:rsidRPr="006E3B9B" w:rsidRDefault="006E3B9B" w:rsidP="005F6138">
      <w:pPr>
        <w:pStyle w:val="Appendixref"/>
        <w:rPr>
          <w:lang w:val="en-US" w:eastAsia="zh-CN"/>
        </w:rPr>
      </w:pPr>
      <w:r w:rsidRPr="006E3B9B">
        <w:rPr>
          <w:lang w:val="en-US" w:eastAsia="zh-CN"/>
        </w:rPr>
        <w:lastRenderedPageBreak/>
        <w:t>第</w:t>
      </w:r>
      <w:r w:rsidRPr="006E3B9B">
        <w:rPr>
          <w:lang w:val="en-US" w:eastAsia="zh-CN"/>
        </w:rPr>
        <w:t>1107</w:t>
      </w:r>
      <w:r w:rsidRPr="006E3B9B">
        <w:rPr>
          <w:rFonts w:hint="eastAsia"/>
          <w:lang w:val="en-US" w:eastAsia="zh-CN"/>
        </w:rPr>
        <w:t>号决议</w:t>
      </w:r>
      <w:r w:rsidRPr="006E3B9B">
        <w:rPr>
          <w:rFonts w:hint="eastAsia"/>
          <w:lang w:val="en-US" w:eastAsia="zh-CN"/>
        </w:rPr>
        <w:tab/>
      </w:r>
      <w:r w:rsidRPr="006E3B9B">
        <w:rPr>
          <w:rFonts w:hint="eastAsia"/>
          <w:lang w:val="fr-FR" w:eastAsia="zh-CN"/>
        </w:rPr>
        <w:t>职位叙级</w:t>
      </w:r>
      <w:r w:rsidRPr="006E3B9B">
        <w:rPr>
          <w:lang w:val="en-US" w:eastAsia="zh-CN"/>
        </w:rPr>
        <w:tab/>
      </w:r>
      <w:r w:rsidR="005F6138">
        <w:rPr>
          <w:lang w:val="en-US" w:eastAsia="zh-CN"/>
        </w:rPr>
        <w:tab/>
      </w:r>
      <w:r w:rsidRPr="006E3B9B">
        <w:rPr>
          <w:lang w:val="en-US" w:eastAsia="zh-CN"/>
        </w:rPr>
        <w:t>2.2</w:t>
      </w:r>
    </w:p>
    <w:p w14:paraId="4827C0CC"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1108</w:t>
      </w:r>
      <w:r w:rsidRPr="006E3B9B">
        <w:rPr>
          <w:lang w:val="en-US" w:eastAsia="zh-CN"/>
        </w:rPr>
        <w:t>号决议</w:t>
      </w:r>
      <w:r w:rsidRPr="006E3B9B">
        <w:rPr>
          <w:lang w:val="en-US" w:eastAsia="zh-CN"/>
        </w:rPr>
        <w:tab/>
      </w:r>
      <w:r w:rsidRPr="006E3B9B">
        <w:rPr>
          <w:rFonts w:hint="eastAsia"/>
          <w:lang w:val="fr-FR" w:eastAsia="zh-CN"/>
        </w:rPr>
        <w:t>职位管理</w:t>
      </w:r>
      <w:r w:rsidRPr="006E3B9B">
        <w:rPr>
          <w:lang w:val="en-US" w:eastAsia="zh-CN"/>
        </w:rPr>
        <w:tab/>
      </w:r>
      <w:r w:rsidR="005F6138">
        <w:rPr>
          <w:lang w:val="en-US" w:eastAsia="zh-CN"/>
        </w:rPr>
        <w:tab/>
      </w:r>
      <w:r w:rsidRPr="006E3B9B">
        <w:rPr>
          <w:lang w:val="en-US" w:eastAsia="zh-CN"/>
        </w:rPr>
        <w:t>2.2</w:t>
      </w:r>
    </w:p>
    <w:p w14:paraId="4827C0CD"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1109</w:t>
      </w:r>
      <w:r w:rsidRPr="006E3B9B">
        <w:rPr>
          <w:lang w:val="en-US" w:eastAsia="zh-CN"/>
        </w:rPr>
        <w:t>号决议</w:t>
      </w:r>
      <w:r w:rsidRPr="006E3B9B">
        <w:rPr>
          <w:lang w:val="en-US" w:eastAsia="zh-CN"/>
        </w:rPr>
        <w:tab/>
      </w:r>
      <w:r w:rsidRPr="006E3B9B">
        <w:rPr>
          <w:rFonts w:hint="eastAsia"/>
          <w:lang w:eastAsia="zh-CN"/>
        </w:rPr>
        <w:t>国际电联职员养恤金委员会的委员</w:t>
      </w:r>
      <w:r w:rsidRPr="006E3B9B">
        <w:rPr>
          <w:lang w:val="en-US" w:eastAsia="zh-CN"/>
        </w:rPr>
        <w:tab/>
      </w:r>
      <w:r w:rsidR="005F6138">
        <w:rPr>
          <w:lang w:val="en-US" w:eastAsia="zh-CN"/>
        </w:rPr>
        <w:tab/>
      </w:r>
      <w:r w:rsidRPr="006E3B9B">
        <w:rPr>
          <w:lang w:val="en-US" w:eastAsia="zh-CN"/>
        </w:rPr>
        <w:t>2001</w:t>
      </w:r>
      <w:r w:rsidRPr="006E3B9B">
        <w:rPr>
          <w:rFonts w:hint="eastAsia"/>
          <w:lang w:val="en-US" w:eastAsia="zh-CN"/>
        </w:rPr>
        <w:t>年</w:t>
      </w:r>
    </w:p>
    <w:p w14:paraId="4827C0CE"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1110</w:t>
      </w:r>
      <w:r w:rsidRPr="006E3B9B">
        <w:rPr>
          <w:lang w:val="en-US" w:eastAsia="zh-CN"/>
        </w:rPr>
        <w:t>号决议</w:t>
      </w:r>
      <w:r w:rsidRPr="006E3B9B">
        <w:rPr>
          <w:lang w:val="en-US" w:eastAsia="zh-CN"/>
        </w:rPr>
        <w:tab/>
      </w:r>
      <w:r w:rsidRPr="006E3B9B">
        <w:rPr>
          <w:rFonts w:hint="eastAsia"/>
          <w:lang w:eastAsia="zh-CN"/>
        </w:rPr>
        <w:t>国际电联在</w:t>
      </w:r>
      <w:r w:rsidRPr="006E3B9B">
        <w:rPr>
          <w:lang w:eastAsia="zh-CN"/>
        </w:rPr>
        <w:t>GMPCS-MoU</w:t>
      </w:r>
      <w:r w:rsidRPr="006E3B9B">
        <w:rPr>
          <w:rFonts w:hint="eastAsia"/>
          <w:lang w:eastAsia="zh-CN"/>
        </w:rPr>
        <w:t>中的作用</w:t>
      </w:r>
      <w:r w:rsidRPr="006E3B9B">
        <w:rPr>
          <w:lang w:val="en-US" w:eastAsia="zh-CN"/>
        </w:rPr>
        <w:tab/>
      </w:r>
      <w:r w:rsidR="005F6138">
        <w:rPr>
          <w:lang w:val="en-US" w:eastAsia="zh-CN"/>
        </w:rPr>
        <w:tab/>
      </w:r>
      <w:r w:rsidRPr="006E3B9B">
        <w:rPr>
          <w:lang w:val="en-US" w:eastAsia="zh-CN"/>
        </w:rPr>
        <w:t>4</w:t>
      </w:r>
    </w:p>
    <w:p w14:paraId="4827C0CF"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1111</w:t>
      </w:r>
      <w:r w:rsidRPr="006E3B9B">
        <w:rPr>
          <w:lang w:val="en-US" w:eastAsia="zh-CN"/>
        </w:rPr>
        <w:t>号决议</w:t>
      </w:r>
      <w:r w:rsidRPr="006E3B9B">
        <w:rPr>
          <w:lang w:val="en-US" w:eastAsia="zh-CN"/>
        </w:rPr>
        <w:tab/>
      </w:r>
      <w:r w:rsidRPr="006E3B9B">
        <w:rPr>
          <w:rFonts w:hint="eastAsia"/>
          <w:lang w:eastAsia="zh-CN"/>
        </w:rPr>
        <w:t>电信展盈余基金</w:t>
      </w:r>
      <w:r w:rsidRPr="006E3B9B">
        <w:rPr>
          <w:lang w:val="en-US" w:eastAsia="zh-CN"/>
        </w:rPr>
        <w:tab/>
      </w:r>
      <w:r w:rsidR="005F6138">
        <w:rPr>
          <w:lang w:val="en-US" w:eastAsia="zh-CN"/>
        </w:rPr>
        <w:tab/>
      </w:r>
      <w:r w:rsidRPr="006E3B9B">
        <w:rPr>
          <w:rFonts w:hint="eastAsia"/>
          <w:lang w:val="en-US" w:eastAsia="zh-CN"/>
        </w:rPr>
        <w:t>1.2</w:t>
      </w:r>
    </w:p>
    <w:p w14:paraId="4827C0D0"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1112</w:t>
      </w:r>
      <w:r w:rsidRPr="006E3B9B">
        <w:rPr>
          <w:lang w:val="en-US" w:eastAsia="zh-CN"/>
        </w:rPr>
        <w:t>号决议</w:t>
      </w:r>
      <w:r w:rsidRPr="006E3B9B">
        <w:rPr>
          <w:lang w:val="en-US" w:eastAsia="zh-CN"/>
        </w:rPr>
        <w:tab/>
      </w:r>
      <w:r w:rsidRPr="006E3B9B">
        <w:rPr>
          <w:lang w:val="fr-FR" w:eastAsia="zh-CN"/>
        </w:rPr>
        <w:t>ITU-2000</w:t>
      </w:r>
      <w:r w:rsidRPr="006E3B9B">
        <w:rPr>
          <w:rFonts w:hint="eastAsia"/>
          <w:lang w:val="fr-FR" w:eastAsia="zh-CN"/>
        </w:rPr>
        <w:t>建议书</w:t>
      </w:r>
      <w:r w:rsidRPr="006E3B9B">
        <w:rPr>
          <w:lang w:val="en-US" w:eastAsia="zh-CN"/>
        </w:rPr>
        <w:tab/>
      </w:r>
      <w:r w:rsidR="005F6138">
        <w:rPr>
          <w:lang w:val="en-US" w:eastAsia="zh-CN"/>
        </w:rPr>
        <w:tab/>
      </w:r>
      <w:r w:rsidRPr="006E3B9B">
        <w:rPr>
          <w:lang w:val="en-US" w:eastAsia="zh-CN"/>
        </w:rPr>
        <w:t>1999</w:t>
      </w:r>
      <w:r w:rsidRPr="006E3B9B">
        <w:rPr>
          <w:rFonts w:hint="eastAsia"/>
          <w:lang w:val="en-US" w:eastAsia="zh-CN"/>
        </w:rPr>
        <w:t>年</w:t>
      </w:r>
    </w:p>
    <w:p w14:paraId="4827C0D1"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1113</w:t>
      </w:r>
      <w:r w:rsidRPr="006E3B9B">
        <w:rPr>
          <w:lang w:val="en-US" w:eastAsia="zh-CN"/>
        </w:rPr>
        <w:t>号决议</w:t>
      </w:r>
      <w:r w:rsidRPr="006E3B9B">
        <w:rPr>
          <w:lang w:val="en-US" w:eastAsia="zh-CN"/>
        </w:rPr>
        <w:tab/>
      </w:r>
      <w:r w:rsidRPr="006E3B9B">
        <w:rPr>
          <w:rFonts w:hint="eastAsia"/>
          <w:lang w:eastAsia="zh-CN"/>
        </w:rPr>
        <w:t>无线电通信局处理空间通知的成本回收</w:t>
      </w:r>
      <w:r w:rsidRPr="006E3B9B">
        <w:rPr>
          <w:lang w:val="en-US" w:eastAsia="zh-CN"/>
        </w:rPr>
        <w:tab/>
      </w:r>
      <w:r w:rsidR="005F6138">
        <w:rPr>
          <w:lang w:val="en-US" w:eastAsia="zh-CN"/>
        </w:rPr>
        <w:tab/>
      </w:r>
      <w:r w:rsidRPr="006E3B9B">
        <w:rPr>
          <w:rFonts w:hint="eastAsia"/>
          <w:lang w:val="en-US" w:eastAsia="zh-CN"/>
        </w:rPr>
        <w:t>2002</w:t>
      </w:r>
      <w:r w:rsidRPr="006E3B9B">
        <w:rPr>
          <w:rFonts w:hint="eastAsia"/>
          <w:lang w:val="en-US" w:eastAsia="zh-CN"/>
        </w:rPr>
        <w:t>年</w:t>
      </w:r>
    </w:p>
    <w:p w14:paraId="4827C0D2"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1114</w:t>
      </w:r>
      <w:r w:rsidRPr="006E3B9B">
        <w:rPr>
          <w:lang w:val="en-US" w:eastAsia="zh-CN"/>
        </w:rPr>
        <w:t>号决议</w:t>
      </w:r>
      <w:r w:rsidRPr="006E3B9B">
        <w:rPr>
          <w:lang w:val="en-US" w:eastAsia="zh-CN"/>
        </w:rPr>
        <w:tab/>
      </w:r>
      <w:r w:rsidRPr="006E3B9B">
        <w:rPr>
          <w:rFonts w:hint="eastAsia"/>
          <w:lang w:eastAsia="zh-CN"/>
        </w:rPr>
        <w:t>区域代表处</w:t>
      </w:r>
      <w:r w:rsidRPr="006E3B9B">
        <w:rPr>
          <w:lang w:val="en-US" w:eastAsia="zh-CN"/>
        </w:rPr>
        <w:tab/>
      </w:r>
      <w:r w:rsidR="005F6138">
        <w:rPr>
          <w:lang w:val="en-US" w:eastAsia="zh-CN"/>
        </w:rPr>
        <w:tab/>
      </w:r>
      <w:r w:rsidRPr="006E3B9B">
        <w:rPr>
          <w:lang w:val="en-US" w:eastAsia="zh-CN"/>
        </w:rPr>
        <w:t>5.4</w:t>
      </w:r>
    </w:p>
    <w:p w14:paraId="4827C0D3"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1115</w:t>
      </w:r>
      <w:r w:rsidRPr="006E3B9B">
        <w:rPr>
          <w:lang w:val="en-US" w:eastAsia="zh-CN"/>
        </w:rPr>
        <w:t>号决议</w:t>
      </w:r>
      <w:r w:rsidRPr="006E3B9B">
        <w:rPr>
          <w:lang w:val="en-US" w:eastAsia="zh-CN"/>
        </w:rPr>
        <w:tab/>
      </w:r>
      <w:r w:rsidRPr="006E3B9B">
        <w:rPr>
          <w:rFonts w:hint="eastAsia"/>
          <w:lang w:val="en-US" w:eastAsia="zh-CN"/>
        </w:rPr>
        <w:t>关于</w:t>
      </w:r>
      <w:r w:rsidRPr="006E3B9B">
        <w:rPr>
          <w:rFonts w:hint="eastAsia"/>
          <w:lang w:eastAsia="zh-CN"/>
        </w:rPr>
        <w:t>合法截收电信的技术要求的国际协调</w:t>
      </w:r>
      <w:r w:rsidRPr="006E3B9B">
        <w:rPr>
          <w:lang w:val="en-US" w:eastAsia="zh-CN"/>
        </w:rPr>
        <w:tab/>
      </w:r>
      <w:r w:rsidR="005F6138">
        <w:rPr>
          <w:lang w:val="en-US" w:eastAsia="zh-CN"/>
        </w:rPr>
        <w:tab/>
      </w:r>
      <w:r w:rsidRPr="006E3B9B">
        <w:rPr>
          <w:lang w:val="en-US" w:eastAsia="zh-CN"/>
        </w:rPr>
        <w:t>5.1</w:t>
      </w:r>
    </w:p>
    <w:p w14:paraId="4827C0D4" w14:textId="77777777" w:rsidR="006E3B9B" w:rsidRPr="006E3B9B" w:rsidRDefault="006E3B9B" w:rsidP="003E11A1">
      <w:pPr>
        <w:pStyle w:val="Reftitle"/>
        <w:rPr>
          <w:lang w:val="en-US" w:eastAsia="zh-CN"/>
        </w:rPr>
      </w:pPr>
      <w:r w:rsidRPr="006E3B9B">
        <w:rPr>
          <w:lang w:eastAsia="zh-CN"/>
        </w:rPr>
        <w:t>1998</w:t>
      </w:r>
      <w:r w:rsidRPr="006E3B9B">
        <w:rPr>
          <w:rFonts w:hint="eastAsia"/>
          <w:lang w:eastAsia="zh-CN"/>
        </w:rPr>
        <w:t>年会议（</w:t>
      </w:r>
      <w:r w:rsidRPr="006E3B9B">
        <w:rPr>
          <w:lang w:eastAsia="zh-CN"/>
        </w:rPr>
        <w:t>1998</w:t>
      </w:r>
      <w:r w:rsidRPr="006E3B9B">
        <w:rPr>
          <w:rFonts w:hint="eastAsia"/>
          <w:lang w:eastAsia="zh-CN"/>
        </w:rPr>
        <w:t>年</w:t>
      </w:r>
      <w:r w:rsidRPr="006E3B9B">
        <w:rPr>
          <w:lang w:eastAsia="zh-CN"/>
        </w:rPr>
        <w:t>5</w:t>
      </w:r>
      <w:r w:rsidRPr="006E3B9B">
        <w:rPr>
          <w:rFonts w:hint="eastAsia"/>
          <w:lang w:eastAsia="zh-CN"/>
        </w:rPr>
        <w:t>月）</w:t>
      </w:r>
    </w:p>
    <w:p w14:paraId="4827C0D5"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1116</w:t>
      </w:r>
      <w:r w:rsidRPr="006E3B9B">
        <w:rPr>
          <w:lang w:val="en-US" w:eastAsia="zh-CN"/>
        </w:rPr>
        <w:t>号决议</w:t>
      </w:r>
      <w:r w:rsidRPr="006E3B9B">
        <w:rPr>
          <w:lang w:val="en-US" w:eastAsia="zh-CN"/>
        </w:rPr>
        <w:tab/>
      </w:r>
      <w:r w:rsidRPr="006E3B9B">
        <w:rPr>
          <w:lang w:eastAsia="zh-CN"/>
        </w:rPr>
        <w:t>GMPCS-MoU</w:t>
      </w:r>
      <w:r w:rsidRPr="006E3B9B">
        <w:rPr>
          <w:rFonts w:hint="eastAsia"/>
          <w:lang w:eastAsia="zh-CN"/>
        </w:rPr>
        <w:t>安排的实施</w:t>
      </w:r>
      <w:r w:rsidRPr="00077E87">
        <w:rPr>
          <w:bCs/>
          <w:lang w:val="en-US" w:eastAsia="zh-CN"/>
        </w:rPr>
        <w:tab/>
      </w:r>
      <w:r w:rsidR="005F6138">
        <w:rPr>
          <w:b/>
          <w:lang w:val="en-US" w:eastAsia="zh-CN"/>
        </w:rPr>
        <w:tab/>
      </w:r>
      <w:r w:rsidRPr="006E3B9B">
        <w:rPr>
          <w:lang w:val="en-US" w:eastAsia="zh-CN"/>
        </w:rPr>
        <w:t>4</w:t>
      </w:r>
    </w:p>
    <w:p w14:paraId="4827C0D6"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1117</w:t>
      </w:r>
      <w:r w:rsidRPr="006E3B9B">
        <w:rPr>
          <w:lang w:val="en-US" w:eastAsia="zh-CN"/>
        </w:rPr>
        <w:t>号决议</w:t>
      </w:r>
      <w:r w:rsidRPr="006E3B9B">
        <w:rPr>
          <w:lang w:val="en-US" w:eastAsia="zh-CN"/>
        </w:rPr>
        <w:tab/>
      </w:r>
      <w:r w:rsidRPr="006E3B9B">
        <w:rPr>
          <w:rFonts w:hint="eastAsia"/>
          <w:lang w:eastAsia="zh-CN"/>
        </w:rPr>
        <w:t>进一步审议包括使用国际电联名称、缩写、旗帜和标志在内的收入备选方案</w:t>
      </w:r>
      <w:r w:rsidRPr="006E3B9B">
        <w:rPr>
          <w:lang w:val="en-US" w:eastAsia="zh-CN"/>
        </w:rPr>
        <w:tab/>
      </w:r>
      <w:r w:rsidR="005F6138">
        <w:rPr>
          <w:lang w:val="en-US" w:eastAsia="zh-CN"/>
        </w:rPr>
        <w:tab/>
      </w:r>
      <w:r w:rsidRPr="006E3B9B">
        <w:rPr>
          <w:lang w:val="en-US" w:eastAsia="zh-CN"/>
        </w:rPr>
        <w:t>2002</w:t>
      </w:r>
      <w:r w:rsidRPr="006E3B9B">
        <w:rPr>
          <w:rFonts w:hint="eastAsia"/>
          <w:lang w:val="en-US" w:eastAsia="zh-CN"/>
        </w:rPr>
        <w:t>年</w:t>
      </w:r>
    </w:p>
    <w:p w14:paraId="4827C0D7"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1118</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1996/1997</w:t>
      </w:r>
      <w:r w:rsidRPr="006E3B9B">
        <w:rPr>
          <w:rFonts w:hint="eastAsia"/>
          <w:lang w:eastAsia="zh-CN"/>
        </w:rPr>
        <w:t>年双年度财务工作报告</w:t>
      </w:r>
      <w:r w:rsidRPr="006E3B9B">
        <w:rPr>
          <w:lang w:val="en-US" w:eastAsia="zh-CN"/>
        </w:rPr>
        <w:tab/>
      </w:r>
      <w:r w:rsidR="005F6138">
        <w:rPr>
          <w:lang w:val="en-US" w:eastAsia="zh-CN"/>
        </w:rPr>
        <w:tab/>
      </w:r>
      <w:r w:rsidRPr="006E3B9B">
        <w:rPr>
          <w:lang w:val="en-US" w:eastAsia="zh-CN"/>
        </w:rPr>
        <w:t>2001</w:t>
      </w:r>
      <w:r w:rsidRPr="006E3B9B">
        <w:rPr>
          <w:rFonts w:hint="eastAsia"/>
          <w:lang w:val="en-US" w:eastAsia="zh-CN"/>
        </w:rPr>
        <w:t>年</w:t>
      </w:r>
    </w:p>
    <w:p w14:paraId="4827C0D8"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1119</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1996</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1</w:t>
      </w:r>
      <w:r w:rsidRPr="006E3B9B">
        <w:rPr>
          <w:rFonts w:hint="eastAsia"/>
          <w:lang w:eastAsia="zh-CN"/>
        </w:rPr>
        <w:t>日至</w:t>
      </w:r>
      <w:r w:rsidRPr="006E3B9B">
        <w:rPr>
          <w:lang w:eastAsia="zh-CN"/>
        </w:rPr>
        <w:t>1997</w:t>
      </w:r>
      <w:r w:rsidRPr="006E3B9B">
        <w:rPr>
          <w:rFonts w:hint="eastAsia"/>
          <w:lang w:eastAsia="zh-CN"/>
        </w:rPr>
        <w:t>年</w:t>
      </w:r>
      <w:r w:rsidRPr="006E3B9B">
        <w:rPr>
          <w:lang w:eastAsia="zh-CN"/>
        </w:rPr>
        <w:t>12</w:t>
      </w:r>
      <w:r w:rsidRPr="006E3B9B">
        <w:rPr>
          <w:rFonts w:hint="eastAsia"/>
          <w:lang w:eastAsia="zh-CN"/>
        </w:rPr>
        <w:t>月</w:t>
      </w:r>
      <w:r w:rsidRPr="006E3B9B">
        <w:rPr>
          <w:lang w:eastAsia="zh-CN"/>
        </w:rPr>
        <w:t>31</w:t>
      </w:r>
      <w:r w:rsidRPr="006E3B9B">
        <w:rPr>
          <w:rFonts w:hint="eastAsia"/>
          <w:lang w:eastAsia="zh-CN"/>
        </w:rPr>
        <w:t>日账目的外部审计</w:t>
      </w:r>
      <w:r w:rsidRPr="006E3B9B">
        <w:rPr>
          <w:lang w:val="en-US" w:eastAsia="zh-CN"/>
        </w:rPr>
        <w:tab/>
      </w:r>
      <w:r w:rsidR="005F6138">
        <w:rPr>
          <w:lang w:val="en-US" w:eastAsia="zh-CN"/>
        </w:rPr>
        <w:tab/>
      </w:r>
      <w:r w:rsidRPr="006E3B9B">
        <w:rPr>
          <w:lang w:val="en-US" w:eastAsia="zh-CN"/>
        </w:rPr>
        <w:t>2001</w:t>
      </w:r>
      <w:r w:rsidRPr="006E3B9B">
        <w:rPr>
          <w:rFonts w:hint="eastAsia"/>
          <w:lang w:val="en-US" w:eastAsia="zh-CN"/>
        </w:rPr>
        <w:t>年</w:t>
      </w:r>
    </w:p>
    <w:p w14:paraId="4827C0D9"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1120</w:t>
      </w:r>
      <w:r w:rsidRPr="006E3B9B">
        <w:rPr>
          <w:lang w:val="en-US" w:eastAsia="zh-CN"/>
        </w:rPr>
        <w:t>号决议</w:t>
      </w:r>
      <w:r w:rsidRPr="006E3B9B">
        <w:rPr>
          <w:lang w:val="en-US" w:eastAsia="zh-CN"/>
        </w:rPr>
        <w:tab/>
      </w:r>
      <w:r w:rsidRPr="006E3B9B">
        <w:rPr>
          <w:rFonts w:hint="eastAsia"/>
          <w:lang w:val="en-US" w:eastAsia="zh-CN"/>
        </w:rPr>
        <w:t>19</w:t>
      </w:r>
      <w:r w:rsidRPr="006E3B9B">
        <w:rPr>
          <w:lang w:eastAsia="zh-CN"/>
        </w:rPr>
        <w:t>96</w:t>
      </w:r>
      <w:r w:rsidRPr="006E3B9B">
        <w:rPr>
          <w:rFonts w:hint="eastAsia"/>
          <w:lang w:eastAsia="zh-CN"/>
        </w:rPr>
        <w:t>年美洲电信展相关账目的外部审计</w:t>
      </w:r>
      <w:r w:rsidRPr="006E3B9B">
        <w:rPr>
          <w:lang w:val="en-US" w:eastAsia="zh-CN"/>
        </w:rPr>
        <w:tab/>
      </w:r>
      <w:r w:rsidR="005F6138">
        <w:rPr>
          <w:lang w:val="en-US" w:eastAsia="zh-CN"/>
        </w:rPr>
        <w:tab/>
      </w:r>
      <w:r w:rsidRPr="006E3B9B">
        <w:rPr>
          <w:lang w:val="en-US" w:eastAsia="zh-CN"/>
        </w:rPr>
        <w:t>2001</w:t>
      </w:r>
      <w:r w:rsidRPr="006E3B9B">
        <w:rPr>
          <w:rFonts w:hint="eastAsia"/>
          <w:lang w:val="en-US" w:eastAsia="zh-CN"/>
        </w:rPr>
        <w:t>年</w:t>
      </w:r>
    </w:p>
    <w:p w14:paraId="4827C0DA"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1121</w:t>
      </w:r>
      <w:r w:rsidRPr="006E3B9B">
        <w:rPr>
          <w:lang w:val="en-US" w:eastAsia="zh-CN"/>
        </w:rPr>
        <w:t>号决议</w:t>
      </w:r>
      <w:r w:rsidRPr="006E3B9B">
        <w:rPr>
          <w:lang w:val="en-US" w:eastAsia="zh-CN"/>
        </w:rPr>
        <w:tab/>
      </w:r>
      <w:r w:rsidRPr="006E3B9B">
        <w:rPr>
          <w:rFonts w:hint="eastAsia"/>
          <w:lang w:eastAsia="zh-CN"/>
        </w:rPr>
        <w:t>无线电通信部门的追加拨款</w:t>
      </w:r>
      <w:r w:rsidRPr="006E3B9B">
        <w:rPr>
          <w:lang w:val="en-US" w:eastAsia="zh-CN"/>
        </w:rPr>
        <w:tab/>
      </w:r>
      <w:r w:rsidR="005F6138">
        <w:rPr>
          <w:lang w:val="en-US" w:eastAsia="zh-CN"/>
        </w:rPr>
        <w:tab/>
      </w:r>
      <w:r w:rsidRPr="006E3B9B">
        <w:rPr>
          <w:rFonts w:hint="eastAsia"/>
          <w:lang w:val="en-US" w:eastAsia="zh-CN"/>
        </w:rPr>
        <w:t>2003</w:t>
      </w:r>
      <w:r w:rsidRPr="006E3B9B">
        <w:rPr>
          <w:rFonts w:hint="eastAsia"/>
          <w:lang w:val="en-US" w:eastAsia="zh-CN"/>
        </w:rPr>
        <w:t>年</w:t>
      </w:r>
    </w:p>
    <w:p w14:paraId="4827C0DB"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1122</w:t>
      </w:r>
      <w:r w:rsidRPr="006E3B9B">
        <w:rPr>
          <w:lang w:val="en-US" w:eastAsia="zh-CN"/>
        </w:rPr>
        <w:t>号决议</w:t>
      </w:r>
      <w:r w:rsidRPr="006E3B9B">
        <w:rPr>
          <w:lang w:val="en-US" w:eastAsia="zh-CN"/>
        </w:rPr>
        <w:tab/>
      </w:r>
      <w:r w:rsidRPr="006E3B9B">
        <w:rPr>
          <w:rFonts w:hint="eastAsia"/>
          <w:lang w:eastAsia="zh-CN"/>
        </w:rPr>
        <w:t>摊付国际电联费用的会费份额</w:t>
      </w:r>
      <w:r w:rsidRPr="006E3B9B">
        <w:rPr>
          <w:lang w:val="en-US" w:eastAsia="zh-CN"/>
        </w:rPr>
        <w:t xml:space="preserve"> </w:t>
      </w:r>
      <w:r w:rsidRPr="006E3B9B">
        <w:rPr>
          <w:lang w:eastAsia="zh-CN"/>
        </w:rPr>
        <w:t xml:space="preserve">– </w:t>
      </w:r>
      <w:r w:rsidRPr="006E3B9B">
        <w:rPr>
          <w:rFonts w:hint="eastAsia"/>
          <w:lang w:eastAsia="zh-CN"/>
        </w:rPr>
        <w:t>马拉维</w:t>
      </w:r>
      <w:r w:rsidRPr="006E3B9B">
        <w:rPr>
          <w:lang w:val="en-US" w:eastAsia="zh-CN"/>
        </w:rPr>
        <w:tab/>
      </w:r>
      <w:r w:rsidR="005F6138">
        <w:rPr>
          <w:lang w:val="en-US" w:eastAsia="zh-CN"/>
        </w:rPr>
        <w:tab/>
      </w:r>
      <w:r w:rsidRPr="006E3B9B">
        <w:rPr>
          <w:rFonts w:hint="eastAsia"/>
          <w:lang w:val="en-US" w:eastAsia="zh-CN"/>
        </w:rPr>
        <w:t>2006</w:t>
      </w:r>
      <w:r w:rsidRPr="006E3B9B">
        <w:rPr>
          <w:rFonts w:hint="eastAsia"/>
          <w:lang w:val="en-US" w:eastAsia="zh-CN"/>
        </w:rPr>
        <w:t>年</w:t>
      </w:r>
    </w:p>
    <w:p w14:paraId="4827C0DC"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1123</w:t>
      </w:r>
      <w:r w:rsidRPr="006E3B9B">
        <w:rPr>
          <w:lang w:val="en-US" w:eastAsia="zh-CN"/>
        </w:rPr>
        <w:t>号决议</w:t>
      </w:r>
      <w:r w:rsidRPr="006E3B9B">
        <w:rPr>
          <w:lang w:val="en-US" w:eastAsia="zh-CN"/>
        </w:rPr>
        <w:tab/>
      </w:r>
      <w:r w:rsidRPr="006E3B9B">
        <w:rPr>
          <w:rFonts w:hint="eastAsia"/>
          <w:lang w:eastAsia="zh-CN"/>
        </w:rPr>
        <w:t>摊付国际电联费用的会费份额</w:t>
      </w:r>
      <w:r w:rsidRPr="006E3B9B">
        <w:rPr>
          <w:lang w:val="en-US" w:eastAsia="zh-CN"/>
        </w:rPr>
        <w:t xml:space="preserve"> </w:t>
      </w:r>
      <w:r w:rsidRPr="006E3B9B">
        <w:rPr>
          <w:lang w:eastAsia="zh-CN"/>
        </w:rPr>
        <w:t xml:space="preserve">– </w:t>
      </w:r>
      <w:r w:rsidRPr="006E3B9B">
        <w:rPr>
          <w:rFonts w:hint="eastAsia"/>
          <w:lang w:eastAsia="zh-CN"/>
        </w:rPr>
        <w:t>厄立特里亚</w:t>
      </w:r>
      <w:r w:rsidRPr="006E3B9B">
        <w:rPr>
          <w:lang w:val="en-US" w:eastAsia="zh-CN"/>
        </w:rPr>
        <w:tab/>
      </w:r>
      <w:r w:rsidR="005F6138">
        <w:rPr>
          <w:lang w:val="en-US" w:eastAsia="zh-CN"/>
        </w:rPr>
        <w:tab/>
      </w:r>
      <w:r w:rsidRPr="006E3B9B">
        <w:rPr>
          <w:rFonts w:hint="eastAsia"/>
          <w:lang w:val="en-US" w:eastAsia="zh-CN"/>
        </w:rPr>
        <w:t>2006</w:t>
      </w:r>
      <w:r w:rsidRPr="006E3B9B">
        <w:rPr>
          <w:rFonts w:hint="eastAsia"/>
          <w:lang w:val="en-US" w:eastAsia="zh-CN"/>
        </w:rPr>
        <w:t>年</w:t>
      </w:r>
    </w:p>
    <w:p w14:paraId="4827C0DD"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1124</w:t>
      </w:r>
      <w:r w:rsidRPr="006E3B9B">
        <w:rPr>
          <w:lang w:val="en-US" w:eastAsia="zh-CN"/>
        </w:rPr>
        <w:t>号决议</w:t>
      </w:r>
      <w:r w:rsidRPr="006E3B9B">
        <w:rPr>
          <w:lang w:val="en-US" w:eastAsia="zh-CN"/>
        </w:rPr>
        <w:tab/>
      </w:r>
      <w:r w:rsidRPr="006E3B9B">
        <w:rPr>
          <w:rFonts w:hint="eastAsia"/>
          <w:lang w:eastAsia="zh-CN"/>
        </w:rPr>
        <w:t>摊付国际电联费用的会费份额</w:t>
      </w:r>
      <w:r w:rsidRPr="006E3B9B">
        <w:rPr>
          <w:lang w:val="en-US" w:eastAsia="zh-CN"/>
        </w:rPr>
        <w:t xml:space="preserve"> </w:t>
      </w:r>
      <w:r w:rsidRPr="006E3B9B">
        <w:rPr>
          <w:lang w:eastAsia="zh-CN"/>
        </w:rPr>
        <w:t xml:space="preserve">– </w:t>
      </w:r>
      <w:r w:rsidRPr="006E3B9B">
        <w:rPr>
          <w:rFonts w:hint="eastAsia"/>
          <w:lang w:eastAsia="zh-CN"/>
        </w:rPr>
        <w:t>海地</w:t>
      </w:r>
      <w:r w:rsidRPr="006E3B9B">
        <w:rPr>
          <w:lang w:val="en-US" w:eastAsia="zh-CN"/>
        </w:rPr>
        <w:tab/>
      </w:r>
      <w:r w:rsidR="005F6138">
        <w:rPr>
          <w:lang w:val="en-US" w:eastAsia="zh-CN"/>
        </w:rPr>
        <w:tab/>
      </w:r>
      <w:r w:rsidRPr="006E3B9B">
        <w:rPr>
          <w:rFonts w:hint="eastAsia"/>
          <w:lang w:val="en-US" w:eastAsia="zh-CN"/>
        </w:rPr>
        <w:t>2006</w:t>
      </w:r>
      <w:r w:rsidRPr="006E3B9B">
        <w:rPr>
          <w:rFonts w:hint="eastAsia"/>
          <w:lang w:val="en-US" w:eastAsia="zh-CN"/>
        </w:rPr>
        <w:t>年</w:t>
      </w:r>
    </w:p>
    <w:p w14:paraId="4827C0DE"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1125</w:t>
      </w:r>
      <w:r w:rsidRPr="006E3B9B">
        <w:rPr>
          <w:lang w:val="en-US" w:eastAsia="zh-CN"/>
        </w:rPr>
        <w:t>号决议</w:t>
      </w:r>
      <w:r w:rsidRPr="006E3B9B">
        <w:rPr>
          <w:lang w:val="en-US" w:eastAsia="zh-CN"/>
        </w:rPr>
        <w:tab/>
      </w:r>
      <w:r w:rsidRPr="006E3B9B">
        <w:rPr>
          <w:rFonts w:hint="eastAsia"/>
          <w:lang w:eastAsia="zh-CN"/>
        </w:rPr>
        <w:t>国际电联职员养恤金委员会的委员</w:t>
      </w:r>
      <w:r w:rsidRPr="006E3B9B">
        <w:rPr>
          <w:lang w:val="en-US" w:eastAsia="zh-CN"/>
        </w:rPr>
        <w:tab/>
      </w:r>
      <w:r w:rsidR="005F6138">
        <w:rPr>
          <w:lang w:val="en-US" w:eastAsia="zh-CN"/>
        </w:rPr>
        <w:tab/>
      </w:r>
      <w:r w:rsidRPr="006E3B9B">
        <w:rPr>
          <w:lang w:val="en-US" w:eastAsia="zh-CN"/>
        </w:rPr>
        <w:t>2002</w:t>
      </w:r>
      <w:r w:rsidRPr="006E3B9B">
        <w:rPr>
          <w:rFonts w:hint="eastAsia"/>
          <w:lang w:val="en-US" w:eastAsia="zh-CN"/>
        </w:rPr>
        <w:t>年</w:t>
      </w:r>
    </w:p>
    <w:p w14:paraId="4827C0DF"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1126</w:t>
      </w:r>
      <w:r w:rsidRPr="006E3B9B">
        <w:rPr>
          <w:lang w:val="en-US" w:eastAsia="zh-CN"/>
        </w:rPr>
        <w:t>号决议</w:t>
      </w:r>
      <w:r w:rsidRPr="006E3B9B">
        <w:rPr>
          <w:lang w:val="en-US" w:eastAsia="zh-CN"/>
        </w:rPr>
        <w:tab/>
      </w:r>
      <w:r w:rsidRPr="006E3B9B">
        <w:rPr>
          <w:rFonts w:hint="eastAsia"/>
          <w:lang w:eastAsia="zh-CN"/>
        </w:rPr>
        <w:t>适用于国际电联委任职员的《人事规则》修正案</w:t>
      </w:r>
      <w:r w:rsidRPr="006E3B9B">
        <w:rPr>
          <w:lang w:val="en-US" w:eastAsia="zh-CN"/>
        </w:rPr>
        <w:tab/>
      </w:r>
      <w:r w:rsidR="005F6138">
        <w:rPr>
          <w:lang w:val="en-US" w:eastAsia="zh-CN"/>
        </w:rPr>
        <w:tab/>
      </w:r>
      <w:r w:rsidRPr="006E3B9B">
        <w:rPr>
          <w:lang w:val="en-US" w:eastAsia="zh-CN"/>
        </w:rPr>
        <w:t>2002</w:t>
      </w:r>
      <w:r w:rsidRPr="006E3B9B">
        <w:rPr>
          <w:rFonts w:hint="eastAsia"/>
          <w:lang w:val="en-US" w:eastAsia="zh-CN"/>
        </w:rPr>
        <w:t>年</w:t>
      </w:r>
    </w:p>
    <w:p w14:paraId="4827C0E0"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1127</w:t>
      </w:r>
      <w:r w:rsidRPr="006E3B9B">
        <w:rPr>
          <w:lang w:val="en-US" w:eastAsia="zh-CN"/>
        </w:rPr>
        <w:t>号决议</w:t>
      </w:r>
      <w:r w:rsidRPr="006E3B9B">
        <w:rPr>
          <w:lang w:val="en-US" w:eastAsia="zh-CN"/>
        </w:rPr>
        <w:tab/>
      </w:r>
      <w:r w:rsidRPr="006E3B9B">
        <w:rPr>
          <w:rFonts w:hint="eastAsia"/>
          <w:lang w:eastAsia="zh-CN"/>
        </w:rPr>
        <w:t>国际电联选任官员的服务条件</w:t>
      </w:r>
      <w:r w:rsidRPr="006E3B9B">
        <w:rPr>
          <w:lang w:val="en-US" w:eastAsia="zh-CN"/>
        </w:rPr>
        <w:tab/>
      </w:r>
      <w:r w:rsidR="005F6138">
        <w:rPr>
          <w:lang w:val="en-US" w:eastAsia="zh-CN"/>
        </w:rPr>
        <w:tab/>
      </w:r>
      <w:r w:rsidRPr="006E3B9B">
        <w:rPr>
          <w:lang w:val="en-US" w:eastAsia="zh-CN"/>
        </w:rPr>
        <w:t>2000</w:t>
      </w:r>
      <w:r w:rsidRPr="006E3B9B">
        <w:rPr>
          <w:rFonts w:hint="eastAsia"/>
          <w:lang w:val="en-US" w:eastAsia="zh-CN"/>
        </w:rPr>
        <w:t>年</w:t>
      </w:r>
    </w:p>
    <w:p w14:paraId="4827C0E1"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1128</w:t>
      </w:r>
      <w:r w:rsidRPr="006E3B9B">
        <w:rPr>
          <w:lang w:val="en-US" w:eastAsia="zh-CN"/>
        </w:rPr>
        <w:t>号决议</w:t>
      </w:r>
      <w:r w:rsidRPr="006E3B9B">
        <w:rPr>
          <w:lang w:val="en-US" w:eastAsia="zh-CN"/>
        </w:rPr>
        <w:tab/>
      </w:r>
      <w:r w:rsidRPr="006E3B9B">
        <w:rPr>
          <w:rFonts w:hint="eastAsia"/>
          <w:lang w:eastAsia="zh-CN"/>
        </w:rPr>
        <w:t>国际电联职员退休金和福利基金的法定利息率</w:t>
      </w:r>
      <w:r w:rsidR="005F6138">
        <w:rPr>
          <w:lang w:eastAsia="zh-CN"/>
        </w:rPr>
        <w:tab/>
      </w:r>
      <w:r w:rsidRPr="006E3B9B">
        <w:rPr>
          <w:lang w:val="en-US" w:eastAsia="zh-CN"/>
        </w:rPr>
        <w:tab/>
      </w:r>
      <w:r w:rsidRPr="006E3B9B">
        <w:rPr>
          <w:rFonts w:hint="eastAsia"/>
          <w:lang w:val="en-US" w:eastAsia="zh-CN"/>
        </w:rPr>
        <w:t>2004</w:t>
      </w:r>
      <w:r w:rsidRPr="006E3B9B">
        <w:rPr>
          <w:rFonts w:hint="eastAsia"/>
          <w:lang w:val="en-US" w:eastAsia="zh-CN"/>
        </w:rPr>
        <w:t>年</w:t>
      </w:r>
    </w:p>
    <w:p w14:paraId="4827C0E2"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1129</w:t>
      </w:r>
      <w:r w:rsidRPr="006E3B9B">
        <w:rPr>
          <w:lang w:val="en-US" w:eastAsia="zh-CN"/>
        </w:rPr>
        <w:t>号决议</w:t>
      </w:r>
      <w:r w:rsidRPr="006E3B9B">
        <w:rPr>
          <w:lang w:val="en-US" w:eastAsia="zh-CN"/>
        </w:rPr>
        <w:tab/>
      </w:r>
      <w:r w:rsidRPr="006E3B9B">
        <w:rPr>
          <w:rFonts w:hint="eastAsia"/>
          <w:lang w:eastAsia="zh-CN"/>
        </w:rPr>
        <w:t>附录</w:t>
      </w:r>
      <w:r w:rsidRPr="006E3B9B">
        <w:rPr>
          <w:lang w:eastAsia="zh-CN"/>
        </w:rPr>
        <w:t>30</w:t>
      </w:r>
      <w:r w:rsidRPr="006E3B9B">
        <w:rPr>
          <w:rFonts w:hint="eastAsia"/>
          <w:lang w:eastAsia="zh-CN"/>
        </w:rPr>
        <w:t>和</w:t>
      </w:r>
      <w:r w:rsidRPr="006E3B9B">
        <w:rPr>
          <w:lang w:eastAsia="zh-CN"/>
        </w:rPr>
        <w:t>30A</w:t>
      </w:r>
      <w:r w:rsidRPr="006E3B9B">
        <w:rPr>
          <w:rFonts w:hint="eastAsia"/>
          <w:lang w:eastAsia="zh-CN"/>
        </w:rPr>
        <w:t>规划的修订</w:t>
      </w:r>
      <w:r w:rsidRPr="006E3B9B">
        <w:rPr>
          <w:lang w:val="en-US" w:eastAsia="zh-CN"/>
        </w:rPr>
        <w:tab/>
      </w:r>
      <w:r w:rsidR="005F6138">
        <w:rPr>
          <w:lang w:val="en-US" w:eastAsia="zh-CN"/>
        </w:rPr>
        <w:tab/>
      </w:r>
      <w:r w:rsidRPr="006E3B9B">
        <w:rPr>
          <w:lang w:val="en-US" w:eastAsia="zh-CN"/>
        </w:rPr>
        <w:t>2002</w:t>
      </w:r>
      <w:r w:rsidRPr="006E3B9B">
        <w:rPr>
          <w:rFonts w:hint="eastAsia"/>
          <w:lang w:val="en-US" w:eastAsia="zh-CN"/>
        </w:rPr>
        <w:t>年</w:t>
      </w:r>
    </w:p>
    <w:p w14:paraId="4827C0E3"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1130</w:t>
      </w:r>
      <w:r w:rsidRPr="006E3B9B">
        <w:rPr>
          <w:lang w:val="en-US" w:eastAsia="zh-CN"/>
        </w:rPr>
        <w:t>号决议</w:t>
      </w:r>
      <w:r w:rsidRPr="006E3B9B">
        <w:rPr>
          <w:lang w:val="en-US" w:eastAsia="zh-CN"/>
        </w:rPr>
        <w:tab/>
      </w:r>
      <w:r w:rsidRPr="006E3B9B">
        <w:rPr>
          <w:rFonts w:hint="eastAsia"/>
          <w:lang w:eastAsia="zh-CN"/>
        </w:rPr>
        <w:t>世界无线电通信大会（</w:t>
      </w:r>
      <w:r w:rsidRPr="006E3B9B">
        <w:rPr>
          <w:lang w:eastAsia="zh-CN"/>
        </w:rPr>
        <w:t>WRC-2000</w:t>
      </w:r>
      <w:r w:rsidRPr="006E3B9B">
        <w:rPr>
          <w:rFonts w:hint="eastAsia"/>
          <w:lang w:eastAsia="zh-CN"/>
        </w:rPr>
        <w:t>）的议程</w:t>
      </w:r>
      <w:r w:rsidRPr="006E3B9B">
        <w:rPr>
          <w:lang w:val="en-US" w:eastAsia="zh-CN"/>
        </w:rPr>
        <w:tab/>
      </w:r>
      <w:r w:rsidR="005F6138">
        <w:rPr>
          <w:lang w:val="en-US" w:eastAsia="zh-CN"/>
        </w:rPr>
        <w:tab/>
      </w:r>
      <w:r w:rsidRPr="006E3B9B">
        <w:rPr>
          <w:lang w:val="en-US" w:eastAsia="zh-CN"/>
        </w:rPr>
        <w:t>2001</w:t>
      </w:r>
      <w:r w:rsidRPr="006E3B9B">
        <w:rPr>
          <w:rFonts w:hint="eastAsia"/>
          <w:lang w:val="en-US" w:eastAsia="zh-CN"/>
        </w:rPr>
        <w:t>年</w:t>
      </w:r>
    </w:p>
    <w:p w14:paraId="4827C0E4" w14:textId="77777777" w:rsidR="006E3B9B" w:rsidRPr="006E3B9B" w:rsidRDefault="006E3B9B" w:rsidP="003E11A1">
      <w:pPr>
        <w:pStyle w:val="Reftitle"/>
        <w:rPr>
          <w:lang w:val="en-US" w:eastAsia="zh-CN"/>
        </w:rPr>
      </w:pPr>
      <w:r w:rsidRPr="006E3B9B">
        <w:rPr>
          <w:lang w:val="fr-FR" w:eastAsia="zh-CN"/>
        </w:rPr>
        <w:t>1999</w:t>
      </w:r>
      <w:r w:rsidRPr="006E3B9B">
        <w:rPr>
          <w:rFonts w:hint="eastAsia"/>
          <w:lang w:val="fr-FR" w:eastAsia="zh-CN"/>
        </w:rPr>
        <w:t>年会议（</w:t>
      </w:r>
      <w:r w:rsidRPr="006E3B9B">
        <w:rPr>
          <w:lang w:val="fr-FR" w:eastAsia="zh-CN"/>
        </w:rPr>
        <w:t>1999</w:t>
      </w:r>
      <w:r w:rsidRPr="006E3B9B">
        <w:rPr>
          <w:rFonts w:hint="eastAsia"/>
          <w:lang w:val="fr-FR" w:eastAsia="zh-CN"/>
        </w:rPr>
        <w:t>年</w:t>
      </w:r>
      <w:r w:rsidRPr="006E3B9B">
        <w:rPr>
          <w:lang w:val="fr-FR" w:eastAsia="zh-CN"/>
        </w:rPr>
        <w:t>6</w:t>
      </w:r>
      <w:r w:rsidRPr="006E3B9B">
        <w:rPr>
          <w:rFonts w:hint="eastAsia"/>
          <w:lang w:val="fr-FR" w:eastAsia="zh-CN"/>
        </w:rPr>
        <w:t>月）</w:t>
      </w:r>
    </w:p>
    <w:p w14:paraId="4827C0E5"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1131</w:t>
      </w:r>
      <w:r w:rsidRPr="006E3B9B">
        <w:rPr>
          <w:lang w:val="en-US" w:eastAsia="zh-CN"/>
        </w:rPr>
        <w:t>号决议</w:t>
      </w:r>
      <w:r w:rsidRPr="006E3B9B">
        <w:rPr>
          <w:lang w:val="en-US" w:eastAsia="zh-CN"/>
        </w:rPr>
        <w:tab/>
      </w:r>
      <w:r w:rsidRPr="006E3B9B">
        <w:rPr>
          <w:rFonts w:hint="eastAsia"/>
          <w:lang w:val="en-US" w:eastAsia="zh-CN"/>
        </w:rPr>
        <w:t>有关</w:t>
      </w:r>
      <w:r w:rsidRPr="006E3B9B">
        <w:rPr>
          <w:rFonts w:hint="eastAsia"/>
          <w:lang w:eastAsia="zh-CN"/>
        </w:rPr>
        <w:t>国际电联大会和全会的一般性条款</w:t>
      </w:r>
      <w:r w:rsidRPr="006E3B9B">
        <w:rPr>
          <w:lang w:val="en-US" w:eastAsia="zh-CN"/>
        </w:rPr>
        <w:tab/>
      </w:r>
      <w:r w:rsidR="005F6138">
        <w:rPr>
          <w:lang w:val="en-US" w:eastAsia="zh-CN"/>
        </w:rPr>
        <w:tab/>
      </w:r>
      <w:r w:rsidRPr="006E3B9B">
        <w:rPr>
          <w:rFonts w:hint="eastAsia"/>
          <w:lang w:val="en-US" w:eastAsia="zh-CN"/>
        </w:rPr>
        <w:t>2004</w:t>
      </w:r>
      <w:r w:rsidRPr="006E3B9B">
        <w:rPr>
          <w:rFonts w:hint="eastAsia"/>
          <w:lang w:val="en-US" w:eastAsia="zh-CN"/>
        </w:rPr>
        <w:t>年</w:t>
      </w:r>
    </w:p>
    <w:p w14:paraId="4827C0E6"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1132</w:t>
      </w:r>
      <w:r w:rsidRPr="006E3B9B">
        <w:rPr>
          <w:lang w:val="en-US" w:eastAsia="zh-CN"/>
        </w:rPr>
        <w:t>号决议</w:t>
      </w:r>
      <w:r w:rsidRPr="006E3B9B">
        <w:rPr>
          <w:lang w:val="en-US" w:eastAsia="zh-CN"/>
        </w:rPr>
        <w:tab/>
      </w:r>
      <w:r w:rsidRPr="006E3B9B">
        <w:rPr>
          <w:rFonts w:hint="eastAsia"/>
          <w:lang w:eastAsia="zh-CN"/>
        </w:rPr>
        <w:t>国际电联改革工作组</w:t>
      </w:r>
      <w:r w:rsidRPr="006E3B9B">
        <w:rPr>
          <w:lang w:val="en-US" w:eastAsia="zh-CN"/>
        </w:rPr>
        <w:tab/>
      </w:r>
      <w:r w:rsidR="005F6138">
        <w:rPr>
          <w:lang w:val="en-US" w:eastAsia="zh-CN"/>
        </w:rPr>
        <w:tab/>
      </w:r>
      <w:r w:rsidRPr="006E3B9B">
        <w:rPr>
          <w:lang w:val="en-US" w:eastAsia="zh-CN"/>
        </w:rPr>
        <w:t>2002</w:t>
      </w:r>
      <w:r w:rsidRPr="006E3B9B">
        <w:rPr>
          <w:rFonts w:hint="eastAsia"/>
          <w:lang w:val="en-US" w:eastAsia="zh-CN"/>
        </w:rPr>
        <w:t>年</w:t>
      </w:r>
    </w:p>
    <w:p w14:paraId="4827C0E7"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1133</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2000-2001</w:t>
      </w:r>
      <w:r w:rsidRPr="006E3B9B">
        <w:rPr>
          <w:rFonts w:hint="eastAsia"/>
          <w:lang w:eastAsia="zh-CN"/>
        </w:rPr>
        <w:t>双年度预算</w:t>
      </w:r>
      <w:r w:rsidRPr="006E3B9B">
        <w:rPr>
          <w:lang w:val="en-US" w:eastAsia="zh-CN"/>
        </w:rPr>
        <w:tab/>
      </w:r>
      <w:r w:rsidR="005F6138">
        <w:rPr>
          <w:lang w:val="en-US" w:eastAsia="zh-CN"/>
        </w:rPr>
        <w:tab/>
      </w:r>
      <w:r w:rsidRPr="006E3B9B">
        <w:rPr>
          <w:lang w:val="en-US" w:eastAsia="zh-CN"/>
        </w:rPr>
        <w:t>2002</w:t>
      </w:r>
      <w:r w:rsidRPr="006E3B9B">
        <w:rPr>
          <w:rFonts w:hint="eastAsia"/>
          <w:lang w:val="en-US" w:eastAsia="zh-CN"/>
        </w:rPr>
        <w:t>年</w:t>
      </w:r>
    </w:p>
    <w:p w14:paraId="4827C0E8"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1134</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1998</w:t>
      </w:r>
      <w:r w:rsidRPr="006E3B9B">
        <w:rPr>
          <w:rFonts w:hint="eastAsia"/>
          <w:lang w:eastAsia="zh-CN"/>
        </w:rPr>
        <w:t>年财务工作报告</w:t>
      </w:r>
      <w:r w:rsidRPr="006E3B9B">
        <w:rPr>
          <w:lang w:val="en-US" w:eastAsia="zh-CN"/>
        </w:rPr>
        <w:tab/>
      </w:r>
      <w:r w:rsidR="005F6138">
        <w:rPr>
          <w:lang w:val="en-US" w:eastAsia="zh-CN"/>
        </w:rPr>
        <w:tab/>
      </w:r>
      <w:r w:rsidRPr="006E3B9B">
        <w:rPr>
          <w:lang w:val="en-US" w:eastAsia="zh-CN"/>
        </w:rPr>
        <w:t>2001</w:t>
      </w:r>
      <w:r w:rsidRPr="006E3B9B">
        <w:rPr>
          <w:rFonts w:hint="eastAsia"/>
          <w:lang w:val="en-US" w:eastAsia="zh-CN"/>
        </w:rPr>
        <w:t>年</w:t>
      </w:r>
    </w:p>
    <w:p w14:paraId="4827C0E9"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1135</w:t>
      </w:r>
      <w:r w:rsidRPr="006E3B9B">
        <w:rPr>
          <w:lang w:val="en-US" w:eastAsia="zh-CN"/>
        </w:rPr>
        <w:t>号决议</w:t>
      </w:r>
      <w:r w:rsidRPr="006E3B9B">
        <w:rPr>
          <w:lang w:val="en-US" w:eastAsia="zh-CN"/>
        </w:rPr>
        <w:tab/>
      </w:r>
      <w:r w:rsidRPr="006E3B9B">
        <w:rPr>
          <w:rFonts w:hint="eastAsia"/>
          <w:lang w:val="en-US" w:eastAsia="zh-CN"/>
        </w:rPr>
        <w:t>19</w:t>
      </w:r>
      <w:r w:rsidRPr="006E3B9B">
        <w:rPr>
          <w:lang w:eastAsia="zh-CN"/>
        </w:rPr>
        <w:t>97</w:t>
      </w:r>
      <w:r w:rsidRPr="006E3B9B">
        <w:rPr>
          <w:rFonts w:hint="eastAsia"/>
          <w:lang w:eastAsia="zh-CN"/>
        </w:rPr>
        <w:t>年亚洲电信展相关活动的账目</w:t>
      </w:r>
      <w:r w:rsidRPr="006E3B9B">
        <w:rPr>
          <w:lang w:val="en-US" w:eastAsia="zh-CN"/>
        </w:rPr>
        <w:tab/>
      </w:r>
      <w:r w:rsidR="005F6138">
        <w:rPr>
          <w:lang w:val="en-US" w:eastAsia="zh-CN"/>
        </w:rPr>
        <w:tab/>
      </w:r>
      <w:r w:rsidRPr="006E3B9B">
        <w:rPr>
          <w:lang w:val="en-US" w:eastAsia="zh-CN"/>
        </w:rPr>
        <w:t>2001</w:t>
      </w:r>
      <w:r w:rsidRPr="006E3B9B">
        <w:rPr>
          <w:rFonts w:hint="eastAsia"/>
          <w:lang w:val="en-US" w:eastAsia="zh-CN"/>
        </w:rPr>
        <w:t>年</w:t>
      </w:r>
    </w:p>
    <w:p w14:paraId="4827C0EA"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1136</w:t>
      </w:r>
      <w:r w:rsidRPr="006E3B9B">
        <w:rPr>
          <w:lang w:val="en-US" w:eastAsia="zh-CN"/>
        </w:rPr>
        <w:t>号决议</w:t>
      </w:r>
      <w:r w:rsidRPr="006E3B9B">
        <w:rPr>
          <w:lang w:val="en-US" w:eastAsia="zh-CN"/>
        </w:rPr>
        <w:tab/>
      </w:r>
      <w:r w:rsidRPr="006E3B9B">
        <w:rPr>
          <w:rFonts w:hint="eastAsia"/>
          <w:lang w:val="en-US" w:eastAsia="zh-CN"/>
        </w:rPr>
        <w:t>19</w:t>
      </w:r>
      <w:r w:rsidRPr="006E3B9B">
        <w:rPr>
          <w:lang w:eastAsia="zh-CN"/>
        </w:rPr>
        <w:t>97</w:t>
      </w:r>
      <w:r w:rsidRPr="006E3B9B">
        <w:rPr>
          <w:rFonts w:hint="eastAsia"/>
          <w:lang w:eastAsia="zh-CN"/>
        </w:rPr>
        <w:t>年世界电信展及相关活动的账目</w:t>
      </w:r>
      <w:r w:rsidRPr="006E3B9B">
        <w:rPr>
          <w:lang w:val="en-US" w:eastAsia="zh-CN"/>
        </w:rPr>
        <w:tab/>
      </w:r>
      <w:r w:rsidR="005F6138">
        <w:rPr>
          <w:lang w:val="en-US" w:eastAsia="zh-CN"/>
        </w:rPr>
        <w:tab/>
      </w:r>
      <w:r w:rsidRPr="006E3B9B">
        <w:rPr>
          <w:lang w:val="en-US" w:eastAsia="zh-CN"/>
        </w:rPr>
        <w:t>2001</w:t>
      </w:r>
      <w:r w:rsidRPr="006E3B9B">
        <w:rPr>
          <w:rFonts w:hint="eastAsia"/>
          <w:lang w:val="en-US" w:eastAsia="zh-CN"/>
        </w:rPr>
        <w:t>年</w:t>
      </w:r>
    </w:p>
    <w:p w14:paraId="4827C0EB"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1137</w:t>
      </w:r>
      <w:r w:rsidRPr="006E3B9B">
        <w:rPr>
          <w:lang w:val="en-US" w:eastAsia="zh-CN"/>
        </w:rPr>
        <w:t>号决议</w:t>
      </w:r>
      <w:r w:rsidRPr="006E3B9B">
        <w:rPr>
          <w:lang w:val="en-US" w:eastAsia="zh-CN"/>
        </w:rPr>
        <w:tab/>
      </w:r>
      <w:r w:rsidRPr="006E3B9B">
        <w:rPr>
          <w:rFonts w:hint="eastAsia"/>
          <w:lang w:eastAsia="zh-CN"/>
        </w:rPr>
        <w:t>电信发展部门的拨款转账</w:t>
      </w:r>
      <w:r w:rsidRPr="006E3B9B">
        <w:rPr>
          <w:lang w:val="en-US" w:eastAsia="zh-CN"/>
        </w:rPr>
        <w:tab/>
      </w:r>
      <w:r w:rsidR="005F6138">
        <w:rPr>
          <w:lang w:val="en-US" w:eastAsia="zh-CN"/>
        </w:rPr>
        <w:tab/>
      </w:r>
      <w:r w:rsidRPr="006E3B9B">
        <w:rPr>
          <w:lang w:val="en-US" w:eastAsia="zh-CN"/>
        </w:rPr>
        <w:t>2002</w:t>
      </w:r>
      <w:r w:rsidRPr="006E3B9B">
        <w:rPr>
          <w:rFonts w:hint="eastAsia"/>
          <w:lang w:val="en-US" w:eastAsia="zh-CN"/>
        </w:rPr>
        <w:t>年</w:t>
      </w:r>
    </w:p>
    <w:p w14:paraId="4827C0EC"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1138</w:t>
      </w:r>
      <w:r w:rsidRPr="006E3B9B">
        <w:rPr>
          <w:lang w:val="en-US" w:eastAsia="zh-CN"/>
        </w:rPr>
        <w:t>号决议</w:t>
      </w:r>
      <w:r w:rsidRPr="006E3B9B">
        <w:rPr>
          <w:lang w:val="en-US" w:eastAsia="zh-CN"/>
        </w:rPr>
        <w:tab/>
      </w:r>
      <w:r w:rsidRPr="006E3B9B">
        <w:rPr>
          <w:rFonts w:hint="eastAsia"/>
          <w:lang w:eastAsia="zh-CN"/>
        </w:rPr>
        <w:t>根据第</w:t>
      </w:r>
      <w:r w:rsidRPr="006E3B9B">
        <w:rPr>
          <w:lang w:eastAsia="zh-CN"/>
        </w:rPr>
        <w:t>93</w:t>
      </w:r>
      <w:r w:rsidRPr="006E3B9B">
        <w:rPr>
          <w:rFonts w:hint="eastAsia"/>
          <w:lang w:eastAsia="zh-CN"/>
        </w:rPr>
        <w:t>号决议对逾期未付款收取的利息</w:t>
      </w:r>
      <w:r w:rsidRPr="006E3B9B">
        <w:rPr>
          <w:lang w:val="en-US" w:eastAsia="zh-CN"/>
        </w:rPr>
        <w:tab/>
      </w:r>
      <w:r w:rsidR="005F6138">
        <w:rPr>
          <w:lang w:val="en-US" w:eastAsia="zh-CN"/>
        </w:rPr>
        <w:tab/>
      </w:r>
      <w:r w:rsidRPr="006E3B9B">
        <w:rPr>
          <w:lang w:val="en-US" w:eastAsia="zh-CN"/>
        </w:rPr>
        <w:t>2002</w:t>
      </w:r>
      <w:r w:rsidRPr="006E3B9B">
        <w:rPr>
          <w:rFonts w:hint="eastAsia"/>
          <w:lang w:val="en-US" w:eastAsia="zh-CN"/>
        </w:rPr>
        <w:t>年</w:t>
      </w:r>
    </w:p>
    <w:p w14:paraId="4827C0ED"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1139</w:t>
      </w:r>
      <w:r w:rsidRPr="006E3B9B">
        <w:rPr>
          <w:lang w:val="en-US" w:eastAsia="zh-CN"/>
        </w:rPr>
        <w:t>号决议</w:t>
      </w:r>
      <w:r w:rsidRPr="006E3B9B">
        <w:rPr>
          <w:lang w:val="en-US" w:eastAsia="zh-CN"/>
        </w:rPr>
        <w:tab/>
      </w:r>
      <w:r w:rsidRPr="006E3B9B">
        <w:rPr>
          <w:rFonts w:hint="eastAsia"/>
          <w:lang w:eastAsia="zh-CN"/>
        </w:rPr>
        <w:t>职员安置和归国储备金</w:t>
      </w:r>
      <w:r w:rsidRPr="006E3B9B">
        <w:rPr>
          <w:lang w:val="en-US" w:eastAsia="zh-CN"/>
        </w:rPr>
        <w:tab/>
      </w:r>
      <w:r w:rsidR="005F6138">
        <w:rPr>
          <w:lang w:val="en-US" w:eastAsia="zh-CN"/>
        </w:rPr>
        <w:tab/>
      </w:r>
      <w:r w:rsidRPr="006E3B9B">
        <w:rPr>
          <w:lang w:val="en-US" w:eastAsia="zh-CN"/>
        </w:rPr>
        <w:t>2002</w:t>
      </w:r>
      <w:r w:rsidRPr="006E3B9B">
        <w:rPr>
          <w:rFonts w:hint="eastAsia"/>
          <w:lang w:val="en-US" w:eastAsia="zh-CN"/>
        </w:rPr>
        <w:t>年</w:t>
      </w:r>
    </w:p>
    <w:p w14:paraId="4827C0EE"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1140</w:t>
      </w:r>
      <w:r w:rsidRPr="006E3B9B">
        <w:rPr>
          <w:lang w:val="en-US" w:eastAsia="zh-CN"/>
        </w:rPr>
        <w:t>号决议</w:t>
      </w:r>
      <w:r w:rsidRPr="006E3B9B">
        <w:rPr>
          <w:lang w:val="en-US" w:eastAsia="zh-CN"/>
        </w:rPr>
        <w:tab/>
      </w:r>
      <w:r w:rsidRPr="006E3B9B">
        <w:rPr>
          <w:rFonts w:hint="eastAsia"/>
          <w:lang w:val="en-US" w:eastAsia="zh-CN"/>
        </w:rPr>
        <w:t>国际</w:t>
      </w:r>
      <w:r w:rsidRPr="006E3B9B">
        <w:rPr>
          <w:rFonts w:hint="eastAsia"/>
          <w:lang w:eastAsia="zh-CN"/>
        </w:rPr>
        <w:t>电联总部设施</w:t>
      </w:r>
      <w:r w:rsidRPr="006E3B9B">
        <w:rPr>
          <w:lang w:val="en-US" w:eastAsia="zh-CN"/>
        </w:rPr>
        <w:t xml:space="preserve"> </w:t>
      </w:r>
      <w:r w:rsidRPr="006E3B9B">
        <w:rPr>
          <w:lang w:eastAsia="zh-CN"/>
        </w:rPr>
        <w:t xml:space="preserve">– </w:t>
      </w:r>
      <w:r w:rsidRPr="006E3B9B">
        <w:rPr>
          <w:rFonts w:hint="eastAsia"/>
          <w:lang w:eastAsia="zh-CN"/>
        </w:rPr>
        <w:t>建造主餐厅</w:t>
      </w:r>
      <w:r w:rsidRPr="006E3B9B">
        <w:rPr>
          <w:lang w:val="en-US" w:eastAsia="zh-CN"/>
        </w:rPr>
        <w:tab/>
      </w:r>
      <w:r w:rsidR="005F6138">
        <w:rPr>
          <w:lang w:val="en-US" w:eastAsia="zh-CN"/>
        </w:rPr>
        <w:tab/>
      </w:r>
      <w:r w:rsidRPr="006E3B9B">
        <w:rPr>
          <w:rFonts w:hint="eastAsia"/>
          <w:lang w:val="en-US" w:eastAsia="zh-CN"/>
        </w:rPr>
        <w:t>2005</w:t>
      </w:r>
      <w:r w:rsidRPr="006E3B9B">
        <w:rPr>
          <w:rFonts w:hint="eastAsia"/>
          <w:lang w:val="en-US" w:eastAsia="zh-CN"/>
        </w:rPr>
        <w:t>年</w:t>
      </w:r>
    </w:p>
    <w:p w14:paraId="4827C0EF"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1141</w:t>
      </w:r>
      <w:r w:rsidRPr="006E3B9B">
        <w:rPr>
          <w:lang w:val="en-US" w:eastAsia="zh-CN"/>
        </w:rPr>
        <w:t>号决议</w:t>
      </w:r>
      <w:r w:rsidRPr="006E3B9B">
        <w:rPr>
          <w:lang w:val="en-US" w:eastAsia="zh-CN"/>
        </w:rPr>
        <w:tab/>
      </w:r>
      <w:r w:rsidRPr="006E3B9B">
        <w:rPr>
          <w:rFonts w:hint="eastAsia"/>
          <w:lang w:eastAsia="zh-CN"/>
        </w:rPr>
        <w:t>降低国际电联大会、全会和理事会文件制作的成本并减少数量</w:t>
      </w:r>
      <w:r w:rsidRPr="006E3B9B">
        <w:rPr>
          <w:lang w:val="en-US" w:eastAsia="zh-CN"/>
        </w:rPr>
        <w:tab/>
      </w:r>
      <w:r w:rsidR="005F6138">
        <w:rPr>
          <w:lang w:val="en-US" w:eastAsia="zh-CN"/>
        </w:rPr>
        <w:tab/>
      </w:r>
      <w:r w:rsidRPr="006E3B9B">
        <w:rPr>
          <w:lang w:val="en-US" w:eastAsia="zh-CN"/>
        </w:rPr>
        <w:t>3.1</w:t>
      </w:r>
    </w:p>
    <w:p w14:paraId="4827C0F0"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1142</w:t>
      </w:r>
      <w:r w:rsidRPr="006E3B9B">
        <w:rPr>
          <w:lang w:val="en-US" w:eastAsia="zh-CN"/>
        </w:rPr>
        <w:t>号决议</w:t>
      </w:r>
      <w:r w:rsidRPr="006E3B9B">
        <w:rPr>
          <w:lang w:val="en-US" w:eastAsia="zh-CN"/>
        </w:rPr>
        <w:tab/>
      </w:r>
      <w:r w:rsidRPr="006E3B9B">
        <w:rPr>
          <w:rFonts w:hint="eastAsia"/>
          <w:lang w:eastAsia="zh-CN"/>
        </w:rPr>
        <w:t>职业病</w:t>
      </w:r>
      <w:r w:rsidRPr="006E3B9B">
        <w:rPr>
          <w:lang w:val="en-US" w:eastAsia="zh-CN"/>
        </w:rPr>
        <w:tab/>
      </w:r>
      <w:r w:rsidR="005F6138">
        <w:rPr>
          <w:lang w:val="en-US" w:eastAsia="zh-CN"/>
        </w:rPr>
        <w:tab/>
      </w:r>
      <w:r w:rsidRPr="006E3B9B">
        <w:rPr>
          <w:lang w:val="en-US" w:eastAsia="zh-CN"/>
        </w:rPr>
        <w:t>2.1</w:t>
      </w:r>
    </w:p>
    <w:p w14:paraId="4827C0F1"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1143</w:t>
      </w:r>
      <w:r w:rsidRPr="006E3B9B">
        <w:rPr>
          <w:lang w:val="en-US" w:eastAsia="zh-CN"/>
        </w:rPr>
        <w:t>号决议</w:t>
      </w:r>
      <w:r w:rsidRPr="006E3B9B">
        <w:rPr>
          <w:lang w:val="en-US" w:eastAsia="zh-CN"/>
        </w:rPr>
        <w:tab/>
      </w:r>
      <w:r w:rsidRPr="006E3B9B">
        <w:rPr>
          <w:rFonts w:hint="eastAsia"/>
          <w:lang w:eastAsia="zh-CN"/>
        </w:rPr>
        <w:t>加强区域代表处的作用</w:t>
      </w:r>
      <w:r w:rsidRPr="006E3B9B">
        <w:rPr>
          <w:lang w:val="en-US" w:eastAsia="zh-CN"/>
        </w:rPr>
        <w:tab/>
      </w:r>
      <w:r w:rsidR="005F6138">
        <w:rPr>
          <w:lang w:val="en-US" w:eastAsia="zh-CN"/>
        </w:rPr>
        <w:tab/>
      </w:r>
      <w:r w:rsidRPr="006E3B9B">
        <w:rPr>
          <w:lang w:val="en-US" w:eastAsia="zh-CN"/>
        </w:rPr>
        <w:t>5.4</w:t>
      </w:r>
    </w:p>
    <w:p w14:paraId="4827C0F2"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1144</w:t>
      </w:r>
      <w:r w:rsidRPr="006E3B9B">
        <w:rPr>
          <w:lang w:val="en-US" w:eastAsia="zh-CN"/>
        </w:rPr>
        <w:t>号决议</w:t>
      </w:r>
      <w:r w:rsidRPr="006E3B9B">
        <w:rPr>
          <w:lang w:val="en-US" w:eastAsia="zh-CN"/>
        </w:rPr>
        <w:tab/>
      </w:r>
      <w:r w:rsidRPr="006E3B9B">
        <w:rPr>
          <w:rFonts w:hint="eastAsia"/>
          <w:lang w:eastAsia="zh-CN"/>
        </w:rPr>
        <w:t>适用于国际电联委任职员的《人事规则》的修正案</w:t>
      </w:r>
      <w:r w:rsidRPr="006E3B9B">
        <w:rPr>
          <w:lang w:val="en-US" w:eastAsia="zh-CN"/>
        </w:rPr>
        <w:tab/>
      </w:r>
      <w:r w:rsidR="005F6138">
        <w:rPr>
          <w:lang w:val="en-US" w:eastAsia="zh-CN"/>
        </w:rPr>
        <w:tab/>
      </w:r>
      <w:r w:rsidRPr="006E3B9B">
        <w:rPr>
          <w:lang w:val="en-US" w:eastAsia="zh-CN"/>
        </w:rPr>
        <w:t>2002</w:t>
      </w:r>
      <w:r w:rsidRPr="006E3B9B">
        <w:rPr>
          <w:rFonts w:hint="eastAsia"/>
          <w:lang w:val="en-US" w:eastAsia="zh-CN"/>
        </w:rPr>
        <w:t>年</w:t>
      </w:r>
    </w:p>
    <w:p w14:paraId="4827C0F3"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1145</w:t>
      </w:r>
      <w:r w:rsidRPr="006E3B9B">
        <w:rPr>
          <w:lang w:val="en-US" w:eastAsia="zh-CN"/>
        </w:rPr>
        <w:t>号决议</w:t>
      </w:r>
      <w:r w:rsidRPr="006E3B9B">
        <w:rPr>
          <w:lang w:val="en-US" w:eastAsia="zh-CN"/>
        </w:rPr>
        <w:tab/>
      </w:r>
      <w:r w:rsidRPr="006E3B9B">
        <w:rPr>
          <w:rFonts w:hint="eastAsia"/>
          <w:lang w:eastAsia="zh-CN"/>
        </w:rPr>
        <w:t>国际电联选任官员的服务条件</w:t>
      </w:r>
      <w:r w:rsidRPr="006E3B9B">
        <w:rPr>
          <w:lang w:val="en-US" w:eastAsia="zh-CN"/>
        </w:rPr>
        <w:tab/>
      </w:r>
      <w:r w:rsidR="005F6138">
        <w:rPr>
          <w:lang w:val="en-US" w:eastAsia="zh-CN"/>
        </w:rPr>
        <w:tab/>
      </w:r>
      <w:r w:rsidRPr="006E3B9B">
        <w:rPr>
          <w:lang w:val="en-US" w:eastAsia="zh-CN"/>
        </w:rPr>
        <w:t>2001</w:t>
      </w:r>
      <w:r w:rsidRPr="006E3B9B">
        <w:rPr>
          <w:rFonts w:hint="eastAsia"/>
          <w:lang w:val="en-US" w:eastAsia="zh-CN"/>
        </w:rPr>
        <w:t>年</w:t>
      </w:r>
    </w:p>
    <w:p w14:paraId="4827C0F4" w14:textId="77777777" w:rsidR="00091112" w:rsidRDefault="00091112">
      <w:pPr>
        <w:tabs>
          <w:tab w:val="clear" w:pos="794"/>
          <w:tab w:val="clear" w:pos="1191"/>
          <w:tab w:val="clear" w:pos="1588"/>
          <w:tab w:val="clear" w:pos="1985"/>
        </w:tabs>
        <w:overflowPunct/>
        <w:autoSpaceDE/>
        <w:autoSpaceDN/>
        <w:adjustRightInd/>
        <w:spacing w:before="0"/>
        <w:jc w:val="left"/>
        <w:textAlignment w:val="auto"/>
        <w:rPr>
          <w:sz w:val="20"/>
          <w:lang w:val="en-US" w:eastAsia="zh-CN"/>
        </w:rPr>
      </w:pPr>
      <w:r>
        <w:rPr>
          <w:lang w:val="en-US" w:eastAsia="zh-CN"/>
        </w:rPr>
        <w:br w:type="page"/>
      </w:r>
    </w:p>
    <w:p w14:paraId="4827C0F5" w14:textId="77777777" w:rsidR="006E3B9B" w:rsidRPr="006E3B9B" w:rsidRDefault="006E3B9B" w:rsidP="005F6138">
      <w:pPr>
        <w:pStyle w:val="Appendixref"/>
        <w:rPr>
          <w:lang w:val="en-US" w:eastAsia="zh-CN"/>
        </w:rPr>
      </w:pPr>
      <w:r w:rsidRPr="006E3B9B">
        <w:rPr>
          <w:lang w:val="en-US" w:eastAsia="zh-CN"/>
        </w:rPr>
        <w:lastRenderedPageBreak/>
        <w:t>第</w:t>
      </w:r>
      <w:r w:rsidRPr="006E3B9B">
        <w:rPr>
          <w:lang w:val="en-US" w:eastAsia="zh-CN"/>
        </w:rPr>
        <w:t>1146</w:t>
      </w:r>
      <w:r w:rsidRPr="006E3B9B">
        <w:rPr>
          <w:lang w:val="en-US" w:eastAsia="zh-CN"/>
        </w:rPr>
        <w:t>号决议</w:t>
      </w:r>
      <w:r w:rsidRPr="006E3B9B">
        <w:rPr>
          <w:lang w:val="en-US" w:eastAsia="zh-CN"/>
        </w:rPr>
        <w:tab/>
      </w:r>
      <w:r w:rsidRPr="006E3B9B">
        <w:rPr>
          <w:rFonts w:hint="eastAsia"/>
          <w:lang w:eastAsia="zh-CN"/>
        </w:rPr>
        <w:t>国际电联职员养恤金委员会的委员</w:t>
      </w:r>
      <w:r w:rsidRPr="006E3B9B">
        <w:rPr>
          <w:lang w:val="en-US" w:eastAsia="zh-CN"/>
        </w:rPr>
        <w:tab/>
      </w:r>
      <w:r w:rsidR="005F6138">
        <w:rPr>
          <w:lang w:val="en-US" w:eastAsia="zh-CN"/>
        </w:rPr>
        <w:tab/>
      </w:r>
      <w:r w:rsidRPr="006E3B9B">
        <w:rPr>
          <w:lang w:val="en-US" w:eastAsia="zh-CN"/>
        </w:rPr>
        <w:t>200</w:t>
      </w:r>
      <w:r w:rsidRPr="006E3B9B">
        <w:rPr>
          <w:rFonts w:hint="eastAsia"/>
          <w:lang w:val="en-US" w:eastAsia="zh-CN"/>
        </w:rPr>
        <w:t>3</w:t>
      </w:r>
      <w:r w:rsidRPr="006E3B9B">
        <w:rPr>
          <w:rFonts w:hint="eastAsia"/>
          <w:lang w:val="en-US" w:eastAsia="zh-CN"/>
        </w:rPr>
        <w:t>年</w:t>
      </w:r>
    </w:p>
    <w:p w14:paraId="4827C0F6"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1147</w:t>
      </w:r>
      <w:r w:rsidRPr="006E3B9B">
        <w:rPr>
          <w:lang w:val="en-US" w:eastAsia="zh-CN"/>
        </w:rPr>
        <w:t>号决议</w:t>
      </w:r>
      <w:r w:rsidRPr="006E3B9B">
        <w:rPr>
          <w:lang w:val="en-US" w:eastAsia="zh-CN"/>
        </w:rPr>
        <w:tab/>
      </w:r>
      <w:r w:rsidRPr="006E3B9B">
        <w:rPr>
          <w:lang w:eastAsia="zh-CN"/>
        </w:rPr>
        <w:t>GDCNet</w:t>
      </w:r>
      <w:r w:rsidRPr="006E3B9B">
        <w:rPr>
          <w:rFonts w:hint="eastAsia"/>
          <w:lang w:eastAsia="zh-CN"/>
        </w:rPr>
        <w:t>的可持续未来</w:t>
      </w:r>
      <w:r w:rsidRPr="006E3B9B">
        <w:rPr>
          <w:lang w:val="en-US" w:eastAsia="zh-CN"/>
        </w:rPr>
        <w:tab/>
      </w:r>
      <w:r w:rsidR="005F6138">
        <w:rPr>
          <w:lang w:val="en-US" w:eastAsia="zh-CN"/>
        </w:rPr>
        <w:tab/>
      </w:r>
      <w:r w:rsidRPr="006E3B9B">
        <w:rPr>
          <w:rFonts w:hint="eastAsia"/>
          <w:lang w:val="en-US" w:eastAsia="zh-CN"/>
        </w:rPr>
        <w:t>2002</w:t>
      </w:r>
      <w:r w:rsidRPr="006E3B9B">
        <w:rPr>
          <w:rFonts w:hint="eastAsia"/>
          <w:lang w:val="en-US" w:eastAsia="zh-CN"/>
        </w:rPr>
        <w:t>年</w:t>
      </w:r>
    </w:p>
    <w:p w14:paraId="4827C0F7"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1148</w:t>
      </w:r>
      <w:r w:rsidRPr="006E3B9B">
        <w:rPr>
          <w:lang w:val="en-US" w:eastAsia="zh-CN"/>
        </w:rPr>
        <w:t>号决议</w:t>
      </w:r>
      <w:r w:rsidRPr="006E3B9B">
        <w:rPr>
          <w:lang w:val="en-US" w:eastAsia="zh-CN"/>
        </w:rPr>
        <w:tab/>
      </w:r>
      <w:r w:rsidRPr="006E3B9B">
        <w:rPr>
          <w:rFonts w:hint="eastAsia"/>
          <w:lang w:eastAsia="zh-CN"/>
        </w:rPr>
        <w:t>无线电规则委员会委员的地位</w:t>
      </w:r>
      <w:r w:rsidRPr="006E3B9B">
        <w:rPr>
          <w:lang w:val="en-US" w:eastAsia="zh-CN"/>
        </w:rPr>
        <w:tab/>
      </w:r>
      <w:r w:rsidR="005F6138">
        <w:rPr>
          <w:lang w:val="en-US" w:eastAsia="zh-CN"/>
        </w:rPr>
        <w:tab/>
      </w:r>
      <w:r w:rsidRPr="006E3B9B">
        <w:rPr>
          <w:lang w:val="en-US" w:eastAsia="zh-CN"/>
        </w:rPr>
        <w:t>5.2</w:t>
      </w:r>
    </w:p>
    <w:p w14:paraId="4827C0F8"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1149</w:t>
      </w:r>
      <w:r w:rsidRPr="006E3B9B">
        <w:rPr>
          <w:lang w:val="en-US" w:eastAsia="zh-CN"/>
        </w:rPr>
        <w:t>号决议</w:t>
      </w:r>
      <w:r w:rsidRPr="006E3B9B">
        <w:rPr>
          <w:lang w:val="en-US" w:eastAsia="zh-CN"/>
        </w:rPr>
        <w:tab/>
      </w:r>
      <w:r w:rsidRPr="006E3B9B">
        <w:rPr>
          <w:rFonts w:hint="eastAsia"/>
          <w:lang w:eastAsia="zh-CN"/>
        </w:rPr>
        <w:t>在国际电联推行长期健康保险制度</w:t>
      </w:r>
      <w:r w:rsidR="005E10E2">
        <w:rPr>
          <w:lang w:val="en-US" w:eastAsia="zh-CN"/>
        </w:rPr>
        <w:tab/>
      </w:r>
      <w:r w:rsidR="005F6138">
        <w:rPr>
          <w:lang w:val="en-US" w:eastAsia="zh-CN"/>
        </w:rPr>
        <w:tab/>
      </w:r>
      <w:r w:rsidR="005E10E2">
        <w:rPr>
          <w:lang w:val="en-US" w:eastAsia="zh-CN"/>
        </w:rPr>
        <w:t>2015</w:t>
      </w:r>
      <w:r w:rsidR="005E10E2">
        <w:rPr>
          <w:rFonts w:hint="eastAsia"/>
          <w:lang w:val="en-US" w:eastAsia="zh-CN"/>
        </w:rPr>
        <w:t>年</w:t>
      </w:r>
    </w:p>
    <w:p w14:paraId="4827C0F9" w14:textId="77777777" w:rsidR="006E3B9B" w:rsidRPr="006E3B9B" w:rsidRDefault="006E3B9B" w:rsidP="003E11A1">
      <w:pPr>
        <w:pStyle w:val="Reftitle"/>
        <w:rPr>
          <w:lang w:val="en-US" w:eastAsia="zh-CN"/>
        </w:rPr>
      </w:pPr>
      <w:r w:rsidRPr="006E3B9B">
        <w:rPr>
          <w:lang w:val="fr-FR" w:eastAsia="zh-CN"/>
        </w:rPr>
        <w:t>2000</w:t>
      </w:r>
      <w:r w:rsidRPr="006E3B9B">
        <w:rPr>
          <w:rFonts w:hint="eastAsia"/>
          <w:lang w:val="fr-FR" w:eastAsia="zh-CN"/>
        </w:rPr>
        <w:t>年会议（</w:t>
      </w:r>
      <w:r w:rsidRPr="006E3B9B">
        <w:rPr>
          <w:lang w:val="fr-FR" w:eastAsia="zh-CN"/>
        </w:rPr>
        <w:t>2000</w:t>
      </w:r>
      <w:r w:rsidRPr="006E3B9B">
        <w:rPr>
          <w:rFonts w:hint="eastAsia"/>
          <w:lang w:val="fr-FR" w:eastAsia="zh-CN"/>
        </w:rPr>
        <w:t>年</w:t>
      </w:r>
      <w:r w:rsidRPr="006E3B9B">
        <w:rPr>
          <w:lang w:val="fr-FR" w:eastAsia="zh-CN"/>
        </w:rPr>
        <w:t>6</w:t>
      </w:r>
      <w:r w:rsidRPr="006E3B9B">
        <w:rPr>
          <w:rFonts w:hint="eastAsia"/>
          <w:lang w:val="fr-FR" w:eastAsia="zh-CN"/>
        </w:rPr>
        <w:t>月）</w:t>
      </w:r>
    </w:p>
    <w:p w14:paraId="4827C0FA"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1150</w:t>
      </w:r>
      <w:r w:rsidRPr="006E3B9B">
        <w:rPr>
          <w:lang w:val="en-US" w:eastAsia="zh-CN"/>
        </w:rPr>
        <w:t>号决议</w:t>
      </w:r>
      <w:r w:rsidRPr="006E3B9B">
        <w:rPr>
          <w:lang w:val="en-US" w:eastAsia="zh-CN"/>
        </w:rPr>
        <w:tab/>
      </w:r>
      <w:r w:rsidRPr="006E3B9B">
        <w:rPr>
          <w:rFonts w:hint="eastAsia"/>
          <w:lang w:val="en-US" w:eastAsia="zh-CN"/>
        </w:rPr>
        <w:t>19</w:t>
      </w:r>
      <w:r w:rsidRPr="006E3B9B">
        <w:rPr>
          <w:lang w:eastAsia="zh-CN"/>
        </w:rPr>
        <w:t>98</w:t>
      </w:r>
      <w:r w:rsidRPr="006E3B9B">
        <w:rPr>
          <w:rFonts w:hint="eastAsia"/>
          <w:lang w:eastAsia="zh-CN"/>
        </w:rPr>
        <w:t>年非洲电信展相关活动的账目</w:t>
      </w:r>
      <w:r w:rsidRPr="006E3B9B">
        <w:rPr>
          <w:lang w:val="en-US" w:eastAsia="zh-CN"/>
        </w:rPr>
        <w:tab/>
      </w:r>
      <w:r w:rsidR="005F6138">
        <w:rPr>
          <w:lang w:val="en-US" w:eastAsia="zh-CN"/>
        </w:rPr>
        <w:tab/>
      </w:r>
      <w:r w:rsidRPr="006E3B9B">
        <w:rPr>
          <w:lang w:val="en-US" w:eastAsia="zh-CN"/>
        </w:rPr>
        <w:t>2002</w:t>
      </w:r>
      <w:r w:rsidRPr="006E3B9B">
        <w:rPr>
          <w:rFonts w:hint="eastAsia"/>
          <w:lang w:val="en-US" w:eastAsia="zh-CN"/>
        </w:rPr>
        <w:t>年</w:t>
      </w:r>
    </w:p>
    <w:p w14:paraId="4827C0FB"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1151</w:t>
      </w:r>
      <w:r w:rsidRPr="006E3B9B">
        <w:rPr>
          <w:lang w:val="en-US" w:eastAsia="zh-CN"/>
        </w:rPr>
        <w:t>号决议</w:t>
      </w:r>
      <w:r w:rsidRPr="006E3B9B">
        <w:rPr>
          <w:lang w:val="en-US" w:eastAsia="zh-CN"/>
        </w:rPr>
        <w:tab/>
      </w:r>
      <w:r w:rsidRPr="006E3B9B">
        <w:rPr>
          <w:lang w:eastAsia="zh-CN"/>
        </w:rPr>
        <w:t>1998-1999</w:t>
      </w:r>
      <w:r w:rsidRPr="006E3B9B">
        <w:rPr>
          <w:rFonts w:hint="eastAsia"/>
          <w:lang w:eastAsia="zh-CN"/>
        </w:rPr>
        <w:t>双年度和</w:t>
      </w:r>
      <w:r w:rsidRPr="006E3B9B">
        <w:rPr>
          <w:lang w:eastAsia="zh-CN"/>
        </w:rPr>
        <w:t>1999</w:t>
      </w:r>
      <w:r w:rsidRPr="006E3B9B">
        <w:rPr>
          <w:rFonts w:hint="eastAsia"/>
          <w:lang w:eastAsia="zh-CN"/>
        </w:rPr>
        <w:t>财年财务工作报告</w:t>
      </w:r>
      <w:r w:rsidRPr="006E3B9B">
        <w:rPr>
          <w:lang w:val="en-US" w:eastAsia="zh-CN"/>
        </w:rPr>
        <w:tab/>
      </w:r>
      <w:r w:rsidR="005F6138">
        <w:rPr>
          <w:lang w:val="en-US" w:eastAsia="zh-CN"/>
        </w:rPr>
        <w:tab/>
      </w:r>
      <w:r w:rsidRPr="006E3B9B">
        <w:rPr>
          <w:lang w:val="en-US" w:eastAsia="zh-CN"/>
        </w:rPr>
        <w:t>2002</w:t>
      </w:r>
      <w:r w:rsidRPr="006E3B9B">
        <w:rPr>
          <w:rFonts w:hint="eastAsia"/>
          <w:lang w:val="en-US" w:eastAsia="zh-CN"/>
        </w:rPr>
        <w:t>年</w:t>
      </w:r>
    </w:p>
    <w:p w14:paraId="4827C0FC"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1152</w:t>
      </w:r>
      <w:r w:rsidRPr="006E3B9B">
        <w:rPr>
          <w:lang w:val="en-US" w:eastAsia="zh-CN"/>
        </w:rPr>
        <w:t>号决议</w:t>
      </w:r>
      <w:r w:rsidRPr="006E3B9B">
        <w:rPr>
          <w:lang w:val="en-US" w:eastAsia="zh-CN"/>
        </w:rPr>
        <w:tab/>
      </w:r>
      <w:r w:rsidRPr="006E3B9B">
        <w:rPr>
          <w:rFonts w:hint="eastAsia"/>
          <w:lang w:eastAsia="zh-CN"/>
        </w:rPr>
        <w:t>国际电联</w:t>
      </w:r>
      <w:r w:rsidRPr="006E3B9B">
        <w:rPr>
          <w:lang w:eastAsia="zh-CN"/>
        </w:rPr>
        <w:t>1998-1999</w:t>
      </w:r>
      <w:r w:rsidRPr="006E3B9B">
        <w:rPr>
          <w:rFonts w:hint="eastAsia"/>
          <w:lang w:eastAsia="zh-CN"/>
        </w:rPr>
        <w:t>双年度和</w:t>
      </w:r>
      <w:r w:rsidRPr="006E3B9B">
        <w:rPr>
          <w:lang w:eastAsia="zh-CN"/>
        </w:rPr>
        <w:t>1999</w:t>
      </w:r>
      <w:r w:rsidRPr="006E3B9B">
        <w:rPr>
          <w:rFonts w:hint="eastAsia"/>
          <w:lang w:eastAsia="zh-CN"/>
        </w:rPr>
        <w:t>财年账目的外部审计</w:t>
      </w:r>
      <w:r w:rsidRPr="006E3B9B">
        <w:rPr>
          <w:lang w:val="en-US" w:eastAsia="zh-CN"/>
        </w:rPr>
        <w:tab/>
      </w:r>
      <w:r w:rsidR="005F6138">
        <w:rPr>
          <w:lang w:val="en-US" w:eastAsia="zh-CN"/>
        </w:rPr>
        <w:tab/>
      </w:r>
      <w:r w:rsidRPr="006E3B9B">
        <w:rPr>
          <w:lang w:val="en-US" w:eastAsia="zh-CN"/>
        </w:rPr>
        <w:t>2002</w:t>
      </w:r>
      <w:r w:rsidRPr="006E3B9B">
        <w:rPr>
          <w:rFonts w:hint="eastAsia"/>
          <w:lang w:val="en-US" w:eastAsia="zh-CN"/>
        </w:rPr>
        <w:t>年</w:t>
      </w:r>
    </w:p>
    <w:p w14:paraId="4827C0FD"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1153</w:t>
      </w:r>
      <w:r w:rsidRPr="006E3B9B">
        <w:rPr>
          <w:lang w:val="en-US" w:eastAsia="zh-CN"/>
        </w:rPr>
        <w:t>号决议</w:t>
      </w:r>
      <w:r w:rsidRPr="006E3B9B">
        <w:rPr>
          <w:lang w:val="en-US" w:eastAsia="zh-CN"/>
        </w:rPr>
        <w:tab/>
      </w:r>
      <w:r w:rsidRPr="006E3B9B">
        <w:rPr>
          <w:rFonts w:hint="eastAsia"/>
          <w:lang w:eastAsia="zh-CN"/>
        </w:rPr>
        <w:t>国际电联《财务规则》的修正</w:t>
      </w:r>
      <w:r w:rsidRPr="006E3B9B">
        <w:rPr>
          <w:lang w:val="en-US" w:eastAsia="zh-CN"/>
        </w:rPr>
        <w:tab/>
      </w:r>
      <w:r w:rsidR="005F6138">
        <w:rPr>
          <w:lang w:val="en-US" w:eastAsia="zh-CN"/>
        </w:rPr>
        <w:tab/>
      </w:r>
      <w:r w:rsidRPr="006E3B9B">
        <w:rPr>
          <w:rFonts w:hint="eastAsia"/>
          <w:lang w:val="en-US" w:eastAsia="zh-CN"/>
        </w:rPr>
        <w:t>2003</w:t>
      </w:r>
      <w:r w:rsidRPr="006E3B9B">
        <w:rPr>
          <w:rFonts w:hint="eastAsia"/>
          <w:lang w:val="en-US" w:eastAsia="zh-CN"/>
        </w:rPr>
        <w:t>年</w:t>
      </w:r>
    </w:p>
    <w:p w14:paraId="4827C0FE"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1154</w:t>
      </w:r>
      <w:r w:rsidRPr="006E3B9B">
        <w:rPr>
          <w:lang w:val="en-US" w:eastAsia="zh-CN"/>
        </w:rPr>
        <w:t>号决议</w:t>
      </w:r>
      <w:r w:rsidRPr="006E3B9B">
        <w:rPr>
          <w:lang w:val="en-US" w:eastAsia="zh-CN"/>
        </w:rPr>
        <w:tab/>
      </w:r>
      <w:r w:rsidRPr="006E3B9B">
        <w:rPr>
          <w:rFonts w:hint="eastAsia"/>
          <w:lang w:eastAsia="zh-CN"/>
        </w:rPr>
        <w:t>摊付国际电联费用的会费份额</w:t>
      </w:r>
      <w:r w:rsidRPr="006E3B9B">
        <w:rPr>
          <w:lang w:eastAsia="zh-CN"/>
        </w:rPr>
        <w:t xml:space="preserve"> – </w:t>
      </w:r>
      <w:r w:rsidRPr="006E3B9B">
        <w:rPr>
          <w:rFonts w:hint="eastAsia"/>
          <w:lang w:eastAsia="zh-CN"/>
        </w:rPr>
        <w:t>朝鲜民主主义人民共和国</w:t>
      </w:r>
      <w:r w:rsidRPr="006E3B9B">
        <w:rPr>
          <w:lang w:val="en-US" w:eastAsia="zh-CN"/>
        </w:rPr>
        <w:tab/>
      </w:r>
      <w:r w:rsidR="005F6138">
        <w:rPr>
          <w:lang w:val="en-US" w:eastAsia="zh-CN"/>
        </w:rPr>
        <w:tab/>
      </w:r>
      <w:r w:rsidRPr="006E3B9B">
        <w:rPr>
          <w:rFonts w:hint="eastAsia"/>
          <w:lang w:val="en-US" w:eastAsia="zh-CN"/>
        </w:rPr>
        <w:t>2006</w:t>
      </w:r>
      <w:r w:rsidRPr="006E3B9B">
        <w:rPr>
          <w:rFonts w:hint="eastAsia"/>
          <w:lang w:val="en-US" w:eastAsia="zh-CN"/>
        </w:rPr>
        <w:t>年</w:t>
      </w:r>
    </w:p>
    <w:p w14:paraId="4827C0FF"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1155</w:t>
      </w:r>
      <w:r w:rsidRPr="006E3B9B">
        <w:rPr>
          <w:lang w:val="en-US" w:eastAsia="zh-CN"/>
        </w:rPr>
        <w:t>号决议</w:t>
      </w:r>
      <w:r w:rsidRPr="006E3B9B">
        <w:rPr>
          <w:lang w:val="en-US" w:eastAsia="zh-CN"/>
        </w:rPr>
        <w:tab/>
      </w:r>
      <w:r w:rsidRPr="006E3B9B">
        <w:rPr>
          <w:rFonts w:hint="eastAsia"/>
          <w:lang w:val="en-US" w:eastAsia="zh-CN"/>
        </w:rPr>
        <w:t>对</w:t>
      </w:r>
      <w:r w:rsidRPr="006E3B9B">
        <w:rPr>
          <w:lang w:eastAsia="zh-CN"/>
        </w:rPr>
        <w:t>UIPRN</w:t>
      </w:r>
      <w:r w:rsidRPr="006E3B9B">
        <w:rPr>
          <w:rFonts w:hint="eastAsia"/>
          <w:lang w:eastAsia="zh-CN"/>
        </w:rPr>
        <w:t>和</w:t>
      </w:r>
      <w:r w:rsidRPr="006E3B9B">
        <w:rPr>
          <w:lang w:eastAsia="zh-CN"/>
        </w:rPr>
        <w:t>UISCN</w:t>
      </w:r>
      <w:r w:rsidRPr="006E3B9B">
        <w:rPr>
          <w:rFonts w:hint="eastAsia"/>
          <w:lang w:eastAsia="zh-CN"/>
        </w:rPr>
        <w:t>登记处职能实行成本回收</w:t>
      </w:r>
      <w:r w:rsidRPr="006E3B9B">
        <w:rPr>
          <w:lang w:val="en-US" w:eastAsia="zh-CN"/>
        </w:rPr>
        <w:tab/>
      </w:r>
      <w:r w:rsidR="005F6138">
        <w:rPr>
          <w:lang w:val="en-US" w:eastAsia="zh-CN"/>
        </w:rPr>
        <w:tab/>
      </w:r>
      <w:r w:rsidRPr="006E3B9B">
        <w:rPr>
          <w:lang w:val="en-US" w:eastAsia="zh-CN"/>
        </w:rPr>
        <w:t>5.3</w:t>
      </w:r>
    </w:p>
    <w:p w14:paraId="4827C100"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1156</w:t>
      </w:r>
      <w:r w:rsidRPr="006E3B9B">
        <w:rPr>
          <w:lang w:val="en-US" w:eastAsia="zh-CN"/>
        </w:rPr>
        <w:t>号决议</w:t>
      </w:r>
      <w:r w:rsidRPr="006E3B9B">
        <w:rPr>
          <w:lang w:val="en-US" w:eastAsia="zh-CN"/>
        </w:rPr>
        <w:tab/>
      </w:r>
      <w:r w:rsidRPr="006E3B9B">
        <w:rPr>
          <w:rFonts w:hint="eastAsia"/>
          <w:lang w:eastAsia="zh-CN"/>
        </w:rPr>
        <w:t>世界无线电通信大会议程（</w:t>
      </w:r>
      <w:r w:rsidRPr="006E3B9B">
        <w:rPr>
          <w:lang w:eastAsia="zh-CN"/>
        </w:rPr>
        <w:t>WRC-03</w:t>
      </w:r>
      <w:r w:rsidRPr="006E3B9B">
        <w:rPr>
          <w:rFonts w:hint="eastAsia"/>
          <w:lang w:eastAsia="zh-CN"/>
        </w:rPr>
        <w:t>）</w:t>
      </w:r>
      <w:r w:rsidRPr="006E3B9B">
        <w:rPr>
          <w:lang w:val="en-US" w:eastAsia="zh-CN"/>
        </w:rPr>
        <w:tab/>
      </w:r>
      <w:r w:rsidR="005F6138">
        <w:rPr>
          <w:lang w:val="en-US" w:eastAsia="zh-CN"/>
        </w:rPr>
        <w:tab/>
      </w:r>
      <w:r w:rsidRPr="006E3B9B">
        <w:rPr>
          <w:rFonts w:hint="eastAsia"/>
          <w:lang w:val="en-US" w:eastAsia="zh-CN"/>
        </w:rPr>
        <w:t>2004</w:t>
      </w:r>
      <w:r w:rsidRPr="006E3B9B">
        <w:rPr>
          <w:rFonts w:hint="eastAsia"/>
          <w:lang w:val="en-US" w:eastAsia="zh-CN"/>
        </w:rPr>
        <w:t>年</w:t>
      </w:r>
    </w:p>
    <w:p w14:paraId="4827C101"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1157</w:t>
      </w:r>
      <w:r w:rsidRPr="006E3B9B">
        <w:rPr>
          <w:lang w:val="en-US" w:eastAsia="zh-CN"/>
        </w:rPr>
        <w:t>号决议</w:t>
      </w:r>
      <w:r w:rsidRPr="006E3B9B">
        <w:rPr>
          <w:lang w:val="en-US" w:eastAsia="zh-CN"/>
        </w:rPr>
        <w:tab/>
      </w:r>
      <w:r w:rsidRPr="006E3B9B">
        <w:rPr>
          <w:rFonts w:hint="eastAsia"/>
          <w:lang w:eastAsia="zh-CN"/>
        </w:rPr>
        <w:t>摊付国际电联费用的会费份额</w:t>
      </w:r>
      <w:r w:rsidRPr="006E3B9B">
        <w:rPr>
          <w:lang w:eastAsia="zh-CN"/>
        </w:rPr>
        <w:t xml:space="preserve"> – </w:t>
      </w:r>
      <w:r w:rsidRPr="006E3B9B">
        <w:rPr>
          <w:rFonts w:hint="eastAsia"/>
          <w:lang w:eastAsia="zh-CN"/>
        </w:rPr>
        <w:t>塞舌尔共和国</w:t>
      </w:r>
      <w:r w:rsidRPr="006E3B9B">
        <w:rPr>
          <w:lang w:val="en-US" w:eastAsia="zh-CN"/>
        </w:rPr>
        <w:tab/>
      </w:r>
      <w:r w:rsidR="005F6138">
        <w:rPr>
          <w:lang w:val="en-US" w:eastAsia="zh-CN"/>
        </w:rPr>
        <w:tab/>
      </w:r>
      <w:r w:rsidRPr="006E3B9B">
        <w:rPr>
          <w:rFonts w:hint="eastAsia"/>
          <w:lang w:val="en-US" w:eastAsia="zh-CN"/>
        </w:rPr>
        <w:t>2006</w:t>
      </w:r>
      <w:r w:rsidRPr="006E3B9B">
        <w:rPr>
          <w:rFonts w:hint="eastAsia"/>
          <w:lang w:val="en-US" w:eastAsia="zh-CN"/>
        </w:rPr>
        <w:t>年</w:t>
      </w:r>
    </w:p>
    <w:p w14:paraId="4827C102"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1158</w:t>
      </w:r>
      <w:r w:rsidRPr="006E3B9B">
        <w:rPr>
          <w:lang w:val="en-US" w:eastAsia="zh-CN"/>
        </w:rPr>
        <w:t>号决议</w:t>
      </w:r>
      <w:r w:rsidRPr="006E3B9B">
        <w:rPr>
          <w:lang w:val="en-US" w:eastAsia="zh-CN"/>
        </w:rPr>
        <w:tab/>
      </w:r>
      <w:r w:rsidRPr="006E3B9B">
        <w:rPr>
          <w:rFonts w:hint="eastAsia"/>
          <w:lang w:eastAsia="zh-CN"/>
        </w:rPr>
        <w:t>信息社会世界高峰会议</w:t>
      </w:r>
      <w:r w:rsidRPr="006E3B9B">
        <w:rPr>
          <w:lang w:val="en-US" w:eastAsia="zh-CN"/>
        </w:rPr>
        <w:tab/>
      </w:r>
      <w:r w:rsidR="005F6138">
        <w:rPr>
          <w:lang w:val="en-US" w:eastAsia="zh-CN"/>
        </w:rPr>
        <w:tab/>
      </w:r>
      <w:r w:rsidRPr="006E3B9B">
        <w:rPr>
          <w:rFonts w:hint="eastAsia"/>
          <w:lang w:val="en-US" w:eastAsia="zh-CN"/>
        </w:rPr>
        <w:t>2006</w:t>
      </w:r>
      <w:r w:rsidRPr="006E3B9B">
        <w:rPr>
          <w:rFonts w:hint="eastAsia"/>
          <w:lang w:val="en-US" w:eastAsia="zh-CN"/>
        </w:rPr>
        <w:t>年</w:t>
      </w:r>
    </w:p>
    <w:p w14:paraId="4827C103"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1159</w:t>
      </w:r>
      <w:r w:rsidRPr="006E3B9B">
        <w:rPr>
          <w:lang w:val="en-US" w:eastAsia="zh-CN"/>
        </w:rPr>
        <w:t>号决议</w:t>
      </w:r>
      <w:r w:rsidRPr="006E3B9B">
        <w:rPr>
          <w:lang w:val="en-US" w:eastAsia="zh-CN"/>
        </w:rPr>
        <w:tab/>
      </w:r>
      <w:r w:rsidRPr="006E3B9B">
        <w:rPr>
          <w:rFonts w:hint="eastAsia"/>
          <w:lang w:eastAsia="zh-CN"/>
        </w:rPr>
        <w:t>国际电联改革进程</w:t>
      </w:r>
      <w:r w:rsidRPr="006E3B9B">
        <w:rPr>
          <w:lang w:val="en-US" w:eastAsia="zh-CN"/>
        </w:rPr>
        <w:tab/>
      </w:r>
      <w:r w:rsidR="005F6138">
        <w:rPr>
          <w:lang w:val="en-US" w:eastAsia="zh-CN"/>
        </w:rPr>
        <w:tab/>
      </w:r>
      <w:r w:rsidRPr="006E3B9B">
        <w:rPr>
          <w:rFonts w:hint="eastAsia"/>
          <w:lang w:val="en-US" w:eastAsia="zh-CN"/>
        </w:rPr>
        <w:t>2003</w:t>
      </w:r>
      <w:r w:rsidRPr="006E3B9B">
        <w:rPr>
          <w:rFonts w:hint="eastAsia"/>
          <w:lang w:val="en-US" w:eastAsia="zh-CN"/>
        </w:rPr>
        <w:t>年</w:t>
      </w:r>
    </w:p>
    <w:p w14:paraId="4827C104"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1160</w:t>
      </w:r>
      <w:r w:rsidRPr="006E3B9B">
        <w:rPr>
          <w:lang w:val="en-US" w:eastAsia="zh-CN"/>
        </w:rPr>
        <w:t>号决议</w:t>
      </w:r>
      <w:r w:rsidRPr="006E3B9B">
        <w:rPr>
          <w:lang w:val="en-US" w:eastAsia="zh-CN"/>
        </w:rPr>
        <w:tab/>
      </w:r>
      <w:r w:rsidRPr="006E3B9B">
        <w:rPr>
          <w:rFonts w:hint="eastAsia"/>
          <w:lang w:eastAsia="zh-CN"/>
        </w:rPr>
        <w:t>适用于国际电联委任职员的《人事规则》的修正案</w:t>
      </w:r>
      <w:r w:rsidRPr="006E3B9B">
        <w:rPr>
          <w:lang w:val="en-US" w:eastAsia="zh-CN"/>
        </w:rPr>
        <w:tab/>
      </w:r>
      <w:r w:rsidR="005F6138">
        <w:rPr>
          <w:lang w:val="en-US" w:eastAsia="zh-CN"/>
        </w:rPr>
        <w:tab/>
      </w:r>
      <w:r w:rsidRPr="006E3B9B">
        <w:rPr>
          <w:lang w:val="en-US" w:eastAsia="zh-CN"/>
        </w:rPr>
        <w:t>200</w:t>
      </w:r>
      <w:r w:rsidRPr="006E3B9B">
        <w:rPr>
          <w:rFonts w:hint="eastAsia"/>
          <w:lang w:val="en-US" w:eastAsia="zh-CN"/>
        </w:rPr>
        <w:t>3</w:t>
      </w:r>
      <w:r w:rsidRPr="006E3B9B">
        <w:rPr>
          <w:rFonts w:hint="eastAsia"/>
          <w:lang w:val="en-US" w:eastAsia="zh-CN"/>
        </w:rPr>
        <w:t>年</w:t>
      </w:r>
    </w:p>
    <w:p w14:paraId="4827C105"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1161</w:t>
      </w:r>
      <w:r w:rsidRPr="006E3B9B">
        <w:rPr>
          <w:lang w:val="en-US" w:eastAsia="zh-CN"/>
        </w:rPr>
        <w:t>号决议</w:t>
      </w:r>
      <w:r w:rsidRPr="006E3B9B">
        <w:rPr>
          <w:lang w:val="en-US" w:eastAsia="zh-CN"/>
        </w:rPr>
        <w:tab/>
      </w:r>
      <w:r w:rsidRPr="006E3B9B">
        <w:rPr>
          <w:rFonts w:hint="eastAsia"/>
          <w:lang w:eastAsia="zh-CN"/>
        </w:rPr>
        <w:t>国际电联选任官员的服务条件</w:t>
      </w:r>
      <w:r w:rsidRPr="006E3B9B">
        <w:rPr>
          <w:lang w:val="en-US" w:eastAsia="zh-CN"/>
        </w:rPr>
        <w:tab/>
      </w:r>
      <w:r w:rsidR="005F6138">
        <w:rPr>
          <w:lang w:val="en-US" w:eastAsia="zh-CN"/>
        </w:rPr>
        <w:tab/>
      </w:r>
      <w:r w:rsidRPr="006E3B9B">
        <w:rPr>
          <w:lang w:val="en-US" w:eastAsia="zh-CN"/>
        </w:rPr>
        <w:t>2002</w:t>
      </w:r>
      <w:r w:rsidRPr="006E3B9B">
        <w:rPr>
          <w:rFonts w:hint="eastAsia"/>
          <w:lang w:val="en-US" w:eastAsia="zh-CN"/>
        </w:rPr>
        <w:t>年</w:t>
      </w:r>
    </w:p>
    <w:p w14:paraId="4827C106"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1162</w:t>
      </w:r>
      <w:r w:rsidRPr="006E3B9B">
        <w:rPr>
          <w:lang w:val="en-US" w:eastAsia="zh-CN"/>
        </w:rPr>
        <w:t>号决议</w:t>
      </w:r>
      <w:r w:rsidRPr="006E3B9B">
        <w:rPr>
          <w:lang w:val="en-US" w:eastAsia="zh-CN"/>
        </w:rPr>
        <w:tab/>
      </w:r>
      <w:r w:rsidRPr="006E3B9B">
        <w:rPr>
          <w:rFonts w:hint="eastAsia"/>
          <w:lang w:val="en-US" w:eastAsia="zh-CN"/>
        </w:rPr>
        <w:t>国际电联职员养恤金委员会的委员</w:t>
      </w:r>
      <w:r w:rsidRPr="006E3B9B">
        <w:rPr>
          <w:lang w:val="en-US" w:eastAsia="zh-CN"/>
        </w:rPr>
        <w:tab/>
      </w:r>
      <w:r w:rsidR="005F6138">
        <w:rPr>
          <w:lang w:val="en-US" w:eastAsia="zh-CN"/>
        </w:rPr>
        <w:tab/>
      </w:r>
      <w:r w:rsidRPr="006E3B9B">
        <w:rPr>
          <w:rFonts w:hint="eastAsia"/>
          <w:lang w:val="en-US" w:eastAsia="zh-CN"/>
        </w:rPr>
        <w:t>2004</w:t>
      </w:r>
      <w:r w:rsidRPr="006E3B9B">
        <w:rPr>
          <w:rFonts w:hint="eastAsia"/>
          <w:lang w:val="en-US" w:eastAsia="zh-CN"/>
        </w:rPr>
        <w:t>年</w:t>
      </w:r>
    </w:p>
    <w:p w14:paraId="4827C107" w14:textId="77777777" w:rsidR="006E3B9B" w:rsidRPr="006E3B9B" w:rsidRDefault="006E3B9B" w:rsidP="003E11A1">
      <w:pPr>
        <w:pStyle w:val="Reftitle"/>
        <w:rPr>
          <w:bCs/>
          <w:lang w:val="en-US" w:eastAsia="zh-CN"/>
        </w:rPr>
      </w:pPr>
      <w:r w:rsidRPr="006E3B9B">
        <w:rPr>
          <w:lang w:val="fr-FR" w:eastAsia="zh-CN"/>
        </w:rPr>
        <w:t>2001</w:t>
      </w:r>
      <w:r w:rsidRPr="006E3B9B">
        <w:rPr>
          <w:rFonts w:hint="eastAsia"/>
          <w:lang w:val="fr-FR" w:eastAsia="zh-CN"/>
        </w:rPr>
        <w:t>年会议（</w:t>
      </w:r>
      <w:r w:rsidRPr="006E3B9B">
        <w:rPr>
          <w:lang w:val="fr-FR" w:eastAsia="zh-CN"/>
        </w:rPr>
        <w:t>2001</w:t>
      </w:r>
      <w:r w:rsidRPr="006E3B9B">
        <w:rPr>
          <w:rFonts w:hint="eastAsia"/>
          <w:lang w:val="fr-FR" w:eastAsia="zh-CN"/>
        </w:rPr>
        <w:t>年</w:t>
      </w:r>
      <w:r w:rsidRPr="006E3B9B">
        <w:rPr>
          <w:lang w:val="fr-FR" w:eastAsia="zh-CN"/>
        </w:rPr>
        <w:t>6</w:t>
      </w:r>
      <w:r w:rsidRPr="006E3B9B">
        <w:rPr>
          <w:rFonts w:hint="eastAsia"/>
          <w:lang w:val="fr-FR" w:eastAsia="zh-CN"/>
        </w:rPr>
        <w:t>月）</w:t>
      </w:r>
    </w:p>
    <w:p w14:paraId="4827C108"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1163</w:t>
      </w:r>
      <w:r w:rsidRPr="006E3B9B">
        <w:rPr>
          <w:lang w:val="en-US" w:eastAsia="zh-CN"/>
        </w:rPr>
        <w:t>号决议</w:t>
      </w:r>
      <w:r w:rsidRPr="006E3B9B">
        <w:rPr>
          <w:lang w:val="en-US" w:eastAsia="zh-CN"/>
        </w:rPr>
        <w:tab/>
      </w:r>
      <w:r w:rsidRPr="006E3B9B">
        <w:rPr>
          <w:rFonts w:hint="eastAsia"/>
          <w:lang w:val="en-US" w:eastAsia="zh-CN"/>
        </w:rPr>
        <w:t>无法收回债务的注销</w:t>
      </w:r>
      <w:r w:rsidRPr="006E3B9B">
        <w:rPr>
          <w:lang w:val="en-US" w:eastAsia="zh-CN"/>
        </w:rPr>
        <w:tab/>
      </w:r>
      <w:r w:rsidR="005F6138">
        <w:rPr>
          <w:lang w:val="en-US" w:eastAsia="zh-CN"/>
        </w:rPr>
        <w:tab/>
      </w:r>
      <w:r w:rsidRPr="006E3B9B">
        <w:rPr>
          <w:rFonts w:hint="eastAsia"/>
          <w:lang w:val="en-US" w:eastAsia="zh-CN"/>
        </w:rPr>
        <w:t>2003</w:t>
      </w:r>
      <w:r w:rsidRPr="006E3B9B">
        <w:rPr>
          <w:rFonts w:hint="eastAsia"/>
          <w:lang w:val="en-US" w:eastAsia="zh-CN"/>
        </w:rPr>
        <w:t>年</w:t>
      </w:r>
    </w:p>
    <w:p w14:paraId="4827C109"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1164</w:t>
      </w:r>
      <w:r w:rsidRPr="006E3B9B">
        <w:rPr>
          <w:lang w:val="en-US" w:eastAsia="zh-CN"/>
        </w:rPr>
        <w:t>号决议</w:t>
      </w:r>
      <w:r w:rsidRPr="006E3B9B">
        <w:rPr>
          <w:lang w:val="en-US" w:eastAsia="zh-CN"/>
        </w:rPr>
        <w:tab/>
      </w:r>
      <w:r w:rsidRPr="006E3B9B">
        <w:rPr>
          <w:rFonts w:hint="eastAsia"/>
          <w:lang w:val="en-US" w:eastAsia="zh-CN"/>
        </w:rPr>
        <w:t>摊付国际电联费用的会费份额</w:t>
      </w:r>
      <w:r w:rsidRPr="006E3B9B">
        <w:rPr>
          <w:lang w:val="en-US" w:eastAsia="zh-CN"/>
        </w:rPr>
        <w:t xml:space="preserve"> – </w:t>
      </w:r>
      <w:r w:rsidRPr="006E3B9B">
        <w:rPr>
          <w:rFonts w:hint="eastAsia"/>
          <w:lang w:val="en-US" w:eastAsia="zh-CN"/>
        </w:rPr>
        <w:t>利比里亚共和国</w:t>
      </w:r>
      <w:r w:rsidRPr="006E3B9B">
        <w:rPr>
          <w:lang w:val="en-US" w:eastAsia="zh-CN"/>
        </w:rPr>
        <w:tab/>
      </w:r>
      <w:r w:rsidR="005F6138">
        <w:rPr>
          <w:lang w:val="en-US" w:eastAsia="zh-CN"/>
        </w:rPr>
        <w:tab/>
      </w:r>
      <w:r w:rsidRPr="006E3B9B">
        <w:rPr>
          <w:rFonts w:hint="eastAsia"/>
          <w:lang w:val="en-US" w:eastAsia="zh-CN"/>
        </w:rPr>
        <w:t>2006</w:t>
      </w:r>
      <w:r w:rsidRPr="006E3B9B">
        <w:rPr>
          <w:rFonts w:hint="eastAsia"/>
          <w:lang w:val="en-US" w:eastAsia="zh-CN"/>
        </w:rPr>
        <w:t>年</w:t>
      </w:r>
    </w:p>
    <w:p w14:paraId="4827C10A"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1165</w:t>
      </w:r>
      <w:r w:rsidRPr="006E3B9B">
        <w:rPr>
          <w:lang w:val="en-US" w:eastAsia="zh-CN"/>
        </w:rPr>
        <w:t>号决议</w:t>
      </w:r>
      <w:r w:rsidRPr="006E3B9B">
        <w:rPr>
          <w:lang w:val="en-US" w:eastAsia="zh-CN"/>
        </w:rPr>
        <w:tab/>
      </w:r>
      <w:r w:rsidRPr="006E3B9B">
        <w:rPr>
          <w:rFonts w:hint="eastAsia"/>
          <w:lang w:val="en-US" w:eastAsia="zh-CN"/>
        </w:rPr>
        <w:t>摊付国际电联费用的会费份额</w:t>
      </w:r>
      <w:r w:rsidRPr="006E3B9B">
        <w:rPr>
          <w:lang w:val="en-US" w:eastAsia="zh-CN"/>
        </w:rPr>
        <w:t xml:space="preserve"> – </w:t>
      </w:r>
      <w:r w:rsidRPr="006E3B9B">
        <w:rPr>
          <w:rFonts w:hint="eastAsia"/>
          <w:lang w:val="en-US" w:eastAsia="zh-CN"/>
        </w:rPr>
        <w:t>多米尼加共和国</w:t>
      </w:r>
      <w:r w:rsidRPr="006E3B9B">
        <w:rPr>
          <w:lang w:val="en-US" w:eastAsia="zh-CN"/>
        </w:rPr>
        <w:tab/>
      </w:r>
      <w:r w:rsidR="005F6138">
        <w:rPr>
          <w:lang w:val="en-US" w:eastAsia="zh-CN"/>
        </w:rPr>
        <w:tab/>
      </w:r>
      <w:r w:rsidRPr="006E3B9B">
        <w:rPr>
          <w:rFonts w:hint="eastAsia"/>
          <w:lang w:val="en-US" w:eastAsia="zh-CN"/>
        </w:rPr>
        <w:t>2006</w:t>
      </w:r>
      <w:r w:rsidRPr="006E3B9B">
        <w:rPr>
          <w:rFonts w:hint="eastAsia"/>
          <w:lang w:val="en-US" w:eastAsia="zh-CN"/>
        </w:rPr>
        <w:t>年</w:t>
      </w:r>
    </w:p>
    <w:p w14:paraId="4827C10B"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1166</w:t>
      </w:r>
      <w:r w:rsidRPr="006E3B9B">
        <w:rPr>
          <w:lang w:val="en-US" w:eastAsia="zh-CN"/>
        </w:rPr>
        <w:t>号决议</w:t>
      </w:r>
      <w:r w:rsidRPr="006E3B9B">
        <w:rPr>
          <w:lang w:val="en-US" w:eastAsia="zh-CN"/>
        </w:rPr>
        <w:tab/>
      </w:r>
      <w:r w:rsidRPr="006E3B9B">
        <w:rPr>
          <w:rFonts w:hint="eastAsia"/>
          <w:lang w:val="en-US" w:eastAsia="zh-CN"/>
        </w:rPr>
        <w:t>19</w:t>
      </w:r>
      <w:r w:rsidRPr="006E3B9B">
        <w:rPr>
          <w:lang w:val="en-US" w:eastAsia="zh-CN"/>
        </w:rPr>
        <w:t>99</w:t>
      </w:r>
      <w:r w:rsidRPr="006E3B9B">
        <w:rPr>
          <w:rFonts w:hint="eastAsia"/>
          <w:lang w:val="en-US" w:eastAsia="zh-CN"/>
        </w:rPr>
        <w:t>年世界电信展相关活动的账目</w:t>
      </w:r>
      <w:r w:rsidRPr="006E3B9B">
        <w:rPr>
          <w:lang w:val="en-US" w:eastAsia="zh-CN"/>
        </w:rPr>
        <w:tab/>
      </w:r>
      <w:r w:rsidR="005F6138">
        <w:rPr>
          <w:lang w:val="en-US" w:eastAsia="zh-CN"/>
        </w:rPr>
        <w:tab/>
      </w:r>
      <w:r w:rsidRPr="006E3B9B">
        <w:rPr>
          <w:lang w:val="en-US" w:eastAsia="zh-CN"/>
        </w:rPr>
        <w:t>2002</w:t>
      </w:r>
      <w:r w:rsidRPr="006E3B9B">
        <w:rPr>
          <w:rFonts w:hint="eastAsia"/>
          <w:lang w:val="en-US" w:eastAsia="zh-CN"/>
        </w:rPr>
        <w:t>年</w:t>
      </w:r>
    </w:p>
    <w:p w14:paraId="4827C10C"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1167</w:t>
      </w:r>
      <w:r w:rsidRPr="006E3B9B">
        <w:rPr>
          <w:lang w:val="en-US" w:eastAsia="zh-CN"/>
        </w:rPr>
        <w:t>号决议</w:t>
      </w:r>
      <w:r w:rsidRPr="006E3B9B">
        <w:rPr>
          <w:lang w:val="en-US" w:eastAsia="zh-CN"/>
        </w:rPr>
        <w:tab/>
        <w:t>2000</w:t>
      </w:r>
      <w:r w:rsidRPr="006E3B9B">
        <w:rPr>
          <w:rFonts w:hint="eastAsia"/>
          <w:lang w:val="en-US" w:eastAsia="zh-CN"/>
        </w:rPr>
        <w:t>财年财务工作报告</w:t>
      </w:r>
      <w:r w:rsidRPr="006E3B9B">
        <w:rPr>
          <w:lang w:val="en-US" w:eastAsia="zh-CN"/>
        </w:rPr>
        <w:tab/>
      </w:r>
      <w:r w:rsidR="005F6138">
        <w:rPr>
          <w:lang w:val="en-US" w:eastAsia="zh-CN"/>
        </w:rPr>
        <w:tab/>
      </w:r>
      <w:r w:rsidRPr="006E3B9B">
        <w:rPr>
          <w:rFonts w:hint="eastAsia"/>
          <w:lang w:val="en-US" w:eastAsia="zh-CN"/>
        </w:rPr>
        <w:t>2003</w:t>
      </w:r>
      <w:r w:rsidRPr="006E3B9B">
        <w:rPr>
          <w:rFonts w:hint="eastAsia"/>
          <w:lang w:val="en-US" w:eastAsia="zh-CN"/>
        </w:rPr>
        <w:t>年</w:t>
      </w:r>
    </w:p>
    <w:p w14:paraId="4827C10D"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1168</w:t>
      </w:r>
      <w:r w:rsidRPr="006E3B9B">
        <w:rPr>
          <w:lang w:val="en-US" w:eastAsia="zh-CN"/>
        </w:rPr>
        <w:t>号决议</w:t>
      </w:r>
      <w:r w:rsidRPr="006E3B9B">
        <w:rPr>
          <w:lang w:val="en-US" w:eastAsia="zh-CN"/>
        </w:rPr>
        <w:tab/>
      </w:r>
      <w:r w:rsidRPr="006E3B9B">
        <w:rPr>
          <w:rFonts w:hint="eastAsia"/>
          <w:lang w:val="en-US" w:eastAsia="zh-CN"/>
        </w:rPr>
        <w:t>对</w:t>
      </w:r>
      <w:r w:rsidRPr="006E3B9B">
        <w:rPr>
          <w:lang w:val="en-US" w:eastAsia="zh-CN"/>
        </w:rPr>
        <w:t>AESA</w:t>
      </w:r>
      <w:r w:rsidRPr="006E3B9B">
        <w:rPr>
          <w:rFonts w:hint="eastAsia"/>
          <w:lang w:val="en-US" w:eastAsia="zh-CN"/>
        </w:rPr>
        <w:t>登记处职能实行成本回收</w:t>
      </w:r>
      <w:r w:rsidRPr="006E3B9B">
        <w:rPr>
          <w:lang w:val="en-US" w:eastAsia="zh-CN"/>
        </w:rPr>
        <w:tab/>
      </w:r>
      <w:r w:rsidR="005F6138">
        <w:rPr>
          <w:lang w:val="en-US" w:eastAsia="zh-CN"/>
        </w:rPr>
        <w:tab/>
      </w:r>
      <w:r w:rsidRPr="006E3B9B">
        <w:rPr>
          <w:lang w:val="en-US" w:eastAsia="zh-CN"/>
        </w:rPr>
        <w:t>5.3</w:t>
      </w:r>
    </w:p>
    <w:p w14:paraId="4827C10E"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1169</w:t>
      </w:r>
      <w:r w:rsidRPr="006E3B9B">
        <w:rPr>
          <w:lang w:val="en-US" w:eastAsia="zh-CN"/>
        </w:rPr>
        <w:t>号决议</w:t>
      </w:r>
      <w:r w:rsidRPr="006E3B9B">
        <w:rPr>
          <w:lang w:val="en-US" w:eastAsia="zh-CN"/>
        </w:rPr>
        <w:tab/>
      </w:r>
      <w:r w:rsidRPr="006E3B9B">
        <w:rPr>
          <w:rFonts w:hint="eastAsia"/>
          <w:lang w:eastAsia="zh-CN"/>
        </w:rPr>
        <w:t>为</w:t>
      </w:r>
      <w:r w:rsidRPr="006E3B9B">
        <w:rPr>
          <w:rFonts w:hint="eastAsia"/>
          <w:lang w:val="en-US" w:eastAsia="zh-CN"/>
        </w:rPr>
        <w:t>实施技术合作项目的追加拨款</w:t>
      </w:r>
      <w:r w:rsidRPr="006E3B9B">
        <w:rPr>
          <w:lang w:val="en-US" w:eastAsia="zh-CN"/>
        </w:rPr>
        <w:tab/>
      </w:r>
      <w:r w:rsidR="005F6138">
        <w:rPr>
          <w:lang w:val="en-US" w:eastAsia="zh-CN"/>
        </w:rPr>
        <w:tab/>
      </w:r>
      <w:r w:rsidRPr="006E3B9B">
        <w:rPr>
          <w:rFonts w:hint="eastAsia"/>
          <w:lang w:val="en-US" w:eastAsia="zh-CN"/>
        </w:rPr>
        <w:t>2003</w:t>
      </w:r>
      <w:r w:rsidRPr="006E3B9B">
        <w:rPr>
          <w:rFonts w:hint="eastAsia"/>
          <w:lang w:val="en-US" w:eastAsia="zh-CN"/>
        </w:rPr>
        <w:t>年</w:t>
      </w:r>
    </w:p>
    <w:p w14:paraId="4827C10F"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1170</w:t>
      </w:r>
      <w:r w:rsidRPr="006E3B9B">
        <w:rPr>
          <w:lang w:val="en-US" w:eastAsia="zh-CN"/>
        </w:rPr>
        <w:t>号决议</w:t>
      </w:r>
      <w:r w:rsidRPr="006E3B9B">
        <w:rPr>
          <w:lang w:val="en-US" w:eastAsia="zh-CN"/>
        </w:rPr>
        <w:tab/>
      </w:r>
      <w:r w:rsidRPr="006E3B9B">
        <w:rPr>
          <w:rFonts w:hint="eastAsia"/>
          <w:lang w:val="en-US" w:eastAsia="zh-CN"/>
        </w:rPr>
        <w:t>为无线电通信部门的追加拨款</w:t>
      </w:r>
      <w:r w:rsidRPr="006E3B9B">
        <w:rPr>
          <w:lang w:val="en-US" w:eastAsia="zh-CN"/>
        </w:rPr>
        <w:tab/>
      </w:r>
      <w:r w:rsidR="005F6138">
        <w:rPr>
          <w:lang w:val="en-US" w:eastAsia="zh-CN"/>
        </w:rPr>
        <w:tab/>
      </w:r>
      <w:r w:rsidRPr="006E3B9B">
        <w:rPr>
          <w:rFonts w:hint="eastAsia"/>
          <w:lang w:val="en-US" w:eastAsia="zh-CN"/>
        </w:rPr>
        <w:t>2003</w:t>
      </w:r>
      <w:r w:rsidRPr="006E3B9B">
        <w:rPr>
          <w:rFonts w:hint="eastAsia"/>
          <w:lang w:val="en-US" w:eastAsia="zh-CN"/>
        </w:rPr>
        <w:t>年</w:t>
      </w:r>
    </w:p>
    <w:p w14:paraId="4827C110"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1171</w:t>
      </w:r>
      <w:r w:rsidRPr="006E3B9B">
        <w:rPr>
          <w:lang w:val="en-US" w:eastAsia="zh-CN"/>
        </w:rPr>
        <w:t>号决议</w:t>
      </w:r>
      <w:r w:rsidRPr="006E3B9B">
        <w:rPr>
          <w:lang w:val="en-US" w:eastAsia="zh-CN"/>
        </w:rPr>
        <w:tab/>
      </w:r>
      <w:r w:rsidRPr="006E3B9B">
        <w:rPr>
          <w:rFonts w:hint="eastAsia"/>
          <w:lang w:val="en-US" w:eastAsia="zh-CN"/>
        </w:rPr>
        <w:t>《财务规则》的修订</w:t>
      </w:r>
      <w:r w:rsidRPr="006E3B9B">
        <w:rPr>
          <w:lang w:val="en-US" w:eastAsia="zh-CN"/>
        </w:rPr>
        <w:tab/>
      </w:r>
      <w:r w:rsidR="005F6138">
        <w:rPr>
          <w:lang w:val="en-US" w:eastAsia="zh-CN"/>
        </w:rPr>
        <w:tab/>
      </w:r>
      <w:r w:rsidRPr="006E3B9B">
        <w:rPr>
          <w:rFonts w:hint="eastAsia"/>
          <w:lang w:val="en-US" w:eastAsia="zh-CN"/>
        </w:rPr>
        <w:t>2003</w:t>
      </w:r>
      <w:r w:rsidRPr="006E3B9B">
        <w:rPr>
          <w:rFonts w:hint="eastAsia"/>
          <w:lang w:val="en-US" w:eastAsia="zh-CN"/>
        </w:rPr>
        <w:t>年</w:t>
      </w:r>
    </w:p>
    <w:p w14:paraId="4827C111"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1172</w:t>
      </w:r>
      <w:r w:rsidRPr="006E3B9B">
        <w:rPr>
          <w:lang w:val="en-US" w:eastAsia="zh-CN"/>
        </w:rPr>
        <w:t>号决议</w:t>
      </w:r>
      <w:r w:rsidRPr="006E3B9B">
        <w:rPr>
          <w:lang w:val="en-US" w:eastAsia="zh-CN"/>
        </w:rPr>
        <w:tab/>
      </w:r>
      <w:r w:rsidRPr="006E3B9B">
        <w:rPr>
          <w:rFonts w:hint="eastAsia"/>
          <w:lang w:val="en-US" w:eastAsia="zh-CN"/>
        </w:rPr>
        <w:t>办公楼维护基金</w:t>
      </w:r>
      <w:r w:rsidRPr="006E3B9B">
        <w:rPr>
          <w:lang w:val="en-US" w:eastAsia="zh-CN"/>
        </w:rPr>
        <w:tab/>
      </w:r>
      <w:r w:rsidR="005F6138">
        <w:rPr>
          <w:lang w:val="en-US" w:eastAsia="zh-CN"/>
        </w:rPr>
        <w:tab/>
      </w:r>
      <w:r w:rsidRPr="006E3B9B">
        <w:rPr>
          <w:rFonts w:hint="eastAsia"/>
          <w:lang w:val="en-US" w:eastAsia="zh-CN"/>
        </w:rPr>
        <w:t>2005</w:t>
      </w:r>
      <w:r w:rsidRPr="006E3B9B">
        <w:rPr>
          <w:rFonts w:hint="eastAsia"/>
          <w:lang w:val="en-US" w:eastAsia="zh-CN"/>
        </w:rPr>
        <w:t>年</w:t>
      </w:r>
    </w:p>
    <w:p w14:paraId="4827C112"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1173</w:t>
      </w:r>
      <w:r w:rsidRPr="006E3B9B">
        <w:rPr>
          <w:lang w:val="en-US" w:eastAsia="zh-CN"/>
        </w:rPr>
        <w:t>号决议</w:t>
      </w:r>
      <w:r w:rsidRPr="006E3B9B">
        <w:rPr>
          <w:lang w:val="en-US" w:eastAsia="zh-CN"/>
        </w:rPr>
        <w:tab/>
      </w:r>
      <w:r w:rsidRPr="006E3B9B">
        <w:rPr>
          <w:rFonts w:hint="eastAsia"/>
          <w:lang w:val="en-US" w:eastAsia="zh-CN"/>
        </w:rPr>
        <w:t>信息通信技术（</w:t>
      </w:r>
      <w:r w:rsidRPr="006E3B9B">
        <w:rPr>
          <w:lang w:val="en-US" w:eastAsia="zh-CN"/>
        </w:rPr>
        <w:t>ICT</w:t>
      </w:r>
      <w:r w:rsidRPr="006E3B9B">
        <w:rPr>
          <w:rFonts w:hint="eastAsia"/>
          <w:lang w:val="en-US" w:eastAsia="zh-CN"/>
        </w:rPr>
        <w:t>）资本基金</w:t>
      </w:r>
      <w:r w:rsidRPr="006E3B9B">
        <w:rPr>
          <w:lang w:val="en-US" w:eastAsia="zh-CN"/>
        </w:rPr>
        <w:tab/>
      </w:r>
      <w:r w:rsidR="005F6138">
        <w:rPr>
          <w:lang w:val="en-US" w:eastAsia="zh-CN"/>
        </w:rPr>
        <w:tab/>
      </w:r>
      <w:r w:rsidRPr="006E3B9B">
        <w:rPr>
          <w:rFonts w:hint="eastAsia"/>
          <w:lang w:val="en-US" w:eastAsia="zh-CN"/>
        </w:rPr>
        <w:t>2006</w:t>
      </w:r>
      <w:r w:rsidRPr="006E3B9B">
        <w:rPr>
          <w:rFonts w:hint="eastAsia"/>
          <w:lang w:val="en-US" w:eastAsia="zh-CN"/>
        </w:rPr>
        <w:t>年</w:t>
      </w:r>
    </w:p>
    <w:p w14:paraId="4827C113"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1174</w:t>
      </w:r>
      <w:r w:rsidRPr="006E3B9B">
        <w:rPr>
          <w:lang w:val="en-US" w:eastAsia="zh-CN"/>
        </w:rPr>
        <w:t>号决议</w:t>
      </w:r>
      <w:r w:rsidRPr="006E3B9B">
        <w:rPr>
          <w:lang w:val="en-US" w:eastAsia="zh-CN"/>
        </w:rPr>
        <w:tab/>
      </w:r>
      <w:r w:rsidRPr="006E3B9B">
        <w:rPr>
          <w:rFonts w:hint="eastAsia"/>
          <w:lang w:val="en-US" w:eastAsia="zh-CN"/>
        </w:rPr>
        <w:t>国际电信联盟</w:t>
      </w:r>
      <w:r w:rsidRPr="006E3B9B">
        <w:rPr>
          <w:lang w:val="en-US" w:eastAsia="zh-CN"/>
        </w:rPr>
        <w:t>2002-2003</w:t>
      </w:r>
      <w:r w:rsidRPr="006E3B9B">
        <w:rPr>
          <w:rFonts w:hint="eastAsia"/>
          <w:lang w:val="en-US" w:eastAsia="zh-CN"/>
        </w:rPr>
        <w:t>双年度预算</w:t>
      </w:r>
      <w:r w:rsidRPr="006E3B9B">
        <w:rPr>
          <w:lang w:val="en-US" w:eastAsia="zh-CN"/>
        </w:rPr>
        <w:tab/>
      </w:r>
      <w:r w:rsidR="005F6138">
        <w:rPr>
          <w:lang w:val="en-US" w:eastAsia="zh-CN"/>
        </w:rPr>
        <w:tab/>
      </w:r>
      <w:r w:rsidRPr="006E3B9B">
        <w:rPr>
          <w:rFonts w:hint="eastAsia"/>
          <w:lang w:val="en-US" w:eastAsia="zh-CN"/>
        </w:rPr>
        <w:t>2005</w:t>
      </w:r>
      <w:r w:rsidRPr="006E3B9B">
        <w:rPr>
          <w:rFonts w:hint="eastAsia"/>
          <w:lang w:val="en-US" w:eastAsia="zh-CN"/>
        </w:rPr>
        <w:t>年</w:t>
      </w:r>
    </w:p>
    <w:p w14:paraId="4827C114"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1175</w:t>
      </w:r>
      <w:r w:rsidRPr="006E3B9B">
        <w:rPr>
          <w:lang w:val="en-US" w:eastAsia="zh-CN"/>
        </w:rPr>
        <w:t>号决议</w:t>
      </w:r>
      <w:r w:rsidRPr="006E3B9B">
        <w:rPr>
          <w:lang w:val="en-US" w:eastAsia="zh-CN"/>
        </w:rPr>
        <w:tab/>
      </w:r>
      <w:r w:rsidRPr="006E3B9B">
        <w:rPr>
          <w:rFonts w:hint="eastAsia"/>
          <w:lang w:eastAsia="zh-CN"/>
        </w:rPr>
        <w:t>适用于</w:t>
      </w:r>
      <w:r w:rsidRPr="006E3B9B">
        <w:rPr>
          <w:rFonts w:hint="eastAsia"/>
          <w:lang w:val="en-US" w:eastAsia="zh-CN"/>
        </w:rPr>
        <w:t>国际电联委任职员的《人事规则》的修正案</w:t>
      </w:r>
      <w:r w:rsidR="005F6138">
        <w:rPr>
          <w:lang w:val="en-US" w:eastAsia="zh-CN"/>
        </w:rPr>
        <w:tab/>
      </w:r>
      <w:r w:rsidRPr="006E3B9B">
        <w:rPr>
          <w:lang w:val="en-US" w:eastAsia="zh-CN"/>
        </w:rPr>
        <w:tab/>
        <w:t>2002</w:t>
      </w:r>
      <w:r w:rsidRPr="006E3B9B">
        <w:rPr>
          <w:rFonts w:hint="eastAsia"/>
          <w:lang w:val="en-US" w:eastAsia="zh-CN"/>
        </w:rPr>
        <w:t>年</w:t>
      </w:r>
    </w:p>
    <w:p w14:paraId="4827C115"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1176</w:t>
      </w:r>
      <w:r w:rsidRPr="006E3B9B">
        <w:rPr>
          <w:lang w:val="en-US" w:eastAsia="zh-CN"/>
        </w:rPr>
        <w:t>号决议</w:t>
      </w:r>
      <w:r w:rsidRPr="006E3B9B">
        <w:rPr>
          <w:lang w:val="en-US" w:eastAsia="zh-CN"/>
        </w:rPr>
        <w:tab/>
      </w:r>
      <w:r w:rsidRPr="006E3B9B">
        <w:rPr>
          <w:rFonts w:hint="eastAsia"/>
          <w:lang w:val="en-US" w:eastAsia="zh-CN"/>
        </w:rPr>
        <w:t>国际电联选任官员的服务条件</w:t>
      </w:r>
      <w:r w:rsidRPr="006E3B9B">
        <w:rPr>
          <w:lang w:val="en-US" w:eastAsia="zh-CN"/>
        </w:rPr>
        <w:tab/>
      </w:r>
      <w:r w:rsidR="005F6138">
        <w:rPr>
          <w:lang w:val="en-US" w:eastAsia="zh-CN"/>
        </w:rPr>
        <w:tab/>
      </w:r>
      <w:r w:rsidRPr="006E3B9B">
        <w:rPr>
          <w:rFonts w:hint="eastAsia"/>
          <w:lang w:val="en-US" w:eastAsia="zh-CN"/>
        </w:rPr>
        <w:t>2003</w:t>
      </w:r>
      <w:r w:rsidRPr="006E3B9B">
        <w:rPr>
          <w:rFonts w:hint="eastAsia"/>
          <w:lang w:val="en-US" w:eastAsia="zh-CN"/>
        </w:rPr>
        <w:t>年</w:t>
      </w:r>
    </w:p>
    <w:p w14:paraId="4827C116"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1177</w:t>
      </w:r>
      <w:r w:rsidRPr="006E3B9B">
        <w:rPr>
          <w:lang w:val="en-US" w:eastAsia="zh-CN"/>
        </w:rPr>
        <w:t>号决议</w:t>
      </w:r>
      <w:r w:rsidRPr="006E3B9B">
        <w:rPr>
          <w:lang w:val="en-US" w:eastAsia="zh-CN"/>
        </w:rPr>
        <w:tab/>
      </w:r>
      <w:r w:rsidRPr="006E3B9B">
        <w:rPr>
          <w:rFonts w:hint="eastAsia"/>
          <w:lang w:val="en-US" w:eastAsia="zh-CN"/>
        </w:rPr>
        <w:t>国际电联职员养恤金委员会的委员</w:t>
      </w:r>
      <w:r w:rsidRPr="006E3B9B">
        <w:rPr>
          <w:lang w:val="en-US" w:eastAsia="zh-CN"/>
        </w:rPr>
        <w:tab/>
      </w:r>
      <w:r w:rsidR="005F6138">
        <w:rPr>
          <w:lang w:val="en-US" w:eastAsia="zh-CN"/>
        </w:rPr>
        <w:tab/>
      </w:r>
      <w:r w:rsidRPr="006E3B9B">
        <w:rPr>
          <w:rFonts w:hint="eastAsia"/>
          <w:lang w:val="en-US" w:eastAsia="zh-CN"/>
        </w:rPr>
        <w:t>2004</w:t>
      </w:r>
      <w:r w:rsidRPr="006E3B9B">
        <w:rPr>
          <w:rFonts w:hint="eastAsia"/>
          <w:lang w:val="en-US" w:eastAsia="zh-CN"/>
        </w:rPr>
        <w:t>年</w:t>
      </w:r>
    </w:p>
    <w:p w14:paraId="4827C117"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1178</w:t>
      </w:r>
      <w:r w:rsidRPr="006E3B9B">
        <w:rPr>
          <w:lang w:val="en-US" w:eastAsia="zh-CN"/>
        </w:rPr>
        <w:t>号决议</w:t>
      </w:r>
      <w:r w:rsidRPr="006E3B9B">
        <w:rPr>
          <w:lang w:val="en-US" w:eastAsia="zh-CN"/>
        </w:rPr>
        <w:tab/>
      </w:r>
      <w:r w:rsidRPr="006E3B9B">
        <w:rPr>
          <w:rFonts w:hint="eastAsia"/>
          <w:lang w:eastAsia="zh-CN"/>
        </w:rPr>
        <w:t>适用于</w:t>
      </w:r>
      <w:r w:rsidRPr="006E3B9B">
        <w:rPr>
          <w:rFonts w:hint="eastAsia"/>
          <w:lang w:val="en-US" w:eastAsia="zh-CN"/>
        </w:rPr>
        <w:t>国际电联委任职员的《人事规则》的修正案</w:t>
      </w:r>
      <w:r w:rsidRPr="006E3B9B">
        <w:rPr>
          <w:lang w:val="en-US" w:eastAsia="zh-CN"/>
        </w:rPr>
        <w:tab/>
      </w:r>
      <w:r w:rsidR="005F6138">
        <w:rPr>
          <w:lang w:val="en-US" w:eastAsia="zh-CN"/>
        </w:rPr>
        <w:tab/>
      </w:r>
      <w:r w:rsidRPr="006E3B9B">
        <w:rPr>
          <w:lang w:val="en-US" w:eastAsia="zh-CN"/>
        </w:rPr>
        <w:t>2002</w:t>
      </w:r>
      <w:r w:rsidRPr="006E3B9B">
        <w:rPr>
          <w:rFonts w:hint="eastAsia"/>
          <w:lang w:val="en-US" w:eastAsia="zh-CN"/>
        </w:rPr>
        <w:t>年</w:t>
      </w:r>
    </w:p>
    <w:p w14:paraId="4827C118"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1179</w:t>
      </w:r>
      <w:r w:rsidRPr="006E3B9B">
        <w:rPr>
          <w:lang w:val="en-US" w:eastAsia="zh-CN"/>
        </w:rPr>
        <w:t>号决议</w:t>
      </w:r>
      <w:r w:rsidRPr="006E3B9B">
        <w:rPr>
          <w:lang w:val="en-US" w:eastAsia="zh-CN"/>
        </w:rPr>
        <w:tab/>
      </w:r>
      <w:r w:rsidRPr="006E3B9B">
        <w:rPr>
          <w:rFonts w:hint="eastAsia"/>
          <w:lang w:val="en-US" w:eastAsia="zh-CN"/>
        </w:rPr>
        <w:t>国际电联为信息社会世界峰会进行的筹备活动</w:t>
      </w:r>
      <w:r w:rsidRPr="006E3B9B">
        <w:rPr>
          <w:lang w:val="en-US" w:eastAsia="zh-CN"/>
        </w:rPr>
        <w:tab/>
      </w:r>
      <w:r w:rsidR="005F6138">
        <w:rPr>
          <w:lang w:val="en-US" w:eastAsia="zh-CN"/>
        </w:rPr>
        <w:tab/>
      </w:r>
      <w:r w:rsidRPr="006E3B9B">
        <w:rPr>
          <w:rFonts w:hint="eastAsia"/>
          <w:lang w:val="en-US" w:eastAsia="zh-CN"/>
        </w:rPr>
        <w:t>2006</w:t>
      </w:r>
      <w:r w:rsidRPr="006E3B9B">
        <w:rPr>
          <w:rFonts w:hint="eastAsia"/>
          <w:lang w:val="en-US" w:eastAsia="zh-CN"/>
        </w:rPr>
        <w:t>年</w:t>
      </w:r>
    </w:p>
    <w:p w14:paraId="4827C119"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1180</w:t>
      </w:r>
      <w:r w:rsidRPr="006E3B9B">
        <w:rPr>
          <w:lang w:val="en-US" w:eastAsia="zh-CN"/>
        </w:rPr>
        <w:t>号决议</w:t>
      </w:r>
      <w:r w:rsidRPr="006E3B9B">
        <w:rPr>
          <w:lang w:val="en-US" w:eastAsia="zh-CN"/>
        </w:rPr>
        <w:tab/>
      </w:r>
      <w:r w:rsidRPr="006E3B9B">
        <w:rPr>
          <w:rFonts w:hint="eastAsia"/>
          <w:lang w:val="en-US" w:eastAsia="zh-CN"/>
        </w:rPr>
        <w:t>成员国有关</w:t>
      </w:r>
      <w:r w:rsidRPr="006E3B9B">
        <w:rPr>
          <w:lang w:val="en-US" w:eastAsia="zh-CN"/>
        </w:rPr>
        <w:t>VHF</w:t>
      </w:r>
      <w:r w:rsidRPr="006E3B9B">
        <w:rPr>
          <w:rFonts w:hint="eastAsia"/>
          <w:lang w:val="en-US" w:eastAsia="zh-CN"/>
        </w:rPr>
        <w:t>和</w:t>
      </w:r>
      <w:r w:rsidRPr="006E3B9B">
        <w:rPr>
          <w:lang w:val="en-US" w:eastAsia="zh-CN"/>
        </w:rPr>
        <w:t>UHF</w:t>
      </w:r>
      <w:r w:rsidRPr="006E3B9B">
        <w:rPr>
          <w:rFonts w:hint="eastAsia"/>
          <w:lang w:val="en-US" w:eastAsia="zh-CN"/>
        </w:rPr>
        <w:t>频段内地面广播规划的磋商</w:t>
      </w:r>
      <w:r w:rsidRPr="006E3B9B">
        <w:rPr>
          <w:lang w:val="en-US" w:eastAsia="zh-CN"/>
        </w:rPr>
        <w:tab/>
      </w:r>
      <w:r w:rsidR="005F6138">
        <w:rPr>
          <w:lang w:val="en-US" w:eastAsia="zh-CN"/>
        </w:rPr>
        <w:tab/>
      </w:r>
      <w:r w:rsidRPr="006E3B9B">
        <w:rPr>
          <w:rFonts w:hint="eastAsia"/>
          <w:lang w:val="en-US" w:eastAsia="zh-CN"/>
        </w:rPr>
        <w:t>2004</w:t>
      </w:r>
      <w:r w:rsidRPr="006E3B9B">
        <w:rPr>
          <w:rFonts w:hint="eastAsia"/>
          <w:lang w:val="en-US" w:eastAsia="zh-CN"/>
        </w:rPr>
        <w:t>年</w:t>
      </w:r>
    </w:p>
    <w:p w14:paraId="4827C11A"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1181</w:t>
      </w:r>
      <w:r w:rsidRPr="006E3B9B">
        <w:rPr>
          <w:lang w:val="en-US" w:eastAsia="zh-CN"/>
        </w:rPr>
        <w:t>号决议</w:t>
      </w:r>
      <w:r w:rsidRPr="006E3B9B">
        <w:rPr>
          <w:lang w:val="en-US" w:eastAsia="zh-CN"/>
        </w:rPr>
        <w:tab/>
      </w:r>
      <w:r w:rsidRPr="006E3B9B">
        <w:rPr>
          <w:rFonts w:hint="eastAsia"/>
          <w:lang w:val="en-US" w:eastAsia="zh-CN"/>
        </w:rPr>
        <w:t>有关国际电联改革的建议</w:t>
      </w:r>
      <w:r w:rsidRPr="006E3B9B">
        <w:rPr>
          <w:lang w:val="en-US" w:eastAsia="zh-CN"/>
        </w:rPr>
        <w:tab/>
      </w:r>
      <w:r w:rsidR="005F6138">
        <w:rPr>
          <w:lang w:val="en-US" w:eastAsia="zh-CN"/>
        </w:rPr>
        <w:tab/>
      </w:r>
      <w:r w:rsidRPr="006E3B9B">
        <w:rPr>
          <w:rFonts w:hint="eastAsia"/>
          <w:lang w:val="en-US" w:eastAsia="zh-CN"/>
        </w:rPr>
        <w:t>2007</w:t>
      </w:r>
      <w:r w:rsidRPr="006E3B9B">
        <w:rPr>
          <w:rFonts w:hint="eastAsia"/>
          <w:lang w:val="en-US" w:eastAsia="zh-CN"/>
        </w:rPr>
        <w:t>年</w:t>
      </w:r>
    </w:p>
    <w:p w14:paraId="4827C11B" w14:textId="77777777" w:rsidR="00091112" w:rsidRDefault="00091112">
      <w:pPr>
        <w:tabs>
          <w:tab w:val="clear" w:pos="794"/>
          <w:tab w:val="clear" w:pos="1191"/>
          <w:tab w:val="clear" w:pos="1588"/>
          <w:tab w:val="clear" w:pos="1985"/>
        </w:tabs>
        <w:overflowPunct/>
        <w:autoSpaceDE/>
        <w:autoSpaceDN/>
        <w:adjustRightInd/>
        <w:spacing w:before="0"/>
        <w:jc w:val="left"/>
        <w:textAlignment w:val="auto"/>
        <w:rPr>
          <w:sz w:val="20"/>
          <w:lang w:val="en-US" w:eastAsia="zh-CN"/>
        </w:rPr>
      </w:pPr>
      <w:r>
        <w:rPr>
          <w:lang w:val="en-US" w:eastAsia="zh-CN"/>
        </w:rPr>
        <w:br w:type="page"/>
      </w:r>
    </w:p>
    <w:p w14:paraId="4827C11C" w14:textId="77777777" w:rsidR="006E3B9B" w:rsidRPr="006E3B9B" w:rsidRDefault="006E3B9B" w:rsidP="005F6138">
      <w:pPr>
        <w:pStyle w:val="Appendixref"/>
        <w:rPr>
          <w:lang w:val="en-US" w:eastAsia="zh-CN"/>
        </w:rPr>
      </w:pPr>
      <w:r w:rsidRPr="006E3B9B">
        <w:rPr>
          <w:lang w:val="en-US" w:eastAsia="zh-CN"/>
        </w:rPr>
        <w:lastRenderedPageBreak/>
        <w:t>第</w:t>
      </w:r>
      <w:r w:rsidRPr="006E3B9B">
        <w:rPr>
          <w:lang w:val="en-US" w:eastAsia="zh-CN"/>
        </w:rPr>
        <w:t>1182</w:t>
      </w:r>
      <w:r w:rsidRPr="006E3B9B">
        <w:rPr>
          <w:lang w:val="en-US" w:eastAsia="zh-CN"/>
        </w:rPr>
        <w:t>号决议</w:t>
      </w:r>
      <w:r w:rsidRPr="006E3B9B">
        <w:rPr>
          <w:lang w:val="en-US" w:eastAsia="zh-CN"/>
        </w:rPr>
        <w:tab/>
      </w:r>
      <w:r w:rsidRPr="006E3B9B">
        <w:rPr>
          <w:rFonts w:hint="eastAsia"/>
          <w:lang w:val="en-US" w:eastAsia="zh-CN"/>
        </w:rPr>
        <w:t>消除无线电通信局卫星网络申报处理工作中的积压</w:t>
      </w:r>
      <w:r w:rsidRPr="006E3B9B">
        <w:rPr>
          <w:lang w:val="en-US" w:eastAsia="zh-CN"/>
        </w:rPr>
        <w:tab/>
      </w:r>
      <w:r w:rsidR="005F6138">
        <w:rPr>
          <w:lang w:val="en-US" w:eastAsia="zh-CN"/>
        </w:rPr>
        <w:tab/>
      </w:r>
      <w:r w:rsidRPr="006E3B9B">
        <w:rPr>
          <w:rFonts w:hint="eastAsia"/>
          <w:lang w:val="en-US" w:eastAsia="zh-CN"/>
        </w:rPr>
        <w:t>2006</w:t>
      </w:r>
      <w:r w:rsidRPr="006E3B9B">
        <w:rPr>
          <w:rFonts w:hint="eastAsia"/>
          <w:lang w:val="en-US" w:eastAsia="zh-CN"/>
        </w:rPr>
        <w:t>年</w:t>
      </w:r>
    </w:p>
    <w:p w14:paraId="4827C11D"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1183</w:t>
      </w:r>
      <w:r w:rsidRPr="006E3B9B">
        <w:rPr>
          <w:lang w:val="en-US" w:eastAsia="zh-CN"/>
        </w:rPr>
        <w:t>号决议</w:t>
      </w:r>
      <w:r w:rsidRPr="006E3B9B">
        <w:rPr>
          <w:lang w:val="en-US" w:eastAsia="zh-CN"/>
        </w:rPr>
        <w:tab/>
      </w:r>
      <w:r w:rsidRPr="006E3B9B">
        <w:rPr>
          <w:rFonts w:hint="eastAsia"/>
          <w:lang w:val="en-US" w:eastAsia="zh-CN"/>
        </w:rPr>
        <w:t>国际电联的区域代表处</w:t>
      </w:r>
      <w:r w:rsidRPr="006E3B9B">
        <w:rPr>
          <w:lang w:val="en-US" w:eastAsia="zh-CN"/>
        </w:rPr>
        <w:tab/>
      </w:r>
      <w:r w:rsidR="005F6138">
        <w:rPr>
          <w:lang w:val="en-US" w:eastAsia="zh-CN"/>
        </w:rPr>
        <w:tab/>
      </w:r>
      <w:r w:rsidRPr="006E3B9B">
        <w:rPr>
          <w:lang w:val="en-US" w:eastAsia="zh-CN"/>
        </w:rPr>
        <w:t>5.4</w:t>
      </w:r>
    </w:p>
    <w:p w14:paraId="4827C11E"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1184</w:t>
      </w:r>
      <w:r w:rsidRPr="006E3B9B">
        <w:rPr>
          <w:lang w:val="en-US" w:eastAsia="zh-CN"/>
        </w:rPr>
        <w:t>号决议</w:t>
      </w:r>
      <w:r w:rsidRPr="006E3B9B">
        <w:rPr>
          <w:lang w:val="en-US" w:eastAsia="zh-CN"/>
        </w:rPr>
        <w:tab/>
      </w:r>
      <w:r w:rsidRPr="006E3B9B">
        <w:rPr>
          <w:rFonts w:hint="eastAsia"/>
          <w:lang w:val="en-US" w:eastAsia="zh-CN"/>
        </w:rPr>
        <w:t>世界电信发展大会（</w:t>
      </w:r>
      <w:r w:rsidRPr="006E3B9B">
        <w:rPr>
          <w:lang w:val="en-US" w:eastAsia="zh-CN"/>
        </w:rPr>
        <w:t>WTDC-02</w:t>
      </w:r>
      <w:r w:rsidRPr="006E3B9B">
        <w:rPr>
          <w:rFonts w:hint="eastAsia"/>
          <w:lang w:val="en-US" w:eastAsia="zh-CN"/>
        </w:rPr>
        <w:t>）</w:t>
      </w:r>
      <w:r w:rsidRPr="006E3B9B">
        <w:rPr>
          <w:lang w:val="en-US" w:eastAsia="zh-CN"/>
        </w:rPr>
        <w:tab/>
      </w:r>
      <w:r w:rsidR="005F6138">
        <w:rPr>
          <w:lang w:val="en-US" w:eastAsia="zh-CN"/>
        </w:rPr>
        <w:tab/>
      </w:r>
      <w:r w:rsidRPr="006E3B9B">
        <w:rPr>
          <w:lang w:val="en-US" w:eastAsia="zh-CN"/>
        </w:rPr>
        <w:t>2002</w:t>
      </w:r>
      <w:r w:rsidRPr="006E3B9B">
        <w:rPr>
          <w:rFonts w:hint="eastAsia"/>
          <w:lang w:val="en-US" w:eastAsia="zh-CN"/>
        </w:rPr>
        <w:t>年</w:t>
      </w:r>
    </w:p>
    <w:p w14:paraId="4827C11F"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1185</w:t>
      </w:r>
      <w:r w:rsidRPr="006E3B9B">
        <w:rPr>
          <w:lang w:val="en-US" w:eastAsia="zh-CN"/>
        </w:rPr>
        <w:t>号决议</w:t>
      </w:r>
      <w:r w:rsidRPr="006E3B9B">
        <w:rPr>
          <w:lang w:val="en-US" w:eastAsia="zh-CN"/>
        </w:rPr>
        <w:tab/>
      </w:r>
      <w:r w:rsidRPr="006E3B9B">
        <w:rPr>
          <w:rFonts w:hint="eastAsia"/>
          <w:lang w:val="en-US" w:eastAsia="zh-CN"/>
        </w:rPr>
        <w:t>为修订欧洲</w:t>
      </w:r>
      <w:r w:rsidRPr="006E3B9B">
        <w:rPr>
          <w:lang w:val="en-US" w:eastAsia="zh-CN"/>
        </w:rPr>
        <w:t>174-230MHZ</w:t>
      </w:r>
      <w:r w:rsidRPr="006E3B9B">
        <w:rPr>
          <w:rFonts w:hint="eastAsia"/>
          <w:lang w:val="en-US" w:eastAsia="zh-CN"/>
        </w:rPr>
        <w:t>和</w:t>
      </w:r>
      <w:r w:rsidRPr="006E3B9B">
        <w:rPr>
          <w:lang w:val="en-US" w:eastAsia="zh-CN"/>
        </w:rPr>
        <w:t>470-862MHZ</w:t>
      </w:r>
      <w:r w:rsidRPr="006E3B9B">
        <w:rPr>
          <w:rFonts w:hint="eastAsia"/>
          <w:lang w:val="en-US" w:eastAsia="zh-CN"/>
        </w:rPr>
        <w:t>频段内广播协议（</w:t>
      </w:r>
      <w:r w:rsidRPr="006E3B9B">
        <w:rPr>
          <w:lang w:val="en-US" w:eastAsia="zh-CN"/>
        </w:rPr>
        <w:t>1961</w:t>
      </w:r>
      <w:r w:rsidRPr="006E3B9B">
        <w:rPr>
          <w:rFonts w:hint="eastAsia"/>
          <w:lang w:val="en-US" w:eastAsia="zh-CN"/>
        </w:rPr>
        <w:t>年，斯德哥尔摩）而召开的区域性无线电通信大会</w:t>
      </w:r>
      <w:r w:rsidR="005F6138">
        <w:rPr>
          <w:lang w:val="en-US" w:eastAsia="zh-CN"/>
        </w:rPr>
        <w:tab/>
      </w:r>
      <w:r w:rsidRPr="006E3B9B">
        <w:rPr>
          <w:lang w:val="en-US" w:eastAsia="zh-CN"/>
        </w:rPr>
        <w:tab/>
      </w:r>
      <w:r w:rsidRPr="006E3B9B">
        <w:rPr>
          <w:rFonts w:hint="eastAsia"/>
          <w:lang w:val="en-US" w:eastAsia="zh-CN"/>
        </w:rPr>
        <w:t>2004</w:t>
      </w:r>
      <w:r w:rsidRPr="006E3B9B">
        <w:rPr>
          <w:rFonts w:hint="eastAsia"/>
          <w:lang w:val="en-US" w:eastAsia="zh-CN"/>
        </w:rPr>
        <w:t>年</w:t>
      </w:r>
    </w:p>
    <w:p w14:paraId="4827C120"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1186</w:t>
      </w:r>
      <w:r w:rsidRPr="006E3B9B">
        <w:rPr>
          <w:lang w:val="en-US" w:eastAsia="zh-CN"/>
        </w:rPr>
        <w:t>号决议</w:t>
      </w:r>
      <w:r w:rsidRPr="006E3B9B">
        <w:rPr>
          <w:lang w:val="en-US" w:eastAsia="zh-CN"/>
        </w:rPr>
        <w:tab/>
      </w:r>
      <w:r w:rsidRPr="006E3B9B">
        <w:rPr>
          <w:rFonts w:hint="eastAsia"/>
          <w:lang w:val="en-US" w:eastAsia="zh-CN"/>
        </w:rPr>
        <w:t>为</w:t>
      </w:r>
      <w:r w:rsidRPr="006E3B9B">
        <w:rPr>
          <w:rFonts w:hint="eastAsia"/>
          <w:lang w:val="en-US" w:eastAsia="zh-CN"/>
        </w:rPr>
        <w:t>2002</w:t>
      </w:r>
      <w:r w:rsidRPr="006E3B9B">
        <w:rPr>
          <w:rFonts w:hint="eastAsia"/>
          <w:lang w:val="en-US" w:eastAsia="zh-CN"/>
        </w:rPr>
        <w:t>年全权代表大会筹备国际电联改革的专家组</w:t>
      </w:r>
      <w:r w:rsidR="005F6138">
        <w:rPr>
          <w:lang w:val="en-US" w:eastAsia="zh-CN"/>
        </w:rPr>
        <w:tab/>
      </w:r>
      <w:r w:rsidRPr="006E3B9B">
        <w:rPr>
          <w:lang w:val="en-US" w:eastAsia="zh-CN"/>
        </w:rPr>
        <w:tab/>
      </w:r>
      <w:r w:rsidRPr="006E3B9B">
        <w:rPr>
          <w:rFonts w:hint="eastAsia"/>
          <w:lang w:val="en-US" w:eastAsia="zh-CN"/>
        </w:rPr>
        <w:t>2003</w:t>
      </w:r>
      <w:r w:rsidRPr="006E3B9B">
        <w:rPr>
          <w:rFonts w:hint="eastAsia"/>
          <w:lang w:val="en-US" w:eastAsia="zh-CN"/>
        </w:rPr>
        <w:t>年</w:t>
      </w:r>
    </w:p>
    <w:p w14:paraId="4827C121"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1187</w:t>
      </w:r>
      <w:r w:rsidRPr="006E3B9B">
        <w:rPr>
          <w:lang w:val="en-US" w:eastAsia="zh-CN"/>
        </w:rPr>
        <w:t>号决议</w:t>
      </w:r>
      <w:r w:rsidRPr="006E3B9B">
        <w:rPr>
          <w:lang w:val="en-US" w:eastAsia="zh-CN"/>
        </w:rPr>
        <w:tab/>
      </w:r>
      <w:r w:rsidRPr="006E3B9B">
        <w:rPr>
          <w:rFonts w:hint="eastAsia"/>
          <w:lang w:val="en-US" w:eastAsia="zh-CN"/>
        </w:rPr>
        <w:t>国际电联人力资源管理、政策和实践方面的性别问题</w:t>
      </w:r>
      <w:r w:rsidR="005F6138">
        <w:rPr>
          <w:lang w:val="en-US" w:eastAsia="zh-CN"/>
        </w:rPr>
        <w:tab/>
      </w:r>
      <w:r w:rsidRPr="006E3B9B">
        <w:rPr>
          <w:lang w:val="en-US" w:eastAsia="zh-CN"/>
        </w:rPr>
        <w:tab/>
        <w:t>2.2</w:t>
      </w:r>
    </w:p>
    <w:p w14:paraId="4827C122" w14:textId="77777777" w:rsidR="006E3B9B" w:rsidRPr="006E3B9B" w:rsidRDefault="001D4188" w:rsidP="003E11A1">
      <w:pPr>
        <w:pStyle w:val="Reftitle"/>
        <w:rPr>
          <w:lang w:val="fr-FR" w:eastAsia="zh-CN"/>
        </w:rPr>
      </w:pPr>
      <w:r>
        <w:rPr>
          <w:lang w:val="fr-FR" w:eastAsia="zh-CN"/>
        </w:rPr>
        <w:t>2002</w:t>
      </w:r>
      <w:r w:rsidR="006E3B9B" w:rsidRPr="006E3B9B">
        <w:rPr>
          <w:rFonts w:hint="eastAsia"/>
          <w:lang w:val="fr-FR" w:eastAsia="zh-CN"/>
        </w:rPr>
        <w:t>年会议</w:t>
      </w:r>
      <w:r w:rsidR="006E3B9B" w:rsidRPr="006E3B9B">
        <w:rPr>
          <w:lang w:val="fr-FR" w:eastAsia="zh-CN"/>
        </w:rPr>
        <w:t>（</w:t>
      </w:r>
      <w:r w:rsidR="006E3B9B" w:rsidRPr="006E3B9B">
        <w:rPr>
          <w:lang w:val="fr-FR" w:eastAsia="zh-CN"/>
        </w:rPr>
        <w:t>2002</w:t>
      </w:r>
      <w:r w:rsidR="006E3B9B" w:rsidRPr="006E3B9B">
        <w:rPr>
          <w:rFonts w:hint="eastAsia"/>
          <w:lang w:val="en-US" w:eastAsia="zh-CN"/>
        </w:rPr>
        <w:t>年</w:t>
      </w:r>
      <w:r w:rsidR="006E3B9B" w:rsidRPr="006E3B9B">
        <w:rPr>
          <w:rFonts w:hint="eastAsia"/>
          <w:lang w:val="fr-FR" w:eastAsia="zh-CN"/>
        </w:rPr>
        <w:t>4</w:t>
      </w:r>
      <w:r w:rsidR="006E3B9B" w:rsidRPr="006E3B9B">
        <w:rPr>
          <w:rFonts w:hint="eastAsia"/>
          <w:lang w:val="en-US" w:eastAsia="zh-CN"/>
        </w:rPr>
        <w:t>月</w:t>
      </w:r>
      <w:r w:rsidR="006E3B9B" w:rsidRPr="006E3B9B">
        <w:rPr>
          <w:rFonts w:hint="eastAsia"/>
          <w:lang w:val="fr-FR" w:eastAsia="zh-CN"/>
        </w:rPr>
        <w:t>-5</w:t>
      </w:r>
      <w:r w:rsidR="006E3B9B" w:rsidRPr="006E3B9B">
        <w:rPr>
          <w:rFonts w:hint="eastAsia"/>
          <w:lang w:val="en-US" w:eastAsia="zh-CN"/>
        </w:rPr>
        <w:t>月</w:t>
      </w:r>
      <w:r w:rsidR="006E3B9B" w:rsidRPr="006E3B9B">
        <w:rPr>
          <w:lang w:val="fr-FR" w:eastAsia="zh-CN"/>
        </w:rPr>
        <w:t>）</w:t>
      </w:r>
    </w:p>
    <w:p w14:paraId="4827C123"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1188</w:t>
      </w:r>
      <w:r w:rsidRPr="006E3B9B">
        <w:rPr>
          <w:lang w:val="en-US" w:eastAsia="zh-CN"/>
        </w:rPr>
        <w:t>号决议</w:t>
      </w:r>
      <w:r w:rsidRPr="006E3B9B">
        <w:rPr>
          <w:lang w:val="en-US" w:eastAsia="zh-CN"/>
        </w:rPr>
        <w:tab/>
      </w:r>
      <w:r w:rsidRPr="006E3B9B">
        <w:rPr>
          <w:rFonts w:hint="eastAsia"/>
          <w:lang w:val="en-US" w:eastAsia="zh-CN"/>
        </w:rPr>
        <w:t xml:space="preserve">2002-2001 </w:t>
      </w:r>
      <w:r w:rsidRPr="006E3B9B">
        <w:rPr>
          <w:rFonts w:hint="eastAsia"/>
          <w:lang w:val="en-US" w:eastAsia="zh-CN"/>
        </w:rPr>
        <w:t>双年度及</w:t>
      </w:r>
      <w:r w:rsidRPr="006E3B9B">
        <w:rPr>
          <w:rFonts w:hint="eastAsia"/>
          <w:lang w:val="en-US" w:eastAsia="zh-CN"/>
        </w:rPr>
        <w:t>2001</w:t>
      </w:r>
      <w:r w:rsidRPr="006E3B9B">
        <w:rPr>
          <w:rFonts w:hint="eastAsia"/>
          <w:lang w:val="en-US" w:eastAsia="zh-CN"/>
        </w:rPr>
        <w:t>财政年度财务工作报告</w:t>
      </w:r>
      <w:r w:rsidRPr="006E3B9B">
        <w:rPr>
          <w:rFonts w:hint="eastAsia"/>
          <w:lang w:val="en-US" w:eastAsia="zh-CN"/>
        </w:rPr>
        <w:tab/>
      </w:r>
      <w:r w:rsidR="005F6138">
        <w:rPr>
          <w:lang w:val="en-US" w:eastAsia="zh-CN"/>
        </w:rPr>
        <w:tab/>
      </w:r>
      <w:r w:rsidRPr="006E3B9B">
        <w:rPr>
          <w:rFonts w:hint="eastAsia"/>
          <w:lang w:val="en-US" w:eastAsia="zh-CN"/>
        </w:rPr>
        <w:t>2003</w:t>
      </w:r>
      <w:r w:rsidRPr="006E3B9B">
        <w:rPr>
          <w:rFonts w:hint="eastAsia"/>
          <w:lang w:val="en-US" w:eastAsia="zh-CN"/>
        </w:rPr>
        <w:t>年</w:t>
      </w:r>
    </w:p>
    <w:p w14:paraId="4827C124"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1189</w:t>
      </w:r>
      <w:r w:rsidRPr="006E3B9B">
        <w:rPr>
          <w:lang w:val="en-US" w:eastAsia="zh-CN"/>
        </w:rPr>
        <w:t>号决议</w:t>
      </w:r>
      <w:r w:rsidRPr="006E3B9B">
        <w:rPr>
          <w:lang w:val="en-US" w:eastAsia="zh-CN"/>
        </w:rPr>
        <w:tab/>
      </w:r>
      <w:r w:rsidRPr="006E3B9B">
        <w:rPr>
          <w:rFonts w:hint="eastAsia"/>
          <w:lang w:val="en-US" w:eastAsia="zh-CN"/>
        </w:rPr>
        <w:t>国际电联</w:t>
      </w:r>
      <w:r w:rsidRPr="006E3B9B">
        <w:rPr>
          <w:rFonts w:hint="eastAsia"/>
          <w:lang w:val="en-US" w:eastAsia="zh-CN"/>
        </w:rPr>
        <w:t>2000</w:t>
      </w:r>
      <w:r w:rsidRPr="006E3B9B">
        <w:rPr>
          <w:rFonts w:hint="eastAsia"/>
          <w:lang w:val="en-US" w:eastAsia="zh-CN"/>
        </w:rPr>
        <w:t>年美洲电信展相关活动的账目</w:t>
      </w:r>
      <w:r w:rsidRPr="006E3B9B">
        <w:rPr>
          <w:rFonts w:hint="eastAsia"/>
          <w:lang w:val="en-US" w:eastAsia="zh-CN"/>
        </w:rPr>
        <w:tab/>
      </w:r>
      <w:r w:rsidR="005F6138">
        <w:rPr>
          <w:lang w:val="en-US" w:eastAsia="zh-CN"/>
        </w:rPr>
        <w:tab/>
      </w:r>
      <w:r w:rsidRPr="006E3B9B">
        <w:rPr>
          <w:rFonts w:hint="eastAsia"/>
          <w:lang w:val="en-US" w:eastAsia="zh-CN"/>
        </w:rPr>
        <w:t>2003</w:t>
      </w:r>
      <w:r w:rsidRPr="006E3B9B">
        <w:rPr>
          <w:rFonts w:hint="eastAsia"/>
          <w:lang w:val="en-US" w:eastAsia="zh-CN"/>
        </w:rPr>
        <w:t>年</w:t>
      </w:r>
    </w:p>
    <w:p w14:paraId="4827C125"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1190</w:t>
      </w:r>
      <w:r w:rsidRPr="006E3B9B">
        <w:rPr>
          <w:lang w:val="en-US" w:eastAsia="zh-CN"/>
        </w:rPr>
        <w:t>号决议</w:t>
      </w:r>
      <w:r w:rsidRPr="006E3B9B">
        <w:rPr>
          <w:lang w:val="en-US" w:eastAsia="zh-CN"/>
        </w:rPr>
        <w:tab/>
      </w:r>
      <w:r w:rsidRPr="006E3B9B">
        <w:rPr>
          <w:rFonts w:hint="eastAsia"/>
          <w:lang w:val="en-US" w:eastAsia="zh-CN"/>
        </w:rPr>
        <w:t>国际电联</w:t>
      </w:r>
      <w:r w:rsidRPr="006E3B9B">
        <w:rPr>
          <w:rFonts w:hint="eastAsia"/>
          <w:lang w:val="en-US" w:eastAsia="zh-CN"/>
        </w:rPr>
        <w:t>2000</w:t>
      </w:r>
      <w:r w:rsidRPr="006E3B9B">
        <w:rPr>
          <w:rFonts w:hint="eastAsia"/>
          <w:lang w:val="en-US" w:eastAsia="zh-CN"/>
        </w:rPr>
        <w:t>年亚洲电信展相关活动的账目</w:t>
      </w:r>
      <w:r w:rsidRPr="006E3B9B">
        <w:rPr>
          <w:lang w:val="en-US" w:eastAsia="zh-CN"/>
        </w:rPr>
        <w:tab/>
      </w:r>
      <w:r w:rsidR="005F6138">
        <w:rPr>
          <w:lang w:val="en-US" w:eastAsia="zh-CN"/>
        </w:rPr>
        <w:tab/>
      </w:r>
      <w:r w:rsidRPr="006E3B9B">
        <w:rPr>
          <w:rFonts w:hint="eastAsia"/>
          <w:lang w:val="en-US" w:eastAsia="zh-CN"/>
        </w:rPr>
        <w:t>2003</w:t>
      </w:r>
      <w:r w:rsidRPr="006E3B9B">
        <w:rPr>
          <w:rFonts w:hint="eastAsia"/>
          <w:lang w:val="en-US" w:eastAsia="zh-CN"/>
        </w:rPr>
        <w:t>年</w:t>
      </w:r>
    </w:p>
    <w:p w14:paraId="4827C126"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1191</w:t>
      </w:r>
      <w:r w:rsidRPr="006E3B9B">
        <w:rPr>
          <w:lang w:val="en-US" w:eastAsia="zh-CN"/>
        </w:rPr>
        <w:t>号决议</w:t>
      </w:r>
      <w:r w:rsidRPr="006E3B9B">
        <w:rPr>
          <w:lang w:val="en-US" w:eastAsia="zh-CN"/>
        </w:rPr>
        <w:tab/>
      </w:r>
      <w:r w:rsidRPr="006E3B9B">
        <w:rPr>
          <w:rFonts w:hint="eastAsia"/>
          <w:lang w:val="en-US" w:eastAsia="zh-CN"/>
        </w:rPr>
        <w:t>国际电联</w:t>
      </w:r>
      <w:r w:rsidRPr="006E3B9B">
        <w:rPr>
          <w:rFonts w:hint="eastAsia"/>
          <w:lang w:val="en-US" w:eastAsia="zh-CN"/>
        </w:rPr>
        <w:t>2001</w:t>
      </w:r>
      <w:r w:rsidRPr="006E3B9B">
        <w:rPr>
          <w:rFonts w:hint="eastAsia"/>
          <w:lang w:val="en-US" w:eastAsia="zh-CN"/>
        </w:rPr>
        <w:t>年中东和阿拉伯国家电信展相关活动的账目</w:t>
      </w:r>
      <w:r w:rsidRPr="006E3B9B">
        <w:rPr>
          <w:lang w:val="en-US" w:eastAsia="zh-CN"/>
        </w:rPr>
        <w:tab/>
      </w:r>
      <w:r w:rsidR="005F6138">
        <w:rPr>
          <w:lang w:val="en-US" w:eastAsia="zh-CN"/>
        </w:rPr>
        <w:tab/>
      </w:r>
      <w:r w:rsidRPr="006E3B9B">
        <w:rPr>
          <w:rFonts w:hint="eastAsia"/>
          <w:lang w:val="en-US" w:eastAsia="zh-CN"/>
        </w:rPr>
        <w:t>2003</w:t>
      </w:r>
      <w:r w:rsidRPr="006E3B9B">
        <w:rPr>
          <w:rFonts w:hint="eastAsia"/>
          <w:lang w:val="en-US" w:eastAsia="zh-CN"/>
        </w:rPr>
        <w:t>年</w:t>
      </w:r>
    </w:p>
    <w:p w14:paraId="4827C127"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1192</w:t>
      </w:r>
      <w:r w:rsidRPr="006E3B9B">
        <w:rPr>
          <w:lang w:val="en-US" w:eastAsia="zh-CN"/>
        </w:rPr>
        <w:t>号决议</w:t>
      </w:r>
      <w:r w:rsidRPr="006E3B9B">
        <w:rPr>
          <w:lang w:val="en-US" w:eastAsia="zh-CN"/>
        </w:rPr>
        <w:tab/>
      </w:r>
      <w:r w:rsidRPr="006E3B9B">
        <w:rPr>
          <w:rFonts w:hint="eastAsia"/>
          <w:lang w:val="en-US" w:eastAsia="zh-CN"/>
        </w:rPr>
        <w:t>国际电联委任职员的服务条件</w:t>
      </w:r>
      <w:r w:rsidRPr="006E3B9B">
        <w:rPr>
          <w:lang w:val="en-US" w:eastAsia="zh-CN"/>
        </w:rPr>
        <w:tab/>
      </w:r>
      <w:r w:rsidR="005F6138">
        <w:rPr>
          <w:lang w:val="en-US" w:eastAsia="zh-CN"/>
        </w:rPr>
        <w:tab/>
      </w:r>
      <w:r w:rsidRPr="006E3B9B">
        <w:rPr>
          <w:rFonts w:hint="eastAsia"/>
          <w:lang w:val="en-US" w:eastAsia="zh-CN"/>
        </w:rPr>
        <w:t>2003</w:t>
      </w:r>
      <w:r w:rsidRPr="006E3B9B">
        <w:rPr>
          <w:rFonts w:hint="eastAsia"/>
          <w:lang w:val="en-US" w:eastAsia="zh-CN"/>
        </w:rPr>
        <w:t>年</w:t>
      </w:r>
    </w:p>
    <w:p w14:paraId="4827C128"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1193</w:t>
      </w:r>
      <w:r w:rsidRPr="006E3B9B">
        <w:rPr>
          <w:lang w:val="en-US" w:eastAsia="zh-CN"/>
        </w:rPr>
        <w:t>号决议</w:t>
      </w:r>
      <w:r w:rsidRPr="006E3B9B">
        <w:rPr>
          <w:lang w:val="en-US" w:eastAsia="zh-CN"/>
        </w:rPr>
        <w:tab/>
      </w:r>
      <w:r w:rsidRPr="006E3B9B">
        <w:rPr>
          <w:rFonts w:hint="eastAsia"/>
          <w:lang w:val="en-US" w:eastAsia="zh-CN"/>
        </w:rPr>
        <w:t>国际电联选任官员的服务条件</w:t>
      </w:r>
      <w:r w:rsidRPr="006E3B9B">
        <w:rPr>
          <w:lang w:val="en-US" w:eastAsia="zh-CN"/>
        </w:rPr>
        <w:tab/>
      </w:r>
      <w:r w:rsidR="005F6138">
        <w:rPr>
          <w:lang w:val="en-US" w:eastAsia="zh-CN"/>
        </w:rPr>
        <w:tab/>
      </w:r>
      <w:r w:rsidRPr="006E3B9B">
        <w:rPr>
          <w:rFonts w:hint="eastAsia"/>
          <w:lang w:val="en-US" w:eastAsia="zh-CN"/>
        </w:rPr>
        <w:t>2003</w:t>
      </w:r>
      <w:r w:rsidRPr="006E3B9B">
        <w:rPr>
          <w:rFonts w:hint="eastAsia"/>
          <w:lang w:val="en-US" w:eastAsia="zh-CN"/>
        </w:rPr>
        <w:t>年</w:t>
      </w:r>
    </w:p>
    <w:p w14:paraId="4827C129"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1194</w:t>
      </w:r>
      <w:r w:rsidRPr="006E3B9B">
        <w:rPr>
          <w:lang w:val="en-US" w:eastAsia="zh-CN"/>
        </w:rPr>
        <w:t>号决议</w:t>
      </w:r>
      <w:r w:rsidRPr="006E3B9B">
        <w:rPr>
          <w:lang w:val="en-US" w:eastAsia="zh-CN"/>
        </w:rPr>
        <w:tab/>
      </w:r>
      <w:r w:rsidRPr="006E3B9B">
        <w:rPr>
          <w:rFonts w:hint="eastAsia"/>
          <w:lang w:val="en-US" w:eastAsia="zh-CN"/>
        </w:rPr>
        <w:t>国际电联职员养恤金委员会的委员</w:t>
      </w:r>
      <w:r w:rsidRPr="006E3B9B">
        <w:rPr>
          <w:lang w:val="en-US" w:eastAsia="zh-CN"/>
        </w:rPr>
        <w:tab/>
      </w:r>
      <w:r w:rsidR="005F6138">
        <w:rPr>
          <w:lang w:val="en-US" w:eastAsia="zh-CN"/>
        </w:rPr>
        <w:tab/>
      </w:r>
      <w:r w:rsidRPr="006E3B9B">
        <w:rPr>
          <w:rFonts w:hint="eastAsia"/>
          <w:lang w:val="en-US" w:eastAsia="zh-CN"/>
        </w:rPr>
        <w:t>2004</w:t>
      </w:r>
      <w:r w:rsidRPr="006E3B9B">
        <w:rPr>
          <w:rFonts w:hint="eastAsia"/>
          <w:lang w:val="en-US" w:eastAsia="zh-CN"/>
        </w:rPr>
        <w:t>年</w:t>
      </w:r>
    </w:p>
    <w:p w14:paraId="4827C12A"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1195</w:t>
      </w:r>
      <w:r w:rsidRPr="006E3B9B">
        <w:rPr>
          <w:lang w:val="en-US" w:eastAsia="zh-CN"/>
        </w:rPr>
        <w:t>号决议</w:t>
      </w:r>
      <w:r w:rsidRPr="006E3B9B">
        <w:rPr>
          <w:lang w:val="en-US" w:eastAsia="zh-CN"/>
        </w:rPr>
        <w:tab/>
      </w:r>
      <w:r w:rsidRPr="006E3B9B">
        <w:rPr>
          <w:rFonts w:hint="eastAsia"/>
          <w:lang w:val="en-US" w:eastAsia="zh-CN"/>
        </w:rPr>
        <w:t>国际电联的有效人力资源管理</w:t>
      </w:r>
      <w:r w:rsidR="00587F0E">
        <w:rPr>
          <w:lang w:val="en-US" w:eastAsia="zh-CN"/>
        </w:rPr>
        <w:tab/>
      </w:r>
      <w:r w:rsidR="005F6138">
        <w:rPr>
          <w:lang w:val="en-US" w:eastAsia="zh-CN"/>
        </w:rPr>
        <w:tab/>
      </w:r>
      <w:r w:rsidR="00587F0E">
        <w:rPr>
          <w:lang w:val="en-US" w:eastAsia="zh-CN"/>
        </w:rPr>
        <w:t>2010</w:t>
      </w:r>
      <w:r w:rsidR="00587F0E">
        <w:rPr>
          <w:rFonts w:hint="eastAsia"/>
          <w:lang w:val="en-US" w:eastAsia="zh-CN"/>
        </w:rPr>
        <w:t>年</w:t>
      </w:r>
    </w:p>
    <w:p w14:paraId="4827C12B"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1196</w:t>
      </w:r>
      <w:r w:rsidRPr="006E3B9B">
        <w:rPr>
          <w:lang w:val="en-US" w:eastAsia="zh-CN"/>
        </w:rPr>
        <w:t>号决议</w:t>
      </w:r>
      <w:r w:rsidRPr="006E3B9B">
        <w:rPr>
          <w:lang w:val="en-US" w:eastAsia="zh-CN"/>
        </w:rPr>
        <w:tab/>
      </w:r>
      <w:r w:rsidRPr="006E3B9B">
        <w:rPr>
          <w:rFonts w:hint="eastAsia"/>
          <w:lang w:val="en-US" w:eastAsia="zh-CN"/>
        </w:rPr>
        <w:t>国际电联为信息社会世界峰会开展的筹备工作</w:t>
      </w:r>
      <w:r w:rsidRPr="006E3B9B">
        <w:rPr>
          <w:rFonts w:hint="eastAsia"/>
          <w:b/>
          <w:color w:val="FFFFFF"/>
          <w:lang w:eastAsia="zh-CN"/>
        </w:rPr>
        <w:t>作</w:t>
      </w:r>
      <w:r w:rsidRPr="006E3B9B">
        <w:rPr>
          <w:lang w:val="en-US" w:eastAsia="zh-CN"/>
        </w:rPr>
        <w:tab/>
      </w:r>
      <w:r w:rsidR="005F6138">
        <w:rPr>
          <w:b/>
          <w:color w:val="FFFFFF"/>
          <w:lang w:val="en-US" w:eastAsia="zh-CN"/>
        </w:rPr>
        <w:tab/>
      </w:r>
      <w:r w:rsidRPr="006E3B9B">
        <w:rPr>
          <w:rFonts w:hint="eastAsia"/>
          <w:lang w:val="en-US" w:eastAsia="zh-CN"/>
        </w:rPr>
        <w:t>2006</w:t>
      </w:r>
      <w:r w:rsidRPr="006E3B9B">
        <w:rPr>
          <w:rFonts w:hint="eastAsia"/>
          <w:lang w:val="en-US" w:eastAsia="zh-CN"/>
        </w:rPr>
        <w:t>年</w:t>
      </w:r>
    </w:p>
    <w:p w14:paraId="4827C12C"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1197</w:t>
      </w:r>
      <w:r w:rsidRPr="006E3B9B">
        <w:rPr>
          <w:lang w:val="en-US" w:eastAsia="zh-CN"/>
        </w:rPr>
        <w:t>号决议</w:t>
      </w:r>
      <w:r w:rsidRPr="006E3B9B">
        <w:rPr>
          <w:lang w:val="en-US" w:eastAsia="zh-CN"/>
        </w:rPr>
        <w:tab/>
      </w:r>
      <w:r w:rsidRPr="006E3B9B">
        <w:rPr>
          <w:rFonts w:hint="eastAsia"/>
          <w:lang w:val="en-US" w:eastAsia="zh-CN"/>
        </w:rPr>
        <w:t>2004-2007</w:t>
      </w:r>
      <w:r w:rsidRPr="006E3B9B">
        <w:rPr>
          <w:rFonts w:hint="eastAsia"/>
          <w:lang w:val="en-US" w:eastAsia="zh-CN"/>
        </w:rPr>
        <w:t>年《财务规划》草案的制定</w:t>
      </w:r>
      <w:r w:rsidRPr="006E3B9B">
        <w:rPr>
          <w:lang w:val="en-US" w:eastAsia="zh-CN"/>
        </w:rPr>
        <w:tab/>
      </w:r>
      <w:r w:rsidR="005F6138">
        <w:rPr>
          <w:lang w:val="en-US" w:eastAsia="zh-CN"/>
        </w:rPr>
        <w:tab/>
      </w:r>
      <w:r w:rsidRPr="006E3B9B">
        <w:rPr>
          <w:rFonts w:hint="eastAsia"/>
          <w:lang w:val="en-US" w:eastAsia="zh-CN"/>
        </w:rPr>
        <w:t>2003</w:t>
      </w:r>
      <w:r w:rsidRPr="006E3B9B">
        <w:rPr>
          <w:rFonts w:hint="eastAsia"/>
          <w:lang w:val="en-US" w:eastAsia="zh-CN"/>
        </w:rPr>
        <w:t>年</w:t>
      </w:r>
    </w:p>
    <w:p w14:paraId="4827C12D" w14:textId="77777777" w:rsidR="006E3B9B" w:rsidRPr="006E3B9B" w:rsidRDefault="001D4188" w:rsidP="003E11A1">
      <w:pPr>
        <w:pStyle w:val="Reftitle"/>
        <w:rPr>
          <w:lang w:val="en-US" w:eastAsia="zh-CN"/>
        </w:rPr>
      </w:pPr>
      <w:r>
        <w:rPr>
          <w:lang w:val="en-US" w:eastAsia="zh-CN"/>
        </w:rPr>
        <w:t>2002</w:t>
      </w:r>
      <w:r w:rsidR="006E3B9B" w:rsidRPr="006E3B9B">
        <w:rPr>
          <w:rFonts w:hint="eastAsia"/>
          <w:lang w:val="en-US" w:eastAsia="zh-CN"/>
        </w:rPr>
        <w:t>年会议</w:t>
      </w:r>
      <w:r w:rsidR="006E3B9B" w:rsidRPr="006E3B9B">
        <w:rPr>
          <w:lang w:val="en-US" w:eastAsia="zh-CN"/>
        </w:rPr>
        <w:t xml:space="preserve"> – </w:t>
      </w:r>
      <w:r w:rsidR="006E3B9B" w:rsidRPr="006E3B9B">
        <w:rPr>
          <w:rFonts w:hint="eastAsia"/>
          <w:lang w:val="en-US" w:eastAsia="zh-CN"/>
        </w:rPr>
        <w:t>最后会议</w:t>
      </w:r>
      <w:r w:rsidR="006E3B9B" w:rsidRPr="006E3B9B">
        <w:rPr>
          <w:lang w:val="en-US" w:eastAsia="zh-CN"/>
        </w:rPr>
        <w:t>（</w:t>
      </w:r>
      <w:r w:rsidR="006E3B9B" w:rsidRPr="006E3B9B">
        <w:rPr>
          <w:lang w:val="en-US" w:eastAsia="zh-CN"/>
        </w:rPr>
        <w:t>2002</w:t>
      </w:r>
      <w:r w:rsidR="006E3B9B" w:rsidRPr="006E3B9B">
        <w:rPr>
          <w:rFonts w:hint="eastAsia"/>
          <w:lang w:val="en-US" w:eastAsia="zh-CN"/>
        </w:rPr>
        <w:t>年</w:t>
      </w:r>
      <w:r w:rsidR="006E3B9B" w:rsidRPr="006E3B9B">
        <w:rPr>
          <w:rFonts w:hint="eastAsia"/>
          <w:lang w:val="en-US" w:eastAsia="zh-CN"/>
        </w:rPr>
        <w:t>9</w:t>
      </w:r>
      <w:r w:rsidR="006E3B9B" w:rsidRPr="006E3B9B">
        <w:rPr>
          <w:rFonts w:hint="eastAsia"/>
          <w:lang w:val="en-US" w:eastAsia="zh-CN"/>
        </w:rPr>
        <w:t>月</w:t>
      </w:r>
      <w:r w:rsidR="006E3B9B" w:rsidRPr="006E3B9B">
        <w:rPr>
          <w:lang w:val="en-US" w:eastAsia="zh-CN"/>
        </w:rPr>
        <w:t>）</w:t>
      </w:r>
    </w:p>
    <w:p w14:paraId="4827C12E"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1198</w:t>
      </w:r>
      <w:r w:rsidRPr="006E3B9B">
        <w:rPr>
          <w:lang w:val="en-US" w:eastAsia="zh-CN"/>
        </w:rPr>
        <w:t>号决议</w:t>
      </w:r>
      <w:r w:rsidRPr="006E3B9B">
        <w:rPr>
          <w:lang w:val="en-US" w:eastAsia="zh-CN"/>
        </w:rPr>
        <w:tab/>
      </w:r>
      <w:r w:rsidRPr="006E3B9B">
        <w:rPr>
          <w:rFonts w:hint="eastAsia"/>
          <w:lang w:val="en-US" w:eastAsia="zh-CN"/>
        </w:rPr>
        <w:t>国际电联《财务规则》</w:t>
      </w:r>
      <w:r w:rsidRPr="006E3B9B">
        <w:rPr>
          <w:rFonts w:hint="eastAsia"/>
          <w:lang w:val="en-US" w:eastAsia="zh-CN"/>
        </w:rPr>
        <w:tab/>
      </w:r>
      <w:r w:rsidR="005F6138">
        <w:rPr>
          <w:lang w:val="en-US" w:eastAsia="zh-CN"/>
        </w:rPr>
        <w:tab/>
      </w:r>
      <w:r w:rsidRPr="006E3B9B">
        <w:rPr>
          <w:rFonts w:hint="eastAsia"/>
          <w:lang w:val="en-US" w:eastAsia="zh-CN"/>
        </w:rPr>
        <w:t>2006</w:t>
      </w:r>
      <w:r w:rsidRPr="006E3B9B">
        <w:rPr>
          <w:rFonts w:hint="eastAsia"/>
          <w:lang w:val="en-US" w:eastAsia="zh-CN"/>
        </w:rPr>
        <w:t>年</w:t>
      </w:r>
    </w:p>
    <w:p w14:paraId="4827C12F"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1199</w:t>
      </w:r>
      <w:r w:rsidRPr="006E3B9B">
        <w:rPr>
          <w:lang w:val="en-US" w:eastAsia="zh-CN"/>
        </w:rPr>
        <w:t>号决议</w:t>
      </w:r>
      <w:r w:rsidRPr="006E3B9B">
        <w:rPr>
          <w:lang w:val="en-US" w:eastAsia="zh-CN"/>
        </w:rPr>
        <w:tab/>
        <w:t>2000-2001</w:t>
      </w:r>
      <w:r w:rsidRPr="006E3B9B">
        <w:rPr>
          <w:rFonts w:hint="eastAsia"/>
          <w:lang w:val="en-US" w:eastAsia="zh-CN"/>
        </w:rPr>
        <w:t>双年度及</w:t>
      </w:r>
      <w:r w:rsidRPr="006E3B9B">
        <w:rPr>
          <w:lang w:val="en-US" w:eastAsia="zh-CN"/>
        </w:rPr>
        <w:t>2001</w:t>
      </w:r>
      <w:r w:rsidRPr="006E3B9B">
        <w:rPr>
          <w:rFonts w:hint="eastAsia"/>
          <w:lang w:val="en-US" w:eastAsia="zh-CN"/>
        </w:rPr>
        <w:t>年财务年度的财务工作报告</w:t>
      </w:r>
      <w:r w:rsidRPr="006E3B9B">
        <w:rPr>
          <w:rFonts w:hint="eastAsia"/>
          <w:lang w:val="en-US" w:eastAsia="zh-CN"/>
        </w:rPr>
        <w:tab/>
      </w:r>
      <w:r w:rsidR="005F6138">
        <w:rPr>
          <w:lang w:val="en-US" w:eastAsia="zh-CN"/>
        </w:rPr>
        <w:tab/>
      </w:r>
      <w:r w:rsidRPr="006E3B9B">
        <w:rPr>
          <w:rFonts w:hint="eastAsia"/>
          <w:lang w:val="en-US" w:eastAsia="zh-CN"/>
        </w:rPr>
        <w:t>2003</w:t>
      </w:r>
      <w:r w:rsidRPr="006E3B9B">
        <w:rPr>
          <w:rFonts w:hint="eastAsia"/>
          <w:lang w:val="en-US" w:eastAsia="zh-CN"/>
        </w:rPr>
        <w:t>年</w:t>
      </w:r>
    </w:p>
    <w:p w14:paraId="4827C130"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1200</w:t>
      </w:r>
      <w:r w:rsidRPr="006E3B9B">
        <w:rPr>
          <w:lang w:val="en-US" w:eastAsia="zh-CN"/>
        </w:rPr>
        <w:t>号决议</w:t>
      </w:r>
      <w:r w:rsidRPr="006E3B9B">
        <w:rPr>
          <w:lang w:val="en-US" w:eastAsia="zh-CN"/>
        </w:rPr>
        <w:tab/>
        <w:t>2000-2001</w:t>
      </w:r>
      <w:r w:rsidRPr="006E3B9B">
        <w:rPr>
          <w:rFonts w:hint="eastAsia"/>
          <w:lang w:val="en-US" w:eastAsia="zh-CN"/>
        </w:rPr>
        <w:t>双年度及</w:t>
      </w:r>
      <w:r w:rsidRPr="006E3B9B">
        <w:rPr>
          <w:lang w:val="en-US" w:eastAsia="zh-CN"/>
        </w:rPr>
        <w:t>2001</w:t>
      </w:r>
      <w:r w:rsidRPr="006E3B9B">
        <w:rPr>
          <w:rFonts w:hint="eastAsia"/>
          <w:lang w:val="en-US" w:eastAsia="zh-CN"/>
        </w:rPr>
        <w:t>年财务年度国际电联账目的外部审计</w:t>
      </w:r>
      <w:r w:rsidRPr="006E3B9B">
        <w:rPr>
          <w:lang w:val="en-US" w:eastAsia="zh-CN"/>
        </w:rPr>
        <w:tab/>
      </w:r>
      <w:r w:rsidR="005F6138">
        <w:rPr>
          <w:lang w:val="en-US" w:eastAsia="zh-CN"/>
        </w:rPr>
        <w:tab/>
      </w:r>
      <w:r w:rsidRPr="006E3B9B">
        <w:rPr>
          <w:rFonts w:hint="eastAsia"/>
          <w:lang w:val="en-US" w:eastAsia="zh-CN"/>
        </w:rPr>
        <w:t>2003</w:t>
      </w:r>
      <w:r w:rsidRPr="006E3B9B">
        <w:rPr>
          <w:rFonts w:hint="eastAsia"/>
          <w:lang w:val="en-US" w:eastAsia="zh-CN"/>
        </w:rPr>
        <w:t>年</w:t>
      </w:r>
    </w:p>
    <w:p w14:paraId="4827C131" w14:textId="77777777" w:rsidR="006E3B9B" w:rsidRPr="006E3B9B" w:rsidRDefault="001D4188" w:rsidP="003E11A1">
      <w:pPr>
        <w:pStyle w:val="Reftitle"/>
        <w:rPr>
          <w:lang w:val="en-US" w:eastAsia="zh-CN"/>
        </w:rPr>
      </w:pPr>
      <w:r>
        <w:rPr>
          <w:lang w:val="en-US" w:eastAsia="zh-CN"/>
        </w:rPr>
        <w:t>2002</w:t>
      </w:r>
      <w:r w:rsidR="006E3B9B" w:rsidRPr="006E3B9B">
        <w:rPr>
          <w:rFonts w:hint="eastAsia"/>
          <w:lang w:val="en-US" w:eastAsia="zh-CN"/>
        </w:rPr>
        <w:t>年非常会议</w:t>
      </w:r>
      <w:r w:rsidR="006E3B9B" w:rsidRPr="006E3B9B">
        <w:rPr>
          <w:rFonts w:hint="eastAsia"/>
          <w:color w:val="FFFFFF"/>
          <w:lang w:eastAsia="zh-CN"/>
        </w:rPr>
        <w:t xml:space="preserve"> </w:t>
      </w:r>
      <w:r w:rsidR="006E3B9B" w:rsidRPr="006E3B9B">
        <w:rPr>
          <w:rFonts w:hint="eastAsia"/>
          <w:lang w:val="en-US" w:eastAsia="zh-CN"/>
        </w:rPr>
        <w:t>（</w:t>
      </w:r>
      <w:r w:rsidR="006E3B9B" w:rsidRPr="006E3B9B">
        <w:rPr>
          <w:lang w:val="en-US" w:eastAsia="zh-CN"/>
        </w:rPr>
        <w:t>2002</w:t>
      </w:r>
      <w:r w:rsidR="006E3B9B" w:rsidRPr="006E3B9B">
        <w:rPr>
          <w:rFonts w:hint="eastAsia"/>
          <w:lang w:val="en-US" w:eastAsia="zh-CN"/>
        </w:rPr>
        <w:t>年</w:t>
      </w:r>
      <w:r w:rsidR="006E3B9B" w:rsidRPr="006E3B9B">
        <w:rPr>
          <w:rFonts w:hint="eastAsia"/>
          <w:lang w:val="en-US" w:eastAsia="zh-CN"/>
        </w:rPr>
        <w:t>10</w:t>
      </w:r>
      <w:r w:rsidR="006E3B9B" w:rsidRPr="006E3B9B">
        <w:rPr>
          <w:rFonts w:hint="eastAsia"/>
          <w:lang w:val="en-US" w:eastAsia="zh-CN"/>
        </w:rPr>
        <w:t>月</w:t>
      </w:r>
      <w:r w:rsidR="006E3B9B" w:rsidRPr="006E3B9B">
        <w:rPr>
          <w:lang w:val="en-US" w:eastAsia="zh-CN"/>
        </w:rPr>
        <w:t>）</w:t>
      </w:r>
    </w:p>
    <w:p w14:paraId="4827C132"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1201</w:t>
      </w:r>
      <w:r w:rsidRPr="006E3B9B">
        <w:rPr>
          <w:lang w:val="en-US" w:eastAsia="zh-CN"/>
        </w:rPr>
        <w:t>号决议</w:t>
      </w:r>
      <w:r w:rsidRPr="006E3B9B">
        <w:rPr>
          <w:lang w:val="en-US" w:eastAsia="zh-CN"/>
        </w:rPr>
        <w:tab/>
      </w:r>
      <w:r w:rsidRPr="006E3B9B">
        <w:rPr>
          <w:rFonts w:hint="eastAsia"/>
          <w:lang w:val="en-US" w:eastAsia="zh-CN"/>
        </w:rPr>
        <w:t>阿根廷共和国支付国际电联费用的会费和分期十年偿还欠款</w:t>
      </w:r>
      <w:r w:rsidRPr="006E3B9B">
        <w:rPr>
          <w:lang w:val="en-US" w:eastAsia="zh-CN"/>
        </w:rPr>
        <w:tab/>
      </w:r>
      <w:r w:rsidR="005F6138">
        <w:rPr>
          <w:lang w:val="en-US" w:eastAsia="zh-CN"/>
        </w:rPr>
        <w:tab/>
      </w:r>
      <w:r w:rsidR="00950978">
        <w:rPr>
          <w:lang w:val="en-US" w:eastAsia="zh-CN"/>
        </w:rPr>
        <w:t>2014</w:t>
      </w:r>
      <w:r w:rsidR="00950978" w:rsidRPr="006E3B9B">
        <w:rPr>
          <w:rFonts w:hint="eastAsia"/>
          <w:lang w:val="en-US" w:eastAsia="zh-CN"/>
        </w:rPr>
        <w:t>年</w:t>
      </w:r>
    </w:p>
    <w:p w14:paraId="4827C133" w14:textId="77777777" w:rsidR="006E3B9B" w:rsidRPr="00294CE7" w:rsidRDefault="006E3B9B" w:rsidP="003E11A1">
      <w:pPr>
        <w:pStyle w:val="Reftitle"/>
        <w:rPr>
          <w:lang w:eastAsia="zh-CN"/>
        </w:rPr>
      </w:pPr>
      <w:r w:rsidRPr="00294CE7">
        <w:rPr>
          <w:lang w:eastAsia="zh-CN"/>
        </w:rPr>
        <w:t>2003</w:t>
      </w:r>
      <w:r w:rsidRPr="00294CE7">
        <w:rPr>
          <w:lang w:eastAsia="zh-CN"/>
        </w:rPr>
        <w:t>年会议（</w:t>
      </w:r>
      <w:r w:rsidRPr="00294CE7">
        <w:rPr>
          <w:lang w:eastAsia="zh-CN"/>
        </w:rPr>
        <w:t>2003</w:t>
      </w:r>
      <w:r w:rsidRPr="00294CE7">
        <w:rPr>
          <w:lang w:eastAsia="zh-CN"/>
        </w:rPr>
        <w:t>年</w:t>
      </w:r>
      <w:r w:rsidRPr="00294CE7">
        <w:rPr>
          <w:lang w:eastAsia="zh-CN"/>
        </w:rPr>
        <w:t>5</w:t>
      </w:r>
      <w:r w:rsidRPr="00294CE7">
        <w:rPr>
          <w:lang w:eastAsia="zh-CN"/>
        </w:rPr>
        <w:t>月）</w:t>
      </w:r>
    </w:p>
    <w:p w14:paraId="4827C134"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1202</w:t>
      </w:r>
      <w:r w:rsidRPr="006E3B9B">
        <w:rPr>
          <w:lang w:val="en-US" w:eastAsia="zh-CN"/>
        </w:rPr>
        <w:t>号决议</w:t>
      </w:r>
      <w:r w:rsidRPr="006E3B9B">
        <w:rPr>
          <w:lang w:val="en-US" w:eastAsia="zh-CN"/>
        </w:rPr>
        <w:tab/>
      </w:r>
      <w:r w:rsidRPr="006E3B9B">
        <w:rPr>
          <w:rFonts w:hint="eastAsia"/>
          <w:lang w:val="en-US" w:eastAsia="zh-CN"/>
        </w:rPr>
        <w:t>国际电联委任职员的服务条件</w:t>
      </w:r>
      <w:r w:rsidRPr="006E3B9B">
        <w:rPr>
          <w:lang w:val="en-US" w:eastAsia="zh-CN"/>
        </w:rPr>
        <w:tab/>
      </w:r>
      <w:r w:rsidR="005F6138">
        <w:rPr>
          <w:lang w:val="en-US" w:eastAsia="zh-CN"/>
        </w:rPr>
        <w:tab/>
      </w:r>
      <w:r w:rsidRPr="006E3B9B">
        <w:rPr>
          <w:rFonts w:hint="eastAsia"/>
          <w:lang w:val="en-US" w:eastAsia="zh-CN"/>
        </w:rPr>
        <w:t>2006</w:t>
      </w:r>
      <w:r w:rsidRPr="006E3B9B">
        <w:rPr>
          <w:rFonts w:hint="eastAsia"/>
          <w:lang w:val="en-US" w:eastAsia="zh-CN"/>
        </w:rPr>
        <w:t>年</w:t>
      </w:r>
    </w:p>
    <w:p w14:paraId="4827C135"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1203</w:t>
      </w:r>
      <w:r w:rsidRPr="006E3B9B">
        <w:rPr>
          <w:lang w:val="en-US" w:eastAsia="zh-CN"/>
        </w:rPr>
        <w:t>号决议</w:t>
      </w:r>
      <w:r w:rsidRPr="006E3B9B">
        <w:rPr>
          <w:lang w:val="en-US" w:eastAsia="zh-CN"/>
        </w:rPr>
        <w:tab/>
      </w:r>
      <w:r w:rsidRPr="006E3B9B">
        <w:rPr>
          <w:rFonts w:hint="eastAsia"/>
          <w:lang w:val="en-US" w:eastAsia="zh-CN"/>
        </w:rPr>
        <w:t>国际电联选任官员的服务条件</w:t>
      </w:r>
      <w:r w:rsidRPr="006E3B9B">
        <w:rPr>
          <w:lang w:val="en-US" w:eastAsia="zh-CN"/>
        </w:rPr>
        <w:tab/>
      </w:r>
      <w:r w:rsidR="005F6138">
        <w:rPr>
          <w:lang w:val="en-US" w:eastAsia="zh-CN"/>
        </w:rPr>
        <w:tab/>
      </w:r>
      <w:r w:rsidRPr="006E3B9B">
        <w:rPr>
          <w:rFonts w:hint="eastAsia"/>
          <w:lang w:val="en-US" w:eastAsia="zh-CN"/>
        </w:rPr>
        <w:t>2006</w:t>
      </w:r>
      <w:r w:rsidRPr="006E3B9B">
        <w:rPr>
          <w:rFonts w:hint="eastAsia"/>
          <w:lang w:val="en-US" w:eastAsia="zh-CN"/>
        </w:rPr>
        <w:t>年</w:t>
      </w:r>
    </w:p>
    <w:p w14:paraId="4827C136"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1204</w:t>
      </w:r>
      <w:r w:rsidRPr="006E3B9B">
        <w:rPr>
          <w:lang w:val="en-US" w:eastAsia="zh-CN"/>
        </w:rPr>
        <w:t>号决议</w:t>
      </w:r>
      <w:r w:rsidRPr="006E3B9B">
        <w:rPr>
          <w:lang w:val="en-US" w:eastAsia="zh-CN"/>
        </w:rPr>
        <w:tab/>
      </w:r>
      <w:r w:rsidRPr="006E3B9B">
        <w:rPr>
          <w:rFonts w:hint="eastAsia"/>
          <w:lang w:val="en-US" w:eastAsia="zh-CN"/>
        </w:rPr>
        <w:t>适用于委任职员的《人事规则》的修正案</w:t>
      </w:r>
      <w:r w:rsidRPr="006E3B9B">
        <w:rPr>
          <w:lang w:val="en-US" w:eastAsia="zh-CN"/>
        </w:rPr>
        <w:tab/>
      </w:r>
      <w:r w:rsidR="005F6138">
        <w:rPr>
          <w:lang w:val="en-US" w:eastAsia="zh-CN"/>
        </w:rPr>
        <w:tab/>
      </w:r>
      <w:r w:rsidRPr="006E3B9B">
        <w:rPr>
          <w:rFonts w:hint="eastAsia"/>
          <w:lang w:val="en-US" w:eastAsia="zh-CN"/>
        </w:rPr>
        <w:t>2004</w:t>
      </w:r>
      <w:r w:rsidRPr="006E3B9B">
        <w:rPr>
          <w:rFonts w:hint="eastAsia"/>
          <w:bCs/>
          <w:lang w:val="en-US" w:eastAsia="zh-CN"/>
        </w:rPr>
        <w:t>年</w:t>
      </w:r>
    </w:p>
    <w:p w14:paraId="4827C137"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1205</w:t>
      </w:r>
      <w:r w:rsidRPr="006E3B9B">
        <w:rPr>
          <w:lang w:val="en-US" w:eastAsia="zh-CN"/>
        </w:rPr>
        <w:t>号决议</w:t>
      </w:r>
      <w:r w:rsidRPr="006E3B9B">
        <w:rPr>
          <w:lang w:val="en-US" w:eastAsia="zh-CN"/>
        </w:rPr>
        <w:tab/>
      </w:r>
      <w:r w:rsidRPr="006E3B9B">
        <w:rPr>
          <w:rFonts w:hint="eastAsia"/>
          <w:lang w:val="en-US" w:eastAsia="zh-CN"/>
        </w:rPr>
        <w:t>国际电联职员养恤金委员会的委员</w:t>
      </w:r>
      <w:r w:rsidRPr="006E3B9B">
        <w:rPr>
          <w:lang w:val="en-US" w:eastAsia="zh-CN"/>
        </w:rPr>
        <w:tab/>
      </w:r>
      <w:r w:rsidR="005F6138">
        <w:rPr>
          <w:lang w:val="en-US" w:eastAsia="zh-CN"/>
        </w:rPr>
        <w:tab/>
      </w:r>
      <w:r w:rsidRPr="006E3B9B">
        <w:rPr>
          <w:rFonts w:hint="eastAsia"/>
          <w:lang w:val="en-US" w:eastAsia="zh-CN"/>
        </w:rPr>
        <w:t>2006</w:t>
      </w:r>
      <w:r w:rsidRPr="006E3B9B">
        <w:rPr>
          <w:rFonts w:hint="eastAsia"/>
          <w:lang w:val="en-US" w:eastAsia="zh-CN"/>
        </w:rPr>
        <w:t>年</w:t>
      </w:r>
    </w:p>
    <w:p w14:paraId="4827C138"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1206</w:t>
      </w:r>
      <w:r w:rsidRPr="006E3B9B">
        <w:rPr>
          <w:lang w:val="en-US" w:eastAsia="zh-CN"/>
        </w:rPr>
        <w:t>号决议</w:t>
      </w:r>
      <w:r w:rsidRPr="006E3B9B">
        <w:rPr>
          <w:lang w:val="en-US" w:eastAsia="zh-CN"/>
        </w:rPr>
        <w:tab/>
      </w:r>
      <w:r w:rsidRPr="006E3B9B">
        <w:rPr>
          <w:rFonts w:hint="eastAsia"/>
          <w:lang w:val="en-US" w:eastAsia="zh-CN"/>
        </w:rPr>
        <w:t>摊付国际电联费用的会费份额</w:t>
      </w:r>
      <w:r w:rsidRPr="006E3B9B">
        <w:rPr>
          <w:lang w:val="en-US" w:eastAsia="zh-CN"/>
        </w:rPr>
        <w:tab/>
      </w:r>
      <w:r w:rsidR="005F6138">
        <w:rPr>
          <w:lang w:val="en-US" w:eastAsia="zh-CN"/>
        </w:rPr>
        <w:tab/>
      </w:r>
      <w:r w:rsidRPr="006E3B9B">
        <w:rPr>
          <w:rFonts w:hint="eastAsia"/>
          <w:lang w:val="en-US" w:eastAsia="zh-CN"/>
        </w:rPr>
        <w:t>2005</w:t>
      </w:r>
      <w:r w:rsidRPr="006E3B9B">
        <w:rPr>
          <w:rFonts w:hint="eastAsia"/>
          <w:lang w:val="en-US" w:eastAsia="zh-CN"/>
        </w:rPr>
        <w:t>年</w:t>
      </w:r>
    </w:p>
    <w:p w14:paraId="4827C139"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1207</w:t>
      </w:r>
      <w:r w:rsidRPr="006E3B9B">
        <w:rPr>
          <w:lang w:val="en-US" w:eastAsia="zh-CN"/>
        </w:rPr>
        <w:t>号决议</w:t>
      </w:r>
      <w:r w:rsidRPr="006E3B9B">
        <w:rPr>
          <w:lang w:val="en-US" w:eastAsia="zh-CN"/>
        </w:rPr>
        <w:tab/>
      </w:r>
      <w:r w:rsidRPr="006E3B9B">
        <w:rPr>
          <w:rFonts w:hint="eastAsia"/>
          <w:lang w:val="en-US" w:eastAsia="zh-CN"/>
        </w:rPr>
        <w:t>国际电联为信息社会世界峰会开展的筹备活动</w:t>
      </w:r>
      <w:r w:rsidRPr="006E3B9B">
        <w:rPr>
          <w:lang w:val="en-US" w:eastAsia="zh-CN"/>
        </w:rPr>
        <w:tab/>
      </w:r>
      <w:r w:rsidR="005F6138">
        <w:rPr>
          <w:lang w:val="en-US" w:eastAsia="zh-CN"/>
        </w:rPr>
        <w:tab/>
      </w:r>
      <w:r w:rsidRPr="006E3B9B">
        <w:rPr>
          <w:rFonts w:hint="eastAsia"/>
          <w:lang w:val="en-US" w:eastAsia="zh-CN"/>
        </w:rPr>
        <w:t>2006</w:t>
      </w:r>
      <w:r w:rsidRPr="006E3B9B">
        <w:rPr>
          <w:rFonts w:hint="eastAsia"/>
          <w:lang w:val="en-US" w:eastAsia="zh-CN"/>
        </w:rPr>
        <w:t>年</w:t>
      </w:r>
    </w:p>
    <w:p w14:paraId="4827C13A"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1208</w:t>
      </w:r>
      <w:r w:rsidRPr="006E3B9B">
        <w:rPr>
          <w:lang w:val="en-US" w:eastAsia="zh-CN"/>
        </w:rPr>
        <w:t>号决议</w:t>
      </w:r>
      <w:r w:rsidRPr="006E3B9B">
        <w:rPr>
          <w:lang w:val="en-US" w:eastAsia="zh-CN"/>
        </w:rPr>
        <w:tab/>
      </w:r>
      <w:r w:rsidRPr="006E3B9B">
        <w:rPr>
          <w:rFonts w:hint="eastAsia"/>
          <w:lang w:val="en-US" w:eastAsia="zh-CN"/>
        </w:rPr>
        <w:t>理事会各工作组的组织</w:t>
      </w:r>
      <w:r w:rsidRPr="006E3B9B">
        <w:rPr>
          <w:lang w:val="en-US" w:eastAsia="zh-CN"/>
        </w:rPr>
        <w:tab/>
      </w:r>
      <w:r w:rsidR="005F6138">
        <w:rPr>
          <w:lang w:val="en-US" w:eastAsia="zh-CN"/>
        </w:rPr>
        <w:tab/>
      </w:r>
      <w:r w:rsidRPr="006E3B9B">
        <w:rPr>
          <w:lang w:val="en-US" w:eastAsia="zh-CN"/>
        </w:rPr>
        <w:t>2007</w:t>
      </w:r>
      <w:r w:rsidRPr="006E3B9B">
        <w:rPr>
          <w:rFonts w:hint="eastAsia"/>
          <w:lang w:val="en-US" w:eastAsia="zh-CN"/>
        </w:rPr>
        <w:t>年</w:t>
      </w:r>
    </w:p>
    <w:p w14:paraId="4827C13B"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1209</w:t>
      </w:r>
      <w:r w:rsidRPr="006E3B9B">
        <w:rPr>
          <w:lang w:val="en-US" w:eastAsia="zh-CN"/>
        </w:rPr>
        <w:t>号决议</w:t>
      </w:r>
      <w:r w:rsidRPr="006E3B9B">
        <w:rPr>
          <w:lang w:val="en-US" w:eastAsia="zh-CN"/>
        </w:rPr>
        <w:tab/>
      </w:r>
      <w:r w:rsidRPr="006E3B9B">
        <w:rPr>
          <w:rFonts w:hint="eastAsia"/>
          <w:lang w:val="en-US" w:eastAsia="zh-CN"/>
        </w:rPr>
        <w:t>电信展盈余</w:t>
      </w:r>
      <w:r w:rsidRPr="006E3B9B">
        <w:rPr>
          <w:lang w:val="en-US" w:eastAsia="zh-CN"/>
        </w:rPr>
        <w:tab/>
      </w:r>
      <w:r w:rsidR="005F6138">
        <w:rPr>
          <w:lang w:val="en-US" w:eastAsia="zh-CN"/>
        </w:rPr>
        <w:tab/>
      </w:r>
      <w:r w:rsidRPr="006E3B9B">
        <w:rPr>
          <w:rFonts w:hint="eastAsia"/>
          <w:lang w:val="en-US" w:eastAsia="zh-CN"/>
        </w:rPr>
        <w:t>2006</w:t>
      </w:r>
      <w:r w:rsidRPr="006E3B9B">
        <w:rPr>
          <w:rFonts w:hint="eastAsia"/>
          <w:lang w:val="en-US" w:eastAsia="zh-CN"/>
        </w:rPr>
        <w:t>年</w:t>
      </w:r>
    </w:p>
    <w:p w14:paraId="4827C13C"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1210</w:t>
      </w:r>
      <w:r w:rsidRPr="006E3B9B">
        <w:rPr>
          <w:lang w:val="en-US" w:eastAsia="zh-CN"/>
        </w:rPr>
        <w:t>号决议</w:t>
      </w:r>
      <w:r w:rsidRPr="006E3B9B">
        <w:rPr>
          <w:lang w:val="en-US" w:eastAsia="zh-CN"/>
        </w:rPr>
        <w:tab/>
      </w:r>
      <w:r w:rsidRPr="006E3B9B">
        <w:rPr>
          <w:rFonts w:hint="eastAsia"/>
          <w:lang w:val="en-US" w:eastAsia="zh-CN"/>
        </w:rPr>
        <w:t>专家组建议的实施</w:t>
      </w:r>
      <w:r w:rsidRPr="006E3B9B">
        <w:rPr>
          <w:lang w:val="en-US" w:eastAsia="zh-CN"/>
        </w:rPr>
        <w:t>（</w:t>
      </w:r>
      <w:r w:rsidRPr="006E3B9B">
        <w:rPr>
          <w:rFonts w:hint="eastAsia"/>
          <w:lang w:val="en-US" w:eastAsia="zh-CN"/>
        </w:rPr>
        <w:t>第</w:t>
      </w:r>
      <w:r w:rsidRPr="006E3B9B">
        <w:rPr>
          <w:rFonts w:hint="eastAsia"/>
          <w:lang w:val="en-US" w:eastAsia="zh-CN"/>
        </w:rPr>
        <w:t>7</w:t>
      </w:r>
      <w:r w:rsidRPr="006E3B9B">
        <w:rPr>
          <w:rFonts w:hint="eastAsia"/>
          <w:lang w:val="en-US" w:eastAsia="zh-CN"/>
        </w:rPr>
        <w:t>号决定，</w:t>
      </w:r>
      <w:r w:rsidRPr="006E3B9B">
        <w:rPr>
          <w:rFonts w:hint="eastAsia"/>
          <w:lang w:val="en-US" w:eastAsia="zh-CN"/>
        </w:rPr>
        <w:t>2002</w:t>
      </w:r>
      <w:r w:rsidRPr="006E3B9B">
        <w:rPr>
          <w:rFonts w:hint="eastAsia"/>
          <w:lang w:val="en-US" w:eastAsia="zh-CN"/>
        </w:rPr>
        <w:t>年，马拉喀什</w:t>
      </w:r>
      <w:r w:rsidRPr="006E3B9B">
        <w:rPr>
          <w:lang w:val="en-US" w:eastAsia="zh-CN"/>
        </w:rPr>
        <w:t>）</w:t>
      </w:r>
      <w:r w:rsidRPr="006E3B9B">
        <w:rPr>
          <w:lang w:val="en-US" w:eastAsia="zh-CN"/>
        </w:rPr>
        <w:tab/>
      </w:r>
      <w:r w:rsidR="005F6138">
        <w:rPr>
          <w:lang w:val="en-US" w:eastAsia="zh-CN"/>
        </w:rPr>
        <w:tab/>
      </w:r>
      <w:r w:rsidRPr="006E3B9B">
        <w:rPr>
          <w:rFonts w:hint="eastAsia"/>
          <w:lang w:val="en-US" w:eastAsia="zh-CN"/>
        </w:rPr>
        <w:t>2007</w:t>
      </w:r>
      <w:r w:rsidRPr="006E3B9B">
        <w:rPr>
          <w:rFonts w:hint="eastAsia"/>
          <w:lang w:val="en-US" w:eastAsia="zh-CN"/>
        </w:rPr>
        <w:t>年</w:t>
      </w:r>
    </w:p>
    <w:p w14:paraId="4827C13D" w14:textId="77777777" w:rsidR="00091112" w:rsidRDefault="00091112">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4827C13E" w14:textId="77777777" w:rsidR="006E3B9B" w:rsidRPr="00294CE7" w:rsidRDefault="001D4188" w:rsidP="003E11A1">
      <w:pPr>
        <w:pStyle w:val="Reftitle"/>
        <w:rPr>
          <w:lang w:eastAsia="zh-CN"/>
        </w:rPr>
      </w:pPr>
      <w:r w:rsidRPr="00294CE7">
        <w:rPr>
          <w:lang w:eastAsia="zh-CN"/>
        </w:rPr>
        <w:lastRenderedPageBreak/>
        <w:t>2003</w:t>
      </w:r>
      <w:r w:rsidR="006E3B9B" w:rsidRPr="00294CE7">
        <w:rPr>
          <w:lang w:eastAsia="zh-CN"/>
        </w:rPr>
        <w:t>年增开会议（</w:t>
      </w:r>
      <w:r w:rsidR="006E3B9B" w:rsidRPr="00294CE7">
        <w:rPr>
          <w:lang w:eastAsia="zh-CN"/>
        </w:rPr>
        <w:t>2003</w:t>
      </w:r>
      <w:r w:rsidR="006E3B9B" w:rsidRPr="00294CE7">
        <w:rPr>
          <w:lang w:eastAsia="zh-CN"/>
        </w:rPr>
        <w:t>年</w:t>
      </w:r>
      <w:r w:rsidR="006E3B9B" w:rsidRPr="00294CE7">
        <w:rPr>
          <w:lang w:eastAsia="zh-CN"/>
        </w:rPr>
        <w:t>10</w:t>
      </w:r>
      <w:r w:rsidR="006E3B9B" w:rsidRPr="00294CE7">
        <w:rPr>
          <w:lang w:eastAsia="zh-CN"/>
        </w:rPr>
        <w:t>月）</w:t>
      </w:r>
    </w:p>
    <w:p w14:paraId="4827C13F"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1211</w:t>
      </w:r>
      <w:r w:rsidRPr="006E3B9B">
        <w:rPr>
          <w:lang w:val="en-US" w:eastAsia="zh-CN"/>
        </w:rPr>
        <w:t>号决议</w:t>
      </w:r>
      <w:r w:rsidRPr="006E3B9B">
        <w:rPr>
          <w:lang w:val="en-US" w:eastAsia="zh-CN"/>
        </w:rPr>
        <w:tab/>
      </w:r>
      <w:r w:rsidRPr="006E3B9B">
        <w:rPr>
          <w:rFonts w:hint="eastAsia"/>
          <w:lang w:val="en-US" w:eastAsia="zh-CN"/>
        </w:rPr>
        <w:t>国际电联职员退休和福利基金的法定利率</w:t>
      </w:r>
      <w:r w:rsidRPr="006E3B9B">
        <w:rPr>
          <w:lang w:val="en-US" w:eastAsia="zh-CN"/>
        </w:rPr>
        <w:tab/>
      </w:r>
      <w:r w:rsidR="005F6138">
        <w:rPr>
          <w:lang w:val="en-US" w:eastAsia="zh-CN"/>
        </w:rPr>
        <w:tab/>
      </w:r>
      <w:r w:rsidRPr="006E3B9B">
        <w:rPr>
          <w:lang w:val="en-US" w:eastAsia="zh-CN"/>
        </w:rPr>
        <w:t>2.3</w:t>
      </w:r>
    </w:p>
    <w:p w14:paraId="4827C140"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1212</w:t>
      </w:r>
      <w:r w:rsidRPr="006E3B9B">
        <w:rPr>
          <w:lang w:val="en-US" w:eastAsia="zh-CN"/>
        </w:rPr>
        <w:t>号决议</w:t>
      </w:r>
      <w:r w:rsidRPr="006E3B9B">
        <w:rPr>
          <w:lang w:val="en-US" w:eastAsia="zh-CN"/>
        </w:rPr>
        <w:tab/>
      </w:r>
      <w:r w:rsidRPr="006E3B9B">
        <w:rPr>
          <w:rFonts w:hint="eastAsia"/>
          <w:lang w:val="en-US" w:eastAsia="zh-CN"/>
        </w:rPr>
        <w:t>负责制订实施专家组建议计划的外部顾问</w:t>
      </w:r>
      <w:r w:rsidRPr="006E3B9B">
        <w:rPr>
          <w:lang w:val="en-US" w:eastAsia="zh-CN"/>
        </w:rPr>
        <w:tab/>
      </w:r>
      <w:r w:rsidR="005F6138">
        <w:rPr>
          <w:lang w:val="en-US" w:eastAsia="zh-CN"/>
        </w:rPr>
        <w:tab/>
      </w:r>
      <w:r w:rsidRPr="006E3B9B">
        <w:rPr>
          <w:rFonts w:hint="eastAsia"/>
          <w:lang w:val="en-US" w:eastAsia="zh-CN"/>
        </w:rPr>
        <w:t>2007</w:t>
      </w:r>
      <w:r w:rsidRPr="006E3B9B">
        <w:rPr>
          <w:rFonts w:hint="eastAsia"/>
          <w:lang w:val="en-US" w:eastAsia="zh-CN"/>
        </w:rPr>
        <w:t>年</w:t>
      </w:r>
    </w:p>
    <w:p w14:paraId="4827C141"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1213</w:t>
      </w:r>
      <w:r w:rsidRPr="006E3B9B">
        <w:rPr>
          <w:lang w:val="en-US" w:eastAsia="zh-CN"/>
        </w:rPr>
        <w:t>号决议</w:t>
      </w:r>
      <w:r w:rsidRPr="006E3B9B">
        <w:rPr>
          <w:lang w:val="en-US" w:eastAsia="zh-CN"/>
        </w:rPr>
        <w:tab/>
      </w:r>
      <w:r w:rsidRPr="006E3B9B">
        <w:rPr>
          <w:rFonts w:hint="eastAsia"/>
          <w:lang w:val="en-US" w:eastAsia="zh-CN"/>
        </w:rPr>
        <w:t>国际电信联盟</w:t>
      </w:r>
      <w:r w:rsidRPr="006E3B9B">
        <w:rPr>
          <w:lang w:val="en-US" w:eastAsia="zh-CN"/>
        </w:rPr>
        <w:t>2004-2005</w:t>
      </w:r>
      <w:r w:rsidRPr="006E3B9B">
        <w:rPr>
          <w:rFonts w:hint="eastAsia"/>
          <w:lang w:val="en-US" w:eastAsia="zh-CN"/>
        </w:rPr>
        <w:t>双年度预算</w:t>
      </w:r>
      <w:r w:rsidRPr="006E3B9B">
        <w:rPr>
          <w:lang w:val="en-US" w:eastAsia="zh-CN"/>
        </w:rPr>
        <w:tab/>
      </w:r>
      <w:r w:rsidR="005F6138">
        <w:rPr>
          <w:lang w:val="en-US" w:eastAsia="zh-CN"/>
        </w:rPr>
        <w:tab/>
      </w:r>
      <w:r w:rsidRPr="006E3B9B">
        <w:rPr>
          <w:rFonts w:hint="eastAsia"/>
          <w:lang w:val="en-US" w:eastAsia="zh-CN"/>
        </w:rPr>
        <w:t>2007</w:t>
      </w:r>
      <w:r w:rsidRPr="006E3B9B">
        <w:rPr>
          <w:rFonts w:hint="eastAsia"/>
          <w:lang w:val="en-US" w:eastAsia="zh-CN"/>
        </w:rPr>
        <w:t>年</w:t>
      </w:r>
    </w:p>
    <w:p w14:paraId="4827C142"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1214</w:t>
      </w:r>
      <w:r w:rsidRPr="006E3B9B">
        <w:rPr>
          <w:lang w:val="en-US" w:eastAsia="zh-CN"/>
        </w:rPr>
        <w:t>号决议</w:t>
      </w:r>
      <w:r w:rsidRPr="006E3B9B">
        <w:rPr>
          <w:lang w:val="en-US" w:eastAsia="zh-CN"/>
        </w:rPr>
        <w:tab/>
      </w:r>
      <w:r w:rsidRPr="006E3B9B">
        <w:rPr>
          <w:rFonts w:hint="eastAsia"/>
          <w:lang w:val="en-US" w:eastAsia="zh-CN"/>
        </w:rPr>
        <w:t>国际电联为信息社会世界峰会开展的筹备活动</w:t>
      </w:r>
      <w:r w:rsidRPr="006E3B9B">
        <w:rPr>
          <w:lang w:val="en-US" w:eastAsia="zh-CN"/>
        </w:rPr>
        <w:tab/>
      </w:r>
      <w:r w:rsidR="005F6138">
        <w:rPr>
          <w:lang w:val="en-US" w:eastAsia="zh-CN"/>
        </w:rPr>
        <w:tab/>
      </w:r>
      <w:r w:rsidRPr="006E3B9B">
        <w:rPr>
          <w:rFonts w:hint="eastAsia"/>
          <w:lang w:val="en-US" w:eastAsia="zh-CN"/>
        </w:rPr>
        <w:t>2006</w:t>
      </w:r>
      <w:r w:rsidRPr="006E3B9B">
        <w:rPr>
          <w:rFonts w:hint="eastAsia"/>
          <w:lang w:val="en-US" w:eastAsia="zh-CN"/>
        </w:rPr>
        <w:t>年</w:t>
      </w:r>
    </w:p>
    <w:p w14:paraId="4827C143"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1215</w:t>
      </w:r>
      <w:r w:rsidRPr="006E3B9B">
        <w:rPr>
          <w:lang w:val="en-US" w:eastAsia="zh-CN"/>
        </w:rPr>
        <w:t>号决议</w:t>
      </w:r>
      <w:r w:rsidRPr="006E3B9B">
        <w:rPr>
          <w:lang w:val="en-US" w:eastAsia="zh-CN"/>
        </w:rPr>
        <w:tab/>
        <w:t>2004-2005</w:t>
      </w:r>
      <w:r w:rsidRPr="006E3B9B">
        <w:rPr>
          <w:rFonts w:hint="eastAsia"/>
          <w:lang w:val="en-US" w:eastAsia="zh-CN"/>
        </w:rPr>
        <w:t>年国际电联预算的修订</w:t>
      </w:r>
      <w:r w:rsidRPr="006E3B9B">
        <w:rPr>
          <w:lang w:val="en-US" w:eastAsia="zh-CN"/>
        </w:rPr>
        <w:tab/>
      </w:r>
      <w:r w:rsidR="005F6138">
        <w:rPr>
          <w:lang w:val="en-US" w:eastAsia="zh-CN"/>
        </w:rPr>
        <w:tab/>
      </w:r>
      <w:r w:rsidRPr="006E3B9B">
        <w:rPr>
          <w:rFonts w:hint="eastAsia"/>
          <w:lang w:val="en-US" w:eastAsia="zh-CN"/>
        </w:rPr>
        <w:t>2007</w:t>
      </w:r>
      <w:r w:rsidRPr="006E3B9B">
        <w:rPr>
          <w:rFonts w:hint="eastAsia"/>
          <w:lang w:val="en-US" w:eastAsia="zh-CN"/>
        </w:rPr>
        <w:t>年</w:t>
      </w:r>
    </w:p>
    <w:p w14:paraId="4827C144" w14:textId="77777777" w:rsidR="006E3B9B" w:rsidRPr="006E3B9B" w:rsidRDefault="006D0EE6" w:rsidP="003E11A1">
      <w:pPr>
        <w:pStyle w:val="Reftitle"/>
        <w:rPr>
          <w:rFonts w:ascii="Times New Roman Bold" w:hAnsi="Times New Roman Bold" w:hint="eastAsia"/>
          <w:lang w:eastAsia="zh-CN"/>
        </w:rPr>
      </w:pPr>
      <w:r>
        <w:rPr>
          <w:lang w:eastAsia="zh-CN"/>
        </w:rPr>
        <w:t>2004</w:t>
      </w:r>
      <w:r w:rsidR="006E3B9B" w:rsidRPr="006E3B9B">
        <w:rPr>
          <w:rFonts w:hint="eastAsia"/>
          <w:lang w:eastAsia="zh-CN"/>
        </w:rPr>
        <w:t>年会议</w:t>
      </w:r>
      <w:r w:rsidR="006E3B9B" w:rsidRPr="006E3B9B">
        <w:rPr>
          <w:lang w:eastAsia="zh-CN"/>
        </w:rPr>
        <w:t>（</w:t>
      </w:r>
      <w:r w:rsidR="006E3B9B" w:rsidRPr="006E3B9B">
        <w:rPr>
          <w:lang w:eastAsia="zh-CN"/>
        </w:rPr>
        <w:t>2004</w:t>
      </w:r>
      <w:r w:rsidR="006E3B9B" w:rsidRPr="006E3B9B">
        <w:rPr>
          <w:rFonts w:hint="eastAsia"/>
          <w:lang w:eastAsia="zh-CN"/>
        </w:rPr>
        <w:t>年</w:t>
      </w:r>
      <w:r w:rsidR="006E3B9B" w:rsidRPr="006E3B9B">
        <w:rPr>
          <w:rFonts w:hint="eastAsia"/>
          <w:lang w:eastAsia="zh-CN"/>
        </w:rPr>
        <w:t>6</w:t>
      </w:r>
      <w:r w:rsidR="006E3B9B" w:rsidRPr="006E3B9B">
        <w:rPr>
          <w:rFonts w:hint="eastAsia"/>
          <w:lang w:eastAsia="zh-CN"/>
        </w:rPr>
        <w:t>月</w:t>
      </w:r>
      <w:r w:rsidR="006E3B9B" w:rsidRPr="006E3B9B">
        <w:rPr>
          <w:lang w:eastAsia="zh-CN"/>
        </w:rPr>
        <w:t>）</w:t>
      </w:r>
    </w:p>
    <w:p w14:paraId="4827C145"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1216</w:t>
      </w:r>
      <w:r w:rsidRPr="006E3B9B">
        <w:rPr>
          <w:lang w:val="en-US" w:eastAsia="zh-CN"/>
        </w:rPr>
        <w:t>号决议</w:t>
      </w:r>
      <w:r w:rsidRPr="006E3B9B">
        <w:rPr>
          <w:lang w:val="en-US" w:eastAsia="zh-CN"/>
        </w:rPr>
        <w:tab/>
      </w:r>
      <w:r w:rsidRPr="006E3B9B">
        <w:rPr>
          <w:rFonts w:ascii="SimSun" w:hint="eastAsia"/>
          <w:lang w:val="zh-CN" w:eastAsia="zh-CN"/>
        </w:rPr>
        <w:t>继续实施专家组的某些建议</w:t>
      </w:r>
      <w:r w:rsidRPr="006E3B9B">
        <w:rPr>
          <w:lang w:val="en-US" w:eastAsia="zh-CN"/>
        </w:rPr>
        <w:tab/>
      </w:r>
      <w:r w:rsidR="005F6138">
        <w:rPr>
          <w:lang w:val="en-US" w:eastAsia="zh-CN"/>
        </w:rPr>
        <w:tab/>
      </w:r>
      <w:r w:rsidRPr="006E3B9B">
        <w:rPr>
          <w:rFonts w:hint="eastAsia"/>
          <w:lang w:val="en-US" w:eastAsia="zh-CN"/>
        </w:rPr>
        <w:t>2007</w:t>
      </w:r>
      <w:r w:rsidRPr="006E3B9B">
        <w:rPr>
          <w:rFonts w:hint="eastAsia"/>
          <w:lang w:val="en-US" w:eastAsia="zh-CN"/>
        </w:rPr>
        <w:t>年</w:t>
      </w:r>
    </w:p>
    <w:p w14:paraId="4827C146"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1217</w:t>
      </w:r>
      <w:r w:rsidRPr="006E3B9B">
        <w:rPr>
          <w:lang w:val="en-US" w:eastAsia="zh-CN"/>
        </w:rPr>
        <w:t>号决议</w:t>
      </w:r>
      <w:r w:rsidRPr="006E3B9B">
        <w:rPr>
          <w:lang w:val="en-US" w:eastAsia="zh-CN"/>
        </w:rPr>
        <w:tab/>
      </w:r>
      <w:r w:rsidRPr="006E3B9B">
        <w:rPr>
          <w:rFonts w:hint="eastAsia"/>
          <w:lang w:val="en-US" w:eastAsia="zh-CN"/>
        </w:rPr>
        <w:t>总秘书处</w:t>
      </w:r>
      <w:r w:rsidRPr="006E3B9B">
        <w:rPr>
          <w:lang w:val="en-US" w:eastAsia="zh-CN"/>
        </w:rPr>
        <w:t>2004</w:t>
      </w:r>
      <w:r w:rsidRPr="006E3B9B">
        <w:rPr>
          <w:rFonts w:hint="eastAsia"/>
          <w:lang w:val="en-US" w:eastAsia="zh-CN"/>
        </w:rPr>
        <w:t>-</w:t>
      </w:r>
      <w:r w:rsidRPr="006E3B9B">
        <w:rPr>
          <w:lang w:val="en-US" w:eastAsia="zh-CN"/>
        </w:rPr>
        <w:t>2007</w:t>
      </w:r>
      <w:r w:rsidRPr="006E3B9B">
        <w:rPr>
          <w:rFonts w:hint="eastAsia"/>
          <w:lang w:val="en-US" w:eastAsia="zh-CN"/>
        </w:rPr>
        <w:t>年四年期滚动式《运作规划》</w:t>
      </w:r>
      <w:r w:rsidRPr="006E3B9B">
        <w:rPr>
          <w:lang w:val="en-US" w:eastAsia="zh-CN"/>
        </w:rPr>
        <w:tab/>
      </w:r>
      <w:r w:rsidR="005F6138">
        <w:rPr>
          <w:lang w:val="en-US" w:eastAsia="zh-CN"/>
        </w:rPr>
        <w:tab/>
      </w:r>
      <w:r w:rsidRPr="006E3B9B">
        <w:rPr>
          <w:rFonts w:hint="eastAsia"/>
          <w:lang w:val="en-US" w:eastAsia="zh-CN"/>
        </w:rPr>
        <w:t>2006</w:t>
      </w:r>
      <w:r w:rsidRPr="006E3B9B">
        <w:rPr>
          <w:rFonts w:hint="eastAsia"/>
          <w:lang w:val="en-US" w:eastAsia="zh-CN"/>
        </w:rPr>
        <w:t>年</w:t>
      </w:r>
    </w:p>
    <w:p w14:paraId="4827C147"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1218</w:t>
      </w:r>
      <w:r w:rsidRPr="006E3B9B">
        <w:rPr>
          <w:lang w:val="en-US" w:eastAsia="zh-CN"/>
        </w:rPr>
        <w:t>号决议</w:t>
      </w:r>
      <w:r w:rsidRPr="006E3B9B">
        <w:rPr>
          <w:lang w:val="en-US" w:eastAsia="zh-CN"/>
        </w:rPr>
        <w:tab/>
      </w:r>
      <w:r w:rsidRPr="006E3B9B">
        <w:rPr>
          <w:rFonts w:ascii="SimSun" w:hint="eastAsia"/>
          <w:lang w:val="zh-CN" w:eastAsia="zh-CN"/>
        </w:rPr>
        <w:t>无线电通信部门</w:t>
      </w:r>
      <w:r w:rsidRPr="006E3B9B">
        <w:rPr>
          <w:lang w:val="zh-CN" w:eastAsia="zh-CN"/>
        </w:rPr>
        <w:t>2004-2007</w:t>
      </w:r>
      <w:r w:rsidRPr="006E3B9B">
        <w:rPr>
          <w:rFonts w:ascii="SimSun" w:hint="eastAsia"/>
          <w:lang w:val="zh-CN" w:eastAsia="zh-CN"/>
        </w:rPr>
        <w:t>年四年期滚动式《运作规划》</w:t>
      </w:r>
      <w:r w:rsidRPr="006E3B9B">
        <w:rPr>
          <w:lang w:val="en-US" w:eastAsia="zh-CN"/>
        </w:rPr>
        <w:tab/>
      </w:r>
      <w:r w:rsidR="005F6138">
        <w:rPr>
          <w:lang w:val="en-US" w:eastAsia="zh-CN"/>
        </w:rPr>
        <w:tab/>
      </w:r>
      <w:r w:rsidRPr="006E3B9B">
        <w:rPr>
          <w:rFonts w:hint="eastAsia"/>
          <w:lang w:val="en-US" w:eastAsia="zh-CN"/>
        </w:rPr>
        <w:t>2006</w:t>
      </w:r>
      <w:r w:rsidRPr="006E3B9B">
        <w:rPr>
          <w:rFonts w:hint="eastAsia"/>
          <w:lang w:val="en-US" w:eastAsia="zh-CN"/>
        </w:rPr>
        <w:t>年</w:t>
      </w:r>
    </w:p>
    <w:p w14:paraId="4827C148"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1219</w:t>
      </w:r>
      <w:r w:rsidRPr="006E3B9B">
        <w:rPr>
          <w:lang w:val="en-US" w:eastAsia="zh-CN"/>
        </w:rPr>
        <w:t>号决议</w:t>
      </w:r>
      <w:r w:rsidRPr="006E3B9B">
        <w:rPr>
          <w:lang w:val="en-US" w:eastAsia="zh-CN"/>
        </w:rPr>
        <w:tab/>
      </w:r>
      <w:r w:rsidRPr="006E3B9B">
        <w:rPr>
          <w:rFonts w:hint="eastAsia"/>
          <w:bCs/>
          <w:lang w:val="en-US" w:eastAsia="zh-CN"/>
        </w:rPr>
        <w:t>电信标准化部门</w:t>
      </w:r>
      <w:r w:rsidRPr="006E3B9B">
        <w:rPr>
          <w:bCs/>
          <w:lang w:val="en-US" w:eastAsia="zh-CN"/>
        </w:rPr>
        <w:t>2004-2007</w:t>
      </w:r>
      <w:r w:rsidRPr="006E3B9B">
        <w:rPr>
          <w:rFonts w:hint="eastAsia"/>
          <w:bCs/>
          <w:lang w:val="en-US" w:eastAsia="zh-CN"/>
        </w:rPr>
        <w:t>年四年期滚动式《运作规划》</w:t>
      </w:r>
      <w:r w:rsidRPr="006E3B9B">
        <w:rPr>
          <w:lang w:val="en-US" w:eastAsia="zh-CN"/>
        </w:rPr>
        <w:tab/>
      </w:r>
      <w:r w:rsidR="005F6138">
        <w:rPr>
          <w:lang w:val="en-US" w:eastAsia="zh-CN"/>
        </w:rPr>
        <w:tab/>
      </w:r>
      <w:r w:rsidRPr="006E3B9B">
        <w:rPr>
          <w:rFonts w:hint="eastAsia"/>
          <w:lang w:val="en-US" w:eastAsia="zh-CN"/>
        </w:rPr>
        <w:t>2006</w:t>
      </w:r>
      <w:r w:rsidRPr="006E3B9B">
        <w:rPr>
          <w:rFonts w:hint="eastAsia"/>
          <w:lang w:val="en-US" w:eastAsia="zh-CN"/>
        </w:rPr>
        <w:t>年</w:t>
      </w:r>
    </w:p>
    <w:p w14:paraId="4827C149"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1220</w:t>
      </w:r>
      <w:r w:rsidRPr="006E3B9B">
        <w:rPr>
          <w:lang w:val="en-US" w:eastAsia="zh-CN"/>
        </w:rPr>
        <w:t>号决议</w:t>
      </w:r>
      <w:r w:rsidRPr="006E3B9B">
        <w:rPr>
          <w:lang w:val="en-US" w:eastAsia="zh-CN"/>
        </w:rPr>
        <w:tab/>
      </w:r>
      <w:r w:rsidRPr="006E3B9B">
        <w:rPr>
          <w:rFonts w:hint="eastAsia"/>
          <w:lang w:val="en-US" w:eastAsia="zh-CN"/>
        </w:rPr>
        <w:t>电信发展局</w:t>
      </w:r>
      <w:r w:rsidRPr="006E3B9B">
        <w:rPr>
          <w:lang w:val="en-US" w:eastAsia="zh-CN"/>
        </w:rPr>
        <w:t>2004-2007</w:t>
      </w:r>
      <w:r w:rsidRPr="006E3B9B">
        <w:rPr>
          <w:rFonts w:hint="eastAsia"/>
          <w:lang w:val="en-US" w:eastAsia="zh-CN"/>
        </w:rPr>
        <w:t>年四年期滚动式《运作规划》</w:t>
      </w:r>
      <w:r w:rsidRPr="006E3B9B">
        <w:rPr>
          <w:lang w:val="en-US" w:eastAsia="zh-CN"/>
        </w:rPr>
        <w:tab/>
      </w:r>
      <w:r w:rsidR="005F6138">
        <w:rPr>
          <w:lang w:val="en-US" w:eastAsia="zh-CN"/>
        </w:rPr>
        <w:tab/>
      </w:r>
      <w:r w:rsidRPr="006E3B9B">
        <w:rPr>
          <w:rFonts w:hint="eastAsia"/>
          <w:lang w:val="en-US" w:eastAsia="zh-CN"/>
        </w:rPr>
        <w:t>2006</w:t>
      </w:r>
      <w:r w:rsidRPr="006E3B9B">
        <w:rPr>
          <w:rFonts w:hint="eastAsia"/>
          <w:lang w:val="en-US" w:eastAsia="zh-CN"/>
        </w:rPr>
        <w:t>年</w:t>
      </w:r>
    </w:p>
    <w:p w14:paraId="4827C14A"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1221</w:t>
      </w:r>
      <w:r w:rsidRPr="006E3B9B">
        <w:rPr>
          <w:lang w:val="en-US" w:eastAsia="zh-CN"/>
        </w:rPr>
        <w:t>号决议</w:t>
      </w:r>
      <w:r w:rsidRPr="006E3B9B">
        <w:rPr>
          <w:lang w:val="en-US" w:eastAsia="zh-CN"/>
        </w:rPr>
        <w:tab/>
      </w:r>
      <w:r w:rsidRPr="006E3B9B">
        <w:rPr>
          <w:rFonts w:hint="eastAsia"/>
          <w:lang w:val="fr-CH" w:eastAsia="zh-CN"/>
        </w:rPr>
        <w:t>国际电联职员养恤金委员会的委员</w:t>
      </w:r>
      <w:r w:rsidRPr="006E3B9B">
        <w:rPr>
          <w:lang w:val="en-US" w:eastAsia="zh-CN"/>
        </w:rPr>
        <w:tab/>
      </w:r>
      <w:r w:rsidR="005F6138">
        <w:rPr>
          <w:lang w:val="en-US" w:eastAsia="zh-CN"/>
        </w:rPr>
        <w:tab/>
      </w:r>
      <w:r w:rsidRPr="006E3B9B">
        <w:rPr>
          <w:rFonts w:hint="eastAsia"/>
          <w:lang w:val="en-US" w:eastAsia="zh-CN"/>
        </w:rPr>
        <w:t>2006</w:t>
      </w:r>
      <w:r w:rsidRPr="006E3B9B">
        <w:rPr>
          <w:rFonts w:hint="eastAsia"/>
          <w:lang w:val="en-US" w:eastAsia="zh-CN"/>
        </w:rPr>
        <w:t>年</w:t>
      </w:r>
    </w:p>
    <w:p w14:paraId="4827C14B"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1222</w:t>
      </w:r>
      <w:r w:rsidRPr="006E3B9B">
        <w:rPr>
          <w:lang w:val="en-US" w:eastAsia="zh-CN"/>
        </w:rPr>
        <w:t>号决议</w:t>
      </w:r>
      <w:r w:rsidRPr="006E3B9B">
        <w:rPr>
          <w:lang w:val="en-US" w:eastAsia="zh-CN"/>
        </w:rPr>
        <w:tab/>
      </w:r>
      <w:r w:rsidRPr="006E3B9B">
        <w:rPr>
          <w:rFonts w:hint="eastAsia"/>
          <w:lang w:val="en-US" w:eastAsia="zh-CN"/>
        </w:rPr>
        <w:t>国际电联开展的与信息社会世界峰会相关的活动</w:t>
      </w:r>
      <w:r w:rsidRPr="006E3B9B">
        <w:rPr>
          <w:lang w:val="en-US" w:eastAsia="zh-CN"/>
        </w:rPr>
        <w:tab/>
      </w:r>
      <w:r w:rsidR="005F6138">
        <w:rPr>
          <w:lang w:val="en-US" w:eastAsia="zh-CN"/>
        </w:rPr>
        <w:tab/>
      </w:r>
      <w:r w:rsidRPr="006E3B9B">
        <w:rPr>
          <w:rFonts w:hint="eastAsia"/>
          <w:lang w:val="en-US" w:eastAsia="zh-CN"/>
        </w:rPr>
        <w:t>2006</w:t>
      </w:r>
      <w:r w:rsidRPr="006E3B9B">
        <w:rPr>
          <w:rFonts w:hint="eastAsia"/>
          <w:lang w:val="en-US" w:eastAsia="zh-CN"/>
        </w:rPr>
        <w:t>年</w:t>
      </w:r>
    </w:p>
    <w:p w14:paraId="4827C14C"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1223</w:t>
      </w:r>
      <w:r w:rsidRPr="006E3B9B">
        <w:rPr>
          <w:lang w:val="en-US" w:eastAsia="zh-CN"/>
        </w:rPr>
        <w:t>号决议</w:t>
      </w:r>
      <w:r w:rsidRPr="006E3B9B">
        <w:rPr>
          <w:lang w:val="en-US" w:eastAsia="zh-CN"/>
        </w:rPr>
        <w:tab/>
      </w:r>
      <w:r w:rsidRPr="006E3B9B">
        <w:rPr>
          <w:rFonts w:hint="eastAsia"/>
          <w:lang w:val="fr-CH" w:eastAsia="zh-CN"/>
        </w:rPr>
        <w:t>国际电联六种正式语文和工作语文的使用</w:t>
      </w:r>
      <w:r w:rsidRPr="006E3B9B">
        <w:rPr>
          <w:lang w:val="en-US" w:eastAsia="zh-CN"/>
        </w:rPr>
        <w:tab/>
      </w:r>
      <w:r w:rsidR="005F6138">
        <w:rPr>
          <w:lang w:val="en-US" w:eastAsia="zh-CN"/>
        </w:rPr>
        <w:tab/>
      </w:r>
      <w:r w:rsidRPr="006E3B9B">
        <w:rPr>
          <w:rFonts w:hint="eastAsia"/>
          <w:lang w:val="en-US" w:eastAsia="zh-CN"/>
        </w:rPr>
        <w:t>2007</w:t>
      </w:r>
      <w:r w:rsidRPr="006E3B9B">
        <w:rPr>
          <w:rFonts w:hint="eastAsia"/>
          <w:lang w:val="en-US" w:eastAsia="zh-CN"/>
        </w:rPr>
        <w:t>年</w:t>
      </w:r>
    </w:p>
    <w:p w14:paraId="4827C14D" w14:textId="77777777" w:rsidR="006E3B9B" w:rsidRPr="006E3B9B" w:rsidRDefault="006E3B9B" w:rsidP="005F6138">
      <w:pPr>
        <w:pStyle w:val="Appendixref"/>
        <w:rPr>
          <w:rFonts w:ascii="Arial Unicode MS" w:eastAsia="Arial Unicode MS" w:hAnsi="Arial Unicode MS" w:cs="Arial Unicode MS"/>
          <w:lang w:eastAsia="zh-CN"/>
        </w:rPr>
      </w:pPr>
      <w:r w:rsidRPr="006E3B9B">
        <w:rPr>
          <w:lang w:eastAsia="zh-CN"/>
        </w:rPr>
        <w:t>第</w:t>
      </w:r>
      <w:r w:rsidRPr="006E3B9B">
        <w:rPr>
          <w:lang w:eastAsia="zh-CN"/>
        </w:rPr>
        <w:t>1224</w:t>
      </w:r>
      <w:r w:rsidRPr="006E3B9B">
        <w:rPr>
          <w:lang w:eastAsia="zh-CN"/>
        </w:rPr>
        <w:t>号决议</w:t>
      </w:r>
      <w:r w:rsidRPr="006E3B9B">
        <w:rPr>
          <w:lang w:eastAsia="zh-CN"/>
        </w:rPr>
        <w:tab/>
      </w:r>
      <w:r w:rsidRPr="006E3B9B">
        <w:rPr>
          <w:rFonts w:hint="eastAsia"/>
          <w:lang w:val="fr-CH" w:eastAsia="zh-CN"/>
        </w:rPr>
        <w:t>为规划</w:t>
      </w:r>
      <w:r w:rsidRPr="006E3B9B">
        <w:rPr>
          <w:lang w:val="fr-CH" w:eastAsia="zh-CN"/>
        </w:rPr>
        <w:t>174-230MHz</w:t>
      </w:r>
      <w:r w:rsidRPr="006E3B9B">
        <w:rPr>
          <w:rFonts w:hint="eastAsia"/>
          <w:lang w:val="fr-CH" w:eastAsia="zh-CN"/>
        </w:rPr>
        <w:t>和</w:t>
      </w:r>
      <w:r w:rsidRPr="006E3B9B">
        <w:rPr>
          <w:lang w:val="fr-CH" w:eastAsia="zh-CN"/>
        </w:rPr>
        <w:t>470-862MHz</w:t>
      </w:r>
      <w:r w:rsidRPr="006E3B9B">
        <w:rPr>
          <w:rFonts w:hint="eastAsia"/>
          <w:lang w:val="fr-CH" w:eastAsia="zh-CN"/>
        </w:rPr>
        <w:t>频段内</w:t>
      </w:r>
      <w:r w:rsidRPr="006E3B9B">
        <w:rPr>
          <w:lang w:val="fr-CH" w:eastAsia="zh-CN"/>
        </w:rPr>
        <w:t>1</w:t>
      </w:r>
      <w:r w:rsidRPr="006E3B9B">
        <w:rPr>
          <w:rFonts w:hint="eastAsia"/>
          <w:lang w:val="fr-CH" w:eastAsia="zh-CN"/>
        </w:rPr>
        <w:t>区和</w:t>
      </w:r>
      <w:r w:rsidRPr="006E3B9B">
        <w:rPr>
          <w:lang w:val="fr-CH" w:eastAsia="zh-CN"/>
        </w:rPr>
        <w:t>3</w:t>
      </w:r>
      <w:r w:rsidRPr="006E3B9B">
        <w:rPr>
          <w:rFonts w:hint="eastAsia"/>
          <w:lang w:val="fr-CH" w:eastAsia="zh-CN"/>
        </w:rPr>
        <w:t>区部分地区数字地面广播业务而召开的区域性无线电通信大会</w:t>
      </w:r>
      <w:r w:rsidRPr="006E3B9B">
        <w:rPr>
          <w:rFonts w:hint="eastAsia"/>
          <w:lang w:eastAsia="zh-CN"/>
        </w:rPr>
        <w:tab/>
      </w:r>
      <w:r w:rsidR="00587F0E">
        <w:rPr>
          <w:rFonts w:hint="eastAsia"/>
          <w:lang w:eastAsia="zh-CN"/>
        </w:rPr>
        <w:tab/>
      </w:r>
      <w:r w:rsidRPr="006E3B9B">
        <w:rPr>
          <w:rFonts w:hint="eastAsia"/>
          <w:lang w:eastAsia="zh-CN"/>
        </w:rPr>
        <w:t>2007</w:t>
      </w:r>
      <w:r w:rsidRPr="006E3B9B">
        <w:rPr>
          <w:rFonts w:hint="eastAsia"/>
          <w:lang w:eastAsia="zh-CN"/>
        </w:rPr>
        <w:t>年</w:t>
      </w:r>
    </w:p>
    <w:p w14:paraId="4827C14E"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1225</w:t>
      </w:r>
      <w:r w:rsidRPr="006E3B9B">
        <w:rPr>
          <w:lang w:val="en-US" w:eastAsia="zh-CN"/>
        </w:rPr>
        <w:t>号决议</w:t>
      </w:r>
      <w:r w:rsidRPr="006E3B9B">
        <w:rPr>
          <w:lang w:val="en-US" w:eastAsia="zh-CN"/>
        </w:rPr>
        <w:tab/>
      </w:r>
      <w:r w:rsidRPr="006E3B9B">
        <w:rPr>
          <w:rFonts w:hint="eastAsia"/>
          <w:lang w:val="en-US" w:eastAsia="zh-CN"/>
        </w:rPr>
        <w:t>为修订有关</w:t>
      </w:r>
      <w:r w:rsidRPr="006E3B9B">
        <w:rPr>
          <w:lang w:val="en-US" w:eastAsia="zh-CN"/>
        </w:rPr>
        <w:t>174</w:t>
      </w:r>
      <w:r w:rsidRPr="006E3B9B">
        <w:rPr>
          <w:rFonts w:hint="eastAsia"/>
          <w:lang w:val="en-US" w:eastAsia="zh-CN"/>
        </w:rPr>
        <w:t>-</w:t>
      </w:r>
      <w:r w:rsidRPr="006E3B9B">
        <w:rPr>
          <w:lang w:val="en-US" w:eastAsia="zh-CN"/>
        </w:rPr>
        <w:t>230 MHz</w:t>
      </w:r>
      <w:r w:rsidRPr="006E3B9B">
        <w:rPr>
          <w:rFonts w:hint="eastAsia"/>
          <w:lang w:val="en-US" w:eastAsia="zh-CN"/>
        </w:rPr>
        <w:t>和</w:t>
      </w:r>
      <w:r w:rsidRPr="006E3B9B">
        <w:rPr>
          <w:lang w:val="en-US" w:eastAsia="zh-CN"/>
        </w:rPr>
        <w:t>470-862 MHz</w:t>
      </w:r>
      <w:r w:rsidRPr="006C1EBF">
        <w:rPr>
          <w:rFonts w:hint="eastAsia"/>
          <w:lang w:eastAsia="zh-CN"/>
        </w:rPr>
        <w:t>频段的</w:t>
      </w:r>
      <w:r w:rsidRPr="006E3B9B">
        <w:rPr>
          <w:lang w:val="en-US" w:eastAsia="zh-CN"/>
        </w:rPr>
        <w:t>1961</w:t>
      </w:r>
      <w:r w:rsidRPr="006E3B9B">
        <w:rPr>
          <w:rFonts w:hint="eastAsia"/>
          <w:lang w:val="en-US" w:eastAsia="zh-CN"/>
        </w:rPr>
        <w:t>年斯德哥尔摩协议而召开的区域性无线电通信大会</w:t>
      </w:r>
      <w:r w:rsidRPr="006E3B9B">
        <w:rPr>
          <w:lang w:val="en-US" w:eastAsia="zh-CN"/>
        </w:rPr>
        <w:tab/>
      </w:r>
      <w:r w:rsidR="006C1EBF">
        <w:rPr>
          <w:rFonts w:hint="eastAsia"/>
          <w:lang w:val="en-US" w:eastAsia="zh-CN"/>
        </w:rPr>
        <w:tab/>
      </w:r>
      <w:r w:rsidRPr="006E3B9B">
        <w:rPr>
          <w:rFonts w:hint="eastAsia"/>
          <w:lang w:val="en-US" w:eastAsia="zh-CN"/>
        </w:rPr>
        <w:t>2007</w:t>
      </w:r>
      <w:r w:rsidRPr="006E3B9B">
        <w:rPr>
          <w:rFonts w:hint="eastAsia"/>
          <w:lang w:val="en-US" w:eastAsia="zh-CN"/>
        </w:rPr>
        <w:t>年</w:t>
      </w:r>
    </w:p>
    <w:p w14:paraId="4827C14F"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1226</w:t>
      </w:r>
      <w:r w:rsidRPr="006E3B9B">
        <w:rPr>
          <w:lang w:val="en-US" w:eastAsia="zh-CN"/>
        </w:rPr>
        <w:t>号决议</w:t>
      </w:r>
      <w:r w:rsidRPr="006E3B9B">
        <w:rPr>
          <w:lang w:val="en-US" w:eastAsia="zh-CN"/>
        </w:rPr>
        <w:tab/>
      </w:r>
      <w:r w:rsidRPr="006E3B9B">
        <w:rPr>
          <w:rFonts w:hint="eastAsia"/>
          <w:lang w:val="en-US" w:eastAsia="zh-CN"/>
        </w:rPr>
        <w:t>为修订有关</w:t>
      </w:r>
      <w:r w:rsidRPr="006E3B9B">
        <w:rPr>
          <w:lang w:val="en-US" w:eastAsia="zh-CN"/>
        </w:rPr>
        <w:t>174</w:t>
      </w:r>
      <w:r w:rsidRPr="006E3B9B">
        <w:rPr>
          <w:rFonts w:hint="eastAsia"/>
          <w:lang w:val="en-US" w:eastAsia="zh-CN"/>
        </w:rPr>
        <w:t>-</w:t>
      </w:r>
      <w:r w:rsidRPr="006E3B9B">
        <w:rPr>
          <w:lang w:val="en-US" w:eastAsia="zh-CN"/>
        </w:rPr>
        <w:t>230 MHz</w:t>
      </w:r>
      <w:r w:rsidRPr="006E3B9B">
        <w:rPr>
          <w:rFonts w:hint="eastAsia"/>
          <w:lang w:val="en-US" w:eastAsia="zh-CN"/>
        </w:rPr>
        <w:t>和</w:t>
      </w:r>
      <w:r w:rsidRPr="006E3B9B">
        <w:rPr>
          <w:lang w:val="en-US" w:eastAsia="zh-CN"/>
        </w:rPr>
        <w:t>470-862 MHz</w:t>
      </w:r>
      <w:r w:rsidRPr="006C1EBF">
        <w:rPr>
          <w:rFonts w:hint="eastAsia"/>
          <w:lang w:eastAsia="zh-CN"/>
        </w:rPr>
        <w:t>频段的</w:t>
      </w:r>
      <w:r w:rsidRPr="006E3B9B">
        <w:rPr>
          <w:lang w:val="en-US" w:eastAsia="zh-CN"/>
        </w:rPr>
        <w:t>1989</w:t>
      </w:r>
      <w:r w:rsidRPr="006E3B9B">
        <w:rPr>
          <w:rFonts w:hint="eastAsia"/>
          <w:lang w:val="en-US" w:eastAsia="zh-CN"/>
        </w:rPr>
        <w:t>年日内瓦协议而召开的区域性无线电通信大会</w:t>
      </w:r>
      <w:r w:rsidRPr="006E3B9B">
        <w:rPr>
          <w:lang w:val="en-US" w:eastAsia="zh-CN"/>
        </w:rPr>
        <w:tab/>
      </w:r>
      <w:r w:rsidR="006C1EBF">
        <w:rPr>
          <w:rFonts w:hint="eastAsia"/>
          <w:lang w:val="en-US" w:eastAsia="zh-CN"/>
        </w:rPr>
        <w:tab/>
      </w:r>
      <w:r w:rsidRPr="006E3B9B">
        <w:rPr>
          <w:rFonts w:hint="eastAsia"/>
          <w:lang w:val="en-US" w:eastAsia="zh-CN"/>
        </w:rPr>
        <w:t>2007</w:t>
      </w:r>
      <w:r w:rsidRPr="006E3B9B">
        <w:rPr>
          <w:rFonts w:hint="eastAsia"/>
          <w:lang w:val="en-US" w:eastAsia="zh-CN"/>
        </w:rPr>
        <w:t>年</w:t>
      </w:r>
    </w:p>
    <w:p w14:paraId="4827C150" w14:textId="77777777" w:rsidR="006E3B9B" w:rsidRPr="00A22EFF" w:rsidRDefault="006E3B9B" w:rsidP="005F6138">
      <w:pPr>
        <w:pStyle w:val="Appendixref"/>
        <w:rPr>
          <w:lang w:eastAsia="zh-CN"/>
        </w:rPr>
      </w:pPr>
      <w:r w:rsidRPr="006E3B9B">
        <w:rPr>
          <w:lang w:val="en-US" w:eastAsia="zh-CN"/>
        </w:rPr>
        <w:t>第</w:t>
      </w:r>
      <w:r w:rsidRPr="006E3B9B">
        <w:rPr>
          <w:lang w:val="en-US" w:eastAsia="zh-CN"/>
        </w:rPr>
        <w:t>1227</w:t>
      </w:r>
      <w:r w:rsidRPr="006E3B9B">
        <w:rPr>
          <w:lang w:val="en-US" w:eastAsia="zh-CN"/>
        </w:rPr>
        <w:t>号决议</w:t>
      </w:r>
      <w:r w:rsidRPr="006E3B9B">
        <w:rPr>
          <w:lang w:val="en-US" w:eastAsia="zh-CN"/>
        </w:rPr>
        <w:tab/>
      </w:r>
      <w:r w:rsidRPr="006E3B9B">
        <w:rPr>
          <w:rFonts w:hint="eastAsia"/>
          <w:lang w:val="en-US" w:eastAsia="zh-CN"/>
        </w:rPr>
        <w:t>世界无线电通信大会（</w:t>
      </w:r>
      <w:r w:rsidRPr="006E3B9B">
        <w:rPr>
          <w:lang w:val="en-US" w:eastAsia="zh-CN"/>
        </w:rPr>
        <w:t>WRC-07</w:t>
      </w:r>
      <w:r w:rsidRPr="006E3B9B">
        <w:rPr>
          <w:rFonts w:hint="eastAsia"/>
          <w:lang w:val="en-US" w:eastAsia="zh-CN"/>
        </w:rPr>
        <w:t>）的议程</w:t>
      </w:r>
      <w:r w:rsidR="00A22EFF">
        <w:rPr>
          <w:lang w:val="en-US" w:eastAsia="zh-CN"/>
        </w:rPr>
        <w:tab/>
      </w:r>
      <w:r w:rsidR="005F6138">
        <w:rPr>
          <w:lang w:val="en-US" w:eastAsia="zh-CN"/>
        </w:rPr>
        <w:tab/>
      </w:r>
      <w:r w:rsidR="00A22EFF">
        <w:rPr>
          <w:lang w:val="en-US" w:eastAsia="zh-CN"/>
        </w:rPr>
        <w:t>200</w:t>
      </w:r>
      <w:r w:rsidR="00A22EFF" w:rsidRPr="00A22EFF">
        <w:rPr>
          <w:lang w:val="en-US" w:eastAsia="zh-CN"/>
        </w:rPr>
        <w:t>8</w:t>
      </w:r>
      <w:r w:rsidR="00A22EFF" w:rsidRPr="00A22EFF">
        <w:rPr>
          <w:rFonts w:hint="eastAsia"/>
          <w:lang w:eastAsia="zh-CN"/>
        </w:rPr>
        <w:t>年</w:t>
      </w:r>
    </w:p>
    <w:p w14:paraId="4827C151"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1228</w:t>
      </w:r>
      <w:r w:rsidRPr="006E3B9B">
        <w:rPr>
          <w:lang w:val="en-US" w:eastAsia="zh-CN"/>
        </w:rPr>
        <w:t>号决议</w:t>
      </w:r>
      <w:r w:rsidRPr="006E3B9B">
        <w:rPr>
          <w:lang w:val="en-US" w:eastAsia="zh-CN"/>
        </w:rPr>
        <w:tab/>
      </w:r>
      <w:r w:rsidRPr="006E3B9B">
        <w:rPr>
          <w:rFonts w:ascii="SimSun" w:hAnsi="SimSun" w:hint="eastAsia"/>
          <w:bCs/>
          <w:lang w:val="en-US" w:eastAsia="zh-CN"/>
        </w:rPr>
        <w:t>世界电信发展大会（</w:t>
      </w:r>
      <w:r w:rsidRPr="006E3B9B">
        <w:rPr>
          <w:bCs/>
          <w:lang w:val="en-US" w:eastAsia="zh-CN"/>
        </w:rPr>
        <w:t>WTDC-06</w:t>
      </w:r>
      <w:r w:rsidRPr="006E3B9B">
        <w:rPr>
          <w:rFonts w:ascii="SimSun" w:hAnsi="SimSun" w:hint="eastAsia"/>
          <w:bCs/>
          <w:lang w:val="en-US" w:eastAsia="zh-CN"/>
        </w:rPr>
        <w:t>）</w:t>
      </w:r>
      <w:r w:rsidRPr="006E3B9B">
        <w:rPr>
          <w:lang w:val="en-US" w:eastAsia="zh-CN"/>
        </w:rPr>
        <w:tab/>
      </w:r>
      <w:r w:rsidR="005F6138">
        <w:rPr>
          <w:lang w:val="en-US" w:eastAsia="zh-CN"/>
        </w:rPr>
        <w:tab/>
      </w:r>
      <w:r w:rsidRPr="006E3B9B">
        <w:rPr>
          <w:rFonts w:hint="eastAsia"/>
          <w:lang w:val="en-US" w:eastAsia="zh-CN"/>
        </w:rPr>
        <w:t>2006</w:t>
      </w:r>
      <w:r w:rsidRPr="006E3B9B">
        <w:rPr>
          <w:rFonts w:hint="eastAsia"/>
          <w:lang w:val="en-US" w:eastAsia="zh-CN"/>
        </w:rPr>
        <w:t>年</w:t>
      </w:r>
    </w:p>
    <w:p w14:paraId="4827C152"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1229</w:t>
      </w:r>
      <w:r w:rsidRPr="006E3B9B">
        <w:rPr>
          <w:lang w:val="en-US" w:eastAsia="zh-CN"/>
        </w:rPr>
        <w:t>号决议</w:t>
      </w:r>
      <w:r w:rsidRPr="006E3B9B">
        <w:rPr>
          <w:lang w:val="en-US" w:eastAsia="zh-CN"/>
        </w:rPr>
        <w:tab/>
      </w:r>
      <w:r w:rsidRPr="006E3B9B">
        <w:rPr>
          <w:rFonts w:hint="eastAsia"/>
          <w:lang w:val="en-US" w:eastAsia="zh-CN"/>
        </w:rPr>
        <w:t>国际电联《财务规则》的修正</w:t>
      </w:r>
      <w:r w:rsidRPr="006E3B9B">
        <w:rPr>
          <w:lang w:val="en-US" w:eastAsia="zh-CN"/>
        </w:rPr>
        <w:tab/>
      </w:r>
      <w:r w:rsidR="005F6138">
        <w:rPr>
          <w:lang w:val="en-US" w:eastAsia="zh-CN"/>
        </w:rPr>
        <w:tab/>
      </w:r>
      <w:r w:rsidRPr="006E3B9B">
        <w:rPr>
          <w:rFonts w:hint="eastAsia"/>
          <w:lang w:val="en-US" w:eastAsia="zh-CN"/>
        </w:rPr>
        <w:t>2006</w:t>
      </w:r>
      <w:r w:rsidRPr="006E3B9B">
        <w:rPr>
          <w:rFonts w:hint="eastAsia"/>
          <w:lang w:val="en-US" w:eastAsia="zh-CN"/>
        </w:rPr>
        <w:t>年</w:t>
      </w:r>
    </w:p>
    <w:p w14:paraId="4827C153"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1230</w:t>
      </w:r>
      <w:r w:rsidRPr="006E3B9B">
        <w:rPr>
          <w:lang w:val="en-US" w:eastAsia="zh-CN"/>
        </w:rPr>
        <w:t>号决议</w:t>
      </w:r>
      <w:r w:rsidRPr="006E3B9B">
        <w:rPr>
          <w:lang w:val="en-US" w:eastAsia="zh-CN"/>
        </w:rPr>
        <w:tab/>
      </w:r>
      <w:r w:rsidRPr="006E3B9B">
        <w:rPr>
          <w:rFonts w:hint="eastAsia"/>
          <w:lang w:val="en-US" w:eastAsia="zh-CN"/>
        </w:rPr>
        <w:t>与规划</w:t>
      </w:r>
      <w:r w:rsidRPr="006E3B9B">
        <w:rPr>
          <w:rFonts w:hint="eastAsia"/>
          <w:lang w:val="en-US" w:eastAsia="zh-CN"/>
        </w:rPr>
        <w:t>174</w:t>
      </w:r>
      <w:r w:rsidRPr="006E3B9B">
        <w:rPr>
          <w:lang w:val="en-US" w:eastAsia="zh-CN"/>
        </w:rPr>
        <w:t>-230</w:t>
      </w:r>
      <w:r w:rsidRPr="006E3B9B">
        <w:rPr>
          <w:rFonts w:hint="eastAsia"/>
          <w:lang w:val="en-US" w:eastAsia="zh-CN"/>
        </w:rPr>
        <w:t>MH</w:t>
      </w:r>
      <w:r w:rsidRPr="006E3B9B">
        <w:rPr>
          <w:lang w:val="en-US" w:eastAsia="zh-CN"/>
        </w:rPr>
        <w:t>z</w:t>
      </w:r>
      <w:r w:rsidRPr="006E3B9B">
        <w:rPr>
          <w:rFonts w:hint="eastAsia"/>
          <w:lang w:val="en-US" w:eastAsia="zh-CN"/>
        </w:rPr>
        <w:t>和</w:t>
      </w:r>
      <w:r w:rsidRPr="006E3B9B">
        <w:rPr>
          <w:rFonts w:hint="eastAsia"/>
          <w:lang w:val="en-US" w:eastAsia="zh-CN"/>
        </w:rPr>
        <w:t>470</w:t>
      </w:r>
      <w:r w:rsidRPr="006E3B9B">
        <w:rPr>
          <w:lang w:val="en-US" w:eastAsia="zh-CN"/>
        </w:rPr>
        <w:t>-862</w:t>
      </w:r>
      <w:r w:rsidRPr="006E3B9B">
        <w:rPr>
          <w:rFonts w:hint="eastAsia"/>
          <w:lang w:val="en-US" w:eastAsia="zh-CN"/>
        </w:rPr>
        <w:t>MHZ</w:t>
      </w:r>
      <w:r w:rsidRPr="006C1EBF">
        <w:rPr>
          <w:rFonts w:hint="eastAsia"/>
          <w:lang w:eastAsia="zh-CN"/>
        </w:rPr>
        <w:t>频段</w:t>
      </w:r>
      <w:r w:rsidRPr="006E3B9B">
        <w:rPr>
          <w:rFonts w:hint="eastAsia"/>
          <w:lang w:val="en-US" w:eastAsia="zh-CN"/>
        </w:rPr>
        <w:t>1</w:t>
      </w:r>
      <w:r w:rsidRPr="006E3B9B">
        <w:rPr>
          <w:rFonts w:hint="eastAsia"/>
          <w:lang w:val="en-US" w:eastAsia="zh-CN"/>
        </w:rPr>
        <w:t>区和</w:t>
      </w:r>
      <w:r w:rsidRPr="006E3B9B">
        <w:rPr>
          <w:rFonts w:hint="eastAsia"/>
          <w:lang w:val="en-US" w:eastAsia="zh-CN"/>
        </w:rPr>
        <w:t>3</w:t>
      </w:r>
      <w:r w:rsidRPr="006E3B9B">
        <w:rPr>
          <w:rFonts w:hint="eastAsia"/>
          <w:lang w:val="en-US" w:eastAsia="zh-CN"/>
        </w:rPr>
        <w:t>区部分地区地面数字广播业务的区域性无线电通信大会有关的</w:t>
      </w:r>
      <w:r w:rsidRPr="006E3B9B">
        <w:rPr>
          <w:rFonts w:hint="eastAsia"/>
          <w:lang w:val="en-US" w:eastAsia="zh-CN"/>
        </w:rPr>
        <w:t>2004-2005</w:t>
      </w:r>
      <w:r w:rsidRPr="006E3B9B">
        <w:rPr>
          <w:rFonts w:hint="eastAsia"/>
          <w:lang w:val="en-US" w:eastAsia="zh-CN"/>
        </w:rPr>
        <w:t>年活动预算拨款的修订</w:t>
      </w:r>
      <w:r w:rsidR="006C1EBF">
        <w:rPr>
          <w:rFonts w:hint="eastAsia"/>
          <w:lang w:val="en-US" w:eastAsia="zh-CN"/>
        </w:rPr>
        <w:tab/>
      </w:r>
      <w:r w:rsidRPr="006E3B9B">
        <w:rPr>
          <w:lang w:val="en-US" w:eastAsia="zh-CN"/>
        </w:rPr>
        <w:tab/>
      </w:r>
      <w:r w:rsidRPr="006E3B9B">
        <w:rPr>
          <w:rFonts w:hint="eastAsia"/>
          <w:lang w:val="en-US" w:eastAsia="zh-CN"/>
        </w:rPr>
        <w:t>2007</w:t>
      </w:r>
      <w:r w:rsidRPr="006E3B9B">
        <w:rPr>
          <w:rFonts w:hint="eastAsia"/>
          <w:lang w:val="en-US" w:eastAsia="zh-CN"/>
        </w:rPr>
        <w:t>年</w:t>
      </w:r>
    </w:p>
    <w:p w14:paraId="4827C154"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1231</w:t>
      </w:r>
      <w:r w:rsidRPr="006E3B9B">
        <w:rPr>
          <w:lang w:val="en-US" w:eastAsia="zh-CN"/>
        </w:rPr>
        <w:t>号决议</w:t>
      </w:r>
      <w:r w:rsidRPr="006E3B9B">
        <w:rPr>
          <w:lang w:val="en-US" w:eastAsia="zh-CN"/>
        </w:rPr>
        <w:tab/>
      </w:r>
      <w:r w:rsidRPr="006E3B9B">
        <w:rPr>
          <w:bCs/>
          <w:lang w:val="en-US" w:eastAsia="zh-CN"/>
        </w:rPr>
        <w:t>2002</w:t>
      </w:r>
      <w:r w:rsidRPr="006E3B9B">
        <w:rPr>
          <w:rFonts w:hint="eastAsia"/>
          <w:bCs/>
          <w:lang w:val="en-US" w:eastAsia="zh-CN"/>
        </w:rPr>
        <w:t>财年财务工作报告</w:t>
      </w:r>
      <w:r w:rsidRPr="006E3B9B">
        <w:rPr>
          <w:lang w:val="en-US" w:eastAsia="zh-CN"/>
        </w:rPr>
        <w:tab/>
      </w:r>
      <w:r w:rsidR="005F6138">
        <w:rPr>
          <w:lang w:val="en-US" w:eastAsia="zh-CN"/>
        </w:rPr>
        <w:tab/>
      </w:r>
      <w:r w:rsidRPr="006E3B9B">
        <w:rPr>
          <w:rFonts w:hint="eastAsia"/>
          <w:lang w:val="en-US" w:eastAsia="zh-CN"/>
        </w:rPr>
        <w:t>2005</w:t>
      </w:r>
      <w:r w:rsidRPr="006E3B9B">
        <w:rPr>
          <w:rFonts w:hint="eastAsia"/>
          <w:lang w:val="en-US" w:eastAsia="zh-CN"/>
        </w:rPr>
        <w:t>年</w:t>
      </w:r>
    </w:p>
    <w:p w14:paraId="4827C155"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1232</w:t>
      </w:r>
      <w:r w:rsidRPr="006E3B9B">
        <w:rPr>
          <w:lang w:val="en-US" w:eastAsia="zh-CN"/>
        </w:rPr>
        <w:t>号决议</w:t>
      </w:r>
      <w:r w:rsidRPr="006E3B9B">
        <w:rPr>
          <w:lang w:val="en-US" w:eastAsia="zh-CN"/>
        </w:rPr>
        <w:tab/>
      </w:r>
      <w:r w:rsidRPr="006E3B9B">
        <w:rPr>
          <w:rFonts w:ascii="SimSun" w:hAnsi="SimSun" w:hint="eastAsia"/>
          <w:lang w:val="en-US" w:eastAsia="zh-CN"/>
        </w:rPr>
        <w:t>有关国际电联</w:t>
      </w:r>
      <w:r w:rsidRPr="006E3B9B">
        <w:rPr>
          <w:lang w:val="en-US" w:eastAsia="zh-CN"/>
        </w:rPr>
        <w:t>2001</w:t>
      </w:r>
      <w:r w:rsidRPr="006E3B9B">
        <w:rPr>
          <w:rFonts w:ascii="SimSun" w:hAnsi="SimSun" w:hint="eastAsia"/>
          <w:lang w:val="en-US" w:eastAsia="zh-CN"/>
        </w:rPr>
        <w:t>年非洲电信展活动的账目</w:t>
      </w:r>
      <w:r w:rsidRPr="006E3B9B">
        <w:rPr>
          <w:lang w:val="en-US" w:eastAsia="zh-CN"/>
        </w:rPr>
        <w:tab/>
      </w:r>
      <w:r w:rsidR="005F6138">
        <w:rPr>
          <w:lang w:val="en-US" w:eastAsia="zh-CN"/>
        </w:rPr>
        <w:tab/>
      </w:r>
      <w:r w:rsidRPr="006E3B9B">
        <w:rPr>
          <w:rFonts w:hint="eastAsia"/>
          <w:lang w:val="en-US" w:eastAsia="zh-CN"/>
        </w:rPr>
        <w:t>2005</w:t>
      </w:r>
      <w:r w:rsidRPr="006E3B9B">
        <w:rPr>
          <w:rFonts w:hint="eastAsia"/>
          <w:lang w:val="en-US" w:eastAsia="zh-CN"/>
        </w:rPr>
        <w:t>年</w:t>
      </w:r>
    </w:p>
    <w:p w14:paraId="4827C156"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1233</w:t>
      </w:r>
      <w:r w:rsidRPr="006E3B9B">
        <w:rPr>
          <w:lang w:val="en-US" w:eastAsia="zh-CN"/>
        </w:rPr>
        <w:t>号决议</w:t>
      </w:r>
      <w:r w:rsidRPr="006E3B9B">
        <w:rPr>
          <w:lang w:val="en-US" w:eastAsia="zh-CN"/>
        </w:rPr>
        <w:tab/>
      </w:r>
      <w:r w:rsidRPr="006E3B9B">
        <w:rPr>
          <w:rFonts w:hint="eastAsia"/>
          <w:lang w:val="en-US" w:eastAsia="zh-CN"/>
        </w:rPr>
        <w:t>有关国际电联</w:t>
      </w:r>
      <w:r w:rsidRPr="006E3B9B">
        <w:rPr>
          <w:lang w:val="en-US" w:eastAsia="zh-CN"/>
        </w:rPr>
        <w:t>2002</w:t>
      </w:r>
      <w:r w:rsidRPr="006E3B9B">
        <w:rPr>
          <w:rFonts w:hint="eastAsia"/>
          <w:lang w:val="en-US" w:eastAsia="zh-CN"/>
        </w:rPr>
        <w:t>年亚洲电信展活动的账目</w:t>
      </w:r>
      <w:r w:rsidRPr="006E3B9B">
        <w:rPr>
          <w:lang w:val="en-US" w:eastAsia="zh-CN"/>
        </w:rPr>
        <w:tab/>
      </w:r>
      <w:r w:rsidR="005F6138">
        <w:rPr>
          <w:lang w:val="en-US" w:eastAsia="zh-CN"/>
        </w:rPr>
        <w:tab/>
      </w:r>
      <w:r w:rsidRPr="006E3B9B">
        <w:rPr>
          <w:rFonts w:hint="eastAsia"/>
          <w:lang w:val="en-US" w:eastAsia="zh-CN"/>
        </w:rPr>
        <w:t>2005</w:t>
      </w:r>
      <w:r w:rsidRPr="006E3B9B">
        <w:rPr>
          <w:rFonts w:hint="eastAsia"/>
          <w:lang w:val="en-US" w:eastAsia="zh-CN"/>
        </w:rPr>
        <w:t>年</w:t>
      </w:r>
    </w:p>
    <w:p w14:paraId="4827C157"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1234</w:t>
      </w:r>
      <w:r w:rsidRPr="006E3B9B">
        <w:rPr>
          <w:lang w:val="en-US" w:eastAsia="zh-CN"/>
        </w:rPr>
        <w:t>号决议</w:t>
      </w:r>
      <w:r w:rsidRPr="006E3B9B">
        <w:rPr>
          <w:lang w:val="en-US" w:eastAsia="zh-CN"/>
        </w:rPr>
        <w:tab/>
      </w:r>
      <w:r w:rsidRPr="006E3B9B">
        <w:rPr>
          <w:rFonts w:ascii="SimSun" w:hAnsi="SimSun" w:hint="eastAsia"/>
          <w:bCs/>
          <w:lang w:val="en-US" w:eastAsia="zh-CN"/>
        </w:rPr>
        <w:t>有关国际电联</w:t>
      </w:r>
      <w:r w:rsidRPr="006E3B9B">
        <w:rPr>
          <w:bCs/>
          <w:lang w:val="en-US" w:eastAsia="zh-CN"/>
        </w:rPr>
        <w:t>2003</w:t>
      </w:r>
      <w:r w:rsidRPr="006E3B9B">
        <w:rPr>
          <w:rFonts w:hint="eastAsia"/>
          <w:bCs/>
          <w:lang w:val="en-US" w:eastAsia="zh-CN"/>
        </w:rPr>
        <w:t>年</w:t>
      </w:r>
      <w:r w:rsidRPr="006E3B9B">
        <w:rPr>
          <w:rFonts w:ascii="SimSun" w:hAnsi="SimSun" w:hint="eastAsia"/>
          <w:bCs/>
          <w:lang w:val="en-US" w:eastAsia="zh-CN"/>
        </w:rPr>
        <w:t>美洲电信展活动的账目</w:t>
      </w:r>
      <w:r w:rsidRPr="006E3B9B">
        <w:rPr>
          <w:lang w:val="en-US" w:eastAsia="zh-CN"/>
        </w:rPr>
        <w:tab/>
      </w:r>
      <w:r w:rsidR="005F6138">
        <w:rPr>
          <w:lang w:val="en-US" w:eastAsia="zh-CN"/>
        </w:rPr>
        <w:tab/>
      </w:r>
      <w:r w:rsidRPr="006E3B9B">
        <w:rPr>
          <w:rFonts w:hint="eastAsia"/>
          <w:lang w:val="en-US" w:eastAsia="zh-CN"/>
        </w:rPr>
        <w:t>2005</w:t>
      </w:r>
      <w:r w:rsidRPr="006E3B9B">
        <w:rPr>
          <w:rFonts w:hint="eastAsia"/>
          <w:lang w:val="en-US" w:eastAsia="zh-CN"/>
        </w:rPr>
        <w:t>年</w:t>
      </w:r>
    </w:p>
    <w:p w14:paraId="4827C158"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1235</w:t>
      </w:r>
      <w:r w:rsidRPr="006E3B9B">
        <w:rPr>
          <w:lang w:val="en-US" w:eastAsia="zh-CN"/>
        </w:rPr>
        <w:t>号决议</w:t>
      </w:r>
      <w:r w:rsidRPr="006E3B9B">
        <w:rPr>
          <w:lang w:val="en-US" w:eastAsia="zh-CN"/>
        </w:rPr>
        <w:tab/>
      </w:r>
      <w:r w:rsidRPr="006E3B9B">
        <w:rPr>
          <w:rFonts w:ascii="SimSun" w:hAnsi="SimSun" w:hint="eastAsia"/>
          <w:bCs/>
          <w:lang w:val="en-US" w:eastAsia="zh-CN"/>
        </w:rPr>
        <w:t>信息通信技术（</w:t>
      </w:r>
      <w:r w:rsidRPr="006E3B9B">
        <w:rPr>
          <w:bCs/>
          <w:lang w:val="en-US" w:eastAsia="zh-CN"/>
        </w:rPr>
        <w:t>ICT</w:t>
      </w:r>
      <w:r w:rsidRPr="006E3B9B">
        <w:rPr>
          <w:rFonts w:ascii="SimSun" w:hAnsi="SimSun" w:hint="eastAsia"/>
          <w:bCs/>
          <w:lang w:val="en-US" w:eastAsia="zh-CN"/>
        </w:rPr>
        <w:t>）资本基金</w:t>
      </w:r>
      <w:r w:rsidRPr="006E3B9B">
        <w:rPr>
          <w:lang w:val="en-US" w:eastAsia="zh-CN"/>
        </w:rPr>
        <w:tab/>
      </w:r>
      <w:r w:rsidR="005F6138">
        <w:rPr>
          <w:lang w:val="en-US" w:eastAsia="zh-CN"/>
        </w:rPr>
        <w:tab/>
      </w:r>
      <w:r w:rsidRPr="006E3B9B">
        <w:rPr>
          <w:rFonts w:hint="eastAsia"/>
          <w:lang w:val="en-US" w:eastAsia="zh-CN"/>
        </w:rPr>
        <w:t>2006</w:t>
      </w:r>
      <w:r w:rsidRPr="006E3B9B">
        <w:rPr>
          <w:rFonts w:hint="eastAsia"/>
          <w:lang w:val="en-US" w:eastAsia="zh-CN"/>
        </w:rPr>
        <w:t>年</w:t>
      </w:r>
    </w:p>
    <w:p w14:paraId="4827C159"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1236</w:t>
      </w:r>
      <w:r w:rsidRPr="006E3B9B">
        <w:rPr>
          <w:lang w:val="en-US" w:eastAsia="zh-CN"/>
        </w:rPr>
        <w:t>号决议</w:t>
      </w:r>
      <w:r w:rsidRPr="006E3B9B">
        <w:rPr>
          <w:lang w:val="en-US" w:eastAsia="zh-CN"/>
        </w:rPr>
        <w:tab/>
      </w:r>
      <w:r w:rsidRPr="006E3B9B">
        <w:rPr>
          <w:color w:val="000000"/>
          <w:lang w:val="en-US" w:eastAsia="zh-CN"/>
        </w:rPr>
        <w:t>2004-2005</w:t>
      </w:r>
      <w:r w:rsidRPr="006E3B9B">
        <w:rPr>
          <w:rFonts w:hint="eastAsia"/>
          <w:color w:val="000000"/>
          <w:lang w:val="en-US" w:eastAsia="zh-CN"/>
        </w:rPr>
        <w:t>年预算修订－拨款转账－电信标准化部门</w:t>
      </w:r>
      <w:r w:rsidRPr="006E3B9B">
        <w:rPr>
          <w:lang w:val="en-US" w:eastAsia="zh-CN"/>
        </w:rPr>
        <w:tab/>
      </w:r>
      <w:r w:rsidR="005F6138">
        <w:rPr>
          <w:lang w:val="en-US" w:eastAsia="zh-CN"/>
        </w:rPr>
        <w:tab/>
      </w:r>
      <w:r w:rsidRPr="006E3B9B">
        <w:rPr>
          <w:rFonts w:hint="eastAsia"/>
          <w:lang w:val="en-US" w:eastAsia="zh-CN"/>
        </w:rPr>
        <w:t>2007</w:t>
      </w:r>
      <w:r w:rsidRPr="006E3B9B">
        <w:rPr>
          <w:rFonts w:hint="eastAsia"/>
          <w:lang w:val="en-US" w:eastAsia="zh-CN"/>
        </w:rPr>
        <w:t>年</w:t>
      </w:r>
    </w:p>
    <w:p w14:paraId="4827C15A" w14:textId="77777777" w:rsidR="006E3B9B" w:rsidRPr="006E3B9B" w:rsidRDefault="006E3B9B" w:rsidP="005F6138">
      <w:pPr>
        <w:pStyle w:val="Appendixref"/>
        <w:rPr>
          <w:lang w:val="en-US" w:eastAsia="zh-CN"/>
        </w:rPr>
      </w:pPr>
      <w:r w:rsidRPr="006E3B9B">
        <w:rPr>
          <w:lang w:val="en-US" w:eastAsia="zh-CN"/>
        </w:rPr>
        <w:t>第</w:t>
      </w:r>
      <w:r w:rsidRPr="006E3B9B">
        <w:rPr>
          <w:lang w:val="en-US" w:eastAsia="zh-CN"/>
        </w:rPr>
        <w:t>1237</w:t>
      </w:r>
      <w:r w:rsidRPr="006E3B9B">
        <w:rPr>
          <w:lang w:val="en-US" w:eastAsia="zh-CN"/>
        </w:rPr>
        <w:t>号决议</w:t>
      </w:r>
      <w:r w:rsidRPr="006E3B9B">
        <w:rPr>
          <w:lang w:val="en-US" w:eastAsia="zh-CN"/>
        </w:rPr>
        <w:tab/>
      </w:r>
      <w:r w:rsidRPr="006E3B9B">
        <w:rPr>
          <w:color w:val="000000"/>
          <w:lang w:val="en-US" w:eastAsia="zh-CN"/>
        </w:rPr>
        <w:t>2004-2005</w:t>
      </w:r>
      <w:r w:rsidRPr="006E3B9B">
        <w:rPr>
          <w:rFonts w:hint="eastAsia"/>
          <w:color w:val="000000"/>
          <w:lang w:val="en-US" w:eastAsia="zh-CN"/>
        </w:rPr>
        <w:t>年预算修订－全球卫星个人移动通信系统</w:t>
      </w:r>
      <w:r w:rsidRPr="006E3B9B">
        <w:rPr>
          <w:lang w:val="en-US" w:eastAsia="zh-CN"/>
        </w:rPr>
        <w:t>（</w:t>
      </w:r>
      <w:r w:rsidRPr="006E3B9B">
        <w:rPr>
          <w:lang w:val="en-US" w:eastAsia="zh-CN"/>
        </w:rPr>
        <w:t>GMPCS</w:t>
      </w:r>
      <w:r w:rsidRPr="006E3B9B">
        <w:rPr>
          <w:lang w:val="en-US" w:eastAsia="zh-CN"/>
        </w:rPr>
        <w:t>）</w:t>
      </w:r>
      <w:r w:rsidRPr="006E3B9B">
        <w:rPr>
          <w:lang w:val="en-US" w:eastAsia="zh-CN"/>
        </w:rPr>
        <w:tab/>
      </w:r>
      <w:r w:rsidR="005F6138">
        <w:rPr>
          <w:lang w:val="en-US" w:eastAsia="zh-CN"/>
        </w:rPr>
        <w:tab/>
      </w:r>
      <w:r w:rsidRPr="006E3B9B">
        <w:rPr>
          <w:rFonts w:hint="eastAsia"/>
          <w:lang w:val="en-US" w:eastAsia="zh-CN"/>
        </w:rPr>
        <w:t>2007</w:t>
      </w:r>
      <w:r w:rsidRPr="006E3B9B">
        <w:rPr>
          <w:rFonts w:hint="eastAsia"/>
          <w:lang w:val="en-US" w:eastAsia="zh-CN"/>
        </w:rPr>
        <w:t>年</w:t>
      </w:r>
    </w:p>
    <w:p w14:paraId="4827C15B" w14:textId="77777777" w:rsidR="006E3B9B" w:rsidRPr="006E3B9B" w:rsidRDefault="006D0EE6" w:rsidP="003E11A1">
      <w:pPr>
        <w:pStyle w:val="Reftitle"/>
        <w:rPr>
          <w:lang w:eastAsia="zh-CN"/>
        </w:rPr>
      </w:pPr>
      <w:r>
        <w:rPr>
          <w:lang w:eastAsia="zh-CN"/>
        </w:rPr>
        <w:t>2005</w:t>
      </w:r>
      <w:r w:rsidR="006E3B9B" w:rsidRPr="006E3B9B">
        <w:rPr>
          <w:rFonts w:hint="eastAsia"/>
          <w:lang w:eastAsia="zh-CN"/>
        </w:rPr>
        <w:t>年会议（</w:t>
      </w:r>
      <w:r w:rsidR="006E3B9B" w:rsidRPr="006E3B9B">
        <w:rPr>
          <w:lang w:eastAsia="zh-CN"/>
        </w:rPr>
        <w:t>2005</w:t>
      </w:r>
      <w:r w:rsidR="006E3B9B" w:rsidRPr="006E3B9B">
        <w:rPr>
          <w:rFonts w:hint="eastAsia"/>
          <w:lang w:eastAsia="zh-CN"/>
        </w:rPr>
        <w:t>年</w:t>
      </w:r>
      <w:r w:rsidR="006E3B9B" w:rsidRPr="006E3B9B">
        <w:rPr>
          <w:rFonts w:hint="eastAsia"/>
          <w:lang w:eastAsia="zh-CN"/>
        </w:rPr>
        <w:t>7</w:t>
      </w:r>
      <w:r w:rsidR="006E3B9B" w:rsidRPr="006E3B9B">
        <w:rPr>
          <w:rFonts w:hint="eastAsia"/>
          <w:lang w:eastAsia="zh-CN"/>
        </w:rPr>
        <w:t>月）</w:t>
      </w:r>
    </w:p>
    <w:p w14:paraId="4827C15C" w14:textId="77777777" w:rsidR="006E3B9B" w:rsidRPr="006E3B9B" w:rsidRDefault="006E3B9B" w:rsidP="004E1793">
      <w:pPr>
        <w:pStyle w:val="Appendixref"/>
        <w:rPr>
          <w:lang w:eastAsia="zh-CN"/>
        </w:rPr>
      </w:pPr>
      <w:r w:rsidRPr="006E3B9B">
        <w:rPr>
          <w:lang w:eastAsia="zh-CN"/>
        </w:rPr>
        <w:t>第</w:t>
      </w:r>
      <w:r w:rsidRPr="006E3B9B">
        <w:rPr>
          <w:lang w:eastAsia="zh-CN"/>
        </w:rPr>
        <w:t>1238</w:t>
      </w:r>
      <w:r w:rsidRPr="006E3B9B">
        <w:rPr>
          <w:lang w:eastAsia="zh-CN"/>
        </w:rPr>
        <w:t>号决议</w:t>
      </w:r>
      <w:r w:rsidRPr="006E3B9B">
        <w:rPr>
          <w:lang w:eastAsia="zh-CN"/>
        </w:rPr>
        <w:tab/>
      </w:r>
      <w:r w:rsidRPr="006E3B9B">
        <w:rPr>
          <w:lang w:val="en-US" w:eastAsia="zh-CN"/>
        </w:rPr>
        <w:t>国际电联六种正式语文和工作语文的使用</w:t>
      </w:r>
      <w:r w:rsidR="004E1793">
        <w:rPr>
          <w:lang w:val="en-US" w:eastAsia="zh-CN"/>
        </w:rPr>
        <w:tab/>
      </w:r>
      <w:r w:rsidRPr="006E3B9B">
        <w:rPr>
          <w:lang w:eastAsia="zh-CN"/>
        </w:rPr>
        <w:tab/>
        <w:t>7.2</w:t>
      </w:r>
    </w:p>
    <w:p w14:paraId="4827C15D" w14:textId="77777777" w:rsidR="006E3B9B" w:rsidRPr="006E3B9B" w:rsidRDefault="006E3B9B" w:rsidP="004E1793">
      <w:pPr>
        <w:pStyle w:val="Appendixref"/>
        <w:rPr>
          <w:lang w:eastAsia="zh-CN"/>
        </w:rPr>
      </w:pPr>
      <w:r w:rsidRPr="006E3B9B">
        <w:rPr>
          <w:lang w:eastAsia="zh-CN"/>
        </w:rPr>
        <w:t>第</w:t>
      </w:r>
      <w:r w:rsidRPr="006E3B9B">
        <w:rPr>
          <w:lang w:eastAsia="zh-CN"/>
        </w:rPr>
        <w:t>1239</w:t>
      </w:r>
      <w:r w:rsidRPr="006E3B9B">
        <w:rPr>
          <w:lang w:eastAsia="zh-CN"/>
        </w:rPr>
        <w:t>号决议</w:t>
      </w:r>
      <w:r w:rsidRPr="006E3B9B">
        <w:rPr>
          <w:lang w:eastAsia="zh-CN"/>
        </w:rPr>
        <w:tab/>
      </w:r>
      <w:r w:rsidRPr="006E3B9B">
        <w:rPr>
          <w:lang w:val="en-US" w:eastAsia="zh-CN"/>
        </w:rPr>
        <w:t>无线电通信部门</w:t>
      </w:r>
      <w:r w:rsidRPr="006E3B9B">
        <w:rPr>
          <w:lang w:eastAsia="zh-CN"/>
        </w:rPr>
        <w:t>2005-2008</w:t>
      </w:r>
      <w:r w:rsidRPr="006E3B9B">
        <w:rPr>
          <w:lang w:val="en-US" w:eastAsia="zh-CN"/>
        </w:rPr>
        <w:t>年四年期滚动式《运作规划》</w:t>
      </w:r>
      <w:r w:rsidR="004E1793">
        <w:rPr>
          <w:lang w:val="en-US" w:eastAsia="zh-CN"/>
        </w:rPr>
        <w:tab/>
      </w:r>
      <w:r w:rsidRPr="006E3B9B">
        <w:rPr>
          <w:lang w:eastAsia="zh-CN"/>
        </w:rPr>
        <w:tab/>
      </w:r>
      <w:r w:rsidRPr="006E3B9B">
        <w:rPr>
          <w:rFonts w:hint="eastAsia"/>
          <w:lang w:eastAsia="zh-CN"/>
        </w:rPr>
        <w:t>2006</w:t>
      </w:r>
      <w:r w:rsidRPr="006E3B9B">
        <w:rPr>
          <w:rFonts w:hint="eastAsia"/>
          <w:lang w:eastAsia="zh-CN"/>
        </w:rPr>
        <w:t>年</w:t>
      </w:r>
    </w:p>
    <w:p w14:paraId="4827C15E" w14:textId="77777777" w:rsidR="006E3B9B" w:rsidRPr="006E3B9B" w:rsidRDefault="006E3B9B" w:rsidP="004E1793">
      <w:pPr>
        <w:pStyle w:val="Appendixref"/>
        <w:rPr>
          <w:lang w:eastAsia="zh-CN"/>
        </w:rPr>
      </w:pPr>
      <w:r w:rsidRPr="006E3B9B">
        <w:rPr>
          <w:lang w:eastAsia="zh-CN"/>
        </w:rPr>
        <w:t>第</w:t>
      </w:r>
      <w:r w:rsidRPr="006E3B9B">
        <w:rPr>
          <w:lang w:eastAsia="zh-CN"/>
        </w:rPr>
        <w:t>1240</w:t>
      </w:r>
      <w:r w:rsidRPr="006E3B9B">
        <w:rPr>
          <w:lang w:eastAsia="zh-CN"/>
        </w:rPr>
        <w:t>号决议</w:t>
      </w:r>
      <w:r w:rsidRPr="006E3B9B">
        <w:rPr>
          <w:lang w:eastAsia="zh-CN"/>
        </w:rPr>
        <w:tab/>
      </w:r>
      <w:r w:rsidRPr="006E3B9B">
        <w:rPr>
          <w:lang w:val="en-US" w:eastAsia="zh-CN"/>
        </w:rPr>
        <w:t>电信标准化部门</w:t>
      </w:r>
      <w:r w:rsidRPr="006E3B9B">
        <w:rPr>
          <w:lang w:eastAsia="zh-CN"/>
        </w:rPr>
        <w:t>2005-2008</w:t>
      </w:r>
      <w:r w:rsidRPr="006E3B9B">
        <w:rPr>
          <w:lang w:val="en-US" w:eastAsia="zh-CN"/>
        </w:rPr>
        <w:t>年四年期滚动式《运作规划》</w:t>
      </w:r>
      <w:r w:rsidR="004E1793">
        <w:rPr>
          <w:lang w:val="en-US" w:eastAsia="zh-CN"/>
        </w:rPr>
        <w:tab/>
      </w:r>
      <w:r w:rsidRPr="006E3B9B">
        <w:rPr>
          <w:lang w:eastAsia="zh-CN"/>
        </w:rPr>
        <w:tab/>
      </w:r>
      <w:r w:rsidRPr="006E3B9B">
        <w:rPr>
          <w:rFonts w:hint="eastAsia"/>
          <w:lang w:eastAsia="zh-CN"/>
        </w:rPr>
        <w:t>2006</w:t>
      </w:r>
      <w:r w:rsidRPr="006E3B9B">
        <w:rPr>
          <w:rFonts w:hint="eastAsia"/>
          <w:lang w:eastAsia="zh-CN"/>
        </w:rPr>
        <w:t>年</w:t>
      </w:r>
    </w:p>
    <w:p w14:paraId="4827C15F" w14:textId="77777777" w:rsidR="00091112" w:rsidRDefault="00091112">
      <w:pPr>
        <w:tabs>
          <w:tab w:val="clear" w:pos="794"/>
          <w:tab w:val="clear" w:pos="1191"/>
          <w:tab w:val="clear" w:pos="1588"/>
          <w:tab w:val="clear" w:pos="1985"/>
        </w:tabs>
        <w:overflowPunct/>
        <w:autoSpaceDE/>
        <w:autoSpaceDN/>
        <w:adjustRightInd/>
        <w:spacing w:before="0"/>
        <w:jc w:val="left"/>
        <w:textAlignment w:val="auto"/>
        <w:rPr>
          <w:sz w:val="20"/>
          <w:lang w:eastAsia="zh-CN"/>
        </w:rPr>
      </w:pPr>
      <w:r>
        <w:rPr>
          <w:lang w:eastAsia="zh-CN"/>
        </w:rPr>
        <w:br w:type="page"/>
      </w:r>
    </w:p>
    <w:p w14:paraId="4827C160" w14:textId="77777777" w:rsidR="006E3B9B" w:rsidRPr="006E3B9B" w:rsidRDefault="006E3B9B" w:rsidP="004E1793">
      <w:pPr>
        <w:pStyle w:val="Appendixref"/>
        <w:rPr>
          <w:lang w:eastAsia="zh-CN"/>
        </w:rPr>
      </w:pPr>
      <w:r w:rsidRPr="006E3B9B">
        <w:rPr>
          <w:lang w:eastAsia="zh-CN"/>
        </w:rPr>
        <w:lastRenderedPageBreak/>
        <w:t>第</w:t>
      </w:r>
      <w:r w:rsidRPr="006E3B9B">
        <w:rPr>
          <w:lang w:eastAsia="zh-CN"/>
        </w:rPr>
        <w:t>1241</w:t>
      </w:r>
      <w:r w:rsidRPr="006E3B9B">
        <w:rPr>
          <w:lang w:eastAsia="zh-CN"/>
        </w:rPr>
        <w:t>号决议</w:t>
      </w:r>
      <w:r w:rsidRPr="006E3B9B">
        <w:rPr>
          <w:lang w:eastAsia="zh-CN"/>
        </w:rPr>
        <w:tab/>
      </w:r>
      <w:r w:rsidRPr="006E3B9B">
        <w:rPr>
          <w:lang w:val="en-US" w:eastAsia="zh-CN"/>
        </w:rPr>
        <w:t>电信发展部门</w:t>
      </w:r>
      <w:r w:rsidRPr="006E3B9B">
        <w:rPr>
          <w:lang w:eastAsia="zh-CN"/>
        </w:rPr>
        <w:t>2005-2008</w:t>
      </w:r>
      <w:r w:rsidRPr="006E3B9B">
        <w:rPr>
          <w:lang w:eastAsia="zh-CN"/>
        </w:rPr>
        <w:t>年四年期滚动式《运作规划》</w:t>
      </w:r>
      <w:r w:rsidR="004E1793">
        <w:rPr>
          <w:lang w:eastAsia="zh-CN"/>
        </w:rPr>
        <w:tab/>
      </w:r>
      <w:r w:rsidRPr="006E3B9B">
        <w:rPr>
          <w:lang w:eastAsia="zh-CN"/>
        </w:rPr>
        <w:tab/>
      </w:r>
      <w:r w:rsidRPr="006E3B9B">
        <w:rPr>
          <w:rFonts w:hint="eastAsia"/>
          <w:lang w:eastAsia="zh-CN"/>
        </w:rPr>
        <w:t>2006</w:t>
      </w:r>
      <w:r w:rsidRPr="006E3B9B">
        <w:rPr>
          <w:rFonts w:hint="eastAsia"/>
          <w:lang w:eastAsia="zh-CN"/>
        </w:rPr>
        <w:t>年</w:t>
      </w:r>
    </w:p>
    <w:p w14:paraId="4827C161" w14:textId="77777777" w:rsidR="006E3B9B" w:rsidRPr="006E3B9B" w:rsidRDefault="006E3B9B" w:rsidP="004E1793">
      <w:pPr>
        <w:pStyle w:val="Appendixref"/>
        <w:rPr>
          <w:lang w:eastAsia="zh-CN"/>
        </w:rPr>
      </w:pPr>
      <w:r w:rsidRPr="006E3B9B">
        <w:rPr>
          <w:lang w:eastAsia="zh-CN"/>
        </w:rPr>
        <w:t>第</w:t>
      </w:r>
      <w:r w:rsidRPr="006E3B9B">
        <w:rPr>
          <w:lang w:eastAsia="zh-CN"/>
        </w:rPr>
        <w:t>1242</w:t>
      </w:r>
      <w:r w:rsidRPr="006E3B9B">
        <w:rPr>
          <w:lang w:eastAsia="zh-CN"/>
        </w:rPr>
        <w:t>号决议</w:t>
      </w:r>
      <w:r w:rsidRPr="006E3B9B">
        <w:rPr>
          <w:lang w:eastAsia="zh-CN"/>
        </w:rPr>
        <w:tab/>
      </w:r>
      <w:r w:rsidRPr="006E3B9B">
        <w:rPr>
          <w:lang w:eastAsia="zh-CN"/>
        </w:rPr>
        <w:t>总秘书处</w:t>
      </w:r>
      <w:r w:rsidRPr="006E3B9B">
        <w:rPr>
          <w:lang w:eastAsia="zh-CN"/>
        </w:rPr>
        <w:t>2005-2008</w:t>
      </w:r>
      <w:r w:rsidRPr="006E3B9B">
        <w:rPr>
          <w:lang w:eastAsia="zh-CN"/>
        </w:rPr>
        <w:t>年</w:t>
      </w:r>
      <w:r w:rsidRPr="006E3B9B">
        <w:rPr>
          <w:bCs/>
          <w:lang w:eastAsia="zh-CN"/>
        </w:rPr>
        <w:t>四年期滚动式《运作规划》</w:t>
      </w:r>
      <w:r w:rsidR="004E1793">
        <w:rPr>
          <w:bCs/>
          <w:lang w:eastAsia="zh-CN"/>
        </w:rPr>
        <w:tab/>
      </w:r>
      <w:r w:rsidRPr="006E3B9B">
        <w:rPr>
          <w:lang w:eastAsia="zh-CN"/>
        </w:rPr>
        <w:tab/>
      </w:r>
      <w:r w:rsidRPr="006E3B9B">
        <w:rPr>
          <w:rFonts w:hint="eastAsia"/>
          <w:lang w:eastAsia="zh-CN"/>
        </w:rPr>
        <w:t>2006</w:t>
      </w:r>
      <w:r w:rsidRPr="006E3B9B">
        <w:rPr>
          <w:rFonts w:hint="eastAsia"/>
          <w:lang w:eastAsia="zh-CN"/>
        </w:rPr>
        <w:t>年</w:t>
      </w:r>
    </w:p>
    <w:p w14:paraId="4827C162" w14:textId="77777777" w:rsidR="006E3B9B" w:rsidRPr="006E3B9B" w:rsidRDefault="006E3B9B" w:rsidP="004E1793">
      <w:pPr>
        <w:pStyle w:val="Appendixref"/>
        <w:rPr>
          <w:lang w:eastAsia="zh-CN"/>
        </w:rPr>
      </w:pPr>
      <w:r w:rsidRPr="006E3B9B">
        <w:rPr>
          <w:lang w:eastAsia="zh-CN"/>
        </w:rPr>
        <w:t>第</w:t>
      </w:r>
      <w:r w:rsidRPr="006E3B9B">
        <w:rPr>
          <w:lang w:eastAsia="zh-CN"/>
        </w:rPr>
        <w:t>1243</w:t>
      </w:r>
      <w:r w:rsidRPr="006E3B9B">
        <w:rPr>
          <w:lang w:eastAsia="zh-CN"/>
        </w:rPr>
        <w:t>号决议</w:t>
      </w:r>
      <w:r w:rsidRPr="006E3B9B">
        <w:rPr>
          <w:lang w:eastAsia="zh-CN"/>
        </w:rPr>
        <w:tab/>
      </w:r>
      <w:r w:rsidRPr="006E3B9B">
        <w:rPr>
          <w:lang w:val="en-US" w:eastAsia="zh-CN"/>
        </w:rPr>
        <w:t>继续实施理事会的各项建议（第</w:t>
      </w:r>
      <w:r w:rsidRPr="006E3B9B">
        <w:rPr>
          <w:lang w:val="en-US" w:eastAsia="zh-CN"/>
        </w:rPr>
        <w:t>1216</w:t>
      </w:r>
      <w:r w:rsidRPr="006E3B9B">
        <w:rPr>
          <w:lang w:val="en-US" w:eastAsia="zh-CN"/>
        </w:rPr>
        <w:t>号决议）</w:t>
      </w:r>
      <w:r w:rsidR="004E1793">
        <w:rPr>
          <w:lang w:val="en-US" w:eastAsia="zh-CN"/>
        </w:rPr>
        <w:tab/>
      </w:r>
      <w:r w:rsidRPr="006E3B9B">
        <w:rPr>
          <w:lang w:eastAsia="zh-CN"/>
        </w:rPr>
        <w:tab/>
      </w:r>
      <w:r w:rsidR="006C1EBF">
        <w:rPr>
          <w:rFonts w:hint="eastAsia"/>
          <w:lang w:eastAsia="zh-CN"/>
        </w:rPr>
        <w:t>2010</w:t>
      </w:r>
      <w:r w:rsidR="006C1EBF" w:rsidRPr="006E3B9B">
        <w:rPr>
          <w:rFonts w:hint="eastAsia"/>
          <w:lang w:eastAsia="zh-CN"/>
        </w:rPr>
        <w:t>年</w:t>
      </w:r>
    </w:p>
    <w:p w14:paraId="4827C163" w14:textId="77777777" w:rsidR="006E3B9B" w:rsidRPr="006E3B9B" w:rsidRDefault="006E3B9B" w:rsidP="004E1793">
      <w:pPr>
        <w:pStyle w:val="Appendixref"/>
        <w:rPr>
          <w:lang w:eastAsia="zh-CN"/>
        </w:rPr>
      </w:pPr>
      <w:r w:rsidRPr="006E3B9B">
        <w:rPr>
          <w:lang w:eastAsia="zh-CN"/>
        </w:rPr>
        <w:t>第</w:t>
      </w:r>
      <w:r w:rsidRPr="006E3B9B">
        <w:rPr>
          <w:lang w:eastAsia="zh-CN"/>
        </w:rPr>
        <w:t>1244</w:t>
      </w:r>
      <w:r w:rsidRPr="006E3B9B">
        <w:rPr>
          <w:lang w:eastAsia="zh-CN"/>
        </w:rPr>
        <w:t>号决议</w:t>
      </w:r>
      <w:r w:rsidRPr="006E3B9B">
        <w:rPr>
          <w:lang w:eastAsia="zh-CN"/>
        </w:rPr>
        <w:tab/>
      </w:r>
      <w:r w:rsidRPr="006E3B9B">
        <w:rPr>
          <w:lang w:eastAsia="zh-CN"/>
        </w:rPr>
        <w:t>国际电联在信息社会世界峰会突尼斯阶段会议及实施和后续工作中的作用</w:t>
      </w:r>
      <w:r w:rsidR="001864A6">
        <w:rPr>
          <w:lang w:eastAsia="zh-CN"/>
        </w:rPr>
        <w:tab/>
      </w:r>
      <w:r w:rsidR="004E1793">
        <w:rPr>
          <w:lang w:eastAsia="zh-CN"/>
        </w:rPr>
        <w:tab/>
      </w:r>
      <w:r w:rsidR="001864A6">
        <w:rPr>
          <w:rFonts w:hint="eastAsia"/>
          <w:lang w:eastAsia="zh-CN"/>
        </w:rPr>
        <w:t>2008</w:t>
      </w:r>
      <w:r w:rsidR="001864A6">
        <w:rPr>
          <w:rFonts w:hint="eastAsia"/>
          <w:lang w:eastAsia="zh-CN"/>
        </w:rPr>
        <w:t>年</w:t>
      </w:r>
    </w:p>
    <w:p w14:paraId="4827C164" w14:textId="77777777" w:rsidR="006E3B9B" w:rsidRPr="006E3B9B" w:rsidRDefault="006E3B9B" w:rsidP="004E1793">
      <w:pPr>
        <w:pStyle w:val="Appendixref"/>
        <w:rPr>
          <w:lang w:eastAsia="zh-CN"/>
        </w:rPr>
      </w:pPr>
      <w:r w:rsidRPr="006E3B9B">
        <w:rPr>
          <w:lang w:eastAsia="zh-CN"/>
        </w:rPr>
        <w:t>第</w:t>
      </w:r>
      <w:r w:rsidRPr="006E3B9B">
        <w:rPr>
          <w:lang w:eastAsia="zh-CN"/>
        </w:rPr>
        <w:t>1245</w:t>
      </w:r>
      <w:r w:rsidRPr="006E3B9B">
        <w:rPr>
          <w:lang w:eastAsia="zh-CN"/>
        </w:rPr>
        <w:t>号决议</w:t>
      </w:r>
      <w:r w:rsidRPr="006E3B9B">
        <w:rPr>
          <w:lang w:eastAsia="zh-CN"/>
        </w:rPr>
        <w:tab/>
      </w:r>
      <w:r w:rsidRPr="006E3B9B">
        <w:rPr>
          <w:bCs/>
          <w:lang w:eastAsia="zh-CN"/>
        </w:rPr>
        <w:t>国际电联选任官员的服务条件</w:t>
      </w:r>
      <w:r w:rsidR="004E1793">
        <w:rPr>
          <w:bCs/>
          <w:lang w:eastAsia="zh-CN"/>
        </w:rPr>
        <w:tab/>
      </w:r>
      <w:r w:rsidRPr="006E3B9B">
        <w:rPr>
          <w:lang w:eastAsia="zh-CN"/>
        </w:rPr>
        <w:tab/>
      </w:r>
      <w:r w:rsidR="001864A6">
        <w:rPr>
          <w:rFonts w:hint="eastAsia"/>
          <w:lang w:eastAsia="zh-CN"/>
        </w:rPr>
        <w:t>2008</w:t>
      </w:r>
      <w:r w:rsidR="001864A6">
        <w:rPr>
          <w:rFonts w:hint="eastAsia"/>
          <w:lang w:eastAsia="zh-CN"/>
        </w:rPr>
        <w:t>年</w:t>
      </w:r>
    </w:p>
    <w:p w14:paraId="4827C165" w14:textId="77777777" w:rsidR="006E3B9B" w:rsidRPr="006E3B9B" w:rsidRDefault="006E3B9B" w:rsidP="004E1793">
      <w:pPr>
        <w:pStyle w:val="Appendixref"/>
        <w:rPr>
          <w:lang w:eastAsia="zh-CN"/>
        </w:rPr>
      </w:pPr>
      <w:r w:rsidRPr="006E3B9B">
        <w:rPr>
          <w:lang w:eastAsia="zh-CN"/>
        </w:rPr>
        <w:t>第</w:t>
      </w:r>
      <w:r w:rsidRPr="006E3B9B">
        <w:rPr>
          <w:lang w:eastAsia="zh-CN"/>
        </w:rPr>
        <w:t>1246</w:t>
      </w:r>
      <w:r w:rsidRPr="006E3B9B">
        <w:rPr>
          <w:lang w:eastAsia="zh-CN"/>
        </w:rPr>
        <w:t>号决议</w:t>
      </w:r>
      <w:r w:rsidRPr="006E3B9B">
        <w:rPr>
          <w:lang w:eastAsia="zh-CN"/>
        </w:rPr>
        <w:tab/>
      </w:r>
      <w:r w:rsidRPr="006E3B9B">
        <w:rPr>
          <w:lang w:eastAsia="zh-CN"/>
        </w:rPr>
        <w:t>国际电联职员养恤金委员会的委员</w:t>
      </w:r>
      <w:r w:rsidR="004E1793">
        <w:rPr>
          <w:lang w:eastAsia="zh-CN"/>
        </w:rPr>
        <w:tab/>
      </w:r>
      <w:r w:rsidRPr="006E3B9B">
        <w:rPr>
          <w:lang w:eastAsia="zh-CN"/>
        </w:rPr>
        <w:tab/>
      </w:r>
      <w:r w:rsidRPr="006E3B9B">
        <w:rPr>
          <w:rFonts w:hint="eastAsia"/>
          <w:lang w:eastAsia="zh-CN"/>
        </w:rPr>
        <w:t>2006</w:t>
      </w:r>
      <w:r w:rsidRPr="006E3B9B">
        <w:rPr>
          <w:rFonts w:hint="eastAsia"/>
          <w:lang w:eastAsia="zh-CN"/>
        </w:rPr>
        <w:t>年</w:t>
      </w:r>
    </w:p>
    <w:p w14:paraId="4827C166" w14:textId="77777777" w:rsidR="006E3B9B" w:rsidRPr="006E3B9B" w:rsidRDefault="006E3B9B" w:rsidP="004E1793">
      <w:pPr>
        <w:pStyle w:val="Appendixref"/>
        <w:rPr>
          <w:lang w:eastAsia="zh-CN"/>
        </w:rPr>
      </w:pPr>
      <w:r w:rsidRPr="006E3B9B">
        <w:rPr>
          <w:lang w:eastAsia="zh-CN"/>
        </w:rPr>
        <w:t>第</w:t>
      </w:r>
      <w:r w:rsidRPr="006E3B9B">
        <w:rPr>
          <w:lang w:eastAsia="zh-CN"/>
        </w:rPr>
        <w:t>1247</w:t>
      </w:r>
      <w:r w:rsidRPr="006E3B9B">
        <w:rPr>
          <w:lang w:eastAsia="zh-CN"/>
        </w:rPr>
        <w:t>号决议</w:t>
      </w:r>
      <w:r w:rsidRPr="006E3B9B">
        <w:rPr>
          <w:lang w:eastAsia="zh-CN"/>
        </w:rPr>
        <w:tab/>
      </w:r>
      <w:r w:rsidRPr="006E3B9B">
        <w:rPr>
          <w:bCs/>
          <w:lang w:eastAsia="zh-CN"/>
        </w:rPr>
        <w:t>摊付国际电联费用的会费份额</w:t>
      </w:r>
      <w:r w:rsidR="004E1793">
        <w:rPr>
          <w:bCs/>
          <w:lang w:eastAsia="zh-CN"/>
        </w:rPr>
        <w:tab/>
      </w:r>
      <w:r w:rsidRPr="006E3B9B">
        <w:rPr>
          <w:lang w:eastAsia="zh-CN"/>
        </w:rPr>
        <w:tab/>
        <w:t>2</w:t>
      </w:r>
      <w:r w:rsidR="003854B6">
        <w:rPr>
          <w:lang w:eastAsia="zh-CN"/>
        </w:rPr>
        <w:t>012</w:t>
      </w:r>
      <w:r w:rsidR="003854B6">
        <w:rPr>
          <w:rFonts w:hint="eastAsia"/>
          <w:lang w:eastAsia="zh-CN"/>
        </w:rPr>
        <w:t>年</w:t>
      </w:r>
    </w:p>
    <w:p w14:paraId="4827C167" w14:textId="77777777" w:rsidR="006E3B9B" w:rsidRPr="006E3B9B" w:rsidRDefault="006E3B9B" w:rsidP="004E1793">
      <w:pPr>
        <w:pStyle w:val="Appendixref"/>
        <w:rPr>
          <w:lang w:eastAsia="zh-CN"/>
        </w:rPr>
      </w:pPr>
      <w:r w:rsidRPr="006E3B9B">
        <w:rPr>
          <w:lang w:eastAsia="zh-CN"/>
        </w:rPr>
        <w:t>第</w:t>
      </w:r>
      <w:r w:rsidRPr="006E3B9B">
        <w:rPr>
          <w:lang w:eastAsia="zh-CN"/>
        </w:rPr>
        <w:t>1248</w:t>
      </w:r>
      <w:r w:rsidRPr="006E3B9B">
        <w:rPr>
          <w:lang w:eastAsia="zh-CN"/>
        </w:rPr>
        <w:t>号决议</w:t>
      </w:r>
      <w:r w:rsidRPr="006E3B9B">
        <w:rPr>
          <w:lang w:eastAsia="zh-CN"/>
        </w:rPr>
        <w:tab/>
      </w:r>
      <w:r w:rsidRPr="006E3B9B">
        <w:rPr>
          <w:bCs/>
          <w:lang w:eastAsia="zh-CN"/>
        </w:rPr>
        <w:t>国际电联《财务规则》修正案和建议的新</w:t>
      </w:r>
      <w:r w:rsidRPr="006E3B9B">
        <w:rPr>
          <w:rFonts w:hint="eastAsia"/>
          <w:bCs/>
          <w:lang w:eastAsia="zh-CN"/>
        </w:rPr>
        <w:t>的</w:t>
      </w:r>
      <w:r w:rsidRPr="006E3B9B">
        <w:rPr>
          <w:bCs/>
          <w:lang w:eastAsia="zh-CN"/>
        </w:rPr>
        <w:t>《财务细则》</w:t>
      </w:r>
      <w:r w:rsidR="004E1793">
        <w:rPr>
          <w:bCs/>
          <w:lang w:eastAsia="zh-CN"/>
        </w:rPr>
        <w:tab/>
      </w:r>
      <w:r w:rsidRPr="006E3B9B">
        <w:rPr>
          <w:lang w:eastAsia="zh-CN"/>
        </w:rPr>
        <w:tab/>
      </w:r>
      <w:r w:rsidR="001864A6">
        <w:rPr>
          <w:rFonts w:hint="eastAsia"/>
          <w:lang w:eastAsia="zh-CN"/>
        </w:rPr>
        <w:t>2008</w:t>
      </w:r>
      <w:r w:rsidR="001864A6">
        <w:rPr>
          <w:rFonts w:hint="eastAsia"/>
          <w:lang w:eastAsia="zh-CN"/>
        </w:rPr>
        <w:t>年</w:t>
      </w:r>
    </w:p>
    <w:p w14:paraId="4827C168" w14:textId="77777777" w:rsidR="006E3B9B" w:rsidRPr="006E3B9B" w:rsidRDefault="006E3B9B" w:rsidP="004E1793">
      <w:pPr>
        <w:pStyle w:val="Appendixref"/>
        <w:rPr>
          <w:lang w:eastAsia="zh-CN"/>
        </w:rPr>
      </w:pPr>
      <w:r w:rsidRPr="006E3B9B">
        <w:rPr>
          <w:lang w:eastAsia="zh-CN"/>
        </w:rPr>
        <w:t>第</w:t>
      </w:r>
      <w:r w:rsidRPr="006E3B9B">
        <w:rPr>
          <w:lang w:eastAsia="zh-CN"/>
        </w:rPr>
        <w:t>1249</w:t>
      </w:r>
      <w:r w:rsidRPr="006E3B9B">
        <w:rPr>
          <w:lang w:eastAsia="zh-CN"/>
        </w:rPr>
        <w:t>号决议</w:t>
      </w:r>
      <w:r w:rsidRPr="006E3B9B">
        <w:rPr>
          <w:lang w:eastAsia="zh-CN"/>
        </w:rPr>
        <w:tab/>
      </w:r>
      <w:r w:rsidRPr="006E3B9B">
        <w:rPr>
          <w:bCs/>
          <w:lang w:eastAsia="zh-CN"/>
        </w:rPr>
        <w:t>2002-2003</w:t>
      </w:r>
      <w:r w:rsidRPr="006E3B9B">
        <w:rPr>
          <w:bCs/>
          <w:lang w:eastAsia="zh-CN"/>
        </w:rPr>
        <w:t>双年度财务工作报告</w:t>
      </w:r>
      <w:r w:rsidRPr="006E3B9B">
        <w:rPr>
          <w:lang w:eastAsia="zh-CN"/>
        </w:rPr>
        <w:tab/>
      </w:r>
      <w:r w:rsidR="004E1793">
        <w:rPr>
          <w:lang w:eastAsia="zh-CN"/>
        </w:rPr>
        <w:tab/>
      </w:r>
      <w:r w:rsidRPr="006E3B9B">
        <w:rPr>
          <w:rFonts w:hint="eastAsia"/>
          <w:lang w:eastAsia="zh-CN"/>
        </w:rPr>
        <w:t>2007</w:t>
      </w:r>
      <w:r w:rsidRPr="006E3B9B">
        <w:rPr>
          <w:rFonts w:hint="eastAsia"/>
          <w:lang w:eastAsia="zh-CN"/>
        </w:rPr>
        <w:t>年</w:t>
      </w:r>
    </w:p>
    <w:p w14:paraId="4827C169" w14:textId="77777777" w:rsidR="006E3B9B" w:rsidRPr="006E3B9B" w:rsidRDefault="006E3B9B" w:rsidP="004E1793">
      <w:pPr>
        <w:pStyle w:val="Appendixref"/>
        <w:rPr>
          <w:lang w:eastAsia="zh-CN"/>
        </w:rPr>
      </w:pPr>
      <w:r w:rsidRPr="006E3B9B">
        <w:rPr>
          <w:lang w:eastAsia="zh-CN"/>
        </w:rPr>
        <w:t>第</w:t>
      </w:r>
      <w:r w:rsidRPr="006E3B9B">
        <w:rPr>
          <w:lang w:eastAsia="zh-CN"/>
        </w:rPr>
        <w:t>1250</w:t>
      </w:r>
      <w:r w:rsidRPr="006E3B9B">
        <w:rPr>
          <w:lang w:eastAsia="zh-CN"/>
        </w:rPr>
        <w:t>号决议</w:t>
      </w:r>
      <w:r w:rsidRPr="006E3B9B">
        <w:rPr>
          <w:lang w:eastAsia="zh-CN"/>
        </w:rPr>
        <w:tab/>
      </w:r>
      <w:r w:rsidRPr="006E3B9B">
        <w:rPr>
          <w:lang w:eastAsia="zh-CN"/>
        </w:rPr>
        <w:t>国际电信联盟</w:t>
      </w:r>
      <w:r w:rsidRPr="006E3B9B">
        <w:rPr>
          <w:lang w:eastAsia="zh-CN"/>
        </w:rPr>
        <w:t>2006-2007</w:t>
      </w:r>
      <w:r w:rsidRPr="006E3B9B">
        <w:rPr>
          <w:lang w:eastAsia="zh-CN"/>
        </w:rPr>
        <w:t>双年度预算草案</w:t>
      </w:r>
      <w:r w:rsidR="001864A6">
        <w:rPr>
          <w:lang w:eastAsia="zh-CN"/>
        </w:rPr>
        <w:tab/>
      </w:r>
      <w:r w:rsidR="004E1793">
        <w:rPr>
          <w:lang w:eastAsia="zh-CN"/>
        </w:rPr>
        <w:tab/>
      </w:r>
      <w:r w:rsidR="001864A6">
        <w:rPr>
          <w:rFonts w:hint="eastAsia"/>
          <w:lang w:eastAsia="zh-CN"/>
        </w:rPr>
        <w:t>2008</w:t>
      </w:r>
      <w:r w:rsidR="001864A6">
        <w:rPr>
          <w:rFonts w:hint="eastAsia"/>
          <w:lang w:eastAsia="zh-CN"/>
        </w:rPr>
        <w:t>年</w:t>
      </w:r>
    </w:p>
    <w:p w14:paraId="4827C16A" w14:textId="77777777" w:rsidR="006E3B9B" w:rsidRPr="006E3B9B" w:rsidRDefault="006E3B9B" w:rsidP="004E1793">
      <w:pPr>
        <w:pStyle w:val="Appendixref"/>
        <w:rPr>
          <w:lang w:eastAsia="zh-CN"/>
        </w:rPr>
      </w:pPr>
      <w:r w:rsidRPr="006E3B9B">
        <w:rPr>
          <w:lang w:eastAsia="zh-CN"/>
        </w:rPr>
        <w:t>第</w:t>
      </w:r>
      <w:r w:rsidRPr="006E3B9B">
        <w:rPr>
          <w:lang w:eastAsia="zh-CN"/>
        </w:rPr>
        <w:t>1251</w:t>
      </w:r>
      <w:r w:rsidRPr="006E3B9B">
        <w:rPr>
          <w:lang w:eastAsia="zh-CN"/>
        </w:rPr>
        <w:t>号决议</w:t>
      </w:r>
      <w:r w:rsidRPr="006E3B9B">
        <w:rPr>
          <w:lang w:eastAsia="zh-CN"/>
        </w:rPr>
        <w:tab/>
        <w:t>2004</w:t>
      </w:r>
      <w:r w:rsidRPr="006E3B9B">
        <w:rPr>
          <w:lang w:eastAsia="zh-CN"/>
        </w:rPr>
        <w:t>财年财务工作报告</w:t>
      </w:r>
      <w:r w:rsidRPr="006E3B9B">
        <w:rPr>
          <w:lang w:eastAsia="zh-CN"/>
        </w:rPr>
        <w:tab/>
      </w:r>
      <w:r w:rsidR="004E1793">
        <w:rPr>
          <w:lang w:eastAsia="zh-CN"/>
        </w:rPr>
        <w:tab/>
      </w:r>
      <w:r w:rsidRPr="006E3B9B">
        <w:rPr>
          <w:rFonts w:hint="eastAsia"/>
          <w:lang w:eastAsia="zh-CN"/>
        </w:rPr>
        <w:t>2007</w:t>
      </w:r>
      <w:r w:rsidRPr="006E3B9B">
        <w:rPr>
          <w:rFonts w:hint="eastAsia"/>
          <w:lang w:eastAsia="zh-CN"/>
        </w:rPr>
        <w:t>年</w:t>
      </w:r>
    </w:p>
    <w:p w14:paraId="4827C16B" w14:textId="77777777" w:rsidR="006E3B9B" w:rsidRPr="006E3B9B" w:rsidRDefault="006E3B9B" w:rsidP="004E1793">
      <w:pPr>
        <w:pStyle w:val="Appendixref"/>
        <w:rPr>
          <w:lang w:eastAsia="zh-CN"/>
        </w:rPr>
      </w:pPr>
      <w:r w:rsidRPr="006E3B9B">
        <w:rPr>
          <w:lang w:eastAsia="zh-CN"/>
        </w:rPr>
        <w:t>第</w:t>
      </w:r>
      <w:r w:rsidRPr="006E3B9B">
        <w:rPr>
          <w:lang w:eastAsia="zh-CN"/>
        </w:rPr>
        <w:t>1252</w:t>
      </w:r>
      <w:r w:rsidRPr="006E3B9B">
        <w:rPr>
          <w:lang w:eastAsia="zh-CN"/>
        </w:rPr>
        <w:t>号决议</w:t>
      </w:r>
      <w:r w:rsidRPr="006E3B9B">
        <w:rPr>
          <w:lang w:eastAsia="zh-CN"/>
        </w:rPr>
        <w:tab/>
      </w:r>
      <w:r w:rsidRPr="006E3B9B">
        <w:rPr>
          <w:lang w:eastAsia="zh-CN"/>
        </w:rPr>
        <w:t>国际电联</w:t>
      </w:r>
      <w:r w:rsidRPr="006E3B9B">
        <w:rPr>
          <w:lang w:eastAsia="zh-CN"/>
        </w:rPr>
        <w:t>2003</w:t>
      </w:r>
      <w:r w:rsidRPr="006E3B9B">
        <w:rPr>
          <w:lang w:eastAsia="zh-CN"/>
        </w:rPr>
        <w:t>年世界电信展相关活动的账目</w:t>
      </w:r>
      <w:r w:rsidRPr="006E3B9B">
        <w:rPr>
          <w:lang w:eastAsia="zh-CN"/>
        </w:rPr>
        <w:tab/>
      </w:r>
      <w:r w:rsidR="004E1793">
        <w:rPr>
          <w:lang w:eastAsia="zh-CN"/>
        </w:rPr>
        <w:tab/>
      </w:r>
      <w:r w:rsidRPr="006E3B9B">
        <w:rPr>
          <w:rFonts w:hint="eastAsia"/>
          <w:lang w:eastAsia="zh-CN"/>
        </w:rPr>
        <w:t>2007</w:t>
      </w:r>
      <w:r w:rsidRPr="006E3B9B">
        <w:rPr>
          <w:rFonts w:hint="eastAsia"/>
          <w:lang w:eastAsia="zh-CN"/>
        </w:rPr>
        <w:t>年</w:t>
      </w:r>
    </w:p>
    <w:p w14:paraId="4827C16C" w14:textId="77777777" w:rsidR="006E3B9B" w:rsidRPr="006D0EE6" w:rsidRDefault="006E3B9B" w:rsidP="003E11A1">
      <w:pPr>
        <w:pStyle w:val="Reftitle"/>
        <w:rPr>
          <w:lang w:eastAsia="zh-CN"/>
        </w:rPr>
      </w:pPr>
      <w:r w:rsidRPr="006D0EE6">
        <w:rPr>
          <w:rFonts w:hint="eastAsia"/>
          <w:lang w:eastAsia="zh-CN"/>
        </w:rPr>
        <w:t>2006</w:t>
      </w:r>
      <w:r w:rsidRPr="006D0EE6">
        <w:rPr>
          <w:rFonts w:hint="eastAsia"/>
          <w:lang w:eastAsia="zh-CN"/>
        </w:rPr>
        <w:t>年会议（</w:t>
      </w:r>
      <w:r w:rsidRPr="006D0EE6">
        <w:rPr>
          <w:rFonts w:hint="eastAsia"/>
          <w:lang w:eastAsia="zh-CN"/>
        </w:rPr>
        <w:t>2006</w:t>
      </w:r>
      <w:r w:rsidRPr="006D0EE6">
        <w:rPr>
          <w:rFonts w:hint="eastAsia"/>
          <w:lang w:eastAsia="zh-CN"/>
        </w:rPr>
        <w:t>年</w:t>
      </w:r>
      <w:r w:rsidRPr="006D0EE6">
        <w:rPr>
          <w:rFonts w:hint="eastAsia"/>
          <w:lang w:eastAsia="zh-CN"/>
        </w:rPr>
        <w:t>4</w:t>
      </w:r>
      <w:r w:rsidRPr="006D0EE6">
        <w:rPr>
          <w:rFonts w:hint="eastAsia"/>
          <w:lang w:eastAsia="zh-CN"/>
        </w:rPr>
        <w:t>月</w:t>
      </w:r>
      <w:r w:rsidRPr="006D0EE6">
        <w:rPr>
          <w:rFonts w:hint="eastAsia"/>
          <w:lang w:eastAsia="zh-CN"/>
        </w:rPr>
        <w:t>19-28</w:t>
      </w:r>
      <w:r w:rsidRPr="006D0EE6">
        <w:rPr>
          <w:rFonts w:hint="eastAsia"/>
          <w:lang w:eastAsia="zh-CN"/>
        </w:rPr>
        <w:t>日和</w:t>
      </w:r>
      <w:r w:rsidRPr="006D0EE6">
        <w:rPr>
          <w:rFonts w:hint="eastAsia"/>
          <w:lang w:eastAsia="zh-CN"/>
        </w:rPr>
        <w:t>2006</w:t>
      </w:r>
      <w:r w:rsidRPr="006D0EE6">
        <w:rPr>
          <w:rFonts w:hint="eastAsia"/>
          <w:lang w:eastAsia="zh-CN"/>
        </w:rPr>
        <w:t>年</w:t>
      </w:r>
      <w:r w:rsidRPr="006D0EE6">
        <w:rPr>
          <w:rFonts w:hint="eastAsia"/>
          <w:lang w:eastAsia="zh-CN"/>
        </w:rPr>
        <w:t>11</w:t>
      </w:r>
      <w:r w:rsidRPr="006D0EE6">
        <w:rPr>
          <w:rFonts w:hint="eastAsia"/>
          <w:lang w:eastAsia="zh-CN"/>
        </w:rPr>
        <w:t>月</w:t>
      </w:r>
      <w:r w:rsidRPr="006D0EE6">
        <w:rPr>
          <w:rFonts w:hint="eastAsia"/>
          <w:lang w:eastAsia="zh-CN"/>
        </w:rPr>
        <w:t>4</w:t>
      </w:r>
      <w:r w:rsidRPr="006D0EE6">
        <w:rPr>
          <w:rFonts w:hint="eastAsia"/>
          <w:lang w:eastAsia="zh-CN"/>
        </w:rPr>
        <w:t>日）</w:t>
      </w:r>
    </w:p>
    <w:p w14:paraId="4827C16D" w14:textId="77777777" w:rsidR="006E3B9B" w:rsidRPr="006E3B9B" w:rsidRDefault="006E3B9B" w:rsidP="004E1793">
      <w:pPr>
        <w:pStyle w:val="Appendixref"/>
        <w:rPr>
          <w:lang w:eastAsia="zh-CN"/>
        </w:rPr>
      </w:pPr>
      <w:r w:rsidRPr="006E3B9B">
        <w:rPr>
          <w:lang w:eastAsia="zh-CN"/>
        </w:rPr>
        <w:t>第</w:t>
      </w:r>
      <w:r w:rsidRPr="006E3B9B">
        <w:rPr>
          <w:lang w:eastAsia="zh-CN"/>
        </w:rPr>
        <w:t>125</w:t>
      </w:r>
      <w:r w:rsidRPr="006E3B9B">
        <w:rPr>
          <w:rFonts w:hint="eastAsia"/>
          <w:lang w:eastAsia="zh-CN"/>
        </w:rPr>
        <w:t>3</w:t>
      </w:r>
      <w:r w:rsidRPr="006E3B9B">
        <w:rPr>
          <w:rFonts w:hint="eastAsia"/>
          <w:lang w:eastAsia="zh-CN"/>
        </w:rPr>
        <w:t>号决议</w:t>
      </w:r>
      <w:r w:rsidRPr="006E3B9B">
        <w:rPr>
          <w:rFonts w:hint="eastAsia"/>
          <w:lang w:eastAsia="zh-CN"/>
        </w:rPr>
        <w:tab/>
      </w:r>
      <w:r w:rsidRPr="006E3B9B">
        <w:rPr>
          <w:rFonts w:hint="eastAsia"/>
          <w:lang w:eastAsia="zh-CN"/>
        </w:rPr>
        <w:t>人力资源管理三方小组</w:t>
      </w:r>
      <w:r w:rsidRPr="006E3B9B">
        <w:rPr>
          <w:rFonts w:hint="eastAsia"/>
          <w:lang w:eastAsia="zh-CN"/>
        </w:rPr>
        <w:tab/>
      </w:r>
      <w:r w:rsidR="004E1793">
        <w:rPr>
          <w:lang w:eastAsia="zh-CN"/>
        </w:rPr>
        <w:tab/>
      </w:r>
      <w:r w:rsidR="00545AB1">
        <w:rPr>
          <w:rFonts w:hint="eastAsia"/>
          <w:lang w:eastAsia="zh-CN"/>
        </w:rPr>
        <w:t>2011</w:t>
      </w:r>
      <w:r w:rsidR="00077C0D">
        <w:rPr>
          <w:rFonts w:hint="eastAsia"/>
          <w:lang w:eastAsia="zh-CN"/>
        </w:rPr>
        <w:t>年</w:t>
      </w:r>
    </w:p>
    <w:p w14:paraId="4827C16E" w14:textId="77777777" w:rsidR="006E3B9B" w:rsidRPr="006E3B9B" w:rsidRDefault="006E3B9B" w:rsidP="004E1793">
      <w:pPr>
        <w:pStyle w:val="Appendixref"/>
        <w:rPr>
          <w:lang w:eastAsia="zh-CN"/>
        </w:rPr>
      </w:pPr>
      <w:r w:rsidRPr="006E3B9B">
        <w:rPr>
          <w:lang w:eastAsia="zh-CN"/>
        </w:rPr>
        <w:t>第</w:t>
      </w:r>
      <w:r w:rsidRPr="006E3B9B">
        <w:rPr>
          <w:lang w:eastAsia="zh-CN"/>
        </w:rPr>
        <w:t>125</w:t>
      </w:r>
      <w:r w:rsidRPr="006E3B9B">
        <w:rPr>
          <w:rFonts w:hint="eastAsia"/>
          <w:lang w:eastAsia="zh-CN"/>
        </w:rPr>
        <w:t>4</w:t>
      </w:r>
      <w:r w:rsidRPr="006E3B9B">
        <w:rPr>
          <w:rFonts w:hint="eastAsia"/>
          <w:lang w:eastAsia="zh-CN"/>
        </w:rPr>
        <w:t>号决议</w:t>
      </w:r>
      <w:r w:rsidRPr="006E3B9B">
        <w:rPr>
          <w:rFonts w:hint="eastAsia"/>
          <w:lang w:eastAsia="zh-CN"/>
        </w:rPr>
        <w:tab/>
      </w:r>
      <w:r w:rsidRPr="006E3B9B">
        <w:rPr>
          <w:rFonts w:hint="eastAsia"/>
          <w:lang w:eastAsia="zh-CN"/>
        </w:rPr>
        <w:t>国际电联职员养恤金委员会的委员</w:t>
      </w:r>
      <w:r w:rsidRPr="006E3B9B">
        <w:rPr>
          <w:lang w:eastAsia="zh-CN"/>
        </w:rPr>
        <w:tab/>
      </w:r>
      <w:r w:rsidR="004E1793">
        <w:rPr>
          <w:lang w:eastAsia="zh-CN"/>
        </w:rPr>
        <w:tab/>
      </w:r>
      <w:r w:rsidRPr="006E3B9B">
        <w:rPr>
          <w:rFonts w:hint="eastAsia"/>
          <w:lang w:eastAsia="zh-CN"/>
        </w:rPr>
        <w:t>2007</w:t>
      </w:r>
      <w:r w:rsidRPr="006E3B9B">
        <w:rPr>
          <w:rFonts w:hint="eastAsia"/>
          <w:lang w:eastAsia="zh-CN"/>
        </w:rPr>
        <w:t>年</w:t>
      </w:r>
    </w:p>
    <w:p w14:paraId="4827C16F" w14:textId="77777777" w:rsidR="006E3B9B" w:rsidRPr="00B824A2" w:rsidRDefault="006E3B9B" w:rsidP="004E1793">
      <w:pPr>
        <w:pStyle w:val="Appendixref"/>
        <w:rPr>
          <w:lang w:eastAsia="zh-CN"/>
        </w:rPr>
      </w:pPr>
      <w:r w:rsidRPr="006E3B9B">
        <w:rPr>
          <w:lang w:eastAsia="zh-CN"/>
        </w:rPr>
        <w:t>第</w:t>
      </w:r>
      <w:r w:rsidRPr="006E3B9B">
        <w:rPr>
          <w:lang w:eastAsia="zh-CN"/>
        </w:rPr>
        <w:t>125</w:t>
      </w:r>
      <w:r w:rsidRPr="006E3B9B">
        <w:rPr>
          <w:rFonts w:hint="eastAsia"/>
          <w:lang w:eastAsia="zh-CN"/>
        </w:rPr>
        <w:t>5</w:t>
      </w:r>
      <w:r w:rsidRPr="006E3B9B">
        <w:rPr>
          <w:rFonts w:hint="eastAsia"/>
          <w:lang w:eastAsia="zh-CN"/>
        </w:rPr>
        <w:t>号决议</w:t>
      </w:r>
      <w:r w:rsidRPr="006E3B9B">
        <w:rPr>
          <w:rFonts w:hint="eastAsia"/>
          <w:lang w:eastAsia="zh-CN"/>
        </w:rPr>
        <w:tab/>
      </w:r>
      <w:r w:rsidRPr="006E3B9B">
        <w:rPr>
          <w:rFonts w:hint="eastAsia"/>
          <w:lang w:eastAsia="zh-CN"/>
        </w:rPr>
        <w:t>对《财务规则》的建议修订</w:t>
      </w:r>
      <w:r w:rsidRPr="006E3B9B">
        <w:rPr>
          <w:rFonts w:hint="eastAsia"/>
          <w:lang w:eastAsia="zh-CN"/>
        </w:rPr>
        <w:tab/>
      </w:r>
      <w:r w:rsidR="004E1793">
        <w:rPr>
          <w:lang w:eastAsia="zh-CN"/>
        </w:rPr>
        <w:tab/>
      </w:r>
      <w:r w:rsidRPr="006E3B9B">
        <w:rPr>
          <w:rFonts w:hint="eastAsia"/>
          <w:lang w:eastAsia="zh-CN"/>
        </w:rPr>
        <w:t>2</w:t>
      </w:r>
      <w:r w:rsidR="00B824A2">
        <w:rPr>
          <w:lang w:eastAsia="zh-CN"/>
        </w:rPr>
        <w:t>009</w:t>
      </w:r>
      <w:r w:rsidR="00B824A2">
        <w:rPr>
          <w:rFonts w:hint="eastAsia"/>
          <w:lang w:eastAsia="zh-CN"/>
        </w:rPr>
        <w:t>年</w:t>
      </w:r>
    </w:p>
    <w:p w14:paraId="4827C170" w14:textId="77777777" w:rsidR="006E3B9B" w:rsidRPr="006E3B9B" w:rsidRDefault="006E3B9B" w:rsidP="004E1793">
      <w:pPr>
        <w:pStyle w:val="Appendixref"/>
        <w:rPr>
          <w:lang w:eastAsia="zh-CN"/>
        </w:rPr>
      </w:pPr>
      <w:r w:rsidRPr="006E3B9B">
        <w:rPr>
          <w:lang w:eastAsia="zh-CN"/>
        </w:rPr>
        <w:t>第</w:t>
      </w:r>
      <w:r w:rsidRPr="006E3B9B">
        <w:rPr>
          <w:lang w:eastAsia="zh-CN"/>
        </w:rPr>
        <w:t>125</w:t>
      </w:r>
      <w:r w:rsidRPr="006E3B9B">
        <w:rPr>
          <w:rFonts w:hint="eastAsia"/>
          <w:lang w:eastAsia="zh-CN"/>
        </w:rPr>
        <w:t>6</w:t>
      </w:r>
      <w:r w:rsidRPr="006E3B9B">
        <w:rPr>
          <w:rFonts w:hint="eastAsia"/>
          <w:lang w:eastAsia="zh-CN"/>
        </w:rPr>
        <w:t>号决议</w:t>
      </w:r>
      <w:r w:rsidRPr="006E3B9B">
        <w:rPr>
          <w:rFonts w:hint="eastAsia"/>
          <w:lang w:eastAsia="zh-CN"/>
        </w:rPr>
        <w:tab/>
      </w:r>
      <w:r w:rsidRPr="006E3B9B">
        <w:rPr>
          <w:rFonts w:hint="eastAsia"/>
          <w:lang w:eastAsia="zh-CN"/>
        </w:rPr>
        <w:t>从国际电联部门成员名单中删除成员</w:t>
      </w:r>
      <w:r w:rsidR="001864A6">
        <w:rPr>
          <w:rFonts w:hint="eastAsia"/>
          <w:lang w:eastAsia="zh-CN"/>
        </w:rPr>
        <w:tab/>
      </w:r>
      <w:r w:rsidR="004E1793">
        <w:rPr>
          <w:lang w:eastAsia="zh-CN"/>
        </w:rPr>
        <w:tab/>
      </w:r>
      <w:r w:rsidR="001864A6">
        <w:rPr>
          <w:rFonts w:hint="eastAsia"/>
          <w:lang w:eastAsia="zh-CN"/>
        </w:rPr>
        <w:t>2008</w:t>
      </w:r>
      <w:r w:rsidR="001864A6">
        <w:rPr>
          <w:rFonts w:hint="eastAsia"/>
          <w:lang w:eastAsia="zh-CN"/>
        </w:rPr>
        <w:t>年</w:t>
      </w:r>
    </w:p>
    <w:p w14:paraId="4827C171" w14:textId="77777777" w:rsidR="006E3B9B" w:rsidRPr="006E3B9B" w:rsidRDefault="006E3B9B" w:rsidP="004E1793">
      <w:pPr>
        <w:pStyle w:val="Appendixref"/>
        <w:rPr>
          <w:lang w:eastAsia="zh-CN"/>
        </w:rPr>
      </w:pPr>
      <w:r w:rsidRPr="006E3B9B">
        <w:rPr>
          <w:lang w:eastAsia="zh-CN"/>
        </w:rPr>
        <w:t>第</w:t>
      </w:r>
      <w:r w:rsidRPr="006E3B9B">
        <w:rPr>
          <w:lang w:eastAsia="zh-CN"/>
        </w:rPr>
        <w:t>125</w:t>
      </w:r>
      <w:r w:rsidRPr="006E3B9B">
        <w:rPr>
          <w:rFonts w:hint="eastAsia"/>
          <w:lang w:eastAsia="zh-CN"/>
        </w:rPr>
        <w:t>7</w:t>
      </w:r>
      <w:r w:rsidRPr="006E3B9B">
        <w:rPr>
          <w:rFonts w:hint="eastAsia"/>
          <w:lang w:eastAsia="zh-CN"/>
        </w:rPr>
        <w:t>号决议</w:t>
      </w:r>
      <w:r w:rsidRPr="006E3B9B">
        <w:rPr>
          <w:rFonts w:hint="eastAsia"/>
          <w:lang w:eastAsia="zh-CN"/>
        </w:rPr>
        <w:tab/>
      </w:r>
      <w:r w:rsidRPr="006E3B9B">
        <w:rPr>
          <w:rFonts w:hint="eastAsia"/>
          <w:lang w:eastAsia="zh-CN"/>
        </w:rPr>
        <w:t>摊付区域性无线电通信大会及相关活动费用的发票价格表</w:t>
      </w:r>
      <w:r w:rsidR="00B824A2">
        <w:rPr>
          <w:rFonts w:hint="eastAsia"/>
          <w:lang w:eastAsia="zh-CN"/>
        </w:rPr>
        <w:tab/>
      </w:r>
      <w:r w:rsidR="004E1793">
        <w:rPr>
          <w:lang w:eastAsia="zh-CN"/>
        </w:rPr>
        <w:tab/>
      </w:r>
      <w:r w:rsidR="00B824A2" w:rsidRPr="006E3B9B">
        <w:rPr>
          <w:rFonts w:hint="eastAsia"/>
          <w:lang w:eastAsia="zh-CN"/>
        </w:rPr>
        <w:t>2</w:t>
      </w:r>
      <w:r w:rsidR="00B824A2">
        <w:rPr>
          <w:lang w:eastAsia="zh-CN"/>
        </w:rPr>
        <w:t>009</w:t>
      </w:r>
      <w:r w:rsidR="00B824A2">
        <w:rPr>
          <w:rFonts w:hint="eastAsia"/>
          <w:lang w:eastAsia="zh-CN"/>
        </w:rPr>
        <w:t>年</w:t>
      </w:r>
    </w:p>
    <w:p w14:paraId="4827C172" w14:textId="77777777" w:rsidR="006E3B9B" w:rsidRPr="006E3B9B" w:rsidRDefault="006E3B9B" w:rsidP="004E1793">
      <w:pPr>
        <w:pStyle w:val="Appendixref"/>
        <w:rPr>
          <w:lang w:eastAsia="zh-CN"/>
        </w:rPr>
      </w:pPr>
      <w:r w:rsidRPr="006E3B9B">
        <w:rPr>
          <w:lang w:eastAsia="zh-CN"/>
        </w:rPr>
        <w:t>第</w:t>
      </w:r>
      <w:r w:rsidRPr="006E3B9B">
        <w:rPr>
          <w:lang w:eastAsia="zh-CN"/>
        </w:rPr>
        <w:t>125</w:t>
      </w:r>
      <w:r w:rsidRPr="006E3B9B">
        <w:rPr>
          <w:rFonts w:hint="eastAsia"/>
          <w:lang w:eastAsia="zh-CN"/>
        </w:rPr>
        <w:t>8</w:t>
      </w:r>
      <w:r w:rsidRPr="006E3B9B">
        <w:rPr>
          <w:rFonts w:hint="eastAsia"/>
          <w:lang w:eastAsia="zh-CN"/>
        </w:rPr>
        <w:t>号决议</w:t>
      </w:r>
      <w:r w:rsidRPr="006E3B9B">
        <w:rPr>
          <w:rFonts w:hint="eastAsia"/>
          <w:lang w:eastAsia="zh-CN"/>
        </w:rPr>
        <w:tab/>
      </w:r>
      <w:r w:rsidRPr="006E3B9B">
        <w:rPr>
          <w:rFonts w:hint="eastAsia"/>
          <w:lang w:eastAsia="zh-CN"/>
        </w:rPr>
        <w:t>继续实施理事会的各项建议（</w:t>
      </w:r>
      <w:r w:rsidRPr="006E3B9B">
        <w:rPr>
          <w:lang w:eastAsia="zh-CN"/>
        </w:rPr>
        <w:t>第</w:t>
      </w:r>
      <w:r w:rsidRPr="006E3B9B">
        <w:rPr>
          <w:lang w:eastAsia="zh-CN"/>
        </w:rPr>
        <w:t>1216</w:t>
      </w:r>
      <w:r w:rsidRPr="006E3B9B">
        <w:rPr>
          <w:rFonts w:hint="eastAsia"/>
          <w:lang w:eastAsia="zh-CN"/>
        </w:rPr>
        <w:t>号</w:t>
      </w:r>
      <w:r w:rsidRPr="006E3B9B">
        <w:rPr>
          <w:lang w:eastAsia="zh-CN"/>
        </w:rPr>
        <w:t>/</w:t>
      </w:r>
      <w:r w:rsidRPr="006E3B9B">
        <w:rPr>
          <w:lang w:eastAsia="zh-CN"/>
        </w:rPr>
        <w:t>第</w:t>
      </w:r>
      <w:r w:rsidRPr="006E3B9B">
        <w:rPr>
          <w:lang w:eastAsia="zh-CN"/>
        </w:rPr>
        <w:t>1243</w:t>
      </w:r>
      <w:r w:rsidRPr="006E3B9B">
        <w:rPr>
          <w:rFonts w:hint="eastAsia"/>
          <w:lang w:eastAsia="zh-CN"/>
        </w:rPr>
        <w:t>号决议）</w:t>
      </w:r>
      <w:r w:rsidRPr="006E3B9B">
        <w:rPr>
          <w:rFonts w:hint="eastAsia"/>
          <w:lang w:eastAsia="zh-CN"/>
        </w:rPr>
        <w:tab/>
      </w:r>
      <w:r w:rsidR="004E1793">
        <w:rPr>
          <w:lang w:eastAsia="zh-CN"/>
        </w:rPr>
        <w:tab/>
      </w:r>
      <w:r w:rsidR="006C1EBF">
        <w:rPr>
          <w:rFonts w:hint="eastAsia"/>
          <w:lang w:eastAsia="zh-CN"/>
        </w:rPr>
        <w:t>2010</w:t>
      </w:r>
      <w:r w:rsidR="006C1EBF" w:rsidRPr="006E3B9B">
        <w:rPr>
          <w:rFonts w:hint="eastAsia"/>
          <w:lang w:eastAsia="zh-CN"/>
        </w:rPr>
        <w:t>年</w:t>
      </w:r>
    </w:p>
    <w:p w14:paraId="4827C173" w14:textId="77777777" w:rsidR="006E3B9B" w:rsidRPr="004E1793" w:rsidRDefault="006E3B9B" w:rsidP="00091112">
      <w:pPr>
        <w:pStyle w:val="Appendixref"/>
        <w:rPr>
          <w:lang w:eastAsia="zh-CN"/>
        </w:rPr>
      </w:pPr>
      <w:r w:rsidRPr="00091112">
        <w:rPr>
          <w:lang w:eastAsia="zh-CN"/>
        </w:rPr>
        <w:t>第</w:t>
      </w:r>
      <w:r w:rsidRPr="00091112">
        <w:rPr>
          <w:lang w:eastAsia="zh-CN"/>
        </w:rPr>
        <w:t>125</w:t>
      </w:r>
      <w:r w:rsidRPr="00091112">
        <w:rPr>
          <w:rFonts w:hint="eastAsia"/>
          <w:lang w:eastAsia="zh-CN"/>
        </w:rPr>
        <w:t>9</w:t>
      </w:r>
      <w:r w:rsidRPr="00091112">
        <w:rPr>
          <w:rFonts w:hint="eastAsia"/>
          <w:lang w:eastAsia="zh-CN"/>
        </w:rPr>
        <w:t>号决议</w:t>
      </w:r>
      <w:r w:rsidRPr="00091112">
        <w:rPr>
          <w:rFonts w:hint="eastAsia"/>
          <w:lang w:eastAsia="zh-CN"/>
        </w:rPr>
        <w:tab/>
      </w:r>
      <w:r w:rsidRPr="00091112">
        <w:rPr>
          <w:rFonts w:ascii="SimSun" w:hint="eastAsia"/>
          <w:lang w:eastAsia="zh-CN"/>
        </w:rPr>
        <w:t>未分配</w:t>
      </w:r>
      <w:r w:rsidR="004E1793" w:rsidRPr="004E1793">
        <w:rPr>
          <w:lang w:eastAsia="zh-CN"/>
        </w:rPr>
        <w:tab/>
      </w:r>
      <w:r w:rsidR="00091112">
        <w:rPr>
          <w:lang w:eastAsia="zh-CN"/>
        </w:rPr>
        <w:tab/>
        <w:t>–      </w:t>
      </w:r>
    </w:p>
    <w:p w14:paraId="4827C174" w14:textId="77777777" w:rsidR="006E3B9B" w:rsidRPr="006E3B9B" w:rsidRDefault="006E3B9B" w:rsidP="004E1793">
      <w:pPr>
        <w:pStyle w:val="Appendixref"/>
        <w:rPr>
          <w:lang w:eastAsia="zh-CN"/>
        </w:rPr>
      </w:pPr>
      <w:r w:rsidRPr="006E3B9B">
        <w:rPr>
          <w:lang w:eastAsia="zh-CN"/>
        </w:rPr>
        <w:t>第</w:t>
      </w:r>
      <w:r w:rsidRPr="006E3B9B">
        <w:rPr>
          <w:lang w:eastAsia="zh-CN"/>
        </w:rPr>
        <w:t>12</w:t>
      </w:r>
      <w:r w:rsidRPr="006E3B9B">
        <w:rPr>
          <w:rFonts w:hint="eastAsia"/>
          <w:lang w:eastAsia="zh-CN"/>
        </w:rPr>
        <w:t>60</w:t>
      </w:r>
      <w:r w:rsidRPr="006E3B9B">
        <w:rPr>
          <w:rFonts w:hint="eastAsia"/>
          <w:lang w:eastAsia="zh-CN"/>
        </w:rPr>
        <w:t>号决议</w:t>
      </w:r>
      <w:r w:rsidRPr="006E3B9B">
        <w:rPr>
          <w:rFonts w:hint="eastAsia"/>
          <w:lang w:eastAsia="zh-CN"/>
        </w:rPr>
        <w:tab/>
      </w:r>
      <w:r w:rsidRPr="006E3B9B">
        <w:rPr>
          <w:rFonts w:hint="eastAsia"/>
          <w:lang w:eastAsia="zh-CN"/>
        </w:rPr>
        <w:t>延续制定</w:t>
      </w:r>
      <w:r w:rsidRPr="006E3B9B">
        <w:rPr>
          <w:rFonts w:hint="eastAsia"/>
          <w:lang w:eastAsia="zh-CN"/>
        </w:rPr>
        <w:t>2008-2011</w:t>
      </w:r>
      <w:r w:rsidRPr="006E3B9B">
        <w:rPr>
          <w:rFonts w:hint="eastAsia"/>
          <w:lang w:eastAsia="zh-CN"/>
        </w:rPr>
        <w:t>年《战略规划草案》和《财务规划草案》工作组的工作</w:t>
      </w:r>
      <w:r w:rsidRPr="006E3B9B">
        <w:rPr>
          <w:rFonts w:hint="eastAsia"/>
          <w:lang w:eastAsia="zh-CN"/>
        </w:rPr>
        <w:tab/>
      </w:r>
      <w:r w:rsidR="004E1793">
        <w:rPr>
          <w:lang w:eastAsia="zh-CN"/>
        </w:rPr>
        <w:tab/>
      </w:r>
      <w:r w:rsidRPr="006E3B9B">
        <w:rPr>
          <w:rFonts w:hint="eastAsia"/>
          <w:lang w:eastAsia="zh-CN"/>
        </w:rPr>
        <w:t>2007</w:t>
      </w:r>
      <w:r w:rsidRPr="006E3B9B">
        <w:rPr>
          <w:rFonts w:hint="eastAsia"/>
          <w:lang w:eastAsia="zh-CN"/>
        </w:rPr>
        <w:t>年</w:t>
      </w:r>
    </w:p>
    <w:p w14:paraId="4827C175" w14:textId="77777777" w:rsidR="006E3B9B" w:rsidRPr="006E3B9B" w:rsidRDefault="006E3B9B" w:rsidP="004E1793">
      <w:pPr>
        <w:pStyle w:val="Appendixref"/>
        <w:rPr>
          <w:lang w:eastAsia="zh-CN"/>
        </w:rPr>
      </w:pPr>
      <w:r w:rsidRPr="006E3B9B">
        <w:rPr>
          <w:lang w:eastAsia="zh-CN"/>
        </w:rPr>
        <w:t>第</w:t>
      </w:r>
      <w:r w:rsidRPr="006E3B9B">
        <w:rPr>
          <w:lang w:eastAsia="zh-CN"/>
        </w:rPr>
        <w:t>12</w:t>
      </w:r>
      <w:r w:rsidRPr="006E3B9B">
        <w:rPr>
          <w:rFonts w:hint="eastAsia"/>
          <w:lang w:eastAsia="zh-CN"/>
        </w:rPr>
        <w:t>61</w:t>
      </w:r>
      <w:r w:rsidRPr="006E3B9B">
        <w:rPr>
          <w:rFonts w:hint="eastAsia"/>
          <w:lang w:eastAsia="zh-CN"/>
        </w:rPr>
        <w:t>号决议</w:t>
      </w:r>
      <w:r w:rsidRPr="006E3B9B">
        <w:rPr>
          <w:rFonts w:hint="eastAsia"/>
          <w:lang w:eastAsia="zh-CN"/>
        </w:rPr>
        <w:tab/>
      </w:r>
      <w:r w:rsidRPr="006E3B9B">
        <w:rPr>
          <w:rFonts w:hint="eastAsia"/>
          <w:lang w:eastAsia="zh-CN"/>
        </w:rPr>
        <w:t>国际电联无线电通信部门《运作规划》（</w:t>
      </w:r>
      <w:r w:rsidRPr="006E3B9B">
        <w:rPr>
          <w:rFonts w:hint="eastAsia"/>
          <w:lang w:eastAsia="zh-CN"/>
        </w:rPr>
        <w:t>2006-2009</w:t>
      </w:r>
      <w:r w:rsidRPr="006E3B9B">
        <w:rPr>
          <w:rFonts w:hint="eastAsia"/>
          <w:lang w:eastAsia="zh-CN"/>
        </w:rPr>
        <w:t>年）</w:t>
      </w:r>
      <w:r w:rsidRPr="006E3B9B">
        <w:rPr>
          <w:rFonts w:hint="eastAsia"/>
          <w:lang w:eastAsia="zh-CN"/>
        </w:rPr>
        <w:tab/>
      </w:r>
      <w:r w:rsidR="004E1793">
        <w:rPr>
          <w:lang w:eastAsia="zh-CN"/>
        </w:rPr>
        <w:tab/>
      </w:r>
      <w:r w:rsidRPr="006E3B9B">
        <w:rPr>
          <w:rFonts w:hint="eastAsia"/>
          <w:lang w:eastAsia="zh-CN"/>
        </w:rPr>
        <w:t>2007</w:t>
      </w:r>
      <w:r w:rsidRPr="006E3B9B">
        <w:rPr>
          <w:rFonts w:hint="eastAsia"/>
          <w:lang w:eastAsia="zh-CN"/>
        </w:rPr>
        <w:t>年</w:t>
      </w:r>
    </w:p>
    <w:p w14:paraId="4827C176" w14:textId="77777777" w:rsidR="006E3B9B" w:rsidRPr="006E3B9B" w:rsidRDefault="006E3B9B" w:rsidP="004E1793">
      <w:pPr>
        <w:pStyle w:val="Appendixref"/>
        <w:rPr>
          <w:lang w:eastAsia="zh-CN"/>
        </w:rPr>
      </w:pPr>
      <w:r w:rsidRPr="006E3B9B">
        <w:rPr>
          <w:lang w:eastAsia="zh-CN"/>
        </w:rPr>
        <w:t>第</w:t>
      </w:r>
      <w:r w:rsidRPr="006E3B9B">
        <w:rPr>
          <w:lang w:eastAsia="zh-CN"/>
        </w:rPr>
        <w:t>12</w:t>
      </w:r>
      <w:r w:rsidRPr="006E3B9B">
        <w:rPr>
          <w:rFonts w:hint="eastAsia"/>
          <w:lang w:eastAsia="zh-CN"/>
        </w:rPr>
        <w:t>62</w:t>
      </w:r>
      <w:r w:rsidRPr="006E3B9B">
        <w:rPr>
          <w:rFonts w:hint="eastAsia"/>
          <w:lang w:eastAsia="zh-CN"/>
        </w:rPr>
        <w:t>号决议</w:t>
      </w:r>
      <w:r w:rsidRPr="006E3B9B">
        <w:rPr>
          <w:rFonts w:hint="eastAsia"/>
          <w:lang w:eastAsia="zh-CN"/>
        </w:rPr>
        <w:tab/>
      </w:r>
      <w:r w:rsidRPr="006E3B9B">
        <w:rPr>
          <w:rFonts w:hint="eastAsia"/>
          <w:lang w:eastAsia="zh-CN"/>
        </w:rPr>
        <w:t>国际电联电信标准化部门《运作规划》（</w:t>
      </w:r>
      <w:r w:rsidRPr="006E3B9B">
        <w:rPr>
          <w:rFonts w:hint="eastAsia"/>
          <w:lang w:eastAsia="zh-CN"/>
        </w:rPr>
        <w:t>2006-2009</w:t>
      </w:r>
      <w:r w:rsidRPr="006E3B9B">
        <w:rPr>
          <w:rFonts w:hint="eastAsia"/>
          <w:lang w:eastAsia="zh-CN"/>
        </w:rPr>
        <w:t>年）</w:t>
      </w:r>
      <w:r w:rsidRPr="006E3B9B">
        <w:rPr>
          <w:rFonts w:hint="eastAsia"/>
          <w:lang w:eastAsia="zh-CN"/>
        </w:rPr>
        <w:tab/>
      </w:r>
      <w:r w:rsidR="004E1793">
        <w:rPr>
          <w:lang w:eastAsia="zh-CN"/>
        </w:rPr>
        <w:tab/>
      </w:r>
      <w:r w:rsidRPr="006E3B9B">
        <w:rPr>
          <w:rFonts w:hint="eastAsia"/>
          <w:lang w:eastAsia="zh-CN"/>
        </w:rPr>
        <w:t>2007</w:t>
      </w:r>
      <w:r w:rsidRPr="006E3B9B">
        <w:rPr>
          <w:rFonts w:hint="eastAsia"/>
          <w:lang w:eastAsia="zh-CN"/>
        </w:rPr>
        <w:t>年</w:t>
      </w:r>
    </w:p>
    <w:p w14:paraId="4827C177" w14:textId="77777777" w:rsidR="006E3B9B" w:rsidRPr="006E3B9B" w:rsidRDefault="006E3B9B" w:rsidP="004E1793">
      <w:pPr>
        <w:pStyle w:val="Appendixref"/>
        <w:rPr>
          <w:lang w:eastAsia="zh-CN"/>
        </w:rPr>
      </w:pPr>
      <w:r w:rsidRPr="006E3B9B">
        <w:rPr>
          <w:lang w:eastAsia="zh-CN"/>
        </w:rPr>
        <w:t>第</w:t>
      </w:r>
      <w:r w:rsidRPr="006E3B9B">
        <w:rPr>
          <w:lang w:eastAsia="zh-CN"/>
        </w:rPr>
        <w:t>12</w:t>
      </w:r>
      <w:r w:rsidRPr="006E3B9B">
        <w:rPr>
          <w:rFonts w:hint="eastAsia"/>
          <w:lang w:eastAsia="zh-CN"/>
        </w:rPr>
        <w:t>63</w:t>
      </w:r>
      <w:r w:rsidRPr="006E3B9B">
        <w:rPr>
          <w:rFonts w:hint="eastAsia"/>
          <w:lang w:eastAsia="zh-CN"/>
        </w:rPr>
        <w:t>号决议</w:t>
      </w:r>
      <w:r w:rsidRPr="006E3B9B">
        <w:rPr>
          <w:rFonts w:hint="eastAsia"/>
          <w:lang w:eastAsia="zh-CN"/>
        </w:rPr>
        <w:tab/>
      </w:r>
      <w:r w:rsidRPr="006E3B9B">
        <w:rPr>
          <w:rFonts w:hint="eastAsia"/>
          <w:lang w:eastAsia="zh-CN"/>
        </w:rPr>
        <w:t>国际电联</w:t>
      </w:r>
      <w:r w:rsidRPr="006E3B9B">
        <w:rPr>
          <w:lang w:eastAsia="zh-CN"/>
        </w:rPr>
        <w:t>电信发展部门</w:t>
      </w:r>
      <w:r w:rsidRPr="006E3B9B">
        <w:rPr>
          <w:rFonts w:hint="eastAsia"/>
          <w:lang w:eastAsia="zh-CN"/>
        </w:rPr>
        <w:t>《运作规划》（</w:t>
      </w:r>
      <w:r w:rsidRPr="006E3B9B">
        <w:rPr>
          <w:rFonts w:hint="eastAsia"/>
          <w:lang w:eastAsia="zh-CN"/>
        </w:rPr>
        <w:t>2006-2009</w:t>
      </w:r>
      <w:r w:rsidRPr="006E3B9B">
        <w:rPr>
          <w:rFonts w:hint="eastAsia"/>
          <w:lang w:eastAsia="zh-CN"/>
        </w:rPr>
        <w:t>年）</w:t>
      </w:r>
      <w:r w:rsidRPr="006E3B9B">
        <w:rPr>
          <w:rFonts w:hint="eastAsia"/>
          <w:lang w:eastAsia="zh-CN"/>
        </w:rPr>
        <w:tab/>
      </w:r>
      <w:r w:rsidR="004E1793">
        <w:rPr>
          <w:lang w:eastAsia="zh-CN"/>
        </w:rPr>
        <w:tab/>
      </w:r>
      <w:r w:rsidRPr="006E3B9B">
        <w:rPr>
          <w:rFonts w:hint="eastAsia"/>
          <w:lang w:eastAsia="zh-CN"/>
        </w:rPr>
        <w:t>2007</w:t>
      </w:r>
      <w:r w:rsidRPr="006E3B9B">
        <w:rPr>
          <w:rFonts w:hint="eastAsia"/>
          <w:lang w:eastAsia="zh-CN"/>
        </w:rPr>
        <w:t>年</w:t>
      </w:r>
    </w:p>
    <w:p w14:paraId="4827C178" w14:textId="77777777" w:rsidR="006E3B9B" w:rsidRPr="006E3B9B" w:rsidRDefault="006E3B9B" w:rsidP="004E1793">
      <w:pPr>
        <w:pStyle w:val="Appendixref"/>
        <w:rPr>
          <w:lang w:eastAsia="zh-CN"/>
        </w:rPr>
      </w:pPr>
      <w:r w:rsidRPr="006E3B9B">
        <w:rPr>
          <w:lang w:eastAsia="zh-CN"/>
        </w:rPr>
        <w:t>第</w:t>
      </w:r>
      <w:r w:rsidRPr="006E3B9B">
        <w:rPr>
          <w:lang w:eastAsia="zh-CN"/>
        </w:rPr>
        <w:t>12</w:t>
      </w:r>
      <w:r w:rsidRPr="006E3B9B">
        <w:rPr>
          <w:rFonts w:hint="eastAsia"/>
          <w:lang w:eastAsia="zh-CN"/>
        </w:rPr>
        <w:t>64</w:t>
      </w:r>
      <w:r w:rsidRPr="006E3B9B">
        <w:rPr>
          <w:rFonts w:hint="eastAsia"/>
          <w:lang w:eastAsia="zh-CN"/>
        </w:rPr>
        <w:t>号决议</w:t>
      </w:r>
      <w:r w:rsidRPr="006E3B9B">
        <w:rPr>
          <w:rFonts w:hint="eastAsia"/>
          <w:lang w:eastAsia="zh-CN"/>
        </w:rPr>
        <w:tab/>
      </w:r>
      <w:r w:rsidRPr="006E3B9B">
        <w:rPr>
          <w:rFonts w:hint="eastAsia"/>
          <w:lang w:eastAsia="zh-CN"/>
        </w:rPr>
        <w:t>总秘书处《运作规划》（</w:t>
      </w:r>
      <w:r w:rsidRPr="006E3B9B">
        <w:rPr>
          <w:rFonts w:hint="eastAsia"/>
          <w:lang w:eastAsia="zh-CN"/>
        </w:rPr>
        <w:t>2006-2009</w:t>
      </w:r>
      <w:r w:rsidRPr="006E3B9B">
        <w:rPr>
          <w:rFonts w:hint="eastAsia"/>
          <w:lang w:eastAsia="zh-CN"/>
        </w:rPr>
        <w:t>年）</w:t>
      </w:r>
      <w:r w:rsidRPr="006E3B9B">
        <w:rPr>
          <w:rFonts w:hint="eastAsia"/>
          <w:lang w:eastAsia="zh-CN"/>
        </w:rPr>
        <w:tab/>
      </w:r>
      <w:r w:rsidR="004E1793">
        <w:rPr>
          <w:lang w:eastAsia="zh-CN"/>
        </w:rPr>
        <w:tab/>
      </w:r>
      <w:r w:rsidRPr="006E3B9B">
        <w:rPr>
          <w:rFonts w:hint="eastAsia"/>
          <w:lang w:eastAsia="zh-CN"/>
        </w:rPr>
        <w:t>2007</w:t>
      </w:r>
      <w:r w:rsidRPr="006E3B9B">
        <w:rPr>
          <w:rFonts w:hint="eastAsia"/>
          <w:lang w:eastAsia="zh-CN"/>
        </w:rPr>
        <w:t>年</w:t>
      </w:r>
    </w:p>
    <w:p w14:paraId="4827C179" w14:textId="77777777" w:rsidR="006E3B9B" w:rsidRPr="006E3B9B" w:rsidRDefault="006E3B9B" w:rsidP="004E1793">
      <w:pPr>
        <w:pStyle w:val="Appendixref"/>
        <w:rPr>
          <w:lang w:eastAsia="zh-CN"/>
        </w:rPr>
      </w:pPr>
      <w:r w:rsidRPr="006E3B9B">
        <w:rPr>
          <w:lang w:eastAsia="zh-CN"/>
        </w:rPr>
        <w:t>第</w:t>
      </w:r>
      <w:r w:rsidRPr="006E3B9B">
        <w:rPr>
          <w:lang w:eastAsia="zh-CN"/>
        </w:rPr>
        <w:t>12</w:t>
      </w:r>
      <w:r w:rsidRPr="006E3B9B">
        <w:rPr>
          <w:rFonts w:hint="eastAsia"/>
          <w:lang w:eastAsia="zh-CN"/>
        </w:rPr>
        <w:t>65</w:t>
      </w:r>
      <w:r w:rsidRPr="006E3B9B">
        <w:rPr>
          <w:rFonts w:hint="eastAsia"/>
          <w:lang w:eastAsia="zh-CN"/>
        </w:rPr>
        <w:t>号决议</w:t>
      </w:r>
      <w:r w:rsidRPr="006E3B9B">
        <w:rPr>
          <w:rFonts w:hint="eastAsia"/>
          <w:lang w:eastAsia="zh-CN"/>
        </w:rPr>
        <w:tab/>
        <w:t>2004-2005</w:t>
      </w:r>
      <w:r w:rsidRPr="006E3B9B">
        <w:rPr>
          <w:rFonts w:hint="eastAsia"/>
          <w:lang w:eastAsia="zh-CN"/>
        </w:rPr>
        <w:t>双年度财务工作报告</w:t>
      </w:r>
      <w:r w:rsidRPr="006E3B9B">
        <w:rPr>
          <w:rFonts w:hint="eastAsia"/>
          <w:lang w:eastAsia="zh-CN"/>
        </w:rPr>
        <w:tab/>
      </w:r>
      <w:r w:rsidR="004E1793">
        <w:rPr>
          <w:lang w:eastAsia="zh-CN"/>
        </w:rPr>
        <w:tab/>
      </w:r>
      <w:r w:rsidRPr="006E3B9B">
        <w:rPr>
          <w:rFonts w:hint="eastAsia"/>
          <w:lang w:eastAsia="zh-CN"/>
        </w:rPr>
        <w:t>2007</w:t>
      </w:r>
      <w:r w:rsidRPr="006E3B9B">
        <w:rPr>
          <w:rFonts w:hint="eastAsia"/>
          <w:lang w:eastAsia="zh-CN"/>
        </w:rPr>
        <w:t>年</w:t>
      </w:r>
    </w:p>
    <w:p w14:paraId="4827C17A" w14:textId="77777777" w:rsidR="006E3B9B" w:rsidRPr="006E3B9B" w:rsidRDefault="006E3B9B" w:rsidP="004E1793">
      <w:pPr>
        <w:pStyle w:val="Appendixref"/>
        <w:rPr>
          <w:lang w:eastAsia="zh-CN"/>
        </w:rPr>
      </w:pPr>
      <w:r w:rsidRPr="006E3B9B">
        <w:rPr>
          <w:lang w:eastAsia="zh-CN"/>
        </w:rPr>
        <w:t>第</w:t>
      </w:r>
      <w:r w:rsidRPr="006E3B9B">
        <w:rPr>
          <w:lang w:eastAsia="zh-CN"/>
        </w:rPr>
        <w:t>12</w:t>
      </w:r>
      <w:r w:rsidRPr="006E3B9B">
        <w:rPr>
          <w:rFonts w:hint="eastAsia"/>
          <w:lang w:eastAsia="zh-CN"/>
        </w:rPr>
        <w:t>66</w:t>
      </w:r>
      <w:r w:rsidRPr="006E3B9B">
        <w:rPr>
          <w:rFonts w:hint="eastAsia"/>
          <w:lang w:eastAsia="zh-CN"/>
        </w:rPr>
        <w:t>号决议</w:t>
      </w:r>
      <w:r w:rsidRPr="006E3B9B">
        <w:rPr>
          <w:rFonts w:hint="eastAsia"/>
          <w:lang w:eastAsia="zh-CN"/>
        </w:rPr>
        <w:tab/>
      </w:r>
      <w:r w:rsidRPr="006E3B9B">
        <w:rPr>
          <w:rFonts w:hint="eastAsia"/>
          <w:lang w:eastAsia="zh-CN"/>
        </w:rPr>
        <w:t>国际电联</w:t>
      </w:r>
      <w:r w:rsidRPr="006E3B9B">
        <w:rPr>
          <w:lang w:eastAsia="zh-CN"/>
        </w:rPr>
        <w:t>2004</w:t>
      </w:r>
      <w:r w:rsidRPr="006E3B9B">
        <w:rPr>
          <w:rFonts w:hint="eastAsia"/>
          <w:lang w:eastAsia="zh-CN"/>
        </w:rPr>
        <w:t>年亚洲电信展相关活动的账目</w:t>
      </w:r>
      <w:r w:rsidRPr="006E3B9B">
        <w:rPr>
          <w:rFonts w:hint="eastAsia"/>
          <w:lang w:eastAsia="zh-CN"/>
        </w:rPr>
        <w:tab/>
      </w:r>
      <w:r w:rsidR="004E1793">
        <w:rPr>
          <w:lang w:eastAsia="zh-CN"/>
        </w:rPr>
        <w:tab/>
      </w:r>
      <w:r w:rsidRPr="006E3B9B">
        <w:rPr>
          <w:rFonts w:hint="eastAsia"/>
          <w:lang w:eastAsia="zh-CN"/>
        </w:rPr>
        <w:t>2007</w:t>
      </w:r>
      <w:r w:rsidRPr="006E3B9B">
        <w:rPr>
          <w:rFonts w:hint="eastAsia"/>
          <w:lang w:eastAsia="zh-CN"/>
        </w:rPr>
        <w:t>年</w:t>
      </w:r>
    </w:p>
    <w:p w14:paraId="4827C17B" w14:textId="77777777" w:rsidR="006E3B9B" w:rsidRDefault="006E3B9B" w:rsidP="004E1793">
      <w:pPr>
        <w:pStyle w:val="Appendixref"/>
        <w:rPr>
          <w:lang w:val="en-US" w:eastAsia="zh-CN"/>
        </w:rPr>
      </w:pPr>
      <w:r w:rsidRPr="006E3B9B">
        <w:rPr>
          <w:lang w:eastAsia="zh-CN"/>
        </w:rPr>
        <w:t>第</w:t>
      </w:r>
      <w:r w:rsidRPr="006E3B9B">
        <w:rPr>
          <w:lang w:eastAsia="zh-CN"/>
        </w:rPr>
        <w:t>12</w:t>
      </w:r>
      <w:r w:rsidRPr="006E3B9B">
        <w:rPr>
          <w:rFonts w:hint="eastAsia"/>
          <w:lang w:eastAsia="zh-CN"/>
        </w:rPr>
        <w:t>67</w:t>
      </w:r>
      <w:r w:rsidRPr="006E3B9B">
        <w:rPr>
          <w:rFonts w:hint="eastAsia"/>
          <w:lang w:eastAsia="zh-CN"/>
        </w:rPr>
        <w:t>号决议</w:t>
      </w:r>
      <w:r w:rsidRPr="006E3B9B">
        <w:rPr>
          <w:rFonts w:hint="eastAsia"/>
          <w:lang w:eastAsia="zh-CN"/>
        </w:rPr>
        <w:tab/>
      </w:r>
      <w:r w:rsidRPr="006E3B9B">
        <w:rPr>
          <w:rFonts w:hint="eastAsia"/>
          <w:lang w:eastAsia="zh-CN"/>
        </w:rPr>
        <w:t>国际电联</w:t>
      </w:r>
      <w:r w:rsidRPr="006E3B9B">
        <w:rPr>
          <w:lang w:eastAsia="zh-CN"/>
        </w:rPr>
        <w:t>2004</w:t>
      </w:r>
      <w:r w:rsidRPr="006E3B9B">
        <w:rPr>
          <w:rFonts w:hint="eastAsia"/>
          <w:lang w:eastAsia="zh-CN"/>
        </w:rPr>
        <w:t>年非洲电信展相关活动的账目</w:t>
      </w:r>
      <w:bookmarkStart w:id="2890" w:name="_Toc161224136"/>
      <w:bookmarkStart w:id="2891" w:name="_Toc161732183"/>
      <w:bookmarkStart w:id="2892" w:name="_Toc161741115"/>
      <w:r w:rsidRPr="006E3B9B">
        <w:rPr>
          <w:rFonts w:hint="eastAsia"/>
          <w:lang w:eastAsia="zh-CN"/>
        </w:rPr>
        <w:tab/>
      </w:r>
      <w:r w:rsidR="004E1793">
        <w:rPr>
          <w:lang w:eastAsia="zh-CN"/>
        </w:rPr>
        <w:tab/>
      </w:r>
      <w:r w:rsidRPr="006E3B9B">
        <w:rPr>
          <w:rFonts w:hint="eastAsia"/>
          <w:lang w:eastAsia="zh-CN"/>
        </w:rPr>
        <w:t>2007</w:t>
      </w:r>
      <w:r w:rsidRPr="006E3B9B">
        <w:rPr>
          <w:rFonts w:hint="eastAsia"/>
          <w:lang w:eastAsia="zh-CN"/>
        </w:rPr>
        <w:t>年</w:t>
      </w:r>
    </w:p>
    <w:p w14:paraId="4827C17C" w14:textId="77777777" w:rsidR="006E3B9B" w:rsidRPr="006D0EE6" w:rsidRDefault="00F07F1B" w:rsidP="003E11A1">
      <w:pPr>
        <w:pStyle w:val="Reftitle"/>
        <w:rPr>
          <w:lang w:eastAsia="zh-CN"/>
        </w:rPr>
      </w:pPr>
      <w:r w:rsidRPr="006D0EE6">
        <w:rPr>
          <w:rFonts w:hint="eastAsia"/>
          <w:lang w:eastAsia="zh-CN"/>
        </w:rPr>
        <w:t>200</w:t>
      </w:r>
      <w:r w:rsidRPr="006D0EE6">
        <w:rPr>
          <w:lang w:eastAsia="zh-CN"/>
        </w:rPr>
        <w:t>6</w:t>
      </w:r>
      <w:r w:rsidR="006E3B9B" w:rsidRPr="006D0EE6">
        <w:rPr>
          <w:rFonts w:hint="eastAsia"/>
          <w:lang w:eastAsia="zh-CN"/>
        </w:rPr>
        <w:t>年非常会议（</w:t>
      </w:r>
      <w:r w:rsidR="006E3B9B" w:rsidRPr="006D0EE6">
        <w:rPr>
          <w:rFonts w:hint="eastAsia"/>
          <w:lang w:eastAsia="zh-CN"/>
        </w:rPr>
        <w:t>2006</w:t>
      </w:r>
      <w:r w:rsidR="006E3B9B" w:rsidRPr="006D0EE6">
        <w:rPr>
          <w:rFonts w:hint="eastAsia"/>
          <w:lang w:eastAsia="zh-CN"/>
        </w:rPr>
        <w:t>年</w:t>
      </w:r>
      <w:r w:rsidR="006E3B9B" w:rsidRPr="006D0EE6">
        <w:rPr>
          <w:rFonts w:hint="eastAsia"/>
          <w:lang w:eastAsia="zh-CN"/>
        </w:rPr>
        <w:t>11</w:t>
      </w:r>
      <w:r w:rsidR="006E3B9B" w:rsidRPr="006D0EE6">
        <w:rPr>
          <w:rFonts w:hint="eastAsia"/>
          <w:lang w:eastAsia="zh-CN"/>
        </w:rPr>
        <w:t>月</w:t>
      </w:r>
      <w:r w:rsidR="006E3B9B" w:rsidRPr="006D0EE6">
        <w:rPr>
          <w:rFonts w:hint="eastAsia"/>
          <w:lang w:eastAsia="zh-CN"/>
        </w:rPr>
        <w:t>24</w:t>
      </w:r>
      <w:r w:rsidR="006E3B9B" w:rsidRPr="006D0EE6">
        <w:rPr>
          <w:rFonts w:hint="eastAsia"/>
          <w:lang w:eastAsia="zh-CN"/>
        </w:rPr>
        <w:t>日）</w:t>
      </w:r>
    </w:p>
    <w:p w14:paraId="4827C17D" w14:textId="77777777" w:rsidR="006E3B9B" w:rsidRPr="006D0EE6" w:rsidRDefault="006E3B9B" w:rsidP="00091112">
      <w:pPr>
        <w:pStyle w:val="Appendixref"/>
        <w:rPr>
          <w:lang w:val="en-US" w:eastAsia="zh-CN"/>
        </w:rPr>
      </w:pPr>
      <w:r w:rsidRPr="006E3B9B">
        <w:rPr>
          <w:rFonts w:hint="eastAsia"/>
          <w:lang w:eastAsia="zh-CN"/>
        </w:rPr>
        <w:t>第</w:t>
      </w:r>
      <w:r w:rsidRPr="006E3B9B">
        <w:rPr>
          <w:rFonts w:hint="eastAsia"/>
          <w:lang w:eastAsia="zh-CN"/>
        </w:rPr>
        <w:t>1253</w:t>
      </w:r>
      <w:r w:rsidR="001864A6">
        <w:rPr>
          <w:rFonts w:hint="eastAsia"/>
          <w:lang w:eastAsia="zh-CN"/>
        </w:rPr>
        <w:t>号决议</w:t>
      </w:r>
      <w:r w:rsidRPr="006E3B9B">
        <w:rPr>
          <w:lang w:eastAsia="zh-CN"/>
        </w:rPr>
        <w:tab/>
      </w:r>
      <w:r w:rsidRPr="006E3B9B">
        <w:rPr>
          <w:rFonts w:hint="eastAsia"/>
          <w:lang w:eastAsia="zh-CN"/>
        </w:rPr>
        <w:t>人力资源管理三方小组</w:t>
      </w:r>
      <w:r w:rsidR="006D0EE6">
        <w:rPr>
          <w:rFonts w:hint="eastAsia"/>
          <w:lang w:eastAsia="zh-CN"/>
        </w:rPr>
        <w:tab/>
      </w:r>
      <w:r w:rsidR="00091112">
        <w:rPr>
          <w:lang w:val="en-US" w:eastAsia="zh-CN"/>
        </w:rPr>
        <w:tab/>
      </w:r>
      <w:r w:rsidR="003316AB">
        <w:rPr>
          <w:rFonts w:hint="eastAsia"/>
          <w:lang w:val="en-US" w:eastAsia="zh-CN"/>
        </w:rPr>
        <w:t>2011</w:t>
      </w:r>
      <w:r w:rsidR="00077C0D">
        <w:rPr>
          <w:rFonts w:hint="eastAsia"/>
          <w:lang w:val="en-US" w:eastAsia="zh-CN"/>
        </w:rPr>
        <w:t>年</w:t>
      </w:r>
    </w:p>
    <w:p w14:paraId="4827C17E" w14:textId="77777777" w:rsidR="006E3B9B" w:rsidRPr="006D0EE6" w:rsidRDefault="006E3B9B" w:rsidP="003E11A1">
      <w:pPr>
        <w:pStyle w:val="Reftitle"/>
        <w:rPr>
          <w:lang w:eastAsia="zh-CN"/>
        </w:rPr>
      </w:pPr>
      <w:r w:rsidRPr="006D0EE6">
        <w:rPr>
          <w:lang w:eastAsia="zh-CN"/>
        </w:rPr>
        <w:t>2007</w:t>
      </w:r>
      <w:r w:rsidRPr="006D0EE6">
        <w:rPr>
          <w:rFonts w:hint="eastAsia"/>
          <w:lang w:eastAsia="zh-CN"/>
        </w:rPr>
        <w:t>年会议（</w:t>
      </w:r>
      <w:r w:rsidRPr="006D0EE6">
        <w:rPr>
          <w:rFonts w:hint="eastAsia"/>
          <w:lang w:eastAsia="zh-CN"/>
        </w:rPr>
        <w:t>2007</w:t>
      </w:r>
      <w:r w:rsidRPr="006D0EE6">
        <w:rPr>
          <w:rFonts w:hint="eastAsia"/>
          <w:lang w:eastAsia="zh-CN"/>
        </w:rPr>
        <w:t>年</w:t>
      </w:r>
      <w:r w:rsidRPr="006D0EE6">
        <w:rPr>
          <w:rFonts w:hint="eastAsia"/>
          <w:lang w:eastAsia="zh-CN"/>
        </w:rPr>
        <w:t>9</w:t>
      </w:r>
      <w:r w:rsidRPr="006D0EE6">
        <w:rPr>
          <w:rFonts w:hint="eastAsia"/>
          <w:lang w:eastAsia="zh-CN"/>
        </w:rPr>
        <w:t>月</w:t>
      </w:r>
      <w:r w:rsidRPr="006D0EE6">
        <w:rPr>
          <w:rFonts w:hint="eastAsia"/>
          <w:lang w:eastAsia="zh-CN"/>
        </w:rPr>
        <w:t>4-14</w:t>
      </w:r>
      <w:r w:rsidRPr="006D0EE6">
        <w:rPr>
          <w:rFonts w:hint="eastAsia"/>
          <w:lang w:eastAsia="zh-CN"/>
        </w:rPr>
        <w:t>日）</w:t>
      </w:r>
    </w:p>
    <w:p w14:paraId="4827C17F" w14:textId="77777777" w:rsidR="006E3B9B" w:rsidRPr="006E3B9B" w:rsidRDefault="006E3B9B" w:rsidP="004E1793">
      <w:pPr>
        <w:pStyle w:val="Appendixref"/>
        <w:rPr>
          <w:lang w:eastAsia="zh-CN"/>
        </w:rPr>
      </w:pPr>
      <w:r w:rsidRPr="006E3B9B">
        <w:rPr>
          <w:rFonts w:hint="eastAsia"/>
          <w:lang w:eastAsia="zh-CN"/>
        </w:rPr>
        <w:t>第</w:t>
      </w:r>
      <w:r w:rsidRPr="006E3B9B">
        <w:rPr>
          <w:lang w:eastAsia="zh-CN"/>
        </w:rPr>
        <w:t>1268</w:t>
      </w:r>
      <w:r w:rsidRPr="006E3B9B">
        <w:rPr>
          <w:lang w:eastAsia="zh-CN"/>
        </w:rPr>
        <w:t>号决议</w:t>
      </w:r>
      <w:r w:rsidRPr="006E3B9B">
        <w:rPr>
          <w:lang w:eastAsia="zh-CN"/>
        </w:rPr>
        <w:tab/>
      </w:r>
      <w:r w:rsidRPr="006E3B9B">
        <w:rPr>
          <w:rFonts w:hint="eastAsia"/>
          <w:lang w:eastAsia="zh-CN"/>
        </w:rPr>
        <w:t>无线电通信部门</w:t>
      </w:r>
      <w:r w:rsidRPr="006E3B9B">
        <w:rPr>
          <w:lang w:eastAsia="zh-CN"/>
        </w:rPr>
        <w:t>2008-2011</w:t>
      </w:r>
      <w:r w:rsidRPr="006E3B9B">
        <w:rPr>
          <w:lang w:eastAsia="zh-CN"/>
        </w:rPr>
        <w:t>年四年期滚动式运作</w:t>
      </w:r>
      <w:r w:rsidRPr="006E3B9B">
        <w:rPr>
          <w:rFonts w:hint="eastAsia"/>
          <w:lang w:eastAsia="zh-CN"/>
        </w:rPr>
        <w:t>规</w:t>
      </w:r>
      <w:r w:rsidRPr="006E3B9B">
        <w:rPr>
          <w:lang w:eastAsia="zh-CN"/>
        </w:rPr>
        <w:t>划</w:t>
      </w:r>
      <w:r w:rsidR="001864A6">
        <w:rPr>
          <w:rFonts w:hint="eastAsia"/>
          <w:lang w:eastAsia="zh-CN"/>
        </w:rPr>
        <w:tab/>
      </w:r>
      <w:r w:rsidR="004E1793">
        <w:rPr>
          <w:lang w:eastAsia="zh-CN"/>
        </w:rPr>
        <w:tab/>
      </w:r>
      <w:r w:rsidR="001864A6">
        <w:rPr>
          <w:rFonts w:hint="eastAsia"/>
          <w:lang w:eastAsia="zh-CN"/>
        </w:rPr>
        <w:t>2008</w:t>
      </w:r>
      <w:r w:rsidR="001864A6">
        <w:rPr>
          <w:rFonts w:hint="eastAsia"/>
          <w:lang w:eastAsia="zh-CN"/>
        </w:rPr>
        <w:t>年</w:t>
      </w:r>
    </w:p>
    <w:p w14:paraId="4827C180" w14:textId="77777777" w:rsidR="006E3B9B" w:rsidRPr="006E3B9B" w:rsidRDefault="006E3B9B" w:rsidP="004E1793">
      <w:pPr>
        <w:pStyle w:val="Appendixref"/>
        <w:rPr>
          <w:lang w:eastAsia="zh-CN"/>
        </w:rPr>
      </w:pPr>
      <w:r w:rsidRPr="006E3B9B">
        <w:rPr>
          <w:rFonts w:hint="eastAsia"/>
          <w:lang w:eastAsia="zh-CN"/>
        </w:rPr>
        <w:t>第</w:t>
      </w:r>
      <w:r w:rsidRPr="006E3B9B">
        <w:rPr>
          <w:lang w:eastAsia="zh-CN"/>
        </w:rPr>
        <w:t>1269</w:t>
      </w:r>
      <w:r w:rsidRPr="006E3B9B">
        <w:rPr>
          <w:lang w:eastAsia="zh-CN"/>
        </w:rPr>
        <w:t>号决议</w:t>
      </w:r>
      <w:r w:rsidRPr="006E3B9B">
        <w:rPr>
          <w:lang w:eastAsia="zh-CN"/>
        </w:rPr>
        <w:tab/>
      </w:r>
      <w:r w:rsidRPr="006E3B9B">
        <w:rPr>
          <w:lang w:eastAsia="zh-CN"/>
        </w:rPr>
        <w:t>电信标准化部门</w:t>
      </w:r>
      <w:r w:rsidRPr="006E3B9B">
        <w:rPr>
          <w:lang w:eastAsia="zh-CN"/>
        </w:rPr>
        <w:t>2008-2011</w:t>
      </w:r>
      <w:r w:rsidRPr="006E3B9B">
        <w:rPr>
          <w:lang w:eastAsia="zh-CN"/>
        </w:rPr>
        <w:t>年四年期滚动式运作</w:t>
      </w:r>
      <w:r w:rsidRPr="006E3B9B">
        <w:rPr>
          <w:rFonts w:hint="eastAsia"/>
          <w:lang w:eastAsia="zh-CN"/>
        </w:rPr>
        <w:t>规</w:t>
      </w:r>
      <w:r w:rsidRPr="006E3B9B">
        <w:rPr>
          <w:lang w:eastAsia="zh-CN"/>
        </w:rPr>
        <w:t>划</w:t>
      </w:r>
      <w:r w:rsidR="001864A6">
        <w:rPr>
          <w:rFonts w:hint="eastAsia"/>
          <w:lang w:eastAsia="zh-CN"/>
        </w:rPr>
        <w:tab/>
      </w:r>
      <w:r w:rsidR="004E1793">
        <w:rPr>
          <w:lang w:eastAsia="zh-CN"/>
        </w:rPr>
        <w:tab/>
      </w:r>
      <w:r w:rsidR="001864A6">
        <w:rPr>
          <w:rFonts w:hint="eastAsia"/>
          <w:lang w:eastAsia="zh-CN"/>
        </w:rPr>
        <w:t>2008</w:t>
      </w:r>
      <w:r w:rsidR="001864A6">
        <w:rPr>
          <w:rFonts w:hint="eastAsia"/>
          <w:lang w:eastAsia="zh-CN"/>
        </w:rPr>
        <w:t>年</w:t>
      </w:r>
    </w:p>
    <w:p w14:paraId="4827C181" w14:textId="77777777" w:rsidR="006E3B9B" w:rsidRPr="006E3B9B" w:rsidRDefault="006E3B9B" w:rsidP="004E1793">
      <w:pPr>
        <w:pStyle w:val="Appendixref"/>
        <w:rPr>
          <w:lang w:eastAsia="zh-CN"/>
        </w:rPr>
      </w:pPr>
      <w:r w:rsidRPr="006E3B9B">
        <w:rPr>
          <w:rFonts w:hint="eastAsia"/>
          <w:lang w:eastAsia="zh-CN"/>
        </w:rPr>
        <w:t>第</w:t>
      </w:r>
      <w:r w:rsidRPr="006E3B9B">
        <w:rPr>
          <w:lang w:eastAsia="zh-CN"/>
        </w:rPr>
        <w:t>1270</w:t>
      </w:r>
      <w:r w:rsidRPr="006E3B9B">
        <w:rPr>
          <w:lang w:eastAsia="zh-CN"/>
        </w:rPr>
        <w:t>号决议</w:t>
      </w:r>
      <w:r w:rsidRPr="006E3B9B">
        <w:rPr>
          <w:lang w:eastAsia="zh-CN"/>
        </w:rPr>
        <w:tab/>
      </w:r>
      <w:r w:rsidRPr="006E3B9B">
        <w:rPr>
          <w:lang w:eastAsia="zh-CN"/>
        </w:rPr>
        <w:t>电信</w:t>
      </w:r>
      <w:r w:rsidRPr="006E3B9B">
        <w:rPr>
          <w:rFonts w:hint="eastAsia"/>
          <w:lang w:eastAsia="zh-CN"/>
        </w:rPr>
        <w:t>发展</w:t>
      </w:r>
      <w:r w:rsidRPr="006E3B9B">
        <w:rPr>
          <w:lang w:eastAsia="zh-CN"/>
        </w:rPr>
        <w:t>部门</w:t>
      </w:r>
      <w:r w:rsidRPr="006E3B9B">
        <w:rPr>
          <w:lang w:eastAsia="zh-CN"/>
        </w:rPr>
        <w:t>2008-2011</w:t>
      </w:r>
      <w:r w:rsidRPr="006E3B9B">
        <w:rPr>
          <w:lang w:eastAsia="zh-CN"/>
        </w:rPr>
        <w:t>年四年期滚动式运作</w:t>
      </w:r>
      <w:r w:rsidRPr="006E3B9B">
        <w:rPr>
          <w:rFonts w:hint="eastAsia"/>
          <w:lang w:eastAsia="zh-CN"/>
        </w:rPr>
        <w:t>规</w:t>
      </w:r>
      <w:r w:rsidRPr="006E3B9B">
        <w:rPr>
          <w:lang w:eastAsia="zh-CN"/>
        </w:rPr>
        <w:t>划</w:t>
      </w:r>
      <w:r>
        <w:rPr>
          <w:rFonts w:hint="eastAsia"/>
          <w:lang w:eastAsia="zh-CN"/>
        </w:rPr>
        <w:tab/>
      </w:r>
      <w:r w:rsidR="004E1793">
        <w:rPr>
          <w:lang w:eastAsia="zh-CN"/>
        </w:rPr>
        <w:tab/>
      </w:r>
      <w:r w:rsidR="001864A6">
        <w:rPr>
          <w:rFonts w:hint="eastAsia"/>
          <w:lang w:eastAsia="zh-CN"/>
        </w:rPr>
        <w:t>2008</w:t>
      </w:r>
      <w:r w:rsidR="001864A6">
        <w:rPr>
          <w:rFonts w:hint="eastAsia"/>
          <w:lang w:eastAsia="zh-CN"/>
        </w:rPr>
        <w:t>年</w:t>
      </w:r>
    </w:p>
    <w:p w14:paraId="4827C182" w14:textId="77777777" w:rsidR="006E3B9B" w:rsidRPr="004C0FAE" w:rsidRDefault="006E3B9B" w:rsidP="004E1793">
      <w:pPr>
        <w:pStyle w:val="Appendixref"/>
        <w:rPr>
          <w:lang w:eastAsia="zh-CN"/>
        </w:rPr>
      </w:pPr>
      <w:r w:rsidRPr="004C0FAE">
        <w:rPr>
          <w:rFonts w:hint="eastAsia"/>
          <w:lang w:eastAsia="zh-CN"/>
        </w:rPr>
        <w:t>第</w:t>
      </w:r>
      <w:r w:rsidRPr="004C0FAE">
        <w:rPr>
          <w:lang w:eastAsia="zh-CN"/>
        </w:rPr>
        <w:t>1271</w:t>
      </w:r>
      <w:r w:rsidRPr="004C0FAE">
        <w:rPr>
          <w:lang w:eastAsia="zh-CN"/>
        </w:rPr>
        <w:t>号决议</w:t>
      </w:r>
      <w:r w:rsidRPr="004C0FAE">
        <w:rPr>
          <w:lang w:eastAsia="zh-CN"/>
        </w:rPr>
        <w:tab/>
        <w:t>2008-2011</w:t>
      </w:r>
      <w:r w:rsidRPr="004C0FAE">
        <w:rPr>
          <w:rFonts w:hint="eastAsia"/>
          <w:lang w:eastAsia="zh-CN"/>
        </w:rPr>
        <w:t>年总秘书处四年期滚动式运作规划</w:t>
      </w:r>
      <w:r w:rsidRPr="004C0FAE">
        <w:rPr>
          <w:rFonts w:hint="eastAsia"/>
          <w:lang w:eastAsia="zh-CN"/>
        </w:rPr>
        <w:tab/>
      </w:r>
      <w:r w:rsidR="004E1793">
        <w:rPr>
          <w:lang w:eastAsia="zh-CN"/>
        </w:rPr>
        <w:tab/>
      </w:r>
      <w:r w:rsidR="001864A6" w:rsidRPr="004C0FAE">
        <w:rPr>
          <w:rFonts w:hint="eastAsia"/>
          <w:lang w:eastAsia="zh-CN"/>
        </w:rPr>
        <w:t>2008</w:t>
      </w:r>
      <w:r w:rsidR="001864A6" w:rsidRPr="004C0FAE">
        <w:rPr>
          <w:rFonts w:hint="eastAsia"/>
          <w:lang w:eastAsia="zh-CN"/>
        </w:rPr>
        <w:t>年</w:t>
      </w:r>
    </w:p>
    <w:p w14:paraId="4827C183" w14:textId="77777777" w:rsidR="006E3B9B" w:rsidRPr="004C0FAE" w:rsidRDefault="006E3B9B" w:rsidP="004E1793">
      <w:pPr>
        <w:pStyle w:val="Appendixref"/>
        <w:rPr>
          <w:lang w:eastAsia="zh-CN"/>
        </w:rPr>
      </w:pPr>
      <w:r w:rsidRPr="004C0FAE">
        <w:rPr>
          <w:rFonts w:hint="eastAsia"/>
          <w:lang w:eastAsia="zh-CN"/>
        </w:rPr>
        <w:t>第</w:t>
      </w:r>
      <w:r w:rsidRPr="004C0FAE">
        <w:rPr>
          <w:lang w:eastAsia="zh-CN"/>
        </w:rPr>
        <w:t>1272</w:t>
      </w:r>
      <w:r w:rsidRPr="004C0FAE">
        <w:rPr>
          <w:lang w:eastAsia="zh-CN"/>
        </w:rPr>
        <w:t>号决议</w:t>
      </w:r>
      <w:r w:rsidRPr="004C0FAE">
        <w:rPr>
          <w:lang w:eastAsia="zh-CN"/>
        </w:rPr>
        <w:tab/>
      </w:r>
      <w:r w:rsidRPr="004C0FAE">
        <w:rPr>
          <w:rFonts w:hint="eastAsia"/>
          <w:lang w:eastAsia="zh-CN"/>
        </w:rPr>
        <w:t>2008</w:t>
      </w:r>
      <w:r w:rsidRPr="004C0FAE">
        <w:rPr>
          <w:rFonts w:hint="eastAsia"/>
          <w:lang w:eastAsia="zh-CN"/>
        </w:rPr>
        <w:t>年世界电信标准化全会（</w:t>
      </w:r>
      <w:r w:rsidRPr="004C0FAE">
        <w:rPr>
          <w:lang w:eastAsia="zh-CN"/>
        </w:rPr>
        <w:t>WTSA-08</w:t>
      </w:r>
      <w:r w:rsidRPr="004C0FAE">
        <w:rPr>
          <w:rFonts w:hint="eastAsia"/>
          <w:lang w:eastAsia="zh-CN"/>
        </w:rPr>
        <w:t>）</w:t>
      </w:r>
      <w:r w:rsidRPr="004C0FAE">
        <w:rPr>
          <w:rFonts w:hint="eastAsia"/>
          <w:lang w:eastAsia="zh-CN"/>
        </w:rPr>
        <w:tab/>
      </w:r>
      <w:r w:rsidR="004E1793">
        <w:rPr>
          <w:lang w:eastAsia="zh-CN"/>
        </w:rPr>
        <w:tab/>
      </w:r>
      <w:r w:rsidR="00B824A2" w:rsidRPr="004C0FAE">
        <w:rPr>
          <w:rFonts w:hint="eastAsia"/>
          <w:lang w:eastAsia="zh-CN"/>
        </w:rPr>
        <w:t>2</w:t>
      </w:r>
      <w:r w:rsidR="00B824A2" w:rsidRPr="004C0FAE">
        <w:rPr>
          <w:lang w:eastAsia="zh-CN"/>
        </w:rPr>
        <w:t>009</w:t>
      </w:r>
      <w:r w:rsidR="00B824A2" w:rsidRPr="004C0FAE">
        <w:rPr>
          <w:rFonts w:hint="eastAsia"/>
          <w:lang w:eastAsia="zh-CN"/>
        </w:rPr>
        <w:t>年</w:t>
      </w:r>
    </w:p>
    <w:p w14:paraId="4827C184" w14:textId="77777777" w:rsidR="006E3B9B" w:rsidRPr="004C0FAE" w:rsidRDefault="006E3B9B" w:rsidP="004E1793">
      <w:pPr>
        <w:pStyle w:val="Appendixref"/>
        <w:rPr>
          <w:lang w:eastAsia="zh-CN"/>
        </w:rPr>
      </w:pPr>
      <w:r w:rsidRPr="004C0FAE">
        <w:rPr>
          <w:rFonts w:hint="eastAsia"/>
          <w:lang w:eastAsia="zh-CN"/>
        </w:rPr>
        <w:t>第</w:t>
      </w:r>
      <w:r w:rsidRPr="004C0FAE">
        <w:rPr>
          <w:lang w:eastAsia="zh-CN"/>
        </w:rPr>
        <w:t>1273</w:t>
      </w:r>
      <w:r w:rsidRPr="004C0FAE">
        <w:rPr>
          <w:lang w:eastAsia="zh-CN"/>
        </w:rPr>
        <w:t>号决议</w:t>
      </w:r>
      <w:r w:rsidRPr="004C0FAE">
        <w:rPr>
          <w:lang w:eastAsia="zh-CN"/>
        </w:rPr>
        <w:tab/>
      </w:r>
      <w:r w:rsidRPr="004C0FAE">
        <w:rPr>
          <w:rFonts w:hint="eastAsia"/>
          <w:lang w:eastAsia="zh-CN"/>
        </w:rPr>
        <w:t>理事会管理和预算小组（</w:t>
      </w:r>
      <w:r w:rsidRPr="004C0FAE">
        <w:rPr>
          <w:lang w:eastAsia="zh-CN"/>
        </w:rPr>
        <w:t>MBG</w:t>
      </w:r>
      <w:r w:rsidRPr="004C0FAE">
        <w:rPr>
          <w:rFonts w:hint="eastAsia"/>
          <w:lang w:eastAsia="zh-CN"/>
        </w:rPr>
        <w:t>）的成立</w:t>
      </w:r>
      <w:r w:rsidRPr="004C0FAE">
        <w:rPr>
          <w:rFonts w:hint="eastAsia"/>
          <w:lang w:eastAsia="zh-CN"/>
        </w:rPr>
        <w:tab/>
      </w:r>
      <w:r w:rsidR="004E1793">
        <w:rPr>
          <w:lang w:eastAsia="zh-CN"/>
        </w:rPr>
        <w:tab/>
      </w:r>
      <w:r w:rsidR="003316AB">
        <w:rPr>
          <w:rFonts w:hint="eastAsia"/>
          <w:lang w:eastAsia="zh-CN"/>
        </w:rPr>
        <w:t>2011</w:t>
      </w:r>
      <w:r w:rsidR="00077C0D">
        <w:rPr>
          <w:rFonts w:hint="eastAsia"/>
          <w:lang w:eastAsia="zh-CN"/>
        </w:rPr>
        <w:t>年</w:t>
      </w:r>
    </w:p>
    <w:p w14:paraId="4827C185" w14:textId="77777777" w:rsidR="006E3B9B" w:rsidRPr="004C0FAE" w:rsidRDefault="006E3B9B" w:rsidP="004E1793">
      <w:pPr>
        <w:pStyle w:val="Appendixref"/>
        <w:rPr>
          <w:lang w:eastAsia="zh-CN"/>
        </w:rPr>
      </w:pPr>
      <w:r w:rsidRPr="004C0FAE">
        <w:rPr>
          <w:rFonts w:hint="eastAsia"/>
          <w:lang w:eastAsia="zh-CN"/>
        </w:rPr>
        <w:t>第</w:t>
      </w:r>
      <w:r w:rsidRPr="004C0FAE">
        <w:rPr>
          <w:lang w:eastAsia="zh-CN"/>
        </w:rPr>
        <w:t>1274</w:t>
      </w:r>
      <w:r w:rsidRPr="004C0FAE">
        <w:rPr>
          <w:lang w:eastAsia="zh-CN"/>
        </w:rPr>
        <w:t>号决议</w:t>
      </w:r>
      <w:r w:rsidRPr="004C0FAE">
        <w:rPr>
          <w:lang w:eastAsia="zh-CN"/>
        </w:rPr>
        <w:tab/>
      </w:r>
      <w:r w:rsidRPr="004C0FAE">
        <w:rPr>
          <w:lang w:eastAsia="zh-CN"/>
        </w:rPr>
        <w:t>分摊国际电联费用的会费份额</w:t>
      </w:r>
      <w:r w:rsidRPr="004C0FAE">
        <w:rPr>
          <w:rFonts w:hint="eastAsia"/>
          <w:lang w:eastAsia="zh-CN"/>
        </w:rPr>
        <w:tab/>
      </w:r>
      <w:r w:rsidR="004E1793">
        <w:rPr>
          <w:lang w:eastAsia="zh-CN"/>
        </w:rPr>
        <w:tab/>
      </w:r>
      <w:r w:rsidR="003854B6">
        <w:rPr>
          <w:rFonts w:hint="eastAsia"/>
          <w:lang w:eastAsia="zh-CN"/>
        </w:rPr>
        <w:t>201</w:t>
      </w:r>
      <w:r w:rsidR="003854B6">
        <w:rPr>
          <w:lang w:eastAsia="zh-CN"/>
        </w:rPr>
        <w:t>2</w:t>
      </w:r>
      <w:r w:rsidR="003854B6">
        <w:rPr>
          <w:rFonts w:hint="eastAsia"/>
          <w:lang w:eastAsia="zh-CN"/>
        </w:rPr>
        <w:t>年</w:t>
      </w:r>
    </w:p>
    <w:p w14:paraId="4827C186" w14:textId="77777777" w:rsidR="006E3B9B" w:rsidRPr="004C0FAE" w:rsidRDefault="006E3B9B" w:rsidP="004E1793">
      <w:pPr>
        <w:pStyle w:val="Appendixref"/>
        <w:rPr>
          <w:lang w:eastAsia="zh-CN"/>
        </w:rPr>
      </w:pPr>
      <w:r w:rsidRPr="004C0FAE">
        <w:rPr>
          <w:rFonts w:hint="eastAsia"/>
          <w:lang w:eastAsia="zh-CN"/>
        </w:rPr>
        <w:t>第</w:t>
      </w:r>
      <w:r w:rsidRPr="004C0FAE">
        <w:rPr>
          <w:lang w:eastAsia="zh-CN"/>
        </w:rPr>
        <w:t>1275</w:t>
      </w:r>
      <w:r w:rsidRPr="004C0FAE">
        <w:rPr>
          <w:lang w:eastAsia="zh-CN"/>
        </w:rPr>
        <w:t>号决议</w:t>
      </w:r>
      <w:r w:rsidRPr="004C0FAE">
        <w:rPr>
          <w:lang w:eastAsia="zh-CN"/>
        </w:rPr>
        <w:tab/>
      </w:r>
      <w:r w:rsidRPr="004C0FAE">
        <w:rPr>
          <w:lang w:eastAsia="zh-CN"/>
        </w:rPr>
        <w:t>分摊国际电联费用的会费份额</w:t>
      </w:r>
      <w:r w:rsidRPr="004C0FAE">
        <w:rPr>
          <w:rFonts w:hint="eastAsia"/>
          <w:lang w:eastAsia="zh-CN"/>
        </w:rPr>
        <w:tab/>
      </w:r>
      <w:r w:rsidR="004E1793">
        <w:rPr>
          <w:lang w:eastAsia="zh-CN"/>
        </w:rPr>
        <w:tab/>
      </w:r>
      <w:r w:rsidR="003854B6">
        <w:rPr>
          <w:rFonts w:hint="eastAsia"/>
          <w:lang w:eastAsia="zh-CN"/>
        </w:rPr>
        <w:t>201</w:t>
      </w:r>
      <w:r w:rsidR="003854B6">
        <w:rPr>
          <w:lang w:eastAsia="zh-CN"/>
        </w:rPr>
        <w:t>2</w:t>
      </w:r>
      <w:r w:rsidR="003854B6">
        <w:rPr>
          <w:rFonts w:hint="eastAsia"/>
          <w:lang w:eastAsia="zh-CN"/>
        </w:rPr>
        <w:t>年</w:t>
      </w:r>
    </w:p>
    <w:p w14:paraId="4827C187" w14:textId="77777777" w:rsidR="00091112" w:rsidRDefault="00091112">
      <w:pPr>
        <w:tabs>
          <w:tab w:val="clear" w:pos="794"/>
          <w:tab w:val="clear" w:pos="1191"/>
          <w:tab w:val="clear" w:pos="1588"/>
          <w:tab w:val="clear" w:pos="1985"/>
        </w:tabs>
        <w:overflowPunct/>
        <w:autoSpaceDE/>
        <w:autoSpaceDN/>
        <w:adjustRightInd/>
        <w:spacing w:before="0"/>
        <w:jc w:val="left"/>
        <w:textAlignment w:val="auto"/>
        <w:rPr>
          <w:sz w:val="20"/>
          <w:lang w:eastAsia="zh-CN"/>
        </w:rPr>
      </w:pPr>
      <w:r>
        <w:rPr>
          <w:lang w:eastAsia="zh-CN"/>
        </w:rPr>
        <w:br w:type="page"/>
      </w:r>
    </w:p>
    <w:p w14:paraId="4827C188" w14:textId="77777777" w:rsidR="006E3B9B" w:rsidRPr="004C0FAE" w:rsidRDefault="006E3B9B" w:rsidP="004E1793">
      <w:pPr>
        <w:pStyle w:val="Appendixref"/>
        <w:rPr>
          <w:lang w:eastAsia="zh-CN"/>
        </w:rPr>
      </w:pPr>
      <w:r w:rsidRPr="004C0FAE">
        <w:rPr>
          <w:rFonts w:hint="eastAsia"/>
          <w:lang w:eastAsia="zh-CN"/>
        </w:rPr>
        <w:lastRenderedPageBreak/>
        <w:t>第</w:t>
      </w:r>
      <w:r w:rsidRPr="004C0FAE">
        <w:rPr>
          <w:lang w:eastAsia="zh-CN"/>
        </w:rPr>
        <w:t>1276</w:t>
      </w:r>
      <w:r w:rsidRPr="004C0FAE">
        <w:rPr>
          <w:lang w:eastAsia="zh-CN"/>
        </w:rPr>
        <w:t>号决议</w:t>
      </w:r>
      <w:r w:rsidRPr="004C0FAE">
        <w:rPr>
          <w:lang w:eastAsia="zh-CN"/>
        </w:rPr>
        <w:tab/>
        <w:t>2006</w:t>
      </w:r>
      <w:r w:rsidRPr="004C0FAE">
        <w:rPr>
          <w:rFonts w:hint="eastAsia"/>
          <w:lang w:eastAsia="zh-CN"/>
        </w:rPr>
        <w:t>财年财务工作报告</w:t>
      </w:r>
      <w:r w:rsidRPr="004C0FAE">
        <w:rPr>
          <w:rFonts w:hint="eastAsia"/>
          <w:lang w:eastAsia="zh-CN"/>
        </w:rPr>
        <w:tab/>
      </w:r>
      <w:r w:rsidR="004E1793">
        <w:rPr>
          <w:lang w:eastAsia="zh-CN"/>
        </w:rPr>
        <w:tab/>
      </w:r>
      <w:r w:rsidR="00B824A2" w:rsidRPr="004C0FAE">
        <w:rPr>
          <w:rFonts w:hint="eastAsia"/>
          <w:lang w:eastAsia="zh-CN"/>
        </w:rPr>
        <w:t>2</w:t>
      </w:r>
      <w:r w:rsidR="00B824A2" w:rsidRPr="004C0FAE">
        <w:rPr>
          <w:lang w:eastAsia="zh-CN"/>
        </w:rPr>
        <w:t>009</w:t>
      </w:r>
      <w:r w:rsidR="00B824A2" w:rsidRPr="004C0FAE">
        <w:rPr>
          <w:rFonts w:hint="eastAsia"/>
          <w:lang w:eastAsia="zh-CN"/>
        </w:rPr>
        <w:t>年</w:t>
      </w:r>
    </w:p>
    <w:p w14:paraId="4827C189" w14:textId="77777777" w:rsidR="006E3B9B" w:rsidRPr="006E3B9B" w:rsidRDefault="006E3B9B" w:rsidP="004E1793">
      <w:pPr>
        <w:pStyle w:val="Appendixref"/>
        <w:rPr>
          <w:lang w:eastAsia="zh-CN"/>
        </w:rPr>
      </w:pPr>
      <w:r w:rsidRPr="006E3B9B">
        <w:rPr>
          <w:rFonts w:hint="eastAsia"/>
          <w:lang w:eastAsia="zh-CN"/>
        </w:rPr>
        <w:t>第</w:t>
      </w:r>
      <w:r w:rsidRPr="006E3B9B">
        <w:rPr>
          <w:lang w:eastAsia="zh-CN"/>
        </w:rPr>
        <w:t>1277</w:t>
      </w:r>
      <w:r w:rsidRPr="006E3B9B">
        <w:rPr>
          <w:lang w:eastAsia="zh-CN"/>
        </w:rPr>
        <w:t>号决议</w:t>
      </w:r>
      <w:r w:rsidRPr="006E3B9B">
        <w:rPr>
          <w:lang w:eastAsia="zh-CN"/>
        </w:rPr>
        <w:tab/>
      </w:r>
      <w:r w:rsidRPr="006E3B9B">
        <w:rPr>
          <w:lang w:eastAsia="zh-CN"/>
        </w:rPr>
        <w:t>国际电联</w:t>
      </w:r>
      <w:r w:rsidRPr="006E3B9B">
        <w:rPr>
          <w:lang w:eastAsia="zh-CN"/>
        </w:rPr>
        <w:t>2005</w:t>
      </w:r>
      <w:r w:rsidRPr="006E3B9B">
        <w:rPr>
          <w:lang w:eastAsia="zh-CN"/>
        </w:rPr>
        <w:t>年美洲电信展相关活动的账目</w:t>
      </w:r>
      <w:r w:rsidR="001864A6">
        <w:rPr>
          <w:rFonts w:hint="eastAsia"/>
          <w:lang w:eastAsia="zh-CN"/>
        </w:rPr>
        <w:tab/>
      </w:r>
      <w:r w:rsidR="004E1793">
        <w:rPr>
          <w:lang w:eastAsia="zh-CN"/>
        </w:rPr>
        <w:tab/>
      </w:r>
      <w:r w:rsidR="001864A6">
        <w:rPr>
          <w:rFonts w:hint="eastAsia"/>
          <w:lang w:eastAsia="zh-CN"/>
        </w:rPr>
        <w:t>2008</w:t>
      </w:r>
      <w:r w:rsidR="001864A6">
        <w:rPr>
          <w:rFonts w:hint="eastAsia"/>
          <w:lang w:eastAsia="zh-CN"/>
        </w:rPr>
        <w:t>年</w:t>
      </w:r>
    </w:p>
    <w:p w14:paraId="4827C18A" w14:textId="77777777" w:rsidR="006E3B9B" w:rsidRPr="006E3B9B" w:rsidRDefault="006E3B9B" w:rsidP="004E1793">
      <w:pPr>
        <w:pStyle w:val="Appendixref"/>
        <w:rPr>
          <w:lang w:eastAsia="zh-CN"/>
        </w:rPr>
      </w:pPr>
      <w:r w:rsidRPr="006E3B9B">
        <w:rPr>
          <w:rFonts w:hint="eastAsia"/>
          <w:lang w:eastAsia="zh-CN"/>
        </w:rPr>
        <w:t>第</w:t>
      </w:r>
      <w:r w:rsidRPr="006E3B9B">
        <w:rPr>
          <w:lang w:eastAsia="zh-CN"/>
        </w:rPr>
        <w:t>1278</w:t>
      </w:r>
      <w:r w:rsidRPr="006E3B9B">
        <w:rPr>
          <w:lang w:eastAsia="zh-CN"/>
        </w:rPr>
        <w:t>号决议</w:t>
      </w:r>
      <w:r w:rsidRPr="006E3B9B">
        <w:rPr>
          <w:lang w:eastAsia="zh-CN"/>
        </w:rPr>
        <w:tab/>
        <w:t>2006-2007</w:t>
      </w:r>
      <w:r w:rsidRPr="006E3B9B">
        <w:rPr>
          <w:lang w:eastAsia="zh-CN"/>
        </w:rPr>
        <w:t>年预算修订</w:t>
      </w:r>
      <w:r w:rsidRPr="006E3B9B">
        <w:rPr>
          <w:lang w:eastAsia="zh-CN"/>
        </w:rPr>
        <w:t xml:space="preserve"> – </w:t>
      </w:r>
      <w:r w:rsidRPr="006E3B9B">
        <w:rPr>
          <w:lang w:eastAsia="zh-CN"/>
        </w:rPr>
        <w:t>拨款转帐</w:t>
      </w:r>
      <w:r w:rsidR="001864A6">
        <w:rPr>
          <w:rFonts w:hint="eastAsia"/>
          <w:lang w:eastAsia="zh-CN"/>
        </w:rPr>
        <w:tab/>
      </w:r>
      <w:r w:rsidR="004E1793">
        <w:rPr>
          <w:lang w:eastAsia="zh-CN"/>
        </w:rPr>
        <w:tab/>
      </w:r>
      <w:r w:rsidR="001864A6">
        <w:rPr>
          <w:rFonts w:hint="eastAsia"/>
          <w:lang w:eastAsia="zh-CN"/>
        </w:rPr>
        <w:t>2008</w:t>
      </w:r>
      <w:r w:rsidR="001864A6">
        <w:rPr>
          <w:rFonts w:hint="eastAsia"/>
          <w:lang w:eastAsia="zh-CN"/>
        </w:rPr>
        <w:t>年</w:t>
      </w:r>
    </w:p>
    <w:p w14:paraId="4827C18B" w14:textId="77777777" w:rsidR="006E3B9B" w:rsidRPr="006E3B9B" w:rsidRDefault="006E3B9B" w:rsidP="004E1793">
      <w:pPr>
        <w:pStyle w:val="Appendixref"/>
        <w:rPr>
          <w:lang w:eastAsia="zh-CN"/>
        </w:rPr>
      </w:pPr>
      <w:r w:rsidRPr="006E3B9B">
        <w:rPr>
          <w:rFonts w:hint="eastAsia"/>
          <w:lang w:eastAsia="zh-CN"/>
        </w:rPr>
        <w:t>第</w:t>
      </w:r>
      <w:r w:rsidRPr="006E3B9B">
        <w:rPr>
          <w:lang w:eastAsia="zh-CN"/>
        </w:rPr>
        <w:t>1279</w:t>
      </w:r>
      <w:r w:rsidRPr="006E3B9B">
        <w:rPr>
          <w:lang w:eastAsia="zh-CN"/>
        </w:rPr>
        <w:t>号决议</w:t>
      </w:r>
      <w:r w:rsidRPr="006E3B9B">
        <w:rPr>
          <w:lang w:eastAsia="zh-CN"/>
        </w:rPr>
        <w:tab/>
        <w:t>2006-2007</w:t>
      </w:r>
      <w:r w:rsidRPr="006E3B9B">
        <w:rPr>
          <w:lang w:eastAsia="zh-CN"/>
        </w:rPr>
        <w:t>年预算修订</w:t>
      </w:r>
      <w:r w:rsidRPr="006E3B9B">
        <w:rPr>
          <w:lang w:eastAsia="zh-CN"/>
        </w:rPr>
        <w:t xml:space="preserve"> – </w:t>
      </w:r>
      <w:r w:rsidRPr="006E3B9B">
        <w:rPr>
          <w:lang w:eastAsia="zh-CN"/>
        </w:rPr>
        <w:t>拨款转帐</w:t>
      </w:r>
      <w:r w:rsidR="001864A6">
        <w:rPr>
          <w:rFonts w:hint="eastAsia"/>
          <w:lang w:eastAsia="zh-CN"/>
        </w:rPr>
        <w:tab/>
      </w:r>
      <w:r w:rsidR="004E1793">
        <w:rPr>
          <w:lang w:eastAsia="zh-CN"/>
        </w:rPr>
        <w:tab/>
      </w:r>
      <w:r w:rsidR="001864A6">
        <w:rPr>
          <w:rFonts w:hint="eastAsia"/>
          <w:lang w:eastAsia="zh-CN"/>
        </w:rPr>
        <w:t>2008</w:t>
      </w:r>
      <w:r w:rsidR="001864A6">
        <w:rPr>
          <w:rFonts w:hint="eastAsia"/>
          <w:lang w:eastAsia="zh-CN"/>
        </w:rPr>
        <w:t>年</w:t>
      </w:r>
    </w:p>
    <w:p w14:paraId="4827C18C" w14:textId="77777777" w:rsidR="006E3B9B" w:rsidRPr="006510A8" w:rsidRDefault="006E3B9B" w:rsidP="004E1793">
      <w:pPr>
        <w:pStyle w:val="Appendixref"/>
        <w:rPr>
          <w:lang w:eastAsia="zh-CN"/>
        </w:rPr>
      </w:pPr>
      <w:r w:rsidRPr="006510A8">
        <w:rPr>
          <w:rFonts w:hint="eastAsia"/>
          <w:lang w:eastAsia="zh-CN"/>
        </w:rPr>
        <w:t>第</w:t>
      </w:r>
      <w:r w:rsidRPr="006510A8">
        <w:rPr>
          <w:lang w:eastAsia="zh-CN"/>
        </w:rPr>
        <w:t>1280</w:t>
      </w:r>
      <w:r w:rsidRPr="006510A8">
        <w:rPr>
          <w:lang w:eastAsia="zh-CN"/>
        </w:rPr>
        <w:t>号决议</w:t>
      </w:r>
      <w:r w:rsidRPr="006510A8">
        <w:rPr>
          <w:lang w:eastAsia="zh-CN"/>
        </w:rPr>
        <w:tab/>
      </w:r>
      <w:r w:rsidRPr="006510A8">
        <w:rPr>
          <w:rFonts w:hint="eastAsia"/>
          <w:lang w:eastAsia="zh-CN"/>
        </w:rPr>
        <w:t>国际电联</w:t>
      </w:r>
      <w:r w:rsidRPr="006510A8">
        <w:rPr>
          <w:lang w:eastAsia="zh-CN"/>
        </w:rPr>
        <w:t>2008</w:t>
      </w:r>
      <w:r w:rsidRPr="006510A8">
        <w:rPr>
          <w:rFonts w:hint="eastAsia"/>
          <w:lang w:eastAsia="zh-CN"/>
        </w:rPr>
        <w:t>-</w:t>
      </w:r>
      <w:r w:rsidRPr="006510A8">
        <w:rPr>
          <w:lang w:eastAsia="zh-CN"/>
        </w:rPr>
        <w:t>200</w:t>
      </w:r>
      <w:r w:rsidRPr="006510A8">
        <w:rPr>
          <w:rFonts w:hint="eastAsia"/>
          <w:lang w:eastAsia="zh-CN"/>
        </w:rPr>
        <w:t>9</w:t>
      </w:r>
      <w:r w:rsidRPr="006510A8">
        <w:rPr>
          <w:rFonts w:hint="eastAsia"/>
          <w:lang w:eastAsia="zh-CN"/>
        </w:rPr>
        <w:t>双年度预算</w:t>
      </w:r>
      <w:r w:rsidRPr="006510A8">
        <w:rPr>
          <w:rFonts w:hint="eastAsia"/>
          <w:lang w:eastAsia="zh-CN"/>
        </w:rPr>
        <w:tab/>
      </w:r>
      <w:r w:rsidR="004E1793">
        <w:rPr>
          <w:lang w:eastAsia="zh-CN"/>
        </w:rPr>
        <w:tab/>
      </w:r>
      <w:r w:rsidR="003316AB">
        <w:rPr>
          <w:rFonts w:hint="eastAsia"/>
          <w:lang w:eastAsia="zh-CN"/>
        </w:rPr>
        <w:t>2011</w:t>
      </w:r>
      <w:r w:rsidR="00077C0D">
        <w:rPr>
          <w:rFonts w:hint="eastAsia"/>
          <w:lang w:eastAsia="zh-CN"/>
        </w:rPr>
        <w:t>年</w:t>
      </w:r>
    </w:p>
    <w:p w14:paraId="4827C18D" w14:textId="724AAF61" w:rsidR="006E3B9B" w:rsidRPr="006510A8" w:rsidRDefault="006E3B9B" w:rsidP="004E1793">
      <w:pPr>
        <w:pStyle w:val="Appendixref"/>
        <w:rPr>
          <w:lang w:eastAsia="zh-CN"/>
        </w:rPr>
      </w:pPr>
      <w:r w:rsidRPr="006510A8">
        <w:rPr>
          <w:rFonts w:hint="eastAsia"/>
          <w:lang w:eastAsia="zh-CN"/>
        </w:rPr>
        <w:t>第</w:t>
      </w:r>
      <w:r w:rsidRPr="006510A8">
        <w:rPr>
          <w:lang w:eastAsia="zh-CN"/>
        </w:rPr>
        <w:t>1281</w:t>
      </w:r>
      <w:r w:rsidRPr="006510A8">
        <w:rPr>
          <w:lang w:eastAsia="zh-CN"/>
        </w:rPr>
        <w:t>号决议</w:t>
      </w:r>
      <w:r w:rsidRPr="006510A8">
        <w:rPr>
          <w:lang w:eastAsia="zh-CN"/>
        </w:rPr>
        <w:tab/>
      </w:r>
      <w:r w:rsidRPr="006510A8">
        <w:rPr>
          <w:rFonts w:hint="eastAsia"/>
          <w:lang w:eastAsia="zh-CN"/>
        </w:rPr>
        <w:t>连通世界举措</w:t>
      </w:r>
      <w:r w:rsidRPr="006510A8">
        <w:rPr>
          <w:rFonts w:hint="eastAsia"/>
          <w:lang w:eastAsia="zh-CN"/>
        </w:rPr>
        <w:tab/>
      </w:r>
      <w:r w:rsidR="004E1793">
        <w:rPr>
          <w:lang w:eastAsia="zh-CN"/>
        </w:rPr>
        <w:tab/>
      </w:r>
      <w:r w:rsidR="00756611">
        <w:rPr>
          <w:rFonts w:hint="eastAsia"/>
          <w:lang w:eastAsia="zh-CN"/>
        </w:rPr>
        <w:t>2021</w:t>
      </w:r>
      <w:r w:rsidR="00756611">
        <w:rPr>
          <w:rFonts w:hint="eastAsia"/>
          <w:lang w:eastAsia="zh-CN"/>
        </w:rPr>
        <w:t>年</w:t>
      </w:r>
    </w:p>
    <w:p w14:paraId="4827C18E" w14:textId="77777777" w:rsidR="00077C0D" w:rsidRDefault="006E3B9B" w:rsidP="004E1793">
      <w:pPr>
        <w:pStyle w:val="Appendixref"/>
        <w:rPr>
          <w:lang w:eastAsia="zh-CN"/>
        </w:rPr>
      </w:pPr>
      <w:r w:rsidRPr="006510A8">
        <w:rPr>
          <w:rFonts w:hint="eastAsia"/>
          <w:lang w:eastAsia="zh-CN"/>
        </w:rPr>
        <w:t>第</w:t>
      </w:r>
      <w:r w:rsidRPr="006510A8">
        <w:rPr>
          <w:lang w:eastAsia="zh-CN"/>
        </w:rPr>
        <w:t>1282</w:t>
      </w:r>
      <w:r w:rsidRPr="006510A8">
        <w:rPr>
          <w:lang w:eastAsia="zh-CN"/>
        </w:rPr>
        <w:t>号决议</w:t>
      </w:r>
      <w:r w:rsidRPr="006510A8">
        <w:rPr>
          <w:lang w:eastAsia="zh-CN"/>
        </w:rPr>
        <w:tab/>
      </w:r>
      <w:r w:rsidRPr="006510A8">
        <w:rPr>
          <w:lang w:eastAsia="zh-CN"/>
        </w:rPr>
        <w:t>国际电联在信息社会世界高峰会议成果落实中的作用</w:t>
      </w:r>
      <w:r w:rsidRPr="006510A8">
        <w:rPr>
          <w:rFonts w:hint="eastAsia"/>
          <w:lang w:eastAsia="zh-CN"/>
        </w:rPr>
        <w:tab/>
      </w:r>
      <w:r w:rsidR="004E1793">
        <w:rPr>
          <w:lang w:eastAsia="zh-CN"/>
        </w:rPr>
        <w:tab/>
      </w:r>
      <w:r w:rsidR="00545AB1">
        <w:rPr>
          <w:rFonts w:hint="eastAsia"/>
          <w:lang w:eastAsia="zh-CN"/>
        </w:rPr>
        <w:t>2011</w:t>
      </w:r>
      <w:r w:rsidR="00077C0D">
        <w:rPr>
          <w:rFonts w:hint="eastAsia"/>
          <w:lang w:eastAsia="zh-CN"/>
        </w:rPr>
        <w:t>年</w:t>
      </w:r>
    </w:p>
    <w:p w14:paraId="4827C18F" w14:textId="77777777" w:rsidR="006E3B9B" w:rsidRPr="006510A8" w:rsidRDefault="006E3B9B" w:rsidP="004E1793">
      <w:pPr>
        <w:pStyle w:val="Appendixref"/>
        <w:rPr>
          <w:lang w:eastAsia="zh-CN"/>
        </w:rPr>
      </w:pPr>
      <w:r w:rsidRPr="006510A8">
        <w:rPr>
          <w:rFonts w:hint="eastAsia"/>
          <w:lang w:eastAsia="zh-CN"/>
        </w:rPr>
        <w:t>第</w:t>
      </w:r>
      <w:r w:rsidRPr="006510A8">
        <w:rPr>
          <w:lang w:eastAsia="zh-CN"/>
        </w:rPr>
        <w:t>1283</w:t>
      </w:r>
      <w:r w:rsidRPr="006510A8">
        <w:rPr>
          <w:lang w:eastAsia="zh-CN"/>
        </w:rPr>
        <w:t>号决议</w:t>
      </w:r>
      <w:r w:rsidRPr="006510A8">
        <w:rPr>
          <w:lang w:eastAsia="zh-CN"/>
        </w:rPr>
        <w:tab/>
      </w:r>
      <w:r w:rsidRPr="006510A8">
        <w:rPr>
          <w:rFonts w:hint="eastAsia"/>
          <w:lang w:eastAsia="zh-CN"/>
        </w:rPr>
        <w:t>新的合同安排</w:t>
      </w:r>
      <w:r w:rsidRPr="006510A8">
        <w:rPr>
          <w:rFonts w:hint="eastAsia"/>
          <w:lang w:eastAsia="zh-CN"/>
        </w:rPr>
        <w:tab/>
      </w:r>
      <w:r w:rsidR="004E1793">
        <w:rPr>
          <w:lang w:eastAsia="zh-CN"/>
        </w:rPr>
        <w:tab/>
      </w:r>
      <w:r w:rsidR="003316AB">
        <w:rPr>
          <w:rFonts w:hint="eastAsia"/>
          <w:lang w:eastAsia="zh-CN"/>
        </w:rPr>
        <w:t>2011</w:t>
      </w:r>
      <w:r w:rsidR="00077C0D">
        <w:rPr>
          <w:rFonts w:hint="eastAsia"/>
          <w:lang w:eastAsia="zh-CN"/>
        </w:rPr>
        <w:t>年</w:t>
      </w:r>
    </w:p>
    <w:p w14:paraId="4827C190" w14:textId="77777777" w:rsidR="006E3B9B" w:rsidRPr="006510A8" w:rsidRDefault="006E3B9B" w:rsidP="004E1793">
      <w:pPr>
        <w:pStyle w:val="Appendixref"/>
        <w:rPr>
          <w:lang w:eastAsia="zh-CN"/>
        </w:rPr>
      </w:pPr>
      <w:r w:rsidRPr="006510A8">
        <w:rPr>
          <w:rFonts w:hint="eastAsia"/>
          <w:lang w:eastAsia="zh-CN"/>
        </w:rPr>
        <w:t>第</w:t>
      </w:r>
      <w:r w:rsidRPr="006510A8">
        <w:rPr>
          <w:lang w:eastAsia="zh-CN"/>
        </w:rPr>
        <w:t>1284</w:t>
      </w:r>
      <w:r w:rsidRPr="006510A8">
        <w:rPr>
          <w:lang w:eastAsia="zh-CN"/>
        </w:rPr>
        <w:t>号决议</w:t>
      </w:r>
      <w:r w:rsidRPr="006510A8">
        <w:rPr>
          <w:lang w:eastAsia="zh-CN"/>
        </w:rPr>
        <w:tab/>
      </w:r>
      <w:r w:rsidRPr="006510A8">
        <w:rPr>
          <w:lang w:eastAsia="zh-CN"/>
        </w:rPr>
        <w:t>国际电联选任官员的服务条件</w:t>
      </w:r>
      <w:r w:rsidRPr="006510A8">
        <w:rPr>
          <w:rFonts w:hint="eastAsia"/>
          <w:lang w:eastAsia="zh-CN"/>
        </w:rPr>
        <w:tab/>
      </w:r>
      <w:r w:rsidR="004E1793">
        <w:rPr>
          <w:lang w:eastAsia="zh-CN"/>
        </w:rPr>
        <w:tab/>
      </w:r>
      <w:r w:rsidR="00B824A2" w:rsidRPr="006510A8">
        <w:rPr>
          <w:rFonts w:hint="eastAsia"/>
          <w:lang w:eastAsia="zh-CN"/>
        </w:rPr>
        <w:t>2</w:t>
      </w:r>
      <w:r w:rsidR="00B824A2" w:rsidRPr="006510A8">
        <w:rPr>
          <w:lang w:eastAsia="zh-CN"/>
        </w:rPr>
        <w:t>009</w:t>
      </w:r>
      <w:r w:rsidR="00B824A2" w:rsidRPr="006510A8">
        <w:rPr>
          <w:rFonts w:hint="eastAsia"/>
          <w:lang w:eastAsia="zh-CN"/>
        </w:rPr>
        <w:t>年</w:t>
      </w:r>
    </w:p>
    <w:p w14:paraId="4827C191" w14:textId="77777777" w:rsidR="006E3B9B" w:rsidRPr="006510A8" w:rsidRDefault="006E3B9B" w:rsidP="004E1793">
      <w:pPr>
        <w:pStyle w:val="Appendixref"/>
        <w:rPr>
          <w:lang w:eastAsia="zh-CN"/>
        </w:rPr>
      </w:pPr>
      <w:r w:rsidRPr="006510A8">
        <w:rPr>
          <w:rFonts w:hint="eastAsia"/>
          <w:lang w:eastAsia="zh-CN"/>
        </w:rPr>
        <w:t>第</w:t>
      </w:r>
      <w:r w:rsidRPr="006510A8">
        <w:rPr>
          <w:lang w:eastAsia="zh-CN"/>
        </w:rPr>
        <w:t>1285</w:t>
      </w:r>
      <w:r w:rsidRPr="006510A8">
        <w:rPr>
          <w:lang w:eastAsia="zh-CN"/>
        </w:rPr>
        <w:t>号决议</w:t>
      </w:r>
      <w:r w:rsidRPr="006510A8">
        <w:rPr>
          <w:lang w:eastAsia="zh-CN"/>
        </w:rPr>
        <w:tab/>
      </w:r>
      <w:r w:rsidRPr="006510A8">
        <w:rPr>
          <w:lang w:eastAsia="zh-CN"/>
        </w:rPr>
        <w:t>国际电联职员养恤金委员会的委员</w:t>
      </w:r>
      <w:r w:rsidR="001864A6" w:rsidRPr="006510A8">
        <w:rPr>
          <w:rFonts w:hint="eastAsia"/>
          <w:lang w:eastAsia="zh-CN"/>
        </w:rPr>
        <w:tab/>
      </w:r>
      <w:r w:rsidR="004E1793">
        <w:rPr>
          <w:lang w:eastAsia="zh-CN"/>
        </w:rPr>
        <w:tab/>
      </w:r>
      <w:r w:rsidR="001864A6" w:rsidRPr="006510A8">
        <w:rPr>
          <w:rFonts w:hint="eastAsia"/>
          <w:lang w:eastAsia="zh-CN"/>
        </w:rPr>
        <w:t>2008</w:t>
      </w:r>
      <w:r w:rsidR="001864A6" w:rsidRPr="006510A8">
        <w:rPr>
          <w:rFonts w:hint="eastAsia"/>
          <w:lang w:eastAsia="zh-CN"/>
        </w:rPr>
        <w:t>年</w:t>
      </w:r>
    </w:p>
    <w:p w14:paraId="4827C192" w14:textId="77777777" w:rsidR="006E3B9B" w:rsidRPr="006510A8" w:rsidRDefault="006E3B9B" w:rsidP="004E1793">
      <w:pPr>
        <w:pStyle w:val="Appendixref"/>
        <w:rPr>
          <w:lang w:eastAsia="zh-CN"/>
        </w:rPr>
      </w:pPr>
      <w:r w:rsidRPr="006510A8">
        <w:rPr>
          <w:rFonts w:hint="eastAsia"/>
          <w:lang w:eastAsia="zh-CN"/>
        </w:rPr>
        <w:t>第</w:t>
      </w:r>
      <w:r w:rsidRPr="006510A8">
        <w:rPr>
          <w:lang w:eastAsia="zh-CN"/>
        </w:rPr>
        <w:t>1286</w:t>
      </w:r>
      <w:r w:rsidRPr="006510A8">
        <w:rPr>
          <w:lang w:eastAsia="zh-CN"/>
        </w:rPr>
        <w:t>号决议</w:t>
      </w:r>
      <w:r w:rsidRPr="006510A8">
        <w:rPr>
          <w:lang w:eastAsia="zh-CN"/>
        </w:rPr>
        <w:tab/>
      </w:r>
      <w:r w:rsidRPr="006510A8">
        <w:rPr>
          <w:rFonts w:hint="eastAsia"/>
          <w:lang w:eastAsia="zh-CN"/>
        </w:rPr>
        <w:t>信息通信技术发展基金（</w:t>
      </w:r>
      <w:r w:rsidRPr="006510A8">
        <w:rPr>
          <w:lang w:eastAsia="zh-CN"/>
        </w:rPr>
        <w:t>FDICT</w:t>
      </w:r>
      <w:r w:rsidRPr="006510A8">
        <w:rPr>
          <w:rFonts w:hint="eastAsia"/>
          <w:lang w:eastAsia="zh-CN"/>
        </w:rPr>
        <w:t>）</w:t>
      </w:r>
      <w:r w:rsidRPr="006510A8">
        <w:rPr>
          <w:rFonts w:hint="eastAsia"/>
          <w:lang w:eastAsia="zh-CN"/>
        </w:rPr>
        <w:tab/>
      </w:r>
      <w:r w:rsidR="004E1793">
        <w:rPr>
          <w:lang w:eastAsia="zh-CN"/>
        </w:rPr>
        <w:tab/>
      </w:r>
      <w:r w:rsidR="006C1EBF">
        <w:rPr>
          <w:rFonts w:hint="eastAsia"/>
          <w:lang w:eastAsia="zh-CN"/>
        </w:rPr>
        <w:t>2010</w:t>
      </w:r>
      <w:r w:rsidR="006C1EBF" w:rsidRPr="006E3B9B">
        <w:rPr>
          <w:rFonts w:hint="eastAsia"/>
          <w:lang w:eastAsia="zh-CN"/>
        </w:rPr>
        <w:t>年</w:t>
      </w:r>
    </w:p>
    <w:p w14:paraId="4827C193" w14:textId="77777777" w:rsidR="001864A6" w:rsidRPr="006D0EE6" w:rsidRDefault="001864A6" w:rsidP="003E11A1">
      <w:pPr>
        <w:pStyle w:val="Reftitle"/>
        <w:rPr>
          <w:lang w:eastAsia="zh-CN"/>
        </w:rPr>
      </w:pPr>
      <w:r w:rsidRPr="006D0EE6">
        <w:rPr>
          <w:lang w:eastAsia="zh-CN"/>
        </w:rPr>
        <w:t>200</w:t>
      </w:r>
      <w:r w:rsidRPr="006D0EE6">
        <w:rPr>
          <w:rFonts w:hint="eastAsia"/>
          <w:lang w:eastAsia="zh-CN"/>
        </w:rPr>
        <w:t>8</w:t>
      </w:r>
      <w:r w:rsidRPr="006D0EE6">
        <w:rPr>
          <w:rFonts w:hint="eastAsia"/>
          <w:lang w:eastAsia="zh-CN"/>
        </w:rPr>
        <w:t>年会议（</w:t>
      </w:r>
      <w:r w:rsidRPr="006D0EE6">
        <w:rPr>
          <w:rFonts w:hint="eastAsia"/>
          <w:lang w:eastAsia="zh-CN"/>
        </w:rPr>
        <w:t>2008</w:t>
      </w:r>
      <w:r w:rsidRPr="006D0EE6">
        <w:rPr>
          <w:rFonts w:hint="eastAsia"/>
          <w:lang w:eastAsia="zh-CN"/>
        </w:rPr>
        <w:t>年</w:t>
      </w:r>
      <w:r w:rsidRPr="006D0EE6">
        <w:rPr>
          <w:rFonts w:hint="eastAsia"/>
          <w:lang w:eastAsia="zh-CN"/>
        </w:rPr>
        <w:t>11</w:t>
      </w:r>
      <w:r w:rsidRPr="006D0EE6">
        <w:rPr>
          <w:rFonts w:hint="eastAsia"/>
          <w:lang w:eastAsia="zh-CN"/>
        </w:rPr>
        <w:t>月</w:t>
      </w:r>
      <w:r w:rsidRPr="006D0EE6">
        <w:rPr>
          <w:rFonts w:hint="eastAsia"/>
          <w:lang w:eastAsia="zh-CN"/>
        </w:rPr>
        <w:t>12-21</w:t>
      </w:r>
      <w:r w:rsidRPr="006D0EE6">
        <w:rPr>
          <w:rFonts w:hint="eastAsia"/>
          <w:lang w:eastAsia="zh-CN"/>
        </w:rPr>
        <w:t>日）</w:t>
      </w:r>
    </w:p>
    <w:p w14:paraId="4827C194" w14:textId="77777777" w:rsidR="001864A6" w:rsidRPr="006510A8" w:rsidRDefault="001864A6" w:rsidP="004E1793">
      <w:pPr>
        <w:pStyle w:val="Appendixref"/>
        <w:rPr>
          <w:lang w:val="en-US" w:eastAsia="zh-CN"/>
        </w:rPr>
      </w:pPr>
      <w:r w:rsidRPr="006510A8">
        <w:rPr>
          <w:rFonts w:hint="eastAsia"/>
          <w:lang w:eastAsia="zh-CN"/>
        </w:rPr>
        <w:t>第</w:t>
      </w:r>
      <w:r w:rsidRPr="006510A8">
        <w:rPr>
          <w:lang w:eastAsia="zh-CN"/>
        </w:rPr>
        <w:t>128</w:t>
      </w:r>
      <w:r w:rsidRPr="006510A8">
        <w:rPr>
          <w:rFonts w:hint="eastAsia"/>
          <w:lang w:eastAsia="zh-CN"/>
        </w:rPr>
        <w:t>2</w:t>
      </w:r>
      <w:r w:rsidRPr="006510A8">
        <w:rPr>
          <w:lang w:eastAsia="zh-CN"/>
        </w:rPr>
        <w:t>号决议</w:t>
      </w:r>
      <w:r w:rsidRPr="006510A8">
        <w:rPr>
          <w:lang w:eastAsia="zh-CN"/>
        </w:rPr>
        <w:tab/>
      </w:r>
      <w:r w:rsidR="0002429F" w:rsidRPr="006510A8">
        <w:rPr>
          <w:lang w:eastAsia="zh-CN"/>
        </w:rPr>
        <w:t>国际电联在信息社会世界高峰会议成果落实中的作用</w:t>
      </w:r>
      <w:r w:rsidR="0002429F" w:rsidRPr="006510A8">
        <w:rPr>
          <w:rFonts w:hint="eastAsia"/>
          <w:lang w:eastAsia="zh-CN"/>
        </w:rPr>
        <w:tab/>
      </w:r>
      <w:r w:rsidR="004E1793">
        <w:rPr>
          <w:lang w:eastAsia="zh-CN"/>
        </w:rPr>
        <w:tab/>
      </w:r>
      <w:r w:rsidR="003316AB">
        <w:rPr>
          <w:rFonts w:hint="eastAsia"/>
          <w:lang w:val="en-US" w:eastAsia="zh-CN"/>
        </w:rPr>
        <w:t>2011</w:t>
      </w:r>
      <w:r w:rsidR="00077C0D">
        <w:rPr>
          <w:rFonts w:hint="eastAsia"/>
          <w:lang w:val="en-US" w:eastAsia="zh-CN"/>
        </w:rPr>
        <w:t>年</w:t>
      </w:r>
    </w:p>
    <w:p w14:paraId="4827C195" w14:textId="77777777" w:rsidR="001864A6" w:rsidRPr="006510A8" w:rsidRDefault="001864A6" w:rsidP="004E1793">
      <w:pPr>
        <w:pStyle w:val="Appendixref"/>
        <w:rPr>
          <w:lang w:eastAsia="zh-CN"/>
        </w:rPr>
      </w:pPr>
      <w:r w:rsidRPr="006510A8">
        <w:rPr>
          <w:rFonts w:hint="eastAsia"/>
          <w:lang w:eastAsia="zh-CN"/>
        </w:rPr>
        <w:t>第</w:t>
      </w:r>
      <w:r w:rsidRPr="006510A8">
        <w:rPr>
          <w:lang w:eastAsia="zh-CN"/>
        </w:rPr>
        <w:t>128</w:t>
      </w:r>
      <w:r w:rsidRPr="006510A8">
        <w:rPr>
          <w:rFonts w:hint="eastAsia"/>
          <w:lang w:eastAsia="zh-CN"/>
        </w:rPr>
        <w:t>7</w:t>
      </w:r>
      <w:r w:rsidRPr="006510A8">
        <w:rPr>
          <w:lang w:eastAsia="zh-CN"/>
        </w:rPr>
        <w:t>号决议</w:t>
      </w:r>
      <w:r w:rsidRPr="006510A8">
        <w:rPr>
          <w:lang w:eastAsia="zh-CN"/>
        </w:rPr>
        <w:tab/>
      </w:r>
      <w:r w:rsidR="0002429F" w:rsidRPr="006510A8">
        <w:rPr>
          <w:rFonts w:hint="eastAsia"/>
          <w:lang w:val="fr-FR" w:eastAsia="zh-CN"/>
        </w:rPr>
        <w:t>无线电通信部门</w:t>
      </w:r>
      <w:r w:rsidR="0002429F" w:rsidRPr="006510A8">
        <w:rPr>
          <w:rFonts w:hint="eastAsia"/>
          <w:lang w:val="fr-FR" w:eastAsia="zh-CN"/>
        </w:rPr>
        <w:t>2009-2012</w:t>
      </w:r>
      <w:r w:rsidR="0002429F" w:rsidRPr="006510A8">
        <w:rPr>
          <w:rFonts w:hint="eastAsia"/>
          <w:lang w:val="fr-FR" w:eastAsia="zh-CN"/>
        </w:rPr>
        <w:t>年四年期滚动式运作规划</w:t>
      </w:r>
      <w:r w:rsidR="0002429F" w:rsidRPr="006510A8">
        <w:rPr>
          <w:rFonts w:hint="eastAsia"/>
          <w:lang w:eastAsia="zh-CN"/>
        </w:rPr>
        <w:tab/>
      </w:r>
      <w:r w:rsidR="004E1793">
        <w:rPr>
          <w:lang w:eastAsia="zh-CN"/>
        </w:rPr>
        <w:tab/>
      </w:r>
      <w:r w:rsidR="00B824A2" w:rsidRPr="006510A8">
        <w:rPr>
          <w:rFonts w:hint="eastAsia"/>
          <w:lang w:eastAsia="zh-CN"/>
        </w:rPr>
        <w:t>2</w:t>
      </w:r>
      <w:r w:rsidR="00B824A2" w:rsidRPr="006510A8">
        <w:rPr>
          <w:lang w:eastAsia="zh-CN"/>
        </w:rPr>
        <w:t>009</w:t>
      </w:r>
      <w:r w:rsidR="00B824A2" w:rsidRPr="006510A8">
        <w:rPr>
          <w:rFonts w:hint="eastAsia"/>
          <w:lang w:eastAsia="zh-CN"/>
        </w:rPr>
        <w:t>年</w:t>
      </w:r>
    </w:p>
    <w:p w14:paraId="4827C196" w14:textId="77777777" w:rsidR="001864A6" w:rsidRPr="006510A8" w:rsidRDefault="001864A6" w:rsidP="004E1793">
      <w:pPr>
        <w:pStyle w:val="Appendixref"/>
        <w:rPr>
          <w:lang w:eastAsia="zh-CN"/>
        </w:rPr>
      </w:pPr>
      <w:r w:rsidRPr="006510A8">
        <w:rPr>
          <w:rFonts w:hint="eastAsia"/>
          <w:lang w:eastAsia="zh-CN"/>
        </w:rPr>
        <w:t>第</w:t>
      </w:r>
      <w:r w:rsidRPr="006510A8">
        <w:rPr>
          <w:lang w:eastAsia="zh-CN"/>
        </w:rPr>
        <w:t>128</w:t>
      </w:r>
      <w:r w:rsidRPr="006510A8">
        <w:rPr>
          <w:rFonts w:hint="eastAsia"/>
          <w:lang w:eastAsia="zh-CN"/>
        </w:rPr>
        <w:t>8</w:t>
      </w:r>
      <w:r w:rsidRPr="006510A8">
        <w:rPr>
          <w:lang w:eastAsia="zh-CN"/>
        </w:rPr>
        <w:t>号决议</w:t>
      </w:r>
      <w:r w:rsidRPr="006510A8">
        <w:rPr>
          <w:lang w:eastAsia="zh-CN"/>
        </w:rPr>
        <w:tab/>
      </w:r>
      <w:r w:rsidR="0002429F" w:rsidRPr="006510A8">
        <w:rPr>
          <w:rFonts w:hint="eastAsia"/>
          <w:lang w:eastAsia="zh-CN"/>
        </w:rPr>
        <w:t>电信标准化部门</w:t>
      </w:r>
      <w:r w:rsidR="0002429F" w:rsidRPr="006510A8">
        <w:rPr>
          <w:lang w:eastAsia="zh-CN"/>
        </w:rPr>
        <w:t>200</w:t>
      </w:r>
      <w:r w:rsidR="0002429F" w:rsidRPr="006510A8">
        <w:rPr>
          <w:rFonts w:hint="eastAsia"/>
          <w:lang w:eastAsia="zh-CN"/>
        </w:rPr>
        <w:t>9</w:t>
      </w:r>
      <w:r w:rsidR="0002429F" w:rsidRPr="006510A8">
        <w:rPr>
          <w:lang w:eastAsia="zh-CN"/>
        </w:rPr>
        <w:t>-20</w:t>
      </w:r>
      <w:r w:rsidR="0002429F" w:rsidRPr="006510A8">
        <w:rPr>
          <w:rFonts w:hint="eastAsia"/>
          <w:lang w:eastAsia="zh-CN"/>
        </w:rPr>
        <w:t>12</w:t>
      </w:r>
      <w:r w:rsidR="0002429F" w:rsidRPr="006510A8">
        <w:rPr>
          <w:rFonts w:hint="eastAsia"/>
          <w:lang w:eastAsia="zh-CN"/>
        </w:rPr>
        <w:t>年四年期滚动式运作规划</w:t>
      </w:r>
      <w:r w:rsidRPr="006510A8">
        <w:rPr>
          <w:rFonts w:hint="eastAsia"/>
          <w:lang w:eastAsia="zh-CN"/>
        </w:rPr>
        <w:tab/>
      </w:r>
      <w:r w:rsidR="004E1793">
        <w:rPr>
          <w:lang w:eastAsia="zh-CN"/>
        </w:rPr>
        <w:tab/>
      </w:r>
      <w:r w:rsidR="00B824A2" w:rsidRPr="006510A8">
        <w:rPr>
          <w:rFonts w:hint="eastAsia"/>
          <w:lang w:eastAsia="zh-CN"/>
        </w:rPr>
        <w:t>2</w:t>
      </w:r>
      <w:r w:rsidR="00B824A2" w:rsidRPr="006510A8">
        <w:rPr>
          <w:lang w:eastAsia="zh-CN"/>
        </w:rPr>
        <w:t>009</w:t>
      </w:r>
      <w:r w:rsidR="00B824A2" w:rsidRPr="006510A8">
        <w:rPr>
          <w:rFonts w:hint="eastAsia"/>
          <w:lang w:eastAsia="zh-CN"/>
        </w:rPr>
        <w:t>年</w:t>
      </w:r>
    </w:p>
    <w:p w14:paraId="4827C197" w14:textId="77777777" w:rsidR="006510A8" w:rsidRDefault="001864A6" w:rsidP="004E1793">
      <w:pPr>
        <w:pStyle w:val="Appendixref"/>
        <w:rPr>
          <w:lang w:eastAsia="zh-CN"/>
        </w:rPr>
      </w:pPr>
      <w:r w:rsidRPr="006510A8">
        <w:rPr>
          <w:rFonts w:hint="eastAsia"/>
          <w:lang w:eastAsia="zh-CN"/>
        </w:rPr>
        <w:t>第</w:t>
      </w:r>
      <w:r w:rsidRPr="006510A8">
        <w:rPr>
          <w:lang w:eastAsia="zh-CN"/>
        </w:rPr>
        <w:t>128</w:t>
      </w:r>
      <w:r w:rsidRPr="006510A8">
        <w:rPr>
          <w:rFonts w:hint="eastAsia"/>
          <w:lang w:eastAsia="zh-CN"/>
        </w:rPr>
        <w:t>9</w:t>
      </w:r>
      <w:r w:rsidRPr="006510A8">
        <w:rPr>
          <w:lang w:eastAsia="zh-CN"/>
        </w:rPr>
        <w:t>号决议</w:t>
      </w:r>
      <w:r w:rsidRPr="006510A8">
        <w:rPr>
          <w:lang w:eastAsia="zh-CN"/>
        </w:rPr>
        <w:tab/>
      </w:r>
      <w:r w:rsidR="0002429F" w:rsidRPr="006510A8">
        <w:rPr>
          <w:lang w:val="fr-FR" w:eastAsia="zh-CN"/>
        </w:rPr>
        <w:t>电信发展部门</w:t>
      </w:r>
      <w:r w:rsidR="0002429F" w:rsidRPr="006510A8">
        <w:rPr>
          <w:lang w:val="fr-FR" w:eastAsia="zh-CN"/>
        </w:rPr>
        <w:t>2009-2012</w:t>
      </w:r>
      <w:r w:rsidR="0002429F" w:rsidRPr="006510A8">
        <w:rPr>
          <w:lang w:val="fr-FR" w:eastAsia="zh-CN"/>
        </w:rPr>
        <w:t>年四年期滚动运作规划</w:t>
      </w:r>
      <w:r w:rsidR="0002429F" w:rsidRPr="006510A8">
        <w:rPr>
          <w:rFonts w:hint="eastAsia"/>
          <w:lang w:eastAsia="zh-CN"/>
        </w:rPr>
        <w:tab/>
      </w:r>
      <w:r w:rsidR="004E1793">
        <w:rPr>
          <w:lang w:eastAsia="zh-CN"/>
        </w:rPr>
        <w:tab/>
      </w:r>
      <w:r w:rsidR="00B824A2" w:rsidRPr="006510A8">
        <w:rPr>
          <w:rFonts w:hint="eastAsia"/>
          <w:lang w:eastAsia="zh-CN"/>
        </w:rPr>
        <w:t>2</w:t>
      </w:r>
      <w:r w:rsidR="00B824A2" w:rsidRPr="006510A8">
        <w:rPr>
          <w:lang w:eastAsia="zh-CN"/>
        </w:rPr>
        <w:t>009</w:t>
      </w:r>
      <w:r w:rsidR="00B824A2" w:rsidRPr="006510A8">
        <w:rPr>
          <w:rFonts w:hint="eastAsia"/>
          <w:lang w:eastAsia="zh-CN"/>
        </w:rPr>
        <w:t>年</w:t>
      </w:r>
    </w:p>
    <w:p w14:paraId="4827C198" w14:textId="77777777" w:rsidR="001864A6" w:rsidRPr="006510A8" w:rsidRDefault="001864A6" w:rsidP="004E1793">
      <w:pPr>
        <w:pStyle w:val="Appendixref"/>
        <w:rPr>
          <w:lang w:eastAsia="zh-CN"/>
        </w:rPr>
      </w:pPr>
      <w:r w:rsidRPr="006510A8">
        <w:rPr>
          <w:rFonts w:hint="eastAsia"/>
          <w:lang w:eastAsia="zh-CN"/>
        </w:rPr>
        <w:t>第</w:t>
      </w:r>
      <w:r w:rsidRPr="006510A8">
        <w:rPr>
          <w:lang w:eastAsia="zh-CN"/>
        </w:rPr>
        <w:t>12</w:t>
      </w:r>
      <w:r w:rsidRPr="006510A8">
        <w:rPr>
          <w:rFonts w:hint="eastAsia"/>
          <w:lang w:eastAsia="zh-CN"/>
        </w:rPr>
        <w:t>90</w:t>
      </w:r>
      <w:r w:rsidRPr="006510A8">
        <w:rPr>
          <w:lang w:eastAsia="zh-CN"/>
        </w:rPr>
        <w:t>号决议</w:t>
      </w:r>
      <w:r w:rsidRPr="006510A8">
        <w:rPr>
          <w:lang w:eastAsia="zh-CN"/>
        </w:rPr>
        <w:tab/>
      </w:r>
      <w:r w:rsidR="0002429F" w:rsidRPr="006510A8">
        <w:rPr>
          <w:rFonts w:hint="eastAsia"/>
          <w:lang w:val="fr-FR" w:eastAsia="zh-CN"/>
        </w:rPr>
        <w:t>总秘书处</w:t>
      </w:r>
      <w:r w:rsidR="0002429F" w:rsidRPr="006510A8">
        <w:rPr>
          <w:lang w:val="fr-FR" w:eastAsia="zh-CN"/>
        </w:rPr>
        <w:t>200</w:t>
      </w:r>
      <w:r w:rsidR="0002429F" w:rsidRPr="006510A8">
        <w:rPr>
          <w:rFonts w:hint="eastAsia"/>
          <w:lang w:val="fr-FR" w:eastAsia="zh-CN"/>
        </w:rPr>
        <w:t>9</w:t>
      </w:r>
      <w:r w:rsidR="0002429F" w:rsidRPr="006510A8">
        <w:rPr>
          <w:lang w:val="fr-FR" w:eastAsia="zh-CN"/>
        </w:rPr>
        <w:t>-20</w:t>
      </w:r>
      <w:r w:rsidR="0002429F" w:rsidRPr="006510A8">
        <w:rPr>
          <w:rFonts w:hint="eastAsia"/>
          <w:lang w:val="fr-FR" w:eastAsia="zh-CN"/>
        </w:rPr>
        <w:t>12</w:t>
      </w:r>
      <w:r w:rsidR="0002429F" w:rsidRPr="006510A8">
        <w:rPr>
          <w:rFonts w:hint="eastAsia"/>
          <w:lang w:val="fr-FR" w:eastAsia="zh-CN"/>
        </w:rPr>
        <w:t>年四年期滚动运作规划</w:t>
      </w:r>
      <w:r w:rsidR="0002429F" w:rsidRPr="006510A8">
        <w:rPr>
          <w:rFonts w:hint="eastAsia"/>
          <w:lang w:eastAsia="zh-CN"/>
        </w:rPr>
        <w:tab/>
      </w:r>
      <w:r w:rsidR="004E1793">
        <w:rPr>
          <w:lang w:eastAsia="zh-CN"/>
        </w:rPr>
        <w:tab/>
      </w:r>
      <w:r w:rsidR="00B824A2" w:rsidRPr="006510A8">
        <w:rPr>
          <w:rFonts w:hint="eastAsia"/>
          <w:lang w:eastAsia="zh-CN"/>
        </w:rPr>
        <w:t>2</w:t>
      </w:r>
      <w:r w:rsidR="00B824A2" w:rsidRPr="006510A8">
        <w:rPr>
          <w:lang w:eastAsia="zh-CN"/>
        </w:rPr>
        <w:t>009</w:t>
      </w:r>
      <w:r w:rsidR="00B824A2" w:rsidRPr="006510A8">
        <w:rPr>
          <w:rFonts w:hint="eastAsia"/>
          <w:lang w:eastAsia="zh-CN"/>
        </w:rPr>
        <w:t>年</w:t>
      </w:r>
    </w:p>
    <w:p w14:paraId="4827C199" w14:textId="77777777" w:rsidR="001864A6" w:rsidRPr="006510A8" w:rsidRDefault="001864A6" w:rsidP="004E1793">
      <w:pPr>
        <w:pStyle w:val="Appendixref"/>
        <w:rPr>
          <w:lang w:eastAsia="zh-CN"/>
        </w:rPr>
      </w:pPr>
      <w:r w:rsidRPr="006510A8">
        <w:rPr>
          <w:rFonts w:hint="eastAsia"/>
          <w:lang w:eastAsia="zh-CN"/>
        </w:rPr>
        <w:t>第</w:t>
      </w:r>
      <w:r w:rsidRPr="006510A8">
        <w:rPr>
          <w:lang w:eastAsia="zh-CN"/>
        </w:rPr>
        <w:t>12</w:t>
      </w:r>
      <w:r w:rsidRPr="006510A8">
        <w:rPr>
          <w:rFonts w:hint="eastAsia"/>
          <w:lang w:eastAsia="zh-CN"/>
        </w:rPr>
        <w:t>91</w:t>
      </w:r>
      <w:r w:rsidRPr="006510A8">
        <w:rPr>
          <w:lang w:eastAsia="zh-CN"/>
        </w:rPr>
        <w:t>号决议</w:t>
      </w:r>
      <w:r w:rsidRPr="006510A8">
        <w:rPr>
          <w:lang w:eastAsia="zh-CN"/>
        </w:rPr>
        <w:tab/>
      </w:r>
      <w:r w:rsidR="0002429F" w:rsidRPr="006510A8">
        <w:rPr>
          <w:rFonts w:hint="eastAsia"/>
          <w:lang w:eastAsia="zh-CN"/>
        </w:rPr>
        <w:t>世界无线电通信大会（</w:t>
      </w:r>
      <w:r w:rsidR="006510A8" w:rsidRPr="006510A8">
        <w:rPr>
          <w:lang w:eastAsia="zh-CN"/>
        </w:rPr>
        <w:t>WRC-1</w:t>
      </w:r>
      <w:r w:rsidR="006510A8" w:rsidRPr="006510A8">
        <w:rPr>
          <w:rFonts w:hint="eastAsia"/>
          <w:lang w:eastAsia="zh-CN"/>
        </w:rPr>
        <w:t>2</w:t>
      </w:r>
      <w:r w:rsidR="0002429F" w:rsidRPr="006510A8">
        <w:rPr>
          <w:rFonts w:hint="eastAsia"/>
          <w:lang w:eastAsia="zh-CN"/>
        </w:rPr>
        <w:t>）的日期、地点和议程</w:t>
      </w:r>
      <w:r w:rsidR="0002429F" w:rsidRPr="006510A8">
        <w:rPr>
          <w:rFonts w:hint="eastAsia"/>
          <w:lang w:eastAsia="zh-CN"/>
        </w:rPr>
        <w:tab/>
      </w:r>
      <w:r w:rsidR="004E1793">
        <w:rPr>
          <w:lang w:eastAsia="zh-CN"/>
        </w:rPr>
        <w:tab/>
      </w:r>
      <w:r w:rsidR="003854B6">
        <w:rPr>
          <w:rFonts w:hint="eastAsia"/>
          <w:lang w:eastAsia="zh-CN"/>
        </w:rPr>
        <w:t>201</w:t>
      </w:r>
      <w:r w:rsidR="003854B6">
        <w:rPr>
          <w:lang w:eastAsia="zh-CN"/>
        </w:rPr>
        <w:t>2</w:t>
      </w:r>
      <w:r w:rsidR="003854B6">
        <w:rPr>
          <w:rFonts w:hint="eastAsia"/>
          <w:lang w:eastAsia="zh-CN"/>
        </w:rPr>
        <w:t>年</w:t>
      </w:r>
    </w:p>
    <w:p w14:paraId="4827C19A" w14:textId="77777777" w:rsidR="001864A6" w:rsidRPr="006510A8" w:rsidRDefault="001864A6" w:rsidP="004E1793">
      <w:pPr>
        <w:pStyle w:val="Appendixref"/>
        <w:rPr>
          <w:lang w:eastAsia="zh-CN"/>
        </w:rPr>
      </w:pPr>
      <w:r w:rsidRPr="006510A8">
        <w:rPr>
          <w:rFonts w:hint="eastAsia"/>
          <w:lang w:eastAsia="zh-CN"/>
        </w:rPr>
        <w:t>第</w:t>
      </w:r>
      <w:r w:rsidRPr="006510A8">
        <w:rPr>
          <w:lang w:eastAsia="zh-CN"/>
        </w:rPr>
        <w:t>12</w:t>
      </w:r>
      <w:r w:rsidR="00AE5332" w:rsidRPr="006510A8">
        <w:rPr>
          <w:rFonts w:hint="eastAsia"/>
          <w:lang w:eastAsia="zh-CN"/>
        </w:rPr>
        <w:t>92</w:t>
      </w:r>
      <w:r w:rsidRPr="006510A8">
        <w:rPr>
          <w:lang w:eastAsia="zh-CN"/>
        </w:rPr>
        <w:t>号决议</w:t>
      </w:r>
      <w:r w:rsidRPr="006510A8">
        <w:rPr>
          <w:lang w:eastAsia="zh-CN"/>
        </w:rPr>
        <w:tab/>
      </w:r>
      <w:r w:rsidR="0002429F" w:rsidRPr="006510A8">
        <w:rPr>
          <w:rFonts w:hint="eastAsia"/>
          <w:lang w:eastAsia="zh-CN"/>
        </w:rPr>
        <w:t>世界和区域性电信</w:t>
      </w:r>
      <w:r w:rsidR="0002429F" w:rsidRPr="006510A8">
        <w:rPr>
          <w:rFonts w:hint="eastAsia"/>
          <w:lang w:eastAsia="zh-CN"/>
        </w:rPr>
        <w:t>/</w:t>
      </w:r>
      <w:r w:rsidR="0002429F" w:rsidRPr="006510A8">
        <w:rPr>
          <w:rFonts w:hint="eastAsia"/>
          <w:lang w:eastAsia="zh-CN"/>
        </w:rPr>
        <w:t>信息通信技术展览和论坛</w:t>
      </w:r>
      <w:r w:rsidR="0002429F" w:rsidRPr="006510A8">
        <w:rPr>
          <w:rFonts w:hint="eastAsia"/>
          <w:lang w:eastAsia="zh-CN"/>
        </w:rPr>
        <w:tab/>
      </w:r>
      <w:r w:rsidR="004E1793">
        <w:rPr>
          <w:lang w:eastAsia="zh-CN"/>
        </w:rPr>
        <w:tab/>
      </w:r>
      <w:r w:rsidR="0002429F" w:rsidRPr="006510A8">
        <w:rPr>
          <w:lang w:eastAsia="zh-CN"/>
        </w:rPr>
        <w:t>3.4</w:t>
      </w:r>
    </w:p>
    <w:p w14:paraId="4827C19B" w14:textId="77777777" w:rsidR="00AE5332" w:rsidRPr="006510A8" w:rsidRDefault="00AE5332" w:rsidP="004E1793">
      <w:pPr>
        <w:pStyle w:val="Appendixref"/>
        <w:rPr>
          <w:lang w:eastAsia="zh-CN"/>
        </w:rPr>
      </w:pPr>
      <w:r w:rsidRPr="006510A8">
        <w:rPr>
          <w:rFonts w:hint="eastAsia"/>
          <w:lang w:eastAsia="zh-CN"/>
        </w:rPr>
        <w:t>第</w:t>
      </w:r>
      <w:r w:rsidRPr="006510A8">
        <w:rPr>
          <w:lang w:eastAsia="zh-CN"/>
        </w:rPr>
        <w:t>12</w:t>
      </w:r>
      <w:r w:rsidRPr="006510A8">
        <w:rPr>
          <w:rFonts w:hint="eastAsia"/>
          <w:lang w:eastAsia="zh-CN"/>
        </w:rPr>
        <w:t>93</w:t>
      </w:r>
      <w:r w:rsidRPr="006510A8">
        <w:rPr>
          <w:lang w:eastAsia="zh-CN"/>
        </w:rPr>
        <w:t>号决议</w:t>
      </w:r>
      <w:r w:rsidRPr="006510A8">
        <w:rPr>
          <w:lang w:eastAsia="zh-CN"/>
        </w:rPr>
        <w:tab/>
      </w:r>
      <w:r w:rsidR="00E77B5B" w:rsidRPr="006510A8">
        <w:rPr>
          <w:rFonts w:hint="eastAsia"/>
          <w:lang w:eastAsia="zh-CN"/>
        </w:rPr>
        <w:t>国际电联选任官员的服务条件</w:t>
      </w:r>
      <w:r w:rsidR="0002429F" w:rsidRPr="006510A8">
        <w:rPr>
          <w:rFonts w:hint="eastAsia"/>
          <w:lang w:eastAsia="zh-CN"/>
        </w:rPr>
        <w:tab/>
      </w:r>
      <w:r w:rsidR="004E1793">
        <w:rPr>
          <w:lang w:eastAsia="zh-CN"/>
        </w:rPr>
        <w:tab/>
      </w:r>
      <w:r w:rsidR="006C1EBF">
        <w:rPr>
          <w:rFonts w:hint="eastAsia"/>
          <w:lang w:eastAsia="zh-CN"/>
        </w:rPr>
        <w:t>2010</w:t>
      </w:r>
      <w:r w:rsidR="006C1EBF" w:rsidRPr="006E3B9B">
        <w:rPr>
          <w:rFonts w:hint="eastAsia"/>
          <w:lang w:eastAsia="zh-CN"/>
        </w:rPr>
        <w:t>年</w:t>
      </w:r>
    </w:p>
    <w:p w14:paraId="4827C19C" w14:textId="77777777" w:rsidR="00AE5332" w:rsidRPr="006510A8" w:rsidRDefault="00AE5332" w:rsidP="004E1793">
      <w:pPr>
        <w:pStyle w:val="Appendixref"/>
        <w:rPr>
          <w:lang w:eastAsia="zh-CN"/>
        </w:rPr>
      </w:pPr>
      <w:r w:rsidRPr="006510A8">
        <w:rPr>
          <w:rFonts w:hint="eastAsia"/>
          <w:lang w:eastAsia="zh-CN"/>
        </w:rPr>
        <w:t>第</w:t>
      </w:r>
      <w:r w:rsidRPr="006510A8">
        <w:rPr>
          <w:lang w:eastAsia="zh-CN"/>
        </w:rPr>
        <w:t>12</w:t>
      </w:r>
      <w:r w:rsidRPr="006510A8">
        <w:rPr>
          <w:rFonts w:hint="eastAsia"/>
          <w:lang w:eastAsia="zh-CN"/>
        </w:rPr>
        <w:t>94</w:t>
      </w:r>
      <w:r w:rsidRPr="006510A8">
        <w:rPr>
          <w:lang w:eastAsia="zh-CN"/>
        </w:rPr>
        <w:t>号决议</w:t>
      </w:r>
      <w:r w:rsidRPr="006510A8">
        <w:rPr>
          <w:bCs/>
          <w:lang w:eastAsia="zh-CN"/>
        </w:rPr>
        <w:tab/>
      </w:r>
      <w:r w:rsidR="0002429F" w:rsidRPr="006510A8">
        <w:rPr>
          <w:bCs/>
          <w:lang w:eastAsia="zh-CN"/>
        </w:rPr>
        <w:t>国际电联职员养恤金委员会的委员</w:t>
      </w:r>
      <w:r w:rsidR="0002429F" w:rsidRPr="006510A8">
        <w:rPr>
          <w:rFonts w:hint="eastAsia"/>
          <w:bCs/>
          <w:lang w:eastAsia="zh-CN"/>
        </w:rPr>
        <w:tab/>
      </w:r>
      <w:r w:rsidR="004E1793">
        <w:rPr>
          <w:bCs/>
          <w:lang w:eastAsia="zh-CN"/>
        </w:rPr>
        <w:tab/>
      </w:r>
      <w:r w:rsidR="00B824A2" w:rsidRPr="006510A8">
        <w:rPr>
          <w:rFonts w:hint="eastAsia"/>
          <w:lang w:eastAsia="zh-CN"/>
        </w:rPr>
        <w:t>2</w:t>
      </w:r>
      <w:r w:rsidR="00B824A2" w:rsidRPr="006510A8">
        <w:rPr>
          <w:lang w:eastAsia="zh-CN"/>
        </w:rPr>
        <w:t>009</w:t>
      </w:r>
      <w:r w:rsidR="00B824A2" w:rsidRPr="006510A8">
        <w:rPr>
          <w:rFonts w:hint="eastAsia"/>
          <w:lang w:eastAsia="zh-CN"/>
        </w:rPr>
        <w:t>年</w:t>
      </w:r>
    </w:p>
    <w:p w14:paraId="4827C19D" w14:textId="77777777" w:rsidR="00AE5332" w:rsidRPr="006510A8" w:rsidRDefault="00AE5332" w:rsidP="004E1793">
      <w:pPr>
        <w:pStyle w:val="Appendixref"/>
        <w:rPr>
          <w:lang w:eastAsia="zh-CN"/>
        </w:rPr>
      </w:pPr>
      <w:r w:rsidRPr="006510A8">
        <w:rPr>
          <w:rFonts w:hint="eastAsia"/>
          <w:lang w:eastAsia="zh-CN"/>
        </w:rPr>
        <w:t>第</w:t>
      </w:r>
      <w:r w:rsidRPr="006510A8">
        <w:rPr>
          <w:lang w:eastAsia="zh-CN"/>
        </w:rPr>
        <w:t>12</w:t>
      </w:r>
      <w:r w:rsidRPr="006510A8">
        <w:rPr>
          <w:rFonts w:hint="eastAsia"/>
          <w:lang w:eastAsia="zh-CN"/>
        </w:rPr>
        <w:t>95</w:t>
      </w:r>
      <w:r w:rsidRPr="006510A8">
        <w:rPr>
          <w:lang w:eastAsia="zh-CN"/>
        </w:rPr>
        <w:t>号决议</w:t>
      </w:r>
      <w:r w:rsidRPr="006510A8">
        <w:rPr>
          <w:bCs/>
          <w:lang w:eastAsia="zh-CN"/>
        </w:rPr>
        <w:tab/>
      </w:r>
      <w:r w:rsidR="00E77B5B" w:rsidRPr="006510A8">
        <w:rPr>
          <w:bCs/>
          <w:lang w:eastAsia="zh-CN"/>
        </w:rPr>
        <w:t>2006</w:t>
      </w:r>
      <w:r w:rsidR="00E77B5B" w:rsidRPr="006510A8">
        <w:rPr>
          <w:rFonts w:hint="eastAsia"/>
          <w:bCs/>
          <w:lang w:eastAsia="zh-CN"/>
        </w:rPr>
        <w:t>-2007</w:t>
      </w:r>
      <w:r w:rsidR="00E77B5B" w:rsidRPr="006510A8">
        <w:rPr>
          <w:rFonts w:hint="eastAsia"/>
          <w:bCs/>
          <w:lang w:eastAsia="zh-CN"/>
        </w:rPr>
        <w:t>双年度财务工作报告</w:t>
      </w:r>
      <w:r w:rsidR="0002429F" w:rsidRPr="006510A8">
        <w:rPr>
          <w:rFonts w:hint="eastAsia"/>
          <w:bCs/>
          <w:lang w:eastAsia="zh-CN"/>
        </w:rPr>
        <w:tab/>
      </w:r>
      <w:r w:rsidR="004E1793">
        <w:rPr>
          <w:bCs/>
          <w:lang w:eastAsia="zh-CN"/>
        </w:rPr>
        <w:tab/>
      </w:r>
      <w:r w:rsidR="00B824A2" w:rsidRPr="006510A8">
        <w:rPr>
          <w:rFonts w:hint="eastAsia"/>
          <w:lang w:eastAsia="zh-CN"/>
        </w:rPr>
        <w:t>2</w:t>
      </w:r>
      <w:r w:rsidR="00B824A2" w:rsidRPr="006510A8">
        <w:rPr>
          <w:lang w:eastAsia="zh-CN"/>
        </w:rPr>
        <w:t>009</w:t>
      </w:r>
      <w:r w:rsidR="00B824A2" w:rsidRPr="006510A8">
        <w:rPr>
          <w:rFonts w:hint="eastAsia"/>
          <w:lang w:eastAsia="zh-CN"/>
        </w:rPr>
        <w:t>年</w:t>
      </w:r>
    </w:p>
    <w:p w14:paraId="4827C19E" w14:textId="77777777" w:rsidR="00AE5332" w:rsidRPr="006510A8" w:rsidRDefault="00AE5332" w:rsidP="004E1793">
      <w:pPr>
        <w:pStyle w:val="Appendixref"/>
        <w:rPr>
          <w:lang w:eastAsia="zh-CN"/>
        </w:rPr>
      </w:pPr>
      <w:r w:rsidRPr="006510A8">
        <w:rPr>
          <w:rFonts w:hint="eastAsia"/>
          <w:lang w:eastAsia="zh-CN"/>
        </w:rPr>
        <w:t>第</w:t>
      </w:r>
      <w:r w:rsidRPr="006510A8">
        <w:rPr>
          <w:lang w:eastAsia="zh-CN"/>
        </w:rPr>
        <w:t>12</w:t>
      </w:r>
      <w:r w:rsidRPr="006510A8">
        <w:rPr>
          <w:rFonts w:hint="eastAsia"/>
          <w:lang w:eastAsia="zh-CN"/>
        </w:rPr>
        <w:t>96</w:t>
      </w:r>
      <w:r w:rsidRPr="006510A8">
        <w:rPr>
          <w:lang w:eastAsia="zh-CN"/>
        </w:rPr>
        <w:t>号决议</w:t>
      </w:r>
      <w:r w:rsidRPr="006510A8">
        <w:rPr>
          <w:lang w:eastAsia="zh-CN"/>
        </w:rPr>
        <w:tab/>
      </w:r>
      <w:r w:rsidR="00E77B5B" w:rsidRPr="006510A8">
        <w:rPr>
          <w:rFonts w:hint="eastAsia"/>
          <w:lang w:eastAsia="zh-CN"/>
        </w:rPr>
        <w:t>国际电联</w:t>
      </w:r>
      <w:r w:rsidR="00E77B5B" w:rsidRPr="006510A8">
        <w:rPr>
          <w:rFonts w:hint="eastAsia"/>
          <w:lang w:eastAsia="zh-CN"/>
        </w:rPr>
        <w:t>2006</w:t>
      </w:r>
      <w:r w:rsidR="00E77B5B" w:rsidRPr="006510A8">
        <w:rPr>
          <w:rFonts w:hint="eastAsia"/>
          <w:lang w:eastAsia="zh-CN"/>
        </w:rPr>
        <w:t>年世界电信展相关活动的账目</w:t>
      </w:r>
      <w:r w:rsidRPr="006510A8">
        <w:rPr>
          <w:rFonts w:hint="eastAsia"/>
          <w:lang w:eastAsia="zh-CN"/>
        </w:rPr>
        <w:tab/>
      </w:r>
      <w:r w:rsidR="004E1793">
        <w:rPr>
          <w:lang w:eastAsia="zh-CN"/>
        </w:rPr>
        <w:tab/>
      </w:r>
      <w:r w:rsidR="00B824A2" w:rsidRPr="006510A8">
        <w:rPr>
          <w:rFonts w:hint="eastAsia"/>
          <w:lang w:eastAsia="zh-CN"/>
        </w:rPr>
        <w:t>2</w:t>
      </w:r>
      <w:r w:rsidR="00B824A2" w:rsidRPr="006510A8">
        <w:rPr>
          <w:lang w:eastAsia="zh-CN"/>
        </w:rPr>
        <w:t>009</w:t>
      </w:r>
      <w:r w:rsidR="00B824A2" w:rsidRPr="006510A8">
        <w:rPr>
          <w:rFonts w:hint="eastAsia"/>
          <w:lang w:eastAsia="zh-CN"/>
        </w:rPr>
        <w:t>年</w:t>
      </w:r>
    </w:p>
    <w:p w14:paraId="4827C19F" w14:textId="77777777" w:rsidR="006510A8" w:rsidRPr="006510A8" w:rsidRDefault="00AE5332" w:rsidP="004E1793">
      <w:pPr>
        <w:pStyle w:val="Appendixref"/>
        <w:rPr>
          <w:lang w:eastAsia="zh-CN"/>
        </w:rPr>
      </w:pPr>
      <w:r w:rsidRPr="006510A8">
        <w:rPr>
          <w:rFonts w:hint="eastAsia"/>
          <w:lang w:eastAsia="zh-CN"/>
        </w:rPr>
        <w:t>第</w:t>
      </w:r>
      <w:r w:rsidRPr="006510A8">
        <w:rPr>
          <w:lang w:eastAsia="zh-CN"/>
        </w:rPr>
        <w:t>12</w:t>
      </w:r>
      <w:r w:rsidRPr="006510A8">
        <w:rPr>
          <w:rFonts w:hint="eastAsia"/>
          <w:lang w:eastAsia="zh-CN"/>
        </w:rPr>
        <w:t>97</w:t>
      </w:r>
      <w:r w:rsidRPr="006510A8">
        <w:rPr>
          <w:lang w:eastAsia="zh-CN"/>
        </w:rPr>
        <w:t>号决议</w:t>
      </w:r>
      <w:r w:rsidRPr="006510A8">
        <w:rPr>
          <w:lang w:eastAsia="zh-CN"/>
        </w:rPr>
        <w:tab/>
      </w:r>
      <w:r w:rsidR="00E77B5B" w:rsidRPr="006510A8">
        <w:rPr>
          <w:rFonts w:hint="eastAsia"/>
          <w:lang w:eastAsia="zh-CN"/>
        </w:rPr>
        <w:t>国际电联</w:t>
      </w:r>
      <w:r w:rsidR="00E77B5B" w:rsidRPr="006510A8">
        <w:rPr>
          <w:lang w:eastAsia="zh-CN"/>
        </w:rPr>
        <w:t>200</w:t>
      </w:r>
      <w:r w:rsidR="00E77B5B" w:rsidRPr="006510A8">
        <w:rPr>
          <w:rFonts w:hint="eastAsia"/>
          <w:lang w:eastAsia="zh-CN"/>
        </w:rPr>
        <w:t>7</w:t>
      </w:r>
      <w:r w:rsidR="00E77B5B" w:rsidRPr="006510A8">
        <w:rPr>
          <w:rFonts w:hint="eastAsia"/>
          <w:lang w:eastAsia="zh-CN"/>
        </w:rPr>
        <w:t>年美洲电信展相关活动的账目</w:t>
      </w:r>
      <w:r w:rsidRPr="006510A8">
        <w:rPr>
          <w:rFonts w:hint="eastAsia"/>
          <w:lang w:eastAsia="zh-CN"/>
        </w:rPr>
        <w:tab/>
      </w:r>
      <w:r w:rsidR="004E1793">
        <w:rPr>
          <w:lang w:eastAsia="zh-CN"/>
        </w:rPr>
        <w:tab/>
      </w:r>
      <w:r w:rsidR="00B824A2" w:rsidRPr="006510A8">
        <w:rPr>
          <w:rFonts w:hint="eastAsia"/>
          <w:lang w:eastAsia="zh-CN"/>
        </w:rPr>
        <w:t>2</w:t>
      </w:r>
      <w:r w:rsidR="00B824A2" w:rsidRPr="006510A8">
        <w:rPr>
          <w:lang w:eastAsia="zh-CN"/>
        </w:rPr>
        <w:t>009</w:t>
      </w:r>
      <w:r w:rsidR="00B824A2" w:rsidRPr="006510A8">
        <w:rPr>
          <w:rFonts w:hint="eastAsia"/>
          <w:lang w:eastAsia="zh-CN"/>
        </w:rPr>
        <w:t>年</w:t>
      </w:r>
    </w:p>
    <w:p w14:paraId="4827C1A0" w14:textId="77777777" w:rsidR="006510A8" w:rsidRPr="006510A8" w:rsidRDefault="00AE5332" w:rsidP="004E1793">
      <w:pPr>
        <w:pStyle w:val="Appendixref"/>
        <w:rPr>
          <w:lang w:eastAsia="zh-CN"/>
        </w:rPr>
      </w:pPr>
      <w:r w:rsidRPr="006510A8">
        <w:rPr>
          <w:rFonts w:hint="eastAsia"/>
          <w:lang w:eastAsia="zh-CN"/>
        </w:rPr>
        <w:t>第</w:t>
      </w:r>
      <w:r w:rsidRPr="006510A8">
        <w:rPr>
          <w:lang w:eastAsia="zh-CN"/>
        </w:rPr>
        <w:t>12</w:t>
      </w:r>
      <w:r w:rsidRPr="006510A8">
        <w:rPr>
          <w:rFonts w:hint="eastAsia"/>
          <w:lang w:eastAsia="zh-CN"/>
        </w:rPr>
        <w:t>98</w:t>
      </w:r>
      <w:r w:rsidRPr="006510A8">
        <w:rPr>
          <w:lang w:eastAsia="zh-CN"/>
        </w:rPr>
        <w:t>号决议</w:t>
      </w:r>
      <w:r w:rsidRPr="006510A8">
        <w:rPr>
          <w:lang w:eastAsia="zh-CN"/>
        </w:rPr>
        <w:tab/>
      </w:r>
      <w:r w:rsidR="00E77B5B" w:rsidRPr="006510A8">
        <w:rPr>
          <w:rFonts w:hint="eastAsia"/>
          <w:lang w:eastAsia="zh-CN"/>
        </w:rPr>
        <w:t>国际电联</w:t>
      </w:r>
      <w:r w:rsidR="00E77B5B" w:rsidRPr="006510A8">
        <w:rPr>
          <w:lang w:eastAsia="zh-CN"/>
        </w:rPr>
        <w:t>200</w:t>
      </w:r>
      <w:r w:rsidR="00E77B5B" w:rsidRPr="006510A8">
        <w:rPr>
          <w:rFonts w:hint="eastAsia"/>
          <w:lang w:eastAsia="zh-CN"/>
        </w:rPr>
        <w:t>7</w:t>
      </w:r>
      <w:r w:rsidR="00E77B5B" w:rsidRPr="006510A8">
        <w:rPr>
          <w:rFonts w:hint="eastAsia"/>
          <w:lang w:eastAsia="zh-CN"/>
        </w:rPr>
        <w:t>年欧洲电信展相关活动的账目</w:t>
      </w:r>
      <w:r w:rsidRPr="006510A8">
        <w:rPr>
          <w:rFonts w:hint="eastAsia"/>
          <w:lang w:eastAsia="zh-CN"/>
        </w:rPr>
        <w:tab/>
      </w:r>
      <w:r w:rsidR="004E1793">
        <w:rPr>
          <w:lang w:eastAsia="zh-CN"/>
        </w:rPr>
        <w:tab/>
      </w:r>
      <w:r w:rsidR="00B824A2" w:rsidRPr="006510A8">
        <w:rPr>
          <w:rFonts w:hint="eastAsia"/>
          <w:lang w:eastAsia="zh-CN"/>
        </w:rPr>
        <w:t>2</w:t>
      </w:r>
      <w:r w:rsidR="00B824A2" w:rsidRPr="006510A8">
        <w:rPr>
          <w:lang w:eastAsia="zh-CN"/>
        </w:rPr>
        <w:t>009</w:t>
      </w:r>
      <w:r w:rsidR="00B824A2" w:rsidRPr="006510A8">
        <w:rPr>
          <w:rFonts w:hint="eastAsia"/>
          <w:lang w:eastAsia="zh-CN"/>
        </w:rPr>
        <w:t>年</w:t>
      </w:r>
    </w:p>
    <w:p w14:paraId="4827C1A1" w14:textId="48F1ADB9" w:rsidR="00AE5332" w:rsidRPr="006510A8" w:rsidRDefault="00AE5332" w:rsidP="004E1793">
      <w:pPr>
        <w:pStyle w:val="Appendixref"/>
        <w:rPr>
          <w:lang w:eastAsia="zh-CN"/>
        </w:rPr>
      </w:pPr>
      <w:r w:rsidRPr="006510A8">
        <w:rPr>
          <w:rFonts w:hint="eastAsia"/>
          <w:lang w:eastAsia="zh-CN"/>
        </w:rPr>
        <w:t>第</w:t>
      </w:r>
      <w:r w:rsidRPr="006510A8">
        <w:rPr>
          <w:lang w:eastAsia="zh-CN"/>
        </w:rPr>
        <w:t>12</w:t>
      </w:r>
      <w:r w:rsidRPr="006510A8">
        <w:rPr>
          <w:rFonts w:hint="eastAsia"/>
          <w:lang w:eastAsia="zh-CN"/>
        </w:rPr>
        <w:t>99</w:t>
      </w:r>
      <w:r w:rsidRPr="006510A8">
        <w:rPr>
          <w:lang w:eastAsia="zh-CN"/>
        </w:rPr>
        <w:t>号决议</w:t>
      </w:r>
      <w:r w:rsidRPr="006510A8">
        <w:rPr>
          <w:bCs/>
          <w:lang w:eastAsia="zh-CN"/>
        </w:rPr>
        <w:tab/>
      </w:r>
      <w:r w:rsidR="00FD2B38" w:rsidRPr="00FD2B38">
        <w:rPr>
          <w:rFonts w:hint="eastAsia"/>
          <w:bCs/>
          <w:lang w:eastAsia="zh-CN"/>
        </w:rPr>
        <w:t>国际电联人力资源战略规划</w:t>
      </w:r>
      <w:r w:rsidR="0002429F" w:rsidRPr="006510A8">
        <w:rPr>
          <w:rFonts w:hint="eastAsia"/>
          <w:bCs/>
          <w:lang w:eastAsia="zh-CN"/>
        </w:rPr>
        <w:tab/>
      </w:r>
      <w:r w:rsidR="004E1793">
        <w:rPr>
          <w:bCs/>
          <w:lang w:eastAsia="zh-CN"/>
        </w:rPr>
        <w:tab/>
      </w:r>
      <w:r w:rsidR="0002429F" w:rsidRPr="006510A8">
        <w:rPr>
          <w:lang w:eastAsia="zh-CN"/>
        </w:rPr>
        <w:t>2.2</w:t>
      </w:r>
    </w:p>
    <w:p w14:paraId="4827C1A2" w14:textId="77777777" w:rsidR="006E3B9B" w:rsidRDefault="00B824A2" w:rsidP="003E11A1">
      <w:pPr>
        <w:pStyle w:val="Reftitle"/>
        <w:rPr>
          <w:lang w:eastAsia="zh-CN"/>
        </w:rPr>
      </w:pPr>
      <w:r w:rsidRPr="006D0EE6">
        <w:rPr>
          <w:lang w:eastAsia="zh-CN"/>
        </w:rPr>
        <w:t>200</w:t>
      </w:r>
      <w:r>
        <w:rPr>
          <w:rFonts w:hint="eastAsia"/>
          <w:lang w:eastAsia="zh-CN"/>
        </w:rPr>
        <w:t>9</w:t>
      </w:r>
      <w:r w:rsidRPr="006D0EE6">
        <w:rPr>
          <w:rFonts w:hint="eastAsia"/>
          <w:lang w:eastAsia="zh-CN"/>
        </w:rPr>
        <w:t>年会议（</w:t>
      </w:r>
      <w:r>
        <w:rPr>
          <w:rFonts w:hint="eastAsia"/>
          <w:lang w:eastAsia="zh-CN"/>
        </w:rPr>
        <w:t>2009</w:t>
      </w:r>
      <w:r w:rsidRPr="006D0EE6">
        <w:rPr>
          <w:rFonts w:hint="eastAsia"/>
          <w:lang w:eastAsia="zh-CN"/>
        </w:rPr>
        <w:t>年</w:t>
      </w:r>
      <w:r>
        <w:rPr>
          <w:rFonts w:hint="eastAsia"/>
          <w:lang w:eastAsia="zh-CN"/>
        </w:rPr>
        <w:t>10</w:t>
      </w:r>
      <w:r w:rsidRPr="006D0EE6">
        <w:rPr>
          <w:rFonts w:hint="eastAsia"/>
          <w:lang w:eastAsia="zh-CN"/>
        </w:rPr>
        <w:t>月</w:t>
      </w:r>
      <w:r>
        <w:rPr>
          <w:rFonts w:hint="eastAsia"/>
          <w:lang w:eastAsia="zh-CN"/>
        </w:rPr>
        <w:t>20</w:t>
      </w:r>
      <w:r w:rsidRPr="006D0EE6">
        <w:rPr>
          <w:rFonts w:hint="eastAsia"/>
          <w:lang w:eastAsia="zh-CN"/>
        </w:rPr>
        <w:t>-</w:t>
      </w:r>
      <w:r>
        <w:rPr>
          <w:rFonts w:hint="eastAsia"/>
          <w:lang w:eastAsia="zh-CN"/>
        </w:rPr>
        <w:t>30</w:t>
      </w:r>
      <w:r w:rsidRPr="006D0EE6">
        <w:rPr>
          <w:rFonts w:hint="eastAsia"/>
          <w:lang w:eastAsia="zh-CN"/>
        </w:rPr>
        <w:t>日</w:t>
      </w:r>
      <w:r w:rsidR="004223B8">
        <w:rPr>
          <w:rFonts w:hint="eastAsia"/>
          <w:lang w:eastAsia="zh-CN"/>
        </w:rPr>
        <w:t>，日内瓦</w:t>
      </w:r>
      <w:r w:rsidRPr="006D0EE6">
        <w:rPr>
          <w:rFonts w:hint="eastAsia"/>
          <w:lang w:eastAsia="zh-CN"/>
        </w:rPr>
        <w:t>）</w:t>
      </w:r>
    </w:p>
    <w:p w14:paraId="4827C1A3" w14:textId="77777777" w:rsidR="00B824A2" w:rsidRDefault="00B824A2" w:rsidP="004E1793">
      <w:pPr>
        <w:pStyle w:val="Appendixref"/>
        <w:rPr>
          <w:lang w:eastAsia="zh-CN"/>
        </w:rPr>
      </w:pPr>
      <w:r w:rsidRPr="006E3B9B">
        <w:rPr>
          <w:rFonts w:hint="eastAsia"/>
          <w:lang w:eastAsia="zh-CN"/>
        </w:rPr>
        <w:t>第</w:t>
      </w:r>
      <w:r>
        <w:rPr>
          <w:lang w:eastAsia="zh-CN"/>
        </w:rPr>
        <w:t>1</w:t>
      </w:r>
      <w:r>
        <w:rPr>
          <w:rFonts w:hint="eastAsia"/>
          <w:lang w:eastAsia="zh-CN"/>
        </w:rPr>
        <w:t>300</w:t>
      </w:r>
      <w:r w:rsidRPr="006E3B9B">
        <w:rPr>
          <w:lang w:eastAsia="zh-CN"/>
        </w:rPr>
        <w:t>号决议</w:t>
      </w:r>
      <w:r w:rsidRPr="00E77B5B">
        <w:rPr>
          <w:bCs/>
          <w:lang w:eastAsia="zh-CN"/>
        </w:rPr>
        <w:tab/>
      </w:r>
      <w:r w:rsidRPr="00B824A2">
        <w:rPr>
          <w:rFonts w:hint="eastAsia"/>
          <w:lang w:eastAsia="zh-CN"/>
        </w:rPr>
        <w:t>成立制定</w:t>
      </w:r>
      <w:r w:rsidRPr="00B824A2">
        <w:rPr>
          <w:rFonts w:hint="eastAsia"/>
          <w:lang w:eastAsia="zh-CN"/>
        </w:rPr>
        <w:t>2012-2015</w:t>
      </w:r>
      <w:r w:rsidRPr="00B824A2">
        <w:rPr>
          <w:rFonts w:hint="eastAsia"/>
          <w:lang w:eastAsia="zh-CN"/>
        </w:rPr>
        <w:t>年《战略规划》草案和《财务规划》草案的理事会工作组</w:t>
      </w:r>
      <w:r w:rsidR="004E1793">
        <w:rPr>
          <w:lang w:eastAsia="zh-CN"/>
        </w:rPr>
        <w:tab/>
      </w:r>
      <w:r w:rsidRPr="00E77B5B">
        <w:rPr>
          <w:rFonts w:hint="eastAsia"/>
          <w:bCs/>
          <w:lang w:eastAsia="zh-CN"/>
        </w:rPr>
        <w:tab/>
      </w:r>
      <w:r w:rsidR="003316AB">
        <w:rPr>
          <w:rFonts w:hint="eastAsia"/>
          <w:lang w:eastAsia="zh-CN"/>
        </w:rPr>
        <w:t>2011</w:t>
      </w:r>
      <w:r w:rsidR="00077C0D">
        <w:rPr>
          <w:rFonts w:hint="eastAsia"/>
          <w:lang w:eastAsia="zh-CN"/>
        </w:rPr>
        <w:t>年</w:t>
      </w:r>
    </w:p>
    <w:p w14:paraId="4827C1A4" w14:textId="77777777" w:rsidR="00B824A2" w:rsidRDefault="00B824A2" w:rsidP="004E1793">
      <w:pPr>
        <w:pStyle w:val="Appendixref"/>
        <w:rPr>
          <w:bCs/>
          <w:lang w:val="en-US" w:eastAsia="zh-CN"/>
        </w:rPr>
      </w:pPr>
      <w:r w:rsidRPr="006E3B9B">
        <w:rPr>
          <w:rFonts w:hint="eastAsia"/>
          <w:lang w:eastAsia="zh-CN"/>
        </w:rPr>
        <w:t>第</w:t>
      </w:r>
      <w:r>
        <w:rPr>
          <w:lang w:eastAsia="zh-CN"/>
        </w:rPr>
        <w:t>1</w:t>
      </w:r>
      <w:r>
        <w:rPr>
          <w:rFonts w:hint="eastAsia"/>
          <w:lang w:eastAsia="zh-CN"/>
        </w:rPr>
        <w:t>301</w:t>
      </w:r>
      <w:r w:rsidRPr="006E3B9B">
        <w:rPr>
          <w:lang w:eastAsia="zh-CN"/>
        </w:rPr>
        <w:t>号决议</w:t>
      </w:r>
      <w:r w:rsidRPr="00E77B5B">
        <w:rPr>
          <w:bCs/>
          <w:lang w:eastAsia="zh-CN"/>
        </w:rPr>
        <w:tab/>
      </w:r>
      <w:r w:rsidRPr="00B824A2">
        <w:rPr>
          <w:bCs/>
          <w:lang w:eastAsia="zh-CN"/>
        </w:rPr>
        <w:t>无线电通信部门</w:t>
      </w:r>
      <w:r w:rsidRPr="00B824A2">
        <w:rPr>
          <w:bCs/>
          <w:lang w:eastAsia="zh-CN"/>
        </w:rPr>
        <w:t>2010-2013</w:t>
      </w:r>
      <w:r w:rsidRPr="00B824A2">
        <w:rPr>
          <w:bCs/>
          <w:lang w:eastAsia="zh-CN"/>
        </w:rPr>
        <w:t>年四年期</w:t>
      </w:r>
      <w:r>
        <w:rPr>
          <w:bCs/>
          <w:lang w:eastAsia="zh-CN"/>
        </w:rPr>
        <w:t>滚动式运作规划</w:t>
      </w:r>
      <w:r>
        <w:rPr>
          <w:rFonts w:hint="eastAsia"/>
          <w:bCs/>
          <w:lang w:eastAsia="zh-CN"/>
        </w:rPr>
        <w:tab/>
      </w:r>
      <w:r w:rsidR="004E1793">
        <w:rPr>
          <w:bCs/>
          <w:lang w:eastAsia="zh-CN"/>
        </w:rPr>
        <w:tab/>
      </w:r>
      <w:r w:rsidR="006C1EBF">
        <w:rPr>
          <w:rFonts w:hint="eastAsia"/>
          <w:lang w:eastAsia="zh-CN"/>
        </w:rPr>
        <w:t>2010</w:t>
      </w:r>
      <w:r w:rsidR="006C1EBF" w:rsidRPr="006E3B9B">
        <w:rPr>
          <w:rFonts w:hint="eastAsia"/>
          <w:lang w:eastAsia="zh-CN"/>
        </w:rPr>
        <w:t>年</w:t>
      </w:r>
    </w:p>
    <w:p w14:paraId="4827C1A5" w14:textId="77777777" w:rsidR="00B824A2" w:rsidRPr="00B824A2" w:rsidRDefault="00B824A2" w:rsidP="004E1793">
      <w:pPr>
        <w:pStyle w:val="Appendixref"/>
        <w:rPr>
          <w:lang w:val="en-US" w:eastAsia="zh-CN"/>
        </w:rPr>
      </w:pPr>
      <w:r w:rsidRPr="006E3B9B">
        <w:rPr>
          <w:rFonts w:hint="eastAsia"/>
          <w:lang w:eastAsia="zh-CN"/>
        </w:rPr>
        <w:t>第</w:t>
      </w:r>
      <w:r>
        <w:rPr>
          <w:lang w:eastAsia="zh-CN"/>
        </w:rPr>
        <w:t>1</w:t>
      </w:r>
      <w:r>
        <w:rPr>
          <w:rFonts w:hint="eastAsia"/>
          <w:lang w:eastAsia="zh-CN"/>
        </w:rPr>
        <w:t>30</w:t>
      </w:r>
      <w:r>
        <w:rPr>
          <w:lang w:eastAsia="zh-CN"/>
        </w:rPr>
        <w:t>2</w:t>
      </w:r>
      <w:r w:rsidRPr="006E3B9B">
        <w:rPr>
          <w:lang w:eastAsia="zh-CN"/>
        </w:rPr>
        <w:t>号决议</w:t>
      </w:r>
      <w:r w:rsidRPr="00E77B5B">
        <w:rPr>
          <w:bCs/>
          <w:lang w:eastAsia="zh-CN"/>
        </w:rPr>
        <w:tab/>
      </w:r>
      <w:r w:rsidRPr="00B824A2">
        <w:rPr>
          <w:rFonts w:hint="eastAsia"/>
          <w:bCs/>
          <w:lang w:eastAsia="zh-CN"/>
        </w:rPr>
        <w:t>电信标准化部门</w:t>
      </w:r>
      <w:r w:rsidRPr="00B824A2">
        <w:rPr>
          <w:bCs/>
          <w:lang w:eastAsia="zh-CN"/>
        </w:rPr>
        <w:t>20</w:t>
      </w:r>
      <w:r w:rsidRPr="00B824A2">
        <w:rPr>
          <w:rFonts w:hint="eastAsia"/>
          <w:bCs/>
          <w:lang w:eastAsia="zh-CN"/>
        </w:rPr>
        <w:t>10</w:t>
      </w:r>
      <w:r w:rsidRPr="00B824A2">
        <w:rPr>
          <w:bCs/>
          <w:lang w:eastAsia="zh-CN"/>
        </w:rPr>
        <w:t>-20</w:t>
      </w:r>
      <w:r w:rsidRPr="00B824A2">
        <w:rPr>
          <w:rFonts w:hint="eastAsia"/>
          <w:bCs/>
          <w:lang w:eastAsia="zh-CN"/>
        </w:rPr>
        <w:t>13</w:t>
      </w:r>
      <w:r w:rsidRPr="00B824A2">
        <w:rPr>
          <w:rFonts w:hint="eastAsia"/>
          <w:bCs/>
          <w:lang w:eastAsia="zh-CN"/>
        </w:rPr>
        <w:t>年四年期滚动式运作规划</w:t>
      </w:r>
      <w:r>
        <w:rPr>
          <w:rFonts w:hint="eastAsia"/>
          <w:bCs/>
          <w:lang w:eastAsia="zh-CN"/>
        </w:rPr>
        <w:tab/>
      </w:r>
      <w:r w:rsidR="004E1793">
        <w:rPr>
          <w:bCs/>
          <w:lang w:eastAsia="zh-CN"/>
        </w:rPr>
        <w:tab/>
      </w:r>
      <w:r w:rsidR="006C1EBF">
        <w:rPr>
          <w:rFonts w:hint="eastAsia"/>
          <w:lang w:eastAsia="zh-CN"/>
        </w:rPr>
        <w:t>2010</w:t>
      </w:r>
      <w:r w:rsidR="006C1EBF" w:rsidRPr="006E3B9B">
        <w:rPr>
          <w:rFonts w:hint="eastAsia"/>
          <w:lang w:eastAsia="zh-CN"/>
        </w:rPr>
        <w:t>年</w:t>
      </w:r>
    </w:p>
    <w:p w14:paraId="4827C1A6" w14:textId="77777777" w:rsidR="00B824A2" w:rsidRPr="00B824A2" w:rsidRDefault="00B824A2" w:rsidP="004E1793">
      <w:pPr>
        <w:pStyle w:val="Appendixref"/>
        <w:rPr>
          <w:lang w:val="en-US" w:eastAsia="zh-CN"/>
        </w:rPr>
      </w:pPr>
      <w:r w:rsidRPr="006E3B9B">
        <w:rPr>
          <w:rFonts w:hint="eastAsia"/>
          <w:lang w:eastAsia="zh-CN"/>
        </w:rPr>
        <w:t>第</w:t>
      </w:r>
      <w:r>
        <w:rPr>
          <w:lang w:eastAsia="zh-CN"/>
        </w:rPr>
        <w:t>1</w:t>
      </w:r>
      <w:r>
        <w:rPr>
          <w:rFonts w:hint="eastAsia"/>
          <w:lang w:eastAsia="zh-CN"/>
        </w:rPr>
        <w:t>30</w:t>
      </w:r>
      <w:r>
        <w:rPr>
          <w:lang w:eastAsia="zh-CN"/>
        </w:rPr>
        <w:t>3</w:t>
      </w:r>
      <w:r w:rsidRPr="006E3B9B">
        <w:rPr>
          <w:lang w:eastAsia="zh-CN"/>
        </w:rPr>
        <w:t>号决议</w:t>
      </w:r>
      <w:r w:rsidRPr="00E77B5B">
        <w:rPr>
          <w:bCs/>
          <w:lang w:eastAsia="zh-CN"/>
        </w:rPr>
        <w:tab/>
      </w:r>
      <w:r w:rsidR="00516566" w:rsidRPr="00516566">
        <w:rPr>
          <w:bCs/>
          <w:lang w:val="es-ES" w:eastAsia="zh-CN"/>
        </w:rPr>
        <w:t>电信发展部门</w:t>
      </w:r>
      <w:r w:rsidR="00516566" w:rsidRPr="00516566">
        <w:rPr>
          <w:bCs/>
          <w:lang w:val="es-ES" w:eastAsia="zh-CN"/>
        </w:rPr>
        <w:t>20</w:t>
      </w:r>
      <w:r w:rsidR="00516566" w:rsidRPr="00516566">
        <w:rPr>
          <w:rFonts w:hint="eastAsia"/>
          <w:bCs/>
          <w:lang w:val="es-ES" w:eastAsia="zh-CN"/>
        </w:rPr>
        <w:t>10</w:t>
      </w:r>
      <w:r w:rsidR="00516566" w:rsidRPr="00516566">
        <w:rPr>
          <w:bCs/>
          <w:lang w:val="es-ES" w:eastAsia="zh-CN"/>
        </w:rPr>
        <w:t>-201</w:t>
      </w:r>
      <w:r w:rsidR="00516566" w:rsidRPr="00516566">
        <w:rPr>
          <w:rFonts w:hint="eastAsia"/>
          <w:bCs/>
          <w:lang w:val="es-ES" w:eastAsia="zh-CN"/>
        </w:rPr>
        <w:t>3</w:t>
      </w:r>
      <w:r w:rsidR="00516566" w:rsidRPr="00516566">
        <w:rPr>
          <w:bCs/>
          <w:lang w:val="es-ES" w:eastAsia="zh-CN"/>
        </w:rPr>
        <w:t>年四年期滚动</w:t>
      </w:r>
      <w:r w:rsidR="00516566" w:rsidRPr="00516566">
        <w:rPr>
          <w:rFonts w:hint="eastAsia"/>
          <w:bCs/>
          <w:lang w:val="es-ES" w:eastAsia="zh-CN"/>
        </w:rPr>
        <w:t>式</w:t>
      </w:r>
      <w:r w:rsidR="00516566" w:rsidRPr="00516566">
        <w:rPr>
          <w:bCs/>
          <w:lang w:val="es-ES" w:eastAsia="zh-CN"/>
        </w:rPr>
        <w:t>运作规划</w:t>
      </w:r>
      <w:r>
        <w:rPr>
          <w:rFonts w:hint="eastAsia"/>
          <w:bCs/>
          <w:lang w:eastAsia="zh-CN"/>
        </w:rPr>
        <w:tab/>
      </w:r>
      <w:r w:rsidR="004E1793">
        <w:rPr>
          <w:bCs/>
          <w:lang w:eastAsia="zh-CN"/>
        </w:rPr>
        <w:tab/>
      </w:r>
      <w:r w:rsidR="006C1EBF">
        <w:rPr>
          <w:rFonts w:hint="eastAsia"/>
          <w:lang w:eastAsia="zh-CN"/>
        </w:rPr>
        <w:t>2010</w:t>
      </w:r>
      <w:r w:rsidR="006C1EBF" w:rsidRPr="006E3B9B">
        <w:rPr>
          <w:rFonts w:hint="eastAsia"/>
          <w:lang w:eastAsia="zh-CN"/>
        </w:rPr>
        <w:t>年</w:t>
      </w:r>
    </w:p>
    <w:p w14:paraId="4827C1A7" w14:textId="77777777" w:rsidR="00B824A2" w:rsidRPr="00B824A2" w:rsidRDefault="00B824A2" w:rsidP="004E1793">
      <w:pPr>
        <w:pStyle w:val="Appendixref"/>
        <w:rPr>
          <w:lang w:val="en-US" w:eastAsia="zh-CN"/>
        </w:rPr>
      </w:pPr>
      <w:r w:rsidRPr="006E3B9B">
        <w:rPr>
          <w:rFonts w:hint="eastAsia"/>
          <w:lang w:eastAsia="zh-CN"/>
        </w:rPr>
        <w:t>第</w:t>
      </w:r>
      <w:r>
        <w:rPr>
          <w:lang w:eastAsia="zh-CN"/>
        </w:rPr>
        <w:t>1</w:t>
      </w:r>
      <w:r>
        <w:rPr>
          <w:rFonts w:hint="eastAsia"/>
          <w:lang w:eastAsia="zh-CN"/>
        </w:rPr>
        <w:t>30</w:t>
      </w:r>
      <w:r w:rsidR="00516566">
        <w:rPr>
          <w:lang w:eastAsia="zh-CN"/>
        </w:rPr>
        <w:t>4</w:t>
      </w:r>
      <w:r w:rsidRPr="006E3B9B">
        <w:rPr>
          <w:lang w:eastAsia="zh-CN"/>
        </w:rPr>
        <w:t>号决议</w:t>
      </w:r>
      <w:r w:rsidRPr="00E77B5B">
        <w:rPr>
          <w:bCs/>
          <w:lang w:eastAsia="zh-CN"/>
        </w:rPr>
        <w:tab/>
      </w:r>
      <w:r w:rsidR="00516566" w:rsidRPr="00516566">
        <w:rPr>
          <w:rFonts w:hint="eastAsia"/>
          <w:bCs/>
          <w:lang w:eastAsia="zh-CN"/>
        </w:rPr>
        <w:t>总秘书处</w:t>
      </w:r>
      <w:r w:rsidR="00516566" w:rsidRPr="00516566">
        <w:rPr>
          <w:bCs/>
          <w:lang w:val="fr-CH" w:eastAsia="zh-CN"/>
        </w:rPr>
        <w:t>2010-2013</w:t>
      </w:r>
      <w:r w:rsidR="00516566" w:rsidRPr="00516566">
        <w:rPr>
          <w:rFonts w:hint="eastAsia"/>
          <w:bCs/>
          <w:lang w:eastAsia="zh-CN"/>
        </w:rPr>
        <w:t>年四年期滚动式运作规划</w:t>
      </w:r>
      <w:r>
        <w:rPr>
          <w:rFonts w:hint="eastAsia"/>
          <w:bCs/>
          <w:lang w:eastAsia="zh-CN"/>
        </w:rPr>
        <w:tab/>
      </w:r>
      <w:r w:rsidR="004E1793">
        <w:rPr>
          <w:bCs/>
          <w:lang w:eastAsia="zh-CN"/>
        </w:rPr>
        <w:tab/>
      </w:r>
      <w:r w:rsidR="006C1EBF">
        <w:rPr>
          <w:rFonts w:hint="eastAsia"/>
          <w:lang w:eastAsia="zh-CN"/>
        </w:rPr>
        <w:t>2010</w:t>
      </w:r>
      <w:r w:rsidR="006C1EBF" w:rsidRPr="006E3B9B">
        <w:rPr>
          <w:rFonts w:hint="eastAsia"/>
          <w:lang w:eastAsia="zh-CN"/>
        </w:rPr>
        <w:t>年</w:t>
      </w:r>
    </w:p>
    <w:p w14:paraId="4827C1A8" w14:textId="77777777" w:rsidR="00B824A2" w:rsidRPr="00B824A2" w:rsidRDefault="00B824A2" w:rsidP="004E1793">
      <w:pPr>
        <w:pStyle w:val="Appendixref"/>
        <w:rPr>
          <w:lang w:val="en-US" w:eastAsia="zh-CN"/>
        </w:rPr>
      </w:pPr>
      <w:r w:rsidRPr="006E3B9B">
        <w:rPr>
          <w:rFonts w:hint="eastAsia"/>
          <w:lang w:eastAsia="zh-CN"/>
        </w:rPr>
        <w:t>第</w:t>
      </w:r>
      <w:r>
        <w:rPr>
          <w:lang w:eastAsia="zh-CN"/>
        </w:rPr>
        <w:t>1</w:t>
      </w:r>
      <w:r>
        <w:rPr>
          <w:rFonts w:hint="eastAsia"/>
          <w:lang w:eastAsia="zh-CN"/>
        </w:rPr>
        <w:t>30</w:t>
      </w:r>
      <w:r w:rsidR="00516566">
        <w:rPr>
          <w:lang w:eastAsia="zh-CN"/>
        </w:rPr>
        <w:t>5</w:t>
      </w:r>
      <w:r w:rsidRPr="006E3B9B">
        <w:rPr>
          <w:lang w:eastAsia="zh-CN"/>
        </w:rPr>
        <w:t>号决议</w:t>
      </w:r>
      <w:r w:rsidRPr="00E77B5B">
        <w:rPr>
          <w:bCs/>
          <w:lang w:eastAsia="zh-CN"/>
        </w:rPr>
        <w:tab/>
      </w:r>
      <w:r w:rsidR="002C3037" w:rsidRPr="002C3037">
        <w:rPr>
          <w:rFonts w:hint="eastAsia"/>
          <w:bCs/>
          <w:lang w:val="en-US" w:eastAsia="zh-CN"/>
        </w:rPr>
        <w:t>确定互联网相关公共政策问题专门小组的职责</w:t>
      </w:r>
      <w:r>
        <w:rPr>
          <w:rFonts w:hint="eastAsia"/>
          <w:bCs/>
          <w:lang w:eastAsia="zh-CN"/>
        </w:rPr>
        <w:tab/>
      </w:r>
      <w:r w:rsidR="004E1793">
        <w:rPr>
          <w:bCs/>
          <w:lang w:eastAsia="zh-CN"/>
        </w:rPr>
        <w:tab/>
      </w:r>
      <w:r w:rsidR="002C3037">
        <w:rPr>
          <w:rFonts w:hint="eastAsia"/>
          <w:bCs/>
          <w:lang w:eastAsia="zh-CN"/>
        </w:rPr>
        <w:t>3</w:t>
      </w:r>
      <w:r>
        <w:rPr>
          <w:bCs/>
          <w:lang w:val="en-US" w:eastAsia="zh-CN"/>
        </w:rPr>
        <w:t>.2</w:t>
      </w:r>
    </w:p>
    <w:p w14:paraId="4827C1A9" w14:textId="77777777" w:rsidR="00B824A2" w:rsidRPr="00B824A2" w:rsidRDefault="00B824A2" w:rsidP="004E1793">
      <w:pPr>
        <w:pStyle w:val="Appendixref"/>
        <w:rPr>
          <w:lang w:val="en-US" w:eastAsia="zh-CN"/>
        </w:rPr>
      </w:pPr>
      <w:r w:rsidRPr="006E3B9B">
        <w:rPr>
          <w:rFonts w:hint="eastAsia"/>
          <w:lang w:eastAsia="zh-CN"/>
        </w:rPr>
        <w:t>第</w:t>
      </w:r>
      <w:r>
        <w:rPr>
          <w:lang w:eastAsia="zh-CN"/>
        </w:rPr>
        <w:t>1</w:t>
      </w:r>
      <w:r>
        <w:rPr>
          <w:rFonts w:hint="eastAsia"/>
          <w:lang w:eastAsia="zh-CN"/>
        </w:rPr>
        <w:t>30</w:t>
      </w:r>
      <w:r w:rsidR="002C3037">
        <w:rPr>
          <w:lang w:eastAsia="zh-CN"/>
        </w:rPr>
        <w:t>6</w:t>
      </w:r>
      <w:r w:rsidRPr="006E3B9B">
        <w:rPr>
          <w:lang w:eastAsia="zh-CN"/>
        </w:rPr>
        <w:t>号决议</w:t>
      </w:r>
      <w:r w:rsidRPr="00E77B5B">
        <w:rPr>
          <w:bCs/>
          <w:lang w:eastAsia="zh-CN"/>
        </w:rPr>
        <w:tab/>
      </w:r>
      <w:r w:rsidR="002C3037">
        <w:rPr>
          <w:rFonts w:hint="eastAsia"/>
          <w:bCs/>
          <w:lang w:eastAsia="zh-CN"/>
        </w:rPr>
        <w:t>国际</w:t>
      </w:r>
      <w:r w:rsidR="002C3037" w:rsidRPr="002C3037">
        <w:rPr>
          <w:rFonts w:hint="eastAsia"/>
          <w:bCs/>
          <w:lang w:eastAsia="zh-CN"/>
        </w:rPr>
        <w:t>电联在有关为儿童创建更加安全的互联网环境的国际公共政策问题方面的</w:t>
      </w:r>
      <w:r w:rsidR="002C3037">
        <w:rPr>
          <w:rFonts w:hint="eastAsia"/>
          <w:bCs/>
          <w:lang w:eastAsia="zh-CN"/>
        </w:rPr>
        <w:t>作用</w:t>
      </w:r>
      <w:r>
        <w:rPr>
          <w:rFonts w:hint="eastAsia"/>
          <w:bCs/>
          <w:lang w:eastAsia="zh-CN"/>
        </w:rPr>
        <w:tab/>
      </w:r>
      <w:r w:rsidR="004E1793">
        <w:rPr>
          <w:bCs/>
          <w:lang w:eastAsia="zh-CN"/>
        </w:rPr>
        <w:tab/>
      </w:r>
      <w:r w:rsidR="002C3037">
        <w:rPr>
          <w:rFonts w:hint="eastAsia"/>
          <w:bCs/>
          <w:lang w:eastAsia="zh-CN"/>
        </w:rPr>
        <w:t>3</w:t>
      </w:r>
      <w:r>
        <w:rPr>
          <w:bCs/>
          <w:lang w:val="en-US" w:eastAsia="zh-CN"/>
        </w:rPr>
        <w:t>.2</w:t>
      </w:r>
    </w:p>
    <w:p w14:paraId="4827C1AA" w14:textId="77777777" w:rsidR="00B824A2" w:rsidRPr="00B824A2" w:rsidRDefault="00B824A2" w:rsidP="008F3715">
      <w:pPr>
        <w:pStyle w:val="Appendixref"/>
        <w:rPr>
          <w:lang w:val="en-US" w:eastAsia="zh-CN"/>
        </w:rPr>
      </w:pPr>
      <w:r w:rsidRPr="006E3B9B">
        <w:rPr>
          <w:rFonts w:hint="eastAsia"/>
          <w:lang w:eastAsia="zh-CN"/>
        </w:rPr>
        <w:t>第</w:t>
      </w:r>
      <w:r>
        <w:rPr>
          <w:lang w:eastAsia="zh-CN"/>
        </w:rPr>
        <w:t>1</w:t>
      </w:r>
      <w:r>
        <w:rPr>
          <w:rFonts w:hint="eastAsia"/>
          <w:lang w:eastAsia="zh-CN"/>
        </w:rPr>
        <w:t>30</w:t>
      </w:r>
      <w:r w:rsidR="002C3037">
        <w:rPr>
          <w:rFonts w:hint="eastAsia"/>
          <w:lang w:eastAsia="zh-CN"/>
        </w:rPr>
        <w:t>7</w:t>
      </w:r>
      <w:r w:rsidRPr="006E3B9B">
        <w:rPr>
          <w:lang w:eastAsia="zh-CN"/>
        </w:rPr>
        <w:t>号决议</w:t>
      </w:r>
      <w:r w:rsidRPr="00E77B5B">
        <w:rPr>
          <w:bCs/>
          <w:lang w:eastAsia="zh-CN"/>
        </w:rPr>
        <w:tab/>
      </w:r>
      <w:r w:rsidR="002C3037" w:rsidRPr="002C3037">
        <w:rPr>
          <w:rFonts w:hint="eastAsia"/>
          <w:bCs/>
          <w:lang w:eastAsia="zh-CN"/>
        </w:rPr>
        <w:t>信息通信技术（</w:t>
      </w:r>
      <w:r w:rsidR="002C3037" w:rsidRPr="002C3037">
        <w:rPr>
          <w:bCs/>
          <w:lang w:eastAsia="zh-CN"/>
        </w:rPr>
        <w:t>ICT</w:t>
      </w:r>
      <w:r w:rsidR="002C3037" w:rsidRPr="002C3037">
        <w:rPr>
          <w:rFonts w:hint="eastAsia"/>
          <w:bCs/>
          <w:lang w:eastAsia="zh-CN"/>
        </w:rPr>
        <w:t>）与气候变化</w:t>
      </w:r>
      <w:r>
        <w:rPr>
          <w:rFonts w:hint="eastAsia"/>
          <w:bCs/>
          <w:lang w:eastAsia="zh-CN"/>
        </w:rPr>
        <w:tab/>
      </w:r>
      <w:r w:rsidR="004E1793">
        <w:rPr>
          <w:bCs/>
          <w:lang w:eastAsia="zh-CN"/>
        </w:rPr>
        <w:tab/>
      </w:r>
      <w:r w:rsidR="008F3715">
        <w:rPr>
          <w:bCs/>
          <w:lang w:eastAsia="zh-CN"/>
        </w:rPr>
        <w:t>2016</w:t>
      </w:r>
      <w:r w:rsidR="00C504EF">
        <w:rPr>
          <w:rFonts w:hint="eastAsia"/>
          <w:bCs/>
          <w:lang w:eastAsia="zh-CN"/>
        </w:rPr>
        <w:t>年</w:t>
      </w:r>
    </w:p>
    <w:p w14:paraId="4827C1AB" w14:textId="77777777" w:rsidR="00091112" w:rsidRDefault="00091112">
      <w:pPr>
        <w:tabs>
          <w:tab w:val="clear" w:pos="794"/>
          <w:tab w:val="clear" w:pos="1191"/>
          <w:tab w:val="clear" w:pos="1588"/>
          <w:tab w:val="clear" w:pos="1985"/>
        </w:tabs>
        <w:overflowPunct/>
        <w:autoSpaceDE/>
        <w:autoSpaceDN/>
        <w:adjustRightInd/>
        <w:spacing w:before="0"/>
        <w:jc w:val="left"/>
        <w:textAlignment w:val="auto"/>
        <w:rPr>
          <w:sz w:val="20"/>
          <w:lang w:eastAsia="zh-CN"/>
        </w:rPr>
      </w:pPr>
      <w:r>
        <w:rPr>
          <w:lang w:eastAsia="zh-CN"/>
        </w:rPr>
        <w:br w:type="page"/>
      </w:r>
    </w:p>
    <w:p w14:paraId="4827C1AC" w14:textId="77777777" w:rsidR="00B824A2" w:rsidRPr="00B824A2" w:rsidRDefault="00B824A2" w:rsidP="004E1793">
      <w:pPr>
        <w:pStyle w:val="Appendixref"/>
        <w:rPr>
          <w:lang w:val="en-US" w:eastAsia="zh-CN"/>
        </w:rPr>
      </w:pPr>
      <w:r w:rsidRPr="006E3B9B">
        <w:rPr>
          <w:rFonts w:hint="eastAsia"/>
          <w:lang w:eastAsia="zh-CN"/>
        </w:rPr>
        <w:lastRenderedPageBreak/>
        <w:t>第</w:t>
      </w:r>
      <w:r>
        <w:rPr>
          <w:lang w:eastAsia="zh-CN"/>
        </w:rPr>
        <w:t>1</w:t>
      </w:r>
      <w:r>
        <w:rPr>
          <w:rFonts w:hint="eastAsia"/>
          <w:lang w:eastAsia="zh-CN"/>
        </w:rPr>
        <w:t>30</w:t>
      </w:r>
      <w:r w:rsidR="002C3037">
        <w:rPr>
          <w:rFonts w:hint="eastAsia"/>
          <w:lang w:eastAsia="zh-CN"/>
        </w:rPr>
        <w:t>8</w:t>
      </w:r>
      <w:r w:rsidRPr="006E3B9B">
        <w:rPr>
          <w:lang w:eastAsia="zh-CN"/>
        </w:rPr>
        <w:t>号决议</w:t>
      </w:r>
      <w:r w:rsidRPr="00E77B5B">
        <w:rPr>
          <w:bCs/>
          <w:lang w:eastAsia="zh-CN"/>
        </w:rPr>
        <w:tab/>
      </w:r>
      <w:r w:rsidR="002C3037" w:rsidRPr="002C3037">
        <w:rPr>
          <w:rFonts w:hint="eastAsia"/>
          <w:bCs/>
          <w:lang w:eastAsia="zh-CN"/>
        </w:rPr>
        <w:t>国际电信联盟</w:t>
      </w:r>
      <w:r w:rsidR="002C3037" w:rsidRPr="002C3037">
        <w:rPr>
          <w:bCs/>
          <w:lang w:eastAsia="zh-CN"/>
        </w:rPr>
        <w:t>2010-2011</w:t>
      </w:r>
      <w:r w:rsidR="002C3037" w:rsidRPr="002C3037">
        <w:rPr>
          <w:rFonts w:hint="eastAsia"/>
          <w:bCs/>
          <w:lang w:eastAsia="zh-CN"/>
        </w:rPr>
        <w:t>双年度预算</w:t>
      </w:r>
      <w:r>
        <w:rPr>
          <w:rFonts w:hint="eastAsia"/>
          <w:bCs/>
          <w:lang w:eastAsia="zh-CN"/>
        </w:rPr>
        <w:tab/>
      </w:r>
      <w:r w:rsidR="004E1793">
        <w:rPr>
          <w:bCs/>
          <w:lang w:eastAsia="zh-CN"/>
        </w:rPr>
        <w:tab/>
      </w:r>
      <w:r w:rsidR="003F6EBF">
        <w:rPr>
          <w:rFonts w:hint="eastAsia"/>
          <w:lang w:eastAsia="zh-CN"/>
        </w:rPr>
        <w:t>201</w:t>
      </w:r>
      <w:r w:rsidR="003F6EBF">
        <w:rPr>
          <w:lang w:eastAsia="zh-CN"/>
        </w:rPr>
        <w:t>2</w:t>
      </w:r>
      <w:r w:rsidR="003F6EBF">
        <w:rPr>
          <w:rFonts w:hint="eastAsia"/>
          <w:lang w:eastAsia="zh-CN"/>
        </w:rPr>
        <w:t>年</w:t>
      </w:r>
    </w:p>
    <w:p w14:paraId="4827C1AD" w14:textId="77777777" w:rsidR="00B824A2" w:rsidRPr="00B824A2" w:rsidRDefault="00B824A2" w:rsidP="004E1793">
      <w:pPr>
        <w:pStyle w:val="Appendixref"/>
        <w:rPr>
          <w:lang w:val="en-US" w:eastAsia="zh-CN"/>
        </w:rPr>
      </w:pPr>
      <w:r w:rsidRPr="006E3B9B">
        <w:rPr>
          <w:rFonts w:hint="eastAsia"/>
          <w:lang w:eastAsia="zh-CN"/>
        </w:rPr>
        <w:t>第</w:t>
      </w:r>
      <w:r>
        <w:rPr>
          <w:lang w:eastAsia="zh-CN"/>
        </w:rPr>
        <w:t>1</w:t>
      </w:r>
      <w:r>
        <w:rPr>
          <w:rFonts w:hint="eastAsia"/>
          <w:lang w:eastAsia="zh-CN"/>
        </w:rPr>
        <w:t>30</w:t>
      </w:r>
      <w:r w:rsidR="002C3037">
        <w:rPr>
          <w:rFonts w:hint="eastAsia"/>
          <w:lang w:eastAsia="zh-CN"/>
        </w:rPr>
        <w:t>9</w:t>
      </w:r>
      <w:r w:rsidRPr="006E3B9B">
        <w:rPr>
          <w:lang w:eastAsia="zh-CN"/>
        </w:rPr>
        <w:t>号决议</w:t>
      </w:r>
      <w:r w:rsidRPr="00E77B5B">
        <w:rPr>
          <w:bCs/>
          <w:lang w:eastAsia="zh-CN"/>
        </w:rPr>
        <w:tab/>
      </w:r>
      <w:r w:rsidR="002C3037" w:rsidRPr="002C3037">
        <w:rPr>
          <w:bCs/>
          <w:lang w:eastAsia="zh-CN"/>
        </w:rPr>
        <w:t>200</w:t>
      </w:r>
      <w:r w:rsidR="002C3037" w:rsidRPr="002C3037">
        <w:rPr>
          <w:rFonts w:hint="eastAsia"/>
          <w:bCs/>
          <w:lang w:eastAsia="zh-CN"/>
        </w:rPr>
        <w:t>8</w:t>
      </w:r>
      <w:r w:rsidR="002C3037" w:rsidRPr="002C3037">
        <w:rPr>
          <w:rFonts w:hint="eastAsia"/>
          <w:bCs/>
          <w:lang w:eastAsia="zh-CN"/>
        </w:rPr>
        <w:t>财</w:t>
      </w:r>
      <w:r w:rsidR="002C3037" w:rsidRPr="002C3037">
        <w:rPr>
          <w:bCs/>
          <w:lang w:eastAsia="zh-CN"/>
        </w:rPr>
        <w:t>年财务工作报告</w:t>
      </w:r>
      <w:r>
        <w:rPr>
          <w:rFonts w:hint="eastAsia"/>
          <w:bCs/>
          <w:lang w:eastAsia="zh-CN"/>
        </w:rPr>
        <w:tab/>
      </w:r>
      <w:r w:rsidR="004E1793">
        <w:rPr>
          <w:bCs/>
          <w:lang w:eastAsia="zh-CN"/>
        </w:rPr>
        <w:tab/>
      </w:r>
      <w:r w:rsidR="003316AB">
        <w:rPr>
          <w:rFonts w:hint="eastAsia"/>
          <w:bCs/>
          <w:lang w:eastAsia="zh-CN"/>
        </w:rPr>
        <w:t>2011</w:t>
      </w:r>
      <w:r w:rsidR="00077C0D">
        <w:rPr>
          <w:rFonts w:hint="eastAsia"/>
          <w:bCs/>
          <w:lang w:eastAsia="zh-CN"/>
        </w:rPr>
        <w:t>年</w:t>
      </w:r>
    </w:p>
    <w:p w14:paraId="4827C1AE" w14:textId="77777777" w:rsidR="00B824A2" w:rsidRPr="00B824A2" w:rsidRDefault="00B824A2" w:rsidP="004E1793">
      <w:pPr>
        <w:pStyle w:val="Appendixref"/>
        <w:rPr>
          <w:lang w:val="en-US" w:eastAsia="zh-CN"/>
        </w:rPr>
      </w:pPr>
      <w:r w:rsidRPr="006E3B9B">
        <w:rPr>
          <w:rFonts w:hint="eastAsia"/>
          <w:lang w:eastAsia="zh-CN"/>
        </w:rPr>
        <w:t>第</w:t>
      </w:r>
      <w:r>
        <w:rPr>
          <w:lang w:eastAsia="zh-CN"/>
        </w:rPr>
        <w:t>1</w:t>
      </w:r>
      <w:r w:rsidR="002C3037">
        <w:rPr>
          <w:rFonts w:hint="eastAsia"/>
          <w:lang w:eastAsia="zh-CN"/>
        </w:rPr>
        <w:t>310</w:t>
      </w:r>
      <w:r w:rsidRPr="006E3B9B">
        <w:rPr>
          <w:lang w:eastAsia="zh-CN"/>
        </w:rPr>
        <w:t>号决议</w:t>
      </w:r>
      <w:r w:rsidRPr="00E77B5B">
        <w:rPr>
          <w:bCs/>
          <w:lang w:eastAsia="zh-CN"/>
        </w:rPr>
        <w:tab/>
      </w:r>
      <w:r w:rsidR="002C3037" w:rsidRPr="002C3037">
        <w:rPr>
          <w:rFonts w:hint="eastAsia"/>
          <w:bCs/>
          <w:lang w:eastAsia="zh-CN"/>
        </w:rPr>
        <w:t>国际电联选任官员的服务条件</w:t>
      </w:r>
      <w:r>
        <w:rPr>
          <w:rFonts w:hint="eastAsia"/>
          <w:bCs/>
          <w:lang w:eastAsia="zh-CN"/>
        </w:rPr>
        <w:tab/>
      </w:r>
      <w:r w:rsidR="004E1793">
        <w:rPr>
          <w:bCs/>
          <w:lang w:eastAsia="zh-CN"/>
        </w:rPr>
        <w:tab/>
      </w:r>
      <w:r w:rsidR="003316AB">
        <w:rPr>
          <w:rFonts w:hint="eastAsia"/>
          <w:bCs/>
          <w:lang w:eastAsia="zh-CN"/>
        </w:rPr>
        <w:t>2011</w:t>
      </w:r>
      <w:r w:rsidR="00077C0D">
        <w:rPr>
          <w:rFonts w:hint="eastAsia"/>
          <w:bCs/>
          <w:lang w:eastAsia="zh-CN"/>
        </w:rPr>
        <w:t>年</w:t>
      </w:r>
    </w:p>
    <w:p w14:paraId="4827C1AF" w14:textId="77777777" w:rsidR="00B824A2" w:rsidRPr="00B824A2" w:rsidRDefault="00B824A2" w:rsidP="004E1793">
      <w:pPr>
        <w:pStyle w:val="Appendixref"/>
        <w:rPr>
          <w:lang w:val="en-US" w:eastAsia="zh-CN"/>
        </w:rPr>
      </w:pPr>
      <w:r w:rsidRPr="006E3B9B">
        <w:rPr>
          <w:rFonts w:hint="eastAsia"/>
          <w:lang w:eastAsia="zh-CN"/>
        </w:rPr>
        <w:t>第</w:t>
      </w:r>
      <w:r>
        <w:rPr>
          <w:lang w:eastAsia="zh-CN"/>
        </w:rPr>
        <w:t>1</w:t>
      </w:r>
      <w:r w:rsidR="002C3037">
        <w:rPr>
          <w:rFonts w:hint="eastAsia"/>
          <w:lang w:eastAsia="zh-CN"/>
        </w:rPr>
        <w:t>311</w:t>
      </w:r>
      <w:r w:rsidRPr="006E3B9B">
        <w:rPr>
          <w:lang w:eastAsia="zh-CN"/>
        </w:rPr>
        <w:t>号决议</w:t>
      </w:r>
      <w:r w:rsidRPr="00E77B5B">
        <w:rPr>
          <w:bCs/>
          <w:lang w:eastAsia="zh-CN"/>
        </w:rPr>
        <w:tab/>
      </w:r>
      <w:r w:rsidR="002C3037" w:rsidRPr="002C3037">
        <w:rPr>
          <w:bCs/>
          <w:lang w:eastAsia="zh-CN"/>
        </w:rPr>
        <w:t>国际电联职员养恤金委员会的</w:t>
      </w:r>
      <w:r w:rsidR="002C3037" w:rsidRPr="002C3037">
        <w:rPr>
          <w:rFonts w:hint="eastAsia"/>
          <w:bCs/>
          <w:lang w:eastAsia="zh-CN"/>
        </w:rPr>
        <w:t>理事会代表</w:t>
      </w:r>
      <w:r>
        <w:rPr>
          <w:rFonts w:hint="eastAsia"/>
          <w:bCs/>
          <w:lang w:eastAsia="zh-CN"/>
        </w:rPr>
        <w:tab/>
      </w:r>
      <w:r w:rsidR="004E1793">
        <w:rPr>
          <w:bCs/>
          <w:lang w:eastAsia="zh-CN"/>
        </w:rPr>
        <w:tab/>
      </w:r>
      <w:r w:rsidR="006C1EBF">
        <w:rPr>
          <w:rFonts w:hint="eastAsia"/>
          <w:lang w:eastAsia="zh-CN"/>
        </w:rPr>
        <w:t>2010</w:t>
      </w:r>
      <w:r w:rsidR="006C1EBF" w:rsidRPr="006E3B9B">
        <w:rPr>
          <w:rFonts w:hint="eastAsia"/>
          <w:lang w:eastAsia="zh-CN"/>
        </w:rPr>
        <w:t>年</w:t>
      </w:r>
    </w:p>
    <w:p w14:paraId="4827C1B0" w14:textId="77777777" w:rsidR="00B824A2" w:rsidRPr="00B824A2" w:rsidRDefault="00B824A2" w:rsidP="004E1793">
      <w:pPr>
        <w:pStyle w:val="Appendixref"/>
        <w:rPr>
          <w:lang w:val="en-US" w:eastAsia="zh-CN"/>
        </w:rPr>
      </w:pPr>
      <w:r w:rsidRPr="006E3B9B">
        <w:rPr>
          <w:rFonts w:hint="eastAsia"/>
          <w:lang w:eastAsia="zh-CN"/>
        </w:rPr>
        <w:t>第</w:t>
      </w:r>
      <w:r>
        <w:rPr>
          <w:lang w:eastAsia="zh-CN"/>
        </w:rPr>
        <w:t>1</w:t>
      </w:r>
      <w:r w:rsidR="002C3037">
        <w:rPr>
          <w:rFonts w:hint="eastAsia"/>
          <w:lang w:eastAsia="zh-CN"/>
        </w:rPr>
        <w:t>312</w:t>
      </w:r>
      <w:r w:rsidRPr="006E3B9B">
        <w:rPr>
          <w:lang w:eastAsia="zh-CN"/>
        </w:rPr>
        <w:t>号决议</w:t>
      </w:r>
      <w:r w:rsidRPr="00E77B5B">
        <w:rPr>
          <w:bCs/>
          <w:lang w:eastAsia="zh-CN"/>
        </w:rPr>
        <w:tab/>
      </w:r>
      <w:r w:rsidR="002C3037" w:rsidRPr="002C3037">
        <w:rPr>
          <w:rFonts w:hint="eastAsia"/>
          <w:lang w:eastAsia="zh-CN"/>
        </w:rPr>
        <w:t>国际电信世界大会</w:t>
      </w:r>
      <w:r w:rsidR="002C3037" w:rsidRPr="002C3037">
        <w:rPr>
          <w:rFonts w:hint="eastAsia"/>
          <w:lang w:val="en-US" w:eastAsia="zh-CN"/>
        </w:rPr>
        <w:t>的</w:t>
      </w:r>
      <w:r w:rsidR="002C3037" w:rsidRPr="002C3037">
        <w:rPr>
          <w:rFonts w:hint="eastAsia"/>
          <w:lang w:eastAsia="zh-CN"/>
        </w:rPr>
        <w:t>筹备</w:t>
      </w:r>
      <w:r>
        <w:rPr>
          <w:rFonts w:hint="eastAsia"/>
          <w:bCs/>
          <w:lang w:eastAsia="zh-CN"/>
        </w:rPr>
        <w:tab/>
      </w:r>
      <w:r w:rsidR="004E1793">
        <w:rPr>
          <w:bCs/>
          <w:lang w:eastAsia="zh-CN"/>
        </w:rPr>
        <w:tab/>
      </w:r>
      <w:r w:rsidR="00B15FDF">
        <w:rPr>
          <w:bCs/>
          <w:lang w:eastAsia="zh-CN"/>
        </w:rPr>
        <w:t>2013</w:t>
      </w:r>
      <w:r w:rsidR="00B15FDF">
        <w:rPr>
          <w:rFonts w:hint="eastAsia"/>
          <w:bCs/>
          <w:lang w:eastAsia="zh-CN"/>
        </w:rPr>
        <w:t>年</w:t>
      </w:r>
    </w:p>
    <w:p w14:paraId="4827C1B1" w14:textId="77777777" w:rsidR="00B824A2" w:rsidRDefault="00811AE9" w:rsidP="003E11A1">
      <w:pPr>
        <w:pStyle w:val="Reftitle"/>
        <w:rPr>
          <w:rFonts w:hAnsi="SimSun"/>
          <w:sz w:val="20"/>
          <w:lang w:val="en-US" w:eastAsia="zh-CN"/>
        </w:rPr>
      </w:pPr>
      <w:r>
        <w:rPr>
          <w:lang w:eastAsia="zh-CN"/>
        </w:rPr>
        <w:t>20</w:t>
      </w:r>
      <w:r>
        <w:rPr>
          <w:rFonts w:hint="eastAsia"/>
          <w:lang w:eastAsia="zh-CN"/>
        </w:rPr>
        <w:t>10</w:t>
      </w:r>
      <w:r w:rsidR="006C1EBF" w:rsidRPr="006D0EE6">
        <w:rPr>
          <w:rFonts w:hint="eastAsia"/>
          <w:lang w:eastAsia="zh-CN"/>
        </w:rPr>
        <w:t>年会议（</w:t>
      </w:r>
      <w:r w:rsidR="006C1EBF">
        <w:rPr>
          <w:rFonts w:hint="eastAsia"/>
          <w:lang w:eastAsia="zh-CN"/>
        </w:rPr>
        <w:t>2010</w:t>
      </w:r>
      <w:r w:rsidR="006C1EBF" w:rsidRPr="006D0EE6">
        <w:rPr>
          <w:rFonts w:hint="eastAsia"/>
          <w:lang w:eastAsia="zh-CN"/>
        </w:rPr>
        <w:t>年</w:t>
      </w:r>
      <w:r w:rsidR="006C1EBF">
        <w:rPr>
          <w:rFonts w:hint="eastAsia"/>
          <w:lang w:eastAsia="zh-CN"/>
        </w:rPr>
        <w:t>4</w:t>
      </w:r>
      <w:r w:rsidR="006C1EBF" w:rsidRPr="006D0EE6">
        <w:rPr>
          <w:rFonts w:hint="eastAsia"/>
          <w:lang w:eastAsia="zh-CN"/>
        </w:rPr>
        <w:t>月</w:t>
      </w:r>
      <w:r w:rsidR="006C1EBF">
        <w:rPr>
          <w:rFonts w:hint="eastAsia"/>
          <w:lang w:eastAsia="zh-CN"/>
        </w:rPr>
        <w:t>13</w:t>
      </w:r>
      <w:r w:rsidR="006C1EBF" w:rsidRPr="006D0EE6">
        <w:rPr>
          <w:rFonts w:hint="eastAsia"/>
          <w:lang w:eastAsia="zh-CN"/>
        </w:rPr>
        <w:t>-</w:t>
      </w:r>
      <w:r w:rsidR="006C1EBF">
        <w:rPr>
          <w:rFonts w:hint="eastAsia"/>
          <w:lang w:eastAsia="zh-CN"/>
        </w:rPr>
        <w:t>22</w:t>
      </w:r>
      <w:r w:rsidR="006C1EBF" w:rsidRPr="006D0EE6">
        <w:rPr>
          <w:rFonts w:hint="eastAsia"/>
          <w:lang w:eastAsia="zh-CN"/>
        </w:rPr>
        <w:t>日</w:t>
      </w:r>
      <w:r w:rsidR="006C1EBF">
        <w:rPr>
          <w:rFonts w:hint="eastAsia"/>
          <w:lang w:eastAsia="zh-CN"/>
        </w:rPr>
        <w:t>和</w:t>
      </w:r>
      <w:r w:rsidR="006C1EBF">
        <w:rPr>
          <w:rFonts w:hint="eastAsia"/>
          <w:lang w:eastAsia="zh-CN"/>
        </w:rPr>
        <w:t>10</w:t>
      </w:r>
      <w:r w:rsidR="006C1EBF">
        <w:rPr>
          <w:rFonts w:hint="eastAsia"/>
          <w:lang w:eastAsia="zh-CN"/>
        </w:rPr>
        <w:t>月</w:t>
      </w:r>
      <w:r w:rsidR="006C1EBF">
        <w:rPr>
          <w:rFonts w:hint="eastAsia"/>
          <w:lang w:eastAsia="zh-CN"/>
        </w:rPr>
        <w:t>2</w:t>
      </w:r>
      <w:r w:rsidR="006C1EBF">
        <w:rPr>
          <w:rFonts w:hint="eastAsia"/>
          <w:lang w:eastAsia="zh-CN"/>
        </w:rPr>
        <w:t>日，日内瓦</w:t>
      </w:r>
      <w:r w:rsidR="006C1EBF" w:rsidRPr="006D0EE6">
        <w:rPr>
          <w:rFonts w:hint="eastAsia"/>
          <w:lang w:eastAsia="zh-CN"/>
        </w:rPr>
        <w:t>）</w:t>
      </w:r>
    </w:p>
    <w:p w14:paraId="4827C1B2" w14:textId="77777777" w:rsidR="002B1D58" w:rsidRPr="00E74AB8" w:rsidRDefault="002B1D58" w:rsidP="004E1793">
      <w:pPr>
        <w:pStyle w:val="Appendixref"/>
        <w:rPr>
          <w:lang w:eastAsia="zh-CN"/>
        </w:rPr>
      </w:pPr>
      <w:r w:rsidRPr="006E3B9B">
        <w:rPr>
          <w:rFonts w:hAnsi="SimSun" w:hint="eastAsia"/>
          <w:lang w:eastAsia="zh-CN"/>
        </w:rPr>
        <w:t>第</w:t>
      </w:r>
      <w:r>
        <w:rPr>
          <w:rFonts w:hAnsi="SimSun"/>
          <w:lang w:eastAsia="zh-CN"/>
        </w:rPr>
        <w:t>1</w:t>
      </w:r>
      <w:r>
        <w:rPr>
          <w:rFonts w:hAnsi="SimSun" w:hint="eastAsia"/>
          <w:lang w:eastAsia="zh-CN"/>
        </w:rPr>
        <w:t>313</w:t>
      </w:r>
      <w:r w:rsidRPr="006E3B9B">
        <w:rPr>
          <w:rFonts w:hAnsi="SimSun"/>
          <w:lang w:eastAsia="zh-CN"/>
        </w:rPr>
        <w:t>号决议</w:t>
      </w:r>
      <w:r w:rsidRPr="00E74AB8">
        <w:rPr>
          <w:lang w:val="en-US" w:eastAsia="zh-CN"/>
        </w:rPr>
        <w:tab/>
      </w:r>
      <w:r w:rsidRPr="002B1D58">
        <w:rPr>
          <w:rFonts w:hint="eastAsia"/>
          <w:lang w:eastAsia="zh-CN"/>
        </w:rPr>
        <w:t>国际电联</w:t>
      </w:r>
      <w:r w:rsidRPr="002B1D58">
        <w:rPr>
          <w:rFonts w:hAnsi="SimSun"/>
          <w:bCs/>
          <w:lang w:eastAsia="zh-CN"/>
        </w:rPr>
        <w:t>2008</w:t>
      </w:r>
      <w:r w:rsidRPr="002B1D58">
        <w:rPr>
          <w:rFonts w:hint="eastAsia"/>
          <w:lang w:eastAsia="zh-CN"/>
        </w:rPr>
        <w:t>年非洲电信展的审计账目</w:t>
      </w:r>
      <w:r>
        <w:rPr>
          <w:rFonts w:hint="eastAsia"/>
          <w:lang w:eastAsia="zh-CN"/>
        </w:rPr>
        <w:tab/>
      </w:r>
      <w:r w:rsidR="004E1793">
        <w:rPr>
          <w:lang w:eastAsia="zh-CN"/>
        </w:rPr>
        <w:tab/>
      </w:r>
      <w:r w:rsidR="003316AB">
        <w:rPr>
          <w:rFonts w:hint="eastAsia"/>
          <w:bCs/>
          <w:lang w:eastAsia="zh-CN"/>
        </w:rPr>
        <w:t>2011</w:t>
      </w:r>
      <w:r w:rsidR="00077C0D">
        <w:rPr>
          <w:rFonts w:hint="eastAsia"/>
          <w:bCs/>
          <w:lang w:eastAsia="zh-CN"/>
        </w:rPr>
        <w:t>年</w:t>
      </w:r>
    </w:p>
    <w:p w14:paraId="4827C1B3" w14:textId="77777777" w:rsidR="002B1D58" w:rsidRPr="002B1D58" w:rsidRDefault="002B1D58" w:rsidP="004E1793">
      <w:pPr>
        <w:pStyle w:val="Appendixref"/>
        <w:rPr>
          <w:lang w:eastAsia="zh-CN"/>
        </w:rPr>
      </w:pPr>
      <w:r w:rsidRPr="006E3B9B">
        <w:rPr>
          <w:rFonts w:hAnsi="SimSun" w:hint="eastAsia"/>
          <w:lang w:eastAsia="zh-CN"/>
        </w:rPr>
        <w:t>第</w:t>
      </w:r>
      <w:r>
        <w:rPr>
          <w:rFonts w:hAnsi="SimSun"/>
          <w:lang w:eastAsia="zh-CN"/>
        </w:rPr>
        <w:t>1</w:t>
      </w:r>
      <w:r>
        <w:rPr>
          <w:rFonts w:hAnsi="SimSun" w:hint="eastAsia"/>
          <w:lang w:eastAsia="zh-CN"/>
        </w:rPr>
        <w:t>314</w:t>
      </w:r>
      <w:r w:rsidRPr="006E3B9B">
        <w:rPr>
          <w:rFonts w:hAnsi="SimSun"/>
          <w:lang w:eastAsia="zh-CN"/>
        </w:rPr>
        <w:t>号决议</w:t>
      </w:r>
      <w:r w:rsidRPr="00E74AB8">
        <w:rPr>
          <w:lang w:val="en-US" w:eastAsia="zh-CN"/>
        </w:rPr>
        <w:tab/>
      </w:r>
      <w:r w:rsidRPr="002B1D58">
        <w:rPr>
          <w:rFonts w:hint="eastAsia"/>
          <w:lang w:eastAsia="zh-CN"/>
        </w:rPr>
        <w:t>国际电联</w:t>
      </w:r>
      <w:r w:rsidRPr="002B1D58">
        <w:rPr>
          <w:lang w:eastAsia="zh-CN"/>
        </w:rPr>
        <w:t>2008</w:t>
      </w:r>
      <w:r w:rsidRPr="002B1D58">
        <w:rPr>
          <w:rFonts w:hAnsi="SimSun" w:hint="eastAsia"/>
          <w:bCs/>
          <w:lang w:eastAsia="zh-CN"/>
        </w:rPr>
        <w:t>年亚洲电信展的审计账目</w:t>
      </w:r>
      <w:r>
        <w:rPr>
          <w:rFonts w:hint="eastAsia"/>
          <w:lang w:eastAsia="zh-CN"/>
        </w:rPr>
        <w:tab/>
      </w:r>
      <w:r w:rsidR="004E1793">
        <w:rPr>
          <w:lang w:eastAsia="zh-CN"/>
        </w:rPr>
        <w:tab/>
      </w:r>
      <w:r w:rsidR="003316AB">
        <w:rPr>
          <w:rFonts w:hint="eastAsia"/>
          <w:bCs/>
          <w:lang w:eastAsia="zh-CN"/>
        </w:rPr>
        <w:t>2011</w:t>
      </w:r>
      <w:r w:rsidR="00077C0D">
        <w:rPr>
          <w:rFonts w:hint="eastAsia"/>
          <w:bCs/>
          <w:lang w:eastAsia="zh-CN"/>
        </w:rPr>
        <w:t>年</w:t>
      </w:r>
    </w:p>
    <w:p w14:paraId="4827C1B4" w14:textId="77777777" w:rsidR="002B1D58" w:rsidRPr="002B1D58" w:rsidRDefault="002B1D58" w:rsidP="004E1793">
      <w:pPr>
        <w:pStyle w:val="Appendixref"/>
        <w:rPr>
          <w:lang w:eastAsia="zh-CN"/>
        </w:rPr>
      </w:pPr>
      <w:r w:rsidRPr="006E3B9B">
        <w:rPr>
          <w:rFonts w:hAnsi="SimSun" w:hint="eastAsia"/>
          <w:lang w:eastAsia="zh-CN"/>
        </w:rPr>
        <w:t>第</w:t>
      </w:r>
      <w:r>
        <w:rPr>
          <w:rFonts w:hAnsi="SimSun"/>
          <w:lang w:eastAsia="zh-CN"/>
        </w:rPr>
        <w:t>1</w:t>
      </w:r>
      <w:r>
        <w:rPr>
          <w:rFonts w:hAnsi="SimSun" w:hint="eastAsia"/>
          <w:lang w:eastAsia="zh-CN"/>
        </w:rPr>
        <w:t>315</w:t>
      </w:r>
      <w:r w:rsidRPr="006E3B9B">
        <w:rPr>
          <w:rFonts w:hAnsi="SimSun"/>
          <w:lang w:eastAsia="zh-CN"/>
        </w:rPr>
        <w:t>号决议</w:t>
      </w:r>
      <w:r w:rsidRPr="00E74AB8">
        <w:rPr>
          <w:lang w:val="en-US" w:eastAsia="zh-CN"/>
        </w:rPr>
        <w:tab/>
      </w:r>
      <w:r w:rsidRPr="002B1D58">
        <w:rPr>
          <w:rFonts w:hAnsi="SimSun" w:hint="eastAsia"/>
          <w:bCs/>
          <w:lang w:eastAsia="zh-CN"/>
        </w:rPr>
        <w:t>国际电联选任官员的服务条件</w:t>
      </w:r>
      <w:r>
        <w:rPr>
          <w:rFonts w:hint="eastAsia"/>
          <w:lang w:eastAsia="zh-CN"/>
        </w:rPr>
        <w:tab/>
      </w:r>
      <w:r w:rsidR="004E1793">
        <w:rPr>
          <w:lang w:eastAsia="zh-CN"/>
        </w:rPr>
        <w:tab/>
      </w:r>
      <w:r w:rsidR="003316AB">
        <w:rPr>
          <w:rFonts w:hint="eastAsia"/>
          <w:bCs/>
          <w:lang w:eastAsia="zh-CN"/>
        </w:rPr>
        <w:t>2011</w:t>
      </w:r>
      <w:r w:rsidR="00077C0D">
        <w:rPr>
          <w:rFonts w:hint="eastAsia"/>
          <w:bCs/>
          <w:lang w:eastAsia="zh-CN"/>
        </w:rPr>
        <w:t>年</w:t>
      </w:r>
    </w:p>
    <w:p w14:paraId="4827C1B5" w14:textId="77777777" w:rsidR="002B1D58" w:rsidRPr="002B1D58" w:rsidRDefault="002B1D58" w:rsidP="004E1793">
      <w:pPr>
        <w:pStyle w:val="Appendixref"/>
        <w:rPr>
          <w:lang w:val="en-US" w:eastAsia="zh-CN"/>
        </w:rPr>
      </w:pPr>
      <w:r w:rsidRPr="006E3B9B">
        <w:rPr>
          <w:rFonts w:hAnsi="SimSun" w:hint="eastAsia"/>
          <w:lang w:eastAsia="zh-CN"/>
        </w:rPr>
        <w:t>第</w:t>
      </w:r>
      <w:r>
        <w:rPr>
          <w:rFonts w:hAnsi="SimSun"/>
          <w:lang w:eastAsia="zh-CN"/>
        </w:rPr>
        <w:t>1</w:t>
      </w:r>
      <w:r>
        <w:rPr>
          <w:rFonts w:hAnsi="SimSun" w:hint="eastAsia"/>
          <w:lang w:eastAsia="zh-CN"/>
        </w:rPr>
        <w:t>316</w:t>
      </w:r>
      <w:r w:rsidRPr="006E3B9B">
        <w:rPr>
          <w:rFonts w:hAnsi="SimSun"/>
          <w:lang w:eastAsia="zh-CN"/>
        </w:rPr>
        <w:t>号决议</w:t>
      </w:r>
      <w:r w:rsidRPr="00E74AB8">
        <w:rPr>
          <w:lang w:val="en-US" w:eastAsia="zh-CN"/>
        </w:rPr>
        <w:tab/>
      </w:r>
      <w:r w:rsidRPr="002B1D58">
        <w:rPr>
          <w:rFonts w:hint="eastAsia"/>
          <w:bCs/>
          <w:lang w:eastAsia="zh-CN"/>
        </w:rPr>
        <w:t>理事会制定</w:t>
      </w:r>
      <w:r w:rsidRPr="002B1D58">
        <w:rPr>
          <w:bCs/>
          <w:lang w:eastAsia="zh-CN"/>
        </w:rPr>
        <w:t>2012-2015</w:t>
      </w:r>
      <w:r w:rsidRPr="002B1D58">
        <w:rPr>
          <w:rFonts w:hAnsi="SimSun" w:hint="eastAsia"/>
          <w:bCs/>
          <w:lang w:eastAsia="zh-CN"/>
        </w:rPr>
        <w:t>年战略规划草案和财务规划草案工作组工作的继续</w:t>
      </w:r>
      <w:r w:rsidR="004E1793">
        <w:rPr>
          <w:rFonts w:hAnsi="SimSun"/>
          <w:bCs/>
          <w:lang w:eastAsia="zh-CN"/>
        </w:rPr>
        <w:tab/>
      </w:r>
      <w:r>
        <w:rPr>
          <w:rFonts w:hint="eastAsia"/>
          <w:lang w:val="en-US" w:eastAsia="zh-CN"/>
        </w:rPr>
        <w:tab/>
      </w:r>
      <w:r w:rsidR="003316AB">
        <w:rPr>
          <w:rFonts w:hint="eastAsia"/>
          <w:bCs/>
          <w:lang w:eastAsia="zh-CN"/>
        </w:rPr>
        <w:t>2011</w:t>
      </w:r>
      <w:r w:rsidR="00077C0D">
        <w:rPr>
          <w:rFonts w:hint="eastAsia"/>
          <w:bCs/>
          <w:lang w:eastAsia="zh-CN"/>
        </w:rPr>
        <w:t>年</w:t>
      </w:r>
    </w:p>
    <w:p w14:paraId="4827C1B6" w14:textId="77777777" w:rsidR="002B1D58" w:rsidRPr="00E74AB8" w:rsidRDefault="002B1D58" w:rsidP="004E1793">
      <w:pPr>
        <w:pStyle w:val="Appendixref"/>
        <w:rPr>
          <w:bCs/>
          <w:lang w:eastAsia="zh-CN"/>
        </w:rPr>
      </w:pPr>
      <w:r w:rsidRPr="006E3B9B">
        <w:rPr>
          <w:rFonts w:hAnsi="SimSun" w:hint="eastAsia"/>
          <w:lang w:eastAsia="zh-CN"/>
        </w:rPr>
        <w:t>第</w:t>
      </w:r>
      <w:r>
        <w:rPr>
          <w:rFonts w:hAnsi="SimSun"/>
          <w:lang w:eastAsia="zh-CN"/>
        </w:rPr>
        <w:t>1</w:t>
      </w:r>
      <w:r>
        <w:rPr>
          <w:rFonts w:hAnsi="SimSun" w:hint="eastAsia"/>
          <w:lang w:eastAsia="zh-CN"/>
        </w:rPr>
        <w:t>317</w:t>
      </w:r>
      <w:r w:rsidRPr="006E3B9B">
        <w:rPr>
          <w:rFonts w:hAnsi="SimSun"/>
          <w:lang w:eastAsia="zh-CN"/>
        </w:rPr>
        <w:t>号决议</w:t>
      </w:r>
      <w:r w:rsidRPr="00E74AB8">
        <w:rPr>
          <w:lang w:val="en-US" w:eastAsia="zh-CN"/>
        </w:rPr>
        <w:tab/>
      </w:r>
      <w:r w:rsidRPr="002B1D58">
        <w:rPr>
          <w:lang w:eastAsia="zh-CN"/>
        </w:rPr>
        <w:t>2012</w:t>
      </w:r>
      <w:r w:rsidRPr="002B1D58">
        <w:rPr>
          <w:rFonts w:hAnsi="SimSun" w:hint="eastAsia"/>
          <w:bCs/>
          <w:lang w:eastAsia="zh-CN"/>
        </w:rPr>
        <w:t>年国际电信世界大会的日期和议程</w:t>
      </w:r>
      <w:r>
        <w:rPr>
          <w:rFonts w:hAnsi="SimSun" w:hint="eastAsia"/>
          <w:bCs/>
          <w:lang w:eastAsia="zh-CN"/>
        </w:rPr>
        <w:tab/>
      </w:r>
      <w:r w:rsidR="004E1793">
        <w:rPr>
          <w:rFonts w:hAnsi="SimSun"/>
          <w:bCs/>
          <w:lang w:eastAsia="zh-CN"/>
        </w:rPr>
        <w:tab/>
      </w:r>
      <w:r w:rsidR="00B15FDF">
        <w:rPr>
          <w:rFonts w:hint="eastAsia"/>
          <w:bCs/>
          <w:lang w:eastAsia="zh-CN"/>
        </w:rPr>
        <w:t>2013</w:t>
      </w:r>
      <w:r w:rsidR="00B15FDF">
        <w:rPr>
          <w:rFonts w:hint="eastAsia"/>
          <w:bCs/>
          <w:lang w:eastAsia="zh-CN"/>
        </w:rPr>
        <w:t>年</w:t>
      </w:r>
    </w:p>
    <w:p w14:paraId="4827C1B7" w14:textId="77777777" w:rsidR="002B1D58" w:rsidRPr="00E74AB8" w:rsidRDefault="002B1D58" w:rsidP="008F3715">
      <w:pPr>
        <w:pStyle w:val="Appendixref"/>
        <w:rPr>
          <w:bCs/>
          <w:lang w:eastAsia="zh-CN"/>
        </w:rPr>
      </w:pPr>
      <w:r w:rsidRPr="006E3B9B">
        <w:rPr>
          <w:rFonts w:hAnsi="SimSun" w:hint="eastAsia"/>
          <w:lang w:eastAsia="zh-CN"/>
        </w:rPr>
        <w:t>第</w:t>
      </w:r>
      <w:r>
        <w:rPr>
          <w:rFonts w:hAnsi="SimSun"/>
          <w:lang w:eastAsia="zh-CN"/>
        </w:rPr>
        <w:t>1</w:t>
      </w:r>
      <w:r>
        <w:rPr>
          <w:rFonts w:hAnsi="SimSun" w:hint="eastAsia"/>
          <w:lang w:eastAsia="zh-CN"/>
        </w:rPr>
        <w:t>318</w:t>
      </w:r>
      <w:r w:rsidRPr="006E3B9B">
        <w:rPr>
          <w:rFonts w:hAnsi="SimSun"/>
          <w:lang w:eastAsia="zh-CN"/>
        </w:rPr>
        <w:t>号决议</w:t>
      </w:r>
      <w:r w:rsidRPr="00E74AB8">
        <w:rPr>
          <w:lang w:val="en-US" w:eastAsia="zh-CN"/>
        </w:rPr>
        <w:tab/>
      </w:r>
      <w:r w:rsidRPr="002B1D58">
        <w:rPr>
          <w:rFonts w:hint="eastAsia"/>
          <w:bCs/>
          <w:lang w:eastAsia="zh-CN"/>
        </w:rPr>
        <w:t>国际电联在信息通信技术（</w:t>
      </w:r>
      <w:r w:rsidRPr="002B1D58">
        <w:rPr>
          <w:bCs/>
          <w:lang w:eastAsia="zh-CN"/>
        </w:rPr>
        <w:t>ICT</w:t>
      </w:r>
      <w:r w:rsidRPr="002B1D58">
        <w:rPr>
          <w:rFonts w:hint="eastAsia"/>
          <w:bCs/>
          <w:lang w:eastAsia="zh-CN"/>
        </w:rPr>
        <w:t>）</w:t>
      </w:r>
      <w:r w:rsidRPr="002B1D58">
        <w:rPr>
          <w:rFonts w:hAnsi="SimSun" w:hint="eastAsia"/>
          <w:bCs/>
          <w:lang w:eastAsia="zh-CN"/>
        </w:rPr>
        <w:t>与改善道路安全状况中的作用</w:t>
      </w:r>
      <w:r>
        <w:rPr>
          <w:rFonts w:hAnsi="SimSun" w:hint="eastAsia"/>
          <w:bCs/>
          <w:lang w:eastAsia="zh-CN"/>
        </w:rPr>
        <w:tab/>
      </w:r>
      <w:r w:rsidR="004E1793">
        <w:rPr>
          <w:rFonts w:hAnsi="SimSun"/>
          <w:bCs/>
          <w:lang w:eastAsia="zh-CN"/>
        </w:rPr>
        <w:tab/>
      </w:r>
      <w:r w:rsidR="008F3715">
        <w:rPr>
          <w:rFonts w:hAnsi="SimSun"/>
          <w:bCs/>
          <w:lang w:eastAsia="zh-CN"/>
        </w:rPr>
        <w:t>2016</w:t>
      </w:r>
      <w:r w:rsidR="00C504EF">
        <w:rPr>
          <w:rFonts w:hAnsi="SimSun" w:hint="eastAsia"/>
          <w:bCs/>
          <w:lang w:eastAsia="zh-CN"/>
        </w:rPr>
        <w:t>年</w:t>
      </w:r>
    </w:p>
    <w:p w14:paraId="4827C1B8" w14:textId="77777777" w:rsidR="002B1D58" w:rsidRPr="00E74AB8" w:rsidRDefault="002B1D58" w:rsidP="004E1793">
      <w:pPr>
        <w:pStyle w:val="Appendixref"/>
        <w:rPr>
          <w:bCs/>
          <w:lang w:eastAsia="zh-CN"/>
        </w:rPr>
      </w:pPr>
      <w:r w:rsidRPr="006E3B9B">
        <w:rPr>
          <w:rFonts w:hAnsi="SimSun" w:hint="eastAsia"/>
          <w:lang w:eastAsia="zh-CN"/>
        </w:rPr>
        <w:t>第</w:t>
      </w:r>
      <w:r>
        <w:rPr>
          <w:rFonts w:hAnsi="SimSun"/>
          <w:lang w:eastAsia="zh-CN"/>
        </w:rPr>
        <w:t>1</w:t>
      </w:r>
      <w:r>
        <w:rPr>
          <w:rFonts w:hAnsi="SimSun" w:hint="eastAsia"/>
          <w:lang w:eastAsia="zh-CN"/>
        </w:rPr>
        <w:t>319</w:t>
      </w:r>
      <w:r w:rsidRPr="006E3B9B">
        <w:rPr>
          <w:rFonts w:hAnsi="SimSun"/>
          <w:lang w:eastAsia="zh-CN"/>
        </w:rPr>
        <w:t>号决议</w:t>
      </w:r>
      <w:r w:rsidRPr="00E74AB8">
        <w:rPr>
          <w:lang w:val="en-US" w:eastAsia="zh-CN"/>
        </w:rPr>
        <w:tab/>
      </w:r>
      <w:r w:rsidRPr="002B1D58">
        <w:rPr>
          <w:bCs/>
          <w:lang w:val="fr-FR" w:eastAsia="zh-CN"/>
        </w:rPr>
        <w:t>200</w:t>
      </w:r>
      <w:r w:rsidRPr="002B1D58">
        <w:rPr>
          <w:rFonts w:hint="eastAsia"/>
          <w:bCs/>
          <w:lang w:val="fr-FR" w:eastAsia="zh-CN"/>
        </w:rPr>
        <w:t>8-2009</w:t>
      </w:r>
      <w:r w:rsidRPr="002B1D58">
        <w:rPr>
          <w:rFonts w:hAnsi="SimSun" w:hint="eastAsia"/>
          <w:bCs/>
          <w:lang w:eastAsia="zh-CN"/>
        </w:rPr>
        <w:t>双年度财务工作报告</w:t>
      </w:r>
      <w:r>
        <w:rPr>
          <w:rFonts w:hAnsi="SimSun" w:hint="eastAsia"/>
          <w:bCs/>
          <w:lang w:eastAsia="zh-CN"/>
        </w:rPr>
        <w:tab/>
      </w:r>
      <w:r w:rsidR="004E1793">
        <w:rPr>
          <w:rFonts w:hAnsi="SimSun"/>
          <w:bCs/>
          <w:lang w:eastAsia="zh-CN"/>
        </w:rPr>
        <w:tab/>
      </w:r>
      <w:r w:rsidR="003316AB">
        <w:rPr>
          <w:rFonts w:hint="eastAsia"/>
          <w:bCs/>
          <w:lang w:eastAsia="zh-CN"/>
        </w:rPr>
        <w:t>2011</w:t>
      </w:r>
      <w:r w:rsidR="00077C0D">
        <w:rPr>
          <w:rFonts w:hint="eastAsia"/>
          <w:bCs/>
          <w:lang w:eastAsia="zh-CN"/>
        </w:rPr>
        <w:t>年</w:t>
      </w:r>
    </w:p>
    <w:p w14:paraId="4827C1B9" w14:textId="77777777" w:rsidR="002B1D58" w:rsidRPr="00E74AB8" w:rsidRDefault="002B1D58" w:rsidP="004E1793">
      <w:pPr>
        <w:pStyle w:val="Appendixref"/>
        <w:rPr>
          <w:bCs/>
          <w:lang w:eastAsia="zh-CN"/>
        </w:rPr>
      </w:pPr>
      <w:r w:rsidRPr="006E3B9B">
        <w:rPr>
          <w:rFonts w:hAnsi="SimSun" w:hint="eastAsia"/>
          <w:lang w:eastAsia="zh-CN"/>
        </w:rPr>
        <w:t>第</w:t>
      </w:r>
      <w:r>
        <w:rPr>
          <w:rFonts w:hAnsi="SimSun"/>
          <w:lang w:eastAsia="zh-CN"/>
        </w:rPr>
        <w:t>1</w:t>
      </w:r>
      <w:r>
        <w:rPr>
          <w:rFonts w:hAnsi="SimSun" w:hint="eastAsia"/>
          <w:lang w:eastAsia="zh-CN"/>
        </w:rPr>
        <w:t>320</w:t>
      </w:r>
      <w:r w:rsidRPr="006E3B9B">
        <w:rPr>
          <w:rFonts w:hAnsi="SimSun"/>
          <w:lang w:eastAsia="zh-CN"/>
        </w:rPr>
        <w:t>号决议</w:t>
      </w:r>
      <w:r w:rsidRPr="00E74AB8">
        <w:rPr>
          <w:lang w:val="en-US" w:eastAsia="zh-CN"/>
        </w:rPr>
        <w:tab/>
      </w:r>
      <w:r w:rsidRPr="002B1D58">
        <w:rPr>
          <w:rFonts w:hint="eastAsia"/>
          <w:bCs/>
          <w:lang w:eastAsia="zh-CN"/>
        </w:rPr>
        <w:t>总秘书处</w:t>
      </w:r>
      <w:r w:rsidRPr="002B1D58">
        <w:rPr>
          <w:rFonts w:hint="eastAsia"/>
          <w:bCs/>
          <w:lang w:eastAsia="zh-CN"/>
        </w:rPr>
        <w:t>2011-2014</w:t>
      </w:r>
      <w:r w:rsidRPr="002B1D58">
        <w:rPr>
          <w:rFonts w:hAnsi="SimSun" w:hint="eastAsia"/>
          <w:bCs/>
          <w:lang w:eastAsia="zh-CN"/>
        </w:rPr>
        <w:t>年四年期滚动式运作规划</w:t>
      </w:r>
      <w:r>
        <w:rPr>
          <w:rFonts w:hAnsi="SimSun" w:hint="eastAsia"/>
          <w:bCs/>
          <w:lang w:eastAsia="zh-CN"/>
        </w:rPr>
        <w:tab/>
      </w:r>
      <w:r w:rsidR="004E1793">
        <w:rPr>
          <w:rFonts w:hAnsi="SimSun"/>
          <w:bCs/>
          <w:lang w:eastAsia="zh-CN"/>
        </w:rPr>
        <w:tab/>
      </w:r>
      <w:r w:rsidR="003316AB">
        <w:rPr>
          <w:rFonts w:hint="eastAsia"/>
          <w:bCs/>
          <w:lang w:eastAsia="zh-CN"/>
        </w:rPr>
        <w:t>2011</w:t>
      </w:r>
      <w:r w:rsidR="00077C0D">
        <w:rPr>
          <w:rFonts w:hint="eastAsia"/>
          <w:bCs/>
          <w:lang w:eastAsia="zh-CN"/>
        </w:rPr>
        <w:t>年</w:t>
      </w:r>
    </w:p>
    <w:p w14:paraId="4827C1BA" w14:textId="77777777" w:rsidR="002B1D58" w:rsidRPr="00E74AB8" w:rsidRDefault="002B1D58" w:rsidP="004E1793">
      <w:pPr>
        <w:pStyle w:val="Appendixref"/>
        <w:rPr>
          <w:bCs/>
          <w:lang w:eastAsia="zh-CN"/>
        </w:rPr>
      </w:pPr>
      <w:r w:rsidRPr="006E3B9B">
        <w:rPr>
          <w:rFonts w:hAnsi="SimSun" w:hint="eastAsia"/>
          <w:lang w:eastAsia="zh-CN"/>
        </w:rPr>
        <w:t>第</w:t>
      </w:r>
      <w:r>
        <w:rPr>
          <w:rFonts w:hAnsi="SimSun"/>
          <w:lang w:eastAsia="zh-CN"/>
        </w:rPr>
        <w:t>1</w:t>
      </w:r>
      <w:r>
        <w:rPr>
          <w:rFonts w:hAnsi="SimSun" w:hint="eastAsia"/>
          <w:lang w:eastAsia="zh-CN"/>
        </w:rPr>
        <w:t>321</w:t>
      </w:r>
      <w:r w:rsidRPr="006E3B9B">
        <w:rPr>
          <w:rFonts w:hAnsi="SimSun"/>
          <w:lang w:eastAsia="zh-CN"/>
        </w:rPr>
        <w:t>号决议</w:t>
      </w:r>
      <w:r w:rsidRPr="00E74AB8">
        <w:rPr>
          <w:lang w:val="en-US" w:eastAsia="zh-CN"/>
        </w:rPr>
        <w:tab/>
      </w:r>
      <w:r w:rsidRPr="002B1D58">
        <w:rPr>
          <w:rFonts w:hint="eastAsia"/>
          <w:lang w:eastAsia="zh-CN"/>
        </w:rPr>
        <w:t>无线电通信</w:t>
      </w:r>
      <w:r w:rsidRPr="002B1D58">
        <w:rPr>
          <w:lang w:eastAsia="zh-CN"/>
        </w:rPr>
        <w:t>部门</w:t>
      </w:r>
      <w:r w:rsidRPr="002B1D58">
        <w:rPr>
          <w:lang w:eastAsia="zh-CN"/>
        </w:rPr>
        <w:t>2011-2014</w:t>
      </w:r>
      <w:r w:rsidRPr="002B1D58">
        <w:rPr>
          <w:rFonts w:hAnsi="SimSun"/>
          <w:bCs/>
          <w:lang w:eastAsia="zh-CN"/>
        </w:rPr>
        <w:t>年</w:t>
      </w:r>
      <w:r w:rsidRPr="002B1D58">
        <w:rPr>
          <w:rFonts w:hAnsi="SimSun"/>
          <w:bCs/>
          <w:lang w:val="en-US" w:eastAsia="zh-CN"/>
        </w:rPr>
        <w:t>四年期滚动式运作</w:t>
      </w:r>
      <w:r w:rsidRPr="002B1D58">
        <w:rPr>
          <w:rFonts w:hAnsi="SimSun"/>
          <w:bCs/>
          <w:lang w:eastAsia="zh-CN"/>
        </w:rPr>
        <w:t>规划</w:t>
      </w:r>
      <w:r>
        <w:rPr>
          <w:rFonts w:hAnsi="SimSun" w:hint="eastAsia"/>
          <w:bCs/>
          <w:lang w:eastAsia="zh-CN"/>
        </w:rPr>
        <w:tab/>
      </w:r>
      <w:r w:rsidR="004E1793">
        <w:rPr>
          <w:rFonts w:hAnsi="SimSun"/>
          <w:bCs/>
          <w:lang w:eastAsia="zh-CN"/>
        </w:rPr>
        <w:tab/>
      </w:r>
      <w:r w:rsidR="003316AB">
        <w:rPr>
          <w:rFonts w:hint="eastAsia"/>
          <w:bCs/>
          <w:lang w:eastAsia="zh-CN"/>
        </w:rPr>
        <w:t>2011</w:t>
      </w:r>
      <w:r w:rsidR="00077C0D">
        <w:rPr>
          <w:rFonts w:hint="eastAsia"/>
          <w:bCs/>
          <w:lang w:eastAsia="zh-CN"/>
        </w:rPr>
        <w:t>年</w:t>
      </w:r>
    </w:p>
    <w:p w14:paraId="4827C1BB" w14:textId="77777777" w:rsidR="002B1D58" w:rsidRPr="00E74AB8" w:rsidRDefault="002B1D58" w:rsidP="004E1793">
      <w:pPr>
        <w:pStyle w:val="Appendixref"/>
        <w:rPr>
          <w:bCs/>
          <w:lang w:eastAsia="zh-CN"/>
        </w:rPr>
      </w:pPr>
      <w:r w:rsidRPr="006E3B9B">
        <w:rPr>
          <w:rFonts w:hAnsi="SimSun" w:hint="eastAsia"/>
          <w:lang w:eastAsia="zh-CN"/>
        </w:rPr>
        <w:t>第</w:t>
      </w:r>
      <w:r>
        <w:rPr>
          <w:rFonts w:hAnsi="SimSun"/>
          <w:lang w:eastAsia="zh-CN"/>
        </w:rPr>
        <w:t>1</w:t>
      </w:r>
      <w:r>
        <w:rPr>
          <w:rFonts w:hAnsi="SimSun" w:hint="eastAsia"/>
          <w:lang w:eastAsia="zh-CN"/>
        </w:rPr>
        <w:t>322</w:t>
      </w:r>
      <w:r w:rsidRPr="006E3B9B">
        <w:rPr>
          <w:rFonts w:hAnsi="SimSun"/>
          <w:lang w:eastAsia="zh-CN"/>
        </w:rPr>
        <w:t>号决议</w:t>
      </w:r>
      <w:r w:rsidRPr="00E74AB8">
        <w:rPr>
          <w:lang w:val="en-US" w:eastAsia="zh-CN"/>
        </w:rPr>
        <w:tab/>
      </w:r>
      <w:r w:rsidRPr="002B1D58">
        <w:rPr>
          <w:lang w:eastAsia="zh-CN"/>
        </w:rPr>
        <w:t>电信标准化部门</w:t>
      </w:r>
      <w:r w:rsidRPr="002B1D58">
        <w:rPr>
          <w:lang w:eastAsia="zh-CN"/>
        </w:rPr>
        <w:t>2011-2014</w:t>
      </w:r>
      <w:r w:rsidRPr="002B1D58">
        <w:rPr>
          <w:rFonts w:hAnsi="SimSun"/>
          <w:bCs/>
          <w:lang w:eastAsia="zh-CN"/>
        </w:rPr>
        <w:t>年</w:t>
      </w:r>
      <w:r w:rsidRPr="002B1D58">
        <w:rPr>
          <w:rFonts w:hAnsi="SimSun"/>
          <w:bCs/>
          <w:lang w:val="en-US" w:eastAsia="zh-CN"/>
        </w:rPr>
        <w:t>四年期滚动式运作</w:t>
      </w:r>
      <w:r w:rsidRPr="002B1D58">
        <w:rPr>
          <w:rFonts w:hAnsi="SimSun"/>
          <w:bCs/>
          <w:lang w:eastAsia="zh-CN"/>
        </w:rPr>
        <w:t>规划</w:t>
      </w:r>
      <w:r>
        <w:rPr>
          <w:rFonts w:hAnsi="SimSun" w:hint="eastAsia"/>
          <w:bCs/>
          <w:lang w:eastAsia="zh-CN"/>
        </w:rPr>
        <w:tab/>
      </w:r>
      <w:r w:rsidR="004E1793">
        <w:rPr>
          <w:rFonts w:hAnsi="SimSun"/>
          <w:bCs/>
          <w:lang w:eastAsia="zh-CN"/>
        </w:rPr>
        <w:tab/>
      </w:r>
      <w:r w:rsidR="003316AB">
        <w:rPr>
          <w:rFonts w:hint="eastAsia"/>
          <w:bCs/>
          <w:lang w:eastAsia="zh-CN"/>
        </w:rPr>
        <w:t>2011</w:t>
      </w:r>
      <w:r w:rsidR="00077C0D">
        <w:rPr>
          <w:rFonts w:hint="eastAsia"/>
          <w:bCs/>
          <w:lang w:eastAsia="zh-CN"/>
        </w:rPr>
        <w:t>年</w:t>
      </w:r>
    </w:p>
    <w:p w14:paraId="4827C1BC" w14:textId="77777777" w:rsidR="002B1D58" w:rsidRPr="00747232" w:rsidRDefault="002B1D58" w:rsidP="004E1793">
      <w:pPr>
        <w:pStyle w:val="Appendixref"/>
        <w:rPr>
          <w:bCs/>
          <w:lang w:eastAsia="zh-CN"/>
        </w:rPr>
      </w:pPr>
      <w:r w:rsidRPr="00747232">
        <w:rPr>
          <w:rFonts w:hAnsi="SimSun" w:hint="eastAsia"/>
          <w:lang w:eastAsia="zh-CN"/>
        </w:rPr>
        <w:t>第</w:t>
      </w:r>
      <w:r w:rsidRPr="00747232">
        <w:rPr>
          <w:rFonts w:hAnsi="SimSun"/>
          <w:lang w:eastAsia="zh-CN"/>
        </w:rPr>
        <w:t>1</w:t>
      </w:r>
      <w:r w:rsidRPr="00747232">
        <w:rPr>
          <w:rFonts w:hAnsi="SimSun" w:hint="eastAsia"/>
          <w:lang w:eastAsia="zh-CN"/>
        </w:rPr>
        <w:t>323</w:t>
      </w:r>
      <w:r w:rsidRPr="00747232">
        <w:rPr>
          <w:rFonts w:hAnsi="SimSun"/>
          <w:lang w:eastAsia="zh-CN"/>
        </w:rPr>
        <w:t>号决议</w:t>
      </w:r>
      <w:r w:rsidRPr="00747232">
        <w:rPr>
          <w:lang w:val="en-US" w:eastAsia="zh-CN"/>
        </w:rPr>
        <w:tab/>
      </w:r>
      <w:r w:rsidRPr="00747232">
        <w:rPr>
          <w:rFonts w:hint="eastAsia"/>
          <w:lang w:eastAsia="zh-CN"/>
        </w:rPr>
        <w:t>电信发展部门</w:t>
      </w:r>
      <w:r w:rsidRPr="00747232">
        <w:rPr>
          <w:lang w:eastAsia="zh-CN"/>
        </w:rPr>
        <w:t>20</w:t>
      </w:r>
      <w:r w:rsidRPr="00747232">
        <w:rPr>
          <w:rFonts w:hint="eastAsia"/>
          <w:lang w:eastAsia="zh-CN"/>
        </w:rPr>
        <w:t>11</w:t>
      </w:r>
      <w:r w:rsidRPr="00747232">
        <w:rPr>
          <w:lang w:eastAsia="zh-CN"/>
        </w:rPr>
        <w:t>-20</w:t>
      </w:r>
      <w:r w:rsidRPr="00747232">
        <w:rPr>
          <w:rFonts w:hint="eastAsia"/>
          <w:lang w:eastAsia="zh-CN"/>
        </w:rPr>
        <w:t>14</w:t>
      </w:r>
      <w:r w:rsidRPr="00747232">
        <w:rPr>
          <w:rFonts w:hAnsi="SimSun" w:hint="eastAsia"/>
          <w:bCs/>
          <w:lang w:eastAsia="zh-CN"/>
        </w:rPr>
        <w:t>年四年期滚动式运作规划</w:t>
      </w:r>
      <w:r w:rsidRPr="00747232">
        <w:rPr>
          <w:rFonts w:hAnsi="SimSun" w:hint="eastAsia"/>
          <w:bCs/>
          <w:lang w:eastAsia="zh-CN"/>
        </w:rPr>
        <w:tab/>
      </w:r>
      <w:r w:rsidR="004E1793">
        <w:rPr>
          <w:rFonts w:hAnsi="SimSun"/>
          <w:bCs/>
          <w:lang w:eastAsia="zh-CN"/>
        </w:rPr>
        <w:tab/>
      </w:r>
      <w:r w:rsidR="003316AB" w:rsidRPr="00747232">
        <w:rPr>
          <w:rFonts w:hint="eastAsia"/>
          <w:bCs/>
          <w:lang w:eastAsia="zh-CN"/>
        </w:rPr>
        <w:t>2011</w:t>
      </w:r>
      <w:r w:rsidR="00077C0D" w:rsidRPr="00747232">
        <w:rPr>
          <w:rFonts w:hint="eastAsia"/>
          <w:bCs/>
          <w:lang w:eastAsia="zh-CN"/>
        </w:rPr>
        <w:t>年</w:t>
      </w:r>
    </w:p>
    <w:p w14:paraId="4827C1BD" w14:textId="77777777" w:rsidR="002B1D58" w:rsidRPr="00E74AB8" w:rsidRDefault="002B1D58" w:rsidP="008F3715">
      <w:pPr>
        <w:pStyle w:val="Appendixref"/>
        <w:rPr>
          <w:bCs/>
          <w:lang w:eastAsia="zh-CN"/>
        </w:rPr>
      </w:pPr>
      <w:r w:rsidRPr="006E3B9B">
        <w:rPr>
          <w:rFonts w:hAnsi="SimSun" w:hint="eastAsia"/>
          <w:lang w:eastAsia="zh-CN"/>
        </w:rPr>
        <w:t>第</w:t>
      </w:r>
      <w:r>
        <w:rPr>
          <w:rFonts w:hAnsi="SimSun"/>
          <w:lang w:eastAsia="zh-CN"/>
        </w:rPr>
        <w:t>1</w:t>
      </w:r>
      <w:r>
        <w:rPr>
          <w:rFonts w:hAnsi="SimSun" w:hint="eastAsia"/>
          <w:lang w:eastAsia="zh-CN"/>
        </w:rPr>
        <w:t>324</w:t>
      </w:r>
      <w:r w:rsidRPr="006E3B9B">
        <w:rPr>
          <w:rFonts w:hAnsi="SimSun"/>
          <w:lang w:eastAsia="zh-CN"/>
        </w:rPr>
        <w:t>号决议</w:t>
      </w:r>
      <w:r w:rsidRPr="00E74AB8">
        <w:rPr>
          <w:lang w:val="en-US" w:eastAsia="zh-CN"/>
        </w:rPr>
        <w:tab/>
      </w:r>
      <w:r w:rsidRPr="002B1D58">
        <w:rPr>
          <w:lang w:eastAsia="zh-CN"/>
        </w:rPr>
        <w:t>摊付国际电联费用的会费份额</w:t>
      </w:r>
      <w:r w:rsidRPr="002B1D58">
        <w:rPr>
          <w:rFonts w:hint="eastAsia"/>
          <w:lang w:val="en-US" w:eastAsia="zh-CN"/>
        </w:rPr>
        <w:t xml:space="preserve"> </w:t>
      </w:r>
      <w:r w:rsidRPr="002B1D58">
        <w:rPr>
          <w:lang w:val="en-US" w:eastAsia="zh-CN"/>
        </w:rPr>
        <w:t xml:space="preserve">– </w:t>
      </w:r>
      <w:r w:rsidRPr="002B1D58">
        <w:rPr>
          <w:rFonts w:hAnsi="SimSun" w:hint="eastAsia"/>
          <w:bCs/>
          <w:lang w:eastAsia="zh-CN"/>
        </w:rPr>
        <w:t>索马里</w:t>
      </w:r>
      <w:r w:rsidRPr="002B1D58">
        <w:rPr>
          <w:rFonts w:hAnsi="SimSun"/>
          <w:bCs/>
          <w:lang w:eastAsia="zh-CN"/>
        </w:rPr>
        <w:t>共和国</w:t>
      </w:r>
      <w:r>
        <w:rPr>
          <w:rFonts w:hAnsi="SimSun" w:hint="eastAsia"/>
          <w:bCs/>
          <w:lang w:eastAsia="zh-CN"/>
        </w:rPr>
        <w:tab/>
      </w:r>
      <w:r w:rsidR="004E1793">
        <w:rPr>
          <w:rFonts w:hAnsi="SimSun"/>
          <w:bCs/>
          <w:lang w:eastAsia="zh-CN"/>
        </w:rPr>
        <w:tab/>
      </w:r>
      <w:r w:rsidR="008F3715">
        <w:rPr>
          <w:rFonts w:hAnsi="SimSun"/>
          <w:bCs/>
          <w:lang w:eastAsia="zh-CN"/>
        </w:rPr>
        <w:t>2016</w:t>
      </w:r>
      <w:r w:rsidR="00C504EF">
        <w:rPr>
          <w:rFonts w:hAnsi="SimSun" w:hint="eastAsia"/>
          <w:bCs/>
          <w:lang w:eastAsia="zh-CN"/>
        </w:rPr>
        <w:t>年</w:t>
      </w:r>
    </w:p>
    <w:p w14:paraId="4827C1BE" w14:textId="77777777" w:rsidR="002B1D58" w:rsidRPr="00E74AB8" w:rsidRDefault="002B1D58" w:rsidP="008F3715">
      <w:pPr>
        <w:pStyle w:val="Appendixref"/>
        <w:rPr>
          <w:bCs/>
          <w:lang w:eastAsia="zh-CN"/>
        </w:rPr>
      </w:pPr>
      <w:r w:rsidRPr="006E3B9B">
        <w:rPr>
          <w:rFonts w:hAnsi="SimSun" w:hint="eastAsia"/>
          <w:lang w:eastAsia="zh-CN"/>
        </w:rPr>
        <w:t>第</w:t>
      </w:r>
      <w:r>
        <w:rPr>
          <w:rFonts w:hAnsi="SimSun"/>
          <w:lang w:eastAsia="zh-CN"/>
        </w:rPr>
        <w:t>1</w:t>
      </w:r>
      <w:r>
        <w:rPr>
          <w:rFonts w:hAnsi="SimSun" w:hint="eastAsia"/>
          <w:lang w:eastAsia="zh-CN"/>
        </w:rPr>
        <w:t>325</w:t>
      </w:r>
      <w:r w:rsidRPr="006E3B9B">
        <w:rPr>
          <w:rFonts w:hAnsi="SimSun"/>
          <w:lang w:eastAsia="zh-CN"/>
        </w:rPr>
        <w:t>号决议</w:t>
      </w:r>
      <w:r w:rsidRPr="00E74AB8">
        <w:rPr>
          <w:lang w:val="en-US" w:eastAsia="zh-CN"/>
        </w:rPr>
        <w:tab/>
      </w:r>
      <w:r w:rsidRPr="002B1D58">
        <w:rPr>
          <w:lang w:eastAsia="zh-CN"/>
        </w:rPr>
        <w:t>摊付国际电联费用的会费份额</w:t>
      </w:r>
      <w:r w:rsidRPr="002B1D58">
        <w:rPr>
          <w:rFonts w:hint="eastAsia"/>
          <w:lang w:eastAsia="zh-CN"/>
        </w:rPr>
        <w:t xml:space="preserve"> </w:t>
      </w:r>
      <w:r w:rsidRPr="002B1D58">
        <w:rPr>
          <w:lang w:val="en-US" w:eastAsia="zh-CN"/>
        </w:rPr>
        <w:t xml:space="preserve">– </w:t>
      </w:r>
      <w:r w:rsidRPr="002B1D58">
        <w:rPr>
          <w:rFonts w:hAnsi="SimSun" w:hint="eastAsia"/>
          <w:bCs/>
          <w:lang w:eastAsia="zh-CN"/>
        </w:rPr>
        <w:t>马绍尔群岛</w:t>
      </w:r>
      <w:r w:rsidRPr="002B1D58">
        <w:rPr>
          <w:rFonts w:hAnsi="SimSun"/>
          <w:bCs/>
          <w:lang w:eastAsia="zh-CN"/>
        </w:rPr>
        <w:t>共和国</w:t>
      </w:r>
      <w:r>
        <w:rPr>
          <w:rFonts w:hint="eastAsia"/>
          <w:lang w:eastAsia="zh-CN"/>
        </w:rPr>
        <w:tab/>
      </w:r>
      <w:r w:rsidR="004E1793">
        <w:rPr>
          <w:lang w:eastAsia="zh-CN"/>
        </w:rPr>
        <w:tab/>
      </w:r>
      <w:r w:rsidR="008F3715">
        <w:rPr>
          <w:lang w:eastAsia="zh-CN"/>
        </w:rPr>
        <w:t>2016</w:t>
      </w:r>
      <w:r w:rsidR="00C504EF">
        <w:rPr>
          <w:rFonts w:hint="eastAsia"/>
          <w:lang w:eastAsia="zh-CN"/>
        </w:rPr>
        <w:t>年</w:t>
      </w:r>
    </w:p>
    <w:p w14:paraId="4827C1BF" w14:textId="77777777" w:rsidR="00C071D2" w:rsidRDefault="002B1D58" w:rsidP="003E11A1">
      <w:pPr>
        <w:pStyle w:val="Reftitle"/>
        <w:rPr>
          <w:rFonts w:hAnsi="SimSun"/>
          <w:sz w:val="20"/>
          <w:lang w:val="en-US" w:eastAsia="zh-CN"/>
        </w:rPr>
      </w:pPr>
      <w:r w:rsidRPr="006D0EE6">
        <w:rPr>
          <w:rFonts w:hint="eastAsia"/>
          <w:lang w:eastAsia="zh-CN"/>
        </w:rPr>
        <w:t>20</w:t>
      </w:r>
      <w:r>
        <w:rPr>
          <w:rFonts w:hint="eastAsia"/>
          <w:lang w:eastAsia="zh-CN"/>
        </w:rPr>
        <w:t>11</w:t>
      </w:r>
      <w:r w:rsidRPr="006D0EE6">
        <w:rPr>
          <w:rFonts w:hint="eastAsia"/>
          <w:lang w:eastAsia="zh-CN"/>
        </w:rPr>
        <w:t>年非常会议（</w:t>
      </w:r>
      <w:r>
        <w:rPr>
          <w:rFonts w:hint="eastAsia"/>
          <w:lang w:eastAsia="zh-CN"/>
        </w:rPr>
        <w:t>2010</w:t>
      </w:r>
      <w:r w:rsidRPr="006D0EE6">
        <w:rPr>
          <w:rFonts w:hint="eastAsia"/>
          <w:lang w:eastAsia="zh-CN"/>
        </w:rPr>
        <w:t>年</w:t>
      </w:r>
      <w:r w:rsidRPr="006D0EE6">
        <w:rPr>
          <w:rFonts w:hint="eastAsia"/>
          <w:lang w:eastAsia="zh-CN"/>
        </w:rPr>
        <w:t>1</w:t>
      </w:r>
      <w:r>
        <w:rPr>
          <w:rFonts w:hint="eastAsia"/>
          <w:lang w:eastAsia="zh-CN"/>
        </w:rPr>
        <w:t>0</w:t>
      </w:r>
      <w:r w:rsidRPr="006D0EE6">
        <w:rPr>
          <w:rFonts w:hint="eastAsia"/>
          <w:lang w:eastAsia="zh-CN"/>
        </w:rPr>
        <w:t>月</w:t>
      </w:r>
      <w:r w:rsidRPr="006D0EE6">
        <w:rPr>
          <w:rFonts w:hint="eastAsia"/>
          <w:lang w:eastAsia="zh-CN"/>
        </w:rPr>
        <w:t>2</w:t>
      </w:r>
      <w:r>
        <w:rPr>
          <w:rFonts w:hint="eastAsia"/>
          <w:lang w:eastAsia="zh-CN"/>
        </w:rPr>
        <w:t>2</w:t>
      </w:r>
      <w:r w:rsidRPr="006D0EE6">
        <w:rPr>
          <w:rFonts w:hint="eastAsia"/>
          <w:lang w:eastAsia="zh-CN"/>
        </w:rPr>
        <w:t>日）</w:t>
      </w:r>
    </w:p>
    <w:p w14:paraId="4827C1C0" w14:textId="77777777" w:rsidR="002B1D58" w:rsidRPr="00E74AB8" w:rsidRDefault="002B1D58" w:rsidP="004E1793">
      <w:pPr>
        <w:pStyle w:val="Appendixref"/>
        <w:rPr>
          <w:bCs/>
          <w:lang w:eastAsia="zh-CN"/>
        </w:rPr>
      </w:pPr>
      <w:r w:rsidRPr="006E3B9B">
        <w:rPr>
          <w:rFonts w:hAnsi="SimSun" w:hint="eastAsia"/>
          <w:lang w:eastAsia="zh-CN"/>
        </w:rPr>
        <w:t>第</w:t>
      </w:r>
      <w:r>
        <w:rPr>
          <w:rFonts w:hAnsi="SimSun"/>
          <w:lang w:eastAsia="zh-CN"/>
        </w:rPr>
        <w:t>1</w:t>
      </w:r>
      <w:r>
        <w:rPr>
          <w:rFonts w:hAnsi="SimSun" w:hint="eastAsia"/>
          <w:lang w:eastAsia="zh-CN"/>
        </w:rPr>
        <w:t>326</w:t>
      </w:r>
      <w:r w:rsidRPr="006E3B9B">
        <w:rPr>
          <w:rFonts w:hAnsi="SimSun"/>
          <w:lang w:eastAsia="zh-CN"/>
        </w:rPr>
        <w:t>号决议</w:t>
      </w:r>
      <w:r w:rsidRPr="00E74AB8">
        <w:rPr>
          <w:lang w:val="en-US" w:eastAsia="zh-CN"/>
        </w:rPr>
        <w:tab/>
      </w:r>
      <w:r w:rsidRPr="002B1D58">
        <w:rPr>
          <w:rFonts w:hint="eastAsia"/>
          <w:lang w:eastAsia="zh-CN"/>
        </w:rPr>
        <w:t>国际电联职员养恤金委员会的委员</w:t>
      </w:r>
      <w:r w:rsidR="004E1793">
        <w:rPr>
          <w:lang w:eastAsia="zh-CN"/>
        </w:rPr>
        <w:tab/>
      </w:r>
      <w:r>
        <w:rPr>
          <w:rFonts w:hint="eastAsia"/>
          <w:lang w:eastAsia="zh-CN"/>
        </w:rPr>
        <w:tab/>
      </w:r>
      <w:r w:rsidR="005E10E2">
        <w:rPr>
          <w:lang w:eastAsia="zh-CN"/>
        </w:rPr>
        <w:t>2015</w:t>
      </w:r>
      <w:r w:rsidR="005E10E2">
        <w:rPr>
          <w:rFonts w:hint="eastAsia"/>
          <w:lang w:eastAsia="zh-CN"/>
        </w:rPr>
        <w:t>年</w:t>
      </w:r>
    </w:p>
    <w:p w14:paraId="4827C1C1" w14:textId="77777777" w:rsidR="00DC5AF0" w:rsidRDefault="00DC5AF0" w:rsidP="003E11A1">
      <w:pPr>
        <w:pStyle w:val="Reftitle"/>
        <w:rPr>
          <w:lang w:eastAsia="zh-CN"/>
        </w:rPr>
      </w:pPr>
      <w:r w:rsidRPr="00022E00">
        <w:rPr>
          <w:lang w:eastAsia="zh-CN"/>
        </w:rPr>
        <w:t>20</w:t>
      </w:r>
      <w:r>
        <w:rPr>
          <w:lang w:eastAsia="zh-CN"/>
        </w:rPr>
        <w:t>11</w:t>
      </w:r>
      <w:r w:rsidRPr="006D0EE6">
        <w:rPr>
          <w:rFonts w:hint="eastAsia"/>
          <w:lang w:eastAsia="zh-CN"/>
        </w:rPr>
        <w:t>年会议（</w:t>
      </w:r>
      <w:r>
        <w:rPr>
          <w:rFonts w:hint="eastAsia"/>
          <w:lang w:eastAsia="zh-CN"/>
        </w:rPr>
        <w:t>2011</w:t>
      </w:r>
      <w:r w:rsidRPr="006D0EE6">
        <w:rPr>
          <w:rFonts w:hint="eastAsia"/>
          <w:lang w:eastAsia="zh-CN"/>
        </w:rPr>
        <w:t>年</w:t>
      </w:r>
      <w:r>
        <w:rPr>
          <w:rFonts w:hint="eastAsia"/>
          <w:lang w:eastAsia="zh-CN"/>
        </w:rPr>
        <w:t>10</w:t>
      </w:r>
      <w:r w:rsidRPr="006D0EE6">
        <w:rPr>
          <w:rFonts w:hint="eastAsia"/>
          <w:lang w:eastAsia="zh-CN"/>
        </w:rPr>
        <w:t>月</w:t>
      </w:r>
      <w:r>
        <w:rPr>
          <w:rFonts w:hint="eastAsia"/>
          <w:lang w:eastAsia="zh-CN"/>
        </w:rPr>
        <w:t>11</w:t>
      </w:r>
      <w:r w:rsidRPr="006D0EE6">
        <w:rPr>
          <w:rFonts w:hint="eastAsia"/>
          <w:lang w:eastAsia="zh-CN"/>
        </w:rPr>
        <w:t>-</w:t>
      </w:r>
      <w:r>
        <w:rPr>
          <w:rFonts w:hint="eastAsia"/>
          <w:lang w:eastAsia="zh-CN"/>
        </w:rPr>
        <w:t>21</w:t>
      </w:r>
      <w:r w:rsidRPr="006D0EE6">
        <w:rPr>
          <w:rFonts w:hint="eastAsia"/>
          <w:lang w:eastAsia="zh-CN"/>
        </w:rPr>
        <w:t>日）</w:t>
      </w:r>
    </w:p>
    <w:p w14:paraId="4827C1C2" w14:textId="77777777" w:rsidR="004E1793" w:rsidRPr="00EB5BE2" w:rsidRDefault="004E1793" w:rsidP="004E1793">
      <w:pPr>
        <w:pStyle w:val="Appendixref"/>
        <w:rPr>
          <w:bCs/>
          <w:lang w:eastAsia="zh-CN"/>
        </w:rPr>
      </w:pPr>
      <w:r w:rsidRPr="006510A8">
        <w:rPr>
          <w:rFonts w:hAnsi="SimSun" w:hint="eastAsia"/>
          <w:lang w:eastAsia="zh-CN"/>
        </w:rPr>
        <w:t>第</w:t>
      </w:r>
      <w:r w:rsidRPr="00EB5BE2">
        <w:rPr>
          <w:lang w:eastAsia="zh-CN"/>
        </w:rPr>
        <w:t>1327</w:t>
      </w:r>
      <w:r w:rsidRPr="006510A8">
        <w:rPr>
          <w:rFonts w:hAnsi="SimSun"/>
          <w:lang w:eastAsia="zh-CN"/>
        </w:rPr>
        <w:t>号决议</w:t>
      </w:r>
      <w:r>
        <w:rPr>
          <w:lang w:eastAsia="zh-CN"/>
        </w:rPr>
        <w:tab/>
      </w:r>
      <w:r w:rsidRPr="00F77DE4">
        <w:rPr>
          <w:rFonts w:hint="eastAsia"/>
          <w:lang w:eastAsia="zh-CN"/>
        </w:rPr>
        <w:t>国际电联在信息通信技术</w:t>
      </w:r>
      <w:r>
        <w:rPr>
          <w:rFonts w:hint="eastAsia"/>
          <w:lang w:eastAsia="zh-CN"/>
        </w:rPr>
        <w:t>和</w:t>
      </w:r>
      <w:r w:rsidRPr="00F77DE4">
        <w:rPr>
          <w:rFonts w:hint="eastAsia"/>
          <w:lang w:eastAsia="zh-CN"/>
        </w:rPr>
        <w:t>赋予妇女和年轻女性权力方面的作用</w:t>
      </w:r>
      <w:r>
        <w:rPr>
          <w:lang w:eastAsia="zh-CN"/>
        </w:rPr>
        <w:tab/>
      </w:r>
      <w:r w:rsidRPr="00EB5BE2">
        <w:rPr>
          <w:lang w:eastAsia="zh-CN"/>
        </w:rPr>
        <w:tab/>
      </w:r>
      <w:r w:rsidRPr="00EB5BE2">
        <w:rPr>
          <w:bCs/>
          <w:lang w:eastAsia="zh-CN"/>
        </w:rPr>
        <w:t>7.2</w:t>
      </w:r>
    </w:p>
    <w:p w14:paraId="4827C1C3" w14:textId="77777777" w:rsidR="004E1793" w:rsidRPr="00EB5BE2" w:rsidRDefault="004E1793" w:rsidP="004E1793">
      <w:pPr>
        <w:pStyle w:val="Appendixref"/>
        <w:rPr>
          <w:bCs/>
          <w:lang w:eastAsia="zh-CN"/>
        </w:rPr>
      </w:pPr>
      <w:r w:rsidRPr="006510A8">
        <w:rPr>
          <w:rFonts w:hAnsi="SimSun" w:hint="eastAsia"/>
          <w:lang w:eastAsia="zh-CN"/>
        </w:rPr>
        <w:t>第</w:t>
      </w:r>
      <w:r>
        <w:rPr>
          <w:lang w:eastAsia="zh-CN"/>
        </w:rPr>
        <w:t>1328</w:t>
      </w:r>
      <w:r w:rsidRPr="006510A8">
        <w:rPr>
          <w:rFonts w:hAnsi="SimSun"/>
          <w:lang w:eastAsia="zh-CN"/>
        </w:rPr>
        <w:t>号决议</w:t>
      </w:r>
      <w:r>
        <w:rPr>
          <w:lang w:eastAsia="zh-CN"/>
        </w:rPr>
        <w:tab/>
      </w:r>
      <w:r w:rsidRPr="00F77DE4">
        <w:rPr>
          <w:rFonts w:hint="eastAsia"/>
          <w:lang w:eastAsia="zh-CN"/>
        </w:rPr>
        <w:t>总秘书处</w:t>
      </w:r>
      <w:r w:rsidRPr="00F77DE4">
        <w:rPr>
          <w:rFonts w:hint="eastAsia"/>
          <w:lang w:eastAsia="zh-CN"/>
        </w:rPr>
        <w:t>2012-2015</w:t>
      </w:r>
      <w:r w:rsidRPr="00F77DE4">
        <w:rPr>
          <w:rFonts w:hint="eastAsia"/>
          <w:lang w:eastAsia="zh-CN"/>
        </w:rPr>
        <w:t>年四年期滚动式运作计划</w:t>
      </w:r>
      <w:r w:rsidRPr="00EB5BE2">
        <w:rPr>
          <w:lang w:eastAsia="zh-CN"/>
        </w:rPr>
        <w:tab/>
      </w:r>
      <w:r>
        <w:rPr>
          <w:lang w:eastAsia="zh-CN"/>
        </w:rPr>
        <w:tab/>
      </w:r>
      <w:r>
        <w:rPr>
          <w:rFonts w:hint="eastAsia"/>
          <w:bCs/>
          <w:lang w:eastAsia="zh-CN"/>
        </w:rPr>
        <w:t>2013</w:t>
      </w:r>
      <w:r>
        <w:rPr>
          <w:rFonts w:hint="eastAsia"/>
          <w:bCs/>
          <w:lang w:eastAsia="zh-CN"/>
        </w:rPr>
        <w:t>年</w:t>
      </w:r>
    </w:p>
    <w:p w14:paraId="4827C1C4" w14:textId="77777777" w:rsidR="004E1793" w:rsidRPr="00EB5BE2" w:rsidRDefault="004E1793" w:rsidP="004E1793">
      <w:pPr>
        <w:pStyle w:val="Appendixref"/>
        <w:rPr>
          <w:bCs/>
          <w:lang w:eastAsia="zh-CN"/>
        </w:rPr>
      </w:pPr>
      <w:r w:rsidRPr="006510A8">
        <w:rPr>
          <w:rFonts w:hAnsi="SimSun" w:hint="eastAsia"/>
          <w:lang w:eastAsia="zh-CN"/>
        </w:rPr>
        <w:t>第</w:t>
      </w:r>
      <w:r>
        <w:rPr>
          <w:lang w:eastAsia="zh-CN"/>
        </w:rPr>
        <w:t>1329</w:t>
      </w:r>
      <w:r w:rsidRPr="006510A8">
        <w:rPr>
          <w:rFonts w:hAnsi="SimSun"/>
          <w:lang w:eastAsia="zh-CN"/>
        </w:rPr>
        <w:t>号决议</w:t>
      </w:r>
      <w:r>
        <w:rPr>
          <w:lang w:eastAsia="zh-CN"/>
        </w:rPr>
        <w:tab/>
      </w:r>
      <w:r w:rsidRPr="00F77DE4">
        <w:rPr>
          <w:rFonts w:hint="eastAsia"/>
          <w:lang w:eastAsia="zh-CN"/>
        </w:rPr>
        <w:t>无线电通信部门</w:t>
      </w:r>
      <w:r w:rsidRPr="00F77DE4">
        <w:rPr>
          <w:rFonts w:hint="eastAsia"/>
          <w:lang w:eastAsia="zh-CN"/>
        </w:rPr>
        <w:t>2012-2015</w:t>
      </w:r>
      <w:r w:rsidRPr="00F77DE4">
        <w:rPr>
          <w:rFonts w:hint="eastAsia"/>
          <w:lang w:eastAsia="zh-CN"/>
        </w:rPr>
        <w:t>年四年期滚动式运作规划</w:t>
      </w:r>
      <w:r w:rsidRPr="00EB5BE2">
        <w:rPr>
          <w:lang w:eastAsia="zh-CN"/>
        </w:rPr>
        <w:tab/>
      </w:r>
      <w:r>
        <w:rPr>
          <w:lang w:eastAsia="zh-CN"/>
        </w:rPr>
        <w:tab/>
      </w:r>
      <w:r>
        <w:rPr>
          <w:rFonts w:hint="eastAsia"/>
          <w:bCs/>
          <w:lang w:eastAsia="zh-CN"/>
        </w:rPr>
        <w:t>2013</w:t>
      </w:r>
      <w:r>
        <w:rPr>
          <w:rFonts w:hint="eastAsia"/>
          <w:bCs/>
          <w:lang w:eastAsia="zh-CN"/>
        </w:rPr>
        <w:t>年</w:t>
      </w:r>
    </w:p>
    <w:p w14:paraId="4827C1C5" w14:textId="77777777" w:rsidR="004E1793" w:rsidRPr="00EB5BE2" w:rsidRDefault="004E1793" w:rsidP="004E1793">
      <w:pPr>
        <w:pStyle w:val="Appendixref"/>
        <w:rPr>
          <w:bCs/>
          <w:lang w:eastAsia="zh-CN"/>
        </w:rPr>
      </w:pPr>
      <w:r w:rsidRPr="006510A8">
        <w:rPr>
          <w:rFonts w:hAnsi="SimSun" w:hint="eastAsia"/>
          <w:lang w:eastAsia="zh-CN"/>
        </w:rPr>
        <w:t>第</w:t>
      </w:r>
      <w:r>
        <w:rPr>
          <w:lang w:eastAsia="zh-CN"/>
        </w:rPr>
        <w:t>1330</w:t>
      </w:r>
      <w:r w:rsidRPr="006510A8">
        <w:rPr>
          <w:rFonts w:hAnsi="SimSun"/>
          <w:lang w:eastAsia="zh-CN"/>
        </w:rPr>
        <w:t>号决议</w:t>
      </w:r>
      <w:r>
        <w:rPr>
          <w:lang w:eastAsia="zh-CN"/>
        </w:rPr>
        <w:tab/>
      </w:r>
      <w:r w:rsidRPr="00F77DE4">
        <w:rPr>
          <w:rFonts w:hint="eastAsia"/>
          <w:lang w:eastAsia="zh-CN"/>
        </w:rPr>
        <w:t>电信标准化部门</w:t>
      </w:r>
      <w:r w:rsidRPr="00F77DE4">
        <w:rPr>
          <w:rFonts w:hint="eastAsia"/>
          <w:lang w:eastAsia="zh-CN"/>
        </w:rPr>
        <w:t>2012</w:t>
      </w:r>
      <w:r>
        <w:rPr>
          <w:lang w:eastAsia="zh-CN"/>
        </w:rPr>
        <w:t>-</w:t>
      </w:r>
      <w:r w:rsidRPr="00F77DE4">
        <w:rPr>
          <w:rFonts w:hint="eastAsia"/>
          <w:lang w:eastAsia="zh-CN"/>
        </w:rPr>
        <w:t>2015</w:t>
      </w:r>
      <w:r w:rsidRPr="00F77DE4">
        <w:rPr>
          <w:rFonts w:hint="eastAsia"/>
          <w:lang w:eastAsia="zh-CN"/>
        </w:rPr>
        <w:t>年四年期滚动式运作规划</w:t>
      </w:r>
      <w:r w:rsidRPr="00EB5BE2">
        <w:rPr>
          <w:lang w:eastAsia="zh-CN"/>
        </w:rPr>
        <w:tab/>
      </w:r>
      <w:r>
        <w:rPr>
          <w:lang w:eastAsia="zh-CN"/>
        </w:rPr>
        <w:tab/>
      </w:r>
      <w:r>
        <w:rPr>
          <w:rFonts w:hint="eastAsia"/>
          <w:bCs/>
          <w:lang w:eastAsia="zh-CN"/>
        </w:rPr>
        <w:t>2013</w:t>
      </w:r>
      <w:r>
        <w:rPr>
          <w:rFonts w:hint="eastAsia"/>
          <w:bCs/>
          <w:lang w:eastAsia="zh-CN"/>
        </w:rPr>
        <w:t>年</w:t>
      </w:r>
    </w:p>
    <w:p w14:paraId="4827C1C6" w14:textId="77777777" w:rsidR="004E1793" w:rsidRPr="00EB5BE2" w:rsidRDefault="004E1793" w:rsidP="004E1793">
      <w:pPr>
        <w:pStyle w:val="Appendixref"/>
        <w:rPr>
          <w:bCs/>
          <w:lang w:eastAsia="zh-CN"/>
        </w:rPr>
      </w:pPr>
      <w:r w:rsidRPr="006510A8">
        <w:rPr>
          <w:rFonts w:hAnsi="SimSun" w:hint="eastAsia"/>
          <w:lang w:eastAsia="zh-CN"/>
        </w:rPr>
        <w:t>第</w:t>
      </w:r>
      <w:r>
        <w:rPr>
          <w:lang w:eastAsia="zh-CN"/>
        </w:rPr>
        <w:t>1331</w:t>
      </w:r>
      <w:r w:rsidRPr="006510A8">
        <w:rPr>
          <w:rFonts w:hAnsi="SimSun"/>
          <w:lang w:eastAsia="zh-CN"/>
        </w:rPr>
        <w:t>号决议</w:t>
      </w:r>
      <w:r>
        <w:rPr>
          <w:lang w:eastAsia="zh-CN"/>
        </w:rPr>
        <w:tab/>
      </w:r>
      <w:r w:rsidRPr="00F77DE4">
        <w:rPr>
          <w:rFonts w:hint="eastAsia"/>
          <w:lang w:eastAsia="zh-CN"/>
        </w:rPr>
        <w:t>电信发展部门</w:t>
      </w:r>
      <w:r w:rsidRPr="00F77DE4">
        <w:rPr>
          <w:rFonts w:hint="eastAsia"/>
          <w:lang w:eastAsia="zh-CN"/>
        </w:rPr>
        <w:t>2012-2015</w:t>
      </w:r>
      <w:r w:rsidRPr="00F77DE4">
        <w:rPr>
          <w:rFonts w:hint="eastAsia"/>
          <w:lang w:eastAsia="zh-CN"/>
        </w:rPr>
        <w:t>年四年期滚动运作规划</w:t>
      </w:r>
      <w:r w:rsidRPr="00EB5BE2">
        <w:rPr>
          <w:lang w:eastAsia="zh-CN"/>
        </w:rPr>
        <w:tab/>
      </w:r>
      <w:r>
        <w:rPr>
          <w:lang w:eastAsia="zh-CN"/>
        </w:rPr>
        <w:tab/>
      </w:r>
      <w:r>
        <w:rPr>
          <w:rFonts w:hint="eastAsia"/>
          <w:bCs/>
          <w:lang w:eastAsia="zh-CN"/>
        </w:rPr>
        <w:t>2013</w:t>
      </w:r>
      <w:r>
        <w:rPr>
          <w:rFonts w:hint="eastAsia"/>
          <w:bCs/>
          <w:lang w:eastAsia="zh-CN"/>
        </w:rPr>
        <w:t>年</w:t>
      </w:r>
    </w:p>
    <w:p w14:paraId="4827C1C7" w14:textId="77777777" w:rsidR="004E1793" w:rsidRPr="00EB5BE2" w:rsidRDefault="004E1793" w:rsidP="00447D79">
      <w:pPr>
        <w:pStyle w:val="Appendixref"/>
        <w:rPr>
          <w:bCs/>
          <w:lang w:eastAsia="zh-CN"/>
        </w:rPr>
      </w:pPr>
      <w:r w:rsidRPr="006510A8">
        <w:rPr>
          <w:rFonts w:hAnsi="SimSun" w:hint="eastAsia"/>
          <w:lang w:eastAsia="zh-CN"/>
        </w:rPr>
        <w:t>第</w:t>
      </w:r>
      <w:r>
        <w:rPr>
          <w:lang w:eastAsia="zh-CN"/>
        </w:rPr>
        <w:t>1332</w:t>
      </w:r>
      <w:r w:rsidRPr="006510A8">
        <w:rPr>
          <w:rFonts w:hAnsi="SimSun"/>
          <w:lang w:eastAsia="zh-CN"/>
        </w:rPr>
        <w:t>号决议</w:t>
      </w:r>
      <w:r>
        <w:rPr>
          <w:lang w:eastAsia="zh-CN"/>
        </w:rPr>
        <w:tab/>
      </w:r>
      <w:r w:rsidR="00447D79">
        <w:rPr>
          <w:rFonts w:hint="eastAsia"/>
          <w:lang w:eastAsia="zh-CN"/>
        </w:rPr>
        <w:t>国际电联在落实信息社会世界峰会（</w:t>
      </w:r>
      <w:r w:rsidR="00447D79">
        <w:rPr>
          <w:rFonts w:hint="eastAsia"/>
          <w:lang w:eastAsia="zh-CN"/>
        </w:rPr>
        <w:t>WSIS</w:t>
      </w:r>
      <w:r w:rsidR="00447D79">
        <w:rPr>
          <w:rFonts w:hint="eastAsia"/>
          <w:lang w:eastAsia="zh-CN"/>
        </w:rPr>
        <w:t>）成果方面的作用，同时兼顾《</w:t>
      </w:r>
      <w:r w:rsidR="00447D79">
        <w:rPr>
          <w:rFonts w:hint="eastAsia"/>
          <w:lang w:eastAsia="zh-CN"/>
        </w:rPr>
        <w:t>2030</w:t>
      </w:r>
      <w:r w:rsidR="00447D79">
        <w:rPr>
          <w:rFonts w:hint="eastAsia"/>
          <w:lang w:eastAsia="zh-CN"/>
        </w:rPr>
        <w:t>年可持续发展议程》</w:t>
      </w:r>
      <w:r>
        <w:rPr>
          <w:lang w:eastAsia="zh-CN"/>
        </w:rPr>
        <w:tab/>
      </w:r>
      <w:r w:rsidRPr="00EB5BE2">
        <w:rPr>
          <w:lang w:eastAsia="zh-CN"/>
        </w:rPr>
        <w:tab/>
      </w:r>
      <w:r w:rsidRPr="00EB5BE2">
        <w:rPr>
          <w:bCs/>
          <w:lang w:eastAsia="zh-CN"/>
        </w:rPr>
        <w:t>3.2</w:t>
      </w:r>
    </w:p>
    <w:p w14:paraId="4827C1C8" w14:textId="77777777" w:rsidR="004E1793" w:rsidRPr="00EB5BE2" w:rsidRDefault="004E1793" w:rsidP="004E1793">
      <w:pPr>
        <w:pStyle w:val="Appendixref"/>
        <w:rPr>
          <w:bCs/>
          <w:lang w:eastAsia="zh-CN"/>
        </w:rPr>
      </w:pPr>
      <w:r w:rsidRPr="006510A8">
        <w:rPr>
          <w:rFonts w:hAnsi="SimSun" w:hint="eastAsia"/>
          <w:lang w:eastAsia="zh-CN"/>
        </w:rPr>
        <w:t>第</w:t>
      </w:r>
      <w:r>
        <w:rPr>
          <w:lang w:eastAsia="zh-CN"/>
        </w:rPr>
        <w:t>1333</w:t>
      </w:r>
      <w:r w:rsidRPr="006510A8">
        <w:rPr>
          <w:rFonts w:hAnsi="SimSun"/>
          <w:lang w:eastAsia="zh-CN"/>
        </w:rPr>
        <w:t>号决议</w:t>
      </w:r>
      <w:r>
        <w:rPr>
          <w:lang w:eastAsia="zh-CN"/>
        </w:rPr>
        <w:tab/>
      </w:r>
      <w:r w:rsidRPr="00F77DE4">
        <w:rPr>
          <w:rFonts w:hint="eastAsia"/>
          <w:lang w:eastAsia="zh-CN"/>
        </w:rPr>
        <w:t>成立、管理和终止理事会工作组的指导原则</w:t>
      </w:r>
      <w:r w:rsidRPr="00EB5BE2">
        <w:rPr>
          <w:lang w:eastAsia="zh-CN"/>
        </w:rPr>
        <w:tab/>
      </w:r>
      <w:r>
        <w:rPr>
          <w:lang w:eastAsia="zh-CN"/>
        </w:rPr>
        <w:tab/>
      </w:r>
      <w:r w:rsidRPr="00EB5BE2">
        <w:rPr>
          <w:bCs/>
          <w:lang w:eastAsia="zh-CN"/>
        </w:rPr>
        <w:t>3.2</w:t>
      </w:r>
    </w:p>
    <w:p w14:paraId="4827C1C9" w14:textId="77777777" w:rsidR="004E1793" w:rsidRPr="00EB5BE2" w:rsidRDefault="004E1793" w:rsidP="004E1793">
      <w:pPr>
        <w:pStyle w:val="Appendixref"/>
        <w:rPr>
          <w:bCs/>
          <w:lang w:eastAsia="zh-CN"/>
        </w:rPr>
      </w:pPr>
      <w:r w:rsidRPr="006510A8">
        <w:rPr>
          <w:rFonts w:hAnsi="SimSun" w:hint="eastAsia"/>
          <w:lang w:eastAsia="zh-CN"/>
        </w:rPr>
        <w:t>第</w:t>
      </w:r>
      <w:r>
        <w:rPr>
          <w:lang w:eastAsia="zh-CN"/>
        </w:rPr>
        <w:t>1334</w:t>
      </w:r>
      <w:r w:rsidRPr="006510A8">
        <w:rPr>
          <w:rFonts w:hAnsi="SimSun"/>
          <w:lang w:eastAsia="zh-CN"/>
        </w:rPr>
        <w:t>号决议</w:t>
      </w:r>
      <w:r>
        <w:rPr>
          <w:lang w:eastAsia="zh-CN"/>
        </w:rPr>
        <w:tab/>
      </w:r>
      <w:r w:rsidRPr="00F77DE4">
        <w:rPr>
          <w:rFonts w:hint="eastAsia"/>
          <w:lang w:eastAsia="zh-CN"/>
        </w:rPr>
        <w:t>国际电联在全面审查信息社会世界高峰会议成果落实工作中的作用</w:t>
      </w:r>
      <w:r w:rsidRPr="00EB5BE2">
        <w:rPr>
          <w:lang w:eastAsia="zh-CN"/>
        </w:rPr>
        <w:tab/>
      </w:r>
      <w:r>
        <w:rPr>
          <w:lang w:eastAsia="zh-CN"/>
        </w:rPr>
        <w:tab/>
      </w:r>
      <w:r w:rsidRPr="00EB5BE2">
        <w:rPr>
          <w:bCs/>
          <w:lang w:eastAsia="zh-CN"/>
        </w:rPr>
        <w:t>3.2</w:t>
      </w:r>
    </w:p>
    <w:p w14:paraId="4827C1CA" w14:textId="77777777" w:rsidR="004E1793" w:rsidRPr="00EB5BE2" w:rsidRDefault="004E1793" w:rsidP="004E1793">
      <w:pPr>
        <w:pStyle w:val="Appendixref"/>
        <w:rPr>
          <w:bCs/>
          <w:lang w:eastAsia="zh-CN"/>
        </w:rPr>
      </w:pPr>
      <w:r w:rsidRPr="006510A8">
        <w:rPr>
          <w:rFonts w:hAnsi="SimSun" w:hint="eastAsia"/>
          <w:lang w:eastAsia="zh-CN"/>
        </w:rPr>
        <w:t>第</w:t>
      </w:r>
      <w:r>
        <w:rPr>
          <w:lang w:eastAsia="zh-CN"/>
        </w:rPr>
        <w:t>1335</w:t>
      </w:r>
      <w:r w:rsidRPr="006510A8">
        <w:rPr>
          <w:rFonts w:hAnsi="SimSun"/>
          <w:lang w:eastAsia="zh-CN"/>
        </w:rPr>
        <w:t>号决议</w:t>
      </w:r>
      <w:r>
        <w:rPr>
          <w:lang w:eastAsia="zh-CN"/>
        </w:rPr>
        <w:tab/>
      </w:r>
      <w:r w:rsidRPr="00F77DE4">
        <w:rPr>
          <w:rFonts w:hint="eastAsia"/>
          <w:lang w:eastAsia="zh-CN"/>
        </w:rPr>
        <w:t>2012</w:t>
      </w:r>
      <w:r w:rsidRPr="00F77DE4">
        <w:rPr>
          <w:rFonts w:hint="eastAsia"/>
          <w:lang w:eastAsia="zh-CN"/>
        </w:rPr>
        <w:t>年世界电信标准化全会（</w:t>
      </w:r>
      <w:r w:rsidRPr="00F77DE4">
        <w:rPr>
          <w:rFonts w:hint="eastAsia"/>
          <w:lang w:eastAsia="zh-CN"/>
        </w:rPr>
        <w:t>WTSA-12</w:t>
      </w:r>
      <w:r w:rsidRPr="00F77DE4">
        <w:rPr>
          <w:rFonts w:hint="eastAsia"/>
          <w:lang w:eastAsia="zh-CN"/>
        </w:rPr>
        <w:t>）和</w:t>
      </w:r>
      <w:r w:rsidRPr="00F77DE4">
        <w:rPr>
          <w:rFonts w:hint="eastAsia"/>
          <w:lang w:eastAsia="zh-CN"/>
        </w:rPr>
        <w:t>2012</w:t>
      </w:r>
      <w:r w:rsidRPr="00F77DE4">
        <w:rPr>
          <w:rFonts w:hint="eastAsia"/>
          <w:lang w:eastAsia="zh-CN"/>
        </w:rPr>
        <w:t>年国际电信世界大会</w:t>
      </w:r>
      <w:r>
        <w:rPr>
          <w:lang w:eastAsia="zh-CN"/>
        </w:rPr>
        <w:br/>
      </w:r>
      <w:r w:rsidRPr="00F77DE4">
        <w:rPr>
          <w:rFonts w:hint="eastAsia"/>
          <w:lang w:eastAsia="zh-CN"/>
        </w:rPr>
        <w:t>（</w:t>
      </w:r>
      <w:r w:rsidRPr="00F77DE4">
        <w:rPr>
          <w:rFonts w:hint="eastAsia"/>
          <w:lang w:eastAsia="zh-CN"/>
        </w:rPr>
        <w:t>WCIT-12</w:t>
      </w:r>
      <w:r w:rsidRPr="00F77DE4">
        <w:rPr>
          <w:rFonts w:hint="eastAsia"/>
          <w:lang w:eastAsia="zh-CN"/>
        </w:rPr>
        <w:t>）的日期和会址</w:t>
      </w:r>
      <w:r w:rsidRPr="00EB5BE2">
        <w:rPr>
          <w:lang w:eastAsia="zh-CN"/>
        </w:rPr>
        <w:tab/>
      </w:r>
      <w:r>
        <w:rPr>
          <w:lang w:eastAsia="zh-CN"/>
        </w:rPr>
        <w:tab/>
      </w:r>
      <w:r>
        <w:rPr>
          <w:rFonts w:hint="eastAsia"/>
          <w:bCs/>
          <w:lang w:eastAsia="zh-CN"/>
        </w:rPr>
        <w:t>2013</w:t>
      </w:r>
      <w:r>
        <w:rPr>
          <w:rFonts w:hint="eastAsia"/>
          <w:bCs/>
          <w:lang w:eastAsia="zh-CN"/>
        </w:rPr>
        <w:t>年</w:t>
      </w:r>
    </w:p>
    <w:p w14:paraId="4827C1CB" w14:textId="77777777" w:rsidR="004E1793" w:rsidRPr="00EB5BE2" w:rsidRDefault="004E1793" w:rsidP="004E1793">
      <w:pPr>
        <w:pStyle w:val="Appendixref"/>
        <w:rPr>
          <w:bCs/>
          <w:lang w:eastAsia="zh-CN"/>
        </w:rPr>
      </w:pPr>
      <w:r w:rsidRPr="006510A8">
        <w:rPr>
          <w:rFonts w:hAnsi="SimSun" w:hint="eastAsia"/>
          <w:lang w:eastAsia="zh-CN"/>
        </w:rPr>
        <w:t>第</w:t>
      </w:r>
      <w:r>
        <w:rPr>
          <w:lang w:eastAsia="zh-CN"/>
        </w:rPr>
        <w:t>1336</w:t>
      </w:r>
      <w:r w:rsidRPr="006510A8">
        <w:rPr>
          <w:rFonts w:hAnsi="SimSun"/>
          <w:lang w:eastAsia="zh-CN"/>
        </w:rPr>
        <w:t>号决议</w:t>
      </w:r>
      <w:r>
        <w:rPr>
          <w:lang w:eastAsia="zh-CN"/>
        </w:rPr>
        <w:tab/>
      </w:r>
      <w:r w:rsidRPr="00F77DE4">
        <w:rPr>
          <w:rFonts w:hint="eastAsia"/>
          <w:lang w:eastAsia="zh-CN"/>
        </w:rPr>
        <w:t>理事会国际互联网相关公共政策问题工作组</w:t>
      </w:r>
      <w:r w:rsidRPr="00EB5BE2">
        <w:rPr>
          <w:lang w:eastAsia="zh-CN"/>
        </w:rPr>
        <w:tab/>
      </w:r>
      <w:r>
        <w:rPr>
          <w:lang w:eastAsia="zh-CN"/>
        </w:rPr>
        <w:tab/>
      </w:r>
      <w:r w:rsidRPr="00EB5BE2">
        <w:rPr>
          <w:bCs/>
          <w:lang w:eastAsia="zh-CN"/>
        </w:rPr>
        <w:t>3.2</w:t>
      </w:r>
    </w:p>
    <w:p w14:paraId="4827C1CC" w14:textId="77777777" w:rsidR="004E1793" w:rsidRPr="00EB5BE2" w:rsidRDefault="004E1793" w:rsidP="004E1793">
      <w:pPr>
        <w:pStyle w:val="Appendixref"/>
        <w:rPr>
          <w:bCs/>
          <w:lang w:eastAsia="zh-CN"/>
        </w:rPr>
      </w:pPr>
      <w:r w:rsidRPr="006510A8">
        <w:rPr>
          <w:rFonts w:hAnsi="SimSun" w:hint="eastAsia"/>
          <w:lang w:eastAsia="zh-CN"/>
        </w:rPr>
        <w:t>第</w:t>
      </w:r>
      <w:r>
        <w:rPr>
          <w:lang w:eastAsia="zh-CN"/>
        </w:rPr>
        <w:t>1337</w:t>
      </w:r>
      <w:r w:rsidRPr="006510A8">
        <w:rPr>
          <w:rFonts w:hAnsi="SimSun"/>
          <w:lang w:eastAsia="zh-CN"/>
        </w:rPr>
        <w:t>号决议</w:t>
      </w:r>
      <w:r>
        <w:rPr>
          <w:lang w:eastAsia="zh-CN"/>
        </w:rPr>
        <w:tab/>
      </w:r>
      <w:r w:rsidRPr="00F77DE4">
        <w:rPr>
          <w:rFonts w:hint="eastAsia"/>
          <w:lang w:eastAsia="zh-CN"/>
        </w:rPr>
        <w:t>国际电信联盟</w:t>
      </w:r>
      <w:r w:rsidRPr="00F77DE4">
        <w:rPr>
          <w:rFonts w:hint="eastAsia"/>
          <w:lang w:eastAsia="zh-CN"/>
        </w:rPr>
        <w:t>2012-2013</w:t>
      </w:r>
      <w:r w:rsidRPr="00F77DE4">
        <w:rPr>
          <w:rFonts w:hint="eastAsia"/>
          <w:lang w:eastAsia="zh-CN"/>
        </w:rPr>
        <w:t>双年度预算</w:t>
      </w:r>
      <w:r w:rsidRPr="00EB5BE2">
        <w:rPr>
          <w:lang w:eastAsia="zh-CN"/>
        </w:rPr>
        <w:tab/>
      </w:r>
      <w:r>
        <w:rPr>
          <w:lang w:eastAsia="zh-CN"/>
        </w:rPr>
        <w:tab/>
      </w:r>
      <w:r>
        <w:rPr>
          <w:bCs/>
          <w:lang w:eastAsia="zh-CN"/>
        </w:rPr>
        <w:t>2015</w:t>
      </w:r>
      <w:r>
        <w:rPr>
          <w:rFonts w:hint="eastAsia"/>
          <w:bCs/>
          <w:lang w:eastAsia="zh-CN"/>
        </w:rPr>
        <w:t>年</w:t>
      </w:r>
    </w:p>
    <w:p w14:paraId="4827C1CD" w14:textId="77777777" w:rsidR="004E1793" w:rsidRPr="00EB5BE2" w:rsidRDefault="004E1793" w:rsidP="004E1793">
      <w:pPr>
        <w:pStyle w:val="Appendixref"/>
        <w:rPr>
          <w:bCs/>
          <w:lang w:eastAsia="zh-CN"/>
        </w:rPr>
      </w:pPr>
      <w:r w:rsidRPr="006510A8">
        <w:rPr>
          <w:rFonts w:hAnsi="SimSun" w:hint="eastAsia"/>
          <w:lang w:eastAsia="zh-CN"/>
        </w:rPr>
        <w:t>第</w:t>
      </w:r>
      <w:r>
        <w:rPr>
          <w:lang w:eastAsia="zh-CN"/>
        </w:rPr>
        <w:t>1338</w:t>
      </w:r>
      <w:r w:rsidRPr="006510A8">
        <w:rPr>
          <w:rFonts w:hAnsi="SimSun"/>
          <w:lang w:eastAsia="zh-CN"/>
        </w:rPr>
        <w:t>号决议</w:t>
      </w:r>
      <w:r>
        <w:rPr>
          <w:lang w:eastAsia="zh-CN"/>
        </w:rPr>
        <w:tab/>
      </w:r>
      <w:r w:rsidRPr="00F77DE4">
        <w:rPr>
          <w:rFonts w:hint="eastAsia"/>
          <w:lang w:eastAsia="zh-CN"/>
        </w:rPr>
        <w:t>信息通信技术发展基金（</w:t>
      </w:r>
      <w:r w:rsidRPr="00F77DE4">
        <w:rPr>
          <w:rFonts w:hint="eastAsia"/>
          <w:lang w:eastAsia="zh-CN"/>
        </w:rPr>
        <w:t>ICT- DF</w:t>
      </w:r>
      <w:r w:rsidRPr="00F77DE4">
        <w:rPr>
          <w:rFonts w:hint="eastAsia"/>
          <w:lang w:eastAsia="zh-CN"/>
        </w:rPr>
        <w:t>）</w:t>
      </w:r>
      <w:r w:rsidRPr="00EB5BE2">
        <w:rPr>
          <w:lang w:eastAsia="zh-CN"/>
        </w:rPr>
        <w:tab/>
      </w:r>
      <w:r>
        <w:rPr>
          <w:lang w:eastAsia="zh-CN"/>
        </w:rPr>
        <w:tab/>
      </w:r>
      <w:r w:rsidRPr="00EB5BE2">
        <w:rPr>
          <w:bCs/>
          <w:lang w:eastAsia="zh-CN"/>
        </w:rPr>
        <w:t>1.2</w:t>
      </w:r>
    </w:p>
    <w:p w14:paraId="4827C1CE" w14:textId="77777777" w:rsidR="004E1793" w:rsidRPr="00EB5BE2" w:rsidRDefault="004E1793" w:rsidP="00FB7D4E">
      <w:pPr>
        <w:pStyle w:val="Appendixref"/>
        <w:rPr>
          <w:bCs/>
          <w:lang w:eastAsia="zh-CN"/>
        </w:rPr>
      </w:pPr>
      <w:r w:rsidRPr="006510A8">
        <w:rPr>
          <w:rFonts w:hAnsi="SimSun" w:hint="eastAsia"/>
          <w:lang w:eastAsia="zh-CN"/>
        </w:rPr>
        <w:t>第</w:t>
      </w:r>
      <w:r>
        <w:rPr>
          <w:lang w:eastAsia="zh-CN"/>
        </w:rPr>
        <w:t>1339</w:t>
      </w:r>
      <w:r w:rsidRPr="006510A8">
        <w:rPr>
          <w:rFonts w:hAnsi="SimSun"/>
          <w:lang w:eastAsia="zh-CN"/>
        </w:rPr>
        <w:t>号决议</w:t>
      </w:r>
      <w:r>
        <w:rPr>
          <w:lang w:eastAsia="zh-CN"/>
        </w:rPr>
        <w:tab/>
      </w:r>
      <w:r w:rsidRPr="00F77DE4">
        <w:rPr>
          <w:rFonts w:hint="eastAsia"/>
          <w:lang w:eastAsia="zh-CN"/>
        </w:rPr>
        <w:t>摊付国际电联费用的会费份额</w:t>
      </w:r>
      <w:r w:rsidRPr="00EB5BE2">
        <w:rPr>
          <w:lang w:eastAsia="zh-CN"/>
        </w:rPr>
        <w:tab/>
      </w:r>
      <w:r>
        <w:rPr>
          <w:lang w:eastAsia="zh-CN"/>
        </w:rPr>
        <w:tab/>
      </w:r>
      <w:r w:rsidR="00FB7D4E">
        <w:rPr>
          <w:lang w:eastAsia="zh-CN"/>
        </w:rPr>
        <w:t>2016</w:t>
      </w:r>
      <w:r w:rsidR="00FB7D4E">
        <w:rPr>
          <w:rFonts w:hint="eastAsia"/>
          <w:lang w:eastAsia="zh-CN"/>
        </w:rPr>
        <w:t>年</w:t>
      </w:r>
    </w:p>
    <w:p w14:paraId="4827C1CF" w14:textId="77777777" w:rsidR="004E1793" w:rsidRPr="00EB5BE2" w:rsidRDefault="004E1793" w:rsidP="004E1793">
      <w:pPr>
        <w:pStyle w:val="Appendixref"/>
        <w:rPr>
          <w:bCs/>
          <w:lang w:eastAsia="zh-CN"/>
        </w:rPr>
      </w:pPr>
      <w:r w:rsidRPr="006510A8">
        <w:rPr>
          <w:rFonts w:hAnsi="SimSun" w:hint="eastAsia"/>
          <w:lang w:eastAsia="zh-CN"/>
        </w:rPr>
        <w:t>第</w:t>
      </w:r>
      <w:r>
        <w:rPr>
          <w:lang w:eastAsia="zh-CN"/>
        </w:rPr>
        <w:t>1340</w:t>
      </w:r>
      <w:r w:rsidRPr="006510A8">
        <w:rPr>
          <w:rFonts w:hAnsi="SimSun"/>
          <w:lang w:eastAsia="zh-CN"/>
        </w:rPr>
        <w:t>号决议</w:t>
      </w:r>
      <w:r>
        <w:rPr>
          <w:lang w:eastAsia="zh-CN"/>
        </w:rPr>
        <w:tab/>
      </w:r>
      <w:r w:rsidRPr="00F77DE4">
        <w:rPr>
          <w:rFonts w:hint="eastAsia"/>
          <w:lang w:eastAsia="zh-CN"/>
        </w:rPr>
        <w:t>国际电联</w:t>
      </w:r>
      <w:r w:rsidRPr="00F77DE4">
        <w:rPr>
          <w:rFonts w:hint="eastAsia"/>
          <w:lang w:eastAsia="zh-CN"/>
        </w:rPr>
        <w:t>2009</w:t>
      </w:r>
      <w:r w:rsidRPr="00F77DE4">
        <w:rPr>
          <w:rFonts w:hint="eastAsia"/>
          <w:lang w:eastAsia="zh-CN"/>
        </w:rPr>
        <w:t>年世界电信展的相关活动账目</w:t>
      </w:r>
      <w:r w:rsidRPr="00EB5BE2">
        <w:rPr>
          <w:lang w:eastAsia="zh-CN"/>
        </w:rPr>
        <w:tab/>
      </w:r>
      <w:r>
        <w:rPr>
          <w:lang w:eastAsia="zh-CN"/>
        </w:rPr>
        <w:tab/>
      </w:r>
      <w:r>
        <w:rPr>
          <w:rFonts w:hAnsi="SimSun" w:hint="eastAsia"/>
          <w:lang w:eastAsia="zh-CN"/>
        </w:rPr>
        <w:t>201</w:t>
      </w:r>
      <w:r>
        <w:rPr>
          <w:rFonts w:hAnsi="SimSun"/>
          <w:lang w:eastAsia="zh-CN"/>
        </w:rPr>
        <w:t>2</w:t>
      </w:r>
      <w:r>
        <w:rPr>
          <w:rFonts w:hAnsi="SimSun" w:hint="eastAsia"/>
          <w:lang w:eastAsia="zh-CN"/>
        </w:rPr>
        <w:t>年</w:t>
      </w:r>
    </w:p>
    <w:p w14:paraId="4827C1D0" w14:textId="77777777" w:rsidR="004E1793" w:rsidRPr="00EB5BE2" w:rsidRDefault="004E1793" w:rsidP="004E1793">
      <w:pPr>
        <w:pStyle w:val="Appendixref"/>
        <w:rPr>
          <w:bCs/>
          <w:lang w:eastAsia="zh-CN"/>
        </w:rPr>
      </w:pPr>
      <w:r w:rsidRPr="006510A8">
        <w:rPr>
          <w:rFonts w:hAnsi="SimSun" w:hint="eastAsia"/>
          <w:lang w:eastAsia="zh-CN"/>
        </w:rPr>
        <w:t>第</w:t>
      </w:r>
      <w:r>
        <w:rPr>
          <w:lang w:eastAsia="zh-CN"/>
        </w:rPr>
        <w:t>1341</w:t>
      </w:r>
      <w:r w:rsidRPr="006510A8">
        <w:rPr>
          <w:rFonts w:hAnsi="SimSun"/>
          <w:lang w:eastAsia="zh-CN"/>
        </w:rPr>
        <w:t>号决议</w:t>
      </w:r>
      <w:r>
        <w:rPr>
          <w:lang w:eastAsia="zh-CN"/>
        </w:rPr>
        <w:tab/>
      </w:r>
      <w:r w:rsidRPr="00F77DE4">
        <w:rPr>
          <w:rFonts w:hint="eastAsia"/>
          <w:lang w:eastAsia="zh-CN"/>
        </w:rPr>
        <w:t>2010</w:t>
      </w:r>
      <w:r w:rsidRPr="00F77DE4">
        <w:rPr>
          <w:rFonts w:hint="eastAsia"/>
          <w:lang w:eastAsia="zh-CN"/>
        </w:rPr>
        <w:t>财务年度的财务工作报告</w:t>
      </w:r>
      <w:r w:rsidRPr="00EB5BE2">
        <w:rPr>
          <w:lang w:eastAsia="zh-CN"/>
        </w:rPr>
        <w:tab/>
      </w:r>
      <w:r>
        <w:rPr>
          <w:lang w:eastAsia="zh-CN"/>
        </w:rPr>
        <w:tab/>
      </w:r>
      <w:r>
        <w:rPr>
          <w:bCs/>
          <w:lang w:eastAsia="zh-CN"/>
        </w:rPr>
        <w:t>2015</w:t>
      </w:r>
      <w:r>
        <w:rPr>
          <w:rFonts w:hint="eastAsia"/>
          <w:bCs/>
          <w:lang w:eastAsia="zh-CN"/>
        </w:rPr>
        <w:t>年</w:t>
      </w:r>
    </w:p>
    <w:p w14:paraId="4827C1D1" w14:textId="77777777" w:rsidR="004E1793" w:rsidRPr="00EB5BE2" w:rsidRDefault="004E1793" w:rsidP="004E1793">
      <w:pPr>
        <w:pStyle w:val="Appendixref"/>
        <w:rPr>
          <w:bCs/>
          <w:lang w:eastAsia="zh-CN"/>
        </w:rPr>
      </w:pPr>
      <w:r w:rsidRPr="006510A8">
        <w:rPr>
          <w:rFonts w:hAnsi="SimSun" w:hint="eastAsia"/>
          <w:lang w:eastAsia="zh-CN"/>
        </w:rPr>
        <w:t>第</w:t>
      </w:r>
      <w:r>
        <w:rPr>
          <w:lang w:eastAsia="zh-CN"/>
        </w:rPr>
        <w:t>1342</w:t>
      </w:r>
      <w:r w:rsidRPr="006510A8">
        <w:rPr>
          <w:rFonts w:hAnsi="SimSun"/>
          <w:lang w:eastAsia="zh-CN"/>
        </w:rPr>
        <w:t>号决议</w:t>
      </w:r>
      <w:r>
        <w:rPr>
          <w:lang w:eastAsia="zh-CN"/>
        </w:rPr>
        <w:tab/>
      </w:r>
      <w:r w:rsidRPr="00F77DE4">
        <w:rPr>
          <w:rFonts w:hint="eastAsia"/>
          <w:lang w:eastAsia="zh-CN"/>
        </w:rPr>
        <w:t>国际电联选任官员的服务条件</w:t>
      </w:r>
      <w:r w:rsidRPr="00EB5BE2">
        <w:rPr>
          <w:lang w:eastAsia="zh-CN"/>
        </w:rPr>
        <w:tab/>
      </w:r>
      <w:r>
        <w:rPr>
          <w:lang w:eastAsia="zh-CN"/>
        </w:rPr>
        <w:tab/>
      </w:r>
      <w:r>
        <w:rPr>
          <w:rFonts w:hAnsi="SimSun" w:hint="eastAsia"/>
          <w:lang w:eastAsia="zh-CN"/>
        </w:rPr>
        <w:t>201</w:t>
      </w:r>
      <w:r>
        <w:rPr>
          <w:rFonts w:hAnsi="SimSun"/>
          <w:lang w:eastAsia="zh-CN"/>
        </w:rPr>
        <w:t>2</w:t>
      </w:r>
      <w:r>
        <w:rPr>
          <w:rFonts w:hAnsi="SimSun" w:hint="eastAsia"/>
          <w:lang w:eastAsia="zh-CN"/>
        </w:rPr>
        <w:t>年</w:t>
      </w:r>
    </w:p>
    <w:p w14:paraId="4827C1D2" w14:textId="77777777" w:rsidR="00091112" w:rsidRDefault="00091112">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4827C1D3" w14:textId="77777777" w:rsidR="003F6EBF" w:rsidRDefault="003F6EBF" w:rsidP="003E11A1">
      <w:pPr>
        <w:pStyle w:val="Reftitle"/>
        <w:rPr>
          <w:lang w:eastAsia="zh-CN"/>
        </w:rPr>
      </w:pPr>
      <w:r w:rsidRPr="00022E00">
        <w:rPr>
          <w:lang w:eastAsia="zh-CN"/>
        </w:rPr>
        <w:lastRenderedPageBreak/>
        <w:t>20</w:t>
      </w:r>
      <w:r>
        <w:rPr>
          <w:lang w:eastAsia="zh-CN"/>
        </w:rPr>
        <w:t>12</w:t>
      </w:r>
      <w:r w:rsidRPr="006D0EE6">
        <w:rPr>
          <w:rFonts w:hint="eastAsia"/>
          <w:lang w:eastAsia="zh-CN"/>
        </w:rPr>
        <w:t>年会议（</w:t>
      </w:r>
      <w:r>
        <w:rPr>
          <w:rFonts w:hint="eastAsia"/>
          <w:lang w:eastAsia="zh-CN"/>
        </w:rPr>
        <w:t>201</w:t>
      </w:r>
      <w:r>
        <w:rPr>
          <w:lang w:eastAsia="zh-CN"/>
        </w:rPr>
        <w:t>2</w:t>
      </w:r>
      <w:r w:rsidRPr="006D0EE6">
        <w:rPr>
          <w:rFonts w:hint="eastAsia"/>
          <w:lang w:eastAsia="zh-CN"/>
        </w:rPr>
        <w:t>年</w:t>
      </w:r>
      <w:r>
        <w:rPr>
          <w:lang w:eastAsia="zh-CN"/>
        </w:rPr>
        <w:t>7</w:t>
      </w:r>
      <w:r w:rsidRPr="006D0EE6">
        <w:rPr>
          <w:rFonts w:hint="eastAsia"/>
          <w:lang w:eastAsia="zh-CN"/>
        </w:rPr>
        <w:t>月</w:t>
      </w:r>
      <w:r>
        <w:rPr>
          <w:lang w:eastAsia="zh-CN"/>
        </w:rPr>
        <w:t>4</w:t>
      </w:r>
      <w:r w:rsidRPr="006D0EE6">
        <w:rPr>
          <w:rFonts w:hint="eastAsia"/>
          <w:lang w:eastAsia="zh-CN"/>
        </w:rPr>
        <w:t>-</w:t>
      </w:r>
      <w:r>
        <w:rPr>
          <w:lang w:eastAsia="zh-CN"/>
        </w:rPr>
        <w:t>13</w:t>
      </w:r>
      <w:r w:rsidRPr="006D0EE6">
        <w:rPr>
          <w:rFonts w:hint="eastAsia"/>
          <w:lang w:eastAsia="zh-CN"/>
        </w:rPr>
        <w:t>日）</w:t>
      </w:r>
    </w:p>
    <w:p w14:paraId="4827C1D4" w14:textId="77777777" w:rsidR="004E1793" w:rsidRDefault="004E1793" w:rsidP="00FB7D4E">
      <w:pPr>
        <w:pStyle w:val="Appendixref"/>
        <w:rPr>
          <w:lang w:eastAsia="zh-CN"/>
        </w:rPr>
      </w:pPr>
      <w:r w:rsidRPr="006510A8">
        <w:rPr>
          <w:rFonts w:hAnsi="SimSun" w:hint="eastAsia"/>
          <w:lang w:eastAsia="zh-CN"/>
        </w:rPr>
        <w:t>第</w:t>
      </w:r>
      <w:r>
        <w:rPr>
          <w:lang w:eastAsia="zh-CN"/>
        </w:rPr>
        <w:t>1343</w:t>
      </w:r>
      <w:r w:rsidRPr="006510A8">
        <w:rPr>
          <w:rFonts w:hAnsi="SimSun"/>
          <w:lang w:eastAsia="zh-CN"/>
        </w:rPr>
        <w:t>号决议</w:t>
      </w:r>
      <w:r>
        <w:rPr>
          <w:b/>
          <w:lang w:eastAsia="zh-CN"/>
        </w:rPr>
        <w:tab/>
      </w:r>
      <w:r w:rsidRPr="001658C9">
        <w:rPr>
          <w:rFonts w:hint="eastAsia"/>
          <w:lang w:eastAsia="zh-CN"/>
        </w:rPr>
        <w:t>世界无线电通信大会（</w:t>
      </w:r>
      <w:r w:rsidRPr="001658C9">
        <w:rPr>
          <w:rFonts w:hint="eastAsia"/>
          <w:lang w:eastAsia="zh-CN"/>
        </w:rPr>
        <w:t>WRC-15</w:t>
      </w:r>
      <w:r w:rsidRPr="001658C9">
        <w:rPr>
          <w:rFonts w:hint="eastAsia"/>
          <w:lang w:eastAsia="zh-CN"/>
        </w:rPr>
        <w:t>）的日期、地点和议程</w:t>
      </w:r>
      <w:r w:rsidRPr="001658C9">
        <w:rPr>
          <w:lang w:eastAsia="zh-CN"/>
        </w:rPr>
        <w:tab/>
      </w:r>
      <w:r>
        <w:rPr>
          <w:lang w:eastAsia="zh-CN"/>
        </w:rPr>
        <w:tab/>
      </w:r>
      <w:r w:rsidR="00FB7D4E">
        <w:rPr>
          <w:lang w:eastAsia="zh-CN"/>
        </w:rPr>
        <w:t>2016</w:t>
      </w:r>
      <w:r w:rsidR="00FB7D4E">
        <w:rPr>
          <w:rFonts w:hint="eastAsia"/>
          <w:lang w:eastAsia="zh-CN"/>
        </w:rPr>
        <w:t>年</w:t>
      </w:r>
    </w:p>
    <w:p w14:paraId="4827C1D5" w14:textId="77777777" w:rsidR="004E1793" w:rsidRDefault="004E1793" w:rsidP="004E1793">
      <w:pPr>
        <w:pStyle w:val="Appendixref"/>
        <w:rPr>
          <w:lang w:eastAsia="zh-CN"/>
        </w:rPr>
      </w:pPr>
      <w:r w:rsidRPr="006510A8">
        <w:rPr>
          <w:rFonts w:hAnsi="SimSun" w:hint="eastAsia"/>
          <w:lang w:eastAsia="zh-CN"/>
        </w:rPr>
        <w:t>第</w:t>
      </w:r>
      <w:r>
        <w:rPr>
          <w:lang w:eastAsia="zh-CN"/>
        </w:rPr>
        <w:t>1344</w:t>
      </w:r>
      <w:r w:rsidRPr="006510A8">
        <w:rPr>
          <w:rFonts w:hAnsi="SimSun"/>
          <w:lang w:eastAsia="zh-CN"/>
        </w:rPr>
        <w:t>号决议</w:t>
      </w:r>
      <w:r>
        <w:rPr>
          <w:b/>
          <w:lang w:eastAsia="zh-CN"/>
        </w:rPr>
        <w:tab/>
      </w:r>
      <w:r w:rsidRPr="00136524">
        <w:rPr>
          <w:rFonts w:hint="eastAsia"/>
          <w:lang w:eastAsia="zh-CN"/>
        </w:rPr>
        <w:t>关于理事会国际互联网相关公共政策问题工作组（</w:t>
      </w:r>
      <w:r w:rsidRPr="00136524">
        <w:rPr>
          <w:lang w:eastAsia="zh-CN"/>
        </w:rPr>
        <w:t>CWG-</w:t>
      </w:r>
      <w:r w:rsidRPr="006D1CC7">
        <w:rPr>
          <w:lang w:eastAsia="zh-CN"/>
        </w:rPr>
        <w:t>Internet</w:t>
      </w:r>
      <w:r w:rsidRPr="00136524">
        <w:rPr>
          <w:rFonts w:hint="eastAsia"/>
          <w:lang w:eastAsia="zh-CN"/>
        </w:rPr>
        <w:t>）公开磋商方式的特设组（</w:t>
      </w:r>
      <w:r w:rsidRPr="00136524">
        <w:rPr>
          <w:rFonts w:hint="eastAsia"/>
          <w:lang w:eastAsia="zh-CN"/>
        </w:rPr>
        <w:t>AHG</w:t>
      </w:r>
      <w:r w:rsidRPr="00136524">
        <w:rPr>
          <w:rFonts w:hint="eastAsia"/>
          <w:lang w:eastAsia="zh-CN"/>
        </w:rPr>
        <w:t>）报告</w:t>
      </w:r>
      <w:r>
        <w:rPr>
          <w:lang w:eastAsia="zh-CN"/>
        </w:rPr>
        <w:tab/>
      </w:r>
      <w:r>
        <w:rPr>
          <w:lang w:eastAsia="zh-CN"/>
        </w:rPr>
        <w:tab/>
      </w:r>
      <w:r w:rsidR="000F51C3">
        <w:rPr>
          <w:rFonts w:hint="eastAsia"/>
          <w:lang w:eastAsia="zh-CN"/>
        </w:rPr>
        <w:t>2019</w:t>
      </w:r>
      <w:r w:rsidR="000F51C3">
        <w:rPr>
          <w:rFonts w:hint="eastAsia"/>
          <w:lang w:eastAsia="zh-CN"/>
        </w:rPr>
        <w:t>年</w:t>
      </w:r>
    </w:p>
    <w:p w14:paraId="4827C1D6" w14:textId="77777777" w:rsidR="004E1793" w:rsidRPr="004E1793" w:rsidRDefault="004E1793" w:rsidP="004E1793">
      <w:pPr>
        <w:pStyle w:val="Appendixref"/>
        <w:rPr>
          <w:lang w:eastAsia="zh-CN"/>
        </w:rPr>
      </w:pPr>
      <w:r w:rsidRPr="006510A8">
        <w:rPr>
          <w:rFonts w:hAnsi="SimSun" w:hint="eastAsia"/>
          <w:lang w:eastAsia="zh-CN"/>
        </w:rPr>
        <w:t>第</w:t>
      </w:r>
      <w:r>
        <w:rPr>
          <w:lang w:eastAsia="zh-CN"/>
        </w:rPr>
        <w:t>1345</w:t>
      </w:r>
      <w:r w:rsidRPr="006510A8">
        <w:rPr>
          <w:rFonts w:hAnsi="SimSun"/>
          <w:lang w:eastAsia="zh-CN"/>
        </w:rPr>
        <w:t>号决议</w:t>
      </w:r>
      <w:r>
        <w:rPr>
          <w:b/>
          <w:lang w:eastAsia="zh-CN"/>
        </w:rPr>
        <w:tab/>
      </w:r>
      <w:r>
        <w:rPr>
          <w:rFonts w:hint="eastAsia"/>
          <w:lang w:eastAsia="zh-CN"/>
        </w:rPr>
        <w:t>无线电通信部门</w:t>
      </w:r>
      <w:r>
        <w:rPr>
          <w:rFonts w:cs="Calibri"/>
          <w:lang w:eastAsia="zh-CN"/>
        </w:rPr>
        <w:t>2013-2016</w:t>
      </w:r>
      <w:r w:rsidRPr="004E1793">
        <w:rPr>
          <w:rFonts w:hint="eastAsia"/>
          <w:lang w:eastAsia="zh-CN"/>
        </w:rPr>
        <w:t>年四年期滚动式运作规划</w:t>
      </w:r>
      <w:r w:rsidRPr="004E1793">
        <w:rPr>
          <w:lang w:eastAsia="zh-CN"/>
        </w:rPr>
        <w:tab/>
      </w:r>
      <w:r w:rsidRPr="004E1793">
        <w:rPr>
          <w:lang w:eastAsia="zh-CN"/>
        </w:rPr>
        <w:tab/>
      </w:r>
      <w:r w:rsidRPr="004E1793">
        <w:rPr>
          <w:lang w:val="en-US" w:eastAsia="zh-CN"/>
        </w:rPr>
        <w:t>2014</w:t>
      </w:r>
      <w:r w:rsidRPr="004E1793">
        <w:rPr>
          <w:rFonts w:hint="eastAsia"/>
          <w:lang w:val="en-US" w:eastAsia="zh-CN"/>
        </w:rPr>
        <w:t>年</w:t>
      </w:r>
    </w:p>
    <w:p w14:paraId="4827C1D7" w14:textId="77777777" w:rsidR="004E1793" w:rsidRPr="004E1793" w:rsidRDefault="004E1793" w:rsidP="004E1793">
      <w:pPr>
        <w:pStyle w:val="Appendixref"/>
        <w:rPr>
          <w:lang w:eastAsia="zh-CN"/>
        </w:rPr>
      </w:pPr>
      <w:r w:rsidRPr="004E1793">
        <w:rPr>
          <w:rFonts w:hAnsi="SimSun" w:hint="eastAsia"/>
          <w:lang w:eastAsia="zh-CN"/>
        </w:rPr>
        <w:t>第</w:t>
      </w:r>
      <w:r w:rsidRPr="004E1793">
        <w:rPr>
          <w:lang w:eastAsia="zh-CN"/>
        </w:rPr>
        <w:t>1346</w:t>
      </w:r>
      <w:r w:rsidRPr="004E1793">
        <w:rPr>
          <w:rFonts w:hAnsi="SimSun"/>
          <w:lang w:eastAsia="zh-CN"/>
        </w:rPr>
        <w:t>号决议</w:t>
      </w:r>
      <w:r w:rsidRPr="004E1793">
        <w:rPr>
          <w:lang w:eastAsia="zh-CN"/>
        </w:rPr>
        <w:tab/>
      </w:r>
      <w:r w:rsidRPr="004E1793">
        <w:rPr>
          <w:rFonts w:hint="eastAsia"/>
          <w:lang w:eastAsia="zh-CN"/>
        </w:rPr>
        <w:t>电信标准化部门</w:t>
      </w:r>
      <w:r w:rsidRPr="004E1793">
        <w:rPr>
          <w:szCs w:val="24"/>
          <w:lang w:eastAsia="zh-CN"/>
        </w:rPr>
        <w:t>2013-2016</w:t>
      </w:r>
      <w:r w:rsidRPr="004E1793">
        <w:rPr>
          <w:rFonts w:hint="eastAsia"/>
          <w:lang w:eastAsia="zh-CN"/>
        </w:rPr>
        <w:t>年四年期滚动式运作规划</w:t>
      </w:r>
      <w:r w:rsidRPr="004E1793">
        <w:rPr>
          <w:lang w:eastAsia="zh-CN"/>
        </w:rPr>
        <w:tab/>
      </w:r>
      <w:r w:rsidRPr="004E1793">
        <w:rPr>
          <w:lang w:eastAsia="zh-CN"/>
        </w:rPr>
        <w:tab/>
      </w:r>
      <w:r w:rsidRPr="004E1793">
        <w:rPr>
          <w:lang w:val="en-US" w:eastAsia="zh-CN"/>
        </w:rPr>
        <w:t>2014</w:t>
      </w:r>
      <w:r w:rsidRPr="004E1793">
        <w:rPr>
          <w:rFonts w:hint="eastAsia"/>
          <w:lang w:val="en-US" w:eastAsia="zh-CN"/>
        </w:rPr>
        <w:t>年</w:t>
      </w:r>
    </w:p>
    <w:p w14:paraId="4827C1D8" w14:textId="77777777" w:rsidR="004E1793" w:rsidRPr="004E1793" w:rsidRDefault="004E1793" w:rsidP="004E1793">
      <w:pPr>
        <w:pStyle w:val="Appendixref"/>
        <w:rPr>
          <w:lang w:eastAsia="zh-CN"/>
        </w:rPr>
      </w:pPr>
      <w:r w:rsidRPr="004E1793">
        <w:rPr>
          <w:rFonts w:hAnsi="SimSun" w:hint="eastAsia"/>
          <w:lang w:eastAsia="zh-CN"/>
        </w:rPr>
        <w:t>第</w:t>
      </w:r>
      <w:r w:rsidRPr="004E1793">
        <w:rPr>
          <w:lang w:eastAsia="zh-CN"/>
        </w:rPr>
        <w:t>1347</w:t>
      </w:r>
      <w:r w:rsidRPr="004E1793">
        <w:rPr>
          <w:rFonts w:hAnsi="SimSun"/>
          <w:lang w:eastAsia="zh-CN"/>
        </w:rPr>
        <w:t>号决议</w:t>
      </w:r>
      <w:r w:rsidRPr="004E1793">
        <w:rPr>
          <w:lang w:eastAsia="zh-CN"/>
        </w:rPr>
        <w:tab/>
      </w:r>
      <w:r w:rsidRPr="004E1793">
        <w:rPr>
          <w:rFonts w:hint="eastAsia"/>
          <w:lang w:eastAsia="zh-CN"/>
        </w:rPr>
        <w:t>电信发展部门</w:t>
      </w:r>
      <w:r w:rsidRPr="004E1793">
        <w:rPr>
          <w:rFonts w:cs="Calibri"/>
          <w:lang w:eastAsia="zh-CN"/>
        </w:rPr>
        <w:t>2013-2016</w:t>
      </w:r>
      <w:r w:rsidRPr="004E1793">
        <w:rPr>
          <w:rFonts w:hint="eastAsia"/>
          <w:lang w:eastAsia="zh-CN"/>
        </w:rPr>
        <w:t>年四年期滚动式运作规划</w:t>
      </w:r>
      <w:r w:rsidRPr="004E1793">
        <w:rPr>
          <w:lang w:eastAsia="zh-CN"/>
        </w:rPr>
        <w:tab/>
      </w:r>
      <w:r w:rsidRPr="004E1793">
        <w:rPr>
          <w:lang w:eastAsia="zh-CN"/>
        </w:rPr>
        <w:tab/>
      </w:r>
      <w:r w:rsidRPr="004E1793">
        <w:rPr>
          <w:lang w:val="en-US" w:eastAsia="zh-CN"/>
        </w:rPr>
        <w:t>2014</w:t>
      </w:r>
      <w:r w:rsidRPr="004E1793">
        <w:rPr>
          <w:rFonts w:hint="eastAsia"/>
          <w:lang w:val="en-US" w:eastAsia="zh-CN"/>
        </w:rPr>
        <w:t>年</w:t>
      </w:r>
    </w:p>
    <w:p w14:paraId="4827C1D9" w14:textId="77777777" w:rsidR="004E1793" w:rsidRPr="004E1793" w:rsidRDefault="004E1793" w:rsidP="004E1793">
      <w:pPr>
        <w:pStyle w:val="Appendixref"/>
        <w:rPr>
          <w:lang w:eastAsia="zh-CN"/>
        </w:rPr>
      </w:pPr>
      <w:r w:rsidRPr="004E1793">
        <w:rPr>
          <w:rFonts w:hAnsi="SimSun" w:hint="eastAsia"/>
          <w:lang w:eastAsia="zh-CN"/>
        </w:rPr>
        <w:t>第</w:t>
      </w:r>
      <w:r w:rsidRPr="004E1793">
        <w:rPr>
          <w:lang w:eastAsia="zh-CN"/>
        </w:rPr>
        <w:t>1348</w:t>
      </w:r>
      <w:r w:rsidRPr="004E1793">
        <w:rPr>
          <w:rFonts w:hAnsi="SimSun"/>
          <w:lang w:eastAsia="zh-CN"/>
        </w:rPr>
        <w:t>号决议</w:t>
      </w:r>
      <w:r w:rsidRPr="004E1793">
        <w:rPr>
          <w:lang w:eastAsia="zh-CN"/>
        </w:rPr>
        <w:tab/>
      </w:r>
      <w:r w:rsidRPr="004E1793">
        <w:rPr>
          <w:rFonts w:hint="eastAsia"/>
          <w:lang w:eastAsia="zh-CN"/>
        </w:rPr>
        <w:t>总秘书处</w:t>
      </w:r>
      <w:r w:rsidRPr="004E1793">
        <w:rPr>
          <w:lang w:eastAsia="zh-CN"/>
        </w:rPr>
        <w:t>2013-2016</w:t>
      </w:r>
      <w:r w:rsidRPr="004E1793">
        <w:rPr>
          <w:rFonts w:hint="eastAsia"/>
          <w:lang w:eastAsia="zh-CN"/>
        </w:rPr>
        <w:t>年四年期滚动式运作规划</w:t>
      </w:r>
      <w:r w:rsidRPr="004E1793">
        <w:rPr>
          <w:lang w:eastAsia="zh-CN"/>
        </w:rPr>
        <w:tab/>
      </w:r>
      <w:r w:rsidRPr="004E1793">
        <w:rPr>
          <w:lang w:eastAsia="zh-CN"/>
        </w:rPr>
        <w:tab/>
      </w:r>
      <w:r w:rsidRPr="004E1793">
        <w:rPr>
          <w:lang w:val="en-US" w:eastAsia="zh-CN"/>
        </w:rPr>
        <w:t>2014</w:t>
      </w:r>
      <w:r w:rsidRPr="004E1793">
        <w:rPr>
          <w:rFonts w:hint="eastAsia"/>
          <w:lang w:val="en-US" w:eastAsia="zh-CN"/>
        </w:rPr>
        <w:t>年</w:t>
      </w:r>
    </w:p>
    <w:p w14:paraId="4827C1DA" w14:textId="77777777" w:rsidR="004E1793" w:rsidRPr="004E1793" w:rsidRDefault="004E1793" w:rsidP="004E1793">
      <w:pPr>
        <w:pStyle w:val="Appendixref"/>
        <w:rPr>
          <w:lang w:eastAsia="zh-CN"/>
        </w:rPr>
      </w:pPr>
      <w:r w:rsidRPr="004E1793">
        <w:rPr>
          <w:rFonts w:hAnsi="SimSun" w:hint="eastAsia"/>
          <w:lang w:eastAsia="zh-CN"/>
        </w:rPr>
        <w:t>第</w:t>
      </w:r>
      <w:r w:rsidRPr="004E1793">
        <w:rPr>
          <w:lang w:eastAsia="zh-CN"/>
        </w:rPr>
        <w:t>1349</w:t>
      </w:r>
      <w:r w:rsidRPr="004E1793">
        <w:rPr>
          <w:rFonts w:hAnsi="SimSun"/>
          <w:lang w:eastAsia="zh-CN"/>
        </w:rPr>
        <w:t>号决议</w:t>
      </w:r>
      <w:r w:rsidRPr="004E1793">
        <w:rPr>
          <w:lang w:eastAsia="zh-CN"/>
        </w:rPr>
        <w:tab/>
      </w:r>
      <w:r w:rsidRPr="004E1793">
        <w:rPr>
          <w:rFonts w:hint="eastAsia"/>
          <w:lang w:eastAsia="zh-CN"/>
        </w:rPr>
        <w:t>落实国际电联</w:t>
      </w:r>
      <w:r w:rsidRPr="004E1793">
        <w:rPr>
          <w:lang w:eastAsia="zh-CN"/>
        </w:rPr>
        <w:t>2012-2013</w:t>
      </w:r>
      <w:r w:rsidRPr="004E1793">
        <w:rPr>
          <w:rFonts w:hint="eastAsia"/>
          <w:lang w:eastAsia="zh-CN"/>
        </w:rPr>
        <w:t>双年度预算的灵活性</w:t>
      </w:r>
      <w:r w:rsidRPr="004E1793">
        <w:rPr>
          <w:lang w:eastAsia="zh-CN"/>
        </w:rPr>
        <w:tab/>
      </w:r>
      <w:r w:rsidRPr="004E1793">
        <w:rPr>
          <w:lang w:eastAsia="zh-CN"/>
        </w:rPr>
        <w:tab/>
        <w:t>2015</w:t>
      </w:r>
      <w:r w:rsidRPr="004E1793">
        <w:rPr>
          <w:rFonts w:hint="eastAsia"/>
          <w:lang w:eastAsia="zh-CN"/>
        </w:rPr>
        <w:t>年</w:t>
      </w:r>
    </w:p>
    <w:p w14:paraId="4827C1DB" w14:textId="77777777" w:rsidR="004E1793" w:rsidRPr="004E1793" w:rsidRDefault="004E1793" w:rsidP="004E1793">
      <w:pPr>
        <w:pStyle w:val="Appendixref"/>
        <w:rPr>
          <w:lang w:eastAsia="zh-CN"/>
        </w:rPr>
      </w:pPr>
      <w:r w:rsidRPr="004E1793">
        <w:rPr>
          <w:rFonts w:hAnsi="SimSun" w:hint="eastAsia"/>
          <w:lang w:eastAsia="zh-CN"/>
        </w:rPr>
        <w:t>第</w:t>
      </w:r>
      <w:r w:rsidRPr="004E1793">
        <w:rPr>
          <w:lang w:eastAsia="zh-CN"/>
        </w:rPr>
        <w:t>1350</w:t>
      </w:r>
      <w:r w:rsidRPr="004E1793">
        <w:rPr>
          <w:rFonts w:hAnsi="SimSun"/>
          <w:lang w:eastAsia="zh-CN"/>
        </w:rPr>
        <w:t>号决议</w:t>
      </w:r>
      <w:r w:rsidRPr="004E1793">
        <w:rPr>
          <w:lang w:eastAsia="zh-CN"/>
        </w:rPr>
        <w:tab/>
        <w:t>2011</w:t>
      </w:r>
      <w:r w:rsidRPr="004E1793">
        <w:rPr>
          <w:rFonts w:hint="eastAsia"/>
          <w:lang w:eastAsia="zh-CN"/>
        </w:rPr>
        <w:t>财务年度的财务工作报告</w:t>
      </w:r>
      <w:r w:rsidRPr="004E1793">
        <w:rPr>
          <w:lang w:eastAsia="zh-CN"/>
        </w:rPr>
        <w:tab/>
      </w:r>
      <w:r w:rsidRPr="004E1793">
        <w:rPr>
          <w:lang w:eastAsia="zh-CN"/>
        </w:rPr>
        <w:tab/>
        <w:t>2015</w:t>
      </w:r>
      <w:r w:rsidRPr="004E1793">
        <w:rPr>
          <w:rFonts w:hint="eastAsia"/>
          <w:lang w:eastAsia="zh-CN"/>
        </w:rPr>
        <w:t>年</w:t>
      </w:r>
    </w:p>
    <w:p w14:paraId="4827C1DC" w14:textId="77777777" w:rsidR="004E1793" w:rsidRPr="004E1793" w:rsidRDefault="004E1793" w:rsidP="004E1793">
      <w:pPr>
        <w:pStyle w:val="Appendixref"/>
        <w:rPr>
          <w:lang w:eastAsia="zh-CN"/>
        </w:rPr>
      </w:pPr>
      <w:r w:rsidRPr="004E1793">
        <w:rPr>
          <w:rFonts w:hAnsi="SimSun" w:hint="eastAsia"/>
          <w:lang w:eastAsia="zh-CN"/>
        </w:rPr>
        <w:t>第</w:t>
      </w:r>
      <w:r w:rsidRPr="004E1793">
        <w:rPr>
          <w:lang w:eastAsia="zh-CN"/>
        </w:rPr>
        <w:t>1351</w:t>
      </w:r>
      <w:r w:rsidRPr="004E1793">
        <w:rPr>
          <w:rFonts w:hAnsi="SimSun"/>
          <w:lang w:eastAsia="zh-CN"/>
        </w:rPr>
        <w:t>号决议</w:t>
      </w:r>
      <w:r w:rsidRPr="004E1793">
        <w:rPr>
          <w:lang w:eastAsia="zh-CN"/>
        </w:rPr>
        <w:tab/>
      </w:r>
      <w:r w:rsidRPr="004E1793">
        <w:rPr>
          <w:rFonts w:hint="eastAsia"/>
          <w:lang w:eastAsia="zh-CN"/>
        </w:rPr>
        <w:t>国际电联</w:t>
      </w:r>
      <w:r w:rsidRPr="004E1793">
        <w:rPr>
          <w:lang w:eastAsia="zh-CN"/>
        </w:rPr>
        <w:t>2011</w:t>
      </w:r>
      <w:r w:rsidRPr="004E1793">
        <w:rPr>
          <w:rFonts w:hint="eastAsia"/>
          <w:lang w:eastAsia="zh-CN"/>
        </w:rPr>
        <w:t>年世界电信展相关活动账目</w:t>
      </w:r>
      <w:r w:rsidRPr="004E1793">
        <w:rPr>
          <w:lang w:eastAsia="zh-CN"/>
        </w:rPr>
        <w:tab/>
      </w:r>
      <w:r w:rsidRPr="004E1793">
        <w:rPr>
          <w:lang w:eastAsia="zh-CN"/>
        </w:rPr>
        <w:tab/>
        <w:t>2015</w:t>
      </w:r>
      <w:r w:rsidRPr="004E1793">
        <w:rPr>
          <w:rFonts w:hint="eastAsia"/>
          <w:lang w:eastAsia="zh-CN"/>
        </w:rPr>
        <w:t>年</w:t>
      </w:r>
    </w:p>
    <w:p w14:paraId="4827C1DD" w14:textId="77777777" w:rsidR="004E1793" w:rsidRPr="004E1793" w:rsidRDefault="004E1793" w:rsidP="004E1793">
      <w:pPr>
        <w:pStyle w:val="Appendixref"/>
        <w:rPr>
          <w:lang w:eastAsia="zh-CN"/>
        </w:rPr>
      </w:pPr>
      <w:r w:rsidRPr="004E1793">
        <w:rPr>
          <w:rFonts w:hAnsi="SimSun" w:hint="eastAsia"/>
          <w:lang w:eastAsia="zh-CN"/>
        </w:rPr>
        <w:t>第</w:t>
      </w:r>
      <w:r w:rsidRPr="004E1793">
        <w:rPr>
          <w:lang w:eastAsia="zh-CN"/>
        </w:rPr>
        <w:t>1352</w:t>
      </w:r>
      <w:r w:rsidRPr="004E1793">
        <w:rPr>
          <w:rFonts w:hAnsi="SimSun"/>
          <w:lang w:eastAsia="zh-CN"/>
        </w:rPr>
        <w:t>号决议</w:t>
      </w:r>
      <w:r w:rsidRPr="004E1793">
        <w:rPr>
          <w:lang w:eastAsia="zh-CN"/>
        </w:rPr>
        <w:tab/>
      </w:r>
      <w:r w:rsidRPr="004E1793">
        <w:rPr>
          <w:rFonts w:hint="eastAsia"/>
          <w:lang w:eastAsia="zh-CN"/>
        </w:rPr>
        <w:t>国际电联选任官员的服务条件</w:t>
      </w:r>
      <w:r w:rsidRPr="004E1793">
        <w:rPr>
          <w:lang w:eastAsia="zh-CN"/>
        </w:rPr>
        <w:tab/>
      </w:r>
      <w:r w:rsidRPr="004E1793">
        <w:rPr>
          <w:lang w:eastAsia="zh-CN"/>
        </w:rPr>
        <w:tab/>
        <w:t>2015</w:t>
      </w:r>
      <w:r w:rsidRPr="004E1793">
        <w:rPr>
          <w:rFonts w:hint="eastAsia"/>
          <w:lang w:eastAsia="zh-CN"/>
        </w:rPr>
        <w:t>年</w:t>
      </w:r>
    </w:p>
    <w:p w14:paraId="4827C1DE" w14:textId="77777777" w:rsidR="004E1793" w:rsidRDefault="004E1793" w:rsidP="004E1793">
      <w:pPr>
        <w:pStyle w:val="Appendixref"/>
        <w:rPr>
          <w:lang w:eastAsia="zh-CN"/>
        </w:rPr>
      </w:pPr>
      <w:r w:rsidRPr="004E1793">
        <w:rPr>
          <w:rFonts w:hAnsi="SimSun" w:hint="eastAsia"/>
          <w:lang w:eastAsia="zh-CN"/>
        </w:rPr>
        <w:t>第</w:t>
      </w:r>
      <w:r w:rsidRPr="004E1793">
        <w:rPr>
          <w:lang w:eastAsia="zh-CN"/>
        </w:rPr>
        <w:t>1353</w:t>
      </w:r>
      <w:r w:rsidRPr="004E1793">
        <w:rPr>
          <w:rFonts w:hAnsi="SimSun"/>
          <w:lang w:eastAsia="zh-CN"/>
        </w:rPr>
        <w:t>号决议</w:t>
      </w:r>
      <w:r w:rsidRPr="004E1793">
        <w:rPr>
          <w:lang w:eastAsia="zh-CN"/>
        </w:rPr>
        <w:tab/>
      </w:r>
      <w:r w:rsidRPr="004E1793">
        <w:rPr>
          <w:rFonts w:hint="eastAsia"/>
          <w:lang w:eastAsia="zh-CN"/>
        </w:rPr>
        <w:t>国际电联</w:t>
      </w:r>
      <w:r w:rsidRPr="004E1793">
        <w:rPr>
          <w:rFonts w:hint="eastAsia"/>
          <w:lang w:val="en-US" w:eastAsia="zh-CN"/>
        </w:rPr>
        <w:t>在落实</w:t>
      </w:r>
      <w:r w:rsidRPr="004E1793">
        <w:rPr>
          <w:rFonts w:hint="eastAsia"/>
          <w:lang w:val="en-US" w:eastAsia="zh-CN"/>
        </w:rPr>
        <w:t>2012</w:t>
      </w:r>
      <w:r w:rsidRPr="004E1793">
        <w:rPr>
          <w:rFonts w:hint="eastAsia"/>
          <w:lang w:val="en-US" w:eastAsia="zh-CN"/>
        </w:rPr>
        <w:t>年</w:t>
      </w:r>
      <w:r w:rsidRPr="004E1793">
        <w:rPr>
          <w:rFonts w:hint="eastAsia"/>
          <w:lang w:eastAsia="zh-CN"/>
        </w:rPr>
        <w:t>联合国可持续发展会议</w:t>
      </w:r>
      <w:r w:rsidRPr="004E1793">
        <w:rPr>
          <w:lang w:eastAsia="zh-CN"/>
        </w:rPr>
        <w:t>（</w:t>
      </w:r>
      <w:r w:rsidRPr="004E1793">
        <w:rPr>
          <w:lang w:eastAsia="zh-CN"/>
        </w:rPr>
        <w:t>R</w:t>
      </w:r>
      <w:r w:rsidRPr="004E1793">
        <w:rPr>
          <w:rFonts w:hint="eastAsia"/>
          <w:lang w:eastAsia="zh-CN"/>
        </w:rPr>
        <w:t>io</w:t>
      </w:r>
      <w:r w:rsidRPr="004E1793">
        <w:rPr>
          <w:lang w:eastAsia="zh-CN"/>
        </w:rPr>
        <w:t>+20</w:t>
      </w:r>
      <w:r w:rsidRPr="004E1793">
        <w:rPr>
          <w:lang w:eastAsia="zh-CN"/>
        </w:rPr>
        <w:t>）</w:t>
      </w:r>
      <w:r w:rsidRPr="004E1793">
        <w:rPr>
          <w:rFonts w:hint="eastAsia"/>
          <w:lang w:eastAsia="zh-CN"/>
        </w:rPr>
        <w:t>成果方面的作用</w:t>
      </w:r>
      <w:r w:rsidRPr="004E1793">
        <w:rPr>
          <w:lang w:eastAsia="zh-CN"/>
        </w:rPr>
        <w:tab/>
      </w:r>
      <w:r w:rsidRPr="004E1793">
        <w:rPr>
          <w:lang w:eastAsia="zh-CN"/>
        </w:rPr>
        <w:tab/>
      </w:r>
      <w:r>
        <w:rPr>
          <w:lang w:eastAsia="zh-CN"/>
        </w:rPr>
        <w:t>6.2</w:t>
      </w:r>
    </w:p>
    <w:p w14:paraId="4827C1DF" w14:textId="77777777" w:rsidR="00F73083" w:rsidRDefault="00F73083" w:rsidP="003E11A1">
      <w:pPr>
        <w:pStyle w:val="Reftitle"/>
        <w:rPr>
          <w:lang w:eastAsia="zh-CN"/>
        </w:rPr>
      </w:pPr>
      <w:r w:rsidRPr="00022E00">
        <w:rPr>
          <w:lang w:eastAsia="zh-CN"/>
        </w:rPr>
        <w:t>20</w:t>
      </w:r>
      <w:r>
        <w:rPr>
          <w:lang w:eastAsia="zh-CN"/>
        </w:rPr>
        <w:t>1</w:t>
      </w:r>
      <w:r>
        <w:rPr>
          <w:rFonts w:hint="eastAsia"/>
          <w:lang w:eastAsia="zh-CN"/>
        </w:rPr>
        <w:t>3</w:t>
      </w:r>
      <w:r w:rsidRPr="006D0EE6">
        <w:rPr>
          <w:rFonts w:hint="eastAsia"/>
          <w:lang w:eastAsia="zh-CN"/>
        </w:rPr>
        <w:t>年会议（</w:t>
      </w:r>
      <w:r>
        <w:rPr>
          <w:rFonts w:hint="eastAsia"/>
          <w:lang w:eastAsia="zh-CN"/>
        </w:rPr>
        <w:t>2013</w:t>
      </w:r>
      <w:r w:rsidRPr="006D0EE6">
        <w:rPr>
          <w:rFonts w:hint="eastAsia"/>
          <w:lang w:eastAsia="zh-CN"/>
        </w:rPr>
        <w:t>年</w:t>
      </w:r>
      <w:r>
        <w:rPr>
          <w:rFonts w:hint="eastAsia"/>
          <w:lang w:eastAsia="zh-CN"/>
        </w:rPr>
        <w:t>6</w:t>
      </w:r>
      <w:r w:rsidRPr="006D0EE6">
        <w:rPr>
          <w:rFonts w:hint="eastAsia"/>
          <w:lang w:eastAsia="zh-CN"/>
        </w:rPr>
        <w:t>月</w:t>
      </w:r>
      <w:r>
        <w:rPr>
          <w:rFonts w:hint="eastAsia"/>
          <w:lang w:eastAsia="zh-CN"/>
        </w:rPr>
        <w:t>11</w:t>
      </w:r>
      <w:r w:rsidRPr="006D0EE6">
        <w:rPr>
          <w:rFonts w:hint="eastAsia"/>
          <w:lang w:eastAsia="zh-CN"/>
        </w:rPr>
        <w:t>-</w:t>
      </w:r>
      <w:r>
        <w:rPr>
          <w:rFonts w:hint="eastAsia"/>
          <w:lang w:eastAsia="zh-CN"/>
        </w:rPr>
        <w:t>21</w:t>
      </w:r>
      <w:r w:rsidRPr="006D0EE6">
        <w:rPr>
          <w:rFonts w:hint="eastAsia"/>
          <w:lang w:eastAsia="zh-CN"/>
        </w:rPr>
        <w:t>日）</w:t>
      </w:r>
    </w:p>
    <w:p w14:paraId="4827C1E0" w14:textId="77777777" w:rsidR="004E1793" w:rsidRPr="004415C7" w:rsidRDefault="004E1793" w:rsidP="004E1793">
      <w:pPr>
        <w:pStyle w:val="Appendixref"/>
        <w:rPr>
          <w:bCs/>
          <w:lang w:eastAsia="zh-CN"/>
        </w:rPr>
      </w:pPr>
      <w:r w:rsidRPr="006510A8">
        <w:rPr>
          <w:rFonts w:hAnsi="SimSun" w:hint="eastAsia"/>
          <w:lang w:eastAsia="zh-CN"/>
        </w:rPr>
        <w:t>第</w:t>
      </w:r>
      <w:r>
        <w:rPr>
          <w:lang w:eastAsia="zh-CN"/>
        </w:rPr>
        <w:t>13</w:t>
      </w:r>
      <w:r>
        <w:rPr>
          <w:rFonts w:hint="eastAsia"/>
          <w:lang w:eastAsia="zh-CN"/>
        </w:rPr>
        <w:t>54</w:t>
      </w:r>
      <w:r w:rsidRPr="006510A8">
        <w:rPr>
          <w:rFonts w:hAnsi="SimSun"/>
          <w:lang w:eastAsia="zh-CN"/>
        </w:rPr>
        <w:t>号决议</w:t>
      </w:r>
      <w:r>
        <w:rPr>
          <w:lang w:eastAsia="zh-CN"/>
        </w:rPr>
        <w:tab/>
      </w:r>
      <w:r w:rsidRPr="000C3F57">
        <w:rPr>
          <w:rFonts w:hint="eastAsia"/>
          <w:lang w:eastAsia="zh-CN"/>
        </w:rPr>
        <w:t>无线电通信部门</w:t>
      </w:r>
      <w:r w:rsidRPr="000C3F57">
        <w:rPr>
          <w:rFonts w:hint="eastAsia"/>
          <w:lang w:eastAsia="zh-CN"/>
        </w:rPr>
        <w:t>2014-2017</w:t>
      </w:r>
      <w:r w:rsidRPr="000C3F57">
        <w:rPr>
          <w:rFonts w:hint="eastAsia"/>
          <w:lang w:eastAsia="zh-CN"/>
        </w:rPr>
        <w:t>年四年期滚动式运作规划</w:t>
      </w:r>
      <w:r>
        <w:rPr>
          <w:lang w:eastAsia="zh-CN"/>
        </w:rPr>
        <w:tab/>
      </w:r>
      <w:r w:rsidRPr="00EB5BE2">
        <w:rPr>
          <w:lang w:eastAsia="zh-CN"/>
        </w:rPr>
        <w:tab/>
      </w:r>
      <w:r w:rsidRPr="004415C7">
        <w:rPr>
          <w:lang w:eastAsia="zh-CN"/>
        </w:rPr>
        <w:t>2015</w:t>
      </w:r>
      <w:r w:rsidRPr="004415C7">
        <w:rPr>
          <w:rFonts w:hint="eastAsia"/>
          <w:lang w:eastAsia="zh-CN"/>
        </w:rPr>
        <w:t>年</w:t>
      </w:r>
    </w:p>
    <w:p w14:paraId="4827C1E1" w14:textId="77777777" w:rsidR="004E1793" w:rsidRPr="00EB5BE2" w:rsidRDefault="004E1793" w:rsidP="004E1793">
      <w:pPr>
        <w:pStyle w:val="Appendixref"/>
        <w:rPr>
          <w:bCs/>
          <w:lang w:eastAsia="zh-CN"/>
        </w:rPr>
      </w:pPr>
      <w:r w:rsidRPr="006510A8">
        <w:rPr>
          <w:rFonts w:hAnsi="SimSun" w:hint="eastAsia"/>
          <w:lang w:eastAsia="zh-CN"/>
        </w:rPr>
        <w:t>第</w:t>
      </w:r>
      <w:r>
        <w:rPr>
          <w:lang w:eastAsia="zh-CN"/>
        </w:rPr>
        <w:t>13</w:t>
      </w:r>
      <w:r>
        <w:rPr>
          <w:rFonts w:hint="eastAsia"/>
          <w:lang w:eastAsia="zh-CN"/>
        </w:rPr>
        <w:t>55</w:t>
      </w:r>
      <w:r w:rsidRPr="006510A8">
        <w:rPr>
          <w:rFonts w:hAnsi="SimSun"/>
          <w:lang w:eastAsia="zh-CN"/>
        </w:rPr>
        <w:t>号决议</w:t>
      </w:r>
      <w:r>
        <w:rPr>
          <w:lang w:eastAsia="zh-CN"/>
        </w:rPr>
        <w:tab/>
      </w:r>
      <w:r w:rsidRPr="000C3F57">
        <w:rPr>
          <w:rFonts w:hint="eastAsia"/>
          <w:lang w:eastAsia="zh-CN"/>
        </w:rPr>
        <w:t>电信标准化部门</w:t>
      </w:r>
      <w:r>
        <w:rPr>
          <w:rFonts w:hint="eastAsia"/>
          <w:lang w:eastAsia="zh-CN"/>
        </w:rPr>
        <w:t>2014-</w:t>
      </w:r>
      <w:r w:rsidRPr="000C3F57">
        <w:rPr>
          <w:rFonts w:hint="eastAsia"/>
          <w:lang w:eastAsia="zh-CN"/>
        </w:rPr>
        <w:t>2017</w:t>
      </w:r>
      <w:r w:rsidRPr="000C3F57">
        <w:rPr>
          <w:rFonts w:hint="eastAsia"/>
          <w:lang w:eastAsia="zh-CN"/>
        </w:rPr>
        <w:t>年四年期滚动式运作规划</w:t>
      </w:r>
      <w:r w:rsidRPr="00EB5BE2">
        <w:rPr>
          <w:lang w:eastAsia="zh-CN"/>
        </w:rPr>
        <w:tab/>
      </w:r>
      <w:r>
        <w:rPr>
          <w:lang w:eastAsia="zh-CN"/>
        </w:rPr>
        <w:tab/>
      </w:r>
      <w:r w:rsidRPr="004415C7">
        <w:rPr>
          <w:rFonts w:hint="eastAsia"/>
          <w:bCs/>
          <w:lang w:eastAsia="zh-CN"/>
        </w:rPr>
        <w:t>2015</w:t>
      </w:r>
      <w:r w:rsidRPr="004415C7">
        <w:rPr>
          <w:rFonts w:hint="eastAsia"/>
          <w:bCs/>
          <w:lang w:eastAsia="zh-CN"/>
        </w:rPr>
        <w:t>年</w:t>
      </w:r>
    </w:p>
    <w:p w14:paraId="4827C1E2" w14:textId="77777777" w:rsidR="004E1793" w:rsidRPr="00EB5BE2" w:rsidRDefault="004E1793" w:rsidP="004E1793">
      <w:pPr>
        <w:pStyle w:val="Appendixref"/>
        <w:rPr>
          <w:bCs/>
          <w:lang w:eastAsia="zh-CN"/>
        </w:rPr>
      </w:pPr>
      <w:r w:rsidRPr="006510A8">
        <w:rPr>
          <w:rFonts w:hAnsi="SimSun" w:hint="eastAsia"/>
          <w:lang w:eastAsia="zh-CN"/>
        </w:rPr>
        <w:t>第</w:t>
      </w:r>
      <w:r>
        <w:rPr>
          <w:lang w:eastAsia="zh-CN"/>
        </w:rPr>
        <w:t>13</w:t>
      </w:r>
      <w:r>
        <w:rPr>
          <w:rFonts w:hint="eastAsia"/>
          <w:lang w:eastAsia="zh-CN"/>
        </w:rPr>
        <w:t>56</w:t>
      </w:r>
      <w:r w:rsidRPr="006510A8">
        <w:rPr>
          <w:rFonts w:hAnsi="SimSun"/>
          <w:lang w:eastAsia="zh-CN"/>
        </w:rPr>
        <w:t>号决议</w:t>
      </w:r>
      <w:r>
        <w:rPr>
          <w:lang w:eastAsia="zh-CN"/>
        </w:rPr>
        <w:tab/>
      </w:r>
      <w:r w:rsidRPr="000C3F57">
        <w:rPr>
          <w:lang w:eastAsia="zh-CN"/>
        </w:rPr>
        <w:t>电信发展部门</w:t>
      </w:r>
      <w:r w:rsidRPr="000C3F57">
        <w:rPr>
          <w:lang w:eastAsia="zh-CN"/>
        </w:rPr>
        <w:t>201</w:t>
      </w:r>
      <w:r w:rsidRPr="000C3F57">
        <w:rPr>
          <w:rFonts w:hint="eastAsia"/>
          <w:lang w:eastAsia="zh-CN"/>
        </w:rPr>
        <w:t>4</w:t>
      </w:r>
      <w:r w:rsidRPr="000C3F57">
        <w:rPr>
          <w:lang w:eastAsia="zh-CN"/>
        </w:rPr>
        <w:t>-201</w:t>
      </w:r>
      <w:r w:rsidRPr="000C3F57">
        <w:rPr>
          <w:rFonts w:hint="eastAsia"/>
          <w:lang w:eastAsia="zh-CN"/>
        </w:rPr>
        <w:t>7</w:t>
      </w:r>
      <w:r w:rsidRPr="000C3F57">
        <w:rPr>
          <w:lang w:eastAsia="zh-CN"/>
        </w:rPr>
        <w:t>年四年期滚动</w:t>
      </w:r>
      <w:r w:rsidRPr="000C3F57">
        <w:rPr>
          <w:rFonts w:hint="eastAsia"/>
          <w:lang w:eastAsia="zh-CN"/>
        </w:rPr>
        <w:t>式</w:t>
      </w:r>
      <w:r w:rsidRPr="000C3F57">
        <w:rPr>
          <w:lang w:eastAsia="zh-CN"/>
        </w:rPr>
        <w:t>运作规划</w:t>
      </w:r>
      <w:r w:rsidRPr="00EB5BE2">
        <w:rPr>
          <w:lang w:eastAsia="zh-CN"/>
        </w:rPr>
        <w:tab/>
      </w:r>
      <w:r>
        <w:rPr>
          <w:lang w:eastAsia="zh-CN"/>
        </w:rPr>
        <w:tab/>
      </w:r>
      <w:r w:rsidRPr="004415C7">
        <w:rPr>
          <w:rFonts w:hint="eastAsia"/>
          <w:bCs/>
          <w:lang w:eastAsia="zh-CN"/>
        </w:rPr>
        <w:t>2015</w:t>
      </w:r>
      <w:r w:rsidRPr="004415C7">
        <w:rPr>
          <w:rFonts w:hint="eastAsia"/>
          <w:bCs/>
          <w:lang w:eastAsia="zh-CN"/>
        </w:rPr>
        <w:t>年</w:t>
      </w:r>
    </w:p>
    <w:p w14:paraId="4827C1E3" w14:textId="77777777" w:rsidR="004E1793" w:rsidRPr="00EB5BE2" w:rsidRDefault="004E1793" w:rsidP="004E1793">
      <w:pPr>
        <w:pStyle w:val="Appendixref"/>
        <w:rPr>
          <w:bCs/>
          <w:lang w:eastAsia="zh-CN"/>
        </w:rPr>
      </w:pPr>
      <w:r w:rsidRPr="006510A8">
        <w:rPr>
          <w:rFonts w:hAnsi="SimSun" w:hint="eastAsia"/>
          <w:lang w:eastAsia="zh-CN"/>
        </w:rPr>
        <w:t>第</w:t>
      </w:r>
      <w:r>
        <w:rPr>
          <w:lang w:eastAsia="zh-CN"/>
        </w:rPr>
        <w:t>1357</w:t>
      </w:r>
      <w:r w:rsidRPr="006510A8">
        <w:rPr>
          <w:rFonts w:hAnsi="SimSun"/>
          <w:lang w:eastAsia="zh-CN"/>
        </w:rPr>
        <w:t>号决议</w:t>
      </w:r>
      <w:r>
        <w:rPr>
          <w:lang w:eastAsia="zh-CN"/>
        </w:rPr>
        <w:tab/>
      </w:r>
      <w:r w:rsidRPr="000C3F57">
        <w:rPr>
          <w:rFonts w:hint="eastAsia"/>
          <w:lang w:eastAsia="zh-CN"/>
        </w:rPr>
        <w:t>总秘书处</w:t>
      </w:r>
      <w:r w:rsidRPr="000C3F57">
        <w:rPr>
          <w:rFonts w:hint="eastAsia"/>
          <w:lang w:eastAsia="zh-CN"/>
        </w:rPr>
        <w:t>2014-2017</w:t>
      </w:r>
      <w:r w:rsidRPr="000C3F57">
        <w:rPr>
          <w:rFonts w:hint="eastAsia"/>
          <w:lang w:eastAsia="zh-CN"/>
        </w:rPr>
        <w:t>年四年期滚动式运作计划</w:t>
      </w:r>
      <w:r w:rsidRPr="00EB5BE2">
        <w:rPr>
          <w:lang w:eastAsia="zh-CN"/>
        </w:rPr>
        <w:tab/>
      </w:r>
      <w:r>
        <w:rPr>
          <w:lang w:eastAsia="zh-CN"/>
        </w:rPr>
        <w:tab/>
      </w:r>
      <w:r w:rsidRPr="004415C7">
        <w:rPr>
          <w:rFonts w:hint="eastAsia"/>
          <w:bCs/>
          <w:lang w:eastAsia="zh-CN"/>
        </w:rPr>
        <w:t>2015</w:t>
      </w:r>
      <w:r w:rsidRPr="004415C7">
        <w:rPr>
          <w:rFonts w:hint="eastAsia"/>
          <w:bCs/>
          <w:lang w:eastAsia="zh-CN"/>
        </w:rPr>
        <w:t>年</w:t>
      </w:r>
    </w:p>
    <w:p w14:paraId="4827C1E4" w14:textId="77777777" w:rsidR="004E1793" w:rsidRPr="00EB5BE2" w:rsidRDefault="004E1793" w:rsidP="004E1793">
      <w:pPr>
        <w:pStyle w:val="Appendixref"/>
        <w:rPr>
          <w:bCs/>
          <w:lang w:eastAsia="zh-CN"/>
        </w:rPr>
      </w:pPr>
      <w:r w:rsidRPr="006510A8">
        <w:rPr>
          <w:rFonts w:hAnsi="SimSun" w:hint="eastAsia"/>
          <w:lang w:eastAsia="zh-CN"/>
        </w:rPr>
        <w:t>第</w:t>
      </w:r>
      <w:r>
        <w:rPr>
          <w:lang w:eastAsia="zh-CN"/>
        </w:rPr>
        <w:t>1358</w:t>
      </w:r>
      <w:r w:rsidRPr="006510A8">
        <w:rPr>
          <w:rFonts w:hAnsi="SimSun"/>
          <w:lang w:eastAsia="zh-CN"/>
        </w:rPr>
        <w:t>号决议</w:t>
      </w:r>
      <w:r>
        <w:rPr>
          <w:lang w:eastAsia="zh-CN"/>
        </w:rPr>
        <w:tab/>
      </w:r>
      <w:r w:rsidRPr="000C3F57">
        <w:rPr>
          <w:rFonts w:hint="eastAsia"/>
          <w:lang w:eastAsia="zh-CN"/>
        </w:rPr>
        <w:t>成立制定</w:t>
      </w:r>
      <w:r w:rsidRPr="000C3F57">
        <w:rPr>
          <w:rFonts w:hint="eastAsia"/>
          <w:lang w:eastAsia="zh-CN"/>
        </w:rPr>
        <w:t>2016-2019</w:t>
      </w:r>
      <w:r w:rsidRPr="000C3F57">
        <w:rPr>
          <w:rFonts w:hint="eastAsia"/>
          <w:lang w:eastAsia="zh-CN"/>
        </w:rPr>
        <w:t>年国际电联《战略规划》草案和《财务规划》草案的理事会</w:t>
      </w:r>
      <w:r>
        <w:rPr>
          <w:lang w:val="en-US" w:eastAsia="zh-CN"/>
        </w:rPr>
        <w:tab/>
      </w:r>
      <w:r>
        <w:rPr>
          <w:lang w:val="en-US" w:eastAsia="zh-CN"/>
        </w:rPr>
        <w:br/>
      </w:r>
      <w:r w:rsidRPr="000C3F57">
        <w:rPr>
          <w:rFonts w:hint="eastAsia"/>
          <w:lang w:eastAsia="zh-CN"/>
        </w:rPr>
        <w:t>工作组</w:t>
      </w:r>
      <w:r w:rsidRPr="00EB5BE2">
        <w:rPr>
          <w:lang w:eastAsia="zh-CN"/>
        </w:rPr>
        <w:tab/>
      </w:r>
      <w:r>
        <w:rPr>
          <w:lang w:eastAsia="zh-CN"/>
        </w:rPr>
        <w:tab/>
      </w:r>
      <w:r w:rsidRPr="00ED2E58">
        <w:rPr>
          <w:rFonts w:hint="eastAsia"/>
          <w:bCs/>
          <w:lang w:eastAsia="zh-CN"/>
        </w:rPr>
        <w:t>2015</w:t>
      </w:r>
      <w:r w:rsidRPr="00ED2E58">
        <w:rPr>
          <w:rFonts w:hint="eastAsia"/>
          <w:bCs/>
          <w:lang w:eastAsia="zh-CN"/>
        </w:rPr>
        <w:t>年</w:t>
      </w:r>
    </w:p>
    <w:p w14:paraId="4827C1E5" w14:textId="77777777" w:rsidR="004E1793" w:rsidRPr="00EB5BE2" w:rsidRDefault="004E1793" w:rsidP="00FB7D4E">
      <w:pPr>
        <w:pStyle w:val="Appendixref"/>
        <w:rPr>
          <w:bCs/>
          <w:lang w:eastAsia="zh-CN"/>
        </w:rPr>
      </w:pPr>
      <w:r w:rsidRPr="006510A8">
        <w:rPr>
          <w:rFonts w:hAnsi="SimSun" w:hint="eastAsia"/>
          <w:lang w:eastAsia="zh-CN"/>
        </w:rPr>
        <w:t>第</w:t>
      </w:r>
      <w:r>
        <w:rPr>
          <w:lang w:eastAsia="zh-CN"/>
        </w:rPr>
        <w:t>1359</w:t>
      </w:r>
      <w:r w:rsidRPr="006510A8">
        <w:rPr>
          <w:rFonts w:hAnsi="SimSun"/>
          <w:lang w:eastAsia="zh-CN"/>
        </w:rPr>
        <w:t>号决议</w:t>
      </w:r>
      <w:r>
        <w:rPr>
          <w:lang w:eastAsia="zh-CN"/>
        </w:rPr>
        <w:tab/>
      </w:r>
      <w:r w:rsidRPr="000C3F57">
        <w:rPr>
          <w:rFonts w:hint="eastAsia"/>
          <w:lang w:eastAsia="zh-CN"/>
        </w:rPr>
        <w:t>国际电信联盟</w:t>
      </w:r>
      <w:r w:rsidRPr="000C3F57">
        <w:rPr>
          <w:rFonts w:hint="eastAsia"/>
          <w:lang w:eastAsia="zh-CN"/>
        </w:rPr>
        <w:t>2014-2015</w:t>
      </w:r>
      <w:r w:rsidRPr="000C3F57">
        <w:rPr>
          <w:rFonts w:hint="eastAsia"/>
          <w:lang w:eastAsia="zh-CN"/>
        </w:rPr>
        <w:t>双年度预算</w:t>
      </w:r>
      <w:r w:rsidRPr="00EB5BE2">
        <w:rPr>
          <w:lang w:eastAsia="zh-CN"/>
        </w:rPr>
        <w:tab/>
      </w:r>
      <w:r>
        <w:rPr>
          <w:lang w:eastAsia="zh-CN"/>
        </w:rPr>
        <w:tab/>
      </w:r>
      <w:r w:rsidR="00FB7D4E">
        <w:rPr>
          <w:bCs/>
          <w:lang w:eastAsia="zh-CN"/>
        </w:rPr>
        <w:t>2016</w:t>
      </w:r>
      <w:r w:rsidR="00FB7D4E">
        <w:rPr>
          <w:rFonts w:hint="eastAsia"/>
          <w:bCs/>
          <w:lang w:eastAsia="zh-CN"/>
        </w:rPr>
        <w:t>年</w:t>
      </w:r>
    </w:p>
    <w:p w14:paraId="4827C1E6" w14:textId="77777777" w:rsidR="004E1793" w:rsidRPr="00EB5BE2" w:rsidRDefault="004E1793" w:rsidP="00FB7D4E">
      <w:pPr>
        <w:pStyle w:val="Appendixref"/>
        <w:rPr>
          <w:bCs/>
          <w:lang w:eastAsia="zh-CN"/>
        </w:rPr>
      </w:pPr>
      <w:r w:rsidRPr="006510A8">
        <w:rPr>
          <w:rFonts w:hAnsi="SimSun" w:hint="eastAsia"/>
          <w:lang w:eastAsia="zh-CN"/>
        </w:rPr>
        <w:t>第</w:t>
      </w:r>
      <w:r>
        <w:rPr>
          <w:lang w:eastAsia="zh-CN"/>
        </w:rPr>
        <w:t>1360</w:t>
      </w:r>
      <w:r w:rsidRPr="006510A8">
        <w:rPr>
          <w:rFonts w:hAnsi="SimSun"/>
          <w:lang w:eastAsia="zh-CN"/>
        </w:rPr>
        <w:t>号决议</w:t>
      </w:r>
      <w:r>
        <w:rPr>
          <w:lang w:eastAsia="zh-CN"/>
        </w:rPr>
        <w:tab/>
      </w:r>
      <w:r w:rsidRPr="000C3F57">
        <w:rPr>
          <w:rFonts w:hint="eastAsia"/>
          <w:lang w:eastAsia="zh-CN"/>
        </w:rPr>
        <w:t>对部门成员、部门准成员和学术成员现行参与方法的研究</w:t>
      </w:r>
      <w:r w:rsidRPr="00EB5BE2">
        <w:rPr>
          <w:lang w:eastAsia="zh-CN"/>
        </w:rPr>
        <w:tab/>
      </w:r>
      <w:r>
        <w:rPr>
          <w:lang w:eastAsia="zh-CN"/>
        </w:rPr>
        <w:tab/>
      </w:r>
      <w:r w:rsidR="00FB7D4E">
        <w:rPr>
          <w:bCs/>
          <w:lang w:eastAsia="zh-CN"/>
        </w:rPr>
        <w:t>2016</w:t>
      </w:r>
      <w:r w:rsidR="00FB7D4E">
        <w:rPr>
          <w:rFonts w:hint="eastAsia"/>
          <w:bCs/>
          <w:lang w:eastAsia="zh-CN"/>
        </w:rPr>
        <w:t>年</w:t>
      </w:r>
    </w:p>
    <w:p w14:paraId="4827C1E7" w14:textId="77777777" w:rsidR="004E1793" w:rsidRPr="00EB5BE2" w:rsidRDefault="004E1793" w:rsidP="004E1793">
      <w:pPr>
        <w:pStyle w:val="Appendixref"/>
        <w:rPr>
          <w:bCs/>
          <w:lang w:eastAsia="zh-CN"/>
        </w:rPr>
      </w:pPr>
      <w:r w:rsidRPr="006510A8">
        <w:rPr>
          <w:rFonts w:hAnsi="SimSun" w:hint="eastAsia"/>
          <w:lang w:eastAsia="zh-CN"/>
        </w:rPr>
        <w:t>第</w:t>
      </w:r>
      <w:r>
        <w:rPr>
          <w:lang w:eastAsia="zh-CN"/>
        </w:rPr>
        <w:t>1361</w:t>
      </w:r>
      <w:r w:rsidRPr="006510A8">
        <w:rPr>
          <w:rFonts w:hAnsi="SimSun"/>
          <w:lang w:eastAsia="zh-CN"/>
        </w:rPr>
        <w:t>号决议</w:t>
      </w:r>
      <w:r>
        <w:rPr>
          <w:lang w:eastAsia="zh-CN"/>
        </w:rPr>
        <w:tab/>
      </w:r>
      <w:r w:rsidRPr="00254304">
        <w:rPr>
          <w:rFonts w:hint="eastAsia"/>
          <w:lang w:eastAsia="zh-CN"/>
        </w:rPr>
        <w:t>2012</w:t>
      </w:r>
      <w:r w:rsidRPr="00254304">
        <w:rPr>
          <w:rFonts w:hint="eastAsia"/>
          <w:lang w:eastAsia="zh-CN"/>
        </w:rPr>
        <w:t>财年的财务工作报告</w:t>
      </w:r>
      <w:r w:rsidRPr="00EB5BE2">
        <w:rPr>
          <w:lang w:eastAsia="zh-CN"/>
        </w:rPr>
        <w:tab/>
      </w:r>
      <w:r>
        <w:rPr>
          <w:lang w:eastAsia="zh-CN"/>
        </w:rPr>
        <w:tab/>
      </w:r>
      <w:r w:rsidRPr="00ED2E58">
        <w:rPr>
          <w:rFonts w:hint="eastAsia"/>
          <w:bCs/>
          <w:lang w:eastAsia="zh-CN"/>
        </w:rPr>
        <w:t>2015</w:t>
      </w:r>
      <w:r w:rsidRPr="00ED2E58">
        <w:rPr>
          <w:rFonts w:hint="eastAsia"/>
          <w:bCs/>
          <w:lang w:eastAsia="zh-CN"/>
        </w:rPr>
        <w:t>年</w:t>
      </w:r>
    </w:p>
    <w:p w14:paraId="4827C1E8" w14:textId="77777777" w:rsidR="004E1793" w:rsidRPr="00EB5BE2" w:rsidRDefault="004E1793" w:rsidP="004E1793">
      <w:pPr>
        <w:pStyle w:val="Appendixref"/>
        <w:rPr>
          <w:bCs/>
          <w:lang w:eastAsia="zh-CN"/>
        </w:rPr>
      </w:pPr>
      <w:r w:rsidRPr="006510A8">
        <w:rPr>
          <w:rFonts w:hAnsi="SimSun" w:hint="eastAsia"/>
          <w:lang w:eastAsia="zh-CN"/>
        </w:rPr>
        <w:t>第</w:t>
      </w:r>
      <w:r>
        <w:rPr>
          <w:lang w:eastAsia="zh-CN"/>
        </w:rPr>
        <w:t>1362</w:t>
      </w:r>
      <w:r w:rsidRPr="006510A8">
        <w:rPr>
          <w:rFonts w:hAnsi="SimSun"/>
          <w:lang w:eastAsia="zh-CN"/>
        </w:rPr>
        <w:t>号决议</w:t>
      </w:r>
      <w:r>
        <w:rPr>
          <w:lang w:eastAsia="zh-CN"/>
        </w:rPr>
        <w:tab/>
      </w:r>
      <w:r w:rsidRPr="00254304">
        <w:rPr>
          <w:rFonts w:hint="eastAsia"/>
          <w:lang w:eastAsia="zh-CN"/>
        </w:rPr>
        <w:t>国际电联</w:t>
      </w:r>
      <w:r w:rsidRPr="00254304">
        <w:rPr>
          <w:rFonts w:hint="eastAsia"/>
          <w:lang w:eastAsia="zh-CN"/>
        </w:rPr>
        <w:t>2012</w:t>
      </w:r>
      <w:r w:rsidRPr="00254304">
        <w:rPr>
          <w:rFonts w:hint="eastAsia"/>
          <w:lang w:eastAsia="zh-CN"/>
        </w:rPr>
        <w:t>年世界电信展相关活动账目</w:t>
      </w:r>
      <w:r w:rsidRPr="00EB5BE2">
        <w:rPr>
          <w:lang w:eastAsia="zh-CN"/>
        </w:rPr>
        <w:tab/>
      </w:r>
      <w:r>
        <w:rPr>
          <w:lang w:eastAsia="zh-CN"/>
        </w:rPr>
        <w:tab/>
      </w:r>
      <w:r w:rsidRPr="00ED2E58">
        <w:rPr>
          <w:rFonts w:hint="eastAsia"/>
          <w:bCs/>
          <w:lang w:eastAsia="zh-CN"/>
        </w:rPr>
        <w:t>2015</w:t>
      </w:r>
      <w:r w:rsidRPr="00ED2E58">
        <w:rPr>
          <w:rFonts w:hint="eastAsia"/>
          <w:bCs/>
          <w:lang w:eastAsia="zh-CN"/>
        </w:rPr>
        <w:t>年</w:t>
      </w:r>
    </w:p>
    <w:p w14:paraId="4827C1E9" w14:textId="77777777" w:rsidR="00950978" w:rsidRDefault="00950978" w:rsidP="003E11A1">
      <w:pPr>
        <w:pStyle w:val="Reftitle"/>
        <w:rPr>
          <w:lang w:eastAsia="zh-CN"/>
        </w:rPr>
      </w:pPr>
      <w:r w:rsidRPr="00022E00">
        <w:rPr>
          <w:lang w:eastAsia="zh-CN"/>
        </w:rPr>
        <w:t>20</w:t>
      </w:r>
      <w:r>
        <w:rPr>
          <w:lang w:eastAsia="zh-CN"/>
        </w:rPr>
        <w:t>14</w:t>
      </w:r>
      <w:r w:rsidRPr="006D0EE6">
        <w:rPr>
          <w:rFonts w:hint="eastAsia"/>
          <w:lang w:eastAsia="zh-CN"/>
        </w:rPr>
        <w:t>年会议（</w:t>
      </w:r>
      <w:r>
        <w:rPr>
          <w:rFonts w:hint="eastAsia"/>
          <w:lang w:eastAsia="zh-CN"/>
        </w:rPr>
        <w:t>201</w:t>
      </w:r>
      <w:r>
        <w:rPr>
          <w:lang w:eastAsia="zh-CN"/>
        </w:rPr>
        <w:t>4</w:t>
      </w:r>
      <w:r w:rsidRPr="006D0EE6">
        <w:rPr>
          <w:rFonts w:hint="eastAsia"/>
          <w:lang w:eastAsia="zh-CN"/>
        </w:rPr>
        <w:t>年</w:t>
      </w:r>
      <w:r>
        <w:rPr>
          <w:lang w:eastAsia="zh-CN"/>
        </w:rPr>
        <w:t>5</w:t>
      </w:r>
      <w:r w:rsidRPr="006D0EE6">
        <w:rPr>
          <w:rFonts w:hint="eastAsia"/>
          <w:lang w:eastAsia="zh-CN"/>
        </w:rPr>
        <w:t>月</w:t>
      </w:r>
      <w:r>
        <w:rPr>
          <w:rFonts w:hint="eastAsia"/>
          <w:lang w:eastAsia="zh-CN"/>
        </w:rPr>
        <w:t>6</w:t>
      </w:r>
      <w:r w:rsidRPr="006D0EE6">
        <w:rPr>
          <w:rFonts w:hint="eastAsia"/>
          <w:lang w:eastAsia="zh-CN"/>
        </w:rPr>
        <w:t>-</w:t>
      </w:r>
      <w:r>
        <w:rPr>
          <w:lang w:eastAsia="zh-CN"/>
        </w:rPr>
        <w:t>15</w:t>
      </w:r>
      <w:r w:rsidRPr="006D0EE6">
        <w:rPr>
          <w:rFonts w:hint="eastAsia"/>
          <w:lang w:eastAsia="zh-CN"/>
        </w:rPr>
        <w:t>日</w:t>
      </w:r>
      <w:r>
        <w:rPr>
          <w:rFonts w:hint="eastAsia"/>
          <w:lang w:eastAsia="zh-CN"/>
        </w:rPr>
        <w:t>和</w:t>
      </w:r>
      <w:r>
        <w:rPr>
          <w:rFonts w:hint="eastAsia"/>
          <w:lang w:eastAsia="zh-CN"/>
        </w:rPr>
        <w:t>201</w:t>
      </w:r>
      <w:r>
        <w:rPr>
          <w:lang w:eastAsia="zh-CN"/>
        </w:rPr>
        <w:t>4</w:t>
      </w:r>
      <w:r w:rsidRPr="006D0EE6">
        <w:rPr>
          <w:rFonts w:hint="eastAsia"/>
          <w:lang w:eastAsia="zh-CN"/>
        </w:rPr>
        <w:t>年</w:t>
      </w:r>
      <w:r>
        <w:rPr>
          <w:rFonts w:hint="eastAsia"/>
          <w:lang w:eastAsia="zh-CN"/>
        </w:rPr>
        <w:t>10</w:t>
      </w:r>
      <w:r w:rsidRPr="006D0EE6">
        <w:rPr>
          <w:rFonts w:hint="eastAsia"/>
          <w:lang w:eastAsia="zh-CN"/>
        </w:rPr>
        <w:t>月</w:t>
      </w:r>
      <w:r>
        <w:rPr>
          <w:lang w:eastAsia="zh-CN"/>
        </w:rPr>
        <w:t>18</w:t>
      </w:r>
      <w:r w:rsidRPr="006D0EE6">
        <w:rPr>
          <w:rFonts w:hint="eastAsia"/>
          <w:lang w:eastAsia="zh-CN"/>
        </w:rPr>
        <w:t>日）</w:t>
      </w:r>
    </w:p>
    <w:p w14:paraId="4827C1EA" w14:textId="77777777" w:rsidR="004E1793" w:rsidRPr="00EB5BE2" w:rsidRDefault="004E1793" w:rsidP="00FB7D4E">
      <w:pPr>
        <w:pStyle w:val="Appendixref"/>
        <w:rPr>
          <w:bCs/>
          <w:lang w:eastAsia="zh-CN"/>
        </w:rPr>
      </w:pPr>
      <w:r w:rsidRPr="006510A8">
        <w:rPr>
          <w:rFonts w:hAnsi="SimSun" w:hint="eastAsia"/>
          <w:lang w:eastAsia="zh-CN"/>
        </w:rPr>
        <w:t>第</w:t>
      </w:r>
      <w:r>
        <w:rPr>
          <w:lang w:eastAsia="zh-CN"/>
        </w:rPr>
        <w:t>1363</w:t>
      </w:r>
      <w:r w:rsidRPr="006510A8">
        <w:rPr>
          <w:rFonts w:hAnsi="SimSun"/>
          <w:lang w:eastAsia="zh-CN"/>
        </w:rPr>
        <w:t>号决议</w:t>
      </w:r>
      <w:r>
        <w:rPr>
          <w:lang w:eastAsia="zh-CN"/>
        </w:rPr>
        <w:tab/>
      </w:r>
      <w:r w:rsidRPr="000C3F57">
        <w:rPr>
          <w:rFonts w:hint="eastAsia"/>
          <w:lang w:eastAsia="zh-CN"/>
        </w:rPr>
        <w:t>无线电通信部门</w:t>
      </w:r>
      <w:r w:rsidRPr="000C3F57">
        <w:rPr>
          <w:rFonts w:hint="eastAsia"/>
          <w:lang w:eastAsia="zh-CN"/>
        </w:rPr>
        <w:t>201</w:t>
      </w:r>
      <w:r>
        <w:rPr>
          <w:lang w:eastAsia="zh-CN"/>
        </w:rPr>
        <w:t>5</w:t>
      </w:r>
      <w:r w:rsidRPr="000C3F57">
        <w:rPr>
          <w:rFonts w:hint="eastAsia"/>
          <w:lang w:eastAsia="zh-CN"/>
        </w:rPr>
        <w:t>-201</w:t>
      </w:r>
      <w:r>
        <w:rPr>
          <w:lang w:eastAsia="zh-CN"/>
        </w:rPr>
        <w:t>8</w:t>
      </w:r>
      <w:r w:rsidRPr="000C3F57">
        <w:rPr>
          <w:rFonts w:hint="eastAsia"/>
          <w:lang w:eastAsia="zh-CN"/>
        </w:rPr>
        <w:t>年四年期滚动式运作规划</w:t>
      </w:r>
      <w:r>
        <w:rPr>
          <w:lang w:eastAsia="zh-CN"/>
        </w:rPr>
        <w:tab/>
      </w:r>
      <w:r w:rsidRPr="00EB5BE2">
        <w:rPr>
          <w:lang w:eastAsia="zh-CN"/>
        </w:rPr>
        <w:tab/>
      </w:r>
      <w:r w:rsidR="00FB7D4E">
        <w:rPr>
          <w:lang w:eastAsia="zh-CN"/>
        </w:rPr>
        <w:t>2016</w:t>
      </w:r>
      <w:r w:rsidR="00FB7D4E">
        <w:rPr>
          <w:rFonts w:hint="eastAsia"/>
          <w:lang w:eastAsia="zh-CN"/>
        </w:rPr>
        <w:t>年</w:t>
      </w:r>
    </w:p>
    <w:p w14:paraId="4827C1EB" w14:textId="77777777" w:rsidR="004E1793" w:rsidRPr="00EB5BE2" w:rsidRDefault="004E1793" w:rsidP="004E1793">
      <w:pPr>
        <w:pStyle w:val="Appendixref"/>
        <w:rPr>
          <w:bCs/>
          <w:lang w:eastAsia="zh-CN"/>
        </w:rPr>
      </w:pPr>
      <w:r w:rsidRPr="006510A8">
        <w:rPr>
          <w:rFonts w:hAnsi="SimSun" w:hint="eastAsia"/>
          <w:lang w:eastAsia="zh-CN"/>
        </w:rPr>
        <w:t>第</w:t>
      </w:r>
      <w:r>
        <w:rPr>
          <w:lang w:eastAsia="zh-CN"/>
        </w:rPr>
        <w:t>1364</w:t>
      </w:r>
      <w:r w:rsidRPr="006510A8">
        <w:rPr>
          <w:rFonts w:hAnsi="SimSun"/>
          <w:lang w:eastAsia="zh-CN"/>
        </w:rPr>
        <w:t>号决议</w:t>
      </w:r>
      <w:r>
        <w:rPr>
          <w:lang w:eastAsia="zh-CN"/>
        </w:rPr>
        <w:tab/>
      </w:r>
      <w:r w:rsidRPr="000C3F57">
        <w:rPr>
          <w:rFonts w:hint="eastAsia"/>
          <w:lang w:eastAsia="zh-CN"/>
        </w:rPr>
        <w:t>电信标准化部门</w:t>
      </w:r>
      <w:r>
        <w:rPr>
          <w:rFonts w:hint="eastAsia"/>
          <w:lang w:eastAsia="zh-CN"/>
        </w:rPr>
        <w:t>201</w:t>
      </w:r>
      <w:r>
        <w:rPr>
          <w:lang w:eastAsia="zh-CN"/>
        </w:rPr>
        <w:t>5</w:t>
      </w:r>
      <w:r>
        <w:rPr>
          <w:rFonts w:hint="eastAsia"/>
          <w:lang w:eastAsia="zh-CN"/>
        </w:rPr>
        <w:t>-</w:t>
      </w:r>
      <w:r w:rsidRPr="000C3F57">
        <w:rPr>
          <w:rFonts w:hint="eastAsia"/>
          <w:lang w:eastAsia="zh-CN"/>
        </w:rPr>
        <w:t>201</w:t>
      </w:r>
      <w:r>
        <w:rPr>
          <w:lang w:eastAsia="zh-CN"/>
        </w:rPr>
        <w:t>8</w:t>
      </w:r>
      <w:r w:rsidRPr="000C3F57">
        <w:rPr>
          <w:rFonts w:hint="eastAsia"/>
          <w:lang w:eastAsia="zh-CN"/>
        </w:rPr>
        <w:t>年四年期滚动式运作规划</w:t>
      </w:r>
      <w:r>
        <w:rPr>
          <w:lang w:eastAsia="zh-CN"/>
        </w:rPr>
        <w:tab/>
      </w:r>
      <w:r w:rsidRPr="00EB5BE2">
        <w:rPr>
          <w:lang w:eastAsia="zh-CN"/>
        </w:rPr>
        <w:tab/>
      </w:r>
      <w:r w:rsidR="00FB7D4E">
        <w:rPr>
          <w:bCs/>
          <w:lang w:eastAsia="zh-CN"/>
        </w:rPr>
        <w:t>2016</w:t>
      </w:r>
      <w:r w:rsidR="00FB7D4E">
        <w:rPr>
          <w:rFonts w:hint="eastAsia"/>
          <w:bCs/>
          <w:lang w:eastAsia="zh-CN"/>
        </w:rPr>
        <w:t>年</w:t>
      </w:r>
    </w:p>
    <w:p w14:paraId="4827C1EC" w14:textId="77777777" w:rsidR="004E1793" w:rsidRPr="00EB5BE2" w:rsidRDefault="004E1793" w:rsidP="004E1793">
      <w:pPr>
        <w:pStyle w:val="Appendixref"/>
        <w:rPr>
          <w:bCs/>
          <w:lang w:eastAsia="zh-CN"/>
        </w:rPr>
      </w:pPr>
      <w:r w:rsidRPr="006510A8">
        <w:rPr>
          <w:rFonts w:hAnsi="SimSun" w:hint="eastAsia"/>
          <w:lang w:eastAsia="zh-CN"/>
        </w:rPr>
        <w:t>第</w:t>
      </w:r>
      <w:r>
        <w:rPr>
          <w:lang w:eastAsia="zh-CN"/>
        </w:rPr>
        <w:t>1365</w:t>
      </w:r>
      <w:r w:rsidRPr="006510A8">
        <w:rPr>
          <w:rFonts w:hAnsi="SimSun"/>
          <w:lang w:eastAsia="zh-CN"/>
        </w:rPr>
        <w:t>号决议</w:t>
      </w:r>
      <w:r>
        <w:rPr>
          <w:lang w:eastAsia="zh-CN"/>
        </w:rPr>
        <w:tab/>
      </w:r>
      <w:r w:rsidRPr="000C3F57">
        <w:rPr>
          <w:lang w:eastAsia="zh-CN"/>
        </w:rPr>
        <w:t>电信发展部门</w:t>
      </w:r>
      <w:r w:rsidRPr="000C3F57">
        <w:rPr>
          <w:lang w:eastAsia="zh-CN"/>
        </w:rPr>
        <w:t>201</w:t>
      </w:r>
      <w:r>
        <w:rPr>
          <w:lang w:eastAsia="zh-CN"/>
        </w:rPr>
        <w:t>5</w:t>
      </w:r>
      <w:r w:rsidRPr="000C3F57">
        <w:rPr>
          <w:lang w:eastAsia="zh-CN"/>
        </w:rPr>
        <w:t>-201</w:t>
      </w:r>
      <w:r>
        <w:rPr>
          <w:lang w:eastAsia="zh-CN"/>
        </w:rPr>
        <w:t>8</w:t>
      </w:r>
      <w:r w:rsidRPr="000C3F57">
        <w:rPr>
          <w:lang w:eastAsia="zh-CN"/>
        </w:rPr>
        <w:t>年四年期滚动</w:t>
      </w:r>
      <w:r w:rsidRPr="000C3F57">
        <w:rPr>
          <w:rFonts w:hint="eastAsia"/>
          <w:lang w:eastAsia="zh-CN"/>
        </w:rPr>
        <w:t>式</w:t>
      </w:r>
      <w:r w:rsidRPr="000C3F57">
        <w:rPr>
          <w:lang w:eastAsia="zh-CN"/>
        </w:rPr>
        <w:t>运作规划</w:t>
      </w:r>
      <w:r>
        <w:rPr>
          <w:lang w:eastAsia="zh-CN"/>
        </w:rPr>
        <w:tab/>
      </w:r>
      <w:r w:rsidRPr="00EB5BE2">
        <w:rPr>
          <w:lang w:eastAsia="zh-CN"/>
        </w:rPr>
        <w:tab/>
      </w:r>
      <w:r w:rsidR="00FB7D4E">
        <w:rPr>
          <w:bCs/>
          <w:lang w:eastAsia="zh-CN"/>
        </w:rPr>
        <w:t>2016</w:t>
      </w:r>
      <w:r w:rsidR="00FB7D4E">
        <w:rPr>
          <w:rFonts w:hint="eastAsia"/>
          <w:bCs/>
          <w:lang w:eastAsia="zh-CN"/>
        </w:rPr>
        <w:t>年</w:t>
      </w:r>
    </w:p>
    <w:p w14:paraId="4827C1ED" w14:textId="77777777" w:rsidR="004E1793" w:rsidRPr="00EB5BE2" w:rsidRDefault="004E1793" w:rsidP="004E1793">
      <w:pPr>
        <w:pStyle w:val="Appendixref"/>
        <w:rPr>
          <w:bCs/>
          <w:lang w:eastAsia="zh-CN"/>
        </w:rPr>
      </w:pPr>
      <w:r w:rsidRPr="006510A8">
        <w:rPr>
          <w:rFonts w:hAnsi="SimSun" w:hint="eastAsia"/>
          <w:lang w:eastAsia="zh-CN"/>
        </w:rPr>
        <w:t>第</w:t>
      </w:r>
      <w:r>
        <w:rPr>
          <w:lang w:eastAsia="zh-CN"/>
        </w:rPr>
        <w:t>1366</w:t>
      </w:r>
      <w:r w:rsidRPr="006510A8">
        <w:rPr>
          <w:rFonts w:hAnsi="SimSun"/>
          <w:lang w:eastAsia="zh-CN"/>
        </w:rPr>
        <w:t>号决议</w:t>
      </w:r>
      <w:r>
        <w:rPr>
          <w:lang w:eastAsia="zh-CN"/>
        </w:rPr>
        <w:tab/>
      </w:r>
      <w:r w:rsidRPr="000C3F57">
        <w:rPr>
          <w:rFonts w:hint="eastAsia"/>
          <w:lang w:eastAsia="zh-CN"/>
        </w:rPr>
        <w:t>总秘书处</w:t>
      </w:r>
      <w:r w:rsidRPr="000C3F57">
        <w:rPr>
          <w:rFonts w:hint="eastAsia"/>
          <w:lang w:eastAsia="zh-CN"/>
        </w:rPr>
        <w:t>201</w:t>
      </w:r>
      <w:r>
        <w:rPr>
          <w:lang w:eastAsia="zh-CN"/>
        </w:rPr>
        <w:t>5</w:t>
      </w:r>
      <w:r>
        <w:rPr>
          <w:rFonts w:hint="eastAsia"/>
          <w:lang w:eastAsia="zh-CN"/>
        </w:rPr>
        <w:t>-201</w:t>
      </w:r>
      <w:r>
        <w:rPr>
          <w:lang w:eastAsia="zh-CN"/>
        </w:rPr>
        <w:t>8</w:t>
      </w:r>
      <w:r w:rsidRPr="000C3F57">
        <w:rPr>
          <w:rFonts w:hint="eastAsia"/>
          <w:lang w:eastAsia="zh-CN"/>
        </w:rPr>
        <w:t>年四年期滚动式运作计划</w:t>
      </w:r>
      <w:r w:rsidRPr="00EB5BE2">
        <w:rPr>
          <w:lang w:eastAsia="zh-CN"/>
        </w:rPr>
        <w:tab/>
      </w:r>
      <w:r>
        <w:rPr>
          <w:lang w:eastAsia="zh-CN"/>
        </w:rPr>
        <w:tab/>
      </w:r>
      <w:r w:rsidR="00FB7D4E">
        <w:rPr>
          <w:bCs/>
          <w:lang w:eastAsia="zh-CN"/>
        </w:rPr>
        <w:t>2016</w:t>
      </w:r>
      <w:r w:rsidR="00FB7D4E">
        <w:rPr>
          <w:rFonts w:hint="eastAsia"/>
          <w:bCs/>
          <w:lang w:eastAsia="zh-CN"/>
        </w:rPr>
        <w:t>年</w:t>
      </w:r>
    </w:p>
    <w:p w14:paraId="4827C1EE" w14:textId="77777777" w:rsidR="004E1793" w:rsidRPr="00EB5BE2" w:rsidRDefault="004E1793" w:rsidP="004E1793">
      <w:pPr>
        <w:pStyle w:val="Appendixref"/>
        <w:rPr>
          <w:bCs/>
          <w:lang w:eastAsia="zh-CN"/>
        </w:rPr>
      </w:pPr>
      <w:r w:rsidRPr="006510A8">
        <w:rPr>
          <w:rFonts w:hAnsi="SimSun" w:hint="eastAsia"/>
          <w:lang w:eastAsia="zh-CN"/>
        </w:rPr>
        <w:t>第</w:t>
      </w:r>
      <w:r>
        <w:rPr>
          <w:lang w:eastAsia="zh-CN"/>
        </w:rPr>
        <w:t>1367</w:t>
      </w:r>
      <w:r w:rsidRPr="006510A8">
        <w:rPr>
          <w:rFonts w:hAnsi="SimSun"/>
          <w:lang w:eastAsia="zh-CN"/>
        </w:rPr>
        <w:t>号决议</w:t>
      </w:r>
      <w:r>
        <w:rPr>
          <w:lang w:eastAsia="zh-CN"/>
        </w:rPr>
        <w:tab/>
      </w:r>
      <w:r w:rsidRPr="00A112E9">
        <w:rPr>
          <w:rFonts w:cs="Calibri"/>
          <w:lang w:eastAsia="zh-CN"/>
        </w:rPr>
        <w:t>国际电信联盟</w:t>
      </w:r>
      <w:r w:rsidRPr="00A112E9">
        <w:rPr>
          <w:rFonts w:cs="Calibri"/>
          <w:lang w:eastAsia="zh-CN"/>
        </w:rPr>
        <w:t>150</w:t>
      </w:r>
      <w:r w:rsidRPr="00A112E9">
        <w:rPr>
          <w:rFonts w:cs="Calibri"/>
          <w:lang w:eastAsia="zh-CN"/>
        </w:rPr>
        <w:t>周年庆典</w:t>
      </w:r>
      <w:r w:rsidRPr="00EB5BE2">
        <w:rPr>
          <w:lang w:eastAsia="zh-CN"/>
        </w:rPr>
        <w:tab/>
      </w:r>
      <w:r>
        <w:rPr>
          <w:lang w:eastAsia="zh-CN"/>
        </w:rPr>
        <w:tab/>
      </w:r>
      <w:r w:rsidR="00FB7D4E">
        <w:rPr>
          <w:bCs/>
          <w:lang w:eastAsia="zh-CN"/>
        </w:rPr>
        <w:t>2016</w:t>
      </w:r>
      <w:r w:rsidR="00FB7D4E">
        <w:rPr>
          <w:rFonts w:hint="eastAsia"/>
          <w:bCs/>
          <w:lang w:eastAsia="zh-CN"/>
        </w:rPr>
        <w:t>年</w:t>
      </w:r>
    </w:p>
    <w:p w14:paraId="4827C1EF" w14:textId="77777777" w:rsidR="004E1793" w:rsidRPr="00EB5BE2" w:rsidRDefault="004E1793" w:rsidP="004E1793">
      <w:pPr>
        <w:pStyle w:val="Appendixref"/>
        <w:rPr>
          <w:bCs/>
          <w:lang w:eastAsia="zh-CN"/>
        </w:rPr>
      </w:pPr>
      <w:r w:rsidRPr="006510A8">
        <w:rPr>
          <w:rFonts w:hAnsi="SimSun" w:hint="eastAsia"/>
          <w:lang w:eastAsia="zh-CN"/>
        </w:rPr>
        <w:t>第</w:t>
      </w:r>
      <w:r>
        <w:rPr>
          <w:lang w:eastAsia="zh-CN"/>
        </w:rPr>
        <w:t>1368</w:t>
      </w:r>
      <w:r w:rsidRPr="006510A8">
        <w:rPr>
          <w:rFonts w:hAnsi="SimSun"/>
          <w:lang w:eastAsia="zh-CN"/>
        </w:rPr>
        <w:t>号决议</w:t>
      </w:r>
      <w:r>
        <w:rPr>
          <w:lang w:eastAsia="zh-CN"/>
        </w:rPr>
        <w:tab/>
      </w:r>
      <w:r w:rsidRPr="00A112E9">
        <w:rPr>
          <w:rFonts w:hint="eastAsia"/>
          <w:lang w:eastAsia="zh-CN"/>
        </w:rPr>
        <w:t>国际电联选任官员的服务条件</w:t>
      </w:r>
      <w:r w:rsidRPr="00EB5BE2">
        <w:rPr>
          <w:lang w:eastAsia="zh-CN"/>
        </w:rPr>
        <w:tab/>
      </w:r>
      <w:r>
        <w:rPr>
          <w:lang w:eastAsia="zh-CN"/>
        </w:rPr>
        <w:tab/>
      </w:r>
      <w:r w:rsidRPr="00ED2E58">
        <w:rPr>
          <w:rFonts w:hint="eastAsia"/>
          <w:bCs/>
          <w:lang w:eastAsia="zh-CN"/>
        </w:rPr>
        <w:t>2015</w:t>
      </w:r>
      <w:r w:rsidRPr="00ED2E58">
        <w:rPr>
          <w:rFonts w:hint="eastAsia"/>
          <w:bCs/>
          <w:lang w:eastAsia="zh-CN"/>
        </w:rPr>
        <w:t>年</w:t>
      </w:r>
    </w:p>
    <w:p w14:paraId="4827C1F0" w14:textId="77777777" w:rsidR="004E1793" w:rsidRPr="00EB5BE2" w:rsidRDefault="004E1793" w:rsidP="004E1793">
      <w:pPr>
        <w:pStyle w:val="Appendixref"/>
        <w:rPr>
          <w:bCs/>
          <w:lang w:eastAsia="zh-CN"/>
        </w:rPr>
      </w:pPr>
      <w:r w:rsidRPr="006510A8">
        <w:rPr>
          <w:rFonts w:hAnsi="SimSun" w:hint="eastAsia"/>
          <w:lang w:eastAsia="zh-CN"/>
        </w:rPr>
        <w:t>第</w:t>
      </w:r>
      <w:r>
        <w:rPr>
          <w:lang w:eastAsia="zh-CN"/>
        </w:rPr>
        <w:t>1369</w:t>
      </w:r>
      <w:r w:rsidRPr="006510A8">
        <w:rPr>
          <w:rFonts w:hAnsi="SimSun"/>
          <w:lang w:eastAsia="zh-CN"/>
        </w:rPr>
        <w:t>号决议</w:t>
      </w:r>
      <w:r>
        <w:rPr>
          <w:lang w:eastAsia="zh-CN"/>
        </w:rPr>
        <w:tab/>
      </w:r>
      <w:r w:rsidRPr="00A112E9">
        <w:rPr>
          <w:rFonts w:hint="eastAsia"/>
          <w:lang w:eastAsia="zh-CN"/>
        </w:rPr>
        <w:t>对适用于委任职员的《人事规则》的修正</w:t>
      </w:r>
      <w:r w:rsidRPr="00EB5BE2">
        <w:rPr>
          <w:lang w:eastAsia="zh-CN"/>
        </w:rPr>
        <w:tab/>
      </w:r>
      <w:r>
        <w:rPr>
          <w:lang w:eastAsia="zh-CN"/>
        </w:rPr>
        <w:tab/>
      </w:r>
      <w:r>
        <w:rPr>
          <w:bCs/>
          <w:lang w:eastAsia="zh-CN"/>
        </w:rPr>
        <w:t>2.1</w:t>
      </w:r>
    </w:p>
    <w:p w14:paraId="4827C1F1" w14:textId="77777777" w:rsidR="004E1793" w:rsidRPr="00EB5BE2" w:rsidRDefault="004E1793" w:rsidP="004E1793">
      <w:pPr>
        <w:pStyle w:val="Appendixref"/>
        <w:rPr>
          <w:bCs/>
          <w:lang w:eastAsia="zh-CN"/>
        </w:rPr>
      </w:pPr>
      <w:r w:rsidRPr="006510A8">
        <w:rPr>
          <w:rFonts w:hAnsi="SimSun" w:hint="eastAsia"/>
          <w:lang w:eastAsia="zh-CN"/>
        </w:rPr>
        <w:t>第</w:t>
      </w:r>
      <w:r>
        <w:rPr>
          <w:lang w:eastAsia="zh-CN"/>
        </w:rPr>
        <w:t>1370</w:t>
      </w:r>
      <w:r w:rsidRPr="006510A8">
        <w:rPr>
          <w:rFonts w:hAnsi="SimSun"/>
          <w:lang w:eastAsia="zh-CN"/>
        </w:rPr>
        <w:t>号决议</w:t>
      </w:r>
      <w:r>
        <w:rPr>
          <w:lang w:eastAsia="zh-CN"/>
        </w:rPr>
        <w:tab/>
      </w:r>
      <w:r w:rsidRPr="00A112E9">
        <w:rPr>
          <w:lang w:eastAsia="zh-CN"/>
        </w:rPr>
        <w:t>201</w:t>
      </w:r>
      <w:r w:rsidRPr="00A112E9">
        <w:rPr>
          <w:rFonts w:hint="eastAsia"/>
          <w:lang w:eastAsia="zh-CN"/>
        </w:rPr>
        <w:t>3</w:t>
      </w:r>
      <w:r w:rsidRPr="00A112E9">
        <w:rPr>
          <w:rFonts w:hint="eastAsia"/>
          <w:lang w:eastAsia="zh-CN"/>
        </w:rPr>
        <w:t>财务年度的财务工作报告</w:t>
      </w:r>
      <w:r w:rsidRPr="00EB5BE2">
        <w:rPr>
          <w:lang w:eastAsia="zh-CN"/>
        </w:rPr>
        <w:tab/>
      </w:r>
      <w:r>
        <w:rPr>
          <w:lang w:eastAsia="zh-CN"/>
        </w:rPr>
        <w:tab/>
      </w:r>
      <w:r w:rsidRPr="00ED2E58">
        <w:rPr>
          <w:rFonts w:hint="eastAsia"/>
          <w:bCs/>
          <w:lang w:eastAsia="zh-CN"/>
        </w:rPr>
        <w:t>2015</w:t>
      </w:r>
      <w:r w:rsidRPr="00ED2E58">
        <w:rPr>
          <w:rFonts w:hint="eastAsia"/>
          <w:bCs/>
          <w:lang w:eastAsia="zh-CN"/>
        </w:rPr>
        <w:t>年</w:t>
      </w:r>
    </w:p>
    <w:p w14:paraId="4827C1F2" w14:textId="77777777" w:rsidR="00950978" w:rsidRDefault="00950978" w:rsidP="003E11A1">
      <w:pPr>
        <w:pStyle w:val="Reftitle"/>
        <w:rPr>
          <w:lang w:eastAsia="zh-CN"/>
        </w:rPr>
      </w:pPr>
      <w:r w:rsidRPr="006D0EE6">
        <w:rPr>
          <w:rFonts w:hint="eastAsia"/>
          <w:lang w:eastAsia="zh-CN"/>
        </w:rPr>
        <w:t>20</w:t>
      </w:r>
      <w:r>
        <w:rPr>
          <w:rFonts w:hint="eastAsia"/>
          <w:lang w:eastAsia="zh-CN"/>
        </w:rPr>
        <w:t>1</w:t>
      </w:r>
      <w:r>
        <w:rPr>
          <w:lang w:eastAsia="zh-CN"/>
        </w:rPr>
        <w:t>5</w:t>
      </w:r>
      <w:r w:rsidRPr="006D0EE6">
        <w:rPr>
          <w:rFonts w:hint="eastAsia"/>
          <w:lang w:eastAsia="zh-CN"/>
        </w:rPr>
        <w:t>年非常会议（</w:t>
      </w:r>
      <w:r>
        <w:rPr>
          <w:rFonts w:hint="eastAsia"/>
          <w:lang w:eastAsia="zh-CN"/>
        </w:rPr>
        <w:t>201</w:t>
      </w:r>
      <w:r>
        <w:rPr>
          <w:lang w:eastAsia="zh-CN"/>
        </w:rPr>
        <w:t>4</w:t>
      </w:r>
      <w:r w:rsidRPr="006D0EE6">
        <w:rPr>
          <w:rFonts w:hint="eastAsia"/>
          <w:lang w:eastAsia="zh-CN"/>
        </w:rPr>
        <w:t>年</w:t>
      </w:r>
      <w:r w:rsidRPr="006D0EE6">
        <w:rPr>
          <w:rFonts w:hint="eastAsia"/>
          <w:lang w:eastAsia="zh-CN"/>
        </w:rPr>
        <w:t>1</w:t>
      </w:r>
      <w:r>
        <w:rPr>
          <w:lang w:eastAsia="zh-CN"/>
        </w:rPr>
        <w:t>1</w:t>
      </w:r>
      <w:r w:rsidRPr="006D0EE6">
        <w:rPr>
          <w:rFonts w:hint="eastAsia"/>
          <w:lang w:eastAsia="zh-CN"/>
        </w:rPr>
        <w:t>月</w:t>
      </w:r>
      <w:r>
        <w:rPr>
          <w:lang w:eastAsia="zh-CN"/>
        </w:rPr>
        <w:t>7</w:t>
      </w:r>
      <w:r w:rsidRPr="006D0EE6">
        <w:rPr>
          <w:rFonts w:hint="eastAsia"/>
          <w:lang w:eastAsia="zh-CN"/>
        </w:rPr>
        <w:t>日）</w:t>
      </w:r>
    </w:p>
    <w:p w14:paraId="4827C1F3" w14:textId="77777777" w:rsidR="004E1793" w:rsidRPr="00EB5BE2" w:rsidRDefault="004E1793" w:rsidP="004E1793">
      <w:pPr>
        <w:pStyle w:val="Appendixref"/>
        <w:rPr>
          <w:bCs/>
          <w:lang w:eastAsia="zh-CN"/>
        </w:rPr>
      </w:pPr>
      <w:r w:rsidRPr="006510A8">
        <w:rPr>
          <w:rFonts w:hAnsi="SimSun" w:hint="eastAsia"/>
          <w:lang w:eastAsia="zh-CN"/>
        </w:rPr>
        <w:t>第</w:t>
      </w:r>
      <w:r>
        <w:rPr>
          <w:lang w:eastAsia="zh-CN"/>
        </w:rPr>
        <w:t>1371</w:t>
      </w:r>
      <w:r w:rsidRPr="006510A8">
        <w:rPr>
          <w:rFonts w:hAnsi="SimSun"/>
          <w:lang w:eastAsia="zh-CN"/>
        </w:rPr>
        <w:t>号决议</w:t>
      </w:r>
      <w:r>
        <w:rPr>
          <w:lang w:eastAsia="zh-CN"/>
        </w:rPr>
        <w:tab/>
      </w:r>
      <w:r w:rsidRPr="00A112E9">
        <w:rPr>
          <w:rFonts w:hint="eastAsia"/>
          <w:lang w:eastAsia="zh-CN"/>
        </w:rPr>
        <w:t>国际电联职员养恤金委员会的委员</w:t>
      </w:r>
      <w:r w:rsidRPr="00EB5BE2">
        <w:rPr>
          <w:lang w:eastAsia="zh-CN"/>
        </w:rPr>
        <w:tab/>
      </w:r>
      <w:r>
        <w:rPr>
          <w:lang w:eastAsia="zh-CN"/>
        </w:rPr>
        <w:tab/>
      </w:r>
      <w:r w:rsidR="000F51C3">
        <w:rPr>
          <w:rFonts w:hint="eastAsia"/>
          <w:lang w:eastAsia="zh-CN"/>
        </w:rPr>
        <w:t>2019</w:t>
      </w:r>
      <w:r w:rsidR="000F51C3">
        <w:rPr>
          <w:rFonts w:hint="eastAsia"/>
          <w:lang w:eastAsia="zh-CN"/>
        </w:rPr>
        <w:t>年</w:t>
      </w:r>
    </w:p>
    <w:p w14:paraId="4827C1F4" w14:textId="77777777" w:rsidR="00091112" w:rsidRDefault="00091112">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4827C1F5" w14:textId="77777777" w:rsidR="005A3C64" w:rsidRDefault="005A3C64" w:rsidP="003E11A1">
      <w:pPr>
        <w:pStyle w:val="Reftitle"/>
        <w:rPr>
          <w:lang w:eastAsia="zh-CN"/>
        </w:rPr>
      </w:pPr>
      <w:r w:rsidRPr="00022E00">
        <w:rPr>
          <w:lang w:eastAsia="zh-CN"/>
        </w:rPr>
        <w:lastRenderedPageBreak/>
        <w:t>20</w:t>
      </w:r>
      <w:r w:rsidR="00091112">
        <w:rPr>
          <w:lang w:eastAsia="zh-CN"/>
        </w:rPr>
        <w:t>15</w:t>
      </w:r>
      <w:r w:rsidR="00091112">
        <w:rPr>
          <w:lang w:eastAsia="zh-CN"/>
        </w:rPr>
        <w:t>年</w:t>
      </w:r>
      <w:r>
        <w:rPr>
          <w:rFonts w:hint="eastAsia"/>
          <w:lang w:eastAsia="zh-CN"/>
        </w:rPr>
        <w:t>会议（</w:t>
      </w:r>
      <w:r>
        <w:rPr>
          <w:rFonts w:hint="eastAsia"/>
          <w:lang w:eastAsia="zh-CN"/>
        </w:rPr>
        <w:t>2015</w:t>
      </w:r>
      <w:r>
        <w:rPr>
          <w:rFonts w:hint="eastAsia"/>
          <w:lang w:eastAsia="zh-CN"/>
        </w:rPr>
        <w:t>年</w:t>
      </w:r>
      <w:r>
        <w:rPr>
          <w:rFonts w:hint="eastAsia"/>
          <w:lang w:eastAsia="zh-CN"/>
        </w:rPr>
        <w:t>5</w:t>
      </w:r>
      <w:r>
        <w:rPr>
          <w:rFonts w:hint="eastAsia"/>
          <w:lang w:eastAsia="zh-CN"/>
        </w:rPr>
        <w:t>月</w:t>
      </w:r>
      <w:r>
        <w:rPr>
          <w:lang w:eastAsia="zh-CN"/>
        </w:rPr>
        <w:t>12-22</w:t>
      </w:r>
      <w:r>
        <w:rPr>
          <w:rFonts w:hint="eastAsia"/>
          <w:lang w:eastAsia="zh-CN"/>
        </w:rPr>
        <w:t>）</w:t>
      </w:r>
    </w:p>
    <w:p w14:paraId="4827C1F6" w14:textId="77777777" w:rsidR="005A3C64" w:rsidRDefault="00091112" w:rsidP="004E1793">
      <w:pPr>
        <w:pStyle w:val="Appendixref"/>
        <w:rPr>
          <w:lang w:val="en-US" w:eastAsia="zh-CN"/>
        </w:rPr>
      </w:pPr>
      <w:r>
        <w:rPr>
          <w:lang w:val="en-US" w:eastAsia="zh-CN"/>
        </w:rPr>
        <w:t>第</w:t>
      </w:r>
      <w:r w:rsidR="005A3C64" w:rsidRPr="00E74AB8">
        <w:rPr>
          <w:lang w:val="en-US" w:eastAsia="zh-CN"/>
        </w:rPr>
        <w:t>13</w:t>
      </w:r>
      <w:r w:rsidR="005A3C64">
        <w:rPr>
          <w:lang w:val="en-US" w:eastAsia="zh-CN"/>
        </w:rPr>
        <w:t>72</w:t>
      </w:r>
      <w:r>
        <w:rPr>
          <w:lang w:val="en-US" w:eastAsia="zh-CN"/>
        </w:rPr>
        <w:t>号决议</w:t>
      </w:r>
      <w:r w:rsidR="005A3C64">
        <w:rPr>
          <w:lang w:val="en-US" w:eastAsia="zh-CN"/>
        </w:rPr>
        <w:tab/>
      </w:r>
      <w:r w:rsidR="005A3C64" w:rsidRPr="005A3C64">
        <w:rPr>
          <w:rFonts w:hint="eastAsia"/>
          <w:lang w:val="en-US" w:eastAsia="zh-CN"/>
        </w:rPr>
        <w:t>理事会语文工作组（</w:t>
      </w:r>
      <w:r w:rsidR="005A3C64" w:rsidRPr="005A3C64">
        <w:rPr>
          <w:rFonts w:hint="eastAsia"/>
          <w:lang w:val="en-US" w:eastAsia="zh-CN"/>
        </w:rPr>
        <w:t>CWG-LANG</w:t>
      </w:r>
      <w:r w:rsidR="005A3C64" w:rsidRPr="005A3C64">
        <w:rPr>
          <w:rFonts w:hint="eastAsia"/>
          <w:lang w:val="en-US" w:eastAsia="zh-CN"/>
        </w:rPr>
        <w:t>）</w:t>
      </w:r>
      <w:r w:rsidR="005A3C64">
        <w:rPr>
          <w:lang w:val="en-US" w:eastAsia="zh-CN"/>
        </w:rPr>
        <w:tab/>
      </w:r>
      <w:r w:rsidR="004E1793">
        <w:rPr>
          <w:lang w:val="en-US" w:eastAsia="zh-CN"/>
        </w:rPr>
        <w:tab/>
      </w:r>
      <w:r w:rsidR="005A3C64">
        <w:rPr>
          <w:lang w:val="en-US" w:eastAsia="zh-CN"/>
        </w:rPr>
        <w:t>3.2</w:t>
      </w:r>
    </w:p>
    <w:p w14:paraId="4827C1F7" w14:textId="77777777" w:rsidR="005A3C64" w:rsidRPr="00C30734" w:rsidRDefault="00091112" w:rsidP="00CB7458">
      <w:pPr>
        <w:pStyle w:val="Appendixref"/>
        <w:rPr>
          <w:lang w:val="en-US" w:eastAsia="zh-CN"/>
        </w:rPr>
      </w:pPr>
      <w:r>
        <w:rPr>
          <w:lang w:val="en-US" w:eastAsia="zh-CN"/>
        </w:rPr>
        <w:t>第</w:t>
      </w:r>
      <w:r w:rsidR="005A3C64">
        <w:rPr>
          <w:lang w:val="en-US" w:eastAsia="zh-CN"/>
        </w:rPr>
        <w:t>1373</w:t>
      </w:r>
      <w:r>
        <w:rPr>
          <w:lang w:val="en-US" w:eastAsia="zh-CN"/>
        </w:rPr>
        <w:t>号决议</w:t>
      </w:r>
      <w:r w:rsidR="005A3C64">
        <w:rPr>
          <w:lang w:val="en-US" w:eastAsia="zh-CN"/>
        </w:rPr>
        <w:tab/>
      </w:r>
      <w:r w:rsidR="005A3C64" w:rsidRPr="005A3C64">
        <w:rPr>
          <w:rFonts w:eastAsiaTheme="minorEastAsia"/>
          <w:lang w:eastAsia="zh-CN"/>
        </w:rPr>
        <w:t>ITU-R</w:t>
      </w:r>
      <w:r w:rsidR="005A3C64" w:rsidRPr="005A3C64">
        <w:rPr>
          <w:rFonts w:eastAsiaTheme="minorEastAsia" w:hint="eastAsia"/>
          <w:lang w:eastAsia="zh-CN"/>
        </w:rPr>
        <w:t>、</w:t>
      </w:r>
      <w:r w:rsidR="005A3C64" w:rsidRPr="005A3C64">
        <w:rPr>
          <w:rFonts w:eastAsiaTheme="minorEastAsia"/>
          <w:lang w:eastAsia="zh-CN"/>
        </w:rPr>
        <w:t>ITU-T</w:t>
      </w:r>
      <w:r w:rsidR="005A3C64" w:rsidRPr="005A3C64">
        <w:rPr>
          <w:rFonts w:eastAsiaTheme="minorEastAsia" w:hint="eastAsia"/>
          <w:lang w:eastAsia="zh-CN"/>
        </w:rPr>
        <w:t>、</w:t>
      </w:r>
      <w:r w:rsidR="005A3C64" w:rsidRPr="005A3C64">
        <w:rPr>
          <w:rFonts w:eastAsiaTheme="minorEastAsia"/>
          <w:lang w:eastAsia="zh-CN"/>
        </w:rPr>
        <w:t>ITU-D</w:t>
      </w:r>
      <w:r w:rsidR="005A3C64" w:rsidRPr="005A3C64">
        <w:rPr>
          <w:rFonts w:eastAsiaTheme="minorEastAsia" w:hint="eastAsia"/>
          <w:lang w:eastAsia="zh-CN"/>
        </w:rPr>
        <w:t>和总秘书处</w:t>
      </w:r>
      <w:r w:rsidR="005A3C64" w:rsidRPr="005A3C64">
        <w:rPr>
          <w:rFonts w:eastAsiaTheme="minorEastAsia"/>
          <w:lang w:eastAsia="zh-CN"/>
        </w:rPr>
        <w:t>2016-2019</w:t>
      </w:r>
      <w:r w:rsidR="005A3C64" w:rsidRPr="005A3C64">
        <w:rPr>
          <w:rFonts w:eastAsiaTheme="minorEastAsia" w:hint="eastAsia"/>
          <w:lang w:eastAsia="zh-CN"/>
        </w:rPr>
        <w:t>年四年期滚动式运作规划</w:t>
      </w:r>
      <w:r w:rsidR="005A3C64" w:rsidRPr="00C30734">
        <w:rPr>
          <w:lang w:val="en-US" w:eastAsia="zh-CN"/>
        </w:rPr>
        <w:tab/>
      </w:r>
      <w:r w:rsidR="005A3C64">
        <w:rPr>
          <w:lang w:val="en-US" w:eastAsia="zh-CN"/>
        </w:rPr>
        <w:tab/>
      </w:r>
      <w:r w:rsidR="00CB7458">
        <w:rPr>
          <w:lang w:val="en-US" w:eastAsia="zh-CN"/>
        </w:rPr>
        <w:t>2017</w:t>
      </w:r>
      <w:r w:rsidR="00CB7458">
        <w:rPr>
          <w:rFonts w:hint="eastAsia"/>
          <w:lang w:val="en-US" w:eastAsia="zh-CN"/>
        </w:rPr>
        <w:t>年</w:t>
      </w:r>
    </w:p>
    <w:p w14:paraId="4827C1F8" w14:textId="77777777" w:rsidR="005A3C64" w:rsidRDefault="00091112" w:rsidP="004E1793">
      <w:pPr>
        <w:pStyle w:val="Appendixref"/>
        <w:rPr>
          <w:lang w:val="en-US" w:eastAsia="zh-CN"/>
        </w:rPr>
      </w:pPr>
      <w:r>
        <w:rPr>
          <w:lang w:val="en-US" w:eastAsia="zh-CN"/>
        </w:rPr>
        <w:t>第</w:t>
      </w:r>
      <w:r w:rsidR="005A3C64">
        <w:rPr>
          <w:lang w:val="en-US" w:eastAsia="zh-CN"/>
        </w:rPr>
        <w:t>1374</w:t>
      </w:r>
      <w:r>
        <w:rPr>
          <w:lang w:val="en-US" w:eastAsia="zh-CN"/>
        </w:rPr>
        <w:t>号决议</w:t>
      </w:r>
      <w:r w:rsidR="005A3C64">
        <w:rPr>
          <w:lang w:val="en-US" w:eastAsia="zh-CN"/>
        </w:rPr>
        <w:tab/>
      </w:r>
      <w:r w:rsidR="005A3C64" w:rsidRPr="005A3C64">
        <w:rPr>
          <w:rFonts w:hint="eastAsia"/>
          <w:lang w:val="en-US" w:eastAsia="zh-CN"/>
        </w:rPr>
        <w:t>加快通过电信</w:t>
      </w:r>
      <w:r w:rsidR="005A3C64" w:rsidRPr="005A3C64">
        <w:rPr>
          <w:rFonts w:hint="eastAsia"/>
          <w:lang w:val="en-US" w:eastAsia="zh-CN"/>
        </w:rPr>
        <w:t>/</w:t>
      </w:r>
      <w:r w:rsidR="005A3C64" w:rsidRPr="005A3C64">
        <w:rPr>
          <w:rFonts w:hint="eastAsia"/>
          <w:lang w:val="en-US" w:eastAsia="zh-CN"/>
        </w:rPr>
        <w:t>信息通信技术（</w:t>
      </w:r>
      <w:r w:rsidR="005A3C64" w:rsidRPr="005A3C64">
        <w:rPr>
          <w:rFonts w:hint="eastAsia"/>
          <w:lang w:val="en-US" w:eastAsia="zh-CN"/>
        </w:rPr>
        <w:t>ICT</w:t>
      </w:r>
      <w:r w:rsidR="005A3C64" w:rsidRPr="005A3C64">
        <w:rPr>
          <w:rFonts w:hint="eastAsia"/>
          <w:lang w:val="en-US" w:eastAsia="zh-CN"/>
        </w:rPr>
        <w:t>）增强青年的权能</w:t>
      </w:r>
      <w:r w:rsidR="005A3C64" w:rsidRPr="00C30734">
        <w:rPr>
          <w:lang w:val="en-US" w:eastAsia="zh-CN"/>
        </w:rPr>
        <w:tab/>
      </w:r>
      <w:r w:rsidR="004E1793">
        <w:rPr>
          <w:lang w:val="en-US" w:eastAsia="zh-CN"/>
        </w:rPr>
        <w:tab/>
      </w:r>
      <w:r w:rsidR="005A3C64" w:rsidRPr="00C30734">
        <w:rPr>
          <w:lang w:val="en-US" w:eastAsia="zh-CN"/>
        </w:rPr>
        <w:t>7.2</w:t>
      </w:r>
    </w:p>
    <w:p w14:paraId="4827C1F9" w14:textId="77777777" w:rsidR="005A3C64" w:rsidRPr="00C30734" w:rsidRDefault="00091112" w:rsidP="004E1793">
      <w:pPr>
        <w:pStyle w:val="Appendixref"/>
        <w:rPr>
          <w:lang w:val="en-US" w:eastAsia="zh-CN"/>
        </w:rPr>
      </w:pPr>
      <w:r>
        <w:rPr>
          <w:lang w:val="en-US" w:eastAsia="zh-CN"/>
        </w:rPr>
        <w:t>第</w:t>
      </w:r>
      <w:r w:rsidR="005A3C64">
        <w:rPr>
          <w:lang w:val="en-US" w:eastAsia="zh-CN"/>
        </w:rPr>
        <w:t>1375</w:t>
      </w:r>
      <w:r>
        <w:rPr>
          <w:lang w:val="en-US" w:eastAsia="zh-CN"/>
        </w:rPr>
        <w:t>号决议</w:t>
      </w:r>
      <w:r w:rsidR="005A3C64">
        <w:rPr>
          <w:lang w:val="en-US" w:eastAsia="zh-CN"/>
        </w:rPr>
        <w:tab/>
      </w:r>
      <w:r w:rsidR="00A627A2" w:rsidRPr="00A627A2">
        <w:rPr>
          <w:rFonts w:hint="eastAsia"/>
          <w:lang w:val="en-US" w:eastAsia="zh-CN"/>
        </w:rPr>
        <w:t>国际电信联盟</w:t>
      </w:r>
      <w:r w:rsidR="00A627A2" w:rsidRPr="00A627A2">
        <w:rPr>
          <w:rFonts w:hint="eastAsia"/>
          <w:lang w:val="en-US" w:eastAsia="zh-CN"/>
        </w:rPr>
        <w:t>2016-2017</w:t>
      </w:r>
      <w:r w:rsidR="00A627A2" w:rsidRPr="00A627A2">
        <w:rPr>
          <w:rFonts w:hint="eastAsia"/>
          <w:lang w:val="en-US" w:eastAsia="zh-CN"/>
        </w:rPr>
        <w:t>双年度预算</w:t>
      </w:r>
      <w:r w:rsidR="005A3C64" w:rsidRPr="00C30734">
        <w:rPr>
          <w:lang w:val="en-US" w:eastAsia="zh-CN"/>
        </w:rPr>
        <w:tab/>
      </w:r>
      <w:r w:rsidR="004E1793">
        <w:rPr>
          <w:lang w:val="en-US" w:eastAsia="zh-CN"/>
        </w:rPr>
        <w:tab/>
      </w:r>
      <w:r w:rsidR="000F51C3">
        <w:rPr>
          <w:rFonts w:hint="eastAsia"/>
          <w:lang w:val="en-US" w:eastAsia="zh-CN"/>
        </w:rPr>
        <w:t>2019</w:t>
      </w:r>
      <w:r w:rsidR="000F51C3">
        <w:rPr>
          <w:rFonts w:hint="eastAsia"/>
          <w:lang w:val="en-US" w:eastAsia="zh-CN"/>
        </w:rPr>
        <w:t>年</w:t>
      </w:r>
    </w:p>
    <w:p w14:paraId="4827C1FA" w14:textId="77777777" w:rsidR="005A3C64" w:rsidRPr="00C30734" w:rsidRDefault="00091112" w:rsidP="004E1793">
      <w:pPr>
        <w:pStyle w:val="Appendixref"/>
        <w:rPr>
          <w:lang w:val="en-US" w:eastAsia="zh-CN"/>
        </w:rPr>
      </w:pPr>
      <w:r>
        <w:rPr>
          <w:lang w:val="en-US" w:eastAsia="zh-CN"/>
        </w:rPr>
        <w:t>第</w:t>
      </w:r>
      <w:r w:rsidR="005A3C64">
        <w:rPr>
          <w:lang w:val="en-US" w:eastAsia="zh-CN"/>
        </w:rPr>
        <w:t>1376</w:t>
      </w:r>
      <w:r>
        <w:rPr>
          <w:lang w:val="en-US" w:eastAsia="zh-CN"/>
        </w:rPr>
        <w:t>号决议</w:t>
      </w:r>
      <w:r w:rsidR="005A3C64">
        <w:rPr>
          <w:lang w:val="en-US" w:eastAsia="zh-CN"/>
        </w:rPr>
        <w:tab/>
      </w:r>
      <w:r w:rsidR="00A627A2" w:rsidRPr="00A627A2">
        <w:rPr>
          <w:rFonts w:hint="eastAsia"/>
          <w:lang w:val="en-US" w:eastAsia="zh-CN"/>
        </w:rPr>
        <w:t>2014</w:t>
      </w:r>
      <w:r w:rsidR="00A627A2" w:rsidRPr="00A627A2">
        <w:rPr>
          <w:rFonts w:hint="eastAsia"/>
          <w:lang w:val="en-US" w:eastAsia="zh-CN"/>
        </w:rPr>
        <w:t>财务年度的财务工作报告</w:t>
      </w:r>
      <w:r w:rsidR="005A3C64" w:rsidRPr="00C30734">
        <w:rPr>
          <w:lang w:val="en-US" w:eastAsia="zh-CN"/>
        </w:rPr>
        <w:tab/>
      </w:r>
      <w:r w:rsidR="004E1793">
        <w:rPr>
          <w:lang w:val="en-US" w:eastAsia="zh-CN"/>
        </w:rPr>
        <w:tab/>
      </w:r>
      <w:r w:rsidR="000F51C3">
        <w:rPr>
          <w:rFonts w:hint="eastAsia"/>
          <w:lang w:val="en-US" w:eastAsia="zh-CN"/>
        </w:rPr>
        <w:t>2019</w:t>
      </w:r>
      <w:r w:rsidR="000F51C3">
        <w:rPr>
          <w:rFonts w:hint="eastAsia"/>
          <w:lang w:val="en-US" w:eastAsia="zh-CN"/>
        </w:rPr>
        <w:t>年</w:t>
      </w:r>
    </w:p>
    <w:p w14:paraId="4827C1FB" w14:textId="77777777" w:rsidR="005A3C64" w:rsidRDefault="00091112" w:rsidP="004E1793">
      <w:pPr>
        <w:pStyle w:val="Appendixref"/>
        <w:rPr>
          <w:lang w:val="en-US" w:eastAsia="zh-CN"/>
        </w:rPr>
      </w:pPr>
      <w:r>
        <w:rPr>
          <w:lang w:val="en-US" w:eastAsia="zh-CN"/>
        </w:rPr>
        <w:t>第</w:t>
      </w:r>
      <w:r w:rsidR="005A3C64">
        <w:rPr>
          <w:lang w:val="en-US" w:eastAsia="zh-CN"/>
        </w:rPr>
        <w:t>1377</w:t>
      </w:r>
      <w:r>
        <w:rPr>
          <w:lang w:val="en-US" w:eastAsia="zh-CN"/>
        </w:rPr>
        <w:t>号决议</w:t>
      </w:r>
      <w:r w:rsidR="005A3C64">
        <w:rPr>
          <w:lang w:val="en-US" w:eastAsia="zh-CN"/>
        </w:rPr>
        <w:tab/>
      </w:r>
      <w:r w:rsidR="00A627A2" w:rsidRPr="00A627A2">
        <w:rPr>
          <w:rFonts w:hint="eastAsia"/>
          <w:lang w:val="en-US" w:eastAsia="zh-CN"/>
        </w:rPr>
        <w:t>国际电联选任官员的服务条件</w:t>
      </w:r>
      <w:r w:rsidR="005A3C64" w:rsidRPr="00C30734">
        <w:rPr>
          <w:lang w:val="en-US" w:eastAsia="zh-CN"/>
        </w:rPr>
        <w:tab/>
      </w:r>
      <w:r w:rsidR="004E1793">
        <w:rPr>
          <w:lang w:val="en-US" w:eastAsia="zh-CN"/>
        </w:rPr>
        <w:tab/>
      </w:r>
      <w:r w:rsidR="009C4FDF">
        <w:rPr>
          <w:lang w:val="en-US" w:eastAsia="zh-CN"/>
        </w:rPr>
        <w:t>2016</w:t>
      </w:r>
      <w:r w:rsidR="009C4FDF">
        <w:rPr>
          <w:rFonts w:hint="eastAsia"/>
          <w:lang w:val="en-US" w:eastAsia="zh-CN"/>
        </w:rPr>
        <w:t>年</w:t>
      </w:r>
    </w:p>
    <w:p w14:paraId="4827C1FC" w14:textId="77777777" w:rsidR="009C4FDF" w:rsidRDefault="009C4FDF" w:rsidP="009C4FDF">
      <w:pPr>
        <w:pStyle w:val="Reftitle"/>
        <w:rPr>
          <w:lang w:eastAsia="zh-CN"/>
        </w:rPr>
      </w:pPr>
      <w:r w:rsidRPr="00022E00">
        <w:rPr>
          <w:lang w:eastAsia="zh-CN"/>
        </w:rPr>
        <w:t>20</w:t>
      </w:r>
      <w:r>
        <w:rPr>
          <w:lang w:eastAsia="zh-CN"/>
        </w:rPr>
        <w:t>16</w:t>
      </w:r>
      <w:r>
        <w:rPr>
          <w:lang w:eastAsia="zh-CN"/>
        </w:rPr>
        <w:t>年</w:t>
      </w:r>
      <w:r>
        <w:rPr>
          <w:rFonts w:hint="eastAsia"/>
          <w:lang w:eastAsia="zh-CN"/>
        </w:rPr>
        <w:t>会议（</w:t>
      </w:r>
      <w:r>
        <w:rPr>
          <w:rFonts w:hint="eastAsia"/>
          <w:lang w:eastAsia="zh-CN"/>
        </w:rPr>
        <w:t>201</w:t>
      </w:r>
      <w:r>
        <w:rPr>
          <w:lang w:eastAsia="zh-CN"/>
        </w:rPr>
        <w:t>6</w:t>
      </w:r>
      <w:r>
        <w:rPr>
          <w:rFonts w:hint="eastAsia"/>
          <w:lang w:eastAsia="zh-CN"/>
        </w:rPr>
        <w:t>年</w:t>
      </w:r>
      <w:r>
        <w:rPr>
          <w:rFonts w:hint="eastAsia"/>
          <w:lang w:eastAsia="zh-CN"/>
        </w:rPr>
        <w:t>5</w:t>
      </w:r>
      <w:r>
        <w:rPr>
          <w:rFonts w:hint="eastAsia"/>
          <w:lang w:eastAsia="zh-CN"/>
        </w:rPr>
        <w:t>月</w:t>
      </w:r>
      <w:r>
        <w:rPr>
          <w:rFonts w:hint="eastAsia"/>
          <w:lang w:eastAsia="zh-CN"/>
        </w:rPr>
        <w:t>26</w:t>
      </w:r>
      <w:r>
        <w:rPr>
          <w:lang w:eastAsia="zh-CN"/>
        </w:rPr>
        <w:t>-6</w:t>
      </w:r>
      <w:r>
        <w:rPr>
          <w:rFonts w:hint="eastAsia"/>
          <w:lang w:eastAsia="zh-CN"/>
        </w:rPr>
        <w:t>月</w:t>
      </w:r>
      <w:r>
        <w:rPr>
          <w:lang w:eastAsia="zh-CN"/>
        </w:rPr>
        <w:t>2</w:t>
      </w:r>
      <w:r>
        <w:rPr>
          <w:rFonts w:hint="eastAsia"/>
          <w:lang w:eastAsia="zh-CN"/>
        </w:rPr>
        <w:t>日）</w:t>
      </w:r>
    </w:p>
    <w:p w14:paraId="4827C1FD" w14:textId="35FA40A6" w:rsidR="009C4FDF" w:rsidRDefault="009C4FDF" w:rsidP="009D3F6B">
      <w:pPr>
        <w:pStyle w:val="Appendixref"/>
        <w:rPr>
          <w:lang w:val="en-US" w:eastAsia="zh-CN"/>
        </w:rPr>
      </w:pPr>
      <w:r>
        <w:rPr>
          <w:lang w:val="en-US" w:eastAsia="zh-CN"/>
        </w:rPr>
        <w:t>第</w:t>
      </w:r>
      <w:r w:rsidRPr="00E74AB8">
        <w:rPr>
          <w:lang w:val="en-US" w:eastAsia="zh-CN"/>
        </w:rPr>
        <w:t>13</w:t>
      </w:r>
      <w:r>
        <w:rPr>
          <w:lang w:val="en-US" w:eastAsia="zh-CN"/>
        </w:rPr>
        <w:t>78</w:t>
      </w:r>
      <w:r>
        <w:rPr>
          <w:lang w:val="en-US" w:eastAsia="zh-CN"/>
        </w:rPr>
        <w:t>号决议</w:t>
      </w:r>
      <w:r>
        <w:rPr>
          <w:lang w:val="en-US" w:eastAsia="zh-CN"/>
        </w:rPr>
        <w:tab/>
      </w:r>
      <w:r w:rsidR="009D3F6B" w:rsidRPr="00064BE7">
        <w:rPr>
          <w:rFonts w:hint="eastAsia"/>
          <w:lang w:eastAsia="zh-CN"/>
        </w:rPr>
        <w:t>ITU-R</w:t>
      </w:r>
      <w:r w:rsidR="009D3F6B" w:rsidRPr="00064BE7">
        <w:rPr>
          <w:rFonts w:hint="eastAsia"/>
          <w:lang w:eastAsia="zh-CN"/>
        </w:rPr>
        <w:t>、</w:t>
      </w:r>
      <w:r w:rsidR="009D3F6B" w:rsidRPr="00064BE7">
        <w:rPr>
          <w:rFonts w:hint="eastAsia"/>
          <w:lang w:eastAsia="zh-CN"/>
        </w:rPr>
        <w:t>ITU-T</w:t>
      </w:r>
      <w:r w:rsidR="009D3F6B" w:rsidRPr="00064BE7">
        <w:rPr>
          <w:rFonts w:hint="eastAsia"/>
          <w:lang w:eastAsia="zh-CN"/>
        </w:rPr>
        <w:t>、</w:t>
      </w:r>
      <w:r w:rsidR="009D3F6B" w:rsidRPr="00064BE7">
        <w:rPr>
          <w:rFonts w:hint="eastAsia"/>
          <w:lang w:eastAsia="zh-CN"/>
        </w:rPr>
        <w:t>ITU-D</w:t>
      </w:r>
      <w:r w:rsidR="009D3F6B" w:rsidRPr="00064BE7">
        <w:rPr>
          <w:rFonts w:hint="eastAsia"/>
          <w:lang w:eastAsia="zh-CN"/>
        </w:rPr>
        <w:t>和</w:t>
      </w:r>
      <w:r w:rsidR="009D3F6B">
        <w:rPr>
          <w:rFonts w:hint="eastAsia"/>
          <w:lang w:eastAsia="zh-CN"/>
        </w:rPr>
        <w:t>总秘书处</w:t>
      </w:r>
      <w:r w:rsidR="009D3F6B" w:rsidRPr="00064BE7">
        <w:rPr>
          <w:rFonts w:hint="eastAsia"/>
          <w:lang w:eastAsia="zh-CN"/>
        </w:rPr>
        <w:t>201</w:t>
      </w:r>
      <w:r w:rsidR="009D3F6B">
        <w:rPr>
          <w:rFonts w:hint="eastAsia"/>
          <w:lang w:eastAsia="zh-CN"/>
        </w:rPr>
        <w:t>7</w:t>
      </w:r>
      <w:r w:rsidR="009D3F6B" w:rsidRPr="00064BE7">
        <w:rPr>
          <w:rFonts w:hint="eastAsia"/>
          <w:lang w:eastAsia="zh-CN"/>
        </w:rPr>
        <w:t>-20</w:t>
      </w:r>
      <w:r w:rsidR="009D3F6B">
        <w:rPr>
          <w:rFonts w:hint="eastAsia"/>
          <w:lang w:eastAsia="zh-CN"/>
        </w:rPr>
        <w:t>20</w:t>
      </w:r>
      <w:r w:rsidR="009D3F6B" w:rsidRPr="00064BE7">
        <w:rPr>
          <w:rFonts w:hint="eastAsia"/>
          <w:lang w:eastAsia="zh-CN"/>
        </w:rPr>
        <w:t>年四年期滚动式运作规划</w:t>
      </w:r>
      <w:r>
        <w:rPr>
          <w:lang w:val="en-US" w:eastAsia="zh-CN"/>
        </w:rPr>
        <w:tab/>
      </w:r>
      <w:r>
        <w:rPr>
          <w:lang w:val="en-US" w:eastAsia="zh-CN"/>
        </w:rPr>
        <w:tab/>
      </w:r>
      <w:r w:rsidR="00756611">
        <w:rPr>
          <w:rFonts w:hint="eastAsia"/>
          <w:lang w:val="en-US" w:eastAsia="zh-CN"/>
        </w:rPr>
        <w:t>2018</w:t>
      </w:r>
      <w:r w:rsidR="00756611">
        <w:rPr>
          <w:rFonts w:hint="eastAsia"/>
          <w:lang w:val="en-US" w:eastAsia="zh-CN"/>
        </w:rPr>
        <w:t>年</w:t>
      </w:r>
    </w:p>
    <w:p w14:paraId="4827C1FE" w14:textId="77777777" w:rsidR="009C4FDF" w:rsidRPr="00C30734" w:rsidRDefault="009C4FDF" w:rsidP="009D3F6B">
      <w:pPr>
        <w:pStyle w:val="Appendixref"/>
        <w:rPr>
          <w:lang w:val="en-US" w:eastAsia="zh-CN"/>
        </w:rPr>
      </w:pPr>
      <w:r>
        <w:rPr>
          <w:lang w:val="en-US" w:eastAsia="zh-CN"/>
        </w:rPr>
        <w:t>第</w:t>
      </w:r>
      <w:r w:rsidR="009D3F6B">
        <w:rPr>
          <w:lang w:val="en-US" w:eastAsia="zh-CN"/>
        </w:rPr>
        <w:t>1379</w:t>
      </w:r>
      <w:r>
        <w:rPr>
          <w:lang w:val="en-US" w:eastAsia="zh-CN"/>
        </w:rPr>
        <w:t>号决议</w:t>
      </w:r>
      <w:r>
        <w:rPr>
          <w:lang w:val="en-US" w:eastAsia="zh-CN"/>
        </w:rPr>
        <w:tab/>
      </w:r>
      <w:r w:rsidR="009D3F6B">
        <w:rPr>
          <w:rFonts w:hint="eastAsia"/>
          <w:lang w:eastAsia="zh-CN"/>
        </w:rPr>
        <w:t>《国际</w:t>
      </w:r>
      <w:r w:rsidR="009D3F6B">
        <w:rPr>
          <w:lang w:eastAsia="zh-CN"/>
        </w:rPr>
        <w:t>电信规则》</w:t>
      </w:r>
      <w:r w:rsidR="009D3F6B">
        <w:rPr>
          <w:rFonts w:hint="eastAsia"/>
          <w:lang w:eastAsia="zh-CN"/>
        </w:rPr>
        <w:t>专家组</w:t>
      </w:r>
      <w:r w:rsidR="009D3F6B">
        <w:rPr>
          <w:lang w:eastAsia="zh-CN"/>
        </w:rPr>
        <w:t>（</w:t>
      </w:r>
      <w:r w:rsidR="009D3F6B">
        <w:rPr>
          <w:rFonts w:hint="eastAsia"/>
          <w:lang w:eastAsia="zh-CN"/>
        </w:rPr>
        <w:t>EG-ITR</w:t>
      </w:r>
      <w:r w:rsidR="009D3F6B">
        <w:rPr>
          <w:lang w:eastAsia="zh-CN"/>
        </w:rPr>
        <w:t>）</w:t>
      </w:r>
      <w:r w:rsidRPr="00C30734">
        <w:rPr>
          <w:lang w:val="en-US" w:eastAsia="zh-CN"/>
        </w:rPr>
        <w:tab/>
      </w:r>
      <w:r>
        <w:rPr>
          <w:lang w:val="en-US" w:eastAsia="zh-CN"/>
        </w:rPr>
        <w:tab/>
      </w:r>
      <w:r w:rsidR="009D3F6B">
        <w:rPr>
          <w:lang w:val="en-US" w:eastAsia="zh-CN"/>
        </w:rPr>
        <w:t>7.2</w:t>
      </w:r>
    </w:p>
    <w:p w14:paraId="4827C1FF" w14:textId="7934865F" w:rsidR="009C4FDF" w:rsidRDefault="009C4FDF" w:rsidP="009D3F6B">
      <w:pPr>
        <w:pStyle w:val="Appendixref"/>
        <w:rPr>
          <w:lang w:val="en-US" w:eastAsia="zh-CN"/>
        </w:rPr>
      </w:pPr>
      <w:r>
        <w:rPr>
          <w:lang w:val="en-US" w:eastAsia="zh-CN"/>
        </w:rPr>
        <w:t>第</w:t>
      </w:r>
      <w:r w:rsidR="009D3F6B">
        <w:rPr>
          <w:lang w:val="en-US" w:eastAsia="zh-CN"/>
        </w:rPr>
        <w:t>1380</w:t>
      </w:r>
      <w:r>
        <w:rPr>
          <w:lang w:val="en-US" w:eastAsia="zh-CN"/>
        </w:rPr>
        <w:t>号决议</w:t>
      </w:r>
      <w:r>
        <w:rPr>
          <w:lang w:val="en-US" w:eastAsia="zh-CN"/>
        </w:rPr>
        <w:tab/>
      </w:r>
      <w:r w:rsidR="009D3F6B">
        <w:rPr>
          <w:rFonts w:hint="eastAsia"/>
          <w:color w:val="000000"/>
          <w:lang w:eastAsia="zh-CN"/>
        </w:rPr>
        <w:t>2019</w:t>
      </w:r>
      <w:r w:rsidR="009D3F6B">
        <w:rPr>
          <w:rFonts w:hint="eastAsia"/>
          <w:color w:val="000000"/>
          <w:lang w:eastAsia="zh-CN"/>
        </w:rPr>
        <w:t>年世界无线电通信大会（</w:t>
      </w:r>
      <w:r w:rsidR="009D3F6B">
        <w:rPr>
          <w:color w:val="000000"/>
          <w:lang w:eastAsia="zh-CN"/>
        </w:rPr>
        <w:t>WRC-1</w:t>
      </w:r>
      <w:r w:rsidR="009D3F6B">
        <w:rPr>
          <w:rFonts w:hint="eastAsia"/>
          <w:color w:val="000000"/>
          <w:lang w:eastAsia="zh-CN"/>
        </w:rPr>
        <w:t>9</w:t>
      </w:r>
      <w:r w:rsidR="009D3F6B">
        <w:rPr>
          <w:rFonts w:hint="eastAsia"/>
          <w:color w:val="000000"/>
          <w:lang w:eastAsia="zh-CN"/>
        </w:rPr>
        <w:t>）的地点、日期和议程</w:t>
      </w:r>
      <w:r w:rsidRPr="00C30734">
        <w:rPr>
          <w:lang w:val="en-US" w:eastAsia="zh-CN"/>
        </w:rPr>
        <w:tab/>
      </w:r>
      <w:r>
        <w:rPr>
          <w:lang w:val="en-US" w:eastAsia="zh-CN"/>
        </w:rPr>
        <w:tab/>
      </w:r>
      <w:r w:rsidR="00756611">
        <w:rPr>
          <w:rFonts w:hint="eastAsia"/>
          <w:lang w:val="en-US" w:eastAsia="zh-CN"/>
        </w:rPr>
        <w:t>2021</w:t>
      </w:r>
      <w:r w:rsidR="00756611">
        <w:rPr>
          <w:rFonts w:hint="eastAsia"/>
          <w:lang w:val="en-US" w:eastAsia="zh-CN"/>
        </w:rPr>
        <w:t>年</w:t>
      </w:r>
    </w:p>
    <w:p w14:paraId="4827C200" w14:textId="77777777" w:rsidR="009C4FDF" w:rsidRPr="00C30734" w:rsidRDefault="009C4FDF" w:rsidP="009D3F6B">
      <w:pPr>
        <w:pStyle w:val="Appendixref"/>
        <w:rPr>
          <w:lang w:val="en-US" w:eastAsia="zh-CN"/>
        </w:rPr>
      </w:pPr>
      <w:r>
        <w:rPr>
          <w:lang w:val="en-US" w:eastAsia="zh-CN"/>
        </w:rPr>
        <w:t>第</w:t>
      </w:r>
      <w:r w:rsidR="009D3F6B">
        <w:rPr>
          <w:lang w:val="en-US" w:eastAsia="zh-CN"/>
        </w:rPr>
        <w:t>1381</w:t>
      </w:r>
      <w:r>
        <w:rPr>
          <w:lang w:val="en-US" w:eastAsia="zh-CN"/>
        </w:rPr>
        <w:t>号决议</w:t>
      </w:r>
      <w:r>
        <w:rPr>
          <w:lang w:val="en-US" w:eastAsia="zh-CN"/>
        </w:rPr>
        <w:tab/>
      </w:r>
      <w:r w:rsidR="009D3F6B">
        <w:rPr>
          <w:rFonts w:hint="eastAsia"/>
          <w:lang w:eastAsia="zh-CN"/>
        </w:rPr>
        <w:t>为分摊国际电联费用认担的会费份额</w:t>
      </w:r>
      <w:r w:rsidRPr="00C30734">
        <w:rPr>
          <w:lang w:val="en-US" w:eastAsia="zh-CN"/>
        </w:rPr>
        <w:tab/>
      </w:r>
      <w:r>
        <w:rPr>
          <w:lang w:val="en-US" w:eastAsia="zh-CN"/>
        </w:rPr>
        <w:tab/>
      </w:r>
      <w:r w:rsidR="000F51C3">
        <w:rPr>
          <w:rFonts w:hint="eastAsia"/>
          <w:lang w:val="en-US" w:eastAsia="zh-CN"/>
        </w:rPr>
        <w:t>2019</w:t>
      </w:r>
      <w:r w:rsidR="000F51C3">
        <w:rPr>
          <w:rFonts w:hint="eastAsia"/>
          <w:lang w:val="en-US" w:eastAsia="zh-CN"/>
        </w:rPr>
        <w:t>年</w:t>
      </w:r>
    </w:p>
    <w:p w14:paraId="4827C201" w14:textId="77777777" w:rsidR="009C4FDF" w:rsidRPr="00C30734" w:rsidRDefault="009C4FDF" w:rsidP="009D3F6B">
      <w:pPr>
        <w:pStyle w:val="Appendixref"/>
        <w:rPr>
          <w:lang w:val="en-US" w:eastAsia="zh-CN"/>
        </w:rPr>
      </w:pPr>
      <w:r>
        <w:rPr>
          <w:lang w:val="en-US" w:eastAsia="zh-CN"/>
        </w:rPr>
        <w:t>第</w:t>
      </w:r>
      <w:r w:rsidR="009D3F6B">
        <w:rPr>
          <w:lang w:val="en-US" w:eastAsia="zh-CN"/>
        </w:rPr>
        <w:t>1382</w:t>
      </w:r>
      <w:r>
        <w:rPr>
          <w:lang w:val="en-US" w:eastAsia="zh-CN"/>
        </w:rPr>
        <w:t>号决议</w:t>
      </w:r>
      <w:r>
        <w:rPr>
          <w:lang w:val="en-US" w:eastAsia="zh-CN"/>
        </w:rPr>
        <w:tab/>
      </w:r>
      <w:r w:rsidR="009D3F6B">
        <w:rPr>
          <w:lang w:eastAsia="zh-CN"/>
        </w:rPr>
        <w:t>2015</w:t>
      </w:r>
      <w:r w:rsidR="009D3F6B">
        <w:rPr>
          <w:rFonts w:hint="eastAsia"/>
          <w:lang w:eastAsia="zh-CN"/>
        </w:rPr>
        <w:t>财年的财务工作报告</w:t>
      </w:r>
      <w:r w:rsidRPr="00C30734">
        <w:rPr>
          <w:lang w:val="en-US" w:eastAsia="zh-CN"/>
        </w:rPr>
        <w:tab/>
      </w:r>
      <w:r>
        <w:rPr>
          <w:lang w:val="en-US" w:eastAsia="zh-CN"/>
        </w:rPr>
        <w:tab/>
      </w:r>
      <w:r w:rsidR="000F51C3">
        <w:rPr>
          <w:rFonts w:hint="eastAsia"/>
          <w:lang w:val="en-US" w:eastAsia="zh-CN"/>
        </w:rPr>
        <w:t>2019</w:t>
      </w:r>
      <w:r w:rsidR="000F51C3">
        <w:rPr>
          <w:rFonts w:hint="eastAsia"/>
          <w:lang w:val="en-US" w:eastAsia="zh-CN"/>
        </w:rPr>
        <w:t>年</w:t>
      </w:r>
    </w:p>
    <w:p w14:paraId="4827C202" w14:textId="77777777" w:rsidR="009C4FDF" w:rsidRDefault="009C4FDF" w:rsidP="00CB7458">
      <w:pPr>
        <w:pStyle w:val="Appendixref"/>
        <w:rPr>
          <w:lang w:val="en-US" w:eastAsia="zh-CN"/>
        </w:rPr>
      </w:pPr>
      <w:r>
        <w:rPr>
          <w:lang w:val="en-US" w:eastAsia="zh-CN"/>
        </w:rPr>
        <w:t>第</w:t>
      </w:r>
      <w:r w:rsidR="009D3F6B">
        <w:rPr>
          <w:lang w:val="en-US" w:eastAsia="zh-CN"/>
        </w:rPr>
        <w:t>1383</w:t>
      </w:r>
      <w:r>
        <w:rPr>
          <w:lang w:val="en-US" w:eastAsia="zh-CN"/>
        </w:rPr>
        <w:t>号决议</w:t>
      </w:r>
      <w:r>
        <w:rPr>
          <w:lang w:val="en-US" w:eastAsia="zh-CN"/>
        </w:rPr>
        <w:tab/>
      </w:r>
      <w:r w:rsidR="009D3F6B">
        <w:rPr>
          <w:rFonts w:hint="eastAsia"/>
          <w:lang w:eastAsia="zh-CN"/>
        </w:rPr>
        <w:t>国际电联选任官员的服务条件</w:t>
      </w:r>
      <w:r w:rsidRPr="00C30734">
        <w:rPr>
          <w:lang w:val="en-US" w:eastAsia="zh-CN"/>
        </w:rPr>
        <w:tab/>
      </w:r>
      <w:r>
        <w:rPr>
          <w:lang w:val="en-US" w:eastAsia="zh-CN"/>
        </w:rPr>
        <w:tab/>
      </w:r>
      <w:r w:rsidR="009D3F6B">
        <w:rPr>
          <w:lang w:val="en-US" w:eastAsia="zh-CN"/>
        </w:rPr>
        <w:t>2</w:t>
      </w:r>
      <w:r w:rsidR="00CB7458">
        <w:rPr>
          <w:lang w:val="en-US" w:eastAsia="zh-CN"/>
        </w:rPr>
        <w:t>017</w:t>
      </w:r>
      <w:r w:rsidR="00CB7458">
        <w:rPr>
          <w:rFonts w:hint="eastAsia"/>
          <w:lang w:val="en-US" w:eastAsia="zh-CN"/>
        </w:rPr>
        <w:t>年</w:t>
      </w:r>
    </w:p>
    <w:p w14:paraId="4827C203" w14:textId="77777777" w:rsidR="00D507C1" w:rsidRDefault="00D507C1" w:rsidP="00CB7458">
      <w:pPr>
        <w:pStyle w:val="Reftitle"/>
        <w:rPr>
          <w:lang w:eastAsia="zh-CN"/>
        </w:rPr>
      </w:pPr>
      <w:r w:rsidRPr="00022E00">
        <w:rPr>
          <w:lang w:eastAsia="zh-CN"/>
        </w:rPr>
        <w:t>20</w:t>
      </w:r>
      <w:r>
        <w:rPr>
          <w:lang w:eastAsia="zh-CN"/>
        </w:rPr>
        <w:t>17</w:t>
      </w:r>
      <w:r>
        <w:rPr>
          <w:lang w:eastAsia="zh-CN"/>
        </w:rPr>
        <w:t>年</w:t>
      </w:r>
      <w:r>
        <w:rPr>
          <w:rFonts w:hint="eastAsia"/>
          <w:lang w:eastAsia="zh-CN"/>
        </w:rPr>
        <w:t>会议（</w:t>
      </w:r>
      <w:r>
        <w:rPr>
          <w:rFonts w:hint="eastAsia"/>
          <w:lang w:eastAsia="zh-CN"/>
        </w:rPr>
        <w:t>201</w:t>
      </w:r>
      <w:r w:rsidR="00CB7458">
        <w:rPr>
          <w:lang w:eastAsia="zh-CN"/>
        </w:rPr>
        <w:t>7</w:t>
      </w:r>
      <w:r>
        <w:rPr>
          <w:rFonts w:hint="eastAsia"/>
          <w:lang w:eastAsia="zh-CN"/>
        </w:rPr>
        <w:t>年</w:t>
      </w:r>
      <w:r>
        <w:rPr>
          <w:rFonts w:hint="eastAsia"/>
          <w:lang w:eastAsia="zh-CN"/>
        </w:rPr>
        <w:t>5</w:t>
      </w:r>
      <w:r>
        <w:rPr>
          <w:rFonts w:hint="eastAsia"/>
          <w:lang w:eastAsia="zh-CN"/>
        </w:rPr>
        <w:t>月</w:t>
      </w:r>
      <w:r>
        <w:rPr>
          <w:lang w:eastAsia="zh-CN"/>
        </w:rPr>
        <w:t>15-25</w:t>
      </w:r>
      <w:r>
        <w:rPr>
          <w:rFonts w:hint="eastAsia"/>
          <w:lang w:eastAsia="zh-CN"/>
        </w:rPr>
        <w:t>日）</w:t>
      </w:r>
    </w:p>
    <w:p w14:paraId="4827C204" w14:textId="77777777" w:rsidR="00D507C1" w:rsidRDefault="00D507C1" w:rsidP="00460C66">
      <w:pPr>
        <w:pStyle w:val="Appendixref"/>
        <w:rPr>
          <w:lang w:val="en-US" w:eastAsia="zh-CN"/>
        </w:rPr>
      </w:pPr>
      <w:r>
        <w:rPr>
          <w:lang w:val="en-US" w:eastAsia="zh-CN"/>
        </w:rPr>
        <w:t>第</w:t>
      </w:r>
      <w:r w:rsidRPr="00E74AB8">
        <w:rPr>
          <w:lang w:val="en-US" w:eastAsia="zh-CN"/>
        </w:rPr>
        <w:t>13</w:t>
      </w:r>
      <w:r>
        <w:rPr>
          <w:lang w:val="en-US" w:eastAsia="zh-CN"/>
        </w:rPr>
        <w:t>84</w:t>
      </w:r>
      <w:r>
        <w:rPr>
          <w:lang w:val="en-US" w:eastAsia="zh-CN"/>
        </w:rPr>
        <w:t>号决议</w:t>
      </w:r>
      <w:r>
        <w:rPr>
          <w:lang w:val="en-US" w:eastAsia="zh-CN"/>
        </w:rPr>
        <w:tab/>
      </w:r>
      <w:r w:rsidR="00460C66" w:rsidRPr="00F2699F">
        <w:rPr>
          <w:rFonts w:cstheme="minorHAnsi" w:hint="eastAsia"/>
          <w:lang w:eastAsia="zh-CN"/>
        </w:rPr>
        <w:t>成立制定</w:t>
      </w:r>
      <w:r w:rsidR="00460C66" w:rsidRPr="00F2699F">
        <w:rPr>
          <w:rFonts w:cstheme="minorHAnsi" w:hint="eastAsia"/>
          <w:lang w:eastAsia="zh-CN"/>
        </w:rPr>
        <w:t>20</w:t>
      </w:r>
      <w:r w:rsidR="00460C66">
        <w:rPr>
          <w:rFonts w:cstheme="minorHAnsi"/>
          <w:lang w:eastAsia="zh-CN"/>
        </w:rPr>
        <w:t>20</w:t>
      </w:r>
      <w:r w:rsidR="00460C66">
        <w:rPr>
          <w:rFonts w:cstheme="minorHAnsi" w:hint="eastAsia"/>
          <w:lang w:eastAsia="zh-CN"/>
        </w:rPr>
        <w:t>-20</w:t>
      </w:r>
      <w:r w:rsidR="00460C66">
        <w:rPr>
          <w:rFonts w:cstheme="minorHAnsi"/>
          <w:lang w:eastAsia="zh-CN"/>
        </w:rPr>
        <w:t>23</w:t>
      </w:r>
      <w:r w:rsidR="00460C66" w:rsidRPr="00F2699F">
        <w:rPr>
          <w:rFonts w:cstheme="minorHAnsi" w:hint="eastAsia"/>
          <w:lang w:eastAsia="zh-CN"/>
        </w:rPr>
        <w:t>年国际电联《战略</w:t>
      </w:r>
      <w:r w:rsidR="00460C66">
        <w:rPr>
          <w:rFonts w:cstheme="minorHAnsi" w:hint="eastAsia"/>
          <w:lang w:eastAsia="zh-CN"/>
        </w:rPr>
        <w:t>和</w:t>
      </w:r>
      <w:r w:rsidR="00460C66">
        <w:rPr>
          <w:rFonts w:cstheme="minorHAnsi"/>
          <w:lang w:eastAsia="zh-CN"/>
        </w:rPr>
        <w:t>财务</w:t>
      </w:r>
      <w:r w:rsidR="00460C66">
        <w:rPr>
          <w:rFonts w:cstheme="minorHAnsi" w:hint="eastAsia"/>
          <w:lang w:eastAsia="zh-CN"/>
        </w:rPr>
        <w:t>规划》</w:t>
      </w:r>
      <w:r w:rsidR="00460C66" w:rsidRPr="00F2699F">
        <w:rPr>
          <w:rFonts w:cstheme="minorHAnsi" w:hint="eastAsia"/>
          <w:lang w:eastAsia="zh-CN"/>
        </w:rPr>
        <w:t>的理事会工作组</w:t>
      </w:r>
      <w:r>
        <w:rPr>
          <w:lang w:val="en-US" w:eastAsia="zh-CN"/>
        </w:rPr>
        <w:tab/>
      </w:r>
      <w:r>
        <w:rPr>
          <w:lang w:val="en-US" w:eastAsia="zh-CN"/>
        </w:rPr>
        <w:tab/>
      </w:r>
      <w:r w:rsidR="000F51C3">
        <w:rPr>
          <w:rFonts w:hint="eastAsia"/>
          <w:lang w:val="en-US" w:eastAsia="zh-CN"/>
        </w:rPr>
        <w:t>2019</w:t>
      </w:r>
      <w:r w:rsidR="000F51C3">
        <w:rPr>
          <w:rFonts w:hint="eastAsia"/>
          <w:lang w:val="en-US" w:eastAsia="zh-CN"/>
        </w:rPr>
        <w:t>年</w:t>
      </w:r>
    </w:p>
    <w:p w14:paraId="4827C205" w14:textId="77777777" w:rsidR="00D507C1" w:rsidRPr="00C30734" w:rsidRDefault="00D507C1" w:rsidP="00460C66">
      <w:pPr>
        <w:pStyle w:val="Appendixref"/>
        <w:rPr>
          <w:lang w:val="en-US" w:eastAsia="zh-CN"/>
        </w:rPr>
      </w:pPr>
      <w:r>
        <w:rPr>
          <w:lang w:val="en-US" w:eastAsia="zh-CN"/>
        </w:rPr>
        <w:t>第</w:t>
      </w:r>
      <w:r>
        <w:rPr>
          <w:lang w:val="en-US" w:eastAsia="zh-CN"/>
        </w:rPr>
        <w:t>1385</w:t>
      </w:r>
      <w:r>
        <w:rPr>
          <w:lang w:val="en-US" w:eastAsia="zh-CN"/>
        </w:rPr>
        <w:t>号决议</w:t>
      </w:r>
      <w:r>
        <w:rPr>
          <w:lang w:val="en-US" w:eastAsia="zh-CN"/>
        </w:rPr>
        <w:tab/>
      </w:r>
      <w:r w:rsidR="00460C66" w:rsidRPr="00FE3A31">
        <w:rPr>
          <w:rFonts w:hint="eastAsia"/>
          <w:lang w:eastAsia="zh-CN"/>
        </w:rPr>
        <w:t>ITU-R</w:t>
      </w:r>
      <w:r w:rsidR="00460C66" w:rsidRPr="00FE3A31">
        <w:rPr>
          <w:rFonts w:hint="eastAsia"/>
          <w:lang w:eastAsia="zh-CN"/>
        </w:rPr>
        <w:t>、</w:t>
      </w:r>
      <w:r w:rsidR="00460C66" w:rsidRPr="00FE3A31">
        <w:rPr>
          <w:rFonts w:hint="eastAsia"/>
          <w:lang w:eastAsia="zh-CN"/>
        </w:rPr>
        <w:t>ITU-T</w:t>
      </w:r>
      <w:r w:rsidR="00460C66" w:rsidRPr="00FE3A31">
        <w:rPr>
          <w:rFonts w:hint="eastAsia"/>
          <w:lang w:eastAsia="zh-CN"/>
        </w:rPr>
        <w:t>、</w:t>
      </w:r>
      <w:r w:rsidR="00460C66" w:rsidRPr="00FE3A31">
        <w:rPr>
          <w:rFonts w:hint="eastAsia"/>
          <w:lang w:eastAsia="zh-CN"/>
        </w:rPr>
        <w:t>ITU-D</w:t>
      </w:r>
      <w:r w:rsidR="00460C66" w:rsidRPr="00FE3A31">
        <w:rPr>
          <w:rFonts w:hint="eastAsia"/>
          <w:lang w:eastAsia="zh-CN"/>
        </w:rPr>
        <w:t>和总秘书处</w:t>
      </w:r>
      <w:r w:rsidR="00460C66" w:rsidRPr="00FE3A31">
        <w:rPr>
          <w:rFonts w:hint="eastAsia"/>
          <w:lang w:eastAsia="zh-CN"/>
        </w:rPr>
        <w:t>2018-2021</w:t>
      </w:r>
      <w:r w:rsidR="00460C66">
        <w:rPr>
          <w:rFonts w:hint="eastAsia"/>
          <w:lang w:eastAsia="zh-CN"/>
        </w:rPr>
        <w:t>年四年期滚动式运作规划</w:t>
      </w:r>
      <w:r w:rsidRPr="00C30734">
        <w:rPr>
          <w:lang w:val="en-US" w:eastAsia="zh-CN"/>
        </w:rPr>
        <w:tab/>
      </w:r>
      <w:r>
        <w:rPr>
          <w:lang w:val="en-US" w:eastAsia="zh-CN"/>
        </w:rPr>
        <w:tab/>
      </w:r>
      <w:r w:rsidR="000F51C3">
        <w:rPr>
          <w:rFonts w:hint="eastAsia"/>
          <w:lang w:val="en-US" w:eastAsia="zh-CN"/>
        </w:rPr>
        <w:t>2019</w:t>
      </w:r>
      <w:r w:rsidR="000F51C3">
        <w:rPr>
          <w:rFonts w:hint="eastAsia"/>
          <w:lang w:val="en-US" w:eastAsia="zh-CN"/>
        </w:rPr>
        <w:t>年</w:t>
      </w:r>
    </w:p>
    <w:p w14:paraId="4827C206" w14:textId="77777777" w:rsidR="00D507C1" w:rsidRDefault="00D507C1" w:rsidP="002C34F5">
      <w:pPr>
        <w:pStyle w:val="Appendixref"/>
        <w:rPr>
          <w:lang w:val="en-US" w:eastAsia="zh-CN"/>
        </w:rPr>
      </w:pPr>
      <w:r>
        <w:rPr>
          <w:lang w:val="en-US" w:eastAsia="zh-CN"/>
        </w:rPr>
        <w:t>第</w:t>
      </w:r>
      <w:r>
        <w:rPr>
          <w:lang w:val="en-US" w:eastAsia="zh-CN"/>
        </w:rPr>
        <w:t>1386</w:t>
      </w:r>
      <w:r>
        <w:rPr>
          <w:lang w:val="en-US" w:eastAsia="zh-CN"/>
        </w:rPr>
        <w:t>号决议</w:t>
      </w:r>
      <w:r>
        <w:rPr>
          <w:lang w:val="en-US" w:eastAsia="zh-CN"/>
        </w:rPr>
        <w:tab/>
      </w:r>
      <w:r w:rsidR="002C34F5" w:rsidRPr="00EC4B1E">
        <w:rPr>
          <w:rFonts w:hint="eastAsia"/>
          <w:bCs/>
          <w:szCs w:val="28"/>
          <w:lang w:val="en-US" w:eastAsia="zh-CN"/>
        </w:rPr>
        <w:t>国际电联</w:t>
      </w:r>
      <w:r w:rsidR="002C34F5" w:rsidRPr="00FD5B9C">
        <w:rPr>
          <w:rFonts w:hint="eastAsia"/>
          <w:bCs/>
          <w:szCs w:val="28"/>
          <w:lang w:val="en-US" w:eastAsia="zh-CN"/>
        </w:rPr>
        <w:t>术语</w:t>
      </w:r>
      <w:r w:rsidR="002C34F5" w:rsidRPr="00EC4B1E">
        <w:rPr>
          <w:rFonts w:hint="eastAsia"/>
          <w:bCs/>
          <w:szCs w:val="28"/>
          <w:lang w:val="en-US" w:eastAsia="zh-CN"/>
        </w:rPr>
        <w:t>协调委员会（</w:t>
      </w:r>
      <w:r w:rsidR="002C34F5" w:rsidRPr="00EC4B1E">
        <w:rPr>
          <w:rFonts w:hint="eastAsia"/>
          <w:bCs/>
          <w:szCs w:val="28"/>
          <w:lang w:val="en-US" w:eastAsia="zh-CN"/>
        </w:rPr>
        <w:t>ITU CC</w:t>
      </w:r>
      <w:r w:rsidR="002C34F5">
        <w:rPr>
          <w:bCs/>
          <w:szCs w:val="28"/>
          <w:lang w:val="en-US" w:eastAsia="zh-CN"/>
        </w:rPr>
        <w:t>T</w:t>
      </w:r>
      <w:r w:rsidR="002C34F5" w:rsidRPr="00EC4B1E">
        <w:rPr>
          <w:rFonts w:hint="eastAsia"/>
          <w:bCs/>
          <w:szCs w:val="28"/>
          <w:lang w:val="en-US" w:eastAsia="zh-CN"/>
        </w:rPr>
        <w:t>）</w:t>
      </w:r>
      <w:r w:rsidRPr="00C30734">
        <w:rPr>
          <w:lang w:val="en-US" w:eastAsia="zh-CN"/>
        </w:rPr>
        <w:tab/>
      </w:r>
      <w:r>
        <w:rPr>
          <w:lang w:val="en-US" w:eastAsia="zh-CN"/>
        </w:rPr>
        <w:tab/>
        <w:t>7.2</w:t>
      </w:r>
    </w:p>
    <w:p w14:paraId="4827C207" w14:textId="7FC029A7" w:rsidR="00D507C1" w:rsidRPr="00C30734" w:rsidRDefault="00D507C1" w:rsidP="00460C66">
      <w:pPr>
        <w:pStyle w:val="Appendixref"/>
        <w:rPr>
          <w:lang w:val="en-US" w:eastAsia="zh-CN"/>
        </w:rPr>
      </w:pPr>
      <w:r>
        <w:rPr>
          <w:lang w:val="en-US" w:eastAsia="zh-CN"/>
        </w:rPr>
        <w:t>第</w:t>
      </w:r>
      <w:r>
        <w:rPr>
          <w:lang w:val="en-US" w:eastAsia="zh-CN"/>
        </w:rPr>
        <w:t>1387</w:t>
      </w:r>
      <w:r>
        <w:rPr>
          <w:lang w:val="en-US" w:eastAsia="zh-CN"/>
        </w:rPr>
        <w:t>号决议</w:t>
      </w:r>
      <w:r>
        <w:rPr>
          <w:lang w:val="en-US" w:eastAsia="zh-CN"/>
        </w:rPr>
        <w:tab/>
      </w:r>
      <w:r w:rsidR="00460C66" w:rsidRPr="00460C66">
        <w:rPr>
          <w:rFonts w:hint="eastAsia"/>
          <w:bCs/>
          <w:szCs w:val="28"/>
          <w:lang w:val="en-US" w:eastAsia="zh-CN"/>
        </w:rPr>
        <w:t>国际电信联盟</w:t>
      </w:r>
      <w:r w:rsidR="00460C66" w:rsidRPr="00460C66">
        <w:rPr>
          <w:rFonts w:hint="eastAsia"/>
          <w:bCs/>
          <w:szCs w:val="28"/>
          <w:lang w:val="en-US" w:eastAsia="zh-CN"/>
        </w:rPr>
        <w:t>201</w:t>
      </w:r>
      <w:r w:rsidR="00460C66" w:rsidRPr="00460C66">
        <w:rPr>
          <w:bCs/>
          <w:szCs w:val="28"/>
          <w:lang w:val="en-US" w:eastAsia="zh-CN"/>
        </w:rPr>
        <w:t>8</w:t>
      </w:r>
      <w:r w:rsidR="00460C66" w:rsidRPr="00460C66">
        <w:rPr>
          <w:rFonts w:hint="eastAsia"/>
          <w:bCs/>
          <w:szCs w:val="28"/>
          <w:lang w:val="en-US" w:eastAsia="zh-CN"/>
        </w:rPr>
        <w:t>-201</w:t>
      </w:r>
      <w:r w:rsidR="00460C66" w:rsidRPr="00460C66">
        <w:rPr>
          <w:bCs/>
          <w:szCs w:val="28"/>
          <w:lang w:val="en-US" w:eastAsia="zh-CN"/>
        </w:rPr>
        <w:t>9</w:t>
      </w:r>
      <w:r w:rsidR="00460C66" w:rsidRPr="00460C66">
        <w:rPr>
          <w:rFonts w:hint="eastAsia"/>
          <w:bCs/>
          <w:szCs w:val="28"/>
          <w:lang w:val="en-US" w:eastAsia="zh-CN"/>
        </w:rPr>
        <w:t>双年度预算</w:t>
      </w:r>
      <w:r w:rsidRPr="00C30734">
        <w:rPr>
          <w:lang w:val="en-US" w:eastAsia="zh-CN"/>
        </w:rPr>
        <w:tab/>
      </w:r>
      <w:r>
        <w:rPr>
          <w:lang w:val="en-US" w:eastAsia="zh-CN"/>
        </w:rPr>
        <w:tab/>
      </w:r>
      <w:r w:rsidR="007A3DFD">
        <w:rPr>
          <w:rFonts w:hint="eastAsia"/>
          <w:lang w:val="en-US" w:eastAsia="zh-CN"/>
        </w:rPr>
        <w:t>2021</w:t>
      </w:r>
      <w:r w:rsidR="007A3DFD">
        <w:rPr>
          <w:rFonts w:hint="eastAsia"/>
          <w:lang w:val="en-US" w:eastAsia="zh-CN"/>
        </w:rPr>
        <w:t>年</w:t>
      </w:r>
    </w:p>
    <w:p w14:paraId="4827C208" w14:textId="77777777" w:rsidR="00D507C1" w:rsidRPr="00C30734" w:rsidRDefault="00D507C1" w:rsidP="00701CDD">
      <w:pPr>
        <w:pStyle w:val="Appendixref"/>
        <w:rPr>
          <w:lang w:val="en-US" w:eastAsia="zh-CN"/>
        </w:rPr>
      </w:pPr>
      <w:r>
        <w:rPr>
          <w:lang w:val="en-US" w:eastAsia="zh-CN"/>
        </w:rPr>
        <w:t>第</w:t>
      </w:r>
      <w:r>
        <w:rPr>
          <w:lang w:val="en-US" w:eastAsia="zh-CN"/>
        </w:rPr>
        <w:t>1388</w:t>
      </w:r>
      <w:r>
        <w:rPr>
          <w:lang w:val="en-US" w:eastAsia="zh-CN"/>
        </w:rPr>
        <w:t>号决议</w:t>
      </w:r>
      <w:r>
        <w:rPr>
          <w:lang w:val="en-US" w:eastAsia="zh-CN"/>
        </w:rPr>
        <w:tab/>
      </w:r>
      <w:r w:rsidR="00460C66">
        <w:rPr>
          <w:rFonts w:hint="eastAsia"/>
          <w:lang w:eastAsia="zh-CN"/>
        </w:rPr>
        <w:t>国际电联选任官员的服务条件</w:t>
      </w:r>
      <w:r w:rsidRPr="00C30734">
        <w:rPr>
          <w:lang w:val="en-US" w:eastAsia="zh-CN"/>
        </w:rPr>
        <w:tab/>
      </w:r>
      <w:r>
        <w:rPr>
          <w:lang w:val="en-US" w:eastAsia="zh-CN"/>
        </w:rPr>
        <w:tab/>
        <w:t>2</w:t>
      </w:r>
      <w:r w:rsidR="00701CDD">
        <w:rPr>
          <w:lang w:val="en-US" w:eastAsia="zh-CN"/>
        </w:rPr>
        <w:t>018</w:t>
      </w:r>
      <w:r w:rsidR="00BD7DB7">
        <w:rPr>
          <w:rFonts w:hint="eastAsia"/>
          <w:lang w:val="en-US" w:eastAsia="zh-CN"/>
        </w:rPr>
        <w:t>年</w:t>
      </w:r>
    </w:p>
    <w:p w14:paraId="4827C209" w14:textId="77777777" w:rsidR="00D507C1" w:rsidRDefault="00D507C1" w:rsidP="00460C66">
      <w:pPr>
        <w:pStyle w:val="Appendixref"/>
        <w:rPr>
          <w:lang w:val="en-US" w:eastAsia="zh-CN"/>
        </w:rPr>
      </w:pPr>
      <w:r>
        <w:rPr>
          <w:lang w:val="en-US" w:eastAsia="zh-CN"/>
        </w:rPr>
        <w:t>第</w:t>
      </w:r>
      <w:r>
        <w:rPr>
          <w:lang w:val="en-US" w:eastAsia="zh-CN"/>
        </w:rPr>
        <w:t>1389</w:t>
      </w:r>
      <w:r>
        <w:rPr>
          <w:lang w:val="en-US" w:eastAsia="zh-CN"/>
        </w:rPr>
        <w:t>号决议</w:t>
      </w:r>
      <w:r>
        <w:rPr>
          <w:lang w:val="en-US" w:eastAsia="zh-CN"/>
        </w:rPr>
        <w:tab/>
      </w:r>
      <w:r w:rsidR="00460C66" w:rsidRPr="0076144C">
        <w:rPr>
          <w:lang w:eastAsia="zh-CN"/>
        </w:rPr>
        <w:t>2016</w:t>
      </w:r>
      <w:r w:rsidR="00460C66" w:rsidRPr="0076144C">
        <w:rPr>
          <w:rFonts w:hint="eastAsia"/>
          <w:lang w:eastAsia="zh-CN"/>
        </w:rPr>
        <w:t>财务年度的财务工作报告</w:t>
      </w:r>
      <w:r w:rsidRPr="00C30734">
        <w:rPr>
          <w:lang w:val="en-US" w:eastAsia="zh-CN"/>
        </w:rPr>
        <w:tab/>
      </w:r>
      <w:r>
        <w:rPr>
          <w:lang w:val="en-US" w:eastAsia="zh-CN"/>
        </w:rPr>
        <w:tab/>
      </w:r>
      <w:r w:rsidR="000F51C3">
        <w:rPr>
          <w:rFonts w:hint="eastAsia"/>
          <w:lang w:val="en-US" w:eastAsia="zh-CN"/>
        </w:rPr>
        <w:t>2019</w:t>
      </w:r>
      <w:r w:rsidR="000F51C3">
        <w:rPr>
          <w:rFonts w:hint="eastAsia"/>
          <w:lang w:val="en-US" w:eastAsia="zh-CN"/>
        </w:rPr>
        <w:t>年</w:t>
      </w:r>
    </w:p>
    <w:p w14:paraId="4827C20A" w14:textId="77777777" w:rsidR="00701CDD" w:rsidRDefault="00701CDD" w:rsidP="00701CDD">
      <w:pPr>
        <w:spacing w:before="240" w:after="240"/>
        <w:jc w:val="center"/>
        <w:rPr>
          <w:b/>
          <w:lang w:eastAsia="zh-CN"/>
        </w:rPr>
      </w:pPr>
      <w:r w:rsidRPr="00022E00">
        <w:rPr>
          <w:b/>
          <w:lang w:eastAsia="zh-CN"/>
        </w:rPr>
        <w:t>20</w:t>
      </w:r>
      <w:r>
        <w:rPr>
          <w:b/>
          <w:lang w:eastAsia="zh-CN"/>
        </w:rPr>
        <w:t>18</w:t>
      </w:r>
      <w:r>
        <w:rPr>
          <w:rFonts w:hint="eastAsia"/>
          <w:b/>
          <w:lang w:eastAsia="zh-CN"/>
        </w:rPr>
        <w:t>年会议</w:t>
      </w:r>
      <w:r>
        <w:rPr>
          <w:b/>
          <w:lang w:eastAsia="zh-CN"/>
        </w:rPr>
        <w:t>（</w:t>
      </w:r>
      <w:r>
        <w:rPr>
          <w:rFonts w:hint="eastAsia"/>
          <w:b/>
          <w:lang w:eastAsia="zh-CN"/>
        </w:rPr>
        <w:t>2018</w:t>
      </w:r>
      <w:r>
        <w:rPr>
          <w:rFonts w:hint="eastAsia"/>
          <w:b/>
          <w:lang w:eastAsia="zh-CN"/>
        </w:rPr>
        <w:t>年</w:t>
      </w:r>
      <w:r>
        <w:rPr>
          <w:b/>
          <w:lang w:eastAsia="zh-CN"/>
        </w:rPr>
        <w:t>4</w:t>
      </w:r>
      <w:r>
        <w:rPr>
          <w:rFonts w:hint="eastAsia"/>
          <w:b/>
          <w:lang w:eastAsia="zh-CN"/>
        </w:rPr>
        <w:t>月</w:t>
      </w:r>
      <w:r>
        <w:rPr>
          <w:b/>
          <w:lang w:eastAsia="zh-CN"/>
        </w:rPr>
        <w:t>17-27</w:t>
      </w:r>
      <w:r>
        <w:rPr>
          <w:rFonts w:hint="eastAsia"/>
          <w:b/>
          <w:lang w:eastAsia="zh-CN"/>
        </w:rPr>
        <w:t>日和</w:t>
      </w:r>
      <w:r>
        <w:rPr>
          <w:rFonts w:hint="eastAsia"/>
          <w:b/>
          <w:lang w:eastAsia="zh-CN"/>
        </w:rPr>
        <w:t>10</w:t>
      </w:r>
      <w:r>
        <w:rPr>
          <w:rFonts w:hint="eastAsia"/>
          <w:b/>
          <w:lang w:eastAsia="zh-CN"/>
        </w:rPr>
        <w:t>月</w:t>
      </w:r>
      <w:r>
        <w:rPr>
          <w:rFonts w:hint="eastAsia"/>
          <w:b/>
          <w:lang w:eastAsia="zh-CN"/>
        </w:rPr>
        <w:t>27</w:t>
      </w:r>
      <w:r>
        <w:rPr>
          <w:rFonts w:hint="eastAsia"/>
          <w:b/>
          <w:lang w:eastAsia="zh-CN"/>
        </w:rPr>
        <w:t>日）</w:t>
      </w:r>
    </w:p>
    <w:p w14:paraId="4827C20B" w14:textId="3F187543" w:rsidR="00701CDD" w:rsidRPr="00BD7DB7" w:rsidRDefault="00701CDD" w:rsidP="00701CDD">
      <w:pPr>
        <w:pStyle w:val="Appendixref"/>
        <w:rPr>
          <w:lang w:val="en-US" w:eastAsia="zh-CN"/>
        </w:rPr>
      </w:pPr>
      <w:r w:rsidRPr="00BD7DB7">
        <w:rPr>
          <w:rFonts w:hint="eastAsia"/>
          <w:lang w:val="en-US" w:eastAsia="zh-CN"/>
        </w:rPr>
        <w:t>第</w:t>
      </w:r>
      <w:r w:rsidRPr="00BD7DB7">
        <w:rPr>
          <w:lang w:val="en-US" w:eastAsia="zh-CN"/>
        </w:rPr>
        <w:t>1390</w:t>
      </w:r>
      <w:r w:rsidRPr="00BD7DB7">
        <w:rPr>
          <w:rFonts w:hint="eastAsia"/>
          <w:lang w:val="en-US" w:eastAsia="zh-CN"/>
        </w:rPr>
        <w:t>号</w:t>
      </w:r>
      <w:r w:rsidRPr="00BD7DB7">
        <w:rPr>
          <w:lang w:val="en-US" w:eastAsia="zh-CN"/>
        </w:rPr>
        <w:t>决议</w:t>
      </w:r>
      <w:r w:rsidRPr="00BD7DB7">
        <w:rPr>
          <w:lang w:val="en-US" w:eastAsia="zh-CN"/>
        </w:rPr>
        <w:tab/>
      </w:r>
      <w:r w:rsidRPr="00BD7DB7">
        <w:rPr>
          <w:rFonts w:hint="eastAsia"/>
          <w:lang w:val="en-US" w:eastAsia="zh-CN"/>
        </w:rPr>
        <w:t>ITU-R</w:t>
      </w:r>
      <w:r w:rsidRPr="00BD7DB7">
        <w:rPr>
          <w:rFonts w:hint="eastAsia"/>
          <w:lang w:val="en-US" w:eastAsia="zh-CN"/>
        </w:rPr>
        <w:t>、</w:t>
      </w:r>
      <w:r w:rsidRPr="00BD7DB7">
        <w:rPr>
          <w:rFonts w:hint="eastAsia"/>
          <w:lang w:val="en-US" w:eastAsia="zh-CN"/>
        </w:rPr>
        <w:t>ITU-T</w:t>
      </w:r>
      <w:r w:rsidRPr="00BD7DB7">
        <w:rPr>
          <w:rFonts w:hint="eastAsia"/>
          <w:lang w:val="en-US" w:eastAsia="zh-CN"/>
        </w:rPr>
        <w:t>、</w:t>
      </w:r>
      <w:r w:rsidRPr="00BD7DB7">
        <w:rPr>
          <w:rFonts w:hint="eastAsia"/>
          <w:lang w:val="en-US" w:eastAsia="zh-CN"/>
        </w:rPr>
        <w:t>ITU-D</w:t>
      </w:r>
      <w:r w:rsidRPr="00BD7DB7">
        <w:rPr>
          <w:rFonts w:hint="eastAsia"/>
          <w:lang w:val="en-US" w:eastAsia="zh-CN"/>
        </w:rPr>
        <w:t>和总秘书处的</w:t>
      </w:r>
      <w:r w:rsidRPr="00BD7DB7">
        <w:rPr>
          <w:lang w:val="en-US" w:eastAsia="zh-CN"/>
        </w:rPr>
        <w:t>2019-2022</w:t>
      </w:r>
      <w:r w:rsidRPr="00BD7DB7">
        <w:rPr>
          <w:rFonts w:hint="eastAsia"/>
          <w:lang w:val="en-US" w:eastAsia="zh-CN"/>
        </w:rPr>
        <w:t>年四年期滚动式运作规划</w:t>
      </w:r>
      <w:r w:rsidRPr="00BD7DB7">
        <w:rPr>
          <w:lang w:val="en-US" w:eastAsia="zh-CN"/>
        </w:rPr>
        <w:tab/>
      </w:r>
      <w:r w:rsidRPr="00BD7DB7">
        <w:rPr>
          <w:lang w:val="en-US" w:eastAsia="zh-CN"/>
        </w:rPr>
        <w:tab/>
      </w:r>
      <w:r w:rsidR="00756611">
        <w:rPr>
          <w:rFonts w:hint="eastAsia"/>
          <w:lang w:val="en-US" w:eastAsia="zh-CN"/>
        </w:rPr>
        <w:t>2021</w:t>
      </w:r>
      <w:r w:rsidR="00756611">
        <w:rPr>
          <w:rFonts w:hint="eastAsia"/>
          <w:lang w:val="en-US" w:eastAsia="zh-CN"/>
        </w:rPr>
        <w:t>年</w:t>
      </w:r>
    </w:p>
    <w:p w14:paraId="4827C20C" w14:textId="77777777" w:rsidR="00701CDD" w:rsidRPr="00BD7DB7" w:rsidRDefault="00701CDD" w:rsidP="00701CDD">
      <w:pPr>
        <w:pStyle w:val="Appendixref"/>
        <w:rPr>
          <w:lang w:val="en-US" w:eastAsia="zh-CN"/>
        </w:rPr>
      </w:pPr>
      <w:r w:rsidRPr="00BD7DB7">
        <w:rPr>
          <w:rFonts w:hint="eastAsia"/>
          <w:lang w:val="en-US" w:eastAsia="zh-CN"/>
        </w:rPr>
        <w:t>第</w:t>
      </w:r>
      <w:r w:rsidRPr="00BD7DB7">
        <w:rPr>
          <w:lang w:val="en-US" w:eastAsia="zh-CN"/>
        </w:rPr>
        <w:t>1391</w:t>
      </w:r>
      <w:r w:rsidRPr="00BD7DB7">
        <w:rPr>
          <w:rFonts w:hint="eastAsia"/>
          <w:lang w:val="en-US" w:eastAsia="zh-CN"/>
        </w:rPr>
        <w:t>号</w:t>
      </w:r>
      <w:r w:rsidRPr="00BD7DB7">
        <w:rPr>
          <w:lang w:val="en-US" w:eastAsia="zh-CN"/>
        </w:rPr>
        <w:t>决议</w:t>
      </w:r>
      <w:r w:rsidRPr="00BD7DB7">
        <w:rPr>
          <w:lang w:val="en-US" w:eastAsia="zh-CN"/>
        </w:rPr>
        <w:tab/>
      </w:r>
      <w:r w:rsidRPr="00BD7DB7">
        <w:rPr>
          <w:rFonts w:hint="eastAsia"/>
          <w:lang w:val="en-US" w:eastAsia="zh-CN"/>
        </w:rPr>
        <w:t>国际电联选任官员的服务条件</w:t>
      </w:r>
      <w:r w:rsidRPr="00BD7DB7">
        <w:rPr>
          <w:lang w:val="en-US" w:eastAsia="zh-CN"/>
        </w:rPr>
        <w:tab/>
      </w:r>
      <w:r w:rsidRPr="00BD7DB7">
        <w:rPr>
          <w:lang w:val="en-US" w:eastAsia="zh-CN"/>
        </w:rPr>
        <w:tab/>
      </w:r>
      <w:r w:rsidR="000F51C3">
        <w:rPr>
          <w:rFonts w:hint="eastAsia"/>
          <w:lang w:val="en-US" w:eastAsia="zh-CN"/>
        </w:rPr>
        <w:t>2019</w:t>
      </w:r>
      <w:r w:rsidR="000F51C3">
        <w:rPr>
          <w:rFonts w:hint="eastAsia"/>
          <w:lang w:val="en-US" w:eastAsia="zh-CN"/>
        </w:rPr>
        <w:t>年</w:t>
      </w:r>
    </w:p>
    <w:p w14:paraId="4827C20D" w14:textId="77777777" w:rsidR="00701CDD" w:rsidRPr="00BD7DB7" w:rsidRDefault="00701CDD" w:rsidP="00701CDD">
      <w:pPr>
        <w:pStyle w:val="Appendixref"/>
        <w:rPr>
          <w:lang w:val="en-US" w:eastAsia="zh-CN"/>
        </w:rPr>
      </w:pPr>
      <w:r w:rsidRPr="00BD7DB7">
        <w:rPr>
          <w:rFonts w:hint="eastAsia"/>
          <w:lang w:val="en-US" w:eastAsia="zh-CN"/>
        </w:rPr>
        <w:t>第</w:t>
      </w:r>
      <w:r w:rsidRPr="00BD7DB7">
        <w:rPr>
          <w:lang w:val="en-US" w:eastAsia="zh-CN"/>
        </w:rPr>
        <w:t>1392</w:t>
      </w:r>
      <w:r w:rsidRPr="00BD7DB7">
        <w:rPr>
          <w:rFonts w:hint="eastAsia"/>
          <w:lang w:val="en-US" w:eastAsia="zh-CN"/>
        </w:rPr>
        <w:t>号</w:t>
      </w:r>
      <w:r w:rsidRPr="00BD7DB7">
        <w:rPr>
          <w:lang w:val="en-US" w:eastAsia="zh-CN"/>
        </w:rPr>
        <w:t>决议</w:t>
      </w:r>
      <w:r w:rsidRPr="00BD7DB7">
        <w:rPr>
          <w:lang w:val="en-US" w:eastAsia="zh-CN"/>
        </w:rPr>
        <w:tab/>
      </w:r>
      <w:r w:rsidRPr="00BD7DB7">
        <w:rPr>
          <w:rFonts w:hint="eastAsia"/>
          <w:lang w:val="en-US" w:eastAsia="zh-CN"/>
        </w:rPr>
        <w:t>适用于选任官员的《人事规则》</w:t>
      </w:r>
      <w:r w:rsidRPr="00BD7DB7">
        <w:rPr>
          <w:lang w:val="en-US" w:eastAsia="zh-CN"/>
        </w:rPr>
        <w:tab/>
      </w:r>
      <w:r w:rsidRPr="00BD7DB7">
        <w:rPr>
          <w:lang w:val="en-US" w:eastAsia="zh-CN"/>
        </w:rPr>
        <w:tab/>
        <w:t>2.1</w:t>
      </w:r>
    </w:p>
    <w:p w14:paraId="4827C20E" w14:textId="77777777" w:rsidR="00701CDD" w:rsidRDefault="00701CDD" w:rsidP="004D30D4">
      <w:pPr>
        <w:pStyle w:val="Appendixref"/>
        <w:rPr>
          <w:lang w:val="en-US" w:eastAsia="zh-CN"/>
        </w:rPr>
      </w:pPr>
      <w:r w:rsidRPr="00BD7DB7">
        <w:rPr>
          <w:rFonts w:hint="eastAsia"/>
          <w:lang w:val="en-US" w:eastAsia="zh-CN"/>
        </w:rPr>
        <w:t>第</w:t>
      </w:r>
      <w:r w:rsidRPr="00BD7DB7">
        <w:rPr>
          <w:lang w:val="en-US" w:eastAsia="zh-CN"/>
        </w:rPr>
        <w:t>1393</w:t>
      </w:r>
      <w:r w:rsidRPr="00BD7DB7">
        <w:rPr>
          <w:rFonts w:hint="eastAsia"/>
          <w:lang w:val="en-US" w:eastAsia="zh-CN"/>
        </w:rPr>
        <w:t>号</w:t>
      </w:r>
      <w:r w:rsidRPr="00BD7DB7">
        <w:rPr>
          <w:lang w:val="en-US" w:eastAsia="zh-CN"/>
        </w:rPr>
        <w:t>决议</w:t>
      </w:r>
      <w:r w:rsidRPr="00BD7DB7">
        <w:rPr>
          <w:lang w:val="en-US" w:eastAsia="zh-CN"/>
        </w:rPr>
        <w:tab/>
      </w:r>
      <w:r w:rsidR="004D30D4">
        <w:rPr>
          <w:lang w:eastAsia="zh-CN"/>
        </w:rPr>
        <w:t>2017</w:t>
      </w:r>
      <w:r w:rsidR="004D30D4">
        <w:rPr>
          <w:rFonts w:hint="eastAsia"/>
          <w:lang w:eastAsia="zh-CN"/>
        </w:rPr>
        <w:t>财务年度的财务工作报告</w:t>
      </w:r>
      <w:r w:rsidRPr="00BD7DB7">
        <w:rPr>
          <w:lang w:val="en-US" w:eastAsia="zh-CN"/>
        </w:rPr>
        <w:tab/>
      </w:r>
      <w:r w:rsidRPr="00BD7DB7">
        <w:rPr>
          <w:lang w:val="en-US" w:eastAsia="zh-CN"/>
        </w:rPr>
        <w:tab/>
      </w:r>
      <w:r w:rsidR="000F51C3">
        <w:rPr>
          <w:rFonts w:hint="eastAsia"/>
          <w:lang w:val="en-US" w:eastAsia="zh-CN"/>
        </w:rPr>
        <w:t>2019</w:t>
      </w:r>
      <w:r w:rsidR="000F51C3">
        <w:rPr>
          <w:rFonts w:hint="eastAsia"/>
          <w:lang w:val="en-US" w:eastAsia="zh-CN"/>
        </w:rPr>
        <w:t>年</w:t>
      </w:r>
    </w:p>
    <w:p w14:paraId="4827C20F" w14:textId="77777777" w:rsidR="00031842" w:rsidRDefault="00031842" w:rsidP="00031842">
      <w:pPr>
        <w:spacing w:before="240" w:after="240"/>
        <w:jc w:val="center"/>
        <w:rPr>
          <w:b/>
          <w:lang w:eastAsia="zh-CN"/>
        </w:rPr>
      </w:pPr>
      <w:r w:rsidRPr="00022E00">
        <w:rPr>
          <w:b/>
          <w:lang w:eastAsia="zh-CN"/>
        </w:rPr>
        <w:t>20</w:t>
      </w:r>
      <w:r>
        <w:rPr>
          <w:b/>
          <w:lang w:eastAsia="zh-CN"/>
        </w:rPr>
        <w:t>19</w:t>
      </w:r>
      <w:r>
        <w:rPr>
          <w:rFonts w:hint="eastAsia"/>
          <w:b/>
          <w:lang w:eastAsia="zh-CN"/>
        </w:rPr>
        <w:t>年非常会议</w:t>
      </w:r>
      <w:r>
        <w:rPr>
          <w:b/>
          <w:lang w:eastAsia="zh-CN"/>
        </w:rPr>
        <w:t>（</w:t>
      </w:r>
      <w:r>
        <w:rPr>
          <w:rFonts w:hint="eastAsia"/>
          <w:b/>
          <w:lang w:eastAsia="zh-CN"/>
        </w:rPr>
        <w:t>2018</w:t>
      </w:r>
      <w:r>
        <w:rPr>
          <w:rFonts w:hint="eastAsia"/>
          <w:b/>
          <w:lang w:eastAsia="zh-CN"/>
        </w:rPr>
        <w:t>年</w:t>
      </w:r>
      <w:r>
        <w:rPr>
          <w:b/>
          <w:lang w:eastAsia="zh-CN"/>
        </w:rPr>
        <w:t>11</w:t>
      </w:r>
      <w:r>
        <w:rPr>
          <w:rFonts w:hint="eastAsia"/>
          <w:b/>
          <w:lang w:eastAsia="zh-CN"/>
        </w:rPr>
        <w:t>月</w:t>
      </w:r>
      <w:r>
        <w:rPr>
          <w:b/>
          <w:lang w:eastAsia="zh-CN"/>
        </w:rPr>
        <w:t>16</w:t>
      </w:r>
      <w:r>
        <w:rPr>
          <w:rFonts w:hint="eastAsia"/>
          <w:b/>
          <w:lang w:eastAsia="zh-CN"/>
        </w:rPr>
        <w:t>日）</w:t>
      </w:r>
    </w:p>
    <w:p w14:paraId="4827C210" w14:textId="77777777" w:rsidR="0059313F" w:rsidRDefault="0059313F" w:rsidP="00D655EF">
      <w:pPr>
        <w:pStyle w:val="Appendixref"/>
        <w:rPr>
          <w:lang w:val="en-US" w:eastAsia="zh-CN"/>
        </w:rPr>
      </w:pPr>
      <w:r w:rsidRPr="00BD7DB7">
        <w:rPr>
          <w:rFonts w:hint="eastAsia"/>
          <w:lang w:val="en-US" w:eastAsia="zh-CN"/>
        </w:rPr>
        <w:t>第</w:t>
      </w:r>
      <w:r w:rsidRPr="00BD7DB7">
        <w:rPr>
          <w:lang w:val="en-US" w:eastAsia="zh-CN"/>
        </w:rPr>
        <w:t>139</w:t>
      </w:r>
      <w:r>
        <w:rPr>
          <w:lang w:val="en-US" w:eastAsia="zh-CN"/>
        </w:rPr>
        <w:t>4</w:t>
      </w:r>
      <w:r w:rsidRPr="00BD7DB7">
        <w:rPr>
          <w:rFonts w:hint="eastAsia"/>
          <w:lang w:val="en-US" w:eastAsia="zh-CN"/>
        </w:rPr>
        <w:t>号</w:t>
      </w:r>
      <w:r w:rsidRPr="00BD7DB7">
        <w:rPr>
          <w:lang w:val="en-US" w:eastAsia="zh-CN"/>
        </w:rPr>
        <w:t>决议</w:t>
      </w:r>
      <w:r w:rsidRPr="00BD7DB7">
        <w:rPr>
          <w:lang w:val="en-US" w:eastAsia="zh-CN"/>
        </w:rPr>
        <w:tab/>
      </w:r>
      <w:r w:rsidR="00031842" w:rsidRPr="004F229A">
        <w:rPr>
          <w:rFonts w:hint="eastAsia"/>
          <w:lang w:eastAsia="zh-CN"/>
        </w:rPr>
        <w:t>国际电联职员养恤金委员会的成员结构</w:t>
      </w:r>
      <w:r w:rsidRPr="00BD7DB7">
        <w:rPr>
          <w:lang w:val="en-US" w:eastAsia="zh-CN"/>
        </w:rPr>
        <w:tab/>
      </w:r>
      <w:r w:rsidRPr="00BD7DB7">
        <w:rPr>
          <w:lang w:val="en-US" w:eastAsia="zh-CN"/>
        </w:rPr>
        <w:tab/>
      </w:r>
      <w:r w:rsidR="00D655EF">
        <w:rPr>
          <w:lang w:val="en-US" w:eastAsia="zh-CN"/>
        </w:rPr>
        <w:t>2</w:t>
      </w:r>
      <w:r w:rsidRPr="00BD7DB7">
        <w:rPr>
          <w:lang w:val="en-US" w:eastAsia="zh-CN"/>
        </w:rPr>
        <w:t>.</w:t>
      </w:r>
      <w:r w:rsidR="00D655EF">
        <w:rPr>
          <w:lang w:val="en-US" w:eastAsia="zh-CN"/>
        </w:rPr>
        <w:t>3</w:t>
      </w:r>
    </w:p>
    <w:p w14:paraId="4827C211" w14:textId="77777777" w:rsidR="000F51C3" w:rsidRDefault="000F51C3" w:rsidP="000F51C3">
      <w:pPr>
        <w:spacing w:before="240" w:after="240"/>
        <w:jc w:val="center"/>
        <w:rPr>
          <w:b/>
          <w:lang w:eastAsia="zh-CN"/>
        </w:rPr>
      </w:pPr>
      <w:r w:rsidRPr="00022E00">
        <w:rPr>
          <w:b/>
          <w:lang w:eastAsia="zh-CN"/>
        </w:rPr>
        <w:t>20</w:t>
      </w:r>
      <w:r>
        <w:rPr>
          <w:b/>
          <w:lang w:eastAsia="zh-CN"/>
        </w:rPr>
        <w:t>1</w:t>
      </w:r>
      <w:r>
        <w:rPr>
          <w:rFonts w:hint="eastAsia"/>
          <w:b/>
          <w:lang w:eastAsia="zh-CN"/>
        </w:rPr>
        <w:t>9</w:t>
      </w:r>
      <w:r>
        <w:rPr>
          <w:rFonts w:hint="eastAsia"/>
          <w:b/>
          <w:lang w:eastAsia="zh-CN"/>
        </w:rPr>
        <w:t>年会议</w:t>
      </w:r>
      <w:r>
        <w:rPr>
          <w:b/>
          <w:lang w:eastAsia="zh-CN"/>
        </w:rPr>
        <w:t>（</w:t>
      </w:r>
      <w:r>
        <w:rPr>
          <w:rFonts w:hint="eastAsia"/>
          <w:b/>
          <w:lang w:eastAsia="zh-CN"/>
        </w:rPr>
        <w:t>2019</w:t>
      </w:r>
      <w:r>
        <w:rPr>
          <w:rFonts w:hint="eastAsia"/>
          <w:b/>
          <w:lang w:eastAsia="zh-CN"/>
        </w:rPr>
        <w:t>年</w:t>
      </w:r>
      <w:r>
        <w:rPr>
          <w:rFonts w:hint="eastAsia"/>
          <w:b/>
          <w:lang w:eastAsia="zh-CN"/>
        </w:rPr>
        <w:t>6</w:t>
      </w:r>
      <w:r>
        <w:rPr>
          <w:rFonts w:hint="eastAsia"/>
          <w:b/>
          <w:lang w:eastAsia="zh-CN"/>
        </w:rPr>
        <w:t>月</w:t>
      </w:r>
      <w:r>
        <w:rPr>
          <w:b/>
          <w:lang w:eastAsia="zh-CN"/>
        </w:rPr>
        <w:t>1</w:t>
      </w:r>
      <w:r>
        <w:rPr>
          <w:rFonts w:hint="eastAsia"/>
          <w:b/>
          <w:lang w:eastAsia="zh-CN"/>
        </w:rPr>
        <w:t>0</w:t>
      </w:r>
      <w:r>
        <w:rPr>
          <w:b/>
          <w:lang w:eastAsia="zh-CN"/>
        </w:rPr>
        <w:t>-2</w:t>
      </w:r>
      <w:r>
        <w:rPr>
          <w:rFonts w:hint="eastAsia"/>
          <w:b/>
          <w:lang w:eastAsia="zh-CN"/>
        </w:rPr>
        <w:t>0</w:t>
      </w:r>
      <w:r>
        <w:rPr>
          <w:rFonts w:hint="eastAsia"/>
          <w:b/>
          <w:lang w:eastAsia="zh-CN"/>
        </w:rPr>
        <w:t>日）</w:t>
      </w:r>
    </w:p>
    <w:p w14:paraId="4827C212" w14:textId="6682485A" w:rsidR="000F51C3" w:rsidRPr="00BD7DB7" w:rsidRDefault="000F51C3" w:rsidP="000F51C3">
      <w:pPr>
        <w:pStyle w:val="Appendixref"/>
        <w:rPr>
          <w:lang w:val="en-US" w:eastAsia="zh-CN"/>
        </w:rPr>
      </w:pPr>
      <w:r w:rsidRPr="00BD7DB7">
        <w:rPr>
          <w:rFonts w:hint="eastAsia"/>
          <w:lang w:val="en-US" w:eastAsia="zh-CN"/>
        </w:rPr>
        <w:t>第</w:t>
      </w:r>
      <w:r w:rsidRPr="00BD7DB7">
        <w:rPr>
          <w:lang w:val="en-US" w:eastAsia="zh-CN"/>
        </w:rPr>
        <w:t>139</w:t>
      </w:r>
      <w:r>
        <w:rPr>
          <w:rFonts w:hint="eastAsia"/>
          <w:lang w:val="en-US" w:eastAsia="zh-CN"/>
        </w:rPr>
        <w:t>5</w:t>
      </w:r>
      <w:r w:rsidRPr="00BD7DB7">
        <w:rPr>
          <w:rFonts w:hint="eastAsia"/>
          <w:lang w:val="en-US" w:eastAsia="zh-CN"/>
        </w:rPr>
        <w:t>号</w:t>
      </w:r>
      <w:r w:rsidRPr="00BD7DB7">
        <w:rPr>
          <w:lang w:val="en-US" w:eastAsia="zh-CN"/>
        </w:rPr>
        <w:t>决议</w:t>
      </w:r>
      <w:r w:rsidRPr="00BD7DB7">
        <w:rPr>
          <w:lang w:val="en-US" w:eastAsia="zh-CN"/>
        </w:rPr>
        <w:tab/>
      </w:r>
      <w:r w:rsidR="009E6286" w:rsidRPr="00A23A45">
        <w:rPr>
          <w:rFonts w:hint="eastAsia"/>
          <w:lang w:eastAsia="zh-CN"/>
        </w:rPr>
        <w:t>国际电联</w:t>
      </w:r>
      <w:r w:rsidR="009E6286" w:rsidRPr="00A23A45">
        <w:rPr>
          <w:lang w:eastAsia="zh-CN"/>
        </w:rPr>
        <w:t>2020-2023</w:t>
      </w:r>
      <w:r w:rsidR="009E6286" w:rsidRPr="00A23A45">
        <w:rPr>
          <w:rFonts w:hint="eastAsia"/>
          <w:lang w:eastAsia="zh-CN"/>
        </w:rPr>
        <w:t>年的年度四年期滚动式运作规划</w:t>
      </w:r>
      <w:r w:rsidRPr="00BD7DB7">
        <w:rPr>
          <w:lang w:val="en-US" w:eastAsia="zh-CN"/>
        </w:rPr>
        <w:tab/>
      </w:r>
      <w:r w:rsidRPr="00BD7DB7">
        <w:rPr>
          <w:lang w:val="en-US" w:eastAsia="zh-CN"/>
        </w:rPr>
        <w:tab/>
      </w:r>
      <w:r w:rsidR="007A3DFD">
        <w:rPr>
          <w:rFonts w:hint="eastAsia"/>
          <w:lang w:val="en-US" w:eastAsia="zh-CN"/>
        </w:rPr>
        <w:t>2021</w:t>
      </w:r>
      <w:r w:rsidR="007A3DFD">
        <w:rPr>
          <w:rFonts w:hint="eastAsia"/>
          <w:lang w:val="en-US" w:eastAsia="zh-CN"/>
        </w:rPr>
        <w:t>年</w:t>
      </w:r>
    </w:p>
    <w:p w14:paraId="4827C213" w14:textId="77777777" w:rsidR="000F51C3" w:rsidRPr="00BD7DB7" w:rsidRDefault="000F51C3" w:rsidP="000F51C3">
      <w:pPr>
        <w:pStyle w:val="Appendixref"/>
        <w:rPr>
          <w:lang w:val="en-US" w:eastAsia="zh-CN"/>
        </w:rPr>
      </w:pPr>
      <w:r w:rsidRPr="00BD7DB7">
        <w:rPr>
          <w:rFonts w:hint="eastAsia"/>
          <w:lang w:val="en-US" w:eastAsia="zh-CN"/>
        </w:rPr>
        <w:t>第</w:t>
      </w:r>
      <w:r w:rsidRPr="00BD7DB7">
        <w:rPr>
          <w:lang w:val="en-US" w:eastAsia="zh-CN"/>
        </w:rPr>
        <w:t>139</w:t>
      </w:r>
      <w:r>
        <w:rPr>
          <w:rFonts w:hint="eastAsia"/>
          <w:lang w:val="en-US" w:eastAsia="zh-CN"/>
        </w:rPr>
        <w:t>6</w:t>
      </w:r>
      <w:r w:rsidRPr="00BD7DB7">
        <w:rPr>
          <w:rFonts w:hint="eastAsia"/>
          <w:lang w:val="en-US" w:eastAsia="zh-CN"/>
        </w:rPr>
        <w:t>号</w:t>
      </w:r>
      <w:r w:rsidRPr="00BD7DB7">
        <w:rPr>
          <w:lang w:val="en-US" w:eastAsia="zh-CN"/>
        </w:rPr>
        <w:t>决议</w:t>
      </w:r>
      <w:r w:rsidRPr="00BD7DB7">
        <w:rPr>
          <w:lang w:val="en-US" w:eastAsia="zh-CN"/>
        </w:rPr>
        <w:tab/>
      </w:r>
      <w:r w:rsidR="009E6286" w:rsidRPr="007215E7">
        <w:rPr>
          <w:rFonts w:hint="eastAsia"/>
          <w:lang w:eastAsia="zh-CN"/>
        </w:rPr>
        <w:t>国际电信联盟</w:t>
      </w:r>
      <w:r w:rsidR="009E6286" w:rsidRPr="007215E7">
        <w:rPr>
          <w:lang w:eastAsia="zh-CN"/>
        </w:rPr>
        <w:t>2020-2021</w:t>
      </w:r>
      <w:r w:rsidR="009E6286" w:rsidRPr="007215E7">
        <w:rPr>
          <w:rFonts w:hint="eastAsia"/>
          <w:lang w:eastAsia="zh-CN"/>
        </w:rPr>
        <w:t>双年度预算</w:t>
      </w:r>
      <w:r w:rsidRPr="00BD7DB7">
        <w:rPr>
          <w:lang w:val="en-US" w:eastAsia="zh-CN"/>
        </w:rPr>
        <w:tab/>
      </w:r>
      <w:r w:rsidRPr="00BD7DB7">
        <w:rPr>
          <w:lang w:val="en-US" w:eastAsia="zh-CN"/>
        </w:rPr>
        <w:tab/>
      </w:r>
      <w:r w:rsidR="00EA3BEA">
        <w:rPr>
          <w:rFonts w:hint="eastAsia"/>
          <w:lang w:val="en-US" w:eastAsia="zh-CN"/>
        </w:rPr>
        <w:t>1.</w:t>
      </w:r>
      <w:r w:rsidR="00EA3BEA">
        <w:rPr>
          <w:lang w:val="en-US" w:eastAsia="zh-CN"/>
        </w:rPr>
        <w:t>1</w:t>
      </w:r>
    </w:p>
    <w:p w14:paraId="4827C214" w14:textId="77777777" w:rsidR="000F51C3" w:rsidRPr="00BD7DB7" w:rsidRDefault="000F51C3" w:rsidP="000F51C3">
      <w:pPr>
        <w:pStyle w:val="Appendixref"/>
        <w:rPr>
          <w:lang w:val="en-US" w:eastAsia="zh-CN"/>
        </w:rPr>
      </w:pPr>
      <w:r w:rsidRPr="00BD7DB7">
        <w:rPr>
          <w:rFonts w:hint="eastAsia"/>
          <w:lang w:val="en-US" w:eastAsia="zh-CN"/>
        </w:rPr>
        <w:t>第</w:t>
      </w:r>
      <w:r w:rsidRPr="00BD7DB7">
        <w:rPr>
          <w:lang w:val="en-US" w:eastAsia="zh-CN"/>
        </w:rPr>
        <w:t>139</w:t>
      </w:r>
      <w:r>
        <w:rPr>
          <w:rFonts w:hint="eastAsia"/>
          <w:lang w:val="en-US" w:eastAsia="zh-CN"/>
        </w:rPr>
        <w:t>7</w:t>
      </w:r>
      <w:r w:rsidRPr="00BD7DB7">
        <w:rPr>
          <w:rFonts w:hint="eastAsia"/>
          <w:lang w:val="en-US" w:eastAsia="zh-CN"/>
        </w:rPr>
        <w:t>号</w:t>
      </w:r>
      <w:r w:rsidRPr="00BD7DB7">
        <w:rPr>
          <w:lang w:val="en-US" w:eastAsia="zh-CN"/>
        </w:rPr>
        <w:t>决议</w:t>
      </w:r>
      <w:r w:rsidRPr="00BD7DB7">
        <w:rPr>
          <w:lang w:val="en-US" w:eastAsia="zh-CN"/>
        </w:rPr>
        <w:tab/>
      </w:r>
      <w:r w:rsidR="00EA3BEA" w:rsidRPr="002B16F0">
        <w:rPr>
          <w:lang w:eastAsia="zh-CN"/>
        </w:rPr>
        <w:t>2018</w:t>
      </w:r>
      <w:r w:rsidR="00EA3BEA" w:rsidRPr="002B16F0">
        <w:rPr>
          <w:rFonts w:hint="eastAsia"/>
          <w:lang w:eastAsia="zh-CN"/>
        </w:rPr>
        <w:t>财务年度的财务工作报告</w:t>
      </w:r>
      <w:r w:rsidRPr="00BD7DB7">
        <w:rPr>
          <w:lang w:val="en-US" w:eastAsia="zh-CN"/>
        </w:rPr>
        <w:tab/>
      </w:r>
      <w:r w:rsidRPr="00BD7DB7">
        <w:rPr>
          <w:lang w:val="en-US" w:eastAsia="zh-CN"/>
        </w:rPr>
        <w:tab/>
      </w:r>
      <w:r w:rsidR="00EA3BEA">
        <w:rPr>
          <w:lang w:val="en-US" w:eastAsia="zh-CN"/>
        </w:rPr>
        <w:t>1.2</w:t>
      </w:r>
    </w:p>
    <w:p w14:paraId="4827C215" w14:textId="2AFEED3A" w:rsidR="000F51C3" w:rsidRDefault="000F51C3" w:rsidP="000F51C3">
      <w:pPr>
        <w:pStyle w:val="Appendixref"/>
        <w:rPr>
          <w:lang w:val="en-US" w:eastAsia="zh-CN"/>
        </w:rPr>
      </w:pPr>
      <w:r w:rsidRPr="00BD7DB7">
        <w:rPr>
          <w:rFonts w:hint="eastAsia"/>
          <w:lang w:val="en-US" w:eastAsia="zh-CN"/>
        </w:rPr>
        <w:t>第</w:t>
      </w:r>
      <w:r w:rsidRPr="00BD7DB7">
        <w:rPr>
          <w:lang w:val="en-US" w:eastAsia="zh-CN"/>
        </w:rPr>
        <w:t>139</w:t>
      </w:r>
      <w:r>
        <w:rPr>
          <w:rFonts w:hint="eastAsia"/>
          <w:lang w:val="en-US" w:eastAsia="zh-CN"/>
        </w:rPr>
        <w:t>8</w:t>
      </w:r>
      <w:r w:rsidRPr="00BD7DB7">
        <w:rPr>
          <w:rFonts w:hint="eastAsia"/>
          <w:lang w:val="en-US" w:eastAsia="zh-CN"/>
        </w:rPr>
        <w:t>号</w:t>
      </w:r>
      <w:r w:rsidRPr="00BD7DB7">
        <w:rPr>
          <w:lang w:val="en-US" w:eastAsia="zh-CN"/>
        </w:rPr>
        <w:t>决议</w:t>
      </w:r>
      <w:r w:rsidRPr="00BD7DB7">
        <w:rPr>
          <w:lang w:val="en-US" w:eastAsia="zh-CN"/>
        </w:rPr>
        <w:tab/>
      </w:r>
      <w:r w:rsidR="00EA3BEA">
        <w:rPr>
          <w:rFonts w:hint="eastAsia"/>
          <w:lang w:eastAsia="zh-CN"/>
        </w:rPr>
        <w:t>国际电联选任官员的服务条件</w:t>
      </w:r>
      <w:r w:rsidRPr="00BD7DB7">
        <w:rPr>
          <w:lang w:val="en-US" w:eastAsia="zh-CN"/>
        </w:rPr>
        <w:tab/>
      </w:r>
      <w:r w:rsidRPr="00BD7DB7">
        <w:rPr>
          <w:lang w:val="en-US" w:eastAsia="zh-CN"/>
        </w:rPr>
        <w:tab/>
      </w:r>
      <w:r w:rsidR="007A3DFD">
        <w:rPr>
          <w:rFonts w:hint="eastAsia"/>
          <w:lang w:val="en-US" w:eastAsia="zh-CN"/>
        </w:rPr>
        <w:t>2021</w:t>
      </w:r>
      <w:r w:rsidR="007A3DFD">
        <w:rPr>
          <w:rFonts w:hint="eastAsia"/>
          <w:lang w:val="en-US" w:eastAsia="zh-CN"/>
        </w:rPr>
        <w:t>年</w:t>
      </w:r>
    </w:p>
    <w:p w14:paraId="595FA1A5" w14:textId="646FED4B" w:rsidR="00FA1485" w:rsidRDefault="00FA1485">
      <w:pPr>
        <w:tabs>
          <w:tab w:val="clear" w:pos="794"/>
          <w:tab w:val="clear" w:pos="1191"/>
          <w:tab w:val="clear" w:pos="1588"/>
          <w:tab w:val="clear" w:pos="1985"/>
        </w:tabs>
        <w:overflowPunct/>
        <w:autoSpaceDE/>
        <w:autoSpaceDN/>
        <w:adjustRightInd/>
        <w:spacing w:before="0"/>
        <w:jc w:val="left"/>
        <w:textAlignment w:val="auto"/>
        <w:rPr>
          <w:bCs/>
          <w:szCs w:val="22"/>
          <w:lang w:val="en-US" w:eastAsia="zh-CN"/>
        </w:rPr>
      </w:pPr>
      <w:r>
        <w:rPr>
          <w:lang w:val="en-US" w:eastAsia="zh-CN"/>
        </w:rPr>
        <w:br w:type="page"/>
      </w:r>
    </w:p>
    <w:p w14:paraId="38D610A4" w14:textId="0A75268D" w:rsidR="00FA1485" w:rsidRPr="00E511BD" w:rsidRDefault="00210CD7" w:rsidP="00FA1485">
      <w:pPr>
        <w:tabs>
          <w:tab w:val="clear" w:pos="1588"/>
          <w:tab w:val="clear" w:pos="1985"/>
          <w:tab w:val="left" w:pos="1587"/>
          <w:tab w:val="left" w:pos="1984"/>
        </w:tabs>
        <w:spacing w:before="240" w:after="240"/>
        <w:jc w:val="center"/>
        <w:rPr>
          <w:b/>
          <w:szCs w:val="22"/>
          <w:lang w:eastAsia="zh-CN"/>
        </w:rPr>
      </w:pPr>
      <w:bookmarkStart w:id="2893" w:name="_Hlk59009949"/>
      <w:r w:rsidRPr="00210CD7">
        <w:rPr>
          <w:rFonts w:hint="eastAsia"/>
          <w:b/>
          <w:szCs w:val="22"/>
          <w:lang w:eastAsia="zh-CN"/>
        </w:rPr>
        <w:lastRenderedPageBreak/>
        <w:t>2020</w:t>
      </w:r>
      <w:r w:rsidRPr="00210CD7">
        <w:rPr>
          <w:rFonts w:hint="eastAsia"/>
          <w:b/>
          <w:szCs w:val="22"/>
          <w:lang w:eastAsia="zh-CN"/>
        </w:rPr>
        <w:t>年（继理事磋商会虚拟会议之后，以信函方式</w:t>
      </w:r>
      <w:r w:rsidR="006D4950" w:rsidRPr="006D4950">
        <w:rPr>
          <w:rFonts w:hint="eastAsia"/>
          <w:b/>
          <w:szCs w:val="22"/>
          <w:lang w:eastAsia="zh-CN"/>
        </w:rPr>
        <w:t>通过</w:t>
      </w:r>
      <w:r w:rsidRPr="00210CD7">
        <w:rPr>
          <w:rFonts w:hint="eastAsia"/>
          <w:b/>
          <w:szCs w:val="22"/>
          <w:lang w:eastAsia="zh-CN"/>
        </w:rPr>
        <w:t>）</w:t>
      </w:r>
      <w:r w:rsidR="00FA1485">
        <w:rPr>
          <w:b/>
          <w:szCs w:val="22"/>
          <w:lang w:eastAsia="zh-CN"/>
        </w:rPr>
        <w:br/>
      </w:r>
      <w:r w:rsidRPr="00210CD7">
        <w:rPr>
          <w:rFonts w:hint="eastAsia"/>
          <w:b/>
          <w:szCs w:val="22"/>
          <w:lang w:eastAsia="zh-CN"/>
        </w:rPr>
        <w:t>（</w:t>
      </w:r>
      <w:r w:rsidRPr="00210CD7">
        <w:rPr>
          <w:rFonts w:hint="eastAsia"/>
          <w:b/>
          <w:szCs w:val="22"/>
          <w:lang w:eastAsia="zh-CN"/>
        </w:rPr>
        <w:t>2020</w:t>
      </w:r>
      <w:r w:rsidRPr="00210CD7">
        <w:rPr>
          <w:rFonts w:hint="eastAsia"/>
          <w:b/>
          <w:szCs w:val="22"/>
          <w:lang w:eastAsia="zh-CN"/>
        </w:rPr>
        <w:t>年</w:t>
      </w:r>
      <w:r w:rsidRPr="00210CD7">
        <w:rPr>
          <w:rFonts w:hint="eastAsia"/>
          <w:b/>
          <w:szCs w:val="22"/>
          <w:lang w:eastAsia="zh-CN"/>
        </w:rPr>
        <w:t>6</w:t>
      </w:r>
      <w:r w:rsidRPr="00210CD7">
        <w:rPr>
          <w:rFonts w:hint="eastAsia"/>
          <w:b/>
          <w:szCs w:val="22"/>
          <w:lang w:eastAsia="zh-CN"/>
        </w:rPr>
        <w:t>月</w:t>
      </w:r>
      <w:r w:rsidRPr="00210CD7">
        <w:rPr>
          <w:rFonts w:hint="eastAsia"/>
          <w:b/>
          <w:szCs w:val="22"/>
          <w:lang w:eastAsia="zh-CN"/>
        </w:rPr>
        <w:t>9-12</w:t>
      </w:r>
      <w:r w:rsidRPr="00210CD7">
        <w:rPr>
          <w:rFonts w:hint="eastAsia"/>
          <w:b/>
          <w:szCs w:val="22"/>
          <w:lang w:eastAsia="zh-CN"/>
        </w:rPr>
        <w:t>日和</w:t>
      </w:r>
      <w:r w:rsidRPr="00210CD7">
        <w:rPr>
          <w:rFonts w:hint="eastAsia"/>
          <w:b/>
          <w:szCs w:val="22"/>
          <w:lang w:eastAsia="zh-CN"/>
        </w:rPr>
        <w:t>2020</w:t>
      </w:r>
      <w:r w:rsidRPr="00210CD7">
        <w:rPr>
          <w:rFonts w:hint="eastAsia"/>
          <w:b/>
          <w:szCs w:val="22"/>
          <w:lang w:eastAsia="zh-CN"/>
        </w:rPr>
        <w:t>年</w:t>
      </w:r>
      <w:r w:rsidRPr="00210CD7">
        <w:rPr>
          <w:rFonts w:hint="eastAsia"/>
          <w:b/>
          <w:szCs w:val="22"/>
          <w:lang w:eastAsia="zh-CN"/>
        </w:rPr>
        <w:t>11</w:t>
      </w:r>
      <w:r w:rsidRPr="00210CD7">
        <w:rPr>
          <w:rFonts w:hint="eastAsia"/>
          <w:b/>
          <w:szCs w:val="22"/>
          <w:lang w:eastAsia="zh-CN"/>
        </w:rPr>
        <w:t>月</w:t>
      </w:r>
      <w:r w:rsidRPr="00210CD7">
        <w:rPr>
          <w:rFonts w:hint="eastAsia"/>
          <w:b/>
          <w:szCs w:val="22"/>
          <w:lang w:eastAsia="zh-CN"/>
        </w:rPr>
        <w:t>16-20</w:t>
      </w:r>
      <w:r w:rsidRPr="00210CD7">
        <w:rPr>
          <w:rFonts w:hint="eastAsia"/>
          <w:b/>
          <w:szCs w:val="22"/>
          <w:lang w:eastAsia="zh-CN"/>
        </w:rPr>
        <w:t>日）</w:t>
      </w:r>
    </w:p>
    <w:p w14:paraId="07492718" w14:textId="48242540" w:rsidR="00FA1485" w:rsidRDefault="00950BCF" w:rsidP="00950BCF">
      <w:pPr>
        <w:pStyle w:val="Appendixref"/>
        <w:rPr>
          <w:lang w:eastAsia="zh-CN"/>
        </w:rPr>
      </w:pPr>
      <w:r>
        <w:rPr>
          <w:rFonts w:hint="eastAsia"/>
          <w:lang w:eastAsia="zh-CN"/>
        </w:rPr>
        <w:t>第</w:t>
      </w:r>
      <w:r w:rsidR="00FA1485" w:rsidRPr="00451B0F">
        <w:rPr>
          <w:lang w:eastAsia="zh-CN"/>
        </w:rPr>
        <w:t>139</w:t>
      </w:r>
      <w:r w:rsidR="00FA1485">
        <w:rPr>
          <w:lang w:eastAsia="zh-CN"/>
        </w:rPr>
        <w:t>9</w:t>
      </w:r>
      <w:r>
        <w:rPr>
          <w:rFonts w:hint="eastAsia"/>
          <w:lang w:eastAsia="zh-CN"/>
        </w:rPr>
        <w:t>号决议</w:t>
      </w:r>
      <w:r w:rsidR="00FA1485">
        <w:rPr>
          <w:lang w:eastAsia="zh-CN"/>
        </w:rPr>
        <w:tab/>
      </w:r>
      <w:r w:rsidRPr="00950BCF">
        <w:rPr>
          <w:rFonts w:hint="eastAsia"/>
          <w:lang w:eastAsia="zh-CN"/>
        </w:rPr>
        <w:t>世界无线电通信大会（</w:t>
      </w:r>
      <w:r w:rsidRPr="00950BCF">
        <w:rPr>
          <w:rFonts w:hint="eastAsia"/>
          <w:lang w:eastAsia="zh-CN"/>
        </w:rPr>
        <w:t>WRC-23</w:t>
      </w:r>
      <w:r w:rsidRPr="00950BCF">
        <w:rPr>
          <w:rFonts w:hint="eastAsia"/>
          <w:lang w:eastAsia="zh-CN"/>
        </w:rPr>
        <w:t>）的议程</w:t>
      </w:r>
      <w:r w:rsidR="00FA1485" w:rsidRPr="00451B0F">
        <w:rPr>
          <w:lang w:eastAsia="zh-CN"/>
        </w:rPr>
        <w:tab/>
      </w:r>
      <w:r w:rsidR="00FA1485">
        <w:rPr>
          <w:lang w:eastAsia="zh-CN"/>
        </w:rPr>
        <w:tab/>
        <w:t>3.4</w:t>
      </w:r>
    </w:p>
    <w:p w14:paraId="1C6D6A16" w14:textId="2F8EAE86" w:rsidR="00FA1485" w:rsidRDefault="00950BCF" w:rsidP="00950BCF">
      <w:pPr>
        <w:pStyle w:val="Appendixref"/>
        <w:rPr>
          <w:lang w:eastAsia="zh-CN"/>
        </w:rPr>
      </w:pPr>
      <w:r w:rsidRPr="00950BCF">
        <w:rPr>
          <w:rFonts w:hint="eastAsia"/>
          <w:lang w:eastAsia="zh-CN"/>
        </w:rPr>
        <w:t>第</w:t>
      </w:r>
      <w:r w:rsidRPr="00950BCF">
        <w:rPr>
          <w:rFonts w:hint="eastAsia"/>
          <w:lang w:eastAsia="zh-CN"/>
        </w:rPr>
        <w:t>1</w:t>
      </w:r>
      <w:r>
        <w:rPr>
          <w:rFonts w:hint="eastAsia"/>
          <w:lang w:eastAsia="zh-CN"/>
        </w:rPr>
        <w:t>400</w:t>
      </w:r>
      <w:r w:rsidRPr="00950BCF">
        <w:rPr>
          <w:rFonts w:hint="eastAsia"/>
          <w:lang w:eastAsia="zh-CN"/>
        </w:rPr>
        <w:t>号决议</w:t>
      </w:r>
      <w:r w:rsidR="00FA1485">
        <w:rPr>
          <w:lang w:eastAsia="zh-CN"/>
        </w:rPr>
        <w:tab/>
      </w:r>
      <w:r w:rsidR="00FA6F5A">
        <w:rPr>
          <w:rFonts w:hint="eastAsia"/>
          <w:lang w:eastAsia="zh-CN"/>
        </w:rPr>
        <w:t>2</w:t>
      </w:r>
      <w:r w:rsidRPr="00950BCF">
        <w:rPr>
          <w:rFonts w:hint="eastAsia"/>
          <w:lang w:eastAsia="zh-CN"/>
        </w:rPr>
        <w:t>019</w:t>
      </w:r>
      <w:r w:rsidRPr="00950BCF">
        <w:rPr>
          <w:rFonts w:hint="eastAsia"/>
          <w:lang w:eastAsia="zh-CN"/>
        </w:rPr>
        <w:t>财务年度的财务工作报告</w:t>
      </w:r>
      <w:r w:rsidR="00FA1485" w:rsidRPr="00451B0F">
        <w:rPr>
          <w:lang w:eastAsia="zh-CN"/>
        </w:rPr>
        <w:tab/>
      </w:r>
      <w:r w:rsidR="00FA1485">
        <w:rPr>
          <w:lang w:eastAsia="zh-CN"/>
        </w:rPr>
        <w:tab/>
        <w:t>1.2</w:t>
      </w:r>
    </w:p>
    <w:p w14:paraId="2C8B8178" w14:textId="02FAB762" w:rsidR="00FA1485" w:rsidRDefault="00FA6F5A" w:rsidP="00FA6F5A">
      <w:pPr>
        <w:pStyle w:val="Appendixref"/>
        <w:rPr>
          <w:lang w:eastAsia="zh-CN"/>
        </w:rPr>
      </w:pPr>
      <w:r w:rsidRPr="00950BCF">
        <w:rPr>
          <w:rFonts w:hint="eastAsia"/>
          <w:lang w:eastAsia="zh-CN"/>
        </w:rPr>
        <w:t>第</w:t>
      </w:r>
      <w:r w:rsidRPr="00950BCF">
        <w:rPr>
          <w:rFonts w:hint="eastAsia"/>
          <w:lang w:eastAsia="zh-CN"/>
        </w:rPr>
        <w:t>1</w:t>
      </w:r>
      <w:r>
        <w:rPr>
          <w:rFonts w:hint="eastAsia"/>
          <w:lang w:eastAsia="zh-CN"/>
        </w:rPr>
        <w:t>401</w:t>
      </w:r>
      <w:r w:rsidRPr="00950BCF">
        <w:rPr>
          <w:rFonts w:hint="eastAsia"/>
          <w:lang w:eastAsia="zh-CN"/>
        </w:rPr>
        <w:t>号决议</w:t>
      </w:r>
      <w:r w:rsidR="00FA1485">
        <w:rPr>
          <w:lang w:eastAsia="zh-CN"/>
        </w:rPr>
        <w:tab/>
      </w:r>
      <w:r w:rsidRPr="00FA6F5A">
        <w:rPr>
          <w:rFonts w:hint="eastAsia"/>
          <w:lang w:eastAsia="zh-CN"/>
        </w:rPr>
        <w:t>国际电联选任官员的服务条件</w:t>
      </w:r>
      <w:r w:rsidR="00FA1485" w:rsidRPr="00451B0F">
        <w:rPr>
          <w:lang w:eastAsia="zh-CN"/>
        </w:rPr>
        <w:tab/>
      </w:r>
      <w:r w:rsidR="00FA1485">
        <w:rPr>
          <w:lang w:eastAsia="zh-CN"/>
        </w:rPr>
        <w:tab/>
      </w:r>
      <w:r w:rsidR="00756611">
        <w:rPr>
          <w:rFonts w:hint="eastAsia"/>
          <w:lang w:eastAsia="zh-CN"/>
        </w:rPr>
        <w:t>2021</w:t>
      </w:r>
      <w:r w:rsidR="00756611">
        <w:rPr>
          <w:rFonts w:hint="eastAsia"/>
          <w:lang w:eastAsia="zh-CN"/>
        </w:rPr>
        <w:t>年</w:t>
      </w:r>
    </w:p>
    <w:p w14:paraId="7EF2AA43" w14:textId="520A5B61" w:rsidR="00FA1485" w:rsidRDefault="00FA6F5A" w:rsidP="00FA6F5A">
      <w:pPr>
        <w:pStyle w:val="Appendixref"/>
        <w:rPr>
          <w:lang w:eastAsia="zh-CN"/>
        </w:rPr>
      </w:pPr>
      <w:r w:rsidRPr="00950BCF">
        <w:rPr>
          <w:rFonts w:hint="eastAsia"/>
          <w:lang w:eastAsia="zh-CN"/>
        </w:rPr>
        <w:t>第</w:t>
      </w:r>
      <w:r w:rsidRPr="00950BCF">
        <w:rPr>
          <w:rFonts w:hint="eastAsia"/>
          <w:lang w:eastAsia="zh-CN"/>
        </w:rPr>
        <w:t>1</w:t>
      </w:r>
      <w:r>
        <w:rPr>
          <w:rFonts w:hint="eastAsia"/>
          <w:lang w:eastAsia="zh-CN"/>
        </w:rPr>
        <w:t>402</w:t>
      </w:r>
      <w:r w:rsidRPr="00950BCF">
        <w:rPr>
          <w:rFonts w:hint="eastAsia"/>
          <w:lang w:eastAsia="zh-CN"/>
        </w:rPr>
        <w:t>号决议</w:t>
      </w:r>
      <w:r w:rsidR="00FA1485">
        <w:rPr>
          <w:lang w:eastAsia="zh-CN"/>
        </w:rPr>
        <w:tab/>
      </w:r>
      <w:r w:rsidR="00A11C8C" w:rsidRPr="00A11C8C">
        <w:rPr>
          <w:rFonts w:hint="eastAsia"/>
          <w:lang w:eastAsia="zh-CN"/>
        </w:rPr>
        <w:t>分摊国际电联费用的会费份额</w:t>
      </w:r>
      <w:r w:rsidR="00FA1485" w:rsidRPr="00451B0F">
        <w:rPr>
          <w:lang w:eastAsia="zh-CN"/>
        </w:rPr>
        <w:tab/>
      </w:r>
      <w:r w:rsidR="00FA1485">
        <w:rPr>
          <w:lang w:eastAsia="zh-CN"/>
        </w:rPr>
        <w:tab/>
        <w:t>1.2</w:t>
      </w:r>
    </w:p>
    <w:p w14:paraId="088DAD88" w14:textId="2A9F9027" w:rsidR="00890171" w:rsidRPr="00E511BD" w:rsidRDefault="00890171" w:rsidP="00890171">
      <w:pPr>
        <w:tabs>
          <w:tab w:val="clear" w:pos="1588"/>
          <w:tab w:val="clear" w:pos="1985"/>
          <w:tab w:val="left" w:pos="1587"/>
          <w:tab w:val="left" w:pos="1984"/>
        </w:tabs>
        <w:spacing w:before="240" w:after="240"/>
        <w:jc w:val="center"/>
        <w:rPr>
          <w:b/>
          <w:szCs w:val="22"/>
          <w:lang w:eastAsia="zh-CN"/>
        </w:rPr>
      </w:pPr>
      <w:r w:rsidRPr="00210CD7">
        <w:rPr>
          <w:rFonts w:hint="eastAsia"/>
          <w:b/>
          <w:szCs w:val="22"/>
          <w:lang w:eastAsia="zh-CN"/>
        </w:rPr>
        <w:t>202</w:t>
      </w:r>
      <w:r>
        <w:rPr>
          <w:b/>
          <w:szCs w:val="22"/>
          <w:lang w:eastAsia="zh-CN"/>
        </w:rPr>
        <w:t>1</w:t>
      </w:r>
      <w:r w:rsidRPr="00210CD7">
        <w:rPr>
          <w:rFonts w:hint="eastAsia"/>
          <w:b/>
          <w:szCs w:val="22"/>
          <w:lang w:eastAsia="zh-CN"/>
        </w:rPr>
        <w:t>年（继理事磋商会虚拟会议之后，以信函方式</w:t>
      </w:r>
      <w:r w:rsidRPr="006D4950">
        <w:rPr>
          <w:rFonts w:hint="eastAsia"/>
          <w:b/>
          <w:szCs w:val="22"/>
          <w:lang w:eastAsia="zh-CN"/>
        </w:rPr>
        <w:t>通过</w:t>
      </w:r>
      <w:r w:rsidRPr="00210CD7">
        <w:rPr>
          <w:rFonts w:hint="eastAsia"/>
          <w:b/>
          <w:szCs w:val="22"/>
          <w:lang w:eastAsia="zh-CN"/>
        </w:rPr>
        <w:t>）</w:t>
      </w:r>
      <w:r>
        <w:rPr>
          <w:b/>
          <w:szCs w:val="22"/>
          <w:lang w:eastAsia="zh-CN"/>
        </w:rPr>
        <w:br/>
      </w:r>
      <w:r w:rsidRPr="00210CD7">
        <w:rPr>
          <w:rFonts w:hint="eastAsia"/>
          <w:b/>
          <w:szCs w:val="22"/>
          <w:lang w:eastAsia="zh-CN"/>
        </w:rPr>
        <w:t>（</w:t>
      </w:r>
      <w:r w:rsidRPr="00210CD7">
        <w:rPr>
          <w:rFonts w:hint="eastAsia"/>
          <w:b/>
          <w:szCs w:val="22"/>
          <w:lang w:eastAsia="zh-CN"/>
        </w:rPr>
        <w:t>202</w:t>
      </w:r>
      <w:r>
        <w:rPr>
          <w:b/>
          <w:szCs w:val="22"/>
          <w:lang w:eastAsia="zh-CN"/>
        </w:rPr>
        <w:t>1</w:t>
      </w:r>
      <w:r w:rsidRPr="00210CD7">
        <w:rPr>
          <w:rFonts w:hint="eastAsia"/>
          <w:b/>
          <w:szCs w:val="22"/>
          <w:lang w:eastAsia="zh-CN"/>
        </w:rPr>
        <w:t>年</w:t>
      </w:r>
      <w:r>
        <w:rPr>
          <w:b/>
          <w:szCs w:val="22"/>
          <w:lang w:eastAsia="zh-CN"/>
        </w:rPr>
        <w:t>6</w:t>
      </w:r>
      <w:r w:rsidRPr="00210CD7">
        <w:rPr>
          <w:rFonts w:hint="eastAsia"/>
          <w:b/>
          <w:szCs w:val="22"/>
          <w:lang w:eastAsia="zh-CN"/>
        </w:rPr>
        <w:t>月</w:t>
      </w:r>
      <w:r>
        <w:rPr>
          <w:b/>
          <w:szCs w:val="22"/>
          <w:lang w:eastAsia="zh-CN"/>
        </w:rPr>
        <w:t>8</w:t>
      </w:r>
      <w:r w:rsidRPr="00210CD7">
        <w:rPr>
          <w:rFonts w:hint="eastAsia"/>
          <w:b/>
          <w:szCs w:val="22"/>
          <w:lang w:eastAsia="zh-CN"/>
        </w:rPr>
        <w:t>-</w:t>
      </w:r>
      <w:r>
        <w:rPr>
          <w:b/>
          <w:szCs w:val="22"/>
          <w:lang w:eastAsia="zh-CN"/>
        </w:rPr>
        <w:t>18</w:t>
      </w:r>
      <w:r w:rsidRPr="00210CD7">
        <w:rPr>
          <w:rFonts w:hint="eastAsia"/>
          <w:b/>
          <w:szCs w:val="22"/>
          <w:lang w:eastAsia="zh-CN"/>
        </w:rPr>
        <w:t>日）</w:t>
      </w:r>
    </w:p>
    <w:p w14:paraId="3E46FAB2" w14:textId="781269F0" w:rsidR="00890171" w:rsidRDefault="00890171" w:rsidP="00890171">
      <w:pPr>
        <w:pStyle w:val="Appendixref"/>
        <w:rPr>
          <w:lang w:eastAsia="zh-CN"/>
        </w:rPr>
      </w:pPr>
      <w:r>
        <w:rPr>
          <w:rFonts w:hint="eastAsia"/>
          <w:lang w:eastAsia="zh-CN"/>
        </w:rPr>
        <w:t>第</w:t>
      </w:r>
      <w:r w:rsidRPr="00451B0F">
        <w:rPr>
          <w:lang w:eastAsia="zh-CN"/>
        </w:rPr>
        <w:t>1</w:t>
      </w:r>
      <w:r>
        <w:rPr>
          <w:lang w:eastAsia="zh-CN"/>
        </w:rPr>
        <w:t>403</w:t>
      </w:r>
      <w:r>
        <w:rPr>
          <w:rFonts w:hint="eastAsia"/>
          <w:lang w:eastAsia="zh-CN"/>
        </w:rPr>
        <w:t>号决议</w:t>
      </w:r>
      <w:r>
        <w:rPr>
          <w:lang w:eastAsia="zh-CN"/>
        </w:rPr>
        <w:tab/>
      </w:r>
      <w:r w:rsidRPr="00890171">
        <w:rPr>
          <w:rFonts w:hint="eastAsia"/>
          <w:lang w:eastAsia="zh-CN"/>
        </w:rPr>
        <w:t>国际电联</w:t>
      </w:r>
      <w:r w:rsidRPr="00890171">
        <w:rPr>
          <w:rFonts w:hint="eastAsia"/>
          <w:lang w:eastAsia="zh-CN"/>
        </w:rPr>
        <w:t>2022-2025</w:t>
      </w:r>
      <w:r w:rsidRPr="00890171">
        <w:rPr>
          <w:rFonts w:hint="eastAsia"/>
          <w:lang w:eastAsia="zh-CN"/>
        </w:rPr>
        <w:t>年四年期滚动式运作规划</w:t>
      </w:r>
      <w:r w:rsidRPr="00451B0F">
        <w:rPr>
          <w:lang w:eastAsia="zh-CN"/>
        </w:rPr>
        <w:tab/>
      </w:r>
      <w:r>
        <w:rPr>
          <w:lang w:eastAsia="zh-CN"/>
        </w:rPr>
        <w:tab/>
        <w:t>4</w:t>
      </w:r>
    </w:p>
    <w:p w14:paraId="440C52A9" w14:textId="40A57B03" w:rsidR="00890171" w:rsidRDefault="00890171" w:rsidP="00E51375">
      <w:pPr>
        <w:pStyle w:val="Appendixref"/>
        <w:rPr>
          <w:lang w:eastAsia="zh-CN"/>
        </w:rPr>
      </w:pPr>
      <w:r w:rsidRPr="00950BCF">
        <w:rPr>
          <w:rFonts w:hint="eastAsia"/>
          <w:lang w:eastAsia="zh-CN"/>
        </w:rPr>
        <w:t>第</w:t>
      </w:r>
      <w:r w:rsidRPr="00950BCF">
        <w:rPr>
          <w:rFonts w:hint="eastAsia"/>
          <w:lang w:eastAsia="zh-CN"/>
        </w:rPr>
        <w:t>1</w:t>
      </w:r>
      <w:r>
        <w:rPr>
          <w:rFonts w:hint="eastAsia"/>
          <w:lang w:eastAsia="zh-CN"/>
        </w:rPr>
        <w:t>40</w:t>
      </w:r>
      <w:r>
        <w:rPr>
          <w:lang w:eastAsia="zh-CN"/>
        </w:rPr>
        <w:t>4</w:t>
      </w:r>
      <w:r w:rsidRPr="00950BCF">
        <w:rPr>
          <w:rFonts w:hint="eastAsia"/>
          <w:lang w:eastAsia="zh-CN"/>
        </w:rPr>
        <w:t>号决议</w:t>
      </w:r>
      <w:r>
        <w:rPr>
          <w:lang w:eastAsia="zh-CN"/>
        </w:rPr>
        <w:tab/>
      </w:r>
      <w:r w:rsidR="00E51375">
        <w:rPr>
          <w:rFonts w:hint="eastAsia"/>
          <w:lang w:eastAsia="zh-CN"/>
        </w:rPr>
        <w:t>设立制定</w:t>
      </w:r>
      <w:r w:rsidR="00E51375">
        <w:rPr>
          <w:rFonts w:hint="eastAsia"/>
          <w:lang w:eastAsia="zh-CN"/>
        </w:rPr>
        <w:t>2024-2027</w:t>
      </w:r>
      <w:r w:rsidR="00E51375">
        <w:rPr>
          <w:rFonts w:hint="eastAsia"/>
          <w:lang w:eastAsia="zh-CN"/>
        </w:rPr>
        <w:t>年国际电联《战略规划》和《财务规划》的理事会工作组</w:t>
      </w:r>
      <w:r w:rsidRPr="00451B0F">
        <w:rPr>
          <w:lang w:eastAsia="zh-CN"/>
        </w:rPr>
        <w:tab/>
      </w:r>
      <w:r>
        <w:rPr>
          <w:lang w:eastAsia="zh-CN"/>
        </w:rPr>
        <w:tab/>
        <w:t>3.2</w:t>
      </w:r>
    </w:p>
    <w:p w14:paraId="27CBE8A0" w14:textId="4ADA77D3" w:rsidR="00890171" w:rsidRDefault="00890171" w:rsidP="00890171">
      <w:pPr>
        <w:pStyle w:val="Appendixref"/>
        <w:rPr>
          <w:lang w:eastAsia="zh-CN"/>
        </w:rPr>
      </w:pPr>
      <w:r w:rsidRPr="00950BCF">
        <w:rPr>
          <w:rFonts w:hint="eastAsia"/>
          <w:lang w:eastAsia="zh-CN"/>
        </w:rPr>
        <w:t>第</w:t>
      </w:r>
      <w:r w:rsidRPr="00950BCF">
        <w:rPr>
          <w:rFonts w:hint="eastAsia"/>
          <w:lang w:eastAsia="zh-CN"/>
        </w:rPr>
        <w:t>1</w:t>
      </w:r>
      <w:r>
        <w:rPr>
          <w:rFonts w:hint="eastAsia"/>
          <w:lang w:eastAsia="zh-CN"/>
        </w:rPr>
        <w:t>40</w:t>
      </w:r>
      <w:r>
        <w:rPr>
          <w:lang w:eastAsia="zh-CN"/>
        </w:rPr>
        <w:t>5</w:t>
      </w:r>
      <w:r w:rsidRPr="00950BCF">
        <w:rPr>
          <w:rFonts w:hint="eastAsia"/>
          <w:lang w:eastAsia="zh-CN"/>
        </w:rPr>
        <w:t>号决议</w:t>
      </w:r>
      <w:r>
        <w:rPr>
          <w:lang w:eastAsia="zh-CN"/>
        </w:rPr>
        <w:tab/>
      </w:r>
      <w:r w:rsidR="0090191E" w:rsidRPr="0090191E">
        <w:rPr>
          <w:rFonts w:hint="eastAsia"/>
          <w:lang w:eastAsia="zh-CN"/>
        </w:rPr>
        <w:t>国际电信联盟</w:t>
      </w:r>
      <w:r w:rsidR="0090191E" w:rsidRPr="0090191E">
        <w:rPr>
          <w:rFonts w:hint="eastAsia"/>
          <w:lang w:eastAsia="zh-CN"/>
        </w:rPr>
        <w:t>2022-2023</w:t>
      </w:r>
      <w:r w:rsidR="0090191E" w:rsidRPr="0090191E">
        <w:rPr>
          <w:rFonts w:hint="eastAsia"/>
          <w:lang w:eastAsia="zh-CN"/>
        </w:rPr>
        <w:t>双年度预算</w:t>
      </w:r>
      <w:r w:rsidRPr="00451B0F">
        <w:rPr>
          <w:lang w:eastAsia="zh-CN"/>
        </w:rPr>
        <w:tab/>
      </w:r>
      <w:r>
        <w:rPr>
          <w:lang w:eastAsia="zh-CN"/>
        </w:rPr>
        <w:tab/>
        <w:t>1.1</w:t>
      </w:r>
    </w:p>
    <w:p w14:paraId="54A803B0" w14:textId="0AA7CC00" w:rsidR="00890171" w:rsidRDefault="00890171" w:rsidP="00890171">
      <w:pPr>
        <w:pStyle w:val="Appendixref"/>
        <w:rPr>
          <w:lang w:eastAsia="zh-CN"/>
        </w:rPr>
      </w:pPr>
      <w:r w:rsidRPr="00950BCF">
        <w:rPr>
          <w:rFonts w:hint="eastAsia"/>
          <w:lang w:eastAsia="zh-CN"/>
        </w:rPr>
        <w:t>第</w:t>
      </w:r>
      <w:r w:rsidRPr="00950BCF">
        <w:rPr>
          <w:rFonts w:hint="eastAsia"/>
          <w:lang w:eastAsia="zh-CN"/>
        </w:rPr>
        <w:t>1</w:t>
      </w:r>
      <w:r>
        <w:rPr>
          <w:rFonts w:hint="eastAsia"/>
          <w:lang w:eastAsia="zh-CN"/>
        </w:rPr>
        <w:t>40</w:t>
      </w:r>
      <w:r>
        <w:rPr>
          <w:lang w:eastAsia="zh-CN"/>
        </w:rPr>
        <w:t>6</w:t>
      </w:r>
      <w:r w:rsidRPr="00950BCF">
        <w:rPr>
          <w:rFonts w:hint="eastAsia"/>
          <w:lang w:eastAsia="zh-CN"/>
        </w:rPr>
        <w:t>号决议</w:t>
      </w:r>
      <w:r>
        <w:rPr>
          <w:lang w:eastAsia="zh-CN"/>
        </w:rPr>
        <w:tab/>
      </w:r>
      <w:r w:rsidR="006D3A93" w:rsidRPr="006D3A93">
        <w:rPr>
          <w:rFonts w:hint="eastAsia"/>
          <w:lang w:eastAsia="zh-CN"/>
        </w:rPr>
        <w:t>国际电联选任官员的服务条件</w:t>
      </w:r>
      <w:r w:rsidRPr="00451B0F">
        <w:rPr>
          <w:lang w:eastAsia="zh-CN"/>
        </w:rPr>
        <w:tab/>
      </w:r>
      <w:r>
        <w:rPr>
          <w:lang w:eastAsia="zh-CN"/>
        </w:rPr>
        <w:tab/>
        <w:t>2.1</w:t>
      </w:r>
    </w:p>
    <w:p w14:paraId="4CA24E4E" w14:textId="77777777" w:rsidR="00890171" w:rsidRDefault="00890171" w:rsidP="00890171">
      <w:pPr>
        <w:tabs>
          <w:tab w:val="clear" w:pos="1191"/>
          <w:tab w:val="clear" w:pos="1588"/>
          <w:tab w:val="clear" w:pos="1985"/>
          <w:tab w:val="left" w:leader="dot" w:pos="8844"/>
          <w:tab w:val="right" w:pos="9411"/>
        </w:tabs>
        <w:spacing w:before="40" w:after="40"/>
        <w:ind w:left="794" w:right="624" w:hanging="794"/>
        <w:jc w:val="left"/>
        <w:rPr>
          <w:sz w:val="20"/>
          <w:lang w:eastAsia="zh-CN"/>
        </w:rPr>
      </w:pPr>
    </w:p>
    <w:p w14:paraId="441C3150" w14:textId="089CB537" w:rsidR="00FA1485" w:rsidRDefault="00FA1485" w:rsidP="00FA1485">
      <w:pPr>
        <w:tabs>
          <w:tab w:val="clear" w:pos="1191"/>
          <w:tab w:val="clear" w:pos="1588"/>
          <w:tab w:val="clear" w:pos="1985"/>
          <w:tab w:val="left" w:leader="dot" w:pos="8844"/>
          <w:tab w:val="right" w:pos="9411"/>
        </w:tabs>
        <w:spacing w:before="40" w:after="40"/>
        <w:ind w:left="794" w:right="624" w:hanging="794"/>
        <w:jc w:val="left"/>
        <w:rPr>
          <w:sz w:val="20"/>
          <w:lang w:eastAsia="zh-CN"/>
        </w:rPr>
      </w:pPr>
    </w:p>
    <w:p w14:paraId="7EE0A8B6" w14:textId="0BB554FE" w:rsidR="00FA1485" w:rsidRDefault="00FA1485" w:rsidP="00FA1485">
      <w:pPr>
        <w:tabs>
          <w:tab w:val="clear" w:pos="1191"/>
          <w:tab w:val="clear" w:pos="1588"/>
          <w:tab w:val="clear" w:pos="1985"/>
          <w:tab w:val="left" w:leader="dot" w:pos="8844"/>
          <w:tab w:val="right" w:pos="9411"/>
        </w:tabs>
        <w:spacing w:before="40" w:after="40"/>
        <w:ind w:left="794" w:right="624" w:hanging="794"/>
        <w:jc w:val="left"/>
        <w:rPr>
          <w:sz w:val="20"/>
          <w:lang w:eastAsia="zh-CN"/>
        </w:rPr>
      </w:pPr>
    </w:p>
    <w:bookmarkEnd w:id="2893"/>
    <w:p w14:paraId="468A45F3" w14:textId="41AA6587" w:rsidR="00FA1485" w:rsidRDefault="00FA1485" w:rsidP="00FA1485">
      <w:pPr>
        <w:tabs>
          <w:tab w:val="clear" w:pos="1191"/>
          <w:tab w:val="clear" w:pos="1588"/>
          <w:tab w:val="clear" w:pos="1985"/>
          <w:tab w:val="left" w:leader="dot" w:pos="8844"/>
          <w:tab w:val="right" w:pos="9411"/>
        </w:tabs>
        <w:spacing w:before="40" w:after="40"/>
        <w:ind w:left="794" w:right="624" w:hanging="794"/>
        <w:jc w:val="left"/>
        <w:rPr>
          <w:sz w:val="20"/>
          <w:lang w:eastAsia="zh-CN"/>
        </w:rPr>
      </w:pPr>
    </w:p>
    <w:p w14:paraId="4105B540" w14:textId="13071D7D" w:rsidR="00FA1485" w:rsidRDefault="00FA1485" w:rsidP="00FA1485">
      <w:pPr>
        <w:tabs>
          <w:tab w:val="clear" w:pos="1191"/>
          <w:tab w:val="clear" w:pos="1588"/>
          <w:tab w:val="clear" w:pos="1985"/>
          <w:tab w:val="left" w:leader="dot" w:pos="8844"/>
          <w:tab w:val="right" w:pos="9411"/>
        </w:tabs>
        <w:spacing w:before="40" w:after="40"/>
        <w:ind w:left="794" w:right="624" w:hanging="794"/>
        <w:jc w:val="left"/>
        <w:rPr>
          <w:sz w:val="20"/>
          <w:lang w:eastAsia="zh-CN"/>
        </w:rPr>
      </w:pPr>
    </w:p>
    <w:p w14:paraId="1302F198" w14:textId="72FB1BFF" w:rsidR="00FA1485" w:rsidRDefault="00FA1485" w:rsidP="00FA1485">
      <w:pPr>
        <w:tabs>
          <w:tab w:val="clear" w:pos="1191"/>
          <w:tab w:val="clear" w:pos="1588"/>
          <w:tab w:val="clear" w:pos="1985"/>
          <w:tab w:val="left" w:leader="dot" w:pos="8844"/>
          <w:tab w:val="right" w:pos="9411"/>
        </w:tabs>
        <w:spacing w:before="40" w:after="40"/>
        <w:ind w:left="794" w:right="624" w:hanging="794"/>
        <w:jc w:val="left"/>
        <w:rPr>
          <w:sz w:val="20"/>
          <w:lang w:eastAsia="zh-CN"/>
        </w:rPr>
      </w:pPr>
    </w:p>
    <w:p w14:paraId="266E064A" w14:textId="65F41A13" w:rsidR="00FA1485" w:rsidRDefault="00FA1485" w:rsidP="00FA1485">
      <w:pPr>
        <w:tabs>
          <w:tab w:val="clear" w:pos="1191"/>
          <w:tab w:val="clear" w:pos="1588"/>
          <w:tab w:val="clear" w:pos="1985"/>
          <w:tab w:val="left" w:leader="dot" w:pos="8844"/>
          <w:tab w:val="right" w:pos="9411"/>
        </w:tabs>
        <w:spacing w:before="40" w:after="40"/>
        <w:ind w:left="794" w:right="624" w:hanging="794"/>
        <w:jc w:val="left"/>
        <w:rPr>
          <w:sz w:val="20"/>
          <w:lang w:eastAsia="zh-CN"/>
        </w:rPr>
      </w:pPr>
    </w:p>
    <w:p w14:paraId="609938E5" w14:textId="71289BE7" w:rsidR="00FA1485" w:rsidRDefault="00FA1485" w:rsidP="00FA1485">
      <w:pPr>
        <w:tabs>
          <w:tab w:val="clear" w:pos="1191"/>
          <w:tab w:val="clear" w:pos="1588"/>
          <w:tab w:val="clear" w:pos="1985"/>
          <w:tab w:val="left" w:leader="dot" w:pos="8844"/>
          <w:tab w:val="right" w:pos="9411"/>
        </w:tabs>
        <w:spacing w:before="40" w:after="40"/>
        <w:ind w:left="794" w:right="624" w:hanging="794"/>
        <w:jc w:val="left"/>
        <w:rPr>
          <w:sz w:val="20"/>
          <w:lang w:eastAsia="zh-CN"/>
        </w:rPr>
      </w:pPr>
    </w:p>
    <w:p w14:paraId="3DF1F0A4" w14:textId="05A9AA02" w:rsidR="00FA1485" w:rsidRDefault="00FA1485" w:rsidP="00FA1485">
      <w:pPr>
        <w:tabs>
          <w:tab w:val="clear" w:pos="1191"/>
          <w:tab w:val="clear" w:pos="1588"/>
          <w:tab w:val="clear" w:pos="1985"/>
          <w:tab w:val="left" w:leader="dot" w:pos="8844"/>
          <w:tab w:val="right" w:pos="9411"/>
        </w:tabs>
        <w:spacing w:before="40" w:after="40"/>
        <w:ind w:left="794" w:right="624" w:hanging="794"/>
        <w:jc w:val="left"/>
        <w:rPr>
          <w:sz w:val="20"/>
          <w:lang w:eastAsia="zh-CN"/>
        </w:rPr>
      </w:pPr>
    </w:p>
    <w:p w14:paraId="58EBCDD1" w14:textId="6943A284" w:rsidR="00FA1485" w:rsidRDefault="00FA1485" w:rsidP="00FA1485">
      <w:pPr>
        <w:tabs>
          <w:tab w:val="clear" w:pos="1191"/>
          <w:tab w:val="clear" w:pos="1588"/>
          <w:tab w:val="clear" w:pos="1985"/>
          <w:tab w:val="left" w:leader="dot" w:pos="8844"/>
          <w:tab w:val="right" w:pos="9411"/>
        </w:tabs>
        <w:spacing w:before="40" w:after="40"/>
        <w:ind w:left="794" w:right="624" w:hanging="794"/>
        <w:jc w:val="left"/>
        <w:rPr>
          <w:sz w:val="20"/>
          <w:lang w:eastAsia="zh-CN"/>
        </w:rPr>
      </w:pPr>
    </w:p>
    <w:p w14:paraId="62BE88C1" w14:textId="4291360B" w:rsidR="00FA1485" w:rsidRDefault="00FA1485" w:rsidP="00FA1485">
      <w:pPr>
        <w:tabs>
          <w:tab w:val="clear" w:pos="1191"/>
          <w:tab w:val="clear" w:pos="1588"/>
          <w:tab w:val="clear" w:pos="1985"/>
          <w:tab w:val="left" w:leader="dot" w:pos="8844"/>
          <w:tab w:val="right" w:pos="9411"/>
        </w:tabs>
        <w:spacing w:before="40" w:after="40"/>
        <w:ind w:left="794" w:right="624" w:hanging="794"/>
        <w:jc w:val="left"/>
        <w:rPr>
          <w:sz w:val="20"/>
          <w:lang w:eastAsia="zh-CN"/>
        </w:rPr>
      </w:pPr>
    </w:p>
    <w:p w14:paraId="57D32D58" w14:textId="5B7F71A4" w:rsidR="00FA1485" w:rsidRDefault="00FA1485" w:rsidP="00FA1485">
      <w:pPr>
        <w:tabs>
          <w:tab w:val="clear" w:pos="1191"/>
          <w:tab w:val="clear" w:pos="1588"/>
          <w:tab w:val="clear" w:pos="1985"/>
          <w:tab w:val="left" w:leader="dot" w:pos="8844"/>
          <w:tab w:val="right" w:pos="9411"/>
        </w:tabs>
        <w:spacing w:before="40" w:after="40"/>
        <w:ind w:left="794" w:right="624" w:hanging="794"/>
        <w:jc w:val="left"/>
        <w:rPr>
          <w:sz w:val="20"/>
          <w:lang w:eastAsia="zh-CN"/>
        </w:rPr>
      </w:pPr>
    </w:p>
    <w:p w14:paraId="43379744" w14:textId="46B2DAC1" w:rsidR="00FA1485" w:rsidRDefault="00FA1485" w:rsidP="00FA1485">
      <w:pPr>
        <w:tabs>
          <w:tab w:val="clear" w:pos="1191"/>
          <w:tab w:val="clear" w:pos="1588"/>
          <w:tab w:val="clear" w:pos="1985"/>
          <w:tab w:val="left" w:leader="dot" w:pos="8844"/>
          <w:tab w:val="right" w:pos="9411"/>
        </w:tabs>
        <w:spacing w:before="40" w:after="40"/>
        <w:ind w:left="794" w:right="624" w:hanging="794"/>
        <w:jc w:val="left"/>
        <w:rPr>
          <w:sz w:val="20"/>
          <w:lang w:eastAsia="zh-CN"/>
        </w:rPr>
      </w:pPr>
    </w:p>
    <w:p w14:paraId="567EE9CA" w14:textId="5DDBD5C1" w:rsidR="00FA1485" w:rsidRDefault="00FA1485" w:rsidP="00FA1485">
      <w:pPr>
        <w:tabs>
          <w:tab w:val="clear" w:pos="1191"/>
          <w:tab w:val="clear" w:pos="1588"/>
          <w:tab w:val="clear" w:pos="1985"/>
          <w:tab w:val="left" w:leader="dot" w:pos="8844"/>
          <w:tab w:val="right" w:pos="9411"/>
        </w:tabs>
        <w:spacing w:before="40" w:after="40"/>
        <w:ind w:left="794" w:right="624" w:hanging="794"/>
        <w:jc w:val="left"/>
        <w:rPr>
          <w:sz w:val="20"/>
          <w:lang w:eastAsia="zh-CN"/>
        </w:rPr>
      </w:pPr>
    </w:p>
    <w:p w14:paraId="55A4321E" w14:textId="17237D0C" w:rsidR="00FA1485" w:rsidRDefault="00FA1485" w:rsidP="00FA1485">
      <w:pPr>
        <w:tabs>
          <w:tab w:val="clear" w:pos="1191"/>
          <w:tab w:val="clear" w:pos="1588"/>
          <w:tab w:val="clear" w:pos="1985"/>
          <w:tab w:val="left" w:leader="dot" w:pos="8844"/>
          <w:tab w:val="right" w:pos="9411"/>
        </w:tabs>
        <w:spacing w:before="40" w:after="40"/>
        <w:ind w:left="794" w:right="624" w:hanging="794"/>
        <w:jc w:val="left"/>
        <w:rPr>
          <w:sz w:val="20"/>
          <w:lang w:eastAsia="zh-CN"/>
        </w:rPr>
      </w:pPr>
    </w:p>
    <w:p w14:paraId="4780E829" w14:textId="37574C94" w:rsidR="00FA1485" w:rsidRDefault="00FA1485" w:rsidP="00FA1485">
      <w:pPr>
        <w:tabs>
          <w:tab w:val="clear" w:pos="1191"/>
          <w:tab w:val="clear" w:pos="1588"/>
          <w:tab w:val="clear" w:pos="1985"/>
          <w:tab w:val="left" w:leader="dot" w:pos="8844"/>
          <w:tab w:val="right" w:pos="9411"/>
        </w:tabs>
        <w:spacing w:before="40" w:after="40"/>
        <w:ind w:left="794" w:right="624" w:hanging="794"/>
        <w:jc w:val="left"/>
        <w:rPr>
          <w:sz w:val="20"/>
          <w:lang w:eastAsia="zh-CN"/>
        </w:rPr>
      </w:pPr>
    </w:p>
    <w:p w14:paraId="2B21A1E2" w14:textId="444C25F4" w:rsidR="00FA1485" w:rsidRDefault="00FA1485" w:rsidP="00FA1485">
      <w:pPr>
        <w:tabs>
          <w:tab w:val="clear" w:pos="1191"/>
          <w:tab w:val="clear" w:pos="1588"/>
          <w:tab w:val="clear" w:pos="1985"/>
          <w:tab w:val="left" w:leader="dot" w:pos="8844"/>
          <w:tab w:val="right" w:pos="9411"/>
        </w:tabs>
        <w:spacing w:before="40" w:after="40"/>
        <w:ind w:left="794" w:right="624" w:hanging="794"/>
        <w:jc w:val="left"/>
        <w:rPr>
          <w:sz w:val="20"/>
          <w:lang w:eastAsia="zh-CN"/>
        </w:rPr>
      </w:pPr>
    </w:p>
    <w:p w14:paraId="3858ED17" w14:textId="468C50F7" w:rsidR="00FA1485" w:rsidRDefault="00FA1485" w:rsidP="00FA1485">
      <w:pPr>
        <w:tabs>
          <w:tab w:val="clear" w:pos="1191"/>
          <w:tab w:val="clear" w:pos="1588"/>
          <w:tab w:val="clear" w:pos="1985"/>
          <w:tab w:val="left" w:leader="dot" w:pos="8844"/>
          <w:tab w:val="right" w:pos="9411"/>
        </w:tabs>
        <w:spacing w:before="40" w:after="40"/>
        <w:ind w:left="794" w:right="624" w:hanging="794"/>
        <w:jc w:val="left"/>
        <w:rPr>
          <w:sz w:val="20"/>
          <w:lang w:eastAsia="zh-CN"/>
        </w:rPr>
      </w:pPr>
    </w:p>
    <w:p w14:paraId="100AE3C2" w14:textId="0CD03CA8" w:rsidR="00FA1485" w:rsidRDefault="00FA1485" w:rsidP="00FA1485">
      <w:pPr>
        <w:tabs>
          <w:tab w:val="clear" w:pos="1191"/>
          <w:tab w:val="clear" w:pos="1588"/>
          <w:tab w:val="clear" w:pos="1985"/>
          <w:tab w:val="left" w:leader="dot" w:pos="8844"/>
          <w:tab w:val="right" w:pos="9411"/>
        </w:tabs>
        <w:spacing w:before="40" w:after="40"/>
        <w:ind w:left="794" w:right="624" w:hanging="794"/>
        <w:jc w:val="left"/>
        <w:rPr>
          <w:sz w:val="20"/>
          <w:lang w:eastAsia="zh-CN"/>
        </w:rPr>
      </w:pPr>
    </w:p>
    <w:p w14:paraId="2BB3AED5" w14:textId="2746E4E4" w:rsidR="00FA1485" w:rsidRDefault="00FA1485" w:rsidP="00FA1485">
      <w:pPr>
        <w:tabs>
          <w:tab w:val="clear" w:pos="1191"/>
          <w:tab w:val="clear" w:pos="1588"/>
          <w:tab w:val="clear" w:pos="1985"/>
          <w:tab w:val="left" w:leader="dot" w:pos="8844"/>
          <w:tab w:val="right" w:pos="9411"/>
        </w:tabs>
        <w:spacing w:before="40" w:after="40"/>
        <w:ind w:left="794" w:right="624" w:hanging="794"/>
        <w:jc w:val="left"/>
        <w:rPr>
          <w:sz w:val="20"/>
          <w:lang w:eastAsia="zh-CN"/>
        </w:rPr>
      </w:pPr>
    </w:p>
    <w:p w14:paraId="65C7CB8D" w14:textId="77777777" w:rsidR="00FA1485" w:rsidRDefault="00FA1485" w:rsidP="00FA1485">
      <w:pPr>
        <w:tabs>
          <w:tab w:val="clear" w:pos="1191"/>
          <w:tab w:val="clear" w:pos="1588"/>
          <w:tab w:val="clear" w:pos="1985"/>
          <w:tab w:val="left" w:leader="dot" w:pos="8844"/>
          <w:tab w:val="right" w:pos="9411"/>
        </w:tabs>
        <w:spacing w:before="40" w:after="40"/>
        <w:ind w:left="794" w:right="624" w:hanging="794"/>
        <w:jc w:val="left"/>
        <w:rPr>
          <w:sz w:val="20"/>
          <w:lang w:eastAsia="zh-CN"/>
        </w:rPr>
      </w:pPr>
    </w:p>
    <w:p w14:paraId="07F48306" w14:textId="77777777" w:rsidR="00FA1485" w:rsidRDefault="00FA1485" w:rsidP="00FA1485">
      <w:pPr>
        <w:tabs>
          <w:tab w:val="clear" w:pos="1191"/>
          <w:tab w:val="clear" w:pos="1588"/>
          <w:tab w:val="clear" w:pos="1985"/>
          <w:tab w:val="left" w:leader="dot" w:pos="8844"/>
          <w:tab w:val="right" w:pos="9411"/>
        </w:tabs>
        <w:spacing w:before="40" w:after="40"/>
        <w:ind w:left="794" w:right="624" w:hanging="794"/>
        <w:jc w:val="left"/>
        <w:rPr>
          <w:sz w:val="20"/>
          <w:lang w:eastAsia="zh-CN"/>
        </w:rPr>
      </w:pPr>
    </w:p>
    <w:p w14:paraId="4827C216" w14:textId="4FBB710B" w:rsidR="00091112" w:rsidRPr="00FA1485" w:rsidRDefault="00091112" w:rsidP="00091112">
      <w:pPr>
        <w:rPr>
          <w:lang w:eastAsia="zh-CN"/>
        </w:rPr>
      </w:pPr>
    </w:p>
    <w:p w14:paraId="64EC820B" w14:textId="6045D209" w:rsidR="00FA1485" w:rsidRDefault="00FA1485" w:rsidP="00091112">
      <w:pPr>
        <w:rPr>
          <w:lang w:val="en-US" w:eastAsia="zh-CN"/>
        </w:rPr>
      </w:pPr>
    </w:p>
    <w:p w14:paraId="71978EA4" w14:textId="5E480E94" w:rsidR="00FA1485" w:rsidRDefault="00FA1485" w:rsidP="00091112">
      <w:pPr>
        <w:rPr>
          <w:lang w:val="en-US" w:eastAsia="zh-CN"/>
        </w:rPr>
      </w:pPr>
    </w:p>
    <w:p w14:paraId="0D643E47" w14:textId="77777777" w:rsidR="00FA1485" w:rsidRPr="00091112" w:rsidRDefault="00FA1485" w:rsidP="00091112">
      <w:pPr>
        <w:rPr>
          <w:lang w:val="en-US" w:eastAsia="zh-CN"/>
        </w:rPr>
      </w:pPr>
    </w:p>
    <w:p w14:paraId="4827C217" w14:textId="77777777" w:rsidR="004D28BD" w:rsidRDefault="004D28BD" w:rsidP="00B64353">
      <w:pPr>
        <w:tabs>
          <w:tab w:val="clear" w:pos="794"/>
          <w:tab w:val="clear" w:pos="1191"/>
          <w:tab w:val="clear" w:pos="1588"/>
          <w:tab w:val="clear" w:pos="1985"/>
          <w:tab w:val="left" w:pos="1701"/>
          <w:tab w:val="right" w:pos="9639"/>
        </w:tabs>
        <w:spacing w:before="80"/>
        <w:ind w:left="1708" w:hanging="1708"/>
        <w:jc w:val="center"/>
        <w:rPr>
          <w:b/>
          <w:bCs/>
          <w:szCs w:val="22"/>
          <w:lang w:eastAsia="zh-CN"/>
        </w:rPr>
      </w:pPr>
    </w:p>
    <w:p w14:paraId="4827C218" w14:textId="77777777" w:rsidR="00B824A2" w:rsidRPr="006E3B9B" w:rsidRDefault="00B824A2" w:rsidP="00EA3BEA">
      <w:pPr>
        <w:tabs>
          <w:tab w:val="clear" w:pos="794"/>
          <w:tab w:val="clear" w:pos="1191"/>
          <w:tab w:val="clear" w:pos="1588"/>
          <w:tab w:val="clear" w:pos="1985"/>
          <w:tab w:val="left" w:pos="1701"/>
          <w:tab w:val="right" w:pos="9639"/>
        </w:tabs>
        <w:spacing w:before="80"/>
        <w:ind w:left="1708" w:hanging="1708"/>
        <w:rPr>
          <w:sz w:val="20"/>
          <w:lang w:val="en-US" w:eastAsia="zh-CN"/>
        </w:rPr>
        <w:sectPr w:rsidR="00B824A2" w:rsidRPr="006E3B9B" w:rsidSect="006D013B">
          <w:headerReference w:type="even" r:id="rId528"/>
          <w:headerReference w:type="default" r:id="rId529"/>
          <w:footerReference w:type="even" r:id="rId530"/>
          <w:footerReference w:type="default" r:id="rId531"/>
          <w:headerReference w:type="first" r:id="rId532"/>
          <w:footerReference w:type="first" r:id="rId533"/>
          <w:footnotePr>
            <w:pos w:val="beneathText"/>
          </w:footnotePr>
          <w:endnotePr>
            <w:numFmt w:val="decimal"/>
          </w:endnotePr>
          <w:type w:val="oddPage"/>
          <w:pgSz w:w="11907" w:h="16840" w:code="9"/>
          <w:pgMar w:top="1418" w:right="1134" w:bottom="1134" w:left="1134" w:header="737" w:footer="567" w:gutter="284"/>
          <w:cols w:space="726"/>
          <w:vAlign w:val="both"/>
          <w:titlePg/>
        </w:sectPr>
      </w:pPr>
    </w:p>
    <w:p w14:paraId="4827C219" w14:textId="77777777" w:rsidR="00F731E3" w:rsidRDefault="006E3B9B" w:rsidP="000D18CD">
      <w:pPr>
        <w:pStyle w:val="AppendixNo"/>
        <w:spacing w:before="240"/>
        <w:outlineLvl w:val="0"/>
        <w:rPr>
          <w:lang w:val="en-US" w:eastAsia="zh-CN"/>
        </w:rPr>
      </w:pPr>
      <w:bookmarkStart w:id="2894" w:name="_Toc185237775"/>
      <w:bookmarkStart w:id="2895" w:name="_Toc311469687"/>
      <w:bookmarkStart w:id="2896" w:name="_Toc16173764"/>
      <w:bookmarkStart w:id="2897" w:name="_Toc86395738"/>
      <w:bookmarkStart w:id="2898" w:name="_Toc424115681"/>
      <w:bookmarkStart w:id="2899" w:name="_Toc424116289"/>
      <w:bookmarkStart w:id="2900" w:name="_Toc424117174"/>
      <w:bookmarkStart w:id="2901" w:name="_Toc531706523"/>
      <w:r w:rsidRPr="006E3B9B">
        <w:rPr>
          <w:rFonts w:hint="eastAsia"/>
          <w:lang w:val="en-US" w:eastAsia="zh-CN"/>
        </w:rPr>
        <w:lastRenderedPageBreak/>
        <w:t>附录</w:t>
      </w:r>
      <w:r w:rsidRPr="006E3B9B">
        <w:rPr>
          <w:lang w:val="en-US" w:eastAsia="zh-CN"/>
        </w:rPr>
        <w:t>B</w:t>
      </w:r>
      <w:bookmarkEnd w:id="2894"/>
      <w:bookmarkEnd w:id="2895"/>
      <w:bookmarkEnd w:id="2896"/>
      <w:bookmarkEnd w:id="2897"/>
    </w:p>
    <w:p w14:paraId="4827C21A" w14:textId="77777777" w:rsidR="006E3B9B" w:rsidRPr="006E3B9B" w:rsidRDefault="006E3B9B" w:rsidP="00F731E3">
      <w:pPr>
        <w:pStyle w:val="Appendixtitle"/>
        <w:rPr>
          <w:lang w:val="en-US" w:eastAsia="zh-CN"/>
        </w:rPr>
      </w:pPr>
      <w:r w:rsidRPr="006E3B9B">
        <w:rPr>
          <w:rFonts w:hint="eastAsia"/>
          <w:lang w:val="en-US" w:eastAsia="zh-CN"/>
        </w:rPr>
        <w:t>国际电联理事会各项决定编号列表</w:t>
      </w:r>
      <w:bookmarkEnd w:id="2890"/>
      <w:bookmarkEnd w:id="2891"/>
      <w:bookmarkEnd w:id="2892"/>
      <w:bookmarkEnd w:id="2898"/>
      <w:bookmarkEnd w:id="2899"/>
      <w:bookmarkEnd w:id="2900"/>
      <w:bookmarkEnd w:id="2901"/>
    </w:p>
    <w:p w14:paraId="4827C21B" w14:textId="77777777" w:rsidR="006E3B9B" w:rsidRPr="006E3B9B" w:rsidRDefault="006E3B9B" w:rsidP="00B64353">
      <w:pPr>
        <w:tabs>
          <w:tab w:val="clear" w:pos="794"/>
          <w:tab w:val="clear" w:pos="1191"/>
          <w:tab w:val="clear" w:pos="1588"/>
          <w:tab w:val="clear" w:pos="1985"/>
          <w:tab w:val="left" w:pos="1701"/>
          <w:tab w:val="right" w:pos="9639"/>
        </w:tabs>
        <w:ind w:left="1708" w:hanging="1708"/>
        <w:rPr>
          <w:rFonts w:ascii="SimSun" w:hAnsi="SimSun"/>
          <w:bCs/>
          <w:szCs w:val="22"/>
          <w:lang w:eastAsia="zh-CN"/>
        </w:rPr>
      </w:pPr>
    </w:p>
    <w:p w14:paraId="4827C21C" w14:textId="77777777" w:rsidR="006E3B9B" w:rsidRPr="006E3B9B" w:rsidRDefault="006E3B9B" w:rsidP="00B64353">
      <w:pPr>
        <w:tabs>
          <w:tab w:val="clear" w:pos="794"/>
          <w:tab w:val="clear" w:pos="1191"/>
          <w:tab w:val="clear" w:pos="1588"/>
          <w:tab w:val="clear" w:pos="1985"/>
          <w:tab w:val="left" w:pos="1701"/>
          <w:tab w:val="right" w:pos="9639"/>
        </w:tabs>
        <w:ind w:left="1708" w:hanging="1708"/>
        <w:rPr>
          <w:rFonts w:ascii="SimSun" w:hAnsi="SimSun"/>
          <w:bCs/>
          <w:szCs w:val="22"/>
          <w:lang w:eastAsia="zh-CN"/>
        </w:rPr>
      </w:pPr>
      <w:r w:rsidRPr="006E3B9B">
        <w:rPr>
          <w:rFonts w:ascii="SimSun" w:hAnsi="SimSun" w:hint="eastAsia"/>
          <w:bCs/>
          <w:szCs w:val="22"/>
          <w:lang w:eastAsia="zh-CN"/>
        </w:rPr>
        <w:t>题目右栏列出了相关案文所在章节的编号。</w:t>
      </w:r>
    </w:p>
    <w:p w14:paraId="4827C21D" w14:textId="77777777" w:rsidR="006E3B9B" w:rsidRPr="006E3B9B" w:rsidRDefault="006E3B9B" w:rsidP="004E1793">
      <w:pPr>
        <w:rPr>
          <w:lang w:val="en-US" w:eastAsia="zh-CN"/>
        </w:rPr>
      </w:pPr>
      <w:r w:rsidRPr="006E3B9B">
        <w:rPr>
          <w:rFonts w:hint="eastAsia"/>
          <w:lang w:val="en-US" w:eastAsia="zh-CN"/>
        </w:rPr>
        <w:t>对于那些已经失效的案文，相关章节编号由理事会做出决定将其从《汇编》中删除的年份取代。</w:t>
      </w:r>
    </w:p>
    <w:p w14:paraId="4827C21E" w14:textId="77777777" w:rsidR="006E3B9B" w:rsidRPr="006E3B9B" w:rsidRDefault="006E3B9B" w:rsidP="00B64353">
      <w:pPr>
        <w:tabs>
          <w:tab w:val="clear" w:pos="794"/>
          <w:tab w:val="clear" w:pos="1191"/>
          <w:tab w:val="clear" w:pos="1588"/>
          <w:tab w:val="clear" w:pos="1985"/>
          <w:tab w:val="left" w:pos="1701"/>
          <w:tab w:val="right" w:pos="9639"/>
        </w:tabs>
        <w:ind w:left="1708" w:hanging="1708"/>
        <w:rPr>
          <w:lang w:val="en-US" w:eastAsia="zh-CN"/>
        </w:rPr>
      </w:pPr>
    </w:p>
    <w:p w14:paraId="4827C21F" w14:textId="77777777" w:rsidR="006E3B9B" w:rsidRPr="006E3B9B" w:rsidRDefault="006E3B9B" w:rsidP="00057467">
      <w:pPr>
        <w:pStyle w:val="Reftitle"/>
        <w:rPr>
          <w:lang w:val="en-US" w:eastAsia="zh-CN"/>
        </w:rPr>
      </w:pPr>
      <w:r w:rsidRPr="006E3B9B">
        <w:rPr>
          <w:rFonts w:hint="eastAsia"/>
          <w:lang w:val="fr-FR" w:eastAsia="zh-CN"/>
        </w:rPr>
        <w:t>第</w:t>
      </w:r>
      <w:r w:rsidRPr="006E3B9B">
        <w:rPr>
          <w:lang w:val="fr-FR" w:eastAsia="zh-CN"/>
        </w:rPr>
        <w:t>3</w:t>
      </w:r>
      <w:r w:rsidRPr="006E3B9B">
        <w:rPr>
          <w:rFonts w:hint="eastAsia"/>
          <w:lang w:val="fr-FR" w:eastAsia="zh-CN"/>
        </w:rPr>
        <w:t>届会议</w:t>
      </w:r>
      <w:r w:rsidRPr="006E3B9B">
        <w:rPr>
          <w:lang w:val="fr-FR" w:eastAsia="zh-CN"/>
        </w:rPr>
        <w:t>（</w:t>
      </w:r>
      <w:r w:rsidRPr="006E3B9B">
        <w:rPr>
          <w:lang w:val="fr-FR" w:eastAsia="zh-CN"/>
        </w:rPr>
        <w:t>1948</w:t>
      </w:r>
      <w:r w:rsidRPr="006E3B9B">
        <w:rPr>
          <w:rFonts w:ascii="SimSun" w:hAnsi="SimSun" w:hint="eastAsia"/>
          <w:lang w:val="fr-FR" w:eastAsia="zh-CN"/>
        </w:rPr>
        <w:t>年</w:t>
      </w:r>
      <w:r w:rsidRPr="006E3B9B">
        <w:rPr>
          <w:lang w:val="fr-FR" w:eastAsia="zh-CN"/>
        </w:rPr>
        <w:t>9</w:t>
      </w:r>
      <w:r w:rsidRPr="006E3B9B">
        <w:rPr>
          <w:rFonts w:hint="eastAsia"/>
          <w:lang w:val="fr-FR" w:eastAsia="zh-CN"/>
        </w:rPr>
        <w:t>月</w:t>
      </w:r>
      <w:r w:rsidRPr="006E3B9B">
        <w:rPr>
          <w:lang w:val="fr-FR" w:eastAsia="zh-CN"/>
        </w:rPr>
        <w:t>-10</w:t>
      </w:r>
      <w:r w:rsidRPr="006E3B9B">
        <w:rPr>
          <w:rFonts w:hint="eastAsia"/>
          <w:lang w:val="fr-FR" w:eastAsia="zh-CN"/>
        </w:rPr>
        <w:t>月</w:t>
      </w:r>
      <w:r w:rsidRPr="006E3B9B">
        <w:rPr>
          <w:lang w:val="fr-FR" w:eastAsia="zh-CN"/>
        </w:rPr>
        <w:t>）</w:t>
      </w:r>
    </w:p>
    <w:p w14:paraId="4827C22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w:t>
      </w:r>
      <w:r w:rsidRPr="006E3B9B">
        <w:rPr>
          <w:lang w:val="en-US" w:eastAsia="zh-CN"/>
        </w:rPr>
        <w:t>号决定</w:t>
      </w:r>
      <w:r w:rsidRPr="006E3B9B">
        <w:rPr>
          <w:lang w:val="en-US" w:eastAsia="zh-CN"/>
        </w:rPr>
        <w:tab/>
      </w:r>
      <w:r w:rsidRPr="006E3B9B">
        <w:rPr>
          <w:rFonts w:hint="eastAsia"/>
          <w:lang w:val="fr-FR" w:eastAsia="zh-CN"/>
        </w:rPr>
        <w:t>理事会摘要记录</w:t>
      </w:r>
      <w:r w:rsidR="00057467">
        <w:rPr>
          <w:lang w:val="fr-FR" w:eastAsia="zh-CN"/>
        </w:rPr>
        <w:tab/>
      </w:r>
      <w:r w:rsidRPr="006E3B9B">
        <w:rPr>
          <w:lang w:val="en-US" w:eastAsia="zh-CN"/>
        </w:rPr>
        <w:tab/>
      </w:r>
      <w:r w:rsidRPr="006E3B9B">
        <w:rPr>
          <w:rFonts w:hint="eastAsia"/>
          <w:lang w:val="en-US" w:eastAsia="zh-CN"/>
        </w:rPr>
        <w:t>2006</w:t>
      </w:r>
      <w:r w:rsidRPr="006E3B9B">
        <w:rPr>
          <w:rFonts w:hint="eastAsia"/>
          <w:lang w:val="en-US" w:eastAsia="zh-CN"/>
        </w:rPr>
        <w:t>年</w:t>
      </w:r>
    </w:p>
    <w:p w14:paraId="4827C22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w:t>
      </w:r>
      <w:r w:rsidRPr="006E3B9B">
        <w:rPr>
          <w:lang w:val="en-US" w:eastAsia="zh-CN"/>
        </w:rPr>
        <w:t>号决定</w:t>
      </w:r>
      <w:r w:rsidRPr="006E3B9B">
        <w:rPr>
          <w:lang w:val="en-US" w:eastAsia="zh-CN"/>
        </w:rPr>
        <w:tab/>
      </w:r>
      <w:r w:rsidRPr="006E3B9B">
        <w:rPr>
          <w:rFonts w:hint="eastAsia"/>
          <w:lang w:val="fr-FR" w:eastAsia="zh-CN"/>
        </w:rPr>
        <w:t>长期和临时职位及任职人员名单</w:t>
      </w:r>
      <w:r w:rsidRPr="006E3B9B">
        <w:rPr>
          <w:lang w:val="en-US" w:eastAsia="zh-CN"/>
        </w:rPr>
        <w:tab/>
      </w:r>
      <w:r w:rsidR="00057467">
        <w:rPr>
          <w:lang w:val="en-US" w:eastAsia="zh-CN"/>
        </w:rPr>
        <w:tab/>
      </w:r>
      <w:r w:rsidRPr="006E3B9B">
        <w:rPr>
          <w:lang w:val="en-US" w:eastAsia="zh-CN"/>
        </w:rPr>
        <w:t>2.</w:t>
      </w:r>
      <w:r w:rsidRPr="006E3B9B">
        <w:rPr>
          <w:rFonts w:hint="eastAsia"/>
          <w:lang w:val="en-US" w:eastAsia="zh-CN"/>
        </w:rPr>
        <w:t>4</w:t>
      </w:r>
    </w:p>
    <w:p w14:paraId="4827C22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w:t>
      </w:r>
      <w:r w:rsidRPr="006E3B9B">
        <w:rPr>
          <w:lang w:val="en-US" w:eastAsia="zh-CN"/>
        </w:rPr>
        <w:t>号决定</w:t>
      </w:r>
      <w:r w:rsidRPr="006E3B9B">
        <w:rPr>
          <w:lang w:val="en-US" w:eastAsia="zh-CN"/>
        </w:rPr>
        <w:tab/>
      </w:r>
      <w:r w:rsidRPr="006E3B9B">
        <w:rPr>
          <w:rFonts w:hint="eastAsia"/>
          <w:lang w:val="en-US" w:eastAsia="zh-CN"/>
        </w:rPr>
        <w:t>大会各委员会的报告人</w:t>
      </w:r>
      <w:r w:rsidRPr="006E3B9B">
        <w:rPr>
          <w:lang w:val="en-US" w:eastAsia="zh-CN"/>
        </w:rPr>
        <w:tab/>
      </w:r>
      <w:r w:rsidR="00057467">
        <w:rPr>
          <w:lang w:val="en-US" w:eastAsia="zh-CN"/>
        </w:rPr>
        <w:tab/>
      </w:r>
      <w:r w:rsidRPr="006E3B9B">
        <w:rPr>
          <w:lang w:val="en-US" w:eastAsia="zh-CN"/>
        </w:rPr>
        <w:t>1967</w:t>
      </w:r>
      <w:r w:rsidRPr="006E3B9B">
        <w:rPr>
          <w:rFonts w:hint="eastAsia"/>
          <w:lang w:val="en-US" w:eastAsia="zh-CN"/>
        </w:rPr>
        <w:t>年</w:t>
      </w:r>
    </w:p>
    <w:p w14:paraId="4827C223" w14:textId="77777777" w:rsidR="006E3B9B" w:rsidRPr="006E3B9B" w:rsidRDefault="006E3B9B" w:rsidP="00057467">
      <w:pPr>
        <w:pStyle w:val="Reftitle"/>
        <w:rPr>
          <w:lang w:val="en-US" w:eastAsia="zh-CN"/>
        </w:rPr>
      </w:pPr>
      <w:r w:rsidRPr="006E3B9B">
        <w:rPr>
          <w:rFonts w:hint="eastAsia"/>
          <w:lang w:val="fr-FR" w:eastAsia="zh-CN"/>
        </w:rPr>
        <w:t>第</w:t>
      </w:r>
      <w:r w:rsidRPr="006E3B9B">
        <w:rPr>
          <w:lang w:val="fr-FR" w:eastAsia="zh-CN"/>
        </w:rPr>
        <w:t>4</w:t>
      </w:r>
      <w:r w:rsidRPr="006E3B9B">
        <w:rPr>
          <w:rFonts w:hint="eastAsia"/>
          <w:lang w:val="fr-FR" w:eastAsia="zh-CN"/>
        </w:rPr>
        <w:t>届会议</w:t>
      </w:r>
      <w:r w:rsidRPr="006E3B9B">
        <w:rPr>
          <w:lang w:val="fr-FR" w:eastAsia="zh-CN"/>
        </w:rPr>
        <w:t>（</w:t>
      </w:r>
      <w:r w:rsidRPr="006E3B9B">
        <w:rPr>
          <w:lang w:val="fr-FR" w:eastAsia="zh-CN"/>
        </w:rPr>
        <w:t>1949</w:t>
      </w:r>
      <w:r w:rsidRPr="006E3B9B">
        <w:rPr>
          <w:rFonts w:hint="eastAsia"/>
          <w:lang w:val="fr-FR" w:eastAsia="zh-CN"/>
        </w:rPr>
        <w:t>年</w:t>
      </w:r>
      <w:r w:rsidRPr="006E3B9B">
        <w:rPr>
          <w:lang w:val="fr-FR" w:eastAsia="zh-CN"/>
        </w:rPr>
        <w:t>8</w:t>
      </w:r>
      <w:r w:rsidRPr="006E3B9B">
        <w:rPr>
          <w:rFonts w:hint="eastAsia"/>
          <w:lang w:val="fr-FR" w:eastAsia="zh-CN"/>
        </w:rPr>
        <w:t>月</w:t>
      </w:r>
      <w:r w:rsidRPr="006E3B9B">
        <w:rPr>
          <w:lang w:val="fr-FR" w:eastAsia="zh-CN"/>
        </w:rPr>
        <w:t>-9</w:t>
      </w:r>
      <w:r w:rsidRPr="006E3B9B">
        <w:rPr>
          <w:rFonts w:hint="eastAsia"/>
          <w:lang w:val="fr-FR" w:eastAsia="zh-CN"/>
        </w:rPr>
        <w:t>月</w:t>
      </w:r>
      <w:r w:rsidRPr="006E3B9B">
        <w:rPr>
          <w:lang w:val="fr-FR" w:eastAsia="zh-CN"/>
        </w:rPr>
        <w:t>）</w:t>
      </w:r>
    </w:p>
    <w:p w14:paraId="4827C224" w14:textId="77777777" w:rsidR="006E3B9B" w:rsidRPr="00057467" w:rsidRDefault="006E3B9B" w:rsidP="00057467">
      <w:pPr>
        <w:pStyle w:val="Appendixref"/>
        <w:rPr>
          <w:lang w:eastAsia="zh-CN"/>
        </w:rPr>
      </w:pPr>
      <w:r w:rsidRPr="00057467">
        <w:rPr>
          <w:lang w:eastAsia="zh-CN"/>
        </w:rPr>
        <w:t>第</w:t>
      </w:r>
      <w:r w:rsidRPr="00057467">
        <w:rPr>
          <w:lang w:eastAsia="zh-CN"/>
        </w:rPr>
        <w:t>4</w:t>
      </w:r>
      <w:r w:rsidRPr="00057467">
        <w:rPr>
          <w:lang w:eastAsia="zh-CN"/>
        </w:rPr>
        <w:t>号决定</w:t>
      </w:r>
      <w:r w:rsidRPr="00057467">
        <w:rPr>
          <w:lang w:eastAsia="zh-CN"/>
        </w:rPr>
        <w:tab/>
      </w:r>
      <w:r w:rsidRPr="00057467">
        <w:rPr>
          <w:rFonts w:hint="eastAsia"/>
          <w:lang w:eastAsia="zh-CN"/>
        </w:rPr>
        <w:t>申请成为国际电联的成员国或联系成员</w:t>
      </w:r>
      <w:r w:rsidR="00057467">
        <w:rPr>
          <w:lang w:eastAsia="zh-CN"/>
        </w:rPr>
        <w:tab/>
      </w:r>
      <w:r w:rsidRPr="00057467">
        <w:rPr>
          <w:lang w:eastAsia="zh-CN"/>
        </w:rPr>
        <w:tab/>
        <w:t>1952</w:t>
      </w:r>
      <w:r w:rsidRPr="00057467">
        <w:rPr>
          <w:rFonts w:hint="eastAsia"/>
          <w:lang w:eastAsia="zh-CN"/>
        </w:rPr>
        <w:t>年</w:t>
      </w:r>
    </w:p>
    <w:p w14:paraId="4827C225" w14:textId="77777777" w:rsidR="006E3B9B" w:rsidRPr="00057467" w:rsidRDefault="006E3B9B" w:rsidP="00057467">
      <w:pPr>
        <w:pStyle w:val="Appendixref"/>
        <w:rPr>
          <w:lang w:eastAsia="zh-CN"/>
        </w:rPr>
      </w:pPr>
      <w:r w:rsidRPr="00057467">
        <w:rPr>
          <w:lang w:eastAsia="zh-CN"/>
        </w:rPr>
        <w:t>第</w:t>
      </w:r>
      <w:r w:rsidRPr="00057467">
        <w:rPr>
          <w:lang w:eastAsia="zh-CN"/>
        </w:rPr>
        <w:t>5</w:t>
      </w:r>
      <w:r w:rsidRPr="00057467">
        <w:rPr>
          <w:lang w:eastAsia="zh-CN"/>
        </w:rPr>
        <w:t>号决定</w:t>
      </w:r>
      <w:r w:rsidRPr="00057467">
        <w:rPr>
          <w:lang w:eastAsia="zh-CN"/>
        </w:rPr>
        <w:tab/>
      </w:r>
      <w:r w:rsidRPr="00057467">
        <w:rPr>
          <w:rFonts w:hint="eastAsia"/>
          <w:lang w:eastAsia="zh-CN"/>
        </w:rPr>
        <w:t>私营运营机构对行政大会支出的分摊</w:t>
      </w:r>
      <w:r w:rsidR="00057467">
        <w:rPr>
          <w:lang w:eastAsia="zh-CN"/>
        </w:rPr>
        <w:tab/>
      </w:r>
      <w:r w:rsidRPr="00057467">
        <w:rPr>
          <w:lang w:eastAsia="zh-CN"/>
        </w:rPr>
        <w:tab/>
        <w:t>1952</w:t>
      </w:r>
      <w:r w:rsidRPr="00057467">
        <w:rPr>
          <w:rFonts w:hint="eastAsia"/>
          <w:lang w:eastAsia="zh-CN"/>
        </w:rPr>
        <w:t>年</w:t>
      </w:r>
    </w:p>
    <w:p w14:paraId="4827C226" w14:textId="77777777" w:rsidR="006E3B9B" w:rsidRPr="00057467" w:rsidRDefault="006E3B9B" w:rsidP="00057467">
      <w:pPr>
        <w:pStyle w:val="Appendixref"/>
        <w:rPr>
          <w:lang w:eastAsia="zh-CN"/>
        </w:rPr>
      </w:pPr>
      <w:r w:rsidRPr="00057467">
        <w:rPr>
          <w:lang w:eastAsia="zh-CN"/>
        </w:rPr>
        <w:t>第</w:t>
      </w:r>
      <w:r w:rsidRPr="00057467">
        <w:rPr>
          <w:lang w:eastAsia="zh-CN"/>
        </w:rPr>
        <w:t>6</w:t>
      </w:r>
      <w:r w:rsidRPr="00057467">
        <w:rPr>
          <w:lang w:eastAsia="zh-CN"/>
        </w:rPr>
        <w:t>号决定</w:t>
      </w:r>
      <w:r w:rsidRPr="00057467">
        <w:rPr>
          <w:lang w:eastAsia="zh-CN"/>
        </w:rPr>
        <w:tab/>
      </w:r>
      <w:r w:rsidRPr="00057467">
        <w:rPr>
          <w:rFonts w:hint="eastAsia"/>
          <w:lang w:eastAsia="zh-CN"/>
        </w:rPr>
        <w:t>会费等级的变化</w:t>
      </w:r>
      <w:r w:rsidR="00057467">
        <w:rPr>
          <w:lang w:eastAsia="zh-CN"/>
        </w:rPr>
        <w:tab/>
      </w:r>
      <w:r w:rsidRPr="00057467">
        <w:rPr>
          <w:lang w:eastAsia="zh-CN"/>
        </w:rPr>
        <w:tab/>
        <w:t>1952</w:t>
      </w:r>
      <w:r w:rsidRPr="00057467">
        <w:rPr>
          <w:rFonts w:hint="eastAsia"/>
          <w:lang w:eastAsia="zh-CN"/>
        </w:rPr>
        <w:t>年</w:t>
      </w:r>
    </w:p>
    <w:p w14:paraId="4827C227" w14:textId="77777777" w:rsidR="006E3B9B" w:rsidRPr="00057467" w:rsidRDefault="006E3B9B" w:rsidP="00057467">
      <w:pPr>
        <w:pStyle w:val="Appendixref"/>
        <w:rPr>
          <w:lang w:eastAsia="zh-CN"/>
        </w:rPr>
      </w:pPr>
      <w:r w:rsidRPr="00057467">
        <w:rPr>
          <w:lang w:eastAsia="zh-CN"/>
        </w:rPr>
        <w:t>第</w:t>
      </w:r>
      <w:r w:rsidRPr="00057467">
        <w:rPr>
          <w:lang w:eastAsia="zh-CN"/>
        </w:rPr>
        <w:t>7</w:t>
      </w:r>
      <w:r w:rsidRPr="00057467">
        <w:rPr>
          <w:lang w:eastAsia="zh-CN"/>
        </w:rPr>
        <w:t>号决定</w:t>
      </w:r>
      <w:r w:rsidRPr="00057467">
        <w:rPr>
          <w:lang w:eastAsia="zh-CN"/>
        </w:rPr>
        <w:tab/>
      </w:r>
      <w:r w:rsidRPr="00057467">
        <w:rPr>
          <w:rFonts w:hint="eastAsia"/>
          <w:lang w:eastAsia="zh-CN"/>
        </w:rPr>
        <w:t>职员退休和福利基金</w:t>
      </w:r>
      <w:r w:rsidR="00057467">
        <w:rPr>
          <w:lang w:eastAsia="zh-CN"/>
        </w:rPr>
        <w:tab/>
      </w:r>
      <w:r w:rsidRPr="00057467">
        <w:rPr>
          <w:lang w:eastAsia="zh-CN"/>
        </w:rPr>
        <w:tab/>
        <w:t>1952</w:t>
      </w:r>
      <w:r w:rsidRPr="00057467">
        <w:rPr>
          <w:rFonts w:hint="eastAsia"/>
          <w:lang w:eastAsia="zh-CN"/>
        </w:rPr>
        <w:t>年</w:t>
      </w:r>
    </w:p>
    <w:p w14:paraId="4827C228" w14:textId="77777777" w:rsidR="006E3B9B" w:rsidRPr="00E251ED" w:rsidRDefault="006E3B9B" w:rsidP="00057467">
      <w:pPr>
        <w:pStyle w:val="Reftitle"/>
        <w:rPr>
          <w:lang w:eastAsia="zh-CN"/>
        </w:rPr>
      </w:pPr>
      <w:r w:rsidRPr="006E3B9B">
        <w:rPr>
          <w:rFonts w:hint="eastAsia"/>
          <w:lang w:val="fr-FR" w:eastAsia="zh-CN"/>
        </w:rPr>
        <w:t>第</w:t>
      </w:r>
      <w:r w:rsidRPr="006E3B9B">
        <w:rPr>
          <w:lang w:val="fr-FR" w:eastAsia="zh-CN"/>
        </w:rPr>
        <w:t>5</w:t>
      </w:r>
      <w:r w:rsidRPr="006E3B9B">
        <w:rPr>
          <w:rFonts w:hint="eastAsia"/>
          <w:lang w:val="fr-FR" w:eastAsia="zh-CN"/>
        </w:rPr>
        <w:t>届会议</w:t>
      </w:r>
      <w:r w:rsidRPr="006E3B9B">
        <w:rPr>
          <w:lang w:val="fr-FR" w:eastAsia="zh-CN"/>
        </w:rPr>
        <w:t>（</w:t>
      </w:r>
      <w:r w:rsidRPr="006E3B9B">
        <w:rPr>
          <w:lang w:val="fr-FR" w:eastAsia="zh-CN"/>
        </w:rPr>
        <w:t>1950</w:t>
      </w:r>
      <w:r w:rsidRPr="006E3B9B">
        <w:rPr>
          <w:rFonts w:hint="eastAsia"/>
          <w:lang w:val="fr-FR" w:eastAsia="zh-CN"/>
        </w:rPr>
        <w:t>年</w:t>
      </w:r>
      <w:r w:rsidRPr="006E3B9B">
        <w:rPr>
          <w:lang w:val="fr-FR" w:eastAsia="zh-CN"/>
        </w:rPr>
        <w:t>9</w:t>
      </w:r>
      <w:r w:rsidRPr="006E3B9B">
        <w:rPr>
          <w:rFonts w:hint="eastAsia"/>
          <w:lang w:val="fr-FR" w:eastAsia="zh-CN"/>
        </w:rPr>
        <w:t>月</w:t>
      </w:r>
      <w:r w:rsidRPr="006E3B9B">
        <w:rPr>
          <w:lang w:val="fr-FR" w:eastAsia="zh-CN"/>
        </w:rPr>
        <w:t>-10</w:t>
      </w:r>
      <w:r w:rsidRPr="006E3B9B">
        <w:rPr>
          <w:rFonts w:hint="eastAsia"/>
          <w:lang w:val="fr-FR" w:eastAsia="zh-CN"/>
        </w:rPr>
        <w:t>月</w:t>
      </w:r>
      <w:r w:rsidRPr="006E3B9B">
        <w:rPr>
          <w:lang w:val="fr-FR" w:eastAsia="zh-CN"/>
        </w:rPr>
        <w:t>）</w:t>
      </w:r>
    </w:p>
    <w:p w14:paraId="4827C22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8</w:t>
      </w:r>
      <w:r w:rsidRPr="006E3B9B">
        <w:rPr>
          <w:lang w:val="en-US" w:eastAsia="zh-CN"/>
        </w:rPr>
        <w:t>号决定</w:t>
      </w:r>
      <w:r w:rsidRPr="006E3B9B">
        <w:rPr>
          <w:lang w:val="en-US" w:eastAsia="zh-CN"/>
        </w:rPr>
        <w:tab/>
      </w:r>
      <w:r w:rsidRPr="006E3B9B">
        <w:rPr>
          <w:rFonts w:hint="eastAsia"/>
          <w:lang w:val="en-US" w:eastAsia="zh-CN"/>
        </w:rPr>
        <w:t>应</w:t>
      </w:r>
      <w:r w:rsidRPr="006E3B9B">
        <w:rPr>
          <w:rFonts w:hint="eastAsia"/>
          <w:lang w:eastAsia="zh-CN"/>
        </w:rPr>
        <w:t>发至国际电联成员国的与理事会决定相关的文件</w:t>
      </w:r>
      <w:r w:rsidRPr="006E3B9B">
        <w:rPr>
          <w:lang w:val="en-US" w:eastAsia="zh-CN"/>
        </w:rPr>
        <w:tab/>
      </w:r>
      <w:r w:rsidR="00057467">
        <w:rPr>
          <w:lang w:val="en-US" w:eastAsia="zh-CN"/>
        </w:rPr>
        <w:tab/>
      </w:r>
      <w:r w:rsidRPr="006E3B9B">
        <w:rPr>
          <w:lang w:val="en-US" w:eastAsia="zh-CN"/>
        </w:rPr>
        <w:t>3.2</w:t>
      </w:r>
    </w:p>
    <w:p w14:paraId="4827C22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9</w:t>
      </w:r>
      <w:r w:rsidRPr="006E3B9B">
        <w:rPr>
          <w:lang w:val="en-US" w:eastAsia="zh-CN"/>
        </w:rPr>
        <w:t>号决定</w:t>
      </w:r>
      <w:r w:rsidRPr="006E3B9B">
        <w:rPr>
          <w:lang w:val="en-US" w:eastAsia="zh-CN"/>
        </w:rPr>
        <w:tab/>
      </w:r>
      <w:r w:rsidRPr="006E3B9B">
        <w:rPr>
          <w:rFonts w:hint="eastAsia"/>
          <w:lang w:eastAsia="zh-CN"/>
        </w:rPr>
        <w:t>参加</w:t>
      </w:r>
      <w:r w:rsidRPr="006E3B9B">
        <w:rPr>
          <w:lang w:eastAsia="zh-CN"/>
        </w:rPr>
        <w:t>国际咨询委员会</w:t>
      </w:r>
      <w:r w:rsidRPr="006E3B9B">
        <w:rPr>
          <w:rFonts w:hint="eastAsia"/>
          <w:lang w:eastAsia="zh-CN"/>
        </w:rPr>
        <w:t>的活动</w:t>
      </w:r>
      <w:r w:rsidRPr="006E3B9B">
        <w:rPr>
          <w:lang w:val="en-US" w:eastAsia="zh-CN"/>
        </w:rPr>
        <w:tab/>
      </w:r>
      <w:r w:rsidR="00057467">
        <w:rPr>
          <w:lang w:val="en-US" w:eastAsia="zh-CN"/>
        </w:rPr>
        <w:tab/>
      </w:r>
      <w:r w:rsidRPr="006E3B9B">
        <w:rPr>
          <w:lang w:val="en-US" w:eastAsia="zh-CN"/>
        </w:rPr>
        <w:t>1952</w:t>
      </w:r>
      <w:r w:rsidRPr="006E3B9B">
        <w:rPr>
          <w:rFonts w:hint="eastAsia"/>
          <w:lang w:eastAsia="zh-CN"/>
        </w:rPr>
        <w:t>年</w:t>
      </w:r>
    </w:p>
    <w:p w14:paraId="4827C22B"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10</w:t>
      </w:r>
      <w:r w:rsidRPr="006E3B9B">
        <w:rPr>
          <w:lang w:val="en-US" w:eastAsia="zh-CN"/>
        </w:rPr>
        <w:t>号决定</w:t>
      </w:r>
      <w:r w:rsidRPr="006E3B9B">
        <w:rPr>
          <w:lang w:val="en-US" w:eastAsia="zh-CN"/>
        </w:rPr>
        <w:tab/>
      </w:r>
      <w:r w:rsidRPr="006E3B9B">
        <w:rPr>
          <w:rFonts w:hint="eastAsia"/>
          <w:lang w:eastAsia="zh-CN"/>
        </w:rPr>
        <w:t>某些私营运营机构拒绝分摊</w:t>
      </w:r>
      <w:r w:rsidRPr="006E3B9B">
        <w:rPr>
          <w:lang w:eastAsia="zh-CN"/>
        </w:rPr>
        <w:t>1948/1949</w:t>
      </w:r>
      <w:r w:rsidRPr="006E3B9B">
        <w:rPr>
          <w:rFonts w:hint="eastAsia"/>
          <w:lang w:eastAsia="zh-CN"/>
        </w:rPr>
        <w:t>年间举行的大会和会议的费用</w:t>
      </w:r>
      <w:r w:rsidRPr="006E3B9B">
        <w:rPr>
          <w:lang w:val="en-US" w:eastAsia="zh-CN"/>
        </w:rPr>
        <w:tab/>
      </w:r>
      <w:r w:rsidR="00057467">
        <w:rPr>
          <w:lang w:val="en-US" w:eastAsia="zh-CN"/>
        </w:rPr>
        <w:tab/>
      </w:r>
      <w:r w:rsidRPr="006E3B9B">
        <w:rPr>
          <w:lang w:val="en-US" w:eastAsia="zh-CN"/>
        </w:rPr>
        <w:t>1952</w:t>
      </w:r>
      <w:r w:rsidRPr="006E3B9B">
        <w:rPr>
          <w:rFonts w:hint="eastAsia"/>
          <w:lang w:eastAsia="zh-CN"/>
        </w:rPr>
        <w:t>年</w:t>
      </w:r>
    </w:p>
    <w:p w14:paraId="4827C22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11</w:t>
      </w:r>
      <w:r w:rsidRPr="006E3B9B">
        <w:rPr>
          <w:lang w:val="en-US" w:eastAsia="zh-CN"/>
        </w:rPr>
        <w:t>号决定</w:t>
      </w:r>
      <w:r w:rsidRPr="006E3B9B">
        <w:rPr>
          <w:lang w:val="en-US" w:eastAsia="zh-CN"/>
        </w:rPr>
        <w:tab/>
      </w:r>
      <w:r w:rsidRPr="006E3B9B">
        <w:rPr>
          <w:rFonts w:hint="eastAsia"/>
          <w:lang w:eastAsia="zh-CN"/>
        </w:rPr>
        <w:t>拖欠的会费</w:t>
      </w:r>
      <w:r w:rsidRPr="006E3B9B">
        <w:rPr>
          <w:lang w:val="en-US" w:eastAsia="zh-CN"/>
        </w:rPr>
        <w:tab/>
      </w:r>
      <w:r w:rsidR="00057467">
        <w:rPr>
          <w:lang w:val="en-US" w:eastAsia="zh-CN"/>
        </w:rPr>
        <w:tab/>
      </w:r>
      <w:r w:rsidRPr="006E3B9B">
        <w:rPr>
          <w:lang w:val="en-US" w:eastAsia="zh-CN"/>
        </w:rPr>
        <w:t>1952</w:t>
      </w:r>
      <w:r w:rsidRPr="006E3B9B">
        <w:rPr>
          <w:rFonts w:hint="eastAsia"/>
          <w:lang w:eastAsia="zh-CN"/>
        </w:rPr>
        <w:t>年</w:t>
      </w:r>
    </w:p>
    <w:p w14:paraId="4827C22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12</w:t>
      </w:r>
      <w:r w:rsidRPr="006E3B9B">
        <w:rPr>
          <w:lang w:val="en-US" w:eastAsia="zh-CN"/>
        </w:rPr>
        <w:t>号决定</w:t>
      </w:r>
      <w:r w:rsidRPr="006E3B9B">
        <w:rPr>
          <w:lang w:val="en-US" w:eastAsia="zh-CN"/>
        </w:rPr>
        <w:tab/>
      </w:r>
      <w:r w:rsidRPr="006E3B9B">
        <w:rPr>
          <w:rFonts w:hint="eastAsia"/>
          <w:lang w:eastAsia="zh-CN"/>
        </w:rPr>
        <w:t>常设机构摊付共同支出的会费</w:t>
      </w:r>
      <w:r w:rsidRPr="006E3B9B">
        <w:rPr>
          <w:lang w:val="en-US" w:eastAsia="zh-CN"/>
        </w:rPr>
        <w:tab/>
      </w:r>
      <w:r w:rsidR="00057467">
        <w:rPr>
          <w:lang w:val="en-US" w:eastAsia="zh-CN"/>
        </w:rPr>
        <w:tab/>
      </w:r>
      <w:r w:rsidRPr="006E3B9B">
        <w:rPr>
          <w:lang w:val="en-US" w:eastAsia="zh-CN"/>
        </w:rPr>
        <w:t>1954</w:t>
      </w:r>
      <w:r w:rsidRPr="006E3B9B">
        <w:rPr>
          <w:rFonts w:hint="eastAsia"/>
          <w:lang w:eastAsia="zh-CN"/>
        </w:rPr>
        <w:t>年</w:t>
      </w:r>
    </w:p>
    <w:p w14:paraId="4827C22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13</w:t>
      </w:r>
      <w:r w:rsidRPr="006E3B9B">
        <w:rPr>
          <w:lang w:val="en-US" w:eastAsia="zh-CN"/>
        </w:rPr>
        <w:t>号决定</w:t>
      </w:r>
      <w:r w:rsidRPr="006E3B9B">
        <w:rPr>
          <w:lang w:val="en-US" w:eastAsia="zh-CN"/>
        </w:rPr>
        <w:tab/>
      </w:r>
      <w:r w:rsidRPr="006E3B9B">
        <w:rPr>
          <w:rFonts w:hint="eastAsia"/>
          <w:lang w:eastAsia="zh-CN"/>
        </w:rPr>
        <w:t>家具库存</w:t>
      </w:r>
      <w:r w:rsidRPr="006E3B9B">
        <w:rPr>
          <w:lang w:val="en-US" w:eastAsia="zh-CN"/>
        </w:rPr>
        <w:tab/>
      </w:r>
      <w:r w:rsidR="00057467">
        <w:rPr>
          <w:lang w:val="en-US" w:eastAsia="zh-CN"/>
        </w:rPr>
        <w:tab/>
      </w:r>
      <w:r w:rsidRPr="006E3B9B">
        <w:rPr>
          <w:lang w:val="en-US" w:eastAsia="zh-CN"/>
        </w:rPr>
        <w:t>1952</w:t>
      </w:r>
      <w:r w:rsidRPr="006E3B9B">
        <w:rPr>
          <w:rFonts w:hint="eastAsia"/>
          <w:lang w:eastAsia="zh-CN"/>
        </w:rPr>
        <w:t>年</w:t>
      </w:r>
    </w:p>
    <w:p w14:paraId="4827C22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14</w:t>
      </w:r>
      <w:r w:rsidRPr="006E3B9B">
        <w:rPr>
          <w:lang w:val="en-US" w:eastAsia="zh-CN"/>
        </w:rPr>
        <w:t>号决定</w:t>
      </w:r>
      <w:r w:rsidRPr="006E3B9B">
        <w:rPr>
          <w:lang w:val="en-US" w:eastAsia="zh-CN"/>
        </w:rPr>
        <w:tab/>
      </w:r>
      <w:r w:rsidRPr="006E3B9B">
        <w:rPr>
          <w:rFonts w:hint="eastAsia"/>
          <w:lang w:eastAsia="zh-CN"/>
        </w:rPr>
        <w:t>墨西哥城高频广播大会</w:t>
      </w:r>
      <w:r w:rsidRPr="006E3B9B">
        <w:rPr>
          <w:lang w:eastAsia="zh-CN"/>
        </w:rPr>
        <w:t>（</w:t>
      </w:r>
      <w:r w:rsidRPr="006E3B9B">
        <w:rPr>
          <w:lang w:eastAsia="zh-CN"/>
        </w:rPr>
        <w:t>1948</w:t>
      </w:r>
      <w:r w:rsidRPr="006E3B9B">
        <w:rPr>
          <w:lang w:eastAsia="zh-CN"/>
        </w:rPr>
        <w:noBreakHyphen/>
        <w:t>1949</w:t>
      </w:r>
      <w:r w:rsidRPr="006E3B9B">
        <w:rPr>
          <w:rFonts w:hint="eastAsia"/>
          <w:lang w:eastAsia="zh-CN"/>
        </w:rPr>
        <w:t>年</w:t>
      </w:r>
      <w:r w:rsidRPr="006E3B9B">
        <w:rPr>
          <w:lang w:eastAsia="zh-CN"/>
        </w:rPr>
        <w:t>）</w:t>
      </w:r>
      <w:r w:rsidRPr="006E3B9B">
        <w:rPr>
          <w:rFonts w:hint="eastAsia"/>
          <w:lang w:eastAsia="zh-CN"/>
        </w:rPr>
        <w:t>期间所交换的电报的电报账目的结算</w:t>
      </w:r>
      <w:r w:rsidR="00057467">
        <w:rPr>
          <w:lang w:eastAsia="zh-CN"/>
        </w:rPr>
        <w:tab/>
      </w:r>
      <w:r w:rsidRPr="006E3B9B">
        <w:rPr>
          <w:lang w:val="en-US" w:eastAsia="zh-CN"/>
        </w:rPr>
        <w:tab/>
        <w:t>1954</w:t>
      </w:r>
      <w:r w:rsidRPr="006E3B9B">
        <w:rPr>
          <w:rFonts w:hint="eastAsia"/>
          <w:lang w:eastAsia="zh-CN"/>
        </w:rPr>
        <w:t>年</w:t>
      </w:r>
    </w:p>
    <w:p w14:paraId="4827C23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15</w:t>
      </w:r>
      <w:r w:rsidRPr="006E3B9B">
        <w:rPr>
          <w:lang w:val="en-US" w:eastAsia="zh-CN"/>
        </w:rPr>
        <w:t>号决定</w:t>
      </w:r>
      <w:r w:rsidRPr="006E3B9B">
        <w:rPr>
          <w:lang w:val="en-US" w:eastAsia="zh-CN"/>
        </w:rPr>
        <w:tab/>
      </w:r>
      <w:r w:rsidRPr="006E3B9B">
        <w:rPr>
          <w:rFonts w:hint="eastAsia"/>
          <w:lang w:eastAsia="zh-CN"/>
        </w:rPr>
        <w:t>特权与豁免权</w:t>
      </w:r>
      <w:r w:rsidRPr="006E3B9B">
        <w:rPr>
          <w:lang w:val="en-US" w:eastAsia="zh-CN"/>
        </w:rPr>
        <w:tab/>
      </w:r>
      <w:r w:rsidR="00057467">
        <w:rPr>
          <w:lang w:val="en-US" w:eastAsia="zh-CN"/>
        </w:rPr>
        <w:tab/>
      </w:r>
      <w:r w:rsidRPr="006E3B9B">
        <w:rPr>
          <w:lang w:val="en-US" w:eastAsia="zh-CN"/>
        </w:rPr>
        <w:t>1952</w:t>
      </w:r>
      <w:r w:rsidRPr="006E3B9B">
        <w:rPr>
          <w:rFonts w:hint="eastAsia"/>
          <w:lang w:eastAsia="zh-CN"/>
        </w:rPr>
        <w:t>年</w:t>
      </w:r>
    </w:p>
    <w:p w14:paraId="4827C23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16</w:t>
      </w:r>
      <w:r w:rsidRPr="006E3B9B">
        <w:rPr>
          <w:lang w:val="en-US" w:eastAsia="zh-CN"/>
        </w:rPr>
        <w:t>号决定</w:t>
      </w:r>
      <w:r w:rsidRPr="006E3B9B">
        <w:rPr>
          <w:lang w:val="en-US" w:eastAsia="zh-CN"/>
        </w:rPr>
        <w:tab/>
      </w:r>
      <w:r w:rsidRPr="006E3B9B">
        <w:rPr>
          <w:rFonts w:hint="eastAsia"/>
          <w:lang w:eastAsia="zh-CN"/>
        </w:rPr>
        <w:t>联合国《新闻自由公约》</w:t>
      </w:r>
      <w:r w:rsidRPr="006E3B9B">
        <w:rPr>
          <w:lang w:val="en-US" w:eastAsia="zh-CN"/>
        </w:rPr>
        <w:tab/>
      </w:r>
      <w:r w:rsidR="00057467">
        <w:rPr>
          <w:lang w:val="en-US" w:eastAsia="zh-CN"/>
        </w:rPr>
        <w:tab/>
      </w:r>
      <w:r w:rsidRPr="006E3B9B">
        <w:rPr>
          <w:lang w:val="en-US" w:eastAsia="zh-CN"/>
        </w:rPr>
        <w:t>1952</w:t>
      </w:r>
      <w:r w:rsidRPr="006E3B9B">
        <w:rPr>
          <w:rFonts w:hint="eastAsia"/>
          <w:lang w:eastAsia="zh-CN"/>
        </w:rPr>
        <w:t>年</w:t>
      </w:r>
    </w:p>
    <w:p w14:paraId="4827C23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17</w:t>
      </w:r>
      <w:r w:rsidRPr="006E3B9B">
        <w:rPr>
          <w:lang w:val="en-US" w:eastAsia="zh-CN"/>
        </w:rPr>
        <w:t>号决定</w:t>
      </w:r>
      <w:r w:rsidRPr="006E3B9B">
        <w:rPr>
          <w:lang w:val="en-US" w:eastAsia="zh-CN"/>
        </w:rPr>
        <w:tab/>
      </w:r>
      <w:r w:rsidRPr="006E3B9B">
        <w:rPr>
          <w:rFonts w:hint="eastAsia"/>
          <w:lang w:val="en-US" w:eastAsia="zh-CN"/>
        </w:rPr>
        <w:t>国际</w:t>
      </w:r>
      <w:r w:rsidRPr="006E3B9B">
        <w:rPr>
          <w:rFonts w:hint="eastAsia"/>
          <w:lang w:eastAsia="zh-CN"/>
        </w:rPr>
        <w:t>电联的大会和会议</w:t>
      </w:r>
      <w:r w:rsidRPr="006E3B9B">
        <w:rPr>
          <w:lang w:val="en-US" w:eastAsia="zh-CN"/>
        </w:rPr>
        <w:tab/>
      </w:r>
      <w:r w:rsidR="00057467">
        <w:rPr>
          <w:lang w:val="en-US" w:eastAsia="zh-CN"/>
        </w:rPr>
        <w:tab/>
      </w:r>
      <w:r w:rsidRPr="006E3B9B">
        <w:rPr>
          <w:lang w:val="en-US" w:eastAsia="zh-CN"/>
        </w:rPr>
        <w:t>1952</w:t>
      </w:r>
      <w:r w:rsidRPr="006E3B9B">
        <w:rPr>
          <w:rFonts w:hint="eastAsia"/>
          <w:lang w:eastAsia="zh-CN"/>
        </w:rPr>
        <w:t>年</w:t>
      </w:r>
    </w:p>
    <w:p w14:paraId="4827C23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18</w:t>
      </w:r>
      <w:r w:rsidRPr="006E3B9B">
        <w:rPr>
          <w:lang w:val="en-US" w:eastAsia="zh-CN"/>
        </w:rPr>
        <w:t>号决定</w:t>
      </w:r>
      <w:r w:rsidRPr="006E3B9B">
        <w:rPr>
          <w:lang w:val="en-US" w:eastAsia="zh-CN"/>
        </w:rPr>
        <w:tab/>
      </w:r>
      <w:r w:rsidRPr="006E3B9B">
        <w:rPr>
          <w:rFonts w:hint="eastAsia"/>
          <w:lang w:eastAsia="zh-CN"/>
        </w:rPr>
        <w:t>佛罗伦萨</w:t>
      </w:r>
      <w:r w:rsidRPr="006E3B9B">
        <w:rPr>
          <w:lang w:eastAsia="zh-CN"/>
        </w:rPr>
        <w:t>/</w:t>
      </w:r>
      <w:r w:rsidRPr="006E3B9B">
        <w:rPr>
          <w:rFonts w:hint="eastAsia"/>
          <w:lang w:eastAsia="zh-CN"/>
        </w:rPr>
        <w:t>拉帕罗国际高频广播大会</w:t>
      </w:r>
      <w:r w:rsidRPr="006E3B9B">
        <w:rPr>
          <w:lang w:eastAsia="zh-CN"/>
        </w:rPr>
        <w:t>（</w:t>
      </w:r>
      <w:r w:rsidRPr="006E3B9B">
        <w:rPr>
          <w:lang w:eastAsia="zh-CN"/>
        </w:rPr>
        <w:t>1950</w:t>
      </w:r>
      <w:r w:rsidRPr="006E3B9B">
        <w:rPr>
          <w:rFonts w:hint="eastAsia"/>
          <w:lang w:eastAsia="zh-CN"/>
        </w:rPr>
        <w:t>年</w:t>
      </w:r>
      <w:r w:rsidRPr="006E3B9B">
        <w:rPr>
          <w:lang w:eastAsia="zh-CN"/>
        </w:rPr>
        <w:t>）</w:t>
      </w:r>
      <w:r w:rsidRPr="006E3B9B">
        <w:rPr>
          <w:lang w:val="en-US" w:eastAsia="zh-CN"/>
        </w:rPr>
        <w:tab/>
      </w:r>
      <w:r w:rsidR="00057467">
        <w:rPr>
          <w:lang w:val="en-US" w:eastAsia="zh-CN"/>
        </w:rPr>
        <w:tab/>
      </w:r>
      <w:r w:rsidRPr="006E3B9B">
        <w:rPr>
          <w:lang w:val="en-US" w:eastAsia="zh-CN"/>
        </w:rPr>
        <w:t>1954</w:t>
      </w:r>
      <w:r w:rsidRPr="006E3B9B">
        <w:rPr>
          <w:rFonts w:hint="eastAsia"/>
          <w:lang w:eastAsia="zh-CN"/>
        </w:rPr>
        <w:t>年</w:t>
      </w:r>
    </w:p>
    <w:p w14:paraId="4827C23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19</w:t>
      </w:r>
      <w:r w:rsidRPr="006E3B9B">
        <w:rPr>
          <w:lang w:val="en-US" w:eastAsia="zh-CN"/>
        </w:rPr>
        <w:t>号决定</w:t>
      </w:r>
      <w:r w:rsidRPr="006E3B9B">
        <w:rPr>
          <w:lang w:val="en-US" w:eastAsia="zh-CN"/>
        </w:rPr>
        <w:tab/>
      </w:r>
      <w:r w:rsidRPr="006E3B9B">
        <w:rPr>
          <w:rFonts w:hint="eastAsia"/>
          <w:lang w:val="en-US" w:eastAsia="zh-CN"/>
        </w:rPr>
        <w:t>《</w:t>
      </w:r>
      <w:r w:rsidRPr="006E3B9B">
        <w:rPr>
          <w:rFonts w:hint="eastAsia"/>
          <w:lang w:eastAsia="zh-CN"/>
        </w:rPr>
        <w:t>哥本哈根规划》</w:t>
      </w:r>
      <w:r w:rsidRPr="006E3B9B">
        <w:rPr>
          <w:lang w:eastAsia="zh-CN"/>
        </w:rPr>
        <w:t>（</w:t>
      </w:r>
      <w:r w:rsidRPr="006E3B9B">
        <w:rPr>
          <w:lang w:eastAsia="zh-CN"/>
        </w:rPr>
        <w:t>1948</w:t>
      </w:r>
      <w:r w:rsidRPr="006E3B9B">
        <w:rPr>
          <w:rFonts w:hint="eastAsia"/>
          <w:lang w:eastAsia="zh-CN"/>
        </w:rPr>
        <w:t>年</w:t>
      </w:r>
      <w:r w:rsidRPr="006E3B9B">
        <w:rPr>
          <w:lang w:eastAsia="zh-CN"/>
        </w:rPr>
        <w:t>）</w:t>
      </w:r>
      <w:r w:rsidRPr="006E3B9B">
        <w:rPr>
          <w:rFonts w:hint="eastAsia"/>
          <w:lang w:eastAsia="zh-CN"/>
        </w:rPr>
        <w:t>的实施</w:t>
      </w:r>
      <w:r w:rsidRPr="006E3B9B">
        <w:rPr>
          <w:lang w:val="en-US" w:eastAsia="zh-CN"/>
        </w:rPr>
        <w:tab/>
      </w:r>
      <w:r w:rsidR="00057467">
        <w:rPr>
          <w:lang w:val="en-US" w:eastAsia="zh-CN"/>
        </w:rPr>
        <w:tab/>
      </w:r>
      <w:r w:rsidRPr="006E3B9B">
        <w:rPr>
          <w:lang w:val="en-US" w:eastAsia="zh-CN"/>
        </w:rPr>
        <w:t>1981</w:t>
      </w:r>
      <w:r w:rsidRPr="006E3B9B">
        <w:rPr>
          <w:rFonts w:hint="eastAsia"/>
          <w:lang w:eastAsia="zh-CN"/>
        </w:rPr>
        <w:t>年</w:t>
      </w:r>
    </w:p>
    <w:p w14:paraId="4827C23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20</w:t>
      </w:r>
      <w:r w:rsidRPr="006E3B9B">
        <w:rPr>
          <w:lang w:val="en-US" w:eastAsia="zh-CN"/>
        </w:rPr>
        <w:t>号决定</w:t>
      </w:r>
      <w:r w:rsidRPr="006E3B9B">
        <w:rPr>
          <w:lang w:val="en-US" w:eastAsia="zh-CN"/>
        </w:rPr>
        <w:tab/>
      </w:r>
      <w:r w:rsidRPr="006E3B9B">
        <w:rPr>
          <w:rFonts w:hint="eastAsia"/>
          <w:lang w:eastAsia="zh-CN"/>
        </w:rPr>
        <w:t>对航空无线电大会决议和建议的审议</w:t>
      </w:r>
      <w:r w:rsidRPr="006E3B9B">
        <w:rPr>
          <w:lang w:val="en-US" w:eastAsia="zh-CN"/>
        </w:rPr>
        <w:tab/>
      </w:r>
      <w:r w:rsidR="00057467">
        <w:rPr>
          <w:lang w:val="en-US" w:eastAsia="zh-CN"/>
        </w:rPr>
        <w:tab/>
      </w:r>
      <w:r w:rsidRPr="006E3B9B">
        <w:rPr>
          <w:lang w:val="en-US" w:eastAsia="zh-CN"/>
        </w:rPr>
        <w:t>1964</w:t>
      </w:r>
      <w:r w:rsidRPr="006E3B9B">
        <w:rPr>
          <w:rFonts w:hint="eastAsia"/>
          <w:lang w:eastAsia="zh-CN"/>
        </w:rPr>
        <w:t>年</w:t>
      </w:r>
    </w:p>
    <w:p w14:paraId="4827C23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21</w:t>
      </w:r>
      <w:r w:rsidRPr="006E3B9B">
        <w:rPr>
          <w:lang w:val="en-US" w:eastAsia="zh-CN"/>
        </w:rPr>
        <w:t>号决定</w:t>
      </w:r>
      <w:r w:rsidRPr="006E3B9B">
        <w:rPr>
          <w:lang w:val="en-US" w:eastAsia="zh-CN"/>
        </w:rPr>
        <w:tab/>
      </w:r>
      <w:r w:rsidRPr="006E3B9B">
        <w:rPr>
          <w:rFonts w:hint="eastAsia"/>
          <w:lang w:eastAsia="zh-CN"/>
        </w:rPr>
        <w:t>国际监控业务</w:t>
      </w:r>
      <w:r w:rsidRPr="006E3B9B">
        <w:rPr>
          <w:lang w:val="en-US" w:eastAsia="zh-CN"/>
        </w:rPr>
        <w:tab/>
      </w:r>
      <w:r w:rsidR="00057467">
        <w:rPr>
          <w:lang w:val="en-US" w:eastAsia="zh-CN"/>
        </w:rPr>
        <w:tab/>
      </w:r>
      <w:r w:rsidRPr="006E3B9B">
        <w:rPr>
          <w:lang w:val="en-US" w:eastAsia="zh-CN"/>
        </w:rPr>
        <w:t>1952</w:t>
      </w:r>
      <w:r w:rsidRPr="006E3B9B">
        <w:rPr>
          <w:rFonts w:hint="eastAsia"/>
          <w:lang w:eastAsia="zh-CN"/>
        </w:rPr>
        <w:t>年</w:t>
      </w:r>
    </w:p>
    <w:p w14:paraId="4827C23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22</w:t>
      </w:r>
      <w:r w:rsidRPr="006E3B9B">
        <w:rPr>
          <w:lang w:val="en-US" w:eastAsia="zh-CN"/>
        </w:rPr>
        <w:t>号决定</w:t>
      </w:r>
      <w:r w:rsidRPr="006E3B9B">
        <w:rPr>
          <w:lang w:val="en-US" w:eastAsia="zh-CN"/>
        </w:rPr>
        <w:tab/>
      </w:r>
      <w:r w:rsidRPr="006E3B9B">
        <w:rPr>
          <w:rFonts w:hint="eastAsia"/>
          <w:lang w:eastAsia="zh-CN"/>
        </w:rPr>
        <w:t>对失窃的补偿</w:t>
      </w:r>
      <w:r w:rsidRPr="006E3B9B">
        <w:rPr>
          <w:lang w:val="en-US" w:eastAsia="zh-CN"/>
        </w:rPr>
        <w:tab/>
      </w:r>
      <w:r w:rsidR="00057467">
        <w:rPr>
          <w:lang w:val="en-US" w:eastAsia="zh-CN"/>
        </w:rPr>
        <w:tab/>
      </w:r>
      <w:r w:rsidRPr="006E3B9B">
        <w:rPr>
          <w:lang w:val="en-US" w:eastAsia="zh-CN"/>
        </w:rPr>
        <w:t>1952</w:t>
      </w:r>
      <w:r w:rsidRPr="006E3B9B">
        <w:rPr>
          <w:rFonts w:hint="eastAsia"/>
          <w:lang w:eastAsia="zh-CN"/>
        </w:rPr>
        <w:t>年</w:t>
      </w:r>
    </w:p>
    <w:p w14:paraId="4827C23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23</w:t>
      </w:r>
      <w:r w:rsidRPr="006E3B9B">
        <w:rPr>
          <w:lang w:val="en-US" w:eastAsia="zh-CN"/>
        </w:rPr>
        <w:t>号决定</w:t>
      </w:r>
      <w:r w:rsidRPr="006E3B9B">
        <w:rPr>
          <w:lang w:val="en-US" w:eastAsia="zh-CN"/>
        </w:rPr>
        <w:tab/>
      </w:r>
      <w:r w:rsidRPr="006E3B9B">
        <w:rPr>
          <w:rFonts w:hint="eastAsia"/>
          <w:lang w:eastAsia="zh-CN"/>
        </w:rPr>
        <w:t>电话账目</w:t>
      </w:r>
      <w:r w:rsidRPr="006E3B9B">
        <w:rPr>
          <w:lang w:val="en-US" w:eastAsia="zh-CN"/>
        </w:rPr>
        <w:tab/>
      </w:r>
      <w:r w:rsidR="00057467">
        <w:rPr>
          <w:lang w:val="en-US" w:eastAsia="zh-CN"/>
        </w:rPr>
        <w:tab/>
      </w:r>
      <w:r w:rsidRPr="006E3B9B">
        <w:rPr>
          <w:lang w:val="en-US" w:eastAsia="zh-CN"/>
        </w:rPr>
        <w:t>1952</w:t>
      </w:r>
      <w:r w:rsidRPr="006E3B9B">
        <w:rPr>
          <w:rFonts w:hint="eastAsia"/>
          <w:lang w:eastAsia="zh-CN"/>
        </w:rPr>
        <w:t>年</w:t>
      </w:r>
    </w:p>
    <w:p w14:paraId="4827C23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24</w:t>
      </w:r>
      <w:r w:rsidRPr="006E3B9B">
        <w:rPr>
          <w:lang w:val="en-US" w:eastAsia="zh-CN"/>
        </w:rPr>
        <w:t>号决定</w:t>
      </w:r>
      <w:r w:rsidRPr="006E3B9B">
        <w:rPr>
          <w:lang w:val="en-US" w:eastAsia="zh-CN"/>
        </w:rPr>
        <w:tab/>
      </w:r>
      <w:r w:rsidRPr="006E3B9B">
        <w:rPr>
          <w:rFonts w:hint="eastAsia"/>
          <w:lang w:eastAsia="zh-CN"/>
        </w:rPr>
        <w:t>职员异常支出的收据</w:t>
      </w:r>
      <w:r w:rsidRPr="006E3B9B">
        <w:rPr>
          <w:lang w:val="en-US" w:eastAsia="zh-CN"/>
        </w:rPr>
        <w:tab/>
      </w:r>
      <w:r w:rsidR="00057467">
        <w:rPr>
          <w:lang w:val="en-US" w:eastAsia="zh-CN"/>
        </w:rPr>
        <w:tab/>
      </w:r>
      <w:r w:rsidRPr="006E3B9B">
        <w:rPr>
          <w:lang w:val="en-US" w:eastAsia="zh-CN"/>
        </w:rPr>
        <w:t>1952</w:t>
      </w:r>
      <w:r w:rsidRPr="006E3B9B">
        <w:rPr>
          <w:rFonts w:hint="eastAsia"/>
          <w:lang w:eastAsia="zh-CN"/>
        </w:rPr>
        <w:t>年</w:t>
      </w:r>
    </w:p>
    <w:p w14:paraId="4827C23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25</w:t>
      </w:r>
      <w:r w:rsidRPr="006E3B9B">
        <w:rPr>
          <w:lang w:val="en-US" w:eastAsia="zh-CN"/>
        </w:rPr>
        <w:t>号决定</w:t>
      </w:r>
      <w:r w:rsidRPr="006E3B9B">
        <w:rPr>
          <w:lang w:val="en-US" w:eastAsia="zh-CN"/>
        </w:rPr>
        <w:tab/>
      </w:r>
      <w:r w:rsidRPr="006E3B9B">
        <w:rPr>
          <w:rFonts w:hint="eastAsia"/>
          <w:lang w:eastAsia="zh-CN"/>
        </w:rPr>
        <w:t>任命</w:t>
      </w:r>
      <w:r w:rsidRPr="006E3B9B">
        <w:rPr>
          <w:lang w:val="en-US" w:eastAsia="zh-CN"/>
        </w:rPr>
        <w:tab/>
      </w:r>
      <w:r w:rsidR="00057467">
        <w:rPr>
          <w:lang w:val="en-US" w:eastAsia="zh-CN"/>
        </w:rPr>
        <w:tab/>
      </w:r>
      <w:r w:rsidRPr="006E3B9B">
        <w:rPr>
          <w:lang w:val="en-US" w:eastAsia="zh-CN"/>
        </w:rPr>
        <w:t>1952</w:t>
      </w:r>
      <w:r w:rsidRPr="006E3B9B">
        <w:rPr>
          <w:rFonts w:hint="eastAsia"/>
          <w:lang w:eastAsia="zh-CN"/>
        </w:rPr>
        <w:t>年</w:t>
      </w:r>
    </w:p>
    <w:p w14:paraId="4827C23B"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26</w:t>
      </w:r>
      <w:r w:rsidRPr="006E3B9B">
        <w:rPr>
          <w:lang w:val="en-US" w:eastAsia="zh-CN"/>
        </w:rPr>
        <w:t>号决定</w:t>
      </w:r>
      <w:r w:rsidRPr="006E3B9B">
        <w:rPr>
          <w:lang w:val="en-US" w:eastAsia="zh-CN"/>
        </w:rPr>
        <w:tab/>
      </w:r>
      <w:r w:rsidRPr="006E3B9B">
        <w:rPr>
          <w:rFonts w:hint="eastAsia"/>
          <w:lang w:eastAsia="zh-CN"/>
        </w:rPr>
        <w:t>用职员退休和福利基金提供抵押贷款的可能性</w:t>
      </w:r>
      <w:r w:rsidRPr="006E3B9B">
        <w:rPr>
          <w:lang w:val="en-US" w:eastAsia="zh-CN"/>
        </w:rPr>
        <w:tab/>
      </w:r>
      <w:r w:rsidR="00057467">
        <w:rPr>
          <w:lang w:val="en-US" w:eastAsia="zh-CN"/>
        </w:rPr>
        <w:tab/>
      </w:r>
      <w:r w:rsidRPr="006E3B9B">
        <w:rPr>
          <w:lang w:val="en-US" w:eastAsia="zh-CN"/>
        </w:rPr>
        <w:t>1984</w:t>
      </w:r>
      <w:r w:rsidRPr="006E3B9B">
        <w:rPr>
          <w:rFonts w:hint="eastAsia"/>
          <w:lang w:eastAsia="zh-CN"/>
        </w:rPr>
        <w:t>年</w:t>
      </w:r>
    </w:p>
    <w:p w14:paraId="4827C23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27</w:t>
      </w:r>
      <w:r w:rsidRPr="006E3B9B">
        <w:rPr>
          <w:lang w:val="en-US" w:eastAsia="zh-CN"/>
        </w:rPr>
        <w:t>号决定</w:t>
      </w:r>
      <w:r w:rsidRPr="006E3B9B">
        <w:rPr>
          <w:lang w:val="en-US" w:eastAsia="zh-CN"/>
        </w:rPr>
        <w:tab/>
      </w:r>
      <w:r w:rsidRPr="006E3B9B">
        <w:rPr>
          <w:rFonts w:hint="eastAsia"/>
          <w:lang w:val="en-US" w:eastAsia="zh-CN"/>
        </w:rPr>
        <w:t>国际</w:t>
      </w:r>
      <w:r w:rsidRPr="006E3B9B">
        <w:rPr>
          <w:rFonts w:hint="eastAsia"/>
          <w:lang w:eastAsia="zh-CN"/>
        </w:rPr>
        <w:t>电联协调委员会</w:t>
      </w:r>
      <w:r w:rsidRPr="006E3B9B">
        <w:rPr>
          <w:lang w:val="en-US" w:eastAsia="zh-CN"/>
        </w:rPr>
        <w:tab/>
      </w:r>
      <w:r w:rsidR="00057467">
        <w:rPr>
          <w:lang w:val="en-US" w:eastAsia="zh-CN"/>
        </w:rPr>
        <w:tab/>
      </w:r>
      <w:r w:rsidRPr="006E3B9B">
        <w:rPr>
          <w:lang w:val="en-US" w:eastAsia="zh-CN"/>
        </w:rPr>
        <w:t>1952</w:t>
      </w:r>
      <w:r w:rsidRPr="006E3B9B">
        <w:rPr>
          <w:rFonts w:hint="eastAsia"/>
          <w:lang w:eastAsia="zh-CN"/>
        </w:rPr>
        <w:t>年</w:t>
      </w:r>
    </w:p>
    <w:p w14:paraId="4827C23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28</w:t>
      </w:r>
      <w:r w:rsidRPr="006E3B9B">
        <w:rPr>
          <w:lang w:val="en-US" w:eastAsia="zh-CN"/>
        </w:rPr>
        <w:t>号决定</w:t>
      </w:r>
      <w:r w:rsidRPr="006E3B9B">
        <w:rPr>
          <w:lang w:val="en-US" w:eastAsia="zh-CN"/>
        </w:rPr>
        <w:tab/>
      </w:r>
      <w:r w:rsidRPr="006E3B9B">
        <w:rPr>
          <w:rFonts w:hint="eastAsia"/>
          <w:lang w:val="en-US" w:eastAsia="zh-CN"/>
        </w:rPr>
        <w:t>《</w:t>
      </w:r>
      <w:r w:rsidRPr="006E3B9B">
        <w:rPr>
          <w:rFonts w:hint="eastAsia"/>
          <w:lang w:eastAsia="zh-CN"/>
        </w:rPr>
        <w:t>决议汇编》</w:t>
      </w:r>
      <w:r w:rsidRPr="006E3B9B">
        <w:rPr>
          <w:lang w:val="en-US" w:eastAsia="zh-CN"/>
        </w:rPr>
        <w:tab/>
      </w:r>
      <w:r w:rsidR="00057467">
        <w:rPr>
          <w:lang w:val="en-US" w:eastAsia="zh-CN"/>
        </w:rPr>
        <w:tab/>
      </w:r>
      <w:r w:rsidRPr="006E3B9B">
        <w:rPr>
          <w:lang w:val="en-US" w:eastAsia="zh-CN"/>
        </w:rPr>
        <w:t>1952</w:t>
      </w:r>
      <w:r w:rsidRPr="006E3B9B">
        <w:rPr>
          <w:rFonts w:hint="eastAsia"/>
          <w:lang w:eastAsia="zh-CN"/>
        </w:rPr>
        <w:t>年</w:t>
      </w:r>
    </w:p>
    <w:p w14:paraId="4827C23E" w14:textId="77777777" w:rsidR="00091112" w:rsidRDefault="00091112">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4827C23F" w14:textId="77777777" w:rsidR="006E3B9B" w:rsidRPr="006E3B9B" w:rsidRDefault="006E3B9B" w:rsidP="004E1793">
      <w:pPr>
        <w:pStyle w:val="Reftitle"/>
        <w:rPr>
          <w:lang w:val="en-US" w:eastAsia="zh-CN"/>
        </w:rPr>
      </w:pPr>
      <w:r w:rsidRPr="006E3B9B">
        <w:rPr>
          <w:rFonts w:hint="eastAsia"/>
          <w:lang w:eastAsia="zh-CN"/>
        </w:rPr>
        <w:lastRenderedPageBreak/>
        <w:t>第</w:t>
      </w:r>
      <w:r w:rsidRPr="006E3B9B">
        <w:rPr>
          <w:lang w:eastAsia="zh-CN"/>
        </w:rPr>
        <w:t>6</w:t>
      </w:r>
      <w:r w:rsidRPr="006E3B9B">
        <w:rPr>
          <w:rFonts w:hint="eastAsia"/>
          <w:lang w:eastAsia="zh-CN"/>
        </w:rPr>
        <w:t>届会议</w:t>
      </w:r>
      <w:r w:rsidRPr="006E3B9B">
        <w:rPr>
          <w:lang w:eastAsia="zh-CN"/>
        </w:rPr>
        <w:t>（</w:t>
      </w:r>
      <w:r w:rsidRPr="006E3B9B">
        <w:rPr>
          <w:lang w:eastAsia="zh-CN"/>
        </w:rPr>
        <w:t>1951</w:t>
      </w:r>
      <w:r w:rsidRPr="006E3B9B">
        <w:rPr>
          <w:rFonts w:hint="eastAsia"/>
          <w:lang w:eastAsia="zh-CN"/>
        </w:rPr>
        <w:t>年</w:t>
      </w:r>
      <w:r w:rsidRPr="006E3B9B">
        <w:rPr>
          <w:lang w:eastAsia="zh-CN"/>
        </w:rPr>
        <w:t>4</w:t>
      </w:r>
      <w:r w:rsidRPr="006E3B9B">
        <w:rPr>
          <w:rFonts w:hint="eastAsia"/>
          <w:lang w:eastAsia="zh-CN"/>
        </w:rPr>
        <w:t>月</w:t>
      </w:r>
      <w:r w:rsidRPr="006E3B9B">
        <w:rPr>
          <w:lang w:eastAsia="zh-CN"/>
        </w:rPr>
        <w:t>-5</w:t>
      </w:r>
      <w:r w:rsidRPr="006E3B9B">
        <w:rPr>
          <w:rFonts w:hint="eastAsia"/>
          <w:lang w:eastAsia="zh-CN"/>
        </w:rPr>
        <w:t>月</w:t>
      </w:r>
      <w:r w:rsidRPr="006E3B9B">
        <w:rPr>
          <w:lang w:eastAsia="zh-CN"/>
        </w:rPr>
        <w:t>）</w:t>
      </w:r>
    </w:p>
    <w:p w14:paraId="4827C24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29</w:t>
      </w:r>
      <w:r w:rsidRPr="006E3B9B">
        <w:rPr>
          <w:lang w:val="en-US" w:eastAsia="zh-CN"/>
        </w:rPr>
        <w:t>号决定</w:t>
      </w:r>
      <w:r w:rsidRPr="006E3B9B">
        <w:rPr>
          <w:lang w:val="en-US" w:eastAsia="zh-CN"/>
        </w:rPr>
        <w:tab/>
      </w:r>
      <w:r w:rsidRPr="006E3B9B">
        <w:rPr>
          <w:rFonts w:hint="eastAsia"/>
          <w:lang w:val="en-US" w:eastAsia="zh-CN"/>
        </w:rPr>
        <w:t>《</w:t>
      </w:r>
      <w:r w:rsidRPr="006E3B9B">
        <w:rPr>
          <w:rFonts w:hint="eastAsia"/>
          <w:lang w:eastAsia="zh-CN"/>
        </w:rPr>
        <w:t>理事会议事规则》第</w:t>
      </w:r>
      <w:r w:rsidRPr="006E3B9B">
        <w:rPr>
          <w:lang w:eastAsia="zh-CN"/>
        </w:rPr>
        <w:t>10</w:t>
      </w:r>
      <w:r w:rsidRPr="006E3B9B">
        <w:rPr>
          <w:rFonts w:hint="eastAsia"/>
          <w:lang w:eastAsia="zh-CN"/>
        </w:rPr>
        <w:t>条第</w:t>
      </w:r>
      <w:r w:rsidRPr="006E3B9B">
        <w:rPr>
          <w:lang w:eastAsia="zh-CN"/>
        </w:rPr>
        <w:t>7</w:t>
      </w:r>
      <w:r w:rsidRPr="006E3B9B">
        <w:rPr>
          <w:rFonts w:hint="eastAsia"/>
          <w:lang w:eastAsia="zh-CN"/>
        </w:rPr>
        <w:t>段的实施</w:t>
      </w:r>
      <w:r w:rsidRPr="006E3B9B">
        <w:rPr>
          <w:lang w:val="en-US" w:eastAsia="zh-CN"/>
        </w:rPr>
        <w:tab/>
      </w:r>
      <w:r w:rsidR="00057467">
        <w:rPr>
          <w:lang w:val="en-US" w:eastAsia="zh-CN"/>
        </w:rPr>
        <w:tab/>
      </w:r>
      <w:r w:rsidRPr="006E3B9B">
        <w:rPr>
          <w:lang w:val="en-US" w:eastAsia="zh-CN"/>
        </w:rPr>
        <w:t>1954</w:t>
      </w:r>
      <w:r w:rsidRPr="006E3B9B">
        <w:rPr>
          <w:rFonts w:hint="eastAsia"/>
          <w:lang w:eastAsia="zh-CN"/>
        </w:rPr>
        <w:t>年</w:t>
      </w:r>
    </w:p>
    <w:p w14:paraId="4827C24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30</w:t>
      </w:r>
      <w:r w:rsidRPr="006E3B9B">
        <w:rPr>
          <w:lang w:val="en-US" w:eastAsia="zh-CN"/>
        </w:rPr>
        <w:t>号决定</w:t>
      </w:r>
      <w:r w:rsidRPr="006E3B9B">
        <w:rPr>
          <w:lang w:val="en-US" w:eastAsia="zh-CN"/>
        </w:rPr>
        <w:tab/>
      </w:r>
      <w:r w:rsidRPr="006E3B9B">
        <w:rPr>
          <w:rFonts w:hint="eastAsia"/>
          <w:lang w:eastAsia="zh-CN"/>
        </w:rPr>
        <w:t>理事会文件的编号</w:t>
      </w:r>
      <w:r w:rsidRPr="006E3B9B">
        <w:rPr>
          <w:lang w:val="en-US" w:eastAsia="zh-CN"/>
        </w:rPr>
        <w:tab/>
      </w:r>
      <w:r w:rsidR="00057467">
        <w:rPr>
          <w:lang w:val="en-US" w:eastAsia="zh-CN"/>
        </w:rPr>
        <w:tab/>
      </w:r>
      <w:r w:rsidRPr="006E3B9B">
        <w:rPr>
          <w:lang w:val="en-US" w:eastAsia="zh-CN"/>
        </w:rPr>
        <w:t>1952</w:t>
      </w:r>
      <w:r w:rsidRPr="006E3B9B">
        <w:rPr>
          <w:rFonts w:hint="eastAsia"/>
          <w:lang w:eastAsia="zh-CN"/>
        </w:rPr>
        <w:t>年</w:t>
      </w:r>
    </w:p>
    <w:p w14:paraId="4827C24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31</w:t>
      </w:r>
      <w:r w:rsidRPr="006E3B9B">
        <w:rPr>
          <w:lang w:val="en-US" w:eastAsia="zh-CN"/>
        </w:rPr>
        <w:t>号决定</w:t>
      </w:r>
      <w:r w:rsidRPr="006E3B9B">
        <w:rPr>
          <w:lang w:val="en-US" w:eastAsia="zh-CN"/>
        </w:rPr>
        <w:tab/>
      </w:r>
      <w:r w:rsidRPr="006E3B9B">
        <w:rPr>
          <w:rFonts w:hint="eastAsia"/>
          <w:lang w:eastAsia="zh-CN"/>
        </w:rPr>
        <w:t>提交给</w:t>
      </w:r>
      <w:r w:rsidRPr="006E3B9B">
        <w:rPr>
          <w:lang w:eastAsia="zh-CN"/>
        </w:rPr>
        <w:t>1952</w:t>
      </w:r>
      <w:r w:rsidRPr="006E3B9B">
        <w:rPr>
          <w:rFonts w:hint="eastAsia"/>
          <w:lang w:eastAsia="zh-CN"/>
        </w:rPr>
        <w:t>年全权代表大会的</w:t>
      </w:r>
      <w:r w:rsidRPr="006E3B9B">
        <w:rPr>
          <w:lang w:eastAsia="zh-CN"/>
        </w:rPr>
        <w:t>1952</w:t>
      </w:r>
      <w:r w:rsidRPr="006E3B9B">
        <w:rPr>
          <w:rFonts w:hint="eastAsia"/>
          <w:lang w:eastAsia="zh-CN"/>
        </w:rPr>
        <w:t>年预算和预算研究</w:t>
      </w:r>
      <w:r w:rsidRPr="006E3B9B">
        <w:rPr>
          <w:lang w:val="en-US" w:eastAsia="zh-CN"/>
        </w:rPr>
        <w:tab/>
      </w:r>
      <w:r w:rsidR="00057467">
        <w:rPr>
          <w:lang w:val="en-US" w:eastAsia="zh-CN"/>
        </w:rPr>
        <w:tab/>
      </w:r>
      <w:r w:rsidRPr="006E3B9B">
        <w:rPr>
          <w:lang w:val="en-US" w:eastAsia="zh-CN"/>
        </w:rPr>
        <w:t>1952</w:t>
      </w:r>
      <w:r w:rsidRPr="006E3B9B">
        <w:rPr>
          <w:rFonts w:hint="eastAsia"/>
          <w:lang w:eastAsia="zh-CN"/>
        </w:rPr>
        <w:t>年</w:t>
      </w:r>
    </w:p>
    <w:p w14:paraId="4827C24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32</w:t>
      </w:r>
      <w:r w:rsidRPr="006E3B9B">
        <w:rPr>
          <w:lang w:val="en-US" w:eastAsia="zh-CN"/>
        </w:rPr>
        <w:t>号决定</w:t>
      </w:r>
      <w:r w:rsidRPr="006E3B9B">
        <w:rPr>
          <w:lang w:val="en-US" w:eastAsia="zh-CN"/>
        </w:rPr>
        <w:tab/>
      </w:r>
      <w:r w:rsidRPr="006E3B9B">
        <w:rPr>
          <w:rFonts w:hint="eastAsia"/>
          <w:lang w:eastAsia="zh-CN"/>
        </w:rPr>
        <w:t>拖欠的会费</w:t>
      </w:r>
      <w:r w:rsidRPr="006E3B9B">
        <w:rPr>
          <w:lang w:val="en-US" w:eastAsia="zh-CN"/>
        </w:rPr>
        <w:tab/>
      </w:r>
      <w:r w:rsidR="00057467">
        <w:rPr>
          <w:lang w:val="en-US" w:eastAsia="zh-CN"/>
        </w:rPr>
        <w:tab/>
      </w:r>
      <w:r w:rsidRPr="006E3B9B">
        <w:rPr>
          <w:lang w:val="en-US" w:eastAsia="zh-CN"/>
        </w:rPr>
        <w:t>1952</w:t>
      </w:r>
      <w:r w:rsidRPr="006E3B9B">
        <w:rPr>
          <w:rFonts w:hint="eastAsia"/>
          <w:lang w:eastAsia="zh-CN"/>
        </w:rPr>
        <w:t>年</w:t>
      </w:r>
    </w:p>
    <w:p w14:paraId="4827C24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33</w:t>
      </w:r>
      <w:r w:rsidRPr="006E3B9B">
        <w:rPr>
          <w:lang w:val="en-US" w:eastAsia="zh-CN"/>
        </w:rPr>
        <w:t>号决定</w:t>
      </w:r>
      <w:r w:rsidRPr="006E3B9B">
        <w:rPr>
          <w:lang w:val="en-US" w:eastAsia="zh-CN"/>
        </w:rPr>
        <w:tab/>
      </w:r>
      <w:r w:rsidRPr="006E3B9B">
        <w:rPr>
          <w:lang w:eastAsia="zh-CN"/>
        </w:rPr>
        <w:t>12</w:t>
      </w:r>
      <w:r w:rsidRPr="006E3B9B">
        <w:rPr>
          <w:rFonts w:hint="eastAsia"/>
          <w:lang w:eastAsia="zh-CN"/>
        </w:rPr>
        <w:t>月</w:t>
      </w:r>
      <w:r w:rsidRPr="006E3B9B">
        <w:rPr>
          <w:lang w:eastAsia="zh-CN"/>
        </w:rPr>
        <w:t>31</w:t>
      </w:r>
      <w:r w:rsidRPr="006E3B9B">
        <w:rPr>
          <w:rFonts w:hint="eastAsia"/>
          <w:lang w:eastAsia="zh-CN"/>
        </w:rPr>
        <w:t>日结清账目</w:t>
      </w:r>
      <w:r w:rsidRPr="006E3B9B">
        <w:rPr>
          <w:lang w:val="en-US" w:eastAsia="zh-CN"/>
        </w:rPr>
        <w:tab/>
      </w:r>
      <w:r w:rsidR="00057467">
        <w:rPr>
          <w:lang w:val="en-US" w:eastAsia="zh-CN"/>
        </w:rPr>
        <w:tab/>
      </w:r>
      <w:r w:rsidRPr="006E3B9B">
        <w:rPr>
          <w:lang w:val="en-US" w:eastAsia="zh-CN"/>
        </w:rPr>
        <w:t>1954</w:t>
      </w:r>
      <w:r w:rsidRPr="006E3B9B">
        <w:rPr>
          <w:rFonts w:hint="eastAsia"/>
          <w:lang w:eastAsia="zh-CN"/>
        </w:rPr>
        <w:t>年</w:t>
      </w:r>
    </w:p>
    <w:p w14:paraId="4827C24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34</w:t>
      </w:r>
      <w:r w:rsidRPr="006E3B9B">
        <w:rPr>
          <w:lang w:val="en-US" w:eastAsia="zh-CN"/>
        </w:rPr>
        <w:t>号决定</w:t>
      </w:r>
      <w:r w:rsidRPr="006E3B9B">
        <w:rPr>
          <w:lang w:val="en-US" w:eastAsia="zh-CN"/>
        </w:rPr>
        <w:tab/>
      </w:r>
      <w:r w:rsidRPr="006E3B9B">
        <w:rPr>
          <w:rFonts w:hint="eastAsia"/>
          <w:lang w:eastAsia="zh-CN"/>
        </w:rPr>
        <w:t>使国际电联的《财务规则》与联合国的《财务规则》接轨</w:t>
      </w:r>
      <w:r w:rsidRPr="006E3B9B">
        <w:rPr>
          <w:lang w:val="en-US" w:eastAsia="zh-CN"/>
        </w:rPr>
        <w:tab/>
      </w:r>
      <w:r w:rsidR="00057467">
        <w:rPr>
          <w:lang w:val="en-US" w:eastAsia="zh-CN"/>
        </w:rPr>
        <w:tab/>
      </w:r>
      <w:r w:rsidRPr="006E3B9B">
        <w:rPr>
          <w:lang w:val="en-US" w:eastAsia="zh-CN"/>
        </w:rPr>
        <w:t>1952</w:t>
      </w:r>
      <w:r w:rsidRPr="006E3B9B">
        <w:rPr>
          <w:rFonts w:hint="eastAsia"/>
          <w:lang w:eastAsia="zh-CN"/>
        </w:rPr>
        <w:t>年</w:t>
      </w:r>
    </w:p>
    <w:p w14:paraId="4827C24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35</w:t>
      </w:r>
      <w:r w:rsidRPr="006E3B9B">
        <w:rPr>
          <w:lang w:val="en-US" w:eastAsia="zh-CN"/>
        </w:rPr>
        <w:t>号决定</w:t>
      </w:r>
      <w:r w:rsidRPr="006E3B9B">
        <w:rPr>
          <w:lang w:val="en-US" w:eastAsia="zh-CN"/>
        </w:rPr>
        <w:tab/>
      </w:r>
      <w:r w:rsidRPr="006E3B9B">
        <w:rPr>
          <w:rFonts w:hint="eastAsia"/>
          <w:lang w:val="en-US" w:eastAsia="zh-CN"/>
        </w:rPr>
        <w:t>《</w:t>
      </w:r>
      <w:r w:rsidRPr="006E3B9B">
        <w:rPr>
          <w:rFonts w:hint="eastAsia"/>
          <w:lang w:eastAsia="zh-CN"/>
        </w:rPr>
        <w:t>财务规则》的出版</w:t>
      </w:r>
      <w:r w:rsidRPr="006E3B9B">
        <w:rPr>
          <w:lang w:val="en-US" w:eastAsia="zh-CN"/>
        </w:rPr>
        <w:tab/>
      </w:r>
      <w:r w:rsidR="00057467">
        <w:rPr>
          <w:lang w:val="en-US" w:eastAsia="zh-CN"/>
        </w:rPr>
        <w:tab/>
      </w:r>
      <w:r w:rsidRPr="006E3B9B">
        <w:rPr>
          <w:lang w:val="en-US" w:eastAsia="zh-CN"/>
        </w:rPr>
        <w:t>1952</w:t>
      </w:r>
      <w:r w:rsidRPr="006E3B9B">
        <w:rPr>
          <w:rFonts w:hint="eastAsia"/>
          <w:lang w:eastAsia="zh-CN"/>
        </w:rPr>
        <w:t>年</w:t>
      </w:r>
    </w:p>
    <w:p w14:paraId="4827C24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36</w:t>
      </w:r>
      <w:r w:rsidRPr="006E3B9B">
        <w:rPr>
          <w:lang w:val="en-US" w:eastAsia="zh-CN"/>
        </w:rPr>
        <w:t>号决定</w:t>
      </w:r>
      <w:r w:rsidRPr="006E3B9B">
        <w:rPr>
          <w:lang w:val="en-US" w:eastAsia="zh-CN"/>
        </w:rPr>
        <w:tab/>
      </w:r>
      <w:r w:rsidRPr="006E3B9B">
        <w:rPr>
          <w:rFonts w:hint="eastAsia"/>
          <w:lang w:eastAsia="zh-CN"/>
        </w:rPr>
        <w:t>记录的保留</w:t>
      </w:r>
      <w:r w:rsidRPr="006E3B9B">
        <w:rPr>
          <w:lang w:val="en-US" w:eastAsia="zh-CN"/>
        </w:rPr>
        <w:tab/>
      </w:r>
      <w:r w:rsidR="00057467">
        <w:rPr>
          <w:lang w:val="en-US" w:eastAsia="zh-CN"/>
        </w:rPr>
        <w:tab/>
      </w:r>
      <w:r w:rsidRPr="006E3B9B">
        <w:rPr>
          <w:lang w:val="en-US" w:eastAsia="zh-CN"/>
        </w:rPr>
        <w:t>1954</w:t>
      </w:r>
      <w:r w:rsidRPr="006E3B9B">
        <w:rPr>
          <w:rFonts w:hint="eastAsia"/>
          <w:lang w:eastAsia="zh-CN"/>
        </w:rPr>
        <w:t>年</w:t>
      </w:r>
    </w:p>
    <w:p w14:paraId="4827C24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37</w:t>
      </w:r>
      <w:r w:rsidRPr="006E3B9B">
        <w:rPr>
          <w:lang w:val="en-US" w:eastAsia="zh-CN"/>
        </w:rPr>
        <w:t>号决定</w:t>
      </w:r>
      <w:r w:rsidRPr="006E3B9B">
        <w:rPr>
          <w:lang w:val="en-US" w:eastAsia="zh-CN"/>
        </w:rPr>
        <w:tab/>
      </w:r>
      <w:r w:rsidRPr="006E3B9B">
        <w:rPr>
          <w:rFonts w:hint="eastAsia"/>
          <w:lang w:eastAsia="zh-CN"/>
        </w:rPr>
        <w:t>财务控制委员会</w:t>
      </w:r>
      <w:r w:rsidRPr="006E3B9B">
        <w:rPr>
          <w:lang w:val="en-US" w:eastAsia="zh-CN"/>
        </w:rPr>
        <w:tab/>
      </w:r>
      <w:r w:rsidR="00057467">
        <w:rPr>
          <w:lang w:val="en-US" w:eastAsia="zh-CN"/>
        </w:rPr>
        <w:tab/>
      </w:r>
      <w:r w:rsidRPr="006E3B9B">
        <w:rPr>
          <w:lang w:val="en-US" w:eastAsia="zh-CN"/>
        </w:rPr>
        <w:t>1952</w:t>
      </w:r>
      <w:r w:rsidRPr="006E3B9B">
        <w:rPr>
          <w:rFonts w:hint="eastAsia"/>
          <w:lang w:eastAsia="zh-CN"/>
        </w:rPr>
        <w:t>年</w:t>
      </w:r>
    </w:p>
    <w:p w14:paraId="4827C24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38</w:t>
      </w:r>
      <w:r w:rsidRPr="006E3B9B">
        <w:rPr>
          <w:lang w:val="en-US" w:eastAsia="zh-CN"/>
        </w:rPr>
        <w:t>号决定</w:t>
      </w:r>
      <w:r w:rsidRPr="006E3B9B">
        <w:rPr>
          <w:lang w:val="en-US" w:eastAsia="zh-CN"/>
        </w:rPr>
        <w:tab/>
      </w:r>
      <w:r w:rsidRPr="006E3B9B">
        <w:rPr>
          <w:rFonts w:hint="eastAsia"/>
          <w:lang w:val="en-US" w:eastAsia="zh-CN"/>
        </w:rPr>
        <w:t>《</w:t>
      </w:r>
      <w:r w:rsidRPr="006E3B9B">
        <w:rPr>
          <w:rFonts w:hint="eastAsia"/>
          <w:lang w:eastAsia="zh-CN"/>
        </w:rPr>
        <w:t>电报规则》若干章节修订草案的出版费用</w:t>
      </w:r>
      <w:r w:rsidRPr="006E3B9B">
        <w:rPr>
          <w:lang w:val="en-US" w:eastAsia="zh-CN"/>
        </w:rPr>
        <w:tab/>
      </w:r>
      <w:r w:rsidR="00057467">
        <w:rPr>
          <w:lang w:val="en-US" w:eastAsia="zh-CN"/>
        </w:rPr>
        <w:tab/>
      </w:r>
      <w:r w:rsidRPr="006E3B9B">
        <w:rPr>
          <w:lang w:val="en-US" w:eastAsia="zh-CN"/>
        </w:rPr>
        <w:t>1964</w:t>
      </w:r>
      <w:r w:rsidRPr="006E3B9B">
        <w:rPr>
          <w:rFonts w:hint="eastAsia"/>
          <w:lang w:eastAsia="zh-CN"/>
        </w:rPr>
        <w:t>年</w:t>
      </w:r>
    </w:p>
    <w:p w14:paraId="4827C24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39</w:t>
      </w:r>
      <w:r w:rsidRPr="006E3B9B">
        <w:rPr>
          <w:lang w:val="en-US" w:eastAsia="zh-CN"/>
        </w:rPr>
        <w:t>号决定</w:t>
      </w:r>
      <w:r w:rsidRPr="006E3B9B">
        <w:rPr>
          <w:lang w:val="en-US" w:eastAsia="zh-CN"/>
        </w:rPr>
        <w:tab/>
      </w:r>
      <w:r w:rsidRPr="006E3B9B">
        <w:rPr>
          <w:rFonts w:hint="eastAsia"/>
          <w:lang w:eastAsia="zh-CN"/>
        </w:rPr>
        <w:t>与联合国的合作</w:t>
      </w:r>
      <w:r w:rsidRPr="006E3B9B">
        <w:rPr>
          <w:lang w:val="en-US" w:eastAsia="zh-CN"/>
        </w:rPr>
        <w:tab/>
      </w:r>
      <w:r w:rsidR="00057467">
        <w:rPr>
          <w:lang w:val="en-US" w:eastAsia="zh-CN"/>
        </w:rPr>
        <w:tab/>
      </w:r>
      <w:r w:rsidRPr="006E3B9B">
        <w:rPr>
          <w:lang w:val="en-US" w:eastAsia="zh-CN"/>
        </w:rPr>
        <w:t>1952</w:t>
      </w:r>
      <w:r w:rsidRPr="006E3B9B">
        <w:rPr>
          <w:rFonts w:hint="eastAsia"/>
          <w:lang w:eastAsia="zh-CN"/>
        </w:rPr>
        <w:t>年</w:t>
      </w:r>
    </w:p>
    <w:p w14:paraId="4827C24B"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40</w:t>
      </w:r>
      <w:r w:rsidRPr="006E3B9B">
        <w:rPr>
          <w:lang w:val="en-US" w:eastAsia="zh-CN"/>
        </w:rPr>
        <w:t>号决定</w:t>
      </w:r>
      <w:r w:rsidRPr="006E3B9B">
        <w:rPr>
          <w:lang w:val="en-US" w:eastAsia="zh-CN"/>
        </w:rPr>
        <w:tab/>
      </w:r>
      <w:r w:rsidRPr="006E3B9B">
        <w:rPr>
          <w:rFonts w:hint="eastAsia"/>
          <w:lang w:eastAsia="zh-CN"/>
        </w:rPr>
        <w:t>提交联合国的预算格式</w:t>
      </w:r>
      <w:r w:rsidRPr="006E3B9B">
        <w:rPr>
          <w:lang w:val="en-US" w:eastAsia="zh-CN"/>
        </w:rPr>
        <w:tab/>
      </w:r>
      <w:r w:rsidR="00057467">
        <w:rPr>
          <w:lang w:val="en-US" w:eastAsia="zh-CN"/>
        </w:rPr>
        <w:tab/>
      </w:r>
      <w:r w:rsidRPr="006E3B9B">
        <w:rPr>
          <w:lang w:val="en-US" w:eastAsia="zh-CN"/>
        </w:rPr>
        <w:t>1952</w:t>
      </w:r>
      <w:r w:rsidRPr="006E3B9B">
        <w:rPr>
          <w:rFonts w:hint="eastAsia"/>
          <w:lang w:eastAsia="zh-CN"/>
        </w:rPr>
        <w:t>年</w:t>
      </w:r>
    </w:p>
    <w:p w14:paraId="4827C24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41</w:t>
      </w:r>
      <w:r w:rsidRPr="006E3B9B">
        <w:rPr>
          <w:lang w:val="en-US" w:eastAsia="zh-CN"/>
        </w:rPr>
        <w:t>号决定</w:t>
      </w:r>
      <w:r w:rsidRPr="006E3B9B">
        <w:rPr>
          <w:lang w:val="en-US" w:eastAsia="zh-CN"/>
        </w:rPr>
        <w:tab/>
      </w:r>
      <w:r w:rsidRPr="006E3B9B">
        <w:rPr>
          <w:rFonts w:hint="eastAsia"/>
          <w:lang w:eastAsia="zh-CN"/>
        </w:rPr>
        <w:t>与联合国交换的文件</w:t>
      </w:r>
      <w:r w:rsidRPr="006E3B9B">
        <w:rPr>
          <w:lang w:val="en-US" w:eastAsia="zh-CN"/>
        </w:rPr>
        <w:tab/>
      </w:r>
      <w:r w:rsidR="00057467">
        <w:rPr>
          <w:lang w:val="en-US" w:eastAsia="zh-CN"/>
        </w:rPr>
        <w:tab/>
      </w:r>
      <w:r w:rsidRPr="006E3B9B">
        <w:rPr>
          <w:lang w:val="en-US" w:eastAsia="zh-CN"/>
        </w:rPr>
        <w:t>1952</w:t>
      </w:r>
      <w:r w:rsidRPr="006E3B9B">
        <w:rPr>
          <w:rFonts w:hint="eastAsia"/>
          <w:lang w:eastAsia="zh-CN"/>
        </w:rPr>
        <w:t>年</w:t>
      </w:r>
    </w:p>
    <w:p w14:paraId="4827C24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42</w:t>
      </w:r>
      <w:r w:rsidRPr="006E3B9B">
        <w:rPr>
          <w:lang w:val="en-US" w:eastAsia="zh-CN"/>
        </w:rPr>
        <w:t>号决定</w:t>
      </w:r>
      <w:r w:rsidRPr="006E3B9B">
        <w:rPr>
          <w:lang w:val="en-US" w:eastAsia="zh-CN"/>
        </w:rPr>
        <w:tab/>
      </w:r>
      <w:r w:rsidRPr="006E3B9B">
        <w:rPr>
          <w:rFonts w:hint="eastAsia"/>
          <w:lang w:eastAsia="zh-CN"/>
        </w:rPr>
        <w:t>对联合国向国际电联发送文件的限制</w:t>
      </w:r>
      <w:r w:rsidRPr="006E3B9B">
        <w:rPr>
          <w:lang w:val="en-US" w:eastAsia="zh-CN"/>
        </w:rPr>
        <w:tab/>
      </w:r>
      <w:r w:rsidR="00057467">
        <w:rPr>
          <w:lang w:val="en-US" w:eastAsia="zh-CN"/>
        </w:rPr>
        <w:tab/>
      </w:r>
      <w:r w:rsidRPr="006E3B9B">
        <w:rPr>
          <w:lang w:val="en-US" w:eastAsia="zh-CN"/>
        </w:rPr>
        <w:t>1952</w:t>
      </w:r>
      <w:r w:rsidRPr="006E3B9B">
        <w:rPr>
          <w:rFonts w:hint="eastAsia"/>
          <w:lang w:eastAsia="zh-CN"/>
        </w:rPr>
        <w:t>年</w:t>
      </w:r>
    </w:p>
    <w:p w14:paraId="4827C24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43</w:t>
      </w:r>
      <w:r w:rsidRPr="006E3B9B">
        <w:rPr>
          <w:lang w:val="en-US" w:eastAsia="zh-CN"/>
        </w:rPr>
        <w:t>号决定</w:t>
      </w:r>
      <w:r w:rsidRPr="006E3B9B">
        <w:rPr>
          <w:lang w:val="en-US" w:eastAsia="zh-CN"/>
        </w:rPr>
        <w:tab/>
      </w:r>
      <w:r w:rsidRPr="006E3B9B">
        <w:rPr>
          <w:rFonts w:hint="eastAsia"/>
          <w:lang w:eastAsia="zh-CN"/>
        </w:rPr>
        <w:t>联合国大会有关专门机构行政预算的第</w:t>
      </w:r>
      <w:r w:rsidRPr="006E3B9B">
        <w:rPr>
          <w:lang w:eastAsia="zh-CN"/>
        </w:rPr>
        <w:t xml:space="preserve">411 </w:t>
      </w:r>
      <w:r w:rsidRPr="006E3B9B">
        <w:rPr>
          <w:lang w:eastAsia="zh-CN"/>
        </w:rPr>
        <w:t>（</w:t>
      </w:r>
      <w:r w:rsidRPr="006E3B9B">
        <w:rPr>
          <w:lang w:eastAsia="zh-CN"/>
        </w:rPr>
        <w:t>V</w:t>
      </w:r>
      <w:r w:rsidRPr="006E3B9B">
        <w:rPr>
          <w:lang w:eastAsia="zh-CN"/>
        </w:rPr>
        <w:t>）</w:t>
      </w:r>
      <w:r w:rsidRPr="006E3B9B">
        <w:rPr>
          <w:rFonts w:hint="eastAsia"/>
          <w:lang w:eastAsia="zh-CN"/>
        </w:rPr>
        <w:t>号决议</w:t>
      </w:r>
      <w:r w:rsidRPr="006E3B9B">
        <w:rPr>
          <w:lang w:val="en-US" w:eastAsia="zh-CN"/>
        </w:rPr>
        <w:tab/>
      </w:r>
      <w:r w:rsidR="00057467">
        <w:rPr>
          <w:lang w:val="en-US" w:eastAsia="zh-CN"/>
        </w:rPr>
        <w:tab/>
      </w:r>
      <w:r w:rsidRPr="006E3B9B">
        <w:rPr>
          <w:lang w:val="en-US" w:eastAsia="zh-CN"/>
        </w:rPr>
        <w:t>6.2</w:t>
      </w:r>
    </w:p>
    <w:p w14:paraId="4827C24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44</w:t>
      </w:r>
      <w:r w:rsidRPr="006E3B9B">
        <w:rPr>
          <w:lang w:val="en-US" w:eastAsia="zh-CN"/>
        </w:rPr>
        <w:t>号决定</w:t>
      </w:r>
      <w:r w:rsidRPr="006E3B9B">
        <w:rPr>
          <w:lang w:val="en-US" w:eastAsia="zh-CN"/>
        </w:rPr>
        <w:tab/>
      </w:r>
      <w:r w:rsidRPr="006E3B9B">
        <w:rPr>
          <w:rFonts w:hint="eastAsia"/>
          <w:lang w:eastAsia="zh-CN"/>
        </w:rPr>
        <w:t>关于集中经社理事会的力量和资源的决议</w:t>
      </w:r>
      <w:r w:rsidRPr="006E3B9B">
        <w:rPr>
          <w:lang w:val="en-US" w:eastAsia="zh-CN"/>
        </w:rPr>
        <w:tab/>
      </w:r>
      <w:r w:rsidR="00057467">
        <w:rPr>
          <w:lang w:val="en-US" w:eastAsia="zh-CN"/>
        </w:rPr>
        <w:tab/>
      </w:r>
      <w:r w:rsidRPr="006E3B9B">
        <w:rPr>
          <w:lang w:val="en-US" w:eastAsia="zh-CN"/>
        </w:rPr>
        <w:t>1952</w:t>
      </w:r>
      <w:r w:rsidRPr="006E3B9B">
        <w:rPr>
          <w:rFonts w:hint="eastAsia"/>
          <w:lang w:eastAsia="zh-CN"/>
        </w:rPr>
        <w:t>年</w:t>
      </w:r>
    </w:p>
    <w:p w14:paraId="4827C25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45</w:t>
      </w:r>
      <w:r w:rsidRPr="006E3B9B">
        <w:rPr>
          <w:lang w:val="en-US" w:eastAsia="zh-CN"/>
        </w:rPr>
        <w:t>号决定</w:t>
      </w:r>
      <w:r w:rsidRPr="006E3B9B">
        <w:rPr>
          <w:lang w:val="en-US" w:eastAsia="zh-CN"/>
        </w:rPr>
        <w:tab/>
      </w:r>
      <w:r w:rsidRPr="006E3B9B">
        <w:rPr>
          <w:rFonts w:hint="eastAsia"/>
          <w:lang w:eastAsia="zh-CN"/>
        </w:rPr>
        <w:t>就联合国会议议程问题与联合国进行合作</w:t>
      </w:r>
      <w:r w:rsidRPr="006E3B9B">
        <w:rPr>
          <w:lang w:val="en-US" w:eastAsia="zh-CN"/>
        </w:rPr>
        <w:tab/>
      </w:r>
      <w:r w:rsidR="00057467">
        <w:rPr>
          <w:lang w:val="en-US" w:eastAsia="zh-CN"/>
        </w:rPr>
        <w:tab/>
      </w:r>
      <w:r w:rsidRPr="006E3B9B">
        <w:rPr>
          <w:lang w:val="en-US" w:eastAsia="zh-CN"/>
        </w:rPr>
        <w:t>6.2</w:t>
      </w:r>
    </w:p>
    <w:p w14:paraId="4827C25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46</w:t>
      </w:r>
      <w:r w:rsidRPr="006E3B9B">
        <w:rPr>
          <w:lang w:val="en-US" w:eastAsia="zh-CN"/>
        </w:rPr>
        <w:t>号决定</w:t>
      </w:r>
      <w:r w:rsidRPr="006E3B9B">
        <w:rPr>
          <w:lang w:val="en-US" w:eastAsia="zh-CN"/>
        </w:rPr>
        <w:tab/>
      </w:r>
      <w:r w:rsidRPr="006E3B9B">
        <w:rPr>
          <w:rFonts w:hint="eastAsia"/>
          <w:lang w:eastAsia="zh-CN"/>
        </w:rPr>
        <w:t>新闻自由</w:t>
      </w:r>
      <w:r w:rsidRPr="006E3B9B">
        <w:rPr>
          <w:lang w:val="en-US" w:eastAsia="zh-CN"/>
        </w:rPr>
        <w:tab/>
      </w:r>
      <w:r w:rsidR="00057467">
        <w:rPr>
          <w:lang w:val="en-US" w:eastAsia="zh-CN"/>
        </w:rPr>
        <w:tab/>
      </w:r>
      <w:r w:rsidRPr="006E3B9B">
        <w:rPr>
          <w:lang w:val="en-US" w:eastAsia="zh-CN"/>
        </w:rPr>
        <w:t>1952</w:t>
      </w:r>
      <w:r w:rsidRPr="006E3B9B">
        <w:rPr>
          <w:rFonts w:hint="eastAsia"/>
          <w:lang w:eastAsia="zh-CN"/>
        </w:rPr>
        <w:t>年</w:t>
      </w:r>
    </w:p>
    <w:p w14:paraId="4827C25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47</w:t>
      </w:r>
      <w:r w:rsidRPr="006E3B9B">
        <w:rPr>
          <w:lang w:val="en-US" w:eastAsia="zh-CN"/>
        </w:rPr>
        <w:t>号决定</w:t>
      </w:r>
      <w:r w:rsidRPr="006E3B9B">
        <w:rPr>
          <w:lang w:val="en-US" w:eastAsia="zh-CN"/>
        </w:rPr>
        <w:tab/>
      </w:r>
      <w:r w:rsidRPr="006E3B9B">
        <w:rPr>
          <w:rFonts w:hint="eastAsia"/>
          <w:lang w:eastAsia="zh-CN"/>
        </w:rPr>
        <w:t>国际电联职员养恤金方案与联合国职员养恤金方案的比较</w:t>
      </w:r>
      <w:r w:rsidRPr="006E3B9B">
        <w:rPr>
          <w:lang w:val="en-US" w:eastAsia="zh-CN"/>
        </w:rPr>
        <w:tab/>
      </w:r>
      <w:r w:rsidR="00057467">
        <w:rPr>
          <w:lang w:val="en-US" w:eastAsia="zh-CN"/>
        </w:rPr>
        <w:tab/>
      </w:r>
      <w:r w:rsidRPr="006E3B9B">
        <w:rPr>
          <w:lang w:val="en-US" w:eastAsia="zh-CN"/>
        </w:rPr>
        <w:t>1952</w:t>
      </w:r>
      <w:r w:rsidRPr="006E3B9B">
        <w:rPr>
          <w:rFonts w:hint="eastAsia"/>
          <w:lang w:eastAsia="zh-CN"/>
        </w:rPr>
        <w:t>年</w:t>
      </w:r>
    </w:p>
    <w:p w14:paraId="4827C25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48</w:t>
      </w:r>
      <w:r w:rsidRPr="006E3B9B">
        <w:rPr>
          <w:lang w:val="en-US" w:eastAsia="zh-CN"/>
        </w:rPr>
        <w:t>号决定</w:t>
      </w:r>
      <w:r w:rsidRPr="006E3B9B">
        <w:rPr>
          <w:lang w:val="en-US" w:eastAsia="zh-CN"/>
        </w:rPr>
        <w:tab/>
      </w:r>
      <w:r w:rsidRPr="006E3B9B">
        <w:rPr>
          <w:rFonts w:hint="eastAsia"/>
          <w:lang w:eastAsia="zh-CN"/>
        </w:rPr>
        <w:t>为协助维护国际和平和安全而采取的行动</w:t>
      </w:r>
      <w:r w:rsidRPr="006E3B9B">
        <w:rPr>
          <w:lang w:val="en-US" w:eastAsia="zh-CN"/>
        </w:rPr>
        <w:tab/>
      </w:r>
      <w:r w:rsidR="00057467">
        <w:rPr>
          <w:lang w:val="en-US" w:eastAsia="zh-CN"/>
        </w:rPr>
        <w:tab/>
      </w:r>
      <w:r w:rsidRPr="006E3B9B">
        <w:rPr>
          <w:lang w:val="en-US" w:eastAsia="zh-CN"/>
        </w:rPr>
        <w:t>1952</w:t>
      </w:r>
      <w:r w:rsidRPr="006E3B9B">
        <w:rPr>
          <w:rFonts w:hint="eastAsia"/>
          <w:lang w:eastAsia="zh-CN"/>
        </w:rPr>
        <w:t>年</w:t>
      </w:r>
    </w:p>
    <w:p w14:paraId="4827C25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49</w:t>
      </w:r>
      <w:r w:rsidRPr="006E3B9B">
        <w:rPr>
          <w:lang w:val="en-US" w:eastAsia="zh-CN"/>
        </w:rPr>
        <w:t>号决定</w:t>
      </w:r>
      <w:r w:rsidRPr="006E3B9B">
        <w:rPr>
          <w:lang w:val="en-US" w:eastAsia="zh-CN"/>
        </w:rPr>
        <w:tab/>
      </w:r>
      <w:r w:rsidRPr="006E3B9B">
        <w:rPr>
          <w:rFonts w:hint="eastAsia"/>
          <w:lang w:eastAsia="zh-CN"/>
        </w:rPr>
        <w:t>联合国教科文组织的活动</w:t>
      </w:r>
      <w:r w:rsidRPr="006E3B9B">
        <w:rPr>
          <w:lang w:val="en-US" w:eastAsia="zh-CN"/>
        </w:rPr>
        <w:tab/>
      </w:r>
      <w:r w:rsidR="00057467">
        <w:rPr>
          <w:lang w:val="en-US" w:eastAsia="zh-CN"/>
        </w:rPr>
        <w:tab/>
      </w:r>
      <w:r w:rsidRPr="006E3B9B">
        <w:rPr>
          <w:lang w:val="en-US" w:eastAsia="zh-CN"/>
        </w:rPr>
        <w:t>1952</w:t>
      </w:r>
      <w:r w:rsidRPr="006E3B9B">
        <w:rPr>
          <w:rFonts w:hint="eastAsia"/>
          <w:lang w:eastAsia="zh-CN"/>
        </w:rPr>
        <w:t>年</w:t>
      </w:r>
    </w:p>
    <w:p w14:paraId="4827C25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50</w:t>
      </w:r>
      <w:r w:rsidRPr="006E3B9B">
        <w:rPr>
          <w:lang w:val="en-US" w:eastAsia="zh-CN"/>
        </w:rPr>
        <w:t>号决定</w:t>
      </w:r>
      <w:r w:rsidRPr="006E3B9B">
        <w:rPr>
          <w:lang w:val="en-US" w:eastAsia="zh-CN"/>
        </w:rPr>
        <w:tab/>
      </w:r>
      <w:r w:rsidRPr="006E3B9B">
        <w:rPr>
          <w:rFonts w:hint="eastAsia"/>
          <w:lang w:eastAsia="zh-CN"/>
        </w:rPr>
        <w:t>联合国邮票的发行</w:t>
      </w:r>
      <w:r w:rsidR="00057467">
        <w:rPr>
          <w:lang w:eastAsia="zh-CN"/>
        </w:rPr>
        <w:tab/>
      </w:r>
      <w:r w:rsidRPr="006E3B9B">
        <w:rPr>
          <w:lang w:val="en-US" w:eastAsia="zh-CN"/>
        </w:rPr>
        <w:tab/>
        <w:t>1952</w:t>
      </w:r>
      <w:r w:rsidRPr="006E3B9B">
        <w:rPr>
          <w:rFonts w:hint="eastAsia"/>
          <w:lang w:eastAsia="zh-CN"/>
        </w:rPr>
        <w:t>年</w:t>
      </w:r>
    </w:p>
    <w:p w14:paraId="4827C25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51</w:t>
      </w:r>
      <w:r w:rsidRPr="006E3B9B">
        <w:rPr>
          <w:lang w:val="en-US" w:eastAsia="zh-CN"/>
        </w:rPr>
        <w:t>号决定</w:t>
      </w:r>
      <w:r w:rsidRPr="006E3B9B">
        <w:rPr>
          <w:lang w:val="en-US" w:eastAsia="zh-CN"/>
        </w:rPr>
        <w:tab/>
      </w:r>
      <w:r w:rsidRPr="006E3B9B">
        <w:rPr>
          <w:rFonts w:hint="eastAsia"/>
          <w:lang w:eastAsia="zh-CN"/>
        </w:rPr>
        <w:t>《专门机构特权与豁免公约》</w:t>
      </w:r>
      <w:r w:rsidRPr="006E3B9B">
        <w:rPr>
          <w:lang w:val="en-US" w:eastAsia="zh-CN"/>
        </w:rPr>
        <w:tab/>
      </w:r>
      <w:r w:rsidR="00057467">
        <w:rPr>
          <w:lang w:val="en-US" w:eastAsia="zh-CN"/>
        </w:rPr>
        <w:tab/>
      </w:r>
      <w:r w:rsidRPr="006E3B9B">
        <w:rPr>
          <w:lang w:val="en-US" w:eastAsia="zh-CN"/>
        </w:rPr>
        <w:t>1981</w:t>
      </w:r>
      <w:r w:rsidRPr="006E3B9B">
        <w:rPr>
          <w:rFonts w:hint="eastAsia"/>
          <w:lang w:eastAsia="zh-CN"/>
        </w:rPr>
        <w:t>年</w:t>
      </w:r>
    </w:p>
    <w:p w14:paraId="4827C25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52</w:t>
      </w:r>
      <w:r w:rsidRPr="006E3B9B">
        <w:rPr>
          <w:lang w:val="en-US" w:eastAsia="zh-CN"/>
        </w:rPr>
        <w:t>号决定</w:t>
      </w:r>
      <w:r w:rsidRPr="006E3B9B">
        <w:rPr>
          <w:lang w:val="en-US" w:eastAsia="zh-CN"/>
        </w:rPr>
        <w:tab/>
      </w:r>
      <w:r w:rsidRPr="006E3B9B">
        <w:rPr>
          <w:rFonts w:hint="eastAsia"/>
          <w:lang w:eastAsia="zh-CN"/>
        </w:rPr>
        <w:t>联合国的附属机构</w:t>
      </w:r>
      <w:r w:rsidRPr="006E3B9B">
        <w:rPr>
          <w:lang w:val="en-US" w:eastAsia="zh-CN"/>
        </w:rPr>
        <w:tab/>
      </w:r>
      <w:r w:rsidR="00057467">
        <w:rPr>
          <w:lang w:val="en-US" w:eastAsia="zh-CN"/>
        </w:rPr>
        <w:tab/>
      </w:r>
      <w:r w:rsidRPr="006E3B9B">
        <w:rPr>
          <w:lang w:val="en-US" w:eastAsia="zh-CN"/>
        </w:rPr>
        <w:t>1964</w:t>
      </w:r>
      <w:r w:rsidRPr="006E3B9B">
        <w:rPr>
          <w:rFonts w:hint="eastAsia"/>
          <w:lang w:eastAsia="zh-CN"/>
        </w:rPr>
        <w:t>年</w:t>
      </w:r>
    </w:p>
    <w:p w14:paraId="4827C25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53</w:t>
      </w:r>
      <w:r w:rsidRPr="006E3B9B">
        <w:rPr>
          <w:lang w:val="en-US" w:eastAsia="zh-CN"/>
        </w:rPr>
        <w:t>号决定</w:t>
      </w:r>
      <w:r w:rsidRPr="006E3B9B">
        <w:rPr>
          <w:lang w:val="en-US" w:eastAsia="zh-CN"/>
        </w:rPr>
        <w:tab/>
      </w:r>
      <w:r w:rsidRPr="006E3B9B">
        <w:rPr>
          <w:rFonts w:hint="eastAsia"/>
          <w:lang w:eastAsia="zh-CN"/>
        </w:rPr>
        <w:t>全权代表大会下届会议的日期</w:t>
      </w:r>
      <w:r w:rsidRPr="006E3B9B">
        <w:rPr>
          <w:lang w:val="en-US" w:eastAsia="zh-CN"/>
        </w:rPr>
        <w:tab/>
      </w:r>
      <w:r w:rsidR="00057467">
        <w:rPr>
          <w:lang w:val="en-US" w:eastAsia="zh-CN"/>
        </w:rPr>
        <w:tab/>
      </w:r>
      <w:r w:rsidRPr="006E3B9B">
        <w:rPr>
          <w:lang w:val="en-US" w:eastAsia="zh-CN"/>
        </w:rPr>
        <w:t>1952</w:t>
      </w:r>
      <w:r w:rsidRPr="006E3B9B">
        <w:rPr>
          <w:rFonts w:hint="eastAsia"/>
          <w:lang w:eastAsia="zh-CN"/>
        </w:rPr>
        <w:t>年</w:t>
      </w:r>
    </w:p>
    <w:p w14:paraId="4827C25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54</w:t>
      </w:r>
      <w:r w:rsidRPr="006E3B9B">
        <w:rPr>
          <w:lang w:val="en-US" w:eastAsia="zh-CN"/>
        </w:rPr>
        <w:t>号决定</w:t>
      </w:r>
      <w:r w:rsidRPr="006E3B9B">
        <w:rPr>
          <w:lang w:val="en-US" w:eastAsia="zh-CN"/>
        </w:rPr>
        <w:tab/>
      </w:r>
      <w:r w:rsidRPr="006E3B9B">
        <w:rPr>
          <w:rFonts w:hint="eastAsia"/>
          <w:lang w:eastAsia="zh-CN"/>
        </w:rPr>
        <w:t>例行的无线电行政大会的日期</w:t>
      </w:r>
      <w:r w:rsidRPr="006E3B9B">
        <w:rPr>
          <w:lang w:val="en-US" w:eastAsia="zh-CN"/>
        </w:rPr>
        <w:tab/>
      </w:r>
      <w:r w:rsidR="00057467">
        <w:rPr>
          <w:lang w:val="en-US" w:eastAsia="zh-CN"/>
        </w:rPr>
        <w:tab/>
      </w:r>
      <w:r w:rsidRPr="006E3B9B">
        <w:rPr>
          <w:lang w:val="en-US" w:eastAsia="zh-CN"/>
        </w:rPr>
        <w:t>1952</w:t>
      </w:r>
      <w:r w:rsidRPr="006E3B9B">
        <w:rPr>
          <w:rFonts w:hint="eastAsia"/>
          <w:lang w:eastAsia="zh-CN"/>
        </w:rPr>
        <w:t>年</w:t>
      </w:r>
    </w:p>
    <w:p w14:paraId="4827C25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55</w:t>
      </w:r>
      <w:r w:rsidRPr="006E3B9B">
        <w:rPr>
          <w:lang w:val="en-US" w:eastAsia="zh-CN"/>
        </w:rPr>
        <w:t>号决定</w:t>
      </w:r>
      <w:r w:rsidRPr="006E3B9B">
        <w:rPr>
          <w:lang w:val="en-US" w:eastAsia="zh-CN"/>
        </w:rPr>
        <w:tab/>
      </w:r>
      <w:r w:rsidRPr="006E3B9B">
        <w:rPr>
          <w:rFonts w:hint="eastAsia"/>
          <w:lang w:eastAsia="zh-CN"/>
        </w:rPr>
        <w:t>非常无线电行政大会</w:t>
      </w:r>
      <w:r w:rsidRPr="006E3B9B">
        <w:rPr>
          <w:lang w:val="en-US" w:eastAsia="zh-CN"/>
        </w:rPr>
        <w:tab/>
      </w:r>
      <w:r w:rsidR="00057467">
        <w:rPr>
          <w:lang w:val="en-US" w:eastAsia="zh-CN"/>
        </w:rPr>
        <w:tab/>
      </w:r>
      <w:r w:rsidRPr="006E3B9B">
        <w:rPr>
          <w:lang w:val="en-US" w:eastAsia="zh-CN"/>
        </w:rPr>
        <w:t>1952</w:t>
      </w:r>
      <w:r w:rsidRPr="006E3B9B">
        <w:rPr>
          <w:rFonts w:hint="eastAsia"/>
          <w:lang w:eastAsia="zh-CN"/>
        </w:rPr>
        <w:t>年</w:t>
      </w:r>
    </w:p>
    <w:p w14:paraId="4827C25B"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56</w:t>
      </w:r>
      <w:r w:rsidRPr="006E3B9B">
        <w:rPr>
          <w:lang w:val="en-US" w:eastAsia="zh-CN"/>
        </w:rPr>
        <w:t>号决定</w:t>
      </w:r>
      <w:r w:rsidRPr="006E3B9B">
        <w:rPr>
          <w:lang w:val="en-US" w:eastAsia="zh-CN"/>
        </w:rPr>
        <w:tab/>
      </w:r>
      <w:r w:rsidRPr="006E3B9B">
        <w:rPr>
          <w:rFonts w:hint="eastAsia"/>
          <w:lang w:eastAsia="zh-CN"/>
        </w:rPr>
        <w:t>秘书长</w:t>
      </w:r>
      <w:r w:rsidRPr="006E3B9B">
        <w:rPr>
          <w:lang w:eastAsia="zh-CN"/>
        </w:rPr>
        <w:t>1951</w:t>
      </w:r>
      <w:r w:rsidRPr="006E3B9B">
        <w:rPr>
          <w:rFonts w:hint="eastAsia"/>
          <w:lang w:eastAsia="zh-CN"/>
        </w:rPr>
        <w:t>年年度报告草案的出版</w:t>
      </w:r>
      <w:r w:rsidRPr="006E3B9B">
        <w:rPr>
          <w:lang w:val="en-US" w:eastAsia="zh-CN"/>
        </w:rPr>
        <w:tab/>
      </w:r>
      <w:r w:rsidR="00057467">
        <w:rPr>
          <w:lang w:val="en-US" w:eastAsia="zh-CN"/>
        </w:rPr>
        <w:tab/>
      </w:r>
      <w:r w:rsidRPr="006E3B9B">
        <w:rPr>
          <w:lang w:val="en-US" w:eastAsia="zh-CN"/>
        </w:rPr>
        <w:t>1952</w:t>
      </w:r>
      <w:r w:rsidRPr="006E3B9B">
        <w:rPr>
          <w:rFonts w:hint="eastAsia"/>
          <w:lang w:eastAsia="zh-CN"/>
        </w:rPr>
        <w:t>年</w:t>
      </w:r>
    </w:p>
    <w:p w14:paraId="4827C25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57</w:t>
      </w:r>
      <w:r w:rsidRPr="006E3B9B">
        <w:rPr>
          <w:lang w:val="en-US" w:eastAsia="zh-CN"/>
        </w:rPr>
        <w:t>号决定</w:t>
      </w:r>
      <w:r w:rsidRPr="006E3B9B">
        <w:rPr>
          <w:lang w:val="en-US" w:eastAsia="zh-CN"/>
        </w:rPr>
        <w:tab/>
      </w:r>
      <w:r w:rsidRPr="006E3B9B">
        <w:rPr>
          <w:rFonts w:hint="eastAsia"/>
          <w:lang w:eastAsia="zh-CN"/>
        </w:rPr>
        <w:t>可能对</w:t>
      </w:r>
      <w:r w:rsidRPr="006E3B9B">
        <w:rPr>
          <w:lang w:eastAsia="zh-CN"/>
        </w:rPr>
        <w:t>特别无线电行政大会</w:t>
      </w:r>
      <w:r w:rsidRPr="006E3B9B">
        <w:rPr>
          <w:rFonts w:hint="eastAsia"/>
          <w:lang w:eastAsia="zh-CN"/>
        </w:rPr>
        <w:t>感兴趣的国际组织</w:t>
      </w:r>
      <w:r w:rsidRPr="006E3B9B">
        <w:rPr>
          <w:lang w:val="en-US" w:eastAsia="zh-CN"/>
        </w:rPr>
        <w:tab/>
      </w:r>
      <w:r w:rsidR="00057467">
        <w:rPr>
          <w:lang w:val="en-US" w:eastAsia="zh-CN"/>
        </w:rPr>
        <w:tab/>
      </w:r>
      <w:r w:rsidRPr="006E3B9B">
        <w:rPr>
          <w:lang w:val="en-US" w:eastAsia="zh-CN"/>
        </w:rPr>
        <w:t>1952</w:t>
      </w:r>
      <w:r w:rsidRPr="006E3B9B">
        <w:rPr>
          <w:rFonts w:hint="eastAsia"/>
          <w:lang w:eastAsia="zh-CN"/>
        </w:rPr>
        <w:t>年</w:t>
      </w:r>
    </w:p>
    <w:p w14:paraId="4827C25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58</w:t>
      </w:r>
      <w:r w:rsidRPr="006E3B9B">
        <w:rPr>
          <w:lang w:val="en-US" w:eastAsia="zh-CN"/>
        </w:rPr>
        <w:t>号决定</w:t>
      </w:r>
      <w:r w:rsidRPr="006E3B9B">
        <w:rPr>
          <w:lang w:val="en-US" w:eastAsia="zh-CN"/>
        </w:rPr>
        <w:tab/>
      </w:r>
      <w:r w:rsidRPr="006E3B9B">
        <w:rPr>
          <w:rFonts w:hint="eastAsia"/>
          <w:lang w:eastAsia="zh-CN"/>
        </w:rPr>
        <w:t>2</w:t>
      </w:r>
      <w:r w:rsidRPr="006E3B9B">
        <w:rPr>
          <w:rFonts w:hint="eastAsia"/>
          <w:lang w:eastAsia="zh-CN"/>
        </w:rPr>
        <w:t>区国家为协调</w:t>
      </w:r>
      <w:r w:rsidRPr="006E3B9B">
        <w:rPr>
          <w:lang w:eastAsia="zh-CN"/>
        </w:rPr>
        <w:t xml:space="preserve">4,000 kc/s </w:t>
      </w:r>
      <w:r w:rsidRPr="006E3B9B">
        <w:rPr>
          <w:rFonts w:hint="eastAsia"/>
          <w:lang w:eastAsia="zh-CN"/>
        </w:rPr>
        <w:t>以下的国家频率表而召开的会议</w:t>
      </w:r>
      <w:r w:rsidR="00057467">
        <w:rPr>
          <w:lang w:eastAsia="zh-CN"/>
        </w:rPr>
        <w:tab/>
      </w:r>
      <w:r w:rsidRPr="006E3B9B">
        <w:rPr>
          <w:lang w:val="en-US" w:eastAsia="zh-CN"/>
        </w:rPr>
        <w:tab/>
        <w:t>1952</w:t>
      </w:r>
      <w:r w:rsidRPr="006E3B9B">
        <w:rPr>
          <w:rFonts w:hint="eastAsia"/>
          <w:lang w:eastAsia="zh-CN"/>
        </w:rPr>
        <w:t>年</w:t>
      </w:r>
    </w:p>
    <w:p w14:paraId="4827C25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59</w:t>
      </w:r>
      <w:r w:rsidRPr="006E3B9B">
        <w:rPr>
          <w:lang w:val="en-US" w:eastAsia="zh-CN"/>
        </w:rPr>
        <w:t>号决定</w:t>
      </w:r>
      <w:r w:rsidRPr="006E3B9B">
        <w:rPr>
          <w:lang w:val="en-US" w:eastAsia="zh-CN"/>
        </w:rPr>
        <w:tab/>
      </w:r>
      <w:r w:rsidRPr="006E3B9B">
        <w:rPr>
          <w:rFonts w:hint="eastAsia"/>
          <w:lang w:eastAsia="zh-CN"/>
        </w:rPr>
        <w:t>针对海上安全要求而对航空和海上电信业务进行协调的航空无线电大会第</w:t>
      </w:r>
      <w:r w:rsidRPr="006E3B9B">
        <w:rPr>
          <w:lang w:eastAsia="zh-CN"/>
        </w:rPr>
        <w:t>7</w:t>
      </w:r>
      <w:r w:rsidRPr="006E3B9B">
        <w:rPr>
          <w:rFonts w:hint="eastAsia"/>
          <w:lang w:eastAsia="zh-CN"/>
        </w:rPr>
        <w:t>号建议</w:t>
      </w:r>
      <w:r w:rsidRPr="006E3B9B">
        <w:rPr>
          <w:lang w:val="en-US" w:eastAsia="zh-CN"/>
        </w:rPr>
        <w:tab/>
      </w:r>
      <w:r w:rsidR="00057467">
        <w:rPr>
          <w:lang w:val="en-US" w:eastAsia="zh-CN"/>
        </w:rPr>
        <w:tab/>
      </w:r>
      <w:r w:rsidRPr="006E3B9B">
        <w:rPr>
          <w:lang w:val="en-US" w:eastAsia="zh-CN"/>
        </w:rPr>
        <w:t>1964</w:t>
      </w:r>
      <w:r w:rsidRPr="006E3B9B">
        <w:rPr>
          <w:rFonts w:hint="eastAsia"/>
          <w:lang w:eastAsia="zh-CN"/>
        </w:rPr>
        <w:t>年</w:t>
      </w:r>
    </w:p>
    <w:p w14:paraId="4827C25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60</w:t>
      </w:r>
      <w:r w:rsidRPr="006E3B9B">
        <w:rPr>
          <w:lang w:val="en-US" w:eastAsia="zh-CN"/>
        </w:rPr>
        <w:t>号决定</w:t>
      </w:r>
      <w:r w:rsidRPr="006E3B9B">
        <w:rPr>
          <w:lang w:val="en-US" w:eastAsia="zh-CN"/>
        </w:rPr>
        <w:tab/>
      </w:r>
      <w:r w:rsidRPr="006E3B9B">
        <w:rPr>
          <w:rFonts w:hint="eastAsia"/>
          <w:lang w:eastAsia="zh-CN"/>
        </w:rPr>
        <w:t>行政法庭</w:t>
      </w:r>
      <w:r w:rsidRPr="006E3B9B">
        <w:rPr>
          <w:lang w:val="en-US" w:eastAsia="zh-CN"/>
        </w:rPr>
        <w:tab/>
      </w:r>
      <w:r w:rsidR="00057467">
        <w:rPr>
          <w:lang w:val="en-US" w:eastAsia="zh-CN"/>
        </w:rPr>
        <w:tab/>
      </w:r>
      <w:r w:rsidRPr="006E3B9B">
        <w:rPr>
          <w:lang w:val="en-US" w:eastAsia="zh-CN"/>
        </w:rPr>
        <w:t>1952</w:t>
      </w:r>
      <w:r w:rsidRPr="006E3B9B">
        <w:rPr>
          <w:rFonts w:hint="eastAsia"/>
          <w:lang w:eastAsia="zh-CN"/>
        </w:rPr>
        <w:t>年</w:t>
      </w:r>
    </w:p>
    <w:p w14:paraId="4827C26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61</w:t>
      </w:r>
      <w:r w:rsidRPr="006E3B9B">
        <w:rPr>
          <w:lang w:val="en-US" w:eastAsia="zh-CN"/>
        </w:rPr>
        <w:t>号决定</w:t>
      </w:r>
      <w:r w:rsidRPr="006E3B9B">
        <w:rPr>
          <w:lang w:val="en-US" w:eastAsia="zh-CN"/>
        </w:rPr>
        <w:tab/>
      </w:r>
      <w:r w:rsidRPr="006E3B9B">
        <w:rPr>
          <w:rFonts w:hint="eastAsia"/>
          <w:lang w:eastAsia="zh-CN"/>
        </w:rPr>
        <w:t>每日生活津贴</w:t>
      </w:r>
      <w:r w:rsidRPr="006E3B9B">
        <w:rPr>
          <w:lang w:val="en-US" w:eastAsia="zh-CN"/>
        </w:rPr>
        <w:tab/>
      </w:r>
      <w:r w:rsidR="00057467">
        <w:rPr>
          <w:lang w:val="en-US" w:eastAsia="zh-CN"/>
        </w:rPr>
        <w:tab/>
      </w:r>
      <w:r w:rsidRPr="006E3B9B">
        <w:rPr>
          <w:lang w:val="en-US" w:eastAsia="zh-CN"/>
        </w:rPr>
        <w:t>1964</w:t>
      </w:r>
      <w:r w:rsidRPr="006E3B9B">
        <w:rPr>
          <w:rFonts w:hint="eastAsia"/>
          <w:lang w:eastAsia="zh-CN"/>
        </w:rPr>
        <w:t>年</w:t>
      </w:r>
    </w:p>
    <w:p w14:paraId="4827C26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62</w:t>
      </w:r>
      <w:r w:rsidRPr="006E3B9B">
        <w:rPr>
          <w:lang w:val="en-US" w:eastAsia="zh-CN"/>
        </w:rPr>
        <w:t>号决定</w:t>
      </w:r>
      <w:r w:rsidRPr="006E3B9B">
        <w:rPr>
          <w:lang w:val="en-US" w:eastAsia="zh-CN"/>
        </w:rPr>
        <w:tab/>
      </w:r>
      <w:r w:rsidRPr="006E3B9B">
        <w:rPr>
          <w:rFonts w:hint="eastAsia"/>
          <w:lang w:eastAsia="zh-CN"/>
        </w:rPr>
        <w:t>对因结婚而离开国际电联的女性职员的经济补偿</w:t>
      </w:r>
      <w:r w:rsidRPr="006E3B9B">
        <w:rPr>
          <w:lang w:val="en-US" w:eastAsia="zh-CN"/>
        </w:rPr>
        <w:tab/>
      </w:r>
      <w:r w:rsidR="00057467">
        <w:rPr>
          <w:lang w:val="en-US" w:eastAsia="zh-CN"/>
        </w:rPr>
        <w:tab/>
      </w:r>
      <w:r w:rsidRPr="006E3B9B">
        <w:rPr>
          <w:lang w:val="en-US" w:eastAsia="zh-CN"/>
        </w:rPr>
        <w:t>1952</w:t>
      </w:r>
      <w:r w:rsidRPr="006E3B9B">
        <w:rPr>
          <w:rFonts w:hint="eastAsia"/>
          <w:lang w:eastAsia="zh-CN"/>
        </w:rPr>
        <w:t>年</w:t>
      </w:r>
    </w:p>
    <w:p w14:paraId="4827C26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63</w:t>
      </w:r>
      <w:r w:rsidRPr="006E3B9B">
        <w:rPr>
          <w:lang w:val="en-US" w:eastAsia="zh-CN"/>
        </w:rPr>
        <w:t>号决定</w:t>
      </w:r>
      <w:r w:rsidRPr="006E3B9B">
        <w:rPr>
          <w:lang w:val="en-US" w:eastAsia="zh-CN"/>
        </w:rPr>
        <w:tab/>
      </w:r>
      <w:r w:rsidRPr="006E3B9B">
        <w:rPr>
          <w:rFonts w:hint="eastAsia"/>
          <w:lang w:eastAsia="zh-CN"/>
        </w:rPr>
        <w:t>对理事会第</w:t>
      </w:r>
      <w:r w:rsidRPr="006E3B9B">
        <w:rPr>
          <w:lang w:eastAsia="zh-CN"/>
        </w:rPr>
        <w:t>7</w:t>
      </w:r>
      <w:r w:rsidRPr="006E3B9B">
        <w:rPr>
          <w:rFonts w:hint="eastAsia"/>
          <w:lang w:eastAsia="zh-CN"/>
        </w:rPr>
        <w:t>届会议以前被国家征召入伍的职员所做的规定</w:t>
      </w:r>
      <w:r w:rsidRPr="006E3B9B">
        <w:rPr>
          <w:lang w:val="en-US" w:eastAsia="zh-CN"/>
        </w:rPr>
        <w:tab/>
      </w:r>
      <w:r w:rsidR="00057467">
        <w:rPr>
          <w:lang w:val="en-US" w:eastAsia="zh-CN"/>
        </w:rPr>
        <w:tab/>
      </w:r>
      <w:r w:rsidRPr="006E3B9B">
        <w:rPr>
          <w:lang w:val="en-US" w:eastAsia="zh-CN"/>
        </w:rPr>
        <w:t>1952</w:t>
      </w:r>
      <w:r w:rsidRPr="006E3B9B">
        <w:rPr>
          <w:rFonts w:hint="eastAsia"/>
          <w:lang w:eastAsia="zh-CN"/>
        </w:rPr>
        <w:t>年</w:t>
      </w:r>
    </w:p>
    <w:p w14:paraId="4827C26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64</w:t>
      </w:r>
      <w:r w:rsidRPr="006E3B9B">
        <w:rPr>
          <w:lang w:val="en-US" w:eastAsia="zh-CN"/>
        </w:rPr>
        <w:t>号决定</w:t>
      </w:r>
      <w:r w:rsidRPr="006E3B9B">
        <w:rPr>
          <w:lang w:val="en-US" w:eastAsia="zh-CN"/>
        </w:rPr>
        <w:tab/>
      </w:r>
      <w:r w:rsidRPr="006E3B9B">
        <w:rPr>
          <w:rFonts w:hint="eastAsia"/>
          <w:lang w:eastAsia="zh-CN"/>
        </w:rPr>
        <w:t>被提名参加职员退休和福利基金管理委员会的</w:t>
      </w:r>
      <w:r w:rsidRPr="006E3B9B">
        <w:rPr>
          <w:lang w:eastAsia="zh-CN"/>
        </w:rPr>
        <w:t>国际咨询委员会</w:t>
      </w:r>
      <w:r w:rsidRPr="006E3B9B">
        <w:rPr>
          <w:rFonts w:hint="eastAsia"/>
          <w:lang w:eastAsia="zh-CN"/>
        </w:rPr>
        <w:t>副主任</w:t>
      </w:r>
      <w:r w:rsidRPr="006E3B9B">
        <w:rPr>
          <w:lang w:val="en-US" w:eastAsia="zh-CN"/>
        </w:rPr>
        <w:tab/>
      </w:r>
      <w:r w:rsidR="00057467">
        <w:rPr>
          <w:lang w:val="en-US" w:eastAsia="zh-CN"/>
        </w:rPr>
        <w:tab/>
      </w:r>
      <w:r w:rsidRPr="006E3B9B">
        <w:rPr>
          <w:lang w:val="en-US" w:eastAsia="zh-CN"/>
        </w:rPr>
        <w:t>1952</w:t>
      </w:r>
      <w:r w:rsidRPr="006E3B9B">
        <w:rPr>
          <w:rFonts w:hint="eastAsia"/>
          <w:lang w:eastAsia="zh-CN"/>
        </w:rPr>
        <w:t>年</w:t>
      </w:r>
    </w:p>
    <w:p w14:paraId="4827C26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65</w:t>
      </w:r>
      <w:r w:rsidRPr="006E3B9B">
        <w:rPr>
          <w:lang w:val="en-US" w:eastAsia="zh-CN"/>
        </w:rPr>
        <w:t>号决定</w:t>
      </w:r>
      <w:r w:rsidRPr="006E3B9B">
        <w:rPr>
          <w:lang w:val="en-US" w:eastAsia="zh-CN"/>
        </w:rPr>
        <w:tab/>
      </w:r>
      <w:r w:rsidRPr="006E3B9B">
        <w:rPr>
          <w:lang w:eastAsia="zh-CN"/>
        </w:rPr>
        <w:t>van der Pol</w:t>
      </w:r>
      <w:r w:rsidRPr="006E3B9B">
        <w:rPr>
          <w:rFonts w:hint="eastAsia"/>
          <w:lang w:eastAsia="zh-CN"/>
        </w:rPr>
        <w:t>博士和</w:t>
      </w:r>
      <w:r w:rsidRPr="006E3B9B">
        <w:rPr>
          <w:lang w:eastAsia="zh-CN"/>
        </w:rPr>
        <w:t>Hayes</w:t>
      </w:r>
      <w:r w:rsidRPr="006E3B9B">
        <w:rPr>
          <w:rFonts w:hint="eastAsia"/>
          <w:lang w:eastAsia="zh-CN"/>
        </w:rPr>
        <w:t>先生的养恤金</w:t>
      </w:r>
      <w:r w:rsidRPr="006E3B9B">
        <w:rPr>
          <w:lang w:val="en-US" w:eastAsia="zh-CN"/>
        </w:rPr>
        <w:tab/>
      </w:r>
      <w:r w:rsidR="00057467">
        <w:rPr>
          <w:lang w:val="en-US" w:eastAsia="zh-CN"/>
        </w:rPr>
        <w:tab/>
      </w:r>
      <w:r w:rsidRPr="006E3B9B">
        <w:rPr>
          <w:lang w:val="en-US" w:eastAsia="zh-CN"/>
        </w:rPr>
        <w:t>1952</w:t>
      </w:r>
      <w:r w:rsidRPr="006E3B9B">
        <w:rPr>
          <w:rFonts w:hint="eastAsia"/>
          <w:lang w:eastAsia="zh-CN"/>
        </w:rPr>
        <w:t>年</w:t>
      </w:r>
    </w:p>
    <w:p w14:paraId="4827C26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66</w:t>
      </w:r>
      <w:r w:rsidRPr="006E3B9B">
        <w:rPr>
          <w:lang w:val="en-US" w:eastAsia="zh-CN"/>
        </w:rPr>
        <w:t>号决定</w:t>
      </w:r>
      <w:r w:rsidRPr="006E3B9B">
        <w:rPr>
          <w:lang w:val="en-US" w:eastAsia="zh-CN"/>
        </w:rPr>
        <w:tab/>
      </w:r>
      <w:r w:rsidRPr="006E3B9B">
        <w:rPr>
          <w:lang w:eastAsia="zh-CN"/>
        </w:rPr>
        <w:t>CCIR</w:t>
      </w:r>
      <w:r w:rsidRPr="006E3B9B">
        <w:rPr>
          <w:rFonts w:hint="eastAsia"/>
          <w:lang w:eastAsia="zh-CN"/>
        </w:rPr>
        <w:t>秘书处的技术编辑</w:t>
      </w:r>
      <w:r w:rsidRPr="006E3B9B">
        <w:rPr>
          <w:lang w:eastAsia="zh-CN"/>
        </w:rPr>
        <w:t>（</w:t>
      </w:r>
      <w:r w:rsidRPr="006E3B9B">
        <w:rPr>
          <w:lang w:eastAsia="zh-CN"/>
        </w:rPr>
        <w:t>2</w:t>
      </w:r>
      <w:r w:rsidRPr="006E3B9B">
        <w:rPr>
          <w:rFonts w:hint="eastAsia"/>
          <w:lang w:eastAsia="zh-CN"/>
        </w:rPr>
        <w:t>类</w:t>
      </w:r>
      <w:r w:rsidRPr="006E3B9B">
        <w:rPr>
          <w:lang w:eastAsia="zh-CN"/>
        </w:rPr>
        <w:t>）</w:t>
      </w:r>
      <w:r w:rsidRPr="006E3B9B">
        <w:rPr>
          <w:rFonts w:hint="eastAsia"/>
          <w:lang w:eastAsia="zh-CN"/>
        </w:rPr>
        <w:t>职位</w:t>
      </w:r>
      <w:r w:rsidRPr="006E3B9B">
        <w:rPr>
          <w:lang w:val="en-US" w:eastAsia="zh-CN"/>
        </w:rPr>
        <w:tab/>
      </w:r>
      <w:r w:rsidR="00057467">
        <w:rPr>
          <w:lang w:val="en-US" w:eastAsia="zh-CN"/>
        </w:rPr>
        <w:tab/>
      </w:r>
      <w:r w:rsidRPr="006E3B9B">
        <w:rPr>
          <w:lang w:val="en-US" w:eastAsia="zh-CN"/>
        </w:rPr>
        <w:t>1952</w:t>
      </w:r>
      <w:r w:rsidRPr="006E3B9B">
        <w:rPr>
          <w:rFonts w:hint="eastAsia"/>
          <w:lang w:eastAsia="zh-CN"/>
        </w:rPr>
        <w:t>年</w:t>
      </w:r>
    </w:p>
    <w:p w14:paraId="4827C26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67</w:t>
      </w:r>
      <w:r w:rsidRPr="006E3B9B">
        <w:rPr>
          <w:lang w:val="en-US" w:eastAsia="zh-CN"/>
        </w:rPr>
        <w:t>号决定</w:t>
      </w:r>
      <w:r w:rsidRPr="006E3B9B">
        <w:rPr>
          <w:lang w:val="en-US" w:eastAsia="zh-CN"/>
        </w:rPr>
        <w:tab/>
      </w:r>
      <w:r w:rsidRPr="006E3B9B">
        <w:rPr>
          <w:rFonts w:hint="eastAsia"/>
          <w:lang w:eastAsia="zh-CN"/>
        </w:rPr>
        <w:t>在瑞士以外印刷某些文件</w:t>
      </w:r>
      <w:r w:rsidRPr="006E3B9B">
        <w:rPr>
          <w:lang w:val="en-US" w:eastAsia="zh-CN"/>
        </w:rPr>
        <w:tab/>
      </w:r>
      <w:r w:rsidR="00057467">
        <w:rPr>
          <w:lang w:val="en-US" w:eastAsia="zh-CN"/>
        </w:rPr>
        <w:tab/>
      </w:r>
      <w:r w:rsidRPr="006E3B9B">
        <w:rPr>
          <w:lang w:val="en-US" w:eastAsia="zh-CN"/>
        </w:rPr>
        <w:t>1964</w:t>
      </w:r>
      <w:r w:rsidRPr="006E3B9B">
        <w:rPr>
          <w:rFonts w:hint="eastAsia"/>
          <w:lang w:eastAsia="zh-CN"/>
        </w:rPr>
        <w:t>年</w:t>
      </w:r>
    </w:p>
    <w:p w14:paraId="4827C267" w14:textId="77777777" w:rsidR="00091112" w:rsidRDefault="00091112">
      <w:pPr>
        <w:tabs>
          <w:tab w:val="clear" w:pos="794"/>
          <w:tab w:val="clear" w:pos="1191"/>
          <w:tab w:val="clear" w:pos="1588"/>
          <w:tab w:val="clear" w:pos="1985"/>
        </w:tabs>
        <w:overflowPunct/>
        <w:autoSpaceDE/>
        <w:autoSpaceDN/>
        <w:adjustRightInd/>
        <w:spacing w:before="0"/>
        <w:jc w:val="left"/>
        <w:textAlignment w:val="auto"/>
        <w:rPr>
          <w:sz w:val="20"/>
          <w:lang w:val="en-US" w:eastAsia="zh-CN"/>
        </w:rPr>
      </w:pPr>
      <w:r>
        <w:rPr>
          <w:lang w:val="en-US" w:eastAsia="zh-CN"/>
        </w:rPr>
        <w:br w:type="page"/>
      </w:r>
    </w:p>
    <w:p w14:paraId="4827C268" w14:textId="77777777" w:rsidR="006E3B9B" w:rsidRPr="006E3B9B" w:rsidRDefault="006E3B9B" w:rsidP="00057467">
      <w:pPr>
        <w:pStyle w:val="Appendixref"/>
        <w:rPr>
          <w:lang w:val="en-US" w:eastAsia="zh-CN"/>
        </w:rPr>
      </w:pPr>
      <w:r w:rsidRPr="006E3B9B">
        <w:rPr>
          <w:lang w:val="en-US" w:eastAsia="zh-CN"/>
        </w:rPr>
        <w:lastRenderedPageBreak/>
        <w:t>第</w:t>
      </w:r>
      <w:r w:rsidRPr="006E3B9B">
        <w:rPr>
          <w:lang w:val="en-US" w:eastAsia="zh-CN"/>
        </w:rPr>
        <w:t>68</w:t>
      </w:r>
      <w:r w:rsidRPr="006E3B9B">
        <w:rPr>
          <w:lang w:val="en-US" w:eastAsia="zh-CN"/>
        </w:rPr>
        <w:t>号决定</w:t>
      </w:r>
      <w:r w:rsidRPr="006E3B9B">
        <w:rPr>
          <w:lang w:val="en-US" w:eastAsia="zh-CN"/>
        </w:rPr>
        <w:tab/>
      </w:r>
      <w:r w:rsidRPr="006E3B9B">
        <w:rPr>
          <w:rFonts w:hint="eastAsia"/>
          <w:lang w:val="en-US" w:eastAsia="zh-CN"/>
        </w:rPr>
        <w:t>国际</w:t>
      </w:r>
      <w:r w:rsidRPr="006E3B9B">
        <w:rPr>
          <w:rFonts w:hint="eastAsia"/>
          <w:lang w:eastAsia="zh-CN"/>
        </w:rPr>
        <w:t>电联常设机构的家具和设备库存</w:t>
      </w:r>
      <w:r w:rsidRPr="006E3B9B">
        <w:rPr>
          <w:lang w:val="en-US" w:eastAsia="zh-CN"/>
        </w:rPr>
        <w:tab/>
      </w:r>
      <w:r w:rsidR="00057467">
        <w:rPr>
          <w:lang w:val="en-US" w:eastAsia="zh-CN"/>
        </w:rPr>
        <w:tab/>
      </w:r>
      <w:r w:rsidRPr="006E3B9B">
        <w:rPr>
          <w:lang w:val="en-US" w:eastAsia="zh-CN"/>
        </w:rPr>
        <w:t>1952</w:t>
      </w:r>
      <w:r w:rsidRPr="006E3B9B">
        <w:rPr>
          <w:rFonts w:hint="eastAsia"/>
          <w:lang w:eastAsia="zh-CN"/>
        </w:rPr>
        <w:t>年</w:t>
      </w:r>
    </w:p>
    <w:p w14:paraId="4827C26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69</w:t>
      </w:r>
      <w:r w:rsidRPr="006E3B9B">
        <w:rPr>
          <w:lang w:val="en-US" w:eastAsia="zh-CN"/>
        </w:rPr>
        <w:t>号决定</w:t>
      </w:r>
      <w:r w:rsidRPr="006E3B9B">
        <w:rPr>
          <w:lang w:val="en-US" w:eastAsia="zh-CN"/>
        </w:rPr>
        <w:tab/>
      </w:r>
      <w:r w:rsidRPr="006E3B9B">
        <w:rPr>
          <w:rFonts w:hint="eastAsia"/>
          <w:lang w:eastAsia="zh-CN"/>
        </w:rPr>
        <w:t>对国际电联的出版物实施国际版权法</w:t>
      </w:r>
      <w:r w:rsidRPr="006E3B9B">
        <w:rPr>
          <w:lang w:val="en-US" w:eastAsia="zh-CN"/>
        </w:rPr>
        <w:tab/>
      </w:r>
      <w:r w:rsidR="00057467">
        <w:rPr>
          <w:lang w:val="en-US" w:eastAsia="zh-CN"/>
        </w:rPr>
        <w:tab/>
      </w:r>
      <w:r w:rsidRPr="006E3B9B">
        <w:rPr>
          <w:lang w:val="en-US" w:eastAsia="zh-CN"/>
        </w:rPr>
        <w:t>1952</w:t>
      </w:r>
      <w:r w:rsidRPr="006E3B9B">
        <w:rPr>
          <w:rFonts w:hint="eastAsia"/>
          <w:lang w:eastAsia="zh-CN"/>
        </w:rPr>
        <w:t>年</w:t>
      </w:r>
    </w:p>
    <w:p w14:paraId="4827C26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70</w:t>
      </w:r>
      <w:r w:rsidRPr="006E3B9B">
        <w:rPr>
          <w:lang w:val="en-US" w:eastAsia="zh-CN"/>
        </w:rPr>
        <w:t>号决定</w:t>
      </w:r>
      <w:r w:rsidRPr="006E3B9B">
        <w:rPr>
          <w:lang w:val="en-US" w:eastAsia="zh-CN"/>
        </w:rPr>
        <w:tab/>
      </w:r>
      <w:r w:rsidRPr="006E3B9B">
        <w:rPr>
          <w:rFonts w:hint="eastAsia"/>
          <w:lang w:val="en-US" w:eastAsia="zh-CN"/>
        </w:rPr>
        <w:t>国际</w:t>
      </w:r>
      <w:r w:rsidRPr="006E3B9B">
        <w:rPr>
          <w:rFonts w:hint="eastAsia"/>
          <w:lang w:eastAsia="zh-CN"/>
        </w:rPr>
        <w:t>电联向提供垫付款的瑞士联邦支付的利息</w:t>
      </w:r>
      <w:r w:rsidRPr="006E3B9B">
        <w:rPr>
          <w:lang w:val="en-US" w:eastAsia="zh-CN"/>
        </w:rPr>
        <w:tab/>
      </w:r>
      <w:r w:rsidR="00057467">
        <w:rPr>
          <w:lang w:val="en-US" w:eastAsia="zh-CN"/>
        </w:rPr>
        <w:tab/>
      </w:r>
      <w:r w:rsidRPr="006E3B9B">
        <w:rPr>
          <w:lang w:val="en-US" w:eastAsia="zh-CN"/>
        </w:rPr>
        <w:t>1952</w:t>
      </w:r>
      <w:r w:rsidRPr="006E3B9B">
        <w:rPr>
          <w:rFonts w:hint="eastAsia"/>
          <w:lang w:eastAsia="zh-CN"/>
        </w:rPr>
        <w:t>年</w:t>
      </w:r>
    </w:p>
    <w:p w14:paraId="4827C26B"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71</w:t>
      </w:r>
      <w:r w:rsidRPr="006E3B9B">
        <w:rPr>
          <w:lang w:val="en-US" w:eastAsia="zh-CN"/>
        </w:rPr>
        <w:t>号决定</w:t>
      </w:r>
      <w:r w:rsidRPr="006E3B9B">
        <w:rPr>
          <w:lang w:val="en-US" w:eastAsia="zh-CN"/>
        </w:rPr>
        <w:tab/>
      </w:r>
      <w:r w:rsidRPr="006E3B9B">
        <w:rPr>
          <w:rFonts w:hint="eastAsia"/>
          <w:lang w:eastAsia="zh-CN"/>
        </w:rPr>
        <w:t>使用同声传译设备的条件</w:t>
      </w:r>
      <w:r w:rsidRPr="006E3B9B">
        <w:rPr>
          <w:lang w:val="en-US" w:eastAsia="zh-CN"/>
        </w:rPr>
        <w:tab/>
      </w:r>
      <w:r w:rsidR="00057467">
        <w:rPr>
          <w:lang w:val="en-US" w:eastAsia="zh-CN"/>
        </w:rPr>
        <w:tab/>
      </w:r>
      <w:r w:rsidRPr="006E3B9B">
        <w:rPr>
          <w:lang w:val="en-US" w:eastAsia="zh-CN"/>
        </w:rPr>
        <w:t>1952</w:t>
      </w:r>
      <w:r w:rsidRPr="006E3B9B">
        <w:rPr>
          <w:rFonts w:hint="eastAsia"/>
          <w:lang w:eastAsia="zh-CN"/>
        </w:rPr>
        <w:t>年</w:t>
      </w:r>
    </w:p>
    <w:p w14:paraId="4827C26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72</w:t>
      </w:r>
      <w:r w:rsidRPr="006E3B9B">
        <w:rPr>
          <w:lang w:val="en-US" w:eastAsia="zh-CN"/>
        </w:rPr>
        <w:t>号决定</w:t>
      </w:r>
      <w:r w:rsidRPr="006E3B9B">
        <w:rPr>
          <w:lang w:val="en-US" w:eastAsia="zh-CN"/>
        </w:rPr>
        <w:tab/>
      </w:r>
      <w:r w:rsidRPr="006E3B9B">
        <w:rPr>
          <w:rFonts w:hint="eastAsia"/>
          <w:lang w:eastAsia="zh-CN"/>
        </w:rPr>
        <w:t>说明常设机构如何开展工作的信息通报文件</w:t>
      </w:r>
      <w:r w:rsidRPr="006E3B9B">
        <w:rPr>
          <w:lang w:val="en-US" w:eastAsia="zh-CN"/>
        </w:rPr>
        <w:tab/>
      </w:r>
      <w:r w:rsidR="00057467">
        <w:rPr>
          <w:lang w:val="en-US" w:eastAsia="zh-CN"/>
        </w:rPr>
        <w:tab/>
      </w:r>
      <w:r w:rsidRPr="006E3B9B">
        <w:rPr>
          <w:lang w:val="en-US" w:eastAsia="zh-CN"/>
        </w:rPr>
        <w:t>1952</w:t>
      </w:r>
      <w:r w:rsidRPr="006E3B9B">
        <w:rPr>
          <w:rFonts w:hint="eastAsia"/>
          <w:lang w:eastAsia="zh-CN"/>
        </w:rPr>
        <w:t>年</w:t>
      </w:r>
    </w:p>
    <w:p w14:paraId="4827C26D"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7</w:t>
      </w:r>
      <w:r w:rsidRPr="006E3B9B">
        <w:rPr>
          <w:rFonts w:hint="eastAsia"/>
          <w:lang w:eastAsia="zh-CN"/>
        </w:rPr>
        <w:t>届会议</w:t>
      </w:r>
      <w:r w:rsidRPr="006E3B9B">
        <w:rPr>
          <w:lang w:eastAsia="zh-CN"/>
        </w:rPr>
        <w:t>（</w:t>
      </w:r>
      <w:r w:rsidRPr="006E3B9B">
        <w:rPr>
          <w:lang w:eastAsia="zh-CN"/>
        </w:rPr>
        <w:t>1952</w:t>
      </w:r>
      <w:r w:rsidRPr="006E3B9B">
        <w:rPr>
          <w:rFonts w:hint="eastAsia"/>
          <w:lang w:eastAsia="zh-CN"/>
        </w:rPr>
        <w:t>年</w:t>
      </w:r>
      <w:r w:rsidRPr="006E3B9B">
        <w:rPr>
          <w:lang w:eastAsia="zh-CN"/>
        </w:rPr>
        <w:t>4</w:t>
      </w:r>
      <w:r w:rsidRPr="006E3B9B">
        <w:rPr>
          <w:rFonts w:hint="eastAsia"/>
          <w:lang w:eastAsia="zh-CN"/>
        </w:rPr>
        <w:t>月</w:t>
      </w:r>
      <w:r w:rsidRPr="006E3B9B">
        <w:rPr>
          <w:lang w:eastAsia="zh-CN"/>
        </w:rPr>
        <w:t>-6</w:t>
      </w:r>
      <w:r w:rsidRPr="006E3B9B">
        <w:rPr>
          <w:rFonts w:hint="eastAsia"/>
          <w:lang w:eastAsia="zh-CN"/>
        </w:rPr>
        <w:t>月</w:t>
      </w:r>
      <w:r w:rsidRPr="006E3B9B">
        <w:rPr>
          <w:lang w:eastAsia="zh-CN"/>
        </w:rPr>
        <w:t>）</w:t>
      </w:r>
    </w:p>
    <w:p w14:paraId="4827C26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73</w:t>
      </w:r>
      <w:r w:rsidRPr="006E3B9B">
        <w:rPr>
          <w:lang w:val="en-US" w:eastAsia="zh-CN"/>
        </w:rPr>
        <w:t>号决定</w:t>
      </w:r>
      <w:r w:rsidRPr="006E3B9B">
        <w:rPr>
          <w:lang w:val="en-US" w:eastAsia="zh-CN"/>
        </w:rPr>
        <w:tab/>
      </w:r>
      <w:r w:rsidRPr="006E3B9B">
        <w:rPr>
          <w:rFonts w:hint="eastAsia"/>
          <w:lang w:val="en-US" w:eastAsia="zh-CN"/>
        </w:rPr>
        <w:t>理事会</w:t>
      </w:r>
      <w:r w:rsidRPr="006E3B9B">
        <w:rPr>
          <w:lang w:eastAsia="zh-CN"/>
        </w:rPr>
        <w:t>1953</w:t>
      </w:r>
      <w:r w:rsidRPr="006E3B9B">
        <w:rPr>
          <w:rFonts w:hint="eastAsia"/>
          <w:lang w:eastAsia="zh-CN"/>
        </w:rPr>
        <w:t>年会议</w:t>
      </w:r>
      <w:r w:rsidR="00057467">
        <w:rPr>
          <w:lang w:eastAsia="zh-CN"/>
        </w:rPr>
        <w:tab/>
      </w:r>
      <w:r w:rsidRPr="006E3B9B">
        <w:rPr>
          <w:lang w:val="en-US" w:eastAsia="zh-CN"/>
        </w:rPr>
        <w:tab/>
        <w:t>1952</w:t>
      </w:r>
      <w:r w:rsidRPr="006E3B9B">
        <w:rPr>
          <w:rFonts w:hint="eastAsia"/>
          <w:lang w:val="en-US" w:eastAsia="zh-CN"/>
        </w:rPr>
        <w:t>年</w:t>
      </w:r>
    </w:p>
    <w:p w14:paraId="4827C26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74</w:t>
      </w:r>
      <w:r w:rsidRPr="006E3B9B">
        <w:rPr>
          <w:lang w:val="en-US" w:eastAsia="zh-CN"/>
        </w:rPr>
        <w:t>号决定</w:t>
      </w:r>
      <w:r w:rsidRPr="006E3B9B">
        <w:rPr>
          <w:lang w:val="en-US" w:eastAsia="zh-CN"/>
        </w:rPr>
        <w:tab/>
      </w:r>
      <w:r w:rsidRPr="006E3B9B">
        <w:rPr>
          <w:rFonts w:hint="eastAsia"/>
          <w:lang w:eastAsia="zh-CN"/>
        </w:rPr>
        <w:t>德意志民主共和国对国际电联法律文件所持的立场</w:t>
      </w:r>
      <w:r w:rsidRPr="006E3B9B">
        <w:rPr>
          <w:lang w:val="en-US" w:eastAsia="zh-CN"/>
        </w:rPr>
        <w:tab/>
      </w:r>
      <w:r w:rsidR="00057467">
        <w:rPr>
          <w:lang w:val="en-US" w:eastAsia="zh-CN"/>
        </w:rPr>
        <w:tab/>
      </w:r>
      <w:r w:rsidRPr="006E3B9B">
        <w:rPr>
          <w:lang w:val="en-US" w:eastAsia="zh-CN"/>
        </w:rPr>
        <w:t>1964</w:t>
      </w:r>
      <w:r w:rsidRPr="006E3B9B">
        <w:rPr>
          <w:rFonts w:hint="eastAsia"/>
          <w:lang w:val="en-US" w:eastAsia="zh-CN"/>
        </w:rPr>
        <w:t>年</w:t>
      </w:r>
    </w:p>
    <w:p w14:paraId="4827C27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75</w:t>
      </w:r>
      <w:r w:rsidRPr="006E3B9B">
        <w:rPr>
          <w:lang w:val="en-US" w:eastAsia="zh-CN"/>
        </w:rPr>
        <w:t>号决定</w:t>
      </w:r>
      <w:r w:rsidRPr="006E3B9B">
        <w:rPr>
          <w:lang w:val="en-US" w:eastAsia="zh-CN"/>
        </w:rPr>
        <w:tab/>
      </w:r>
      <w:r w:rsidRPr="006E3B9B">
        <w:rPr>
          <w:rFonts w:hint="eastAsia"/>
          <w:lang w:val="en-US" w:eastAsia="zh-CN"/>
        </w:rPr>
        <w:t>国际</w:t>
      </w:r>
      <w:r w:rsidRPr="006E3B9B">
        <w:rPr>
          <w:rFonts w:hint="eastAsia"/>
          <w:lang w:eastAsia="zh-CN"/>
        </w:rPr>
        <w:t>电联向提供垫付款的瑞士联邦支付的利息和成员国以及联系成员</w:t>
      </w:r>
      <w:r w:rsidRPr="006E3B9B">
        <w:rPr>
          <w:lang w:eastAsia="zh-CN"/>
        </w:rPr>
        <w:br/>
      </w:r>
      <w:r w:rsidRPr="006E3B9B">
        <w:rPr>
          <w:rFonts w:hint="eastAsia"/>
          <w:lang w:eastAsia="zh-CN"/>
        </w:rPr>
        <w:t>（债务方）应为逾期未付款而支付的利息</w:t>
      </w:r>
      <w:r w:rsidR="00057467">
        <w:rPr>
          <w:lang w:eastAsia="zh-CN"/>
        </w:rPr>
        <w:tab/>
      </w:r>
      <w:r w:rsidRPr="006E3B9B">
        <w:rPr>
          <w:lang w:val="en-US" w:eastAsia="zh-CN"/>
        </w:rPr>
        <w:tab/>
        <w:t>1952</w:t>
      </w:r>
      <w:r w:rsidRPr="006E3B9B">
        <w:rPr>
          <w:rFonts w:hint="eastAsia"/>
          <w:lang w:val="en-US" w:eastAsia="zh-CN"/>
        </w:rPr>
        <w:t>年</w:t>
      </w:r>
    </w:p>
    <w:p w14:paraId="4827C27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76</w:t>
      </w:r>
      <w:r w:rsidRPr="006E3B9B">
        <w:rPr>
          <w:lang w:val="en-US" w:eastAsia="zh-CN"/>
        </w:rPr>
        <w:t>号决定</w:t>
      </w:r>
      <w:r w:rsidRPr="006E3B9B">
        <w:rPr>
          <w:lang w:val="en-US" w:eastAsia="zh-CN"/>
        </w:rPr>
        <w:tab/>
      </w:r>
      <w:r w:rsidRPr="006E3B9B">
        <w:rPr>
          <w:lang w:eastAsia="zh-CN"/>
        </w:rPr>
        <w:t>1953</w:t>
      </w:r>
      <w:r w:rsidRPr="006E3B9B">
        <w:rPr>
          <w:rFonts w:hint="eastAsia"/>
          <w:lang w:eastAsia="zh-CN"/>
        </w:rPr>
        <w:t>年增加会费的可能性</w:t>
      </w:r>
      <w:r w:rsidRPr="006E3B9B">
        <w:rPr>
          <w:lang w:val="en-US" w:eastAsia="zh-CN"/>
        </w:rPr>
        <w:tab/>
      </w:r>
      <w:r w:rsidR="00057467">
        <w:rPr>
          <w:lang w:val="en-US" w:eastAsia="zh-CN"/>
        </w:rPr>
        <w:tab/>
      </w:r>
      <w:r w:rsidRPr="006E3B9B">
        <w:rPr>
          <w:lang w:val="en-US" w:eastAsia="zh-CN"/>
        </w:rPr>
        <w:t>1952</w:t>
      </w:r>
      <w:r w:rsidRPr="006E3B9B">
        <w:rPr>
          <w:rFonts w:hint="eastAsia"/>
          <w:lang w:val="en-US" w:eastAsia="zh-CN"/>
        </w:rPr>
        <w:t>年</w:t>
      </w:r>
    </w:p>
    <w:p w14:paraId="4827C27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77</w:t>
      </w:r>
      <w:r w:rsidRPr="006E3B9B">
        <w:rPr>
          <w:lang w:val="en-US" w:eastAsia="zh-CN"/>
        </w:rPr>
        <w:t>号决定</w:t>
      </w:r>
      <w:r w:rsidRPr="006E3B9B">
        <w:rPr>
          <w:lang w:val="en-US" w:eastAsia="zh-CN"/>
        </w:rPr>
        <w:tab/>
      </w:r>
      <w:r w:rsidRPr="006E3B9B">
        <w:rPr>
          <w:rFonts w:hint="eastAsia"/>
          <w:lang w:eastAsia="zh-CN"/>
        </w:rPr>
        <w:t>关于国际电联资产负债表格式的考虑</w:t>
      </w:r>
      <w:r w:rsidRPr="006E3B9B">
        <w:rPr>
          <w:lang w:val="en-US" w:eastAsia="zh-CN"/>
        </w:rPr>
        <w:tab/>
      </w:r>
      <w:r w:rsidR="00057467">
        <w:rPr>
          <w:lang w:val="en-US" w:eastAsia="zh-CN"/>
        </w:rPr>
        <w:tab/>
      </w:r>
      <w:r w:rsidRPr="006E3B9B">
        <w:rPr>
          <w:lang w:val="en-US" w:eastAsia="zh-CN"/>
        </w:rPr>
        <w:t>1952</w:t>
      </w:r>
      <w:r w:rsidRPr="006E3B9B">
        <w:rPr>
          <w:rFonts w:hint="eastAsia"/>
          <w:lang w:val="en-US" w:eastAsia="zh-CN"/>
        </w:rPr>
        <w:t>年</w:t>
      </w:r>
    </w:p>
    <w:p w14:paraId="4827C27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78</w:t>
      </w:r>
      <w:r w:rsidRPr="006E3B9B">
        <w:rPr>
          <w:lang w:val="en-US" w:eastAsia="zh-CN"/>
        </w:rPr>
        <w:t>号决定</w:t>
      </w:r>
      <w:r w:rsidRPr="006E3B9B">
        <w:rPr>
          <w:lang w:val="en-US" w:eastAsia="zh-CN"/>
        </w:rPr>
        <w:tab/>
      </w:r>
      <w:r w:rsidRPr="006E3B9B">
        <w:rPr>
          <w:lang w:eastAsia="zh-CN"/>
        </w:rPr>
        <w:t>1953</w:t>
      </w:r>
      <w:r w:rsidRPr="006E3B9B">
        <w:rPr>
          <w:rFonts w:hint="eastAsia"/>
          <w:lang w:eastAsia="zh-CN"/>
        </w:rPr>
        <w:t>年财务控制的构成</w:t>
      </w:r>
      <w:r w:rsidRPr="006E3B9B">
        <w:rPr>
          <w:lang w:val="en-US" w:eastAsia="zh-CN"/>
        </w:rPr>
        <w:tab/>
      </w:r>
      <w:r w:rsidR="00057467">
        <w:rPr>
          <w:lang w:val="en-US" w:eastAsia="zh-CN"/>
        </w:rPr>
        <w:tab/>
      </w:r>
      <w:r w:rsidRPr="006E3B9B">
        <w:rPr>
          <w:lang w:val="en-US" w:eastAsia="zh-CN"/>
        </w:rPr>
        <w:t>1952</w:t>
      </w:r>
      <w:r w:rsidRPr="006E3B9B">
        <w:rPr>
          <w:rFonts w:hint="eastAsia"/>
          <w:lang w:val="en-US" w:eastAsia="zh-CN"/>
        </w:rPr>
        <w:t>年</w:t>
      </w:r>
    </w:p>
    <w:p w14:paraId="4827C27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79</w:t>
      </w:r>
      <w:r w:rsidRPr="006E3B9B">
        <w:rPr>
          <w:lang w:val="en-US" w:eastAsia="zh-CN"/>
        </w:rPr>
        <w:t>号决定</w:t>
      </w:r>
      <w:r w:rsidRPr="006E3B9B">
        <w:rPr>
          <w:lang w:val="en-US" w:eastAsia="zh-CN"/>
        </w:rPr>
        <w:tab/>
      </w:r>
      <w:r w:rsidRPr="006E3B9B">
        <w:rPr>
          <w:rFonts w:hint="eastAsia"/>
          <w:lang w:eastAsia="zh-CN"/>
        </w:rPr>
        <w:t>记录的保留</w:t>
      </w:r>
      <w:r w:rsidRPr="006E3B9B">
        <w:rPr>
          <w:lang w:val="en-US" w:eastAsia="zh-CN"/>
        </w:rPr>
        <w:tab/>
      </w:r>
      <w:r w:rsidR="00057467">
        <w:rPr>
          <w:lang w:val="en-US" w:eastAsia="zh-CN"/>
        </w:rPr>
        <w:tab/>
      </w:r>
      <w:r w:rsidRPr="006E3B9B">
        <w:rPr>
          <w:lang w:val="en-US" w:eastAsia="zh-CN"/>
        </w:rPr>
        <w:t>1954</w:t>
      </w:r>
      <w:r w:rsidRPr="006E3B9B">
        <w:rPr>
          <w:rFonts w:hint="eastAsia"/>
          <w:lang w:val="en-US" w:eastAsia="zh-CN"/>
        </w:rPr>
        <w:t>年</w:t>
      </w:r>
    </w:p>
    <w:p w14:paraId="4827C27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80</w:t>
      </w:r>
      <w:r w:rsidRPr="006E3B9B">
        <w:rPr>
          <w:lang w:val="en-US" w:eastAsia="zh-CN"/>
        </w:rPr>
        <w:t>号决定</w:t>
      </w:r>
      <w:r w:rsidRPr="006E3B9B">
        <w:rPr>
          <w:lang w:val="en-US" w:eastAsia="zh-CN"/>
        </w:rPr>
        <w:tab/>
      </w:r>
      <w:r w:rsidRPr="006E3B9B">
        <w:rPr>
          <w:rFonts w:hint="eastAsia"/>
          <w:lang w:eastAsia="zh-CN"/>
        </w:rPr>
        <w:t>秘书长职权范围的延伸</w:t>
      </w:r>
      <w:r w:rsidRPr="006E3B9B">
        <w:rPr>
          <w:lang w:val="en-US" w:eastAsia="zh-CN"/>
        </w:rPr>
        <w:tab/>
      </w:r>
      <w:r w:rsidR="00057467">
        <w:rPr>
          <w:lang w:val="en-US" w:eastAsia="zh-CN"/>
        </w:rPr>
        <w:tab/>
      </w:r>
      <w:r w:rsidRPr="006E3B9B">
        <w:rPr>
          <w:lang w:val="en-US" w:eastAsia="zh-CN"/>
        </w:rPr>
        <w:t>1952</w:t>
      </w:r>
      <w:r w:rsidRPr="006E3B9B">
        <w:rPr>
          <w:rFonts w:hint="eastAsia"/>
          <w:lang w:val="en-US" w:eastAsia="zh-CN"/>
        </w:rPr>
        <w:t>年</w:t>
      </w:r>
    </w:p>
    <w:p w14:paraId="4827C27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81</w:t>
      </w:r>
      <w:r w:rsidRPr="006E3B9B">
        <w:rPr>
          <w:lang w:val="en-US" w:eastAsia="zh-CN"/>
        </w:rPr>
        <w:t>号决定</w:t>
      </w:r>
      <w:r w:rsidRPr="006E3B9B">
        <w:rPr>
          <w:lang w:val="en-US" w:eastAsia="zh-CN"/>
        </w:rPr>
        <w:tab/>
      </w:r>
      <w:r w:rsidRPr="006E3B9B">
        <w:rPr>
          <w:rFonts w:hint="eastAsia"/>
          <w:lang w:eastAsia="zh-CN"/>
        </w:rPr>
        <w:t>技术援助：咨询公司的使用</w:t>
      </w:r>
      <w:r w:rsidR="00057467">
        <w:rPr>
          <w:lang w:eastAsia="zh-CN"/>
        </w:rPr>
        <w:tab/>
      </w:r>
      <w:r w:rsidRPr="006E3B9B">
        <w:rPr>
          <w:lang w:val="en-US" w:eastAsia="zh-CN"/>
        </w:rPr>
        <w:tab/>
        <w:t>1964</w:t>
      </w:r>
      <w:r w:rsidRPr="006E3B9B">
        <w:rPr>
          <w:rFonts w:hint="eastAsia"/>
          <w:lang w:val="en-US" w:eastAsia="zh-CN"/>
        </w:rPr>
        <w:t>年</w:t>
      </w:r>
    </w:p>
    <w:p w14:paraId="4827C27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82</w:t>
      </w:r>
      <w:r w:rsidRPr="006E3B9B">
        <w:rPr>
          <w:lang w:val="en-US" w:eastAsia="zh-CN"/>
        </w:rPr>
        <w:t>号决定</w:t>
      </w:r>
      <w:r w:rsidRPr="006E3B9B">
        <w:rPr>
          <w:lang w:val="en-US" w:eastAsia="zh-CN"/>
        </w:rPr>
        <w:tab/>
      </w:r>
      <w:r w:rsidRPr="006E3B9B">
        <w:rPr>
          <w:rFonts w:hint="eastAsia"/>
          <w:lang w:val="en-US" w:eastAsia="zh-CN"/>
        </w:rPr>
        <w:t>《</w:t>
      </w:r>
      <w:r w:rsidRPr="006E3B9B">
        <w:rPr>
          <w:rFonts w:hint="eastAsia"/>
          <w:lang w:eastAsia="zh-CN"/>
        </w:rPr>
        <w:t>电信公约》和《专门机构特权与豁免公约》的不吻合之处：通信设施</w:t>
      </w:r>
      <w:r w:rsidRPr="006E3B9B">
        <w:rPr>
          <w:lang w:val="en-US" w:eastAsia="zh-CN"/>
        </w:rPr>
        <w:tab/>
      </w:r>
      <w:r w:rsidR="00057467">
        <w:rPr>
          <w:lang w:val="en-US" w:eastAsia="zh-CN"/>
        </w:rPr>
        <w:tab/>
      </w:r>
      <w:r w:rsidRPr="006E3B9B">
        <w:rPr>
          <w:lang w:val="en-US" w:eastAsia="zh-CN"/>
        </w:rPr>
        <w:t>1952</w:t>
      </w:r>
      <w:r w:rsidRPr="006E3B9B">
        <w:rPr>
          <w:rFonts w:hint="eastAsia"/>
          <w:lang w:val="en-US" w:eastAsia="zh-CN"/>
        </w:rPr>
        <w:t>年</w:t>
      </w:r>
    </w:p>
    <w:p w14:paraId="4827C27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83</w:t>
      </w:r>
      <w:r w:rsidRPr="006E3B9B">
        <w:rPr>
          <w:lang w:val="en-US" w:eastAsia="zh-CN"/>
        </w:rPr>
        <w:t>号决定</w:t>
      </w:r>
      <w:r w:rsidRPr="006E3B9B">
        <w:rPr>
          <w:lang w:val="en-US" w:eastAsia="zh-CN"/>
        </w:rPr>
        <w:tab/>
      </w:r>
      <w:r w:rsidRPr="006E3B9B">
        <w:rPr>
          <w:rFonts w:hint="eastAsia"/>
          <w:lang w:eastAsia="zh-CN"/>
        </w:rPr>
        <w:t>对多边公约采取的保留</w:t>
      </w:r>
      <w:r w:rsidRPr="006E3B9B">
        <w:rPr>
          <w:lang w:val="en-US" w:eastAsia="zh-CN"/>
        </w:rPr>
        <w:tab/>
      </w:r>
      <w:r w:rsidR="00057467">
        <w:rPr>
          <w:lang w:val="en-US" w:eastAsia="zh-CN"/>
        </w:rPr>
        <w:tab/>
      </w:r>
      <w:r w:rsidRPr="006E3B9B">
        <w:rPr>
          <w:lang w:val="en-US" w:eastAsia="zh-CN"/>
        </w:rPr>
        <w:t>1952</w:t>
      </w:r>
      <w:r w:rsidRPr="006E3B9B">
        <w:rPr>
          <w:rFonts w:hint="eastAsia"/>
          <w:lang w:val="en-US" w:eastAsia="zh-CN"/>
        </w:rPr>
        <w:t>年</w:t>
      </w:r>
    </w:p>
    <w:p w14:paraId="4827C27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84</w:t>
      </w:r>
      <w:r w:rsidRPr="006E3B9B">
        <w:rPr>
          <w:lang w:val="en-US" w:eastAsia="zh-CN"/>
        </w:rPr>
        <w:t>号决定</w:t>
      </w:r>
      <w:r w:rsidRPr="006E3B9B">
        <w:rPr>
          <w:lang w:val="en-US" w:eastAsia="zh-CN"/>
        </w:rPr>
        <w:tab/>
      </w:r>
      <w:r w:rsidRPr="006E3B9B">
        <w:rPr>
          <w:rFonts w:hint="eastAsia"/>
          <w:lang w:eastAsia="zh-CN"/>
        </w:rPr>
        <w:t>通过联合国电信网络传送的业务</w:t>
      </w:r>
      <w:r w:rsidRPr="006E3B9B">
        <w:rPr>
          <w:lang w:val="en-US" w:eastAsia="zh-CN"/>
        </w:rPr>
        <w:tab/>
      </w:r>
      <w:r w:rsidR="00057467">
        <w:rPr>
          <w:lang w:val="en-US" w:eastAsia="zh-CN"/>
        </w:rPr>
        <w:tab/>
      </w:r>
      <w:r w:rsidRPr="006E3B9B">
        <w:rPr>
          <w:lang w:val="en-US" w:eastAsia="zh-CN"/>
        </w:rPr>
        <w:t>1952</w:t>
      </w:r>
      <w:r w:rsidRPr="006E3B9B">
        <w:rPr>
          <w:rFonts w:hint="eastAsia"/>
          <w:lang w:val="en-US" w:eastAsia="zh-CN"/>
        </w:rPr>
        <w:t>年</w:t>
      </w:r>
    </w:p>
    <w:p w14:paraId="4827C27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85</w:t>
      </w:r>
      <w:r w:rsidRPr="006E3B9B">
        <w:rPr>
          <w:lang w:val="en-US" w:eastAsia="zh-CN"/>
        </w:rPr>
        <w:t>号决定</w:t>
      </w:r>
      <w:r w:rsidRPr="006E3B9B">
        <w:rPr>
          <w:lang w:val="en-US" w:eastAsia="zh-CN"/>
        </w:rPr>
        <w:tab/>
      </w:r>
      <w:r w:rsidRPr="006E3B9B">
        <w:rPr>
          <w:rFonts w:hint="eastAsia"/>
          <w:lang w:eastAsia="zh-CN"/>
        </w:rPr>
        <w:t>每年出版的综述电信发展的宣传册</w:t>
      </w:r>
      <w:r w:rsidRPr="006E3B9B">
        <w:rPr>
          <w:lang w:val="en-US" w:eastAsia="zh-CN"/>
        </w:rPr>
        <w:tab/>
      </w:r>
      <w:r w:rsidR="00057467">
        <w:rPr>
          <w:lang w:val="en-US" w:eastAsia="zh-CN"/>
        </w:rPr>
        <w:tab/>
      </w:r>
      <w:r w:rsidRPr="006E3B9B">
        <w:rPr>
          <w:lang w:val="en-US" w:eastAsia="zh-CN"/>
        </w:rPr>
        <w:t>1952</w:t>
      </w:r>
      <w:r w:rsidRPr="006E3B9B">
        <w:rPr>
          <w:rFonts w:hint="eastAsia"/>
          <w:lang w:val="en-US" w:eastAsia="zh-CN"/>
        </w:rPr>
        <w:t>年</w:t>
      </w:r>
    </w:p>
    <w:p w14:paraId="4827C27B"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86</w:t>
      </w:r>
      <w:r w:rsidRPr="006E3B9B">
        <w:rPr>
          <w:lang w:val="en-US" w:eastAsia="zh-CN"/>
        </w:rPr>
        <w:t>号决定</w:t>
      </w:r>
      <w:r w:rsidRPr="006E3B9B">
        <w:rPr>
          <w:lang w:val="en-US" w:eastAsia="zh-CN"/>
        </w:rPr>
        <w:tab/>
      </w:r>
      <w:r w:rsidRPr="006E3B9B">
        <w:rPr>
          <w:rFonts w:hint="eastAsia"/>
          <w:lang w:eastAsia="zh-CN"/>
        </w:rPr>
        <w:t>关于国际电联的组织机构以及常设机构的任务的宣传册草案</w:t>
      </w:r>
      <w:r w:rsidRPr="006E3B9B">
        <w:rPr>
          <w:lang w:val="en-US" w:eastAsia="zh-CN"/>
        </w:rPr>
        <w:tab/>
      </w:r>
      <w:r w:rsidR="00057467">
        <w:rPr>
          <w:lang w:val="en-US" w:eastAsia="zh-CN"/>
        </w:rPr>
        <w:tab/>
      </w:r>
      <w:r w:rsidRPr="006E3B9B">
        <w:rPr>
          <w:lang w:val="en-US" w:eastAsia="zh-CN"/>
        </w:rPr>
        <w:t>1952</w:t>
      </w:r>
      <w:r w:rsidRPr="006E3B9B">
        <w:rPr>
          <w:rFonts w:hint="eastAsia"/>
          <w:lang w:val="en-US" w:eastAsia="zh-CN"/>
        </w:rPr>
        <w:t>年</w:t>
      </w:r>
    </w:p>
    <w:p w14:paraId="4827C27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87</w:t>
      </w:r>
      <w:r w:rsidRPr="006E3B9B">
        <w:rPr>
          <w:lang w:val="en-US" w:eastAsia="zh-CN"/>
        </w:rPr>
        <w:t>号决定</w:t>
      </w:r>
      <w:r w:rsidRPr="006E3B9B">
        <w:rPr>
          <w:lang w:val="en-US" w:eastAsia="zh-CN"/>
        </w:rPr>
        <w:tab/>
      </w:r>
      <w:r w:rsidRPr="006E3B9B">
        <w:rPr>
          <w:rFonts w:hint="eastAsia"/>
          <w:lang w:eastAsia="zh-CN"/>
        </w:rPr>
        <w:t>设立一个国际计算中心</w:t>
      </w:r>
      <w:r w:rsidRPr="006E3B9B">
        <w:rPr>
          <w:lang w:val="en-US" w:eastAsia="zh-CN"/>
        </w:rPr>
        <w:tab/>
      </w:r>
      <w:r w:rsidR="00057467">
        <w:rPr>
          <w:lang w:val="en-US" w:eastAsia="zh-CN"/>
        </w:rPr>
        <w:tab/>
      </w:r>
      <w:r w:rsidRPr="006E3B9B">
        <w:rPr>
          <w:lang w:val="en-US" w:eastAsia="zh-CN"/>
        </w:rPr>
        <w:t>1964</w:t>
      </w:r>
      <w:r w:rsidRPr="006E3B9B">
        <w:rPr>
          <w:rFonts w:hint="eastAsia"/>
          <w:lang w:val="en-US" w:eastAsia="zh-CN"/>
        </w:rPr>
        <w:t>年</w:t>
      </w:r>
    </w:p>
    <w:p w14:paraId="4827C27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88</w:t>
      </w:r>
      <w:r w:rsidRPr="006E3B9B">
        <w:rPr>
          <w:lang w:val="en-US" w:eastAsia="zh-CN"/>
        </w:rPr>
        <w:t>号决定</w:t>
      </w:r>
      <w:r w:rsidRPr="006E3B9B">
        <w:rPr>
          <w:lang w:val="en-US" w:eastAsia="zh-CN"/>
        </w:rPr>
        <w:tab/>
      </w:r>
      <w:r w:rsidRPr="006E3B9B">
        <w:rPr>
          <w:rFonts w:hint="eastAsia"/>
          <w:lang w:eastAsia="zh-CN"/>
        </w:rPr>
        <w:t>用俄文出版国际电联成员国向布宜诺斯艾利斯全权代表大会提交的提案</w:t>
      </w:r>
      <w:r w:rsidRPr="006E3B9B">
        <w:rPr>
          <w:lang w:val="en-US" w:eastAsia="zh-CN"/>
        </w:rPr>
        <w:tab/>
      </w:r>
      <w:r w:rsidR="00057467">
        <w:rPr>
          <w:lang w:val="en-US" w:eastAsia="zh-CN"/>
        </w:rPr>
        <w:tab/>
      </w:r>
      <w:r w:rsidRPr="006E3B9B">
        <w:rPr>
          <w:lang w:val="en-US" w:eastAsia="zh-CN"/>
        </w:rPr>
        <w:t>1952</w:t>
      </w:r>
      <w:r w:rsidRPr="006E3B9B">
        <w:rPr>
          <w:rFonts w:hint="eastAsia"/>
          <w:lang w:val="en-US" w:eastAsia="zh-CN"/>
        </w:rPr>
        <w:t>年</w:t>
      </w:r>
    </w:p>
    <w:p w14:paraId="4827C27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89</w:t>
      </w:r>
      <w:r w:rsidRPr="006E3B9B">
        <w:rPr>
          <w:lang w:val="en-US" w:eastAsia="zh-CN"/>
        </w:rPr>
        <w:t>号决定</w:t>
      </w:r>
      <w:r w:rsidRPr="006E3B9B">
        <w:rPr>
          <w:lang w:val="en-US" w:eastAsia="zh-CN"/>
        </w:rPr>
        <w:tab/>
      </w:r>
      <w:r w:rsidRPr="006E3B9B">
        <w:rPr>
          <w:rFonts w:hint="eastAsia"/>
          <w:lang w:eastAsia="zh-CN"/>
        </w:rPr>
        <w:t>关于在布宜诺斯艾利斯全权代表大会上使用五种正式语文的提案</w:t>
      </w:r>
      <w:r w:rsidRPr="006E3B9B">
        <w:rPr>
          <w:lang w:val="en-US" w:eastAsia="zh-CN"/>
        </w:rPr>
        <w:tab/>
      </w:r>
      <w:r w:rsidR="00057467">
        <w:rPr>
          <w:lang w:val="en-US" w:eastAsia="zh-CN"/>
        </w:rPr>
        <w:tab/>
      </w:r>
      <w:r w:rsidRPr="006E3B9B">
        <w:rPr>
          <w:lang w:val="en-US" w:eastAsia="zh-CN"/>
        </w:rPr>
        <w:t>1952</w:t>
      </w:r>
      <w:r w:rsidRPr="006E3B9B">
        <w:rPr>
          <w:rFonts w:hint="eastAsia"/>
          <w:lang w:val="en-US" w:eastAsia="zh-CN"/>
        </w:rPr>
        <w:t>年</w:t>
      </w:r>
    </w:p>
    <w:p w14:paraId="4827C27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90</w:t>
      </w:r>
      <w:r w:rsidRPr="006E3B9B">
        <w:rPr>
          <w:lang w:val="en-US" w:eastAsia="zh-CN"/>
        </w:rPr>
        <w:t>号决定</w:t>
      </w:r>
      <w:r w:rsidRPr="006E3B9B">
        <w:rPr>
          <w:lang w:val="en-US" w:eastAsia="zh-CN"/>
        </w:rPr>
        <w:tab/>
      </w:r>
      <w:r w:rsidRPr="006E3B9B">
        <w:rPr>
          <w:rFonts w:hint="eastAsia"/>
          <w:lang w:eastAsia="zh-CN"/>
        </w:rPr>
        <w:t>向代表免费分发</w:t>
      </w:r>
      <w:r w:rsidRPr="006E3B9B">
        <w:rPr>
          <w:lang w:eastAsia="zh-CN"/>
        </w:rPr>
        <w:t>特别无线电行政大会</w:t>
      </w:r>
      <w:r w:rsidRPr="006E3B9B">
        <w:rPr>
          <w:rFonts w:hint="eastAsia"/>
          <w:lang w:eastAsia="zh-CN"/>
        </w:rPr>
        <w:t>的最后文件</w:t>
      </w:r>
      <w:r w:rsidRPr="006E3B9B">
        <w:rPr>
          <w:lang w:val="en-US" w:eastAsia="zh-CN"/>
        </w:rPr>
        <w:tab/>
      </w:r>
      <w:r w:rsidR="00057467">
        <w:rPr>
          <w:lang w:val="en-US" w:eastAsia="zh-CN"/>
        </w:rPr>
        <w:tab/>
      </w:r>
      <w:r w:rsidRPr="006E3B9B">
        <w:rPr>
          <w:lang w:val="en-US" w:eastAsia="zh-CN"/>
        </w:rPr>
        <w:t>1952</w:t>
      </w:r>
      <w:r w:rsidRPr="006E3B9B">
        <w:rPr>
          <w:rFonts w:hint="eastAsia"/>
          <w:lang w:val="en-US" w:eastAsia="zh-CN"/>
        </w:rPr>
        <w:t>年</w:t>
      </w:r>
    </w:p>
    <w:p w14:paraId="4827C28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91</w:t>
      </w:r>
      <w:r w:rsidRPr="006E3B9B">
        <w:rPr>
          <w:lang w:val="en-US" w:eastAsia="zh-CN"/>
        </w:rPr>
        <w:t>号决定</w:t>
      </w:r>
      <w:r w:rsidRPr="006E3B9B">
        <w:rPr>
          <w:lang w:val="en-US" w:eastAsia="zh-CN"/>
        </w:rPr>
        <w:tab/>
      </w:r>
      <w:r w:rsidRPr="006E3B9B">
        <w:rPr>
          <w:rFonts w:hint="eastAsia"/>
          <w:lang w:eastAsia="zh-CN"/>
        </w:rPr>
        <w:t>在荷兰召开的</w:t>
      </w:r>
      <w:r w:rsidRPr="006E3B9B">
        <w:rPr>
          <w:lang w:eastAsia="zh-CN"/>
        </w:rPr>
        <w:t>国际电报咨询委员会</w:t>
      </w:r>
      <w:r w:rsidRPr="006E3B9B">
        <w:rPr>
          <w:rFonts w:hint="eastAsia"/>
          <w:lang w:eastAsia="zh-CN"/>
        </w:rPr>
        <w:t>全体会议</w:t>
      </w:r>
      <w:r w:rsidRPr="006E3B9B">
        <w:rPr>
          <w:lang w:val="en-US" w:eastAsia="zh-CN"/>
        </w:rPr>
        <w:tab/>
      </w:r>
      <w:r w:rsidR="00057467">
        <w:rPr>
          <w:lang w:val="en-US" w:eastAsia="zh-CN"/>
        </w:rPr>
        <w:tab/>
      </w:r>
      <w:r w:rsidRPr="006E3B9B">
        <w:rPr>
          <w:lang w:val="en-US" w:eastAsia="zh-CN"/>
        </w:rPr>
        <w:t>1952</w:t>
      </w:r>
      <w:r w:rsidRPr="006E3B9B">
        <w:rPr>
          <w:rFonts w:hint="eastAsia"/>
          <w:lang w:val="en-US" w:eastAsia="zh-CN"/>
        </w:rPr>
        <w:t>年</w:t>
      </w:r>
    </w:p>
    <w:p w14:paraId="4827C28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92</w:t>
      </w:r>
      <w:r w:rsidRPr="006E3B9B">
        <w:rPr>
          <w:lang w:val="en-US" w:eastAsia="zh-CN"/>
        </w:rPr>
        <w:t>号决定</w:t>
      </w:r>
      <w:r w:rsidRPr="006E3B9B">
        <w:rPr>
          <w:lang w:val="en-US" w:eastAsia="zh-CN"/>
        </w:rPr>
        <w:tab/>
      </w:r>
      <w:r w:rsidRPr="006E3B9B">
        <w:rPr>
          <w:rFonts w:hint="eastAsia"/>
          <w:lang w:eastAsia="zh-CN"/>
        </w:rPr>
        <w:t>国际电联职员和联合国及其他专门机构职员状况的比较</w:t>
      </w:r>
      <w:r w:rsidRPr="006E3B9B">
        <w:rPr>
          <w:lang w:val="en-US" w:eastAsia="zh-CN"/>
        </w:rPr>
        <w:tab/>
      </w:r>
      <w:r w:rsidR="00057467">
        <w:rPr>
          <w:lang w:val="en-US" w:eastAsia="zh-CN"/>
        </w:rPr>
        <w:tab/>
      </w:r>
      <w:r w:rsidRPr="006E3B9B">
        <w:rPr>
          <w:lang w:val="en-US" w:eastAsia="zh-CN"/>
        </w:rPr>
        <w:t>1952</w:t>
      </w:r>
      <w:r w:rsidRPr="006E3B9B">
        <w:rPr>
          <w:rFonts w:hint="eastAsia"/>
          <w:lang w:val="en-US" w:eastAsia="zh-CN"/>
        </w:rPr>
        <w:t>年</w:t>
      </w:r>
    </w:p>
    <w:p w14:paraId="4827C28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93</w:t>
      </w:r>
      <w:r w:rsidRPr="006E3B9B">
        <w:rPr>
          <w:lang w:val="en-US" w:eastAsia="zh-CN"/>
        </w:rPr>
        <w:t>号决定</w:t>
      </w:r>
      <w:r w:rsidRPr="006E3B9B">
        <w:rPr>
          <w:lang w:val="en-US" w:eastAsia="zh-CN"/>
        </w:rPr>
        <w:tab/>
      </w:r>
      <w:r w:rsidRPr="006E3B9B">
        <w:rPr>
          <w:rFonts w:hint="eastAsia"/>
          <w:lang w:eastAsia="zh-CN"/>
        </w:rPr>
        <w:t>对</w:t>
      </w:r>
      <w:r w:rsidRPr="006E3B9B">
        <w:rPr>
          <w:lang w:eastAsia="zh-CN"/>
        </w:rPr>
        <w:t>1948</w:t>
      </w:r>
      <w:r w:rsidRPr="006E3B9B">
        <w:rPr>
          <w:rFonts w:hint="eastAsia"/>
          <w:lang w:eastAsia="zh-CN"/>
        </w:rPr>
        <w:t>年至</w:t>
      </w:r>
      <w:r w:rsidRPr="006E3B9B">
        <w:rPr>
          <w:lang w:eastAsia="zh-CN"/>
        </w:rPr>
        <w:t>1952</w:t>
      </w:r>
      <w:r w:rsidRPr="006E3B9B">
        <w:rPr>
          <w:rFonts w:hint="eastAsia"/>
          <w:lang w:eastAsia="zh-CN"/>
        </w:rPr>
        <w:t>年瑞士价格波动的研究</w:t>
      </w:r>
      <w:r w:rsidRPr="006E3B9B">
        <w:rPr>
          <w:lang w:val="en-US" w:eastAsia="zh-CN"/>
        </w:rPr>
        <w:tab/>
      </w:r>
      <w:r w:rsidR="00057467">
        <w:rPr>
          <w:lang w:val="en-US" w:eastAsia="zh-CN"/>
        </w:rPr>
        <w:tab/>
      </w:r>
      <w:r w:rsidRPr="006E3B9B">
        <w:rPr>
          <w:lang w:val="en-US" w:eastAsia="zh-CN"/>
        </w:rPr>
        <w:t>1952</w:t>
      </w:r>
      <w:r w:rsidRPr="006E3B9B">
        <w:rPr>
          <w:rFonts w:hint="eastAsia"/>
          <w:lang w:val="en-US" w:eastAsia="zh-CN"/>
        </w:rPr>
        <w:t>年</w:t>
      </w:r>
    </w:p>
    <w:p w14:paraId="4827C28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94</w:t>
      </w:r>
      <w:r w:rsidRPr="006E3B9B">
        <w:rPr>
          <w:lang w:val="en-US" w:eastAsia="zh-CN"/>
        </w:rPr>
        <w:t>号决定</w:t>
      </w:r>
      <w:r w:rsidRPr="006E3B9B">
        <w:rPr>
          <w:lang w:val="en-US" w:eastAsia="zh-CN"/>
        </w:rPr>
        <w:tab/>
      </w:r>
      <w:r w:rsidRPr="006E3B9B">
        <w:rPr>
          <w:lang w:eastAsia="zh-CN"/>
        </w:rPr>
        <w:t>1951</w:t>
      </w:r>
      <w:r w:rsidRPr="006E3B9B">
        <w:rPr>
          <w:rFonts w:hint="eastAsia"/>
          <w:lang w:eastAsia="zh-CN"/>
        </w:rPr>
        <w:t>年国际电联职员退休和福利基金的管理报告</w:t>
      </w:r>
      <w:r w:rsidRPr="006E3B9B">
        <w:rPr>
          <w:lang w:val="en-US" w:eastAsia="zh-CN"/>
        </w:rPr>
        <w:tab/>
      </w:r>
      <w:r w:rsidR="00057467">
        <w:rPr>
          <w:lang w:val="en-US" w:eastAsia="zh-CN"/>
        </w:rPr>
        <w:tab/>
      </w:r>
      <w:r w:rsidRPr="006E3B9B">
        <w:rPr>
          <w:lang w:val="en-US" w:eastAsia="zh-CN"/>
        </w:rPr>
        <w:t>1952</w:t>
      </w:r>
      <w:r w:rsidRPr="006E3B9B">
        <w:rPr>
          <w:rFonts w:hint="eastAsia"/>
          <w:lang w:val="en-US" w:eastAsia="zh-CN"/>
        </w:rPr>
        <w:t>年</w:t>
      </w:r>
    </w:p>
    <w:p w14:paraId="4827C28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95</w:t>
      </w:r>
      <w:r w:rsidRPr="006E3B9B">
        <w:rPr>
          <w:lang w:val="en-US" w:eastAsia="zh-CN"/>
        </w:rPr>
        <w:t>号决定</w:t>
      </w:r>
      <w:r w:rsidRPr="006E3B9B">
        <w:rPr>
          <w:lang w:val="en-US" w:eastAsia="zh-CN"/>
        </w:rPr>
        <w:tab/>
      </w:r>
      <w:r w:rsidRPr="006E3B9B">
        <w:rPr>
          <w:rFonts w:hint="eastAsia"/>
          <w:lang w:eastAsia="zh-CN"/>
        </w:rPr>
        <w:t>指定</w:t>
      </w:r>
      <w:r w:rsidRPr="006E3B9B">
        <w:rPr>
          <w:lang w:eastAsia="zh-CN"/>
        </w:rPr>
        <w:t>国际咨询委员会</w:t>
      </w:r>
      <w:r w:rsidRPr="006E3B9B">
        <w:rPr>
          <w:rFonts w:hint="eastAsia"/>
          <w:lang w:eastAsia="zh-CN"/>
        </w:rPr>
        <w:t>正副主任为职员退休和福利基金管理委员会委员</w:t>
      </w:r>
      <w:r w:rsidRPr="006E3B9B">
        <w:rPr>
          <w:lang w:val="en-US" w:eastAsia="zh-CN"/>
        </w:rPr>
        <w:tab/>
      </w:r>
      <w:r w:rsidR="00057467">
        <w:rPr>
          <w:lang w:val="en-US" w:eastAsia="zh-CN"/>
        </w:rPr>
        <w:tab/>
      </w:r>
      <w:r w:rsidRPr="006E3B9B">
        <w:rPr>
          <w:lang w:val="en-US" w:eastAsia="zh-CN"/>
        </w:rPr>
        <w:t>1954</w:t>
      </w:r>
      <w:r w:rsidRPr="006E3B9B">
        <w:rPr>
          <w:rFonts w:hint="eastAsia"/>
          <w:lang w:val="en-US" w:eastAsia="zh-CN"/>
        </w:rPr>
        <w:t>年</w:t>
      </w:r>
    </w:p>
    <w:p w14:paraId="4827C28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96</w:t>
      </w:r>
      <w:r w:rsidRPr="006E3B9B">
        <w:rPr>
          <w:lang w:val="en-US" w:eastAsia="zh-CN"/>
        </w:rPr>
        <w:t>号决定</w:t>
      </w:r>
      <w:r w:rsidRPr="006E3B9B">
        <w:rPr>
          <w:lang w:val="en-US" w:eastAsia="zh-CN"/>
        </w:rPr>
        <w:tab/>
      </w:r>
      <w:r w:rsidRPr="006E3B9B">
        <w:rPr>
          <w:rFonts w:hint="eastAsia"/>
          <w:lang w:eastAsia="zh-CN"/>
        </w:rPr>
        <w:t>国际电联成为国际劳工组织行政法庭的成员</w:t>
      </w:r>
      <w:r w:rsidRPr="006E3B9B">
        <w:rPr>
          <w:lang w:val="en-US" w:eastAsia="zh-CN"/>
        </w:rPr>
        <w:tab/>
      </w:r>
      <w:r w:rsidR="00057467">
        <w:rPr>
          <w:lang w:val="en-US" w:eastAsia="zh-CN"/>
        </w:rPr>
        <w:tab/>
      </w:r>
      <w:r w:rsidRPr="006E3B9B">
        <w:rPr>
          <w:lang w:val="en-US" w:eastAsia="zh-CN"/>
        </w:rPr>
        <w:t>1952</w:t>
      </w:r>
      <w:r w:rsidRPr="006E3B9B">
        <w:rPr>
          <w:rFonts w:hint="eastAsia"/>
          <w:lang w:val="en-US" w:eastAsia="zh-CN"/>
        </w:rPr>
        <w:t>年</w:t>
      </w:r>
    </w:p>
    <w:p w14:paraId="4827C28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97</w:t>
      </w:r>
      <w:r w:rsidRPr="006E3B9B">
        <w:rPr>
          <w:lang w:val="en-US" w:eastAsia="zh-CN"/>
        </w:rPr>
        <w:t>号决定</w:t>
      </w:r>
      <w:r w:rsidRPr="006E3B9B">
        <w:rPr>
          <w:lang w:val="en-US" w:eastAsia="zh-CN"/>
        </w:rPr>
        <w:tab/>
      </w:r>
      <w:r w:rsidRPr="006E3B9B">
        <w:rPr>
          <w:lang w:eastAsia="zh-CN"/>
        </w:rPr>
        <w:t>国际电话咨询委员会</w:t>
      </w:r>
      <w:r w:rsidRPr="006E3B9B">
        <w:rPr>
          <w:rFonts w:hint="eastAsia"/>
          <w:lang w:eastAsia="zh-CN"/>
        </w:rPr>
        <w:t>储备金的使用</w:t>
      </w:r>
      <w:r w:rsidRPr="006E3B9B">
        <w:rPr>
          <w:lang w:val="en-US" w:eastAsia="zh-CN"/>
        </w:rPr>
        <w:tab/>
      </w:r>
      <w:r w:rsidR="00057467">
        <w:rPr>
          <w:lang w:val="en-US" w:eastAsia="zh-CN"/>
        </w:rPr>
        <w:tab/>
      </w:r>
      <w:r w:rsidRPr="006E3B9B">
        <w:rPr>
          <w:lang w:val="en-US" w:eastAsia="zh-CN"/>
        </w:rPr>
        <w:t>1954</w:t>
      </w:r>
      <w:r w:rsidRPr="006E3B9B">
        <w:rPr>
          <w:rFonts w:hint="eastAsia"/>
          <w:lang w:val="en-US" w:eastAsia="zh-CN"/>
        </w:rPr>
        <w:t>年</w:t>
      </w:r>
    </w:p>
    <w:p w14:paraId="4827C28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98</w:t>
      </w:r>
      <w:r w:rsidRPr="006E3B9B">
        <w:rPr>
          <w:lang w:val="en-US" w:eastAsia="zh-CN"/>
        </w:rPr>
        <w:t>号决定</w:t>
      </w:r>
      <w:r w:rsidRPr="006E3B9B">
        <w:rPr>
          <w:lang w:val="en-US" w:eastAsia="zh-CN"/>
        </w:rPr>
        <w:tab/>
      </w:r>
      <w:r w:rsidRPr="006E3B9B">
        <w:rPr>
          <w:rFonts w:hint="eastAsia"/>
          <w:lang w:val="fr-FR" w:eastAsia="zh-CN"/>
        </w:rPr>
        <w:t>专利</w:t>
      </w:r>
      <w:r w:rsidR="00057467">
        <w:rPr>
          <w:lang w:val="fr-FR" w:eastAsia="zh-CN"/>
        </w:rPr>
        <w:tab/>
      </w:r>
      <w:r w:rsidRPr="006E3B9B">
        <w:rPr>
          <w:lang w:val="en-US" w:eastAsia="zh-CN"/>
        </w:rPr>
        <w:tab/>
        <w:t>1952</w:t>
      </w:r>
      <w:r w:rsidRPr="006E3B9B">
        <w:rPr>
          <w:rFonts w:hint="eastAsia"/>
          <w:lang w:val="en-US" w:eastAsia="zh-CN"/>
        </w:rPr>
        <w:t>年</w:t>
      </w:r>
    </w:p>
    <w:p w14:paraId="4827C28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99</w:t>
      </w:r>
      <w:r w:rsidRPr="006E3B9B">
        <w:rPr>
          <w:lang w:val="en-US" w:eastAsia="zh-CN"/>
        </w:rPr>
        <w:t>号决定</w:t>
      </w:r>
      <w:r w:rsidRPr="006E3B9B">
        <w:rPr>
          <w:lang w:val="en-US" w:eastAsia="zh-CN"/>
        </w:rPr>
        <w:tab/>
      </w:r>
      <w:r w:rsidRPr="006E3B9B">
        <w:rPr>
          <w:rFonts w:hint="eastAsia"/>
          <w:lang w:eastAsia="zh-CN"/>
        </w:rPr>
        <w:t>理事会向全权代表大会提交的报告的出版</w:t>
      </w:r>
      <w:r w:rsidRPr="006E3B9B">
        <w:rPr>
          <w:lang w:val="en-US" w:eastAsia="zh-CN"/>
        </w:rPr>
        <w:tab/>
      </w:r>
      <w:r w:rsidR="00057467">
        <w:rPr>
          <w:lang w:val="en-US" w:eastAsia="zh-CN"/>
        </w:rPr>
        <w:tab/>
      </w:r>
      <w:r w:rsidRPr="006E3B9B">
        <w:rPr>
          <w:lang w:val="en-US" w:eastAsia="zh-CN"/>
        </w:rPr>
        <w:t>1952</w:t>
      </w:r>
      <w:r w:rsidRPr="006E3B9B">
        <w:rPr>
          <w:rFonts w:hint="eastAsia"/>
          <w:lang w:val="en-US" w:eastAsia="zh-CN"/>
        </w:rPr>
        <w:t>年</w:t>
      </w:r>
    </w:p>
    <w:p w14:paraId="4827C28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100</w:t>
      </w:r>
      <w:r w:rsidRPr="006E3B9B">
        <w:rPr>
          <w:lang w:val="en-US" w:eastAsia="zh-CN"/>
        </w:rPr>
        <w:t>号决定</w:t>
      </w:r>
      <w:r w:rsidRPr="006E3B9B">
        <w:rPr>
          <w:lang w:val="en-US" w:eastAsia="zh-CN"/>
        </w:rPr>
        <w:tab/>
      </w:r>
      <w:r w:rsidRPr="006E3B9B">
        <w:rPr>
          <w:rFonts w:hint="eastAsia"/>
          <w:lang w:eastAsia="zh-CN"/>
        </w:rPr>
        <w:t>第</w:t>
      </w:r>
      <w:r w:rsidRPr="006E3B9B">
        <w:rPr>
          <w:lang w:eastAsia="zh-CN"/>
        </w:rPr>
        <w:t>7</w:t>
      </w:r>
      <w:r w:rsidRPr="006E3B9B">
        <w:rPr>
          <w:rFonts w:hint="eastAsia"/>
          <w:lang w:eastAsia="zh-CN"/>
        </w:rPr>
        <w:t>届会议结束时的未决问题</w:t>
      </w:r>
      <w:r w:rsidRPr="006E3B9B">
        <w:rPr>
          <w:lang w:val="en-US" w:eastAsia="zh-CN"/>
        </w:rPr>
        <w:tab/>
      </w:r>
      <w:r w:rsidR="00057467">
        <w:rPr>
          <w:lang w:val="en-US" w:eastAsia="zh-CN"/>
        </w:rPr>
        <w:tab/>
      </w:r>
      <w:r w:rsidRPr="006E3B9B">
        <w:rPr>
          <w:lang w:val="en-US" w:eastAsia="zh-CN"/>
        </w:rPr>
        <w:t>1952</w:t>
      </w:r>
      <w:r w:rsidRPr="006E3B9B">
        <w:rPr>
          <w:rFonts w:hint="eastAsia"/>
          <w:lang w:val="en-US" w:eastAsia="zh-CN"/>
        </w:rPr>
        <w:t>年</w:t>
      </w:r>
    </w:p>
    <w:p w14:paraId="4827C28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101</w:t>
      </w:r>
      <w:r w:rsidRPr="006E3B9B">
        <w:rPr>
          <w:lang w:val="en-US" w:eastAsia="zh-CN"/>
        </w:rPr>
        <w:t>号决定</w:t>
      </w:r>
      <w:r w:rsidRPr="006E3B9B">
        <w:rPr>
          <w:lang w:val="en-US" w:eastAsia="zh-CN"/>
        </w:rPr>
        <w:tab/>
      </w:r>
      <w:r w:rsidRPr="006E3B9B">
        <w:rPr>
          <w:lang w:eastAsia="zh-CN"/>
        </w:rPr>
        <w:t>特别行政无线电大会</w:t>
      </w:r>
      <w:r w:rsidRPr="006E3B9B">
        <w:rPr>
          <w:rFonts w:hint="eastAsia"/>
          <w:lang w:eastAsia="zh-CN"/>
        </w:rPr>
        <w:t>协议中值得理事会特别关注的内容</w:t>
      </w:r>
      <w:r w:rsidRPr="006E3B9B">
        <w:rPr>
          <w:lang w:val="en-US" w:eastAsia="zh-CN"/>
        </w:rPr>
        <w:tab/>
      </w:r>
      <w:r w:rsidR="00057467">
        <w:rPr>
          <w:lang w:val="en-US" w:eastAsia="zh-CN"/>
        </w:rPr>
        <w:tab/>
      </w:r>
      <w:r w:rsidRPr="006E3B9B">
        <w:rPr>
          <w:lang w:val="en-US" w:eastAsia="zh-CN"/>
        </w:rPr>
        <w:t>1964</w:t>
      </w:r>
      <w:r w:rsidRPr="006E3B9B">
        <w:rPr>
          <w:rFonts w:hint="eastAsia"/>
          <w:lang w:val="en-US" w:eastAsia="zh-CN"/>
        </w:rPr>
        <w:t>年</w:t>
      </w:r>
    </w:p>
    <w:p w14:paraId="4827C28B"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102</w:t>
      </w:r>
      <w:r w:rsidRPr="006E3B9B">
        <w:rPr>
          <w:lang w:val="en-US" w:eastAsia="zh-CN"/>
        </w:rPr>
        <w:t>号决定</w:t>
      </w:r>
      <w:r w:rsidRPr="006E3B9B">
        <w:rPr>
          <w:lang w:val="en-US" w:eastAsia="zh-CN"/>
        </w:rPr>
        <w:tab/>
      </w:r>
      <w:r w:rsidRPr="006E3B9B">
        <w:rPr>
          <w:rFonts w:hint="eastAsia"/>
          <w:lang w:eastAsia="zh-CN"/>
        </w:rPr>
        <w:t>废止下列决议：第</w:t>
      </w:r>
      <w:r w:rsidRPr="006E3B9B">
        <w:rPr>
          <w:lang w:eastAsia="zh-CN"/>
        </w:rPr>
        <w:t>154</w:t>
      </w:r>
      <w:r w:rsidRPr="006E3B9B">
        <w:rPr>
          <w:rFonts w:hint="eastAsia"/>
          <w:lang w:eastAsia="zh-CN"/>
        </w:rPr>
        <w:t>、</w:t>
      </w:r>
      <w:r w:rsidRPr="006E3B9B">
        <w:rPr>
          <w:lang w:eastAsia="zh-CN"/>
        </w:rPr>
        <w:t>156</w:t>
      </w:r>
      <w:r w:rsidRPr="006E3B9B">
        <w:rPr>
          <w:rFonts w:hint="eastAsia"/>
          <w:lang w:eastAsia="zh-CN"/>
        </w:rPr>
        <w:t>（修正版）、</w:t>
      </w:r>
      <w:r w:rsidRPr="006E3B9B">
        <w:rPr>
          <w:lang w:eastAsia="zh-CN"/>
        </w:rPr>
        <w:t>199</w:t>
      </w:r>
      <w:r w:rsidRPr="006E3B9B">
        <w:rPr>
          <w:rFonts w:hint="eastAsia"/>
          <w:lang w:eastAsia="zh-CN"/>
        </w:rPr>
        <w:t>、</w:t>
      </w:r>
      <w:r w:rsidRPr="006E3B9B">
        <w:rPr>
          <w:lang w:eastAsia="zh-CN"/>
        </w:rPr>
        <w:t>200</w:t>
      </w:r>
      <w:r w:rsidRPr="006E3B9B">
        <w:rPr>
          <w:rFonts w:hint="eastAsia"/>
          <w:lang w:eastAsia="zh-CN"/>
        </w:rPr>
        <w:t>、</w:t>
      </w:r>
      <w:r w:rsidRPr="006E3B9B">
        <w:rPr>
          <w:lang w:eastAsia="zh-CN"/>
        </w:rPr>
        <w:t>201</w:t>
      </w:r>
      <w:r w:rsidRPr="006E3B9B">
        <w:rPr>
          <w:rFonts w:hint="eastAsia"/>
          <w:lang w:eastAsia="zh-CN"/>
        </w:rPr>
        <w:t>、</w:t>
      </w:r>
      <w:r w:rsidRPr="006E3B9B">
        <w:rPr>
          <w:lang w:eastAsia="zh-CN"/>
        </w:rPr>
        <w:t>202</w:t>
      </w:r>
      <w:r w:rsidRPr="006E3B9B">
        <w:rPr>
          <w:rFonts w:hint="eastAsia"/>
          <w:lang w:eastAsia="zh-CN"/>
        </w:rPr>
        <w:t>、</w:t>
      </w:r>
      <w:r w:rsidRPr="006E3B9B">
        <w:rPr>
          <w:lang w:eastAsia="zh-CN"/>
        </w:rPr>
        <w:t>206</w:t>
      </w:r>
      <w:r w:rsidRPr="006E3B9B">
        <w:rPr>
          <w:rFonts w:hint="eastAsia"/>
          <w:lang w:eastAsia="zh-CN"/>
        </w:rPr>
        <w:t>、</w:t>
      </w:r>
      <w:r w:rsidRPr="006E3B9B">
        <w:rPr>
          <w:lang w:eastAsia="zh-CN"/>
        </w:rPr>
        <w:t>228</w:t>
      </w:r>
      <w:r w:rsidRPr="006E3B9B">
        <w:rPr>
          <w:rFonts w:hint="eastAsia"/>
          <w:lang w:eastAsia="zh-CN"/>
        </w:rPr>
        <w:br/>
      </w:r>
      <w:r w:rsidRPr="006E3B9B">
        <w:rPr>
          <w:rFonts w:hint="eastAsia"/>
          <w:lang w:eastAsia="zh-CN"/>
        </w:rPr>
        <w:t>和</w:t>
      </w:r>
      <w:r w:rsidRPr="006E3B9B">
        <w:rPr>
          <w:lang w:eastAsia="zh-CN"/>
        </w:rPr>
        <w:t>229</w:t>
      </w:r>
      <w:r w:rsidRPr="006E3B9B">
        <w:rPr>
          <w:rFonts w:hint="eastAsia"/>
          <w:lang w:eastAsia="zh-CN"/>
        </w:rPr>
        <w:t>号决议</w:t>
      </w:r>
      <w:r w:rsidRPr="006E3B9B">
        <w:rPr>
          <w:lang w:val="en-US" w:eastAsia="zh-CN"/>
        </w:rPr>
        <w:tab/>
      </w:r>
      <w:r w:rsidR="00057467">
        <w:rPr>
          <w:lang w:val="en-US" w:eastAsia="zh-CN"/>
        </w:rPr>
        <w:tab/>
      </w:r>
      <w:r w:rsidRPr="006E3B9B">
        <w:rPr>
          <w:lang w:val="en-US" w:eastAsia="zh-CN"/>
        </w:rPr>
        <w:t>1952</w:t>
      </w:r>
      <w:r w:rsidRPr="006E3B9B">
        <w:rPr>
          <w:rFonts w:hint="eastAsia"/>
          <w:lang w:val="en-US" w:eastAsia="zh-CN"/>
        </w:rPr>
        <w:t>年</w:t>
      </w:r>
    </w:p>
    <w:p w14:paraId="4827C28C" w14:textId="77777777" w:rsidR="00091112" w:rsidRDefault="00091112">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4827C28D" w14:textId="77777777" w:rsidR="006E3B9B" w:rsidRPr="006E3B9B" w:rsidRDefault="006E3B9B" w:rsidP="004E1793">
      <w:pPr>
        <w:pStyle w:val="Reftitle"/>
        <w:rPr>
          <w:lang w:val="en-US" w:eastAsia="zh-CN"/>
        </w:rPr>
      </w:pPr>
      <w:r w:rsidRPr="006E3B9B">
        <w:rPr>
          <w:rFonts w:hint="eastAsia"/>
          <w:lang w:eastAsia="zh-CN"/>
        </w:rPr>
        <w:lastRenderedPageBreak/>
        <w:t>第</w:t>
      </w:r>
      <w:r w:rsidRPr="006E3B9B">
        <w:rPr>
          <w:lang w:eastAsia="zh-CN"/>
        </w:rPr>
        <w:t>8</w:t>
      </w:r>
      <w:r w:rsidRPr="006E3B9B">
        <w:rPr>
          <w:rFonts w:hint="eastAsia"/>
          <w:lang w:eastAsia="zh-CN"/>
        </w:rPr>
        <w:t>届会议（</w:t>
      </w:r>
      <w:r w:rsidRPr="006E3B9B">
        <w:rPr>
          <w:lang w:eastAsia="zh-CN"/>
        </w:rPr>
        <w:t>1953</w:t>
      </w:r>
      <w:r w:rsidRPr="006E3B9B">
        <w:rPr>
          <w:rFonts w:hint="eastAsia"/>
          <w:lang w:eastAsia="zh-CN"/>
        </w:rPr>
        <w:t>年</w:t>
      </w:r>
      <w:r w:rsidRPr="006E3B9B">
        <w:rPr>
          <w:lang w:eastAsia="zh-CN"/>
        </w:rPr>
        <w:t>5</w:t>
      </w:r>
      <w:r w:rsidRPr="006E3B9B">
        <w:rPr>
          <w:rFonts w:hint="eastAsia"/>
          <w:lang w:eastAsia="zh-CN"/>
        </w:rPr>
        <w:t>月</w:t>
      </w:r>
      <w:r w:rsidRPr="006E3B9B">
        <w:rPr>
          <w:lang w:eastAsia="zh-CN"/>
        </w:rPr>
        <w:t>-6</w:t>
      </w:r>
      <w:r w:rsidRPr="006E3B9B">
        <w:rPr>
          <w:rFonts w:hint="eastAsia"/>
          <w:lang w:eastAsia="zh-CN"/>
        </w:rPr>
        <w:t>月）</w:t>
      </w:r>
    </w:p>
    <w:p w14:paraId="4827C28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103</w:t>
      </w:r>
      <w:r w:rsidRPr="006E3B9B">
        <w:rPr>
          <w:lang w:val="en-US" w:eastAsia="zh-CN"/>
        </w:rPr>
        <w:t>号决定</w:t>
      </w:r>
      <w:r w:rsidRPr="006E3B9B">
        <w:rPr>
          <w:lang w:val="en-US" w:eastAsia="zh-CN"/>
        </w:rPr>
        <w:tab/>
      </w:r>
      <w:r w:rsidRPr="006E3B9B">
        <w:rPr>
          <w:rFonts w:hint="eastAsia"/>
          <w:lang w:eastAsia="zh-CN"/>
        </w:rPr>
        <w:t>选举理事会正副主席</w:t>
      </w:r>
      <w:r w:rsidRPr="006E3B9B">
        <w:rPr>
          <w:lang w:val="en-US" w:eastAsia="zh-CN"/>
        </w:rPr>
        <w:tab/>
      </w:r>
      <w:r w:rsidR="00057467">
        <w:rPr>
          <w:lang w:val="en-US" w:eastAsia="zh-CN"/>
        </w:rPr>
        <w:tab/>
      </w:r>
      <w:r w:rsidRPr="006E3B9B">
        <w:rPr>
          <w:lang w:val="en-US" w:eastAsia="zh-CN"/>
        </w:rPr>
        <w:t>1964</w:t>
      </w:r>
      <w:r w:rsidRPr="006E3B9B">
        <w:rPr>
          <w:rFonts w:hint="eastAsia"/>
          <w:lang w:val="en-US" w:eastAsia="zh-CN"/>
        </w:rPr>
        <w:t>年</w:t>
      </w:r>
    </w:p>
    <w:p w14:paraId="4827C28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104</w:t>
      </w:r>
      <w:r w:rsidRPr="006E3B9B">
        <w:rPr>
          <w:lang w:val="en-US" w:eastAsia="zh-CN"/>
        </w:rPr>
        <w:t>号决定</w:t>
      </w:r>
      <w:r w:rsidRPr="006E3B9B">
        <w:rPr>
          <w:lang w:val="en-US" w:eastAsia="zh-CN"/>
        </w:rPr>
        <w:tab/>
      </w:r>
      <w:r w:rsidRPr="006E3B9B">
        <w:rPr>
          <w:rFonts w:hint="eastAsia"/>
          <w:lang w:eastAsia="zh-CN"/>
        </w:rPr>
        <w:t>修订《理事会议事规则》</w:t>
      </w:r>
      <w:r w:rsidRPr="006E3B9B">
        <w:rPr>
          <w:lang w:val="en-US" w:eastAsia="zh-CN"/>
        </w:rPr>
        <w:tab/>
      </w:r>
      <w:r w:rsidR="00057467">
        <w:rPr>
          <w:lang w:val="en-US" w:eastAsia="zh-CN"/>
        </w:rPr>
        <w:tab/>
      </w:r>
      <w:r w:rsidRPr="006E3B9B">
        <w:rPr>
          <w:lang w:val="en-US" w:eastAsia="zh-CN"/>
        </w:rPr>
        <w:t>1954</w:t>
      </w:r>
      <w:r w:rsidRPr="006E3B9B">
        <w:rPr>
          <w:rFonts w:hint="eastAsia"/>
          <w:lang w:val="en-US" w:eastAsia="zh-CN"/>
        </w:rPr>
        <w:t>年</w:t>
      </w:r>
    </w:p>
    <w:p w14:paraId="4827C29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105</w:t>
      </w:r>
      <w:r w:rsidRPr="006E3B9B">
        <w:rPr>
          <w:lang w:val="en-US" w:eastAsia="zh-CN"/>
        </w:rPr>
        <w:t>号决定</w:t>
      </w:r>
      <w:r w:rsidRPr="006E3B9B">
        <w:rPr>
          <w:lang w:val="en-US" w:eastAsia="zh-CN"/>
        </w:rPr>
        <w:tab/>
      </w:r>
      <w:r w:rsidRPr="006E3B9B">
        <w:rPr>
          <w:rFonts w:hint="eastAsia"/>
          <w:lang w:eastAsia="zh-CN"/>
        </w:rPr>
        <w:t>布宜诺斯艾利斯大会文件的出版</w:t>
      </w:r>
      <w:r w:rsidRPr="006E3B9B">
        <w:rPr>
          <w:lang w:val="en-US" w:eastAsia="zh-CN"/>
        </w:rPr>
        <w:tab/>
      </w:r>
      <w:r w:rsidR="00057467">
        <w:rPr>
          <w:lang w:val="en-US" w:eastAsia="zh-CN"/>
        </w:rPr>
        <w:tab/>
      </w:r>
      <w:r w:rsidRPr="006E3B9B">
        <w:rPr>
          <w:lang w:val="en-US" w:eastAsia="zh-CN"/>
        </w:rPr>
        <w:t>1954</w:t>
      </w:r>
      <w:r w:rsidRPr="006E3B9B">
        <w:rPr>
          <w:rFonts w:hint="eastAsia"/>
          <w:lang w:val="en-US" w:eastAsia="zh-CN"/>
        </w:rPr>
        <w:t>年</w:t>
      </w:r>
    </w:p>
    <w:p w14:paraId="4827C29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106</w:t>
      </w:r>
      <w:r w:rsidRPr="006E3B9B">
        <w:rPr>
          <w:lang w:val="en-US" w:eastAsia="zh-CN"/>
        </w:rPr>
        <w:t>号决定</w:t>
      </w:r>
      <w:r w:rsidRPr="006E3B9B">
        <w:rPr>
          <w:lang w:val="en-US" w:eastAsia="zh-CN"/>
        </w:rPr>
        <w:tab/>
      </w:r>
      <w:r w:rsidRPr="006E3B9B">
        <w:rPr>
          <w:rFonts w:hint="eastAsia"/>
          <w:lang w:val="en-US" w:eastAsia="zh-CN"/>
        </w:rPr>
        <w:t>《</w:t>
      </w:r>
      <w:r w:rsidRPr="006E3B9B">
        <w:rPr>
          <w:rFonts w:hint="eastAsia"/>
          <w:lang w:eastAsia="zh-CN"/>
        </w:rPr>
        <w:t>大西洋城公约》第</w:t>
      </w:r>
      <w:r w:rsidRPr="006E3B9B">
        <w:rPr>
          <w:lang w:eastAsia="zh-CN"/>
        </w:rPr>
        <w:t>9</w:t>
      </w:r>
      <w:r w:rsidRPr="006E3B9B">
        <w:rPr>
          <w:rFonts w:hint="eastAsia"/>
          <w:lang w:eastAsia="zh-CN"/>
        </w:rPr>
        <w:t>条第</w:t>
      </w:r>
      <w:r w:rsidRPr="006E3B9B">
        <w:rPr>
          <w:lang w:eastAsia="zh-CN"/>
        </w:rPr>
        <w:t>6</w:t>
      </w:r>
      <w:r w:rsidRPr="006E3B9B">
        <w:rPr>
          <w:rFonts w:hint="eastAsia"/>
          <w:lang w:eastAsia="zh-CN"/>
        </w:rPr>
        <w:t>（</w:t>
      </w:r>
      <w:r w:rsidRPr="006E3B9B">
        <w:rPr>
          <w:lang w:eastAsia="zh-CN"/>
        </w:rPr>
        <w:t>2</w:t>
      </w:r>
      <w:r w:rsidRPr="006E3B9B">
        <w:rPr>
          <w:rFonts w:hint="eastAsia"/>
          <w:lang w:eastAsia="zh-CN"/>
        </w:rPr>
        <w:t>）段的实施</w:t>
      </w:r>
      <w:r w:rsidRPr="006E3B9B">
        <w:rPr>
          <w:lang w:val="en-US" w:eastAsia="zh-CN"/>
        </w:rPr>
        <w:tab/>
      </w:r>
      <w:r w:rsidR="00057467">
        <w:rPr>
          <w:lang w:val="en-US" w:eastAsia="zh-CN"/>
        </w:rPr>
        <w:tab/>
      </w:r>
      <w:r w:rsidRPr="006E3B9B">
        <w:rPr>
          <w:lang w:val="en-US" w:eastAsia="zh-CN"/>
        </w:rPr>
        <w:t>1954</w:t>
      </w:r>
      <w:r w:rsidRPr="006E3B9B">
        <w:rPr>
          <w:rFonts w:hint="eastAsia"/>
          <w:lang w:val="en-US" w:eastAsia="zh-CN"/>
        </w:rPr>
        <w:t>年</w:t>
      </w:r>
    </w:p>
    <w:p w14:paraId="4827C29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107</w:t>
      </w:r>
      <w:r w:rsidRPr="006E3B9B">
        <w:rPr>
          <w:lang w:val="en-US" w:eastAsia="zh-CN"/>
        </w:rPr>
        <w:t>号决定</w:t>
      </w:r>
      <w:r w:rsidRPr="006E3B9B">
        <w:rPr>
          <w:lang w:val="en-US" w:eastAsia="zh-CN"/>
        </w:rPr>
        <w:tab/>
      </w:r>
      <w:r w:rsidRPr="006E3B9B">
        <w:rPr>
          <w:rFonts w:hint="eastAsia"/>
          <w:lang w:val="en-US" w:eastAsia="zh-CN"/>
        </w:rPr>
        <w:t>《</w:t>
      </w:r>
      <w:r w:rsidRPr="006E3B9B">
        <w:rPr>
          <w:rFonts w:hint="eastAsia"/>
          <w:lang w:eastAsia="zh-CN"/>
        </w:rPr>
        <w:t>无线电频率登记表》第一版的编写与出版</w:t>
      </w:r>
      <w:r w:rsidRPr="006E3B9B">
        <w:rPr>
          <w:lang w:val="en-US" w:eastAsia="zh-CN"/>
        </w:rPr>
        <w:tab/>
      </w:r>
      <w:r w:rsidR="00057467">
        <w:rPr>
          <w:lang w:val="en-US" w:eastAsia="zh-CN"/>
        </w:rPr>
        <w:tab/>
      </w:r>
      <w:r w:rsidRPr="006E3B9B">
        <w:rPr>
          <w:lang w:val="en-US" w:eastAsia="zh-CN"/>
        </w:rPr>
        <w:t>1954</w:t>
      </w:r>
      <w:r w:rsidRPr="006E3B9B">
        <w:rPr>
          <w:rFonts w:hint="eastAsia"/>
          <w:lang w:val="en-US" w:eastAsia="zh-CN"/>
        </w:rPr>
        <w:t>年</w:t>
      </w:r>
    </w:p>
    <w:p w14:paraId="4827C29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108</w:t>
      </w:r>
      <w:r w:rsidRPr="006E3B9B">
        <w:rPr>
          <w:lang w:val="en-US" w:eastAsia="zh-CN"/>
        </w:rPr>
        <w:t>号决定</w:t>
      </w:r>
      <w:r w:rsidRPr="006E3B9B">
        <w:rPr>
          <w:lang w:val="en-US" w:eastAsia="zh-CN"/>
        </w:rPr>
        <w:tab/>
      </w:r>
      <w:r w:rsidRPr="006E3B9B">
        <w:rPr>
          <w:rFonts w:hint="eastAsia"/>
          <w:lang w:eastAsia="zh-CN"/>
        </w:rPr>
        <w:t>无线电行政大会的下届会议</w:t>
      </w:r>
      <w:r w:rsidRPr="006E3B9B">
        <w:rPr>
          <w:lang w:val="en-US" w:eastAsia="zh-CN"/>
        </w:rPr>
        <w:tab/>
      </w:r>
      <w:r w:rsidR="00057467">
        <w:rPr>
          <w:lang w:val="en-US" w:eastAsia="zh-CN"/>
        </w:rPr>
        <w:tab/>
      </w:r>
      <w:r w:rsidRPr="006E3B9B">
        <w:rPr>
          <w:lang w:val="en-US" w:eastAsia="zh-CN"/>
        </w:rPr>
        <w:t>1953</w:t>
      </w:r>
      <w:r w:rsidRPr="006E3B9B">
        <w:rPr>
          <w:rFonts w:hint="eastAsia"/>
          <w:lang w:val="en-US" w:eastAsia="zh-CN"/>
        </w:rPr>
        <w:t>年</w:t>
      </w:r>
    </w:p>
    <w:p w14:paraId="4827C29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109</w:t>
      </w:r>
      <w:r w:rsidRPr="006E3B9B">
        <w:rPr>
          <w:lang w:val="en-US" w:eastAsia="zh-CN"/>
        </w:rPr>
        <w:t>号决定</w:t>
      </w:r>
      <w:r w:rsidRPr="006E3B9B">
        <w:rPr>
          <w:lang w:val="en-US" w:eastAsia="zh-CN"/>
        </w:rPr>
        <w:tab/>
      </w:r>
      <w:r w:rsidRPr="006E3B9B">
        <w:rPr>
          <w:lang w:eastAsia="zh-CN"/>
        </w:rPr>
        <w:t>1954</w:t>
      </w:r>
      <w:r w:rsidRPr="006E3B9B">
        <w:rPr>
          <w:rFonts w:hint="eastAsia"/>
          <w:lang w:eastAsia="zh-CN"/>
        </w:rPr>
        <w:t>年财务控制委员会的构成</w:t>
      </w:r>
      <w:r w:rsidR="00057467">
        <w:rPr>
          <w:lang w:eastAsia="zh-CN"/>
        </w:rPr>
        <w:tab/>
      </w:r>
      <w:r w:rsidRPr="006E3B9B">
        <w:rPr>
          <w:lang w:val="en-US" w:eastAsia="zh-CN"/>
        </w:rPr>
        <w:tab/>
        <w:t>1953</w:t>
      </w:r>
      <w:r w:rsidRPr="006E3B9B">
        <w:rPr>
          <w:rFonts w:hint="eastAsia"/>
          <w:lang w:val="en-US" w:eastAsia="zh-CN"/>
        </w:rPr>
        <w:t>年</w:t>
      </w:r>
    </w:p>
    <w:p w14:paraId="4827C29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110</w:t>
      </w:r>
      <w:r w:rsidRPr="006E3B9B">
        <w:rPr>
          <w:lang w:val="en-US" w:eastAsia="zh-CN"/>
        </w:rPr>
        <w:t>号决定</w:t>
      </w:r>
      <w:r w:rsidRPr="006E3B9B">
        <w:rPr>
          <w:lang w:val="en-US" w:eastAsia="zh-CN"/>
        </w:rPr>
        <w:tab/>
      </w:r>
      <w:r w:rsidRPr="006E3B9B">
        <w:rPr>
          <w:rFonts w:hint="eastAsia"/>
          <w:lang w:val="en-US" w:eastAsia="zh-CN"/>
        </w:rPr>
        <w:t>国际</w:t>
      </w:r>
      <w:r w:rsidRPr="006E3B9B">
        <w:rPr>
          <w:rFonts w:hint="eastAsia"/>
          <w:lang w:eastAsia="zh-CN"/>
        </w:rPr>
        <w:t>电联职员退休和福利基金管理委员会的报告</w:t>
      </w:r>
      <w:r w:rsidRPr="006E3B9B">
        <w:rPr>
          <w:lang w:val="en-US" w:eastAsia="zh-CN"/>
        </w:rPr>
        <w:tab/>
      </w:r>
      <w:r w:rsidR="00057467">
        <w:rPr>
          <w:lang w:val="en-US" w:eastAsia="zh-CN"/>
        </w:rPr>
        <w:tab/>
      </w:r>
      <w:r w:rsidRPr="006E3B9B">
        <w:rPr>
          <w:lang w:val="en-US" w:eastAsia="zh-CN"/>
        </w:rPr>
        <w:t>1954</w:t>
      </w:r>
      <w:r w:rsidRPr="006E3B9B">
        <w:rPr>
          <w:rFonts w:hint="eastAsia"/>
          <w:lang w:val="en-US" w:eastAsia="zh-CN"/>
        </w:rPr>
        <w:t>年</w:t>
      </w:r>
    </w:p>
    <w:p w14:paraId="4827C29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111</w:t>
      </w:r>
      <w:r w:rsidRPr="006E3B9B">
        <w:rPr>
          <w:lang w:val="en-US" w:eastAsia="zh-CN"/>
        </w:rPr>
        <w:t>号决定</w:t>
      </w:r>
      <w:r w:rsidRPr="006E3B9B">
        <w:rPr>
          <w:lang w:val="en-US" w:eastAsia="zh-CN"/>
        </w:rPr>
        <w:tab/>
      </w:r>
      <w:r w:rsidRPr="006E3B9B">
        <w:rPr>
          <w:rFonts w:hint="eastAsia"/>
          <w:lang w:eastAsia="zh-CN"/>
        </w:rPr>
        <w:t>参加</w:t>
      </w:r>
      <w:r w:rsidRPr="006E3B9B">
        <w:rPr>
          <w:lang w:eastAsia="zh-CN"/>
        </w:rPr>
        <w:t>国际电报咨询委员会</w:t>
      </w:r>
      <w:r w:rsidRPr="006E3B9B">
        <w:rPr>
          <w:rFonts w:hint="eastAsia"/>
          <w:lang w:eastAsia="zh-CN"/>
        </w:rPr>
        <w:t>的全会（老挝）</w:t>
      </w:r>
      <w:r w:rsidRPr="006E3B9B">
        <w:rPr>
          <w:lang w:val="en-US" w:eastAsia="zh-CN"/>
        </w:rPr>
        <w:tab/>
      </w:r>
      <w:r w:rsidR="00057467">
        <w:rPr>
          <w:lang w:val="en-US" w:eastAsia="zh-CN"/>
        </w:rPr>
        <w:tab/>
      </w:r>
      <w:r w:rsidRPr="006E3B9B">
        <w:rPr>
          <w:lang w:val="en-US" w:eastAsia="zh-CN"/>
        </w:rPr>
        <w:t>1954</w:t>
      </w:r>
      <w:r w:rsidRPr="006E3B9B">
        <w:rPr>
          <w:rFonts w:hint="eastAsia"/>
          <w:lang w:val="en-US" w:eastAsia="zh-CN"/>
        </w:rPr>
        <w:t>年</w:t>
      </w:r>
    </w:p>
    <w:p w14:paraId="4827C29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112</w:t>
      </w:r>
      <w:r w:rsidRPr="006E3B9B">
        <w:rPr>
          <w:lang w:val="en-US" w:eastAsia="zh-CN"/>
        </w:rPr>
        <w:t>号决定</w:t>
      </w:r>
      <w:r w:rsidRPr="006E3B9B">
        <w:rPr>
          <w:lang w:val="en-US" w:eastAsia="zh-CN"/>
        </w:rPr>
        <w:tab/>
      </w:r>
      <w:r w:rsidRPr="006E3B9B">
        <w:rPr>
          <w:rFonts w:hint="eastAsia"/>
          <w:lang w:val="en-US" w:eastAsia="zh-CN"/>
        </w:rPr>
        <w:t>国际</w:t>
      </w:r>
      <w:r w:rsidRPr="006E3B9B">
        <w:rPr>
          <w:rFonts w:hint="eastAsia"/>
          <w:lang w:eastAsia="zh-CN"/>
        </w:rPr>
        <w:t>电联向职员退休和福利基金支付的款项</w:t>
      </w:r>
      <w:r w:rsidRPr="006E3B9B">
        <w:rPr>
          <w:lang w:val="en-US" w:eastAsia="zh-CN"/>
        </w:rPr>
        <w:tab/>
      </w:r>
      <w:r w:rsidR="00057467">
        <w:rPr>
          <w:lang w:val="en-US" w:eastAsia="zh-CN"/>
        </w:rPr>
        <w:tab/>
      </w:r>
      <w:r w:rsidRPr="006E3B9B">
        <w:rPr>
          <w:lang w:val="en-US" w:eastAsia="zh-CN"/>
        </w:rPr>
        <w:t>1954</w:t>
      </w:r>
      <w:r w:rsidRPr="006E3B9B">
        <w:rPr>
          <w:rFonts w:hint="eastAsia"/>
          <w:lang w:val="en-US" w:eastAsia="zh-CN"/>
        </w:rPr>
        <w:t>年</w:t>
      </w:r>
    </w:p>
    <w:p w14:paraId="4827C29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113</w:t>
      </w:r>
      <w:r w:rsidRPr="006E3B9B">
        <w:rPr>
          <w:lang w:val="en-US" w:eastAsia="zh-CN"/>
        </w:rPr>
        <w:t>号决定</w:t>
      </w:r>
      <w:r w:rsidRPr="006E3B9B">
        <w:rPr>
          <w:lang w:val="en-US" w:eastAsia="zh-CN"/>
        </w:rPr>
        <w:tab/>
      </w:r>
      <w:r w:rsidRPr="006E3B9B">
        <w:rPr>
          <w:rFonts w:hint="eastAsia"/>
          <w:lang w:val="en-US" w:eastAsia="zh-CN"/>
        </w:rPr>
        <w:t>技术援助扩大方案</w:t>
      </w:r>
      <w:r w:rsidRPr="006E3B9B">
        <w:rPr>
          <w:rFonts w:hint="eastAsia"/>
          <w:lang w:eastAsia="zh-CN"/>
        </w:rPr>
        <w:t>产生的支出的核算</w:t>
      </w:r>
      <w:r w:rsidR="00057467">
        <w:rPr>
          <w:lang w:eastAsia="zh-CN"/>
        </w:rPr>
        <w:tab/>
      </w:r>
      <w:r w:rsidRPr="006E3B9B">
        <w:rPr>
          <w:lang w:val="en-US" w:eastAsia="zh-CN"/>
        </w:rPr>
        <w:tab/>
        <w:t>1975</w:t>
      </w:r>
      <w:r w:rsidRPr="006E3B9B">
        <w:rPr>
          <w:rFonts w:hint="eastAsia"/>
          <w:lang w:val="en-US" w:eastAsia="zh-CN"/>
        </w:rPr>
        <w:t>年</w:t>
      </w:r>
    </w:p>
    <w:p w14:paraId="4827C29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114</w:t>
      </w:r>
      <w:r w:rsidRPr="006E3B9B">
        <w:rPr>
          <w:lang w:val="en-US" w:eastAsia="zh-CN"/>
        </w:rPr>
        <w:t>号决定</w:t>
      </w:r>
      <w:r w:rsidRPr="006E3B9B">
        <w:rPr>
          <w:lang w:val="en-US" w:eastAsia="zh-CN"/>
        </w:rPr>
        <w:tab/>
      </w:r>
      <w:r w:rsidRPr="006E3B9B">
        <w:rPr>
          <w:rFonts w:hint="eastAsia"/>
          <w:lang w:eastAsia="zh-CN"/>
        </w:rPr>
        <w:t>退休职员的生活费津贴</w:t>
      </w:r>
      <w:r w:rsidRPr="006E3B9B">
        <w:rPr>
          <w:lang w:val="en-US" w:eastAsia="zh-CN"/>
        </w:rPr>
        <w:tab/>
      </w:r>
      <w:r w:rsidR="00057467">
        <w:rPr>
          <w:lang w:val="en-US" w:eastAsia="zh-CN"/>
        </w:rPr>
        <w:tab/>
      </w:r>
      <w:r w:rsidRPr="006E3B9B">
        <w:rPr>
          <w:lang w:val="en-US" w:eastAsia="zh-CN"/>
        </w:rPr>
        <w:t>1953</w:t>
      </w:r>
      <w:r w:rsidRPr="006E3B9B">
        <w:rPr>
          <w:rFonts w:hint="eastAsia"/>
          <w:lang w:val="en-US" w:eastAsia="zh-CN"/>
        </w:rPr>
        <w:t>年</w:t>
      </w:r>
    </w:p>
    <w:p w14:paraId="4827C29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115</w:t>
      </w:r>
      <w:r w:rsidRPr="006E3B9B">
        <w:rPr>
          <w:lang w:val="en-US" w:eastAsia="zh-CN"/>
        </w:rPr>
        <w:t>号决定</w:t>
      </w:r>
      <w:r w:rsidRPr="006E3B9B">
        <w:rPr>
          <w:lang w:val="en-US" w:eastAsia="zh-CN"/>
        </w:rPr>
        <w:tab/>
      </w:r>
      <w:r w:rsidRPr="006E3B9B">
        <w:rPr>
          <w:lang w:eastAsia="zh-CN"/>
        </w:rPr>
        <w:t>CCIR</w:t>
      </w:r>
      <w:r w:rsidRPr="006E3B9B">
        <w:rPr>
          <w:rFonts w:hint="eastAsia"/>
          <w:lang w:eastAsia="zh-CN"/>
        </w:rPr>
        <w:t>主任</w:t>
      </w:r>
      <w:r w:rsidRPr="006E3B9B">
        <w:rPr>
          <w:lang w:eastAsia="zh-CN"/>
        </w:rPr>
        <w:t>van der Pol</w:t>
      </w:r>
      <w:r w:rsidRPr="006E3B9B">
        <w:rPr>
          <w:rFonts w:hint="eastAsia"/>
          <w:lang w:eastAsia="zh-CN"/>
        </w:rPr>
        <w:t>博士的差旅费</w:t>
      </w:r>
      <w:r w:rsidRPr="006E3B9B">
        <w:rPr>
          <w:lang w:val="en-US" w:eastAsia="zh-CN"/>
        </w:rPr>
        <w:tab/>
      </w:r>
      <w:r w:rsidR="00057467">
        <w:rPr>
          <w:lang w:val="en-US" w:eastAsia="zh-CN"/>
        </w:rPr>
        <w:tab/>
      </w:r>
      <w:r w:rsidRPr="006E3B9B">
        <w:rPr>
          <w:lang w:val="en-US" w:eastAsia="zh-CN"/>
        </w:rPr>
        <w:t>1954</w:t>
      </w:r>
      <w:r w:rsidRPr="006E3B9B">
        <w:rPr>
          <w:rFonts w:hint="eastAsia"/>
          <w:lang w:val="en-US" w:eastAsia="zh-CN"/>
        </w:rPr>
        <w:t>年</w:t>
      </w:r>
    </w:p>
    <w:p w14:paraId="4827C29B"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116</w:t>
      </w:r>
      <w:r w:rsidRPr="006E3B9B">
        <w:rPr>
          <w:lang w:val="en-US" w:eastAsia="zh-CN"/>
        </w:rPr>
        <w:t>号决定</w:t>
      </w:r>
      <w:r w:rsidRPr="006E3B9B">
        <w:rPr>
          <w:lang w:val="en-US" w:eastAsia="zh-CN"/>
        </w:rPr>
        <w:tab/>
      </w:r>
      <w:r w:rsidRPr="006E3B9B">
        <w:rPr>
          <w:lang w:eastAsia="zh-CN"/>
        </w:rPr>
        <w:t>Antonevitch</w:t>
      </w:r>
      <w:r w:rsidRPr="006E3B9B">
        <w:rPr>
          <w:rFonts w:hint="eastAsia"/>
          <w:lang w:eastAsia="zh-CN"/>
        </w:rPr>
        <w:t>先生一次性付费的支付</w:t>
      </w:r>
      <w:r w:rsidRPr="006E3B9B">
        <w:rPr>
          <w:lang w:val="en-US" w:eastAsia="zh-CN"/>
        </w:rPr>
        <w:tab/>
      </w:r>
      <w:r w:rsidR="00057467">
        <w:rPr>
          <w:lang w:val="en-US" w:eastAsia="zh-CN"/>
        </w:rPr>
        <w:tab/>
      </w:r>
      <w:r w:rsidRPr="006E3B9B">
        <w:rPr>
          <w:lang w:val="en-US" w:eastAsia="zh-CN"/>
        </w:rPr>
        <w:t>1954</w:t>
      </w:r>
      <w:r w:rsidRPr="006E3B9B">
        <w:rPr>
          <w:rFonts w:hint="eastAsia"/>
          <w:lang w:val="en-US" w:eastAsia="zh-CN"/>
        </w:rPr>
        <w:t>年</w:t>
      </w:r>
    </w:p>
    <w:p w14:paraId="4827C29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117</w:t>
      </w:r>
      <w:r w:rsidRPr="006E3B9B">
        <w:rPr>
          <w:lang w:val="en-US" w:eastAsia="zh-CN"/>
        </w:rPr>
        <w:t>号决定</w:t>
      </w:r>
      <w:r w:rsidRPr="006E3B9B">
        <w:rPr>
          <w:lang w:val="en-US" w:eastAsia="zh-CN"/>
        </w:rPr>
        <w:tab/>
      </w:r>
      <w:r w:rsidRPr="006E3B9B">
        <w:rPr>
          <w:rFonts w:hint="eastAsia"/>
          <w:lang w:eastAsia="zh-CN"/>
        </w:rPr>
        <w:t>对现行养恤金制度的审议</w:t>
      </w:r>
      <w:r w:rsidRPr="006E3B9B">
        <w:rPr>
          <w:lang w:val="en-US" w:eastAsia="zh-CN"/>
        </w:rPr>
        <w:tab/>
      </w:r>
      <w:r w:rsidR="00057467">
        <w:rPr>
          <w:lang w:val="en-US" w:eastAsia="zh-CN"/>
        </w:rPr>
        <w:tab/>
      </w:r>
      <w:r w:rsidRPr="006E3B9B">
        <w:rPr>
          <w:lang w:val="en-US" w:eastAsia="zh-CN"/>
        </w:rPr>
        <w:t>1954</w:t>
      </w:r>
      <w:r w:rsidRPr="006E3B9B">
        <w:rPr>
          <w:rFonts w:hint="eastAsia"/>
          <w:lang w:val="en-US" w:eastAsia="zh-CN"/>
        </w:rPr>
        <w:t>年</w:t>
      </w:r>
    </w:p>
    <w:p w14:paraId="4827C29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118</w:t>
      </w:r>
      <w:r w:rsidRPr="006E3B9B">
        <w:rPr>
          <w:lang w:val="en-US" w:eastAsia="zh-CN"/>
        </w:rPr>
        <w:t>号决定</w:t>
      </w:r>
      <w:r w:rsidRPr="006E3B9B">
        <w:rPr>
          <w:lang w:val="en-US" w:eastAsia="zh-CN"/>
        </w:rPr>
        <w:tab/>
      </w:r>
      <w:r w:rsidRPr="006E3B9B">
        <w:rPr>
          <w:rFonts w:hint="eastAsia"/>
          <w:lang w:val="en-US" w:eastAsia="zh-CN"/>
        </w:rPr>
        <w:t>国际</w:t>
      </w:r>
      <w:r w:rsidRPr="006E3B9B">
        <w:rPr>
          <w:rFonts w:hint="eastAsia"/>
          <w:lang w:eastAsia="zh-CN"/>
        </w:rPr>
        <w:t>电联和联合国职位间的关系</w:t>
      </w:r>
      <w:r w:rsidRPr="006E3B9B">
        <w:rPr>
          <w:lang w:val="en-US" w:eastAsia="zh-CN"/>
        </w:rPr>
        <w:tab/>
      </w:r>
      <w:r w:rsidR="00057467">
        <w:rPr>
          <w:lang w:val="en-US" w:eastAsia="zh-CN"/>
        </w:rPr>
        <w:tab/>
      </w:r>
      <w:r w:rsidRPr="006E3B9B">
        <w:rPr>
          <w:lang w:val="en-US" w:eastAsia="zh-CN"/>
        </w:rPr>
        <w:t>1953</w:t>
      </w:r>
      <w:r w:rsidRPr="006E3B9B">
        <w:rPr>
          <w:rFonts w:hint="eastAsia"/>
          <w:lang w:val="en-US" w:eastAsia="zh-CN"/>
        </w:rPr>
        <w:t>年</w:t>
      </w:r>
    </w:p>
    <w:p w14:paraId="4827C29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119</w:t>
      </w:r>
      <w:r w:rsidRPr="006E3B9B">
        <w:rPr>
          <w:lang w:val="en-US" w:eastAsia="zh-CN"/>
        </w:rPr>
        <w:t>号决定</w:t>
      </w:r>
      <w:r w:rsidRPr="006E3B9B">
        <w:rPr>
          <w:lang w:val="en-US" w:eastAsia="zh-CN"/>
        </w:rPr>
        <w:tab/>
      </w:r>
      <w:r w:rsidRPr="006E3B9B">
        <w:rPr>
          <w:lang w:eastAsia="zh-CN"/>
        </w:rPr>
        <w:t>频登会</w:t>
      </w:r>
      <w:r w:rsidRPr="006E3B9B">
        <w:rPr>
          <w:rFonts w:hint="eastAsia"/>
          <w:lang w:eastAsia="zh-CN"/>
        </w:rPr>
        <w:t>的“意见”和技术指示</w:t>
      </w:r>
      <w:r w:rsidRPr="006E3B9B">
        <w:rPr>
          <w:lang w:val="en-US" w:eastAsia="zh-CN"/>
        </w:rPr>
        <w:tab/>
      </w:r>
      <w:r w:rsidR="00057467">
        <w:rPr>
          <w:lang w:val="en-US" w:eastAsia="zh-CN"/>
        </w:rPr>
        <w:tab/>
      </w:r>
      <w:r w:rsidRPr="006E3B9B">
        <w:rPr>
          <w:lang w:val="en-US" w:eastAsia="zh-CN"/>
        </w:rPr>
        <w:t>1985</w:t>
      </w:r>
      <w:r w:rsidRPr="006E3B9B">
        <w:rPr>
          <w:rFonts w:hint="eastAsia"/>
          <w:lang w:val="en-US" w:eastAsia="zh-CN"/>
        </w:rPr>
        <w:t>年</w:t>
      </w:r>
    </w:p>
    <w:p w14:paraId="4827C29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120</w:t>
      </w:r>
      <w:r w:rsidRPr="006E3B9B">
        <w:rPr>
          <w:lang w:val="en-US" w:eastAsia="zh-CN"/>
        </w:rPr>
        <w:t>号决定</w:t>
      </w:r>
      <w:r w:rsidRPr="006E3B9B">
        <w:rPr>
          <w:lang w:val="en-US" w:eastAsia="zh-CN"/>
        </w:rPr>
        <w:tab/>
      </w:r>
      <w:r w:rsidRPr="006E3B9B">
        <w:rPr>
          <w:rFonts w:hint="eastAsia"/>
          <w:lang w:val="fr-FR" w:eastAsia="zh-CN"/>
        </w:rPr>
        <w:t>专利</w:t>
      </w:r>
      <w:r w:rsidRPr="006E3B9B">
        <w:rPr>
          <w:lang w:val="en-US" w:eastAsia="zh-CN"/>
        </w:rPr>
        <w:tab/>
      </w:r>
      <w:r w:rsidR="00057467">
        <w:rPr>
          <w:lang w:val="en-US" w:eastAsia="zh-CN"/>
        </w:rPr>
        <w:tab/>
      </w:r>
      <w:r w:rsidRPr="006E3B9B">
        <w:rPr>
          <w:lang w:val="en-US" w:eastAsia="zh-CN"/>
        </w:rPr>
        <w:t>1953</w:t>
      </w:r>
      <w:r w:rsidRPr="006E3B9B">
        <w:rPr>
          <w:rFonts w:hint="eastAsia"/>
          <w:lang w:val="en-US" w:eastAsia="zh-CN"/>
        </w:rPr>
        <w:t>年</w:t>
      </w:r>
    </w:p>
    <w:p w14:paraId="4827C2A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121</w:t>
      </w:r>
      <w:r w:rsidRPr="006E3B9B">
        <w:rPr>
          <w:lang w:val="en-US" w:eastAsia="zh-CN"/>
        </w:rPr>
        <w:t>号决定</w:t>
      </w:r>
      <w:r w:rsidRPr="006E3B9B">
        <w:rPr>
          <w:lang w:val="en-US" w:eastAsia="zh-CN"/>
        </w:rPr>
        <w:tab/>
      </w:r>
      <w:r w:rsidRPr="006E3B9B">
        <w:rPr>
          <w:rFonts w:hint="eastAsia"/>
          <w:lang w:eastAsia="zh-CN"/>
        </w:rPr>
        <w:t>理事会第</w:t>
      </w:r>
      <w:r w:rsidRPr="006E3B9B">
        <w:rPr>
          <w:rFonts w:hint="eastAsia"/>
          <w:lang w:eastAsia="zh-CN"/>
        </w:rPr>
        <w:t>9</w:t>
      </w:r>
      <w:r w:rsidRPr="006E3B9B">
        <w:rPr>
          <w:rFonts w:hint="eastAsia"/>
          <w:lang w:eastAsia="zh-CN"/>
        </w:rPr>
        <w:t>届会议的日期</w:t>
      </w:r>
      <w:r w:rsidRPr="006E3B9B">
        <w:rPr>
          <w:lang w:val="en-US" w:eastAsia="zh-CN"/>
        </w:rPr>
        <w:tab/>
      </w:r>
      <w:r w:rsidR="00057467">
        <w:rPr>
          <w:lang w:val="en-US" w:eastAsia="zh-CN"/>
        </w:rPr>
        <w:tab/>
      </w:r>
      <w:r w:rsidRPr="006E3B9B">
        <w:rPr>
          <w:lang w:val="en-US" w:eastAsia="zh-CN"/>
        </w:rPr>
        <w:t>1953</w:t>
      </w:r>
      <w:r w:rsidRPr="006E3B9B">
        <w:rPr>
          <w:rFonts w:hint="eastAsia"/>
          <w:lang w:val="en-US" w:eastAsia="zh-CN"/>
        </w:rPr>
        <w:t>年</w:t>
      </w:r>
    </w:p>
    <w:p w14:paraId="4827C2A1"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9</w:t>
      </w:r>
      <w:r w:rsidRPr="006E3B9B">
        <w:rPr>
          <w:rFonts w:hint="eastAsia"/>
          <w:lang w:eastAsia="zh-CN"/>
        </w:rPr>
        <w:t>届会议（</w:t>
      </w:r>
      <w:r w:rsidRPr="006E3B9B">
        <w:rPr>
          <w:lang w:eastAsia="zh-CN"/>
        </w:rPr>
        <w:t>1954</w:t>
      </w:r>
      <w:r w:rsidRPr="006E3B9B">
        <w:rPr>
          <w:rFonts w:hint="eastAsia"/>
          <w:lang w:eastAsia="zh-CN"/>
        </w:rPr>
        <w:t>年</w:t>
      </w:r>
      <w:r w:rsidRPr="006E3B9B">
        <w:rPr>
          <w:lang w:eastAsia="zh-CN"/>
        </w:rPr>
        <w:t>5</w:t>
      </w:r>
      <w:r w:rsidRPr="006E3B9B">
        <w:rPr>
          <w:rFonts w:hint="eastAsia"/>
          <w:lang w:eastAsia="zh-CN"/>
        </w:rPr>
        <w:t>月）</w:t>
      </w:r>
    </w:p>
    <w:p w14:paraId="4827C2A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122</w:t>
      </w:r>
      <w:r w:rsidRPr="006E3B9B">
        <w:rPr>
          <w:lang w:val="en-US" w:eastAsia="zh-CN"/>
        </w:rPr>
        <w:t>号决定</w:t>
      </w:r>
      <w:r w:rsidRPr="006E3B9B">
        <w:rPr>
          <w:lang w:val="en-US" w:eastAsia="zh-CN"/>
        </w:rPr>
        <w:tab/>
      </w:r>
      <w:r w:rsidRPr="006E3B9B">
        <w:rPr>
          <w:rFonts w:hint="eastAsia"/>
          <w:lang w:eastAsia="zh-CN"/>
        </w:rPr>
        <w:t>下届全权代表大会的召开</w:t>
      </w:r>
      <w:r w:rsidRPr="006E3B9B">
        <w:rPr>
          <w:lang w:val="en-US" w:eastAsia="zh-CN"/>
        </w:rPr>
        <w:tab/>
      </w:r>
      <w:r w:rsidR="00057467">
        <w:rPr>
          <w:lang w:val="en-US" w:eastAsia="zh-CN"/>
        </w:rPr>
        <w:tab/>
      </w:r>
      <w:r w:rsidRPr="006E3B9B">
        <w:rPr>
          <w:lang w:val="en-US" w:eastAsia="zh-CN"/>
        </w:rPr>
        <w:t>1954</w:t>
      </w:r>
      <w:r w:rsidRPr="006E3B9B">
        <w:rPr>
          <w:rFonts w:hint="eastAsia"/>
          <w:lang w:val="en-US" w:eastAsia="zh-CN"/>
        </w:rPr>
        <w:t>年</w:t>
      </w:r>
    </w:p>
    <w:p w14:paraId="4827C2A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123</w:t>
      </w:r>
      <w:r w:rsidRPr="006E3B9B">
        <w:rPr>
          <w:lang w:val="en-US" w:eastAsia="zh-CN"/>
        </w:rPr>
        <w:t>号决定</w:t>
      </w:r>
      <w:r w:rsidRPr="006E3B9B">
        <w:rPr>
          <w:lang w:val="en-US" w:eastAsia="zh-CN"/>
        </w:rPr>
        <w:tab/>
      </w:r>
      <w:r w:rsidRPr="006E3B9B">
        <w:rPr>
          <w:rFonts w:hint="eastAsia"/>
          <w:lang w:eastAsia="zh-CN"/>
        </w:rPr>
        <w:t>下届无线电行政大会的日期</w:t>
      </w:r>
      <w:r w:rsidRPr="006E3B9B">
        <w:rPr>
          <w:lang w:val="en-US" w:eastAsia="zh-CN"/>
        </w:rPr>
        <w:tab/>
      </w:r>
      <w:r w:rsidR="00057467">
        <w:rPr>
          <w:lang w:val="en-US" w:eastAsia="zh-CN"/>
        </w:rPr>
        <w:tab/>
      </w:r>
      <w:r w:rsidRPr="006E3B9B">
        <w:rPr>
          <w:lang w:val="en-US" w:eastAsia="zh-CN"/>
        </w:rPr>
        <w:t>1954</w:t>
      </w:r>
      <w:r w:rsidRPr="006E3B9B">
        <w:rPr>
          <w:rFonts w:hint="eastAsia"/>
          <w:lang w:val="en-US" w:eastAsia="zh-CN"/>
        </w:rPr>
        <w:t>年</w:t>
      </w:r>
    </w:p>
    <w:p w14:paraId="4827C2A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124</w:t>
      </w:r>
      <w:r w:rsidRPr="006E3B9B">
        <w:rPr>
          <w:lang w:val="en-US" w:eastAsia="zh-CN"/>
        </w:rPr>
        <w:t>号决定</w:t>
      </w:r>
      <w:r w:rsidRPr="006E3B9B">
        <w:rPr>
          <w:lang w:val="en-US" w:eastAsia="zh-CN"/>
        </w:rPr>
        <w:tab/>
      </w:r>
      <w:r w:rsidRPr="006E3B9B">
        <w:rPr>
          <w:rFonts w:hint="eastAsia"/>
          <w:lang w:eastAsia="zh-CN"/>
        </w:rPr>
        <w:t>综述电信发展的宣传册</w:t>
      </w:r>
      <w:r w:rsidRPr="006E3B9B">
        <w:rPr>
          <w:lang w:val="en-US" w:eastAsia="zh-CN"/>
        </w:rPr>
        <w:tab/>
      </w:r>
      <w:r w:rsidR="00057467">
        <w:rPr>
          <w:lang w:val="en-US" w:eastAsia="zh-CN"/>
        </w:rPr>
        <w:tab/>
      </w:r>
      <w:r w:rsidRPr="006E3B9B">
        <w:rPr>
          <w:lang w:val="en-US" w:eastAsia="zh-CN"/>
        </w:rPr>
        <w:t>1954</w:t>
      </w:r>
      <w:r w:rsidRPr="006E3B9B">
        <w:rPr>
          <w:rFonts w:hint="eastAsia"/>
          <w:lang w:val="en-US" w:eastAsia="zh-CN"/>
        </w:rPr>
        <w:t>年</w:t>
      </w:r>
    </w:p>
    <w:p w14:paraId="4827C2A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125</w:t>
      </w:r>
      <w:r w:rsidRPr="006E3B9B">
        <w:rPr>
          <w:lang w:val="en-US" w:eastAsia="zh-CN"/>
        </w:rPr>
        <w:t>号决定</w:t>
      </w:r>
      <w:r w:rsidRPr="006E3B9B">
        <w:rPr>
          <w:lang w:val="en-US" w:eastAsia="zh-CN"/>
        </w:rPr>
        <w:tab/>
      </w:r>
      <w:r w:rsidRPr="006E3B9B">
        <w:rPr>
          <w:rFonts w:hint="eastAsia"/>
          <w:lang w:eastAsia="zh-CN"/>
        </w:rPr>
        <w:t>关于国际电联组织机构的宣传册的出版</w:t>
      </w:r>
      <w:r w:rsidR="00057467">
        <w:rPr>
          <w:lang w:eastAsia="zh-CN"/>
        </w:rPr>
        <w:tab/>
      </w:r>
      <w:r w:rsidRPr="006E3B9B">
        <w:rPr>
          <w:lang w:val="en-US" w:eastAsia="zh-CN"/>
        </w:rPr>
        <w:tab/>
        <w:t>1954</w:t>
      </w:r>
      <w:r w:rsidRPr="006E3B9B">
        <w:rPr>
          <w:rFonts w:hint="eastAsia"/>
          <w:lang w:val="en-US" w:eastAsia="zh-CN"/>
        </w:rPr>
        <w:t>年</w:t>
      </w:r>
    </w:p>
    <w:p w14:paraId="4827C2A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126</w:t>
      </w:r>
      <w:r w:rsidRPr="006E3B9B">
        <w:rPr>
          <w:lang w:val="en-US" w:eastAsia="zh-CN"/>
        </w:rPr>
        <w:t>号决定</w:t>
      </w:r>
      <w:r w:rsidRPr="006E3B9B">
        <w:rPr>
          <w:lang w:val="en-US" w:eastAsia="zh-CN"/>
        </w:rPr>
        <w:tab/>
      </w:r>
      <w:r w:rsidRPr="006E3B9B">
        <w:rPr>
          <w:rFonts w:hint="eastAsia"/>
          <w:lang w:eastAsia="zh-CN"/>
        </w:rPr>
        <w:t>修订国际电联的某些规则</w:t>
      </w:r>
      <w:r w:rsidRPr="006E3B9B">
        <w:rPr>
          <w:lang w:val="en-US" w:eastAsia="zh-CN"/>
        </w:rPr>
        <w:tab/>
      </w:r>
      <w:r w:rsidR="00057467">
        <w:rPr>
          <w:lang w:val="en-US" w:eastAsia="zh-CN"/>
        </w:rPr>
        <w:tab/>
      </w:r>
      <w:r w:rsidRPr="006E3B9B">
        <w:rPr>
          <w:lang w:val="en-US" w:eastAsia="zh-CN"/>
        </w:rPr>
        <w:t>1954</w:t>
      </w:r>
      <w:r w:rsidRPr="006E3B9B">
        <w:rPr>
          <w:rFonts w:hint="eastAsia"/>
          <w:lang w:val="en-US" w:eastAsia="zh-CN"/>
        </w:rPr>
        <w:t>年</w:t>
      </w:r>
    </w:p>
    <w:p w14:paraId="4827C2A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127</w:t>
      </w:r>
      <w:r w:rsidRPr="006E3B9B">
        <w:rPr>
          <w:lang w:val="en-US" w:eastAsia="zh-CN"/>
        </w:rPr>
        <w:t>号决定</w:t>
      </w:r>
      <w:r w:rsidRPr="006E3B9B">
        <w:rPr>
          <w:lang w:val="en-US" w:eastAsia="zh-CN"/>
        </w:rPr>
        <w:tab/>
      </w:r>
      <w:r w:rsidRPr="006E3B9B">
        <w:rPr>
          <w:lang w:eastAsia="zh-CN"/>
        </w:rPr>
        <w:t>国际咨询委员会</w:t>
      </w:r>
      <w:r w:rsidRPr="006E3B9B">
        <w:rPr>
          <w:rFonts w:hint="eastAsia"/>
          <w:lang w:eastAsia="zh-CN"/>
        </w:rPr>
        <w:t>代表参加某些会议相关费用的入账</w:t>
      </w:r>
      <w:r w:rsidRPr="006E3B9B">
        <w:rPr>
          <w:lang w:val="en-US" w:eastAsia="zh-CN"/>
        </w:rPr>
        <w:tab/>
      </w:r>
      <w:r w:rsidR="00057467">
        <w:rPr>
          <w:lang w:val="en-US" w:eastAsia="zh-CN"/>
        </w:rPr>
        <w:tab/>
      </w:r>
      <w:r w:rsidRPr="006E3B9B">
        <w:rPr>
          <w:lang w:val="en-US" w:eastAsia="zh-CN"/>
        </w:rPr>
        <w:t>1954</w:t>
      </w:r>
      <w:r w:rsidRPr="006E3B9B">
        <w:rPr>
          <w:rFonts w:hint="eastAsia"/>
          <w:lang w:val="en-US" w:eastAsia="zh-CN"/>
        </w:rPr>
        <w:t>年</w:t>
      </w:r>
    </w:p>
    <w:p w14:paraId="4827C2A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128</w:t>
      </w:r>
      <w:r w:rsidRPr="006E3B9B">
        <w:rPr>
          <w:lang w:val="en-US" w:eastAsia="zh-CN"/>
        </w:rPr>
        <w:t>号决定</w:t>
      </w:r>
      <w:r w:rsidRPr="006E3B9B">
        <w:rPr>
          <w:lang w:val="en-US" w:eastAsia="zh-CN"/>
        </w:rPr>
        <w:tab/>
      </w:r>
      <w:r w:rsidRPr="006E3B9B">
        <w:rPr>
          <w:rFonts w:hint="eastAsia"/>
          <w:lang w:eastAsia="zh-CN"/>
        </w:rPr>
        <w:t>综合预算和流动资金</w:t>
      </w:r>
      <w:r w:rsidRPr="006E3B9B">
        <w:rPr>
          <w:lang w:val="en-US" w:eastAsia="zh-CN"/>
        </w:rPr>
        <w:tab/>
      </w:r>
      <w:r w:rsidR="00057467">
        <w:rPr>
          <w:lang w:val="en-US" w:eastAsia="zh-CN"/>
        </w:rPr>
        <w:tab/>
      </w:r>
      <w:r w:rsidRPr="006E3B9B">
        <w:rPr>
          <w:lang w:val="en-US" w:eastAsia="zh-CN"/>
        </w:rPr>
        <w:t>1954</w:t>
      </w:r>
      <w:r w:rsidRPr="006E3B9B">
        <w:rPr>
          <w:rFonts w:hint="eastAsia"/>
          <w:lang w:val="en-US" w:eastAsia="zh-CN"/>
        </w:rPr>
        <w:t>年</w:t>
      </w:r>
    </w:p>
    <w:p w14:paraId="4827C2A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129</w:t>
      </w:r>
      <w:r w:rsidRPr="006E3B9B">
        <w:rPr>
          <w:lang w:val="en-US" w:eastAsia="zh-CN"/>
        </w:rPr>
        <w:t>号决定</w:t>
      </w:r>
      <w:r w:rsidRPr="006E3B9B">
        <w:rPr>
          <w:lang w:val="en-US" w:eastAsia="zh-CN"/>
        </w:rPr>
        <w:tab/>
      </w:r>
      <w:r w:rsidRPr="006E3B9B">
        <w:rPr>
          <w:rFonts w:hint="eastAsia"/>
          <w:lang w:val="en-US" w:eastAsia="zh-CN"/>
        </w:rPr>
        <w:t>国际</w:t>
      </w:r>
      <w:r w:rsidRPr="006E3B9B">
        <w:rPr>
          <w:rFonts w:hint="eastAsia"/>
          <w:lang w:eastAsia="zh-CN"/>
        </w:rPr>
        <w:t>电联养恤金制度：比较研究</w:t>
      </w:r>
      <w:r w:rsidRPr="006E3B9B">
        <w:rPr>
          <w:lang w:val="en-US" w:eastAsia="zh-CN"/>
        </w:rPr>
        <w:tab/>
      </w:r>
      <w:r w:rsidR="00057467">
        <w:rPr>
          <w:lang w:val="en-US" w:eastAsia="zh-CN"/>
        </w:rPr>
        <w:tab/>
      </w:r>
      <w:r w:rsidRPr="006E3B9B">
        <w:rPr>
          <w:lang w:val="en-US" w:eastAsia="zh-CN"/>
        </w:rPr>
        <w:t>1954</w:t>
      </w:r>
      <w:r w:rsidRPr="006E3B9B">
        <w:rPr>
          <w:rFonts w:hint="eastAsia"/>
          <w:lang w:val="en-US" w:eastAsia="zh-CN"/>
        </w:rPr>
        <w:t>年</w:t>
      </w:r>
    </w:p>
    <w:p w14:paraId="4827C2A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130</w:t>
      </w:r>
      <w:r w:rsidRPr="006E3B9B">
        <w:rPr>
          <w:lang w:val="en-US" w:eastAsia="zh-CN"/>
        </w:rPr>
        <w:t>号决定</w:t>
      </w:r>
      <w:r w:rsidRPr="006E3B9B">
        <w:rPr>
          <w:lang w:val="en-US" w:eastAsia="zh-CN"/>
        </w:rPr>
        <w:tab/>
      </w:r>
      <w:r w:rsidRPr="006E3B9B">
        <w:rPr>
          <w:rFonts w:hint="eastAsia"/>
          <w:lang w:eastAsia="zh-CN"/>
        </w:rPr>
        <w:t>对国际电联职员养恤制度可能做出的修订</w:t>
      </w:r>
      <w:r w:rsidRPr="006E3B9B">
        <w:rPr>
          <w:lang w:val="en-US" w:eastAsia="zh-CN"/>
        </w:rPr>
        <w:tab/>
      </w:r>
      <w:r w:rsidR="00057467">
        <w:rPr>
          <w:lang w:val="en-US" w:eastAsia="zh-CN"/>
        </w:rPr>
        <w:tab/>
      </w:r>
      <w:r w:rsidRPr="006E3B9B">
        <w:rPr>
          <w:lang w:val="en-US" w:eastAsia="zh-CN"/>
        </w:rPr>
        <w:t>1954</w:t>
      </w:r>
      <w:r w:rsidRPr="006E3B9B">
        <w:rPr>
          <w:rFonts w:hint="eastAsia"/>
          <w:lang w:val="en-US" w:eastAsia="zh-CN"/>
        </w:rPr>
        <w:t>年</w:t>
      </w:r>
    </w:p>
    <w:p w14:paraId="4827C2AB"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131</w:t>
      </w:r>
      <w:r w:rsidRPr="006E3B9B">
        <w:rPr>
          <w:lang w:val="en-US" w:eastAsia="zh-CN"/>
        </w:rPr>
        <w:t>号决定</w:t>
      </w:r>
      <w:r w:rsidRPr="006E3B9B">
        <w:rPr>
          <w:lang w:val="en-US" w:eastAsia="zh-CN"/>
        </w:rPr>
        <w:tab/>
      </w:r>
      <w:r w:rsidRPr="006E3B9B">
        <w:rPr>
          <w:rFonts w:hint="eastAsia"/>
          <w:lang w:eastAsia="zh-CN"/>
        </w:rPr>
        <w:t>对职员退休和福利基金规则条款的修正</w:t>
      </w:r>
      <w:r w:rsidRPr="006E3B9B">
        <w:rPr>
          <w:lang w:val="en-US" w:eastAsia="zh-CN"/>
        </w:rPr>
        <w:tab/>
      </w:r>
      <w:r w:rsidR="00057467">
        <w:rPr>
          <w:lang w:val="en-US" w:eastAsia="zh-CN"/>
        </w:rPr>
        <w:tab/>
      </w:r>
      <w:r w:rsidRPr="006E3B9B">
        <w:rPr>
          <w:lang w:val="en-US" w:eastAsia="zh-CN"/>
        </w:rPr>
        <w:t>1954</w:t>
      </w:r>
      <w:r w:rsidRPr="006E3B9B">
        <w:rPr>
          <w:rFonts w:hint="eastAsia"/>
          <w:lang w:val="en-US" w:eastAsia="zh-CN"/>
        </w:rPr>
        <w:t>年</w:t>
      </w:r>
    </w:p>
    <w:p w14:paraId="4827C2A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132</w:t>
      </w:r>
      <w:r w:rsidRPr="006E3B9B">
        <w:rPr>
          <w:lang w:val="en-US" w:eastAsia="zh-CN"/>
        </w:rPr>
        <w:t>号决定</w:t>
      </w:r>
      <w:r w:rsidRPr="006E3B9B">
        <w:rPr>
          <w:lang w:val="en-US" w:eastAsia="zh-CN"/>
        </w:rPr>
        <w:tab/>
      </w:r>
      <w:r w:rsidRPr="006E3B9B">
        <w:rPr>
          <w:rFonts w:hint="eastAsia"/>
          <w:lang w:eastAsia="zh-CN"/>
        </w:rPr>
        <w:t>职员退休和福利基金与某些养恤金基金成员之间的协议</w:t>
      </w:r>
      <w:r w:rsidRPr="006E3B9B">
        <w:rPr>
          <w:lang w:val="en-US" w:eastAsia="zh-CN"/>
        </w:rPr>
        <w:tab/>
      </w:r>
      <w:r w:rsidR="00057467">
        <w:rPr>
          <w:lang w:val="en-US" w:eastAsia="zh-CN"/>
        </w:rPr>
        <w:tab/>
      </w:r>
      <w:r w:rsidRPr="006E3B9B">
        <w:rPr>
          <w:lang w:val="en-US" w:eastAsia="zh-CN"/>
        </w:rPr>
        <w:t>1954</w:t>
      </w:r>
      <w:r w:rsidRPr="006E3B9B">
        <w:rPr>
          <w:rFonts w:hint="eastAsia"/>
          <w:lang w:val="en-US" w:eastAsia="zh-CN"/>
        </w:rPr>
        <w:t>年</w:t>
      </w:r>
    </w:p>
    <w:p w14:paraId="4827C2A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133</w:t>
      </w:r>
      <w:r w:rsidRPr="006E3B9B">
        <w:rPr>
          <w:lang w:val="en-US" w:eastAsia="zh-CN"/>
        </w:rPr>
        <w:t>号决定</w:t>
      </w:r>
      <w:r w:rsidRPr="006E3B9B">
        <w:rPr>
          <w:lang w:val="en-US" w:eastAsia="zh-CN"/>
        </w:rPr>
        <w:tab/>
      </w:r>
      <w:r w:rsidRPr="006E3B9B">
        <w:rPr>
          <w:lang w:eastAsia="zh-CN"/>
        </w:rPr>
        <w:t>1948</w:t>
      </w:r>
      <w:r w:rsidRPr="006E3B9B">
        <w:rPr>
          <w:rFonts w:hint="eastAsia"/>
          <w:lang w:eastAsia="zh-CN"/>
        </w:rPr>
        <w:t>年以前任命的职员的退休年龄</w:t>
      </w:r>
      <w:r w:rsidRPr="006E3B9B">
        <w:rPr>
          <w:lang w:val="en-US" w:eastAsia="zh-CN"/>
        </w:rPr>
        <w:tab/>
      </w:r>
      <w:r w:rsidR="00057467">
        <w:rPr>
          <w:lang w:val="en-US" w:eastAsia="zh-CN"/>
        </w:rPr>
        <w:tab/>
      </w:r>
      <w:r w:rsidRPr="006E3B9B">
        <w:rPr>
          <w:lang w:val="en-US" w:eastAsia="zh-CN"/>
        </w:rPr>
        <w:t>1971</w:t>
      </w:r>
      <w:r w:rsidRPr="006E3B9B">
        <w:rPr>
          <w:rFonts w:hint="eastAsia"/>
          <w:lang w:val="en-US" w:eastAsia="zh-CN"/>
        </w:rPr>
        <w:t>年</w:t>
      </w:r>
    </w:p>
    <w:p w14:paraId="4827C2A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134</w:t>
      </w:r>
      <w:r w:rsidRPr="006E3B9B">
        <w:rPr>
          <w:lang w:val="en-US" w:eastAsia="zh-CN"/>
        </w:rPr>
        <w:t>号决定</w:t>
      </w:r>
      <w:r w:rsidRPr="006E3B9B">
        <w:rPr>
          <w:lang w:val="en-US" w:eastAsia="zh-CN"/>
        </w:rPr>
        <w:tab/>
      </w:r>
      <w:r w:rsidRPr="006E3B9B">
        <w:rPr>
          <w:rFonts w:hint="eastAsia"/>
          <w:lang w:eastAsia="zh-CN"/>
        </w:rPr>
        <w:t>按</w:t>
      </w:r>
      <w:r w:rsidRPr="006E3B9B">
        <w:rPr>
          <w:lang w:eastAsia="zh-CN"/>
        </w:rPr>
        <w:t>1927</w:t>
      </w:r>
      <w:r w:rsidRPr="006E3B9B">
        <w:rPr>
          <w:rFonts w:hint="eastAsia"/>
          <w:lang w:eastAsia="zh-CN"/>
        </w:rPr>
        <w:t>年法令退休的职员的生活费津贴</w:t>
      </w:r>
      <w:r w:rsidRPr="006E3B9B">
        <w:rPr>
          <w:lang w:val="en-US" w:eastAsia="zh-CN"/>
        </w:rPr>
        <w:tab/>
      </w:r>
      <w:r w:rsidR="00057467">
        <w:rPr>
          <w:lang w:val="en-US" w:eastAsia="zh-CN"/>
        </w:rPr>
        <w:tab/>
      </w:r>
      <w:r w:rsidRPr="006E3B9B">
        <w:rPr>
          <w:lang w:val="en-US" w:eastAsia="zh-CN"/>
        </w:rPr>
        <w:t>1954</w:t>
      </w:r>
      <w:r w:rsidRPr="006E3B9B">
        <w:rPr>
          <w:rFonts w:hint="eastAsia"/>
          <w:lang w:val="en-US" w:eastAsia="zh-CN"/>
        </w:rPr>
        <w:t>年</w:t>
      </w:r>
    </w:p>
    <w:p w14:paraId="4827C2A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135</w:t>
      </w:r>
      <w:r w:rsidRPr="006E3B9B">
        <w:rPr>
          <w:lang w:val="en-US" w:eastAsia="zh-CN"/>
        </w:rPr>
        <w:t>号决定</w:t>
      </w:r>
      <w:r w:rsidRPr="006E3B9B">
        <w:rPr>
          <w:lang w:val="en-US" w:eastAsia="zh-CN"/>
        </w:rPr>
        <w:tab/>
      </w:r>
      <w:r w:rsidRPr="006E3B9B">
        <w:rPr>
          <w:rFonts w:hint="eastAsia"/>
          <w:lang w:eastAsia="zh-CN"/>
        </w:rPr>
        <w:t>增加</w:t>
      </w:r>
      <w:r w:rsidRPr="006E3B9B">
        <w:rPr>
          <w:lang w:eastAsia="zh-CN"/>
        </w:rPr>
        <w:t>G.Antonevitch</w:t>
      </w:r>
      <w:r w:rsidRPr="006E3B9B">
        <w:rPr>
          <w:rFonts w:hint="eastAsia"/>
          <w:lang w:eastAsia="zh-CN"/>
        </w:rPr>
        <w:t>先生薪酬的保证</w:t>
      </w:r>
      <w:r w:rsidRPr="006E3B9B">
        <w:rPr>
          <w:lang w:val="en-US" w:eastAsia="zh-CN"/>
        </w:rPr>
        <w:tab/>
      </w:r>
      <w:r w:rsidR="00057467">
        <w:rPr>
          <w:lang w:val="en-US" w:eastAsia="zh-CN"/>
        </w:rPr>
        <w:tab/>
      </w:r>
      <w:r w:rsidRPr="006E3B9B">
        <w:rPr>
          <w:lang w:val="en-US" w:eastAsia="zh-CN"/>
        </w:rPr>
        <w:t>1954</w:t>
      </w:r>
      <w:r w:rsidRPr="006E3B9B">
        <w:rPr>
          <w:rFonts w:hint="eastAsia"/>
          <w:lang w:val="en-US" w:eastAsia="zh-CN"/>
        </w:rPr>
        <w:t>年</w:t>
      </w:r>
    </w:p>
    <w:p w14:paraId="4827C2B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136</w:t>
      </w:r>
      <w:r w:rsidRPr="006E3B9B">
        <w:rPr>
          <w:lang w:val="en-US" w:eastAsia="zh-CN"/>
        </w:rPr>
        <w:t>号决定</w:t>
      </w:r>
      <w:r w:rsidRPr="006E3B9B">
        <w:rPr>
          <w:lang w:val="en-US" w:eastAsia="zh-CN"/>
        </w:rPr>
        <w:tab/>
      </w:r>
      <w:r w:rsidRPr="006E3B9B">
        <w:rPr>
          <w:rFonts w:hint="eastAsia"/>
          <w:lang w:eastAsia="zh-CN"/>
        </w:rPr>
        <w:t>离开国际电联的人员未休假期的支付</w:t>
      </w:r>
      <w:r w:rsidRPr="006E3B9B">
        <w:rPr>
          <w:lang w:val="en-US" w:eastAsia="zh-CN"/>
        </w:rPr>
        <w:tab/>
      </w:r>
      <w:r w:rsidR="00057467">
        <w:rPr>
          <w:lang w:val="en-US" w:eastAsia="zh-CN"/>
        </w:rPr>
        <w:tab/>
      </w:r>
      <w:r w:rsidRPr="006E3B9B">
        <w:rPr>
          <w:lang w:val="en-US" w:eastAsia="zh-CN"/>
        </w:rPr>
        <w:t>1954</w:t>
      </w:r>
      <w:r w:rsidRPr="006E3B9B">
        <w:rPr>
          <w:rFonts w:hint="eastAsia"/>
          <w:lang w:val="en-US" w:eastAsia="zh-CN"/>
        </w:rPr>
        <w:t>年</w:t>
      </w:r>
    </w:p>
    <w:p w14:paraId="4827C2B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137</w:t>
      </w:r>
      <w:r w:rsidRPr="006E3B9B">
        <w:rPr>
          <w:lang w:val="en-US" w:eastAsia="zh-CN"/>
        </w:rPr>
        <w:t>号决定</w:t>
      </w:r>
      <w:r w:rsidRPr="006E3B9B">
        <w:rPr>
          <w:lang w:val="en-US" w:eastAsia="zh-CN"/>
        </w:rPr>
        <w:tab/>
      </w:r>
      <w:r w:rsidRPr="006E3B9B">
        <w:rPr>
          <w:rFonts w:hint="eastAsia"/>
          <w:lang w:val="fr-FR" w:eastAsia="zh-CN"/>
        </w:rPr>
        <w:t>专利</w:t>
      </w:r>
      <w:r w:rsidRPr="006E3B9B">
        <w:rPr>
          <w:lang w:val="en-US" w:eastAsia="zh-CN"/>
        </w:rPr>
        <w:tab/>
      </w:r>
      <w:r w:rsidR="00057467">
        <w:rPr>
          <w:lang w:val="en-US" w:eastAsia="zh-CN"/>
        </w:rPr>
        <w:tab/>
      </w:r>
      <w:r w:rsidRPr="006E3B9B">
        <w:rPr>
          <w:lang w:val="en-US" w:eastAsia="zh-CN"/>
        </w:rPr>
        <w:t>1954</w:t>
      </w:r>
      <w:r w:rsidRPr="006E3B9B">
        <w:rPr>
          <w:rFonts w:hint="eastAsia"/>
          <w:lang w:val="en-US" w:eastAsia="zh-CN"/>
        </w:rPr>
        <w:t>年</w:t>
      </w:r>
    </w:p>
    <w:p w14:paraId="4827C2B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138</w:t>
      </w:r>
      <w:r w:rsidRPr="006E3B9B">
        <w:rPr>
          <w:lang w:val="en-US" w:eastAsia="zh-CN"/>
        </w:rPr>
        <w:t>号决定</w:t>
      </w:r>
      <w:r w:rsidRPr="006E3B9B">
        <w:rPr>
          <w:lang w:val="en-US" w:eastAsia="zh-CN"/>
        </w:rPr>
        <w:tab/>
      </w:r>
      <w:r w:rsidRPr="006E3B9B">
        <w:rPr>
          <w:rFonts w:hint="eastAsia"/>
          <w:lang w:eastAsia="zh-CN"/>
        </w:rPr>
        <w:t>理事会第</w:t>
      </w:r>
      <w:r w:rsidRPr="006E3B9B">
        <w:rPr>
          <w:lang w:eastAsia="zh-CN"/>
        </w:rPr>
        <w:t>10</w:t>
      </w:r>
      <w:r w:rsidRPr="006E3B9B">
        <w:rPr>
          <w:rFonts w:hint="eastAsia"/>
          <w:lang w:eastAsia="zh-CN"/>
        </w:rPr>
        <w:t>届会议的日期</w:t>
      </w:r>
      <w:r w:rsidRPr="006E3B9B">
        <w:rPr>
          <w:lang w:val="en-US" w:eastAsia="zh-CN"/>
        </w:rPr>
        <w:tab/>
      </w:r>
      <w:r w:rsidR="00057467">
        <w:rPr>
          <w:lang w:val="en-US" w:eastAsia="zh-CN"/>
        </w:rPr>
        <w:tab/>
      </w:r>
      <w:r w:rsidRPr="006E3B9B">
        <w:rPr>
          <w:lang w:val="en-US" w:eastAsia="zh-CN"/>
        </w:rPr>
        <w:t>1954</w:t>
      </w:r>
      <w:r w:rsidRPr="006E3B9B">
        <w:rPr>
          <w:rFonts w:hint="eastAsia"/>
          <w:lang w:val="en-US" w:eastAsia="zh-CN"/>
        </w:rPr>
        <w:t>年</w:t>
      </w:r>
    </w:p>
    <w:p w14:paraId="4827C2B3"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10</w:t>
      </w:r>
      <w:r w:rsidRPr="006E3B9B">
        <w:rPr>
          <w:rFonts w:hint="eastAsia"/>
          <w:lang w:eastAsia="zh-CN"/>
        </w:rPr>
        <w:t>届会议（</w:t>
      </w:r>
      <w:r w:rsidRPr="006E3B9B">
        <w:rPr>
          <w:lang w:eastAsia="zh-CN"/>
        </w:rPr>
        <w:t>1955</w:t>
      </w:r>
      <w:r w:rsidRPr="006E3B9B">
        <w:rPr>
          <w:rFonts w:hint="eastAsia"/>
          <w:lang w:eastAsia="zh-CN"/>
        </w:rPr>
        <w:t>年</w:t>
      </w:r>
      <w:r w:rsidRPr="006E3B9B">
        <w:rPr>
          <w:lang w:eastAsia="zh-CN"/>
        </w:rPr>
        <w:t>4</w:t>
      </w:r>
      <w:r w:rsidRPr="006E3B9B">
        <w:rPr>
          <w:rFonts w:hint="eastAsia"/>
          <w:lang w:eastAsia="zh-CN"/>
        </w:rPr>
        <w:t>月</w:t>
      </w:r>
      <w:r w:rsidRPr="006E3B9B">
        <w:rPr>
          <w:lang w:eastAsia="zh-CN"/>
        </w:rPr>
        <w:t>-5</w:t>
      </w:r>
      <w:r w:rsidRPr="006E3B9B">
        <w:rPr>
          <w:rFonts w:hint="eastAsia"/>
          <w:lang w:eastAsia="zh-CN"/>
        </w:rPr>
        <w:t>月）</w:t>
      </w:r>
    </w:p>
    <w:p w14:paraId="4827C2B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139</w:t>
      </w:r>
      <w:r w:rsidRPr="006E3B9B">
        <w:rPr>
          <w:lang w:val="en-US" w:eastAsia="zh-CN"/>
        </w:rPr>
        <w:t>号决定</w:t>
      </w:r>
      <w:r w:rsidRPr="006E3B9B">
        <w:rPr>
          <w:lang w:val="en-US" w:eastAsia="zh-CN"/>
        </w:rPr>
        <w:tab/>
      </w:r>
      <w:r w:rsidRPr="006E3B9B">
        <w:rPr>
          <w:rFonts w:hint="eastAsia"/>
          <w:lang w:eastAsia="zh-CN"/>
        </w:rPr>
        <w:t>下届全权代表大会会议</w:t>
      </w:r>
      <w:r w:rsidR="00057467">
        <w:rPr>
          <w:lang w:eastAsia="zh-CN"/>
        </w:rPr>
        <w:tab/>
      </w:r>
      <w:r w:rsidRPr="006E3B9B">
        <w:rPr>
          <w:lang w:val="en-US" w:eastAsia="zh-CN"/>
        </w:rPr>
        <w:tab/>
        <w:t>1955</w:t>
      </w:r>
      <w:r w:rsidRPr="006E3B9B">
        <w:rPr>
          <w:rFonts w:hint="eastAsia"/>
          <w:lang w:val="en-US" w:eastAsia="zh-CN"/>
        </w:rPr>
        <w:t>年</w:t>
      </w:r>
    </w:p>
    <w:p w14:paraId="4827C2B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140</w:t>
      </w:r>
      <w:r w:rsidRPr="006E3B9B">
        <w:rPr>
          <w:lang w:val="en-US" w:eastAsia="zh-CN"/>
        </w:rPr>
        <w:t>号决定</w:t>
      </w:r>
      <w:r w:rsidRPr="006E3B9B">
        <w:rPr>
          <w:lang w:val="en-US" w:eastAsia="zh-CN"/>
        </w:rPr>
        <w:tab/>
      </w:r>
      <w:r w:rsidRPr="006E3B9B">
        <w:rPr>
          <w:rFonts w:hint="eastAsia"/>
          <w:lang w:eastAsia="zh-CN"/>
        </w:rPr>
        <w:t>下届无线电行政大会的日期</w:t>
      </w:r>
      <w:r w:rsidRPr="006E3B9B">
        <w:rPr>
          <w:lang w:val="en-US" w:eastAsia="zh-CN"/>
        </w:rPr>
        <w:tab/>
      </w:r>
      <w:r w:rsidR="00057467">
        <w:rPr>
          <w:lang w:val="en-US" w:eastAsia="zh-CN"/>
        </w:rPr>
        <w:tab/>
      </w:r>
      <w:r w:rsidRPr="006E3B9B">
        <w:rPr>
          <w:lang w:val="en-US" w:eastAsia="zh-CN"/>
        </w:rPr>
        <w:t>1955</w:t>
      </w:r>
      <w:r w:rsidRPr="006E3B9B">
        <w:rPr>
          <w:rFonts w:hint="eastAsia"/>
          <w:lang w:val="en-US" w:eastAsia="zh-CN"/>
        </w:rPr>
        <w:t>年</w:t>
      </w:r>
    </w:p>
    <w:p w14:paraId="4827C2B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141</w:t>
      </w:r>
      <w:r w:rsidRPr="006E3B9B">
        <w:rPr>
          <w:lang w:val="en-US" w:eastAsia="zh-CN"/>
        </w:rPr>
        <w:t>号决定</w:t>
      </w:r>
      <w:r w:rsidRPr="006E3B9B">
        <w:rPr>
          <w:lang w:val="en-US" w:eastAsia="zh-CN"/>
        </w:rPr>
        <w:tab/>
      </w:r>
      <w:r w:rsidRPr="006E3B9B">
        <w:rPr>
          <w:rFonts w:hint="eastAsia"/>
          <w:lang w:eastAsia="zh-CN"/>
        </w:rPr>
        <w:t>理事会</w:t>
      </w:r>
      <w:r w:rsidRPr="006E3B9B">
        <w:rPr>
          <w:lang w:eastAsia="zh-CN"/>
        </w:rPr>
        <w:t>1956</w:t>
      </w:r>
      <w:r w:rsidRPr="006E3B9B">
        <w:rPr>
          <w:rFonts w:hint="eastAsia"/>
          <w:lang w:eastAsia="zh-CN"/>
        </w:rPr>
        <w:t>年年会的日期</w:t>
      </w:r>
      <w:r w:rsidRPr="006E3B9B">
        <w:rPr>
          <w:lang w:val="en-US" w:eastAsia="zh-CN"/>
        </w:rPr>
        <w:tab/>
      </w:r>
      <w:r w:rsidR="00057467">
        <w:rPr>
          <w:lang w:val="en-US" w:eastAsia="zh-CN"/>
        </w:rPr>
        <w:tab/>
      </w:r>
      <w:r w:rsidRPr="006E3B9B">
        <w:rPr>
          <w:lang w:val="en-US" w:eastAsia="zh-CN"/>
        </w:rPr>
        <w:t>1955</w:t>
      </w:r>
      <w:r w:rsidRPr="006E3B9B">
        <w:rPr>
          <w:rFonts w:hint="eastAsia"/>
          <w:lang w:val="en-US" w:eastAsia="zh-CN"/>
        </w:rPr>
        <w:t>年</w:t>
      </w:r>
    </w:p>
    <w:p w14:paraId="4827C2B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142</w:t>
      </w:r>
      <w:r w:rsidRPr="006E3B9B">
        <w:rPr>
          <w:lang w:val="en-US" w:eastAsia="zh-CN"/>
        </w:rPr>
        <w:t>号决定</w:t>
      </w:r>
      <w:r w:rsidRPr="006E3B9B">
        <w:rPr>
          <w:lang w:val="en-US" w:eastAsia="zh-CN"/>
        </w:rPr>
        <w:tab/>
      </w:r>
      <w:r w:rsidRPr="006E3B9B">
        <w:rPr>
          <w:rFonts w:hint="eastAsia"/>
          <w:lang w:eastAsia="zh-CN"/>
        </w:rPr>
        <w:t>对</w:t>
      </w:r>
      <w:r w:rsidRPr="006E3B9B">
        <w:rPr>
          <w:lang w:eastAsia="zh-CN"/>
        </w:rPr>
        <w:t>国际咨询委员会</w:t>
      </w:r>
      <w:r w:rsidRPr="006E3B9B">
        <w:rPr>
          <w:rFonts w:hint="eastAsia"/>
          <w:lang w:eastAsia="zh-CN"/>
        </w:rPr>
        <w:t>主任选举程序的研究</w:t>
      </w:r>
      <w:r w:rsidRPr="006E3B9B">
        <w:rPr>
          <w:lang w:val="en-US" w:eastAsia="zh-CN"/>
        </w:rPr>
        <w:tab/>
      </w:r>
      <w:r w:rsidR="00057467">
        <w:rPr>
          <w:lang w:val="en-US" w:eastAsia="zh-CN"/>
        </w:rPr>
        <w:tab/>
      </w:r>
      <w:r w:rsidRPr="006E3B9B">
        <w:rPr>
          <w:lang w:val="en-US" w:eastAsia="zh-CN"/>
        </w:rPr>
        <w:t>1955</w:t>
      </w:r>
      <w:r w:rsidRPr="006E3B9B">
        <w:rPr>
          <w:rFonts w:hint="eastAsia"/>
          <w:lang w:val="en-US" w:eastAsia="zh-CN"/>
        </w:rPr>
        <w:t>年</w:t>
      </w:r>
    </w:p>
    <w:p w14:paraId="4827C2B8" w14:textId="77777777" w:rsidR="00091112" w:rsidRDefault="00091112">
      <w:pPr>
        <w:tabs>
          <w:tab w:val="clear" w:pos="794"/>
          <w:tab w:val="clear" w:pos="1191"/>
          <w:tab w:val="clear" w:pos="1588"/>
          <w:tab w:val="clear" w:pos="1985"/>
        </w:tabs>
        <w:overflowPunct/>
        <w:autoSpaceDE/>
        <w:autoSpaceDN/>
        <w:adjustRightInd/>
        <w:spacing w:before="0"/>
        <w:jc w:val="left"/>
        <w:textAlignment w:val="auto"/>
        <w:rPr>
          <w:sz w:val="20"/>
          <w:lang w:val="en-US" w:eastAsia="zh-CN"/>
        </w:rPr>
      </w:pPr>
      <w:r>
        <w:rPr>
          <w:lang w:val="en-US" w:eastAsia="zh-CN"/>
        </w:rPr>
        <w:br w:type="page"/>
      </w:r>
    </w:p>
    <w:p w14:paraId="4827C2B9" w14:textId="77777777" w:rsidR="006E3B9B" w:rsidRPr="006E3B9B" w:rsidRDefault="006E3B9B" w:rsidP="00057467">
      <w:pPr>
        <w:pStyle w:val="Appendixref"/>
        <w:rPr>
          <w:lang w:val="en-US" w:eastAsia="zh-CN"/>
        </w:rPr>
      </w:pPr>
      <w:r w:rsidRPr="006E3B9B">
        <w:rPr>
          <w:lang w:val="en-US" w:eastAsia="zh-CN"/>
        </w:rPr>
        <w:lastRenderedPageBreak/>
        <w:t>第</w:t>
      </w:r>
      <w:r w:rsidRPr="006E3B9B">
        <w:rPr>
          <w:lang w:val="en-US" w:eastAsia="zh-CN"/>
        </w:rPr>
        <w:t>143</w:t>
      </w:r>
      <w:r w:rsidRPr="006E3B9B">
        <w:rPr>
          <w:lang w:val="en-US" w:eastAsia="zh-CN"/>
        </w:rPr>
        <w:t>号决定</w:t>
      </w:r>
      <w:r w:rsidRPr="006E3B9B">
        <w:rPr>
          <w:lang w:val="en-US" w:eastAsia="zh-CN"/>
        </w:rPr>
        <w:tab/>
      </w:r>
      <w:r w:rsidRPr="006E3B9B">
        <w:rPr>
          <w:lang w:eastAsia="zh-CN"/>
        </w:rPr>
        <w:t>CCIR</w:t>
      </w:r>
      <w:r w:rsidRPr="006E3B9B">
        <w:rPr>
          <w:rFonts w:hint="eastAsia"/>
          <w:lang w:eastAsia="zh-CN"/>
        </w:rPr>
        <w:t>主任和</w:t>
      </w:r>
      <w:r w:rsidRPr="006E3B9B">
        <w:rPr>
          <w:lang w:eastAsia="zh-CN"/>
        </w:rPr>
        <w:t>CCITT</w:t>
      </w:r>
      <w:r w:rsidRPr="006E3B9B">
        <w:rPr>
          <w:rFonts w:hint="eastAsia"/>
          <w:lang w:eastAsia="zh-CN"/>
        </w:rPr>
        <w:t>主任的选举</w:t>
      </w:r>
      <w:r w:rsidRPr="006E3B9B">
        <w:rPr>
          <w:lang w:val="en-US" w:eastAsia="zh-CN"/>
        </w:rPr>
        <w:tab/>
      </w:r>
      <w:r w:rsidR="00057467">
        <w:rPr>
          <w:lang w:val="en-US" w:eastAsia="zh-CN"/>
        </w:rPr>
        <w:tab/>
      </w:r>
      <w:r w:rsidRPr="006E3B9B">
        <w:rPr>
          <w:lang w:val="en-US" w:eastAsia="zh-CN"/>
        </w:rPr>
        <w:t>1955</w:t>
      </w:r>
      <w:r w:rsidRPr="006E3B9B">
        <w:rPr>
          <w:rFonts w:hint="eastAsia"/>
          <w:lang w:val="en-US" w:eastAsia="zh-CN"/>
        </w:rPr>
        <w:t>年</w:t>
      </w:r>
    </w:p>
    <w:p w14:paraId="4827C2B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144</w:t>
      </w:r>
      <w:r w:rsidRPr="006E3B9B">
        <w:rPr>
          <w:lang w:val="en-US" w:eastAsia="zh-CN"/>
        </w:rPr>
        <w:t>号决定</w:t>
      </w:r>
      <w:r w:rsidRPr="006E3B9B">
        <w:rPr>
          <w:lang w:val="en-US" w:eastAsia="zh-CN"/>
        </w:rPr>
        <w:tab/>
      </w:r>
      <w:r w:rsidRPr="006E3B9B">
        <w:rPr>
          <w:rFonts w:hint="eastAsia"/>
          <w:lang w:eastAsia="zh-CN"/>
        </w:rPr>
        <w:t>可能为国际电联建设的办公楼</w:t>
      </w:r>
      <w:r w:rsidRPr="006E3B9B">
        <w:rPr>
          <w:lang w:val="en-US" w:eastAsia="zh-CN"/>
        </w:rPr>
        <w:tab/>
      </w:r>
      <w:r w:rsidR="00057467">
        <w:rPr>
          <w:lang w:val="en-US" w:eastAsia="zh-CN"/>
        </w:rPr>
        <w:tab/>
      </w:r>
      <w:r w:rsidRPr="006E3B9B">
        <w:rPr>
          <w:lang w:val="en-US" w:eastAsia="zh-CN"/>
        </w:rPr>
        <w:t>1955</w:t>
      </w:r>
      <w:r w:rsidRPr="006E3B9B">
        <w:rPr>
          <w:rFonts w:hint="eastAsia"/>
          <w:lang w:val="en-US" w:eastAsia="zh-CN"/>
        </w:rPr>
        <w:t>年</w:t>
      </w:r>
    </w:p>
    <w:p w14:paraId="4827C2BB"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145</w:t>
      </w:r>
      <w:r w:rsidRPr="006E3B9B">
        <w:rPr>
          <w:lang w:val="en-US" w:eastAsia="zh-CN"/>
        </w:rPr>
        <w:t>号决定</w:t>
      </w:r>
      <w:r w:rsidRPr="006E3B9B">
        <w:rPr>
          <w:lang w:val="en-US" w:eastAsia="zh-CN"/>
        </w:rPr>
        <w:tab/>
      </w:r>
      <w:r w:rsidRPr="006E3B9B">
        <w:rPr>
          <w:rFonts w:hint="eastAsia"/>
          <w:lang w:eastAsia="zh-CN"/>
        </w:rPr>
        <w:t>综合预算</w:t>
      </w:r>
      <w:r w:rsidRPr="006E3B9B">
        <w:rPr>
          <w:lang w:val="en-US" w:eastAsia="zh-CN"/>
        </w:rPr>
        <w:tab/>
      </w:r>
      <w:r w:rsidR="00057467">
        <w:rPr>
          <w:lang w:val="en-US" w:eastAsia="zh-CN"/>
        </w:rPr>
        <w:tab/>
      </w:r>
      <w:r w:rsidRPr="006E3B9B">
        <w:rPr>
          <w:lang w:val="en-US" w:eastAsia="zh-CN"/>
        </w:rPr>
        <w:t>1964</w:t>
      </w:r>
      <w:r w:rsidRPr="006E3B9B">
        <w:rPr>
          <w:rFonts w:hint="eastAsia"/>
          <w:lang w:val="en-US" w:eastAsia="zh-CN"/>
        </w:rPr>
        <w:t>年</w:t>
      </w:r>
    </w:p>
    <w:p w14:paraId="4827C2B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146</w:t>
      </w:r>
      <w:r w:rsidRPr="006E3B9B">
        <w:rPr>
          <w:lang w:val="en-US" w:eastAsia="zh-CN"/>
        </w:rPr>
        <w:t>号决定</w:t>
      </w:r>
      <w:r w:rsidRPr="006E3B9B">
        <w:rPr>
          <w:lang w:val="en-US" w:eastAsia="zh-CN"/>
        </w:rPr>
        <w:tab/>
      </w:r>
      <w:r w:rsidRPr="006E3B9B">
        <w:rPr>
          <w:lang w:eastAsia="zh-CN"/>
        </w:rPr>
        <w:t>CCIR</w:t>
      </w:r>
      <w:r w:rsidRPr="006E3B9B">
        <w:rPr>
          <w:rFonts w:hint="eastAsia"/>
          <w:lang w:eastAsia="zh-CN"/>
        </w:rPr>
        <w:t>代表参加</w:t>
      </w:r>
      <w:r w:rsidRPr="006E3B9B">
        <w:rPr>
          <w:lang w:eastAsia="zh-CN"/>
        </w:rPr>
        <w:t>国际电话咨询委员会</w:t>
      </w:r>
      <w:r w:rsidRPr="006E3B9B">
        <w:rPr>
          <w:rFonts w:hint="eastAsia"/>
          <w:lang w:eastAsia="zh-CN"/>
        </w:rPr>
        <w:t>会议产生的相关费用</w:t>
      </w:r>
      <w:r w:rsidRPr="006E3B9B">
        <w:rPr>
          <w:lang w:val="en-US" w:eastAsia="zh-CN"/>
        </w:rPr>
        <w:tab/>
      </w:r>
      <w:r w:rsidR="00057467">
        <w:rPr>
          <w:lang w:val="en-US" w:eastAsia="zh-CN"/>
        </w:rPr>
        <w:tab/>
      </w:r>
      <w:r w:rsidRPr="006E3B9B">
        <w:rPr>
          <w:lang w:val="en-US" w:eastAsia="zh-CN"/>
        </w:rPr>
        <w:t>1955</w:t>
      </w:r>
      <w:r w:rsidRPr="006E3B9B">
        <w:rPr>
          <w:rFonts w:hint="eastAsia"/>
          <w:lang w:val="en-US" w:eastAsia="zh-CN"/>
        </w:rPr>
        <w:t>年</w:t>
      </w:r>
    </w:p>
    <w:p w14:paraId="4827C2B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147</w:t>
      </w:r>
      <w:r w:rsidRPr="006E3B9B">
        <w:rPr>
          <w:lang w:val="en-US" w:eastAsia="zh-CN"/>
        </w:rPr>
        <w:t>号决定</w:t>
      </w:r>
      <w:r w:rsidRPr="006E3B9B">
        <w:rPr>
          <w:lang w:val="en-US" w:eastAsia="zh-CN"/>
        </w:rPr>
        <w:tab/>
      </w:r>
      <w:r w:rsidRPr="006E3B9B">
        <w:rPr>
          <w:rFonts w:hint="eastAsia"/>
          <w:lang w:eastAsia="zh-CN"/>
        </w:rPr>
        <w:t>利用构成</w:t>
      </w:r>
      <w:r w:rsidRPr="006E3B9B">
        <w:rPr>
          <w:lang w:eastAsia="zh-CN"/>
        </w:rPr>
        <w:t>国际电话咨询委员会</w:t>
      </w:r>
      <w:r w:rsidRPr="006E3B9B">
        <w:rPr>
          <w:rFonts w:hint="eastAsia"/>
          <w:lang w:eastAsia="zh-CN"/>
        </w:rPr>
        <w:t>储备金的货币进行投资</w:t>
      </w:r>
      <w:r w:rsidRPr="006E3B9B">
        <w:rPr>
          <w:lang w:val="en-US" w:eastAsia="zh-CN"/>
        </w:rPr>
        <w:tab/>
      </w:r>
      <w:r w:rsidR="00057467">
        <w:rPr>
          <w:lang w:val="en-US" w:eastAsia="zh-CN"/>
        </w:rPr>
        <w:tab/>
      </w:r>
      <w:r w:rsidRPr="006E3B9B">
        <w:rPr>
          <w:lang w:val="en-US" w:eastAsia="zh-CN"/>
        </w:rPr>
        <w:t>1964</w:t>
      </w:r>
      <w:r w:rsidRPr="006E3B9B">
        <w:rPr>
          <w:rFonts w:hint="eastAsia"/>
          <w:lang w:val="en-US" w:eastAsia="zh-CN"/>
        </w:rPr>
        <w:t>年</w:t>
      </w:r>
    </w:p>
    <w:p w14:paraId="4827C2B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148</w:t>
      </w:r>
      <w:r w:rsidRPr="006E3B9B">
        <w:rPr>
          <w:lang w:val="en-US" w:eastAsia="zh-CN"/>
        </w:rPr>
        <w:t>号决定</w:t>
      </w:r>
      <w:r w:rsidRPr="006E3B9B">
        <w:rPr>
          <w:lang w:val="en-US" w:eastAsia="zh-CN"/>
        </w:rPr>
        <w:tab/>
      </w:r>
      <w:r w:rsidRPr="006E3B9B">
        <w:rPr>
          <w:rFonts w:hint="eastAsia"/>
          <w:lang w:eastAsia="zh-CN"/>
        </w:rPr>
        <w:t>归国津贴</w:t>
      </w:r>
      <w:r w:rsidRPr="006E3B9B">
        <w:rPr>
          <w:lang w:val="en-US" w:eastAsia="zh-CN"/>
        </w:rPr>
        <w:tab/>
      </w:r>
      <w:r w:rsidR="00057467">
        <w:rPr>
          <w:lang w:val="en-US" w:eastAsia="zh-CN"/>
        </w:rPr>
        <w:tab/>
      </w:r>
      <w:r w:rsidRPr="006E3B9B">
        <w:rPr>
          <w:lang w:val="en-US" w:eastAsia="zh-CN"/>
        </w:rPr>
        <w:t>1964</w:t>
      </w:r>
      <w:r w:rsidRPr="006E3B9B">
        <w:rPr>
          <w:rFonts w:hint="eastAsia"/>
          <w:lang w:val="en-US" w:eastAsia="zh-CN"/>
        </w:rPr>
        <w:t>年</w:t>
      </w:r>
    </w:p>
    <w:p w14:paraId="4827C2B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149</w:t>
      </w:r>
      <w:r w:rsidRPr="006E3B9B">
        <w:rPr>
          <w:lang w:val="en-US" w:eastAsia="zh-CN"/>
        </w:rPr>
        <w:t>号决定</w:t>
      </w:r>
      <w:r w:rsidRPr="006E3B9B">
        <w:rPr>
          <w:lang w:val="en-US" w:eastAsia="zh-CN"/>
        </w:rPr>
        <w:tab/>
      </w:r>
      <w:r w:rsidRPr="006E3B9B">
        <w:rPr>
          <w:rFonts w:hint="eastAsia"/>
          <w:lang w:eastAsia="zh-CN"/>
        </w:rPr>
        <w:t>对在任职员的生活费补贴</w:t>
      </w:r>
      <w:r w:rsidRPr="006E3B9B">
        <w:rPr>
          <w:lang w:val="en-US" w:eastAsia="zh-CN"/>
        </w:rPr>
        <w:tab/>
      </w:r>
      <w:r w:rsidR="00057467">
        <w:rPr>
          <w:lang w:val="en-US" w:eastAsia="zh-CN"/>
        </w:rPr>
        <w:tab/>
      </w:r>
      <w:r w:rsidRPr="006E3B9B">
        <w:rPr>
          <w:lang w:val="en-US" w:eastAsia="zh-CN"/>
        </w:rPr>
        <w:t>1955</w:t>
      </w:r>
      <w:r w:rsidRPr="006E3B9B">
        <w:rPr>
          <w:rFonts w:hint="eastAsia"/>
          <w:lang w:val="en-US" w:eastAsia="zh-CN"/>
        </w:rPr>
        <w:t>年</w:t>
      </w:r>
    </w:p>
    <w:p w14:paraId="4827C2C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150</w:t>
      </w:r>
      <w:r w:rsidRPr="006E3B9B">
        <w:rPr>
          <w:lang w:val="en-US" w:eastAsia="zh-CN"/>
        </w:rPr>
        <w:t>号决定</w:t>
      </w:r>
      <w:r w:rsidRPr="006E3B9B">
        <w:rPr>
          <w:lang w:val="en-US" w:eastAsia="zh-CN"/>
        </w:rPr>
        <w:tab/>
      </w:r>
      <w:r w:rsidRPr="006E3B9B">
        <w:rPr>
          <w:rFonts w:hint="eastAsia"/>
          <w:lang w:eastAsia="zh-CN"/>
        </w:rPr>
        <w:t>根据</w:t>
      </w:r>
      <w:r w:rsidRPr="006E3B9B">
        <w:rPr>
          <w:lang w:eastAsia="zh-CN"/>
        </w:rPr>
        <w:t>1927</w:t>
      </w:r>
      <w:r w:rsidRPr="006E3B9B">
        <w:rPr>
          <w:rFonts w:hint="eastAsia"/>
          <w:lang w:eastAsia="zh-CN"/>
        </w:rPr>
        <w:t>年法规领取养恤金的人员的生活费补贴</w:t>
      </w:r>
      <w:r w:rsidRPr="006E3B9B">
        <w:rPr>
          <w:lang w:val="en-US" w:eastAsia="zh-CN"/>
        </w:rPr>
        <w:tab/>
      </w:r>
      <w:r w:rsidR="00057467">
        <w:rPr>
          <w:lang w:val="en-US" w:eastAsia="zh-CN"/>
        </w:rPr>
        <w:tab/>
      </w:r>
      <w:r w:rsidRPr="006E3B9B">
        <w:rPr>
          <w:lang w:val="en-US" w:eastAsia="zh-CN"/>
        </w:rPr>
        <w:t>1955</w:t>
      </w:r>
      <w:r w:rsidRPr="006E3B9B">
        <w:rPr>
          <w:rFonts w:hint="eastAsia"/>
          <w:lang w:val="en-US" w:eastAsia="zh-CN"/>
        </w:rPr>
        <w:t>年</w:t>
      </w:r>
    </w:p>
    <w:p w14:paraId="4827C2C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151</w:t>
      </w:r>
      <w:r w:rsidRPr="006E3B9B">
        <w:rPr>
          <w:lang w:val="en-US" w:eastAsia="zh-CN"/>
        </w:rPr>
        <w:t>号决定</w:t>
      </w:r>
      <w:r w:rsidRPr="006E3B9B">
        <w:rPr>
          <w:lang w:val="en-US" w:eastAsia="zh-CN"/>
        </w:rPr>
        <w:tab/>
      </w:r>
      <w:r w:rsidRPr="006E3B9B">
        <w:rPr>
          <w:lang w:eastAsia="zh-CN"/>
        </w:rPr>
        <w:t>国际咨询委员会</w:t>
      </w:r>
      <w:r w:rsidRPr="006E3B9B">
        <w:rPr>
          <w:rFonts w:hint="eastAsia"/>
          <w:lang w:eastAsia="zh-CN"/>
        </w:rPr>
        <w:t>的正副主任作为职员退休和福利基金管理委员会委员的任期</w:t>
      </w:r>
      <w:r w:rsidR="00057467">
        <w:rPr>
          <w:lang w:eastAsia="zh-CN"/>
        </w:rPr>
        <w:tab/>
      </w:r>
      <w:r w:rsidRPr="006E3B9B">
        <w:rPr>
          <w:lang w:val="en-US" w:eastAsia="zh-CN"/>
        </w:rPr>
        <w:tab/>
        <w:t>1955</w:t>
      </w:r>
      <w:r w:rsidRPr="006E3B9B">
        <w:rPr>
          <w:rFonts w:hint="eastAsia"/>
          <w:lang w:val="en-US" w:eastAsia="zh-CN"/>
        </w:rPr>
        <w:t>年</w:t>
      </w:r>
    </w:p>
    <w:p w14:paraId="4827C2C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152</w:t>
      </w:r>
      <w:r w:rsidRPr="006E3B9B">
        <w:rPr>
          <w:lang w:val="en-US" w:eastAsia="zh-CN"/>
        </w:rPr>
        <w:t>号决定</w:t>
      </w:r>
      <w:r w:rsidRPr="006E3B9B">
        <w:rPr>
          <w:lang w:val="en-US" w:eastAsia="zh-CN"/>
        </w:rPr>
        <w:tab/>
      </w:r>
      <w:r w:rsidRPr="006E3B9B">
        <w:rPr>
          <w:rFonts w:hint="eastAsia"/>
          <w:lang w:val="en-US" w:eastAsia="zh-CN"/>
        </w:rPr>
        <w:t>国际</w:t>
      </w:r>
      <w:r w:rsidRPr="006E3B9B">
        <w:rPr>
          <w:rFonts w:hint="eastAsia"/>
          <w:lang w:eastAsia="zh-CN"/>
        </w:rPr>
        <w:t>电联出版物的销售价格</w:t>
      </w:r>
      <w:r w:rsidRPr="006E3B9B">
        <w:rPr>
          <w:lang w:val="en-US" w:eastAsia="zh-CN"/>
        </w:rPr>
        <w:tab/>
      </w:r>
      <w:r w:rsidR="00057467">
        <w:rPr>
          <w:lang w:val="en-US" w:eastAsia="zh-CN"/>
        </w:rPr>
        <w:tab/>
      </w:r>
      <w:r w:rsidRPr="006E3B9B">
        <w:rPr>
          <w:lang w:val="en-US" w:eastAsia="zh-CN"/>
        </w:rPr>
        <w:t>1955</w:t>
      </w:r>
      <w:r w:rsidRPr="006E3B9B">
        <w:rPr>
          <w:rFonts w:hint="eastAsia"/>
          <w:lang w:val="en-US" w:eastAsia="zh-CN"/>
        </w:rPr>
        <w:t>年</w:t>
      </w:r>
    </w:p>
    <w:p w14:paraId="4827C2C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153</w:t>
      </w:r>
      <w:r w:rsidRPr="006E3B9B">
        <w:rPr>
          <w:lang w:val="en-US" w:eastAsia="zh-CN"/>
        </w:rPr>
        <w:t>号决定</w:t>
      </w:r>
      <w:r w:rsidRPr="006E3B9B">
        <w:rPr>
          <w:lang w:val="en-US" w:eastAsia="zh-CN"/>
        </w:rPr>
        <w:tab/>
      </w:r>
      <w:r w:rsidRPr="006E3B9B">
        <w:rPr>
          <w:rFonts w:hint="eastAsia"/>
          <w:lang w:eastAsia="zh-CN"/>
        </w:rPr>
        <w:t>在瑞士以外印制某些文件</w:t>
      </w:r>
      <w:r w:rsidRPr="006E3B9B">
        <w:rPr>
          <w:lang w:val="en-US" w:eastAsia="zh-CN"/>
        </w:rPr>
        <w:tab/>
      </w:r>
      <w:r w:rsidR="00057467">
        <w:rPr>
          <w:lang w:val="en-US" w:eastAsia="zh-CN"/>
        </w:rPr>
        <w:tab/>
      </w:r>
      <w:r w:rsidRPr="006E3B9B">
        <w:rPr>
          <w:lang w:val="en-US" w:eastAsia="zh-CN"/>
        </w:rPr>
        <w:t>1999</w:t>
      </w:r>
      <w:r w:rsidRPr="006E3B9B">
        <w:rPr>
          <w:rFonts w:hint="eastAsia"/>
          <w:lang w:val="en-US" w:eastAsia="zh-CN"/>
        </w:rPr>
        <w:t>年</w:t>
      </w:r>
    </w:p>
    <w:p w14:paraId="4827C2C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154</w:t>
      </w:r>
      <w:r w:rsidRPr="006E3B9B">
        <w:rPr>
          <w:lang w:val="en-US" w:eastAsia="zh-CN"/>
        </w:rPr>
        <w:t>号决定</w:t>
      </w:r>
      <w:r w:rsidRPr="006E3B9B">
        <w:rPr>
          <w:lang w:val="en-US" w:eastAsia="zh-CN"/>
        </w:rPr>
        <w:tab/>
      </w:r>
      <w:r w:rsidRPr="006E3B9B">
        <w:rPr>
          <w:rFonts w:hint="eastAsia"/>
          <w:lang w:val="en-US" w:eastAsia="zh-CN"/>
        </w:rPr>
        <w:t>国际</w:t>
      </w:r>
      <w:r w:rsidRPr="006E3B9B">
        <w:rPr>
          <w:rFonts w:hint="eastAsia"/>
          <w:lang w:val="fr-FR" w:eastAsia="zh-CN"/>
        </w:rPr>
        <w:t>电联的业务文件</w:t>
      </w:r>
      <w:r w:rsidRPr="006E3B9B">
        <w:rPr>
          <w:lang w:val="en-US" w:eastAsia="zh-CN"/>
        </w:rPr>
        <w:tab/>
      </w:r>
      <w:r w:rsidR="00057467">
        <w:rPr>
          <w:lang w:val="en-US" w:eastAsia="zh-CN"/>
        </w:rPr>
        <w:tab/>
      </w:r>
      <w:r w:rsidRPr="006E3B9B">
        <w:rPr>
          <w:lang w:val="en-US" w:eastAsia="zh-CN"/>
        </w:rPr>
        <w:t>1964</w:t>
      </w:r>
      <w:r w:rsidRPr="006E3B9B">
        <w:rPr>
          <w:rFonts w:hint="eastAsia"/>
          <w:lang w:val="en-US" w:eastAsia="zh-CN"/>
        </w:rPr>
        <w:t>年</w:t>
      </w:r>
    </w:p>
    <w:p w14:paraId="4827C2C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155</w:t>
      </w:r>
      <w:r w:rsidRPr="006E3B9B">
        <w:rPr>
          <w:lang w:val="en-US" w:eastAsia="zh-CN"/>
        </w:rPr>
        <w:t>号决定</w:t>
      </w:r>
      <w:r w:rsidRPr="006E3B9B">
        <w:rPr>
          <w:lang w:val="en-US" w:eastAsia="zh-CN"/>
        </w:rPr>
        <w:tab/>
      </w:r>
      <w:r w:rsidRPr="006E3B9B">
        <w:rPr>
          <w:rFonts w:hint="eastAsia"/>
          <w:lang w:eastAsia="zh-CN"/>
        </w:rPr>
        <w:t>综述电信发展的宣传册</w:t>
      </w:r>
      <w:r w:rsidRPr="006E3B9B">
        <w:rPr>
          <w:lang w:val="en-US" w:eastAsia="zh-CN"/>
        </w:rPr>
        <w:tab/>
      </w:r>
      <w:r w:rsidR="00057467">
        <w:rPr>
          <w:lang w:val="en-US" w:eastAsia="zh-CN"/>
        </w:rPr>
        <w:tab/>
      </w:r>
      <w:r w:rsidRPr="006E3B9B">
        <w:rPr>
          <w:lang w:val="en-US" w:eastAsia="zh-CN"/>
        </w:rPr>
        <w:t>1955</w:t>
      </w:r>
      <w:r w:rsidRPr="006E3B9B">
        <w:rPr>
          <w:rFonts w:hint="eastAsia"/>
          <w:lang w:val="en-US" w:eastAsia="zh-CN"/>
        </w:rPr>
        <w:t>年</w:t>
      </w:r>
    </w:p>
    <w:p w14:paraId="4827C2C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156</w:t>
      </w:r>
      <w:r w:rsidRPr="006E3B9B">
        <w:rPr>
          <w:lang w:val="en-US" w:eastAsia="zh-CN"/>
        </w:rPr>
        <w:t>号决定</w:t>
      </w:r>
      <w:r w:rsidRPr="006E3B9B">
        <w:rPr>
          <w:lang w:val="en-US" w:eastAsia="zh-CN"/>
        </w:rPr>
        <w:tab/>
      </w:r>
      <w:r w:rsidRPr="006E3B9B">
        <w:rPr>
          <w:rFonts w:hint="eastAsia"/>
          <w:lang w:val="en-US" w:eastAsia="zh-CN"/>
        </w:rPr>
        <w:t>国际</w:t>
      </w:r>
      <w:r w:rsidRPr="006E3B9B">
        <w:rPr>
          <w:rFonts w:hint="eastAsia"/>
          <w:lang w:eastAsia="zh-CN"/>
        </w:rPr>
        <w:t>电联参加</w:t>
      </w:r>
      <w:r w:rsidRPr="006E3B9B">
        <w:rPr>
          <w:lang w:eastAsia="zh-CN"/>
        </w:rPr>
        <w:t>1958</w:t>
      </w:r>
      <w:r w:rsidRPr="006E3B9B">
        <w:rPr>
          <w:rFonts w:hint="eastAsia"/>
          <w:lang w:eastAsia="zh-CN"/>
        </w:rPr>
        <w:t>年布鲁塞尔博览会</w:t>
      </w:r>
      <w:r w:rsidRPr="006E3B9B">
        <w:rPr>
          <w:lang w:val="en-US" w:eastAsia="zh-CN"/>
        </w:rPr>
        <w:tab/>
      </w:r>
      <w:r w:rsidR="00057467">
        <w:rPr>
          <w:lang w:val="en-US" w:eastAsia="zh-CN"/>
        </w:rPr>
        <w:tab/>
      </w:r>
      <w:r w:rsidRPr="006E3B9B">
        <w:rPr>
          <w:lang w:val="en-US" w:eastAsia="zh-CN"/>
        </w:rPr>
        <w:t>1964</w:t>
      </w:r>
      <w:r w:rsidRPr="006E3B9B">
        <w:rPr>
          <w:rFonts w:hint="eastAsia"/>
          <w:lang w:val="en-US" w:eastAsia="zh-CN"/>
        </w:rPr>
        <w:t>年</w:t>
      </w:r>
    </w:p>
    <w:p w14:paraId="4827C2C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157</w:t>
      </w:r>
      <w:r w:rsidRPr="006E3B9B">
        <w:rPr>
          <w:lang w:val="en-US" w:eastAsia="zh-CN"/>
        </w:rPr>
        <w:t>号决定</w:t>
      </w:r>
      <w:r w:rsidRPr="006E3B9B">
        <w:rPr>
          <w:lang w:val="en-US" w:eastAsia="zh-CN"/>
        </w:rPr>
        <w:tab/>
      </w:r>
      <w:r w:rsidRPr="006E3B9B">
        <w:rPr>
          <w:rFonts w:hint="eastAsia"/>
          <w:lang w:val="en-US" w:eastAsia="zh-CN"/>
        </w:rPr>
        <w:t>《</w:t>
      </w:r>
      <w:r w:rsidRPr="006E3B9B">
        <w:rPr>
          <w:rFonts w:hint="eastAsia"/>
          <w:lang w:eastAsia="zh-CN"/>
        </w:rPr>
        <w:t>理事会决议和决定》的出版</w:t>
      </w:r>
      <w:r w:rsidRPr="006E3B9B">
        <w:rPr>
          <w:lang w:val="en-US" w:eastAsia="zh-CN"/>
        </w:rPr>
        <w:tab/>
      </w:r>
      <w:r w:rsidR="00057467">
        <w:rPr>
          <w:lang w:val="en-US" w:eastAsia="zh-CN"/>
        </w:rPr>
        <w:tab/>
      </w:r>
      <w:r w:rsidRPr="006E3B9B">
        <w:rPr>
          <w:lang w:val="en-US" w:eastAsia="zh-CN"/>
        </w:rPr>
        <w:t>1964</w:t>
      </w:r>
      <w:r w:rsidRPr="006E3B9B">
        <w:rPr>
          <w:rFonts w:hint="eastAsia"/>
          <w:lang w:val="en-US" w:eastAsia="zh-CN"/>
        </w:rPr>
        <w:t>年</w:t>
      </w:r>
    </w:p>
    <w:p w14:paraId="4827C2C8"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11</w:t>
      </w:r>
      <w:r w:rsidRPr="006E3B9B">
        <w:rPr>
          <w:rFonts w:hint="eastAsia"/>
          <w:lang w:eastAsia="zh-CN"/>
        </w:rPr>
        <w:t>届会议（</w:t>
      </w:r>
      <w:r w:rsidRPr="006E3B9B">
        <w:rPr>
          <w:lang w:eastAsia="zh-CN"/>
        </w:rPr>
        <w:t>1956</w:t>
      </w:r>
      <w:r w:rsidRPr="006E3B9B">
        <w:rPr>
          <w:rFonts w:hint="eastAsia"/>
          <w:lang w:eastAsia="zh-CN"/>
        </w:rPr>
        <w:t>年</w:t>
      </w:r>
      <w:r w:rsidRPr="006E3B9B">
        <w:rPr>
          <w:lang w:eastAsia="zh-CN"/>
        </w:rPr>
        <w:t>4</w:t>
      </w:r>
      <w:r w:rsidRPr="006E3B9B">
        <w:rPr>
          <w:rFonts w:hint="eastAsia"/>
          <w:lang w:eastAsia="zh-CN"/>
        </w:rPr>
        <w:t>月</w:t>
      </w:r>
      <w:r w:rsidRPr="006E3B9B">
        <w:rPr>
          <w:lang w:eastAsia="zh-CN"/>
        </w:rPr>
        <w:t>-5</w:t>
      </w:r>
      <w:r w:rsidRPr="006E3B9B">
        <w:rPr>
          <w:rFonts w:hint="eastAsia"/>
          <w:lang w:eastAsia="zh-CN"/>
        </w:rPr>
        <w:t>月）</w:t>
      </w:r>
    </w:p>
    <w:p w14:paraId="4827C2C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158</w:t>
      </w:r>
      <w:r w:rsidRPr="006E3B9B">
        <w:rPr>
          <w:lang w:val="en-US" w:eastAsia="zh-CN"/>
        </w:rPr>
        <w:t>号决定</w:t>
      </w:r>
      <w:r w:rsidRPr="006E3B9B">
        <w:rPr>
          <w:lang w:val="en-US" w:eastAsia="zh-CN"/>
        </w:rPr>
        <w:tab/>
      </w:r>
      <w:r w:rsidRPr="006E3B9B">
        <w:rPr>
          <w:rFonts w:hint="eastAsia"/>
          <w:lang w:eastAsia="zh-CN"/>
        </w:rPr>
        <w:t>即将召开的国际电联大会的计划</w:t>
      </w:r>
      <w:r w:rsidRPr="006E3B9B">
        <w:rPr>
          <w:lang w:val="en-US" w:eastAsia="zh-CN"/>
        </w:rPr>
        <w:tab/>
      </w:r>
      <w:r w:rsidR="00057467">
        <w:rPr>
          <w:lang w:val="en-US" w:eastAsia="zh-CN"/>
        </w:rPr>
        <w:tab/>
      </w:r>
      <w:r w:rsidRPr="006E3B9B">
        <w:rPr>
          <w:lang w:val="en-US" w:eastAsia="zh-CN"/>
        </w:rPr>
        <w:t>1956</w:t>
      </w:r>
      <w:r w:rsidRPr="006E3B9B">
        <w:rPr>
          <w:rFonts w:hint="eastAsia"/>
          <w:lang w:val="en-US" w:eastAsia="zh-CN"/>
        </w:rPr>
        <w:t>年</w:t>
      </w:r>
    </w:p>
    <w:p w14:paraId="4827C2C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159</w:t>
      </w:r>
      <w:r w:rsidRPr="006E3B9B">
        <w:rPr>
          <w:lang w:val="en-US" w:eastAsia="zh-CN"/>
        </w:rPr>
        <w:t>号决定</w:t>
      </w:r>
      <w:r w:rsidRPr="006E3B9B">
        <w:rPr>
          <w:lang w:val="en-US" w:eastAsia="zh-CN"/>
        </w:rPr>
        <w:tab/>
      </w:r>
      <w:r w:rsidRPr="006E3B9B">
        <w:rPr>
          <w:rFonts w:hint="eastAsia"/>
          <w:lang w:eastAsia="zh-CN"/>
        </w:rPr>
        <w:t>理事会</w:t>
      </w:r>
      <w:r w:rsidRPr="006E3B9B">
        <w:rPr>
          <w:lang w:eastAsia="zh-CN"/>
        </w:rPr>
        <w:t>1957</w:t>
      </w:r>
      <w:r w:rsidRPr="006E3B9B">
        <w:rPr>
          <w:rFonts w:hint="eastAsia"/>
          <w:lang w:eastAsia="zh-CN"/>
        </w:rPr>
        <w:t>年年会的日期</w:t>
      </w:r>
      <w:r w:rsidRPr="006E3B9B">
        <w:rPr>
          <w:lang w:val="en-US" w:eastAsia="zh-CN"/>
        </w:rPr>
        <w:tab/>
      </w:r>
      <w:r w:rsidR="00057467">
        <w:rPr>
          <w:lang w:val="en-US" w:eastAsia="zh-CN"/>
        </w:rPr>
        <w:tab/>
      </w:r>
      <w:r w:rsidRPr="006E3B9B">
        <w:rPr>
          <w:lang w:val="en-US" w:eastAsia="zh-CN"/>
        </w:rPr>
        <w:t>1956</w:t>
      </w:r>
      <w:r w:rsidRPr="006E3B9B">
        <w:rPr>
          <w:rFonts w:hint="eastAsia"/>
          <w:lang w:val="en-US" w:eastAsia="zh-CN"/>
        </w:rPr>
        <w:t>年</w:t>
      </w:r>
    </w:p>
    <w:p w14:paraId="4827C2CB"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160</w:t>
      </w:r>
      <w:r w:rsidRPr="006E3B9B">
        <w:rPr>
          <w:lang w:val="en-US" w:eastAsia="zh-CN"/>
        </w:rPr>
        <w:t>号决定</w:t>
      </w:r>
      <w:r w:rsidRPr="006E3B9B">
        <w:rPr>
          <w:lang w:val="en-US" w:eastAsia="zh-CN"/>
        </w:rPr>
        <w:tab/>
      </w:r>
      <w:r w:rsidRPr="006E3B9B">
        <w:rPr>
          <w:rFonts w:hint="eastAsia"/>
          <w:lang w:eastAsia="zh-CN"/>
        </w:rPr>
        <w:t>为国际电联总部建造办公楼</w:t>
      </w:r>
      <w:r w:rsidRPr="006E3B9B">
        <w:rPr>
          <w:lang w:val="en-US" w:eastAsia="zh-CN"/>
        </w:rPr>
        <w:tab/>
      </w:r>
      <w:r w:rsidR="00057467">
        <w:rPr>
          <w:lang w:val="en-US" w:eastAsia="zh-CN"/>
        </w:rPr>
        <w:tab/>
      </w:r>
      <w:r w:rsidRPr="006E3B9B">
        <w:rPr>
          <w:lang w:val="en-US" w:eastAsia="zh-CN"/>
        </w:rPr>
        <w:t>1964</w:t>
      </w:r>
      <w:r w:rsidRPr="006E3B9B">
        <w:rPr>
          <w:rFonts w:hint="eastAsia"/>
          <w:lang w:val="en-US" w:eastAsia="zh-CN"/>
        </w:rPr>
        <w:t>年</w:t>
      </w:r>
    </w:p>
    <w:p w14:paraId="4827C2C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161</w:t>
      </w:r>
      <w:r w:rsidRPr="006E3B9B">
        <w:rPr>
          <w:lang w:val="en-US" w:eastAsia="zh-CN"/>
        </w:rPr>
        <w:t>号决定</w:t>
      </w:r>
      <w:r w:rsidRPr="006E3B9B">
        <w:rPr>
          <w:lang w:val="en-US" w:eastAsia="zh-CN"/>
        </w:rPr>
        <w:tab/>
      </w:r>
      <w:r w:rsidRPr="006E3B9B">
        <w:rPr>
          <w:lang w:eastAsia="zh-CN"/>
        </w:rPr>
        <w:t>频登会</w:t>
      </w:r>
      <w:r w:rsidRPr="006E3B9B">
        <w:rPr>
          <w:rFonts w:hint="eastAsia"/>
          <w:lang w:eastAsia="zh-CN"/>
        </w:rPr>
        <w:t>的活动</w:t>
      </w:r>
      <w:r w:rsidRPr="006E3B9B">
        <w:rPr>
          <w:lang w:val="en-US" w:eastAsia="zh-CN"/>
        </w:rPr>
        <w:tab/>
      </w:r>
      <w:r w:rsidR="00057467">
        <w:rPr>
          <w:lang w:val="en-US" w:eastAsia="zh-CN"/>
        </w:rPr>
        <w:tab/>
      </w:r>
      <w:r w:rsidRPr="006E3B9B">
        <w:rPr>
          <w:lang w:val="en-US" w:eastAsia="zh-CN"/>
        </w:rPr>
        <w:t>1964</w:t>
      </w:r>
      <w:r w:rsidRPr="006E3B9B">
        <w:rPr>
          <w:rFonts w:hint="eastAsia"/>
          <w:lang w:val="en-US" w:eastAsia="zh-CN"/>
        </w:rPr>
        <w:t>年</w:t>
      </w:r>
    </w:p>
    <w:p w14:paraId="4827C2C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162</w:t>
      </w:r>
      <w:r w:rsidRPr="006E3B9B">
        <w:rPr>
          <w:lang w:val="en-US" w:eastAsia="zh-CN"/>
        </w:rPr>
        <w:t>号决定</w:t>
      </w:r>
      <w:r w:rsidRPr="006E3B9B">
        <w:rPr>
          <w:lang w:val="en-US" w:eastAsia="zh-CN"/>
        </w:rPr>
        <w:tab/>
      </w:r>
      <w:r w:rsidRPr="006E3B9B">
        <w:rPr>
          <w:rFonts w:hint="eastAsia"/>
          <w:lang w:eastAsia="zh-CN"/>
        </w:rPr>
        <w:t>选举新的</w:t>
      </w:r>
      <w:r w:rsidRPr="006E3B9B">
        <w:rPr>
          <w:lang w:eastAsia="zh-CN"/>
        </w:rPr>
        <w:t>CCIR</w:t>
      </w:r>
      <w:r w:rsidRPr="006E3B9B">
        <w:rPr>
          <w:rFonts w:hint="eastAsia"/>
          <w:lang w:eastAsia="zh-CN"/>
        </w:rPr>
        <w:t>主任和</w:t>
      </w:r>
      <w:r w:rsidRPr="006E3B9B">
        <w:rPr>
          <w:lang w:eastAsia="zh-CN"/>
        </w:rPr>
        <w:t>国际电报咨询委员会</w:t>
      </w:r>
      <w:r w:rsidRPr="006E3B9B">
        <w:rPr>
          <w:rFonts w:hint="eastAsia"/>
          <w:lang w:eastAsia="zh-CN"/>
        </w:rPr>
        <w:t>主任，如有必要，选举一名</w:t>
      </w:r>
      <w:r w:rsidRPr="006E3B9B">
        <w:rPr>
          <w:lang w:eastAsia="zh-CN"/>
        </w:rPr>
        <w:br/>
      </w:r>
      <w:r w:rsidRPr="006E3B9B">
        <w:rPr>
          <w:rFonts w:hint="eastAsia"/>
          <w:lang w:eastAsia="zh-CN"/>
        </w:rPr>
        <w:t>新的</w:t>
      </w:r>
      <w:r w:rsidRPr="006E3B9B">
        <w:rPr>
          <w:lang w:eastAsia="zh-CN"/>
        </w:rPr>
        <w:t>CCIR</w:t>
      </w:r>
      <w:r w:rsidRPr="006E3B9B">
        <w:rPr>
          <w:rFonts w:hint="eastAsia"/>
          <w:lang w:eastAsia="zh-CN"/>
        </w:rPr>
        <w:t>副主任</w:t>
      </w:r>
      <w:r w:rsidRPr="006E3B9B">
        <w:rPr>
          <w:lang w:val="en-US" w:eastAsia="zh-CN"/>
        </w:rPr>
        <w:tab/>
      </w:r>
      <w:r w:rsidR="00057467">
        <w:rPr>
          <w:lang w:val="en-US" w:eastAsia="zh-CN"/>
        </w:rPr>
        <w:tab/>
      </w:r>
      <w:r w:rsidRPr="006E3B9B">
        <w:rPr>
          <w:lang w:val="en-US" w:eastAsia="zh-CN"/>
        </w:rPr>
        <w:t>1956</w:t>
      </w:r>
      <w:r w:rsidRPr="006E3B9B">
        <w:rPr>
          <w:rFonts w:hint="eastAsia"/>
          <w:lang w:val="en-US" w:eastAsia="zh-CN"/>
        </w:rPr>
        <w:t>年</w:t>
      </w:r>
    </w:p>
    <w:p w14:paraId="4827C2C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163</w:t>
      </w:r>
      <w:r w:rsidRPr="006E3B9B">
        <w:rPr>
          <w:lang w:val="en-US" w:eastAsia="zh-CN"/>
        </w:rPr>
        <w:t>号决定</w:t>
      </w:r>
      <w:r w:rsidRPr="006E3B9B">
        <w:rPr>
          <w:lang w:val="en-US" w:eastAsia="zh-CN"/>
        </w:rPr>
        <w:tab/>
      </w:r>
      <w:r w:rsidRPr="006E3B9B">
        <w:rPr>
          <w:lang w:eastAsia="zh-CN"/>
        </w:rPr>
        <w:t>1958</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1</w:t>
      </w:r>
      <w:r w:rsidRPr="006E3B9B">
        <w:rPr>
          <w:rFonts w:hint="eastAsia"/>
          <w:lang w:eastAsia="zh-CN"/>
        </w:rPr>
        <w:t>日副秘书长职位的空缺</w:t>
      </w:r>
      <w:r w:rsidRPr="006E3B9B">
        <w:rPr>
          <w:lang w:val="en-US" w:eastAsia="zh-CN"/>
        </w:rPr>
        <w:tab/>
      </w:r>
      <w:r w:rsidR="00057467">
        <w:rPr>
          <w:lang w:val="en-US" w:eastAsia="zh-CN"/>
        </w:rPr>
        <w:tab/>
      </w:r>
      <w:r w:rsidRPr="006E3B9B">
        <w:rPr>
          <w:lang w:val="en-US" w:eastAsia="zh-CN"/>
        </w:rPr>
        <w:t>1956</w:t>
      </w:r>
      <w:r w:rsidRPr="006E3B9B">
        <w:rPr>
          <w:rFonts w:hint="eastAsia"/>
          <w:lang w:val="en-US" w:eastAsia="zh-CN"/>
        </w:rPr>
        <w:t>年</w:t>
      </w:r>
    </w:p>
    <w:p w14:paraId="4827C2C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164</w:t>
      </w:r>
      <w:r w:rsidRPr="006E3B9B">
        <w:rPr>
          <w:lang w:val="en-US" w:eastAsia="zh-CN"/>
        </w:rPr>
        <w:t>号决定</w:t>
      </w:r>
      <w:r w:rsidRPr="006E3B9B">
        <w:rPr>
          <w:lang w:val="en-US" w:eastAsia="zh-CN"/>
        </w:rPr>
        <w:tab/>
      </w:r>
      <w:r w:rsidRPr="006E3B9B">
        <w:rPr>
          <w:rFonts w:hint="eastAsia"/>
          <w:lang w:eastAsia="zh-CN"/>
        </w:rPr>
        <w:t>综合预算</w:t>
      </w:r>
      <w:r w:rsidRPr="006E3B9B">
        <w:rPr>
          <w:lang w:val="en-US" w:eastAsia="zh-CN"/>
        </w:rPr>
        <w:tab/>
      </w:r>
      <w:r w:rsidR="00057467">
        <w:rPr>
          <w:lang w:val="en-US" w:eastAsia="zh-CN"/>
        </w:rPr>
        <w:tab/>
      </w:r>
      <w:r w:rsidRPr="006E3B9B">
        <w:rPr>
          <w:lang w:val="en-US" w:eastAsia="zh-CN"/>
        </w:rPr>
        <w:t>1964</w:t>
      </w:r>
      <w:r w:rsidRPr="006E3B9B">
        <w:rPr>
          <w:rFonts w:hint="eastAsia"/>
          <w:lang w:val="en-US" w:eastAsia="zh-CN"/>
        </w:rPr>
        <w:t>年</w:t>
      </w:r>
    </w:p>
    <w:p w14:paraId="4827C2D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165</w:t>
      </w:r>
      <w:r w:rsidRPr="006E3B9B">
        <w:rPr>
          <w:lang w:val="en-US" w:eastAsia="zh-CN"/>
        </w:rPr>
        <w:t>号决定</w:t>
      </w:r>
      <w:r w:rsidRPr="006E3B9B">
        <w:rPr>
          <w:lang w:val="en-US" w:eastAsia="zh-CN"/>
        </w:rPr>
        <w:tab/>
      </w:r>
      <w:r w:rsidRPr="006E3B9B">
        <w:rPr>
          <w:rFonts w:hint="eastAsia"/>
          <w:lang w:eastAsia="zh-CN"/>
        </w:rPr>
        <w:t>财务控制委员会的构成</w:t>
      </w:r>
      <w:r w:rsidRPr="006E3B9B">
        <w:rPr>
          <w:lang w:val="en-US" w:eastAsia="zh-CN"/>
        </w:rPr>
        <w:tab/>
      </w:r>
      <w:r w:rsidR="00057467">
        <w:rPr>
          <w:lang w:val="en-US" w:eastAsia="zh-CN"/>
        </w:rPr>
        <w:tab/>
      </w:r>
      <w:r w:rsidRPr="006E3B9B">
        <w:rPr>
          <w:lang w:val="en-US" w:eastAsia="zh-CN"/>
        </w:rPr>
        <w:t>1956</w:t>
      </w:r>
      <w:r w:rsidRPr="006E3B9B">
        <w:rPr>
          <w:rFonts w:hint="eastAsia"/>
          <w:lang w:val="en-US" w:eastAsia="zh-CN"/>
        </w:rPr>
        <w:t>年</w:t>
      </w:r>
    </w:p>
    <w:p w14:paraId="4827C2D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166</w:t>
      </w:r>
      <w:r w:rsidRPr="006E3B9B">
        <w:rPr>
          <w:lang w:val="en-US" w:eastAsia="zh-CN"/>
        </w:rPr>
        <w:t>号决定</w:t>
      </w:r>
      <w:r w:rsidRPr="006E3B9B">
        <w:rPr>
          <w:lang w:val="en-US" w:eastAsia="zh-CN"/>
        </w:rPr>
        <w:tab/>
      </w:r>
      <w:r w:rsidRPr="006E3B9B">
        <w:rPr>
          <w:rFonts w:hint="eastAsia"/>
          <w:lang w:eastAsia="zh-CN"/>
        </w:rPr>
        <w:t>利用构成</w:t>
      </w:r>
      <w:r w:rsidRPr="006E3B9B">
        <w:rPr>
          <w:lang w:eastAsia="zh-CN"/>
        </w:rPr>
        <w:t>国际</w:t>
      </w:r>
      <w:r w:rsidRPr="006E3B9B">
        <w:rPr>
          <w:rFonts w:hint="eastAsia"/>
          <w:lang w:eastAsia="zh-CN"/>
        </w:rPr>
        <w:t>电话</w:t>
      </w:r>
      <w:r w:rsidRPr="006E3B9B">
        <w:rPr>
          <w:lang w:eastAsia="zh-CN"/>
        </w:rPr>
        <w:t>咨询委员会</w:t>
      </w:r>
      <w:r w:rsidRPr="006E3B9B">
        <w:rPr>
          <w:rFonts w:hint="eastAsia"/>
          <w:lang w:eastAsia="zh-CN"/>
        </w:rPr>
        <w:t>储备金的货币进行投资</w:t>
      </w:r>
      <w:r w:rsidRPr="006E3B9B">
        <w:rPr>
          <w:lang w:val="en-US" w:eastAsia="zh-CN"/>
        </w:rPr>
        <w:tab/>
      </w:r>
      <w:r w:rsidR="00057467">
        <w:rPr>
          <w:lang w:val="en-US" w:eastAsia="zh-CN"/>
        </w:rPr>
        <w:tab/>
      </w:r>
      <w:r w:rsidRPr="006E3B9B">
        <w:rPr>
          <w:lang w:val="en-US" w:eastAsia="zh-CN"/>
        </w:rPr>
        <w:t>1964</w:t>
      </w:r>
      <w:r w:rsidRPr="006E3B9B">
        <w:rPr>
          <w:rFonts w:hint="eastAsia"/>
          <w:lang w:val="en-US" w:eastAsia="zh-CN"/>
        </w:rPr>
        <w:t>年</w:t>
      </w:r>
    </w:p>
    <w:p w14:paraId="4827C2D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167</w:t>
      </w:r>
      <w:r w:rsidRPr="006E3B9B">
        <w:rPr>
          <w:lang w:val="en-US" w:eastAsia="zh-CN"/>
        </w:rPr>
        <w:t>号决定</w:t>
      </w:r>
      <w:r w:rsidRPr="006E3B9B">
        <w:rPr>
          <w:lang w:val="en-US" w:eastAsia="zh-CN"/>
        </w:rPr>
        <w:tab/>
      </w:r>
      <w:r w:rsidRPr="006E3B9B">
        <w:rPr>
          <w:rFonts w:hint="eastAsia"/>
          <w:lang w:eastAsia="zh-CN"/>
        </w:rPr>
        <w:t>在任职员的生活费津贴</w:t>
      </w:r>
      <w:r w:rsidRPr="006E3B9B">
        <w:rPr>
          <w:lang w:val="en-US" w:eastAsia="zh-CN"/>
        </w:rPr>
        <w:tab/>
      </w:r>
      <w:r w:rsidR="00057467">
        <w:rPr>
          <w:lang w:val="en-US" w:eastAsia="zh-CN"/>
        </w:rPr>
        <w:tab/>
      </w:r>
      <w:r w:rsidRPr="006E3B9B">
        <w:rPr>
          <w:lang w:val="en-US" w:eastAsia="zh-CN"/>
        </w:rPr>
        <w:t>1956</w:t>
      </w:r>
      <w:r w:rsidRPr="006E3B9B">
        <w:rPr>
          <w:rFonts w:hint="eastAsia"/>
          <w:lang w:val="en-US" w:eastAsia="zh-CN"/>
        </w:rPr>
        <w:t>年</w:t>
      </w:r>
    </w:p>
    <w:p w14:paraId="4827C2D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168</w:t>
      </w:r>
      <w:r w:rsidRPr="006E3B9B">
        <w:rPr>
          <w:lang w:val="en-US" w:eastAsia="zh-CN"/>
        </w:rPr>
        <w:t>号决定</w:t>
      </w:r>
      <w:r w:rsidRPr="006E3B9B">
        <w:rPr>
          <w:lang w:val="en-US" w:eastAsia="zh-CN"/>
        </w:rPr>
        <w:tab/>
      </w:r>
      <w:r w:rsidRPr="006E3B9B">
        <w:rPr>
          <w:rFonts w:hint="eastAsia"/>
          <w:lang w:eastAsia="zh-CN"/>
        </w:rPr>
        <w:t>自</w:t>
      </w:r>
      <w:r w:rsidRPr="006E3B9B">
        <w:rPr>
          <w:lang w:eastAsia="zh-CN"/>
        </w:rPr>
        <w:t>1949</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1</w:t>
      </w:r>
      <w:r w:rsidRPr="006E3B9B">
        <w:rPr>
          <w:rFonts w:hint="eastAsia"/>
          <w:lang w:eastAsia="zh-CN"/>
        </w:rPr>
        <w:t>日起有权享受养恤金的人员的生活费津贴</w:t>
      </w:r>
      <w:r w:rsidRPr="006E3B9B">
        <w:rPr>
          <w:lang w:val="en-US" w:eastAsia="zh-CN"/>
        </w:rPr>
        <w:tab/>
      </w:r>
      <w:r w:rsidR="00057467">
        <w:rPr>
          <w:lang w:val="en-US" w:eastAsia="zh-CN"/>
        </w:rPr>
        <w:tab/>
      </w:r>
      <w:r w:rsidRPr="006E3B9B">
        <w:rPr>
          <w:lang w:val="en-US" w:eastAsia="zh-CN"/>
        </w:rPr>
        <w:t>1956</w:t>
      </w:r>
      <w:r w:rsidRPr="006E3B9B">
        <w:rPr>
          <w:rFonts w:hint="eastAsia"/>
          <w:lang w:val="en-US" w:eastAsia="zh-CN"/>
        </w:rPr>
        <w:t>年</w:t>
      </w:r>
    </w:p>
    <w:p w14:paraId="4827C2D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169</w:t>
      </w:r>
      <w:r w:rsidRPr="006E3B9B">
        <w:rPr>
          <w:lang w:val="en-US" w:eastAsia="zh-CN"/>
        </w:rPr>
        <w:t>号决定</w:t>
      </w:r>
      <w:r w:rsidRPr="006E3B9B">
        <w:rPr>
          <w:lang w:val="en-US" w:eastAsia="zh-CN"/>
        </w:rPr>
        <w:tab/>
      </w:r>
      <w:r w:rsidRPr="006E3B9B">
        <w:rPr>
          <w:rFonts w:hint="eastAsia"/>
          <w:lang w:eastAsia="zh-CN"/>
        </w:rPr>
        <w:t>根据</w:t>
      </w:r>
      <w:r w:rsidRPr="006E3B9B">
        <w:rPr>
          <w:lang w:eastAsia="zh-CN"/>
        </w:rPr>
        <w:t>1927</w:t>
      </w:r>
      <w:r w:rsidRPr="006E3B9B">
        <w:rPr>
          <w:rFonts w:hint="eastAsia"/>
          <w:lang w:eastAsia="zh-CN"/>
        </w:rPr>
        <w:t>年法规领取养恤金的人员的生活费津贴</w:t>
      </w:r>
      <w:r w:rsidRPr="006E3B9B">
        <w:rPr>
          <w:lang w:val="en-US" w:eastAsia="zh-CN"/>
        </w:rPr>
        <w:tab/>
      </w:r>
      <w:r w:rsidR="00057467">
        <w:rPr>
          <w:lang w:val="en-US" w:eastAsia="zh-CN"/>
        </w:rPr>
        <w:tab/>
      </w:r>
      <w:r w:rsidRPr="006E3B9B">
        <w:rPr>
          <w:lang w:val="en-US" w:eastAsia="zh-CN"/>
        </w:rPr>
        <w:t>1956</w:t>
      </w:r>
      <w:r w:rsidRPr="006E3B9B">
        <w:rPr>
          <w:rFonts w:hint="eastAsia"/>
          <w:lang w:val="en-US" w:eastAsia="zh-CN"/>
        </w:rPr>
        <w:t>年</w:t>
      </w:r>
    </w:p>
    <w:p w14:paraId="4827C2D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170</w:t>
      </w:r>
      <w:r w:rsidRPr="006E3B9B">
        <w:rPr>
          <w:lang w:val="en-US" w:eastAsia="zh-CN"/>
        </w:rPr>
        <w:t>号决定</w:t>
      </w:r>
      <w:r w:rsidRPr="006E3B9B">
        <w:rPr>
          <w:lang w:val="en-US" w:eastAsia="zh-CN"/>
        </w:rPr>
        <w:tab/>
      </w:r>
      <w:r w:rsidRPr="006E3B9B">
        <w:rPr>
          <w:rFonts w:hint="eastAsia"/>
          <w:lang w:eastAsia="zh-CN"/>
        </w:rPr>
        <w:t>出版物的销售价格和出版物补充预算的格式</w:t>
      </w:r>
      <w:r w:rsidRPr="006E3B9B">
        <w:rPr>
          <w:lang w:val="en-US" w:eastAsia="zh-CN"/>
        </w:rPr>
        <w:tab/>
      </w:r>
      <w:r w:rsidR="00057467">
        <w:rPr>
          <w:lang w:val="en-US" w:eastAsia="zh-CN"/>
        </w:rPr>
        <w:tab/>
      </w:r>
      <w:r w:rsidRPr="006E3B9B">
        <w:rPr>
          <w:lang w:val="en-US" w:eastAsia="zh-CN"/>
        </w:rPr>
        <w:t>1964</w:t>
      </w:r>
      <w:r w:rsidRPr="006E3B9B">
        <w:rPr>
          <w:rFonts w:hint="eastAsia"/>
          <w:lang w:val="en-US" w:eastAsia="zh-CN"/>
        </w:rPr>
        <w:t>年</w:t>
      </w:r>
    </w:p>
    <w:p w14:paraId="4827C2D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171</w:t>
      </w:r>
      <w:r w:rsidRPr="006E3B9B">
        <w:rPr>
          <w:lang w:val="en-US" w:eastAsia="zh-CN"/>
        </w:rPr>
        <w:t>号决定</w:t>
      </w:r>
      <w:r w:rsidRPr="006E3B9B">
        <w:rPr>
          <w:lang w:val="en-US" w:eastAsia="zh-CN"/>
        </w:rPr>
        <w:tab/>
      </w:r>
      <w:r w:rsidRPr="006E3B9B">
        <w:rPr>
          <w:lang w:eastAsia="zh-CN"/>
        </w:rPr>
        <w:t>频登会</w:t>
      </w:r>
      <w:r w:rsidRPr="006E3B9B">
        <w:rPr>
          <w:rFonts w:hint="eastAsia"/>
          <w:lang w:eastAsia="zh-CN"/>
        </w:rPr>
        <w:t>周报出版费用的借记</w:t>
      </w:r>
      <w:r w:rsidRPr="006E3B9B">
        <w:rPr>
          <w:lang w:val="en-US" w:eastAsia="zh-CN"/>
        </w:rPr>
        <w:tab/>
      </w:r>
      <w:r w:rsidR="00057467">
        <w:rPr>
          <w:lang w:val="en-US" w:eastAsia="zh-CN"/>
        </w:rPr>
        <w:tab/>
      </w:r>
      <w:r w:rsidRPr="006E3B9B">
        <w:rPr>
          <w:lang w:val="en-US" w:eastAsia="zh-CN"/>
        </w:rPr>
        <w:t>1964</w:t>
      </w:r>
      <w:r w:rsidRPr="006E3B9B">
        <w:rPr>
          <w:rFonts w:hint="eastAsia"/>
          <w:lang w:val="en-US" w:eastAsia="zh-CN"/>
        </w:rPr>
        <w:t>年</w:t>
      </w:r>
    </w:p>
    <w:p w14:paraId="4827C2D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172</w:t>
      </w:r>
      <w:r w:rsidRPr="006E3B9B">
        <w:rPr>
          <w:lang w:val="en-US" w:eastAsia="zh-CN"/>
        </w:rPr>
        <w:t>号决定</w:t>
      </w:r>
      <w:r w:rsidRPr="006E3B9B">
        <w:rPr>
          <w:lang w:val="en-US" w:eastAsia="zh-CN"/>
        </w:rPr>
        <w:tab/>
      </w:r>
      <w:r w:rsidRPr="006E3B9B">
        <w:rPr>
          <w:rFonts w:hint="eastAsia"/>
          <w:lang w:eastAsia="zh-CN"/>
        </w:rPr>
        <w:t>无线电处引入机械化的费用</w:t>
      </w:r>
      <w:r w:rsidRPr="006E3B9B">
        <w:rPr>
          <w:lang w:val="en-US" w:eastAsia="zh-CN"/>
        </w:rPr>
        <w:tab/>
      </w:r>
      <w:r w:rsidR="00057467">
        <w:rPr>
          <w:lang w:val="en-US" w:eastAsia="zh-CN"/>
        </w:rPr>
        <w:tab/>
      </w:r>
      <w:r w:rsidRPr="006E3B9B">
        <w:rPr>
          <w:lang w:val="en-US" w:eastAsia="zh-CN"/>
        </w:rPr>
        <w:t>1956</w:t>
      </w:r>
      <w:r w:rsidRPr="006E3B9B">
        <w:rPr>
          <w:rFonts w:hint="eastAsia"/>
          <w:lang w:val="en-US" w:eastAsia="zh-CN"/>
        </w:rPr>
        <w:t>年</w:t>
      </w:r>
    </w:p>
    <w:p w14:paraId="4827C2D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173</w:t>
      </w:r>
      <w:r w:rsidRPr="006E3B9B">
        <w:rPr>
          <w:lang w:val="en-US" w:eastAsia="zh-CN"/>
        </w:rPr>
        <w:t>号决定</w:t>
      </w:r>
      <w:r w:rsidRPr="006E3B9B">
        <w:rPr>
          <w:lang w:val="en-US" w:eastAsia="zh-CN"/>
        </w:rPr>
        <w:tab/>
      </w:r>
      <w:r w:rsidRPr="006E3B9B">
        <w:rPr>
          <w:lang w:eastAsia="zh-CN"/>
        </w:rPr>
        <w:t>频登会</w:t>
      </w:r>
      <w:r w:rsidRPr="006E3B9B">
        <w:rPr>
          <w:rFonts w:hint="eastAsia"/>
          <w:lang w:eastAsia="zh-CN"/>
        </w:rPr>
        <w:t>技术标准的资助</w:t>
      </w:r>
      <w:r w:rsidRPr="006E3B9B">
        <w:rPr>
          <w:lang w:val="en-US" w:eastAsia="zh-CN"/>
        </w:rPr>
        <w:tab/>
      </w:r>
      <w:r w:rsidR="00057467">
        <w:rPr>
          <w:lang w:val="en-US" w:eastAsia="zh-CN"/>
        </w:rPr>
        <w:tab/>
      </w:r>
      <w:r w:rsidRPr="006E3B9B">
        <w:rPr>
          <w:lang w:val="en-US" w:eastAsia="zh-CN"/>
        </w:rPr>
        <w:t>1956</w:t>
      </w:r>
      <w:r w:rsidRPr="006E3B9B">
        <w:rPr>
          <w:rFonts w:hint="eastAsia"/>
          <w:lang w:val="en-US" w:eastAsia="zh-CN"/>
        </w:rPr>
        <w:t>年</w:t>
      </w:r>
    </w:p>
    <w:p w14:paraId="4827C2D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174</w:t>
      </w:r>
      <w:r w:rsidRPr="006E3B9B">
        <w:rPr>
          <w:lang w:val="en-US" w:eastAsia="zh-CN"/>
        </w:rPr>
        <w:t>号决定</w:t>
      </w:r>
      <w:r w:rsidRPr="006E3B9B">
        <w:rPr>
          <w:lang w:val="en-US" w:eastAsia="zh-CN"/>
        </w:rPr>
        <w:tab/>
      </w:r>
      <w:r w:rsidRPr="006E3B9B">
        <w:rPr>
          <w:rFonts w:hint="eastAsia"/>
          <w:lang w:eastAsia="zh-CN"/>
        </w:rPr>
        <w:t>地面电波传播曲线表制作的资助</w:t>
      </w:r>
      <w:r w:rsidRPr="006E3B9B">
        <w:rPr>
          <w:lang w:val="en-US" w:eastAsia="zh-CN"/>
        </w:rPr>
        <w:tab/>
      </w:r>
      <w:r w:rsidR="00057467">
        <w:rPr>
          <w:lang w:val="en-US" w:eastAsia="zh-CN"/>
        </w:rPr>
        <w:tab/>
      </w:r>
      <w:r w:rsidRPr="006E3B9B">
        <w:rPr>
          <w:lang w:val="en-US" w:eastAsia="zh-CN"/>
        </w:rPr>
        <w:t>1956</w:t>
      </w:r>
      <w:r w:rsidRPr="006E3B9B">
        <w:rPr>
          <w:rFonts w:hint="eastAsia"/>
          <w:lang w:val="en-US" w:eastAsia="zh-CN"/>
        </w:rPr>
        <w:t>年</w:t>
      </w:r>
    </w:p>
    <w:p w14:paraId="4827C2D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175</w:t>
      </w:r>
      <w:r w:rsidRPr="006E3B9B">
        <w:rPr>
          <w:lang w:val="en-US" w:eastAsia="zh-CN"/>
        </w:rPr>
        <w:t>号决定</w:t>
      </w:r>
      <w:r w:rsidRPr="006E3B9B">
        <w:rPr>
          <w:lang w:val="en-US" w:eastAsia="zh-CN"/>
        </w:rPr>
        <w:tab/>
      </w:r>
      <w:r w:rsidRPr="006E3B9B">
        <w:rPr>
          <w:rFonts w:hint="eastAsia"/>
          <w:lang w:eastAsia="zh-CN"/>
        </w:rPr>
        <w:t>经航空固定电信网络传送的业务</w:t>
      </w:r>
      <w:r w:rsidRPr="006E3B9B">
        <w:rPr>
          <w:lang w:val="en-US" w:eastAsia="zh-CN"/>
        </w:rPr>
        <w:tab/>
      </w:r>
      <w:r w:rsidR="00057467">
        <w:rPr>
          <w:lang w:val="en-US" w:eastAsia="zh-CN"/>
        </w:rPr>
        <w:tab/>
      </w:r>
      <w:r w:rsidRPr="006E3B9B">
        <w:rPr>
          <w:lang w:val="en-US" w:eastAsia="zh-CN"/>
        </w:rPr>
        <w:t>1956</w:t>
      </w:r>
      <w:r w:rsidRPr="006E3B9B">
        <w:rPr>
          <w:rFonts w:hint="eastAsia"/>
          <w:lang w:val="en-US" w:eastAsia="zh-CN"/>
        </w:rPr>
        <w:t>年</w:t>
      </w:r>
    </w:p>
    <w:p w14:paraId="4827C2DB" w14:textId="77777777" w:rsidR="006E3B9B" w:rsidRPr="006E3B9B" w:rsidRDefault="006E3B9B" w:rsidP="00057467">
      <w:pPr>
        <w:pStyle w:val="Appendixref"/>
        <w:rPr>
          <w:lang w:eastAsia="zh-CN"/>
        </w:rPr>
      </w:pPr>
      <w:r w:rsidRPr="006E3B9B">
        <w:rPr>
          <w:lang w:val="en-US" w:eastAsia="zh-CN"/>
        </w:rPr>
        <w:t>第</w:t>
      </w:r>
      <w:r w:rsidRPr="006E3B9B">
        <w:rPr>
          <w:lang w:val="en-US" w:eastAsia="zh-CN"/>
        </w:rPr>
        <w:t>176</w:t>
      </w:r>
      <w:r w:rsidRPr="006E3B9B">
        <w:rPr>
          <w:rFonts w:hint="eastAsia"/>
          <w:lang w:val="en-US" w:eastAsia="zh-CN"/>
        </w:rPr>
        <w:t>号决定</w:t>
      </w:r>
      <w:r w:rsidRPr="006E3B9B">
        <w:rPr>
          <w:rFonts w:hint="eastAsia"/>
          <w:lang w:val="en-US" w:eastAsia="zh-CN"/>
        </w:rPr>
        <w:tab/>
      </w:r>
      <w:r w:rsidRPr="006E3B9B">
        <w:rPr>
          <w:lang w:eastAsia="zh-CN"/>
        </w:rPr>
        <w:t xml:space="preserve">1. </w:t>
      </w:r>
      <w:r w:rsidRPr="006E3B9B">
        <w:rPr>
          <w:rFonts w:hint="eastAsia"/>
          <w:lang w:eastAsia="zh-CN"/>
        </w:rPr>
        <w:t>总秘书处第</w:t>
      </w:r>
      <w:r w:rsidRPr="006E3B9B">
        <w:rPr>
          <w:lang w:eastAsia="zh-CN"/>
        </w:rPr>
        <w:t>8</w:t>
      </w:r>
      <w:r w:rsidRPr="006E3B9B">
        <w:rPr>
          <w:rFonts w:hint="eastAsia"/>
          <w:lang w:eastAsia="zh-CN"/>
        </w:rPr>
        <w:t>类的附加职位</w:t>
      </w:r>
    </w:p>
    <w:p w14:paraId="4827C2DC" w14:textId="77777777" w:rsidR="006E3B9B" w:rsidRPr="006E3B9B" w:rsidRDefault="006E3B9B" w:rsidP="00057467">
      <w:pPr>
        <w:pStyle w:val="Appendixref"/>
        <w:rPr>
          <w:lang w:val="en-US" w:eastAsia="zh-CN"/>
        </w:rPr>
      </w:pPr>
      <w:r w:rsidRPr="006E3B9B">
        <w:rPr>
          <w:rFonts w:hint="eastAsia"/>
          <w:lang w:eastAsia="zh-CN"/>
        </w:rPr>
        <w:tab/>
      </w:r>
      <w:r w:rsidRPr="006E3B9B">
        <w:rPr>
          <w:lang w:eastAsia="zh-CN"/>
        </w:rPr>
        <w:t>2.</w:t>
      </w:r>
      <w:r w:rsidRPr="006E3B9B">
        <w:rPr>
          <w:rFonts w:hint="eastAsia"/>
          <w:lang w:eastAsia="zh-CN"/>
        </w:rPr>
        <w:t xml:space="preserve"> </w:t>
      </w:r>
      <w:r w:rsidRPr="006E3B9B">
        <w:rPr>
          <w:rFonts w:hint="eastAsia"/>
          <w:lang w:eastAsia="zh-CN"/>
        </w:rPr>
        <w:t>填补常设的</w:t>
      </w:r>
      <w:r w:rsidRPr="006E3B9B">
        <w:rPr>
          <w:lang w:eastAsia="zh-CN"/>
        </w:rPr>
        <w:t>频登会</w:t>
      </w:r>
      <w:r w:rsidRPr="006E3B9B">
        <w:rPr>
          <w:rFonts w:hint="eastAsia"/>
          <w:lang w:eastAsia="zh-CN"/>
        </w:rPr>
        <w:t>第</w:t>
      </w:r>
      <w:r w:rsidRPr="006E3B9B">
        <w:rPr>
          <w:lang w:eastAsia="zh-CN"/>
        </w:rPr>
        <w:t>2</w:t>
      </w:r>
      <w:r w:rsidRPr="006E3B9B">
        <w:rPr>
          <w:rFonts w:hint="eastAsia"/>
          <w:lang w:eastAsia="zh-CN"/>
        </w:rPr>
        <w:t>类职位</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2D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177</w:t>
      </w:r>
      <w:r w:rsidRPr="006E3B9B">
        <w:rPr>
          <w:lang w:val="en-US" w:eastAsia="zh-CN"/>
        </w:rPr>
        <w:t>号决定</w:t>
      </w:r>
      <w:r w:rsidRPr="006E3B9B">
        <w:rPr>
          <w:lang w:val="en-US" w:eastAsia="zh-CN"/>
        </w:rPr>
        <w:tab/>
      </w:r>
      <w:r w:rsidRPr="006E3B9B">
        <w:rPr>
          <w:lang w:eastAsia="zh-CN"/>
        </w:rPr>
        <w:t>频登会</w:t>
      </w:r>
      <w:r w:rsidRPr="006E3B9B">
        <w:rPr>
          <w:rFonts w:hint="eastAsia"/>
          <w:lang w:eastAsia="zh-CN"/>
        </w:rPr>
        <w:t>的补充职员</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2D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178</w:t>
      </w:r>
      <w:r w:rsidRPr="006E3B9B">
        <w:rPr>
          <w:lang w:val="en-US" w:eastAsia="zh-CN"/>
        </w:rPr>
        <w:t>号决定</w:t>
      </w:r>
      <w:r w:rsidRPr="006E3B9B">
        <w:rPr>
          <w:lang w:val="en-US" w:eastAsia="zh-CN"/>
        </w:rPr>
        <w:tab/>
      </w:r>
      <w:r w:rsidRPr="006E3B9B">
        <w:rPr>
          <w:lang w:eastAsia="zh-CN"/>
        </w:rPr>
        <w:t>频登会</w:t>
      </w:r>
      <w:r w:rsidRPr="006E3B9B">
        <w:rPr>
          <w:rFonts w:hint="eastAsia"/>
          <w:lang w:eastAsia="zh-CN"/>
        </w:rPr>
        <w:t>职员的增加</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2D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179</w:t>
      </w:r>
      <w:r w:rsidRPr="006E3B9B">
        <w:rPr>
          <w:lang w:val="en-US" w:eastAsia="zh-CN"/>
        </w:rPr>
        <w:t>号决定</w:t>
      </w:r>
      <w:r w:rsidRPr="006E3B9B">
        <w:rPr>
          <w:lang w:val="en-US" w:eastAsia="zh-CN"/>
        </w:rPr>
        <w:tab/>
      </w:r>
      <w:r w:rsidRPr="006E3B9B">
        <w:rPr>
          <w:rFonts w:hint="eastAsia"/>
          <w:lang w:eastAsia="zh-CN"/>
        </w:rPr>
        <w:t>养恤金－加入费</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2E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180</w:t>
      </w:r>
      <w:r w:rsidRPr="006E3B9B">
        <w:rPr>
          <w:lang w:val="en-US" w:eastAsia="zh-CN"/>
        </w:rPr>
        <w:t>号决定</w:t>
      </w:r>
      <w:r w:rsidRPr="006E3B9B">
        <w:rPr>
          <w:lang w:val="en-US" w:eastAsia="zh-CN"/>
        </w:rPr>
        <w:tab/>
      </w:r>
      <w:r w:rsidRPr="006E3B9B">
        <w:rPr>
          <w:lang w:eastAsia="zh-CN"/>
        </w:rPr>
        <w:t>1956</w:t>
      </w:r>
      <w:r w:rsidRPr="006E3B9B">
        <w:rPr>
          <w:rFonts w:hint="eastAsia"/>
          <w:lang w:eastAsia="zh-CN"/>
        </w:rPr>
        <w:t>年对</w:t>
      </w:r>
      <w:r w:rsidRPr="006E3B9B">
        <w:rPr>
          <w:lang w:eastAsia="zh-CN"/>
        </w:rPr>
        <w:t>60</w:t>
      </w:r>
      <w:r w:rsidRPr="006E3B9B">
        <w:rPr>
          <w:rFonts w:hint="eastAsia"/>
          <w:lang w:eastAsia="zh-CN"/>
        </w:rPr>
        <w:t>岁以上官员加薪的保证</w:t>
      </w:r>
      <w:r w:rsidRPr="006E3B9B">
        <w:rPr>
          <w:lang w:val="en-US" w:eastAsia="zh-CN"/>
        </w:rPr>
        <w:tab/>
      </w:r>
      <w:r w:rsidR="00396681">
        <w:rPr>
          <w:lang w:val="en-US" w:eastAsia="zh-CN"/>
        </w:rPr>
        <w:tab/>
      </w:r>
      <w:r w:rsidRPr="006E3B9B">
        <w:rPr>
          <w:lang w:val="en-US" w:eastAsia="zh-CN"/>
        </w:rPr>
        <w:t>1956</w:t>
      </w:r>
      <w:r w:rsidRPr="006E3B9B">
        <w:rPr>
          <w:rFonts w:hint="eastAsia"/>
          <w:lang w:val="en-US" w:eastAsia="zh-CN"/>
        </w:rPr>
        <w:t>年</w:t>
      </w:r>
    </w:p>
    <w:p w14:paraId="4827C2E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181</w:t>
      </w:r>
      <w:r w:rsidRPr="006E3B9B">
        <w:rPr>
          <w:lang w:val="en-US" w:eastAsia="zh-CN"/>
        </w:rPr>
        <w:t>号决定</w:t>
      </w:r>
      <w:r w:rsidRPr="006E3B9B">
        <w:rPr>
          <w:lang w:val="en-US" w:eastAsia="zh-CN"/>
        </w:rPr>
        <w:tab/>
      </w:r>
      <w:r w:rsidRPr="006E3B9B">
        <w:rPr>
          <w:rFonts w:hint="eastAsia"/>
          <w:lang w:eastAsia="zh-CN"/>
        </w:rPr>
        <w:t>对</w:t>
      </w:r>
      <w:r w:rsidRPr="006E3B9B">
        <w:rPr>
          <w:lang w:eastAsia="zh-CN"/>
        </w:rPr>
        <w:t>国际咨询委员会</w:t>
      </w:r>
      <w:r w:rsidRPr="006E3B9B">
        <w:rPr>
          <w:rFonts w:hint="eastAsia"/>
          <w:lang w:eastAsia="zh-CN"/>
        </w:rPr>
        <w:t>正副主任在职员退休和福利基金管理委员会的任命</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2E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182</w:t>
      </w:r>
      <w:r w:rsidRPr="006E3B9B">
        <w:rPr>
          <w:lang w:val="en-US" w:eastAsia="zh-CN"/>
        </w:rPr>
        <w:t>号决定</w:t>
      </w:r>
      <w:r w:rsidRPr="006E3B9B">
        <w:rPr>
          <w:lang w:val="en-US" w:eastAsia="zh-CN"/>
        </w:rPr>
        <w:tab/>
      </w:r>
      <w:r w:rsidRPr="006E3B9B">
        <w:rPr>
          <w:rFonts w:hint="eastAsia"/>
          <w:lang w:val="en-US" w:eastAsia="zh-CN"/>
        </w:rPr>
        <w:t>《</w:t>
      </w:r>
      <w:r w:rsidRPr="006E3B9B">
        <w:rPr>
          <w:rFonts w:hint="eastAsia"/>
          <w:lang w:eastAsia="zh-CN"/>
        </w:rPr>
        <w:t>理事会决定和决议》的出版</w:t>
      </w:r>
      <w:r w:rsidRPr="006E3B9B">
        <w:rPr>
          <w:lang w:val="en-US" w:eastAsia="zh-CN"/>
        </w:rPr>
        <w:tab/>
      </w:r>
      <w:r w:rsidR="00396681">
        <w:rPr>
          <w:lang w:val="en-US" w:eastAsia="zh-CN"/>
        </w:rPr>
        <w:tab/>
      </w:r>
      <w:r w:rsidRPr="006E3B9B">
        <w:rPr>
          <w:lang w:val="en-US" w:eastAsia="zh-CN"/>
        </w:rPr>
        <w:t>1956</w:t>
      </w:r>
      <w:r w:rsidRPr="006E3B9B">
        <w:rPr>
          <w:rFonts w:hint="eastAsia"/>
          <w:lang w:val="en-US" w:eastAsia="zh-CN"/>
        </w:rPr>
        <w:t>年</w:t>
      </w:r>
    </w:p>
    <w:p w14:paraId="4827C2E3" w14:textId="77777777" w:rsidR="00091112" w:rsidRDefault="00091112">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4827C2E4" w14:textId="77777777" w:rsidR="006E3B9B" w:rsidRPr="006E3B9B" w:rsidRDefault="006E3B9B" w:rsidP="004E1793">
      <w:pPr>
        <w:pStyle w:val="Reftitle"/>
        <w:rPr>
          <w:lang w:val="en-US" w:eastAsia="zh-CN"/>
        </w:rPr>
      </w:pPr>
      <w:r w:rsidRPr="006E3B9B">
        <w:rPr>
          <w:rFonts w:hint="eastAsia"/>
          <w:lang w:eastAsia="zh-CN"/>
        </w:rPr>
        <w:lastRenderedPageBreak/>
        <w:t>第</w:t>
      </w:r>
      <w:r w:rsidRPr="006E3B9B">
        <w:rPr>
          <w:lang w:eastAsia="zh-CN"/>
        </w:rPr>
        <w:t>12</w:t>
      </w:r>
      <w:r w:rsidRPr="006E3B9B">
        <w:rPr>
          <w:rFonts w:hint="eastAsia"/>
          <w:lang w:eastAsia="zh-CN"/>
        </w:rPr>
        <w:t>届会议（</w:t>
      </w:r>
      <w:r w:rsidRPr="006E3B9B">
        <w:rPr>
          <w:lang w:eastAsia="zh-CN"/>
        </w:rPr>
        <w:t>1957</w:t>
      </w:r>
      <w:r w:rsidRPr="006E3B9B">
        <w:rPr>
          <w:rFonts w:hint="eastAsia"/>
          <w:lang w:eastAsia="zh-CN"/>
        </w:rPr>
        <w:t>年</w:t>
      </w:r>
      <w:r w:rsidRPr="006E3B9B">
        <w:rPr>
          <w:lang w:eastAsia="zh-CN"/>
        </w:rPr>
        <w:t>4</w:t>
      </w:r>
      <w:r w:rsidRPr="006E3B9B">
        <w:rPr>
          <w:rFonts w:hint="eastAsia"/>
          <w:lang w:eastAsia="zh-CN"/>
        </w:rPr>
        <w:t>月</w:t>
      </w:r>
      <w:r w:rsidRPr="006E3B9B">
        <w:rPr>
          <w:lang w:eastAsia="zh-CN"/>
        </w:rPr>
        <w:t>-5</w:t>
      </w:r>
      <w:r w:rsidRPr="006E3B9B">
        <w:rPr>
          <w:rFonts w:hint="eastAsia"/>
          <w:lang w:eastAsia="zh-CN"/>
        </w:rPr>
        <w:t>月）</w:t>
      </w:r>
    </w:p>
    <w:p w14:paraId="4827C2E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183</w:t>
      </w:r>
      <w:r w:rsidRPr="006E3B9B">
        <w:rPr>
          <w:lang w:val="en-US" w:eastAsia="zh-CN"/>
        </w:rPr>
        <w:t>号决定</w:t>
      </w:r>
      <w:r w:rsidRPr="006E3B9B">
        <w:rPr>
          <w:lang w:val="en-US" w:eastAsia="zh-CN"/>
        </w:rPr>
        <w:tab/>
      </w:r>
      <w:r w:rsidRPr="006E3B9B">
        <w:rPr>
          <w:rFonts w:hint="eastAsia"/>
          <w:lang w:eastAsia="zh-CN"/>
        </w:rPr>
        <w:t>即将召开的国际电联大会的日期、地点和会期</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2E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184</w:t>
      </w:r>
      <w:r w:rsidRPr="006E3B9B">
        <w:rPr>
          <w:lang w:val="en-US" w:eastAsia="zh-CN"/>
        </w:rPr>
        <w:t>号决定</w:t>
      </w:r>
      <w:r w:rsidRPr="006E3B9B">
        <w:rPr>
          <w:lang w:val="en-US" w:eastAsia="zh-CN"/>
        </w:rPr>
        <w:tab/>
      </w:r>
      <w:r w:rsidRPr="006E3B9B">
        <w:rPr>
          <w:rFonts w:hint="eastAsia"/>
          <w:lang w:eastAsia="zh-CN"/>
        </w:rPr>
        <w:t>理事会</w:t>
      </w:r>
      <w:r w:rsidRPr="006E3B9B">
        <w:rPr>
          <w:lang w:eastAsia="zh-CN"/>
        </w:rPr>
        <w:t>1958</w:t>
      </w:r>
      <w:r w:rsidRPr="006E3B9B">
        <w:rPr>
          <w:rFonts w:hint="eastAsia"/>
          <w:lang w:eastAsia="zh-CN"/>
        </w:rPr>
        <w:t>年年会的日期</w:t>
      </w:r>
      <w:r w:rsidRPr="006E3B9B">
        <w:rPr>
          <w:lang w:val="en-US" w:eastAsia="zh-CN"/>
        </w:rPr>
        <w:tab/>
      </w:r>
      <w:r w:rsidR="00396681">
        <w:rPr>
          <w:lang w:val="en-US" w:eastAsia="zh-CN"/>
        </w:rPr>
        <w:tab/>
      </w:r>
      <w:r w:rsidRPr="006E3B9B">
        <w:rPr>
          <w:lang w:val="en-US" w:eastAsia="zh-CN"/>
        </w:rPr>
        <w:t>1957</w:t>
      </w:r>
      <w:r w:rsidRPr="006E3B9B">
        <w:rPr>
          <w:rFonts w:hint="eastAsia"/>
          <w:lang w:val="en-US" w:eastAsia="zh-CN"/>
        </w:rPr>
        <w:t>年</w:t>
      </w:r>
    </w:p>
    <w:p w14:paraId="4827C2E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185</w:t>
      </w:r>
      <w:r w:rsidRPr="006E3B9B">
        <w:rPr>
          <w:lang w:val="en-US" w:eastAsia="zh-CN"/>
        </w:rPr>
        <w:t>号决定</w:t>
      </w:r>
      <w:r w:rsidRPr="006E3B9B">
        <w:rPr>
          <w:lang w:val="en-US" w:eastAsia="zh-CN"/>
        </w:rPr>
        <w:tab/>
      </w:r>
      <w:r w:rsidRPr="006E3B9B">
        <w:rPr>
          <w:rFonts w:hint="eastAsia"/>
          <w:lang w:eastAsia="zh-CN"/>
        </w:rPr>
        <w:t>与电报磋商有关的对“多数”一词的释义</w:t>
      </w:r>
      <w:r w:rsidRPr="006E3B9B">
        <w:rPr>
          <w:lang w:val="en-US" w:eastAsia="zh-CN"/>
        </w:rPr>
        <w:tab/>
      </w:r>
      <w:r w:rsidR="00396681">
        <w:rPr>
          <w:lang w:val="en-US" w:eastAsia="zh-CN"/>
        </w:rPr>
        <w:tab/>
      </w:r>
      <w:r w:rsidRPr="006E3B9B">
        <w:rPr>
          <w:lang w:val="en-US" w:eastAsia="zh-CN"/>
        </w:rPr>
        <w:t>6.1</w:t>
      </w:r>
    </w:p>
    <w:p w14:paraId="4827C2E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186</w:t>
      </w:r>
      <w:r w:rsidRPr="006E3B9B">
        <w:rPr>
          <w:lang w:val="en-US" w:eastAsia="zh-CN"/>
        </w:rPr>
        <w:t>号决定</w:t>
      </w:r>
      <w:r w:rsidRPr="006E3B9B">
        <w:rPr>
          <w:lang w:val="en-US" w:eastAsia="zh-CN"/>
        </w:rPr>
        <w:tab/>
      </w:r>
      <w:r w:rsidRPr="006E3B9B">
        <w:rPr>
          <w:rFonts w:hint="eastAsia"/>
          <w:lang w:eastAsia="zh-CN"/>
        </w:rPr>
        <w:t>向电报和电话大会提交提案</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2E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187</w:t>
      </w:r>
      <w:r w:rsidRPr="006E3B9B">
        <w:rPr>
          <w:lang w:val="en-US" w:eastAsia="zh-CN"/>
        </w:rPr>
        <w:t>号决定</w:t>
      </w:r>
      <w:r w:rsidRPr="006E3B9B">
        <w:rPr>
          <w:lang w:val="en-US" w:eastAsia="zh-CN"/>
        </w:rPr>
        <w:tab/>
      </w:r>
      <w:r w:rsidRPr="006E3B9B">
        <w:rPr>
          <w:rFonts w:hint="eastAsia"/>
          <w:lang w:eastAsia="zh-CN"/>
        </w:rPr>
        <w:t>国际商会向电报电话行政大会提交的提案</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2E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188</w:t>
      </w:r>
      <w:r w:rsidRPr="006E3B9B">
        <w:rPr>
          <w:lang w:val="en-US" w:eastAsia="zh-CN"/>
        </w:rPr>
        <w:t>号决定</w:t>
      </w:r>
      <w:r w:rsidRPr="006E3B9B">
        <w:rPr>
          <w:lang w:val="en-US" w:eastAsia="zh-CN"/>
        </w:rPr>
        <w:tab/>
      </w:r>
      <w:r w:rsidRPr="006E3B9B">
        <w:rPr>
          <w:rFonts w:hint="eastAsia"/>
          <w:lang w:eastAsia="zh-CN"/>
        </w:rPr>
        <w:t>财务控制委员会的构成</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2EB"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189</w:t>
      </w:r>
      <w:r w:rsidRPr="006E3B9B">
        <w:rPr>
          <w:lang w:val="en-US" w:eastAsia="zh-CN"/>
        </w:rPr>
        <w:t>号决定</w:t>
      </w:r>
      <w:r w:rsidRPr="006E3B9B">
        <w:rPr>
          <w:lang w:val="en-US" w:eastAsia="zh-CN"/>
        </w:rPr>
        <w:tab/>
      </w:r>
      <w:r w:rsidRPr="006E3B9B">
        <w:rPr>
          <w:rFonts w:hint="eastAsia"/>
          <w:lang w:eastAsia="zh-CN"/>
        </w:rPr>
        <w:t>节约措施</w:t>
      </w:r>
      <w:r w:rsidRPr="006E3B9B">
        <w:rPr>
          <w:lang w:val="en-US" w:eastAsia="zh-CN"/>
        </w:rPr>
        <w:tab/>
      </w:r>
      <w:r w:rsidR="00396681">
        <w:rPr>
          <w:lang w:val="en-US" w:eastAsia="zh-CN"/>
        </w:rPr>
        <w:tab/>
      </w:r>
      <w:r w:rsidRPr="006E3B9B">
        <w:rPr>
          <w:lang w:val="en-US" w:eastAsia="zh-CN"/>
        </w:rPr>
        <w:t>1957</w:t>
      </w:r>
      <w:r w:rsidRPr="006E3B9B">
        <w:rPr>
          <w:rFonts w:hint="eastAsia"/>
          <w:lang w:val="en-US" w:eastAsia="zh-CN"/>
        </w:rPr>
        <w:t>年</w:t>
      </w:r>
    </w:p>
    <w:p w14:paraId="4827C2E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190</w:t>
      </w:r>
      <w:r w:rsidRPr="006E3B9B">
        <w:rPr>
          <w:lang w:val="en-US" w:eastAsia="zh-CN"/>
        </w:rPr>
        <w:t>号决定</w:t>
      </w:r>
      <w:r w:rsidRPr="006E3B9B">
        <w:rPr>
          <w:lang w:val="en-US" w:eastAsia="zh-CN"/>
        </w:rPr>
        <w:tab/>
      </w:r>
      <w:r w:rsidRPr="006E3B9B">
        <w:rPr>
          <w:rFonts w:hint="eastAsia"/>
          <w:lang w:eastAsia="zh-CN"/>
        </w:rPr>
        <w:t>综合预算</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2E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191</w:t>
      </w:r>
      <w:r w:rsidRPr="006E3B9B">
        <w:rPr>
          <w:lang w:val="en-US" w:eastAsia="zh-CN"/>
        </w:rPr>
        <w:t>号决定</w:t>
      </w:r>
      <w:r w:rsidRPr="006E3B9B">
        <w:rPr>
          <w:lang w:val="en-US" w:eastAsia="zh-CN"/>
        </w:rPr>
        <w:tab/>
      </w:r>
      <w:r w:rsidRPr="006E3B9B">
        <w:rPr>
          <w:rFonts w:hint="eastAsia"/>
          <w:lang w:eastAsia="zh-CN"/>
        </w:rPr>
        <w:t>根据</w:t>
      </w:r>
      <w:r w:rsidRPr="006E3B9B">
        <w:rPr>
          <w:lang w:eastAsia="zh-CN"/>
        </w:rPr>
        <w:t>1927</w:t>
      </w:r>
      <w:r w:rsidRPr="006E3B9B">
        <w:rPr>
          <w:rFonts w:hint="eastAsia"/>
          <w:lang w:eastAsia="zh-CN"/>
        </w:rPr>
        <w:t>年法规领取养恤金的人员的生活费补贴</w:t>
      </w:r>
      <w:r w:rsidRPr="006E3B9B">
        <w:rPr>
          <w:lang w:val="en-US" w:eastAsia="zh-CN"/>
        </w:rPr>
        <w:tab/>
      </w:r>
      <w:r w:rsidR="00396681">
        <w:rPr>
          <w:lang w:val="en-US" w:eastAsia="zh-CN"/>
        </w:rPr>
        <w:tab/>
      </w:r>
      <w:r w:rsidRPr="006E3B9B">
        <w:rPr>
          <w:lang w:val="en-US" w:eastAsia="zh-CN"/>
        </w:rPr>
        <w:t>1981</w:t>
      </w:r>
      <w:r w:rsidRPr="006E3B9B">
        <w:rPr>
          <w:rFonts w:hint="eastAsia"/>
          <w:lang w:val="en-US" w:eastAsia="zh-CN"/>
        </w:rPr>
        <w:t>年</w:t>
      </w:r>
    </w:p>
    <w:p w14:paraId="4827C2E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192</w:t>
      </w:r>
      <w:r w:rsidRPr="006E3B9B">
        <w:rPr>
          <w:lang w:val="en-US" w:eastAsia="zh-CN"/>
        </w:rPr>
        <w:t>号决定</w:t>
      </w:r>
      <w:r w:rsidRPr="006E3B9B">
        <w:rPr>
          <w:lang w:val="en-US" w:eastAsia="zh-CN"/>
        </w:rPr>
        <w:tab/>
      </w:r>
      <w:r w:rsidRPr="006E3B9B">
        <w:rPr>
          <w:lang w:eastAsia="zh-CN"/>
        </w:rPr>
        <w:t>1949</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1</w:t>
      </w:r>
      <w:r w:rsidRPr="006E3B9B">
        <w:rPr>
          <w:rFonts w:hint="eastAsia"/>
          <w:lang w:eastAsia="zh-CN"/>
        </w:rPr>
        <w:t>日以后退休的官员的生活费津贴</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2E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193</w:t>
      </w:r>
      <w:r w:rsidRPr="006E3B9B">
        <w:rPr>
          <w:lang w:val="en-US" w:eastAsia="zh-CN"/>
        </w:rPr>
        <w:t>号决定</w:t>
      </w:r>
      <w:r w:rsidRPr="006E3B9B">
        <w:rPr>
          <w:lang w:val="en-US" w:eastAsia="zh-CN"/>
        </w:rPr>
        <w:tab/>
      </w:r>
      <w:r w:rsidRPr="006E3B9B">
        <w:rPr>
          <w:lang w:eastAsia="zh-CN"/>
        </w:rPr>
        <w:t>1956</w:t>
      </w:r>
      <w:r w:rsidRPr="006E3B9B">
        <w:rPr>
          <w:rFonts w:hint="eastAsia"/>
          <w:lang w:eastAsia="zh-CN"/>
        </w:rPr>
        <w:t>和</w:t>
      </w:r>
      <w:r w:rsidRPr="006E3B9B">
        <w:rPr>
          <w:lang w:eastAsia="zh-CN"/>
        </w:rPr>
        <w:t>1957</w:t>
      </w:r>
      <w:r w:rsidRPr="006E3B9B">
        <w:rPr>
          <w:rFonts w:hint="eastAsia"/>
          <w:lang w:eastAsia="zh-CN"/>
        </w:rPr>
        <w:t>年对</w:t>
      </w:r>
      <w:r w:rsidRPr="006E3B9B">
        <w:rPr>
          <w:lang w:eastAsia="zh-CN"/>
        </w:rPr>
        <w:t>60</w:t>
      </w:r>
      <w:r w:rsidRPr="006E3B9B">
        <w:rPr>
          <w:rFonts w:hint="eastAsia"/>
          <w:lang w:eastAsia="zh-CN"/>
        </w:rPr>
        <w:t>岁以上官员加薪的保证</w:t>
      </w:r>
      <w:r w:rsidRPr="006E3B9B">
        <w:rPr>
          <w:lang w:val="en-US" w:eastAsia="zh-CN"/>
        </w:rPr>
        <w:tab/>
      </w:r>
      <w:r w:rsidR="00396681">
        <w:rPr>
          <w:lang w:val="en-US" w:eastAsia="zh-CN"/>
        </w:rPr>
        <w:tab/>
      </w:r>
      <w:r w:rsidRPr="006E3B9B">
        <w:rPr>
          <w:lang w:val="en-US" w:eastAsia="zh-CN"/>
        </w:rPr>
        <w:t>1957</w:t>
      </w:r>
      <w:r w:rsidRPr="006E3B9B">
        <w:rPr>
          <w:rFonts w:hint="eastAsia"/>
          <w:lang w:val="en-US" w:eastAsia="zh-CN"/>
        </w:rPr>
        <w:t>年</w:t>
      </w:r>
    </w:p>
    <w:p w14:paraId="4827C2F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194</w:t>
      </w:r>
      <w:r w:rsidRPr="006E3B9B">
        <w:rPr>
          <w:lang w:val="en-US" w:eastAsia="zh-CN"/>
        </w:rPr>
        <w:t>号决定</w:t>
      </w:r>
      <w:r w:rsidRPr="006E3B9B">
        <w:rPr>
          <w:lang w:val="en-US" w:eastAsia="zh-CN"/>
        </w:rPr>
        <w:tab/>
      </w:r>
      <w:r w:rsidRPr="006E3B9B">
        <w:rPr>
          <w:lang w:eastAsia="zh-CN"/>
        </w:rPr>
        <w:t>频登会</w:t>
      </w:r>
      <w:r w:rsidRPr="006E3B9B">
        <w:rPr>
          <w:rFonts w:hint="eastAsia"/>
          <w:lang w:eastAsia="zh-CN"/>
        </w:rPr>
        <w:t>技术标准出版的资助</w:t>
      </w:r>
      <w:r w:rsidRPr="006E3B9B">
        <w:rPr>
          <w:lang w:val="en-US" w:eastAsia="zh-CN"/>
        </w:rPr>
        <w:tab/>
      </w:r>
      <w:r w:rsidR="00396681">
        <w:rPr>
          <w:lang w:val="en-US" w:eastAsia="zh-CN"/>
        </w:rPr>
        <w:tab/>
      </w:r>
      <w:r w:rsidRPr="006E3B9B">
        <w:rPr>
          <w:lang w:val="en-US" w:eastAsia="zh-CN"/>
        </w:rPr>
        <w:t>1957</w:t>
      </w:r>
      <w:r w:rsidRPr="006E3B9B">
        <w:rPr>
          <w:rFonts w:hint="eastAsia"/>
          <w:lang w:val="en-US" w:eastAsia="zh-CN"/>
        </w:rPr>
        <w:t>年</w:t>
      </w:r>
    </w:p>
    <w:p w14:paraId="4827C2F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195</w:t>
      </w:r>
      <w:r w:rsidRPr="006E3B9B">
        <w:rPr>
          <w:lang w:val="en-US" w:eastAsia="zh-CN"/>
        </w:rPr>
        <w:t>号决定</w:t>
      </w:r>
      <w:r w:rsidRPr="006E3B9B">
        <w:rPr>
          <w:lang w:val="en-US" w:eastAsia="zh-CN"/>
        </w:rPr>
        <w:tab/>
      </w:r>
      <w:r w:rsidRPr="006E3B9B">
        <w:rPr>
          <w:rFonts w:hint="eastAsia"/>
          <w:lang w:eastAsia="zh-CN"/>
        </w:rPr>
        <w:t>对薪金表变更的实施</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2F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196</w:t>
      </w:r>
      <w:r w:rsidRPr="006E3B9B">
        <w:rPr>
          <w:lang w:val="en-US" w:eastAsia="zh-CN"/>
        </w:rPr>
        <w:t>号决定</w:t>
      </w:r>
      <w:r w:rsidRPr="006E3B9B">
        <w:rPr>
          <w:lang w:val="en-US" w:eastAsia="zh-CN"/>
        </w:rPr>
        <w:tab/>
      </w:r>
      <w:r w:rsidRPr="006E3B9B">
        <w:rPr>
          <w:rFonts w:hint="eastAsia"/>
          <w:lang w:eastAsia="zh-CN"/>
        </w:rPr>
        <w:t>副秘书长的空缺</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2F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197</w:t>
      </w:r>
      <w:r w:rsidRPr="006E3B9B">
        <w:rPr>
          <w:lang w:val="en-US" w:eastAsia="zh-CN"/>
        </w:rPr>
        <w:t>号决定</w:t>
      </w:r>
      <w:r w:rsidRPr="006E3B9B">
        <w:rPr>
          <w:lang w:val="en-US" w:eastAsia="zh-CN"/>
        </w:rPr>
        <w:tab/>
      </w:r>
      <w:r w:rsidRPr="006E3B9B">
        <w:rPr>
          <w:rFonts w:hint="eastAsia"/>
          <w:lang w:eastAsia="zh-CN"/>
        </w:rPr>
        <w:t>总秘书处的人员配备</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2F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198</w:t>
      </w:r>
      <w:r w:rsidRPr="006E3B9B">
        <w:rPr>
          <w:lang w:val="en-US" w:eastAsia="zh-CN"/>
        </w:rPr>
        <w:t>号决定</w:t>
      </w:r>
      <w:r w:rsidRPr="006E3B9B">
        <w:rPr>
          <w:lang w:val="en-US" w:eastAsia="zh-CN"/>
        </w:rPr>
        <w:tab/>
      </w:r>
      <w:r w:rsidRPr="006E3B9B">
        <w:rPr>
          <w:rFonts w:hint="eastAsia"/>
          <w:lang w:eastAsia="zh-CN"/>
        </w:rPr>
        <w:t>布宜诺斯艾利斯公约第</w:t>
      </w:r>
      <w:r w:rsidRPr="006E3B9B">
        <w:rPr>
          <w:lang w:eastAsia="zh-CN"/>
        </w:rPr>
        <w:t>8</w:t>
      </w:r>
      <w:r w:rsidRPr="006E3B9B">
        <w:rPr>
          <w:rFonts w:hint="eastAsia"/>
          <w:lang w:eastAsia="zh-CN"/>
        </w:rPr>
        <w:t>条第</w:t>
      </w:r>
      <w:r w:rsidRPr="006E3B9B">
        <w:rPr>
          <w:lang w:eastAsia="zh-CN"/>
        </w:rPr>
        <w:t>4</w:t>
      </w:r>
      <w:r w:rsidRPr="006E3B9B">
        <w:rPr>
          <w:rFonts w:hint="eastAsia"/>
          <w:lang w:eastAsia="zh-CN"/>
        </w:rPr>
        <w:t>段的执行</w:t>
      </w:r>
      <w:r w:rsidRPr="006E3B9B">
        <w:rPr>
          <w:lang w:val="en-US" w:eastAsia="zh-CN"/>
        </w:rPr>
        <w:tab/>
      </w:r>
      <w:r w:rsidR="00396681">
        <w:rPr>
          <w:lang w:val="en-US" w:eastAsia="zh-CN"/>
        </w:rPr>
        <w:tab/>
      </w:r>
      <w:r w:rsidRPr="006E3B9B">
        <w:rPr>
          <w:lang w:val="en-US" w:eastAsia="zh-CN"/>
        </w:rPr>
        <w:t>1957</w:t>
      </w:r>
      <w:r w:rsidRPr="006E3B9B">
        <w:rPr>
          <w:rFonts w:hint="eastAsia"/>
          <w:lang w:val="en-US" w:eastAsia="zh-CN"/>
        </w:rPr>
        <w:t>年</w:t>
      </w:r>
    </w:p>
    <w:p w14:paraId="4827C2F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199</w:t>
      </w:r>
      <w:r w:rsidRPr="006E3B9B">
        <w:rPr>
          <w:lang w:val="en-US" w:eastAsia="zh-CN"/>
        </w:rPr>
        <w:t>号决定</w:t>
      </w:r>
      <w:r w:rsidRPr="006E3B9B">
        <w:rPr>
          <w:lang w:val="en-US" w:eastAsia="zh-CN"/>
        </w:rPr>
        <w:tab/>
      </w:r>
      <w:r w:rsidRPr="006E3B9B">
        <w:rPr>
          <w:rFonts w:hint="eastAsia"/>
          <w:lang w:eastAsia="zh-CN"/>
        </w:rPr>
        <w:t>探讨国际电联官员加入联合国职员合办养恤金基金的可能性</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2F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200</w:t>
      </w:r>
      <w:r w:rsidRPr="006E3B9B">
        <w:rPr>
          <w:lang w:val="en-US" w:eastAsia="zh-CN"/>
        </w:rPr>
        <w:t>号决定</w:t>
      </w:r>
      <w:r w:rsidRPr="006E3B9B">
        <w:rPr>
          <w:lang w:val="en-US" w:eastAsia="zh-CN"/>
        </w:rPr>
        <w:tab/>
      </w:r>
      <w:r w:rsidRPr="006E3B9B">
        <w:rPr>
          <w:rFonts w:hint="eastAsia"/>
          <w:lang w:eastAsia="zh-CN"/>
        </w:rPr>
        <w:t>对《人事规则》第</w:t>
      </w:r>
      <w:r w:rsidRPr="006E3B9B">
        <w:rPr>
          <w:lang w:eastAsia="zh-CN"/>
        </w:rPr>
        <w:t>15</w:t>
      </w:r>
      <w:r w:rsidRPr="006E3B9B">
        <w:rPr>
          <w:rFonts w:hint="eastAsia"/>
          <w:lang w:eastAsia="zh-CN"/>
        </w:rPr>
        <w:t>条的修正</w:t>
      </w:r>
      <w:r w:rsidRPr="006E3B9B">
        <w:rPr>
          <w:lang w:val="en-US" w:eastAsia="zh-CN"/>
        </w:rPr>
        <w:tab/>
      </w:r>
      <w:r w:rsidR="00396681">
        <w:rPr>
          <w:lang w:val="en-US" w:eastAsia="zh-CN"/>
        </w:rPr>
        <w:tab/>
      </w:r>
      <w:r w:rsidRPr="006E3B9B">
        <w:rPr>
          <w:lang w:val="en-US" w:eastAsia="zh-CN"/>
        </w:rPr>
        <w:t>1957</w:t>
      </w:r>
      <w:r w:rsidRPr="006E3B9B">
        <w:rPr>
          <w:rFonts w:hint="eastAsia"/>
          <w:lang w:val="en-US" w:eastAsia="zh-CN"/>
        </w:rPr>
        <w:t>年</w:t>
      </w:r>
    </w:p>
    <w:p w14:paraId="4827C2F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201</w:t>
      </w:r>
      <w:r w:rsidRPr="006E3B9B">
        <w:rPr>
          <w:lang w:val="en-US" w:eastAsia="zh-CN"/>
        </w:rPr>
        <w:t>号决定</w:t>
      </w:r>
      <w:r w:rsidRPr="006E3B9B">
        <w:rPr>
          <w:lang w:val="en-US" w:eastAsia="zh-CN"/>
        </w:rPr>
        <w:tab/>
      </w:r>
      <w:r w:rsidRPr="006E3B9B">
        <w:rPr>
          <w:lang w:eastAsia="zh-CN"/>
        </w:rPr>
        <w:t>CCIR</w:t>
      </w:r>
      <w:r w:rsidRPr="006E3B9B">
        <w:rPr>
          <w:rFonts w:hint="eastAsia"/>
          <w:lang w:eastAsia="zh-CN"/>
        </w:rPr>
        <w:t>的临时合同</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2F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202</w:t>
      </w:r>
      <w:r w:rsidRPr="006E3B9B">
        <w:rPr>
          <w:lang w:val="en-US" w:eastAsia="zh-CN"/>
        </w:rPr>
        <w:t>号决定</w:t>
      </w:r>
      <w:r w:rsidRPr="006E3B9B">
        <w:rPr>
          <w:lang w:val="en-US" w:eastAsia="zh-CN"/>
        </w:rPr>
        <w:tab/>
      </w:r>
      <w:r w:rsidRPr="006E3B9B">
        <w:rPr>
          <w:rFonts w:hint="eastAsia"/>
          <w:lang w:eastAsia="zh-CN"/>
        </w:rPr>
        <w:t>设立新的职位</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2F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203</w:t>
      </w:r>
      <w:r w:rsidRPr="006E3B9B">
        <w:rPr>
          <w:lang w:val="en-US" w:eastAsia="zh-CN"/>
        </w:rPr>
        <w:t>号决定</w:t>
      </w:r>
      <w:r w:rsidRPr="006E3B9B">
        <w:rPr>
          <w:lang w:val="en-US" w:eastAsia="zh-CN"/>
        </w:rPr>
        <w:tab/>
      </w:r>
      <w:r w:rsidRPr="006E3B9B">
        <w:rPr>
          <w:lang w:eastAsia="zh-CN"/>
        </w:rPr>
        <w:t>频登会</w:t>
      </w:r>
      <w:r w:rsidRPr="006E3B9B">
        <w:rPr>
          <w:rFonts w:hint="eastAsia"/>
          <w:lang w:eastAsia="zh-CN"/>
        </w:rPr>
        <w:t>的附加职位</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2F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204</w:t>
      </w:r>
      <w:r w:rsidRPr="006E3B9B">
        <w:rPr>
          <w:lang w:val="en-US" w:eastAsia="zh-CN"/>
        </w:rPr>
        <w:t>号决定</w:t>
      </w:r>
      <w:r w:rsidRPr="006E3B9B">
        <w:rPr>
          <w:lang w:val="en-US" w:eastAsia="zh-CN"/>
        </w:rPr>
        <w:tab/>
      </w:r>
      <w:r w:rsidRPr="006E3B9B">
        <w:rPr>
          <w:rFonts w:hint="eastAsia"/>
          <w:lang w:eastAsia="zh-CN"/>
        </w:rPr>
        <w:t>现有职位的延续和转换</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2FB"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205</w:t>
      </w:r>
      <w:r w:rsidRPr="006E3B9B">
        <w:rPr>
          <w:lang w:val="en-US" w:eastAsia="zh-CN"/>
        </w:rPr>
        <w:t>号决定</w:t>
      </w:r>
      <w:r w:rsidRPr="006E3B9B">
        <w:rPr>
          <w:lang w:val="en-US" w:eastAsia="zh-CN"/>
        </w:rPr>
        <w:tab/>
      </w:r>
      <w:r w:rsidRPr="006E3B9B">
        <w:rPr>
          <w:lang w:eastAsia="zh-CN"/>
        </w:rPr>
        <w:t>CCITT</w:t>
      </w:r>
      <w:r w:rsidRPr="006E3B9B">
        <w:rPr>
          <w:rFonts w:hint="eastAsia"/>
          <w:lang w:eastAsia="zh-CN"/>
        </w:rPr>
        <w:t>两位临时官员合同的延长</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2F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206</w:t>
      </w:r>
      <w:r w:rsidRPr="006E3B9B">
        <w:rPr>
          <w:lang w:val="en-US" w:eastAsia="zh-CN"/>
        </w:rPr>
        <w:t>号决定</w:t>
      </w:r>
      <w:r w:rsidRPr="006E3B9B">
        <w:rPr>
          <w:lang w:val="en-US" w:eastAsia="zh-CN"/>
        </w:rPr>
        <w:tab/>
      </w:r>
      <w:r w:rsidRPr="006E3B9B">
        <w:rPr>
          <w:rFonts w:hint="eastAsia"/>
          <w:lang w:eastAsia="zh-CN"/>
        </w:rPr>
        <w:t>向获</w:t>
      </w:r>
      <w:r w:rsidRPr="006E3B9B">
        <w:rPr>
          <w:rFonts w:hint="eastAsia"/>
          <w:lang w:eastAsia="zh-CN"/>
        </w:rPr>
        <w:t>Grand officer</w:t>
      </w:r>
      <w:r w:rsidRPr="006E3B9B">
        <w:rPr>
          <w:rFonts w:hint="eastAsia"/>
          <w:lang w:eastAsia="zh-CN"/>
        </w:rPr>
        <w:t>勋衔的</w:t>
      </w:r>
      <w:r w:rsidRPr="006E3B9B">
        <w:rPr>
          <w:lang w:eastAsia="zh-CN"/>
        </w:rPr>
        <w:t>Giuseppe Gneme</w:t>
      </w:r>
      <w:r w:rsidRPr="006E3B9B">
        <w:rPr>
          <w:rFonts w:hint="eastAsia"/>
          <w:lang w:eastAsia="zh-CN"/>
        </w:rPr>
        <w:t>致敬</w:t>
      </w:r>
      <w:r w:rsidR="00396681">
        <w:rPr>
          <w:lang w:eastAsia="zh-CN"/>
        </w:rPr>
        <w:tab/>
      </w:r>
      <w:r w:rsidRPr="006E3B9B">
        <w:rPr>
          <w:lang w:val="en-US" w:eastAsia="zh-CN"/>
        </w:rPr>
        <w:tab/>
        <w:t>1964</w:t>
      </w:r>
      <w:r w:rsidRPr="006E3B9B">
        <w:rPr>
          <w:rFonts w:hint="eastAsia"/>
          <w:lang w:val="en-US" w:eastAsia="zh-CN"/>
        </w:rPr>
        <w:t>年</w:t>
      </w:r>
    </w:p>
    <w:p w14:paraId="4827C2FD" w14:textId="77777777" w:rsidR="006E3B9B" w:rsidRPr="006E3B9B" w:rsidRDefault="006E3B9B" w:rsidP="004E1793">
      <w:pPr>
        <w:pStyle w:val="Reftitle"/>
        <w:rPr>
          <w:lang w:eastAsia="zh-CN"/>
        </w:rPr>
      </w:pPr>
      <w:r w:rsidRPr="006E3B9B">
        <w:rPr>
          <w:rFonts w:hint="eastAsia"/>
          <w:lang w:eastAsia="zh-CN"/>
        </w:rPr>
        <w:t>第</w:t>
      </w:r>
      <w:r w:rsidRPr="006E3B9B">
        <w:rPr>
          <w:lang w:eastAsia="zh-CN"/>
        </w:rPr>
        <w:t>13</w:t>
      </w:r>
      <w:r w:rsidRPr="006E3B9B">
        <w:rPr>
          <w:rFonts w:hint="eastAsia"/>
          <w:lang w:eastAsia="zh-CN"/>
        </w:rPr>
        <w:t>届会议（</w:t>
      </w:r>
      <w:r w:rsidRPr="006E3B9B">
        <w:rPr>
          <w:lang w:eastAsia="zh-CN"/>
        </w:rPr>
        <w:t>1958</w:t>
      </w:r>
      <w:r w:rsidRPr="006E3B9B">
        <w:rPr>
          <w:rFonts w:hint="eastAsia"/>
          <w:lang w:eastAsia="zh-CN"/>
        </w:rPr>
        <w:t>年</w:t>
      </w:r>
      <w:r w:rsidRPr="006E3B9B">
        <w:rPr>
          <w:lang w:eastAsia="zh-CN"/>
        </w:rPr>
        <w:t>4</w:t>
      </w:r>
      <w:r w:rsidRPr="006E3B9B">
        <w:rPr>
          <w:rFonts w:hint="eastAsia"/>
          <w:lang w:eastAsia="zh-CN"/>
        </w:rPr>
        <w:t>月</w:t>
      </w:r>
      <w:r w:rsidRPr="006E3B9B">
        <w:rPr>
          <w:lang w:eastAsia="zh-CN"/>
        </w:rPr>
        <w:t>-5</w:t>
      </w:r>
      <w:r w:rsidRPr="006E3B9B">
        <w:rPr>
          <w:rFonts w:hint="eastAsia"/>
          <w:lang w:eastAsia="zh-CN"/>
        </w:rPr>
        <w:t>月）</w:t>
      </w:r>
    </w:p>
    <w:p w14:paraId="4827C2F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207</w:t>
      </w:r>
      <w:r w:rsidRPr="006E3B9B">
        <w:rPr>
          <w:lang w:val="en-US" w:eastAsia="zh-CN"/>
        </w:rPr>
        <w:t>号决定</w:t>
      </w:r>
      <w:r w:rsidRPr="006E3B9B">
        <w:rPr>
          <w:lang w:val="en-US" w:eastAsia="zh-CN"/>
        </w:rPr>
        <w:tab/>
      </w:r>
      <w:r w:rsidRPr="006E3B9B">
        <w:rPr>
          <w:rFonts w:hint="eastAsia"/>
          <w:lang w:eastAsia="zh-CN"/>
        </w:rPr>
        <w:t>无线电行政大会和全权代表大会的开幕日期</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2F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208</w:t>
      </w:r>
      <w:r w:rsidRPr="006E3B9B">
        <w:rPr>
          <w:lang w:val="en-US" w:eastAsia="zh-CN"/>
        </w:rPr>
        <w:t>号决定</w:t>
      </w:r>
      <w:r w:rsidRPr="006E3B9B">
        <w:rPr>
          <w:lang w:val="en-US" w:eastAsia="zh-CN"/>
        </w:rPr>
        <w:tab/>
      </w:r>
      <w:r w:rsidRPr="006E3B9B">
        <w:rPr>
          <w:rFonts w:hint="eastAsia"/>
          <w:lang w:val="en-US" w:eastAsia="zh-CN"/>
        </w:rPr>
        <w:t>出席</w:t>
      </w:r>
      <w:r w:rsidRPr="006E3B9B">
        <w:rPr>
          <w:rFonts w:hint="eastAsia"/>
          <w:lang w:eastAsia="zh-CN"/>
        </w:rPr>
        <w:t>下届无线电行政大会和全权代表大会的邀请</w:t>
      </w:r>
      <w:r w:rsidR="00396681">
        <w:rPr>
          <w:lang w:eastAsia="zh-CN"/>
        </w:rPr>
        <w:tab/>
      </w:r>
      <w:r w:rsidRPr="006E3B9B">
        <w:rPr>
          <w:lang w:val="en-US" w:eastAsia="zh-CN"/>
        </w:rPr>
        <w:tab/>
        <w:t>1964</w:t>
      </w:r>
      <w:r w:rsidRPr="006E3B9B">
        <w:rPr>
          <w:rFonts w:hint="eastAsia"/>
          <w:lang w:val="en-US" w:eastAsia="zh-CN"/>
        </w:rPr>
        <w:t>年</w:t>
      </w:r>
    </w:p>
    <w:p w14:paraId="4827C30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209</w:t>
      </w:r>
      <w:r w:rsidRPr="006E3B9B">
        <w:rPr>
          <w:lang w:val="en-US" w:eastAsia="zh-CN"/>
        </w:rPr>
        <w:t>号决定</w:t>
      </w:r>
      <w:r w:rsidRPr="006E3B9B">
        <w:rPr>
          <w:lang w:val="en-US" w:eastAsia="zh-CN"/>
        </w:rPr>
        <w:tab/>
      </w:r>
      <w:r w:rsidRPr="006E3B9B">
        <w:rPr>
          <w:rFonts w:hint="eastAsia"/>
          <w:lang w:eastAsia="zh-CN"/>
        </w:rPr>
        <w:t>国际组织参加无线电行政大会</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0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210</w:t>
      </w:r>
      <w:r w:rsidRPr="006E3B9B">
        <w:rPr>
          <w:lang w:val="en-US" w:eastAsia="zh-CN"/>
        </w:rPr>
        <w:t>号决定</w:t>
      </w:r>
      <w:r w:rsidRPr="006E3B9B">
        <w:rPr>
          <w:lang w:val="en-US" w:eastAsia="zh-CN"/>
        </w:rPr>
        <w:tab/>
      </w:r>
      <w:r w:rsidRPr="006E3B9B">
        <w:rPr>
          <w:rFonts w:hint="eastAsia"/>
          <w:lang w:eastAsia="zh-CN"/>
        </w:rPr>
        <w:t>国际红十字会向电报电话行政大会提交的提案</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0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211</w:t>
      </w:r>
      <w:r w:rsidRPr="006E3B9B">
        <w:rPr>
          <w:lang w:val="en-US" w:eastAsia="zh-CN"/>
        </w:rPr>
        <w:t>号决定</w:t>
      </w:r>
      <w:r w:rsidRPr="006E3B9B">
        <w:rPr>
          <w:lang w:val="en-US" w:eastAsia="zh-CN"/>
        </w:rPr>
        <w:tab/>
      </w:r>
      <w:r w:rsidRPr="006E3B9B">
        <w:rPr>
          <w:lang w:eastAsia="zh-CN"/>
        </w:rPr>
        <w:t>CCITT</w:t>
      </w:r>
      <w:r w:rsidRPr="006E3B9B">
        <w:rPr>
          <w:rFonts w:hint="eastAsia"/>
          <w:lang w:eastAsia="zh-CN"/>
        </w:rPr>
        <w:t>第</w:t>
      </w:r>
      <w:r w:rsidRPr="006E3B9B">
        <w:rPr>
          <w:lang w:eastAsia="zh-CN"/>
        </w:rPr>
        <w:t>2</w:t>
      </w:r>
      <w:r w:rsidRPr="006E3B9B">
        <w:rPr>
          <w:rFonts w:hint="eastAsia"/>
          <w:lang w:eastAsia="zh-CN"/>
        </w:rPr>
        <w:t>届全体会议的日期</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0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212</w:t>
      </w:r>
      <w:r w:rsidRPr="006E3B9B">
        <w:rPr>
          <w:lang w:val="en-US" w:eastAsia="zh-CN"/>
        </w:rPr>
        <w:t>号决定</w:t>
      </w:r>
      <w:r w:rsidRPr="006E3B9B">
        <w:rPr>
          <w:lang w:val="en-US" w:eastAsia="zh-CN"/>
        </w:rPr>
        <w:tab/>
      </w:r>
      <w:r w:rsidRPr="006E3B9B">
        <w:rPr>
          <w:rFonts w:hint="eastAsia"/>
          <w:lang w:eastAsia="zh-CN"/>
        </w:rPr>
        <w:t>理事会</w:t>
      </w:r>
      <w:r w:rsidRPr="006E3B9B">
        <w:rPr>
          <w:lang w:eastAsia="zh-CN"/>
        </w:rPr>
        <w:t>1959</w:t>
      </w:r>
      <w:r w:rsidRPr="006E3B9B">
        <w:rPr>
          <w:rFonts w:hint="eastAsia"/>
          <w:lang w:eastAsia="zh-CN"/>
        </w:rPr>
        <w:t>年年会日期</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0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213</w:t>
      </w:r>
      <w:r w:rsidRPr="006E3B9B">
        <w:rPr>
          <w:lang w:val="en-US" w:eastAsia="zh-CN"/>
        </w:rPr>
        <w:t>号决定</w:t>
      </w:r>
      <w:r w:rsidRPr="006E3B9B">
        <w:rPr>
          <w:lang w:val="en-US" w:eastAsia="zh-CN"/>
        </w:rPr>
        <w:tab/>
      </w:r>
      <w:r w:rsidRPr="006E3B9B">
        <w:rPr>
          <w:rFonts w:hint="eastAsia"/>
          <w:lang w:eastAsia="zh-CN"/>
        </w:rPr>
        <w:t>经济发展的资金筹措</w:t>
      </w:r>
      <w:r w:rsidR="00396681">
        <w:rPr>
          <w:lang w:eastAsia="zh-CN"/>
        </w:rPr>
        <w:tab/>
      </w:r>
      <w:r w:rsidRPr="006E3B9B">
        <w:rPr>
          <w:lang w:val="en-US" w:eastAsia="zh-CN"/>
        </w:rPr>
        <w:tab/>
        <w:t>1964</w:t>
      </w:r>
      <w:r w:rsidRPr="006E3B9B">
        <w:rPr>
          <w:rFonts w:hint="eastAsia"/>
          <w:lang w:val="en-US" w:eastAsia="zh-CN"/>
        </w:rPr>
        <w:t>年</w:t>
      </w:r>
    </w:p>
    <w:p w14:paraId="4827C30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214</w:t>
      </w:r>
      <w:r w:rsidRPr="006E3B9B">
        <w:rPr>
          <w:lang w:val="en-US" w:eastAsia="zh-CN"/>
        </w:rPr>
        <w:t>号决定</w:t>
      </w:r>
      <w:r w:rsidRPr="006E3B9B">
        <w:rPr>
          <w:lang w:val="en-US" w:eastAsia="zh-CN"/>
        </w:rPr>
        <w:tab/>
      </w:r>
      <w:r w:rsidRPr="006E3B9B">
        <w:rPr>
          <w:rFonts w:hint="eastAsia"/>
          <w:lang w:eastAsia="zh-CN"/>
        </w:rPr>
        <w:t>组建一个国际行政服务部门的可能性</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0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215</w:t>
      </w:r>
      <w:r w:rsidRPr="006E3B9B">
        <w:rPr>
          <w:lang w:val="en-US" w:eastAsia="zh-CN"/>
        </w:rPr>
        <w:t>号决定</w:t>
      </w:r>
      <w:r w:rsidRPr="006E3B9B">
        <w:rPr>
          <w:lang w:val="en-US" w:eastAsia="zh-CN"/>
        </w:rPr>
        <w:tab/>
      </w:r>
      <w:r w:rsidRPr="006E3B9B">
        <w:rPr>
          <w:rFonts w:hint="eastAsia"/>
          <w:lang w:eastAsia="zh-CN"/>
        </w:rPr>
        <w:t>国际劳工组织行政法庭的裁决</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0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216</w:t>
      </w:r>
      <w:r w:rsidRPr="006E3B9B">
        <w:rPr>
          <w:lang w:val="en-US" w:eastAsia="zh-CN"/>
        </w:rPr>
        <w:t>号决定</w:t>
      </w:r>
      <w:r w:rsidRPr="006E3B9B">
        <w:rPr>
          <w:lang w:val="en-US" w:eastAsia="zh-CN"/>
        </w:rPr>
        <w:tab/>
      </w:r>
      <w:r w:rsidRPr="006E3B9B">
        <w:rPr>
          <w:rFonts w:hint="eastAsia"/>
          <w:lang w:eastAsia="zh-CN"/>
        </w:rPr>
        <w:t>临时支出和不可避免的支出</w:t>
      </w:r>
      <w:r w:rsidR="00396681">
        <w:rPr>
          <w:lang w:eastAsia="zh-CN"/>
        </w:rPr>
        <w:tab/>
      </w:r>
      <w:r w:rsidRPr="006E3B9B">
        <w:rPr>
          <w:lang w:val="en-US" w:eastAsia="zh-CN"/>
        </w:rPr>
        <w:tab/>
        <w:t>1964</w:t>
      </w:r>
      <w:r w:rsidRPr="006E3B9B">
        <w:rPr>
          <w:rFonts w:hint="eastAsia"/>
          <w:lang w:val="en-US" w:eastAsia="zh-CN"/>
        </w:rPr>
        <w:t>年</w:t>
      </w:r>
    </w:p>
    <w:p w14:paraId="4827C30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217</w:t>
      </w:r>
      <w:r w:rsidRPr="006E3B9B">
        <w:rPr>
          <w:lang w:val="en-US" w:eastAsia="zh-CN"/>
        </w:rPr>
        <w:t>号决定</w:t>
      </w:r>
      <w:r w:rsidRPr="006E3B9B">
        <w:rPr>
          <w:lang w:val="en-US" w:eastAsia="zh-CN"/>
        </w:rPr>
        <w:tab/>
      </w:r>
      <w:r w:rsidRPr="006E3B9B">
        <w:rPr>
          <w:rFonts w:hint="eastAsia"/>
          <w:lang w:eastAsia="zh-CN"/>
        </w:rPr>
        <w:t>在任职员的生活费津贴</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09" w14:textId="77777777" w:rsidR="00091112" w:rsidRDefault="00091112">
      <w:pPr>
        <w:tabs>
          <w:tab w:val="clear" w:pos="794"/>
          <w:tab w:val="clear" w:pos="1191"/>
          <w:tab w:val="clear" w:pos="1588"/>
          <w:tab w:val="clear" w:pos="1985"/>
        </w:tabs>
        <w:overflowPunct/>
        <w:autoSpaceDE/>
        <w:autoSpaceDN/>
        <w:adjustRightInd/>
        <w:spacing w:before="0"/>
        <w:jc w:val="left"/>
        <w:textAlignment w:val="auto"/>
        <w:rPr>
          <w:sz w:val="20"/>
          <w:lang w:val="en-US" w:eastAsia="zh-CN"/>
        </w:rPr>
      </w:pPr>
      <w:r>
        <w:rPr>
          <w:lang w:val="en-US" w:eastAsia="zh-CN"/>
        </w:rPr>
        <w:br w:type="page"/>
      </w:r>
    </w:p>
    <w:p w14:paraId="4827C30A" w14:textId="77777777" w:rsidR="006E3B9B" w:rsidRPr="006E3B9B" w:rsidRDefault="006E3B9B" w:rsidP="00057467">
      <w:pPr>
        <w:pStyle w:val="Appendixref"/>
        <w:rPr>
          <w:lang w:val="en-US" w:eastAsia="zh-CN"/>
        </w:rPr>
      </w:pPr>
      <w:r w:rsidRPr="006E3B9B">
        <w:rPr>
          <w:lang w:val="en-US" w:eastAsia="zh-CN"/>
        </w:rPr>
        <w:lastRenderedPageBreak/>
        <w:t>第</w:t>
      </w:r>
      <w:r w:rsidRPr="006E3B9B">
        <w:rPr>
          <w:lang w:val="en-US" w:eastAsia="zh-CN"/>
        </w:rPr>
        <w:t>218</w:t>
      </w:r>
      <w:r w:rsidRPr="006E3B9B">
        <w:rPr>
          <w:lang w:val="en-US" w:eastAsia="zh-CN"/>
        </w:rPr>
        <w:t>号决定</w:t>
      </w:r>
      <w:r w:rsidRPr="006E3B9B">
        <w:rPr>
          <w:lang w:val="en-US" w:eastAsia="zh-CN"/>
        </w:rPr>
        <w:tab/>
      </w:r>
      <w:r w:rsidRPr="006E3B9B">
        <w:rPr>
          <w:rFonts w:hint="eastAsia"/>
          <w:lang w:eastAsia="zh-CN"/>
        </w:rPr>
        <w:t>根据</w:t>
      </w:r>
      <w:r w:rsidRPr="006E3B9B">
        <w:rPr>
          <w:lang w:eastAsia="zh-CN"/>
        </w:rPr>
        <w:t>1927</w:t>
      </w:r>
      <w:r w:rsidRPr="006E3B9B">
        <w:rPr>
          <w:rFonts w:hint="eastAsia"/>
          <w:lang w:eastAsia="zh-CN"/>
        </w:rPr>
        <w:t>年法规领取养恤金的人员的生活费津贴</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0B"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219</w:t>
      </w:r>
      <w:r w:rsidRPr="006E3B9B">
        <w:rPr>
          <w:lang w:val="en-US" w:eastAsia="zh-CN"/>
        </w:rPr>
        <w:t>号决定</w:t>
      </w:r>
      <w:r w:rsidRPr="006E3B9B">
        <w:rPr>
          <w:lang w:val="en-US" w:eastAsia="zh-CN"/>
        </w:rPr>
        <w:tab/>
      </w:r>
      <w:r w:rsidRPr="006E3B9B">
        <w:rPr>
          <w:lang w:eastAsia="zh-CN"/>
        </w:rPr>
        <w:t>1949</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1</w:t>
      </w:r>
      <w:r w:rsidRPr="006E3B9B">
        <w:rPr>
          <w:rFonts w:hint="eastAsia"/>
          <w:lang w:eastAsia="zh-CN"/>
        </w:rPr>
        <w:t>日和</w:t>
      </w:r>
      <w:r w:rsidRPr="006E3B9B">
        <w:rPr>
          <w:lang w:eastAsia="zh-CN"/>
        </w:rPr>
        <w:t>1958</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1</w:t>
      </w:r>
      <w:r w:rsidRPr="006E3B9B">
        <w:rPr>
          <w:rFonts w:hint="eastAsia"/>
          <w:lang w:eastAsia="zh-CN"/>
        </w:rPr>
        <w:t>日期间退休的官员的生活费津贴</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0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220</w:t>
      </w:r>
      <w:r w:rsidRPr="006E3B9B">
        <w:rPr>
          <w:lang w:val="en-US" w:eastAsia="zh-CN"/>
        </w:rPr>
        <w:t>号决定</w:t>
      </w:r>
      <w:r w:rsidRPr="006E3B9B">
        <w:rPr>
          <w:lang w:val="en-US" w:eastAsia="zh-CN"/>
        </w:rPr>
        <w:tab/>
      </w:r>
      <w:r w:rsidRPr="006E3B9B">
        <w:rPr>
          <w:rFonts w:hint="eastAsia"/>
          <w:lang w:eastAsia="zh-CN"/>
        </w:rPr>
        <w:t>总秘书处的人员配备。任命一名</w:t>
      </w:r>
      <w:r w:rsidRPr="006E3B9B">
        <w:rPr>
          <w:rFonts w:hint="eastAsia"/>
          <w:lang w:eastAsia="zh-CN"/>
        </w:rPr>
        <w:t>C</w:t>
      </w:r>
      <w:r w:rsidRPr="006E3B9B">
        <w:rPr>
          <w:rFonts w:hint="eastAsia"/>
          <w:lang w:eastAsia="zh-CN"/>
        </w:rPr>
        <w:t>类临时顾问</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0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221</w:t>
      </w:r>
      <w:r w:rsidRPr="006E3B9B">
        <w:rPr>
          <w:lang w:val="en-US" w:eastAsia="zh-CN"/>
        </w:rPr>
        <w:t>号决定</w:t>
      </w:r>
      <w:r w:rsidRPr="006E3B9B">
        <w:rPr>
          <w:lang w:val="en-US" w:eastAsia="zh-CN"/>
        </w:rPr>
        <w:tab/>
      </w:r>
      <w:r w:rsidRPr="006E3B9B">
        <w:rPr>
          <w:rFonts w:hint="eastAsia"/>
          <w:lang w:eastAsia="zh-CN"/>
        </w:rPr>
        <w:t>新职位的设立</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0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222</w:t>
      </w:r>
      <w:r w:rsidRPr="006E3B9B">
        <w:rPr>
          <w:lang w:val="en-US" w:eastAsia="zh-CN"/>
        </w:rPr>
        <w:t>号决定</w:t>
      </w:r>
      <w:r w:rsidRPr="006E3B9B">
        <w:rPr>
          <w:lang w:val="en-US" w:eastAsia="zh-CN"/>
        </w:rPr>
        <w:tab/>
      </w:r>
      <w:r w:rsidRPr="006E3B9B">
        <w:rPr>
          <w:rFonts w:hint="eastAsia"/>
          <w:lang w:eastAsia="zh-CN"/>
        </w:rPr>
        <w:t>为那些多年停滞在过去薪金表第六档的官员加薪的日期</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0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223</w:t>
      </w:r>
      <w:r w:rsidRPr="006E3B9B">
        <w:rPr>
          <w:lang w:val="en-US" w:eastAsia="zh-CN"/>
        </w:rPr>
        <w:t>号决定</w:t>
      </w:r>
      <w:r w:rsidRPr="006E3B9B">
        <w:rPr>
          <w:lang w:val="en-US" w:eastAsia="zh-CN"/>
        </w:rPr>
        <w:tab/>
      </w:r>
      <w:r w:rsidRPr="006E3B9B">
        <w:rPr>
          <w:rFonts w:hint="eastAsia"/>
          <w:lang w:eastAsia="zh-CN"/>
        </w:rPr>
        <w:t>出差职员的加班费</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1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224</w:t>
      </w:r>
      <w:r w:rsidRPr="006E3B9B">
        <w:rPr>
          <w:lang w:val="en-US" w:eastAsia="zh-CN"/>
        </w:rPr>
        <w:t>号决定</w:t>
      </w:r>
      <w:r w:rsidRPr="006E3B9B">
        <w:rPr>
          <w:lang w:val="en-US" w:eastAsia="zh-CN"/>
        </w:rPr>
        <w:tab/>
      </w:r>
      <w:r w:rsidRPr="006E3B9B">
        <w:rPr>
          <w:rFonts w:hint="eastAsia"/>
          <w:lang w:eastAsia="zh-CN"/>
        </w:rPr>
        <w:t>职员退休和福利基金的精算状况</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1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225</w:t>
      </w:r>
      <w:r w:rsidRPr="006E3B9B">
        <w:rPr>
          <w:lang w:val="en-US" w:eastAsia="zh-CN"/>
        </w:rPr>
        <w:t>号决定</w:t>
      </w:r>
      <w:r w:rsidRPr="006E3B9B">
        <w:rPr>
          <w:lang w:val="en-US" w:eastAsia="zh-CN"/>
        </w:rPr>
        <w:tab/>
      </w:r>
      <w:r w:rsidRPr="006E3B9B">
        <w:rPr>
          <w:rFonts w:hint="eastAsia"/>
          <w:lang w:eastAsia="zh-CN"/>
        </w:rPr>
        <w:t>保证</w:t>
      </w:r>
      <w:r w:rsidRPr="006E3B9B">
        <w:rPr>
          <w:lang w:eastAsia="zh-CN"/>
        </w:rPr>
        <w:t>60</w:t>
      </w:r>
      <w:r w:rsidRPr="006E3B9B">
        <w:rPr>
          <w:rFonts w:hint="eastAsia"/>
          <w:lang w:eastAsia="zh-CN"/>
        </w:rPr>
        <w:t>岁以上官员在</w:t>
      </w:r>
      <w:r w:rsidRPr="006E3B9B">
        <w:rPr>
          <w:lang w:eastAsia="zh-CN"/>
        </w:rPr>
        <w:t>1958</w:t>
      </w:r>
      <w:r w:rsidRPr="006E3B9B">
        <w:rPr>
          <w:rFonts w:hint="eastAsia"/>
          <w:lang w:eastAsia="zh-CN"/>
        </w:rPr>
        <w:t>年加薪</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12"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14</w:t>
      </w:r>
      <w:r w:rsidRPr="006E3B9B">
        <w:rPr>
          <w:rFonts w:hint="eastAsia"/>
          <w:lang w:eastAsia="zh-CN"/>
        </w:rPr>
        <w:t>届会议（</w:t>
      </w:r>
      <w:r w:rsidRPr="006E3B9B">
        <w:rPr>
          <w:lang w:eastAsia="zh-CN"/>
        </w:rPr>
        <w:t>1959</w:t>
      </w:r>
      <w:r w:rsidRPr="006E3B9B">
        <w:rPr>
          <w:rFonts w:hint="eastAsia"/>
          <w:lang w:eastAsia="zh-CN"/>
        </w:rPr>
        <w:t>年</w:t>
      </w:r>
      <w:r w:rsidRPr="006E3B9B">
        <w:rPr>
          <w:lang w:eastAsia="zh-CN"/>
        </w:rPr>
        <w:t>5</w:t>
      </w:r>
      <w:r w:rsidRPr="006E3B9B">
        <w:rPr>
          <w:rFonts w:hint="eastAsia"/>
          <w:lang w:eastAsia="zh-CN"/>
        </w:rPr>
        <w:t>月</w:t>
      </w:r>
      <w:r w:rsidRPr="006E3B9B">
        <w:rPr>
          <w:lang w:eastAsia="zh-CN"/>
        </w:rPr>
        <w:t>-6</w:t>
      </w:r>
      <w:r w:rsidRPr="006E3B9B">
        <w:rPr>
          <w:rFonts w:hint="eastAsia"/>
          <w:lang w:eastAsia="zh-CN"/>
        </w:rPr>
        <w:t>月）</w:t>
      </w:r>
    </w:p>
    <w:p w14:paraId="4827C31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226</w:t>
      </w:r>
      <w:r w:rsidRPr="006E3B9B">
        <w:rPr>
          <w:lang w:val="en-US" w:eastAsia="zh-CN"/>
        </w:rPr>
        <w:t>号决定</w:t>
      </w:r>
      <w:r w:rsidRPr="006E3B9B">
        <w:rPr>
          <w:lang w:val="en-US" w:eastAsia="zh-CN"/>
        </w:rPr>
        <w:tab/>
      </w:r>
      <w:r w:rsidRPr="006E3B9B">
        <w:rPr>
          <w:lang w:eastAsia="zh-CN"/>
        </w:rPr>
        <w:t>1959</w:t>
      </w:r>
      <w:r w:rsidRPr="006E3B9B">
        <w:rPr>
          <w:rFonts w:hint="eastAsia"/>
          <w:lang w:eastAsia="zh-CN"/>
        </w:rPr>
        <w:t>年日内瓦无线电行政大会和全权代表大会</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1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227</w:t>
      </w:r>
      <w:r w:rsidRPr="006E3B9B">
        <w:rPr>
          <w:lang w:val="en-US" w:eastAsia="zh-CN"/>
        </w:rPr>
        <w:t>号决定</w:t>
      </w:r>
      <w:r w:rsidRPr="006E3B9B">
        <w:rPr>
          <w:lang w:val="en-US" w:eastAsia="zh-CN"/>
        </w:rPr>
        <w:tab/>
      </w:r>
      <w:r w:rsidRPr="006E3B9B">
        <w:rPr>
          <w:rFonts w:hint="eastAsia"/>
          <w:lang w:eastAsia="zh-CN"/>
        </w:rPr>
        <w:t>国际组织参加无线电行政大会</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1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228</w:t>
      </w:r>
      <w:r w:rsidRPr="006E3B9B">
        <w:rPr>
          <w:lang w:val="en-US" w:eastAsia="zh-CN"/>
        </w:rPr>
        <w:t>号决定</w:t>
      </w:r>
      <w:r w:rsidRPr="006E3B9B">
        <w:rPr>
          <w:lang w:val="en-US" w:eastAsia="zh-CN"/>
        </w:rPr>
        <w:tab/>
      </w:r>
      <w:r w:rsidRPr="006E3B9B">
        <w:rPr>
          <w:lang w:eastAsia="zh-CN"/>
        </w:rPr>
        <w:t>CCITT</w:t>
      </w:r>
      <w:r w:rsidRPr="006E3B9B">
        <w:rPr>
          <w:rFonts w:hint="eastAsia"/>
          <w:lang w:eastAsia="zh-CN"/>
        </w:rPr>
        <w:t>第二届全体会议的日期</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1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229</w:t>
      </w:r>
      <w:r w:rsidRPr="006E3B9B">
        <w:rPr>
          <w:lang w:val="en-US" w:eastAsia="zh-CN"/>
        </w:rPr>
        <w:t>号决定</w:t>
      </w:r>
      <w:r w:rsidRPr="006E3B9B">
        <w:rPr>
          <w:lang w:val="en-US" w:eastAsia="zh-CN"/>
        </w:rPr>
        <w:tab/>
      </w:r>
      <w:r w:rsidRPr="006E3B9B">
        <w:rPr>
          <w:rFonts w:hint="eastAsia"/>
          <w:lang w:eastAsia="zh-CN"/>
        </w:rPr>
        <w:t>理事会</w:t>
      </w:r>
      <w:r w:rsidRPr="006E3B9B">
        <w:rPr>
          <w:lang w:eastAsia="zh-CN"/>
        </w:rPr>
        <w:t>1959</w:t>
      </w:r>
      <w:r w:rsidRPr="006E3B9B">
        <w:rPr>
          <w:rFonts w:hint="eastAsia"/>
          <w:lang w:eastAsia="zh-CN"/>
        </w:rPr>
        <w:t>年特别会议</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1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230</w:t>
      </w:r>
      <w:r w:rsidRPr="006E3B9B">
        <w:rPr>
          <w:lang w:val="en-US" w:eastAsia="zh-CN"/>
        </w:rPr>
        <w:t>号决定</w:t>
      </w:r>
      <w:r w:rsidRPr="006E3B9B">
        <w:rPr>
          <w:lang w:val="en-US" w:eastAsia="zh-CN"/>
        </w:rPr>
        <w:tab/>
      </w:r>
      <w:r w:rsidRPr="006E3B9B">
        <w:rPr>
          <w:rFonts w:hint="eastAsia"/>
          <w:lang w:val="en-US" w:eastAsia="zh-CN"/>
        </w:rPr>
        <w:t>国际</w:t>
      </w:r>
      <w:r w:rsidRPr="006E3B9B">
        <w:rPr>
          <w:rFonts w:hint="eastAsia"/>
          <w:lang w:eastAsia="zh-CN"/>
        </w:rPr>
        <w:t>电联秘书长职位的空缺</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1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231</w:t>
      </w:r>
      <w:r w:rsidRPr="006E3B9B">
        <w:rPr>
          <w:lang w:val="en-US" w:eastAsia="zh-CN"/>
        </w:rPr>
        <w:t>号决定</w:t>
      </w:r>
      <w:r w:rsidRPr="006E3B9B">
        <w:rPr>
          <w:lang w:val="en-US" w:eastAsia="zh-CN"/>
        </w:rPr>
        <w:tab/>
      </w:r>
      <w:r w:rsidRPr="006E3B9B">
        <w:rPr>
          <w:rFonts w:hint="eastAsia"/>
          <w:lang w:eastAsia="zh-CN"/>
        </w:rPr>
        <w:t>联合国特别基金</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1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232</w:t>
      </w:r>
      <w:r w:rsidRPr="006E3B9B">
        <w:rPr>
          <w:lang w:val="en-US" w:eastAsia="zh-CN"/>
        </w:rPr>
        <w:t>号决定</w:t>
      </w:r>
      <w:r w:rsidRPr="006E3B9B">
        <w:rPr>
          <w:lang w:val="en-US" w:eastAsia="zh-CN"/>
        </w:rPr>
        <w:tab/>
      </w:r>
      <w:r w:rsidRPr="006E3B9B">
        <w:rPr>
          <w:rFonts w:hint="eastAsia"/>
          <w:lang w:eastAsia="zh-CN"/>
        </w:rPr>
        <w:t>技术援助－扩大方案的行政和运作费用的借记</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1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233</w:t>
      </w:r>
      <w:r w:rsidRPr="006E3B9B">
        <w:rPr>
          <w:lang w:val="en-US" w:eastAsia="zh-CN"/>
        </w:rPr>
        <w:t>号决定</w:t>
      </w:r>
      <w:r w:rsidRPr="006E3B9B">
        <w:rPr>
          <w:lang w:val="en-US" w:eastAsia="zh-CN"/>
        </w:rPr>
        <w:tab/>
      </w:r>
      <w:r w:rsidRPr="006E3B9B">
        <w:rPr>
          <w:rFonts w:hint="eastAsia"/>
          <w:lang w:eastAsia="zh-CN"/>
        </w:rPr>
        <w:t>职员退休和福利基金管理委员会的构成</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1B"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234</w:t>
      </w:r>
      <w:r w:rsidRPr="006E3B9B">
        <w:rPr>
          <w:lang w:val="en-US" w:eastAsia="zh-CN"/>
        </w:rPr>
        <w:t>号决定</w:t>
      </w:r>
      <w:r w:rsidRPr="006E3B9B">
        <w:rPr>
          <w:lang w:val="en-US" w:eastAsia="zh-CN"/>
        </w:rPr>
        <w:tab/>
      </w:r>
      <w:r w:rsidRPr="006E3B9B">
        <w:rPr>
          <w:rFonts w:hint="eastAsia"/>
          <w:lang w:eastAsia="zh-CN"/>
        </w:rPr>
        <w:t>上诉委员会的程序</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1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235</w:t>
      </w:r>
      <w:r w:rsidRPr="006E3B9B">
        <w:rPr>
          <w:lang w:val="en-US" w:eastAsia="zh-CN"/>
        </w:rPr>
        <w:t>号决定</w:t>
      </w:r>
      <w:r w:rsidRPr="006E3B9B">
        <w:rPr>
          <w:lang w:val="en-US" w:eastAsia="zh-CN"/>
        </w:rPr>
        <w:tab/>
      </w:r>
      <w:r w:rsidRPr="006E3B9B">
        <w:rPr>
          <w:lang w:eastAsia="zh-CN"/>
        </w:rPr>
        <w:t>频登会</w:t>
      </w:r>
      <w:r w:rsidRPr="006E3B9B">
        <w:rPr>
          <w:rFonts w:hint="eastAsia"/>
          <w:lang w:eastAsia="zh-CN"/>
        </w:rPr>
        <w:t>周报出版费用的借记</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1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236</w:t>
      </w:r>
      <w:r w:rsidRPr="006E3B9B">
        <w:rPr>
          <w:lang w:val="en-US" w:eastAsia="zh-CN"/>
        </w:rPr>
        <w:t>号决定</w:t>
      </w:r>
      <w:r w:rsidRPr="006E3B9B">
        <w:rPr>
          <w:lang w:val="en-US" w:eastAsia="zh-CN"/>
        </w:rPr>
        <w:tab/>
      </w:r>
      <w:r w:rsidRPr="006E3B9B">
        <w:rPr>
          <w:rFonts w:hint="eastAsia"/>
          <w:lang w:eastAsia="zh-CN"/>
        </w:rPr>
        <w:t>出版物的售价和补充出版物预算的结构</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1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237</w:t>
      </w:r>
      <w:r w:rsidRPr="006E3B9B">
        <w:rPr>
          <w:lang w:val="en-US" w:eastAsia="zh-CN"/>
        </w:rPr>
        <w:t>号决定</w:t>
      </w:r>
      <w:r w:rsidRPr="006E3B9B">
        <w:rPr>
          <w:lang w:val="en-US" w:eastAsia="zh-CN"/>
        </w:rPr>
        <w:tab/>
      </w:r>
      <w:r w:rsidRPr="006E3B9B">
        <w:rPr>
          <w:rFonts w:hint="eastAsia"/>
          <w:lang w:eastAsia="zh-CN"/>
        </w:rPr>
        <w:t>职员退休和福利基金的精算状况</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1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238</w:t>
      </w:r>
      <w:r w:rsidRPr="006E3B9B">
        <w:rPr>
          <w:lang w:val="en-US" w:eastAsia="zh-CN"/>
        </w:rPr>
        <w:t>号决定</w:t>
      </w:r>
      <w:r w:rsidRPr="006E3B9B">
        <w:rPr>
          <w:lang w:val="en-US" w:eastAsia="zh-CN"/>
        </w:rPr>
        <w:tab/>
      </w:r>
      <w:r w:rsidRPr="006E3B9B">
        <w:rPr>
          <w:rFonts w:hint="eastAsia"/>
          <w:lang w:eastAsia="zh-CN"/>
        </w:rPr>
        <w:t>退休职员的生活费津贴</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2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239</w:t>
      </w:r>
      <w:r w:rsidRPr="006E3B9B">
        <w:rPr>
          <w:lang w:val="en-US" w:eastAsia="zh-CN"/>
        </w:rPr>
        <w:t>号决定</w:t>
      </w:r>
      <w:r w:rsidRPr="006E3B9B">
        <w:rPr>
          <w:lang w:val="en-US" w:eastAsia="zh-CN"/>
        </w:rPr>
        <w:tab/>
      </w:r>
      <w:r w:rsidRPr="006E3B9B">
        <w:rPr>
          <w:rFonts w:hint="eastAsia"/>
          <w:lang w:eastAsia="zh-CN"/>
        </w:rPr>
        <w:t>为采用</w:t>
      </w:r>
      <w:r w:rsidRPr="006E3B9B">
        <w:rPr>
          <w:lang w:eastAsia="zh-CN"/>
        </w:rPr>
        <w:t>1927</w:t>
      </w:r>
      <w:r w:rsidRPr="006E3B9B">
        <w:rPr>
          <w:rFonts w:hint="eastAsia"/>
          <w:lang w:eastAsia="zh-CN"/>
        </w:rPr>
        <w:t>年体制退休的官员追加生活费津贴</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2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240</w:t>
      </w:r>
      <w:r w:rsidRPr="006E3B9B">
        <w:rPr>
          <w:lang w:val="en-US" w:eastAsia="zh-CN"/>
        </w:rPr>
        <w:t>号决定</w:t>
      </w:r>
      <w:r w:rsidRPr="006E3B9B">
        <w:rPr>
          <w:lang w:val="en-US" w:eastAsia="zh-CN"/>
        </w:rPr>
        <w:tab/>
      </w:r>
      <w:r w:rsidRPr="006E3B9B">
        <w:rPr>
          <w:rFonts w:hint="eastAsia"/>
          <w:lang w:eastAsia="zh-CN"/>
        </w:rPr>
        <w:t>瑞士邮电主管部门发行国际电联官方邮票带来的例外收入</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2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241</w:t>
      </w:r>
      <w:r w:rsidRPr="006E3B9B">
        <w:rPr>
          <w:lang w:val="en-US" w:eastAsia="zh-CN"/>
        </w:rPr>
        <w:t>号决定</w:t>
      </w:r>
      <w:r w:rsidRPr="006E3B9B">
        <w:rPr>
          <w:lang w:val="en-US" w:eastAsia="zh-CN"/>
        </w:rPr>
        <w:tab/>
      </w:r>
      <w:r w:rsidRPr="006E3B9B">
        <w:rPr>
          <w:rFonts w:hint="eastAsia"/>
          <w:lang w:eastAsia="zh-CN"/>
        </w:rPr>
        <w:t>保证为</w:t>
      </w:r>
      <w:r w:rsidRPr="006E3B9B">
        <w:rPr>
          <w:lang w:eastAsia="zh-CN"/>
        </w:rPr>
        <w:t>60</w:t>
      </w:r>
      <w:r w:rsidRPr="006E3B9B">
        <w:rPr>
          <w:rFonts w:hint="eastAsia"/>
          <w:lang w:eastAsia="zh-CN"/>
        </w:rPr>
        <w:t>岁以上官员加薪</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2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242</w:t>
      </w:r>
      <w:r w:rsidRPr="006E3B9B">
        <w:rPr>
          <w:lang w:val="en-US" w:eastAsia="zh-CN"/>
        </w:rPr>
        <w:t>号决定</w:t>
      </w:r>
      <w:r w:rsidRPr="006E3B9B">
        <w:rPr>
          <w:lang w:val="en-US" w:eastAsia="zh-CN"/>
        </w:rPr>
        <w:tab/>
      </w:r>
      <w:r w:rsidRPr="006E3B9B">
        <w:rPr>
          <w:rFonts w:hint="eastAsia"/>
          <w:lang w:eastAsia="zh-CN"/>
        </w:rPr>
        <w:t>出差加班费</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2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243</w:t>
      </w:r>
      <w:r w:rsidRPr="006E3B9B">
        <w:rPr>
          <w:lang w:val="en-US" w:eastAsia="zh-CN"/>
        </w:rPr>
        <w:t>号决定</w:t>
      </w:r>
      <w:r w:rsidRPr="006E3B9B">
        <w:rPr>
          <w:lang w:val="en-US" w:eastAsia="zh-CN"/>
        </w:rPr>
        <w:tab/>
      </w:r>
      <w:r w:rsidRPr="006E3B9B">
        <w:rPr>
          <w:rFonts w:hint="eastAsia"/>
          <w:lang w:eastAsia="zh-CN"/>
        </w:rPr>
        <w:t>对</w:t>
      </w:r>
      <w:r w:rsidRPr="006E3B9B">
        <w:rPr>
          <w:lang w:eastAsia="zh-CN"/>
        </w:rPr>
        <w:t>1959</w:t>
      </w:r>
      <w:r w:rsidRPr="006E3B9B">
        <w:rPr>
          <w:rFonts w:hint="eastAsia"/>
          <w:lang w:eastAsia="zh-CN"/>
        </w:rPr>
        <w:t>年在日内瓦召开的各大会期间产生的额外费用的补偿</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2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244</w:t>
      </w:r>
      <w:r w:rsidRPr="006E3B9B">
        <w:rPr>
          <w:lang w:val="en-US" w:eastAsia="zh-CN"/>
        </w:rPr>
        <w:t>号决定</w:t>
      </w:r>
      <w:r w:rsidRPr="006E3B9B">
        <w:rPr>
          <w:lang w:val="en-US" w:eastAsia="zh-CN"/>
        </w:rPr>
        <w:tab/>
      </w:r>
      <w:r w:rsidRPr="006E3B9B">
        <w:rPr>
          <w:rFonts w:hint="eastAsia"/>
          <w:lang w:val="en-US" w:eastAsia="zh-CN"/>
        </w:rPr>
        <w:t>临时保留</w:t>
      </w:r>
      <w:r w:rsidRPr="006E3B9B">
        <w:rPr>
          <w:lang w:eastAsia="zh-CN"/>
        </w:rPr>
        <w:t>频登会</w:t>
      </w:r>
      <w:r w:rsidRPr="006E3B9B">
        <w:rPr>
          <w:rFonts w:hint="eastAsia"/>
          <w:lang w:eastAsia="zh-CN"/>
        </w:rPr>
        <w:t>秘书处的职位</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2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245</w:t>
      </w:r>
      <w:r w:rsidRPr="006E3B9B">
        <w:rPr>
          <w:lang w:val="en-US" w:eastAsia="zh-CN"/>
        </w:rPr>
        <w:t>号决定</w:t>
      </w:r>
      <w:r w:rsidRPr="006E3B9B">
        <w:rPr>
          <w:lang w:val="en-US" w:eastAsia="zh-CN"/>
        </w:rPr>
        <w:tab/>
      </w:r>
      <w:r w:rsidRPr="006E3B9B">
        <w:rPr>
          <w:rFonts w:hint="eastAsia"/>
          <w:lang w:eastAsia="zh-CN"/>
        </w:rPr>
        <w:t>政府电报和电话呼叫的定义</w:t>
      </w:r>
      <w:r w:rsidRPr="006E3B9B">
        <w:rPr>
          <w:lang w:val="en-US" w:eastAsia="zh-CN"/>
        </w:rPr>
        <w:tab/>
      </w:r>
      <w:r w:rsidR="00396681">
        <w:rPr>
          <w:lang w:val="en-US" w:eastAsia="zh-CN"/>
        </w:rPr>
        <w:tab/>
      </w:r>
      <w:r w:rsidRPr="006E3B9B">
        <w:rPr>
          <w:lang w:val="en-US" w:eastAsia="zh-CN"/>
        </w:rPr>
        <w:t>1966</w:t>
      </w:r>
      <w:r w:rsidRPr="006E3B9B">
        <w:rPr>
          <w:rFonts w:hint="eastAsia"/>
          <w:lang w:val="en-US" w:eastAsia="zh-CN"/>
        </w:rPr>
        <w:t>年</w:t>
      </w:r>
    </w:p>
    <w:p w14:paraId="4827C327"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15</w:t>
      </w:r>
      <w:r w:rsidRPr="006E3B9B">
        <w:rPr>
          <w:rFonts w:hint="eastAsia"/>
          <w:lang w:eastAsia="zh-CN"/>
        </w:rPr>
        <w:t>届会议（</w:t>
      </w:r>
      <w:r w:rsidRPr="006E3B9B">
        <w:rPr>
          <w:lang w:eastAsia="zh-CN"/>
        </w:rPr>
        <w:t>1960</w:t>
      </w:r>
      <w:r w:rsidRPr="006E3B9B">
        <w:rPr>
          <w:rFonts w:hint="eastAsia"/>
          <w:lang w:eastAsia="zh-CN"/>
        </w:rPr>
        <w:t>年</w:t>
      </w:r>
      <w:r w:rsidRPr="006E3B9B">
        <w:rPr>
          <w:lang w:eastAsia="zh-CN"/>
        </w:rPr>
        <w:t>5</w:t>
      </w:r>
      <w:r w:rsidRPr="006E3B9B">
        <w:rPr>
          <w:rFonts w:hint="eastAsia"/>
          <w:lang w:eastAsia="zh-CN"/>
        </w:rPr>
        <w:t>月</w:t>
      </w:r>
      <w:r w:rsidRPr="006E3B9B">
        <w:rPr>
          <w:lang w:eastAsia="zh-CN"/>
        </w:rPr>
        <w:t>-</w:t>
      </w:r>
      <w:r w:rsidRPr="006E3B9B">
        <w:rPr>
          <w:rFonts w:hint="eastAsia"/>
          <w:lang w:eastAsia="zh-CN"/>
        </w:rPr>
        <w:t>7</w:t>
      </w:r>
      <w:r w:rsidRPr="006E3B9B">
        <w:rPr>
          <w:rFonts w:hint="eastAsia"/>
          <w:lang w:eastAsia="zh-CN"/>
        </w:rPr>
        <w:t>月）</w:t>
      </w:r>
    </w:p>
    <w:p w14:paraId="4827C32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246</w:t>
      </w:r>
      <w:r w:rsidRPr="006E3B9B">
        <w:rPr>
          <w:lang w:val="en-US" w:eastAsia="zh-CN"/>
        </w:rPr>
        <w:t>号决定</w:t>
      </w:r>
      <w:r w:rsidRPr="006E3B9B">
        <w:rPr>
          <w:lang w:val="en-US" w:eastAsia="zh-CN"/>
        </w:rPr>
        <w:tab/>
      </w:r>
      <w:r w:rsidRPr="006E3B9B">
        <w:rPr>
          <w:rFonts w:hint="eastAsia"/>
          <w:lang w:val="en-US" w:eastAsia="zh-CN"/>
        </w:rPr>
        <w:t>国际</w:t>
      </w:r>
      <w:r w:rsidRPr="006E3B9B">
        <w:rPr>
          <w:rFonts w:hint="eastAsia"/>
          <w:lang w:eastAsia="zh-CN"/>
        </w:rPr>
        <w:t>电联官员为技术援助进行的差旅</w:t>
      </w:r>
      <w:r w:rsidRPr="006E3B9B">
        <w:rPr>
          <w:lang w:val="en-US" w:eastAsia="zh-CN"/>
        </w:rPr>
        <w:tab/>
      </w:r>
      <w:r w:rsidR="00396681">
        <w:rPr>
          <w:lang w:val="en-US" w:eastAsia="zh-CN"/>
        </w:rPr>
        <w:tab/>
      </w:r>
      <w:r w:rsidRPr="006E3B9B">
        <w:rPr>
          <w:lang w:val="en-US" w:eastAsia="zh-CN"/>
        </w:rPr>
        <w:t>2002</w:t>
      </w:r>
      <w:r w:rsidRPr="006E3B9B">
        <w:rPr>
          <w:rFonts w:hint="eastAsia"/>
          <w:lang w:val="en-US" w:eastAsia="zh-CN"/>
        </w:rPr>
        <w:t>年</w:t>
      </w:r>
    </w:p>
    <w:p w14:paraId="4827C32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247</w:t>
      </w:r>
      <w:r w:rsidRPr="006E3B9B">
        <w:rPr>
          <w:lang w:val="en-US" w:eastAsia="zh-CN"/>
        </w:rPr>
        <w:t>号决定</w:t>
      </w:r>
      <w:r w:rsidRPr="006E3B9B">
        <w:rPr>
          <w:lang w:val="en-US" w:eastAsia="zh-CN"/>
        </w:rPr>
        <w:tab/>
      </w:r>
      <w:r w:rsidRPr="006E3B9B">
        <w:rPr>
          <w:rFonts w:hint="eastAsia"/>
          <w:lang w:eastAsia="zh-CN"/>
        </w:rPr>
        <w:t>专门机构和其他国际组织参加国际电联大会和会议的财务条件</w:t>
      </w:r>
      <w:r w:rsidRPr="006E3B9B">
        <w:rPr>
          <w:lang w:eastAsia="zh-CN"/>
        </w:rPr>
        <w:t>（</w:t>
      </w:r>
      <w:r w:rsidRPr="006E3B9B">
        <w:rPr>
          <w:lang w:eastAsia="zh-CN"/>
        </w:rPr>
        <w:t>COSPAR</w:t>
      </w:r>
      <w:r w:rsidRPr="006E3B9B">
        <w:rPr>
          <w:lang w:eastAsia="zh-CN"/>
        </w:rPr>
        <w:t>）</w:t>
      </w:r>
      <w:r w:rsidR="00396681">
        <w:rPr>
          <w:lang w:eastAsia="zh-CN"/>
        </w:rPr>
        <w:tab/>
      </w:r>
      <w:r w:rsidRPr="006E3B9B">
        <w:rPr>
          <w:lang w:val="en-US" w:eastAsia="zh-CN"/>
        </w:rPr>
        <w:tab/>
        <w:t>1964</w:t>
      </w:r>
      <w:r w:rsidRPr="006E3B9B">
        <w:rPr>
          <w:rFonts w:hint="eastAsia"/>
          <w:lang w:val="en-US" w:eastAsia="zh-CN"/>
        </w:rPr>
        <w:t>年</w:t>
      </w:r>
    </w:p>
    <w:p w14:paraId="4827C32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248</w:t>
      </w:r>
      <w:r w:rsidRPr="006E3B9B">
        <w:rPr>
          <w:lang w:val="en-US" w:eastAsia="zh-CN"/>
        </w:rPr>
        <w:t>号决定</w:t>
      </w:r>
      <w:r w:rsidRPr="006E3B9B">
        <w:rPr>
          <w:lang w:val="en-US" w:eastAsia="zh-CN"/>
        </w:rPr>
        <w:tab/>
      </w:r>
      <w:r w:rsidRPr="006E3B9B">
        <w:rPr>
          <w:rFonts w:hint="eastAsia"/>
          <w:lang w:eastAsia="zh-CN"/>
        </w:rPr>
        <w:t>财务控制委员会的委员</w:t>
      </w:r>
      <w:r w:rsidRPr="006E3B9B">
        <w:rPr>
          <w:lang w:val="en-US" w:eastAsia="zh-CN"/>
        </w:rPr>
        <w:tab/>
      </w:r>
      <w:r w:rsidR="00396681">
        <w:rPr>
          <w:lang w:val="en-US" w:eastAsia="zh-CN"/>
        </w:rPr>
        <w:tab/>
      </w:r>
      <w:r w:rsidRPr="006E3B9B">
        <w:rPr>
          <w:lang w:val="en-US" w:eastAsia="zh-CN"/>
        </w:rPr>
        <w:t>1967</w:t>
      </w:r>
      <w:r w:rsidRPr="006E3B9B">
        <w:rPr>
          <w:rFonts w:hint="eastAsia"/>
          <w:lang w:val="en-US" w:eastAsia="zh-CN"/>
        </w:rPr>
        <w:t>年</w:t>
      </w:r>
    </w:p>
    <w:p w14:paraId="4827C32B"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249</w:t>
      </w:r>
      <w:r w:rsidRPr="006E3B9B">
        <w:rPr>
          <w:lang w:val="en-US" w:eastAsia="zh-CN"/>
        </w:rPr>
        <w:t>号决定</w:t>
      </w:r>
      <w:r w:rsidRPr="006E3B9B">
        <w:rPr>
          <w:lang w:val="en-US" w:eastAsia="zh-CN"/>
        </w:rPr>
        <w:tab/>
      </w:r>
      <w:r w:rsidRPr="006E3B9B">
        <w:rPr>
          <w:lang w:eastAsia="zh-CN"/>
        </w:rPr>
        <w:t>频登会</w:t>
      </w:r>
      <w:r w:rsidRPr="006E3B9B">
        <w:rPr>
          <w:lang w:eastAsia="zh-CN"/>
        </w:rPr>
        <w:t>1960</w:t>
      </w:r>
      <w:r w:rsidRPr="006E3B9B">
        <w:rPr>
          <w:rFonts w:hint="eastAsia"/>
          <w:lang w:eastAsia="zh-CN"/>
        </w:rPr>
        <w:t>年的招聘情况</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2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250</w:t>
      </w:r>
      <w:r w:rsidRPr="006E3B9B">
        <w:rPr>
          <w:lang w:val="en-US" w:eastAsia="zh-CN"/>
        </w:rPr>
        <w:t>号决定</w:t>
      </w:r>
      <w:r w:rsidRPr="006E3B9B">
        <w:rPr>
          <w:lang w:val="en-US" w:eastAsia="zh-CN"/>
        </w:rPr>
        <w:tab/>
      </w:r>
      <w:r w:rsidRPr="006E3B9B">
        <w:rPr>
          <w:rFonts w:hint="eastAsia"/>
          <w:lang w:eastAsia="zh-CN"/>
        </w:rPr>
        <w:t>瑞士邮电主管部门销售国际电联邮票获得的例外收入</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2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251</w:t>
      </w:r>
      <w:r w:rsidRPr="006E3B9B">
        <w:rPr>
          <w:lang w:val="en-US" w:eastAsia="zh-CN"/>
        </w:rPr>
        <w:t>号决定</w:t>
      </w:r>
      <w:r w:rsidRPr="006E3B9B">
        <w:rPr>
          <w:lang w:val="en-US" w:eastAsia="zh-CN"/>
        </w:rPr>
        <w:tab/>
      </w:r>
      <w:r w:rsidRPr="006E3B9B">
        <w:rPr>
          <w:lang w:eastAsia="zh-CN"/>
        </w:rPr>
        <w:t>频登会</w:t>
      </w:r>
      <w:r w:rsidRPr="006E3B9B">
        <w:rPr>
          <w:rFonts w:hint="eastAsia"/>
          <w:lang w:eastAsia="zh-CN"/>
        </w:rPr>
        <w:t>周报的出版</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2E" w14:textId="77777777" w:rsidR="00091112" w:rsidRDefault="00091112">
      <w:pPr>
        <w:tabs>
          <w:tab w:val="clear" w:pos="794"/>
          <w:tab w:val="clear" w:pos="1191"/>
          <w:tab w:val="clear" w:pos="1588"/>
          <w:tab w:val="clear" w:pos="1985"/>
        </w:tabs>
        <w:overflowPunct/>
        <w:autoSpaceDE/>
        <w:autoSpaceDN/>
        <w:adjustRightInd/>
        <w:spacing w:before="0"/>
        <w:jc w:val="left"/>
        <w:textAlignment w:val="auto"/>
        <w:rPr>
          <w:sz w:val="20"/>
          <w:lang w:val="en-US" w:eastAsia="zh-CN"/>
        </w:rPr>
      </w:pPr>
      <w:r>
        <w:rPr>
          <w:lang w:val="en-US" w:eastAsia="zh-CN"/>
        </w:rPr>
        <w:br w:type="page"/>
      </w:r>
    </w:p>
    <w:p w14:paraId="4827C32F" w14:textId="77777777" w:rsidR="006E3B9B" w:rsidRPr="006E3B9B" w:rsidRDefault="006E3B9B" w:rsidP="00057467">
      <w:pPr>
        <w:pStyle w:val="Appendixref"/>
        <w:rPr>
          <w:lang w:val="en-US" w:eastAsia="zh-CN"/>
        </w:rPr>
      </w:pPr>
      <w:r w:rsidRPr="006E3B9B">
        <w:rPr>
          <w:lang w:val="en-US" w:eastAsia="zh-CN"/>
        </w:rPr>
        <w:lastRenderedPageBreak/>
        <w:t>第</w:t>
      </w:r>
      <w:r w:rsidRPr="006E3B9B">
        <w:rPr>
          <w:lang w:val="en-US" w:eastAsia="zh-CN"/>
        </w:rPr>
        <w:t>252</w:t>
      </w:r>
      <w:r w:rsidRPr="006E3B9B">
        <w:rPr>
          <w:lang w:val="en-US" w:eastAsia="zh-CN"/>
        </w:rPr>
        <w:t>号决定</w:t>
      </w:r>
      <w:r w:rsidRPr="006E3B9B">
        <w:rPr>
          <w:lang w:val="en-US" w:eastAsia="zh-CN"/>
        </w:rPr>
        <w:tab/>
      </w:r>
      <w:r w:rsidRPr="006E3B9B">
        <w:rPr>
          <w:rFonts w:hint="eastAsia"/>
          <w:lang w:eastAsia="zh-CN"/>
        </w:rPr>
        <w:t>国际电联官员出差情况列表以及出差后起草的报告摘要</w:t>
      </w:r>
      <w:r w:rsidRPr="006E3B9B">
        <w:rPr>
          <w:lang w:val="en-US" w:eastAsia="zh-CN"/>
        </w:rPr>
        <w:tab/>
      </w:r>
      <w:r w:rsidR="00396681">
        <w:rPr>
          <w:lang w:val="en-US" w:eastAsia="zh-CN"/>
        </w:rPr>
        <w:tab/>
      </w:r>
      <w:r w:rsidRPr="006E3B9B">
        <w:rPr>
          <w:lang w:val="en-US" w:eastAsia="zh-CN"/>
        </w:rPr>
        <w:t>1990</w:t>
      </w:r>
      <w:r w:rsidRPr="006E3B9B">
        <w:rPr>
          <w:rFonts w:hint="eastAsia"/>
          <w:lang w:val="en-US" w:eastAsia="zh-CN"/>
        </w:rPr>
        <w:t>年</w:t>
      </w:r>
    </w:p>
    <w:p w14:paraId="4827C33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253</w:t>
      </w:r>
      <w:r w:rsidRPr="006E3B9B">
        <w:rPr>
          <w:lang w:val="en-US" w:eastAsia="zh-CN"/>
        </w:rPr>
        <w:t>号决定</w:t>
      </w:r>
      <w:r w:rsidRPr="006E3B9B">
        <w:rPr>
          <w:lang w:val="en-US" w:eastAsia="zh-CN"/>
        </w:rPr>
        <w:tab/>
      </w:r>
      <w:r w:rsidRPr="006E3B9B">
        <w:rPr>
          <w:rFonts w:hint="eastAsia"/>
          <w:lang w:eastAsia="zh-CN"/>
        </w:rPr>
        <w:t>期刊科科长的定级</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3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254</w:t>
      </w:r>
      <w:r w:rsidRPr="006E3B9B">
        <w:rPr>
          <w:lang w:val="en-US" w:eastAsia="zh-CN"/>
        </w:rPr>
        <w:t>号决定</w:t>
      </w:r>
      <w:r w:rsidRPr="006E3B9B">
        <w:rPr>
          <w:lang w:val="en-US" w:eastAsia="zh-CN"/>
        </w:rPr>
        <w:tab/>
      </w:r>
      <w:r w:rsidRPr="006E3B9B">
        <w:rPr>
          <w:rFonts w:hint="eastAsia"/>
          <w:lang w:val="en-US" w:eastAsia="zh-CN"/>
        </w:rPr>
        <w:t>为填补</w:t>
      </w:r>
      <w:r w:rsidRPr="006E3B9B">
        <w:rPr>
          <w:rFonts w:hint="eastAsia"/>
          <w:lang w:eastAsia="zh-CN"/>
        </w:rPr>
        <w:t>空缺职位而组织的应聘竞争的结果</w:t>
      </w:r>
      <w:r w:rsidRPr="006E3B9B">
        <w:rPr>
          <w:lang w:val="en-US" w:eastAsia="zh-CN"/>
        </w:rPr>
        <w:tab/>
      </w:r>
      <w:r w:rsidR="00396681">
        <w:rPr>
          <w:lang w:val="en-US" w:eastAsia="zh-CN"/>
        </w:rPr>
        <w:tab/>
      </w:r>
      <w:r w:rsidRPr="006E3B9B">
        <w:rPr>
          <w:lang w:val="en-US" w:eastAsia="zh-CN"/>
        </w:rPr>
        <w:t>2002</w:t>
      </w:r>
      <w:r w:rsidRPr="006E3B9B">
        <w:rPr>
          <w:rFonts w:hint="eastAsia"/>
          <w:lang w:val="en-US" w:eastAsia="zh-CN"/>
        </w:rPr>
        <w:t>年</w:t>
      </w:r>
    </w:p>
    <w:p w14:paraId="4827C33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255</w:t>
      </w:r>
      <w:r w:rsidRPr="006E3B9B">
        <w:rPr>
          <w:lang w:val="en-US" w:eastAsia="zh-CN"/>
        </w:rPr>
        <w:t>号决定</w:t>
      </w:r>
      <w:r w:rsidRPr="006E3B9B">
        <w:rPr>
          <w:lang w:val="en-US" w:eastAsia="zh-CN"/>
        </w:rPr>
        <w:tab/>
      </w:r>
      <w:r w:rsidRPr="006E3B9B">
        <w:rPr>
          <w:rFonts w:hint="eastAsia"/>
          <w:lang w:eastAsia="zh-CN"/>
        </w:rPr>
        <w:t>私人电话账目</w:t>
      </w:r>
      <w:r w:rsidRPr="006E3B9B">
        <w:rPr>
          <w:lang w:val="en-US" w:eastAsia="zh-CN"/>
        </w:rPr>
        <w:tab/>
      </w:r>
      <w:r w:rsidR="00396681">
        <w:rPr>
          <w:lang w:val="en-US" w:eastAsia="zh-CN"/>
        </w:rPr>
        <w:tab/>
      </w:r>
      <w:r w:rsidRPr="006E3B9B">
        <w:rPr>
          <w:lang w:val="en-US" w:eastAsia="zh-CN"/>
        </w:rPr>
        <w:t>2002</w:t>
      </w:r>
      <w:r w:rsidRPr="006E3B9B">
        <w:rPr>
          <w:rFonts w:hint="eastAsia"/>
          <w:lang w:val="en-US" w:eastAsia="zh-CN"/>
        </w:rPr>
        <w:t>年</w:t>
      </w:r>
    </w:p>
    <w:p w14:paraId="4827C33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256</w:t>
      </w:r>
      <w:r w:rsidRPr="006E3B9B">
        <w:rPr>
          <w:lang w:val="en-US" w:eastAsia="zh-CN"/>
        </w:rPr>
        <w:t>号决定</w:t>
      </w:r>
      <w:r w:rsidRPr="006E3B9B">
        <w:rPr>
          <w:lang w:val="en-US" w:eastAsia="zh-CN"/>
        </w:rPr>
        <w:tab/>
      </w:r>
      <w:r w:rsidRPr="006E3B9B">
        <w:rPr>
          <w:rFonts w:hint="eastAsia"/>
          <w:lang w:eastAsia="zh-CN"/>
        </w:rPr>
        <w:t>保证为</w:t>
      </w:r>
      <w:r w:rsidRPr="006E3B9B">
        <w:rPr>
          <w:lang w:eastAsia="zh-CN"/>
        </w:rPr>
        <w:t>60</w:t>
      </w:r>
      <w:r w:rsidRPr="006E3B9B">
        <w:rPr>
          <w:rFonts w:hint="eastAsia"/>
          <w:lang w:eastAsia="zh-CN"/>
        </w:rPr>
        <w:t>岁以上的官员加薪</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3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257</w:t>
      </w:r>
      <w:r w:rsidRPr="006E3B9B">
        <w:rPr>
          <w:lang w:val="en-US" w:eastAsia="zh-CN"/>
        </w:rPr>
        <w:t>号决定</w:t>
      </w:r>
      <w:r w:rsidRPr="006E3B9B">
        <w:rPr>
          <w:lang w:val="en-US" w:eastAsia="zh-CN"/>
        </w:rPr>
        <w:tab/>
      </w:r>
      <w:r w:rsidRPr="006E3B9B">
        <w:rPr>
          <w:rFonts w:hint="eastAsia"/>
          <w:lang w:eastAsia="zh-CN"/>
        </w:rPr>
        <w:t>备用基金成员退休后支付的</w:t>
      </w:r>
      <w:r w:rsidRPr="006E3B9B">
        <w:rPr>
          <w:lang w:eastAsia="zh-CN"/>
        </w:rPr>
        <w:t>15%</w:t>
      </w:r>
      <w:r w:rsidRPr="006E3B9B">
        <w:rPr>
          <w:rFonts w:hint="eastAsia"/>
          <w:lang w:eastAsia="zh-CN"/>
        </w:rPr>
        <w:t>的未亡人保险</w:t>
      </w:r>
      <w:r w:rsidRPr="006E3B9B">
        <w:rPr>
          <w:lang w:val="en-US" w:eastAsia="zh-CN"/>
        </w:rPr>
        <w:tab/>
      </w:r>
      <w:r w:rsidR="00396681">
        <w:rPr>
          <w:lang w:val="en-US" w:eastAsia="zh-CN"/>
        </w:rPr>
        <w:tab/>
      </w:r>
      <w:r w:rsidRPr="006E3B9B">
        <w:rPr>
          <w:lang w:val="en-US" w:eastAsia="zh-CN"/>
        </w:rPr>
        <w:t>1976</w:t>
      </w:r>
      <w:r w:rsidRPr="006E3B9B">
        <w:rPr>
          <w:rFonts w:hint="eastAsia"/>
          <w:lang w:val="en-US" w:eastAsia="zh-CN"/>
        </w:rPr>
        <w:t>年</w:t>
      </w:r>
    </w:p>
    <w:p w14:paraId="4827C33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258</w:t>
      </w:r>
      <w:r w:rsidRPr="006E3B9B">
        <w:rPr>
          <w:lang w:val="en-US" w:eastAsia="zh-CN"/>
        </w:rPr>
        <w:t>号决定</w:t>
      </w:r>
      <w:r w:rsidRPr="006E3B9B">
        <w:rPr>
          <w:lang w:val="en-US" w:eastAsia="zh-CN"/>
        </w:rPr>
        <w:tab/>
      </w:r>
      <w:r w:rsidRPr="006E3B9B">
        <w:rPr>
          <w:rFonts w:hint="eastAsia"/>
          <w:lang w:eastAsia="zh-CN"/>
        </w:rPr>
        <w:t>理事会第</w:t>
      </w:r>
      <w:r w:rsidRPr="006E3B9B">
        <w:rPr>
          <w:lang w:eastAsia="zh-CN"/>
        </w:rPr>
        <w:t>16</w:t>
      </w:r>
      <w:r w:rsidRPr="006E3B9B">
        <w:rPr>
          <w:rFonts w:hint="eastAsia"/>
          <w:lang w:eastAsia="zh-CN"/>
        </w:rPr>
        <w:t>届会议的开幕日期</w:t>
      </w:r>
      <w:r w:rsidR="00396681">
        <w:rPr>
          <w:lang w:eastAsia="zh-CN"/>
        </w:rPr>
        <w:tab/>
      </w:r>
      <w:r w:rsidRPr="006E3B9B">
        <w:rPr>
          <w:lang w:val="en-US" w:eastAsia="zh-CN"/>
        </w:rPr>
        <w:tab/>
        <w:t>1964</w:t>
      </w:r>
      <w:r w:rsidRPr="006E3B9B">
        <w:rPr>
          <w:rFonts w:hint="eastAsia"/>
          <w:lang w:val="en-US" w:eastAsia="zh-CN"/>
        </w:rPr>
        <w:t>年</w:t>
      </w:r>
    </w:p>
    <w:p w14:paraId="4827C336"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16</w:t>
      </w:r>
      <w:r w:rsidRPr="006E3B9B">
        <w:rPr>
          <w:rFonts w:hint="eastAsia"/>
          <w:lang w:eastAsia="zh-CN"/>
        </w:rPr>
        <w:t>届会议（</w:t>
      </w:r>
      <w:r w:rsidRPr="006E3B9B">
        <w:rPr>
          <w:lang w:eastAsia="zh-CN"/>
        </w:rPr>
        <w:t>1961</w:t>
      </w:r>
      <w:r w:rsidRPr="006E3B9B">
        <w:rPr>
          <w:rFonts w:hint="eastAsia"/>
          <w:lang w:eastAsia="zh-CN"/>
        </w:rPr>
        <w:t>年</w:t>
      </w:r>
      <w:r w:rsidRPr="006E3B9B">
        <w:rPr>
          <w:lang w:eastAsia="zh-CN"/>
        </w:rPr>
        <w:t>4</w:t>
      </w:r>
      <w:r w:rsidRPr="006E3B9B">
        <w:rPr>
          <w:rFonts w:hint="eastAsia"/>
          <w:lang w:eastAsia="zh-CN"/>
        </w:rPr>
        <w:t>月</w:t>
      </w:r>
      <w:r w:rsidRPr="006E3B9B">
        <w:rPr>
          <w:lang w:eastAsia="zh-CN"/>
        </w:rPr>
        <w:t>-5</w:t>
      </w:r>
      <w:r w:rsidRPr="006E3B9B">
        <w:rPr>
          <w:rFonts w:hint="eastAsia"/>
          <w:lang w:eastAsia="zh-CN"/>
        </w:rPr>
        <w:t>月）</w:t>
      </w:r>
    </w:p>
    <w:p w14:paraId="4827C33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259</w:t>
      </w:r>
      <w:r w:rsidRPr="006E3B9B">
        <w:rPr>
          <w:lang w:val="en-US" w:eastAsia="zh-CN"/>
        </w:rPr>
        <w:t>号决定</w:t>
      </w:r>
      <w:r w:rsidRPr="006E3B9B">
        <w:rPr>
          <w:lang w:val="en-US" w:eastAsia="zh-CN"/>
        </w:rPr>
        <w:tab/>
      </w:r>
      <w:r w:rsidRPr="006E3B9B">
        <w:rPr>
          <w:rFonts w:hint="eastAsia"/>
          <w:lang w:eastAsia="zh-CN"/>
        </w:rPr>
        <w:t>关于起草国际电联活动年度报告的指示</w:t>
      </w:r>
      <w:r w:rsidR="00396681">
        <w:rPr>
          <w:lang w:eastAsia="zh-CN"/>
        </w:rPr>
        <w:tab/>
      </w:r>
      <w:r w:rsidRPr="006E3B9B">
        <w:rPr>
          <w:lang w:val="en-US" w:eastAsia="zh-CN"/>
        </w:rPr>
        <w:tab/>
        <w:t>1967</w:t>
      </w:r>
      <w:r w:rsidRPr="006E3B9B">
        <w:rPr>
          <w:rFonts w:hint="eastAsia"/>
          <w:lang w:val="en-US" w:eastAsia="zh-CN"/>
        </w:rPr>
        <w:t>年</w:t>
      </w:r>
    </w:p>
    <w:p w14:paraId="4827C33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260</w:t>
      </w:r>
      <w:r w:rsidRPr="006E3B9B">
        <w:rPr>
          <w:lang w:val="en-US" w:eastAsia="zh-CN"/>
        </w:rPr>
        <w:t>号决定</w:t>
      </w:r>
      <w:r w:rsidRPr="006E3B9B">
        <w:rPr>
          <w:lang w:val="en-US" w:eastAsia="zh-CN"/>
        </w:rPr>
        <w:tab/>
      </w:r>
      <w:r w:rsidRPr="006E3B9B">
        <w:rPr>
          <w:rFonts w:hint="eastAsia"/>
          <w:lang w:eastAsia="zh-CN"/>
        </w:rPr>
        <w:t>国际电联新办公楼租赁事宜</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3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261</w:t>
      </w:r>
      <w:r w:rsidRPr="006E3B9B">
        <w:rPr>
          <w:lang w:val="en-US" w:eastAsia="zh-CN"/>
        </w:rPr>
        <w:t>号决定</w:t>
      </w:r>
      <w:r w:rsidRPr="006E3B9B">
        <w:rPr>
          <w:lang w:val="en-US" w:eastAsia="zh-CN"/>
        </w:rPr>
        <w:tab/>
      </w:r>
      <w:r w:rsidRPr="006E3B9B">
        <w:rPr>
          <w:rFonts w:hint="eastAsia"/>
          <w:lang w:eastAsia="zh-CN"/>
        </w:rPr>
        <w:t>根据技术援助扩大方案国际电联项目可用的财务资源</w:t>
      </w:r>
      <w:r w:rsidR="00396681">
        <w:rPr>
          <w:lang w:eastAsia="zh-CN"/>
        </w:rPr>
        <w:tab/>
      </w:r>
      <w:r w:rsidRPr="006E3B9B">
        <w:rPr>
          <w:lang w:val="en-US" w:eastAsia="zh-CN"/>
        </w:rPr>
        <w:tab/>
        <w:t>1975</w:t>
      </w:r>
      <w:r w:rsidRPr="006E3B9B">
        <w:rPr>
          <w:rFonts w:hint="eastAsia"/>
          <w:lang w:val="en-US" w:eastAsia="zh-CN"/>
        </w:rPr>
        <w:t>年</w:t>
      </w:r>
    </w:p>
    <w:p w14:paraId="4827C33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262</w:t>
      </w:r>
      <w:r w:rsidRPr="006E3B9B">
        <w:rPr>
          <w:lang w:val="en-US" w:eastAsia="zh-CN"/>
        </w:rPr>
        <w:t>号决定</w:t>
      </w:r>
      <w:r w:rsidRPr="006E3B9B">
        <w:rPr>
          <w:lang w:val="en-US" w:eastAsia="zh-CN"/>
        </w:rPr>
        <w:tab/>
      </w:r>
      <w:r w:rsidRPr="006E3B9B">
        <w:rPr>
          <w:rFonts w:hint="eastAsia"/>
          <w:lang w:eastAsia="zh-CN"/>
        </w:rPr>
        <w:t>瑞士邮电主管部门销售国际电联邮票获得的例外收入</w:t>
      </w:r>
      <w:r w:rsidR="00396681">
        <w:rPr>
          <w:lang w:eastAsia="zh-CN"/>
        </w:rPr>
        <w:tab/>
      </w:r>
      <w:r w:rsidRPr="006E3B9B">
        <w:rPr>
          <w:lang w:val="en-US" w:eastAsia="zh-CN"/>
        </w:rPr>
        <w:tab/>
        <w:t>1964</w:t>
      </w:r>
      <w:r w:rsidRPr="006E3B9B">
        <w:rPr>
          <w:rFonts w:hint="eastAsia"/>
          <w:lang w:val="en-US" w:eastAsia="zh-CN"/>
        </w:rPr>
        <w:t>年</w:t>
      </w:r>
    </w:p>
    <w:p w14:paraId="4827C33B"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263</w:t>
      </w:r>
      <w:r w:rsidRPr="006E3B9B">
        <w:rPr>
          <w:lang w:val="en-US" w:eastAsia="zh-CN"/>
        </w:rPr>
        <w:t>号决定</w:t>
      </w:r>
      <w:r w:rsidRPr="006E3B9B">
        <w:rPr>
          <w:lang w:val="en-US" w:eastAsia="zh-CN"/>
        </w:rPr>
        <w:tab/>
      </w:r>
      <w:r w:rsidRPr="006E3B9B">
        <w:rPr>
          <w:lang w:eastAsia="zh-CN"/>
        </w:rPr>
        <w:t>频登会</w:t>
      </w:r>
      <w:r w:rsidRPr="006E3B9B">
        <w:rPr>
          <w:rFonts w:hint="eastAsia"/>
          <w:lang w:eastAsia="zh-CN"/>
        </w:rPr>
        <w:t>周报和通函的公布</w:t>
      </w:r>
      <w:r w:rsidRPr="006E3B9B">
        <w:rPr>
          <w:lang w:val="en-US" w:eastAsia="zh-CN"/>
        </w:rPr>
        <w:tab/>
      </w:r>
      <w:r w:rsidR="00396681">
        <w:rPr>
          <w:lang w:val="en-US" w:eastAsia="zh-CN"/>
        </w:rPr>
        <w:tab/>
      </w:r>
      <w:r w:rsidRPr="006E3B9B">
        <w:rPr>
          <w:lang w:val="en-US" w:eastAsia="zh-CN"/>
        </w:rPr>
        <w:t>1994</w:t>
      </w:r>
      <w:r w:rsidRPr="006E3B9B">
        <w:rPr>
          <w:rFonts w:hint="eastAsia"/>
          <w:lang w:val="en-US" w:eastAsia="zh-CN"/>
        </w:rPr>
        <w:t>年</w:t>
      </w:r>
    </w:p>
    <w:p w14:paraId="4827C33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264</w:t>
      </w:r>
      <w:r w:rsidRPr="006E3B9B">
        <w:rPr>
          <w:lang w:val="en-US" w:eastAsia="zh-CN"/>
        </w:rPr>
        <w:t>号决定</w:t>
      </w:r>
      <w:r w:rsidRPr="006E3B9B">
        <w:rPr>
          <w:lang w:val="en-US" w:eastAsia="zh-CN"/>
        </w:rPr>
        <w:tab/>
      </w:r>
      <w:r w:rsidRPr="006E3B9B">
        <w:rPr>
          <w:rFonts w:hint="eastAsia"/>
          <w:lang w:eastAsia="zh-CN"/>
        </w:rPr>
        <w:t>保证为两名</w:t>
      </w:r>
      <w:r w:rsidRPr="006E3B9B">
        <w:rPr>
          <w:lang w:eastAsia="zh-CN"/>
        </w:rPr>
        <w:t>60</w:t>
      </w:r>
      <w:r w:rsidRPr="006E3B9B">
        <w:rPr>
          <w:rFonts w:hint="eastAsia"/>
          <w:lang w:eastAsia="zh-CN"/>
        </w:rPr>
        <w:t>岁以上的官员加薪</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3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265</w:t>
      </w:r>
      <w:r w:rsidRPr="006E3B9B">
        <w:rPr>
          <w:lang w:val="en-US" w:eastAsia="zh-CN"/>
        </w:rPr>
        <w:t>号决定</w:t>
      </w:r>
      <w:r w:rsidRPr="006E3B9B">
        <w:rPr>
          <w:lang w:val="en-US" w:eastAsia="zh-CN"/>
        </w:rPr>
        <w:tab/>
      </w:r>
      <w:r w:rsidRPr="006E3B9B">
        <w:rPr>
          <w:rFonts w:hint="eastAsia"/>
          <w:lang w:val="en-US" w:eastAsia="zh-CN"/>
        </w:rPr>
        <w:t>备用基金成员退休后支付的</w:t>
      </w:r>
      <w:r w:rsidRPr="006E3B9B">
        <w:rPr>
          <w:lang w:val="en-US" w:eastAsia="zh-CN"/>
        </w:rPr>
        <w:t>15%</w:t>
      </w:r>
      <w:r w:rsidRPr="006E3B9B">
        <w:rPr>
          <w:rFonts w:hint="eastAsia"/>
          <w:lang w:val="en-US" w:eastAsia="zh-CN"/>
        </w:rPr>
        <w:t>的未亡人保险</w:t>
      </w:r>
      <w:r w:rsidRPr="006E3B9B">
        <w:rPr>
          <w:lang w:val="en-US" w:eastAsia="zh-CN"/>
        </w:rPr>
        <w:tab/>
      </w:r>
      <w:r w:rsidR="00396681">
        <w:rPr>
          <w:lang w:val="en-US" w:eastAsia="zh-CN"/>
        </w:rPr>
        <w:tab/>
      </w:r>
      <w:r w:rsidRPr="006E3B9B">
        <w:rPr>
          <w:lang w:val="en-US" w:eastAsia="zh-CN"/>
        </w:rPr>
        <w:t>1981</w:t>
      </w:r>
      <w:r w:rsidRPr="006E3B9B">
        <w:rPr>
          <w:rFonts w:hint="eastAsia"/>
          <w:lang w:val="en-US" w:eastAsia="zh-CN"/>
        </w:rPr>
        <w:t>年</w:t>
      </w:r>
    </w:p>
    <w:p w14:paraId="4827C33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266</w:t>
      </w:r>
      <w:r w:rsidRPr="006E3B9B">
        <w:rPr>
          <w:lang w:val="en-US" w:eastAsia="zh-CN"/>
        </w:rPr>
        <w:t>号决定</w:t>
      </w:r>
      <w:r w:rsidRPr="006E3B9B">
        <w:rPr>
          <w:lang w:val="en-US" w:eastAsia="zh-CN"/>
        </w:rPr>
        <w:tab/>
      </w:r>
      <w:r w:rsidRPr="006E3B9B">
        <w:rPr>
          <w:rFonts w:hint="eastAsia"/>
          <w:lang w:eastAsia="zh-CN"/>
        </w:rPr>
        <w:t>联合国合办职员养恤基金养恤金体制的变更</w:t>
      </w:r>
      <w:r w:rsidRPr="006E3B9B">
        <w:rPr>
          <w:lang w:val="en-US" w:eastAsia="zh-CN"/>
        </w:rPr>
        <w:tab/>
      </w:r>
      <w:r w:rsidR="00396681">
        <w:rPr>
          <w:lang w:val="en-US" w:eastAsia="zh-CN"/>
        </w:rPr>
        <w:tab/>
      </w:r>
      <w:r w:rsidRPr="006E3B9B">
        <w:rPr>
          <w:lang w:val="en-US" w:eastAsia="zh-CN"/>
        </w:rPr>
        <w:t>1966</w:t>
      </w:r>
      <w:r w:rsidRPr="006E3B9B">
        <w:rPr>
          <w:rFonts w:hint="eastAsia"/>
          <w:lang w:val="en-US" w:eastAsia="zh-CN"/>
        </w:rPr>
        <w:t>年</w:t>
      </w:r>
    </w:p>
    <w:p w14:paraId="4827C33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267</w:t>
      </w:r>
      <w:r w:rsidRPr="006E3B9B">
        <w:rPr>
          <w:lang w:val="en-US" w:eastAsia="zh-CN"/>
        </w:rPr>
        <w:t>号决定</w:t>
      </w:r>
      <w:r w:rsidRPr="006E3B9B">
        <w:rPr>
          <w:lang w:val="en-US" w:eastAsia="zh-CN"/>
        </w:rPr>
        <w:tab/>
      </w:r>
      <w:r w:rsidRPr="006E3B9B">
        <w:rPr>
          <w:rFonts w:hint="eastAsia"/>
          <w:lang w:eastAsia="zh-CN"/>
        </w:rPr>
        <w:t>国际电联各秘书处的组织结构图</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4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268</w:t>
      </w:r>
      <w:r w:rsidRPr="006E3B9B">
        <w:rPr>
          <w:lang w:val="en-US" w:eastAsia="zh-CN"/>
        </w:rPr>
        <w:t>号决定</w:t>
      </w:r>
      <w:r w:rsidRPr="006E3B9B">
        <w:rPr>
          <w:lang w:val="en-US" w:eastAsia="zh-CN"/>
        </w:rPr>
        <w:tab/>
      </w:r>
      <w:r w:rsidRPr="006E3B9B">
        <w:rPr>
          <w:rFonts w:hint="eastAsia"/>
          <w:lang w:eastAsia="zh-CN"/>
        </w:rPr>
        <w:t>适用于选任官员的《临时人事规则和细则》</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4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269</w:t>
      </w:r>
      <w:r w:rsidRPr="006E3B9B">
        <w:rPr>
          <w:lang w:val="en-US" w:eastAsia="zh-CN"/>
        </w:rPr>
        <w:t>号决定</w:t>
      </w:r>
      <w:r w:rsidRPr="006E3B9B">
        <w:rPr>
          <w:lang w:val="en-US" w:eastAsia="zh-CN"/>
        </w:rPr>
        <w:tab/>
      </w:r>
      <w:r w:rsidRPr="006E3B9B">
        <w:rPr>
          <w:rFonts w:hint="eastAsia"/>
          <w:lang w:eastAsia="zh-CN"/>
        </w:rPr>
        <w:t>解雇补偿金</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4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270</w:t>
      </w:r>
      <w:r w:rsidRPr="006E3B9B">
        <w:rPr>
          <w:lang w:val="en-US" w:eastAsia="zh-CN"/>
        </w:rPr>
        <w:t>号决定</w:t>
      </w:r>
      <w:r w:rsidRPr="006E3B9B">
        <w:rPr>
          <w:lang w:val="en-US" w:eastAsia="zh-CN"/>
        </w:rPr>
        <w:tab/>
      </w:r>
      <w:r w:rsidRPr="006E3B9B">
        <w:rPr>
          <w:rFonts w:hint="eastAsia"/>
          <w:lang w:eastAsia="zh-CN"/>
        </w:rPr>
        <w:t>理事会第</w:t>
      </w:r>
      <w:r w:rsidRPr="006E3B9B">
        <w:rPr>
          <w:lang w:eastAsia="zh-CN"/>
        </w:rPr>
        <w:t>17</w:t>
      </w:r>
      <w:r w:rsidRPr="006E3B9B">
        <w:rPr>
          <w:rFonts w:hint="eastAsia"/>
          <w:lang w:eastAsia="zh-CN"/>
        </w:rPr>
        <w:t>届会议的开幕日期</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43"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17</w:t>
      </w:r>
      <w:r w:rsidRPr="006E3B9B">
        <w:rPr>
          <w:rFonts w:hint="eastAsia"/>
          <w:lang w:eastAsia="zh-CN"/>
        </w:rPr>
        <w:t>届会议（</w:t>
      </w:r>
      <w:r w:rsidRPr="006E3B9B">
        <w:rPr>
          <w:lang w:eastAsia="zh-CN"/>
        </w:rPr>
        <w:t>1962</w:t>
      </w:r>
      <w:r w:rsidRPr="006E3B9B">
        <w:rPr>
          <w:rFonts w:hint="eastAsia"/>
          <w:lang w:eastAsia="zh-CN"/>
        </w:rPr>
        <w:t>年</w:t>
      </w:r>
      <w:r w:rsidRPr="006E3B9B">
        <w:rPr>
          <w:lang w:eastAsia="zh-CN"/>
        </w:rPr>
        <w:t>5</w:t>
      </w:r>
      <w:r w:rsidRPr="006E3B9B">
        <w:rPr>
          <w:rFonts w:hint="eastAsia"/>
          <w:lang w:eastAsia="zh-CN"/>
        </w:rPr>
        <w:t>月</w:t>
      </w:r>
      <w:r w:rsidRPr="006E3B9B">
        <w:rPr>
          <w:lang w:eastAsia="zh-CN"/>
        </w:rPr>
        <w:t>-6</w:t>
      </w:r>
      <w:r w:rsidRPr="006E3B9B">
        <w:rPr>
          <w:rFonts w:hint="eastAsia"/>
          <w:lang w:eastAsia="zh-CN"/>
        </w:rPr>
        <w:t>月）</w:t>
      </w:r>
    </w:p>
    <w:p w14:paraId="4827C34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271</w:t>
      </w:r>
      <w:r w:rsidRPr="006E3B9B">
        <w:rPr>
          <w:lang w:val="en-US" w:eastAsia="zh-CN"/>
        </w:rPr>
        <w:t>号决定</w:t>
      </w:r>
      <w:r w:rsidRPr="006E3B9B">
        <w:rPr>
          <w:lang w:val="en-US" w:eastAsia="zh-CN"/>
        </w:rPr>
        <w:tab/>
      </w:r>
      <w:r w:rsidRPr="006E3B9B">
        <w:rPr>
          <w:rFonts w:hint="eastAsia"/>
          <w:lang w:eastAsia="zh-CN"/>
        </w:rPr>
        <w:t>适用于选任官员的《临时人事规则和细则》</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4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272</w:t>
      </w:r>
      <w:r w:rsidRPr="006E3B9B">
        <w:rPr>
          <w:lang w:val="en-US" w:eastAsia="zh-CN"/>
        </w:rPr>
        <w:t>号决定</w:t>
      </w:r>
      <w:r w:rsidRPr="006E3B9B">
        <w:rPr>
          <w:lang w:val="en-US" w:eastAsia="zh-CN"/>
        </w:rPr>
        <w:tab/>
      </w:r>
      <w:r w:rsidRPr="006E3B9B">
        <w:rPr>
          <w:rFonts w:hint="eastAsia"/>
          <w:lang w:eastAsia="zh-CN"/>
        </w:rPr>
        <w:t>交际费补贴</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4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273</w:t>
      </w:r>
      <w:r w:rsidRPr="006E3B9B">
        <w:rPr>
          <w:lang w:val="en-US" w:eastAsia="zh-CN"/>
        </w:rPr>
        <w:t>号决定</w:t>
      </w:r>
      <w:r w:rsidRPr="006E3B9B">
        <w:rPr>
          <w:lang w:val="en-US" w:eastAsia="zh-CN"/>
        </w:rPr>
        <w:tab/>
      </w:r>
      <w:r w:rsidRPr="006E3B9B">
        <w:rPr>
          <w:rFonts w:hint="eastAsia"/>
          <w:lang w:eastAsia="zh-CN"/>
        </w:rPr>
        <w:t>某些职位的设立、取消和定级</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4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274</w:t>
      </w:r>
      <w:r w:rsidRPr="006E3B9B">
        <w:rPr>
          <w:lang w:val="en-US" w:eastAsia="zh-CN"/>
        </w:rPr>
        <w:t>号决定</w:t>
      </w:r>
      <w:r w:rsidRPr="006E3B9B">
        <w:rPr>
          <w:lang w:val="en-US" w:eastAsia="zh-CN"/>
        </w:rPr>
        <w:tab/>
      </w:r>
      <w:r w:rsidRPr="006E3B9B">
        <w:rPr>
          <w:rFonts w:hint="eastAsia"/>
          <w:lang w:eastAsia="zh-CN"/>
        </w:rPr>
        <w:t>技术合作部的新职员</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4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275</w:t>
      </w:r>
      <w:r w:rsidRPr="006E3B9B">
        <w:rPr>
          <w:lang w:val="en-US" w:eastAsia="zh-CN"/>
        </w:rPr>
        <w:t>号决定</w:t>
      </w:r>
      <w:r w:rsidR="00396681">
        <w:rPr>
          <w:lang w:val="en-US" w:eastAsia="zh-CN"/>
        </w:rPr>
        <w:tab/>
      </w:r>
      <w:r w:rsidRPr="006E3B9B">
        <w:rPr>
          <w:lang w:eastAsia="zh-CN"/>
        </w:rPr>
        <w:t>频登会</w:t>
      </w:r>
      <w:r w:rsidRPr="006E3B9B">
        <w:rPr>
          <w:rFonts w:hint="eastAsia"/>
          <w:lang w:eastAsia="zh-CN"/>
        </w:rPr>
        <w:t>的职位</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4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276</w:t>
      </w:r>
      <w:r w:rsidRPr="006E3B9B">
        <w:rPr>
          <w:lang w:val="en-US" w:eastAsia="zh-CN"/>
        </w:rPr>
        <w:t>号决定</w:t>
      </w:r>
      <w:r w:rsidRPr="006E3B9B">
        <w:rPr>
          <w:lang w:val="en-US" w:eastAsia="zh-CN"/>
        </w:rPr>
        <w:tab/>
      </w:r>
      <w:r w:rsidRPr="006E3B9B">
        <w:rPr>
          <w:rFonts w:hint="eastAsia"/>
          <w:lang w:eastAsia="zh-CN"/>
        </w:rPr>
        <w:t>养恤金秘书职位的定级</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4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277</w:t>
      </w:r>
      <w:r w:rsidRPr="006E3B9B">
        <w:rPr>
          <w:lang w:val="en-US" w:eastAsia="zh-CN"/>
        </w:rPr>
        <w:t>号决定</w:t>
      </w:r>
      <w:r w:rsidRPr="006E3B9B">
        <w:rPr>
          <w:lang w:val="en-US" w:eastAsia="zh-CN"/>
        </w:rPr>
        <w:tab/>
      </w:r>
      <w:r w:rsidRPr="006E3B9B">
        <w:rPr>
          <w:lang w:eastAsia="zh-CN"/>
        </w:rPr>
        <w:t>CCIR</w:t>
      </w:r>
      <w:r w:rsidRPr="006E3B9B">
        <w:rPr>
          <w:rFonts w:hint="eastAsia"/>
          <w:lang w:eastAsia="zh-CN"/>
        </w:rPr>
        <w:t>副主任</w:t>
      </w:r>
      <w:r w:rsidRPr="006E3B9B">
        <w:rPr>
          <w:lang w:eastAsia="zh-CN"/>
        </w:rPr>
        <w:t xml:space="preserve"> L.W. Hayes</w:t>
      </w:r>
      <w:r w:rsidRPr="006E3B9B">
        <w:rPr>
          <w:rFonts w:hint="eastAsia"/>
          <w:lang w:eastAsia="zh-CN"/>
        </w:rPr>
        <w:t>先生的职责范围</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4B"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278</w:t>
      </w:r>
      <w:r w:rsidRPr="006E3B9B">
        <w:rPr>
          <w:lang w:val="en-US" w:eastAsia="zh-CN"/>
        </w:rPr>
        <w:t>号决定</w:t>
      </w:r>
      <w:r w:rsidRPr="006E3B9B">
        <w:rPr>
          <w:lang w:val="en-US" w:eastAsia="zh-CN"/>
        </w:rPr>
        <w:tab/>
      </w:r>
      <w:r w:rsidRPr="006E3B9B">
        <w:rPr>
          <w:rFonts w:hint="eastAsia"/>
          <w:lang w:eastAsia="zh-CN"/>
        </w:rPr>
        <w:t>备用基金正式成员退休后支付的</w:t>
      </w:r>
      <w:r w:rsidRPr="006E3B9B">
        <w:rPr>
          <w:lang w:eastAsia="zh-CN"/>
        </w:rPr>
        <w:t>15%</w:t>
      </w:r>
      <w:r w:rsidRPr="006E3B9B">
        <w:rPr>
          <w:rFonts w:hint="eastAsia"/>
          <w:lang w:eastAsia="zh-CN"/>
        </w:rPr>
        <w:t>的“未亡人保险”</w:t>
      </w:r>
      <w:r w:rsidRPr="006E3B9B">
        <w:rPr>
          <w:lang w:val="en-US" w:eastAsia="zh-CN"/>
        </w:rPr>
        <w:tab/>
      </w:r>
      <w:r w:rsidR="00396681">
        <w:rPr>
          <w:lang w:val="en-US" w:eastAsia="zh-CN"/>
        </w:rPr>
        <w:tab/>
      </w:r>
      <w:r w:rsidRPr="006E3B9B">
        <w:rPr>
          <w:lang w:val="en-US" w:eastAsia="zh-CN"/>
        </w:rPr>
        <w:t>1979</w:t>
      </w:r>
      <w:r w:rsidRPr="006E3B9B">
        <w:rPr>
          <w:rFonts w:hint="eastAsia"/>
          <w:lang w:val="en-US" w:eastAsia="zh-CN"/>
        </w:rPr>
        <w:t>年</w:t>
      </w:r>
    </w:p>
    <w:p w14:paraId="4827C34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279</w:t>
      </w:r>
      <w:r w:rsidRPr="006E3B9B">
        <w:rPr>
          <w:lang w:val="en-US" w:eastAsia="zh-CN"/>
        </w:rPr>
        <w:t>号决定</w:t>
      </w:r>
      <w:r w:rsidRPr="006E3B9B">
        <w:rPr>
          <w:lang w:val="en-US" w:eastAsia="zh-CN"/>
        </w:rPr>
        <w:tab/>
      </w:r>
      <w:r w:rsidRPr="006E3B9B">
        <w:rPr>
          <w:rFonts w:hint="eastAsia"/>
          <w:lang w:eastAsia="zh-CN"/>
        </w:rPr>
        <w:t>设立一项保险基金的可能性</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4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280</w:t>
      </w:r>
      <w:r w:rsidRPr="006E3B9B">
        <w:rPr>
          <w:lang w:val="en-US" w:eastAsia="zh-CN"/>
        </w:rPr>
        <w:t>号决定</w:t>
      </w:r>
      <w:r w:rsidRPr="006E3B9B">
        <w:rPr>
          <w:lang w:val="en-US" w:eastAsia="zh-CN"/>
        </w:rPr>
        <w:tab/>
      </w:r>
      <w:r w:rsidRPr="006E3B9B">
        <w:rPr>
          <w:lang w:eastAsia="zh-CN"/>
        </w:rPr>
        <w:t>CCITT</w:t>
      </w:r>
      <w:r w:rsidRPr="006E3B9B">
        <w:rPr>
          <w:rFonts w:hint="eastAsia"/>
          <w:lang w:eastAsia="zh-CN"/>
        </w:rPr>
        <w:t>第三届全体会议的日期</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4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281</w:t>
      </w:r>
      <w:r w:rsidRPr="006E3B9B">
        <w:rPr>
          <w:lang w:val="en-US" w:eastAsia="zh-CN"/>
        </w:rPr>
        <w:t>号决定</w:t>
      </w:r>
      <w:r w:rsidRPr="006E3B9B">
        <w:rPr>
          <w:lang w:val="en-US" w:eastAsia="zh-CN"/>
        </w:rPr>
        <w:tab/>
      </w:r>
      <w:r w:rsidRPr="006E3B9B">
        <w:rPr>
          <w:rFonts w:hint="eastAsia"/>
          <w:lang w:eastAsia="zh-CN"/>
        </w:rPr>
        <w:t>下届电报电话行政大会的日期</w:t>
      </w:r>
      <w:r w:rsidRPr="006E3B9B">
        <w:rPr>
          <w:lang w:val="en-US" w:eastAsia="zh-CN"/>
        </w:rPr>
        <w:tab/>
      </w:r>
      <w:r w:rsidR="00396681">
        <w:rPr>
          <w:lang w:val="en-US" w:eastAsia="zh-CN"/>
        </w:rPr>
        <w:tab/>
      </w:r>
      <w:r w:rsidRPr="006E3B9B">
        <w:rPr>
          <w:lang w:val="en-US" w:eastAsia="zh-CN"/>
        </w:rPr>
        <w:t>1973</w:t>
      </w:r>
      <w:r w:rsidRPr="006E3B9B">
        <w:rPr>
          <w:rFonts w:hint="eastAsia"/>
          <w:lang w:val="en-US" w:eastAsia="zh-CN"/>
        </w:rPr>
        <w:t>年</w:t>
      </w:r>
    </w:p>
    <w:p w14:paraId="4827C34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282</w:t>
      </w:r>
      <w:r w:rsidRPr="006E3B9B">
        <w:rPr>
          <w:lang w:val="en-US" w:eastAsia="zh-CN"/>
        </w:rPr>
        <w:t>号决定</w:t>
      </w:r>
      <w:r w:rsidRPr="006E3B9B">
        <w:rPr>
          <w:lang w:val="en-US" w:eastAsia="zh-CN"/>
        </w:rPr>
        <w:tab/>
      </w:r>
      <w:r w:rsidRPr="006E3B9B">
        <w:rPr>
          <w:rFonts w:hint="eastAsia"/>
          <w:lang w:eastAsia="zh-CN"/>
        </w:rPr>
        <w:t>起草航空移动业务分配规划修订版的特别无线电行政大会的日期</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50" w14:textId="77777777" w:rsidR="006E3B9B" w:rsidRPr="006E3B9B" w:rsidRDefault="006E3B9B" w:rsidP="00396681">
      <w:pPr>
        <w:pStyle w:val="Appendixref"/>
        <w:rPr>
          <w:lang w:val="en-US" w:eastAsia="zh-CN"/>
        </w:rPr>
      </w:pPr>
      <w:r w:rsidRPr="006E3B9B">
        <w:rPr>
          <w:lang w:val="en-US" w:eastAsia="zh-CN"/>
        </w:rPr>
        <w:t>第</w:t>
      </w:r>
      <w:r w:rsidRPr="006E3B9B">
        <w:rPr>
          <w:lang w:val="en-US" w:eastAsia="zh-CN"/>
        </w:rPr>
        <w:t>283</w:t>
      </w:r>
      <w:r w:rsidRPr="006E3B9B">
        <w:rPr>
          <w:lang w:val="en-US" w:eastAsia="zh-CN"/>
        </w:rPr>
        <w:t>号决定</w:t>
      </w:r>
      <w:r w:rsidRPr="006E3B9B">
        <w:rPr>
          <w:lang w:val="en-US" w:eastAsia="zh-CN"/>
        </w:rPr>
        <w:tab/>
      </w:r>
      <w:r w:rsidRPr="006E3B9B">
        <w:rPr>
          <w:rFonts w:hint="eastAsia"/>
          <w:lang w:val="en-US" w:eastAsia="zh-CN"/>
        </w:rPr>
        <w:t>《</w:t>
      </w:r>
      <w:r w:rsidRPr="006E3B9B">
        <w:rPr>
          <w:rFonts w:hint="eastAsia"/>
          <w:lang w:eastAsia="zh-CN"/>
        </w:rPr>
        <w:t>无线电规则》第</w:t>
      </w:r>
      <w:r w:rsidRPr="006E3B9B">
        <w:rPr>
          <w:lang w:eastAsia="zh-CN"/>
        </w:rPr>
        <w:t>457</w:t>
      </w:r>
      <w:r w:rsidRPr="006E3B9B">
        <w:rPr>
          <w:rFonts w:hint="eastAsia"/>
          <w:lang w:eastAsia="zh-CN"/>
        </w:rPr>
        <w:t>款关于修订《无线电规则》附录</w:t>
      </w:r>
      <w:r w:rsidRPr="006E3B9B">
        <w:rPr>
          <w:lang w:eastAsia="zh-CN"/>
        </w:rPr>
        <w:t>25</w:t>
      </w:r>
      <w:r w:rsidRPr="006E3B9B">
        <w:rPr>
          <w:rFonts w:hint="eastAsia"/>
          <w:lang w:eastAsia="zh-CN"/>
        </w:rPr>
        <w:t>的特别无线电行政大会的规定</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5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284</w:t>
      </w:r>
      <w:r w:rsidRPr="006E3B9B">
        <w:rPr>
          <w:lang w:val="en-US" w:eastAsia="zh-CN"/>
        </w:rPr>
        <w:t>号决定</w:t>
      </w:r>
      <w:r w:rsidRPr="006E3B9B">
        <w:rPr>
          <w:lang w:val="en-US" w:eastAsia="zh-CN"/>
        </w:rPr>
        <w:tab/>
      </w:r>
      <w:r w:rsidRPr="006E3B9B">
        <w:rPr>
          <w:rFonts w:hint="eastAsia"/>
          <w:lang w:eastAsia="zh-CN"/>
        </w:rPr>
        <w:t>国际电联成员国和联系成员代表团出席国际电联大会和会议的事宜</w:t>
      </w:r>
      <w:r w:rsidR="00396681">
        <w:rPr>
          <w:lang w:eastAsia="zh-CN"/>
        </w:rPr>
        <w:tab/>
      </w:r>
      <w:r w:rsidRPr="006E3B9B">
        <w:rPr>
          <w:lang w:val="en-US" w:eastAsia="zh-CN"/>
        </w:rPr>
        <w:tab/>
        <w:t>1964</w:t>
      </w:r>
      <w:r w:rsidRPr="006E3B9B">
        <w:rPr>
          <w:rFonts w:hint="eastAsia"/>
          <w:lang w:val="en-US" w:eastAsia="zh-CN"/>
        </w:rPr>
        <w:t>年</w:t>
      </w:r>
    </w:p>
    <w:p w14:paraId="4827C35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285</w:t>
      </w:r>
      <w:r w:rsidRPr="006E3B9B">
        <w:rPr>
          <w:lang w:val="en-US" w:eastAsia="zh-CN"/>
        </w:rPr>
        <w:t>号决定</w:t>
      </w:r>
      <w:r w:rsidRPr="006E3B9B">
        <w:rPr>
          <w:lang w:val="en-US" w:eastAsia="zh-CN"/>
        </w:rPr>
        <w:tab/>
      </w:r>
      <w:r w:rsidRPr="006E3B9B">
        <w:rPr>
          <w:rFonts w:hint="eastAsia"/>
          <w:lang w:eastAsia="zh-CN"/>
        </w:rPr>
        <w:t>关于专门机构和其他国际组织参加国际电联大会和会议的财务条件</w:t>
      </w:r>
      <w:r w:rsidR="00396681">
        <w:rPr>
          <w:lang w:eastAsia="zh-CN"/>
        </w:rPr>
        <w:tab/>
      </w:r>
      <w:r w:rsidRPr="006E3B9B">
        <w:rPr>
          <w:lang w:val="en-US" w:eastAsia="zh-CN"/>
        </w:rPr>
        <w:tab/>
        <w:t>1964</w:t>
      </w:r>
      <w:r w:rsidRPr="006E3B9B">
        <w:rPr>
          <w:rFonts w:hint="eastAsia"/>
          <w:lang w:val="en-US" w:eastAsia="zh-CN"/>
        </w:rPr>
        <w:t>年</w:t>
      </w:r>
    </w:p>
    <w:p w14:paraId="4827C353" w14:textId="77777777" w:rsidR="00B27B91" w:rsidRDefault="00B27B91" w:rsidP="00057467">
      <w:pPr>
        <w:pStyle w:val="Appendixref"/>
        <w:rPr>
          <w:lang w:val="en-US" w:eastAsia="zh-CN"/>
        </w:rPr>
      </w:pPr>
      <w:r>
        <w:rPr>
          <w:lang w:val="en-US" w:eastAsia="zh-CN"/>
        </w:rPr>
        <w:br w:type="page"/>
      </w:r>
    </w:p>
    <w:p w14:paraId="4827C354" w14:textId="77777777" w:rsidR="006E3B9B" w:rsidRPr="006E3B9B" w:rsidRDefault="006E3B9B" w:rsidP="00057467">
      <w:pPr>
        <w:pStyle w:val="Appendixref"/>
        <w:rPr>
          <w:lang w:val="en-US" w:eastAsia="zh-CN"/>
        </w:rPr>
      </w:pPr>
      <w:r w:rsidRPr="006E3B9B">
        <w:rPr>
          <w:lang w:val="en-US" w:eastAsia="zh-CN"/>
        </w:rPr>
        <w:lastRenderedPageBreak/>
        <w:t>第</w:t>
      </w:r>
      <w:r w:rsidRPr="006E3B9B">
        <w:rPr>
          <w:lang w:val="en-US" w:eastAsia="zh-CN"/>
        </w:rPr>
        <w:t>286</w:t>
      </w:r>
      <w:r w:rsidRPr="006E3B9B">
        <w:rPr>
          <w:lang w:val="en-US" w:eastAsia="zh-CN"/>
        </w:rPr>
        <w:t>号决定</w:t>
      </w:r>
      <w:r w:rsidRPr="006E3B9B">
        <w:rPr>
          <w:lang w:val="en-US" w:eastAsia="zh-CN"/>
        </w:rPr>
        <w:tab/>
      </w:r>
      <w:r w:rsidRPr="006E3B9B">
        <w:rPr>
          <w:rFonts w:hint="eastAsia"/>
          <w:lang w:val="en-US" w:eastAsia="zh-CN"/>
        </w:rPr>
        <w:t>全部重新起草的</w:t>
      </w:r>
      <w:r w:rsidRPr="006E3B9B">
        <w:rPr>
          <w:rFonts w:hint="eastAsia"/>
          <w:lang w:eastAsia="zh-CN"/>
        </w:rPr>
        <w:t>《国际电信公约》的建议案文</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5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287</w:t>
      </w:r>
      <w:r w:rsidRPr="006E3B9B">
        <w:rPr>
          <w:lang w:val="en-US" w:eastAsia="zh-CN"/>
        </w:rPr>
        <w:t>号决定</w:t>
      </w:r>
      <w:r w:rsidRPr="006E3B9B">
        <w:rPr>
          <w:lang w:val="en-US" w:eastAsia="zh-CN"/>
        </w:rPr>
        <w:tab/>
      </w:r>
      <w:r w:rsidRPr="006E3B9B">
        <w:rPr>
          <w:rFonts w:hint="eastAsia"/>
          <w:lang w:eastAsia="zh-CN"/>
        </w:rPr>
        <w:t>各国对《公约》和《行政规则》所持的立场</w:t>
      </w:r>
      <w:r w:rsidRPr="006E3B9B">
        <w:rPr>
          <w:lang w:val="en-US" w:eastAsia="zh-CN"/>
        </w:rPr>
        <w:tab/>
      </w:r>
      <w:r w:rsidR="00396681">
        <w:rPr>
          <w:lang w:val="en-US" w:eastAsia="zh-CN"/>
        </w:rPr>
        <w:tab/>
      </w:r>
      <w:r w:rsidRPr="006E3B9B">
        <w:rPr>
          <w:lang w:val="en-US" w:eastAsia="zh-CN"/>
        </w:rPr>
        <w:t>1996</w:t>
      </w:r>
      <w:r w:rsidRPr="006E3B9B">
        <w:rPr>
          <w:rFonts w:hint="eastAsia"/>
          <w:lang w:val="en-US" w:eastAsia="zh-CN"/>
        </w:rPr>
        <w:t>年</w:t>
      </w:r>
    </w:p>
    <w:p w14:paraId="4827C35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288</w:t>
      </w:r>
      <w:r w:rsidRPr="006E3B9B">
        <w:rPr>
          <w:lang w:val="en-US" w:eastAsia="zh-CN"/>
        </w:rPr>
        <w:t>号决定</w:t>
      </w:r>
      <w:r w:rsidRPr="006E3B9B">
        <w:rPr>
          <w:lang w:val="en-US" w:eastAsia="zh-CN"/>
        </w:rPr>
        <w:tab/>
      </w:r>
      <w:r w:rsidRPr="006E3B9B">
        <w:rPr>
          <w:rFonts w:hint="eastAsia"/>
          <w:lang w:eastAsia="zh-CN"/>
        </w:rPr>
        <w:t>与亚洲及远东经济委员会（</w:t>
      </w:r>
      <w:r w:rsidRPr="006E3B9B">
        <w:rPr>
          <w:rFonts w:hint="eastAsia"/>
          <w:lang w:eastAsia="zh-CN"/>
        </w:rPr>
        <w:t>ECAFE</w:t>
      </w:r>
      <w:r w:rsidRPr="006E3B9B">
        <w:rPr>
          <w:rFonts w:hint="eastAsia"/>
          <w:lang w:eastAsia="zh-CN"/>
        </w:rPr>
        <w:t>）的协议</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5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289</w:t>
      </w:r>
      <w:r w:rsidRPr="006E3B9B">
        <w:rPr>
          <w:lang w:val="en-US" w:eastAsia="zh-CN"/>
        </w:rPr>
        <w:t>号决定</w:t>
      </w:r>
      <w:r w:rsidRPr="006E3B9B">
        <w:rPr>
          <w:lang w:val="en-US" w:eastAsia="zh-CN"/>
        </w:rPr>
        <w:tab/>
      </w:r>
      <w:r w:rsidRPr="006E3B9B">
        <w:rPr>
          <w:rFonts w:hint="eastAsia"/>
          <w:lang w:eastAsia="zh-CN"/>
        </w:rPr>
        <w:t>大规模处理统计数据的跨机构项目</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5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290</w:t>
      </w:r>
      <w:r w:rsidRPr="006E3B9B">
        <w:rPr>
          <w:lang w:val="en-US" w:eastAsia="zh-CN"/>
        </w:rPr>
        <w:t>号决定</w:t>
      </w:r>
      <w:r w:rsidRPr="006E3B9B">
        <w:rPr>
          <w:lang w:val="en-US" w:eastAsia="zh-CN"/>
        </w:rPr>
        <w:tab/>
      </w:r>
      <w:r w:rsidRPr="006E3B9B">
        <w:rPr>
          <w:rFonts w:hint="eastAsia"/>
          <w:lang w:eastAsia="zh-CN"/>
        </w:rPr>
        <w:t>减少</w:t>
      </w:r>
      <w:r w:rsidRPr="006E3B9B">
        <w:rPr>
          <w:lang w:eastAsia="zh-CN"/>
        </w:rPr>
        <w:t>9Mc/s</w:t>
      </w:r>
      <w:r w:rsidRPr="006E3B9B">
        <w:rPr>
          <w:rFonts w:hint="eastAsia"/>
          <w:lang w:eastAsia="zh-CN"/>
        </w:rPr>
        <w:t>和</w:t>
      </w:r>
      <w:r w:rsidRPr="006E3B9B">
        <w:rPr>
          <w:lang w:eastAsia="zh-CN"/>
        </w:rPr>
        <w:t>27.5Mc/s</w:t>
      </w:r>
      <w:r w:rsidRPr="006E3B9B">
        <w:rPr>
          <w:rFonts w:hint="eastAsia"/>
          <w:lang w:eastAsia="zh-CN"/>
        </w:rPr>
        <w:t>之间频段拥塞的措施</w:t>
      </w:r>
      <w:r w:rsidRPr="006E3B9B">
        <w:rPr>
          <w:rFonts w:hint="eastAsia"/>
          <w:lang w:eastAsia="zh-CN"/>
        </w:rPr>
        <w:t xml:space="preserve"> </w:t>
      </w:r>
      <w:r w:rsidRPr="006E3B9B">
        <w:rPr>
          <w:lang w:eastAsia="zh-CN"/>
        </w:rPr>
        <w:t>–</w:t>
      </w:r>
      <w:r w:rsidRPr="006E3B9B">
        <w:rPr>
          <w:rFonts w:hint="eastAsia"/>
          <w:lang w:eastAsia="zh-CN"/>
        </w:rPr>
        <w:t xml:space="preserve"> </w:t>
      </w:r>
      <w:r w:rsidRPr="006E3B9B">
        <w:rPr>
          <w:rFonts w:hint="eastAsia"/>
          <w:lang w:eastAsia="zh-CN"/>
        </w:rPr>
        <w:t>第</w:t>
      </w:r>
      <w:r w:rsidRPr="006E3B9B">
        <w:rPr>
          <w:lang w:eastAsia="zh-CN"/>
        </w:rPr>
        <w:t>2</w:t>
      </w:r>
      <w:r w:rsidRPr="006E3B9B">
        <w:rPr>
          <w:rFonts w:hint="eastAsia"/>
          <w:lang w:eastAsia="zh-CN"/>
        </w:rPr>
        <w:t>次专家组会议</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5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291</w:t>
      </w:r>
      <w:r w:rsidRPr="006E3B9B">
        <w:rPr>
          <w:lang w:val="en-US" w:eastAsia="zh-CN"/>
        </w:rPr>
        <w:t>号决定</w:t>
      </w:r>
      <w:r w:rsidRPr="006E3B9B">
        <w:rPr>
          <w:lang w:val="en-US" w:eastAsia="zh-CN"/>
        </w:rPr>
        <w:tab/>
      </w:r>
      <w:r w:rsidRPr="006E3B9B">
        <w:rPr>
          <w:rFonts w:hint="eastAsia"/>
          <w:lang w:eastAsia="zh-CN"/>
        </w:rPr>
        <w:t>理事会第</w:t>
      </w:r>
      <w:r w:rsidRPr="006E3B9B">
        <w:rPr>
          <w:lang w:eastAsia="zh-CN"/>
        </w:rPr>
        <w:t>18</w:t>
      </w:r>
      <w:r w:rsidRPr="006E3B9B">
        <w:rPr>
          <w:rFonts w:hint="eastAsia"/>
          <w:lang w:eastAsia="zh-CN"/>
        </w:rPr>
        <w:t>届会议的开幕日期</w:t>
      </w:r>
      <w:r w:rsidR="00396681">
        <w:rPr>
          <w:lang w:eastAsia="zh-CN"/>
        </w:rPr>
        <w:tab/>
      </w:r>
      <w:r w:rsidRPr="006E3B9B">
        <w:rPr>
          <w:lang w:val="en-US" w:eastAsia="zh-CN"/>
        </w:rPr>
        <w:tab/>
        <w:t>1964</w:t>
      </w:r>
      <w:r w:rsidRPr="006E3B9B">
        <w:rPr>
          <w:rFonts w:hint="eastAsia"/>
          <w:lang w:val="en-US" w:eastAsia="zh-CN"/>
        </w:rPr>
        <w:t>年</w:t>
      </w:r>
    </w:p>
    <w:p w14:paraId="4827C35A"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18</w:t>
      </w:r>
      <w:r w:rsidRPr="006E3B9B">
        <w:rPr>
          <w:rFonts w:hint="eastAsia"/>
          <w:lang w:eastAsia="zh-CN"/>
        </w:rPr>
        <w:t>届会议（</w:t>
      </w:r>
      <w:r w:rsidRPr="006E3B9B">
        <w:rPr>
          <w:lang w:eastAsia="zh-CN"/>
        </w:rPr>
        <w:t>1963</w:t>
      </w:r>
      <w:r w:rsidRPr="006E3B9B">
        <w:rPr>
          <w:rFonts w:hint="eastAsia"/>
          <w:lang w:eastAsia="zh-CN"/>
        </w:rPr>
        <w:t>年</w:t>
      </w:r>
      <w:r w:rsidRPr="006E3B9B">
        <w:rPr>
          <w:lang w:eastAsia="zh-CN"/>
        </w:rPr>
        <w:t>4</w:t>
      </w:r>
      <w:r w:rsidRPr="006E3B9B">
        <w:rPr>
          <w:rFonts w:hint="eastAsia"/>
          <w:lang w:eastAsia="zh-CN"/>
        </w:rPr>
        <w:t>月</w:t>
      </w:r>
      <w:r w:rsidRPr="006E3B9B">
        <w:rPr>
          <w:rFonts w:hint="eastAsia"/>
          <w:lang w:eastAsia="zh-CN"/>
        </w:rPr>
        <w:t>-</w:t>
      </w:r>
      <w:r w:rsidRPr="006E3B9B">
        <w:rPr>
          <w:lang w:eastAsia="zh-CN"/>
        </w:rPr>
        <w:t>5</w:t>
      </w:r>
      <w:r w:rsidRPr="006E3B9B">
        <w:rPr>
          <w:rFonts w:hint="eastAsia"/>
          <w:lang w:eastAsia="zh-CN"/>
        </w:rPr>
        <w:t>月）</w:t>
      </w:r>
    </w:p>
    <w:p w14:paraId="4827C35B"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292</w:t>
      </w:r>
      <w:r w:rsidRPr="006E3B9B">
        <w:rPr>
          <w:lang w:val="en-US" w:eastAsia="zh-CN"/>
        </w:rPr>
        <w:t>号决定</w:t>
      </w:r>
      <w:r w:rsidRPr="006E3B9B">
        <w:rPr>
          <w:lang w:val="en-US" w:eastAsia="zh-CN"/>
        </w:rPr>
        <w:tab/>
      </w:r>
      <w:r w:rsidRPr="006E3B9B">
        <w:rPr>
          <w:rFonts w:hint="eastAsia"/>
          <w:lang w:eastAsia="zh-CN"/>
        </w:rPr>
        <w:t>全权代表大会授权设置的</w:t>
      </w:r>
      <w:r w:rsidRPr="006E3B9B">
        <w:rPr>
          <w:lang w:eastAsia="zh-CN"/>
        </w:rPr>
        <w:t>频登会</w:t>
      </w:r>
      <w:r w:rsidRPr="006E3B9B">
        <w:rPr>
          <w:rFonts w:hint="eastAsia"/>
          <w:lang w:eastAsia="zh-CN"/>
        </w:rPr>
        <w:t>专业职位</w:t>
      </w:r>
      <w:r w:rsidR="00396681">
        <w:rPr>
          <w:lang w:eastAsia="zh-CN"/>
        </w:rPr>
        <w:tab/>
      </w:r>
      <w:r w:rsidRPr="006E3B9B">
        <w:rPr>
          <w:lang w:val="en-US" w:eastAsia="zh-CN"/>
        </w:rPr>
        <w:tab/>
        <w:t>1964</w:t>
      </w:r>
      <w:r w:rsidRPr="006E3B9B">
        <w:rPr>
          <w:rFonts w:hint="eastAsia"/>
          <w:lang w:val="en-US" w:eastAsia="zh-CN"/>
        </w:rPr>
        <w:t>年</w:t>
      </w:r>
    </w:p>
    <w:p w14:paraId="4827C35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293</w:t>
      </w:r>
      <w:r w:rsidRPr="006E3B9B">
        <w:rPr>
          <w:lang w:val="en-US" w:eastAsia="zh-CN"/>
        </w:rPr>
        <w:t>号决定</w:t>
      </w:r>
      <w:r w:rsidRPr="006E3B9B">
        <w:rPr>
          <w:lang w:val="en-US" w:eastAsia="zh-CN"/>
        </w:rPr>
        <w:tab/>
      </w:r>
      <w:r w:rsidRPr="006E3B9B">
        <w:rPr>
          <w:rFonts w:hint="eastAsia"/>
          <w:lang w:eastAsia="zh-CN"/>
        </w:rPr>
        <w:t>技术合作部的新职员</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5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294</w:t>
      </w:r>
      <w:r w:rsidRPr="006E3B9B">
        <w:rPr>
          <w:lang w:val="en-US" w:eastAsia="zh-CN"/>
        </w:rPr>
        <w:t>号决定</w:t>
      </w:r>
      <w:r w:rsidRPr="006E3B9B">
        <w:rPr>
          <w:lang w:val="en-US" w:eastAsia="zh-CN"/>
        </w:rPr>
        <w:tab/>
      </w:r>
      <w:r w:rsidRPr="006E3B9B">
        <w:rPr>
          <w:rFonts w:hint="eastAsia"/>
          <w:lang w:eastAsia="zh-CN"/>
        </w:rPr>
        <w:t>关于职员重新定级的报告</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5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295</w:t>
      </w:r>
      <w:r w:rsidRPr="006E3B9B">
        <w:rPr>
          <w:lang w:val="en-US" w:eastAsia="zh-CN"/>
        </w:rPr>
        <w:t>号决定</w:t>
      </w:r>
      <w:r w:rsidRPr="006E3B9B">
        <w:rPr>
          <w:lang w:val="en-US" w:eastAsia="zh-CN"/>
        </w:rPr>
        <w:tab/>
      </w:r>
      <w:r w:rsidRPr="006E3B9B">
        <w:rPr>
          <w:rFonts w:hint="eastAsia"/>
          <w:lang w:eastAsia="zh-CN"/>
        </w:rPr>
        <w:t>定级标准</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5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296</w:t>
      </w:r>
      <w:r w:rsidRPr="006E3B9B">
        <w:rPr>
          <w:lang w:val="en-US" w:eastAsia="zh-CN"/>
        </w:rPr>
        <w:t>号决定</w:t>
      </w:r>
      <w:r w:rsidRPr="006E3B9B">
        <w:rPr>
          <w:lang w:val="en-US" w:eastAsia="zh-CN"/>
        </w:rPr>
        <w:tab/>
      </w:r>
      <w:r w:rsidRPr="006E3B9B">
        <w:rPr>
          <w:rFonts w:hint="eastAsia"/>
          <w:lang w:eastAsia="zh-CN"/>
        </w:rPr>
        <w:t>设立一项保险基金的可能性</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6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297</w:t>
      </w:r>
      <w:r w:rsidRPr="006E3B9B">
        <w:rPr>
          <w:lang w:val="en-US" w:eastAsia="zh-CN"/>
        </w:rPr>
        <w:t>号决定</w:t>
      </w:r>
      <w:r w:rsidRPr="006E3B9B">
        <w:rPr>
          <w:lang w:val="en-US" w:eastAsia="zh-CN"/>
        </w:rPr>
        <w:tab/>
      </w:r>
      <w:r w:rsidRPr="006E3B9B">
        <w:rPr>
          <w:rFonts w:hint="eastAsia"/>
          <w:lang w:eastAsia="zh-CN"/>
        </w:rPr>
        <w:t>备用基金正式成员退休后支付的</w:t>
      </w:r>
      <w:r w:rsidRPr="006E3B9B">
        <w:rPr>
          <w:lang w:eastAsia="zh-CN"/>
        </w:rPr>
        <w:t>15%</w:t>
      </w:r>
      <w:r w:rsidRPr="006E3B9B">
        <w:rPr>
          <w:rFonts w:hint="eastAsia"/>
          <w:lang w:eastAsia="zh-CN"/>
        </w:rPr>
        <w:t>的未亡人保险</w:t>
      </w:r>
      <w:r w:rsidR="00396681">
        <w:rPr>
          <w:lang w:eastAsia="zh-CN"/>
        </w:rPr>
        <w:tab/>
      </w:r>
      <w:r w:rsidRPr="006E3B9B">
        <w:rPr>
          <w:lang w:val="en-US" w:eastAsia="zh-CN"/>
        </w:rPr>
        <w:tab/>
        <w:t>1981</w:t>
      </w:r>
      <w:r w:rsidRPr="006E3B9B">
        <w:rPr>
          <w:rFonts w:hint="eastAsia"/>
          <w:lang w:val="en-US" w:eastAsia="zh-CN"/>
        </w:rPr>
        <w:t>年</w:t>
      </w:r>
    </w:p>
    <w:p w14:paraId="4827C36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298</w:t>
      </w:r>
      <w:r w:rsidRPr="006E3B9B">
        <w:rPr>
          <w:lang w:val="en-US" w:eastAsia="zh-CN"/>
        </w:rPr>
        <w:t>号决定</w:t>
      </w:r>
      <w:r w:rsidRPr="006E3B9B">
        <w:rPr>
          <w:lang w:val="en-US" w:eastAsia="zh-CN"/>
        </w:rPr>
        <w:tab/>
      </w:r>
      <w:r w:rsidRPr="006E3B9B">
        <w:rPr>
          <w:rFonts w:hint="eastAsia"/>
          <w:lang w:eastAsia="zh-CN"/>
        </w:rPr>
        <w:t>国际劳工组织行政法庭的裁决</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6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299</w:t>
      </w:r>
      <w:r w:rsidRPr="006E3B9B">
        <w:rPr>
          <w:lang w:val="en-US" w:eastAsia="zh-CN"/>
        </w:rPr>
        <w:t>号决定</w:t>
      </w:r>
      <w:r w:rsidRPr="006E3B9B">
        <w:rPr>
          <w:lang w:val="en-US" w:eastAsia="zh-CN"/>
        </w:rPr>
        <w:tab/>
      </w:r>
      <w:r w:rsidRPr="006E3B9B">
        <w:rPr>
          <w:rFonts w:hint="eastAsia"/>
          <w:lang w:eastAsia="zh-CN"/>
        </w:rPr>
        <w:t>大规模处理统计数据的跨机构项目</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6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300</w:t>
      </w:r>
      <w:r w:rsidRPr="006E3B9B">
        <w:rPr>
          <w:lang w:val="en-US" w:eastAsia="zh-CN"/>
        </w:rPr>
        <w:t>号决定</w:t>
      </w:r>
      <w:r w:rsidRPr="006E3B9B">
        <w:rPr>
          <w:lang w:val="en-US" w:eastAsia="zh-CN"/>
        </w:rPr>
        <w:tab/>
      </w:r>
      <w:r w:rsidRPr="006E3B9B">
        <w:rPr>
          <w:rFonts w:hint="eastAsia"/>
          <w:lang w:eastAsia="zh-CN"/>
        </w:rPr>
        <w:t>国际电联秘书处的组织</w:t>
      </w:r>
      <w:r w:rsidRPr="006E3B9B">
        <w:rPr>
          <w:lang w:val="en-US" w:eastAsia="zh-CN"/>
        </w:rPr>
        <w:tab/>
      </w:r>
      <w:r w:rsidR="00396681">
        <w:rPr>
          <w:lang w:val="en-US" w:eastAsia="zh-CN"/>
        </w:rPr>
        <w:tab/>
      </w:r>
      <w:r w:rsidRPr="006E3B9B">
        <w:rPr>
          <w:lang w:val="en-US" w:eastAsia="zh-CN"/>
        </w:rPr>
        <w:t>1992</w:t>
      </w:r>
      <w:r w:rsidRPr="006E3B9B">
        <w:rPr>
          <w:rFonts w:hint="eastAsia"/>
          <w:lang w:val="en-US" w:eastAsia="zh-CN"/>
        </w:rPr>
        <w:t>年</w:t>
      </w:r>
    </w:p>
    <w:p w14:paraId="4827C36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301</w:t>
      </w:r>
      <w:r w:rsidRPr="006E3B9B">
        <w:rPr>
          <w:lang w:val="en-US" w:eastAsia="zh-CN"/>
        </w:rPr>
        <w:t>号决定</w:t>
      </w:r>
      <w:r w:rsidRPr="006E3B9B">
        <w:rPr>
          <w:lang w:val="en-US" w:eastAsia="zh-CN"/>
        </w:rPr>
        <w:tab/>
      </w:r>
      <w:r w:rsidRPr="006E3B9B">
        <w:rPr>
          <w:rFonts w:hint="eastAsia"/>
          <w:lang w:val="en-US" w:eastAsia="zh-CN"/>
        </w:rPr>
        <w:t>用</w:t>
      </w:r>
      <w:r w:rsidRPr="006E3B9B">
        <w:rPr>
          <w:rFonts w:hint="eastAsia"/>
          <w:lang w:val="es-ES" w:eastAsia="zh-CN"/>
        </w:rPr>
        <w:t>三种语言进行的研讨会</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6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302</w:t>
      </w:r>
      <w:r w:rsidRPr="006E3B9B">
        <w:rPr>
          <w:lang w:val="en-US" w:eastAsia="zh-CN"/>
        </w:rPr>
        <w:t>号决定</w:t>
      </w:r>
      <w:r w:rsidRPr="006E3B9B">
        <w:rPr>
          <w:lang w:val="en-US" w:eastAsia="zh-CN"/>
        </w:rPr>
        <w:tab/>
      </w:r>
      <w:r w:rsidRPr="006E3B9B">
        <w:rPr>
          <w:rFonts w:hint="eastAsia"/>
          <w:lang w:val="en-US" w:eastAsia="zh-CN"/>
        </w:rPr>
        <w:t>全部重新起草的</w:t>
      </w:r>
      <w:r w:rsidRPr="006E3B9B">
        <w:rPr>
          <w:rFonts w:hint="eastAsia"/>
          <w:lang w:eastAsia="zh-CN"/>
        </w:rPr>
        <w:t>《国际电信公约》的建议案文</w:t>
      </w:r>
      <w:r w:rsidRPr="006E3B9B">
        <w:rPr>
          <w:lang w:val="en-US" w:eastAsia="zh-CN"/>
        </w:rPr>
        <w:tab/>
      </w:r>
      <w:r w:rsidR="00396681">
        <w:rPr>
          <w:lang w:val="en-US" w:eastAsia="zh-CN"/>
        </w:rPr>
        <w:tab/>
      </w:r>
      <w:r w:rsidRPr="006E3B9B">
        <w:rPr>
          <w:lang w:val="en-US" w:eastAsia="zh-CN"/>
        </w:rPr>
        <w:t>1966</w:t>
      </w:r>
      <w:r w:rsidRPr="006E3B9B">
        <w:rPr>
          <w:rFonts w:hint="eastAsia"/>
          <w:lang w:val="en-US" w:eastAsia="zh-CN"/>
        </w:rPr>
        <w:t>年</w:t>
      </w:r>
    </w:p>
    <w:p w14:paraId="4827C36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303</w:t>
      </w:r>
      <w:r w:rsidRPr="006E3B9B">
        <w:rPr>
          <w:lang w:val="en-US" w:eastAsia="zh-CN"/>
        </w:rPr>
        <w:t>号决定</w:t>
      </w:r>
      <w:r w:rsidRPr="006E3B9B">
        <w:rPr>
          <w:lang w:val="en-US" w:eastAsia="zh-CN"/>
        </w:rPr>
        <w:tab/>
      </w:r>
      <w:r w:rsidRPr="006E3B9B">
        <w:rPr>
          <w:rFonts w:hint="eastAsia"/>
          <w:lang w:eastAsia="zh-CN"/>
        </w:rPr>
        <w:t>非洲和马达加斯加邮电联盟</w:t>
      </w:r>
      <w:r w:rsidRPr="006E3B9B">
        <w:rPr>
          <w:lang w:eastAsia="zh-CN"/>
        </w:rPr>
        <w:t>（</w:t>
      </w:r>
      <w:r w:rsidRPr="006E3B9B">
        <w:rPr>
          <w:lang w:eastAsia="zh-CN"/>
        </w:rPr>
        <w:t>UAMPT</w:t>
      </w:r>
      <w:r w:rsidRPr="006E3B9B">
        <w:rPr>
          <w:lang w:eastAsia="zh-CN"/>
        </w:rPr>
        <w:t>）</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6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304</w:t>
      </w:r>
      <w:r w:rsidRPr="006E3B9B">
        <w:rPr>
          <w:lang w:val="en-US" w:eastAsia="zh-CN"/>
        </w:rPr>
        <w:t>号决定</w:t>
      </w:r>
      <w:r w:rsidRPr="006E3B9B">
        <w:rPr>
          <w:lang w:val="en-US" w:eastAsia="zh-CN"/>
        </w:rPr>
        <w:tab/>
      </w:r>
      <w:r w:rsidRPr="006E3B9B">
        <w:rPr>
          <w:rFonts w:hint="eastAsia"/>
          <w:lang w:eastAsia="zh-CN"/>
        </w:rPr>
        <w:t>国际电联成员国代表团参加国际电联的大会或会议</w:t>
      </w:r>
      <w:r w:rsidR="00396681">
        <w:rPr>
          <w:lang w:eastAsia="zh-CN"/>
        </w:rPr>
        <w:tab/>
      </w:r>
      <w:r w:rsidRPr="006E3B9B">
        <w:rPr>
          <w:lang w:val="en-US" w:eastAsia="zh-CN"/>
        </w:rPr>
        <w:tab/>
        <w:t>3.1</w:t>
      </w:r>
    </w:p>
    <w:p w14:paraId="4827C36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305</w:t>
      </w:r>
      <w:r w:rsidRPr="006E3B9B">
        <w:rPr>
          <w:lang w:val="en-US" w:eastAsia="zh-CN"/>
        </w:rPr>
        <w:t>号决定</w:t>
      </w:r>
      <w:r w:rsidRPr="006E3B9B">
        <w:rPr>
          <w:lang w:val="en-US" w:eastAsia="zh-CN"/>
        </w:rPr>
        <w:tab/>
      </w:r>
      <w:r w:rsidRPr="006E3B9B">
        <w:rPr>
          <w:rFonts w:hint="eastAsia"/>
          <w:lang w:eastAsia="zh-CN"/>
        </w:rPr>
        <w:t>专门机构和其他国际组织参加国际电联大会和会议的财务条件</w:t>
      </w:r>
      <w:r w:rsidR="00396681">
        <w:rPr>
          <w:lang w:eastAsia="zh-CN"/>
        </w:rPr>
        <w:tab/>
      </w:r>
      <w:r w:rsidRPr="006E3B9B">
        <w:rPr>
          <w:lang w:val="en-US" w:eastAsia="zh-CN"/>
        </w:rPr>
        <w:tab/>
        <w:t>1964</w:t>
      </w:r>
      <w:r w:rsidRPr="006E3B9B">
        <w:rPr>
          <w:rFonts w:hint="eastAsia"/>
          <w:lang w:val="en-US" w:eastAsia="zh-CN"/>
        </w:rPr>
        <w:t>年</w:t>
      </w:r>
    </w:p>
    <w:p w14:paraId="4827C36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306</w:t>
      </w:r>
      <w:r w:rsidRPr="006E3B9B">
        <w:rPr>
          <w:lang w:val="en-US" w:eastAsia="zh-CN"/>
        </w:rPr>
        <w:t>号决定</w:t>
      </w:r>
      <w:r w:rsidRPr="006E3B9B">
        <w:rPr>
          <w:lang w:val="en-US" w:eastAsia="zh-CN"/>
        </w:rPr>
        <w:tab/>
      </w:r>
      <w:r w:rsidRPr="006E3B9B">
        <w:rPr>
          <w:rFonts w:hint="eastAsia"/>
          <w:lang w:eastAsia="zh-CN"/>
        </w:rPr>
        <w:t>专门机构和其他国际组织参加国际电联大会和会议的财务条件</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6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307</w:t>
      </w:r>
      <w:r w:rsidRPr="006E3B9B">
        <w:rPr>
          <w:lang w:val="en-US" w:eastAsia="zh-CN"/>
        </w:rPr>
        <w:t>号决定</w:t>
      </w:r>
      <w:r w:rsidRPr="006E3B9B">
        <w:rPr>
          <w:lang w:val="en-US" w:eastAsia="zh-CN"/>
        </w:rPr>
        <w:tab/>
      </w:r>
      <w:r w:rsidRPr="006E3B9B">
        <w:rPr>
          <w:rFonts w:hint="eastAsia"/>
          <w:lang w:eastAsia="zh-CN"/>
        </w:rPr>
        <w:t>区域性大会</w:t>
      </w:r>
      <w:r w:rsidRPr="006E3B9B">
        <w:rPr>
          <w:lang w:val="en-US" w:eastAsia="zh-CN"/>
        </w:rPr>
        <w:tab/>
      </w:r>
      <w:r w:rsidR="00396681">
        <w:rPr>
          <w:lang w:val="en-US" w:eastAsia="zh-CN"/>
        </w:rPr>
        <w:tab/>
      </w:r>
      <w:r w:rsidRPr="006E3B9B">
        <w:rPr>
          <w:lang w:val="en-US" w:eastAsia="zh-CN"/>
        </w:rPr>
        <w:t>3.1</w:t>
      </w:r>
    </w:p>
    <w:p w14:paraId="4827C36B" w14:textId="77777777" w:rsidR="006E3B9B" w:rsidRPr="006E3B9B" w:rsidRDefault="006E3B9B" w:rsidP="00396681">
      <w:pPr>
        <w:pStyle w:val="Appendixref"/>
        <w:rPr>
          <w:lang w:val="en-US" w:eastAsia="zh-CN"/>
        </w:rPr>
      </w:pPr>
      <w:r w:rsidRPr="006E3B9B">
        <w:rPr>
          <w:lang w:val="en-US" w:eastAsia="zh-CN"/>
        </w:rPr>
        <w:t>第</w:t>
      </w:r>
      <w:r w:rsidRPr="006E3B9B">
        <w:rPr>
          <w:lang w:val="en-US" w:eastAsia="zh-CN"/>
        </w:rPr>
        <w:t>308</w:t>
      </w:r>
      <w:r w:rsidRPr="006E3B9B">
        <w:rPr>
          <w:lang w:val="en-US" w:eastAsia="zh-CN"/>
        </w:rPr>
        <w:t>号决定</w:t>
      </w:r>
      <w:r w:rsidRPr="006E3B9B">
        <w:rPr>
          <w:lang w:val="en-US" w:eastAsia="zh-CN"/>
        </w:rPr>
        <w:tab/>
      </w:r>
      <w:r w:rsidRPr="006E3B9B">
        <w:rPr>
          <w:rFonts w:hint="eastAsia"/>
          <w:lang w:val="en-US" w:eastAsia="zh-CN"/>
        </w:rPr>
        <w:t>《</w:t>
      </w:r>
      <w:r w:rsidRPr="006E3B9B">
        <w:rPr>
          <w:rFonts w:hint="eastAsia"/>
          <w:lang w:eastAsia="zh-CN"/>
        </w:rPr>
        <w:t>无线电规则》第</w:t>
      </w:r>
      <w:r w:rsidRPr="006E3B9B">
        <w:rPr>
          <w:lang w:eastAsia="zh-CN"/>
        </w:rPr>
        <w:t>457</w:t>
      </w:r>
      <w:r w:rsidRPr="006E3B9B">
        <w:rPr>
          <w:rFonts w:hint="eastAsia"/>
          <w:lang w:eastAsia="zh-CN"/>
        </w:rPr>
        <w:t>款关于修订《无线电规则》附录</w:t>
      </w:r>
      <w:r w:rsidRPr="006E3B9B">
        <w:rPr>
          <w:lang w:eastAsia="zh-CN"/>
        </w:rPr>
        <w:t>25</w:t>
      </w:r>
      <w:r w:rsidRPr="006E3B9B">
        <w:rPr>
          <w:rFonts w:hint="eastAsia"/>
          <w:lang w:eastAsia="zh-CN"/>
        </w:rPr>
        <w:t>的特别无线电行政大会的规定</w:t>
      </w:r>
      <w:r w:rsidR="00396681">
        <w:rPr>
          <w:lang w:eastAsia="zh-CN"/>
        </w:rPr>
        <w:tab/>
      </w:r>
      <w:r w:rsidRPr="006E3B9B">
        <w:rPr>
          <w:lang w:val="en-US" w:eastAsia="zh-CN"/>
        </w:rPr>
        <w:tab/>
        <w:t>1971</w:t>
      </w:r>
      <w:r w:rsidRPr="006E3B9B">
        <w:rPr>
          <w:rFonts w:hint="eastAsia"/>
          <w:lang w:val="en-US" w:eastAsia="zh-CN"/>
        </w:rPr>
        <w:t>年</w:t>
      </w:r>
    </w:p>
    <w:p w14:paraId="4827C36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309</w:t>
      </w:r>
      <w:r w:rsidRPr="006E3B9B">
        <w:rPr>
          <w:lang w:val="en-US" w:eastAsia="zh-CN"/>
        </w:rPr>
        <w:t>号决定</w:t>
      </w:r>
      <w:r w:rsidRPr="006E3B9B">
        <w:rPr>
          <w:lang w:val="en-US" w:eastAsia="zh-CN"/>
        </w:rPr>
        <w:tab/>
      </w:r>
      <w:r w:rsidRPr="006E3B9B">
        <w:rPr>
          <w:lang w:eastAsia="zh-CN"/>
        </w:rPr>
        <w:t>1964</w:t>
      </w:r>
      <w:r w:rsidRPr="006E3B9B">
        <w:rPr>
          <w:rFonts w:hint="eastAsia"/>
          <w:lang w:eastAsia="zh-CN"/>
        </w:rPr>
        <w:t>年莫斯科国际电报电话咨询委员会第三届全体会议的日期和会期</w:t>
      </w:r>
      <w:r w:rsidR="00396681">
        <w:rPr>
          <w:lang w:eastAsia="zh-CN"/>
        </w:rPr>
        <w:tab/>
      </w:r>
      <w:r w:rsidRPr="006E3B9B">
        <w:rPr>
          <w:lang w:val="en-US" w:eastAsia="zh-CN"/>
        </w:rPr>
        <w:tab/>
        <w:t>1964</w:t>
      </w:r>
      <w:r w:rsidRPr="006E3B9B">
        <w:rPr>
          <w:rFonts w:hint="eastAsia"/>
          <w:lang w:val="en-US" w:eastAsia="zh-CN"/>
        </w:rPr>
        <w:t>年</w:t>
      </w:r>
    </w:p>
    <w:p w14:paraId="4827C36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310</w:t>
      </w:r>
      <w:r w:rsidRPr="006E3B9B">
        <w:rPr>
          <w:lang w:val="en-US" w:eastAsia="zh-CN"/>
        </w:rPr>
        <w:t>号决定</w:t>
      </w:r>
      <w:r w:rsidRPr="006E3B9B">
        <w:rPr>
          <w:lang w:val="en-US" w:eastAsia="zh-CN"/>
        </w:rPr>
        <w:tab/>
      </w:r>
      <w:r w:rsidRPr="006E3B9B">
        <w:rPr>
          <w:rFonts w:hint="eastAsia"/>
          <w:lang w:eastAsia="zh-CN"/>
        </w:rPr>
        <w:t>世界规划委员会</w:t>
      </w:r>
      <w:r w:rsidRPr="006E3B9B">
        <w:rPr>
          <w:lang w:val="en-US" w:eastAsia="zh-CN"/>
        </w:rPr>
        <w:tab/>
      </w:r>
      <w:r w:rsidR="00396681">
        <w:rPr>
          <w:lang w:val="en-US" w:eastAsia="zh-CN"/>
        </w:rPr>
        <w:tab/>
      </w:r>
      <w:r w:rsidRPr="006E3B9B">
        <w:rPr>
          <w:lang w:val="en-US" w:eastAsia="zh-CN"/>
        </w:rPr>
        <w:t>1993</w:t>
      </w:r>
      <w:r w:rsidRPr="006E3B9B">
        <w:rPr>
          <w:rFonts w:hint="eastAsia"/>
          <w:lang w:val="en-US" w:eastAsia="zh-CN"/>
        </w:rPr>
        <w:t>年</w:t>
      </w:r>
    </w:p>
    <w:p w14:paraId="4827C36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311</w:t>
      </w:r>
      <w:r w:rsidRPr="006E3B9B">
        <w:rPr>
          <w:lang w:val="en-US" w:eastAsia="zh-CN"/>
        </w:rPr>
        <w:t>号决定</w:t>
      </w:r>
      <w:r w:rsidRPr="006E3B9B">
        <w:rPr>
          <w:lang w:val="en-US" w:eastAsia="zh-CN"/>
        </w:rPr>
        <w:tab/>
      </w:r>
      <w:r w:rsidRPr="006E3B9B">
        <w:rPr>
          <w:rFonts w:hint="eastAsia"/>
          <w:lang w:eastAsia="zh-CN"/>
        </w:rPr>
        <w:t>对《决议和决定汇编》的审议</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6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312</w:t>
      </w:r>
      <w:r w:rsidRPr="006E3B9B">
        <w:rPr>
          <w:lang w:val="en-US" w:eastAsia="zh-CN"/>
        </w:rPr>
        <w:t>号决定</w:t>
      </w:r>
      <w:r w:rsidRPr="006E3B9B">
        <w:rPr>
          <w:lang w:val="en-US" w:eastAsia="zh-CN"/>
        </w:rPr>
        <w:tab/>
      </w:r>
      <w:r w:rsidRPr="006E3B9B">
        <w:rPr>
          <w:rFonts w:hint="eastAsia"/>
          <w:lang w:eastAsia="zh-CN"/>
        </w:rPr>
        <w:t>理事会第</w:t>
      </w:r>
      <w:r w:rsidRPr="006E3B9B">
        <w:rPr>
          <w:lang w:eastAsia="zh-CN"/>
        </w:rPr>
        <w:t>19</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70"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19</w:t>
      </w:r>
      <w:r w:rsidRPr="006E3B9B">
        <w:rPr>
          <w:rFonts w:hint="eastAsia"/>
          <w:lang w:eastAsia="zh-CN"/>
        </w:rPr>
        <w:t>届会议（</w:t>
      </w:r>
      <w:r w:rsidRPr="006E3B9B">
        <w:rPr>
          <w:lang w:eastAsia="zh-CN"/>
        </w:rPr>
        <w:t>1964</w:t>
      </w:r>
      <w:r w:rsidRPr="006E3B9B">
        <w:rPr>
          <w:rFonts w:hint="eastAsia"/>
          <w:lang w:eastAsia="zh-CN"/>
        </w:rPr>
        <w:t>年</w:t>
      </w:r>
      <w:r w:rsidRPr="006E3B9B">
        <w:rPr>
          <w:lang w:eastAsia="zh-CN"/>
        </w:rPr>
        <w:t>4</w:t>
      </w:r>
      <w:r w:rsidRPr="006E3B9B">
        <w:rPr>
          <w:rFonts w:hint="eastAsia"/>
          <w:lang w:eastAsia="zh-CN"/>
        </w:rPr>
        <w:t>月</w:t>
      </w:r>
      <w:r w:rsidRPr="006E3B9B">
        <w:rPr>
          <w:rFonts w:hint="eastAsia"/>
          <w:lang w:eastAsia="zh-CN"/>
        </w:rPr>
        <w:t>-</w:t>
      </w:r>
      <w:r w:rsidRPr="006E3B9B">
        <w:rPr>
          <w:lang w:eastAsia="zh-CN"/>
        </w:rPr>
        <w:t>5</w:t>
      </w:r>
      <w:r w:rsidRPr="006E3B9B">
        <w:rPr>
          <w:rFonts w:hint="eastAsia"/>
          <w:lang w:eastAsia="zh-CN"/>
        </w:rPr>
        <w:t>月）</w:t>
      </w:r>
    </w:p>
    <w:p w14:paraId="4827C37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313</w:t>
      </w:r>
      <w:r w:rsidRPr="006E3B9B">
        <w:rPr>
          <w:lang w:val="en-US" w:eastAsia="zh-CN"/>
        </w:rPr>
        <w:t>号决定</w:t>
      </w:r>
      <w:r w:rsidRPr="006E3B9B">
        <w:rPr>
          <w:lang w:val="en-US" w:eastAsia="zh-CN"/>
        </w:rPr>
        <w:tab/>
      </w:r>
      <w:r w:rsidRPr="006E3B9B">
        <w:rPr>
          <w:rFonts w:hint="eastAsia"/>
          <w:lang w:eastAsia="zh-CN"/>
        </w:rPr>
        <w:t>工作人员薪金税计划</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7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314</w:t>
      </w:r>
      <w:r w:rsidRPr="006E3B9B">
        <w:rPr>
          <w:lang w:val="en-US" w:eastAsia="zh-CN"/>
        </w:rPr>
        <w:t>号决定</w:t>
      </w:r>
      <w:r w:rsidRPr="006E3B9B">
        <w:rPr>
          <w:lang w:val="en-US" w:eastAsia="zh-CN"/>
        </w:rPr>
        <w:tab/>
      </w:r>
      <w:r w:rsidRPr="006E3B9B">
        <w:rPr>
          <w:rFonts w:hint="eastAsia"/>
          <w:lang w:eastAsia="zh-CN"/>
        </w:rPr>
        <w:t>养恤金和未亡人津贴的调整</w:t>
      </w:r>
      <w:r w:rsidRPr="006E3B9B">
        <w:rPr>
          <w:lang w:val="en-US" w:eastAsia="zh-CN"/>
        </w:rPr>
        <w:tab/>
      </w:r>
      <w:r w:rsidR="00396681">
        <w:rPr>
          <w:lang w:val="en-US" w:eastAsia="zh-CN"/>
        </w:rPr>
        <w:tab/>
      </w:r>
      <w:r w:rsidRPr="006E3B9B">
        <w:rPr>
          <w:lang w:val="en-US" w:eastAsia="zh-CN"/>
        </w:rPr>
        <w:t>1966</w:t>
      </w:r>
      <w:r w:rsidRPr="006E3B9B">
        <w:rPr>
          <w:rFonts w:hint="eastAsia"/>
          <w:lang w:val="en-US" w:eastAsia="zh-CN"/>
        </w:rPr>
        <w:t>年</w:t>
      </w:r>
    </w:p>
    <w:p w14:paraId="4827C37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315</w:t>
      </w:r>
      <w:r w:rsidRPr="006E3B9B">
        <w:rPr>
          <w:lang w:val="en-US" w:eastAsia="zh-CN"/>
        </w:rPr>
        <w:t>号决定</w:t>
      </w:r>
      <w:r w:rsidRPr="006E3B9B">
        <w:rPr>
          <w:lang w:val="en-US" w:eastAsia="zh-CN"/>
        </w:rPr>
        <w:tab/>
      </w:r>
      <w:r w:rsidRPr="006E3B9B">
        <w:rPr>
          <w:rFonts w:hint="eastAsia"/>
          <w:lang w:eastAsia="zh-CN"/>
        </w:rPr>
        <w:t>国际无线电咨询委员会临时主任的任命</w:t>
      </w:r>
      <w:r w:rsidRPr="006E3B9B">
        <w:rPr>
          <w:lang w:val="en-US" w:eastAsia="zh-CN"/>
        </w:rPr>
        <w:tab/>
      </w:r>
      <w:r w:rsidR="00396681">
        <w:rPr>
          <w:lang w:val="en-US" w:eastAsia="zh-CN"/>
        </w:rPr>
        <w:tab/>
      </w:r>
      <w:r w:rsidRPr="006E3B9B">
        <w:rPr>
          <w:lang w:val="en-US" w:eastAsia="zh-CN"/>
        </w:rPr>
        <w:t>1967</w:t>
      </w:r>
      <w:r w:rsidRPr="006E3B9B">
        <w:rPr>
          <w:rFonts w:hint="eastAsia"/>
          <w:lang w:val="en-US" w:eastAsia="zh-CN"/>
        </w:rPr>
        <w:t>年</w:t>
      </w:r>
    </w:p>
    <w:p w14:paraId="4827C37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316</w:t>
      </w:r>
      <w:r w:rsidRPr="006E3B9B">
        <w:rPr>
          <w:lang w:val="en-US" w:eastAsia="zh-CN"/>
        </w:rPr>
        <w:t>号决定</w:t>
      </w:r>
      <w:r w:rsidRPr="006E3B9B">
        <w:rPr>
          <w:lang w:val="en-US" w:eastAsia="zh-CN"/>
        </w:rPr>
        <w:tab/>
      </w:r>
      <w:r w:rsidRPr="006E3B9B">
        <w:rPr>
          <w:lang w:eastAsia="zh-CN"/>
        </w:rPr>
        <w:t>CCIR</w:t>
      </w:r>
      <w:r w:rsidRPr="006E3B9B">
        <w:rPr>
          <w:rFonts w:hint="eastAsia"/>
          <w:lang w:eastAsia="zh-CN"/>
        </w:rPr>
        <w:t>临时主任</w:t>
      </w:r>
      <w:r w:rsidRPr="006E3B9B">
        <w:rPr>
          <w:lang w:eastAsia="zh-CN"/>
        </w:rPr>
        <w:t xml:space="preserve"> L.W. Hayes</w:t>
      </w:r>
      <w:r w:rsidRPr="006E3B9B">
        <w:rPr>
          <w:rFonts w:hint="eastAsia"/>
          <w:lang w:eastAsia="zh-CN"/>
        </w:rPr>
        <w:t>先生的薪酬</w:t>
      </w:r>
      <w:r w:rsidRPr="006E3B9B">
        <w:rPr>
          <w:lang w:val="en-US" w:eastAsia="zh-CN"/>
        </w:rPr>
        <w:tab/>
      </w:r>
      <w:r w:rsidR="00396681">
        <w:rPr>
          <w:lang w:val="en-US" w:eastAsia="zh-CN"/>
        </w:rPr>
        <w:tab/>
      </w:r>
      <w:r w:rsidRPr="006E3B9B">
        <w:rPr>
          <w:lang w:val="en-US" w:eastAsia="zh-CN"/>
        </w:rPr>
        <w:t>1967</w:t>
      </w:r>
      <w:r w:rsidRPr="006E3B9B">
        <w:rPr>
          <w:rFonts w:hint="eastAsia"/>
          <w:lang w:val="en-US" w:eastAsia="zh-CN"/>
        </w:rPr>
        <w:t>年</w:t>
      </w:r>
    </w:p>
    <w:p w14:paraId="4827C37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317</w:t>
      </w:r>
      <w:r w:rsidRPr="006E3B9B">
        <w:rPr>
          <w:lang w:val="en-US" w:eastAsia="zh-CN"/>
        </w:rPr>
        <w:t>号决定</w:t>
      </w:r>
      <w:r w:rsidRPr="006E3B9B">
        <w:rPr>
          <w:lang w:val="en-US" w:eastAsia="zh-CN"/>
        </w:rPr>
        <w:tab/>
      </w:r>
      <w:r w:rsidRPr="006E3B9B">
        <w:rPr>
          <w:rFonts w:hint="eastAsia"/>
          <w:lang w:eastAsia="zh-CN"/>
        </w:rPr>
        <w:t>国际组织对大会费用的摊付</w:t>
      </w:r>
      <w:r w:rsidRPr="006E3B9B">
        <w:rPr>
          <w:lang w:val="en-US" w:eastAsia="zh-CN"/>
        </w:rPr>
        <w:tab/>
      </w:r>
      <w:r w:rsidR="00396681">
        <w:rPr>
          <w:lang w:val="en-US" w:eastAsia="zh-CN"/>
        </w:rPr>
        <w:tab/>
      </w:r>
      <w:r w:rsidRPr="006E3B9B">
        <w:rPr>
          <w:lang w:val="en-US" w:eastAsia="zh-CN"/>
        </w:rPr>
        <w:t>1967</w:t>
      </w:r>
      <w:r w:rsidRPr="006E3B9B">
        <w:rPr>
          <w:rFonts w:hint="eastAsia"/>
          <w:lang w:val="en-US" w:eastAsia="zh-CN"/>
        </w:rPr>
        <w:t>年</w:t>
      </w:r>
    </w:p>
    <w:p w14:paraId="4827C37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318</w:t>
      </w:r>
      <w:r w:rsidRPr="006E3B9B">
        <w:rPr>
          <w:lang w:val="en-US" w:eastAsia="zh-CN"/>
        </w:rPr>
        <w:t>号决定</w:t>
      </w:r>
      <w:r w:rsidRPr="006E3B9B">
        <w:rPr>
          <w:lang w:val="en-US" w:eastAsia="zh-CN"/>
        </w:rPr>
        <w:tab/>
      </w:r>
      <w:r w:rsidRPr="006E3B9B">
        <w:rPr>
          <w:rFonts w:hint="eastAsia"/>
          <w:lang w:eastAsia="zh-CN"/>
        </w:rPr>
        <w:t>租借给国际红十字会同声传译设备</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7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319</w:t>
      </w:r>
      <w:r w:rsidRPr="006E3B9B">
        <w:rPr>
          <w:lang w:val="en-US" w:eastAsia="zh-CN"/>
        </w:rPr>
        <w:t>号决定</w:t>
      </w:r>
      <w:r w:rsidRPr="006E3B9B">
        <w:rPr>
          <w:lang w:val="en-US" w:eastAsia="zh-CN"/>
        </w:rPr>
        <w:tab/>
      </w:r>
      <w:r w:rsidRPr="006E3B9B">
        <w:rPr>
          <w:rFonts w:hint="eastAsia"/>
          <w:lang w:eastAsia="zh-CN"/>
        </w:rPr>
        <w:t>在业务文件中插入有偿广告</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78" w14:textId="77777777" w:rsidR="0058405E" w:rsidRDefault="0058405E">
      <w:pPr>
        <w:tabs>
          <w:tab w:val="clear" w:pos="794"/>
          <w:tab w:val="clear" w:pos="1191"/>
          <w:tab w:val="clear" w:pos="1588"/>
          <w:tab w:val="clear" w:pos="1985"/>
        </w:tabs>
        <w:overflowPunct/>
        <w:autoSpaceDE/>
        <w:autoSpaceDN/>
        <w:adjustRightInd/>
        <w:spacing w:before="0"/>
        <w:jc w:val="left"/>
        <w:textAlignment w:val="auto"/>
        <w:rPr>
          <w:sz w:val="20"/>
          <w:lang w:val="en-US" w:eastAsia="zh-CN"/>
        </w:rPr>
      </w:pPr>
      <w:r>
        <w:rPr>
          <w:lang w:val="en-US" w:eastAsia="zh-CN"/>
        </w:rPr>
        <w:br w:type="page"/>
      </w:r>
    </w:p>
    <w:p w14:paraId="4827C379" w14:textId="77777777" w:rsidR="006E3B9B" w:rsidRPr="006E3B9B" w:rsidRDefault="006E3B9B" w:rsidP="00057467">
      <w:pPr>
        <w:pStyle w:val="Appendixref"/>
        <w:rPr>
          <w:lang w:val="en-US" w:eastAsia="zh-CN"/>
        </w:rPr>
      </w:pPr>
      <w:r w:rsidRPr="006E3B9B">
        <w:rPr>
          <w:lang w:val="en-US" w:eastAsia="zh-CN"/>
        </w:rPr>
        <w:lastRenderedPageBreak/>
        <w:t>第</w:t>
      </w:r>
      <w:r w:rsidRPr="006E3B9B">
        <w:rPr>
          <w:lang w:val="en-US" w:eastAsia="zh-CN"/>
        </w:rPr>
        <w:t>320</w:t>
      </w:r>
      <w:r w:rsidRPr="006E3B9B">
        <w:rPr>
          <w:lang w:val="en-US" w:eastAsia="zh-CN"/>
        </w:rPr>
        <w:t>号决定</w:t>
      </w:r>
      <w:r w:rsidRPr="006E3B9B">
        <w:rPr>
          <w:lang w:val="en-US" w:eastAsia="zh-CN"/>
        </w:rPr>
        <w:tab/>
      </w:r>
      <w:r w:rsidRPr="006E3B9B">
        <w:rPr>
          <w:lang w:eastAsia="zh-CN"/>
        </w:rPr>
        <w:t>1965</w:t>
      </w:r>
      <w:r w:rsidRPr="006E3B9B">
        <w:rPr>
          <w:rFonts w:hint="eastAsia"/>
          <w:lang w:eastAsia="zh-CN"/>
        </w:rPr>
        <w:t>年全权代表大会的日期和地点</w:t>
      </w:r>
      <w:r w:rsidRPr="006E3B9B">
        <w:rPr>
          <w:lang w:val="en-US" w:eastAsia="zh-CN"/>
        </w:rPr>
        <w:tab/>
      </w:r>
      <w:r w:rsidR="00396681">
        <w:rPr>
          <w:lang w:val="en-US" w:eastAsia="zh-CN"/>
        </w:rPr>
        <w:tab/>
      </w:r>
      <w:r w:rsidRPr="006E3B9B">
        <w:rPr>
          <w:lang w:val="en-US" w:eastAsia="zh-CN"/>
        </w:rPr>
        <w:t>1966</w:t>
      </w:r>
      <w:r w:rsidRPr="006E3B9B">
        <w:rPr>
          <w:rFonts w:hint="eastAsia"/>
          <w:lang w:val="en-US" w:eastAsia="zh-CN"/>
        </w:rPr>
        <w:t>年</w:t>
      </w:r>
    </w:p>
    <w:p w14:paraId="4827C37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321</w:t>
      </w:r>
      <w:r w:rsidRPr="006E3B9B">
        <w:rPr>
          <w:lang w:val="en-US" w:eastAsia="zh-CN"/>
        </w:rPr>
        <w:t>号决定</w:t>
      </w:r>
      <w:r w:rsidRPr="006E3B9B">
        <w:rPr>
          <w:lang w:val="en-US" w:eastAsia="zh-CN"/>
        </w:rPr>
        <w:tab/>
      </w:r>
      <w:r w:rsidRPr="006E3B9B">
        <w:rPr>
          <w:rFonts w:hint="eastAsia"/>
          <w:lang w:eastAsia="zh-CN"/>
        </w:rPr>
        <w:t>关于</w:t>
      </w:r>
      <w:r w:rsidRPr="006E3B9B">
        <w:rPr>
          <w:lang w:eastAsia="zh-CN"/>
        </w:rPr>
        <w:t>1965</w:t>
      </w:r>
      <w:r w:rsidRPr="006E3B9B">
        <w:rPr>
          <w:rFonts w:hint="eastAsia"/>
          <w:lang w:eastAsia="zh-CN"/>
        </w:rPr>
        <w:t>年全权代表大会工作的提案</w:t>
      </w:r>
      <w:r w:rsidRPr="006E3B9B">
        <w:rPr>
          <w:lang w:val="en-US" w:eastAsia="zh-CN"/>
        </w:rPr>
        <w:tab/>
      </w:r>
      <w:r w:rsidR="00396681">
        <w:rPr>
          <w:lang w:val="en-US" w:eastAsia="zh-CN"/>
        </w:rPr>
        <w:tab/>
      </w:r>
      <w:r w:rsidRPr="006E3B9B">
        <w:rPr>
          <w:lang w:val="en-US" w:eastAsia="zh-CN"/>
        </w:rPr>
        <w:t>1966</w:t>
      </w:r>
      <w:r w:rsidRPr="006E3B9B">
        <w:rPr>
          <w:rFonts w:hint="eastAsia"/>
          <w:lang w:val="en-US" w:eastAsia="zh-CN"/>
        </w:rPr>
        <w:t>年</w:t>
      </w:r>
    </w:p>
    <w:p w14:paraId="4827C37B"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322</w:t>
      </w:r>
      <w:r w:rsidRPr="006E3B9B">
        <w:rPr>
          <w:lang w:val="en-US" w:eastAsia="zh-CN"/>
        </w:rPr>
        <w:t>号决定</w:t>
      </w:r>
      <w:r w:rsidRPr="006E3B9B">
        <w:rPr>
          <w:lang w:val="en-US" w:eastAsia="zh-CN"/>
        </w:rPr>
        <w:tab/>
      </w:r>
      <w:r w:rsidRPr="006E3B9B">
        <w:rPr>
          <w:rFonts w:hint="eastAsia"/>
          <w:lang w:eastAsia="zh-CN"/>
        </w:rPr>
        <w:t>下届例行的无线电行政大会的日期</w:t>
      </w:r>
      <w:r w:rsidRPr="006E3B9B">
        <w:rPr>
          <w:lang w:val="en-US" w:eastAsia="zh-CN"/>
        </w:rPr>
        <w:tab/>
      </w:r>
      <w:r w:rsidR="00396681">
        <w:rPr>
          <w:lang w:val="en-US" w:eastAsia="zh-CN"/>
        </w:rPr>
        <w:tab/>
      </w:r>
      <w:r w:rsidRPr="006E3B9B">
        <w:rPr>
          <w:lang w:val="en-US" w:eastAsia="zh-CN"/>
        </w:rPr>
        <w:t>1966</w:t>
      </w:r>
      <w:r w:rsidRPr="006E3B9B">
        <w:rPr>
          <w:rFonts w:hint="eastAsia"/>
          <w:lang w:val="en-US" w:eastAsia="zh-CN"/>
        </w:rPr>
        <w:t>年</w:t>
      </w:r>
    </w:p>
    <w:p w14:paraId="4827C37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323</w:t>
      </w:r>
      <w:r w:rsidRPr="006E3B9B">
        <w:rPr>
          <w:lang w:val="en-US" w:eastAsia="zh-CN"/>
        </w:rPr>
        <w:t>号决定</w:t>
      </w:r>
      <w:r w:rsidRPr="006E3B9B">
        <w:rPr>
          <w:lang w:val="en-US" w:eastAsia="zh-CN"/>
        </w:rPr>
        <w:tab/>
      </w:r>
      <w:r w:rsidRPr="006E3B9B">
        <w:rPr>
          <w:rFonts w:hint="eastAsia"/>
          <w:lang w:eastAsia="zh-CN"/>
        </w:rPr>
        <w:t>理事会第</w:t>
      </w:r>
      <w:r w:rsidRPr="006E3B9B">
        <w:rPr>
          <w:lang w:eastAsia="zh-CN"/>
        </w:rPr>
        <w:t>20</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7D"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20</w:t>
      </w:r>
      <w:r w:rsidRPr="006E3B9B">
        <w:rPr>
          <w:rFonts w:hint="eastAsia"/>
          <w:lang w:eastAsia="zh-CN"/>
        </w:rPr>
        <w:t>届会议（</w:t>
      </w:r>
      <w:r w:rsidRPr="006E3B9B">
        <w:rPr>
          <w:lang w:eastAsia="zh-CN"/>
        </w:rPr>
        <w:t>1965</w:t>
      </w:r>
      <w:r w:rsidRPr="006E3B9B">
        <w:rPr>
          <w:rFonts w:hint="eastAsia"/>
          <w:lang w:eastAsia="zh-CN"/>
        </w:rPr>
        <w:t>年</w:t>
      </w:r>
      <w:r w:rsidRPr="006E3B9B">
        <w:rPr>
          <w:lang w:eastAsia="zh-CN"/>
        </w:rPr>
        <w:t>4</w:t>
      </w:r>
      <w:r w:rsidRPr="006E3B9B">
        <w:rPr>
          <w:rFonts w:hint="eastAsia"/>
          <w:lang w:eastAsia="zh-CN"/>
        </w:rPr>
        <w:t>月</w:t>
      </w:r>
      <w:r w:rsidRPr="006E3B9B">
        <w:rPr>
          <w:rFonts w:hint="eastAsia"/>
          <w:lang w:eastAsia="zh-CN"/>
        </w:rPr>
        <w:t>-</w:t>
      </w:r>
      <w:r w:rsidRPr="006E3B9B">
        <w:rPr>
          <w:lang w:eastAsia="zh-CN"/>
        </w:rPr>
        <w:t>5</w:t>
      </w:r>
      <w:r w:rsidRPr="006E3B9B">
        <w:rPr>
          <w:rFonts w:hint="eastAsia"/>
          <w:lang w:eastAsia="zh-CN"/>
        </w:rPr>
        <w:t>月）</w:t>
      </w:r>
    </w:p>
    <w:p w14:paraId="4827C37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324</w:t>
      </w:r>
      <w:r w:rsidRPr="006E3B9B">
        <w:rPr>
          <w:lang w:val="en-US" w:eastAsia="zh-CN"/>
        </w:rPr>
        <w:t>号决定</w:t>
      </w:r>
      <w:r w:rsidRPr="006E3B9B">
        <w:rPr>
          <w:lang w:val="en-US" w:eastAsia="zh-CN"/>
        </w:rPr>
        <w:tab/>
      </w:r>
      <w:r w:rsidRPr="006E3B9B">
        <w:rPr>
          <w:rFonts w:hint="eastAsia"/>
          <w:lang w:eastAsia="zh-CN"/>
        </w:rPr>
        <w:t>将餐饮服务年收入的利润用于职工福利</w:t>
      </w:r>
      <w:r w:rsidRPr="006E3B9B">
        <w:rPr>
          <w:lang w:val="en-US" w:eastAsia="zh-CN"/>
        </w:rPr>
        <w:tab/>
      </w:r>
      <w:r w:rsidR="00396681">
        <w:rPr>
          <w:lang w:val="en-US" w:eastAsia="zh-CN"/>
        </w:rPr>
        <w:tab/>
      </w:r>
      <w:r w:rsidRPr="006E3B9B">
        <w:rPr>
          <w:lang w:val="en-US" w:eastAsia="zh-CN"/>
        </w:rPr>
        <w:t>1981</w:t>
      </w:r>
      <w:r w:rsidRPr="006E3B9B">
        <w:rPr>
          <w:rFonts w:hint="eastAsia"/>
          <w:lang w:val="en-US" w:eastAsia="zh-CN"/>
        </w:rPr>
        <w:t>年</w:t>
      </w:r>
    </w:p>
    <w:p w14:paraId="4827C37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325</w:t>
      </w:r>
      <w:r w:rsidRPr="006E3B9B">
        <w:rPr>
          <w:lang w:val="en-US" w:eastAsia="zh-CN"/>
        </w:rPr>
        <w:t>号决定</w:t>
      </w:r>
      <w:r w:rsidRPr="006E3B9B">
        <w:rPr>
          <w:lang w:val="en-US" w:eastAsia="zh-CN"/>
        </w:rPr>
        <w:tab/>
      </w:r>
      <w:r w:rsidRPr="006E3B9B">
        <w:rPr>
          <w:rFonts w:hint="eastAsia"/>
          <w:lang w:eastAsia="zh-CN"/>
        </w:rPr>
        <w:t>人员支出的限制</w:t>
      </w:r>
      <w:r w:rsidRPr="006E3B9B">
        <w:rPr>
          <w:lang w:val="en-US" w:eastAsia="zh-CN"/>
        </w:rPr>
        <w:tab/>
      </w:r>
      <w:r w:rsidR="00396681">
        <w:rPr>
          <w:lang w:val="en-US" w:eastAsia="zh-CN"/>
        </w:rPr>
        <w:tab/>
      </w:r>
      <w:r w:rsidRPr="006E3B9B">
        <w:rPr>
          <w:lang w:val="en-US" w:eastAsia="zh-CN"/>
        </w:rPr>
        <w:t>1966</w:t>
      </w:r>
      <w:r w:rsidRPr="006E3B9B">
        <w:rPr>
          <w:rFonts w:hint="eastAsia"/>
          <w:lang w:val="en-US" w:eastAsia="zh-CN"/>
        </w:rPr>
        <w:t>年</w:t>
      </w:r>
    </w:p>
    <w:p w14:paraId="4827C38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326</w:t>
      </w:r>
      <w:r w:rsidRPr="006E3B9B">
        <w:rPr>
          <w:lang w:val="en-US" w:eastAsia="zh-CN"/>
        </w:rPr>
        <w:t>号决定</w:t>
      </w:r>
      <w:r w:rsidRPr="006E3B9B">
        <w:rPr>
          <w:lang w:val="en-US" w:eastAsia="zh-CN"/>
        </w:rPr>
        <w:tab/>
      </w:r>
      <w:r w:rsidRPr="006E3B9B">
        <w:rPr>
          <w:rFonts w:hint="eastAsia"/>
          <w:lang w:eastAsia="zh-CN"/>
        </w:rPr>
        <w:t>定期合同</w:t>
      </w:r>
      <w:r w:rsidRPr="006E3B9B">
        <w:rPr>
          <w:lang w:val="en-US" w:eastAsia="zh-CN"/>
        </w:rPr>
        <w:tab/>
      </w:r>
      <w:r w:rsidR="00396681">
        <w:rPr>
          <w:lang w:val="en-US" w:eastAsia="zh-CN"/>
        </w:rPr>
        <w:tab/>
      </w:r>
      <w:r w:rsidRPr="006E3B9B">
        <w:rPr>
          <w:lang w:val="en-US" w:eastAsia="zh-CN"/>
        </w:rPr>
        <w:t>1967</w:t>
      </w:r>
      <w:r w:rsidRPr="006E3B9B">
        <w:rPr>
          <w:rFonts w:hint="eastAsia"/>
          <w:lang w:val="en-US" w:eastAsia="zh-CN"/>
        </w:rPr>
        <w:t>年</w:t>
      </w:r>
    </w:p>
    <w:p w14:paraId="4827C38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327</w:t>
      </w:r>
      <w:r w:rsidRPr="006E3B9B">
        <w:rPr>
          <w:lang w:val="en-US" w:eastAsia="zh-CN"/>
        </w:rPr>
        <w:t>号决定</w:t>
      </w:r>
      <w:r w:rsidRPr="006E3B9B">
        <w:rPr>
          <w:lang w:val="en-US" w:eastAsia="zh-CN"/>
        </w:rPr>
        <w:tab/>
      </w:r>
      <w:r w:rsidRPr="006E3B9B">
        <w:rPr>
          <w:rFonts w:hint="eastAsia"/>
          <w:lang w:eastAsia="zh-CN"/>
        </w:rPr>
        <w:t>法律费用的支付</w:t>
      </w:r>
      <w:r w:rsidRPr="006E3B9B">
        <w:rPr>
          <w:lang w:val="en-US" w:eastAsia="zh-CN"/>
        </w:rPr>
        <w:tab/>
      </w:r>
      <w:r w:rsidR="00396681">
        <w:rPr>
          <w:lang w:val="en-US" w:eastAsia="zh-CN"/>
        </w:rPr>
        <w:tab/>
      </w:r>
      <w:r w:rsidRPr="006E3B9B">
        <w:rPr>
          <w:lang w:val="en-US" w:eastAsia="zh-CN"/>
        </w:rPr>
        <w:t>1966</w:t>
      </w:r>
      <w:r w:rsidRPr="006E3B9B">
        <w:rPr>
          <w:rFonts w:hint="eastAsia"/>
          <w:lang w:val="en-US" w:eastAsia="zh-CN"/>
        </w:rPr>
        <w:t>年</w:t>
      </w:r>
    </w:p>
    <w:p w14:paraId="4827C38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328</w:t>
      </w:r>
      <w:r w:rsidRPr="006E3B9B">
        <w:rPr>
          <w:lang w:val="en-US" w:eastAsia="zh-CN"/>
        </w:rPr>
        <w:t>号决定</w:t>
      </w:r>
      <w:r w:rsidRPr="006E3B9B">
        <w:rPr>
          <w:lang w:val="en-US" w:eastAsia="zh-CN"/>
        </w:rPr>
        <w:tab/>
      </w:r>
      <w:r w:rsidRPr="006E3B9B">
        <w:rPr>
          <w:rFonts w:hint="eastAsia"/>
          <w:lang w:eastAsia="zh-CN"/>
        </w:rPr>
        <w:t>备用基金成员退休后支付的</w:t>
      </w:r>
      <w:r w:rsidRPr="006E3B9B">
        <w:rPr>
          <w:lang w:eastAsia="zh-CN"/>
        </w:rPr>
        <w:t>15%</w:t>
      </w:r>
      <w:r w:rsidRPr="006E3B9B">
        <w:rPr>
          <w:rFonts w:hint="eastAsia"/>
          <w:lang w:eastAsia="zh-CN"/>
        </w:rPr>
        <w:t>的未亡人保险</w:t>
      </w:r>
      <w:r w:rsidRPr="006E3B9B">
        <w:rPr>
          <w:lang w:val="en-US" w:eastAsia="zh-CN"/>
        </w:rPr>
        <w:tab/>
      </w:r>
      <w:r w:rsidR="00396681">
        <w:rPr>
          <w:lang w:val="en-US" w:eastAsia="zh-CN"/>
        </w:rPr>
        <w:tab/>
      </w:r>
      <w:r w:rsidRPr="006E3B9B">
        <w:rPr>
          <w:lang w:val="en-US" w:eastAsia="zh-CN"/>
        </w:rPr>
        <w:t>1981</w:t>
      </w:r>
      <w:r w:rsidRPr="006E3B9B">
        <w:rPr>
          <w:rFonts w:hint="eastAsia"/>
          <w:lang w:val="en-US" w:eastAsia="zh-CN"/>
        </w:rPr>
        <w:t>年</w:t>
      </w:r>
    </w:p>
    <w:p w14:paraId="4827C38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329</w:t>
      </w:r>
      <w:r w:rsidRPr="006E3B9B">
        <w:rPr>
          <w:lang w:val="en-US" w:eastAsia="zh-CN"/>
        </w:rPr>
        <w:t>号决定</w:t>
      </w:r>
      <w:r w:rsidRPr="006E3B9B">
        <w:rPr>
          <w:lang w:val="en-US" w:eastAsia="zh-CN"/>
        </w:rPr>
        <w:tab/>
      </w:r>
      <w:r w:rsidRPr="006E3B9B">
        <w:rPr>
          <w:lang w:eastAsia="zh-CN"/>
        </w:rPr>
        <w:t>1948</w:t>
      </w:r>
      <w:r w:rsidRPr="006E3B9B">
        <w:rPr>
          <w:rFonts w:hint="eastAsia"/>
          <w:lang w:eastAsia="zh-CN"/>
        </w:rPr>
        <w:t>年哥本哈根《欧洲广播公约》的审议</w:t>
      </w:r>
      <w:r w:rsidRPr="006E3B9B">
        <w:rPr>
          <w:lang w:val="en-US" w:eastAsia="zh-CN"/>
        </w:rPr>
        <w:tab/>
      </w:r>
      <w:r w:rsidR="00396681">
        <w:rPr>
          <w:lang w:val="en-US" w:eastAsia="zh-CN"/>
        </w:rPr>
        <w:tab/>
      </w:r>
      <w:r w:rsidRPr="006E3B9B">
        <w:rPr>
          <w:lang w:val="en-US" w:eastAsia="zh-CN"/>
        </w:rPr>
        <w:t>1966</w:t>
      </w:r>
      <w:r w:rsidRPr="006E3B9B">
        <w:rPr>
          <w:rFonts w:hint="eastAsia"/>
          <w:lang w:val="en-US" w:eastAsia="zh-CN"/>
        </w:rPr>
        <w:t>年</w:t>
      </w:r>
    </w:p>
    <w:p w14:paraId="4827C38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330</w:t>
      </w:r>
      <w:r w:rsidRPr="006E3B9B">
        <w:rPr>
          <w:lang w:val="en-US" w:eastAsia="zh-CN"/>
        </w:rPr>
        <w:t>号决定</w:t>
      </w:r>
      <w:r w:rsidRPr="006E3B9B">
        <w:rPr>
          <w:lang w:val="en-US" w:eastAsia="zh-CN"/>
        </w:rPr>
        <w:tab/>
      </w:r>
      <w:r w:rsidRPr="006E3B9B">
        <w:rPr>
          <w:rFonts w:hint="eastAsia"/>
          <w:lang w:eastAsia="zh-CN"/>
        </w:rPr>
        <w:t>《欧洲海上移动无线电业务区域性公约》（</w:t>
      </w:r>
      <w:r w:rsidRPr="006E3B9B">
        <w:rPr>
          <w:lang w:eastAsia="zh-CN"/>
        </w:rPr>
        <w:t>1948</w:t>
      </w:r>
      <w:r w:rsidRPr="006E3B9B">
        <w:rPr>
          <w:rFonts w:hint="eastAsia"/>
          <w:lang w:eastAsia="zh-CN"/>
        </w:rPr>
        <w:t>年，哥本哈根）的审议</w:t>
      </w:r>
      <w:r w:rsidR="00396681">
        <w:rPr>
          <w:lang w:eastAsia="zh-CN"/>
        </w:rPr>
        <w:tab/>
      </w:r>
      <w:r w:rsidRPr="006E3B9B">
        <w:rPr>
          <w:lang w:val="en-US" w:eastAsia="zh-CN"/>
        </w:rPr>
        <w:tab/>
        <w:t>1966</w:t>
      </w:r>
      <w:r w:rsidRPr="006E3B9B">
        <w:rPr>
          <w:rFonts w:hint="eastAsia"/>
          <w:lang w:val="en-US" w:eastAsia="zh-CN"/>
        </w:rPr>
        <w:t>年</w:t>
      </w:r>
    </w:p>
    <w:p w14:paraId="4827C38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331</w:t>
      </w:r>
      <w:r w:rsidRPr="006E3B9B">
        <w:rPr>
          <w:lang w:val="en-US" w:eastAsia="zh-CN"/>
        </w:rPr>
        <w:t>号决定</w:t>
      </w:r>
      <w:r w:rsidRPr="006E3B9B">
        <w:rPr>
          <w:lang w:val="en-US" w:eastAsia="zh-CN"/>
        </w:rPr>
        <w:tab/>
      </w:r>
      <w:r w:rsidRPr="006E3B9B">
        <w:rPr>
          <w:rFonts w:hint="eastAsia"/>
          <w:lang w:eastAsia="zh-CN"/>
        </w:rPr>
        <w:t>将国际电联的家具、机器和设施登记造册</w:t>
      </w:r>
      <w:r w:rsidRPr="006E3B9B">
        <w:rPr>
          <w:lang w:val="en-US" w:eastAsia="zh-CN"/>
        </w:rPr>
        <w:tab/>
      </w:r>
      <w:r w:rsidR="00396681">
        <w:rPr>
          <w:lang w:val="en-US" w:eastAsia="zh-CN"/>
        </w:rPr>
        <w:tab/>
      </w:r>
      <w:r w:rsidRPr="006E3B9B">
        <w:rPr>
          <w:lang w:val="en-US" w:eastAsia="zh-CN"/>
        </w:rPr>
        <w:t>1967</w:t>
      </w:r>
      <w:r w:rsidRPr="006E3B9B">
        <w:rPr>
          <w:rFonts w:hint="eastAsia"/>
          <w:lang w:val="en-US" w:eastAsia="zh-CN"/>
        </w:rPr>
        <w:t>年</w:t>
      </w:r>
    </w:p>
    <w:p w14:paraId="4827C386"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21</w:t>
      </w:r>
      <w:r w:rsidRPr="006E3B9B">
        <w:rPr>
          <w:rFonts w:hint="eastAsia"/>
          <w:lang w:eastAsia="zh-CN"/>
        </w:rPr>
        <w:t>届会议（</w:t>
      </w:r>
      <w:r w:rsidRPr="006E3B9B">
        <w:rPr>
          <w:lang w:eastAsia="zh-CN"/>
        </w:rPr>
        <w:t>1966</w:t>
      </w:r>
      <w:r w:rsidRPr="006E3B9B">
        <w:rPr>
          <w:rFonts w:hint="eastAsia"/>
          <w:lang w:eastAsia="zh-CN"/>
        </w:rPr>
        <w:t>年</w:t>
      </w:r>
      <w:r w:rsidRPr="006E3B9B">
        <w:rPr>
          <w:lang w:eastAsia="zh-CN"/>
        </w:rPr>
        <w:t>5</w:t>
      </w:r>
      <w:r w:rsidRPr="006E3B9B">
        <w:rPr>
          <w:rFonts w:hint="eastAsia"/>
          <w:lang w:eastAsia="zh-CN"/>
        </w:rPr>
        <w:t>月</w:t>
      </w:r>
      <w:r w:rsidRPr="006E3B9B">
        <w:rPr>
          <w:rFonts w:hint="eastAsia"/>
          <w:lang w:eastAsia="zh-CN"/>
        </w:rPr>
        <w:t>-</w:t>
      </w:r>
      <w:r w:rsidRPr="006E3B9B">
        <w:rPr>
          <w:lang w:eastAsia="zh-CN"/>
        </w:rPr>
        <w:t>6</w:t>
      </w:r>
      <w:r w:rsidRPr="006E3B9B">
        <w:rPr>
          <w:rFonts w:hint="eastAsia"/>
          <w:lang w:eastAsia="zh-CN"/>
        </w:rPr>
        <w:t>月）</w:t>
      </w:r>
    </w:p>
    <w:p w14:paraId="4827C38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332</w:t>
      </w:r>
      <w:r w:rsidRPr="006E3B9B">
        <w:rPr>
          <w:lang w:val="en-US" w:eastAsia="zh-CN"/>
        </w:rPr>
        <w:t>号决定</w:t>
      </w:r>
      <w:r w:rsidRPr="006E3B9B">
        <w:rPr>
          <w:lang w:val="en-US" w:eastAsia="zh-CN"/>
        </w:rPr>
        <w:tab/>
      </w:r>
      <w:r w:rsidRPr="006E3B9B">
        <w:rPr>
          <w:rFonts w:hint="eastAsia"/>
          <w:lang w:eastAsia="zh-CN"/>
        </w:rPr>
        <w:t>非洲低频</w:t>
      </w:r>
      <w:r w:rsidRPr="006E3B9B">
        <w:rPr>
          <w:lang w:eastAsia="zh-CN"/>
        </w:rPr>
        <w:t>/</w:t>
      </w:r>
      <w:r w:rsidRPr="006E3B9B">
        <w:rPr>
          <w:rFonts w:hint="eastAsia"/>
          <w:lang w:eastAsia="zh-CN"/>
        </w:rPr>
        <w:t>中频广播大会</w:t>
      </w:r>
      <w:r w:rsidRPr="006E3B9B">
        <w:rPr>
          <w:lang w:val="en-US" w:eastAsia="zh-CN"/>
        </w:rPr>
        <w:tab/>
      </w:r>
      <w:r w:rsidR="00396681">
        <w:rPr>
          <w:lang w:val="en-US" w:eastAsia="zh-CN"/>
        </w:rPr>
        <w:tab/>
      </w:r>
      <w:r w:rsidRPr="006E3B9B">
        <w:rPr>
          <w:lang w:val="en-US" w:eastAsia="zh-CN"/>
        </w:rPr>
        <w:t>1967</w:t>
      </w:r>
      <w:r w:rsidRPr="006E3B9B">
        <w:rPr>
          <w:rFonts w:hint="eastAsia"/>
          <w:lang w:val="en-US" w:eastAsia="zh-CN"/>
        </w:rPr>
        <w:t>年</w:t>
      </w:r>
    </w:p>
    <w:p w14:paraId="4827C38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333</w:t>
      </w:r>
      <w:r w:rsidRPr="006E3B9B">
        <w:rPr>
          <w:lang w:val="en-US" w:eastAsia="zh-CN"/>
        </w:rPr>
        <w:t>号决定</w:t>
      </w:r>
      <w:r w:rsidRPr="006E3B9B">
        <w:rPr>
          <w:lang w:val="en-US" w:eastAsia="zh-CN"/>
        </w:rPr>
        <w:tab/>
      </w:r>
      <w:r w:rsidRPr="006E3B9B">
        <w:rPr>
          <w:rFonts w:hint="eastAsia"/>
          <w:lang w:eastAsia="zh-CN"/>
        </w:rPr>
        <w:t>理事会第</w:t>
      </w:r>
      <w:r w:rsidRPr="006E3B9B">
        <w:rPr>
          <w:lang w:eastAsia="zh-CN"/>
        </w:rPr>
        <w:t>21</w:t>
      </w:r>
      <w:r w:rsidRPr="006E3B9B">
        <w:rPr>
          <w:rFonts w:hint="eastAsia"/>
          <w:lang w:eastAsia="zh-CN"/>
        </w:rPr>
        <w:t>届年会的日期</w:t>
      </w:r>
      <w:r w:rsidRPr="006E3B9B">
        <w:rPr>
          <w:lang w:val="en-US" w:eastAsia="zh-CN"/>
        </w:rPr>
        <w:tab/>
      </w:r>
      <w:r w:rsidR="00396681">
        <w:rPr>
          <w:lang w:val="en-US" w:eastAsia="zh-CN"/>
        </w:rPr>
        <w:tab/>
      </w:r>
      <w:r w:rsidRPr="006E3B9B">
        <w:rPr>
          <w:lang w:val="en-US" w:eastAsia="zh-CN"/>
        </w:rPr>
        <w:t>1967</w:t>
      </w:r>
      <w:r w:rsidRPr="006E3B9B">
        <w:rPr>
          <w:rFonts w:hint="eastAsia"/>
          <w:lang w:val="en-US" w:eastAsia="zh-CN"/>
        </w:rPr>
        <w:t>年</w:t>
      </w:r>
    </w:p>
    <w:p w14:paraId="4827C38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334</w:t>
      </w:r>
      <w:r w:rsidRPr="006E3B9B">
        <w:rPr>
          <w:lang w:val="en-US" w:eastAsia="zh-CN"/>
        </w:rPr>
        <w:t>号决定</w:t>
      </w:r>
      <w:r w:rsidRPr="006E3B9B">
        <w:rPr>
          <w:lang w:val="en-US" w:eastAsia="zh-CN"/>
        </w:rPr>
        <w:tab/>
      </w:r>
      <w:r w:rsidRPr="006E3B9B">
        <w:rPr>
          <w:lang w:eastAsia="zh-CN"/>
        </w:rPr>
        <w:t>CCIR</w:t>
      </w:r>
      <w:r w:rsidRPr="006E3B9B">
        <w:rPr>
          <w:rFonts w:hint="eastAsia"/>
          <w:lang w:eastAsia="zh-CN"/>
        </w:rPr>
        <w:t>主任的选举程序</w:t>
      </w:r>
      <w:r w:rsidRPr="006E3B9B">
        <w:rPr>
          <w:lang w:val="en-US" w:eastAsia="zh-CN"/>
        </w:rPr>
        <w:tab/>
      </w:r>
      <w:r w:rsidR="00396681">
        <w:rPr>
          <w:lang w:val="en-US" w:eastAsia="zh-CN"/>
        </w:rPr>
        <w:tab/>
      </w:r>
      <w:r w:rsidRPr="006E3B9B">
        <w:rPr>
          <w:lang w:val="en-US" w:eastAsia="zh-CN"/>
        </w:rPr>
        <w:t>1968</w:t>
      </w:r>
      <w:r w:rsidRPr="006E3B9B">
        <w:rPr>
          <w:rFonts w:hint="eastAsia"/>
          <w:lang w:val="en-US" w:eastAsia="zh-CN"/>
        </w:rPr>
        <w:t>年</w:t>
      </w:r>
    </w:p>
    <w:p w14:paraId="4827C38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335</w:t>
      </w:r>
      <w:r w:rsidRPr="006E3B9B">
        <w:rPr>
          <w:lang w:val="en-US" w:eastAsia="zh-CN"/>
        </w:rPr>
        <w:t>号决定</w:t>
      </w:r>
      <w:r w:rsidRPr="006E3B9B">
        <w:rPr>
          <w:lang w:val="en-US" w:eastAsia="zh-CN"/>
        </w:rPr>
        <w:tab/>
      </w:r>
      <w:r w:rsidRPr="006E3B9B">
        <w:rPr>
          <w:rFonts w:hint="eastAsia"/>
          <w:lang w:eastAsia="zh-CN"/>
        </w:rPr>
        <w:t>备用基金成员退休后支付的</w:t>
      </w:r>
      <w:r w:rsidRPr="006E3B9B">
        <w:rPr>
          <w:lang w:eastAsia="zh-CN"/>
        </w:rPr>
        <w:t>15%</w:t>
      </w:r>
      <w:r w:rsidRPr="006E3B9B">
        <w:rPr>
          <w:rFonts w:hint="eastAsia"/>
          <w:lang w:eastAsia="zh-CN"/>
        </w:rPr>
        <w:t>的未亡人保险</w:t>
      </w:r>
      <w:r w:rsidRPr="006E3B9B">
        <w:rPr>
          <w:lang w:val="en-US" w:eastAsia="zh-CN"/>
        </w:rPr>
        <w:tab/>
      </w:r>
      <w:r w:rsidR="00396681">
        <w:rPr>
          <w:lang w:val="en-US" w:eastAsia="zh-CN"/>
        </w:rPr>
        <w:tab/>
      </w:r>
      <w:r w:rsidRPr="006E3B9B">
        <w:rPr>
          <w:lang w:val="en-US" w:eastAsia="zh-CN"/>
        </w:rPr>
        <w:t>1981</w:t>
      </w:r>
      <w:r w:rsidRPr="006E3B9B">
        <w:rPr>
          <w:rFonts w:hint="eastAsia"/>
          <w:lang w:val="en-US" w:eastAsia="zh-CN"/>
        </w:rPr>
        <w:t>年</w:t>
      </w:r>
    </w:p>
    <w:p w14:paraId="4827C38B"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336</w:t>
      </w:r>
      <w:r w:rsidRPr="006E3B9B">
        <w:rPr>
          <w:lang w:val="en-US" w:eastAsia="zh-CN"/>
        </w:rPr>
        <w:t>号决定</w:t>
      </w:r>
      <w:r w:rsidRPr="006E3B9B">
        <w:rPr>
          <w:lang w:val="en-US" w:eastAsia="zh-CN"/>
        </w:rPr>
        <w:tab/>
      </w:r>
      <w:r w:rsidRPr="006E3B9B">
        <w:rPr>
          <w:rFonts w:hint="eastAsia"/>
          <w:lang w:eastAsia="zh-CN"/>
        </w:rPr>
        <w:t>理事会第</w:t>
      </w:r>
      <w:r w:rsidRPr="006E3B9B">
        <w:rPr>
          <w:lang w:eastAsia="zh-CN"/>
        </w:rPr>
        <w:t>22</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1967</w:t>
      </w:r>
      <w:r w:rsidRPr="006E3B9B">
        <w:rPr>
          <w:rFonts w:hint="eastAsia"/>
          <w:lang w:val="en-US" w:eastAsia="zh-CN"/>
        </w:rPr>
        <w:t>年</w:t>
      </w:r>
    </w:p>
    <w:p w14:paraId="4827C38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337</w:t>
      </w:r>
      <w:r w:rsidRPr="006E3B9B">
        <w:rPr>
          <w:lang w:val="en-US" w:eastAsia="zh-CN"/>
        </w:rPr>
        <w:t>号决定</w:t>
      </w:r>
      <w:r w:rsidRPr="006E3B9B">
        <w:rPr>
          <w:lang w:val="en-US" w:eastAsia="zh-CN"/>
        </w:rPr>
        <w:tab/>
      </w:r>
      <w:r w:rsidRPr="006E3B9B">
        <w:rPr>
          <w:rFonts w:hint="eastAsia"/>
          <w:lang w:eastAsia="zh-CN"/>
        </w:rPr>
        <w:t>《欧洲海上移动无线电业务区域性公约》（</w:t>
      </w:r>
      <w:r w:rsidRPr="006E3B9B">
        <w:rPr>
          <w:lang w:eastAsia="zh-CN"/>
        </w:rPr>
        <w:t>1948</w:t>
      </w:r>
      <w:r w:rsidRPr="006E3B9B">
        <w:rPr>
          <w:rFonts w:hint="eastAsia"/>
          <w:lang w:eastAsia="zh-CN"/>
        </w:rPr>
        <w:t>年，哥本哈根）的审议</w:t>
      </w:r>
      <w:r w:rsidRPr="006E3B9B">
        <w:rPr>
          <w:lang w:val="en-US" w:eastAsia="zh-CN"/>
        </w:rPr>
        <w:tab/>
      </w:r>
      <w:r w:rsidR="00396681">
        <w:rPr>
          <w:lang w:val="en-US" w:eastAsia="zh-CN"/>
        </w:rPr>
        <w:tab/>
      </w:r>
      <w:r w:rsidRPr="006E3B9B">
        <w:rPr>
          <w:lang w:val="en-US" w:eastAsia="zh-CN"/>
        </w:rPr>
        <w:t>1967</w:t>
      </w:r>
      <w:r w:rsidRPr="006E3B9B">
        <w:rPr>
          <w:rFonts w:hint="eastAsia"/>
          <w:lang w:val="en-US" w:eastAsia="zh-CN"/>
        </w:rPr>
        <w:t>年</w:t>
      </w:r>
    </w:p>
    <w:p w14:paraId="4827C38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338</w:t>
      </w:r>
      <w:r w:rsidRPr="006E3B9B">
        <w:rPr>
          <w:lang w:val="en-US" w:eastAsia="zh-CN"/>
        </w:rPr>
        <w:t>号决定</w:t>
      </w:r>
      <w:r w:rsidRPr="006E3B9B">
        <w:rPr>
          <w:lang w:val="en-US" w:eastAsia="zh-CN"/>
        </w:rPr>
        <w:tab/>
      </w:r>
      <w:r w:rsidRPr="006E3B9B">
        <w:rPr>
          <w:rFonts w:hint="eastAsia"/>
          <w:lang w:eastAsia="zh-CN"/>
        </w:rPr>
        <w:t>《欧洲广播公约》（</w:t>
      </w:r>
      <w:r w:rsidRPr="006E3B9B">
        <w:rPr>
          <w:lang w:eastAsia="zh-CN"/>
        </w:rPr>
        <w:t>1948</w:t>
      </w:r>
      <w:r w:rsidRPr="006E3B9B">
        <w:rPr>
          <w:rFonts w:hint="eastAsia"/>
          <w:lang w:eastAsia="zh-CN"/>
        </w:rPr>
        <w:t>年，哥本哈根）的审议</w:t>
      </w:r>
      <w:r w:rsidRPr="006E3B9B">
        <w:rPr>
          <w:lang w:val="en-US" w:eastAsia="zh-CN"/>
        </w:rPr>
        <w:tab/>
      </w:r>
      <w:r w:rsidR="00396681">
        <w:rPr>
          <w:lang w:val="en-US" w:eastAsia="zh-CN"/>
        </w:rPr>
        <w:tab/>
      </w:r>
      <w:r w:rsidRPr="006E3B9B">
        <w:rPr>
          <w:lang w:val="en-US" w:eastAsia="zh-CN"/>
        </w:rPr>
        <w:t>1967</w:t>
      </w:r>
      <w:r w:rsidRPr="006E3B9B">
        <w:rPr>
          <w:rFonts w:hint="eastAsia"/>
          <w:lang w:val="en-US" w:eastAsia="zh-CN"/>
        </w:rPr>
        <w:t>年</w:t>
      </w:r>
    </w:p>
    <w:p w14:paraId="4827C38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339</w:t>
      </w:r>
      <w:r w:rsidRPr="006E3B9B">
        <w:rPr>
          <w:lang w:val="en-US" w:eastAsia="zh-CN"/>
        </w:rPr>
        <w:t>号决定</w:t>
      </w:r>
      <w:r w:rsidRPr="006E3B9B">
        <w:rPr>
          <w:lang w:val="en-US" w:eastAsia="zh-CN"/>
        </w:rPr>
        <w:tab/>
      </w:r>
      <w:r w:rsidRPr="006E3B9B">
        <w:rPr>
          <w:rFonts w:hint="eastAsia"/>
          <w:lang w:eastAsia="zh-CN"/>
        </w:rPr>
        <w:t>国际电联活动报告的起草</w:t>
      </w:r>
      <w:r w:rsidRPr="006E3B9B">
        <w:rPr>
          <w:lang w:val="en-US" w:eastAsia="zh-CN"/>
        </w:rPr>
        <w:tab/>
      </w:r>
      <w:r w:rsidR="00396681">
        <w:rPr>
          <w:lang w:val="en-US" w:eastAsia="zh-CN"/>
        </w:rPr>
        <w:tab/>
      </w:r>
      <w:r w:rsidRPr="006E3B9B">
        <w:rPr>
          <w:lang w:val="en-US" w:eastAsia="zh-CN"/>
        </w:rPr>
        <w:t>1970</w:t>
      </w:r>
      <w:r w:rsidRPr="006E3B9B">
        <w:rPr>
          <w:rFonts w:hint="eastAsia"/>
          <w:lang w:val="en-US" w:eastAsia="zh-CN"/>
        </w:rPr>
        <w:t>年</w:t>
      </w:r>
    </w:p>
    <w:p w14:paraId="4827C38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340</w:t>
      </w:r>
      <w:r w:rsidRPr="006E3B9B">
        <w:rPr>
          <w:lang w:val="en-US" w:eastAsia="zh-CN"/>
        </w:rPr>
        <w:t>号决定</w:t>
      </w:r>
      <w:r w:rsidRPr="006E3B9B">
        <w:rPr>
          <w:lang w:val="en-US" w:eastAsia="zh-CN"/>
        </w:rPr>
        <w:tab/>
      </w:r>
      <w:r w:rsidRPr="006E3B9B">
        <w:rPr>
          <w:rFonts w:hint="eastAsia"/>
          <w:lang w:eastAsia="zh-CN"/>
        </w:rPr>
        <w:t>宪章小组开展工作所需人员</w:t>
      </w:r>
      <w:r w:rsidRPr="006E3B9B">
        <w:rPr>
          <w:lang w:val="en-US" w:eastAsia="zh-CN"/>
        </w:rPr>
        <w:tab/>
      </w:r>
      <w:r w:rsidR="00396681">
        <w:rPr>
          <w:lang w:val="en-US" w:eastAsia="zh-CN"/>
        </w:rPr>
        <w:tab/>
      </w:r>
      <w:r w:rsidRPr="006E3B9B">
        <w:rPr>
          <w:lang w:val="en-US" w:eastAsia="zh-CN"/>
        </w:rPr>
        <w:t>1968</w:t>
      </w:r>
      <w:r w:rsidRPr="006E3B9B">
        <w:rPr>
          <w:rFonts w:hint="eastAsia"/>
          <w:lang w:val="en-US" w:eastAsia="zh-CN"/>
        </w:rPr>
        <w:t>年</w:t>
      </w:r>
    </w:p>
    <w:p w14:paraId="4827C390"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22</w:t>
      </w:r>
      <w:r w:rsidRPr="006E3B9B">
        <w:rPr>
          <w:rFonts w:hint="eastAsia"/>
          <w:lang w:eastAsia="zh-CN"/>
        </w:rPr>
        <w:t>届会议（</w:t>
      </w:r>
      <w:r w:rsidRPr="006E3B9B">
        <w:rPr>
          <w:lang w:eastAsia="zh-CN"/>
        </w:rPr>
        <w:t>1967</w:t>
      </w:r>
      <w:r w:rsidRPr="006E3B9B">
        <w:rPr>
          <w:rFonts w:hint="eastAsia"/>
          <w:lang w:eastAsia="zh-CN"/>
        </w:rPr>
        <w:t>年</w:t>
      </w:r>
      <w:r w:rsidRPr="006E3B9B">
        <w:rPr>
          <w:lang w:eastAsia="zh-CN"/>
        </w:rPr>
        <w:t>5</w:t>
      </w:r>
      <w:r w:rsidRPr="006E3B9B">
        <w:rPr>
          <w:rFonts w:hint="eastAsia"/>
          <w:lang w:eastAsia="zh-CN"/>
        </w:rPr>
        <w:t>月）</w:t>
      </w:r>
    </w:p>
    <w:p w14:paraId="4827C39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341</w:t>
      </w:r>
      <w:r w:rsidRPr="006E3B9B">
        <w:rPr>
          <w:lang w:val="en-US" w:eastAsia="zh-CN"/>
        </w:rPr>
        <w:t>号决定</w:t>
      </w:r>
      <w:r w:rsidRPr="006E3B9B">
        <w:rPr>
          <w:lang w:val="en-US" w:eastAsia="zh-CN"/>
        </w:rPr>
        <w:tab/>
      </w:r>
      <w:r w:rsidRPr="006E3B9B">
        <w:rPr>
          <w:rFonts w:hint="eastAsia"/>
          <w:sz w:val="18"/>
          <w:lang w:eastAsia="zh-CN"/>
        </w:rPr>
        <w:t>利</w:t>
      </w:r>
      <w:r w:rsidRPr="006E3B9B">
        <w:rPr>
          <w:rFonts w:hint="eastAsia"/>
          <w:lang w:eastAsia="zh-CN"/>
        </w:rPr>
        <w:t>用理事会划拨款项安装</w:t>
      </w:r>
      <w:r w:rsidRPr="006E3B9B">
        <w:rPr>
          <w:lang w:eastAsia="zh-CN"/>
        </w:rPr>
        <w:t>Compactus</w:t>
      </w:r>
      <w:r w:rsidRPr="006E3B9B">
        <w:rPr>
          <w:lang w:val="en-US" w:eastAsia="zh-CN"/>
        </w:rPr>
        <w:tab/>
      </w:r>
      <w:r w:rsidR="00396681">
        <w:rPr>
          <w:lang w:val="en-US" w:eastAsia="zh-CN"/>
        </w:rPr>
        <w:tab/>
      </w:r>
      <w:r w:rsidRPr="006E3B9B">
        <w:rPr>
          <w:lang w:val="en-US" w:eastAsia="zh-CN"/>
        </w:rPr>
        <w:t>1968</w:t>
      </w:r>
      <w:r w:rsidRPr="006E3B9B">
        <w:rPr>
          <w:rFonts w:hint="eastAsia"/>
          <w:lang w:val="en-US" w:eastAsia="zh-CN"/>
        </w:rPr>
        <w:t>年</w:t>
      </w:r>
    </w:p>
    <w:p w14:paraId="4827C39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342</w:t>
      </w:r>
      <w:r w:rsidRPr="006E3B9B">
        <w:rPr>
          <w:lang w:val="en-US" w:eastAsia="zh-CN"/>
        </w:rPr>
        <w:t>号决定</w:t>
      </w:r>
      <w:r w:rsidRPr="006E3B9B">
        <w:rPr>
          <w:lang w:val="en-US" w:eastAsia="zh-CN"/>
        </w:rPr>
        <w:tab/>
      </w:r>
      <w:r w:rsidRPr="006E3B9B">
        <w:rPr>
          <w:rFonts w:hint="eastAsia"/>
          <w:lang w:eastAsia="zh-CN"/>
        </w:rPr>
        <w:t>临时秘书长的薪酬</w:t>
      </w:r>
      <w:r w:rsidRPr="006E3B9B">
        <w:rPr>
          <w:lang w:val="en-US" w:eastAsia="zh-CN"/>
        </w:rPr>
        <w:tab/>
      </w:r>
      <w:r w:rsidR="00396681">
        <w:rPr>
          <w:lang w:val="en-US" w:eastAsia="zh-CN"/>
        </w:rPr>
        <w:tab/>
      </w:r>
      <w:r w:rsidRPr="006E3B9B">
        <w:rPr>
          <w:lang w:val="en-US" w:eastAsia="zh-CN"/>
        </w:rPr>
        <w:t>1974</w:t>
      </w:r>
      <w:r w:rsidRPr="006E3B9B">
        <w:rPr>
          <w:rFonts w:hint="eastAsia"/>
          <w:lang w:val="en-US" w:eastAsia="zh-CN"/>
        </w:rPr>
        <w:t>年</w:t>
      </w:r>
    </w:p>
    <w:p w14:paraId="4827C39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343</w:t>
      </w:r>
      <w:r w:rsidRPr="006E3B9B">
        <w:rPr>
          <w:lang w:val="en-US" w:eastAsia="zh-CN"/>
        </w:rPr>
        <w:t>号决定</w:t>
      </w:r>
      <w:r w:rsidRPr="006E3B9B">
        <w:rPr>
          <w:lang w:val="en-US" w:eastAsia="zh-CN"/>
        </w:rPr>
        <w:tab/>
      </w:r>
      <w:r w:rsidRPr="006E3B9B">
        <w:rPr>
          <w:rFonts w:hint="eastAsia"/>
          <w:lang w:eastAsia="zh-CN"/>
        </w:rPr>
        <w:t>技术合作部主任职位</w:t>
      </w:r>
      <w:r w:rsidRPr="006E3B9B">
        <w:rPr>
          <w:lang w:val="en-US" w:eastAsia="zh-CN"/>
        </w:rPr>
        <w:tab/>
      </w:r>
      <w:r w:rsidR="00396681">
        <w:rPr>
          <w:lang w:val="en-US" w:eastAsia="zh-CN"/>
        </w:rPr>
        <w:tab/>
      </w:r>
      <w:r w:rsidRPr="006E3B9B">
        <w:rPr>
          <w:lang w:val="en-US" w:eastAsia="zh-CN"/>
        </w:rPr>
        <w:t>1968</w:t>
      </w:r>
      <w:r w:rsidRPr="006E3B9B">
        <w:rPr>
          <w:rFonts w:hint="eastAsia"/>
          <w:lang w:val="en-US" w:eastAsia="zh-CN"/>
        </w:rPr>
        <w:t>年</w:t>
      </w:r>
    </w:p>
    <w:p w14:paraId="4827C39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344</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23</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1968</w:t>
      </w:r>
      <w:r w:rsidRPr="006E3B9B">
        <w:rPr>
          <w:rFonts w:hint="eastAsia"/>
          <w:lang w:val="en-US" w:eastAsia="zh-CN"/>
        </w:rPr>
        <w:t>年</w:t>
      </w:r>
    </w:p>
    <w:p w14:paraId="4827C39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345</w:t>
      </w:r>
      <w:r w:rsidRPr="006E3B9B">
        <w:rPr>
          <w:lang w:val="en-US" w:eastAsia="zh-CN"/>
        </w:rPr>
        <w:t>号决定</w:t>
      </w:r>
      <w:r w:rsidRPr="006E3B9B">
        <w:rPr>
          <w:lang w:val="en-US" w:eastAsia="zh-CN"/>
        </w:rPr>
        <w:tab/>
      </w:r>
      <w:r w:rsidRPr="006E3B9B">
        <w:rPr>
          <w:lang w:eastAsia="zh-CN"/>
        </w:rPr>
        <w:t>CCITT</w:t>
      </w:r>
      <w:r w:rsidRPr="006E3B9B">
        <w:rPr>
          <w:rFonts w:hint="eastAsia"/>
          <w:lang w:eastAsia="zh-CN"/>
        </w:rPr>
        <w:t>第四届全体会议</w:t>
      </w:r>
      <w:r w:rsidRPr="006E3B9B">
        <w:rPr>
          <w:lang w:val="en-US" w:eastAsia="zh-CN"/>
        </w:rPr>
        <w:tab/>
      </w:r>
      <w:r w:rsidR="00396681">
        <w:rPr>
          <w:lang w:val="en-US" w:eastAsia="zh-CN"/>
        </w:rPr>
        <w:tab/>
      </w:r>
      <w:r w:rsidRPr="006E3B9B">
        <w:rPr>
          <w:lang w:val="en-US" w:eastAsia="zh-CN"/>
        </w:rPr>
        <w:t>1969</w:t>
      </w:r>
      <w:r w:rsidRPr="006E3B9B">
        <w:rPr>
          <w:rFonts w:hint="eastAsia"/>
          <w:lang w:val="en-US" w:eastAsia="zh-CN"/>
        </w:rPr>
        <w:t>年</w:t>
      </w:r>
    </w:p>
    <w:p w14:paraId="4827C39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346</w:t>
      </w:r>
      <w:r w:rsidRPr="006E3B9B">
        <w:rPr>
          <w:lang w:val="en-US" w:eastAsia="zh-CN"/>
        </w:rPr>
        <w:t>号决定</w:t>
      </w:r>
      <w:r w:rsidRPr="006E3B9B">
        <w:rPr>
          <w:lang w:val="en-US" w:eastAsia="zh-CN"/>
        </w:rPr>
        <w:tab/>
      </w:r>
      <w:r w:rsidRPr="006E3B9B">
        <w:rPr>
          <w:rFonts w:hint="eastAsia"/>
          <w:lang w:eastAsia="zh-CN"/>
        </w:rPr>
        <w:t>修订《无线电规则》结构的可能性</w:t>
      </w:r>
      <w:r w:rsidRPr="006E3B9B">
        <w:rPr>
          <w:lang w:val="en-US" w:eastAsia="zh-CN"/>
        </w:rPr>
        <w:tab/>
      </w:r>
      <w:r w:rsidR="00396681">
        <w:rPr>
          <w:lang w:val="en-US" w:eastAsia="zh-CN"/>
        </w:rPr>
        <w:tab/>
      </w:r>
      <w:r w:rsidRPr="006E3B9B">
        <w:rPr>
          <w:lang w:val="en-US" w:eastAsia="zh-CN"/>
        </w:rPr>
        <w:t>1976</w:t>
      </w:r>
      <w:r w:rsidRPr="006E3B9B">
        <w:rPr>
          <w:rFonts w:hint="eastAsia"/>
          <w:lang w:val="en-US" w:eastAsia="zh-CN"/>
        </w:rPr>
        <w:t>年</w:t>
      </w:r>
    </w:p>
    <w:p w14:paraId="4827C397"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23</w:t>
      </w:r>
      <w:r w:rsidRPr="006E3B9B">
        <w:rPr>
          <w:rFonts w:hint="eastAsia"/>
          <w:lang w:eastAsia="zh-CN"/>
        </w:rPr>
        <w:t>届会议（</w:t>
      </w:r>
      <w:r w:rsidRPr="006E3B9B">
        <w:rPr>
          <w:lang w:eastAsia="zh-CN"/>
        </w:rPr>
        <w:t>1968</w:t>
      </w:r>
      <w:r w:rsidRPr="006E3B9B">
        <w:rPr>
          <w:rFonts w:hint="eastAsia"/>
          <w:lang w:eastAsia="zh-CN"/>
        </w:rPr>
        <w:t>年</w:t>
      </w:r>
      <w:r w:rsidRPr="006E3B9B">
        <w:rPr>
          <w:lang w:eastAsia="zh-CN"/>
        </w:rPr>
        <w:t>5</w:t>
      </w:r>
      <w:r w:rsidRPr="006E3B9B">
        <w:rPr>
          <w:rFonts w:hint="eastAsia"/>
          <w:lang w:eastAsia="zh-CN"/>
        </w:rPr>
        <w:t>月）</w:t>
      </w:r>
    </w:p>
    <w:p w14:paraId="4827C39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347</w:t>
      </w:r>
      <w:r w:rsidRPr="006E3B9B">
        <w:rPr>
          <w:lang w:val="en-US" w:eastAsia="zh-CN"/>
        </w:rPr>
        <w:t>号决定</w:t>
      </w:r>
      <w:r w:rsidRPr="006E3B9B">
        <w:rPr>
          <w:lang w:val="en-US" w:eastAsia="zh-CN"/>
        </w:rPr>
        <w:tab/>
      </w:r>
      <w:r w:rsidRPr="006E3B9B">
        <w:rPr>
          <w:rFonts w:hint="eastAsia"/>
          <w:lang w:eastAsia="zh-CN"/>
        </w:rPr>
        <w:t>地域分配</w:t>
      </w:r>
      <w:r w:rsidRPr="006E3B9B">
        <w:rPr>
          <w:lang w:val="en-US" w:eastAsia="zh-CN"/>
        </w:rPr>
        <w:tab/>
      </w:r>
      <w:r w:rsidR="00396681">
        <w:rPr>
          <w:lang w:val="en-US" w:eastAsia="zh-CN"/>
        </w:rPr>
        <w:tab/>
      </w:r>
      <w:r w:rsidRPr="006E3B9B">
        <w:rPr>
          <w:lang w:val="en-US" w:eastAsia="zh-CN"/>
        </w:rPr>
        <w:t>1984</w:t>
      </w:r>
      <w:r w:rsidRPr="006E3B9B">
        <w:rPr>
          <w:rFonts w:hint="eastAsia"/>
          <w:lang w:val="en-US" w:eastAsia="zh-CN"/>
        </w:rPr>
        <w:t>年</w:t>
      </w:r>
    </w:p>
    <w:p w14:paraId="4827C39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348</w:t>
      </w:r>
      <w:r w:rsidRPr="006E3B9B">
        <w:rPr>
          <w:lang w:val="en-US" w:eastAsia="zh-CN"/>
        </w:rPr>
        <w:t>号决定</w:t>
      </w:r>
      <w:r w:rsidRPr="006E3B9B">
        <w:rPr>
          <w:lang w:val="en-US" w:eastAsia="zh-CN"/>
        </w:rPr>
        <w:tab/>
      </w:r>
      <w:r w:rsidRPr="006E3B9B">
        <w:rPr>
          <w:rFonts w:hint="eastAsia"/>
          <w:lang w:eastAsia="zh-CN"/>
        </w:rPr>
        <w:t>技术合作部高层职位和某些职位的定级</w:t>
      </w:r>
      <w:r w:rsidRPr="006E3B9B">
        <w:rPr>
          <w:lang w:val="en-US" w:eastAsia="zh-CN"/>
        </w:rPr>
        <w:tab/>
      </w:r>
      <w:r w:rsidR="00396681">
        <w:rPr>
          <w:lang w:val="en-US" w:eastAsia="zh-CN"/>
        </w:rPr>
        <w:tab/>
      </w:r>
      <w:r w:rsidRPr="006E3B9B">
        <w:rPr>
          <w:lang w:val="en-US" w:eastAsia="zh-CN"/>
        </w:rPr>
        <w:t>1969</w:t>
      </w:r>
      <w:r w:rsidRPr="006E3B9B">
        <w:rPr>
          <w:rFonts w:hint="eastAsia"/>
          <w:lang w:val="en-US" w:eastAsia="zh-CN"/>
        </w:rPr>
        <w:t>年</w:t>
      </w:r>
    </w:p>
    <w:p w14:paraId="4827C39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349</w:t>
      </w:r>
      <w:r w:rsidRPr="006E3B9B">
        <w:rPr>
          <w:lang w:val="en-US" w:eastAsia="zh-CN"/>
        </w:rPr>
        <w:t>号决定</w:t>
      </w:r>
      <w:r w:rsidRPr="006E3B9B">
        <w:rPr>
          <w:lang w:val="en-US" w:eastAsia="zh-CN"/>
        </w:rPr>
        <w:tab/>
      </w:r>
      <w:r w:rsidRPr="006E3B9B">
        <w:rPr>
          <w:lang w:eastAsia="zh-CN"/>
        </w:rPr>
        <w:t>CCITT</w:t>
      </w:r>
      <w:r w:rsidRPr="006E3B9B">
        <w:rPr>
          <w:rFonts w:hint="eastAsia"/>
          <w:lang w:eastAsia="zh-CN"/>
        </w:rPr>
        <w:t>主任的选举程序</w:t>
      </w:r>
      <w:r w:rsidRPr="006E3B9B">
        <w:rPr>
          <w:lang w:val="en-US" w:eastAsia="zh-CN"/>
        </w:rPr>
        <w:tab/>
      </w:r>
      <w:r w:rsidR="00396681">
        <w:rPr>
          <w:lang w:val="en-US" w:eastAsia="zh-CN"/>
        </w:rPr>
        <w:tab/>
      </w:r>
      <w:r w:rsidRPr="006E3B9B">
        <w:rPr>
          <w:lang w:val="en-US" w:eastAsia="zh-CN"/>
        </w:rPr>
        <w:t>1969</w:t>
      </w:r>
      <w:r w:rsidRPr="006E3B9B">
        <w:rPr>
          <w:rFonts w:hint="eastAsia"/>
          <w:lang w:val="en-US" w:eastAsia="zh-CN"/>
        </w:rPr>
        <w:t>年</w:t>
      </w:r>
    </w:p>
    <w:p w14:paraId="4827C39B"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350</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24</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1969</w:t>
      </w:r>
      <w:r w:rsidRPr="006E3B9B">
        <w:rPr>
          <w:rFonts w:hint="eastAsia"/>
          <w:lang w:val="en-US" w:eastAsia="zh-CN"/>
        </w:rPr>
        <w:t>年</w:t>
      </w:r>
    </w:p>
    <w:p w14:paraId="4827C39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351</w:t>
      </w:r>
      <w:r w:rsidRPr="006E3B9B">
        <w:rPr>
          <w:lang w:val="en-US" w:eastAsia="zh-CN"/>
        </w:rPr>
        <w:t>号决定</w:t>
      </w:r>
      <w:r w:rsidRPr="006E3B9B">
        <w:rPr>
          <w:lang w:val="en-US" w:eastAsia="zh-CN"/>
        </w:rPr>
        <w:tab/>
      </w:r>
      <w:r w:rsidRPr="006E3B9B">
        <w:rPr>
          <w:rFonts w:hint="eastAsia"/>
          <w:lang w:eastAsia="zh-CN"/>
        </w:rPr>
        <w:t>电子计算机的转移</w:t>
      </w:r>
      <w:r w:rsidRPr="006E3B9B">
        <w:rPr>
          <w:lang w:val="en-US" w:eastAsia="zh-CN"/>
        </w:rPr>
        <w:tab/>
      </w:r>
      <w:r w:rsidR="00396681">
        <w:rPr>
          <w:lang w:val="en-US" w:eastAsia="zh-CN"/>
        </w:rPr>
        <w:tab/>
      </w:r>
      <w:r w:rsidRPr="006E3B9B">
        <w:rPr>
          <w:lang w:val="en-US" w:eastAsia="zh-CN"/>
        </w:rPr>
        <w:t>1969</w:t>
      </w:r>
      <w:r w:rsidRPr="006E3B9B">
        <w:rPr>
          <w:rFonts w:hint="eastAsia"/>
          <w:lang w:val="en-US" w:eastAsia="zh-CN"/>
        </w:rPr>
        <w:t>年</w:t>
      </w:r>
    </w:p>
    <w:p w14:paraId="4827C39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352</w:t>
      </w:r>
      <w:r w:rsidRPr="006E3B9B">
        <w:rPr>
          <w:lang w:val="en-US" w:eastAsia="zh-CN"/>
        </w:rPr>
        <w:t>号决定</w:t>
      </w:r>
      <w:r w:rsidRPr="006E3B9B">
        <w:rPr>
          <w:lang w:val="en-US" w:eastAsia="zh-CN"/>
        </w:rPr>
        <w:tab/>
      </w:r>
      <w:r w:rsidRPr="006E3B9B">
        <w:rPr>
          <w:lang w:eastAsia="zh-CN"/>
        </w:rPr>
        <w:t>频登会</w:t>
      </w:r>
      <w:r w:rsidRPr="006E3B9B">
        <w:rPr>
          <w:rFonts w:hint="eastAsia"/>
          <w:lang w:eastAsia="zh-CN"/>
        </w:rPr>
        <w:t>特设秘书处工作的协调</w:t>
      </w:r>
      <w:r w:rsidRPr="006E3B9B">
        <w:rPr>
          <w:lang w:val="en-US" w:eastAsia="zh-CN"/>
        </w:rPr>
        <w:tab/>
      </w:r>
      <w:r w:rsidR="00396681">
        <w:rPr>
          <w:lang w:val="en-US" w:eastAsia="zh-CN"/>
        </w:rPr>
        <w:tab/>
      </w:r>
      <w:r w:rsidRPr="006E3B9B">
        <w:rPr>
          <w:lang w:val="en-US" w:eastAsia="zh-CN"/>
        </w:rPr>
        <w:t>1969</w:t>
      </w:r>
      <w:r w:rsidRPr="006E3B9B">
        <w:rPr>
          <w:rFonts w:hint="eastAsia"/>
          <w:lang w:val="en-US" w:eastAsia="zh-CN"/>
        </w:rPr>
        <w:t>年</w:t>
      </w:r>
    </w:p>
    <w:p w14:paraId="4827C39E" w14:textId="77777777" w:rsidR="0058405E" w:rsidRDefault="0058405E">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4827C39F" w14:textId="77777777" w:rsidR="006E3B9B" w:rsidRPr="006E3B9B" w:rsidRDefault="006E3B9B" w:rsidP="004E1793">
      <w:pPr>
        <w:pStyle w:val="Reftitle"/>
        <w:rPr>
          <w:lang w:val="en-US" w:eastAsia="zh-CN"/>
        </w:rPr>
      </w:pPr>
      <w:r w:rsidRPr="006E3B9B">
        <w:rPr>
          <w:rFonts w:hint="eastAsia"/>
          <w:lang w:eastAsia="zh-CN"/>
        </w:rPr>
        <w:lastRenderedPageBreak/>
        <w:t>第</w:t>
      </w:r>
      <w:r w:rsidRPr="006E3B9B">
        <w:rPr>
          <w:lang w:eastAsia="zh-CN"/>
        </w:rPr>
        <w:t>24</w:t>
      </w:r>
      <w:r w:rsidRPr="006E3B9B">
        <w:rPr>
          <w:rFonts w:hint="eastAsia"/>
          <w:lang w:eastAsia="zh-CN"/>
        </w:rPr>
        <w:t>届会议（</w:t>
      </w:r>
      <w:r w:rsidRPr="006E3B9B">
        <w:rPr>
          <w:lang w:eastAsia="zh-CN"/>
        </w:rPr>
        <w:t>1969</w:t>
      </w:r>
      <w:r w:rsidRPr="006E3B9B">
        <w:rPr>
          <w:rFonts w:hint="eastAsia"/>
          <w:lang w:eastAsia="zh-CN"/>
        </w:rPr>
        <w:t>年</w:t>
      </w:r>
      <w:r w:rsidRPr="006E3B9B">
        <w:rPr>
          <w:lang w:eastAsia="zh-CN"/>
        </w:rPr>
        <w:t>5</w:t>
      </w:r>
      <w:r w:rsidRPr="006E3B9B">
        <w:rPr>
          <w:rFonts w:hint="eastAsia"/>
          <w:lang w:eastAsia="zh-CN"/>
        </w:rPr>
        <w:t>月）</w:t>
      </w:r>
    </w:p>
    <w:p w14:paraId="4827C3A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353</w:t>
      </w:r>
      <w:r w:rsidRPr="006E3B9B">
        <w:rPr>
          <w:lang w:val="en-US" w:eastAsia="zh-CN"/>
        </w:rPr>
        <w:t>号决定</w:t>
      </w:r>
      <w:r w:rsidRPr="006E3B9B">
        <w:rPr>
          <w:lang w:val="en-US" w:eastAsia="zh-CN"/>
        </w:rPr>
        <w:tab/>
      </w:r>
      <w:r w:rsidRPr="006E3B9B">
        <w:rPr>
          <w:rFonts w:hint="eastAsia"/>
          <w:lang w:eastAsia="zh-CN"/>
        </w:rPr>
        <w:t>计算机部主任职位的定级</w:t>
      </w:r>
      <w:r w:rsidRPr="006E3B9B">
        <w:rPr>
          <w:lang w:val="en-US" w:eastAsia="zh-CN"/>
        </w:rPr>
        <w:tab/>
      </w:r>
      <w:r w:rsidR="00396681">
        <w:rPr>
          <w:lang w:val="en-US" w:eastAsia="zh-CN"/>
        </w:rPr>
        <w:tab/>
      </w:r>
      <w:r w:rsidRPr="006E3B9B">
        <w:rPr>
          <w:lang w:val="en-US" w:eastAsia="zh-CN"/>
        </w:rPr>
        <w:t>1970</w:t>
      </w:r>
      <w:r w:rsidRPr="006E3B9B">
        <w:rPr>
          <w:rFonts w:hint="eastAsia"/>
          <w:lang w:val="en-US" w:eastAsia="zh-CN"/>
        </w:rPr>
        <w:t>年</w:t>
      </w:r>
    </w:p>
    <w:p w14:paraId="4827C3A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354</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25</w:t>
      </w:r>
      <w:r w:rsidRPr="006E3B9B">
        <w:rPr>
          <w:rFonts w:hint="eastAsia"/>
          <w:lang w:eastAsia="zh-CN"/>
        </w:rPr>
        <w:t>届会议的日期和会</w:t>
      </w:r>
      <w:r w:rsidRPr="006E3B9B">
        <w:rPr>
          <w:rFonts w:hint="eastAsia"/>
          <w:sz w:val="18"/>
          <w:lang w:eastAsia="zh-CN"/>
        </w:rPr>
        <w:t>期</w:t>
      </w:r>
      <w:r w:rsidRPr="006E3B9B">
        <w:rPr>
          <w:lang w:val="en-US" w:eastAsia="zh-CN"/>
        </w:rPr>
        <w:tab/>
      </w:r>
      <w:r w:rsidR="00396681">
        <w:rPr>
          <w:lang w:val="en-US" w:eastAsia="zh-CN"/>
        </w:rPr>
        <w:tab/>
      </w:r>
      <w:r w:rsidRPr="006E3B9B">
        <w:rPr>
          <w:lang w:val="en-US" w:eastAsia="zh-CN"/>
        </w:rPr>
        <w:t>1970</w:t>
      </w:r>
      <w:r w:rsidRPr="006E3B9B">
        <w:rPr>
          <w:rFonts w:hint="eastAsia"/>
          <w:lang w:val="en-US" w:eastAsia="zh-CN"/>
        </w:rPr>
        <w:t>年</w:t>
      </w:r>
    </w:p>
    <w:p w14:paraId="4827C3A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355</w:t>
      </w:r>
      <w:r w:rsidRPr="006E3B9B">
        <w:rPr>
          <w:lang w:val="en-US" w:eastAsia="zh-CN"/>
        </w:rPr>
        <w:t>号决定</w:t>
      </w:r>
      <w:r w:rsidRPr="006E3B9B">
        <w:rPr>
          <w:lang w:val="en-US" w:eastAsia="zh-CN"/>
        </w:rPr>
        <w:tab/>
      </w:r>
      <w:r w:rsidRPr="006E3B9B">
        <w:rPr>
          <w:rFonts w:hint="eastAsia"/>
          <w:lang w:val="en-US" w:eastAsia="zh-CN"/>
        </w:rPr>
        <w:t>捐赠给</w:t>
      </w:r>
      <w:r w:rsidRPr="006E3B9B">
        <w:rPr>
          <w:rFonts w:hint="eastAsia"/>
          <w:lang w:eastAsia="zh-CN"/>
        </w:rPr>
        <w:t>总部办公楼新翼的礼品</w:t>
      </w:r>
      <w:r w:rsidRPr="006E3B9B">
        <w:rPr>
          <w:lang w:val="en-US" w:eastAsia="zh-CN"/>
        </w:rPr>
        <w:tab/>
      </w:r>
      <w:r w:rsidR="00396681">
        <w:rPr>
          <w:lang w:val="en-US" w:eastAsia="zh-CN"/>
        </w:rPr>
        <w:tab/>
      </w:r>
      <w:r w:rsidRPr="006E3B9B">
        <w:rPr>
          <w:lang w:val="en-US" w:eastAsia="zh-CN"/>
        </w:rPr>
        <w:t>1973</w:t>
      </w:r>
      <w:r w:rsidRPr="006E3B9B">
        <w:rPr>
          <w:rFonts w:hint="eastAsia"/>
          <w:lang w:val="en-US" w:eastAsia="zh-CN"/>
        </w:rPr>
        <w:t>年</w:t>
      </w:r>
    </w:p>
    <w:p w14:paraId="4827C3A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356</w:t>
      </w:r>
      <w:r w:rsidRPr="006E3B9B">
        <w:rPr>
          <w:lang w:val="en-US" w:eastAsia="zh-CN"/>
        </w:rPr>
        <w:t>号决定</w:t>
      </w:r>
      <w:r w:rsidRPr="006E3B9B">
        <w:rPr>
          <w:lang w:val="en-US" w:eastAsia="zh-CN"/>
        </w:rPr>
        <w:tab/>
      </w:r>
      <w:r w:rsidRPr="006E3B9B">
        <w:rPr>
          <w:rFonts w:hint="eastAsia"/>
          <w:lang w:eastAsia="zh-CN"/>
        </w:rPr>
        <w:t>国际电联的工作语文</w:t>
      </w:r>
      <w:r w:rsidRPr="006E3B9B">
        <w:rPr>
          <w:lang w:val="en-US" w:eastAsia="zh-CN"/>
        </w:rPr>
        <w:tab/>
      </w:r>
      <w:r w:rsidR="00396681">
        <w:rPr>
          <w:lang w:val="en-US" w:eastAsia="zh-CN"/>
        </w:rPr>
        <w:tab/>
      </w:r>
      <w:r w:rsidRPr="006E3B9B">
        <w:rPr>
          <w:lang w:val="en-US" w:eastAsia="zh-CN"/>
        </w:rPr>
        <w:t>1974</w:t>
      </w:r>
      <w:r w:rsidRPr="006E3B9B">
        <w:rPr>
          <w:rFonts w:hint="eastAsia"/>
          <w:lang w:val="en-US" w:eastAsia="zh-CN"/>
        </w:rPr>
        <w:t>年</w:t>
      </w:r>
    </w:p>
    <w:p w14:paraId="4827C3A4"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25</w:t>
      </w:r>
      <w:r w:rsidRPr="006E3B9B">
        <w:rPr>
          <w:rFonts w:hint="eastAsia"/>
          <w:lang w:eastAsia="zh-CN"/>
        </w:rPr>
        <w:t>届会议（</w:t>
      </w:r>
      <w:r w:rsidRPr="006E3B9B">
        <w:rPr>
          <w:lang w:eastAsia="zh-CN"/>
        </w:rPr>
        <w:t>1970</w:t>
      </w:r>
      <w:r w:rsidRPr="006E3B9B">
        <w:rPr>
          <w:rFonts w:hint="eastAsia"/>
          <w:lang w:eastAsia="zh-CN"/>
        </w:rPr>
        <w:t>年</w:t>
      </w:r>
      <w:r w:rsidRPr="006E3B9B">
        <w:rPr>
          <w:lang w:eastAsia="zh-CN"/>
        </w:rPr>
        <w:t>5</w:t>
      </w:r>
      <w:r w:rsidRPr="006E3B9B">
        <w:rPr>
          <w:rFonts w:hint="eastAsia"/>
          <w:lang w:eastAsia="zh-CN"/>
        </w:rPr>
        <w:t>月</w:t>
      </w:r>
      <w:r w:rsidRPr="006E3B9B">
        <w:rPr>
          <w:rFonts w:hint="eastAsia"/>
          <w:lang w:eastAsia="zh-CN"/>
        </w:rPr>
        <w:t>-</w:t>
      </w:r>
      <w:r w:rsidRPr="006E3B9B">
        <w:rPr>
          <w:lang w:eastAsia="zh-CN"/>
        </w:rPr>
        <w:t>6</w:t>
      </w:r>
      <w:r w:rsidRPr="006E3B9B">
        <w:rPr>
          <w:rFonts w:hint="eastAsia"/>
          <w:lang w:eastAsia="zh-CN"/>
        </w:rPr>
        <w:t>月）</w:t>
      </w:r>
    </w:p>
    <w:p w14:paraId="4827C3A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357</w:t>
      </w:r>
      <w:r w:rsidRPr="006E3B9B">
        <w:rPr>
          <w:lang w:val="en-US" w:eastAsia="zh-CN"/>
        </w:rPr>
        <w:t>号决定</w:t>
      </w:r>
      <w:r w:rsidRPr="006E3B9B">
        <w:rPr>
          <w:lang w:val="en-US" w:eastAsia="zh-CN"/>
        </w:rPr>
        <w:tab/>
      </w:r>
      <w:r w:rsidRPr="006E3B9B">
        <w:rPr>
          <w:rFonts w:hint="eastAsia"/>
          <w:lang w:eastAsia="zh-CN"/>
        </w:rPr>
        <w:t>向备用基金的年度付款</w:t>
      </w:r>
      <w:r w:rsidRPr="006E3B9B">
        <w:rPr>
          <w:lang w:val="en-US" w:eastAsia="zh-CN"/>
        </w:rPr>
        <w:tab/>
      </w:r>
      <w:r w:rsidR="00396681">
        <w:rPr>
          <w:lang w:val="en-US" w:eastAsia="zh-CN"/>
        </w:rPr>
        <w:tab/>
      </w:r>
      <w:r w:rsidRPr="006E3B9B">
        <w:rPr>
          <w:lang w:val="en-US" w:eastAsia="zh-CN"/>
        </w:rPr>
        <w:t>1978</w:t>
      </w:r>
      <w:r w:rsidRPr="006E3B9B">
        <w:rPr>
          <w:rFonts w:hint="eastAsia"/>
          <w:lang w:val="en-US" w:eastAsia="zh-CN"/>
        </w:rPr>
        <w:t>年</w:t>
      </w:r>
    </w:p>
    <w:p w14:paraId="4827C3A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358</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26</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1971</w:t>
      </w:r>
      <w:r w:rsidRPr="006E3B9B">
        <w:rPr>
          <w:rFonts w:hint="eastAsia"/>
          <w:lang w:val="en-US" w:eastAsia="zh-CN"/>
        </w:rPr>
        <w:t>年</w:t>
      </w:r>
    </w:p>
    <w:p w14:paraId="4827C3A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359</w:t>
      </w:r>
      <w:r w:rsidRPr="006E3B9B">
        <w:rPr>
          <w:lang w:val="en-US" w:eastAsia="zh-CN"/>
        </w:rPr>
        <w:t>号决定</w:t>
      </w:r>
      <w:r w:rsidRPr="006E3B9B">
        <w:rPr>
          <w:lang w:val="en-US" w:eastAsia="zh-CN"/>
        </w:rPr>
        <w:tab/>
      </w:r>
      <w:r w:rsidRPr="006E3B9B">
        <w:rPr>
          <w:rFonts w:hint="eastAsia"/>
          <w:lang w:eastAsia="zh-CN"/>
        </w:rPr>
        <w:t>大会和会议最后文件的出版</w:t>
      </w:r>
      <w:r w:rsidRPr="006E3B9B">
        <w:rPr>
          <w:lang w:val="en-US" w:eastAsia="zh-CN"/>
        </w:rPr>
        <w:tab/>
      </w:r>
      <w:r w:rsidR="00396681">
        <w:rPr>
          <w:lang w:val="en-US" w:eastAsia="zh-CN"/>
        </w:rPr>
        <w:tab/>
      </w:r>
      <w:r w:rsidRPr="006E3B9B">
        <w:rPr>
          <w:lang w:val="en-US" w:eastAsia="zh-CN"/>
        </w:rPr>
        <w:t>1999</w:t>
      </w:r>
      <w:r w:rsidRPr="006E3B9B">
        <w:rPr>
          <w:rFonts w:hint="eastAsia"/>
          <w:lang w:val="en-US" w:eastAsia="zh-CN"/>
        </w:rPr>
        <w:t>年</w:t>
      </w:r>
    </w:p>
    <w:p w14:paraId="4827C3A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360</w:t>
      </w:r>
      <w:r w:rsidRPr="006E3B9B">
        <w:rPr>
          <w:lang w:val="en-US" w:eastAsia="zh-CN"/>
        </w:rPr>
        <w:t>号决定</w:t>
      </w:r>
      <w:r w:rsidRPr="006E3B9B">
        <w:rPr>
          <w:lang w:val="en-US" w:eastAsia="zh-CN"/>
        </w:rPr>
        <w:tab/>
      </w:r>
      <w:r w:rsidRPr="006E3B9B">
        <w:rPr>
          <w:rFonts w:hint="eastAsia"/>
          <w:lang w:eastAsia="zh-CN"/>
        </w:rPr>
        <w:t>行政和预算问题咨询委员会对与国际电联计划和预算有关的行政和管理程序</w:t>
      </w:r>
      <w:r w:rsidRPr="006E3B9B">
        <w:rPr>
          <w:lang w:eastAsia="zh-CN"/>
        </w:rPr>
        <w:br/>
      </w:r>
      <w:r w:rsidRPr="006E3B9B">
        <w:rPr>
          <w:rFonts w:hint="eastAsia"/>
          <w:lang w:eastAsia="zh-CN"/>
        </w:rPr>
        <w:t>进行的审查</w:t>
      </w:r>
      <w:r w:rsidRPr="006E3B9B">
        <w:rPr>
          <w:lang w:val="en-US" w:eastAsia="zh-CN"/>
        </w:rPr>
        <w:tab/>
      </w:r>
      <w:r w:rsidR="00396681">
        <w:rPr>
          <w:lang w:val="en-US" w:eastAsia="zh-CN"/>
        </w:rPr>
        <w:tab/>
      </w:r>
      <w:r w:rsidRPr="006E3B9B">
        <w:rPr>
          <w:lang w:val="en-US" w:eastAsia="zh-CN"/>
        </w:rPr>
        <w:t>1971</w:t>
      </w:r>
      <w:r w:rsidRPr="006E3B9B">
        <w:rPr>
          <w:rFonts w:hint="eastAsia"/>
          <w:lang w:val="en-US" w:eastAsia="zh-CN"/>
        </w:rPr>
        <w:t>年</w:t>
      </w:r>
    </w:p>
    <w:p w14:paraId="4827C3A9"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26</w:t>
      </w:r>
      <w:r w:rsidRPr="006E3B9B">
        <w:rPr>
          <w:rFonts w:hint="eastAsia"/>
          <w:lang w:eastAsia="zh-CN"/>
        </w:rPr>
        <w:t>届会议（</w:t>
      </w:r>
      <w:r w:rsidRPr="006E3B9B">
        <w:rPr>
          <w:lang w:eastAsia="zh-CN"/>
        </w:rPr>
        <w:t>1971</w:t>
      </w:r>
      <w:r w:rsidRPr="006E3B9B">
        <w:rPr>
          <w:rFonts w:hint="eastAsia"/>
          <w:lang w:eastAsia="zh-CN"/>
        </w:rPr>
        <w:t>年</w:t>
      </w:r>
      <w:r w:rsidRPr="006E3B9B">
        <w:rPr>
          <w:lang w:eastAsia="zh-CN"/>
        </w:rPr>
        <w:t>5</w:t>
      </w:r>
      <w:r w:rsidRPr="006E3B9B">
        <w:rPr>
          <w:rFonts w:hint="eastAsia"/>
          <w:lang w:eastAsia="zh-CN"/>
        </w:rPr>
        <w:t>月）</w:t>
      </w:r>
    </w:p>
    <w:p w14:paraId="4827C3A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361</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27</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1972</w:t>
      </w:r>
      <w:r w:rsidRPr="006E3B9B">
        <w:rPr>
          <w:rFonts w:hint="eastAsia"/>
          <w:lang w:val="en-US" w:eastAsia="zh-CN"/>
        </w:rPr>
        <w:t>年</w:t>
      </w:r>
    </w:p>
    <w:p w14:paraId="4827C3AB"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27</w:t>
      </w:r>
      <w:r w:rsidRPr="006E3B9B">
        <w:rPr>
          <w:rFonts w:hint="eastAsia"/>
          <w:lang w:eastAsia="zh-CN"/>
        </w:rPr>
        <w:t>届会议（</w:t>
      </w:r>
      <w:r w:rsidRPr="006E3B9B">
        <w:rPr>
          <w:lang w:eastAsia="zh-CN"/>
        </w:rPr>
        <w:t>1972</w:t>
      </w:r>
      <w:r w:rsidRPr="006E3B9B">
        <w:rPr>
          <w:rFonts w:hint="eastAsia"/>
          <w:lang w:eastAsia="zh-CN"/>
        </w:rPr>
        <w:t>年</w:t>
      </w:r>
      <w:r w:rsidRPr="006E3B9B">
        <w:rPr>
          <w:lang w:eastAsia="zh-CN"/>
        </w:rPr>
        <w:t>5</w:t>
      </w:r>
      <w:r w:rsidRPr="006E3B9B">
        <w:rPr>
          <w:rFonts w:hint="eastAsia"/>
          <w:lang w:eastAsia="zh-CN"/>
        </w:rPr>
        <w:t>月</w:t>
      </w:r>
      <w:r w:rsidRPr="006E3B9B">
        <w:rPr>
          <w:rFonts w:hint="eastAsia"/>
          <w:lang w:eastAsia="zh-CN"/>
        </w:rPr>
        <w:t>-</w:t>
      </w:r>
      <w:r w:rsidRPr="006E3B9B">
        <w:rPr>
          <w:lang w:eastAsia="zh-CN"/>
        </w:rPr>
        <w:t>6</w:t>
      </w:r>
      <w:r w:rsidRPr="006E3B9B">
        <w:rPr>
          <w:rFonts w:hint="eastAsia"/>
          <w:lang w:eastAsia="zh-CN"/>
        </w:rPr>
        <w:t>月）</w:t>
      </w:r>
    </w:p>
    <w:p w14:paraId="4827C3A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362</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28</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1973</w:t>
      </w:r>
      <w:r w:rsidRPr="006E3B9B">
        <w:rPr>
          <w:rFonts w:hint="eastAsia"/>
          <w:lang w:val="en-US" w:eastAsia="zh-CN"/>
        </w:rPr>
        <w:t>年</w:t>
      </w:r>
    </w:p>
    <w:p w14:paraId="4827C3A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363</w:t>
      </w:r>
      <w:r w:rsidRPr="006E3B9B">
        <w:rPr>
          <w:lang w:val="en-US" w:eastAsia="zh-CN"/>
        </w:rPr>
        <w:t>号决定</w:t>
      </w:r>
      <w:r w:rsidRPr="006E3B9B">
        <w:rPr>
          <w:lang w:val="en-US" w:eastAsia="zh-CN"/>
        </w:rPr>
        <w:tab/>
      </w:r>
      <w:r w:rsidRPr="006E3B9B">
        <w:rPr>
          <w:rFonts w:hint="eastAsia"/>
          <w:lang w:eastAsia="zh-CN"/>
        </w:rPr>
        <w:t>笔译和口译人员的聘用</w:t>
      </w:r>
      <w:r w:rsidRPr="006E3B9B">
        <w:rPr>
          <w:lang w:val="en-US" w:eastAsia="zh-CN"/>
        </w:rPr>
        <w:tab/>
      </w:r>
      <w:r w:rsidR="00396681">
        <w:rPr>
          <w:lang w:val="en-US" w:eastAsia="zh-CN"/>
        </w:rPr>
        <w:tab/>
      </w:r>
      <w:r w:rsidRPr="006E3B9B">
        <w:rPr>
          <w:lang w:val="en-US" w:eastAsia="zh-CN"/>
        </w:rPr>
        <w:t>1974</w:t>
      </w:r>
      <w:r w:rsidRPr="006E3B9B">
        <w:rPr>
          <w:rFonts w:hint="eastAsia"/>
          <w:lang w:val="en-US" w:eastAsia="zh-CN"/>
        </w:rPr>
        <w:t>年</w:t>
      </w:r>
    </w:p>
    <w:p w14:paraId="4827C3A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364</w:t>
      </w:r>
      <w:r w:rsidRPr="006E3B9B">
        <w:rPr>
          <w:lang w:val="en-US" w:eastAsia="zh-CN"/>
        </w:rPr>
        <w:t>号决定</w:t>
      </w:r>
      <w:r w:rsidRPr="006E3B9B">
        <w:rPr>
          <w:lang w:val="en-US" w:eastAsia="zh-CN"/>
        </w:rPr>
        <w:tab/>
      </w:r>
      <w:r w:rsidRPr="006E3B9B">
        <w:rPr>
          <w:rFonts w:hint="eastAsia"/>
          <w:lang w:eastAsia="zh-CN"/>
        </w:rPr>
        <w:t>国际电联总部办公楼的扩建</w:t>
      </w:r>
      <w:r w:rsidRPr="006E3B9B">
        <w:rPr>
          <w:lang w:val="en-US" w:eastAsia="zh-CN"/>
        </w:rPr>
        <w:tab/>
      </w:r>
      <w:r w:rsidR="00396681">
        <w:rPr>
          <w:lang w:val="en-US" w:eastAsia="zh-CN"/>
        </w:rPr>
        <w:tab/>
      </w:r>
      <w:r w:rsidRPr="006E3B9B">
        <w:rPr>
          <w:lang w:val="en-US" w:eastAsia="zh-CN"/>
        </w:rPr>
        <w:t>1973</w:t>
      </w:r>
      <w:r w:rsidRPr="006E3B9B">
        <w:rPr>
          <w:rFonts w:hint="eastAsia"/>
          <w:lang w:val="en-US" w:eastAsia="zh-CN"/>
        </w:rPr>
        <w:t>年</w:t>
      </w:r>
    </w:p>
    <w:p w14:paraId="4827C3A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365</w:t>
      </w:r>
      <w:r w:rsidRPr="006E3B9B">
        <w:rPr>
          <w:lang w:val="en-US" w:eastAsia="zh-CN"/>
        </w:rPr>
        <w:t>号决定</w:t>
      </w:r>
      <w:r w:rsidRPr="006E3B9B">
        <w:rPr>
          <w:lang w:val="en-US" w:eastAsia="zh-CN"/>
        </w:rPr>
        <w:tab/>
      </w:r>
      <w:r w:rsidRPr="006E3B9B">
        <w:rPr>
          <w:lang w:eastAsia="zh-CN"/>
        </w:rPr>
        <w:t>CCITT</w:t>
      </w:r>
      <w:r w:rsidRPr="006E3B9B">
        <w:rPr>
          <w:rFonts w:hint="eastAsia"/>
          <w:lang w:eastAsia="zh-CN"/>
        </w:rPr>
        <w:t>主任的选举程序</w:t>
      </w:r>
      <w:r w:rsidRPr="006E3B9B">
        <w:rPr>
          <w:lang w:val="en-US" w:eastAsia="zh-CN"/>
        </w:rPr>
        <w:tab/>
      </w:r>
      <w:r w:rsidR="00396681">
        <w:rPr>
          <w:lang w:val="en-US" w:eastAsia="zh-CN"/>
        </w:rPr>
        <w:tab/>
      </w:r>
      <w:r w:rsidRPr="006E3B9B">
        <w:rPr>
          <w:lang w:val="en-US" w:eastAsia="zh-CN"/>
        </w:rPr>
        <w:t>1973</w:t>
      </w:r>
      <w:r w:rsidRPr="006E3B9B">
        <w:rPr>
          <w:rFonts w:hint="eastAsia"/>
          <w:lang w:val="en-US" w:eastAsia="zh-CN"/>
        </w:rPr>
        <w:t>年</w:t>
      </w:r>
    </w:p>
    <w:p w14:paraId="4827C3B0"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28</w:t>
      </w:r>
      <w:r w:rsidRPr="006E3B9B">
        <w:rPr>
          <w:rFonts w:hint="eastAsia"/>
          <w:lang w:eastAsia="zh-CN"/>
        </w:rPr>
        <w:t>届会议（</w:t>
      </w:r>
      <w:r w:rsidRPr="006E3B9B">
        <w:rPr>
          <w:lang w:eastAsia="zh-CN"/>
        </w:rPr>
        <w:t>1973</w:t>
      </w:r>
      <w:r w:rsidRPr="006E3B9B">
        <w:rPr>
          <w:rFonts w:hint="eastAsia"/>
          <w:lang w:eastAsia="zh-CN"/>
        </w:rPr>
        <w:t>年</w:t>
      </w:r>
      <w:r w:rsidRPr="006E3B9B">
        <w:rPr>
          <w:lang w:eastAsia="zh-CN"/>
        </w:rPr>
        <w:t>5</w:t>
      </w:r>
      <w:r w:rsidRPr="006E3B9B">
        <w:rPr>
          <w:rFonts w:hint="eastAsia"/>
          <w:lang w:eastAsia="zh-CN"/>
        </w:rPr>
        <w:t>月</w:t>
      </w:r>
      <w:r w:rsidRPr="006E3B9B">
        <w:rPr>
          <w:rFonts w:hint="eastAsia"/>
          <w:lang w:eastAsia="zh-CN"/>
        </w:rPr>
        <w:t>-</w:t>
      </w:r>
      <w:r w:rsidRPr="006E3B9B">
        <w:rPr>
          <w:lang w:eastAsia="zh-CN"/>
        </w:rPr>
        <w:t>6</w:t>
      </w:r>
      <w:r w:rsidRPr="006E3B9B">
        <w:rPr>
          <w:rFonts w:hint="eastAsia"/>
          <w:lang w:eastAsia="zh-CN"/>
        </w:rPr>
        <w:t>月）</w:t>
      </w:r>
    </w:p>
    <w:p w14:paraId="4827C3B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366</w:t>
      </w:r>
      <w:r w:rsidRPr="006E3B9B">
        <w:rPr>
          <w:lang w:val="en-US" w:eastAsia="zh-CN"/>
        </w:rPr>
        <w:t>号决定</w:t>
      </w:r>
      <w:r w:rsidRPr="006E3B9B">
        <w:rPr>
          <w:lang w:val="en-US" w:eastAsia="zh-CN"/>
        </w:rPr>
        <w:tab/>
      </w:r>
      <w:r w:rsidRPr="006E3B9B">
        <w:rPr>
          <w:rFonts w:hint="eastAsia"/>
          <w:lang w:eastAsia="zh-CN"/>
        </w:rPr>
        <w:t>停车场地</w:t>
      </w:r>
      <w:r w:rsidRPr="006E3B9B">
        <w:rPr>
          <w:lang w:val="en-US" w:eastAsia="zh-CN"/>
        </w:rPr>
        <w:tab/>
      </w:r>
      <w:r w:rsidR="00396681">
        <w:rPr>
          <w:lang w:val="en-US" w:eastAsia="zh-CN"/>
        </w:rPr>
        <w:tab/>
      </w:r>
      <w:r w:rsidRPr="006E3B9B">
        <w:rPr>
          <w:lang w:val="en-US" w:eastAsia="zh-CN"/>
        </w:rPr>
        <w:t>1974</w:t>
      </w:r>
      <w:r w:rsidRPr="006E3B9B">
        <w:rPr>
          <w:rFonts w:hint="eastAsia"/>
          <w:lang w:val="en-US" w:eastAsia="zh-CN"/>
        </w:rPr>
        <w:t>年</w:t>
      </w:r>
    </w:p>
    <w:p w14:paraId="4827C3B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367</w:t>
      </w:r>
      <w:r w:rsidRPr="006E3B9B">
        <w:rPr>
          <w:lang w:val="en-US" w:eastAsia="zh-CN"/>
        </w:rPr>
        <w:t>号决定</w:t>
      </w:r>
      <w:r w:rsidRPr="006E3B9B">
        <w:rPr>
          <w:lang w:val="en-US" w:eastAsia="zh-CN"/>
        </w:rPr>
        <w:tab/>
      </w:r>
      <w:r w:rsidRPr="006E3B9B">
        <w:rPr>
          <w:lang w:eastAsia="zh-CN"/>
        </w:rPr>
        <w:t>CCIR</w:t>
      </w:r>
      <w:r w:rsidRPr="006E3B9B">
        <w:rPr>
          <w:rFonts w:hint="eastAsia"/>
          <w:lang w:eastAsia="zh-CN"/>
        </w:rPr>
        <w:t>主任的选举程序</w:t>
      </w:r>
      <w:r w:rsidRPr="006E3B9B">
        <w:rPr>
          <w:lang w:val="en-US" w:eastAsia="zh-CN"/>
        </w:rPr>
        <w:tab/>
      </w:r>
      <w:r w:rsidR="00396681">
        <w:rPr>
          <w:lang w:val="en-US" w:eastAsia="zh-CN"/>
        </w:rPr>
        <w:tab/>
      </w:r>
      <w:r w:rsidRPr="006E3B9B">
        <w:rPr>
          <w:lang w:val="en-US" w:eastAsia="zh-CN"/>
        </w:rPr>
        <w:t>1975</w:t>
      </w:r>
      <w:r w:rsidRPr="006E3B9B">
        <w:rPr>
          <w:rFonts w:hint="eastAsia"/>
          <w:lang w:val="en-US" w:eastAsia="zh-CN"/>
        </w:rPr>
        <w:t>年</w:t>
      </w:r>
    </w:p>
    <w:p w14:paraId="4827C3B3"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29</w:t>
      </w:r>
      <w:r w:rsidRPr="006E3B9B">
        <w:rPr>
          <w:rFonts w:hint="eastAsia"/>
          <w:lang w:eastAsia="zh-CN"/>
        </w:rPr>
        <w:t>届会议（</w:t>
      </w:r>
      <w:r w:rsidRPr="006E3B9B">
        <w:rPr>
          <w:lang w:eastAsia="zh-CN"/>
        </w:rPr>
        <w:t>1974</w:t>
      </w:r>
      <w:r w:rsidRPr="006E3B9B">
        <w:rPr>
          <w:rFonts w:hint="eastAsia"/>
          <w:lang w:eastAsia="zh-CN"/>
        </w:rPr>
        <w:t>年</w:t>
      </w:r>
      <w:r w:rsidRPr="006E3B9B">
        <w:rPr>
          <w:lang w:eastAsia="zh-CN"/>
        </w:rPr>
        <w:t>6</w:t>
      </w:r>
      <w:r w:rsidRPr="006E3B9B">
        <w:rPr>
          <w:rFonts w:hint="eastAsia"/>
          <w:lang w:eastAsia="zh-CN"/>
        </w:rPr>
        <w:t>月</w:t>
      </w:r>
      <w:r w:rsidRPr="006E3B9B">
        <w:rPr>
          <w:rFonts w:hint="eastAsia"/>
          <w:lang w:eastAsia="zh-CN"/>
        </w:rPr>
        <w:t>-</w:t>
      </w:r>
      <w:r w:rsidRPr="006E3B9B">
        <w:rPr>
          <w:lang w:eastAsia="zh-CN"/>
        </w:rPr>
        <w:t>7</w:t>
      </w:r>
      <w:r w:rsidRPr="006E3B9B">
        <w:rPr>
          <w:rFonts w:hint="eastAsia"/>
          <w:lang w:eastAsia="zh-CN"/>
        </w:rPr>
        <w:t>月）</w:t>
      </w:r>
    </w:p>
    <w:p w14:paraId="4827C3B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368</w:t>
      </w:r>
      <w:r w:rsidRPr="006E3B9B">
        <w:rPr>
          <w:lang w:val="en-US" w:eastAsia="zh-CN"/>
        </w:rPr>
        <w:t>号决定</w:t>
      </w:r>
      <w:r w:rsidRPr="006E3B9B">
        <w:rPr>
          <w:lang w:val="en-US" w:eastAsia="zh-CN"/>
        </w:rPr>
        <w:tab/>
      </w:r>
      <w:r w:rsidRPr="006E3B9B">
        <w:rPr>
          <w:rFonts w:hint="eastAsia"/>
          <w:lang w:val="en-US" w:eastAsia="zh-CN"/>
        </w:rPr>
        <w:t>发行</w:t>
      </w:r>
      <w:r w:rsidRPr="006E3B9B">
        <w:rPr>
          <w:rFonts w:hint="eastAsia"/>
          <w:lang w:eastAsia="zh-CN"/>
        </w:rPr>
        <w:t>国际电联官方邮票所得收入</w:t>
      </w:r>
      <w:r w:rsidRPr="006E3B9B">
        <w:rPr>
          <w:lang w:val="en-US" w:eastAsia="zh-CN"/>
        </w:rPr>
        <w:tab/>
      </w:r>
      <w:r w:rsidR="00396681">
        <w:rPr>
          <w:lang w:val="en-US" w:eastAsia="zh-CN"/>
        </w:rPr>
        <w:tab/>
      </w:r>
      <w:r w:rsidRPr="006E3B9B">
        <w:rPr>
          <w:lang w:val="en-US" w:eastAsia="zh-CN"/>
        </w:rPr>
        <w:t>1975</w:t>
      </w:r>
      <w:r w:rsidRPr="006E3B9B">
        <w:rPr>
          <w:rFonts w:hint="eastAsia"/>
          <w:lang w:val="en-US" w:eastAsia="zh-CN"/>
        </w:rPr>
        <w:t>年</w:t>
      </w:r>
    </w:p>
    <w:p w14:paraId="4827C3B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369</w:t>
      </w:r>
      <w:r w:rsidRPr="006E3B9B">
        <w:rPr>
          <w:lang w:val="en-US" w:eastAsia="zh-CN"/>
        </w:rPr>
        <w:t>号决定</w:t>
      </w:r>
      <w:r w:rsidRPr="006E3B9B">
        <w:rPr>
          <w:lang w:val="en-US" w:eastAsia="zh-CN"/>
        </w:rPr>
        <w:tab/>
      </w:r>
      <w:r w:rsidRPr="006E3B9B">
        <w:rPr>
          <w:rFonts w:hint="eastAsia"/>
          <w:lang w:eastAsia="zh-CN"/>
        </w:rPr>
        <w:t>选举</w:t>
      </w:r>
      <w:r w:rsidRPr="006E3B9B">
        <w:rPr>
          <w:lang w:eastAsia="zh-CN"/>
        </w:rPr>
        <w:t>CCIR</w:t>
      </w:r>
      <w:r w:rsidRPr="006E3B9B">
        <w:rPr>
          <w:rFonts w:hint="eastAsia"/>
          <w:lang w:eastAsia="zh-CN"/>
        </w:rPr>
        <w:t>新主任的支出</w:t>
      </w:r>
      <w:r w:rsidRPr="006E3B9B">
        <w:rPr>
          <w:lang w:val="en-US" w:eastAsia="zh-CN"/>
        </w:rPr>
        <w:tab/>
      </w:r>
      <w:r w:rsidR="00396681">
        <w:rPr>
          <w:lang w:val="en-US" w:eastAsia="zh-CN"/>
        </w:rPr>
        <w:tab/>
      </w:r>
      <w:r w:rsidRPr="006E3B9B">
        <w:rPr>
          <w:lang w:val="en-US" w:eastAsia="zh-CN"/>
        </w:rPr>
        <w:t>1975</w:t>
      </w:r>
      <w:r w:rsidRPr="006E3B9B">
        <w:rPr>
          <w:rFonts w:hint="eastAsia"/>
          <w:lang w:val="en-US" w:eastAsia="zh-CN"/>
        </w:rPr>
        <w:t>年</w:t>
      </w:r>
    </w:p>
    <w:p w14:paraId="4827C3B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370</w:t>
      </w:r>
      <w:r w:rsidRPr="006E3B9B">
        <w:rPr>
          <w:lang w:val="en-US" w:eastAsia="zh-CN"/>
        </w:rPr>
        <w:t>号决定</w:t>
      </w:r>
      <w:r w:rsidRPr="006E3B9B">
        <w:rPr>
          <w:lang w:val="en-US" w:eastAsia="zh-CN"/>
        </w:rPr>
        <w:tab/>
      </w:r>
      <w:r w:rsidRPr="006E3B9B">
        <w:rPr>
          <w:rFonts w:hint="eastAsia"/>
          <w:lang w:eastAsia="zh-CN"/>
        </w:rPr>
        <w:t>职位的定级标准和分类</w:t>
      </w:r>
      <w:r w:rsidRPr="006E3B9B">
        <w:rPr>
          <w:lang w:val="en-US" w:eastAsia="zh-CN"/>
        </w:rPr>
        <w:tab/>
      </w:r>
      <w:r w:rsidR="00396681">
        <w:rPr>
          <w:lang w:val="en-US" w:eastAsia="zh-CN"/>
        </w:rPr>
        <w:tab/>
      </w:r>
      <w:r w:rsidRPr="006E3B9B">
        <w:rPr>
          <w:lang w:val="en-US" w:eastAsia="zh-CN"/>
        </w:rPr>
        <w:t>1976</w:t>
      </w:r>
      <w:r w:rsidRPr="006E3B9B">
        <w:rPr>
          <w:rFonts w:hint="eastAsia"/>
          <w:lang w:val="en-US" w:eastAsia="zh-CN"/>
        </w:rPr>
        <w:t>年</w:t>
      </w:r>
    </w:p>
    <w:p w14:paraId="4827C3B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371</w:t>
      </w:r>
      <w:r w:rsidRPr="006E3B9B">
        <w:rPr>
          <w:lang w:val="en-US" w:eastAsia="zh-CN"/>
        </w:rPr>
        <w:t>号决定</w:t>
      </w:r>
      <w:r w:rsidRPr="006E3B9B">
        <w:rPr>
          <w:lang w:val="en-US" w:eastAsia="zh-CN"/>
        </w:rPr>
        <w:tab/>
      </w:r>
      <w:r w:rsidRPr="006E3B9B">
        <w:rPr>
          <w:rFonts w:hint="eastAsia"/>
          <w:lang w:eastAsia="zh-CN"/>
        </w:rPr>
        <w:t>有关某些招聘的临时措施</w:t>
      </w:r>
      <w:r w:rsidRPr="006E3B9B">
        <w:rPr>
          <w:lang w:val="en-US" w:eastAsia="zh-CN"/>
        </w:rPr>
        <w:tab/>
      </w:r>
      <w:r w:rsidR="00396681">
        <w:rPr>
          <w:lang w:val="en-US" w:eastAsia="zh-CN"/>
        </w:rPr>
        <w:tab/>
      </w:r>
      <w:r w:rsidRPr="006E3B9B">
        <w:rPr>
          <w:lang w:val="en-US" w:eastAsia="zh-CN"/>
        </w:rPr>
        <w:t>1975</w:t>
      </w:r>
      <w:r w:rsidRPr="006E3B9B">
        <w:rPr>
          <w:rFonts w:hint="eastAsia"/>
          <w:lang w:val="en-US" w:eastAsia="zh-CN"/>
        </w:rPr>
        <w:t>年</w:t>
      </w:r>
    </w:p>
    <w:p w14:paraId="4827C3B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372</w:t>
      </w:r>
      <w:r w:rsidRPr="006E3B9B">
        <w:rPr>
          <w:lang w:val="en-US" w:eastAsia="zh-CN"/>
        </w:rPr>
        <w:t>号决定</w:t>
      </w:r>
      <w:r w:rsidRPr="006E3B9B">
        <w:rPr>
          <w:lang w:val="en-US" w:eastAsia="zh-CN"/>
        </w:rPr>
        <w:tab/>
      </w:r>
      <w:r w:rsidRPr="006E3B9B">
        <w:rPr>
          <w:rFonts w:hint="eastAsia"/>
          <w:lang w:eastAsia="zh-CN"/>
        </w:rPr>
        <w:t>大会和会议的口译设备</w:t>
      </w:r>
      <w:r w:rsidRPr="006E3B9B">
        <w:rPr>
          <w:lang w:val="en-US" w:eastAsia="zh-CN"/>
        </w:rPr>
        <w:tab/>
      </w:r>
      <w:r w:rsidR="00396681">
        <w:rPr>
          <w:lang w:val="en-US" w:eastAsia="zh-CN"/>
        </w:rPr>
        <w:tab/>
      </w:r>
      <w:r w:rsidRPr="006E3B9B">
        <w:rPr>
          <w:lang w:val="en-US" w:eastAsia="zh-CN"/>
        </w:rPr>
        <w:t>1984</w:t>
      </w:r>
      <w:r w:rsidRPr="006E3B9B">
        <w:rPr>
          <w:rFonts w:hint="eastAsia"/>
          <w:lang w:val="en-US" w:eastAsia="zh-CN"/>
        </w:rPr>
        <w:t>年</w:t>
      </w:r>
    </w:p>
    <w:p w14:paraId="4827C3B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373</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30</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1975</w:t>
      </w:r>
      <w:r w:rsidRPr="006E3B9B">
        <w:rPr>
          <w:rFonts w:hint="eastAsia"/>
          <w:lang w:val="en-US" w:eastAsia="zh-CN"/>
        </w:rPr>
        <w:t>年</w:t>
      </w:r>
    </w:p>
    <w:p w14:paraId="4827C3BA"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30</w:t>
      </w:r>
      <w:r w:rsidRPr="006E3B9B">
        <w:rPr>
          <w:rFonts w:hint="eastAsia"/>
          <w:lang w:eastAsia="zh-CN"/>
        </w:rPr>
        <w:t>届会议（</w:t>
      </w:r>
      <w:r w:rsidRPr="006E3B9B">
        <w:rPr>
          <w:lang w:eastAsia="zh-CN"/>
        </w:rPr>
        <w:t>1975</w:t>
      </w:r>
      <w:r w:rsidRPr="006E3B9B">
        <w:rPr>
          <w:rFonts w:hint="eastAsia"/>
          <w:lang w:eastAsia="zh-CN"/>
        </w:rPr>
        <w:t>年</w:t>
      </w:r>
      <w:r w:rsidRPr="006E3B9B">
        <w:rPr>
          <w:lang w:eastAsia="zh-CN"/>
        </w:rPr>
        <w:t>6</w:t>
      </w:r>
      <w:r w:rsidRPr="006E3B9B">
        <w:rPr>
          <w:rFonts w:hint="eastAsia"/>
          <w:lang w:eastAsia="zh-CN"/>
        </w:rPr>
        <w:t>月）</w:t>
      </w:r>
    </w:p>
    <w:p w14:paraId="4827C3BB"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374</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31</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1976</w:t>
      </w:r>
      <w:r w:rsidRPr="006E3B9B">
        <w:rPr>
          <w:rFonts w:hint="eastAsia"/>
          <w:lang w:val="en-US" w:eastAsia="zh-CN"/>
        </w:rPr>
        <w:t>年</w:t>
      </w:r>
    </w:p>
    <w:p w14:paraId="4827C3B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375</w:t>
      </w:r>
      <w:r w:rsidRPr="006E3B9B">
        <w:rPr>
          <w:lang w:val="en-US" w:eastAsia="zh-CN"/>
        </w:rPr>
        <w:t>号决定</w:t>
      </w:r>
      <w:r w:rsidRPr="006E3B9B">
        <w:rPr>
          <w:lang w:val="en-US" w:eastAsia="zh-CN"/>
        </w:rPr>
        <w:tab/>
      </w:r>
      <w:r w:rsidRPr="006E3B9B">
        <w:rPr>
          <w:rFonts w:hint="eastAsia"/>
          <w:lang w:eastAsia="zh-CN"/>
        </w:rPr>
        <w:t>行政理事会理事的差旅费</w:t>
      </w:r>
      <w:r w:rsidRPr="006E3B9B">
        <w:rPr>
          <w:lang w:val="en-US" w:eastAsia="zh-CN"/>
        </w:rPr>
        <w:tab/>
      </w:r>
      <w:r w:rsidR="00396681">
        <w:rPr>
          <w:lang w:val="en-US" w:eastAsia="zh-CN"/>
        </w:rPr>
        <w:tab/>
      </w:r>
      <w:r w:rsidRPr="006E3B9B">
        <w:rPr>
          <w:lang w:val="en-US" w:eastAsia="zh-CN"/>
        </w:rPr>
        <w:t>3.2</w:t>
      </w:r>
    </w:p>
    <w:p w14:paraId="4827C3BD"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31</w:t>
      </w:r>
      <w:r w:rsidRPr="006E3B9B">
        <w:rPr>
          <w:rFonts w:hint="eastAsia"/>
          <w:lang w:eastAsia="zh-CN"/>
        </w:rPr>
        <w:t>届会议（</w:t>
      </w:r>
      <w:r w:rsidRPr="006E3B9B">
        <w:rPr>
          <w:lang w:eastAsia="zh-CN"/>
        </w:rPr>
        <w:t>1976</w:t>
      </w:r>
      <w:r w:rsidRPr="006E3B9B">
        <w:rPr>
          <w:rFonts w:hint="eastAsia"/>
          <w:lang w:eastAsia="zh-CN"/>
        </w:rPr>
        <w:t>年</w:t>
      </w:r>
      <w:r w:rsidRPr="006E3B9B">
        <w:rPr>
          <w:lang w:eastAsia="zh-CN"/>
        </w:rPr>
        <w:t>6</w:t>
      </w:r>
      <w:r w:rsidRPr="006E3B9B">
        <w:rPr>
          <w:rFonts w:hint="eastAsia"/>
          <w:lang w:eastAsia="zh-CN"/>
        </w:rPr>
        <w:t>月）</w:t>
      </w:r>
    </w:p>
    <w:p w14:paraId="4827C3B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376</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32</w:t>
      </w:r>
      <w:r w:rsidRPr="006E3B9B">
        <w:rPr>
          <w:rFonts w:hint="eastAsia"/>
          <w:lang w:eastAsia="zh-CN"/>
        </w:rPr>
        <w:t>届会议的日期和会期</w:t>
      </w:r>
      <w:r w:rsidRPr="006E3B9B">
        <w:rPr>
          <w:lang w:val="en-US" w:eastAsia="zh-CN"/>
        </w:rPr>
        <w:tab/>
      </w:r>
      <w:r w:rsidR="00396681">
        <w:rPr>
          <w:lang w:val="en-US" w:eastAsia="zh-CN"/>
        </w:rPr>
        <w:tab/>
      </w:r>
      <w:r w:rsidRPr="006E3B9B">
        <w:rPr>
          <w:rFonts w:hint="eastAsia"/>
          <w:lang w:val="en-US" w:eastAsia="zh-CN"/>
        </w:rPr>
        <w:t>1977</w:t>
      </w:r>
      <w:r w:rsidRPr="006E3B9B">
        <w:rPr>
          <w:rFonts w:hint="eastAsia"/>
          <w:lang w:val="en-US" w:eastAsia="zh-CN"/>
        </w:rPr>
        <w:t>年</w:t>
      </w:r>
    </w:p>
    <w:p w14:paraId="4827C3B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377</w:t>
      </w:r>
      <w:r w:rsidRPr="006E3B9B">
        <w:rPr>
          <w:lang w:val="en-US" w:eastAsia="zh-CN"/>
        </w:rPr>
        <w:t>号决定</w:t>
      </w:r>
      <w:r w:rsidRPr="006E3B9B">
        <w:rPr>
          <w:lang w:val="en-US" w:eastAsia="zh-CN"/>
        </w:rPr>
        <w:tab/>
      </w:r>
      <w:r w:rsidRPr="006E3B9B">
        <w:rPr>
          <w:lang w:eastAsia="zh-CN"/>
        </w:rPr>
        <w:t>CCITT</w:t>
      </w:r>
      <w:r w:rsidRPr="006E3B9B">
        <w:rPr>
          <w:rFonts w:hint="eastAsia"/>
          <w:lang w:eastAsia="zh-CN"/>
        </w:rPr>
        <w:t>主任的选举程序</w:t>
      </w:r>
      <w:r w:rsidRPr="006E3B9B">
        <w:rPr>
          <w:lang w:val="en-US" w:eastAsia="zh-CN"/>
        </w:rPr>
        <w:tab/>
      </w:r>
      <w:r w:rsidR="00396681">
        <w:rPr>
          <w:lang w:val="en-US" w:eastAsia="zh-CN"/>
        </w:rPr>
        <w:tab/>
      </w:r>
      <w:r w:rsidRPr="006E3B9B">
        <w:rPr>
          <w:lang w:val="en-US" w:eastAsia="zh-CN"/>
        </w:rPr>
        <w:t>1977</w:t>
      </w:r>
      <w:r w:rsidRPr="006E3B9B">
        <w:rPr>
          <w:rFonts w:hint="eastAsia"/>
          <w:lang w:val="en-US" w:eastAsia="zh-CN"/>
        </w:rPr>
        <w:t>年</w:t>
      </w:r>
    </w:p>
    <w:p w14:paraId="4827C3C0" w14:textId="77777777" w:rsidR="0058405E" w:rsidRDefault="0058405E">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4827C3C1" w14:textId="77777777" w:rsidR="006E3B9B" w:rsidRPr="006E3B9B" w:rsidRDefault="006E3B9B" w:rsidP="004E1793">
      <w:pPr>
        <w:pStyle w:val="Reftitle"/>
        <w:rPr>
          <w:lang w:val="en-US" w:eastAsia="zh-CN"/>
        </w:rPr>
      </w:pPr>
      <w:r w:rsidRPr="006E3B9B">
        <w:rPr>
          <w:rFonts w:hint="eastAsia"/>
          <w:lang w:eastAsia="zh-CN"/>
        </w:rPr>
        <w:lastRenderedPageBreak/>
        <w:t>第</w:t>
      </w:r>
      <w:r w:rsidRPr="006E3B9B">
        <w:rPr>
          <w:lang w:eastAsia="zh-CN"/>
        </w:rPr>
        <w:t>32</w:t>
      </w:r>
      <w:r w:rsidRPr="006E3B9B">
        <w:rPr>
          <w:rFonts w:hint="eastAsia"/>
          <w:lang w:eastAsia="zh-CN"/>
        </w:rPr>
        <w:t>届会议（</w:t>
      </w:r>
      <w:r w:rsidRPr="006E3B9B">
        <w:rPr>
          <w:lang w:eastAsia="zh-CN"/>
        </w:rPr>
        <w:t>1977</w:t>
      </w:r>
      <w:r w:rsidRPr="006E3B9B">
        <w:rPr>
          <w:rFonts w:hint="eastAsia"/>
          <w:lang w:eastAsia="zh-CN"/>
        </w:rPr>
        <w:t>年</w:t>
      </w:r>
      <w:r w:rsidRPr="006E3B9B">
        <w:rPr>
          <w:lang w:eastAsia="zh-CN"/>
        </w:rPr>
        <w:t>6</w:t>
      </w:r>
      <w:r w:rsidRPr="006E3B9B">
        <w:rPr>
          <w:rFonts w:hint="eastAsia"/>
          <w:lang w:eastAsia="zh-CN"/>
        </w:rPr>
        <w:t>月）</w:t>
      </w:r>
    </w:p>
    <w:p w14:paraId="4827C3C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378</w:t>
      </w:r>
      <w:r w:rsidRPr="006E3B9B">
        <w:rPr>
          <w:lang w:val="en-US" w:eastAsia="zh-CN"/>
        </w:rPr>
        <w:t>号决定</w:t>
      </w:r>
      <w:r w:rsidRPr="006E3B9B">
        <w:rPr>
          <w:lang w:val="en-US" w:eastAsia="zh-CN"/>
        </w:rPr>
        <w:tab/>
      </w:r>
      <w:r w:rsidRPr="006E3B9B">
        <w:rPr>
          <w:rFonts w:hint="eastAsia"/>
          <w:lang w:eastAsia="zh-CN"/>
        </w:rPr>
        <w:t>定级专家今后的工作</w:t>
      </w:r>
      <w:r w:rsidRPr="006E3B9B">
        <w:rPr>
          <w:lang w:val="en-US" w:eastAsia="zh-CN"/>
        </w:rPr>
        <w:tab/>
      </w:r>
      <w:r w:rsidR="00396681">
        <w:rPr>
          <w:lang w:val="en-US" w:eastAsia="zh-CN"/>
        </w:rPr>
        <w:tab/>
      </w:r>
      <w:r w:rsidRPr="006E3B9B">
        <w:rPr>
          <w:lang w:val="en-US" w:eastAsia="zh-CN"/>
        </w:rPr>
        <w:t>1979</w:t>
      </w:r>
      <w:r w:rsidRPr="006E3B9B">
        <w:rPr>
          <w:rFonts w:hint="eastAsia"/>
          <w:lang w:val="en-US" w:eastAsia="zh-CN"/>
        </w:rPr>
        <w:t>年</w:t>
      </w:r>
    </w:p>
    <w:p w14:paraId="4827C3C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379</w:t>
      </w:r>
      <w:r w:rsidRPr="006E3B9B">
        <w:rPr>
          <w:lang w:val="en-US" w:eastAsia="zh-CN"/>
        </w:rPr>
        <w:t>号决定</w:t>
      </w:r>
      <w:r w:rsidRPr="006E3B9B">
        <w:rPr>
          <w:lang w:val="en-US" w:eastAsia="zh-CN"/>
        </w:rPr>
        <w:tab/>
      </w:r>
      <w:r w:rsidRPr="006E3B9B">
        <w:rPr>
          <w:rFonts w:hint="eastAsia"/>
          <w:lang w:eastAsia="zh-CN"/>
        </w:rPr>
        <w:t>国际电联</w:t>
      </w:r>
      <w:r w:rsidRPr="006E3B9B">
        <w:rPr>
          <w:lang w:eastAsia="zh-CN"/>
        </w:rPr>
        <w:t>1977</w:t>
      </w:r>
      <w:r w:rsidRPr="006E3B9B">
        <w:rPr>
          <w:rFonts w:hint="eastAsia"/>
          <w:lang w:eastAsia="zh-CN"/>
        </w:rPr>
        <w:t>年预算</w:t>
      </w:r>
      <w:r w:rsidRPr="006E3B9B">
        <w:rPr>
          <w:lang w:val="en-US" w:eastAsia="zh-CN"/>
        </w:rPr>
        <w:tab/>
      </w:r>
      <w:r w:rsidR="00396681">
        <w:rPr>
          <w:lang w:val="en-US" w:eastAsia="zh-CN"/>
        </w:rPr>
        <w:tab/>
      </w:r>
      <w:r w:rsidRPr="006E3B9B">
        <w:rPr>
          <w:lang w:val="en-US" w:eastAsia="zh-CN"/>
        </w:rPr>
        <w:t>1978</w:t>
      </w:r>
      <w:r w:rsidRPr="006E3B9B">
        <w:rPr>
          <w:rFonts w:hint="eastAsia"/>
          <w:lang w:val="en-US" w:eastAsia="zh-CN"/>
        </w:rPr>
        <w:t>年</w:t>
      </w:r>
    </w:p>
    <w:p w14:paraId="4827C3C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380</w:t>
      </w:r>
      <w:r w:rsidRPr="006E3B9B">
        <w:rPr>
          <w:lang w:val="en-US" w:eastAsia="zh-CN"/>
        </w:rPr>
        <w:t>号决定</w:t>
      </w:r>
      <w:r w:rsidRPr="006E3B9B">
        <w:rPr>
          <w:lang w:val="en-US" w:eastAsia="zh-CN"/>
        </w:rPr>
        <w:tab/>
      </w:r>
      <w:r w:rsidRPr="006E3B9B">
        <w:rPr>
          <w:rFonts w:hint="eastAsia"/>
          <w:lang w:eastAsia="zh-CN"/>
        </w:rPr>
        <w:t>往年的拨款账目，</w:t>
      </w:r>
      <w:r w:rsidRPr="006E3B9B">
        <w:rPr>
          <w:lang w:eastAsia="zh-CN"/>
        </w:rPr>
        <w:t>1976</w:t>
      </w:r>
      <w:r w:rsidRPr="006E3B9B">
        <w:rPr>
          <w:rFonts w:hint="eastAsia"/>
          <w:lang w:eastAsia="zh-CN"/>
        </w:rPr>
        <w:t>年</w:t>
      </w:r>
      <w:r w:rsidRPr="006E3B9B">
        <w:rPr>
          <w:lang w:val="en-US" w:eastAsia="zh-CN"/>
        </w:rPr>
        <w:tab/>
      </w:r>
      <w:r w:rsidR="00396681">
        <w:rPr>
          <w:lang w:val="en-US" w:eastAsia="zh-CN"/>
        </w:rPr>
        <w:tab/>
      </w:r>
      <w:r w:rsidRPr="006E3B9B">
        <w:rPr>
          <w:lang w:val="en-US" w:eastAsia="zh-CN"/>
        </w:rPr>
        <w:t>1978</w:t>
      </w:r>
      <w:r w:rsidRPr="006E3B9B">
        <w:rPr>
          <w:rFonts w:hint="eastAsia"/>
          <w:lang w:val="en-US" w:eastAsia="zh-CN"/>
        </w:rPr>
        <w:t>年</w:t>
      </w:r>
    </w:p>
    <w:p w14:paraId="4827C3C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381</w:t>
      </w:r>
      <w:r w:rsidRPr="006E3B9B">
        <w:rPr>
          <w:lang w:val="en-US" w:eastAsia="zh-CN"/>
        </w:rPr>
        <w:t>号决定</w:t>
      </w:r>
      <w:r w:rsidRPr="006E3B9B">
        <w:rPr>
          <w:lang w:val="en-US" w:eastAsia="zh-CN"/>
        </w:rPr>
        <w:tab/>
      </w:r>
      <w:r w:rsidRPr="006E3B9B">
        <w:rPr>
          <w:rFonts w:hint="eastAsia"/>
          <w:lang w:eastAsia="zh-CN"/>
        </w:rPr>
        <w:t>行政理事会可支配的运作资金</w:t>
      </w:r>
      <w:r w:rsidRPr="006E3B9B">
        <w:rPr>
          <w:lang w:val="en-US" w:eastAsia="zh-CN"/>
        </w:rPr>
        <w:tab/>
      </w:r>
      <w:r w:rsidR="00396681">
        <w:rPr>
          <w:lang w:val="en-US" w:eastAsia="zh-CN"/>
        </w:rPr>
        <w:tab/>
      </w:r>
      <w:r w:rsidRPr="006E3B9B">
        <w:rPr>
          <w:lang w:val="en-US" w:eastAsia="zh-CN"/>
        </w:rPr>
        <w:t>2001</w:t>
      </w:r>
      <w:r w:rsidRPr="006E3B9B">
        <w:rPr>
          <w:rFonts w:hint="eastAsia"/>
          <w:lang w:val="en-US" w:eastAsia="zh-CN"/>
        </w:rPr>
        <w:t>年</w:t>
      </w:r>
    </w:p>
    <w:p w14:paraId="4827C3C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382</w:t>
      </w:r>
      <w:r w:rsidRPr="006E3B9B">
        <w:rPr>
          <w:lang w:val="en-US" w:eastAsia="zh-CN"/>
        </w:rPr>
        <w:t>号决定</w:t>
      </w:r>
      <w:r w:rsidRPr="006E3B9B">
        <w:rPr>
          <w:lang w:val="en-US" w:eastAsia="zh-CN"/>
        </w:rPr>
        <w:tab/>
      </w:r>
      <w:r w:rsidRPr="006E3B9B">
        <w:rPr>
          <w:rFonts w:hint="eastAsia"/>
          <w:lang w:eastAsia="zh-CN"/>
        </w:rPr>
        <w:t>行政理事会第</w:t>
      </w:r>
      <w:r w:rsidRPr="006E3B9B">
        <w:rPr>
          <w:rFonts w:hint="eastAsia"/>
          <w:lang w:eastAsia="zh-CN"/>
        </w:rPr>
        <w:t>33</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1978</w:t>
      </w:r>
      <w:r w:rsidRPr="006E3B9B">
        <w:rPr>
          <w:rFonts w:hint="eastAsia"/>
          <w:lang w:val="en-US" w:eastAsia="zh-CN"/>
        </w:rPr>
        <w:t>年</w:t>
      </w:r>
    </w:p>
    <w:p w14:paraId="4827C3C7"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33</w:t>
      </w:r>
      <w:r w:rsidRPr="006E3B9B">
        <w:rPr>
          <w:rFonts w:hint="eastAsia"/>
          <w:lang w:eastAsia="zh-CN"/>
        </w:rPr>
        <w:t>届会议（</w:t>
      </w:r>
      <w:r w:rsidRPr="006E3B9B">
        <w:rPr>
          <w:lang w:eastAsia="zh-CN"/>
        </w:rPr>
        <w:t>1978</w:t>
      </w:r>
      <w:r w:rsidRPr="006E3B9B">
        <w:rPr>
          <w:rFonts w:hint="eastAsia"/>
          <w:lang w:eastAsia="zh-CN"/>
        </w:rPr>
        <w:t>年</w:t>
      </w:r>
      <w:r w:rsidRPr="006E3B9B">
        <w:rPr>
          <w:lang w:eastAsia="zh-CN"/>
        </w:rPr>
        <w:t>5</w:t>
      </w:r>
      <w:r w:rsidRPr="006E3B9B">
        <w:rPr>
          <w:rFonts w:hint="eastAsia"/>
          <w:lang w:eastAsia="zh-CN"/>
        </w:rPr>
        <w:t>月</w:t>
      </w:r>
      <w:r w:rsidRPr="006E3B9B">
        <w:rPr>
          <w:rFonts w:hint="eastAsia"/>
          <w:lang w:eastAsia="zh-CN"/>
        </w:rPr>
        <w:t>-</w:t>
      </w:r>
      <w:r w:rsidRPr="006E3B9B">
        <w:rPr>
          <w:lang w:eastAsia="zh-CN"/>
        </w:rPr>
        <w:t>6</w:t>
      </w:r>
      <w:r w:rsidRPr="006E3B9B">
        <w:rPr>
          <w:rFonts w:hint="eastAsia"/>
          <w:lang w:eastAsia="zh-CN"/>
        </w:rPr>
        <w:t>月）</w:t>
      </w:r>
    </w:p>
    <w:p w14:paraId="4827C3C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383</w:t>
      </w:r>
      <w:r w:rsidRPr="006E3B9B">
        <w:rPr>
          <w:lang w:val="en-US" w:eastAsia="zh-CN"/>
        </w:rPr>
        <w:t>号决定</w:t>
      </w:r>
      <w:r w:rsidRPr="006E3B9B">
        <w:rPr>
          <w:lang w:val="en-US" w:eastAsia="zh-CN"/>
        </w:rPr>
        <w:tab/>
      </w:r>
      <w:r w:rsidRPr="006E3B9B">
        <w:rPr>
          <w:rFonts w:hint="eastAsia"/>
          <w:lang w:eastAsia="zh-CN"/>
        </w:rPr>
        <w:t>国际电信联盟</w:t>
      </w:r>
      <w:r w:rsidRPr="006E3B9B">
        <w:rPr>
          <w:lang w:eastAsia="zh-CN"/>
        </w:rPr>
        <w:t>1978</w:t>
      </w:r>
      <w:r w:rsidRPr="006E3B9B">
        <w:rPr>
          <w:rFonts w:hint="eastAsia"/>
          <w:lang w:eastAsia="zh-CN"/>
        </w:rPr>
        <w:t>年预算</w:t>
      </w:r>
      <w:r w:rsidRPr="006E3B9B">
        <w:rPr>
          <w:lang w:val="en-US" w:eastAsia="zh-CN"/>
        </w:rPr>
        <w:tab/>
      </w:r>
      <w:r w:rsidR="00396681">
        <w:rPr>
          <w:lang w:val="en-US" w:eastAsia="zh-CN"/>
        </w:rPr>
        <w:tab/>
      </w:r>
      <w:r w:rsidRPr="006E3B9B">
        <w:rPr>
          <w:lang w:val="en-US" w:eastAsia="zh-CN"/>
        </w:rPr>
        <w:t>1979</w:t>
      </w:r>
      <w:r w:rsidRPr="006E3B9B">
        <w:rPr>
          <w:rFonts w:hint="eastAsia"/>
          <w:lang w:val="en-US" w:eastAsia="zh-CN"/>
        </w:rPr>
        <w:t>年</w:t>
      </w:r>
    </w:p>
    <w:p w14:paraId="4827C3C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384</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34</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1979</w:t>
      </w:r>
      <w:r w:rsidRPr="006E3B9B">
        <w:rPr>
          <w:rFonts w:hint="eastAsia"/>
          <w:lang w:val="en-US" w:eastAsia="zh-CN"/>
        </w:rPr>
        <w:t>年</w:t>
      </w:r>
    </w:p>
    <w:p w14:paraId="4827C3C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385</w:t>
      </w:r>
      <w:r w:rsidRPr="006E3B9B">
        <w:rPr>
          <w:lang w:val="en-US" w:eastAsia="zh-CN"/>
        </w:rPr>
        <w:t>号决定</w:t>
      </w:r>
      <w:r w:rsidRPr="006E3B9B">
        <w:rPr>
          <w:lang w:val="en-US" w:eastAsia="zh-CN"/>
        </w:rPr>
        <w:tab/>
      </w:r>
      <w:r w:rsidRPr="006E3B9B">
        <w:rPr>
          <w:rFonts w:hint="eastAsia"/>
          <w:lang w:eastAsia="zh-CN"/>
        </w:rPr>
        <w:t>首次颁发的国际电联百年大奖</w:t>
      </w:r>
      <w:r w:rsidRPr="006E3B9B">
        <w:rPr>
          <w:lang w:val="en-US" w:eastAsia="zh-CN"/>
        </w:rPr>
        <w:tab/>
      </w:r>
      <w:r w:rsidR="00396681">
        <w:rPr>
          <w:lang w:val="en-US" w:eastAsia="zh-CN"/>
        </w:rPr>
        <w:tab/>
      </w:r>
      <w:r w:rsidRPr="006E3B9B">
        <w:rPr>
          <w:lang w:val="en-US" w:eastAsia="zh-CN"/>
        </w:rPr>
        <w:t>1980</w:t>
      </w:r>
      <w:r w:rsidRPr="006E3B9B">
        <w:rPr>
          <w:rFonts w:hint="eastAsia"/>
          <w:lang w:val="en-US" w:eastAsia="zh-CN"/>
        </w:rPr>
        <w:t>年</w:t>
      </w:r>
    </w:p>
    <w:p w14:paraId="4827C3CB"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34</w:t>
      </w:r>
      <w:r w:rsidRPr="006E3B9B">
        <w:rPr>
          <w:rFonts w:hint="eastAsia"/>
          <w:lang w:eastAsia="zh-CN"/>
        </w:rPr>
        <w:t>届会议（</w:t>
      </w:r>
      <w:r w:rsidRPr="006E3B9B">
        <w:rPr>
          <w:lang w:eastAsia="zh-CN"/>
        </w:rPr>
        <w:t>1979</w:t>
      </w:r>
      <w:r w:rsidRPr="006E3B9B">
        <w:rPr>
          <w:rFonts w:hint="eastAsia"/>
          <w:lang w:eastAsia="zh-CN"/>
        </w:rPr>
        <w:t>年</w:t>
      </w:r>
      <w:r w:rsidRPr="006E3B9B">
        <w:rPr>
          <w:lang w:eastAsia="zh-CN"/>
        </w:rPr>
        <w:t>6</w:t>
      </w:r>
      <w:r w:rsidRPr="006E3B9B">
        <w:rPr>
          <w:rFonts w:hint="eastAsia"/>
          <w:lang w:eastAsia="zh-CN"/>
        </w:rPr>
        <w:t>月）</w:t>
      </w:r>
    </w:p>
    <w:p w14:paraId="4827C3C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386</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35</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1980</w:t>
      </w:r>
      <w:r w:rsidRPr="006E3B9B">
        <w:rPr>
          <w:rFonts w:hint="eastAsia"/>
          <w:lang w:val="en-US" w:eastAsia="zh-CN"/>
        </w:rPr>
        <w:t>年</w:t>
      </w:r>
    </w:p>
    <w:p w14:paraId="4827C3CD"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35</w:t>
      </w:r>
      <w:r w:rsidRPr="006E3B9B">
        <w:rPr>
          <w:rFonts w:hint="eastAsia"/>
          <w:lang w:eastAsia="zh-CN"/>
        </w:rPr>
        <w:t>届会议（</w:t>
      </w:r>
      <w:r w:rsidRPr="006E3B9B">
        <w:rPr>
          <w:lang w:eastAsia="zh-CN"/>
        </w:rPr>
        <w:t>1980</w:t>
      </w:r>
      <w:r w:rsidRPr="006E3B9B">
        <w:rPr>
          <w:rFonts w:hint="eastAsia"/>
          <w:lang w:eastAsia="zh-CN"/>
        </w:rPr>
        <w:t>年</w:t>
      </w:r>
      <w:r w:rsidRPr="006E3B9B">
        <w:rPr>
          <w:lang w:eastAsia="zh-CN"/>
        </w:rPr>
        <w:t>5</w:t>
      </w:r>
      <w:r w:rsidRPr="006E3B9B">
        <w:rPr>
          <w:rFonts w:hint="eastAsia"/>
          <w:lang w:eastAsia="zh-CN"/>
        </w:rPr>
        <w:t>月）</w:t>
      </w:r>
    </w:p>
    <w:p w14:paraId="4827C3CE" w14:textId="77777777" w:rsidR="006E3B9B" w:rsidRPr="006E3B9B" w:rsidRDefault="006E3B9B" w:rsidP="00057467">
      <w:pPr>
        <w:pStyle w:val="Appendixref"/>
        <w:rPr>
          <w:lang w:eastAsia="zh-CN"/>
        </w:rPr>
      </w:pPr>
      <w:r w:rsidRPr="006E3B9B">
        <w:rPr>
          <w:lang w:eastAsia="zh-CN"/>
        </w:rPr>
        <w:t>第</w:t>
      </w:r>
      <w:r w:rsidRPr="006E3B9B">
        <w:rPr>
          <w:lang w:eastAsia="zh-CN"/>
        </w:rPr>
        <w:t>387</w:t>
      </w:r>
      <w:r w:rsidRPr="006E3B9B">
        <w:rPr>
          <w:lang w:eastAsia="zh-CN"/>
        </w:rPr>
        <w:t>号决定</w:t>
      </w:r>
      <w:r w:rsidRPr="006E3B9B">
        <w:rPr>
          <w:lang w:eastAsia="zh-CN"/>
        </w:rPr>
        <w:tab/>
      </w:r>
      <w:r w:rsidRPr="006E3B9B">
        <w:rPr>
          <w:rFonts w:hint="eastAsia"/>
          <w:lang w:eastAsia="zh-CN"/>
        </w:rPr>
        <w:t>国际电联出版物的付费</w:t>
      </w:r>
      <w:r w:rsidRPr="006E3B9B">
        <w:rPr>
          <w:lang w:eastAsia="zh-CN"/>
        </w:rPr>
        <w:tab/>
      </w:r>
      <w:r w:rsidR="00396681">
        <w:rPr>
          <w:lang w:eastAsia="zh-CN"/>
        </w:rPr>
        <w:tab/>
      </w:r>
      <w:r w:rsidRPr="006E3B9B">
        <w:rPr>
          <w:lang w:eastAsia="zh-CN"/>
        </w:rPr>
        <w:t>1.2</w:t>
      </w:r>
    </w:p>
    <w:p w14:paraId="4827C3C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388</w:t>
      </w:r>
      <w:r w:rsidRPr="006E3B9B">
        <w:rPr>
          <w:lang w:val="en-US" w:eastAsia="zh-CN"/>
        </w:rPr>
        <w:t>号决定</w:t>
      </w:r>
      <w:r w:rsidRPr="006E3B9B">
        <w:rPr>
          <w:lang w:val="en-US" w:eastAsia="zh-CN"/>
        </w:rPr>
        <w:tab/>
      </w:r>
      <w:r w:rsidRPr="006E3B9B">
        <w:rPr>
          <w:rFonts w:hint="eastAsia"/>
          <w:lang w:eastAsia="zh-CN"/>
        </w:rPr>
        <w:t>各项之间的转账拨款</w:t>
      </w:r>
      <w:r w:rsidRPr="006E3B9B">
        <w:rPr>
          <w:lang w:val="en-US" w:eastAsia="zh-CN"/>
        </w:rPr>
        <w:tab/>
      </w:r>
      <w:r w:rsidR="00396681">
        <w:rPr>
          <w:lang w:val="en-US" w:eastAsia="zh-CN"/>
        </w:rPr>
        <w:tab/>
      </w:r>
      <w:r w:rsidRPr="006E3B9B">
        <w:rPr>
          <w:lang w:val="en-US" w:eastAsia="zh-CN"/>
        </w:rPr>
        <w:t>1981</w:t>
      </w:r>
      <w:r w:rsidRPr="006E3B9B">
        <w:rPr>
          <w:rFonts w:hint="eastAsia"/>
          <w:lang w:val="en-US" w:eastAsia="zh-CN"/>
        </w:rPr>
        <w:t>年</w:t>
      </w:r>
    </w:p>
    <w:p w14:paraId="4827C3D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389</w:t>
      </w:r>
      <w:r w:rsidRPr="006E3B9B">
        <w:rPr>
          <w:lang w:val="en-US" w:eastAsia="zh-CN"/>
        </w:rPr>
        <w:t>号决定</w:t>
      </w:r>
      <w:r w:rsidRPr="006E3B9B">
        <w:rPr>
          <w:lang w:val="en-US" w:eastAsia="zh-CN"/>
        </w:rPr>
        <w:tab/>
      </w:r>
      <w:r w:rsidRPr="006E3B9B">
        <w:rPr>
          <w:rFonts w:hint="eastAsia"/>
          <w:lang w:eastAsia="zh-CN"/>
        </w:rPr>
        <w:t>临时增加</w:t>
      </w:r>
      <w:r w:rsidRPr="006E3B9B">
        <w:rPr>
          <w:lang w:eastAsia="zh-CN"/>
        </w:rPr>
        <w:t>频登会</w:t>
      </w:r>
      <w:r w:rsidRPr="006E3B9B">
        <w:rPr>
          <w:rFonts w:hint="eastAsia"/>
          <w:lang w:eastAsia="zh-CN"/>
        </w:rPr>
        <w:t>人员</w:t>
      </w:r>
      <w:r w:rsidRPr="006E3B9B">
        <w:rPr>
          <w:lang w:val="en-US" w:eastAsia="zh-CN"/>
        </w:rPr>
        <w:tab/>
      </w:r>
      <w:r w:rsidR="00396681">
        <w:rPr>
          <w:lang w:val="en-US" w:eastAsia="zh-CN"/>
        </w:rPr>
        <w:tab/>
      </w:r>
      <w:r w:rsidRPr="006E3B9B">
        <w:rPr>
          <w:lang w:val="en-US" w:eastAsia="zh-CN"/>
        </w:rPr>
        <w:t>1984</w:t>
      </w:r>
      <w:r w:rsidRPr="006E3B9B">
        <w:rPr>
          <w:rFonts w:hint="eastAsia"/>
          <w:lang w:val="en-US" w:eastAsia="zh-CN"/>
        </w:rPr>
        <w:t>年</w:t>
      </w:r>
    </w:p>
    <w:p w14:paraId="4827C3D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390</w:t>
      </w:r>
      <w:r w:rsidRPr="006E3B9B">
        <w:rPr>
          <w:lang w:val="en-US" w:eastAsia="zh-CN"/>
        </w:rPr>
        <w:t>号决定</w:t>
      </w:r>
      <w:r w:rsidRPr="006E3B9B">
        <w:rPr>
          <w:lang w:val="en-US" w:eastAsia="zh-CN"/>
        </w:rPr>
        <w:tab/>
      </w:r>
      <w:r w:rsidRPr="006E3B9B">
        <w:rPr>
          <w:rFonts w:hint="eastAsia"/>
          <w:lang w:eastAsia="zh-CN"/>
        </w:rPr>
        <w:t>全权代表大会的会期</w:t>
      </w:r>
      <w:r w:rsidRPr="006E3B9B">
        <w:rPr>
          <w:lang w:val="en-US" w:eastAsia="zh-CN"/>
        </w:rPr>
        <w:tab/>
      </w:r>
      <w:r w:rsidR="00396681">
        <w:rPr>
          <w:lang w:val="en-US" w:eastAsia="zh-CN"/>
        </w:rPr>
        <w:tab/>
      </w:r>
      <w:r w:rsidRPr="006E3B9B">
        <w:rPr>
          <w:lang w:val="en-US" w:eastAsia="zh-CN"/>
        </w:rPr>
        <w:t>1983</w:t>
      </w:r>
      <w:r w:rsidRPr="006E3B9B">
        <w:rPr>
          <w:rFonts w:hint="eastAsia"/>
          <w:lang w:val="en-US" w:eastAsia="zh-CN"/>
        </w:rPr>
        <w:t>年</w:t>
      </w:r>
    </w:p>
    <w:p w14:paraId="4827C3D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391</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36</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1981</w:t>
      </w:r>
      <w:r w:rsidRPr="006E3B9B">
        <w:rPr>
          <w:rFonts w:hint="eastAsia"/>
          <w:lang w:val="en-US" w:eastAsia="zh-CN"/>
        </w:rPr>
        <w:t>年</w:t>
      </w:r>
    </w:p>
    <w:p w14:paraId="4827C3D3"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36</w:t>
      </w:r>
      <w:r w:rsidRPr="006E3B9B">
        <w:rPr>
          <w:rFonts w:hint="eastAsia"/>
          <w:lang w:eastAsia="zh-CN"/>
        </w:rPr>
        <w:t>届会议（</w:t>
      </w:r>
      <w:r w:rsidRPr="006E3B9B">
        <w:rPr>
          <w:lang w:eastAsia="zh-CN"/>
        </w:rPr>
        <w:t>1981</w:t>
      </w:r>
      <w:r w:rsidRPr="006E3B9B">
        <w:rPr>
          <w:rFonts w:hint="eastAsia"/>
          <w:lang w:eastAsia="zh-CN"/>
        </w:rPr>
        <w:t>年</w:t>
      </w:r>
      <w:r w:rsidRPr="006E3B9B">
        <w:rPr>
          <w:lang w:eastAsia="zh-CN"/>
        </w:rPr>
        <w:t>6</w:t>
      </w:r>
      <w:r w:rsidRPr="006E3B9B">
        <w:rPr>
          <w:rFonts w:hint="eastAsia"/>
          <w:lang w:eastAsia="zh-CN"/>
        </w:rPr>
        <w:t>月）</w:t>
      </w:r>
    </w:p>
    <w:p w14:paraId="4827C3D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392</w:t>
      </w:r>
      <w:r w:rsidRPr="006E3B9B">
        <w:rPr>
          <w:lang w:val="en-US" w:eastAsia="zh-CN"/>
        </w:rPr>
        <w:t>号决定</w:t>
      </w:r>
      <w:r w:rsidRPr="006E3B9B">
        <w:rPr>
          <w:lang w:val="en-US" w:eastAsia="zh-CN"/>
        </w:rPr>
        <w:tab/>
      </w:r>
      <w:r w:rsidRPr="006E3B9B">
        <w:rPr>
          <w:rFonts w:hint="eastAsia"/>
          <w:lang w:eastAsia="zh-CN"/>
        </w:rPr>
        <w:t>罗得西亚</w:t>
      </w:r>
      <w:r w:rsidRPr="006E3B9B">
        <w:rPr>
          <w:lang w:val="en-US" w:eastAsia="zh-CN"/>
        </w:rPr>
        <w:tab/>
      </w:r>
      <w:r w:rsidR="00396681">
        <w:rPr>
          <w:lang w:val="en-US" w:eastAsia="zh-CN"/>
        </w:rPr>
        <w:tab/>
      </w:r>
      <w:r w:rsidRPr="006E3B9B">
        <w:rPr>
          <w:lang w:val="en-US" w:eastAsia="zh-CN"/>
        </w:rPr>
        <w:t>1982</w:t>
      </w:r>
      <w:r w:rsidRPr="006E3B9B">
        <w:rPr>
          <w:rFonts w:hint="eastAsia"/>
          <w:lang w:val="en-US" w:eastAsia="zh-CN"/>
        </w:rPr>
        <w:t>年</w:t>
      </w:r>
    </w:p>
    <w:p w14:paraId="4827C3D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393</w:t>
      </w:r>
      <w:r w:rsidRPr="006E3B9B">
        <w:rPr>
          <w:lang w:val="en-US" w:eastAsia="zh-CN"/>
        </w:rPr>
        <w:t>号决定</w:t>
      </w:r>
      <w:r w:rsidRPr="006E3B9B">
        <w:rPr>
          <w:lang w:val="en-US" w:eastAsia="zh-CN"/>
        </w:rPr>
        <w:tab/>
      </w:r>
      <w:r w:rsidRPr="006E3B9B">
        <w:rPr>
          <w:rFonts w:hint="eastAsia"/>
          <w:lang w:eastAsia="zh-CN"/>
        </w:rPr>
        <w:t>罗得西亚</w:t>
      </w:r>
      <w:r w:rsidRPr="006E3B9B">
        <w:rPr>
          <w:lang w:val="en-US" w:eastAsia="zh-CN"/>
        </w:rPr>
        <w:tab/>
      </w:r>
      <w:r w:rsidR="00396681">
        <w:rPr>
          <w:lang w:val="en-US" w:eastAsia="zh-CN"/>
        </w:rPr>
        <w:tab/>
      </w:r>
      <w:r w:rsidRPr="006E3B9B">
        <w:rPr>
          <w:lang w:val="en-US" w:eastAsia="zh-CN"/>
        </w:rPr>
        <w:t>1982</w:t>
      </w:r>
      <w:r w:rsidRPr="006E3B9B">
        <w:rPr>
          <w:rFonts w:hint="eastAsia"/>
          <w:lang w:val="en-US" w:eastAsia="zh-CN"/>
        </w:rPr>
        <w:t>年</w:t>
      </w:r>
    </w:p>
    <w:p w14:paraId="4827C3D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394</w:t>
      </w:r>
      <w:r w:rsidRPr="006E3B9B">
        <w:rPr>
          <w:lang w:val="en-US" w:eastAsia="zh-CN"/>
        </w:rPr>
        <w:t>号决定</w:t>
      </w:r>
      <w:r w:rsidRPr="006E3B9B">
        <w:rPr>
          <w:lang w:val="en-US" w:eastAsia="zh-CN"/>
        </w:rPr>
        <w:tab/>
      </w:r>
      <w:r w:rsidRPr="006E3B9B">
        <w:rPr>
          <w:rFonts w:hint="eastAsia"/>
          <w:lang w:eastAsia="zh-CN"/>
        </w:rPr>
        <w:t>国际电联</w:t>
      </w:r>
      <w:r w:rsidRPr="006E3B9B">
        <w:rPr>
          <w:lang w:eastAsia="zh-CN"/>
        </w:rPr>
        <w:t>1981</w:t>
      </w:r>
      <w:r w:rsidRPr="006E3B9B">
        <w:rPr>
          <w:rFonts w:hint="eastAsia"/>
          <w:lang w:eastAsia="zh-CN"/>
        </w:rPr>
        <w:t>年预算的追加拨款</w:t>
      </w:r>
      <w:r w:rsidRPr="006E3B9B">
        <w:rPr>
          <w:lang w:val="en-US" w:eastAsia="zh-CN"/>
        </w:rPr>
        <w:tab/>
      </w:r>
      <w:r w:rsidR="00396681">
        <w:rPr>
          <w:lang w:val="en-US" w:eastAsia="zh-CN"/>
        </w:rPr>
        <w:tab/>
      </w:r>
      <w:r w:rsidRPr="006E3B9B">
        <w:rPr>
          <w:lang w:val="en-US" w:eastAsia="zh-CN"/>
        </w:rPr>
        <w:t>1982</w:t>
      </w:r>
      <w:r w:rsidRPr="006E3B9B">
        <w:rPr>
          <w:rFonts w:hint="eastAsia"/>
          <w:lang w:val="en-US" w:eastAsia="zh-CN"/>
        </w:rPr>
        <w:t>年</w:t>
      </w:r>
    </w:p>
    <w:p w14:paraId="4827C3D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395</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37</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1982</w:t>
      </w:r>
      <w:r w:rsidRPr="006E3B9B">
        <w:rPr>
          <w:rFonts w:hint="eastAsia"/>
          <w:lang w:val="en-US" w:eastAsia="zh-CN"/>
        </w:rPr>
        <w:t>年</w:t>
      </w:r>
    </w:p>
    <w:p w14:paraId="4827C3D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396</w:t>
      </w:r>
      <w:r w:rsidRPr="006E3B9B">
        <w:rPr>
          <w:lang w:val="en-US" w:eastAsia="zh-CN"/>
        </w:rPr>
        <w:t>号决定</w:t>
      </w:r>
      <w:r w:rsidRPr="006E3B9B">
        <w:rPr>
          <w:lang w:val="en-US" w:eastAsia="zh-CN"/>
        </w:rPr>
        <w:tab/>
      </w:r>
      <w:r w:rsidRPr="006E3B9B">
        <w:rPr>
          <w:rFonts w:hint="eastAsia"/>
          <w:lang w:eastAsia="zh-CN"/>
        </w:rPr>
        <w:t>国际咨询委员会主任的选举程序</w:t>
      </w:r>
      <w:r w:rsidRPr="006E3B9B">
        <w:rPr>
          <w:lang w:val="en-US" w:eastAsia="zh-CN"/>
        </w:rPr>
        <w:tab/>
      </w:r>
      <w:r w:rsidR="00396681">
        <w:rPr>
          <w:lang w:val="en-US" w:eastAsia="zh-CN"/>
        </w:rPr>
        <w:tab/>
      </w:r>
      <w:r w:rsidRPr="006E3B9B">
        <w:rPr>
          <w:lang w:val="en-US" w:eastAsia="zh-CN"/>
        </w:rPr>
        <w:t>1991</w:t>
      </w:r>
      <w:r w:rsidRPr="006E3B9B">
        <w:rPr>
          <w:rFonts w:hint="eastAsia"/>
          <w:lang w:val="en-US" w:eastAsia="zh-CN"/>
        </w:rPr>
        <w:t>年</w:t>
      </w:r>
    </w:p>
    <w:p w14:paraId="4827C3D9"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37</w:t>
      </w:r>
      <w:r w:rsidRPr="006E3B9B">
        <w:rPr>
          <w:rFonts w:hint="eastAsia"/>
          <w:lang w:eastAsia="zh-CN"/>
        </w:rPr>
        <w:t>届会议（</w:t>
      </w:r>
      <w:r w:rsidRPr="006E3B9B">
        <w:rPr>
          <w:lang w:eastAsia="zh-CN"/>
        </w:rPr>
        <w:t>1982</w:t>
      </w:r>
      <w:r w:rsidRPr="006E3B9B">
        <w:rPr>
          <w:rFonts w:hint="eastAsia"/>
          <w:lang w:eastAsia="zh-CN"/>
        </w:rPr>
        <w:t>年</w:t>
      </w:r>
      <w:r w:rsidRPr="006E3B9B">
        <w:rPr>
          <w:lang w:eastAsia="zh-CN"/>
        </w:rPr>
        <w:t>4</w:t>
      </w:r>
      <w:r w:rsidRPr="006E3B9B">
        <w:rPr>
          <w:rFonts w:hint="eastAsia"/>
          <w:lang w:eastAsia="zh-CN"/>
        </w:rPr>
        <w:t>月</w:t>
      </w:r>
      <w:r w:rsidRPr="006E3B9B">
        <w:rPr>
          <w:rFonts w:hint="eastAsia"/>
          <w:lang w:eastAsia="zh-CN"/>
        </w:rPr>
        <w:t>-</w:t>
      </w:r>
      <w:r w:rsidRPr="006E3B9B">
        <w:rPr>
          <w:lang w:eastAsia="zh-CN"/>
        </w:rPr>
        <w:t>5</w:t>
      </w:r>
      <w:r w:rsidRPr="006E3B9B">
        <w:rPr>
          <w:rFonts w:hint="eastAsia"/>
          <w:lang w:eastAsia="zh-CN"/>
        </w:rPr>
        <w:t>月）</w:t>
      </w:r>
    </w:p>
    <w:p w14:paraId="4827C3D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397</w:t>
      </w:r>
      <w:r w:rsidRPr="006E3B9B">
        <w:rPr>
          <w:lang w:val="en-US" w:eastAsia="zh-CN"/>
        </w:rPr>
        <w:t>号决定</w:t>
      </w:r>
      <w:r w:rsidRPr="006E3B9B">
        <w:rPr>
          <w:lang w:val="en-US" w:eastAsia="zh-CN"/>
        </w:rPr>
        <w:tab/>
      </w:r>
      <w:r w:rsidRPr="006E3B9B">
        <w:rPr>
          <w:rFonts w:hint="eastAsia"/>
          <w:lang w:eastAsia="zh-CN"/>
        </w:rPr>
        <w:t>国际电联</w:t>
      </w:r>
      <w:r w:rsidRPr="006E3B9B">
        <w:rPr>
          <w:lang w:eastAsia="zh-CN"/>
        </w:rPr>
        <w:t>1982</w:t>
      </w:r>
      <w:r w:rsidRPr="006E3B9B">
        <w:rPr>
          <w:rFonts w:hint="eastAsia"/>
          <w:lang w:eastAsia="zh-CN"/>
        </w:rPr>
        <w:t>年预算的追加拨款</w:t>
      </w:r>
      <w:r w:rsidRPr="006E3B9B">
        <w:rPr>
          <w:lang w:val="en-US" w:eastAsia="zh-CN"/>
        </w:rPr>
        <w:tab/>
      </w:r>
      <w:r w:rsidR="00396681">
        <w:rPr>
          <w:lang w:val="en-US" w:eastAsia="zh-CN"/>
        </w:rPr>
        <w:tab/>
      </w:r>
      <w:r w:rsidRPr="006E3B9B">
        <w:rPr>
          <w:lang w:val="en-US" w:eastAsia="zh-CN"/>
        </w:rPr>
        <w:t>1983</w:t>
      </w:r>
      <w:r w:rsidRPr="006E3B9B">
        <w:rPr>
          <w:rFonts w:hint="eastAsia"/>
          <w:lang w:val="en-US" w:eastAsia="zh-CN"/>
        </w:rPr>
        <w:t>年</w:t>
      </w:r>
    </w:p>
    <w:p w14:paraId="4827C3DB"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398</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38</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1983</w:t>
      </w:r>
      <w:r w:rsidRPr="006E3B9B">
        <w:rPr>
          <w:rFonts w:hint="eastAsia"/>
          <w:lang w:val="en-US" w:eastAsia="zh-CN"/>
        </w:rPr>
        <w:t>年</w:t>
      </w:r>
    </w:p>
    <w:p w14:paraId="4827C3DC"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38</w:t>
      </w:r>
      <w:r w:rsidRPr="006E3B9B">
        <w:rPr>
          <w:rFonts w:hint="eastAsia"/>
          <w:lang w:eastAsia="zh-CN"/>
        </w:rPr>
        <w:t>届会议（</w:t>
      </w:r>
      <w:r w:rsidRPr="006E3B9B">
        <w:rPr>
          <w:lang w:eastAsia="zh-CN"/>
        </w:rPr>
        <w:t>1983</w:t>
      </w:r>
      <w:r w:rsidRPr="006E3B9B">
        <w:rPr>
          <w:rFonts w:hint="eastAsia"/>
          <w:lang w:eastAsia="zh-CN"/>
        </w:rPr>
        <w:t>年</w:t>
      </w:r>
      <w:r w:rsidRPr="006E3B9B">
        <w:rPr>
          <w:lang w:eastAsia="zh-CN"/>
        </w:rPr>
        <w:t>5</w:t>
      </w:r>
      <w:r w:rsidRPr="006E3B9B">
        <w:rPr>
          <w:rFonts w:hint="eastAsia"/>
          <w:lang w:eastAsia="zh-CN"/>
        </w:rPr>
        <w:t>月）</w:t>
      </w:r>
    </w:p>
    <w:p w14:paraId="4827C3D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399</w:t>
      </w:r>
      <w:r w:rsidRPr="006E3B9B">
        <w:rPr>
          <w:lang w:val="en-US" w:eastAsia="zh-CN"/>
        </w:rPr>
        <w:t>号决定</w:t>
      </w:r>
      <w:r w:rsidRPr="006E3B9B">
        <w:rPr>
          <w:lang w:val="en-US" w:eastAsia="zh-CN"/>
        </w:rPr>
        <w:tab/>
      </w:r>
      <w:r w:rsidRPr="006E3B9B">
        <w:rPr>
          <w:rFonts w:hint="eastAsia"/>
          <w:lang w:eastAsia="zh-CN"/>
        </w:rPr>
        <w:t>职工代表</w:t>
      </w:r>
      <w:r w:rsidRPr="006E3B9B">
        <w:rPr>
          <w:lang w:val="en-US" w:eastAsia="zh-CN"/>
        </w:rPr>
        <w:tab/>
      </w:r>
      <w:r w:rsidR="00396681">
        <w:rPr>
          <w:lang w:val="en-US" w:eastAsia="zh-CN"/>
        </w:rPr>
        <w:tab/>
      </w:r>
      <w:r w:rsidRPr="006E3B9B">
        <w:rPr>
          <w:lang w:val="en-US" w:eastAsia="zh-CN"/>
        </w:rPr>
        <w:t>2.4</w:t>
      </w:r>
    </w:p>
    <w:p w14:paraId="4827C3D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400</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39</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1984</w:t>
      </w:r>
      <w:r w:rsidRPr="006E3B9B">
        <w:rPr>
          <w:rFonts w:hint="eastAsia"/>
          <w:lang w:val="en-US" w:eastAsia="zh-CN"/>
        </w:rPr>
        <w:t>年</w:t>
      </w:r>
    </w:p>
    <w:p w14:paraId="4827C3DF"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39</w:t>
      </w:r>
      <w:r w:rsidRPr="006E3B9B">
        <w:rPr>
          <w:rFonts w:hint="eastAsia"/>
          <w:lang w:eastAsia="zh-CN"/>
        </w:rPr>
        <w:t>届会议（</w:t>
      </w:r>
      <w:r w:rsidRPr="006E3B9B">
        <w:rPr>
          <w:lang w:eastAsia="zh-CN"/>
        </w:rPr>
        <w:t>1984</w:t>
      </w:r>
      <w:r w:rsidRPr="006E3B9B">
        <w:rPr>
          <w:rFonts w:hint="eastAsia"/>
          <w:lang w:eastAsia="zh-CN"/>
        </w:rPr>
        <w:t>年</w:t>
      </w:r>
      <w:r w:rsidRPr="006E3B9B">
        <w:rPr>
          <w:lang w:eastAsia="zh-CN"/>
        </w:rPr>
        <w:t>4</w:t>
      </w:r>
      <w:r w:rsidRPr="006E3B9B">
        <w:rPr>
          <w:rFonts w:hint="eastAsia"/>
          <w:lang w:eastAsia="zh-CN"/>
        </w:rPr>
        <w:t>月）</w:t>
      </w:r>
    </w:p>
    <w:p w14:paraId="4827C3E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401</w:t>
      </w:r>
      <w:r w:rsidRPr="006E3B9B">
        <w:rPr>
          <w:lang w:val="en-US" w:eastAsia="zh-CN"/>
        </w:rPr>
        <w:t>号决定</w:t>
      </w:r>
      <w:r w:rsidRPr="006E3B9B">
        <w:rPr>
          <w:lang w:val="en-US" w:eastAsia="zh-CN"/>
        </w:rPr>
        <w:tab/>
      </w:r>
      <w:r w:rsidRPr="006E3B9B">
        <w:rPr>
          <w:lang w:eastAsia="zh-CN"/>
        </w:rPr>
        <w:t>CCITT</w:t>
      </w:r>
      <w:r w:rsidRPr="006E3B9B">
        <w:rPr>
          <w:rFonts w:hint="eastAsia"/>
          <w:lang w:eastAsia="zh-CN"/>
        </w:rPr>
        <w:t>的储备金基金</w:t>
      </w:r>
      <w:r w:rsidRPr="006E3B9B">
        <w:rPr>
          <w:lang w:val="en-US" w:eastAsia="zh-CN"/>
        </w:rPr>
        <w:tab/>
      </w:r>
      <w:r w:rsidR="00396681">
        <w:rPr>
          <w:lang w:val="en-US" w:eastAsia="zh-CN"/>
        </w:rPr>
        <w:tab/>
      </w:r>
      <w:r w:rsidRPr="006E3B9B">
        <w:rPr>
          <w:lang w:val="en-US" w:eastAsia="zh-CN"/>
        </w:rPr>
        <w:t>1985</w:t>
      </w:r>
      <w:r w:rsidRPr="006E3B9B">
        <w:rPr>
          <w:rFonts w:hint="eastAsia"/>
          <w:lang w:val="en-US" w:eastAsia="zh-CN"/>
        </w:rPr>
        <w:t>年</w:t>
      </w:r>
    </w:p>
    <w:p w14:paraId="4827C3E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402</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40</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1985</w:t>
      </w:r>
      <w:r w:rsidRPr="006E3B9B">
        <w:rPr>
          <w:rFonts w:hint="eastAsia"/>
          <w:lang w:val="en-US" w:eastAsia="zh-CN"/>
        </w:rPr>
        <w:t>年</w:t>
      </w:r>
    </w:p>
    <w:p w14:paraId="4827C3E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403</w:t>
      </w:r>
      <w:r w:rsidRPr="006E3B9B">
        <w:rPr>
          <w:lang w:val="en-US" w:eastAsia="zh-CN"/>
        </w:rPr>
        <w:t>号决定</w:t>
      </w:r>
      <w:r w:rsidRPr="006E3B9B">
        <w:rPr>
          <w:lang w:val="en-US" w:eastAsia="zh-CN"/>
        </w:rPr>
        <w:tab/>
      </w:r>
      <w:r w:rsidRPr="006E3B9B">
        <w:rPr>
          <w:rFonts w:hint="eastAsia"/>
          <w:lang w:eastAsia="zh-CN"/>
        </w:rPr>
        <w:t>出版物资本账目</w:t>
      </w:r>
      <w:r w:rsidRPr="006E3B9B">
        <w:rPr>
          <w:lang w:val="en-US" w:eastAsia="zh-CN"/>
        </w:rPr>
        <w:tab/>
      </w:r>
      <w:r w:rsidR="00396681">
        <w:rPr>
          <w:lang w:val="en-US" w:eastAsia="zh-CN"/>
        </w:rPr>
        <w:tab/>
      </w:r>
      <w:r w:rsidRPr="006E3B9B">
        <w:rPr>
          <w:lang w:val="en-US" w:eastAsia="zh-CN"/>
        </w:rPr>
        <w:t>1985</w:t>
      </w:r>
      <w:r w:rsidRPr="006E3B9B">
        <w:rPr>
          <w:rFonts w:hint="eastAsia"/>
          <w:lang w:val="en-US" w:eastAsia="zh-CN"/>
        </w:rPr>
        <w:t>年</w:t>
      </w:r>
    </w:p>
    <w:p w14:paraId="4827C3E3"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40</w:t>
      </w:r>
      <w:r w:rsidRPr="006E3B9B">
        <w:rPr>
          <w:rFonts w:hint="eastAsia"/>
          <w:lang w:eastAsia="zh-CN"/>
        </w:rPr>
        <w:t>届会议（</w:t>
      </w:r>
      <w:r w:rsidRPr="006E3B9B">
        <w:rPr>
          <w:lang w:eastAsia="zh-CN"/>
        </w:rPr>
        <w:t>1985</w:t>
      </w:r>
      <w:r w:rsidRPr="006E3B9B">
        <w:rPr>
          <w:rFonts w:hint="eastAsia"/>
          <w:lang w:eastAsia="zh-CN"/>
        </w:rPr>
        <w:t>年</w:t>
      </w:r>
      <w:r w:rsidRPr="006E3B9B">
        <w:rPr>
          <w:lang w:eastAsia="zh-CN"/>
        </w:rPr>
        <w:t>7</w:t>
      </w:r>
      <w:r w:rsidRPr="006E3B9B">
        <w:rPr>
          <w:rFonts w:hint="eastAsia"/>
          <w:lang w:eastAsia="zh-CN"/>
        </w:rPr>
        <w:t>月）</w:t>
      </w:r>
    </w:p>
    <w:p w14:paraId="4827C3E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404</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41</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1986</w:t>
      </w:r>
      <w:r w:rsidRPr="006E3B9B">
        <w:rPr>
          <w:rFonts w:hint="eastAsia"/>
          <w:lang w:val="en-US" w:eastAsia="zh-CN"/>
        </w:rPr>
        <w:t>年</w:t>
      </w:r>
    </w:p>
    <w:p w14:paraId="4827C3E5" w14:textId="77777777" w:rsidR="0058405E" w:rsidRDefault="0058405E">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4827C3E6" w14:textId="77777777" w:rsidR="006E3B9B" w:rsidRPr="006E3B9B" w:rsidRDefault="006E3B9B" w:rsidP="004E1793">
      <w:pPr>
        <w:pStyle w:val="Reftitle"/>
        <w:rPr>
          <w:lang w:val="en-US" w:eastAsia="zh-CN"/>
        </w:rPr>
      </w:pPr>
      <w:r w:rsidRPr="006E3B9B">
        <w:rPr>
          <w:rFonts w:hint="eastAsia"/>
          <w:lang w:eastAsia="zh-CN"/>
        </w:rPr>
        <w:lastRenderedPageBreak/>
        <w:t>第</w:t>
      </w:r>
      <w:r w:rsidRPr="006E3B9B">
        <w:rPr>
          <w:lang w:eastAsia="zh-CN"/>
        </w:rPr>
        <w:t>41</w:t>
      </w:r>
      <w:r w:rsidRPr="006E3B9B">
        <w:rPr>
          <w:rFonts w:hint="eastAsia"/>
          <w:lang w:eastAsia="zh-CN"/>
        </w:rPr>
        <w:t>届会议（</w:t>
      </w:r>
      <w:r w:rsidRPr="006E3B9B">
        <w:rPr>
          <w:lang w:eastAsia="zh-CN"/>
        </w:rPr>
        <w:t>1986</w:t>
      </w:r>
      <w:r w:rsidRPr="006E3B9B">
        <w:rPr>
          <w:rFonts w:hint="eastAsia"/>
          <w:lang w:eastAsia="zh-CN"/>
        </w:rPr>
        <w:t>年</w:t>
      </w:r>
      <w:r w:rsidRPr="006E3B9B">
        <w:rPr>
          <w:lang w:eastAsia="zh-CN"/>
        </w:rPr>
        <w:t>6</w:t>
      </w:r>
      <w:r w:rsidRPr="006E3B9B">
        <w:rPr>
          <w:rFonts w:hint="eastAsia"/>
          <w:lang w:eastAsia="zh-CN"/>
        </w:rPr>
        <w:t>月）</w:t>
      </w:r>
    </w:p>
    <w:p w14:paraId="4827C3E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405</w:t>
      </w:r>
      <w:r w:rsidRPr="006E3B9B">
        <w:rPr>
          <w:lang w:val="en-US" w:eastAsia="zh-CN"/>
        </w:rPr>
        <w:t>号决定</w:t>
      </w:r>
      <w:r w:rsidRPr="006E3B9B">
        <w:rPr>
          <w:lang w:val="en-US" w:eastAsia="zh-CN"/>
        </w:rPr>
        <w:tab/>
      </w:r>
      <w:r w:rsidRPr="006E3B9B">
        <w:rPr>
          <w:rFonts w:hint="eastAsia"/>
          <w:lang w:eastAsia="zh-CN"/>
        </w:rPr>
        <w:t>出版物资本账目</w:t>
      </w:r>
      <w:r w:rsidRPr="006E3B9B">
        <w:rPr>
          <w:lang w:val="en-US" w:eastAsia="zh-CN"/>
        </w:rPr>
        <w:tab/>
      </w:r>
      <w:r w:rsidR="00396681">
        <w:rPr>
          <w:lang w:val="en-US" w:eastAsia="zh-CN"/>
        </w:rPr>
        <w:tab/>
      </w:r>
      <w:r w:rsidRPr="006E3B9B">
        <w:rPr>
          <w:lang w:val="en-US" w:eastAsia="zh-CN"/>
        </w:rPr>
        <w:t>1987</w:t>
      </w:r>
      <w:r w:rsidRPr="006E3B9B">
        <w:rPr>
          <w:rFonts w:hint="eastAsia"/>
          <w:lang w:val="en-US" w:eastAsia="zh-CN"/>
        </w:rPr>
        <w:t>年</w:t>
      </w:r>
    </w:p>
    <w:p w14:paraId="4827C3E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406</w:t>
      </w:r>
      <w:r w:rsidRPr="006E3B9B">
        <w:rPr>
          <w:lang w:val="en-US" w:eastAsia="zh-CN"/>
        </w:rPr>
        <w:t>号决定</w:t>
      </w:r>
      <w:r w:rsidRPr="006E3B9B">
        <w:rPr>
          <w:lang w:val="en-US" w:eastAsia="zh-CN"/>
        </w:rPr>
        <w:tab/>
      </w:r>
      <w:r w:rsidRPr="006E3B9B">
        <w:rPr>
          <w:rFonts w:hint="eastAsia"/>
          <w:lang w:eastAsia="zh-CN"/>
        </w:rPr>
        <w:t>储存、印制和技术服务的资本账目</w:t>
      </w:r>
      <w:r w:rsidRPr="006E3B9B">
        <w:rPr>
          <w:lang w:val="en-US" w:eastAsia="zh-CN"/>
        </w:rPr>
        <w:tab/>
      </w:r>
      <w:r w:rsidR="00396681">
        <w:rPr>
          <w:lang w:val="en-US" w:eastAsia="zh-CN"/>
        </w:rPr>
        <w:tab/>
      </w:r>
      <w:r w:rsidRPr="006E3B9B">
        <w:rPr>
          <w:lang w:val="en-US" w:eastAsia="zh-CN"/>
        </w:rPr>
        <w:t>1987</w:t>
      </w:r>
      <w:r w:rsidRPr="006E3B9B">
        <w:rPr>
          <w:rFonts w:hint="eastAsia"/>
          <w:lang w:val="en-US" w:eastAsia="zh-CN"/>
        </w:rPr>
        <w:t>年</w:t>
      </w:r>
    </w:p>
    <w:p w14:paraId="4827C3E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407</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42</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1987</w:t>
      </w:r>
      <w:r w:rsidRPr="006E3B9B">
        <w:rPr>
          <w:rFonts w:hint="eastAsia"/>
          <w:lang w:val="en-US" w:eastAsia="zh-CN"/>
        </w:rPr>
        <w:t>年</w:t>
      </w:r>
    </w:p>
    <w:p w14:paraId="4827C3EA"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42</w:t>
      </w:r>
      <w:r w:rsidRPr="006E3B9B">
        <w:rPr>
          <w:rFonts w:hint="eastAsia"/>
          <w:lang w:eastAsia="zh-CN"/>
        </w:rPr>
        <w:t>届会议（</w:t>
      </w:r>
      <w:r w:rsidRPr="006E3B9B">
        <w:rPr>
          <w:lang w:eastAsia="zh-CN"/>
        </w:rPr>
        <w:t>1987</w:t>
      </w:r>
      <w:r w:rsidRPr="006E3B9B">
        <w:rPr>
          <w:rFonts w:hint="eastAsia"/>
          <w:lang w:eastAsia="zh-CN"/>
        </w:rPr>
        <w:t>年</w:t>
      </w:r>
      <w:r w:rsidRPr="006E3B9B">
        <w:rPr>
          <w:lang w:eastAsia="zh-CN"/>
        </w:rPr>
        <w:t>6</w:t>
      </w:r>
      <w:r w:rsidRPr="006E3B9B">
        <w:rPr>
          <w:rFonts w:hint="eastAsia"/>
          <w:lang w:eastAsia="zh-CN"/>
        </w:rPr>
        <w:t>月）</w:t>
      </w:r>
    </w:p>
    <w:p w14:paraId="4827C3EB"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408</w:t>
      </w:r>
      <w:r w:rsidRPr="006E3B9B">
        <w:rPr>
          <w:lang w:val="en-US" w:eastAsia="zh-CN"/>
        </w:rPr>
        <w:t>号决定</w:t>
      </w:r>
      <w:r w:rsidRPr="006E3B9B">
        <w:rPr>
          <w:lang w:val="en-US" w:eastAsia="zh-CN"/>
        </w:rPr>
        <w:tab/>
      </w:r>
      <w:r w:rsidRPr="006E3B9B">
        <w:rPr>
          <w:rFonts w:hint="eastAsia"/>
          <w:lang w:eastAsia="zh-CN"/>
        </w:rPr>
        <w:t>法国</w:t>
      </w:r>
      <w:r w:rsidRPr="006E3B9B">
        <w:rPr>
          <w:lang w:eastAsia="zh-CN"/>
        </w:rPr>
        <w:t>Rueil</w:t>
      </w:r>
      <w:r w:rsidRPr="006E3B9B">
        <w:rPr>
          <w:lang w:eastAsia="zh-CN"/>
        </w:rPr>
        <w:noBreakHyphen/>
        <w:t>Malmaison</w:t>
      </w:r>
      <w:r w:rsidRPr="006E3B9B">
        <w:rPr>
          <w:rFonts w:hint="eastAsia"/>
          <w:lang w:eastAsia="zh-CN"/>
        </w:rPr>
        <w:t>的</w:t>
      </w:r>
      <w:r w:rsidRPr="006E3B9B">
        <w:rPr>
          <w:lang w:eastAsia="zh-CN"/>
        </w:rPr>
        <w:t>LEA</w:t>
      </w:r>
      <w:r w:rsidRPr="006E3B9B">
        <w:rPr>
          <w:rFonts w:hint="eastAsia"/>
          <w:lang w:eastAsia="zh-CN"/>
        </w:rPr>
        <w:t>公司的欠款</w:t>
      </w:r>
      <w:r w:rsidRPr="006E3B9B">
        <w:rPr>
          <w:lang w:val="en-US" w:eastAsia="zh-CN"/>
        </w:rPr>
        <w:tab/>
      </w:r>
      <w:r w:rsidR="00396681">
        <w:rPr>
          <w:lang w:val="en-US" w:eastAsia="zh-CN"/>
        </w:rPr>
        <w:tab/>
      </w:r>
      <w:r w:rsidRPr="006E3B9B">
        <w:rPr>
          <w:lang w:val="en-US" w:eastAsia="zh-CN"/>
        </w:rPr>
        <w:t>1988</w:t>
      </w:r>
      <w:r w:rsidRPr="006E3B9B">
        <w:rPr>
          <w:rFonts w:hint="eastAsia"/>
          <w:lang w:val="en-US" w:eastAsia="zh-CN"/>
        </w:rPr>
        <w:t>年</w:t>
      </w:r>
    </w:p>
    <w:p w14:paraId="4827C3E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409</w:t>
      </w:r>
      <w:r w:rsidRPr="006E3B9B">
        <w:rPr>
          <w:lang w:val="en-US" w:eastAsia="zh-CN"/>
        </w:rPr>
        <w:t>号决定</w:t>
      </w:r>
      <w:r w:rsidRPr="006E3B9B">
        <w:rPr>
          <w:lang w:val="en-US" w:eastAsia="zh-CN"/>
        </w:rPr>
        <w:tab/>
      </w:r>
      <w:r w:rsidRPr="006E3B9B">
        <w:rPr>
          <w:rFonts w:hint="eastAsia"/>
          <w:lang w:eastAsia="zh-CN"/>
        </w:rPr>
        <w:t>美国银泉</w:t>
      </w:r>
      <w:r w:rsidRPr="006E3B9B">
        <w:rPr>
          <w:lang w:eastAsia="zh-CN"/>
        </w:rPr>
        <w:t>Rixon</w:t>
      </w:r>
      <w:r w:rsidRPr="006E3B9B">
        <w:rPr>
          <w:rFonts w:hint="eastAsia"/>
          <w:lang w:eastAsia="zh-CN"/>
        </w:rPr>
        <w:t>公司的欠额</w:t>
      </w:r>
      <w:r w:rsidRPr="006E3B9B">
        <w:rPr>
          <w:lang w:val="en-US" w:eastAsia="zh-CN"/>
        </w:rPr>
        <w:tab/>
      </w:r>
      <w:r w:rsidR="00396681">
        <w:rPr>
          <w:lang w:val="en-US" w:eastAsia="zh-CN"/>
        </w:rPr>
        <w:tab/>
      </w:r>
      <w:r w:rsidRPr="006E3B9B">
        <w:rPr>
          <w:lang w:val="en-US" w:eastAsia="zh-CN"/>
        </w:rPr>
        <w:t>1988</w:t>
      </w:r>
      <w:r w:rsidRPr="006E3B9B">
        <w:rPr>
          <w:rFonts w:hint="eastAsia"/>
          <w:lang w:val="en-US" w:eastAsia="zh-CN"/>
        </w:rPr>
        <w:t>年</w:t>
      </w:r>
    </w:p>
    <w:p w14:paraId="4827C3E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410</w:t>
      </w:r>
      <w:r w:rsidRPr="006E3B9B">
        <w:rPr>
          <w:lang w:val="en-US" w:eastAsia="zh-CN"/>
        </w:rPr>
        <w:t>号决定</w:t>
      </w:r>
      <w:r w:rsidRPr="006E3B9B">
        <w:rPr>
          <w:lang w:val="en-US" w:eastAsia="zh-CN"/>
        </w:rPr>
        <w:tab/>
      </w:r>
      <w:r w:rsidRPr="006E3B9B">
        <w:rPr>
          <w:rFonts w:hint="eastAsia"/>
          <w:lang w:eastAsia="zh-CN"/>
        </w:rPr>
        <w:t>国际电联的储备金账目</w:t>
      </w:r>
      <w:r w:rsidRPr="006E3B9B">
        <w:rPr>
          <w:lang w:val="en-US" w:eastAsia="zh-CN"/>
        </w:rPr>
        <w:tab/>
      </w:r>
      <w:r w:rsidR="00396681">
        <w:rPr>
          <w:lang w:val="en-US" w:eastAsia="zh-CN"/>
        </w:rPr>
        <w:tab/>
      </w:r>
      <w:r w:rsidRPr="006E3B9B">
        <w:rPr>
          <w:lang w:val="en-US" w:eastAsia="zh-CN"/>
        </w:rPr>
        <w:t>1988</w:t>
      </w:r>
      <w:r w:rsidRPr="006E3B9B">
        <w:rPr>
          <w:rFonts w:hint="eastAsia"/>
          <w:lang w:val="en-US" w:eastAsia="zh-CN"/>
        </w:rPr>
        <w:t>年</w:t>
      </w:r>
    </w:p>
    <w:p w14:paraId="4827C3E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411</w:t>
      </w:r>
      <w:r w:rsidRPr="006E3B9B">
        <w:rPr>
          <w:lang w:val="en-US" w:eastAsia="zh-CN"/>
        </w:rPr>
        <w:t>号决定</w:t>
      </w:r>
      <w:r w:rsidRPr="006E3B9B">
        <w:rPr>
          <w:lang w:val="en-US" w:eastAsia="zh-CN"/>
        </w:rPr>
        <w:tab/>
      </w:r>
      <w:r w:rsidRPr="006E3B9B">
        <w:rPr>
          <w:rFonts w:hint="eastAsia"/>
          <w:lang w:eastAsia="zh-CN"/>
        </w:rPr>
        <w:t>出版物资本账目</w:t>
      </w:r>
      <w:r w:rsidRPr="006E3B9B">
        <w:rPr>
          <w:lang w:val="en-US" w:eastAsia="zh-CN"/>
        </w:rPr>
        <w:tab/>
      </w:r>
      <w:r w:rsidR="00396681">
        <w:rPr>
          <w:lang w:val="en-US" w:eastAsia="zh-CN"/>
        </w:rPr>
        <w:tab/>
      </w:r>
      <w:r w:rsidRPr="006E3B9B">
        <w:rPr>
          <w:lang w:val="en-US" w:eastAsia="zh-CN"/>
        </w:rPr>
        <w:t>1988</w:t>
      </w:r>
      <w:r w:rsidRPr="006E3B9B">
        <w:rPr>
          <w:rFonts w:hint="eastAsia"/>
          <w:lang w:val="en-US" w:eastAsia="zh-CN"/>
        </w:rPr>
        <w:t>年</w:t>
      </w:r>
    </w:p>
    <w:p w14:paraId="4827C3E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412</w:t>
      </w:r>
      <w:r w:rsidRPr="006E3B9B">
        <w:rPr>
          <w:lang w:val="en-US" w:eastAsia="zh-CN"/>
        </w:rPr>
        <w:t>号决定</w:t>
      </w:r>
      <w:r w:rsidRPr="006E3B9B">
        <w:rPr>
          <w:lang w:val="en-US" w:eastAsia="zh-CN"/>
        </w:rPr>
        <w:tab/>
      </w:r>
      <w:r w:rsidRPr="006E3B9B">
        <w:rPr>
          <w:rFonts w:hint="eastAsia"/>
          <w:lang w:eastAsia="zh-CN"/>
        </w:rPr>
        <w:t>储存、印制和技术服务的资本账目</w:t>
      </w:r>
      <w:r w:rsidRPr="006E3B9B">
        <w:rPr>
          <w:lang w:val="en-US" w:eastAsia="zh-CN"/>
        </w:rPr>
        <w:tab/>
      </w:r>
      <w:r w:rsidR="00396681">
        <w:rPr>
          <w:lang w:val="en-US" w:eastAsia="zh-CN"/>
        </w:rPr>
        <w:tab/>
      </w:r>
      <w:r w:rsidRPr="006E3B9B">
        <w:rPr>
          <w:lang w:val="en-US" w:eastAsia="zh-CN"/>
        </w:rPr>
        <w:t>1988</w:t>
      </w:r>
      <w:r w:rsidRPr="006E3B9B">
        <w:rPr>
          <w:rFonts w:hint="eastAsia"/>
          <w:lang w:val="en-US" w:eastAsia="zh-CN"/>
        </w:rPr>
        <w:t>年</w:t>
      </w:r>
    </w:p>
    <w:p w14:paraId="4827C3F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413</w:t>
      </w:r>
      <w:r w:rsidRPr="006E3B9B">
        <w:rPr>
          <w:lang w:val="en-US" w:eastAsia="zh-CN"/>
        </w:rPr>
        <w:t>号决定</w:t>
      </w:r>
      <w:r w:rsidRPr="006E3B9B">
        <w:rPr>
          <w:lang w:val="en-US" w:eastAsia="zh-CN"/>
        </w:rPr>
        <w:tab/>
      </w:r>
      <w:r w:rsidRPr="006E3B9B">
        <w:rPr>
          <w:rFonts w:hint="eastAsia"/>
          <w:lang w:eastAsia="zh-CN"/>
        </w:rPr>
        <w:t>下届全权代表大会的召开</w:t>
      </w:r>
      <w:r w:rsidRPr="006E3B9B">
        <w:rPr>
          <w:lang w:val="en-US" w:eastAsia="zh-CN"/>
        </w:rPr>
        <w:tab/>
      </w:r>
      <w:r w:rsidR="00396681">
        <w:rPr>
          <w:lang w:val="en-US" w:eastAsia="zh-CN"/>
        </w:rPr>
        <w:tab/>
      </w:r>
      <w:r w:rsidRPr="006E3B9B">
        <w:rPr>
          <w:lang w:val="en-US" w:eastAsia="zh-CN"/>
        </w:rPr>
        <w:t>1990</w:t>
      </w:r>
      <w:r w:rsidRPr="006E3B9B">
        <w:rPr>
          <w:rFonts w:hint="eastAsia"/>
          <w:lang w:val="en-US" w:eastAsia="zh-CN"/>
        </w:rPr>
        <w:t>年</w:t>
      </w:r>
    </w:p>
    <w:p w14:paraId="4827C3F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414</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43</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1988</w:t>
      </w:r>
      <w:r w:rsidRPr="006E3B9B">
        <w:rPr>
          <w:rFonts w:hint="eastAsia"/>
          <w:lang w:val="en-US" w:eastAsia="zh-CN"/>
        </w:rPr>
        <w:t>年</w:t>
      </w:r>
    </w:p>
    <w:p w14:paraId="4827C3F2"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43</w:t>
      </w:r>
      <w:r w:rsidRPr="006E3B9B">
        <w:rPr>
          <w:rFonts w:hint="eastAsia"/>
          <w:lang w:eastAsia="zh-CN"/>
        </w:rPr>
        <w:t>届会议（</w:t>
      </w:r>
      <w:r w:rsidRPr="006E3B9B">
        <w:rPr>
          <w:lang w:eastAsia="zh-CN"/>
        </w:rPr>
        <w:t>1988</w:t>
      </w:r>
      <w:r w:rsidRPr="006E3B9B">
        <w:rPr>
          <w:rFonts w:hint="eastAsia"/>
          <w:lang w:eastAsia="zh-CN"/>
        </w:rPr>
        <w:t>年</w:t>
      </w:r>
      <w:r w:rsidRPr="006E3B9B">
        <w:rPr>
          <w:lang w:eastAsia="zh-CN"/>
        </w:rPr>
        <w:t>6</w:t>
      </w:r>
      <w:r w:rsidRPr="006E3B9B">
        <w:rPr>
          <w:rFonts w:hint="eastAsia"/>
          <w:lang w:eastAsia="zh-CN"/>
        </w:rPr>
        <w:t>月）</w:t>
      </w:r>
    </w:p>
    <w:p w14:paraId="4827C3F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415</w:t>
      </w:r>
      <w:r w:rsidRPr="006E3B9B">
        <w:rPr>
          <w:lang w:val="en-US" w:eastAsia="zh-CN"/>
        </w:rPr>
        <w:t>号决定</w:t>
      </w:r>
      <w:r w:rsidRPr="006E3B9B">
        <w:rPr>
          <w:lang w:val="en-US" w:eastAsia="zh-CN"/>
        </w:rPr>
        <w:tab/>
      </w:r>
      <w:r w:rsidRPr="006E3B9B">
        <w:rPr>
          <w:rFonts w:hint="eastAsia"/>
          <w:lang w:eastAsia="zh-CN"/>
        </w:rPr>
        <w:t>（美国）</w:t>
      </w:r>
      <w:r w:rsidRPr="006E3B9B">
        <w:rPr>
          <w:lang w:eastAsia="zh-CN"/>
        </w:rPr>
        <w:t>Simi Valley</w:t>
      </w:r>
      <w:r w:rsidRPr="006E3B9B">
        <w:rPr>
          <w:rFonts w:hint="eastAsia"/>
          <w:lang w:eastAsia="zh-CN"/>
        </w:rPr>
        <w:t>的</w:t>
      </w:r>
      <w:r w:rsidRPr="006E3B9B">
        <w:rPr>
          <w:lang w:eastAsia="zh-CN"/>
        </w:rPr>
        <w:t>Micom Systems</w:t>
      </w:r>
      <w:r w:rsidRPr="006E3B9B">
        <w:rPr>
          <w:rFonts w:hint="eastAsia"/>
          <w:lang w:eastAsia="zh-CN"/>
        </w:rPr>
        <w:t>公司的欠款</w:t>
      </w:r>
      <w:r w:rsidRPr="006E3B9B">
        <w:rPr>
          <w:lang w:val="en-US" w:eastAsia="zh-CN"/>
        </w:rPr>
        <w:tab/>
      </w:r>
      <w:r w:rsidR="00396681">
        <w:rPr>
          <w:lang w:val="en-US" w:eastAsia="zh-CN"/>
        </w:rPr>
        <w:tab/>
      </w:r>
      <w:r w:rsidRPr="006E3B9B">
        <w:rPr>
          <w:lang w:val="en-US" w:eastAsia="zh-CN"/>
        </w:rPr>
        <w:t>1990</w:t>
      </w:r>
      <w:r w:rsidRPr="006E3B9B">
        <w:rPr>
          <w:rFonts w:hint="eastAsia"/>
          <w:lang w:val="en-US" w:eastAsia="zh-CN"/>
        </w:rPr>
        <w:t>年</w:t>
      </w:r>
    </w:p>
    <w:p w14:paraId="4827C3F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416</w:t>
      </w:r>
      <w:r w:rsidRPr="006E3B9B">
        <w:rPr>
          <w:lang w:val="en-US" w:eastAsia="zh-CN"/>
        </w:rPr>
        <w:t>号决定</w:t>
      </w:r>
      <w:r w:rsidRPr="006E3B9B">
        <w:rPr>
          <w:lang w:val="en-US" w:eastAsia="zh-CN"/>
        </w:rPr>
        <w:tab/>
      </w:r>
      <w:r w:rsidRPr="006E3B9B">
        <w:rPr>
          <w:rFonts w:hint="eastAsia"/>
          <w:lang w:eastAsia="zh-CN"/>
        </w:rPr>
        <w:t>国际电联的储备金账目</w:t>
      </w:r>
      <w:r w:rsidRPr="006E3B9B">
        <w:rPr>
          <w:lang w:val="en-US" w:eastAsia="zh-CN"/>
        </w:rPr>
        <w:tab/>
      </w:r>
      <w:r w:rsidR="00396681">
        <w:rPr>
          <w:lang w:val="en-US" w:eastAsia="zh-CN"/>
        </w:rPr>
        <w:tab/>
      </w:r>
      <w:r w:rsidRPr="006E3B9B">
        <w:rPr>
          <w:lang w:val="en-US" w:eastAsia="zh-CN"/>
        </w:rPr>
        <w:t>1990</w:t>
      </w:r>
      <w:r w:rsidRPr="006E3B9B">
        <w:rPr>
          <w:rFonts w:hint="eastAsia"/>
          <w:lang w:val="en-US" w:eastAsia="zh-CN"/>
        </w:rPr>
        <w:t>年</w:t>
      </w:r>
    </w:p>
    <w:p w14:paraId="4827C3F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417</w:t>
      </w:r>
      <w:r w:rsidRPr="006E3B9B">
        <w:rPr>
          <w:lang w:val="en-US" w:eastAsia="zh-CN"/>
        </w:rPr>
        <w:t>号决定</w:t>
      </w:r>
      <w:r w:rsidRPr="006E3B9B">
        <w:rPr>
          <w:lang w:val="en-US" w:eastAsia="zh-CN"/>
        </w:rPr>
        <w:tab/>
      </w:r>
      <w:r w:rsidRPr="006E3B9B">
        <w:rPr>
          <w:rFonts w:hint="eastAsia"/>
          <w:lang w:eastAsia="zh-CN"/>
        </w:rPr>
        <w:t>出版物资本账目</w:t>
      </w:r>
      <w:r w:rsidRPr="006E3B9B">
        <w:rPr>
          <w:lang w:val="en-US" w:eastAsia="zh-CN"/>
        </w:rPr>
        <w:tab/>
      </w:r>
      <w:r w:rsidR="00396681">
        <w:rPr>
          <w:lang w:val="en-US" w:eastAsia="zh-CN"/>
        </w:rPr>
        <w:tab/>
      </w:r>
      <w:r w:rsidRPr="006E3B9B">
        <w:rPr>
          <w:lang w:val="en-US" w:eastAsia="zh-CN"/>
        </w:rPr>
        <w:t>1990</w:t>
      </w:r>
      <w:r w:rsidRPr="006E3B9B">
        <w:rPr>
          <w:rFonts w:hint="eastAsia"/>
          <w:lang w:val="en-US" w:eastAsia="zh-CN"/>
        </w:rPr>
        <w:t>年</w:t>
      </w:r>
    </w:p>
    <w:p w14:paraId="4827C3F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418</w:t>
      </w:r>
      <w:r w:rsidRPr="006E3B9B">
        <w:rPr>
          <w:lang w:val="en-US" w:eastAsia="zh-CN"/>
        </w:rPr>
        <w:t>号决定</w:t>
      </w:r>
      <w:r w:rsidRPr="006E3B9B">
        <w:rPr>
          <w:lang w:val="en-US" w:eastAsia="zh-CN"/>
        </w:rPr>
        <w:tab/>
      </w:r>
      <w:r w:rsidRPr="006E3B9B">
        <w:rPr>
          <w:rFonts w:hint="eastAsia"/>
          <w:lang w:eastAsia="zh-CN"/>
        </w:rPr>
        <w:t>储存、印制和技术服务的资本账目</w:t>
      </w:r>
      <w:r w:rsidRPr="006E3B9B">
        <w:rPr>
          <w:lang w:val="en-US" w:eastAsia="zh-CN"/>
        </w:rPr>
        <w:tab/>
      </w:r>
      <w:r w:rsidR="00396681">
        <w:rPr>
          <w:lang w:val="en-US" w:eastAsia="zh-CN"/>
        </w:rPr>
        <w:tab/>
      </w:r>
      <w:r w:rsidRPr="006E3B9B">
        <w:rPr>
          <w:lang w:val="en-US" w:eastAsia="zh-CN"/>
        </w:rPr>
        <w:t>1990</w:t>
      </w:r>
      <w:r w:rsidRPr="006E3B9B">
        <w:rPr>
          <w:rFonts w:hint="eastAsia"/>
          <w:lang w:val="en-US" w:eastAsia="zh-CN"/>
        </w:rPr>
        <w:t>年</w:t>
      </w:r>
    </w:p>
    <w:p w14:paraId="4827C3F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419</w:t>
      </w:r>
      <w:r w:rsidRPr="006E3B9B">
        <w:rPr>
          <w:lang w:val="en-US" w:eastAsia="zh-CN"/>
        </w:rPr>
        <w:t>号决定</w:t>
      </w:r>
      <w:r w:rsidRPr="006E3B9B">
        <w:rPr>
          <w:lang w:val="en-US" w:eastAsia="zh-CN"/>
        </w:rPr>
        <w:tab/>
      </w:r>
      <w:r w:rsidRPr="006E3B9B">
        <w:rPr>
          <w:rFonts w:hint="eastAsia"/>
          <w:lang w:eastAsia="zh-CN"/>
        </w:rPr>
        <w:t>提交关于国际电联基本文件的提案</w:t>
      </w:r>
      <w:r w:rsidRPr="006E3B9B">
        <w:rPr>
          <w:lang w:val="en-US" w:eastAsia="zh-CN"/>
        </w:rPr>
        <w:tab/>
      </w:r>
      <w:r w:rsidR="00396681">
        <w:rPr>
          <w:lang w:val="en-US" w:eastAsia="zh-CN"/>
        </w:rPr>
        <w:tab/>
      </w:r>
      <w:r w:rsidRPr="006E3B9B">
        <w:rPr>
          <w:lang w:val="en-US" w:eastAsia="zh-CN"/>
        </w:rPr>
        <w:t>1991</w:t>
      </w:r>
      <w:r w:rsidRPr="006E3B9B">
        <w:rPr>
          <w:rFonts w:hint="eastAsia"/>
          <w:lang w:val="en-US" w:eastAsia="zh-CN"/>
        </w:rPr>
        <w:t>年</w:t>
      </w:r>
    </w:p>
    <w:p w14:paraId="4827C3F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420</w:t>
      </w:r>
      <w:r w:rsidRPr="006E3B9B">
        <w:rPr>
          <w:lang w:val="en-US" w:eastAsia="zh-CN"/>
        </w:rPr>
        <w:t>号决定</w:t>
      </w:r>
      <w:r w:rsidRPr="006E3B9B">
        <w:rPr>
          <w:lang w:val="en-US" w:eastAsia="zh-CN"/>
        </w:rPr>
        <w:tab/>
      </w:r>
      <w:r w:rsidRPr="006E3B9B">
        <w:rPr>
          <w:rFonts w:hint="eastAsia"/>
          <w:lang w:eastAsia="zh-CN"/>
        </w:rPr>
        <w:t>有关降低发送咨询委员会会议文件的成本的措施</w:t>
      </w:r>
      <w:r w:rsidRPr="006E3B9B">
        <w:rPr>
          <w:lang w:val="en-US" w:eastAsia="zh-CN"/>
        </w:rPr>
        <w:tab/>
      </w:r>
      <w:r w:rsidR="00396681">
        <w:rPr>
          <w:lang w:val="en-US" w:eastAsia="zh-CN"/>
        </w:rPr>
        <w:tab/>
      </w:r>
      <w:r w:rsidRPr="006E3B9B">
        <w:rPr>
          <w:lang w:val="en-US" w:eastAsia="zh-CN"/>
        </w:rPr>
        <w:t>1993</w:t>
      </w:r>
      <w:r w:rsidRPr="006E3B9B">
        <w:rPr>
          <w:rFonts w:hint="eastAsia"/>
          <w:lang w:val="en-US" w:eastAsia="zh-CN"/>
        </w:rPr>
        <w:t>年</w:t>
      </w:r>
    </w:p>
    <w:p w14:paraId="4827C3F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421</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44</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1990</w:t>
      </w:r>
      <w:r w:rsidRPr="006E3B9B">
        <w:rPr>
          <w:rFonts w:hint="eastAsia"/>
          <w:lang w:val="en-US" w:eastAsia="zh-CN"/>
        </w:rPr>
        <w:t>年</w:t>
      </w:r>
    </w:p>
    <w:p w14:paraId="4827C3F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422</w:t>
      </w:r>
      <w:r w:rsidRPr="006E3B9B">
        <w:rPr>
          <w:lang w:val="en-US" w:eastAsia="zh-CN"/>
        </w:rPr>
        <w:t>号决定</w:t>
      </w:r>
      <w:r w:rsidRPr="006E3B9B">
        <w:rPr>
          <w:lang w:val="en-US" w:eastAsia="zh-CN"/>
        </w:rPr>
        <w:tab/>
      </w:r>
      <w:r w:rsidRPr="006E3B9B">
        <w:rPr>
          <w:rFonts w:hint="eastAsia"/>
          <w:lang w:eastAsia="zh-CN"/>
        </w:rPr>
        <w:t>召开行政理事会第</w:t>
      </w:r>
      <w:r w:rsidRPr="006E3B9B">
        <w:rPr>
          <w:lang w:eastAsia="zh-CN"/>
        </w:rPr>
        <w:t>44</w:t>
      </w:r>
      <w:r w:rsidRPr="006E3B9B">
        <w:rPr>
          <w:rFonts w:hint="eastAsia"/>
          <w:lang w:eastAsia="zh-CN"/>
        </w:rPr>
        <w:t>届会议最后会议</w:t>
      </w:r>
      <w:r w:rsidRPr="006E3B9B">
        <w:rPr>
          <w:lang w:val="en-US" w:eastAsia="zh-CN"/>
        </w:rPr>
        <w:tab/>
      </w:r>
      <w:r w:rsidR="00396681">
        <w:rPr>
          <w:lang w:val="en-US" w:eastAsia="zh-CN"/>
        </w:rPr>
        <w:tab/>
      </w:r>
      <w:r w:rsidRPr="006E3B9B">
        <w:rPr>
          <w:lang w:val="en-US" w:eastAsia="zh-CN"/>
        </w:rPr>
        <w:t>1990</w:t>
      </w:r>
      <w:r w:rsidRPr="006E3B9B">
        <w:rPr>
          <w:rFonts w:hint="eastAsia"/>
          <w:lang w:val="en-US" w:eastAsia="zh-CN"/>
        </w:rPr>
        <w:t>年</w:t>
      </w:r>
    </w:p>
    <w:p w14:paraId="4827C3FB"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44</w:t>
      </w:r>
      <w:r w:rsidRPr="006E3B9B">
        <w:rPr>
          <w:rFonts w:hint="eastAsia"/>
          <w:lang w:eastAsia="zh-CN"/>
        </w:rPr>
        <w:t>届会议（</w:t>
      </w:r>
      <w:r w:rsidRPr="006E3B9B">
        <w:rPr>
          <w:lang w:eastAsia="zh-CN"/>
        </w:rPr>
        <w:t>1989</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-2</w:t>
      </w:r>
      <w:r w:rsidRPr="006E3B9B">
        <w:rPr>
          <w:rFonts w:hint="eastAsia"/>
          <w:lang w:eastAsia="zh-CN"/>
        </w:rPr>
        <w:t>月和</w:t>
      </w:r>
      <w:r w:rsidRPr="006E3B9B">
        <w:rPr>
          <w:lang w:eastAsia="zh-CN"/>
        </w:rPr>
        <w:t>6</w:t>
      </w:r>
      <w:r w:rsidRPr="006E3B9B">
        <w:rPr>
          <w:rFonts w:hint="eastAsia"/>
          <w:lang w:eastAsia="zh-CN"/>
        </w:rPr>
        <w:t>月）</w:t>
      </w:r>
    </w:p>
    <w:p w14:paraId="4827C3F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423</w:t>
      </w:r>
      <w:r w:rsidRPr="006E3B9B">
        <w:rPr>
          <w:lang w:val="en-US" w:eastAsia="zh-CN"/>
        </w:rPr>
        <w:t>号决定</w:t>
      </w:r>
      <w:r w:rsidRPr="006E3B9B">
        <w:rPr>
          <w:lang w:val="en-US" w:eastAsia="zh-CN"/>
        </w:rPr>
        <w:tab/>
      </w:r>
      <w:r w:rsidRPr="006E3B9B">
        <w:rPr>
          <w:rFonts w:hint="eastAsia"/>
          <w:lang w:eastAsia="zh-CN"/>
        </w:rPr>
        <w:t>行政理事会可支配的运作资金</w:t>
      </w:r>
      <w:r w:rsidRPr="006E3B9B">
        <w:rPr>
          <w:lang w:val="en-US" w:eastAsia="zh-CN"/>
        </w:rPr>
        <w:tab/>
      </w:r>
      <w:r w:rsidR="00396681">
        <w:rPr>
          <w:lang w:val="en-US" w:eastAsia="zh-CN"/>
        </w:rPr>
        <w:tab/>
      </w:r>
      <w:r w:rsidRPr="006E3B9B">
        <w:rPr>
          <w:lang w:val="en-US" w:eastAsia="zh-CN"/>
        </w:rPr>
        <w:t>1990</w:t>
      </w:r>
      <w:r w:rsidRPr="006E3B9B">
        <w:rPr>
          <w:rFonts w:hint="eastAsia"/>
          <w:lang w:val="en-US" w:eastAsia="zh-CN"/>
        </w:rPr>
        <w:t>年</w:t>
      </w:r>
    </w:p>
    <w:p w14:paraId="4827C3F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424</w:t>
      </w:r>
      <w:r w:rsidRPr="006E3B9B">
        <w:rPr>
          <w:lang w:val="en-US" w:eastAsia="zh-CN"/>
        </w:rPr>
        <w:t>号决定</w:t>
      </w:r>
      <w:r w:rsidRPr="006E3B9B">
        <w:rPr>
          <w:lang w:val="en-US" w:eastAsia="zh-CN"/>
        </w:rPr>
        <w:tab/>
      </w:r>
      <w:r w:rsidRPr="006E3B9B">
        <w:rPr>
          <w:rFonts w:hint="eastAsia"/>
          <w:lang w:eastAsia="zh-CN"/>
        </w:rPr>
        <w:t>国际电联的储备金账目</w:t>
      </w:r>
      <w:r w:rsidRPr="006E3B9B">
        <w:rPr>
          <w:lang w:val="en-US" w:eastAsia="zh-CN"/>
        </w:rPr>
        <w:tab/>
      </w:r>
      <w:r w:rsidR="00396681">
        <w:rPr>
          <w:lang w:val="en-US" w:eastAsia="zh-CN"/>
        </w:rPr>
        <w:tab/>
      </w:r>
      <w:r w:rsidRPr="006E3B9B">
        <w:rPr>
          <w:lang w:val="en-US" w:eastAsia="zh-CN"/>
        </w:rPr>
        <w:t>1990</w:t>
      </w:r>
      <w:r w:rsidRPr="006E3B9B">
        <w:rPr>
          <w:rFonts w:hint="eastAsia"/>
          <w:lang w:val="en-US" w:eastAsia="zh-CN"/>
        </w:rPr>
        <w:t>年</w:t>
      </w:r>
    </w:p>
    <w:p w14:paraId="4827C3F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425</w:t>
      </w:r>
      <w:r w:rsidRPr="006E3B9B">
        <w:rPr>
          <w:lang w:val="en-US" w:eastAsia="zh-CN"/>
        </w:rPr>
        <w:t>号决定</w:t>
      </w:r>
      <w:r w:rsidRPr="006E3B9B">
        <w:rPr>
          <w:lang w:val="en-US" w:eastAsia="zh-CN"/>
        </w:rPr>
        <w:tab/>
      </w:r>
      <w:r w:rsidRPr="006E3B9B">
        <w:rPr>
          <w:rFonts w:hint="eastAsia"/>
          <w:lang w:eastAsia="zh-CN"/>
        </w:rPr>
        <w:t>储存、印制和技术服务的资本账目</w:t>
      </w:r>
      <w:r w:rsidRPr="006E3B9B">
        <w:rPr>
          <w:lang w:val="en-US" w:eastAsia="zh-CN"/>
        </w:rPr>
        <w:tab/>
      </w:r>
      <w:r w:rsidR="00396681">
        <w:rPr>
          <w:lang w:val="en-US" w:eastAsia="zh-CN"/>
        </w:rPr>
        <w:tab/>
      </w:r>
      <w:r w:rsidRPr="006E3B9B">
        <w:rPr>
          <w:lang w:val="en-US" w:eastAsia="zh-CN"/>
        </w:rPr>
        <w:t>1990</w:t>
      </w:r>
      <w:r w:rsidRPr="006E3B9B">
        <w:rPr>
          <w:rFonts w:hint="eastAsia"/>
          <w:lang w:val="en-US" w:eastAsia="zh-CN"/>
        </w:rPr>
        <w:t>年</w:t>
      </w:r>
    </w:p>
    <w:p w14:paraId="4827C3FF"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45</w:t>
      </w:r>
      <w:r w:rsidRPr="006E3B9B">
        <w:rPr>
          <w:rFonts w:hint="eastAsia"/>
          <w:lang w:eastAsia="zh-CN"/>
        </w:rPr>
        <w:t>届会议（</w:t>
      </w:r>
      <w:r w:rsidRPr="006E3B9B">
        <w:rPr>
          <w:lang w:eastAsia="zh-CN"/>
        </w:rPr>
        <w:t>1989</w:t>
      </w:r>
      <w:r w:rsidRPr="006E3B9B">
        <w:rPr>
          <w:rFonts w:hint="eastAsia"/>
          <w:lang w:eastAsia="zh-CN"/>
        </w:rPr>
        <w:t>年</w:t>
      </w:r>
      <w:r w:rsidRPr="006E3B9B">
        <w:rPr>
          <w:lang w:eastAsia="zh-CN"/>
        </w:rPr>
        <w:t>11</w:t>
      </w:r>
      <w:r w:rsidRPr="006E3B9B">
        <w:rPr>
          <w:rFonts w:hint="eastAsia"/>
          <w:lang w:eastAsia="zh-CN"/>
        </w:rPr>
        <w:t>月非常会议）</w:t>
      </w:r>
    </w:p>
    <w:p w14:paraId="4827C40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426</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45</w:t>
      </w:r>
      <w:r w:rsidRPr="006E3B9B">
        <w:rPr>
          <w:rFonts w:hint="eastAsia"/>
          <w:lang w:eastAsia="zh-CN"/>
        </w:rPr>
        <w:t>届例会的日期和会期</w:t>
      </w:r>
      <w:r w:rsidRPr="006E3B9B">
        <w:rPr>
          <w:lang w:val="en-US" w:eastAsia="zh-CN"/>
        </w:rPr>
        <w:tab/>
      </w:r>
      <w:r w:rsidR="00396681">
        <w:rPr>
          <w:lang w:val="en-US" w:eastAsia="zh-CN"/>
        </w:rPr>
        <w:tab/>
      </w:r>
      <w:r w:rsidRPr="006E3B9B">
        <w:rPr>
          <w:lang w:val="en-US" w:eastAsia="zh-CN"/>
        </w:rPr>
        <w:t>1990</w:t>
      </w:r>
      <w:r w:rsidRPr="006E3B9B">
        <w:rPr>
          <w:rFonts w:hint="eastAsia"/>
          <w:lang w:val="en-US" w:eastAsia="zh-CN"/>
        </w:rPr>
        <w:t>年</w:t>
      </w:r>
    </w:p>
    <w:p w14:paraId="4827C401"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45</w:t>
      </w:r>
      <w:r w:rsidRPr="006E3B9B">
        <w:rPr>
          <w:rFonts w:hint="eastAsia"/>
          <w:lang w:eastAsia="zh-CN"/>
        </w:rPr>
        <w:t>届例行会议（</w:t>
      </w:r>
      <w:r w:rsidRPr="006E3B9B">
        <w:rPr>
          <w:lang w:eastAsia="zh-CN"/>
        </w:rPr>
        <w:t>1990</w:t>
      </w:r>
      <w:r w:rsidRPr="006E3B9B">
        <w:rPr>
          <w:rFonts w:hint="eastAsia"/>
          <w:lang w:eastAsia="zh-CN"/>
        </w:rPr>
        <w:t>年</w:t>
      </w:r>
      <w:r w:rsidRPr="006E3B9B">
        <w:rPr>
          <w:lang w:eastAsia="zh-CN"/>
        </w:rPr>
        <w:t>6</w:t>
      </w:r>
      <w:r w:rsidRPr="006E3B9B">
        <w:rPr>
          <w:rFonts w:hint="eastAsia"/>
          <w:lang w:eastAsia="zh-CN"/>
        </w:rPr>
        <w:t>月）</w:t>
      </w:r>
    </w:p>
    <w:p w14:paraId="4827C40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427</w:t>
      </w:r>
      <w:r w:rsidRPr="006E3B9B">
        <w:rPr>
          <w:lang w:val="en-US" w:eastAsia="zh-CN"/>
        </w:rPr>
        <w:t>号决定</w:t>
      </w:r>
      <w:r w:rsidRPr="006E3B9B">
        <w:rPr>
          <w:lang w:val="en-US" w:eastAsia="zh-CN"/>
        </w:rPr>
        <w:tab/>
      </w:r>
      <w:r w:rsidRPr="006E3B9B">
        <w:rPr>
          <w:rFonts w:hint="eastAsia"/>
          <w:lang w:eastAsia="zh-CN"/>
        </w:rPr>
        <w:t>联合国开发计划署与国际电联临时达成《标准基本执行机构协定》</w:t>
      </w:r>
      <w:r w:rsidRPr="006E3B9B">
        <w:rPr>
          <w:lang w:eastAsia="zh-CN"/>
        </w:rPr>
        <w:t>（</w:t>
      </w:r>
      <w:r w:rsidRPr="006E3B9B">
        <w:rPr>
          <w:lang w:eastAsia="zh-CN"/>
        </w:rPr>
        <w:t>SBEAA</w:t>
      </w:r>
      <w:r w:rsidRPr="006E3B9B">
        <w:rPr>
          <w:lang w:eastAsia="zh-CN"/>
        </w:rPr>
        <w:t>）</w:t>
      </w:r>
      <w:r w:rsidR="00396681">
        <w:rPr>
          <w:lang w:eastAsia="zh-CN"/>
        </w:rPr>
        <w:tab/>
      </w:r>
      <w:r w:rsidRPr="006E3B9B">
        <w:rPr>
          <w:lang w:val="en-US" w:eastAsia="zh-CN"/>
        </w:rPr>
        <w:tab/>
        <w:t>1996</w:t>
      </w:r>
      <w:r w:rsidRPr="006E3B9B">
        <w:rPr>
          <w:rFonts w:hint="eastAsia"/>
          <w:lang w:eastAsia="zh-CN"/>
        </w:rPr>
        <w:t>年</w:t>
      </w:r>
    </w:p>
    <w:p w14:paraId="4827C40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428</w:t>
      </w:r>
      <w:r w:rsidRPr="006E3B9B">
        <w:rPr>
          <w:lang w:val="en-US" w:eastAsia="zh-CN"/>
        </w:rPr>
        <w:t>号决定</w:t>
      </w:r>
      <w:r w:rsidRPr="006E3B9B">
        <w:rPr>
          <w:lang w:val="en-US" w:eastAsia="zh-CN"/>
        </w:rPr>
        <w:tab/>
      </w:r>
      <w:r w:rsidRPr="006E3B9B">
        <w:rPr>
          <w:rFonts w:hint="eastAsia"/>
          <w:lang w:eastAsia="zh-CN"/>
        </w:rPr>
        <w:t>国际电联的储备金账目</w:t>
      </w:r>
      <w:r w:rsidRPr="006E3B9B">
        <w:rPr>
          <w:lang w:val="en-US" w:eastAsia="zh-CN"/>
        </w:rPr>
        <w:tab/>
      </w:r>
      <w:r w:rsidR="00396681">
        <w:rPr>
          <w:lang w:val="en-US" w:eastAsia="zh-CN"/>
        </w:rPr>
        <w:tab/>
      </w:r>
      <w:r w:rsidRPr="006E3B9B">
        <w:rPr>
          <w:lang w:val="en-US" w:eastAsia="zh-CN"/>
        </w:rPr>
        <w:t>1991</w:t>
      </w:r>
      <w:r w:rsidRPr="006E3B9B">
        <w:rPr>
          <w:rFonts w:hint="eastAsia"/>
          <w:lang w:eastAsia="zh-CN"/>
        </w:rPr>
        <w:t>年</w:t>
      </w:r>
    </w:p>
    <w:p w14:paraId="4827C40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429</w:t>
      </w:r>
      <w:r w:rsidRPr="006E3B9B">
        <w:rPr>
          <w:lang w:val="en-US" w:eastAsia="zh-CN"/>
        </w:rPr>
        <w:t>号决定</w:t>
      </w:r>
      <w:r w:rsidRPr="006E3B9B">
        <w:rPr>
          <w:lang w:val="en-US" w:eastAsia="zh-CN"/>
        </w:rPr>
        <w:tab/>
      </w:r>
      <w:r w:rsidRPr="006E3B9B">
        <w:rPr>
          <w:rFonts w:hint="eastAsia"/>
          <w:lang w:eastAsia="zh-CN"/>
        </w:rPr>
        <w:t>储存、印制和技术服务的资本账目</w:t>
      </w:r>
      <w:r w:rsidRPr="006E3B9B">
        <w:rPr>
          <w:lang w:val="en-US" w:eastAsia="zh-CN"/>
        </w:rPr>
        <w:tab/>
      </w:r>
      <w:r w:rsidR="00396681">
        <w:rPr>
          <w:lang w:val="en-US" w:eastAsia="zh-CN"/>
        </w:rPr>
        <w:tab/>
      </w:r>
      <w:r w:rsidRPr="006E3B9B">
        <w:rPr>
          <w:lang w:val="en-US" w:eastAsia="zh-CN"/>
        </w:rPr>
        <w:t>1991</w:t>
      </w:r>
      <w:r w:rsidRPr="006E3B9B">
        <w:rPr>
          <w:rFonts w:hint="eastAsia"/>
          <w:lang w:eastAsia="zh-CN"/>
        </w:rPr>
        <w:t>年</w:t>
      </w:r>
    </w:p>
    <w:p w14:paraId="4827C40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430</w:t>
      </w:r>
      <w:r w:rsidRPr="006E3B9B">
        <w:rPr>
          <w:lang w:val="en-US" w:eastAsia="zh-CN"/>
        </w:rPr>
        <w:t>号决定</w:t>
      </w:r>
      <w:r w:rsidRPr="006E3B9B">
        <w:rPr>
          <w:lang w:val="en-US" w:eastAsia="zh-CN"/>
        </w:rPr>
        <w:tab/>
      </w:r>
      <w:r w:rsidRPr="006E3B9B">
        <w:rPr>
          <w:rFonts w:hint="eastAsia"/>
          <w:lang w:eastAsia="zh-CN"/>
        </w:rPr>
        <w:t>出版物资本账目</w:t>
      </w:r>
      <w:r w:rsidRPr="006E3B9B">
        <w:rPr>
          <w:lang w:val="en-US" w:eastAsia="zh-CN"/>
        </w:rPr>
        <w:tab/>
      </w:r>
      <w:r w:rsidR="00396681">
        <w:rPr>
          <w:lang w:val="en-US" w:eastAsia="zh-CN"/>
        </w:rPr>
        <w:tab/>
      </w:r>
      <w:r w:rsidRPr="006E3B9B">
        <w:rPr>
          <w:lang w:val="en-US" w:eastAsia="zh-CN"/>
        </w:rPr>
        <w:t>1991</w:t>
      </w:r>
      <w:r w:rsidRPr="006E3B9B">
        <w:rPr>
          <w:rFonts w:hint="eastAsia"/>
          <w:lang w:eastAsia="zh-CN"/>
        </w:rPr>
        <w:t>年</w:t>
      </w:r>
    </w:p>
    <w:p w14:paraId="4827C40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431</w:t>
      </w:r>
      <w:r w:rsidRPr="006E3B9B">
        <w:rPr>
          <w:lang w:val="en-US" w:eastAsia="zh-CN"/>
        </w:rPr>
        <w:t>号决定</w:t>
      </w:r>
      <w:r w:rsidRPr="006E3B9B">
        <w:rPr>
          <w:lang w:val="en-US" w:eastAsia="zh-CN"/>
        </w:rPr>
        <w:tab/>
      </w:r>
      <w:r w:rsidRPr="006E3B9B">
        <w:rPr>
          <w:rFonts w:hint="eastAsia"/>
          <w:lang w:eastAsia="zh-CN"/>
        </w:rPr>
        <w:t>行政理事会可支配的运作资金</w:t>
      </w:r>
      <w:r w:rsidRPr="006E3B9B">
        <w:rPr>
          <w:lang w:val="en-US" w:eastAsia="zh-CN"/>
        </w:rPr>
        <w:tab/>
      </w:r>
      <w:r w:rsidR="00396681">
        <w:rPr>
          <w:lang w:val="en-US" w:eastAsia="zh-CN"/>
        </w:rPr>
        <w:tab/>
      </w:r>
      <w:r w:rsidRPr="006E3B9B">
        <w:rPr>
          <w:lang w:val="en-US" w:eastAsia="zh-CN"/>
        </w:rPr>
        <w:t>1991</w:t>
      </w:r>
      <w:r w:rsidRPr="006E3B9B">
        <w:rPr>
          <w:rFonts w:hint="eastAsia"/>
          <w:lang w:eastAsia="zh-CN"/>
        </w:rPr>
        <w:t>年</w:t>
      </w:r>
    </w:p>
    <w:p w14:paraId="4827C40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432</w:t>
      </w:r>
      <w:r w:rsidRPr="006E3B9B">
        <w:rPr>
          <w:lang w:val="en-US" w:eastAsia="zh-CN"/>
        </w:rPr>
        <w:t>号决定</w:t>
      </w:r>
      <w:r w:rsidRPr="006E3B9B">
        <w:rPr>
          <w:lang w:val="en-US" w:eastAsia="zh-CN"/>
        </w:rPr>
        <w:tab/>
      </w:r>
      <w:r w:rsidRPr="006E3B9B">
        <w:rPr>
          <w:rFonts w:hint="eastAsia"/>
          <w:lang w:val="en-US" w:eastAsia="zh-CN"/>
        </w:rPr>
        <w:t>（</w:t>
      </w:r>
      <w:r w:rsidRPr="006E3B9B">
        <w:rPr>
          <w:rFonts w:hint="eastAsia"/>
          <w:lang w:eastAsia="zh-CN"/>
        </w:rPr>
        <w:t>美利坚合众国</w:t>
      </w:r>
      <w:r w:rsidRPr="006E3B9B">
        <w:rPr>
          <w:rFonts w:hint="eastAsia"/>
          <w:lang w:val="en-US" w:eastAsia="zh-CN"/>
        </w:rPr>
        <w:t>）</w:t>
      </w:r>
      <w:r w:rsidRPr="006E3B9B">
        <w:rPr>
          <w:lang w:eastAsia="zh-CN"/>
        </w:rPr>
        <w:t>Hauppage</w:t>
      </w:r>
      <w:r w:rsidRPr="006E3B9B">
        <w:rPr>
          <w:rFonts w:hint="eastAsia"/>
          <w:lang w:eastAsia="zh-CN"/>
        </w:rPr>
        <w:t>的</w:t>
      </w:r>
      <w:r w:rsidRPr="006E3B9B">
        <w:rPr>
          <w:lang w:eastAsia="zh-CN"/>
        </w:rPr>
        <w:t>IBC</w:t>
      </w:r>
      <w:r w:rsidRPr="006E3B9B">
        <w:rPr>
          <w:rFonts w:hint="eastAsia"/>
          <w:lang w:eastAsia="zh-CN"/>
        </w:rPr>
        <w:t>公司的欠款</w:t>
      </w:r>
      <w:r w:rsidRPr="006E3B9B">
        <w:rPr>
          <w:lang w:val="en-US" w:eastAsia="zh-CN"/>
        </w:rPr>
        <w:tab/>
      </w:r>
      <w:r w:rsidR="00396681">
        <w:rPr>
          <w:lang w:val="en-US" w:eastAsia="zh-CN"/>
        </w:rPr>
        <w:tab/>
      </w:r>
      <w:r w:rsidRPr="006E3B9B">
        <w:rPr>
          <w:lang w:val="en-US" w:eastAsia="zh-CN"/>
        </w:rPr>
        <w:t>1991</w:t>
      </w:r>
      <w:r w:rsidRPr="006E3B9B">
        <w:rPr>
          <w:rFonts w:hint="eastAsia"/>
          <w:lang w:eastAsia="zh-CN"/>
        </w:rPr>
        <w:t>年</w:t>
      </w:r>
    </w:p>
    <w:p w14:paraId="4827C40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433</w:t>
      </w:r>
      <w:r w:rsidRPr="006E3B9B">
        <w:rPr>
          <w:lang w:val="en-US" w:eastAsia="zh-CN"/>
        </w:rPr>
        <w:t>号决定</w:t>
      </w:r>
      <w:r w:rsidRPr="006E3B9B">
        <w:rPr>
          <w:lang w:val="en-US" w:eastAsia="zh-CN"/>
        </w:rPr>
        <w:tab/>
      </w:r>
      <w:r w:rsidRPr="006E3B9B">
        <w:rPr>
          <w:rFonts w:hint="eastAsia"/>
          <w:lang w:val="en-US" w:eastAsia="zh-CN"/>
        </w:rPr>
        <w:t>（</w:t>
      </w:r>
      <w:r w:rsidRPr="006E3B9B">
        <w:rPr>
          <w:rFonts w:hint="eastAsia"/>
          <w:lang w:eastAsia="zh-CN"/>
        </w:rPr>
        <w:t>比利时</w:t>
      </w:r>
      <w:r w:rsidRPr="006E3B9B">
        <w:rPr>
          <w:rFonts w:hint="eastAsia"/>
          <w:lang w:val="en-US" w:eastAsia="zh-CN"/>
        </w:rPr>
        <w:t>）</w:t>
      </w:r>
      <w:r w:rsidRPr="006E3B9B">
        <w:rPr>
          <w:lang w:eastAsia="zh-CN"/>
        </w:rPr>
        <w:t>Herentals</w:t>
      </w:r>
      <w:r w:rsidRPr="006E3B9B">
        <w:rPr>
          <w:rFonts w:hint="eastAsia"/>
          <w:lang w:eastAsia="zh-CN"/>
        </w:rPr>
        <w:t>的</w:t>
      </w:r>
      <w:r w:rsidRPr="006E3B9B">
        <w:rPr>
          <w:lang w:eastAsia="zh-CN"/>
        </w:rPr>
        <w:t>GTE ATEA</w:t>
      </w:r>
      <w:r w:rsidRPr="006E3B9B">
        <w:rPr>
          <w:rFonts w:hint="eastAsia"/>
          <w:lang w:eastAsia="zh-CN"/>
        </w:rPr>
        <w:t>公司的欠款</w:t>
      </w:r>
      <w:r w:rsidR="00396681">
        <w:rPr>
          <w:lang w:eastAsia="zh-CN"/>
        </w:rPr>
        <w:tab/>
      </w:r>
      <w:r w:rsidRPr="006E3B9B">
        <w:rPr>
          <w:lang w:val="en-US" w:eastAsia="zh-CN"/>
        </w:rPr>
        <w:tab/>
        <w:t>1991</w:t>
      </w:r>
      <w:r w:rsidRPr="006E3B9B">
        <w:rPr>
          <w:rFonts w:hint="eastAsia"/>
          <w:lang w:eastAsia="zh-CN"/>
        </w:rPr>
        <w:t>年</w:t>
      </w:r>
    </w:p>
    <w:p w14:paraId="4827C40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434</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46</w:t>
      </w:r>
      <w:r w:rsidRPr="006E3B9B">
        <w:rPr>
          <w:rFonts w:hint="eastAsia"/>
          <w:lang w:eastAsia="zh-CN"/>
        </w:rPr>
        <w:t>届会议的日期和会期</w:t>
      </w:r>
      <w:r w:rsidR="00396681">
        <w:rPr>
          <w:lang w:eastAsia="zh-CN"/>
        </w:rPr>
        <w:tab/>
      </w:r>
      <w:r w:rsidRPr="006E3B9B">
        <w:rPr>
          <w:lang w:val="en-US" w:eastAsia="zh-CN"/>
        </w:rPr>
        <w:tab/>
        <w:t>1991</w:t>
      </w:r>
      <w:r w:rsidRPr="006E3B9B">
        <w:rPr>
          <w:rFonts w:hint="eastAsia"/>
          <w:lang w:eastAsia="zh-CN"/>
        </w:rPr>
        <w:t>年</w:t>
      </w:r>
    </w:p>
    <w:p w14:paraId="4827C40A" w14:textId="77777777" w:rsidR="0058405E" w:rsidRDefault="0058405E">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4827C40B" w14:textId="77777777" w:rsidR="006E3B9B" w:rsidRPr="006E3B9B" w:rsidRDefault="006E3B9B" w:rsidP="004E1793">
      <w:pPr>
        <w:pStyle w:val="Reftitle"/>
        <w:rPr>
          <w:lang w:val="en-US" w:eastAsia="zh-CN"/>
        </w:rPr>
      </w:pPr>
      <w:r w:rsidRPr="006E3B9B">
        <w:rPr>
          <w:rFonts w:hint="eastAsia"/>
          <w:lang w:eastAsia="zh-CN"/>
        </w:rPr>
        <w:lastRenderedPageBreak/>
        <w:t>第</w:t>
      </w:r>
      <w:r w:rsidRPr="006E3B9B">
        <w:rPr>
          <w:lang w:eastAsia="zh-CN"/>
        </w:rPr>
        <w:t>46</w:t>
      </w:r>
      <w:r w:rsidRPr="006E3B9B">
        <w:rPr>
          <w:rFonts w:hint="eastAsia"/>
          <w:lang w:eastAsia="zh-CN"/>
        </w:rPr>
        <w:t>届会议（</w:t>
      </w:r>
      <w:r w:rsidRPr="006E3B9B">
        <w:rPr>
          <w:lang w:eastAsia="zh-CN"/>
        </w:rPr>
        <w:t>1991</w:t>
      </w:r>
      <w:r w:rsidRPr="006E3B9B">
        <w:rPr>
          <w:rFonts w:hint="eastAsia"/>
          <w:lang w:eastAsia="zh-CN"/>
        </w:rPr>
        <w:t>年</w:t>
      </w:r>
      <w:r w:rsidRPr="006E3B9B">
        <w:rPr>
          <w:lang w:eastAsia="zh-CN"/>
        </w:rPr>
        <w:t>5</w:t>
      </w:r>
      <w:r w:rsidRPr="006E3B9B">
        <w:rPr>
          <w:rFonts w:hint="eastAsia"/>
          <w:lang w:eastAsia="zh-CN"/>
        </w:rPr>
        <w:t>月</w:t>
      </w:r>
      <w:r w:rsidRPr="006E3B9B">
        <w:rPr>
          <w:lang w:eastAsia="zh-CN"/>
        </w:rPr>
        <w:t>-6</w:t>
      </w:r>
      <w:r w:rsidRPr="006E3B9B">
        <w:rPr>
          <w:rFonts w:hint="eastAsia"/>
          <w:lang w:eastAsia="zh-CN"/>
        </w:rPr>
        <w:t>月）</w:t>
      </w:r>
    </w:p>
    <w:p w14:paraId="4827C40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435</w:t>
      </w:r>
      <w:r w:rsidRPr="006E3B9B">
        <w:rPr>
          <w:lang w:val="en-US" w:eastAsia="zh-CN"/>
        </w:rPr>
        <w:t>号决定</w:t>
      </w:r>
      <w:r w:rsidRPr="006E3B9B">
        <w:rPr>
          <w:lang w:val="en-US" w:eastAsia="zh-CN"/>
        </w:rPr>
        <w:tab/>
      </w:r>
      <w:r w:rsidRPr="006E3B9B">
        <w:rPr>
          <w:rFonts w:hint="eastAsia"/>
          <w:lang w:eastAsia="zh-CN"/>
        </w:rPr>
        <w:t>国际电联的储备金账目</w:t>
      </w:r>
      <w:r w:rsidRPr="006E3B9B">
        <w:rPr>
          <w:lang w:val="en-US" w:eastAsia="zh-CN"/>
        </w:rPr>
        <w:tab/>
      </w:r>
      <w:r w:rsidR="00396681">
        <w:rPr>
          <w:lang w:val="en-US" w:eastAsia="zh-CN"/>
        </w:rPr>
        <w:tab/>
      </w:r>
      <w:r w:rsidRPr="006E3B9B">
        <w:rPr>
          <w:lang w:val="en-US" w:eastAsia="zh-CN"/>
        </w:rPr>
        <w:t>1992</w:t>
      </w:r>
      <w:r w:rsidRPr="006E3B9B">
        <w:rPr>
          <w:rFonts w:hint="eastAsia"/>
          <w:lang w:eastAsia="zh-CN"/>
        </w:rPr>
        <w:t>年</w:t>
      </w:r>
    </w:p>
    <w:p w14:paraId="4827C40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436</w:t>
      </w:r>
      <w:r w:rsidRPr="006E3B9B">
        <w:rPr>
          <w:lang w:val="en-US" w:eastAsia="zh-CN"/>
        </w:rPr>
        <w:t>号决定</w:t>
      </w:r>
      <w:r w:rsidRPr="006E3B9B">
        <w:rPr>
          <w:lang w:val="en-US" w:eastAsia="zh-CN"/>
        </w:rPr>
        <w:tab/>
      </w:r>
      <w:r w:rsidRPr="006E3B9B">
        <w:rPr>
          <w:rFonts w:hint="eastAsia"/>
          <w:lang w:val="en-US" w:eastAsia="zh-CN"/>
        </w:rPr>
        <w:t>（</w:t>
      </w:r>
      <w:r w:rsidRPr="006E3B9B">
        <w:rPr>
          <w:rFonts w:hint="eastAsia"/>
          <w:lang w:eastAsia="zh-CN"/>
        </w:rPr>
        <w:t>美利坚合众国</w:t>
      </w:r>
      <w:r w:rsidRPr="006E3B9B">
        <w:rPr>
          <w:rFonts w:hint="eastAsia"/>
          <w:lang w:val="en-US" w:eastAsia="zh-CN"/>
        </w:rPr>
        <w:t>）</w:t>
      </w:r>
      <w:r w:rsidRPr="006E3B9B">
        <w:rPr>
          <w:lang w:eastAsia="zh-CN"/>
        </w:rPr>
        <w:t>Andover</w:t>
      </w:r>
      <w:r w:rsidRPr="006E3B9B">
        <w:rPr>
          <w:rFonts w:hint="eastAsia"/>
          <w:lang w:eastAsia="zh-CN"/>
        </w:rPr>
        <w:t>的</w:t>
      </w:r>
      <w:r w:rsidRPr="006E3B9B">
        <w:rPr>
          <w:lang w:eastAsia="zh-CN"/>
        </w:rPr>
        <w:t>Infinet</w:t>
      </w:r>
      <w:r w:rsidRPr="006E3B9B">
        <w:rPr>
          <w:rFonts w:hint="eastAsia"/>
          <w:lang w:eastAsia="zh-CN"/>
        </w:rPr>
        <w:t>公司的欠款</w:t>
      </w:r>
      <w:r w:rsidR="00396681">
        <w:rPr>
          <w:lang w:eastAsia="zh-CN"/>
        </w:rPr>
        <w:tab/>
      </w:r>
      <w:r w:rsidRPr="006E3B9B">
        <w:rPr>
          <w:lang w:val="en-US" w:eastAsia="zh-CN"/>
        </w:rPr>
        <w:tab/>
        <w:t>1992</w:t>
      </w:r>
      <w:r w:rsidRPr="006E3B9B">
        <w:rPr>
          <w:rFonts w:hint="eastAsia"/>
          <w:lang w:eastAsia="zh-CN"/>
        </w:rPr>
        <w:t>年</w:t>
      </w:r>
    </w:p>
    <w:p w14:paraId="4827C40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437</w:t>
      </w:r>
      <w:r w:rsidRPr="006E3B9B">
        <w:rPr>
          <w:lang w:val="en-US" w:eastAsia="zh-CN"/>
        </w:rPr>
        <w:t>号决定</w:t>
      </w:r>
      <w:r w:rsidRPr="006E3B9B">
        <w:rPr>
          <w:lang w:val="en-US" w:eastAsia="zh-CN"/>
        </w:rPr>
        <w:tab/>
      </w:r>
      <w:r w:rsidRPr="006E3B9B">
        <w:rPr>
          <w:rFonts w:hint="eastAsia"/>
          <w:lang w:val="en-US" w:eastAsia="zh-CN"/>
        </w:rPr>
        <w:t>（</w:t>
      </w:r>
      <w:r w:rsidRPr="006E3B9B">
        <w:rPr>
          <w:rFonts w:hint="eastAsia"/>
          <w:lang w:eastAsia="zh-CN"/>
        </w:rPr>
        <w:t>美利坚合众国</w:t>
      </w:r>
      <w:r w:rsidRPr="006E3B9B">
        <w:rPr>
          <w:rFonts w:hint="eastAsia"/>
          <w:lang w:val="en-US" w:eastAsia="zh-CN"/>
        </w:rPr>
        <w:t>）</w:t>
      </w:r>
      <w:r w:rsidRPr="006E3B9B">
        <w:rPr>
          <w:lang w:eastAsia="zh-CN"/>
        </w:rPr>
        <w:t xml:space="preserve">Frederick </w:t>
      </w:r>
      <w:r w:rsidRPr="006E3B9B">
        <w:rPr>
          <w:rFonts w:hint="eastAsia"/>
          <w:lang w:eastAsia="zh-CN"/>
        </w:rPr>
        <w:t>的</w:t>
      </w:r>
      <w:r w:rsidRPr="006E3B9B">
        <w:rPr>
          <w:lang w:eastAsia="zh-CN"/>
        </w:rPr>
        <w:t>Plantronics</w:t>
      </w:r>
      <w:r w:rsidRPr="006E3B9B">
        <w:rPr>
          <w:rFonts w:hint="eastAsia"/>
          <w:lang w:eastAsia="zh-CN"/>
        </w:rPr>
        <w:t>公司的欠款</w:t>
      </w:r>
      <w:r w:rsidR="00396681">
        <w:rPr>
          <w:lang w:eastAsia="zh-CN"/>
        </w:rPr>
        <w:tab/>
      </w:r>
      <w:r w:rsidRPr="006E3B9B">
        <w:rPr>
          <w:lang w:val="en-US" w:eastAsia="zh-CN"/>
        </w:rPr>
        <w:tab/>
        <w:t>1992</w:t>
      </w:r>
      <w:r w:rsidRPr="006E3B9B">
        <w:rPr>
          <w:rFonts w:hint="eastAsia"/>
          <w:lang w:eastAsia="zh-CN"/>
        </w:rPr>
        <w:t>年</w:t>
      </w:r>
    </w:p>
    <w:p w14:paraId="4827C40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438</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47</w:t>
      </w:r>
      <w:r w:rsidRPr="006E3B9B">
        <w:rPr>
          <w:rFonts w:hint="eastAsia"/>
          <w:lang w:eastAsia="zh-CN"/>
        </w:rPr>
        <w:t>届会议的日期和会期</w:t>
      </w:r>
      <w:r w:rsidR="00396681">
        <w:rPr>
          <w:lang w:eastAsia="zh-CN"/>
        </w:rPr>
        <w:tab/>
      </w:r>
      <w:r w:rsidRPr="006E3B9B">
        <w:rPr>
          <w:lang w:val="en-US" w:eastAsia="zh-CN"/>
        </w:rPr>
        <w:tab/>
        <w:t>1992</w:t>
      </w:r>
      <w:r w:rsidRPr="006E3B9B">
        <w:rPr>
          <w:rFonts w:hint="eastAsia"/>
          <w:lang w:eastAsia="zh-CN"/>
        </w:rPr>
        <w:t>年</w:t>
      </w:r>
    </w:p>
    <w:p w14:paraId="4827C41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439</w:t>
      </w:r>
      <w:r w:rsidRPr="006E3B9B">
        <w:rPr>
          <w:lang w:val="en-US" w:eastAsia="zh-CN"/>
        </w:rPr>
        <w:t>号决定</w:t>
      </w:r>
      <w:r w:rsidRPr="006E3B9B">
        <w:rPr>
          <w:lang w:val="en-US" w:eastAsia="zh-CN"/>
        </w:rPr>
        <w:tab/>
      </w:r>
      <w:r w:rsidRPr="006E3B9B">
        <w:rPr>
          <w:rFonts w:hint="eastAsia"/>
          <w:lang w:eastAsia="zh-CN"/>
        </w:rPr>
        <w:t>高委会建议的实施</w:t>
      </w:r>
      <w:r w:rsidRPr="006E3B9B">
        <w:rPr>
          <w:lang w:val="en-US" w:eastAsia="zh-CN"/>
        </w:rPr>
        <w:tab/>
      </w:r>
      <w:r w:rsidR="00396681">
        <w:rPr>
          <w:lang w:val="en-US" w:eastAsia="zh-CN"/>
        </w:rPr>
        <w:tab/>
      </w:r>
      <w:r w:rsidRPr="006E3B9B">
        <w:rPr>
          <w:lang w:val="en-US" w:eastAsia="zh-CN"/>
        </w:rPr>
        <w:t>1995</w:t>
      </w:r>
      <w:r w:rsidRPr="006E3B9B">
        <w:rPr>
          <w:rFonts w:hint="eastAsia"/>
          <w:lang w:val="en-US" w:eastAsia="zh-CN"/>
        </w:rPr>
        <w:t>年</w:t>
      </w:r>
    </w:p>
    <w:p w14:paraId="4827C411" w14:textId="77777777" w:rsidR="006E3B9B" w:rsidRPr="006E3B9B" w:rsidRDefault="006E3B9B" w:rsidP="004E1793">
      <w:pPr>
        <w:pStyle w:val="Reftitle"/>
        <w:rPr>
          <w:lang w:eastAsia="zh-CN"/>
        </w:rPr>
      </w:pPr>
      <w:r w:rsidRPr="006E3B9B">
        <w:rPr>
          <w:rFonts w:hint="eastAsia"/>
          <w:lang w:eastAsia="zh-CN"/>
        </w:rPr>
        <w:t>第</w:t>
      </w:r>
      <w:r w:rsidRPr="006E3B9B">
        <w:rPr>
          <w:lang w:eastAsia="zh-CN"/>
        </w:rPr>
        <w:t>47</w:t>
      </w:r>
      <w:r w:rsidRPr="006E3B9B">
        <w:rPr>
          <w:rFonts w:hint="eastAsia"/>
          <w:lang w:eastAsia="zh-CN"/>
        </w:rPr>
        <w:t>届会议（</w:t>
      </w:r>
      <w:r w:rsidRPr="006E3B9B">
        <w:rPr>
          <w:lang w:eastAsia="zh-CN"/>
        </w:rPr>
        <w:t>1992</w:t>
      </w:r>
      <w:r w:rsidRPr="006E3B9B">
        <w:rPr>
          <w:rFonts w:hint="eastAsia"/>
          <w:lang w:eastAsia="zh-CN"/>
        </w:rPr>
        <w:t>年</w:t>
      </w:r>
      <w:r w:rsidRPr="006E3B9B">
        <w:rPr>
          <w:lang w:eastAsia="zh-CN"/>
        </w:rPr>
        <w:t>6</w:t>
      </w:r>
      <w:r w:rsidRPr="006E3B9B">
        <w:rPr>
          <w:rFonts w:hint="eastAsia"/>
          <w:lang w:eastAsia="zh-CN"/>
        </w:rPr>
        <w:t>月</w:t>
      </w:r>
      <w:r w:rsidRPr="006E3B9B">
        <w:rPr>
          <w:lang w:eastAsia="zh-CN"/>
        </w:rPr>
        <w:t>-7</w:t>
      </w:r>
      <w:r w:rsidRPr="006E3B9B">
        <w:rPr>
          <w:rFonts w:hint="eastAsia"/>
          <w:lang w:eastAsia="zh-CN"/>
        </w:rPr>
        <w:t>月和</w:t>
      </w:r>
      <w:r w:rsidRPr="006E3B9B">
        <w:rPr>
          <w:lang w:eastAsia="zh-CN"/>
        </w:rPr>
        <w:t>12</w:t>
      </w:r>
      <w:r w:rsidRPr="006E3B9B">
        <w:rPr>
          <w:rFonts w:hint="eastAsia"/>
          <w:lang w:eastAsia="zh-CN"/>
        </w:rPr>
        <w:t>月）</w:t>
      </w:r>
    </w:p>
    <w:p w14:paraId="4827C41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440</w:t>
      </w:r>
      <w:r w:rsidRPr="006E3B9B">
        <w:rPr>
          <w:lang w:val="en-US" w:eastAsia="zh-CN"/>
        </w:rPr>
        <w:t>号决定</w:t>
      </w:r>
      <w:r w:rsidRPr="006E3B9B">
        <w:rPr>
          <w:lang w:val="en-US" w:eastAsia="zh-CN"/>
        </w:rPr>
        <w:tab/>
      </w:r>
      <w:r w:rsidRPr="006E3B9B">
        <w:rPr>
          <w:rFonts w:hint="eastAsia"/>
          <w:lang w:eastAsia="zh-CN"/>
        </w:rPr>
        <w:t>（加拿大）渥太华加拿大广播公司协会的欠款</w:t>
      </w:r>
      <w:r w:rsidRPr="006E3B9B">
        <w:rPr>
          <w:lang w:val="en-US" w:eastAsia="zh-CN"/>
        </w:rPr>
        <w:tab/>
      </w:r>
      <w:r w:rsidR="00396681">
        <w:rPr>
          <w:lang w:val="en-US" w:eastAsia="zh-CN"/>
        </w:rPr>
        <w:tab/>
      </w:r>
      <w:r w:rsidRPr="006E3B9B">
        <w:rPr>
          <w:lang w:val="en-US" w:eastAsia="zh-CN"/>
        </w:rPr>
        <w:t>1993</w:t>
      </w:r>
      <w:r w:rsidRPr="006E3B9B">
        <w:rPr>
          <w:rFonts w:hint="eastAsia"/>
          <w:lang w:val="en-US" w:eastAsia="zh-CN"/>
        </w:rPr>
        <w:t>年</w:t>
      </w:r>
    </w:p>
    <w:p w14:paraId="4827C41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441</w:t>
      </w:r>
      <w:r w:rsidRPr="006E3B9B">
        <w:rPr>
          <w:lang w:val="en-US" w:eastAsia="zh-CN"/>
        </w:rPr>
        <w:t>号决定</w:t>
      </w:r>
      <w:r w:rsidRPr="006E3B9B">
        <w:rPr>
          <w:lang w:val="en-US" w:eastAsia="zh-CN"/>
        </w:rPr>
        <w:tab/>
      </w:r>
      <w:r w:rsidRPr="006E3B9B">
        <w:rPr>
          <w:rFonts w:hint="eastAsia"/>
          <w:lang w:val="en-US" w:eastAsia="zh-CN"/>
        </w:rPr>
        <w:t>（</w:t>
      </w:r>
      <w:r w:rsidRPr="006E3B9B">
        <w:rPr>
          <w:rFonts w:hint="eastAsia"/>
          <w:lang w:eastAsia="zh-CN"/>
        </w:rPr>
        <w:t>智利）圣地亚哥智利电报公司的欠款</w:t>
      </w:r>
      <w:r w:rsidRPr="006E3B9B">
        <w:rPr>
          <w:lang w:val="en-US" w:eastAsia="zh-CN"/>
        </w:rPr>
        <w:tab/>
      </w:r>
      <w:r w:rsidR="00396681">
        <w:rPr>
          <w:lang w:val="en-US" w:eastAsia="zh-CN"/>
        </w:rPr>
        <w:tab/>
      </w:r>
      <w:r w:rsidRPr="006E3B9B">
        <w:rPr>
          <w:lang w:val="en-US" w:eastAsia="zh-CN"/>
        </w:rPr>
        <w:t>1993</w:t>
      </w:r>
      <w:r w:rsidRPr="006E3B9B">
        <w:rPr>
          <w:rFonts w:hint="eastAsia"/>
          <w:lang w:eastAsia="zh-CN"/>
        </w:rPr>
        <w:t>年</w:t>
      </w:r>
    </w:p>
    <w:p w14:paraId="4827C41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442</w:t>
      </w:r>
      <w:r w:rsidRPr="006E3B9B">
        <w:rPr>
          <w:lang w:val="en-US" w:eastAsia="zh-CN"/>
        </w:rPr>
        <w:t>号决定</w:t>
      </w:r>
      <w:r w:rsidRPr="006E3B9B">
        <w:rPr>
          <w:lang w:val="en-US" w:eastAsia="zh-CN"/>
        </w:rPr>
        <w:tab/>
      </w:r>
      <w:r w:rsidRPr="006E3B9B">
        <w:rPr>
          <w:rFonts w:hint="eastAsia"/>
          <w:lang w:eastAsia="zh-CN"/>
        </w:rPr>
        <w:t>（瑞典）</w:t>
      </w:r>
      <w:r w:rsidRPr="006E3B9B">
        <w:rPr>
          <w:lang w:eastAsia="zh-CN"/>
        </w:rPr>
        <w:t xml:space="preserve">Vallingby </w:t>
      </w:r>
      <w:r w:rsidRPr="006E3B9B">
        <w:rPr>
          <w:rFonts w:hint="eastAsia"/>
          <w:lang w:eastAsia="zh-CN"/>
        </w:rPr>
        <w:t>标准无线电和电话公司的欠款</w:t>
      </w:r>
      <w:r w:rsidRPr="006E3B9B">
        <w:rPr>
          <w:lang w:val="en-US" w:eastAsia="zh-CN"/>
        </w:rPr>
        <w:tab/>
      </w:r>
      <w:r w:rsidR="00396681">
        <w:rPr>
          <w:lang w:val="en-US" w:eastAsia="zh-CN"/>
        </w:rPr>
        <w:tab/>
      </w:r>
      <w:r w:rsidRPr="006E3B9B">
        <w:rPr>
          <w:lang w:val="en-US" w:eastAsia="zh-CN"/>
        </w:rPr>
        <w:t>1993</w:t>
      </w:r>
      <w:r w:rsidRPr="006E3B9B">
        <w:rPr>
          <w:rFonts w:hint="eastAsia"/>
          <w:lang w:eastAsia="zh-CN"/>
        </w:rPr>
        <w:t>年</w:t>
      </w:r>
    </w:p>
    <w:p w14:paraId="4827C41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443</w:t>
      </w:r>
      <w:r w:rsidRPr="006E3B9B">
        <w:rPr>
          <w:lang w:val="en-US" w:eastAsia="zh-CN"/>
        </w:rPr>
        <w:t>号决定</w:t>
      </w:r>
      <w:r w:rsidRPr="006E3B9B">
        <w:rPr>
          <w:lang w:val="en-US" w:eastAsia="zh-CN"/>
        </w:rPr>
        <w:tab/>
      </w:r>
      <w:r w:rsidRPr="006E3B9B">
        <w:rPr>
          <w:rFonts w:hint="eastAsia"/>
          <w:lang w:eastAsia="zh-CN"/>
        </w:rPr>
        <w:t>国际电联的储备金账目</w:t>
      </w:r>
      <w:r w:rsidRPr="006E3B9B">
        <w:rPr>
          <w:lang w:val="en-US" w:eastAsia="zh-CN"/>
        </w:rPr>
        <w:tab/>
      </w:r>
      <w:r w:rsidR="00396681">
        <w:rPr>
          <w:lang w:val="en-US" w:eastAsia="zh-CN"/>
        </w:rPr>
        <w:tab/>
      </w:r>
      <w:r w:rsidRPr="006E3B9B">
        <w:rPr>
          <w:lang w:val="en-US" w:eastAsia="zh-CN"/>
        </w:rPr>
        <w:t>1993</w:t>
      </w:r>
      <w:r w:rsidRPr="006E3B9B">
        <w:rPr>
          <w:rFonts w:hint="eastAsia"/>
          <w:lang w:eastAsia="zh-CN"/>
        </w:rPr>
        <w:t>年</w:t>
      </w:r>
    </w:p>
    <w:p w14:paraId="4827C41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444</w:t>
      </w:r>
      <w:r w:rsidRPr="006E3B9B">
        <w:rPr>
          <w:lang w:val="en-US" w:eastAsia="zh-CN"/>
        </w:rPr>
        <w:t>号决定</w:t>
      </w:r>
      <w:r w:rsidRPr="006E3B9B">
        <w:rPr>
          <w:lang w:val="en-US" w:eastAsia="zh-CN"/>
        </w:rPr>
        <w:tab/>
      </w:r>
      <w:r w:rsidRPr="006E3B9B">
        <w:rPr>
          <w:rFonts w:hint="eastAsia"/>
          <w:lang w:eastAsia="zh-CN"/>
        </w:rPr>
        <w:t>出版物资本账目</w:t>
      </w:r>
      <w:r w:rsidRPr="006E3B9B">
        <w:rPr>
          <w:lang w:val="en-US" w:eastAsia="zh-CN"/>
        </w:rPr>
        <w:tab/>
      </w:r>
      <w:r w:rsidR="00396681">
        <w:rPr>
          <w:lang w:val="en-US" w:eastAsia="zh-CN"/>
        </w:rPr>
        <w:tab/>
      </w:r>
      <w:r w:rsidRPr="006E3B9B">
        <w:rPr>
          <w:lang w:val="en-US" w:eastAsia="zh-CN"/>
        </w:rPr>
        <w:t>1993</w:t>
      </w:r>
      <w:r w:rsidRPr="006E3B9B">
        <w:rPr>
          <w:rFonts w:hint="eastAsia"/>
          <w:lang w:eastAsia="zh-CN"/>
        </w:rPr>
        <w:t>年</w:t>
      </w:r>
    </w:p>
    <w:p w14:paraId="4827C41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445</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48</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1993</w:t>
      </w:r>
      <w:r w:rsidRPr="006E3B9B">
        <w:rPr>
          <w:rFonts w:hint="eastAsia"/>
          <w:lang w:eastAsia="zh-CN"/>
        </w:rPr>
        <w:t>年</w:t>
      </w:r>
    </w:p>
    <w:p w14:paraId="4827C41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446</w:t>
      </w:r>
      <w:r w:rsidRPr="006E3B9B">
        <w:rPr>
          <w:lang w:val="en-US" w:eastAsia="zh-CN"/>
        </w:rPr>
        <w:t>号决定</w:t>
      </w:r>
      <w:r w:rsidRPr="006E3B9B">
        <w:rPr>
          <w:lang w:val="en-US" w:eastAsia="zh-CN"/>
        </w:rPr>
        <w:tab/>
      </w:r>
      <w:r w:rsidRPr="006E3B9B">
        <w:rPr>
          <w:rFonts w:hint="eastAsia"/>
          <w:lang w:eastAsia="zh-CN"/>
        </w:rPr>
        <w:t>联合国教科文组织与国际电联达成临时合作协议</w:t>
      </w:r>
      <w:r w:rsidR="00396681">
        <w:rPr>
          <w:lang w:eastAsia="zh-CN"/>
        </w:rPr>
        <w:tab/>
      </w:r>
      <w:r w:rsidRPr="006E3B9B">
        <w:rPr>
          <w:lang w:val="en-US" w:eastAsia="zh-CN"/>
        </w:rPr>
        <w:tab/>
        <w:t>1996</w:t>
      </w:r>
      <w:r w:rsidRPr="006E3B9B">
        <w:rPr>
          <w:rFonts w:hint="eastAsia"/>
          <w:lang w:eastAsia="zh-CN"/>
        </w:rPr>
        <w:t>年</w:t>
      </w:r>
    </w:p>
    <w:p w14:paraId="4827C41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447</w:t>
      </w:r>
      <w:r w:rsidRPr="006E3B9B">
        <w:rPr>
          <w:lang w:val="en-US" w:eastAsia="zh-CN"/>
        </w:rPr>
        <w:t>号决定</w:t>
      </w:r>
      <w:r w:rsidRPr="006E3B9B">
        <w:rPr>
          <w:lang w:val="en-US" w:eastAsia="zh-CN"/>
        </w:rPr>
        <w:tab/>
      </w:r>
      <w:r w:rsidRPr="006E3B9B">
        <w:rPr>
          <w:rFonts w:hint="eastAsia"/>
          <w:lang w:eastAsia="zh-CN"/>
        </w:rPr>
        <w:t>下届例行全权代表大会的召开</w:t>
      </w:r>
      <w:r w:rsidRPr="006E3B9B">
        <w:rPr>
          <w:lang w:val="en-US" w:eastAsia="zh-CN"/>
        </w:rPr>
        <w:tab/>
      </w:r>
      <w:r w:rsidR="00396681">
        <w:rPr>
          <w:lang w:val="en-US" w:eastAsia="zh-CN"/>
        </w:rPr>
        <w:tab/>
      </w:r>
      <w:r w:rsidRPr="006E3B9B">
        <w:rPr>
          <w:lang w:val="en-US" w:eastAsia="zh-CN"/>
        </w:rPr>
        <w:t>1995</w:t>
      </w:r>
      <w:r w:rsidRPr="006E3B9B">
        <w:rPr>
          <w:rFonts w:hint="eastAsia"/>
          <w:lang w:val="en-US" w:eastAsia="zh-CN"/>
        </w:rPr>
        <w:t>年</w:t>
      </w:r>
    </w:p>
    <w:p w14:paraId="4827C41A" w14:textId="77777777" w:rsidR="006E3B9B" w:rsidRPr="00E251ED" w:rsidRDefault="006E3B9B" w:rsidP="004E1793">
      <w:pPr>
        <w:pStyle w:val="Reftitle"/>
        <w:rPr>
          <w:lang w:eastAsia="zh-CN"/>
        </w:rPr>
      </w:pPr>
      <w:r w:rsidRPr="006E3B9B">
        <w:rPr>
          <w:lang w:eastAsia="zh-CN"/>
        </w:rPr>
        <w:t>1993</w:t>
      </w:r>
      <w:r w:rsidRPr="006E3B9B">
        <w:rPr>
          <w:rFonts w:hint="eastAsia"/>
          <w:lang w:eastAsia="zh-CN"/>
        </w:rPr>
        <w:t>年会议（</w:t>
      </w:r>
      <w:r w:rsidRPr="006E3B9B">
        <w:rPr>
          <w:lang w:eastAsia="zh-CN"/>
        </w:rPr>
        <w:t>1993</w:t>
      </w:r>
      <w:r w:rsidRPr="006E3B9B">
        <w:rPr>
          <w:rFonts w:hint="eastAsia"/>
          <w:lang w:eastAsia="zh-CN"/>
        </w:rPr>
        <w:t>年</w:t>
      </w:r>
      <w:r w:rsidRPr="006E3B9B">
        <w:rPr>
          <w:lang w:eastAsia="zh-CN"/>
        </w:rPr>
        <w:t>6</w:t>
      </w:r>
      <w:r w:rsidRPr="006E3B9B">
        <w:rPr>
          <w:rFonts w:hint="eastAsia"/>
          <w:lang w:eastAsia="zh-CN"/>
        </w:rPr>
        <w:t>月</w:t>
      </w:r>
      <w:r w:rsidRPr="006E3B9B">
        <w:rPr>
          <w:lang w:eastAsia="zh-CN"/>
        </w:rPr>
        <w:t>-7</w:t>
      </w:r>
      <w:r w:rsidRPr="006E3B9B">
        <w:rPr>
          <w:rFonts w:hint="eastAsia"/>
          <w:lang w:eastAsia="zh-CN"/>
        </w:rPr>
        <w:t>月）</w:t>
      </w:r>
    </w:p>
    <w:p w14:paraId="4827C41B" w14:textId="77777777" w:rsidR="006E3B9B" w:rsidRPr="006E3B9B" w:rsidRDefault="006E3B9B" w:rsidP="00057467">
      <w:pPr>
        <w:pStyle w:val="Appendixref"/>
        <w:rPr>
          <w:sz w:val="18"/>
          <w:lang w:val="en-US" w:eastAsia="zh-CN"/>
        </w:rPr>
      </w:pPr>
      <w:r w:rsidRPr="006E3B9B">
        <w:rPr>
          <w:lang w:val="en-US" w:eastAsia="zh-CN"/>
        </w:rPr>
        <w:t>第</w:t>
      </w:r>
      <w:r w:rsidRPr="006E3B9B">
        <w:rPr>
          <w:lang w:val="en-US" w:eastAsia="zh-CN"/>
        </w:rPr>
        <w:t>448</w:t>
      </w:r>
      <w:r w:rsidRPr="006E3B9B">
        <w:rPr>
          <w:lang w:val="en-US" w:eastAsia="zh-CN"/>
        </w:rPr>
        <w:t>号决定</w:t>
      </w:r>
      <w:r w:rsidRPr="006E3B9B">
        <w:rPr>
          <w:lang w:val="en-US" w:eastAsia="zh-CN"/>
        </w:rPr>
        <w:tab/>
      </w:r>
      <w:r w:rsidRPr="006E3B9B">
        <w:rPr>
          <w:rFonts w:hint="eastAsia"/>
          <w:lang w:eastAsia="zh-CN"/>
        </w:rPr>
        <w:t>理事会</w:t>
      </w:r>
      <w:r w:rsidRPr="006E3B9B">
        <w:rPr>
          <w:lang w:eastAsia="zh-CN"/>
        </w:rPr>
        <w:t>1994</w:t>
      </w:r>
      <w:r w:rsidRPr="006E3B9B">
        <w:rPr>
          <w:rFonts w:hint="eastAsia"/>
          <w:lang w:eastAsia="zh-CN"/>
        </w:rPr>
        <w:t>年会议的日期和会期</w:t>
      </w:r>
      <w:r w:rsidR="00396681">
        <w:rPr>
          <w:lang w:eastAsia="zh-CN"/>
        </w:rPr>
        <w:tab/>
      </w:r>
      <w:r w:rsidRPr="006E3B9B">
        <w:rPr>
          <w:lang w:val="en-US" w:eastAsia="zh-CN"/>
        </w:rPr>
        <w:tab/>
        <w:t>1994</w:t>
      </w:r>
      <w:r w:rsidRPr="006E3B9B">
        <w:rPr>
          <w:rFonts w:hint="eastAsia"/>
          <w:sz w:val="18"/>
          <w:lang w:val="en-US" w:eastAsia="zh-CN"/>
        </w:rPr>
        <w:t>年</w:t>
      </w:r>
    </w:p>
    <w:p w14:paraId="4827C41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449</w:t>
      </w:r>
      <w:r w:rsidRPr="006E3B9B">
        <w:rPr>
          <w:lang w:val="en-US" w:eastAsia="zh-CN"/>
        </w:rPr>
        <w:t>号决定</w:t>
      </w:r>
      <w:r w:rsidRPr="006E3B9B">
        <w:rPr>
          <w:lang w:val="en-US" w:eastAsia="zh-CN"/>
        </w:rPr>
        <w:tab/>
      </w:r>
      <w:r w:rsidRPr="006E3B9B">
        <w:rPr>
          <w:rFonts w:hint="eastAsia"/>
          <w:lang w:eastAsia="zh-CN"/>
        </w:rPr>
        <w:t>储存、印制和技术服务的资本账目</w:t>
      </w:r>
      <w:r w:rsidR="00396681">
        <w:rPr>
          <w:lang w:eastAsia="zh-CN"/>
        </w:rPr>
        <w:tab/>
      </w:r>
      <w:r w:rsidRPr="006E3B9B">
        <w:rPr>
          <w:lang w:val="en-US" w:eastAsia="zh-CN"/>
        </w:rPr>
        <w:tab/>
        <w:t>1994</w:t>
      </w:r>
      <w:r w:rsidRPr="006E3B9B">
        <w:rPr>
          <w:rFonts w:hint="eastAsia"/>
          <w:lang w:val="en-US" w:eastAsia="zh-CN"/>
        </w:rPr>
        <w:t>年</w:t>
      </w:r>
    </w:p>
    <w:p w14:paraId="4827C41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450</w:t>
      </w:r>
      <w:r w:rsidRPr="006E3B9B">
        <w:rPr>
          <w:lang w:val="en-US" w:eastAsia="zh-CN"/>
        </w:rPr>
        <w:t>号决定</w:t>
      </w:r>
      <w:r w:rsidRPr="006E3B9B">
        <w:rPr>
          <w:lang w:val="en-US" w:eastAsia="zh-CN"/>
        </w:rPr>
        <w:tab/>
      </w:r>
      <w:r w:rsidRPr="006E3B9B">
        <w:rPr>
          <w:rFonts w:hint="eastAsia"/>
          <w:lang w:val="en-US" w:eastAsia="zh-CN"/>
        </w:rPr>
        <w:t>电信</w:t>
      </w:r>
      <w:r w:rsidRPr="006E3B9B">
        <w:rPr>
          <w:rFonts w:hint="eastAsia"/>
          <w:lang w:eastAsia="zh-CN"/>
        </w:rPr>
        <w:t>展周转基金</w:t>
      </w:r>
      <w:r w:rsidR="00396681">
        <w:rPr>
          <w:lang w:eastAsia="zh-CN"/>
        </w:rPr>
        <w:tab/>
      </w:r>
      <w:r w:rsidRPr="006E3B9B">
        <w:rPr>
          <w:lang w:val="en-US" w:eastAsia="zh-CN"/>
        </w:rPr>
        <w:tab/>
        <w:t>1994</w:t>
      </w:r>
      <w:r w:rsidRPr="006E3B9B">
        <w:rPr>
          <w:rFonts w:hint="eastAsia"/>
          <w:lang w:val="en-US" w:eastAsia="zh-CN"/>
        </w:rPr>
        <w:t>年</w:t>
      </w:r>
    </w:p>
    <w:p w14:paraId="4827C41E" w14:textId="77777777" w:rsidR="006E3B9B" w:rsidRPr="00E251ED" w:rsidRDefault="006E3B9B" w:rsidP="004E1793">
      <w:pPr>
        <w:pStyle w:val="Reftitle"/>
        <w:rPr>
          <w:lang w:eastAsia="zh-CN"/>
        </w:rPr>
      </w:pPr>
      <w:r w:rsidRPr="006E3B9B">
        <w:rPr>
          <w:lang w:eastAsia="zh-CN"/>
        </w:rPr>
        <w:t>1994</w:t>
      </w:r>
      <w:r w:rsidRPr="006E3B9B">
        <w:rPr>
          <w:rFonts w:hint="eastAsia"/>
          <w:lang w:eastAsia="zh-CN"/>
        </w:rPr>
        <w:t>年会议（</w:t>
      </w:r>
      <w:r w:rsidRPr="006E3B9B">
        <w:rPr>
          <w:lang w:eastAsia="zh-CN"/>
        </w:rPr>
        <w:t>1994</w:t>
      </w:r>
      <w:r w:rsidRPr="006E3B9B">
        <w:rPr>
          <w:rFonts w:hint="eastAsia"/>
          <w:lang w:eastAsia="zh-CN"/>
        </w:rPr>
        <w:t>年</w:t>
      </w:r>
      <w:r w:rsidRPr="006E3B9B">
        <w:rPr>
          <w:lang w:eastAsia="zh-CN"/>
        </w:rPr>
        <w:t>5</w:t>
      </w:r>
      <w:r w:rsidRPr="006E3B9B">
        <w:rPr>
          <w:rFonts w:hint="eastAsia"/>
          <w:lang w:eastAsia="zh-CN"/>
        </w:rPr>
        <w:t>月及</w:t>
      </w:r>
      <w:r w:rsidRPr="006E3B9B">
        <w:rPr>
          <w:lang w:eastAsia="zh-CN"/>
        </w:rPr>
        <w:t>1994</w:t>
      </w:r>
      <w:r w:rsidRPr="006E3B9B">
        <w:rPr>
          <w:rFonts w:hint="eastAsia"/>
          <w:lang w:eastAsia="zh-CN"/>
        </w:rPr>
        <w:t>年</w:t>
      </w:r>
      <w:r w:rsidRPr="006E3B9B">
        <w:rPr>
          <w:lang w:eastAsia="zh-CN"/>
        </w:rPr>
        <w:t>9</w:t>
      </w:r>
      <w:r w:rsidRPr="006E3B9B">
        <w:rPr>
          <w:rFonts w:hint="eastAsia"/>
          <w:lang w:eastAsia="zh-CN"/>
        </w:rPr>
        <w:t>月</w:t>
      </w:r>
      <w:r w:rsidRPr="006E3B9B">
        <w:rPr>
          <w:lang w:eastAsia="zh-CN"/>
        </w:rPr>
        <w:t>18</w:t>
      </w:r>
      <w:r w:rsidRPr="006E3B9B">
        <w:rPr>
          <w:rFonts w:hint="eastAsia"/>
          <w:lang w:eastAsia="zh-CN"/>
        </w:rPr>
        <w:t>日，京都）</w:t>
      </w:r>
    </w:p>
    <w:p w14:paraId="4827C41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451</w:t>
      </w:r>
      <w:r w:rsidRPr="006E3B9B">
        <w:rPr>
          <w:lang w:val="en-US" w:eastAsia="zh-CN"/>
        </w:rPr>
        <w:t>号决定</w:t>
      </w:r>
      <w:r w:rsidRPr="006E3B9B">
        <w:rPr>
          <w:lang w:val="en-US" w:eastAsia="zh-CN"/>
        </w:rPr>
        <w:tab/>
      </w:r>
      <w:r w:rsidRPr="006E3B9B">
        <w:rPr>
          <w:rFonts w:hint="eastAsia"/>
          <w:lang w:eastAsia="zh-CN"/>
        </w:rPr>
        <w:t>（美国）</w:t>
      </w:r>
      <w:r w:rsidRPr="006E3B9B">
        <w:rPr>
          <w:lang w:eastAsia="zh-CN"/>
        </w:rPr>
        <w:t>Upper Saddle River</w:t>
      </w:r>
      <w:r w:rsidRPr="006E3B9B">
        <w:rPr>
          <w:rFonts w:hint="eastAsia"/>
          <w:lang w:eastAsia="zh-CN"/>
        </w:rPr>
        <w:t>的新谷公司的欠款</w:t>
      </w:r>
      <w:r w:rsidR="00396681">
        <w:rPr>
          <w:lang w:eastAsia="zh-CN"/>
        </w:rPr>
        <w:tab/>
      </w:r>
      <w:r w:rsidRPr="006E3B9B">
        <w:rPr>
          <w:b/>
          <w:lang w:val="en-US" w:eastAsia="zh-CN"/>
        </w:rPr>
        <w:tab/>
      </w:r>
      <w:r w:rsidRPr="006E3B9B">
        <w:rPr>
          <w:lang w:val="en-US" w:eastAsia="zh-CN"/>
        </w:rPr>
        <w:t>1995</w:t>
      </w:r>
      <w:r w:rsidRPr="006E3B9B">
        <w:rPr>
          <w:rFonts w:hint="eastAsia"/>
          <w:lang w:val="en-US" w:eastAsia="zh-CN"/>
        </w:rPr>
        <w:t>年</w:t>
      </w:r>
    </w:p>
    <w:p w14:paraId="4827C42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452</w:t>
      </w:r>
      <w:r w:rsidRPr="006E3B9B">
        <w:rPr>
          <w:lang w:val="en-US" w:eastAsia="zh-CN"/>
        </w:rPr>
        <w:t>号决定</w:t>
      </w:r>
      <w:r w:rsidRPr="006E3B9B">
        <w:rPr>
          <w:lang w:val="en-US" w:eastAsia="zh-CN"/>
        </w:rPr>
        <w:tab/>
      </w:r>
      <w:r w:rsidRPr="006E3B9B">
        <w:rPr>
          <w:rFonts w:hint="eastAsia"/>
          <w:lang w:val="en-US" w:eastAsia="zh-CN"/>
        </w:rPr>
        <w:t>电信</w:t>
      </w:r>
      <w:r w:rsidRPr="006E3B9B">
        <w:rPr>
          <w:rFonts w:hint="eastAsia"/>
          <w:lang w:eastAsia="zh-CN"/>
        </w:rPr>
        <w:t>展周转基金</w:t>
      </w:r>
      <w:r w:rsidRPr="006E3B9B">
        <w:rPr>
          <w:lang w:val="en-US" w:eastAsia="zh-CN"/>
        </w:rPr>
        <w:tab/>
      </w:r>
      <w:r w:rsidR="00396681">
        <w:rPr>
          <w:lang w:val="en-US" w:eastAsia="zh-CN"/>
        </w:rPr>
        <w:tab/>
      </w:r>
      <w:r w:rsidRPr="006E3B9B">
        <w:rPr>
          <w:lang w:val="en-US" w:eastAsia="zh-CN"/>
        </w:rPr>
        <w:t>1995</w:t>
      </w:r>
      <w:r w:rsidRPr="006E3B9B">
        <w:rPr>
          <w:rFonts w:hint="eastAsia"/>
          <w:lang w:val="en-US" w:eastAsia="zh-CN"/>
        </w:rPr>
        <w:t>年</w:t>
      </w:r>
    </w:p>
    <w:p w14:paraId="4827C42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453</w:t>
      </w:r>
      <w:r w:rsidRPr="006E3B9B">
        <w:rPr>
          <w:lang w:val="en-US" w:eastAsia="zh-CN"/>
        </w:rPr>
        <w:t>号决定</w:t>
      </w:r>
      <w:r w:rsidRPr="006E3B9B">
        <w:rPr>
          <w:lang w:val="en-US" w:eastAsia="zh-CN"/>
        </w:rPr>
        <w:tab/>
      </w:r>
      <w:r w:rsidRPr="006E3B9B">
        <w:rPr>
          <w:rFonts w:hint="eastAsia"/>
          <w:lang w:eastAsia="zh-CN"/>
        </w:rPr>
        <w:t>大会和会议的组织、举办、资金来源和账目的清算</w:t>
      </w:r>
      <w:r w:rsidRPr="006E3B9B">
        <w:rPr>
          <w:lang w:val="en-US" w:eastAsia="zh-CN"/>
        </w:rPr>
        <w:tab/>
      </w:r>
      <w:r w:rsidR="00396681">
        <w:rPr>
          <w:lang w:val="en-US" w:eastAsia="zh-CN"/>
        </w:rPr>
        <w:tab/>
      </w:r>
      <w:r w:rsidRPr="006E3B9B">
        <w:rPr>
          <w:lang w:val="en-US" w:eastAsia="zh-CN"/>
        </w:rPr>
        <w:t>2002</w:t>
      </w:r>
      <w:r w:rsidRPr="006E3B9B">
        <w:rPr>
          <w:rFonts w:hint="eastAsia"/>
          <w:lang w:val="en-US" w:eastAsia="zh-CN"/>
        </w:rPr>
        <w:t>年</w:t>
      </w:r>
    </w:p>
    <w:p w14:paraId="4827C42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454</w:t>
      </w:r>
      <w:r w:rsidRPr="006E3B9B">
        <w:rPr>
          <w:lang w:val="en-US" w:eastAsia="zh-CN"/>
        </w:rPr>
        <w:t>号决定</w:t>
      </w:r>
      <w:r w:rsidRPr="006E3B9B">
        <w:rPr>
          <w:lang w:val="en-US" w:eastAsia="zh-CN"/>
        </w:rPr>
        <w:tab/>
      </w:r>
      <w:r w:rsidRPr="006E3B9B">
        <w:rPr>
          <w:rFonts w:hint="eastAsia"/>
          <w:lang w:val="en-US" w:eastAsia="zh-CN"/>
        </w:rPr>
        <w:t>召开</w:t>
      </w:r>
      <w:r w:rsidRPr="006E3B9B">
        <w:rPr>
          <w:rFonts w:hint="eastAsia"/>
          <w:lang w:eastAsia="zh-CN"/>
        </w:rPr>
        <w:t>理事会</w:t>
      </w:r>
      <w:r w:rsidRPr="006E3B9B">
        <w:rPr>
          <w:lang w:eastAsia="zh-CN"/>
        </w:rPr>
        <w:t>1994</w:t>
      </w:r>
      <w:r w:rsidRPr="006E3B9B">
        <w:rPr>
          <w:rFonts w:hint="eastAsia"/>
          <w:lang w:eastAsia="zh-CN"/>
        </w:rPr>
        <w:t>年会议的最后会议</w:t>
      </w:r>
      <w:r w:rsidRPr="006E3B9B">
        <w:rPr>
          <w:lang w:val="en-US" w:eastAsia="zh-CN"/>
        </w:rPr>
        <w:tab/>
      </w:r>
      <w:r w:rsidR="00396681">
        <w:rPr>
          <w:lang w:val="en-US" w:eastAsia="zh-CN"/>
        </w:rPr>
        <w:tab/>
      </w:r>
      <w:r w:rsidRPr="006E3B9B">
        <w:rPr>
          <w:lang w:val="en-US" w:eastAsia="zh-CN"/>
        </w:rPr>
        <w:t>1995</w:t>
      </w:r>
      <w:r w:rsidRPr="006E3B9B">
        <w:rPr>
          <w:rFonts w:hint="eastAsia"/>
          <w:lang w:val="en-US" w:eastAsia="zh-CN"/>
        </w:rPr>
        <w:t>年</w:t>
      </w:r>
    </w:p>
    <w:p w14:paraId="4827C42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455</w:t>
      </w:r>
      <w:r w:rsidRPr="006E3B9B">
        <w:rPr>
          <w:lang w:val="en-US" w:eastAsia="zh-CN"/>
        </w:rPr>
        <w:t>号决定</w:t>
      </w:r>
      <w:r w:rsidRPr="006E3B9B">
        <w:rPr>
          <w:lang w:val="en-US" w:eastAsia="zh-CN"/>
        </w:rPr>
        <w:tab/>
      </w:r>
      <w:r w:rsidRPr="006E3B9B">
        <w:rPr>
          <w:rFonts w:hint="eastAsia"/>
          <w:lang w:eastAsia="zh-CN"/>
        </w:rPr>
        <w:t>出版物资本账目</w:t>
      </w:r>
      <w:r w:rsidRPr="006E3B9B">
        <w:rPr>
          <w:lang w:val="en-US" w:eastAsia="zh-CN"/>
        </w:rPr>
        <w:tab/>
      </w:r>
      <w:r w:rsidR="00396681">
        <w:rPr>
          <w:lang w:val="en-US" w:eastAsia="zh-CN"/>
        </w:rPr>
        <w:tab/>
      </w:r>
      <w:r w:rsidRPr="006E3B9B">
        <w:rPr>
          <w:lang w:val="en-US" w:eastAsia="zh-CN"/>
        </w:rPr>
        <w:t>1995</w:t>
      </w:r>
      <w:r w:rsidRPr="006E3B9B">
        <w:rPr>
          <w:rFonts w:hint="eastAsia"/>
          <w:lang w:val="en-US" w:eastAsia="zh-CN"/>
        </w:rPr>
        <w:t>年</w:t>
      </w:r>
    </w:p>
    <w:p w14:paraId="4827C424" w14:textId="77777777" w:rsidR="006E3B9B" w:rsidRPr="00E251ED" w:rsidRDefault="006E3B9B" w:rsidP="004E1793">
      <w:pPr>
        <w:pStyle w:val="Reftitle"/>
        <w:rPr>
          <w:lang w:eastAsia="zh-CN"/>
        </w:rPr>
      </w:pPr>
      <w:r w:rsidRPr="006E3B9B">
        <w:rPr>
          <w:lang w:eastAsia="zh-CN"/>
        </w:rPr>
        <w:t>1995</w:t>
      </w:r>
      <w:r w:rsidRPr="006E3B9B">
        <w:rPr>
          <w:rFonts w:hint="eastAsia"/>
          <w:lang w:eastAsia="zh-CN"/>
        </w:rPr>
        <w:t>年会议（开幕会议，</w:t>
      </w:r>
      <w:r w:rsidRPr="006E3B9B">
        <w:rPr>
          <w:lang w:eastAsia="zh-CN"/>
        </w:rPr>
        <w:t>1994</w:t>
      </w:r>
      <w:r w:rsidRPr="006E3B9B">
        <w:rPr>
          <w:rFonts w:hint="eastAsia"/>
          <w:lang w:eastAsia="zh-CN"/>
        </w:rPr>
        <w:t>年</w:t>
      </w:r>
      <w:r w:rsidRPr="006E3B9B">
        <w:rPr>
          <w:lang w:eastAsia="zh-CN"/>
        </w:rPr>
        <w:t>10</w:t>
      </w:r>
      <w:r w:rsidRPr="006E3B9B">
        <w:rPr>
          <w:rFonts w:hint="eastAsia"/>
          <w:lang w:eastAsia="zh-CN"/>
        </w:rPr>
        <w:t>月</w:t>
      </w:r>
      <w:r w:rsidRPr="006E3B9B">
        <w:rPr>
          <w:lang w:eastAsia="zh-CN"/>
        </w:rPr>
        <w:t>14</w:t>
      </w:r>
      <w:r w:rsidRPr="006E3B9B">
        <w:rPr>
          <w:rFonts w:hint="eastAsia"/>
          <w:lang w:eastAsia="zh-CN"/>
        </w:rPr>
        <w:t>日，京都）</w:t>
      </w:r>
    </w:p>
    <w:p w14:paraId="4827C42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456</w:t>
      </w:r>
      <w:r w:rsidRPr="006E3B9B">
        <w:rPr>
          <w:lang w:val="en-US" w:eastAsia="zh-CN"/>
        </w:rPr>
        <w:t>号决定</w:t>
      </w:r>
      <w:r w:rsidRPr="006E3B9B">
        <w:rPr>
          <w:lang w:val="en-US" w:eastAsia="zh-CN"/>
        </w:rPr>
        <w:tab/>
      </w:r>
      <w:r w:rsidRPr="006E3B9B">
        <w:rPr>
          <w:rFonts w:hint="eastAsia"/>
          <w:lang w:eastAsia="zh-CN"/>
        </w:rPr>
        <w:t>理事会</w:t>
      </w:r>
      <w:r w:rsidRPr="006E3B9B">
        <w:rPr>
          <w:lang w:eastAsia="zh-CN"/>
        </w:rPr>
        <w:t>1995</w:t>
      </w:r>
      <w:r w:rsidRPr="006E3B9B">
        <w:rPr>
          <w:rFonts w:hint="eastAsia"/>
          <w:lang w:eastAsia="zh-CN"/>
        </w:rPr>
        <w:t>年会议的日期和会期</w:t>
      </w:r>
      <w:r w:rsidRPr="00AF0BF8">
        <w:rPr>
          <w:bCs/>
          <w:lang w:val="en-US" w:eastAsia="zh-CN"/>
        </w:rPr>
        <w:tab/>
      </w:r>
      <w:r w:rsidR="00396681" w:rsidRPr="00AF0BF8">
        <w:rPr>
          <w:bCs/>
          <w:lang w:val="en-US" w:eastAsia="zh-CN"/>
        </w:rPr>
        <w:tab/>
      </w:r>
      <w:r w:rsidRPr="006E3B9B">
        <w:rPr>
          <w:lang w:val="en-US" w:eastAsia="zh-CN"/>
        </w:rPr>
        <w:t>1995</w:t>
      </w:r>
      <w:r w:rsidRPr="006E3B9B">
        <w:rPr>
          <w:rFonts w:hint="eastAsia"/>
          <w:lang w:val="en-US" w:eastAsia="zh-CN"/>
        </w:rPr>
        <w:t>年</w:t>
      </w:r>
    </w:p>
    <w:p w14:paraId="4827C426" w14:textId="77777777" w:rsidR="006E3B9B" w:rsidRPr="006E3B9B" w:rsidRDefault="006E3B9B" w:rsidP="004E1793">
      <w:pPr>
        <w:pStyle w:val="Reftitle"/>
        <w:rPr>
          <w:lang w:eastAsia="zh-CN"/>
        </w:rPr>
      </w:pPr>
      <w:r w:rsidRPr="006E3B9B">
        <w:rPr>
          <w:lang w:eastAsia="zh-CN"/>
        </w:rPr>
        <w:t>1995</w:t>
      </w:r>
      <w:r w:rsidRPr="006E3B9B">
        <w:rPr>
          <w:rFonts w:hint="eastAsia"/>
          <w:lang w:eastAsia="zh-CN"/>
        </w:rPr>
        <w:t>年会议（</w:t>
      </w:r>
      <w:r w:rsidRPr="006E3B9B">
        <w:rPr>
          <w:lang w:eastAsia="zh-CN"/>
        </w:rPr>
        <w:t>1995</w:t>
      </w:r>
      <w:r w:rsidRPr="006E3B9B">
        <w:rPr>
          <w:rFonts w:hint="eastAsia"/>
          <w:lang w:eastAsia="zh-CN"/>
        </w:rPr>
        <w:t>年</w:t>
      </w:r>
      <w:r w:rsidRPr="006E3B9B">
        <w:rPr>
          <w:lang w:eastAsia="zh-CN"/>
        </w:rPr>
        <w:t>6</w:t>
      </w:r>
      <w:r w:rsidRPr="006E3B9B">
        <w:rPr>
          <w:rFonts w:hint="eastAsia"/>
          <w:lang w:eastAsia="zh-CN"/>
        </w:rPr>
        <w:t>月）</w:t>
      </w:r>
    </w:p>
    <w:p w14:paraId="4827C427" w14:textId="77777777" w:rsidR="006E3B9B" w:rsidRPr="006E3B9B" w:rsidRDefault="006E3B9B" w:rsidP="00057467">
      <w:pPr>
        <w:pStyle w:val="Appendixref"/>
        <w:rPr>
          <w:lang w:eastAsia="zh-CN"/>
        </w:rPr>
      </w:pPr>
      <w:r w:rsidRPr="006E3B9B">
        <w:rPr>
          <w:lang w:eastAsia="zh-CN"/>
        </w:rPr>
        <w:t>第</w:t>
      </w:r>
      <w:r w:rsidRPr="006E3B9B">
        <w:rPr>
          <w:lang w:eastAsia="zh-CN"/>
        </w:rPr>
        <w:t>457</w:t>
      </w:r>
      <w:r w:rsidRPr="006E3B9B">
        <w:rPr>
          <w:lang w:eastAsia="zh-CN"/>
        </w:rPr>
        <w:t>号决定</w:t>
      </w:r>
      <w:r w:rsidRPr="006E3B9B">
        <w:rPr>
          <w:lang w:eastAsia="zh-CN"/>
        </w:rPr>
        <w:tab/>
      </w:r>
      <w:r w:rsidRPr="006E3B9B">
        <w:rPr>
          <w:rFonts w:hint="eastAsia"/>
          <w:lang w:eastAsia="zh-CN"/>
        </w:rPr>
        <w:t>电信展周转基金</w:t>
      </w:r>
      <w:r w:rsidRPr="006E3B9B">
        <w:rPr>
          <w:lang w:eastAsia="zh-CN"/>
        </w:rPr>
        <w:tab/>
      </w:r>
      <w:r w:rsidR="00396681">
        <w:rPr>
          <w:lang w:eastAsia="zh-CN"/>
        </w:rPr>
        <w:tab/>
      </w:r>
      <w:r w:rsidRPr="006E3B9B">
        <w:rPr>
          <w:lang w:eastAsia="zh-CN"/>
        </w:rPr>
        <w:t>1996</w:t>
      </w:r>
      <w:r w:rsidRPr="006E3B9B">
        <w:rPr>
          <w:rFonts w:hint="eastAsia"/>
          <w:lang w:eastAsia="zh-CN"/>
        </w:rPr>
        <w:t>年</w:t>
      </w:r>
    </w:p>
    <w:p w14:paraId="4827C428" w14:textId="77777777" w:rsidR="006E3B9B" w:rsidRPr="006E3B9B" w:rsidRDefault="006E3B9B" w:rsidP="00057467">
      <w:pPr>
        <w:pStyle w:val="Appendixref"/>
        <w:rPr>
          <w:lang w:eastAsia="zh-CN"/>
        </w:rPr>
      </w:pPr>
      <w:r w:rsidRPr="006E3B9B">
        <w:rPr>
          <w:lang w:eastAsia="zh-CN"/>
        </w:rPr>
        <w:t>第</w:t>
      </w:r>
      <w:r w:rsidRPr="006E3B9B">
        <w:rPr>
          <w:lang w:eastAsia="zh-CN"/>
        </w:rPr>
        <w:t>458</w:t>
      </w:r>
      <w:r w:rsidRPr="006E3B9B">
        <w:rPr>
          <w:lang w:eastAsia="zh-CN"/>
        </w:rPr>
        <w:t>号决定</w:t>
      </w:r>
      <w:r w:rsidRPr="006E3B9B">
        <w:rPr>
          <w:lang w:eastAsia="zh-CN"/>
        </w:rPr>
        <w:tab/>
      </w:r>
      <w:r w:rsidRPr="006E3B9B">
        <w:rPr>
          <w:rFonts w:hint="eastAsia"/>
          <w:lang w:eastAsia="zh-CN"/>
        </w:rPr>
        <w:t>波黑萨拉热窝的</w:t>
      </w:r>
      <w:r w:rsidRPr="006E3B9B">
        <w:rPr>
          <w:lang w:eastAsia="zh-CN"/>
        </w:rPr>
        <w:t>IRIS-ETT</w:t>
      </w:r>
      <w:r w:rsidRPr="006E3B9B">
        <w:rPr>
          <w:rFonts w:hint="eastAsia"/>
          <w:lang w:eastAsia="zh-CN"/>
        </w:rPr>
        <w:t>公司的欠款</w:t>
      </w:r>
      <w:r w:rsidRPr="006E3B9B">
        <w:rPr>
          <w:lang w:eastAsia="zh-CN"/>
        </w:rPr>
        <w:tab/>
      </w:r>
      <w:r w:rsidR="00396681">
        <w:rPr>
          <w:lang w:eastAsia="zh-CN"/>
        </w:rPr>
        <w:tab/>
      </w:r>
      <w:r w:rsidRPr="006E3B9B">
        <w:rPr>
          <w:lang w:eastAsia="zh-CN"/>
        </w:rPr>
        <w:t>1996</w:t>
      </w:r>
      <w:r w:rsidRPr="006E3B9B">
        <w:rPr>
          <w:rFonts w:hint="eastAsia"/>
          <w:lang w:eastAsia="zh-CN"/>
        </w:rPr>
        <w:t>年</w:t>
      </w:r>
    </w:p>
    <w:p w14:paraId="4827C42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459</w:t>
      </w:r>
      <w:r w:rsidRPr="006E3B9B">
        <w:rPr>
          <w:lang w:val="en-US" w:eastAsia="zh-CN"/>
        </w:rPr>
        <w:t>号决定</w:t>
      </w:r>
      <w:r w:rsidRPr="006E3B9B">
        <w:rPr>
          <w:lang w:val="en-US" w:eastAsia="zh-CN"/>
        </w:rPr>
        <w:tab/>
      </w:r>
      <w:r w:rsidRPr="006E3B9B">
        <w:rPr>
          <w:rFonts w:hint="eastAsia"/>
          <w:lang w:eastAsia="zh-CN"/>
        </w:rPr>
        <w:t>美国</w:t>
      </w:r>
      <w:r w:rsidRPr="006E3B9B">
        <w:rPr>
          <w:lang w:eastAsia="zh-CN"/>
        </w:rPr>
        <w:t>Brunswick</w:t>
      </w:r>
      <w:r w:rsidRPr="006E3B9B">
        <w:rPr>
          <w:rFonts w:hint="eastAsia"/>
          <w:lang w:eastAsia="zh-CN"/>
        </w:rPr>
        <w:t>的</w:t>
      </w:r>
      <w:r w:rsidRPr="006E3B9B">
        <w:rPr>
          <w:lang w:eastAsia="zh-CN"/>
        </w:rPr>
        <w:t>Elocorp</w:t>
      </w:r>
      <w:r w:rsidRPr="006E3B9B">
        <w:rPr>
          <w:rFonts w:hint="eastAsia"/>
          <w:lang w:eastAsia="zh-CN"/>
        </w:rPr>
        <w:t>公司的欠款</w:t>
      </w:r>
      <w:r w:rsidRPr="006E3B9B">
        <w:rPr>
          <w:lang w:val="en-US" w:eastAsia="zh-CN"/>
        </w:rPr>
        <w:tab/>
      </w:r>
      <w:r w:rsidR="00396681">
        <w:rPr>
          <w:lang w:val="en-US" w:eastAsia="zh-CN"/>
        </w:rPr>
        <w:tab/>
      </w:r>
      <w:r w:rsidRPr="006E3B9B">
        <w:rPr>
          <w:lang w:val="en-US" w:eastAsia="zh-CN"/>
        </w:rPr>
        <w:t>1996</w:t>
      </w:r>
      <w:r w:rsidRPr="006E3B9B">
        <w:rPr>
          <w:rFonts w:hint="eastAsia"/>
          <w:lang w:val="en-US" w:eastAsia="zh-CN"/>
        </w:rPr>
        <w:t>年</w:t>
      </w:r>
    </w:p>
    <w:p w14:paraId="4827C42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460</w:t>
      </w:r>
      <w:r w:rsidRPr="006E3B9B">
        <w:rPr>
          <w:lang w:val="en-US" w:eastAsia="zh-CN"/>
        </w:rPr>
        <w:t>号决定</w:t>
      </w:r>
      <w:r w:rsidRPr="006E3B9B">
        <w:rPr>
          <w:lang w:val="en-US" w:eastAsia="zh-CN"/>
        </w:rPr>
        <w:tab/>
      </w:r>
      <w:r w:rsidRPr="006E3B9B">
        <w:rPr>
          <w:rFonts w:hint="eastAsia"/>
          <w:lang w:eastAsia="zh-CN"/>
        </w:rPr>
        <w:t>人员需求</w:t>
      </w:r>
      <w:r w:rsidRPr="006E3B9B">
        <w:rPr>
          <w:lang w:val="en-US" w:eastAsia="zh-CN"/>
        </w:rPr>
        <w:tab/>
      </w:r>
      <w:r w:rsidR="00396681">
        <w:rPr>
          <w:lang w:val="en-US" w:eastAsia="zh-CN"/>
        </w:rPr>
        <w:tab/>
      </w:r>
      <w:r w:rsidRPr="006E3B9B">
        <w:rPr>
          <w:lang w:val="en-US" w:eastAsia="zh-CN"/>
        </w:rPr>
        <w:t>1999</w:t>
      </w:r>
      <w:r w:rsidRPr="006E3B9B">
        <w:rPr>
          <w:rFonts w:hint="eastAsia"/>
          <w:lang w:val="en-US" w:eastAsia="zh-CN"/>
        </w:rPr>
        <w:t>年</w:t>
      </w:r>
    </w:p>
    <w:p w14:paraId="4827C42B"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461</w:t>
      </w:r>
      <w:r w:rsidRPr="006E3B9B">
        <w:rPr>
          <w:lang w:val="en-US" w:eastAsia="zh-CN"/>
        </w:rPr>
        <w:t>号决定</w:t>
      </w:r>
      <w:r w:rsidRPr="006E3B9B">
        <w:rPr>
          <w:lang w:val="en-US" w:eastAsia="zh-CN"/>
        </w:rPr>
        <w:tab/>
      </w:r>
      <w:r w:rsidRPr="006E3B9B">
        <w:rPr>
          <w:rFonts w:hint="eastAsia"/>
          <w:lang w:eastAsia="zh-CN"/>
        </w:rPr>
        <w:t>国际电联的语文工作组</w:t>
      </w:r>
      <w:r w:rsidRPr="006E3B9B">
        <w:rPr>
          <w:lang w:val="en-US" w:eastAsia="zh-CN"/>
        </w:rPr>
        <w:tab/>
      </w:r>
      <w:r w:rsidR="00396681">
        <w:rPr>
          <w:lang w:val="en-US" w:eastAsia="zh-CN"/>
        </w:rPr>
        <w:tab/>
      </w:r>
      <w:r w:rsidRPr="006E3B9B">
        <w:rPr>
          <w:lang w:val="en-US" w:eastAsia="zh-CN"/>
        </w:rPr>
        <w:t>1999</w:t>
      </w:r>
      <w:r w:rsidRPr="006E3B9B">
        <w:rPr>
          <w:rFonts w:hint="eastAsia"/>
          <w:lang w:val="en-US" w:eastAsia="zh-CN"/>
        </w:rPr>
        <w:t>年</w:t>
      </w:r>
    </w:p>
    <w:p w14:paraId="4827C42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462</w:t>
      </w:r>
      <w:r w:rsidRPr="006E3B9B">
        <w:rPr>
          <w:lang w:val="en-US" w:eastAsia="zh-CN"/>
        </w:rPr>
        <w:t>号决定</w:t>
      </w:r>
      <w:r w:rsidRPr="006E3B9B">
        <w:rPr>
          <w:lang w:val="en-US" w:eastAsia="zh-CN"/>
        </w:rPr>
        <w:tab/>
      </w:r>
      <w:r w:rsidRPr="006E3B9B">
        <w:rPr>
          <w:rFonts w:hint="eastAsia"/>
          <w:lang w:eastAsia="zh-CN"/>
        </w:rPr>
        <w:t>理事会</w:t>
      </w:r>
      <w:r w:rsidRPr="006E3B9B">
        <w:rPr>
          <w:lang w:eastAsia="zh-CN"/>
        </w:rPr>
        <w:t>1996</w:t>
      </w:r>
      <w:r w:rsidRPr="006E3B9B">
        <w:rPr>
          <w:rFonts w:hint="eastAsia"/>
          <w:lang w:eastAsia="zh-CN"/>
        </w:rPr>
        <w:t>年会议的日期和会期</w:t>
      </w:r>
      <w:r w:rsidRPr="006E3B9B">
        <w:rPr>
          <w:lang w:val="en-US" w:eastAsia="zh-CN"/>
        </w:rPr>
        <w:tab/>
      </w:r>
      <w:r w:rsidR="00396681">
        <w:rPr>
          <w:lang w:val="en-US" w:eastAsia="zh-CN"/>
        </w:rPr>
        <w:tab/>
      </w:r>
      <w:r w:rsidRPr="006E3B9B">
        <w:rPr>
          <w:lang w:val="en-US" w:eastAsia="zh-CN"/>
        </w:rPr>
        <w:t>1996</w:t>
      </w:r>
      <w:r w:rsidRPr="006E3B9B">
        <w:rPr>
          <w:rFonts w:hint="eastAsia"/>
          <w:lang w:val="en-US" w:eastAsia="zh-CN"/>
        </w:rPr>
        <w:t>年</w:t>
      </w:r>
    </w:p>
    <w:p w14:paraId="4827C42D" w14:textId="77777777" w:rsidR="006E3B9B" w:rsidRPr="006E3B9B" w:rsidRDefault="006E3B9B" w:rsidP="004E1793">
      <w:pPr>
        <w:pStyle w:val="Reftitle"/>
        <w:rPr>
          <w:lang w:val="en-US" w:eastAsia="zh-CN"/>
        </w:rPr>
      </w:pPr>
      <w:r w:rsidRPr="006E3B9B">
        <w:rPr>
          <w:lang w:eastAsia="zh-CN"/>
        </w:rPr>
        <w:t>1996</w:t>
      </w:r>
      <w:r w:rsidRPr="006E3B9B">
        <w:rPr>
          <w:rFonts w:hint="eastAsia"/>
          <w:lang w:eastAsia="zh-CN"/>
        </w:rPr>
        <w:t>年会议（</w:t>
      </w:r>
      <w:r w:rsidRPr="006E3B9B">
        <w:rPr>
          <w:lang w:eastAsia="zh-CN"/>
        </w:rPr>
        <w:t>1996</w:t>
      </w:r>
      <w:r w:rsidRPr="006E3B9B">
        <w:rPr>
          <w:rFonts w:hint="eastAsia"/>
          <w:lang w:eastAsia="zh-CN"/>
        </w:rPr>
        <w:t>年</w:t>
      </w:r>
      <w:r w:rsidRPr="006E3B9B">
        <w:rPr>
          <w:lang w:eastAsia="zh-CN"/>
        </w:rPr>
        <w:t>6</w:t>
      </w:r>
      <w:r w:rsidRPr="006E3B9B">
        <w:rPr>
          <w:rFonts w:hint="eastAsia"/>
          <w:lang w:eastAsia="zh-CN"/>
        </w:rPr>
        <w:t>月）</w:t>
      </w:r>
    </w:p>
    <w:p w14:paraId="4827C42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463</w:t>
      </w:r>
      <w:r w:rsidRPr="006E3B9B">
        <w:rPr>
          <w:lang w:val="en-US" w:eastAsia="zh-CN"/>
        </w:rPr>
        <w:t>号决定</w:t>
      </w:r>
      <w:r w:rsidRPr="006E3B9B">
        <w:rPr>
          <w:lang w:val="en-US" w:eastAsia="zh-CN"/>
        </w:rPr>
        <w:tab/>
      </w:r>
      <w:r w:rsidRPr="006E3B9B">
        <w:rPr>
          <w:rFonts w:hint="eastAsia"/>
          <w:lang w:eastAsia="zh-CN"/>
        </w:rPr>
        <w:t>下届例行全权代表大会的召开</w:t>
      </w:r>
      <w:r w:rsidRPr="006E3B9B">
        <w:rPr>
          <w:lang w:val="en-US" w:eastAsia="zh-CN"/>
        </w:rPr>
        <w:tab/>
      </w:r>
      <w:r w:rsidR="00396681">
        <w:rPr>
          <w:lang w:val="en-US" w:eastAsia="zh-CN"/>
        </w:rPr>
        <w:tab/>
      </w:r>
      <w:r w:rsidRPr="006E3B9B">
        <w:rPr>
          <w:lang w:val="en-US" w:eastAsia="zh-CN"/>
        </w:rPr>
        <w:t>1999</w:t>
      </w:r>
      <w:r w:rsidRPr="006E3B9B">
        <w:rPr>
          <w:rFonts w:hint="eastAsia"/>
          <w:lang w:val="en-US" w:eastAsia="zh-CN"/>
        </w:rPr>
        <w:t>年</w:t>
      </w:r>
    </w:p>
    <w:p w14:paraId="4827C42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464</w:t>
      </w:r>
      <w:r w:rsidRPr="006E3B9B">
        <w:rPr>
          <w:lang w:val="en-US" w:eastAsia="zh-CN"/>
        </w:rPr>
        <w:t>号决定</w:t>
      </w:r>
      <w:r w:rsidRPr="006E3B9B">
        <w:rPr>
          <w:lang w:val="en-US" w:eastAsia="zh-CN"/>
        </w:rPr>
        <w:tab/>
      </w:r>
      <w:r w:rsidRPr="006E3B9B">
        <w:rPr>
          <w:rFonts w:hint="eastAsia"/>
          <w:lang w:eastAsia="zh-CN"/>
        </w:rPr>
        <w:t>“</w:t>
      </w:r>
      <w:r w:rsidRPr="006E3B9B">
        <w:rPr>
          <w:lang w:eastAsia="zh-CN"/>
        </w:rPr>
        <w:t>UIFN</w:t>
      </w:r>
      <w:r w:rsidRPr="006E3B9B">
        <w:rPr>
          <w:rFonts w:hint="eastAsia"/>
          <w:lang w:eastAsia="zh-CN"/>
        </w:rPr>
        <w:t>登记”专账</w:t>
      </w:r>
      <w:r w:rsidRPr="006E3B9B">
        <w:rPr>
          <w:lang w:val="en-US" w:eastAsia="zh-CN"/>
        </w:rPr>
        <w:tab/>
      </w:r>
      <w:r w:rsidR="00396681">
        <w:rPr>
          <w:lang w:val="en-US" w:eastAsia="zh-CN"/>
        </w:rPr>
        <w:tab/>
      </w:r>
      <w:r w:rsidRPr="006E3B9B">
        <w:rPr>
          <w:lang w:val="en-US" w:eastAsia="zh-CN"/>
        </w:rPr>
        <w:t>2001</w:t>
      </w:r>
      <w:r w:rsidRPr="006E3B9B">
        <w:rPr>
          <w:rFonts w:hint="eastAsia"/>
          <w:lang w:val="en-US" w:eastAsia="zh-CN"/>
        </w:rPr>
        <w:t>年</w:t>
      </w:r>
    </w:p>
    <w:p w14:paraId="4827C43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465</w:t>
      </w:r>
      <w:r w:rsidRPr="006E3B9B">
        <w:rPr>
          <w:lang w:val="en-US" w:eastAsia="zh-CN"/>
        </w:rPr>
        <w:t>号决定</w:t>
      </w:r>
      <w:r w:rsidRPr="006E3B9B">
        <w:rPr>
          <w:lang w:val="en-US" w:eastAsia="zh-CN"/>
        </w:rPr>
        <w:tab/>
      </w:r>
      <w:r w:rsidRPr="006E3B9B">
        <w:rPr>
          <w:rFonts w:hint="eastAsia"/>
          <w:lang w:eastAsia="zh-CN"/>
        </w:rPr>
        <w:t>电信信息交换服务系统（</w:t>
      </w:r>
      <w:r w:rsidRPr="006E3B9B">
        <w:rPr>
          <w:lang w:eastAsia="zh-CN"/>
        </w:rPr>
        <w:t>TIES</w:t>
      </w:r>
      <w:r w:rsidRPr="006E3B9B">
        <w:rPr>
          <w:rFonts w:hint="eastAsia"/>
          <w:lang w:eastAsia="zh-CN"/>
        </w:rPr>
        <w:t>）专账</w:t>
      </w:r>
      <w:r w:rsidRPr="006E3B9B">
        <w:rPr>
          <w:lang w:val="en-US" w:eastAsia="zh-CN"/>
        </w:rPr>
        <w:tab/>
      </w:r>
      <w:r w:rsidR="00396681">
        <w:rPr>
          <w:lang w:val="en-US" w:eastAsia="zh-CN"/>
        </w:rPr>
        <w:tab/>
      </w:r>
      <w:r w:rsidRPr="006E3B9B">
        <w:rPr>
          <w:lang w:val="en-US" w:eastAsia="zh-CN"/>
        </w:rPr>
        <w:t>1997</w:t>
      </w:r>
      <w:r w:rsidRPr="006E3B9B">
        <w:rPr>
          <w:rFonts w:hint="eastAsia"/>
          <w:lang w:val="en-US" w:eastAsia="zh-CN"/>
        </w:rPr>
        <w:t>年</w:t>
      </w:r>
    </w:p>
    <w:p w14:paraId="4827C43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466</w:t>
      </w:r>
      <w:r w:rsidRPr="006E3B9B">
        <w:rPr>
          <w:lang w:val="en-US" w:eastAsia="zh-CN"/>
        </w:rPr>
        <w:t>号决定</w:t>
      </w:r>
      <w:r w:rsidRPr="006E3B9B">
        <w:rPr>
          <w:lang w:val="en-US" w:eastAsia="zh-CN"/>
        </w:rPr>
        <w:tab/>
      </w:r>
      <w:r w:rsidRPr="006E3B9B">
        <w:rPr>
          <w:rFonts w:hint="eastAsia"/>
          <w:lang w:eastAsia="zh-CN"/>
        </w:rPr>
        <w:t>国际电联研讨会专账</w:t>
      </w:r>
      <w:r w:rsidRPr="006E3B9B">
        <w:rPr>
          <w:lang w:val="en-US" w:eastAsia="zh-CN"/>
        </w:rPr>
        <w:tab/>
      </w:r>
      <w:r w:rsidR="00396681">
        <w:rPr>
          <w:lang w:val="en-US" w:eastAsia="zh-CN"/>
        </w:rPr>
        <w:tab/>
      </w:r>
      <w:r w:rsidRPr="006E3B9B">
        <w:rPr>
          <w:lang w:val="en-US" w:eastAsia="zh-CN"/>
        </w:rPr>
        <w:t>1997</w:t>
      </w:r>
      <w:r w:rsidRPr="006E3B9B">
        <w:rPr>
          <w:rFonts w:hint="eastAsia"/>
          <w:lang w:val="en-US" w:eastAsia="zh-CN"/>
        </w:rPr>
        <w:t>年</w:t>
      </w:r>
    </w:p>
    <w:p w14:paraId="4827C432" w14:textId="77777777" w:rsidR="0058405E" w:rsidRDefault="0058405E">
      <w:pPr>
        <w:tabs>
          <w:tab w:val="clear" w:pos="794"/>
          <w:tab w:val="clear" w:pos="1191"/>
          <w:tab w:val="clear" w:pos="1588"/>
          <w:tab w:val="clear" w:pos="1985"/>
        </w:tabs>
        <w:overflowPunct/>
        <w:autoSpaceDE/>
        <w:autoSpaceDN/>
        <w:adjustRightInd/>
        <w:spacing w:before="0"/>
        <w:jc w:val="left"/>
        <w:textAlignment w:val="auto"/>
        <w:rPr>
          <w:sz w:val="20"/>
          <w:lang w:val="en-US" w:eastAsia="zh-CN"/>
        </w:rPr>
      </w:pPr>
      <w:r>
        <w:rPr>
          <w:lang w:val="en-US" w:eastAsia="zh-CN"/>
        </w:rPr>
        <w:br w:type="page"/>
      </w:r>
    </w:p>
    <w:p w14:paraId="4827C433" w14:textId="77777777" w:rsidR="006E3B9B" w:rsidRPr="006E3B9B" w:rsidRDefault="006E3B9B" w:rsidP="00057467">
      <w:pPr>
        <w:pStyle w:val="Appendixref"/>
        <w:rPr>
          <w:lang w:val="en-US" w:eastAsia="zh-CN"/>
        </w:rPr>
      </w:pPr>
      <w:r w:rsidRPr="006E3B9B">
        <w:rPr>
          <w:lang w:val="en-US" w:eastAsia="zh-CN"/>
        </w:rPr>
        <w:lastRenderedPageBreak/>
        <w:t>第</w:t>
      </w:r>
      <w:r w:rsidRPr="006E3B9B">
        <w:rPr>
          <w:lang w:val="en-US" w:eastAsia="zh-CN"/>
        </w:rPr>
        <w:t>467</w:t>
      </w:r>
      <w:r w:rsidRPr="006E3B9B">
        <w:rPr>
          <w:lang w:val="en-US" w:eastAsia="zh-CN"/>
        </w:rPr>
        <w:t>号决定</w:t>
      </w:r>
      <w:r w:rsidRPr="006E3B9B">
        <w:rPr>
          <w:lang w:val="en-US" w:eastAsia="zh-CN"/>
        </w:rPr>
        <w:tab/>
      </w:r>
      <w:r w:rsidRPr="006E3B9B">
        <w:rPr>
          <w:rFonts w:hint="eastAsia"/>
          <w:lang w:eastAsia="zh-CN"/>
        </w:rPr>
        <w:t>借方账目储备金</w:t>
      </w:r>
      <w:r w:rsidRPr="006E3B9B">
        <w:rPr>
          <w:lang w:val="en-US" w:eastAsia="zh-CN"/>
        </w:rPr>
        <w:tab/>
      </w:r>
      <w:r w:rsidR="00396681">
        <w:rPr>
          <w:lang w:val="en-US" w:eastAsia="zh-CN"/>
        </w:rPr>
        <w:tab/>
      </w:r>
      <w:r w:rsidRPr="006E3B9B">
        <w:rPr>
          <w:lang w:val="en-US" w:eastAsia="zh-CN"/>
        </w:rPr>
        <w:t>1997</w:t>
      </w:r>
      <w:r w:rsidRPr="006E3B9B">
        <w:rPr>
          <w:rFonts w:hint="eastAsia"/>
          <w:lang w:val="en-US" w:eastAsia="zh-CN"/>
        </w:rPr>
        <w:t>年</w:t>
      </w:r>
    </w:p>
    <w:p w14:paraId="4827C434" w14:textId="77777777" w:rsidR="006E3B9B" w:rsidRPr="006E3B9B" w:rsidRDefault="006E3B9B" w:rsidP="00057467">
      <w:pPr>
        <w:pStyle w:val="Appendixref"/>
        <w:rPr>
          <w:lang w:val="en-US"/>
        </w:rPr>
      </w:pPr>
      <w:r w:rsidRPr="006E3B9B">
        <w:rPr>
          <w:lang w:val="en-US"/>
        </w:rPr>
        <w:t>第</w:t>
      </w:r>
      <w:r w:rsidRPr="006E3B9B">
        <w:rPr>
          <w:lang w:val="en-US"/>
        </w:rPr>
        <w:t>468</w:t>
      </w:r>
      <w:r w:rsidRPr="006E3B9B">
        <w:rPr>
          <w:lang w:val="en-US"/>
        </w:rPr>
        <w:t>号决定</w:t>
      </w:r>
      <w:r w:rsidRPr="006E3B9B">
        <w:rPr>
          <w:lang w:val="en-US"/>
        </w:rPr>
        <w:tab/>
      </w:r>
      <w:r w:rsidRPr="006E3B9B">
        <w:rPr>
          <w:rFonts w:hint="eastAsia"/>
          <w:lang w:eastAsia="zh-CN"/>
        </w:rPr>
        <w:t>美国</w:t>
      </w:r>
      <w:r w:rsidRPr="006E3B9B">
        <w:t>Intelligent Modem</w:t>
      </w:r>
      <w:r w:rsidRPr="006E3B9B">
        <w:rPr>
          <w:rFonts w:hint="eastAsia"/>
          <w:lang w:eastAsia="zh-CN"/>
        </w:rPr>
        <w:t>公司的欠款</w:t>
      </w:r>
      <w:r w:rsidRPr="006E3B9B">
        <w:rPr>
          <w:lang w:val="en-US"/>
        </w:rPr>
        <w:tab/>
      </w:r>
      <w:r w:rsidR="00396681">
        <w:rPr>
          <w:lang w:val="en-US"/>
        </w:rPr>
        <w:tab/>
      </w:r>
      <w:r w:rsidRPr="006E3B9B">
        <w:rPr>
          <w:lang w:val="en-US"/>
        </w:rPr>
        <w:t>1997</w:t>
      </w:r>
      <w:r w:rsidRPr="006E3B9B">
        <w:rPr>
          <w:rFonts w:hint="eastAsia"/>
          <w:lang w:val="en-US" w:eastAsia="zh-CN"/>
        </w:rPr>
        <w:t>年</w:t>
      </w:r>
    </w:p>
    <w:p w14:paraId="4827C435" w14:textId="77777777" w:rsidR="006E3B9B" w:rsidRPr="006E3B9B" w:rsidRDefault="006E3B9B" w:rsidP="00057467">
      <w:pPr>
        <w:pStyle w:val="Appendixref"/>
      </w:pPr>
      <w:r w:rsidRPr="006E3B9B">
        <w:t>第</w:t>
      </w:r>
      <w:r w:rsidRPr="006E3B9B">
        <w:t>469</w:t>
      </w:r>
      <w:r w:rsidRPr="006E3B9B">
        <w:t>号决定</w:t>
      </w:r>
      <w:r w:rsidRPr="006E3B9B">
        <w:tab/>
      </w:r>
      <w:r w:rsidRPr="006E3B9B">
        <w:rPr>
          <w:rFonts w:hint="eastAsia"/>
          <w:lang w:eastAsia="zh-CN"/>
        </w:rPr>
        <w:t>美国</w:t>
      </w:r>
      <w:r w:rsidRPr="006E3B9B">
        <w:t>Net Express</w:t>
      </w:r>
      <w:r w:rsidRPr="006E3B9B">
        <w:rPr>
          <w:rFonts w:hint="eastAsia"/>
          <w:lang w:eastAsia="zh-CN"/>
        </w:rPr>
        <w:t>公司的欠款</w:t>
      </w:r>
      <w:r w:rsidRPr="006E3B9B">
        <w:tab/>
      </w:r>
      <w:r w:rsidR="00396681">
        <w:tab/>
      </w:r>
      <w:r w:rsidRPr="006E3B9B">
        <w:t>1997</w:t>
      </w:r>
      <w:r w:rsidRPr="006E3B9B">
        <w:rPr>
          <w:rFonts w:hint="eastAsia"/>
          <w:lang w:eastAsia="zh-CN"/>
        </w:rPr>
        <w:t>年</w:t>
      </w:r>
    </w:p>
    <w:p w14:paraId="4827C43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470</w:t>
      </w:r>
      <w:r w:rsidRPr="006E3B9B">
        <w:rPr>
          <w:lang w:val="en-US" w:eastAsia="zh-CN"/>
        </w:rPr>
        <w:t>号决定</w:t>
      </w:r>
      <w:r w:rsidRPr="006E3B9B">
        <w:rPr>
          <w:lang w:val="en-US" w:eastAsia="zh-CN"/>
        </w:rPr>
        <w:tab/>
      </w:r>
      <w:r w:rsidRPr="006E3B9B">
        <w:rPr>
          <w:rFonts w:hint="eastAsia"/>
          <w:lang w:eastAsia="zh-CN"/>
        </w:rPr>
        <w:t>职员安置和归国储备金</w:t>
      </w:r>
      <w:r w:rsidRPr="006E3B9B">
        <w:rPr>
          <w:lang w:val="en-US" w:eastAsia="zh-CN"/>
        </w:rPr>
        <w:tab/>
      </w:r>
      <w:r w:rsidR="00396681">
        <w:rPr>
          <w:lang w:val="en-US" w:eastAsia="zh-CN"/>
        </w:rPr>
        <w:tab/>
      </w:r>
      <w:r w:rsidRPr="006E3B9B">
        <w:rPr>
          <w:lang w:val="en-US" w:eastAsia="zh-CN"/>
        </w:rPr>
        <w:t>1997</w:t>
      </w:r>
      <w:r w:rsidRPr="006E3B9B">
        <w:rPr>
          <w:rFonts w:hint="eastAsia"/>
          <w:lang w:val="en-US" w:eastAsia="zh-CN"/>
        </w:rPr>
        <w:t>年</w:t>
      </w:r>
    </w:p>
    <w:p w14:paraId="4827C43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471</w:t>
      </w:r>
      <w:r w:rsidRPr="006E3B9B">
        <w:rPr>
          <w:lang w:val="en-US" w:eastAsia="zh-CN"/>
        </w:rPr>
        <w:t>号决定</w:t>
      </w:r>
      <w:r w:rsidRPr="006E3B9B">
        <w:rPr>
          <w:lang w:val="en-US" w:eastAsia="zh-CN"/>
        </w:rPr>
        <w:tab/>
      </w:r>
      <w:r w:rsidRPr="006E3B9B">
        <w:rPr>
          <w:rFonts w:hint="eastAsia"/>
          <w:lang w:eastAsia="zh-CN"/>
        </w:rPr>
        <w:t>成立一工作组</w:t>
      </w:r>
      <w:r w:rsidRPr="006E3B9B">
        <w:rPr>
          <w:lang w:val="en-US" w:eastAsia="zh-CN"/>
        </w:rPr>
        <w:tab/>
      </w:r>
      <w:r w:rsidR="00396681">
        <w:rPr>
          <w:lang w:val="en-US" w:eastAsia="zh-CN"/>
        </w:rPr>
        <w:tab/>
      </w:r>
      <w:r w:rsidRPr="006E3B9B">
        <w:rPr>
          <w:lang w:val="en-US" w:eastAsia="zh-CN"/>
        </w:rPr>
        <w:t>1999</w:t>
      </w:r>
      <w:r w:rsidRPr="006E3B9B">
        <w:rPr>
          <w:rFonts w:hint="eastAsia"/>
          <w:lang w:val="en-US" w:eastAsia="zh-CN"/>
        </w:rPr>
        <w:t>年</w:t>
      </w:r>
    </w:p>
    <w:p w14:paraId="4827C43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472</w:t>
      </w:r>
      <w:r w:rsidRPr="006E3B9B">
        <w:rPr>
          <w:lang w:val="en-US" w:eastAsia="zh-CN"/>
        </w:rPr>
        <w:t>号决定</w:t>
      </w:r>
      <w:r w:rsidRPr="006E3B9B">
        <w:rPr>
          <w:lang w:val="en-US" w:eastAsia="zh-CN"/>
        </w:rPr>
        <w:tab/>
      </w:r>
      <w:r w:rsidRPr="006E3B9B">
        <w:rPr>
          <w:rFonts w:hint="eastAsia"/>
          <w:lang w:eastAsia="zh-CN"/>
        </w:rPr>
        <w:t>理事会</w:t>
      </w:r>
      <w:r w:rsidRPr="006E3B9B">
        <w:rPr>
          <w:lang w:eastAsia="zh-CN"/>
        </w:rPr>
        <w:t>1997</w:t>
      </w:r>
      <w:r w:rsidRPr="006E3B9B">
        <w:rPr>
          <w:rFonts w:hint="eastAsia"/>
          <w:lang w:eastAsia="zh-CN"/>
        </w:rPr>
        <w:t>年会议的日期和会期</w:t>
      </w:r>
      <w:r w:rsidRPr="006E3B9B">
        <w:rPr>
          <w:lang w:val="en-US" w:eastAsia="zh-CN"/>
        </w:rPr>
        <w:tab/>
      </w:r>
      <w:r w:rsidR="00396681">
        <w:rPr>
          <w:lang w:val="en-US" w:eastAsia="zh-CN"/>
        </w:rPr>
        <w:tab/>
      </w:r>
      <w:r w:rsidRPr="006E3B9B">
        <w:rPr>
          <w:lang w:val="en-US" w:eastAsia="zh-CN"/>
        </w:rPr>
        <w:t>1997</w:t>
      </w:r>
      <w:r w:rsidRPr="006E3B9B">
        <w:rPr>
          <w:rFonts w:hint="eastAsia"/>
          <w:lang w:val="en-US" w:eastAsia="zh-CN"/>
        </w:rPr>
        <w:t>年</w:t>
      </w:r>
    </w:p>
    <w:p w14:paraId="4827C439" w14:textId="77777777" w:rsidR="006E3B9B" w:rsidRPr="006E3B9B" w:rsidRDefault="006E3B9B" w:rsidP="004E1793">
      <w:pPr>
        <w:pStyle w:val="Reftitle"/>
        <w:rPr>
          <w:lang w:val="en-US" w:eastAsia="zh-CN"/>
        </w:rPr>
      </w:pPr>
      <w:r w:rsidRPr="006E3B9B">
        <w:rPr>
          <w:lang w:eastAsia="zh-CN"/>
        </w:rPr>
        <w:t>1997</w:t>
      </w:r>
      <w:r w:rsidRPr="006E3B9B">
        <w:rPr>
          <w:rFonts w:hint="eastAsia"/>
          <w:lang w:eastAsia="zh-CN"/>
        </w:rPr>
        <w:t>年会议（</w:t>
      </w:r>
      <w:r w:rsidRPr="006E3B9B">
        <w:rPr>
          <w:lang w:eastAsia="zh-CN"/>
        </w:rPr>
        <w:t>1997</w:t>
      </w:r>
      <w:r w:rsidRPr="006E3B9B">
        <w:rPr>
          <w:rFonts w:hint="eastAsia"/>
          <w:lang w:eastAsia="zh-CN"/>
        </w:rPr>
        <w:t>年</w:t>
      </w:r>
      <w:r w:rsidRPr="006E3B9B">
        <w:rPr>
          <w:lang w:eastAsia="zh-CN"/>
        </w:rPr>
        <w:t>6</w:t>
      </w:r>
      <w:r w:rsidRPr="006E3B9B">
        <w:rPr>
          <w:rFonts w:hint="eastAsia"/>
          <w:lang w:eastAsia="zh-CN"/>
        </w:rPr>
        <w:t>月）</w:t>
      </w:r>
    </w:p>
    <w:p w14:paraId="4827C43A" w14:textId="77777777" w:rsidR="006E3B9B" w:rsidRPr="006E3B9B" w:rsidRDefault="006E3B9B" w:rsidP="00057467">
      <w:pPr>
        <w:pStyle w:val="Appendixref"/>
        <w:rPr>
          <w:lang w:eastAsia="zh-CN"/>
        </w:rPr>
      </w:pPr>
      <w:r w:rsidRPr="006E3B9B">
        <w:rPr>
          <w:lang w:eastAsia="zh-CN"/>
        </w:rPr>
        <w:t>第</w:t>
      </w:r>
      <w:r w:rsidRPr="006E3B9B">
        <w:rPr>
          <w:lang w:eastAsia="zh-CN"/>
        </w:rPr>
        <w:t>473</w:t>
      </w:r>
      <w:r w:rsidRPr="006E3B9B">
        <w:rPr>
          <w:lang w:eastAsia="zh-CN"/>
        </w:rPr>
        <w:t>号决定</w:t>
      </w:r>
      <w:r w:rsidRPr="006E3B9B">
        <w:rPr>
          <w:lang w:eastAsia="zh-CN"/>
        </w:rPr>
        <w:tab/>
        <w:t xml:space="preserve">Cornel Electronics </w:t>
      </w:r>
      <w:r w:rsidRPr="006E3B9B">
        <w:rPr>
          <w:rFonts w:hint="eastAsia"/>
          <w:lang w:eastAsia="zh-CN"/>
        </w:rPr>
        <w:t>公司的欠款</w:t>
      </w:r>
      <w:r w:rsidRPr="006E3B9B">
        <w:rPr>
          <w:lang w:eastAsia="zh-CN"/>
        </w:rPr>
        <w:tab/>
      </w:r>
      <w:r w:rsidR="00396681">
        <w:rPr>
          <w:lang w:eastAsia="zh-CN"/>
        </w:rPr>
        <w:tab/>
      </w:r>
      <w:r w:rsidRPr="006E3B9B">
        <w:rPr>
          <w:lang w:eastAsia="zh-CN"/>
        </w:rPr>
        <w:t>1998</w:t>
      </w:r>
      <w:r w:rsidRPr="006E3B9B">
        <w:rPr>
          <w:rFonts w:hint="eastAsia"/>
          <w:lang w:eastAsia="zh-CN"/>
        </w:rPr>
        <w:t>年</w:t>
      </w:r>
    </w:p>
    <w:p w14:paraId="4827C43B" w14:textId="77777777" w:rsidR="006E3B9B" w:rsidRPr="006E3B9B" w:rsidRDefault="006E3B9B" w:rsidP="00057467">
      <w:pPr>
        <w:pStyle w:val="Appendixref"/>
        <w:rPr>
          <w:lang w:eastAsia="zh-CN"/>
        </w:rPr>
      </w:pPr>
      <w:r w:rsidRPr="006E3B9B">
        <w:rPr>
          <w:lang w:eastAsia="zh-CN"/>
        </w:rPr>
        <w:t>第</w:t>
      </w:r>
      <w:r w:rsidRPr="006E3B9B">
        <w:rPr>
          <w:lang w:eastAsia="zh-CN"/>
        </w:rPr>
        <w:t>474</w:t>
      </w:r>
      <w:r w:rsidRPr="006E3B9B">
        <w:rPr>
          <w:lang w:eastAsia="zh-CN"/>
        </w:rPr>
        <w:t>号决定</w:t>
      </w:r>
      <w:r w:rsidRPr="006E3B9B">
        <w:rPr>
          <w:lang w:eastAsia="zh-CN"/>
        </w:rPr>
        <w:tab/>
      </w:r>
      <w:r w:rsidRPr="006E3B9B">
        <w:rPr>
          <w:rFonts w:hint="eastAsia"/>
          <w:lang w:eastAsia="zh-CN"/>
        </w:rPr>
        <w:t>理事会</w:t>
      </w:r>
      <w:r w:rsidRPr="006E3B9B">
        <w:rPr>
          <w:lang w:eastAsia="zh-CN"/>
        </w:rPr>
        <w:t>1998</w:t>
      </w:r>
      <w:r w:rsidRPr="006E3B9B">
        <w:rPr>
          <w:rFonts w:hint="eastAsia"/>
          <w:lang w:eastAsia="zh-CN"/>
        </w:rPr>
        <w:t>年会议的日期和会期</w:t>
      </w:r>
      <w:r w:rsidRPr="006E3B9B">
        <w:rPr>
          <w:lang w:eastAsia="zh-CN"/>
        </w:rPr>
        <w:tab/>
      </w:r>
      <w:r w:rsidR="00396681">
        <w:rPr>
          <w:lang w:eastAsia="zh-CN"/>
        </w:rPr>
        <w:tab/>
      </w:r>
      <w:r w:rsidRPr="006E3B9B">
        <w:rPr>
          <w:lang w:eastAsia="zh-CN"/>
        </w:rPr>
        <w:t>1998</w:t>
      </w:r>
      <w:r w:rsidRPr="006E3B9B">
        <w:rPr>
          <w:rFonts w:hint="eastAsia"/>
          <w:lang w:eastAsia="zh-CN"/>
        </w:rPr>
        <w:t>年</w:t>
      </w:r>
    </w:p>
    <w:p w14:paraId="4827C43C" w14:textId="77777777" w:rsidR="006E3B9B" w:rsidRPr="006E3B9B" w:rsidRDefault="006E3B9B" w:rsidP="00057467">
      <w:pPr>
        <w:pStyle w:val="Appendixref"/>
        <w:rPr>
          <w:lang w:eastAsia="zh-CN"/>
        </w:rPr>
      </w:pPr>
      <w:r w:rsidRPr="006E3B9B">
        <w:rPr>
          <w:lang w:eastAsia="zh-CN"/>
        </w:rPr>
        <w:t>第</w:t>
      </w:r>
      <w:r w:rsidRPr="006E3B9B">
        <w:rPr>
          <w:lang w:eastAsia="zh-CN"/>
        </w:rPr>
        <w:t>475</w:t>
      </w:r>
      <w:r w:rsidRPr="006E3B9B">
        <w:rPr>
          <w:lang w:eastAsia="zh-CN"/>
        </w:rPr>
        <w:t>号决定</w:t>
      </w:r>
      <w:r w:rsidRPr="006E3B9B">
        <w:rPr>
          <w:lang w:eastAsia="zh-CN"/>
        </w:rPr>
        <w:tab/>
      </w:r>
      <w:r w:rsidRPr="006E3B9B">
        <w:rPr>
          <w:rFonts w:hint="eastAsia"/>
          <w:lang w:eastAsia="zh-CN"/>
        </w:rPr>
        <w:t>第二届世界电信政策论坛</w:t>
      </w:r>
      <w:r w:rsidRPr="006E3B9B">
        <w:rPr>
          <w:lang w:eastAsia="zh-CN"/>
        </w:rPr>
        <w:tab/>
      </w:r>
      <w:r w:rsidR="00396681">
        <w:rPr>
          <w:lang w:eastAsia="zh-CN"/>
        </w:rPr>
        <w:tab/>
      </w:r>
      <w:r w:rsidRPr="006E3B9B">
        <w:rPr>
          <w:lang w:eastAsia="zh-CN"/>
        </w:rPr>
        <w:t>1998</w:t>
      </w:r>
      <w:r w:rsidRPr="006E3B9B">
        <w:rPr>
          <w:rFonts w:hint="eastAsia"/>
          <w:lang w:eastAsia="zh-CN"/>
        </w:rPr>
        <w:t>年</w:t>
      </w:r>
    </w:p>
    <w:p w14:paraId="4827C43D" w14:textId="77777777" w:rsidR="006E3B9B" w:rsidRPr="006E3B9B" w:rsidRDefault="006E3B9B" w:rsidP="00057467">
      <w:pPr>
        <w:pStyle w:val="Appendixref"/>
        <w:rPr>
          <w:lang w:eastAsia="zh-CN"/>
        </w:rPr>
      </w:pPr>
      <w:r w:rsidRPr="006E3B9B">
        <w:rPr>
          <w:lang w:eastAsia="zh-CN"/>
        </w:rPr>
        <w:t>第</w:t>
      </w:r>
      <w:r w:rsidRPr="006E3B9B">
        <w:rPr>
          <w:lang w:eastAsia="zh-CN"/>
        </w:rPr>
        <w:t>476</w:t>
      </w:r>
      <w:r w:rsidRPr="006E3B9B">
        <w:rPr>
          <w:lang w:eastAsia="zh-CN"/>
        </w:rPr>
        <w:t>号决定</w:t>
      </w:r>
      <w:r w:rsidRPr="006E3B9B">
        <w:rPr>
          <w:lang w:eastAsia="zh-CN"/>
        </w:rPr>
        <w:tab/>
      </w:r>
      <w:r w:rsidRPr="006E3B9B">
        <w:rPr>
          <w:rFonts w:hint="eastAsia"/>
          <w:lang w:eastAsia="zh-CN"/>
        </w:rPr>
        <w:t>成立《战略规划》工作组</w:t>
      </w:r>
      <w:r w:rsidRPr="006E3B9B">
        <w:rPr>
          <w:lang w:eastAsia="zh-CN"/>
        </w:rPr>
        <w:tab/>
      </w:r>
      <w:r w:rsidR="00396681">
        <w:rPr>
          <w:lang w:eastAsia="zh-CN"/>
        </w:rPr>
        <w:tab/>
      </w:r>
      <w:r w:rsidRPr="006E3B9B">
        <w:rPr>
          <w:lang w:eastAsia="zh-CN"/>
        </w:rPr>
        <w:t>1999</w:t>
      </w:r>
      <w:r w:rsidRPr="006E3B9B">
        <w:rPr>
          <w:rFonts w:hint="eastAsia"/>
          <w:lang w:eastAsia="zh-CN"/>
        </w:rPr>
        <w:t>年</w:t>
      </w:r>
    </w:p>
    <w:p w14:paraId="4827C43E" w14:textId="77777777" w:rsidR="006E3B9B" w:rsidRPr="006E3B9B" w:rsidRDefault="006E3B9B" w:rsidP="00057467">
      <w:pPr>
        <w:pStyle w:val="Appendixref"/>
        <w:rPr>
          <w:lang w:eastAsia="zh-CN"/>
        </w:rPr>
      </w:pPr>
      <w:r w:rsidRPr="006E3B9B">
        <w:rPr>
          <w:lang w:eastAsia="zh-CN"/>
        </w:rPr>
        <w:t>第</w:t>
      </w:r>
      <w:r w:rsidRPr="006E3B9B">
        <w:rPr>
          <w:lang w:eastAsia="zh-CN"/>
        </w:rPr>
        <w:t>477</w:t>
      </w:r>
      <w:r w:rsidRPr="006E3B9B">
        <w:rPr>
          <w:lang w:eastAsia="zh-CN"/>
        </w:rPr>
        <w:t>号决定</w:t>
      </w:r>
      <w:r w:rsidRPr="006E3B9B">
        <w:rPr>
          <w:lang w:eastAsia="zh-CN"/>
        </w:rPr>
        <w:tab/>
      </w:r>
      <w:r w:rsidRPr="006E3B9B">
        <w:rPr>
          <w:rFonts w:hint="eastAsia"/>
          <w:lang w:eastAsia="zh-CN"/>
        </w:rPr>
        <w:t>宣布会费等级</w:t>
      </w:r>
      <w:r w:rsidRPr="006E3B9B">
        <w:rPr>
          <w:lang w:eastAsia="zh-CN"/>
        </w:rPr>
        <w:tab/>
      </w:r>
      <w:r w:rsidR="00396681">
        <w:rPr>
          <w:lang w:eastAsia="zh-CN"/>
        </w:rPr>
        <w:tab/>
      </w:r>
      <w:r w:rsidRPr="006E3B9B">
        <w:rPr>
          <w:lang w:eastAsia="zh-CN"/>
        </w:rPr>
        <w:t>2002</w:t>
      </w:r>
      <w:r w:rsidRPr="006E3B9B">
        <w:rPr>
          <w:rFonts w:hint="eastAsia"/>
          <w:lang w:eastAsia="zh-CN"/>
        </w:rPr>
        <w:t>年</w:t>
      </w:r>
    </w:p>
    <w:p w14:paraId="4827C43F" w14:textId="77777777" w:rsidR="006E3B9B" w:rsidRPr="00E251ED" w:rsidRDefault="006E3B9B" w:rsidP="004E1793">
      <w:pPr>
        <w:pStyle w:val="Reftitle"/>
        <w:rPr>
          <w:lang w:eastAsia="zh-CN"/>
        </w:rPr>
      </w:pPr>
      <w:r w:rsidRPr="006E3B9B">
        <w:rPr>
          <w:lang w:eastAsia="zh-CN"/>
        </w:rPr>
        <w:t>1998</w:t>
      </w:r>
      <w:r w:rsidRPr="006E3B9B">
        <w:rPr>
          <w:rFonts w:hint="eastAsia"/>
          <w:lang w:eastAsia="zh-CN"/>
        </w:rPr>
        <w:t>年会议（</w:t>
      </w:r>
      <w:r w:rsidRPr="006E3B9B">
        <w:rPr>
          <w:lang w:eastAsia="zh-CN"/>
        </w:rPr>
        <w:t>1998</w:t>
      </w:r>
      <w:r w:rsidRPr="006E3B9B">
        <w:rPr>
          <w:rFonts w:hint="eastAsia"/>
          <w:lang w:eastAsia="zh-CN"/>
        </w:rPr>
        <w:t>年</w:t>
      </w:r>
      <w:r w:rsidRPr="006E3B9B">
        <w:rPr>
          <w:lang w:eastAsia="zh-CN"/>
        </w:rPr>
        <w:t>5</w:t>
      </w:r>
      <w:r w:rsidRPr="006E3B9B">
        <w:rPr>
          <w:rFonts w:hint="eastAsia"/>
          <w:lang w:eastAsia="zh-CN"/>
        </w:rPr>
        <w:t>月）</w:t>
      </w:r>
    </w:p>
    <w:p w14:paraId="4827C44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478</w:t>
      </w:r>
      <w:r w:rsidRPr="006E3B9B">
        <w:rPr>
          <w:lang w:val="en-US" w:eastAsia="zh-CN"/>
        </w:rPr>
        <w:t>号决定</w:t>
      </w:r>
      <w:r w:rsidRPr="006E3B9B">
        <w:rPr>
          <w:lang w:val="en-US" w:eastAsia="zh-CN"/>
        </w:rPr>
        <w:tab/>
      </w:r>
      <w:r w:rsidRPr="006E3B9B">
        <w:rPr>
          <w:rFonts w:hint="eastAsia"/>
          <w:lang w:eastAsia="zh-CN"/>
        </w:rPr>
        <w:t>第</w:t>
      </w:r>
      <w:r w:rsidRPr="006E3B9B">
        <w:rPr>
          <w:lang w:eastAsia="zh-CN"/>
        </w:rPr>
        <w:t>49</w:t>
      </w:r>
      <w:r w:rsidRPr="006E3B9B">
        <w:rPr>
          <w:rFonts w:hint="eastAsia"/>
          <w:lang w:eastAsia="zh-CN"/>
        </w:rPr>
        <w:t>号决议（</w:t>
      </w:r>
      <w:r w:rsidRPr="006E3B9B">
        <w:rPr>
          <w:lang w:eastAsia="zh-CN"/>
        </w:rPr>
        <w:t>1994</w:t>
      </w:r>
      <w:r w:rsidRPr="006E3B9B">
        <w:rPr>
          <w:rFonts w:hint="eastAsia"/>
          <w:lang w:eastAsia="zh-CN"/>
        </w:rPr>
        <w:t>年，京都）的执行情况</w:t>
      </w:r>
      <w:r w:rsidRPr="006E3B9B">
        <w:rPr>
          <w:b/>
          <w:lang w:val="en-US" w:eastAsia="zh-CN"/>
        </w:rPr>
        <w:tab/>
      </w:r>
      <w:r w:rsidR="00396681">
        <w:rPr>
          <w:b/>
          <w:lang w:val="en-US" w:eastAsia="zh-CN"/>
        </w:rPr>
        <w:tab/>
      </w:r>
      <w:r w:rsidRPr="006E3B9B">
        <w:rPr>
          <w:lang w:val="en-US" w:eastAsia="zh-CN"/>
        </w:rPr>
        <w:t>2001</w:t>
      </w:r>
      <w:r w:rsidRPr="006E3B9B">
        <w:rPr>
          <w:rFonts w:hint="eastAsia"/>
          <w:lang w:val="en-US" w:eastAsia="zh-CN"/>
        </w:rPr>
        <w:t>年</w:t>
      </w:r>
    </w:p>
    <w:p w14:paraId="4827C44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479</w:t>
      </w:r>
      <w:r w:rsidRPr="006E3B9B">
        <w:rPr>
          <w:lang w:val="en-US" w:eastAsia="zh-CN"/>
        </w:rPr>
        <w:t>号决定</w:t>
      </w:r>
      <w:r w:rsidRPr="006E3B9B">
        <w:rPr>
          <w:lang w:val="en-US" w:eastAsia="zh-CN"/>
        </w:rPr>
        <w:tab/>
      </w:r>
      <w:r w:rsidRPr="006E3B9B">
        <w:rPr>
          <w:rFonts w:hint="eastAsia"/>
          <w:lang w:eastAsia="zh-CN"/>
        </w:rPr>
        <w:t>理事会</w:t>
      </w:r>
      <w:r w:rsidRPr="006E3B9B">
        <w:rPr>
          <w:lang w:eastAsia="zh-CN"/>
        </w:rPr>
        <w:t>1999</w:t>
      </w:r>
      <w:r w:rsidRPr="006E3B9B">
        <w:rPr>
          <w:rFonts w:hint="eastAsia"/>
          <w:lang w:eastAsia="zh-CN"/>
        </w:rPr>
        <w:t>年会议的日期和会期</w:t>
      </w:r>
      <w:r w:rsidRPr="006E3B9B">
        <w:rPr>
          <w:lang w:val="en-US" w:eastAsia="zh-CN"/>
        </w:rPr>
        <w:tab/>
      </w:r>
      <w:r w:rsidR="00396681">
        <w:rPr>
          <w:lang w:val="en-US" w:eastAsia="zh-CN"/>
        </w:rPr>
        <w:tab/>
      </w:r>
      <w:r w:rsidRPr="006E3B9B">
        <w:rPr>
          <w:lang w:val="en-US" w:eastAsia="zh-CN"/>
        </w:rPr>
        <w:t>2001</w:t>
      </w:r>
      <w:r w:rsidRPr="006E3B9B">
        <w:rPr>
          <w:rFonts w:hint="eastAsia"/>
          <w:lang w:val="en-US" w:eastAsia="zh-CN"/>
        </w:rPr>
        <w:t>年</w:t>
      </w:r>
    </w:p>
    <w:p w14:paraId="4827C44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480</w:t>
      </w:r>
      <w:r w:rsidRPr="006E3B9B">
        <w:rPr>
          <w:lang w:val="en-US" w:eastAsia="zh-CN"/>
        </w:rPr>
        <w:t>号决定</w:t>
      </w:r>
      <w:r w:rsidRPr="006E3B9B">
        <w:rPr>
          <w:lang w:val="en-US" w:eastAsia="zh-CN"/>
        </w:rPr>
        <w:tab/>
      </w:r>
      <w:r w:rsidRPr="006E3B9B">
        <w:rPr>
          <w:rFonts w:hint="eastAsia"/>
          <w:lang w:eastAsia="zh-CN"/>
        </w:rPr>
        <w:t>卫星网络申报处理收费的执行和行政程序</w:t>
      </w:r>
      <w:r w:rsidRPr="006E3B9B">
        <w:rPr>
          <w:lang w:val="en-US" w:eastAsia="zh-CN"/>
        </w:rPr>
        <w:tab/>
      </w:r>
      <w:r w:rsidR="00396681">
        <w:rPr>
          <w:lang w:val="en-US" w:eastAsia="zh-CN"/>
        </w:rPr>
        <w:tab/>
      </w:r>
      <w:r w:rsidRPr="006E3B9B">
        <w:rPr>
          <w:lang w:val="en-US" w:eastAsia="zh-CN"/>
        </w:rPr>
        <w:t>2002</w:t>
      </w:r>
      <w:r w:rsidRPr="006E3B9B">
        <w:rPr>
          <w:rFonts w:hint="eastAsia"/>
          <w:lang w:val="en-US" w:eastAsia="zh-CN"/>
        </w:rPr>
        <w:t>年</w:t>
      </w:r>
    </w:p>
    <w:p w14:paraId="4827C443" w14:textId="77777777" w:rsidR="006E3B9B" w:rsidRPr="00E251ED" w:rsidRDefault="006E3B9B" w:rsidP="004E1793">
      <w:pPr>
        <w:pStyle w:val="Reftitle"/>
        <w:rPr>
          <w:lang w:eastAsia="zh-CN"/>
        </w:rPr>
      </w:pPr>
      <w:r w:rsidRPr="006E3B9B">
        <w:rPr>
          <w:lang w:eastAsia="zh-CN"/>
        </w:rPr>
        <w:t>1999</w:t>
      </w:r>
      <w:r w:rsidRPr="006E3B9B">
        <w:rPr>
          <w:rFonts w:hint="eastAsia"/>
          <w:lang w:eastAsia="zh-CN"/>
        </w:rPr>
        <w:t>年会议（</w:t>
      </w:r>
      <w:r w:rsidRPr="006E3B9B">
        <w:rPr>
          <w:lang w:eastAsia="zh-CN"/>
        </w:rPr>
        <w:t>1998</w:t>
      </w:r>
      <w:r w:rsidRPr="006E3B9B">
        <w:rPr>
          <w:rFonts w:hint="eastAsia"/>
          <w:lang w:eastAsia="zh-CN"/>
        </w:rPr>
        <w:t>年</w:t>
      </w:r>
      <w:r w:rsidRPr="006E3B9B">
        <w:rPr>
          <w:lang w:eastAsia="zh-CN"/>
        </w:rPr>
        <w:t>11</w:t>
      </w:r>
      <w:r w:rsidRPr="006E3B9B">
        <w:rPr>
          <w:rFonts w:hint="eastAsia"/>
          <w:lang w:eastAsia="zh-CN"/>
        </w:rPr>
        <w:t>月非常会议）</w:t>
      </w:r>
    </w:p>
    <w:p w14:paraId="4827C44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481</w:t>
      </w:r>
      <w:r w:rsidRPr="006E3B9B">
        <w:rPr>
          <w:lang w:val="en-US" w:eastAsia="zh-CN"/>
        </w:rPr>
        <w:t>号决定</w:t>
      </w:r>
      <w:r w:rsidRPr="006E3B9B">
        <w:rPr>
          <w:lang w:val="en-US" w:eastAsia="zh-CN"/>
        </w:rPr>
        <w:tab/>
      </w:r>
      <w:r w:rsidRPr="006E3B9B">
        <w:rPr>
          <w:rFonts w:hint="eastAsia"/>
          <w:lang w:val="en-US" w:eastAsia="zh-CN"/>
        </w:rPr>
        <w:t>成立</w:t>
      </w:r>
      <w:r w:rsidRPr="006E3B9B">
        <w:rPr>
          <w:rFonts w:hint="eastAsia"/>
          <w:lang w:eastAsia="zh-CN"/>
        </w:rPr>
        <w:t>执行卫星网络申报处理收费和行政程序工作组</w:t>
      </w:r>
      <w:r w:rsidRPr="006E3B9B">
        <w:rPr>
          <w:lang w:val="en-US" w:eastAsia="zh-CN"/>
        </w:rPr>
        <w:tab/>
      </w:r>
      <w:r w:rsidR="00396681">
        <w:rPr>
          <w:lang w:val="en-US" w:eastAsia="zh-CN"/>
        </w:rPr>
        <w:tab/>
      </w:r>
      <w:r w:rsidRPr="006E3B9B">
        <w:rPr>
          <w:rFonts w:hint="eastAsia"/>
          <w:lang w:val="en-US" w:eastAsia="zh-CN"/>
        </w:rPr>
        <w:t>2002</w:t>
      </w:r>
      <w:r w:rsidRPr="006E3B9B">
        <w:rPr>
          <w:rFonts w:hint="eastAsia"/>
          <w:lang w:val="en-US" w:eastAsia="zh-CN"/>
        </w:rPr>
        <w:t>年</w:t>
      </w:r>
    </w:p>
    <w:p w14:paraId="4827C445" w14:textId="77777777" w:rsidR="006E3B9B" w:rsidRPr="00E251ED" w:rsidRDefault="006E3B9B" w:rsidP="004E1793">
      <w:pPr>
        <w:pStyle w:val="Reftitle"/>
        <w:rPr>
          <w:lang w:eastAsia="zh-CN"/>
        </w:rPr>
      </w:pPr>
      <w:r w:rsidRPr="006E3B9B">
        <w:rPr>
          <w:lang w:eastAsia="zh-CN"/>
        </w:rPr>
        <w:t>1999</w:t>
      </w:r>
      <w:r w:rsidRPr="006E3B9B">
        <w:rPr>
          <w:rFonts w:hint="eastAsia"/>
          <w:lang w:eastAsia="zh-CN"/>
        </w:rPr>
        <w:t>年会议（</w:t>
      </w:r>
      <w:r w:rsidRPr="006E3B9B">
        <w:rPr>
          <w:lang w:eastAsia="zh-CN"/>
        </w:rPr>
        <w:t>1999</w:t>
      </w:r>
      <w:r w:rsidRPr="006E3B9B">
        <w:rPr>
          <w:rFonts w:hint="eastAsia"/>
          <w:lang w:eastAsia="zh-CN"/>
        </w:rPr>
        <w:t>年</w:t>
      </w:r>
      <w:r w:rsidRPr="006E3B9B">
        <w:rPr>
          <w:lang w:eastAsia="zh-CN"/>
        </w:rPr>
        <w:t>6</w:t>
      </w:r>
      <w:r w:rsidRPr="006E3B9B">
        <w:rPr>
          <w:rFonts w:hint="eastAsia"/>
          <w:lang w:eastAsia="zh-CN"/>
        </w:rPr>
        <w:t>月）</w:t>
      </w:r>
    </w:p>
    <w:p w14:paraId="4827C44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482</w:t>
      </w:r>
      <w:r w:rsidRPr="006E3B9B">
        <w:rPr>
          <w:lang w:val="en-US" w:eastAsia="zh-CN"/>
        </w:rPr>
        <w:t>号决定</w:t>
      </w:r>
      <w:r w:rsidRPr="006E3B9B">
        <w:rPr>
          <w:lang w:val="en-US" w:eastAsia="zh-CN"/>
        </w:rPr>
        <w:tab/>
      </w:r>
      <w:r w:rsidRPr="006E3B9B">
        <w:rPr>
          <w:rFonts w:hint="eastAsia"/>
          <w:lang w:val="en-US" w:eastAsia="zh-CN"/>
        </w:rPr>
        <w:t>对</w:t>
      </w:r>
      <w:r w:rsidRPr="006E3B9B">
        <w:rPr>
          <w:rFonts w:hint="eastAsia"/>
          <w:lang w:eastAsia="zh-CN"/>
        </w:rPr>
        <w:t>卫星网络申报实行成本回收</w:t>
      </w:r>
      <w:r w:rsidRPr="006E3B9B">
        <w:rPr>
          <w:lang w:val="en-US" w:eastAsia="zh-CN"/>
        </w:rPr>
        <w:tab/>
      </w:r>
      <w:r w:rsidR="00396681">
        <w:rPr>
          <w:lang w:val="en-US" w:eastAsia="zh-CN"/>
        </w:rPr>
        <w:tab/>
      </w:r>
      <w:r w:rsidRPr="006E3B9B">
        <w:rPr>
          <w:rFonts w:hint="eastAsia"/>
          <w:lang w:val="en-US" w:eastAsia="zh-CN"/>
        </w:rPr>
        <w:t>1</w:t>
      </w:r>
      <w:r w:rsidRPr="006E3B9B">
        <w:rPr>
          <w:lang w:val="en-US" w:eastAsia="zh-CN"/>
        </w:rPr>
        <w:t>.2</w:t>
      </w:r>
    </w:p>
    <w:p w14:paraId="4827C44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483</w:t>
      </w:r>
      <w:r w:rsidRPr="006E3B9B">
        <w:rPr>
          <w:lang w:val="en-US" w:eastAsia="zh-CN"/>
        </w:rPr>
        <w:t>号决定</w:t>
      </w:r>
      <w:r w:rsidRPr="006E3B9B">
        <w:rPr>
          <w:lang w:val="en-US" w:eastAsia="zh-CN"/>
        </w:rPr>
        <w:tab/>
      </w:r>
      <w:r w:rsidRPr="006E3B9B">
        <w:rPr>
          <w:rFonts w:hint="eastAsia"/>
          <w:lang w:eastAsia="zh-CN"/>
        </w:rPr>
        <w:t>卫星网络通知程序的改进</w:t>
      </w:r>
      <w:r w:rsidRPr="006E3B9B">
        <w:rPr>
          <w:lang w:val="en-US" w:eastAsia="zh-CN"/>
        </w:rPr>
        <w:tab/>
      </w:r>
      <w:r w:rsidR="00396681">
        <w:rPr>
          <w:lang w:val="en-US" w:eastAsia="zh-CN"/>
        </w:rPr>
        <w:tab/>
      </w:r>
      <w:r w:rsidRPr="006E3B9B">
        <w:rPr>
          <w:lang w:val="en-US" w:eastAsia="zh-CN"/>
        </w:rPr>
        <w:t>2001</w:t>
      </w:r>
      <w:r w:rsidRPr="006E3B9B">
        <w:rPr>
          <w:rFonts w:hint="eastAsia"/>
          <w:lang w:val="en-US" w:eastAsia="zh-CN"/>
        </w:rPr>
        <w:t>年</w:t>
      </w:r>
    </w:p>
    <w:p w14:paraId="4827C44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484</w:t>
      </w:r>
      <w:r w:rsidRPr="006E3B9B">
        <w:rPr>
          <w:lang w:val="en-US" w:eastAsia="zh-CN"/>
        </w:rPr>
        <w:t>号决定</w:t>
      </w:r>
      <w:r w:rsidRPr="006E3B9B">
        <w:rPr>
          <w:lang w:val="en-US" w:eastAsia="zh-CN"/>
        </w:rPr>
        <w:tab/>
      </w:r>
      <w:r w:rsidRPr="006E3B9B">
        <w:rPr>
          <w:rFonts w:hint="eastAsia"/>
          <w:lang w:eastAsia="zh-CN"/>
        </w:rPr>
        <w:t>注销</w:t>
      </w:r>
      <w:r w:rsidRPr="006E3B9B">
        <w:rPr>
          <w:lang w:eastAsia="zh-CN"/>
        </w:rPr>
        <w:t>449 001.35</w:t>
      </w:r>
      <w:r w:rsidRPr="006E3B9B">
        <w:rPr>
          <w:rFonts w:hint="eastAsia"/>
          <w:lang w:eastAsia="zh-CN"/>
        </w:rPr>
        <w:t>瑞士法郎的无法追回债务</w:t>
      </w:r>
      <w:r w:rsidRPr="006E3B9B">
        <w:rPr>
          <w:lang w:val="en-US" w:eastAsia="zh-CN"/>
        </w:rPr>
        <w:tab/>
      </w:r>
      <w:r w:rsidR="00396681">
        <w:rPr>
          <w:lang w:val="en-US" w:eastAsia="zh-CN"/>
        </w:rPr>
        <w:tab/>
      </w:r>
      <w:r w:rsidRPr="006E3B9B">
        <w:rPr>
          <w:lang w:val="en-US" w:eastAsia="zh-CN"/>
        </w:rPr>
        <w:t>2002</w:t>
      </w:r>
      <w:r w:rsidRPr="006E3B9B">
        <w:rPr>
          <w:rFonts w:hint="eastAsia"/>
          <w:lang w:val="en-US" w:eastAsia="zh-CN"/>
        </w:rPr>
        <w:t>年</w:t>
      </w:r>
    </w:p>
    <w:p w14:paraId="4827C44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485</w:t>
      </w:r>
      <w:r w:rsidRPr="006E3B9B">
        <w:rPr>
          <w:lang w:val="en-US" w:eastAsia="zh-CN"/>
        </w:rPr>
        <w:t>号决定</w:t>
      </w:r>
      <w:r w:rsidRPr="006E3B9B">
        <w:rPr>
          <w:lang w:val="en-US" w:eastAsia="zh-CN"/>
        </w:rPr>
        <w:tab/>
      </w:r>
      <w:r w:rsidRPr="006E3B9B">
        <w:rPr>
          <w:rFonts w:hint="eastAsia"/>
          <w:lang w:eastAsia="zh-CN"/>
        </w:rPr>
        <w:t>借方账目储备金</w:t>
      </w:r>
      <w:r w:rsidRPr="006E3B9B">
        <w:rPr>
          <w:lang w:val="en-US" w:eastAsia="zh-CN"/>
        </w:rPr>
        <w:tab/>
      </w:r>
      <w:r w:rsidR="00396681">
        <w:rPr>
          <w:lang w:val="en-US" w:eastAsia="zh-CN"/>
        </w:rPr>
        <w:tab/>
      </w:r>
      <w:r w:rsidRPr="006E3B9B">
        <w:rPr>
          <w:rFonts w:hint="eastAsia"/>
          <w:lang w:val="en-US" w:eastAsia="zh-CN"/>
        </w:rPr>
        <w:t>2003</w:t>
      </w:r>
      <w:r w:rsidRPr="006E3B9B">
        <w:rPr>
          <w:rFonts w:hint="eastAsia"/>
          <w:lang w:val="en-US" w:eastAsia="zh-CN"/>
        </w:rPr>
        <w:t>年</w:t>
      </w:r>
    </w:p>
    <w:p w14:paraId="4827C44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486</w:t>
      </w:r>
      <w:r w:rsidRPr="006E3B9B">
        <w:rPr>
          <w:lang w:val="en-US" w:eastAsia="zh-CN"/>
        </w:rPr>
        <w:t>号决定</w:t>
      </w:r>
      <w:r w:rsidRPr="006E3B9B">
        <w:rPr>
          <w:lang w:val="en-US" w:eastAsia="zh-CN"/>
        </w:rPr>
        <w:tab/>
      </w:r>
      <w:r w:rsidRPr="006E3B9B">
        <w:rPr>
          <w:rFonts w:hint="eastAsia"/>
          <w:lang w:eastAsia="zh-CN"/>
        </w:rPr>
        <w:t>2000</w:t>
      </w:r>
      <w:r w:rsidRPr="006E3B9B">
        <w:rPr>
          <w:rFonts w:hint="eastAsia"/>
          <w:lang w:eastAsia="zh-CN"/>
        </w:rPr>
        <w:t>年世界无线电通信大会支出的摊付</w:t>
      </w:r>
      <w:r w:rsidRPr="006E3B9B">
        <w:rPr>
          <w:lang w:val="en-US" w:eastAsia="zh-CN"/>
        </w:rPr>
        <w:tab/>
      </w:r>
      <w:r w:rsidR="00396681">
        <w:rPr>
          <w:lang w:val="en-US" w:eastAsia="zh-CN"/>
        </w:rPr>
        <w:tab/>
      </w:r>
      <w:r w:rsidRPr="006E3B9B">
        <w:rPr>
          <w:lang w:val="en-US" w:eastAsia="zh-CN"/>
        </w:rPr>
        <w:t>2002</w:t>
      </w:r>
      <w:r w:rsidRPr="006E3B9B">
        <w:rPr>
          <w:rFonts w:hint="eastAsia"/>
          <w:lang w:val="en-US" w:eastAsia="zh-CN"/>
        </w:rPr>
        <w:t>年</w:t>
      </w:r>
    </w:p>
    <w:p w14:paraId="4827C44B"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487</w:t>
      </w:r>
      <w:r w:rsidRPr="006E3B9B">
        <w:rPr>
          <w:lang w:val="en-US" w:eastAsia="zh-CN"/>
        </w:rPr>
        <w:t>号决定</w:t>
      </w:r>
      <w:r w:rsidRPr="006E3B9B">
        <w:rPr>
          <w:lang w:val="en-US" w:eastAsia="zh-CN"/>
        </w:rPr>
        <w:tab/>
      </w:r>
      <w:r w:rsidRPr="006E3B9B">
        <w:rPr>
          <w:rFonts w:hint="eastAsia"/>
          <w:lang w:eastAsia="zh-CN"/>
        </w:rPr>
        <w:t>联合国教科文组织和国际电联达成临时合作协议</w:t>
      </w:r>
      <w:r w:rsidRPr="006E3B9B">
        <w:rPr>
          <w:lang w:val="en-US" w:eastAsia="zh-CN"/>
        </w:rPr>
        <w:tab/>
      </w:r>
      <w:r w:rsidR="00396681">
        <w:rPr>
          <w:lang w:val="en-US" w:eastAsia="zh-CN"/>
        </w:rPr>
        <w:tab/>
      </w:r>
      <w:r w:rsidRPr="006E3B9B">
        <w:rPr>
          <w:rFonts w:hint="eastAsia"/>
          <w:lang w:val="en-US" w:eastAsia="zh-CN"/>
        </w:rPr>
        <w:t>2004</w:t>
      </w:r>
      <w:r w:rsidRPr="006E3B9B">
        <w:rPr>
          <w:rFonts w:hint="eastAsia"/>
          <w:lang w:val="en-US" w:eastAsia="zh-CN"/>
        </w:rPr>
        <w:t>年</w:t>
      </w:r>
    </w:p>
    <w:p w14:paraId="4827C44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488</w:t>
      </w:r>
      <w:r w:rsidRPr="006E3B9B">
        <w:rPr>
          <w:lang w:val="en-US" w:eastAsia="zh-CN"/>
        </w:rPr>
        <w:t>号决定</w:t>
      </w:r>
      <w:r w:rsidRPr="006E3B9B">
        <w:rPr>
          <w:lang w:val="en-US" w:eastAsia="zh-CN"/>
        </w:rPr>
        <w:tab/>
      </w:r>
      <w:r w:rsidRPr="006E3B9B">
        <w:rPr>
          <w:rFonts w:hint="eastAsia"/>
          <w:lang w:eastAsia="zh-CN"/>
        </w:rPr>
        <w:t>理事会</w:t>
      </w:r>
      <w:r w:rsidRPr="006E3B9B">
        <w:rPr>
          <w:lang w:eastAsia="zh-CN"/>
        </w:rPr>
        <w:t>2000</w:t>
      </w:r>
      <w:r w:rsidRPr="006E3B9B">
        <w:rPr>
          <w:rFonts w:hint="eastAsia"/>
          <w:lang w:eastAsia="zh-CN"/>
        </w:rPr>
        <w:t>年会议的日期和会期</w:t>
      </w:r>
      <w:r w:rsidRPr="006E3B9B">
        <w:rPr>
          <w:lang w:val="en-US" w:eastAsia="zh-CN"/>
        </w:rPr>
        <w:tab/>
      </w:r>
      <w:r w:rsidR="00396681">
        <w:rPr>
          <w:lang w:val="en-US" w:eastAsia="zh-CN"/>
        </w:rPr>
        <w:tab/>
      </w:r>
      <w:r w:rsidRPr="006E3B9B">
        <w:rPr>
          <w:lang w:val="en-US" w:eastAsia="zh-CN"/>
        </w:rPr>
        <w:t>2001</w:t>
      </w:r>
      <w:r w:rsidRPr="006E3B9B">
        <w:rPr>
          <w:rFonts w:hint="eastAsia"/>
          <w:lang w:val="en-US" w:eastAsia="zh-CN"/>
        </w:rPr>
        <w:t>年</w:t>
      </w:r>
    </w:p>
    <w:p w14:paraId="4827C44D" w14:textId="77777777" w:rsidR="006E3B9B" w:rsidRPr="00E251ED" w:rsidRDefault="006E3B9B" w:rsidP="004E1793">
      <w:pPr>
        <w:pStyle w:val="Reftitle"/>
        <w:rPr>
          <w:lang w:eastAsia="zh-CN"/>
        </w:rPr>
      </w:pPr>
      <w:r w:rsidRPr="006E3B9B">
        <w:rPr>
          <w:lang w:eastAsia="zh-CN"/>
        </w:rPr>
        <w:t>2000</w:t>
      </w:r>
      <w:r w:rsidRPr="006E3B9B">
        <w:rPr>
          <w:rFonts w:hint="eastAsia"/>
          <w:lang w:eastAsia="zh-CN"/>
        </w:rPr>
        <w:t>年会议</w:t>
      </w:r>
      <w:r w:rsidRPr="006E3B9B">
        <w:rPr>
          <w:lang w:eastAsia="zh-CN"/>
        </w:rPr>
        <w:t>（</w:t>
      </w:r>
      <w:r w:rsidRPr="006E3B9B">
        <w:rPr>
          <w:lang w:eastAsia="zh-CN"/>
        </w:rPr>
        <w:t>2000</w:t>
      </w:r>
      <w:r w:rsidRPr="006E3B9B">
        <w:rPr>
          <w:rFonts w:hint="eastAsia"/>
          <w:lang w:eastAsia="zh-CN"/>
        </w:rPr>
        <w:t>年</w:t>
      </w:r>
      <w:r w:rsidRPr="006E3B9B">
        <w:rPr>
          <w:rFonts w:hint="eastAsia"/>
          <w:lang w:eastAsia="zh-CN"/>
        </w:rPr>
        <w:t>7</w:t>
      </w:r>
      <w:r w:rsidRPr="006E3B9B">
        <w:rPr>
          <w:rFonts w:hint="eastAsia"/>
          <w:lang w:eastAsia="zh-CN"/>
        </w:rPr>
        <w:t>月</w:t>
      </w:r>
      <w:r w:rsidRPr="006E3B9B">
        <w:rPr>
          <w:lang w:eastAsia="zh-CN"/>
        </w:rPr>
        <w:t>）</w:t>
      </w:r>
    </w:p>
    <w:p w14:paraId="4827C44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489</w:t>
      </w:r>
      <w:r w:rsidRPr="006E3B9B">
        <w:rPr>
          <w:lang w:val="en-US" w:eastAsia="zh-CN"/>
        </w:rPr>
        <w:t>号决定</w:t>
      </w:r>
      <w:r w:rsidRPr="006E3B9B">
        <w:rPr>
          <w:lang w:val="en-US" w:eastAsia="zh-CN"/>
        </w:rPr>
        <w:tab/>
      </w:r>
      <w:r w:rsidRPr="006E3B9B">
        <w:rPr>
          <w:rFonts w:hint="eastAsia"/>
          <w:lang w:val="fr-CH" w:eastAsia="zh-CN"/>
        </w:rPr>
        <w:t>刚果共和国分期十年时间偿还欠款</w:t>
      </w:r>
      <w:r w:rsidRPr="006E3B9B">
        <w:rPr>
          <w:lang w:val="en-US" w:eastAsia="zh-CN"/>
        </w:rPr>
        <w:tab/>
      </w:r>
      <w:r w:rsidR="00396681">
        <w:rPr>
          <w:lang w:val="en-US" w:eastAsia="zh-CN"/>
        </w:rPr>
        <w:tab/>
      </w:r>
      <w:r w:rsidRPr="006E3B9B">
        <w:rPr>
          <w:lang w:val="en-US" w:eastAsia="zh-CN"/>
        </w:rPr>
        <w:t>2</w:t>
      </w:r>
      <w:r w:rsidRPr="006E3B9B">
        <w:rPr>
          <w:rFonts w:hint="eastAsia"/>
          <w:lang w:val="en-US" w:eastAsia="zh-CN"/>
        </w:rPr>
        <w:t>006</w:t>
      </w:r>
      <w:r w:rsidRPr="006E3B9B">
        <w:rPr>
          <w:rFonts w:hint="eastAsia"/>
          <w:lang w:val="en-US" w:eastAsia="zh-CN"/>
        </w:rPr>
        <w:t>年</w:t>
      </w:r>
    </w:p>
    <w:p w14:paraId="4827C44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490</w:t>
      </w:r>
      <w:r w:rsidRPr="006E3B9B">
        <w:rPr>
          <w:lang w:val="en-US" w:eastAsia="zh-CN"/>
        </w:rPr>
        <w:t>号决定</w:t>
      </w:r>
      <w:r w:rsidRPr="006E3B9B">
        <w:rPr>
          <w:lang w:val="en-US" w:eastAsia="zh-CN"/>
        </w:rPr>
        <w:tab/>
      </w:r>
      <w:r w:rsidRPr="006E3B9B">
        <w:rPr>
          <w:rFonts w:hint="eastAsia"/>
          <w:lang w:val="fr-CH" w:eastAsia="zh-CN"/>
        </w:rPr>
        <w:t>玻利维亚共和国分期十年时间偿还欠款</w:t>
      </w:r>
      <w:r w:rsidRPr="006E3B9B">
        <w:rPr>
          <w:lang w:val="en-US" w:eastAsia="zh-CN"/>
        </w:rPr>
        <w:tab/>
      </w:r>
      <w:r w:rsidR="00396681">
        <w:rPr>
          <w:lang w:val="en-US" w:eastAsia="zh-CN"/>
        </w:rPr>
        <w:tab/>
      </w:r>
      <w:r w:rsidRPr="006E3B9B">
        <w:rPr>
          <w:rFonts w:hint="eastAsia"/>
          <w:lang w:val="en-US" w:eastAsia="zh-CN"/>
        </w:rPr>
        <w:t>2006</w:t>
      </w:r>
      <w:r w:rsidRPr="006E3B9B">
        <w:rPr>
          <w:rFonts w:hint="eastAsia"/>
          <w:lang w:val="en-US" w:eastAsia="zh-CN"/>
        </w:rPr>
        <w:t>年</w:t>
      </w:r>
    </w:p>
    <w:p w14:paraId="4827C45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491</w:t>
      </w:r>
      <w:r w:rsidRPr="006E3B9B">
        <w:rPr>
          <w:lang w:val="en-US" w:eastAsia="zh-CN"/>
        </w:rPr>
        <w:t>号决定</w:t>
      </w:r>
      <w:r w:rsidRPr="006E3B9B">
        <w:rPr>
          <w:lang w:val="en-US" w:eastAsia="zh-CN"/>
        </w:rPr>
        <w:tab/>
      </w:r>
      <w:r w:rsidRPr="006E3B9B">
        <w:rPr>
          <w:rFonts w:hint="eastAsia"/>
          <w:lang w:val="fr-CH" w:eastAsia="zh-CN"/>
        </w:rPr>
        <w:t>注销无法收回的</w:t>
      </w:r>
      <w:r w:rsidRPr="006E3B9B">
        <w:rPr>
          <w:lang w:val="fr-CH" w:eastAsia="zh-CN"/>
        </w:rPr>
        <w:t>754 520.75</w:t>
      </w:r>
      <w:r w:rsidRPr="006E3B9B">
        <w:rPr>
          <w:rFonts w:hint="eastAsia"/>
          <w:lang w:val="fr-CH" w:eastAsia="zh-CN"/>
        </w:rPr>
        <w:t>瑞士法郎的债款</w:t>
      </w:r>
      <w:r w:rsidRPr="006E3B9B">
        <w:rPr>
          <w:lang w:val="en-US" w:eastAsia="zh-CN"/>
        </w:rPr>
        <w:tab/>
      </w:r>
      <w:r w:rsidR="00396681">
        <w:rPr>
          <w:lang w:val="en-US" w:eastAsia="zh-CN"/>
        </w:rPr>
        <w:tab/>
      </w:r>
      <w:r w:rsidRPr="006E3B9B">
        <w:rPr>
          <w:rFonts w:hint="eastAsia"/>
          <w:lang w:val="en-US" w:eastAsia="zh-CN"/>
        </w:rPr>
        <w:t>2003</w:t>
      </w:r>
      <w:r w:rsidRPr="006E3B9B">
        <w:rPr>
          <w:rFonts w:hint="eastAsia"/>
          <w:lang w:val="en-US" w:eastAsia="zh-CN"/>
        </w:rPr>
        <w:t>年</w:t>
      </w:r>
    </w:p>
    <w:p w14:paraId="4827C45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492</w:t>
      </w:r>
      <w:r w:rsidRPr="006E3B9B">
        <w:rPr>
          <w:lang w:val="en-US" w:eastAsia="zh-CN"/>
        </w:rPr>
        <w:t>号决定</w:t>
      </w:r>
      <w:r w:rsidRPr="006E3B9B">
        <w:rPr>
          <w:lang w:val="en-US" w:eastAsia="zh-CN"/>
        </w:rPr>
        <w:tab/>
      </w:r>
      <w:r w:rsidRPr="006E3B9B">
        <w:rPr>
          <w:rFonts w:hint="eastAsia"/>
          <w:lang w:val="fr-CH" w:eastAsia="zh-CN"/>
        </w:rPr>
        <w:t>哈萨克斯坦共和国分期十年时间偿还欠款</w:t>
      </w:r>
      <w:r w:rsidRPr="006E3B9B">
        <w:rPr>
          <w:lang w:val="en-US" w:eastAsia="zh-CN"/>
        </w:rPr>
        <w:tab/>
      </w:r>
      <w:r w:rsidR="00396681">
        <w:rPr>
          <w:lang w:val="en-US" w:eastAsia="zh-CN"/>
        </w:rPr>
        <w:tab/>
      </w:r>
      <w:r w:rsidRPr="006E3B9B">
        <w:rPr>
          <w:rFonts w:hint="eastAsia"/>
          <w:lang w:val="en-US" w:eastAsia="zh-CN"/>
        </w:rPr>
        <w:t>2006</w:t>
      </w:r>
      <w:r w:rsidRPr="006E3B9B">
        <w:rPr>
          <w:rFonts w:hint="eastAsia"/>
          <w:lang w:val="en-US" w:eastAsia="zh-CN"/>
        </w:rPr>
        <w:t>年</w:t>
      </w:r>
    </w:p>
    <w:p w14:paraId="4827C45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493</w:t>
      </w:r>
      <w:r w:rsidRPr="006E3B9B">
        <w:rPr>
          <w:lang w:val="en-US" w:eastAsia="zh-CN"/>
        </w:rPr>
        <w:t>号决定</w:t>
      </w:r>
      <w:r w:rsidRPr="006E3B9B">
        <w:rPr>
          <w:lang w:val="en-US" w:eastAsia="zh-CN"/>
        </w:rPr>
        <w:tab/>
      </w:r>
      <w:r w:rsidRPr="006E3B9B">
        <w:rPr>
          <w:rFonts w:hint="eastAsia"/>
          <w:lang w:val="fr-CH" w:eastAsia="zh-CN"/>
        </w:rPr>
        <w:t>“日内瓦外交使团网络（</w:t>
      </w:r>
      <w:r w:rsidRPr="006E3B9B">
        <w:rPr>
          <w:lang w:val="fr-CH" w:eastAsia="zh-CN"/>
        </w:rPr>
        <w:t>GDCnet</w:t>
      </w:r>
      <w:r w:rsidRPr="006E3B9B">
        <w:rPr>
          <w:rFonts w:hint="eastAsia"/>
          <w:lang w:val="fr-CH" w:eastAsia="zh-CN"/>
        </w:rPr>
        <w:t>）项目”专账</w:t>
      </w:r>
      <w:r w:rsidRPr="006E3B9B">
        <w:rPr>
          <w:lang w:val="en-US" w:eastAsia="zh-CN"/>
        </w:rPr>
        <w:tab/>
      </w:r>
      <w:r w:rsidR="00396681">
        <w:rPr>
          <w:lang w:val="en-US" w:eastAsia="zh-CN"/>
        </w:rPr>
        <w:tab/>
      </w:r>
      <w:r w:rsidRPr="006E3B9B">
        <w:rPr>
          <w:rFonts w:hint="eastAsia"/>
          <w:lang w:val="en-US" w:eastAsia="zh-CN"/>
        </w:rPr>
        <w:t>2006</w:t>
      </w:r>
      <w:r w:rsidRPr="006E3B9B">
        <w:rPr>
          <w:rFonts w:hint="eastAsia"/>
          <w:lang w:val="en-US" w:eastAsia="zh-CN"/>
        </w:rPr>
        <w:t>年</w:t>
      </w:r>
    </w:p>
    <w:p w14:paraId="4827C45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494</w:t>
      </w:r>
      <w:r w:rsidRPr="006E3B9B">
        <w:rPr>
          <w:lang w:val="en-US" w:eastAsia="zh-CN"/>
        </w:rPr>
        <w:t>号决定</w:t>
      </w:r>
      <w:r w:rsidRPr="006E3B9B">
        <w:rPr>
          <w:lang w:val="en-US" w:eastAsia="zh-CN"/>
        </w:rPr>
        <w:tab/>
      </w:r>
      <w:r w:rsidRPr="006E3B9B">
        <w:rPr>
          <w:rFonts w:hint="eastAsia"/>
          <w:lang w:val="fr-CH" w:eastAsia="zh-CN"/>
        </w:rPr>
        <w:t>国际电联与世贸组织达成临时合作协议</w:t>
      </w:r>
      <w:r w:rsidRPr="006E3B9B">
        <w:rPr>
          <w:lang w:val="en-US" w:eastAsia="zh-CN"/>
        </w:rPr>
        <w:tab/>
      </w:r>
      <w:r w:rsidR="00396681">
        <w:rPr>
          <w:lang w:val="en-US" w:eastAsia="zh-CN"/>
        </w:rPr>
        <w:tab/>
      </w:r>
      <w:r w:rsidRPr="006E3B9B">
        <w:rPr>
          <w:rFonts w:hint="eastAsia"/>
          <w:lang w:val="en-US" w:eastAsia="zh-CN"/>
        </w:rPr>
        <w:t>2004</w:t>
      </w:r>
      <w:r w:rsidRPr="006E3B9B">
        <w:rPr>
          <w:rFonts w:hint="eastAsia"/>
          <w:lang w:val="en-US" w:eastAsia="zh-CN"/>
        </w:rPr>
        <w:t>年</w:t>
      </w:r>
    </w:p>
    <w:p w14:paraId="4827C454" w14:textId="77777777" w:rsidR="006E3B9B" w:rsidRPr="006E3B9B" w:rsidRDefault="006E3B9B" w:rsidP="009D3F6B">
      <w:pPr>
        <w:pStyle w:val="Appendixref"/>
        <w:rPr>
          <w:lang w:val="en-US" w:eastAsia="zh-CN"/>
        </w:rPr>
      </w:pPr>
      <w:r w:rsidRPr="006E3B9B">
        <w:rPr>
          <w:lang w:val="en-US" w:eastAsia="zh-CN"/>
        </w:rPr>
        <w:t>第</w:t>
      </w:r>
      <w:r w:rsidRPr="006E3B9B">
        <w:rPr>
          <w:lang w:val="en-US" w:eastAsia="zh-CN"/>
        </w:rPr>
        <w:t>495</w:t>
      </w:r>
      <w:r w:rsidRPr="006E3B9B">
        <w:rPr>
          <w:lang w:val="en-US" w:eastAsia="zh-CN"/>
        </w:rPr>
        <w:t>号决定</w:t>
      </w:r>
      <w:r w:rsidRPr="006E3B9B">
        <w:rPr>
          <w:lang w:val="en-US" w:eastAsia="zh-CN"/>
        </w:rPr>
        <w:tab/>
      </w:r>
      <w:r w:rsidR="009D3F6B">
        <w:rPr>
          <w:rFonts w:hint="eastAsia"/>
          <w:lang w:eastAsia="zh-CN"/>
        </w:rPr>
        <w:t>理事会的情况</w:t>
      </w:r>
      <w:r w:rsidR="009D3F6B">
        <w:rPr>
          <w:lang w:eastAsia="zh-CN"/>
        </w:rPr>
        <w:t>通报</w:t>
      </w:r>
      <w:r w:rsidR="009D3F6B">
        <w:rPr>
          <w:rFonts w:hint="eastAsia"/>
          <w:lang w:eastAsia="zh-CN"/>
        </w:rPr>
        <w:t>文件</w:t>
      </w:r>
      <w:r w:rsidRPr="006E3B9B">
        <w:rPr>
          <w:lang w:val="en-US" w:eastAsia="zh-CN"/>
        </w:rPr>
        <w:tab/>
      </w:r>
      <w:r w:rsidR="00396681">
        <w:rPr>
          <w:lang w:val="en-US" w:eastAsia="zh-CN"/>
        </w:rPr>
        <w:tab/>
      </w:r>
      <w:r w:rsidRPr="006E3B9B">
        <w:rPr>
          <w:lang w:val="en-US" w:eastAsia="zh-CN"/>
        </w:rPr>
        <w:t>3.2</w:t>
      </w:r>
    </w:p>
    <w:p w14:paraId="4827C45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496</w:t>
      </w:r>
      <w:r w:rsidRPr="006E3B9B">
        <w:rPr>
          <w:lang w:val="en-US" w:eastAsia="zh-CN"/>
        </w:rPr>
        <w:t>号决定</w:t>
      </w:r>
      <w:r w:rsidRPr="006E3B9B">
        <w:rPr>
          <w:lang w:val="en-US" w:eastAsia="zh-CN"/>
        </w:rPr>
        <w:tab/>
      </w:r>
      <w:r w:rsidRPr="006E3B9B">
        <w:rPr>
          <w:rFonts w:hint="eastAsia"/>
          <w:lang w:val="fr-CH" w:eastAsia="zh-CN"/>
        </w:rPr>
        <w:t>战略规划讲习班的指导原则</w:t>
      </w:r>
      <w:r w:rsidRPr="006E3B9B">
        <w:rPr>
          <w:lang w:val="en-US" w:eastAsia="zh-CN"/>
        </w:rPr>
        <w:tab/>
      </w:r>
      <w:r w:rsidR="00396681">
        <w:rPr>
          <w:lang w:val="en-US" w:eastAsia="zh-CN"/>
        </w:rPr>
        <w:tab/>
      </w:r>
      <w:r w:rsidR="00A627A2">
        <w:rPr>
          <w:lang w:val="en-US" w:eastAsia="zh-CN"/>
        </w:rPr>
        <w:t>2015</w:t>
      </w:r>
      <w:r w:rsidR="00A627A2">
        <w:rPr>
          <w:rFonts w:hint="eastAsia"/>
          <w:lang w:val="en-US" w:eastAsia="zh-CN"/>
        </w:rPr>
        <w:t>年</w:t>
      </w:r>
    </w:p>
    <w:p w14:paraId="4827C45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497</w:t>
      </w:r>
      <w:r w:rsidRPr="006E3B9B">
        <w:rPr>
          <w:lang w:val="en-US" w:eastAsia="zh-CN"/>
        </w:rPr>
        <w:t>号决定</w:t>
      </w:r>
      <w:r w:rsidRPr="006E3B9B">
        <w:rPr>
          <w:lang w:val="en-US" w:eastAsia="zh-CN"/>
        </w:rPr>
        <w:tab/>
      </w:r>
      <w:r w:rsidRPr="006E3B9B">
        <w:rPr>
          <w:rFonts w:hint="eastAsia"/>
          <w:lang w:val="fr-CH" w:eastAsia="zh-CN"/>
        </w:rPr>
        <w:t>下届例行全权代表大会的召开</w:t>
      </w:r>
      <w:r w:rsidRPr="006E3B9B">
        <w:rPr>
          <w:lang w:val="en-US" w:eastAsia="zh-CN"/>
        </w:rPr>
        <w:tab/>
      </w:r>
      <w:r w:rsidR="00396681">
        <w:rPr>
          <w:lang w:val="en-US" w:eastAsia="zh-CN"/>
        </w:rPr>
        <w:tab/>
      </w:r>
      <w:r w:rsidRPr="006E3B9B">
        <w:rPr>
          <w:rFonts w:hint="eastAsia"/>
          <w:lang w:val="en-US" w:eastAsia="zh-CN"/>
        </w:rPr>
        <w:t>2003</w:t>
      </w:r>
      <w:r w:rsidRPr="006E3B9B">
        <w:rPr>
          <w:rFonts w:hint="eastAsia"/>
          <w:lang w:val="en-US" w:eastAsia="zh-CN"/>
        </w:rPr>
        <w:t>年</w:t>
      </w:r>
    </w:p>
    <w:p w14:paraId="4827C45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498</w:t>
      </w:r>
      <w:r w:rsidRPr="006E3B9B">
        <w:rPr>
          <w:lang w:val="en-US" w:eastAsia="zh-CN"/>
        </w:rPr>
        <w:t>号决定</w:t>
      </w:r>
      <w:r w:rsidRPr="006E3B9B">
        <w:rPr>
          <w:lang w:val="en-US" w:eastAsia="zh-CN"/>
        </w:rPr>
        <w:tab/>
      </w:r>
      <w:r w:rsidRPr="006E3B9B">
        <w:rPr>
          <w:rFonts w:hint="eastAsia"/>
          <w:lang w:val="fr-CH" w:eastAsia="zh-CN"/>
        </w:rPr>
        <w:t>第三届世界电信政策论坛</w:t>
      </w:r>
      <w:r w:rsidRPr="006E3B9B">
        <w:rPr>
          <w:lang w:val="en-US" w:eastAsia="zh-CN"/>
        </w:rPr>
        <w:tab/>
      </w:r>
      <w:r w:rsidR="00396681">
        <w:rPr>
          <w:lang w:val="en-US" w:eastAsia="zh-CN"/>
        </w:rPr>
        <w:tab/>
      </w:r>
      <w:r w:rsidRPr="006E3B9B">
        <w:rPr>
          <w:lang w:val="en-US" w:eastAsia="zh-CN"/>
        </w:rPr>
        <w:t>2002</w:t>
      </w:r>
      <w:r w:rsidRPr="006E3B9B">
        <w:rPr>
          <w:rFonts w:hint="eastAsia"/>
          <w:lang w:val="en-US" w:eastAsia="zh-CN"/>
        </w:rPr>
        <w:t>年</w:t>
      </w:r>
    </w:p>
    <w:p w14:paraId="4827C45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499</w:t>
      </w:r>
      <w:r w:rsidRPr="006E3B9B">
        <w:rPr>
          <w:lang w:val="en-US" w:eastAsia="zh-CN"/>
        </w:rPr>
        <w:t>号决定</w:t>
      </w:r>
      <w:r w:rsidRPr="006E3B9B">
        <w:rPr>
          <w:lang w:val="en-US" w:eastAsia="zh-CN"/>
        </w:rPr>
        <w:tab/>
      </w:r>
      <w:r w:rsidRPr="006E3B9B">
        <w:rPr>
          <w:rFonts w:hint="eastAsia"/>
          <w:lang w:val="en-US" w:eastAsia="zh-CN"/>
        </w:rPr>
        <w:t>理事会</w:t>
      </w:r>
      <w:r w:rsidRPr="006E3B9B">
        <w:rPr>
          <w:lang w:val="fr-CH" w:eastAsia="zh-CN"/>
        </w:rPr>
        <w:t>2001</w:t>
      </w:r>
      <w:r w:rsidRPr="006E3B9B">
        <w:rPr>
          <w:rFonts w:hint="eastAsia"/>
          <w:lang w:val="fr-CH" w:eastAsia="zh-CN"/>
        </w:rPr>
        <w:t>年会议的日期和会期</w:t>
      </w:r>
      <w:r w:rsidRPr="006E3B9B">
        <w:rPr>
          <w:lang w:val="en-US" w:eastAsia="zh-CN"/>
        </w:rPr>
        <w:tab/>
      </w:r>
      <w:r w:rsidR="00396681">
        <w:rPr>
          <w:lang w:val="en-US" w:eastAsia="zh-CN"/>
        </w:rPr>
        <w:tab/>
      </w:r>
      <w:r w:rsidRPr="006E3B9B">
        <w:rPr>
          <w:lang w:val="en-US" w:eastAsia="zh-CN"/>
        </w:rPr>
        <w:t>2002</w:t>
      </w:r>
      <w:r w:rsidRPr="006E3B9B">
        <w:rPr>
          <w:rFonts w:hint="eastAsia"/>
          <w:lang w:val="en-US" w:eastAsia="zh-CN"/>
        </w:rPr>
        <w:t>年</w:t>
      </w:r>
    </w:p>
    <w:p w14:paraId="4827C45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500</w:t>
      </w:r>
      <w:r w:rsidRPr="006E3B9B">
        <w:rPr>
          <w:lang w:val="en-US" w:eastAsia="zh-CN"/>
        </w:rPr>
        <w:t>号决定</w:t>
      </w:r>
      <w:r w:rsidRPr="006E3B9B">
        <w:rPr>
          <w:lang w:val="en-US" w:eastAsia="zh-CN"/>
        </w:rPr>
        <w:tab/>
      </w:r>
      <w:r w:rsidRPr="006E3B9B">
        <w:rPr>
          <w:rFonts w:hint="eastAsia"/>
          <w:lang w:val="fr-CH" w:eastAsia="zh-CN"/>
        </w:rPr>
        <w:t>“主席”一词的使用</w:t>
      </w:r>
      <w:r w:rsidRPr="006E3B9B">
        <w:rPr>
          <w:lang w:val="en-US" w:eastAsia="zh-CN"/>
        </w:rPr>
        <w:tab/>
      </w:r>
      <w:r w:rsidR="00396681">
        <w:rPr>
          <w:lang w:val="en-US" w:eastAsia="zh-CN"/>
        </w:rPr>
        <w:tab/>
      </w:r>
      <w:r w:rsidRPr="006E3B9B">
        <w:rPr>
          <w:lang w:val="en-US" w:eastAsia="zh-CN"/>
        </w:rPr>
        <w:t>7.2</w:t>
      </w:r>
    </w:p>
    <w:p w14:paraId="4827C45A" w14:textId="77777777" w:rsidR="0058405E" w:rsidRDefault="0058405E">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4827C45B" w14:textId="77777777" w:rsidR="006E3B9B" w:rsidRPr="00E251ED" w:rsidRDefault="006E3B9B" w:rsidP="004E1793">
      <w:pPr>
        <w:pStyle w:val="Reftitle"/>
        <w:rPr>
          <w:lang w:eastAsia="zh-CN"/>
        </w:rPr>
      </w:pPr>
      <w:r w:rsidRPr="006E3B9B">
        <w:rPr>
          <w:lang w:eastAsia="zh-CN"/>
        </w:rPr>
        <w:lastRenderedPageBreak/>
        <w:t>2001</w:t>
      </w:r>
      <w:r w:rsidRPr="006E3B9B">
        <w:rPr>
          <w:rFonts w:hint="eastAsia"/>
          <w:lang w:eastAsia="zh-CN"/>
        </w:rPr>
        <w:t>年会议</w:t>
      </w:r>
      <w:r w:rsidRPr="006E3B9B">
        <w:rPr>
          <w:lang w:eastAsia="zh-CN"/>
        </w:rPr>
        <w:t>（</w:t>
      </w:r>
      <w:r w:rsidRPr="006E3B9B">
        <w:rPr>
          <w:lang w:eastAsia="zh-CN"/>
        </w:rPr>
        <w:t>2001</w:t>
      </w:r>
      <w:r w:rsidRPr="006E3B9B">
        <w:rPr>
          <w:rFonts w:hint="eastAsia"/>
          <w:lang w:eastAsia="zh-CN"/>
        </w:rPr>
        <w:t>年</w:t>
      </w:r>
      <w:r w:rsidRPr="006E3B9B">
        <w:rPr>
          <w:lang w:eastAsia="zh-CN"/>
        </w:rPr>
        <w:t>6</w:t>
      </w:r>
      <w:r w:rsidRPr="006E3B9B">
        <w:rPr>
          <w:rFonts w:hint="eastAsia"/>
          <w:lang w:eastAsia="zh-CN"/>
        </w:rPr>
        <w:t>月</w:t>
      </w:r>
      <w:r w:rsidRPr="006E3B9B">
        <w:rPr>
          <w:lang w:eastAsia="zh-CN"/>
        </w:rPr>
        <w:t>）</w:t>
      </w:r>
    </w:p>
    <w:p w14:paraId="4827C45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501</w:t>
      </w:r>
      <w:r w:rsidRPr="006E3B9B">
        <w:rPr>
          <w:lang w:val="en-US" w:eastAsia="zh-CN"/>
        </w:rPr>
        <w:t>号决定</w:t>
      </w:r>
      <w:r w:rsidRPr="006E3B9B">
        <w:rPr>
          <w:lang w:val="en-US" w:eastAsia="zh-CN"/>
        </w:rPr>
        <w:tab/>
      </w:r>
      <w:r w:rsidRPr="006E3B9B">
        <w:rPr>
          <w:rFonts w:hint="eastAsia"/>
          <w:lang w:val="en-US" w:eastAsia="zh-CN"/>
        </w:rPr>
        <w:t>借方账目储备金</w:t>
      </w:r>
      <w:r w:rsidRPr="006E3B9B">
        <w:rPr>
          <w:lang w:val="en-US" w:eastAsia="zh-CN"/>
        </w:rPr>
        <w:tab/>
      </w:r>
      <w:r w:rsidR="00396681">
        <w:rPr>
          <w:lang w:val="en-US" w:eastAsia="zh-CN"/>
        </w:rPr>
        <w:tab/>
      </w:r>
      <w:r w:rsidRPr="006E3B9B">
        <w:rPr>
          <w:rFonts w:hint="eastAsia"/>
          <w:lang w:val="en-US" w:eastAsia="zh-CN"/>
        </w:rPr>
        <w:t>2003</w:t>
      </w:r>
      <w:r w:rsidRPr="006E3B9B">
        <w:rPr>
          <w:rFonts w:hint="eastAsia"/>
          <w:lang w:val="en-US" w:eastAsia="zh-CN"/>
        </w:rPr>
        <w:t>年</w:t>
      </w:r>
    </w:p>
    <w:p w14:paraId="4827C45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502</w:t>
      </w:r>
      <w:r w:rsidRPr="006E3B9B">
        <w:rPr>
          <w:lang w:val="en-US" w:eastAsia="zh-CN"/>
        </w:rPr>
        <w:t>号决定</w:t>
      </w:r>
      <w:r w:rsidRPr="006E3B9B">
        <w:rPr>
          <w:lang w:val="en-US" w:eastAsia="zh-CN"/>
        </w:rPr>
        <w:tab/>
      </w:r>
      <w:r w:rsidRPr="006E3B9B">
        <w:rPr>
          <w:rFonts w:hint="eastAsia"/>
          <w:lang w:val="en-US" w:eastAsia="zh-CN"/>
        </w:rPr>
        <w:t>几内亚比绍共和国分期十年偿还欠款</w:t>
      </w:r>
      <w:r w:rsidRPr="006E3B9B">
        <w:rPr>
          <w:lang w:val="en-US" w:eastAsia="zh-CN"/>
        </w:rPr>
        <w:tab/>
      </w:r>
      <w:r w:rsidR="00396681">
        <w:rPr>
          <w:lang w:val="en-US" w:eastAsia="zh-CN"/>
        </w:rPr>
        <w:tab/>
      </w:r>
      <w:r w:rsidRPr="006E3B9B">
        <w:rPr>
          <w:rFonts w:hint="eastAsia"/>
          <w:lang w:val="en-US" w:eastAsia="zh-CN"/>
        </w:rPr>
        <w:t>2006</w:t>
      </w:r>
      <w:r w:rsidRPr="006E3B9B">
        <w:rPr>
          <w:rFonts w:hint="eastAsia"/>
          <w:lang w:val="en-US" w:eastAsia="zh-CN"/>
        </w:rPr>
        <w:t>年</w:t>
      </w:r>
    </w:p>
    <w:p w14:paraId="4827C45E" w14:textId="77777777" w:rsidR="00597DEF" w:rsidRDefault="006E3B9B" w:rsidP="00057467">
      <w:pPr>
        <w:pStyle w:val="Appendixref"/>
        <w:rPr>
          <w:lang w:val="en-US" w:eastAsia="zh-CN"/>
        </w:rPr>
      </w:pPr>
      <w:r w:rsidRPr="006E3B9B">
        <w:rPr>
          <w:lang w:val="en-US" w:eastAsia="zh-CN"/>
        </w:rPr>
        <w:t>第</w:t>
      </w:r>
      <w:r w:rsidRPr="006E3B9B">
        <w:rPr>
          <w:lang w:val="en-US" w:eastAsia="zh-CN"/>
        </w:rPr>
        <w:t>503</w:t>
      </w:r>
      <w:r w:rsidRPr="006E3B9B">
        <w:rPr>
          <w:lang w:val="en-US" w:eastAsia="zh-CN"/>
        </w:rPr>
        <w:t>号决定</w:t>
      </w:r>
      <w:r w:rsidRPr="006E3B9B">
        <w:rPr>
          <w:lang w:val="en-US" w:eastAsia="zh-CN"/>
        </w:rPr>
        <w:tab/>
      </w:r>
      <w:r w:rsidRPr="006E3B9B">
        <w:rPr>
          <w:rFonts w:hint="eastAsia"/>
          <w:lang w:val="en-US" w:eastAsia="zh-CN"/>
        </w:rPr>
        <w:t>多米尼加共和国分期十年偿还欠款</w:t>
      </w:r>
      <w:r w:rsidRPr="006E3B9B">
        <w:rPr>
          <w:lang w:val="en-US" w:eastAsia="zh-CN"/>
        </w:rPr>
        <w:tab/>
      </w:r>
      <w:r w:rsidR="00396681">
        <w:rPr>
          <w:lang w:val="en-US" w:eastAsia="zh-CN"/>
        </w:rPr>
        <w:tab/>
      </w:r>
      <w:r w:rsidR="00077C0D">
        <w:rPr>
          <w:lang w:val="en-US" w:eastAsia="zh-CN"/>
        </w:rPr>
        <w:t>2011</w:t>
      </w:r>
      <w:r w:rsidR="00077C0D">
        <w:rPr>
          <w:rFonts w:hint="eastAsia"/>
          <w:lang w:val="en-US" w:eastAsia="zh-CN"/>
        </w:rPr>
        <w:t>年</w:t>
      </w:r>
    </w:p>
    <w:p w14:paraId="4827C45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504</w:t>
      </w:r>
      <w:r w:rsidRPr="006E3B9B">
        <w:rPr>
          <w:lang w:val="en-US" w:eastAsia="zh-CN"/>
        </w:rPr>
        <w:t>号决定</w:t>
      </w:r>
      <w:r w:rsidRPr="006E3B9B">
        <w:rPr>
          <w:lang w:val="en-US" w:eastAsia="zh-CN"/>
        </w:rPr>
        <w:tab/>
      </w:r>
      <w:r w:rsidRPr="006E3B9B">
        <w:rPr>
          <w:rFonts w:hint="eastAsia"/>
          <w:lang w:val="en-US" w:eastAsia="zh-CN"/>
        </w:rPr>
        <w:t>成立一个《战略规划》组</w:t>
      </w:r>
      <w:r w:rsidRPr="006E3B9B">
        <w:rPr>
          <w:lang w:val="en-US" w:eastAsia="zh-CN"/>
        </w:rPr>
        <w:tab/>
      </w:r>
      <w:r w:rsidR="00396681">
        <w:rPr>
          <w:lang w:val="en-US" w:eastAsia="zh-CN"/>
        </w:rPr>
        <w:tab/>
      </w:r>
      <w:r w:rsidRPr="006E3B9B">
        <w:rPr>
          <w:rFonts w:hint="eastAsia"/>
          <w:lang w:val="en-US" w:eastAsia="zh-CN"/>
        </w:rPr>
        <w:t>2004</w:t>
      </w:r>
      <w:r w:rsidRPr="006E3B9B">
        <w:rPr>
          <w:rFonts w:hint="eastAsia"/>
          <w:lang w:val="en-US" w:eastAsia="zh-CN"/>
        </w:rPr>
        <w:t>年</w:t>
      </w:r>
    </w:p>
    <w:p w14:paraId="4827C46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505</w:t>
      </w:r>
      <w:r w:rsidRPr="006E3B9B">
        <w:rPr>
          <w:lang w:val="en-US" w:eastAsia="zh-CN"/>
        </w:rPr>
        <w:t>号决定</w:t>
      </w:r>
      <w:r w:rsidRPr="006E3B9B">
        <w:rPr>
          <w:lang w:val="en-US" w:eastAsia="zh-CN"/>
        </w:rPr>
        <w:tab/>
      </w:r>
      <w:r w:rsidRPr="006E3B9B">
        <w:rPr>
          <w:rFonts w:hint="eastAsia"/>
          <w:lang w:val="en-US" w:eastAsia="zh-CN"/>
        </w:rPr>
        <w:t>理事会</w:t>
      </w:r>
      <w:r w:rsidRPr="006E3B9B">
        <w:rPr>
          <w:lang w:val="en-US" w:eastAsia="zh-CN"/>
        </w:rPr>
        <w:t>2002</w:t>
      </w:r>
      <w:r w:rsidRPr="006E3B9B">
        <w:rPr>
          <w:rFonts w:hint="eastAsia"/>
          <w:lang w:val="en-US" w:eastAsia="zh-CN"/>
        </w:rPr>
        <w:t>年会议的日期和会期</w:t>
      </w:r>
      <w:r w:rsidRPr="006E3B9B">
        <w:rPr>
          <w:lang w:val="en-US" w:eastAsia="zh-CN"/>
        </w:rPr>
        <w:tab/>
      </w:r>
      <w:r w:rsidR="00396681">
        <w:rPr>
          <w:lang w:val="en-US" w:eastAsia="zh-CN"/>
        </w:rPr>
        <w:tab/>
      </w:r>
      <w:r w:rsidRPr="006E3B9B">
        <w:rPr>
          <w:rFonts w:hint="eastAsia"/>
          <w:lang w:val="en-US" w:eastAsia="zh-CN"/>
        </w:rPr>
        <w:t>2003</w:t>
      </w:r>
      <w:r w:rsidRPr="006E3B9B">
        <w:rPr>
          <w:rFonts w:hint="eastAsia"/>
          <w:lang w:val="en-US" w:eastAsia="zh-CN"/>
        </w:rPr>
        <w:t>年</w:t>
      </w:r>
    </w:p>
    <w:p w14:paraId="4827C461" w14:textId="77777777" w:rsidR="006E3B9B" w:rsidRPr="006E3B9B" w:rsidRDefault="006E3B9B" w:rsidP="004E1793">
      <w:pPr>
        <w:pStyle w:val="Reftitle"/>
        <w:rPr>
          <w:bCs/>
          <w:lang w:eastAsia="zh-CN"/>
        </w:rPr>
      </w:pPr>
      <w:r w:rsidRPr="006E3B9B">
        <w:rPr>
          <w:lang w:eastAsia="zh-CN"/>
        </w:rPr>
        <w:t>2002</w:t>
      </w:r>
      <w:r w:rsidRPr="006E3B9B">
        <w:rPr>
          <w:rFonts w:hint="eastAsia"/>
          <w:lang w:eastAsia="zh-CN"/>
        </w:rPr>
        <w:t>年会议</w:t>
      </w:r>
      <w:r w:rsidRPr="006E3B9B">
        <w:rPr>
          <w:lang w:eastAsia="zh-CN"/>
        </w:rPr>
        <w:t>（</w:t>
      </w:r>
      <w:r w:rsidRPr="006E3B9B">
        <w:rPr>
          <w:lang w:eastAsia="zh-CN"/>
        </w:rPr>
        <w:t>2002</w:t>
      </w:r>
      <w:r w:rsidRPr="006E3B9B">
        <w:rPr>
          <w:rFonts w:hint="eastAsia"/>
          <w:lang w:eastAsia="zh-CN"/>
        </w:rPr>
        <w:t>年</w:t>
      </w:r>
      <w:r w:rsidRPr="006E3B9B">
        <w:rPr>
          <w:rFonts w:hint="eastAsia"/>
          <w:lang w:eastAsia="zh-CN"/>
        </w:rPr>
        <w:t>4</w:t>
      </w:r>
      <w:r w:rsidRPr="006E3B9B">
        <w:rPr>
          <w:rFonts w:hint="eastAsia"/>
          <w:lang w:eastAsia="zh-CN"/>
        </w:rPr>
        <w:t>月</w:t>
      </w:r>
      <w:r w:rsidRPr="006E3B9B">
        <w:rPr>
          <w:rFonts w:hint="eastAsia"/>
          <w:lang w:eastAsia="zh-CN"/>
        </w:rPr>
        <w:t>-5</w:t>
      </w:r>
      <w:r w:rsidRPr="006E3B9B">
        <w:rPr>
          <w:rFonts w:hint="eastAsia"/>
          <w:lang w:eastAsia="zh-CN"/>
        </w:rPr>
        <w:t>月和</w:t>
      </w:r>
      <w:r w:rsidRPr="006E3B9B">
        <w:rPr>
          <w:lang w:eastAsia="zh-CN"/>
        </w:rPr>
        <w:t>2002</w:t>
      </w:r>
      <w:r w:rsidRPr="006E3B9B">
        <w:rPr>
          <w:rFonts w:hint="eastAsia"/>
          <w:lang w:eastAsia="zh-CN"/>
        </w:rPr>
        <w:t>年</w:t>
      </w:r>
      <w:r w:rsidRPr="006E3B9B">
        <w:rPr>
          <w:rFonts w:hint="eastAsia"/>
          <w:lang w:eastAsia="zh-CN"/>
        </w:rPr>
        <w:t>9</w:t>
      </w:r>
      <w:r w:rsidRPr="006E3B9B">
        <w:rPr>
          <w:rFonts w:hint="eastAsia"/>
          <w:lang w:eastAsia="zh-CN"/>
        </w:rPr>
        <w:t>月</w:t>
      </w:r>
      <w:r w:rsidRPr="006E3B9B">
        <w:rPr>
          <w:lang w:eastAsia="zh-CN"/>
        </w:rPr>
        <w:t>）</w:t>
      </w:r>
    </w:p>
    <w:p w14:paraId="4827C46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506</w:t>
      </w:r>
      <w:r w:rsidRPr="006E3B9B">
        <w:rPr>
          <w:lang w:val="en-US" w:eastAsia="zh-CN"/>
        </w:rPr>
        <w:t>号决定</w:t>
      </w:r>
      <w:r w:rsidRPr="006E3B9B">
        <w:rPr>
          <w:lang w:val="en-US" w:eastAsia="zh-CN"/>
        </w:rPr>
        <w:tab/>
      </w:r>
      <w:r w:rsidRPr="006E3B9B">
        <w:rPr>
          <w:rFonts w:hint="eastAsia"/>
          <w:lang w:val="en-US" w:eastAsia="zh-CN"/>
        </w:rPr>
        <w:t>从国际电联账目中注销金额为</w:t>
      </w:r>
      <w:r w:rsidRPr="006E3B9B">
        <w:rPr>
          <w:lang w:val="en-US" w:eastAsia="zh-CN"/>
        </w:rPr>
        <w:t xml:space="preserve">1 853 549.75 </w:t>
      </w:r>
      <w:r w:rsidRPr="006E3B9B">
        <w:rPr>
          <w:rFonts w:hint="eastAsia"/>
          <w:lang w:val="en-US" w:eastAsia="zh-CN"/>
        </w:rPr>
        <w:t>瑞士法郎的不可收回债款</w:t>
      </w:r>
      <w:r w:rsidR="00396681">
        <w:rPr>
          <w:lang w:val="en-US" w:eastAsia="zh-CN"/>
        </w:rPr>
        <w:tab/>
      </w:r>
      <w:r w:rsidRPr="006E3B9B">
        <w:rPr>
          <w:lang w:val="en-US" w:eastAsia="zh-CN"/>
        </w:rPr>
        <w:tab/>
      </w:r>
      <w:r w:rsidRPr="006E3B9B">
        <w:rPr>
          <w:rFonts w:hint="eastAsia"/>
          <w:lang w:val="en-US" w:eastAsia="zh-CN"/>
        </w:rPr>
        <w:t>2005</w:t>
      </w:r>
      <w:r w:rsidRPr="006E3B9B">
        <w:rPr>
          <w:rFonts w:hint="eastAsia"/>
          <w:lang w:val="en-US" w:eastAsia="zh-CN"/>
        </w:rPr>
        <w:t>年</w:t>
      </w:r>
    </w:p>
    <w:p w14:paraId="4827C46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507</w:t>
      </w:r>
      <w:r w:rsidRPr="006E3B9B">
        <w:rPr>
          <w:lang w:val="en-US" w:eastAsia="zh-CN"/>
        </w:rPr>
        <w:t>号决定</w:t>
      </w:r>
      <w:r w:rsidRPr="006E3B9B">
        <w:rPr>
          <w:lang w:val="en-US" w:eastAsia="zh-CN"/>
        </w:rPr>
        <w:tab/>
      </w:r>
      <w:r w:rsidRPr="006E3B9B">
        <w:rPr>
          <w:rFonts w:hint="eastAsia"/>
          <w:lang w:val="en-US" w:eastAsia="zh-CN"/>
        </w:rPr>
        <w:t>乌兹别克斯坦共和国分期五年偿付欠款</w:t>
      </w:r>
      <w:r w:rsidRPr="006E3B9B">
        <w:rPr>
          <w:lang w:val="en-US" w:eastAsia="zh-CN"/>
        </w:rPr>
        <w:tab/>
      </w:r>
      <w:r w:rsidR="00396681">
        <w:rPr>
          <w:lang w:val="en-US" w:eastAsia="zh-CN"/>
        </w:rPr>
        <w:tab/>
      </w:r>
      <w:r w:rsidR="00811AE9">
        <w:rPr>
          <w:rFonts w:hint="eastAsia"/>
          <w:lang w:val="en-US" w:eastAsia="zh-CN"/>
        </w:rPr>
        <w:t>2010</w:t>
      </w:r>
      <w:r w:rsidR="00811AE9" w:rsidRPr="006E3B9B">
        <w:rPr>
          <w:rFonts w:hint="eastAsia"/>
          <w:lang w:val="en-US" w:eastAsia="zh-CN"/>
        </w:rPr>
        <w:t>年</w:t>
      </w:r>
    </w:p>
    <w:p w14:paraId="4827C46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508</w:t>
      </w:r>
      <w:r w:rsidRPr="006E3B9B">
        <w:rPr>
          <w:lang w:val="en-US" w:eastAsia="zh-CN"/>
        </w:rPr>
        <w:t>号决定</w:t>
      </w:r>
      <w:r w:rsidRPr="006E3B9B">
        <w:rPr>
          <w:lang w:val="en-US" w:eastAsia="zh-CN"/>
        </w:rPr>
        <w:tab/>
      </w:r>
      <w:r w:rsidRPr="006E3B9B">
        <w:rPr>
          <w:rFonts w:hint="eastAsia"/>
          <w:lang w:val="en-US" w:eastAsia="zh-CN"/>
        </w:rPr>
        <w:t>理事会</w:t>
      </w:r>
      <w:r w:rsidRPr="006E3B9B">
        <w:rPr>
          <w:rFonts w:hint="eastAsia"/>
          <w:lang w:val="en-US" w:eastAsia="zh-CN"/>
        </w:rPr>
        <w:t>2003</w:t>
      </w:r>
      <w:r w:rsidRPr="006E3B9B">
        <w:rPr>
          <w:rFonts w:hint="eastAsia"/>
          <w:lang w:val="en-US" w:eastAsia="zh-CN"/>
        </w:rPr>
        <w:t>年会议的日期和会期</w:t>
      </w:r>
      <w:r w:rsidRPr="006E3B9B">
        <w:rPr>
          <w:lang w:val="en-US" w:eastAsia="zh-CN"/>
        </w:rPr>
        <w:tab/>
      </w:r>
      <w:r w:rsidR="00396681">
        <w:rPr>
          <w:lang w:val="en-US" w:eastAsia="zh-CN"/>
        </w:rPr>
        <w:tab/>
      </w:r>
      <w:r w:rsidRPr="006E3B9B">
        <w:rPr>
          <w:rFonts w:hint="eastAsia"/>
          <w:lang w:val="en-US" w:eastAsia="zh-CN"/>
        </w:rPr>
        <w:t>2003</w:t>
      </w:r>
      <w:r w:rsidRPr="006E3B9B">
        <w:rPr>
          <w:rFonts w:hint="eastAsia"/>
          <w:lang w:val="en-US" w:eastAsia="zh-CN"/>
        </w:rPr>
        <w:t>年</w:t>
      </w:r>
    </w:p>
    <w:p w14:paraId="4827C46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509</w:t>
      </w:r>
      <w:r w:rsidRPr="006E3B9B">
        <w:rPr>
          <w:lang w:val="en-US" w:eastAsia="zh-CN"/>
        </w:rPr>
        <w:t>号决定</w:t>
      </w:r>
      <w:r w:rsidRPr="006E3B9B">
        <w:rPr>
          <w:lang w:val="en-US" w:eastAsia="zh-CN"/>
        </w:rPr>
        <w:tab/>
      </w:r>
      <w:r w:rsidRPr="006E3B9B">
        <w:rPr>
          <w:rFonts w:hint="eastAsia"/>
          <w:lang w:val="en-US" w:eastAsia="zh-CN"/>
        </w:rPr>
        <w:t>国际电联为信息社会世界峰会进行的财务安排</w:t>
      </w:r>
      <w:r w:rsidRPr="006E3B9B">
        <w:rPr>
          <w:lang w:val="en-US" w:eastAsia="zh-CN"/>
        </w:rPr>
        <w:tab/>
      </w:r>
      <w:r w:rsidR="00396681">
        <w:rPr>
          <w:lang w:val="en-US" w:eastAsia="zh-CN"/>
        </w:rPr>
        <w:tab/>
      </w:r>
      <w:r w:rsidR="00811AE9">
        <w:rPr>
          <w:rFonts w:hint="eastAsia"/>
          <w:lang w:val="en-US" w:eastAsia="zh-CN"/>
        </w:rPr>
        <w:t>2010</w:t>
      </w:r>
      <w:r w:rsidR="00811AE9" w:rsidRPr="006E3B9B">
        <w:rPr>
          <w:rFonts w:hint="eastAsia"/>
          <w:lang w:val="en-US" w:eastAsia="zh-CN"/>
        </w:rPr>
        <w:t>年</w:t>
      </w:r>
    </w:p>
    <w:p w14:paraId="4827C46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510</w:t>
      </w:r>
      <w:r w:rsidRPr="006E3B9B">
        <w:rPr>
          <w:lang w:val="en-US" w:eastAsia="zh-CN"/>
        </w:rPr>
        <w:t>号决定</w:t>
      </w:r>
      <w:r w:rsidRPr="006E3B9B">
        <w:rPr>
          <w:lang w:val="en-US" w:eastAsia="zh-CN"/>
        </w:rPr>
        <w:tab/>
      </w:r>
      <w:r w:rsidRPr="006E3B9B">
        <w:rPr>
          <w:rFonts w:hint="eastAsia"/>
          <w:lang w:val="en-US" w:eastAsia="zh-CN"/>
        </w:rPr>
        <w:t>卫星网络申报的成本回收</w:t>
      </w:r>
      <w:r w:rsidRPr="006E3B9B">
        <w:rPr>
          <w:lang w:val="en-US" w:eastAsia="zh-CN"/>
        </w:rPr>
        <w:tab/>
      </w:r>
      <w:r w:rsidR="00396681">
        <w:rPr>
          <w:lang w:val="en-US" w:eastAsia="zh-CN"/>
        </w:rPr>
        <w:tab/>
      </w:r>
      <w:r w:rsidRPr="006E3B9B">
        <w:rPr>
          <w:rFonts w:hint="eastAsia"/>
          <w:lang w:val="en-US" w:eastAsia="zh-CN"/>
        </w:rPr>
        <w:t>2003</w:t>
      </w:r>
      <w:r w:rsidRPr="006E3B9B">
        <w:rPr>
          <w:rFonts w:hint="eastAsia"/>
          <w:lang w:val="en-US" w:eastAsia="zh-CN"/>
        </w:rPr>
        <w:t>年</w:t>
      </w:r>
    </w:p>
    <w:p w14:paraId="4827C46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511</w:t>
      </w:r>
      <w:r w:rsidRPr="006E3B9B">
        <w:rPr>
          <w:lang w:val="en-US" w:eastAsia="zh-CN"/>
        </w:rPr>
        <w:t>号决定</w:t>
      </w:r>
      <w:r w:rsidRPr="006E3B9B">
        <w:rPr>
          <w:lang w:val="en-US" w:eastAsia="zh-CN"/>
        </w:rPr>
        <w:tab/>
      </w:r>
      <w:r w:rsidRPr="006E3B9B">
        <w:rPr>
          <w:rFonts w:hint="eastAsia"/>
          <w:lang w:val="en-US" w:eastAsia="zh-CN"/>
        </w:rPr>
        <w:t>卫星网络申报的成本回收</w:t>
      </w:r>
      <w:r w:rsidRPr="006E3B9B">
        <w:rPr>
          <w:lang w:val="en-US" w:eastAsia="zh-CN"/>
        </w:rPr>
        <w:tab/>
      </w:r>
      <w:r w:rsidR="00396681">
        <w:rPr>
          <w:lang w:val="en-US" w:eastAsia="zh-CN"/>
        </w:rPr>
        <w:tab/>
      </w:r>
      <w:r w:rsidRPr="006E3B9B">
        <w:rPr>
          <w:rFonts w:hint="eastAsia"/>
          <w:lang w:val="en-US" w:eastAsia="zh-CN"/>
        </w:rPr>
        <w:t>2006</w:t>
      </w:r>
      <w:r w:rsidRPr="006E3B9B">
        <w:rPr>
          <w:rFonts w:hint="eastAsia"/>
          <w:lang w:val="en-US" w:eastAsia="zh-CN"/>
        </w:rPr>
        <w:t>年</w:t>
      </w:r>
    </w:p>
    <w:p w14:paraId="4827C468" w14:textId="77777777" w:rsidR="006E3B9B" w:rsidRPr="006E3B9B" w:rsidRDefault="006E3B9B" w:rsidP="004E1793">
      <w:pPr>
        <w:pStyle w:val="Reftitle"/>
        <w:rPr>
          <w:rFonts w:ascii="Times New Roman Bold" w:hAnsi="Times New Roman Bold" w:hint="eastAsia"/>
          <w:lang w:eastAsia="zh-CN"/>
        </w:rPr>
      </w:pPr>
      <w:r w:rsidRPr="006E3B9B">
        <w:rPr>
          <w:lang w:eastAsia="zh-CN"/>
        </w:rPr>
        <w:t>2003</w:t>
      </w:r>
      <w:r w:rsidRPr="006E3B9B">
        <w:rPr>
          <w:rFonts w:hint="eastAsia"/>
          <w:lang w:eastAsia="zh-CN"/>
        </w:rPr>
        <w:t>年会议</w:t>
      </w:r>
      <w:r w:rsidRPr="006E3B9B">
        <w:rPr>
          <w:lang w:eastAsia="zh-CN"/>
        </w:rPr>
        <w:t>（</w:t>
      </w:r>
      <w:r w:rsidRPr="006E3B9B">
        <w:rPr>
          <w:lang w:eastAsia="zh-CN"/>
        </w:rPr>
        <w:t>2003</w:t>
      </w:r>
      <w:r w:rsidRPr="006E3B9B">
        <w:rPr>
          <w:rFonts w:hint="eastAsia"/>
          <w:lang w:eastAsia="zh-CN"/>
        </w:rPr>
        <w:t>年</w:t>
      </w:r>
      <w:r w:rsidRPr="006E3B9B">
        <w:rPr>
          <w:rFonts w:hint="eastAsia"/>
          <w:lang w:eastAsia="zh-CN"/>
        </w:rPr>
        <w:t>5</w:t>
      </w:r>
      <w:r w:rsidRPr="006E3B9B">
        <w:rPr>
          <w:rFonts w:hint="eastAsia"/>
          <w:lang w:eastAsia="zh-CN"/>
        </w:rPr>
        <w:t>月</w:t>
      </w:r>
      <w:r w:rsidRPr="006E3B9B">
        <w:rPr>
          <w:lang w:eastAsia="zh-CN"/>
        </w:rPr>
        <w:t>）</w:t>
      </w:r>
    </w:p>
    <w:p w14:paraId="4827C469" w14:textId="77777777" w:rsidR="006E3B9B" w:rsidRPr="006E3B9B" w:rsidRDefault="006E3B9B" w:rsidP="00057467">
      <w:pPr>
        <w:pStyle w:val="Appendixref"/>
        <w:rPr>
          <w:lang w:val="en-US" w:eastAsia="zh-CN"/>
        </w:rPr>
      </w:pPr>
      <w:r w:rsidRPr="006E3B9B">
        <w:rPr>
          <w:szCs w:val="28"/>
          <w:lang w:val="en-US" w:eastAsia="zh-CN"/>
        </w:rPr>
        <w:t>第</w:t>
      </w:r>
      <w:r w:rsidRPr="006E3B9B">
        <w:rPr>
          <w:szCs w:val="28"/>
          <w:lang w:val="en-US" w:eastAsia="zh-CN"/>
        </w:rPr>
        <w:t>512</w:t>
      </w:r>
      <w:r w:rsidRPr="006E3B9B">
        <w:rPr>
          <w:szCs w:val="28"/>
          <w:lang w:val="en-US" w:eastAsia="zh-CN"/>
        </w:rPr>
        <w:t>号决定</w:t>
      </w:r>
      <w:r w:rsidRPr="006E3B9B">
        <w:rPr>
          <w:szCs w:val="28"/>
          <w:lang w:val="en-US" w:eastAsia="zh-CN"/>
        </w:rPr>
        <w:tab/>
      </w:r>
      <w:r w:rsidRPr="006E3B9B">
        <w:rPr>
          <w:rFonts w:hint="eastAsia"/>
          <w:lang w:val="en-US" w:eastAsia="zh-CN"/>
        </w:rPr>
        <w:t>注销欠款利息</w:t>
      </w:r>
      <w:r w:rsidRPr="006E3B9B">
        <w:rPr>
          <w:lang w:val="en-US" w:eastAsia="zh-CN"/>
        </w:rPr>
        <w:tab/>
      </w:r>
      <w:r w:rsidR="00396681">
        <w:rPr>
          <w:lang w:val="en-US" w:eastAsia="zh-CN"/>
        </w:rPr>
        <w:tab/>
      </w:r>
      <w:r w:rsidRPr="006E3B9B">
        <w:rPr>
          <w:rFonts w:hint="eastAsia"/>
          <w:lang w:val="en-US" w:eastAsia="zh-CN"/>
        </w:rPr>
        <w:t>2006</w:t>
      </w:r>
      <w:r w:rsidRPr="006E3B9B">
        <w:rPr>
          <w:rFonts w:hint="eastAsia"/>
          <w:lang w:val="en-US" w:eastAsia="zh-CN"/>
        </w:rPr>
        <w:t>年</w:t>
      </w:r>
    </w:p>
    <w:p w14:paraId="4827C46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513</w:t>
      </w:r>
      <w:r w:rsidRPr="006E3B9B">
        <w:rPr>
          <w:lang w:val="en-US" w:eastAsia="zh-CN"/>
        </w:rPr>
        <w:t>号决定</w:t>
      </w:r>
      <w:r w:rsidRPr="006E3B9B">
        <w:rPr>
          <w:lang w:val="en-US" w:eastAsia="zh-CN"/>
        </w:rPr>
        <w:tab/>
      </w:r>
      <w:r w:rsidRPr="006E3B9B">
        <w:rPr>
          <w:rFonts w:hint="eastAsia"/>
          <w:lang w:val="en-US" w:eastAsia="zh-CN"/>
        </w:rPr>
        <w:t>卫星网络申报的成本回收</w:t>
      </w:r>
      <w:r w:rsidRPr="006E3B9B">
        <w:rPr>
          <w:lang w:val="en-US" w:eastAsia="zh-CN"/>
        </w:rPr>
        <w:tab/>
      </w:r>
      <w:r w:rsidR="00396681">
        <w:rPr>
          <w:lang w:val="en-US" w:eastAsia="zh-CN"/>
        </w:rPr>
        <w:tab/>
      </w:r>
      <w:r w:rsidRPr="006E3B9B">
        <w:rPr>
          <w:rFonts w:hint="eastAsia"/>
          <w:lang w:val="en-US" w:eastAsia="zh-CN"/>
        </w:rPr>
        <w:t>2006</w:t>
      </w:r>
      <w:r w:rsidRPr="006E3B9B">
        <w:rPr>
          <w:rFonts w:hint="eastAsia"/>
          <w:lang w:val="en-US" w:eastAsia="zh-CN"/>
        </w:rPr>
        <w:t>年</w:t>
      </w:r>
    </w:p>
    <w:p w14:paraId="4827C46B" w14:textId="77777777" w:rsidR="006E3B9B" w:rsidRPr="006E3B9B" w:rsidRDefault="006E3B9B" w:rsidP="00057467">
      <w:pPr>
        <w:pStyle w:val="Appendixref"/>
        <w:rPr>
          <w:szCs w:val="28"/>
          <w:lang w:val="en-US" w:eastAsia="zh-CN"/>
        </w:rPr>
      </w:pPr>
      <w:r w:rsidRPr="006E3B9B">
        <w:rPr>
          <w:lang w:val="en-US" w:eastAsia="zh-CN"/>
        </w:rPr>
        <w:t>第</w:t>
      </w:r>
      <w:r w:rsidRPr="006E3B9B">
        <w:rPr>
          <w:lang w:val="en-US" w:eastAsia="zh-CN"/>
        </w:rPr>
        <w:t>514</w:t>
      </w:r>
      <w:r w:rsidRPr="006E3B9B">
        <w:rPr>
          <w:lang w:val="en-US" w:eastAsia="zh-CN"/>
        </w:rPr>
        <w:t>号决定</w:t>
      </w:r>
      <w:r w:rsidRPr="006E3B9B">
        <w:rPr>
          <w:lang w:val="en-US" w:eastAsia="zh-CN"/>
        </w:rPr>
        <w:tab/>
      </w:r>
      <w:r w:rsidRPr="006E3B9B">
        <w:rPr>
          <w:rFonts w:hint="eastAsia"/>
          <w:lang w:val="en-US" w:eastAsia="zh-CN"/>
        </w:rPr>
        <w:t>理事会</w:t>
      </w:r>
      <w:r w:rsidRPr="006E3B9B">
        <w:rPr>
          <w:rFonts w:hint="eastAsia"/>
          <w:lang w:val="en-US" w:eastAsia="zh-CN"/>
        </w:rPr>
        <w:t>2003</w:t>
      </w:r>
      <w:r w:rsidRPr="006E3B9B">
        <w:rPr>
          <w:rFonts w:hint="eastAsia"/>
          <w:lang w:val="en-US" w:eastAsia="zh-CN"/>
        </w:rPr>
        <w:t>年增开会议的日期和会期</w:t>
      </w:r>
      <w:r w:rsidRPr="006E3B9B">
        <w:rPr>
          <w:szCs w:val="28"/>
          <w:lang w:val="en-US" w:eastAsia="zh-CN"/>
        </w:rPr>
        <w:tab/>
      </w:r>
      <w:r w:rsidR="00396681">
        <w:rPr>
          <w:szCs w:val="28"/>
          <w:lang w:val="en-US" w:eastAsia="zh-CN"/>
        </w:rPr>
        <w:tab/>
      </w:r>
      <w:r w:rsidRPr="006E3B9B">
        <w:rPr>
          <w:szCs w:val="28"/>
          <w:lang w:val="en-US" w:eastAsia="zh-CN"/>
        </w:rPr>
        <w:t>2004</w:t>
      </w:r>
      <w:r w:rsidRPr="006E3B9B">
        <w:rPr>
          <w:rFonts w:hint="eastAsia"/>
          <w:lang w:val="en-US" w:eastAsia="zh-CN"/>
        </w:rPr>
        <w:t>年</w:t>
      </w:r>
    </w:p>
    <w:p w14:paraId="4827C46C" w14:textId="77777777" w:rsidR="006E3B9B" w:rsidRPr="006E3B9B" w:rsidRDefault="006E3B9B" w:rsidP="004E1793">
      <w:pPr>
        <w:pStyle w:val="Reftitle"/>
        <w:rPr>
          <w:lang w:eastAsia="zh-CN"/>
        </w:rPr>
      </w:pPr>
      <w:r w:rsidRPr="006E3B9B">
        <w:rPr>
          <w:lang w:eastAsia="zh-CN"/>
        </w:rPr>
        <w:t>2003</w:t>
      </w:r>
      <w:r w:rsidRPr="006E3B9B">
        <w:rPr>
          <w:rFonts w:hint="eastAsia"/>
          <w:lang w:eastAsia="zh-CN"/>
        </w:rPr>
        <w:t>年增开会议</w:t>
      </w:r>
      <w:r w:rsidRPr="006E3B9B">
        <w:rPr>
          <w:lang w:eastAsia="zh-CN"/>
        </w:rPr>
        <w:t>（</w:t>
      </w:r>
      <w:r w:rsidRPr="006E3B9B">
        <w:rPr>
          <w:lang w:eastAsia="zh-CN"/>
        </w:rPr>
        <w:t>2003</w:t>
      </w:r>
      <w:r w:rsidRPr="006E3B9B">
        <w:rPr>
          <w:rFonts w:hint="eastAsia"/>
          <w:lang w:eastAsia="zh-CN"/>
        </w:rPr>
        <w:t>年</w:t>
      </w:r>
      <w:r w:rsidRPr="006E3B9B">
        <w:rPr>
          <w:rFonts w:hint="eastAsia"/>
          <w:lang w:eastAsia="zh-CN"/>
        </w:rPr>
        <w:t>10</w:t>
      </w:r>
      <w:r w:rsidRPr="006E3B9B">
        <w:rPr>
          <w:rFonts w:hint="eastAsia"/>
          <w:lang w:eastAsia="zh-CN"/>
        </w:rPr>
        <w:t>月</w:t>
      </w:r>
      <w:r w:rsidRPr="006E3B9B">
        <w:rPr>
          <w:lang w:eastAsia="zh-CN"/>
        </w:rPr>
        <w:t>）</w:t>
      </w:r>
    </w:p>
    <w:p w14:paraId="4827C46D" w14:textId="77777777" w:rsidR="006E3B9B" w:rsidRPr="006E3B9B" w:rsidRDefault="006E3B9B" w:rsidP="00057467">
      <w:pPr>
        <w:pStyle w:val="Appendixref"/>
        <w:rPr>
          <w:lang w:val="en-US" w:eastAsia="zh-CN"/>
        </w:rPr>
      </w:pPr>
      <w:r w:rsidRPr="006E3B9B">
        <w:rPr>
          <w:szCs w:val="28"/>
          <w:lang w:val="en-US" w:eastAsia="zh-CN"/>
        </w:rPr>
        <w:t>第</w:t>
      </w:r>
      <w:r w:rsidRPr="006E3B9B">
        <w:rPr>
          <w:szCs w:val="28"/>
          <w:lang w:val="en-US" w:eastAsia="zh-CN"/>
        </w:rPr>
        <w:t>515</w:t>
      </w:r>
      <w:r w:rsidRPr="006E3B9B">
        <w:rPr>
          <w:szCs w:val="28"/>
          <w:lang w:val="en-US" w:eastAsia="zh-CN"/>
        </w:rPr>
        <w:t>号决定</w:t>
      </w:r>
      <w:r w:rsidRPr="006E3B9B">
        <w:rPr>
          <w:szCs w:val="28"/>
          <w:lang w:val="en-US" w:eastAsia="zh-CN"/>
        </w:rPr>
        <w:tab/>
      </w:r>
      <w:r w:rsidRPr="006E3B9B">
        <w:rPr>
          <w:rFonts w:hint="eastAsia"/>
          <w:lang w:val="en-US" w:eastAsia="zh-CN"/>
        </w:rPr>
        <w:t>理事会</w:t>
      </w:r>
      <w:r w:rsidRPr="006E3B9B">
        <w:rPr>
          <w:rFonts w:hint="eastAsia"/>
          <w:lang w:val="en-US" w:eastAsia="zh-CN"/>
        </w:rPr>
        <w:t>2004</w:t>
      </w:r>
      <w:r w:rsidRPr="006E3B9B">
        <w:rPr>
          <w:rFonts w:hint="eastAsia"/>
          <w:lang w:val="en-US" w:eastAsia="zh-CN"/>
        </w:rPr>
        <w:t>年会议的日期和会期</w:t>
      </w:r>
      <w:r w:rsidRPr="006E3B9B">
        <w:rPr>
          <w:lang w:val="en-US" w:eastAsia="zh-CN"/>
        </w:rPr>
        <w:tab/>
      </w:r>
      <w:r w:rsidR="00396681">
        <w:rPr>
          <w:lang w:val="en-US" w:eastAsia="zh-CN"/>
        </w:rPr>
        <w:tab/>
      </w:r>
      <w:r w:rsidRPr="006E3B9B">
        <w:rPr>
          <w:rFonts w:hint="eastAsia"/>
          <w:lang w:val="en-US" w:eastAsia="zh-CN"/>
        </w:rPr>
        <w:t>2004</w:t>
      </w:r>
      <w:r w:rsidRPr="006E3B9B">
        <w:rPr>
          <w:rFonts w:hint="eastAsia"/>
          <w:lang w:val="en-US" w:eastAsia="zh-CN"/>
        </w:rPr>
        <w:t>年</w:t>
      </w:r>
    </w:p>
    <w:p w14:paraId="4827C46E" w14:textId="77777777" w:rsidR="006E3B9B" w:rsidRDefault="006E3B9B" w:rsidP="00057467">
      <w:pPr>
        <w:pStyle w:val="Appendixref"/>
        <w:rPr>
          <w:szCs w:val="28"/>
          <w:lang w:val="en-US" w:eastAsia="zh-CN"/>
        </w:rPr>
      </w:pPr>
      <w:r w:rsidRPr="006E3B9B">
        <w:rPr>
          <w:lang w:val="en-US" w:eastAsia="zh-CN"/>
        </w:rPr>
        <w:t>第</w:t>
      </w:r>
      <w:r w:rsidRPr="006E3B9B">
        <w:rPr>
          <w:lang w:val="en-US" w:eastAsia="zh-CN"/>
        </w:rPr>
        <w:t>516</w:t>
      </w:r>
      <w:r w:rsidRPr="006E3B9B">
        <w:rPr>
          <w:lang w:val="en-US" w:eastAsia="zh-CN"/>
        </w:rPr>
        <w:t>号决定</w:t>
      </w:r>
      <w:r w:rsidRPr="006E3B9B">
        <w:rPr>
          <w:lang w:val="en-US" w:eastAsia="zh-CN"/>
        </w:rPr>
        <w:tab/>
      </w:r>
      <w:r w:rsidRPr="006E3B9B">
        <w:rPr>
          <w:rFonts w:hint="eastAsia"/>
          <w:lang w:val="en-US" w:eastAsia="zh-CN"/>
        </w:rPr>
        <w:t>审议国际电联减员计划的机制</w:t>
      </w:r>
      <w:r w:rsidRPr="006E3B9B">
        <w:rPr>
          <w:szCs w:val="28"/>
          <w:lang w:val="en-US" w:eastAsia="zh-CN"/>
        </w:rPr>
        <w:tab/>
      </w:r>
      <w:r w:rsidR="00396681">
        <w:rPr>
          <w:szCs w:val="28"/>
          <w:lang w:val="en-US" w:eastAsia="zh-CN"/>
        </w:rPr>
        <w:tab/>
      </w:r>
      <w:r w:rsidRPr="006E3B9B">
        <w:rPr>
          <w:rFonts w:hint="eastAsia"/>
          <w:szCs w:val="28"/>
          <w:lang w:val="en-US" w:eastAsia="zh-CN"/>
        </w:rPr>
        <w:t>2006</w:t>
      </w:r>
      <w:r w:rsidRPr="006E3B9B">
        <w:rPr>
          <w:rFonts w:hint="eastAsia"/>
          <w:szCs w:val="28"/>
          <w:lang w:val="en-US" w:eastAsia="zh-CN"/>
        </w:rPr>
        <w:t>年</w:t>
      </w:r>
    </w:p>
    <w:p w14:paraId="4827C46F" w14:textId="77777777" w:rsidR="006E3B9B" w:rsidRPr="001D4188" w:rsidRDefault="006E3B9B" w:rsidP="004E1793">
      <w:pPr>
        <w:pStyle w:val="Reftitle"/>
        <w:rPr>
          <w:lang w:eastAsia="zh-CN"/>
        </w:rPr>
      </w:pPr>
      <w:r w:rsidRPr="001D4188">
        <w:rPr>
          <w:lang w:eastAsia="zh-CN"/>
        </w:rPr>
        <w:t>2004</w:t>
      </w:r>
      <w:r w:rsidRPr="001D4188">
        <w:rPr>
          <w:rFonts w:hint="eastAsia"/>
          <w:lang w:eastAsia="zh-CN"/>
        </w:rPr>
        <w:t>年会议</w:t>
      </w:r>
      <w:r w:rsidRPr="001D4188">
        <w:rPr>
          <w:lang w:eastAsia="zh-CN"/>
        </w:rPr>
        <w:t>（</w:t>
      </w:r>
      <w:r w:rsidRPr="001D4188">
        <w:rPr>
          <w:lang w:eastAsia="zh-CN"/>
        </w:rPr>
        <w:t>2004</w:t>
      </w:r>
      <w:r w:rsidRPr="001D4188">
        <w:rPr>
          <w:rFonts w:hint="eastAsia"/>
          <w:lang w:eastAsia="zh-CN"/>
        </w:rPr>
        <w:t>年</w:t>
      </w:r>
      <w:r w:rsidRPr="001D4188">
        <w:rPr>
          <w:rFonts w:hint="eastAsia"/>
          <w:lang w:eastAsia="zh-CN"/>
        </w:rPr>
        <w:t>6</w:t>
      </w:r>
      <w:r w:rsidRPr="001D4188">
        <w:rPr>
          <w:rFonts w:hint="eastAsia"/>
          <w:lang w:eastAsia="zh-CN"/>
        </w:rPr>
        <w:t>月</w:t>
      </w:r>
      <w:r w:rsidRPr="001D4188">
        <w:rPr>
          <w:lang w:eastAsia="zh-CN"/>
        </w:rPr>
        <w:t>）</w:t>
      </w:r>
    </w:p>
    <w:p w14:paraId="4827C47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517</w:t>
      </w:r>
      <w:r w:rsidRPr="006E3B9B">
        <w:rPr>
          <w:lang w:val="en-US" w:eastAsia="zh-CN"/>
        </w:rPr>
        <w:t>号决定</w:t>
      </w:r>
      <w:r w:rsidRPr="006E3B9B">
        <w:rPr>
          <w:lang w:val="en-US" w:eastAsia="zh-CN"/>
        </w:rPr>
        <w:tab/>
      </w:r>
      <w:r w:rsidRPr="006E3B9B">
        <w:rPr>
          <w:rFonts w:hint="eastAsia"/>
          <w:lang w:val="fr-CH" w:eastAsia="zh-CN"/>
        </w:rPr>
        <w:t>加强</w:t>
      </w:r>
      <w:r w:rsidR="00951C81" w:rsidRPr="00951C81">
        <w:rPr>
          <w:rFonts w:hint="eastAsia"/>
          <w:lang w:eastAsia="zh-CN"/>
        </w:rPr>
        <w:t>国际电联管理层</w:t>
      </w:r>
      <w:r w:rsidRPr="006E3B9B">
        <w:rPr>
          <w:rFonts w:hint="eastAsia"/>
          <w:lang w:val="fr-CH" w:eastAsia="zh-CN"/>
        </w:rPr>
        <w:t>与国际电联职工委员会之间的对话</w:t>
      </w:r>
      <w:r w:rsidRPr="006E3B9B">
        <w:rPr>
          <w:lang w:val="en-US" w:eastAsia="zh-CN"/>
        </w:rPr>
        <w:tab/>
      </w:r>
      <w:r w:rsidR="00396681">
        <w:rPr>
          <w:lang w:val="en-US" w:eastAsia="zh-CN"/>
        </w:rPr>
        <w:tab/>
      </w:r>
      <w:r w:rsidRPr="006E3B9B">
        <w:rPr>
          <w:lang w:val="en-US" w:eastAsia="zh-CN"/>
        </w:rPr>
        <w:t>2.2</w:t>
      </w:r>
    </w:p>
    <w:p w14:paraId="4827C47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518</w:t>
      </w:r>
      <w:r w:rsidRPr="006E3B9B">
        <w:rPr>
          <w:lang w:val="en-US" w:eastAsia="zh-CN"/>
        </w:rPr>
        <w:t>号决定</w:t>
      </w:r>
      <w:r w:rsidRPr="006E3B9B">
        <w:rPr>
          <w:lang w:val="en-US" w:eastAsia="zh-CN"/>
        </w:rPr>
        <w:tab/>
      </w:r>
      <w:r w:rsidRPr="006E3B9B">
        <w:rPr>
          <w:rFonts w:hint="eastAsia"/>
          <w:lang w:val="en-US" w:eastAsia="zh-CN"/>
        </w:rPr>
        <w:t>理事会</w:t>
      </w:r>
      <w:r w:rsidRPr="006E3B9B">
        <w:rPr>
          <w:lang w:val="en-US" w:eastAsia="zh-CN"/>
        </w:rPr>
        <w:t>2005</w:t>
      </w:r>
      <w:r w:rsidRPr="006E3B9B">
        <w:rPr>
          <w:rFonts w:hint="eastAsia"/>
          <w:lang w:val="en-US" w:eastAsia="zh-CN"/>
        </w:rPr>
        <w:t>年会议的日期和会期</w:t>
      </w:r>
      <w:r w:rsidRPr="006E3B9B">
        <w:rPr>
          <w:lang w:val="en-US" w:eastAsia="zh-CN"/>
        </w:rPr>
        <w:tab/>
      </w:r>
      <w:r w:rsidR="00396681">
        <w:rPr>
          <w:lang w:val="en-US" w:eastAsia="zh-CN"/>
        </w:rPr>
        <w:tab/>
      </w:r>
      <w:r w:rsidRPr="006E3B9B">
        <w:rPr>
          <w:rFonts w:hint="eastAsia"/>
          <w:lang w:val="en-US" w:eastAsia="zh-CN"/>
        </w:rPr>
        <w:t>2005</w:t>
      </w:r>
      <w:r w:rsidRPr="006E3B9B">
        <w:rPr>
          <w:rFonts w:hint="eastAsia"/>
          <w:lang w:val="en-US" w:eastAsia="zh-CN"/>
        </w:rPr>
        <w:t>年</w:t>
      </w:r>
    </w:p>
    <w:p w14:paraId="4827C47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519</w:t>
      </w:r>
      <w:r w:rsidRPr="006E3B9B">
        <w:rPr>
          <w:lang w:val="en-US" w:eastAsia="zh-CN"/>
        </w:rPr>
        <w:t>号决定</w:t>
      </w:r>
      <w:r w:rsidRPr="006E3B9B">
        <w:rPr>
          <w:lang w:val="en-US" w:eastAsia="zh-CN"/>
        </w:rPr>
        <w:tab/>
      </w:r>
      <w:r w:rsidRPr="006E3B9B">
        <w:rPr>
          <w:rFonts w:ascii="SimSun" w:hint="eastAsia"/>
          <w:lang w:val="zh-CN" w:eastAsia="zh-CN"/>
        </w:rPr>
        <w:t>扩大观察员工作组的职责范围并临时接纳代表部门成员的观察员出席理事会</w:t>
      </w:r>
      <w:r w:rsidR="00811AE9">
        <w:rPr>
          <w:rFonts w:ascii="SimSun"/>
          <w:lang w:val="zh-CN" w:eastAsia="zh-CN"/>
        </w:rPr>
        <w:br/>
      </w:r>
      <w:r w:rsidRPr="006E3B9B">
        <w:rPr>
          <w:lang w:val="zh-CN" w:eastAsia="zh-CN"/>
        </w:rPr>
        <w:t>2005</w:t>
      </w:r>
      <w:r w:rsidRPr="006E3B9B">
        <w:rPr>
          <w:rFonts w:ascii="SimSun" w:hint="eastAsia"/>
          <w:lang w:val="zh-CN" w:eastAsia="zh-CN"/>
        </w:rPr>
        <w:t>年会议</w:t>
      </w:r>
      <w:r w:rsidRPr="006E3B9B">
        <w:rPr>
          <w:lang w:val="en-US" w:eastAsia="zh-CN"/>
        </w:rPr>
        <w:tab/>
      </w:r>
      <w:r w:rsidR="00811AE9">
        <w:rPr>
          <w:rFonts w:hint="eastAsia"/>
          <w:lang w:val="en-US" w:eastAsia="zh-CN"/>
        </w:rPr>
        <w:tab/>
      </w:r>
      <w:r w:rsidRPr="006E3B9B">
        <w:rPr>
          <w:lang w:val="en-US" w:eastAsia="zh-CN"/>
        </w:rPr>
        <w:t>3.2</w:t>
      </w:r>
    </w:p>
    <w:p w14:paraId="4827C47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520</w:t>
      </w:r>
      <w:r w:rsidRPr="006E3B9B">
        <w:rPr>
          <w:lang w:val="en-US" w:eastAsia="zh-CN"/>
        </w:rPr>
        <w:t>号决定</w:t>
      </w:r>
      <w:r w:rsidRPr="006E3B9B">
        <w:rPr>
          <w:lang w:val="en-US" w:eastAsia="zh-CN"/>
        </w:rPr>
        <w:tab/>
      </w:r>
      <w:r w:rsidRPr="006E3B9B">
        <w:rPr>
          <w:rFonts w:hint="eastAsia"/>
          <w:color w:val="000000"/>
          <w:lang w:val="en-US" w:eastAsia="zh-CN"/>
        </w:rPr>
        <w:t>注销欠款利息</w:t>
      </w:r>
      <w:r w:rsidRPr="006E3B9B">
        <w:rPr>
          <w:lang w:val="en-US" w:eastAsia="zh-CN"/>
        </w:rPr>
        <w:tab/>
      </w:r>
      <w:r w:rsidR="00396681">
        <w:rPr>
          <w:lang w:val="en-US" w:eastAsia="zh-CN"/>
        </w:rPr>
        <w:tab/>
      </w:r>
      <w:r w:rsidR="00811AE9">
        <w:rPr>
          <w:rFonts w:hint="eastAsia"/>
          <w:lang w:val="en-US" w:eastAsia="zh-CN"/>
        </w:rPr>
        <w:t>2010</w:t>
      </w:r>
      <w:r w:rsidR="00811AE9" w:rsidRPr="006E3B9B">
        <w:rPr>
          <w:rFonts w:hint="eastAsia"/>
          <w:lang w:val="en-US" w:eastAsia="zh-CN"/>
        </w:rPr>
        <w:t>年</w:t>
      </w:r>
    </w:p>
    <w:p w14:paraId="4827C47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521</w:t>
      </w:r>
      <w:r w:rsidRPr="006E3B9B">
        <w:rPr>
          <w:lang w:val="en-US" w:eastAsia="zh-CN"/>
        </w:rPr>
        <w:t>号决定</w:t>
      </w:r>
      <w:r w:rsidRPr="006E3B9B">
        <w:rPr>
          <w:lang w:val="en-US" w:eastAsia="zh-CN"/>
        </w:rPr>
        <w:tab/>
      </w:r>
      <w:r w:rsidRPr="006E3B9B">
        <w:rPr>
          <w:rFonts w:hint="eastAsia"/>
          <w:lang w:val="de-CH" w:eastAsia="zh-CN"/>
        </w:rPr>
        <w:t>理事会《财务规则》和相关财务管理问题小组的修订职责范围</w:t>
      </w:r>
      <w:r w:rsidR="00E77B5B">
        <w:rPr>
          <w:lang w:val="en-US" w:eastAsia="zh-CN"/>
        </w:rPr>
        <w:tab/>
      </w:r>
      <w:r w:rsidR="00396681">
        <w:rPr>
          <w:lang w:val="en-US" w:eastAsia="zh-CN"/>
        </w:rPr>
        <w:tab/>
      </w:r>
      <w:r w:rsidR="00E77B5B">
        <w:rPr>
          <w:lang w:val="en-US" w:eastAsia="zh-CN"/>
        </w:rPr>
        <w:t>2008</w:t>
      </w:r>
      <w:r w:rsidR="00E77B5B">
        <w:rPr>
          <w:rFonts w:hint="eastAsia"/>
          <w:lang w:val="en-US" w:eastAsia="zh-CN"/>
        </w:rPr>
        <w:t>年</w:t>
      </w:r>
    </w:p>
    <w:p w14:paraId="4827C47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522</w:t>
      </w:r>
      <w:r w:rsidRPr="006E3B9B">
        <w:rPr>
          <w:lang w:val="en-US" w:eastAsia="zh-CN"/>
        </w:rPr>
        <w:t>号决定</w:t>
      </w:r>
      <w:r w:rsidRPr="006E3B9B">
        <w:rPr>
          <w:lang w:val="en-US" w:eastAsia="zh-CN"/>
        </w:rPr>
        <w:tab/>
      </w:r>
      <w:r w:rsidRPr="006E3B9B">
        <w:rPr>
          <w:rFonts w:hint="eastAsia"/>
          <w:lang w:val="de-CH" w:eastAsia="zh-CN"/>
        </w:rPr>
        <w:t>卫星网络申报的拖欠付费</w:t>
      </w:r>
      <w:r w:rsidRPr="006E3B9B">
        <w:rPr>
          <w:lang w:val="en-US" w:eastAsia="zh-CN"/>
        </w:rPr>
        <w:tab/>
      </w:r>
      <w:r w:rsidR="00396681">
        <w:rPr>
          <w:lang w:val="en-US" w:eastAsia="zh-CN"/>
        </w:rPr>
        <w:tab/>
      </w:r>
      <w:r w:rsidR="00E77B5B">
        <w:rPr>
          <w:lang w:val="en-US" w:eastAsia="zh-CN"/>
        </w:rPr>
        <w:t>2008</w:t>
      </w:r>
      <w:r w:rsidR="00E77B5B">
        <w:rPr>
          <w:rFonts w:hint="eastAsia"/>
          <w:lang w:val="en-US" w:eastAsia="zh-CN"/>
        </w:rPr>
        <w:t>年</w:t>
      </w:r>
    </w:p>
    <w:p w14:paraId="4827C47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523</w:t>
      </w:r>
      <w:r w:rsidRPr="006E3B9B">
        <w:rPr>
          <w:lang w:val="en-US" w:eastAsia="zh-CN"/>
        </w:rPr>
        <w:t>号决定</w:t>
      </w:r>
      <w:r w:rsidRPr="006E3B9B">
        <w:rPr>
          <w:lang w:val="en-US" w:eastAsia="zh-CN"/>
        </w:rPr>
        <w:tab/>
      </w:r>
      <w:r w:rsidRPr="006E3B9B">
        <w:rPr>
          <w:rFonts w:hint="eastAsia"/>
          <w:lang w:val="en-US" w:eastAsia="zh-CN"/>
        </w:rPr>
        <w:t>时间记录程序</w:t>
      </w:r>
      <w:r w:rsidRPr="006E3B9B">
        <w:rPr>
          <w:lang w:val="en-US" w:eastAsia="zh-CN"/>
        </w:rPr>
        <w:tab/>
      </w:r>
      <w:r w:rsidR="00396681">
        <w:rPr>
          <w:lang w:val="en-US" w:eastAsia="zh-CN"/>
        </w:rPr>
        <w:tab/>
      </w:r>
      <w:r w:rsidRPr="006E3B9B">
        <w:rPr>
          <w:rFonts w:hint="eastAsia"/>
          <w:lang w:val="en-US" w:eastAsia="zh-CN"/>
        </w:rPr>
        <w:t>2006</w:t>
      </w:r>
      <w:r w:rsidRPr="006E3B9B">
        <w:rPr>
          <w:rFonts w:hint="eastAsia"/>
          <w:lang w:val="en-US" w:eastAsia="zh-CN"/>
        </w:rPr>
        <w:t>年</w:t>
      </w:r>
    </w:p>
    <w:p w14:paraId="4827C477" w14:textId="77777777" w:rsidR="006E3B9B" w:rsidRPr="006E3B9B" w:rsidRDefault="006E3B9B" w:rsidP="004E1793">
      <w:pPr>
        <w:pStyle w:val="Reftitle"/>
        <w:rPr>
          <w:lang w:eastAsia="zh-CN"/>
        </w:rPr>
      </w:pPr>
      <w:r w:rsidRPr="006E3B9B">
        <w:rPr>
          <w:lang w:eastAsia="zh-CN"/>
        </w:rPr>
        <w:t>2005</w:t>
      </w:r>
      <w:r w:rsidRPr="006E3B9B">
        <w:rPr>
          <w:rFonts w:hint="eastAsia"/>
          <w:lang w:eastAsia="zh-CN"/>
        </w:rPr>
        <w:t>年会议（</w:t>
      </w:r>
      <w:r w:rsidRPr="006E3B9B">
        <w:rPr>
          <w:lang w:eastAsia="zh-CN"/>
        </w:rPr>
        <w:t>2005</w:t>
      </w:r>
      <w:r w:rsidRPr="006E3B9B">
        <w:rPr>
          <w:rFonts w:hint="eastAsia"/>
          <w:lang w:eastAsia="zh-CN"/>
        </w:rPr>
        <w:t>年</w:t>
      </w:r>
      <w:r w:rsidRPr="006E3B9B">
        <w:rPr>
          <w:rFonts w:hint="eastAsia"/>
          <w:lang w:eastAsia="zh-CN"/>
        </w:rPr>
        <w:t>7</w:t>
      </w:r>
      <w:r w:rsidRPr="006E3B9B">
        <w:rPr>
          <w:rFonts w:hint="eastAsia"/>
          <w:lang w:eastAsia="zh-CN"/>
        </w:rPr>
        <w:t>月）</w:t>
      </w:r>
    </w:p>
    <w:p w14:paraId="4827C478" w14:textId="77777777" w:rsidR="006E3B9B" w:rsidRPr="006E3B9B" w:rsidRDefault="006E3B9B" w:rsidP="00057467">
      <w:pPr>
        <w:pStyle w:val="Appendixref"/>
        <w:rPr>
          <w:lang w:eastAsia="zh-CN"/>
        </w:rPr>
      </w:pPr>
      <w:r w:rsidRPr="006E3B9B">
        <w:rPr>
          <w:lang w:eastAsia="zh-CN"/>
        </w:rPr>
        <w:t>第</w:t>
      </w:r>
      <w:r w:rsidRPr="006E3B9B">
        <w:rPr>
          <w:lang w:eastAsia="zh-CN"/>
        </w:rPr>
        <w:t>524</w:t>
      </w:r>
      <w:r w:rsidRPr="006E3B9B">
        <w:rPr>
          <w:lang w:eastAsia="zh-CN"/>
        </w:rPr>
        <w:t>号决定</w:t>
      </w:r>
      <w:r w:rsidRPr="006E3B9B">
        <w:rPr>
          <w:lang w:eastAsia="zh-CN"/>
        </w:rPr>
        <w:tab/>
      </w:r>
      <w:r w:rsidRPr="006E3B9B">
        <w:rPr>
          <w:lang w:eastAsia="zh-CN"/>
        </w:rPr>
        <w:t>成员国观察员</w:t>
      </w:r>
      <w:r w:rsidRPr="006E3B9B">
        <w:rPr>
          <w:rFonts w:hint="eastAsia"/>
          <w:lang w:eastAsia="zh-CN"/>
        </w:rPr>
        <w:t>出席</w:t>
      </w:r>
      <w:r w:rsidRPr="006E3B9B">
        <w:rPr>
          <w:lang w:eastAsia="zh-CN"/>
        </w:rPr>
        <w:t>国际电联理事会的会议</w:t>
      </w:r>
      <w:r w:rsidRPr="006E3B9B">
        <w:rPr>
          <w:lang w:eastAsia="zh-CN"/>
        </w:rPr>
        <w:tab/>
      </w:r>
      <w:r w:rsidR="00396681">
        <w:rPr>
          <w:lang w:eastAsia="zh-CN"/>
        </w:rPr>
        <w:tab/>
      </w:r>
      <w:r w:rsidRPr="006E3B9B">
        <w:rPr>
          <w:lang w:eastAsia="zh-CN"/>
        </w:rPr>
        <w:t>3.2</w:t>
      </w:r>
    </w:p>
    <w:p w14:paraId="4827C479" w14:textId="77777777" w:rsidR="006E3B9B" w:rsidRPr="006E3B9B" w:rsidRDefault="006E3B9B" w:rsidP="00057467">
      <w:pPr>
        <w:pStyle w:val="Appendixref"/>
        <w:rPr>
          <w:lang w:eastAsia="zh-CN"/>
        </w:rPr>
      </w:pPr>
      <w:r w:rsidRPr="006E3B9B">
        <w:rPr>
          <w:lang w:eastAsia="zh-CN"/>
        </w:rPr>
        <w:t>第</w:t>
      </w:r>
      <w:r w:rsidRPr="006E3B9B">
        <w:rPr>
          <w:lang w:eastAsia="zh-CN"/>
        </w:rPr>
        <w:t>525</w:t>
      </w:r>
      <w:r w:rsidRPr="006E3B9B">
        <w:rPr>
          <w:lang w:eastAsia="zh-CN"/>
        </w:rPr>
        <w:t>号决定</w:t>
      </w:r>
      <w:r w:rsidRPr="006E3B9B">
        <w:rPr>
          <w:lang w:eastAsia="zh-CN"/>
        </w:rPr>
        <w:tab/>
      </w:r>
      <w:r w:rsidRPr="006E3B9B">
        <w:rPr>
          <w:lang w:eastAsia="zh-CN"/>
        </w:rPr>
        <w:t>理事会</w:t>
      </w:r>
      <w:r w:rsidRPr="006E3B9B">
        <w:rPr>
          <w:lang w:eastAsia="zh-CN"/>
        </w:rPr>
        <w:t>2006</w:t>
      </w:r>
      <w:r w:rsidRPr="006E3B9B">
        <w:rPr>
          <w:lang w:eastAsia="zh-CN"/>
        </w:rPr>
        <w:t>年会议的日期和会期</w:t>
      </w:r>
      <w:r w:rsidRPr="006E3B9B">
        <w:rPr>
          <w:lang w:eastAsia="zh-CN"/>
        </w:rPr>
        <w:tab/>
      </w:r>
      <w:r w:rsidR="00396681">
        <w:rPr>
          <w:lang w:eastAsia="zh-CN"/>
        </w:rPr>
        <w:tab/>
      </w:r>
      <w:r w:rsidRPr="006E3B9B">
        <w:rPr>
          <w:rFonts w:hint="eastAsia"/>
          <w:lang w:eastAsia="zh-CN"/>
        </w:rPr>
        <w:t>2006</w:t>
      </w:r>
      <w:r w:rsidRPr="006E3B9B">
        <w:rPr>
          <w:rFonts w:hint="eastAsia"/>
          <w:lang w:eastAsia="zh-CN"/>
        </w:rPr>
        <w:t>年</w:t>
      </w:r>
    </w:p>
    <w:p w14:paraId="4827C47A" w14:textId="77777777" w:rsidR="006E3B9B" w:rsidRPr="006E3B9B" w:rsidRDefault="006E3B9B" w:rsidP="00057467">
      <w:pPr>
        <w:pStyle w:val="Appendixref"/>
        <w:rPr>
          <w:lang w:eastAsia="zh-CN"/>
        </w:rPr>
      </w:pPr>
      <w:r w:rsidRPr="006E3B9B">
        <w:rPr>
          <w:lang w:eastAsia="zh-CN"/>
        </w:rPr>
        <w:t>第</w:t>
      </w:r>
      <w:r w:rsidRPr="006E3B9B">
        <w:rPr>
          <w:lang w:eastAsia="zh-CN"/>
        </w:rPr>
        <w:t>526</w:t>
      </w:r>
      <w:r w:rsidRPr="006E3B9B">
        <w:rPr>
          <w:lang w:eastAsia="zh-CN"/>
        </w:rPr>
        <w:t>号决定</w:t>
      </w:r>
      <w:r w:rsidRPr="006E3B9B">
        <w:rPr>
          <w:lang w:eastAsia="zh-CN"/>
        </w:rPr>
        <w:tab/>
      </w:r>
      <w:r w:rsidRPr="006E3B9B">
        <w:rPr>
          <w:bCs/>
          <w:lang w:eastAsia="zh-CN"/>
        </w:rPr>
        <w:t>下届例行全权代表大会的举行</w:t>
      </w:r>
      <w:r w:rsidRPr="006E3B9B">
        <w:rPr>
          <w:lang w:eastAsia="zh-CN"/>
        </w:rPr>
        <w:tab/>
      </w:r>
      <w:r w:rsidR="00396681">
        <w:rPr>
          <w:lang w:eastAsia="zh-CN"/>
        </w:rPr>
        <w:tab/>
      </w:r>
      <w:r w:rsidRPr="006E3B9B">
        <w:rPr>
          <w:rFonts w:hint="eastAsia"/>
          <w:lang w:eastAsia="zh-CN"/>
        </w:rPr>
        <w:t>2007</w:t>
      </w:r>
      <w:r w:rsidRPr="006E3B9B">
        <w:rPr>
          <w:rFonts w:hint="eastAsia"/>
          <w:lang w:eastAsia="zh-CN"/>
        </w:rPr>
        <w:t>年</w:t>
      </w:r>
    </w:p>
    <w:p w14:paraId="4827C47B" w14:textId="77777777" w:rsidR="006E3B9B" w:rsidRPr="006E3B9B" w:rsidRDefault="006E3B9B" w:rsidP="00057467">
      <w:pPr>
        <w:pStyle w:val="Appendixref"/>
        <w:rPr>
          <w:lang w:eastAsia="zh-CN"/>
        </w:rPr>
      </w:pPr>
      <w:r w:rsidRPr="006E3B9B">
        <w:rPr>
          <w:lang w:eastAsia="zh-CN"/>
        </w:rPr>
        <w:t>第</w:t>
      </w:r>
      <w:r w:rsidRPr="006E3B9B">
        <w:rPr>
          <w:lang w:eastAsia="zh-CN"/>
        </w:rPr>
        <w:t>527</w:t>
      </w:r>
      <w:r w:rsidRPr="006E3B9B">
        <w:rPr>
          <w:lang w:eastAsia="zh-CN"/>
        </w:rPr>
        <w:t>号决定</w:t>
      </w:r>
      <w:r w:rsidRPr="006E3B9B">
        <w:rPr>
          <w:lang w:eastAsia="zh-CN"/>
        </w:rPr>
        <w:tab/>
      </w:r>
      <w:r w:rsidRPr="006E3B9B">
        <w:rPr>
          <w:bCs/>
          <w:lang w:eastAsia="zh-CN"/>
        </w:rPr>
        <w:t>成立一个制定</w:t>
      </w:r>
      <w:r w:rsidRPr="006E3B9B">
        <w:rPr>
          <w:bCs/>
          <w:lang w:eastAsia="zh-CN"/>
        </w:rPr>
        <w:t>2008-2011</w:t>
      </w:r>
      <w:r w:rsidRPr="006E3B9B">
        <w:rPr>
          <w:bCs/>
          <w:lang w:eastAsia="zh-CN"/>
        </w:rPr>
        <w:t>年《战略规划》草案和</w:t>
      </w:r>
      <w:r w:rsidRPr="006E3B9B">
        <w:rPr>
          <w:rFonts w:hint="eastAsia"/>
          <w:bCs/>
          <w:lang w:eastAsia="zh-CN"/>
        </w:rPr>
        <w:t>《</w:t>
      </w:r>
      <w:r w:rsidRPr="006E3B9B">
        <w:rPr>
          <w:bCs/>
          <w:lang w:eastAsia="zh-CN"/>
        </w:rPr>
        <w:t>财务规划</w:t>
      </w:r>
      <w:r w:rsidRPr="006E3B9B">
        <w:rPr>
          <w:rFonts w:hint="eastAsia"/>
          <w:bCs/>
          <w:lang w:eastAsia="zh-CN"/>
        </w:rPr>
        <w:t>》</w:t>
      </w:r>
      <w:r w:rsidRPr="006E3B9B">
        <w:rPr>
          <w:bCs/>
          <w:lang w:eastAsia="zh-CN"/>
        </w:rPr>
        <w:t>草案的工作组</w:t>
      </w:r>
      <w:r w:rsidR="00396681">
        <w:rPr>
          <w:bCs/>
          <w:lang w:eastAsia="zh-CN"/>
        </w:rPr>
        <w:tab/>
      </w:r>
      <w:r w:rsidRPr="006E3B9B">
        <w:rPr>
          <w:rFonts w:hint="eastAsia"/>
          <w:lang w:eastAsia="zh-CN"/>
        </w:rPr>
        <w:tab/>
        <w:t>2007</w:t>
      </w:r>
      <w:r w:rsidRPr="006E3B9B">
        <w:rPr>
          <w:rFonts w:hint="eastAsia"/>
          <w:lang w:eastAsia="zh-CN"/>
        </w:rPr>
        <w:t>年</w:t>
      </w:r>
    </w:p>
    <w:p w14:paraId="4827C47C" w14:textId="77777777" w:rsidR="0058405E" w:rsidRDefault="0058405E">
      <w:pPr>
        <w:tabs>
          <w:tab w:val="clear" w:pos="794"/>
          <w:tab w:val="clear" w:pos="1191"/>
          <w:tab w:val="clear" w:pos="1588"/>
          <w:tab w:val="clear" w:pos="1985"/>
        </w:tabs>
        <w:overflowPunct/>
        <w:autoSpaceDE/>
        <w:autoSpaceDN/>
        <w:adjustRightInd/>
        <w:spacing w:before="0"/>
        <w:jc w:val="left"/>
        <w:textAlignment w:val="auto"/>
        <w:rPr>
          <w:sz w:val="20"/>
          <w:lang w:eastAsia="zh-CN"/>
        </w:rPr>
      </w:pPr>
      <w:r>
        <w:rPr>
          <w:lang w:eastAsia="zh-CN"/>
        </w:rPr>
        <w:br w:type="page"/>
      </w:r>
    </w:p>
    <w:p w14:paraId="4827C47D" w14:textId="77777777" w:rsidR="006E3B9B" w:rsidRPr="006E3B9B" w:rsidRDefault="006E3B9B" w:rsidP="00057467">
      <w:pPr>
        <w:pStyle w:val="Appendixref"/>
        <w:rPr>
          <w:lang w:eastAsia="zh-CN"/>
        </w:rPr>
      </w:pPr>
      <w:r w:rsidRPr="006E3B9B">
        <w:rPr>
          <w:lang w:eastAsia="zh-CN"/>
        </w:rPr>
        <w:lastRenderedPageBreak/>
        <w:t>第</w:t>
      </w:r>
      <w:r w:rsidRPr="006E3B9B">
        <w:rPr>
          <w:lang w:eastAsia="zh-CN"/>
        </w:rPr>
        <w:t>528</w:t>
      </w:r>
      <w:r w:rsidRPr="006E3B9B">
        <w:rPr>
          <w:lang w:eastAsia="zh-CN"/>
        </w:rPr>
        <w:t>号决定</w:t>
      </w:r>
      <w:r w:rsidRPr="006E3B9B">
        <w:rPr>
          <w:lang w:eastAsia="zh-CN"/>
        </w:rPr>
        <w:tab/>
      </w:r>
      <w:r w:rsidRPr="00811AE9">
        <w:rPr>
          <w:lang w:val="zh-CN" w:eastAsia="zh-CN"/>
        </w:rPr>
        <w:t>促进有关进一步审议世界电信标准化全会</w:t>
      </w:r>
      <w:r w:rsidRPr="006E3B9B">
        <w:rPr>
          <w:bCs/>
          <w:lang w:eastAsia="zh-CN"/>
        </w:rPr>
        <w:t>（</w:t>
      </w:r>
      <w:r w:rsidRPr="006E3B9B">
        <w:rPr>
          <w:bCs/>
          <w:lang w:eastAsia="zh-CN"/>
        </w:rPr>
        <w:t>WTSA</w:t>
      </w:r>
      <w:r w:rsidRPr="006E3B9B">
        <w:rPr>
          <w:bCs/>
          <w:lang w:eastAsia="zh-CN"/>
        </w:rPr>
        <w:t>）一项决定所暴露出的问题的</w:t>
      </w:r>
      <w:r w:rsidR="00811AE9">
        <w:rPr>
          <w:rFonts w:hint="eastAsia"/>
          <w:bCs/>
          <w:lang w:eastAsia="zh-CN"/>
        </w:rPr>
        <w:br/>
      </w:r>
      <w:r w:rsidRPr="006E3B9B">
        <w:rPr>
          <w:bCs/>
          <w:lang w:eastAsia="zh-CN"/>
        </w:rPr>
        <w:t>讨论</w:t>
      </w:r>
      <w:r w:rsidR="001D4415">
        <w:rPr>
          <w:lang w:eastAsia="zh-CN"/>
        </w:rPr>
        <w:tab/>
      </w:r>
      <w:r w:rsidR="00811AE9">
        <w:rPr>
          <w:rFonts w:hint="eastAsia"/>
          <w:lang w:eastAsia="zh-CN"/>
        </w:rPr>
        <w:tab/>
      </w:r>
      <w:r w:rsidR="001D4415">
        <w:rPr>
          <w:lang w:val="en-US" w:eastAsia="zh-CN"/>
        </w:rPr>
        <w:t>2008</w:t>
      </w:r>
      <w:r w:rsidR="001D4415">
        <w:rPr>
          <w:rFonts w:hint="eastAsia"/>
          <w:lang w:val="en-US" w:eastAsia="zh-CN"/>
        </w:rPr>
        <w:t>年</w:t>
      </w:r>
    </w:p>
    <w:p w14:paraId="4827C47E" w14:textId="77777777" w:rsidR="006E3B9B" w:rsidRPr="006E3B9B" w:rsidRDefault="006E3B9B" w:rsidP="00057467">
      <w:pPr>
        <w:pStyle w:val="Appendixref"/>
        <w:rPr>
          <w:lang w:eastAsia="zh-CN"/>
        </w:rPr>
      </w:pPr>
      <w:r w:rsidRPr="006E3B9B">
        <w:rPr>
          <w:lang w:eastAsia="zh-CN"/>
        </w:rPr>
        <w:t>第</w:t>
      </w:r>
      <w:r w:rsidRPr="006E3B9B">
        <w:rPr>
          <w:lang w:eastAsia="zh-CN"/>
        </w:rPr>
        <w:t>529</w:t>
      </w:r>
      <w:r w:rsidRPr="006E3B9B">
        <w:rPr>
          <w:lang w:eastAsia="zh-CN"/>
        </w:rPr>
        <w:t>号决定</w:t>
      </w:r>
      <w:r w:rsidRPr="006E3B9B">
        <w:rPr>
          <w:lang w:eastAsia="zh-CN"/>
        </w:rPr>
        <w:tab/>
      </w:r>
      <w:r w:rsidRPr="006E3B9B">
        <w:rPr>
          <w:bCs/>
          <w:lang w:eastAsia="zh-CN"/>
        </w:rPr>
        <w:t>注销欠款利息</w:t>
      </w:r>
      <w:r w:rsidRPr="006E3B9B">
        <w:rPr>
          <w:lang w:eastAsia="zh-CN"/>
        </w:rPr>
        <w:tab/>
      </w:r>
      <w:r w:rsidR="00396681">
        <w:rPr>
          <w:lang w:eastAsia="zh-CN"/>
        </w:rPr>
        <w:tab/>
      </w:r>
      <w:r w:rsidR="00811AE9">
        <w:rPr>
          <w:rFonts w:hint="eastAsia"/>
          <w:lang w:val="en-US" w:eastAsia="zh-CN"/>
        </w:rPr>
        <w:t>2010</w:t>
      </w:r>
      <w:r w:rsidR="00811AE9" w:rsidRPr="006E3B9B">
        <w:rPr>
          <w:rFonts w:hint="eastAsia"/>
          <w:lang w:val="en-US" w:eastAsia="zh-CN"/>
        </w:rPr>
        <w:t>年</w:t>
      </w:r>
    </w:p>
    <w:p w14:paraId="4827C47F" w14:textId="77777777" w:rsidR="006E3B9B" w:rsidRPr="006E3B9B" w:rsidRDefault="006E3B9B" w:rsidP="00057467">
      <w:pPr>
        <w:pStyle w:val="Appendixref"/>
        <w:rPr>
          <w:lang w:eastAsia="zh-CN"/>
        </w:rPr>
      </w:pPr>
      <w:r w:rsidRPr="006E3B9B">
        <w:rPr>
          <w:lang w:eastAsia="zh-CN"/>
        </w:rPr>
        <w:t>第</w:t>
      </w:r>
      <w:r w:rsidRPr="006E3B9B">
        <w:rPr>
          <w:lang w:eastAsia="zh-CN"/>
        </w:rPr>
        <w:t>530</w:t>
      </w:r>
      <w:r w:rsidRPr="006E3B9B">
        <w:rPr>
          <w:lang w:eastAsia="zh-CN"/>
        </w:rPr>
        <w:t>号决定</w:t>
      </w:r>
      <w:r w:rsidRPr="006E3B9B">
        <w:rPr>
          <w:lang w:eastAsia="zh-CN"/>
        </w:rPr>
        <w:tab/>
      </w:r>
      <w:r w:rsidRPr="006E3B9B">
        <w:rPr>
          <w:bCs/>
          <w:lang w:eastAsia="zh-CN"/>
        </w:rPr>
        <w:t>扩大理事会《财务规则》和相关财务管理问题小组的职责范围</w:t>
      </w:r>
      <w:r w:rsidR="001D4415">
        <w:rPr>
          <w:lang w:eastAsia="zh-CN"/>
        </w:rPr>
        <w:tab/>
      </w:r>
      <w:r w:rsidR="00396681">
        <w:rPr>
          <w:lang w:eastAsia="zh-CN"/>
        </w:rPr>
        <w:tab/>
      </w:r>
      <w:r w:rsidR="001D4415">
        <w:rPr>
          <w:lang w:val="en-US" w:eastAsia="zh-CN"/>
        </w:rPr>
        <w:t>2008</w:t>
      </w:r>
      <w:r w:rsidR="001D4415">
        <w:rPr>
          <w:rFonts w:hint="eastAsia"/>
          <w:lang w:val="en-US" w:eastAsia="zh-CN"/>
        </w:rPr>
        <w:t>年</w:t>
      </w:r>
    </w:p>
    <w:p w14:paraId="4827C480" w14:textId="77777777" w:rsidR="006E3B9B" w:rsidRPr="006E3B9B" w:rsidRDefault="006E3B9B" w:rsidP="00057467">
      <w:pPr>
        <w:pStyle w:val="Appendixref"/>
        <w:rPr>
          <w:lang w:eastAsia="zh-CN"/>
        </w:rPr>
      </w:pPr>
      <w:r w:rsidRPr="006E3B9B">
        <w:rPr>
          <w:lang w:eastAsia="zh-CN"/>
        </w:rPr>
        <w:t>第</w:t>
      </w:r>
      <w:r w:rsidRPr="006E3B9B">
        <w:rPr>
          <w:lang w:eastAsia="zh-CN"/>
        </w:rPr>
        <w:t>531</w:t>
      </w:r>
      <w:r w:rsidRPr="006E3B9B">
        <w:rPr>
          <w:lang w:eastAsia="zh-CN"/>
        </w:rPr>
        <w:t>号决定</w:t>
      </w:r>
      <w:r w:rsidRPr="006E3B9B">
        <w:rPr>
          <w:lang w:eastAsia="zh-CN"/>
        </w:rPr>
        <w:tab/>
      </w:r>
      <w:r w:rsidRPr="006E3B9B">
        <w:rPr>
          <w:caps/>
          <w:lang w:val="en-AU" w:eastAsia="zh-CN"/>
        </w:rPr>
        <w:t>对</w:t>
      </w:r>
      <w:r w:rsidRPr="006E3B9B">
        <w:rPr>
          <w:rFonts w:hint="eastAsia"/>
          <w:caps/>
          <w:lang w:val="en-AU" w:eastAsia="zh-CN"/>
        </w:rPr>
        <w:t>那些</w:t>
      </w:r>
      <w:r w:rsidRPr="006E3B9B">
        <w:rPr>
          <w:caps/>
          <w:lang w:val="en-AU" w:eastAsia="zh-CN"/>
        </w:rPr>
        <w:t>适用第</w:t>
      </w:r>
      <w:r w:rsidRPr="006E3B9B">
        <w:rPr>
          <w:caps/>
          <w:lang w:val="en-AU" w:eastAsia="zh-CN"/>
        </w:rPr>
        <w:t>513</w:t>
      </w:r>
      <w:r w:rsidRPr="006E3B9B">
        <w:rPr>
          <w:caps/>
          <w:lang w:val="en-AU" w:eastAsia="zh-CN"/>
        </w:rPr>
        <w:t>号决定的卫星网络</w:t>
      </w:r>
      <w:r w:rsidRPr="006E3B9B">
        <w:rPr>
          <w:rFonts w:hint="eastAsia"/>
          <w:caps/>
          <w:lang w:val="en-AU" w:eastAsia="zh-CN"/>
        </w:rPr>
        <w:t>所采取的</w:t>
      </w:r>
      <w:r w:rsidRPr="006E3B9B">
        <w:rPr>
          <w:caps/>
          <w:lang w:val="en-AU" w:eastAsia="zh-CN"/>
        </w:rPr>
        <w:t>卫星网络申报成本回收补充纠正措施</w:t>
      </w:r>
      <w:r w:rsidRPr="006E3B9B">
        <w:rPr>
          <w:lang w:eastAsia="zh-CN"/>
        </w:rPr>
        <w:tab/>
      </w:r>
      <w:r w:rsidR="00396681">
        <w:rPr>
          <w:lang w:eastAsia="zh-CN"/>
        </w:rPr>
        <w:tab/>
      </w:r>
      <w:r w:rsidR="001D4415">
        <w:rPr>
          <w:lang w:val="en-US" w:eastAsia="zh-CN"/>
        </w:rPr>
        <w:t>2008</w:t>
      </w:r>
      <w:r w:rsidR="001D4415">
        <w:rPr>
          <w:rFonts w:hint="eastAsia"/>
          <w:lang w:val="en-US" w:eastAsia="zh-CN"/>
        </w:rPr>
        <w:t>年</w:t>
      </w:r>
    </w:p>
    <w:p w14:paraId="4827C481" w14:textId="77777777" w:rsidR="006E3B9B" w:rsidRPr="006E3B9B" w:rsidRDefault="006E3B9B" w:rsidP="00057467">
      <w:pPr>
        <w:pStyle w:val="Appendixref"/>
        <w:rPr>
          <w:lang w:eastAsia="zh-CN"/>
        </w:rPr>
      </w:pPr>
      <w:r w:rsidRPr="006E3B9B">
        <w:rPr>
          <w:lang w:eastAsia="zh-CN"/>
        </w:rPr>
        <w:t>第</w:t>
      </w:r>
      <w:r w:rsidRPr="006E3B9B">
        <w:rPr>
          <w:lang w:eastAsia="zh-CN"/>
        </w:rPr>
        <w:t>532</w:t>
      </w:r>
      <w:r w:rsidRPr="006E3B9B">
        <w:rPr>
          <w:lang w:eastAsia="zh-CN"/>
        </w:rPr>
        <w:t>号决定</w:t>
      </w:r>
      <w:r w:rsidRPr="006E3B9B">
        <w:rPr>
          <w:lang w:eastAsia="zh-CN"/>
        </w:rPr>
        <w:tab/>
      </w:r>
      <w:r w:rsidRPr="006E3B9B">
        <w:rPr>
          <w:bCs/>
          <w:caps/>
          <w:lang w:val="en-US" w:eastAsia="zh-CN"/>
        </w:rPr>
        <w:t>卫星网络申报成本回收：</w:t>
      </w:r>
      <w:r w:rsidRPr="006E3B9B">
        <w:rPr>
          <w:bCs/>
          <w:caps/>
          <w:lang w:val="en-US" w:eastAsia="zh-CN"/>
        </w:rPr>
        <w:t>7</w:t>
      </w:r>
      <w:r w:rsidRPr="006E3B9B">
        <w:rPr>
          <w:bCs/>
          <w:caps/>
          <w:lang w:val="en-US" w:eastAsia="zh-CN"/>
        </w:rPr>
        <w:t>类和</w:t>
      </w:r>
      <w:r w:rsidRPr="006E3B9B">
        <w:rPr>
          <w:bCs/>
          <w:caps/>
          <w:lang w:val="en-US" w:eastAsia="zh-CN"/>
        </w:rPr>
        <w:t>8</w:t>
      </w:r>
      <w:r w:rsidRPr="006E3B9B">
        <w:rPr>
          <w:bCs/>
          <w:caps/>
          <w:lang w:val="en-US" w:eastAsia="zh-CN"/>
        </w:rPr>
        <w:t>类</w:t>
      </w:r>
      <w:r w:rsidRPr="006E3B9B">
        <w:rPr>
          <w:lang w:eastAsia="zh-CN"/>
        </w:rPr>
        <w:tab/>
      </w:r>
      <w:r w:rsidR="00396681">
        <w:rPr>
          <w:lang w:eastAsia="zh-CN"/>
        </w:rPr>
        <w:tab/>
      </w:r>
      <w:r w:rsidR="001D4415">
        <w:rPr>
          <w:lang w:val="en-US" w:eastAsia="zh-CN"/>
        </w:rPr>
        <w:t>2008</w:t>
      </w:r>
      <w:r w:rsidR="001D4415">
        <w:rPr>
          <w:rFonts w:hint="eastAsia"/>
          <w:lang w:val="en-US" w:eastAsia="zh-CN"/>
        </w:rPr>
        <w:t>年</w:t>
      </w:r>
    </w:p>
    <w:p w14:paraId="4827C482" w14:textId="77777777" w:rsidR="006E3B9B" w:rsidRPr="006E3B9B" w:rsidRDefault="006E3B9B" w:rsidP="00057467">
      <w:pPr>
        <w:pStyle w:val="Appendixref"/>
        <w:rPr>
          <w:lang w:eastAsia="zh-CN"/>
        </w:rPr>
      </w:pPr>
      <w:r w:rsidRPr="006E3B9B">
        <w:rPr>
          <w:lang w:eastAsia="zh-CN"/>
        </w:rPr>
        <w:t>第</w:t>
      </w:r>
      <w:r w:rsidRPr="006E3B9B">
        <w:rPr>
          <w:lang w:eastAsia="zh-CN"/>
        </w:rPr>
        <w:t>533</w:t>
      </w:r>
      <w:r w:rsidRPr="006E3B9B">
        <w:rPr>
          <w:lang w:eastAsia="zh-CN"/>
        </w:rPr>
        <w:t>号决定</w:t>
      </w:r>
      <w:r w:rsidRPr="006E3B9B">
        <w:rPr>
          <w:lang w:eastAsia="zh-CN"/>
        </w:rPr>
        <w:tab/>
      </w:r>
      <w:r w:rsidRPr="006E3B9B">
        <w:rPr>
          <w:bCs/>
          <w:lang w:eastAsia="zh-CN"/>
        </w:rPr>
        <w:t>对《无线电规则》直接引述的第</w:t>
      </w:r>
      <w:r w:rsidRPr="006E3B9B">
        <w:rPr>
          <w:bCs/>
          <w:lang w:eastAsia="zh-CN"/>
        </w:rPr>
        <w:t xml:space="preserve">9.14 </w:t>
      </w:r>
      <w:r w:rsidRPr="006E3B9B">
        <w:rPr>
          <w:bCs/>
          <w:lang w:eastAsia="zh-CN"/>
        </w:rPr>
        <w:t>款涉及的运行于</w:t>
      </w:r>
      <w:r w:rsidRPr="006E3B9B">
        <w:rPr>
          <w:bCs/>
          <w:lang w:eastAsia="zh-CN"/>
        </w:rPr>
        <w:t>11.7</w:t>
      </w:r>
      <w:r w:rsidRPr="006E3B9B">
        <w:rPr>
          <w:rFonts w:hint="eastAsia"/>
          <w:bCs/>
          <w:lang w:eastAsia="zh-CN"/>
        </w:rPr>
        <w:t>-</w:t>
      </w:r>
      <w:r w:rsidRPr="006E3B9B">
        <w:rPr>
          <w:bCs/>
          <w:lang w:eastAsia="zh-CN"/>
        </w:rPr>
        <w:t xml:space="preserve">12.2 GHz </w:t>
      </w:r>
      <w:r w:rsidRPr="006E3B9B">
        <w:rPr>
          <w:bCs/>
          <w:lang w:eastAsia="zh-CN"/>
        </w:rPr>
        <w:t>频</w:t>
      </w:r>
      <w:r w:rsidRPr="006E3B9B">
        <w:rPr>
          <w:rFonts w:hint="eastAsia"/>
          <w:bCs/>
          <w:lang w:eastAsia="zh-CN"/>
        </w:rPr>
        <w:t>段</w:t>
      </w:r>
      <w:r w:rsidRPr="006E3B9B">
        <w:rPr>
          <w:bCs/>
          <w:lang w:eastAsia="zh-CN"/>
        </w:rPr>
        <w:t>的对地静止轨道卫星网络申报成本回收采取的纠正措施</w:t>
      </w:r>
      <w:r w:rsidRPr="006E3B9B">
        <w:rPr>
          <w:lang w:eastAsia="zh-CN"/>
        </w:rPr>
        <w:tab/>
      </w:r>
      <w:r w:rsidR="00811AE9">
        <w:rPr>
          <w:rFonts w:hint="eastAsia"/>
          <w:lang w:eastAsia="zh-CN"/>
        </w:rPr>
        <w:tab/>
      </w:r>
      <w:r w:rsidR="001D4415">
        <w:rPr>
          <w:lang w:val="en-US" w:eastAsia="zh-CN"/>
        </w:rPr>
        <w:t>2008</w:t>
      </w:r>
      <w:r w:rsidR="001D4415">
        <w:rPr>
          <w:rFonts w:hint="eastAsia"/>
          <w:lang w:val="en-US" w:eastAsia="zh-CN"/>
        </w:rPr>
        <w:t>年</w:t>
      </w:r>
    </w:p>
    <w:p w14:paraId="4827C483" w14:textId="77777777" w:rsidR="006E3B9B" w:rsidRPr="006E3B9B" w:rsidRDefault="006E3B9B" w:rsidP="00057467">
      <w:pPr>
        <w:pStyle w:val="Appendixref"/>
        <w:rPr>
          <w:bCs/>
          <w:color w:val="000000"/>
          <w:lang w:eastAsia="zh-CN"/>
        </w:rPr>
      </w:pPr>
      <w:r w:rsidRPr="006E3B9B">
        <w:rPr>
          <w:lang w:eastAsia="zh-CN"/>
        </w:rPr>
        <w:t>第</w:t>
      </w:r>
      <w:r w:rsidRPr="006E3B9B">
        <w:rPr>
          <w:lang w:eastAsia="zh-CN"/>
        </w:rPr>
        <w:t>534</w:t>
      </w:r>
      <w:r w:rsidRPr="006E3B9B">
        <w:rPr>
          <w:lang w:eastAsia="zh-CN"/>
        </w:rPr>
        <w:t>号决定</w:t>
      </w:r>
      <w:r w:rsidRPr="006E3B9B">
        <w:rPr>
          <w:lang w:eastAsia="zh-CN"/>
        </w:rPr>
        <w:tab/>
      </w:r>
      <w:r w:rsidRPr="006E3B9B">
        <w:rPr>
          <w:bCs/>
          <w:caps/>
          <w:lang w:val="en-US" w:eastAsia="zh-CN"/>
        </w:rPr>
        <w:t>卫星网络申报的成本回收</w:t>
      </w:r>
      <w:r w:rsidRPr="006E3B9B">
        <w:rPr>
          <w:rFonts w:hint="eastAsia"/>
          <w:bCs/>
          <w:caps/>
          <w:lang w:val="en-US" w:eastAsia="zh-CN"/>
        </w:rPr>
        <w:t xml:space="preserve"> </w:t>
      </w:r>
      <w:r w:rsidRPr="006E3B9B">
        <w:rPr>
          <w:bCs/>
          <w:lang w:eastAsia="zh-CN"/>
        </w:rPr>
        <w:t>–</w:t>
      </w:r>
      <w:r w:rsidRPr="006E3B9B">
        <w:rPr>
          <w:rFonts w:hint="eastAsia"/>
          <w:bCs/>
          <w:lang w:eastAsia="zh-CN"/>
        </w:rPr>
        <w:t xml:space="preserve"> </w:t>
      </w:r>
      <w:r w:rsidRPr="00811AE9">
        <w:rPr>
          <w:bCs/>
          <w:lang w:eastAsia="zh-CN"/>
        </w:rPr>
        <w:t>其相关</w:t>
      </w:r>
      <w:r w:rsidRPr="006E3B9B">
        <w:rPr>
          <w:lang w:eastAsia="zh-CN"/>
        </w:rPr>
        <w:t>A</w:t>
      </w:r>
      <w:r w:rsidRPr="006E3B9B">
        <w:rPr>
          <w:lang w:eastAsia="zh-CN"/>
        </w:rPr>
        <w:t>部分已于</w:t>
      </w:r>
      <w:r w:rsidRPr="006E3B9B">
        <w:rPr>
          <w:lang w:eastAsia="zh-CN"/>
        </w:rPr>
        <w:t>1998</w:t>
      </w:r>
      <w:r w:rsidRPr="006E3B9B">
        <w:rPr>
          <w:lang w:eastAsia="zh-CN"/>
        </w:rPr>
        <w:t>年</w:t>
      </w:r>
      <w:r w:rsidRPr="006E3B9B">
        <w:rPr>
          <w:lang w:eastAsia="zh-CN"/>
        </w:rPr>
        <w:t>11</w:t>
      </w:r>
      <w:r w:rsidRPr="006E3B9B">
        <w:rPr>
          <w:lang w:eastAsia="zh-CN"/>
        </w:rPr>
        <w:t>月</w:t>
      </w:r>
      <w:r w:rsidRPr="006E3B9B">
        <w:rPr>
          <w:lang w:eastAsia="zh-CN"/>
        </w:rPr>
        <w:t>8</w:t>
      </w:r>
      <w:r w:rsidRPr="006E3B9B">
        <w:rPr>
          <w:lang w:eastAsia="zh-CN"/>
        </w:rPr>
        <w:t>日前收到的</w:t>
      </w:r>
      <w:r w:rsidRPr="006E3B9B">
        <w:rPr>
          <w:bCs/>
          <w:color w:val="000000"/>
          <w:lang w:eastAsia="zh-CN"/>
        </w:rPr>
        <w:t>涉及应用附录</w:t>
      </w:r>
      <w:r w:rsidRPr="006E3B9B">
        <w:rPr>
          <w:bCs/>
          <w:color w:val="000000"/>
          <w:lang w:eastAsia="zh-CN"/>
        </w:rPr>
        <w:t>30/30A</w:t>
      </w:r>
      <w:r w:rsidRPr="006E3B9B">
        <w:rPr>
          <w:bCs/>
          <w:color w:val="000000"/>
          <w:lang w:eastAsia="zh-CN"/>
        </w:rPr>
        <w:t>第</w:t>
      </w:r>
      <w:r w:rsidRPr="006E3B9B">
        <w:rPr>
          <w:bCs/>
          <w:color w:val="000000"/>
          <w:lang w:eastAsia="zh-CN"/>
        </w:rPr>
        <w:t>4</w:t>
      </w:r>
      <w:r w:rsidRPr="006E3B9B">
        <w:rPr>
          <w:bCs/>
          <w:color w:val="000000"/>
          <w:lang w:eastAsia="zh-CN"/>
        </w:rPr>
        <w:t>条的</w:t>
      </w:r>
      <w:r w:rsidRPr="006E3B9B">
        <w:rPr>
          <w:bCs/>
          <w:color w:val="000000"/>
          <w:lang w:eastAsia="zh-CN"/>
        </w:rPr>
        <w:t>B</w:t>
      </w:r>
      <w:r w:rsidRPr="006E3B9B">
        <w:rPr>
          <w:bCs/>
          <w:color w:val="000000"/>
          <w:lang w:eastAsia="zh-CN"/>
        </w:rPr>
        <w:t>部分资料的提交</w:t>
      </w:r>
      <w:r w:rsidRPr="006E3B9B">
        <w:rPr>
          <w:bCs/>
          <w:color w:val="000000"/>
          <w:lang w:eastAsia="zh-CN"/>
        </w:rPr>
        <w:tab/>
      </w:r>
      <w:r w:rsidR="00811AE9">
        <w:rPr>
          <w:rFonts w:hint="eastAsia"/>
          <w:bCs/>
          <w:color w:val="000000"/>
          <w:lang w:eastAsia="zh-CN"/>
        </w:rPr>
        <w:tab/>
      </w:r>
      <w:r w:rsidR="001D4415">
        <w:rPr>
          <w:lang w:val="en-US" w:eastAsia="zh-CN"/>
        </w:rPr>
        <w:t>2008</w:t>
      </w:r>
      <w:r w:rsidR="001D4415">
        <w:rPr>
          <w:rFonts w:hint="eastAsia"/>
          <w:lang w:val="en-US" w:eastAsia="zh-CN"/>
        </w:rPr>
        <w:t>年</w:t>
      </w:r>
    </w:p>
    <w:p w14:paraId="4827C484" w14:textId="77777777" w:rsidR="006E3B9B" w:rsidRPr="006E3B9B" w:rsidRDefault="006E3B9B" w:rsidP="00057467">
      <w:pPr>
        <w:pStyle w:val="Appendixref"/>
        <w:rPr>
          <w:lang w:eastAsia="zh-CN"/>
        </w:rPr>
      </w:pPr>
      <w:r w:rsidRPr="006E3B9B">
        <w:rPr>
          <w:lang w:eastAsia="zh-CN"/>
        </w:rPr>
        <w:t>第</w:t>
      </w:r>
      <w:r w:rsidRPr="006E3B9B">
        <w:rPr>
          <w:lang w:eastAsia="zh-CN"/>
        </w:rPr>
        <w:t>535</w:t>
      </w:r>
      <w:r w:rsidRPr="006E3B9B">
        <w:rPr>
          <w:lang w:eastAsia="zh-CN"/>
        </w:rPr>
        <w:t>号决定</w:t>
      </w:r>
      <w:r w:rsidRPr="006E3B9B">
        <w:rPr>
          <w:lang w:eastAsia="zh-CN"/>
        </w:rPr>
        <w:tab/>
      </w:r>
      <w:r w:rsidRPr="006E3B9B">
        <w:rPr>
          <w:lang w:eastAsia="zh-CN"/>
        </w:rPr>
        <w:t>成本分配方法</w:t>
      </w:r>
      <w:r w:rsidRPr="006E3B9B">
        <w:rPr>
          <w:lang w:eastAsia="zh-CN"/>
        </w:rPr>
        <w:tab/>
      </w:r>
      <w:r w:rsidR="004E1793">
        <w:rPr>
          <w:lang w:eastAsia="zh-CN"/>
        </w:rPr>
        <w:tab/>
      </w:r>
      <w:r w:rsidRPr="006E3B9B">
        <w:rPr>
          <w:lang w:eastAsia="zh-CN"/>
        </w:rPr>
        <w:t>5.2</w:t>
      </w:r>
    </w:p>
    <w:p w14:paraId="4827C485" w14:textId="77777777" w:rsidR="006E3B9B" w:rsidRPr="006E3B9B" w:rsidRDefault="006E3B9B" w:rsidP="004E1793">
      <w:pPr>
        <w:pStyle w:val="Reftitle"/>
        <w:rPr>
          <w:lang w:eastAsia="zh-CN"/>
        </w:rPr>
      </w:pPr>
      <w:r w:rsidRPr="006E3B9B">
        <w:rPr>
          <w:rFonts w:hint="eastAsia"/>
          <w:lang w:eastAsia="zh-CN"/>
        </w:rPr>
        <w:t>2006</w:t>
      </w:r>
      <w:r w:rsidRPr="006E3B9B">
        <w:rPr>
          <w:rFonts w:hint="eastAsia"/>
          <w:lang w:eastAsia="zh-CN"/>
        </w:rPr>
        <w:t>年会议（</w:t>
      </w:r>
      <w:r w:rsidRPr="006E3B9B">
        <w:rPr>
          <w:rFonts w:hint="eastAsia"/>
          <w:lang w:eastAsia="zh-CN"/>
        </w:rPr>
        <w:t>2006</w:t>
      </w:r>
      <w:r w:rsidRPr="006E3B9B">
        <w:rPr>
          <w:rFonts w:hint="eastAsia"/>
          <w:lang w:eastAsia="zh-CN"/>
        </w:rPr>
        <w:t>年</w:t>
      </w:r>
      <w:r w:rsidRPr="006E3B9B">
        <w:rPr>
          <w:rFonts w:hint="eastAsia"/>
          <w:lang w:eastAsia="zh-CN"/>
        </w:rPr>
        <w:t>4</w:t>
      </w:r>
      <w:r w:rsidRPr="006E3B9B">
        <w:rPr>
          <w:rFonts w:hint="eastAsia"/>
          <w:lang w:eastAsia="zh-CN"/>
        </w:rPr>
        <w:t>月</w:t>
      </w:r>
      <w:r w:rsidRPr="006E3B9B">
        <w:rPr>
          <w:rFonts w:hint="eastAsia"/>
          <w:lang w:eastAsia="zh-CN"/>
        </w:rPr>
        <w:t>19-28</w:t>
      </w:r>
      <w:r w:rsidRPr="006E3B9B">
        <w:rPr>
          <w:rFonts w:hint="eastAsia"/>
          <w:lang w:eastAsia="zh-CN"/>
        </w:rPr>
        <w:t>日和</w:t>
      </w:r>
      <w:r w:rsidRPr="006E3B9B">
        <w:rPr>
          <w:rFonts w:hint="eastAsia"/>
          <w:lang w:eastAsia="zh-CN"/>
        </w:rPr>
        <w:t>2006</w:t>
      </w:r>
      <w:r w:rsidRPr="006E3B9B">
        <w:rPr>
          <w:rFonts w:hint="eastAsia"/>
          <w:lang w:eastAsia="zh-CN"/>
        </w:rPr>
        <w:t>年</w:t>
      </w:r>
      <w:r w:rsidRPr="006E3B9B">
        <w:rPr>
          <w:rFonts w:hint="eastAsia"/>
          <w:lang w:eastAsia="zh-CN"/>
        </w:rPr>
        <w:t>11</w:t>
      </w:r>
      <w:r w:rsidRPr="006E3B9B">
        <w:rPr>
          <w:rFonts w:hint="eastAsia"/>
          <w:lang w:eastAsia="zh-CN"/>
        </w:rPr>
        <w:t>月</w:t>
      </w:r>
      <w:r w:rsidRPr="006E3B9B">
        <w:rPr>
          <w:rFonts w:hint="eastAsia"/>
          <w:lang w:eastAsia="zh-CN"/>
        </w:rPr>
        <w:t>4</w:t>
      </w:r>
      <w:r w:rsidRPr="006E3B9B">
        <w:rPr>
          <w:rFonts w:hint="eastAsia"/>
          <w:lang w:eastAsia="zh-CN"/>
        </w:rPr>
        <w:t>日）</w:t>
      </w:r>
    </w:p>
    <w:p w14:paraId="4827C486" w14:textId="77777777" w:rsidR="006E3B9B" w:rsidRPr="006E3B9B" w:rsidRDefault="006E3B9B" w:rsidP="00B42442">
      <w:pPr>
        <w:pStyle w:val="Appendixref"/>
        <w:rPr>
          <w:lang w:eastAsia="zh-CN"/>
        </w:rPr>
      </w:pPr>
      <w:r w:rsidRPr="006E3B9B">
        <w:rPr>
          <w:lang w:eastAsia="zh-CN"/>
        </w:rPr>
        <w:t>第</w:t>
      </w:r>
      <w:r w:rsidRPr="006E3B9B">
        <w:rPr>
          <w:lang w:eastAsia="zh-CN"/>
        </w:rPr>
        <w:t>53</w:t>
      </w:r>
      <w:r w:rsidRPr="006E3B9B">
        <w:rPr>
          <w:rFonts w:hint="eastAsia"/>
          <w:lang w:eastAsia="zh-CN"/>
        </w:rPr>
        <w:t>6</w:t>
      </w:r>
      <w:r w:rsidRPr="006E3B9B">
        <w:rPr>
          <w:rFonts w:hint="eastAsia"/>
          <w:lang w:eastAsia="zh-CN"/>
        </w:rPr>
        <w:t>号决定</w:t>
      </w:r>
      <w:r w:rsidRPr="006E3B9B">
        <w:rPr>
          <w:rFonts w:hint="eastAsia"/>
          <w:lang w:eastAsia="zh-CN"/>
        </w:rPr>
        <w:tab/>
      </w:r>
      <w:r w:rsidRPr="006E3B9B">
        <w:rPr>
          <w:rFonts w:hint="eastAsia"/>
          <w:lang w:eastAsia="zh-CN"/>
        </w:rPr>
        <w:t>进一步扩大理事会《财务规则》和相关财务管理问题小组的职责范</w:t>
      </w:r>
      <w:r w:rsidR="00396681">
        <w:rPr>
          <w:lang w:eastAsia="zh-CN"/>
        </w:rPr>
        <w:tab/>
      </w:r>
      <w:r w:rsidR="001D4415">
        <w:rPr>
          <w:rFonts w:hint="eastAsia"/>
          <w:lang w:eastAsia="zh-CN"/>
        </w:rPr>
        <w:tab/>
      </w:r>
      <w:r w:rsidR="001D4415">
        <w:rPr>
          <w:lang w:val="en-US" w:eastAsia="zh-CN"/>
        </w:rPr>
        <w:t>2008</w:t>
      </w:r>
      <w:r w:rsidR="001D4415">
        <w:rPr>
          <w:rFonts w:hint="eastAsia"/>
          <w:lang w:val="en-US" w:eastAsia="zh-CN"/>
        </w:rPr>
        <w:t>年</w:t>
      </w:r>
    </w:p>
    <w:p w14:paraId="4827C487" w14:textId="77777777" w:rsidR="006E3B9B" w:rsidRPr="006E3B9B" w:rsidRDefault="006E3B9B" w:rsidP="00B42442">
      <w:pPr>
        <w:pStyle w:val="Appendixref"/>
        <w:rPr>
          <w:lang w:eastAsia="zh-CN"/>
        </w:rPr>
      </w:pPr>
      <w:r w:rsidRPr="006E3B9B">
        <w:rPr>
          <w:lang w:eastAsia="zh-CN"/>
        </w:rPr>
        <w:t>第</w:t>
      </w:r>
      <w:r w:rsidRPr="006E3B9B">
        <w:rPr>
          <w:lang w:eastAsia="zh-CN"/>
        </w:rPr>
        <w:t>53</w:t>
      </w:r>
      <w:r w:rsidRPr="006E3B9B">
        <w:rPr>
          <w:rFonts w:hint="eastAsia"/>
          <w:lang w:eastAsia="zh-CN"/>
        </w:rPr>
        <w:t>7</w:t>
      </w:r>
      <w:r w:rsidRPr="006E3B9B">
        <w:rPr>
          <w:rFonts w:hint="eastAsia"/>
          <w:lang w:eastAsia="zh-CN"/>
        </w:rPr>
        <w:t>号决定</w:t>
      </w:r>
      <w:r w:rsidRPr="006E3B9B">
        <w:rPr>
          <w:rFonts w:hint="eastAsia"/>
          <w:lang w:eastAsia="zh-CN"/>
        </w:rPr>
        <w:tab/>
      </w:r>
      <w:r w:rsidRPr="006E3B9B">
        <w:rPr>
          <w:rFonts w:hint="eastAsia"/>
          <w:lang w:eastAsia="zh-CN"/>
        </w:rPr>
        <w:t>注销欠款利息和不可收回债务</w:t>
      </w:r>
      <w:r w:rsidRPr="006E3B9B">
        <w:rPr>
          <w:rFonts w:hint="eastAsia"/>
          <w:lang w:eastAsia="zh-CN"/>
        </w:rPr>
        <w:tab/>
      </w:r>
      <w:r w:rsidR="00396681">
        <w:rPr>
          <w:lang w:eastAsia="zh-CN"/>
        </w:rPr>
        <w:tab/>
      </w:r>
      <w:r w:rsidR="00811AE9">
        <w:rPr>
          <w:rFonts w:hint="eastAsia"/>
          <w:lang w:val="en-US" w:eastAsia="zh-CN"/>
        </w:rPr>
        <w:t>2010</w:t>
      </w:r>
      <w:r w:rsidR="00811AE9" w:rsidRPr="006E3B9B">
        <w:rPr>
          <w:rFonts w:hint="eastAsia"/>
          <w:lang w:val="en-US" w:eastAsia="zh-CN"/>
        </w:rPr>
        <w:t>年</w:t>
      </w:r>
    </w:p>
    <w:p w14:paraId="4827C488" w14:textId="77777777" w:rsidR="006E3B9B" w:rsidRPr="006E3B9B" w:rsidRDefault="006E3B9B" w:rsidP="00B42442">
      <w:pPr>
        <w:pStyle w:val="Appendixref"/>
        <w:rPr>
          <w:lang w:eastAsia="zh-CN"/>
        </w:rPr>
      </w:pPr>
      <w:r w:rsidRPr="006E3B9B">
        <w:rPr>
          <w:lang w:eastAsia="zh-CN"/>
        </w:rPr>
        <w:t>第</w:t>
      </w:r>
      <w:r w:rsidRPr="006E3B9B">
        <w:rPr>
          <w:lang w:eastAsia="zh-CN"/>
        </w:rPr>
        <w:t>53</w:t>
      </w:r>
      <w:r w:rsidRPr="006E3B9B">
        <w:rPr>
          <w:rFonts w:hint="eastAsia"/>
          <w:lang w:eastAsia="zh-CN"/>
        </w:rPr>
        <w:t>8</w:t>
      </w:r>
      <w:r w:rsidRPr="006E3B9B">
        <w:rPr>
          <w:rFonts w:hint="eastAsia"/>
          <w:lang w:eastAsia="zh-CN"/>
        </w:rPr>
        <w:t>号决定</w:t>
      </w:r>
      <w:r w:rsidRPr="006E3B9B">
        <w:rPr>
          <w:rFonts w:hint="eastAsia"/>
          <w:lang w:eastAsia="zh-CN"/>
        </w:rPr>
        <w:tab/>
      </w:r>
      <w:r w:rsidRPr="006E3B9B">
        <w:rPr>
          <w:rFonts w:hint="eastAsia"/>
          <w:lang w:eastAsia="zh-CN"/>
        </w:rPr>
        <w:t>电信展盈余基金</w:t>
      </w:r>
      <w:r w:rsidR="001D4415">
        <w:rPr>
          <w:rFonts w:hint="eastAsia"/>
          <w:lang w:eastAsia="zh-CN"/>
        </w:rPr>
        <w:tab/>
      </w:r>
      <w:r w:rsidR="00396681">
        <w:rPr>
          <w:lang w:eastAsia="zh-CN"/>
        </w:rPr>
        <w:tab/>
      </w:r>
      <w:r w:rsidR="001D4415">
        <w:rPr>
          <w:lang w:val="en-US" w:eastAsia="zh-CN"/>
        </w:rPr>
        <w:t>2008</w:t>
      </w:r>
      <w:r w:rsidR="001D4415">
        <w:rPr>
          <w:rFonts w:hint="eastAsia"/>
          <w:lang w:val="en-US" w:eastAsia="zh-CN"/>
        </w:rPr>
        <w:t>年</w:t>
      </w:r>
    </w:p>
    <w:p w14:paraId="4827C489" w14:textId="77777777" w:rsidR="006E3B9B" w:rsidRPr="006E3B9B" w:rsidRDefault="006E3B9B" w:rsidP="00B42442">
      <w:pPr>
        <w:pStyle w:val="Appendixref"/>
        <w:rPr>
          <w:lang w:eastAsia="zh-CN"/>
        </w:rPr>
      </w:pPr>
      <w:r w:rsidRPr="006E3B9B">
        <w:rPr>
          <w:lang w:eastAsia="zh-CN"/>
        </w:rPr>
        <w:t>第</w:t>
      </w:r>
      <w:r w:rsidRPr="006E3B9B">
        <w:rPr>
          <w:lang w:eastAsia="zh-CN"/>
        </w:rPr>
        <w:t>53</w:t>
      </w:r>
      <w:r w:rsidRPr="006E3B9B">
        <w:rPr>
          <w:rFonts w:hint="eastAsia"/>
          <w:lang w:eastAsia="zh-CN"/>
        </w:rPr>
        <w:t>9</w:t>
      </w:r>
      <w:r w:rsidRPr="006E3B9B">
        <w:rPr>
          <w:rFonts w:hint="eastAsia"/>
          <w:lang w:eastAsia="zh-CN"/>
        </w:rPr>
        <w:t>号决定</w:t>
      </w:r>
      <w:r w:rsidRPr="006E3B9B">
        <w:rPr>
          <w:rFonts w:hint="eastAsia"/>
          <w:lang w:eastAsia="zh-CN"/>
        </w:rPr>
        <w:tab/>
      </w:r>
      <w:r w:rsidRPr="006E3B9B">
        <w:rPr>
          <w:rFonts w:hint="eastAsia"/>
          <w:lang w:eastAsia="zh-CN"/>
        </w:rPr>
        <w:t>与卫星网络申报成本回收相关的纠正措施的实施</w:t>
      </w:r>
      <w:r w:rsidR="001D4415">
        <w:rPr>
          <w:rFonts w:hint="eastAsia"/>
          <w:lang w:eastAsia="zh-CN"/>
        </w:rPr>
        <w:tab/>
      </w:r>
      <w:r w:rsidR="00396681">
        <w:rPr>
          <w:lang w:eastAsia="zh-CN"/>
        </w:rPr>
        <w:tab/>
      </w:r>
      <w:r w:rsidR="001D4415">
        <w:rPr>
          <w:lang w:val="en-US" w:eastAsia="zh-CN"/>
        </w:rPr>
        <w:t>2008</w:t>
      </w:r>
      <w:r w:rsidR="001D4415">
        <w:rPr>
          <w:rFonts w:hint="eastAsia"/>
          <w:lang w:val="en-US" w:eastAsia="zh-CN"/>
        </w:rPr>
        <w:t>年</w:t>
      </w:r>
    </w:p>
    <w:p w14:paraId="4827C48A" w14:textId="77777777" w:rsidR="006E3B9B" w:rsidRPr="006E3B9B" w:rsidRDefault="006E3B9B" w:rsidP="00B42442">
      <w:pPr>
        <w:pStyle w:val="Appendixref"/>
        <w:rPr>
          <w:lang w:eastAsia="zh-CN"/>
        </w:rPr>
      </w:pPr>
      <w:r w:rsidRPr="006E3B9B">
        <w:rPr>
          <w:lang w:eastAsia="zh-CN"/>
        </w:rPr>
        <w:t>第</w:t>
      </w:r>
      <w:r w:rsidRPr="006E3B9B">
        <w:rPr>
          <w:lang w:eastAsia="zh-CN"/>
        </w:rPr>
        <w:t>5</w:t>
      </w:r>
      <w:r w:rsidRPr="006E3B9B">
        <w:rPr>
          <w:rFonts w:hint="eastAsia"/>
          <w:lang w:eastAsia="zh-CN"/>
        </w:rPr>
        <w:t>40</w:t>
      </w:r>
      <w:r w:rsidRPr="006E3B9B">
        <w:rPr>
          <w:rFonts w:hint="eastAsia"/>
          <w:lang w:eastAsia="zh-CN"/>
        </w:rPr>
        <w:t>号决定</w:t>
      </w:r>
      <w:r w:rsidRPr="006E3B9B">
        <w:rPr>
          <w:rFonts w:hint="eastAsia"/>
          <w:lang w:eastAsia="zh-CN"/>
        </w:rPr>
        <w:tab/>
      </w:r>
      <w:r w:rsidRPr="006E3B9B">
        <w:rPr>
          <w:rFonts w:hint="eastAsia"/>
          <w:lang w:eastAsia="zh-CN"/>
        </w:rPr>
        <w:t>成立一个单一的行政管理常设委员会</w:t>
      </w:r>
      <w:r w:rsidR="00396681">
        <w:rPr>
          <w:lang w:eastAsia="zh-CN"/>
        </w:rPr>
        <w:tab/>
      </w:r>
      <w:r w:rsidRPr="006E3B9B">
        <w:rPr>
          <w:rFonts w:hint="eastAsia"/>
          <w:lang w:eastAsia="zh-CN"/>
        </w:rPr>
        <w:tab/>
        <w:t>3.2</w:t>
      </w:r>
    </w:p>
    <w:p w14:paraId="4827C48B" w14:textId="77777777" w:rsidR="006E3B9B" w:rsidRPr="006E3B9B" w:rsidRDefault="006E3B9B" w:rsidP="00B42442">
      <w:pPr>
        <w:pStyle w:val="Appendixref"/>
        <w:rPr>
          <w:lang w:eastAsia="zh-CN"/>
        </w:rPr>
      </w:pPr>
      <w:r w:rsidRPr="006E3B9B">
        <w:rPr>
          <w:lang w:eastAsia="zh-CN"/>
        </w:rPr>
        <w:t>第</w:t>
      </w:r>
      <w:r w:rsidRPr="006E3B9B">
        <w:rPr>
          <w:lang w:eastAsia="zh-CN"/>
        </w:rPr>
        <w:t>5</w:t>
      </w:r>
      <w:r w:rsidRPr="006E3B9B">
        <w:rPr>
          <w:rFonts w:hint="eastAsia"/>
          <w:lang w:eastAsia="zh-CN"/>
        </w:rPr>
        <w:t>41</w:t>
      </w:r>
      <w:r w:rsidRPr="006E3B9B">
        <w:rPr>
          <w:rFonts w:hint="eastAsia"/>
          <w:lang w:eastAsia="zh-CN"/>
        </w:rPr>
        <w:t>号决定</w:t>
      </w:r>
      <w:r w:rsidRPr="006E3B9B">
        <w:rPr>
          <w:rFonts w:hint="eastAsia"/>
          <w:lang w:eastAsia="zh-CN"/>
        </w:rPr>
        <w:tab/>
      </w:r>
      <w:r w:rsidRPr="006E3B9B">
        <w:rPr>
          <w:rFonts w:hint="eastAsia"/>
          <w:lang w:eastAsia="zh-CN"/>
        </w:rPr>
        <w:t>理事会</w:t>
      </w:r>
      <w:r w:rsidRPr="006E3B9B">
        <w:rPr>
          <w:rFonts w:hint="eastAsia"/>
          <w:lang w:eastAsia="zh-CN"/>
        </w:rPr>
        <w:t>2007</w:t>
      </w:r>
      <w:r w:rsidRPr="006E3B9B">
        <w:rPr>
          <w:rFonts w:hint="eastAsia"/>
          <w:lang w:eastAsia="zh-CN"/>
        </w:rPr>
        <w:t>年会议的日期和会期</w:t>
      </w:r>
      <w:r w:rsidRPr="006E3B9B">
        <w:rPr>
          <w:rFonts w:hint="eastAsia"/>
          <w:lang w:eastAsia="zh-CN"/>
        </w:rPr>
        <w:tab/>
      </w:r>
      <w:r w:rsidR="00396681">
        <w:rPr>
          <w:lang w:eastAsia="zh-CN"/>
        </w:rPr>
        <w:tab/>
      </w:r>
      <w:r w:rsidRPr="006E3B9B">
        <w:rPr>
          <w:rFonts w:hint="eastAsia"/>
          <w:lang w:eastAsia="zh-CN"/>
        </w:rPr>
        <w:t>2007</w:t>
      </w:r>
      <w:r w:rsidRPr="006E3B9B">
        <w:rPr>
          <w:rFonts w:hint="eastAsia"/>
          <w:lang w:eastAsia="zh-CN"/>
        </w:rPr>
        <w:t>年</w:t>
      </w:r>
    </w:p>
    <w:p w14:paraId="4827C48C" w14:textId="77777777" w:rsidR="006E3B9B" w:rsidRPr="006E3B9B" w:rsidRDefault="006E3B9B" w:rsidP="00B42442">
      <w:pPr>
        <w:pStyle w:val="Appendixref"/>
        <w:rPr>
          <w:lang w:eastAsia="zh-CN"/>
        </w:rPr>
      </w:pPr>
      <w:r w:rsidRPr="006E3B9B">
        <w:rPr>
          <w:lang w:eastAsia="zh-CN"/>
        </w:rPr>
        <w:t>第</w:t>
      </w:r>
      <w:r w:rsidRPr="006E3B9B">
        <w:rPr>
          <w:lang w:eastAsia="zh-CN"/>
        </w:rPr>
        <w:t>5</w:t>
      </w:r>
      <w:r w:rsidRPr="006E3B9B">
        <w:rPr>
          <w:rFonts w:hint="eastAsia"/>
          <w:lang w:eastAsia="zh-CN"/>
        </w:rPr>
        <w:t>42</w:t>
      </w:r>
      <w:r w:rsidRPr="006E3B9B">
        <w:rPr>
          <w:rFonts w:hint="eastAsia"/>
          <w:lang w:eastAsia="zh-CN"/>
        </w:rPr>
        <w:t>号决定</w:t>
      </w:r>
      <w:r w:rsidRPr="006E3B9B">
        <w:rPr>
          <w:rFonts w:hint="eastAsia"/>
          <w:lang w:eastAsia="zh-CN"/>
        </w:rPr>
        <w:tab/>
      </w:r>
      <w:r w:rsidRPr="006E3B9B">
        <w:rPr>
          <w:rFonts w:hint="eastAsia"/>
          <w:lang w:eastAsia="zh-CN"/>
        </w:rPr>
        <w:t>网上</w:t>
      </w:r>
      <w:r w:rsidRPr="006E3B9B">
        <w:rPr>
          <w:lang w:eastAsia="zh-CN"/>
        </w:rPr>
        <w:t>提供国际电联电信标准化部门（</w:t>
      </w:r>
      <w:r w:rsidRPr="006E3B9B">
        <w:rPr>
          <w:lang w:eastAsia="zh-CN"/>
        </w:rPr>
        <w:t>ITU-T</w:t>
      </w:r>
      <w:r w:rsidRPr="006E3B9B">
        <w:rPr>
          <w:lang w:eastAsia="zh-CN"/>
        </w:rPr>
        <w:t>）建议书</w:t>
      </w:r>
      <w:r w:rsidR="00396681">
        <w:rPr>
          <w:lang w:eastAsia="zh-CN"/>
        </w:rPr>
        <w:tab/>
      </w:r>
      <w:r w:rsidRPr="006E3B9B">
        <w:rPr>
          <w:rFonts w:hint="eastAsia"/>
          <w:lang w:eastAsia="zh-CN"/>
        </w:rPr>
        <w:tab/>
      </w:r>
      <w:r w:rsidR="00811AE9">
        <w:rPr>
          <w:rFonts w:hint="eastAsia"/>
          <w:lang w:val="en-US" w:eastAsia="zh-CN"/>
        </w:rPr>
        <w:t>2010</w:t>
      </w:r>
      <w:r w:rsidR="00811AE9" w:rsidRPr="006E3B9B">
        <w:rPr>
          <w:rFonts w:hint="eastAsia"/>
          <w:lang w:val="en-US" w:eastAsia="zh-CN"/>
        </w:rPr>
        <w:t>年</w:t>
      </w:r>
    </w:p>
    <w:p w14:paraId="4827C48D" w14:textId="77777777" w:rsidR="006E3B9B" w:rsidRPr="006E3B9B" w:rsidRDefault="006E3B9B" w:rsidP="004E1793">
      <w:pPr>
        <w:pStyle w:val="Reftitle"/>
        <w:rPr>
          <w:sz w:val="20"/>
          <w:lang w:eastAsia="zh-CN"/>
        </w:rPr>
      </w:pPr>
      <w:r w:rsidRPr="006E3B9B">
        <w:rPr>
          <w:rFonts w:hint="eastAsia"/>
          <w:lang w:eastAsia="zh-CN"/>
        </w:rPr>
        <w:t>200</w:t>
      </w:r>
      <w:r w:rsidRPr="006E3B9B">
        <w:rPr>
          <w:lang w:eastAsia="zh-CN"/>
        </w:rPr>
        <w:t>7</w:t>
      </w:r>
      <w:r w:rsidRPr="006E3B9B">
        <w:rPr>
          <w:rFonts w:hint="eastAsia"/>
          <w:lang w:eastAsia="zh-CN"/>
        </w:rPr>
        <w:t>年会议（</w:t>
      </w:r>
      <w:r w:rsidRPr="006E3B9B">
        <w:rPr>
          <w:rFonts w:hint="eastAsia"/>
          <w:lang w:eastAsia="zh-CN"/>
        </w:rPr>
        <w:t>200</w:t>
      </w:r>
      <w:r w:rsidRPr="006E3B9B">
        <w:rPr>
          <w:lang w:eastAsia="zh-CN"/>
        </w:rPr>
        <w:t>7</w:t>
      </w:r>
      <w:r w:rsidRPr="006E3B9B">
        <w:rPr>
          <w:rFonts w:hint="eastAsia"/>
          <w:lang w:eastAsia="zh-CN"/>
        </w:rPr>
        <w:t>年</w:t>
      </w:r>
      <w:r w:rsidRPr="006E3B9B">
        <w:rPr>
          <w:lang w:val="en-US" w:eastAsia="zh-CN"/>
        </w:rPr>
        <w:t>9</w:t>
      </w:r>
      <w:r w:rsidRPr="006E3B9B">
        <w:rPr>
          <w:rFonts w:hint="eastAsia"/>
          <w:lang w:eastAsia="zh-CN"/>
        </w:rPr>
        <w:t>月</w:t>
      </w:r>
      <w:r w:rsidRPr="006E3B9B">
        <w:rPr>
          <w:lang w:val="en-US" w:eastAsia="zh-CN"/>
        </w:rPr>
        <w:t>4</w:t>
      </w:r>
      <w:r w:rsidRPr="006E3B9B">
        <w:rPr>
          <w:rFonts w:hint="eastAsia"/>
          <w:lang w:eastAsia="zh-CN"/>
        </w:rPr>
        <w:t>-</w:t>
      </w:r>
      <w:r w:rsidRPr="006E3B9B">
        <w:rPr>
          <w:lang w:eastAsia="zh-CN"/>
        </w:rPr>
        <w:t>14</w:t>
      </w:r>
      <w:r w:rsidRPr="006E3B9B">
        <w:rPr>
          <w:rFonts w:hint="eastAsia"/>
          <w:lang w:eastAsia="zh-CN"/>
        </w:rPr>
        <w:t>日）</w:t>
      </w:r>
    </w:p>
    <w:p w14:paraId="4827C48E" w14:textId="77777777" w:rsidR="006E3B9B" w:rsidRPr="006E3B9B" w:rsidRDefault="006E3B9B" w:rsidP="00B42442">
      <w:pPr>
        <w:pStyle w:val="Appendixref"/>
        <w:rPr>
          <w:lang w:eastAsia="zh-CN"/>
        </w:rPr>
      </w:pPr>
      <w:r w:rsidRPr="006E3B9B">
        <w:rPr>
          <w:rFonts w:hint="eastAsia"/>
          <w:lang w:eastAsia="zh-CN"/>
        </w:rPr>
        <w:t>第</w:t>
      </w:r>
      <w:r w:rsidRPr="006E3B9B">
        <w:rPr>
          <w:rFonts w:hint="eastAsia"/>
          <w:lang w:eastAsia="zh-CN"/>
        </w:rPr>
        <w:t>543</w:t>
      </w:r>
      <w:r w:rsidRPr="006E3B9B">
        <w:rPr>
          <w:rFonts w:hint="eastAsia"/>
          <w:lang w:eastAsia="zh-CN"/>
        </w:rPr>
        <w:t>号决定</w:t>
      </w:r>
      <w:r w:rsidRPr="006E3B9B">
        <w:rPr>
          <w:rFonts w:hint="eastAsia"/>
          <w:lang w:eastAsia="zh-CN"/>
        </w:rPr>
        <w:tab/>
      </w:r>
      <w:r w:rsidRPr="006E3B9B">
        <w:rPr>
          <w:lang w:eastAsia="zh-CN"/>
        </w:rPr>
        <w:t>下届例行的全权代表大会的举行</w:t>
      </w:r>
      <w:r>
        <w:rPr>
          <w:rFonts w:hint="eastAsia"/>
          <w:lang w:eastAsia="zh-CN"/>
        </w:rPr>
        <w:tab/>
      </w:r>
      <w:r w:rsidR="00396681">
        <w:rPr>
          <w:lang w:eastAsia="zh-CN"/>
        </w:rPr>
        <w:tab/>
      </w:r>
      <w:r w:rsidR="002741D1">
        <w:rPr>
          <w:rFonts w:hint="eastAsia"/>
          <w:lang w:eastAsia="zh-CN"/>
        </w:rPr>
        <w:t>2011</w:t>
      </w:r>
      <w:r w:rsidR="00077C0D">
        <w:rPr>
          <w:rFonts w:hint="eastAsia"/>
          <w:lang w:eastAsia="zh-CN"/>
        </w:rPr>
        <w:t>年</w:t>
      </w:r>
    </w:p>
    <w:p w14:paraId="4827C48F" w14:textId="77777777" w:rsidR="006E3B9B" w:rsidRPr="006E3B9B" w:rsidRDefault="006E3B9B" w:rsidP="00B42442">
      <w:pPr>
        <w:pStyle w:val="Appendixref"/>
        <w:rPr>
          <w:lang w:eastAsia="zh-CN"/>
        </w:rPr>
      </w:pPr>
      <w:r w:rsidRPr="006E3B9B">
        <w:rPr>
          <w:rFonts w:hint="eastAsia"/>
          <w:lang w:eastAsia="zh-CN"/>
        </w:rPr>
        <w:t>第</w:t>
      </w:r>
      <w:r w:rsidRPr="006E3B9B">
        <w:rPr>
          <w:rFonts w:hint="eastAsia"/>
          <w:lang w:eastAsia="zh-CN"/>
        </w:rPr>
        <w:t>544</w:t>
      </w:r>
      <w:r w:rsidRPr="006E3B9B">
        <w:rPr>
          <w:rFonts w:hint="eastAsia"/>
          <w:lang w:eastAsia="zh-CN"/>
        </w:rPr>
        <w:t>号决定</w:t>
      </w:r>
      <w:r w:rsidRPr="006E3B9B">
        <w:rPr>
          <w:rFonts w:hint="eastAsia"/>
          <w:lang w:eastAsia="zh-CN"/>
        </w:rPr>
        <w:tab/>
      </w:r>
      <w:r w:rsidRPr="006E3B9B">
        <w:rPr>
          <w:lang w:eastAsia="zh-CN"/>
        </w:rPr>
        <w:t>欠款利息和不可回收债务的注销</w:t>
      </w:r>
      <w:r w:rsidR="001D4415">
        <w:rPr>
          <w:rFonts w:hint="eastAsia"/>
          <w:lang w:eastAsia="zh-CN"/>
        </w:rPr>
        <w:tab/>
      </w:r>
      <w:r w:rsidR="00396681">
        <w:rPr>
          <w:lang w:eastAsia="zh-CN"/>
        </w:rPr>
        <w:tab/>
      </w:r>
      <w:r w:rsidR="001D4415">
        <w:rPr>
          <w:lang w:val="en-US" w:eastAsia="zh-CN"/>
        </w:rPr>
        <w:t>2008</w:t>
      </w:r>
      <w:r w:rsidR="001D4415">
        <w:rPr>
          <w:rFonts w:hint="eastAsia"/>
          <w:lang w:val="en-US" w:eastAsia="zh-CN"/>
        </w:rPr>
        <w:t>年</w:t>
      </w:r>
    </w:p>
    <w:p w14:paraId="4827C490" w14:textId="77777777" w:rsidR="006E3B9B" w:rsidRPr="006E3B9B" w:rsidRDefault="006E3B9B" w:rsidP="00B42442">
      <w:pPr>
        <w:pStyle w:val="Appendixref"/>
        <w:rPr>
          <w:lang w:eastAsia="zh-CN"/>
        </w:rPr>
      </w:pPr>
      <w:r w:rsidRPr="006E3B9B">
        <w:rPr>
          <w:rFonts w:hint="eastAsia"/>
          <w:lang w:eastAsia="zh-CN"/>
        </w:rPr>
        <w:t>第</w:t>
      </w:r>
      <w:r w:rsidRPr="006E3B9B">
        <w:rPr>
          <w:rFonts w:hint="eastAsia"/>
          <w:lang w:eastAsia="zh-CN"/>
        </w:rPr>
        <w:t>545</w:t>
      </w:r>
      <w:r w:rsidRPr="006E3B9B">
        <w:rPr>
          <w:rFonts w:hint="eastAsia"/>
          <w:lang w:eastAsia="zh-CN"/>
        </w:rPr>
        <w:t>号决定</w:t>
      </w:r>
      <w:r w:rsidRPr="006E3B9B">
        <w:rPr>
          <w:rFonts w:hint="eastAsia"/>
          <w:lang w:eastAsia="zh-CN"/>
        </w:rPr>
        <w:tab/>
      </w:r>
      <w:r w:rsidRPr="006E3B9B">
        <w:rPr>
          <w:lang w:eastAsia="zh-CN"/>
        </w:rPr>
        <w:t>不支付卫星网络申报成本回收费用的问题</w:t>
      </w:r>
      <w:r w:rsidR="00396681">
        <w:rPr>
          <w:lang w:eastAsia="zh-CN"/>
        </w:rPr>
        <w:tab/>
      </w:r>
      <w:r>
        <w:rPr>
          <w:rFonts w:hint="eastAsia"/>
          <w:lang w:eastAsia="zh-CN"/>
        </w:rPr>
        <w:tab/>
        <w:t>1.2</w:t>
      </w:r>
    </w:p>
    <w:p w14:paraId="4827C491" w14:textId="77777777" w:rsidR="006E3B9B" w:rsidRPr="006E3B9B" w:rsidRDefault="006E3B9B" w:rsidP="00B42442">
      <w:pPr>
        <w:pStyle w:val="Appendixref"/>
        <w:rPr>
          <w:lang w:eastAsia="zh-CN"/>
        </w:rPr>
      </w:pPr>
      <w:r w:rsidRPr="006E3B9B">
        <w:rPr>
          <w:rFonts w:hint="eastAsia"/>
          <w:lang w:eastAsia="zh-CN"/>
        </w:rPr>
        <w:t>第</w:t>
      </w:r>
      <w:r w:rsidRPr="006E3B9B">
        <w:rPr>
          <w:rFonts w:hint="eastAsia"/>
          <w:lang w:eastAsia="zh-CN"/>
        </w:rPr>
        <w:t>546</w:t>
      </w:r>
      <w:r w:rsidRPr="006E3B9B">
        <w:rPr>
          <w:rFonts w:hint="eastAsia"/>
          <w:lang w:eastAsia="zh-CN"/>
        </w:rPr>
        <w:t>号决定</w:t>
      </w:r>
      <w:r w:rsidRPr="006E3B9B">
        <w:rPr>
          <w:rFonts w:hint="eastAsia"/>
          <w:lang w:eastAsia="zh-CN"/>
        </w:rPr>
        <w:tab/>
      </w:r>
      <w:r w:rsidRPr="006E3B9B">
        <w:rPr>
          <w:rFonts w:hint="eastAsia"/>
          <w:lang w:eastAsia="zh-CN"/>
        </w:rPr>
        <w:t>对理事会《财务规则》和相关财务管理问题小组职责范围的修改</w:t>
      </w:r>
      <w:r w:rsidR="00396681">
        <w:rPr>
          <w:lang w:eastAsia="zh-CN"/>
        </w:rPr>
        <w:tab/>
      </w:r>
      <w:r>
        <w:rPr>
          <w:rFonts w:hint="eastAsia"/>
          <w:lang w:eastAsia="zh-CN"/>
        </w:rPr>
        <w:tab/>
      </w:r>
      <w:r w:rsidR="002741D1">
        <w:rPr>
          <w:rFonts w:hint="eastAsia"/>
          <w:lang w:eastAsia="zh-CN"/>
        </w:rPr>
        <w:t>2011</w:t>
      </w:r>
      <w:r w:rsidR="00077C0D">
        <w:rPr>
          <w:rFonts w:hint="eastAsia"/>
          <w:lang w:eastAsia="zh-CN"/>
        </w:rPr>
        <w:t>年</w:t>
      </w:r>
    </w:p>
    <w:p w14:paraId="4827C492" w14:textId="77777777" w:rsidR="006E3B9B" w:rsidRPr="006E3B9B" w:rsidRDefault="006E3B9B" w:rsidP="00B42442">
      <w:pPr>
        <w:pStyle w:val="Appendixref"/>
        <w:rPr>
          <w:lang w:eastAsia="zh-CN"/>
        </w:rPr>
      </w:pPr>
      <w:r w:rsidRPr="006E3B9B">
        <w:rPr>
          <w:rFonts w:hint="eastAsia"/>
          <w:lang w:eastAsia="zh-CN"/>
        </w:rPr>
        <w:t>第</w:t>
      </w:r>
      <w:r w:rsidRPr="006E3B9B">
        <w:rPr>
          <w:rFonts w:hint="eastAsia"/>
          <w:lang w:eastAsia="zh-CN"/>
        </w:rPr>
        <w:t>547</w:t>
      </w:r>
      <w:r w:rsidRPr="006E3B9B">
        <w:rPr>
          <w:rFonts w:hint="eastAsia"/>
          <w:lang w:eastAsia="zh-CN"/>
        </w:rPr>
        <w:t>号决定</w:t>
      </w:r>
      <w:r w:rsidRPr="006E3B9B">
        <w:rPr>
          <w:rFonts w:hint="eastAsia"/>
          <w:lang w:eastAsia="zh-CN"/>
        </w:rPr>
        <w:tab/>
      </w:r>
      <w:r w:rsidRPr="006E3B9B">
        <w:rPr>
          <w:rFonts w:hint="eastAsia"/>
          <w:lang w:eastAsia="zh-CN"/>
        </w:rPr>
        <w:t>理事会</w:t>
      </w:r>
      <w:r w:rsidRPr="006E3B9B">
        <w:rPr>
          <w:lang w:eastAsia="zh-CN"/>
        </w:rPr>
        <w:t>2008</w:t>
      </w:r>
      <w:r w:rsidRPr="006E3B9B">
        <w:rPr>
          <w:rFonts w:hint="eastAsia"/>
          <w:lang w:eastAsia="zh-CN"/>
        </w:rPr>
        <w:t>年会议的日期和会期</w:t>
      </w:r>
      <w:r w:rsidR="001D4415">
        <w:rPr>
          <w:rFonts w:hint="eastAsia"/>
          <w:lang w:eastAsia="zh-CN"/>
        </w:rPr>
        <w:tab/>
      </w:r>
      <w:r w:rsidR="00396681">
        <w:rPr>
          <w:lang w:eastAsia="zh-CN"/>
        </w:rPr>
        <w:tab/>
      </w:r>
      <w:r w:rsidR="001D4415">
        <w:rPr>
          <w:lang w:val="en-US" w:eastAsia="zh-CN"/>
        </w:rPr>
        <w:t>2008</w:t>
      </w:r>
      <w:r w:rsidR="001D4415">
        <w:rPr>
          <w:rFonts w:hint="eastAsia"/>
          <w:lang w:val="en-US" w:eastAsia="zh-CN"/>
        </w:rPr>
        <w:t>年</w:t>
      </w:r>
    </w:p>
    <w:p w14:paraId="4827C493" w14:textId="77777777" w:rsidR="006E3B9B" w:rsidRPr="006E3B9B" w:rsidRDefault="006E3B9B" w:rsidP="00B42442">
      <w:pPr>
        <w:pStyle w:val="Appendixref"/>
        <w:rPr>
          <w:szCs w:val="28"/>
          <w:lang w:eastAsia="zh-CN"/>
        </w:rPr>
      </w:pPr>
      <w:r w:rsidRPr="006E3B9B">
        <w:rPr>
          <w:rFonts w:hint="eastAsia"/>
          <w:lang w:eastAsia="zh-CN"/>
        </w:rPr>
        <w:t>第</w:t>
      </w:r>
      <w:r w:rsidRPr="006E3B9B">
        <w:rPr>
          <w:rFonts w:hint="eastAsia"/>
          <w:lang w:eastAsia="zh-CN"/>
        </w:rPr>
        <w:t>548</w:t>
      </w:r>
      <w:r w:rsidRPr="006E3B9B">
        <w:rPr>
          <w:rFonts w:hint="eastAsia"/>
          <w:lang w:eastAsia="zh-CN"/>
        </w:rPr>
        <w:t>号决定</w:t>
      </w:r>
      <w:r w:rsidRPr="006E3B9B">
        <w:rPr>
          <w:rFonts w:hint="eastAsia"/>
          <w:lang w:eastAsia="zh-CN"/>
        </w:rPr>
        <w:tab/>
      </w:r>
      <w:r w:rsidRPr="006E3B9B">
        <w:rPr>
          <w:lang w:eastAsia="zh-CN"/>
        </w:rPr>
        <w:t>选任官员的服务条件</w:t>
      </w:r>
      <w:r w:rsidRPr="006E3B9B">
        <w:rPr>
          <w:rFonts w:hint="eastAsia"/>
          <w:lang w:eastAsia="zh-CN"/>
        </w:rPr>
        <w:t xml:space="preserve"> </w:t>
      </w:r>
      <w:r w:rsidRPr="006E3B9B">
        <w:rPr>
          <w:lang w:eastAsia="zh-CN"/>
        </w:rPr>
        <w:t>–</w:t>
      </w:r>
      <w:r w:rsidRPr="006E3B9B">
        <w:rPr>
          <w:rFonts w:hint="eastAsia"/>
          <w:lang w:eastAsia="zh-CN"/>
        </w:rPr>
        <w:t xml:space="preserve"> </w:t>
      </w:r>
      <w:r w:rsidRPr="006E3B9B">
        <w:rPr>
          <w:lang w:eastAsia="zh-CN"/>
        </w:rPr>
        <w:t>专项住房补贴</w:t>
      </w:r>
      <w:r>
        <w:rPr>
          <w:rFonts w:hint="eastAsia"/>
          <w:lang w:eastAsia="zh-CN"/>
        </w:rPr>
        <w:tab/>
      </w:r>
      <w:r w:rsidR="00396681">
        <w:rPr>
          <w:lang w:eastAsia="zh-CN"/>
        </w:rPr>
        <w:tab/>
      </w:r>
      <w:r>
        <w:rPr>
          <w:rFonts w:hint="eastAsia"/>
          <w:lang w:eastAsia="zh-CN"/>
        </w:rPr>
        <w:t>2.1</w:t>
      </w:r>
    </w:p>
    <w:bookmarkEnd w:id="2887"/>
    <w:p w14:paraId="4827C494" w14:textId="77777777" w:rsidR="009B218A" w:rsidRPr="001D4415" w:rsidRDefault="001D4415" w:rsidP="004E1793">
      <w:pPr>
        <w:pStyle w:val="Reftitle"/>
        <w:rPr>
          <w:lang w:eastAsia="zh-CN"/>
        </w:rPr>
      </w:pPr>
      <w:r w:rsidRPr="001D4415">
        <w:rPr>
          <w:lang w:eastAsia="zh-CN"/>
        </w:rPr>
        <w:t>200</w:t>
      </w:r>
      <w:r w:rsidRPr="001D4415">
        <w:rPr>
          <w:rFonts w:hint="eastAsia"/>
          <w:lang w:eastAsia="zh-CN"/>
        </w:rPr>
        <w:t>8</w:t>
      </w:r>
      <w:r w:rsidRPr="001D4415">
        <w:rPr>
          <w:rFonts w:hint="eastAsia"/>
          <w:lang w:eastAsia="zh-CN"/>
        </w:rPr>
        <w:t>年会议（</w:t>
      </w:r>
      <w:r w:rsidRPr="001D4415">
        <w:rPr>
          <w:rFonts w:hint="eastAsia"/>
          <w:lang w:eastAsia="zh-CN"/>
        </w:rPr>
        <w:t>2008</w:t>
      </w:r>
      <w:r w:rsidRPr="001D4415">
        <w:rPr>
          <w:rFonts w:hint="eastAsia"/>
          <w:lang w:eastAsia="zh-CN"/>
        </w:rPr>
        <w:t>年</w:t>
      </w:r>
      <w:r w:rsidRPr="001D4415">
        <w:rPr>
          <w:rFonts w:hint="eastAsia"/>
          <w:lang w:eastAsia="zh-CN"/>
        </w:rPr>
        <w:t>11</w:t>
      </w:r>
      <w:r w:rsidRPr="001D4415">
        <w:rPr>
          <w:rFonts w:hint="eastAsia"/>
          <w:lang w:eastAsia="zh-CN"/>
        </w:rPr>
        <w:t>月</w:t>
      </w:r>
      <w:r w:rsidRPr="001D4415">
        <w:rPr>
          <w:rFonts w:hint="eastAsia"/>
          <w:lang w:eastAsia="zh-CN"/>
        </w:rPr>
        <w:t>12-21</w:t>
      </w:r>
      <w:r w:rsidRPr="001D4415">
        <w:rPr>
          <w:rFonts w:hint="eastAsia"/>
          <w:lang w:eastAsia="zh-CN"/>
        </w:rPr>
        <w:t>日）</w:t>
      </w:r>
    </w:p>
    <w:p w14:paraId="24414A7A" w14:textId="3283D76C" w:rsidR="00E20EBB" w:rsidRDefault="00E20EBB" w:rsidP="00B42442">
      <w:pPr>
        <w:pStyle w:val="Appendixref"/>
        <w:rPr>
          <w:lang w:eastAsia="zh-CN"/>
        </w:rPr>
      </w:pPr>
      <w:r w:rsidRPr="006E3B9B">
        <w:rPr>
          <w:rFonts w:hint="eastAsia"/>
          <w:lang w:eastAsia="zh-CN"/>
        </w:rPr>
        <w:t>第</w:t>
      </w:r>
      <w:r>
        <w:rPr>
          <w:rFonts w:hint="eastAsia"/>
          <w:lang w:eastAsia="zh-CN"/>
        </w:rPr>
        <w:t>482</w:t>
      </w:r>
      <w:r w:rsidRPr="006E3B9B">
        <w:rPr>
          <w:rFonts w:hint="eastAsia"/>
          <w:lang w:eastAsia="zh-CN"/>
        </w:rPr>
        <w:t>号决定</w:t>
      </w:r>
      <w:r w:rsidRPr="006E3B9B">
        <w:rPr>
          <w:rFonts w:hint="eastAsia"/>
          <w:lang w:eastAsia="zh-CN"/>
        </w:rPr>
        <w:tab/>
      </w:r>
      <w:r w:rsidR="00AC5061" w:rsidRPr="00AC5061">
        <w:rPr>
          <w:rFonts w:hint="eastAsia"/>
          <w:lang w:eastAsia="zh-CN"/>
        </w:rPr>
        <w:t>对卫星网络申报实行成本回收</w:t>
      </w:r>
      <w:r>
        <w:rPr>
          <w:rFonts w:hint="eastAsia"/>
          <w:lang w:eastAsia="zh-CN"/>
        </w:rPr>
        <w:tab/>
      </w:r>
      <w:r>
        <w:rPr>
          <w:lang w:eastAsia="zh-CN"/>
        </w:rPr>
        <w:tab/>
      </w:r>
      <w:r>
        <w:rPr>
          <w:rFonts w:hint="eastAsia"/>
          <w:lang w:eastAsia="zh-CN"/>
        </w:rPr>
        <w:t>1.2</w:t>
      </w:r>
    </w:p>
    <w:p w14:paraId="4827C495" w14:textId="4B3DFDE0" w:rsidR="001D4415" w:rsidRPr="006E3B9B" w:rsidRDefault="001D4415" w:rsidP="00B42442">
      <w:pPr>
        <w:pStyle w:val="Appendixref"/>
        <w:rPr>
          <w:lang w:eastAsia="zh-CN"/>
        </w:rPr>
      </w:pPr>
      <w:r w:rsidRPr="006E3B9B">
        <w:rPr>
          <w:rFonts w:hint="eastAsia"/>
          <w:lang w:eastAsia="zh-CN"/>
        </w:rPr>
        <w:t>第</w:t>
      </w:r>
      <w:r>
        <w:rPr>
          <w:rFonts w:hint="eastAsia"/>
          <w:lang w:eastAsia="zh-CN"/>
        </w:rPr>
        <w:t>549</w:t>
      </w:r>
      <w:r w:rsidRPr="006E3B9B">
        <w:rPr>
          <w:rFonts w:hint="eastAsia"/>
          <w:lang w:eastAsia="zh-CN"/>
        </w:rPr>
        <w:t>号决定</w:t>
      </w:r>
      <w:r w:rsidRPr="006E3B9B">
        <w:rPr>
          <w:rFonts w:hint="eastAsia"/>
          <w:lang w:eastAsia="zh-CN"/>
        </w:rPr>
        <w:tab/>
      </w:r>
      <w:r w:rsidRPr="001D4415">
        <w:rPr>
          <w:rFonts w:hint="eastAsia"/>
          <w:lang w:eastAsia="zh-CN"/>
        </w:rPr>
        <w:t>理事会</w:t>
      </w:r>
      <w:r w:rsidRPr="001D4415">
        <w:rPr>
          <w:rFonts w:hint="eastAsia"/>
          <w:lang w:eastAsia="zh-CN"/>
        </w:rPr>
        <w:t>2009</w:t>
      </w:r>
      <w:r w:rsidRPr="001D4415">
        <w:rPr>
          <w:rFonts w:hint="eastAsia"/>
          <w:lang w:eastAsia="zh-CN"/>
        </w:rPr>
        <w:t>年会议的日期和会期</w:t>
      </w:r>
      <w:r>
        <w:rPr>
          <w:rFonts w:hint="eastAsia"/>
          <w:lang w:eastAsia="zh-CN"/>
        </w:rPr>
        <w:tab/>
      </w:r>
      <w:r w:rsidR="00396681">
        <w:rPr>
          <w:lang w:eastAsia="zh-CN"/>
        </w:rPr>
        <w:tab/>
      </w:r>
      <w:r>
        <w:rPr>
          <w:rFonts w:hint="eastAsia"/>
          <w:lang w:eastAsia="zh-CN"/>
        </w:rPr>
        <w:t>2</w:t>
      </w:r>
      <w:r w:rsidR="004223B8">
        <w:rPr>
          <w:rFonts w:hint="eastAsia"/>
          <w:lang w:eastAsia="zh-CN"/>
        </w:rPr>
        <w:t>009</w:t>
      </w:r>
      <w:r w:rsidR="004223B8">
        <w:rPr>
          <w:rFonts w:hint="eastAsia"/>
          <w:lang w:eastAsia="zh-CN"/>
        </w:rPr>
        <w:t>年</w:t>
      </w:r>
    </w:p>
    <w:p w14:paraId="4827C496" w14:textId="77777777" w:rsidR="001D4415" w:rsidRPr="006E3B9B" w:rsidRDefault="001D4415" w:rsidP="00B42442">
      <w:pPr>
        <w:pStyle w:val="Appendixref"/>
        <w:rPr>
          <w:lang w:eastAsia="zh-CN"/>
        </w:rPr>
      </w:pPr>
      <w:r w:rsidRPr="006E3B9B">
        <w:rPr>
          <w:rFonts w:hint="eastAsia"/>
          <w:lang w:eastAsia="zh-CN"/>
        </w:rPr>
        <w:t>第</w:t>
      </w:r>
      <w:r>
        <w:rPr>
          <w:rFonts w:hint="eastAsia"/>
          <w:lang w:eastAsia="zh-CN"/>
        </w:rPr>
        <w:t>550</w:t>
      </w:r>
      <w:r w:rsidRPr="006E3B9B">
        <w:rPr>
          <w:rFonts w:hint="eastAsia"/>
          <w:lang w:eastAsia="zh-CN"/>
        </w:rPr>
        <w:t>号决定</w:t>
      </w:r>
      <w:r w:rsidRPr="006E3B9B">
        <w:rPr>
          <w:rFonts w:hint="eastAsia"/>
          <w:lang w:eastAsia="zh-CN"/>
        </w:rPr>
        <w:tab/>
      </w:r>
      <w:r w:rsidR="00E509FA" w:rsidRPr="00E509FA">
        <w:rPr>
          <w:rFonts w:hint="eastAsia"/>
          <w:lang w:val="en-US" w:eastAsia="zh-CN"/>
        </w:rPr>
        <w:t>国际电联对国际公共部门会计准则（</w:t>
      </w:r>
      <w:r w:rsidR="00E509FA" w:rsidRPr="00E509FA">
        <w:rPr>
          <w:lang w:val="en-US" w:eastAsia="zh-CN"/>
        </w:rPr>
        <w:t>IPSAS</w:t>
      </w:r>
      <w:r w:rsidR="00E509FA" w:rsidRPr="00E509FA">
        <w:rPr>
          <w:rFonts w:hint="eastAsia"/>
          <w:lang w:val="en-US" w:eastAsia="zh-CN"/>
        </w:rPr>
        <w:t>）的采纳</w:t>
      </w:r>
      <w:r>
        <w:rPr>
          <w:rFonts w:hint="eastAsia"/>
          <w:lang w:eastAsia="zh-CN"/>
        </w:rPr>
        <w:tab/>
      </w:r>
      <w:r w:rsidR="00396681">
        <w:rPr>
          <w:lang w:eastAsia="zh-CN"/>
        </w:rPr>
        <w:tab/>
      </w:r>
      <w:r w:rsidR="006642CE">
        <w:rPr>
          <w:rFonts w:hint="eastAsia"/>
          <w:lang w:eastAsia="zh-CN"/>
        </w:rPr>
        <w:t>20</w:t>
      </w:r>
      <w:r w:rsidR="006642CE">
        <w:rPr>
          <w:lang w:eastAsia="zh-CN"/>
        </w:rPr>
        <w:t>12</w:t>
      </w:r>
      <w:r w:rsidR="006642CE">
        <w:rPr>
          <w:rFonts w:hint="eastAsia"/>
          <w:lang w:eastAsia="zh-CN"/>
        </w:rPr>
        <w:t>年</w:t>
      </w:r>
    </w:p>
    <w:p w14:paraId="4827C497" w14:textId="77777777" w:rsidR="001D4415" w:rsidRPr="006E3B9B" w:rsidRDefault="001D4415" w:rsidP="00B42442">
      <w:pPr>
        <w:pStyle w:val="Appendixref"/>
        <w:rPr>
          <w:lang w:eastAsia="zh-CN"/>
        </w:rPr>
      </w:pPr>
      <w:r w:rsidRPr="006E3B9B">
        <w:rPr>
          <w:rFonts w:hint="eastAsia"/>
          <w:lang w:eastAsia="zh-CN"/>
        </w:rPr>
        <w:t>第</w:t>
      </w:r>
      <w:r>
        <w:rPr>
          <w:rFonts w:hint="eastAsia"/>
          <w:lang w:eastAsia="zh-CN"/>
        </w:rPr>
        <w:t>551</w:t>
      </w:r>
      <w:r w:rsidRPr="006E3B9B">
        <w:rPr>
          <w:rFonts w:hint="eastAsia"/>
          <w:lang w:eastAsia="zh-CN"/>
        </w:rPr>
        <w:t>号决定</w:t>
      </w:r>
      <w:r w:rsidRPr="006E3B9B">
        <w:rPr>
          <w:rFonts w:hint="eastAsia"/>
          <w:lang w:eastAsia="zh-CN"/>
        </w:rPr>
        <w:tab/>
      </w:r>
      <w:r w:rsidR="00DD07A2" w:rsidRPr="00DD07A2">
        <w:rPr>
          <w:rFonts w:hint="eastAsia"/>
          <w:lang w:val="en-US" w:eastAsia="zh-CN"/>
        </w:rPr>
        <w:t>欠款利息和不可回收债务的注销</w:t>
      </w:r>
      <w:r>
        <w:rPr>
          <w:rFonts w:hint="eastAsia"/>
          <w:lang w:eastAsia="zh-CN"/>
        </w:rPr>
        <w:tab/>
      </w:r>
      <w:r w:rsidR="00396681">
        <w:rPr>
          <w:lang w:eastAsia="zh-CN"/>
        </w:rPr>
        <w:tab/>
      </w:r>
      <w:r>
        <w:rPr>
          <w:rFonts w:hint="eastAsia"/>
          <w:lang w:eastAsia="zh-CN"/>
        </w:rPr>
        <w:t>2</w:t>
      </w:r>
      <w:r w:rsidR="004223B8">
        <w:rPr>
          <w:rFonts w:hint="eastAsia"/>
          <w:lang w:eastAsia="zh-CN"/>
        </w:rPr>
        <w:t>009</w:t>
      </w:r>
      <w:r w:rsidR="004223B8">
        <w:rPr>
          <w:rFonts w:hint="eastAsia"/>
          <w:lang w:eastAsia="zh-CN"/>
        </w:rPr>
        <w:t>年</w:t>
      </w:r>
    </w:p>
    <w:p w14:paraId="4827C498" w14:textId="77777777" w:rsidR="004223B8" w:rsidRPr="001D4415" w:rsidRDefault="004223B8" w:rsidP="004E1793">
      <w:pPr>
        <w:pStyle w:val="Reftitle"/>
        <w:rPr>
          <w:lang w:eastAsia="zh-CN"/>
        </w:rPr>
      </w:pPr>
      <w:r w:rsidRPr="001D4415">
        <w:rPr>
          <w:lang w:eastAsia="zh-CN"/>
        </w:rPr>
        <w:t>200</w:t>
      </w:r>
      <w:r>
        <w:rPr>
          <w:rFonts w:hint="eastAsia"/>
          <w:lang w:eastAsia="zh-CN"/>
        </w:rPr>
        <w:t>9</w:t>
      </w:r>
      <w:r w:rsidRPr="001D4415">
        <w:rPr>
          <w:rFonts w:hint="eastAsia"/>
          <w:lang w:eastAsia="zh-CN"/>
        </w:rPr>
        <w:t>年会议（</w:t>
      </w:r>
      <w:r>
        <w:rPr>
          <w:rFonts w:hint="eastAsia"/>
          <w:lang w:eastAsia="zh-CN"/>
        </w:rPr>
        <w:t>2009</w:t>
      </w:r>
      <w:r w:rsidRPr="001D4415">
        <w:rPr>
          <w:rFonts w:hint="eastAsia"/>
          <w:lang w:eastAsia="zh-CN"/>
        </w:rPr>
        <w:t>年</w:t>
      </w:r>
      <w:r>
        <w:rPr>
          <w:rFonts w:hint="eastAsia"/>
          <w:lang w:eastAsia="zh-CN"/>
        </w:rPr>
        <w:t>10</w:t>
      </w:r>
      <w:r w:rsidRPr="001D4415">
        <w:rPr>
          <w:rFonts w:hint="eastAsia"/>
          <w:lang w:eastAsia="zh-CN"/>
        </w:rPr>
        <w:t>月</w:t>
      </w:r>
      <w:r>
        <w:rPr>
          <w:rFonts w:hint="eastAsia"/>
          <w:lang w:eastAsia="zh-CN"/>
        </w:rPr>
        <w:t>20</w:t>
      </w:r>
      <w:r w:rsidRPr="001D4415">
        <w:rPr>
          <w:rFonts w:hint="eastAsia"/>
          <w:lang w:eastAsia="zh-CN"/>
        </w:rPr>
        <w:t>-</w:t>
      </w:r>
      <w:r>
        <w:rPr>
          <w:rFonts w:hint="eastAsia"/>
          <w:lang w:eastAsia="zh-CN"/>
        </w:rPr>
        <w:t>30</w:t>
      </w:r>
      <w:r w:rsidRPr="001D4415">
        <w:rPr>
          <w:rFonts w:hint="eastAsia"/>
          <w:lang w:eastAsia="zh-CN"/>
        </w:rPr>
        <w:t>日</w:t>
      </w:r>
      <w:r>
        <w:rPr>
          <w:rFonts w:hint="eastAsia"/>
          <w:lang w:eastAsia="zh-CN"/>
        </w:rPr>
        <w:t>，日内瓦</w:t>
      </w:r>
      <w:r w:rsidRPr="001D4415">
        <w:rPr>
          <w:rFonts w:hint="eastAsia"/>
          <w:lang w:eastAsia="zh-CN"/>
        </w:rPr>
        <w:t>）</w:t>
      </w:r>
    </w:p>
    <w:p w14:paraId="4827C499" w14:textId="77777777" w:rsidR="004223B8" w:rsidRPr="006E3B9B" w:rsidRDefault="004223B8" w:rsidP="00B42442">
      <w:pPr>
        <w:pStyle w:val="Appendixref"/>
        <w:rPr>
          <w:lang w:eastAsia="zh-CN"/>
        </w:rPr>
      </w:pPr>
      <w:r w:rsidRPr="006E3B9B">
        <w:rPr>
          <w:rFonts w:hint="eastAsia"/>
          <w:lang w:eastAsia="zh-CN"/>
        </w:rPr>
        <w:t>第</w:t>
      </w:r>
      <w:r>
        <w:rPr>
          <w:rFonts w:hint="eastAsia"/>
          <w:lang w:eastAsia="zh-CN"/>
        </w:rPr>
        <w:t>552</w:t>
      </w:r>
      <w:r w:rsidRPr="006E3B9B">
        <w:rPr>
          <w:rFonts w:hint="eastAsia"/>
          <w:lang w:eastAsia="zh-CN"/>
        </w:rPr>
        <w:t>号决定</w:t>
      </w:r>
      <w:r w:rsidRPr="006E3B9B">
        <w:rPr>
          <w:rFonts w:hint="eastAsia"/>
          <w:lang w:eastAsia="zh-CN"/>
        </w:rPr>
        <w:tab/>
      </w:r>
      <w:r w:rsidRPr="004223B8">
        <w:rPr>
          <w:rFonts w:hint="eastAsia"/>
          <w:lang w:eastAsia="zh-CN"/>
        </w:rPr>
        <w:t>理事会</w:t>
      </w:r>
      <w:r w:rsidRPr="004223B8">
        <w:rPr>
          <w:rFonts w:hint="eastAsia"/>
          <w:lang w:eastAsia="zh-CN"/>
        </w:rPr>
        <w:t>2010</w:t>
      </w:r>
      <w:r w:rsidRPr="004223B8">
        <w:rPr>
          <w:rFonts w:hint="eastAsia"/>
          <w:lang w:eastAsia="zh-CN"/>
        </w:rPr>
        <w:t>年会议的日期和会期</w:t>
      </w:r>
      <w:r>
        <w:rPr>
          <w:rFonts w:hint="eastAsia"/>
          <w:lang w:eastAsia="zh-CN"/>
        </w:rPr>
        <w:tab/>
      </w:r>
      <w:r w:rsidR="00396681">
        <w:rPr>
          <w:lang w:eastAsia="zh-CN"/>
        </w:rPr>
        <w:tab/>
      </w:r>
      <w:r w:rsidR="00811AE9">
        <w:rPr>
          <w:rFonts w:hint="eastAsia"/>
          <w:lang w:val="en-US" w:eastAsia="zh-CN"/>
        </w:rPr>
        <w:t>2010</w:t>
      </w:r>
      <w:r w:rsidR="00811AE9" w:rsidRPr="006E3B9B">
        <w:rPr>
          <w:rFonts w:hint="eastAsia"/>
          <w:lang w:val="en-US" w:eastAsia="zh-CN"/>
        </w:rPr>
        <w:t>年</w:t>
      </w:r>
    </w:p>
    <w:p w14:paraId="4827C49A" w14:textId="77777777" w:rsidR="004223B8" w:rsidRPr="006E3B9B" w:rsidRDefault="004223B8" w:rsidP="00B42442">
      <w:pPr>
        <w:pStyle w:val="Appendixref"/>
        <w:rPr>
          <w:lang w:eastAsia="zh-CN"/>
        </w:rPr>
      </w:pPr>
      <w:r w:rsidRPr="006E3B9B">
        <w:rPr>
          <w:rFonts w:hint="eastAsia"/>
          <w:lang w:eastAsia="zh-CN"/>
        </w:rPr>
        <w:t>第</w:t>
      </w:r>
      <w:r>
        <w:rPr>
          <w:rFonts w:hint="eastAsia"/>
          <w:lang w:eastAsia="zh-CN"/>
        </w:rPr>
        <w:t>553</w:t>
      </w:r>
      <w:r w:rsidRPr="006E3B9B">
        <w:rPr>
          <w:rFonts w:hint="eastAsia"/>
          <w:lang w:eastAsia="zh-CN"/>
        </w:rPr>
        <w:t>号决定</w:t>
      </w:r>
      <w:r w:rsidRPr="006E3B9B">
        <w:rPr>
          <w:rFonts w:hint="eastAsia"/>
          <w:lang w:eastAsia="zh-CN"/>
        </w:rPr>
        <w:tab/>
      </w:r>
      <w:r w:rsidRPr="004223B8">
        <w:rPr>
          <w:rFonts w:hint="eastAsia"/>
          <w:lang w:val="en-US" w:eastAsia="zh-CN"/>
        </w:rPr>
        <w:t>欠款利息和不可回收债务的注销</w:t>
      </w:r>
      <w:r>
        <w:rPr>
          <w:rFonts w:hint="eastAsia"/>
          <w:lang w:eastAsia="zh-CN"/>
        </w:rPr>
        <w:tab/>
      </w:r>
      <w:r w:rsidR="00396681">
        <w:rPr>
          <w:lang w:eastAsia="zh-CN"/>
        </w:rPr>
        <w:tab/>
      </w:r>
      <w:r w:rsidR="002741D1">
        <w:rPr>
          <w:rFonts w:hint="eastAsia"/>
          <w:lang w:eastAsia="zh-CN"/>
        </w:rPr>
        <w:t>2011</w:t>
      </w:r>
      <w:r w:rsidR="00077C0D">
        <w:rPr>
          <w:rFonts w:hint="eastAsia"/>
          <w:lang w:eastAsia="zh-CN"/>
        </w:rPr>
        <w:t>年</w:t>
      </w:r>
    </w:p>
    <w:p w14:paraId="4827C49B" w14:textId="77777777" w:rsidR="004223B8" w:rsidRPr="006E3B9B" w:rsidRDefault="004223B8" w:rsidP="00B42442">
      <w:pPr>
        <w:pStyle w:val="Appendixref"/>
        <w:rPr>
          <w:lang w:eastAsia="zh-CN"/>
        </w:rPr>
      </w:pPr>
      <w:r w:rsidRPr="006E3B9B">
        <w:rPr>
          <w:rFonts w:hint="eastAsia"/>
          <w:lang w:eastAsia="zh-CN"/>
        </w:rPr>
        <w:t>第</w:t>
      </w:r>
      <w:r>
        <w:rPr>
          <w:rFonts w:hint="eastAsia"/>
          <w:lang w:eastAsia="zh-CN"/>
        </w:rPr>
        <w:t>554</w:t>
      </w:r>
      <w:r w:rsidRPr="006E3B9B">
        <w:rPr>
          <w:rFonts w:hint="eastAsia"/>
          <w:lang w:eastAsia="zh-CN"/>
        </w:rPr>
        <w:t>号决定</w:t>
      </w:r>
      <w:r w:rsidRPr="006E3B9B">
        <w:rPr>
          <w:rFonts w:hint="eastAsia"/>
          <w:lang w:eastAsia="zh-CN"/>
        </w:rPr>
        <w:tab/>
      </w:r>
      <w:r w:rsidRPr="004223B8">
        <w:rPr>
          <w:lang w:val="en-US" w:eastAsia="zh-CN"/>
        </w:rPr>
        <w:t>ST3/D2/583</w:t>
      </w:r>
      <w:r w:rsidRPr="004223B8">
        <w:rPr>
          <w:rFonts w:hint="eastAsia"/>
          <w:lang w:val="en-US" w:eastAsia="zh-CN"/>
        </w:rPr>
        <w:t>号职位（电信标准化局副主任兼电信标准化政策部负责人）的职务说明</w:t>
      </w:r>
      <w:r>
        <w:rPr>
          <w:rFonts w:hint="eastAsia"/>
          <w:lang w:eastAsia="zh-CN"/>
        </w:rPr>
        <w:tab/>
      </w:r>
      <w:r w:rsidR="00396681">
        <w:rPr>
          <w:lang w:eastAsia="zh-CN"/>
        </w:rPr>
        <w:tab/>
      </w:r>
      <w:r w:rsidR="002741D1">
        <w:rPr>
          <w:rFonts w:hint="eastAsia"/>
          <w:lang w:eastAsia="zh-CN"/>
        </w:rPr>
        <w:t>2011</w:t>
      </w:r>
      <w:r w:rsidR="00077C0D">
        <w:rPr>
          <w:rFonts w:hint="eastAsia"/>
          <w:lang w:eastAsia="zh-CN"/>
        </w:rPr>
        <w:t>年</w:t>
      </w:r>
    </w:p>
    <w:p w14:paraId="4827C49C" w14:textId="77777777" w:rsidR="0058405E" w:rsidRDefault="0058405E">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4827C49D" w14:textId="77777777" w:rsidR="00811AE9" w:rsidRDefault="00811AE9" w:rsidP="004E1793">
      <w:pPr>
        <w:pStyle w:val="Reftitle"/>
        <w:rPr>
          <w:rFonts w:hAnsi="SimSun"/>
          <w:sz w:val="20"/>
          <w:lang w:val="en-US" w:eastAsia="zh-CN"/>
        </w:rPr>
      </w:pPr>
      <w:r>
        <w:rPr>
          <w:lang w:eastAsia="zh-CN"/>
        </w:rPr>
        <w:lastRenderedPageBreak/>
        <w:t>20</w:t>
      </w:r>
      <w:r>
        <w:rPr>
          <w:rFonts w:hint="eastAsia"/>
          <w:lang w:eastAsia="zh-CN"/>
        </w:rPr>
        <w:t>10</w:t>
      </w:r>
      <w:r w:rsidRPr="006D0EE6">
        <w:rPr>
          <w:rFonts w:hint="eastAsia"/>
          <w:lang w:eastAsia="zh-CN"/>
        </w:rPr>
        <w:t>年会议（</w:t>
      </w:r>
      <w:r>
        <w:rPr>
          <w:rFonts w:hint="eastAsia"/>
          <w:lang w:eastAsia="zh-CN"/>
        </w:rPr>
        <w:t>2010</w:t>
      </w:r>
      <w:r w:rsidRPr="006D0EE6">
        <w:rPr>
          <w:rFonts w:hint="eastAsia"/>
          <w:lang w:eastAsia="zh-CN"/>
        </w:rPr>
        <w:t>年</w:t>
      </w:r>
      <w:r>
        <w:rPr>
          <w:rFonts w:hint="eastAsia"/>
          <w:lang w:eastAsia="zh-CN"/>
        </w:rPr>
        <w:t>4</w:t>
      </w:r>
      <w:r w:rsidRPr="006D0EE6">
        <w:rPr>
          <w:rFonts w:hint="eastAsia"/>
          <w:lang w:eastAsia="zh-CN"/>
        </w:rPr>
        <w:t>月</w:t>
      </w:r>
      <w:r>
        <w:rPr>
          <w:rFonts w:hint="eastAsia"/>
          <w:lang w:eastAsia="zh-CN"/>
        </w:rPr>
        <w:t>13</w:t>
      </w:r>
      <w:r w:rsidRPr="006D0EE6">
        <w:rPr>
          <w:rFonts w:hint="eastAsia"/>
          <w:lang w:eastAsia="zh-CN"/>
        </w:rPr>
        <w:t>-</w:t>
      </w:r>
      <w:r>
        <w:rPr>
          <w:rFonts w:hint="eastAsia"/>
          <w:lang w:eastAsia="zh-CN"/>
        </w:rPr>
        <w:t>22</w:t>
      </w:r>
      <w:r w:rsidRPr="006D0EE6">
        <w:rPr>
          <w:rFonts w:hint="eastAsia"/>
          <w:lang w:eastAsia="zh-CN"/>
        </w:rPr>
        <w:t>日</w:t>
      </w:r>
      <w:r>
        <w:rPr>
          <w:rFonts w:hint="eastAsia"/>
          <w:lang w:eastAsia="zh-CN"/>
        </w:rPr>
        <w:t>和</w:t>
      </w:r>
      <w:r>
        <w:rPr>
          <w:rFonts w:hint="eastAsia"/>
          <w:lang w:eastAsia="zh-CN"/>
        </w:rPr>
        <w:t>10</w:t>
      </w:r>
      <w:r>
        <w:rPr>
          <w:rFonts w:hint="eastAsia"/>
          <w:lang w:eastAsia="zh-CN"/>
        </w:rPr>
        <w:t>月</w:t>
      </w:r>
      <w:r>
        <w:rPr>
          <w:rFonts w:hint="eastAsia"/>
          <w:lang w:eastAsia="zh-CN"/>
        </w:rPr>
        <w:t>2</w:t>
      </w:r>
      <w:r>
        <w:rPr>
          <w:rFonts w:hint="eastAsia"/>
          <w:lang w:eastAsia="zh-CN"/>
        </w:rPr>
        <w:t>日，日内瓦</w:t>
      </w:r>
      <w:r w:rsidRPr="006D0EE6">
        <w:rPr>
          <w:rFonts w:hint="eastAsia"/>
          <w:lang w:eastAsia="zh-CN"/>
        </w:rPr>
        <w:t>）</w:t>
      </w:r>
    </w:p>
    <w:p w14:paraId="4827C49E" w14:textId="77777777" w:rsidR="00811AE9" w:rsidRPr="006E3B9B" w:rsidRDefault="00811AE9" w:rsidP="00B42442">
      <w:pPr>
        <w:pStyle w:val="Appendixref"/>
        <w:rPr>
          <w:lang w:eastAsia="zh-CN"/>
        </w:rPr>
      </w:pPr>
      <w:r w:rsidRPr="006E3B9B">
        <w:rPr>
          <w:rFonts w:hint="eastAsia"/>
          <w:lang w:eastAsia="zh-CN"/>
        </w:rPr>
        <w:t>第</w:t>
      </w:r>
      <w:r>
        <w:rPr>
          <w:rFonts w:hint="eastAsia"/>
          <w:lang w:eastAsia="zh-CN"/>
        </w:rPr>
        <w:t>555</w:t>
      </w:r>
      <w:r w:rsidRPr="006E3B9B">
        <w:rPr>
          <w:rFonts w:hint="eastAsia"/>
          <w:lang w:eastAsia="zh-CN"/>
        </w:rPr>
        <w:t>号决定</w:t>
      </w:r>
      <w:r w:rsidRPr="006E3B9B">
        <w:rPr>
          <w:rFonts w:hint="eastAsia"/>
          <w:lang w:eastAsia="zh-CN"/>
        </w:rPr>
        <w:tab/>
      </w:r>
      <w:r w:rsidRPr="00811AE9">
        <w:rPr>
          <w:rFonts w:hint="eastAsia"/>
          <w:lang w:eastAsia="zh-CN"/>
        </w:rPr>
        <w:t>欠款利息和不可回收债务的注销</w:t>
      </w:r>
      <w:r>
        <w:rPr>
          <w:rFonts w:hint="eastAsia"/>
          <w:lang w:eastAsia="zh-CN"/>
        </w:rPr>
        <w:tab/>
      </w:r>
      <w:r w:rsidR="00396681">
        <w:rPr>
          <w:lang w:eastAsia="zh-CN"/>
        </w:rPr>
        <w:tab/>
      </w:r>
      <w:r w:rsidR="002741D1">
        <w:rPr>
          <w:rFonts w:hint="eastAsia"/>
          <w:lang w:eastAsia="zh-CN"/>
        </w:rPr>
        <w:t>2011</w:t>
      </w:r>
      <w:r w:rsidR="00077C0D">
        <w:rPr>
          <w:rFonts w:hint="eastAsia"/>
          <w:lang w:eastAsia="zh-CN"/>
        </w:rPr>
        <w:t>年</w:t>
      </w:r>
    </w:p>
    <w:p w14:paraId="4827C49F" w14:textId="77777777" w:rsidR="00811AE9" w:rsidRPr="006E3B9B" w:rsidRDefault="00811AE9" w:rsidP="009D3F6B">
      <w:pPr>
        <w:pStyle w:val="Appendixref"/>
        <w:rPr>
          <w:lang w:eastAsia="zh-CN"/>
        </w:rPr>
      </w:pPr>
      <w:r w:rsidRPr="006E3B9B">
        <w:rPr>
          <w:rFonts w:hint="eastAsia"/>
          <w:lang w:eastAsia="zh-CN"/>
        </w:rPr>
        <w:t>第</w:t>
      </w:r>
      <w:r>
        <w:rPr>
          <w:rFonts w:hint="eastAsia"/>
          <w:lang w:eastAsia="zh-CN"/>
        </w:rPr>
        <w:t>556</w:t>
      </w:r>
      <w:r w:rsidRPr="006E3B9B">
        <w:rPr>
          <w:rFonts w:hint="eastAsia"/>
          <w:lang w:eastAsia="zh-CN"/>
        </w:rPr>
        <w:t>号决定</w:t>
      </w:r>
      <w:r w:rsidRPr="006E3B9B">
        <w:rPr>
          <w:rFonts w:hint="eastAsia"/>
          <w:lang w:eastAsia="zh-CN"/>
        </w:rPr>
        <w:tab/>
      </w:r>
      <w:r w:rsidR="009D3F6B" w:rsidRPr="00A2399B">
        <w:rPr>
          <w:rFonts w:hint="eastAsia"/>
          <w:lang w:eastAsia="zh-CN"/>
        </w:rPr>
        <w:t>理事会会议和理事会工作组会议文件的提交和出版</w:t>
      </w:r>
      <w:r>
        <w:rPr>
          <w:rFonts w:hint="eastAsia"/>
          <w:lang w:eastAsia="zh-CN"/>
        </w:rPr>
        <w:tab/>
      </w:r>
      <w:r w:rsidR="00396681">
        <w:rPr>
          <w:lang w:eastAsia="zh-CN"/>
        </w:rPr>
        <w:tab/>
      </w:r>
      <w:r w:rsidR="000712EE">
        <w:rPr>
          <w:rFonts w:hint="eastAsia"/>
          <w:lang w:eastAsia="zh-CN"/>
        </w:rPr>
        <w:t>3</w:t>
      </w:r>
      <w:r>
        <w:rPr>
          <w:rFonts w:hint="eastAsia"/>
          <w:lang w:eastAsia="zh-CN"/>
        </w:rPr>
        <w:t>.2</w:t>
      </w:r>
    </w:p>
    <w:p w14:paraId="4827C4A0" w14:textId="77777777" w:rsidR="00811AE9" w:rsidRPr="006E3B9B" w:rsidRDefault="00811AE9" w:rsidP="00B42442">
      <w:pPr>
        <w:pStyle w:val="Appendixref"/>
        <w:rPr>
          <w:lang w:eastAsia="zh-CN"/>
        </w:rPr>
      </w:pPr>
      <w:r w:rsidRPr="006E3B9B">
        <w:rPr>
          <w:rFonts w:hint="eastAsia"/>
          <w:lang w:eastAsia="zh-CN"/>
        </w:rPr>
        <w:t>第</w:t>
      </w:r>
      <w:r>
        <w:rPr>
          <w:rFonts w:hint="eastAsia"/>
          <w:lang w:eastAsia="zh-CN"/>
        </w:rPr>
        <w:t>557</w:t>
      </w:r>
      <w:r w:rsidRPr="006E3B9B">
        <w:rPr>
          <w:rFonts w:hint="eastAsia"/>
          <w:lang w:eastAsia="zh-CN"/>
        </w:rPr>
        <w:t>号决定</w:t>
      </w:r>
      <w:r w:rsidRPr="006E3B9B">
        <w:rPr>
          <w:rFonts w:hint="eastAsia"/>
          <w:lang w:eastAsia="zh-CN"/>
        </w:rPr>
        <w:tab/>
      </w:r>
      <w:r w:rsidR="00F9204F" w:rsidRPr="00F9204F">
        <w:rPr>
          <w:rFonts w:hint="eastAsia"/>
          <w:bCs/>
          <w:lang w:eastAsia="zh-CN"/>
        </w:rPr>
        <w:t>国际电联与欧洲核研究组织临时达成合作协议</w:t>
      </w:r>
      <w:r w:rsidR="000712EE">
        <w:rPr>
          <w:rFonts w:hint="eastAsia"/>
          <w:lang w:eastAsia="zh-CN"/>
        </w:rPr>
        <w:tab/>
      </w:r>
      <w:r w:rsidR="00396681">
        <w:rPr>
          <w:lang w:eastAsia="zh-CN"/>
        </w:rPr>
        <w:tab/>
      </w:r>
      <w:r w:rsidR="002741D1">
        <w:rPr>
          <w:rFonts w:hint="eastAsia"/>
          <w:lang w:eastAsia="zh-CN"/>
        </w:rPr>
        <w:t>2011</w:t>
      </w:r>
      <w:r w:rsidR="00077C0D">
        <w:rPr>
          <w:rFonts w:hint="eastAsia"/>
          <w:lang w:eastAsia="zh-CN"/>
        </w:rPr>
        <w:t>年</w:t>
      </w:r>
    </w:p>
    <w:p w14:paraId="4827C4A1" w14:textId="77777777" w:rsidR="00F9204F" w:rsidRDefault="00F9204F" w:rsidP="004E1793">
      <w:pPr>
        <w:pStyle w:val="Reftitle"/>
        <w:rPr>
          <w:rFonts w:hAnsi="SimSun"/>
          <w:sz w:val="20"/>
          <w:lang w:val="en-US" w:eastAsia="zh-CN"/>
        </w:rPr>
      </w:pPr>
      <w:r w:rsidRPr="006D0EE6">
        <w:rPr>
          <w:rFonts w:hint="eastAsia"/>
          <w:lang w:eastAsia="zh-CN"/>
        </w:rPr>
        <w:t>20</w:t>
      </w:r>
      <w:r>
        <w:rPr>
          <w:rFonts w:hint="eastAsia"/>
          <w:lang w:eastAsia="zh-CN"/>
        </w:rPr>
        <w:t>11</w:t>
      </w:r>
      <w:r w:rsidRPr="006D0EE6">
        <w:rPr>
          <w:rFonts w:hint="eastAsia"/>
          <w:lang w:eastAsia="zh-CN"/>
        </w:rPr>
        <w:t>年非常会议（</w:t>
      </w:r>
      <w:r>
        <w:rPr>
          <w:rFonts w:hint="eastAsia"/>
          <w:lang w:eastAsia="zh-CN"/>
        </w:rPr>
        <w:t>2010</w:t>
      </w:r>
      <w:r w:rsidRPr="006D0EE6">
        <w:rPr>
          <w:rFonts w:hint="eastAsia"/>
          <w:lang w:eastAsia="zh-CN"/>
        </w:rPr>
        <w:t>年</w:t>
      </w:r>
      <w:r w:rsidRPr="006D0EE6">
        <w:rPr>
          <w:rFonts w:hint="eastAsia"/>
          <w:lang w:eastAsia="zh-CN"/>
        </w:rPr>
        <w:t>1</w:t>
      </w:r>
      <w:r>
        <w:rPr>
          <w:rFonts w:hint="eastAsia"/>
          <w:lang w:eastAsia="zh-CN"/>
        </w:rPr>
        <w:t>0</w:t>
      </w:r>
      <w:r w:rsidRPr="006D0EE6">
        <w:rPr>
          <w:rFonts w:hint="eastAsia"/>
          <w:lang w:eastAsia="zh-CN"/>
        </w:rPr>
        <w:t>月</w:t>
      </w:r>
      <w:r w:rsidRPr="006D0EE6">
        <w:rPr>
          <w:rFonts w:hint="eastAsia"/>
          <w:lang w:eastAsia="zh-CN"/>
        </w:rPr>
        <w:t>2</w:t>
      </w:r>
      <w:r>
        <w:rPr>
          <w:rFonts w:hint="eastAsia"/>
          <w:lang w:eastAsia="zh-CN"/>
        </w:rPr>
        <w:t>2</w:t>
      </w:r>
      <w:r w:rsidRPr="006D0EE6">
        <w:rPr>
          <w:rFonts w:hint="eastAsia"/>
          <w:lang w:eastAsia="zh-CN"/>
        </w:rPr>
        <w:t>日）</w:t>
      </w:r>
    </w:p>
    <w:p w14:paraId="4827C4A2" w14:textId="77777777" w:rsidR="00F9204F" w:rsidRPr="006E3B9B" w:rsidRDefault="00F9204F" w:rsidP="00B42442">
      <w:pPr>
        <w:pStyle w:val="Appendixref"/>
        <w:rPr>
          <w:lang w:eastAsia="zh-CN"/>
        </w:rPr>
      </w:pPr>
      <w:r w:rsidRPr="006E3B9B">
        <w:rPr>
          <w:rFonts w:hint="eastAsia"/>
          <w:lang w:eastAsia="zh-CN"/>
        </w:rPr>
        <w:t>第</w:t>
      </w:r>
      <w:r>
        <w:rPr>
          <w:rFonts w:hint="eastAsia"/>
          <w:lang w:eastAsia="zh-CN"/>
        </w:rPr>
        <w:t>558</w:t>
      </w:r>
      <w:r w:rsidRPr="006E3B9B">
        <w:rPr>
          <w:rFonts w:hint="eastAsia"/>
          <w:lang w:eastAsia="zh-CN"/>
        </w:rPr>
        <w:t>号决定</w:t>
      </w:r>
      <w:r w:rsidRPr="006E3B9B">
        <w:rPr>
          <w:rFonts w:hint="eastAsia"/>
          <w:lang w:eastAsia="zh-CN"/>
        </w:rPr>
        <w:tab/>
      </w:r>
      <w:r w:rsidRPr="00F9204F">
        <w:rPr>
          <w:rFonts w:hint="eastAsia"/>
          <w:lang w:eastAsia="zh-CN"/>
        </w:rPr>
        <w:t>自愿离职和提前退休计划</w:t>
      </w:r>
      <w:r w:rsidR="00B42442">
        <w:rPr>
          <w:lang w:eastAsia="zh-CN"/>
        </w:rPr>
        <w:tab/>
      </w:r>
      <w:r>
        <w:rPr>
          <w:rFonts w:hint="eastAsia"/>
          <w:lang w:eastAsia="zh-CN"/>
        </w:rPr>
        <w:tab/>
      </w:r>
      <w:r w:rsidR="00A627A2">
        <w:rPr>
          <w:lang w:eastAsia="zh-CN"/>
        </w:rPr>
        <w:t>2015</w:t>
      </w:r>
      <w:r w:rsidR="00A627A2">
        <w:rPr>
          <w:rFonts w:hint="eastAsia"/>
          <w:lang w:eastAsia="zh-CN"/>
        </w:rPr>
        <w:t>年</w:t>
      </w:r>
    </w:p>
    <w:p w14:paraId="4827C4A3" w14:textId="77777777" w:rsidR="00F9204F" w:rsidRPr="006E3B9B" w:rsidRDefault="00F9204F" w:rsidP="00B42442">
      <w:pPr>
        <w:pStyle w:val="Appendixref"/>
        <w:rPr>
          <w:lang w:eastAsia="zh-CN"/>
        </w:rPr>
      </w:pPr>
      <w:r w:rsidRPr="006E3B9B">
        <w:rPr>
          <w:rFonts w:hint="eastAsia"/>
          <w:lang w:eastAsia="zh-CN"/>
        </w:rPr>
        <w:t>第</w:t>
      </w:r>
      <w:r>
        <w:rPr>
          <w:rFonts w:hint="eastAsia"/>
          <w:lang w:eastAsia="zh-CN"/>
        </w:rPr>
        <w:t>559</w:t>
      </w:r>
      <w:r w:rsidRPr="006E3B9B">
        <w:rPr>
          <w:rFonts w:hint="eastAsia"/>
          <w:lang w:eastAsia="zh-CN"/>
        </w:rPr>
        <w:t>号决定</w:t>
      </w:r>
      <w:r w:rsidRPr="006E3B9B">
        <w:rPr>
          <w:rFonts w:hint="eastAsia"/>
          <w:lang w:eastAsia="zh-CN"/>
        </w:rPr>
        <w:tab/>
      </w:r>
      <w:r w:rsidRPr="00F9204F">
        <w:rPr>
          <w:rFonts w:hint="eastAsia"/>
          <w:bCs/>
          <w:lang w:eastAsia="zh-CN"/>
        </w:rPr>
        <w:t>理事会</w:t>
      </w:r>
      <w:r w:rsidRPr="00F9204F">
        <w:rPr>
          <w:rFonts w:hint="eastAsia"/>
          <w:bCs/>
          <w:lang w:eastAsia="zh-CN"/>
        </w:rPr>
        <w:t>20</w:t>
      </w:r>
      <w:r w:rsidRPr="00F9204F">
        <w:rPr>
          <w:bCs/>
          <w:lang w:eastAsia="zh-CN"/>
        </w:rPr>
        <w:t>1</w:t>
      </w:r>
      <w:r w:rsidRPr="00F9204F">
        <w:rPr>
          <w:rFonts w:hint="eastAsia"/>
          <w:bCs/>
          <w:lang w:eastAsia="zh-CN"/>
        </w:rPr>
        <w:t>1</w:t>
      </w:r>
      <w:r w:rsidRPr="00F9204F">
        <w:rPr>
          <w:rFonts w:hint="eastAsia"/>
          <w:bCs/>
          <w:lang w:eastAsia="zh-CN"/>
        </w:rPr>
        <w:t>年会议的日期和会期</w:t>
      </w:r>
      <w:r w:rsidR="00B42442">
        <w:rPr>
          <w:bCs/>
          <w:lang w:eastAsia="zh-CN"/>
        </w:rPr>
        <w:tab/>
      </w:r>
      <w:r>
        <w:rPr>
          <w:rFonts w:hint="eastAsia"/>
          <w:lang w:eastAsia="zh-CN"/>
        </w:rPr>
        <w:tab/>
      </w:r>
      <w:r w:rsidR="002741D1">
        <w:rPr>
          <w:rFonts w:hint="eastAsia"/>
          <w:lang w:eastAsia="zh-CN"/>
        </w:rPr>
        <w:t>2011</w:t>
      </w:r>
      <w:r w:rsidR="00077C0D">
        <w:rPr>
          <w:rFonts w:hint="eastAsia"/>
          <w:lang w:eastAsia="zh-CN"/>
        </w:rPr>
        <w:t>年</w:t>
      </w:r>
    </w:p>
    <w:p w14:paraId="4827C4A4" w14:textId="77777777" w:rsidR="002741D1" w:rsidRDefault="002741D1" w:rsidP="004E1793">
      <w:pPr>
        <w:pStyle w:val="Reftitle"/>
        <w:rPr>
          <w:rFonts w:hAnsi="SimSun"/>
          <w:sz w:val="20"/>
          <w:lang w:val="en-US" w:eastAsia="zh-CN"/>
        </w:rPr>
      </w:pPr>
      <w:r>
        <w:rPr>
          <w:lang w:eastAsia="zh-CN"/>
        </w:rPr>
        <w:t>20</w:t>
      </w:r>
      <w:r>
        <w:rPr>
          <w:rFonts w:hint="eastAsia"/>
          <w:lang w:eastAsia="zh-CN"/>
        </w:rPr>
        <w:t>11</w:t>
      </w:r>
      <w:r w:rsidRPr="006D0EE6">
        <w:rPr>
          <w:rFonts w:hint="eastAsia"/>
          <w:lang w:eastAsia="zh-CN"/>
        </w:rPr>
        <w:t>年会议（</w:t>
      </w:r>
      <w:r>
        <w:rPr>
          <w:rFonts w:hint="eastAsia"/>
          <w:lang w:eastAsia="zh-CN"/>
        </w:rPr>
        <w:t>2011</w:t>
      </w:r>
      <w:r w:rsidRPr="006D0EE6">
        <w:rPr>
          <w:rFonts w:hint="eastAsia"/>
          <w:lang w:eastAsia="zh-CN"/>
        </w:rPr>
        <w:t>年</w:t>
      </w:r>
      <w:r>
        <w:rPr>
          <w:rFonts w:hint="eastAsia"/>
          <w:lang w:eastAsia="zh-CN"/>
        </w:rPr>
        <w:t>10</w:t>
      </w:r>
      <w:r w:rsidRPr="006D0EE6">
        <w:rPr>
          <w:rFonts w:hint="eastAsia"/>
          <w:lang w:eastAsia="zh-CN"/>
        </w:rPr>
        <w:t>月</w:t>
      </w:r>
      <w:r>
        <w:rPr>
          <w:rFonts w:hint="eastAsia"/>
          <w:lang w:eastAsia="zh-CN"/>
        </w:rPr>
        <w:t>11</w:t>
      </w:r>
      <w:r w:rsidRPr="006D0EE6">
        <w:rPr>
          <w:rFonts w:hint="eastAsia"/>
          <w:lang w:eastAsia="zh-CN"/>
        </w:rPr>
        <w:t>-</w:t>
      </w:r>
      <w:r>
        <w:rPr>
          <w:rFonts w:hint="eastAsia"/>
          <w:lang w:eastAsia="zh-CN"/>
        </w:rPr>
        <w:t>21</w:t>
      </w:r>
      <w:r w:rsidRPr="006D0EE6">
        <w:rPr>
          <w:rFonts w:hint="eastAsia"/>
          <w:lang w:eastAsia="zh-CN"/>
        </w:rPr>
        <w:t>日）</w:t>
      </w:r>
    </w:p>
    <w:p w14:paraId="4827C4A5" w14:textId="77777777" w:rsidR="00B42442" w:rsidRPr="00EB5BE2" w:rsidRDefault="00B42442" w:rsidP="00B42442">
      <w:pPr>
        <w:pStyle w:val="Appendixref"/>
        <w:rPr>
          <w:bCs/>
          <w:lang w:eastAsia="zh-CN"/>
        </w:rPr>
      </w:pPr>
      <w:r w:rsidRPr="006E3B9B">
        <w:rPr>
          <w:rFonts w:hint="eastAsia"/>
          <w:lang w:eastAsia="zh-CN"/>
        </w:rPr>
        <w:t>第</w:t>
      </w:r>
      <w:r>
        <w:rPr>
          <w:rFonts w:hint="eastAsia"/>
          <w:lang w:eastAsia="zh-CN"/>
        </w:rPr>
        <w:t>560</w:t>
      </w:r>
      <w:r w:rsidRPr="006E3B9B">
        <w:rPr>
          <w:rFonts w:hint="eastAsia"/>
          <w:lang w:eastAsia="zh-CN"/>
        </w:rPr>
        <w:t>号决定</w:t>
      </w:r>
      <w:r>
        <w:rPr>
          <w:lang w:eastAsia="zh-CN"/>
        </w:rPr>
        <w:tab/>
      </w:r>
      <w:r w:rsidRPr="00676711">
        <w:rPr>
          <w:rFonts w:hint="eastAsia"/>
          <w:lang w:eastAsia="zh-CN"/>
        </w:rPr>
        <w:t>下届例行的全权代表大会的举行</w:t>
      </w:r>
      <w:r w:rsidRPr="00EB5BE2">
        <w:rPr>
          <w:lang w:val="en-US" w:eastAsia="zh-CN"/>
        </w:rPr>
        <w:tab/>
      </w:r>
      <w:r>
        <w:rPr>
          <w:lang w:val="en-US" w:eastAsia="zh-CN"/>
        </w:rPr>
        <w:tab/>
      </w:r>
      <w:r>
        <w:rPr>
          <w:bCs/>
          <w:lang w:eastAsia="zh-CN"/>
        </w:rPr>
        <w:t>2015</w:t>
      </w:r>
      <w:r>
        <w:rPr>
          <w:rFonts w:hint="eastAsia"/>
          <w:bCs/>
          <w:lang w:eastAsia="zh-CN"/>
        </w:rPr>
        <w:t>年</w:t>
      </w:r>
    </w:p>
    <w:p w14:paraId="4827C4A6" w14:textId="77777777" w:rsidR="00B42442" w:rsidRPr="00EB5BE2" w:rsidRDefault="00B42442" w:rsidP="00B42442">
      <w:pPr>
        <w:pStyle w:val="Appendixref"/>
        <w:rPr>
          <w:bCs/>
          <w:lang w:eastAsia="zh-CN"/>
        </w:rPr>
      </w:pPr>
      <w:r w:rsidRPr="006E3B9B">
        <w:rPr>
          <w:rFonts w:hint="eastAsia"/>
          <w:lang w:eastAsia="zh-CN"/>
        </w:rPr>
        <w:t>第</w:t>
      </w:r>
      <w:r>
        <w:rPr>
          <w:rFonts w:hint="eastAsia"/>
          <w:lang w:eastAsia="zh-CN"/>
        </w:rPr>
        <w:t>561</w:t>
      </w:r>
      <w:r w:rsidRPr="006E3B9B">
        <w:rPr>
          <w:rFonts w:hint="eastAsia"/>
          <w:lang w:eastAsia="zh-CN"/>
        </w:rPr>
        <w:t>号决定</w:t>
      </w:r>
      <w:r>
        <w:rPr>
          <w:lang w:val="en-US" w:eastAsia="zh-CN"/>
        </w:rPr>
        <w:tab/>
      </w:r>
      <w:r w:rsidRPr="00676711">
        <w:rPr>
          <w:rFonts w:hint="eastAsia"/>
          <w:lang w:val="en-US" w:eastAsia="zh-CN"/>
        </w:rPr>
        <w:t>理事会</w:t>
      </w:r>
      <w:r w:rsidRPr="00676711">
        <w:rPr>
          <w:rFonts w:hint="eastAsia"/>
          <w:lang w:val="en-US" w:eastAsia="zh-CN"/>
        </w:rPr>
        <w:t>2012</w:t>
      </w:r>
      <w:r w:rsidRPr="00676711">
        <w:rPr>
          <w:rFonts w:hint="eastAsia"/>
          <w:lang w:val="en-US" w:eastAsia="zh-CN"/>
        </w:rPr>
        <w:t>年会议的日期和会期</w:t>
      </w:r>
      <w:r w:rsidRPr="00EB5BE2">
        <w:rPr>
          <w:lang w:val="en-US" w:eastAsia="zh-CN"/>
        </w:rPr>
        <w:tab/>
      </w:r>
      <w:r>
        <w:rPr>
          <w:lang w:val="en-US" w:eastAsia="zh-CN"/>
        </w:rPr>
        <w:tab/>
      </w:r>
      <w:r>
        <w:rPr>
          <w:rFonts w:hint="eastAsia"/>
          <w:lang w:eastAsia="zh-CN"/>
        </w:rPr>
        <w:t>20</w:t>
      </w:r>
      <w:r>
        <w:rPr>
          <w:lang w:eastAsia="zh-CN"/>
        </w:rPr>
        <w:t>12</w:t>
      </w:r>
      <w:r>
        <w:rPr>
          <w:rFonts w:hint="eastAsia"/>
          <w:lang w:eastAsia="zh-CN"/>
        </w:rPr>
        <w:t>年</w:t>
      </w:r>
    </w:p>
    <w:p w14:paraId="4827C4A7" w14:textId="77777777" w:rsidR="00B42442" w:rsidRPr="00EB5BE2" w:rsidRDefault="00B42442" w:rsidP="00B42442">
      <w:pPr>
        <w:pStyle w:val="Appendixref"/>
        <w:rPr>
          <w:bCs/>
          <w:lang w:eastAsia="zh-CN"/>
        </w:rPr>
      </w:pPr>
      <w:r w:rsidRPr="006E3B9B">
        <w:rPr>
          <w:rFonts w:hint="eastAsia"/>
          <w:lang w:eastAsia="zh-CN"/>
        </w:rPr>
        <w:t>第</w:t>
      </w:r>
      <w:r>
        <w:rPr>
          <w:rFonts w:hint="eastAsia"/>
          <w:lang w:eastAsia="zh-CN"/>
        </w:rPr>
        <w:t>562</w:t>
      </w:r>
      <w:r w:rsidRPr="006E3B9B">
        <w:rPr>
          <w:rFonts w:hint="eastAsia"/>
          <w:lang w:eastAsia="zh-CN"/>
        </w:rPr>
        <w:t>号决定</w:t>
      </w:r>
      <w:r>
        <w:rPr>
          <w:lang w:val="en-US" w:eastAsia="zh-CN"/>
        </w:rPr>
        <w:tab/>
      </w:r>
      <w:r w:rsidRPr="00676711">
        <w:rPr>
          <w:rFonts w:hint="eastAsia"/>
          <w:lang w:val="en-US" w:eastAsia="zh-CN"/>
        </w:rPr>
        <w:t>第五届世界电信</w:t>
      </w:r>
      <w:r w:rsidRPr="00676711">
        <w:rPr>
          <w:rFonts w:hint="eastAsia"/>
          <w:lang w:val="en-US" w:eastAsia="zh-CN"/>
        </w:rPr>
        <w:t>/</w:t>
      </w:r>
      <w:r w:rsidRPr="00676711">
        <w:rPr>
          <w:rFonts w:hint="eastAsia"/>
          <w:lang w:val="en-US" w:eastAsia="zh-CN"/>
        </w:rPr>
        <w:t>信息通信技术政策论坛</w:t>
      </w:r>
      <w:r w:rsidRPr="00EB5BE2">
        <w:rPr>
          <w:lang w:val="en-US" w:eastAsia="zh-CN"/>
        </w:rPr>
        <w:tab/>
      </w:r>
      <w:r>
        <w:rPr>
          <w:lang w:val="en-US" w:eastAsia="zh-CN"/>
        </w:rPr>
        <w:tab/>
      </w:r>
      <w:r>
        <w:rPr>
          <w:bCs/>
          <w:lang w:eastAsia="zh-CN"/>
        </w:rPr>
        <w:t>2013</w:t>
      </w:r>
      <w:r>
        <w:rPr>
          <w:rFonts w:hint="eastAsia"/>
          <w:bCs/>
          <w:lang w:eastAsia="zh-CN"/>
        </w:rPr>
        <w:t>年</w:t>
      </w:r>
    </w:p>
    <w:p w14:paraId="4827C4A8" w14:textId="77777777" w:rsidR="00B42442" w:rsidRPr="00EB5BE2" w:rsidRDefault="00B42442" w:rsidP="00B42442">
      <w:pPr>
        <w:pStyle w:val="Appendixref"/>
        <w:rPr>
          <w:bCs/>
          <w:lang w:eastAsia="zh-CN"/>
        </w:rPr>
      </w:pPr>
      <w:r w:rsidRPr="006E3B9B">
        <w:rPr>
          <w:rFonts w:hint="eastAsia"/>
          <w:lang w:eastAsia="zh-CN"/>
        </w:rPr>
        <w:t>第</w:t>
      </w:r>
      <w:r>
        <w:rPr>
          <w:rFonts w:hint="eastAsia"/>
          <w:lang w:eastAsia="zh-CN"/>
        </w:rPr>
        <w:t>563</w:t>
      </w:r>
      <w:r w:rsidRPr="006E3B9B">
        <w:rPr>
          <w:rFonts w:hint="eastAsia"/>
          <w:lang w:eastAsia="zh-CN"/>
        </w:rPr>
        <w:t>号决定</w:t>
      </w:r>
      <w:r>
        <w:rPr>
          <w:lang w:val="en-US" w:eastAsia="zh-CN"/>
        </w:rPr>
        <w:tab/>
      </w:r>
      <w:r w:rsidRPr="00676711">
        <w:rPr>
          <w:rFonts w:hint="eastAsia"/>
          <w:lang w:val="en-US" w:eastAsia="zh-CN"/>
        </w:rPr>
        <w:t>理事会财务和人力资源工作组</w:t>
      </w:r>
      <w:r>
        <w:rPr>
          <w:lang w:val="en-US" w:eastAsia="zh-CN"/>
        </w:rPr>
        <w:t xml:space="preserve"> – </w:t>
      </w:r>
      <w:r>
        <w:rPr>
          <w:rFonts w:hint="eastAsia"/>
          <w:lang w:val="en-US" w:eastAsia="zh-CN"/>
        </w:rPr>
        <w:t>职责范围</w:t>
      </w:r>
      <w:r w:rsidRPr="00EB5BE2">
        <w:rPr>
          <w:lang w:val="en-US" w:eastAsia="zh-CN"/>
        </w:rPr>
        <w:tab/>
      </w:r>
      <w:r>
        <w:rPr>
          <w:lang w:val="en-US" w:eastAsia="zh-CN"/>
        </w:rPr>
        <w:tab/>
      </w:r>
      <w:r w:rsidRPr="00EB5BE2">
        <w:rPr>
          <w:bCs/>
          <w:lang w:eastAsia="zh-CN"/>
        </w:rPr>
        <w:t>3.2</w:t>
      </w:r>
    </w:p>
    <w:p w14:paraId="4827C4A9" w14:textId="77777777" w:rsidR="00B42442" w:rsidRPr="00EB5BE2" w:rsidRDefault="00B42442" w:rsidP="00B42442">
      <w:pPr>
        <w:pStyle w:val="Appendixref"/>
        <w:rPr>
          <w:bCs/>
          <w:lang w:eastAsia="zh-CN"/>
        </w:rPr>
      </w:pPr>
      <w:r w:rsidRPr="006E3B9B">
        <w:rPr>
          <w:rFonts w:hint="eastAsia"/>
          <w:lang w:eastAsia="zh-CN"/>
        </w:rPr>
        <w:t>第</w:t>
      </w:r>
      <w:r>
        <w:rPr>
          <w:rFonts w:hint="eastAsia"/>
          <w:lang w:eastAsia="zh-CN"/>
        </w:rPr>
        <w:t>564</w:t>
      </w:r>
      <w:r w:rsidRPr="006E3B9B">
        <w:rPr>
          <w:rFonts w:hint="eastAsia"/>
          <w:lang w:eastAsia="zh-CN"/>
        </w:rPr>
        <w:t>号决定</w:t>
      </w:r>
      <w:r>
        <w:rPr>
          <w:lang w:val="en-US" w:eastAsia="zh-CN"/>
        </w:rPr>
        <w:tab/>
      </w:r>
      <w:r w:rsidRPr="00643378">
        <w:rPr>
          <w:rFonts w:hint="eastAsia"/>
          <w:lang w:val="en-US" w:eastAsia="zh-CN"/>
        </w:rPr>
        <w:t>欠款利息和不可回收债务的注销</w:t>
      </w:r>
      <w:r w:rsidRPr="00EB5BE2">
        <w:rPr>
          <w:lang w:val="en-US" w:eastAsia="zh-CN"/>
        </w:rPr>
        <w:tab/>
      </w:r>
      <w:r>
        <w:rPr>
          <w:lang w:val="en-US" w:eastAsia="zh-CN"/>
        </w:rPr>
        <w:tab/>
      </w:r>
      <w:r>
        <w:rPr>
          <w:rFonts w:hint="eastAsia"/>
          <w:bCs/>
          <w:lang w:eastAsia="zh-CN"/>
        </w:rPr>
        <w:t>2013</w:t>
      </w:r>
      <w:r>
        <w:rPr>
          <w:rFonts w:hint="eastAsia"/>
          <w:bCs/>
          <w:lang w:eastAsia="zh-CN"/>
        </w:rPr>
        <w:t>年</w:t>
      </w:r>
    </w:p>
    <w:p w14:paraId="4827C4AA" w14:textId="77777777" w:rsidR="00B42442" w:rsidRPr="00EB5BE2" w:rsidRDefault="00B42442" w:rsidP="009D3F6B">
      <w:pPr>
        <w:pStyle w:val="Appendixref"/>
        <w:rPr>
          <w:bCs/>
          <w:lang w:eastAsia="zh-CN"/>
        </w:rPr>
      </w:pPr>
      <w:r w:rsidRPr="006E3B9B">
        <w:rPr>
          <w:rFonts w:hint="eastAsia"/>
          <w:lang w:eastAsia="zh-CN"/>
        </w:rPr>
        <w:t>第</w:t>
      </w:r>
      <w:r>
        <w:rPr>
          <w:rFonts w:hint="eastAsia"/>
          <w:lang w:eastAsia="zh-CN"/>
        </w:rPr>
        <w:t>565</w:t>
      </w:r>
      <w:r w:rsidRPr="006E3B9B">
        <w:rPr>
          <w:rFonts w:hint="eastAsia"/>
          <w:lang w:eastAsia="zh-CN"/>
        </w:rPr>
        <w:t>号决定</w:t>
      </w:r>
      <w:r>
        <w:rPr>
          <w:lang w:val="en-US" w:eastAsia="zh-CN"/>
        </w:rPr>
        <w:tab/>
      </w:r>
      <w:r w:rsidRPr="00643378">
        <w:rPr>
          <w:rFonts w:hint="eastAsia"/>
          <w:lang w:val="en-US" w:eastAsia="zh-CN"/>
        </w:rPr>
        <w:t>任命独立管理顾问委员会（</w:t>
      </w:r>
      <w:r w:rsidRPr="00643378">
        <w:rPr>
          <w:rFonts w:hint="eastAsia"/>
          <w:lang w:val="en-US" w:eastAsia="zh-CN"/>
        </w:rPr>
        <w:t>IMAC</w:t>
      </w:r>
      <w:r w:rsidRPr="00643378">
        <w:rPr>
          <w:rFonts w:hint="eastAsia"/>
          <w:lang w:val="en-US" w:eastAsia="zh-CN"/>
        </w:rPr>
        <w:t>）的委员</w:t>
      </w:r>
      <w:r>
        <w:rPr>
          <w:lang w:val="en-US" w:eastAsia="zh-CN"/>
        </w:rPr>
        <w:tab/>
      </w:r>
      <w:r w:rsidRPr="00EB5BE2">
        <w:rPr>
          <w:lang w:val="en-US" w:eastAsia="zh-CN"/>
        </w:rPr>
        <w:tab/>
      </w:r>
      <w:r w:rsidR="009D3F6B">
        <w:rPr>
          <w:lang w:val="en-US" w:eastAsia="zh-CN"/>
        </w:rPr>
        <w:t>2016</w:t>
      </w:r>
      <w:r w:rsidR="009D3F6B">
        <w:rPr>
          <w:rFonts w:hint="eastAsia"/>
          <w:lang w:val="en-US" w:eastAsia="zh-CN"/>
        </w:rPr>
        <w:t>年</w:t>
      </w:r>
    </w:p>
    <w:p w14:paraId="4827C4AB" w14:textId="77777777" w:rsidR="00B42442" w:rsidRPr="009B27FB" w:rsidRDefault="00B42442" w:rsidP="00D555F8">
      <w:pPr>
        <w:pStyle w:val="Appendixref"/>
        <w:rPr>
          <w:bCs/>
          <w:lang w:eastAsia="zh-CN"/>
        </w:rPr>
      </w:pPr>
      <w:r w:rsidRPr="009B27FB">
        <w:rPr>
          <w:rFonts w:hint="eastAsia"/>
          <w:lang w:eastAsia="zh-CN"/>
        </w:rPr>
        <w:t>第</w:t>
      </w:r>
      <w:r w:rsidRPr="009B27FB">
        <w:rPr>
          <w:rFonts w:hint="eastAsia"/>
          <w:lang w:eastAsia="zh-CN"/>
        </w:rPr>
        <w:t>566</w:t>
      </w:r>
      <w:r w:rsidRPr="009B27FB">
        <w:rPr>
          <w:rFonts w:hint="eastAsia"/>
          <w:lang w:eastAsia="zh-CN"/>
        </w:rPr>
        <w:t>号决定</w:t>
      </w:r>
      <w:r w:rsidRPr="009B27FB">
        <w:rPr>
          <w:lang w:val="en-US" w:eastAsia="zh-CN"/>
        </w:rPr>
        <w:tab/>
      </w:r>
      <w:r w:rsidRPr="009B27FB">
        <w:rPr>
          <w:rFonts w:hint="eastAsia"/>
          <w:lang w:val="en-US" w:eastAsia="zh-CN"/>
        </w:rPr>
        <w:t>对国际电联账目的审计</w:t>
      </w:r>
      <w:r w:rsidRPr="009B27FB">
        <w:rPr>
          <w:lang w:val="en-US" w:eastAsia="zh-CN"/>
        </w:rPr>
        <w:tab/>
      </w:r>
      <w:r>
        <w:rPr>
          <w:lang w:val="en-US" w:eastAsia="zh-CN"/>
        </w:rPr>
        <w:tab/>
      </w:r>
      <w:r w:rsidR="00D555F8">
        <w:rPr>
          <w:bCs/>
          <w:lang w:eastAsia="zh-CN"/>
        </w:rPr>
        <w:t>2017</w:t>
      </w:r>
      <w:r w:rsidR="00D555F8">
        <w:rPr>
          <w:rFonts w:hint="eastAsia"/>
          <w:bCs/>
          <w:lang w:eastAsia="zh-CN"/>
        </w:rPr>
        <w:t>年</w:t>
      </w:r>
    </w:p>
    <w:p w14:paraId="4827C4AC" w14:textId="77777777" w:rsidR="00B42442" w:rsidRPr="00EB5BE2" w:rsidRDefault="00B42442" w:rsidP="00B42442">
      <w:pPr>
        <w:pStyle w:val="Appendixref"/>
        <w:rPr>
          <w:bCs/>
          <w:lang w:eastAsia="zh-CN"/>
        </w:rPr>
      </w:pPr>
      <w:r w:rsidRPr="006E3B9B">
        <w:rPr>
          <w:rFonts w:hint="eastAsia"/>
          <w:lang w:eastAsia="zh-CN"/>
        </w:rPr>
        <w:t>第</w:t>
      </w:r>
      <w:r>
        <w:rPr>
          <w:rFonts w:hint="eastAsia"/>
          <w:lang w:eastAsia="zh-CN"/>
        </w:rPr>
        <w:t>567</w:t>
      </w:r>
      <w:r w:rsidRPr="006E3B9B">
        <w:rPr>
          <w:rFonts w:hint="eastAsia"/>
          <w:lang w:eastAsia="zh-CN"/>
        </w:rPr>
        <w:t>号决定</w:t>
      </w:r>
      <w:r>
        <w:rPr>
          <w:lang w:val="en-US" w:eastAsia="zh-CN"/>
        </w:rPr>
        <w:tab/>
      </w:r>
      <w:r w:rsidRPr="00676711">
        <w:rPr>
          <w:rFonts w:hint="eastAsia"/>
          <w:lang w:val="en-US" w:eastAsia="zh-CN"/>
        </w:rPr>
        <w:t>创建财务资源管理部主任的</w:t>
      </w:r>
      <w:r w:rsidRPr="00676711">
        <w:rPr>
          <w:rFonts w:hint="eastAsia"/>
          <w:lang w:val="en-US" w:eastAsia="zh-CN"/>
        </w:rPr>
        <w:t>D1</w:t>
      </w:r>
      <w:r w:rsidRPr="00676711">
        <w:rPr>
          <w:rFonts w:hint="eastAsia"/>
          <w:lang w:val="en-US" w:eastAsia="zh-CN"/>
        </w:rPr>
        <w:t>职位</w:t>
      </w:r>
      <w:r>
        <w:rPr>
          <w:lang w:val="en-US" w:eastAsia="zh-CN"/>
        </w:rPr>
        <w:tab/>
      </w:r>
      <w:r w:rsidRPr="00EB5BE2">
        <w:rPr>
          <w:lang w:val="en-US" w:eastAsia="zh-CN"/>
        </w:rPr>
        <w:tab/>
      </w:r>
      <w:r>
        <w:rPr>
          <w:rFonts w:hint="eastAsia"/>
          <w:lang w:eastAsia="zh-CN"/>
        </w:rPr>
        <w:t>20</w:t>
      </w:r>
      <w:r>
        <w:rPr>
          <w:lang w:eastAsia="zh-CN"/>
        </w:rPr>
        <w:t>12</w:t>
      </w:r>
      <w:r>
        <w:rPr>
          <w:rFonts w:hint="eastAsia"/>
          <w:lang w:eastAsia="zh-CN"/>
        </w:rPr>
        <w:t>年</w:t>
      </w:r>
    </w:p>
    <w:p w14:paraId="4827C4AD" w14:textId="77777777" w:rsidR="00B42442" w:rsidRPr="00EB5BE2" w:rsidRDefault="00B42442" w:rsidP="00B42442">
      <w:pPr>
        <w:pStyle w:val="Appendixref"/>
        <w:rPr>
          <w:bCs/>
          <w:lang w:eastAsia="zh-CN"/>
        </w:rPr>
      </w:pPr>
      <w:r w:rsidRPr="006E3B9B">
        <w:rPr>
          <w:rFonts w:hint="eastAsia"/>
          <w:lang w:eastAsia="zh-CN"/>
        </w:rPr>
        <w:t>第</w:t>
      </w:r>
      <w:r>
        <w:rPr>
          <w:rFonts w:hint="eastAsia"/>
          <w:lang w:eastAsia="zh-CN"/>
        </w:rPr>
        <w:t>568</w:t>
      </w:r>
      <w:r w:rsidRPr="006E3B9B">
        <w:rPr>
          <w:rFonts w:hint="eastAsia"/>
          <w:lang w:eastAsia="zh-CN"/>
        </w:rPr>
        <w:t>号决定</w:t>
      </w:r>
      <w:r>
        <w:rPr>
          <w:lang w:val="en-US" w:eastAsia="zh-CN"/>
        </w:rPr>
        <w:tab/>
      </w:r>
      <w:r w:rsidRPr="009B27FB">
        <w:rPr>
          <w:rFonts w:hint="eastAsia"/>
          <w:lang w:val="en-US" w:eastAsia="zh-CN"/>
        </w:rPr>
        <w:t>电信发展局的职位管理</w:t>
      </w:r>
      <w:r>
        <w:rPr>
          <w:lang w:val="en-US" w:eastAsia="zh-CN"/>
        </w:rPr>
        <w:tab/>
      </w:r>
      <w:r w:rsidRPr="00EB5BE2">
        <w:rPr>
          <w:lang w:val="en-US" w:eastAsia="zh-CN"/>
        </w:rPr>
        <w:tab/>
      </w:r>
      <w:r>
        <w:rPr>
          <w:rFonts w:hint="eastAsia"/>
          <w:lang w:eastAsia="zh-CN"/>
        </w:rPr>
        <w:t>20</w:t>
      </w:r>
      <w:r>
        <w:rPr>
          <w:lang w:eastAsia="zh-CN"/>
        </w:rPr>
        <w:t>12</w:t>
      </w:r>
      <w:r>
        <w:rPr>
          <w:rFonts w:hint="eastAsia"/>
          <w:lang w:eastAsia="zh-CN"/>
        </w:rPr>
        <w:t>年</w:t>
      </w:r>
    </w:p>
    <w:p w14:paraId="4827C4AE" w14:textId="77777777" w:rsidR="006642CE" w:rsidRDefault="006642CE" w:rsidP="004E1793">
      <w:pPr>
        <w:pStyle w:val="Reftitle"/>
        <w:rPr>
          <w:lang w:eastAsia="zh-CN"/>
        </w:rPr>
      </w:pPr>
      <w:r w:rsidRPr="00022E00">
        <w:rPr>
          <w:lang w:eastAsia="zh-CN"/>
        </w:rPr>
        <w:t>20</w:t>
      </w:r>
      <w:r>
        <w:rPr>
          <w:lang w:eastAsia="zh-CN"/>
        </w:rPr>
        <w:t>12</w:t>
      </w:r>
      <w:r w:rsidRPr="006D0EE6">
        <w:rPr>
          <w:rFonts w:hint="eastAsia"/>
          <w:lang w:eastAsia="zh-CN"/>
        </w:rPr>
        <w:t>年会议（</w:t>
      </w:r>
      <w:r>
        <w:rPr>
          <w:rFonts w:hint="eastAsia"/>
          <w:lang w:eastAsia="zh-CN"/>
        </w:rPr>
        <w:t>201</w:t>
      </w:r>
      <w:r>
        <w:rPr>
          <w:lang w:eastAsia="zh-CN"/>
        </w:rPr>
        <w:t>2</w:t>
      </w:r>
      <w:r w:rsidRPr="006D0EE6">
        <w:rPr>
          <w:rFonts w:hint="eastAsia"/>
          <w:lang w:eastAsia="zh-CN"/>
        </w:rPr>
        <w:t>年</w:t>
      </w:r>
      <w:r>
        <w:rPr>
          <w:lang w:eastAsia="zh-CN"/>
        </w:rPr>
        <w:t>7</w:t>
      </w:r>
      <w:r w:rsidRPr="006D0EE6">
        <w:rPr>
          <w:rFonts w:hint="eastAsia"/>
          <w:lang w:eastAsia="zh-CN"/>
        </w:rPr>
        <w:t>月</w:t>
      </w:r>
      <w:r>
        <w:rPr>
          <w:lang w:eastAsia="zh-CN"/>
        </w:rPr>
        <w:t>4</w:t>
      </w:r>
      <w:r w:rsidRPr="006D0EE6">
        <w:rPr>
          <w:rFonts w:hint="eastAsia"/>
          <w:lang w:eastAsia="zh-CN"/>
        </w:rPr>
        <w:t>-</w:t>
      </w:r>
      <w:r>
        <w:rPr>
          <w:lang w:eastAsia="zh-CN"/>
        </w:rPr>
        <w:t>13</w:t>
      </w:r>
      <w:r w:rsidRPr="006D0EE6">
        <w:rPr>
          <w:rFonts w:hint="eastAsia"/>
          <w:lang w:eastAsia="zh-CN"/>
        </w:rPr>
        <w:t>日）</w:t>
      </w:r>
    </w:p>
    <w:p w14:paraId="4827C4AF" w14:textId="77777777" w:rsidR="00B42442" w:rsidRDefault="00B42442" w:rsidP="00B42442">
      <w:pPr>
        <w:pStyle w:val="Appendixref"/>
        <w:rPr>
          <w:lang w:eastAsia="zh-CN"/>
        </w:rPr>
      </w:pPr>
      <w:r w:rsidRPr="006510A8">
        <w:rPr>
          <w:rFonts w:hAnsi="SimSun" w:hint="eastAsia"/>
          <w:lang w:eastAsia="zh-CN"/>
        </w:rPr>
        <w:t>第</w:t>
      </w:r>
      <w:r>
        <w:rPr>
          <w:lang w:eastAsia="zh-CN"/>
        </w:rPr>
        <w:t>569</w:t>
      </w:r>
      <w:r w:rsidRPr="006510A8">
        <w:rPr>
          <w:rFonts w:hAnsi="SimSun"/>
          <w:lang w:eastAsia="zh-CN"/>
        </w:rPr>
        <w:t>号决</w:t>
      </w:r>
      <w:r w:rsidRPr="006E3B9B">
        <w:rPr>
          <w:rFonts w:hint="eastAsia"/>
          <w:lang w:eastAsia="zh-CN"/>
        </w:rPr>
        <w:t>定</w:t>
      </w:r>
      <w:r>
        <w:rPr>
          <w:b/>
          <w:lang w:eastAsia="zh-CN"/>
        </w:rPr>
        <w:tab/>
      </w:r>
      <w:r>
        <w:rPr>
          <w:rFonts w:hint="eastAsia"/>
          <w:lang w:eastAsia="zh-CN"/>
        </w:rPr>
        <w:t>理事会</w:t>
      </w:r>
      <w:r>
        <w:rPr>
          <w:rFonts w:hint="eastAsia"/>
          <w:lang w:eastAsia="zh-CN"/>
        </w:rPr>
        <w:t>2013</w:t>
      </w:r>
      <w:r>
        <w:rPr>
          <w:rFonts w:hint="eastAsia"/>
          <w:lang w:eastAsia="zh-CN"/>
        </w:rPr>
        <w:t>年会议的日期和会期</w:t>
      </w:r>
      <w:r w:rsidRPr="001658C9">
        <w:rPr>
          <w:lang w:eastAsia="zh-CN"/>
        </w:rPr>
        <w:tab/>
      </w:r>
      <w:r>
        <w:rPr>
          <w:lang w:eastAsia="zh-CN"/>
        </w:rPr>
        <w:tab/>
      </w:r>
      <w:r>
        <w:rPr>
          <w:rFonts w:hint="eastAsia"/>
          <w:lang w:eastAsia="zh-CN"/>
        </w:rPr>
        <w:t>2013</w:t>
      </w:r>
      <w:r>
        <w:rPr>
          <w:rFonts w:hint="eastAsia"/>
          <w:lang w:eastAsia="zh-CN"/>
        </w:rPr>
        <w:t>年</w:t>
      </w:r>
    </w:p>
    <w:p w14:paraId="4827C4B0" w14:textId="77777777" w:rsidR="00B42442" w:rsidRDefault="00B42442" w:rsidP="00B42442">
      <w:pPr>
        <w:pStyle w:val="Appendixref"/>
        <w:rPr>
          <w:lang w:eastAsia="zh-CN"/>
        </w:rPr>
      </w:pPr>
      <w:r w:rsidRPr="006510A8">
        <w:rPr>
          <w:rFonts w:hAnsi="SimSun" w:hint="eastAsia"/>
          <w:lang w:eastAsia="zh-CN"/>
        </w:rPr>
        <w:t>第</w:t>
      </w:r>
      <w:r>
        <w:rPr>
          <w:lang w:eastAsia="zh-CN"/>
        </w:rPr>
        <w:t>570</w:t>
      </w:r>
      <w:r w:rsidRPr="006510A8">
        <w:rPr>
          <w:rFonts w:hAnsi="SimSun"/>
          <w:lang w:eastAsia="zh-CN"/>
        </w:rPr>
        <w:t>号决</w:t>
      </w:r>
      <w:r w:rsidRPr="006E3B9B">
        <w:rPr>
          <w:rFonts w:hint="eastAsia"/>
          <w:lang w:eastAsia="zh-CN"/>
        </w:rPr>
        <w:t>定</w:t>
      </w:r>
      <w:r>
        <w:rPr>
          <w:b/>
          <w:lang w:eastAsia="zh-CN"/>
        </w:rPr>
        <w:tab/>
      </w:r>
      <w:r w:rsidRPr="00287305">
        <w:rPr>
          <w:rFonts w:ascii="Times New Roman" w:hAnsi="Times New Roman" w:hint="eastAsia"/>
          <w:lang w:val="en-US" w:eastAsia="zh-CN"/>
        </w:rPr>
        <w:t>欠款利息和不可回收债务的注销</w:t>
      </w:r>
      <w:r>
        <w:rPr>
          <w:lang w:eastAsia="zh-CN"/>
        </w:rPr>
        <w:tab/>
      </w:r>
      <w:r>
        <w:rPr>
          <w:lang w:eastAsia="zh-CN"/>
        </w:rPr>
        <w:tab/>
      </w:r>
      <w:r>
        <w:rPr>
          <w:rFonts w:hint="eastAsia"/>
          <w:lang w:eastAsia="zh-CN"/>
        </w:rPr>
        <w:t>2013</w:t>
      </w:r>
      <w:r>
        <w:rPr>
          <w:rFonts w:hint="eastAsia"/>
          <w:lang w:eastAsia="zh-CN"/>
        </w:rPr>
        <w:t>年</w:t>
      </w:r>
    </w:p>
    <w:p w14:paraId="4827C4B1" w14:textId="77777777" w:rsidR="00B42442" w:rsidRDefault="00B42442" w:rsidP="009D3F6B">
      <w:pPr>
        <w:pStyle w:val="Appendixref"/>
        <w:rPr>
          <w:lang w:eastAsia="zh-CN"/>
        </w:rPr>
      </w:pPr>
      <w:r w:rsidRPr="006510A8">
        <w:rPr>
          <w:rFonts w:hAnsi="SimSun" w:hint="eastAsia"/>
          <w:lang w:eastAsia="zh-CN"/>
        </w:rPr>
        <w:t>第</w:t>
      </w:r>
      <w:r>
        <w:rPr>
          <w:lang w:eastAsia="zh-CN"/>
        </w:rPr>
        <w:t>571</w:t>
      </w:r>
      <w:r w:rsidRPr="006510A8">
        <w:rPr>
          <w:rFonts w:hAnsi="SimSun"/>
          <w:lang w:eastAsia="zh-CN"/>
        </w:rPr>
        <w:t>号决</w:t>
      </w:r>
      <w:r w:rsidRPr="006E3B9B">
        <w:rPr>
          <w:rFonts w:hint="eastAsia"/>
          <w:lang w:eastAsia="zh-CN"/>
        </w:rPr>
        <w:t>定</w:t>
      </w:r>
      <w:r>
        <w:rPr>
          <w:b/>
          <w:lang w:eastAsia="zh-CN"/>
        </w:rPr>
        <w:tab/>
      </w:r>
      <w:r>
        <w:rPr>
          <w:rFonts w:hint="eastAsia"/>
          <w:lang w:eastAsia="zh-CN"/>
        </w:rPr>
        <w:t>《行政规则》、理事会决议和决定和其它国际电联出版物的免费在线获取</w:t>
      </w:r>
      <w:r w:rsidRPr="00396681">
        <w:rPr>
          <w:bCs/>
          <w:lang w:eastAsia="zh-CN"/>
        </w:rPr>
        <w:tab/>
      </w:r>
      <w:r w:rsidR="00396681">
        <w:rPr>
          <w:b/>
          <w:lang w:eastAsia="zh-CN"/>
        </w:rPr>
        <w:tab/>
      </w:r>
      <w:r w:rsidR="009D3F6B" w:rsidRPr="009D3F6B">
        <w:rPr>
          <w:bCs/>
          <w:lang w:eastAsia="zh-CN"/>
        </w:rPr>
        <w:t>2016</w:t>
      </w:r>
      <w:r w:rsidR="009D3F6B" w:rsidRPr="009D3F6B">
        <w:rPr>
          <w:rFonts w:hint="eastAsia"/>
          <w:bCs/>
          <w:lang w:eastAsia="zh-CN"/>
        </w:rPr>
        <w:t>年</w:t>
      </w:r>
    </w:p>
    <w:p w14:paraId="4827C4B2" w14:textId="77777777" w:rsidR="00B42442" w:rsidRDefault="00B42442" w:rsidP="00B42442">
      <w:pPr>
        <w:pStyle w:val="Appendixref"/>
        <w:rPr>
          <w:lang w:eastAsia="zh-CN"/>
        </w:rPr>
      </w:pPr>
      <w:r w:rsidRPr="006510A8">
        <w:rPr>
          <w:rFonts w:hAnsi="SimSun" w:hint="eastAsia"/>
          <w:lang w:eastAsia="zh-CN"/>
        </w:rPr>
        <w:t>第</w:t>
      </w:r>
      <w:r>
        <w:rPr>
          <w:lang w:eastAsia="zh-CN"/>
        </w:rPr>
        <w:t>572</w:t>
      </w:r>
      <w:r w:rsidRPr="006510A8">
        <w:rPr>
          <w:rFonts w:hAnsi="SimSun"/>
          <w:lang w:eastAsia="zh-CN"/>
        </w:rPr>
        <w:t>号决</w:t>
      </w:r>
      <w:r w:rsidRPr="006E3B9B">
        <w:rPr>
          <w:rFonts w:hint="eastAsia"/>
          <w:lang w:eastAsia="zh-CN"/>
        </w:rPr>
        <w:t>定</w:t>
      </w:r>
      <w:r>
        <w:rPr>
          <w:b/>
          <w:lang w:eastAsia="zh-CN"/>
        </w:rPr>
        <w:tab/>
      </w:r>
      <w:r>
        <w:rPr>
          <w:rFonts w:hint="eastAsia"/>
          <w:lang w:eastAsia="zh-CN"/>
        </w:rPr>
        <w:t>第五届世界电信</w:t>
      </w:r>
      <w:r>
        <w:rPr>
          <w:rFonts w:hint="eastAsia"/>
          <w:lang w:eastAsia="zh-CN"/>
        </w:rPr>
        <w:t>/</w:t>
      </w:r>
      <w:r>
        <w:rPr>
          <w:rFonts w:hint="eastAsia"/>
          <w:lang w:eastAsia="zh-CN"/>
        </w:rPr>
        <w:t>信息通信技术政策论坛（</w:t>
      </w:r>
      <w:r>
        <w:rPr>
          <w:rFonts w:hint="eastAsia"/>
          <w:lang w:eastAsia="zh-CN"/>
        </w:rPr>
        <w:t>WTPF-13</w:t>
      </w:r>
      <w:r>
        <w:rPr>
          <w:rFonts w:hint="eastAsia"/>
          <w:lang w:eastAsia="zh-CN"/>
        </w:rPr>
        <w:t>）</w:t>
      </w:r>
      <w:r w:rsidRPr="00396681">
        <w:rPr>
          <w:rFonts w:hint="eastAsia"/>
          <w:lang w:eastAsia="zh-CN"/>
        </w:rPr>
        <w:t>的日期</w:t>
      </w:r>
      <w:r w:rsidRPr="00396681">
        <w:rPr>
          <w:lang w:eastAsia="zh-CN"/>
        </w:rPr>
        <w:tab/>
      </w:r>
      <w:r>
        <w:rPr>
          <w:b/>
          <w:lang w:eastAsia="zh-CN"/>
        </w:rPr>
        <w:tab/>
      </w:r>
      <w:r>
        <w:rPr>
          <w:rFonts w:hint="eastAsia"/>
          <w:lang w:eastAsia="zh-CN"/>
        </w:rPr>
        <w:t>2013</w:t>
      </w:r>
      <w:r>
        <w:rPr>
          <w:rFonts w:hint="eastAsia"/>
          <w:lang w:eastAsia="zh-CN"/>
        </w:rPr>
        <w:t>年</w:t>
      </w:r>
    </w:p>
    <w:p w14:paraId="4827C4B3" w14:textId="77777777" w:rsidR="00B42442" w:rsidRDefault="00B42442" w:rsidP="00B42442">
      <w:pPr>
        <w:pStyle w:val="Appendixref"/>
        <w:rPr>
          <w:lang w:eastAsia="zh-CN"/>
        </w:rPr>
      </w:pPr>
      <w:r w:rsidRPr="006510A8">
        <w:rPr>
          <w:rFonts w:hAnsi="SimSun" w:hint="eastAsia"/>
          <w:lang w:eastAsia="zh-CN"/>
        </w:rPr>
        <w:t>第</w:t>
      </w:r>
      <w:r>
        <w:rPr>
          <w:lang w:eastAsia="zh-CN"/>
        </w:rPr>
        <w:t>573</w:t>
      </w:r>
      <w:r w:rsidRPr="006510A8">
        <w:rPr>
          <w:rFonts w:hAnsi="SimSun"/>
          <w:lang w:eastAsia="zh-CN"/>
        </w:rPr>
        <w:t>号决</w:t>
      </w:r>
      <w:r w:rsidRPr="006E3B9B">
        <w:rPr>
          <w:rFonts w:hint="eastAsia"/>
          <w:lang w:eastAsia="zh-CN"/>
        </w:rPr>
        <w:t>定</w:t>
      </w:r>
      <w:r>
        <w:rPr>
          <w:b/>
          <w:lang w:eastAsia="zh-CN"/>
        </w:rPr>
        <w:tab/>
      </w:r>
      <w:r w:rsidRPr="00E507C5">
        <w:rPr>
          <w:rFonts w:hint="eastAsia"/>
          <w:lang w:eastAsia="zh-CN"/>
        </w:rPr>
        <w:t>向</w:t>
      </w:r>
      <w:r w:rsidRPr="00E507C5">
        <w:rPr>
          <w:lang w:eastAsia="zh-CN"/>
        </w:rPr>
        <w:t>2012</w:t>
      </w:r>
      <w:r w:rsidRPr="00E507C5">
        <w:rPr>
          <w:rFonts w:hint="eastAsia"/>
          <w:lang w:eastAsia="zh-CN"/>
        </w:rPr>
        <w:t>年国际电信世界大会（</w:t>
      </w:r>
      <w:r w:rsidRPr="00E507C5">
        <w:rPr>
          <w:lang w:eastAsia="zh-CN"/>
        </w:rPr>
        <w:t>WCIT-12</w:t>
      </w:r>
      <w:r w:rsidRPr="00E507C5">
        <w:rPr>
          <w:rFonts w:hint="eastAsia"/>
          <w:lang w:eastAsia="zh-CN"/>
        </w:rPr>
        <w:t>）提交文稿的截止</w:t>
      </w:r>
      <w:r>
        <w:rPr>
          <w:rFonts w:hint="eastAsia"/>
          <w:lang w:eastAsia="zh-CN"/>
        </w:rPr>
        <w:t>日期</w:t>
      </w:r>
      <w:r w:rsidRPr="00396681">
        <w:rPr>
          <w:bCs/>
          <w:lang w:eastAsia="zh-CN"/>
        </w:rPr>
        <w:tab/>
      </w:r>
      <w:r>
        <w:rPr>
          <w:b/>
          <w:lang w:eastAsia="zh-CN"/>
        </w:rPr>
        <w:tab/>
      </w:r>
      <w:r>
        <w:rPr>
          <w:rFonts w:hint="eastAsia"/>
          <w:lang w:eastAsia="zh-CN"/>
        </w:rPr>
        <w:t>2013</w:t>
      </w:r>
      <w:r>
        <w:rPr>
          <w:rFonts w:hint="eastAsia"/>
          <w:lang w:eastAsia="zh-CN"/>
        </w:rPr>
        <w:t>年</w:t>
      </w:r>
    </w:p>
    <w:p w14:paraId="4827C4B4" w14:textId="77777777" w:rsidR="00E1380A" w:rsidRDefault="00E1380A" w:rsidP="004E1793">
      <w:pPr>
        <w:pStyle w:val="Reftitle"/>
        <w:rPr>
          <w:lang w:eastAsia="zh-CN"/>
        </w:rPr>
      </w:pPr>
      <w:r w:rsidRPr="00022E00">
        <w:rPr>
          <w:lang w:eastAsia="zh-CN"/>
        </w:rPr>
        <w:t>20</w:t>
      </w:r>
      <w:r>
        <w:rPr>
          <w:lang w:eastAsia="zh-CN"/>
        </w:rPr>
        <w:t>13</w:t>
      </w:r>
      <w:r w:rsidRPr="006D0EE6">
        <w:rPr>
          <w:rFonts w:hint="eastAsia"/>
          <w:lang w:eastAsia="zh-CN"/>
        </w:rPr>
        <w:t>年会议（</w:t>
      </w:r>
      <w:r>
        <w:rPr>
          <w:rFonts w:hint="eastAsia"/>
          <w:lang w:eastAsia="zh-CN"/>
        </w:rPr>
        <w:t>201</w:t>
      </w:r>
      <w:r>
        <w:rPr>
          <w:lang w:eastAsia="zh-CN"/>
        </w:rPr>
        <w:t>3</w:t>
      </w:r>
      <w:r w:rsidRPr="006D0EE6">
        <w:rPr>
          <w:rFonts w:hint="eastAsia"/>
          <w:lang w:eastAsia="zh-CN"/>
        </w:rPr>
        <w:t>年</w:t>
      </w:r>
      <w:r>
        <w:rPr>
          <w:lang w:eastAsia="zh-CN"/>
        </w:rPr>
        <w:t>6</w:t>
      </w:r>
      <w:r w:rsidRPr="006D0EE6">
        <w:rPr>
          <w:rFonts w:hint="eastAsia"/>
          <w:lang w:eastAsia="zh-CN"/>
        </w:rPr>
        <w:t>月</w:t>
      </w:r>
      <w:r>
        <w:rPr>
          <w:lang w:val="en-US" w:eastAsia="zh-CN"/>
        </w:rPr>
        <w:t>11</w:t>
      </w:r>
      <w:r w:rsidRPr="006D0EE6">
        <w:rPr>
          <w:rFonts w:hint="eastAsia"/>
          <w:lang w:eastAsia="zh-CN"/>
        </w:rPr>
        <w:t>-</w:t>
      </w:r>
      <w:r>
        <w:rPr>
          <w:lang w:eastAsia="zh-CN"/>
        </w:rPr>
        <w:t>21</w:t>
      </w:r>
      <w:r w:rsidRPr="006D0EE6">
        <w:rPr>
          <w:rFonts w:hint="eastAsia"/>
          <w:lang w:eastAsia="zh-CN"/>
        </w:rPr>
        <w:t>日）</w:t>
      </w:r>
    </w:p>
    <w:p w14:paraId="4827C4B5" w14:textId="77777777" w:rsidR="00B42442" w:rsidRDefault="00B42442" w:rsidP="009D3F6B">
      <w:pPr>
        <w:pStyle w:val="Appendixref"/>
        <w:rPr>
          <w:lang w:eastAsia="zh-CN"/>
        </w:rPr>
      </w:pPr>
      <w:r w:rsidRPr="006510A8">
        <w:rPr>
          <w:rFonts w:hAnsi="SimSun" w:hint="eastAsia"/>
          <w:lang w:eastAsia="zh-CN"/>
        </w:rPr>
        <w:t>第</w:t>
      </w:r>
      <w:r>
        <w:rPr>
          <w:lang w:eastAsia="zh-CN"/>
        </w:rPr>
        <w:t>5</w:t>
      </w:r>
      <w:r>
        <w:rPr>
          <w:rFonts w:hint="eastAsia"/>
          <w:lang w:eastAsia="zh-CN"/>
        </w:rPr>
        <w:t>74</w:t>
      </w:r>
      <w:r w:rsidRPr="006510A8">
        <w:rPr>
          <w:rFonts w:hAnsi="SimSun"/>
          <w:lang w:eastAsia="zh-CN"/>
        </w:rPr>
        <w:t>号决</w:t>
      </w:r>
      <w:r w:rsidRPr="006E3B9B">
        <w:rPr>
          <w:rFonts w:hint="eastAsia"/>
          <w:lang w:eastAsia="zh-CN"/>
        </w:rPr>
        <w:t>定</w:t>
      </w:r>
      <w:r>
        <w:rPr>
          <w:b/>
          <w:lang w:eastAsia="zh-CN"/>
        </w:rPr>
        <w:tab/>
      </w:r>
      <w:r w:rsidRPr="00E1380A">
        <w:rPr>
          <w:rFonts w:hint="eastAsia"/>
          <w:lang w:eastAsia="zh-CN"/>
        </w:rPr>
        <w:t>世界电信发展大会最后报告的免费在线获取</w:t>
      </w:r>
      <w:r w:rsidRPr="001658C9">
        <w:rPr>
          <w:lang w:eastAsia="zh-CN"/>
        </w:rPr>
        <w:tab/>
      </w:r>
      <w:r>
        <w:rPr>
          <w:lang w:eastAsia="zh-CN"/>
        </w:rPr>
        <w:tab/>
      </w:r>
      <w:r w:rsidR="009D3F6B">
        <w:rPr>
          <w:lang w:eastAsia="zh-CN"/>
        </w:rPr>
        <w:t>2016</w:t>
      </w:r>
      <w:r w:rsidR="009D3F6B">
        <w:rPr>
          <w:rFonts w:hint="eastAsia"/>
          <w:lang w:eastAsia="zh-CN"/>
        </w:rPr>
        <w:t>年</w:t>
      </w:r>
    </w:p>
    <w:p w14:paraId="4827C4B6" w14:textId="77777777" w:rsidR="00B42442" w:rsidRDefault="00B42442" w:rsidP="00D555F8">
      <w:pPr>
        <w:pStyle w:val="Appendixref"/>
        <w:rPr>
          <w:lang w:eastAsia="zh-CN"/>
        </w:rPr>
      </w:pPr>
      <w:r w:rsidRPr="006510A8">
        <w:rPr>
          <w:rFonts w:hAnsi="SimSun" w:hint="eastAsia"/>
          <w:lang w:eastAsia="zh-CN"/>
        </w:rPr>
        <w:t>第</w:t>
      </w:r>
      <w:r>
        <w:rPr>
          <w:lang w:eastAsia="zh-CN"/>
        </w:rPr>
        <w:t>57</w:t>
      </w:r>
      <w:r>
        <w:rPr>
          <w:rFonts w:hint="eastAsia"/>
          <w:lang w:eastAsia="zh-CN"/>
        </w:rPr>
        <w:t>5</w:t>
      </w:r>
      <w:r w:rsidRPr="006510A8">
        <w:rPr>
          <w:rFonts w:hAnsi="SimSun"/>
          <w:lang w:eastAsia="zh-CN"/>
        </w:rPr>
        <w:t>号决</w:t>
      </w:r>
      <w:r w:rsidRPr="006E3B9B">
        <w:rPr>
          <w:rFonts w:hint="eastAsia"/>
          <w:lang w:eastAsia="zh-CN"/>
        </w:rPr>
        <w:t>定</w:t>
      </w:r>
      <w:r>
        <w:rPr>
          <w:b/>
          <w:lang w:eastAsia="zh-CN"/>
        </w:rPr>
        <w:tab/>
      </w:r>
      <w:r w:rsidRPr="00E1380A">
        <w:rPr>
          <w:lang w:val="en-US" w:eastAsia="zh-CN"/>
        </w:rPr>
        <w:t>成立</w:t>
      </w:r>
      <w:r w:rsidRPr="00E1380A">
        <w:rPr>
          <w:lang w:val="en-US" w:eastAsia="zh-CN"/>
        </w:rPr>
        <w:t>150</w:t>
      </w:r>
      <w:r w:rsidRPr="00E1380A">
        <w:rPr>
          <w:lang w:val="en-US" w:eastAsia="zh-CN"/>
        </w:rPr>
        <w:t>周年庆典筹备委员会</w:t>
      </w:r>
      <w:r w:rsidRPr="00E1380A">
        <w:rPr>
          <w:lang w:eastAsia="zh-CN"/>
        </w:rPr>
        <w:tab/>
      </w:r>
      <w:r>
        <w:rPr>
          <w:lang w:eastAsia="zh-CN"/>
        </w:rPr>
        <w:tab/>
      </w:r>
      <w:r w:rsidR="00D555F8">
        <w:rPr>
          <w:lang w:eastAsia="zh-CN"/>
        </w:rPr>
        <w:t>2017</w:t>
      </w:r>
      <w:r w:rsidR="00D555F8">
        <w:rPr>
          <w:rFonts w:hint="eastAsia"/>
          <w:lang w:eastAsia="zh-CN"/>
        </w:rPr>
        <w:t>年</w:t>
      </w:r>
    </w:p>
    <w:p w14:paraId="4827C4B7" w14:textId="77777777" w:rsidR="00B42442" w:rsidRPr="00396681" w:rsidRDefault="00B42442" w:rsidP="00B42442">
      <w:pPr>
        <w:pStyle w:val="Appendixref"/>
        <w:tabs>
          <w:tab w:val="clear" w:pos="9356"/>
          <w:tab w:val="right" w:leader="dot" w:pos="8789"/>
          <w:tab w:val="right" w:pos="9355"/>
        </w:tabs>
        <w:rPr>
          <w:lang w:eastAsia="zh-CN"/>
        </w:rPr>
      </w:pPr>
      <w:r w:rsidRPr="006510A8">
        <w:rPr>
          <w:rFonts w:hAnsi="SimSun" w:hint="eastAsia"/>
          <w:lang w:eastAsia="zh-CN"/>
        </w:rPr>
        <w:t>第</w:t>
      </w:r>
      <w:r>
        <w:rPr>
          <w:lang w:eastAsia="zh-CN"/>
        </w:rPr>
        <w:t>57</w:t>
      </w:r>
      <w:r>
        <w:rPr>
          <w:rFonts w:hint="eastAsia"/>
          <w:lang w:eastAsia="zh-CN"/>
        </w:rPr>
        <w:t>6</w:t>
      </w:r>
      <w:r w:rsidRPr="006510A8">
        <w:rPr>
          <w:rFonts w:hAnsi="SimSun"/>
          <w:lang w:eastAsia="zh-CN"/>
        </w:rPr>
        <w:t>号决</w:t>
      </w:r>
      <w:r w:rsidRPr="006E3B9B">
        <w:rPr>
          <w:rFonts w:hint="eastAsia"/>
          <w:lang w:eastAsia="zh-CN"/>
        </w:rPr>
        <w:t>定</w:t>
      </w:r>
      <w:r>
        <w:rPr>
          <w:b/>
          <w:lang w:eastAsia="zh-CN"/>
        </w:rPr>
        <w:tab/>
      </w:r>
      <w:r w:rsidRPr="008D6410">
        <w:rPr>
          <w:lang w:eastAsia="zh-CN"/>
        </w:rPr>
        <w:t>对国际电联按照</w:t>
      </w:r>
      <w:r>
        <w:rPr>
          <w:rFonts w:eastAsiaTheme="minorEastAsia"/>
          <w:lang w:eastAsia="zh-CN"/>
        </w:rPr>
        <w:t>《空间议定书</w:t>
      </w:r>
      <w:r w:rsidRPr="008D6410">
        <w:rPr>
          <w:rFonts w:eastAsiaTheme="minorEastAsia"/>
          <w:lang w:eastAsia="zh-CN"/>
        </w:rPr>
        <w:t>》</w:t>
      </w:r>
      <w:r>
        <w:rPr>
          <w:rFonts w:hint="eastAsia"/>
          <w:lang w:eastAsia="zh-CN"/>
        </w:rPr>
        <w:t>作为</w:t>
      </w:r>
      <w:r>
        <w:rPr>
          <w:lang w:eastAsia="zh-CN"/>
        </w:rPr>
        <w:t>空间资产国际登记系统监督机构</w:t>
      </w:r>
      <w:r>
        <w:rPr>
          <w:rFonts w:hint="eastAsia"/>
          <w:lang w:eastAsia="zh-CN"/>
        </w:rPr>
        <w:t>可能发挥作用</w:t>
      </w:r>
      <w:r w:rsidRPr="008D6410">
        <w:rPr>
          <w:lang w:eastAsia="zh-CN"/>
        </w:rPr>
        <w:t>的审议</w:t>
      </w:r>
      <w:r w:rsidRPr="00396681">
        <w:rPr>
          <w:lang w:eastAsia="zh-CN"/>
        </w:rPr>
        <w:tab/>
      </w:r>
      <w:r w:rsidRPr="00396681">
        <w:rPr>
          <w:lang w:eastAsia="zh-CN"/>
        </w:rPr>
        <w:tab/>
      </w:r>
      <w:r w:rsidRPr="00396681">
        <w:rPr>
          <w:lang w:eastAsia="zh-CN"/>
        </w:rPr>
        <w:tab/>
      </w:r>
      <w:r w:rsidRPr="00396681">
        <w:rPr>
          <w:rFonts w:hint="eastAsia"/>
          <w:lang w:eastAsia="zh-CN"/>
        </w:rPr>
        <w:t>7</w:t>
      </w:r>
      <w:r w:rsidRPr="00396681">
        <w:rPr>
          <w:lang w:eastAsia="zh-CN"/>
        </w:rPr>
        <w:t>.2</w:t>
      </w:r>
    </w:p>
    <w:p w14:paraId="4827C4B8" w14:textId="77777777" w:rsidR="00B42442" w:rsidRPr="00396681" w:rsidRDefault="00B42442" w:rsidP="00B42442">
      <w:pPr>
        <w:pStyle w:val="Appendixref"/>
        <w:rPr>
          <w:lang w:eastAsia="zh-CN"/>
        </w:rPr>
      </w:pPr>
      <w:r w:rsidRPr="00396681">
        <w:rPr>
          <w:rFonts w:hAnsi="SimSun" w:hint="eastAsia"/>
          <w:lang w:eastAsia="zh-CN"/>
        </w:rPr>
        <w:t>第</w:t>
      </w:r>
      <w:r w:rsidRPr="00396681">
        <w:rPr>
          <w:lang w:eastAsia="zh-CN"/>
        </w:rPr>
        <w:t>57</w:t>
      </w:r>
      <w:r w:rsidRPr="00396681">
        <w:rPr>
          <w:rFonts w:hint="eastAsia"/>
          <w:lang w:eastAsia="zh-CN"/>
        </w:rPr>
        <w:t>7</w:t>
      </w:r>
      <w:r w:rsidRPr="00396681">
        <w:rPr>
          <w:rFonts w:hAnsi="SimSun"/>
          <w:lang w:eastAsia="zh-CN"/>
        </w:rPr>
        <w:t>号决</w:t>
      </w:r>
      <w:r w:rsidRPr="00396681">
        <w:rPr>
          <w:rFonts w:hint="eastAsia"/>
          <w:lang w:eastAsia="zh-CN"/>
        </w:rPr>
        <w:t>定</w:t>
      </w:r>
      <w:r w:rsidRPr="00396681">
        <w:rPr>
          <w:lang w:eastAsia="zh-CN"/>
        </w:rPr>
        <w:tab/>
      </w:r>
      <w:r w:rsidRPr="00396681">
        <w:rPr>
          <w:rFonts w:hint="eastAsia"/>
          <w:lang w:eastAsia="zh-CN"/>
        </w:rPr>
        <w:t>理事会</w:t>
      </w:r>
      <w:r w:rsidRPr="00396681">
        <w:rPr>
          <w:rFonts w:hint="eastAsia"/>
          <w:lang w:eastAsia="zh-CN"/>
        </w:rPr>
        <w:t>2014</w:t>
      </w:r>
      <w:r w:rsidRPr="00396681">
        <w:rPr>
          <w:rFonts w:hint="eastAsia"/>
          <w:lang w:eastAsia="zh-CN"/>
        </w:rPr>
        <w:t>年会议的日期和会期</w:t>
      </w:r>
      <w:r w:rsidRPr="00396681">
        <w:rPr>
          <w:lang w:eastAsia="zh-CN"/>
        </w:rPr>
        <w:tab/>
      </w:r>
      <w:r w:rsidRPr="00396681">
        <w:rPr>
          <w:lang w:eastAsia="zh-CN"/>
        </w:rPr>
        <w:tab/>
      </w:r>
      <w:r w:rsidRPr="00396681">
        <w:rPr>
          <w:rFonts w:hint="eastAsia"/>
          <w:lang w:eastAsia="zh-CN"/>
        </w:rPr>
        <w:t>201</w:t>
      </w:r>
      <w:r w:rsidRPr="00396681">
        <w:rPr>
          <w:lang w:eastAsia="zh-CN"/>
        </w:rPr>
        <w:t>4</w:t>
      </w:r>
      <w:r w:rsidRPr="00396681">
        <w:rPr>
          <w:rFonts w:hint="eastAsia"/>
          <w:lang w:eastAsia="zh-CN"/>
        </w:rPr>
        <w:t>年</w:t>
      </w:r>
    </w:p>
    <w:p w14:paraId="4827C4B9" w14:textId="77777777" w:rsidR="00B42442" w:rsidRPr="00396681" w:rsidRDefault="00B42442" w:rsidP="00B42442">
      <w:pPr>
        <w:pStyle w:val="Appendixref"/>
        <w:rPr>
          <w:lang w:eastAsia="zh-CN"/>
        </w:rPr>
      </w:pPr>
      <w:r w:rsidRPr="00396681">
        <w:rPr>
          <w:rFonts w:hAnsi="SimSun" w:hint="eastAsia"/>
          <w:lang w:eastAsia="zh-CN"/>
        </w:rPr>
        <w:t>第</w:t>
      </w:r>
      <w:r w:rsidRPr="00396681">
        <w:rPr>
          <w:lang w:eastAsia="zh-CN"/>
        </w:rPr>
        <w:t>57</w:t>
      </w:r>
      <w:r w:rsidRPr="00396681">
        <w:rPr>
          <w:rFonts w:hint="eastAsia"/>
          <w:lang w:eastAsia="zh-CN"/>
        </w:rPr>
        <w:t>8</w:t>
      </w:r>
      <w:r w:rsidRPr="00396681">
        <w:rPr>
          <w:rFonts w:hAnsi="SimSun"/>
          <w:lang w:eastAsia="zh-CN"/>
        </w:rPr>
        <w:t>号决</w:t>
      </w:r>
      <w:r w:rsidRPr="00396681">
        <w:rPr>
          <w:rFonts w:hint="eastAsia"/>
          <w:lang w:eastAsia="zh-CN"/>
        </w:rPr>
        <w:t>定</w:t>
      </w:r>
      <w:r w:rsidRPr="00396681">
        <w:rPr>
          <w:lang w:eastAsia="zh-CN"/>
        </w:rPr>
        <w:tab/>
      </w:r>
      <w:r w:rsidRPr="00396681">
        <w:rPr>
          <w:rFonts w:hint="eastAsia"/>
          <w:lang w:val="en-US" w:eastAsia="zh-CN"/>
        </w:rPr>
        <w:t>欠款利息、不可回收债务和一免除责任成员相关债务的注销</w:t>
      </w:r>
      <w:r w:rsidRPr="00396681">
        <w:rPr>
          <w:lang w:eastAsia="zh-CN"/>
        </w:rPr>
        <w:tab/>
      </w:r>
      <w:r w:rsidRPr="00396681">
        <w:rPr>
          <w:lang w:eastAsia="zh-CN"/>
        </w:rPr>
        <w:tab/>
        <w:t>2015</w:t>
      </w:r>
      <w:r w:rsidRPr="00396681">
        <w:rPr>
          <w:rFonts w:hint="eastAsia"/>
          <w:lang w:eastAsia="zh-CN"/>
        </w:rPr>
        <w:t>年</w:t>
      </w:r>
    </w:p>
    <w:p w14:paraId="4827C4BA" w14:textId="77777777" w:rsidR="00B42442" w:rsidRDefault="00B42442" w:rsidP="00BD7DB7">
      <w:pPr>
        <w:pStyle w:val="Appendixref"/>
        <w:rPr>
          <w:lang w:eastAsia="zh-CN"/>
        </w:rPr>
      </w:pPr>
      <w:r w:rsidRPr="00396681">
        <w:rPr>
          <w:rFonts w:hAnsi="SimSun" w:hint="eastAsia"/>
          <w:lang w:eastAsia="zh-CN"/>
        </w:rPr>
        <w:t>第</w:t>
      </w:r>
      <w:r w:rsidRPr="00396681">
        <w:rPr>
          <w:lang w:eastAsia="zh-CN"/>
        </w:rPr>
        <w:t>57</w:t>
      </w:r>
      <w:r w:rsidRPr="00396681">
        <w:rPr>
          <w:rFonts w:hint="eastAsia"/>
          <w:lang w:eastAsia="zh-CN"/>
        </w:rPr>
        <w:t>9</w:t>
      </w:r>
      <w:r w:rsidRPr="00396681">
        <w:rPr>
          <w:rFonts w:hAnsi="SimSun"/>
          <w:lang w:eastAsia="zh-CN"/>
        </w:rPr>
        <w:t>号决</w:t>
      </w:r>
      <w:r w:rsidRPr="00396681">
        <w:rPr>
          <w:rFonts w:hint="eastAsia"/>
          <w:lang w:eastAsia="zh-CN"/>
        </w:rPr>
        <w:t>定</w:t>
      </w:r>
      <w:r w:rsidRPr="00396681">
        <w:rPr>
          <w:lang w:eastAsia="zh-CN"/>
        </w:rPr>
        <w:tab/>
      </w:r>
      <w:r w:rsidRPr="00396681">
        <w:rPr>
          <w:lang w:eastAsia="zh-CN"/>
        </w:rPr>
        <w:t>国际电联的法定退休年龄</w:t>
      </w:r>
      <w:r w:rsidRPr="00396681">
        <w:rPr>
          <w:lang w:eastAsia="zh-CN"/>
        </w:rPr>
        <w:tab/>
      </w:r>
      <w:r w:rsidRPr="00396681">
        <w:rPr>
          <w:lang w:eastAsia="zh-CN"/>
        </w:rPr>
        <w:tab/>
      </w:r>
      <w:r w:rsidR="00BD7DB7">
        <w:rPr>
          <w:lang w:eastAsia="zh-CN"/>
        </w:rPr>
        <w:t>2018</w:t>
      </w:r>
      <w:r w:rsidR="00BD7DB7">
        <w:rPr>
          <w:rFonts w:hint="eastAsia"/>
          <w:lang w:eastAsia="zh-CN"/>
        </w:rPr>
        <w:t>年</w:t>
      </w:r>
    </w:p>
    <w:p w14:paraId="4827C4BB" w14:textId="77777777" w:rsidR="00BB0ED8" w:rsidRDefault="00BB0ED8" w:rsidP="004E1793">
      <w:pPr>
        <w:pStyle w:val="Reftitle"/>
        <w:rPr>
          <w:lang w:eastAsia="zh-CN"/>
        </w:rPr>
      </w:pPr>
      <w:r w:rsidRPr="00022E00">
        <w:rPr>
          <w:lang w:eastAsia="zh-CN"/>
        </w:rPr>
        <w:t>20</w:t>
      </w:r>
      <w:r>
        <w:rPr>
          <w:lang w:eastAsia="zh-CN"/>
        </w:rPr>
        <w:t>14</w:t>
      </w:r>
      <w:r w:rsidRPr="006D0EE6">
        <w:rPr>
          <w:rFonts w:hint="eastAsia"/>
          <w:lang w:eastAsia="zh-CN"/>
        </w:rPr>
        <w:t>年会议（</w:t>
      </w:r>
      <w:r>
        <w:rPr>
          <w:rFonts w:hint="eastAsia"/>
          <w:lang w:eastAsia="zh-CN"/>
        </w:rPr>
        <w:t>201</w:t>
      </w:r>
      <w:r>
        <w:rPr>
          <w:lang w:eastAsia="zh-CN"/>
        </w:rPr>
        <w:t>4</w:t>
      </w:r>
      <w:r w:rsidRPr="006D0EE6">
        <w:rPr>
          <w:rFonts w:hint="eastAsia"/>
          <w:lang w:eastAsia="zh-CN"/>
        </w:rPr>
        <w:t>年</w:t>
      </w:r>
      <w:r>
        <w:rPr>
          <w:rFonts w:hint="eastAsia"/>
          <w:lang w:eastAsia="zh-CN"/>
        </w:rPr>
        <w:t>5</w:t>
      </w:r>
      <w:r w:rsidRPr="006D0EE6">
        <w:rPr>
          <w:rFonts w:hint="eastAsia"/>
          <w:lang w:eastAsia="zh-CN"/>
        </w:rPr>
        <w:t>月</w:t>
      </w:r>
      <w:r>
        <w:rPr>
          <w:rFonts w:hint="eastAsia"/>
          <w:lang w:eastAsia="zh-CN"/>
        </w:rPr>
        <w:t>6</w:t>
      </w:r>
      <w:r w:rsidRPr="006D0EE6">
        <w:rPr>
          <w:rFonts w:hint="eastAsia"/>
          <w:lang w:eastAsia="zh-CN"/>
        </w:rPr>
        <w:t>-</w:t>
      </w:r>
      <w:r>
        <w:rPr>
          <w:lang w:eastAsia="zh-CN"/>
        </w:rPr>
        <w:t>15</w:t>
      </w:r>
      <w:r w:rsidRPr="006D0EE6">
        <w:rPr>
          <w:rFonts w:hint="eastAsia"/>
          <w:lang w:eastAsia="zh-CN"/>
        </w:rPr>
        <w:t>日</w:t>
      </w:r>
      <w:r>
        <w:rPr>
          <w:rFonts w:hint="eastAsia"/>
          <w:lang w:eastAsia="zh-CN"/>
        </w:rPr>
        <w:t>和</w:t>
      </w:r>
      <w:r>
        <w:rPr>
          <w:rFonts w:hint="eastAsia"/>
          <w:lang w:eastAsia="zh-CN"/>
        </w:rPr>
        <w:t>20</w:t>
      </w:r>
      <w:r>
        <w:rPr>
          <w:lang w:eastAsia="zh-CN"/>
        </w:rPr>
        <w:t>14</w:t>
      </w:r>
      <w:r>
        <w:rPr>
          <w:rFonts w:hint="eastAsia"/>
          <w:lang w:eastAsia="zh-CN"/>
        </w:rPr>
        <w:t>年</w:t>
      </w:r>
      <w:r>
        <w:rPr>
          <w:rFonts w:hint="eastAsia"/>
          <w:lang w:eastAsia="zh-CN"/>
        </w:rPr>
        <w:t>1</w:t>
      </w:r>
      <w:r>
        <w:rPr>
          <w:lang w:eastAsia="zh-CN"/>
        </w:rPr>
        <w:t>0</w:t>
      </w:r>
      <w:r>
        <w:rPr>
          <w:rFonts w:hint="eastAsia"/>
          <w:lang w:eastAsia="zh-CN"/>
        </w:rPr>
        <w:t>月</w:t>
      </w:r>
      <w:r>
        <w:rPr>
          <w:rFonts w:hint="eastAsia"/>
          <w:lang w:eastAsia="zh-CN"/>
        </w:rPr>
        <w:t>1</w:t>
      </w:r>
      <w:r>
        <w:rPr>
          <w:lang w:eastAsia="zh-CN"/>
        </w:rPr>
        <w:t>8</w:t>
      </w:r>
      <w:r>
        <w:rPr>
          <w:lang w:eastAsia="zh-CN"/>
        </w:rPr>
        <w:t>日</w:t>
      </w:r>
      <w:r w:rsidRPr="006D0EE6">
        <w:rPr>
          <w:rFonts w:hint="eastAsia"/>
          <w:lang w:eastAsia="zh-CN"/>
        </w:rPr>
        <w:t>）</w:t>
      </w:r>
    </w:p>
    <w:p w14:paraId="4827C4BC" w14:textId="77777777" w:rsidR="00B42442" w:rsidRDefault="00B42442" w:rsidP="00B42442">
      <w:pPr>
        <w:pStyle w:val="Appendixref"/>
        <w:rPr>
          <w:lang w:eastAsia="zh-CN"/>
        </w:rPr>
      </w:pPr>
      <w:r w:rsidRPr="006510A8">
        <w:rPr>
          <w:rFonts w:hAnsi="SimSun" w:hint="eastAsia"/>
          <w:lang w:eastAsia="zh-CN"/>
        </w:rPr>
        <w:t>第</w:t>
      </w:r>
      <w:r>
        <w:rPr>
          <w:lang w:eastAsia="zh-CN"/>
        </w:rPr>
        <w:t>580</w:t>
      </w:r>
      <w:r w:rsidRPr="006510A8">
        <w:rPr>
          <w:rFonts w:hAnsi="SimSun"/>
          <w:lang w:eastAsia="zh-CN"/>
        </w:rPr>
        <w:t>号决</w:t>
      </w:r>
      <w:r w:rsidRPr="006E3B9B">
        <w:rPr>
          <w:rFonts w:hint="eastAsia"/>
          <w:lang w:eastAsia="zh-CN"/>
        </w:rPr>
        <w:t>定</w:t>
      </w:r>
      <w:r>
        <w:rPr>
          <w:b/>
          <w:lang w:eastAsia="zh-CN"/>
        </w:rPr>
        <w:tab/>
      </w:r>
      <w:r w:rsidRPr="00D40E1B">
        <w:rPr>
          <w:rFonts w:hint="eastAsia"/>
          <w:lang w:val="en-US" w:eastAsia="zh-CN"/>
        </w:rPr>
        <w:t>理事会</w:t>
      </w:r>
      <w:r w:rsidRPr="00D40E1B">
        <w:rPr>
          <w:rFonts w:cs="Times New Roman Bold"/>
          <w:lang w:val="en-US" w:eastAsia="zh-CN"/>
        </w:rPr>
        <w:t>2015</w:t>
      </w:r>
      <w:r w:rsidRPr="00D40E1B">
        <w:rPr>
          <w:rFonts w:hint="eastAsia"/>
          <w:lang w:val="en-US" w:eastAsia="zh-CN"/>
        </w:rPr>
        <w:t>年会议的日期和会期</w:t>
      </w:r>
      <w:r w:rsidRPr="001658C9">
        <w:rPr>
          <w:lang w:eastAsia="zh-CN"/>
        </w:rPr>
        <w:tab/>
      </w:r>
      <w:r>
        <w:rPr>
          <w:lang w:eastAsia="zh-CN"/>
        </w:rPr>
        <w:tab/>
        <w:t>2015</w:t>
      </w:r>
      <w:r>
        <w:rPr>
          <w:rFonts w:hint="eastAsia"/>
          <w:lang w:eastAsia="zh-CN"/>
        </w:rPr>
        <w:t>年</w:t>
      </w:r>
    </w:p>
    <w:p w14:paraId="4827C4BD" w14:textId="77777777" w:rsidR="00B42442" w:rsidRDefault="00B42442" w:rsidP="00B42442">
      <w:pPr>
        <w:pStyle w:val="Appendixref"/>
        <w:rPr>
          <w:lang w:eastAsia="zh-CN"/>
        </w:rPr>
      </w:pPr>
      <w:r w:rsidRPr="006510A8">
        <w:rPr>
          <w:rFonts w:hAnsi="SimSun" w:hint="eastAsia"/>
          <w:lang w:eastAsia="zh-CN"/>
        </w:rPr>
        <w:t>第</w:t>
      </w:r>
      <w:r>
        <w:rPr>
          <w:lang w:eastAsia="zh-CN"/>
        </w:rPr>
        <w:t>581</w:t>
      </w:r>
      <w:r w:rsidRPr="006510A8">
        <w:rPr>
          <w:rFonts w:hAnsi="SimSun"/>
          <w:lang w:eastAsia="zh-CN"/>
        </w:rPr>
        <w:t>号决</w:t>
      </w:r>
      <w:r w:rsidRPr="006E3B9B">
        <w:rPr>
          <w:rFonts w:hint="eastAsia"/>
          <w:lang w:eastAsia="zh-CN"/>
        </w:rPr>
        <w:t>定</w:t>
      </w:r>
      <w:r>
        <w:rPr>
          <w:b/>
          <w:lang w:eastAsia="zh-CN"/>
        </w:rPr>
        <w:tab/>
      </w:r>
      <w:r w:rsidRPr="00287305">
        <w:rPr>
          <w:rFonts w:hint="eastAsia"/>
          <w:lang w:eastAsia="zh-CN"/>
        </w:rPr>
        <w:t>欠款利息和不可回收债务的注销</w:t>
      </w:r>
      <w:r w:rsidRPr="00E1380A">
        <w:rPr>
          <w:lang w:eastAsia="zh-CN"/>
        </w:rPr>
        <w:tab/>
      </w:r>
      <w:r>
        <w:rPr>
          <w:lang w:eastAsia="zh-CN"/>
        </w:rPr>
        <w:tab/>
        <w:t>2015</w:t>
      </w:r>
      <w:r>
        <w:rPr>
          <w:rFonts w:hint="eastAsia"/>
          <w:lang w:eastAsia="zh-CN"/>
        </w:rPr>
        <w:t>年</w:t>
      </w:r>
    </w:p>
    <w:p w14:paraId="4827C4BE" w14:textId="77777777" w:rsidR="0058405E" w:rsidRDefault="0058405E">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4827C4BF" w14:textId="77777777" w:rsidR="00AD4526" w:rsidRDefault="00BB0ED8" w:rsidP="004E1793">
      <w:pPr>
        <w:pStyle w:val="Reftitle"/>
        <w:rPr>
          <w:sz w:val="20"/>
          <w:szCs w:val="28"/>
          <w:lang w:eastAsia="zh-CN"/>
        </w:rPr>
      </w:pPr>
      <w:bookmarkStart w:id="2902" w:name="OLE_LINK3"/>
      <w:bookmarkStart w:id="2903" w:name="OLE_LINK4"/>
      <w:r w:rsidRPr="006D0EE6">
        <w:rPr>
          <w:rFonts w:hint="eastAsia"/>
          <w:lang w:eastAsia="zh-CN"/>
        </w:rPr>
        <w:lastRenderedPageBreak/>
        <w:t>20</w:t>
      </w:r>
      <w:r>
        <w:rPr>
          <w:rFonts w:hint="eastAsia"/>
          <w:lang w:eastAsia="zh-CN"/>
        </w:rPr>
        <w:t>1</w:t>
      </w:r>
      <w:r>
        <w:rPr>
          <w:lang w:eastAsia="zh-CN"/>
        </w:rPr>
        <w:t>5</w:t>
      </w:r>
      <w:r w:rsidRPr="006D0EE6">
        <w:rPr>
          <w:rFonts w:hint="eastAsia"/>
          <w:lang w:eastAsia="zh-CN"/>
        </w:rPr>
        <w:t>年非常会议（</w:t>
      </w:r>
      <w:r>
        <w:rPr>
          <w:rFonts w:hint="eastAsia"/>
          <w:lang w:eastAsia="zh-CN"/>
        </w:rPr>
        <w:t>201</w:t>
      </w:r>
      <w:r>
        <w:rPr>
          <w:lang w:eastAsia="zh-CN"/>
        </w:rPr>
        <w:t>4</w:t>
      </w:r>
      <w:r w:rsidRPr="006D0EE6">
        <w:rPr>
          <w:rFonts w:hint="eastAsia"/>
          <w:lang w:eastAsia="zh-CN"/>
        </w:rPr>
        <w:t>年</w:t>
      </w:r>
      <w:r w:rsidRPr="006D0EE6">
        <w:rPr>
          <w:rFonts w:hint="eastAsia"/>
          <w:lang w:eastAsia="zh-CN"/>
        </w:rPr>
        <w:t>1</w:t>
      </w:r>
      <w:r>
        <w:rPr>
          <w:lang w:eastAsia="zh-CN"/>
        </w:rPr>
        <w:t>1</w:t>
      </w:r>
      <w:r w:rsidRPr="006D0EE6">
        <w:rPr>
          <w:rFonts w:hint="eastAsia"/>
          <w:lang w:eastAsia="zh-CN"/>
        </w:rPr>
        <w:t>月</w:t>
      </w:r>
      <w:r>
        <w:rPr>
          <w:rFonts w:hint="eastAsia"/>
          <w:lang w:eastAsia="zh-CN"/>
        </w:rPr>
        <w:t>7</w:t>
      </w:r>
      <w:r w:rsidRPr="006D0EE6">
        <w:rPr>
          <w:rFonts w:hint="eastAsia"/>
          <w:lang w:eastAsia="zh-CN"/>
        </w:rPr>
        <w:t>日）</w:t>
      </w:r>
    </w:p>
    <w:p w14:paraId="4827C4C0" w14:textId="77777777" w:rsidR="00B42442" w:rsidRPr="00B42442" w:rsidRDefault="00B42442" w:rsidP="00B42442">
      <w:pPr>
        <w:pStyle w:val="Appendixref"/>
        <w:rPr>
          <w:lang w:eastAsia="zh-CN"/>
        </w:rPr>
      </w:pPr>
      <w:r w:rsidRPr="00B42442">
        <w:rPr>
          <w:rFonts w:hint="eastAsia"/>
          <w:lang w:eastAsia="zh-CN"/>
        </w:rPr>
        <w:t>第</w:t>
      </w:r>
      <w:r w:rsidRPr="00B42442">
        <w:rPr>
          <w:lang w:eastAsia="zh-CN"/>
        </w:rPr>
        <w:t>582</w:t>
      </w:r>
      <w:r w:rsidRPr="00B42442">
        <w:rPr>
          <w:lang w:eastAsia="zh-CN"/>
        </w:rPr>
        <w:t>号决</w:t>
      </w:r>
      <w:r w:rsidRPr="00B42442">
        <w:rPr>
          <w:rFonts w:hint="eastAsia"/>
          <w:lang w:eastAsia="zh-CN"/>
        </w:rPr>
        <w:t>定</w:t>
      </w:r>
      <w:r w:rsidRPr="00B42442">
        <w:rPr>
          <w:lang w:eastAsia="zh-CN"/>
        </w:rPr>
        <w:tab/>
      </w:r>
      <w:r w:rsidRPr="00B42442">
        <w:rPr>
          <w:rFonts w:hint="eastAsia"/>
          <w:lang w:eastAsia="zh-CN"/>
        </w:rPr>
        <w:t>自愿离职和提前退休计划</w:t>
      </w:r>
      <w:r w:rsidRPr="00B42442">
        <w:rPr>
          <w:lang w:eastAsia="zh-CN"/>
        </w:rPr>
        <w:tab/>
      </w:r>
      <w:r>
        <w:rPr>
          <w:lang w:eastAsia="zh-CN"/>
        </w:rPr>
        <w:tab/>
      </w:r>
      <w:r w:rsidRPr="00B42442">
        <w:rPr>
          <w:lang w:eastAsia="zh-CN"/>
        </w:rPr>
        <w:t>2.2</w:t>
      </w:r>
    </w:p>
    <w:bookmarkEnd w:id="2902"/>
    <w:bookmarkEnd w:id="2903"/>
    <w:p w14:paraId="4827C4C1" w14:textId="77777777" w:rsidR="00A627A2" w:rsidRDefault="00A627A2" w:rsidP="00396681">
      <w:pPr>
        <w:pStyle w:val="Reftitle"/>
        <w:rPr>
          <w:lang w:eastAsia="zh-CN"/>
        </w:rPr>
      </w:pPr>
      <w:r w:rsidRPr="00022E00">
        <w:rPr>
          <w:lang w:eastAsia="zh-CN"/>
        </w:rPr>
        <w:t>20</w:t>
      </w:r>
      <w:r>
        <w:rPr>
          <w:lang w:eastAsia="zh-CN"/>
        </w:rPr>
        <w:t>15</w:t>
      </w:r>
      <w:r>
        <w:rPr>
          <w:rFonts w:hint="eastAsia"/>
          <w:lang w:eastAsia="zh-CN"/>
        </w:rPr>
        <w:t>年</w:t>
      </w:r>
      <w:r>
        <w:rPr>
          <w:lang w:eastAsia="zh-CN"/>
        </w:rPr>
        <w:t>会议</w:t>
      </w:r>
      <w:r>
        <w:rPr>
          <w:rFonts w:hint="eastAsia"/>
          <w:lang w:eastAsia="zh-CN"/>
        </w:rPr>
        <w:t>（</w:t>
      </w:r>
      <w:r>
        <w:rPr>
          <w:rFonts w:hint="eastAsia"/>
          <w:lang w:eastAsia="zh-CN"/>
        </w:rPr>
        <w:t>2015</w:t>
      </w:r>
      <w:r>
        <w:rPr>
          <w:rFonts w:hint="eastAsia"/>
          <w:lang w:eastAsia="zh-CN"/>
        </w:rPr>
        <w:t>年</w:t>
      </w:r>
      <w:r w:rsidR="0058405E">
        <w:rPr>
          <w:rFonts w:hint="eastAsia"/>
          <w:lang w:eastAsia="zh-CN"/>
        </w:rPr>
        <w:t>5</w:t>
      </w:r>
      <w:r w:rsidR="0058405E">
        <w:rPr>
          <w:lang w:eastAsia="zh-CN"/>
        </w:rPr>
        <w:t>月</w:t>
      </w:r>
      <w:r>
        <w:rPr>
          <w:lang w:eastAsia="zh-CN"/>
        </w:rPr>
        <w:t>12-22</w:t>
      </w:r>
      <w:r>
        <w:rPr>
          <w:rFonts w:hint="eastAsia"/>
          <w:lang w:eastAsia="zh-CN"/>
        </w:rPr>
        <w:t>日）</w:t>
      </w:r>
    </w:p>
    <w:p w14:paraId="4827C4C2" w14:textId="77777777" w:rsidR="00A627A2" w:rsidRDefault="00A627A2" w:rsidP="009D3F6B">
      <w:pPr>
        <w:pStyle w:val="Appendixref"/>
        <w:rPr>
          <w:bCs/>
          <w:lang w:eastAsia="zh-CN"/>
        </w:rPr>
      </w:pPr>
      <w:r>
        <w:rPr>
          <w:rFonts w:hint="eastAsia"/>
          <w:lang w:eastAsia="zh-CN"/>
        </w:rPr>
        <w:t>第</w:t>
      </w:r>
      <w:r w:rsidRPr="00345EA7">
        <w:rPr>
          <w:lang w:eastAsia="zh-CN"/>
        </w:rPr>
        <w:t>583</w:t>
      </w:r>
      <w:r>
        <w:rPr>
          <w:rFonts w:hint="eastAsia"/>
          <w:lang w:eastAsia="zh-CN"/>
        </w:rPr>
        <w:t>号</w:t>
      </w:r>
      <w:r>
        <w:rPr>
          <w:lang w:eastAsia="zh-CN"/>
        </w:rPr>
        <w:t>决定</w:t>
      </w:r>
      <w:r w:rsidRPr="00345EA7">
        <w:rPr>
          <w:lang w:eastAsia="zh-CN"/>
        </w:rPr>
        <w:tab/>
      </w:r>
      <w:r w:rsidRPr="00A627A2">
        <w:rPr>
          <w:rFonts w:hint="eastAsia"/>
          <w:lang w:eastAsia="zh-CN"/>
        </w:rPr>
        <w:t>理事会</w:t>
      </w:r>
      <w:r w:rsidRPr="00A627A2">
        <w:rPr>
          <w:rFonts w:hint="eastAsia"/>
          <w:lang w:eastAsia="zh-CN"/>
        </w:rPr>
        <w:t>2016</w:t>
      </w:r>
      <w:r w:rsidRPr="00A627A2">
        <w:rPr>
          <w:rFonts w:hint="eastAsia"/>
          <w:lang w:eastAsia="zh-CN"/>
        </w:rPr>
        <w:t>、</w:t>
      </w:r>
      <w:r w:rsidRPr="00A627A2">
        <w:rPr>
          <w:rFonts w:hint="eastAsia"/>
          <w:lang w:eastAsia="zh-CN"/>
        </w:rPr>
        <w:t>2017</w:t>
      </w:r>
      <w:r w:rsidRPr="00A627A2">
        <w:rPr>
          <w:rFonts w:hint="eastAsia"/>
          <w:lang w:eastAsia="zh-CN"/>
        </w:rPr>
        <w:t>和</w:t>
      </w:r>
      <w:r w:rsidRPr="00A627A2">
        <w:rPr>
          <w:rFonts w:hint="eastAsia"/>
          <w:lang w:eastAsia="zh-CN"/>
        </w:rPr>
        <w:t>2018</w:t>
      </w:r>
      <w:r w:rsidRPr="00A627A2">
        <w:rPr>
          <w:rFonts w:hint="eastAsia"/>
          <w:lang w:eastAsia="zh-CN"/>
        </w:rPr>
        <w:t>年会议的日期和会期</w:t>
      </w:r>
      <w:r>
        <w:rPr>
          <w:lang w:eastAsia="zh-CN"/>
        </w:rPr>
        <w:tab/>
      </w:r>
      <w:r w:rsidR="00B42442">
        <w:rPr>
          <w:lang w:eastAsia="zh-CN"/>
        </w:rPr>
        <w:tab/>
      </w:r>
      <w:r w:rsidR="009D3F6B">
        <w:rPr>
          <w:lang w:eastAsia="zh-CN"/>
        </w:rPr>
        <w:t>2016</w:t>
      </w:r>
      <w:r w:rsidR="009D3F6B">
        <w:rPr>
          <w:rFonts w:hint="eastAsia"/>
          <w:lang w:eastAsia="zh-CN"/>
        </w:rPr>
        <w:t>年</w:t>
      </w:r>
    </w:p>
    <w:p w14:paraId="4827C4C3" w14:textId="77777777" w:rsidR="00A627A2" w:rsidRDefault="00A627A2" w:rsidP="00B42442">
      <w:pPr>
        <w:pStyle w:val="Appendixref"/>
        <w:rPr>
          <w:bCs/>
          <w:lang w:eastAsia="zh-CN"/>
        </w:rPr>
      </w:pPr>
      <w:r w:rsidRPr="00A627A2">
        <w:rPr>
          <w:rFonts w:hint="eastAsia"/>
          <w:lang w:eastAsia="zh-CN"/>
        </w:rPr>
        <w:t>第</w:t>
      </w:r>
      <w:r>
        <w:rPr>
          <w:rFonts w:hint="eastAsia"/>
          <w:lang w:eastAsia="zh-CN"/>
        </w:rPr>
        <w:t>58</w:t>
      </w:r>
      <w:r>
        <w:rPr>
          <w:lang w:eastAsia="zh-CN"/>
        </w:rPr>
        <w:t>4</w:t>
      </w:r>
      <w:r w:rsidRPr="00A627A2">
        <w:rPr>
          <w:rFonts w:hint="eastAsia"/>
          <w:lang w:eastAsia="zh-CN"/>
        </w:rPr>
        <w:t>号决定</w:t>
      </w:r>
      <w:r w:rsidRPr="00345EA7">
        <w:rPr>
          <w:lang w:eastAsia="zh-CN"/>
        </w:rPr>
        <w:tab/>
      </w:r>
      <w:r w:rsidRPr="00A627A2">
        <w:rPr>
          <w:rFonts w:hint="eastAsia"/>
          <w:lang w:eastAsia="zh-CN"/>
        </w:rPr>
        <w:t>理事会工作组的成立和管理</w:t>
      </w:r>
      <w:r>
        <w:rPr>
          <w:lang w:eastAsia="zh-CN"/>
        </w:rPr>
        <w:tab/>
      </w:r>
      <w:r w:rsidR="00B42442">
        <w:rPr>
          <w:lang w:eastAsia="zh-CN"/>
        </w:rPr>
        <w:tab/>
      </w:r>
      <w:r>
        <w:rPr>
          <w:lang w:eastAsia="zh-CN"/>
        </w:rPr>
        <w:t>3.2</w:t>
      </w:r>
    </w:p>
    <w:p w14:paraId="4827C4C4" w14:textId="77777777" w:rsidR="00A627A2" w:rsidRDefault="00A627A2" w:rsidP="00D555F8">
      <w:pPr>
        <w:pStyle w:val="Appendixref"/>
        <w:rPr>
          <w:bCs/>
          <w:lang w:eastAsia="zh-CN"/>
        </w:rPr>
      </w:pPr>
      <w:r w:rsidRPr="00A627A2">
        <w:rPr>
          <w:rFonts w:hint="eastAsia"/>
          <w:lang w:eastAsia="zh-CN"/>
        </w:rPr>
        <w:t>第</w:t>
      </w:r>
      <w:r>
        <w:rPr>
          <w:rFonts w:hint="eastAsia"/>
          <w:lang w:eastAsia="zh-CN"/>
        </w:rPr>
        <w:t>58</w:t>
      </w:r>
      <w:r>
        <w:rPr>
          <w:lang w:eastAsia="zh-CN"/>
        </w:rPr>
        <w:t>5</w:t>
      </w:r>
      <w:r w:rsidRPr="00A627A2">
        <w:rPr>
          <w:rFonts w:hint="eastAsia"/>
          <w:lang w:eastAsia="zh-CN"/>
        </w:rPr>
        <w:t>号决定</w:t>
      </w:r>
      <w:r w:rsidRPr="00345EA7">
        <w:rPr>
          <w:lang w:eastAsia="zh-CN"/>
        </w:rPr>
        <w:tab/>
      </w:r>
      <w:r w:rsidRPr="00A627A2">
        <w:rPr>
          <w:rFonts w:hint="eastAsia"/>
          <w:lang w:eastAsia="zh-CN"/>
        </w:rPr>
        <w:t>欠款利息和不可回收债务的注销</w:t>
      </w:r>
      <w:r>
        <w:rPr>
          <w:lang w:eastAsia="zh-CN"/>
        </w:rPr>
        <w:tab/>
      </w:r>
      <w:r w:rsidR="00B42442">
        <w:rPr>
          <w:lang w:eastAsia="zh-CN"/>
        </w:rPr>
        <w:tab/>
      </w:r>
      <w:r w:rsidR="00D555F8">
        <w:rPr>
          <w:lang w:eastAsia="zh-CN"/>
        </w:rPr>
        <w:t>2017</w:t>
      </w:r>
      <w:r w:rsidR="00D555F8">
        <w:rPr>
          <w:rFonts w:hint="eastAsia"/>
          <w:lang w:eastAsia="zh-CN"/>
        </w:rPr>
        <w:t>年</w:t>
      </w:r>
    </w:p>
    <w:p w14:paraId="4827C4C5" w14:textId="19076141" w:rsidR="00A627A2" w:rsidRDefault="00A627A2" w:rsidP="00B42442">
      <w:pPr>
        <w:pStyle w:val="Appendixref"/>
        <w:rPr>
          <w:bCs/>
          <w:lang w:eastAsia="zh-CN"/>
        </w:rPr>
      </w:pPr>
      <w:r w:rsidRPr="00A627A2">
        <w:rPr>
          <w:rFonts w:hint="eastAsia"/>
          <w:lang w:eastAsia="zh-CN"/>
        </w:rPr>
        <w:t>第</w:t>
      </w:r>
      <w:r>
        <w:rPr>
          <w:rFonts w:hint="eastAsia"/>
          <w:lang w:eastAsia="zh-CN"/>
        </w:rPr>
        <w:t>58</w:t>
      </w:r>
      <w:r>
        <w:rPr>
          <w:lang w:eastAsia="zh-CN"/>
        </w:rPr>
        <w:t>6</w:t>
      </w:r>
      <w:r w:rsidRPr="00A627A2">
        <w:rPr>
          <w:rFonts w:hint="eastAsia"/>
          <w:lang w:eastAsia="zh-CN"/>
        </w:rPr>
        <w:t>号决定</w:t>
      </w:r>
      <w:r w:rsidRPr="00345EA7">
        <w:rPr>
          <w:lang w:eastAsia="zh-CN"/>
        </w:rPr>
        <w:tab/>
      </w:r>
      <w:r w:rsidRPr="00A627A2">
        <w:rPr>
          <w:rFonts w:hint="eastAsia"/>
          <w:lang w:eastAsia="zh-CN"/>
        </w:rPr>
        <w:t>将外部审计员（意大利审计院）的授权续期两年</w:t>
      </w:r>
      <w:r>
        <w:rPr>
          <w:lang w:eastAsia="zh-CN"/>
        </w:rPr>
        <w:tab/>
      </w:r>
      <w:r w:rsidR="00B42442">
        <w:rPr>
          <w:lang w:eastAsia="zh-CN"/>
        </w:rPr>
        <w:tab/>
      </w:r>
      <w:r w:rsidR="007A3DFD">
        <w:rPr>
          <w:rFonts w:hint="eastAsia"/>
          <w:lang w:eastAsia="zh-CN"/>
        </w:rPr>
        <w:t>2021</w:t>
      </w:r>
      <w:r w:rsidR="007A3DFD">
        <w:rPr>
          <w:rFonts w:hint="eastAsia"/>
          <w:lang w:eastAsia="zh-CN"/>
        </w:rPr>
        <w:t>年</w:t>
      </w:r>
    </w:p>
    <w:p w14:paraId="4827C4C6" w14:textId="4D200415" w:rsidR="00A627A2" w:rsidRDefault="00A627A2" w:rsidP="00FB5609">
      <w:pPr>
        <w:pStyle w:val="Appendixref"/>
        <w:rPr>
          <w:bCs/>
          <w:lang w:eastAsia="zh-CN"/>
        </w:rPr>
      </w:pPr>
      <w:r w:rsidRPr="00A627A2">
        <w:rPr>
          <w:rFonts w:hint="eastAsia"/>
          <w:lang w:eastAsia="zh-CN"/>
        </w:rPr>
        <w:t>第</w:t>
      </w:r>
      <w:r>
        <w:rPr>
          <w:rFonts w:hint="eastAsia"/>
          <w:lang w:eastAsia="zh-CN"/>
        </w:rPr>
        <w:t>58</w:t>
      </w:r>
      <w:r>
        <w:rPr>
          <w:lang w:eastAsia="zh-CN"/>
        </w:rPr>
        <w:t>7</w:t>
      </w:r>
      <w:r w:rsidRPr="00A627A2">
        <w:rPr>
          <w:rFonts w:hint="eastAsia"/>
          <w:lang w:eastAsia="zh-CN"/>
        </w:rPr>
        <w:t>号决定</w:t>
      </w:r>
      <w:r w:rsidRPr="00345EA7">
        <w:rPr>
          <w:lang w:eastAsia="zh-CN"/>
        </w:rPr>
        <w:tab/>
      </w:r>
      <w:r w:rsidRPr="00A627A2">
        <w:rPr>
          <w:rFonts w:hint="eastAsia"/>
          <w:lang w:eastAsia="zh-CN"/>
        </w:rPr>
        <w:t>任命独立管理顾问委员会（</w:t>
      </w:r>
      <w:r w:rsidRPr="00A627A2">
        <w:rPr>
          <w:rFonts w:hint="eastAsia"/>
          <w:lang w:eastAsia="zh-CN"/>
        </w:rPr>
        <w:t>IMAC</w:t>
      </w:r>
      <w:r w:rsidRPr="00A627A2">
        <w:rPr>
          <w:rFonts w:hint="eastAsia"/>
          <w:lang w:eastAsia="zh-CN"/>
        </w:rPr>
        <w:t>）的委员</w:t>
      </w:r>
      <w:r>
        <w:rPr>
          <w:lang w:eastAsia="zh-CN"/>
        </w:rPr>
        <w:tab/>
      </w:r>
      <w:r w:rsidR="00B42442">
        <w:rPr>
          <w:lang w:eastAsia="zh-CN"/>
        </w:rPr>
        <w:tab/>
      </w:r>
      <w:r w:rsidR="007A3DFD">
        <w:rPr>
          <w:rFonts w:hint="eastAsia"/>
          <w:lang w:eastAsia="zh-CN"/>
        </w:rPr>
        <w:t>2021</w:t>
      </w:r>
      <w:r w:rsidR="007A3DFD">
        <w:rPr>
          <w:rFonts w:hint="eastAsia"/>
          <w:lang w:eastAsia="zh-CN"/>
        </w:rPr>
        <w:t>年</w:t>
      </w:r>
    </w:p>
    <w:p w14:paraId="4827C4C7" w14:textId="77777777" w:rsidR="009D3F6B" w:rsidRDefault="009D3F6B" w:rsidP="00E40866">
      <w:pPr>
        <w:pStyle w:val="Reftitle"/>
        <w:rPr>
          <w:lang w:eastAsia="zh-CN"/>
        </w:rPr>
      </w:pPr>
      <w:r w:rsidRPr="00E40866">
        <w:rPr>
          <w:lang w:eastAsia="zh-CN"/>
        </w:rPr>
        <w:t>2016</w:t>
      </w:r>
      <w:r w:rsidRPr="00E40866">
        <w:rPr>
          <w:rFonts w:hint="eastAsia"/>
          <w:lang w:eastAsia="zh-CN"/>
        </w:rPr>
        <w:t>年</w:t>
      </w:r>
      <w:r w:rsidRPr="00E40866">
        <w:rPr>
          <w:lang w:eastAsia="zh-CN"/>
        </w:rPr>
        <w:t>会议</w:t>
      </w:r>
      <w:r w:rsidRPr="00E40866">
        <w:rPr>
          <w:rFonts w:hint="eastAsia"/>
          <w:lang w:eastAsia="zh-CN"/>
        </w:rPr>
        <w:t>（</w:t>
      </w:r>
      <w:r w:rsidRPr="00E40866">
        <w:rPr>
          <w:rFonts w:hint="eastAsia"/>
          <w:lang w:eastAsia="zh-CN"/>
        </w:rPr>
        <w:t>2016</w:t>
      </w:r>
      <w:r w:rsidRPr="00E40866">
        <w:rPr>
          <w:rFonts w:hint="eastAsia"/>
          <w:lang w:eastAsia="zh-CN"/>
        </w:rPr>
        <w:t>年</w:t>
      </w:r>
      <w:r w:rsidRPr="00E40866">
        <w:rPr>
          <w:lang w:eastAsia="zh-CN"/>
        </w:rPr>
        <w:t>5</w:t>
      </w:r>
      <w:r w:rsidRPr="00E40866">
        <w:rPr>
          <w:lang w:eastAsia="zh-CN"/>
        </w:rPr>
        <w:t>月</w:t>
      </w:r>
      <w:r w:rsidRPr="00E40866">
        <w:rPr>
          <w:lang w:eastAsia="zh-CN"/>
        </w:rPr>
        <w:t>25</w:t>
      </w:r>
      <w:r w:rsidRPr="00E40866">
        <w:rPr>
          <w:lang w:eastAsia="zh-CN"/>
        </w:rPr>
        <w:t>日</w:t>
      </w:r>
      <w:r w:rsidRPr="00E40866">
        <w:rPr>
          <w:lang w:eastAsia="zh-CN"/>
        </w:rPr>
        <w:t xml:space="preserve"> – </w:t>
      </w:r>
      <w:r w:rsidR="00E40866" w:rsidRPr="00E40866">
        <w:rPr>
          <w:lang w:eastAsia="zh-CN"/>
        </w:rPr>
        <w:t>6</w:t>
      </w:r>
      <w:r w:rsidR="00E40866" w:rsidRPr="00E40866">
        <w:rPr>
          <w:lang w:eastAsia="zh-CN"/>
        </w:rPr>
        <w:t>月</w:t>
      </w:r>
      <w:r w:rsidRPr="00E40866">
        <w:rPr>
          <w:lang w:eastAsia="zh-CN"/>
        </w:rPr>
        <w:t>2</w:t>
      </w:r>
      <w:r w:rsidR="00E40866" w:rsidRPr="00E40866">
        <w:rPr>
          <w:rFonts w:hint="eastAsia"/>
          <w:lang w:eastAsia="zh-CN"/>
        </w:rPr>
        <w:t>日）</w:t>
      </w:r>
    </w:p>
    <w:p w14:paraId="4827C4C8" w14:textId="77777777" w:rsidR="00E40866" w:rsidRPr="00E40866" w:rsidRDefault="00E40866" w:rsidP="00E40866">
      <w:pPr>
        <w:pStyle w:val="Appendixref"/>
        <w:rPr>
          <w:bCs/>
          <w:lang w:val="en-US" w:eastAsia="zh-CN"/>
        </w:rPr>
      </w:pPr>
      <w:r>
        <w:rPr>
          <w:rFonts w:hint="eastAsia"/>
          <w:lang w:eastAsia="zh-CN"/>
        </w:rPr>
        <w:t>第</w:t>
      </w:r>
      <w:r>
        <w:rPr>
          <w:lang w:eastAsia="zh-CN"/>
        </w:rPr>
        <w:t>588</w:t>
      </w:r>
      <w:r>
        <w:rPr>
          <w:rFonts w:hint="eastAsia"/>
          <w:lang w:eastAsia="zh-CN"/>
        </w:rPr>
        <w:t>号</w:t>
      </w:r>
      <w:r>
        <w:rPr>
          <w:lang w:eastAsia="zh-CN"/>
        </w:rPr>
        <w:t>决定</w:t>
      </w:r>
      <w:r w:rsidRPr="00345EA7">
        <w:rPr>
          <w:lang w:eastAsia="zh-CN"/>
        </w:rPr>
        <w:tab/>
      </w:r>
      <w:r w:rsidRPr="00E677C4">
        <w:rPr>
          <w:rFonts w:hint="eastAsia"/>
          <w:lang w:eastAsia="zh-CN"/>
        </w:rPr>
        <w:t>总部</w:t>
      </w:r>
      <w:r w:rsidRPr="00E677C4">
        <w:rPr>
          <w:lang w:eastAsia="zh-CN"/>
        </w:rPr>
        <w:t>办公场所</w:t>
      </w:r>
      <w:r>
        <w:rPr>
          <w:lang w:eastAsia="zh-CN"/>
        </w:rPr>
        <w:tab/>
      </w:r>
      <w:r>
        <w:rPr>
          <w:lang w:eastAsia="zh-CN"/>
        </w:rPr>
        <w:tab/>
      </w:r>
      <w:r>
        <w:rPr>
          <w:lang w:val="en-US" w:eastAsia="zh-CN"/>
        </w:rPr>
        <w:t>7.1</w:t>
      </w:r>
    </w:p>
    <w:p w14:paraId="4827C4C9" w14:textId="7453FA9C" w:rsidR="00E40866" w:rsidRDefault="00E40866" w:rsidP="00E40866">
      <w:pPr>
        <w:pStyle w:val="Appendixref"/>
        <w:rPr>
          <w:bCs/>
          <w:lang w:eastAsia="zh-CN"/>
        </w:rPr>
      </w:pPr>
      <w:r w:rsidRPr="00A627A2">
        <w:rPr>
          <w:rFonts w:hint="eastAsia"/>
          <w:lang w:eastAsia="zh-CN"/>
        </w:rPr>
        <w:t>第</w:t>
      </w:r>
      <w:r>
        <w:rPr>
          <w:rFonts w:hint="eastAsia"/>
          <w:lang w:eastAsia="zh-CN"/>
        </w:rPr>
        <w:t>58</w:t>
      </w:r>
      <w:r>
        <w:rPr>
          <w:lang w:eastAsia="zh-CN"/>
        </w:rPr>
        <w:t>9</w:t>
      </w:r>
      <w:r w:rsidRPr="00A627A2">
        <w:rPr>
          <w:rFonts w:hint="eastAsia"/>
          <w:lang w:eastAsia="zh-CN"/>
        </w:rPr>
        <w:t>号决定</w:t>
      </w:r>
      <w:r w:rsidRPr="00345EA7">
        <w:rPr>
          <w:lang w:eastAsia="zh-CN"/>
        </w:rPr>
        <w:tab/>
      </w:r>
      <w:r w:rsidR="00965874">
        <w:rPr>
          <w:rFonts w:hint="eastAsia"/>
          <w:lang w:eastAsia="zh-CN"/>
        </w:rPr>
        <w:t>未分配</w:t>
      </w:r>
      <w:r>
        <w:rPr>
          <w:lang w:eastAsia="zh-CN"/>
        </w:rPr>
        <w:tab/>
      </w:r>
      <w:r>
        <w:rPr>
          <w:lang w:eastAsia="zh-CN"/>
        </w:rPr>
        <w:tab/>
        <w:t>–</w:t>
      </w:r>
    </w:p>
    <w:p w14:paraId="4827C4CA" w14:textId="77777777" w:rsidR="00E40866" w:rsidRDefault="00E40866" w:rsidP="00BD7DB7">
      <w:pPr>
        <w:pStyle w:val="Appendixref"/>
        <w:rPr>
          <w:bCs/>
          <w:lang w:eastAsia="zh-CN"/>
        </w:rPr>
      </w:pPr>
      <w:r w:rsidRPr="00A627A2">
        <w:rPr>
          <w:rFonts w:hint="eastAsia"/>
          <w:lang w:eastAsia="zh-CN"/>
        </w:rPr>
        <w:t>第</w:t>
      </w:r>
      <w:r>
        <w:rPr>
          <w:rFonts w:hint="eastAsia"/>
          <w:lang w:eastAsia="zh-CN"/>
        </w:rPr>
        <w:t>5</w:t>
      </w:r>
      <w:r>
        <w:rPr>
          <w:lang w:eastAsia="zh-CN"/>
        </w:rPr>
        <w:t>90</w:t>
      </w:r>
      <w:r w:rsidRPr="00A627A2">
        <w:rPr>
          <w:rFonts w:hint="eastAsia"/>
          <w:lang w:eastAsia="zh-CN"/>
        </w:rPr>
        <w:t>号决定</w:t>
      </w:r>
      <w:r w:rsidRPr="00345EA7">
        <w:rPr>
          <w:lang w:eastAsia="zh-CN"/>
        </w:rPr>
        <w:tab/>
      </w:r>
      <w:r w:rsidRPr="004D5806">
        <w:rPr>
          <w:rFonts w:hint="eastAsia"/>
          <w:lang w:eastAsia="zh-CN"/>
        </w:rPr>
        <w:t>国际电联与国际刑警组织</w:t>
      </w:r>
      <w:r>
        <w:rPr>
          <w:rFonts w:hint="eastAsia"/>
          <w:lang w:eastAsia="zh-CN"/>
        </w:rPr>
        <w:t>之间</w:t>
      </w:r>
      <w:r w:rsidRPr="004D5806">
        <w:rPr>
          <w:rFonts w:hint="eastAsia"/>
          <w:lang w:eastAsia="zh-CN"/>
        </w:rPr>
        <w:t>的合作协议</w:t>
      </w:r>
      <w:r>
        <w:rPr>
          <w:lang w:eastAsia="zh-CN"/>
        </w:rPr>
        <w:tab/>
      </w:r>
      <w:r>
        <w:rPr>
          <w:lang w:eastAsia="zh-CN"/>
        </w:rPr>
        <w:tab/>
      </w:r>
      <w:r w:rsidR="00BD7DB7">
        <w:rPr>
          <w:lang w:eastAsia="zh-CN"/>
        </w:rPr>
        <w:t>2018</w:t>
      </w:r>
      <w:r w:rsidR="00BD7DB7">
        <w:rPr>
          <w:rFonts w:hint="eastAsia"/>
          <w:lang w:eastAsia="zh-CN"/>
        </w:rPr>
        <w:t>年</w:t>
      </w:r>
    </w:p>
    <w:p w14:paraId="4827C4CB" w14:textId="77777777" w:rsidR="00E40866" w:rsidRDefault="00E40866" w:rsidP="00D555F8">
      <w:pPr>
        <w:pStyle w:val="Appendixref"/>
        <w:rPr>
          <w:bCs/>
          <w:lang w:eastAsia="zh-CN"/>
        </w:rPr>
      </w:pPr>
      <w:r w:rsidRPr="00A627A2">
        <w:rPr>
          <w:rFonts w:hint="eastAsia"/>
          <w:lang w:eastAsia="zh-CN"/>
        </w:rPr>
        <w:t>第</w:t>
      </w:r>
      <w:r>
        <w:rPr>
          <w:rFonts w:hint="eastAsia"/>
          <w:lang w:eastAsia="zh-CN"/>
        </w:rPr>
        <w:t>5</w:t>
      </w:r>
      <w:r>
        <w:rPr>
          <w:lang w:eastAsia="zh-CN"/>
        </w:rPr>
        <w:t>91</w:t>
      </w:r>
      <w:r w:rsidRPr="00A627A2">
        <w:rPr>
          <w:rFonts w:hint="eastAsia"/>
          <w:lang w:eastAsia="zh-CN"/>
        </w:rPr>
        <w:t>号决定</w:t>
      </w:r>
      <w:r w:rsidRPr="00345EA7">
        <w:rPr>
          <w:lang w:eastAsia="zh-CN"/>
        </w:rPr>
        <w:tab/>
      </w:r>
      <w:r w:rsidRPr="008F1B2C">
        <w:rPr>
          <w:rFonts w:hint="eastAsia"/>
          <w:lang w:eastAsia="zh-CN"/>
        </w:rPr>
        <w:t>理事会</w:t>
      </w:r>
      <w:r w:rsidRPr="008F1B2C">
        <w:rPr>
          <w:lang w:eastAsia="zh-CN"/>
        </w:rPr>
        <w:t>2017</w:t>
      </w:r>
      <w:r w:rsidRPr="008F1B2C">
        <w:rPr>
          <w:rFonts w:hint="eastAsia"/>
          <w:lang w:eastAsia="zh-CN"/>
        </w:rPr>
        <w:t>、</w:t>
      </w:r>
      <w:r w:rsidRPr="008F1B2C">
        <w:rPr>
          <w:lang w:eastAsia="zh-CN"/>
        </w:rPr>
        <w:t>2018</w:t>
      </w:r>
      <w:r w:rsidRPr="008F1B2C">
        <w:rPr>
          <w:rFonts w:hint="eastAsia"/>
          <w:lang w:eastAsia="zh-CN"/>
        </w:rPr>
        <w:t>和</w:t>
      </w:r>
      <w:r w:rsidRPr="008F1B2C">
        <w:rPr>
          <w:lang w:eastAsia="zh-CN"/>
        </w:rPr>
        <w:t>201</w:t>
      </w:r>
      <w:r w:rsidRPr="008F1B2C">
        <w:rPr>
          <w:rFonts w:hint="eastAsia"/>
          <w:lang w:eastAsia="zh-CN"/>
        </w:rPr>
        <w:t>9</w:t>
      </w:r>
      <w:r w:rsidRPr="008F1B2C">
        <w:rPr>
          <w:rFonts w:hint="eastAsia"/>
          <w:lang w:eastAsia="zh-CN"/>
        </w:rPr>
        <w:t>年会议的日期和会期</w:t>
      </w:r>
      <w:r>
        <w:rPr>
          <w:lang w:eastAsia="zh-CN"/>
        </w:rPr>
        <w:tab/>
      </w:r>
      <w:r>
        <w:rPr>
          <w:lang w:eastAsia="zh-CN"/>
        </w:rPr>
        <w:tab/>
      </w:r>
      <w:r w:rsidR="00D555F8">
        <w:rPr>
          <w:lang w:eastAsia="zh-CN"/>
        </w:rPr>
        <w:t>2017</w:t>
      </w:r>
      <w:r w:rsidR="00D555F8">
        <w:rPr>
          <w:rFonts w:hint="eastAsia"/>
          <w:lang w:eastAsia="zh-CN"/>
        </w:rPr>
        <w:t>年</w:t>
      </w:r>
    </w:p>
    <w:p w14:paraId="4827C4CC" w14:textId="77777777" w:rsidR="00E40866" w:rsidRDefault="00E40866" w:rsidP="00BD7DB7">
      <w:pPr>
        <w:pStyle w:val="Appendixref"/>
        <w:rPr>
          <w:bCs/>
          <w:lang w:eastAsia="zh-CN"/>
        </w:rPr>
      </w:pPr>
      <w:r w:rsidRPr="00A627A2">
        <w:rPr>
          <w:rFonts w:hint="eastAsia"/>
          <w:lang w:eastAsia="zh-CN"/>
        </w:rPr>
        <w:t>第</w:t>
      </w:r>
      <w:r>
        <w:rPr>
          <w:rFonts w:hint="eastAsia"/>
          <w:lang w:eastAsia="zh-CN"/>
        </w:rPr>
        <w:t>5</w:t>
      </w:r>
      <w:r>
        <w:rPr>
          <w:lang w:eastAsia="zh-CN"/>
        </w:rPr>
        <w:t>92</w:t>
      </w:r>
      <w:r w:rsidRPr="00A627A2">
        <w:rPr>
          <w:rFonts w:hint="eastAsia"/>
          <w:lang w:eastAsia="zh-CN"/>
        </w:rPr>
        <w:t>号决定</w:t>
      </w:r>
      <w:r w:rsidRPr="00345EA7">
        <w:rPr>
          <w:lang w:eastAsia="zh-CN"/>
        </w:rPr>
        <w:tab/>
      </w:r>
      <w:r w:rsidRPr="00BC4794">
        <w:rPr>
          <w:rFonts w:hint="eastAsia"/>
          <w:lang w:eastAsia="zh-CN"/>
        </w:rPr>
        <w:t>欠款利息和不可回收债务的注销</w:t>
      </w:r>
      <w:r>
        <w:rPr>
          <w:lang w:eastAsia="zh-CN"/>
        </w:rPr>
        <w:tab/>
      </w:r>
      <w:r>
        <w:rPr>
          <w:lang w:eastAsia="zh-CN"/>
        </w:rPr>
        <w:tab/>
      </w:r>
      <w:r w:rsidR="00BD7DB7">
        <w:rPr>
          <w:lang w:eastAsia="zh-CN"/>
        </w:rPr>
        <w:t>2018</w:t>
      </w:r>
      <w:r w:rsidR="00BD7DB7">
        <w:rPr>
          <w:rFonts w:hint="eastAsia"/>
          <w:lang w:eastAsia="zh-CN"/>
        </w:rPr>
        <w:t>年</w:t>
      </w:r>
    </w:p>
    <w:p w14:paraId="4827C4CD" w14:textId="77777777" w:rsidR="00E40866" w:rsidRDefault="00E40866" w:rsidP="00E40866">
      <w:pPr>
        <w:pStyle w:val="Appendixref"/>
        <w:rPr>
          <w:bCs/>
          <w:lang w:eastAsia="zh-CN"/>
        </w:rPr>
      </w:pPr>
      <w:r>
        <w:rPr>
          <w:rFonts w:hint="eastAsia"/>
          <w:lang w:eastAsia="zh-CN"/>
        </w:rPr>
        <w:t>第</w:t>
      </w:r>
      <w:r>
        <w:rPr>
          <w:lang w:eastAsia="zh-CN"/>
        </w:rPr>
        <w:t>593</w:t>
      </w:r>
      <w:r>
        <w:rPr>
          <w:rFonts w:hint="eastAsia"/>
          <w:lang w:eastAsia="zh-CN"/>
        </w:rPr>
        <w:t>号</w:t>
      </w:r>
      <w:r>
        <w:rPr>
          <w:lang w:eastAsia="zh-CN"/>
        </w:rPr>
        <w:t>决定</w:t>
      </w:r>
      <w:r w:rsidRPr="00345EA7">
        <w:rPr>
          <w:lang w:eastAsia="zh-CN"/>
        </w:rPr>
        <w:tab/>
      </w:r>
      <w:r>
        <w:rPr>
          <w:rFonts w:hint="eastAsia"/>
          <w:lang w:eastAsia="zh-CN"/>
        </w:rPr>
        <w:t>适用于</w:t>
      </w:r>
      <w:r>
        <w:rPr>
          <w:lang w:eastAsia="zh-CN"/>
        </w:rPr>
        <w:t>委任工作人员的《</w:t>
      </w:r>
      <w:r>
        <w:rPr>
          <w:rFonts w:hint="eastAsia"/>
          <w:lang w:eastAsia="zh-CN"/>
        </w:rPr>
        <w:t>人事</w:t>
      </w:r>
      <w:r>
        <w:rPr>
          <w:lang w:eastAsia="zh-CN"/>
        </w:rPr>
        <w:t>规则》</w:t>
      </w:r>
      <w:r>
        <w:rPr>
          <w:rFonts w:hint="eastAsia"/>
          <w:lang w:eastAsia="zh-CN"/>
        </w:rPr>
        <w:t>修正</w:t>
      </w:r>
      <w:r>
        <w:rPr>
          <w:lang w:eastAsia="zh-CN"/>
        </w:rPr>
        <w:t>案</w:t>
      </w:r>
      <w:r>
        <w:rPr>
          <w:lang w:eastAsia="zh-CN"/>
        </w:rPr>
        <w:tab/>
      </w:r>
      <w:r>
        <w:rPr>
          <w:lang w:eastAsia="zh-CN"/>
        </w:rPr>
        <w:tab/>
        <w:t>2.1</w:t>
      </w:r>
    </w:p>
    <w:p w14:paraId="4827C4CE" w14:textId="77777777" w:rsidR="00E40866" w:rsidRDefault="00E40866" w:rsidP="00BD7DB7">
      <w:pPr>
        <w:pStyle w:val="Appendixref"/>
        <w:rPr>
          <w:bCs/>
          <w:lang w:eastAsia="zh-CN"/>
        </w:rPr>
      </w:pPr>
      <w:r w:rsidRPr="00A627A2">
        <w:rPr>
          <w:rFonts w:hint="eastAsia"/>
          <w:lang w:eastAsia="zh-CN"/>
        </w:rPr>
        <w:t>第</w:t>
      </w:r>
      <w:r>
        <w:rPr>
          <w:rFonts w:hint="eastAsia"/>
          <w:lang w:eastAsia="zh-CN"/>
        </w:rPr>
        <w:t>5</w:t>
      </w:r>
      <w:r>
        <w:rPr>
          <w:lang w:eastAsia="zh-CN"/>
        </w:rPr>
        <w:t>94</w:t>
      </w:r>
      <w:r w:rsidRPr="00A627A2">
        <w:rPr>
          <w:rFonts w:hint="eastAsia"/>
          <w:lang w:eastAsia="zh-CN"/>
        </w:rPr>
        <w:t>号决定</w:t>
      </w:r>
      <w:r w:rsidRPr="00345EA7">
        <w:rPr>
          <w:lang w:eastAsia="zh-CN"/>
        </w:rPr>
        <w:tab/>
      </w:r>
      <w:r>
        <w:rPr>
          <w:rFonts w:hint="eastAsia"/>
          <w:lang w:eastAsia="zh-CN"/>
        </w:rPr>
        <w:t>国际电联的法定退休年龄</w:t>
      </w:r>
      <w:r>
        <w:rPr>
          <w:lang w:eastAsia="zh-CN"/>
        </w:rPr>
        <w:tab/>
      </w:r>
      <w:r>
        <w:rPr>
          <w:lang w:eastAsia="zh-CN"/>
        </w:rPr>
        <w:tab/>
      </w:r>
      <w:r w:rsidR="00BD7DB7">
        <w:rPr>
          <w:lang w:eastAsia="zh-CN"/>
        </w:rPr>
        <w:t>2018</w:t>
      </w:r>
      <w:r w:rsidR="00BD7DB7">
        <w:rPr>
          <w:rFonts w:hint="eastAsia"/>
          <w:lang w:eastAsia="zh-CN"/>
        </w:rPr>
        <w:t>年</w:t>
      </w:r>
    </w:p>
    <w:p w14:paraId="4827C4CF" w14:textId="77777777" w:rsidR="00E40866" w:rsidRDefault="00E40866" w:rsidP="00E40866">
      <w:pPr>
        <w:pStyle w:val="Appendixref"/>
        <w:rPr>
          <w:bCs/>
          <w:lang w:eastAsia="zh-CN"/>
        </w:rPr>
      </w:pPr>
      <w:r w:rsidRPr="00A627A2">
        <w:rPr>
          <w:rFonts w:hint="eastAsia"/>
          <w:lang w:eastAsia="zh-CN"/>
        </w:rPr>
        <w:t>第</w:t>
      </w:r>
      <w:r>
        <w:rPr>
          <w:rFonts w:hint="eastAsia"/>
          <w:lang w:eastAsia="zh-CN"/>
        </w:rPr>
        <w:t>5</w:t>
      </w:r>
      <w:r>
        <w:rPr>
          <w:lang w:eastAsia="zh-CN"/>
        </w:rPr>
        <w:t>95</w:t>
      </w:r>
      <w:r w:rsidRPr="00A627A2">
        <w:rPr>
          <w:rFonts w:hint="eastAsia"/>
          <w:lang w:eastAsia="zh-CN"/>
        </w:rPr>
        <w:t>号决定</w:t>
      </w:r>
      <w:r w:rsidRPr="00345EA7">
        <w:rPr>
          <w:lang w:eastAsia="zh-CN"/>
        </w:rPr>
        <w:tab/>
      </w:r>
      <w:r w:rsidRPr="00A343E6">
        <w:rPr>
          <w:rFonts w:hint="eastAsia"/>
          <w:lang w:eastAsia="zh-CN"/>
        </w:rPr>
        <w:t>《国际电联职员退休和福利基金规则》第</w:t>
      </w:r>
      <w:r w:rsidRPr="00A343E6">
        <w:rPr>
          <w:rFonts w:eastAsia="Times New Roman" w:hint="eastAsia"/>
          <w:lang w:eastAsia="zh-CN"/>
        </w:rPr>
        <w:t>5</w:t>
      </w:r>
      <w:r w:rsidRPr="00A343E6">
        <w:rPr>
          <w:rFonts w:hint="eastAsia"/>
          <w:lang w:val="en-US" w:eastAsia="zh-CN"/>
        </w:rPr>
        <w:t>条</w:t>
      </w:r>
      <w:r>
        <w:rPr>
          <w:rFonts w:hint="eastAsia"/>
          <w:lang w:val="en-US" w:eastAsia="zh-CN"/>
        </w:rPr>
        <w:t>的</w:t>
      </w:r>
      <w:r w:rsidRPr="00A343E6">
        <w:rPr>
          <w:rFonts w:hint="eastAsia"/>
          <w:lang w:val="en-US" w:eastAsia="zh-CN"/>
        </w:rPr>
        <w:t>修正</w:t>
      </w:r>
      <w:r>
        <w:rPr>
          <w:rFonts w:hint="eastAsia"/>
          <w:lang w:val="en-US" w:eastAsia="zh-CN"/>
        </w:rPr>
        <w:t>案</w:t>
      </w:r>
      <w:r>
        <w:rPr>
          <w:lang w:eastAsia="zh-CN"/>
        </w:rPr>
        <w:tab/>
      </w:r>
      <w:r>
        <w:rPr>
          <w:lang w:eastAsia="zh-CN"/>
        </w:rPr>
        <w:tab/>
        <w:t>2.3</w:t>
      </w:r>
    </w:p>
    <w:p w14:paraId="4827C4D0" w14:textId="77777777" w:rsidR="00E40866" w:rsidRDefault="00E40866" w:rsidP="00E40866">
      <w:pPr>
        <w:pStyle w:val="Appendixref"/>
        <w:rPr>
          <w:bCs/>
          <w:lang w:eastAsia="zh-CN"/>
        </w:rPr>
      </w:pPr>
      <w:r w:rsidRPr="00A627A2">
        <w:rPr>
          <w:rFonts w:hint="eastAsia"/>
          <w:lang w:eastAsia="zh-CN"/>
        </w:rPr>
        <w:t>第</w:t>
      </w:r>
      <w:r>
        <w:rPr>
          <w:rFonts w:hint="eastAsia"/>
          <w:lang w:eastAsia="zh-CN"/>
        </w:rPr>
        <w:t>5</w:t>
      </w:r>
      <w:r>
        <w:rPr>
          <w:lang w:eastAsia="zh-CN"/>
        </w:rPr>
        <w:t>96</w:t>
      </w:r>
      <w:r w:rsidRPr="00A627A2">
        <w:rPr>
          <w:rFonts w:hint="eastAsia"/>
          <w:lang w:eastAsia="zh-CN"/>
        </w:rPr>
        <w:t>号决定</w:t>
      </w:r>
      <w:r w:rsidRPr="00345EA7">
        <w:rPr>
          <w:lang w:eastAsia="zh-CN"/>
        </w:rPr>
        <w:tab/>
      </w:r>
      <w:r w:rsidRPr="0085345E">
        <w:rPr>
          <w:rFonts w:hint="eastAsia"/>
          <w:lang w:eastAsia="zh-CN"/>
        </w:rPr>
        <w:t>国际电联职员退休和福利基金</w:t>
      </w:r>
      <w:r>
        <w:rPr>
          <w:rFonts w:hint="eastAsia"/>
          <w:lang w:eastAsia="zh-CN"/>
        </w:rPr>
        <w:t>的</w:t>
      </w:r>
      <w:r>
        <w:rPr>
          <w:lang w:eastAsia="zh-CN"/>
        </w:rPr>
        <w:t>养</w:t>
      </w:r>
      <w:r>
        <w:rPr>
          <w:rFonts w:hint="eastAsia"/>
          <w:lang w:eastAsia="zh-CN"/>
        </w:rPr>
        <w:t>恤基金</w:t>
      </w:r>
      <w:r w:rsidRPr="0085345E">
        <w:rPr>
          <w:rFonts w:hint="eastAsia"/>
          <w:lang w:eastAsia="zh-CN"/>
        </w:rPr>
        <w:t>资产的最终处置</w:t>
      </w:r>
      <w:r>
        <w:rPr>
          <w:lang w:eastAsia="zh-CN"/>
        </w:rPr>
        <w:tab/>
      </w:r>
      <w:r>
        <w:rPr>
          <w:lang w:eastAsia="zh-CN"/>
        </w:rPr>
        <w:tab/>
        <w:t>2.3</w:t>
      </w:r>
    </w:p>
    <w:p w14:paraId="4827C4D1" w14:textId="77777777" w:rsidR="00E40866" w:rsidRDefault="00E40866" w:rsidP="00E40866">
      <w:pPr>
        <w:pStyle w:val="Appendixref"/>
        <w:rPr>
          <w:bCs/>
          <w:lang w:eastAsia="zh-CN"/>
        </w:rPr>
      </w:pPr>
      <w:r w:rsidRPr="00A627A2">
        <w:rPr>
          <w:rFonts w:hint="eastAsia"/>
          <w:lang w:eastAsia="zh-CN"/>
        </w:rPr>
        <w:t>第</w:t>
      </w:r>
      <w:r>
        <w:rPr>
          <w:rFonts w:hint="eastAsia"/>
          <w:lang w:eastAsia="zh-CN"/>
        </w:rPr>
        <w:t>5</w:t>
      </w:r>
      <w:r>
        <w:rPr>
          <w:lang w:eastAsia="zh-CN"/>
        </w:rPr>
        <w:t>97</w:t>
      </w:r>
      <w:r w:rsidRPr="00A627A2">
        <w:rPr>
          <w:rFonts w:hint="eastAsia"/>
          <w:lang w:eastAsia="zh-CN"/>
        </w:rPr>
        <w:t>号决定</w:t>
      </w:r>
      <w:r w:rsidRPr="00345EA7">
        <w:rPr>
          <w:lang w:eastAsia="zh-CN"/>
        </w:rPr>
        <w:tab/>
      </w:r>
      <w:r w:rsidRPr="007B1A03">
        <w:rPr>
          <w:rFonts w:hint="eastAsia"/>
          <w:lang w:eastAsia="zh-CN"/>
        </w:rPr>
        <w:t>适用于</w:t>
      </w:r>
      <w:r w:rsidRPr="007B1A03">
        <w:rPr>
          <w:lang w:eastAsia="zh-CN"/>
        </w:rPr>
        <w:t>委任</w:t>
      </w:r>
      <w:r>
        <w:rPr>
          <w:rFonts w:hint="eastAsia"/>
          <w:lang w:eastAsia="zh-CN"/>
        </w:rPr>
        <w:t>工作</w:t>
      </w:r>
      <w:r>
        <w:rPr>
          <w:lang w:eastAsia="zh-CN"/>
        </w:rPr>
        <w:t>人</w:t>
      </w:r>
      <w:r w:rsidRPr="007B1A03">
        <w:rPr>
          <w:lang w:eastAsia="zh-CN"/>
        </w:rPr>
        <w:t>员的</w:t>
      </w:r>
      <w:r w:rsidRPr="007B1A03">
        <w:rPr>
          <w:rFonts w:hint="eastAsia"/>
          <w:lang w:eastAsia="zh-CN"/>
        </w:rPr>
        <w:t>《</w:t>
      </w:r>
      <w:r w:rsidRPr="007B1A03">
        <w:rPr>
          <w:lang w:eastAsia="zh-CN"/>
        </w:rPr>
        <w:t>人事规则》修正</w:t>
      </w:r>
      <w:r>
        <w:rPr>
          <w:rFonts w:hint="eastAsia"/>
          <w:lang w:eastAsia="zh-CN"/>
        </w:rPr>
        <w:t>案</w:t>
      </w:r>
      <w:r>
        <w:rPr>
          <w:lang w:eastAsia="zh-CN"/>
        </w:rPr>
        <w:tab/>
      </w:r>
      <w:r>
        <w:rPr>
          <w:lang w:eastAsia="zh-CN"/>
        </w:rPr>
        <w:tab/>
        <w:t>2.1</w:t>
      </w:r>
    </w:p>
    <w:p w14:paraId="4827C4D2" w14:textId="77777777" w:rsidR="00BC26F1" w:rsidRDefault="00BC26F1" w:rsidP="00BC26F1">
      <w:pPr>
        <w:pStyle w:val="Reftitle"/>
        <w:rPr>
          <w:lang w:eastAsia="zh-CN"/>
        </w:rPr>
      </w:pPr>
      <w:r w:rsidRPr="00E40866">
        <w:rPr>
          <w:lang w:eastAsia="zh-CN"/>
        </w:rPr>
        <w:t>201</w:t>
      </w:r>
      <w:r>
        <w:rPr>
          <w:lang w:eastAsia="zh-CN"/>
        </w:rPr>
        <w:t>7</w:t>
      </w:r>
      <w:r w:rsidRPr="00E40866">
        <w:rPr>
          <w:rFonts w:hint="eastAsia"/>
          <w:lang w:eastAsia="zh-CN"/>
        </w:rPr>
        <w:t>年</w:t>
      </w:r>
      <w:r w:rsidRPr="00E40866">
        <w:rPr>
          <w:lang w:eastAsia="zh-CN"/>
        </w:rPr>
        <w:t>会议</w:t>
      </w:r>
      <w:r w:rsidRPr="00E40866">
        <w:rPr>
          <w:rFonts w:hint="eastAsia"/>
          <w:lang w:eastAsia="zh-CN"/>
        </w:rPr>
        <w:t>（</w:t>
      </w:r>
      <w:r w:rsidRPr="00E40866">
        <w:rPr>
          <w:rFonts w:hint="eastAsia"/>
          <w:lang w:eastAsia="zh-CN"/>
        </w:rPr>
        <w:t>201</w:t>
      </w:r>
      <w:r>
        <w:rPr>
          <w:lang w:eastAsia="zh-CN"/>
        </w:rPr>
        <w:t>7</w:t>
      </w:r>
      <w:r w:rsidRPr="00E40866">
        <w:rPr>
          <w:rFonts w:hint="eastAsia"/>
          <w:lang w:eastAsia="zh-CN"/>
        </w:rPr>
        <w:t>年</w:t>
      </w:r>
      <w:r w:rsidRPr="00E40866">
        <w:rPr>
          <w:lang w:eastAsia="zh-CN"/>
        </w:rPr>
        <w:t>5</w:t>
      </w:r>
      <w:r w:rsidRPr="00E40866">
        <w:rPr>
          <w:lang w:eastAsia="zh-CN"/>
        </w:rPr>
        <w:t>月</w:t>
      </w:r>
      <w:r>
        <w:rPr>
          <w:lang w:eastAsia="zh-CN"/>
        </w:rPr>
        <w:t>1</w:t>
      </w:r>
      <w:r w:rsidRPr="00E40866">
        <w:rPr>
          <w:lang w:eastAsia="zh-CN"/>
        </w:rPr>
        <w:t>5</w:t>
      </w:r>
      <w:r>
        <w:rPr>
          <w:rFonts w:hint="eastAsia"/>
          <w:lang w:eastAsia="zh-CN"/>
        </w:rPr>
        <w:t>-</w:t>
      </w:r>
      <w:r>
        <w:rPr>
          <w:lang w:eastAsia="zh-CN"/>
        </w:rPr>
        <w:t>25</w:t>
      </w:r>
      <w:r w:rsidRPr="00E40866">
        <w:rPr>
          <w:rFonts w:hint="eastAsia"/>
          <w:lang w:eastAsia="zh-CN"/>
        </w:rPr>
        <w:t>日）</w:t>
      </w:r>
    </w:p>
    <w:p w14:paraId="4827C4D3" w14:textId="77777777" w:rsidR="00BC26F1" w:rsidRPr="00E40866" w:rsidRDefault="00BC26F1" w:rsidP="00D555F8">
      <w:pPr>
        <w:pStyle w:val="Appendixref"/>
        <w:rPr>
          <w:bCs/>
          <w:lang w:val="en-US" w:eastAsia="zh-CN"/>
        </w:rPr>
      </w:pPr>
      <w:r>
        <w:rPr>
          <w:rFonts w:hint="eastAsia"/>
          <w:lang w:eastAsia="zh-CN"/>
        </w:rPr>
        <w:t>第</w:t>
      </w:r>
      <w:r>
        <w:rPr>
          <w:lang w:eastAsia="zh-CN"/>
        </w:rPr>
        <w:t>598</w:t>
      </w:r>
      <w:r>
        <w:rPr>
          <w:rFonts w:hint="eastAsia"/>
          <w:lang w:eastAsia="zh-CN"/>
        </w:rPr>
        <w:t>号</w:t>
      </w:r>
      <w:r>
        <w:rPr>
          <w:lang w:eastAsia="zh-CN"/>
        </w:rPr>
        <w:t>决定</w:t>
      </w:r>
      <w:r w:rsidRPr="00345EA7">
        <w:rPr>
          <w:lang w:eastAsia="zh-CN"/>
        </w:rPr>
        <w:tab/>
      </w:r>
      <w:r w:rsidRPr="004D5806">
        <w:rPr>
          <w:rFonts w:hint="eastAsia"/>
          <w:lang w:eastAsia="zh-CN"/>
        </w:rPr>
        <w:t>国际电联与国际刑警组织临时达成合作协议</w:t>
      </w:r>
      <w:r>
        <w:rPr>
          <w:lang w:eastAsia="zh-CN"/>
        </w:rPr>
        <w:tab/>
      </w:r>
      <w:r>
        <w:rPr>
          <w:lang w:eastAsia="zh-CN"/>
        </w:rPr>
        <w:tab/>
      </w:r>
      <w:r w:rsidR="00EA3BEA">
        <w:rPr>
          <w:lang w:val="en-US" w:eastAsia="zh-CN"/>
        </w:rPr>
        <w:t>2019</w:t>
      </w:r>
      <w:r w:rsidR="00EA3BEA">
        <w:rPr>
          <w:rFonts w:hint="eastAsia"/>
          <w:lang w:val="en-US" w:eastAsia="zh-CN"/>
        </w:rPr>
        <w:t>年</w:t>
      </w:r>
    </w:p>
    <w:p w14:paraId="4827C4D4" w14:textId="77777777" w:rsidR="00BC26F1" w:rsidRDefault="00BC26F1" w:rsidP="00BD7DB7">
      <w:pPr>
        <w:pStyle w:val="Appendixref"/>
        <w:rPr>
          <w:bCs/>
          <w:lang w:eastAsia="zh-CN"/>
        </w:rPr>
      </w:pPr>
      <w:r w:rsidRPr="00A627A2">
        <w:rPr>
          <w:rFonts w:hint="eastAsia"/>
          <w:lang w:eastAsia="zh-CN"/>
        </w:rPr>
        <w:t>第</w:t>
      </w:r>
      <w:r>
        <w:rPr>
          <w:rFonts w:hint="eastAsia"/>
          <w:lang w:eastAsia="zh-CN"/>
        </w:rPr>
        <w:t>5</w:t>
      </w:r>
      <w:r>
        <w:rPr>
          <w:lang w:eastAsia="zh-CN"/>
        </w:rPr>
        <w:t>99</w:t>
      </w:r>
      <w:r w:rsidRPr="00A627A2">
        <w:rPr>
          <w:rFonts w:hint="eastAsia"/>
          <w:lang w:eastAsia="zh-CN"/>
        </w:rPr>
        <w:t>号决定</w:t>
      </w:r>
      <w:r w:rsidRPr="00345EA7">
        <w:rPr>
          <w:lang w:eastAsia="zh-CN"/>
        </w:rPr>
        <w:tab/>
      </w:r>
      <w:r w:rsidR="00D555F8" w:rsidRPr="008F1B2C">
        <w:rPr>
          <w:rFonts w:hint="eastAsia"/>
          <w:lang w:eastAsia="zh-CN"/>
        </w:rPr>
        <w:t>理事会</w:t>
      </w:r>
      <w:r w:rsidR="00D555F8" w:rsidRPr="008F1B2C">
        <w:rPr>
          <w:lang w:eastAsia="zh-CN"/>
        </w:rPr>
        <w:t>2018</w:t>
      </w:r>
      <w:r w:rsidR="00D555F8" w:rsidRPr="008F1B2C">
        <w:rPr>
          <w:rFonts w:hint="eastAsia"/>
          <w:lang w:eastAsia="zh-CN"/>
        </w:rPr>
        <w:t>、</w:t>
      </w:r>
      <w:r w:rsidR="00D555F8" w:rsidRPr="008F1B2C">
        <w:rPr>
          <w:lang w:eastAsia="zh-CN"/>
        </w:rPr>
        <w:t>201</w:t>
      </w:r>
      <w:r w:rsidR="00D555F8" w:rsidRPr="008F1B2C">
        <w:rPr>
          <w:rFonts w:hint="eastAsia"/>
          <w:lang w:eastAsia="zh-CN"/>
        </w:rPr>
        <w:t>9</w:t>
      </w:r>
      <w:r w:rsidR="00D555F8" w:rsidRPr="008F1B2C">
        <w:rPr>
          <w:rFonts w:hint="eastAsia"/>
          <w:lang w:eastAsia="zh-CN"/>
        </w:rPr>
        <w:t>和</w:t>
      </w:r>
      <w:r w:rsidR="00D555F8" w:rsidRPr="008F1B2C">
        <w:rPr>
          <w:lang w:eastAsia="zh-CN"/>
        </w:rPr>
        <w:t>20</w:t>
      </w:r>
      <w:r w:rsidR="00D555F8">
        <w:rPr>
          <w:rFonts w:hint="eastAsia"/>
          <w:lang w:eastAsia="zh-CN"/>
        </w:rPr>
        <w:t>20</w:t>
      </w:r>
      <w:r w:rsidR="00D555F8" w:rsidRPr="008F1B2C">
        <w:rPr>
          <w:rFonts w:hint="eastAsia"/>
          <w:lang w:eastAsia="zh-CN"/>
        </w:rPr>
        <w:t>年会议的日期和会期</w:t>
      </w:r>
      <w:r>
        <w:rPr>
          <w:lang w:eastAsia="zh-CN"/>
        </w:rPr>
        <w:tab/>
      </w:r>
      <w:r>
        <w:rPr>
          <w:lang w:eastAsia="zh-CN"/>
        </w:rPr>
        <w:tab/>
      </w:r>
      <w:r w:rsidR="00BD7DB7">
        <w:rPr>
          <w:lang w:eastAsia="zh-CN"/>
        </w:rPr>
        <w:t>2018</w:t>
      </w:r>
      <w:r w:rsidR="00BD7DB7">
        <w:rPr>
          <w:rFonts w:hint="eastAsia"/>
          <w:lang w:eastAsia="zh-CN"/>
        </w:rPr>
        <w:t>年</w:t>
      </w:r>
    </w:p>
    <w:p w14:paraId="4827C4D5" w14:textId="77777777" w:rsidR="00BC26F1" w:rsidRDefault="00BC26F1" w:rsidP="00D555F8">
      <w:pPr>
        <w:pStyle w:val="Appendixref"/>
        <w:rPr>
          <w:bCs/>
          <w:lang w:eastAsia="zh-CN"/>
        </w:rPr>
      </w:pPr>
      <w:r w:rsidRPr="00A627A2">
        <w:rPr>
          <w:rFonts w:hint="eastAsia"/>
          <w:lang w:eastAsia="zh-CN"/>
        </w:rPr>
        <w:t>第</w:t>
      </w:r>
      <w:r>
        <w:rPr>
          <w:lang w:eastAsia="zh-CN"/>
        </w:rPr>
        <w:t>600</w:t>
      </w:r>
      <w:r w:rsidRPr="00A627A2">
        <w:rPr>
          <w:rFonts w:hint="eastAsia"/>
          <w:lang w:eastAsia="zh-CN"/>
        </w:rPr>
        <w:t>号决定</w:t>
      </w:r>
      <w:r w:rsidRPr="00345EA7">
        <w:rPr>
          <w:lang w:eastAsia="zh-CN"/>
        </w:rPr>
        <w:tab/>
      </w:r>
      <w:r w:rsidR="00D555F8">
        <w:rPr>
          <w:rFonts w:hint="eastAsia"/>
          <w:lang w:eastAsia="zh-CN"/>
        </w:rPr>
        <w:t>国际通用</w:t>
      </w:r>
      <w:r w:rsidR="00D555F8">
        <w:rPr>
          <w:lang w:eastAsia="zh-CN"/>
        </w:rPr>
        <w:t>免费电话号码（</w:t>
      </w:r>
      <w:r w:rsidR="00D555F8">
        <w:rPr>
          <w:lang w:eastAsia="zh-CN"/>
        </w:rPr>
        <w:t>UIFN</w:t>
      </w:r>
      <w:r w:rsidR="00D555F8">
        <w:rPr>
          <w:rFonts w:hint="eastAsia"/>
          <w:lang w:eastAsia="zh-CN"/>
        </w:rPr>
        <w:t>）登记</w:t>
      </w:r>
      <w:r>
        <w:rPr>
          <w:lang w:eastAsia="zh-CN"/>
        </w:rPr>
        <w:tab/>
      </w:r>
      <w:r>
        <w:rPr>
          <w:lang w:eastAsia="zh-CN"/>
        </w:rPr>
        <w:tab/>
        <w:t>5.3</w:t>
      </w:r>
    </w:p>
    <w:p w14:paraId="4827C4D6" w14:textId="77777777" w:rsidR="00BC26F1" w:rsidRDefault="00BC26F1" w:rsidP="00D555F8">
      <w:pPr>
        <w:pStyle w:val="Appendixref"/>
        <w:rPr>
          <w:bCs/>
          <w:lang w:eastAsia="zh-CN"/>
        </w:rPr>
      </w:pPr>
      <w:r w:rsidRPr="00A627A2">
        <w:rPr>
          <w:rFonts w:hint="eastAsia"/>
          <w:lang w:eastAsia="zh-CN"/>
        </w:rPr>
        <w:t>第</w:t>
      </w:r>
      <w:r>
        <w:rPr>
          <w:lang w:eastAsia="zh-CN"/>
        </w:rPr>
        <w:t>601</w:t>
      </w:r>
      <w:r w:rsidRPr="00A627A2">
        <w:rPr>
          <w:rFonts w:hint="eastAsia"/>
          <w:lang w:eastAsia="zh-CN"/>
        </w:rPr>
        <w:t>号决定</w:t>
      </w:r>
      <w:r w:rsidRPr="00345EA7">
        <w:rPr>
          <w:lang w:eastAsia="zh-CN"/>
        </w:rPr>
        <w:tab/>
      </w:r>
      <w:r w:rsidR="00D555F8">
        <w:rPr>
          <w:rFonts w:hint="eastAsia"/>
          <w:lang w:eastAsia="zh-CN"/>
        </w:rPr>
        <w:t>发行方标识</w:t>
      </w:r>
      <w:r w:rsidR="00D555F8" w:rsidRPr="00BA54F0">
        <w:rPr>
          <w:rFonts w:hint="eastAsia"/>
          <w:lang w:eastAsia="zh-CN"/>
        </w:rPr>
        <w:t>号</w:t>
      </w:r>
      <w:r w:rsidR="00D555F8">
        <w:rPr>
          <w:rFonts w:hint="eastAsia"/>
          <w:lang w:eastAsia="zh-CN"/>
        </w:rPr>
        <w:t>（</w:t>
      </w:r>
      <w:r w:rsidR="00D555F8">
        <w:rPr>
          <w:lang w:eastAsia="zh-CN"/>
        </w:rPr>
        <w:t>IIN</w:t>
      </w:r>
      <w:r w:rsidR="00D555F8" w:rsidRPr="00BA54F0">
        <w:rPr>
          <w:rFonts w:hint="eastAsia"/>
          <w:lang w:eastAsia="zh-CN"/>
        </w:rPr>
        <w:t>）</w:t>
      </w:r>
      <w:r w:rsidR="00D555F8">
        <w:rPr>
          <w:rFonts w:hint="eastAsia"/>
          <w:lang w:eastAsia="zh-CN"/>
        </w:rPr>
        <w:t>登记</w:t>
      </w:r>
      <w:r>
        <w:rPr>
          <w:lang w:eastAsia="zh-CN"/>
        </w:rPr>
        <w:tab/>
      </w:r>
      <w:r>
        <w:rPr>
          <w:lang w:eastAsia="zh-CN"/>
        </w:rPr>
        <w:tab/>
        <w:t>5.3</w:t>
      </w:r>
    </w:p>
    <w:p w14:paraId="4827C4D7" w14:textId="77777777" w:rsidR="00BC26F1" w:rsidRDefault="00BC26F1" w:rsidP="00D555F8">
      <w:pPr>
        <w:pStyle w:val="Appendixref"/>
        <w:rPr>
          <w:bCs/>
          <w:lang w:eastAsia="zh-CN"/>
        </w:rPr>
      </w:pPr>
      <w:r w:rsidRPr="00A627A2">
        <w:rPr>
          <w:rFonts w:hint="eastAsia"/>
          <w:lang w:eastAsia="zh-CN"/>
        </w:rPr>
        <w:t>第</w:t>
      </w:r>
      <w:r>
        <w:rPr>
          <w:lang w:eastAsia="zh-CN"/>
        </w:rPr>
        <w:t>602</w:t>
      </w:r>
      <w:r w:rsidRPr="00A627A2">
        <w:rPr>
          <w:rFonts w:hint="eastAsia"/>
          <w:lang w:eastAsia="zh-CN"/>
        </w:rPr>
        <w:t>号决定</w:t>
      </w:r>
      <w:r w:rsidRPr="00345EA7">
        <w:rPr>
          <w:lang w:eastAsia="zh-CN"/>
        </w:rPr>
        <w:tab/>
      </w:r>
      <w:r w:rsidR="00D555F8">
        <w:rPr>
          <w:rFonts w:hint="eastAsia"/>
          <w:lang w:eastAsia="zh-CN"/>
        </w:rPr>
        <w:t>欠款利息和不可回收债务的注销</w:t>
      </w:r>
      <w:r>
        <w:rPr>
          <w:lang w:eastAsia="zh-CN"/>
        </w:rPr>
        <w:tab/>
      </w:r>
      <w:r>
        <w:rPr>
          <w:lang w:eastAsia="zh-CN"/>
        </w:rPr>
        <w:tab/>
      </w:r>
      <w:r w:rsidR="00EA3BEA">
        <w:rPr>
          <w:rFonts w:hint="eastAsia"/>
          <w:lang w:eastAsia="zh-CN"/>
        </w:rPr>
        <w:t>2019</w:t>
      </w:r>
      <w:r w:rsidR="00EA3BEA">
        <w:rPr>
          <w:rFonts w:hint="eastAsia"/>
          <w:lang w:eastAsia="zh-CN"/>
        </w:rPr>
        <w:t>年</w:t>
      </w:r>
    </w:p>
    <w:p w14:paraId="4827C4D8" w14:textId="77777777" w:rsidR="00BC26F1" w:rsidRDefault="00BC26F1" w:rsidP="00D555F8">
      <w:pPr>
        <w:pStyle w:val="Appendixref"/>
        <w:rPr>
          <w:bCs/>
          <w:lang w:eastAsia="zh-CN"/>
        </w:rPr>
      </w:pPr>
      <w:r>
        <w:rPr>
          <w:rFonts w:hint="eastAsia"/>
          <w:lang w:eastAsia="zh-CN"/>
        </w:rPr>
        <w:t>第</w:t>
      </w:r>
      <w:r>
        <w:rPr>
          <w:lang w:eastAsia="zh-CN"/>
        </w:rPr>
        <w:t>603</w:t>
      </w:r>
      <w:r>
        <w:rPr>
          <w:rFonts w:hint="eastAsia"/>
          <w:lang w:eastAsia="zh-CN"/>
        </w:rPr>
        <w:t>号</w:t>
      </w:r>
      <w:r>
        <w:rPr>
          <w:lang w:eastAsia="zh-CN"/>
        </w:rPr>
        <w:t>决定</w:t>
      </w:r>
      <w:r w:rsidRPr="00345EA7">
        <w:rPr>
          <w:lang w:eastAsia="zh-CN"/>
        </w:rPr>
        <w:tab/>
      </w:r>
      <w:r w:rsidR="00D555F8" w:rsidRPr="00B4523C">
        <w:rPr>
          <w:rFonts w:hint="eastAsia"/>
          <w:lang w:eastAsia="zh-CN"/>
        </w:rPr>
        <w:t>外部审计员（意大利审计院）的授权续期两年</w:t>
      </w:r>
      <w:r>
        <w:rPr>
          <w:lang w:eastAsia="zh-CN"/>
        </w:rPr>
        <w:tab/>
      </w:r>
      <w:r>
        <w:rPr>
          <w:lang w:eastAsia="zh-CN"/>
        </w:rPr>
        <w:tab/>
        <w:t>1.2</w:t>
      </w:r>
    </w:p>
    <w:p w14:paraId="4827C4D9" w14:textId="77777777" w:rsidR="00BD7DB7" w:rsidRDefault="004672AA" w:rsidP="00BD7DB7">
      <w:pPr>
        <w:keepNext/>
        <w:spacing w:before="200" w:after="200"/>
        <w:jc w:val="center"/>
        <w:rPr>
          <w:b/>
          <w:lang w:eastAsia="zh-CN"/>
        </w:rPr>
      </w:pPr>
      <w:r>
        <w:rPr>
          <w:b/>
          <w:lang w:eastAsia="zh-CN"/>
        </w:rPr>
        <w:t>2018</w:t>
      </w:r>
      <w:r w:rsidR="00BD7DB7">
        <w:rPr>
          <w:rFonts w:hint="eastAsia"/>
          <w:b/>
          <w:lang w:eastAsia="zh-CN"/>
        </w:rPr>
        <w:t>年会议</w:t>
      </w:r>
      <w:r w:rsidR="00BD7DB7">
        <w:rPr>
          <w:b/>
          <w:lang w:eastAsia="zh-CN"/>
        </w:rPr>
        <w:t>（</w:t>
      </w:r>
      <w:r w:rsidR="00BD7DB7">
        <w:rPr>
          <w:rFonts w:hint="eastAsia"/>
          <w:b/>
          <w:lang w:eastAsia="zh-CN"/>
        </w:rPr>
        <w:t>2018</w:t>
      </w:r>
      <w:r w:rsidR="00BD7DB7">
        <w:rPr>
          <w:rFonts w:hint="eastAsia"/>
          <w:b/>
          <w:lang w:eastAsia="zh-CN"/>
        </w:rPr>
        <w:t>年</w:t>
      </w:r>
      <w:r w:rsidR="00BD7DB7">
        <w:rPr>
          <w:rFonts w:hint="eastAsia"/>
          <w:b/>
          <w:lang w:eastAsia="zh-CN"/>
        </w:rPr>
        <w:t>4</w:t>
      </w:r>
      <w:r w:rsidR="00BD7DB7">
        <w:rPr>
          <w:rFonts w:hint="eastAsia"/>
          <w:b/>
          <w:lang w:eastAsia="zh-CN"/>
        </w:rPr>
        <w:t>月</w:t>
      </w:r>
      <w:r w:rsidR="00BD7DB7" w:rsidRPr="00B257BF">
        <w:rPr>
          <w:b/>
          <w:lang w:eastAsia="zh-CN"/>
        </w:rPr>
        <w:t>17-27</w:t>
      </w:r>
      <w:r w:rsidR="00BD7DB7">
        <w:rPr>
          <w:rFonts w:hint="eastAsia"/>
          <w:b/>
          <w:lang w:eastAsia="zh-CN"/>
        </w:rPr>
        <w:t>日</w:t>
      </w:r>
      <w:r w:rsidR="00BD7DB7">
        <w:rPr>
          <w:b/>
          <w:lang w:eastAsia="zh-CN"/>
        </w:rPr>
        <w:t>和</w:t>
      </w:r>
      <w:r w:rsidR="00BD7DB7">
        <w:rPr>
          <w:rFonts w:hint="eastAsia"/>
          <w:b/>
          <w:lang w:eastAsia="zh-CN"/>
        </w:rPr>
        <w:t>10</w:t>
      </w:r>
      <w:r w:rsidR="00BD7DB7">
        <w:rPr>
          <w:rFonts w:hint="eastAsia"/>
          <w:b/>
          <w:lang w:eastAsia="zh-CN"/>
        </w:rPr>
        <w:t>月</w:t>
      </w:r>
      <w:r w:rsidR="00BD7DB7">
        <w:rPr>
          <w:rFonts w:hint="eastAsia"/>
          <w:b/>
          <w:lang w:eastAsia="zh-CN"/>
        </w:rPr>
        <w:t>27</w:t>
      </w:r>
      <w:r w:rsidR="00BD7DB7">
        <w:rPr>
          <w:rFonts w:hint="eastAsia"/>
          <w:b/>
          <w:lang w:eastAsia="zh-CN"/>
        </w:rPr>
        <w:t>日</w:t>
      </w:r>
      <w:r w:rsidR="00BD7DB7">
        <w:rPr>
          <w:b/>
          <w:lang w:eastAsia="zh-CN"/>
        </w:rPr>
        <w:t>）</w:t>
      </w:r>
    </w:p>
    <w:p w14:paraId="4827C4DA" w14:textId="77777777" w:rsidR="00BD7DB7" w:rsidRDefault="00BD7DB7" w:rsidP="00BD7DB7">
      <w:pPr>
        <w:pStyle w:val="Appendixref"/>
        <w:rPr>
          <w:bCs/>
          <w:lang w:eastAsia="zh-CN"/>
        </w:rPr>
      </w:pPr>
      <w:r>
        <w:rPr>
          <w:rFonts w:hint="eastAsia"/>
          <w:lang w:eastAsia="zh-CN"/>
        </w:rPr>
        <w:t>第</w:t>
      </w:r>
      <w:r>
        <w:rPr>
          <w:lang w:eastAsia="zh-CN"/>
        </w:rPr>
        <w:t>604</w:t>
      </w:r>
      <w:r>
        <w:rPr>
          <w:rFonts w:hint="eastAsia"/>
          <w:lang w:eastAsia="zh-CN"/>
        </w:rPr>
        <w:t>号</w:t>
      </w:r>
      <w:r>
        <w:rPr>
          <w:lang w:eastAsia="zh-CN"/>
        </w:rPr>
        <w:t>决定</w:t>
      </w:r>
      <w:r w:rsidRPr="00345EA7">
        <w:rPr>
          <w:lang w:eastAsia="zh-CN"/>
        </w:rPr>
        <w:tab/>
      </w:r>
      <w:r w:rsidRPr="008F1B2C">
        <w:rPr>
          <w:rFonts w:hint="eastAsia"/>
          <w:lang w:eastAsia="zh-CN"/>
        </w:rPr>
        <w:t>理事会</w:t>
      </w:r>
      <w:r w:rsidRPr="008F1B2C">
        <w:rPr>
          <w:lang w:eastAsia="zh-CN"/>
        </w:rPr>
        <w:t>201</w:t>
      </w:r>
      <w:r w:rsidRPr="008F1B2C">
        <w:rPr>
          <w:rFonts w:hint="eastAsia"/>
          <w:lang w:eastAsia="zh-CN"/>
        </w:rPr>
        <w:t>9</w:t>
      </w:r>
      <w:r w:rsidRPr="008F1B2C">
        <w:rPr>
          <w:rFonts w:hint="eastAsia"/>
          <w:lang w:eastAsia="zh-CN"/>
        </w:rPr>
        <w:t>、</w:t>
      </w:r>
      <w:r>
        <w:rPr>
          <w:lang w:eastAsia="zh-CN"/>
        </w:rPr>
        <w:t>2020</w:t>
      </w:r>
      <w:r w:rsidRPr="008F1B2C">
        <w:rPr>
          <w:rFonts w:hint="eastAsia"/>
          <w:lang w:eastAsia="zh-CN"/>
        </w:rPr>
        <w:t>和</w:t>
      </w:r>
      <w:r w:rsidRPr="008F1B2C">
        <w:rPr>
          <w:lang w:eastAsia="zh-CN"/>
        </w:rPr>
        <w:t>20</w:t>
      </w:r>
      <w:r>
        <w:rPr>
          <w:rFonts w:hint="eastAsia"/>
          <w:lang w:eastAsia="zh-CN"/>
        </w:rPr>
        <w:t>21</w:t>
      </w:r>
      <w:r w:rsidRPr="008F1B2C">
        <w:rPr>
          <w:rFonts w:hint="eastAsia"/>
          <w:lang w:eastAsia="zh-CN"/>
        </w:rPr>
        <w:t>年会议的日期和会期</w:t>
      </w:r>
      <w:r>
        <w:rPr>
          <w:lang w:eastAsia="zh-CN"/>
        </w:rPr>
        <w:tab/>
      </w:r>
      <w:r>
        <w:rPr>
          <w:lang w:eastAsia="zh-CN"/>
        </w:rPr>
        <w:tab/>
      </w:r>
      <w:r w:rsidR="00EA3BEA">
        <w:rPr>
          <w:rFonts w:hint="eastAsia"/>
          <w:lang w:eastAsia="zh-CN"/>
        </w:rPr>
        <w:t>2019</w:t>
      </w:r>
      <w:r w:rsidR="00EA3BEA">
        <w:rPr>
          <w:rFonts w:hint="eastAsia"/>
          <w:lang w:eastAsia="zh-CN"/>
        </w:rPr>
        <w:t>年</w:t>
      </w:r>
    </w:p>
    <w:p w14:paraId="4827C4DB" w14:textId="77777777" w:rsidR="00BD7DB7" w:rsidRPr="00BD7DB7" w:rsidRDefault="00BD7DB7" w:rsidP="00BD7DB7">
      <w:pPr>
        <w:pStyle w:val="Appendixref"/>
        <w:rPr>
          <w:lang w:eastAsia="zh-CN"/>
        </w:rPr>
      </w:pPr>
      <w:r>
        <w:rPr>
          <w:rFonts w:hint="eastAsia"/>
          <w:lang w:eastAsia="zh-CN"/>
        </w:rPr>
        <w:t>第</w:t>
      </w:r>
      <w:r>
        <w:rPr>
          <w:lang w:eastAsia="zh-CN"/>
        </w:rPr>
        <w:t>605</w:t>
      </w:r>
      <w:r>
        <w:rPr>
          <w:rFonts w:hint="eastAsia"/>
          <w:lang w:eastAsia="zh-CN"/>
        </w:rPr>
        <w:t>号</w:t>
      </w:r>
      <w:r>
        <w:rPr>
          <w:lang w:eastAsia="zh-CN"/>
        </w:rPr>
        <w:t>决定</w:t>
      </w:r>
      <w:r w:rsidRPr="00345EA7">
        <w:rPr>
          <w:lang w:eastAsia="zh-CN"/>
        </w:rPr>
        <w:tab/>
      </w:r>
      <w:r w:rsidRPr="00201A56">
        <w:rPr>
          <w:rFonts w:hint="eastAsia"/>
          <w:szCs w:val="28"/>
          <w:lang w:val="en-US" w:eastAsia="zh-CN"/>
        </w:rPr>
        <w:t>设立</w:t>
      </w:r>
      <w:r w:rsidRPr="00201A56">
        <w:rPr>
          <w:szCs w:val="28"/>
          <w:lang w:val="en-US" w:eastAsia="zh-CN"/>
        </w:rPr>
        <w:t>国际电联独联体</w:t>
      </w:r>
      <w:r w:rsidRPr="00201A56">
        <w:rPr>
          <w:rFonts w:hint="eastAsia"/>
          <w:szCs w:val="28"/>
          <w:lang w:val="en-US" w:eastAsia="zh-CN"/>
        </w:rPr>
        <w:t>区域</w:t>
      </w:r>
      <w:r w:rsidRPr="00201A56">
        <w:rPr>
          <w:szCs w:val="28"/>
          <w:lang w:val="en-US" w:eastAsia="zh-CN"/>
        </w:rPr>
        <w:t>的</w:t>
      </w:r>
      <w:r w:rsidRPr="00201A56">
        <w:rPr>
          <w:rFonts w:hint="eastAsia"/>
          <w:szCs w:val="28"/>
          <w:lang w:val="en-US" w:eastAsia="zh-CN"/>
        </w:rPr>
        <w:t>区域代表</w:t>
      </w:r>
      <w:r w:rsidRPr="00201A56">
        <w:rPr>
          <w:szCs w:val="28"/>
          <w:lang w:val="en-US" w:eastAsia="zh-CN"/>
        </w:rPr>
        <w:t>处主任</w:t>
      </w:r>
      <w:r>
        <w:rPr>
          <w:rFonts w:hint="eastAsia"/>
          <w:szCs w:val="28"/>
          <w:lang w:val="en-US" w:eastAsia="zh-CN"/>
        </w:rPr>
        <w:t>的</w:t>
      </w:r>
      <w:r w:rsidRPr="00201A56">
        <w:rPr>
          <w:szCs w:val="28"/>
          <w:lang w:val="en-US" w:eastAsia="zh-CN"/>
        </w:rPr>
        <w:t>D1</w:t>
      </w:r>
      <w:r w:rsidRPr="00201A56">
        <w:rPr>
          <w:rFonts w:hint="eastAsia"/>
          <w:szCs w:val="28"/>
          <w:lang w:val="en-US" w:eastAsia="zh-CN"/>
        </w:rPr>
        <w:t>级职位</w:t>
      </w:r>
      <w:r>
        <w:rPr>
          <w:lang w:eastAsia="zh-CN"/>
        </w:rPr>
        <w:tab/>
      </w:r>
      <w:r>
        <w:rPr>
          <w:lang w:eastAsia="zh-CN"/>
        </w:rPr>
        <w:tab/>
        <w:t>2.2</w:t>
      </w:r>
    </w:p>
    <w:p w14:paraId="4827C4DC" w14:textId="50339FD2" w:rsidR="00BD7DB7" w:rsidRPr="00BD7DB7" w:rsidRDefault="00BD7DB7" w:rsidP="00BD7DB7">
      <w:pPr>
        <w:pStyle w:val="Appendixref"/>
        <w:rPr>
          <w:lang w:eastAsia="zh-CN"/>
        </w:rPr>
      </w:pPr>
      <w:r>
        <w:rPr>
          <w:rFonts w:hint="eastAsia"/>
          <w:lang w:eastAsia="zh-CN"/>
        </w:rPr>
        <w:t>第</w:t>
      </w:r>
      <w:r>
        <w:rPr>
          <w:lang w:eastAsia="zh-CN"/>
        </w:rPr>
        <w:t>606</w:t>
      </w:r>
      <w:r>
        <w:rPr>
          <w:rFonts w:hint="eastAsia"/>
          <w:lang w:eastAsia="zh-CN"/>
        </w:rPr>
        <w:t>号</w:t>
      </w:r>
      <w:r>
        <w:rPr>
          <w:lang w:eastAsia="zh-CN"/>
        </w:rPr>
        <w:t>决定</w:t>
      </w:r>
      <w:r w:rsidRPr="00345EA7">
        <w:rPr>
          <w:lang w:eastAsia="zh-CN"/>
        </w:rPr>
        <w:tab/>
      </w:r>
      <w:r w:rsidRPr="002C400D">
        <w:rPr>
          <w:rFonts w:hint="eastAsia"/>
          <w:bCs/>
          <w:lang w:eastAsia="zh-CN"/>
        </w:rPr>
        <w:t>欠款利息和不可回收债务的注销</w:t>
      </w:r>
      <w:r>
        <w:rPr>
          <w:lang w:eastAsia="zh-CN"/>
        </w:rPr>
        <w:tab/>
      </w:r>
      <w:r>
        <w:rPr>
          <w:lang w:eastAsia="zh-CN"/>
        </w:rPr>
        <w:tab/>
      </w:r>
      <w:r w:rsidR="007A3DFD">
        <w:rPr>
          <w:rFonts w:hint="eastAsia"/>
          <w:lang w:eastAsia="zh-CN"/>
        </w:rPr>
        <w:t>2021</w:t>
      </w:r>
      <w:r w:rsidR="007A3DFD">
        <w:rPr>
          <w:rFonts w:hint="eastAsia"/>
          <w:lang w:eastAsia="zh-CN"/>
        </w:rPr>
        <w:t>年</w:t>
      </w:r>
    </w:p>
    <w:p w14:paraId="4827C4DD" w14:textId="3D326ECE" w:rsidR="00BD7DB7" w:rsidRPr="00BD7DB7" w:rsidRDefault="00BD7DB7" w:rsidP="00BD7DB7">
      <w:pPr>
        <w:pStyle w:val="Appendixref"/>
        <w:rPr>
          <w:lang w:eastAsia="zh-CN"/>
        </w:rPr>
      </w:pPr>
      <w:r>
        <w:rPr>
          <w:rFonts w:hint="eastAsia"/>
          <w:lang w:eastAsia="zh-CN"/>
        </w:rPr>
        <w:t>第</w:t>
      </w:r>
      <w:r>
        <w:rPr>
          <w:lang w:eastAsia="zh-CN"/>
        </w:rPr>
        <w:t>607</w:t>
      </w:r>
      <w:r>
        <w:rPr>
          <w:rFonts w:hint="eastAsia"/>
          <w:lang w:eastAsia="zh-CN"/>
        </w:rPr>
        <w:t>号</w:t>
      </w:r>
      <w:r>
        <w:rPr>
          <w:lang w:eastAsia="zh-CN"/>
        </w:rPr>
        <w:t>决定</w:t>
      </w:r>
      <w:r w:rsidRPr="00345EA7">
        <w:rPr>
          <w:lang w:eastAsia="zh-CN"/>
        </w:rPr>
        <w:tab/>
      </w:r>
      <w:r w:rsidRPr="002C400D">
        <w:rPr>
          <w:rFonts w:hint="eastAsia"/>
          <w:lang w:eastAsia="zh-CN"/>
        </w:rPr>
        <w:t>任命独立管理顾问委员会（</w:t>
      </w:r>
      <w:r w:rsidRPr="002C400D">
        <w:rPr>
          <w:rFonts w:hint="eastAsia"/>
          <w:lang w:eastAsia="zh-CN"/>
        </w:rPr>
        <w:t>IMAC</w:t>
      </w:r>
      <w:r w:rsidRPr="002C400D">
        <w:rPr>
          <w:rFonts w:hint="eastAsia"/>
          <w:lang w:eastAsia="zh-CN"/>
        </w:rPr>
        <w:t>）的替补委员</w:t>
      </w:r>
      <w:r>
        <w:rPr>
          <w:lang w:eastAsia="zh-CN"/>
        </w:rPr>
        <w:tab/>
      </w:r>
      <w:r>
        <w:rPr>
          <w:lang w:eastAsia="zh-CN"/>
        </w:rPr>
        <w:tab/>
      </w:r>
      <w:r w:rsidR="007A3DFD">
        <w:rPr>
          <w:rFonts w:hint="eastAsia"/>
          <w:lang w:eastAsia="zh-CN"/>
        </w:rPr>
        <w:t>2021</w:t>
      </w:r>
      <w:r w:rsidR="007A3DFD">
        <w:rPr>
          <w:rFonts w:hint="eastAsia"/>
          <w:lang w:eastAsia="zh-CN"/>
        </w:rPr>
        <w:t>年</w:t>
      </w:r>
    </w:p>
    <w:p w14:paraId="4827C4DE" w14:textId="77777777" w:rsidR="00D00A13" w:rsidRDefault="00D00A13">
      <w:pPr>
        <w:tabs>
          <w:tab w:val="clear" w:pos="794"/>
          <w:tab w:val="clear" w:pos="1191"/>
          <w:tab w:val="clear" w:pos="1588"/>
          <w:tab w:val="clear" w:pos="1985"/>
        </w:tabs>
        <w:overflowPunct/>
        <w:autoSpaceDE/>
        <w:autoSpaceDN/>
        <w:adjustRightInd/>
        <w:spacing w:before="0"/>
        <w:jc w:val="left"/>
        <w:textAlignment w:val="auto"/>
        <w:rPr>
          <w:b/>
          <w:lang w:eastAsia="zh-CN"/>
        </w:rPr>
      </w:pPr>
      <w:r>
        <w:rPr>
          <w:b/>
          <w:lang w:eastAsia="zh-CN"/>
        </w:rPr>
        <w:br w:type="page"/>
      </w:r>
    </w:p>
    <w:p w14:paraId="4827C4DF" w14:textId="77777777" w:rsidR="00EA3BEA" w:rsidRPr="005F0BAD" w:rsidRDefault="004672AA" w:rsidP="00EA3BEA">
      <w:pPr>
        <w:spacing w:before="200" w:after="200"/>
        <w:jc w:val="center"/>
        <w:rPr>
          <w:b/>
          <w:lang w:eastAsia="zh-CN"/>
        </w:rPr>
      </w:pPr>
      <w:r>
        <w:rPr>
          <w:b/>
          <w:lang w:eastAsia="zh-CN"/>
        </w:rPr>
        <w:lastRenderedPageBreak/>
        <w:t>2019</w:t>
      </w:r>
      <w:r w:rsidR="00EA3BEA">
        <w:rPr>
          <w:rFonts w:hint="eastAsia"/>
          <w:b/>
          <w:lang w:eastAsia="zh-CN"/>
        </w:rPr>
        <w:t>年会议</w:t>
      </w:r>
      <w:r w:rsidR="00EA3BEA">
        <w:rPr>
          <w:b/>
          <w:lang w:eastAsia="zh-CN"/>
        </w:rPr>
        <w:t>（</w:t>
      </w:r>
      <w:r w:rsidR="00EA3BEA">
        <w:rPr>
          <w:rFonts w:hint="eastAsia"/>
          <w:b/>
          <w:lang w:eastAsia="zh-CN"/>
        </w:rPr>
        <w:t>2019</w:t>
      </w:r>
      <w:r w:rsidR="00EA3BEA">
        <w:rPr>
          <w:rFonts w:hint="eastAsia"/>
          <w:b/>
          <w:lang w:eastAsia="zh-CN"/>
        </w:rPr>
        <w:t>年</w:t>
      </w:r>
      <w:r w:rsidR="00EA3BEA">
        <w:rPr>
          <w:rFonts w:hint="eastAsia"/>
          <w:b/>
          <w:lang w:eastAsia="zh-CN"/>
        </w:rPr>
        <w:t>6</w:t>
      </w:r>
      <w:r w:rsidR="00EA3BEA">
        <w:rPr>
          <w:rFonts w:hint="eastAsia"/>
          <w:b/>
          <w:lang w:eastAsia="zh-CN"/>
        </w:rPr>
        <w:t>月</w:t>
      </w:r>
      <w:r w:rsidR="00EA3BEA" w:rsidRPr="00B257BF">
        <w:rPr>
          <w:b/>
          <w:lang w:eastAsia="zh-CN"/>
        </w:rPr>
        <w:t>1</w:t>
      </w:r>
      <w:r w:rsidR="00EA3BEA">
        <w:rPr>
          <w:rFonts w:hint="eastAsia"/>
          <w:b/>
          <w:lang w:eastAsia="zh-CN"/>
        </w:rPr>
        <w:t>0</w:t>
      </w:r>
      <w:r w:rsidR="00EA3BEA" w:rsidRPr="00B257BF">
        <w:rPr>
          <w:b/>
          <w:lang w:eastAsia="zh-CN"/>
        </w:rPr>
        <w:t>-2</w:t>
      </w:r>
      <w:r>
        <w:rPr>
          <w:rFonts w:hint="eastAsia"/>
          <w:b/>
          <w:lang w:eastAsia="zh-CN"/>
        </w:rPr>
        <w:t>0</w:t>
      </w:r>
      <w:r w:rsidR="00EA3BEA">
        <w:rPr>
          <w:rFonts w:hint="eastAsia"/>
          <w:b/>
          <w:lang w:eastAsia="zh-CN"/>
        </w:rPr>
        <w:t>日）</w:t>
      </w:r>
    </w:p>
    <w:p w14:paraId="4827C4E0" w14:textId="77777777" w:rsidR="00EA3BEA" w:rsidRPr="005F0BAD" w:rsidRDefault="00EA3BEA" w:rsidP="00EA3BEA">
      <w:pPr>
        <w:pStyle w:val="Appendixref"/>
        <w:rPr>
          <w:lang w:val="en-US" w:eastAsia="zh-CN"/>
        </w:rPr>
      </w:pPr>
      <w:r>
        <w:rPr>
          <w:rFonts w:hint="eastAsia"/>
          <w:lang w:val="en-US" w:eastAsia="zh-CN"/>
        </w:rPr>
        <w:t>第</w:t>
      </w:r>
      <w:r w:rsidRPr="005F0BAD">
        <w:rPr>
          <w:lang w:val="en-US" w:eastAsia="zh-CN"/>
        </w:rPr>
        <w:t>608</w:t>
      </w:r>
      <w:r>
        <w:rPr>
          <w:rFonts w:hint="eastAsia"/>
          <w:lang w:val="en-US" w:eastAsia="zh-CN"/>
        </w:rPr>
        <w:t>号决定</w:t>
      </w:r>
      <w:r>
        <w:rPr>
          <w:lang w:val="en-US" w:eastAsia="zh-CN"/>
        </w:rPr>
        <w:tab/>
      </w:r>
      <w:r w:rsidRPr="006A5D14">
        <w:rPr>
          <w:rFonts w:asciiTheme="minorEastAsia" w:eastAsiaTheme="minorEastAsia" w:hAnsiTheme="minorEastAsia" w:cs="Microsoft YaHei" w:hint="eastAsia"/>
          <w:lang w:eastAsia="zh-CN"/>
        </w:rPr>
        <w:t>下届世界电信标准化全会（</w:t>
      </w:r>
      <w:r w:rsidRPr="00761D1F">
        <w:rPr>
          <w:rFonts w:cstheme="minorHAnsi"/>
          <w:lang w:eastAsia="zh-CN"/>
        </w:rPr>
        <w:t>WTSA-20</w:t>
      </w:r>
      <w:r w:rsidRPr="006A5D14">
        <w:rPr>
          <w:rFonts w:asciiTheme="minorEastAsia" w:eastAsiaTheme="minorEastAsia" w:hAnsiTheme="minorEastAsia" w:cs="Microsoft YaHei" w:hint="eastAsia"/>
          <w:lang w:eastAsia="zh-CN"/>
        </w:rPr>
        <w:t>）的</w:t>
      </w:r>
      <w:r>
        <w:rPr>
          <w:rFonts w:asciiTheme="minorEastAsia" w:eastAsiaTheme="minorEastAsia" w:hAnsiTheme="minorEastAsia" w:cs="Microsoft YaHei" w:hint="eastAsia"/>
          <w:lang w:eastAsia="zh-CN"/>
        </w:rPr>
        <w:t>召开</w:t>
      </w:r>
      <w:r w:rsidRPr="005F0BAD">
        <w:rPr>
          <w:lang w:val="en-US" w:eastAsia="zh-CN"/>
        </w:rPr>
        <w:tab/>
      </w:r>
      <w:r w:rsidR="004672AA">
        <w:rPr>
          <w:lang w:val="en-US" w:eastAsia="zh-CN"/>
        </w:rPr>
        <w:tab/>
      </w:r>
      <w:r w:rsidRPr="005F0BAD">
        <w:rPr>
          <w:lang w:val="en-US" w:eastAsia="zh-CN"/>
        </w:rPr>
        <w:t>3.4</w:t>
      </w:r>
    </w:p>
    <w:p w14:paraId="4827C4E1" w14:textId="77777777" w:rsidR="00EA3BEA" w:rsidRPr="005F0BAD" w:rsidRDefault="004672AA" w:rsidP="00EA3BEA">
      <w:pPr>
        <w:pStyle w:val="Appendixref"/>
        <w:rPr>
          <w:lang w:val="en-US" w:eastAsia="zh-CN"/>
        </w:rPr>
      </w:pPr>
      <w:r>
        <w:rPr>
          <w:rFonts w:hint="eastAsia"/>
          <w:lang w:val="en-US" w:eastAsia="zh-CN"/>
        </w:rPr>
        <w:t>第</w:t>
      </w:r>
      <w:r w:rsidR="00EA3BEA" w:rsidRPr="005F0BAD">
        <w:rPr>
          <w:lang w:val="en-US" w:eastAsia="zh-CN"/>
        </w:rPr>
        <w:t>609</w:t>
      </w:r>
      <w:r>
        <w:rPr>
          <w:rFonts w:hint="eastAsia"/>
          <w:lang w:val="en-US" w:eastAsia="zh-CN"/>
        </w:rPr>
        <w:t>号决定</w:t>
      </w:r>
      <w:r w:rsidR="00EA3BEA">
        <w:rPr>
          <w:lang w:val="en-US" w:eastAsia="zh-CN"/>
        </w:rPr>
        <w:tab/>
      </w:r>
      <w:r w:rsidR="00EA3BEA">
        <w:rPr>
          <w:rFonts w:hint="eastAsia"/>
          <w:lang w:eastAsia="zh-CN"/>
        </w:rPr>
        <w:t>下届世界电信发展大会（</w:t>
      </w:r>
      <w:r w:rsidR="00EA3BEA">
        <w:rPr>
          <w:lang w:eastAsia="zh-CN"/>
        </w:rPr>
        <w:t>WTDC-21</w:t>
      </w:r>
      <w:r w:rsidR="00EA3BEA">
        <w:rPr>
          <w:rFonts w:hint="eastAsia"/>
          <w:lang w:eastAsia="zh-CN"/>
        </w:rPr>
        <w:t>）的召开</w:t>
      </w:r>
      <w:r w:rsidR="00EA3BEA" w:rsidRPr="005F0BAD">
        <w:rPr>
          <w:lang w:val="en-US" w:eastAsia="zh-CN"/>
        </w:rPr>
        <w:tab/>
      </w:r>
      <w:r>
        <w:rPr>
          <w:lang w:val="en-US" w:eastAsia="zh-CN"/>
        </w:rPr>
        <w:tab/>
      </w:r>
      <w:r w:rsidR="00EA3BEA" w:rsidRPr="005F0BAD">
        <w:rPr>
          <w:lang w:val="en-US" w:eastAsia="zh-CN"/>
        </w:rPr>
        <w:t>3.4</w:t>
      </w:r>
    </w:p>
    <w:p w14:paraId="4827C4E2" w14:textId="77777777" w:rsidR="00EA3BEA" w:rsidRPr="005F0BAD" w:rsidRDefault="004672AA" w:rsidP="00EA3BEA">
      <w:pPr>
        <w:pStyle w:val="Appendixref"/>
        <w:rPr>
          <w:lang w:val="en-US" w:eastAsia="zh-CN"/>
        </w:rPr>
      </w:pPr>
      <w:r>
        <w:rPr>
          <w:rFonts w:hint="eastAsia"/>
          <w:lang w:val="en-US" w:eastAsia="zh-CN"/>
        </w:rPr>
        <w:t>第</w:t>
      </w:r>
      <w:r w:rsidR="00EA3BEA" w:rsidRPr="005F0BAD">
        <w:rPr>
          <w:lang w:val="en-US" w:eastAsia="zh-CN"/>
        </w:rPr>
        <w:t>610</w:t>
      </w:r>
      <w:r>
        <w:rPr>
          <w:rFonts w:hint="eastAsia"/>
          <w:lang w:val="en-US" w:eastAsia="zh-CN"/>
        </w:rPr>
        <w:t>号决定</w:t>
      </w:r>
      <w:r w:rsidR="00EA3BEA">
        <w:rPr>
          <w:lang w:val="en-US" w:eastAsia="zh-CN"/>
        </w:rPr>
        <w:tab/>
      </w:r>
      <w:r w:rsidR="00EA3BEA">
        <w:rPr>
          <w:rFonts w:hint="eastAsia"/>
          <w:lang w:eastAsia="zh-CN"/>
        </w:rPr>
        <w:t>下届例行的全权代表大会的召开</w:t>
      </w:r>
      <w:r w:rsidR="00EA3BEA" w:rsidRPr="005F0BAD">
        <w:rPr>
          <w:lang w:val="en-US" w:eastAsia="zh-CN"/>
        </w:rPr>
        <w:tab/>
      </w:r>
      <w:r>
        <w:rPr>
          <w:lang w:val="en-US" w:eastAsia="zh-CN"/>
        </w:rPr>
        <w:tab/>
      </w:r>
      <w:r w:rsidR="00EA3BEA" w:rsidRPr="005F0BAD">
        <w:rPr>
          <w:lang w:val="en-US" w:eastAsia="zh-CN"/>
        </w:rPr>
        <w:t>3.3</w:t>
      </w:r>
    </w:p>
    <w:p w14:paraId="4827C4E3" w14:textId="77777777" w:rsidR="00EA3BEA" w:rsidRPr="005F0BAD" w:rsidRDefault="004672AA" w:rsidP="00EA3BEA">
      <w:pPr>
        <w:pStyle w:val="Appendixref"/>
        <w:rPr>
          <w:lang w:val="en-US" w:eastAsia="zh-CN"/>
        </w:rPr>
      </w:pPr>
      <w:r>
        <w:rPr>
          <w:rFonts w:hint="eastAsia"/>
          <w:lang w:val="en-US" w:eastAsia="zh-CN"/>
        </w:rPr>
        <w:t>第</w:t>
      </w:r>
      <w:r w:rsidR="00EA3BEA" w:rsidRPr="005F0BAD">
        <w:rPr>
          <w:lang w:val="en-US" w:eastAsia="zh-CN"/>
        </w:rPr>
        <w:t>611</w:t>
      </w:r>
      <w:r>
        <w:rPr>
          <w:rFonts w:hint="eastAsia"/>
          <w:lang w:val="en-US" w:eastAsia="zh-CN"/>
        </w:rPr>
        <w:t>号决定</w:t>
      </w:r>
      <w:r w:rsidR="00EA3BEA">
        <w:rPr>
          <w:lang w:val="en-US" w:eastAsia="zh-CN"/>
        </w:rPr>
        <w:tab/>
      </w:r>
      <w:r w:rsidR="00EA3BEA" w:rsidRPr="00C732E9">
        <w:rPr>
          <w:rFonts w:hint="eastAsia"/>
          <w:lang w:eastAsia="zh-CN"/>
        </w:rPr>
        <w:t>第六届世界电信</w:t>
      </w:r>
      <w:r w:rsidR="00EA3BEA" w:rsidRPr="00C732E9">
        <w:rPr>
          <w:rFonts w:hint="eastAsia"/>
          <w:lang w:eastAsia="zh-CN"/>
        </w:rPr>
        <w:t>/</w:t>
      </w:r>
      <w:r w:rsidR="00EA3BEA" w:rsidRPr="00C732E9">
        <w:rPr>
          <w:rFonts w:hint="eastAsia"/>
          <w:lang w:eastAsia="zh-CN"/>
        </w:rPr>
        <w:t>信息通信技术政策论坛</w:t>
      </w:r>
      <w:r w:rsidR="00EA3BEA" w:rsidRPr="005F0BAD">
        <w:rPr>
          <w:lang w:val="en-US" w:eastAsia="zh-CN"/>
        </w:rPr>
        <w:tab/>
      </w:r>
      <w:r>
        <w:rPr>
          <w:lang w:val="en-US" w:eastAsia="zh-CN"/>
        </w:rPr>
        <w:tab/>
      </w:r>
      <w:r w:rsidR="00EA3BEA" w:rsidRPr="005F0BAD">
        <w:rPr>
          <w:lang w:val="en-US" w:eastAsia="zh-CN"/>
        </w:rPr>
        <w:t>3.4</w:t>
      </w:r>
    </w:p>
    <w:p w14:paraId="4827C4E4" w14:textId="3417FEF6" w:rsidR="00EA3BEA" w:rsidRPr="005F0BAD" w:rsidRDefault="004672AA" w:rsidP="004672AA">
      <w:pPr>
        <w:pStyle w:val="Appendixref"/>
        <w:rPr>
          <w:lang w:val="en-US" w:eastAsia="zh-CN"/>
        </w:rPr>
      </w:pPr>
      <w:r>
        <w:rPr>
          <w:rFonts w:hint="eastAsia"/>
          <w:lang w:val="en-US" w:eastAsia="zh-CN"/>
        </w:rPr>
        <w:t>第</w:t>
      </w:r>
      <w:r w:rsidR="00EA3BEA" w:rsidRPr="005F0BAD">
        <w:rPr>
          <w:lang w:val="en-US" w:eastAsia="zh-CN"/>
        </w:rPr>
        <w:t>612</w:t>
      </w:r>
      <w:r>
        <w:rPr>
          <w:rFonts w:hint="eastAsia"/>
          <w:lang w:val="en-US" w:eastAsia="zh-CN"/>
        </w:rPr>
        <w:t>号决定</w:t>
      </w:r>
      <w:r w:rsidR="00EA3BEA">
        <w:rPr>
          <w:lang w:val="en-US" w:eastAsia="zh-CN"/>
        </w:rPr>
        <w:tab/>
      </w:r>
      <w:r w:rsidRPr="004672AA">
        <w:rPr>
          <w:rFonts w:hint="eastAsia"/>
          <w:lang w:val="en-US" w:eastAsia="zh-CN"/>
        </w:rPr>
        <w:t>理事会</w:t>
      </w:r>
      <w:r w:rsidRPr="004672AA">
        <w:rPr>
          <w:lang w:val="en-US" w:eastAsia="zh-CN"/>
        </w:rPr>
        <w:t>2020</w:t>
      </w:r>
      <w:r w:rsidRPr="004672AA">
        <w:rPr>
          <w:rFonts w:hint="eastAsia"/>
          <w:lang w:val="en-US" w:eastAsia="zh-CN"/>
        </w:rPr>
        <w:t>、</w:t>
      </w:r>
      <w:r w:rsidRPr="004672AA">
        <w:rPr>
          <w:lang w:val="en-US" w:eastAsia="zh-CN"/>
        </w:rPr>
        <w:t>2021</w:t>
      </w:r>
      <w:r w:rsidRPr="004672AA">
        <w:rPr>
          <w:rFonts w:hint="eastAsia"/>
          <w:lang w:val="en-US" w:eastAsia="zh-CN"/>
        </w:rPr>
        <w:t>和</w:t>
      </w:r>
      <w:r w:rsidRPr="004672AA">
        <w:rPr>
          <w:lang w:val="en-US" w:eastAsia="zh-CN"/>
        </w:rPr>
        <w:t>20</w:t>
      </w:r>
      <w:r w:rsidRPr="004672AA">
        <w:rPr>
          <w:rFonts w:hint="eastAsia"/>
          <w:lang w:val="en-US" w:eastAsia="zh-CN"/>
        </w:rPr>
        <w:t>22</w:t>
      </w:r>
      <w:r w:rsidRPr="004672AA">
        <w:rPr>
          <w:rFonts w:hint="eastAsia"/>
          <w:lang w:val="en-US" w:eastAsia="zh-CN"/>
        </w:rPr>
        <w:t>年会议的日期和会期</w:t>
      </w:r>
      <w:r w:rsidR="00EA3BEA" w:rsidRPr="005F0BAD">
        <w:rPr>
          <w:lang w:val="en-US" w:eastAsia="zh-CN"/>
        </w:rPr>
        <w:tab/>
      </w:r>
      <w:r>
        <w:rPr>
          <w:lang w:val="en-US" w:eastAsia="zh-CN"/>
        </w:rPr>
        <w:tab/>
      </w:r>
      <w:r w:rsidR="007A3DFD">
        <w:rPr>
          <w:rFonts w:hint="eastAsia"/>
          <w:lang w:val="en-US" w:eastAsia="zh-CN"/>
        </w:rPr>
        <w:t>2021</w:t>
      </w:r>
      <w:r w:rsidR="007A3DFD">
        <w:rPr>
          <w:rFonts w:hint="eastAsia"/>
          <w:lang w:val="en-US" w:eastAsia="zh-CN"/>
        </w:rPr>
        <w:t>年</w:t>
      </w:r>
    </w:p>
    <w:p w14:paraId="4827C4E5" w14:textId="77777777" w:rsidR="00EA3BEA" w:rsidRPr="005F0BAD" w:rsidRDefault="004672AA" w:rsidP="004672AA">
      <w:pPr>
        <w:pStyle w:val="Appendixref"/>
        <w:rPr>
          <w:lang w:val="en-US" w:eastAsia="zh-CN"/>
        </w:rPr>
      </w:pPr>
      <w:r>
        <w:rPr>
          <w:rFonts w:hint="eastAsia"/>
          <w:lang w:val="en-US" w:eastAsia="zh-CN"/>
        </w:rPr>
        <w:t>第</w:t>
      </w:r>
      <w:r w:rsidR="00EA3BEA" w:rsidRPr="005F0BAD">
        <w:rPr>
          <w:lang w:val="en-US" w:eastAsia="zh-CN"/>
        </w:rPr>
        <w:t>613</w:t>
      </w:r>
      <w:r>
        <w:rPr>
          <w:rFonts w:hint="eastAsia"/>
          <w:lang w:val="en-US" w:eastAsia="zh-CN"/>
        </w:rPr>
        <w:t>号决定</w:t>
      </w:r>
      <w:r w:rsidR="00EA3BEA">
        <w:rPr>
          <w:lang w:val="en-US" w:eastAsia="zh-CN"/>
        </w:rPr>
        <w:tab/>
      </w:r>
      <w:r w:rsidRPr="004672AA">
        <w:rPr>
          <w:rFonts w:hint="eastAsia"/>
          <w:lang w:val="en-US" w:eastAsia="zh-CN"/>
        </w:rPr>
        <w:t>在一家区域代表处发生欺诈案之后进行的普通审计</w:t>
      </w:r>
      <w:r w:rsidR="00EA3BEA" w:rsidRPr="005F0BAD">
        <w:rPr>
          <w:lang w:val="en-US" w:eastAsia="zh-CN"/>
        </w:rPr>
        <w:tab/>
      </w:r>
      <w:r>
        <w:rPr>
          <w:lang w:val="en-US" w:eastAsia="zh-CN"/>
        </w:rPr>
        <w:tab/>
      </w:r>
      <w:r w:rsidR="00EA3BEA" w:rsidRPr="005F0BAD">
        <w:rPr>
          <w:lang w:val="en-US" w:eastAsia="zh-CN"/>
        </w:rPr>
        <w:t>1.2</w:t>
      </w:r>
    </w:p>
    <w:p w14:paraId="4827C4E6" w14:textId="77777777" w:rsidR="00EA3BEA" w:rsidRPr="005F0BAD" w:rsidRDefault="004672AA" w:rsidP="004672AA">
      <w:pPr>
        <w:pStyle w:val="Appendixref"/>
        <w:rPr>
          <w:lang w:val="en-US" w:eastAsia="zh-CN"/>
        </w:rPr>
      </w:pPr>
      <w:r>
        <w:rPr>
          <w:rFonts w:hint="eastAsia"/>
          <w:lang w:val="en-US" w:eastAsia="zh-CN"/>
        </w:rPr>
        <w:t>第</w:t>
      </w:r>
      <w:r w:rsidR="00EA3BEA" w:rsidRPr="005F0BAD">
        <w:rPr>
          <w:lang w:val="en-US" w:eastAsia="zh-CN"/>
        </w:rPr>
        <w:t>614</w:t>
      </w:r>
      <w:r>
        <w:rPr>
          <w:rFonts w:hint="eastAsia"/>
          <w:lang w:val="en-US" w:eastAsia="zh-CN"/>
        </w:rPr>
        <w:t>号决定</w:t>
      </w:r>
      <w:r w:rsidR="00EA3BEA">
        <w:rPr>
          <w:lang w:val="en-US" w:eastAsia="zh-CN"/>
        </w:rPr>
        <w:tab/>
      </w:r>
      <w:r w:rsidRPr="0065618D">
        <w:rPr>
          <w:rFonts w:cs="Calibri" w:hint="eastAsia"/>
          <w:lang w:eastAsia="zh-CN"/>
        </w:rPr>
        <w:t>对国际电联</w:t>
      </w:r>
      <w:r>
        <w:rPr>
          <w:rFonts w:cs="Calibri" w:hint="eastAsia"/>
          <w:lang w:eastAsia="zh-CN"/>
        </w:rPr>
        <w:t>账</w:t>
      </w:r>
      <w:r w:rsidRPr="0065618D">
        <w:rPr>
          <w:rFonts w:cs="Calibri" w:hint="eastAsia"/>
          <w:lang w:eastAsia="zh-CN"/>
        </w:rPr>
        <w:t>目的审计</w:t>
      </w:r>
      <w:r w:rsidR="00EA3BEA" w:rsidRPr="005F0BAD">
        <w:rPr>
          <w:lang w:val="en-US" w:eastAsia="zh-CN"/>
        </w:rPr>
        <w:tab/>
      </w:r>
      <w:r>
        <w:rPr>
          <w:lang w:val="en-US" w:eastAsia="zh-CN"/>
        </w:rPr>
        <w:tab/>
      </w:r>
      <w:r w:rsidR="00EA3BEA" w:rsidRPr="005F0BAD">
        <w:rPr>
          <w:lang w:val="en-US" w:eastAsia="zh-CN"/>
        </w:rPr>
        <w:t>1.2</w:t>
      </w:r>
    </w:p>
    <w:p w14:paraId="4827C4E7" w14:textId="77777777" w:rsidR="00EA3BEA" w:rsidRPr="005F0BAD" w:rsidRDefault="004672AA" w:rsidP="004672AA">
      <w:pPr>
        <w:pStyle w:val="Appendixref"/>
        <w:rPr>
          <w:lang w:val="en-US" w:eastAsia="zh-CN"/>
        </w:rPr>
      </w:pPr>
      <w:r>
        <w:rPr>
          <w:rFonts w:hint="eastAsia"/>
          <w:lang w:val="en-US" w:eastAsia="zh-CN"/>
        </w:rPr>
        <w:t>第</w:t>
      </w:r>
      <w:r w:rsidR="00EA3BEA" w:rsidRPr="005F0BAD">
        <w:rPr>
          <w:lang w:val="en-US" w:eastAsia="zh-CN"/>
        </w:rPr>
        <w:t>615</w:t>
      </w:r>
      <w:r>
        <w:rPr>
          <w:rFonts w:hint="eastAsia"/>
          <w:lang w:val="en-US" w:eastAsia="zh-CN"/>
        </w:rPr>
        <w:t>号决定</w:t>
      </w:r>
      <w:r w:rsidR="00EA3BEA">
        <w:rPr>
          <w:lang w:val="en-US" w:eastAsia="zh-CN"/>
        </w:rPr>
        <w:tab/>
      </w:r>
      <w:r w:rsidRPr="00ED742F">
        <w:rPr>
          <w:rFonts w:hint="eastAsia"/>
          <w:lang w:eastAsia="zh-CN"/>
        </w:rPr>
        <w:t>独立管理顾问委员会（</w:t>
      </w:r>
      <w:r w:rsidRPr="00ED742F">
        <w:rPr>
          <w:rFonts w:hint="eastAsia"/>
          <w:lang w:eastAsia="zh-CN"/>
        </w:rPr>
        <w:t>I</w:t>
      </w:r>
      <w:r w:rsidRPr="00ED742F">
        <w:rPr>
          <w:lang w:eastAsia="zh-CN"/>
        </w:rPr>
        <w:t>MAC</w:t>
      </w:r>
      <w:r w:rsidRPr="00ED742F">
        <w:rPr>
          <w:rFonts w:hint="eastAsia"/>
          <w:lang w:eastAsia="zh-CN"/>
        </w:rPr>
        <w:t>）委员的任命</w:t>
      </w:r>
      <w:r w:rsidR="00EA3BEA" w:rsidRPr="005F0BAD">
        <w:rPr>
          <w:lang w:val="en-US" w:eastAsia="zh-CN"/>
        </w:rPr>
        <w:tab/>
      </w:r>
      <w:r>
        <w:rPr>
          <w:lang w:val="en-US" w:eastAsia="zh-CN"/>
        </w:rPr>
        <w:tab/>
      </w:r>
      <w:r w:rsidR="00EA3BEA" w:rsidRPr="005F0BAD">
        <w:rPr>
          <w:lang w:val="en-US" w:eastAsia="zh-CN"/>
        </w:rPr>
        <w:t>1.2</w:t>
      </w:r>
    </w:p>
    <w:p w14:paraId="4827C4E8" w14:textId="77777777" w:rsidR="00EA3BEA" w:rsidRPr="005F0BAD" w:rsidRDefault="004672AA" w:rsidP="004672AA">
      <w:pPr>
        <w:pStyle w:val="Appendixref"/>
        <w:rPr>
          <w:lang w:val="en-US" w:eastAsia="zh-CN"/>
        </w:rPr>
      </w:pPr>
      <w:r>
        <w:rPr>
          <w:rFonts w:hint="eastAsia"/>
          <w:lang w:val="en-US" w:eastAsia="zh-CN"/>
        </w:rPr>
        <w:t>第</w:t>
      </w:r>
      <w:r w:rsidR="00EA3BEA" w:rsidRPr="005F0BAD">
        <w:rPr>
          <w:lang w:val="en-US" w:eastAsia="zh-CN"/>
        </w:rPr>
        <w:t>616</w:t>
      </w:r>
      <w:r>
        <w:rPr>
          <w:rFonts w:hint="eastAsia"/>
          <w:lang w:val="en-US" w:eastAsia="zh-CN"/>
        </w:rPr>
        <w:t>号决定</w:t>
      </w:r>
      <w:r w:rsidR="00EA3BEA">
        <w:rPr>
          <w:lang w:val="en-US" w:eastAsia="zh-CN"/>
        </w:rPr>
        <w:tab/>
      </w:r>
      <w:r w:rsidRPr="00ED742F">
        <w:rPr>
          <w:rFonts w:hint="eastAsia"/>
          <w:lang w:eastAsia="zh-CN"/>
        </w:rPr>
        <w:t>区域代表处</w:t>
      </w:r>
      <w:r w:rsidR="00EA3BEA" w:rsidRPr="005F0BAD">
        <w:rPr>
          <w:lang w:val="en-US" w:eastAsia="zh-CN"/>
        </w:rPr>
        <w:tab/>
      </w:r>
      <w:r>
        <w:rPr>
          <w:lang w:val="en-US" w:eastAsia="zh-CN"/>
        </w:rPr>
        <w:tab/>
      </w:r>
      <w:r w:rsidR="00EA3BEA" w:rsidRPr="005F0BAD">
        <w:rPr>
          <w:lang w:val="en-US" w:eastAsia="zh-CN"/>
        </w:rPr>
        <w:t>5.4</w:t>
      </w:r>
    </w:p>
    <w:p w14:paraId="4827C4E9" w14:textId="7E3B760B" w:rsidR="00EA3BEA" w:rsidRPr="005F0BAD" w:rsidRDefault="004672AA" w:rsidP="004672AA">
      <w:pPr>
        <w:pStyle w:val="Appendixref"/>
        <w:rPr>
          <w:lang w:val="en-US" w:eastAsia="zh-CN"/>
        </w:rPr>
      </w:pPr>
      <w:r>
        <w:rPr>
          <w:rFonts w:hint="eastAsia"/>
          <w:lang w:val="en-US" w:eastAsia="zh-CN"/>
        </w:rPr>
        <w:t>第</w:t>
      </w:r>
      <w:r w:rsidR="00EA3BEA" w:rsidRPr="005F0BAD">
        <w:rPr>
          <w:lang w:val="en-US" w:eastAsia="zh-CN"/>
        </w:rPr>
        <w:t>617</w:t>
      </w:r>
      <w:r>
        <w:rPr>
          <w:rFonts w:hint="eastAsia"/>
          <w:lang w:val="en-US" w:eastAsia="zh-CN"/>
        </w:rPr>
        <w:t>号决定</w:t>
      </w:r>
      <w:r w:rsidR="00EA3BEA">
        <w:rPr>
          <w:lang w:val="en-US" w:eastAsia="zh-CN"/>
        </w:rPr>
        <w:tab/>
      </w:r>
      <w:r w:rsidRPr="00E00C83">
        <w:rPr>
          <w:lang w:eastAsia="zh-CN"/>
        </w:rPr>
        <w:t>理事会</w:t>
      </w:r>
      <w:r w:rsidRPr="00E00C83">
        <w:rPr>
          <w:rFonts w:hint="eastAsia"/>
          <w:lang w:eastAsia="zh-CN"/>
        </w:rPr>
        <w:t>2019</w:t>
      </w:r>
      <w:r w:rsidRPr="00E00C83">
        <w:rPr>
          <w:rFonts w:hint="eastAsia"/>
          <w:lang w:eastAsia="zh-CN"/>
        </w:rPr>
        <w:t>年增开会议</w:t>
      </w:r>
      <w:r w:rsidRPr="00E00C83">
        <w:rPr>
          <w:lang w:eastAsia="zh-CN"/>
        </w:rPr>
        <w:t>的日期和</w:t>
      </w:r>
      <w:r w:rsidRPr="00E00C83">
        <w:rPr>
          <w:rFonts w:hint="eastAsia"/>
          <w:lang w:eastAsia="zh-CN"/>
        </w:rPr>
        <w:t>会期</w:t>
      </w:r>
      <w:r w:rsidR="00EA3BEA" w:rsidRPr="005F0BAD">
        <w:rPr>
          <w:lang w:val="en-US" w:eastAsia="zh-CN"/>
        </w:rPr>
        <w:tab/>
      </w:r>
      <w:r>
        <w:rPr>
          <w:lang w:val="en-US" w:eastAsia="zh-CN"/>
        </w:rPr>
        <w:tab/>
      </w:r>
      <w:r w:rsidR="007A3DFD">
        <w:rPr>
          <w:rFonts w:hint="eastAsia"/>
          <w:lang w:val="en-US" w:eastAsia="zh-CN"/>
        </w:rPr>
        <w:t>2021</w:t>
      </w:r>
      <w:r w:rsidR="007A3DFD">
        <w:rPr>
          <w:rFonts w:hint="eastAsia"/>
          <w:lang w:val="en-US" w:eastAsia="zh-CN"/>
        </w:rPr>
        <w:t>年</w:t>
      </w:r>
    </w:p>
    <w:p w14:paraId="4827C4EA" w14:textId="23F7CB83" w:rsidR="00EA3BEA" w:rsidRPr="005F0BAD" w:rsidRDefault="004672AA" w:rsidP="004672AA">
      <w:pPr>
        <w:pStyle w:val="Appendixref"/>
        <w:rPr>
          <w:lang w:val="en-US" w:eastAsia="zh-CN"/>
        </w:rPr>
      </w:pPr>
      <w:r>
        <w:rPr>
          <w:rFonts w:hint="eastAsia"/>
          <w:lang w:val="en-US" w:eastAsia="zh-CN"/>
        </w:rPr>
        <w:t>第</w:t>
      </w:r>
      <w:r w:rsidR="00EA3BEA" w:rsidRPr="005F0BAD">
        <w:rPr>
          <w:lang w:val="en-US" w:eastAsia="zh-CN"/>
        </w:rPr>
        <w:t>618</w:t>
      </w:r>
      <w:r>
        <w:rPr>
          <w:rFonts w:hint="eastAsia"/>
          <w:lang w:val="en-US" w:eastAsia="zh-CN"/>
        </w:rPr>
        <w:t>号决定</w:t>
      </w:r>
      <w:r w:rsidR="00EA3BEA">
        <w:rPr>
          <w:lang w:val="en-US" w:eastAsia="zh-CN"/>
        </w:rPr>
        <w:tab/>
      </w:r>
      <w:r w:rsidRPr="00ED742F">
        <w:rPr>
          <w:rFonts w:hint="eastAsia"/>
          <w:lang w:eastAsia="zh-CN"/>
        </w:rPr>
        <w:t>欠款利息和不可回收债务的注销</w:t>
      </w:r>
      <w:r w:rsidR="00EA3BEA" w:rsidRPr="005F0BAD">
        <w:rPr>
          <w:lang w:val="en-US" w:eastAsia="zh-CN"/>
        </w:rPr>
        <w:tab/>
      </w:r>
      <w:r>
        <w:rPr>
          <w:lang w:val="en-US" w:eastAsia="zh-CN"/>
        </w:rPr>
        <w:tab/>
      </w:r>
      <w:r w:rsidR="007A3DFD">
        <w:rPr>
          <w:rFonts w:hint="eastAsia"/>
          <w:lang w:val="en-US" w:eastAsia="zh-CN"/>
        </w:rPr>
        <w:t>2021</w:t>
      </w:r>
      <w:r w:rsidR="007A3DFD">
        <w:rPr>
          <w:rFonts w:hint="eastAsia"/>
          <w:lang w:val="en-US" w:eastAsia="zh-CN"/>
        </w:rPr>
        <w:t>年</w:t>
      </w:r>
    </w:p>
    <w:p w14:paraId="4827C4EB" w14:textId="77777777" w:rsidR="003F2490" w:rsidRDefault="003F2490" w:rsidP="003F2490">
      <w:pPr>
        <w:pStyle w:val="Reftitle"/>
        <w:rPr>
          <w:sz w:val="20"/>
          <w:szCs w:val="28"/>
          <w:lang w:eastAsia="zh-CN"/>
        </w:rPr>
      </w:pPr>
      <w:r w:rsidRPr="006D0EE6">
        <w:rPr>
          <w:rFonts w:hint="eastAsia"/>
          <w:lang w:eastAsia="zh-CN"/>
        </w:rPr>
        <w:t>20</w:t>
      </w:r>
      <w:r>
        <w:rPr>
          <w:rFonts w:hint="eastAsia"/>
          <w:lang w:eastAsia="zh-CN"/>
        </w:rPr>
        <w:t>1</w:t>
      </w:r>
      <w:r>
        <w:rPr>
          <w:lang w:eastAsia="zh-CN"/>
        </w:rPr>
        <w:t>9</w:t>
      </w:r>
      <w:r w:rsidRPr="006D0EE6">
        <w:rPr>
          <w:rFonts w:hint="eastAsia"/>
          <w:lang w:eastAsia="zh-CN"/>
        </w:rPr>
        <w:t>年</w:t>
      </w:r>
      <w:r>
        <w:rPr>
          <w:rFonts w:hint="eastAsia"/>
          <w:lang w:eastAsia="zh-CN"/>
        </w:rPr>
        <w:t>增开</w:t>
      </w:r>
      <w:r w:rsidRPr="006D0EE6">
        <w:rPr>
          <w:rFonts w:hint="eastAsia"/>
          <w:lang w:eastAsia="zh-CN"/>
        </w:rPr>
        <w:t>会议（</w:t>
      </w:r>
      <w:r>
        <w:rPr>
          <w:rFonts w:hint="eastAsia"/>
          <w:lang w:eastAsia="zh-CN"/>
        </w:rPr>
        <w:t>201</w:t>
      </w:r>
      <w:r>
        <w:rPr>
          <w:lang w:eastAsia="zh-CN"/>
        </w:rPr>
        <w:t>9</w:t>
      </w:r>
      <w:r w:rsidRPr="006D0EE6">
        <w:rPr>
          <w:rFonts w:hint="eastAsia"/>
          <w:lang w:eastAsia="zh-CN"/>
        </w:rPr>
        <w:t>年</w:t>
      </w:r>
      <w:r>
        <w:rPr>
          <w:lang w:eastAsia="zh-CN"/>
        </w:rPr>
        <w:t>9</w:t>
      </w:r>
      <w:r w:rsidRPr="006D0EE6">
        <w:rPr>
          <w:rFonts w:hint="eastAsia"/>
          <w:lang w:eastAsia="zh-CN"/>
        </w:rPr>
        <w:t>月</w:t>
      </w:r>
      <w:r>
        <w:rPr>
          <w:rFonts w:hint="eastAsia"/>
          <w:lang w:eastAsia="zh-CN"/>
        </w:rPr>
        <w:t>27</w:t>
      </w:r>
      <w:r w:rsidRPr="006D0EE6">
        <w:rPr>
          <w:rFonts w:hint="eastAsia"/>
          <w:lang w:eastAsia="zh-CN"/>
        </w:rPr>
        <w:t>日）</w:t>
      </w:r>
    </w:p>
    <w:p w14:paraId="4827C4EC" w14:textId="77777777" w:rsidR="003F2490" w:rsidRPr="00B42442" w:rsidRDefault="003F2490" w:rsidP="003F2490">
      <w:pPr>
        <w:pStyle w:val="Appendixref"/>
        <w:rPr>
          <w:lang w:eastAsia="zh-CN"/>
        </w:rPr>
      </w:pPr>
      <w:r w:rsidRPr="00B42442">
        <w:rPr>
          <w:rFonts w:hint="eastAsia"/>
          <w:lang w:eastAsia="zh-CN"/>
        </w:rPr>
        <w:t>第</w:t>
      </w:r>
      <w:r>
        <w:rPr>
          <w:lang w:eastAsia="zh-CN"/>
        </w:rPr>
        <w:t>619</w:t>
      </w:r>
      <w:r w:rsidRPr="00B42442">
        <w:rPr>
          <w:lang w:eastAsia="zh-CN"/>
        </w:rPr>
        <w:t>号决</w:t>
      </w:r>
      <w:r w:rsidRPr="00B42442">
        <w:rPr>
          <w:rFonts w:hint="eastAsia"/>
          <w:lang w:eastAsia="zh-CN"/>
        </w:rPr>
        <w:t>定</w:t>
      </w:r>
      <w:r w:rsidRPr="00B42442">
        <w:rPr>
          <w:lang w:eastAsia="zh-CN"/>
        </w:rPr>
        <w:tab/>
      </w:r>
      <w:r>
        <w:rPr>
          <w:rFonts w:hint="eastAsia"/>
          <w:lang w:eastAsia="zh-CN"/>
        </w:rPr>
        <w:t>总部办公场所</w:t>
      </w:r>
      <w:r w:rsidRPr="00B42442">
        <w:rPr>
          <w:lang w:eastAsia="zh-CN"/>
        </w:rPr>
        <w:tab/>
      </w:r>
      <w:r>
        <w:rPr>
          <w:lang w:eastAsia="zh-CN"/>
        </w:rPr>
        <w:tab/>
      </w:r>
      <w:r>
        <w:rPr>
          <w:rFonts w:hint="eastAsia"/>
          <w:lang w:eastAsia="zh-CN"/>
        </w:rPr>
        <w:t>7</w:t>
      </w:r>
      <w:r w:rsidRPr="00B42442">
        <w:rPr>
          <w:lang w:eastAsia="zh-CN"/>
        </w:rPr>
        <w:t>.</w:t>
      </w:r>
      <w:r>
        <w:rPr>
          <w:rFonts w:hint="eastAsia"/>
          <w:lang w:eastAsia="zh-CN"/>
        </w:rPr>
        <w:t>1</w:t>
      </w:r>
    </w:p>
    <w:p w14:paraId="15A63DF0" w14:textId="7DBEAA34" w:rsidR="00FB2114" w:rsidRPr="00D51C74" w:rsidRDefault="00FB2114" w:rsidP="00A93017">
      <w:pPr>
        <w:pStyle w:val="Reftitle"/>
        <w:spacing w:after="120"/>
        <w:rPr>
          <w:b w:val="0"/>
          <w:szCs w:val="22"/>
          <w:lang w:eastAsia="zh-CN"/>
        </w:rPr>
      </w:pPr>
      <w:bookmarkStart w:id="2904" w:name="_Hlk59010021"/>
      <w:r w:rsidRPr="00D51C74">
        <w:rPr>
          <w:szCs w:val="22"/>
          <w:lang w:eastAsia="zh-CN"/>
        </w:rPr>
        <w:t>2020</w:t>
      </w:r>
      <w:r w:rsidR="00D37CB6">
        <w:rPr>
          <w:rFonts w:hint="eastAsia"/>
          <w:szCs w:val="22"/>
          <w:lang w:eastAsia="zh-CN"/>
        </w:rPr>
        <w:t>年</w:t>
      </w:r>
      <w:r w:rsidR="00210CD7">
        <w:rPr>
          <w:rFonts w:hint="eastAsia"/>
          <w:szCs w:val="22"/>
          <w:lang w:eastAsia="zh-CN"/>
        </w:rPr>
        <w:t>（</w:t>
      </w:r>
      <w:r w:rsidR="00210CD7" w:rsidRPr="00210CD7">
        <w:rPr>
          <w:rFonts w:hint="eastAsia"/>
          <w:szCs w:val="22"/>
          <w:lang w:eastAsia="zh-CN"/>
        </w:rPr>
        <w:t>继理事磋商会虚拟会议之后，以信函方式</w:t>
      </w:r>
      <w:r w:rsidR="006D4950" w:rsidRPr="006D4950">
        <w:rPr>
          <w:rFonts w:hint="eastAsia"/>
          <w:szCs w:val="22"/>
          <w:lang w:eastAsia="zh-CN"/>
        </w:rPr>
        <w:t>通过</w:t>
      </w:r>
      <w:r w:rsidR="00210CD7">
        <w:rPr>
          <w:rFonts w:hint="eastAsia"/>
          <w:szCs w:val="22"/>
          <w:lang w:eastAsia="zh-CN"/>
        </w:rPr>
        <w:t>）</w:t>
      </w:r>
      <w:r>
        <w:rPr>
          <w:szCs w:val="22"/>
          <w:lang w:eastAsia="zh-CN"/>
        </w:rPr>
        <w:br/>
      </w:r>
      <w:r w:rsidR="00210CD7">
        <w:rPr>
          <w:rFonts w:hint="eastAsia"/>
          <w:szCs w:val="22"/>
          <w:lang w:eastAsia="zh-CN"/>
        </w:rPr>
        <w:t>（</w:t>
      </w:r>
      <w:r w:rsidR="00210CD7" w:rsidRPr="00210CD7">
        <w:rPr>
          <w:rFonts w:hint="eastAsia"/>
          <w:szCs w:val="22"/>
          <w:lang w:eastAsia="zh-CN"/>
        </w:rPr>
        <w:t>2020</w:t>
      </w:r>
      <w:r w:rsidR="00210CD7" w:rsidRPr="00210CD7">
        <w:rPr>
          <w:rFonts w:hint="eastAsia"/>
          <w:szCs w:val="22"/>
          <w:lang w:eastAsia="zh-CN"/>
        </w:rPr>
        <w:t>年</w:t>
      </w:r>
      <w:r w:rsidR="00210CD7" w:rsidRPr="00210CD7">
        <w:rPr>
          <w:rFonts w:hint="eastAsia"/>
          <w:szCs w:val="22"/>
          <w:lang w:eastAsia="zh-CN"/>
        </w:rPr>
        <w:t>6</w:t>
      </w:r>
      <w:r w:rsidR="00210CD7" w:rsidRPr="00210CD7">
        <w:rPr>
          <w:rFonts w:hint="eastAsia"/>
          <w:szCs w:val="22"/>
          <w:lang w:eastAsia="zh-CN"/>
        </w:rPr>
        <w:t>月</w:t>
      </w:r>
      <w:r w:rsidR="00210CD7" w:rsidRPr="00210CD7">
        <w:rPr>
          <w:rFonts w:hint="eastAsia"/>
          <w:szCs w:val="22"/>
          <w:lang w:eastAsia="zh-CN"/>
        </w:rPr>
        <w:t>9-12</w:t>
      </w:r>
      <w:r w:rsidR="00210CD7" w:rsidRPr="00210CD7">
        <w:rPr>
          <w:rFonts w:hint="eastAsia"/>
          <w:szCs w:val="22"/>
          <w:lang w:eastAsia="zh-CN"/>
        </w:rPr>
        <w:t>日和</w:t>
      </w:r>
      <w:r w:rsidR="00210CD7" w:rsidRPr="00210CD7">
        <w:rPr>
          <w:rFonts w:hint="eastAsia"/>
          <w:szCs w:val="22"/>
          <w:lang w:eastAsia="zh-CN"/>
        </w:rPr>
        <w:t>2020</w:t>
      </w:r>
      <w:r w:rsidR="00210CD7" w:rsidRPr="00210CD7">
        <w:rPr>
          <w:rFonts w:hint="eastAsia"/>
          <w:szCs w:val="22"/>
          <w:lang w:eastAsia="zh-CN"/>
        </w:rPr>
        <w:t>年</w:t>
      </w:r>
      <w:r w:rsidR="00210CD7" w:rsidRPr="00210CD7">
        <w:rPr>
          <w:rFonts w:hint="eastAsia"/>
          <w:szCs w:val="22"/>
          <w:lang w:eastAsia="zh-CN"/>
        </w:rPr>
        <w:t>11</w:t>
      </w:r>
      <w:r w:rsidR="00210CD7" w:rsidRPr="00210CD7">
        <w:rPr>
          <w:rFonts w:hint="eastAsia"/>
          <w:szCs w:val="22"/>
          <w:lang w:eastAsia="zh-CN"/>
        </w:rPr>
        <w:t>月</w:t>
      </w:r>
      <w:r w:rsidR="00210CD7" w:rsidRPr="00210CD7">
        <w:rPr>
          <w:rFonts w:hint="eastAsia"/>
          <w:szCs w:val="22"/>
          <w:lang w:eastAsia="zh-CN"/>
        </w:rPr>
        <w:t>16-20</w:t>
      </w:r>
      <w:r w:rsidR="00210CD7" w:rsidRPr="00210CD7">
        <w:rPr>
          <w:rFonts w:hint="eastAsia"/>
          <w:szCs w:val="22"/>
          <w:lang w:eastAsia="zh-CN"/>
        </w:rPr>
        <w:t>日</w:t>
      </w:r>
      <w:r w:rsidR="00210CD7">
        <w:rPr>
          <w:rFonts w:hint="eastAsia"/>
          <w:szCs w:val="22"/>
          <w:lang w:eastAsia="zh-CN"/>
        </w:rPr>
        <w:t>）</w:t>
      </w:r>
    </w:p>
    <w:p w14:paraId="25A2DD1B" w14:textId="721BCED4" w:rsidR="00FB2114" w:rsidRDefault="00FB2114" w:rsidP="00FB2114">
      <w:pPr>
        <w:pStyle w:val="Appendixref"/>
        <w:rPr>
          <w:lang w:eastAsia="zh-CN"/>
        </w:rPr>
      </w:pPr>
      <w:r>
        <w:rPr>
          <w:rFonts w:hint="eastAsia"/>
          <w:lang w:eastAsia="zh-CN"/>
        </w:rPr>
        <w:t>第</w:t>
      </w:r>
      <w:r w:rsidRPr="00D51C74">
        <w:rPr>
          <w:lang w:eastAsia="zh-CN"/>
        </w:rPr>
        <w:t>620</w:t>
      </w:r>
      <w:r>
        <w:rPr>
          <w:rFonts w:hint="eastAsia"/>
          <w:lang w:eastAsia="zh-CN"/>
        </w:rPr>
        <w:t>号决</w:t>
      </w:r>
      <w:r w:rsidR="00A93017">
        <w:rPr>
          <w:rFonts w:hint="eastAsia"/>
          <w:lang w:eastAsia="zh-CN"/>
        </w:rPr>
        <w:t>定</w:t>
      </w:r>
      <w:r w:rsidRPr="00D51C74">
        <w:rPr>
          <w:lang w:eastAsia="zh-CN"/>
        </w:rPr>
        <w:tab/>
      </w:r>
      <w:r>
        <w:rPr>
          <w:rFonts w:hint="eastAsia"/>
          <w:lang w:eastAsia="zh-CN"/>
        </w:rPr>
        <w:t>理事会</w:t>
      </w:r>
      <w:r>
        <w:rPr>
          <w:rFonts w:hint="eastAsia"/>
          <w:lang w:eastAsia="zh-CN"/>
        </w:rPr>
        <w:t>2021</w:t>
      </w:r>
      <w:r>
        <w:rPr>
          <w:rFonts w:hint="eastAsia"/>
          <w:lang w:eastAsia="zh-CN"/>
        </w:rPr>
        <w:t>、</w:t>
      </w:r>
      <w:r>
        <w:rPr>
          <w:rFonts w:hint="eastAsia"/>
          <w:lang w:eastAsia="zh-CN"/>
        </w:rPr>
        <w:t>2022</w:t>
      </w:r>
      <w:r>
        <w:rPr>
          <w:rFonts w:hint="eastAsia"/>
          <w:lang w:eastAsia="zh-CN"/>
        </w:rPr>
        <w:t>、</w:t>
      </w:r>
      <w:r>
        <w:rPr>
          <w:rFonts w:hint="eastAsia"/>
          <w:lang w:eastAsia="zh-CN"/>
        </w:rPr>
        <w:t>2023</w:t>
      </w:r>
      <w:r>
        <w:rPr>
          <w:rFonts w:hint="eastAsia"/>
          <w:lang w:eastAsia="zh-CN"/>
        </w:rPr>
        <w:t>、</w:t>
      </w:r>
      <w:r>
        <w:rPr>
          <w:rFonts w:hint="eastAsia"/>
          <w:lang w:eastAsia="zh-CN"/>
        </w:rPr>
        <w:t>2024</w:t>
      </w:r>
      <w:r>
        <w:rPr>
          <w:rFonts w:hint="eastAsia"/>
          <w:lang w:eastAsia="zh-CN"/>
        </w:rPr>
        <w:t>、</w:t>
      </w:r>
      <w:r>
        <w:rPr>
          <w:rFonts w:hint="eastAsia"/>
          <w:lang w:eastAsia="zh-CN"/>
        </w:rPr>
        <w:t>2025</w:t>
      </w:r>
      <w:r>
        <w:rPr>
          <w:rFonts w:hint="eastAsia"/>
          <w:lang w:eastAsia="zh-CN"/>
        </w:rPr>
        <w:t>和</w:t>
      </w:r>
      <w:r>
        <w:rPr>
          <w:rFonts w:hint="eastAsia"/>
          <w:lang w:eastAsia="zh-CN"/>
        </w:rPr>
        <w:t>2026</w:t>
      </w:r>
      <w:r>
        <w:rPr>
          <w:rFonts w:hint="eastAsia"/>
          <w:lang w:eastAsia="zh-CN"/>
        </w:rPr>
        <w:t>年会议以及</w:t>
      </w:r>
      <w:r>
        <w:rPr>
          <w:rFonts w:hint="eastAsia"/>
          <w:lang w:eastAsia="zh-CN"/>
        </w:rPr>
        <w:t>2020</w:t>
      </w:r>
      <w:r>
        <w:rPr>
          <w:rFonts w:hint="eastAsia"/>
          <w:lang w:eastAsia="zh-CN"/>
        </w:rPr>
        <w:t>、</w:t>
      </w:r>
      <w:r>
        <w:rPr>
          <w:rFonts w:hint="eastAsia"/>
          <w:lang w:eastAsia="zh-CN"/>
        </w:rPr>
        <w:t>2021</w:t>
      </w:r>
      <w:r>
        <w:rPr>
          <w:rFonts w:hint="eastAsia"/>
          <w:lang w:eastAsia="zh-CN"/>
        </w:rPr>
        <w:t>和</w:t>
      </w:r>
      <w:r>
        <w:rPr>
          <w:rFonts w:hint="eastAsia"/>
          <w:lang w:eastAsia="zh-CN"/>
        </w:rPr>
        <w:t>2022</w:t>
      </w:r>
      <w:r>
        <w:rPr>
          <w:rFonts w:hint="eastAsia"/>
          <w:lang w:eastAsia="zh-CN"/>
        </w:rPr>
        <w:t>年集中召开的理事会工作组和专家组会议的日期和会期</w:t>
      </w:r>
      <w:r w:rsidRPr="00D51C74">
        <w:rPr>
          <w:lang w:eastAsia="zh-CN"/>
        </w:rPr>
        <w:tab/>
      </w:r>
      <w:r w:rsidRPr="00D51C74">
        <w:rPr>
          <w:lang w:eastAsia="zh-CN"/>
        </w:rPr>
        <w:tab/>
      </w:r>
      <w:r w:rsidR="00756611">
        <w:rPr>
          <w:rFonts w:hint="eastAsia"/>
          <w:lang w:eastAsia="zh-CN"/>
        </w:rPr>
        <w:t>2021</w:t>
      </w:r>
    </w:p>
    <w:p w14:paraId="74092222" w14:textId="4419D331" w:rsidR="00FB2114" w:rsidRPr="00D51C74" w:rsidRDefault="00FB2114" w:rsidP="00FB2114">
      <w:pPr>
        <w:pStyle w:val="Appendixref"/>
        <w:rPr>
          <w:lang w:eastAsia="zh-CN"/>
        </w:rPr>
      </w:pPr>
      <w:r>
        <w:rPr>
          <w:rFonts w:hint="eastAsia"/>
          <w:lang w:eastAsia="zh-CN"/>
        </w:rPr>
        <w:t>第</w:t>
      </w:r>
      <w:r w:rsidRPr="00D51C74">
        <w:rPr>
          <w:lang w:eastAsia="zh-CN"/>
        </w:rPr>
        <w:t>62</w:t>
      </w:r>
      <w:r>
        <w:rPr>
          <w:rFonts w:hint="eastAsia"/>
          <w:lang w:eastAsia="zh-CN"/>
        </w:rPr>
        <w:t>1</w:t>
      </w:r>
      <w:r>
        <w:rPr>
          <w:rFonts w:hint="eastAsia"/>
          <w:lang w:eastAsia="zh-CN"/>
        </w:rPr>
        <w:t>号决</w:t>
      </w:r>
      <w:r w:rsidR="00A93017">
        <w:rPr>
          <w:rFonts w:hint="eastAsia"/>
          <w:lang w:eastAsia="zh-CN"/>
        </w:rPr>
        <w:t>定</w:t>
      </w:r>
      <w:r>
        <w:rPr>
          <w:lang w:eastAsia="zh-CN"/>
        </w:rPr>
        <w:tab/>
      </w:r>
      <w:r w:rsidR="00A11C8C" w:rsidRPr="00A11C8C">
        <w:rPr>
          <w:rFonts w:hint="eastAsia"/>
          <w:lang w:eastAsia="zh-CN"/>
        </w:rPr>
        <w:t>新外部审计员的任命</w:t>
      </w:r>
      <w:r w:rsidRPr="00D51C74">
        <w:rPr>
          <w:lang w:eastAsia="zh-CN"/>
        </w:rPr>
        <w:tab/>
      </w:r>
      <w:r w:rsidRPr="00D51C74">
        <w:rPr>
          <w:lang w:eastAsia="zh-CN"/>
        </w:rPr>
        <w:tab/>
        <w:t>1.2</w:t>
      </w:r>
    </w:p>
    <w:p w14:paraId="1D6F5D94" w14:textId="43DE17D6" w:rsidR="00FB2114" w:rsidRPr="00D51C74" w:rsidRDefault="00FB2114" w:rsidP="00FB2114">
      <w:pPr>
        <w:pStyle w:val="Appendixref"/>
        <w:rPr>
          <w:lang w:eastAsia="zh-CN"/>
        </w:rPr>
      </w:pPr>
      <w:r>
        <w:rPr>
          <w:rFonts w:hint="eastAsia"/>
          <w:lang w:eastAsia="zh-CN"/>
        </w:rPr>
        <w:t>第</w:t>
      </w:r>
      <w:r w:rsidRPr="00D51C74">
        <w:rPr>
          <w:lang w:eastAsia="zh-CN"/>
        </w:rPr>
        <w:t>62</w:t>
      </w:r>
      <w:r>
        <w:rPr>
          <w:rFonts w:hint="eastAsia"/>
          <w:lang w:eastAsia="zh-CN"/>
        </w:rPr>
        <w:t>2</w:t>
      </w:r>
      <w:r>
        <w:rPr>
          <w:rFonts w:hint="eastAsia"/>
          <w:lang w:eastAsia="zh-CN"/>
        </w:rPr>
        <w:t>号决</w:t>
      </w:r>
      <w:r w:rsidR="00A93017">
        <w:rPr>
          <w:rFonts w:hint="eastAsia"/>
          <w:lang w:eastAsia="zh-CN"/>
        </w:rPr>
        <w:t>定</w:t>
      </w:r>
      <w:r>
        <w:rPr>
          <w:lang w:eastAsia="zh-CN"/>
        </w:rPr>
        <w:tab/>
      </w:r>
      <w:r w:rsidR="00A11C8C" w:rsidRPr="00A11C8C">
        <w:rPr>
          <w:rFonts w:hint="eastAsia"/>
          <w:lang w:eastAsia="zh-CN"/>
        </w:rPr>
        <w:t>欠款利息和不可回收债务的注销</w:t>
      </w:r>
      <w:r w:rsidRPr="00D51C74">
        <w:rPr>
          <w:lang w:eastAsia="zh-CN"/>
        </w:rPr>
        <w:tab/>
      </w:r>
      <w:r w:rsidRPr="00D51C74">
        <w:rPr>
          <w:lang w:eastAsia="zh-CN"/>
        </w:rPr>
        <w:tab/>
        <w:t>1.2</w:t>
      </w:r>
    </w:p>
    <w:p w14:paraId="30477874" w14:textId="0502048F" w:rsidR="00A8205F" w:rsidRPr="00E511BD" w:rsidRDefault="00A8205F" w:rsidP="00A8205F">
      <w:pPr>
        <w:keepNext/>
        <w:keepLines/>
        <w:tabs>
          <w:tab w:val="clear" w:pos="1588"/>
          <w:tab w:val="clear" w:pos="1985"/>
          <w:tab w:val="left" w:pos="709"/>
          <w:tab w:val="left" w:pos="1587"/>
          <w:tab w:val="left" w:pos="1984"/>
          <w:tab w:val="left" w:leader="dot" w:pos="8844"/>
          <w:tab w:val="right" w:pos="9411"/>
        </w:tabs>
        <w:spacing w:before="240" w:after="240"/>
        <w:ind w:left="794" w:right="624" w:hanging="794"/>
        <w:jc w:val="center"/>
        <w:rPr>
          <w:b/>
          <w:szCs w:val="22"/>
          <w:lang w:eastAsia="zh-CN"/>
        </w:rPr>
      </w:pPr>
      <w:r w:rsidRPr="00E511BD">
        <w:rPr>
          <w:b/>
          <w:szCs w:val="22"/>
          <w:lang w:eastAsia="zh-CN"/>
        </w:rPr>
        <w:t>202</w:t>
      </w:r>
      <w:r>
        <w:rPr>
          <w:b/>
          <w:szCs w:val="22"/>
          <w:lang w:eastAsia="zh-CN"/>
        </w:rPr>
        <w:t>1</w:t>
      </w:r>
      <w:r>
        <w:rPr>
          <w:rFonts w:hint="eastAsia"/>
          <w:b/>
          <w:szCs w:val="22"/>
          <w:lang w:eastAsia="zh-CN"/>
        </w:rPr>
        <w:t>年（</w:t>
      </w:r>
      <w:r w:rsidRPr="00A8205F">
        <w:rPr>
          <w:rFonts w:hint="eastAsia"/>
          <w:b/>
          <w:szCs w:val="22"/>
          <w:lang w:eastAsia="zh-CN"/>
        </w:rPr>
        <w:t>继理事磋商会虚拟会议之后，以信函方式通过</w:t>
      </w:r>
      <w:r>
        <w:rPr>
          <w:rFonts w:hint="eastAsia"/>
          <w:b/>
          <w:szCs w:val="22"/>
          <w:lang w:eastAsia="zh-CN"/>
        </w:rPr>
        <w:t>）</w:t>
      </w:r>
      <w:r>
        <w:rPr>
          <w:b/>
          <w:szCs w:val="22"/>
          <w:lang w:eastAsia="zh-CN"/>
        </w:rPr>
        <w:br/>
      </w:r>
      <w:r>
        <w:rPr>
          <w:rFonts w:hint="eastAsia"/>
          <w:b/>
          <w:szCs w:val="22"/>
          <w:lang w:eastAsia="zh-CN"/>
        </w:rPr>
        <w:t>（</w:t>
      </w:r>
      <w:r>
        <w:rPr>
          <w:rFonts w:hint="eastAsia"/>
          <w:b/>
          <w:szCs w:val="22"/>
          <w:lang w:eastAsia="zh-CN"/>
        </w:rPr>
        <w:t>2021</w:t>
      </w:r>
      <w:r>
        <w:rPr>
          <w:rFonts w:hint="eastAsia"/>
          <w:b/>
          <w:szCs w:val="22"/>
          <w:lang w:eastAsia="zh-CN"/>
        </w:rPr>
        <w:t>年</w:t>
      </w:r>
      <w:r>
        <w:rPr>
          <w:rFonts w:hint="eastAsia"/>
          <w:b/>
          <w:szCs w:val="22"/>
          <w:lang w:eastAsia="zh-CN"/>
        </w:rPr>
        <w:t>6</w:t>
      </w:r>
      <w:r>
        <w:rPr>
          <w:rFonts w:hint="eastAsia"/>
          <w:b/>
          <w:szCs w:val="22"/>
          <w:lang w:eastAsia="zh-CN"/>
        </w:rPr>
        <w:t>月</w:t>
      </w:r>
      <w:r>
        <w:rPr>
          <w:rFonts w:hint="eastAsia"/>
          <w:b/>
          <w:szCs w:val="22"/>
          <w:lang w:eastAsia="zh-CN"/>
        </w:rPr>
        <w:t>8-18</w:t>
      </w:r>
      <w:r>
        <w:rPr>
          <w:rFonts w:hint="eastAsia"/>
          <w:b/>
          <w:szCs w:val="22"/>
          <w:lang w:eastAsia="zh-CN"/>
        </w:rPr>
        <w:t>日）</w:t>
      </w:r>
    </w:p>
    <w:p w14:paraId="40E4C9B7" w14:textId="1A40022A" w:rsidR="00A8205F" w:rsidRPr="00D51C74" w:rsidRDefault="00A8205F" w:rsidP="00A8205F">
      <w:pPr>
        <w:pStyle w:val="Appendixref"/>
        <w:rPr>
          <w:lang w:eastAsia="zh-CN"/>
        </w:rPr>
      </w:pPr>
      <w:r>
        <w:rPr>
          <w:rFonts w:hint="eastAsia"/>
          <w:lang w:eastAsia="zh-CN"/>
        </w:rPr>
        <w:t>第</w:t>
      </w:r>
      <w:r>
        <w:rPr>
          <w:lang w:eastAsia="zh-CN"/>
        </w:rPr>
        <w:t>623</w:t>
      </w:r>
      <w:r>
        <w:rPr>
          <w:rFonts w:hint="eastAsia"/>
          <w:lang w:eastAsia="zh-CN"/>
        </w:rPr>
        <w:t>号决定</w:t>
      </w:r>
      <w:r>
        <w:rPr>
          <w:lang w:eastAsia="zh-CN"/>
        </w:rPr>
        <w:tab/>
      </w:r>
      <w:r w:rsidRPr="00A8205F">
        <w:rPr>
          <w:rFonts w:hint="eastAsia"/>
          <w:lang w:eastAsia="zh-CN"/>
        </w:rPr>
        <w:t>世界无线电通信大会（</w:t>
      </w:r>
      <w:r w:rsidRPr="00A8205F">
        <w:rPr>
          <w:rFonts w:hint="eastAsia"/>
          <w:lang w:eastAsia="zh-CN"/>
        </w:rPr>
        <w:t>WRC-23</w:t>
      </w:r>
      <w:r w:rsidRPr="00A8205F">
        <w:rPr>
          <w:rFonts w:hint="eastAsia"/>
          <w:lang w:eastAsia="zh-CN"/>
        </w:rPr>
        <w:t>）和无线电通信全会（</w:t>
      </w:r>
      <w:r w:rsidRPr="00A8205F">
        <w:rPr>
          <w:rFonts w:hint="eastAsia"/>
          <w:lang w:eastAsia="zh-CN"/>
        </w:rPr>
        <w:t>RA-23</w:t>
      </w:r>
      <w:r w:rsidRPr="00A8205F">
        <w:rPr>
          <w:rFonts w:hint="eastAsia"/>
          <w:lang w:eastAsia="zh-CN"/>
        </w:rPr>
        <w:t>）的地点和日期</w:t>
      </w:r>
      <w:r w:rsidRPr="00D51C74">
        <w:rPr>
          <w:lang w:eastAsia="zh-CN"/>
        </w:rPr>
        <w:tab/>
      </w:r>
      <w:r w:rsidRPr="00D51C74">
        <w:rPr>
          <w:lang w:eastAsia="zh-CN"/>
        </w:rPr>
        <w:tab/>
      </w:r>
      <w:r>
        <w:rPr>
          <w:lang w:eastAsia="zh-CN"/>
        </w:rPr>
        <w:t>3.4</w:t>
      </w:r>
    </w:p>
    <w:p w14:paraId="241B4793" w14:textId="16E9149D" w:rsidR="00A8205F" w:rsidRPr="00D51C74" w:rsidRDefault="00A8205F" w:rsidP="00A8205F">
      <w:pPr>
        <w:pStyle w:val="Appendixref"/>
        <w:rPr>
          <w:lang w:eastAsia="zh-CN"/>
        </w:rPr>
      </w:pPr>
      <w:r w:rsidRPr="00A8205F">
        <w:rPr>
          <w:rFonts w:hint="eastAsia"/>
          <w:lang w:eastAsia="zh-CN"/>
        </w:rPr>
        <w:t>第</w:t>
      </w:r>
      <w:r w:rsidRPr="00A8205F">
        <w:rPr>
          <w:rFonts w:hint="eastAsia"/>
          <w:lang w:eastAsia="zh-CN"/>
        </w:rPr>
        <w:t>62</w:t>
      </w:r>
      <w:r>
        <w:rPr>
          <w:rFonts w:hint="eastAsia"/>
          <w:lang w:eastAsia="zh-CN"/>
        </w:rPr>
        <w:t>4</w:t>
      </w:r>
      <w:r w:rsidRPr="00A8205F">
        <w:rPr>
          <w:rFonts w:hint="eastAsia"/>
          <w:lang w:eastAsia="zh-CN"/>
        </w:rPr>
        <w:t>号决定</w:t>
      </w:r>
      <w:r>
        <w:rPr>
          <w:lang w:eastAsia="zh-CN"/>
        </w:rPr>
        <w:tab/>
      </w:r>
      <w:r w:rsidR="00662D13" w:rsidRPr="00662D13">
        <w:rPr>
          <w:rFonts w:hint="eastAsia"/>
          <w:lang w:eastAsia="zh-CN"/>
        </w:rPr>
        <w:t>欠款利息和不可回收债务的注销</w:t>
      </w:r>
      <w:r w:rsidRPr="00D51C74">
        <w:rPr>
          <w:lang w:eastAsia="zh-CN"/>
        </w:rPr>
        <w:tab/>
      </w:r>
      <w:r w:rsidRPr="00D51C74">
        <w:rPr>
          <w:lang w:eastAsia="zh-CN"/>
        </w:rPr>
        <w:tab/>
        <w:t>1.2</w:t>
      </w:r>
    </w:p>
    <w:p w14:paraId="4595A0ED" w14:textId="135796EE" w:rsidR="00A8205F" w:rsidRPr="00D51C74" w:rsidRDefault="00A8205F" w:rsidP="00A8205F">
      <w:pPr>
        <w:pStyle w:val="Appendixref"/>
        <w:rPr>
          <w:lang w:eastAsia="zh-CN"/>
        </w:rPr>
      </w:pPr>
      <w:r w:rsidRPr="00A8205F">
        <w:rPr>
          <w:rFonts w:hint="eastAsia"/>
          <w:lang w:eastAsia="zh-CN"/>
        </w:rPr>
        <w:t>第</w:t>
      </w:r>
      <w:r w:rsidRPr="00A8205F">
        <w:rPr>
          <w:rFonts w:hint="eastAsia"/>
          <w:lang w:eastAsia="zh-CN"/>
        </w:rPr>
        <w:t>62</w:t>
      </w:r>
      <w:r>
        <w:rPr>
          <w:rFonts w:hint="eastAsia"/>
          <w:lang w:eastAsia="zh-CN"/>
        </w:rPr>
        <w:t>5</w:t>
      </w:r>
      <w:r w:rsidRPr="00A8205F">
        <w:rPr>
          <w:rFonts w:hint="eastAsia"/>
          <w:lang w:eastAsia="zh-CN"/>
        </w:rPr>
        <w:t>号决定</w:t>
      </w:r>
      <w:r>
        <w:rPr>
          <w:lang w:eastAsia="zh-CN"/>
        </w:rPr>
        <w:tab/>
      </w:r>
      <w:r w:rsidR="006C740C" w:rsidRPr="006C740C">
        <w:rPr>
          <w:rFonts w:hint="eastAsia"/>
          <w:lang w:eastAsia="zh-CN"/>
        </w:rPr>
        <w:t>理事会</w:t>
      </w:r>
      <w:r w:rsidR="006C740C" w:rsidRPr="006C740C">
        <w:rPr>
          <w:rFonts w:hint="eastAsia"/>
          <w:lang w:eastAsia="zh-CN"/>
        </w:rPr>
        <w:t>2022</w:t>
      </w:r>
      <w:r w:rsidR="006C740C" w:rsidRPr="006C740C">
        <w:rPr>
          <w:rFonts w:hint="eastAsia"/>
          <w:lang w:eastAsia="zh-CN"/>
        </w:rPr>
        <w:t>、</w:t>
      </w:r>
      <w:r w:rsidR="006C740C" w:rsidRPr="006C740C">
        <w:rPr>
          <w:rFonts w:hint="eastAsia"/>
          <w:lang w:eastAsia="zh-CN"/>
        </w:rPr>
        <w:t>2023</w:t>
      </w:r>
      <w:r w:rsidR="006C740C" w:rsidRPr="006C740C">
        <w:rPr>
          <w:rFonts w:hint="eastAsia"/>
          <w:lang w:eastAsia="zh-CN"/>
        </w:rPr>
        <w:t>、</w:t>
      </w:r>
      <w:r w:rsidR="006C740C" w:rsidRPr="006C740C">
        <w:rPr>
          <w:rFonts w:hint="eastAsia"/>
          <w:lang w:eastAsia="zh-CN"/>
        </w:rPr>
        <w:t>2024</w:t>
      </w:r>
      <w:r w:rsidR="006C740C" w:rsidRPr="006C740C">
        <w:rPr>
          <w:rFonts w:hint="eastAsia"/>
          <w:lang w:eastAsia="zh-CN"/>
        </w:rPr>
        <w:t>、</w:t>
      </w:r>
      <w:r w:rsidR="006C740C" w:rsidRPr="006C740C">
        <w:rPr>
          <w:rFonts w:hint="eastAsia"/>
          <w:lang w:eastAsia="zh-CN"/>
        </w:rPr>
        <w:t>2025</w:t>
      </w:r>
      <w:r w:rsidR="006C740C" w:rsidRPr="006C740C">
        <w:rPr>
          <w:rFonts w:hint="eastAsia"/>
          <w:lang w:eastAsia="zh-CN"/>
        </w:rPr>
        <w:t>和</w:t>
      </w:r>
      <w:r w:rsidR="006C740C" w:rsidRPr="006C740C">
        <w:rPr>
          <w:rFonts w:hint="eastAsia"/>
          <w:lang w:eastAsia="zh-CN"/>
        </w:rPr>
        <w:t>2026</w:t>
      </w:r>
      <w:r w:rsidR="006C740C" w:rsidRPr="006C740C">
        <w:rPr>
          <w:rFonts w:hint="eastAsia"/>
          <w:lang w:eastAsia="zh-CN"/>
        </w:rPr>
        <w:t>年会议以及理事会工作组和专家组</w:t>
      </w:r>
      <w:r w:rsidR="006C740C" w:rsidRPr="006C740C">
        <w:rPr>
          <w:rFonts w:hint="eastAsia"/>
          <w:lang w:eastAsia="zh-CN"/>
        </w:rPr>
        <w:t>2022</w:t>
      </w:r>
      <w:r w:rsidR="006C740C" w:rsidRPr="006C740C">
        <w:rPr>
          <w:rFonts w:hint="eastAsia"/>
          <w:lang w:eastAsia="zh-CN"/>
        </w:rPr>
        <w:t>、</w:t>
      </w:r>
      <w:r w:rsidR="006C740C" w:rsidRPr="006C740C">
        <w:rPr>
          <w:rFonts w:hint="eastAsia"/>
          <w:lang w:eastAsia="zh-CN"/>
        </w:rPr>
        <w:t>2023</w:t>
      </w:r>
      <w:r w:rsidR="006C740C" w:rsidRPr="006C740C">
        <w:rPr>
          <w:rFonts w:hint="eastAsia"/>
          <w:lang w:eastAsia="zh-CN"/>
        </w:rPr>
        <w:t>和</w:t>
      </w:r>
      <w:r w:rsidR="006C740C" w:rsidRPr="006C740C">
        <w:rPr>
          <w:rFonts w:hint="eastAsia"/>
          <w:lang w:eastAsia="zh-CN"/>
        </w:rPr>
        <w:t>2024</w:t>
      </w:r>
      <w:r w:rsidR="006C740C" w:rsidRPr="006C740C">
        <w:rPr>
          <w:rFonts w:hint="eastAsia"/>
          <w:lang w:eastAsia="zh-CN"/>
        </w:rPr>
        <w:t>年集中开会的日期和会期</w:t>
      </w:r>
      <w:r w:rsidRPr="00D51C74">
        <w:rPr>
          <w:lang w:eastAsia="zh-CN"/>
        </w:rPr>
        <w:tab/>
      </w:r>
      <w:r w:rsidRPr="00D51C74">
        <w:rPr>
          <w:lang w:eastAsia="zh-CN"/>
        </w:rPr>
        <w:tab/>
      </w:r>
      <w:r w:rsidRPr="00365099">
        <w:rPr>
          <w:lang w:eastAsia="zh-CN"/>
        </w:rPr>
        <w:t>3</w:t>
      </w:r>
      <w:r w:rsidRPr="001870E5">
        <w:rPr>
          <w:lang w:eastAsia="zh-CN"/>
        </w:rPr>
        <w:t>.2</w:t>
      </w:r>
    </w:p>
    <w:p w14:paraId="184B8BBA" w14:textId="77777777" w:rsidR="00A8205F" w:rsidRDefault="00A8205F" w:rsidP="00A8205F">
      <w:pPr>
        <w:rPr>
          <w:lang w:eastAsia="zh-CN"/>
        </w:rPr>
      </w:pPr>
    </w:p>
    <w:p w14:paraId="5465A78B" w14:textId="77777777" w:rsidR="00FB2114" w:rsidRDefault="00FB2114" w:rsidP="00FB2114">
      <w:pPr>
        <w:rPr>
          <w:lang w:eastAsia="zh-CN"/>
        </w:rPr>
      </w:pPr>
    </w:p>
    <w:p w14:paraId="4827C4ED" w14:textId="77777777" w:rsidR="00EA3BEA" w:rsidRPr="003F2490" w:rsidRDefault="00EA3BEA" w:rsidP="004672AA">
      <w:pPr>
        <w:pStyle w:val="Appendixref"/>
        <w:rPr>
          <w:lang w:eastAsia="zh-CN"/>
        </w:rPr>
      </w:pPr>
    </w:p>
    <w:p w14:paraId="4827C4EE" w14:textId="77777777" w:rsidR="004672AA" w:rsidRDefault="004672AA" w:rsidP="00E51375">
      <w:pPr>
        <w:pStyle w:val="Normalaftertitle0"/>
      </w:pPr>
    </w:p>
    <w:bookmarkEnd w:id="2904"/>
    <w:p w14:paraId="4827C4EF" w14:textId="77777777" w:rsidR="004672AA" w:rsidRDefault="004672AA" w:rsidP="004672AA">
      <w:pPr>
        <w:rPr>
          <w:lang w:val="en-US" w:eastAsia="zh-CN"/>
        </w:rPr>
      </w:pPr>
    </w:p>
    <w:p w14:paraId="4827C4F7" w14:textId="77777777" w:rsidR="004672AA" w:rsidRDefault="004672AA" w:rsidP="004672AA">
      <w:pPr>
        <w:rPr>
          <w:lang w:val="en-US" w:eastAsia="zh-CN"/>
        </w:rPr>
      </w:pPr>
    </w:p>
    <w:p w14:paraId="4827C4F8" w14:textId="77777777" w:rsidR="004672AA" w:rsidRPr="004672AA" w:rsidRDefault="004672AA" w:rsidP="004672AA">
      <w:pPr>
        <w:rPr>
          <w:lang w:val="en-US" w:eastAsia="zh-CN"/>
        </w:rPr>
      </w:pPr>
    </w:p>
    <w:p w14:paraId="4827C4F9" w14:textId="77777777" w:rsidR="006D013B" w:rsidRDefault="006D013B" w:rsidP="00B64353">
      <w:pPr>
        <w:tabs>
          <w:tab w:val="clear" w:pos="1191"/>
          <w:tab w:val="clear" w:pos="1588"/>
          <w:tab w:val="clear" w:pos="1985"/>
          <w:tab w:val="right" w:pos="9639"/>
        </w:tabs>
        <w:spacing w:before="40" w:after="40"/>
        <w:ind w:left="794" w:right="680" w:hanging="794"/>
        <w:rPr>
          <w:sz w:val="20"/>
          <w:szCs w:val="28"/>
          <w:lang w:eastAsia="zh-CN"/>
        </w:rPr>
      </w:pPr>
    </w:p>
    <w:p w14:paraId="4827C4FA" w14:textId="77777777" w:rsidR="00DE7BA7" w:rsidRDefault="00DE7BA7" w:rsidP="00B64353">
      <w:pPr>
        <w:tabs>
          <w:tab w:val="clear" w:pos="1191"/>
          <w:tab w:val="clear" w:pos="1588"/>
          <w:tab w:val="clear" w:pos="1985"/>
          <w:tab w:val="right" w:pos="9639"/>
        </w:tabs>
        <w:spacing w:before="40" w:after="40"/>
        <w:ind w:left="794" w:right="680" w:hanging="794"/>
        <w:rPr>
          <w:sz w:val="20"/>
          <w:szCs w:val="28"/>
          <w:lang w:eastAsia="zh-CN"/>
        </w:rPr>
      </w:pPr>
    </w:p>
    <w:p w14:paraId="4827C4FB" w14:textId="77777777" w:rsidR="00BD7DB7" w:rsidRDefault="00BD7DB7" w:rsidP="00B64353">
      <w:pPr>
        <w:tabs>
          <w:tab w:val="clear" w:pos="1191"/>
          <w:tab w:val="clear" w:pos="1588"/>
          <w:tab w:val="clear" w:pos="1985"/>
          <w:tab w:val="right" w:pos="9639"/>
        </w:tabs>
        <w:spacing w:before="40" w:after="40"/>
        <w:ind w:left="794" w:right="680" w:hanging="794"/>
        <w:rPr>
          <w:sz w:val="20"/>
          <w:szCs w:val="28"/>
          <w:lang w:eastAsia="zh-CN"/>
        </w:rPr>
      </w:pPr>
    </w:p>
    <w:p w14:paraId="4827C4FC" w14:textId="77777777" w:rsidR="00DE7BA7" w:rsidRDefault="00DE7BA7" w:rsidP="00B64353">
      <w:pPr>
        <w:tabs>
          <w:tab w:val="clear" w:pos="1191"/>
          <w:tab w:val="clear" w:pos="1588"/>
          <w:tab w:val="clear" w:pos="1985"/>
          <w:tab w:val="right" w:pos="9639"/>
        </w:tabs>
        <w:spacing w:before="40" w:after="40"/>
        <w:ind w:left="794" w:right="680" w:hanging="794"/>
        <w:rPr>
          <w:sz w:val="20"/>
          <w:szCs w:val="28"/>
          <w:lang w:eastAsia="zh-CN"/>
        </w:rPr>
      </w:pPr>
    </w:p>
    <w:p w14:paraId="4827C4FD" w14:textId="77777777" w:rsidR="004D0554" w:rsidRDefault="004D0554" w:rsidP="00B64353">
      <w:pPr>
        <w:tabs>
          <w:tab w:val="clear" w:pos="1191"/>
          <w:tab w:val="clear" w:pos="1588"/>
          <w:tab w:val="clear" w:pos="1985"/>
          <w:tab w:val="right" w:pos="9639"/>
        </w:tabs>
        <w:spacing w:before="40" w:after="40"/>
        <w:ind w:left="794" w:right="680" w:hanging="794"/>
        <w:rPr>
          <w:sz w:val="20"/>
          <w:szCs w:val="28"/>
          <w:lang w:eastAsia="zh-CN"/>
        </w:rPr>
      </w:pPr>
    </w:p>
    <w:p w14:paraId="4827C4FE" w14:textId="77777777" w:rsidR="001D4188" w:rsidRDefault="001D4188" w:rsidP="00B64353">
      <w:pPr>
        <w:tabs>
          <w:tab w:val="clear" w:pos="1191"/>
          <w:tab w:val="clear" w:pos="1588"/>
          <w:tab w:val="clear" w:pos="1985"/>
          <w:tab w:val="right" w:pos="9639"/>
        </w:tabs>
        <w:spacing w:before="40" w:after="40"/>
        <w:ind w:left="794" w:right="680" w:hanging="794"/>
        <w:rPr>
          <w:sz w:val="20"/>
          <w:szCs w:val="28"/>
          <w:lang w:eastAsia="zh-CN"/>
        </w:rPr>
      </w:pPr>
    </w:p>
    <w:p w14:paraId="4827C4FF" w14:textId="77777777" w:rsidR="001D4188" w:rsidRDefault="001D4188" w:rsidP="00B64353">
      <w:pPr>
        <w:tabs>
          <w:tab w:val="clear" w:pos="1191"/>
          <w:tab w:val="clear" w:pos="1588"/>
          <w:tab w:val="clear" w:pos="1985"/>
          <w:tab w:val="right" w:pos="9639"/>
        </w:tabs>
        <w:spacing w:before="40" w:after="40"/>
        <w:ind w:left="794" w:right="680" w:hanging="794"/>
        <w:rPr>
          <w:sz w:val="20"/>
          <w:szCs w:val="28"/>
          <w:lang w:eastAsia="zh-CN"/>
        </w:rPr>
      </w:pPr>
    </w:p>
    <w:p w14:paraId="4827C500" w14:textId="77777777" w:rsidR="00AE4B88" w:rsidRDefault="00AE4B88" w:rsidP="00B64353">
      <w:pPr>
        <w:tabs>
          <w:tab w:val="clear" w:pos="1191"/>
          <w:tab w:val="clear" w:pos="1588"/>
          <w:tab w:val="clear" w:pos="1985"/>
          <w:tab w:val="right" w:pos="9639"/>
        </w:tabs>
        <w:spacing w:before="40" w:after="40"/>
        <w:ind w:left="794" w:right="680" w:hanging="794"/>
        <w:rPr>
          <w:sz w:val="20"/>
          <w:szCs w:val="28"/>
          <w:lang w:eastAsia="zh-CN"/>
        </w:rPr>
        <w:sectPr w:rsidR="00AE4B88" w:rsidSect="00EA3BEA">
          <w:headerReference w:type="even" r:id="rId534"/>
          <w:headerReference w:type="default" r:id="rId535"/>
          <w:footerReference w:type="even" r:id="rId536"/>
          <w:footerReference w:type="default" r:id="rId537"/>
          <w:headerReference w:type="first" r:id="rId538"/>
          <w:footerReference w:type="first" r:id="rId539"/>
          <w:footnotePr>
            <w:pos w:val="beneathText"/>
          </w:footnotePr>
          <w:endnotePr>
            <w:numFmt w:val="decimal"/>
          </w:endnotePr>
          <w:type w:val="oddPage"/>
          <w:pgSz w:w="11907" w:h="16840" w:code="9"/>
          <w:pgMar w:top="1418" w:right="1134" w:bottom="1134" w:left="1134" w:header="737" w:footer="567" w:gutter="284"/>
          <w:cols w:space="726"/>
          <w:vAlign w:val="both"/>
          <w:titlePg/>
        </w:sectPr>
      </w:pPr>
    </w:p>
    <w:p w14:paraId="4827C501" w14:textId="77777777" w:rsidR="00F731E3" w:rsidRDefault="009B218A" w:rsidP="000D18CD">
      <w:pPr>
        <w:pStyle w:val="AppendixNo"/>
        <w:spacing w:before="240"/>
        <w:outlineLvl w:val="0"/>
        <w:rPr>
          <w:lang w:val="en-US" w:eastAsia="zh-CN"/>
        </w:rPr>
      </w:pPr>
      <w:bookmarkStart w:id="2905" w:name="_Toc185237776"/>
      <w:bookmarkStart w:id="2906" w:name="_Toc311469688"/>
      <w:bookmarkStart w:id="2907" w:name="_Toc16173765"/>
      <w:bookmarkStart w:id="2908" w:name="_Toc86395739"/>
      <w:bookmarkStart w:id="2909" w:name="_Toc161224137"/>
      <w:bookmarkStart w:id="2910" w:name="_Toc161732184"/>
      <w:bookmarkStart w:id="2911" w:name="_Toc161741116"/>
      <w:bookmarkStart w:id="2912" w:name="_Toc424115682"/>
      <w:bookmarkStart w:id="2913" w:name="_Toc424116290"/>
      <w:bookmarkStart w:id="2914" w:name="_Toc424117175"/>
      <w:bookmarkStart w:id="2915" w:name="_Toc531706524"/>
      <w:bookmarkStart w:id="2916" w:name="_Toc81880213"/>
      <w:r w:rsidRPr="0063781C">
        <w:rPr>
          <w:lang w:val="en-US" w:eastAsia="zh-CN"/>
        </w:rPr>
        <w:lastRenderedPageBreak/>
        <w:t>附录</w:t>
      </w:r>
      <w:r w:rsidRPr="0063781C">
        <w:rPr>
          <w:lang w:val="en-US" w:eastAsia="zh-CN"/>
        </w:rPr>
        <w:t>C</w:t>
      </w:r>
      <w:bookmarkEnd w:id="2905"/>
      <w:bookmarkEnd w:id="2906"/>
      <w:bookmarkEnd w:id="2907"/>
      <w:bookmarkEnd w:id="2908"/>
    </w:p>
    <w:p w14:paraId="4827C502" w14:textId="77777777" w:rsidR="009B218A" w:rsidRPr="00BF6676" w:rsidRDefault="009B218A" w:rsidP="00F731E3">
      <w:pPr>
        <w:pStyle w:val="Appendixtitle"/>
        <w:rPr>
          <w:lang w:val="en-US" w:eastAsia="zh-CN"/>
        </w:rPr>
      </w:pPr>
      <w:r w:rsidRPr="00BF6676">
        <w:rPr>
          <w:rFonts w:hint="eastAsia"/>
          <w:lang w:val="en-US" w:eastAsia="zh-CN"/>
        </w:rPr>
        <w:t>分</w:t>
      </w:r>
      <w:r>
        <w:rPr>
          <w:rFonts w:hint="eastAsia"/>
          <w:lang w:val="en-US" w:eastAsia="zh-CN"/>
        </w:rPr>
        <w:t>类</w:t>
      </w:r>
      <w:r w:rsidRPr="00BF6676">
        <w:rPr>
          <w:rFonts w:hint="eastAsia"/>
          <w:lang w:val="en-US" w:eastAsia="zh-CN"/>
        </w:rPr>
        <w:t>表</w:t>
      </w:r>
      <w:bookmarkEnd w:id="2909"/>
      <w:bookmarkEnd w:id="2910"/>
      <w:bookmarkEnd w:id="2911"/>
      <w:r w:rsidR="007F0F18" w:rsidRPr="007F0F18">
        <w:rPr>
          <w:bCs/>
          <w:position w:val="6"/>
          <w:lang w:eastAsia="zh-CN"/>
        </w:rPr>
        <w:sym w:font="Symbol" w:char="F02A"/>
      </w:r>
      <w:bookmarkEnd w:id="2912"/>
      <w:bookmarkEnd w:id="2913"/>
      <w:bookmarkEnd w:id="2914"/>
      <w:bookmarkEnd w:id="2915"/>
    </w:p>
    <w:p w14:paraId="4827C503" w14:textId="49DF1E99" w:rsidR="009B218A" w:rsidRDefault="009B218A" w:rsidP="00BD7DB7">
      <w:pPr>
        <w:pStyle w:val="Table"/>
        <w:keepNext w:val="0"/>
        <w:spacing w:before="86" w:after="0"/>
        <w:rPr>
          <w:bCs/>
          <w:lang w:val="en-US" w:eastAsia="zh-CN"/>
        </w:rPr>
      </w:pPr>
      <w:r>
        <w:rPr>
          <w:bCs/>
          <w:lang w:val="en-US" w:eastAsia="zh-CN"/>
        </w:rPr>
        <w:t>（</w:t>
      </w:r>
      <w:r w:rsidR="00143233">
        <w:rPr>
          <w:rFonts w:hint="eastAsia"/>
          <w:bCs/>
          <w:lang w:val="en-US" w:eastAsia="zh-CN"/>
        </w:rPr>
        <w:t>第二次</w:t>
      </w:r>
      <w:r w:rsidR="00143233" w:rsidRPr="00143233">
        <w:rPr>
          <w:rFonts w:hint="eastAsia"/>
          <w:bCs/>
          <w:lang w:val="en-US" w:eastAsia="zh-CN"/>
        </w:rPr>
        <w:t>理事磋商会虚拟会议之后</w:t>
      </w:r>
      <w:r>
        <w:rPr>
          <w:rFonts w:hint="eastAsia"/>
          <w:bCs/>
          <w:lang w:val="en-US" w:eastAsia="zh-CN"/>
        </w:rPr>
        <w:t>完成</w:t>
      </w:r>
      <w:r>
        <w:rPr>
          <w:bCs/>
          <w:lang w:val="en-US" w:eastAsia="zh-CN"/>
        </w:rPr>
        <w:t>）</w:t>
      </w:r>
    </w:p>
    <w:bookmarkEnd w:id="2916"/>
    <w:p w14:paraId="4827C504" w14:textId="77777777" w:rsidR="0097397D" w:rsidRDefault="0097397D" w:rsidP="00AB26A5">
      <w:pPr>
        <w:spacing w:before="0"/>
        <w:rPr>
          <w:lang w:eastAsia="zh-CN"/>
        </w:rPr>
      </w:pPr>
    </w:p>
    <w:p w14:paraId="4827C505" w14:textId="77777777" w:rsidR="0097397D" w:rsidRDefault="0097397D" w:rsidP="00AB26A5">
      <w:pPr>
        <w:spacing w:before="0"/>
        <w:rPr>
          <w:lang w:eastAsia="zh-CN"/>
        </w:rPr>
        <w:sectPr w:rsidR="0097397D" w:rsidSect="00AE4B88">
          <w:headerReference w:type="even" r:id="rId540"/>
          <w:headerReference w:type="default" r:id="rId541"/>
          <w:footerReference w:type="default" r:id="rId542"/>
          <w:footnotePr>
            <w:pos w:val="beneathText"/>
          </w:footnotePr>
          <w:endnotePr>
            <w:numFmt w:val="decimal"/>
          </w:endnotePr>
          <w:type w:val="oddPage"/>
          <w:pgSz w:w="11907" w:h="16840" w:code="9"/>
          <w:pgMar w:top="1418" w:right="1134" w:bottom="1134" w:left="1134" w:header="737" w:footer="567" w:gutter="0"/>
          <w:cols w:space="720"/>
        </w:sectPr>
      </w:pPr>
    </w:p>
    <w:tbl>
      <w:tblPr>
        <w:tblStyle w:val="TableGrid"/>
        <w:tblW w:w="4502" w:type="dxa"/>
        <w:jc w:val="center"/>
        <w:tblLayout w:type="fixed"/>
        <w:tblLook w:val="04A0" w:firstRow="1" w:lastRow="0" w:firstColumn="1" w:lastColumn="0" w:noHBand="0" w:noVBand="1"/>
      </w:tblPr>
      <w:tblGrid>
        <w:gridCol w:w="303"/>
        <w:gridCol w:w="2564"/>
        <w:gridCol w:w="1036"/>
        <w:gridCol w:w="599"/>
      </w:tblGrid>
      <w:tr w:rsidR="0097397D" w:rsidRPr="00155BC6" w14:paraId="4827C50A" w14:textId="77777777" w:rsidTr="006C740C">
        <w:trPr>
          <w:tblHeader/>
          <w:jc w:val="center"/>
        </w:trPr>
        <w:tc>
          <w:tcPr>
            <w:tcW w:w="303" w:type="dxa"/>
            <w:tcBorders>
              <w:top w:val="nil"/>
              <w:left w:val="nil"/>
              <w:right w:val="nil"/>
            </w:tcBorders>
          </w:tcPr>
          <w:p w14:paraId="4827C506" w14:textId="77777777" w:rsidR="0097397D" w:rsidRPr="00155BC6" w:rsidRDefault="0097397D" w:rsidP="0097397D">
            <w:pPr>
              <w:rPr>
                <w:sz w:val="18"/>
                <w:szCs w:val="18"/>
                <w:lang w:eastAsia="zh-CN"/>
              </w:rPr>
            </w:pPr>
          </w:p>
        </w:tc>
        <w:tc>
          <w:tcPr>
            <w:tcW w:w="2564" w:type="dxa"/>
            <w:tcBorders>
              <w:top w:val="nil"/>
              <w:left w:val="nil"/>
            </w:tcBorders>
          </w:tcPr>
          <w:p w14:paraId="4827C507" w14:textId="77777777" w:rsidR="0097397D" w:rsidRPr="00155BC6" w:rsidRDefault="0097397D" w:rsidP="0097397D">
            <w:pPr>
              <w:rPr>
                <w:sz w:val="18"/>
                <w:szCs w:val="18"/>
                <w:lang w:eastAsia="zh-CN"/>
              </w:rPr>
            </w:pPr>
          </w:p>
        </w:tc>
        <w:tc>
          <w:tcPr>
            <w:tcW w:w="1036" w:type="dxa"/>
            <w:tcBorders>
              <w:right w:val="nil"/>
            </w:tcBorders>
          </w:tcPr>
          <w:p w14:paraId="4827C508" w14:textId="77777777" w:rsidR="0097397D" w:rsidRPr="00155BC6" w:rsidRDefault="0097397D" w:rsidP="0097397D">
            <w:pPr>
              <w:ind w:left="-76" w:right="-112"/>
              <w:rPr>
                <w:sz w:val="18"/>
                <w:szCs w:val="18"/>
              </w:rPr>
            </w:pPr>
            <w:r w:rsidRPr="00155BC6">
              <w:rPr>
                <w:rFonts w:eastAsia="STKaiti" w:hint="eastAsia"/>
                <w:b/>
                <w:sz w:val="18"/>
                <w:szCs w:val="18"/>
                <w:lang w:val="zh-CN"/>
              </w:rPr>
              <w:t>决议或决定</w:t>
            </w:r>
          </w:p>
        </w:tc>
        <w:tc>
          <w:tcPr>
            <w:tcW w:w="599" w:type="dxa"/>
            <w:tcBorders>
              <w:left w:val="nil"/>
            </w:tcBorders>
          </w:tcPr>
          <w:p w14:paraId="4827C509" w14:textId="77777777" w:rsidR="0097397D" w:rsidRPr="00155BC6" w:rsidRDefault="0097397D" w:rsidP="0097397D">
            <w:pPr>
              <w:rPr>
                <w:sz w:val="18"/>
                <w:szCs w:val="18"/>
              </w:rPr>
            </w:pPr>
            <w:r w:rsidRPr="00155BC6">
              <w:rPr>
                <w:rFonts w:eastAsia="STKaiti" w:hint="eastAsia"/>
                <w:b/>
                <w:sz w:val="18"/>
                <w:szCs w:val="18"/>
                <w:lang w:val="zh-CN"/>
              </w:rPr>
              <w:t>节</w:t>
            </w:r>
          </w:p>
        </w:tc>
      </w:tr>
      <w:tr w:rsidR="00272640" w:rsidRPr="00155BC6" w14:paraId="4827C50E" w14:textId="77777777" w:rsidTr="006C740C">
        <w:trPr>
          <w:jc w:val="center"/>
        </w:trPr>
        <w:tc>
          <w:tcPr>
            <w:tcW w:w="2867" w:type="dxa"/>
            <w:gridSpan w:val="2"/>
            <w:tcBorders>
              <w:bottom w:val="single" w:sz="4" w:space="0" w:color="auto"/>
              <w:right w:val="single" w:sz="4" w:space="0" w:color="auto"/>
            </w:tcBorders>
          </w:tcPr>
          <w:p w14:paraId="4827C50B" w14:textId="77777777" w:rsidR="00272640" w:rsidRPr="00155BC6" w:rsidRDefault="00272640" w:rsidP="000F7578">
            <w:pPr>
              <w:pStyle w:val="appendixchead"/>
              <w:spacing w:before="20"/>
              <w:rPr>
                <w:lang w:eastAsia="zh-CN"/>
              </w:rPr>
            </w:pPr>
            <w:r w:rsidRPr="00155BC6">
              <w:rPr>
                <w:rFonts w:hint="eastAsia"/>
                <w:bCs/>
                <w:lang w:eastAsia="zh-CN"/>
              </w:rPr>
              <w:t>表决权，</w:t>
            </w:r>
            <w:r w:rsidRPr="000F7578">
              <w:rPr>
                <w:rFonts w:hint="eastAsia"/>
                <w:b w:val="0"/>
                <w:bCs/>
                <w:lang w:eastAsia="zh-CN"/>
              </w:rPr>
              <w:t>国际电联成员国的</w:t>
            </w:r>
            <w:r w:rsidR="00797849" w:rsidRPr="000F7578">
              <w:rPr>
                <w:b w:val="0"/>
                <w:bCs/>
                <w:lang w:eastAsia="zh-CN"/>
              </w:rPr>
              <w:br/>
            </w:r>
            <w:r w:rsidRPr="000F7578">
              <w:rPr>
                <w:rFonts w:hint="eastAsia"/>
                <w:b w:val="0"/>
                <w:bCs/>
                <w:lang w:eastAsia="zh-CN"/>
              </w:rPr>
              <w:t>表决权</w:t>
            </w:r>
          </w:p>
        </w:tc>
        <w:tc>
          <w:tcPr>
            <w:tcW w:w="1036" w:type="dxa"/>
            <w:tcBorders>
              <w:left w:val="single" w:sz="4" w:space="0" w:color="auto"/>
              <w:bottom w:val="single" w:sz="4" w:space="0" w:color="auto"/>
              <w:right w:val="nil"/>
            </w:tcBorders>
          </w:tcPr>
          <w:p w14:paraId="4827C50C" w14:textId="77777777" w:rsidR="00272640" w:rsidRPr="00155BC6" w:rsidRDefault="00272640" w:rsidP="00526D7A">
            <w:pPr>
              <w:pStyle w:val="appendixctext"/>
            </w:pPr>
            <w:r w:rsidRPr="00155BC6">
              <w:t>R 1097</w:t>
            </w:r>
          </w:p>
        </w:tc>
        <w:tc>
          <w:tcPr>
            <w:tcW w:w="599" w:type="dxa"/>
            <w:tcBorders>
              <w:left w:val="nil"/>
              <w:bottom w:val="single" w:sz="4" w:space="0" w:color="auto"/>
            </w:tcBorders>
          </w:tcPr>
          <w:p w14:paraId="4827C50D" w14:textId="77777777" w:rsidR="00272640" w:rsidRPr="00155BC6" w:rsidRDefault="00272640" w:rsidP="00526D7A">
            <w:pPr>
              <w:pStyle w:val="appendixctext"/>
            </w:pPr>
            <w:r w:rsidRPr="00155BC6">
              <w:t>6.1</w:t>
            </w:r>
          </w:p>
        </w:tc>
      </w:tr>
      <w:tr w:rsidR="00997945" w:rsidRPr="00155BC6" w14:paraId="4827C512" w14:textId="77777777" w:rsidTr="006C740C">
        <w:trPr>
          <w:jc w:val="center"/>
        </w:trPr>
        <w:tc>
          <w:tcPr>
            <w:tcW w:w="2867" w:type="dxa"/>
            <w:gridSpan w:val="2"/>
            <w:tcBorders>
              <w:bottom w:val="nil"/>
              <w:right w:val="single" w:sz="4" w:space="0" w:color="auto"/>
            </w:tcBorders>
          </w:tcPr>
          <w:p w14:paraId="4827C50F" w14:textId="77777777" w:rsidR="00997945" w:rsidRPr="00155BC6" w:rsidRDefault="00997945" w:rsidP="00526D7A">
            <w:pPr>
              <w:pStyle w:val="appendixchead"/>
            </w:pPr>
            <w:r w:rsidRPr="00155BC6">
              <w:rPr>
                <w:rFonts w:hint="eastAsia"/>
              </w:rPr>
              <w:t>财务</w:t>
            </w:r>
          </w:p>
        </w:tc>
        <w:tc>
          <w:tcPr>
            <w:tcW w:w="1036" w:type="dxa"/>
            <w:tcBorders>
              <w:left w:val="single" w:sz="4" w:space="0" w:color="auto"/>
              <w:bottom w:val="nil"/>
              <w:right w:val="nil"/>
            </w:tcBorders>
          </w:tcPr>
          <w:p w14:paraId="4827C510" w14:textId="77777777" w:rsidR="00997945" w:rsidRPr="00155BC6" w:rsidRDefault="00997945" w:rsidP="00526D7A">
            <w:pPr>
              <w:jc w:val="left"/>
              <w:rPr>
                <w:sz w:val="18"/>
                <w:szCs w:val="18"/>
              </w:rPr>
            </w:pPr>
          </w:p>
        </w:tc>
        <w:tc>
          <w:tcPr>
            <w:tcW w:w="599" w:type="dxa"/>
            <w:tcBorders>
              <w:left w:val="nil"/>
              <w:bottom w:val="nil"/>
            </w:tcBorders>
          </w:tcPr>
          <w:p w14:paraId="4827C511" w14:textId="77777777" w:rsidR="00997945" w:rsidRPr="00155BC6" w:rsidRDefault="00997945" w:rsidP="00526D7A">
            <w:pPr>
              <w:jc w:val="left"/>
              <w:rPr>
                <w:sz w:val="18"/>
                <w:szCs w:val="18"/>
              </w:rPr>
            </w:pPr>
          </w:p>
        </w:tc>
      </w:tr>
      <w:tr w:rsidR="008922E2" w:rsidRPr="00155BC6" w14:paraId="4827C517" w14:textId="77777777" w:rsidTr="006C740C">
        <w:trPr>
          <w:jc w:val="center"/>
        </w:trPr>
        <w:tc>
          <w:tcPr>
            <w:tcW w:w="303" w:type="dxa"/>
            <w:tcBorders>
              <w:top w:val="nil"/>
              <w:bottom w:val="nil"/>
              <w:right w:val="nil"/>
            </w:tcBorders>
          </w:tcPr>
          <w:p w14:paraId="4827C513" w14:textId="77777777" w:rsidR="008922E2" w:rsidRPr="00155BC6" w:rsidRDefault="008922E2" w:rsidP="00526D7A">
            <w:pPr>
              <w:pStyle w:val="appendixctext"/>
            </w:pPr>
            <w:r w:rsidRPr="00155BC6">
              <w:t>–</w:t>
            </w:r>
          </w:p>
        </w:tc>
        <w:tc>
          <w:tcPr>
            <w:tcW w:w="2564" w:type="dxa"/>
            <w:tcBorders>
              <w:top w:val="nil"/>
              <w:left w:val="nil"/>
              <w:bottom w:val="nil"/>
              <w:right w:val="single" w:sz="4" w:space="0" w:color="auto"/>
            </w:tcBorders>
          </w:tcPr>
          <w:p w14:paraId="4827C514" w14:textId="77777777" w:rsidR="008922E2" w:rsidRPr="00155BC6" w:rsidRDefault="008922E2" w:rsidP="00920A0E">
            <w:pPr>
              <w:pStyle w:val="appendixctext"/>
              <w:spacing w:before="40"/>
              <w:rPr>
                <w:lang w:eastAsia="zh-CN"/>
              </w:rPr>
            </w:pPr>
            <w:r w:rsidRPr="0065618D">
              <w:rPr>
                <w:rFonts w:cs="Calibri" w:hint="eastAsia"/>
                <w:lang w:eastAsia="zh-CN"/>
              </w:rPr>
              <w:t>对国际电联</w:t>
            </w:r>
            <w:r>
              <w:rPr>
                <w:rFonts w:cs="Calibri" w:hint="eastAsia"/>
                <w:lang w:eastAsia="zh-CN"/>
              </w:rPr>
              <w:t>账</w:t>
            </w:r>
            <w:r w:rsidRPr="0065618D">
              <w:rPr>
                <w:rFonts w:cs="Calibri" w:hint="eastAsia"/>
                <w:lang w:eastAsia="zh-CN"/>
              </w:rPr>
              <w:t>目的审计</w:t>
            </w:r>
          </w:p>
        </w:tc>
        <w:tc>
          <w:tcPr>
            <w:tcW w:w="1036" w:type="dxa"/>
            <w:tcBorders>
              <w:top w:val="nil"/>
              <w:left w:val="single" w:sz="4" w:space="0" w:color="auto"/>
              <w:bottom w:val="nil"/>
              <w:right w:val="nil"/>
            </w:tcBorders>
          </w:tcPr>
          <w:p w14:paraId="4827C515" w14:textId="77777777" w:rsidR="008922E2" w:rsidRPr="00155BC6" w:rsidRDefault="008922E2" w:rsidP="00920A0E">
            <w:pPr>
              <w:pStyle w:val="appendixctext"/>
              <w:spacing w:before="40"/>
            </w:pPr>
            <w:r>
              <w:t xml:space="preserve">D </w:t>
            </w:r>
            <w:r>
              <w:rPr>
                <w:rFonts w:hint="eastAsia"/>
                <w:lang w:eastAsia="zh-CN"/>
              </w:rPr>
              <w:t>614</w:t>
            </w:r>
          </w:p>
        </w:tc>
        <w:tc>
          <w:tcPr>
            <w:tcW w:w="599" w:type="dxa"/>
            <w:tcBorders>
              <w:top w:val="nil"/>
              <w:left w:val="nil"/>
              <w:bottom w:val="nil"/>
            </w:tcBorders>
          </w:tcPr>
          <w:p w14:paraId="4827C516" w14:textId="77777777" w:rsidR="008922E2" w:rsidRPr="00155BC6" w:rsidRDefault="008922E2" w:rsidP="00920A0E">
            <w:pPr>
              <w:pStyle w:val="appendixctext"/>
              <w:spacing w:before="40"/>
            </w:pPr>
            <w:r>
              <w:rPr>
                <w:rFonts w:hint="eastAsia"/>
                <w:lang w:eastAsia="zh-CN"/>
              </w:rPr>
              <w:t>1.</w:t>
            </w:r>
            <w:r>
              <w:rPr>
                <w:lang w:eastAsia="zh-CN"/>
              </w:rPr>
              <w:t>2</w:t>
            </w:r>
          </w:p>
        </w:tc>
      </w:tr>
      <w:tr w:rsidR="006F0F3C" w:rsidRPr="00155BC6" w14:paraId="4827C521" w14:textId="77777777" w:rsidTr="006C740C">
        <w:trPr>
          <w:jc w:val="center"/>
        </w:trPr>
        <w:tc>
          <w:tcPr>
            <w:tcW w:w="303" w:type="dxa"/>
            <w:tcBorders>
              <w:top w:val="nil"/>
              <w:bottom w:val="nil"/>
              <w:right w:val="nil"/>
            </w:tcBorders>
          </w:tcPr>
          <w:p w14:paraId="4827C51D" w14:textId="77777777" w:rsidR="006F0F3C" w:rsidRPr="00155BC6" w:rsidRDefault="006F0F3C" w:rsidP="006F0F3C">
            <w:pPr>
              <w:pStyle w:val="appendixctext"/>
            </w:pPr>
            <w:r w:rsidRPr="00155BC6">
              <w:t>–</w:t>
            </w:r>
          </w:p>
        </w:tc>
        <w:tc>
          <w:tcPr>
            <w:tcW w:w="2564" w:type="dxa"/>
            <w:tcBorders>
              <w:top w:val="nil"/>
              <w:left w:val="nil"/>
              <w:bottom w:val="nil"/>
              <w:right w:val="single" w:sz="4" w:space="0" w:color="auto"/>
            </w:tcBorders>
          </w:tcPr>
          <w:p w14:paraId="4827C51E" w14:textId="77777777" w:rsidR="006F0F3C" w:rsidRPr="00155BC6" w:rsidRDefault="006F0F3C" w:rsidP="008922E2">
            <w:pPr>
              <w:pStyle w:val="appendixctext"/>
              <w:rPr>
                <w:lang w:eastAsia="zh-CN"/>
              </w:rPr>
            </w:pPr>
            <w:r w:rsidRPr="00837BDA">
              <w:rPr>
                <w:rFonts w:hint="eastAsia"/>
                <w:lang w:eastAsia="zh-CN"/>
              </w:rPr>
              <w:t>20</w:t>
            </w:r>
            <w:r w:rsidR="008922E2">
              <w:rPr>
                <w:lang w:eastAsia="zh-CN"/>
              </w:rPr>
              <w:t>20</w:t>
            </w:r>
            <w:r w:rsidRPr="00837BDA">
              <w:rPr>
                <w:rFonts w:hint="eastAsia"/>
                <w:lang w:eastAsia="zh-CN"/>
              </w:rPr>
              <w:t>-20</w:t>
            </w:r>
            <w:r w:rsidR="008922E2">
              <w:rPr>
                <w:lang w:eastAsia="zh-CN"/>
              </w:rPr>
              <w:t>21</w:t>
            </w:r>
            <w:r w:rsidRPr="00837BDA">
              <w:rPr>
                <w:rFonts w:hint="eastAsia"/>
                <w:lang w:eastAsia="zh-CN"/>
              </w:rPr>
              <w:t>双年度预算</w:t>
            </w:r>
          </w:p>
        </w:tc>
        <w:tc>
          <w:tcPr>
            <w:tcW w:w="1036" w:type="dxa"/>
            <w:tcBorders>
              <w:top w:val="nil"/>
              <w:left w:val="single" w:sz="4" w:space="0" w:color="auto"/>
              <w:bottom w:val="nil"/>
              <w:right w:val="nil"/>
            </w:tcBorders>
          </w:tcPr>
          <w:p w14:paraId="4827C51F" w14:textId="77777777" w:rsidR="006F0F3C" w:rsidRPr="00155BC6" w:rsidRDefault="006F0F3C" w:rsidP="008922E2">
            <w:pPr>
              <w:pStyle w:val="appendixctext"/>
              <w:rPr>
                <w:lang w:eastAsia="zh-CN"/>
              </w:rPr>
            </w:pPr>
            <w:r w:rsidRPr="00155BC6">
              <w:rPr>
                <w:lang w:eastAsia="zh-CN"/>
              </w:rPr>
              <w:t>R 13</w:t>
            </w:r>
            <w:r w:rsidR="008922E2">
              <w:rPr>
                <w:lang w:eastAsia="zh-CN"/>
              </w:rPr>
              <w:t>96</w:t>
            </w:r>
          </w:p>
        </w:tc>
        <w:tc>
          <w:tcPr>
            <w:tcW w:w="599" w:type="dxa"/>
            <w:tcBorders>
              <w:top w:val="nil"/>
              <w:left w:val="nil"/>
              <w:bottom w:val="nil"/>
            </w:tcBorders>
          </w:tcPr>
          <w:p w14:paraId="4827C520" w14:textId="77777777" w:rsidR="006F0F3C" w:rsidRPr="00155BC6" w:rsidRDefault="006F0F3C" w:rsidP="006F0F3C">
            <w:pPr>
              <w:pStyle w:val="appendixctext"/>
              <w:rPr>
                <w:lang w:eastAsia="zh-CN"/>
              </w:rPr>
            </w:pPr>
            <w:r>
              <w:rPr>
                <w:lang w:eastAsia="zh-CN"/>
              </w:rPr>
              <w:t>1.1</w:t>
            </w:r>
          </w:p>
        </w:tc>
      </w:tr>
      <w:tr w:rsidR="00C93C9F" w:rsidRPr="00155BC6" w14:paraId="39C1954A" w14:textId="77777777" w:rsidTr="006C740C">
        <w:trPr>
          <w:jc w:val="center"/>
        </w:trPr>
        <w:tc>
          <w:tcPr>
            <w:tcW w:w="303" w:type="dxa"/>
            <w:tcBorders>
              <w:top w:val="nil"/>
              <w:bottom w:val="nil"/>
              <w:right w:val="nil"/>
            </w:tcBorders>
          </w:tcPr>
          <w:p w14:paraId="2D0B816D" w14:textId="6112A4B6" w:rsidR="00C93C9F" w:rsidRPr="00155BC6" w:rsidRDefault="00C93C9F" w:rsidP="00C93C9F">
            <w:pPr>
              <w:pStyle w:val="appendixctext"/>
            </w:pPr>
            <w:r w:rsidRPr="00155BC6">
              <w:t>–</w:t>
            </w:r>
          </w:p>
        </w:tc>
        <w:tc>
          <w:tcPr>
            <w:tcW w:w="2564" w:type="dxa"/>
            <w:tcBorders>
              <w:top w:val="nil"/>
              <w:left w:val="nil"/>
              <w:bottom w:val="nil"/>
              <w:right w:val="single" w:sz="4" w:space="0" w:color="auto"/>
            </w:tcBorders>
          </w:tcPr>
          <w:p w14:paraId="2D70FEF3" w14:textId="03C99382" w:rsidR="00C93C9F" w:rsidRPr="00837BDA" w:rsidRDefault="00C93C9F" w:rsidP="00C93C9F">
            <w:pPr>
              <w:pStyle w:val="appendixctext"/>
              <w:rPr>
                <w:lang w:eastAsia="zh-CN"/>
              </w:rPr>
            </w:pPr>
            <w:r w:rsidRPr="00837BDA">
              <w:rPr>
                <w:rFonts w:hint="eastAsia"/>
                <w:lang w:eastAsia="zh-CN"/>
              </w:rPr>
              <w:t>20</w:t>
            </w:r>
            <w:r>
              <w:rPr>
                <w:lang w:eastAsia="zh-CN"/>
              </w:rPr>
              <w:t>2</w:t>
            </w:r>
            <w:r>
              <w:rPr>
                <w:rFonts w:hint="eastAsia"/>
                <w:lang w:eastAsia="zh-CN"/>
              </w:rPr>
              <w:t>2</w:t>
            </w:r>
            <w:r w:rsidRPr="00837BDA">
              <w:rPr>
                <w:rFonts w:hint="eastAsia"/>
                <w:lang w:eastAsia="zh-CN"/>
              </w:rPr>
              <w:t>-20</w:t>
            </w:r>
            <w:r>
              <w:rPr>
                <w:lang w:eastAsia="zh-CN"/>
              </w:rPr>
              <w:t>2</w:t>
            </w:r>
            <w:r>
              <w:rPr>
                <w:rFonts w:hint="eastAsia"/>
                <w:lang w:eastAsia="zh-CN"/>
              </w:rPr>
              <w:t>3</w:t>
            </w:r>
            <w:r w:rsidRPr="00837BDA">
              <w:rPr>
                <w:rFonts w:hint="eastAsia"/>
                <w:lang w:eastAsia="zh-CN"/>
              </w:rPr>
              <w:t>双年度预算</w:t>
            </w:r>
          </w:p>
        </w:tc>
        <w:tc>
          <w:tcPr>
            <w:tcW w:w="1036" w:type="dxa"/>
            <w:tcBorders>
              <w:top w:val="nil"/>
              <w:left w:val="single" w:sz="4" w:space="0" w:color="auto"/>
              <w:bottom w:val="nil"/>
              <w:right w:val="nil"/>
            </w:tcBorders>
          </w:tcPr>
          <w:p w14:paraId="62F18DA3" w14:textId="6C870683" w:rsidR="00C93C9F" w:rsidRPr="00155BC6" w:rsidRDefault="00C93C9F" w:rsidP="00C93C9F">
            <w:pPr>
              <w:pStyle w:val="appendixctext"/>
              <w:rPr>
                <w:lang w:eastAsia="zh-CN"/>
              </w:rPr>
            </w:pPr>
            <w:r w:rsidRPr="00155BC6">
              <w:rPr>
                <w:lang w:eastAsia="zh-CN"/>
              </w:rPr>
              <w:t>R 1</w:t>
            </w:r>
            <w:r>
              <w:rPr>
                <w:rFonts w:hint="eastAsia"/>
                <w:lang w:eastAsia="zh-CN"/>
              </w:rPr>
              <w:t>405</w:t>
            </w:r>
          </w:p>
        </w:tc>
        <w:tc>
          <w:tcPr>
            <w:tcW w:w="599" w:type="dxa"/>
            <w:tcBorders>
              <w:top w:val="nil"/>
              <w:left w:val="nil"/>
              <w:bottom w:val="nil"/>
            </w:tcBorders>
          </w:tcPr>
          <w:p w14:paraId="67D38C7D" w14:textId="01C05D3D" w:rsidR="00C93C9F" w:rsidRDefault="00C93C9F" w:rsidP="00C93C9F">
            <w:pPr>
              <w:pStyle w:val="appendixctext"/>
              <w:rPr>
                <w:lang w:eastAsia="zh-CN"/>
              </w:rPr>
            </w:pPr>
            <w:r>
              <w:rPr>
                <w:lang w:eastAsia="zh-CN"/>
              </w:rPr>
              <w:t>1.1</w:t>
            </w:r>
          </w:p>
        </w:tc>
      </w:tr>
      <w:tr w:rsidR="006F0F3C" w:rsidRPr="00155BC6" w14:paraId="4827C526" w14:textId="77777777" w:rsidTr="006C740C">
        <w:trPr>
          <w:jc w:val="center"/>
        </w:trPr>
        <w:tc>
          <w:tcPr>
            <w:tcW w:w="303" w:type="dxa"/>
            <w:tcBorders>
              <w:top w:val="nil"/>
              <w:bottom w:val="nil"/>
              <w:right w:val="nil"/>
            </w:tcBorders>
          </w:tcPr>
          <w:p w14:paraId="4827C522" w14:textId="77777777" w:rsidR="006F0F3C" w:rsidRPr="00155BC6" w:rsidRDefault="006F0F3C" w:rsidP="006F0F3C">
            <w:pPr>
              <w:pStyle w:val="appendixctext"/>
            </w:pPr>
            <w:r w:rsidRPr="00155BC6">
              <w:t>–</w:t>
            </w:r>
          </w:p>
        </w:tc>
        <w:tc>
          <w:tcPr>
            <w:tcW w:w="2564" w:type="dxa"/>
            <w:tcBorders>
              <w:top w:val="nil"/>
              <w:left w:val="nil"/>
              <w:bottom w:val="nil"/>
              <w:right w:val="single" w:sz="4" w:space="0" w:color="auto"/>
            </w:tcBorders>
          </w:tcPr>
          <w:p w14:paraId="4827C523" w14:textId="77777777" w:rsidR="006F0F3C" w:rsidRPr="00155BC6" w:rsidRDefault="006F0F3C" w:rsidP="006F0F3C">
            <w:pPr>
              <w:pStyle w:val="appendixctext"/>
              <w:spacing w:before="40"/>
              <w:rPr>
                <w:lang w:eastAsia="zh-CN"/>
              </w:rPr>
            </w:pPr>
            <w:r w:rsidRPr="00155BC6">
              <w:rPr>
                <w:rFonts w:hint="eastAsia"/>
                <w:lang w:eastAsia="zh-CN"/>
              </w:rPr>
              <w:t>欠款</w:t>
            </w:r>
            <w:r>
              <w:rPr>
                <w:rFonts w:hint="eastAsia"/>
                <w:lang w:eastAsia="zh-CN"/>
              </w:rPr>
              <w:t>利息的</w:t>
            </w:r>
            <w:r w:rsidR="004720FC">
              <w:rPr>
                <w:rFonts w:hint="eastAsia"/>
                <w:lang w:eastAsia="zh-CN"/>
              </w:rPr>
              <w:t>注销</w:t>
            </w:r>
          </w:p>
        </w:tc>
        <w:tc>
          <w:tcPr>
            <w:tcW w:w="1036" w:type="dxa"/>
            <w:tcBorders>
              <w:top w:val="nil"/>
              <w:left w:val="single" w:sz="4" w:space="0" w:color="auto"/>
              <w:bottom w:val="nil"/>
              <w:right w:val="nil"/>
            </w:tcBorders>
          </w:tcPr>
          <w:p w14:paraId="67D6ADC6" w14:textId="77777777" w:rsidR="0022082E" w:rsidRDefault="00A11C8C" w:rsidP="008922E2">
            <w:pPr>
              <w:pStyle w:val="appendixctext"/>
              <w:spacing w:before="40"/>
            </w:pPr>
            <w:r>
              <w:t>D</w:t>
            </w:r>
            <w:r w:rsidR="00A17AB3">
              <w:t xml:space="preserve"> </w:t>
            </w:r>
            <w:r>
              <w:t>622</w:t>
            </w:r>
          </w:p>
          <w:p w14:paraId="4827C524" w14:textId="01AD13A1" w:rsidR="006F0F3C" w:rsidRPr="00155BC6" w:rsidRDefault="0022082E" w:rsidP="008922E2">
            <w:pPr>
              <w:pStyle w:val="appendixctext"/>
              <w:spacing w:before="40"/>
            </w:pPr>
            <w:r>
              <w:t>D 624</w:t>
            </w:r>
          </w:p>
        </w:tc>
        <w:tc>
          <w:tcPr>
            <w:tcW w:w="599" w:type="dxa"/>
            <w:tcBorders>
              <w:top w:val="nil"/>
              <w:left w:val="nil"/>
              <w:bottom w:val="nil"/>
            </w:tcBorders>
          </w:tcPr>
          <w:p w14:paraId="0C002F0A" w14:textId="77777777" w:rsidR="006F0F3C" w:rsidRDefault="00A11C8C" w:rsidP="006F0F3C">
            <w:pPr>
              <w:pStyle w:val="appendixctext"/>
              <w:spacing w:before="40"/>
            </w:pPr>
            <w:r>
              <w:t>1.2</w:t>
            </w:r>
          </w:p>
          <w:p w14:paraId="4827C525" w14:textId="12A5258B" w:rsidR="0022082E" w:rsidRPr="00155BC6" w:rsidRDefault="0022082E" w:rsidP="006F0F3C">
            <w:pPr>
              <w:pStyle w:val="appendixctext"/>
              <w:spacing w:before="40"/>
            </w:pPr>
            <w:r>
              <w:t>1.2</w:t>
            </w:r>
          </w:p>
        </w:tc>
      </w:tr>
      <w:tr w:rsidR="00A17AB3" w:rsidRPr="00155BC6" w14:paraId="7AB22224" w14:textId="77777777" w:rsidTr="006C740C">
        <w:trPr>
          <w:jc w:val="center"/>
        </w:trPr>
        <w:tc>
          <w:tcPr>
            <w:tcW w:w="303" w:type="dxa"/>
            <w:tcBorders>
              <w:top w:val="nil"/>
              <w:bottom w:val="nil"/>
              <w:right w:val="nil"/>
            </w:tcBorders>
          </w:tcPr>
          <w:p w14:paraId="0F650D0F" w14:textId="1C7CFD75" w:rsidR="00A17AB3" w:rsidRPr="00155BC6" w:rsidRDefault="00A17AB3" w:rsidP="00A17AB3">
            <w:pPr>
              <w:pStyle w:val="appendixctext"/>
            </w:pPr>
            <w:r w:rsidRPr="00155BC6">
              <w:t>–</w:t>
            </w:r>
          </w:p>
        </w:tc>
        <w:tc>
          <w:tcPr>
            <w:tcW w:w="2564" w:type="dxa"/>
            <w:tcBorders>
              <w:top w:val="nil"/>
              <w:left w:val="nil"/>
              <w:bottom w:val="nil"/>
              <w:right w:val="single" w:sz="4" w:space="0" w:color="auto"/>
            </w:tcBorders>
          </w:tcPr>
          <w:p w14:paraId="32B2C4A7" w14:textId="18F25D93" w:rsidR="00A17AB3" w:rsidRPr="00B4523C" w:rsidRDefault="00A17AB3" w:rsidP="00A17AB3">
            <w:pPr>
              <w:pStyle w:val="appendixctext"/>
              <w:spacing w:before="40"/>
              <w:rPr>
                <w:lang w:eastAsia="zh-CN"/>
              </w:rPr>
            </w:pPr>
            <w:r>
              <w:rPr>
                <w:rFonts w:hint="eastAsia"/>
                <w:lang w:eastAsia="zh-CN"/>
              </w:rPr>
              <w:t>分摊</w:t>
            </w:r>
            <w:r w:rsidR="005A5E61">
              <w:rPr>
                <w:rFonts w:hint="eastAsia"/>
                <w:lang w:eastAsia="zh-CN"/>
              </w:rPr>
              <w:t>会费份额</w:t>
            </w:r>
          </w:p>
        </w:tc>
        <w:tc>
          <w:tcPr>
            <w:tcW w:w="1036" w:type="dxa"/>
            <w:tcBorders>
              <w:top w:val="nil"/>
              <w:left w:val="single" w:sz="4" w:space="0" w:color="auto"/>
              <w:bottom w:val="nil"/>
              <w:right w:val="nil"/>
            </w:tcBorders>
          </w:tcPr>
          <w:p w14:paraId="0F2F0A18" w14:textId="7650212D" w:rsidR="00A17AB3" w:rsidRDefault="00A17AB3" w:rsidP="00A17AB3">
            <w:pPr>
              <w:pStyle w:val="appendixctext"/>
              <w:spacing w:before="40"/>
            </w:pPr>
            <w:r>
              <w:t>R 1402</w:t>
            </w:r>
          </w:p>
        </w:tc>
        <w:tc>
          <w:tcPr>
            <w:tcW w:w="599" w:type="dxa"/>
            <w:tcBorders>
              <w:top w:val="nil"/>
              <w:left w:val="nil"/>
              <w:bottom w:val="nil"/>
            </w:tcBorders>
          </w:tcPr>
          <w:p w14:paraId="1AA302E1" w14:textId="74370728" w:rsidR="00A17AB3" w:rsidRDefault="00A17AB3" w:rsidP="00A17AB3">
            <w:pPr>
              <w:pStyle w:val="appendixctext"/>
              <w:spacing w:before="40"/>
            </w:pPr>
            <w:r>
              <w:t>1.2</w:t>
            </w:r>
          </w:p>
        </w:tc>
      </w:tr>
      <w:tr w:rsidR="004720FC" w:rsidRPr="00155BC6" w14:paraId="4827C52B" w14:textId="77777777" w:rsidTr="006C740C">
        <w:trPr>
          <w:jc w:val="center"/>
        </w:trPr>
        <w:tc>
          <w:tcPr>
            <w:tcW w:w="303" w:type="dxa"/>
            <w:tcBorders>
              <w:top w:val="nil"/>
              <w:bottom w:val="nil"/>
              <w:right w:val="nil"/>
            </w:tcBorders>
          </w:tcPr>
          <w:p w14:paraId="4827C527" w14:textId="77777777" w:rsidR="004720FC" w:rsidRPr="00B0242C" w:rsidRDefault="00EB5A04" w:rsidP="006F0F3C">
            <w:pPr>
              <w:pStyle w:val="appendixctext"/>
            </w:pPr>
            <w:r w:rsidRPr="00155BC6">
              <w:t>–</w:t>
            </w:r>
          </w:p>
        </w:tc>
        <w:tc>
          <w:tcPr>
            <w:tcW w:w="2564" w:type="dxa"/>
            <w:tcBorders>
              <w:top w:val="nil"/>
              <w:left w:val="nil"/>
              <w:bottom w:val="nil"/>
              <w:right w:val="single" w:sz="4" w:space="0" w:color="auto"/>
            </w:tcBorders>
          </w:tcPr>
          <w:p w14:paraId="4827C528" w14:textId="19397DDB" w:rsidR="00EC2879" w:rsidRPr="00155BC6" w:rsidRDefault="00EB5A04" w:rsidP="006F0F3C">
            <w:pPr>
              <w:pStyle w:val="appendixctext"/>
              <w:spacing w:before="40"/>
              <w:rPr>
                <w:lang w:eastAsia="zh-CN"/>
              </w:rPr>
            </w:pPr>
            <w:r w:rsidRPr="00B4523C">
              <w:rPr>
                <w:rFonts w:hint="eastAsia"/>
                <w:lang w:eastAsia="zh-CN"/>
              </w:rPr>
              <w:t>外部审计员</w:t>
            </w:r>
          </w:p>
        </w:tc>
        <w:tc>
          <w:tcPr>
            <w:tcW w:w="1036" w:type="dxa"/>
            <w:tcBorders>
              <w:top w:val="nil"/>
              <w:left w:val="single" w:sz="4" w:space="0" w:color="auto"/>
              <w:bottom w:val="nil"/>
              <w:right w:val="nil"/>
            </w:tcBorders>
          </w:tcPr>
          <w:p w14:paraId="4827C529" w14:textId="29990A71" w:rsidR="00EC2879" w:rsidRPr="00155BC6" w:rsidRDefault="00EB5A04" w:rsidP="006F0F3C">
            <w:pPr>
              <w:pStyle w:val="appendixctext"/>
              <w:spacing w:before="40"/>
            </w:pPr>
            <w:r>
              <w:t>D 603</w:t>
            </w:r>
            <w:r w:rsidR="00EC2879">
              <w:br/>
              <w:t>D</w:t>
            </w:r>
            <w:r w:rsidR="00A17AB3">
              <w:t xml:space="preserve"> </w:t>
            </w:r>
            <w:r w:rsidR="00EC2879">
              <w:t>621</w:t>
            </w:r>
          </w:p>
        </w:tc>
        <w:tc>
          <w:tcPr>
            <w:tcW w:w="599" w:type="dxa"/>
            <w:tcBorders>
              <w:top w:val="nil"/>
              <w:left w:val="nil"/>
              <w:bottom w:val="nil"/>
            </w:tcBorders>
          </w:tcPr>
          <w:p w14:paraId="4827C52A" w14:textId="3153ADC3" w:rsidR="004720FC" w:rsidRPr="00155BC6" w:rsidRDefault="00EB5A04" w:rsidP="006F0F3C">
            <w:pPr>
              <w:pStyle w:val="appendixctext"/>
              <w:spacing w:before="40"/>
            </w:pPr>
            <w:r>
              <w:t>1.2</w:t>
            </w:r>
            <w:r w:rsidR="00EC2879">
              <w:br/>
              <w:t>1.2</w:t>
            </w:r>
          </w:p>
        </w:tc>
      </w:tr>
      <w:tr w:rsidR="006F0F3C" w:rsidRPr="00155BC6" w14:paraId="4827C530" w14:textId="77777777" w:rsidTr="006C740C">
        <w:trPr>
          <w:jc w:val="center"/>
        </w:trPr>
        <w:tc>
          <w:tcPr>
            <w:tcW w:w="303" w:type="dxa"/>
            <w:tcBorders>
              <w:top w:val="nil"/>
              <w:bottom w:val="nil"/>
              <w:right w:val="nil"/>
            </w:tcBorders>
          </w:tcPr>
          <w:p w14:paraId="4827C52C" w14:textId="77777777" w:rsidR="006F0F3C" w:rsidRPr="00B0242C" w:rsidRDefault="006F0F3C" w:rsidP="006F0F3C">
            <w:pPr>
              <w:pStyle w:val="appendixctext"/>
            </w:pPr>
            <w:r w:rsidRPr="00B0242C">
              <w:t>–</w:t>
            </w:r>
          </w:p>
        </w:tc>
        <w:tc>
          <w:tcPr>
            <w:tcW w:w="2564" w:type="dxa"/>
            <w:tcBorders>
              <w:top w:val="nil"/>
              <w:left w:val="nil"/>
              <w:bottom w:val="nil"/>
              <w:right w:val="single" w:sz="4" w:space="0" w:color="auto"/>
            </w:tcBorders>
          </w:tcPr>
          <w:p w14:paraId="7A208483" w14:textId="77777777" w:rsidR="006F0F3C" w:rsidRDefault="006F0F3C" w:rsidP="006F0F3C">
            <w:pPr>
              <w:pStyle w:val="appendixctext"/>
              <w:spacing w:before="40"/>
            </w:pPr>
            <w:r w:rsidRPr="00155BC6">
              <w:rPr>
                <w:rFonts w:hint="eastAsia"/>
              </w:rPr>
              <w:t>财务工作报告</w:t>
            </w:r>
          </w:p>
          <w:p w14:paraId="4827C52D" w14:textId="4F39DEAD" w:rsidR="00950BCF" w:rsidRPr="00155BC6" w:rsidRDefault="00950BCF" w:rsidP="006F0F3C">
            <w:pPr>
              <w:pStyle w:val="appendixctext"/>
              <w:spacing w:before="40"/>
            </w:pPr>
          </w:p>
        </w:tc>
        <w:tc>
          <w:tcPr>
            <w:tcW w:w="1036" w:type="dxa"/>
            <w:tcBorders>
              <w:top w:val="nil"/>
              <w:left w:val="single" w:sz="4" w:space="0" w:color="auto"/>
              <w:bottom w:val="nil"/>
              <w:right w:val="nil"/>
            </w:tcBorders>
          </w:tcPr>
          <w:p w14:paraId="0A5361BB" w14:textId="77777777" w:rsidR="006F0F3C" w:rsidRDefault="006F0F3C" w:rsidP="000B671C">
            <w:pPr>
              <w:pStyle w:val="appendixctext"/>
              <w:spacing w:before="40"/>
            </w:pPr>
            <w:r w:rsidRPr="00155BC6">
              <w:t>R 13</w:t>
            </w:r>
            <w:r w:rsidR="000B671C">
              <w:t>97</w:t>
            </w:r>
          </w:p>
          <w:p w14:paraId="4827C52E" w14:textId="5AD22884" w:rsidR="00950BCF" w:rsidRPr="00155BC6" w:rsidRDefault="00950BCF" w:rsidP="000B671C">
            <w:pPr>
              <w:pStyle w:val="appendixctext"/>
              <w:spacing w:before="40"/>
            </w:pPr>
            <w:r w:rsidRPr="00950BCF">
              <w:t>R 1</w:t>
            </w:r>
            <w:r>
              <w:rPr>
                <w:rFonts w:hint="eastAsia"/>
                <w:lang w:eastAsia="zh-CN"/>
              </w:rPr>
              <w:t>400</w:t>
            </w:r>
          </w:p>
        </w:tc>
        <w:tc>
          <w:tcPr>
            <w:tcW w:w="599" w:type="dxa"/>
            <w:tcBorders>
              <w:top w:val="nil"/>
              <w:left w:val="nil"/>
              <w:bottom w:val="nil"/>
            </w:tcBorders>
          </w:tcPr>
          <w:p w14:paraId="2C4F5C4B" w14:textId="77777777" w:rsidR="006F0F3C" w:rsidRDefault="006F0F3C" w:rsidP="006F0F3C">
            <w:pPr>
              <w:pStyle w:val="appendixctext"/>
              <w:spacing w:before="40"/>
            </w:pPr>
            <w:r w:rsidRPr="00155BC6">
              <w:t>1.2</w:t>
            </w:r>
          </w:p>
          <w:p w14:paraId="4827C52F" w14:textId="13E29F49" w:rsidR="00950BCF" w:rsidRPr="00155BC6" w:rsidRDefault="00950BCF" w:rsidP="006F0F3C">
            <w:pPr>
              <w:pStyle w:val="appendixctext"/>
              <w:spacing w:before="40"/>
            </w:pPr>
            <w:r>
              <w:rPr>
                <w:rFonts w:hint="eastAsia"/>
                <w:lang w:eastAsia="zh-CN"/>
              </w:rPr>
              <w:t>1.2</w:t>
            </w:r>
          </w:p>
        </w:tc>
      </w:tr>
      <w:tr w:rsidR="006F0F3C" w:rsidRPr="00155BC6" w14:paraId="4827C535" w14:textId="77777777" w:rsidTr="006C740C">
        <w:trPr>
          <w:jc w:val="center"/>
        </w:trPr>
        <w:tc>
          <w:tcPr>
            <w:tcW w:w="303" w:type="dxa"/>
            <w:tcBorders>
              <w:top w:val="nil"/>
              <w:bottom w:val="nil"/>
              <w:right w:val="nil"/>
            </w:tcBorders>
          </w:tcPr>
          <w:p w14:paraId="4827C531" w14:textId="77777777" w:rsidR="006F0F3C" w:rsidRPr="00B0242C" w:rsidRDefault="006F0F3C" w:rsidP="006F0F3C">
            <w:pPr>
              <w:pStyle w:val="appendixctext"/>
            </w:pPr>
          </w:p>
        </w:tc>
        <w:tc>
          <w:tcPr>
            <w:tcW w:w="2564" w:type="dxa"/>
            <w:tcBorders>
              <w:top w:val="nil"/>
              <w:left w:val="nil"/>
              <w:bottom w:val="nil"/>
              <w:right w:val="single" w:sz="4" w:space="0" w:color="auto"/>
            </w:tcBorders>
          </w:tcPr>
          <w:p w14:paraId="4827C532" w14:textId="77777777" w:rsidR="006F0F3C" w:rsidRPr="00155BC6" w:rsidRDefault="000B671C" w:rsidP="00290AE7">
            <w:pPr>
              <w:pStyle w:val="appendixctext"/>
              <w:spacing w:before="0"/>
            </w:pPr>
            <w:r w:rsidRPr="00E17B32">
              <w:rPr>
                <w:rFonts w:hint="eastAsia"/>
                <w:lang w:eastAsia="zh-CN"/>
              </w:rPr>
              <w:t>普通审计</w:t>
            </w:r>
          </w:p>
        </w:tc>
        <w:tc>
          <w:tcPr>
            <w:tcW w:w="1036" w:type="dxa"/>
            <w:tcBorders>
              <w:top w:val="nil"/>
              <w:left w:val="single" w:sz="4" w:space="0" w:color="auto"/>
              <w:bottom w:val="nil"/>
              <w:right w:val="nil"/>
            </w:tcBorders>
          </w:tcPr>
          <w:p w14:paraId="4827C533" w14:textId="77777777" w:rsidR="006F0F3C" w:rsidRPr="00155BC6" w:rsidRDefault="000B671C" w:rsidP="00290AE7">
            <w:pPr>
              <w:pStyle w:val="appendixctext"/>
              <w:spacing w:before="0"/>
            </w:pPr>
            <w:r>
              <w:t xml:space="preserve">D </w:t>
            </w:r>
            <w:r>
              <w:rPr>
                <w:rFonts w:hint="eastAsia"/>
                <w:lang w:eastAsia="zh-CN"/>
              </w:rPr>
              <w:t>613</w:t>
            </w:r>
          </w:p>
        </w:tc>
        <w:tc>
          <w:tcPr>
            <w:tcW w:w="599" w:type="dxa"/>
            <w:tcBorders>
              <w:top w:val="nil"/>
              <w:left w:val="nil"/>
              <w:bottom w:val="nil"/>
            </w:tcBorders>
          </w:tcPr>
          <w:p w14:paraId="4827C534" w14:textId="77777777" w:rsidR="006F0F3C" w:rsidRPr="00155BC6" w:rsidRDefault="006F0F3C" w:rsidP="00290AE7">
            <w:pPr>
              <w:pStyle w:val="appendixctext"/>
              <w:spacing w:before="0"/>
            </w:pPr>
            <w:r w:rsidRPr="00155BC6">
              <w:t>1.2</w:t>
            </w:r>
          </w:p>
        </w:tc>
      </w:tr>
      <w:tr w:rsidR="006F0F3C" w:rsidRPr="00155BC6" w14:paraId="4827C53A" w14:textId="77777777" w:rsidTr="006C740C">
        <w:trPr>
          <w:jc w:val="center"/>
        </w:trPr>
        <w:tc>
          <w:tcPr>
            <w:tcW w:w="303" w:type="dxa"/>
            <w:tcBorders>
              <w:top w:val="nil"/>
              <w:bottom w:val="nil"/>
              <w:right w:val="nil"/>
            </w:tcBorders>
          </w:tcPr>
          <w:p w14:paraId="4827C536" w14:textId="77777777" w:rsidR="006F0F3C" w:rsidRPr="00B0242C" w:rsidRDefault="006F0F3C" w:rsidP="006F0F3C">
            <w:pPr>
              <w:pStyle w:val="appendixctext"/>
            </w:pPr>
            <w:r w:rsidRPr="00B0242C">
              <w:t>–</w:t>
            </w:r>
          </w:p>
        </w:tc>
        <w:tc>
          <w:tcPr>
            <w:tcW w:w="2564" w:type="dxa"/>
            <w:tcBorders>
              <w:top w:val="nil"/>
              <w:left w:val="nil"/>
              <w:bottom w:val="nil"/>
              <w:right w:val="single" w:sz="4" w:space="0" w:color="auto"/>
            </w:tcBorders>
          </w:tcPr>
          <w:p w14:paraId="4827C537" w14:textId="77777777" w:rsidR="006F0F3C" w:rsidRPr="00155BC6" w:rsidRDefault="006F0F3C" w:rsidP="006F0F3C">
            <w:pPr>
              <w:pStyle w:val="appendixctext"/>
              <w:spacing w:before="40"/>
              <w:rPr>
                <w:lang w:eastAsia="zh-CN"/>
              </w:rPr>
            </w:pPr>
            <w:r w:rsidRPr="00155BC6">
              <w:rPr>
                <w:rFonts w:hint="eastAsia"/>
                <w:lang w:eastAsia="zh-CN"/>
              </w:rPr>
              <w:t>对卫星网络申报实行成本回收</w:t>
            </w:r>
          </w:p>
        </w:tc>
        <w:tc>
          <w:tcPr>
            <w:tcW w:w="1036" w:type="dxa"/>
            <w:tcBorders>
              <w:top w:val="nil"/>
              <w:left w:val="single" w:sz="4" w:space="0" w:color="auto"/>
              <w:bottom w:val="nil"/>
              <w:right w:val="nil"/>
            </w:tcBorders>
          </w:tcPr>
          <w:p w14:paraId="4827C538" w14:textId="77777777" w:rsidR="006F0F3C" w:rsidRPr="00155BC6" w:rsidRDefault="006F0F3C" w:rsidP="006F0F3C">
            <w:pPr>
              <w:pStyle w:val="appendixctext"/>
              <w:spacing w:before="40"/>
            </w:pPr>
            <w:r w:rsidRPr="00155BC6">
              <w:t>D 482</w:t>
            </w:r>
          </w:p>
        </w:tc>
        <w:tc>
          <w:tcPr>
            <w:tcW w:w="599" w:type="dxa"/>
            <w:tcBorders>
              <w:top w:val="nil"/>
              <w:left w:val="nil"/>
              <w:bottom w:val="nil"/>
            </w:tcBorders>
          </w:tcPr>
          <w:p w14:paraId="4827C539" w14:textId="77777777" w:rsidR="006F0F3C" w:rsidRPr="00155BC6" w:rsidRDefault="006F0F3C" w:rsidP="006F0F3C">
            <w:pPr>
              <w:pStyle w:val="appendixctext"/>
              <w:spacing w:before="40"/>
            </w:pPr>
            <w:r w:rsidRPr="00155BC6">
              <w:t>1.2</w:t>
            </w:r>
          </w:p>
        </w:tc>
      </w:tr>
      <w:tr w:rsidR="006F0F3C" w:rsidRPr="00155BC6" w14:paraId="4827C53F" w14:textId="77777777" w:rsidTr="006C740C">
        <w:trPr>
          <w:jc w:val="center"/>
        </w:trPr>
        <w:tc>
          <w:tcPr>
            <w:tcW w:w="303" w:type="dxa"/>
            <w:tcBorders>
              <w:top w:val="nil"/>
              <w:bottom w:val="nil"/>
              <w:right w:val="nil"/>
            </w:tcBorders>
          </w:tcPr>
          <w:p w14:paraId="4827C53B" w14:textId="77777777" w:rsidR="006F0F3C" w:rsidRPr="00B0242C" w:rsidRDefault="006F0F3C" w:rsidP="006F0F3C">
            <w:pPr>
              <w:pStyle w:val="appendixctext"/>
            </w:pPr>
            <w:r w:rsidRPr="00B0242C">
              <w:t>–</w:t>
            </w:r>
          </w:p>
        </w:tc>
        <w:tc>
          <w:tcPr>
            <w:tcW w:w="2564" w:type="dxa"/>
            <w:tcBorders>
              <w:top w:val="nil"/>
              <w:left w:val="nil"/>
              <w:bottom w:val="nil"/>
              <w:right w:val="single" w:sz="4" w:space="0" w:color="auto"/>
            </w:tcBorders>
          </w:tcPr>
          <w:p w14:paraId="4827C53C" w14:textId="77777777" w:rsidR="006F0F3C" w:rsidRPr="00155BC6" w:rsidRDefault="006F0F3C" w:rsidP="006F0F3C">
            <w:pPr>
              <w:pStyle w:val="appendixctext"/>
              <w:spacing w:before="40"/>
              <w:rPr>
                <w:lang w:eastAsia="zh-CN"/>
              </w:rPr>
            </w:pPr>
            <w:r w:rsidRPr="00155BC6">
              <w:rPr>
                <w:rFonts w:hint="eastAsia"/>
                <w:lang w:eastAsia="zh-CN"/>
              </w:rPr>
              <w:t>对</w:t>
            </w:r>
            <w:r w:rsidRPr="00155BC6">
              <w:rPr>
                <w:lang w:eastAsia="zh-CN"/>
              </w:rPr>
              <w:t>UIPRN</w:t>
            </w:r>
            <w:r w:rsidRPr="00155BC6">
              <w:rPr>
                <w:rFonts w:hint="eastAsia"/>
                <w:lang w:eastAsia="zh-CN"/>
              </w:rPr>
              <w:t>和</w:t>
            </w:r>
            <w:r w:rsidRPr="00155BC6">
              <w:rPr>
                <w:lang w:eastAsia="zh-CN"/>
              </w:rPr>
              <w:t>UISCN</w:t>
            </w:r>
            <w:r w:rsidRPr="00155BC6">
              <w:rPr>
                <w:rFonts w:hint="eastAsia"/>
                <w:lang w:eastAsia="zh-CN"/>
              </w:rPr>
              <w:t>登记处职能实行成本回收</w:t>
            </w:r>
          </w:p>
        </w:tc>
        <w:tc>
          <w:tcPr>
            <w:tcW w:w="1036" w:type="dxa"/>
            <w:tcBorders>
              <w:top w:val="nil"/>
              <w:left w:val="single" w:sz="4" w:space="0" w:color="auto"/>
              <w:bottom w:val="nil"/>
              <w:right w:val="nil"/>
            </w:tcBorders>
          </w:tcPr>
          <w:p w14:paraId="4827C53D" w14:textId="77777777" w:rsidR="006F0F3C" w:rsidRPr="00155BC6" w:rsidRDefault="006F0F3C" w:rsidP="006F0F3C">
            <w:pPr>
              <w:pStyle w:val="appendixctext"/>
              <w:spacing w:before="40"/>
            </w:pPr>
            <w:r w:rsidRPr="00155BC6">
              <w:t>R 1155</w:t>
            </w:r>
          </w:p>
        </w:tc>
        <w:tc>
          <w:tcPr>
            <w:tcW w:w="599" w:type="dxa"/>
            <w:tcBorders>
              <w:top w:val="nil"/>
              <w:left w:val="nil"/>
              <w:bottom w:val="nil"/>
            </w:tcBorders>
          </w:tcPr>
          <w:p w14:paraId="4827C53E" w14:textId="77777777" w:rsidR="006F0F3C" w:rsidRPr="00155BC6" w:rsidRDefault="006F0F3C" w:rsidP="006F0F3C">
            <w:pPr>
              <w:pStyle w:val="appendixctext"/>
              <w:spacing w:before="40"/>
            </w:pPr>
            <w:r w:rsidRPr="00155BC6">
              <w:t>5.3</w:t>
            </w:r>
          </w:p>
        </w:tc>
      </w:tr>
      <w:tr w:rsidR="006F0F3C" w:rsidRPr="00155BC6" w14:paraId="4827C544" w14:textId="77777777" w:rsidTr="006C740C">
        <w:trPr>
          <w:jc w:val="center"/>
        </w:trPr>
        <w:tc>
          <w:tcPr>
            <w:tcW w:w="303" w:type="dxa"/>
            <w:tcBorders>
              <w:top w:val="nil"/>
              <w:bottom w:val="nil"/>
              <w:right w:val="nil"/>
            </w:tcBorders>
          </w:tcPr>
          <w:p w14:paraId="4827C540" w14:textId="77777777" w:rsidR="006F0F3C" w:rsidRPr="00B0242C" w:rsidRDefault="006F0F3C" w:rsidP="006F0F3C">
            <w:pPr>
              <w:pStyle w:val="appendixctext"/>
            </w:pPr>
            <w:r w:rsidRPr="00B0242C">
              <w:t>–</w:t>
            </w:r>
          </w:p>
        </w:tc>
        <w:tc>
          <w:tcPr>
            <w:tcW w:w="2564" w:type="dxa"/>
            <w:tcBorders>
              <w:top w:val="nil"/>
              <w:left w:val="nil"/>
              <w:bottom w:val="nil"/>
              <w:right w:val="single" w:sz="4" w:space="0" w:color="auto"/>
            </w:tcBorders>
          </w:tcPr>
          <w:p w14:paraId="4827C541" w14:textId="77777777" w:rsidR="006F0F3C" w:rsidRPr="00155BC6" w:rsidRDefault="006F0F3C" w:rsidP="006F0F3C">
            <w:pPr>
              <w:pStyle w:val="appendixctext"/>
              <w:spacing w:before="40"/>
              <w:rPr>
                <w:lang w:eastAsia="zh-CN"/>
              </w:rPr>
            </w:pPr>
            <w:r w:rsidRPr="00155BC6">
              <w:rPr>
                <w:rFonts w:hint="eastAsia"/>
                <w:lang w:eastAsia="zh-CN"/>
              </w:rPr>
              <w:t>对</w:t>
            </w:r>
            <w:r w:rsidRPr="00155BC6">
              <w:rPr>
                <w:lang w:eastAsia="zh-CN"/>
              </w:rPr>
              <w:t>AESA</w:t>
            </w:r>
            <w:r w:rsidRPr="00155BC6">
              <w:rPr>
                <w:rFonts w:hint="eastAsia"/>
                <w:lang w:eastAsia="zh-CN"/>
              </w:rPr>
              <w:t>登记处职能实行成本回收</w:t>
            </w:r>
          </w:p>
        </w:tc>
        <w:tc>
          <w:tcPr>
            <w:tcW w:w="1036" w:type="dxa"/>
            <w:tcBorders>
              <w:top w:val="nil"/>
              <w:left w:val="single" w:sz="4" w:space="0" w:color="auto"/>
              <w:bottom w:val="nil"/>
              <w:right w:val="nil"/>
            </w:tcBorders>
          </w:tcPr>
          <w:p w14:paraId="4827C542" w14:textId="77777777" w:rsidR="006F0F3C" w:rsidRPr="00155BC6" w:rsidRDefault="006F0F3C" w:rsidP="006F0F3C">
            <w:pPr>
              <w:pStyle w:val="appendixctext"/>
              <w:spacing w:before="40"/>
            </w:pPr>
            <w:r w:rsidRPr="00155BC6">
              <w:t>R 1168</w:t>
            </w:r>
          </w:p>
        </w:tc>
        <w:tc>
          <w:tcPr>
            <w:tcW w:w="599" w:type="dxa"/>
            <w:tcBorders>
              <w:top w:val="nil"/>
              <w:left w:val="nil"/>
              <w:bottom w:val="nil"/>
            </w:tcBorders>
          </w:tcPr>
          <w:p w14:paraId="4827C543" w14:textId="77777777" w:rsidR="006F0F3C" w:rsidRPr="00155BC6" w:rsidRDefault="006F0F3C" w:rsidP="006F0F3C">
            <w:pPr>
              <w:pStyle w:val="appendixctext"/>
              <w:spacing w:before="40"/>
            </w:pPr>
            <w:r w:rsidRPr="00155BC6">
              <w:t>5.3</w:t>
            </w:r>
          </w:p>
        </w:tc>
      </w:tr>
      <w:tr w:rsidR="006F0F3C" w:rsidRPr="00155BC6" w14:paraId="4827C549" w14:textId="77777777" w:rsidTr="006C740C">
        <w:trPr>
          <w:jc w:val="center"/>
        </w:trPr>
        <w:tc>
          <w:tcPr>
            <w:tcW w:w="303" w:type="dxa"/>
            <w:tcBorders>
              <w:top w:val="nil"/>
              <w:bottom w:val="nil"/>
              <w:right w:val="nil"/>
            </w:tcBorders>
          </w:tcPr>
          <w:p w14:paraId="4827C545" w14:textId="77777777" w:rsidR="006F0F3C" w:rsidRPr="00B0242C" w:rsidRDefault="006F0F3C" w:rsidP="006F0F3C">
            <w:pPr>
              <w:pStyle w:val="appendixctext"/>
            </w:pPr>
            <w:r w:rsidRPr="00B0242C">
              <w:t>–</w:t>
            </w:r>
          </w:p>
        </w:tc>
        <w:tc>
          <w:tcPr>
            <w:tcW w:w="2564" w:type="dxa"/>
            <w:tcBorders>
              <w:top w:val="nil"/>
              <w:left w:val="nil"/>
              <w:bottom w:val="nil"/>
              <w:right w:val="single" w:sz="4" w:space="0" w:color="auto"/>
            </w:tcBorders>
          </w:tcPr>
          <w:p w14:paraId="4827C546" w14:textId="77777777" w:rsidR="006F0F3C" w:rsidRPr="00155BC6" w:rsidRDefault="006F0F3C" w:rsidP="006F0F3C">
            <w:pPr>
              <w:pStyle w:val="appendixctext"/>
              <w:spacing w:before="40"/>
              <w:rPr>
                <w:lang w:eastAsia="zh-CN"/>
              </w:rPr>
            </w:pPr>
            <w:r w:rsidRPr="00155BC6">
              <w:rPr>
                <w:rFonts w:hint="eastAsia"/>
                <w:lang w:eastAsia="zh-CN"/>
              </w:rPr>
              <w:t>独立管理顾问委员会</w:t>
            </w:r>
            <w:r>
              <w:rPr>
                <w:lang w:eastAsia="zh-CN"/>
              </w:rPr>
              <w:br/>
            </w:r>
            <w:r w:rsidRPr="00155BC6">
              <w:rPr>
                <w:rFonts w:hint="eastAsia"/>
                <w:lang w:eastAsia="zh-CN"/>
              </w:rPr>
              <w:t>（</w:t>
            </w:r>
            <w:r w:rsidRPr="00155BC6">
              <w:rPr>
                <w:rFonts w:hint="eastAsia"/>
                <w:lang w:eastAsia="zh-CN"/>
              </w:rPr>
              <w:t>IMAC</w:t>
            </w:r>
            <w:r w:rsidRPr="00155BC6">
              <w:rPr>
                <w:rFonts w:hint="eastAsia"/>
                <w:lang w:eastAsia="zh-CN"/>
              </w:rPr>
              <w:t>）</w:t>
            </w:r>
          </w:p>
        </w:tc>
        <w:tc>
          <w:tcPr>
            <w:tcW w:w="1036" w:type="dxa"/>
            <w:tcBorders>
              <w:top w:val="nil"/>
              <w:left w:val="single" w:sz="4" w:space="0" w:color="auto"/>
              <w:bottom w:val="nil"/>
              <w:right w:val="nil"/>
            </w:tcBorders>
          </w:tcPr>
          <w:p w14:paraId="4827C547" w14:textId="786E5D90" w:rsidR="006F0F3C" w:rsidRPr="00155BC6" w:rsidRDefault="000B671C" w:rsidP="006F0F3C">
            <w:pPr>
              <w:pStyle w:val="appendixctext"/>
              <w:spacing w:before="40"/>
            </w:pPr>
            <w:r>
              <w:t>D 615</w:t>
            </w:r>
          </w:p>
        </w:tc>
        <w:tc>
          <w:tcPr>
            <w:tcW w:w="599" w:type="dxa"/>
            <w:tcBorders>
              <w:top w:val="nil"/>
              <w:left w:val="nil"/>
              <w:bottom w:val="nil"/>
            </w:tcBorders>
          </w:tcPr>
          <w:p w14:paraId="4827C548" w14:textId="05DE585C" w:rsidR="006F0F3C" w:rsidRPr="00155BC6" w:rsidRDefault="000B671C" w:rsidP="006F0F3C">
            <w:pPr>
              <w:pStyle w:val="appendixctext"/>
              <w:spacing w:before="40"/>
            </w:pPr>
            <w:r>
              <w:rPr>
                <w:rFonts w:hint="eastAsia"/>
                <w:lang w:eastAsia="zh-CN"/>
              </w:rPr>
              <w:t>1.</w:t>
            </w:r>
            <w:r>
              <w:rPr>
                <w:lang w:eastAsia="zh-CN"/>
              </w:rPr>
              <w:t>2</w:t>
            </w:r>
          </w:p>
        </w:tc>
      </w:tr>
      <w:tr w:rsidR="006F0F3C" w:rsidRPr="00155BC6" w14:paraId="4827C54E" w14:textId="77777777" w:rsidTr="006C740C">
        <w:trPr>
          <w:jc w:val="center"/>
        </w:trPr>
        <w:tc>
          <w:tcPr>
            <w:tcW w:w="303" w:type="dxa"/>
            <w:tcBorders>
              <w:top w:val="nil"/>
              <w:bottom w:val="nil"/>
              <w:right w:val="nil"/>
            </w:tcBorders>
          </w:tcPr>
          <w:p w14:paraId="4827C54A" w14:textId="77777777" w:rsidR="006F0F3C" w:rsidRPr="00B0242C" w:rsidRDefault="006F0F3C" w:rsidP="006F0F3C">
            <w:pPr>
              <w:pStyle w:val="appendixctext"/>
            </w:pPr>
            <w:r w:rsidRPr="00B0242C">
              <w:t>–</w:t>
            </w:r>
          </w:p>
        </w:tc>
        <w:tc>
          <w:tcPr>
            <w:tcW w:w="2564" w:type="dxa"/>
            <w:tcBorders>
              <w:top w:val="nil"/>
              <w:left w:val="nil"/>
              <w:bottom w:val="nil"/>
              <w:right w:val="single" w:sz="4" w:space="0" w:color="auto"/>
            </w:tcBorders>
          </w:tcPr>
          <w:p w14:paraId="4827C54B" w14:textId="77777777" w:rsidR="006F0F3C" w:rsidRPr="00155BC6" w:rsidRDefault="006F0F3C" w:rsidP="006F0F3C">
            <w:pPr>
              <w:pStyle w:val="appendixctext"/>
              <w:spacing w:before="40"/>
            </w:pPr>
            <w:r w:rsidRPr="00155BC6">
              <w:rPr>
                <w:rFonts w:hint="eastAsia"/>
              </w:rPr>
              <w:t>信息通信技术发展基金</w:t>
            </w:r>
            <w:r>
              <w:br/>
            </w:r>
            <w:r w:rsidRPr="00155BC6">
              <w:rPr>
                <w:rFonts w:hint="eastAsia"/>
              </w:rPr>
              <w:t>（</w:t>
            </w:r>
            <w:r w:rsidRPr="00155BC6">
              <w:rPr>
                <w:rFonts w:hint="eastAsia"/>
              </w:rPr>
              <w:t>ICT-DF</w:t>
            </w:r>
            <w:r w:rsidRPr="00155BC6">
              <w:rPr>
                <w:rFonts w:hint="eastAsia"/>
              </w:rPr>
              <w:t>）</w:t>
            </w:r>
          </w:p>
        </w:tc>
        <w:tc>
          <w:tcPr>
            <w:tcW w:w="1036" w:type="dxa"/>
            <w:tcBorders>
              <w:top w:val="nil"/>
              <w:left w:val="single" w:sz="4" w:space="0" w:color="auto"/>
              <w:bottom w:val="nil"/>
              <w:right w:val="nil"/>
            </w:tcBorders>
          </w:tcPr>
          <w:p w14:paraId="4827C54C" w14:textId="77777777" w:rsidR="006F0F3C" w:rsidRPr="00155BC6" w:rsidRDefault="006F0F3C" w:rsidP="006F0F3C">
            <w:pPr>
              <w:pStyle w:val="appendixctext"/>
              <w:spacing w:before="40"/>
            </w:pPr>
            <w:r w:rsidRPr="00155BC6">
              <w:t>R 1338</w:t>
            </w:r>
          </w:p>
        </w:tc>
        <w:tc>
          <w:tcPr>
            <w:tcW w:w="599" w:type="dxa"/>
            <w:tcBorders>
              <w:top w:val="nil"/>
              <w:left w:val="nil"/>
              <w:bottom w:val="nil"/>
            </w:tcBorders>
          </w:tcPr>
          <w:p w14:paraId="4827C54D" w14:textId="77777777" w:rsidR="006F0F3C" w:rsidRPr="00155BC6" w:rsidRDefault="006F0F3C" w:rsidP="006F0F3C">
            <w:pPr>
              <w:pStyle w:val="appendixctext"/>
              <w:spacing w:before="40"/>
            </w:pPr>
            <w:r w:rsidRPr="00155BC6">
              <w:t>1.2</w:t>
            </w:r>
          </w:p>
        </w:tc>
      </w:tr>
      <w:tr w:rsidR="006F0F3C" w:rsidRPr="00155BC6" w14:paraId="4827C553" w14:textId="77777777" w:rsidTr="006C740C">
        <w:trPr>
          <w:jc w:val="center"/>
        </w:trPr>
        <w:tc>
          <w:tcPr>
            <w:tcW w:w="303" w:type="dxa"/>
            <w:tcBorders>
              <w:top w:val="nil"/>
              <w:bottom w:val="nil"/>
              <w:right w:val="nil"/>
            </w:tcBorders>
          </w:tcPr>
          <w:p w14:paraId="4827C54F" w14:textId="77777777" w:rsidR="006F0F3C" w:rsidRPr="00B0242C" w:rsidRDefault="006F0F3C" w:rsidP="006F0F3C">
            <w:pPr>
              <w:pStyle w:val="appendixctext"/>
            </w:pPr>
            <w:r w:rsidRPr="00B0242C">
              <w:t>–</w:t>
            </w:r>
          </w:p>
        </w:tc>
        <w:tc>
          <w:tcPr>
            <w:tcW w:w="2564" w:type="dxa"/>
            <w:tcBorders>
              <w:top w:val="nil"/>
              <w:left w:val="nil"/>
              <w:bottom w:val="nil"/>
              <w:right w:val="single" w:sz="4" w:space="0" w:color="auto"/>
            </w:tcBorders>
          </w:tcPr>
          <w:p w14:paraId="4827C550" w14:textId="77777777" w:rsidR="006F0F3C" w:rsidRPr="00155BC6" w:rsidRDefault="006F0F3C" w:rsidP="006F0F3C">
            <w:pPr>
              <w:pStyle w:val="appendixctext"/>
              <w:spacing w:before="40"/>
              <w:rPr>
                <w:lang w:eastAsia="zh-CN"/>
              </w:rPr>
            </w:pPr>
            <w:r w:rsidRPr="00155BC6">
              <w:rPr>
                <w:rFonts w:hint="eastAsia"/>
                <w:lang w:eastAsia="zh-CN"/>
              </w:rPr>
              <w:t>不支付卫星网络申报成本回收费用的问题</w:t>
            </w:r>
          </w:p>
        </w:tc>
        <w:tc>
          <w:tcPr>
            <w:tcW w:w="1036" w:type="dxa"/>
            <w:tcBorders>
              <w:top w:val="nil"/>
              <w:left w:val="single" w:sz="4" w:space="0" w:color="auto"/>
              <w:bottom w:val="nil"/>
              <w:right w:val="nil"/>
            </w:tcBorders>
          </w:tcPr>
          <w:p w14:paraId="4827C551" w14:textId="77777777" w:rsidR="006F0F3C" w:rsidRPr="00155BC6" w:rsidRDefault="006F0F3C" w:rsidP="006F0F3C">
            <w:pPr>
              <w:pStyle w:val="appendixctext"/>
              <w:spacing w:before="40"/>
            </w:pPr>
            <w:r w:rsidRPr="00155BC6">
              <w:t>D 545</w:t>
            </w:r>
          </w:p>
        </w:tc>
        <w:tc>
          <w:tcPr>
            <w:tcW w:w="599" w:type="dxa"/>
            <w:tcBorders>
              <w:top w:val="nil"/>
              <w:left w:val="nil"/>
              <w:bottom w:val="nil"/>
            </w:tcBorders>
          </w:tcPr>
          <w:p w14:paraId="4827C552" w14:textId="77777777" w:rsidR="006F0F3C" w:rsidRPr="00155BC6" w:rsidRDefault="006F0F3C" w:rsidP="006F0F3C">
            <w:pPr>
              <w:pStyle w:val="appendixctext"/>
              <w:spacing w:before="40"/>
            </w:pPr>
            <w:r w:rsidRPr="00155BC6">
              <w:t>1.2</w:t>
            </w:r>
          </w:p>
        </w:tc>
      </w:tr>
      <w:tr w:rsidR="006F0F3C" w:rsidRPr="00155BC6" w14:paraId="4827C558" w14:textId="77777777" w:rsidTr="006C740C">
        <w:trPr>
          <w:jc w:val="center"/>
        </w:trPr>
        <w:tc>
          <w:tcPr>
            <w:tcW w:w="303" w:type="dxa"/>
            <w:tcBorders>
              <w:top w:val="nil"/>
              <w:bottom w:val="nil"/>
              <w:right w:val="nil"/>
            </w:tcBorders>
          </w:tcPr>
          <w:p w14:paraId="4827C554" w14:textId="77777777" w:rsidR="006F0F3C" w:rsidRPr="00B0242C" w:rsidRDefault="006F0F3C" w:rsidP="006F0F3C">
            <w:pPr>
              <w:pStyle w:val="appendixctext"/>
            </w:pPr>
            <w:r w:rsidRPr="00B0242C">
              <w:t>–</w:t>
            </w:r>
          </w:p>
        </w:tc>
        <w:tc>
          <w:tcPr>
            <w:tcW w:w="2564" w:type="dxa"/>
            <w:tcBorders>
              <w:top w:val="nil"/>
              <w:left w:val="nil"/>
              <w:bottom w:val="nil"/>
              <w:right w:val="single" w:sz="4" w:space="0" w:color="auto"/>
            </w:tcBorders>
          </w:tcPr>
          <w:p w14:paraId="4827C555" w14:textId="77777777" w:rsidR="006F0F3C" w:rsidRPr="00155BC6" w:rsidRDefault="006F0F3C" w:rsidP="006F0F3C">
            <w:pPr>
              <w:pStyle w:val="appendixctext"/>
              <w:spacing w:before="40"/>
              <w:rPr>
                <w:lang w:eastAsia="zh-CN"/>
              </w:rPr>
            </w:pPr>
            <w:r w:rsidRPr="00155BC6">
              <w:rPr>
                <w:rFonts w:hint="eastAsia"/>
                <w:lang w:eastAsia="zh-CN"/>
              </w:rPr>
              <w:t>专门机构和其他国际组织参加国际电联大会和会议的财务</w:t>
            </w:r>
            <w:r>
              <w:rPr>
                <w:lang w:eastAsia="zh-CN"/>
              </w:rPr>
              <w:br/>
            </w:r>
            <w:r w:rsidRPr="00155BC6">
              <w:rPr>
                <w:rFonts w:hint="eastAsia"/>
                <w:lang w:eastAsia="zh-CN"/>
              </w:rPr>
              <w:t>条件</w:t>
            </w:r>
          </w:p>
        </w:tc>
        <w:tc>
          <w:tcPr>
            <w:tcW w:w="1036" w:type="dxa"/>
            <w:tcBorders>
              <w:top w:val="nil"/>
              <w:left w:val="single" w:sz="4" w:space="0" w:color="auto"/>
              <w:bottom w:val="nil"/>
              <w:right w:val="nil"/>
            </w:tcBorders>
          </w:tcPr>
          <w:p w14:paraId="4827C556" w14:textId="77777777" w:rsidR="006F0F3C" w:rsidRPr="00155BC6" w:rsidRDefault="006F0F3C" w:rsidP="006F0F3C">
            <w:pPr>
              <w:pStyle w:val="appendixctext"/>
              <w:spacing w:before="40"/>
            </w:pPr>
            <w:r w:rsidRPr="00155BC6">
              <w:t>R 925</w:t>
            </w:r>
          </w:p>
        </w:tc>
        <w:tc>
          <w:tcPr>
            <w:tcW w:w="599" w:type="dxa"/>
            <w:tcBorders>
              <w:top w:val="nil"/>
              <w:left w:val="nil"/>
              <w:bottom w:val="nil"/>
            </w:tcBorders>
          </w:tcPr>
          <w:p w14:paraId="4827C557" w14:textId="77777777" w:rsidR="006F0F3C" w:rsidRPr="00155BC6" w:rsidRDefault="006F0F3C" w:rsidP="006F0F3C">
            <w:pPr>
              <w:pStyle w:val="appendixctext"/>
              <w:spacing w:before="40"/>
            </w:pPr>
            <w:r w:rsidRPr="00155BC6">
              <w:t>1.2</w:t>
            </w:r>
          </w:p>
        </w:tc>
      </w:tr>
      <w:tr w:rsidR="006F0F3C" w:rsidRPr="00155BC6" w14:paraId="4827C55D" w14:textId="77777777" w:rsidTr="006C740C">
        <w:trPr>
          <w:jc w:val="center"/>
        </w:trPr>
        <w:tc>
          <w:tcPr>
            <w:tcW w:w="303" w:type="dxa"/>
            <w:tcBorders>
              <w:top w:val="nil"/>
              <w:bottom w:val="nil"/>
              <w:right w:val="nil"/>
            </w:tcBorders>
          </w:tcPr>
          <w:p w14:paraId="4827C559" w14:textId="77777777" w:rsidR="006F0F3C" w:rsidRPr="00155BC6" w:rsidRDefault="006F0F3C" w:rsidP="006F0F3C">
            <w:pPr>
              <w:pStyle w:val="appendixctext"/>
            </w:pPr>
            <w:r w:rsidRPr="00155BC6">
              <w:t>–</w:t>
            </w:r>
          </w:p>
        </w:tc>
        <w:tc>
          <w:tcPr>
            <w:tcW w:w="2564" w:type="dxa"/>
            <w:tcBorders>
              <w:top w:val="nil"/>
              <w:left w:val="nil"/>
              <w:bottom w:val="nil"/>
              <w:right w:val="single" w:sz="4" w:space="0" w:color="auto"/>
            </w:tcBorders>
          </w:tcPr>
          <w:p w14:paraId="4827C55A" w14:textId="77777777" w:rsidR="006F0F3C" w:rsidRPr="00155BC6" w:rsidRDefault="006F0F3C" w:rsidP="006F0F3C">
            <w:pPr>
              <w:pStyle w:val="appendixctext"/>
              <w:spacing w:before="40"/>
            </w:pPr>
            <w:r w:rsidRPr="00155BC6">
              <w:rPr>
                <w:rFonts w:hint="eastAsia"/>
              </w:rPr>
              <w:t>电信展盈余基金</w:t>
            </w:r>
          </w:p>
        </w:tc>
        <w:tc>
          <w:tcPr>
            <w:tcW w:w="1036" w:type="dxa"/>
            <w:tcBorders>
              <w:top w:val="nil"/>
              <w:left w:val="single" w:sz="4" w:space="0" w:color="auto"/>
              <w:bottom w:val="nil"/>
              <w:right w:val="nil"/>
            </w:tcBorders>
          </w:tcPr>
          <w:p w14:paraId="4827C55B" w14:textId="77777777" w:rsidR="006F0F3C" w:rsidRPr="00155BC6" w:rsidRDefault="006F0F3C" w:rsidP="006F0F3C">
            <w:pPr>
              <w:pStyle w:val="appendixctext"/>
              <w:spacing w:before="40"/>
            </w:pPr>
            <w:r w:rsidRPr="00155BC6">
              <w:t>R 1111</w:t>
            </w:r>
          </w:p>
        </w:tc>
        <w:tc>
          <w:tcPr>
            <w:tcW w:w="599" w:type="dxa"/>
            <w:tcBorders>
              <w:top w:val="nil"/>
              <w:left w:val="nil"/>
              <w:bottom w:val="nil"/>
            </w:tcBorders>
          </w:tcPr>
          <w:p w14:paraId="4827C55C" w14:textId="77777777" w:rsidR="006F0F3C" w:rsidRPr="00155BC6" w:rsidRDefault="006F0F3C" w:rsidP="006F0F3C">
            <w:pPr>
              <w:pStyle w:val="appendixctext"/>
              <w:spacing w:before="40"/>
            </w:pPr>
            <w:r w:rsidRPr="00155BC6">
              <w:t>1.2</w:t>
            </w:r>
          </w:p>
        </w:tc>
      </w:tr>
      <w:tr w:rsidR="006F0F3C" w:rsidRPr="00155BC6" w14:paraId="4827C562" w14:textId="77777777" w:rsidTr="006C740C">
        <w:trPr>
          <w:jc w:val="center"/>
        </w:trPr>
        <w:tc>
          <w:tcPr>
            <w:tcW w:w="303" w:type="dxa"/>
            <w:tcBorders>
              <w:top w:val="nil"/>
              <w:right w:val="nil"/>
            </w:tcBorders>
          </w:tcPr>
          <w:p w14:paraId="4827C55E" w14:textId="77777777" w:rsidR="006F0F3C" w:rsidRPr="00155BC6" w:rsidRDefault="006F0F3C" w:rsidP="006F0F3C">
            <w:pPr>
              <w:pStyle w:val="appendixctext"/>
            </w:pPr>
            <w:r w:rsidRPr="00155BC6">
              <w:t>–</w:t>
            </w:r>
          </w:p>
        </w:tc>
        <w:tc>
          <w:tcPr>
            <w:tcW w:w="2564" w:type="dxa"/>
            <w:tcBorders>
              <w:top w:val="nil"/>
              <w:left w:val="nil"/>
              <w:right w:val="single" w:sz="4" w:space="0" w:color="auto"/>
            </w:tcBorders>
          </w:tcPr>
          <w:p w14:paraId="4827C55F" w14:textId="77777777" w:rsidR="006F0F3C" w:rsidRPr="00155BC6" w:rsidRDefault="006F0F3C" w:rsidP="006F0F3C">
            <w:pPr>
              <w:pStyle w:val="appendixctext"/>
              <w:spacing w:before="40"/>
              <w:rPr>
                <w:lang w:eastAsia="zh-CN"/>
              </w:rPr>
            </w:pPr>
            <w:r w:rsidRPr="00155BC6">
              <w:rPr>
                <w:rFonts w:hint="eastAsia"/>
                <w:lang w:eastAsia="zh-CN"/>
              </w:rPr>
              <w:t>财务和人力资源工作组</w:t>
            </w:r>
          </w:p>
        </w:tc>
        <w:tc>
          <w:tcPr>
            <w:tcW w:w="1036" w:type="dxa"/>
            <w:tcBorders>
              <w:top w:val="nil"/>
              <w:left w:val="single" w:sz="4" w:space="0" w:color="auto"/>
              <w:bottom w:val="single" w:sz="4" w:space="0" w:color="auto"/>
              <w:right w:val="nil"/>
            </w:tcBorders>
          </w:tcPr>
          <w:p w14:paraId="4827C560" w14:textId="77777777" w:rsidR="006F0F3C" w:rsidRPr="00155BC6" w:rsidRDefault="006F0F3C" w:rsidP="006F0F3C">
            <w:pPr>
              <w:pStyle w:val="appendixctext"/>
              <w:spacing w:before="40"/>
            </w:pPr>
            <w:r w:rsidRPr="00155BC6">
              <w:t>D 563</w:t>
            </w:r>
          </w:p>
        </w:tc>
        <w:tc>
          <w:tcPr>
            <w:tcW w:w="599" w:type="dxa"/>
            <w:tcBorders>
              <w:top w:val="nil"/>
              <w:left w:val="nil"/>
              <w:bottom w:val="single" w:sz="4" w:space="0" w:color="auto"/>
            </w:tcBorders>
          </w:tcPr>
          <w:p w14:paraId="4827C561" w14:textId="77777777" w:rsidR="006F0F3C" w:rsidRPr="00155BC6" w:rsidRDefault="006F0F3C" w:rsidP="006F0F3C">
            <w:pPr>
              <w:pStyle w:val="appendixctext"/>
              <w:spacing w:before="40"/>
            </w:pPr>
            <w:r w:rsidRPr="00155BC6">
              <w:t>3.2</w:t>
            </w:r>
          </w:p>
        </w:tc>
      </w:tr>
      <w:tr w:rsidR="006F0F3C" w:rsidRPr="00155BC6" w14:paraId="4827C566" w14:textId="77777777" w:rsidTr="006C740C">
        <w:trPr>
          <w:jc w:val="center"/>
        </w:trPr>
        <w:tc>
          <w:tcPr>
            <w:tcW w:w="2867" w:type="dxa"/>
            <w:gridSpan w:val="2"/>
            <w:tcBorders>
              <w:bottom w:val="nil"/>
              <w:right w:val="single" w:sz="4" w:space="0" w:color="auto"/>
            </w:tcBorders>
          </w:tcPr>
          <w:p w14:paraId="4827C563" w14:textId="77777777" w:rsidR="006F0F3C" w:rsidRPr="00155BC6" w:rsidRDefault="006F0F3C" w:rsidP="006F0F3C">
            <w:pPr>
              <w:pStyle w:val="appendixchead"/>
            </w:pPr>
            <w:r w:rsidRPr="00155BC6">
              <w:rPr>
                <w:rFonts w:hint="eastAsia"/>
              </w:rPr>
              <w:t>财务工作报告</w:t>
            </w:r>
          </w:p>
        </w:tc>
        <w:tc>
          <w:tcPr>
            <w:tcW w:w="1036" w:type="dxa"/>
            <w:tcBorders>
              <w:left w:val="single" w:sz="4" w:space="0" w:color="auto"/>
              <w:bottom w:val="nil"/>
              <w:right w:val="nil"/>
            </w:tcBorders>
          </w:tcPr>
          <w:p w14:paraId="1F3562BC" w14:textId="77777777" w:rsidR="006F0F3C" w:rsidRDefault="006F0F3C" w:rsidP="006F0F3C">
            <w:pPr>
              <w:pStyle w:val="appendixctext"/>
              <w:spacing w:before="120"/>
              <w:rPr>
                <w:lang w:eastAsia="zh-CN"/>
              </w:rPr>
            </w:pPr>
            <w:r w:rsidRPr="00155BC6">
              <w:t>R 13</w:t>
            </w:r>
            <w:r w:rsidR="00BE09C8">
              <w:rPr>
                <w:rFonts w:hint="eastAsia"/>
                <w:lang w:eastAsia="zh-CN"/>
              </w:rPr>
              <w:t>97</w:t>
            </w:r>
          </w:p>
          <w:p w14:paraId="4827C564" w14:textId="2D301FB7" w:rsidR="00950BCF" w:rsidRPr="00155BC6" w:rsidRDefault="00950BCF" w:rsidP="00950BCF">
            <w:pPr>
              <w:pStyle w:val="appendixctext"/>
              <w:spacing w:before="40"/>
            </w:pPr>
            <w:r>
              <w:t>R 1400</w:t>
            </w:r>
          </w:p>
        </w:tc>
        <w:tc>
          <w:tcPr>
            <w:tcW w:w="599" w:type="dxa"/>
            <w:tcBorders>
              <w:left w:val="nil"/>
              <w:bottom w:val="nil"/>
            </w:tcBorders>
          </w:tcPr>
          <w:p w14:paraId="163B663F" w14:textId="77777777" w:rsidR="006F0F3C" w:rsidRDefault="006F0F3C" w:rsidP="006F0F3C">
            <w:pPr>
              <w:pStyle w:val="appendixctext"/>
              <w:spacing w:before="120"/>
            </w:pPr>
            <w:r w:rsidRPr="00155BC6">
              <w:t>1.2</w:t>
            </w:r>
          </w:p>
          <w:p w14:paraId="4827C565" w14:textId="77003C10" w:rsidR="00950BCF" w:rsidRPr="00155BC6" w:rsidRDefault="00950BCF" w:rsidP="00950BCF">
            <w:pPr>
              <w:pStyle w:val="appendixctext"/>
              <w:spacing w:before="40"/>
            </w:pPr>
            <w:r>
              <w:t>1.2</w:t>
            </w:r>
          </w:p>
        </w:tc>
      </w:tr>
      <w:tr w:rsidR="006F0F3C" w:rsidRPr="00155BC6" w14:paraId="4827C56A" w14:textId="77777777" w:rsidTr="006C740C">
        <w:trPr>
          <w:jc w:val="center"/>
        </w:trPr>
        <w:tc>
          <w:tcPr>
            <w:tcW w:w="2867" w:type="dxa"/>
            <w:gridSpan w:val="2"/>
            <w:tcBorders>
              <w:bottom w:val="nil"/>
              <w:right w:val="single" w:sz="4" w:space="0" w:color="auto"/>
            </w:tcBorders>
          </w:tcPr>
          <w:p w14:paraId="4827C567" w14:textId="77777777" w:rsidR="006F0F3C" w:rsidRPr="00155BC6" w:rsidRDefault="006F0F3C" w:rsidP="006F0F3C">
            <w:pPr>
              <w:pStyle w:val="appendixchead"/>
            </w:pPr>
            <w:r w:rsidRPr="00155BC6">
              <w:rPr>
                <w:rFonts w:hint="eastAsia"/>
              </w:rPr>
              <w:t>成本回收</w:t>
            </w:r>
          </w:p>
        </w:tc>
        <w:tc>
          <w:tcPr>
            <w:tcW w:w="1036" w:type="dxa"/>
            <w:tcBorders>
              <w:left w:val="single" w:sz="4" w:space="0" w:color="auto"/>
              <w:bottom w:val="nil"/>
              <w:right w:val="nil"/>
            </w:tcBorders>
          </w:tcPr>
          <w:p w14:paraId="4827C568" w14:textId="77777777" w:rsidR="006F0F3C" w:rsidRPr="00155BC6" w:rsidRDefault="006F0F3C" w:rsidP="006F0F3C">
            <w:pPr>
              <w:pStyle w:val="appendixctext"/>
              <w:spacing w:before="120"/>
            </w:pPr>
            <w:r w:rsidRPr="00155BC6">
              <w:t>R 1168</w:t>
            </w:r>
          </w:p>
        </w:tc>
        <w:tc>
          <w:tcPr>
            <w:tcW w:w="599" w:type="dxa"/>
            <w:tcBorders>
              <w:left w:val="nil"/>
              <w:bottom w:val="nil"/>
            </w:tcBorders>
          </w:tcPr>
          <w:p w14:paraId="4827C569" w14:textId="77777777" w:rsidR="006F0F3C" w:rsidRPr="00155BC6" w:rsidRDefault="006F0F3C" w:rsidP="006F0F3C">
            <w:pPr>
              <w:pStyle w:val="appendixctext"/>
              <w:spacing w:before="120"/>
            </w:pPr>
            <w:r w:rsidRPr="00155BC6">
              <w:t>5.3</w:t>
            </w:r>
          </w:p>
        </w:tc>
      </w:tr>
      <w:tr w:rsidR="006F0F3C" w:rsidRPr="00155BC6" w14:paraId="4827C56F" w14:textId="77777777" w:rsidTr="006C740C">
        <w:trPr>
          <w:jc w:val="center"/>
        </w:trPr>
        <w:tc>
          <w:tcPr>
            <w:tcW w:w="303" w:type="dxa"/>
            <w:tcBorders>
              <w:top w:val="nil"/>
              <w:bottom w:val="nil"/>
              <w:right w:val="nil"/>
            </w:tcBorders>
          </w:tcPr>
          <w:p w14:paraId="4827C56B" w14:textId="77777777" w:rsidR="006F0F3C" w:rsidRPr="00155BC6" w:rsidRDefault="006F0F3C" w:rsidP="00290AE7">
            <w:pPr>
              <w:pStyle w:val="appendixctext"/>
              <w:spacing w:before="0"/>
            </w:pPr>
          </w:p>
        </w:tc>
        <w:tc>
          <w:tcPr>
            <w:tcW w:w="2564" w:type="dxa"/>
            <w:tcBorders>
              <w:top w:val="nil"/>
              <w:left w:val="nil"/>
              <w:bottom w:val="nil"/>
              <w:right w:val="single" w:sz="4" w:space="0" w:color="auto"/>
            </w:tcBorders>
          </w:tcPr>
          <w:p w14:paraId="4827C56C" w14:textId="77777777" w:rsidR="006F0F3C" w:rsidRPr="00155BC6" w:rsidRDefault="006F0F3C" w:rsidP="00290AE7">
            <w:pPr>
              <w:pStyle w:val="appendixctext"/>
              <w:spacing w:before="0"/>
            </w:pPr>
          </w:p>
        </w:tc>
        <w:tc>
          <w:tcPr>
            <w:tcW w:w="1036" w:type="dxa"/>
            <w:tcBorders>
              <w:top w:val="nil"/>
              <w:left w:val="single" w:sz="4" w:space="0" w:color="auto"/>
              <w:bottom w:val="nil"/>
              <w:right w:val="nil"/>
            </w:tcBorders>
          </w:tcPr>
          <w:p w14:paraId="4827C56D" w14:textId="77777777" w:rsidR="006F0F3C" w:rsidRPr="00155BC6" w:rsidRDefault="006F0F3C" w:rsidP="00290AE7">
            <w:pPr>
              <w:pStyle w:val="appendixctext"/>
              <w:spacing w:before="0"/>
            </w:pPr>
            <w:r w:rsidRPr="00155BC6">
              <w:t>D 482</w:t>
            </w:r>
          </w:p>
        </w:tc>
        <w:tc>
          <w:tcPr>
            <w:tcW w:w="599" w:type="dxa"/>
            <w:tcBorders>
              <w:top w:val="nil"/>
              <w:left w:val="nil"/>
              <w:bottom w:val="nil"/>
            </w:tcBorders>
          </w:tcPr>
          <w:p w14:paraId="4827C56E" w14:textId="77777777" w:rsidR="006F0F3C" w:rsidRPr="00155BC6" w:rsidRDefault="006F0F3C" w:rsidP="00290AE7">
            <w:pPr>
              <w:pStyle w:val="appendixctext"/>
              <w:spacing w:before="0"/>
            </w:pPr>
            <w:r w:rsidRPr="00155BC6">
              <w:t>1.2</w:t>
            </w:r>
          </w:p>
        </w:tc>
      </w:tr>
      <w:tr w:rsidR="006F0F3C" w:rsidRPr="00155BC6" w14:paraId="4827C574" w14:textId="77777777" w:rsidTr="006C740C">
        <w:trPr>
          <w:jc w:val="center"/>
        </w:trPr>
        <w:tc>
          <w:tcPr>
            <w:tcW w:w="303" w:type="dxa"/>
            <w:tcBorders>
              <w:top w:val="nil"/>
              <w:bottom w:val="nil"/>
              <w:right w:val="nil"/>
            </w:tcBorders>
          </w:tcPr>
          <w:p w14:paraId="4827C570" w14:textId="77777777" w:rsidR="006F0F3C" w:rsidRPr="00155BC6" w:rsidRDefault="006F0F3C" w:rsidP="00290AE7">
            <w:pPr>
              <w:pStyle w:val="appendixctext"/>
              <w:spacing w:before="0"/>
            </w:pPr>
          </w:p>
        </w:tc>
        <w:tc>
          <w:tcPr>
            <w:tcW w:w="2564" w:type="dxa"/>
            <w:tcBorders>
              <w:top w:val="nil"/>
              <w:left w:val="nil"/>
              <w:bottom w:val="nil"/>
              <w:right w:val="single" w:sz="4" w:space="0" w:color="auto"/>
            </w:tcBorders>
          </w:tcPr>
          <w:p w14:paraId="4827C571" w14:textId="77777777" w:rsidR="006F0F3C" w:rsidRPr="00155BC6" w:rsidRDefault="006F0F3C" w:rsidP="00290AE7">
            <w:pPr>
              <w:pStyle w:val="appendixctext"/>
              <w:spacing w:before="0"/>
            </w:pPr>
          </w:p>
        </w:tc>
        <w:tc>
          <w:tcPr>
            <w:tcW w:w="1036" w:type="dxa"/>
            <w:tcBorders>
              <w:top w:val="nil"/>
              <w:left w:val="single" w:sz="4" w:space="0" w:color="auto"/>
              <w:bottom w:val="nil"/>
              <w:right w:val="nil"/>
            </w:tcBorders>
          </w:tcPr>
          <w:p w14:paraId="4827C572" w14:textId="77777777" w:rsidR="006F0F3C" w:rsidRPr="00155BC6" w:rsidRDefault="006F0F3C" w:rsidP="00290AE7">
            <w:pPr>
              <w:pStyle w:val="appendixctext"/>
              <w:spacing w:before="0"/>
            </w:pPr>
            <w:r w:rsidRPr="00155BC6">
              <w:t>D 535</w:t>
            </w:r>
          </w:p>
        </w:tc>
        <w:tc>
          <w:tcPr>
            <w:tcW w:w="599" w:type="dxa"/>
            <w:tcBorders>
              <w:top w:val="nil"/>
              <w:left w:val="nil"/>
              <w:bottom w:val="nil"/>
            </w:tcBorders>
          </w:tcPr>
          <w:p w14:paraId="4827C573" w14:textId="77777777" w:rsidR="006F0F3C" w:rsidRPr="00155BC6" w:rsidRDefault="006F0F3C" w:rsidP="00290AE7">
            <w:pPr>
              <w:pStyle w:val="appendixctext"/>
              <w:spacing w:before="0"/>
            </w:pPr>
            <w:r w:rsidRPr="00155BC6">
              <w:t>5.2</w:t>
            </w:r>
          </w:p>
        </w:tc>
      </w:tr>
      <w:tr w:rsidR="006F0F3C" w:rsidRPr="00155BC6" w14:paraId="4827C579" w14:textId="77777777" w:rsidTr="006C740C">
        <w:trPr>
          <w:jc w:val="center"/>
        </w:trPr>
        <w:tc>
          <w:tcPr>
            <w:tcW w:w="303" w:type="dxa"/>
            <w:tcBorders>
              <w:top w:val="nil"/>
              <w:right w:val="nil"/>
            </w:tcBorders>
          </w:tcPr>
          <w:p w14:paraId="4827C575" w14:textId="77777777" w:rsidR="006F0F3C" w:rsidRPr="00155BC6" w:rsidRDefault="006F0F3C" w:rsidP="00290AE7">
            <w:pPr>
              <w:pStyle w:val="appendixctext"/>
              <w:spacing w:before="0"/>
            </w:pPr>
          </w:p>
        </w:tc>
        <w:tc>
          <w:tcPr>
            <w:tcW w:w="2564" w:type="dxa"/>
            <w:tcBorders>
              <w:top w:val="nil"/>
              <w:left w:val="nil"/>
              <w:right w:val="single" w:sz="4" w:space="0" w:color="auto"/>
            </w:tcBorders>
          </w:tcPr>
          <w:p w14:paraId="4827C576" w14:textId="77777777" w:rsidR="006F0F3C" w:rsidRPr="00155BC6" w:rsidRDefault="006F0F3C" w:rsidP="00290AE7">
            <w:pPr>
              <w:pStyle w:val="appendixctext"/>
              <w:spacing w:before="0"/>
            </w:pPr>
          </w:p>
        </w:tc>
        <w:tc>
          <w:tcPr>
            <w:tcW w:w="1036" w:type="dxa"/>
            <w:tcBorders>
              <w:top w:val="nil"/>
              <w:left w:val="single" w:sz="4" w:space="0" w:color="auto"/>
              <w:right w:val="nil"/>
            </w:tcBorders>
          </w:tcPr>
          <w:p w14:paraId="4827C577" w14:textId="77777777" w:rsidR="006F0F3C" w:rsidRPr="00155BC6" w:rsidRDefault="006F0F3C" w:rsidP="00290AE7">
            <w:pPr>
              <w:pStyle w:val="appendixctext"/>
              <w:spacing w:before="0"/>
            </w:pPr>
            <w:r w:rsidRPr="00155BC6">
              <w:t>D 545</w:t>
            </w:r>
          </w:p>
        </w:tc>
        <w:tc>
          <w:tcPr>
            <w:tcW w:w="599" w:type="dxa"/>
            <w:tcBorders>
              <w:top w:val="nil"/>
              <w:left w:val="nil"/>
            </w:tcBorders>
          </w:tcPr>
          <w:p w14:paraId="4827C578" w14:textId="77777777" w:rsidR="006F0F3C" w:rsidRPr="00155BC6" w:rsidRDefault="006F0F3C" w:rsidP="00290AE7">
            <w:pPr>
              <w:pStyle w:val="appendixctext"/>
              <w:spacing w:before="0"/>
            </w:pPr>
            <w:r w:rsidRPr="00155BC6">
              <w:t>1.2</w:t>
            </w:r>
          </w:p>
        </w:tc>
      </w:tr>
      <w:tr w:rsidR="006F0F3C" w:rsidRPr="00155BC6" w14:paraId="4827C57D" w14:textId="77777777" w:rsidTr="006C740C">
        <w:trPr>
          <w:jc w:val="center"/>
        </w:trPr>
        <w:tc>
          <w:tcPr>
            <w:tcW w:w="2867" w:type="dxa"/>
            <w:gridSpan w:val="2"/>
            <w:tcBorders>
              <w:bottom w:val="nil"/>
              <w:right w:val="single" w:sz="4" w:space="0" w:color="auto"/>
            </w:tcBorders>
          </w:tcPr>
          <w:p w14:paraId="4827C57A" w14:textId="77777777" w:rsidR="006F0F3C" w:rsidRPr="00155BC6" w:rsidRDefault="006F0F3C" w:rsidP="006F0F3C">
            <w:pPr>
              <w:pStyle w:val="appendixchead"/>
            </w:pPr>
            <w:r w:rsidRPr="00155BC6">
              <w:rPr>
                <w:rFonts w:hint="eastAsia"/>
              </w:rPr>
              <w:t>出版物</w:t>
            </w:r>
          </w:p>
        </w:tc>
        <w:tc>
          <w:tcPr>
            <w:tcW w:w="1036" w:type="dxa"/>
            <w:tcBorders>
              <w:left w:val="single" w:sz="4" w:space="0" w:color="auto"/>
              <w:bottom w:val="nil"/>
              <w:right w:val="nil"/>
            </w:tcBorders>
          </w:tcPr>
          <w:p w14:paraId="4827C57B" w14:textId="77777777" w:rsidR="006F0F3C" w:rsidRPr="00155BC6" w:rsidRDefault="006F0F3C" w:rsidP="006F0F3C">
            <w:pPr>
              <w:pStyle w:val="appendixctext"/>
            </w:pPr>
          </w:p>
        </w:tc>
        <w:tc>
          <w:tcPr>
            <w:tcW w:w="599" w:type="dxa"/>
            <w:tcBorders>
              <w:left w:val="nil"/>
              <w:bottom w:val="nil"/>
            </w:tcBorders>
          </w:tcPr>
          <w:p w14:paraId="4827C57C" w14:textId="77777777" w:rsidR="006F0F3C" w:rsidRPr="00155BC6" w:rsidRDefault="006F0F3C" w:rsidP="006F0F3C">
            <w:pPr>
              <w:pStyle w:val="appendixctext"/>
            </w:pPr>
          </w:p>
        </w:tc>
      </w:tr>
      <w:tr w:rsidR="006F0F3C" w:rsidRPr="00155BC6" w14:paraId="4827C582" w14:textId="77777777" w:rsidTr="006C740C">
        <w:trPr>
          <w:jc w:val="center"/>
        </w:trPr>
        <w:tc>
          <w:tcPr>
            <w:tcW w:w="303" w:type="dxa"/>
            <w:tcBorders>
              <w:top w:val="nil"/>
              <w:bottom w:val="nil"/>
              <w:right w:val="nil"/>
            </w:tcBorders>
          </w:tcPr>
          <w:p w14:paraId="4827C57E" w14:textId="77777777" w:rsidR="006F0F3C" w:rsidRPr="00155BC6" w:rsidRDefault="006F0F3C" w:rsidP="006F0F3C">
            <w:pPr>
              <w:pStyle w:val="appendixctext"/>
            </w:pPr>
            <w:r w:rsidRPr="00155BC6">
              <w:t>–</w:t>
            </w:r>
          </w:p>
        </w:tc>
        <w:tc>
          <w:tcPr>
            <w:tcW w:w="2564" w:type="dxa"/>
            <w:tcBorders>
              <w:top w:val="nil"/>
              <w:left w:val="nil"/>
              <w:bottom w:val="nil"/>
            </w:tcBorders>
          </w:tcPr>
          <w:p w14:paraId="4827C57F" w14:textId="77777777" w:rsidR="006F0F3C" w:rsidRPr="00155BC6" w:rsidRDefault="006F0F3C" w:rsidP="006F0F3C">
            <w:pPr>
              <w:pStyle w:val="appendixctext"/>
              <w:rPr>
                <w:lang w:eastAsia="zh-CN"/>
              </w:rPr>
            </w:pPr>
            <w:r w:rsidRPr="00155BC6">
              <w:rPr>
                <w:rFonts w:hint="eastAsia"/>
                <w:lang w:eastAsia="zh-CN"/>
              </w:rPr>
              <w:t>为国际电联出版物付费</w:t>
            </w:r>
          </w:p>
        </w:tc>
        <w:tc>
          <w:tcPr>
            <w:tcW w:w="1036" w:type="dxa"/>
            <w:tcBorders>
              <w:top w:val="nil"/>
              <w:bottom w:val="nil"/>
              <w:right w:val="nil"/>
            </w:tcBorders>
          </w:tcPr>
          <w:p w14:paraId="4827C580" w14:textId="77777777" w:rsidR="006F0F3C" w:rsidRPr="00155BC6" w:rsidRDefault="006F0F3C" w:rsidP="006F0F3C">
            <w:pPr>
              <w:pStyle w:val="appendixctext"/>
            </w:pPr>
            <w:r w:rsidRPr="00155BC6">
              <w:t>D 387</w:t>
            </w:r>
          </w:p>
        </w:tc>
        <w:tc>
          <w:tcPr>
            <w:tcW w:w="599" w:type="dxa"/>
            <w:tcBorders>
              <w:top w:val="nil"/>
              <w:left w:val="nil"/>
              <w:bottom w:val="nil"/>
            </w:tcBorders>
          </w:tcPr>
          <w:p w14:paraId="4827C581" w14:textId="77777777" w:rsidR="006F0F3C" w:rsidRPr="00155BC6" w:rsidRDefault="006F0F3C" w:rsidP="006F0F3C">
            <w:pPr>
              <w:pStyle w:val="appendixctext"/>
            </w:pPr>
            <w:r w:rsidRPr="00155BC6">
              <w:t>1.2</w:t>
            </w:r>
          </w:p>
        </w:tc>
      </w:tr>
      <w:tr w:rsidR="006F0F3C" w:rsidRPr="00155BC6" w14:paraId="4827C587" w14:textId="77777777" w:rsidTr="006C740C">
        <w:trPr>
          <w:jc w:val="center"/>
        </w:trPr>
        <w:tc>
          <w:tcPr>
            <w:tcW w:w="303" w:type="dxa"/>
            <w:tcBorders>
              <w:top w:val="nil"/>
              <w:bottom w:val="nil"/>
              <w:right w:val="nil"/>
            </w:tcBorders>
          </w:tcPr>
          <w:p w14:paraId="4827C583" w14:textId="77777777" w:rsidR="006F0F3C" w:rsidRPr="00155BC6" w:rsidRDefault="006F0F3C" w:rsidP="006F0F3C">
            <w:pPr>
              <w:pStyle w:val="appendixctext"/>
            </w:pPr>
            <w:r w:rsidRPr="00155BC6">
              <w:t>–</w:t>
            </w:r>
          </w:p>
        </w:tc>
        <w:tc>
          <w:tcPr>
            <w:tcW w:w="2564" w:type="dxa"/>
            <w:tcBorders>
              <w:top w:val="nil"/>
              <w:left w:val="nil"/>
              <w:bottom w:val="nil"/>
            </w:tcBorders>
          </w:tcPr>
          <w:p w14:paraId="4827C584" w14:textId="77777777" w:rsidR="006F0F3C" w:rsidRPr="00155BC6" w:rsidRDefault="006F0F3C" w:rsidP="006F0F3C">
            <w:pPr>
              <w:pStyle w:val="appendixctext"/>
            </w:pPr>
            <w:r w:rsidRPr="00155BC6">
              <w:rPr>
                <w:rFonts w:hint="eastAsia"/>
              </w:rPr>
              <w:t>理事会文件的出版</w:t>
            </w:r>
          </w:p>
        </w:tc>
        <w:tc>
          <w:tcPr>
            <w:tcW w:w="1036" w:type="dxa"/>
            <w:tcBorders>
              <w:top w:val="nil"/>
              <w:bottom w:val="nil"/>
              <w:right w:val="nil"/>
            </w:tcBorders>
          </w:tcPr>
          <w:p w14:paraId="4827C585" w14:textId="77777777" w:rsidR="006F0F3C" w:rsidRPr="00155BC6" w:rsidRDefault="006F0F3C" w:rsidP="006F0F3C">
            <w:pPr>
              <w:pStyle w:val="appendixctext"/>
            </w:pPr>
            <w:r w:rsidRPr="00155BC6">
              <w:t>D 495</w:t>
            </w:r>
          </w:p>
        </w:tc>
        <w:tc>
          <w:tcPr>
            <w:tcW w:w="599" w:type="dxa"/>
            <w:tcBorders>
              <w:top w:val="nil"/>
              <w:left w:val="nil"/>
              <w:bottom w:val="nil"/>
            </w:tcBorders>
          </w:tcPr>
          <w:p w14:paraId="4827C586" w14:textId="77777777" w:rsidR="006F0F3C" w:rsidRPr="00155BC6" w:rsidRDefault="006F0F3C" w:rsidP="006F0F3C">
            <w:pPr>
              <w:pStyle w:val="appendixctext"/>
            </w:pPr>
            <w:r w:rsidRPr="00155BC6">
              <w:t>3.2</w:t>
            </w:r>
          </w:p>
        </w:tc>
      </w:tr>
      <w:tr w:rsidR="006F0F3C" w:rsidRPr="00E3797E" w14:paraId="4827C58C" w14:textId="77777777" w:rsidTr="006F1271">
        <w:trPr>
          <w:jc w:val="center"/>
        </w:trPr>
        <w:tc>
          <w:tcPr>
            <w:tcW w:w="303" w:type="dxa"/>
            <w:tcBorders>
              <w:top w:val="nil"/>
              <w:bottom w:val="single" w:sz="4" w:space="0" w:color="auto"/>
              <w:right w:val="nil"/>
            </w:tcBorders>
          </w:tcPr>
          <w:p w14:paraId="4827C588" w14:textId="77777777" w:rsidR="006F0F3C" w:rsidRPr="00E3797E" w:rsidRDefault="006F0F3C" w:rsidP="006F0F3C">
            <w:pPr>
              <w:pStyle w:val="appendixctext"/>
            </w:pPr>
          </w:p>
        </w:tc>
        <w:tc>
          <w:tcPr>
            <w:tcW w:w="2564" w:type="dxa"/>
            <w:tcBorders>
              <w:top w:val="nil"/>
              <w:left w:val="nil"/>
              <w:bottom w:val="single" w:sz="4" w:space="0" w:color="auto"/>
            </w:tcBorders>
          </w:tcPr>
          <w:p w14:paraId="4827C589" w14:textId="77777777" w:rsidR="006F0F3C" w:rsidRPr="00E3797E" w:rsidRDefault="006F0F3C" w:rsidP="006F0F3C">
            <w:pPr>
              <w:pStyle w:val="appendixctext"/>
            </w:pPr>
          </w:p>
        </w:tc>
        <w:tc>
          <w:tcPr>
            <w:tcW w:w="1036" w:type="dxa"/>
            <w:tcBorders>
              <w:top w:val="nil"/>
              <w:bottom w:val="single" w:sz="4" w:space="0" w:color="auto"/>
              <w:right w:val="nil"/>
            </w:tcBorders>
          </w:tcPr>
          <w:p w14:paraId="4827C58A" w14:textId="77777777" w:rsidR="006F0F3C" w:rsidRPr="00E3797E" w:rsidRDefault="006F0F3C" w:rsidP="006F0F3C">
            <w:pPr>
              <w:pStyle w:val="appendixctext"/>
            </w:pPr>
            <w:r w:rsidRPr="00E3797E">
              <w:t>D 556</w:t>
            </w:r>
          </w:p>
        </w:tc>
        <w:tc>
          <w:tcPr>
            <w:tcW w:w="599" w:type="dxa"/>
            <w:tcBorders>
              <w:top w:val="nil"/>
              <w:left w:val="nil"/>
              <w:bottom w:val="single" w:sz="4" w:space="0" w:color="auto"/>
            </w:tcBorders>
          </w:tcPr>
          <w:p w14:paraId="4827C58B" w14:textId="77777777" w:rsidR="006F0F3C" w:rsidRPr="00E3797E" w:rsidRDefault="006F0F3C" w:rsidP="006F0F3C">
            <w:pPr>
              <w:pStyle w:val="appendixctext"/>
            </w:pPr>
            <w:r w:rsidRPr="00E3797E">
              <w:t>3.2</w:t>
            </w:r>
          </w:p>
        </w:tc>
      </w:tr>
      <w:tr w:rsidR="006F0F3C" w:rsidRPr="00155BC6" w14:paraId="4827C590" w14:textId="77777777" w:rsidTr="006F1271">
        <w:trPr>
          <w:jc w:val="center"/>
        </w:trPr>
        <w:tc>
          <w:tcPr>
            <w:tcW w:w="2867" w:type="dxa"/>
            <w:gridSpan w:val="2"/>
            <w:tcBorders>
              <w:bottom w:val="nil"/>
              <w:right w:val="single" w:sz="4" w:space="0" w:color="auto"/>
            </w:tcBorders>
          </w:tcPr>
          <w:p w14:paraId="4827C58D" w14:textId="77777777" w:rsidR="006F0F3C" w:rsidRPr="00155BC6" w:rsidRDefault="006F0F3C" w:rsidP="006F0F3C">
            <w:pPr>
              <w:pStyle w:val="appendixchead"/>
              <w:rPr>
                <w:lang w:eastAsia="zh-CN"/>
              </w:rPr>
            </w:pPr>
            <w:r w:rsidRPr="00155BC6">
              <w:rPr>
                <w:rFonts w:hint="eastAsia"/>
                <w:lang w:val="en-US" w:eastAsia="zh-CN"/>
              </w:rPr>
              <w:t>大会和会议</w:t>
            </w:r>
            <w:r w:rsidRPr="00155BC6">
              <w:rPr>
                <w:lang w:val="en-US" w:eastAsia="zh-CN"/>
              </w:rPr>
              <w:t>（</w:t>
            </w:r>
            <w:r w:rsidRPr="00FB5609">
              <w:rPr>
                <w:rFonts w:eastAsia="STKaiti" w:hAnsi="SimSun" w:hint="eastAsia"/>
                <w:lang w:eastAsia="zh-CN"/>
              </w:rPr>
              <w:t>亦见</w:t>
            </w:r>
            <w:r w:rsidRPr="00FB5609">
              <w:rPr>
                <w:rFonts w:eastAsia="STKaiti" w:hint="eastAsia"/>
                <w:lang w:val="en-US" w:eastAsia="zh-CN"/>
              </w:rPr>
              <w:t>大会和会议</w:t>
            </w:r>
            <w:r w:rsidRPr="00155BC6">
              <w:rPr>
                <w:lang w:val="en-US" w:eastAsia="zh-CN"/>
              </w:rPr>
              <w:t>（</w:t>
            </w:r>
            <w:r w:rsidRPr="00797849">
              <w:rPr>
                <w:rFonts w:eastAsia="STKaiti" w:hint="eastAsia"/>
                <w:lang w:val="en-US" w:eastAsia="zh-CN"/>
              </w:rPr>
              <w:t>一般性</w:t>
            </w:r>
            <w:r w:rsidRPr="00155BC6">
              <w:rPr>
                <w:lang w:val="en-US" w:eastAsia="zh-CN"/>
              </w:rPr>
              <w:t>）</w:t>
            </w:r>
            <w:r w:rsidRPr="00155BC6">
              <w:rPr>
                <w:rFonts w:asciiTheme="minorEastAsia" w:eastAsiaTheme="minorEastAsia" w:hAnsiTheme="minorEastAsia"/>
                <w:lang w:val="en-US" w:eastAsia="zh-CN"/>
              </w:rPr>
              <w:t>）</w:t>
            </w:r>
          </w:p>
        </w:tc>
        <w:tc>
          <w:tcPr>
            <w:tcW w:w="1036" w:type="dxa"/>
            <w:tcBorders>
              <w:left w:val="single" w:sz="4" w:space="0" w:color="auto"/>
              <w:bottom w:val="nil"/>
              <w:right w:val="nil"/>
            </w:tcBorders>
          </w:tcPr>
          <w:p w14:paraId="4827C58E" w14:textId="77777777" w:rsidR="006F0F3C" w:rsidRPr="00155BC6" w:rsidRDefault="006F0F3C" w:rsidP="006F0F3C">
            <w:pPr>
              <w:pStyle w:val="appendixctext"/>
              <w:rPr>
                <w:lang w:eastAsia="zh-CN"/>
              </w:rPr>
            </w:pPr>
          </w:p>
        </w:tc>
        <w:tc>
          <w:tcPr>
            <w:tcW w:w="599" w:type="dxa"/>
            <w:tcBorders>
              <w:left w:val="nil"/>
              <w:bottom w:val="nil"/>
            </w:tcBorders>
          </w:tcPr>
          <w:p w14:paraId="4827C58F" w14:textId="77777777" w:rsidR="006F0F3C" w:rsidRPr="00155BC6" w:rsidRDefault="006F0F3C" w:rsidP="006F0F3C">
            <w:pPr>
              <w:pStyle w:val="appendixctext"/>
              <w:rPr>
                <w:lang w:eastAsia="zh-CN"/>
              </w:rPr>
            </w:pPr>
          </w:p>
        </w:tc>
      </w:tr>
      <w:tr w:rsidR="006F0F3C" w:rsidRPr="00155BC6" w14:paraId="4827C59A" w14:textId="77777777" w:rsidTr="006F1271">
        <w:trPr>
          <w:jc w:val="center"/>
        </w:trPr>
        <w:tc>
          <w:tcPr>
            <w:tcW w:w="303" w:type="dxa"/>
            <w:tcBorders>
              <w:top w:val="nil"/>
              <w:left w:val="single" w:sz="4" w:space="0" w:color="auto"/>
              <w:bottom w:val="nil"/>
              <w:right w:val="nil"/>
            </w:tcBorders>
          </w:tcPr>
          <w:p w14:paraId="4827C596" w14:textId="77777777" w:rsidR="006F0F3C" w:rsidRPr="00155BC6" w:rsidRDefault="006F0F3C" w:rsidP="006F0F3C">
            <w:pPr>
              <w:pStyle w:val="appendixctext"/>
            </w:pPr>
            <w:r w:rsidRPr="00155BC6">
              <w:t>–</w:t>
            </w:r>
          </w:p>
        </w:tc>
        <w:tc>
          <w:tcPr>
            <w:tcW w:w="2564" w:type="dxa"/>
            <w:tcBorders>
              <w:top w:val="nil"/>
              <w:left w:val="nil"/>
              <w:bottom w:val="nil"/>
              <w:right w:val="single" w:sz="4" w:space="0" w:color="auto"/>
            </w:tcBorders>
          </w:tcPr>
          <w:p w14:paraId="4827C597" w14:textId="36494DDC" w:rsidR="006F0F3C" w:rsidRPr="00155BC6" w:rsidRDefault="006F0F3C" w:rsidP="006F0F3C">
            <w:pPr>
              <w:pStyle w:val="appendixctext"/>
            </w:pPr>
            <w:r w:rsidRPr="00155BC6">
              <w:rPr>
                <w:rFonts w:hint="eastAsia"/>
              </w:rPr>
              <w:t>理事会</w:t>
            </w:r>
            <w:r w:rsidR="00D104BC">
              <w:rPr>
                <w:rFonts w:hint="eastAsia"/>
                <w:lang w:eastAsia="zh-CN"/>
              </w:rPr>
              <w:t>的</w:t>
            </w:r>
            <w:r w:rsidR="00D104BC" w:rsidRPr="00D104BC">
              <w:rPr>
                <w:rFonts w:hint="eastAsia"/>
              </w:rPr>
              <w:t>日期和会期</w:t>
            </w:r>
          </w:p>
        </w:tc>
        <w:tc>
          <w:tcPr>
            <w:tcW w:w="1036" w:type="dxa"/>
            <w:tcBorders>
              <w:top w:val="nil"/>
              <w:left w:val="single" w:sz="4" w:space="0" w:color="auto"/>
              <w:bottom w:val="nil"/>
              <w:right w:val="nil"/>
            </w:tcBorders>
          </w:tcPr>
          <w:p w14:paraId="4827C598" w14:textId="02FF12B4" w:rsidR="006F0F3C" w:rsidRPr="00155BC6" w:rsidRDefault="006F0F3C" w:rsidP="0008193F">
            <w:pPr>
              <w:pStyle w:val="appendixctext"/>
            </w:pPr>
            <w:r w:rsidRPr="00155BC6">
              <w:t xml:space="preserve">D </w:t>
            </w:r>
            <w:r w:rsidR="00737A1F">
              <w:t>6</w:t>
            </w:r>
            <w:r w:rsidR="006C740C">
              <w:rPr>
                <w:rFonts w:hint="eastAsia"/>
                <w:lang w:eastAsia="zh-CN"/>
              </w:rPr>
              <w:t>25</w:t>
            </w:r>
          </w:p>
        </w:tc>
        <w:tc>
          <w:tcPr>
            <w:tcW w:w="599" w:type="dxa"/>
            <w:tcBorders>
              <w:top w:val="nil"/>
              <w:left w:val="nil"/>
              <w:bottom w:val="nil"/>
              <w:right w:val="single" w:sz="4" w:space="0" w:color="auto"/>
            </w:tcBorders>
          </w:tcPr>
          <w:p w14:paraId="4827C599" w14:textId="6B0923AB" w:rsidR="006F0F3C" w:rsidRPr="00155BC6" w:rsidRDefault="006F0F3C" w:rsidP="0008193F">
            <w:pPr>
              <w:pStyle w:val="appendixctext"/>
            </w:pPr>
            <w:r w:rsidRPr="00155BC6">
              <w:t>3.2</w:t>
            </w:r>
          </w:p>
        </w:tc>
      </w:tr>
      <w:tr w:rsidR="008E6EAD" w:rsidRPr="00155BC6" w14:paraId="4827C59F" w14:textId="77777777" w:rsidTr="006F1271">
        <w:trPr>
          <w:jc w:val="center"/>
        </w:trPr>
        <w:tc>
          <w:tcPr>
            <w:tcW w:w="303" w:type="dxa"/>
            <w:tcBorders>
              <w:top w:val="nil"/>
              <w:left w:val="single" w:sz="4" w:space="0" w:color="auto"/>
              <w:bottom w:val="single" w:sz="4" w:space="0" w:color="auto"/>
              <w:right w:val="nil"/>
            </w:tcBorders>
          </w:tcPr>
          <w:p w14:paraId="4827C59B" w14:textId="77777777" w:rsidR="008E6EAD" w:rsidRPr="00155BC6" w:rsidRDefault="008E6EAD" w:rsidP="00290AE7">
            <w:pPr>
              <w:pStyle w:val="appendixctext"/>
              <w:spacing w:before="0"/>
            </w:pPr>
            <w:r w:rsidRPr="00155BC6">
              <w:t>–</w:t>
            </w:r>
          </w:p>
        </w:tc>
        <w:tc>
          <w:tcPr>
            <w:tcW w:w="2564" w:type="dxa"/>
            <w:tcBorders>
              <w:top w:val="nil"/>
              <w:left w:val="nil"/>
              <w:bottom w:val="single" w:sz="4" w:space="0" w:color="auto"/>
              <w:right w:val="single" w:sz="4" w:space="0" w:color="auto"/>
            </w:tcBorders>
          </w:tcPr>
          <w:p w14:paraId="4827C59C" w14:textId="77777777" w:rsidR="008E6EAD" w:rsidRPr="00155BC6" w:rsidRDefault="00540A37" w:rsidP="008922E2">
            <w:pPr>
              <w:pStyle w:val="appendixctext"/>
              <w:spacing w:before="0"/>
              <w:rPr>
                <w:lang w:eastAsia="zh-CN"/>
              </w:rPr>
            </w:pPr>
            <w:r>
              <w:rPr>
                <w:rFonts w:hint="eastAsia"/>
                <w:lang w:eastAsia="zh-CN"/>
              </w:rPr>
              <w:t>全权代表大会</w:t>
            </w:r>
            <w:r w:rsidR="008922E2">
              <w:rPr>
                <w:rFonts w:hint="eastAsia"/>
                <w:lang w:eastAsia="zh-CN"/>
              </w:rPr>
              <w:t>（</w:t>
            </w:r>
            <w:r w:rsidR="008922E2">
              <w:rPr>
                <w:rFonts w:hint="eastAsia"/>
                <w:lang w:eastAsia="zh-CN"/>
              </w:rPr>
              <w:t>P</w:t>
            </w:r>
            <w:r w:rsidR="008922E2">
              <w:rPr>
                <w:lang w:eastAsia="zh-CN"/>
              </w:rPr>
              <w:t>P-</w:t>
            </w:r>
            <w:r w:rsidR="008922E2">
              <w:rPr>
                <w:rFonts w:hint="eastAsia"/>
                <w:lang w:eastAsia="zh-CN"/>
              </w:rPr>
              <w:t>22</w:t>
            </w:r>
            <w:r w:rsidR="008922E2">
              <w:rPr>
                <w:rFonts w:hint="eastAsia"/>
                <w:lang w:eastAsia="zh-CN"/>
              </w:rPr>
              <w:t>）</w:t>
            </w:r>
          </w:p>
        </w:tc>
        <w:tc>
          <w:tcPr>
            <w:tcW w:w="1036" w:type="dxa"/>
            <w:tcBorders>
              <w:top w:val="nil"/>
              <w:left w:val="single" w:sz="4" w:space="0" w:color="auto"/>
              <w:bottom w:val="single" w:sz="4" w:space="0" w:color="auto"/>
              <w:right w:val="nil"/>
            </w:tcBorders>
          </w:tcPr>
          <w:p w14:paraId="4827C59D" w14:textId="77777777" w:rsidR="008E6EAD" w:rsidRPr="00155BC6" w:rsidRDefault="008E6EAD" w:rsidP="00290AE7">
            <w:pPr>
              <w:pStyle w:val="appendixctext"/>
              <w:spacing w:before="0"/>
            </w:pPr>
            <w:r>
              <w:t>D 610</w:t>
            </w:r>
          </w:p>
        </w:tc>
        <w:tc>
          <w:tcPr>
            <w:tcW w:w="599" w:type="dxa"/>
            <w:tcBorders>
              <w:top w:val="nil"/>
              <w:left w:val="nil"/>
              <w:bottom w:val="single" w:sz="4" w:space="0" w:color="auto"/>
              <w:right w:val="single" w:sz="4" w:space="0" w:color="auto"/>
            </w:tcBorders>
          </w:tcPr>
          <w:p w14:paraId="4827C59E" w14:textId="77777777" w:rsidR="008E6EAD" w:rsidRPr="00155BC6" w:rsidRDefault="008E6EAD" w:rsidP="00290AE7">
            <w:pPr>
              <w:pStyle w:val="appendixctext"/>
              <w:spacing w:before="0"/>
            </w:pPr>
            <w:r>
              <w:t>3.3</w:t>
            </w:r>
          </w:p>
        </w:tc>
      </w:tr>
      <w:tr w:rsidR="00AC5061" w:rsidRPr="00155BC6" w14:paraId="1FE213D0" w14:textId="77777777" w:rsidTr="006F1271">
        <w:trPr>
          <w:jc w:val="center"/>
        </w:trPr>
        <w:tc>
          <w:tcPr>
            <w:tcW w:w="303" w:type="dxa"/>
            <w:tcBorders>
              <w:top w:val="single" w:sz="4" w:space="0" w:color="auto"/>
              <w:left w:val="single" w:sz="4" w:space="0" w:color="auto"/>
              <w:bottom w:val="nil"/>
              <w:right w:val="nil"/>
            </w:tcBorders>
          </w:tcPr>
          <w:p w14:paraId="214609E2" w14:textId="5341045F" w:rsidR="00AC5061" w:rsidRPr="00155BC6" w:rsidRDefault="00AC5061" w:rsidP="00AC5061">
            <w:pPr>
              <w:pStyle w:val="appendixctext"/>
              <w:spacing w:before="0"/>
            </w:pPr>
            <w:r w:rsidRPr="00155BC6">
              <w:t>–</w:t>
            </w:r>
          </w:p>
        </w:tc>
        <w:tc>
          <w:tcPr>
            <w:tcW w:w="2564" w:type="dxa"/>
            <w:tcBorders>
              <w:top w:val="single" w:sz="4" w:space="0" w:color="auto"/>
              <w:left w:val="nil"/>
              <w:bottom w:val="nil"/>
              <w:right w:val="single" w:sz="4" w:space="0" w:color="auto"/>
            </w:tcBorders>
          </w:tcPr>
          <w:p w14:paraId="16F5DF32" w14:textId="39CE0EA3" w:rsidR="00AC5061" w:rsidRPr="00155BC6" w:rsidRDefault="00AC5061" w:rsidP="00AC5061">
            <w:pPr>
              <w:pStyle w:val="appendixctext"/>
              <w:spacing w:before="0"/>
              <w:rPr>
                <w:lang w:eastAsia="zh-CN"/>
              </w:rPr>
            </w:pPr>
            <w:r w:rsidRPr="00155BC6">
              <w:rPr>
                <w:rFonts w:hint="eastAsia"/>
                <w:lang w:eastAsia="zh-CN"/>
              </w:rPr>
              <w:t>世界无线电通信大会</w:t>
            </w:r>
            <w:r w:rsidRPr="00155BC6">
              <w:rPr>
                <w:lang w:eastAsia="zh-CN"/>
              </w:rPr>
              <w:br/>
            </w:r>
            <w:r w:rsidRPr="00155BC6">
              <w:rPr>
                <w:lang w:eastAsia="zh-CN"/>
              </w:rPr>
              <w:t>（</w:t>
            </w:r>
            <w:r w:rsidRPr="00155BC6">
              <w:rPr>
                <w:lang w:eastAsia="zh-CN"/>
              </w:rPr>
              <w:t>WRC-</w:t>
            </w:r>
            <w:r>
              <w:rPr>
                <w:rFonts w:hint="eastAsia"/>
                <w:lang w:eastAsia="zh-CN"/>
              </w:rPr>
              <w:t>23</w:t>
            </w:r>
            <w:r w:rsidRPr="00155BC6">
              <w:rPr>
                <w:lang w:eastAsia="zh-CN"/>
              </w:rPr>
              <w:t>）</w:t>
            </w:r>
            <w:r w:rsidRPr="00155BC6">
              <w:rPr>
                <w:lang w:eastAsia="zh-CN"/>
              </w:rPr>
              <w:t xml:space="preserve">– </w:t>
            </w:r>
            <w:r w:rsidRPr="00155BC6">
              <w:rPr>
                <w:rFonts w:hint="eastAsia"/>
                <w:lang w:eastAsia="zh-CN"/>
              </w:rPr>
              <w:t>议程</w:t>
            </w:r>
          </w:p>
        </w:tc>
        <w:tc>
          <w:tcPr>
            <w:tcW w:w="1036" w:type="dxa"/>
            <w:tcBorders>
              <w:top w:val="single" w:sz="4" w:space="0" w:color="auto"/>
              <w:left w:val="single" w:sz="4" w:space="0" w:color="auto"/>
              <w:bottom w:val="nil"/>
              <w:right w:val="nil"/>
            </w:tcBorders>
          </w:tcPr>
          <w:p w14:paraId="71804E90" w14:textId="4218CA1B" w:rsidR="00AC5061" w:rsidRPr="00155BC6" w:rsidRDefault="00AC5061" w:rsidP="00AC5061">
            <w:pPr>
              <w:pStyle w:val="appendixctext"/>
              <w:spacing w:before="0"/>
            </w:pPr>
            <w:r w:rsidRPr="00155BC6">
              <w:t>R 13</w:t>
            </w:r>
            <w:r>
              <w:rPr>
                <w:rFonts w:hint="eastAsia"/>
                <w:lang w:eastAsia="zh-CN"/>
              </w:rPr>
              <w:t>99</w:t>
            </w:r>
          </w:p>
        </w:tc>
        <w:tc>
          <w:tcPr>
            <w:tcW w:w="599" w:type="dxa"/>
            <w:tcBorders>
              <w:top w:val="single" w:sz="4" w:space="0" w:color="auto"/>
              <w:left w:val="nil"/>
              <w:bottom w:val="nil"/>
              <w:right w:val="single" w:sz="4" w:space="0" w:color="auto"/>
            </w:tcBorders>
          </w:tcPr>
          <w:p w14:paraId="6252DC80" w14:textId="1E185FDD" w:rsidR="00AC5061" w:rsidRPr="00155BC6" w:rsidRDefault="00AC5061" w:rsidP="00AC5061">
            <w:pPr>
              <w:pStyle w:val="appendixctext"/>
              <w:spacing w:before="0"/>
            </w:pPr>
            <w:r w:rsidRPr="00155BC6">
              <w:t>3.4</w:t>
            </w:r>
          </w:p>
        </w:tc>
      </w:tr>
      <w:tr w:rsidR="00A8205F" w:rsidRPr="00155BC6" w14:paraId="376269DF" w14:textId="77777777" w:rsidTr="00D104BC">
        <w:trPr>
          <w:jc w:val="center"/>
        </w:trPr>
        <w:tc>
          <w:tcPr>
            <w:tcW w:w="303" w:type="dxa"/>
            <w:tcBorders>
              <w:top w:val="nil"/>
              <w:left w:val="single" w:sz="4" w:space="0" w:color="auto"/>
              <w:bottom w:val="nil"/>
              <w:right w:val="nil"/>
            </w:tcBorders>
          </w:tcPr>
          <w:p w14:paraId="5608D92E" w14:textId="06836906" w:rsidR="00A8205F" w:rsidRPr="00155BC6" w:rsidRDefault="00A8205F" w:rsidP="00290AE7">
            <w:pPr>
              <w:pStyle w:val="appendixctext"/>
              <w:spacing w:before="0"/>
            </w:pPr>
            <w:r w:rsidRPr="00155BC6">
              <w:t>–</w:t>
            </w:r>
          </w:p>
        </w:tc>
        <w:tc>
          <w:tcPr>
            <w:tcW w:w="2564" w:type="dxa"/>
            <w:tcBorders>
              <w:top w:val="nil"/>
              <w:left w:val="nil"/>
              <w:bottom w:val="nil"/>
              <w:right w:val="single" w:sz="4" w:space="0" w:color="auto"/>
            </w:tcBorders>
          </w:tcPr>
          <w:p w14:paraId="2C80A6F5" w14:textId="11B2B935" w:rsidR="00A8205F" w:rsidRDefault="008E24CF" w:rsidP="00F36E9C">
            <w:pPr>
              <w:pStyle w:val="appendixctext"/>
              <w:spacing w:before="0"/>
              <w:rPr>
                <w:lang w:eastAsia="zh-CN"/>
              </w:rPr>
            </w:pPr>
            <w:r w:rsidRPr="008E24CF">
              <w:rPr>
                <w:rFonts w:hint="eastAsia"/>
                <w:lang w:eastAsia="zh-CN"/>
              </w:rPr>
              <w:t>世界无线电通信大会（</w:t>
            </w:r>
            <w:r w:rsidRPr="008E24CF">
              <w:rPr>
                <w:rFonts w:hint="eastAsia"/>
                <w:lang w:eastAsia="zh-CN"/>
              </w:rPr>
              <w:t>WRC-23</w:t>
            </w:r>
            <w:r w:rsidRPr="008E24CF">
              <w:rPr>
                <w:rFonts w:hint="eastAsia"/>
                <w:lang w:eastAsia="zh-CN"/>
              </w:rPr>
              <w:t>）的地点和日期</w:t>
            </w:r>
          </w:p>
        </w:tc>
        <w:tc>
          <w:tcPr>
            <w:tcW w:w="1036" w:type="dxa"/>
            <w:tcBorders>
              <w:top w:val="nil"/>
              <w:left w:val="single" w:sz="4" w:space="0" w:color="auto"/>
              <w:bottom w:val="nil"/>
              <w:right w:val="nil"/>
            </w:tcBorders>
          </w:tcPr>
          <w:p w14:paraId="5E91D866" w14:textId="659740BE" w:rsidR="00A8205F" w:rsidRDefault="008E24CF" w:rsidP="00290AE7">
            <w:pPr>
              <w:pStyle w:val="appendixctext"/>
              <w:spacing w:before="0"/>
              <w:rPr>
                <w:lang w:eastAsia="zh-CN"/>
              </w:rPr>
            </w:pPr>
            <w:r>
              <w:rPr>
                <w:lang w:eastAsia="zh-CN"/>
              </w:rPr>
              <w:t>D</w:t>
            </w:r>
            <w:r>
              <w:rPr>
                <w:rFonts w:hint="eastAsia"/>
                <w:lang w:eastAsia="zh-CN"/>
              </w:rPr>
              <w:t>623</w:t>
            </w:r>
          </w:p>
        </w:tc>
        <w:tc>
          <w:tcPr>
            <w:tcW w:w="599" w:type="dxa"/>
            <w:tcBorders>
              <w:top w:val="nil"/>
              <w:left w:val="nil"/>
              <w:bottom w:val="nil"/>
              <w:right w:val="single" w:sz="4" w:space="0" w:color="auto"/>
            </w:tcBorders>
          </w:tcPr>
          <w:p w14:paraId="1C27A144" w14:textId="7970AE17" w:rsidR="00A8205F" w:rsidRDefault="008E24CF" w:rsidP="00290AE7">
            <w:pPr>
              <w:pStyle w:val="appendixctext"/>
              <w:spacing w:before="0"/>
              <w:rPr>
                <w:lang w:eastAsia="zh-CN"/>
              </w:rPr>
            </w:pPr>
            <w:r>
              <w:rPr>
                <w:rFonts w:hint="eastAsia"/>
                <w:lang w:eastAsia="zh-CN"/>
              </w:rPr>
              <w:t>3.4</w:t>
            </w:r>
          </w:p>
        </w:tc>
      </w:tr>
      <w:tr w:rsidR="008E6EAD" w:rsidRPr="00155BC6" w14:paraId="4827C5A9" w14:textId="77777777" w:rsidTr="00D104BC">
        <w:trPr>
          <w:jc w:val="center"/>
        </w:trPr>
        <w:tc>
          <w:tcPr>
            <w:tcW w:w="303" w:type="dxa"/>
            <w:tcBorders>
              <w:top w:val="nil"/>
              <w:left w:val="single" w:sz="4" w:space="0" w:color="auto"/>
              <w:bottom w:val="nil"/>
              <w:right w:val="nil"/>
            </w:tcBorders>
          </w:tcPr>
          <w:p w14:paraId="4827C5A5" w14:textId="77777777" w:rsidR="008E6EAD" w:rsidRPr="00155BC6" w:rsidRDefault="008E6EAD" w:rsidP="00290AE7">
            <w:pPr>
              <w:pStyle w:val="appendixctext"/>
              <w:spacing w:before="0"/>
            </w:pPr>
            <w:r w:rsidRPr="00155BC6">
              <w:t>–</w:t>
            </w:r>
          </w:p>
        </w:tc>
        <w:tc>
          <w:tcPr>
            <w:tcW w:w="2564" w:type="dxa"/>
            <w:tcBorders>
              <w:top w:val="nil"/>
              <w:left w:val="nil"/>
              <w:bottom w:val="nil"/>
              <w:right w:val="single" w:sz="4" w:space="0" w:color="auto"/>
            </w:tcBorders>
          </w:tcPr>
          <w:p w14:paraId="4827C5A6" w14:textId="77777777" w:rsidR="008E6EAD" w:rsidRPr="00155BC6" w:rsidRDefault="00FA112B" w:rsidP="00F36E9C">
            <w:pPr>
              <w:pStyle w:val="appendixctext"/>
              <w:spacing w:before="0"/>
              <w:rPr>
                <w:lang w:eastAsia="zh-CN"/>
              </w:rPr>
            </w:pPr>
            <w:r>
              <w:rPr>
                <w:rFonts w:hint="eastAsia"/>
                <w:lang w:eastAsia="zh-CN"/>
              </w:rPr>
              <w:t>世界电信发展大会</w:t>
            </w:r>
            <w:r w:rsidR="00F36E9C">
              <w:rPr>
                <w:lang w:eastAsia="zh-CN"/>
              </w:rPr>
              <w:br/>
            </w:r>
            <w:r>
              <w:rPr>
                <w:rFonts w:hint="eastAsia"/>
                <w:lang w:eastAsia="zh-CN"/>
              </w:rPr>
              <w:t>（</w:t>
            </w:r>
            <w:r>
              <w:rPr>
                <w:lang w:eastAsia="zh-CN"/>
              </w:rPr>
              <w:t>WTDC-21</w:t>
            </w:r>
            <w:r>
              <w:rPr>
                <w:rFonts w:hint="eastAsia"/>
                <w:lang w:eastAsia="zh-CN"/>
              </w:rPr>
              <w:t>）</w:t>
            </w:r>
          </w:p>
        </w:tc>
        <w:tc>
          <w:tcPr>
            <w:tcW w:w="1036" w:type="dxa"/>
            <w:tcBorders>
              <w:top w:val="nil"/>
              <w:left w:val="single" w:sz="4" w:space="0" w:color="auto"/>
              <w:bottom w:val="nil"/>
              <w:right w:val="nil"/>
            </w:tcBorders>
          </w:tcPr>
          <w:p w14:paraId="4827C5A7" w14:textId="77777777" w:rsidR="008E6EAD" w:rsidRPr="00155BC6" w:rsidRDefault="008E6EAD" w:rsidP="00290AE7">
            <w:pPr>
              <w:pStyle w:val="appendixctext"/>
              <w:spacing w:before="0"/>
            </w:pPr>
            <w:r>
              <w:t>D 609</w:t>
            </w:r>
          </w:p>
        </w:tc>
        <w:tc>
          <w:tcPr>
            <w:tcW w:w="599" w:type="dxa"/>
            <w:tcBorders>
              <w:top w:val="nil"/>
              <w:left w:val="nil"/>
              <w:bottom w:val="nil"/>
              <w:right w:val="single" w:sz="4" w:space="0" w:color="auto"/>
            </w:tcBorders>
          </w:tcPr>
          <w:p w14:paraId="4827C5A8" w14:textId="77777777" w:rsidR="008E6EAD" w:rsidRPr="00155BC6" w:rsidRDefault="008E6EAD" w:rsidP="00290AE7">
            <w:pPr>
              <w:pStyle w:val="appendixctext"/>
              <w:spacing w:before="0"/>
            </w:pPr>
            <w:r>
              <w:t>3.4</w:t>
            </w:r>
          </w:p>
        </w:tc>
      </w:tr>
      <w:tr w:rsidR="008E6EAD" w:rsidRPr="00155BC6" w14:paraId="4827C5AE" w14:textId="77777777" w:rsidTr="00D104BC">
        <w:trPr>
          <w:jc w:val="center"/>
        </w:trPr>
        <w:tc>
          <w:tcPr>
            <w:tcW w:w="303" w:type="dxa"/>
            <w:tcBorders>
              <w:top w:val="nil"/>
              <w:left w:val="single" w:sz="4" w:space="0" w:color="auto"/>
              <w:bottom w:val="nil"/>
              <w:right w:val="nil"/>
            </w:tcBorders>
          </w:tcPr>
          <w:p w14:paraId="4827C5AA" w14:textId="77777777" w:rsidR="008E6EAD" w:rsidRPr="00155BC6" w:rsidRDefault="008E6EAD" w:rsidP="00290AE7">
            <w:pPr>
              <w:pStyle w:val="appendixctext"/>
              <w:spacing w:before="0"/>
            </w:pPr>
            <w:r w:rsidRPr="00155BC6">
              <w:t>–</w:t>
            </w:r>
          </w:p>
        </w:tc>
        <w:tc>
          <w:tcPr>
            <w:tcW w:w="2564" w:type="dxa"/>
            <w:tcBorders>
              <w:top w:val="nil"/>
              <w:left w:val="nil"/>
              <w:bottom w:val="nil"/>
              <w:right w:val="single" w:sz="4" w:space="0" w:color="auto"/>
            </w:tcBorders>
          </w:tcPr>
          <w:p w14:paraId="4827C5AB" w14:textId="77777777" w:rsidR="008E6EAD" w:rsidRPr="00155BC6" w:rsidRDefault="00FA112B" w:rsidP="00290AE7">
            <w:pPr>
              <w:pStyle w:val="appendixctext"/>
              <w:spacing w:before="0"/>
              <w:rPr>
                <w:lang w:eastAsia="zh-CN"/>
              </w:rPr>
            </w:pPr>
            <w:r w:rsidRPr="00C732E9">
              <w:rPr>
                <w:rFonts w:hint="eastAsia"/>
                <w:lang w:eastAsia="zh-CN"/>
              </w:rPr>
              <w:t>世界电信</w:t>
            </w:r>
            <w:r w:rsidRPr="00C732E9">
              <w:rPr>
                <w:rFonts w:hint="eastAsia"/>
                <w:lang w:eastAsia="zh-CN"/>
              </w:rPr>
              <w:t>/</w:t>
            </w:r>
            <w:r w:rsidRPr="00C732E9">
              <w:rPr>
                <w:rFonts w:hint="eastAsia"/>
                <w:lang w:eastAsia="zh-CN"/>
              </w:rPr>
              <w:t>信息通信技术政策论坛</w:t>
            </w:r>
            <w:r w:rsidR="00F36E9C">
              <w:rPr>
                <w:rFonts w:hint="eastAsia"/>
                <w:lang w:eastAsia="zh-CN"/>
              </w:rPr>
              <w:t>（</w:t>
            </w:r>
            <w:r w:rsidR="00F36E9C">
              <w:rPr>
                <w:rFonts w:hint="eastAsia"/>
                <w:lang w:eastAsia="zh-CN"/>
              </w:rPr>
              <w:t>W</w:t>
            </w:r>
            <w:r w:rsidR="00F36E9C">
              <w:rPr>
                <w:lang w:eastAsia="zh-CN"/>
              </w:rPr>
              <w:t>TPF-21</w:t>
            </w:r>
            <w:r w:rsidR="00F36E9C">
              <w:rPr>
                <w:rFonts w:hint="eastAsia"/>
                <w:lang w:eastAsia="zh-CN"/>
              </w:rPr>
              <w:t>）</w:t>
            </w:r>
          </w:p>
        </w:tc>
        <w:tc>
          <w:tcPr>
            <w:tcW w:w="1036" w:type="dxa"/>
            <w:tcBorders>
              <w:top w:val="nil"/>
              <w:left w:val="single" w:sz="4" w:space="0" w:color="auto"/>
              <w:bottom w:val="nil"/>
              <w:right w:val="nil"/>
            </w:tcBorders>
          </w:tcPr>
          <w:p w14:paraId="4827C5AC" w14:textId="77777777" w:rsidR="008E6EAD" w:rsidRPr="00155BC6" w:rsidRDefault="008E6EAD" w:rsidP="00290AE7">
            <w:pPr>
              <w:pStyle w:val="appendixctext"/>
              <w:spacing w:before="0"/>
            </w:pPr>
            <w:r>
              <w:t>D 611</w:t>
            </w:r>
          </w:p>
        </w:tc>
        <w:tc>
          <w:tcPr>
            <w:tcW w:w="599" w:type="dxa"/>
            <w:tcBorders>
              <w:top w:val="nil"/>
              <w:left w:val="nil"/>
              <w:bottom w:val="nil"/>
              <w:right w:val="single" w:sz="4" w:space="0" w:color="auto"/>
            </w:tcBorders>
          </w:tcPr>
          <w:p w14:paraId="4827C5AD" w14:textId="77777777" w:rsidR="008E6EAD" w:rsidRPr="00155BC6" w:rsidRDefault="008E6EAD" w:rsidP="00290AE7">
            <w:pPr>
              <w:pStyle w:val="appendixctext"/>
              <w:spacing w:before="0"/>
            </w:pPr>
            <w:r>
              <w:t>3.4</w:t>
            </w:r>
          </w:p>
        </w:tc>
      </w:tr>
      <w:tr w:rsidR="008E6EAD" w:rsidRPr="00155BC6" w14:paraId="4827C5B3" w14:textId="77777777" w:rsidTr="00D104BC">
        <w:trPr>
          <w:jc w:val="center"/>
        </w:trPr>
        <w:tc>
          <w:tcPr>
            <w:tcW w:w="303" w:type="dxa"/>
            <w:tcBorders>
              <w:top w:val="nil"/>
              <w:left w:val="single" w:sz="4" w:space="0" w:color="auto"/>
              <w:bottom w:val="single" w:sz="4" w:space="0" w:color="auto"/>
              <w:right w:val="nil"/>
            </w:tcBorders>
          </w:tcPr>
          <w:p w14:paraId="4827C5AF" w14:textId="77777777" w:rsidR="008E6EAD" w:rsidRPr="00155BC6" w:rsidRDefault="008E6EAD" w:rsidP="00290AE7">
            <w:pPr>
              <w:pStyle w:val="appendixctext"/>
              <w:spacing w:before="0"/>
            </w:pPr>
            <w:r w:rsidRPr="00155BC6">
              <w:t>–</w:t>
            </w:r>
          </w:p>
        </w:tc>
        <w:tc>
          <w:tcPr>
            <w:tcW w:w="2564" w:type="dxa"/>
            <w:tcBorders>
              <w:top w:val="nil"/>
              <w:left w:val="nil"/>
              <w:bottom w:val="single" w:sz="4" w:space="0" w:color="auto"/>
              <w:right w:val="single" w:sz="4" w:space="0" w:color="auto"/>
            </w:tcBorders>
          </w:tcPr>
          <w:p w14:paraId="4827C5B0" w14:textId="77777777" w:rsidR="008E6EAD" w:rsidRPr="00155BC6" w:rsidRDefault="008922E2" w:rsidP="00290AE7">
            <w:pPr>
              <w:pStyle w:val="appendixctext"/>
              <w:spacing w:before="0"/>
              <w:rPr>
                <w:lang w:eastAsia="zh-CN"/>
              </w:rPr>
            </w:pPr>
            <w:r w:rsidRPr="006A5D14">
              <w:rPr>
                <w:rFonts w:asciiTheme="minorEastAsia" w:eastAsiaTheme="minorEastAsia" w:hAnsiTheme="minorEastAsia" w:cs="Microsoft YaHei" w:hint="eastAsia"/>
                <w:lang w:eastAsia="zh-CN"/>
              </w:rPr>
              <w:t>世界电信标准化全会</w:t>
            </w:r>
            <w:r w:rsidR="00F36E9C">
              <w:rPr>
                <w:rFonts w:asciiTheme="minorEastAsia" w:eastAsiaTheme="minorEastAsia" w:hAnsiTheme="minorEastAsia" w:cs="Microsoft YaHei"/>
                <w:lang w:eastAsia="zh-CN"/>
              </w:rPr>
              <w:br/>
            </w:r>
            <w:r w:rsidRPr="006A5D14">
              <w:rPr>
                <w:rFonts w:asciiTheme="minorEastAsia" w:eastAsiaTheme="minorEastAsia" w:hAnsiTheme="minorEastAsia" w:cs="Microsoft YaHei" w:hint="eastAsia"/>
                <w:lang w:eastAsia="zh-CN"/>
              </w:rPr>
              <w:t>（</w:t>
            </w:r>
            <w:r w:rsidRPr="00761D1F">
              <w:rPr>
                <w:rFonts w:cstheme="minorHAnsi"/>
                <w:lang w:eastAsia="zh-CN"/>
              </w:rPr>
              <w:t>WTSA-20</w:t>
            </w:r>
            <w:r w:rsidRPr="006A5D14">
              <w:rPr>
                <w:rFonts w:asciiTheme="minorEastAsia" w:eastAsiaTheme="minorEastAsia" w:hAnsiTheme="minorEastAsia" w:cs="Microsoft YaHei" w:hint="eastAsia"/>
                <w:lang w:eastAsia="zh-CN"/>
              </w:rPr>
              <w:t>）</w:t>
            </w:r>
          </w:p>
        </w:tc>
        <w:tc>
          <w:tcPr>
            <w:tcW w:w="1036" w:type="dxa"/>
            <w:tcBorders>
              <w:top w:val="nil"/>
              <w:left w:val="single" w:sz="4" w:space="0" w:color="auto"/>
              <w:bottom w:val="single" w:sz="4" w:space="0" w:color="auto"/>
              <w:right w:val="nil"/>
            </w:tcBorders>
          </w:tcPr>
          <w:p w14:paraId="4827C5B1" w14:textId="77777777" w:rsidR="008E6EAD" w:rsidRPr="00155BC6" w:rsidRDefault="008E6EAD" w:rsidP="00290AE7">
            <w:pPr>
              <w:pStyle w:val="appendixctext"/>
              <w:spacing w:before="0"/>
            </w:pPr>
            <w:r>
              <w:t>D 608</w:t>
            </w:r>
          </w:p>
        </w:tc>
        <w:tc>
          <w:tcPr>
            <w:tcW w:w="599" w:type="dxa"/>
            <w:tcBorders>
              <w:top w:val="nil"/>
              <w:left w:val="nil"/>
              <w:bottom w:val="single" w:sz="4" w:space="0" w:color="auto"/>
              <w:right w:val="single" w:sz="4" w:space="0" w:color="auto"/>
            </w:tcBorders>
          </w:tcPr>
          <w:p w14:paraId="4827C5B2" w14:textId="77777777" w:rsidR="008E6EAD" w:rsidRPr="00155BC6" w:rsidRDefault="008E6EAD" w:rsidP="00290AE7">
            <w:pPr>
              <w:pStyle w:val="appendixctext"/>
              <w:spacing w:before="0"/>
            </w:pPr>
            <w:r>
              <w:t>3.4</w:t>
            </w:r>
          </w:p>
        </w:tc>
      </w:tr>
      <w:tr w:rsidR="006F0F3C" w:rsidRPr="00155BC6" w14:paraId="4827C5B7" w14:textId="77777777" w:rsidTr="00D104BC">
        <w:trPr>
          <w:jc w:val="center"/>
        </w:trPr>
        <w:tc>
          <w:tcPr>
            <w:tcW w:w="2867" w:type="dxa"/>
            <w:gridSpan w:val="2"/>
            <w:tcBorders>
              <w:top w:val="single" w:sz="4" w:space="0" w:color="auto"/>
              <w:bottom w:val="nil"/>
              <w:right w:val="single" w:sz="4" w:space="0" w:color="auto"/>
            </w:tcBorders>
          </w:tcPr>
          <w:p w14:paraId="4827C5B4" w14:textId="77777777" w:rsidR="006F0F3C" w:rsidRPr="00155BC6" w:rsidRDefault="006F0F3C" w:rsidP="006F0F3C">
            <w:pPr>
              <w:pStyle w:val="appendixchead"/>
              <w:rPr>
                <w:lang w:eastAsia="zh-CN"/>
              </w:rPr>
            </w:pPr>
            <w:r w:rsidRPr="00155BC6">
              <w:rPr>
                <w:rFonts w:hint="eastAsia"/>
                <w:lang w:eastAsia="zh-CN"/>
              </w:rPr>
              <w:t>大会和会议</w:t>
            </w:r>
            <w:r w:rsidRPr="00155BC6">
              <w:rPr>
                <w:lang w:eastAsia="zh-CN"/>
              </w:rPr>
              <w:t>（</w:t>
            </w:r>
            <w:r w:rsidRPr="00155BC6">
              <w:rPr>
                <w:rFonts w:hint="eastAsia"/>
                <w:lang w:eastAsia="zh-CN"/>
              </w:rPr>
              <w:t>一般性</w:t>
            </w:r>
            <w:r w:rsidRPr="00155BC6">
              <w:rPr>
                <w:lang w:eastAsia="zh-CN"/>
              </w:rPr>
              <w:t>）</w:t>
            </w:r>
          </w:p>
        </w:tc>
        <w:tc>
          <w:tcPr>
            <w:tcW w:w="1036" w:type="dxa"/>
            <w:tcBorders>
              <w:top w:val="single" w:sz="4" w:space="0" w:color="auto"/>
              <w:left w:val="single" w:sz="4" w:space="0" w:color="auto"/>
              <w:bottom w:val="nil"/>
              <w:right w:val="nil"/>
            </w:tcBorders>
          </w:tcPr>
          <w:p w14:paraId="4827C5B5" w14:textId="77777777" w:rsidR="006F0F3C" w:rsidRPr="00155BC6" w:rsidRDefault="006F0F3C" w:rsidP="006F0F3C">
            <w:pPr>
              <w:pStyle w:val="appendixctext"/>
              <w:rPr>
                <w:lang w:eastAsia="zh-CN"/>
              </w:rPr>
            </w:pPr>
          </w:p>
        </w:tc>
        <w:tc>
          <w:tcPr>
            <w:tcW w:w="599" w:type="dxa"/>
            <w:tcBorders>
              <w:top w:val="single" w:sz="4" w:space="0" w:color="auto"/>
              <w:left w:val="nil"/>
              <w:bottom w:val="nil"/>
            </w:tcBorders>
          </w:tcPr>
          <w:p w14:paraId="4827C5B6" w14:textId="77777777" w:rsidR="006F0F3C" w:rsidRPr="00155BC6" w:rsidRDefault="006F0F3C" w:rsidP="006F0F3C">
            <w:pPr>
              <w:pStyle w:val="appendixctext"/>
              <w:rPr>
                <w:lang w:eastAsia="zh-CN"/>
              </w:rPr>
            </w:pPr>
          </w:p>
        </w:tc>
      </w:tr>
      <w:tr w:rsidR="006F0F3C" w:rsidRPr="00155BC6" w14:paraId="4827C5BC" w14:textId="77777777" w:rsidTr="006C740C">
        <w:trPr>
          <w:jc w:val="center"/>
        </w:trPr>
        <w:tc>
          <w:tcPr>
            <w:tcW w:w="303" w:type="dxa"/>
            <w:tcBorders>
              <w:top w:val="nil"/>
              <w:bottom w:val="nil"/>
              <w:right w:val="nil"/>
            </w:tcBorders>
          </w:tcPr>
          <w:p w14:paraId="4827C5B8" w14:textId="77777777" w:rsidR="006F0F3C" w:rsidRPr="00155BC6" w:rsidRDefault="006F0F3C" w:rsidP="006F0F3C">
            <w:pPr>
              <w:pStyle w:val="appendixctext"/>
              <w:spacing w:before="40"/>
            </w:pPr>
            <w:r w:rsidRPr="00155BC6">
              <w:t>–</w:t>
            </w:r>
          </w:p>
        </w:tc>
        <w:tc>
          <w:tcPr>
            <w:tcW w:w="2564" w:type="dxa"/>
            <w:tcBorders>
              <w:top w:val="nil"/>
              <w:left w:val="nil"/>
              <w:bottom w:val="nil"/>
            </w:tcBorders>
          </w:tcPr>
          <w:p w14:paraId="4827C5B9" w14:textId="77777777" w:rsidR="006F0F3C" w:rsidRPr="00155BC6" w:rsidRDefault="006F0F3C" w:rsidP="006F0F3C">
            <w:pPr>
              <w:pStyle w:val="appendixctext"/>
              <w:spacing w:before="40"/>
              <w:rPr>
                <w:lang w:eastAsia="zh-CN"/>
              </w:rPr>
            </w:pPr>
            <w:r w:rsidRPr="00155BC6">
              <w:rPr>
                <w:rFonts w:hint="eastAsia"/>
                <w:lang w:eastAsia="zh-CN"/>
              </w:rPr>
              <w:t>解放组织参加国际电联会议的条件</w:t>
            </w:r>
          </w:p>
        </w:tc>
        <w:tc>
          <w:tcPr>
            <w:tcW w:w="1036" w:type="dxa"/>
            <w:tcBorders>
              <w:top w:val="nil"/>
              <w:bottom w:val="nil"/>
              <w:right w:val="nil"/>
            </w:tcBorders>
          </w:tcPr>
          <w:p w14:paraId="4827C5BA" w14:textId="77777777" w:rsidR="006F0F3C" w:rsidRPr="00155BC6" w:rsidRDefault="006F0F3C" w:rsidP="006F0F3C">
            <w:pPr>
              <w:pStyle w:val="appendixctext"/>
              <w:spacing w:before="40"/>
            </w:pPr>
            <w:r w:rsidRPr="00155BC6">
              <w:t>R 741</w:t>
            </w:r>
          </w:p>
        </w:tc>
        <w:tc>
          <w:tcPr>
            <w:tcW w:w="599" w:type="dxa"/>
            <w:tcBorders>
              <w:top w:val="nil"/>
              <w:left w:val="nil"/>
              <w:bottom w:val="nil"/>
            </w:tcBorders>
          </w:tcPr>
          <w:p w14:paraId="4827C5BB" w14:textId="77777777" w:rsidR="006F0F3C" w:rsidRPr="00155BC6" w:rsidRDefault="006F0F3C" w:rsidP="006F0F3C">
            <w:pPr>
              <w:pStyle w:val="appendixctext"/>
              <w:spacing w:before="40"/>
            </w:pPr>
            <w:r w:rsidRPr="00155BC6">
              <w:t>3.1</w:t>
            </w:r>
          </w:p>
        </w:tc>
      </w:tr>
      <w:tr w:rsidR="006F0F3C" w:rsidRPr="00155BC6" w14:paraId="4827C5C1" w14:textId="77777777" w:rsidTr="006C740C">
        <w:trPr>
          <w:jc w:val="center"/>
        </w:trPr>
        <w:tc>
          <w:tcPr>
            <w:tcW w:w="303" w:type="dxa"/>
            <w:tcBorders>
              <w:top w:val="nil"/>
              <w:bottom w:val="nil"/>
              <w:right w:val="nil"/>
            </w:tcBorders>
          </w:tcPr>
          <w:p w14:paraId="4827C5BD" w14:textId="77777777" w:rsidR="006F0F3C" w:rsidRPr="00155BC6" w:rsidRDefault="006F0F3C" w:rsidP="006F0F3C">
            <w:pPr>
              <w:pStyle w:val="appendixctext"/>
              <w:spacing w:before="40"/>
            </w:pPr>
            <w:r w:rsidRPr="00155BC6">
              <w:t>–</w:t>
            </w:r>
          </w:p>
        </w:tc>
        <w:tc>
          <w:tcPr>
            <w:tcW w:w="2564" w:type="dxa"/>
            <w:tcBorders>
              <w:top w:val="nil"/>
              <w:left w:val="nil"/>
              <w:bottom w:val="nil"/>
            </w:tcBorders>
          </w:tcPr>
          <w:p w14:paraId="4827C5BE" w14:textId="77777777" w:rsidR="006F0F3C" w:rsidRPr="00155BC6" w:rsidRDefault="006F0F3C" w:rsidP="006F0F3C">
            <w:pPr>
              <w:pStyle w:val="appendixctext"/>
              <w:spacing w:before="40"/>
              <w:rPr>
                <w:lang w:eastAsia="zh-CN"/>
              </w:rPr>
            </w:pPr>
            <w:r w:rsidRPr="00155BC6">
              <w:rPr>
                <w:rFonts w:hint="eastAsia"/>
                <w:lang w:eastAsia="zh-CN"/>
              </w:rPr>
              <w:t>组织、资金来源和账目的清算</w:t>
            </w:r>
          </w:p>
        </w:tc>
        <w:tc>
          <w:tcPr>
            <w:tcW w:w="1036" w:type="dxa"/>
            <w:tcBorders>
              <w:top w:val="nil"/>
              <w:bottom w:val="nil"/>
              <w:right w:val="nil"/>
            </w:tcBorders>
          </w:tcPr>
          <w:p w14:paraId="4827C5BF" w14:textId="77777777" w:rsidR="006F0F3C" w:rsidRPr="00155BC6" w:rsidRDefault="006F0F3C" w:rsidP="006F0F3C">
            <w:pPr>
              <w:pStyle w:val="appendixctext"/>
              <w:spacing w:before="40"/>
            </w:pPr>
            <w:r w:rsidRPr="00155BC6">
              <w:t>R 83</w:t>
            </w:r>
          </w:p>
        </w:tc>
        <w:tc>
          <w:tcPr>
            <w:tcW w:w="599" w:type="dxa"/>
            <w:tcBorders>
              <w:top w:val="nil"/>
              <w:left w:val="nil"/>
              <w:bottom w:val="nil"/>
            </w:tcBorders>
          </w:tcPr>
          <w:p w14:paraId="4827C5C0" w14:textId="77777777" w:rsidR="006F0F3C" w:rsidRPr="00155BC6" w:rsidRDefault="006F0F3C" w:rsidP="006F0F3C">
            <w:pPr>
              <w:pStyle w:val="appendixctext"/>
              <w:spacing w:before="40"/>
            </w:pPr>
            <w:r w:rsidRPr="00155BC6">
              <w:t>3.1</w:t>
            </w:r>
          </w:p>
        </w:tc>
      </w:tr>
      <w:tr w:rsidR="006F0F3C" w:rsidRPr="00155BC6" w14:paraId="4827C5C6" w14:textId="77777777" w:rsidTr="006C740C">
        <w:trPr>
          <w:jc w:val="center"/>
        </w:trPr>
        <w:tc>
          <w:tcPr>
            <w:tcW w:w="303" w:type="dxa"/>
            <w:tcBorders>
              <w:top w:val="nil"/>
              <w:bottom w:val="nil"/>
              <w:right w:val="nil"/>
            </w:tcBorders>
          </w:tcPr>
          <w:p w14:paraId="4827C5C2" w14:textId="77777777" w:rsidR="006F0F3C" w:rsidRPr="00155BC6" w:rsidRDefault="006F0F3C" w:rsidP="006F0F3C">
            <w:pPr>
              <w:pStyle w:val="appendixctext"/>
              <w:spacing w:before="40"/>
            </w:pPr>
            <w:r w:rsidRPr="00155BC6">
              <w:t>–</w:t>
            </w:r>
          </w:p>
        </w:tc>
        <w:tc>
          <w:tcPr>
            <w:tcW w:w="2564" w:type="dxa"/>
            <w:tcBorders>
              <w:top w:val="nil"/>
              <w:left w:val="nil"/>
              <w:bottom w:val="nil"/>
            </w:tcBorders>
          </w:tcPr>
          <w:p w14:paraId="4827C5C3" w14:textId="77777777" w:rsidR="006F0F3C" w:rsidRPr="00155BC6" w:rsidRDefault="006F0F3C" w:rsidP="006F0F3C">
            <w:pPr>
              <w:pStyle w:val="appendixctext"/>
              <w:spacing w:before="40"/>
              <w:rPr>
                <w:lang w:eastAsia="zh-CN"/>
              </w:rPr>
            </w:pPr>
            <w:r w:rsidRPr="00155BC6">
              <w:rPr>
                <w:rFonts w:hint="eastAsia"/>
                <w:lang w:eastAsia="zh-CN"/>
              </w:rPr>
              <w:t>参加国际电联的大会或会议</w:t>
            </w:r>
          </w:p>
        </w:tc>
        <w:tc>
          <w:tcPr>
            <w:tcW w:w="1036" w:type="dxa"/>
            <w:tcBorders>
              <w:top w:val="nil"/>
              <w:bottom w:val="nil"/>
              <w:right w:val="nil"/>
            </w:tcBorders>
          </w:tcPr>
          <w:p w14:paraId="4827C5C4" w14:textId="77777777" w:rsidR="006F0F3C" w:rsidRPr="00155BC6" w:rsidRDefault="006F0F3C" w:rsidP="006F0F3C">
            <w:pPr>
              <w:pStyle w:val="appendixctext"/>
              <w:spacing w:before="40"/>
            </w:pPr>
            <w:r w:rsidRPr="00155BC6">
              <w:t>D 304</w:t>
            </w:r>
          </w:p>
        </w:tc>
        <w:tc>
          <w:tcPr>
            <w:tcW w:w="599" w:type="dxa"/>
            <w:tcBorders>
              <w:top w:val="nil"/>
              <w:left w:val="nil"/>
              <w:bottom w:val="nil"/>
            </w:tcBorders>
          </w:tcPr>
          <w:p w14:paraId="4827C5C5" w14:textId="77777777" w:rsidR="006F0F3C" w:rsidRPr="00155BC6" w:rsidRDefault="006F0F3C" w:rsidP="006F0F3C">
            <w:pPr>
              <w:pStyle w:val="appendixctext"/>
              <w:spacing w:before="40"/>
            </w:pPr>
            <w:r w:rsidRPr="00155BC6">
              <w:t>3.1</w:t>
            </w:r>
          </w:p>
        </w:tc>
      </w:tr>
      <w:tr w:rsidR="006F0F3C" w:rsidRPr="00155BC6" w14:paraId="4827C5CB" w14:textId="77777777" w:rsidTr="006C740C">
        <w:trPr>
          <w:jc w:val="center"/>
        </w:trPr>
        <w:tc>
          <w:tcPr>
            <w:tcW w:w="303" w:type="dxa"/>
            <w:tcBorders>
              <w:top w:val="nil"/>
              <w:bottom w:val="nil"/>
              <w:right w:val="nil"/>
            </w:tcBorders>
          </w:tcPr>
          <w:p w14:paraId="4827C5C7" w14:textId="77777777" w:rsidR="006F0F3C" w:rsidRPr="00155BC6" w:rsidRDefault="006F0F3C" w:rsidP="006F0F3C">
            <w:pPr>
              <w:pStyle w:val="appendixctext"/>
              <w:spacing w:before="40"/>
            </w:pPr>
            <w:r w:rsidRPr="00155BC6">
              <w:t>–</w:t>
            </w:r>
          </w:p>
        </w:tc>
        <w:tc>
          <w:tcPr>
            <w:tcW w:w="2564" w:type="dxa"/>
            <w:tcBorders>
              <w:top w:val="nil"/>
              <w:left w:val="nil"/>
              <w:bottom w:val="nil"/>
            </w:tcBorders>
          </w:tcPr>
          <w:p w14:paraId="4827C5C8" w14:textId="77777777" w:rsidR="006F0F3C" w:rsidRPr="00155BC6" w:rsidRDefault="006F0F3C" w:rsidP="006F0F3C">
            <w:pPr>
              <w:pStyle w:val="appendixctext"/>
              <w:spacing w:before="40"/>
              <w:rPr>
                <w:lang w:eastAsia="zh-CN"/>
              </w:rPr>
            </w:pPr>
            <w:r w:rsidRPr="00155BC6">
              <w:rPr>
                <w:rFonts w:hint="eastAsia"/>
                <w:lang w:eastAsia="zh-CN"/>
              </w:rPr>
              <w:t>降低国际电联大会、全会和理事会的成本并减少文件量</w:t>
            </w:r>
          </w:p>
        </w:tc>
        <w:tc>
          <w:tcPr>
            <w:tcW w:w="1036" w:type="dxa"/>
            <w:tcBorders>
              <w:top w:val="nil"/>
              <w:bottom w:val="nil"/>
              <w:right w:val="nil"/>
            </w:tcBorders>
          </w:tcPr>
          <w:p w14:paraId="4827C5C9" w14:textId="77777777" w:rsidR="006F0F3C" w:rsidRPr="00155BC6" w:rsidRDefault="006F0F3C" w:rsidP="006F0F3C">
            <w:pPr>
              <w:pStyle w:val="appendixctext"/>
              <w:spacing w:before="40"/>
            </w:pPr>
            <w:r w:rsidRPr="00155BC6">
              <w:t>R 1141</w:t>
            </w:r>
          </w:p>
        </w:tc>
        <w:tc>
          <w:tcPr>
            <w:tcW w:w="599" w:type="dxa"/>
            <w:tcBorders>
              <w:top w:val="nil"/>
              <w:left w:val="nil"/>
              <w:bottom w:val="nil"/>
            </w:tcBorders>
          </w:tcPr>
          <w:p w14:paraId="4827C5CA" w14:textId="77777777" w:rsidR="006F0F3C" w:rsidRPr="00155BC6" w:rsidRDefault="006F0F3C" w:rsidP="006F0F3C">
            <w:pPr>
              <w:pStyle w:val="appendixctext"/>
              <w:spacing w:before="40"/>
            </w:pPr>
            <w:r w:rsidRPr="00155BC6">
              <w:t>3.1</w:t>
            </w:r>
          </w:p>
        </w:tc>
      </w:tr>
      <w:tr w:rsidR="006F0F3C" w:rsidRPr="00155BC6" w14:paraId="4827C5D0" w14:textId="77777777" w:rsidTr="006C740C">
        <w:trPr>
          <w:jc w:val="center"/>
        </w:trPr>
        <w:tc>
          <w:tcPr>
            <w:tcW w:w="303" w:type="dxa"/>
            <w:tcBorders>
              <w:top w:val="nil"/>
              <w:bottom w:val="nil"/>
              <w:right w:val="nil"/>
            </w:tcBorders>
          </w:tcPr>
          <w:p w14:paraId="4827C5CC" w14:textId="77777777" w:rsidR="006F0F3C" w:rsidRPr="00155BC6" w:rsidRDefault="006F0F3C" w:rsidP="006F0F3C">
            <w:pPr>
              <w:pStyle w:val="appendixctext"/>
              <w:spacing w:before="40"/>
            </w:pPr>
            <w:r w:rsidRPr="00155BC6">
              <w:t>–</w:t>
            </w:r>
          </w:p>
        </w:tc>
        <w:tc>
          <w:tcPr>
            <w:tcW w:w="2564" w:type="dxa"/>
            <w:tcBorders>
              <w:top w:val="nil"/>
              <w:left w:val="nil"/>
              <w:bottom w:val="nil"/>
            </w:tcBorders>
          </w:tcPr>
          <w:p w14:paraId="4827C5CD" w14:textId="77777777" w:rsidR="006F0F3C" w:rsidRPr="00155BC6" w:rsidRDefault="006F0F3C" w:rsidP="006F0F3C">
            <w:pPr>
              <w:pStyle w:val="appendixctext"/>
              <w:spacing w:before="40"/>
              <w:rPr>
                <w:lang w:eastAsia="zh-CN"/>
              </w:rPr>
            </w:pPr>
            <w:r w:rsidRPr="00155BC6">
              <w:rPr>
                <w:rFonts w:hint="eastAsia"/>
                <w:lang w:eastAsia="zh-CN"/>
              </w:rPr>
              <w:t>区域性大会，向所有成员国发出邀请通知</w:t>
            </w:r>
          </w:p>
        </w:tc>
        <w:tc>
          <w:tcPr>
            <w:tcW w:w="1036" w:type="dxa"/>
            <w:tcBorders>
              <w:top w:val="nil"/>
              <w:bottom w:val="nil"/>
              <w:right w:val="nil"/>
            </w:tcBorders>
          </w:tcPr>
          <w:p w14:paraId="4827C5CE" w14:textId="77777777" w:rsidR="006F0F3C" w:rsidRPr="00155BC6" w:rsidRDefault="006F0F3C" w:rsidP="006F0F3C">
            <w:pPr>
              <w:pStyle w:val="appendixctext"/>
              <w:spacing w:before="40"/>
            </w:pPr>
            <w:r w:rsidRPr="00155BC6">
              <w:t>D 307</w:t>
            </w:r>
          </w:p>
        </w:tc>
        <w:tc>
          <w:tcPr>
            <w:tcW w:w="599" w:type="dxa"/>
            <w:tcBorders>
              <w:top w:val="nil"/>
              <w:left w:val="nil"/>
              <w:bottom w:val="nil"/>
            </w:tcBorders>
          </w:tcPr>
          <w:p w14:paraId="4827C5CF" w14:textId="77777777" w:rsidR="006F0F3C" w:rsidRPr="00155BC6" w:rsidRDefault="006F0F3C" w:rsidP="006F0F3C">
            <w:pPr>
              <w:pStyle w:val="appendixctext"/>
              <w:spacing w:before="40"/>
            </w:pPr>
            <w:r w:rsidRPr="00155BC6">
              <w:t>3.1</w:t>
            </w:r>
          </w:p>
        </w:tc>
      </w:tr>
      <w:tr w:rsidR="006F0F3C" w:rsidRPr="00155BC6" w14:paraId="4827C5D5" w14:textId="77777777" w:rsidTr="006C740C">
        <w:trPr>
          <w:jc w:val="center"/>
        </w:trPr>
        <w:tc>
          <w:tcPr>
            <w:tcW w:w="303" w:type="dxa"/>
            <w:tcBorders>
              <w:top w:val="nil"/>
              <w:bottom w:val="nil"/>
              <w:right w:val="nil"/>
            </w:tcBorders>
          </w:tcPr>
          <w:p w14:paraId="4827C5D1" w14:textId="77777777" w:rsidR="006F0F3C" w:rsidRPr="00155BC6" w:rsidRDefault="006F0F3C" w:rsidP="006F0F3C">
            <w:pPr>
              <w:pStyle w:val="appendixctext"/>
              <w:spacing w:before="40"/>
            </w:pPr>
            <w:r w:rsidRPr="00155BC6">
              <w:t>–</w:t>
            </w:r>
          </w:p>
        </w:tc>
        <w:tc>
          <w:tcPr>
            <w:tcW w:w="2564" w:type="dxa"/>
            <w:tcBorders>
              <w:top w:val="nil"/>
              <w:left w:val="nil"/>
              <w:bottom w:val="nil"/>
            </w:tcBorders>
          </w:tcPr>
          <w:p w14:paraId="4827C5D2" w14:textId="77777777" w:rsidR="006F0F3C" w:rsidRPr="00155BC6" w:rsidRDefault="006F0F3C" w:rsidP="006F0F3C">
            <w:pPr>
              <w:pStyle w:val="appendixctext"/>
              <w:spacing w:before="40"/>
              <w:rPr>
                <w:lang w:eastAsia="zh-CN"/>
              </w:rPr>
            </w:pPr>
            <w:r w:rsidRPr="00155BC6">
              <w:rPr>
                <w:rFonts w:hint="eastAsia"/>
                <w:lang w:eastAsia="zh-CN"/>
              </w:rPr>
              <w:t>联合国、专门机构和其他国际组织参加国际电联大会和会议的财务条件</w:t>
            </w:r>
          </w:p>
        </w:tc>
        <w:tc>
          <w:tcPr>
            <w:tcW w:w="1036" w:type="dxa"/>
            <w:tcBorders>
              <w:top w:val="nil"/>
              <w:bottom w:val="nil"/>
              <w:right w:val="nil"/>
            </w:tcBorders>
          </w:tcPr>
          <w:p w14:paraId="4827C5D3" w14:textId="77777777" w:rsidR="006F0F3C" w:rsidRPr="00155BC6" w:rsidRDefault="006F0F3C" w:rsidP="006F0F3C">
            <w:pPr>
              <w:pStyle w:val="appendixctext"/>
              <w:spacing w:before="40"/>
            </w:pPr>
            <w:r w:rsidRPr="00155BC6">
              <w:t>R 925</w:t>
            </w:r>
          </w:p>
        </w:tc>
        <w:tc>
          <w:tcPr>
            <w:tcW w:w="599" w:type="dxa"/>
            <w:tcBorders>
              <w:top w:val="nil"/>
              <w:left w:val="nil"/>
              <w:bottom w:val="nil"/>
            </w:tcBorders>
          </w:tcPr>
          <w:p w14:paraId="4827C5D4" w14:textId="77777777" w:rsidR="006F0F3C" w:rsidRPr="00155BC6" w:rsidRDefault="006F0F3C" w:rsidP="006F0F3C">
            <w:pPr>
              <w:pStyle w:val="appendixctext"/>
              <w:spacing w:before="40"/>
            </w:pPr>
            <w:r w:rsidRPr="00155BC6">
              <w:t>1.2</w:t>
            </w:r>
          </w:p>
        </w:tc>
      </w:tr>
      <w:tr w:rsidR="006F0F3C" w:rsidRPr="00155BC6" w14:paraId="4827C5DA" w14:textId="77777777" w:rsidTr="006C740C">
        <w:trPr>
          <w:jc w:val="center"/>
        </w:trPr>
        <w:tc>
          <w:tcPr>
            <w:tcW w:w="303" w:type="dxa"/>
            <w:tcBorders>
              <w:top w:val="nil"/>
              <w:bottom w:val="nil"/>
              <w:right w:val="nil"/>
            </w:tcBorders>
          </w:tcPr>
          <w:p w14:paraId="4827C5D6" w14:textId="77777777" w:rsidR="006F0F3C" w:rsidRPr="00155BC6" w:rsidRDefault="006F0F3C" w:rsidP="006F0F3C">
            <w:pPr>
              <w:pStyle w:val="appendixctext"/>
              <w:spacing w:before="40"/>
            </w:pPr>
            <w:r w:rsidRPr="00155BC6">
              <w:t>–</w:t>
            </w:r>
          </w:p>
        </w:tc>
        <w:tc>
          <w:tcPr>
            <w:tcW w:w="2564" w:type="dxa"/>
            <w:tcBorders>
              <w:top w:val="nil"/>
              <w:left w:val="nil"/>
              <w:bottom w:val="nil"/>
            </w:tcBorders>
          </w:tcPr>
          <w:p w14:paraId="4827C5D7" w14:textId="77777777" w:rsidR="006F0F3C" w:rsidRPr="00155BC6" w:rsidRDefault="006F0F3C" w:rsidP="006F0F3C">
            <w:pPr>
              <w:pStyle w:val="appendixctext"/>
              <w:spacing w:before="40"/>
              <w:rPr>
                <w:lang w:eastAsia="zh-CN"/>
              </w:rPr>
            </w:pPr>
            <w:r w:rsidRPr="00155BC6">
              <w:rPr>
                <w:rFonts w:hint="eastAsia"/>
                <w:lang w:eastAsia="zh-CN"/>
              </w:rPr>
              <w:t>六种正式语文和工作语文的</w:t>
            </w:r>
            <w:r>
              <w:rPr>
                <w:lang w:eastAsia="zh-CN"/>
              </w:rPr>
              <w:br/>
            </w:r>
            <w:r w:rsidRPr="00155BC6">
              <w:rPr>
                <w:rFonts w:hint="eastAsia"/>
                <w:lang w:eastAsia="zh-CN"/>
              </w:rPr>
              <w:t>使用</w:t>
            </w:r>
          </w:p>
        </w:tc>
        <w:tc>
          <w:tcPr>
            <w:tcW w:w="1036" w:type="dxa"/>
            <w:tcBorders>
              <w:top w:val="nil"/>
              <w:bottom w:val="nil"/>
              <w:right w:val="nil"/>
            </w:tcBorders>
          </w:tcPr>
          <w:p w14:paraId="4827C5D8" w14:textId="77777777" w:rsidR="006F0F3C" w:rsidRPr="00155BC6" w:rsidRDefault="006F0F3C" w:rsidP="006F0F3C">
            <w:pPr>
              <w:pStyle w:val="appendixctext"/>
              <w:spacing w:before="40"/>
            </w:pPr>
            <w:r w:rsidRPr="00155BC6">
              <w:t>R 1372</w:t>
            </w:r>
          </w:p>
        </w:tc>
        <w:tc>
          <w:tcPr>
            <w:tcW w:w="599" w:type="dxa"/>
            <w:tcBorders>
              <w:top w:val="nil"/>
              <w:left w:val="nil"/>
              <w:bottom w:val="nil"/>
            </w:tcBorders>
          </w:tcPr>
          <w:p w14:paraId="4827C5D9" w14:textId="77777777" w:rsidR="006F0F3C" w:rsidRPr="00155BC6" w:rsidRDefault="006F0F3C" w:rsidP="006F0F3C">
            <w:pPr>
              <w:pStyle w:val="appendixctext"/>
              <w:spacing w:before="40"/>
            </w:pPr>
            <w:r w:rsidRPr="00155BC6">
              <w:t>3.2</w:t>
            </w:r>
          </w:p>
        </w:tc>
      </w:tr>
      <w:tr w:rsidR="006F0F3C" w:rsidRPr="00155BC6" w14:paraId="4827C5DF" w14:textId="77777777" w:rsidTr="006C740C">
        <w:trPr>
          <w:jc w:val="center"/>
        </w:trPr>
        <w:tc>
          <w:tcPr>
            <w:tcW w:w="303" w:type="dxa"/>
            <w:tcBorders>
              <w:top w:val="nil"/>
              <w:right w:val="nil"/>
            </w:tcBorders>
          </w:tcPr>
          <w:p w14:paraId="4827C5DB" w14:textId="77777777" w:rsidR="006F0F3C" w:rsidRPr="00155BC6" w:rsidRDefault="006F0F3C" w:rsidP="006F0F3C">
            <w:pPr>
              <w:pStyle w:val="appendixctext"/>
              <w:spacing w:before="40"/>
            </w:pPr>
            <w:r w:rsidRPr="00155BC6">
              <w:t>–</w:t>
            </w:r>
          </w:p>
        </w:tc>
        <w:tc>
          <w:tcPr>
            <w:tcW w:w="2564" w:type="dxa"/>
            <w:tcBorders>
              <w:top w:val="nil"/>
              <w:left w:val="nil"/>
            </w:tcBorders>
          </w:tcPr>
          <w:p w14:paraId="4827C5DC" w14:textId="77777777" w:rsidR="006F0F3C" w:rsidRPr="00155BC6" w:rsidRDefault="006F0F3C" w:rsidP="006F0F3C">
            <w:pPr>
              <w:pStyle w:val="appendixctext"/>
              <w:spacing w:before="40"/>
              <w:rPr>
                <w:lang w:eastAsia="zh-CN"/>
              </w:rPr>
            </w:pPr>
            <w:r w:rsidRPr="00155BC6">
              <w:rPr>
                <w:rFonts w:hint="eastAsia"/>
                <w:lang w:eastAsia="zh-CN"/>
              </w:rPr>
              <w:t>世界和区域性电信</w:t>
            </w:r>
            <w:r w:rsidRPr="00155BC6">
              <w:rPr>
                <w:rFonts w:hint="eastAsia"/>
                <w:lang w:eastAsia="zh-CN"/>
              </w:rPr>
              <w:t>/</w:t>
            </w:r>
            <w:r w:rsidRPr="00155BC6">
              <w:rPr>
                <w:rFonts w:hint="eastAsia"/>
                <w:lang w:eastAsia="zh-CN"/>
              </w:rPr>
              <w:t>信息通信技术展览和论坛</w:t>
            </w:r>
          </w:p>
        </w:tc>
        <w:tc>
          <w:tcPr>
            <w:tcW w:w="1036" w:type="dxa"/>
            <w:tcBorders>
              <w:top w:val="nil"/>
              <w:right w:val="nil"/>
            </w:tcBorders>
          </w:tcPr>
          <w:p w14:paraId="4827C5DD" w14:textId="77777777" w:rsidR="006F0F3C" w:rsidRPr="00155BC6" w:rsidRDefault="006F0F3C" w:rsidP="006F0F3C">
            <w:pPr>
              <w:pStyle w:val="appendixctext"/>
              <w:spacing w:before="40"/>
            </w:pPr>
            <w:r w:rsidRPr="00155BC6">
              <w:t>R 1292</w:t>
            </w:r>
          </w:p>
        </w:tc>
        <w:tc>
          <w:tcPr>
            <w:tcW w:w="599" w:type="dxa"/>
            <w:tcBorders>
              <w:top w:val="nil"/>
              <w:left w:val="nil"/>
            </w:tcBorders>
          </w:tcPr>
          <w:p w14:paraId="4827C5DE" w14:textId="77777777" w:rsidR="006F0F3C" w:rsidRPr="00155BC6" w:rsidRDefault="006F0F3C" w:rsidP="006F0F3C">
            <w:pPr>
              <w:pStyle w:val="appendixctext"/>
              <w:spacing w:before="40"/>
            </w:pPr>
            <w:r w:rsidRPr="00155BC6">
              <w:t>3.4</w:t>
            </w:r>
          </w:p>
        </w:tc>
      </w:tr>
      <w:tr w:rsidR="006F0F3C" w:rsidRPr="00155BC6" w14:paraId="4827C5E3" w14:textId="77777777" w:rsidTr="006C740C">
        <w:trPr>
          <w:jc w:val="center"/>
        </w:trPr>
        <w:tc>
          <w:tcPr>
            <w:tcW w:w="2867" w:type="dxa"/>
            <w:gridSpan w:val="2"/>
            <w:tcBorders>
              <w:bottom w:val="nil"/>
            </w:tcBorders>
          </w:tcPr>
          <w:p w14:paraId="4827C5E0" w14:textId="77777777" w:rsidR="006F0F3C" w:rsidRPr="00155BC6" w:rsidRDefault="006F0F3C" w:rsidP="006F0F3C">
            <w:pPr>
              <w:pStyle w:val="appendixchead"/>
            </w:pPr>
            <w:r w:rsidRPr="00155BC6">
              <w:rPr>
                <w:rFonts w:hint="eastAsia"/>
                <w:bCs/>
              </w:rPr>
              <w:t>电信</w:t>
            </w:r>
          </w:p>
        </w:tc>
        <w:tc>
          <w:tcPr>
            <w:tcW w:w="1036" w:type="dxa"/>
            <w:tcBorders>
              <w:bottom w:val="nil"/>
              <w:right w:val="nil"/>
            </w:tcBorders>
          </w:tcPr>
          <w:p w14:paraId="4827C5E1" w14:textId="77777777" w:rsidR="006F0F3C" w:rsidRPr="00155BC6" w:rsidRDefault="006F0F3C" w:rsidP="006F0F3C">
            <w:pPr>
              <w:pStyle w:val="appendixchead"/>
            </w:pPr>
          </w:p>
        </w:tc>
        <w:tc>
          <w:tcPr>
            <w:tcW w:w="599" w:type="dxa"/>
            <w:tcBorders>
              <w:left w:val="nil"/>
              <w:bottom w:val="nil"/>
            </w:tcBorders>
          </w:tcPr>
          <w:p w14:paraId="4827C5E2" w14:textId="77777777" w:rsidR="006F0F3C" w:rsidRPr="00155BC6" w:rsidRDefault="006F0F3C" w:rsidP="006F0F3C">
            <w:pPr>
              <w:pStyle w:val="appendixchead"/>
            </w:pPr>
          </w:p>
        </w:tc>
      </w:tr>
      <w:tr w:rsidR="006F0F3C" w:rsidRPr="00155BC6" w14:paraId="4827C5E8" w14:textId="77777777" w:rsidTr="006C740C">
        <w:trPr>
          <w:jc w:val="center"/>
        </w:trPr>
        <w:tc>
          <w:tcPr>
            <w:tcW w:w="303" w:type="dxa"/>
            <w:tcBorders>
              <w:top w:val="nil"/>
              <w:right w:val="nil"/>
            </w:tcBorders>
          </w:tcPr>
          <w:p w14:paraId="4827C5E4" w14:textId="77777777" w:rsidR="006F0F3C" w:rsidRPr="00155BC6" w:rsidRDefault="006F0F3C" w:rsidP="006F0F3C">
            <w:pPr>
              <w:pStyle w:val="appendixctext"/>
            </w:pPr>
            <w:r w:rsidRPr="00155BC6">
              <w:t>–</w:t>
            </w:r>
          </w:p>
        </w:tc>
        <w:tc>
          <w:tcPr>
            <w:tcW w:w="2564" w:type="dxa"/>
            <w:tcBorders>
              <w:top w:val="nil"/>
              <w:left w:val="nil"/>
            </w:tcBorders>
          </w:tcPr>
          <w:p w14:paraId="4827C5E5" w14:textId="77777777" w:rsidR="006F0F3C" w:rsidRPr="00155BC6" w:rsidRDefault="006F0F3C" w:rsidP="006F0F3C">
            <w:pPr>
              <w:pStyle w:val="appendixctext"/>
              <w:rPr>
                <w:lang w:eastAsia="zh-CN"/>
              </w:rPr>
            </w:pPr>
            <w:r w:rsidRPr="00155BC6">
              <w:rPr>
                <w:rFonts w:hint="eastAsia"/>
                <w:lang w:eastAsia="zh-CN"/>
              </w:rPr>
              <w:t>在经济和社会发展中的重要</w:t>
            </w:r>
            <w:r>
              <w:rPr>
                <w:lang w:eastAsia="zh-CN"/>
              </w:rPr>
              <w:br/>
            </w:r>
            <w:r w:rsidRPr="00155BC6">
              <w:rPr>
                <w:rFonts w:hint="eastAsia"/>
                <w:lang w:eastAsia="zh-CN"/>
              </w:rPr>
              <w:t>因素</w:t>
            </w:r>
          </w:p>
        </w:tc>
        <w:tc>
          <w:tcPr>
            <w:tcW w:w="1036" w:type="dxa"/>
            <w:tcBorders>
              <w:top w:val="nil"/>
              <w:right w:val="nil"/>
            </w:tcBorders>
          </w:tcPr>
          <w:p w14:paraId="4827C5E6" w14:textId="77777777" w:rsidR="006F0F3C" w:rsidRPr="00155BC6" w:rsidRDefault="006F0F3C" w:rsidP="006F0F3C">
            <w:pPr>
              <w:pStyle w:val="appendixctext"/>
            </w:pPr>
            <w:r w:rsidRPr="00155BC6">
              <w:t>R 800</w:t>
            </w:r>
          </w:p>
        </w:tc>
        <w:tc>
          <w:tcPr>
            <w:tcW w:w="599" w:type="dxa"/>
            <w:tcBorders>
              <w:top w:val="nil"/>
              <w:left w:val="nil"/>
            </w:tcBorders>
          </w:tcPr>
          <w:p w14:paraId="4827C5E7" w14:textId="77777777" w:rsidR="006F0F3C" w:rsidRPr="00155BC6" w:rsidRDefault="006F0F3C" w:rsidP="006F0F3C">
            <w:pPr>
              <w:pStyle w:val="appendixctext"/>
            </w:pPr>
            <w:r w:rsidRPr="00155BC6">
              <w:t>6.2</w:t>
            </w:r>
          </w:p>
        </w:tc>
      </w:tr>
      <w:tr w:rsidR="006F0F3C" w:rsidRPr="00155BC6" w14:paraId="4827C5EC" w14:textId="77777777" w:rsidTr="006C740C">
        <w:trPr>
          <w:jc w:val="center"/>
        </w:trPr>
        <w:tc>
          <w:tcPr>
            <w:tcW w:w="2867" w:type="dxa"/>
            <w:gridSpan w:val="2"/>
            <w:tcBorders>
              <w:bottom w:val="nil"/>
            </w:tcBorders>
          </w:tcPr>
          <w:p w14:paraId="4827C5E9" w14:textId="77777777" w:rsidR="006F0F3C" w:rsidRPr="00155BC6" w:rsidRDefault="006F0F3C" w:rsidP="006F0F3C">
            <w:pPr>
              <w:pStyle w:val="appendixchead"/>
              <w:rPr>
                <w:lang w:eastAsia="zh-CN"/>
              </w:rPr>
            </w:pPr>
            <w:r w:rsidRPr="00155BC6">
              <w:rPr>
                <w:rFonts w:hint="eastAsia"/>
                <w:lang w:eastAsia="zh-CN"/>
              </w:rPr>
              <w:t>电信标准化部门</w:t>
            </w:r>
            <w:r w:rsidRPr="00155BC6">
              <w:rPr>
                <w:lang w:eastAsia="zh-CN"/>
              </w:rPr>
              <w:t>（</w:t>
            </w:r>
            <w:r w:rsidRPr="00155BC6">
              <w:rPr>
                <w:lang w:eastAsia="zh-CN"/>
              </w:rPr>
              <w:t>ITU</w:t>
            </w:r>
            <w:r w:rsidRPr="00155BC6">
              <w:rPr>
                <w:lang w:eastAsia="zh-CN"/>
              </w:rPr>
              <w:noBreakHyphen/>
              <w:t>T</w:t>
            </w:r>
            <w:r w:rsidRPr="00155BC6">
              <w:rPr>
                <w:lang w:eastAsia="zh-CN"/>
              </w:rPr>
              <w:t>）</w:t>
            </w:r>
          </w:p>
        </w:tc>
        <w:tc>
          <w:tcPr>
            <w:tcW w:w="1036" w:type="dxa"/>
            <w:tcBorders>
              <w:bottom w:val="nil"/>
              <w:right w:val="nil"/>
            </w:tcBorders>
          </w:tcPr>
          <w:p w14:paraId="4827C5EA" w14:textId="77777777" w:rsidR="006F0F3C" w:rsidRPr="00155BC6" w:rsidRDefault="006F0F3C" w:rsidP="006F0F3C">
            <w:pPr>
              <w:pStyle w:val="appendixctext"/>
              <w:rPr>
                <w:lang w:eastAsia="zh-CN"/>
              </w:rPr>
            </w:pPr>
          </w:p>
        </w:tc>
        <w:tc>
          <w:tcPr>
            <w:tcW w:w="599" w:type="dxa"/>
            <w:tcBorders>
              <w:left w:val="nil"/>
              <w:bottom w:val="nil"/>
            </w:tcBorders>
          </w:tcPr>
          <w:p w14:paraId="4827C5EB" w14:textId="77777777" w:rsidR="006F0F3C" w:rsidRPr="00155BC6" w:rsidRDefault="006F0F3C" w:rsidP="006F0F3C">
            <w:pPr>
              <w:pStyle w:val="appendixctext"/>
              <w:rPr>
                <w:lang w:eastAsia="zh-CN"/>
              </w:rPr>
            </w:pPr>
          </w:p>
        </w:tc>
      </w:tr>
      <w:tr w:rsidR="0080230F" w:rsidRPr="00155BC6" w14:paraId="4827C5F1" w14:textId="77777777" w:rsidTr="006C740C">
        <w:trPr>
          <w:jc w:val="center"/>
        </w:trPr>
        <w:tc>
          <w:tcPr>
            <w:tcW w:w="303" w:type="dxa"/>
            <w:tcBorders>
              <w:top w:val="nil"/>
              <w:bottom w:val="nil"/>
              <w:right w:val="nil"/>
            </w:tcBorders>
          </w:tcPr>
          <w:p w14:paraId="4827C5ED" w14:textId="77777777" w:rsidR="0080230F" w:rsidRPr="00155BC6" w:rsidRDefault="0080230F" w:rsidP="006F0F3C">
            <w:pPr>
              <w:pStyle w:val="appendixctext"/>
            </w:pPr>
            <w:r w:rsidRPr="00155BC6">
              <w:t>–</w:t>
            </w:r>
          </w:p>
        </w:tc>
        <w:tc>
          <w:tcPr>
            <w:tcW w:w="2564" w:type="dxa"/>
            <w:tcBorders>
              <w:top w:val="nil"/>
              <w:left w:val="nil"/>
              <w:bottom w:val="nil"/>
            </w:tcBorders>
          </w:tcPr>
          <w:p w14:paraId="4827C5EE" w14:textId="77777777" w:rsidR="0080230F" w:rsidRDefault="0080230F" w:rsidP="006F0F3C">
            <w:pPr>
              <w:pStyle w:val="appendixctext"/>
              <w:spacing w:before="40"/>
              <w:ind w:right="-98"/>
              <w:rPr>
                <w:lang w:val="en-US" w:eastAsia="zh-CN"/>
              </w:rPr>
            </w:pPr>
            <w:r>
              <w:rPr>
                <w:rFonts w:hint="eastAsia"/>
                <w:lang w:eastAsia="zh-CN"/>
              </w:rPr>
              <w:t>发行方标识</w:t>
            </w:r>
            <w:r>
              <w:rPr>
                <w:rFonts w:ascii="SimSun" w:hAnsi="SimSun" w:cs="SimSun" w:hint="eastAsia"/>
                <w:lang w:eastAsia="zh-CN"/>
              </w:rPr>
              <w:t>号</w:t>
            </w:r>
            <w:r>
              <w:rPr>
                <w:rFonts w:hint="eastAsia"/>
                <w:lang w:eastAsia="zh-CN"/>
              </w:rPr>
              <w:t>（</w:t>
            </w:r>
            <w:r>
              <w:rPr>
                <w:lang w:eastAsia="zh-CN"/>
              </w:rPr>
              <w:t>IIN</w:t>
            </w:r>
            <w:r>
              <w:rPr>
                <w:rFonts w:ascii="SimSun" w:hAnsi="SimSun" w:cs="SimSun" w:hint="eastAsia"/>
                <w:lang w:eastAsia="zh-CN"/>
              </w:rPr>
              <w:t>）</w:t>
            </w:r>
            <w:r>
              <w:rPr>
                <w:rFonts w:hint="eastAsia"/>
                <w:lang w:eastAsia="zh-CN"/>
              </w:rPr>
              <w:t>登记</w:t>
            </w:r>
          </w:p>
        </w:tc>
        <w:tc>
          <w:tcPr>
            <w:tcW w:w="1036" w:type="dxa"/>
            <w:tcBorders>
              <w:top w:val="nil"/>
              <w:bottom w:val="nil"/>
              <w:right w:val="nil"/>
            </w:tcBorders>
          </w:tcPr>
          <w:p w14:paraId="4827C5EF" w14:textId="77777777" w:rsidR="0080230F" w:rsidRDefault="0080230F" w:rsidP="006F0F3C">
            <w:pPr>
              <w:pStyle w:val="appendixctext"/>
              <w:rPr>
                <w:lang w:val="en-US" w:eastAsia="zh-CN"/>
              </w:rPr>
            </w:pPr>
            <w:r>
              <w:rPr>
                <w:lang w:val="en-US" w:eastAsia="zh-CN"/>
              </w:rPr>
              <w:t>D 601</w:t>
            </w:r>
          </w:p>
        </w:tc>
        <w:tc>
          <w:tcPr>
            <w:tcW w:w="599" w:type="dxa"/>
            <w:tcBorders>
              <w:top w:val="nil"/>
              <w:left w:val="nil"/>
              <w:bottom w:val="nil"/>
            </w:tcBorders>
          </w:tcPr>
          <w:p w14:paraId="4827C5F0" w14:textId="77777777" w:rsidR="0080230F" w:rsidRDefault="0080230F" w:rsidP="006F0F3C">
            <w:pPr>
              <w:pStyle w:val="appendixctext"/>
              <w:rPr>
                <w:lang w:val="en-US" w:eastAsia="zh-CN"/>
              </w:rPr>
            </w:pPr>
            <w:r>
              <w:rPr>
                <w:lang w:val="en-US" w:eastAsia="zh-CN"/>
              </w:rPr>
              <w:t>5.3</w:t>
            </w:r>
          </w:p>
        </w:tc>
      </w:tr>
      <w:tr w:rsidR="006F0F3C" w:rsidRPr="00155BC6" w14:paraId="4827C5F6" w14:textId="77777777" w:rsidTr="006C740C">
        <w:trPr>
          <w:jc w:val="center"/>
        </w:trPr>
        <w:tc>
          <w:tcPr>
            <w:tcW w:w="303" w:type="dxa"/>
            <w:tcBorders>
              <w:top w:val="nil"/>
              <w:bottom w:val="nil"/>
              <w:right w:val="nil"/>
            </w:tcBorders>
          </w:tcPr>
          <w:p w14:paraId="4827C5F2" w14:textId="77777777" w:rsidR="006F0F3C" w:rsidRPr="00155BC6" w:rsidRDefault="006F0F3C" w:rsidP="006F0F3C">
            <w:pPr>
              <w:pStyle w:val="appendixctext"/>
            </w:pPr>
            <w:r w:rsidRPr="00155BC6">
              <w:t>–</w:t>
            </w:r>
          </w:p>
        </w:tc>
        <w:tc>
          <w:tcPr>
            <w:tcW w:w="2564" w:type="dxa"/>
            <w:tcBorders>
              <w:top w:val="nil"/>
              <w:left w:val="nil"/>
              <w:bottom w:val="nil"/>
            </w:tcBorders>
          </w:tcPr>
          <w:p w14:paraId="4827C5F3" w14:textId="77777777" w:rsidR="006F0F3C" w:rsidRPr="00155BC6" w:rsidRDefault="006F0F3C" w:rsidP="006F0F3C">
            <w:pPr>
              <w:pStyle w:val="appendixctext"/>
              <w:spacing w:before="40"/>
              <w:ind w:right="-98"/>
              <w:rPr>
                <w:lang w:eastAsia="zh-CN"/>
              </w:rPr>
            </w:pPr>
            <w:r>
              <w:rPr>
                <w:rFonts w:hint="eastAsia"/>
                <w:lang w:val="en-US" w:eastAsia="zh-CN"/>
              </w:rPr>
              <w:t>对</w:t>
            </w:r>
            <w:r>
              <w:rPr>
                <w:lang w:val="en-US" w:eastAsia="zh-CN"/>
              </w:rPr>
              <w:t>AESA</w:t>
            </w:r>
            <w:r>
              <w:rPr>
                <w:rFonts w:hint="eastAsia"/>
                <w:lang w:val="en-US" w:eastAsia="zh-CN"/>
              </w:rPr>
              <w:t>登记职能实行成本回收</w:t>
            </w:r>
          </w:p>
        </w:tc>
        <w:tc>
          <w:tcPr>
            <w:tcW w:w="1036" w:type="dxa"/>
            <w:tcBorders>
              <w:top w:val="nil"/>
              <w:bottom w:val="nil"/>
              <w:right w:val="nil"/>
            </w:tcBorders>
          </w:tcPr>
          <w:p w14:paraId="4827C5F4" w14:textId="77777777" w:rsidR="006F0F3C" w:rsidRPr="00155BC6" w:rsidRDefault="006F0F3C" w:rsidP="006F0F3C">
            <w:pPr>
              <w:pStyle w:val="appendixctext"/>
            </w:pPr>
            <w:r>
              <w:rPr>
                <w:lang w:val="en-US" w:eastAsia="zh-CN"/>
              </w:rPr>
              <w:t>R 1168</w:t>
            </w:r>
          </w:p>
        </w:tc>
        <w:tc>
          <w:tcPr>
            <w:tcW w:w="599" w:type="dxa"/>
            <w:tcBorders>
              <w:top w:val="nil"/>
              <w:left w:val="nil"/>
              <w:bottom w:val="nil"/>
            </w:tcBorders>
          </w:tcPr>
          <w:p w14:paraId="4827C5F5" w14:textId="77777777" w:rsidR="006F0F3C" w:rsidRPr="00155BC6" w:rsidRDefault="006F0F3C" w:rsidP="006F0F3C">
            <w:pPr>
              <w:pStyle w:val="appendixctext"/>
            </w:pPr>
            <w:r>
              <w:rPr>
                <w:lang w:val="en-US" w:eastAsia="zh-CN"/>
              </w:rPr>
              <w:t>5.3</w:t>
            </w:r>
          </w:p>
        </w:tc>
      </w:tr>
      <w:tr w:rsidR="006F0F3C" w:rsidRPr="00155BC6" w14:paraId="4827C5FB" w14:textId="77777777" w:rsidTr="006C740C">
        <w:trPr>
          <w:jc w:val="center"/>
        </w:trPr>
        <w:tc>
          <w:tcPr>
            <w:tcW w:w="303" w:type="dxa"/>
            <w:tcBorders>
              <w:top w:val="nil"/>
              <w:bottom w:val="nil"/>
              <w:right w:val="nil"/>
            </w:tcBorders>
          </w:tcPr>
          <w:p w14:paraId="4827C5F7" w14:textId="77777777" w:rsidR="006F0F3C" w:rsidRPr="00155BC6" w:rsidRDefault="006F0F3C" w:rsidP="006F0F3C">
            <w:pPr>
              <w:pStyle w:val="appendixctext"/>
            </w:pPr>
            <w:r w:rsidRPr="00155BC6">
              <w:t>–</w:t>
            </w:r>
          </w:p>
        </w:tc>
        <w:tc>
          <w:tcPr>
            <w:tcW w:w="2564" w:type="dxa"/>
            <w:tcBorders>
              <w:top w:val="nil"/>
              <w:left w:val="nil"/>
              <w:bottom w:val="nil"/>
            </w:tcBorders>
          </w:tcPr>
          <w:p w14:paraId="4827C5F8" w14:textId="77777777" w:rsidR="006F0F3C" w:rsidRPr="00155BC6" w:rsidRDefault="006F0F3C" w:rsidP="006F0F3C">
            <w:pPr>
              <w:pStyle w:val="appendixctext"/>
              <w:rPr>
                <w:lang w:eastAsia="zh-CN"/>
              </w:rPr>
            </w:pPr>
            <w:r>
              <w:rPr>
                <w:rFonts w:hint="eastAsia"/>
                <w:lang w:val="en-US" w:eastAsia="zh-CN"/>
              </w:rPr>
              <w:t>关于合法截收电信的技术要求的国际协调</w:t>
            </w:r>
          </w:p>
        </w:tc>
        <w:tc>
          <w:tcPr>
            <w:tcW w:w="1036" w:type="dxa"/>
            <w:tcBorders>
              <w:top w:val="nil"/>
              <w:bottom w:val="nil"/>
              <w:right w:val="nil"/>
            </w:tcBorders>
          </w:tcPr>
          <w:p w14:paraId="4827C5F9" w14:textId="77777777" w:rsidR="006F0F3C" w:rsidRPr="00155BC6" w:rsidRDefault="006F0F3C" w:rsidP="006F0F3C">
            <w:pPr>
              <w:pStyle w:val="appendixctext"/>
            </w:pPr>
            <w:r>
              <w:rPr>
                <w:lang w:val="en-US" w:eastAsia="zh-CN"/>
              </w:rPr>
              <w:t>R 1115</w:t>
            </w:r>
          </w:p>
        </w:tc>
        <w:tc>
          <w:tcPr>
            <w:tcW w:w="599" w:type="dxa"/>
            <w:tcBorders>
              <w:top w:val="nil"/>
              <w:left w:val="nil"/>
              <w:bottom w:val="nil"/>
            </w:tcBorders>
          </w:tcPr>
          <w:p w14:paraId="4827C5FA" w14:textId="77777777" w:rsidR="006F0F3C" w:rsidRPr="00155BC6" w:rsidRDefault="006F0F3C" w:rsidP="006F0F3C">
            <w:pPr>
              <w:pStyle w:val="appendixctext"/>
            </w:pPr>
            <w:r>
              <w:rPr>
                <w:lang w:val="en-US" w:eastAsia="zh-CN"/>
              </w:rPr>
              <w:t>5.1</w:t>
            </w:r>
          </w:p>
        </w:tc>
      </w:tr>
      <w:tr w:rsidR="006F0F3C" w:rsidRPr="00155BC6" w14:paraId="4827C600" w14:textId="77777777" w:rsidTr="006C740C">
        <w:trPr>
          <w:jc w:val="center"/>
        </w:trPr>
        <w:tc>
          <w:tcPr>
            <w:tcW w:w="303" w:type="dxa"/>
            <w:tcBorders>
              <w:top w:val="nil"/>
              <w:bottom w:val="nil"/>
              <w:right w:val="nil"/>
            </w:tcBorders>
          </w:tcPr>
          <w:p w14:paraId="4827C5FC" w14:textId="77777777" w:rsidR="006F0F3C" w:rsidRPr="00155BC6" w:rsidRDefault="006F0F3C" w:rsidP="006F0F3C">
            <w:pPr>
              <w:pStyle w:val="appendixctext"/>
            </w:pPr>
            <w:r w:rsidRPr="00155BC6">
              <w:t>–</w:t>
            </w:r>
          </w:p>
        </w:tc>
        <w:tc>
          <w:tcPr>
            <w:tcW w:w="2564" w:type="dxa"/>
            <w:tcBorders>
              <w:top w:val="nil"/>
              <w:left w:val="nil"/>
              <w:bottom w:val="nil"/>
            </w:tcBorders>
          </w:tcPr>
          <w:p w14:paraId="4827C5FD" w14:textId="77777777" w:rsidR="006F0F3C" w:rsidRPr="00155BC6" w:rsidRDefault="006F0F3C" w:rsidP="006F0F3C">
            <w:pPr>
              <w:pStyle w:val="appendixctext"/>
            </w:pPr>
            <w:r>
              <w:rPr>
                <w:rFonts w:hint="eastAsia"/>
                <w:lang w:val="en-US" w:eastAsia="zh-CN"/>
              </w:rPr>
              <w:t>《运作规划》</w:t>
            </w:r>
          </w:p>
        </w:tc>
        <w:tc>
          <w:tcPr>
            <w:tcW w:w="1036" w:type="dxa"/>
            <w:tcBorders>
              <w:top w:val="nil"/>
              <w:bottom w:val="nil"/>
              <w:right w:val="nil"/>
            </w:tcBorders>
          </w:tcPr>
          <w:p w14:paraId="4827C5FE" w14:textId="18F82592" w:rsidR="006F0F3C" w:rsidRPr="00155BC6" w:rsidRDefault="006F0F3C" w:rsidP="00BF10EE">
            <w:pPr>
              <w:pStyle w:val="appendixctext"/>
            </w:pPr>
            <w:r>
              <w:rPr>
                <w:lang w:val="en-US" w:eastAsia="zh-CN"/>
              </w:rPr>
              <w:t>R 1</w:t>
            </w:r>
            <w:r w:rsidR="00F869B9">
              <w:rPr>
                <w:rFonts w:hint="eastAsia"/>
                <w:lang w:val="en-US" w:eastAsia="zh-CN"/>
              </w:rPr>
              <w:t>403</w:t>
            </w:r>
          </w:p>
        </w:tc>
        <w:tc>
          <w:tcPr>
            <w:tcW w:w="599" w:type="dxa"/>
            <w:tcBorders>
              <w:top w:val="nil"/>
              <w:left w:val="nil"/>
              <w:bottom w:val="nil"/>
            </w:tcBorders>
          </w:tcPr>
          <w:p w14:paraId="4827C5FF" w14:textId="77777777" w:rsidR="006F0F3C" w:rsidRPr="00155BC6" w:rsidRDefault="006F0F3C" w:rsidP="006F0F3C">
            <w:pPr>
              <w:pStyle w:val="appendixctext"/>
            </w:pPr>
            <w:r>
              <w:rPr>
                <w:lang w:val="en-US" w:eastAsia="zh-CN"/>
              </w:rPr>
              <w:t>4</w:t>
            </w:r>
          </w:p>
        </w:tc>
      </w:tr>
      <w:tr w:rsidR="00077D96" w:rsidRPr="00155BC6" w14:paraId="4827C60A" w14:textId="77777777" w:rsidTr="006C740C">
        <w:trPr>
          <w:jc w:val="center"/>
        </w:trPr>
        <w:tc>
          <w:tcPr>
            <w:tcW w:w="303" w:type="dxa"/>
            <w:tcBorders>
              <w:top w:val="nil"/>
              <w:bottom w:val="nil"/>
              <w:right w:val="nil"/>
            </w:tcBorders>
          </w:tcPr>
          <w:p w14:paraId="4827C606" w14:textId="77777777" w:rsidR="00077D96" w:rsidRPr="00155BC6" w:rsidRDefault="0080230F" w:rsidP="006F0F3C">
            <w:pPr>
              <w:pStyle w:val="appendixctext"/>
            </w:pPr>
            <w:r w:rsidRPr="00155BC6">
              <w:t>–</w:t>
            </w:r>
          </w:p>
        </w:tc>
        <w:tc>
          <w:tcPr>
            <w:tcW w:w="2564" w:type="dxa"/>
            <w:tcBorders>
              <w:top w:val="nil"/>
              <w:left w:val="nil"/>
              <w:bottom w:val="nil"/>
            </w:tcBorders>
          </w:tcPr>
          <w:p w14:paraId="4827C607" w14:textId="77777777" w:rsidR="00077D96" w:rsidRDefault="0080230F" w:rsidP="006F0F3C">
            <w:pPr>
              <w:pStyle w:val="appendixctext"/>
              <w:rPr>
                <w:lang w:val="en-US" w:eastAsia="zh-CN"/>
              </w:rPr>
            </w:pPr>
            <w:r>
              <w:rPr>
                <w:lang w:eastAsia="zh-CN"/>
              </w:rPr>
              <w:t>免费电话号码（</w:t>
            </w:r>
            <w:r>
              <w:rPr>
                <w:lang w:eastAsia="zh-CN"/>
              </w:rPr>
              <w:t>UIFN</w:t>
            </w:r>
            <w:r>
              <w:rPr>
                <w:rFonts w:hint="eastAsia"/>
                <w:lang w:eastAsia="zh-CN"/>
              </w:rPr>
              <w:t>）登记</w:t>
            </w:r>
          </w:p>
        </w:tc>
        <w:tc>
          <w:tcPr>
            <w:tcW w:w="1036" w:type="dxa"/>
            <w:tcBorders>
              <w:top w:val="nil"/>
              <w:bottom w:val="nil"/>
              <w:right w:val="nil"/>
            </w:tcBorders>
          </w:tcPr>
          <w:p w14:paraId="4827C608" w14:textId="77777777" w:rsidR="00077D96" w:rsidRDefault="0080230F" w:rsidP="006F0F3C">
            <w:pPr>
              <w:pStyle w:val="appendixctext"/>
              <w:rPr>
                <w:lang w:val="en-US" w:eastAsia="zh-CN"/>
              </w:rPr>
            </w:pPr>
            <w:r>
              <w:rPr>
                <w:lang w:val="en-US" w:eastAsia="zh-CN"/>
              </w:rPr>
              <w:t>D 600</w:t>
            </w:r>
          </w:p>
        </w:tc>
        <w:tc>
          <w:tcPr>
            <w:tcW w:w="599" w:type="dxa"/>
            <w:tcBorders>
              <w:top w:val="nil"/>
              <w:left w:val="nil"/>
              <w:bottom w:val="nil"/>
            </w:tcBorders>
          </w:tcPr>
          <w:p w14:paraId="4827C609" w14:textId="77777777" w:rsidR="00077D96" w:rsidRDefault="0080230F" w:rsidP="006F0F3C">
            <w:pPr>
              <w:pStyle w:val="appendixctext"/>
              <w:rPr>
                <w:lang w:val="en-US" w:eastAsia="zh-CN"/>
              </w:rPr>
            </w:pPr>
            <w:r>
              <w:rPr>
                <w:lang w:val="en-US" w:eastAsia="zh-CN"/>
              </w:rPr>
              <w:t>5.3</w:t>
            </w:r>
          </w:p>
        </w:tc>
      </w:tr>
      <w:tr w:rsidR="00903932" w:rsidRPr="00155BC6" w14:paraId="4827C60F" w14:textId="77777777" w:rsidTr="006F1271">
        <w:trPr>
          <w:jc w:val="center"/>
        </w:trPr>
        <w:tc>
          <w:tcPr>
            <w:tcW w:w="303" w:type="dxa"/>
            <w:tcBorders>
              <w:top w:val="nil"/>
              <w:bottom w:val="single" w:sz="4" w:space="0" w:color="auto"/>
              <w:right w:val="nil"/>
            </w:tcBorders>
          </w:tcPr>
          <w:p w14:paraId="4827C60B" w14:textId="77777777" w:rsidR="00903932" w:rsidRPr="00155BC6" w:rsidRDefault="00903932" w:rsidP="006F0F3C">
            <w:pPr>
              <w:pStyle w:val="appendixctext"/>
            </w:pPr>
            <w:r w:rsidRPr="00155BC6">
              <w:t>–</w:t>
            </w:r>
          </w:p>
        </w:tc>
        <w:tc>
          <w:tcPr>
            <w:tcW w:w="2564" w:type="dxa"/>
            <w:tcBorders>
              <w:top w:val="nil"/>
              <w:left w:val="nil"/>
              <w:bottom w:val="single" w:sz="4" w:space="0" w:color="auto"/>
            </w:tcBorders>
          </w:tcPr>
          <w:p w14:paraId="4827C60C" w14:textId="77777777" w:rsidR="00903932" w:rsidRDefault="00903932" w:rsidP="006F0F3C">
            <w:pPr>
              <w:pStyle w:val="appendixctext"/>
              <w:rPr>
                <w:lang w:eastAsia="zh-CN"/>
              </w:rPr>
            </w:pPr>
            <w:r w:rsidRPr="006A5D14">
              <w:rPr>
                <w:rFonts w:asciiTheme="minorEastAsia" w:eastAsiaTheme="minorEastAsia" w:hAnsiTheme="minorEastAsia" w:cs="Microsoft YaHei" w:hint="eastAsia"/>
                <w:lang w:eastAsia="zh-CN"/>
              </w:rPr>
              <w:t>世界电信标准化全会</w:t>
            </w:r>
            <w:r w:rsidR="00FB3D70">
              <w:rPr>
                <w:rFonts w:asciiTheme="minorEastAsia" w:eastAsiaTheme="minorEastAsia" w:hAnsiTheme="minorEastAsia" w:cs="Microsoft YaHei"/>
                <w:lang w:eastAsia="zh-CN"/>
              </w:rPr>
              <w:br/>
            </w:r>
            <w:r w:rsidRPr="006A5D14">
              <w:rPr>
                <w:rFonts w:asciiTheme="minorEastAsia" w:eastAsiaTheme="minorEastAsia" w:hAnsiTheme="minorEastAsia" w:cs="Microsoft YaHei" w:hint="eastAsia"/>
                <w:lang w:eastAsia="zh-CN"/>
              </w:rPr>
              <w:t>（</w:t>
            </w:r>
            <w:r w:rsidRPr="00761D1F">
              <w:rPr>
                <w:rFonts w:cstheme="minorHAnsi"/>
                <w:lang w:eastAsia="zh-CN"/>
              </w:rPr>
              <w:t>WTSA-20</w:t>
            </w:r>
            <w:r w:rsidRPr="006A5D14">
              <w:rPr>
                <w:rFonts w:asciiTheme="minorEastAsia" w:eastAsiaTheme="minorEastAsia" w:hAnsiTheme="minorEastAsia" w:cs="Microsoft YaHei" w:hint="eastAsia"/>
                <w:lang w:eastAsia="zh-CN"/>
              </w:rPr>
              <w:t>）</w:t>
            </w:r>
          </w:p>
        </w:tc>
        <w:tc>
          <w:tcPr>
            <w:tcW w:w="1036" w:type="dxa"/>
            <w:tcBorders>
              <w:top w:val="nil"/>
              <w:bottom w:val="single" w:sz="4" w:space="0" w:color="auto"/>
              <w:right w:val="nil"/>
            </w:tcBorders>
          </w:tcPr>
          <w:p w14:paraId="4827C60D" w14:textId="77777777" w:rsidR="00903932" w:rsidRDefault="00903932" w:rsidP="006F0F3C">
            <w:pPr>
              <w:pStyle w:val="appendixctext"/>
              <w:rPr>
                <w:lang w:val="en-US" w:eastAsia="zh-CN"/>
              </w:rPr>
            </w:pPr>
            <w:r>
              <w:rPr>
                <w:lang w:val="en-US" w:eastAsia="zh-CN"/>
              </w:rPr>
              <w:t>D 608</w:t>
            </w:r>
          </w:p>
        </w:tc>
        <w:tc>
          <w:tcPr>
            <w:tcW w:w="599" w:type="dxa"/>
            <w:tcBorders>
              <w:top w:val="nil"/>
              <w:left w:val="nil"/>
              <w:bottom w:val="single" w:sz="4" w:space="0" w:color="auto"/>
            </w:tcBorders>
          </w:tcPr>
          <w:p w14:paraId="4827C60E" w14:textId="77777777" w:rsidR="00903932" w:rsidRDefault="00903932" w:rsidP="006F0F3C">
            <w:pPr>
              <w:pStyle w:val="appendixctext"/>
              <w:rPr>
                <w:lang w:val="en-US" w:eastAsia="zh-CN"/>
              </w:rPr>
            </w:pPr>
            <w:r>
              <w:rPr>
                <w:lang w:val="en-US" w:eastAsia="zh-CN"/>
              </w:rPr>
              <w:t>3.4</w:t>
            </w:r>
          </w:p>
        </w:tc>
      </w:tr>
      <w:tr w:rsidR="006F0F3C" w:rsidRPr="00155BC6" w14:paraId="4827C613" w14:textId="77777777" w:rsidTr="006F1271">
        <w:trPr>
          <w:jc w:val="center"/>
        </w:trPr>
        <w:tc>
          <w:tcPr>
            <w:tcW w:w="2867" w:type="dxa"/>
            <w:gridSpan w:val="2"/>
            <w:tcBorders>
              <w:bottom w:val="nil"/>
            </w:tcBorders>
          </w:tcPr>
          <w:p w14:paraId="4827C610" w14:textId="77777777" w:rsidR="006F0F3C" w:rsidRPr="00155BC6" w:rsidRDefault="006F0F3C" w:rsidP="006F0F3C">
            <w:pPr>
              <w:pStyle w:val="appendixchead"/>
              <w:rPr>
                <w:lang w:eastAsia="zh-CN"/>
              </w:rPr>
            </w:pPr>
            <w:r>
              <w:rPr>
                <w:rFonts w:hint="eastAsia"/>
                <w:lang w:eastAsia="zh-CN"/>
              </w:rPr>
              <w:t>电信发展</w:t>
            </w:r>
            <w:r w:rsidRPr="00155BC6">
              <w:rPr>
                <w:rFonts w:hint="eastAsia"/>
                <w:lang w:eastAsia="zh-CN"/>
              </w:rPr>
              <w:t>部门</w:t>
            </w:r>
            <w:r w:rsidRPr="00155BC6">
              <w:rPr>
                <w:lang w:eastAsia="zh-CN"/>
              </w:rPr>
              <w:t>（</w:t>
            </w:r>
            <w:r>
              <w:rPr>
                <w:lang w:eastAsia="zh-CN"/>
              </w:rPr>
              <w:t>ITU</w:t>
            </w:r>
            <w:r>
              <w:rPr>
                <w:lang w:eastAsia="zh-CN"/>
              </w:rPr>
              <w:noBreakHyphen/>
            </w:r>
            <w:r>
              <w:rPr>
                <w:lang w:val="en-US" w:eastAsia="zh-CN"/>
              </w:rPr>
              <w:t>D</w:t>
            </w:r>
            <w:r w:rsidRPr="00155BC6">
              <w:rPr>
                <w:lang w:eastAsia="zh-CN"/>
              </w:rPr>
              <w:t>）</w:t>
            </w:r>
          </w:p>
        </w:tc>
        <w:tc>
          <w:tcPr>
            <w:tcW w:w="1036" w:type="dxa"/>
            <w:tcBorders>
              <w:bottom w:val="nil"/>
              <w:right w:val="nil"/>
            </w:tcBorders>
          </w:tcPr>
          <w:p w14:paraId="4827C611" w14:textId="77777777" w:rsidR="006F0F3C" w:rsidRPr="00155BC6" w:rsidRDefault="006F0F3C" w:rsidP="006F0F3C">
            <w:pPr>
              <w:pStyle w:val="appendixctext"/>
              <w:rPr>
                <w:lang w:eastAsia="zh-CN"/>
              </w:rPr>
            </w:pPr>
          </w:p>
        </w:tc>
        <w:tc>
          <w:tcPr>
            <w:tcW w:w="599" w:type="dxa"/>
            <w:tcBorders>
              <w:left w:val="nil"/>
              <w:bottom w:val="nil"/>
            </w:tcBorders>
          </w:tcPr>
          <w:p w14:paraId="4827C612" w14:textId="77777777" w:rsidR="006F0F3C" w:rsidRPr="00155BC6" w:rsidRDefault="006F0F3C" w:rsidP="006F0F3C">
            <w:pPr>
              <w:pStyle w:val="appendixctext"/>
              <w:rPr>
                <w:lang w:eastAsia="zh-CN"/>
              </w:rPr>
            </w:pPr>
          </w:p>
        </w:tc>
      </w:tr>
      <w:tr w:rsidR="006F0F3C" w:rsidRPr="00155BC6" w14:paraId="4827C618" w14:textId="77777777" w:rsidTr="006F1271">
        <w:trPr>
          <w:jc w:val="center"/>
        </w:trPr>
        <w:tc>
          <w:tcPr>
            <w:tcW w:w="303" w:type="dxa"/>
            <w:tcBorders>
              <w:top w:val="nil"/>
              <w:bottom w:val="nil"/>
              <w:right w:val="nil"/>
            </w:tcBorders>
          </w:tcPr>
          <w:p w14:paraId="4827C614" w14:textId="77777777" w:rsidR="006F0F3C" w:rsidRPr="00155BC6" w:rsidRDefault="006F0F3C" w:rsidP="006F0F3C">
            <w:pPr>
              <w:pStyle w:val="appendixctext"/>
            </w:pPr>
            <w:r w:rsidRPr="00155BC6">
              <w:t>–</w:t>
            </w:r>
          </w:p>
        </w:tc>
        <w:tc>
          <w:tcPr>
            <w:tcW w:w="2564" w:type="dxa"/>
            <w:tcBorders>
              <w:top w:val="nil"/>
              <w:left w:val="nil"/>
              <w:bottom w:val="nil"/>
            </w:tcBorders>
          </w:tcPr>
          <w:p w14:paraId="4827C615" w14:textId="77777777" w:rsidR="006F0F3C" w:rsidRPr="00155BC6" w:rsidRDefault="006F0F3C" w:rsidP="006F0F3C">
            <w:pPr>
              <w:pStyle w:val="appendixctext"/>
              <w:spacing w:before="40"/>
              <w:ind w:right="-98"/>
            </w:pPr>
            <w:r w:rsidRPr="00155BC6">
              <w:rPr>
                <w:rFonts w:hint="eastAsia"/>
              </w:rPr>
              <w:t>《运作规划》</w:t>
            </w:r>
          </w:p>
        </w:tc>
        <w:tc>
          <w:tcPr>
            <w:tcW w:w="1036" w:type="dxa"/>
            <w:tcBorders>
              <w:top w:val="nil"/>
              <w:bottom w:val="nil"/>
              <w:right w:val="nil"/>
            </w:tcBorders>
          </w:tcPr>
          <w:p w14:paraId="4827C616" w14:textId="7A236F76" w:rsidR="006F0F3C" w:rsidRPr="00155BC6" w:rsidRDefault="006F0F3C" w:rsidP="00BF10EE">
            <w:pPr>
              <w:pStyle w:val="appendixctext"/>
            </w:pPr>
            <w:r w:rsidRPr="00155BC6">
              <w:t>R 1</w:t>
            </w:r>
            <w:r w:rsidR="00F869B9">
              <w:rPr>
                <w:rFonts w:hint="eastAsia"/>
                <w:lang w:eastAsia="zh-CN"/>
              </w:rPr>
              <w:t>403</w:t>
            </w:r>
          </w:p>
        </w:tc>
        <w:tc>
          <w:tcPr>
            <w:tcW w:w="599" w:type="dxa"/>
            <w:tcBorders>
              <w:top w:val="nil"/>
              <w:left w:val="nil"/>
              <w:bottom w:val="nil"/>
            </w:tcBorders>
          </w:tcPr>
          <w:p w14:paraId="4827C617" w14:textId="77777777" w:rsidR="006F0F3C" w:rsidRPr="00155BC6" w:rsidRDefault="006F0F3C" w:rsidP="006F0F3C">
            <w:pPr>
              <w:pStyle w:val="appendixctext"/>
            </w:pPr>
            <w:r w:rsidRPr="00155BC6">
              <w:t>4</w:t>
            </w:r>
          </w:p>
        </w:tc>
      </w:tr>
      <w:tr w:rsidR="00D32115" w:rsidRPr="00155BC6" w14:paraId="4827C622" w14:textId="77777777" w:rsidTr="006F1271">
        <w:trPr>
          <w:jc w:val="center"/>
        </w:trPr>
        <w:tc>
          <w:tcPr>
            <w:tcW w:w="303" w:type="dxa"/>
            <w:tcBorders>
              <w:top w:val="nil"/>
              <w:bottom w:val="nil"/>
              <w:right w:val="nil"/>
            </w:tcBorders>
          </w:tcPr>
          <w:p w14:paraId="4827C61E" w14:textId="77777777" w:rsidR="00D32115" w:rsidRPr="00155BC6" w:rsidRDefault="007D0BCE" w:rsidP="006F0F3C">
            <w:pPr>
              <w:pStyle w:val="appendixctext"/>
            </w:pPr>
            <w:r w:rsidRPr="00155BC6">
              <w:t>–</w:t>
            </w:r>
          </w:p>
        </w:tc>
        <w:tc>
          <w:tcPr>
            <w:tcW w:w="2564" w:type="dxa"/>
            <w:tcBorders>
              <w:top w:val="nil"/>
              <w:left w:val="nil"/>
              <w:bottom w:val="nil"/>
            </w:tcBorders>
          </w:tcPr>
          <w:p w14:paraId="4827C61F" w14:textId="77777777" w:rsidR="00D32115" w:rsidRPr="00155BC6" w:rsidRDefault="002E2E7F" w:rsidP="006F0F3C">
            <w:pPr>
              <w:pStyle w:val="appendixctext"/>
              <w:rPr>
                <w:lang w:eastAsia="zh-CN"/>
              </w:rPr>
            </w:pPr>
            <w:r>
              <w:rPr>
                <w:rFonts w:hint="eastAsia"/>
                <w:lang w:eastAsia="zh-CN"/>
              </w:rPr>
              <w:t>职</w:t>
            </w:r>
            <w:r>
              <w:rPr>
                <w:lang w:eastAsia="zh-CN"/>
              </w:rPr>
              <w:t>位管理</w:t>
            </w:r>
          </w:p>
        </w:tc>
        <w:tc>
          <w:tcPr>
            <w:tcW w:w="1036" w:type="dxa"/>
            <w:tcBorders>
              <w:top w:val="nil"/>
              <w:bottom w:val="nil"/>
              <w:right w:val="nil"/>
            </w:tcBorders>
          </w:tcPr>
          <w:p w14:paraId="4827C620" w14:textId="77777777" w:rsidR="00D32115" w:rsidRPr="00155BC6" w:rsidRDefault="002E2E7F" w:rsidP="00D32115">
            <w:pPr>
              <w:pStyle w:val="appendixctext"/>
            </w:pPr>
            <w:r>
              <w:t>D 605</w:t>
            </w:r>
          </w:p>
        </w:tc>
        <w:tc>
          <w:tcPr>
            <w:tcW w:w="599" w:type="dxa"/>
            <w:tcBorders>
              <w:top w:val="nil"/>
              <w:left w:val="nil"/>
              <w:bottom w:val="nil"/>
            </w:tcBorders>
          </w:tcPr>
          <w:p w14:paraId="4827C621" w14:textId="77777777" w:rsidR="00D32115" w:rsidRPr="00155BC6" w:rsidRDefault="002E2E7F" w:rsidP="006F0F3C">
            <w:pPr>
              <w:pStyle w:val="appendixctext"/>
            </w:pPr>
            <w:r>
              <w:t>2.2</w:t>
            </w:r>
          </w:p>
        </w:tc>
      </w:tr>
      <w:tr w:rsidR="006F0F3C" w:rsidRPr="00155BC6" w14:paraId="4827C627" w14:textId="77777777" w:rsidTr="006F1271">
        <w:trPr>
          <w:jc w:val="center"/>
        </w:trPr>
        <w:tc>
          <w:tcPr>
            <w:tcW w:w="303" w:type="dxa"/>
            <w:tcBorders>
              <w:top w:val="nil"/>
              <w:left w:val="single" w:sz="4" w:space="0" w:color="auto"/>
              <w:bottom w:val="single" w:sz="4" w:space="0" w:color="auto"/>
              <w:right w:val="nil"/>
            </w:tcBorders>
          </w:tcPr>
          <w:p w14:paraId="4827C623" w14:textId="77777777" w:rsidR="006F0F3C" w:rsidRPr="00155BC6" w:rsidRDefault="006F0F3C" w:rsidP="006F0F3C">
            <w:pPr>
              <w:pStyle w:val="appendixctext"/>
            </w:pPr>
            <w:r w:rsidRPr="00155BC6">
              <w:t>–</w:t>
            </w:r>
          </w:p>
        </w:tc>
        <w:tc>
          <w:tcPr>
            <w:tcW w:w="2564" w:type="dxa"/>
            <w:tcBorders>
              <w:top w:val="nil"/>
              <w:left w:val="nil"/>
              <w:bottom w:val="single" w:sz="4" w:space="0" w:color="auto"/>
              <w:right w:val="single" w:sz="4" w:space="0" w:color="auto"/>
            </w:tcBorders>
          </w:tcPr>
          <w:p w14:paraId="4827C624" w14:textId="77777777" w:rsidR="006F0F3C" w:rsidRPr="00155BC6" w:rsidRDefault="006F0F3C" w:rsidP="006F0F3C">
            <w:pPr>
              <w:pStyle w:val="appendixctext"/>
            </w:pPr>
            <w:r w:rsidRPr="00155BC6">
              <w:rPr>
                <w:rFonts w:hint="eastAsia"/>
              </w:rPr>
              <w:t>区域代表处</w:t>
            </w:r>
          </w:p>
        </w:tc>
        <w:tc>
          <w:tcPr>
            <w:tcW w:w="1036" w:type="dxa"/>
            <w:tcBorders>
              <w:top w:val="nil"/>
              <w:left w:val="single" w:sz="4" w:space="0" w:color="auto"/>
              <w:bottom w:val="single" w:sz="4" w:space="0" w:color="auto"/>
              <w:right w:val="nil"/>
            </w:tcBorders>
          </w:tcPr>
          <w:p w14:paraId="4827C625" w14:textId="77777777" w:rsidR="006F0F3C" w:rsidRPr="00155BC6" w:rsidRDefault="006F0F3C" w:rsidP="0008193F">
            <w:pPr>
              <w:pStyle w:val="appendixctext"/>
            </w:pPr>
            <w:r w:rsidRPr="00155BC6">
              <w:t>R 1114</w:t>
            </w:r>
            <w:r w:rsidR="0008193F">
              <w:br/>
            </w:r>
            <w:r w:rsidR="00903932" w:rsidRPr="00155BC6">
              <w:t>R 1183</w:t>
            </w:r>
            <w:r w:rsidR="0008193F">
              <w:br/>
            </w:r>
            <w:r w:rsidR="00903932">
              <w:t>D 616</w:t>
            </w:r>
          </w:p>
        </w:tc>
        <w:tc>
          <w:tcPr>
            <w:tcW w:w="599" w:type="dxa"/>
            <w:tcBorders>
              <w:top w:val="nil"/>
              <w:left w:val="nil"/>
              <w:bottom w:val="single" w:sz="4" w:space="0" w:color="auto"/>
              <w:right w:val="single" w:sz="4" w:space="0" w:color="auto"/>
            </w:tcBorders>
          </w:tcPr>
          <w:p w14:paraId="4827C626" w14:textId="77777777" w:rsidR="006F0F3C" w:rsidRPr="00155BC6" w:rsidRDefault="006F0F3C" w:rsidP="0008193F">
            <w:pPr>
              <w:pStyle w:val="appendixctext"/>
            </w:pPr>
            <w:r w:rsidRPr="00155BC6">
              <w:t>5.4</w:t>
            </w:r>
            <w:r w:rsidR="0008193F">
              <w:br/>
            </w:r>
            <w:r w:rsidR="00903932" w:rsidRPr="00155BC6">
              <w:t>5.4</w:t>
            </w:r>
            <w:r w:rsidR="0008193F">
              <w:br/>
            </w:r>
            <w:r w:rsidR="00903932">
              <w:t>5.4</w:t>
            </w:r>
          </w:p>
        </w:tc>
      </w:tr>
      <w:tr w:rsidR="006F0F3C" w:rsidRPr="00155BC6" w14:paraId="4827C62C" w14:textId="77777777" w:rsidTr="00CC60AD">
        <w:trPr>
          <w:jc w:val="center"/>
        </w:trPr>
        <w:tc>
          <w:tcPr>
            <w:tcW w:w="303" w:type="dxa"/>
            <w:tcBorders>
              <w:top w:val="single" w:sz="4" w:space="0" w:color="auto"/>
              <w:left w:val="single" w:sz="4" w:space="0" w:color="auto"/>
              <w:bottom w:val="nil"/>
              <w:right w:val="nil"/>
            </w:tcBorders>
          </w:tcPr>
          <w:p w14:paraId="4827C628" w14:textId="77777777" w:rsidR="006F0F3C" w:rsidRPr="00155BC6" w:rsidRDefault="006F0F3C" w:rsidP="00596D36">
            <w:pPr>
              <w:pStyle w:val="appendixctext"/>
              <w:keepNext/>
              <w:keepLines/>
            </w:pPr>
            <w:r w:rsidRPr="00155BC6">
              <w:lastRenderedPageBreak/>
              <w:t>–</w:t>
            </w:r>
          </w:p>
        </w:tc>
        <w:tc>
          <w:tcPr>
            <w:tcW w:w="2564" w:type="dxa"/>
            <w:tcBorders>
              <w:top w:val="single" w:sz="4" w:space="0" w:color="auto"/>
              <w:left w:val="nil"/>
              <w:bottom w:val="nil"/>
              <w:right w:val="single" w:sz="4" w:space="0" w:color="auto"/>
            </w:tcBorders>
          </w:tcPr>
          <w:p w14:paraId="4827C629" w14:textId="77777777" w:rsidR="006F0F3C" w:rsidRPr="00155BC6" w:rsidRDefault="006F0F3C" w:rsidP="006F0F3C">
            <w:pPr>
              <w:pStyle w:val="appendixctext"/>
              <w:rPr>
                <w:lang w:eastAsia="zh-CN"/>
              </w:rPr>
            </w:pPr>
            <w:r w:rsidRPr="00155BC6">
              <w:rPr>
                <w:rFonts w:hint="eastAsia"/>
                <w:lang w:eastAsia="zh-CN"/>
              </w:rPr>
              <w:t>加强区域代表处的作用</w:t>
            </w:r>
          </w:p>
        </w:tc>
        <w:tc>
          <w:tcPr>
            <w:tcW w:w="1036" w:type="dxa"/>
            <w:tcBorders>
              <w:top w:val="single" w:sz="4" w:space="0" w:color="auto"/>
              <w:left w:val="single" w:sz="4" w:space="0" w:color="auto"/>
              <w:bottom w:val="nil"/>
              <w:right w:val="nil"/>
            </w:tcBorders>
          </w:tcPr>
          <w:p w14:paraId="4827C62A" w14:textId="77777777" w:rsidR="006F0F3C" w:rsidRPr="00155BC6" w:rsidRDefault="006F0F3C" w:rsidP="00903932">
            <w:pPr>
              <w:pStyle w:val="appendixctext"/>
            </w:pPr>
            <w:r w:rsidRPr="00155BC6">
              <w:t>R 1143</w:t>
            </w:r>
          </w:p>
        </w:tc>
        <w:tc>
          <w:tcPr>
            <w:tcW w:w="599" w:type="dxa"/>
            <w:tcBorders>
              <w:top w:val="single" w:sz="4" w:space="0" w:color="auto"/>
              <w:left w:val="nil"/>
              <w:bottom w:val="nil"/>
              <w:right w:val="single" w:sz="4" w:space="0" w:color="auto"/>
            </w:tcBorders>
          </w:tcPr>
          <w:p w14:paraId="4827C62B" w14:textId="77777777" w:rsidR="006F0F3C" w:rsidRPr="00155BC6" w:rsidRDefault="006F0F3C" w:rsidP="00903932">
            <w:pPr>
              <w:pStyle w:val="appendixctext"/>
            </w:pPr>
            <w:r w:rsidRPr="00155BC6">
              <w:t>5.4</w:t>
            </w:r>
          </w:p>
        </w:tc>
      </w:tr>
      <w:tr w:rsidR="006F0F3C" w:rsidRPr="00155BC6" w14:paraId="4827C631" w14:textId="77777777" w:rsidTr="00087891">
        <w:trPr>
          <w:jc w:val="center"/>
        </w:trPr>
        <w:tc>
          <w:tcPr>
            <w:tcW w:w="303" w:type="dxa"/>
            <w:tcBorders>
              <w:top w:val="nil"/>
              <w:left w:val="single" w:sz="4" w:space="0" w:color="auto"/>
              <w:bottom w:val="single" w:sz="4" w:space="0" w:color="auto"/>
              <w:right w:val="nil"/>
            </w:tcBorders>
          </w:tcPr>
          <w:p w14:paraId="4827C62D" w14:textId="77777777" w:rsidR="006F0F3C" w:rsidRPr="00155BC6" w:rsidRDefault="00903932" w:rsidP="006F0F3C">
            <w:pPr>
              <w:pStyle w:val="appendixctext"/>
            </w:pPr>
            <w:r w:rsidRPr="00155BC6">
              <w:t>–</w:t>
            </w:r>
          </w:p>
        </w:tc>
        <w:tc>
          <w:tcPr>
            <w:tcW w:w="2564" w:type="dxa"/>
            <w:tcBorders>
              <w:top w:val="nil"/>
              <w:left w:val="nil"/>
              <w:bottom w:val="single" w:sz="4" w:space="0" w:color="auto"/>
              <w:right w:val="single" w:sz="4" w:space="0" w:color="auto"/>
            </w:tcBorders>
          </w:tcPr>
          <w:p w14:paraId="4827C62E" w14:textId="77777777" w:rsidR="006F0F3C" w:rsidRPr="00155BC6" w:rsidRDefault="00903932" w:rsidP="00FB3D70">
            <w:pPr>
              <w:pStyle w:val="appendixctext"/>
              <w:rPr>
                <w:lang w:eastAsia="zh-CN"/>
              </w:rPr>
            </w:pPr>
            <w:r>
              <w:rPr>
                <w:rFonts w:hint="eastAsia"/>
                <w:lang w:eastAsia="zh-CN"/>
              </w:rPr>
              <w:t>世界电信发展大会</w:t>
            </w:r>
            <w:r w:rsidR="00FB3D70">
              <w:rPr>
                <w:lang w:eastAsia="zh-CN"/>
              </w:rPr>
              <w:br/>
            </w:r>
            <w:r>
              <w:rPr>
                <w:rFonts w:hint="eastAsia"/>
                <w:lang w:eastAsia="zh-CN"/>
              </w:rPr>
              <w:t>（</w:t>
            </w:r>
            <w:r>
              <w:rPr>
                <w:lang w:eastAsia="zh-CN"/>
              </w:rPr>
              <w:t>WTDC-21</w:t>
            </w:r>
            <w:r>
              <w:rPr>
                <w:rFonts w:hint="eastAsia"/>
                <w:lang w:eastAsia="zh-CN"/>
              </w:rPr>
              <w:t>）</w:t>
            </w:r>
          </w:p>
        </w:tc>
        <w:tc>
          <w:tcPr>
            <w:tcW w:w="1036" w:type="dxa"/>
            <w:tcBorders>
              <w:top w:val="nil"/>
              <w:left w:val="single" w:sz="4" w:space="0" w:color="auto"/>
              <w:bottom w:val="single" w:sz="4" w:space="0" w:color="auto"/>
              <w:right w:val="nil"/>
            </w:tcBorders>
          </w:tcPr>
          <w:p w14:paraId="4827C62F" w14:textId="77777777" w:rsidR="006F0F3C" w:rsidRPr="00155BC6" w:rsidRDefault="00903932" w:rsidP="006F0F3C">
            <w:pPr>
              <w:pStyle w:val="appendixctext"/>
            </w:pPr>
            <w:r>
              <w:t>D 609</w:t>
            </w:r>
          </w:p>
        </w:tc>
        <w:tc>
          <w:tcPr>
            <w:tcW w:w="599" w:type="dxa"/>
            <w:tcBorders>
              <w:top w:val="nil"/>
              <w:left w:val="nil"/>
              <w:bottom w:val="single" w:sz="4" w:space="0" w:color="auto"/>
              <w:right w:val="single" w:sz="4" w:space="0" w:color="auto"/>
            </w:tcBorders>
          </w:tcPr>
          <w:p w14:paraId="4827C630" w14:textId="77777777" w:rsidR="006F0F3C" w:rsidRPr="00155BC6" w:rsidRDefault="00903932" w:rsidP="006F0F3C">
            <w:pPr>
              <w:pStyle w:val="appendixctext"/>
            </w:pPr>
            <w:r>
              <w:t>3.4</w:t>
            </w:r>
          </w:p>
        </w:tc>
      </w:tr>
      <w:tr w:rsidR="006F0F3C" w:rsidRPr="00155BC6" w14:paraId="4827C635" w14:textId="77777777" w:rsidTr="00087891">
        <w:trPr>
          <w:jc w:val="center"/>
        </w:trPr>
        <w:tc>
          <w:tcPr>
            <w:tcW w:w="2867" w:type="dxa"/>
            <w:gridSpan w:val="2"/>
            <w:tcBorders>
              <w:top w:val="single" w:sz="4" w:space="0" w:color="auto"/>
              <w:bottom w:val="nil"/>
              <w:right w:val="single" w:sz="4" w:space="0" w:color="auto"/>
            </w:tcBorders>
          </w:tcPr>
          <w:p w14:paraId="4827C632" w14:textId="77777777" w:rsidR="006F0F3C" w:rsidRPr="00155BC6" w:rsidRDefault="006F0F3C" w:rsidP="006F0F3C">
            <w:pPr>
              <w:pStyle w:val="appendixchead"/>
            </w:pPr>
            <w:r w:rsidRPr="00155BC6">
              <w:rPr>
                <w:rFonts w:hint="eastAsia"/>
              </w:rPr>
              <w:t>电信展览部</w:t>
            </w:r>
          </w:p>
        </w:tc>
        <w:tc>
          <w:tcPr>
            <w:tcW w:w="1036" w:type="dxa"/>
            <w:tcBorders>
              <w:top w:val="single" w:sz="4" w:space="0" w:color="auto"/>
              <w:left w:val="single" w:sz="4" w:space="0" w:color="auto"/>
              <w:bottom w:val="nil"/>
              <w:right w:val="nil"/>
            </w:tcBorders>
          </w:tcPr>
          <w:p w14:paraId="4827C633" w14:textId="77777777" w:rsidR="006F0F3C" w:rsidRPr="00155BC6" w:rsidRDefault="006F0F3C" w:rsidP="006F0F3C">
            <w:pPr>
              <w:pStyle w:val="appendixctext"/>
            </w:pPr>
          </w:p>
        </w:tc>
        <w:tc>
          <w:tcPr>
            <w:tcW w:w="599" w:type="dxa"/>
            <w:tcBorders>
              <w:top w:val="single" w:sz="4" w:space="0" w:color="auto"/>
              <w:left w:val="nil"/>
              <w:bottom w:val="nil"/>
            </w:tcBorders>
          </w:tcPr>
          <w:p w14:paraId="4827C634" w14:textId="77777777" w:rsidR="006F0F3C" w:rsidRPr="00155BC6" w:rsidRDefault="006F0F3C" w:rsidP="006F0F3C">
            <w:pPr>
              <w:pStyle w:val="appendixctext"/>
            </w:pPr>
          </w:p>
        </w:tc>
      </w:tr>
      <w:tr w:rsidR="006F0F3C" w:rsidRPr="00155BC6" w14:paraId="4827C63A" w14:textId="77777777" w:rsidTr="006C740C">
        <w:trPr>
          <w:jc w:val="center"/>
        </w:trPr>
        <w:tc>
          <w:tcPr>
            <w:tcW w:w="303" w:type="dxa"/>
            <w:tcBorders>
              <w:top w:val="nil"/>
              <w:bottom w:val="single" w:sz="4" w:space="0" w:color="auto"/>
              <w:right w:val="nil"/>
            </w:tcBorders>
          </w:tcPr>
          <w:p w14:paraId="4827C636" w14:textId="77777777" w:rsidR="006F0F3C" w:rsidRPr="00155BC6" w:rsidRDefault="006F0F3C" w:rsidP="006F0F3C">
            <w:pPr>
              <w:pStyle w:val="appendixctext"/>
            </w:pPr>
            <w:r w:rsidRPr="00155BC6">
              <w:t>–</w:t>
            </w:r>
          </w:p>
        </w:tc>
        <w:tc>
          <w:tcPr>
            <w:tcW w:w="2564" w:type="dxa"/>
            <w:tcBorders>
              <w:top w:val="nil"/>
              <w:left w:val="nil"/>
              <w:bottom w:val="single" w:sz="4" w:space="0" w:color="auto"/>
            </w:tcBorders>
          </w:tcPr>
          <w:p w14:paraId="4827C637" w14:textId="77777777" w:rsidR="006F0F3C" w:rsidRPr="00155BC6" w:rsidRDefault="006F0F3C" w:rsidP="006F0F3C">
            <w:pPr>
              <w:pStyle w:val="appendixctext"/>
            </w:pPr>
            <w:r w:rsidRPr="00155BC6">
              <w:rPr>
                <w:rFonts w:hint="eastAsia"/>
              </w:rPr>
              <w:t>电信展盈余基金</w:t>
            </w:r>
          </w:p>
        </w:tc>
        <w:tc>
          <w:tcPr>
            <w:tcW w:w="1036" w:type="dxa"/>
            <w:tcBorders>
              <w:top w:val="nil"/>
              <w:bottom w:val="single" w:sz="4" w:space="0" w:color="auto"/>
              <w:right w:val="nil"/>
            </w:tcBorders>
          </w:tcPr>
          <w:p w14:paraId="4827C638" w14:textId="77777777" w:rsidR="006F0F3C" w:rsidRPr="00155BC6" w:rsidRDefault="006F0F3C" w:rsidP="006F0F3C">
            <w:pPr>
              <w:pStyle w:val="appendixctext"/>
            </w:pPr>
            <w:r w:rsidRPr="00155BC6">
              <w:t>R 1111</w:t>
            </w:r>
          </w:p>
        </w:tc>
        <w:tc>
          <w:tcPr>
            <w:tcW w:w="599" w:type="dxa"/>
            <w:tcBorders>
              <w:top w:val="nil"/>
              <w:left w:val="nil"/>
              <w:bottom w:val="single" w:sz="4" w:space="0" w:color="auto"/>
            </w:tcBorders>
          </w:tcPr>
          <w:p w14:paraId="4827C639" w14:textId="77777777" w:rsidR="006F0F3C" w:rsidRPr="00155BC6" w:rsidRDefault="006F0F3C" w:rsidP="006F0F3C">
            <w:pPr>
              <w:pStyle w:val="appendixctext"/>
            </w:pPr>
            <w:r w:rsidRPr="00155BC6">
              <w:t>1.2</w:t>
            </w:r>
          </w:p>
        </w:tc>
      </w:tr>
      <w:tr w:rsidR="006F0F3C" w:rsidRPr="00155BC6" w14:paraId="4827C63E" w14:textId="77777777" w:rsidTr="006C740C">
        <w:trPr>
          <w:jc w:val="center"/>
        </w:trPr>
        <w:tc>
          <w:tcPr>
            <w:tcW w:w="2867" w:type="dxa"/>
            <w:gridSpan w:val="2"/>
            <w:tcBorders>
              <w:bottom w:val="nil"/>
              <w:right w:val="single" w:sz="4" w:space="0" w:color="auto"/>
            </w:tcBorders>
          </w:tcPr>
          <w:p w14:paraId="4827C63B" w14:textId="77777777" w:rsidR="006F0F3C" w:rsidRPr="00155BC6" w:rsidRDefault="006F0F3C" w:rsidP="006F0F3C">
            <w:pPr>
              <w:pStyle w:val="appendixchead"/>
            </w:pPr>
            <w:r w:rsidRPr="00155BC6">
              <w:rPr>
                <w:rFonts w:hint="eastAsia"/>
              </w:rPr>
              <w:t>独立管理顾问委员会</w:t>
            </w:r>
          </w:p>
        </w:tc>
        <w:tc>
          <w:tcPr>
            <w:tcW w:w="1036" w:type="dxa"/>
            <w:tcBorders>
              <w:left w:val="single" w:sz="4" w:space="0" w:color="auto"/>
              <w:bottom w:val="nil"/>
              <w:right w:val="nil"/>
            </w:tcBorders>
          </w:tcPr>
          <w:p w14:paraId="4827C63C" w14:textId="3D153818" w:rsidR="006F0F3C" w:rsidRPr="00155BC6" w:rsidRDefault="00BF10EE" w:rsidP="00737A1F">
            <w:pPr>
              <w:pStyle w:val="appendixctext"/>
              <w:spacing w:before="120"/>
            </w:pPr>
            <w:r>
              <w:t xml:space="preserve">D </w:t>
            </w:r>
            <w:r>
              <w:rPr>
                <w:rFonts w:hint="eastAsia"/>
                <w:lang w:eastAsia="zh-CN"/>
              </w:rPr>
              <w:t>615</w:t>
            </w:r>
          </w:p>
        </w:tc>
        <w:tc>
          <w:tcPr>
            <w:tcW w:w="599" w:type="dxa"/>
            <w:tcBorders>
              <w:left w:val="nil"/>
              <w:bottom w:val="nil"/>
            </w:tcBorders>
          </w:tcPr>
          <w:p w14:paraId="4827C63D" w14:textId="7215B965" w:rsidR="006F0F3C" w:rsidRPr="00155BC6" w:rsidRDefault="00BF10EE" w:rsidP="006F0F3C">
            <w:pPr>
              <w:pStyle w:val="appendixctext"/>
              <w:spacing w:before="120"/>
            </w:pPr>
            <w:r>
              <w:rPr>
                <w:rFonts w:hint="eastAsia"/>
                <w:lang w:eastAsia="zh-CN"/>
              </w:rPr>
              <w:t>1.</w:t>
            </w:r>
            <w:r>
              <w:rPr>
                <w:lang w:eastAsia="zh-CN"/>
              </w:rPr>
              <w:t>2</w:t>
            </w:r>
          </w:p>
        </w:tc>
      </w:tr>
      <w:tr w:rsidR="006F0F3C" w:rsidRPr="00155BC6" w14:paraId="4827C642" w14:textId="77777777" w:rsidTr="006C740C">
        <w:trPr>
          <w:jc w:val="center"/>
        </w:trPr>
        <w:tc>
          <w:tcPr>
            <w:tcW w:w="2867" w:type="dxa"/>
            <w:gridSpan w:val="2"/>
            <w:tcBorders>
              <w:bottom w:val="nil"/>
              <w:right w:val="single" w:sz="4" w:space="0" w:color="auto"/>
            </w:tcBorders>
          </w:tcPr>
          <w:p w14:paraId="4827C63F" w14:textId="77777777" w:rsidR="006F0F3C" w:rsidRPr="00155BC6" w:rsidRDefault="006F0F3C" w:rsidP="006F0F3C">
            <w:pPr>
              <w:pStyle w:val="appendixchead"/>
            </w:pPr>
            <w:r w:rsidRPr="00155BC6">
              <w:rPr>
                <w:rFonts w:hint="eastAsia"/>
              </w:rPr>
              <w:t>多数</w:t>
            </w:r>
          </w:p>
        </w:tc>
        <w:tc>
          <w:tcPr>
            <w:tcW w:w="1036" w:type="dxa"/>
            <w:tcBorders>
              <w:left w:val="single" w:sz="4" w:space="0" w:color="auto"/>
              <w:bottom w:val="nil"/>
              <w:right w:val="nil"/>
            </w:tcBorders>
          </w:tcPr>
          <w:p w14:paraId="4827C640" w14:textId="77777777" w:rsidR="006F0F3C" w:rsidRPr="00155BC6" w:rsidRDefault="006F0F3C" w:rsidP="006F0F3C">
            <w:pPr>
              <w:jc w:val="left"/>
              <w:rPr>
                <w:sz w:val="18"/>
                <w:szCs w:val="18"/>
              </w:rPr>
            </w:pPr>
          </w:p>
        </w:tc>
        <w:tc>
          <w:tcPr>
            <w:tcW w:w="599" w:type="dxa"/>
            <w:tcBorders>
              <w:left w:val="nil"/>
              <w:bottom w:val="nil"/>
            </w:tcBorders>
          </w:tcPr>
          <w:p w14:paraId="4827C641" w14:textId="77777777" w:rsidR="006F0F3C" w:rsidRPr="00155BC6" w:rsidRDefault="006F0F3C" w:rsidP="006F0F3C">
            <w:pPr>
              <w:jc w:val="left"/>
              <w:rPr>
                <w:sz w:val="18"/>
                <w:szCs w:val="18"/>
              </w:rPr>
            </w:pPr>
          </w:p>
        </w:tc>
      </w:tr>
      <w:tr w:rsidR="006F0F3C" w:rsidRPr="00155BC6" w14:paraId="4827C647" w14:textId="77777777" w:rsidTr="006C740C">
        <w:trPr>
          <w:jc w:val="center"/>
        </w:trPr>
        <w:tc>
          <w:tcPr>
            <w:tcW w:w="303" w:type="dxa"/>
            <w:tcBorders>
              <w:top w:val="nil"/>
              <w:right w:val="nil"/>
            </w:tcBorders>
          </w:tcPr>
          <w:p w14:paraId="4827C643" w14:textId="77777777" w:rsidR="006F0F3C" w:rsidRPr="00155BC6" w:rsidRDefault="006F0F3C" w:rsidP="006F0F3C">
            <w:pPr>
              <w:pStyle w:val="appendixctext"/>
              <w:spacing w:before="40"/>
              <w:ind w:right="-98"/>
            </w:pPr>
            <w:r w:rsidRPr="00155BC6">
              <w:t>–</w:t>
            </w:r>
          </w:p>
        </w:tc>
        <w:tc>
          <w:tcPr>
            <w:tcW w:w="2564" w:type="dxa"/>
            <w:tcBorders>
              <w:top w:val="nil"/>
              <w:left w:val="nil"/>
            </w:tcBorders>
          </w:tcPr>
          <w:p w14:paraId="4827C644" w14:textId="77777777" w:rsidR="006F0F3C" w:rsidRPr="00155BC6" w:rsidRDefault="006F0F3C" w:rsidP="006F0F3C">
            <w:pPr>
              <w:pStyle w:val="appendixctext"/>
              <w:spacing w:before="40"/>
              <w:ind w:right="-98"/>
              <w:rPr>
                <w:lang w:eastAsia="zh-CN"/>
              </w:rPr>
            </w:pPr>
            <w:r w:rsidRPr="00155BC6">
              <w:rPr>
                <w:rFonts w:hint="eastAsia"/>
                <w:lang w:eastAsia="zh-CN"/>
              </w:rPr>
              <w:t>与电报磋商有关的对“多数”一词的释义</w:t>
            </w:r>
          </w:p>
        </w:tc>
        <w:tc>
          <w:tcPr>
            <w:tcW w:w="1036" w:type="dxa"/>
            <w:tcBorders>
              <w:top w:val="nil"/>
              <w:right w:val="nil"/>
            </w:tcBorders>
          </w:tcPr>
          <w:p w14:paraId="4827C645" w14:textId="77777777" w:rsidR="006F0F3C" w:rsidRPr="00155BC6" w:rsidRDefault="006F0F3C" w:rsidP="006F0F3C">
            <w:pPr>
              <w:pStyle w:val="appendixctext"/>
              <w:spacing w:before="40"/>
              <w:ind w:right="-98"/>
            </w:pPr>
            <w:r w:rsidRPr="00155BC6">
              <w:t>D 185</w:t>
            </w:r>
          </w:p>
        </w:tc>
        <w:tc>
          <w:tcPr>
            <w:tcW w:w="599" w:type="dxa"/>
            <w:tcBorders>
              <w:top w:val="nil"/>
              <w:left w:val="nil"/>
            </w:tcBorders>
          </w:tcPr>
          <w:p w14:paraId="4827C646" w14:textId="77777777" w:rsidR="006F0F3C" w:rsidRPr="00155BC6" w:rsidRDefault="006F0F3C" w:rsidP="006F0F3C">
            <w:pPr>
              <w:pStyle w:val="appendixctext"/>
              <w:spacing w:before="40"/>
              <w:ind w:right="-98"/>
            </w:pPr>
            <w:r w:rsidRPr="00155BC6">
              <w:t>6.1</w:t>
            </w:r>
          </w:p>
        </w:tc>
      </w:tr>
      <w:tr w:rsidR="00786564" w:rsidRPr="00155BC6" w14:paraId="4827C64B" w14:textId="77777777" w:rsidTr="006C740C">
        <w:trPr>
          <w:trHeight w:val="327"/>
          <w:jc w:val="center"/>
        </w:trPr>
        <w:tc>
          <w:tcPr>
            <w:tcW w:w="2867" w:type="dxa"/>
            <w:gridSpan w:val="2"/>
            <w:tcBorders>
              <w:right w:val="single" w:sz="4" w:space="0" w:color="auto"/>
            </w:tcBorders>
          </w:tcPr>
          <w:p w14:paraId="4827C648" w14:textId="77777777" w:rsidR="00786564" w:rsidRPr="00155BC6" w:rsidRDefault="00786564" w:rsidP="00B95283">
            <w:pPr>
              <w:pStyle w:val="appendixchead"/>
              <w:keepNext/>
              <w:keepLines/>
              <w:rPr>
                <w:lang w:eastAsia="zh-CN"/>
              </w:rPr>
            </w:pPr>
            <w:r>
              <w:rPr>
                <w:rFonts w:hint="eastAsia"/>
                <w:lang w:eastAsia="zh-CN"/>
              </w:rPr>
              <w:t>发行方标识</w:t>
            </w:r>
            <w:r>
              <w:rPr>
                <w:rFonts w:ascii="SimSun" w:hAnsi="SimSun" w:cs="SimSun" w:hint="eastAsia"/>
                <w:lang w:eastAsia="zh-CN"/>
              </w:rPr>
              <w:t>号</w:t>
            </w:r>
            <w:r>
              <w:rPr>
                <w:rFonts w:hint="eastAsia"/>
                <w:lang w:eastAsia="zh-CN"/>
              </w:rPr>
              <w:t>（</w:t>
            </w:r>
            <w:r>
              <w:rPr>
                <w:lang w:eastAsia="zh-CN"/>
              </w:rPr>
              <w:t>IIN</w:t>
            </w:r>
            <w:r>
              <w:rPr>
                <w:rFonts w:ascii="SimSun" w:hAnsi="SimSun" w:cs="SimSun" w:hint="eastAsia"/>
                <w:lang w:eastAsia="zh-CN"/>
              </w:rPr>
              <w:t>）</w:t>
            </w:r>
            <w:r>
              <w:rPr>
                <w:rFonts w:hint="eastAsia"/>
                <w:lang w:eastAsia="zh-CN"/>
              </w:rPr>
              <w:t>登记</w:t>
            </w:r>
          </w:p>
        </w:tc>
        <w:tc>
          <w:tcPr>
            <w:tcW w:w="1036" w:type="dxa"/>
            <w:tcBorders>
              <w:left w:val="single" w:sz="4" w:space="0" w:color="auto"/>
              <w:right w:val="nil"/>
            </w:tcBorders>
          </w:tcPr>
          <w:p w14:paraId="4827C649" w14:textId="77777777" w:rsidR="00786564" w:rsidRPr="00155BC6" w:rsidRDefault="00AF2084" w:rsidP="006F0F3C">
            <w:pPr>
              <w:pStyle w:val="appendixctext"/>
              <w:spacing w:before="120"/>
              <w:rPr>
                <w:lang w:eastAsia="zh-CN"/>
              </w:rPr>
            </w:pPr>
            <w:r>
              <w:rPr>
                <w:lang w:eastAsia="zh-CN"/>
              </w:rPr>
              <w:t>D 601</w:t>
            </w:r>
          </w:p>
        </w:tc>
        <w:tc>
          <w:tcPr>
            <w:tcW w:w="599" w:type="dxa"/>
            <w:tcBorders>
              <w:left w:val="nil"/>
            </w:tcBorders>
          </w:tcPr>
          <w:p w14:paraId="4827C64A" w14:textId="77777777" w:rsidR="00786564" w:rsidRPr="00155BC6" w:rsidRDefault="00AF2084" w:rsidP="006F0F3C">
            <w:pPr>
              <w:pStyle w:val="appendixctext"/>
              <w:spacing w:before="120"/>
              <w:rPr>
                <w:lang w:eastAsia="zh-CN"/>
              </w:rPr>
            </w:pPr>
            <w:r>
              <w:rPr>
                <w:lang w:eastAsia="zh-CN"/>
              </w:rPr>
              <w:t>5.3</w:t>
            </w:r>
          </w:p>
        </w:tc>
      </w:tr>
      <w:tr w:rsidR="006F0F3C" w:rsidRPr="00155BC6" w14:paraId="4827C64F" w14:textId="77777777" w:rsidTr="006C740C">
        <w:trPr>
          <w:trHeight w:val="389"/>
          <w:jc w:val="center"/>
        </w:trPr>
        <w:tc>
          <w:tcPr>
            <w:tcW w:w="2867" w:type="dxa"/>
            <w:gridSpan w:val="2"/>
            <w:tcBorders>
              <w:bottom w:val="single" w:sz="4" w:space="0" w:color="auto"/>
              <w:right w:val="single" w:sz="4" w:space="0" w:color="auto"/>
            </w:tcBorders>
          </w:tcPr>
          <w:p w14:paraId="4827C64C" w14:textId="77777777" w:rsidR="006F0F3C" w:rsidRPr="00155BC6" w:rsidRDefault="006F0F3C" w:rsidP="00290AE7">
            <w:pPr>
              <w:pStyle w:val="appendixchead"/>
              <w:rPr>
                <w:lang w:eastAsia="zh-CN"/>
              </w:rPr>
            </w:pPr>
            <w:r w:rsidRPr="00155BC6">
              <w:rPr>
                <w:rFonts w:hint="eastAsia"/>
                <w:lang w:eastAsia="zh-CN"/>
              </w:rPr>
              <w:t>赋予妇女和年轻女性权力</w:t>
            </w:r>
          </w:p>
        </w:tc>
        <w:tc>
          <w:tcPr>
            <w:tcW w:w="1036" w:type="dxa"/>
            <w:tcBorders>
              <w:left w:val="single" w:sz="4" w:space="0" w:color="auto"/>
              <w:bottom w:val="single" w:sz="4" w:space="0" w:color="auto"/>
              <w:right w:val="nil"/>
            </w:tcBorders>
          </w:tcPr>
          <w:p w14:paraId="4827C64D" w14:textId="77777777" w:rsidR="006F0F3C" w:rsidRPr="00155BC6" w:rsidRDefault="006F0F3C" w:rsidP="006F0F3C">
            <w:pPr>
              <w:pStyle w:val="appendixctext"/>
              <w:spacing w:before="120"/>
            </w:pPr>
            <w:r w:rsidRPr="00155BC6">
              <w:t>R 1327</w:t>
            </w:r>
          </w:p>
        </w:tc>
        <w:tc>
          <w:tcPr>
            <w:tcW w:w="599" w:type="dxa"/>
            <w:tcBorders>
              <w:left w:val="nil"/>
              <w:bottom w:val="single" w:sz="4" w:space="0" w:color="auto"/>
            </w:tcBorders>
          </w:tcPr>
          <w:p w14:paraId="4827C64E" w14:textId="77777777" w:rsidR="006F0F3C" w:rsidRPr="00155BC6" w:rsidRDefault="006F0F3C" w:rsidP="006F0F3C">
            <w:pPr>
              <w:pStyle w:val="appendixctext"/>
              <w:spacing w:before="120"/>
            </w:pPr>
            <w:r w:rsidRPr="00155BC6">
              <w:t>7.2</w:t>
            </w:r>
          </w:p>
        </w:tc>
      </w:tr>
      <w:tr w:rsidR="006F0F3C" w:rsidRPr="00155BC6" w14:paraId="4827C653" w14:textId="77777777" w:rsidTr="006C740C">
        <w:trPr>
          <w:trHeight w:val="391"/>
          <w:jc w:val="center"/>
        </w:trPr>
        <w:tc>
          <w:tcPr>
            <w:tcW w:w="2867" w:type="dxa"/>
            <w:gridSpan w:val="2"/>
            <w:tcBorders>
              <w:bottom w:val="single" w:sz="4" w:space="0" w:color="auto"/>
            </w:tcBorders>
          </w:tcPr>
          <w:p w14:paraId="4827C650" w14:textId="77777777" w:rsidR="006F0F3C" w:rsidRPr="00155BC6" w:rsidRDefault="006F0F3C" w:rsidP="00E61232">
            <w:pPr>
              <w:pStyle w:val="appendixchead"/>
            </w:pPr>
            <w:r w:rsidRPr="00155BC6">
              <w:t>GMPCS</w:t>
            </w:r>
          </w:p>
        </w:tc>
        <w:tc>
          <w:tcPr>
            <w:tcW w:w="1036" w:type="dxa"/>
            <w:tcBorders>
              <w:bottom w:val="single" w:sz="4" w:space="0" w:color="auto"/>
              <w:right w:val="nil"/>
            </w:tcBorders>
          </w:tcPr>
          <w:p w14:paraId="4827C651" w14:textId="77777777" w:rsidR="006F0F3C" w:rsidRPr="00155BC6" w:rsidRDefault="006F0F3C" w:rsidP="006F0F3C">
            <w:pPr>
              <w:jc w:val="left"/>
              <w:rPr>
                <w:sz w:val="18"/>
                <w:szCs w:val="18"/>
              </w:rPr>
            </w:pPr>
          </w:p>
        </w:tc>
        <w:tc>
          <w:tcPr>
            <w:tcW w:w="599" w:type="dxa"/>
            <w:tcBorders>
              <w:left w:val="nil"/>
              <w:bottom w:val="single" w:sz="4" w:space="0" w:color="auto"/>
            </w:tcBorders>
          </w:tcPr>
          <w:p w14:paraId="4827C652" w14:textId="77777777" w:rsidR="006F0F3C" w:rsidRPr="00155BC6" w:rsidRDefault="006F0F3C" w:rsidP="006F0F3C">
            <w:pPr>
              <w:jc w:val="left"/>
              <w:rPr>
                <w:sz w:val="18"/>
                <w:szCs w:val="18"/>
              </w:rPr>
            </w:pPr>
          </w:p>
        </w:tc>
      </w:tr>
      <w:tr w:rsidR="006F0F3C" w:rsidRPr="00155BC6" w14:paraId="4827C658" w14:textId="77777777" w:rsidTr="006C740C">
        <w:trPr>
          <w:jc w:val="center"/>
        </w:trPr>
        <w:tc>
          <w:tcPr>
            <w:tcW w:w="303" w:type="dxa"/>
            <w:tcBorders>
              <w:top w:val="single" w:sz="4" w:space="0" w:color="auto"/>
              <w:bottom w:val="nil"/>
              <w:right w:val="nil"/>
            </w:tcBorders>
          </w:tcPr>
          <w:p w14:paraId="4827C654" w14:textId="77777777" w:rsidR="006F0F3C" w:rsidRPr="00155BC6" w:rsidRDefault="006F0F3C" w:rsidP="00E61232">
            <w:pPr>
              <w:pStyle w:val="appendixctext"/>
              <w:keepNext/>
            </w:pPr>
            <w:r w:rsidRPr="00155BC6">
              <w:t>–</w:t>
            </w:r>
          </w:p>
        </w:tc>
        <w:tc>
          <w:tcPr>
            <w:tcW w:w="2564" w:type="dxa"/>
            <w:tcBorders>
              <w:top w:val="single" w:sz="4" w:space="0" w:color="auto"/>
              <w:left w:val="nil"/>
              <w:bottom w:val="nil"/>
            </w:tcBorders>
          </w:tcPr>
          <w:p w14:paraId="4827C655" w14:textId="77777777" w:rsidR="006F0F3C" w:rsidRPr="00155BC6" w:rsidRDefault="006F0F3C" w:rsidP="006F0F3C">
            <w:pPr>
              <w:pStyle w:val="appendixctext"/>
            </w:pPr>
            <w:r w:rsidRPr="00155BC6">
              <w:rPr>
                <w:rFonts w:hint="eastAsia"/>
              </w:rPr>
              <w:t>安排的实施</w:t>
            </w:r>
          </w:p>
        </w:tc>
        <w:tc>
          <w:tcPr>
            <w:tcW w:w="1036" w:type="dxa"/>
            <w:tcBorders>
              <w:top w:val="single" w:sz="4" w:space="0" w:color="auto"/>
              <w:bottom w:val="nil"/>
              <w:right w:val="nil"/>
            </w:tcBorders>
          </w:tcPr>
          <w:p w14:paraId="4827C656" w14:textId="77777777" w:rsidR="006F0F3C" w:rsidRPr="00155BC6" w:rsidRDefault="006F0F3C" w:rsidP="006F0F3C">
            <w:pPr>
              <w:pStyle w:val="appendixctext"/>
            </w:pPr>
            <w:r w:rsidRPr="00155BC6">
              <w:t>R 1116</w:t>
            </w:r>
          </w:p>
        </w:tc>
        <w:tc>
          <w:tcPr>
            <w:tcW w:w="599" w:type="dxa"/>
            <w:tcBorders>
              <w:top w:val="single" w:sz="4" w:space="0" w:color="auto"/>
              <w:left w:val="nil"/>
              <w:bottom w:val="nil"/>
            </w:tcBorders>
          </w:tcPr>
          <w:p w14:paraId="4827C657" w14:textId="77777777" w:rsidR="006F0F3C" w:rsidRPr="00155BC6" w:rsidRDefault="006F0F3C" w:rsidP="006F0F3C">
            <w:pPr>
              <w:pStyle w:val="appendixctext"/>
            </w:pPr>
            <w:r w:rsidRPr="00155BC6">
              <w:t>4</w:t>
            </w:r>
          </w:p>
        </w:tc>
      </w:tr>
      <w:tr w:rsidR="006F0F3C" w:rsidRPr="00155BC6" w14:paraId="4827C65D" w14:textId="77777777" w:rsidTr="006C740C">
        <w:trPr>
          <w:jc w:val="center"/>
        </w:trPr>
        <w:tc>
          <w:tcPr>
            <w:tcW w:w="303" w:type="dxa"/>
            <w:tcBorders>
              <w:top w:val="nil"/>
              <w:bottom w:val="single" w:sz="4" w:space="0" w:color="auto"/>
              <w:right w:val="nil"/>
            </w:tcBorders>
          </w:tcPr>
          <w:p w14:paraId="4827C659" w14:textId="77777777" w:rsidR="006F0F3C" w:rsidRPr="00155BC6" w:rsidRDefault="006F0F3C" w:rsidP="006F0F3C">
            <w:pPr>
              <w:pStyle w:val="appendixctext"/>
            </w:pPr>
            <w:r w:rsidRPr="00155BC6">
              <w:t>–</w:t>
            </w:r>
          </w:p>
        </w:tc>
        <w:tc>
          <w:tcPr>
            <w:tcW w:w="2564" w:type="dxa"/>
            <w:tcBorders>
              <w:top w:val="nil"/>
              <w:left w:val="nil"/>
              <w:bottom w:val="single" w:sz="4" w:space="0" w:color="auto"/>
            </w:tcBorders>
          </w:tcPr>
          <w:p w14:paraId="4827C65A" w14:textId="77777777" w:rsidR="006F0F3C" w:rsidRPr="00155BC6" w:rsidRDefault="006F0F3C" w:rsidP="006F0F3C">
            <w:pPr>
              <w:pStyle w:val="appendixctext"/>
            </w:pPr>
            <w:r w:rsidRPr="00155BC6">
              <w:rPr>
                <w:rFonts w:hint="eastAsia"/>
              </w:rPr>
              <w:t>国际电联的作用</w:t>
            </w:r>
          </w:p>
        </w:tc>
        <w:tc>
          <w:tcPr>
            <w:tcW w:w="1036" w:type="dxa"/>
            <w:tcBorders>
              <w:top w:val="nil"/>
              <w:bottom w:val="single" w:sz="4" w:space="0" w:color="auto"/>
              <w:right w:val="nil"/>
            </w:tcBorders>
          </w:tcPr>
          <w:p w14:paraId="4827C65B" w14:textId="77777777" w:rsidR="006F0F3C" w:rsidRPr="00155BC6" w:rsidRDefault="006F0F3C" w:rsidP="006F0F3C">
            <w:pPr>
              <w:pStyle w:val="appendixctext"/>
            </w:pPr>
            <w:r w:rsidRPr="00155BC6">
              <w:t>R 1110</w:t>
            </w:r>
          </w:p>
        </w:tc>
        <w:tc>
          <w:tcPr>
            <w:tcW w:w="599" w:type="dxa"/>
            <w:tcBorders>
              <w:top w:val="nil"/>
              <w:left w:val="nil"/>
              <w:bottom w:val="single" w:sz="4" w:space="0" w:color="auto"/>
            </w:tcBorders>
          </w:tcPr>
          <w:p w14:paraId="4827C65C" w14:textId="77777777" w:rsidR="006F0F3C" w:rsidRPr="00155BC6" w:rsidRDefault="006F0F3C" w:rsidP="006F0F3C">
            <w:pPr>
              <w:pStyle w:val="appendixctext"/>
            </w:pPr>
            <w:r w:rsidRPr="00155BC6">
              <w:t>4</w:t>
            </w:r>
          </w:p>
        </w:tc>
      </w:tr>
      <w:tr w:rsidR="006F0F3C" w:rsidRPr="00155BC6" w14:paraId="4827C661" w14:textId="77777777" w:rsidTr="006C740C">
        <w:trPr>
          <w:jc w:val="center"/>
        </w:trPr>
        <w:tc>
          <w:tcPr>
            <w:tcW w:w="2867" w:type="dxa"/>
            <w:gridSpan w:val="2"/>
            <w:tcBorders>
              <w:top w:val="nil"/>
              <w:bottom w:val="nil"/>
              <w:right w:val="single" w:sz="4" w:space="0" w:color="auto"/>
            </w:tcBorders>
          </w:tcPr>
          <w:p w14:paraId="4827C65E" w14:textId="77777777" w:rsidR="006F0F3C" w:rsidRPr="00155BC6" w:rsidRDefault="006F0F3C" w:rsidP="006F0F3C">
            <w:pPr>
              <w:pStyle w:val="appendixchead"/>
            </w:pPr>
            <w:r w:rsidRPr="00155BC6">
              <w:rPr>
                <w:rFonts w:hint="eastAsia"/>
              </w:rPr>
              <w:t>国际电联的成员</w:t>
            </w:r>
          </w:p>
        </w:tc>
        <w:tc>
          <w:tcPr>
            <w:tcW w:w="1036" w:type="dxa"/>
            <w:tcBorders>
              <w:top w:val="nil"/>
              <w:left w:val="single" w:sz="4" w:space="0" w:color="auto"/>
              <w:bottom w:val="nil"/>
              <w:right w:val="nil"/>
            </w:tcBorders>
          </w:tcPr>
          <w:p w14:paraId="4827C65F" w14:textId="77777777" w:rsidR="006F0F3C" w:rsidRPr="00155BC6" w:rsidRDefault="006F0F3C" w:rsidP="006F0F3C">
            <w:pPr>
              <w:pStyle w:val="appendixctext"/>
            </w:pPr>
          </w:p>
        </w:tc>
        <w:tc>
          <w:tcPr>
            <w:tcW w:w="599" w:type="dxa"/>
            <w:tcBorders>
              <w:top w:val="nil"/>
              <w:left w:val="nil"/>
              <w:bottom w:val="nil"/>
            </w:tcBorders>
          </w:tcPr>
          <w:p w14:paraId="4827C660" w14:textId="77777777" w:rsidR="006F0F3C" w:rsidRPr="00155BC6" w:rsidRDefault="006F0F3C" w:rsidP="006F0F3C">
            <w:pPr>
              <w:pStyle w:val="appendixctext"/>
            </w:pPr>
          </w:p>
        </w:tc>
      </w:tr>
      <w:tr w:rsidR="006F0F3C" w:rsidRPr="00155BC6" w14:paraId="4827C666" w14:textId="77777777" w:rsidTr="006C740C">
        <w:trPr>
          <w:jc w:val="center"/>
        </w:trPr>
        <w:tc>
          <w:tcPr>
            <w:tcW w:w="303" w:type="dxa"/>
            <w:tcBorders>
              <w:top w:val="nil"/>
              <w:bottom w:val="nil"/>
              <w:right w:val="nil"/>
            </w:tcBorders>
          </w:tcPr>
          <w:p w14:paraId="4827C662" w14:textId="77777777" w:rsidR="006F0F3C" w:rsidRPr="00155BC6" w:rsidRDefault="006F0F3C" w:rsidP="006F0F3C">
            <w:pPr>
              <w:pStyle w:val="appendixctext"/>
            </w:pPr>
            <w:r w:rsidRPr="00155BC6">
              <w:t>–</w:t>
            </w:r>
          </w:p>
        </w:tc>
        <w:tc>
          <w:tcPr>
            <w:tcW w:w="2564" w:type="dxa"/>
            <w:tcBorders>
              <w:top w:val="nil"/>
              <w:left w:val="nil"/>
              <w:bottom w:val="nil"/>
            </w:tcBorders>
          </w:tcPr>
          <w:p w14:paraId="4827C663" w14:textId="77777777" w:rsidR="006F0F3C" w:rsidRPr="00155BC6" w:rsidRDefault="006F0F3C" w:rsidP="006F0F3C">
            <w:pPr>
              <w:pStyle w:val="appendixctext"/>
              <w:rPr>
                <w:lang w:eastAsia="zh-CN"/>
              </w:rPr>
            </w:pPr>
            <w:r w:rsidRPr="00155BC6">
              <w:rPr>
                <w:rFonts w:hint="eastAsia"/>
                <w:lang w:eastAsia="zh-CN"/>
              </w:rPr>
              <w:t>国际电联成员国对其它成员国的投诉</w:t>
            </w:r>
          </w:p>
        </w:tc>
        <w:tc>
          <w:tcPr>
            <w:tcW w:w="1036" w:type="dxa"/>
            <w:tcBorders>
              <w:top w:val="nil"/>
              <w:bottom w:val="nil"/>
              <w:right w:val="nil"/>
            </w:tcBorders>
          </w:tcPr>
          <w:p w14:paraId="4827C664" w14:textId="77777777" w:rsidR="006F0F3C" w:rsidRPr="00155BC6" w:rsidRDefault="006F0F3C" w:rsidP="006F0F3C">
            <w:pPr>
              <w:pStyle w:val="appendixctext"/>
            </w:pPr>
            <w:r w:rsidRPr="00155BC6">
              <w:t>R 262</w:t>
            </w:r>
          </w:p>
        </w:tc>
        <w:tc>
          <w:tcPr>
            <w:tcW w:w="599" w:type="dxa"/>
            <w:tcBorders>
              <w:top w:val="nil"/>
              <w:left w:val="nil"/>
              <w:bottom w:val="nil"/>
            </w:tcBorders>
          </w:tcPr>
          <w:p w14:paraId="4827C665" w14:textId="77777777" w:rsidR="006F0F3C" w:rsidRPr="00155BC6" w:rsidRDefault="006F0F3C" w:rsidP="006F0F3C">
            <w:pPr>
              <w:pStyle w:val="appendixctext"/>
            </w:pPr>
            <w:r w:rsidRPr="00155BC6">
              <w:t>6.1</w:t>
            </w:r>
          </w:p>
        </w:tc>
      </w:tr>
      <w:tr w:rsidR="006F0F3C" w:rsidRPr="00155BC6" w14:paraId="4827C66B" w14:textId="77777777" w:rsidTr="006C740C">
        <w:trPr>
          <w:jc w:val="center"/>
        </w:trPr>
        <w:tc>
          <w:tcPr>
            <w:tcW w:w="303" w:type="dxa"/>
            <w:tcBorders>
              <w:top w:val="nil"/>
              <w:bottom w:val="nil"/>
              <w:right w:val="nil"/>
            </w:tcBorders>
          </w:tcPr>
          <w:p w14:paraId="4827C667" w14:textId="77777777" w:rsidR="006F0F3C" w:rsidRPr="00155BC6" w:rsidRDefault="006F0F3C" w:rsidP="006F0F3C">
            <w:pPr>
              <w:pStyle w:val="appendixctext"/>
            </w:pPr>
            <w:r w:rsidRPr="00155BC6">
              <w:t>–</w:t>
            </w:r>
          </w:p>
        </w:tc>
        <w:tc>
          <w:tcPr>
            <w:tcW w:w="2564" w:type="dxa"/>
            <w:tcBorders>
              <w:top w:val="nil"/>
              <w:left w:val="nil"/>
              <w:bottom w:val="nil"/>
            </w:tcBorders>
          </w:tcPr>
          <w:p w14:paraId="4827C668" w14:textId="77777777" w:rsidR="006F0F3C" w:rsidRPr="00155BC6" w:rsidRDefault="006F0F3C" w:rsidP="006F0F3C">
            <w:pPr>
              <w:pStyle w:val="appendixctext"/>
              <w:rPr>
                <w:lang w:eastAsia="zh-CN"/>
              </w:rPr>
            </w:pPr>
            <w:r w:rsidRPr="00155BC6">
              <w:rPr>
                <w:rFonts w:hint="eastAsia"/>
                <w:lang w:eastAsia="zh-CN"/>
              </w:rPr>
              <w:t>要求成为国际电联成员的申请</w:t>
            </w:r>
          </w:p>
        </w:tc>
        <w:tc>
          <w:tcPr>
            <w:tcW w:w="1036" w:type="dxa"/>
            <w:tcBorders>
              <w:top w:val="nil"/>
              <w:bottom w:val="nil"/>
              <w:right w:val="nil"/>
            </w:tcBorders>
          </w:tcPr>
          <w:p w14:paraId="4827C669" w14:textId="77777777" w:rsidR="006F0F3C" w:rsidRPr="00155BC6" w:rsidRDefault="006F0F3C" w:rsidP="006F0F3C">
            <w:pPr>
              <w:pStyle w:val="appendixctext"/>
            </w:pPr>
            <w:r w:rsidRPr="00155BC6">
              <w:t>R 216</w:t>
            </w:r>
          </w:p>
        </w:tc>
        <w:tc>
          <w:tcPr>
            <w:tcW w:w="599" w:type="dxa"/>
            <w:tcBorders>
              <w:top w:val="nil"/>
              <w:left w:val="nil"/>
              <w:bottom w:val="nil"/>
            </w:tcBorders>
          </w:tcPr>
          <w:p w14:paraId="4827C66A" w14:textId="77777777" w:rsidR="006F0F3C" w:rsidRPr="00155BC6" w:rsidRDefault="006F0F3C" w:rsidP="006F0F3C">
            <w:pPr>
              <w:pStyle w:val="appendixctext"/>
            </w:pPr>
            <w:r w:rsidRPr="00155BC6">
              <w:t>6.1</w:t>
            </w:r>
          </w:p>
        </w:tc>
      </w:tr>
      <w:tr w:rsidR="006F0F3C" w:rsidRPr="00155BC6" w14:paraId="4827C670" w14:textId="77777777" w:rsidTr="006C740C">
        <w:trPr>
          <w:jc w:val="center"/>
        </w:trPr>
        <w:tc>
          <w:tcPr>
            <w:tcW w:w="303" w:type="dxa"/>
            <w:tcBorders>
              <w:top w:val="nil"/>
              <w:bottom w:val="single" w:sz="4" w:space="0" w:color="auto"/>
              <w:right w:val="nil"/>
            </w:tcBorders>
          </w:tcPr>
          <w:p w14:paraId="4827C66C" w14:textId="77777777" w:rsidR="006F0F3C" w:rsidRPr="00155BC6" w:rsidRDefault="006F0F3C" w:rsidP="006F0F3C">
            <w:pPr>
              <w:pStyle w:val="appendixctext"/>
            </w:pPr>
            <w:r w:rsidRPr="00155BC6">
              <w:t>–</w:t>
            </w:r>
          </w:p>
        </w:tc>
        <w:tc>
          <w:tcPr>
            <w:tcW w:w="2564" w:type="dxa"/>
            <w:tcBorders>
              <w:top w:val="nil"/>
              <w:left w:val="nil"/>
              <w:bottom w:val="single" w:sz="4" w:space="0" w:color="auto"/>
            </w:tcBorders>
          </w:tcPr>
          <w:p w14:paraId="4827C66D" w14:textId="77777777" w:rsidR="006F0F3C" w:rsidRPr="00155BC6" w:rsidRDefault="006F0F3C" w:rsidP="006F0F3C">
            <w:pPr>
              <w:pStyle w:val="appendixctext"/>
            </w:pPr>
            <w:r w:rsidRPr="00155BC6">
              <w:rPr>
                <w:rFonts w:hint="eastAsia"/>
              </w:rPr>
              <w:t>投票表决权</w:t>
            </w:r>
          </w:p>
        </w:tc>
        <w:tc>
          <w:tcPr>
            <w:tcW w:w="1036" w:type="dxa"/>
            <w:tcBorders>
              <w:top w:val="nil"/>
              <w:bottom w:val="single" w:sz="4" w:space="0" w:color="auto"/>
              <w:right w:val="nil"/>
            </w:tcBorders>
          </w:tcPr>
          <w:p w14:paraId="4827C66E" w14:textId="77777777" w:rsidR="006F0F3C" w:rsidRPr="00155BC6" w:rsidRDefault="006F0F3C" w:rsidP="006F0F3C">
            <w:pPr>
              <w:pStyle w:val="appendixctext"/>
            </w:pPr>
            <w:r w:rsidRPr="00155BC6">
              <w:t>R 1097</w:t>
            </w:r>
          </w:p>
        </w:tc>
        <w:tc>
          <w:tcPr>
            <w:tcW w:w="599" w:type="dxa"/>
            <w:tcBorders>
              <w:top w:val="nil"/>
              <w:left w:val="nil"/>
              <w:bottom w:val="single" w:sz="4" w:space="0" w:color="auto"/>
            </w:tcBorders>
          </w:tcPr>
          <w:p w14:paraId="4827C66F" w14:textId="77777777" w:rsidR="006F0F3C" w:rsidRPr="00155BC6" w:rsidRDefault="006F0F3C" w:rsidP="006F0F3C">
            <w:pPr>
              <w:pStyle w:val="appendixctext"/>
            </w:pPr>
            <w:r w:rsidRPr="00155BC6">
              <w:t>6.1</w:t>
            </w:r>
          </w:p>
        </w:tc>
      </w:tr>
      <w:tr w:rsidR="006F0F3C" w:rsidRPr="00155BC6" w14:paraId="4827C674" w14:textId="77777777" w:rsidTr="006C740C">
        <w:trPr>
          <w:jc w:val="center"/>
        </w:trPr>
        <w:tc>
          <w:tcPr>
            <w:tcW w:w="2867" w:type="dxa"/>
            <w:gridSpan w:val="2"/>
            <w:tcBorders>
              <w:top w:val="single" w:sz="4" w:space="0" w:color="auto"/>
              <w:bottom w:val="nil"/>
            </w:tcBorders>
          </w:tcPr>
          <w:p w14:paraId="4827C671" w14:textId="77777777" w:rsidR="006F0F3C" w:rsidRPr="00CC763F" w:rsidRDefault="006F0F3C" w:rsidP="006F0F3C">
            <w:pPr>
              <w:pStyle w:val="appendixchead"/>
              <w:rPr>
                <w:lang w:val="en-US" w:eastAsia="zh-CN"/>
              </w:rPr>
            </w:pPr>
            <w:r>
              <w:rPr>
                <w:rFonts w:hint="eastAsia"/>
                <w:lang w:eastAsia="zh-CN"/>
              </w:rPr>
              <w:t>《国际</w:t>
            </w:r>
            <w:r>
              <w:rPr>
                <w:lang w:eastAsia="zh-CN"/>
              </w:rPr>
              <w:t>电信规则》</w:t>
            </w:r>
            <w:r>
              <w:rPr>
                <w:rFonts w:hint="eastAsia"/>
                <w:lang w:eastAsia="zh-CN"/>
              </w:rPr>
              <w:t>（</w:t>
            </w:r>
            <w:r>
              <w:rPr>
                <w:lang w:val="en-US" w:eastAsia="zh-CN"/>
              </w:rPr>
              <w:t>ITR</w:t>
            </w:r>
            <w:r>
              <w:rPr>
                <w:rFonts w:hint="eastAsia"/>
                <w:lang w:val="en-US" w:eastAsia="zh-CN"/>
              </w:rPr>
              <w:t>）</w:t>
            </w:r>
          </w:p>
        </w:tc>
        <w:tc>
          <w:tcPr>
            <w:tcW w:w="1036" w:type="dxa"/>
            <w:tcBorders>
              <w:top w:val="single" w:sz="4" w:space="0" w:color="auto"/>
              <w:bottom w:val="nil"/>
              <w:right w:val="nil"/>
            </w:tcBorders>
          </w:tcPr>
          <w:p w14:paraId="4827C672" w14:textId="77777777" w:rsidR="006F0F3C" w:rsidRPr="00155BC6" w:rsidRDefault="006F0F3C" w:rsidP="006F0F3C">
            <w:pPr>
              <w:pStyle w:val="appendixchead"/>
              <w:rPr>
                <w:lang w:eastAsia="zh-CN"/>
              </w:rPr>
            </w:pPr>
          </w:p>
        </w:tc>
        <w:tc>
          <w:tcPr>
            <w:tcW w:w="599" w:type="dxa"/>
            <w:tcBorders>
              <w:top w:val="single" w:sz="4" w:space="0" w:color="auto"/>
              <w:left w:val="nil"/>
              <w:bottom w:val="nil"/>
            </w:tcBorders>
          </w:tcPr>
          <w:p w14:paraId="4827C673" w14:textId="77777777" w:rsidR="006F0F3C" w:rsidRPr="00155BC6" w:rsidRDefault="006F0F3C" w:rsidP="006F0F3C">
            <w:pPr>
              <w:pStyle w:val="appendixchead"/>
              <w:rPr>
                <w:lang w:eastAsia="zh-CN"/>
              </w:rPr>
            </w:pPr>
          </w:p>
        </w:tc>
      </w:tr>
      <w:tr w:rsidR="006F0F3C" w:rsidRPr="00155BC6" w14:paraId="4827C679" w14:textId="77777777" w:rsidTr="006C740C">
        <w:trPr>
          <w:jc w:val="center"/>
        </w:trPr>
        <w:tc>
          <w:tcPr>
            <w:tcW w:w="303" w:type="dxa"/>
            <w:tcBorders>
              <w:top w:val="nil"/>
              <w:right w:val="nil"/>
            </w:tcBorders>
          </w:tcPr>
          <w:p w14:paraId="4827C675" w14:textId="77777777" w:rsidR="006F0F3C" w:rsidRPr="00155BC6" w:rsidRDefault="006F0F3C" w:rsidP="006F0F3C">
            <w:pPr>
              <w:pStyle w:val="appendixctext"/>
            </w:pPr>
            <w:r>
              <w:t>–</w:t>
            </w:r>
          </w:p>
        </w:tc>
        <w:tc>
          <w:tcPr>
            <w:tcW w:w="2564" w:type="dxa"/>
            <w:tcBorders>
              <w:top w:val="nil"/>
              <w:left w:val="nil"/>
            </w:tcBorders>
          </w:tcPr>
          <w:p w14:paraId="4827C676" w14:textId="77777777" w:rsidR="006F0F3C" w:rsidRPr="00155BC6" w:rsidRDefault="006F0F3C" w:rsidP="006F0F3C">
            <w:pPr>
              <w:pStyle w:val="appendixctext"/>
            </w:pPr>
            <w:r>
              <w:rPr>
                <w:rFonts w:hint="eastAsia"/>
                <w:lang w:eastAsia="zh-CN"/>
              </w:rPr>
              <w:t>专家组</w:t>
            </w:r>
          </w:p>
        </w:tc>
        <w:tc>
          <w:tcPr>
            <w:tcW w:w="1036" w:type="dxa"/>
            <w:tcBorders>
              <w:top w:val="nil"/>
              <w:right w:val="nil"/>
            </w:tcBorders>
          </w:tcPr>
          <w:p w14:paraId="4827C677" w14:textId="77777777" w:rsidR="006F0F3C" w:rsidRPr="00155BC6" w:rsidRDefault="006F0F3C" w:rsidP="006F0F3C">
            <w:pPr>
              <w:pStyle w:val="appendixctext"/>
            </w:pPr>
            <w:r w:rsidRPr="00155BC6">
              <w:t>R 13</w:t>
            </w:r>
            <w:r>
              <w:t>79</w:t>
            </w:r>
          </w:p>
        </w:tc>
        <w:tc>
          <w:tcPr>
            <w:tcW w:w="599" w:type="dxa"/>
            <w:tcBorders>
              <w:top w:val="nil"/>
              <w:left w:val="nil"/>
            </w:tcBorders>
          </w:tcPr>
          <w:p w14:paraId="4827C678" w14:textId="77777777" w:rsidR="006F0F3C" w:rsidRPr="00155BC6" w:rsidRDefault="006F0F3C" w:rsidP="006F0F3C">
            <w:pPr>
              <w:pStyle w:val="appendixctext"/>
            </w:pPr>
            <w:r>
              <w:t>7.2</w:t>
            </w:r>
          </w:p>
        </w:tc>
      </w:tr>
      <w:tr w:rsidR="006F0F3C" w:rsidRPr="00155BC6" w14:paraId="4827C67D" w14:textId="77777777" w:rsidTr="006C740C">
        <w:trPr>
          <w:jc w:val="center"/>
        </w:trPr>
        <w:tc>
          <w:tcPr>
            <w:tcW w:w="2867" w:type="dxa"/>
            <w:gridSpan w:val="2"/>
            <w:tcBorders>
              <w:right w:val="single" w:sz="4" w:space="0" w:color="auto"/>
            </w:tcBorders>
          </w:tcPr>
          <w:p w14:paraId="4827C67A" w14:textId="77777777" w:rsidR="006F0F3C" w:rsidRPr="00155BC6" w:rsidRDefault="006F0F3C" w:rsidP="006F0F3C">
            <w:pPr>
              <w:pStyle w:val="appendixchead"/>
              <w:rPr>
                <w:lang w:eastAsia="zh-CN"/>
              </w:rPr>
            </w:pPr>
            <w:r w:rsidRPr="00155BC6">
              <w:rPr>
                <w:rFonts w:hint="eastAsia"/>
                <w:bCs/>
                <w:lang w:eastAsia="zh-CN"/>
              </w:rPr>
              <w:t>国际协调，</w:t>
            </w:r>
            <w:r w:rsidRPr="00E66EA7">
              <w:rPr>
                <w:rFonts w:hint="eastAsia"/>
                <w:b w:val="0"/>
                <w:bCs/>
                <w:lang w:eastAsia="zh-CN"/>
              </w:rPr>
              <w:t>与合法截收电信的技术要求有关</w:t>
            </w:r>
          </w:p>
        </w:tc>
        <w:tc>
          <w:tcPr>
            <w:tcW w:w="1036" w:type="dxa"/>
            <w:tcBorders>
              <w:left w:val="single" w:sz="4" w:space="0" w:color="auto"/>
              <w:right w:val="nil"/>
            </w:tcBorders>
          </w:tcPr>
          <w:p w14:paraId="4827C67B" w14:textId="77777777" w:rsidR="006F0F3C" w:rsidRPr="00155BC6" w:rsidRDefault="006F0F3C" w:rsidP="006F0F3C">
            <w:pPr>
              <w:pStyle w:val="appendixctext"/>
              <w:spacing w:before="120"/>
            </w:pPr>
            <w:r w:rsidRPr="00155BC6">
              <w:t>R 1115</w:t>
            </w:r>
          </w:p>
        </w:tc>
        <w:tc>
          <w:tcPr>
            <w:tcW w:w="599" w:type="dxa"/>
            <w:tcBorders>
              <w:left w:val="nil"/>
            </w:tcBorders>
          </w:tcPr>
          <w:p w14:paraId="4827C67C" w14:textId="77777777" w:rsidR="006F0F3C" w:rsidRPr="00155BC6" w:rsidRDefault="006F0F3C" w:rsidP="006F0F3C">
            <w:pPr>
              <w:pStyle w:val="appendixctext"/>
              <w:spacing w:before="120"/>
            </w:pPr>
            <w:r w:rsidRPr="00155BC6">
              <w:t>5.1</w:t>
            </w:r>
          </w:p>
        </w:tc>
      </w:tr>
      <w:tr w:rsidR="006F0F3C" w:rsidRPr="00155BC6" w14:paraId="4827C681" w14:textId="77777777" w:rsidTr="006C740C">
        <w:trPr>
          <w:jc w:val="center"/>
        </w:trPr>
        <w:tc>
          <w:tcPr>
            <w:tcW w:w="2867" w:type="dxa"/>
            <w:gridSpan w:val="2"/>
            <w:tcBorders>
              <w:bottom w:val="nil"/>
              <w:right w:val="single" w:sz="4" w:space="0" w:color="auto"/>
            </w:tcBorders>
          </w:tcPr>
          <w:p w14:paraId="4827C67E" w14:textId="77777777" w:rsidR="006F0F3C" w:rsidRPr="00155BC6" w:rsidRDefault="006F0F3C" w:rsidP="006F0F3C">
            <w:pPr>
              <w:pStyle w:val="appendixchead"/>
              <w:rPr>
                <w:lang w:eastAsia="zh-CN"/>
              </w:rPr>
            </w:pPr>
            <w:r w:rsidRPr="00155BC6">
              <w:rPr>
                <w:rFonts w:hint="eastAsia"/>
                <w:bCs/>
                <w:lang w:eastAsia="zh-CN"/>
              </w:rPr>
              <w:t>决议，</w:t>
            </w:r>
            <w:r w:rsidRPr="00EF691C">
              <w:rPr>
                <w:rFonts w:hint="eastAsia"/>
                <w:b w:val="0"/>
                <w:bCs/>
                <w:lang w:eastAsia="zh-CN"/>
              </w:rPr>
              <w:t>联</w:t>
            </w:r>
            <w:r w:rsidRPr="00E66EA7">
              <w:rPr>
                <w:rFonts w:hint="eastAsia"/>
                <w:b w:val="0"/>
                <w:bCs/>
                <w:lang w:eastAsia="zh-CN"/>
              </w:rPr>
              <w:t>合国大会的决议</w:t>
            </w:r>
          </w:p>
        </w:tc>
        <w:tc>
          <w:tcPr>
            <w:tcW w:w="1036" w:type="dxa"/>
            <w:tcBorders>
              <w:left w:val="single" w:sz="4" w:space="0" w:color="auto"/>
              <w:bottom w:val="nil"/>
              <w:right w:val="nil"/>
            </w:tcBorders>
          </w:tcPr>
          <w:p w14:paraId="4827C67F" w14:textId="77777777" w:rsidR="006F0F3C" w:rsidRPr="00155BC6" w:rsidRDefault="006F0F3C" w:rsidP="006F0F3C">
            <w:pPr>
              <w:pStyle w:val="appendixctext"/>
              <w:spacing w:before="120"/>
            </w:pPr>
            <w:r w:rsidRPr="00155BC6">
              <w:t>R 659</w:t>
            </w:r>
          </w:p>
        </w:tc>
        <w:tc>
          <w:tcPr>
            <w:tcW w:w="599" w:type="dxa"/>
            <w:tcBorders>
              <w:left w:val="nil"/>
              <w:bottom w:val="nil"/>
            </w:tcBorders>
          </w:tcPr>
          <w:p w14:paraId="4827C680" w14:textId="77777777" w:rsidR="006F0F3C" w:rsidRPr="00155BC6" w:rsidRDefault="006F0F3C" w:rsidP="006F0F3C">
            <w:pPr>
              <w:pStyle w:val="appendixctext"/>
              <w:spacing w:before="120"/>
            </w:pPr>
            <w:r w:rsidRPr="00155BC6">
              <w:t>6.2</w:t>
            </w:r>
          </w:p>
        </w:tc>
      </w:tr>
      <w:tr w:rsidR="006F0F3C" w:rsidRPr="00155BC6" w14:paraId="4827C686" w14:textId="77777777" w:rsidTr="006C740C">
        <w:trPr>
          <w:jc w:val="center"/>
        </w:trPr>
        <w:tc>
          <w:tcPr>
            <w:tcW w:w="303" w:type="dxa"/>
            <w:tcBorders>
              <w:top w:val="nil"/>
              <w:right w:val="nil"/>
            </w:tcBorders>
          </w:tcPr>
          <w:p w14:paraId="4827C682" w14:textId="77777777" w:rsidR="006F0F3C" w:rsidRPr="00155BC6" w:rsidRDefault="006F0F3C" w:rsidP="00290AE7">
            <w:pPr>
              <w:pStyle w:val="appendixctext"/>
              <w:spacing w:before="100" w:beforeAutospacing="1"/>
            </w:pPr>
          </w:p>
        </w:tc>
        <w:tc>
          <w:tcPr>
            <w:tcW w:w="2564" w:type="dxa"/>
            <w:tcBorders>
              <w:top w:val="nil"/>
              <w:left w:val="nil"/>
            </w:tcBorders>
          </w:tcPr>
          <w:p w14:paraId="4827C683" w14:textId="77777777" w:rsidR="006F0F3C" w:rsidRPr="00155BC6" w:rsidRDefault="006F0F3C" w:rsidP="00290AE7">
            <w:pPr>
              <w:pStyle w:val="appendixctext"/>
              <w:spacing w:before="100" w:beforeAutospacing="1"/>
            </w:pPr>
          </w:p>
        </w:tc>
        <w:tc>
          <w:tcPr>
            <w:tcW w:w="1036" w:type="dxa"/>
            <w:tcBorders>
              <w:top w:val="nil"/>
              <w:right w:val="nil"/>
            </w:tcBorders>
          </w:tcPr>
          <w:p w14:paraId="4827C684" w14:textId="77777777" w:rsidR="006F0F3C" w:rsidRPr="00155BC6" w:rsidRDefault="006F0F3C" w:rsidP="00290AE7">
            <w:pPr>
              <w:pStyle w:val="appendixctext"/>
              <w:spacing w:before="100" w:beforeAutospacing="1"/>
            </w:pPr>
            <w:r w:rsidRPr="00155BC6">
              <w:t>R 708</w:t>
            </w:r>
          </w:p>
        </w:tc>
        <w:tc>
          <w:tcPr>
            <w:tcW w:w="599" w:type="dxa"/>
            <w:tcBorders>
              <w:top w:val="nil"/>
              <w:left w:val="nil"/>
            </w:tcBorders>
          </w:tcPr>
          <w:p w14:paraId="4827C685" w14:textId="77777777" w:rsidR="006F0F3C" w:rsidRPr="00155BC6" w:rsidRDefault="006F0F3C" w:rsidP="00290AE7">
            <w:pPr>
              <w:pStyle w:val="appendixctext"/>
              <w:spacing w:before="100" w:beforeAutospacing="1"/>
            </w:pPr>
            <w:r w:rsidRPr="00155BC6">
              <w:t>6.2</w:t>
            </w:r>
          </w:p>
        </w:tc>
      </w:tr>
      <w:tr w:rsidR="006F0F3C" w:rsidRPr="00155BC6" w14:paraId="4827C68A" w14:textId="77777777" w:rsidTr="006C740C">
        <w:trPr>
          <w:jc w:val="center"/>
        </w:trPr>
        <w:tc>
          <w:tcPr>
            <w:tcW w:w="2867" w:type="dxa"/>
            <w:gridSpan w:val="2"/>
            <w:tcBorders>
              <w:right w:val="single" w:sz="4" w:space="0" w:color="auto"/>
            </w:tcBorders>
          </w:tcPr>
          <w:p w14:paraId="4827C687" w14:textId="77777777" w:rsidR="006F0F3C" w:rsidRPr="00155BC6" w:rsidRDefault="006F0F3C" w:rsidP="006F0F3C">
            <w:pPr>
              <w:pStyle w:val="appendixchead"/>
              <w:rPr>
                <w:lang w:eastAsia="zh-CN"/>
              </w:rPr>
            </w:pPr>
            <w:r w:rsidRPr="00155BC6">
              <w:rPr>
                <w:lang w:eastAsia="zh-CN"/>
              </w:rPr>
              <w:t>空间资产国际登记系统</w:t>
            </w:r>
          </w:p>
        </w:tc>
        <w:tc>
          <w:tcPr>
            <w:tcW w:w="1036" w:type="dxa"/>
            <w:tcBorders>
              <w:left w:val="single" w:sz="4" w:space="0" w:color="auto"/>
              <w:right w:val="nil"/>
            </w:tcBorders>
          </w:tcPr>
          <w:p w14:paraId="4827C688" w14:textId="77777777" w:rsidR="006F0F3C" w:rsidRPr="00155BC6" w:rsidRDefault="006F0F3C" w:rsidP="006F0F3C">
            <w:pPr>
              <w:pStyle w:val="appendixctext"/>
              <w:spacing w:before="120"/>
            </w:pPr>
            <w:r w:rsidRPr="00155BC6">
              <w:t>D 576</w:t>
            </w:r>
          </w:p>
        </w:tc>
        <w:tc>
          <w:tcPr>
            <w:tcW w:w="599" w:type="dxa"/>
            <w:tcBorders>
              <w:left w:val="nil"/>
            </w:tcBorders>
          </w:tcPr>
          <w:p w14:paraId="4827C689" w14:textId="77777777" w:rsidR="006F0F3C" w:rsidRPr="00155BC6" w:rsidRDefault="006F0F3C" w:rsidP="006F0F3C">
            <w:pPr>
              <w:pStyle w:val="appendixctext"/>
              <w:spacing w:before="120"/>
            </w:pPr>
            <w:r w:rsidRPr="00155BC6">
              <w:t>7.2</w:t>
            </w:r>
          </w:p>
        </w:tc>
      </w:tr>
      <w:tr w:rsidR="006F0F3C" w:rsidRPr="00155BC6" w14:paraId="4827C68E" w14:textId="77777777" w:rsidTr="006C740C">
        <w:trPr>
          <w:jc w:val="center"/>
        </w:trPr>
        <w:tc>
          <w:tcPr>
            <w:tcW w:w="2867" w:type="dxa"/>
            <w:gridSpan w:val="2"/>
            <w:tcBorders>
              <w:bottom w:val="nil"/>
              <w:right w:val="single" w:sz="4" w:space="0" w:color="auto"/>
            </w:tcBorders>
          </w:tcPr>
          <w:p w14:paraId="4827C68B" w14:textId="77777777" w:rsidR="006F0F3C" w:rsidRPr="00155BC6" w:rsidRDefault="006F0F3C" w:rsidP="006F0F3C">
            <w:pPr>
              <w:pStyle w:val="appendixchead"/>
            </w:pPr>
            <w:r w:rsidRPr="00155BC6">
              <w:rPr>
                <w:rFonts w:hint="eastAsia"/>
              </w:rPr>
              <w:t>理事会</w:t>
            </w:r>
          </w:p>
        </w:tc>
        <w:tc>
          <w:tcPr>
            <w:tcW w:w="1036" w:type="dxa"/>
            <w:tcBorders>
              <w:left w:val="single" w:sz="4" w:space="0" w:color="auto"/>
              <w:bottom w:val="nil"/>
              <w:right w:val="nil"/>
            </w:tcBorders>
          </w:tcPr>
          <w:p w14:paraId="4827C68C" w14:textId="77777777" w:rsidR="006F0F3C" w:rsidRPr="00155BC6" w:rsidRDefault="006F0F3C" w:rsidP="006F0F3C">
            <w:pPr>
              <w:pStyle w:val="appendixctext"/>
            </w:pPr>
          </w:p>
        </w:tc>
        <w:tc>
          <w:tcPr>
            <w:tcW w:w="599" w:type="dxa"/>
            <w:tcBorders>
              <w:left w:val="nil"/>
              <w:bottom w:val="nil"/>
            </w:tcBorders>
          </w:tcPr>
          <w:p w14:paraId="4827C68D" w14:textId="77777777" w:rsidR="006F0F3C" w:rsidRPr="00155BC6" w:rsidRDefault="006F0F3C" w:rsidP="006F0F3C">
            <w:pPr>
              <w:pStyle w:val="appendixctext"/>
            </w:pPr>
          </w:p>
        </w:tc>
      </w:tr>
      <w:tr w:rsidR="006F0F3C" w:rsidRPr="00155BC6" w14:paraId="4827C693" w14:textId="77777777" w:rsidTr="006C740C">
        <w:trPr>
          <w:jc w:val="center"/>
        </w:trPr>
        <w:tc>
          <w:tcPr>
            <w:tcW w:w="303" w:type="dxa"/>
            <w:tcBorders>
              <w:top w:val="nil"/>
              <w:bottom w:val="nil"/>
              <w:right w:val="nil"/>
            </w:tcBorders>
          </w:tcPr>
          <w:p w14:paraId="4827C68F" w14:textId="77777777" w:rsidR="006F0F3C" w:rsidRPr="00155BC6" w:rsidRDefault="006F0F3C" w:rsidP="006F0F3C">
            <w:pPr>
              <w:pStyle w:val="appendixctext"/>
            </w:pPr>
            <w:r w:rsidRPr="00155BC6">
              <w:t>–</w:t>
            </w:r>
          </w:p>
        </w:tc>
        <w:tc>
          <w:tcPr>
            <w:tcW w:w="2564" w:type="dxa"/>
            <w:tcBorders>
              <w:top w:val="nil"/>
              <w:left w:val="nil"/>
              <w:bottom w:val="nil"/>
            </w:tcBorders>
          </w:tcPr>
          <w:p w14:paraId="4827C690" w14:textId="77777777" w:rsidR="006F0F3C" w:rsidRPr="00155BC6" w:rsidRDefault="006F0F3C" w:rsidP="006F0F3C">
            <w:pPr>
              <w:pStyle w:val="appendixctext"/>
            </w:pPr>
            <w:r w:rsidRPr="00155BC6">
              <w:rPr>
                <w:rFonts w:hint="eastAsia"/>
              </w:rPr>
              <w:t>理事会各组：</w:t>
            </w:r>
          </w:p>
        </w:tc>
        <w:tc>
          <w:tcPr>
            <w:tcW w:w="1036" w:type="dxa"/>
            <w:tcBorders>
              <w:top w:val="nil"/>
              <w:bottom w:val="nil"/>
              <w:right w:val="nil"/>
            </w:tcBorders>
          </w:tcPr>
          <w:p w14:paraId="4827C691" w14:textId="77777777" w:rsidR="006F0F3C" w:rsidRPr="00155BC6" w:rsidRDefault="006F0F3C" w:rsidP="006F0F3C">
            <w:pPr>
              <w:pStyle w:val="appendixctext"/>
            </w:pPr>
          </w:p>
        </w:tc>
        <w:tc>
          <w:tcPr>
            <w:tcW w:w="599" w:type="dxa"/>
            <w:tcBorders>
              <w:top w:val="nil"/>
              <w:left w:val="nil"/>
              <w:bottom w:val="nil"/>
            </w:tcBorders>
          </w:tcPr>
          <w:p w14:paraId="4827C692" w14:textId="77777777" w:rsidR="006F0F3C" w:rsidRPr="00155BC6" w:rsidRDefault="006F0F3C" w:rsidP="006F0F3C">
            <w:pPr>
              <w:pStyle w:val="appendixctext"/>
            </w:pPr>
          </w:p>
        </w:tc>
      </w:tr>
      <w:tr w:rsidR="006F0F3C" w:rsidRPr="00155BC6" w14:paraId="4827C698" w14:textId="77777777" w:rsidTr="006C740C">
        <w:trPr>
          <w:jc w:val="center"/>
        </w:trPr>
        <w:tc>
          <w:tcPr>
            <w:tcW w:w="303" w:type="dxa"/>
            <w:tcBorders>
              <w:top w:val="nil"/>
              <w:bottom w:val="nil"/>
              <w:right w:val="nil"/>
            </w:tcBorders>
          </w:tcPr>
          <w:p w14:paraId="4827C694" w14:textId="77777777" w:rsidR="006F0F3C" w:rsidRPr="00155BC6" w:rsidRDefault="006F0F3C" w:rsidP="006F0F3C">
            <w:pPr>
              <w:pStyle w:val="appendixctext"/>
            </w:pPr>
          </w:p>
        </w:tc>
        <w:tc>
          <w:tcPr>
            <w:tcW w:w="2564" w:type="dxa"/>
            <w:tcBorders>
              <w:top w:val="nil"/>
              <w:left w:val="nil"/>
              <w:bottom w:val="nil"/>
            </w:tcBorders>
          </w:tcPr>
          <w:p w14:paraId="4827C695" w14:textId="77777777" w:rsidR="006F0F3C" w:rsidRPr="00155BC6" w:rsidRDefault="006F0F3C" w:rsidP="006F0F3C">
            <w:pPr>
              <w:pStyle w:val="appendixctext"/>
              <w:tabs>
                <w:tab w:val="clear" w:pos="1758"/>
                <w:tab w:val="left" w:pos="252"/>
              </w:tabs>
              <w:ind w:left="283" w:hanging="249"/>
            </w:pPr>
            <w:r w:rsidRPr="00155BC6">
              <w:rPr>
                <w:lang w:val="fr-FR"/>
              </w:rPr>
              <w:t>•</w:t>
            </w:r>
            <w:r w:rsidRPr="00155BC6">
              <w:rPr>
                <w:lang w:val="fr-FR"/>
              </w:rPr>
              <w:tab/>
            </w:r>
            <w:r w:rsidRPr="00155BC6">
              <w:rPr>
                <w:rFonts w:hint="eastAsia"/>
                <w:bCs/>
                <w:lang w:eastAsia="zh-CN"/>
              </w:rPr>
              <w:t>保护上网儿童</w:t>
            </w:r>
          </w:p>
        </w:tc>
        <w:tc>
          <w:tcPr>
            <w:tcW w:w="1036" w:type="dxa"/>
            <w:tcBorders>
              <w:top w:val="nil"/>
              <w:bottom w:val="nil"/>
              <w:right w:val="nil"/>
            </w:tcBorders>
          </w:tcPr>
          <w:p w14:paraId="4827C696" w14:textId="77777777" w:rsidR="006F0F3C" w:rsidRPr="00155BC6" w:rsidRDefault="006F0F3C" w:rsidP="006F0F3C">
            <w:pPr>
              <w:pStyle w:val="appendixctext"/>
            </w:pPr>
            <w:r w:rsidRPr="00155BC6">
              <w:t>R 1306</w:t>
            </w:r>
          </w:p>
        </w:tc>
        <w:tc>
          <w:tcPr>
            <w:tcW w:w="599" w:type="dxa"/>
            <w:tcBorders>
              <w:top w:val="nil"/>
              <w:left w:val="nil"/>
              <w:bottom w:val="nil"/>
            </w:tcBorders>
          </w:tcPr>
          <w:p w14:paraId="4827C697" w14:textId="77777777" w:rsidR="006F0F3C" w:rsidRPr="00155BC6" w:rsidRDefault="006F0F3C" w:rsidP="006F0F3C">
            <w:pPr>
              <w:pStyle w:val="appendixctext"/>
            </w:pPr>
            <w:r w:rsidRPr="00155BC6">
              <w:t>3.2</w:t>
            </w:r>
          </w:p>
        </w:tc>
      </w:tr>
      <w:tr w:rsidR="006F0F3C" w:rsidRPr="00155BC6" w14:paraId="4827C69D" w14:textId="77777777" w:rsidTr="006C740C">
        <w:trPr>
          <w:jc w:val="center"/>
        </w:trPr>
        <w:tc>
          <w:tcPr>
            <w:tcW w:w="303" w:type="dxa"/>
            <w:tcBorders>
              <w:top w:val="nil"/>
              <w:bottom w:val="nil"/>
              <w:right w:val="nil"/>
            </w:tcBorders>
          </w:tcPr>
          <w:p w14:paraId="4827C699" w14:textId="77777777" w:rsidR="006F0F3C" w:rsidRPr="00155BC6" w:rsidRDefault="006F0F3C" w:rsidP="006F0F3C">
            <w:pPr>
              <w:pStyle w:val="appendixctext"/>
            </w:pPr>
          </w:p>
        </w:tc>
        <w:tc>
          <w:tcPr>
            <w:tcW w:w="2564" w:type="dxa"/>
            <w:tcBorders>
              <w:top w:val="nil"/>
              <w:left w:val="nil"/>
              <w:bottom w:val="nil"/>
            </w:tcBorders>
          </w:tcPr>
          <w:p w14:paraId="4827C69A" w14:textId="77777777" w:rsidR="006F0F3C" w:rsidRPr="00155BC6" w:rsidRDefault="006F0F3C" w:rsidP="008922E2">
            <w:pPr>
              <w:pStyle w:val="appendixctext"/>
              <w:tabs>
                <w:tab w:val="clear" w:pos="1758"/>
                <w:tab w:val="left" w:pos="459"/>
              </w:tabs>
              <w:ind w:left="252" w:hanging="218"/>
              <w:rPr>
                <w:lang w:eastAsia="zh-CN"/>
              </w:rPr>
            </w:pPr>
            <w:r w:rsidRPr="00155BC6">
              <w:rPr>
                <w:lang w:val="fr-FR" w:eastAsia="zh-CN"/>
              </w:rPr>
              <w:t>•</w:t>
            </w:r>
            <w:r w:rsidRPr="00155BC6">
              <w:rPr>
                <w:lang w:val="fr-FR" w:eastAsia="zh-CN"/>
              </w:rPr>
              <w:tab/>
            </w:r>
            <w:r w:rsidRPr="00155BC6">
              <w:rPr>
                <w:rFonts w:hint="eastAsia"/>
                <w:bCs/>
                <w:lang w:eastAsia="zh-CN"/>
              </w:rPr>
              <w:t>确定互联网相关公共政策问题专门小组的职责</w:t>
            </w:r>
          </w:p>
        </w:tc>
        <w:tc>
          <w:tcPr>
            <w:tcW w:w="1036" w:type="dxa"/>
            <w:tcBorders>
              <w:top w:val="nil"/>
              <w:bottom w:val="nil"/>
              <w:right w:val="nil"/>
            </w:tcBorders>
          </w:tcPr>
          <w:p w14:paraId="4827C69B" w14:textId="77777777" w:rsidR="006F0F3C" w:rsidRPr="00155BC6" w:rsidRDefault="006F0F3C" w:rsidP="008922E2">
            <w:pPr>
              <w:pStyle w:val="appendixctext"/>
              <w:rPr>
                <w:lang w:eastAsia="zh-CN"/>
              </w:rPr>
            </w:pPr>
            <w:r w:rsidRPr="00155BC6">
              <w:rPr>
                <w:lang w:eastAsia="zh-CN"/>
              </w:rPr>
              <w:t xml:space="preserve">R 1305 </w:t>
            </w:r>
            <w:r>
              <w:rPr>
                <w:lang w:eastAsia="zh-CN"/>
              </w:rPr>
              <w:br/>
            </w:r>
            <w:r w:rsidRPr="00155BC6">
              <w:rPr>
                <w:lang w:eastAsia="zh-CN"/>
              </w:rPr>
              <w:t>R 1336</w:t>
            </w:r>
          </w:p>
        </w:tc>
        <w:tc>
          <w:tcPr>
            <w:tcW w:w="599" w:type="dxa"/>
            <w:tcBorders>
              <w:top w:val="nil"/>
              <w:left w:val="nil"/>
              <w:bottom w:val="nil"/>
            </w:tcBorders>
          </w:tcPr>
          <w:p w14:paraId="4827C69C" w14:textId="77777777" w:rsidR="006F0F3C" w:rsidRPr="00155BC6" w:rsidRDefault="006F0F3C" w:rsidP="006F0F3C">
            <w:pPr>
              <w:pStyle w:val="appendixctext"/>
              <w:rPr>
                <w:lang w:eastAsia="zh-CN"/>
              </w:rPr>
            </w:pPr>
            <w:r>
              <w:rPr>
                <w:lang w:eastAsia="zh-CN"/>
              </w:rPr>
              <w:t>3.2</w:t>
            </w:r>
            <w:r>
              <w:rPr>
                <w:lang w:eastAsia="zh-CN"/>
              </w:rPr>
              <w:br/>
            </w:r>
            <w:r w:rsidRPr="00155BC6">
              <w:rPr>
                <w:rFonts w:hint="eastAsia"/>
                <w:lang w:eastAsia="zh-CN"/>
              </w:rPr>
              <w:t>3</w:t>
            </w:r>
            <w:r w:rsidRPr="00155BC6">
              <w:rPr>
                <w:lang w:eastAsia="zh-CN"/>
              </w:rPr>
              <w:t>.2</w:t>
            </w:r>
          </w:p>
        </w:tc>
      </w:tr>
      <w:tr w:rsidR="006F0F3C" w:rsidRPr="00155BC6" w14:paraId="4827C6A2" w14:textId="77777777" w:rsidTr="006C740C">
        <w:trPr>
          <w:jc w:val="center"/>
        </w:trPr>
        <w:tc>
          <w:tcPr>
            <w:tcW w:w="303" w:type="dxa"/>
            <w:tcBorders>
              <w:top w:val="nil"/>
              <w:bottom w:val="nil"/>
              <w:right w:val="nil"/>
            </w:tcBorders>
          </w:tcPr>
          <w:p w14:paraId="4827C69E" w14:textId="77777777" w:rsidR="006F0F3C" w:rsidRPr="00155BC6" w:rsidRDefault="006F0F3C" w:rsidP="006F0F3C">
            <w:pPr>
              <w:pStyle w:val="appendixctext"/>
              <w:rPr>
                <w:lang w:eastAsia="zh-CN"/>
              </w:rPr>
            </w:pPr>
          </w:p>
        </w:tc>
        <w:tc>
          <w:tcPr>
            <w:tcW w:w="2564" w:type="dxa"/>
            <w:tcBorders>
              <w:top w:val="nil"/>
              <w:left w:val="nil"/>
              <w:bottom w:val="nil"/>
            </w:tcBorders>
          </w:tcPr>
          <w:p w14:paraId="4827C69F" w14:textId="77777777" w:rsidR="006F0F3C" w:rsidRPr="00155BC6" w:rsidRDefault="006F0F3C" w:rsidP="006F0F3C">
            <w:pPr>
              <w:pStyle w:val="appendixctext"/>
              <w:tabs>
                <w:tab w:val="clear" w:pos="1758"/>
                <w:tab w:val="left" w:pos="252"/>
              </w:tabs>
              <w:ind w:left="283" w:hanging="249"/>
              <w:rPr>
                <w:lang w:eastAsia="zh-CN"/>
              </w:rPr>
            </w:pPr>
            <w:r w:rsidRPr="00155BC6">
              <w:rPr>
                <w:lang w:val="fr-FR" w:eastAsia="zh-CN"/>
              </w:rPr>
              <w:t>•</w:t>
            </w:r>
            <w:r w:rsidRPr="00155BC6">
              <w:rPr>
                <w:lang w:val="fr-FR" w:eastAsia="zh-CN"/>
              </w:rPr>
              <w:tab/>
            </w:r>
            <w:r w:rsidRPr="001641A0">
              <w:rPr>
                <w:rFonts w:hint="eastAsia"/>
                <w:bCs/>
                <w:lang w:eastAsia="zh-CN"/>
              </w:rPr>
              <w:t>财务和人力资源</w:t>
            </w:r>
          </w:p>
        </w:tc>
        <w:tc>
          <w:tcPr>
            <w:tcW w:w="1036" w:type="dxa"/>
            <w:tcBorders>
              <w:top w:val="nil"/>
              <w:bottom w:val="nil"/>
              <w:right w:val="nil"/>
            </w:tcBorders>
          </w:tcPr>
          <w:p w14:paraId="4827C6A0" w14:textId="77777777" w:rsidR="006F0F3C" w:rsidRPr="00155BC6" w:rsidRDefault="006F0F3C" w:rsidP="006F0F3C">
            <w:pPr>
              <w:pStyle w:val="appendixctext"/>
              <w:rPr>
                <w:lang w:eastAsia="zh-CN"/>
              </w:rPr>
            </w:pPr>
            <w:r w:rsidRPr="00155BC6">
              <w:rPr>
                <w:lang w:eastAsia="zh-CN"/>
              </w:rPr>
              <w:t>D 563</w:t>
            </w:r>
          </w:p>
        </w:tc>
        <w:tc>
          <w:tcPr>
            <w:tcW w:w="599" w:type="dxa"/>
            <w:tcBorders>
              <w:top w:val="nil"/>
              <w:left w:val="nil"/>
              <w:bottom w:val="nil"/>
            </w:tcBorders>
          </w:tcPr>
          <w:p w14:paraId="4827C6A1" w14:textId="77777777" w:rsidR="006F0F3C" w:rsidRPr="00155BC6" w:rsidRDefault="006F0F3C" w:rsidP="006F0F3C">
            <w:pPr>
              <w:pStyle w:val="appendixctext"/>
              <w:rPr>
                <w:lang w:eastAsia="zh-CN"/>
              </w:rPr>
            </w:pPr>
            <w:r w:rsidRPr="00155BC6">
              <w:rPr>
                <w:lang w:eastAsia="zh-CN"/>
              </w:rPr>
              <w:t>3.2</w:t>
            </w:r>
          </w:p>
        </w:tc>
      </w:tr>
      <w:tr w:rsidR="006F0F3C" w:rsidRPr="00155BC6" w14:paraId="4827C6A7" w14:textId="77777777" w:rsidTr="006C740C">
        <w:trPr>
          <w:jc w:val="center"/>
        </w:trPr>
        <w:tc>
          <w:tcPr>
            <w:tcW w:w="303" w:type="dxa"/>
            <w:tcBorders>
              <w:top w:val="nil"/>
              <w:bottom w:val="nil"/>
              <w:right w:val="nil"/>
            </w:tcBorders>
          </w:tcPr>
          <w:p w14:paraId="4827C6A3" w14:textId="77777777" w:rsidR="006F0F3C" w:rsidRPr="00155BC6" w:rsidRDefault="006F0F3C" w:rsidP="006F0F3C">
            <w:pPr>
              <w:pStyle w:val="appendixctext"/>
              <w:rPr>
                <w:lang w:eastAsia="zh-CN"/>
              </w:rPr>
            </w:pPr>
          </w:p>
        </w:tc>
        <w:tc>
          <w:tcPr>
            <w:tcW w:w="2564" w:type="dxa"/>
            <w:tcBorders>
              <w:top w:val="nil"/>
              <w:left w:val="nil"/>
              <w:bottom w:val="nil"/>
            </w:tcBorders>
          </w:tcPr>
          <w:p w14:paraId="4827C6A4" w14:textId="77777777" w:rsidR="006F0F3C" w:rsidRPr="00155BC6" w:rsidRDefault="006F0F3C" w:rsidP="006F0F3C">
            <w:pPr>
              <w:pStyle w:val="appendixctext"/>
              <w:tabs>
                <w:tab w:val="clear" w:pos="1758"/>
                <w:tab w:val="left" w:pos="252"/>
              </w:tabs>
              <w:ind w:left="283" w:hanging="249"/>
              <w:rPr>
                <w:rFonts w:hAnsi="SimSun"/>
                <w:lang w:eastAsia="zh-CN"/>
              </w:rPr>
            </w:pPr>
            <w:r w:rsidRPr="00155BC6">
              <w:rPr>
                <w:lang w:val="fr-FR" w:eastAsia="zh-CN"/>
              </w:rPr>
              <w:t>•</w:t>
            </w:r>
            <w:r w:rsidRPr="00155BC6">
              <w:rPr>
                <w:lang w:val="fr-FR" w:eastAsia="zh-CN"/>
              </w:rPr>
              <w:tab/>
            </w:r>
            <w:r w:rsidRPr="001641A0">
              <w:rPr>
                <w:rFonts w:hint="eastAsia"/>
                <w:bCs/>
                <w:lang w:eastAsia="zh-CN"/>
              </w:rPr>
              <w:t>理事会观察员</w:t>
            </w:r>
          </w:p>
        </w:tc>
        <w:tc>
          <w:tcPr>
            <w:tcW w:w="1036" w:type="dxa"/>
            <w:tcBorders>
              <w:top w:val="nil"/>
              <w:bottom w:val="nil"/>
              <w:right w:val="nil"/>
            </w:tcBorders>
          </w:tcPr>
          <w:p w14:paraId="4827C6A5" w14:textId="77777777" w:rsidR="006F0F3C" w:rsidRPr="00155BC6" w:rsidRDefault="006F0F3C" w:rsidP="006F0F3C">
            <w:pPr>
              <w:pStyle w:val="appendixctext"/>
              <w:rPr>
                <w:lang w:eastAsia="zh-CN"/>
              </w:rPr>
            </w:pPr>
            <w:r w:rsidRPr="00155BC6">
              <w:rPr>
                <w:lang w:eastAsia="zh-CN"/>
              </w:rPr>
              <w:t>D 519</w:t>
            </w:r>
          </w:p>
        </w:tc>
        <w:tc>
          <w:tcPr>
            <w:tcW w:w="599" w:type="dxa"/>
            <w:tcBorders>
              <w:top w:val="nil"/>
              <w:left w:val="nil"/>
              <w:bottom w:val="nil"/>
            </w:tcBorders>
          </w:tcPr>
          <w:p w14:paraId="4827C6A6" w14:textId="77777777" w:rsidR="006F0F3C" w:rsidRPr="00155BC6" w:rsidRDefault="006F0F3C" w:rsidP="006F0F3C">
            <w:pPr>
              <w:pStyle w:val="appendixctext"/>
              <w:rPr>
                <w:lang w:eastAsia="zh-CN"/>
              </w:rPr>
            </w:pPr>
            <w:r w:rsidRPr="00155BC6">
              <w:rPr>
                <w:lang w:eastAsia="zh-CN"/>
              </w:rPr>
              <w:t>3.2</w:t>
            </w:r>
          </w:p>
        </w:tc>
      </w:tr>
      <w:tr w:rsidR="006F0F3C" w:rsidRPr="00155BC6" w14:paraId="4827C6AC" w14:textId="77777777" w:rsidTr="006C740C">
        <w:trPr>
          <w:jc w:val="center"/>
        </w:trPr>
        <w:tc>
          <w:tcPr>
            <w:tcW w:w="303" w:type="dxa"/>
            <w:tcBorders>
              <w:top w:val="nil"/>
              <w:bottom w:val="nil"/>
              <w:right w:val="nil"/>
            </w:tcBorders>
          </w:tcPr>
          <w:p w14:paraId="4827C6A8" w14:textId="77777777" w:rsidR="006F0F3C" w:rsidRPr="00155BC6" w:rsidRDefault="006F0F3C" w:rsidP="006F0F3C">
            <w:pPr>
              <w:pStyle w:val="appendixctext"/>
              <w:rPr>
                <w:lang w:eastAsia="zh-CN"/>
              </w:rPr>
            </w:pPr>
          </w:p>
        </w:tc>
        <w:tc>
          <w:tcPr>
            <w:tcW w:w="2564" w:type="dxa"/>
            <w:tcBorders>
              <w:top w:val="nil"/>
              <w:left w:val="nil"/>
              <w:bottom w:val="nil"/>
            </w:tcBorders>
          </w:tcPr>
          <w:p w14:paraId="4827C6A9" w14:textId="77777777" w:rsidR="006F0F3C" w:rsidRPr="00155BC6" w:rsidRDefault="006F0F3C" w:rsidP="006F0F3C">
            <w:pPr>
              <w:pStyle w:val="appendixctext"/>
              <w:tabs>
                <w:tab w:val="clear" w:pos="1758"/>
                <w:tab w:val="left" w:pos="252"/>
              </w:tabs>
              <w:ind w:left="283" w:hanging="249"/>
              <w:rPr>
                <w:rFonts w:hAnsi="SimSun"/>
                <w:lang w:eastAsia="zh-CN"/>
              </w:rPr>
            </w:pPr>
            <w:r w:rsidRPr="00155BC6">
              <w:rPr>
                <w:lang w:val="fr-FR" w:eastAsia="zh-CN"/>
              </w:rPr>
              <w:t>•</w:t>
            </w:r>
            <w:r w:rsidRPr="00155BC6">
              <w:rPr>
                <w:lang w:val="fr-FR" w:eastAsia="zh-CN"/>
              </w:rPr>
              <w:tab/>
            </w:r>
            <w:r w:rsidRPr="00155BC6">
              <w:rPr>
                <w:rFonts w:hint="eastAsia"/>
                <w:lang w:eastAsia="zh-CN"/>
              </w:rPr>
              <w:t>人力资源管理三方顾问组</w:t>
            </w:r>
          </w:p>
        </w:tc>
        <w:tc>
          <w:tcPr>
            <w:tcW w:w="1036" w:type="dxa"/>
            <w:tcBorders>
              <w:top w:val="nil"/>
              <w:bottom w:val="nil"/>
              <w:right w:val="nil"/>
            </w:tcBorders>
          </w:tcPr>
          <w:p w14:paraId="4827C6AA" w14:textId="77777777" w:rsidR="006F0F3C" w:rsidRPr="00155BC6" w:rsidRDefault="006F0F3C" w:rsidP="006F0F3C">
            <w:pPr>
              <w:pStyle w:val="appendixctext"/>
              <w:rPr>
                <w:lang w:eastAsia="zh-CN"/>
              </w:rPr>
            </w:pPr>
            <w:r w:rsidRPr="00155BC6">
              <w:rPr>
                <w:lang w:eastAsia="zh-CN"/>
              </w:rPr>
              <w:t>R 1106</w:t>
            </w:r>
          </w:p>
        </w:tc>
        <w:tc>
          <w:tcPr>
            <w:tcW w:w="599" w:type="dxa"/>
            <w:tcBorders>
              <w:top w:val="nil"/>
              <w:left w:val="nil"/>
              <w:bottom w:val="nil"/>
            </w:tcBorders>
          </w:tcPr>
          <w:p w14:paraId="4827C6AB" w14:textId="77777777" w:rsidR="006F0F3C" w:rsidRPr="00155BC6" w:rsidRDefault="006F0F3C" w:rsidP="006F0F3C">
            <w:pPr>
              <w:pStyle w:val="appendixctext"/>
              <w:rPr>
                <w:lang w:eastAsia="zh-CN"/>
              </w:rPr>
            </w:pPr>
            <w:r w:rsidRPr="00155BC6">
              <w:rPr>
                <w:lang w:eastAsia="zh-CN"/>
              </w:rPr>
              <w:t>2.2</w:t>
            </w:r>
          </w:p>
        </w:tc>
      </w:tr>
      <w:tr w:rsidR="006F0F3C" w:rsidRPr="00155BC6" w14:paraId="4827C6B1" w14:textId="77777777" w:rsidTr="006C740C">
        <w:trPr>
          <w:jc w:val="center"/>
        </w:trPr>
        <w:tc>
          <w:tcPr>
            <w:tcW w:w="303" w:type="dxa"/>
            <w:tcBorders>
              <w:top w:val="nil"/>
              <w:bottom w:val="nil"/>
              <w:right w:val="nil"/>
            </w:tcBorders>
          </w:tcPr>
          <w:p w14:paraId="4827C6AD" w14:textId="77777777" w:rsidR="006F0F3C" w:rsidRPr="00155BC6" w:rsidRDefault="006F0F3C" w:rsidP="006F0F3C">
            <w:pPr>
              <w:pStyle w:val="appendixctext"/>
              <w:rPr>
                <w:lang w:eastAsia="zh-CN"/>
              </w:rPr>
            </w:pPr>
          </w:p>
        </w:tc>
        <w:tc>
          <w:tcPr>
            <w:tcW w:w="2564" w:type="dxa"/>
            <w:tcBorders>
              <w:top w:val="nil"/>
              <w:left w:val="nil"/>
              <w:bottom w:val="nil"/>
            </w:tcBorders>
          </w:tcPr>
          <w:p w14:paraId="4827C6AE" w14:textId="77777777" w:rsidR="006F0F3C" w:rsidRPr="00155BC6" w:rsidRDefault="006F0F3C" w:rsidP="006F0F3C">
            <w:pPr>
              <w:pStyle w:val="appendixctext"/>
              <w:tabs>
                <w:tab w:val="clear" w:pos="1758"/>
                <w:tab w:val="left" w:pos="252"/>
              </w:tabs>
              <w:ind w:left="283" w:hanging="249"/>
              <w:rPr>
                <w:rFonts w:hAnsi="SimSun"/>
              </w:rPr>
            </w:pPr>
            <w:r w:rsidRPr="00155BC6">
              <w:rPr>
                <w:lang w:val="fr-FR" w:eastAsia="zh-CN"/>
              </w:rPr>
              <w:t>•</w:t>
            </w:r>
            <w:r w:rsidRPr="00155BC6">
              <w:rPr>
                <w:lang w:val="fr-FR" w:eastAsia="zh-CN"/>
              </w:rPr>
              <w:tab/>
            </w:r>
            <w:r w:rsidRPr="00155BC6">
              <w:rPr>
                <w:rFonts w:hint="eastAsia"/>
                <w:lang w:eastAsia="zh-CN"/>
              </w:rPr>
              <w:t>语文</w:t>
            </w:r>
            <w:r w:rsidRPr="00155BC6">
              <w:rPr>
                <w:rFonts w:hint="eastAsia"/>
              </w:rPr>
              <w:t>的使用</w:t>
            </w:r>
          </w:p>
        </w:tc>
        <w:tc>
          <w:tcPr>
            <w:tcW w:w="1036" w:type="dxa"/>
            <w:tcBorders>
              <w:top w:val="nil"/>
              <w:bottom w:val="nil"/>
              <w:right w:val="nil"/>
            </w:tcBorders>
          </w:tcPr>
          <w:p w14:paraId="4827C6AF" w14:textId="77777777" w:rsidR="006F0F3C" w:rsidRPr="00155BC6" w:rsidRDefault="006F0F3C" w:rsidP="006F0F3C">
            <w:pPr>
              <w:pStyle w:val="appendixctext"/>
            </w:pPr>
            <w:r w:rsidRPr="00155BC6">
              <w:t>R 1372</w:t>
            </w:r>
          </w:p>
        </w:tc>
        <w:tc>
          <w:tcPr>
            <w:tcW w:w="599" w:type="dxa"/>
            <w:tcBorders>
              <w:top w:val="nil"/>
              <w:left w:val="nil"/>
              <w:bottom w:val="nil"/>
            </w:tcBorders>
          </w:tcPr>
          <w:p w14:paraId="4827C6B0" w14:textId="77777777" w:rsidR="006F0F3C" w:rsidRPr="00155BC6" w:rsidRDefault="006F0F3C" w:rsidP="006F0F3C">
            <w:pPr>
              <w:pStyle w:val="appendixctext"/>
            </w:pPr>
            <w:r w:rsidRPr="00155BC6">
              <w:t>3.2</w:t>
            </w:r>
          </w:p>
        </w:tc>
      </w:tr>
      <w:tr w:rsidR="00E51375" w:rsidRPr="00155BC6" w14:paraId="2EB14C6B" w14:textId="77777777" w:rsidTr="006C740C">
        <w:trPr>
          <w:jc w:val="center"/>
        </w:trPr>
        <w:tc>
          <w:tcPr>
            <w:tcW w:w="303" w:type="dxa"/>
            <w:tcBorders>
              <w:top w:val="nil"/>
              <w:bottom w:val="nil"/>
              <w:right w:val="nil"/>
            </w:tcBorders>
          </w:tcPr>
          <w:p w14:paraId="7A7BC795" w14:textId="77777777" w:rsidR="00E51375" w:rsidRPr="00155BC6" w:rsidRDefault="00E51375" w:rsidP="00E51375">
            <w:pPr>
              <w:pStyle w:val="appendixctext"/>
              <w:rPr>
                <w:lang w:eastAsia="zh-CN"/>
              </w:rPr>
            </w:pPr>
          </w:p>
        </w:tc>
        <w:tc>
          <w:tcPr>
            <w:tcW w:w="2564" w:type="dxa"/>
            <w:tcBorders>
              <w:top w:val="nil"/>
              <w:left w:val="nil"/>
              <w:bottom w:val="nil"/>
            </w:tcBorders>
          </w:tcPr>
          <w:p w14:paraId="79A49463" w14:textId="1696970E" w:rsidR="00E51375" w:rsidRPr="00E51375" w:rsidRDefault="00E51375" w:rsidP="00E51375">
            <w:pPr>
              <w:pStyle w:val="appendixctext"/>
              <w:tabs>
                <w:tab w:val="left" w:pos="252"/>
              </w:tabs>
              <w:ind w:left="283" w:hanging="249"/>
              <w:rPr>
                <w:lang w:eastAsia="zh-CN"/>
              </w:rPr>
            </w:pPr>
            <w:r w:rsidRPr="00155BC6">
              <w:rPr>
                <w:lang w:val="fr-FR" w:eastAsia="zh-CN"/>
              </w:rPr>
              <w:t>•</w:t>
            </w:r>
            <w:r w:rsidRPr="00155BC6">
              <w:rPr>
                <w:lang w:val="fr-FR" w:eastAsia="zh-CN"/>
              </w:rPr>
              <w:tab/>
            </w:r>
            <w:r>
              <w:rPr>
                <w:rFonts w:hint="eastAsia"/>
                <w:lang w:eastAsia="zh-CN"/>
              </w:rPr>
              <w:t>2024-2027</w:t>
            </w:r>
            <w:r>
              <w:rPr>
                <w:rFonts w:hint="eastAsia"/>
                <w:lang w:eastAsia="zh-CN"/>
              </w:rPr>
              <w:t>年《战略规划》和《财务规划》</w:t>
            </w:r>
          </w:p>
        </w:tc>
        <w:tc>
          <w:tcPr>
            <w:tcW w:w="1036" w:type="dxa"/>
            <w:tcBorders>
              <w:top w:val="nil"/>
              <w:bottom w:val="nil"/>
              <w:right w:val="nil"/>
            </w:tcBorders>
          </w:tcPr>
          <w:p w14:paraId="39DDA482" w14:textId="38D59D06" w:rsidR="00E51375" w:rsidRPr="00155BC6" w:rsidRDefault="00E51375" w:rsidP="00E51375">
            <w:pPr>
              <w:pStyle w:val="appendixctext"/>
              <w:rPr>
                <w:lang w:eastAsia="zh-CN"/>
              </w:rPr>
            </w:pPr>
            <w:r w:rsidRPr="004F5666">
              <w:t>R 1404</w:t>
            </w:r>
          </w:p>
        </w:tc>
        <w:tc>
          <w:tcPr>
            <w:tcW w:w="599" w:type="dxa"/>
            <w:tcBorders>
              <w:top w:val="nil"/>
              <w:left w:val="nil"/>
              <w:bottom w:val="nil"/>
            </w:tcBorders>
          </w:tcPr>
          <w:p w14:paraId="06FCE386" w14:textId="75F5D47B" w:rsidR="00E51375" w:rsidRPr="00155BC6" w:rsidRDefault="00E51375" w:rsidP="00E51375">
            <w:pPr>
              <w:pStyle w:val="appendixctext"/>
              <w:rPr>
                <w:lang w:eastAsia="zh-CN"/>
              </w:rPr>
            </w:pPr>
            <w:r w:rsidRPr="004F5666">
              <w:t>3.2</w:t>
            </w:r>
          </w:p>
        </w:tc>
      </w:tr>
      <w:tr w:rsidR="006F0F3C" w:rsidRPr="00155BC6" w14:paraId="4827C6B6" w14:textId="77777777" w:rsidTr="006C740C">
        <w:trPr>
          <w:jc w:val="center"/>
        </w:trPr>
        <w:tc>
          <w:tcPr>
            <w:tcW w:w="303" w:type="dxa"/>
            <w:tcBorders>
              <w:top w:val="nil"/>
              <w:bottom w:val="nil"/>
              <w:right w:val="nil"/>
            </w:tcBorders>
          </w:tcPr>
          <w:p w14:paraId="4827C6B2" w14:textId="77777777" w:rsidR="006F0F3C" w:rsidRPr="00155BC6" w:rsidRDefault="006F0F3C" w:rsidP="006F0F3C">
            <w:pPr>
              <w:pStyle w:val="appendixctext"/>
            </w:pPr>
            <w:r w:rsidRPr="00155BC6">
              <w:t>–</w:t>
            </w:r>
          </w:p>
        </w:tc>
        <w:tc>
          <w:tcPr>
            <w:tcW w:w="2564" w:type="dxa"/>
            <w:tcBorders>
              <w:top w:val="nil"/>
              <w:left w:val="nil"/>
              <w:bottom w:val="nil"/>
            </w:tcBorders>
          </w:tcPr>
          <w:p w14:paraId="4827C6B3" w14:textId="77777777" w:rsidR="006F0F3C" w:rsidRPr="00155BC6" w:rsidRDefault="006F0F3C" w:rsidP="006F0F3C">
            <w:pPr>
              <w:pStyle w:val="appendixctext"/>
              <w:rPr>
                <w:rFonts w:hAnsi="SimSun"/>
                <w:lang w:eastAsia="zh-CN"/>
              </w:rPr>
            </w:pPr>
            <w:r w:rsidRPr="00155BC6">
              <w:rPr>
                <w:rFonts w:hint="eastAsia"/>
                <w:lang w:eastAsia="zh-CN"/>
              </w:rPr>
              <w:t>成立、管理和终止理事会工作组的指导原则</w:t>
            </w:r>
          </w:p>
        </w:tc>
        <w:tc>
          <w:tcPr>
            <w:tcW w:w="1036" w:type="dxa"/>
            <w:tcBorders>
              <w:top w:val="nil"/>
              <w:bottom w:val="nil"/>
              <w:right w:val="nil"/>
            </w:tcBorders>
          </w:tcPr>
          <w:p w14:paraId="4827C6B4" w14:textId="77777777" w:rsidR="006F0F3C" w:rsidRPr="00155BC6" w:rsidRDefault="006F0F3C" w:rsidP="006F0F3C">
            <w:pPr>
              <w:pStyle w:val="appendixctext"/>
            </w:pPr>
            <w:r w:rsidRPr="00155BC6">
              <w:t>R 1333</w:t>
            </w:r>
          </w:p>
        </w:tc>
        <w:tc>
          <w:tcPr>
            <w:tcW w:w="599" w:type="dxa"/>
            <w:tcBorders>
              <w:top w:val="nil"/>
              <w:left w:val="nil"/>
              <w:bottom w:val="nil"/>
            </w:tcBorders>
          </w:tcPr>
          <w:p w14:paraId="4827C6B5" w14:textId="77777777" w:rsidR="006F0F3C" w:rsidRPr="00155BC6" w:rsidRDefault="006F0F3C" w:rsidP="006F0F3C">
            <w:pPr>
              <w:pStyle w:val="appendixctext"/>
            </w:pPr>
            <w:r w:rsidRPr="00155BC6">
              <w:t>3.2</w:t>
            </w:r>
          </w:p>
        </w:tc>
      </w:tr>
      <w:tr w:rsidR="006F0F3C" w:rsidRPr="00155BC6" w14:paraId="4827C6BB" w14:textId="77777777" w:rsidTr="006C740C">
        <w:trPr>
          <w:jc w:val="center"/>
        </w:trPr>
        <w:tc>
          <w:tcPr>
            <w:tcW w:w="303" w:type="dxa"/>
            <w:tcBorders>
              <w:top w:val="nil"/>
              <w:bottom w:val="nil"/>
              <w:right w:val="nil"/>
            </w:tcBorders>
          </w:tcPr>
          <w:p w14:paraId="4827C6B7" w14:textId="77777777" w:rsidR="006F0F3C" w:rsidRPr="00155BC6" w:rsidRDefault="006F0F3C" w:rsidP="006F0F3C">
            <w:pPr>
              <w:pStyle w:val="appendixctext"/>
            </w:pPr>
            <w:r w:rsidRPr="00155BC6">
              <w:t>–</w:t>
            </w:r>
          </w:p>
        </w:tc>
        <w:tc>
          <w:tcPr>
            <w:tcW w:w="2564" w:type="dxa"/>
            <w:tcBorders>
              <w:top w:val="nil"/>
              <w:left w:val="nil"/>
              <w:bottom w:val="nil"/>
            </w:tcBorders>
          </w:tcPr>
          <w:p w14:paraId="4827C6B8" w14:textId="77777777" w:rsidR="006F0F3C" w:rsidRPr="00155BC6" w:rsidRDefault="006F0F3C" w:rsidP="006F0F3C">
            <w:pPr>
              <w:pStyle w:val="appendixctext"/>
              <w:rPr>
                <w:rFonts w:hAnsi="SimSun"/>
              </w:rPr>
            </w:pPr>
            <w:r w:rsidRPr="00155BC6">
              <w:rPr>
                <w:rFonts w:hint="eastAsia"/>
              </w:rPr>
              <w:t>日期和会期</w:t>
            </w:r>
          </w:p>
        </w:tc>
        <w:tc>
          <w:tcPr>
            <w:tcW w:w="1036" w:type="dxa"/>
            <w:tcBorders>
              <w:top w:val="nil"/>
              <w:bottom w:val="nil"/>
              <w:right w:val="nil"/>
            </w:tcBorders>
          </w:tcPr>
          <w:p w14:paraId="4827C6B9" w14:textId="4CDE8EE7" w:rsidR="006F0F3C" w:rsidRPr="00155BC6" w:rsidRDefault="006F0F3C" w:rsidP="006F0F3C">
            <w:pPr>
              <w:pStyle w:val="appendixctext"/>
            </w:pPr>
            <w:r w:rsidRPr="00155BC6">
              <w:t xml:space="preserve">D </w:t>
            </w:r>
            <w:r w:rsidR="008922E2">
              <w:rPr>
                <w:rFonts w:hint="eastAsia"/>
                <w:lang w:eastAsia="zh-CN"/>
              </w:rPr>
              <w:t>6</w:t>
            </w:r>
            <w:r w:rsidR="00D104BC">
              <w:rPr>
                <w:rFonts w:hint="eastAsia"/>
                <w:lang w:eastAsia="zh-CN"/>
              </w:rPr>
              <w:t>25</w:t>
            </w:r>
          </w:p>
        </w:tc>
        <w:tc>
          <w:tcPr>
            <w:tcW w:w="599" w:type="dxa"/>
            <w:tcBorders>
              <w:top w:val="nil"/>
              <w:left w:val="nil"/>
              <w:bottom w:val="nil"/>
            </w:tcBorders>
          </w:tcPr>
          <w:p w14:paraId="4827C6BA" w14:textId="705A4F19" w:rsidR="006F0F3C" w:rsidRPr="00155BC6" w:rsidRDefault="006F0F3C" w:rsidP="006F0F3C">
            <w:pPr>
              <w:pStyle w:val="appendixctext"/>
            </w:pPr>
            <w:r w:rsidRPr="00155BC6">
              <w:t>3.2</w:t>
            </w:r>
          </w:p>
        </w:tc>
      </w:tr>
      <w:tr w:rsidR="006F0F3C" w:rsidRPr="00155BC6" w14:paraId="4827C6C0" w14:textId="77777777" w:rsidTr="00087891">
        <w:trPr>
          <w:jc w:val="center"/>
        </w:trPr>
        <w:tc>
          <w:tcPr>
            <w:tcW w:w="303" w:type="dxa"/>
            <w:tcBorders>
              <w:top w:val="nil"/>
              <w:bottom w:val="nil"/>
              <w:right w:val="nil"/>
            </w:tcBorders>
          </w:tcPr>
          <w:p w14:paraId="4827C6BC" w14:textId="77777777" w:rsidR="006F0F3C" w:rsidRPr="00155BC6" w:rsidRDefault="006F0F3C" w:rsidP="006F0F3C">
            <w:pPr>
              <w:pStyle w:val="appendixctext"/>
            </w:pPr>
            <w:r w:rsidRPr="00155BC6">
              <w:t>–</w:t>
            </w:r>
          </w:p>
        </w:tc>
        <w:tc>
          <w:tcPr>
            <w:tcW w:w="2564" w:type="dxa"/>
            <w:tcBorders>
              <w:top w:val="nil"/>
              <w:left w:val="nil"/>
              <w:bottom w:val="nil"/>
            </w:tcBorders>
          </w:tcPr>
          <w:p w14:paraId="4827C6BD" w14:textId="77777777" w:rsidR="006F0F3C" w:rsidRPr="00155BC6" w:rsidRDefault="006F0F3C" w:rsidP="006F0F3C">
            <w:pPr>
              <w:pStyle w:val="appendixctext"/>
              <w:rPr>
                <w:rFonts w:hAnsi="SimSun"/>
                <w:lang w:eastAsia="zh-CN"/>
              </w:rPr>
            </w:pPr>
            <w:r w:rsidRPr="00155BC6">
              <w:rPr>
                <w:rFonts w:hint="eastAsia"/>
                <w:lang w:eastAsia="zh-CN"/>
              </w:rPr>
              <w:t>应发至国际电联成员国的文件</w:t>
            </w:r>
          </w:p>
        </w:tc>
        <w:tc>
          <w:tcPr>
            <w:tcW w:w="1036" w:type="dxa"/>
            <w:tcBorders>
              <w:top w:val="nil"/>
              <w:bottom w:val="nil"/>
              <w:right w:val="nil"/>
            </w:tcBorders>
          </w:tcPr>
          <w:p w14:paraId="4827C6BE" w14:textId="77777777" w:rsidR="006F0F3C" w:rsidRPr="00155BC6" w:rsidRDefault="006F0F3C" w:rsidP="006F0F3C">
            <w:pPr>
              <w:pStyle w:val="appendixctext"/>
            </w:pPr>
            <w:r w:rsidRPr="00155BC6">
              <w:t>D 8</w:t>
            </w:r>
          </w:p>
        </w:tc>
        <w:tc>
          <w:tcPr>
            <w:tcW w:w="599" w:type="dxa"/>
            <w:tcBorders>
              <w:top w:val="nil"/>
              <w:left w:val="nil"/>
              <w:bottom w:val="nil"/>
            </w:tcBorders>
          </w:tcPr>
          <w:p w14:paraId="4827C6BF" w14:textId="77777777" w:rsidR="006F0F3C" w:rsidRPr="00155BC6" w:rsidRDefault="006F0F3C" w:rsidP="006F0F3C">
            <w:pPr>
              <w:pStyle w:val="appendixctext"/>
            </w:pPr>
            <w:r w:rsidRPr="00155BC6">
              <w:t>3.2</w:t>
            </w:r>
          </w:p>
        </w:tc>
      </w:tr>
      <w:tr w:rsidR="006F0F3C" w:rsidRPr="00155BC6" w14:paraId="4827C6C5" w14:textId="77777777" w:rsidTr="00087891">
        <w:trPr>
          <w:jc w:val="center"/>
        </w:trPr>
        <w:tc>
          <w:tcPr>
            <w:tcW w:w="303" w:type="dxa"/>
            <w:tcBorders>
              <w:top w:val="nil"/>
              <w:bottom w:val="nil"/>
              <w:right w:val="nil"/>
            </w:tcBorders>
          </w:tcPr>
          <w:p w14:paraId="4827C6C1" w14:textId="77777777" w:rsidR="006F0F3C" w:rsidRPr="00155BC6" w:rsidRDefault="006F0F3C" w:rsidP="006F0F3C">
            <w:pPr>
              <w:pStyle w:val="appendixctext"/>
            </w:pPr>
            <w:r w:rsidRPr="00155BC6">
              <w:t>–</w:t>
            </w:r>
          </w:p>
        </w:tc>
        <w:tc>
          <w:tcPr>
            <w:tcW w:w="2564" w:type="dxa"/>
            <w:tcBorders>
              <w:top w:val="nil"/>
              <w:left w:val="nil"/>
              <w:bottom w:val="nil"/>
            </w:tcBorders>
          </w:tcPr>
          <w:p w14:paraId="4827C6C2" w14:textId="77777777" w:rsidR="006F0F3C" w:rsidRPr="00155BC6" w:rsidRDefault="006F0F3C" w:rsidP="006F0F3C">
            <w:pPr>
              <w:pStyle w:val="appendixctext"/>
              <w:rPr>
                <w:rFonts w:hAnsi="SimSun"/>
              </w:rPr>
            </w:pPr>
            <w:r w:rsidRPr="00155BC6">
              <w:rPr>
                <w:rFonts w:hint="eastAsia"/>
              </w:rPr>
              <w:t>参加理事会会议</w:t>
            </w:r>
          </w:p>
        </w:tc>
        <w:tc>
          <w:tcPr>
            <w:tcW w:w="1036" w:type="dxa"/>
            <w:tcBorders>
              <w:top w:val="nil"/>
              <w:bottom w:val="nil"/>
              <w:right w:val="nil"/>
            </w:tcBorders>
          </w:tcPr>
          <w:p w14:paraId="4827C6C3" w14:textId="77777777" w:rsidR="006F0F3C" w:rsidRPr="00155BC6" w:rsidRDefault="006F0F3C" w:rsidP="006F0F3C">
            <w:pPr>
              <w:pStyle w:val="appendixctext"/>
            </w:pPr>
            <w:r w:rsidRPr="00155BC6">
              <w:t>R 2</w:t>
            </w:r>
          </w:p>
        </w:tc>
        <w:tc>
          <w:tcPr>
            <w:tcW w:w="599" w:type="dxa"/>
            <w:tcBorders>
              <w:top w:val="nil"/>
              <w:left w:val="nil"/>
              <w:bottom w:val="nil"/>
            </w:tcBorders>
          </w:tcPr>
          <w:p w14:paraId="4827C6C4" w14:textId="77777777" w:rsidR="006F0F3C" w:rsidRPr="00155BC6" w:rsidRDefault="006F0F3C" w:rsidP="006F0F3C">
            <w:pPr>
              <w:pStyle w:val="appendixctext"/>
            </w:pPr>
            <w:r w:rsidRPr="00155BC6">
              <w:t>3.2</w:t>
            </w:r>
          </w:p>
        </w:tc>
      </w:tr>
      <w:tr w:rsidR="006F0F3C" w:rsidRPr="00155BC6" w14:paraId="4827C6CA" w14:textId="77777777" w:rsidTr="00087891">
        <w:trPr>
          <w:jc w:val="center"/>
        </w:trPr>
        <w:tc>
          <w:tcPr>
            <w:tcW w:w="303" w:type="dxa"/>
            <w:tcBorders>
              <w:top w:val="nil"/>
              <w:bottom w:val="nil"/>
              <w:right w:val="nil"/>
            </w:tcBorders>
          </w:tcPr>
          <w:p w14:paraId="4827C6C6" w14:textId="77777777" w:rsidR="006F0F3C" w:rsidRPr="00155BC6" w:rsidRDefault="006F0F3C" w:rsidP="006F0F3C">
            <w:pPr>
              <w:pStyle w:val="appendixctext"/>
            </w:pPr>
          </w:p>
        </w:tc>
        <w:tc>
          <w:tcPr>
            <w:tcW w:w="2564" w:type="dxa"/>
            <w:tcBorders>
              <w:top w:val="nil"/>
              <w:left w:val="nil"/>
              <w:bottom w:val="nil"/>
            </w:tcBorders>
          </w:tcPr>
          <w:p w14:paraId="4827C6C7" w14:textId="77777777" w:rsidR="006F0F3C" w:rsidRPr="00155BC6" w:rsidRDefault="006F0F3C" w:rsidP="006F0F3C">
            <w:pPr>
              <w:pStyle w:val="appendixctext"/>
              <w:rPr>
                <w:rFonts w:hAnsi="SimSun"/>
              </w:rPr>
            </w:pPr>
          </w:p>
        </w:tc>
        <w:tc>
          <w:tcPr>
            <w:tcW w:w="1036" w:type="dxa"/>
            <w:tcBorders>
              <w:top w:val="nil"/>
              <w:bottom w:val="nil"/>
              <w:right w:val="nil"/>
            </w:tcBorders>
          </w:tcPr>
          <w:p w14:paraId="4827C6C8" w14:textId="77777777" w:rsidR="006F0F3C" w:rsidRPr="00155BC6" w:rsidRDefault="006F0F3C" w:rsidP="006F0F3C">
            <w:pPr>
              <w:pStyle w:val="appendixctext"/>
            </w:pPr>
            <w:r w:rsidRPr="00155BC6">
              <w:rPr>
                <w:rFonts w:hint="eastAsia"/>
              </w:rPr>
              <w:t>D 524</w:t>
            </w:r>
          </w:p>
        </w:tc>
        <w:tc>
          <w:tcPr>
            <w:tcW w:w="599" w:type="dxa"/>
            <w:tcBorders>
              <w:top w:val="nil"/>
              <w:left w:val="nil"/>
              <w:bottom w:val="nil"/>
            </w:tcBorders>
          </w:tcPr>
          <w:p w14:paraId="4827C6C9" w14:textId="77777777" w:rsidR="006F0F3C" w:rsidRPr="00155BC6" w:rsidRDefault="006F0F3C" w:rsidP="006F0F3C">
            <w:pPr>
              <w:pStyle w:val="appendixctext"/>
            </w:pPr>
            <w:r w:rsidRPr="00155BC6">
              <w:t>3.2</w:t>
            </w:r>
          </w:p>
        </w:tc>
      </w:tr>
      <w:tr w:rsidR="006F0F3C" w:rsidRPr="00155BC6" w14:paraId="4827C6CF" w14:textId="77777777" w:rsidTr="00B7110A">
        <w:trPr>
          <w:jc w:val="center"/>
        </w:trPr>
        <w:tc>
          <w:tcPr>
            <w:tcW w:w="303" w:type="dxa"/>
            <w:tcBorders>
              <w:top w:val="nil"/>
              <w:bottom w:val="nil"/>
              <w:right w:val="nil"/>
            </w:tcBorders>
          </w:tcPr>
          <w:p w14:paraId="4827C6CB" w14:textId="77777777" w:rsidR="006F0F3C" w:rsidRPr="00155BC6" w:rsidRDefault="006F0F3C" w:rsidP="006F0F3C">
            <w:pPr>
              <w:pStyle w:val="appendixctext"/>
            </w:pPr>
            <w:r w:rsidRPr="00155BC6">
              <w:t>–</w:t>
            </w:r>
          </w:p>
        </w:tc>
        <w:tc>
          <w:tcPr>
            <w:tcW w:w="2564" w:type="dxa"/>
            <w:tcBorders>
              <w:top w:val="nil"/>
              <w:left w:val="nil"/>
              <w:bottom w:val="nil"/>
            </w:tcBorders>
          </w:tcPr>
          <w:p w14:paraId="4827C6CC" w14:textId="77777777" w:rsidR="006F0F3C" w:rsidRPr="00155BC6" w:rsidRDefault="006F0F3C" w:rsidP="006F0F3C">
            <w:pPr>
              <w:pStyle w:val="appendixctext"/>
              <w:rPr>
                <w:rFonts w:hAnsi="SimSun"/>
              </w:rPr>
            </w:pPr>
            <w:r w:rsidRPr="00155BC6">
              <w:rPr>
                <w:rFonts w:hint="eastAsia"/>
              </w:rPr>
              <w:t>理事会文件的出版</w:t>
            </w:r>
          </w:p>
        </w:tc>
        <w:tc>
          <w:tcPr>
            <w:tcW w:w="1036" w:type="dxa"/>
            <w:tcBorders>
              <w:top w:val="nil"/>
              <w:bottom w:val="nil"/>
              <w:right w:val="nil"/>
            </w:tcBorders>
          </w:tcPr>
          <w:p w14:paraId="4827C6CD" w14:textId="77777777" w:rsidR="006F0F3C" w:rsidRPr="00155BC6" w:rsidRDefault="006F0F3C" w:rsidP="006F0F3C">
            <w:pPr>
              <w:pStyle w:val="appendixctext"/>
            </w:pPr>
            <w:r w:rsidRPr="00155BC6">
              <w:t>D 495</w:t>
            </w:r>
          </w:p>
        </w:tc>
        <w:tc>
          <w:tcPr>
            <w:tcW w:w="599" w:type="dxa"/>
            <w:tcBorders>
              <w:top w:val="nil"/>
              <w:left w:val="nil"/>
              <w:bottom w:val="nil"/>
            </w:tcBorders>
          </w:tcPr>
          <w:p w14:paraId="4827C6CE" w14:textId="77777777" w:rsidR="006F0F3C" w:rsidRPr="00155BC6" w:rsidRDefault="006F0F3C" w:rsidP="006F0F3C">
            <w:pPr>
              <w:pStyle w:val="appendixctext"/>
            </w:pPr>
            <w:r w:rsidRPr="00155BC6">
              <w:t>3.2</w:t>
            </w:r>
          </w:p>
        </w:tc>
      </w:tr>
      <w:tr w:rsidR="006F0F3C" w:rsidRPr="00155BC6" w14:paraId="4827C6D4" w14:textId="77777777" w:rsidTr="00B7110A">
        <w:trPr>
          <w:jc w:val="center"/>
        </w:trPr>
        <w:tc>
          <w:tcPr>
            <w:tcW w:w="303" w:type="dxa"/>
            <w:tcBorders>
              <w:top w:val="nil"/>
              <w:bottom w:val="nil"/>
              <w:right w:val="nil"/>
            </w:tcBorders>
          </w:tcPr>
          <w:p w14:paraId="4827C6D0" w14:textId="77777777" w:rsidR="006F0F3C" w:rsidRPr="00155BC6" w:rsidRDefault="006F0F3C" w:rsidP="006F0F3C">
            <w:pPr>
              <w:pStyle w:val="appendixctext"/>
            </w:pPr>
          </w:p>
        </w:tc>
        <w:tc>
          <w:tcPr>
            <w:tcW w:w="2564" w:type="dxa"/>
            <w:tcBorders>
              <w:top w:val="nil"/>
              <w:left w:val="nil"/>
              <w:bottom w:val="nil"/>
            </w:tcBorders>
          </w:tcPr>
          <w:p w14:paraId="4827C6D1" w14:textId="77777777" w:rsidR="006F0F3C" w:rsidRPr="00155BC6" w:rsidRDefault="006F0F3C" w:rsidP="006F0F3C">
            <w:pPr>
              <w:pStyle w:val="appendixctext"/>
              <w:rPr>
                <w:rFonts w:hAnsi="SimSun"/>
              </w:rPr>
            </w:pPr>
          </w:p>
        </w:tc>
        <w:tc>
          <w:tcPr>
            <w:tcW w:w="1036" w:type="dxa"/>
            <w:tcBorders>
              <w:top w:val="nil"/>
              <w:bottom w:val="nil"/>
              <w:right w:val="nil"/>
            </w:tcBorders>
          </w:tcPr>
          <w:p w14:paraId="4827C6D2" w14:textId="77777777" w:rsidR="006F0F3C" w:rsidRPr="00155BC6" w:rsidRDefault="006F0F3C" w:rsidP="006F0F3C">
            <w:pPr>
              <w:pStyle w:val="appendixctext"/>
            </w:pPr>
            <w:r w:rsidRPr="00155BC6">
              <w:t>D 556</w:t>
            </w:r>
          </w:p>
        </w:tc>
        <w:tc>
          <w:tcPr>
            <w:tcW w:w="599" w:type="dxa"/>
            <w:tcBorders>
              <w:top w:val="nil"/>
              <w:left w:val="nil"/>
              <w:bottom w:val="nil"/>
            </w:tcBorders>
          </w:tcPr>
          <w:p w14:paraId="4827C6D3" w14:textId="77777777" w:rsidR="006F0F3C" w:rsidRPr="00155BC6" w:rsidRDefault="006F0F3C" w:rsidP="006F0F3C">
            <w:pPr>
              <w:pStyle w:val="appendixctext"/>
            </w:pPr>
            <w:r w:rsidRPr="00155BC6">
              <w:t>3.2</w:t>
            </w:r>
          </w:p>
        </w:tc>
      </w:tr>
      <w:tr w:rsidR="006F0F3C" w:rsidRPr="00155BC6" w14:paraId="4827C6D9" w14:textId="77777777" w:rsidTr="00B7110A">
        <w:trPr>
          <w:jc w:val="center"/>
        </w:trPr>
        <w:tc>
          <w:tcPr>
            <w:tcW w:w="303" w:type="dxa"/>
            <w:tcBorders>
              <w:top w:val="nil"/>
              <w:bottom w:val="nil"/>
              <w:right w:val="nil"/>
            </w:tcBorders>
          </w:tcPr>
          <w:p w14:paraId="4827C6D5" w14:textId="77777777" w:rsidR="006F0F3C" w:rsidRPr="00155BC6" w:rsidRDefault="006F0F3C" w:rsidP="006F0F3C">
            <w:pPr>
              <w:pStyle w:val="appendixctext"/>
            </w:pPr>
            <w:r w:rsidRPr="00155BC6">
              <w:t>–</w:t>
            </w:r>
          </w:p>
        </w:tc>
        <w:tc>
          <w:tcPr>
            <w:tcW w:w="2564" w:type="dxa"/>
            <w:tcBorders>
              <w:top w:val="nil"/>
              <w:left w:val="nil"/>
              <w:bottom w:val="nil"/>
            </w:tcBorders>
          </w:tcPr>
          <w:p w14:paraId="4827C6D6" w14:textId="77777777" w:rsidR="006F0F3C" w:rsidRPr="00155BC6" w:rsidRDefault="006F0F3C" w:rsidP="006F0F3C">
            <w:pPr>
              <w:pStyle w:val="appendixctext"/>
              <w:rPr>
                <w:rFonts w:hAnsi="SimSun"/>
              </w:rPr>
            </w:pPr>
            <w:r w:rsidRPr="00155BC6">
              <w:rPr>
                <w:rFonts w:hint="eastAsia"/>
              </w:rPr>
              <w:t>行政管理常设委员会</w:t>
            </w:r>
          </w:p>
        </w:tc>
        <w:tc>
          <w:tcPr>
            <w:tcW w:w="1036" w:type="dxa"/>
            <w:tcBorders>
              <w:top w:val="nil"/>
              <w:bottom w:val="nil"/>
              <w:right w:val="nil"/>
            </w:tcBorders>
          </w:tcPr>
          <w:p w14:paraId="4827C6D7" w14:textId="77777777" w:rsidR="006F0F3C" w:rsidRPr="00155BC6" w:rsidRDefault="006F0F3C" w:rsidP="006F0F3C">
            <w:pPr>
              <w:pStyle w:val="appendixctext"/>
            </w:pPr>
            <w:r w:rsidRPr="00155BC6">
              <w:t>D 540</w:t>
            </w:r>
          </w:p>
        </w:tc>
        <w:tc>
          <w:tcPr>
            <w:tcW w:w="599" w:type="dxa"/>
            <w:tcBorders>
              <w:top w:val="nil"/>
              <w:left w:val="nil"/>
              <w:bottom w:val="nil"/>
            </w:tcBorders>
          </w:tcPr>
          <w:p w14:paraId="4827C6D8" w14:textId="77777777" w:rsidR="006F0F3C" w:rsidRPr="00155BC6" w:rsidRDefault="006F0F3C" w:rsidP="006F0F3C">
            <w:pPr>
              <w:pStyle w:val="appendixctext"/>
            </w:pPr>
            <w:r w:rsidRPr="00155BC6">
              <w:t>3.2</w:t>
            </w:r>
          </w:p>
        </w:tc>
      </w:tr>
      <w:tr w:rsidR="006F0F3C" w:rsidRPr="00155BC6" w14:paraId="4827C6DE" w14:textId="77777777" w:rsidTr="006C740C">
        <w:trPr>
          <w:jc w:val="center"/>
        </w:trPr>
        <w:tc>
          <w:tcPr>
            <w:tcW w:w="303" w:type="dxa"/>
            <w:tcBorders>
              <w:top w:val="nil"/>
              <w:bottom w:val="nil"/>
              <w:right w:val="nil"/>
            </w:tcBorders>
          </w:tcPr>
          <w:p w14:paraId="4827C6DA" w14:textId="77777777" w:rsidR="006F0F3C" w:rsidRPr="00155BC6" w:rsidRDefault="006F0F3C" w:rsidP="006F0F3C">
            <w:pPr>
              <w:pStyle w:val="appendixctext"/>
              <w:rPr>
                <w:szCs w:val="18"/>
              </w:rPr>
            </w:pPr>
            <w:r w:rsidRPr="00155BC6">
              <w:rPr>
                <w:szCs w:val="18"/>
              </w:rPr>
              <w:t>–</w:t>
            </w:r>
          </w:p>
        </w:tc>
        <w:tc>
          <w:tcPr>
            <w:tcW w:w="2564" w:type="dxa"/>
            <w:tcBorders>
              <w:top w:val="nil"/>
              <w:left w:val="nil"/>
              <w:bottom w:val="nil"/>
            </w:tcBorders>
          </w:tcPr>
          <w:p w14:paraId="4827C6DB" w14:textId="77777777" w:rsidR="006F0F3C" w:rsidRPr="00155BC6" w:rsidRDefault="006F0F3C" w:rsidP="006F0F3C">
            <w:pPr>
              <w:pStyle w:val="appendixctext"/>
              <w:rPr>
                <w:rFonts w:hAnsi="SimSun"/>
                <w:lang w:eastAsia="zh-CN"/>
              </w:rPr>
            </w:pPr>
            <w:r w:rsidRPr="00155BC6">
              <w:rPr>
                <w:rFonts w:hint="eastAsia"/>
                <w:lang w:eastAsia="zh-CN"/>
              </w:rPr>
              <w:t>理事的差旅费用和生活补贴</w:t>
            </w:r>
          </w:p>
        </w:tc>
        <w:tc>
          <w:tcPr>
            <w:tcW w:w="1036" w:type="dxa"/>
            <w:tcBorders>
              <w:top w:val="nil"/>
              <w:bottom w:val="nil"/>
              <w:right w:val="nil"/>
            </w:tcBorders>
          </w:tcPr>
          <w:p w14:paraId="4827C6DC" w14:textId="77777777" w:rsidR="006F0F3C" w:rsidRPr="00155BC6" w:rsidRDefault="006F0F3C" w:rsidP="006F0F3C">
            <w:pPr>
              <w:pStyle w:val="appendixctext"/>
            </w:pPr>
            <w:r w:rsidRPr="00155BC6">
              <w:t>R 687</w:t>
            </w:r>
          </w:p>
        </w:tc>
        <w:tc>
          <w:tcPr>
            <w:tcW w:w="599" w:type="dxa"/>
            <w:tcBorders>
              <w:top w:val="nil"/>
              <w:left w:val="nil"/>
              <w:bottom w:val="nil"/>
            </w:tcBorders>
          </w:tcPr>
          <w:p w14:paraId="4827C6DD" w14:textId="77777777" w:rsidR="006F0F3C" w:rsidRPr="00155BC6" w:rsidRDefault="006F0F3C" w:rsidP="006F0F3C">
            <w:pPr>
              <w:pStyle w:val="appendixctext"/>
            </w:pPr>
            <w:r w:rsidRPr="00155BC6">
              <w:t>3.2</w:t>
            </w:r>
          </w:p>
        </w:tc>
      </w:tr>
      <w:tr w:rsidR="006F0F3C" w:rsidRPr="00155BC6" w14:paraId="4827C6E3" w14:textId="77777777" w:rsidTr="006C740C">
        <w:trPr>
          <w:jc w:val="center"/>
        </w:trPr>
        <w:tc>
          <w:tcPr>
            <w:tcW w:w="303" w:type="dxa"/>
            <w:tcBorders>
              <w:top w:val="nil"/>
              <w:bottom w:val="nil"/>
              <w:right w:val="nil"/>
            </w:tcBorders>
          </w:tcPr>
          <w:p w14:paraId="4827C6DF" w14:textId="77777777" w:rsidR="006F0F3C" w:rsidRPr="00155BC6" w:rsidRDefault="006F0F3C" w:rsidP="006F0F3C">
            <w:pPr>
              <w:pStyle w:val="appendixctext"/>
            </w:pPr>
          </w:p>
        </w:tc>
        <w:tc>
          <w:tcPr>
            <w:tcW w:w="2564" w:type="dxa"/>
            <w:tcBorders>
              <w:top w:val="nil"/>
              <w:left w:val="nil"/>
              <w:bottom w:val="nil"/>
            </w:tcBorders>
          </w:tcPr>
          <w:p w14:paraId="4827C6E0" w14:textId="77777777" w:rsidR="006F0F3C" w:rsidRPr="00155BC6" w:rsidRDefault="006F0F3C" w:rsidP="006F0F3C">
            <w:pPr>
              <w:pStyle w:val="appendixctext"/>
              <w:rPr>
                <w:rFonts w:hAnsi="SimSun"/>
              </w:rPr>
            </w:pPr>
          </w:p>
        </w:tc>
        <w:tc>
          <w:tcPr>
            <w:tcW w:w="1036" w:type="dxa"/>
            <w:tcBorders>
              <w:top w:val="nil"/>
              <w:bottom w:val="nil"/>
              <w:right w:val="nil"/>
            </w:tcBorders>
          </w:tcPr>
          <w:p w14:paraId="4827C6E1" w14:textId="77777777" w:rsidR="006F0F3C" w:rsidRPr="00155BC6" w:rsidRDefault="006F0F3C" w:rsidP="006F0F3C">
            <w:pPr>
              <w:pStyle w:val="appendixctext"/>
            </w:pPr>
            <w:r w:rsidRPr="00155BC6">
              <w:t>D 375</w:t>
            </w:r>
          </w:p>
        </w:tc>
        <w:tc>
          <w:tcPr>
            <w:tcW w:w="599" w:type="dxa"/>
            <w:tcBorders>
              <w:top w:val="nil"/>
              <w:left w:val="nil"/>
              <w:bottom w:val="nil"/>
            </w:tcBorders>
          </w:tcPr>
          <w:p w14:paraId="4827C6E2" w14:textId="77777777" w:rsidR="006F0F3C" w:rsidRPr="00155BC6" w:rsidRDefault="006F0F3C" w:rsidP="006F0F3C">
            <w:pPr>
              <w:pStyle w:val="appendixctext"/>
            </w:pPr>
            <w:r w:rsidRPr="00155BC6">
              <w:t>3.2</w:t>
            </w:r>
          </w:p>
        </w:tc>
      </w:tr>
      <w:tr w:rsidR="006F0F3C" w:rsidRPr="00155BC6" w14:paraId="4827C6E8" w14:textId="77777777" w:rsidTr="006C740C">
        <w:trPr>
          <w:jc w:val="center"/>
        </w:trPr>
        <w:tc>
          <w:tcPr>
            <w:tcW w:w="303" w:type="dxa"/>
            <w:tcBorders>
              <w:top w:val="nil"/>
              <w:right w:val="nil"/>
            </w:tcBorders>
          </w:tcPr>
          <w:p w14:paraId="4827C6E4" w14:textId="77777777" w:rsidR="006F0F3C" w:rsidRPr="00155BC6" w:rsidRDefault="006F0F3C" w:rsidP="006F0F3C">
            <w:pPr>
              <w:pStyle w:val="appendixctext"/>
            </w:pPr>
            <w:r w:rsidRPr="00155BC6">
              <w:t>–</w:t>
            </w:r>
          </w:p>
        </w:tc>
        <w:tc>
          <w:tcPr>
            <w:tcW w:w="2564" w:type="dxa"/>
            <w:tcBorders>
              <w:top w:val="nil"/>
              <w:left w:val="nil"/>
            </w:tcBorders>
          </w:tcPr>
          <w:p w14:paraId="4827C6E5" w14:textId="77777777" w:rsidR="006F0F3C" w:rsidRPr="00155BC6" w:rsidRDefault="006F0F3C" w:rsidP="006F0F3C">
            <w:pPr>
              <w:pStyle w:val="appendixctext"/>
              <w:rPr>
                <w:rFonts w:hAnsi="SimSun"/>
              </w:rPr>
            </w:pPr>
            <w:r w:rsidRPr="00155BC6">
              <w:rPr>
                <w:rFonts w:hint="eastAsia"/>
              </w:rPr>
              <w:t>工作</w:t>
            </w:r>
            <w:r w:rsidRPr="00155BC6">
              <w:t>组</w:t>
            </w:r>
          </w:p>
        </w:tc>
        <w:tc>
          <w:tcPr>
            <w:tcW w:w="1036" w:type="dxa"/>
            <w:tcBorders>
              <w:top w:val="nil"/>
              <w:right w:val="nil"/>
            </w:tcBorders>
          </w:tcPr>
          <w:p w14:paraId="4827C6E6" w14:textId="77777777" w:rsidR="006F0F3C" w:rsidRPr="00155BC6" w:rsidRDefault="006F0F3C" w:rsidP="006F0F3C">
            <w:pPr>
              <w:pStyle w:val="appendixctext"/>
            </w:pPr>
            <w:r w:rsidRPr="00155BC6">
              <w:t>D 584</w:t>
            </w:r>
          </w:p>
        </w:tc>
        <w:tc>
          <w:tcPr>
            <w:tcW w:w="599" w:type="dxa"/>
            <w:tcBorders>
              <w:top w:val="nil"/>
              <w:left w:val="nil"/>
            </w:tcBorders>
          </w:tcPr>
          <w:p w14:paraId="4827C6E7" w14:textId="77777777" w:rsidR="006F0F3C" w:rsidRPr="00155BC6" w:rsidRDefault="006F0F3C" w:rsidP="006F0F3C">
            <w:pPr>
              <w:pStyle w:val="appendixctext"/>
            </w:pPr>
            <w:r w:rsidRPr="00155BC6">
              <w:t>3.2</w:t>
            </w:r>
          </w:p>
        </w:tc>
      </w:tr>
      <w:tr w:rsidR="006F0F3C" w:rsidRPr="00155BC6" w14:paraId="4827C6EC" w14:textId="77777777" w:rsidTr="006C740C">
        <w:trPr>
          <w:jc w:val="center"/>
        </w:trPr>
        <w:tc>
          <w:tcPr>
            <w:tcW w:w="2867" w:type="dxa"/>
            <w:gridSpan w:val="2"/>
            <w:tcBorders>
              <w:bottom w:val="nil"/>
              <w:right w:val="single" w:sz="4" w:space="0" w:color="auto"/>
            </w:tcBorders>
          </w:tcPr>
          <w:p w14:paraId="4827C6E9" w14:textId="77777777" w:rsidR="006F0F3C" w:rsidRPr="00155BC6" w:rsidRDefault="006F0F3C" w:rsidP="00FC3DC3">
            <w:pPr>
              <w:pStyle w:val="appendixchead"/>
              <w:spacing w:before="80"/>
            </w:pPr>
            <w:r w:rsidRPr="00155BC6">
              <w:rPr>
                <w:rFonts w:hint="eastAsia"/>
              </w:rPr>
              <w:t>联合国和专门机构</w:t>
            </w:r>
          </w:p>
        </w:tc>
        <w:tc>
          <w:tcPr>
            <w:tcW w:w="1036" w:type="dxa"/>
            <w:tcBorders>
              <w:left w:val="single" w:sz="4" w:space="0" w:color="auto"/>
              <w:bottom w:val="nil"/>
              <w:right w:val="nil"/>
            </w:tcBorders>
          </w:tcPr>
          <w:p w14:paraId="4827C6EA" w14:textId="77777777" w:rsidR="006F0F3C" w:rsidRPr="00155BC6" w:rsidRDefault="006F0F3C" w:rsidP="006F0F3C">
            <w:pPr>
              <w:pStyle w:val="appendixctext"/>
            </w:pPr>
          </w:p>
        </w:tc>
        <w:tc>
          <w:tcPr>
            <w:tcW w:w="599" w:type="dxa"/>
            <w:tcBorders>
              <w:left w:val="nil"/>
              <w:bottom w:val="nil"/>
            </w:tcBorders>
          </w:tcPr>
          <w:p w14:paraId="4827C6EB" w14:textId="77777777" w:rsidR="006F0F3C" w:rsidRPr="00155BC6" w:rsidRDefault="006F0F3C" w:rsidP="006F0F3C">
            <w:pPr>
              <w:pStyle w:val="appendixctext"/>
            </w:pPr>
          </w:p>
        </w:tc>
      </w:tr>
      <w:tr w:rsidR="006F0F3C" w:rsidRPr="00155BC6" w14:paraId="4827C6F1" w14:textId="77777777" w:rsidTr="006C740C">
        <w:trPr>
          <w:jc w:val="center"/>
        </w:trPr>
        <w:tc>
          <w:tcPr>
            <w:tcW w:w="303" w:type="dxa"/>
            <w:tcBorders>
              <w:top w:val="nil"/>
              <w:bottom w:val="nil"/>
              <w:right w:val="nil"/>
            </w:tcBorders>
          </w:tcPr>
          <w:p w14:paraId="4827C6ED" w14:textId="77777777" w:rsidR="006F0F3C" w:rsidRPr="00155BC6" w:rsidRDefault="006F0F3C" w:rsidP="006F0F3C">
            <w:pPr>
              <w:pStyle w:val="appendixctext"/>
            </w:pPr>
            <w:r w:rsidRPr="00155BC6">
              <w:t>–</w:t>
            </w:r>
          </w:p>
        </w:tc>
        <w:tc>
          <w:tcPr>
            <w:tcW w:w="2564" w:type="dxa"/>
            <w:tcBorders>
              <w:top w:val="nil"/>
              <w:left w:val="nil"/>
              <w:bottom w:val="nil"/>
            </w:tcBorders>
          </w:tcPr>
          <w:p w14:paraId="4827C6EE" w14:textId="77777777" w:rsidR="006F0F3C" w:rsidRPr="00155BC6" w:rsidRDefault="006F0F3C" w:rsidP="006F0F3C">
            <w:pPr>
              <w:pStyle w:val="appendixctext"/>
              <w:rPr>
                <w:lang w:eastAsia="zh-CN"/>
              </w:rPr>
            </w:pPr>
            <w:r w:rsidRPr="00155BC6">
              <w:rPr>
                <w:rFonts w:hint="eastAsia"/>
                <w:lang w:eastAsia="zh-CN"/>
              </w:rPr>
              <w:t>有关专门机构行政预算的决议</w:t>
            </w:r>
          </w:p>
        </w:tc>
        <w:tc>
          <w:tcPr>
            <w:tcW w:w="1036" w:type="dxa"/>
            <w:tcBorders>
              <w:top w:val="nil"/>
              <w:bottom w:val="nil"/>
              <w:right w:val="nil"/>
            </w:tcBorders>
          </w:tcPr>
          <w:p w14:paraId="4827C6EF" w14:textId="77777777" w:rsidR="006F0F3C" w:rsidRPr="00155BC6" w:rsidRDefault="006F0F3C" w:rsidP="006F0F3C">
            <w:pPr>
              <w:pStyle w:val="appendixctext"/>
            </w:pPr>
            <w:r w:rsidRPr="00155BC6">
              <w:t>D 43</w:t>
            </w:r>
          </w:p>
        </w:tc>
        <w:tc>
          <w:tcPr>
            <w:tcW w:w="599" w:type="dxa"/>
            <w:tcBorders>
              <w:top w:val="nil"/>
              <w:left w:val="nil"/>
              <w:bottom w:val="nil"/>
            </w:tcBorders>
          </w:tcPr>
          <w:p w14:paraId="4827C6F0" w14:textId="77777777" w:rsidR="006F0F3C" w:rsidRPr="00155BC6" w:rsidRDefault="006F0F3C" w:rsidP="006F0F3C">
            <w:pPr>
              <w:pStyle w:val="appendixctext"/>
            </w:pPr>
            <w:r w:rsidRPr="00155BC6">
              <w:t>6.2</w:t>
            </w:r>
          </w:p>
        </w:tc>
      </w:tr>
      <w:tr w:rsidR="006F0F3C" w:rsidRPr="00155BC6" w14:paraId="4827C6F6" w14:textId="77777777" w:rsidTr="006C740C">
        <w:trPr>
          <w:jc w:val="center"/>
        </w:trPr>
        <w:tc>
          <w:tcPr>
            <w:tcW w:w="303" w:type="dxa"/>
            <w:tcBorders>
              <w:top w:val="nil"/>
              <w:bottom w:val="nil"/>
              <w:right w:val="nil"/>
            </w:tcBorders>
          </w:tcPr>
          <w:p w14:paraId="4827C6F2" w14:textId="77777777" w:rsidR="006F0F3C" w:rsidRPr="00155BC6" w:rsidRDefault="006F0F3C" w:rsidP="006F0F3C">
            <w:pPr>
              <w:pStyle w:val="appendixctext"/>
            </w:pPr>
            <w:r w:rsidRPr="00155BC6">
              <w:t>–</w:t>
            </w:r>
          </w:p>
        </w:tc>
        <w:tc>
          <w:tcPr>
            <w:tcW w:w="2564" w:type="dxa"/>
            <w:tcBorders>
              <w:top w:val="nil"/>
              <w:left w:val="nil"/>
              <w:bottom w:val="nil"/>
            </w:tcBorders>
          </w:tcPr>
          <w:p w14:paraId="4827C6F3" w14:textId="77777777" w:rsidR="006F0F3C" w:rsidRPr="00155BC6" w:rsidRDefault="006F0F3C" w:rsidP="006F0F3C">
            <w:pPr>
              <w:pStyle w:val="appendixctext"/>
              <w:rPr>
                <w:lang w:eastAsia="zh-CN"/>
              </w:rPr>
            </w:pPr>
            <w:r w:rsidRPr="00155BC6">
              <w:rPr>
                <w:rFonts w:hint="eastAsia"/>
                <w:lang w:eastAsia="zh-CN"/>
              </w:rPr>
              <w:t>在会议议程方面的合作</w:t>
            </w:r>
          </w:p>
        </w:tc>
        <w:tc>
          <w:tcPr>
            <w:tcW w:w="1036" w:type="dxa"/>
            <w:tcBorders>
              <w:top w:val="nil"/>
              <w:bottom w:val="nil"/>
              <w:right w:val="nil"/>
            </w:tcBorders>
          </w:tcPr>
          <w:p w14:paraId="4827C6F4" w14:textId="77777777" w:rsidR="006F0F3C" w:rsidRPr="00155BC6" w:rsidRDefault="006F0F3C" w:rsidP="006F0F3C">
            <w:pPr>
              <w:pStyle w:val="appendixctext"/>
            </w:pPr>
            <w:r w:rsidRPr="00155BC6">
              <w:t>D 45</w:t>
            </w:r>
          </w:p>
        </w:tc>
        <w:tc>
          <w:tcPr>
            <w:tcW w:w="599" w:type="dxa"/>
            <w:tcBorders>
              <w:top w:val="nil"/>
              <w:left w:val="nil"/>
              <w:bottom w:val="nil"/>
            </w:tcBorders>
          </w:tcPr>
          <w:p w14:paraId="4827C6F5" w14:textId="77777777" w:rsidR="006F0F3C" w:rsidRPr="00155BC6" w:rsidRDefault="006F0F3C" w:rsidP="006F0F3C">
            <w:pPr>
              <w:pStyle w:val="appendixctext"/>
            </w:pPr>
            <w:r w:rsidRPr="00155BC6">
              <w:t>6.2</w:t>
            </w:r>
          </w:p>
        </w:tc>
      </w:tr>
      <w:tr w:rsidR="006F0F3C" w:rsidRPr="00155BC6" w14:paraId="4827C6FB" w14:textId="77777777" w:rsidTr="006C740C">
        <w:trPr>
          <w:jc w:val="center"/>
        </w:trPr>
        <w:tc>
          <w:tcPr>
            <w:tcW w:w="303" w:type="dxa"/>
            <w:tcBorders>
              <w:top w:val="nil"/>
              <w:bottom w:val="nil"/>
              <w:right w:val="nil"/>
            </w:tcBorders>
          </w:tcPr>
          <w:p w14:paraId="4827C6F7" w14:textId="77777777" w:rsidR="006F0F3C" w:rsidRPr="00155BC6" w:rsidRDefault="006F0F3C" w:rsidP="006F0F3C">
            <w:pPr>
              <w:pStyle w:val="appendixctext"/>
            </w:pPr>
            <w:r w:rsidRPr="00155BC6">
              <w:t>–</w:t>
            </w:r>
          </w:p>
        </w:tc>
        <w:tc>
          <w:tcPr>
            <w:tcW w:w="2564" w:type="dxa"/>
            <w:tcBorders>
              <w:top w:val="nil"/>
              <w:left w:val="nil"/>
              <w:bottom w:val="nil"/>
            </w:tcBorders>
          </w:tcPr>
          <w:p w14:paraId="4827C6F8" w14:textId="77777777" w:rsidR="006F0F3C" w:rsidRPr="00155BC6" w:rsidRDefault="006F0F3C" w:rsidP="006F0F3C">
            <w:pPr>
              <w:pStyle w:val="appendixctext"/>
              <w:rPr>
                <w:lang w:eastAsia="zh-CN"/>
              </w:rPr>
            </w:pPr>
            <w:r w:rsidRPr="00155BC6">
              <w:rPr>
                <w:rFonts w:hint="eastAsia"/>
                <w:lang w:eastAsia="zh-CN"/>
              </w:rPr>
              <w:t>国际电联接受《专门机构特权和豁免公约》</w:t>
            </w:r>
          </w:p>
        </w:tc>
        <w:tc>
          <w:tcPr>
            <w:tcW w:w="1036" w:type="dxa"/>
            <w:tcBorders>
              <w:top w:val="nil"/>
              <w:bottom w:val="nil"/>
              <w:right w:val="nil"/>
            </w:tcBorders>
          </w:tcPr>
          <w:p w14:paraId="4827C6F9" w14:textId="77777777" w:rsidR="006F0F3C" w:rsidRPr="00155BC6" w:rsidRDefault="006F0F3C" w:rsidP="006F0F3C">
            <w:pPr>
              <w:pStyle w:val="appendixctext"/>
            </w:pPr>
            <w:r w:rsidRPr="00155BC6">
              <w:t>R 193</w:t>
            </w:r>
          </w:p>
        </w:tc>
        <w:tc>
          <w:tcPr>
            <w:tcW w:w="599" w:type="dxa"/>
            <w:tcBorders>
              <w:top w:val="nil"/>
              <w:left w:val="nil"/>
              <w:bottom w:val="nil"/>
            </w:tcBorders>
          </w:tcPr>
          <w:p w14:paraId="4827C6FA" w14:textId="77777777" w:rsidR="006F0F3C" w:rsidRPr="00155BC6" w:rsidRDefault="006F0F3C" w:rsidP="006F0F3C">
            <w:pPr>
              <w:pStyle w:val="appendixctext"/>
            </w:pPr>
            <w:r w:rsidRPr="00155BC6">
              <w:t>6.2</w:t>
            </w:r>
          </w:p>
        </w:tc>
      </w:tr>
      <w:tr w:rsidR="006F0F3C" w:rsidRPr="00155BC6" w14:paraId="4827C700" w14:textId="77777777" w:rsidTr="006C740C">
        <w:trPr>
          <w:jc w:val="center"/>
        </w:trPr>
        <w:tc>
          <w:tcPr>
            <w:tcW w:w="303" w:type="dxa"/>
            <w:tcBorders>
              <w:top w:val="nil"/>
              <w:bottom w:val="nil"/>
              <w:right w:val="nil"/>
            </w:tcBorders>
          </w:tcPr>
          <w:p w14:paraId="4827C6FC" w14:textId="77777777" w:rsidR="006F0F3C" w:rsidRPr="00155BC6" w:rsidRDefault="006F0F3C" w:rsidP="006F0F3C">
            <w:pPr>
              <w:pStyle w:val="appendixctext"/>
            </w:pPr>
            <w:r w:rsidRPr="00155BC6">
              <w:t>–</w:t>
            </w:r>
          </w:p>
        </w:tc>
        <w:tc>
          <w:tcPr>
            <w:tcW w:w="2564" w:type="dxa"/>
            <w:tcBorders>
              <w:top w:val="nil"/>
              <w:left w:val="nil"/>
              <w:bottom w:val="nil"/>
            </w:tcBorders>
          </w:tcPr>
          <w:p w14:paraId="4827C6FD" w14:textId="77777777" w:rsidR="006F0F3C" w:rsidRPr="00155BC6" w:rsidRDefault="006F0F3C" w:rsidP="006F0F3C">
            <w:pPr>
              <w:pStyle w:val="appendixctext"/>
            </w:pPr>
            <w:r w:rsidRPr="00155BC6">
              <w:rPr>
                <w:rFonts w:hint="eastAsia"/>
              </w:rPr>
              <w:t>文件交换</w:t>
            </w:r>
          </w:p>
        </w:tc>
        <w:tc>
          <w:tcPr>
            <w:tcW w:w="1036" w:type="dxa"/>
            <w:tcBorders>
              <w:top w:val="nil"/>
              <w:bottom w:val="nil"/>
              <w:right w:val="nil"/>
            </w:tcBorders>
          </w:tcPr>
          <w:p w14:paraId="4827C6FE" w14:textId="77777777" w:rsidR="006F0F3C" w:rsidRPr="00155BC6" w:rsidRDefault="006F0F3C" w:rsidP="006F0F3C">
            <w:pPr>
              <w:pStyle w:val="appendixctext"/>
            </w:pPr>
            <w:r w:rsidRPr="00155BC6">
              <w:t>R 101</w:t>
            </w:r>
          </w:p>
        </w:tc>
        <w:tc>
          <w:tcPr>
            <w:tcW w:w="599" w:type="dxa"/>
            <w:tcBorders>
              <w:top w:val="nil"/>
              <w:left w:val="nil"/>
              <w:bottom w:val="nil"/>
            </w:tcBorders>
          </w:tcPr>
          <w:p w14:paraId="4827C6FF" w14:textId="77777777" w:rsidR="006F0F3C" w:rsidRPr="00155BC6" w:rsidRDefault="006F0F3C" w:rsidP="006F0F3C">
            <w:pPr>
              <w:pStyle w:val="appendixctext"/>
            </w:pPr>
            <w:r w:rsidRPr="00155BC6">
              <w:t>6.2</w:t>
            </w:r>
          </w:p>
        </w:tc>
      </w:tr>
      <w:tr w:rsidR="006F0F3C" w:rsidRPr="00155BC6" w14:paraId="4827C705" w14:textId="77777777" w:rsidTr="006C740C">
        <w:trPr>
          <w:jc w:val="center"/>
        </w:trPr>
        <w:tc>
          <w:tcPr>
            <w:tcW w:w="303" w:type="dxa"/>
            <w:tcBorders>
              <w:top w:val="nil"/>
              <w:bottom w:val="nil"/>
              <w:right w:val="nil"/>
            </w:tcBorders>
          </w:tcPr>
          <w:p w14:paraId="4827C701" w14:textId="77777777" w:rsidR="006F0F3C" w:rsidRPr="00155BC6" w:rsidRDefault="006F0F3C" w:rsidP="006F0F3C">
            <w:pPr>
              <w:pStyle w:val="appendixctext"/>
            </w:pPr>
            <w:r w:rsidRPr="00155BC6">
              <w:t>–</w:t>
            </w:r>
          </w:p>
        </w:tc>
        <w:tc>
          <w:tcPr>
            <w:tcW w:w="2564" w:type="dxa"/>
            <w:tcBorders>
              <w:top w:val="nil"/>
              <w:left w:val="nil"/>
              <w:bottom w:val="nil"/>
            </w:tcBorders>
          </w:tcPr>
          <w:p w14:paraId="4827C702" w14:textId="77777777" w:rsidR="006F0F3C" w:rsidRPr="00155BC6" w:rsidRDefault="006F0F3C" w:rsidP="006F0F3C">
            <w:pPr>
              <w:pStyle w:val="appendixctext"/>
            </w:pPr>
            <w:r w:rsidRPr="00155BC6">
              <w:rPr>
                <w:rFonts w:hint="eastAsia"/>
              </w:rPr>
              <w:t>交换统计数据</w:t>
            </w:r>
          </w:p>
        </w:tc>
        <w:tc>
          <w:tcPr>
            <w:tcW w:w="1036" w:type="dxa"/>
            <w:tcBorders>
              <w:top w:val="nil"/>
              <w:bottom w:val="nil"/>
              <w:right w:val="nil"/>
            </w:tcBorders>
          </w:tcPr>
          <w:p w14:paraId="4827C703" w14:textId="77777777" w:rsidR="006F0F3C" w:rsidRPr="00155BC6" w:rsidRDefault="006F0F3C" w:rsidP="006F0F3C">
            <w:pPr>
              <w:pStyle w:val="appendixctext"/>
            </w:pPr>
            <w:r w:rsidRPr="00155BC6">
              <w:t>R 102</w:t>
            </w:r>
          </w:p>
        </w:tc>
        <w:tc>
          <w:tcPr>
            <w:tcW w:w="599" w:type="dxa"/>
            <w:tcBorders>
              <w:top w:val="nil"/>
              <w:left w:val="nil"/>
              <w:bottom w:val="nil"/>
            </w:tcBorders>
          </w:tcPr>
          <w:p w14:paraId="4827C704" w14:textId="77777777" w:rsidR="006F0F3C" w:rsidRPr="00155BC6" w:rsidRDefault="006F0F3C" w:rsidP="006F0F3C">
            <w:pPr>
              <w:pStyle w:val="appendixctext"/>
            </w:pPr>
            <w:r w:rsidRPr="00155BC6">
              <w:t>6.2</w:t>
            </w:r>
          </w:p>
        </w:tc>
      </w:tr>
      <w:tr w:rsidR="006F0F3C" w:rsidRPr="00155BC6" w14:paraId="4827C70A" w14:textId="77777777" w:rsidTr="006C740C">
        <w:trPr>
          <w:jc w:val="center"/>
        </w:trPr>
        <w:tc>
          <w:tcPr>
            <w:tcW w:w="303" w:type="dxa"/>
            <w:tcBorders>
              <w:top w:val="nil"/>
              <w:bottom w:val="single" w:sz="4" w:space="0" w:color="auto"/>
              <w:right w:val="nil"/>
            </w:tcBorders>
          </w:tcPr>
          <w:p w14:paraId="4827C706" w14:textId="77777777" w:rsidR="006F0F3C" w:rsidRPr="00155BC6" w:rsidRDefault="006F0F3C" w:rsidP="006F0F3C">
            <w:pPr>
              <w:pStyle w:val="appendixctext"/>
            </w:pPr>
            <w:r w:rsidRPr="00155BC6">
              <w:t>–</w:t>
            </w:r>
          </w:p>
        </w:tc>
        <w:tc>
          <w:tcPr>
            <w:tcW w:w="2564" w:type="dxa"/>
            <w:tcBorders>
              <w:top w:val="nil"/>
              <w:left w:val="nil"/>
              <w:bottom w:val="single" w:sz="4" w:space="0" w:color="auto"/>
            </w:tcBorders>
          </w:tcPr>
          <w:p w14:paraId="4827C707" w14:textId="77777777" w:rsidR="006F0F3C" w:rsidRPr="00155BC6" w:rsidRDefault="006F0F3C" w:rsidP="006F0F3C">
            <w:pPr>
              <w:pStyle w:val="appendixctext"/>
            </w:pPr>
            <w:r w:rsidRPr="00155BC6">
              <w:rPr>
                <w:rFonts w:hint="eastAsia"/>
              </w:rPr>
              <w:t>联合国大会的决议</w:t>
            </w:r>
          </w:p>
        </w:tc>
        <w:tc>
          <w:tcPr>
            <w:tcW w:w="1036" w:type="dxa"/>
            <w:tcBorders>
              <w:top w:val="nil"/>
              <w:bottom w:val="single" w:sz="4" w:space="0" w:color="auto"/>
              <w:right w:val="nil"/>
            </w:tcBorders>
          </w:tcPr>
          <w:p w14:paraId="4827C708" w14:textId="77777777" w:rsidR="006F0F3C" w:rsidRPr="00155BC6" w:rsidRDefault="006F0F3C" w:rsidP="006F0F3C">
            <w:pPr>
              <w:pStyle w:val="appendixctext"/>
            </w:pPr>
            <w:r w:rsidRPr="00155BC6">
              <w:t>R 659</w:t>
            </w:r>
          </w:p>
        </w:tc>
        <w:tc>
          <w:tcPr>
            <w:tcW w:w="599" w:type="dxa"/>
            <w:tcBorders>
              <w:top w:val="nil"/>
              <w:left w:val="nil"/>
              <w:bottom w:val="single" w:sz="4" w:space="0" w:color="auto"/>
            </w:tcBorders>
          </w:tcPr>
          <w:p w14:paraId="4827C709" w14:textId="77777777" w:rsidR="006F0F3C" w:rsidRPr="00155BC6" w:rsidRDefault="006F0F3C" w:rsidP="00F722A3">
            <w:pPr>
              <w:pStyle w:val="appendixctext"/>
            </w:pPr>
            <w:r w:rsidRPr="00155BC6">
              <w:t>6.</w:t>
            </w:r>
            <w:r w:rsidR="00F722A3">
              <w:t>2</w:t>
            </w:r>
          </w:p>
        </w:tc>
      </w:tr>
      <w:tr w:rsidR="006F0F3C" w:rsidRPr="00155BC6" w14:paraId="4827C70F" w14:textId="77777777" w:rsidTr="006C740C">
        <w:trPr>
          <w:jc w:val="center"/>
        </w:trPr>
        <w:tc>
          <w:tcPr>
            <w:tcW w:w="303" w:type="dxa"/>
            <w:tcBorders>
              <w:top w:val="single" w:sz="4" w:space="0" w:color="auto"/>
              <w:bottom w:val="nil"/>
              <w:right w:val="nil"/>
            </w:tcBorders>
          </w:tcPr>
          <w:p w14:paraId="4827C70B" w14:textId="77777777" w:rsidR="006F0F3C" w:rsidRPr="00155BC6" w:rsidRDefault="00B95283" w:rsidP="00B95283">
            <w:pPr>
              <w:pStyle w:val="appendixctext"/>
              <w:keepNext/>
              <w:keepLines/>
            </w:pPr>
            <w:r w:rsidRPr="00155BC6">
              <w:t>–</w:t>
            </w:r>
          </w:p>
        </w:tc>
        <w:tc>
          <w:tcPr>
            <w:tcW w:w="2564" w:type="dxa"/>
            <w:tcBorders>
              <w:top w:val="single" w:sz="4" w:space="0" w:color="auto"/>
              <w:left w:val="nil"/>
              <w:bottom w:val="nil"/>
            </w:tcBorders>
          </w:tcPr>
          <w:p w14:paraId="4827C70C" w14:textId="77777777" w:rsidR="006F0F3C" w:rsidRPr="00155BC6" w:rsidRDefault="00B95283" w:rsidP="006F0F3C">
            <w:pPr>
              <w:pStyle w:val="appendixctext"/>
              <w:rPr>
                <w:lang w:eastAsia="zh-CN"/>
              </w:rPr>
            </w:pPr>
            <w:r w:rsidRPr="00155BC6">
              <w:rPr>
                <w:rFonts w:hint="eastAsia"/>
                <w:lang w:val="fr-FR" w:eastAsia="zh-CN"/>
              </w:rPr>
              <w:t>国际公务员制度委员会</w:t>
            </w:r>
          </w:p>
        </w:tc>
        <w:tc>
          <w:tcPr>
            <w:tcW w:w="1036" w:type="dxa"/>
            <w:tcBorders>
              <w:top w:val="single" w:sz="4" w:space="0" w:color="auto"/>
              <w:bottom w:val="nil"/>
              <w:right w:val="nil"/>
            </w:tcBorders>
          </w:tcPr>
          <w:p w14:paraId="4827C70D" w14:textId="77777777" w:rsidR="006F0F3C" w:rsidRPr="00155BC6" w:rsidRDefault="006F0F3C" w:rsidP="006F0F3C">
            <w:pPr>
              <w:pStyle w:val="appendixctext"/>
            </w:pPr>
            <w:r w:rsidRPr="00155BC6">
              <w:t>R 708</w:t>
            </w:r>
          </w:p>
        </w:tc>
        <w:tc>
          <w:tcPr>
            <w:tcW w:w="599" w:type="dxa"/>
            <w:tcBorders>
              <w:top w:val="single" w:sz="4" w:space="0" w:color="auto"/>
              <w:left w:val="nil"/>
              <w:bottom w:val="nil"/>
            </w:tcBorders>
          </w:tcPr>
          <w:p w14:paraId="4827C70E" w14:textId="77777777" w:rsidR="006F0F3C" w:rsidRPr="00155BC6" w:rsidRDefault="006F0F3C" w:rsidP="006F0F3C">
            <w:pPr>
              <w:pStyle w:val="appendixctext"/>
            </w:pPr>
            <w:r w:rsidRPr="00155BC6">
              <w:t>6.2</w:t>
            </w:r>
          </w:p>
        </w:tc>
      </w:tr>
      <w:tr w:rsidR="006F0F3C" w:rsidRPr="00155BC6" w14:paraId="4827C714" w14:textId="77777777" w:rsidTr="006C740C">
        <w:trPr>
          <w:jc w:val="center"/>
        </w:trPr>
        <w:tc>
          <w:tcPr>
            <w:tcW w:w="303" w:type="dxa"/>
            <w:tcBorders>
              <w:top w:val="nil"/>
              <w:bottom w:val="nil"/>
              <w:right w:val="nil"/>
            </w:tcBorders>
          </w:tcPr>
          <w:p w14:paraId="4827C710" w14:textId="77777777" w:rsidR="006F0F3C" w:rsidRPr="00155BC6" w:rsidRDefault="006F0F3C" w:rsidP="006F0F3C">
            <w:pPr>
              <w:pStyle w:val="appendixctext"/>
            </w:pPr>
          </w:p>
        </w:tc>
        <w:tc>
          <w:tcPr>
            <w:tcW w:w="2564" w:type="dxa"/>
            <w:tcBorders>
              <w:top w:val="nil"/>
              <w:left w:val="nil"/>
              <w:bottom w:val="nil"/>
            </w:tcBorders>
          </w:tcPr>
          <w:p w14:paraId="4827C711" w14:textId="77777777" w:rsidR="006F0F3C" w:rsidRPr="00155BC6" w:rsidRDefault="006F0F3C" w:rsidP="006F0F3C">
            <w:pPr>
              <w:pStyle w:val="appendixctext"/>
              <w:rPr>
                <w:lang w:eastAsia="zh-CN"/>
              </w:rPr>
            </w:pPr>
          </w:p>
        </w:tc>
        <w:tc>
          <w:tcPr>
            <w:tcW w:w="1036" w:type="dxa"/>
            <w:tcBorders>
              <w:top w:val="nil"/>
              <w:bottom w:val="nil"/>
              <w:right w:val="nil"/>
            </w:tcBorders>
          </w:tcPr>
          <w:p w14:paraId="4827C712" w14:textId="77777777" w:rsidR="006F0F3C" w:rsidRPr="00155BC6" w:rsidRDefault="006F0F3C" w:rsidP="006F0F3C">
            <w:pPr>
              <w:pStyle w:val="appendixctext"/>
            </w:pPr>
            <w:r w:rsidRPr="00155BC6">
              <w:rPr>
                <w:lang w:val="fr-FR"/>
              </w:rPr>
              <w:t>R 747</w:t>
            </w:r>
          </w:p>
        </w:tc>
        <w:tc>
          <w:tcPr>
            <w:tcW w:w="599" w:type="dxa"/>
            <w:tcBorders>
              <w:top w:val="nil"/>
              <w:left w:val="nil"/>
              <w:bottom w:val="nil"/>
            </w:tcBorders>
          </w:tcPr>
          <w:p w14:paraId="4827C713" w14:textId="77777777" w:rsidR="006F0F3C" w:rsidRPr="00155BC6" w:rsidRDefault="006F0F3C" w:rsidP="006F0F3C">
            <w:pPr>
              <w:pStyle w:val="appendixctext"/>
            </w:pPr>
            <w:r w:rsidRPr="00155BC6">
              <w:rPr>
                <w:lang w:val="fr-FR"/>
              </w:rPr>
              <w:t>2.4</w:t>
            </w:r>
          </w:p>
        </w:tc>
      </w:tr>
      <w:tr w:rsidR="006F0F3C" w:rsidRPr="00155BC6" w14:paraId="4827C719" w14:textId="77777777" w:rsidTr="006C740C">
        <w:trPr>
          <w:jc w:val="center"/>
        </w:trPr>
        <w:tc>
          <w:tcPr>
            <w:tcW w:w="303" w:type="dxa"/>
            <w:tcBorders>
              <w:top w:val="nil"/>
              <w:bottom w:val="nil"/>
              <w:right w:val="nil"/>
            </w:tcBorders>
          </w:tcPr>
          <w:p w14:paraId="4827C715" w14:textId="77777777" w:rsidR="006F0F3C" w:rsidRPr="00155BC6" w:rsidRDefault="006F0F3C" w:rsidP="006F0F3C">
            <w:pPr>
              <w:pStyle w:val="appendixctext"/>
            </w:pPr>
            <w:r w:rsidRPr="00155BC6">
              <w:t>–</w:t>
            </w:r>
          </w:p>
        </w:tc>
        <w:tc>
          <w:tcPr>
            <w:tcW w:w="2564" w:type="dxa"/>
            <w:tcBorders>
              <w:top w:val="nil"/>
              <w:left w:val="nil"/>
              <w:bottom w:val="nil"/>
            </w:tcBorders>
          </w:tcPr>
          <w:p w14:paraId="4827C716" w14:textId="77777777" w:rsidR="006F0F3C" w:rsidRPr="00155BC6" w:rsidRDefault="006F0F3C" w:rsidP="006F0F3C">
            <w:pPr>
              <w:pStyle w:val="appendixctext"/>
            </w:pPr>
            <w:r w:rsidRPr="00155BC6">
              <w:rPr>
                <w:rFonts w:hint="eastAsia"/>
                <w:lang w:val="fr-FR"/>
              </w:rPr>
              <w:t>联合国通行证</w:t>
            </w:r>
          </w:p>
        </w:tc>
        <w:tc>
          <w:tcPr>
            <w:tcW w:w="1036" w:type="dxa"/>
            <w:tcBorders>
              <w:top w:val="nil"/>
              <w:bottom w:val="nil"/>
              <w:right w:val="nil"/>
            </w:tcBorders>
          </w:tcPr>
          <w:p w14:paraId="4827C717" w14:textId="77777777" w:rsidR="006F0F3C" w:rsidRPr="00155BC6" w:rsidRDefault="006F0F3C" w:rsidP="006F0F3C">
            <w:pPr>
              <w:pStyle w:val="appendixctext"/>
            </w:pPr>
            <w:r w:rsidRPr="00155BC6">
              <w:rPr>
                <w:lang w:val="fr-FR"/>
              </w:rPr>
              <w:t>R 105</w:t>
            </w:r>
          </w:p>
        </w:tc>
        <w:tc>
          <w:tcPr>
            <w:tcW w:w="599" w:type="dxa"/>
            <w:tcBorders>
              <w:top w:val="nil"/>
              <w:left w:val="nil"/>
              <w:bottom w:val="nil"/>
            </w:tcBorders>
          </w:tcPr>
          <w:p w14:paraId="4827C718" w14:textId="77777777" w:rsidR="006F0F3C" w:rsidRPr="00155BC6" w:rsidRDefault="006F0F3C" w:rsidP="006F0F3C">
            <w:pPr>
              <w:pStyle w:val="appendixctext"/>
            </w:pPr>
            <w:r w:rsidRPr="00155BC6">
              <w:rPr>
                <w:lang w:val="fr-FR"/>
              </w:rPr>
              <w:t>2.4</w:t>
            </w:r>
          </w:p>
        </w:tc>
      </w:tr>
      <w:tr w:rsidR="006F0F3C" w:rsidRPr="00155BC6" w14:paraId="4827C71E" w14:textId="77777777" w:rsidTr="006C740C">
        <w:trPr>
          <w:jc w:val="center"/>
        </w:trPr>
        <w:tc>
          <w:tcPr>
            <w:tcW w:w="303" w:type="dxa"/>
            <w:tcBorders>
              <w:top w:val="nil"/>
              <w:bottom w:val="nil"/>
              <w:right w:val="nil"/>
            </w:tcBorders>
          </w:tcPr>
          <w:p w14:paraId="4827C71A" w14:textId="77777777" w:rsidR="006F0F3C" w:rsidRPr="00155BC6" w:rsidRDefault="006F0F3C" w:rsidP="00E61232">
            <w:pPr>
              <w:pStyle w:val="appendixctext"/>
            </w:pPr>
            <w:r w:rsidRPr="00155BC6">
              <w:t>–</w:t>
            </w:r>
          </w:p>
        </w:tc>
        <w:tc>
          <w:tcPr>
            <w:tcW w:w="2564" w:type="dxa"/>
            <w:tcBorders>
              <w:top w:val="nil"/>
              <w:left w:val="nil"/>
              <w:bottom w:val="nil"/>
            </w:tcBorders>
          </w:tcPr>
          <w:p w14:paraId="4827C71B" w14:textId="77777777" w:rsidR="006F0F3C" w:rsidRPr="00155BC6" w:rsidRDefault="006F0F3C" w:rsidP="006F0F3C">
            <w:pPr>
              <w:pStyle w:val="appendixctext"/>
              <w:rPr>
                <w:lang w:eastAsia="zh-CN"/>
              </w:rPr>
            </w:pPr>
            <w:r w:rsidRPr="00155BC6">
              <w:rPr>
                <w:rFonts w:hint="eastAsia"/>
                <w:lang w:eastAsia="zh-CN"/>
              </w:rPr>
              <w:t>国家授权与国际授权之间的</w:t>
            </w:r>
            <w:r>
              <w:rPr>
                <w:lang w:eastAsia="zh-CN"/>
              </w:rPr>
              <w:br/>
            </w:r>
            <w:r w:rsidRPr="00155BC6">
              <w:rPr>
                <w:rFonts w:hint="eastAsia"/>
                <w:lang w:eastAsia="zh-CN"/>
              </w:rPr>
              <w:t>关系</w:t>
            </w:r>
          </w:p>
        </w:tc>
        <w:tc>
          <w:tcPr>
            <w:tcW w:w="1036" w:type="dxa"/>
            <w:tcBorders>
              <w:top w:val="nil"/>
              <w:bottom w:val="nil"/>
              <w:right w:val="nil"/>
            </w:tcBorders>
          </w:tcPr>
          <w:p w14:paraId="4827C71C" w14:textId="77777777" w:rsidR="006F0F3C" w:rsidRPr="00155BC6" w:rsidRDefault="006F0F3C" w:rsidP="006F0F3C">
            <w:pPr>
              <w:pStyle w:val="appendixctext"/>
            </w:pPr>
            <w:r w:rsidRPr="00155BC6">
              <w:t>R 126</w:t>
            </w:r>
          </w:p>
        </w:tc>
        <w:tc>
          <w:tcPr>
            <w:tcW w:w="599" w:type="dxa"/>
            <w:tcBorders>
              <w:top w:val="nil"/>
              <w:left w:val="nil"/>
              <w:bottom w:val="nil"/>
            </w:tcBorders>
          </w:tcPr>
          <w:p w14:paraId="4827C71D" w14:textId="77777777" w:rsidR="006F0F3C" w:rsidRPr="00155BC6" w:rsidRDefault="006F0F3C" w:rsidP="006F0F3C">
            <w:pPr>
              <w:pStyle w:val="appendixctext"/>
            </w:pPr>
            <w:r w:rsidRPr="00155BC6">
              <w:t>6.2</w:t>
            </w:r>
          </w:p>
        </w:tc>
      </w:tr>
      <w:tr w:rsidR="006F0F3C" w:rsidRPr="00155BC6" w14:paraId="4827C723" w14:textId="77777777" w:rsidTr="006C740C">
        <w:trPr>
          <w:jc w:val="center"/>
        </w:trPr>
        <w:tc>
          <w:tcPr>
            <w:tcW w:w="303" w:type="dxa"/>
            <w:tcBorders>
              <w:top w:val="nil"/>
              <w:right w:val="nil"/>
            </w:tcBorders>
          </w:tcPr>
          <w:p w14:paraId="4827C71F" w14:textId="77777777" w:rsidR="006F0F3C" w:rsidRPr="00155BC6" w:rsidRDefault="006F0F3C" w:rsidP="006F0F3C">
            <w:pPr>
              <w:pStyle w:val="appendixctext"/>
            </w:pPr>
            <w:r w:rsidRPr="00155BC6">
              <w:t>–</w:t>
            </w:r>
          </w:p>
        </w:tc>
        <w:tc>
          <w:tcPr>
            <w:tcW w:w="2564" w:type="dxa"/>
            <w:tcBorders>
              <w:top w:val="nil"/>
              <w:left w:val="nil"/>
            </w:tcBorders>
          </w:tcPr>
          <w:p w14:paraId="4827C720" w14:textId="77777777" w:rsidR="006F0F3C" w:rsidRPr="00155BC6" w:rsidRDefault="006F0F3C" w:rsidP="006F0F3C">
            <w:pPr>
              <w:pStyle w:val="appendixctext"/>
              <w:tabs>
                <w:tab w:val="clear" w:pos="1758"/>
              </w:tabs>
              <w:rPr>
                <w:lang w:eastAsia="zh-CN"/>
              </w:rPr>
            </w:pPr>
            <w:r w:rsidRPr="00155BC6">
              <w:rPr>
                <w:rFonts w:hint="eastAsia"/>
                <w:lang w:eastAsia="zh-CN"/>
              </w:rPr>
              <w:t>联合国可持续发展会议</w:t>
            </w:r>
            <w:r>
              <w:rPr>
                <w:lang w:eastAsia="zh-CN"/>
              </w:rPr>
              <w:br/>
            </w:r>
            <w:r w:rsidRPr="00155BC6">
              <w:rPr>
                <w:rFonts w:hint="eastAsia"/>
                <w:lang w:eastAsia="zh-CN"/>
              </w:rPr>
              <w:t>（</w:t>
            </w:r>
            <w:r w:rsidRPr="00155BC6">
              <w:rPr>
                <w:rFonts w:hint="eastAsia"/>
                <w:lang w:eastAsia="zh-CN"/>
              </w:rPr>
              <w:t>Rio+20</w:t>
            </w:r>
            <w:r w:rsidRPr="00155BC6">
              <w:rPr>
                <w:rFonts w:hint="eastAsia"/>
                <w:lang w:eastAsia="zh-CN"/>
              </w:rPr>
              <w:t>）</w:t>
            </w:r>
          </w:p>
        </w:tc>
        <w:tc>
          <w:tcPr>
            <w:tcW w:w="1036" w:type="dxa"/>
            <w:tcBorders>
              <w:top w:val="nil"/>
              <w:right w:val="nil"/>
            </w:tcBorders>
          </w:tcPr>
          <w:p w14:paraId="4827C721" w14:textId="77777777" w:rsidR="006F0F3C" w:rsidRPr="00155BC6" w:rsidRDefault="006F0F3C" w:rsidP="006F0F3C">
            <w:pPr>
              <w:pStyle w:val="appendixctext"/>
            </w:pPr>
            <w:r w:rsidRPr="00155BC6">
              <w:t>R 1353</w:t>
            </w:r>
          </w:p>
        </w:tc>
        <w:tc>
          <w:tcPr>
            <w:tcW w:w="599" w:type="dxa"/>
            <w:tcBorders>
              <w:top w:val="nil"/>
              <w:left w:val="nil"/>
            </w:tcBorders>
          </w:tcPr>
          <w:p w14:paraId="4827C722" w14:textId="77777777" w:rsidR="006F0F3C" w:rsidRPr="00155BC6" w:rsidRDefault="006F0F3C" w:rsidP="006F0F3C">
            <w:pPr>
              <w:pStyle w:val="appendixctext"/>
            </w:pPr>
            <w:r w:rsidRPr="00155BC6">
              <w:t>6.2</w:t>
            </w:r>
          </w:p>
        </w:tc>
      </w:tr>
      <w:tr w:rsidR="00AF2084" w:rsidRPr="00155BC6" w14:paraId="4827C727" w14:textId="77777777" w:rsidTr="006C740C">
        <w:trPr>
          <w:jc w:val="center"/>
        </w:trPr>
        <w:tc>
          <w:tcPr>
            <w:tcW w:w="2867" w:type="dxa"/>
            <w:gridSpan w:val="2"/>
            <w:tcBorders>
              <w:top w:val="nil"/>
              <w:right w:val="single" w:sz="4" w:space="0" w:color="auto"/>
            </w:tcBorders>
          </w:tcPr>
          <w:p w14:paraId="4827C724" w14:textId="77777777" w:rsidR="00AF2084" w:rsidRPr="00155BC6" w:rsidRDefault="00AF2084" w:rsidP="006F0F3C">
            <w:pPr>
              <w:pStyle w:val="appendixchead"/>
              <w:rPr>
                <w:lang w:eastAsia="zh-CN"/>
              </w:rPr>
            </w:pPr>
            <w:r>
              <w:rPr>
                <w:lang w:eastAsia="zh-CN"/>
              </w:rPr>
              <w:t>免费电话号码（</w:t>
            </w:r>
            <w:r>
              <w:rPr>
                <w:lang w:eastAsia="zh-CN"/>
              </w:rPr>
              <w:t>UIFN</w:t>
            </w:r>
            <w:r>
              <w:rPr>
                <w:rFonts w:hint="eastAsia"/>
                <w:lang w:eastAsia="zh-CN"/>
              </w:rPr>
              <w:t>）登记</w:t>
            </w:r>
          </w:p>
        </w:tc>
        <w:tc>
          <w:tcPr>
            <w:tcW w:w="1036" w:type="dxa"/>
            <w:tcBorders>
              <w:top w:val="nil"/>
              <w:left w:val="single" w:sz="4" w:space="0" w:color="auto"/>
              <w:right w:val="nil"/>
            </w:tcBorders>
          </w:tcPr>
          <w:p w14:paraId="4827C725" w14:textId="77777777" w:rsidR="00AF2084" w:rsidRPr="00155BC6" w:rsidRDefault="00AF2084" w:rsidP="006F0F3C">
            <w:pPr>
              <w:pStyle w:val="appendixctext"/>
              <w:spacing w:before="120"/>
              <w:rPr>
                <w:lang w:eastAsia="zh-CN"/>
              </w:rPr>
            </w:pPr>
            <w:r>
              <w:t xml:space="preserve">D 600 </w:t>
            </w:r>
          </w:p>
        </w:tc>
        <w:tc>
          <w:tcPr>
            <w:tcW w:w="599" w:type="dxa"/>
            <w:tcBorders>
              <w:top w:val="nil"/>
              <w:left w:val="nil"/>
            </w:tcBorders>
          </w:tcPr>
          <w:p w14:paraId="4827C726" w14:textId="77777777" w:rsidR="00AF2084" w:rsidRPr="00155BC6" w:rsidRDefault="00AF2084" w:rsidP="006F0F3C">
            <w:pPr>
              <w:pStyle w:val="appendixctext"/>
              <w:spacing w:before="120"/>
              <w:rPr>
                <w:lang w:eastAsia="zh-CN"/>
              </w:rPr>
            </w:pPr>
            <w:r>
              <w:rPr>
                <w:lang w:eastAsia="zh-CN"/>
              </w:rPr>
              <w:t>5.3</w:t>
            </w:r>
          </w:p>
        </w:tc>
      </w:tr>
      <w:tr w:rsidR="006F0F3C" w:rsidRPr="00155BC6" w14:paraId="4827C72B" w14:textId="77777777" w:rsidTr="006C740C">
        <w:trPr>
          <w:jc w:val="center"/>
        </w:trPr>
        <w:tc>
          <w:tcPr>
            <w:tcW w:w="2867" w:type="dxa"/>
            <w:gridSpan w:val="2"/>
            <w:tcBorders>
              <w:top w:val="nil"/>
              <w:right w:val="single" w:sz="4" w:space="0" w:color="auto"/>
            </w:tcBorders>
          </w:tcPr>
          <w:p w14:paraId="4827C728" w14:textId="77777777" w:rsidR="006F0F3C" w:rsidRPr="00155BC6" w:rsidRDefault="006F0F3C" w:rsidP="006F0F3C">
            <w:pPr>
              <w:pStyle w:val="appendixchead"/>
            </w:pPr>
            <w:r w:rsidRPr="00155BC6">
              <w:rPr>
                <w:rFonts w:hint="eastAsia"/>
              </w:rPr>
              <w:t>青年</w:t>
            </w:r>
          </w:p>
        </w:tc>
        <w:tc>
          <w:tcPr>
            <w:tcW w:w="1036" w:type="dxa"/>
            <w:tcBorders>
              <w:top w:val="nil"/>
              <w:left w:val="single" w:sz="4" w:space="0" w:color="auto"/>
              <w:right w:val="nil"/>
            </w:tcBorders>
          </w:tcPr>
          <w:p w14:paraId="4827C729" w14:textId="77777777" w:rsidR="006F0F3C" w:rsidRPr="00155BC6" w:rsidRDefault="006F0F3C" w:rsidP="006F0F3C">
            <w:pPr>
              <w:pStyle w:val="appendixctext"/>
              <w:spacing w:before="120"/>
            </w:pPr>
            <w:r w:rsidRPr="00155BC6">
              <w:t>R 1374</w:t>
            </w:r>
          </w:p>
        </w:tc>
        <w:tc>
          <w:tcPr>
            <w:tcW w:w="599" w:type="dxa"/>
            <w:tcBorders>
              <w:top w:val="nil"/>
              <w:left w:val="nil"/>
            </w:tcBorders>
          </w:tcPr>
          <w:p w14:paraId="4827C72A" w14:textId="77777777" w:rsidR="006F0F3C" w:rsidRPr="00155BC6" w:rsidRDefault="006F0F3C" w:rsidP="006F0F3C">
            <w:pPr>
              <w:pStyle w:val="appendixctext"/>
              <w:spacing w:before="120"/>
            </w:pPr>
            <w:r w:rsidRPr="00155BC6">
              <w:t>7.2</w:t>
            </w:r>
          </w:p>
        </w:tc>
      </w:tr>
      <w:tr w:rsidR="006F0F3C" w:rsidRPr="00155BC6" w14:paraId="4827C72F" w14:textId="77777777" w:rsidTr="006C740C">
        <w:trPr>
          <w:jc w:val="center"/>
        </w:trPr>
        <w:tc>
          <w:tcPr>
            <w:tcW w:w="2867" w:type="dxa"/>
            <w:gridSpan w:val="2"/>
            <w:tcBorders>
              <w:top w:val="nil"/>
              <w:right w:val="single" w:sz="4" w:space="0" w:color="auto"/>
            </w:tcBorders>
          </w:tcPr>
          <w:p w14:paraId="4827C72C" w14:textId="77777777" w:rsidR="006F0F3C" w:rsidRPr="00155BC6" w:rsidRDefault="006F0F3C" w:rsidP="006F0F3C">
            <w:pPr>
              <w:pStyle w:val="appendixchead"/>
            </w:pPr>
            <w:r w:rsidRPr="00155BC6">
              <w:rPr>
                <w:rFonts w:hint="eastAsia"/>
              </w:rPr>
              <w:t>全权代表大会</w:t>
            </w:r>
          </w:p>
        </w:tc>
        <w:tc>
          <w:tcPr>
            <w:tcW w:w="1036" w:type="dxa"/>
            <w:tcBorders>
              <w:top w:val="nil"/>
              <w:left w:val="single" w:sz="4" w:space="0" w:color="auto"/>
              <w:right w:val="nil"/>
            </w:tcBorders>
          </w:tcPr>
          <w:p w14:paraId="4827C72D" w14:textId="77777777" w:rsidR="006F0F3C" w:rsidRPr="00155BC6" w:rsidRDefault="00BF10EE" w:rsidP="006F0F3C">
            <w:pPr>
              <w:pStyle w:val="appendixctext"/>
              <w:spacing w:before="120"/>
            </w:pPr>
            <w:r>
              <w:t>D 610</w:t>
            </w:r>
          </w:p>
        </w:tc>
        <w:tc>
          <w:tcPr>
            <w:tcW w:w="599" w:type="dxa"/>
            <w:tcBorders>
              <w:top w:val="nil"/>
              <w:left w:val="nil"/>
            </w:tcBorders>
          </w:tcPr>
          <w:p w14:paraId="4827C72E" w14:textId="77777777" w:rsidR="006F0F3C" w:rsidRPr="00155BC6" w:rsidRDefault="00BF10EE" w:rsidP="006F0F3C">
            <w:pPr>
              <w:pStyle w:val="appendixctext"/>
              <w:spacing w:before="120"/>
            </w:pPr>
            <w:r>
              <w:rPr>
                <w:rFonts w:hint="eastAsia"/>
                <w:lang w:eastAsia="zh-CN"/>
              </w:rPr>
              <w:t>3.</w:t>
            </w:r>
            <w:r>
              <w:rPr>
                <w:lang w:eastAsia="zh-CN"/>
              </w:rPr>
              <w:t>3</w:t>
            </w:r>
          </w:p>
        </w:tc>
      </w:tr>
      <w:tr w:rsidR="006F0F3C" w:rsidRPr="00155BC6" w14:paraId="4827C733" w14:textId="77777777" w:rsidTr="006C740C">
        <w:trPr>
          <w:jc w:val="center"/>
        </w:trPr>
        <w:tc>
          <w:tcPr>
            <w:tcW w:w="2867" w:type="dxa"/>
            <w:gridSpan w:val="2"/>
            <w:tcBorders>
              <w:right w:val="single" w:sz="4" w:space="0" w:color="auto"/>
            </w:tcBorders>
          </w:tcPr>
          <w:p w14:paraId="4827C730" w14:textId="77777777" w:rsidR="006F0F3C" w:rsidRPr="00155BC6" w:rsidRDefault="006F0F3C" w:rsidP="006F0F3C">
            <w:pPr>
              <w:pStyle w:val="appendixchead"/>
            </w:pPr>
            <w:r w:rsidRPr="00155BC6">
              <w:rPr>
                <w:rFonts w:hint="eastAsia"/>
              </w:rPr>
              <w:t>人力资源</w:t>
            </w:r>
          </w:p>
        </w:tc>
        <w:tc>
          <w:tcPr>
            <w:tcW w:w="1036" w:type="dxa"/>
            <w:tcBorders>
              <w:left w:val="single" w:sz="4" w:space="0" w:color="auto"/>
              <w:right w:val="nil"/>
            </w:tcBorders>
          </w:tcPr>
          <w:p w14:paraId="4827C731" w14:textId="77777777" w:rsidR="006F0F3C" w:rsidRPr="00155BC6" w:rsidRDefault="006F0F3C" w:rsidP="006F0F3C">
            <w:pPr>
              <w:pStyle w:val="appendixctext"/>
            </w:pPr>
          </w:p>
        </w:tc>
        <w:tc>
          <w:tcPr>
            <w:tcW w:w="599" w:type="dxa"/>
            <w:tcBorders>
              <w:left w:val="nil"/>
            </w:tcBorders>
          </w:tcPr>
          <w:p w14:paraId="4827C732" w14:textId="77777777" w:rsidR="006F0F3C" w:rsidRPr="00155BC6" w:rsidRDefault="006F0F3C" w:rsidP="006F0F3C">
            <w:pPr>
              <w:pStyle w:val="appendixctext"/>
            </w:pPr>
          </w:p>
        </w:tc>
      </w:tr>
      <w:tr w:rsidR="006F0F3C" w:rsidRPr="00155BC6" w14:paraId="4827C737" w14:textId="77777777" w:rsidTr="006C740C">
        <w:trPr>
          <w:jc w:val="center"/>
        </w:trPr>
        <w:tc>
          <w:tcPr>
            <w:tcW w:w="2867" w:type="dxa"/>
            <w:gridSpan w:val="2"/>
            <w:tcBorders>
              <w:right w:val="single" w:sz="4" w:space="0" w:color="auto"/>
            </w:tcBorders>
          </w:tcPr>
          <w:p w14:paraId="4827C734" w14:textId="77777777" w:rsidR="006F0F3C" w:rsidRPr="00155BC6" w:rsidRDefault="006F0F3C" w:rsidP="006F0F3C">
            <w:pPr>
              <w:pStyle w:val="appendixchead"/>
              <w:rPr>
                <w:lang w:eastAsia="zh-CN"/>
              </w:rPr>
            </w:pPr>
            <w:r w:rsidRPr="00155BC6">
              <w:rPr>
                <w:rFonts w:hint="eastAsia"/>
                <w:lang w:eastAsia="zh-CN"/>
              </w:rPr>
              <w:t>人力资源管理三方顾问组</w:t>
            </w:r>
          </w:p>
        </w:tc>
        <w:tc>
          <w:tcPr>
            <w:tcW w:w="1036" w:type="dxa"/>
            <w:tcBorders>
              <w:left w:val="single" w:sz="4" w:space="0" w:color="auto"/>
              <w:right w:val="nil"/>
            </w:tcBorders>
          </w:tcPr>
          <w:p w14:paraId="4827C735" w14:textId="77777777" w:rsidR="006F0F3C" w:rsidRPr="00155BC6" w:rsidRDefault="006F0F3C" w:rsidP="006F0F3C">
            <w:pPr>
              <w:pStyle w:val="appendixctext"/>
              <w:spacing w:before="120"/>
            </w:pPr>
            <w:r w:rsidRPr="00155BC6">
              <w:t>R 1106</w:t>
            </w:r>
          </w:p>
        </w:tc>
        <w:tc>
          <w:tcPr>
            <w:tcW w:w="599" w:type="dxa"/>
            <w:tcBorders>
              <w:left w:val="nil"/>
            </w:tcBorders>
          </w:tcPr>
          <w:p w14:paraId="4827C736" w14:textId="77777777" w:rsidR="006F0F3C" w:rsidRPr="00155BC6" w:rsidRDefault="006F0F3C" w:rsidP="006F0F3C">
            <w:pPr>
              <w:pStyle w:val="appendixctext"/>
              <w:spacing w:before="120"/>
            </w:pPr>
            <w:r w:rsidRPr="00155BC6">
              <w:t>2.2</w:t>
            </w:r>
          </w:p>
        </w:tc>
      </w:tr>
      <w:tr w:rsidR="006F0F3C" w:rsidRPr="00155BC6" w14:paraId="4827C73B" w14:textId="77777777" w:rsidTr="006C740C">
        <w:trPr>
          <w:jc w:val="center"/>
        </w:trPr>
        <w:tc>
          <w:tcPr>
            <w:tcW w:w="2867" w:type="dxa"/>
            <w:gridSpan w:val="2"/>
            <w:tcBorders>
              <w:right w:val="single" w:sz="4" w:space="0" w:color="auto"/>
            </w:tcBorders>
          </w:tcPr>
          <w:p w14:paraId="4827C738" w14:textId="77777777" w:rsidR="006F0F3C" w:rsidRPr="00155BC6" w:rsidRDefault="006F0F3C" w:rsidP="006F0F3C">
            <w:pPr>
              <w:pStyle w:val="appendixchead"/>
              <w:rPr>
                <w:lang w:eastAsia="zh-CN"/>
              </w:rPr>
            </w:pPr>
            <w:r w:rsidRPr="00155BC6">
              <w:rPr>
                <w:rFonts w:hint="eastAsia"/>
                <w:lang w:eastAsia="zh-CN"/>
              </w:rPr>
              <w:t>世界和区域性电信</w:t>
            </w:r>
            <w:r w:rsidRPr="00155BC6">
              <w:rPr>
                <w:rFonts w:hint="eastAsia"/>
                <w:lang w:eastAsia="zh-CN"/>
              </w:rPr>
              <w:t>/</w:t>
            </w:r>
            <w:r w:rsidRPr="00155BC6">
              <w:rPr>
                <w:rFonts w:hint="eastAsia"/>
                <w:lang w:eastAsia="zh-CN"/>
              </w:rPr>
              <w:t>信息通信技术展览和论坛</w:t>
            </w:r>
          </w:p>
        </w:tc>
        <w:tc>
          <w:tcPr>
            <w:tcW w:w="1036" w:type="dxa"/>
            <w:tcBorders>
              <w:left w:val="single" w:sz="4" w:space="0" w:color="auto"/>
              <w:right w:val="nil"/>
            </w:tcBorders>
          </w:tcPr>
          <w:p w14:paraId="4827C739" w14:textId="77777777" w:rsidR="006F0F3C" w:rsidRPr="00155BC6" w:rsidRDefault="006F0F3C" w:rsidP="006F0F3C">
            <w:pPr>
              <w:pStyle w:val="appendixctext"/>
              <w:spacing w:before="120"/>
            </w:pPr>
            <w:r w:rsidRPr="00155BC6">
              <w:rPr>
                <w:bCs/>
              </w:rPr>
              <w:t xml:space="preserve">R </w:t>
            </w:r>
            <w:r w:rsidRPr="00155BC6">
              <w:t>1292</w:t>
            </w:r>
          </w:p>
        </w:tc>
        <w:tc>
          <w:tcPr>
            <w:tcW w:w="599" w:type="dxa"/>
            <w:tcBorders>
              <w:left w:val="nil"/>
            </w:tcBorders>
          </w:tcPr>
          <w:p w14:paraId="4827C73A" w14:textId="77777777" w:rsidR="006F0F3C" w:rsidRPr="00155BC6" w:rsidRDefault="006F0F3C" w:rsidP="006F0F3C">
            <w:pPr>
              <w:pStyle w:val="appendixctext"/>
              <w:spacing w:before="120"/>
            </w:pPr>
            <w:r w:rsidRPr="00155BC6">
              <w:t>3.4</w:t>
            </w:r>
          </w:p>
        </w:tc>
      </w:tr>
      <w:tr w:rsidR="006F0F3C" w:rsidRPr="00155BC6" w14:paraId="4827C73F" w14:textId="77777777" w:rsidTr="006C740C">
        <w:trPr>
          <w:jc w:val="center"/>
        </w:trPr>
        <w:tc>
          <w:tcPr>
            <w:tcW w:w="2867" w:type="dxa"/>
            <w:gridSpan w:val="2"/>
            <w:tcBorders>
              <w:right w:val="single" w:sz="4" w:space="0" w:color="auto"/>
            </w:tcBorders>
          </w:tcPr>
          <w:p w14:paraId="4827C73C" w14:textId="77777777" w:rsidR="006F0F3C" w:rsidRPr="00155BC6" w:rsidRDefault="006F0F3C" w:rsidP="006F0F3C">
            <w:pPr>
              <w:pStyle w:val="appendixchead"/>
            </w:pPr>
            <w:r w:rsidRPr="00155BC6">
              <w:rPr>
                <w:rFonts w:hint="eastAsia"/>
              </w:rPr>
              <w:t>世界无线电通信大会</w:t>
            </w:r>
          </w:p>
        </w:tc>
        <w:tc>
          <w:tcPr>
            <w:tcW w:w="1036" w:type="dxa"/>
            <w:tcBorders>
              <w:left w:val="single" w:sz="4" w:space="0" w:color="auto"/>
              <w:right w:val="nil"/>
            </w:tcBorders>
          </w:tcPr>
          <w:p w14:paraId="7BE6D4DA" w14:textId="3FE43D73" w:rsidR="006F0F3C" w:rsidRDefault="008E24CF" w:rsidP="006F0F3C">
            <w:pPr>
              <w:pStyle w:val="appendixctext"/>
              <w:spacing w:before="120"/>
            </w:pPr>
            <w:r>
              <w:t>R.1399</w:t>
            </w:r>
          </w:p>
          <w:p w14:paraId="4827C73D" w14:textId="34014D72" w:rsidR="00FB2114" w:rsidRPr="00155BC6" w:rsidRDefault="008E24CF" w:rsidP="00FB2114">
            <w:pPr>
              <w:pStyle w:val="appendixctext"/>
              <w:spacing w:before="0"/>
            </w:pPr>
            <w:r>
              <w:t>D 623</w:t>
            </w:r>
          </w:p>
        </w:tc>
        <w:tc>
          <w:tcPr>
            <w:tcW w:w="599" w:type="dxa"/>
            <w:tcBorders>
              <w:left w:val="nil"/>
            </w:tcBorders>
          </w:tcPr>
          <w:p w14:paraId="1D54D627" w14:textId="7502D5EE" w:rsidR="006F0F3C" w:rsidRDefault="008E24CF" w:rsidP="006F0F3C">
            <w:pPr>
              <w:pStyle w:val="appendixctext"/>
              <w:spacing w:before="120"/>
            </w:pPr>
            <w:r>
              <w:rPr>
                <w:rFonts w:hint="eastAsia"/>
                <w:lang w:eastAsia="zh-CN"/>
              </w:rPr>
              <w:t>3.4</w:t>
            </w:r>
          </w:p>
          <w:p w14:paraId="4827C73E" w14:textId="5B06CA1F" w:rsidR="00FB2114" w:rsidRPr="00155BC6" w:rsidRDefault="00FB2114" w:rsidP="00FB2114">
            <w:pPr>
              <w:pStyle w:val="appendixctext"/>
              <w:spacing w:before="0"/>
            </w:pPr>
            <w:r>
              <w:t>3.4</w:t>
            </w:r>
          </w:p>
        </w:tc>
      </w:tr>
      <w:tr w:rsidR="00F36E9C" w:rsidRPr="00155BC6" w14:paraId="4827C743" w14:textId="77777777" w:rsidTr="006C740C">
        <w:trPr>
          <w:jc w:val="center"/>
        </w:trPr>
        <w:tc>
          <w:tcPr>
            <w:tcW w:w="2867" w:type="dxa"/>
            <w:gridSpan w:val="2"/>
            <w:tcBorders>
              <w:right w:val="single" w:sz="4" w:space="0" w:color="auto"/>
            </w:tcBorders>
          </w:tcPr>
          <w:p w14:paraId="4827C740" w14:textId="77777777" w:rsidR="00F36E9C" w:rsidRPr="00F36E9C" w:rsidRDefault="00F36E9C" w:rsidP="00F36E9C">
            <w:pPr>
              <w:pStyle w:val="appendixctext"/>
              <w:spacing w:before="0"/>
              <w:rPr>
                <w:b/>
                <w:lang w:eastAsia="zh-CN"/>
              </w:rPr>
            </w:pPr>
            <w:r w:rsidRPr="00F36E9C">
              <w:rPr>
                <w:rFonts w:hint="eastAsia"/>
                <w:b/>
                <w:lang w:eastAsia="zh-CN"/>
              </w:rPr>
              <w:t>世界电信发展大会（</w:t>
            </w:r>
            <w:r w:rsidRPr="00F36E9C">
              <w:rPr>
                <w:b/>
                <w:lang w:eastAsia="zh-CN"/>
              </w:rPr>
              <w:t>WTDC-21</w:t>
            </w:r>
            <w:r w:rsidRPr="00F36E9C">
              <w:rPr>
                <w:rFonts w:hint="eastAsia"/>
                <w:b/>
                <w:lang w:eastAsia="zh-CN"/>
              </w:rPr>
              <w:t>）</w:t>
            </w:r>
          </w:p>
        </w:tc>
        <w:tc>
          <w:tcPr>
            <w:tcW w:w="1036" w:type="dxa"/>
            <w:tcBorders>
              <w:left w:val="single" w:sz="4" w:space="0" w:color="auto"/>
              <w:right w:val="nil"/>
            </w:tcBorders>
          </w:tcPr>
          <w:p w14:paraId="4827C741" w14:textId="77777777" w:rsidR="00F36E9C" w:rsidRPr="00155BC6" w:rsidRDefault="00F36E9C" w:rsidP="00F36E9C">
            <w:pPr>
              <w:pStyle w:val="appendixctext"/>
              <w:spacing w:before="0"/>
            </w:pPr>
            <w:r>
              <w:t>D 609</w:t>
            </w:r>
          </w:p>
        </w:tc>
        <w:tc>
          <w:tcPr>
            <w:tcW w:w="599" w:type="dxa"/>
            <w:tcBorders>
              <w:left w:val="nil"/>
            </w:tcBorders>
          </w:tcPr>
          <w:p w14:paraId="4827C742" w14:textId="77777777" w:rsidR="00F36E9C" w:rsidRPr="00155BC6" w:rsidRDefault="00F36E9C" w:rsidP="00F36E9C">
            <w:pPr>
              <w:pStyle w:val="appendixctext"/>
              <w:spacing w:before="0"/>
            </w:pPr>
            <w:r>
              <w:t>3.4</w:t>
            </w:r>
          </w:p>
        </w:tc>
      </w:tr>
      <w:tr w:rsidR="00F36E9C" w:rsidRPr="00155BC6" w14:paraId="4827C747" w14:textId="77777777" w:rsidTr="006C740C">
        <w:trPr>
          <w:jc w:val="center"/>
        </w:trPr>
        <w:tc>
          <w:tcPr>
            <w:tcW w:w="2867" w:type="dxa"/>
            <w:gridSpan w:val="2"/>
            <w:tcBorders>
              <w:right w:val="single" w:sz="4" w:space="0" w:color="auto"/>
            </w:tcBorders>
          </w:tcPr>
          <w:p w14:paraId="4827C744" w14:textId="77777777" w:rsidR="00F36E9C" w:rsidRPr="00F36E9C" w:rsidRDefault="00F36E9C" w:rsidP="00F36E9C">
            <w:pPr>
              <w:pStyle w:val="appendixctext"/>
              <w:spacing w:before="0"/>
              <w:rPr>
                <w:b/>
                <w:lang w:eastAsia="zh-CN"/>
              </w:rPr>
            </w:pPr>
            <w:r w:rsidRPr="00F36E9C">
              <w:rPr>
                <w:rFonts w:hint="eastAsia"/>
                <w:b/>
                <w:lang w:eastAsia="zh-CN"/>
              </w:rPr>
              <w:t>世界电信</w:t>
            </w:r>
            <w:r w:rsidRPr="00F36E9C">
              <w:rPr>
                <w:rFonts w:hint="eastAsia"/>
                <w:b/>
                <w:lang w:eastAsia="zh-CN"/>
              </w:rPr>
              <w:t>/</w:t>
            </w:r>
            <w:r w:rsidRPr="00F36E9C">
              <w:rPr>
                <w:rFonts w:hint="eastAsia"/>
                <w:b/>
                <w:lang w:eastAsia="zh-CN"/>
              </w:rPr>
              <w:t>信息通信技术政策论坛（</w:t>
            </w:r>
            <w:r w:rsidRPr="00F36E9C">
              <w:rPr>
                <w:rFonts w:hint="eastAsia"/>
                <w:b/>
                <w:lang w:eastAsia="zh-CN"/>
              </w:rPr>
              <w:t>W</w:t>
            </w:r>
            <w:r w:rsidRPr="00F36E9C">
              <w:rPr>
                <w:b/>
                <w:lang w:eastAsia="zh-CN"/>
              </w:rPr>
              <w:t>TPF-21</w:t>
            </w:r>
            <w:r w:rsidRPr="00F36E9C">
              <w:rPr>
                <w:rFonts w:hint="eastAsia"/>
                <w:b/>
                <w:lang w:eastAsia="zh-CN"/>
              </w:rPr>
              <w:t>）</w:t>
            </w:r>
          </w:p>
        </w:tc>
        <w:tc>
          <w:tcPr>
            <w:tcW w:w="1036" w:type="dxa"/>
            <w:tcBorders>
              <w:left w:val="single" w:sz="4" w:space="0" w:color="auto"/>
              <w:right w:val="nil"/>
            </w:tcBorders>
          </w:tcPr>
          <w:p w14:paraId="4827C745" w14:textId="77777777" w:rsidR="00F36E9C" w:rsidRPr="00155BC6" w:rsidRDefault="00F36E9C" w:rsidP="00F36E9C">
            <w:pPr>
              <w:pStyle w:val="appendixctext"/>
              <w:spacing w:before="0"/>
            </w:pPr>
            <w:r>
              <w:t>D 611</w:t>
            </w:r>
          </w:p>
        </w:tc>
        <w:tc>
          <w:tcPr>
            <w:tcW w:w="599" w:type="dxa"/>
            <w:tcBorders>
              <w:left w:val="nil"/>
            </w:tcBorders>
          </w:tcPr>
          <w:p w14:paraId="4827C746" w14:textId="77777777" w:rsidR="00F36E9C" w:rsidRPr="00155BC6" w:rsidRDefault="00F36E9C" w:rsidP="00F36E9C">
            <w:pPr>
              <w:pStyle w:val="appendixctext"/>
              <w:spacing w:before="0"/>
            </w:pPr>
            <w:r>
              <w:t>3.4</w:t>
            </w:r>
          </w:p>
        </w:tc>
      </w:tr>
      <w:tr w:rsidR="00F36E9C" w:rsidRPr="00155BC6" w14:paraId="4827C74B" w14:textId="77777777" w:rsidTr="006C740C">
        <w:trPr>
          <w:jc w:val="center"/>
        </w:trPr>
        <w:tc>
          <w:tcPr>
            <w:tcW w:w="2867" w:type="dxa"/>
            <w:gridSpan w:val="2"/>
            <w:tcBorders>
              <w:right w:val="single" w:sz="4" w:space="0" w:color="auto"/>
            </w:tcBorders>
          </w:tcPr>
          <w:p w14:paraId="4827C748" w14:textId="77777777" w:rsidR="00F36E9C" w:rsidRPr="00F36E9C" w:rsidRDefault="00F36E9C" w:rsidP="00F36E9C">
            <w:pPr>
              <w:pStyle w:val="appendixctext"/>
              <w:spacing w:before="0"/>
              <w:rPr>
                <w:b/>
                <w:lang w:eastAsia="zh-CN"/>
              </w:rPr>
            </w:pPr>
            <w:r w:rsidRPr="00F36E9C">
              <w:rPr>
                <w:rFonts w:asciiTheme="minorEastAsia" w:eastAsiaTheme="minorEastAsia" w:hAnsiTheme="minorEastAsia" w:cs="Microsoft YaHei" w:hint="eastAsia"/>
                <w:b/>
                <w:lang w:eastAsia="zh-CN"/>
              </w:rPr>
              <w:t>世界电信标准化全会</w:t>
            </w:r>
            <w:r>
              <w:rPr>
                <w:rFonts w:asciiTheme="minorEastAsia" w:eastAsiaTheme="minorEastAsia" w:hAnsiTheme="minorEastAsia" w:cs="Microsoft YaHei"/>
                <w:b/>
                <w:lang w:eastAsia="zh-CN"/>
              </w:rPr>
              <w:br/>
            </w:r>
            <w:r w:rsidRPr="00F36E9C">
              <w:rPr>
                <w:rFonts w:asciiTheme="minorEastAsia" w:eastAsiaTheme="minorEastAsia" w:hAnsiTheme="minorEastAsia" w:cs="Microsoft YaHei" w:hint="eastAsia"/>
                <w:b/>
                <w:lang w:eastAsia="zh-CN"/>
              </w:rPr>
              <w:t>（</w:t>
            </w:r>
            <w:r w:rsidRPr="00F36E9C">
              <w:rPr>
                <w:rFonts w:cstheme="minorHAnsi"/>
                <w:b/>
                <w:lang w:eastAsia="zh-CN"/>
              </w:rPr>
              <w:t>WTSA-20</w:t>
            </w:r>
            <w:r w:rsidRPr="00F36E9C">
              <w:rPr>
                <w:rFonts w:asciiTheme="minorEastAsia" w:eastAsiaTheme="minorEastAsia" w:hAnsiTheme="minorEastAsia" w:cs="Microsoft YaHei" w:hint="eastAsia"/>
                <w:b/>
                <w:lang w:eastAsia="zh-CN"/>
              </w:rPr>
              <w:t>）</w:t>
            </w:r>
          </w:p>
        </w:tc>
        <w:tc>
          <w:tcPr>
            <w:tcW w:w="1036" w:type="dxa"/>
            <w:tcBorders>
              <w:left w:val="single" w:sz="4" w:space="0" w:color="auto"/>
              <w:right w:val="nil"/>
            </w:tcBorders>
          </w:tcPr>
          <w:p w14:paraId="4827C749" w14:textId="77777777" w:rsidR="00F36E9C" w:rsidRPr="00155BC6" w:rsidRDefault="00F36E9C" w:rsidP="00F36E9C">
            <w:pPr>
              <w:pStyle w:val="appendixctext"/>
              <w:spacing w:before="0"/>
            </w:pPr>
            <w:r>
              <w:t>D 608</w:t>
            </w:r>
          </w:p>
        </w:tc>
        <w:tc>
          <w:tcPr>
            <w:tcW w:w="599" w:type="dxa"/>
            <w:tcBorders>
              <w:left w:val="nil"/>
            </w:tcBorders>
          </w:tcPr>
          <w:p w14:paraId="4827C74A" w14:textId="77777777" w:rsidR="00F36E9C" w:rsidRPr="00155BC6" w:rsidRDefault="00F36E9C" w:rsidP="00F36E9C">
            <w:pPr>
              <w:pStyle w:val="appendixctext"/>
              <w:spacing w:before="0"/>
            </w:pPr>
            <w:r>
              <w:t>3.4</w:t>
            </w:r>
          </w:p>
        </w:tc>
      </w:tr>
      <w:tr w:rsidR="006F0F3C" w:rsidRPr="00155BC6" w14:paraId="4827C74F" w14:textId="77777777" w:rsidTr="006C740C">
        <w:trPr>
          <w:jc w:val="center"/>
        </w:trPr>
        <w:tc>
          <w:tcPr>
            <w:tcW w:w="2867" w:type="dxa"/>
            <w:gridSpan w:val="2"/>
            <w:tcBorders>
              <w:bottom w:val="nil"/>
              <w:right w:val="single" w:sz="4" w:space="0" w:color="auto"/>
            </w:tcBorders>
            <w:vAlign w:val="bottom"/>
          </w:tcPr>
          <w:p w14:paraId="4827C74C" w14:textId="77777777" w:rsidR="006F0F3C" w:rsidRPr="00155BC6" w:rsidRDefault="006F0F3C" w:rsidP="006F0F3C">
            <w:pPr>
              <w:pStyle w:val="appendixchead"/>
              <w:rPr>
                <w:lang w:eastAsia="zh-CN"/>
              </w:rPr>
            </w:pPr>
            <w:r w:rsidRPr="00FD5B9C">
              <w:rPr>
                <w:rFonts w:hint="eastAsia"/>
                <w:bCs/>
                <w:szCs w:val="28"/>
                <w:lang w:val="en-US" w:eastAsia="zh-CN"/>
              </w:rPr>
              <w:t>术语</w:t>
            </w:r>
            <w:r w:rsidRPr="00EC4B1E">
              <w:rPr>
                <w:rFonts w:hint="eastAsia"/>
                <w:bCs/>
                <w:szCs w:val="28"/>
                <w:lang w:val="en-US" w:eastAsia="zh-CN"/>
              </w:rPr>
              <w:t>协调委员会（</w:t>
            </w:r>
            <w:r w:rsidRPr="00EC4B1E">
              <w:rPr>
                <w:rFonts w:hint="eastAsia"/>
                <w:bCs/>
                <w:szCs w:val="28"/>
                <w:lang w:val="en-US" w:eastAsia="zh-CN"/>
              </w:rPr>
              <w:t>ITU CC</w:t>
            </w:r>
            <w:r>
              <w:rPr>
                <w:bCs/>
                <w:szCs w:val="28"/>
                <w:lang w:val="en-US" w:eastAsia="zh-CN"/>
              </w:rPr>
              <w:t>T</w:t>
            </w:r>
            <w:r w:rsidRPr="00EC4B1E">
              <w:rPr>
                <w:rFonts w:hint="eastAsia"/>
                <w:bCs/>
                <w:szCs w:val="28"/>
                <w:lang w:val="en-US" w:eastAsia="zh-CN"/>
              </w:rPr>
              <w:t>）</w:t>
            </w:r>
          </w:p>
        </w:tc>
        <w:tc>
          <w:tcPr>
            <w:tcW w:w="1036" w:type="dxa"/>
            <w:tcBorders>
              <w:left w:val="single" w:sz="4" w:space="0" w:color="auto"/>
              <w:bottom w:val="nil"/>
              <w:right w:val="nil"/>
            </w:tcBorders>
            <w:vAlign w:val="bottom"/>
          </w:tcPr>
          <w:p w14:paraId="4827C74D" w14:textId="77777777" w:rsidR="006F0F3C" w:rsidRPr="00155BC6" w:rsidRDefault="006F0F3C" w:rsidP="006F0F3C">
            <w:pPr>
              <w:pStyle w:val="appendixctext"/>
              <w:rPr>
                <w:lang w:eastAsia="zh-CN"/>
              </w:rPr>
            </w:pPr>
            <w:r w:rsidRPr="00155BC6">
              <w:rPr>
                <w:bCs/>
              </w:rPr>
              <w:t xml:space="preserve">R </w:t>
            </w:r>
            <w:r w:rsidRPr="00155BC6">
              <w:rPr>
                <w:rFonts w:hint="eastAsia"/>
              </w:rPr>
              <w:t>1</w:t>
            </w:r>
            <w:r w:rsidRPr="00155BC6">
              <w:t>3</w:t>
            </w:r>
            <w:r>
              <w:t>86</w:t>
            </w:r>
          </w:p>
        </w:tc>
        <w:tc>
          <w:tcPr>
            <w:tcW w:w="599" w:type="dxa"/>
            <w:tcBorders>
              <w:left w:val="nil"/>
              <w:bottom w:val="nil"/>
            </w:tcBorders>
            <w:vAlign w:val="bottom"/>
          </w:tcPr>
          <w:p w14:paraId="4827C74E" w14:textId="77777777" w:rsidR="006F0F3C" w:rsidRPr="00155BC6" w:rsidRDefault="006F0F3C" w:rsidP="006F0F3C">
            <w:pPr>
              <w:pStyle w:val="appendixctext"/>
              <w:rPr>
                <w:lang w:eastAsia="zh-CN"/>
              </w:rPr>
            </w:pPr>
            <w:r>
              <w:rPr>
                <w:lang w:eastAsia="zh-CN"/>
              </w:rPr>
              <w:t>7.2</w:t>
            </w:r>
          </w:p>
        </w:tc>
      </w:tr>
      <w:tr w:rsidR="006F0F3C" w:rsidRPr="00155BC6" w14:paraId="4827C753" w14:textId="77777777" w:rsidTr="006C740C">
        <w:trPr>
          <w:jc w:val="center"/>
        </w:trPr>
        <w:tc>
          <w:tcPr>
            <w:tcW w:w="2867" w:type="dxa"/>
            <w:gridSpan w:val="2"/>
            <w:tcBorders>
              <w:bottom w:val="nil"/>
              <w:right w:val="single" w:sz="4" w:space="0" w:color="auto"/>
            </w:tcBorders>
          </w:tcPr>
          <w:p w14:paraId="4827C750" w14:textId="77777777" w:rsidR="006F0F3C" w:rsidRPr="00155BC6" w:rsidRDefault="006F0F3C" w:rsidP="006F0F3C">
            <w:pPr>
              <w:pStyle w:val="appendixchead"/>
            </w:pPr>
            <w:r w:rsidRPr="00155BC6">
              <w:rPr>
                <w:rFonts w:hint="eastAsia"/>
              </w:rPr>
              <w:t>委员</w:t>
            </w:r>
          </w:p>
        </w:tc>
        <w:tc>
          <w:tcPr>
            <w:tcW w:w="1036" w:type="dxa"/>
            <w:tcBorders>
              <w:left w:val="single" w:sz="4" w:space="0" w:color="auto"/>
              <w:bottom w:val="nil"/>
              <w:right w:val="nil"/>
            </w:tcBorders>
          </w:tcPr>
          <w:p w14:paraId="4827C751" w14:textId="77777777" w:rsidR="006F0F3C" w:rsidRPr="00155BC6" w:rsidRDefault="006F0F3C" w:rsidP="006F0F3C">
            <w:pPr>
              <w:pStyle w:val="appendixctext"/>
            </w:pPr>
          </w:p>
        </w:tc>
        <w:tc>
          <w:tcPr>
            <w:tcW w:w="599" w:type="dxa"/>
            <w:tcBorders>
              <w:left w:val="nil"/>
              <w:bottom w:val="nil"/>
            </w:tcBorders>
          </w:tcPr>
          <w:p w14:paraId="4827C752" w14:textId="77777777" w:rsidR="006F0F3C" w:rsidRPr="00155BC6" w:rsidRDefault="006F0F3C" w:rsidP="006F0F3C">
            <w:pPr>
              <w:pStyle w:val="appendixctext"/>
            </w:pPr>
          </w:p>
        </w:tc>
      </w:tr>
      <w:tr w:rsidR="006F0F3C" w:rsidRPr="00155BC6" w14:paraId="4827C758" w14:textId="77777777" w:rsidTr="006C740C">
        <w:trPr>
          <w:jc w:val="center"/>
        </w:trPr>
        <w:tc>
          <w:tcPr>
            <w:tcW w:w="303" w:type="dxa"/>
            <w:tcBorders>
              <w:top w:val="nil"/>
              <w:bottom w:val="single" w:sz="4" w:space="0" w:color="auto"/>
              <w:right w:val="nil"/>
            </w:tcBorders>
          </w:tcPr>
          <w:p w14:paraId="4827C754" w14:textId="77777777" w:rsidR="006F0F3C" w:rsidRPr="00155BC6" w:rsidRDefault="006F0F3C" w:rsidP="006F0F3C">
            <w:pPr>
              <w:pStyle w:val="appendixctext"/>
              <w:spacing w:before="40"/>
            </w:pPr>
            <w:r w:rsidRPr="00155BC6">
              <w:t>–</w:t>
            </w:r>
          </w:p>
        </w:tc>
        <w:tc>
          <w:tcPr>
            <w:tcW w:w="2564" w:type="dxa"/>
            <w:tcBorders>
              <w:top w:val="nil"/>
              <w:left w:val="nil"/>
              <w:bottom w:val="single" w:sz="4" w:space="0" w:color="auto"/>
            </w:tcBorders>
          </w:tcPr>
          <w:p w14:paraId="4827C755" w14:textId="77777777" w:rsidR="006F0F3C" w:rsidRPr="00155BC6" w:rsidRDefault="006F0F3C" w:rsidP="006F0F3C">
            <w:pPr>
              <w:pStyle w:val="appendixctext"/>
              <w:spacing w:before="40"/>
              <w:rPr>
                <w:lang w:eastAsia="zh-CN"/>
              </w:rPr>
            </w:pPr>
            <w:r w:rsidRPr="00155BC6">
              <w:rPr>
                <w:rFonts w:hint="eastAsia"/>
                <w:lang w:eastAsia="zh-CN"/>
              </w:rPr>
              <w:t>国际电联职员养恤金委员会</w:t>
            </w:r>
          </w:p>
        </w:tc>
        <w:tc>
          <w:tcPr>
            <w:tcW w:w="1036" w:type="dxa"/>
            <w:tcBorders>
              <w:top w:val="nil"/>
              <w:bottom w:val="single" w:sz="4" w:space="0" w:color="auto"/>
              <w:right w:val="nil"/>
            </w:tcBorders>
          </w:tcPr>
          <w:p w14:paraId="4827C756" w14:textId="77777777" w:rsidR="006F0F3C" w:rsidRPr="00155BC6" w:rsidRDefault="00031842" w:rsidP="006F0F3C">
            <w:pPr>
              <w:pStyle w:val="appendixctext"/>
              <w:spacing w:before="40"/>
            </w:pPr>
            <w:r>
              <w:t>R 1394</w:t>
            </w:r>
          </w:p>
        </w:tc>
        <w:tc>
          <w:tcPr>
            <w:tcW w:w="599" w:type="dxa"/>
            <w:tcBorders>
              <w:top w:val="nil"/>
              <w:left w:val="nil"/>
              <w:bottom w:val="single" w:sz="4" w:space="0" w:color="auto"/>
            </w:tcBorders>
          </w:tcPr>
          <w:p w14:paraId="4827C757" w14:textId="77777777" w:rsidR="006F0F3C" w:rsidRPr="00155BC6" w:rsidRDefault="00031842" w:rsidP="006F0F3C">
            <w:pPr>
              <w:pStyle w:val="appendixctext"/>
              <w:spacing w:before="40"/>
            </w:pPr>
            <w:r>
              <w:t>2.3</w:t>
            </w:r>
          </w:p>
        </w:tc>
      </w:tr>
      <w:tr w:rsidR="006F0F3C" w:rsidRPr="00155BC6" w14:paraId="4827C75C" w14:textId="77777777" w:rsidTr="006C740C">
        <w:trPr>
          <w:jc w:val="center"/>
        </w:trPr>
        <w:tc>
          <w:tcPr>
            <w:tcW w:w="2867" w:type="dxa"/>
            <w:gridSpan w:val="2"/>
            <w:tcBorders>
              <w:top w:val="single" w:sz="4" w:space="0" w:color="auto"/>
              <w:bottom w:val="nil"/>
              <w:right w:val="single" w:sz="4" w:space="0" w:color="auto"/>
            </w:tcBorders>
          </w:tcPr>
          <w:p w14:paraId="4827C759" w14:textId="77777777" w:rsidR="006F0F3C" w:rsidRPr="00155BC6" w:rsidRDefault="006F0F3C" w:rsidP="006F0F3C">
            <w:pPr>
              <w:jc w:val="left"/>
              <w:rPr>
                <w:sz w:val="18"/>
                <w:szCs w:val="18"/>
              </w:rPr>
            </w:pPr>
            <w:r w:rsidRPr="00155BC6">
              <w:rPr>
                <w:rFonts w:hint="eastAsia"/>
                <w:b/>
                <w:bCs/>
                <w:sz w:val="18"/>
                <w:szCs w:val="18"/>
              </w:rPr>
              <w:t>文件</w:t>
            </w:r>
          </w:p>
        </w:tc>
        <w:tc>
          <w:tcPr>
            <w:tcW w:w="1036" w:type="dxa"/>
            <w:tcBorders>
              <w:top w:val="single" w:sz="4" w:space="0" w:color="auto"/>
              <w:left w:val="single" w:sz="4" w:space="0" w:color="auto"/>
              <w:bottom w:val="nil"/>
              <w:right w:val="nil"/>
            </w:tcBorders>
          </w:tcPr>
          <w:p w14:paraId="4827C75A" w14:textId="77777777" w:rsidR="006F0F3C" w:rsidRPr="00155BC6" w:rsidRDefault="006F0F3C" w:rsidP="006F0F3C">
            <w:pPr>
              <w:pStyle w:val="appendixctext"/>
            </w:pPr>
          </w:p>
        </w:tc>
        <w:tc>
          <w:tcPr>
            <w:tcW w:w="599" w:type="dxa"/>
            <w:tcBorders>
              <w:top w:val="single" w:sz="4" w:space="0" w:color="auto"/>
              <w:left w:val="nil"/>
              <w:bottom w:val="nil"/>
            </w:tcBorders>
          </w:tcPr>
          <w:p w14:paraId="4827C75B" w14:textId="77777777" w:rsidR="006F0F3C" w:rsidRPr="00155BC6" w:rsidRDefault="006F0F3C" w:rsidP="006F0F3C">
            <w:pPr>
              <w:pStyle w:val="appendixctext"/>
            </w:pPr>
          </w:p>
        </w:tc>
      </w:tr>
      <w:tr w:rsidR="006F0F3C" w:rsidRPr="00155BC6" w14:paraId="4827C761" w14:textId="77777777" w:rsidTr="006C740C">
        <w:trPr>
          <w:jc w:val="center"/>
        </w:trPr>
        <w:tc>
          <w:tcPr>
            <w:tcW w:w="303" w:type="dxa"/>
            <w:tcBorders>
              <w:top w:val="nil"/>
              <w:bottom w:val="nil"/>
              <w:right w:val="nil"/>
            </w:tcBorders>
          </w:tcPr>
          <w:p w14:paraId="4827C75D" w14:textId="77777777" w:rsidR="006F0F3C" w:rsidRPr="00155BC6" w:rsidRDefault="006F0F3C" w:rsidP="006F0F3C">
            <w:pPr>
              <w:pStyle w:val="appendixctext"/>
            </w:pPr>
            <w:r w:rsidRPr="00155BC6">
              <w:t>–</w:t>
            </w:r>
          </w:p>
        </w:tc>
        <w:tc>
          <w:tcPr>
            <w:tcW w:w="2564" w:type="dxa"/>
            <w:tcBorders>
              <w:top w:val="nil"/>
              <w:left w:val="nil"/>
              <w:bottom w:val="nil"/>
            </w:tcBorders>
          </w:tcPr>
          <w:p w14:paraId="4827C75E" w14:textId="77777777" w:rsidR="006F0F3C" w:rsidRPr="00155BC6" w:rsidRDefault="006F0F3C" w:rsidP="006F0F3C">
            <w:pPr>
              <w:pStyle w:val="appendixctext"/>
              <w:spacing w:before="40"/>
              <w:rPr>
                <w:lang w:eastAsia="zh-CN"/>
              </w:rPr>
            </w:pPr>
            <w:r w:rsidRPr="00155BC6">
              <w:rPr>
                <w:rFonts w:hint="eastAsia"/>
                <w:lang w:eastAsia="zh-CN"/>
              </w:rPr>
              <w:t>应发至成员国的文件</w:t>
            </w:r>
            <w:r>
              <w:rPr>
                <w:lang w:eastAsia="zh-CN"/>
              </w:rPr>
              <w:br/>
            </w:r>
            <w:r w:rsidRPr="00155BC6">
              <w:rPr>
                <w:lang w:eastAsia="zh-CN"/>
              </w:rPr>
              <w:t>（</w:t>
            </w:r>
            <w:r w:rsidRPr="00155BC6">
              <w:rPr>
                <w:rFonts w:hint="eastAsia"/>
                <w:lang w:eastAsia="zh-CN"/>
              </w:rPr>
              <w:t>理事会</w:t>
            </w:r>
            <w:r w:rsidRPr="00155BC6">
              <w:rPr>
                <w:lang w:eastAsia="zh-CN"/>
              </w:rPr>
              <w:t>）</w:t>
            </w:r>
          </w:p>
        </w:tc>
        <w:tc>
          <w:tcPr>
            <w:tcW w:w="1036" w:type="dxa"/>
            <w:tcBorders>
              <w:top w:val="nil"/>
              <w:bottom w:val="nil"/>
              <w:right w:val="nil"/>
            </w:tcBorders>
          </w:tcPr>
          <w:p w14:paraId="4827C75F" w14:textId="77777777" w:rsidR="006F0F3C" w:rsidRPr="00155BC6" w:rsidRDefault="006F0F3C" w:rsidP="006F0F3C">
            <w:pPr>
              <w:pStyle w:val="appendixctext"/>
            </w:pPr>
            <w:r w:rsidRPr="00155BC6">
              <w:t>D 8</w:t>
            </w:r>
          </w:p>
        </w:tc>
        <w:tc>
          <w:tcPr>
            <w:tcW w:w="599" w:type="dxa"/>
            <w:tcBorders>
              <w:top w:val="nil"/>
              <w:left w:val="nil"/>
              <w:bottom w:val="nil"/>
            </w:tcBorders>
          </w:tcPr>
          <w:p w14:paraId="4827C760" w14:textId="77777777" w:rsidR="006F0F3C" w:rsidRPr="00155BC6" w:rsidRDefault="006F0F3C" w:rsidP="006F0F3C">
            <w:pPr>
              <w:pStyle w:val="appendixctext"/>
            </w:pPr>
            <w:r w:rsidRPr="00155BC6">
              <w:t>3.2</w:t>
            </w:r>
          </w:p>
        </w:tc>
      </w:tr>
      <w:tr w:rsidR="006F0F3C" w:rsidRPr="00155BC6" w14:paraId="4827C766" w14:textId="77777777" w:rsidTr="006C740C">
        <w:trPr>
          <w:jc w:val="center"/>
        </w:trPr>
        <w:tc>
          <w:tcPr>
            <w:tcW w:w="303" w:type="dxa"/>
            <w:tcBorders>
              <w:top w:val="nil"/>
              <w:bottom w:val="nil"/>
              <w:right w:val="nil"/>
            </w:tcBorders>
          </w:tcPr>
          <w:p w14:paraId="4827C762" w14:textId="77777777" w:rsidR="006F0F3C" w:rsidRPr="00155BC6" w:rsidRDefault="006F0F3C" w:rsidP="006F0F3C">
            <w:pPr>
              <w:pStyle w:val="appendixctext"/>
            </w:pPr>
            <w:r w:rsidRPr="00155BC6">
              <w:t>–</w:t>
            </w:r>
          </w:p>
        </w:tc>
        <w:tc>
          <w:tcPr>
            <w:tcW w:w="2564" w:type="dxa"/>
            <w:tcBorders>
              <w:top w:val="nil"/>
              <w:left w:val="nil"/>
              <w:bottom w:val="nil"/>
            </w:tcBorders>
          </w:tcPr>
          <w:p w14:paraId="4827C763" w14:textId="77777777" w:rsidR="006F0F3C" w:rsidRPr="00155BC6" w:rsidRDefault="006F0F3C" w:rsidP="006F0F3C">
            <w:pPr>
              <w:pStyle w:val="appendixctext"/>
              <w:spacing w:before="40"/>
            </w:pPr>
            <w:r>
              <w:rPr>
                <w:rFonts w:hint="eastAsia"/>
                <w:lang w:eastAsia="zh-CN"/>
              </w:rPr>
              <w:t>情况</w:t>
            </w:r>
            <w:r>
              <w:rPr>
                <w:lang w:eastAsia="zh-CN"/>
              </w:rPr>
              <w:t>通报</w:t>
            </w:r>
            <w:r>
              <w:rPr>
                <w:rFonts w:hint="eastAsia"/>
                <w:lang w:eastAsia="zh-CN"/>
              </w:rPr>
              <w:t>文件</w:t>
            </w:r>
          </w:p>
        </w:tc>
        <w:tc>
          <w:tcPr>
            <w:tcW w:w="1036" w:type="dxa"/>
            <w:tcBorders>
              <w:top w:val="nil"/>
              <w:bottom w:val="nil"/>
              <w:right w:val="nil"/>
            </w:tcBorders>
          </w:tcPr>
          <w:p w14:paraId="4827C764" w14:textId="77777777" w:rsidR="006F0F3C" w:rsidRPr="00155BC6" w:rsidRDefault="006F0F3C" w:rsidP="006F0F3C">
            <w:pPr>
              <w:pStyle w:val="appendixctext"/>
            </w:pPr>
            <w:r w:rsidRPr="00155BC6">
              <w:t>D 495</w:t>
            </w:r>
          </w:p>
        </w:tc>
        <w:tc>
          <w:tcPr>
            <w:tcW w:w="599" w:type="dxa"/>
            <w:tcBorders>
              <w:top w:val="nil"/>
              <w:left w:val="nil"/>
              <w:bottom w:val="nil"/>
            </w:tcBorders>
          </w:tcPr>
          <w:p w14:paraId="4827C765" w14:textId="77777777" w:rsidR="006F0F3C" w:rsidRPr="00155BC6" w:rsidRDefault="006F0F3C" w:rsidP="006F0F3C">
            <w:pPr>
              <w:pStyle w:val="appendixctext"/>
            </w:pPr>
            <w:r w:rsidRPr="00155BC6">
              <w:t>3.2</w:t>
            </w:r>
          </w:p>
        </w:tc>
      </w:tr>
      <w:tr w:rsidR="006F0F3C" w:rsidRPr="00155BC6" w14:paraId="4827C76B" w14:textId="77777777" w:rsidTr="006C740C">
        <w:trPr>
          <w:jc w:val="center"/>
        </w:trPr>
        <w:tc>
          <w:tcPr>
            <w:tcW w:w="303" w:type="dxa"/>
            <w:tcBorders>
              <w:top w:val="nil"/>
              <w:bottom w:val="nil"/>
              <w:right w:val="nil"/>
            </w:tcBorders>
          </w:tcPr>
          <w:p w14:paraId="4827C767" w14:textId="77777777" w:rsidR="006F0F3C" w:rsidRPr="00155BC6" w:rsidRDefault="006F0F3C" w:rsidP="006F0F3C">
            <w:pPr>
              <w:pStyle w:val="appendixctext"/>
            </w:pPr>
            <w:r w:rsidRPr="00155BC6">
              <w:t>–</w:t>
            </w:r>
          </w:p>
        </w:tc>
        <w:tc>
          <w:tcPr>
            <w:tcW w:w="2564" w:type="dxa"/>
            <w:tcBorders>
              <w:top w:val="nil"/>
              <w:left w:val="nil"/>
              <w:bottom w:val="nil"/>
            </w:tcBorders>
          </w:tcPr>
          <w:p w14:paraId="4827C768" w14:textId="77777777" w:rsidR="006F0F3C" w:rsidRPr="00155BC6" w:rsidRDefault="006F0F3C" w:rsidP="006F0F3C">
            <w:pPr>
              <w:pStyle w:val="appendixctext"/>
              <w:spacing w:before="40"/>
              <w:rPr>
                <w:lang w:eastAsia="zh-CN"/>
              </w:rPr>
            </w:pPr>
            <w:r w:rsidRPr="00155BC6">
              <w:rPr>
                <w:rFonts w:hint="eastAsia"/>
                <w:lang w:eastAsia="zh-CN"/>
              </w:rPr>
              <w:t>降低国际电联大会、全会和理事会的成本并减少文件量</w:t>
            </w:r>
          </w:p>
        </w:tc>
        <w:tc>
          <w:tcPr>
            <w:tcW w:w="1036" w:type="dxa"/>
            <w:tcBorders>
              <w:top w:val="nil"/>
              <w:bottom w:val="nil"/>
              <w:right w:val="nil"/>
            </w:tcBorders>
          </w:tcPr>
          <w:p w14:paraId="4827C769" w14:textId="77777777" w:rsidR="006F0F3C" w:rsidRPr="00155BC6" w:rsidRDefault="006F0F3C" w:rsidP="006F0F3C">
            <w:pPr>
              <w:pStyle w:val="appendixctext"/>
            </w:pPr>
            <w:r w:rsidRPr="00155BC6">
              <w:t>R 1141</w:t>
            </w:r>
          </w:p>
        </w:tc>
        <w:tc>
          <w:tcPr>
            <w:tcW w:w="599" w:type="dxa"/>
            <w:tcBorders>
              <w:top w:val="nil"/>
              <w:left w:val="nil"/>
              <w:bottom w:val="nil"/>
            </w:tcBorders>
          </w:tcPr>
          <w:p w14:paraId="4827C76A" w14:textId="77777777" w:rsidR="006F0F3C" w:rsidRPr="00155BC6" w:rsidRDefault="006F0F3C" w:rsidP="006F0F3C">
            <w:pPr>
              <w:pStyle w:val="appendixctext"/>
            </w:pPr>
            <w:r w:rsidRPr="00155BC6">
              <w:t>3.1</w:t>
            </w:r>
          </w:p>
        </w:tc>
      </w:tr>
      <w:tr w:rsidR="006F0F3C" w:rsidRPr="00155BC6" w14:paraId="4827C770" w14:textId="77777777" w:rsidTr="006C740C">
        <w:trPr>
          <w:jc w:val="center"/>
        </w:trPr>
        <w:tc>
          <w:tcPr>
            <w:tcW w:w="303" w:type="dxa"/>
            <w:tcBorders>
              <w:top w:val="nil"/>
              <w:bottom w:val="single" w:sz="4" w:space="0" w:color="auto"/>
              <w:right w:val="nil"/>
            </w:tcBorders>
          </w:tcPr>
          <w:p w14:paraId="4827C76C" w14:textId="77777777" w:rsidR="006F0F3C" w:rsidRPr="00155BC6" w:rsidRDefault="006F0F3C" w:rsidP="006F0F3C">
            <w:pPr>
              <w:pStyle w:val="appendixctext"/>
            </w:pPr>
            <w:r w:rsidRPr="00155BC6">
              <w:t>–</w:t>
            </w:r>
          </w:p>
        </w:tc>
        <w:tc>
          <w:tcPr>
            <w:tcW w:w="2564" w:type="dxa"/>
            <w:tcBorders>
              <w:top w:val="nil"/>
              <w:left w:val="nil"/>
              <w:bottom w:val="single" w:sz="4" w:space="0" w:color="auto"/>
            </w:tcBorders>
          </w:tcPr>
          <w:p w14:paraId="4827C76D" w14:textId="77777777" w:rsidR="006F0F3C" w:rsidRPr="00155BC6" w:rsidRDefault="006F0F3C" w:rsidP="006F0F3C">
            <w:pPr>
              <w:pStyle w:val="appendixctext"/>
              <w:spacing w:before="40"/>
              <w:rPr>
                <w:lang w:eastAsia="zh-CN"/>
              </w:rPr>
            </w:pPr>
            <w:r w:rsidRPr="00A2399B">
              <w:rPr>
                <w:rFonts w:hint="eastAsia"/>
                <w:lang w:eastAsia="zh-CN"/>
              </w:rPr>
              <w:t>理事会会议和理事会工作组会议文件的提交</w:t>
            </w:r>
          </w:p>
        </w:tc>
        <w:tc>
          <w:tcPr>
            <w:tcW w:w="1036" w:type="dxa"/>
            <w:tcBorders>
              <w:top w:val="nil"/>
              <w:bottom w:val="single" w:sz="4" w:space="0" w:color="auto"/>
              <w:right w:val="nil"/>
            </w:tcBorders>
          </w:tcPr>
          <w:p w14:paraId="4827C76E" w14:textId="77777777" w:rsidR="006F0F3C" w:rsidRPr="00155BC6" w:rsidRDefault="006F0F3C" w:rsidP="006F0F3C">
            <w:pPr>
              <w:pStyle w:val="appendixctext"/>
            </w:pPr>
            <w:r w:rsidRPr="00155BC6">
              <w:t>D 556</w:t>
            </w:r>
          </w:p>
        </w:tc>
        <w:tc>
          <w:tcPr>
            <w:tcW w:w="599" w:type="dxa"/>
            <w:tcBorders>
              <w:top w:val="nil"/>
              <w:left w:val="nil"/>
              <w:bottom w:val="single" w:sz="4" w:space="0" w:color="auto"/>
            </w:tcBorders>
          </w:tcPr>
          <w:p w14:paraId="4827C76F" w14:textId="77777777" w:rsidR="006F0F3C" w:rsidRPr="00155BC6" w:rsidRDefault="006F0F3C" w:rsidP="006F0F3C">
            <w:pPr>
              <w:pStyle w:val="appendixctext"/>
            </w:pPr>
            <w:r w:rsidRPr="00155BC6">
              <w:t>3.2</w:t>
            </w:r>
          </w:p>
        </w:tc>
      </w:tr>
      <w:tr w:rsidR="006F0F3C" w:rsidRPr="00155BC6" w14:paraId="4827C774" w14:textId="77777777" w:rsidTr="006C740C">
        <w:trPr>
          <w:jc w:val="center"/>
        </w:trPr>
        <w:tc>
          <w:tcPr>
            <w:tcW w:w="2867" w:type="dxa"/>
            <w:gridSpan w:val="2"/>
            <w:tcBorders>
              <w:bottom w:val="single" w:sz="4" w:space="0" w:color="auto"/>
              <w:right w:val="single" w:sz="4" w:space="0" w:color="auto"/>
            </w:tcBorders>
          </w:tcPr>
          <w:p w14:paraId="4827C771" w14:textId="77777777" w:rsidR="006F0F3C" w:rsidRPr="00155BC6" w:rsidRDefault="006F0F3C" w:rsidP="006F0F3C">
            <w:pPr>
              <w:pStyle w:val="appendixchead"/>
              <w:rPr>
                <w:lang w:eastAsia="zh-CN"/>
              </w:rPr>
            </w:pPr>
            <w:r w:rsidRPr="00155BC6">
              <w:rPr>
                <w:rFonts w:hint="eastAsia"/>
                <w:lang w:eastAsia="zh-CN"/>
              </w:rPr>
              <w:t>无线电通信部门</w:t>
            </w:r>
            <w:r w:rsidRPr="00155BC6">
              <w:rPr>
                <w:lang w:eastAsia="zh-CN"/>
              </w:rPr>
              <w:t>（</w:t>
            </w:r>
            <w:r w:rsidRPr="00155BC6">
              <w:rPr>
                <w:lang w:eastAsia="zh-CN"/>
              </w:rPr>
              <w:t>ITU-R</w:t>
            </w:r>
            <w:r w:rsidRPr="00155BC6">
              <w:rPr>
                <w:lang w:eastAsia="zh-CN"/>
              </w:rPr>
              <w:t>）</w:t>
            </w:r>
          </w:p>
        </w:tc>
        <w:tc>
          <w:tcPr>
            <w:tcW w:w="1036" w:type="dxa"/>
            <w:tcBorders>
              <w:left w:val="single" w:sz="4" w:space="0" w:color="auto"/>
              <w:bottom w:val="single" w:sz="4" w:space="0" w:color="auto"/>
              <w:right w:val="nil"/>
            </w:tcBorders>
          </w:tcPr>
          <w:p w14:paraId="4827C772" w14:textId="77777777" w:rsidR="006F0F3C" w:rsidRPr="00155BC6" w:rsidRDefault="006F0F3C" w:rsidP="006F0F3C">
            <w:pPr>
              <w:pStyle w:val="appendixctext"/>
              <w:rPr>
                <w:lang w:eastAsia="zh-CN"/>
              </w:rPr>
            </w:pPr>
          </w:p>
        </w:tc>
        <w:tc>
          <w:tcPr>
            <w:tcW w:w="599" w:type="dxa"/>
            <w:tcBorders>
              <w:left w:val="nil"/>
              <w:bottom w:val="single" w:sz="4" w:space="0" w:color="auto"/>
            </w:tcBorders>
          </w:tcPr>
          <w:p w14:paraId="4827C773" w14:textId="77777777" w:rsidR="006F0F3C" w:rsidRPr="00155BC6" w:rsidRDefault="006F0F3C" w:rsidP="006F0F3C">
            <w:pPr>
              <w:pStyle w:val="appendixctext"/>
              <w:rPr>
                <w:lang w:eastAsia="zh-CN"/>
              </w:rPr>
            </w:pPr>
          </w:p>
        </w:tc>
      </w:tr>
      <w:tr w:rsidR="00AC5061" w:rsidRPr="00155BC6" w14:paraId="15171235" w14:textId="77777777" w:rsidTr="006C740C">
        <w:trPr>
          <w:jc w:val="center"/>
        </w:trPr>
        <w:tc>
          <w:tcPr>
            <w:tcW w:w="303" w:type="dxa"/>
            <w:tcBorders>
              <w:top w:val="single" w:sz="4" w:space="0" w:color="auto"/>
              <w:left w:val="single" w:sz="4" w:space="0" w:color="auto"/>
              <w:bottom w:val="nil"/>
              <w:right w:val="nil"/>
            </w:tcBorders>
          </w:tcPr>
          <w:p w14:paraId="0397522D" w14:textId="653BC45E" w:rsidR="00AC5061" w:rsidRPr="00797849" w:rsidRDefault="00AC5061" w:rsidP="006F0F3C">
            <w:pPr>
              <w:pStyle w:val="appendixctext"/>
              <w:spacing w:before="40"/>
            </w:pPr>
            <w:r w:rsidRPr="00797849">
              <w:t>–</w:t>
            </w:r>
          </w:p>
        </w:tc>
        <w:tc>
          <w:tcPr>
            <w:tcW w:w="2564" w:type="dxa"/>
            <w:tcBorders>
              <w:top w:val="single" w:sz="4" w:space="0" w:color="auto"/>
              <w:left w:val="nil"/>
              <w:bottom w:val="nil"/>
              <w:right w:val="single" w:sz="4" w:space="0" w:color="auto"/>
            </w:tcBorders>
          </w:tcPr>
          <w:p w14:paraId="5F3848EF" w14:textId="14B8165B" w:rsidR="00AC5061" w:rsidRPr="00155BC6" w:rsidRDefault="00AC5061" w:rsidP="00AC5061">
            <w:pPr>
              <w:pStyle w:val="appendixctext"/>
              <w:spacing w:before="40"/>
              <w:rPr>
                <w:lang w:eastAsia="zh-CN"/>
              </w:rPr>
            </w:pPr>
            <w:r>
              <w:rPr>
                <w:rFonts w:hint="eastAsia"/>
                <w:lang w:eastAsia="zh-CN"/>
              </w:rPr>
              <w:t>WRC-23</w:t>
            </w:r>
            <w:r>
              <w:rPr>
                <w:rFonts w:hint="eastAsia"/>
                <w:lang w:eastAsia="zh-CN"/>
              </w:rPr>
              <w:t>议程</w:t>
            </w:r>
          </w:p>
        </w:tc>
        <w:tc>
          <w:tcPr>
            <w:tcW w:w="1036" w:type="dxa"/>
            <w:tcBorders>
              <w:top w:val="single" w:sz="4" w:space="0" w:color="auto"/>
              <w:left w:val="single" w:sz="4" w:space="0" w:color="auto"/>
              <w:bottom w:val="nil"/>
              <w:right w:val="nil"/>
            </w:tcBorders>
          </w:tcPr>
          <w:p w14:paraId="0D52E8B2" w14:textId="7EAA99E5" w:rsidR="00AC5061" w:rsidRPr="00155BC6" w:rsidRDefault="00AC5061" w:rsidP="006F0F3C">
            <w:pPr>
              <w:pStyle w:val="appendixctext"/>
              <w:spacing w:before="40"/>
            </w:pPr>
            <w:r>
              <w:t>R 1399</w:t>
            </w:r>
          </w:p>
        </w:tc>
        <w:tc>
          <w:tcPr>
            <w:tcW w:w="599" w:type="dxa"/>
            <w:tcBorders>
              <w:top w:val="single" w:sz="4" w:space="0" w:color="auto"/>
              <w:left w:val="nil"/>
              <w:bottom w:val="nil"/>
              <w:right w:val="single" w:sz="4" w:space="0" w:color="auto"/>
            </w:tcBorders>
          </w:tcPr>
          <w:p w14:paraId="40B5AF68" w14:textId="41942746" w:rsidR="00AC5061" w:rsidRPr="00155BC6" w:rsidRDefault="00AC5061" w:rsidP="006F0F3C">
            <w:pPr>
              <w:pStyle w:val="appendixctext"/>
              <w:spacing w:before="40"/>
              <w:rPr>
                <w:lang w:eastAsia="zh-CN"/>
              </w:rPr>
            </w:pPr>
            <w:r>
              <w:rPr>
                <w:lang w:eastAsia="zh-CN"/>
              </w:rPr>
              <w:t>3.4</w:t>
            </w:r>
          </w:p>
        </w:tc>
      </w:tr>
      <w:tr w:rsidR="008E24CF" w:rsidRPr="00155BC6" w14:paraId="68B2E512" w14:textId="77777777" w:rsidTr="006C740C">
        <w:trPr>
          <w:jc w:val="center"/>
        </w:trPr>
        <w:tc>
          <w:tcPr>
            <w:tcW w:w="303" w:type="dxa"/>
            <w:tcBorders>
              <w:top w:val="nil"/>
              <w:left w:val="single" w:sz="4" w:space="0" w:color="auto"/>
              <w:bottom w:val="nil"/>
              <w:right w:val="nil"/>
            </w:tcBorders>
          </w:tcPr>
          <w:p w14:paraId="1488402D" w14:textId="2CB72238" w:rsidR="008E24CF" w:rsidRPr="00797849" w:rsidRDefault="008E24CF" w:rsidP="006F0F3C">
            <w:pPr>
              <w:pStyle w:val="appendixctext"/>
              <w:spacing w:before="40"/>
            </w:pPr>
            <w:r w:rsidRPr="00797849">
              <w:t>–</w:t>
            </w:r>
          </w:p>
        </w:tc>
        <w:tc>
          <w:tcPr>
            <w:tcW w:w="2564" w:type="dxa"/>
            <w:tcBorders>
              <w:top w:val="nil"/>
              <w:left w:val="nil"/>
              <w:bottom w:val="nil"/>
              <w:right w:val="single" w:sz="4" w:space="0" w:color="auto"/>
            </w:tcBorders>
          </w:tcPr>
          <w:p w14:paraId="4A12C0BC" w14:textId="7FE80EC4" w:rsidR="008E24CF" w:rsidRPr="00155BC6" w:rsidRDefault="008E24CF" w:rsidP="006F0F3C">
            <w:pPr>
              <w:pStyle w:val="appendixctext"/>
              <w:spacing w:before="40"/>
              <w:rPr>
                <w:lang w:eastAsia="zh-CN"/>
              </w:rPr>
            </w:pPr>
            <w:r w:rsidRPr="008E24CF">
              <w:rPr>
                <w:rFonts w:hint="eastAsia"/>
                <w:lang w:eastAsia="zh-CN"/>
              </w:rPr>
              <w:t>WRC-23</w:t>
            </w:r>
            <w:r w:rsidRPr="008E24CF">
              <w:rPr>
                <w:rFonts w:hint="eastAsia"/>
                <w:lang w:eastAsia="zh-CN"/>
              </w:rPr>
              <w:t>的地点和日期</w:t>
            </w:r>
          </w:p>
        </w:tc>
        <w:tc>
          <w:tcPr>
            <w:tcW w:w="1036" w:type="dxa"/>
            <w:tcBorders>
              <w:top w:val="nil"/>
              <w:left w:val="single" w:sz="4" w:space="0" w:color="auto"/>
              <w:bottom w:val="nil"/>
              <w:right w:val="nil"/>
            </w:tcBorders>
          </w:tcPr>
          <w:p w14:paraId="4C78C397" w14:textId="4817135F" w:rsidR="008E24CF" w:rsidRPr="00155BC6" w:rsidRDefault="008E24CF" w:rsidP="006F0F3C">
            <w:pPr>
              <w:pStyle w:val="appendixctext"/>
              <w:spacing w:before="40"/>
              <w:rPr>
                <w:lang w:eastAsia="zh-CN"/>
              </w:rPr>
            </w:pPr>
            <w:r>
              <w:rPr>
                <w:lang w:eastAsia="zh-CN"/>
              </w:rPr>
              <w:t xml:space="preserve">D </w:t>
            </w:r>
            <w:r>
              <w:rPr>
                <w:rFonts w:hint="eastAsia"/>
                <w:lang w:eastAsia="zh-CN"/>
              </w:rPr>
              <w:t>623</w:t>
            </w:r>
          </w:p>
        </w:tc>
        <w:tc>
          <w:tcPr>
            <w:tcW w:w="599" w:type="dxa"/>
            <w:tcBorders>
              <w:top w:val="nil"/>
              <w:left w:val="nil"/>
              <w:bottom w:val="nil"/>
              <w:right w:val="single" w:sz="4" w:space="0" w:color="auto"/>
            </w:tcBorders>
          </w:tcPr>
          <w:p w14:paraId="4FF442C8" w14:textId="2D22EF39" w:rsidR="008E24CF" w:rsidRPr="00155BC6" w:rsidRDefault="008E24CF" w:rsidP="006F0F3C">
            <w:pPr>
              <w:pStyle w:val="appendixctext"/>
              <w:spacing w:before="40"/>
              <w:rPr>
                <w:lang w:eastAsia="zh-CN"/>
              </w:rPr>
            </w:pPr>
            <w:r>
              <w:rPr>
                <w:rFonts w:hint="eastAsia"/>
                <w:lang w:eastAsia="zh-CN"/>
              </w:rPr>
              <w:t>3.4</w:t>
            </w:r>
          </w:p>
        </w:tc>
      </w:tr>
      <w:tr w:rsidR="006F0F3C" w:rsidRPr="00155BC6" w14:paraId="4827C779" w14:textId="77777777" w:rsidTr="006C740C">
        <w:trPr>
          <w:jc w:val="center"/>
        </w:trPr>
        <w:tc>
          <w:tcPr>
            <w:tcW w:w="303" w:type="dxa"/>
            <w:tcBorders>
              <w:top w:val="nil"/>
              <w:left w:val="single" w:sz="4" w:space="0" w:color="auto"/>
              <w:bottom w:val="nil"/>
              <w:right w:val="nil"/>
            </w:tcBorders>
          </w:tcPr>
          <w:p w14:paraId="4827C775" w14:textId="77777777" w:rsidR="006F0F3C" w:rsidRPr="00797849" w:rsidRDefault="006F0F3C" w:rsidP="006F0F3C">
            <w:pPr>
              <w:pStyle w:val="appendixctext"/>
              <w:spacing w:before="40"/>
            </w:pPr>
            <w:r w:rsidRPr="00797849">
              <w:t>–</w:t>
            </w:r>
          </w:p>
        </w:tc>
        <w:tc>
          <w:tcPr>
            <w:tcW w:w="2564" w:type="dxa"/>
            <w:tcBorders>
              <w:top w:val="nil"/>
              <w:left w:val="nil"/>
              <w:bottom w:val="nil"/>
              <w:right w:val="single" w:sz="4" w:space="0" w:color="auto"/>
            </w:tcBorders>
          </w:tcPr>
          <w:p w14:paraId="4827C776" w14:textId="77777777" w:rsidR="006F0F3C" w:rsidRPr="00155BC6" w:rsidRDefault="006F0F3C" w:rsidP="006F0F3C">
            <w:pPr>
              <w:pStyle w:val="appendixctext"/>
              <w:spacing w:before="40"/>
              <w:rPr>
                <w:lang w:eastAsia="zh-CN"/>
              </w:rPr>
            </w:pPr>
            <w:r w:rsidRPr="00155BC6">
              <w:rPr>
                <w:rFonts w:hint="eastAsia"/>
                <w:lang w:eastAsia="zh-CN"/>
              </w:rPr>
              <w:t>对卫星网络申报实行成本回收</w:t>
            </w:r>
          </w:p>
        </w:tc>
        <w:tc>
          <w:tcPr>
            <w:tcW w:w="1036" w:type="dxa"/>
            <w:tcBorders>
              <w:top w:val="nil"/>
              <w:left w:val="single" w:sz="4" w:space="0" w:color="auto"/>
              <w:bottom w:val="nil"/>
              <w:right w:val="nil"/>
            </w:tcBorders>
          </w:tcPr>
          <w:p w14:paraId="4827C777" w14:textId="77777777" w:rsidR="006F0F3C" w:rsidRPr="00155BC6" w:rsidRDefault="006F0F3C" w:rsidP="006F0F3C">
            <w:pPr>
              <w:pStyle w:val="appendixctext"/>
              <w:spacing w:before="40"/>
            </w:pPr>
            <w:r w:rsidRPr="00155BC6">
              <w:t>D 482</w:t>
            </w:r>
            <w:r w:rsidR="00FC3DC3">
              <w:br/>
            </w:r>
            <w:r w:rsidR="00FC3DC3" w:rsidRPr="00155BC6">
              <w:t>D 535</w:t>
            </w:r>
          </w:p>
        </w:tc>
        <w:tc>
          <w:tcPr>
            <w:tcW w:w="599" w:type="dxa"/>
            <w:tcBorders>
              <w:top w:val="nil"/>
              <w:left w:val="nil"/>
              <w:bottom w:val="nil"/>
              <w:right w:val="single" w:sz="4" w:space="0" w:color="auto"/>
            </w:tcBorders>
          </w:tcPr>
          <w:p w14:paraId="4827C778" w14:textId="77777777" w:rsidR="006F0F3C" w:rsidRPr="00155BC6" w:rsidRDefault="006F0F3C" w:rsidP="006F0F3C">
            <w:pPr>
              <w:pStyle w:val="appendixctext"/>
              <w:spacing w:before="40"/>
              <w:rPr>
                <w:lang w:eastAsia="zh-CN"/>
              </w:rPr>
            </w:pPr>
            <w:r w:rsidRPr="00155BC6">
              <w:rPr>
                <w:rFonts w:hint="eastAsia"/>
                <w:lang w:eastAsia="zh-CN"/>
              </w:rPr>
              <w:t>1</w:t>
            </w:r>
            <w:r w:rsidRPr="00155BC6">
              <w:rPr>
                <w:lang w:eastAsia="zh-CN"/>
              </w:rPr>
              <w:t>.2</w:t>
            </w:r>
            <w:r w:rsidR="00FC3DC3">
              <w:rPr>
                <w:lang w:eastAsia="zh-CN"/>
              </w:rPr>
              <w:br/>
            </w:r>
            <w:r w:rsidR="00FC3DC3" w:rsidRPr="00155BC6">
              <w:rPr>
                <w:lang w:eastAsia="zh-CN"/>
              </w:rPr>
              <w:t>5.2</w:t>
            </w:r>
          </w:p>
        </w:tc>
      </w:tr>
      <w:tr w:rsidR="006F0F3C" w:rsidRPr="00155BC6" w14:paraId="4827C77E" w14:textId="77777777" w:rsidTr="006C740C">
        <w:trPr>
          <w:jc w:val="center"/>
        </w:trPr>
        <w:tc>
          <w:tcPr>
            <w:tcW w:w="303" w:type="dxa"/>
            <w:tcBorders>
              <w:top w:val="nil"/>
              <w:left w:val="single" w:sz="4" w:space="0" w:color="auto"/>
              <w:bottom w:val="nil"/>
              <w:right w:val="nil"/>
            </w:tcBorders>
          </w:tcPr>
          <w:p w14:paraId="4827C77A" w14:textId="77777777" w:rsidR="006F0F3C" w:rsidRPr="00797849" w:rsidRDefault="006F0F3C" w:rsidP="006F0F3C">
            <w:pPr>
              <w:pStyle w:val="appendixctext"/>
              <w:spacing w:before="40"/>
              <w:rPr>
                <w:lang w:eastAsia="zh-CN"/>
              </w:rPr>
            </w:pPr>
            <w:r w:rsidRPr="00797849">
              <w:rPr>
                <w:lang w:eastAsia="zh-CN"/>
              </w:rPr>
              <w:t>–</w:t>
            </w:r>
          </w:p>
        </w:tc>
        <w:tc>
          <w:tcPr>
            <w:tcW w:w="2564" w:type="dxa"/>
            <w:tcBorders>
              <w:top w:val="nil"/>
              <w:left w:val="nil"/>
              <w:bottom w:val="nil"/>
              <w:right w:val="single" w:sz="4" w:space="0" w:color="auto"/>
            </w:tcBorders>
          </w:tcPr>
          <w:p w14:paraId="4827C77B" w14:textId="77777777" w:rsidR="006F0F3C" w:rsidRPr="00155BC6" w:rsidRDefault="006F0F3C" w:rsidP="006F0F3C">
            <w:pPr>
              <w:pStyle w:val="appendixctext"/>
              <w:spacing w:before="40"/>
              <w:rPr>
                <w:lang w:eastAsia="zh-CN"/>
              </w:rPr>
            </w:pPr>
            <w:r w:rsidRPr="00155BC6">
              <w:rPr>
                <w:rFonts w:hint="eastAsia"/>
                <w:lang w:eastAsia="zh-CN"/>
              </w:rPr>
              <w:t>《运作规划》</w:t>
            </w:r>
          </w:p>
        </w:tc>
        <w:tc>
          <w:tcPr>
            <w:tcW w:w="1036" w:type="dxa"/>
            <w:tcBorders>
              <w:top w:val="nil"/>
              <w:left w:val="single" w:sz="4" w:space="0" w:color="auto"/>
              <w:bottom w:val="nil"/>
              <w:right w:val="nil"/>
            </w:tcBorders>
          </w:tcPr>
          <w:p w14:paraId="4827C77C" w14:textId="660550C7" w:rsidR="006F0F3C" w:rsidRPr="00155BC6" w:rsidRDefault="00BF10EE" w:rsidP="00737A1F">
            <w:pPr>
              <w:pStyle w:val="appendixctext"/>
              <w:spacing w:before="40"/>
              <w:rPr>
                <w:lang w:eastAsia="zh-CN"/>
              </w:rPr>
            </w:pPr>
            <w:r w:rsidRPr="00155BC6">
              <w:rPr>
                <w:lang w:eastAsia="zh-CN"/>
              </w:rPr>
              <w:t>R 1</w:t>
            </w:r>
            <w:r w:rsidR="00890171">
              <w:rPr>
                <w:lang w:eastAsia="zh-CN"/>
              </w:rPr>
              <w:t>403</w:t>
            </w:r>
          </w:p>
        </w:tc>
        <w:tc>
          <w:tcPr>
            <w:tcW w:w="599" w:type="dxa"/>
            <w:tcBorders>
              <w:top w:val="nil"/>
              <w:left w:val="nil"/>
              <w:bottom w:val="nil"/>
              <w:right w:val="single" w:sz="4" w:space="0" w:color="auto"/>
            </w:tcBorders>
          </w:tcPr>
          <w:p w14:paraId="4827C77D" w14:textId="5AA9F1CC" w:rsidR="006F0F3C" w:rsidRPr="00155BC6" w:rsidRDefault="006F0F3C" w:rsidP="006F0F3C">
            <w:pPr>
              <w:pStyle w:val="appendixctext"/>
              <w:spacing w:before="40"/>
              <w:rPr>
                <w:lang w:eastAsia="zh-CN"/>
              </w:rPr>
            </w:pPr>
            <w:r>
              <w:rPr>
                <w:lang w:eastAsia="zh-CN"/>
              </w:rPr>
              <w:t>4</w:t>
            </w:r>
          </w:p>
        </w:tc>
      </w:tr>
      <w:tr w:rsidR="006F0F3C" w:rsidRPr="00155BC6" w14:paraId="4827C788" w14:textId="77777777" w:rsidTr="006C740C">
        <w:trPr>
          <w:jc w:val="center"/>
        </w:trPr>
        <w:tc>
          <w:tcPr>
            <w:tcW w:w="303" w:type="dxa"/>
            <w:tcBorders>
              <w:top w:val="nil"/>
              <w:left w:val="single" w:sz="4" w:space="0" w:color="auto"/>
              <w:bottom w:val="single" w:sz="4" w:space="0" w:color="auto"/>
              <w:right w:val="nil"/>
            </w:tcBorders>
          </w:tcPr>
          <w:p w14:paraId="4827C784" w14:textId="77777777" w:rsidR="006F0F3C" w:rsidRPr="00797849" w:rsidRDefault="006F0F3C" w:rsidP="006F0F3C">
            <w:pPr>
              <w:pStyle w:val="appendixctext"/>
              <w:spacing w:before="40"/>
              <w:rPr>
                <w:lang w:eastAsia="zh-CN"/>
              </w:rPr>
            </w:pPr>
            <w:r w:rsidRPr="00797849">
              <w:rPr>
                <w:lang w:eastAsia="zh-CN"/>
              </w:rPr>
              <w:t>–</w:t>
            </w:r>
          </w:p>
        </w:tc>
        <w:tc>
          <w:tcPr>
            <w:tcW w:w="2564" w:type="dxa"/>
            <w:tcBorders>
              <w:top w:val="nil"/>
              <w:left w:val="nil"/>
              <w:bottom w:val="single" w:sz="4" w:space="0" w:color="auto"/>
              <w:right w:val="single" w:sz="4" w:space="0" w:color="auto"/>
            </w:tcBorders>
          </w:tcPr>
          <w:p w14:paraId="4827C785" w14:textId="77777777" w:rsidR="006F0F3C" w:rsidRPr="00155BC6" w:rsidRDefault="006F0F3C" w:rsidP="006F0F3C">
            <w:pPr>
              <w:pStyle w:val="appendixctext"/>
              <w:spacing w:before="40"/>
              <w:rPr>
                <w:lang w:eastAsia="zh-CN"/>
              </w:rPr>
            </w:pPr>
            <w:r w:rsidRPr="00155BC6">
              <w:rPr>
                <w:rFonts w:hint="eastAsia"/>
                <w:lang w:eastAsia="zh-CN"/>
              </w:rPr>
              <w:t>无线电规则委员会委员的地位</w:t>
            </w:r>
          </w:p>
        </w:tc>
        <w:tc>
          <w:tcPr>
            <w:tcW w:w="1036" w:type="dxa"/>
            <w:tcBorders>
              <w:top w:val="nil"/>
              <w:left w:val="single" w:sz="4" w:space="0" w:color="auto"/>
              <w:bottom w:val="single" w:sz="4" w:space="0" w:color="auto"/>
              <w:right w:val="nil"/>
            </w:tcBorders>
          </w:tcPr>
          <w:p w14:paraId="4827C786" w14:textId="77777777" w:rsidR="006F0F3C" w:rsidRPr="00155BC6" w:rsidRDefault="006F0F3C" w:rsidP="006F0F3C">
            <w:pPr>
              <w:pStyle w:val="appendixctext"/>
              <w:spacing w:before="40"/>
              <w:rPr>
                <w:lang w:eastAsia="zh-CN"/>
              </w:rPr>
            </w:pPr>
            <w:r w:rsidRPr="00155BC6">
              <w:rPr>
                <w:lang w:eastAsia="zh-CN"/>
              </w:rPr>
              <w:t>R 1148</w:t>
            </w:r>
          </w:p>
        </w:tc>
        <w:tc>
          <w:tcPr>
            <w:tcW w:w="599" w:type="dxa"/>
            <w:tcBorders>
              <w:top w:val="nil"/>
              <w:left w:val="nil"/>
              <w:bottom w:val="single" w:sz="4" w:space="0" w:color="auto"/>
              <w:right w:val="single" w:sz="4" w:space="0" w:color="auto"/>
            </w:tcBorders>
          </w:tcPr>
          <w:p w14:paraId="4827C787" w14:textId="77777777" w:rsidR="006F0F3C" w:rsidRPr="00155BC6" w:rsidRDefault="006F0F3C" w:rsidP="006F0F3C">
            <w:pPr>
              <w:pStyle w:val="appendixctext"/>
              <w:spacing w:before="40"/>
              <w:rPr>
                <w:lang w:eastAsia="zh-CN"/>
              </w:rPr>
            </w:pPr>
            <w:r w:rsidRPr="00155BC6">
              <w:rPr>
                <w:lang w:eastAsia="zh-CN"/>
              </w:rPr>
              <w:t>5.2</w:t>
            </w:r>
          </w:p>
        </w:tc>
      </w:tr>
      <w:tr w:rsidR="006F0F3C" w:rsidRPr="00155BC6" w14:paraId="4827C78C" w14:textId="77777777" w:rsidTr="006C740C">
        <w:trPr>
          <w:jc w:val="center"/>
        </w:trPr>
        <w:tc>
          <w:tcPr>
            <w:tcW w:w="2867" w:type="dxa"/>
            <w:gridSpan w:val="2"/>
            <w:tcBorders>
              <w:top w:val="single" w:sz="4" w:space="0" w:color="auto"/>
              <w:right w:val="single" w:sz="4" w:space="0" w:color="auto"/>
            </w:tcBorders>
          </w:tcPr>
          <w:p w14:paraId="4827C789" w14:textId="77777777" w:rsidR="006F0F3C" w:rsidRPr="00155BC6" w:rsidRDefault="006F0F3C" w:rsidP="00FC3DC3">
            <w:pPr>
              <w:pStyle w:val="appendixchead"/>
              <w:spacing w:before="100"/>
              <w:rPr>
                <w:lang w:eastAsia="zh-CN"/>
              </w:rPr>
            </w:pPr>
            <w:r w:rsidRPr="00155BC6">
              <w:rPr>
                <w:rFonts w:hint="eastAsia"/>
                <w:lang w:eastAsia="zh-CN"/>
              </w:rPr>
              <w:t>薪金</w:t>
            </w:r>
            <w:r w:rsidRPr="00155BC6">
              <w:rPr>
                <w:lang w:eastAsia="zh-CN"/>
              </w:rPr>
              <w:t>（</w:t>
            </w:r>
            <w:r w:rsidRPr="00155BC6">
              <w:rPr>
                <w:rFonts w:ascii="STKaiti" w:eastAsia="STKaiti" w:hAnsi="SimSun" w:hint="eastAsia"/>
                <w:lang w:eastAsia="zh-CN"/>
              </w:rPr>
              <w:t>见</w:t>
            </w:r>
            <w:r w:rsidRPr="00155BC6">
              <w:rPr>
                <w:rFonts w:ascii="STKaiti" w:eastAsia="STKaiti" w:hAnsi="STKaiti" w:hint="eastAsia"/>
                <w:lang w:eastAsia="zh-CN"/>
              </w:rPr>
              <w:t>职员</w:t>
            </w:r>
            <w:r w:rsidRPr="00155BC6">
              <w:rPr>
                <w:rFonts w:ascii="STKaiti" w:eastAsia="STKaiti" w:hAnsi="SimSun" w:hint="eastAsia"/>
                <w:lang w:eastAsia="zh-CN"/>
              </w:rPr>
              <w:t>项下</w:t>
            </w:r>
            <w:r w:rsidRPr="00155BC6">
              <w:rPr>
                <w:lang w:eastAsia="zh-CN"/>
              </w:rPr>
              <w:t>）</w:t>
            </w:r>
          </w:p>
        </w:tc>
        <w:tc>
          <w:tcPr>
            <w:tcW w:w="1036" w:type="dxa"/>
            <w:tcBorders>
              <w:top w:val="single" w:sz="4" w:space="0" w:color="auto"/>
              <w:left w:val="single" w:sz="4" w:space="0" w:color="auto"/>
              <w:right w:val="nil"/>
            </w:tcBorders>
          </w:tcPr>
          <w:p w14:paraId="4827C78A" w14:textId="77777777" w:rsidR="006F0F3C" w:rsidRPr="00B0242C" w:rsidRDefault="006F0F3C" w:rsidP="006F0F3C">
            <w:pPr>
              <w:pStyle w:val="appendixctext"/>
              <w:rPr>
                <w:lang w:eastAsia="zh-CN"/>
              </w:rPr>
            </w:pPr>
          </w:p>
        </w:tc>
        <w:tc>
          <w:tcPr>
            <w:tcW w:w="599" w:type="dxa"/>
            <w:tcBorders>
              <w:top w:val="single" w:sz="4" w:space="0" w:color="auto"/>
              <w:left w:val="nil"/>
            </w:tcBorders>
          </w:tcPr>
          <w:p w14:paraId="4827C78B" w14:textId="77777777" w:rsidR="006F0F3C" w:rsidRPr="00B0242C" w:rsidRDefault="006F0F3C" w:rsidP="006F0F3C">
            <w:pPr>
              <w:pStyle w:val="appendixctext"/>
              <w:rPr>
                <w:lang w:eastAsia="zh-CN"/>
              </w:rPr>
            </w:pPr>
          </w:p>
        </w:tc>
      </w:tr>
      <w:tr w:rsidR="006F0F3C" w:rsidRPr="00155BC6" w14:paraId="4827C790" w14:textId="77777777" w:rsidTr="006C740C">
        <w:trPr>
          <w:jc w:val="center"/>
        </w:trPr>
        <w:tc>
          <w:tcPr>
            <w:tcW w:w="2867" w:type="dxa"/>
            <w:gridSpan w:val="2"/>
            <w:tcBorders>
              <w:right w:val="single" w:sz="4" w:space="0" w:color="auto"/>
            </w:tcBorders>
          </w:tcPr>
          <w:p w14:paraId="4827C78D" w14:textId="77777777" w:rsidR="006F0F3C" w:rsidRPr="00155BC6" w:rsidRDefault="006F0F3C" w:rsidP="006F0F3C">
            <w:pPr>
              <w:pStyle w:val="appendixchead"/>
              <w:rPr>
                <w:lang w:eastAsia="zh-CN"/>
              </w:rPr>
            </w:pPr>
            <w:r w:rsidRPr="00155BC6">
              <w:rPr>
                <w:rFonts w:hint="eastAsia"/>
                <w:lang w:eastAsia="zh-CN"/>
              </w:rPr>
              <w:t>性别问题</w:t>
            </w:r>
          </w:p>
        </w:tc>
        <w:tc>
          <w:tcPr>
            <w:tcW w:w="1036" w:type="dxa"/>
            <w:tcBorders>
              <w:left w:val="single" w:sz="4" w:space="0" w:color="auto"/>
              <w:right w:val="nil"/>
            </w:tcBorders>
          </w:tcPr>
          <w:p w14:paraId="4827C78E" w14:textId="77777777" w:rsidR="006F0F3C" w:rsidRPr="00B0242C" w:rsidRDefault="006F0F3C" w:rsidP="006F0F3C">
            <w:pPr>
              <w:pStyle w:val="appendixctext"/>
              <w:spacing w:before="120"/>
              <w:rPr>
                <w:lang w:eastAsia="zh-CN"/>
              </w:rPr>
            </w:pPr>
            <w:r w:rsidRPr="00155BC6">
              <w:rPr>
                <w:lang w:eastAsia="zh-CN"/>
              </w:rPr>
              <w:t>R 1</w:t>
            </w:r>
            <w:r>
              <w:rPr>
                <w:lang w:eastAsia="zh-CN"/>
              </w:rPr>
              <w:t>187</w:t>
            </w:r>
          </w:p>
        </w:tc>
        <w:tc>
          <w:tcPr>
            <w:tcW w:w="599" w:type="dxa"/>
            <w:tcBorders>
              <w:left w:val="nil"/>
            </w:tcBorders>
          </w:tcPr>
          <w:p w14:paraId="4827C78F" w14:textId="77777777" w:rsidR="006F0F3C" w:rsidRPr="00B0242C" w:rsidRDefault="006F0F3C" w:rsidP="006F0F3C">
            <w:pPr>
              <w:pStyle w:val="appendixctext"/>
              <w:spacing w:before="120"/>
              <w:rPr>
                <w:lang w:eastAsia="zh-CN"/>
              </w:rPr>
            </w:pPr>
            <w:r w:rsidRPr="00155BC6">
              <w:rPr>
                <w:lang w:eastAsia="zh-CN"/>
              </w:rPr>
              <w:t>2.</w:t>
            </w:r>
            <w:r>
              <w:rPr>
                <w:lang w:eastAsia="zh-CN"/>
              </w:rPr>
              <w:t>2</w:t>
            </w:r>
          </w:p>
        </w:tc>
      </w:tr>
      <w:tr w:rsidR="006F0F3C" w:rsidRPr="00155BC6" w14:paraId="4827C794" w14:textId="77777777" w:rsidTr="006C740C">
        <w:trPr>
          <w:jc w:val="center"/>
        </w:trPr>
        <w:tc>
          <w:tcPr>
            <w:tcW w:w="2867" w:type="dxa"/>
            <w:gridSpan w:val="2"/>
            <w:tcBorders>
              <w:bottom w:val="nil"/>
              <w:right w:val="single" w:sz="4" w:space="0" w:color="auto"/>
            </w:tcBorders>
          </w:tcPr>
          <w:p w14:paraId="4827C791" w14:textId="77777777" w:rsidR="006F0F3C" w:rsidRPr="00155BC6" w:rsidRDefault="006F0F3C" w:rsidP="006F0F3C">
            <w:pPr>
              <w:pStyle w:val="appendixchead"/>
              <w:rPr>
                <w:lang w:eastAsia="zh-CN"/>
              </w:rPr>
            </w:pPr>
            <w:r w:rsidRPr="00155BC6">
              <w:rPr>
                <w:rFonts w:hint="eastAsia"/>
                <w:lang w:eastAsia="zh-CN"/>
              </w:rPr>
              <w:lastRenderedPageBreak/>
              <w:t>信息社会世界高峰会议</w:t>
            </w:r>
          </w:p>
        </w:tc>
        <w:tc>
          <w:tcPr>
            <w:tcW w:w="1036" w:type="dxa"/>
            <w:tcBorders>
              <w:left w:val="single" w:sz="4" w:space="0" w:color="auto"/>
              <w:bottom w:val="nil"/>
              <w:right w:val="nil"/>
            </w:tcBorders>
          </w:tcPr>
          <w:p w14:paraId="4827C792" w14:textId="77777777" w:rsidR="006F0F3C" w:rsidRPr="00155BC6" w:rsidRDefault="006F0F3C" w:rsidP="006F0F3C">
            <w:pPr>
              <w:pStyle w:val="appendixctext"/>
              <w:spacing w:before="120"/>
            </w:pPr>
            <w:r w:rsidRPr="00155BC6">
              <w:t>R 1332</w:t>
            </w:r>
          </w:p>
        </w:tc>
        <w:tc>
          <w:tcPr>
            <w:tcW w:w="599" w:type="dxa"/>
            <w:tcBorders>
              <w:left w:val="nil"/>
              <w:bottom w:val="nil"/>
            </w:tcBorders>
          </w:tcPr>
          <w:p w14:paraId="4827C793" w14:textId="77777777" w:rsidR="006F0F3C" w:rsidRPr="00155BC6" w:rsidRDefault="006F0F3C" w:rsidP="006F0F3C">
            <w:pPr>
              <w:pStyle w:val="appendixctext"/>
              <w:spacing w:before="120"/>
            </w:pPr>
            <w:r w:rsidRPr="00155BC6">
              <w:t>3.2</w:t>
            </w:r>
          </w:p>
        </w:tc>
      </w:tr>
      <w:tr w:rsidR="006F0F3C" w:rsidRPr="00155BC6" w14:paraId="4827C798" w14:textId="77777777" w:rsidTr="006C740C">
        <w:trPr>
          <w:jc w:val="center"/>
        </w:trPr>
        <w:tc>
          <w:tcPr>
            <w:tcW w:w="2867" w:type="dxa"/>
            <w:gridSpan w:val="2"/>
            <w:tcBorders>
              <w:top w:val="nil"/>
              <w:bottom w:val="nil"/>
              <w:right w:val="single" w:sz="4" w:space="0" w:color="auto"/>
            </w:tcBorders>
          </w:tcPr>
          <w:p w14:paraId="4827C795" w14:textId="77777777" w:rsidR="006F0F3C" w:rsidRPr="00155BC6" w:rsidRDefault="006F0F3C" w:rsidP="006F0F3C">
            <w:pPr>
              <w:pStyle w:val="appendixctext"/>
            </w:pPr>
          </w:p>
        </w:tc>
        <w:tc>
          <w:tcPr>
            <w:tcW w:w="1036" w:type="dxa"/>
            <w:tcBorders>
              <w:top w:val="nil"/>
              <w:left w:val="single" w:sz="4" w:space="0" w:color="auto"/>
              <w:bottom w:val="nil"/>
              <w:right w:val="nil"/>
            </w:tcBorders>
          </w:tcPr>
          <w:p w14:paraId="4827C796" w14:textId="77777777" w:rsidR="006F0F3C" w:rsidRPr="00155BC6" w:rsidRDefault="006F0F3C" w:rsidP="006F0F3C">
            <w:pPr>
              <w:pStyle w:val="appendixctext"/>
            </w:pPr>
            <w:r>
              <w:rPr>
                <w:lang w:val="en-US" w:eastAsia="zh-CN"/>
              </w:rPr>
              <w:t>R 1334</w:t>
            </w:r>
          </w:p>
        </w:tc>
        <w:tc>
          <w:tcPr>
            <w:tcW w:w="599" w:type="dxa"/>
            <w:tcBorders>
              <w:top w:val="nil"/>
              <w:left w:val="nil"/>
              <w:bottom w:val="nil"/>
            </w:tcBorders>
          </w:tcPr>
          <w:p w14:paraId="4827C797" w14:textId="77777777" w:rsidR="006F0F3C" w:rsidRPr="00155BC6" w:rsidRDefault="006F0F3C" w:rsidP="006F0F3C">
            <w:pPr>
              <w:pStyle w:val="appendixctext"/>
            </w:pPr>
            <w:r>
              <w:rPr>
                <w:lang w:val="en-US" w:eastAsia="zh-CN"/>
              </w:rPr>
              <w:t>3.2</w:t>
            </w:r>
          </w:p>
        </w:tc>
      </w:tr>
      <w:tr w:rsidR="006F0F3C" w:rsidRPr="00155BC6" w14:paraId="4827C79C" w14:textId="77777777" w:rsidTr="006C740C">
        <w:trPr>
          <w:jc w:val="center"/>
        </w:trPr>
        <w:tc>
          <w:tcPr>
            <w:tcW w:w="2867" w:type="dxa"/>
            <w:gridSpan w:val="2"/>
            <w:tcBorders>
              <w:top w:val="nil"/>
              <w:right w:val="single" w:sz="4" w:space="0" w:color="auto"/>
            </w:tcBorders>
          </w:tcPr>
          <w:p w14:paraId="4827C799" w14:textId="77777777" w:rsidR="006F0F3C" w:rsidRPr="00155BC6" w:rsidRDefault="006F0F3C" w:rsidP="006F0F3C">
            <w:pPr>
              <w:pStyle w:val="appendixctext"/>
            </w:pPr>
          </w:p>
        </w:tc>
        <w:tc>
          <w:tcPr>
            <w:tcW w:w="1036" w:type="dxa"/>
            <w:tcBorders>
              <w:top w:val="nil"/>
              <w:left w:val="single" w:sz="4" w:space="0" w:color="auto"/>
              <w:right w:val="nil"/>
            </w:tcBorders>
          </w:tcPr>
          <w:p w14:paraId="4827C79A" w14:textId="77777777" w:rsidR="006F0F3C" w:rsidRPr="00155BC6" w:rsidRDefault="006F0F3C" w:rsidP="006F0F3C">
            <w:pPr>
              <w:pStyle w:val="appendixctext"/>
            </w:pPr>
            <w:r>
              <w:rPr>
                <w:lang w:val="en-US" w:eastAsia="zh-CN"/>
              </w:rPr>
              <w:t>R 1336</w:t>
            </w:r>
          </w:p>
        </w:tc>
        <w:tc>
          <w:tcPr>
            <w:tcW w:w="599" w:type="dxa"/>
            <w:tcBorders>
              <w:top w:val="nil"/>
              <w:left w:val="nil"/>
            </w:tcBorders>
          </w:tcPr>
          <w:p w14:paraId="4827C79B" w14:textId="77777777" w:rsidR="006F0F3C" w:rsidRPr="00155BC6" w:rsidRDefault="006F0F3C" w:rsidP="006F0F3C">
            <w:pPr>
              <w:pStyle w:val="appendixctext"/>
            </w:pPr>
            <w:r>
              <w:rPr>
                <w:lang w:val="en-US" w:eastAsia="zh-CN"/>
              </w:rPr>
              <w:t>3.2</w:t>
            </w:r>
          </w:p>
        </w:tc>
      </w:tr>
      <w:tr w:rsidR="006F0F3C" w:rsidRPr="00155BC6" w14:paraId="4827C7A0" w14:textId="77777777" w:rsidTr="006C740C">
        <w:trPr>
          <w:jc w:val="center"/>
        </w:trPr>
        <w:tc>
          <w:tcPr>
            <w:tcW w:w="2867" w:type="dxa"/>
            <w:gridSpan w:val="2"/>
            <w:tcBorders>
              <w:bottom w:val="nil"/>
              <w:right w:val="single" w:sz="4" w:space="0" w:color="auto"/>
            </w:tcBorders>
          </w:tcPr>
          <w:p w14:paraId="4827C79D" w14:textId="77777777" w:rsidR="006F0F3C" w:rsidRPr="00155BC6" w:rsidRDefault="006F0F3C" w:rsidP="006F0F3C">
            <w:pPr>
              <w:pStyle w:val="appendixchead"/>
              <w:rPr>
                <w:rFonts w:hAnsi="SimSun"/>
                <w:lang w:eastAsia="zh-CN"/>
              </w:rPr>
            </w:pPr>
            <w:r w:rsidRPr="00155BC6">
              <w:rPr>
                <w:rFonts w:hint="eastAsia"/>
                <w:lang w:eastAsia="zh-CN"/>
              </w:rPr>
              <w:t>选任官员（</w:t>
            </w:r>
            <w:r w:rsidRPr="00155BC6">
              <w:rPr>
                <w:rFonts w:eastAsia="STKaiti" w:hint="eastAsia"/>
                <w:lang w:eastAsia="zh-CN"/>
              </w:rPr>
              <w:t>亦见</w:t>
            </w:r>
            <w:r w:rsidRPr="00155BC6">
              <w:rPr>
                <w:rFonts w:ascii="STKaiti" w:eastAsia="STKaiti" w:hAnsi="STKaiti" w:hint="eastAsia"/>
                <w:lang w:eastAsia="zh-CN"/>
              </w:rPr>
              <w:t>人事</w:t>
            </w:r>
            <w:r w:rsidRPr="00155BC6">
              <w:rPr>
                <w:rFonts w:eastAsia="STKaiti" w:hint="eastAsia"/>
                <w:lang w:eastAsia="zh-CN"/>
              </w:rPr>
              <w:t>项下</w:t>
            </w:r>
            <w:r w:rsidRPr="00155BC6">
              <w:rPr>
                <w:rFonts w:hint="eastAsia"/>
                <w:lang w:eastAsia="zh-CN"/>
              </w:rPr>
              <w:t>）</w:t>
            </w:r>
          </w:p>
        </w:tc>
        <w:tc>
          <w:tcPr>
            <w:tcW w:w="1036" w:type="dxa"/>
            <w:tcBorders>
              <w:left w:val="single" w:sz="4" w:space="0" w:color="auto"/>
              <w:bottom w:val="nil"/>
              <w:right w:val="nil"/>
            </w:tcBorders>
          </w:tcPr>
          <w:p w14:paraId="4827C79E" w14:textId="77777777" w:rsidR="006F0F3C" w:rsidRPr="00155BC6" w:rsidRDefault="006F0F3C" w:rsidP="006F0F3C">
            <w:pPr>
              <w:pStyle w:val="appendixctext"/>
              <w:rPr>
                <w:lang w:eastAsia="zh-CN"/>
              </w:rPr>
            </w:pPr>
          </w:p>
        </w:tc>
        <w:tc>
          <w:tcPr>
            <w:tcW w:w="599" w:type="dxa"/>
            <w:tcBorders>
              <w:left w:val="nil"/>
              <w:bottom w:val="nil"/>
            </w:tcBorders>
          </w:tcPr>
          <w:p w14:paraId="4827C79F" w14:textId="77777777" w:rsidR="006F0F3C" w:rsidRPr="00155BC6" w:rsidRDefault="006F0F3C" w:rsidP="006F0F3C">
            <w:pPr>
              <w:pStyle w:val="appendixctext"/>
              <w:rPr>
                <w:lang w:eastAsia="zh-CN"/>
              </w:rPr>
            </w:pPr>
          </w:p>
        </w:tc>
      </w:tr>
      <w:tr w:rsidR="006F0F3C" w:rsidRPr="00155BC6" w14:paraId="4827C7A5" w14:textId="77777777" w:rsidTr="006C740C">
        <w:trPr>
          <w:jc w:val="center"/>
        </w:trPr>
        <w:tc>
          <w:tcPr>
            <w:tcW w:w="303" w:type="dxa"/>
            <w:tcBorders>
              <w:top w:val="nil"/>
              <w:bottom w:val="nil"/>
              <w:right w:val="nil"/>
            </w:tcBorders>
          </w:tcPr>
          <w:p w14:paraId="4827C7A1" w14:textId="77777777" w:rsidR="006F0F3C" w:rsidRPr="00155BC6" w:rsidRDefault="006F0F3C" w:rsidP="006F0F3C">
            <w:pPr>
              <w:pStyle w:val="appendixctext"/>
            </w:pPr>
            <w:r w:rsidRPr="00155BC6">
              <w:t>–</w:t>
            </w:r>
          </w:p>
        </w:tc>
        <w:tc>
          <w:tcPr>
            <w:tcW w:w="2564" w:type="dxa"/>
            <w:tcBorders>
              <w:top w:val="nil"/>
              <w:left w:val="nil"/>
              <w:bottom w:val="nil"/>
            </w:tcBorders>
          </w:tcPr>
          <w:p w14:paraId="4827C7A2" w14:textId="77777777" w:rsidR="006F0F3C" w:rsidRPr="00155BC6" w:rsidRDefault="006F0F3C" w:rsidP="006F0F3C">
            <w:pPr>
              <w:pStyle w:val="appendixctext"/>
              <w:rPr>
                <w:rFonts w:hAnsi="SimSun"/>
              </w:rPr>
            </w:pPr>
            <w:r w:rsidRPr="00155BC6">
              <w:rPr>
                <w:rFonts w:hint="eastAsia"/>
              </w:rPr>
              <w:t>服务条件</w:t>
            </w:r>
          </w:p>
        </w:tc>
        <w:tc>
          <w:tcPr>
            <w:tcW w:w="1036" w:type="dxa"/>
            <w:tcBorders>
              <w:top w:val="nil"/>
              <w:bottom w:val="nil"/>
              <w:right w:val="nil"/>
            </w:tcBorders>
          </w:tcPr>
          <w:p w14:paraId="4827C7A3" w14:textId="77777777" w:rsidR="006F0F3C" w:rsidRPr="00155BC6" w:rsidRDefault="006F0F3C" w:rsidP="00737A1F">
            <w:pPr>
              <w:pStyle w:val="appendixctext"/>
            </w:pPr>
            <w:r w:rsidRPr="00155BC6">
              <w:t xml:space="preserve">R </w:t>
            </w:r>
            <w:r w:rsidR="00737A1F">
              <w:t>139</w:t>
            </w:r>
            <w:r w:rsidR="008922E2">
              <w:rPr>
                <w:rFonts w:hint="eastAsia"/>
                <w:lang w:eastAsia="zh-CN"/>
              </w:rPr>
              <w:t>2</w:t>
            </w:r>
          </w:p>
        </w:tc>
        <w:tc>
          <w:tcPr>
            <w:tcW w:w="599" w:type="dxa"/>
            <w:tcBorders>
              <w:top w:val="nil"/>
              <w:left w:val="nil"/>
              <w:bottom w:val="nil"/>
            </w:tcBorders>
          </w:tcPr>
          <w:p w14:paraId="4827C7A4" w14:textId="77777777" w:rsidR="006F0F3C" w:rsidRPr="00155BC6" w:rsidRDefault="006F0F3C" w:rsidP="00737A1F">
            <w:pPr>
              <w:pStyle w:val="appendixctext"/>
            </w:pPr>
            <w:r w:rsidRPr="00155BC6">
              <w:t>2.1</w:t>
            </w:r>
          </w:p>
        </w:tc>
      </w:tr>
      <w:tr w:rsidR="00FA6F5A" w:rsidRPr="00155BC6" w14:paraId="3C0E8C90" w14:textId="77777777" w:rsidTr="006C740C">
        <w:trPr>
          <w:jc w:val="center"/>
        </w:trPr>
        <w:tc>
          <w:tcPr>
            <w:tcW w:w="303" w:type="dxa"/>
            <w:tcBorders>
              <w:top w:val="nil"/>
              <w:bottom w:val="nil"/>
              <w:right w:val="nil"/>
            </w:tcBorders>
          </w:tcPr>
          <w:p w14:paraId="55634C03" w14:textId="77777777" w:rsidR="00FA6F5A" w:rsidRPr="00155BC6" w:rsidRDefault="00FA6F5A" w:rsidP="006F0F3C">
            <w:pPr>
              <w:pStyle w:val="appendixctext"/>
            </w:pPr>
          </w:p>
        </w:tc>
        <w:tc>
          <w:tcPr>
            <w:tcW w:w="2564" w:type="dxa"/>
            <w:tcBorders>
              <w:top w:val="nil"/>
              <w:left w:val="nil"/>
              <w:bottom w:val="nil"/>
            </w:tcBorders>
          </w:tcPr>
          <w:p w14:paraId="5D67E495" w14:textId="77777777" w:rsidR="00FA6F5A" w:rsidRPr="00155BC6" w:rsidRDefault="00FA6F5A" w:rsidP="006F0F3C">
            <w:pPr>
              <w:pStyle w:val="appendixctext"/>
            </w:pPr>
          </w:p>
        </w:tc>
        <w:tc>
          <w:tcPr>
            <w:tcW w:w="1036" w:type="dxa"/>
            <w:tcBorders>
              <w:top w:val="nil"/>
              <w:bottom w:val="nil"/>
              <w:right w:val="nil"/>
            </w:tcBorders>
          </w:tcPr>
          <w:p w14:paraId="75B90BA1" w14:textId="43647B9B" w:rsidR="00FA6F5A" w:rsidRDefault="00FA6F5A" w:rsidP="00737A1F">
            <w:pPr>
              <w:pStyle w:val="appendixctext"/>
            </w:pPr>
            <w:r>
              <w:t>R.140</w:t>
            </w:r>
            <w:r w:rsidR="006D3A93">
              <w:rPr>
                <w:rFonts w:hint="eastAsia"/>
                <w:lang w:eastAsia="zh-CN"/>
              </w:rPr>
              <w:t>6</w:t>
            </w:r>
          </w:p>
        </w:tc>
        <w:tc>
          <w:tcPr>
            <w:tcW w:w="599" w:type="dxa"/>
            <w:tcBorders>
              <w:top w:val="nil"/>
              <w:left w:val="nil"/>
              <w:bottom w:val="nil"/>
            </w:tcBorders>
          </w:tcPr>
          <w:p w14:paraId="57002815" w14:textId="05756946" w:rsidR="00FA6F5A" w:rsidRDefault="00FA6F5A" w:rsidP="006F0F3C">
            <w:pPr>
              <w:pStyle w:val="appendixctext"/>
            </w:pPr>
            <w:r>
              <w:t>2.1</w:t>
            </w:r>
          </w:p>
        </w:tc>
      </w:tr>
      <w:tr w:rsidR="006F0F3C" w:rsidRPr="00155BC6" w14:paraId="4827C7AF" w14:textId="77777777" w:rsidTr="006C740C">
        <w:trPr>
          <w:jc w:val="center"/>
        </w:trPr>
        <w:tc>
          <w:tcPr>
            <w:tcW w:w="303" w:type="dxa"/>
            <w:tcBorders>
              <w:top w:val="nil"/>
              <w:right w:val="nil"/>
            </w:tcBorders>
          </w:tcPr>
          <w:p w14:paraId="4827C7AB" w14:textId="77777777" w:rsidR="006F0F3C" w:rsidRPr="00B0242C" w:rsidRDefault="006F0F3C" w:rsidP="006F0F3C">
            <w:pPr>
              <w:pStyle w:val="appendixctext"/>
            </w:pPr>
          </w:p>
        </w:tc>
        <w:tc>
          <w:tcPr>
            <w:tcW w:w="2564" w:type="dxa"/>
            <w:tcBorders>
              <w:top w:val="nil"/>
              <w:left w:val="nil"/>
            </w:tcBorders>
          </w:tcPr>
          <w:p w14:paraId="4827C7AC" w14:textId="77777777" w:rsidR="006F0F3C" w:rsidRPr="00B0242C" w:rsidRDefault="006F0F3C" w:rsidP="006F0F3C">
            <w:pPr>
              <w:pStyle w:val="appendixctext"/>
            </w:pPr>
          </w:p>
        </w:tc>
        <w:tc>
          <w:tcPr>
            <w:tcW w:w="1036" w:type="dxa"/>
            <w:tcBorders>
              <w:top w:val="nil"/>
              <w:right w:val="nil"/>
            </w:tcBorders>
          </w:tcPr>
          <w:p w14:paraId="4827C7AD" w14:textId="77777777" w:rsidR="006F0F3C" w:rsidRPr="00155BC6" w:rsidRDefault="006F0F3C" w:rsidP="006F0F3C">
            <w:pPr>
              <w:pStyle w:val="appendixctext"/>
            </w:pPr>
            <w:r w:rsidRPr="00155BC6">
              <w:t>D 548</w:t>
            </w:r>
          </w:p>
        </w:tc>
        <w:tc>
          <w:tcPr>
            <w:tcW w:w="599" w:type="dxa"/>
            <w:tcBorders>
              <w:top w:val="nil"/>
              <w:left w:val="nil"/>
            </w:tcBorders>
          </w:tcPr>
          <w:p w14:paraId="4827C7AE" w14:textId="77777777" w:rsidR="006F0F3C" w:rsidRPr="00155BC6" w:rsidRDefault="006F0F3C" w:rsidP="006F0F3C">
            <w:pPr>
              <w:pStyle w:val="appendixctext"/>
            </w:pPr>
            <w:r w:rsidRPr="00155BC6">
              <w:t>2.1</w:t>
            </w:r>
          </w:p>
        </w:tc>
      </w:tr>
      <w:tr w:rsidR="006F0F3C" w:rsidRPr="00155BC6" w14:paraId="4827C7B3" w14:textId="77777777" w:rsidTr="006C740C">
        <w:trPr>
          <w:jc w:val="center"/>
        </w:trPr>
        <w:tc>
          <w:tcPr>
            <w:tcW w:w="2867" w:type="dxa"/>
            <w:gridSpan w:val="2"/>
            <w:tcBorders>
              <w:bottom w:val="nil"/>
              <w:right w:val="single" w:sz="4" w:space="0" w:color="auto"/>
            </w:tcBorders>
          </w:tcPr>
          <w:p w14:paraId="4827C7B0" w14:textId="77777777" w:rsidR="006F0F3C" w:rsidRPr="00155BC6" w:rsidRDefault="006F0F3C" w:rsidP="00FC3DC3">
            <w:pPr>
              <w:pStyle w:val="appendixchead"/>
              <w:spacing w:before="80"/>
              <w:rPr>
                <w:rFonts w:hAnsi="SimSun"/>
                <w:lang w:eastAsia="zh-CN"/>
              </w:rPr>
            </w:pPr>
            <w:r w:rsidRPr="00155BC6">
              <w:rPr>
                <w:rFonts w:hint="eastAsia"/>
                <w:lang w:eastAsia="zh-CN"/>
              </w:rPr>
              <w:t>养恤金（</w:t>
            </w:r>
            <w:r w:rsidRPr="00155BC6">
              <w:rPr>
                <w:rFonts w:ascii="STKaiti" w:eastAsia="STKaiti" w:hAnsi="SimSun" w:hint="eastAsia"/>
                <w:lang w:eastAsia="zh-CN"/>
              </w:rPr>
              <w:t>亦见</w:t>
            </w:r>
            <w:r w:rsidRPr="00155BC6">
              <w:rPr>
                <w:rFonts w:ascii="STKaiti" w:eastAsia="STKaiti" w:hAnsi="STKaiti" w:hint="eastAsia"/>
                <w:iCs/>
                <w:lang w:eastAsia="zh-CN"/>
              </w:rPr>
              <w:t>职员</w:t>
            </w:r>
            <w:r w:rsidRPr="00155BC6">
              <w:rPr>
                <w:rFonts w:ascii="STKaiti" w:eastAsia="STKaiti" w:hAnsi="SimSun" w:hint="eastAsia"/>
                <w:lang w:eastAsia="zh-CN"/>
              </w:rPr>
              <w:t>项下</w:t>
            </w:r>
            <w:r w:rsidRPr="00155BC6">
              <w:rPr>
                <w:lang w:eastAsia="zh-CN"/>
              </w:rPr>
              <w:t>）</w:t>
            </w:r>
          </w:p>
        </w:tc>
        <w:tc>
          <w:tcPr>
            <w:tcW w:w="1036" w:type="dxa"/>
            <w:tcBorders>
              <w:left w:val="single" w:sz="4" w:space="0" w:color="auto"/>
              <w:bottom w:val="nil"/>
              <w:right w:val="nil"/>
            </w:tcBorders>
          </w:tcPr>
          <w:p w14:paraId="4827C7B1" w14:textId="77777777" w:rsidR="006F0F3C" w:rsidRPr="00155BC6" w:rsidRDefault="006F0F3C" w:rsidP="006F0F3C">
            <w:pPr>
              <w:pStyle w:val="appendixctext"/>
              <w:rPr>
                <w:lang w:eastAsia="zh-CN"/>
              </w:rPr>
            </w:pPr>
          </w:p>
        </w:tc>
        <w:tc>
          <w:tcPr>
            <w:tcW w:w="599" w:type="dxa"/>
            <w:tcBorders>
              <w:left w:val="nil"/>
              <w:bottom w:val="nil"/>
            </w:tcBorders>
          </w:tcPr>
          <w:p w14:paraId="4827C7B2" w14:textId="77777777" w:rsidR="006F0F3C" w:rsidRPr="00155BC6" w:rsidRDefault="006F0F3C" w:rsidP="006F0F3C">
            <w:pPr>
              <w:pStyle w:val="appendixctext"/>
              <w:rPr>
                <w:lang w:eastAsia="zh-CN"/>
              </w:rPr>
            </w:pPr>
          </w:p>
        </w:tc>
      </w:tr>
      <w:tr w:rsidR="006F0F3C" w:rsidRPr="00155BC6" w14:paraId="4827C7B8" w14:textId="77777777" w:rsidTr="006C740C">
        <w:trPr>
          <w:jc w:val="center"/>
        </w:trPr>
        <w:tc>
          <w:tcPr>
            <w:tcW w:w="303" w:type="dxa"/>
            <w:tcBorders>
              <w:top w:val="nil"/>
              <w:bottom w:val="nil"/>
              <w:right w:val="nil"/>
            </w:tcBorders>
          </w:tcPr>
          <w:p w14:paraId="4827C7B4" w14:textId="77777777" w:rsidR="006F0F3C" w:rsidRPr="00155BC6" w:rsidRDefault="006F0F3C" w:rsidP="006F0F3C">
            <w:pPr>
              <w:pStyle w:val="appendixctext"/>
            </w:pPr>
            <w:r w:rsidRPr="00155BC6">
              <w:t>–</w:t>
            </w:r>
          </w:p>
        </w:tc>
        <w:tc>
          <w:tcPr>
            <w:tcW w:w="2564" w:type="dxa"/>
            <w:tcBorders>
              <w:top w:val="nil"/>
              <w:left w:val="nil"/>
              <w:bottom w:val="nil"/>
            </w:tcBorders>
          </w:tcPr>
          <w:p w14:paraId="4827C7B5" w14:textId="77777777" w:rsidR="006F0F3C" w:rsidRPr="00155BC6" w:rsidRDefault="006F0F3C" w:rsidP="006F0F3C">
            <w:pPr>
              <w:pStyle w:val="appendixctext"/>
              <w:spacing w:before="40"/>
            </w:pPr>
            <w:r w:rsidRPr="00155BC6">
              <w:rPr>
                <w:rFonts w:hint="eastAsia"/>
              </w:rPr>
              <w:t>生活费津贴</w:t>
            </w:r>
          </w:p>
        </w:tc>
        <w:tc>
          <w:tcPr>
            <w:tcW w:w="1036" w:type="dxa"/>
            <w:tcBorders>
              <w:top w:val="nil"/>
              <w:bottom w:val="nil"/>
              <w:right w:val="nil"/>
            </w:tcBorders>
          </w:tcPr>
          <w:p w14:paraId="4827C7B6" w14:textId="77777777" w:rsidR="006F0F3C" w:rsidRPr="00155BC6" w:rsidRDefault="006F0F3C" w:rsidP="006F0F3C">
            <w:pPr>
              <w:pStyle w:val="appendixctext"/>
            </w:pPr>
            <w:r w:rsidRPr="00155BC6">
              <w:t>R 559</w:t>
            </w:r>
          </w:p>
        </w:tc>
        <w:tc>
          <w:tcPr>
            <w:tcW w:w="599" w:type="dxa"/>
            <w:tcBorders>
              <w:top w:val="nil"/>
              <w:left w:val="nil"/>
              <w:bottom w:val="nil"/>
            </w:tcBorders>
          </w:tcPr>
          <w:p w14:paraId="4827C7B7" w14:textId="77777777" w:rsidR="006F0F3C" w:rsidRPr="00155BC6" w:rsidRDefault="006F0F3C" w:rsidP="006F0F3C">
            <w:pPr>
              <w:pStyle w:val="appendixctext"/>
            </w:pPr>
            <w:r w:rsidRPr="00155BC6">
              <w:t>2.3</w:t>
            </w:r>
          </w:p>
        </w:tc>
      </w:tr>
      <w:tr w:rsidR="006F0F3C" w:rsidRPr="00155BC6" w14:paraId="4827C7BD" w14:textId="77777777" w:rsidTr="006C740C">
        <w:trPr>
          <w:jc w:val="center"/>
        </w:trPr>
        <w:tc>
          <w:tcPr>
            <w:tcW w:w="303" w:type="dxa"/>
            <w:tcBorders>
              <w:top w:val="nil"/>
              <w:bottom w:val="nil"/>
              <w:right w:val="nil"/>
            </w:tcBorders>
          </w:tcPr>
          <w:p w14:paraId="4827C7B9" w14:textId="77777777" w:rsidR="006F0F3C" w:rsidRPr="00B0242C" w:rsidRDefault="006F0F3C" w:rsidP="006F0F3C">
            <w:pPr>
              <w:pStyle w:val="appendixctext"/>
            </w:pPr>
          </w:p>
        </w:tc>
        <w:tc>
          <w:tcPr>
            <w:tcW w:w="2564" w:type="dxa"/>
            <w:tcBorders>
              <w:top w:val="nil"/>
              <w:left w:val="nil"/>
              <w:bottom w:val="nil"/>
            </w:tcBorders>
          </w:tcPr>
          <w:p w14:paraId="4827C7BA" w14:textId="77777777" w:rsidR="006F0F3C" w:rsidRPr="00B0242C" w:rsidRDefault="006F0F3C" w:rsidP="006F0F3C">
            <w:pPr>
              <w:pStyle w:val="appendixctext"/>
              <w:spacing w:before="40"/>
            </w:pPr>
          </w:p>
        </w:tc>
        <w:tc>
          <w:tcPr>
            <w:tcW w:w="1036" w:type="dxa"/>
            <w:tcBorders>
              <w:top w:val="nil"/>
              <w:bottom w:val="nil"/>
              <w:right w:val="nil"/>
            </w:tcBorders>
          </w:tcPr>
          <w:p w14:paraId="4827C7BB" w14:textId="77777777" w:rsidR="006F0F3C" w:rsidRPr="00155BC6" w:rsidRDefault="006F0F3C" w:rsidP="006F0F3C">
            <w:pPr>
              <w:pStyle w:val="appendixctext"/>
            </w:pPr>
            <w:r w:rsidRPr="00155BC6">
              <w:t>R 589</w:t>
            </w:r>
          </w:p>
        </w:tc>
        <w:tc>
          <w:tcPr>
            <w:tcW w:w="599" w:type="dxa"/>
            <w:tcBorders>
              <w:top w:val="nil"/>
              <w:left w:val="nil"/>
              <w:bottom w:val="nil"/>
            </w:tcBorders>
          </w:tcPr>
          <w:p w14:paraId="4827C7BC" w14:textId="77777777" w:rsidR="006F0F3C" w:rsidRPr="00155BC6" w:rsidRDefault="006F0F3C" w:rsidP="006F0F3C">
            <w:pPr>
              <w:pStyle w:val="appendixctext"/>
            </w:pPr>
            <w:r w:rsidRPr="00155BC6">
              <w:t>2.3</w:t>
            </w:r>
          </w:p>
        </w:tc>
      </w:tr>
      <w:tr w:rsidR="006F0F3C" w:rsidRPr="00155BC6" w14:paraId="4827C7C2" w14:textId="77777777" w:rsidTr="006C740C">
        <w:trPr>
          <w:jc w:val="center"/>
        </w:trPr>
        <w:tc>
          <w:tcPr>
            <w:tcW w:w="303" w:type="dxa"/>
            <w:tcBorders>
              <w:top w:val="nil"/>
              <w:bottom w:val="single" w:sz="4" w:space="0" w:color="auto"/>
              <w:right w:val="nil"/>
            </w:tcBorders>
          </w:tcPr>
          <w:p w14:paraId="4827C7BE" w14:textId="77777777" w:rsidR="006F0F3C" w:rsidRPr="00155BC6" w:rsidRDefault="006F0F3C" w:rsidP="006F0F3C">
            <w:pPr>
              <w:pStyle w:val="appendixctext"/>
            </w:pPr>
            <w:r w:rsidRPr="00155BC6">
              <w:t>–</w:t>
            </w:r>
          </w:p>
        </w:tc>
        <w:tc>
          <w:tcPr>
            <w:tcW w:w="2564" w:type="dxa"/>
            <w:tcBorders>
              <w:top w:val="nil"/>
              <w:left w:val="nil"/>
              <w:bottom w:val="single" w:sz="4" w:space="0" w:color="auto"/>
            </w:tcBorders>
          </w:tcPr>
          <w:p w14:paraId="4827C7BF" w14:textId="77777777" w:rsidR="006F0F3C" w:rsidRPr="00155BC6" w:rsidRDefault="006F0F3C" w:rsidP="006F0F3C">
            <w:pPr>
              <w:pStyle w:val="appendixctext"/>
              <w:spacing w:before="40"/>
              <w:rPr>
                <w:lang w:eastAsia="zh-CN"/>
              </w:rPr>
            </w:pPr>
            <w:r w:rsidRPr="00155BC6">
              <w:rPr>
                <w:rFonts w:hint="eastAsia"/>
                <w:lang w:eastAsia="zh-CN"/>
              </w:rPr>
              <w:t>退休和福利基金的投资</w:t>
            </w:r>
          </w:p>
        </w:tc>
        <w:tc>
          <w:tcPr>
            <w:tcW w:w="1036" w:type="dxa"/>
            <w:tcBorders>
              <w:top w:val="nil"/>
              <w:bottom w:val="single" w:sz="4" w:space="0" w:color="auto"/>
              <w:right w:val="nil"/>
            </w:tcBorders>
          </w:tcPr>
          <w:p w14:paraId="4827C7C0" w14:textId="77777777" w:rsidR="006F0F3C" w:rsidRPr="00155BC6" w:rsidRDefault="006F0F3C" w:rsidP="006F0F3C">
            <w:pPr>
              <w:pStyle w:val="appendixctext"/>
            </w:pPr>
            <w:r w:rsidRPr="00155BC6">
              <w:t>R 440</w:t>
            </w:r>
          </w:p>
        </w:tc>
        <w:tc>
          <w:tcPr>
            <w:tcW w:w="599" w:type="dxa"/>
            <w:tcBorders>
              <w:top w:val="nil"/>
              <w:left w:val="nil"/>
              <w:bottom w:val="single" w:sz="4" w:space="0" w:color="auto"/>
            </w:tcBorders>
          </w:tcPr>
          <w:p w14:paraId="4827C7C1" w14:textId="77777777" w:rsidR="006F0F3C" w:rsidRPr="00155BC6" w:rsidRDefault="006F0F3C" w:rsidP="006F0F3C">
            <w:pPr>
              <w:pStyle w:val="appendixctext"/>
            </w:pPr>
            <w:r w:rsidRPr="00155BC6">
              <w:t>2.3</w:t>
            </w:r>
          </w:p>
        </w:tc>
      </w:tr>
      <w:tr w:rsidR="006F0F3C" w:rsidRPr="00155BC6" w14:paraId="4827C7C7" w14:textId="77777777" w:rsidTr="006C740C">
        <w:trPr>
          <w:jc w:val="center"/>
        </w:trPr>
        <w:tc>
          <w:tcPr>
            <w:tcW w:w="303" w:type="dxa"/>
            <w:tcBorders>
              <w:top w:val="single" w:sz="4" w:space="0" w:color="auto"/>
              <w:bottom w:val="nil"/>
              <w:right w:val="nil"/>
            </w:tcBorders>
          </w:tcPr>
          <w:p w14:paraId="4827C7C3" w14:textId="77777777" w:rsidR="006F0F3C" w:rsidRPr="00155BC6" w:rsidRDefault="006F0F3C" w:rsidP="006F0F3C">
            <w:pPr>
              <w:pStyle w:val="appendixctext"/>
            </w:pPr>
            <w:r w:rsidRPr="00155BC6">
              <w:t>–</w:t>
            </w:r>
          </w:p>
        </w:tc>
        <w:tc>
          <w:tcPr>
            <w:tcW w:w="2564" w:type="dxa"/>
            <w:tcBorders>
              <w:top w:val="single" w:sz="4" w:space="0" w:color="auto"/>
              <w:left w:val="nil"/>
              <w:bottom w:val="nil"/>
            </w:tcBorders>
          </w:tcPr>
          <w:p w14:paraId="4827C7C4" w14:textId="77777777" w:rsidR="006F0F3C" w:rsidRPr="00155BC6" w:rsidRDefault="006F0F3C" w:rsidP="006F0F3C">
            <w:pPr>
              <w:pStyle w:val="appendixctext"/>
              <w:spacing w:before="40"/>
            </w:pPr>
            <w:r w:rsidRPr="00155BC6">
              <w:rPr>
                <w:rFonts w:hint="eastAsia"/>
              </w:rPr>
              <w:t>养恤金委员会，委员</w:t>
            </w:r>
          </w:p>
        </w:tc>
        <w:tc>
          <w:tcPr>
            <w:tcW w:w="1036" w:type="dxa"/>
            <w:tcBorders>
              <w:top w:val="single" w:sz="4" w:space="0" w:color="auto"/>
              <w:bottom w:val="nil"/>
              <w:right w:val="nil"/>
            </w:tcBorders>
          </w:tcPr>
          <w:p w14:paraId="4827C7C5" w14:textId="77777777" w:rsidR="006F0F3C" w:rsidRPr="00155BC6" w:rsidRDefault="00D655EF" w:rsidP="006F0F3C">
            <w:pPr>
              <w:pStyle w:val="appendixctext"/>
            </w:pPr>
            <w:r>
              <w:t>R 1394</w:t>
            </w:r>
          </w:p>
        </w:tc>
        <w:tc>
          <w:tcPr>
            <w:tcW w:w="599" w:type="dxa"/>
            <w:tcBorders>
              <w:top w:val="single" w:sz="4" w:space="0" w:color="auto"/>
              <w:left w:val="nil"/>
              <w:bottom w:val="nil"/>
            </w:tcBorders>
          </w:tcPr>
          <w:p w14:paraId="4827C7C6" w14:textId="77777777" w:rsidR="006F0F3C" w:rsidRPr="00155BC6" w:rsidRDefault="00D655EF" w:rsidP="006F0F3C">
            <w:pPr>
              <w:pStyle w:val="appendixctext"/>
            </w:pPr>
            <w:r>
              <w:t>2.3</w:t>
            </w:r>
          </w:p>
        </w:tc>
      </w:tr>
      <w:tr w:rsidR="006F0F3C" w:rsidRPr="00155BC6" w14:paraId="4827C7CC" w14:textId="77777777" w:rsidTr="006C740C">
        <w:trPr>
          <w:jc w:val="center"/>
        </w:trPr>
        <w:tc>
          <w:tcPr>
            <w:tcW w:w="303" w:type="dxa"/>
            <w:tcBorders>
              <w:top w:val="nil"/>
              <w:bottom w:val="nil"/>
              <w:right w:val="nil"/>
            </w:tcBorders>
          </w:tcPr>
          <w:p w14:paraId="4827C7C8" w14:textId="77777777" w:rsidR="006F0F3C" w:rsidRPr="00155BC6" w:rsidRDefault="006F0F3C" w:rsidP="006F0F3C">
            <w:pPr>
              <w:pStyle w:val="appendixctext"/>
            </w:pPr>
            <w:r w:rsidRPr="00155BC6">
              <w:t>–</w:t>
            </w:r>
          </w:p>
        </w:tc>
        <w:tc>
          <w:tcPr>
            <w:tcW w:w="2564" w:type="dxa"/>
            <w:tcBorders>
              <w:top w:val="nil"/>
              <w:left w:val="nil"/>
              <w:bottom w:val="nil"/>
            </w:tcBorders>
          </w:tcPr>
          <w:p w14:paraId="4827C7C9" w14:textId="77777777" w:rsidR="006F0F3C" w:rsidRPr="00155BC6" w:rsidRDefault="006F0F3C" w:rsidP="006F0F3C">
            <w:pPr>
              <w:pStyle w:val="appendixctext"/>
              <w:spacing w:before="40"/>
            </w:pPr>
            <w:r w:rsidRPr="00155BC6">
              <w:rPr>
                <w:rFonts w:hint="eastAsia"/>
              </w:rPr>
              <w:t>职员退休和福利基金</w:t>
            </w:r>
          </w:p>
        </w:tc>
        <w:tc>
          <w:tcPr>
            <w:tcW w:w="1036" w:type="dxa"/>
            <w:tcBorders>
              <w:top w:val="nil"/>
              <w:bottom w:val="nil"/>
              <w:right w:val="nil"/>
            </w:tcBorders>
          </w:tcPr>
          <w:p w14:paraId="4827C7CA" w14:textId="77777777" w:rsidR="006F0F3C" w:rsidRPr="00155BC6" w:rsidRDefault="00D655EF" w:rsidP="006F0F3C">
            <w:pPr>
              <w:pStyle w:val="appendixctext"/>
            </w:pPr>
            <w:r w:rsidRPr="00155BC6">
              <w:t>D 5</w:t>
            </w:r>
            <w:r>
              <w:t>95</w:t>
            </w:r>
          </w:p>
        </w:tc>
        <w:tc>
          <w:tcPr>
            <w:tcW w:w="599" w:type="dxa"/>
            <w:tcBorders>
              <w:top w:val="nil"/>
              <w:left w:val="nil"/>
              <w:bottom w:val="nil"/>
            </w:tcBorders>
          </w:tcPr>
          <w:p w14:paraId="4827C7CB" w14:textId="77777777" w:rsidR="006F0F3C" w:rsidRPr="00155BC6" w:rsidRDefault="00D655EF" w:rsidP="006F0F3C">
            <w:pPr>
              <w:pStyle w:val="appendixctext"/>
            </w:pPr>
            <w:r>
              <w:t>2.3</w:t>
            </w:r>
          </w:p>
        </w:tc>
      </w:tr>
      <w:tr w:rsidR="00031842" w:rsidRPr="00155BC6" w14:paraId="4827C7D1" w14:textId="77777777" w:rsidTr="006C740C">
        <w:trPr>
          <w:jc w:val="center"/>
        </w:trPr>
        <w:tc>
          <w:tcPr>
            <w:tcW w:w="303" w:type="dxa"/>
            <w:tcBorders>
              <w:top w:val="nil"/>
              <w:bottom w:val="nil"/>
              <w:right w:val="nil"/>
            </w:tcBorders>
          </w:tcPr>
          <w:p w14:paraId="4827C7CD" w14:textId="77777777" w:rsidR="00031842" w:rsidRPr="00155BC6" w:rsidRDefault="00031842" w:rsidP="00031842">
            <w:pPr>
              <w:pStyle w:val="appendixctext"/>
            </w:pPr>
          </w:p>
        </w:tc>
        <w:tc>
          <w:tcPr>
            <w:tcW w:w="2564" w:type="dxa"/>
            <w:tcBorders>
              <w:top w:val="nil"/>
              <w:left w:val="nil"/>
              <w:bottom w:val="nil"/>
            </w:tcBorders>
          </w:tcPr>
          <w:p w14:paraId="4827C7CE" w14:textId="77777777" w:rsidR="00031842" w:rsidRPr="00155BC6" w:rsidRDefault="00031842" w:rsidP="00031842">
            <w:pPr>
              <w:pStyle w:val="appendixctext"/>
              <w:spacing w:before="40"/>
            </w:pPr>
          </w:p>
        </w:tc>
        <w:tc>
          <w:tcPr>
            <w:tcW w:w="1036" w:type="dxa"/>
            <w:tcBorders>
              <w:top w:val="nil"/>
              <w:bottom w:val="nil"/>
              <w:right w:val="nil"/>
            </w:tcBorders>
          </w:tcPr>
          <w:p w14:paraId="4827C7CF" w14:textId="77777777" w:rsidR="00031842" w:rsidRPr="00155BC6" w:rsidRDefault="00D655EF" w:rsidP="00031842">
            <w:pPr>
              <w:pStyle w:val="appendixctext"/>
            </w:pPr>
            <w:r w:rsidRPr="00155BC6">
              <w:t>D 5</w:t>
            </w:r>
            <w:r>
              <w:t>96</w:t>
            </w:r>
          </w:p>
        </w:tc>
        <w:tc>
          <w:tcPr>
            <w:tcW w:w="599" w:type="dxa"/>
            <w:tcBorders>
              <w:top w:val="nil"/>
              <w:left w:val="nil"/>
              <w:bottom w:val="nil"/>
            </w:tcBorders>
          </w:tcPr>
          <w:p w14:paraId="4827C7D0" w14:textId="77777777" w:rsidR="00031842" w:rsidRDefault="00D655EF" w:rsidP="00031842">
            <w:pPr>
              <w:pStyle w:val="appendixctext"/>
            </w:pPr>
            <w:r>
              <w:t>2.3</w:t>
            </w:r>
          </w:p>
        </w:tc>
      </w:tr>
      <w:tr w:rsidR="00031842" w:rsidRPr="00155BC6" w14:paraId="4827C7D6" w14:textId="77777777" w:rsidTr="006C740C">
        <w:trPr>
          <w:jc w:val="center"/>
        </w:trPr>
        <w:tc>
          <w:tcPr>
            <w:tcW w:w="303" w:type="dxa"/>
            <w:tcBorders>
              <w:top w:val="nil"/>
              <w:bottom w:val="nil"/>
              <w:right w:val="nil"/>
            </w:tcBorders>
          </w:tcPr>
          <w:p w14:paraId="4827C7D2" w14:textId="77777777" w:rsidR="00031842" w:rsidRPr="00155BC6" w:rsidRDefault="00031842" w:rsidP="00031842">
            <w:pPr>
              <w:pStyle w:val="appendixctext"/>
            </w:pPr>
          </w:p>
        </w:tc>
        <w:tc>
          <w:tcPr>
            <w:tcW w:w="2564" w:type="dxa"/>
            <w:tcBorders>
              <w:top w:val="nil"/>
              <w:left w:val="nil"/>
              <w:bottom w:val="nil"/>
            </w:tcBorders>
          </w:tcPr>
          <w:p w14:paraId="4827C7D3" w14:textId="77777777" w:rsidR="00031842" w:rsidRPr="00155BC6" w:rsidRDefault="00031842" w:rsidP="00031842">
            <w:pPr>
              <w:pStyle w:val="appendixctext"/>
              <w:tabs>
                <w:tab w:val="left" w:pos="229"/>
                <w:tab w:val="left" w:pos="389"/>
              </w:tabs>
              <w:spacing w:before="40"/>
            </w:pPr>
            <w:r w:rsidRPr="00155BC6">
              <w:rPr>
                <w:lang w:val="fr-FR"/>
              </w:rPr>
              <w:t>•</w:t>
            </w:r>
            <w:r w:rsidRPr="00155BC6">
              <w:rPr>
                <w:lang w:val="fr-FR"/>
              </w:rPr>
              <w:tab/>
            </w:r>
            <w:r w:rsidRPr="00155BC6">
              <w:rPr>
                <w:rFonts w:hint="eastAsia"/>
                <w:lang w:val="fr-FR"/>
              </w:rPr>
              <w:t>精算基础</w:t>
            </w:r>
          </w:p>
        </w:tc>
        <w:tc>
          <w:tcPr>
            <w:tcW w:w="1036" w:type="dxa"/>
            <w:tcBorders>
              <w:top w:val="nil"/>
              <w:bottom w:val="nil"/>
              <w:right w:val="nil"/>
            </w:tcBorders>
          </w:tcPr>
          <w:p w14:paraId="4827C7D4" w14:textId="77777777" w:rsidR="00031842" w:rsidRPr="00155BC6" w:rsidRDefault="00D655EF" w:rsidP="00031842">
            <w:pPr>
              <w:pStyle w:val="appendixctext"/>
            </w:pPr>
            <w:r w:rsidRPr="00155BC6">
              <w:rPr>
                <w:lang w:val="fr-FR"/>
              </w:rPr>
              <w:t>R 463</w:t>
            </w:r>
          </w:p>
        </w:tc>
        <w:tc>
          <w:tcPr>
            <w:tcW w:w="599" w:type="dxa"/>
            <w:tcBorders>
              <w:top w:val="nil"/>
              <w:left w:val="nil"/>
              <w:bottom w:val="nil"/>
            </w:tcBorders>
          </w:tcPr>
          <w:p w14:paraId="4827C7D5" w14:textId="77777777" w:rsidR="00031842" w:rsidRPr="00155BC6" w:rsidRDefault="00D655EF" w:rsidP="00031842">
            <w:pPr>
              <w:pStyle w:val="appendixctext"/>
            </w:pPr>
            <w:r w:rsidRPr="00155BC6">
              <w:t>2.3</w:t>
            </w:r>
          </w:p>
        </w:tc>
      </w:tr>
      <w:tr w:rsidR="00031842" w:rsidRPr="00155BC6" w14:paraId="4827C7DB" w14:textId="77777777" w:rsidTr="006C740C">
        <w:trPr>
          <w:jc w:val="center"/>
        </w:trPr>
        <w:tc>
          <w:tcPr>
            <w:tcW w:w="303" w:type="dxa"/>
            <w:tcBorders>
              <w:top w:val="nil"/>
              <w:bottom w:val="single" w:sz="4" w:space="0" w:color="auto"/>
              <w:right w:val="nil"/>
            </w:tcBorders>
          </w:tcPr>
          <w:p w14:paraId="4827C7D7" w14:textId="77777777" w:rsidR="00031842" w:rsidRPr="00B0242C" w:rsidRDefault="00031842" w:rsidP="00031842">
            <w:pPr>
              <w:pStyle w:val="appendixctext"/>
            </w:pPr>
          </w:p>
        </w:tc>
        <w:tc>
          <w:tcPr>
            <w:tcW w:w="2564" w:type="dxa"/>
            <w:tcBorders>
              <w:top w:val="nil"/>
              <w:left w:val="nil"/>
              <w:bottom w:val="single" w:sz="4" w:space="0" w:color="auto"/>
            </w:tcBorders>
          </w:tcPr>
          <w:p w14:paraId="4827C7D8" w14:textId="77777777" w:rsidR="00031842" w:rsidRPr="00155BC6" w:rsidRDefault="00031842" w:rsidP="005C34C4">
            <w:pPr>
              <w:pStyle w:val="appendixctext"/>
              <w:tabs>
                <w:tab w:val="clear" w:pos="1758"/>
                <w:tab w:val="left" w:pos="252"/>
              </w:tabs>
              <w:spacing w:before="40"/>
              <w:rPr>
                <w:rFonts w:hAnsi="SimSun"/>
              </w:rPr>
            </w:pPr>
            <w:r w:rsidRPr="00155BC6">
              <w:t>•</w:t>
            </w:r>
            <w:r w:rsidRPr="00155BC6">
              <w:tab/>
            </w:r>
            <w:r w:rsidRPr="00155BC6">
              <w:rPr>
                <w:rFonts w:hint="eastAsia"/>
              </w:rPr>
              <w:t>法定利率</w:t>
            </w:r>
          </w:p>
        </w:tc>
        <w:tc>
          <w:tcPr>
            <w:tcW w:w="1036" w:type="dxa"/>
            <w:tcBorders>
              <w:top w:val="nil"/>
              <w:bottom w:val="single" w:sz="4" w:space="0" w:color="auto"/>
              <w:right w:val="nil"/>
            </w:tcBorders>
          </w:tcPr>
          <w:p w14:paraId="4827C7D9" w14:textId="77777777" w:rsidR="00031842" w:rsidRPr="00155BC6" w:rsidRDefault="00D655EF" w:rsidP="00031842">
            <w:pPr>
              <w:pStyle w:val="appendixctext"/>
            </w:pPr>
            <w:r w:rsidRPr="00155BC6">
              <w:t>R 1211</w:t>
            </w:r>
          </w:p>
        </w:tc>
        <w:tc>
          <w:tcPr>
            <w:tcW w:w="599" w:type="dxa"/>
            <w:tcBorders>
              <w:top w:val="nil"/>
              <w:left w:val="nil"/>
              <w:bottom w:val="single" w:sz="4" w:space="0" w:color="auto"/>
            </w:tcBorders>
          </w:tcPr>
          <w:p w14:paraId="4827C7DA" w14:textId="77777777" w:rsidR="00031842" w:rsidRPr="00155BC6" w:rsidRDefault="00031842" w:rsidP="00031842">
            <w:pPr>
              <w:pStyle w:val="appendixctext"/>
            </w:pPr>
            <w:r w:rsidRPr="00155BC6">
              <w:t>2.3</w:t>
            </w:r>
          </w:p>
        </w:tc>
      </w:tr>
      <w:tr w:rsidR="00031842" w:rsidRPr="00155BC6" w14:paraId="4827C7DF" w14:textId="77777777" w:rsidTr="006C740C">
        <w:trPr>
          <w:jc w:val="center"/>
        </w:trPr>
        <w:tc>
          <w:tcPr>
            <w:tcW w:w="2867" w:type="dxa"/>
            <w:gridSpan w:val="2"/>
            <w:tcBorders>
              <w:top w:val="single" w:sz="4" w:space="0" w:color="auto"/>
              <w:bottom w:val="single" w:sz="4" w:space="0" w:color="auto"/>
            </w:tcBorders>
          </w:tcPr>
          <w:p w14:paraId="4827C7DC" w14:textId="77777777" w:rsidR="00031842" w:rsidRPr="00155BC6" w:rsidRDefault="00031842" w:rsidP="00031842">
            <w:pPr>
              <w:pStyle w:val="appendixctext"/>
              <w:keepNext/>
              <w:tabs>
                <w:tab w:val="clear" w:pos="1758"/>
                <w:tab w:val="left" w:pos="252"/>
              </w:tabs>
              <w:ind w:left="34"/>
              <w:rPr>
                <w:lang w:eastAsia="zh-CN"/>
              </w:rPr>
            </w:pPr>
            <w:r w:rsidRPr="00920A0E">
              <w:rPr>
                <w:rFonts w:hint="eastAsia"/>
                <w:b/>
                <w:lang w:eastAsia="zh-CN"/>
              </w:rPr>
              <w:t>以色列</w:t>
            </w:r>
            <w:r w:rsidRPr="00920A0E">
              <w:rPr>
                <w:rFonts w:hint="eastAsia"/>
                <w:bCs/>
                <w:lang w:eastAsia="zh-CN"/>
              </w:rPr>
              <w:t>，查明有关以色列违反</w:t>
            </w:r>
            <w:r w:rsidRPr="00920A0E">
              <w:rPr>
                <w:bCs/>
                <w:lang w:eastAsia="zh-CN"/>
              </w:rPr>
              <w:br/>
            </w:r>
            <w:r w:rsidRPr="00920A0E">
              <w:rPr>
                <w:rFonts w:hint="eastAsia"/>
                <w:bCs/>
                <w:lang w:eastAsia="zh-CN"/>
              </w:rPr>
              <w:t>《国际电信公约》的事实的</w:t>
            </w:r>
            <w:r>
              <w:rPr>
                <w:bCs/>
                <w:lang w:eastAsia="zh-CN"/>
              </w:rPr>
              <w:br/>
            </w:r>
            <w:r w:rsidRPr="00920A0E">
              <w:rPr>
                <w:rFonts w:hint="eastAsia"/>
                <w:bCs/>
                <w:lang w:eastAsia="zh-CN"/>
              </w:rPr>
              <w:t>委员会</w:t>
            </w:r>
          </w:p>
        </w:tc>
        <w:tc>
          <w:tcPr>
            <w:tcW w:w="1036" w:type="dxa"/>
            <w:tcBorders>
              <w:top w:val="single" w:sz="4" w:space="0" w:color="auto"/>
              <w:bottom w:val="single" w:sz="4" w:space="0" w:color="auto"/>
              <w:right w:val="nil"/>
            </w:tcBorders>
          </w:tcPr>
          <w:p w14:paraId="4827C7DD" w14:textId="77777777" w:rsidR="00031842" w:rsidRPr="00155BC6" w:rsidRDefault="00031842" w:rsidP="00F722A3">
            <w:pPr>
              <w:pStyle w:val="appendixctext"/>
              <w:spacing w:before="40"/>
              <w:rPr>
                <w:lang w:eastAsia="zh-CN"/>
              </w:rPr>
            </w:pPr>
            <w:r w:rsidRPr="00155BC6">
              <w:rPr>
                <w:lang w:eastAsia="zh-CN"/>
              </w:rPr>
              <w:t>R 1008</w:t>
            </w:r>
          </w:p>
        </w:tc>
        <w:tc>
          <w:tcPr>
            <w:tcW w:w="599" w:type="dxa"/>
            <w:tcBorders>
              <w:top w:val="single" w:sz="4" w:space="0" w:color="auto"/>
              <w:left w:val="nil"/>
              <w:bottom w:val="single" w:sz="4" w:space="0" w:color="auto"/>
            </w:tcBorders>
          </w:tcPr>
          <w:p w14:paraId="4827C7DE" w14:textId="77777777" w:rsidR="00031842" w:rsidRPr="00155BC6" w:rsidRDefault="00031842" w:rsidP="00F722A3">
            <w:pPr>
              <w:pStyle w:val="appendixctext"/>
              <w:spacing w:before="40"/>
              <w:rPr>
                <w:lang w:eastAsia="zh-CN"/>
              </w:rPr>
            </w:pPr>
            <w:r w:rsidRPr="00155BC6">
              <w:rPr>
                <w:lang w:eastAsia="zh-CN"/>
              </w:rPr>
              <w:t>6.1</w:t>
            </w:r>
          </w:p>
        </w:tc>
      </w:tr>
      <w:tr w:rsidR="00031842" w:rsidRPr="00155BC6" w14:paraId="4827C7E3" w14:textId="77777777" w:rsidTr="006C740C">
        <w:trPr>
          <w:jc w:val="center"/>
        </w:trPr>
        <w:tc>
          <w:tcPr>
            <w:tcW w:w="2867" w:type="dxa"/>
            <w:gridSpan w:val="2"/>
            <w:tcBorders>
              <w:top w:val="nil"/>
              <w:bottom w:val="nil"/>
              <w:right w:val="single" w:sz="4" w:space="0" w:color="auto"/>
            </w:tcBorders>
          </w:tcPr>
          <w:p w14:paraId="4827C7E0" w14:textId="77777777" w:rsidR="00031842" w:rsidRPr="00155BC6" w:rsidRDefault="00031842" w:rsidP="00031842">
            <w:pPr>
              <w:pStyle w:val="appendixchead"/>
              <w:rPr>
                <w:rFonts w:hAnsi="SimSun"/>
                <w:lang w:eastAsia="zh-CN"/>
              </w:rPr>
            </w:pPr>
            <w:r w:rsidRPr="00155BC6">
              <w:rPr>
                <w:rFonts w:hint="eastAsia"/>
                <w:lang w:eastAsia="zh-CN"/>
              </w:rPr>
              <w:t>预算</w:t>
            </w:r>
          </w:p>
        </w:tc>
        <w:tc>
          <w:tcPr>
            <w:tcW w:w="1036" w:type="dxa"/>
            <w:tcBorders>
              <w:top w:val="nil"/>
              <w:left w:val="single" w:sz="4" w:space="0" w:color="auto"/>
              <w:bottom w:val="nil"/>
              <w:right w:val="nil"/>
            </w:tcBorders>
          </w:tcPr>
          <w:p w14:paraId="4827C7E1" w14:textId="77777777" w:rsidR="00031842" w:rsidRPr="00155BC6" w:rsidRDefault="00031842" w:rsidP="00031842">
            <w:pPr>
              <w:pStyle w:val="appendixctext"/>
              <w:rPr>
                <w:lang w:eastAsia="zh-CN"/>
              </w:rPr>
            </w:pPr>
          </w:p>
        </w:tc>
        <w:tc>
          <w:tcPr>
            <w:tcW w:w="599" w:type="dxa"/>
            <w:tcBorders>
              <w:top w:val="nil"/>
              <w:left w:val="nil"/>
              <w:bottom w:val="nil"/>
            </w:tcBorders>
          </w:tcPr>
          <w:p w14:paraId="4827C7E2" w14:textId="77777777" w:rsidR="00031842" w:rsidRPr="00155BC6" w:rsidRDefault="00031842" w:rsidP="00031842">
            <w:pPr>
              <w:pStyle w:val="appendixctext"/>
              <w:rPr>
                <w:lang w:eastAsia="zh-CN"/>
              </w:rPr>
            </w:pPr>
          </w:p>
        </w:tc>
      </w:tr>
      <w:tr w:rsidR="00031842" w:rsidRPr="00155BC6" w14:paraId="4827C7ED" w14:textId="77777777" w:rsidTr="006C740C">
        <w:trPr>
          <w:jc w:val="center"/>
        </w:trPr>
        <w:tc>
          <w:tcPr>
            <w:tcW w:w="303" w:type="dxa"/>
            <w:tcBorders>
              <w:top w:val="nil"/>
              <w:bottom w:val="nil"/>
              <w:right w:val="nil"/>
            </w:tcBorders>
          </w:tcPr>
          <w:p w14:paraId="4827C7E9" w14:textId="77777777" w:rsidR="00031842" w:rsidRPr="00155BC6" w:rsidRDefault="00031842" w:rsidP="00031842">
            <w:pPr>
              <w:pStyle w:val="appendixctext"/>
              <w:rPr>
                <w:lang w:eastAsia="zh-CN"/>
              </w:rPr>
            </w:pPr>
            <w:r w:rsidRPr="00155BC6">
              <w:rPr>
                <w:lang w:eastAsia="zh-CN"/>
              </w:rPr>
              <w:t>–</w:t>
            </w:r>
          </w:p>
        </w:tc>
        <w:tc>
          <w:tcPr>
            <w:tcW w:w="2564" w:type="dxa"/>
            <w:tcBorders>
              <w:top w:val="nil"/>
              <w:left w:val="nil"/>
              <w:bottom w:val="nil"/>
            </w:tcBorders>
          </w:tcPr>
          <w:p w14:paraId="4827C7EA" w14:textId="77777777" w:rsidR="00031842" w:rsidRPr="00155BC6" w:rsidRDefault="00031842" w:rsidP="00031842">
            <w:pPr>
              <w:pStyle w:val="appendixctext"/>
              <w:rPr>
                <w:lang w:eastAsia="zh-CN"/>
              </w:rPr>
            </w:pPr>
            <w:r w:rsidRPr="00837BDA">
              <w:rPr>
                <w:rFonts w:hint="eastAsia"/>
                <w:lang w:eastAsia="zh-CN"/>
              </w:rPr>
              <w:t>20</w:t>
            </w:r>
            <w:r w:rsidR="008E6EAD">
              <w:rPr>
                <w:rFonts w:hint="eastAsia"/>
                <w:lang w:eastAsia="zh-CN"/>
              </w:rPr>
              <w:t>20</w:t>
            </w:r>
            <w:r w:rsidRPr="00837BDA">
              <w:rPr>
                <w:rFonts w:hint="eastAsia"/>
                <w:lang w:eastAsia="zh-CN"/>
              </w:rPr>
              <w:t>-20</w:t>
            </w:r>
            <w:r w:rsidR="008E6EAD">
              <w:rPr>
                <w:rFonts w:hint="eastAsia"/>
                <w:lang w:eastAsia="zh-CN"/>
              </w:rPr>
              <w:t>21</w:t>
            </w:r>
            <w:r w:rsidRPr="00837BDA">
              <w:rPr>
                <w:rFonts w:hint="eastAsia"/>
                <w:lang w:eastAsia="zh-CN"/>
              </w:rPr>
              <w:t>双年度预算</w:t>
            </w:r>
          </w:p>
        </w:tc>
        <w:tc>
          <w:tcPr>
            <w:tcW w:w="1036" w:type="dxa"/>
            <w:tcBorders>
              <w:top w:val="nil"/>
              <w:bottom w:val="nil"/>
              <w:right w:val="nil"/>
            </w:tcBorders>
          </w:tcPr>
          <w:p w14:paraId="4827C7EB" w14:textId="77777777" w:rsidR="00031842" w:rsidRPr="00155BC6" w:rsidRDefault="00031842" w:rsidP="00031842">
            <w:pPr>
              <w:pStyle w:val="appendixctext"/>
              <w:rPr>
                <w:lang w:eastAsia="zh-CN"/>
              </w:rPr>
            </w:pPr>
            <w:r w:rsidRPr="00155BC6">
              <w:rPr>
                <w:lang w:eastAsia="zh-CN"/>
              </w:rPr>
              <w:t>R 13</w:t>
            </w:r>
            <w:r w:rsidR="008E6EAD">
              <w:rPr>
                <w:rFonts w:hint="eastAsia"/>
                <w:lang w:eastAsia="zh-CN"/>
              </w:rPr>
              <w:t>96</w:t>
            </w:r>
          </w:p>
        </w:tc>
        <w:tc>
          <w:tcPr>
            <w:tcW w:w="599" w:type="dxa"/>
            <w:tcBorders>
              <w:top w:val="nil"/>
              <w:left w:val="nil"/>
              <w:bottom w:val="nil"/>
            </w:tcBorders>
          </w:tcPr>
          <w:p w14:paraId="4827C7EC" w14:textId="77777777" w:rsidR="00031842" w:rsidRPr="00155BC6" w:rsidRDefault="00031842" w:rsidP="00031842">
            <w:pPr>
              <w:pStyle w:val="appendixctext"/>
              <w:rPr>
                <w:lang w:eastAsia="zh-CN"/>
              </w:rPr>
            </w:pPr>
            <w:r>
              <w:rPr>
                <w:lang w:eastAsia="zh-CN"/>
              </w:rPr>
              <w:t>1.1</w:t>
            </w:r>
          </w:p>
        </w:tc>
      </w:tr>
      <w:tr w:rsidR="00C93C9F" w:rsidRPr="00155BC6" w14:paraId="439FA4E3" w14:textId="77777777" w:rsidTr="006C740C">
        <w:trPr>
          <w:jc w:val="center"/>
        </w:trPr>
        <w:tc>
          <w:tcPr>
            <w:tcW w:w="303" w:type="dxa"/>
            <w:tcBorders>
              <w:top w:val="nil"/>
              <w:bottom w:val="nil"/>
              <w:right w:val="nil"/>
            </w:tcBorders>
          </w:tcPr>
          <w:p w14:paraId="63B60C5B" w14:textId="0D0C5345" w:rsidR="00C93C9F" w:rsidRPr="00155BC6" w:rsidRDefault="00C93C9F" w:rsidP="00C93C9F">
            <w:pPr>
              <w:pStyle w:val="appendixctext"/>
              <w:rPr>
                <w:lang w:eastAsia="zh-CN"/>
              </w:rPr>
            </w:pPr>
            <w:r w:rsidRPr="00155BC6">
              <w:rPr>
                <w:lang w:eastAsia="zh-CN"/>
              </w:rPr>
              <w:t>–</w:t>
            </w:r>
          </w:p>
        </w:tc>
        <w:tc>
          <w:tcPr>
            <w:tcW w:w="2564" w:type="dxa"/>
            <w:tcBorders>
              <w:top w:val="nil"/>
              <w:left w:val="nil"/>
              <w:bottom w:val="nil"/>
            </w:tcBorders>
          </w:tcPr>
          <w:p w14:paraId="5A04E389" w14:textId="1E49673A" w:rsidR="00C93C9F" w:rsidRPr="00837BDA" w:rsidRDefault="00C93C9F" w:rsidP="00C93C9F">
            <w:pPr>
              <w:pStyle w:val="appendixctext"/>
              <w:rPr>
                <w:lang w:eastAsia="zh-CN"/>
              </w:rPr>
            </w:pPr>
            <w:r w:rsidRPr="00837BDA">
              <w:rPr>
                <w:rFonts w:hint="eastAsia"/>
                <w:lang w:eastAsia="zh-CN"/>
              </w:rPr>
              <w:t>20</w:t>
            </w:r>
            <w:r>
              <w:rPr>
                <w:rFonts w:hint="eastAsia"/>
                <w:lang w:eastAsia="zh-CN"/>
              </w:rPr>
              <w:t>22</w:t>
            </w:r>
            <w:r w:rsidRPr="00837BDA">
              <w:rPr>
                <w:rFonts w:hint="eastAsia"/>
                <w:lang w:eastAsia="zh-CN"/>
              </w:rPr>
              <w:t>-20</w:t>
            </w:r>
            <w:r>
              <w:rPr>
                <w:rFonts w:hint="eastAsia"/>
                <w:lang w:eastAsia="zh-CN"/>
              </w:rPr>
              <w:t>23</w:t>
            </w:r>
            <w:r w:rsidRPr="00837BDA">
              <w:rPr>
                <w:rFonts w:hint="eastAsia"/>
                <w:lang w:eastAsia="zh-CN"/>
              </w:rPr>
              <w:t>双年度预算</w:t>
            </w:r>
          </w:p>
        </w:tc>
        <w:tc>
          <w:tcPr>
            <w:tcW w:w="1036" w:type="dxa"/>
            <w:tcBorders>
              <w:top w:val="nil"/>
              <w:bottom w:val="nil"/>
              <w:right w:val="nil"/>
            </w:tcBorders>
          </w:tcPr>
          <w:p w14:paraId="0899EEDE" w14:textId="6712885B" w:rsidR="00C93C9F" w:rsidRPr="00155BC6" w:rsidRDefault="00C93C9F" w:rsidP="00C93C9F">
            <w:pPr>
              <w:pStyle w:val="appendixctext"/>
              <w:rPr>
                <w:lang w:eastAsia="zh-CN"/>
              </w:rPr>
            </w:pPr>
            <w:r w:rsidRPr="00155BC6">
              <w:rPr>
                <w:lang w:eastAsia="zh-CN"/>
              </w:rPr>
              <w:t>R 1</w:t>
            </w:r>
            <w:r>
              <w:rPr>
                <w:rFonts w:hint="eastAsia"/>
                <w:lang w:eastAsia="zh-CN"/>
              </w:rPr>
              <w:t>405</w:t>
            </w:r>
          </w:p>
        </w:tc>
        <w:tc>
          <w:tcPr>
            <w:tcW w:w="599" w:type="dxa"/>
            <w:tcBorders>
              <w:top w:val="nil"/>
              <w:left w:val="nil"/>
              <w:bottom w:val="nil"/>
            </w:tcBorders>
          </w:tcPr>
          <w:p w14:paraId="146D63F0" w14:textId="0CF46CBD" w:rsidR="00C93C9F" w:rsidRDefault="00C93C9F" w:rsidP="00C93C9F">
            <w:pPr>
              <w:pStyle w:val="appendixctext"/>
              <w:rPr>
                <w:lang w:eastAsia="zh-CN"/>
              </w:rPr>
            </w:pPr>
            <w:r>
              <w:rPr>
                <w:lang w:eastAsia="zh-CN"/>
              </w:rPr>
              <w:t>1.1</w:t>
            </w:r>
          </w:p>
        </w:tc>
      </w:tr>
      <w:tr w:rsidR="00031842" w:rsidRPr="00155BC6" w14:paraId="4827C7F2" w14:textId="77777777" w:rsidTr="006C740C">
        <w:trPr>
          <w:jc w:val="center"/>
        </w:trPr>
        <w:tc>
          <w:tcPr>
            <w:tcW w:w="303" w:type="dxa"/>
            <w:tcBorders>
              <w:top w:val="nil"/>
              <w:bottom w:val="nil"/>
              <w:right w:val="nil"/>
            </w:tcBorders>
          </w:tcPr>
          <w:p w14:paraId="4827C7EE" w14:textId="77777777" w:rsidR="00031842" w:rsidRPr="00155BC6" w:rsidRDefault="00031842" w:rsidP="00031842">
            <w:pPr>
              <w:pStyle w:val="appendixctext"/>
              <w:rPr>
                <w:lang w:eastAsia="zh-CN"/>
              </w:rPr>
            </w:pPr>
            <w:r w:rsidRPr="00155BC6">
              <w:rPr>
                <w:lang w:eastAsia="zh-CN"/>
              </w:rPr>
              <w:t>–</w:t>
            </w:r>
          </w:p>
        </w:tc>
        <w:tc>
          <w:tcPr>
            <w:tcW w:w="2564" w:type="dxa"/>
            <w:tcBorders>
              <w:top w:val="nil"/>
              <w:left w:val="nil"/>
              <w:bottom w:val="nil"/>
            </w:tcBorders>
          </w:tcPr>
          <w:p w14:paraId="4827C7EF" w14:textId="77777777" w:rsidR="00031842" w:rsidRPr="00155BC6" w:rsidRDefault="00031842" w:rsidP="00031842">
            <w:pPr>
              <w:pStyle w:val="appendixctext"/>
              <w:rPr>
                <w:rFonts w:hAnsi="SimSun"/>
                <w:lang w:eastAsia="zh-CN"/>
              </w:rPr>
            </w:pPr>
            <w:r w:rsidRPr="00155BC6">
              <w:rPr>
                <w:rFonts w:hint="eastAsia"/>
                <w:lang w:eastAsia="zh-CN"/>
              </w:rPr>
              <w:t>一百周年大奖基金</w:t>
            </w:r>
          </w:p>
        </w:tc>
        <w:tc>
          <w:tcPr>
            <w:tcW w:w="1036" w:type="dxa"/>
            <w:tcBorders>
              <w:top w:val="nil"/>
              <w:bottom w:val="nil"/>
              <w:right w:val="nil"/>
            </w:tcBorders>
          </w:tcPr>
          <w:p w14:paraId="4827C7F0" w14:textId="77777777" w:rsidR="00031842" w:rsidRPr="00155BC6" w:rsidRDefault="00031842" w:rsidP="00031842">
            <w:pPr>
              <w:pStyle w:val="appendixctext"/>
              <w:rPr>
                <w:lang w:eastAsia="zh-CN"/>
              </w:rPr>
            </w:pPr>
            <w:r w:rsidRPr="00155BC6">
              <w:rPr>
                <w:lang w:eastAsia="zh-CN"/>
              </w:rPr>
              <w:t>R 1027</w:t>
            </w:r>
          </w:p>
        </w:tc>
        <w:tc>
          <w:tcPr>
            <w:tcW w:w="599" w:type="dxa"/>
            <w:tcBorders>
              <w:top w:val="nil"/>
              <w:left w:val="nil"/>
              <w:bottom w:val="nil"/>
            </w:tcBorders>
          </w:tcPr>
          <w:p w14:paraId="4827C7F1" w14:textId="77777777" w:rsidR="00031842" w:rsidRPr="00155BC6" w:rsidRDefault="00031842" w:rsidP="00031842">
            <w:pPr>
              <w:pStyle w:val="appendixctext"/>
              <w:rPr>
                <w:lang w:eastAsia="zh-CN"/>
              </w:rPr>
            </w:pPr>
            <w:r w:rsidRPr="00155BC6">
              <w:rPr>
                <w:lang w:eastAsia="zh-CN"/>
              </w:rPr>
              <w:t>6.2</w:t>
            </w:r>
          </w:p>
        </w:tc>
      </w:tr>
      <w:tr w:rsidR="00031842" w:rsidRPr="00155BC6" w14:paraId="4827C7F7" w14:textId="77777777" w:rsidTr="006C740C">
        <w:trPr>
          <w:jc w:val="center"/>
        </w:trPr>
        <w:tc>
          <w:tcPr>
            <w:tcW w:w="303" w:type="dxa"/>
            <w:tcBorders>
              <w:top w:val="nil"/>
              <w:bottom w:val="nil"/>
              <w:right w:val="nil"/>
            </w:tcBorders>
          </w:tcPr>
          <w:p w14:paraId="4827C7F3" w14:textId="77777777" w:rsidR="00031842" w:rsidRPr="00FB4A3A" w:rsidRDefault="00031842" w:rsidP="00031842">
            <w:pPr>
              <w:pStyle w:val="appendixctext"/>
              <w:rPr>
                <w:lang w:eastAsia="zh-CN"/>
              </w:rPr>
            </w:pPr>
            <w:r w:rsidRPr="00FB4A3A">
              <w:rPr>
                <w:lang w:eastAsia="zh-CN"/>
              </w:rPr>
              <w:t>–</w:t>
            </w:r>
          </w:p>
        </w:tc>
        <w:tc>
          <w:tcPr>
            <w:tcW w:w="2564" w:type="dxa"/>
            <w:tcBorders>
              <w:top w:val="nil"/>
              <w:left w:val="nil"/>
              <w:bottom w:val="nil"/>
            </w:tcBorders>
          </w:tcPr>
          <w:p w14:paraId="4827C7F4" w14:textId="77777777" w:rsidR="00031842" w:rsidRPr="00155BC6" w:rsidRDefault="00031842" w:rsidP="00031842">
            <w:pPr>
              <w:pStyle w:val="appendixctext"/>
              <w:rPr>
                <w:rFonts w:hAnsi="SimSun"/>
                <w:lang w:eastAsia="zh-CN"/>
              </w:rPr>
            </w:pPr>
            <w:r w:rsidRPr="00155BC6">
              <w:rPr>
                <w:rFonts w:hint="eastAsia"/>
                <w:lang w:eastAsia="zh-CN"/>
              </w:rPr>
              <w:t>发给主管部门的通函电报</w:t>
            </w:r>
          </w:p>
        </w:tc>
        <w:tc>
          <w:tcPr>
            <w:tcW w:w="1036" w:type="dxa"/>
            <w:tcBorders>
              <w:top w:val="nil"/>
              <w:bottom w:val="nil"/>
              <w:right w:val="nil"/>
            </w:tcBorders>
          </w:tcPr>
          <w:p w14:paraId="4827C7F5" w14:textId="77777777" w:rsidR="00031842" w:rsidRPr="00155BC6" w:rsidRDefault="00031842" w:rsidP="00031842">
            <w:pPr>
              <w:pStyle w:val="appendixctext"/>
              <w:rPr>
                <w:lang w:eastAsia="zh-CN"/>
              </w:rPr>
            </w:pPr>
            <w:r w:rsidRPr="00155BC6">
              <w:rPr>
                <w:lang w:eastAsia="zh-CN"/>
              </w:rPr>
              <w:t>R 177</w:t>
            </w:r>
          </w:p>
        </w:tc>
        <w:tc>
          <w:tcPr>
            <w:tcW w:w="599" w:type="dxa"/>
            <w:tcBorders>
              <w:top w:val="nil"/>
              <w:left w:val="nil"/>
              <w:bottom w:val="nil"/>
            </w:tcBorders>
          </w:tcPr>
          <w:p w14:paraId="4827C7F6" w14:textId="77777777" w:rsidR="00031842" w:rsidRPr="00155BC6" w:rsidRDefault="00031842" w:rsidP="00031842">
            <w:pPr>
              <w:pStyle w:val="appendixctext"/>
            </w:pPr>
            <w:r w:rsidRPr="00155BC6">
              <w:t>6.1</w:t>
            </w:r>
          </w:p>
        </w:tc>
      </w:tr>
      <w:tr w:rsidR="00031842" w:rsidRPr="00155BC6" w14:paraId="4827C7FB" w14:textId="77777777" w:rsidTr="006C740C">
        <w:trPr>
          <w:jc w:val="center"/>
        </w:trPr>
        <w:tc>
          <w:tcPr>
            <w:tcW w:w="2867" w:type="dxa"/>
            <w:gridSpan w:val="2"/>
            <w:tcBorders>
              <w:bottom w:val="nil"/>
              <w:right w:val="single" w:sz="4" w:space="0" w:color="auto"/>
            </w:tcBorders>
          </w:tcPr>
          <w:p w14:paraId="4827C7F8" w14:textId="77777777" w:rsidR="00031842" w:rsidRPr="00155BC6" w:rsidRDefault="00031842" w:rsidP="00031842">
            <w:pPr>
              <w:pStyle w:val="appendixchead"/>
              <w:rPr>
                <w:rFonts w:hAnsi="SimSun"/>
              </w:rPr>
            </w:pPr>
            <w:r w:rsidRPr="00155BC6">
              <w:rPr>
                <w:rFonts w:hint="eastAsia"/>
              </w:rPr>
              <w:t>语文</w:t>
            </w:r>
          </w:p>
        </w:tc>
        <w:tc>
          <w:tcPr>
            <w:tcW w:w="1036" w:type="dxa"/>
            <w:tcBorders>
              <w:left w:val="single" w:sz="4" w:space="0" w:color="auto"/>
              <w:bottom w:val="nil"/>
              <w:right w:val="nil"/>
            </w:tcBorders>
          </w:tcPr>
          <w:p w14:paraId="4827C7F9" w14:textId="77777777" w:rsidR="00031842" w:rsidRPr="00155BC6" w:rsidRDefault="00031842" w:rsidP="00031842">
            <w:pPr>
              <w:pStyle w:val="appendixctext"/>
            </w:pPr>
          </w:p>
        </w:tc>
        <w:tc>
          <w:tcPr>
            <w:tcW w:w="599" w:type="dxa"/>
            <w:tcBorders>
              <w:left w:val="nil"/>
              <w:bottom w:val="nil"/>
            </w:tcBorders>
          </w:tcPr>
          <w:p w14:paraId="4827C7FA" w14:textId="77777777" w:rsidR="00031842" w:rsidRPr="00155BC6" w:rsidRDefault="00031842" w:rsidP="00031842">
            <w:pPr>
              <w:pStyle w:val="appendixctext"/>
            </w:pPr>
          </w:p>
        </w:tc>
      </w:tr>
      <w:tr w:rsidR="00031842" w:rsidRPr="00155BC6" w14:paraId="4827C800" w14:textId="77777777" w:rsidTr="006C740C">
        <w:trPr>
          <w:jc w:val="center"/>
        </w:trPr>
        <w:tc>
          <w:tcPr>
            <w:tcW w:w="303" w:type="dxa"/>
            <w:tcBorders>
              <w:top w:val="nil"/>
              <w:bottom w:val="nil"/>
              <w:right w:val="nil"/>
            </w:tcBorders>
          </w:tcPr>
          <w:p w14:paraId="4827C7FC" w14:textId="77777777" w:rsidR="00031842" w:rsidRPr="00155BC6" w:rsidRDefault="00031842" w:rsidP="00031842">
            <w:pPr>
              <w:pStyle w:val="appendixctext"/>
            </w:pPr>
            <w:r w:rsidRPr="00155BC6">
              <w:t>–</w:t>
            </w:r>
          </w:p>
        </w:tc>
        <w:tc>
          <w:tcPr>
            <w:tcW w:w="2564" w:type="dxa"/>
            <w:tcBorders>
              <w:top w:val="nil"/>
              <w:left w:val="nil"/>
              <w:bottom w:val="nil"/>
            </w:tcBorders>
          </w:tcPr>
          <w:p w14:paraId="4827C7FD" w14:textId="77777777" w:rsidR="00031842" w:rsidRPr="00155BC6" w:rsidRDefault="00031842" w:rsidP="00031842">
            <w:pPr>
              <w:pStyle w:val="appendixctext"/>
              <w:rPr>
                <w:rFonts w:hAnsi="SimSun"/>
                <w:lang w:eastAsia="zh-CN"/>
              </w:rPr>
            </w:pPr>
            <w:r w:rsidRPr="00155BC6">
              <w:rPr>
                <w:rFonts w:hint="eastAsia"/>
                <w:lang w:eastAsia="zh-CN"/>
              </w:rPr>
              <w:t>六种正式语文和工作语文的</w:t>
            </w:r>
            <w:r>
              <w:rPr>
                <w:lang w:eastAsia="zh-CN"/>
              </w:rPr>
              <w:br/>
            </w:r>
            <w:r w:rsidRPr="00155BC6">
              <w:rPr>
                <w:rFonts w:hint="eastAsia"/>
                <w:lang w:eastAsia="zh-CN"/>
              </w:rPr>
              <w:t>使用</w:t>
            </w:r>
          </w:p>
        </w:tc>
        <w:tc>
          <w:tcPr>
            <w:tcW w:w="1036" w:type="dxa"/>
            <w:tcBorders>
              <w:top w:val="nil"/>
              <w:bottom w:val="nil"/>
              <w:right w:val="nil"/>
            </w:tcBorders>
          </w:tcPr>
          <w:p w14:paraId="4827C7FE" w14:textId="77777777" w:rsidR="00031842" w:rsidRPr="00155BC6" w:rsidRDefault="00031842" w:rsidP="00031842">
            <w:pPr>
              <w:pStyle w:val="appendixctext"/>
            </w:pPr>
            <w:r w:rsidRPr="00155BC6">
              <w:t>R 1372</w:t>
            </w:r>
          </w:p>
        </w:tc>
        <w:tc>
          <w:tcPr>
            <w:tcW w:w="599" w:type="dxa"/>
            <w:tcBorders>
              <w:top w:val="nil"/>
              <w:left w:val="nil"/>
              <w:bottom w:val="nil"/>
            </w:tcBorders>
          </w:tcPr>
          <w:p w14:paraId="4827C7FF" w14:textId="77777777" w:rsidR="00031842" w:rsidRPr="00155BC6" w:rsidRDefault="00031842" w:rsidP="00031842">
            <w:pPr>
              <w:pStyle w:val="appendixctext"/>
            </w:pPr>
            <w:r w:rsidRPr="00155BC6">
              <w:t>7.2</w:t>
            </w:r>
          </w:p>
        </w:tc>
      </w:tr>
      <w:tr w:rsidR="00031842" w:rsidRPr="00155BC6" w14:paraId="4827C805" w14:textId="77777777" w:rsidTr="006C740C">
        <w:trPr>
          <w:jc w:val="center"/>
        </w:trPr>
        <w:tc>
          <w:tcPr>
            <w:tcW w:w="303" w:type="dxa"/>
            <w:tcBorders>
              <w:top w:val="nil"/>
              <w:right w:val="nil"/>
            </w:tcBorders>
          </w:tcPr>
          <w:p w14:paraId="4827C801" w14:textId="77777777" w:rsidR="00031842" w:rsidRPr="00155BC6" w:rsidRDefault="00031842" w:rsidP="00031842">
            <w:pPr>
              <w:pStyle w:val="appendixctext"/>
            </w:pPr>
            <w:r w:rsidRPr="00155BC6">
              <w:t>–</w:t>
            </w:r>
          </w:p>
        </w:tc>
        <w:tc>
          <w:tcPr>
            <w:tcW w:w="2564" w:type="dxa"/>
            <w:tcBorders>
              <w:top w:val="nil"/>
              <w:left w:val="nil"/>
            </w:tcBorders>
          </w:tcPr>
          <w:p w14:paraId="4827C802" w14:textId="77777777" w:rsidR="00031842" w:rsidRPr="00155BC6" w:rsidRDefault="00031842" w:rsidP="00031842">
            <w:pPr>
              <w:pStyle w:val="appendixctext"/>
              <w:rPr>
                <w:rFonts w:hAnsi="SimSun"/>
              </w:rPr>
            </w:pPr>
            <w:r w:rsidRPr="00155BC6">
              <w:rPr>
                <w:rFonts w:hint="eastAsia"/>
              </w:rPr>
              <w:t>“主席”一词的使用</w:t>
            </w:r>
          </w:p>
        </w:tc>
        <w:tc>
          <w:tcPr>
            <w:tcW w:w="1036" w:type="dxa"/>
            <w:tcBorders>
              <w:top w:val="nil"/>
              <w:right w:val="nil"/>
            </w:tcBorders>
          </w:tcPr>
          <w:p w14:paraId="4827C803" w14:textId="77777777" w:rsidR="00031842" w:rsidRPr="00155BC6" w:rsidRDefault="00031842" w:rsidP="00031842">
            <w:pPr>
              <w:pStyle w:val="appendixctext"/>
            </w:pPr>
            <w:r w:rsidRPr="00155BC6">
              <w:t>D 500</w:t>
            </w:r>
          </w:p>
        </w:tc>
        <w:tc>
          <w:tcPr>
            <w:tcW w:w="599" w:type="dxa"/>
            <w:tcBorders>
              <w:top w:val="nil"/>
              <w:left w:val="nil"/>
            </w:tcBorders>
          </w:tcPr>
          <w:p w14:paraId="4827C804" w14:textId="77777777" w:rsidR="00031842" w:rsidRPr="00155BC6" w:rsidRDefault="00031842" w:rsidP="00031842">
            <w:pPr>
              <w:pStyle w:val="appendixctext"/>
            </w:pPr>
            <w:r w:rsidRPr="00155BC6">
              <w:t>7.2</w:t>
            </w:r>
          </w:p>
        </w:tc>
      </w:tr>
      <w:tr w:rsidR="00031842" w:rsidRPr="00155BC6" w14:paraId="4827C809" w14:textId="77777777" w:rsidTr="006C740C">
        <w:trPr>
          <w:jc w:val="center"/>
        </w:trPr>
        <w:tc>
          <w:tcPr>
            <w:tcW w:w="2867" w:type="dxa"/>
            <w:gridSpan w:val="2"/>
            <w:tcBorders>
              <w:bottom w:val="nil"/>
              <w:right w:val="single" w:sz="4" w:space="0" w:color="auto"/>
            </w:tcBorders>
          </w:tcPr>
          <w:p w14:paraId="4827C806" w14:textId="77777777" w:rsidR="00031842" w:rsidRPr="00155BC6" w:rsidRDefault="00031842" w:rsidP="00031842">
            <w:pPr>
              <w:pStyle w:val="appendixchead"/>
              <w:rPr>
                <w:rFonts w:hAnsi="SimSun"/>
              </w:rPr>
            </w:pPr>
            <w:r w:rsidRPr="00155BC6">
              <w:rPr>
                <w:rFonts w:hint="eastAsia"/>
              </w:rPr>
              <w:t>《运作规划》</w:t>
            </w:r>
          </w:p>
        </w:tc>
        <w:tc>
          <w:tcPr>
            <w:tcW w:w="1036" w:type="dxa"/>
            <w:tcBorders>
              <w:left w:val="single" w:sz="4" w:space="0" w:color="auto"/>
              <w:bottom w:val="nil"/>
              <w:right w:val="nil"/>
            </w:tcBorders>
          </w:tcPr>
          <w:p w14:paraId="4827C807" w14:textId="33732764" w:rsidR="00031842" w:rsidRPr="00155BC6" w:rsidRDefault="00031842" w:rsidP="00BF10EE">
            <w:pPr>
              <w:pStyle w:val="appendixctext"/>
              <w:spacing w:before="120"/>
            </w:pPr>
            <w:r w:rsidRPr="00155BC6">
              <w:t>R 1</w:t>
            </w:r>
            <w:r w:rsidR="00F869B9">
              <w:rPr>
                <w:rFonts w:hint="eastAsia"/>
                <w:lang w:eastAsia="zh-CN"/>
              </w:rPr>
              <w:t>403</w:t>
            </w:r>
          </w:p>
        </w:tc>
        <w:tc>
          <w:tcPr>
            <w:tcW w:w="599" w:type="dxa"/>
            <w:tcBorders>
              <w:left w:val="nil"/>
              <w:bottom w:val="nil"/>
            </w:tcBorders>
          </w:tcPr>
          <w:p w14:paraId="4827C808" w14:textId="77777777" w:rsidR="00031842" w:rsidRPr="00155BC6" w:rsidRDefault="00031842" w:rsidP="00031842">
            <w:pPr>
              <w:pStyle w:val="appendixctext"/>
              <w:spacing w:before="120"/>
            </w:pPr>
            <w:r>
              <w:t>4</w:t>
            </w:r>
          </w:p>
        </w:tc>
      </w:tr>
      <w:tr w:rsidR="00031842" w:rsidRPr="00155BC6" w14:paraId="4827C812" w14:textId="77777777" w:rsidTr="006C740C">
        <w:trPr>
          <w:jc w:val="center"/>
        </w:trPr>
        <w:tc>
          <w:tcPr>
            <w:tcW w:w="2867" w:type="dxa"/>
            <w:gridSpan w:val="2"/>
            <w:tcBorders>
              <w:bottom w:val="nil"/>
              <w:right w:val="single" w:sz="4" w:space="0" w:color="auto"/>
            </w:tcBorders>
          </w:tcPr>
          <w:p w14:paraId="4827C80F" w14:textId="77777777" w:rsidR="00031842" w:rsidRPr="00155BC6" w:rsidRDefault="00031842" w:rsidP="00031842">
            <w:pPr>
              <w:pStyle w:val="appendixchead"/>
              <w:rPr>
                <w:rFonts w:hAnsi="SimSun"/>
              </w:rPr>
            </w:pPr>
            <w:r w:rsidRPr="00155BC6">
              <w:rPr>
                <w:rFonts w:hint="eastAsia"/>
              </w:rPr>
              <w:t>《战略规划》</w:t>
            </w:r>
          </w:p>
        </w:tc>
        <w:tc>
          <w:tcPr>
            <w:tcW w:w="1036" w:type="dxa"/>
            <w:tcBorders>
              <w:left w:val="single" w:sz="4" w:space="0" w:color="auto"/>
              <w:bottom w:val="nil"/>
              <w:right w:val="nil"/>
            </w:tcBorders>
          </w:tcPr>
          <w:p w14:paraId="4827C810" w14:textId="77777777" w:rsidR="00031842" w:rsidRPr="00155BC6" w:rsidRDefault="00031842" w:rsidP="00031842">
            <w:pPr>
              <w:pStyle w:val="appendixctext"/>
            </w:pPr>
          </w:p>
        </w:tc>
        <w:tc>
          <w:tcPr>
            <w:tcW w:w="599" w:type="dxa"/>
            <w:tcBorders>
              <w:left w:val="nil"/>
              <w:bottom w:val="nil"/>
            </w:tcBorders>
          </w:tcPr>
          <w:p w14:paraId="4827C811" w14:textId="77777777" w:rsidR="00031842" w:rsidRPr="00155BC6" w:rsidRDefault="00031842" w:rsidP="00031842">
            <w:pPr>
              <w:pStyle w:val="appendixctext"/>
            </w:pPr>
          </w:p>
        </w:tc>
      </w:tr>
      <w:tr w:rsidR="00031842" w:rsidRPr="00155BC6" w14:paraId="4827C817" w14:textId="77777777" w:rsidTr="006C740C">
        <w:trPr>
          <w:jc w:val="center"/>
        </w:trPr>
        <w:tc>
          <w:tcPr>
            <w:tcW w:w="303" w:type="dxa"/>
            <w:tcBorders>
              <w:top w:val="nil"/>
              <w:right w:val="nil"/>
            </w:tcBorders>
          </w:tcPr>
          <w:p w14:paraId="4827C813" w14:textId="77777777" w:rsidR="00031842" w:rsidRPr="00155BC6" w:rsidRDefault="00031842" w:rsidP="00031842">
            <w:pPr>
              <w:pStyle w:val="appendixctext"/>
            </w:pPr>
            <w:r w:rsidRPr="00155BC6">
              <w:t>–</w:t>
            </w:r>
          </w:p>
        </w:tc>
        <w:tc>
          <w:tcPr>
            <w:tcW w:w="2564" w:type="dxa"/>
            <w:tcBorders>
              <w:top w:val="nil"/>
              <w:left w:val="nil"/>
            </w:tcBorders>
          </w:tcPr>
          <w:p w14:paraId="4827C814" w14:textId="77777777" w:rsidR="00031842" w:rsidRPr="00155BC6" w:rsidRDefault="00031842" w:rsidP="00031842">
            <w:pPr>
              <w:pStyle w:val="appendixctext"/>
              <w:rPr>
                <w:rFonts w:hAnsi="SimSun"/>
                <w:lang w:eastAsia="zh-CN"/>
              </w:rPr>
            </w:pPr>
            <w:r w:rsidRPr="00155BC6">
              <w:rPr>
                <w:rFonts w:hint="eastAsia"/>
                <w:lang w:eastAsia="zh-CN"/>
              </w:rPr>
              <w:t>制定人力资源战略</w:t>
            </w:r>
            <w:r w:rsidRPr="00155BC6">
              <w:rPr>
                <w:lang w:eastAsia="zh-CN"/>
              </w:rPr>
              <w:t>规</w:t>
            </w:r>
            <w:r w:rsidRPr="00155BC6">
              <w:rPr>
                <w:rFonts w:hint="eastAsia"/>
                <w:lang w:eastAsia="zh-CN"/>
              </w:rPr>
              <w:t>划</w:t>
            </w:r>
          </w:p>
        </w:tc>
        <w:tc>
          <w:tcPr>
            <w:tcW w:w="1036" w:type="dxa"/>
            <w:tcBorders>
              <w:top w:val="nil"/>
              <w:right w:val="nil"/>
            </w:tcBorders>
          </w:tcPr>
          <w:p w14:paraId="4827C815" w14:textId="77777777" w:rsidR="00031842" w:rsidRPr="00155BC6" w:rsidRDefault="00031842" w:rsidP="00031842">
            <w:pPr>
              <w:pStyle w:val="appendixctext"/>
            </w:pPr>
            <w:r w:rsidRPr="00155BC6">
              <w:t>R 1299</w:t>
            </w:r>
          </w:p>
        </w:tc>
        <w:tc>
          <w:tcPr>
            <w:tcW w:w="599" w:type="dxa"/>
            <w:tcBorders>
              <w:top w:val="nil"/>
              <w:left w:val="nil"/>
            </w:tcBorders>
          </w:tcPr>
          <w:p w14:paraId="4827C816" w14:textId="77777777" w:rsidR="00031842" w:rsidRPr="00155BC6" w:rsidRDefault="00031842" w:rsidP="00031842">
            <w:pPr>
              <w:pStyle w:val="appendixctext"/>
            </w:pPr>
            <w:r w:rsidRPr="00155BC6">
              <w:t>2.2</w:t>
            </w:r>
          </w:p>
        </w:tc>
      </w:tr>
      <w:tr w:rsidR="00031842" w:rsidRPr="00155BC6" w14:paraId="4827C81B" w14:textId="77777777" w:rsidTr="006C740C">
        <w:trPr>
          <w:jc w:val="center"/>
        </w:trPr>
        <w:tc>
          <w:tcPr>
            <w:tcW w:w="2867" w:type="dxa"/>
            <w:gridSpan w:val="2"/>
            <w:tcBorders>
              <w:bottom w:val="single" w:sz="4" w:space="0" w:color="auto"/>
              <w:right w:val="single" w:sz="4" w:space="0" w:color="auto"/>
            </w:tcBorders>
          </w:tcPr>
          <w:p w14:paraId="4827C818" w14:textId="77777777" w:rsidR="00031842" w:rsidRPr="00155BC6" w:rsidRDefault="00031842" w:rsidP="00031842">
            <w:pPr>
              <w:pStyle w:val="appendixchead"/>
            </w:pPr>
            <w:r w:rsidRPr="00155BC6">
              <w:rPr>
                <w:rFonts w:hint="eastAsia"/>
              </w:rPr>
              <w:t>职业病</w:t>
            </w:r>
          </w:p>
        </w:tc>
        <w:tc>
          <w:tcPr>
            <w:tcW w:w="1036" w:type="dxa"/>
            <w:tcBorders>
              <w:left w:val="single" w:sz="4" w:space="0" w:color="auto"/>
              <w:bottom w:val="single" w:sz="4" w:space="0" w:color="auto"/>
              <w:right w:val="nil"/>
            </w:tcBorders>
          </w:tcPr>
          <w:p w14:paraId="4827C819" w14:textId="77777777" w:rsidR="00031842" w:rsidRPr="00155BC6" w:rsidRDefault="00031842" w:rsidP="00031842">
            <w:pPr>
              <w:pStyle w:val="appendixctext"/>
              <w:spacing w:before="120"/>
              <w:rPr>
                <w:szCs w:val="18"/>
              </w:rPr>
            </w:pPr>
            <w:r w:rsidRPr="00155BC6">
              <w:rPr>
                <w:szCs w:val="18"/>
              </w:rPr>
              <w:t>R 1142</w:t>
            </w:r>
          </w:p>
        </w:tc>
        <w:tc>
          <w:tcPr>
            <w:tcW w:w="599" w:type="dxa"/>
            <w:tcBorders>
              <w:left w:val="nil"/>
              <w:bottom w:val="single" w:sz="4" w:space="0" w:color="auto"/>
            </w:tcBorders>
          </w:tcPr>
          <w:p w14:paraId="4827C81A" w14:textId="77777777" w:rsidR="00031842" w:rsidRPr="00155BC6" w:rsidRDefault="00031842" w:rsidP="00031842">
            <w:pPr>
              <w:pStyle w:val="appendixctext"/>
              <w:spacing w:before="120"/>
              <w:rPr>
                <w:szCs w:val="18"/>
              </w:rPr>
            </w:pPr>
            <w:r w:rsidRPr="00155BC6">
              <w:rPr>
                <w:szCs w:val="18"/>
              </w:rPr>
              <w:t>2.1</w:t>
            </w:r>
          </w:p>
        </w:tc>
      </w:tr>
      <w:tr w:rsidR="00031842" w:rsidRPr="00155BC6" w14:paraId="4827C81F" w14:textId="77777777" w:rsidTr="00CC60AD">
        <w:trPr>
          <w:jc w:val="center"/>
        </w:trPr>
        <w:tc>
          <w:tcPr>
            <w:tcW w:w="2867" w:type="dxa"/>
            <w:gridSpan w:val="2"/>
            <w:tcBorders>
              <w:bottom w:val="single" w:sz="4" w:space="0" w:color="auto"/>
              <w:right w:val="single" w:sz="4" w:space="0" w:color="auto"/>
            </w:tcBorders>
          </w:tcPr>
          <w:p w14:paraId="4827C81C" w14:textId="77777777" w:rsidR="00031842" w:rsidRPr="00155BC6" w:rsidRDefault="00031842" w:rsidP="00031842">
            <w:pPr>
              <w:jc w:val="left"/>
              <w:rPr>
                <w:sz w:val="18"/>
                <w:szCs w:val="18"/>
                <w:lang w:eastAsia="zh-CN"/>
              </w:rPr>
            </w:pPr>
            <w:r w:rsidRPr="00155BC6">
              <w:rPr>
                <w:rFonts w:hint="eastAsia"/>
                <w:b/>
                <w:bCs/>
                <w:sz w:val="18"/>
                <w:szCs w:val="18"/>
                <w:lang w:eastAsia="zh-CN"/>
              </w:rPr>
              <w:t>职员</w:t>
            </w:r>
            <w:r w:rsidRPr="00155BC6">
              <w:rPr>
                <w:b/>
                <w:bCs/>
                <w:sz w:val="18"/>
                <w:szCs w:val="18"/>
                <w:lang w:eastAsia="zh-CN"/>
              </w:rPr>
              <w:t>（</w:t>
            </w:r>
            <w:r w:rsidRPr="00155BC6">
              <w:rPr>
                <w:rFonts w:ascii="STKaiti" w:eastAsia="STKaiti" w:hAnsi="SimSun" w:hint="eastAsia"/>
                <w:b/>
                <w:bCs/>
                <w:sz w:val="18"/>
                <w:szCs w:val="18"/>
                <w:lang w:eastAsia="zh-CN"/>
              </w:rPr>
              <w:t>亦见</w:t>
            </w:r>
            <w:r w:rsidRPr="00155BC6">
              <w:rPr>
                <w:rFonts w:ascii="STKaiti" w:eastAsia="STKaiti" w:hAnsi="STKaiti" w:hint="eastAsia"/>
                <w:b/>
                <w:bCs/>
                <w:iCs/>
                <w:sz w:val="18"/>
                <w:szCs w:val="18"/>
                <w:lang w:eastAsia="zh-CN"/>
              </w:rPr>
              <w:t>养恤金</w:t>
            </w:r>
            <w:r w:rsidRPr="00155BC6">
              <w:rPr>
                <w:rFonts w:ascii="STKaiti" w:eastAsia="STKaiti" w:hAnsi="SimSun" w:hint="eastAsia"/>
                <w:b/>
                <w:bCs/>
                <w:sz w:val="18"/>
                <w:szCs w:val="18"/>
                <w:lang w:eastAsia="zh-CN"/>
              </w:rPr>
              <w:t>项下</w:t>
            </w:r>
            <w:r w:rsidRPr="00155BC6">
              <w:rPr>
                <w:iCs/>
                <w:sz w:val="18"/>
                <w:szCs w:val="18"/>
                <w:lang w:eastAsia="zh-CN"/>
              </w:rPr>
              <w:t>）</w:t>
            </w:r>
          </w:p>
        </w:tc>
        <w:tc>
          <w:tcPr>
            <w:tcW w:w="1036" w:type="dxa"/>
            <w:tcBorders>
              <w:left w:val="single" w:sz="4" w:space="0" w:color="auto"/>
              <w:bottom w:val="single" w:sz="4" w:space="0" w:color="auto"/>
              <w:right w:val="nil"/>
            </w:tcBorders>
          </w:tcPr>
          <w:p w14:paraId="4827C81D" w14:textId="77777777" w:rsidR="00031842" w:rsidRPr="00155BC6" w:rsidRDefault="00031842" w:rsidP="00031842">
            <w:pPr>
              <w:pStyle w:val="appendixctext"/>
              <w:rPr>
                <w:szCs w:val="18"/>
                <w:lang w:eastAsia="zh-CN"/>
              </w:rPr>
            </w:pPr>
          </w:p>
        </w:tc>
        <w:tc>
          <w:tcPr>
            <w:tcW w:w="599" w:type="dxa"/>
            <w:tcBorders>
              <w:left w:val="nil"/>
              <w:bottom w:val="single" w:sz="4" w:space="0" w:color="auto"/>
            </w:tcBorders>
          </w:tcPr>
          <w:p w14:paraId="4827C81E" w14:textId="77777777" w:rsidR="00031842" w:rsidRPr="00155BC6" w:rsidRDefault="00031842" w:rsidP="00031842">
            <w:pPr>
              <w:pStyle w:val="appendixctext"/>
              <w:rPr>
                <w:szCs w:val="18"/>
                <w:lang w:eastAsia="zh-CN"/>
              </w:rPr>
            </w:pPr>
          </w:p>
        </w:tc>
      </w:tr>
      <w:tr w:rsidR="00031842" w:rsidRPr="00155BC6" w14:paraId="4827C826" w14:textId="77777777" w:rsidTr="006C740C">
        <w:trPr>
          <w:jc w:val="center"/>
        </w:trPr>
        <w:tc>
          <w:tcPr>
            <w:tcW w:w="303" w:type="dxa"/>
            <w:tcBorders>
              <w:top w:val="single" w:sz="4" w:space="0" w:color="auto"/>
              <w:left w:val="single" w:sz="4" w:space="0" w:color="auto"/>
              <w:bottom w:val="nil"/>
              <w:right w:val="nil"/>
            </w:tcBorders>
          </w:tcPr>
          <w:p w14:paraId="4827C820" w14:textId="77777777" w:rsidR="00031842" w:rsidRPr="00155BC6" w:rsidRDefault="00031842" w:rsidP="00031842">
            <w:pPr>
              <w:pStyle w:val="appendixctext"/>
              <w:spacing w:before="40"/>
            </w:pPr>
            <w:r w:rsidRPr="00155BC6">
              <w:t>–</w:t>
            </w:r>
          </w:p>
        </w:tc>
        <w:tc>
          <w:tcPr>
            <w:tcW w:w="2564" w:type="dxa"/>
            <w:tcBorders>
              <w:top w:val="single" w:sz="4" w:space="0" w:color="auto"/>
              <w:left w:val="nil"/>
              <w:bottom w:val="nil"/>
              <w:right w:val="single" w:sz="4" w:space="0" w:color="auto"/>
            </w:tcBorders>
          </w:tcPr>
          <w:p w14:paraId="4827C821" w14:textId="77777777" w:rsidR="00C94BC4" w:rsidRPr="00155BC6" w:rsidRDefault="00031842" w:rsidP="00C94BC4">
            <w:pPr>
              <w:pStyle w:val="appendixctext"/>
              <w:spacing w:before="40"/>
              <w:rPr>
                <w:lang w:eastAsia="zh-CN"/>
              </w:rPr>
            </w:pPr>
            <w:r w:rsidRPr="00155BC6">
              <w:rPr>
                <w:rFonts w:hint="eastAsia"/>
                <w:lang w:eastAsia="zh-CN"/>
              </w:rPr>
              <w:t>职位空缺的公布，标准的最低资历</w:t>
            </w:r>
          </w:p>
        </w:tc>
        <w:tc>
          <w:tcPr>
            <w:tcW w:w="1036" w:type="dxa"/>
            <w:tcBorders>
              <w:top w:val="single" w:sz="4" w:space="0" w:color="auto"/>
              <w:left w:val="single" w:sz="4" w:space="0" w:color="auto"/>
              <w:bottom w:val="nil"/>
              <w:right w:val="nil"/>
            </w:tcBorders>
          </w:tcPr>
          <w:p w14:paraId="4827C822" w14:textId="77777777" w:rsidR="00031842" w:rsidRDefault="00031842" w:rsidP="00031842">
            <w:pPr>
              <w:pStyle w:val="appendixctext"/>
              <w:spacing w:before="40"/>
              <w:rPr>
                <w:szCs w:val="18"/>
                <w:lang w:val="en-US" w:eastAsia="zh-CN"/>
              </w:rPr>
            </w:pPr>
            <w:r w:rsidRPr="00155BC6">
              <w:rPr>
                <w:szCs w:val="18"/>
                <w:lang w:val="en-US" w:eastAsia="zh-CN"/>
              </w:rPr>
              <w:t>R 626</w:t>
            </w:r>
          </w:p>
          <w:p w14:paraId="4827C823" w14:textId="77777777" w:rsidR="00C94BC4" w:rsidRPr="00155BC6" w:rsidRDefault="00C94BC4" w:rsidP="00031842">
            <w:pPr>
              <w:pStyle w:val="appendixctext"/>
              <w:spacing w:before="40"/>
              <w:rPr>
                <w:szCs w:val="18"/>
              </w:rPr>
            </w:pPr>
          </w:p>
        </w:tc>
        <w:tc>
          <w:tcPr>
            <w:tcW w:w="599" w:type="dxa"/>
            <w:tcBorders>
              <w:top w:val="single" w:sz="4" w:space="0" w:color="auto"/>
              <w:left w:val="nil"/>
              <w:bottom w:val="nil"/>
              <w:right w:val="single" w:sz="4" w:space="0" w:color="auto"/>
            </w:tcBorders>
          </w:tcPr>
          <w:p w14:paraId="4827C824" w14:textId="77777777" w:rsidR="00031842" w:rsidRDefault="00031842" w:rsidP="00031842">
            <w:pPr>
              <w:pStyle w:val="appendixctext"/>
              <w:spacing w:before="40"/>
              <w:rPr>
                <w:szCs w:val="18"/>
              </w:rPr>
            </w:pPr>
            <w:r w:rsidRPr="00155BC6">
              <w:rPr>
                <w:szCs w:val="18"/>
              </w:rPr>
              <w:t>2.1</w:t>
            </w:r>
          </w:p>
          <w:p w14:paraId="4827C825" w14:textId="77777777" w:rsidR="00C94BC4" w:rsidRPr="00155BC6" w:rsidRDefault="00C94BC4" w:rsidP="00031842">
            <w:pPr>
              <w:pStyle w:val="appendixctext"/>
              <w:spacing w:before="40"/>
              <w:rPr>
                <w:szCs w:val="18"/>
              </w:rPr>
            </w:pPr>
          </w:p>
        </w:tc>
      </w:tr>
      <w:tr w:rsidR="00031842" w:rsidRPr="00155BC6" w14:paraId="4827C82C" w14:textId="77777777" w:rsidTr="00CC60AD">
        <w:trPr>
          <w:jc w:val="center"/>
        </w:trPr>
        <w:tc>
          <w:tcPr>
            <w:tcW w:w="303" w:type="dxa"/>
            <w:tcBorders>
              <w:top w:val="nil"/>
              <w:left w:val="single" w:sz="4" w:space="0" w:color="auto"/>
              <w:bottom w:val="single" w:sz="4" w:space="0" w:color="auto"/>
              <w:right w:val="nil"/>
            </w:tcBorders>
          </w:tcPr>
          <w:p w14:paraId="4827C828" w14:textId="77777777" w:rsidR="00031842" w:rsidRPr="00155BC6" w:rsidRDefault="00031842" w:rsidP="00031842">
            <w:pPr>
              <w:pStyle w:val="appendixctext"/>
              <w:spacing w:before="40"/>
            </w:pPr>
            <w:r w:rsidRPr="00155BC6">
              <w:t>–</w:t>
            </w:r>
          </w:p>
        </w:tc>
        <w:tc>
          <w:tcPr>
            <w:tcW w:w="2564" w:type="dxa"/>
            <w:tcBorders>
              <w:top w:val="nil"/>
              <w:left w:val="nil"/>
              <w:bottom w:val="single" w:sz="4" w:space="0" w:color="auto"/>
              <w:right w:val="single" w:sz="4" w:space="0" w:color="auto"/>
            </w:tcBorders>
          </w:tcPr>
          <w:p w14:paraId="4827C829" w14:textId="77777777" w:rsidR="00031842" w:rsidRPr="00155BC6" w:rsidRDefault="00031842" w:rsidP="00031842">
            <w:pPr>
              <w:pStyle w:val="appendixctext"/>
              <w:spacing w:before="40"/>
              <w:rPr>
                <w:lang w:eastAsia="zh-CN"/>
              </w:rPr>
            </w:pPr>
            <w:r w:rsidRPr="00155BC6">
              <w:rPr>
                <w:rFonts w:hint="eastAsia"/>
                <w:lang w:eastAsia="zh-CN"/>
              </w:rPr>
              <w:t>国际</w:t>
            </w:r>
            <w:r w:rsidRPr="00155BC6">
              <w:rPr>
                <w:lang w:eastAsia="zh-CN"/>
              </w:rPr>
              <w:t>电联</w:t>
            </w:r>
            <w:r w:rsidRPr="00155BC6">
              <w:rPr>
                <w:rFonts w:hint="eastAsia"/>
                <w:lang w:eastAsia="zh-CN"/>
              </w:rPr>
              <w:t>选任官员的服务条件</w:t>
            </w:r>
          </w:p>
        </w:tc>
        <w:tc>
          <w:tcPr>
            <w:tcW w:w="1036" w:type="dxa"/>
            <w:tcBorders>
              <w:top w:val="nil"/>
              <w:left w:val="single" w:sz="4" w:space="0" w:color="auto"/>
              <w:bottom w:val="single" w:sz="4" w:space="0" w:color="auto"/>
              <w:right w:val="nil"/>
            </w:tcBorders>
          </w:tcPr>
          <w:p w14:paraId="4827C82A" w14:textId="77777777" w:rsidR="00031842" w:rsidRPr="00155BC6" w:rsidRDefault="00031842" w:rsidP="00031842">
            <w:pPr>
              <w:pStyle w:val="appendixctext"/>
              <w:spacing w:before="40"/>
              <w:rPr>
                <w:szCs w:val="18"/>
              </w:rPr>
            </w:pPr>
            <w:r w:rsidRPr="00155BC6">
              <w:rPr>
                <w:szCs w:val="18"/>
                <w:lang w:val="en-US" w:eastAsia="zh-CN"/>
              </w:rPr>
              <w:t>D 548</w:t>
            </w:r>
          </w:p>
        </w:tc>
        <w:tc>
          <w:tcPr>
            <w:tcW w:w="599" w:type="dxa"/>
            <w:tcBorders>
              <w:top w:val="nil"/>
              <w:left w:val="nil"/>
              <w:bottom w:val="single" w:sz="4" w:space="0" w:color="auto"/>
              <w:right w:val="single" w:sz="4" w:space="0" w:color="auto"/>
            </w:tcBorders>
          </w:tcPr>
          <w:p w14:paraId="4827C82B" w14:textId="77777777" w:rsidR="00031842" w:rsidRPr="00155BC6" w:rsidRDefault="00031842" w:rsidP="00031842">
            <w:pPr>
              <w:pStyle w:val="appendixctext"/>
              <w:spacing w:before="40"/>
              <w:rPr>
                <w:szCs w:val="18"/>
              </w:rPr>
            </w:pPr>
            <w:r w:rsidRPr="00155BC6">
              <w:rPr>
                <w:szCs w:val="18"/>
              </w:rPr>
              <w:t>2.1</w:t>
            </w:r>
          </w:p>
        </w:tc>
      </w:tr>
      <w:tr w:rsidR="00FA6F5A" w:rsidRPr="00155BC6" w14:paraId="14B36F16" w14:textId="77777777" w:rsidTr="00CC60AD">
        <w:trPr>
          <w:jc w:val="center"/>
        </w:trPr>
        <w:tc>
          <w:tcPr>
            <w:tcW w:w="303" w:type="dxa"/>
            <w:tcBorders>
              <w:top w:val="single" w:sz="4" w:space="0" w:color="auto"/>
              <w:left w:val="single" w:sz="4" w:space="0" w:color="auto"/>
              <w:bottom w:val="nil"/>
              <w:right w:val="nil"/>
            </w:tcBorders>
          </w:tcPr>
          <w:p w14:paraId="57D7FF1A" w14:textId="77777777" w:rsidR="00FA6F5A" w:rsidRPr="00155BC6" w:rsidRDefault="00FA6F5A" w:rsidP="00031842">
            <w:pPr>
              <w:pStyle w:val="appendixctext"/>
              <w:spacing w:before="40"/>
            </w:pPr>
          </w:p>
        </w:tc>
        <w:tc>
          <w:tcPr>
            <w:tcW w:w="2564" w:type="dxa"/>
            <w:tcBorders>
              <w:top w:val="single" w:sz="4" w:space="0" w:color="auto"/>
              <w:left w:val="nil"/>
              <w:bottom w:val="nil"/>
              <w:right w:val="single" w:sz="4" w:space="0" w:color="auto"/>
            </w:tcBorders>
          </w:tcPr>
          <w:p w14:paraId="1462740C" w14:textId="77777777" w:rsidR="00FA6F5A" w:rsidRPr="00155BC6" w:rsidRDefault="00FA6F5A" w:rsidP="00031842">
            <w:pPr>
              <w:pStyle w:val="appendixctext"/>
              <w:spacing w:before="40"/>
              <w:rPr>
                <w:lang w:eastAsia="zh-CN"/>
              </w:rPr>
            </w:pPr>
          </w:p>
        </w:tc>
        <w:tc>
          <w:tcPr>
            <w:tcW w:w="1036" w:type="dxa"/>
            <w:tcBorders>
              <w:top w:val="single" w:sz="4" w:space="0" w:color="auto"/>
              <w:left w:val="single" w:sz="4" w:space="0" w:color="auto"/>
              <w:bottom w:val="nil"/>
              <w:right w:val="nil"/>
            </w:tcBorders>
          </w:tcPr>
          <w:p w14:paraId="200A9D8B" w14:textId="30943212" w:rsidR="00FA6F5A" w:rsidRPr="00155BC6" w:rsidRDefault="00FA6F5A" w:rsidP="00BF10EE">
            <w:pPr>
              <w:pStyle w:val="appendixctext"/>
              <w:spacing w:before="40"/>
              <w:rPr>
                <w:szCs w:val="18"/>
                <w:lang w:val="en-US" w:eastAsia="zh-CN"/>
              </w:rPr>
            </w:pPr>
            <w:r>
              <w:rPr>
                <w:szCs w:val="18"/>
                <w:lang w:val="en-US" w:eastAsia="zh-CN"/>
              </w:rPr>
              <w:t>R.140</w:t>
            </w:r>
            <w:r w:rsidR="006D3A93">
              <w:rPr>
                <w:rFonts w:hint="eastAsia"/>
                <w:szCs w:val="18"/>
                <w:lang w:val="en-US" w:eastAsia="zh-CN"/>
              </w:rPr>
              <w:t>6</w:t>
            </w:r>
          </w:p>
        </w:tc>
        <w:tc>
          <w:tcPr>
            <w:tcW w:w="599" w:type="dxa"/>
            <w:tcBorders>
              <w:top w:val="single" w:sz="4" w:space="0" w:color="auto"/>
              <w:left w:val="nil"/>
              <w:bottom w:val="nil"/>
              <w:right w:val="single" w:sz="4" w:space="0" w:color="auto"/>
            </w:tcBorders>
          </w:tcPr>
          <w:p w14:paraId="524AA547" w14:textId="770E1471" w:rsidR="00FA6F5A" w:rsidRPr="00155BC6" w:rsidRDefault="00FA6F5A" w:rsidP="00031842">
            <w:pPr>
              <w:pStyle w:val="appendixctext"/>
              <w:spacing w:before="40"/>
              <w:rPr>
                <w:szCs w:val="18"/>
              </w:rPr>
            </w:pPr>
            <w:r>
              <w:rPr>
                <w:szCs w:val="18"/>
              </w:rPr>
              <w:t>2.1</w:t>
            </w:r>
          </w:p>
        </w:tc>
      </w:tr>
      <w:tr w:rsidR="00031842" w:rsidRPr="00155BC6" w14:paraId="4827C836" w14:textId="77777777" w:rsidTr="006C740C">
        <w:trPr>
          <w:jc w:val="center"/>
        </w:trPr>
        <w:tc>
          <w:tcPr>
            <w:tcW w:w="303" w:type="dxa"/>
            <w:tcBorders>
              <w:top w:val="nil"/>
              <w:left w:val="single" w:sz="4" w:space="0" w:color="auto"/>
              <w:bottom w:val="nil"/>
              <w:right w:val="nil"/>
            </w:tcBorders>
          </w:tcPr>
          <w:p w14:paraId="4827C832" w14:textId="77777777" w:rsidR="00031842" w:rsidRPr="00155BC6" w:rsidRDefault="00031842" w:rsidP="00031842">
            <w:pPr>
              <w:pStyle w:val="appendixctext"/>
              <w:spacing w:before="40"/>
            </w:pPr>
            <w:r w:rsidRPr="00155BC6">
              <w:t>–</w:t>
            </w:r>
          </w:p>
        </w:tc>
        <w:tc>
          <w:tcPr>
            <w:tcW w:w="2564" w:type="dxa"/>
            <w:tcBorders>
              <w:top w:val="nil"/>
              <w:left w:val="nil"/>
              <w:bottom w:val="nil"/>
              <w:right w:val="single" w:sz="4" w:space="0" w:color="auto"/>
            </w:tcBorders>
          </w:tcPr>
          <w:p w14:paraId="4827C833" w14:textId="77777777" w:rsidR="00031842" w:rsidRPr="00155BC6" w:rsidRDefault="00031842" w:rsidP="00031842">
            <w:pPr>
              <w:pStyle w:val="appendixctext"/>
              <w:spacing w:before="40"/>
            </w:pPr>
            <w:r w:rsidRPr="00155BC6">
              <w:rPr>
                <w:rFonts w:ascii="SimSun" w:hAnsi="SimSun" w:hint="eastAsia"/>
              </w:rPr>
              <w:t>国际招聘程序</w:t>
            </w:r>
          </w:p>
        </w:tc>
        <w:tc>
          <w:tcPr>
            <w:tcW w:w="1036" w:type="dxa"/>
            <w:tcBorders>
              <w:top w:val="nil"/>
              <w:left w:val="single" w:sz="4" w:space="0" w:color="auto"/>
              <w:bottom w:val="nil"/>
              <w:right w:val="nil"/>
            </w:tcBorders>
          </w:tcPr>
          <w:p w14:paraId="4827C834" w14:textId="77777777" w:rsidR="00031842" w:rsidRPr="00155BC6" w:rsidRDefault="00031842" w:rsidP="00031842">
            <w:pPr>
              <w:pStyle w:val="appendixctext"/>
              <w:spacing w:before="40"/>
              <w:rPr>
                <w:szCs w:val="18"/>
              </w:rPr>
            </w:pPr>
            <w:r w:rsidRPr="00155BC6">
              <w:rPr>
                <w:szCs w:val="18"/>
                <w:lang w:val="en-US" w:eastAsia="zh-CN"/>
              </w:rPr>
              <w:t>R 685</w:t>
            </w:r>
          </w:p>
        </w:tc>
        <w:tc>
          <w:tcPr>
            <w:tcW w:w="599" w:type="dxa"/>
            <w:tcBorders>
              <w:top w:val="nil"/>
              <w:left w:val="nil"/>
              <w:bottom w:val="nil"/>
              <w:right w:val="single" w:sz="4" w:space="0" w:color="auto"/>
            </w:tcBorders>
          </w:tcPr>
          <w:p w14:paraId="4827C835" w14:textId="77777777" w:rsidR="00031842" w:rsidRPr="00155BC6" w:rsidRDefault="00031842" w:rsidP="00031842">
            <w:pPr>
              <w:pStyle w:val="appendixctext"/>
              <w:spacing w:before="40"/>
              <w:rPr>
                <w:szCs w:val="18"/>
              </w:rPr>
            </w:pPr>
            <w:r w:rsidRPr="00155BC6">
              <w:rPr>
                <w:szCs w:val="18"/>
              </w:rPr>
              <w:t>2.1</w:t>
            </w:r>
          </w:p>
        </w:tc>
      </w:tr>
      <w:tr w:rsidR="00031842" w:rsidRPr="00155BC6" w14:paraId="4827C83B" w14:textId="77777777" w:rsidTr="006C740C">
        <w:trPr>
          <w:jc w:val="center"/>
        </w:trPr>
        <w:tc>
          <w:tcPr>
            <w:tcW w:w="303" w:type="dxa"/>
            <w:tcBorders>
              <w:top w:val="nil"/>
              <w:left w:val="single" w:sz="4" w:space="0" w:color="auto"/>
              <w:bottom w:val="nil"/>
              <w:right w:val="nil"/>
            </w:tcBorders>
          </w:tcPr>
          <w:p w14:paraId="4827C837" w14:textId="77777777" w:rsidR="00031842" w:rsidRPr="00155BC6" w:rsidRDefault="00031842" w:rsidP="00031842">
            <w:pPr>
              <w:pStyle w:val="appendixctext"/>
              <w:spacing w:before="40"/>
            </w:pPr>
            <w:r w:rsidRPr="00155BC6">
              <w:t>–</w:t>
            </w:r>
          </w:p>
        </w:tc>
        <w:tc>
          <w:tcPr>
            <w:tcW w:w="2564" w:type="dxa"/>
            <w:tcBorders>
              <w:top w:val="nil"/>
              <w:left w:val="nil"/>
              <w:bottom w:val="nil"/>
              <w:right w:val="single" w:sz="4" w:space="0" w:color="auto"/>
            </w:tcBorders>
          </w:tcPr>
          <w:p w14:paraId="4827C838" w14:textId="77777777" w:rsidR="00031842" w:rsidRPr="00155BC6" w:rsidRDefault="00031842" w:rsidP="00031842">
            <w:pPr>
              <w:pStyle w:val="appendixctext"/>
              <w:spacing w:before="40"/>
            </w:pPr>
            <w:r w:rsidRPr="00155BC6">
              <w:rPr>
                <w:rFonts w:hint="eastAsia"/>
              </w:rPr>
              <w:t>职位清单</w:t>
            </w:r>
          </w:p>
        </w:tc>
        <w:tc>
          <w:tcPr>
            <w:tcW w:w="1036" w:type="dxa"/>
            <w:tcBorders>
              <w:top w:val="nil"/>
              <w:left w:val="single" w:sz="4" w:space="0" w:color="auto"/>
              <w:bottom w:val="nil"/>
              <w:right w:val="nil"/>
            </w:tcBorders>
          </w:tcPr>
          <w:p w14:paraId="4827C839" w14:textId="77777777" w:rsidR="00031842" w:rsidRPr="00155BC6" w:rsidRDefault="00031842" w:rsidP="00031842">
            <w:pPr>
              <w:pStyle w:val="appendixctext"/>
              <w:spacing w:before="40"/>
              <w:rPr>
                <w:szCs w:val="18"/>
              </w:rPr>
            </w:pPr>
            <w:r w:rsidRPr="00155BC6">
              <w:rPr>
                <w:szCs w:val="18"/>
                <w:lang w:val="en-US" w:eastAsia="zh-CN"/>
              </w:rPr>
              <w:t>D 2</w:t>
            </w:r>
          </w:p>
        </w:tc>
        <w:tc>
          <w:tcPr>
            <w:tcW w:w="599" w:type="dxa"/>
            <w:tcBorders>
              <w:top w:val="nil"/>
              <w:left w:val="nil"/>
              <w:bottom w:val="nil"/>
              <w:right w:val="single" w:sz="4" w:space="0" w:color="auto"/>
            </w:tcBorders>
          </w:tcPr>
          <w:p w14:paraId="4827C83A" w14:textId="77777777" w:rsidR="00031842" w:rsidRPr="00155BC6" w:rsidRDefault="00031842" w:rsidP="00031842">
            <w:pPr>
              <w:pStyle w:val="appendixctext"/>
              <w:spacing w:before="40"/>
              <w:rPr>
                <w:szCs w:val="18"/>
              </w:rPr>
            </w:pPr>
            <w:r w:rsidRPr="00155BC6">
              <w:rPr>
                <w:szCs w:val="18"/>
                <w:lang w:val="en-US" w:eastAsia="zh-CN"/>
              </w:rPr>
              <w:t>2.2</w:t>
            </w:r>
          </w:p>
        </w:tc>
      </w:tr>
      <w:tr w:rsidR="00031842" w:rsidRPr="00155BC6" w14:paraId="4827C840" w14:textId="77777777" w:rsidTr="006C740C">
        <w:trPr>
          <w:jc w:val="center"/>
        </w:trPr>
        <w:tc>
          <w:tcPr>
            <w:tcW w:w="303" w:type="dxa"/>
            <w:tcBorders>
              <w:top w:val="nil"/>
              <w:left w:val="single" w:sz="4" w:space="0" w:color="auto"/>
              <w:bottom w:val="nil"/>
              <w:right w:val="nil"/>
            </w:tcBorders>
          </w:tcPr>
          <w:p w14:paraId="4827C83C" w14:textId="77777777" w:rsidR="00031842" w:rsidRPr="00155BC6" w:rsidRDefault="00031842" w:rsidP="00031842">
            <w:pPr>
              <w:pStyle w:val="appendixctext"/>
              <w:spacing w:before="40"/>
            </w:pPr>
            <w:r w:rsidRPr="00155BC6">
              <w:t>–</w:t>
            </w:r>
          </w:p>
        </w:tc>
        <w:tc>
          <w:tcPr>
            <w:tcW w:w="2564" w:type="dxa"/>
            <w:tcBorders>
              <w:top w:val="nil"/>
              <w:left w:val="nil"/>
              <w:bottom w:val="nil"/>
              <w:right w:val="single" w:sz="4" w:space="0" w:color="auto"/>
            </w:tcBorders>
          </w:tcPr>
          <w:p w14:paraId="4827C83D" w14:textId="77777777" w:rsidR="00031842" w:rsidRPr="00155BC6" w:rsidRDefault="00031842" w:rsidP="00031842">
            <w:pPr>
              <w:pStyle w:val="appendixctext"/>
              <w:spacing w:before="40"/>
            </w:pPr>
            <w:r w:rsidRPr="00155BC6">
              <w:rPr>
                <w:rFonts w:hint="eastAsia"/>
              </w:rPr>
              <w:t>兵役假</w:t>
            </w:r>
          </w:p>
        </w:tc>
        <w:tc>
          <w:tcPr>
            <w:tcW w:w="1036" w:type="dxa"/>
            <w:tcBorders>
              <w:top w:val="nil"/>
              <w:left w:val="single" w:sz="4" w:space="0" w:color="auto"/>
              <w:bottom w:val="nil"/>
              <w:right w:val="nil"/>
            </w:tcBorders>
          </w:tcPr>
          <w:p w14:paraId="4827C83E" w14:textId="77777777" w:rsidR="00031842" w:rsidRPr="00155BC6" w:rsidRDefault="00031842" w:rsidP="00031842">
            <w:pPr>
              <w:pStyle w:val="appendixctext"/>
              <w:spacing w:before="40"/>
              <w:rPr>
                <w:szCs w:val="18"/>
              </w:rPr>
            </w:pPr>
            <w:r w:rsidRPr="00155BC6">
              <w:rPr>
                <w:szCs w:val="18"/>
                <w:lang w:val="en-US" w:eastAsia="zh-CN"/>
              </w:rPr>
              <w:t>R 260</w:t>
            </w:r>
          </w:p>
        </w:tc>
        <w:tc>
          <w:tcPr>
            <w:tcW w:w="599" w:type="dxa"/>
            <w:tcBorders>
              <w:top w:val="nil"/>
              <w:left w:val="nil"/>
              <w:bottom w:val="nil"/>
              <w:right w:val="single" w:sz="4" w:space="0" w:color="auto"/>
            </w:tcBorders>
          </w:tcPr>
          <w:p w14:paraId="4827C83F" w14:textId="77777777" w:rsidR="00031842" w:rsidRPr="00155BC6" w:rsidRDefault="00031842" w:rsidP="00031842">
            <w:pPr>
              <w:pStyle w:val="appendixctext"/>
              <w:spacing w:before="40"/>
              <w:rPr>
                <w:szCs w:val="18"/>
              </w:rPr>
            </w:pPr>
            <w:r w:rsidRPr="00155BC6">
              <w:rPr>
                <w:szCs w:val="18"/>
              </w:rPr>
              <w:t>2.1</w:t>
            </w:r>
          </w:p>
        </w:tc>
      </w:tr>
      <w:tr w:rsidR="00031842" w:rsidRPr="00155BC6" w14:paraId="4827C845" w14:textId="77777777" w:rsidTr="006C740C">
        <w:trPr>
          <w:jc w:val="center"/>
        </w:trPr>
        <w:tc>
          <w:tcPr>
            <w:tcW w:w="303" w:type="dxa"/>
            <w:tcBorders>
              <w:top w:val="nil"/>
              <w:left w:val="single" w:sz="4" w:space="0" w:color="auto"/>
              <w:bottom w:val="nil"/>
              <w:right w:val="nil"/>
            </w:tcBorders>
          </w:tcPr>
          <w:p w14:paraId="4827C841" w14:textId="77777777" w:rsidR="00031842" w:rsidRPr="00155BC6" w:rsidRDefault="00031842" w:rsidP="00F722A3">
            <w:pPr>
              <w:pStyle w:val="appendixctext"/>
              <w:keepNext/>
              <w:keepLines/>
              <w:spacing w:before="40"/>
            </w:pPr>
            <w:r w:rsidRPr="00155BC6">
              <w:t>–</w:t>
            </w:r>
          </w:p>
        </w:tc>
        <w:tc>
          <w:tcPr>
            <w:tcW w:w="2564" w:type="dxa"/>
            <w:tcBorders>
              <w:top w:val="nil"/>
              <w:left w:val="nil"/>
              <w:bottom w:val="nil"/>
              <w:right w:val="single" w:sz="4" w:space="0" w:color="auto"/>
            </w:tcBorders>
          </w:tcPr>
          <w:p w14:paraId="4827C842" w14:textId="77777777" w:rsidR="00031842" w:rsidRPr="00155BC6" w:rsidRDefault="00031842" w:rsidP="00031842">
            <w:pPr>
              <w:pStyle w:val="appendixctext"/>
              <w:spacing w:before="40"/>
              <w:rPr>
                <w:lang w:eastAsia="zh-CN"/>
              </w:rPr>
            </w:pPr>
            <w:r w:rsidRPr="00155BC6">
              <w:rPr>
                <w:rFonts w:hint="eastAsia"/>
                <w:lang w:eastAsia="zh-CN"/>
              </w:rPr>
              <w:t>可能进行调动的国际电联官员家属的随迁</w:t>
            </w:r>
          </w:p>
        </w:tc>
        <w:tc>
          <w:tcPr>
            <w:tcW w:w="1036" w:type="dxa"/>
            <w:tcBorders>
              <w:top w:val="nil"/>
              <w:left w:val="single" w:sz="4" w:space="0" w:color="auto"/>
              <w:bottom w:val="nil"/>
              <w:right w:val="nil"/>
            </w:tcBorders>
          </w:tcPr>
          <w:p w14:paraId="4827C843" w14:textId="77777777" w:rsidR="00031842" w:rsidRPr="00155BC6" w:rsidRDefault="00031842" w:rsidP="00031842">
            <w:pPr>
              <w:pStyle w:val="appendixctext"/>
              <w:spacing w:before="40"/>
              <w:rPr>
                <w:szCs w:val="18"/>
                <w:lang w:eastAsia="zh-CN"/>
              </w:rPr>
            </w:pPr>
            <w:r w:rsidRPr="00155BC6">
              <w:rPr>
                <w:szCs w:val="18"/>
                <w:lang w:val="en-US" w:eastAsia="zh-CN"/>
              </w:rPr>
              <w:t>R 261</w:t>
            </w:r>
          </w:p>
        </w:tc>
        <w:tc>
          <w:tcPr>
            <w:tcW w:w="599" w:type="dxa"/>
            <w:tcBorders>
              <w:top w:val="nil"/>
              <w:left w:val="nil"/>
              <w:bottom w:val="nil"/>
              <w:right w:val="single" w:sz="4" w:space="0" w:color="auto"/>
            </w:tcBorders>
          </w:tcPr>
          <w:p w14:paraId="4827C844" w14:textId="77777777" w:rsidR="00031842" w:rsidRPr="00155BC6" w:rsidRDefault="00031842" w:rsidP="00031842">
            <w:pPr>
              <w:pStyle w:val="appendixctext"/>
              <w:spacing w:before="40"/>
              <w:rPr>
                <w:szCs w:val="18"/>
                <w:lang w:eastAsia="zh-CN"/>
              </w:rPr>
            </w:pPr>
            <w:r w:rsidRPr="00155BC6">
              <w:rPr>
                <w:szCs w:val="18"/>
                <w:lang w:eastAsia="zh-CN"/>
              </w:rPr>
              <w:t>2.1</w:t>
            </w:r>
          </w:p>
        </w:tc>
      </w:tr>
      <w:tr w:rsidR="00031842" w:rsidRPr="00155BC6" w14:paraId="4827C84A" w14:textId="77777777" w:rsidTr="006C740C">
        <w:trPr>
          <w:jc w:val="center"/>
        </w:trPr>
        <w:tc>
          <w:tcPr>
            <w:tcW w:w="303" w:type="dxa"/>
            <w:tcBorders>
              <w:top w:val="nil"/>
              <w:left w:val="single" w:sz="4" w:space="0" w:color="auto"/>
              <w:bottom w:val="nil"/>
              <w:right w:val="nil"/>
            </w:tcBorders>
          </w:tcPr>
          <w:p w14:paraId="4827C846" w14:textId="77777777" w:rsidR="00031842" w:rsidRPr="00155BC6" w:rsidRDefault="00031842" w:rsidP="00E224D4">
            <w:pPr>
              <w:pStyle w:val="appendixctext"/>
              <w:spacing w:before="40"/>
              <w:rPr>
                <w:lang w:eastAsia="zh-CN"/>
              </w:rPr>
            </w:pPr>
            <w:r w:rsidRPr="00155BC6">
              <w:rPr>
                <w:lang w:eastAsia="zh-CN"/>
              </w:rPr>
              <w:t>–</w:t>
            </w:r>
          </w:p>
        </w:tc>
        <w:tc>
          <w:tcPr>
            <w:tcW w:w="2564" w:type="dxa"/>
            <w:tcBorders>
              <w:top w:val="nil"/>
              <w:left w:val="nil"/>
              <w:bottom w:val="nil"/>
              <w:right w:val="single" w:sz="4" w:space="0" w:color="auto"/>
            </w:tcBorders>
          </w:tcPr>
          <w:p w14:paraId="4827C847" w14:textId="77777777" w:rsidR="00031842" w:rsidRPr="00155BC6" w:rsidRDefault="00031842" w:rsidP="00E224D4">
            <w:pPr>
              <w:pStyle w:val="appendixctext"/>
              <w:spacing w:before="40"/>
              <w:rPr>
                <w:lang w:eastAsia="zh-CN"/>
              </w:rPr>
            </w:pPr>
            <w:r w:rsidRPr="00155BC6">
              <w:rPr>
                <w:rFonts w:hint="eastAsia"/>
                <w:lang w:eastAsia="zh-CN"/>
              </w:rPr>
              <w:t>职业病</w:t>
            </w:r>
          </w:p>
        </w:tc>
        <w:tc>
          <w:tcPr>
            <w:tcW w:w="1036" w:type="dxa"/>
            <w:tcBorders>
              <w:top w:val="nil"/>
              <w:left w:val="single" w:sz="4" w:space="0" w:color="auto"/>
              <w:bottom w:val="nil"/>
              <w:right w:val="nil"/>
            </w:tcBorders>
          </w:tcPr>
          <w:p w14:paraId="4827C848" w14:textId="77777777" w:rsidR="00031842" w:rsidRPr="00155BC6" w:rsidRDefault="00031842" w:rsidP="00E224D4">
            <w:pPr>
              <w:pStyle w:val="appendixctext"/>
              <w:spacing w:before="40"/>
              <w:rPr>
                <w:szCs w:val="18"/>
                <w:lang w:eastAsia="zh-CN"/>
              </w:rPr>
            </w:pPr>
            <w:r w:rsidRPr="00155BC6">
              <w:rPr>
                <w:szCs w:val="18"/>
                <w:lang w:val="en-US" w:eastAsia="zh-CN"/>
              </w:rPr>
              <w:t>R 1142</w:t>
            </w:r>
          </w:p>
        </w:tc>
        <w:tc>
          <w:tcPr>
            <w:tcW w:w="599" w:type="dxa"/>
            <w:tcBorders>
              <w:top w:val="nil"/>
              <w:left w:val="nil"/>
              <w:bottom w:val="nil"/>
              <w:right w:val="single" w:sz="4" w:space="0" w:color="auto"/>
            </w:tcBorders>
          </w:tcPr>
          <w:p w14:paraId="4827C849" w14:textId="77777777" w:rsidR="00031842" w:rsidRPr="00155BC6" w:rsidRDefault="00031842" w:rsidP="00E224D4">
            <w:pPr>
              <w:pStyle w:val="appendixctext"/>
              <w:spacing w:before="40"/>
              <w:rPr>
                <w:szCs w:val="18"/>
                <w:lang w:eastAsia="zh-CN"/>
              </w:rPr>
            </w:pPr>
            <w:r w:rsidRPr="00155BC6">
              <w:rPr>
                <w:szCs w:val="18"/>
                <w:lang w:eastAsia="zh-CN"/>
              </w:rPr>
              <w:t>2.1</w:t>
            </w:r>
          </w:p>
        </w:tc>
      </w:tr>
      <w:tr w:rsidR="00031842" w:rsidRPr="00155BC6" w14:paraId="4827C84F" w14:textId="77777777" w:rsidTr="006C740C">
        <w:trPr>
          <w:jc w:val="center"/>
        </w:trPr>
        <w:tc>
          <w:tcPr>
            <w:tcW w:w="303" w:type="dxa"/>
            <w:tcBorders>
              <w:top w:val="nil"/>
              <w:left w:val="single" w:sz="4" w:space="0" w:color="auto"/>
              <w:bottom w:val="nil"/>
              <w:right w:val="nil"/>
            </w:tcBorders>
          </w:tcPr>
          <w:p w14:paraId="4827C84B" w14:textId="77777777" w:rsidR="00031842" w:rsidRPr="00155BC6" w:rsidRDefault="00031842" w:rsidP="00E224D4">
            <w:pPr>
              <w:pStyle w:val="appendixctext"/>
              <w:spacing w:before="40"/>
              <w:rPr>
                <w:lang w:eastAsia="zh-CN"/>
              </w:rPr>
            </w:pPr>
            <w:r w:rsidRPr="00155BC6">
              <w:rPr>
                <w:lang w:eastAsia="zh-CN"/>
              </w:rPr>
              <w:t>–</w:t>
            </w:r>
          </w:p>
        </w:tc>
        <w:tc>
          <w:tcPr>
            <w:tcW w:w="2564" w:type="dxa"/>
            <w:tcBorders>
              <w:top w:val="nil"/>
              <w:left w:val="nil"/>
              <w:bottom w:val="nil"/>
              <w:right w:val="single" w:sz="4" w:space="0" w:color="auto"/>
            </w:tcBorders>
          </w:tcPr>
          <w:p w14:paraId="4827C84C" w14:textId="77777777" w:rsidR="00031842" w:rsidRPr="00155BC6" w:rsidRDefault="00031842" w:rsidP="00E224D4">
            <w:pPr>
              <w:pStyle w:val="appendixctext"/>
              <w:spacing w:before="40"/>
              <w:rPr>
                <w:lang w:eastAsia="zh-CN"/>
              </w:rPr>
            </w:pPr>
            <w:r w:rsidRPr="00155BC6">
              <w:rPr>
                <w:rFonts w:hint="eastAsia"/>
                <w:lang w:eastAsia="zh-CN"/>
              </w:rPr>
              <w:t>职位叙级</w:t>
            </w:r>
          </w:p>
        </w:tc>
        <w:tc>
          <w:tcPr>
            <w:tcW w:w="1036" w:type="dxa"/>
            <w:tcBorders>
              <w:top w:val="nil"/>
              <w:left w:val="single" w:sz="4" w:space="0" w:color="auto"/>
              <w:bottom w:val="nil"/>
              <w:right w:val="nil"/>
            </w:tcBorders>
          </w:tcPr>
          <w:p w14:paraId="4827C84D" w14:textId="77777777" w:rsidR="00031842" w:rsidRPr="00155BC6" w:rsidRDefault="00031842" w:rsidP="00E224D4">
            <w:pPr>
              <w:pStyle w:val="appendixctext"/>
              <w:spacing w:before="40"/>
              <w:rPr>
                <w:szCs w:val="18"/>
                <w:lang w:eastAsia="zh-CN"/>
              </w:rPr>
            </w:pPr>
            <w:r w:rsidRPr="00155BC6">
              <w:rPr>
                <w:szCs w:val="18"/>
                <w:lang w:val="en-US" w:eastAsia="zh-CN"/>
              </w:rPr>
              <w:t>R 1107</w:t>
            </w:r>
          </w:p>
        </w:tc>
        <w:tc>
          <w:tcPr>
            <w:tcW w:w="599" w:type="dxa"/>
            <w:tcBorders>
              <w:top w:val="nil"/>
              <w:left w:val="nil"/>
              <w:bottom w:val="nil"/>
              <w:right w:val="single" w:sz="4" w:space="0" w:color="auto"/>
            </w:tcBorders>
          </w:tcPr>
          <w:p w14:paraId="4827C84E" w14:textId="77777777" w:rsidR="00031842" w:rsidRPr="00155BC6" w:rsidRDefault="00031842" w:rsidP="00E224D4">
            <w:pPr>
              <w:pStyle w:val="appendixctext"/>
              <w:spacing w:before="40"/>
              <w:rPr>
                <w:szCs w:val="18"/>
                <w:lang w:eastAsia="zh-CN"/>
              </w:rPr>
            </w:pPr>
            <w:r w:rsidRPr="00155BC6">
              <w:rPr>
                <w:szCs w:val="18"/>
                <w:lang w:val="en-US" w:eastAsia="zh-CN"/>
              </w:rPr>
              <w:t>2.2</w:t>
            </w:r>
          </w:p>
        </w:tc>
      </w:tr>
      <w:tr w:rsidR="00031842" w:rsidRPr="00155BC6" w14:paraId="4827C854" w14:textId="77777777" w:rsidTr="006C740C">
        <w:trPr>
          <w:jc w:val="center"/>
        </w:trPr>
        <w:tc>
          <w:tcPr>
            <w:tcW w:w="303" w:type="dxa"/>
            <w:tcBorders>
              <w:top w:val="nil"/>
              <w:left w:val="single" w:sz="4" w:space="0" w:color="auto"/>
              <w:bottom w:val="nil"/>
              <w:right w:val="nil"/>
            </w:tcBorders>
          </w:tcPr>
          <w:p w14:paraId="4827C850" w14:textId="77777777" w:rsidR="00031842" w:rsidRPr="00155BC6" w:rsidRDefault="00031842" w:rsidP="00E224D4">
            <w:pPr>
              <w:pStyle w:val="appendixctext"/>
              <w:spacing w:before="40"/>
              <w:rPr>
                <w:lang w:eastAsia="zh-CN"/>
              </w:rPr>
            </w:pPr>
            <w:r w:rsidRPr="00155BC6">
              <w:rPr>
                <w:lang w:eastAsia="zh-CN"/>
              </w:rPr>
              <w:t>–</w:t>
            </w:r>
          </w:p>
        </w:tc>
        <w:tc>
          <w:tcPr>
            <w:tcW w:w="2564" w:type="dxa"/>
            <w:tcBorders>
              <w:top w:val="nil"/>
              <w:left w:val="nil"/>
              <w:bottom w:val="nil"/>
              <w:right w:val="single" w:sz="4" w:space="0" w:color="auto"/>
            </w:tcBorders>
          </w:tcPr>
          <w:p w14:paraId="4827C851" w14:textId="77777777" w:rsidR="00031842" w:rsidRPr="00155BC6" w:rsidRDefault="00031842" w:rsidP="00E224D4">
            <w:pPr>
              <w:pStyle w:val="appendixctext"/>
              <w:spacing w:before="40"/>
              <w:rPr>
                <w:lang w:eastAsia="zh-CN"/>
              </w:rPr>
            </w:pPr>
            <w:r w:rsidRPr="00155BC6">
              <w:rPr>
                <w:rFonts w:hint="eastAsia"/>
                <w:lang w:eastAsia="zh-CN"/>
              </w:rPr>
              <w:t>职位管理</w:t>
            </w:r>
          </w:p>
        </w:tc>
        <w:tc>
          <w:tcPr>
            <w:tcW w:w="1036" w:type="dxa"/>
            <w:tcBorders>
              <w:top w:val="nil"/>
              <w:left w:val="single" w:sz="4" w:space="0" w:color="auto"/>
              <w:bottom w:val="nil"/>
              <w:right w:val="nil"/>
            </w:tcBorders>
          </w:tcPr>
          <w:p w14:paraId="4827C852" w14:textId="77777777" w:rsidR="00031842" w:rsidRPr="00155BC6" w:rsidRDefault="00031842" w:rsidP="00E224D4">
            <w:pPr>
              <w:pStyle w:val="appendixctext"/>
              <w:spacing w:before="40"/>
              <w:rPr>
                <w:szCs w:val="18"/>
                <w:lang w:eastAsia="zh-CN"/>
              </w:rPr>
            </w:pPr>
            <w:r w:rsidRPr="00155BC6">
              <w:rPr>
                <w:szCs w:val="18"/>
                <w:lang w:val="en-US" w:eastAsia="zh-CN"/>
              </w:rPr>
              <w:t>R 1108</w:t>
            </w:r>
          </w:p>
        </w:tc>
        <w:tc>
          <w:tcPr>
            <w:tcW w:w="599" w:type="dxa"/>
            <w:tcBorders>
              <w:top w:val="nil"/>
              <w:left w:val="nil"/>
              <w:bottom w:val="nil"/>
              <w:right w:val="single" w:sz="4" w:space="0" w:color="auto"/>
            </w:tcBorders>
          </w:tcPr>
          <w:p w14:paraId="4827C853" w14:textId="77777777" w:rsidR="00031842" w:rsidRPr="00155BC6" w:rsidRDefault="00031842" w:rsidP="00E224D4">
            <w:pPr>
              <w:pStyle w:val="appendixctext"/>
              <w:spacing w:before="40"/>
              <w:rPr>
                <w:szCs w:val="18"/>
                <w:lang w:eastAsia="zh-CN"/>
              </w:rPr>
            </w:pPr>
            <w:r w:rsidRPr="00155BC6">
              <w:rPr>
                <w:szCs w:val="18"/>
                <w:lang w:val="en-US" w:eastAsia="zh-CN"/>
              </w:rPr>
              <w:t>2.2</w:t>
            </w:r>
          </w:p>
        </w:tc>
      </w:tr>
      <w:tr w:rsidR="00031842" w:rsidRPr="00155BC6" w14:paraId="4827C859" w14:textId="77777777" w:rsidTr="006C740C">
        <w:trPr>
          <w:jc w:val="center"/>
        </w:trPr>
        <w:tc>
          <w:tcPr>
            <w:tcW w:w="303" w:type="dxa"/>
            <w:tcBorders>
              <w:top w:val="nil"/>
              <w:left w:val="single" w:sz="4" w:space="0" w:color="auto"/>
              <w:bottom w:val="nil"/>
              <w:right w:val="nil"/>
            </w:tcBorders>
          </w:tcPr>
          <w:p w14:paraId="4827C855" w14:textId="77777777" w:rsidR="00031842" w:rsidRPr="00155BC6" w:rsidRDefault="00031842" w:rsidP="00E224D4">
            <w:pPr>
              <w:pStyle w:val="appendixctext"/>
              <w:spacing w:before="40"/>
              <w:rPr>
                <w:lang w:eastAsia="zh-CN"/>
              </w:rPr>
            </w:pPr>
            <w:r w:rsidRPr="00155BC6">
              <w:rPr>
                <w:lang w:eastAsia="zh-CN"/>
              </w:rPr>
              <w:t>–</w:t>
            </w:r>
          </w:p>
        </w:tc>
        <w:tc>
          <w:tcPr>
            <w:tcW w:w="2564" w:type="dxa"/>
            <w:tcBorders>
              <w:top w:val="nil"/>
              <w:left w:val="nil"/>
              <w:bottom w:val="nil"/>
              <w:right w:val="single" w:sz="4" w:space="0" w:color="auto"/>
            </w:tcBorders>
          </w:tcPr>
          <w:p w14:paraId="4827C856" w14:textId="77777777" w:rsidR="00031842" w:rsidRPr="00155BC6" w:rsidRDefault="00031842" w:rsidP="00E224D4">
            <w:pPr>
              <w:pStyle w:val="appendixctext"/>
              <w:spacing w:before="40"/>
              <w:rPr>
                <w:lang w:eastAsia="zh-CN"/>
              </w:rPr>
            </w:pPr>
            <w:r w:rsidRPr="00155BC6">
              <w:rPr>
                <w:rFonts w:hint="eastAsia"/>
                <w:lang w:eastAsia="zh-CN"/>
              </w:rPr>
              <w:t>与国际电联活动有关的特权、豁免和便利</w:t>
            </w:r>
          </w:p>
        </w:tc>
        <w:tc>
          <w:tcPr>
            <w:tcW w:w="1036" w:type="dxa"/>
            <w:tcBorders>
              <w:top w:val="nil"/>
              <w:left w:val="single" w:sz="4" w:space="0" w:color="auto"/>
              <w:bottom w:val="nil"/>
              <w:right w:val="nil"/>
            </w:tcBorders>
          </w:tcPr>
          <w:p w14:paraId="4827C857" w14:textId="77777777" w:rsidR="00031842" w:rsidRPr="00155BC6" w:rsidRDefault="00031842" w:rsidP="00E224D4">
            <w:pPr>
              <w:pStyle w:val="appendixctext"/>
              <w:spacing w:before="40"/>
              <w:rPr>
                <w:szCs w:val="18"/>
                <w:lang w:eastAsia="zh-CN"/>
              </w:rPr>
            </w:pPr>
            <w:r w:rsidRPr="00155BC6">
              <w:rPr>
                <w:szCs w:val="18"/>
                <w:lang w:val="en-US" w:eastAsia="zh-CN"/>
              </w:rPr>
              <w:t>R 1004</w:t>
            </w:r>
          </w:p>
        </w:tc>
        <w:tc>
          <w:tcPr>
            <w:tcW w:w="599" w:type="dxa"/>
            <w:tcBorders>
              <w:top w:val="nil"/>
              <w:left w:val="nil"/>
              <w:bottom w:val="nil"/>
              <w:right w:val="single" w:sz="4" w:space="0" w:color="auto"/>
            </w:tcBorders>
          </w:tcPr>
          <w:p w14:paraId="4827C858" w14:textId="77777777" w:rsidR="00031842" w:rsidRPr="00155BC6" w:rsidRDefault="00031842" w:rsidP="00E224D4">
            <w:pPr>
              <w:pStyle w:val="appendixctext"/>
              <w:spacing w:before="40"/>
              <w:rPr>
                <w:szCs w:val="18"/>
                <w:lang w:eastAsia="zh-CN"/>
              </w:rPr>
            </w:pPr>
            <w:r w:rsidRPr="00155BC6">
              <w:rPr>
                <w:szCs w:val="18"/>
                <w:lang w:eastAsia="zh-CN"/>
              </w:rPr>
              <w:t>2.1</w:t>
            </w:r>
          </w:p>
        </w:tc>
      </w:tr>
      <w:tr w:rsidR="00031842" w:rsidRPr="00155BC6" w14:paraId="4827C85E" w14:textId="77777777" w:rsidTr="006C740C">
        <w:trPr>
          <w:jc w:val="center"/>
        </w:trPr>
        <w:tc>
          <w:tcPr>
            <w:tcW w:w="303" w:type="dxa"/>
            <w:tcBorders>
              <w:top w:val="nil"/>
              <w:bottom w:val="nil"/>
              <w:right w:val="nil"/>
            </w:tcBorders>
          </w:tcPr>
          <w:p w14:paraId="4827C85A" w14:textId="77777777" w:rsidR="00031842" w:rsidRPr="00155BC6" w:rsidRDefault="00031842" w:rsidP="00E224D4">
            <w:pPr>
              <w:pStyle w:val="appendixctext"/>
              <w:spacing w:before="40"/>
              <w:rPr>
                <w:lang w:eastAsia="zh-CN"/>
              </w:rPr>
            </w:pPr>
            <w:r w:rsidRPr="00155BC6">
              <w:rPr>
                <w:lang w:eastAsia="zh-CN"/>
              </w:rPr>
              <w:t>–</w:t>
            </w:r>
          </w:p>
        </w:tc>
        <w:tc>
          <w:tcPr>
            <w:tcW w:w="2564" w:type="dxa"/>
            <w:tcBorders>
              <w:top w:val="nil"/>
              <w:left w:val="nil"/>
              <w:bottom w:val="nil"/>
            </w:tcBorders>
          </w:tcPr>
          <w:p w14:paraId="4827C85B" w14:textId="77777777" w:rsidR="00031842" w:rsidRPr="00155BC6" w:rsidRDefault="00031842" w:rsidP="00E224D4">
            <w:pPr>
              <w:pStyle w:val="appendixctext"/>
              <w:spacing w:before="40"/>
              <w:rPr>
                <w:lang w:eastAsia="zh-CN"/>
              </w:rPr>
            </w:pPr>
            <w:r w:rsidRPr="00155BC6">
              <w:rPr>
                <w:rFonts w:hint="eastAsia"/>
                <w:lang w:eastAsia="zh-CN"/>
              </w:rPr>
              <w:t>《人事规则和人事细则》的建议修正案</w:t>
            </w:r>
          </w:p>
        </w:tc>
        <w:tc>
          <w:tcPr>
            <w:tcW w:w="1036" w:type="dxa"/>
            <w:tcBorders>
              <w:top w:val="nil"/>
              <w:bottom w:val="nil"/>
              <w:right w:val="nil"/>
            </w:tcBorders>
          </w:tcPr>
          <w:p w14:paraId="4827C85C" w14:textId="77777777" w:rsidR="00031842" w:rsidRPr="00155BC6" w:rsidRDefault="00031842" w:rsidP="00E224D4">
            <w:pPr>
              <w:pStyle w:val="appendixctext"/>
              <w:spacing w:before="40"/>
              <w:rPr>
                <w:lang w:eastAsia="zh-CN"/>
              </w:rPr>
            </w:pPr>
            <w:r>
              <w:rPr>
                <w:lang w:eastAsia="zh-CN"/>
              </w:rPr>
              <w:t>D</w:t>
            </w:r>
            <w:r w:rsidRPr="00155BC6">
              <w:rPr>
                <w:lang w:eastAsia="zh-CN"/>
              </w:rPr>
              <w:t xml:space="preserve"> </w:t>
            </w:r>
            <w:r>
              <w:rPr>
                <w:lang w:eastAsia="zh-CN"/>
              </w:rPr>
              <w:t>593</w:t>
            </w:r>
          </w:p>
        </w:tc>
        <w:tc>
          <w:tcPr>
            <w:tcW w:w="599" w:type="dxa"/>
            <w:tcBorders>
              <w:top w:val="nil"/>
              <w:left w:val="nil"/>
              <w:bottom w:val="nil"/>
            </w:tcBorders>
          </w:tcPr>
          <w:p w14:paraId="4827C85D" w14:textId="77777777" w:rsidR="00031842" w:rsidRPr="00155BC6" w:rsidRDefault="00031842" w:rsidP="00E224D4">
            <w:pPr>
              <w:pStyle w:val="appendixctext"/>
              <w:spacing w:before="40"/>
            </w:pPr>
            <w:r w:rsidRPr="00155BC6">
              <w:rPr>
                <w:lang w:val="en-US" w:eastAsia="zh-CN"/>
              </w:rPr>
              <w:t>2.1</w:t>
            </w:r>
          </w:p>
        </w:tc>
      </w:tr>
      <w:tr w:rsidR="00031842" w:rsidRPr="00155BC6" w14:paraId="4827C863" w14:textId="77777777" w:rsidTr="006C740C">
        <w:trPr>
          <w:jc w:val="center"/>
        </w:trPr>
        <w:tc>
          <w:tcPr>
            <w:tcW w:w="303" w:type="dxa"/>
            <w:tcBorders>
              <w:top w:val="nil"/>
              <w:bottom w:val="nil"/>
              <w:right w:val="nil"/>
            </w:tcBorders>
          </w:tcPr>
          <w:p w14:paraId="4827C85F" w14:textId="77777777" w:rsidR="00031842" w:rsidRPr="00155BC6" w:rsidRDefault="00031842" w:rsidP="00E224D4">
            <w:pPr>
              <w:pStyle w:val="appendixctext"/>
              <w:spacing w:before="40"/>
            </w:pPr>
          </w:p>
        </w:tc>
        <w:tc>
          <w:tcPr>
            <w:tcW w:w="2564" w:type="dxa"/>
            <w:tcBorders>
              <w:top w:val="nil"/>
              <w:left w:val="nil"/>
              <w:bottom w:val="nil"/>
            </w:tcBorders>
          </w:tcPr>
          <w:p w14:paraId="4827C860" w14:textId="77777777" w:rsidR="00031842" w:rsidRPr="00155BC6" w:rsidRDefault="00031842" w:rsidP="00E224D4">
            <w:pPr>
              <w:pStyle w:val="appendixctext"/>
              <w:spacing w:before="40"/>
              <w:rPr>
                <w:lang w:eastAsia="zh-CN"/>
              </w:rPr>
            </w:pPr>
          </w:p>
        </w:tc>
        <w:tc>
          <w:tcPr>
            <w:tcW w:w="1036" w:type="dxa"/>
            <w:tcBorders>
              <w:top w:val="nil"/>
              <w:bottom w:val="nil"/>
              <w:right w:val="nil"/>
            </w:tcBorders>
          </w:tcPr>
          <w:p w14:paraId="4827C861" w14:textId="77777777" w:rsidR="00031842" w:rsidRPr="00155BC6" w:rsidRDefault="00031842" w:rsidP="00E224D4">
            <w:pPr>
              <w:pStyle w:val="appendixctext"/>
              <w:spacing w:before="40"/>
            </w:pPr>
            <w:r>
              <w:t>D</w:t>
            </w:r>
            <w:r w:rsidRPr="00155BC6">
              <w:t xml:space="preserve"> </w:t>
            </w:r>
            <w:r>
              <w:t>597</w:t>
            </w:r>
          </w:p>
        </w:tc>
        <w:tc>
          <w:tcPr>
            <w:tcW w:w="599" w:type="dxa"/>
            <w:tcBorders>
              <w:top w:val="nil"/>
              <w:left w:val="nil"/>
              <w:bottom w:val="nil"/>
            </w:tcBorders>
          </w:tcPr>
          <w:p w14:paraId="4827C862" w14:textId="77777777" w:rsidR="00031842" w:rsidRPr="00155BC6" w:rsidRDefault="00031842" w:rsidP="00E224D4">
            <w:pPr>
              <w:pStyle w:val="appendixctext"/>
              <w:spacing w:before="40"/>
            </w:pPr>
            <w:r w:rsidRPr="00155BC6">
              <w:rPr>
                <w:lang w:val="en-US" w:eastAsia="zh-CN"/>
              </w:rPr>
              <w:t>2.1</w:t>
            </w:r>
          </w:p>
        </w:tc>
      </w:tr>
      <w:tr w:rsidR="00031842" w:rsidRPr="00155BC6" w14:paraId="4827C868" w14:textId="77777777" w:rsidTr="006C740C">
        <w:trPr>
          <w:jc w:val="center"/>
        </w:trPr>
        <w:tc>
          <w:tcPr>
            <w:tcW w:w="303" w:type="dxa"/>
            <w:tcBorders>
              <w:top w:val="nil"/>
              <w:bottom w:val="nil"/>
              <w:right w:val="nil"/>
            </w:tcBorders>
          </w:tcPr>
          <w:p w14:paraId="4827C864" w14:textId="77777777" w:rsidR="00031842" w:rsidRPr="00155BC6" w:rsidRDefault="00031842" w:rsidP="00E224D4">
            <w:pPr>
              <w:pStyle w:val="appendixctext"/>
              <w:spacing w:before="40"/>
            </w:pPr>
          </w:p>
        </w:tc>
        <w:tc>
          <w:tcPr>
            <w:tcW w:w="2564" w:type="dxa"/>
            <w:tcBorders>
              <w:top w:val="nil"/>
              <w:left w:val="nil"/>
              <w:bottom w:val="nil"/>
            </w:tcBorders>
          </w:tcPr>
          <w:p w14:paraId="4827C865" w14:textId="77777777" w:rsidR="00031842" w:rsidRPr="00155BC6" w:rsidRDefault="00031842" w:rsidP="00E224D4">
            <w:pPr>
              <w:pStyle w:val="appendixctext"/>
              <w:spacing w:before="40"/>
              <w:rPr>
                <w:lang w:eastAsia="zh-CN"/>
              </w:rPr>
            </w:pPr>
          </w:p>
        </w:tc>
        <w:tc>
          <w:tcPr>
            <w:tcW w:w="1036" w:type="dxa"/>
            <w:tcBorders>
              <w:top w:val="nil"/>
              <w:bottom w:val="nil"/>
              <w:right w:val="nil"/>
            </w:tcBorders>
          </w:tcPr>
          <w:p w14:paraId="4827C866" w14:textId="77777777" w:rsidR="00031842" w:rsidRPr="00155BC6" w:rsidRDefault="00031842" w:rsidP="00E224D4">
            <w:pPr>
              <w:pStyle w:val="appendixctext"/>
              <w:spacing w:before="40"/>
              <w:rPr>
                <w:szCs w:val="18"/>
              </w:rPr>
            </w:pPr>
            <w:r w:rsidRPr="00155BC6">
              <w:rPr>
                <w:szCs w:val="18"/>
                <w:lang w:val="en-US" w:eastAsia="zh-CN"/>
              </w:rPr>
              <w:t>R 792</w:t>
            </w:r>
          </w:p>
        </w:tc>
        <w:tc>
          <w:tcPr>
            <w:tcW w:w="599" w:type="dxa"/>
            <w:tcBorders>
              <w:top w:val="nil"/>
              <w:left w:val="nil"/>
              <w:bottom w:val="nil"/>
            </w:tcBorders>
          </w:tcPr>
          <w:p w14:paraId="4827C867" w14:textId="77777777" w:rsidR="00031842" w:rsidRPr="00155BC6" w:rsidRDefault="00031842" w:rsidP="00E224D4">
            <w:pPr>
              <w:pStyle w:val="appendixctext"/>
              <w:spacing w:before="40"/>
              <w:rPr>
                <w:szCs w:val="18"/>
              </w:rPr>
            </w:pPr>
            <w:r w:rsidRPr="00155BC6">
              <w:rPr>
                <w:szCs w:val="18"/>
              </w:rPr>
              <w:t>2.1</w:t>
            </w:r>
          </w:p>
        </w:tc>
      </w:tr>
      <w:tr w:rsidR="00031842" w:rsidRPr="00155BC6" w14:paraId="4827C86D" w14:textId="77777777" w:rsidTr="006C740C">
        <w:trPr>
          <w:jc w:val="center"/>
        </w:trPr>
        <w:tc>
          <w:tcPr>
            <w:tcW w:w="303" w:type="dxa"/>
            <w:tcBorders>
              <w:top w:val="nil"/>
              <w:bottom w:val="nil"/>
              <w:right w:val="nil"/>
            </w:tcBorders>
          </w:tcPr>
          <w:p w14:paraId="4827C869" w14:textId="77777777" w:rsidR="00031842" w:rsidRPr="00155BC6" w:rsidRDefault="00031842" w:rsidP="00E224D4">
            <w:pPr>
              <w:pStyle w:val="appendixctext"/>
              <w:spacing w:before="40"/>
            </w:pPr>
          </w:p>
        </w:tc>
        <w:tc>
          <w:tcPr>
            <w:tcW w:w="2564" w:type="dxa"/>
            <w:tcBorders>
              <w:top w:val="nil"/>
              <w:left w:val="nil"/>
              <w:bottom w:val="nil"/>
            </w:tcBorders>
          </w:tcPr>
          <w:p w14:paraId="4827C86A" w14:textId="77777777" w:rsidR="00031842" w:rsidRPr="00155BC6" w:rsidRDefault="00031842" w:rsidP="00E224D4">
            <w:pPr>
              <w:pStyle w:val="appendixctext"/>
              <w:spacing w:before="40"/>
            </w:pPr>
          </w:p>
        </w:tc>
        <w:tc>
          <w:tcPr>
            <w:tcW w:w="1036" w:type="dxa"/>
            <w:tcBorders>
              <w:top w:val="nil"/>
              <w:bottom w:val="nil"/>
              <w:right w:val="nil"/>
            </w:tcBorders>
          </w:tcPr>
          <w:p w14:paraId="4827C86B" w14:textId="77777777" w:rsidR="00031842" w:rsidRPr="00155BC6" w:rsidRDefault="00031842" w:rsidP="00E224D4">
            <w:pPr>
              <w:pStyle w:val="appendixctext"/>
              <w:spacing w:before="40"/>
              <w:rPr>
                <w:szCs w:val="18"/>
              </w:rPr>
            </w:pPr>
            <w:r w:rsidRPr="00155BC6">
              <w:rPr>
                <w:szCs w:val="18"/>
              </w:rPr>
              <w:t>R 1369</w:t>
            </w:r>
          </w:p>
        </w:tc>
        <w:tc>
          <w:tcPr>
            <w:tcW w:w="599" w:type="dxa"/>
            <w:tcBorders>
              <w:top w:val="nil"/>
              <w:left w:val="nil"/>
              <w:bottom w:val="nil"/>
            </w:tcBorders>
          </w:tcPr>
          <w:p w14:paraId="4827C86C" w14:textId="77777777" w:rsidR="00031842" w:rsidRPr="00155BC6" w:rsidRDefault="00031842" w:rsidP="00E224D4">
            <w:pPr>
              <w:pStyle w:val="appendixctext"/>
              <w:spacing w:before="40"/>
              <w:rPr>
                <w:szCs w:val="18"/>
              </w:rPr>
            </w:pPr>
            <w:r w:rsidRPr="00155BC6">
              <w:rPr>
                <w:szCs w:val="18"/>
              </w:rPr>
              <w:t>2.1</w:t>
            </w:r>
          </w:p>
        </w:tc>
      </w:tr>
      <w:tr w:rsidR="00031842" w:rsidRPr="00155BC6" w14:paraId="4827C872" w14:textId="77777777" w:rsidTr="006C740C">
        <w:trPr>
          <w:jc w:val="center"/>
        </w:trPr>
        <w:tc>
          <w:tcPr>
            <w:tcW w:w="303" w:type="dxa"/>
            <w:tcBorders>
              <w:top w:val="nil"/>
              <w:bottom w:val="nil"/>
              <w:right w:val="nil"/>
            </w:tcBorders>
          </w:tcPr>
          <w:p w14:paraId="4827C86E" w14:textId="77777777" w:rsidR="00031842" w:rsidRPr="00155BC6" w:rsidRDefault="00031842" w:rsidP="00E224D4">
            <w:pPr>
              <w:pStyle w:val="appendixctext"/>
              <w:spacing w:before="40"/>
            </w:pPr>
          </w:p>
        </w:tc>
        <w:tc>
          <w:tcPr>
            <w:tcW w:w="2564" w:type="dxa"/>
            <w:tcBorders>
              <w:top w:val="nil"/>
              <w:left w:val="nil"/>
              <w:bottom w:val="nil"/>
            </w:tcBorders>
          </w:tcPr>
          <w:p w14:paraId="4827C86F" w14:textId="77777777" w:rsidR="00031842" w:rsidRPr="00155BC6" w:rsidRDefault="00031842" w:rsidP="00E224D4">
            <w:pPr>
              <w:pStyle w:val="appendixctext"/>
              <w:spacing w:before="40"/>
            </w:pPr>
          </w:p>
        </w:tc>
        <w:tc>
          <w:tcPr>
            <w:tcW w:w="1036" w:type="dxa"/>
            <w:tcBorders>
              <w:top w:val="nil"/>
              <w:bottom w:val="nil"/>
              <w:right w:val="nil"/>
            </w:tcBorders>
          </w:tcPr>
          <w:p w14:paraId="4827C870" w14:textId="77777777" w:rsidR="00031842" w:rsidRPr="00155BC6" w:rsidRDefault="00031842" w:rsidP="00E224D4">
            <w:pPr>
              <w:pStyle w:val="appendixctext"/>
              <w:spacing w:before="40"/>
              <w:rPr>
                <w:szCs w:val="18"/>
              </w:rPr>
            </w:pPr>
            <w:r>
              <w:rPr>
                <w:szCs w:val="18"/>
              </w:rPr>
              <w:t>R 1392</w:t>
            </w:r>
          </w:p>
        </w:tc>
        <w:tc>
          <w:tcPr>
            <w:tcW w:w="599" w:type="dxa"/>
            <w:tcBorders>
              <w:top w:val="nil"/>
              <w:left w:val="nil"/>
              <w:bottom w:val="nil"/>
            </w:tcBorders>
          </w:tcPr>
          <w:p w14:paraId="4827C871" w14:textId="77777777" w:rsidR="00031842" w:rsidRPr="00155BC6" w:rsidRDefault="00031842" w:rsidP="00E224D4">
            <w:pPr>
              <w:pStyle w:val="appendixctext"/>
              <w:spacing w:before="40"/>
              <w:rPr>
                <w:szCs w:val="18"/>
              </w:rPr>
            </w:pPr>
            <w:r>
              <w:rPr>
                <w:szCs w:val="18"/>
              </w:rPr>
              <w:t>2.1</w:t>
            </w:r>
          </w:p>
        </w:tc>
      </w:tr>
      <w:tr w:rsidR="00031842" w:rsidRPr="00155BC6" w14:paraId="4827C877" w14:textId="77777777" w:rsidTr="006C740C">
        <w:trPr>
          <w:jc w:val="center"/>
        </w:trPr>
        <w:tc>
          <w:tcPr>
            <w:tcW w:w="303" w:type="dxa"/>
            <w:tcBorders>
              <w:top w:val="nil"/>
              <w:bottom w:val="nil"/>
              <w:right w:val="nil"/>
            </w:tcBorders>
          </w:tcPr>
          <w:p w14:paraId="4827C873" w14:textId="77777777" w:rsidR="00031842" w:rsidRPr="00155BC6" w:rsidRDefault="00031842" w:rsidP="00E224D4">
            <w:pPr>
              <w:pStyle w:val="appendixctext"/>
              <w:spacing w:before="40"/>
            </w:pPr>
            <w:r w:rsidRPr="00155BC6">
              <w:t>–</w:t>
            </w:r>
          </w:p>
        </w:tc>
        <w:tc>
          <w:tcPr>
            <w:tcW w:w="2564" w:type="dxa"/>
            <w:tcBorders>
              <w:top w:val="nil"/>
              <w:left w:val="nil"/>
              <w:bottom w:val="nil"/>
            </w:tcBorders>
          </w:tcPr>
          <w:p w14:paraId="4827C874" w14:textId="77777777" w:rsidR="00031842" w:rsidRPr="00155BC6" w:rsidRDefault="00031842" w:rsidP="00E224D4">
            <w:pPr>
              <w:pStyle w:val="appendixctext"/>
              <w:spacing w:before="40"/>
            </w:pPr>
            <w:r w:rsidRPr="00155BC6">
              <w:rPr>
                <w:rFonts w:hint="eastAsia"/>
              </w:rPr>
              <w:t>职员代表</w:t>
            </w:r>
          </w:p>
        </w:tc>
        <w:tc>
          <w:tcPr>
            <w:tcW w:w="1036" w:type="dxa"/>
            <w:tcBorders>
              <w:top w:val="nil"/>
              <w:bottom w:val="nil"/>
              <w:right w:val="nil"/>
            </w:tcBorders>
          </w:tcPr>
          <w:p w14:paraId="4827C875" w14:textId="77777777" w:rsidR="00031842" w:rsidRPr="00155BC6" w:rsidRDefault="00031842" w:rsidP="00E224D4">
            <w:pPr>
              <w:pStyle w:val="appendixctext"/>
              <w:spacing w:before="40"/>
              <w:rPr>
                <w:szCs w:val="18"/>
              </w:rPr>
            </w:pPr>
            <w:r w:rsidRPr="00155BC6">
              <w:rPr>
                <w:szCs w:val="18"/>
              </w:rPr>
              <w:t>D 399</w:t>
            </w:r>
          </w:p>
        </w:tc>
        <w:tc>
          <w:tcPr>
            <w:tcW w:w="599" w:type="dxa"/>
            <w:tcBorders>
              <w:top w:val="nil"/>
              <w:left w:val="nil"/>
              <w:bottom w:val="nil"/>
            </w:tcBorders>
          </w:tcPr>
          <w:p w14:paraId="4827C876" w14:textId="77777777" w:rsidR="00031842" w:rsidRPr="00155BC6" w:rsidRDefault="00031842" w:rsidP="00E224D4">
            <w:pPr>
              <w:pStyle w:val="appendixctext"/>
              <w:spacing w:before="40"/>
              <w:rPr>
                <w:szCs w:val="18"/>
              </w:rPr>
            </w:pPr>
            <w:r w:rsidRPr="00155BC6">
              <w:rPr>
                <w:szCs w:val="18"/>
                <w:lang w:val="en-US" w:eastAsia="zh-CN"/>
              </w:rPr>
              <w:t>2.4</w:t>
            </w:r>
          </w:p>
        </w:tc>
      </w:tr>
      <w:tr w:rsidR="00031842" w:rsidRPr="00155BC6" w14:paraId="4827C87C" w14:textId="77777777" w:rsidTr="006C740C">
        <w:trPr>
          <w:jc w:val="center"/>
        </w:trPr>
        <w:tc>
          <w:tcPr>
            <w:tcW w:w="303" w:type="dxa"/>
            <w:tcBorders>
              <w:top w:val="nil"/>
              <w:bottom w:val="nil"/>
              <w:right w:val="nil"/>
            </w:tcBorders>
          </w:tcPr>
          <w:p w14:paraId="4827C878" w14:textId="77777777" w:rsidR="00031842" w:rsidRPr="00155BC6" w:rsidRDefault="00031842" w:rsidP="00E224D4">
            <w:pPr>
              <w:pStyle w:val="appendixctext"/>
              <w:spacing w:before="40"/>
            </w:pPr>
            <w:r w:rsidRPr="00155BC6">
              <w:t>–</w:t>
            </w:r>
          </w:p>
        </w:tc>
        <w:tc>
          <w:tcPr>
            <w:tcW w:w="2564" w:type="dxa"/>
            <w:tcBorders>
              <w:top w:val="nil"/>
              <w:left w:val="nil"/>
              <w:bottom w:val="nil"/>
            </w:tcBorders>
          </w:tcPr>
          <w:p w14:paraId="4827C879" w14:textId="77777777" w:rsidR="00031842" w:rsidRPr="00155BC6" w:rsidRDefault="00031842" w:rsidP="00E224D4">
            <w:pPr>
              <w:pStyle w:val="appendixctext"/>
              <w:spacing w:before="40"/>
              <w:rPr>
                <w:lang w:eastAsia="zh-CN"/>
              </w:rPr>
            </w:pPr>
            <w:r w:rsidRPr="00155BC6">
              <w:rPr>
                <w:rFonts w:hint="eastAsia"/>
                <w:lang w:eastAsia="zh-CN"/>
              </w:rPr>
              <w:t>职员退休和福利基金的法定</w:t>
            </w:r>
            <w:r>
              <w:rPr>
                <w:lang w:eastAsia="zh-CN"/>
              </w:rPr>
              <w:br/>
            </w:r>
            <w:r w:rsidRPr="00155BC6">
              <w:rPr>
                <w:rFonts w:hint="eastAsia"/>
                <w:lang w:eastAsia="zh-CN"/>
              </w:rPr>
              <w:t>利率</w:t>
            </w:r>
          </w:p>
        </w:tc>
        <w:tc>
          <w:tcPr>
            <w:tcW w:w="1036" w:type="dxa"/>
            <w:tcBorders>
              <w:top w:val="nil"/>
              <w:bottom w:val="nil"/>
              <w:right w:val="nil"/>
            </w:tcBorders>
          </w:tcPr>
          <w:p w14:paraId="4827C87A" w14:textId="77777777" w:rsidR="00031842" w:rsidRPr="00155BC6" w:rsidRDefault="00031842" w:rsidP="00E224D4">
            <w:pPr>
              <w:pStyle w:val="appendixctext"/>
              <w:spacing w:before="40"/>
              <w:rPr>
                <w:szCs w:val="18"/>
              </w:rPr>
            </w:pPr>
            <w:r w:rsidRPr="00155BC6">
              <w:rPr>
                <w:szCs w:val="18"/>
              </w:rPr>
              <w:t>R 1211</w:t>
            </w:r>
          </w:p>
        </w:tc>
        <w:tc>
          <w:tcPr>
            <w:tcW w:w="599" w:type="dxa"/>
            <w:tcBorders>
              <w:top w:val="nil"/>
              <w:left w:val="nil"/>
              <w:bottom w:val="nil"/>
            </w:tcBorders>
          </w:tcPr>
          <w:p w14:paraId="4827C87B" w14:textId="77777777" w:rsidR="00031842" w:rsidRPr="00155BC6" w:rsidRDefault="00031842" w:rsidP="00E224D4">
            <w:pPr>
              <w:pStyle w:val="appendixctext"/>
              <w:spacing w:before="40"/>
              <w:rPr>
                <w:szCs w:val="18"/>
              </w:rPr>
            </w:pPr>
            <w:r w:rsidRPr="00155BC6">
              <w:rPr>
                <w:szCs w:val="18"/>
                <w:lang w:val="en-US" w:eastAsia="zh-CN"/>
              </w:rPr>
              <w:t>2.3</w:t>
            </w:r>
          </w:p>
        </w:tc>
      </w:tr>
      <w:tr w:rsidR="00031842" w:rsidRPr="00155BC6" w14:paraId="4827C881" w14:textId="77777777" w:rsidTr="006C740C">
        <w:trPr>
          <w:jc w:val="center"/>
        </w:trPr>
        <w:tc>
          <w:tcPr>
            <w:tcW w:w="303" w:type="dxa"/>
            <w:tcBorders>
              <w:top w:val="nil"/>
              <w:bottom w:val="nil"/>
              <w:right w:val="nil"/>
            </w:tcBorders>
          </w:tcPr>
          <w:p w14:paraId="4827C87D" w14:textId="77777777" w:rsidR="00031842" w:rsidRPr="00155BC6" w:rsidRDefault="00031842" w:rsidP="00E224D4">
            <w:pPr>
              <w:pStyle w:val="appendixctext"/>
              <w:spacing w:before="40"/>
            </w:pPr>
            <w:r w:rsidRPr="00155BC6">
              <w:t>–</w:t>
            </w:r>
          </w:p>
        </w:tc>
        <w:tc>
          <w:tcPr>
            <w:tcW w:w="2564" w:type="dxa"/>
            <w:tcBorders>
              <w:top w:val="nil"/>
              <w:left w:val="nil"/>
              <w:bottom w:val="nil"/>
            </w:tcBorders>
          </w:tcPr>
          <w:p w14:paraId="4827C87E" w14:textId="77777777" w:rsidR="00031842" w:rsidRPr="00155BC6" w:rsidRDefault="00031842" w:rsidP="00E224D4">
            <w:pPr>
              <w:pStyle w:val="appendixctext"/>
              <w:spacing w:before="40"/>
              <w:rPr>
                <w:lang w:eastAsia="zh-CN"/>
              </w:rPr>
            </w:pPr>
            <w:r w:rsidRPr="00155BC6">
              <w:rPr>
                <w:rFonts w:hint="eastAsia"/>
                <w:lang w:eastAsia="zh-CN"/>
              </w:rPr>
              <w:t>制定人力资源战略规划</w:t>
            </w:r>
          </w:p>
        </w:tc>
        <w:tc>
          <w:tcPr>
            <w:tcW w:w="1036" w:type="dxa"/>
            <w:tcBorders>
              <w:top w:val="nil"/>
              <w:bottom w:val="nil"/>
              <w:right w:val="nil"/>
            </w:tcBorders>
          </w:tcPr>
          <w:p w14:paraId="4827C87F" w14:textId="77777777" w:rsidR="00031842" w:rsidRPr="00155BC6" w:rsidRDefault="00031842" w:rsidP="00E224D4">
            <w:pPr>
              <w:pStyle w:val="appendixctext"/>
              <w:spacing w:before="40"/>
              <w:rPr>
                <w:szCs w:val="18"/>
              </w:rPr>
            </w:pPr>
            <w:r w:rsidRPr="00155BC6">
              <w:rPr>
                <w:szCs w:val="18"/>
              </w:rPr>
              <w:t>R 1299</w:t>
            </w:r>
          </w:p>
        </w:tc>
        <w:tc>
          <w:tcPr>
            <w:tcW w:w="599" w:type="dxa"/>
            <w:tcBorders>
              <w:top w:val="nil"/>
              <w:left w:val="nil"/>
              <w:bottom w:val="nil"/>
            </w:tcBorders>
          </w:tcPr>
          <w:p w14:paraId="4827C880" w14:textId="77777777" w:rsidR="00031842" w:rsidRPr="00155BC6" w:rsidRDefault="00031842" w:rsidP="00E224D4">
            <w:pPr>
              <w:pStyle w:val="appendixctext"/>
              <w:spacing w:before="40"/>
              <w:rPr>
                <w:szCs w:val="18"/>
              </w:rPr>
            </w:pPr>
            <w:r w:rsidRPr="00155BC6">
              <w:rPr>
                <w:szCs w:val="18"/>
                <w:lang w:val="en-US" w:eastAsia="zh-CN"/>
              </w:rPr>
              <w:t>2.2</w:t>
            </w:r>
          </w:p>
        </w:tc>
      </w:tr>
      <w:tr w:rsidR="00031842" w:rsidRPr="00155BC6" w14:paraId="4827C886" w14:textId="77777777" w:rsidTr="006C740C">
        <w:trPr>
          <w:jc w:val="center"/>
        </w:trPr>
        <w:tc>
          <w:tcPr>
            <w:tcW w:w="303" w:type="dxa"/>
            <w:tcBorders>
              <w:top w:val="nil"/>
              <w:bottom w:val="nil"/>
              <w:right w:val="nil"/>
            </w:tcBorders>
          </w:tcPr>
          <w:p w14:paraId="4827C882" w14:textId="77777777" w:rsidR="00031842" w:rsidRPr="00155BC6" w:rsidRDefault="00031842" w:rsidP="00E224D4">
            <w:pPr>
              <w:pStyle w:val="appendixctext"/>
              <w:spacing w:before="40"/>
            </w:pPr>
            <w:r w:rsidRPr="00155BC6">
              <w:t>–</w:t>
            </w:r>
          </w:p>
        </w:tc>
        <w:tc>
          <w:tcPr>
            <w:tcW w:w="2564" w:type="dxa"/>
            <w:tcBorders>
              <w:top w:val="nil"/>
              <w:left w:val="nil"/>
              <w:bottom w:val="nil"/>
            </w:tcBorders>
          </w:tcPr>
          <w:p w14:paraId="4827C883" w14:textId="77777777" w:rsidR="00031842" w:rsidRPr="00155BC6" w:rsidRDefault="00031842" w:rsidP="00E224D4">
            <w:pPr>
              <w:pStyle w:val="appendixctext"/>
              <w:spacing w:before="40"/>
              <w:rPr>
                <w:lang w:eastAsia="zh-CN"/>
              </w:rPr>
            </w:pPr>
            <w:r w:rsidRPr="00155BC6">
              <w:rPr>
                <w:rFonts w:hint="eastAsia"/>
                <w:lang w:eastAsia="zh-CN"/>
              </w:rPr>
              <w:t>加强国际电联管理层与国际电联职工委员会之间的对话</w:t>
            </w:r>
          </w:p>
        </w:tc>
        <w:tc>
          <w:tcPr>
            <w:tcW w:w="1036" w:type="dxa"/>
            <w:tcBorders>
              <w:top w:val="nil"/>
              <w:bottom w:val="nil"/>
              <w:right w:val="nil"/>
            </w:tcBorders>
          </w:tcPr>
          <w:p w14:paraId="4827C884" w14:textId="77777777" w:rsidR="00031842" w:rsidRPr="00155BC6" w:rsidRDefault="00031842" w:rsidP="00E224D4">
            <w:pPr>
              <w:pStyle w:val="appendixctext"/>
              <w:spacing w:before="40"/>
              <w:rPr>
                <w:szCs w:val="18"/>
              </w:rPr>
            </w:pPr>
            <w:r w:rsidRPr="00155BC6">
              <w:rPr>
                <w:szCs w:val="18"/>
              </w:rPr>
              <w:t>D 517</w:t>
            </w:r>
          </w:p>
        </w:tc>
        <w:tc>
          <w:tcPr>
            <w:tcW w:w="599" w:type="dxa"/>
            <w:tcBorders>
              <w:top w:val="nil"/>
              <w:left w:val="nil"/>
              <w:bottom w:val="nil"/>
            </w:tcBorders>
          </w:tcPr>
          <w:p w14:paraId="4827C885" w14:textId="77777777" w:rsidR="00031842" w:rsidRPr="00155BC6" w:rsidRDefault="00031842" w:rsidP="00E224D4">
            <w:pPr>
              <w:pStyle w:val="appendixctext"/>
              <w:spacing w:before="40"/>
              <w:rPr>
                <w:szCs w:val="18"/>
              </w:rPr>
            </w:pPr>
            <w:r w:rsidRPr="00155BC6">
              <w:rPr>
                <w:szCs w:val="18"/>
                <w:lang w:val="en-US" w:eastAsia="zh-CN"/>
              </w:rPr>
              <w:t>2.2</w:t>
            </w:r>
          </w:p>
        </w:tc>
      </w:tr>
      <w:tr w:rsidR="00031842" w:rsidRPr="00155BC6" w14:paraId="4827C88B" w14:textId="77777777" w:rsidTr="006C740C">
        <w:trPr>
          <w:jc w:val="center"/>
        </w:trPr>
        <w:tc>
          <w:tcPr>
            <w:tcW w:w="303" w:type="dxa"/>
            <w:tcBorders>
              <w:top w:val="nil"/>
              <w:bottom w:val="nil"/>
              <w:right w:val="nil"/>
            </w:tcBorders>
          </w:tcPr>
          <w:p w14:paraId="4827C887" w14:textId="77777777" w:rsidR="00031842" w:rsidRPr="00155BC6" w:rsidRDefault="00031842" w:rsidP="00E224D4">
            <w:pPr>
              <w:pStyle w:val="appendixctext"/>
              <w:spacing w:before="40"/>
            </w:pPr>
            <w:r w:rsidRPr="00155BC6">
              <w:t>–</w:t>
            </w:r>
          </w:p>
        </w:tc>
        <w:tc>
          <w:tcPr>
            <w:tcW w:w="2564" w:type="dxa"/>
            <w:tcBorders>
              <w:top w:val="nil"/>
              <w:left w:val="nil"/>
              <w:bottom w:val="nil"/>
            </w:tcBorders>
          </w:tcPr>
          <w:p w14:paraId="4827C888" w14:textId="77777777" w:rsidR="00031842" w:rsidRPr="00155BC6" w:rsidRDefault="00031842" w:rsidP="00E224D4">
            <w:pPr>
              <w:pStyle w:val="appendixctext"/>
              <w:spacing w:before="40"/>
              <w:rPr>
                <w:lang w:eastAsia="zh-CN"/>
              </w:rPr>
            </w:pPr>
            <w:r w:rsidRPr="00155BC6">
              <w:rPr>
                <w:rFonts w:hint="eastAsia"/>
                <w:lang w:eastAsia="zh-CN"/>
              </w:rPr>
              <w:t>实施人力资源管理三方咨询组的建议</w:t>
            </w:r>
          </w:p>
        </w:tc>
        <w:tc>
          <w:tcPr>
            <w:tcW w:w="1036" w:type="dxa"/>
            <w:tcBorders>
              <w:top w:val="nil"/>
              <w:bottom w:val="nil"/>
              <w:right w:val="nil"/>
            </w:tcBorders>
          </w:tcPr>
          <w:p w14:paraId="4827C889" w14:textId="77777777" w:rsidR="00031842" w:rsidRPr="00155BC6" w:rsidRDefault="00031842" w:rsidP="00E224D4">
            <w:pPr>
              <w:pStyle w:val="appendixctext"/>
              <w:spacing w:before="40"/>
            </w:pPr>
            <w:r w:rsidRPr="00155BC6">
              <w:t>R 1106</w:t>
            </w:r>
          </w:p>
        </w:tc>
        <w:tc>
          <w:tcPr>
            <w:tcW w:w="599" w:type="dxa"/>
            <w:tcBorders>
              <w:top w:val="nil"/>
              <w:left w:val="nil"/>
              <w:bottom w:val="nil"/>
            </w:tcBorders>
          </w:tcPr>
          <w:p w14:paraId="4827C88A" w14:textId="77777777" w:rsidR="00031842" w:rsidRPr="00155BC6" w:rsidRDefault="00031842" w:rsidP="00E224D4">
            <w:pPr>
              <w:pStyle w:val="appendixctext"/>
              <w:spacing w:before="40"/>
            </w:pPr>
            <w:r w:rsidRPr="00155BC6">
              <w:rPr>
                <w:lang w:val="en-US" w:eastAsia="zh-CN"/>
              </w:rPr>
              <w:t>2.2</w:t>
            </w:r>
          </w:p>
        </w:tc>
      </w:tr>
      <w:tr w:rsidR="00031842" w:rsidRPr="00155BC6" w14:paraId="4827C890" w14:textId="77777777" w:rsidTr="006C740C">
        <w:trPr>
          <w:jc w:val="center"/>
        </w:trPr>
        <w:tc>
          <w:tcPr>
            <w:tcW w:w="303" w:type="dxa"/>
            <w:tcBorders>
              <w:top w:val="nil"/>
              <w:bottom w:val="nil"/>
              <w:right w:val="nil"/>
            </w:tcBorders>
          </w:tcPr>
          <w:p w14:paraId="4827C88C" w14:textId="77777777" w:rsidR="00031842" w:rsidRPr="00155BC6" w:rsidRDefault="00031842" w:rsidP="00E224D4">
            <w:pPr>
              <w:pStyle w:val="appendixctext"/>
              <w:spacing w:before="40"/>
            </w:pPr>
            <w:r w:rsidRPr="00155BC6">
              <w:t>–</w:t>
            </w:r>
          </w:p>
        </w:tc>
        <w:tc>
          <w:tcPr>
            <w:tcW w:w="2564" w:type="dxa"/>
            <w:tcBorders>
              <w:top w:val="nil"/>
              <w:left w:val="nil"/>
              <w:bottom w:val="nil"/>
            </w:tcBorders>
          </w:tcPr>
          <w:p w14:paraId="4827C88D" w14:textId="77777777" w:rsidR="00031842" w:rsidRPr="00155BC6" w:rsidRDefault="00031842" w:rsidP="00E224D4">
            <w:pPr>
              <w:pStyle w:val="appendixctext"/>
              <w:spacing w:before="40"/>
              <w:rPr>
                <w:lang w:eastAsia="zh-CN"/>
              </w:rPr>
            </w:pPr>
            <w:r w:rsidRPr="00155BC6">
              <w:rPr>
                <w:rFonts w:hint="eastAsia"/>
                <w:lang w:eastAsia="zh-CN"/>
              </w:rPr>
              <w:t>联合国共同制度薪酬条件的</w:t>
            </w:r>
            <w:r>
              <w:rPr>
                <w:lang w:eastAsia="zh-CN"/>
              </w:rPr>
              <w:br/>
            </w:r>
            <w:r w:rsidRPr="00155BC6">
              <w:rPr>
                <w:rFonts w:hint="eastAsia"/>
                <w:lang w:eastAsia="zh-CN"/>
              </w:rPr>
              <w:t>变更</w:t>
            </w:r>
          </w:p>
        </w:tc>
        <w:tc>
          <w:tcPr>
            <w:tcW w:w="1036" w:type="dxa"/>
            <w:tcBorders>
              <w:top w:val="nil"/>
              <w:bottom w:val="nil"/>
              <w:right w:val="nil"/>
            </w:tcBorders>
          </w:tcPr>
          <w:p w14:paraId="4827C88E" w14:textId="77777777" w:rsidR="00031842" w:rsidRPr="00155BC6" w:rsidRDefault="00031842" w:rsidP="00E224D4">
            <w:pPr>
              <w:pStyle w:val="appendixctext"/>
              <w:spacing w:before="40"/>
            </w:pPr>
            <w:r w:rsidRPr="00155BC6">
              <w:t>R 647</w:t>
            </w:r>
          </w:p>
        </w:tc>
        <w:tc>
          <w:tcPr>
            <w:tcW w:w="599" w:type="dxa"/>
            <w:tcBorders>
              <w:top w:val="nil"/>
              <w:left w:val="nil"/>
              <w:bottom w:val="nil"/>
            </w:tcBorders>
          </w:tcPr>
          <w:p w14:paraId="4827C88F" w14:textId="77777777" w:rsidR="00031842" w:rsidRPr="00155BC6" w:rsidRDefault="00031842" w:rsidP="00E224D4">
            <w:pPr>
              <w:pStyle w:val="appendixctext"/>
              <w:spacing w:before="40"/>
            </w:pPr>
            <w:r w:rsidRPr="00155BC6">
              <w:rPr>
                <w:lang w:val="en-US" w:eastAsia="zh-CN"/>
              </w:rPr>
              <w:t>2.1</w:t>
            </w:r>
          </w:p>
        </w:tc>
      </w:tr>
      <w:tr w:rsidR="00031842" w:rsidRPr="00155BC6" w14:paraId="4827C895" w14:textId="77777777" w:rsidTr="006C740C">
        <w:trPr>
          <w:jc w:val="center"/>
        </w:trPr>
        <w:tc>
          <w:tcPr>
            <w:tcW w:w="303" w:type="dxa"/>
            <w:tcBorders>
              <w:top w:val="nil"/>
              <w:bottom w:val="single" w:sz="4" w:space="0" w:color="auto"/>
              <w:right w:val="nil"/>
            </w:tcBorders>
          </w:tcPr>
          <w:p w14:paraId="4827C891" w14:textId="77777777" w:rsidR="00031842" w:rsidRPr="00155BC6" w:rsidRDefault="00031842" w:rsidP="00E224D4">
            <w:pPr>
              <w:pStyle w:val="appendixctext"/>
              <w:spacing w:before="40"/>
            </w:pPr>
            <w:r w:rsidRPr="00155BC6">
              <w:t>–</w:t>
            </w:r>
          </w:p>
        </w:tc>
        <w:tc>
          <w:tcPr>
            <w:tcW w:w="2564" w:type="dxa"/>
            <w:tcBorders>
              <w:top w:val="nil"/>
              <w:left w:val="nil"/>
              <w:bottom w:val="single" w:sz="4" w:space="0" w:color="auto"/>
            </w:tcBorders>
          </w:tcPr>
          <w:p w14:paraId="4827C892" w14:textId="77777777" w:rsidR="00031842" w:rsidRPr="00155BC6" w:rsidRDefault="00031842" w:rsidP="00E224D4">
            <w:pPr>
              <w:pStyle w:val="appendixctext"/>
              <w:spacing w:before="40"/>
              <w:rPr>
                <w:lang w:eastAsia="zh-CN"/>
              </w:rPr>
            </w:pPr>
            <w:r w:rsidRPr="00155BC6">
              <w:rPr>
                <w:rFonts w:hint="eastAsia"/>
                <w:bCs/>
                <w:lang w:eastAsia="zh-CN"/>
              </w:rPr>
              <w:t>自愿离职和提前退休计划</w:t>
            </w:r>
          </w:p>
        </w:tc>
        <w:tc>
          <w:tcPr>
            <w:tcW w:w="1036" w:type="dxa"/>
            <w:tcBorders>
              <w:top w:val="nil"/>
              <w:bottom w:val="single" w:sz="4" w:space="0" w:color="auto"/>
              <w:right w:val="nil"/>
            </w:tcBorders>
          </w:tcPr>
          <w:p w14:paraId="4827C893" w14:textId="77777777" w:rsidR="00031842" w:rsidRPr="00155BC6" w:rsidRDefault="00031842" w:rsidP="00E224D4">
            <w:pPr>
              <w:pStyle w:val="appendixctext"/>
              <w:spacing w:before="40"/>
            </w:pPr>
            <w:r w:rsidRPr="00155BC6">
              <w:rPr>
                <w:rFonts w:hint="eastAsia"/>
              </w:rPr>
              <w:t>D</w:t>
            </w:r>
            <w:r w:rsidRPr="00155BC6">
              <w:t xml:space="preserve"> </w:t>
            </w:r>
            <w:r w:rsidRPr="00155BC6">
              <w:rPr>
                <w:rFonts w:hint="eastAsia"/>
              </w:rPr>
              <w:t>5</w:t>
            </w:r>
            <w:r w:rsidRPr="00155BC6">
              <w:t>82</w:t>
            </w:r>
          </w:p>
        </w:tc>
        <w:tc>
          <w:tcPr>
            <w:tcW w:w="599" w:type="dxa"/>
            <w:tcBorders>
              <w:top w:val="nil"/>
              <w:left w:val="nil"/>
              <w:bottom w:val="single" w:sz="4" w:space="0" w:color="auto"/>
            </w:tcBorders>
          </w:tcPr>
          <w:p w14:paraId="4827C894" w14:textId="77777777" w:rsidR="00031842" w:rsidRPr="00155BC6" w:rsidRDefault="00031842" w:rsidP="00E224D4">
            <w:pPr>
              <w:pStyle w:val="appendixctext"/>
              <w:spacing w:before="40"/>
            </w:pPr>
            <w:r w:rsidRPr="00155BC6">
              <w:rPr>
                <w:lang w:val="en-US" w:eastAsia="zh-CN"/>
              </w:rPr>
              <w:t>2.2</w:t>
            </w:r>
          </w:p>
        </w:tc>
      </w:tr>
      <w:tr w:rsidR="00031842" w:rsidRPr="00155BC6" w14:paraId="4827C899" w14:textId="77777777" w:rsidTr="006C740C">
        <w:trPr>
          <w:jc w:val="center"/>
        </w:trPr>
        <w:tc>
          <w:tcPr>
            <w:tcW w:w="2867" w:type="dxa"/>
            <w:gridSpan w:val="2"/>
            <w:tcBorders>
              <w:top w:val="single" w:sz="4" w:space="0" w:color="auto"/>
            </w:tcBorders>
          </w:tcPr>
          <w:p w14:paraId="4827C896" w14:textId="77777777" w:rsidR="00031842" w:rsidRPr="00155BC6" w:rsidRDefault="00031842" w:rsidP="00031842">
            <w:pPr>
              <w:pStyle w:val="appendixchead"/>
              <w:rPr>
                <w:lang w:eastAsia="zh-CN"/>
              </w:rPr>
            </w:pPr>
            <w:r w:rsidRPr="00155BC6">
              <w:rPr>
                <w:rFonts w:hint="eastAsia"/>
                <w:lang w:eastAsia="zh-CN"/>
              </w:rPr>
              <w:t>《专门机构</w:t>
            </w:r>
            <w:r w:rsidRPr="00155BC6">
              <w:rPr>
                <w:rFonts w:hint="eastAsia"/>
                <w:bCs/>
                <w:lang w:eastAsia="zh-CN"/>
              </w:rPr>
              <w:t>特权和豁免公约</w:t>
            </w:r>
            <w:r w:rsidRPr="00155BC6">
              <w:rPr>
                <w:rFonts w:hint="eastAsia"/>
                <w:lang w:eastAsia="zh-CN"/>
              </w:rPr>
              <w:t>》</w:t>
            </w:r>
            <w:r w:rsidRPr="00CA5377">
              <w:rPr>
                <w:rFonts w:hint="eastAsia"/>
                <w:b w:val="0"/>
                <w:bCs/>
                <w:lang w:eastAsia="zh-CN"/>
              </w:rPr>
              <w:t>得到国际电联接受</w:t>
            </w:r>
          </w:p>
        </w:tc>
        <w:tc>
          <w:tcPr>
            <w:tcW w:w="1036" w:type="dxa"/>
            <w:tcBorders>
              <w:top w:val="single" w:sz="4" w:space="0" w:color="auto"/>
              <w:right w:val="nil"/>
            </w:tcBorders>
          </w:tcPr>
          <w:p w14:paraId="4827C897" w14:textId="77777777" w:rsidR="00031842" w:rsidRPr="00155BC6" w:rsidRDefault="00031842" w:rsidP="00031842">
            <w:pPr>
              <w:pStyle w:val="appendixctext"/>
              <w:spacing w:before="120"/>
              <w:rPr>
                <w:szCs w:val="18"/>
              </w:rPr>
            </w:pPr>
            <w:r w:rsidRPr="00155BC6">
              <w:rPr>
                <w:szCs w:val="18"/>
              </w:rPr>
              <w:t>R 193</w:t>
            </w:r>
          </w:p>
        </w:tc>
        <w:tc>
          <w:tcPr>
            <w:tcW w:w="599" w:type="dxa"/>
            <w:tcBorders>
              <w:top w:val="single" w:sz="4" w:space="0" w:color="auto"/>
              <w:left w:val="nil"/>
            </w:tcBorders>
          </w:tcPr>
          <w:p w14:paraId="4827C898" w14:textId="77777777" w:rsidR="00031842" w:rsidRPr="00155BC6" w:rsidRDefault="00031842" w:rsidP="00031842">
            <w:pPr>
              <w:pStyle w:val="appendixctext"/>
              <w:spacing w:before="120"/>
              <w:rPr>
                <w:szCs w:val="18"/>
              </w:rPr>
            </w:pPr>
            <w:r w:rsidRPr="00155BC6">
              <w:rPr>
                <w:szCs w:val="18"/>
                <w:lang w:val="en-US" w:eastAsia="zh-CN"/>
              </w:rPr>
              <w:t>6.2</w:t>
            </w:r>
          </w:p>
        </w:tc>
      </w:tr>
      <w:tr w:rsidR="00031842" w:rsidRPr="00155BC6" w14:paraId="4827C89F" w14:textId="77777777" w:rsidTr="006C740C">
        <w:trPr>
          <w:jc w:val="center"/>
        </w:trPr>
        <w:tc>
          <w:tcPr>
            <w:tcW w:w="2867" w:type="dxa"/>
            <w:gridSpan w:val="2"/>
            <w:tcBorders>
              <w:top w:val="single" w:sz="4" w:space="0" w:color="auto"/>
            </w:tcBorders>
          </w:tcPr>
          <w:p w14:paraId="4827C89A" w14:textId="77777777" w:rsidR="00031842" w:rsidRPr="00155BC6" w:rsidRDefault="00031842" w:rsidP="00031842">
            <w:pPr>
              <w:pStyle w:val="appendixchead"/>
              <w:rPr>
                <w:lang w:eastAsia="zh-CN"/>
              </w:rPr>
            </w:pPr>
            <w:r w:rsidRPr="00E677C4">
              <w:rPr>
                <w:rFonts w:hint="eastAsia"/>
                <w:lang w:eastAsia="zh-CN"/>
              </w:rPr>
              <w:t>总部</w:t>
            </w:r>
            <w:r w:rsidRPr="00E677C4">
              <w:rPr>
                <w:lang w:eastAsia="zh-CN"/>
              </w:rPr>
              <w:t>办公场所</w:t>
            </w:r>
          </w:p>
        </w:tc>
        <w:tc>
          <w:tcPr>
            <w:tcW w:w="1036" w:type="dxa"/>
            <w:tcBorders>
              <w:top w:val="single" w:sz="4" w:space="0" w:color="auto"/>
              <w:right w:val="nil"/>
            </w:tcBorders>
          </w:tcPr>
          <w:p w14:paraId="4827C89B" w14:textId="77777777" w:rsidR="00031842" w:rsidRDefault="00031842" w:rsidP="00031842">
            <w:pPr>
              <w:pStyle w:val="appendixctext"/>
            </w:pPr>
            <w:r w:rsidRPr="00155BC6">
              <w:rPr>
                <w:rFonts w:hint="eastAsia"/>
              </w:rPr>
              <w:t>D</w:t>
            </w:r>
            <w:r w:rsidRPr="00155BC6">
              <w:t xml:space="preserve"> </w:t>
            </w:r>
            <w:r w:rsidRPr="00155BC6">
              <w:rPr>
                <w:rFonts w:hint="eastAsia"/>
              </w:rPr>
              <w:t>5</w:t>
            </w:r>
            <w:r>
              <w:t>88</w:t>
            </w:r>
          </w:p>
          <w:p w14:paraId="4827C89C" w14:textId="77777777" w:rsidR="00C94BC4" w:rsidRPr="00155BC6" w:rsidRDefault="00C94BC4" w:rsidP="00031842">
            <w:pPr>
              <w:pStyle w:val="appendixctext"/>
            </w:pPr>
            <w:r>
              <w:t>D 619</w:t>
            </w:r>
          </w:p>
        </w:tc>
        <w:tc>
          <w:tcPr>
            <w:tcW w:w="599" w:type="dxa"/>
            <w:tcBorders>
              <w:top w:val="single" w:sz="4" w:space="0" w:color="auto"/>
              <w:left w:val="nil"/>
            </w:tcBorders>
          </w:tcPr>
          <w:p w14:paraId="4827C89D" w14:textId="77777777" w:rsidR="00031842" w:rsidRDefault="00031842" w:rsidP="00031842">
            <w:pPr>
              <w:pStyle w:val="appendixctext"/>
            </w:pPr>
            <w:r>
              <w:t>7.1</w:t>
            </w:r>
          </w:p>
          <w:p w14:paraId="4827C89E" w14:textId="77777777" w:rsidR="00C94BC4" w:rsidRPr="00155BC6" w:rsidRDefault="00C94BC4" w:rsidP="00031842">
            <w:pPr>
              <w:pStyle w:val="appendixctext"/>
            </w:pPr>
            <w:r>
              <w:t>7.1</w:t>
            </w:r>
          </w:p>
        </w:tc>
      </w:tr>
      <w:tr w:rsidR="00031842" w:rsidRPr="00155BC6" w14:paraId="4827C8A3" w14:textId="77777777" w:rsidTr="006C740C">
        <w:trPr>
          <w:jc w:val="center"/>
        </w:trPr>
        <w:tc>
          <w:tcPr>
            <w:tcW w:w="2867" w:type="dxa"/>
            <w:gridSpan w:val="2"/>
            <w:tcBorders>
              <w:bottom w:val="nil"/>
              <w:right w:val="single" w:sz="4" w:space="0" w:color="auto"/>
            </w:tcBorders>
          </w:tcPr>
          <w:p w14:paraId="4827C8A0" w14:textId="77777777" w:rsidR="00031842" w:rsidRPr="00155BC6" w:rsidRDefault="00031842" w:rsidP="00031842">
            <w:pPr>
              <w:pStyle w:val="appendixchead"/>
            </w:pPr>
            <w:r w:rsidRPr="00155BC6">
              <w:rPr>
                <w:rFonts w:hint="eastAsia"/>
              </w:rPr>
              <w:t>总秘书处</w:t>
            </w:r>
          </w:p>
        </w:tc>
        <w:tc>
          <w:tcPr>
            <w:tcW w:w="1036" w:type="dxa"/>
            <w:tcBorders>
              <w:left w:val="single" w:sz="4" w:space="0" w:color="auto"/>
              <w:bottom w:val="nil"/>
              <w:right w:val="nil"/>
            </w:tcBorders>
          </w:tcPr>
          <w:p w14:paraId="4827C8A1" w14:textId="77777777" w:rsidR="00031842" w:rsidRPr="00155BC6" w:rsidRDefault="00031842" w:rsidP="00031842">
            <w:pPr>
              <w:pStyle w:val="appendixctext"/>
              <w:rPr>
                <w:szCs w:val="18"/>
              </w:rPr>
            </w:pPr>
          </w:p>
        </w:tc>
        <w:tc>
          <w:tcPr>
            <w:tcW w:w="599" w:type="dxa"/>
            <w:tcBorders>
              <w:left w:val="nil"/>
              <w:bottom w:val="nil"/>
            </w:tcBorders>
          </w:tcPr>
          <w:p w14:paraId="4827C8A2" w14:textId="77777777" w:rsidR="00031842" w:rsidRPr="00155BC6" w:rsidRDefault="00031842" w:rsidP="00031842">
            <w:pPr>
              <w:pStyle w:val="appendixctext"/>
              <w:rPr>
                <w:szCs w:val="18"/>
              </w:rPr>
            </w:pPr>
          </w:p>
        </w:tc>
      </w:tr>
      <w:tr w:rsidR="00031842" w:rsidRPr="00155BC6" w14:paraId="4827C8A8" w14:textId="77777777" w:rsidTr="006C740C">
        <w:trPr>
          <w:jc w:val="center"/>
        </w:trPr>
        <w:tc>
          <w:tcPr>
            <w:tcW w:w="303" w:type="dxa"/>
            <w:tcBorders>
              <w:top w:val="nil"/>
              <w:bottom w:val="nil"/>
              <w:right w:val="nil"/>
            </w:tcBorders>
          </w:tcPr>
          <w:p w14:paraId="4827C8A4" w14:textId="77777777" w:rsidR="00031842" w:rsidRPr="00155BC6" w:rsidRDefault="00031842" w:rsidP="00031842">
            <w:pPr>
              <w:pStyle w:val="appendixctext"/>
            </w:pPr>
            <w:r w:rsidRPr="00155BC6">
              <w:t>–</w:t>
            </w:r>
          </w:p>
        </w:tc>
        <w:tc>
          <w:tcPr>
            <w:tcW w:w="2564" w:type="dxa"/>
            <w:tcBorders>
              <w:top w:val="nil"/>
              <w:left w:val="nil"/>
              <w:bottom w:val="nil"/>
            </w:tcBorders>
          </w:tcPr>
          <w:p w14:paraId="4827C8A5" w14:textId="77777777" w:rsidR="00031842" w:rsidRPr="00155BC6" w:rsidRDefault="00031842" w:rsidP="00E224D4">
            <w:pPr>
              <w:pStyle w:val="appendixctext"/>
              <w:spacing w:before="40"/>
            </w:pPr>
            <w:r w:rsidRPr="00155BC6">
              <w:rPr>
                <w:rFonts w:hint="eastAsia"/>
              </w:rPr>
              <w:t>运作规划</w:t>
            </w:r>
          </w:p>
        </w:tc>
        <w:tc>
          <w:tcPr>
            <w:tcW w:w="1036" w:type="dxa"/>
            <w:tcBorders>
              <w:top w:val="nil"/>
              <w:bottom w:val="nil"/>
              <w:right w:val="nil"/>
            </w:tcBorders>
          </w:tcPr>
          <w:p w14:paraId="4827C8A6" w14:textId="312F3E6C" w:rsidR="00031842" w:rsidRPr="00155BC6" w:rsidRDefault="00031842" w:rsidP="00E224D4">
            <w:pPr>
              <w:pStyle w:val="appendixctext"/>
              <w:spacing w:before="40"/>
              <w:rPr>
                <w:szCs w:val="18"/>
              </w:rPr>
            </w:pPr>
            <w:r w:rsidRPr="00155BC6">
              <w:rPr>
                <w:szCs w:val="18"/>
              </w:rPr>
              <w:t>R 1</w:t>
            </w:r>
            <w:r w:rsidR="00F869B9">
              <w:rPr>
                <w:rFonts w:hint="eastAsia"/>
                <w:szCs w:val="18"/>
                <w:lang w:eastAsia="zh-CN"/>
              </w:rPr>
              <w:t>403</w:t>
            </w:r>
          </w:p>
        </w:tc>
        <w:tc>
          <w:tcPr>
            <w:tcW w:w="599" w:type="dxa"/>
            <w:tcBorders>
              <w:top w:val="nil"/>
              <w:left w:val="nil"/>
              <w:bottom w:val="nil"/>
            </w:tcBorders>
          </w:tcPr>
          <w:p w14:paraId="4827C8A7" w14:textId="77777777" w:rsidR="00031842" w:rsidRPr="00155BC6" w:rsidRDefault="00031842" w:rsidP="00E224D4">
            <w:pPr>
              <w:pStyle w:val="appendixctext"/>
              <w:spacing w:before="40"/>
              <w:rPr>
                <w:szCs w:val="18"/>
              </w:rPr>
            </w:pPr>
            <w:r w:rsidRPr="00155BC6">
              <w:rPr>
                <w:szCs w:val="18"/>
                <w:lang w:val="en-US" w:eastAsia="zh-CN"/>
              </w:rPr>
              <w:t>4</w:t>
            </w:r>
          </w:p>
        </w:tc>
      </w:tr>
      <w:tr w:rsidR="00031842" w:rsidRPr="00155BC6" w14:paraId="4827C8B1" w14:textId="77777777" w:rsidTr="006C740C">
        <w:trPr>
          <w:jc w:val="center"/>
        </w:trPr>
        <w:tc>
          <w:tcPr>
            <w:tcW w:w="2867" w:type="dxa"/>
            <w:gridSpan w:val="2"/>
            <w:tcBorders>
              <w:bottom w:val="single" w:sz="4" w:space="0" w:color="auto"/>
              <w:right w:val="single" w:sz="4" w:space="0" w:color="auto"/>
            </w:tcBorders>
          </w:tcPr>
          <w:p w14:paraId="4827C8AE" w14:textId="77777777" w:rsidR="00031842" w:rsidRPr="00155BC6" w:rsidRDefault="00031842" w:rsidP="00E224D4">
            <w:pPr>
              <w:pStyle w:val="appendixchead"/>
              <w:spacing w:before="40"/>
              <w:rPr>
                <w:lang w:eastAsia="zh-CN"/>
              </w:rPr>
            </w:pPr>
            <w:r w:rsidRPr="00155BC6">
              <w:rPr>
                <w:rFonts w:hint="eastAsia"/>
                <w:bCs/>
                <w:lang w:eastAsia="zh-CN"/>
              </w:rPr>
              <w:t>总秘书处</w:t>
            </w:r>
            <w:r w:rsidRPr="0073640E">
              <w:rPr>
                <w:rFonts w:hint="eastAsia"/>
                <w:b w:val="0"/>
                <w:bCs/>
                <w:lang w:eastAsia="zh-CN"/>
              </w:rPr>
              <w:t>与非国际电联成员国或主管部门的关系</w:t>
            </w:r>
          </w:p>
        </w:tc>
        <w:tc>
          <w:tcPr>
            <w:tcW w:w="1036" w:type="dxa"/>
            <w:tcBorders>
              <w:left w:val="single" w:sz="4" w:space="0" w:color="auto"/>
              <w:bottom w:val="single" w:sz="4" w:space="0" w:color="auto"/>
              <w:right w:val="nil"/>
            </w:tcBorders>
          </w:tcPr>
          <w:p w14:paraId="4827C8AF" w14:textId="77777777" w:rsidR="00031842" w:rsidRPr="00155BC6" w:rsidRDefault="00031842" w:rsidP="00E224D4">
            <w:pPr>
              <w:pStyle w:val="appendixctext"/>
              <w:spacing w:before="40"/>
              <w:rPr>
                <w:szCs w:val="18"/>
              </w:rPr>
            </w:pPr>
            <w:r w:rsidRPr="00155BC6">
              <w:rPr>
                <w:szCs w:val="18"/>
              </w:rPr>
              <w:t>R 88</w:t>
            </w:r>
          </w:p>
        </w:tc>
        <w:tc>
          <w:tcPr>
            <w:tcW w:w="599" w:type="dxa"/>
            <w:tcBorders>
              <w:left w:val="nil"/>
              <w:bottom w:val="single" w:sz="4" w:space="0" w:color="auto"/>
            </w:tcBorders>
          </w:tcPr>
          <w:p w14:paraId="4827C8B0" w14:textId="77777777" w:rsidR="00031842" w:rsidRPr="00155BC6" w:rsidRDefault="00031842" w:rsidP="00E224D4">
            <w:pPr>
              <w:pStyle w:val="appendixctext"/>
              <w:spacing w:before="40"/>
              <w:rPr>
                <w:szCs w:val="18"/>
              </w:rPr>
            </w:pPr>
            <w:r w:rsidRPr="00155BC6">
              <w:rPr>
                <w:szCs w:val="18"/>
                <w:lang w:val="en-US" w:eastAsia="zh-CN"/>
              </w:rPr>
              <w:t>6.1</w:t>
            </w:r>
          </w:p>
        </w:tc>
      </w:tr>
    </w:tbl>
    <w:p w14:paraId="4827C8B2" w14:textId="77777777" w:rsidR="0097397D" w:rsidRDefault="0097397D" w:rsidP="00AE4B88"/>
    <w:p w14:paraId="4827C8B3" w14:textId="77777777" w:rsidR="00061616" w:rsidRDefault="00061616" w:rsidP="00AE4B88">
      <w:pPr>
        <w:sectPr w:rsidR="00061616" w:rsidSect="0097397D">
          <w:headerReference w:type="even" r:id="rId543"/>
          <w:headerReference w:type="default" r:id="rId544"/>
          <w:footnotePr>
            <w:pos w:val="beneathText"/>
          </w:footnotePr>
          <w:endnotePr>
            <w:numFmt w:val="decimal"/>
          </w:endnotePr>
          <w:type w:val="continuous"/>
          <w:pgSz w:w="11907" w:h="16840" w:code="9"/>
          <w:pgMar w:top="1418" w:right="1134" w:bottom="1134" w:left="1134" w:header="737" w:footer="567" w:gutter="0"/>
          <w:cols w:num="2" w:space="720"/>
        </w:sectPr>
      </w:pPr>
    </w:p>
    <w:p w14:paraId="4827C8B4" w14:textId="77777777" w:rsidR="00AE4B88" w:rsidRDefault="00AE4B88" w:rsidP="00AE4B88"/>
    <w:p w14:paraId="4827C8B5" w14:textId="77777777" w:rsidR="00AE4B88" w:rsidRDefault="0097397D" w:rsidP="00AE4B88">
      <w:r>
        <w:t>____________</w:t>
      </w:r>
    </w:p>
    <w:p w14:paraId="4827C8B6" w14:textId="77777777" w:rsidR="00D54ECF" w:rsidRPr="00D54ECF" w:rsidRDefault="0097397D" w:rsidP="0097397D">
      <w:pPr>
        <w:pStyle w:val="FootnoteText"/>
        <w:rPr>
          <w:rFonts w:ascii="Times New Roman Bold" w:hAnsi="Times New Roman Bold" w:hint="eastAsia"/>
          <w:b/>
          <w:lang w:eastAsia="zh-CN"/>
        </w:rPr>
      </w:pPr>
      <w:r w:rsidRPr="0097397D">
        <w:rPr>
          <w:rStyle w:val="FootnoteReference"/>
        </w:rPr>
        <w:sym w:font="Symbol" w:char="F02A"/>
      </w:r>
      <w:r w:rsidRPr="00272640">
        <w:rPr>
          <w:sz w:val="18"/>
          <w:szCs w:val="18"/>
          <w:lang w:eastAsia="zh-CN"/>
        </w:rPr>
        <w:tab/>
      </w:r>
      <w:r w:rsidRPr="00272640">
        <w:rPr>
          <w:rFonts w:hint="eastAsia"/>
          <w:sz w:val="18"/>
          <w:szCs w:val="18"/>
          <w:lang w:eastAsia="zh-CN"/>
        </w:rPr>
        <w:t>译</w:t>
      </w:r>
      <w:r w:rsidRPr="00272640">
        <w:rPr>
          <w:sz w:val="18"/>
          <w:szCs w:val="18"/>
          <w:lang w:eastAsia="zh-CN"/>
        </w:rPr>
        <w:t>者注：在此附录中，</w:t>
      </w:r>
      <w:r w:rsidRPr="00272640">
        <w:rPr>
          <w:sz w:val="18"/>
          <w:szCs w:val="18"/>
          <w:lang w:eastAsia="zh-CN"/>
        </w:rPr>
        <w:t>R</w:t>
      </w:r>
      <w:r w:rsidRPr="00272640">
        <w:rPr>
          <w:rFonts w:hint="eastAsia"/>
          <w:sz w:val="18"/>
          <w:szCs w:val="18"/>
          <w:lang w:eastAsia="zh-CN"/>
        </w:rPr>
        <w:t>代表</w:t>
      </w:r>
      <w:r w:rsidRPr="00272640">
        <w:rPr>
          <w:sz w:val="18"/>
          <w:szCs w:val="18"/>
          <w:lang w:eastAsia="zh-CN"/>
        </w:rPr>
        <w:t>决议，</w:t>
      </w:r>
      <w:r w:rsidRPr="00272640">
        <w:rPr>
          <w:rFonts w:hint="eastAsia"/>
          <w:sz w:val="18"/>
          <w:szCs w:val="18"/>
          <w:lang w:eastAsia="zh-CN"/>
        </w:rPr>
        <w:t>D</w:t>
      </w:r>
      <w:r w:rsidRPr="00272640">
        <w:rPr>
          <w:rFonts w:hint="eastAsia"/>
          <w:sz w:val="18"/>
          <w:szCs w:val="18"/>
          <w:lang w:eastAsia="zh-CN"/>
        </w:rPr>
        <w:t>代表</w:t>
      </w:r>
      <w:r w:rsidRPr="00272640">
        <w:rPr>
          <w:sz w:val="18"/>
          <w:szCs w:val="18"/>
          <w:lang w:eastAsia="zh-CN"/>
        </w:rPr>
        <w:t>决定</w:t>
      </w:r>
    </w:p>
    <w:p w14:paraId="4827C8B7" w14:textId="77777777" w:rsidR="009B218A" w:rsidRPr="00272640" w:rsidRDefault="009B218A" w:rsidP="0097397D">
      <w:pPr>
        <w:pStyle w:val="FootnoteText"/>
        <w:rPr>
          <w:rStyle w:val="FootnoteReference"/>
          <w:sz w:val="18"/>
          <w:szCs w:val="18"/>
          <w:lang w:val="en-US" w:eastAsia="zh-CN"/>
        </w:rPr>
      </w:pPr>
    </w:p>
    <w:sectPr w:rsidR="009B218A" w:rsidRPr="00272640" w:rsidSect="0097397D">
      <w:footnotePr>
        <w:pos w:val="beneathText"/>
      </w:footnotePr>
      <w:endnotePr>
        <w:numFmt w:val="decimal"/>
      </w:endnotePr>
      <w:type w:val="continuous"/>
      <w:pgSz w:w="11907" w:h="16840" w:code="9"/>
      <w:pgMar w:top="1418" w:right="1134" w:bottom="1134" w:left="1134" w:header="73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1948F" w14:textId="77777777" w:rsidR="00F3232B" w:rsidRDefault="00F3232B">
      <w:r>
        <w:separator/>
      </w:r>
    </w:p>
  </w:endnote>
  <w:endnote w:type="continuationSeparator" w:id="0">
    <w:p w14:paraId="54BE8C2B" w14:textId="77777777" w:rsidR="00F3232B" w:rsidRDefault="00F32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TKaiti">
    <w:altName w:val="STKaiti"/>
    <w:panose1 w:val="02010600040101010101"/>
    <w:charset w:val="86"/>
    <w:family w:val="auto"/>
    <w:pitch w:val="variable"/>
    <w:sig w:usb0="00000287" w:usb1="080F0000" w:usb2="00000010" w:usb3="00000000" w:csb0="0004009F" w:csb1="00000000"/>
  </w:font>
  <w:font w:name="Times New Roman Bold">
    <w:altName w:val="Times New Roman"/>
    <w:panose1 w:val="020208030705050203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宋体">
    <w:altName w:val="SimSun"/>
    <w:panose1 w:val="00000000000000000000"/>
    <w:charset w:val="86"/>
    <w:family w:val="auto"/>
    <w:notTrueType/>
    <w:pitch w:val="variable"/>
    <w:sig w:usb0="00000001" w:usb1="080E0000" w:usb2="00000010" w:usb3="00000000" w:csb0="00040000" w:csb1="00000000"/>
  </w:font>
  <w:font w:name="Gill Sans MT">
    <w:charset w:val="00"/>
    <w:family w:val="swiss"/>
    <w:pitch w:val="variable"/>
    <w:sig w:usb0="00000003"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Zurich BT">
    <w:altName w:val="Arial"/>
    <w:charset w:val="00"/>
    <w:family w:val="swiss"/>
    <w:pitch w:val="variable"/>
    <w:sig w:usb0="00000087" w:usb1="00000000" w:usb2="00000000" w:usb3="00000000" w:csb0="0000001B" w:csb1="00000000"/>
  </w:font>
  <w:font w:name="SimHei">
    <w:altName w:val="黑体"/>
    <w:panose1 w:val="0201060906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Futura Lt BT">
    <w:altName w:val="Arial"/>
    <w:charset w:val="00"/>
    <w:family w:val="swiss"/>
    <w:pitch w:val="variable"/>
    <w:sig w:usb0="00000087" w:usb1="00000000" w:usb2="00000000" w:usb3="00000000" w:csb0="0000001B" w:csb1="00000000"/>
  </w:font>
  <w:font w:name="Calibri Light">
    <w:panose1 w:val="020F0302020204030204"/>
    <w:charset w:val="00"/>
    <w:family w:val="swiss"/>
    <w:pitch w:val="variable"/>
    <w:sig w:usb0="E0002AFF" w:usb1="C000247B" w:usb2="00000009" w:usb3="00000000" w:csb0="000001FF" w:csb1="00000000"/>
  </w:font>
  <w:font w:name="STZhongsong">
    <w:altName w:val="STZhongsong"/>
    <w:charset w:val="86"/>
    <w:family w:val="auto"/>
    <w:pitch w:val="variable"/>
    <w:sig w:usb0="00000287" w:usb1="080F0000" w:usb2="00000010" w:usb3="00000000" w:csb0="0004009F" w:csb1="00000000"/>
  </w:font>
  <w:font w:name="Univers BoldExt">
    <w:altName w:val="Calibri"/>
    <w:charset w:val="00"/>
    <w:family w:val="auto"/>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Helv">
    <w:altName w:val="Arial"/>
    <w:panose1 w:val="020B0604020202030204"/>
    <w:charset w:val="00"/>
    <w:family w:val="swiss"/>
    <w:pitch w:val="variable"/>
    <w:sig w:usb0="00000003" w:usb1="00000000" w:usb2="00000000" w:usb3="00000000" w:csb0="00000001" w:csb1="00000000"/>
  </w:font>
  <w:font w:name="simsn">
    <w:altName w:val="Times New Roman"/>
    <w:panose1 w:val="00000000000000000000"/>
    <w:charset w:val="00"/>
    <w:family w:val="roman"/>
    <w:notTrueType/>
    <w:pitch w:val="default"/>
  </w:font>
  <w:font w:name="TiAes New Roman">
    <w:charset w:val="00"/>
    <w:family w:val="roman"/>
    <w:pitch w:val="variable"/>
    <w:sig w:usb0="00000003" w:usb1="00000000" w:usb2="00000000" w:usb3="00000000" w:csb0="00000001" w:csb1="00000000"/>
  </w:font>
  <w:font w:name="PMingLiU-ExtB">
    <w:panose1 w:val="02020500000000000000"/>
    <w:charset w:val="88"/>
    <w:family w:val="roman"/>
    <w:pitch w:val="variable"/>
    <w:sig w:usb0="8000002F" w:usb1="0A080008" w:usb2="00000010" w:usb3="00000000" w:csb0="00100001" w:csb1="00000000"/>
  </w:font>
  <w:font w:name="KaiTi">
    <w:charset w:val="86"/>
    <w:family w:val="modern"/>
    <w:pitch w:val="fixed"/>
    <w:sig w:usb0="800002BF" w:usb1="38CF7CFA" w:usb2="00000016" w:usb3="00000000" w:csb0="00040001" w:csb1="00000000"/>
  </w:font>
  <w:font w:name="KaiTi_GB2312">
    <w:altName w:val="SimSun"/>
    <w:panose1 w:val="00000000000000000000"/>
    <w:charset w:val="00"/>
    <w:family w:val="roman"/>
    <w:notTrueType/>
    <w:pitch w:val="default"/>
  </w:font>
  <w:font w:name="Traditional Arabic">
    <w:altName w:val="Times New Roman"/>
    <w:charset w:val="B2"/>
    <w:family w:val="roman"/>
    <w:pitch w:val="variable"/>
    <w:sig w:usb0="00002003" w:usb1="80000000" w:usb2="00000008" w:usb3="00000000" w:csb0="00000041" w:csb1="00000000"/>
  </w:font>
  <w:font w:name="Times New Roman MT Extra Bold">
    <w:altName w:val="Bernard MT Condense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CE" w14:textId="77777777" w:rsidR="000B642F" w:rsidRDefault="000B642F">
    <w:pPr>
      <w:pStyle w:val="Footer"/>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EE" w14:textId="77777777" w:rsidR="000B642F" w:rsidRPr="00CD429A" w:rsidRDefault="000B642F" w:rsidP="008E309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F5" w14:textId="77777777" w:rsidR="000B642F" w:rsidRPr="00894D47" w:rsidRDefault="000B642F" w:rsidP="00894D47">
    <w:pPr>
      <w:pStyle w:val="Footer"/>
      <w:rPr>
        <w:color w:val="D9D9D9" w:themeColor="background1" w:themeShade="D9"/>
        <w:lang w:val="fr-CH"/>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F7" w14:textId="77777777" w:rsidR="000B642F" w:rsidRPr="00BC7E7B" w:rsidRDefault="000B642F" w:rsidP="00BC7E7B">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FE" w14:textId="77777777" w:rsidR="000B642F" w:rsidRPr="00894D47" w:rsidRDefault="000B642F" w:rsidP="00894D47">
    <w:pPr>
      <w:pStyle w:val="Footer"/>
      <w:rPr>
        <w:color w:val="D9D9D9" w:themeColor="background1" w:themeShade="D9"/>
        <w:lang w:val="fr-CH"/>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07" w14:textId="77777777" w:rsidR="000B642F" w:rsidRDefault="000B642F">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0B" w14:textId="77777777" w:rsidR="000B642F" w:rsidRDefault="000B642F">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13" w14:textId="77777777" w:rsidR="000B642F" w:rsidRDefault="000B642F"/>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17" w14:textId="77777777" w:rsidR="000B642F" w:rsidRDefault="000B642F"/>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18" w14:textId="77777777" w:rsidR="000B642F" w:rsidRDefault="000B642F"/>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1A" w14:textId="77777777" w:rsidR="000B642F" w:rsidRDefault="000B642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CF" w14:textId="77777777" w:rsidR="000B642F" w:rsidRDefault="000B642F">
    <w:pPr>
      <w:pStyle w:val="Footer"/>
      <w:ind w:right="360" w:firstLine="36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1D" w14:textId="77777777" w:rsidR="000B642F" w:rsidRDefault="000B642F"/>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1E" w14:textId="77777777" w:rsidR="000B642F" w:rsidRDefault="000B642F"/>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20" w14:textId="77777777" w:rsidR="000B642F" w:rsidRDefault="000B642F"/>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23" w14:textId="77777777" w:rsidR="000B642F" w:rsidRDefault="000B642F"/>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25" w14:textId="77777777" w:rsidR="000B642F" w:rsidRDefault="000B642F"/>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2A" w14:textId="77777777" w:rsidR="000B642F" w:rsidRDefault="000B642F"/>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2B" w14:textId="77777777" w:rsidR="000B642F" w:rsidRDefault="000B642F"/>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2D" w14:textId="77777777" w:rsidR="000B642F" w:rsidRDefault="000B642F"/>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30" w14:textId="77777777" w:rsidR="000B642F" w:rsidRDefault="000B642F"/>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31" w14:textId="77777777" w:rsidR="000B642F" w:rsidRDefault="000B642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D3" w14:textId="77777777" w:rsidR="000B642F" w:rsidRDefault="000B642F">
    <w:pPr>
      <w:pStyle w:val="Footer"/>
      <w:ind w:right="360" w:firstLine="360"/>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33" w14:textId="77777777" w:rsidR="000B642F" w:rsidRDefault="000B642F"/>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36" w14:textId="77777777" w:rsidR="000B642F" w:rsidRDefault="000B642F"/>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37" w14:textId="77777777" w:rsidR="000B642F" w:rsidRDefault="000B642F"/>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39" w14:textId="77777777" w:rsidR="000B642F" w:rsidRDefault="000B642F"/>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3C" w14:textId="77777777" w:rsidR="000B642F" w:rsidRDefault="000B642F"/>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3D" w14:textId="77777777" w:rsidR="000B642F" w:rsidRDefault="000B642F"/>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3F" w14:textId="77777777" w:rsidR="000B642F" w:rsidRDefault="000B642F"/>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42" w14:textId="77777777" w:rsidR="000B642F" w:rsidRDefault="000B642F"/>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44" w14:textId="77777777" w:rsidR="000B642F" w:rsidRDefault="000B642F"/>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47" w14:textId="77777777" w:rsidR="000B642F" w:rsidRDefault="000B642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D8" w14:textId="77777777" w:rsidR="000B642F" w:rsidRDefault="000B642F">
    <w:pPr>
      <w:pStyle w:val="Footer"/>
      <w:framePr w:wrap="around" w:vAnchor="text" w:hAnchor="margin" w:xAlign="right" w:y="1"/>
      <w:rPr>
        <w:rStyle w:val="PageNumber"/>
      </w:rPr>
    </w:pPr>
  </w:p>
  <w:p w14:paraId="4827C8D9" w14:textId="77777777" w:rsidR="000B642F" w:rsidRDefault="000B642F">
    <w:pPr>
      <w:pStyle w:val="Footer"/>
      <w:ind w:right="360" w:firstLine="360"/>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48" w14:textId="77777777" w:rsidR="000B642F" w:rsidRDefault="000B642F"/>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4A" w14:textId="77777777" w:rsidR="000B642F" w:rsidRDefault="000B642F"/>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4D" w14:textId="77777777" w:rsidR="000B642F" w:rsidRDefault="000B642F"/>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4E" w14:textId="77777777" w:rsidR="000B642F" w:rsidRDefault="000B642F"/>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50" w14:textId="77777777" w:rsidR="000B642F" w:rsidRDefault="000B642F"/>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53" w14:textId="77777777" w:rsidR="000B642F" w:rsidRDefault="000B642F"/>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54" w14:textId="77777777" w:rsidR="000B642F" w:rsidRDefault="000B642F"/>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56" w14:textId="77777777" w:rsidR="000B642F" w:rsidRDefault="000B642F"/>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5B" w14:textId="77777777" w:rsidR="000B642F" w:rsidRDefault="000B642F"/>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5C" w14:textId="77777777" w:rsidR="000B642F" w:rsidRDefault="000B642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DA" w14:textId="77777777" w:rsidR="000B642F" w:rsidRDefault="000B642F">
    <w:pPr>
      <w:pStyle w:val="Footer"/>
      <w:ind w:right="360" w:firstLine="360"/>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5E" w14:textId="77777777" w:rsidR="000B642F" w:rsidRDefault="000B642F"/>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61" w14:textId="77777777" w:rsidR="000B642F" w:rsidRDefault="000B642F"/>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62" w14:textId="77777777" w:rsidR="000B642F" w:rsidRDefault="000B642F"/>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64" w14:textId="77777777" w:rsidR="000B642F" w:rsidRDefault="000B642F"/>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67" w14:textId="77777777" w:rsidR="000B642F" w:rsidRDefault="000B642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DDC4E" w14:textId="77777777" w:rsidR="00845AFF" w:rsidRDefault="00845AFF">
    <w:pPr>
      <w:pStyle w:val="Footer"/>
      <w:framePr w:wrap="around" w:vAnchor="text" w:hAnchor="margin" w:xAlign="right" w:y="1"/>
      <w:rPr>
        <w:rStyle w:val="PageNumber"/>
      </w:rPr>
    </w:pPr>
  </w:p>
  <w:p w14:paraId="4199610C" w14:textId="77777777" w:rsidR="00845AFF" w:rsidRDefault="00845AFF">
    <w:pPr>
      <w:pStyle w:val="Footer"/>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E9" w14:textId="77777777" w:rsidR="000B642F" w:rsidRPr="00C07381" w:rsidRDefault="000B642F" w:rsidP="00C0738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EA" w14:textId="77777777" w:rsidR="000B642F" w:rsidRDefault="000B642F" w:rsidP="00312A82">
    <w:pPr>
      <w:spacing w:after="120"/>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EC" w14:textId="77777777" w:rsidR="000B642F" w:rsidRPr="00BD4B44" w:rsidRDefault="000B642F" w:rsidP="00BD4B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253AB" w14:textId="77777777" w:rsidR="00F3232B" w:rsidRDefault="00F3232B">
      <w:pPr>
        <w:spacing w:before="40"/>
      </w:pPr>
      <w:r>
        <w:t>____________________</w:t>
      </w:r>
    </w:p>
  </w:footnote>
  <w:footnote w:type="continuationSeparator" w:id="0">
    <w:p w14:paraId="7B8C3075" w14:textId="77777777" w:rsidR="00F3232B" w:rsidRDefault="00F3232B">
      <w:pPr>
        <w:pStyle w:val="Heading1"/>
        <w:spacing w:before="40"/>
        <w:rPr>
          <w:rFonts w:ascii="Times New Roman" w:hAnsi="Times New Roman"/>
          <w:b w:val="0"/>
          <w:sz w:val="22"/>
        </w:rPr>
      </w:pPr>
      <w:r>
        <w:continuationSeparator/>
      </w:r>
    </w:p>
  </w:footnote>
  <w:footnote w:type="continuationNotice" w:id="1">
    <w:p w14:paraId="4EEB1E53" w14:textId="77777777" w:rsidR="00F3232B" w:rsidRDefault="00F3232B">
      <w:pPr>
        <w:spacing w:before="40"/>
      </w:pPr>
    </w:p>
  </w:footnote>
  <w:footnote w:id="2">
    <w:p w14:paraId="02E31EB4" w14:textId="77777777" w:rsidR="000B642F" w:rsidRDefault="000B642F" w:rsidP="00EA33C6">
      <w:pPr>
        <w:pStyle w:val="FootnoteText"/>
        <w:rPr>
          <w:lang w:eastAsia="zh-CN"/>
        </w:rPr>
      </w:pPr>
      <w:r>
        <w:rPr>
          <w:rStyle w:val="FootnoteReference"/>
        </w:rPr>
        <w:footnoteRef/>
      </w:r>
      <w:r>
        <w:rPr>
          <w:lang w:eastAsia="zh-CN"/>
        </w:rPr>
        <w:tab/>
      </w:r>
      <w:r w:rsidRPr="004A2129">
        <w:rPr>
          <w:rFonts w:hint="eastAsia"/>
          <w:lang w:eastAsia="zh-CN"/>
        </w:rPr>
        <w:t>在本决定中，“卫星网络”</w:t>
      </w:r>
      <w:r>
        <w:rPr>
          <w:rFonts w:hint="eastAsia"/>
          <w:lang w:eastAsia="zh-CN"/>
        </w:rPr>
        <w:t>一词</w:t>
      </w:r>
      <w:r w:rsidRPr="004A2129">
        <w:rPr>
          <w:rFonts w:hint="eastAsia"/>
          <w:lang w:eastAsia="zh-CN"/>
        </w:rPr>
        <w:t>指《无线电规则》第</w:t>
      </w:r>
      <w:r w:rsidRPr="004A2129">
        <w:rPr>
          <w:lang w:eastAsia="zh-CN"/>
        </w:rPr>
        <w:t>1.110</w:t>
      </w:r>
      <w:r>
        <w:rPr>
          <w:rFonts w:hint="eastAsia"/>
          <w:lang w:eastAsia="zh-CN"/>
        </w:rPr>
        <w:t>款中规定的任何空间系统。</w:t>
      </w:r>
    </w:p>
  </w:footnote>
  <w:footnote w:id="3">
    <w:p w14:paraId="5E1D86EA" w14:textId="77777777" w:rsidR="000B642F" w:rsidRDefault="000B642F" w:rsidP="00EA33C6">
      <w:pPr>
        <w:pStyle w:val="FootnoteText"/>
        <w:rPr>
          <w:lang w:eastAsia="zh-CN"/>
        </w:rPr>
      </w:pPr>
      <w:r>
        <w:rPr>
          <w:rStyle w:val="FootnoteReference"/>
        </w:rPr>
        <w:footnoteRef/>
      </w:r>
      <w:r>
        <w:rPr>
          <w:lang w:eastAsia="zh-CN"/>
        </w:rPr>
        <w:tab/>
      </w:r>
      <w:r w:rsidRPr="004A2129">
        <w:rPr>
          <w:rFonts w:hint="eastAsia"/>
          <w:lang w:eastAsia="zh-CN"/>
        </w:rPr>
        <w:t>按“单位”收费（见附件）不</w:t>
      </w:r>
      <w:r>
        <w:rPr>
          <w:rFonts w:hint="eastAsia"/>
          <w:lang w:eastAsia="zh-CN"/>
        </w:rPr>
        <w:t>得</w:t>
      </w:r>
      <w:r w:rsidRPr="004A2129">
        <w:rPr>
          <w:rFonts w:hint="eastAsia"/>
          <w:lang w:eastAsia="zh-CN"/>
        </w:rPr>
        <w:t>理解为向频谱用户的征税。在</w:t>
      </w:r>
      <w:r>
        <w:rPr>
          <w:rFonts w:hint="eastAsia"/>
          <w:lang w:eastAsia="zh-CN"/>
        </w:rPr>
        <w:t>此</w:t>
      </w:r>
      <w:r w:rsidRPr="004A2129">
        <w:rPr>
          <w:rFonts w:hint="eastAsia"/>
          <w:lang w:eastAsia="zh-CN"/>
        </w:rPr>
        <w:t>它被用</w:t>
      </w:r>
      <w:r>
        <w:rPr>
          <w:rFonts w:hint="eastAsia"/>
          <w:lang w:eastAsia="zh-CN"/>
        </w:rPr>
        <w:t>作</w:t>
      </w:r>
      <w:r w:rsidRPr="004A2129">
        <w:rPr>
          <w:rFonts w:hint="eastAsia"/>
          <w:lang w:eastAsia="zh-CN"/>
        </w:rPr>
        <w:t>计算与</w:t>
      </w:r>
      <w:r>
        <w:rPr>
          <w:rFonts w:hint="eastAsia"/>
          <w:lang w:eastAsia="zh-CN"/>
        </w:rPr>
        <w:t>公布</w:t>
      </w:r>
      <w:r w:rsidRPr="004A2129">
        <w:rPr>
          <w:rFonts w:hint="eastAsia"/>
          <w:lang w:eastAsia="zh-CN"/>
        </w:rPr>
        <w:t>卫星系统有关的成本回收的驱动因素。</w:t>
      </w:r>
    </w:p>
  </w:footnote>
  <w:footnote w:id="4">
    <w:p w14:paraId="386306AE" w14:textId="77777777" w:rsidR="000B642F" w:rsidRDefault="000B642F" w:rsidP="00EA33C6">
      <w:pPr>
        <w:pStyle w:val="FootnoteText"/>
        <w:rPr>
          <w:lang w:eastAsia="zh-CN"/>
        </w:rPr>
      </w:pPr>
      <w:r>
        <w:rPr>
          <w:rStyle w:val="FootnoteReference"/>
        </w:rPr>
        <w:footnoteRef/>
      </w:r>
      <w:r>
        <w:rPr>
          <w:lang w:eastAsia="zh-CN"/>
        </w:rPr>
        <w:tab/>
      </w:r>
      <w:r>
        <w:rPr>
          <w:rFonts w:hint="eastAsia"/>
          <w:lang w:eastAsia="zh-CN"/>
        </w:rPr>
        <w:t>在</w:t>
      </w:r>
      <w:r w:rsidRPr="004A2129">
        <w:rPr>
          <w:rFonts w:hint="eastAsia"/>
          <w:lang w:eastAsia="zh-CN"/>
        </w:rPr>
        <w:t>享受免费待遇</w:t>
      </w:r>
      <w:r>
        <w:rPr>
          <w:rFonts w:hint="eastAsia"/>
          <w:lang w:eastAsia="zh-CN"/>
        </w:rPr>
        <w:t>时</w:t>
      </w:r>
      <w:r w:rsidRPr="004A2129">
        <w:rPr>
          <w:rFonts w:hint="eastAsia"/>
          <w:lang w:eastAsia="zh-CN"/>
        </w:rPr>
        <w:t>，</w:t>
      </w:r>
      <w:r w:rsidRPr="004A2129">
        <w:rPr>
          <w:lang w:eastAsia="zh-CN"/>
        </w:rPr>
        <w:t>1</w:t>
      </w:r>
      <w:r w:rsidRPr="004A2129">
        <w:rPr>
          <w:rFonts w:hint="eastAsia"/>
          <w:lang w:eastAsia="zh-CN"/>
        </w:rPr>
        <w:t>区和</w:t>
      </w:r>
      <w:r w:rsidRPr="004A2129">
        <w:rPr>
          <w:lang w:eastAsia="zh-CN"/>
        </w:rPr>
        <w:t>3</w:t>
      </w:r>
      <w:r w:rsidRPr="004A2129">
        <w:rPr>
          <w:rFonts w:hint="eastAsia"/>
          <w:lang w:eastAsia="zh-CN"/>
        </w:rPr>
        <w:t>区规划中按照附录</w:t>
      </w:r>
      <w:r w:rsidRPr="004A2129">
        <w:rPr>
          <w:lang w:eastAsia="zh-CN"/>
        </w:rPr>
        <w:t>30</w:t>
      </w:r>
      <w:r w:rsidRPr="004A2129">
        <w:rPr>
          <w:rFonts w:hint="eastAsia"/>
          <w:lang w:eastAsia="zh-CN"/>
        </w:rPr>
        <w:t>和附录</w:t>
      </w:r>
      <w:r w:rsidRPr="004A2129">
        <w:rPr>
          <w:lang w:eastAsia="zh-CN"/>
        </w:rPr>
        <w:t>30A</w:t>
      </w:r>
      <w:r w:rsidRPr="004A2129">
        <w:rPr>
          <w:rFonts w:hint="eastAsia"/>
          <w:lang w:eastAsia="zh-CN"/>
        </w:rPr>
        <w:t>第</w:t>
      </w:r>
      <w:r w:rsidRPr="004A2129">
        <w:rPr>
          <w:lang w:eastAsia="zh-CN"/>
        </w:rPr>
        <w:t>4</w:t>
      </w:r>
      <w:r w:rsidRPr="004A2129">
        <w:rPr>
          <w:rFonts w:hint="eastAsia"/>
          <w:lang w:eastAsia="zh-CN"/>
        </w:rPr>
        <w:t>条提交的</w:t>
      </w:r>
      <w:r>
        <w:rPr>
          <w:rFonts w:hint="eastAsia"/>
          <w:lang w:eastAsia="zh-CN"/>
        </w:rPr>
        <w:t>、涉及</w:t>
      </w:r>
      <w:r w:rsidRPr="004A2129">
        <w:rPr>
          <w:rFonts w:hint="eastAsia"/>
          <w:lang w:eastAsia="zh-CN"/>
        </w:rPr>
        <w:t>同一轨道位置</w:t>
      </w:r>
      <w:r>
        <w:rPr>
          <w:rFonts w:hint="eastAsia"/>
          <w:lang w:eastAsia="zh-CN"/>
        </w:rPr>
        <w:t>、</w:t>
      </w:r>
      <w:r w:rsidRPr="004A2129">
        <w:rPr>
          <w:rFonts w:hint="eastAsia"/>
          <w:lang w:eastAsia="zh-CN"/>
        </w:rPr>
        <w:t>使用相同卫星名称</w:t>
      </w:r>
      <w:r>
        <w:rPr>
          <w:rFonts w:hint="eastAsia"/>
          <w:lang w:eastAsia="zh-CN"/>
        </w:rPr>
        <w:t>且</w:t>
      </w:r>
      <w:r w:rsidRPr="004A2129">
        <w:rPr>
          <w:rFonts w:hint="eastAsia"/>
          <w:lang w:eastAsia="zh-CN"/>
        </w:rPr>
        <w:t>在同</w:t>
      </w:r>
      <w:r>
        <w:rPr>
          <w:rFonts w:hint="eastAsia"/>
          <w:lang w:eastAsia="zh-CN"/>
        </w:rPr>
        <w:t>一</w:t>
      </w:r>
      <w:r w:rsidRPr="004A2129">
        <w:rPr>
          <w:rFonts w:hint="eastAsia"/>
          <w:lang w:eastAsia="zh-CN"/>
        </w:rPr>
        <w:t>日收到的申报</w:t>
      </w:r>
      <w:r>
        <w:rPr>
          <w:rFonts w:hint="eastAsia"/>
          <w:lang w:eastAsia="zh-CN"/>
        </w:rPr>
        <w:t>材料，</w:t>
      </w:r>
      <w:r w:rsidRPr="004A2129">
        <w:rPr>
          <w:rFonts w:hint="eastAsia"/>
          <w:lang w:eastAsia="zh-CN"/>
        </w:rPr>
        <w:t>应被视为一个“卫星网络”。</w:t>
      </w:r>
    </w:p>
  </w:footnote>
  <w:footnote w:id="5">
    <w:p w14:paraId="48467496" w14:textId="77777777" w:rsidR="000B642F" w:rsidRDefault="000B642F" w:rsidP="00DF4592">
      <w:pPr>
        <w:pStyle w:val="FootnoteText"/>
        <w:rPr>
          <w:lang w:eastAsia="zh-CN"/>
        </w:rPr>
      </w:pPr>
      <w:r>
        <w:rPr>
          <w:rStyle w:val="FootnoteReference"/>
        </w:rPr>
        <w:footnoteRef/>
      </w:r>
      <w:r>
        <w:rPr>
          <w:lang w:eastAsia="zh-CN"/>
        </w:rPr>
        <w:tab/>
      </w:r>
      <w:r w:rsidRPr="004A2129">
        <w:rPr>
          <w:rFonts w:hint="eastAsia"/>
          <w:lang w:eastAsia="zh-CN"/>
        </w:rPr>
        <w:t>仅</w:t>
      </w:r>
      <w:r>
        <w:rPr>
          <w:rFonts w:hint="eastAsia"/>
          <w:lang w:eastAsia="zh-CN"/>
        </w:rPr>
        <w:t>涉及</w:t>
      </w:r>
      <w:r w:rsidRPr="004A2129">
        <w:rPr>
          <w:rFonts w:hint="eastAsia"/>
          <w:lang w:eastAsia="zh-CN"/>
        </w:rPr>
        <w:t>类别</w:t>
      </w:r>
      <w:r w:rsidRPr="004A2129">
        <w:rPr>
          <w:lang w:eastAsia="zh-CN"/>
        </w:rPr>
        <w:t>C1</w:t>
      </w:r>
      <w:r>
        <w:rPr>
          <w:rFonts w:hint="eastAsia"/>
          <w:lang w:eastAsia="zh-CN"/>
        </w:rPr>
        <w:t>的</w:t>
      </w:r>
      <w:r w:rsidRPr="004A2129">
        <w:rPr>
          <w:rFonts w:hint="eastAsia"/>
          <w:lang w:eastAsia="zh-CN"/>
        </w:rPr>
        <w:t>成本回收。</w:t>
      </w:r>
      <w:r>
        <w:rPr>
          <w:rFonts w:hint="eastAsia"/>
          <w:lang w:eastAsia="zh-CN"/>
        </w:rPr>
        <w:t>亦</w:t>
      </w:r>
      <w:r w:rsidRPr="004A2129">
        <w:rPr>
          <w:rFonts w:hint="eastAsia"/>
          <w:lang w:eastAsia="zh-CN"/>
        </w:rPr>
        <w:t>见</w:t>
      </w:r>
      <w:r w:rsidRPr="00824B2C">
        <w:rPr>
          <w:rFonts w:eastAsia="STKaiti" w:hint="eastAsia"/>
          <w:lang w:eastAsia="zh-CN"/>
        </w:rPr>
        <w:t>做出决定</w:t>
      </w:r>
      <w:r w:rsidRPr="00824B2C">
        <w:rPr>
          <w:rFonts w:eastAsia="STKaiti"/>
          <w:lang w:eastAsia="zh-CN"/>
        </w:rPr>
        <w:t>11</w:t>
      </w:r>
      <w:r w:rsidRPr="004A2129">
        <w:rPr>
          <w:rFonts w:hint="eastAsia"/>
          <w:lang w:eastAsia="zh-CN"/>
        </w:rPr>
        <w:t>。</w:t>
      </w:r>
    </w:p>
  </w:footnote>
  <w:footnote w:id="6">
    <w:p w14:paraId="4827C96F" w14:textId="77777777" w:rsidR="000B642F" w:rsidRPr="00A24F24" w:rsidRDefault="000B642F" w:rsidP="0077376D">
      <w:pPr>
        <w:pStyle w:val="FootnoteText"/>
        <w:rPr>
          <w:lang w:eastAsia="zh-CN"/>
        </w:rPr>
      </w:pPr>
      <w:r w:rsidRPr="00A24F24">
        <w:rPr>
          <w:rStyle w:val="FootnoteReference"/>
        </w:rPr>
        <w:sym w:font="Symbol" w:char="F02A"/>
      </w:r>
      <w:r>
        <w:rPr>
          <w:rFonts w:hint="eastAsia"/>
          <w:lang w:eastAsia="zh-CN"/>
        </w:rPr>
        <w:tab/>
      </w:r>
      <w:r w:rsidRPr="00A24F24">
        <w:rPr>
          <w:rFonts w:hint="eastAsia"/>
          <w:lang w:eastAsia="zh-CN"/>
        </w:rPr>
        <w:t>副秘书长作为观察员出席会议。</w:t>
      </w:r>
    </w:p>
  </w:footnote>
  <w:footnote w:id="7">
    <w:p w14:paraId="4827C970" w14:textId="77777777" w:rsidR="000B642F" w:rsidRPr="00EC401C" w:rsidRDefault="000B642F">
      <w:pPr>
        <w:pStyle w:val="FootnoteText"/>
        <w:rPr>
          <w:lang w:eastAsia="zh-CN"/>
        </w:rPr>
      </w:pPr>
      <w:r>
        <w:rPr>
          <w:rStyle w:val="FootnoteReference"/>
          <w:lang w:eastAsia="zh-CN"/>
        </w:rPr>
        <w:t>1</w:t>
      </w:r>
      <w:r>
        <w:rPr>
          <w:lang w:eastAsia="zh-CN"/>
        </w:rPr>
        <w:t xml:space="preserve"> </w:t>
      </w:r>
      <w:r>
        <w:rPr>
          <w:rFonts w:ascii="SimSun" w:hAnsi="SimSun"/>
          <w:lang w:val="en-US" w:eastAsia="zh-CN"/>
        </w:rPr>
        <w:tab/>
      </w:r>
      <w:r>
        <w:rPr>
          <w:rFonts w:ascii="SimSun" w:hAnsi="SimSun" w:hint="eastAsia"/>
          <w:lang w:eastAsia="zh-CN"/>
        </w:rPr>
        <w:t>根据《组织法》和《公约》，并考虑到第</w:t>
      </w:r>
      <w:r w:rsidRPr="0024391B">
        <w:rPr>
          <w:lang w:eastAsia="zh-CN"/>
        </w:rPr>
        <w:t>103</w:t>
      </w:r>
      <w:r w:rsidRPr="0024391B">
        <w:rPr>
          <w:rFonts w:hAnsi="SimSun"/>
          <w:lang w:eastAsia="zh-CN"/>
        </w:rPr>
        <w:t>号决议</w:t>
      </w:r>
      <w:r w:rsidRPr="0024391B">
        <w:rPr>
          <w:rFonts w:ascii="SimSun" w:hAnsi="SimSun"/>
          <w:lang w:eastAsia="zh-CN"/>
        </w:rPr>
        <w:t>(</w:t>
      </w:r>
      <w:r w:rsidRPr="0024391B">
        <w:rPr>
          <w:lang w:eastAsia="zh-CN"/>
        </w:rPr>
        <w:t>1998</w:t>
      </w:r>
      <w:r>
        <w:rPr>
          <w:rFonts w:ascii="SimSun" w:hAnsi="SimSun" w:hint="eastAsia"/>
          <w:lang w:eastAsia="zh-CN"/>
        </w:rPr>
        <w:t>年，明尼阿波利斯</w:t>
      </w:r>
      <w:r>
        <w:rPr>
          <w:rFonts w:ascii="SimSun" w:hAnsi="SimSun"/>
          <w:lang w:eastAsia="zh-CN"/>
        </w:rPr>
        <w:t>)</w:t>
      </w:r>
      <w:r>
        <w:rPr>
          <w:rFonts w:ascii="SimSun" w:hAnsi="SimSun" w:hint="eastAsia"/>
          <w:lang w:eastAsia="zh-CN"/>
        </w:rPr>
        <w:t>的实施。</w:t>
      </w:r>
    </w:p>
  </w:footnote>
  <w:footnote w:id="8">
    <w:p w14:paraId="4827C971" w14:textId="77777777" w:rsidR="000B642F" w:rsidRPr="00EC401C" w:rsidRDefault="000B642F">
      <w:pPr>
        <w:pStyle w:val="FootnoteText"/>
        <w:rPr>
          <w:lang w:eastAsia="zh-CN"/>
        </w:rPr>
      </w:pPr>
      <w:r>
        <w:rPr>
          <w:rStyle w:val="FootnoteReference"/>
          <w:lang w:eastAsia="zh-CN"/>
        </w:rPr>
        <w:t>2</w:t>
      </w:r>
      <w:r>
        <w:rPr>
          <w:lang w:eastAsia="zh-CN"/>
        </w:rPr>
        <w:t xml:space="preserve"> </w:t>
      </w:r>
      <w:r>
        <w:rPr>
          <w:lang w:eastAsia="zh-CN"/>
        </w:rPr>
        <w:tab/>
      </w:r>
      <w:r>
        <w:rPr>
          <w:rFonts w:ascii="SimSun" w:hint="eastAsia"/>
          <w:lang w:eastAsia="zh-CN"/>
        </w:rPr>
        <w:t>此类研究应包括在选定的大会、全会或会议上试行。</w:t>
      </w:r>
    </w:p>
  </w:footnote>
  <w:footnote w:id="9">
    <w:p w14:paraId="4827C972" w14:textId="77777777" w:rsidR="000B642F" w:rsidRPr="00A75D0F" w:rsidRDefault="000B642F" w:rsidP="003C22D4">
      <w:pPr>
        <w:pStyle w:val="FootnoteText"/>
        <w:rPr>
          <w:lang w:eastAsia="zh-CN"/>
        </w:rPr>
      </w:pPr>
      <w:r w:rsidRPr="008E39D8">
        <w:rPr>
          <w:rStyle w:val="FootnoteReference"/>
          <w:sz w:val="24"/>
          <w:szCs w:val="24"/>
          <w:vertAlign w:val="superscript"/>
          <w:lang w:eastAsia="zh-CN"/>
        </w:rPr>
        <w:t>1</w:t>
      </w:r>
      <w:r w:rsidRPr="00A75D0F">
        <w:rPr>
          <w:lang w:eastAsia="zh-CN"/>
        </w:rPr>
        <w:tab/>
      </w:r>
      <w:r w:rsidRPr="008E39D8">
        <w:rPr>
          <w:rFonts w:hint="eastAsia"/>
          <w:szCs w:val="24"/>
          <w:lang w:eastAsia="zh-CN"/>
        </w:rPr>
        <w:t>包括但不限于互惠基础上的互联网域名和号码分配机构（</w:t>
      </w:r>
      <w:r w:rsidRPr="008E39D8">
        <w:rPr>
          <w:rFonts w:hint="eastAsia"/>
          <w:szCs w:val="24"/>
          <w:lang w:eastAsia="zh-CN"/>
        </w:rPr>
        <w:t>ICANN</w:t>
      </w:r>
      <w:r w:rsidRPr="008E39D8">
        <w:rPr>
          <w:rFonts w:hint="eastAsia"/>
          <w:szCs w:val="24"/>
          <w:lang w:eastAsia="zh-CN"/>
        </w:rPr>
        <w:t>）、区域性互联网注册管理机构（</w:t>
      </w:r>
      <w:r w:rsidRPr="008E39D8">
        <w:rPr>
          <w:rFonts w:hint="eastAsia"/>
          <w:szCs w:val="24"/>
          <w:lang w:eastAsia="zh-CN"/>
        </w:rPr>
        <w:t>RIR</w:t>
      </w:r>
      <w:r w:rsidRPr="008E39D8">
        <w:rPr>
          <w:rFonts w:hint="eastAsia"/>
          <w:szCs w:val="24"/>
          <w:lang w:eastAsia="zh-CN"/>
        </w:rPr>
        <w:t>）、互联网工程任务组（</w:t>
      </w:r>
      <w:r w:rsidRPr="008E39D8">
        <w:rPr>
          <w:rFonts w:hint="eastAsia"/>
          <w:szCs w:val="24"/>
          <w:lang w:eastAsia="zh-CN"/>
        </w:rPr>
        <w:t>IETF</w:t>
      </w:r>
      <w:r w:rsidRPr="008E39D8">
        <w:rPr>
          <w:rFonts w:hint="eastAsia"/>
          <w:szCs w:val="24"/>
          <w:lang w:eastAsia="zh-CN"/>
        </w:rPr>
        <w:t>）、互联网协会（</w:t>
      </w:r>
      <w:r w:rsidRPr="008E39D8">
        <w:rPr>
          <w:rFonts w:hint="eastAsia"/>
          <w:szCs w:val="24"/>
          <w:lang w:eastAsia="zh-CN"/>
        </w:rPr>
        <w:t>ISOC</w:t>
      </w:r>
      <w:r w:rsidRPr="008E39D8">
        <w:rPr>
          <w:rFonts w:hint="eastAsia"/>
          <w:szCs w:val="24"/>
          <w:lang w:eastAsia="zh-CN"/>
        </w:rPr>
        <w:t>）和万维网联盟（</w:t>
      </w:r>
      <w:r w:rsidRPr="008E39D8">
        <w:rPr>
          <w:rFonts w:hint="eastAsia"/>
          <w:szCs w:val="24"/>
          <w:lang w:eastAsia="zh-CN"/>
        </w:rPr>
        <w:t>W3C</w:t>
      </w:r>
      <w:r w:rsidRPr="008E39D8">
        <w:rPr>
          <w:rFonts w:hint="eastAsia"/>
          <w:szCs w:val="24"/>
          <w:lang w:eastAsia="zh-CN"/>
        </w:rPr>
        <w:t>）。</w:t>
      </w:r>
    </w:p>
  </w:footnote>
  <w:footnote w:id="10">
    <w:p w14:paraId="4827C973" w14:textId="77777777" w:rsidR="000B642F" w:rsidRPr="00487A1D" w:rsidRDefault="000B642F" w:rsidP="007D0CC6">
      <w:pPr>
        <w:pStyle w:val="FootnoteText"/>
        <w:rPr>
          <w:lang w:eastAsia="zh-CN"/>
        </w:rPr>
      </w:pPr>
      <w:r>
        <w:rPr>
          <w:rStyle w:val="FootnoteReference"/>
          <w:lang w:eastAsia="zh-CN"/>
        </w:rPr>
        <w:t>1</w:t>
      </w:r>
      <w:r>
        <w:rPr>
          <w:lang w:eastAsia="zh-CN"/>
        </w:rPr>
        <w:t xml:space="preserve"> </w:t>
      </w:r>
      <w:r w:rsidRPr="00487A1D">
        <w:rPr>
          <w:lang w:eastAsia="zh-CN"/>
        </w:rPr>
        <w:tab/>
      </w:r>
      <w:r w:rsidRPr="00404233">
        <w:rPr>
          <w:rFonts w:hint="eastAsia"/>
          <w:lang w:eastAsia="zh-CN"/>
        </w:rPr>
        <w:t>国际电联</w:t>
      </w:r>
      <w:r w:rsidRPr="00404233">
        <w:rPr>
          <w:lang w:eastAsia="zh-CN"/>
        </w:rPr>
        <w:t>六种正式语文使用工作组正副主席的任命通过语言组进行，其任期由理事会在考虑到相应语言组的建议的情况下加以</w:t>
      </w:r>
      <w:r w:rsidRPr="00404233">
        <w:rPr>
          <w:rFonts w:hint="eastAsia"/>
          <w:lang w:eastAsia="zh-CN"/>
        </w:rPr>
        <w:t>确定</w:t>
      </w:r>
      <w:r w:rsidRPr="00404233">
        <w:rPr>
          <w:lang w:eastAsia="zh-CN"/>
        </w:rPr>
        <w:t>。</w:t>
      </w:r>
    </w:p>
  </w:footnote>
  <w:footnote w:id="11">
    <w:p w14:paraId="4827C974" w14:textId="77777777" w:rsidR="000B642F" w:rsidRDefault="000B642F">
      <w:pPr>
        <w:pStyle w:val="FootnoteText"/>
        <w:rPr>
          <w:lang w:eastAsia="zh-CN"/>
        </w:rPr>
      </w:pPr>
      <w:r>
        <w:rPr>
          <w:rStyle w:val="FootnoteReference"/>
          <w:lang w:eastAsia="zh-CN"/>
        </w:rPr>
        <w:t>1</w:t>
      </w:r>
      <w:r>
        <w:rPr>
          <w:lang w:eastAsia="zh-CN"/>
        </w:rPr>
        <w:t xml:space="preserve"> </w:t>
      </w:r>
      <w:r>
        <w:rPr>
          <w:lang w:eastAsia="zh-CN"/>
        </w:rPr>
        <w:tab/>
      </w:r>
      <w:r>
        <w:rPr>
          <w:rFonts w:hint="eastAsia"/>
          <w:lang w:eastAsia="zh-CN"/>
        </w:rPr>
        <w:t>可</w:t>
      </w:r>
      <w:r>
        <w:rPr>
          <w:lang w:eastAsia="zh-CN"/>
        </w:rPr>
        <w:t>应要求</w:t>
      </w:r>
      <w:r>
        <w:rPr>
          <w:rFonts w:hint="eastAsia"/>
          <w:lang w:eastAsia="zh-CN"/>
        </w:rPr>
        <w:t>向</w:t>
      </w:r>
      <w:r>
        <w:rPr>
          <w:lang w:eastAsia="zh-CN"/>
        </w:rPr>
        <w:t>残疾人提供纸质版情况</w:t>
      </w:r>
      <w:r>
        <w:rPr>
          <w:rFonts w:hint="eastAsia"/>
          <w:lang w:eastAsia="zh-CN"/>
        </w:rPr>
        <w:t>通报</w:t>
      </w:r>
      <w:r>
        <w:rPr>
          <w:lang w:eastAsia="zh-CN"/>
        </w:rPr>
        <w:t>文件。</w:t>
      </w:r>
    </w:p>
  </w:footnote>
  <w:footnote w:id="12">
    <w:p w14:paraId="20C9CA19" w14:textId="77777777" w:rsidR="000B642F" w:rsidRPr="006A10A6" w:rsidRDefault="000B642F" w:rsidP="00C87A66">
      <w:pPr>
        <w:pStyle w:val="FootnoteText"/>
        <w:rPr>
          <w:lang w:eastAsia="zh-CN"/>
        </w:rPr>
      </w:pPr>
      <w:r>
        <w:rPr>
          <w:rStyle w:val="FootnoteReference"/>
          <w:lang w:eastAsia="zh-CN"/>
        </w:rPr>
        <w:t>1</w:t>
      </w:r>
      <w:r w:rsidRPr="00102C67">
        <w:rPr>
          <w:lang w:eastAsia="zh-CN"/>
        </w:rPr>
        <w:t xml:space="preserve"> </w:t>
      </w:r>
      <w:r>
        <w:rPr>
          <w:lang w:eastAsia="zh-CN"/>
        </w:rPr>
        <w:tab/>
      </w:r>
      <w:r>
        <w:rPr>
          <w:rFonts w:asciiTheme="majorEastAsia" w:eastAsiaTheme="majorEastAsia" w:hAnsiTheme="majorEastAsia" w:hint="eastAsia"/>
          <w:szCs w:val="24"/>
          <w:lang w:val="en-US" w:eastAsia="zh-CN"/>
        </w:rPr>
        <w:t>此</w:t>
      </w:r>
      <w:r w:rsidRPr="00446431">
        <w:rPr>
          <w:rFonts w:asciiTheme="majorEastAsia" w:eastAsiaTheme="majorEastAsia" w:hAnsiTheme="majorEastAsia" w:hint="eastAsia"/>
          <w:szCs w:val="24"/>
          <w:lang w:val="en-US" w:eastAsia="zh-CN"/>
        </w:rPr>
        <w:t>议项须严格</w:t>
      </w:r>
      <w:r>
        <w:rPr>
          <w:rFonts w:asciiTheme="majorEastAsia" w:eastAsiaTheme="majorEastAsia" w:hAnsiTheme="majorEastAsia" w:hint="eastAsia"/>
          <w:szCs w:val="24"/>
          <w:lang w:val="en-US" w:eastAsia="zh-CN"/>
        </w:rPr>
        <w:t>局</w:t>
      </w:r>
      <w:r w:rsidRPr="00446431">
        <w:rPr>
          <w:rFonts w:asciiTheme="majorEastAsia" w:eastAsiaTheme="majorEastAsia" w:hAnsiTheme="majorEastAsia" w:hint="eastAsia"/>
          <w:szCs w:val="24"/>
          <w:lang w:val="en-US" w:eastAsia="zh-CN"/>
        </w:rPr>
        <w:t>限于主任有关适用《无线电规则》过程中所遇任何问题或矛盾之处的报告以及主管部门提出的意见。</w:t>
      </w:r>
      <w:r w:rsidRPr="00FA5364">
        <w:rPr>
          <w:rFonts w:asciiTheme="majorEastAsia" w:eastAsiaTheme="majorEastAsia" w:hAnsiTheme="majorEastAsia" w:hint="eastAsia"/>
          <w:szCs w:val="24"/>
          <w:lang w:val="en-US" w:eastAsia="zh-CN"/>
        </w:rPr>
        <w:t>请各主管部门将</w:t>
      </w:r>
      <w:r w:rsidRPr="00446431">
        <w:rPr>
          <w:rFonts w:asciiTheme="majorEastAsia" w:eastAsiaTheme="majorEastAsia" w:hAnsiTheme="majorEastAsia" w:hint="eastAsia"/>
          <w:szCs w:val="24"/>
          <w:lang w:val="en-US" w:eastAsia="zh-CN"/>
        </w:rPr>
        <w:t>适用《无线电规则》过程中所遇任何问题或矛盾之处</w:t>
      </w:r>
      <w:r w:rsidRPr="00FA5364">
        <w:rPr>
          <w:rFonts w:asciiTheme="majorEastAsia" w:eastAsiaTheme="majorEastAsia" w:hAnsiTheme="majorEastAsia" w:hint="eastAsia"/>
          <w:szCs w:val="24"/>
          <w:lang w:val="en-US" w:eastAsia="zh-CN"/>
        </w:rPr>
        <w:t>通知无线电通信局主任</w:t>
      </w:r>
      <w:r>
        <w:rPr>
          <w:rFonts w:hint="eastAsia"/>
          <w:lang w:eastAsia="zh-CN"/>
        </w:rPr>
        <w:t>。</w:t>
      </w:r>
    </w:p>
  </w:footnote>
  <w:footnote w:id="13">
    <w:p w14:paraId="4827C976" w14:textId="77777777" w:rsidR="000B642F" w:rsidRPr="006E0033" w:rsidRDefault="000B642F">
      <w:pPr>
        <w:pStyle w:val="FootnoteText"/>
        <w:rPr>
          <w:lang w:val="en-US" w:eastAsia="zh-CN"/>
        </w:rPr>
      </w:pPr>
      <w:r>
        <w:rPr>
          <w:rStyle w:val="FootnoteReference"/>
          <w:lang w:eastAsia="zh-CN"/>
        </w:rPr>
        <w:t>1</w:t>
      </w:r>
      <w:r>
        <w:rPr>
          <w:lang w:eastAsia="zh-CN"/>
        </w:rPr>
        <w:t xml:space="preserve"> </w:t>
      </w:r>
      <w:r>
        <w:rPr>
          <w:lang w:eastAsia="zh-CN"/>
        </w:rPr>
        <w:tab/>
      </w:r>
      <w:r>
        <w:rPr>
          <w:rFonts w:hint="eastAsia"/>
          <w:lang w:eastAsia="zh-CN"/>
        </w:rPr>
        <w:t>将根据第</w:t>
      </w:r>
      <w:r>
        <w:rPr>
          <w:lang w:eastAsia="zh-CN"/>
        </w:rPr>
        <w:t>1117</w:t>
      </w:r>
      <w:r>
        <w:rPr>
          <w:rFonts w:hint="eastAsia"/>
          <w:lang w:eastAsia="zh-CN"/>
        </w:rPr>
        <w:t>号决议的结果审议这一使用的条件。</w:t>
      </w:r>
    </w:p>
  </w:footnote>
  <w:footnote w:id="14">
    <w:p w14:paraId="4827C977" w14:textId="77777777" w:rsidR="000B642F" w:rsidRPr="006E0033" w:rsidRDefault="000B642F">
      <w:pPr>
        <w:pStyle w:val="FootnoteText"/>
        <w:rPr>
          <w:lang w:val="en-US" w:eastAsia="zh-CN"/>
        </w:rPr>
      </w:pPr>
      <w:r>
        <w:rPr>
          <w:rStyle w:val="FootnoteReference"/>
          <w:lang w:eastAsia="zh-CN"/>
        </w:rPr>
        <w:t>1</w:t>
      </w:r>
      <w:r>
        <w:rPr>
          <w:lang w:eastAsia="zh-CN"/>
        </w:rPr>
        <w:t xml:space="preserve"> </w:t>
      </w:r>
      <w:r>
        <w:rPr>
          <w:sz w:val="18"/>
          <w:szCs w:val="18"/>
          <w:lang w:eastAsia="zh-CN"/>
        </w:rPr>
        <w:tab/>
      </w:r>
      <w:r w:rsidRPr="00D54B08">
        <w:rPr>
          <w:rFonts w:hint="eastAsia"/>
          <w:lang w:eastAsia="zh-CN"/>
        </w:rPr>
        <w:t>应理解为，</w:t>
      </w:r>
      <w:r w:rsidRPr="00D54B08">
        <w:rPr>
          <w:rFonts w:ascii="SimSun" w:hAnsi="SimSun" w:hint="eastAsia"/>
          <w:lang w:eastAsia="zh-CN"/>
        </w:rPr>
        <w:t>所</w:t>
      </w:r>
      <w:r w:rsidRPr="00D54B08">
        <w:rPr>
          <w:rFonts w:hAnsi="SimSun"/>
          <w:lang w:eastAsia="zh-CN"/>
        </w:rPr>
        <w:t>有</w:t>
      </w:r>
      <w:r w:rsidRPr="00D54B08">
        <w:rPr>
          <w:lang w:eastAsia="zh-CN"/>
        </w:rPr>
        <w:t>ITU-T</w:t>
      </w:r>
      <w:r w:rsidRPr="00D54B08">
        <w:rPr>
          <w:rFonts w:hAnsi="SimSun"/>
          <w:lang w:eastAsia="zh-CN"/>
        </w:rPr>
        <w:t>和</w:t>
      </w:r>
      <w:r w:rsidRPr="00D54B08">
        <w:rPr>
          <w:lang w:eastAsia="zh-CN"/>
        </w:rPr>
        <w:t>ITU-R</w:t>
      </w:r>
      <w:r w:rsidRPr="00D54B08">
        <w:rPr>
          <w:rFonts w:ascii="SimSun" w:hAnsi="SimSun" w:hint="eastAsia"/>
          <w:lang w:eastAsia="zh-CN"/>
        </w:rPr>
        <w:t>的研究均将以主管部门的文稿为基础。</w:t>
      </w:r>
    </w:p>
  </w:footnote>
  <w:footnote w:id="15">
    <w:p w14:paraId="4827C978" w14:textId="77777777" w:rsidR="000B642F" w:rsidRPr="006E0033" w:rsidRDefault="000B642F" w:rsidP="007663F7">
      <w:pPr>
        <w:pStyle w:val="FootnoteText"/>
        <w:rPr>
          <w:lang w:val="en-US" w:eastAsia="zh-CN"/>
        </w:rPr>
      </w:pPr>
      <w:r>
        <w:rPr>
          <w:rStyle w:val="FootnoteReference"/>
          <w:lang w:eastAsia="zh-CN"/>
        </w:rPr>
        <w:t>1</w:t>
      </w:r>
      <w:r>
        <w:rPr>
          <w:lang w:eastAsia="zh-CN"/>
        </w:rPr>
        <w:t xml:space="preserve"> </w:t>
      </w:r>
      <w:r>
        <w:rPr>
          <w:lang w:val="en-US" w:eastAsia="zh-CN"/>
        </w:rPr>
        <w:tab/>
      </w:r>
      <w:r>
        <w:rPr>
          <w:rFonts w:hint="eastAsia"/>
          <w:lang w:eastAsia="zh-CN"/>
        </w:rPr>
        <w:t>另参阅第</w:t>
      </w:r>
      <w:r>
        <w:rPr>
          <w:lang w:eastAsia="zh-CN"/>
        </w:rPr>
        <w:t>185</w:t>
      </w:r>
      <w:r>
        <w:rPr>
          <w:rFonts w:hint="eastAsia"/>
          <w:lang w:eastAsia="zh-CN"/>
        </w:rPr>
        <w:t>号决定。</w:t>
      </w:r>
    </w:p>
  </w:footnote>
  <w:footnote w:id="16">
    <w:p w14:paraId="4827C979" w14:textId="77777777" w:rsidR="000B642F" w:rsidRPr="005279EC" w:rsidRDefault="000B642F">
      <w:pPr>
        <w:pStyle w:val="FootnoteText"/>
        <w:rPr>
          <w:lang w:eastAsia="zh-CN"/>
        </w:rPr>
      </w:pPr>
      <w:r>
        <w:rPr>
          <w:rStyle w:val="FootnoteReference"/>
          <w:lang w:eastAsia="zh-CN"/>
        </w:rPr>
        <w:t>1</w:t>
      </w:r>
      <w:r>
        <w:rPr>
          <w:lang w:eastAsia="zh-CN"/>
        </w:rPr>
        <w:t xml:space="preserve"> </w:t>
      </w:r>
      <w:r>
        <w:rPr>
          <w:rFonts w:hint="eastAsia"/>
          <w:lang w:eastAsia="zh-CN"/>
        </w:rPr>
        <w:tab/>
      </w:r>
      <w:r>
        <w:rPr>
          <w:rFonts w:hint="eastAsia"/>
          <w:lang w:eastAsia="zh-CN"/>
        </w:rPr>
        <w:t>一旦那些法律文件生效，此参考内容将为：“</w:t>
      </w:r>
      <w:r>
        <w:rPr>
          <w:lang w:eastAsia="zh-CN"/>
        </w:rPr>
        <w:t>…</w:t>
      </w:r>
      <w:r>
        <w:rPr>
          <w:rFonts w:hint="eastAsia"/>
          <w:lang w:eastAsia="zh-CN"/>
        </w:rPr>
        <w:t>国际电信联盟《组织法》和《公约》（</w:t>
      </w:r>
      <w:r>
        <w:rPr>
          <w:lang w:eastAsia="zh-CN"/>
        </w:rPr>
        <w:t>1989</w:t>
      </w:r>
      <w:r>
        <w:rPr>
          <w:rFonts w:hint="eastAsia"/>
          <w:lang w:eastAsia="zh-CN"/>
        </w:rPr>
        <w:t>年，尼斯）</w:t>
      </w:r>
      <w:r>
        <w:rPr>
          <w:lang w:eastAsia="zh-CN"/>
        </w:rPr>
        <w:t>…</w:t>
      </w:r>
      <w:r>
        <w:rPr>
          <w:rFonts w:hint="eastAsia"/>
          <w:lang w:eastAsia="zh-CN"/>
        </w:rPr>
        <w:t>”</w:t>
      </w:r>
      <w:r w:rsidRPr="00E71DF7">
        <w:rPr>
          <w:rFonts w:hint="eastAsia"/>
          <w:lang w:eastAsia="zh-CN"/>
        </w:rPr>
        <w:t>。</w:t>
      </w:r>
    </w:p>
  </w:footnote>
  <w:footnote w:id="17">
    <w:p w14:paraId="4827C97A" w14:textId="77777777" w:rsidR="000B642F" w:rsidRPr="00F27EC1" w:rsidRDefault="000B642F">
      <w:pPr>
        <w:pStyle w:val="FootnoteText"/>
        <w:rPr>
          <w:lang w:val="en-US" w:eastAsia="zh-CN"/>
        </w:rPr>
      </w:pPr>
      <w:r>
        <w:rPr>
          <w:rStyle w:val="FootnoteReference"/>
          <w:lang w:eastAsia="zh-CN"/>
        </w:rPr>
        <w:t>1</w:t>
      </w:r>
      <w:r>
        <w:rPr>
          <w:lang w:eastAsia="zh-CN"/>
        </w:rPr>
        <w:t xml:space="preserve"> </w:t>
      </w:r>
      <w:r>
        <w:rPr>
          <w:lang w:val="en-US" w:eastAsia="zh-CN"/>
        </w:rPr>
        <w:tab/>
      </w:r>
      <w:r w:rsidRPr="00767AC8">
        <w:rPr>
          <w:rFonts w:hint="eastAsia"/>
          <w:lang w:eastAsia="zh-CN"/>
        </w:rPr>
        <w:t>见</w:t>
      </w:r>
      <w:r>
        <w:rPr>
          <w:rFonts w:hint="eastAsia"/>
          <w:lang w:eastAsia="zh-CN"/>
        </w:rPr>
        <w:t>第</w:t>
      </w:r>
      <w:r>
        <w:rPr>
          <w:lang w:eastAsia="zh-CN"/>
        </w:rPr>
        <w:t>765/CA30</w:t>
      </w:r>
      <w:r>
        <w:rPr>
          <w:rFonts w:hint="eastAsia"/>
          <w:lang w:eastAsia="zh-CN"/>
        </w:rPr>
        <w:t>号决议（</w:t>
      </w:r>
      <w:r>
        <w:rPr>
          <w:lang w:eastAsia="zh-CN"/>
        </w:rPr>
        <w:t>1975</w:t>
      </w:r>
      <w:r>
        <w:rPr>
          <w:rFonts w:hint="eastAsia"/>
          <w:lang w:eastAsia="zh-CN"/>
        </w:rPr>
        <w:t>）。</w:t>
      </w:r>
    </w:p>
  </w:footnote>
  <w:footnote w:id="18">
    <w:p w14:paraId="4827C97B" w14:textId="77777777" w:rsidR="000B642F" w:rsidRPr="00F27EC1" w:rsidRDefault="000B642F">
      <w:pPr>
        <w:pStyle w:val="FootnoteText"/>
        <w:rPr>
          <w:lang w:val="en-US" w:eastAsia="zh-CN"/>
        </w:rPr>
      </w:pPr>
      <w:r>
        <w:rPr>
          <w:rStyle w:val="FootnoteReference"/>
          <w:lang w:eastAsia="zh-CN"/>
        </w:rPr>
        <w:t>2</w:t>
      </w:r>
      <w:r>
        <w:rPr>
          <w:lang w:eastAsia="zh-CN"/>
        </w:rPr>
        <w:t xml:space="preserve"> </w:t>
      </w:r>
      <w:r>
        <w:rPr>
          <w:lang w:eastAsia="zh-CN"/>
        </w:rPr>
        <w:tab/>
      </w:r>
      <w:r>
        <w:rPr>
          <w:rFonts w:hint="eastAsia"/>
          <w:lang w:eastAsia="zh-CN"/>
        </w:rPr>
        <w:t>已过时。</w:t>
      </w:r>
    </w:p>
  </w:footnote>
  <w:footnote w:id="19">
    <w:p w14:paraId="4827C97C" w14:textId="77777777" w:rsidR="000B642F" w:rsidRPr="00F27EC1" w:rsidRDefault="000B642F">
      <w:pPr>
        <w:pStyle w:val="FootnoteText"/>
        <w:rPr>
          <w:lang w:val="en-US" w:eastAsia="zh-CN"/>
        </w:rPr>
      </w:pPr>
      <w:r>
        <w:rPr>
          <w:rStyle w:val="FootnoteReference"/>
          <w:lang w:eastAsia="zh-CN"/>
        </w:rPr>
        <w:t>3</w:t>
      </w:r>
      <w:r>
        <w:rPr>
          <w:lang w:eastAsia="zh-CN"/>
        </w:rPr>
        <w:tab/>
      </w:r>
      <w:r>
        <w:rPr>
          <w:rFonts w:hint="eastAsia"/>
          <w:lang w:eastAsia="zh-CN"/>
        </w:rPr>
        <w:t>见第</w:t>
      </w:r>
      <w:r>
        <w:rPr>
          <w:lang w:eastAsia="zh-CN"/>
        </w:rPr>
        <w:t>765/CA30</w:t>
      </w:r>
      <w:r>
        <w:rPr>
          <w:rFonts w:hint="eastAsia"/>
          <w:lang w:eastAsia="zh-CN"/>
        </w:rPr>
        <w:t>（</w:t>
      </w:r>
      <w:r>
        <w:rPr>
          <w:lang w:eastAsia="zh-CN"/>
        </w:rPr>
        <w:t>1975</w:t>
      </w:r>
      <w:r>
        <w:rPr>
          <w:rFonts w:hint="eastAsia"/>
          <w:lang w:eastAsia="zh-CN"/>
        </w:rPr>
        <w:t>年）号决议。</w:t>
      </w:r>
    </w:p>
  </w:footnote>
  <w:footnote w:id="20">
    <w:p w14:paraId="4827C97D" w14:textId="77777777" w:rsidR="000B642F" w:rsidRPr="00B41477" w:rsidRDefault="000B642F" w:rsidP="00503F41">
      <w:pPr>
        <w:pStyle w:val="FootnoteText"/>
        <w:tabs>
          <w:tab w:val="clear" w:pos="255"/>
          <w:tab w:val="left" w:pos="284"/>
        </w:tabs>
        <w:ind w:left="284" w:hanging="284"/>
        <w:rPr>
          <w:lang w:eastAsia="zh-CN"/>
        </w:rPr>
      </w:pPr>
      <w:r>
        <w:rPr>
          <w:rStyle w:val="FootnoteReference"/>
          <w:lang w:eastAsia="zh-CN"/>
        </w:rPr>
        <w:t>4</w:t>
      </w:r>
      <w:r>
        <w:rPr>
          <w:lang w:eastAsia="zh-CN"/>
        </w:rPr>
        <w:t xml:space="preserve"> </w:t>
      </w:r>
      <w:r>
        <w:rPr>
          <w:lang w:val="en-US" w:eastAsia="zh-CN"/>
        </w:rPr>
        <w:tab/>
      </w:r>
      <w:r>
        <w:rPr>
          <w:rFonts w:hint="eastAsia"/>
          <w:lang w:eastAsia="zh-CN"/>
        </w:rPr>
        <w:t>见第</w:t>
      </w:r>
      <w:r>
        <w:rPr>
          <w:lang w:eastAsia="zh-CN"/>
        </w:rPr>
        <w:t>765/CA30</w:t>
      </w:r>
      <w:r>
        <w:rPr>
          <w:rFonts w:hint="eastAsia"/>
          <w:lang w:eastAsia="zh-CN"/>
        </w:rPr>
        <w:t>（</w:t>
      </w:r>
      <w:r>
        <w:rPr>
          <w:lang w:eastAsia="zh-CN"/>
        </w:rPr>
        <w:t>1975</w:t>
      </w:r>
      <w:r>
        <w:rPr>
          <w:rFonts w:hint="eastAsia"/>
          <w:lang w:eastAsia="zh-CN"/>
        </w:rPr>
        <w:t>年）号决议。</w:t>
      </w:r>
    </w:p>
  </w:footnote>
  <w:footnote w:id="21">
    <w:p w14:paraId="4827C97E" w14:textId="77777777" w:rsidR="000B642F" w:rsidRPr="00B41477" w:rsidRDefault="000B642F" w:rsidP="00503F41">
      <w:pPr>
        <w:pStyle w:val="FootnoteText"/>
        <w:tabs>
          <w:tab w:val="clear" w:pos="255"/>
          <w:tab w:val="left" w:pos="284"/>
        </w:tabs>
        <w:ind w:left="284" w:hanging="284"/>
        <w:rPr>
          <w:lang w:eastAsia="zh-CN"/>
        </w:rPr>
      </w:pPr>
      <w:r>
        <w:rPr>
          <w:rStyle w:val="FootnoteReference"/>
          <w:lang w:eastAsia="zh-CN"/>
        </w:rPr>
        <w:t>5</w:t>
      </w:r>
      <w:r>
        <w:rPr>
          <w:lang w:eastAsia="zh-CN"/>
        </w:rPr>
        <w:t xml:space="preserve"> </w:t>
      </w:r>
      <w:r>
        <w:rPr>
          <w:lang w:eastAsia="zh-CN"/>
        </w:rPr>
        <w:tab/>
      </w:r>
      <w:r>
        <w:rPr>
          <w:rFonts w:hint="eastAsia"/>
          <w:lang w:eastAsia="zh-CN"/>
        </w:rPr>
        <w:t>亦见第</w:t>
      </w:r>
      <w:r>
        <w:rPr>
          <w:lang w:eastAsia="zh-CN"/>
        </w:rPr>
        <w:t>765/CA30</w:t>
      </w:r>
      <w:r>
        <w:rPr>
          <w:rFonts w:hint="eastAsia"/>
          <w:lang w:eastAsia="zh-CN"/>
        </w:rPr>
        <w:t>（</w:t>
      </w:r>
      <w:r>
        <w:rPr>
          <w:lang w:eastAsia="zh-CN"/>
        </w:rPr>
        <w:t>1975</w:t>
      </w:r>
      <w:r>
        <w:rPr>
          <w:rFonts w:hint="eastAsia"/>
          <w:lang w:eastAsia="zh-CN"/>
        </w:rPr>
        <w:t>）号决议。</w:t>
      </w:r>
    </w:p>
  </w:footnote>
  <w:footnote w:id="22">
    <w:p w14:paraId="4827C97F" w14:textId="77777777" w:rsidR="000B642F" w:rsidRPr="009513E7" w:rsidRDefault="000B642F">
      <w:pPr>
        <w:pStyle w:val="FootnoteText"/>
        <w:rPr>
          <w:lang w:val="en-US"/>
        </w:rPr>
      </w:pPr>
      <w:r>
        <w:rPr>
          <w:rStyle w:val="FootnoteReference"/>
        </w:rPr>
        <w:t>1</w:t>
      </w:r>
      <w:r>
        <w:t xml:space="preserve"> </w:t>
      </w:r>
      <w:r>
        <w:tab/>
      </w:r>
      <w:r w:rsidRPr="00733F40">
        <w:rPr>
          <w:rFonts w:hint="eastAsia"/>
          <w:lang w:eastAsia="zh-CN"/>
        </w:rPr>
        <w:t>第</w:t>
      </w:r>
      <w:r w:rsidRPr="00733F40">
        <w:rPr>
          <w:lang w:eastAsia="zh-CN"/>
        </w:rPr>
        <w:t>2775A-H</w:t>
      </w:r>
      <w:r w:rsidRPr="00733F40">
        <w:rPr>
          <w:rFonts w:hint="eastAsia"/>
          <w:lang w:eastAsia="zh-CN"/>
        </w:rPr>
        <w:t>（</w:t>
      </w:r>
      <w:r>
        <w:rPr>
          <w:rFonts w:hint="eastAsia"/>
          <w:lang w:eastAsia="zh-CN"/>
        </w:rPr>
        <w:t>XXVI</w:t>
      </w:r>
      <w:r w:rsidRPr="00733F40">
        <w:rPr>
          <w:rFonts w:hint="eastAsia"/>
          <w:lang w:eastAsia="zh-CN"/>
        </w:rPr>
        <w:t>）、</w:t>
      </w:r>
      <w:r w:rsidRPr="00733F40">
        <w:rPr>
          <w:lang w:eastAsia="zh-CN"/>
        </w:rPr>
        <w:t>2795</w:t>
      </w:r>
      <w:r w:rsidRPr="00733F40">
        <w:rPr>
          <w:rFonts w:hint="eastAsia"/>
          <w:lang w:eastAsia="zh-CN"/>
        </w:rPr>
        <w:t>（</w:t>
      </w:r>
      <w:r>
        <w:rPr>
          <w:rFonts w:hint="eastAsia"/>
          <w:lang w:eastAsia="zh-CN"/>
        </w:rPr>
        <w:t>XXVI</w:t>
      </w:r>
      <w:r w:rsidRPr="00733F40">
        <w:rPr>
          <w:rFonts w:hint="eastAsia"/>
          <w:lang w:eastAsia="zh-CN"/>
        </w:rPr>
        <w:t>）、</w:t>
      </w:r>
      <w:r w:rsidRPr="00733F40">
        <w:rPr>
          <w:lang w:eastAsia="zh-CN"/>
        </w:rPr>
        <w:t>2796</w:t>
      </w:r>
      <w:r w:rsidRPr="00733F40">
        <w:rPr>
          <w:rFonts w:hint="eastAsia"/>
          <w:lang w:eastAsia="zh-CN"/>
        </w:rPr>
        <w:t>（</w:t>
      </w:r>
      <w:r>
        <w:rPr>
          <w:rFonts w:hint="eastAsia"/>
          <w:lang w:eastAsia="zh-CN"/>
        </w:rPr>
        <w:t>XXVI</w:t>
      </w:r>
      <w:r w:rsidRPr="00733F40">
        <w:rPr>
          <w:rFonts w:hint="eastAsia"/>
          <w:lang w:eastAsia="zh-CN"/>
        </w:rPr>
        <w:t>）、</w:t>
      </w:r>
      <w:r w:rsidRPr="00733F40">
        <w:rPr>
          <w:lang w:eastAsia="zh-CN"/>
        </w:rPr>
        <w:t>2839</w:t>
      </w:r>
      <w:r w:rsidRPr="00733F40">
        <w:rPr>
          <w:rFonts w:hint="eastAsia"/>
          <w:lang w:eastAsia="zh-CN"/>
        </w:rPr>
        <w:t>（</w:t>
      </w:r>
      <w:r>
        <w:rPr>
          <w:rFonts w:hint="eastAsia"/>
          <w:lang w:eastAsia="zh-CN"/>
        </w:rPr>
        <w:t>XXVI</w:t>
      </w:r>
      <w:r w:rsidRPr="00733F40">
        <w:rPr>
          <w:rFonts w:hint="eastAsia"/>
          <w:lang w:eastAsia="zh-CN"/>
        </w:rPr>
        <w:t>）、</w:t>
      </w:r>
      <w:r w:rsidRPr="00733F40">
        <w:rPr>
          <w:lang w:eastAsia="zh-CN"/>
        </w:rPr>
        <w:t>2871</w:t>
      </w:r>
      <w:r w:rsidRPr="00733F40">
        <w:rPr>
          <w:rFonts w:hint="eastAsia"/>
          <w:lang w:eastAsia="zh-CN"/>
        </w:rPr>
        <w:t>（</w:t>
      </w:r>
      <w:r>
        <w:rPr>
          <w:rFonts w:hint="eastAsia"/>
          <w:lang w:eastAsia="zh-CN"/>
        </w:rPr>
        <w:t>XXVI</w:t>
      </w:r>
      <w:r w:rsidRPr="00733F40">
        <w:rPr>
          <w:rFonts w:hint="eastAsia"/>
          <w:lang w:eastAsia="zh-CN"/>
        </w:rPr>
        <w:t>）、</w:t>
      </w:r>
      <w:r w:rsidRPr="00733F40">
        <w:rPr>
          <w:lang w:eastAsia="zh-CN"/>
        </w:rPr>
        <w:t>2872</w:t>
      </w:r>
      <w:r w:rsidRPr="00733F40">
        <w:rPr>
          <w:rFonts w:hint="eastAsia"/>
          <w:lang w:eastAsia="zh-CN"/>
        </w:rPr>
        <w:t>（</w:t>
      </w:r>
      <w:r>
        <w:rPr>
          <w:rFonts w:hint="eastAsia"/>
          <w:lang w:eastAsia="zh-CN"/>
        </w:rPr>
        <w:t>XXVI</w:t>
      </w:r>
      <w:r w:rsidRPr="00733F40">
        <w:rPr>
          <w:rFonts w:hint="eastAsia"/>
          <w:lang w:eastAsia="zh-CN"/>
        </w:rPr>
        <w:t>）、</w:t>
      </w:r>
      <w:r w:rsidRPr="00733F40">
        <w:rPr>
          <w:lang w:eastAsia="zh-CN"/>
        </w:rPr>
        <w:t>2874</w:t>
      </w:r>
      <w:r w:rsidRPr="00733F40">
        <w:rPr>
          <w:rFonts w:hint="eastAsia"/>
          <w:lang w:eastAsia="zh-CN"/>
        </w:rPr>
        <w:t>（</w:t>
      </w:r>
      <w:r>
        <w:rPr>
          <w:rFonts w:hint="eastAsia"/>
          <w:lang w:eastAsia="zh-CN"/>
        </w:rPr>
        <w:t>XXVI</w:t>
      </w:r>
      <w:r w:rsidRPr="00733F40">
        <w:rPr>
          <w:rFonts w:hint="eastAsia"/>
          <w:lang w:eastAsia="zh-CN"/>
        </w:rPr>
        <w:t>）、</w:t>
      </w:r>
      <w:r w:rsidRPr="00733F40">
        <w:rPr>
          <w:lang w:eastAsia="zh-CN"/>
        </w:rPr>
        <w:t>2878</w:t>
      </w:r>
      <w:r w:rsidRPr="00733F40">
        <w:rPr>
          <w:rFonts w:hint="eastAsia"/>
          <w:lang w:eastAsia="zh-CN"/>
        </w:rPr>
        <w:t>（</w:t>
      </w:r>
      <w:r>
        <w:rPr>
          <w:rFonts w:hint="eastAsia"/>
          <w:lang w:eastAsia="zh-CN"/>
        </w:rPr>
        <w:t>XXVI</w:t>
      </w:r>
      <w:r w:rsidRPr="00733F40">
        <w:rPr>
          <w:rFonts w:hint="eastAsia"/>
          <w:lang w:eastAsia="zh-CN"/>
        </w:rPr>
        <w:t>）和</w:t>
      </w:r>
      <w:r w:rsidRPr="00733F40">
        <w:rPr>
          <w:lang w:eastAsia="zh-CN"/>
        </w:rPr>
        <w:t>2879</w:t>
      </w:r>
      <w:r w:rsidRPr="00733F40">
        <w:rPr>
          <w:rFonts w:hint="eastAsia"/>
          <w:lang w:eastAsia="zh-CN"/>
        </w:rPr>
        <w:t>（</w:t>
      </w:r>
      <w:r>
        <w:rPr>
          <w:rFonts w:hint="eastAsia"/>
          <w:lang w:eastAsia="zh-CN"/>
        </w:rPr>
        <w:t>XXVI</w:t>
      </w:r>
      <w:r w:rsidRPr="00733F40">
        <w:rPr>
          <w:rFonts w:hint="eastAsia"/>
          <w:lang w:eastAsia="zh-CN"/>
        </w:rPr>
        <w:t>）号决议。</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CD" w14:textId="77777777" w:rsidR="000B642F" w:rsidRPr="009E1BA3" w:rsidRDefault="000B642F" w:rsidP="00AE7C1F">
    <w:pPr>
      <w:pStyle w:val="Header"/>
      <w:spacing w:before="120"/>
      <w:rPr>
        <w:b/>
        <w:sz w:val="28"/>
        <w:szCs w:val="28"/>
        <w:lang w:eastAsia="zh-CN"/>
      </w:rPr>
    </w:pPr>
    <w:r w:rsidRPr="009E1BA3">
      <w:rPr>
        <w:rFonts w:hint="eastAsia"/>
        <w:b/>
        <w:sz w:val="28"/>
        <w:szCs w:val="28"/>
        <w:lang w:eastAsia="zh-CN"/>
      </w:rPr>
      <w:t>国</w:t>
    </w:r>
    <w:r w:rsidRPr="009E1BA3">
      <w:rPr>
        <w:rFonts w:hint="eastAsia"/>
        <w:b/>
        <w:sz w:val="28"/>
        <w:szCs w:val="28"/>
        <w:lang w:eastAsia="zh-CN"/>
      </w:rPr>
      <w:t xml:space="preserve"> </w:t>
    </w:r>
    <w:r w:rsidRPr="009E1BA3">
      <w:rPr>
        <w:rFonts w:hint="eastAsia"/>
        <w:b/>
        <w:sz w:val="28"/>
        <w:szCs w:val="28"/>
        <w:lang w:eastAsia="zh-CN"/>
      </w:rPr>
      <w:t>际</w:t>
    </w:r>
    <w:r w:rsidRPr="009E1BA3">
      <w:rPr>
        <w:rFonts w:hint="eastAsia"/>
        <w:b/>
        <w:sz w:val="28"/>
        <w:szCs w:val="28"/>
        <w:lang w:eastAsia="zh-CN"/>
      </w:rPr>
      <w:t xml:space="preserve"> </w:t>
    </w:r>
    <w:r w:rsidRPr="009E1BA3">
      <w:rPr>
        <w:rFonts w:hint="eastAsia"/>
        <w:b/>
        <w:sz w:val="28"/>
        <w:szCs w:val="28"/>
        <w:lang w:eastAsia="zh-CN"/>
      </w:rPr>
      <w:t>电</w:t>
    </w:r>
    <w:r w:rsidRPr="009E1BA3">
      <w:rPr>
        <w:rFonts w:hint="eastAsia"/>
        <w:b/>
        <w:sz w:val="28"/>
        <w:szCs w:val="28"/>
        <w:lang w:eastAsia="zh-CN"/>
      </w:rPr>
      <w:t xml:space="preserve"> </w:t>
    </w:r>
    <w:r w:rsidRPr="009E1BA3">
      <w:rPr>
        <w:rFonts w:hint="eastAsia"/>
        <w:b/>
        <w:sz w:val="28"/>
        <w:szCs w:val="28"/>
        <w:lang w:eastAsia="zh-CN"/>
      </w:rPr>
      <w:t>信</w:t>
    </w:r>
    <w:r w:rsidRPr="009E1BA3">
      <w:rPr>
        <w:rFonts w:hint="eastAsia"/>
        <w:b/>
        <w:sz w:val="28"/>
        <w:szCs w:val="28"/>
        <w:lang w:eastAsia="zh-CN"/>
      </w:rPr>
      <w:t xml:space="preserve"> </w:t>
    </w:r>
    <w:r w:rsidRPr="009E1BA3">
      <w:rPr>
        <w:rFonts w:hint="eastAsia"/>
        <w:b/>
        <w:sz w:val="28"/>
        <w:szCs w:val="28"/>
        <w:lang w:eastAsia="zh-CN"/>
      </w:rPr>
      <w:t>联</w:t>
    </w:r>
    <w:r w:rsidRPr="009E1BA3">
      <w:rPr>
        <w:rFonts w:hint="eastAsia"/>
        <w:b/>
        <w:sz w:val="28"/>
        <w:szCs w:val="28"/>
        <w:lang w:eastAsia="zh-CN"/>
      </w:rPr>
      <w:t xml:space="preserve"> </w:t>
    </w:r>
    <w:r w:rsidRPr="009E1BA3">
      <w:rPr>
        <w:rFonts w:hint="eastAsia"/>
        <w:b/>
        <w:sz w:val="28"/>
        <w:szCs w:val="28"/>
        <w:lang w:eastAsia="zh-CN"/>
      </w:rPr>
      <w:t>盟</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DD" w14:textId="77777777" w:rsidR="000B642F" w:rsidRPr="00624E3F" w:rsidRDefault="000B642F" w:rsidP="00C45305">
    <w:pPr>
      <w:pStyle w:val="Header"/>
      <w:rPr>
        <w:lang w:val="en-US"/>
      </w:rPr>
    </w:pPr>
    <w:r>
      <w:rPr>
        <w:lang w:val="en-US" w:eastAsia="zh-CN"/>
      </w:rPr>
      <w:t>–</w:t>
    </w:r>
    <w:r>
      <w:rPr>
        <w:rFonts w:hint="eastAsia"/>
        <w:lang w:val="en-US" w:eastAsia="zh-CN"/>
      </w:rPr>
      <w:t xml:space="preserve"> </w:t>
    </w:r>
    <w:r w:rsidRPr="0071484E">
      <w:rPr>
        <w:rStyle w:val="PageNumber"/>
        <w:rFonts w:ascii="Calibri" w:hAnsi="Calibri"/>
      </w:rPr>
      <w:fldChar w:fldCharType="begin"/>
    </w:r>
    <w:r w:rsidRPr="0071484E">
      <w:rPr>
        <w:rStyle w:val="PageNumber"/>
        <w:rFonts w:ascii="Calibri" w:hAnsi="Calibri"/>
      </w:rPr>
      <w:instrText xml:space="preserve"> PAGE </w:instrText>
    </w:r>
    <w:r w:rsidRPr="0071484E">
      <w:rPr>
        <w:rStyle w:val="PageNumber"/>
        <w:rFonts w:ascii="Calibri" w:hAnsi="Calibri"/>
      </w:rPr>
      <w:fldChar w:fldCharType="separate"/>
    </w:r>
    <w:r>
      <w:rPr>
        <w:rStyle w:val="PageNumber"/>
        <w:rFonts w:ascii="Calibri" w:hAnsi="Calibri"/>
        <w:noProof/>
      </w:rPr>
      <w:t>xi</w:t>
    </w:r>
    <w:r w:rsidRPr="0071484E">
      <w:rPr>
        <w:rStyle w:val="PageNumber"/>
        <w:rFonts w:ascii="Calibri" w:hAnsi="Calibri"/>
      </w:rPr>
      <w:fldChar w:fldCharType="end"/>
    </w:r>
    <w:r>
      <w:rPr>
        <w:lang w:val="en-US"/>
      </w:rPr>
      <w:t xml:space="preserve"> –</w:t>
    </w:r>
    <w:r>
      <w:rPr>
        <w:rStyle w:val="PageNumber"/>
      </w:rPr>
      <w:br/>
    </w:r>
    <w:r w:rsidRPr="002176E8">
      <w:rPr>
        <w:rStyle w:val="PageNumber"/>
        <w:rFonts w:ascii="STKaiti" w:eastAsia="STKaiti" w:hAnsi="STKaiti" w:hint="eastAsia"/>
        <w:lang w:eastAsia="zh-CN"/>
      </w:rPr>
      <w:t>（目录）</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DE" w14:textId="77777777" w:rsidR="000B642F" w:rsidRDefault="000B642F" w:rsidP="00F7210C">
    <w:pPr>
      <w:pStyle w:val="Header"/>
    </w:pPr>
    <w:r>
      <w:rPr>
        <w:lang w:val="en-US"/>
      </w:rPr>
      <w:t xml:space="preserve">– </w:t>
    </w:r>
    <w:r w:rsidRPr="00F7210C">
      <w:rPr>
        <w:lang w:val="en-US"/>
      </w:rPr>
      <w:fldChar w:fldCharType="begin"/>
    </w:r>
    <w:r w:rsidRPr="00F7210C">
      <w:rPr>
        <w:lang w:val="en-US"/>
      </w:rPr>
      <w:instrText xml:space="preserve"> PAGE   \* MERGEFORMAT </w:instrText>
    </w:r>
    <w:r w:rsidRPr="00F7210C">
      <w:rPr>
        <w:lang w:val="en-US"/>
      </w:rPr>
      <w:fldChar w:fldCharType="separate"/>
    </w:r>
    <w:r>
      <w:rPr>
        <w:noProof/>
        <w:lang w:val="en-US"/>
      </w:rPr>
      <w:t>v</w:t>
    </w:r>
    <w:r w:rsidRPr="00F7210C">
      <w:rPr>
        <w:noProof/>
        <w:lang w:val="en-US"/>
      </w:rPr>
      <w:fldChar w:fldCharType="end"/>
    </w:r>
    <w:r>
      <w:rPr>
        <w:noProof/>
        <w:lang w:val="en-US"/>
      </w:rPr>
      <w:t xml:space="preserve"> </w:t>
    </w:r>
    <w:r>
      <w:rPr>
        <w:lang w:val="en-US"/>
      </w:rPr>
      <w:t>–</w:t>
    </w:r>
    <w:r>
      <w:rPr>
        <w:lang w:val="en-US"/>
      </w:rPr>
      <w:br/>
    </w:r>
    <w:r>
      <w:rPr>
        <w:rFonts w:hint="eastAsia"/>
        <w:lang w:val="en-US" w:eastAsia="zh-CN"/>
      </w:rPr>
      <w:t>（</w:t>
    </w:r>
    <w:r>
      <w:rPr>
        <w:lang w:val="en-US" w:eastAsia="zh-CN"/>
      </w:rPr>
      <w:t>目录）</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28879" w14:textId="77777777" w:rsidR="00845AFF" w:rsidRPr="00C45305" w:rsidRDefault="00845AFF" w:rsidP="00147619">
    <w:pPr>
      <w:pStyle w:val="Header"/>
      <w:rPr>
        <w:rFonts w:ascii="Calibri" w:hAnsi="Calibri"/>
        <w:lang w:val="en-US"/>
      </w:rPr>
    </w:pPr>
    <w:r>
      <w:rPr>
        <w:rStyle w:val="PageNumber"/>
        <w:rFonts w:ascii="Calibri" w:hAnsi="Calibri"/>
      </w:rPr>
      <w:t>–</w:t>
    </w:r>
    <w:r w:rsidRPr="0071484E">
      <w:rPr>
        <w:rStyle w:val="PageNumber"/>
        <w:rFonts w:ascii="Calibri" w:hAnsi="Calibri"/>
      </w:rPr>
      <w:t xml:space="preserve"> </w:t>
    </w:r>
    <w:r w:rsidRPr="0071484E">
      <w:rPr>
        <w:rStyle w:val="PageNumber"/>
        <w:rFonts w:ascii="Calibri" w:hAnsi="Calibri"/>
      </w:rPr>
      <w:fldChar w:fldCharType="begin"/>
    </w:r>
    <w:r w:rsidRPr="0071484E">
      <w:rPr>
        <w:rStyle w:val="PageNumber"/>
        <w:rFonts w:ascii="Calibri" w:hAnsi="Calibri"/>
      </w:rPr>
      <w:instrText xml:space="preserve"> PAGE </w:instrText>
    </w:r>
    <w:r w:rsidRPr="0071484E">
      <w:rPr>
        <w:rStyle w:val="PageNumber"/>
        <w:rFonts w:ascii="Calibri" w:hAnsi="Calibri"/>
      </w:rPr>
      <w:fldChar w:fldCharType="separate"/>
    </w:r>
    <w:r>
      <w:rPr>
        <w:rStyle w:val="PageNumber"/>
        <w:rFonts w:ascii="Calibri" w:hAnsi="Calibri"/>
        <w:noProof/>
      </w:rPr>
      <w:t>28</w:t>
    </w:r>
    <w:r w:rsidRPr="0071484E">
      <w:rPr>
        <w:rStyle w:val="PageNumber"/>
        <w:rFonts w:ascii="Calibri" w:hAnsi="Calibri"/>
      </w:rPr>
      <w:fldChar w:fldCharType="end"/>
    </w:r>
    <w:r w:rsidRPr="0071484E">
      <w:rPr>
        <w:rStyle w:val="PageNumber"/>
        <w:rFonts w:ascii="Calibri" w:hAnsi="Calibri"/>
      </w:rPr>
      <w:t xml:space="preserve"> </w:t>
    </w:r>
    <w:r>
      <w:rPr>
        <w:rStyle w:val="PageNumber"/>
        <w:rFonts w:ascii="Calibri" w:hAnsi="Calibri"/>
      </w:rPr>
      <w:t>–</w:t>
    </w:r>
    <w:r w:rsidRPr="0071484E">
      <w:rPr>
        <w:rStyle w:val="PageNumber"/>
        <w:rFonts w:ascii="Calibri" w:hAnsi="Calibri"/>
      </w:rPr>
      <w:br/>
    </w:r>
    <w:r w:rsidRPr="0071484E">
      <w:rPr>
        <w:rStyle w:val="PageNumber"/>
        <w:rFonts w:ascii="Calibri" w:eastAsia="STKaiti" w:hint="eastAsia"/>
        <w:iCs/>
        <w:lang w:eastAsia="zh-CN"/>
      </w:rPr>
      <w:t>（</w:t>
    </w:r>
    <w:r w:rsidRPr="0071484E">
      <w:rPr>
        <w:rStyle w:val="PageNumber"/>
        <w:rFonts w:ascii="Calibri" w:hAnsi="Calibri"/>
        <w:lang w:eastAsia="zh-CN"/>
      </w:rPr>
      <w:t xml:space="preserve">1.1 – </w:t>
    </w:r>
    <w:r w:rsidRPr="0071484E">
      <w:rPr>
        <w:rFonts w:ascii="Calibri" w:hint="eastAsia"/>
        <w:lang w:eastAsia="zh-CN"/>
      </w:rPr>
      <w:t>预算</w:t>
    </w:r>
    <w:r w:rsidRPr="0071484E">
      <w:rPr>
        <w:rStyle w:val="PageNumber"/>
        <w:rFonts w:ascii="Calibri" w:eastAsia="STKaiti" w:hint="eastAsia"/>
        <w:iCs/>
        <w:lang w:eastAsia="zh-CN"/>
      </w:rPr>
      <w: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E8" w14:textId="77777777" w:rsidR="000B642F" w:rsidRPr="00EB6078" w:rsidRDefault="000B642F" w:rsidP="00EB6078">
    <w:pPr>
      <w:pStyle w:val="Header"/>
      <w:rPr>
        <w:rFonts w:ascii="Calibri" w:hAnsi="Calibri"/>
        <w:lang w:val="en-US"/>
      </w:rPr>
    </w:pPr>
    <w:r>
      <w:rPr>
        <w:rStyle w:val="PageNumber"/>
        <w:rFonts w:ascii="Calibri" w:hAnsi="Calibri"/>
      </w:rPr>
      <w:t>–</w:t>
    </w:r>
    <w:r w:rsidRPr="0071484E">
      <w:rPr>
        <w:rStyle w:val="PageNumber"/>
        <w:rFonts w:ascii="Calibri" w:hAnsi="Calibri"/>
      </w:rPr>
      <w:t xml:space="preserve"> </w:t>
    </w:r>
    <w:r w:rsidRPr="0071484E">
      <w:rPr>
        <w:rStyle w:val="PageNumber"/>
        <w:rFonts w:ascii="Calibri" w:hAnsi="Calibri"/>
      </w:rPr>
      <w:fldChar w:fldCharType="begin"/>
    </w:r>
    <w:r w:rsidRPr="0071484E">
      <w:rPr>
        <w:rStyle w:val="PageNumber"/>
        <w:rFonts w:ascii="Calibri" w:hAnsi="Calibri"/>
      </w:rPr>
      <w:instrText xml:space="preserve"> PAGE </w:instrText>
    </w:r>
    <w:r w:rsidRPr="0071484E">
      <w:rPr>
        <w:rStyle w:val="PageNumber"/>
        <w:rFonts w:ascii="Calibri" w:hAnsi="Calibri"/>
      </w:rPr>
      <w:fldChar w:fldCharType="separate"/>
    </w:r>
    <w:r>
      <w:rPr>
        <w:rStyle w:val="PageNumber"/>
        <w:rFonts w:ascii="Calibri" w:hAnsi="Calibri"/>
        <w:noProof/>
      </w:rPr>
      <w:t>17</w:t>
    </w:r>
    <w:r w:rsidRPr="0071484E">
      <w:rPr>
        <w:rStyle w:val="PageNumber"/>
        <w:rFonts w:ascii="Calibri" w:hAnsi="Calibri"/>
      </w:rPr>
      <w:fldChar w:fldCharType="end"/>
    </w:r>
    <w:r w:rsidRPr="0071484E">
      <w:rPr>
        <w:rStyle w:val="PageNumber"/>
        <w:rFonts w:ascii="Calibri" w:hAnsi="Calibri"/>
      </w:rPr>
      <w:t xml:space="preserve"> </w:t>
    </w:r>
    <w:r>
      <w:rPr>
        <w:rStyle w:val="PageNumber"/>
        <w:rFonts w:ascii="Calibri" w:hAnsi="Calibri"/>
      </w:rPr>
      <w:t>–</w:t>
    </w:r>
    <w:r w:rsidRPr="0071484E">
      <w:rPr>
        <w:rStyle w:val="PageNumber"/>
        <w:rFonts w:ascii="Calibri" w:hAnsi="Calibri"/>
      </w:rPr>
      <w:br/>
    </w:r>
    <w:r w:rsidRPr="0071484E">
      <w:rPr>
        <w:rStyle w:val="PageNumber"/>
        <w:rFonts w:ascii="Calibri" w:eastAsia="STKaiti" w:hint="eastAsia"/>
        <w:iCs/>
        <w:lang w:eastAsia="zh-CN"/>
      </w:rPr>
      <w:t>（</w:t>
    </w:r>
    <w:r w:rsidRPr="0071484E">
      <w:rPr>
        <w:rStyle w:val="PageNumber"/>
        <w:rFonts w:ascii="Calibri" w:hAnsi="Calibri"/>
        <w:lang w:eastAsia="zh-CN"/>
      </w:rPr>
      <w:t xml:space="preserve">1.1 – </w:t>
    </w:r>
    <w:r w:rsidRPr="0071484E">
      <w:rPr>
        <w:rFonts w:ascii="Calibri" w:hint="eastAsia"/>
        <w:lang w:eastAsia="zh-CN"/>
      </w:rPr>
      <w:t>预算</w:t>
    </w:r>
    <w:r w:rsidRPr="0071484E">
      <w:rPr>
        <w:rStyle w:val="PageNumber"/>
        <w:rFonts w:ascii="Calibri" w:eastAsia="STKaiti" w:hint="eastAsia"/>
        <w:iCs/>
        <w:lang w:eastAsia="zh-CN"/>
      </w:rPr>
      <w: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66CA7" w14:textId="77777777" w:rsidR="00845AFF" w:rsidRDefault="00845AFF" w:rsidP="00EB6078">
    <w:pPr>
      <w:pStyle w:val="Header"/>
    </w:pPr>
    <w:r>
      <w:rPr>
        <w:lang w:val="en-US"/>
      </w:rPr>
      <w:t>–</w:t>
    </w:r>
    <w:r w:rsidRPr="00737802">
      <w:rPr>
        <w:lang w:val="en-US"/>
      </w:rPr>
      <w:t xml:space="preserve"> </w:t>
    </w:r>
    <w:r w:rsidRPr="00737802">
      <w:rPr>
        <w:rStyle w:val="PageNumber"/>
        <w:rFonts w:asciiTheme="minorHAnsi" w:hAnsiTheme="minorHAnsi"/>
      </w:rPr>
      <w:fldChar w:fldCharType="begin"/>
    </w:r>
    <w:r w:rsidRPr="00737802">
      <w:rPr>
        <w:rStyle w:val="PageNumber"/>
        <w:rFonts w:asciiTheme="minorHAnsi" w:hAnsiTheme="minorHAnsi"/>
      </w:rPr>
      <w:instrText xml:space="preserve"> PAGE </w:instrText>
    </w:r>
    <w:r w:rsidRPr="00737802">
      <w:rPr>
        <w:rStyle w:val="PageNumber"/>
        <w:rFonts w:asciiTheme="minorHAnsi" w:hAnsiTheme="minorHAnsi"/>
      </w:rPr>
      <w:fldChar w:fldCharType="separate"/>
    </w:r>
    <w:r>
      <w:rPr>
        <w:rStyle w:val="PageNumber"/>
        <w:rFonts w:asciiTheme="minorHAnsi" w:hAnsiTheme="minorHAnsi"/>
        <w:noProof/>
      </w:rPr>
      <w:t>15</w:t>
    </w:r>
    <w:r w:rsidRPr="00737802">
      <w:rPr>
        <w:rStyle w:val="PageNumber"/>
        <w:rFonts w:asciiTheme="minorHAnsi" w:hAnsiTheme="minorHAnsi"/>
      </w:rPr>
      <w:fldChar w:fldCharType="end"/>
    </w:r>
    <w:r w:rsidRPr="00737802">
      <w:rPr>
        <w:rStyle w:val="PageNumber"/>
        <w:rFonts w:asciiTheme="minorHAnsi" w:hAnsiTheme="minorHAnsi"/>
      </w:rPr>
      <w:t xml:space="preserve"> </w:t>
    </w:r>
    <w:r>
      <w:rPr>
        <w:rStyle w:val="PageNumber"/>
        <w:rFonts w:asciiTheme="minorHAnsi" w:hAnsiTheme="minorHAnsi"/>
      </w:rPr>
      <w:t>–</w:t>
    </w:r>
    <w:r w:rsidRPr="00737802">
      <w:rPr>
        <w:rStyle w:val="PageNumber"/>
        <w:rFonts w:asciiTheme="minorHAnsi" w:hAnsiTheme="minorHAnsi"/>
      </w:rPr>
      <w:br/>
    </w:r>
    <w:r w:rsidRPr="0071484E">
      <w:rPr>
        <w:rStyle w:val="PageNumber"/>
        <w:rFonts w:ascii="Calibri" w:eastAsia="STKaiti" w:hint="eastAsia"/>
        <w:iCs/>
        <w:lang w:eastAsia="zh-CN"/>
      </w:rPr>
      <w:t>（</w:t>
    </w:r>
    <w:r w:rsidRPr="0071484E">
      <w:rPr>
        <w:rStyle w:val="PageNumber"/>
        <w:rFonts w:ascii="Calibri" w:hAnsi="Calibri"/>
        <w:lang w:eastAsia="zh-CN"/>
      </w:rPr>
      <w:t xml:space="preserve">1.1 – </w:t>
    </w:r>
    <w:r w:rsidRPr="0071484E">
      <w:rPr>
        <w:rFonts w:ascii="Calibri" w:hint="eastAsia"/>
        <w:lang w:eastAsia="zh-CN"/>
      </w:rPr>
      <w:t>预算</w:t>
    </w:r>
    <w:r w:rsidRPr="0071484E">
      <w:rPr>
        <w:rStyle w:val="PageNumber"/>
        <w:rFonts w:ascii="Calibri" w:eastAsia="STKaiti" w:hint="eastAsia"/>
        <w:iCs/>
        <w:lang w:eastAsia="zh-CN"/>
      </w:rPr>
      <w: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EB" w14:textId="77777777" w:rsidR="000B642F" w:rsidRPr="00F7210C" w:rsidRDefault="000B642F" w:rsidP="00D51C53">
    <w:pPr>
      <w:pStyle w:val="Header"/>
    </w:pPr>
    <w:r>
      <w:rPr>
        <w:lang w:val="en-US"/>
      </w:rPr>
      <w:t>–</w:t>
    </w:r>
    <w:r w:rsidRPr="00737802">
      <w:rPr>
        <w:lang w:val="en-US"/>
      </w:rPr>
      <w:t xml:space="preserve"> </w:t>
    </w:r>
    <w:r w:rsidRPr="00737802">
      <w:rPr>
        <w:rStyle w:val="PageNumber"/>
        <w:rFonts w:asciiTheme="minorHAnsi" w:hAnsiTheme="minorHAnsi"/>
      </w:rPr>
      <w:fldChar w:fldCharType="begin"/>
    </w:r>
    <w:r w:rsidRPr="00737802">
      <w:rPr>
        <w:rStyle w:val="PageNumber"/>
        <w:rFonts w:asciiTheme="minorHAnsi" w:hAnsiTheme="minorHAnsi"/>
      </w:rPr>
      <w:instrText xml:space="preserve"> PAGE </w:instrText>
    </w:r>
    <w:r w:rsidRPr="00737802">
      <w:rPr>
        <w:rStyle w:val="PageNumber"/>
        <w:rFonts w:asciiTheme="minorHAnsi" w:hAnsiTheme="minorHAnsi"/>
      </w:rPr>
      <w:fldChar w:fldCharType="separate"/>
    </w:r>
    <w:r>
      <w:rPr>
        <w:rStyle w:val="PageNumber"/>
        <w:rFonts w:asciiTheme="minorHAnsi" w:hAnsiTheme="minorHAnsi"/>
        <w:noProof/>
      </w:rPr>
      <w:t>29</w:t>
    </w:r>
    <w:r w:rsidRPr="00737802">
      <w:rPr>
        <w:rStyle w:val="PageNumber"/>
        <w:rFonts w:asciiTheme="minorHAnsi" w:hAnsiTheme="minorHAnsi"/>
      </w:rPr>
      <w:fldChar w:fldCharType="end"/>
    </w:r>
    <w:r w:rsidRPr="00737802">
      <w:rPr>
        <w:rStyle w:val="PageNumber"/>
        <w:rFonts w:asciiTheme="minorHAnsi" w:hAnsiTheme="minorHAnsi"/>
      </w:rPr>
      <w:t xml:space="preserve"> </w:t>
    </w:r>
    <w:r>
      <w:rPr>
        <w:rStyle w:val="PageNumber"/>
        <w:rFonts w:asciiTheme="minorHAnsi" w:hAnsiTheme="minorHAnsi"/>
      </w:rPr>
      <w:t>–</w:t>
    </w:r>
    <w:r w:rsidRPr="00737802">
      <w:rPr>
        <w:rStyle w:val="PageNumber"/>
        <w:rFonts w:asciiTheme="minorHAnsi" w:hAnsiTheme="minorHAnsi"/>
      </w:rPr>
      <w:br/>
    </w:r>
    <w:r w:rsidRPr="0071484E">
      <w:rPr>
        <w:rStyle w:val="PageNumber"/>
        <w:rFonts w:ascii="Calibri" w:eastAsia="STKaiti" w:hint="eastAsia"/>
        <w:iCs/>
        <w:lang w:eastAsia="zh-CN"/>
      </w:rPr>
      <w:t>（</w:t>
    </w:r>
    <w:r w:rsidRPr="0071484E">
      <w:rPr>
        <w:rStyle w:val="PageNumber"/>
        <w:rFonts w:ascii="Calibri" w:hAnsi="Calibri"/>
        <w:lang w:eastAsia="zh-CN"/>
      </w:rPr>
      <w:t xml:space="preserve">1.1 – </w:t>
    </w:r>
    <w:r w:rsidRPr="0071484E">
      <w:rPr>
        <w:rFonts w:ascii="Calibri" w:hint="eastAsia"/>
        <w:lang w:eastAsia="zh-CN"/>
      </w:rPr>
      <w:t>预算</w:t>
    </w:r>
    <w:r w:rsidRPr="0071484E">
      <w:rPr>
        <w:rStyle w:val="PageNumber"/>
        <w:rFonts w:ascii="Calibri" w:eastAsia="STKaiti" w:hint="eastAsia"/>
        <w:iCs/>
        <w:lang w:eastAsia="zh-CN"/>
      </w:rPr>
      <w: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ED" w14:textId="77777777" w:rsidR="000B642F" w:rsidRPr="00B47974" w:rsidRDefault="000B642F" w:rsidP="008B3975">
    <w:pPr>
      <w:pStyle w:val="Header"/>
      <w:rPr>
        <w:lang w:val="en-US"/>
      </w:rPr>
    </w:pPr>
    <w:r>
      <w:rPr>
        <w:lang w:val="en-US"/>
      </w:rPr>
      <w:t>–</w:t>
    </w:r>
    <w:r w:rsidRPr="00737802">
      <w:rPr>
        <w:lang w:val="en-US"/>
      </w:rPr>
      <w:t xml:space="preserve"> </w:t>
    </w:r>
    <w:r w:rsidRPr="00737802">
      <w:rPr>
        <w:rStyle w:val="PageNumber"/>
        <w:rFonts w:asciiTheme="minorHAnsi" w:hAnsiTheme="minorHAnsi"/>
      </w:rPr>
      <w:fldChar w:fldCharType="begin"/>
    </w:r>
    <w:r w:rsidRPr="00737802">
      <w:rPr>
        <w:rStyle w:val="PageNumber"/>
        <w:rFonts w:asciiTheme="minorHAnsi" w:hAnsiTheme="minorHAnsi"/>
      </w:rPr>
      <w:instrText xml:space="preserve"> PAGE </w:instrText>
    </w:r>
    <w:r w:rsidRPr="00737802">
      <w:rPr>
        <w:rStyle w:val="PageNumber"/>
        <w:rFonts w:asciiTheme="minorHAnsi" w:hAnsiTheme="minorHAnsi"/>
      </w:rPr>
      <w:fldChar w:fldCharType="separate"/>
    </w:r>
    <w:r>
      <w:rPr>
        <w:rStyle w:val="PageNumber"/>
        <w:rFonts w:asciiTheme="minorHAnsi" w:hAnsiTheme="minorHAnsi"/>
        <w:noProof/>
      </w:rPr>
      <w:t>18</w:t>
    </w:r>
    <w:r w:rsidRPr="00737802">
      <w:rPr>
        <w:rStyle w:val="PageNumber"/>
        <w:rFonts w:asciiTheme="minorHAnsi" w:hAnsiTheme="minorHAnsi"/>
      </w:rPr>
      <w:fldChar w:fldCharType="end"/>
    </w:r>
    <w:r w:rsidRPr="00737802">
      <w:rPr>
        <w:rStyle w:val="PageNumber"/>
        <w:rFonts w:asciiTheme="minorHAnsi" w:hAnsiTheme="minorHAnsi"/>
      </w:rPr>
      <w:t xml:space="preserve"> </w:t>
    </w:r>
    <w:r>
      <w:rPr>
        <w:rStyle w:val="PageNumber"/>
        <w:rFonts w:asciiTheme="minorHAnsi" w:hAnsiTheme="minorHAnsi"/>
      </w:rPr>
      <w:t>–</w:t>
    </w:r>
    <w:r w:rsidRPr="00737802">
      <w:rPr>
        <w:rStyle w:val="PageNumber"/>
        <w:rFonts w:asciiTheme="minorHAnsi" w:hAnsiTheme="minorHAnsi"/>
      </w:rPr>
      <w:br/>
    </w:r>
    <w:r w:rsidRPr="0071484E">
      <w:rPr>
        <w:rStyle w:val="PageNumber"/>
        <w:rFonts w:ascii="Calibri" w:eastAsia="STKaiti" w:hint="eastAsia"/>
        <w:iCs/>
        <w:lang w:eastAsia="zh-CN"/>
      </w:rPr>
      <w:t>（</w:t>
    </w:r>
    <w:r w:rsidRPr="0071484E">
      <w:rPr>
        <w:rStyle w:val="PageNumber"/>
        <w:rFonts w:ascii="Calibri" w:hAnsi="Calibri"/>
        <w:lang w:eastAsia="zh-CN"/>
      </w:rPr>
      <w:t xml:space="preserve">1.1 – </w:t>
    </w:r>
    <w:r w:rsidRPr="0071484E">
      <w:rPr>
        <w:rFonts w:ascii="Calibri" w:hint="eastAsia"/>
        <w:lang w:eastAsia="zh-CN"/>
      </w:rPr>
      <w:t>预算</w:t>
    </w:r>
    <w:r w:rsidRPr="0071484E">
      <w:rPr>
        <w:rStyle w:val="PageNumber"/>
        <w:rFonts w:ascii="Calibri" w:eastAsia="STKaiti" w:hint="eastAsia"/>
        <w:iCs/>
        <w:lang w:eastAsia="zh-CN"/>
      </w:rPr>
      <w: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EF" w14:textId="5CFEB585" w:rsidR="000B642F" w:rsidRPr="00C45305" w:rsidRDefault="000B642F" w:rsidP="00147619">
    <w:pPr>
      <w:pStyle w:val="Header"/>
      <w:rPr>
        <w:rFonts w:ascii="Calibri" w:hAnsi="Calibri"/>
        <w:lang w:val="en-US"/>
      </w:rPr>
    </w:pPr>
    <w:r>
      <w:rPr>
        <w:rStyle w:val="PageNumber"/>
        <w:rFonts w:ascii="Calibri" w:hAnsi="Calibri"/>
      </w:rPr>
      <w:t>–</w:t>
    </w:r>
    <w:r w:rsidRPr="0071484E">
      <w:rPr>
        <w:rStyle w:val="PageNumber"/>
        <w:rFonts w:ascii="Calibri" w:hAnsi="Calibri"/>
      </w:rPr>
      <w:t xml:space="preserve"> </w:t>
    </w:r>
    <w:r w:rsidRPr="0071484E">
      <w:rPr>
        <w:rStyle w:val="PageNumber"/>
        <w:rFonts w:ascii="Calibri" w:hAnsi="Calibri"/>
      </w:rPr>
      <w:fldChar w:fldCharType="begin"/>
    </w:r>
    <w:r w:rsidRPr="0071484E">
      <w:rPr>
        <w:rStyle w:val="PageNumber"/>
        <w:rFonts w:ascii="Calibri" w:hAnsi="Calibri"/>
      </w:rPr>
      <w:instrText xml:space="preserve"> PAGE </w:instrText>
    </w:r>
    <w:r w:rsidRPr="0071484E">
      <w:rPr>
        <w:rStyle w:val="PageNumber"/>
        <w:rFonts w:ascii="Calibri" w:hAnsi="Calibri"/>
      </w:rPr>
      <w:fldChar w:fldCharType="separate"/>
    </w:r>
    <w:r>
      <w:rPr>
        <w:rStyle w:val="PageNumber"/>
        <w:rFonts w:ascii="Calibri" w:hAnsi="Calibri"/>
        <w:noProof/>
      </w:rPr>
      <w:t>40</w:t>
    </w:r>
    <w:r w:rsidRPr="0071484E">
      <w:rPr>
        <w:rStyle w:val="PageNumber"/>
        <w:rFonts w:ascii="Calibri" w:hAnsi="Calibri"/>
      </w:rPr>
      <w:fldChar w:fldCharType="end"/>
    </w:r>
    <w:r w:rsidRPr="0071484E">
      <w:rPr>
        <w:rStyle w:val="PageNumber"/>
        <w:rFonts w:ascii="Calibri" w:hAnsi="Calibri"/>
      </w:rPr>
      <w:t xml:space="preserve"> </w:t>
    </w:r>
    <w:r>
      <w:rPr>
        <w:rStyle w:val="PageNumber"/>
        <w:rFonts w:ascii="Calibri" w:hAnsi="Calibri"/>
      </w:rPr>
      <w:t>–</w:t>
    </w:r>
    <w:r w:rsidRPr="0071484E">
      <w:rPr>
        <w:rStyle w:val="PageNumber"/>
        <w:rFonts w:ascii="Calibri" w:hAnsi="Calibri"/>
      </w:rPr>
      <w:br/>
    </w:r>
    <w:r w:rsidR="003A0E78" w:rsidRPr="0071484E">
      <w:rPr>
        <w:rStyle w:val="PageNumber"/>
        <w:rFonts w:ascii="Calibri" w:eastAsia="STKaiti" w:hint="eastAsia"/>
        <w:iCs/>
        <w:lang w:eastAsia="zh-CN"/>
      </w:rPr>
      <w:t>（</w:t>
    </w:r>
    <w:r w:rsidR="003A0E78" w:rsidRPr="0071484E">
      <w:rPr>
        <w:rStyle w:val="PageNumber"/>
        <w:rFonts w:ascii="Calibri" w:hAnsi="Calibri"/>
        <w:lang w:eastAsia="zh-CN"/>
      </w:rPr>
      <w:t xml:space="preserve">1.1 – </w:t>
    </w:r>
    <w:r w:rsidR="003A0E78" w:rsidRPr="0071484E">
      <w:rPr>
        <w:rFonts w:ascii="Calibri" w:hint="eastAsia"/>
        <w:lang w:eastAsia="zh-CN"/>
      </w:rPr>
      <w:t>预算</w:t>
    </w:r>
    <w:r w:rsidR="003A0E78" w:rsidRPr="0071484E">
      <w:rPr>
        <w:rStyle w:val="PageNumber"/>
        <w:rFonts w:ascii="Calibri" w:eastAsia="STKaiti" w:hint="eastAsia"/>
        <w:iCs/>
        <w:lang w:eastAsia="zh-CN"/>
      </w:rPr>
      <w: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F0" w14:textId="7113EAD1" w:rsidR="000B642F" w:rsidRPr="00F7210C" w:rsidRDefault="000B642F" w:rsidP="00D51C53">
    <w:pPr>
      <w:pStyle w:val="Header"/>
    </w:pPr>
    <w:r>
      <w:rPr>
        <w:lang w:val="en-US"/>
      </w:rPr>
      <w:t>–</w:t>
    </w:r>
    <w:r w:rsidRPr="00737802">
      <w:rPr>
        <w:lang w:val="en-US"/>
      </w:rPr>
      <w:t xml:space="preserve"> </w:t>
    </w:r>
    <w:r w:rsidRPr="00737802">
      <w:rPr>
        <w:rStyle w:val="PageNumber"/>
        <w:rFonts w:asciiTheme="minorHAnsi" w:hAnsiTheme="minorHAnsi"/>
      </w:rPr>
      <w:fldChar w:fldCharType="begin"/>
    </w:r>
    <w:r w:rsidRPr="00737802">
      <w:rPr>
        <w:rStyle w:val="PageNumber"/>
        <w:rFonts w:asciiTheme="minorHAnsi" w:hAnsiTheme="minorHAnsi"/>
      </w:rPr>
      <w:instrText xml:space="preserve"> PAGE </w:instrText>
    </w:r>
    <w:r w:rsidRPr="00737802">
      <w:rPr>
        <w:rStyle w:val="PageNumber"/>
        <w:rFonts w:asciiTheme="minorHAnsi" w:hAnsiTheme="minorHAnsi"/>
      </w:rPr>
      <w:fldChar w:fldCharType="separate"/>
    </w:r>
    <w:r>
      <w:rPr>
        <w:rStyle w:val="PageNumber"/>
        <w:rFonts w:asciiTheme="minorHAnsi" w:hAnsiTheme="minorHAnsi"/>
        <w:noProof/>
      </w:rPr>
      <w:t>41</w:t>
    </w:r>
    <w:r w:rsidRPr="00737802">
      <w:rPr>
        <w:rStyle w:val="PageNumber"/>
        <w:rFonts w:asciiTheme="minorHAnsi" w:hAnsiTheme="minorHAnsi"/>
      </w:rPr>
      <w:fldChar w:fldCharType="end"/>
    </w:r>
    <w:r w:rsidRPr="00737802">
      <w:rPr>
        <w:rStyle w:val="PageNumber"/>
        <w:rFonts w:asciiTheme="minorHAnsi" w:hAnsiTheme="minorHAnsi"/>
      </w:rPr>
      <w:t xml:space="preserve"> </w:t>
    </w:r>
    <w:r>
      <w:rPr>
        <w:rStyle w:val="PageNumber"/>
        <w:rFonts w:asciiTheme="minorHAnsi" w:hAnsiTheme="minorHAnsi"/>
      </w:rPr>
      <w:t>–</w:t>
    </w:r>
    <w:r w:rsidRPr="00737802">
      <w:rPr>
        <w:rStyle w:val="PageNumber"/>
        <w:rFonts w:asciiTheme="minorHAnsi" w:hAnsiTheme="minorHAnsi"/>
      </w:rPr>
      <w:br/>
    </w:r>
    <w:r w:rsidR="00845AFF" w:rsidRPr="0071484E">
      <w:rPr>
        <w:rStyle w:val="PageNumber"/>
        <w:rFonts w:ascii="Calibri" w:eastAsia="STKaiti" w:hint="eastAsia"/>
        <w:iCs/>
        <w:lang w:eastAsia="zh-CN"/>
      </w:rPr>
      <w:t>（</w:t>
    </w:r>
    <w:r w:rsidR="00845AFF" w:rsidRPr="0071484E">
      <w:rPr>
        <w:rStyle w:val="PageNumber"/>
        <w:rFonts w:ascii="Calibri" w:hAnsi="Calibri"/>
        <w:lang w:eastAsia="zh-CN"/>
      </w:rPr>
      <w:t xml:space="preserve">1.1 – </w:t>
    </w:r>
    <w:r w:rsidR="00845AFF" w:rsidRPr="0071484E">
      <w:rPr>
        <w:rFonts w:ascii="Calibri" w:hint="eastAsia"/>
        <w:lang w:eastAsia="zh-CN"/>
      </w:rPr>
      <w:t>预算</w:t>
    </w:r>
    <w:r w:rsidR="00845AFF" w:rsidRPr="0071484E">
      <w:rPr>
        <w:rStyle w:val="PageNumber"/>
        <w:rFonts w:ascii="Calibri" w:eastAsia="STKaiti" w:hint="eastAsia"/>
        <w:iCs/>
        <w:lang w:eastAsia="zh-CN"/>
      </w:rPr>
      <w: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F1" w14:textId="30656E0C" w:rsidR="000B642F" w:rsidRPr="00B47974" w:rsidRDefault="000B642F" w:rsidP="008B3975">
    <w:pPr>
      <w:pStyle w:val="Header"/>
      <w:rPr>
        <w:lang w:val="en-US"/>
      </w:rPr>
    </w:pPr>
    <w:r>
      <w:rPr>
        <w:lang w:val="en-US"/>
      </w:rPr>
      <w:t>–</w:t>
    </w:r>
    <w:r w:rsidRPr="00737802">
      <w:rPr>
        <w:lang w:val="en-US"/>
      </w:rPr>
      <w:t xml:space="preserve"> </w:t>
    </w:r>
    <w:r w:rsidRPr="00737802">
      <w:rPr>
        <w:rStyle w:val="PageNumber"/>
        <w:rFonts w:asciiTheme="minorHAnsi" w:hAnsiTheme="minorHAnsi"/>
      </w:rPr>
      <w:fldChar w:fldCharType="begin"/>
    </w:r>
    <w:r w:rsidRPr="00737802">
      <w:rPr>
        <w:rStyle w:val="PageNumber"/>
        <w:rFonts w:asciiTheme="minorHAnsi" w:hAnsiTheme="minorHAnsi"/>
      </w:rPr>
      <w:instrText xml:space="preserve"> PAGE </w:instrText>
    </w:r>
    <w:r w:rsidRPr="00737802">
      <w:rPr>
        <w:rStyle w:val="PageNumber"/>
        <w:rFonts w:asciiTheme="minorHAnsi" w:hAnsiTheme="minorHAnsi"/>
      </w:rPr>
      <w:fldChar w:fldCharType="separate"/>
    </w:r>
    <w:r>
      <w:rPr>
        <w:rStyle w:val="PageNumber"/>
        <w:rFonts w:asciiTheme="minorHAnsi" w:hAnsiTheme="minorHAnsi"/>
        <w:noProof/>
      </w:rPr>
      <w:t>30</w:t>
    </w:r>
    <w:r w:rsidRPr="00737802">
      <w:rPr>
        <w:rStyle w:val="PageNumber"/>
        <w:rFonts w:asciiTheme="minorHAnsi" w:hAnsiTheme="minorHAnsi"/>
      </w:rPr>
      <w:fldChar w:fldCharType="end"/>
    </w:r>
    <w:r w:rsidRPr="00737802">
      <w:rPr>
        <w:rStyle w:val="PageNumber"/>
        <w:rFonts w:asciiTheme="minorHAnsi" w:hAnsiTheme="minorHAnsi"/>
      </w:rPr>
      <w:t xml:space="preserve"> </w:t>
    </w:r>
    <w:r>
      <w:rPr>
        <w:rStyle w:val="PageNumber"/>
        <w:rFonts w:asciiTheme="minorHAnsi" w:hAnsiTheme="minorHAnsi"/>
      </w:rPr>
      <w:t>–</w:t>
    </w:r>
    <w:r w:rsidRPr="00737802">
      <w:rPr>
        <w:rStyle w:val="PageNumber"/>
        <w:rFonts w:asciiTheme="minorHAnsi" w:hAnsiTheme="minorHAnsi"/>
      </w:rPr>
      <w:br/>
    </w:r>
    <w:r w:rsidR="00845AFF" w:rsidRPr="0071484E">
      <w:rPr>
        <w:rStyle w:val="PageNumber"/>
        <w:rFonts w:ascii="Calibri" w:eastAsia="STKaiti" w:hint="eastAsia"/>
        <w:iCs/>
        <w:lang w:eastAsia="zh-CN"/>
      </w:rPr>
      <w:t>（</w:t>
    </w:r>
    <w:r w:rsidR="00845AFF" w:rsidRPr="0071484E">
      <w:rPr>
        <w:rStyle w:val="PageNumber"/>
        <w:rFonts w:ascii="Calibri" w:hAnsi="Calibri"/>
        <w:lang w:eastAsia="zh-CN"/>
      </w:rPr>
      <w:t xml:space="preserve">1.1 – </w:t>
    </w:r>
    <w:r w:rsidR="00845AFF" w:rsidRPr="0071484E">
      <w:rPr>
        <w:rFonts w:ascii="Calibri" w:hint="eastAsia"/>
        <w:lang w:eastAsia="zh-CN"/>
      </w:rPr>
      <w:t>预算</w:t>
    </w:r>
    <w:r w:rsidR="00845AFF" w:rsidRPr="0071484E">
      <w:rPr>
        <w:rStyle w:val="PageNumber"/>
        <w:rFonts w:ascii="Calibri" w:eastAsia="STKaiti" w:hint="eastAsia"/>
        <w:iCs/>
        <w:lang w:eastAsia="zh-CN"/>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D0" w14:textId="77777777" w:rsidR="000B642F" w:rsidRPr="000E1297" w:rsidRDefault="000B642F" w:rsidP="00CD1443">
    <w:pPr>
      <w:pStyle w:val="Header"/>
      <w:spacing w:before="240"/>
      <w:rPr>
        <w:rFonts w:eastAsia="SimSun"/>
        <w:b/>
        <w:sz w:val="24"/>
        <w:szCs w:val="24"/>
        <w:lang w:eastAsia="zh-CN"/>
      </w:rPr>
    </w:pPr>
    <w:r w:rsidRPr="000E1297">
      <w:rPr>
        <w:rFonts w:eastAsia="SimSun" w:hint="eastAsia"/>
        <w:b/>
        <w:spacing w:val="1468"/>
        <w:sz w:val="24"/>
        <w:szCs w:val="24"/>
        <w:fitText w:val="8789" w:id="-1143750399"/>
        <w:lang w:eastAsia="zh-CN"/>
      </w:rPr>
      <w:t>国际电信联</w:t>
    </w:r>
    <w:r w:rsidRPr="000E1297">
      <w:rPr>
        <w:rFonts w:eastAsia="SimSun" w:hint="eastAsia"/>
        <w:b/>
        <w:spacing w:val="4"/>
        <w:sz w:val="24"/>
        <w:szCs w:val="24"/>
        <w:fitText w:val="8789" w:id="-1143750399"/>
        <w:lang w:eastAsia="zh-CN"/>
      </w:rPr>
      <w:t>盟</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7A4FE" w14:textId="7477B4C7" w:rsidR="006C2C5E" w:rsidRPr="00B47974" w:rsidRDefault="006C2C5E" w:rsidP="008B3975">
    <w:pPr>
      <w:pStyle w:val="Header"/>
      <w:rPr>
        <w:lang w:val="en-US"/>
      </w:rPr>
    </w:pPr>
    <w:r>
      <w:rPr>
        <w:lang w:val="en-US"/>
      </w:rPr>
      <w:t>–</w:t>
    </w:r>
    <w:r w:rsidRPr="00737802">
      <w:rPr>
        <w:lang w:val="en-US"/>
      </w:rPr>
      <w:t xml:space="preserve"> </w:t>
    </w:r>
    <w:r w:rsidRPr="00737802">
      <w:rPr>
        <w:rStyle w:val="PageNumber"/>
        <w:rFonts w:asciiTheme="minorHAnsi" w:hAnsiTheme="minorHAnsi"/>
      </w:rPr>
      <w:fldChar w:fldCharType="begin"/>
    </w:r>
    <w:r w:rsidRPr="00737802">
      <w:rPr>
        <w:rStyle w:val="PageNumber"/>
        <w:rFonts w:asciiTheme="minorHAnsi" w:hAnsiTheme="minorHAnsi"/>
      </w:rPr>
      <w:instrText xml:space="preserve"> PAGE </w:instrText>
    </w:r>
    <w:r w:rsidRPr="00737802">
      <w:rPr>
        <w:rStyle w:val="PageNumber"/>
        <w:rFonts w:asciiTheme="minorHAnsi" w:hAnsiTheme="minorHAnsi"/>
      </w:rPr>
      <w:fldChar w:fldCharType="separate"/>
    </w:r>
    <w:r>
      <w:rPr>
        <w:rStyle w:val="PageNumber"/>
        <w:rFonts w:asciiTheme="minorHAnsi" w:hAnsiTheme="minorHAnsi"/>
        <w:noProof/>
      </w:rPr>
      <w:t>30</w:t>
    </w:r>
    <w:r w:rsidRPr="00737802">
      <w:rPr>
        <w:rStyle w:val="PageNumber"/>
        <w:rFonts w:asciiTheme="minorHAnsi" w:hAnsiTheme="minorHAnsi"/>
      </w:rPr>
      <w:fldChar w:fldCharType="end"/>
    </w:r>
    <w:r w:rsidRPr="00737802">
      <w:rPr>
        <w:rStyle w:val="PageNumber"/>
        <w:rFonts w:asciiTheme="minorHAnsi" w:hAnsiTheme="minorHAnsi"/>
      </w:rPr>
      <w:t xml:space="preserve"> </w:t>
    </w:r>
    <w:r>
      <w:rPr>
        <w:rStyle w:val="PageNumber"/>
        <w:rFonts w:asciiTheme="minorHAnsi" w:hAnsiTheme="minorHAnsi"/>
      </w:rPr>
      <w:t>–</w:t>
    </w:r>
    <w:r w:rsidRPr="00737802">
      <w:rPr>
        <w:rStyle w:val="PageNumber"/>
        <w:rFonts w:asciiTheme="minorHAnsi" w:hAnsiTheme="minorHAnsi"/>
      </w:rPr>
      <w:br/>
    </w:r>
    <w:r w:rsidR="00845AFF" w:rsidRPr="0071484E">
      <w:rPr>
        <w:rStyle w:val="PageNumber"/>
        <w:rFonts w:ascii="Calibri" w:eastAsia="STKaiti" w:hint="eastAsia"/>
        <w:iCs/>
        <w:lang w:eastAsia="zh-CN"/>
      </w:rPr>
      <w:t>（</w:t>
    </w:r>
    <w:r w:rsidR="00845AFF" w:rsidRPr="0071484E">
      <w:rPr>
        <w:rStyle w:val="PageNumber"/>
        <w:rFonts w:ascii="Calibri" w:hAnsi="Calibri"/>
        <w:lang w:eastAsia="zh-CN"/>
      </w:rPr>
      <w:t xml:space="preserve">1.1 – </w:t>
    </w:r>
    <w:r w:rsidR="00845AFF" w:rsidRPr="0071484E">
      <w:rPr>
        <w:rFonts w:ascii="Calibri" w:hint="eastAsia"/>
        <w:lang w:eastAsia="zh-CN"/>
      </w:rPr>
      <w:t>预算</w:t>
    </w:r>
    <w:r w:rsidR="00845AFF" w:rsidRPr="0071484E">
      <w:rPr>
        <w:rStyle w:val="PageNumber"/>
        <w:rFonts w:ascii="Calibri" w:eastAsia="STKaiti" w:hint="eastAsia"/>
        <w:iCs/>
        <w:lang w:eastAsia="zh-CN"/>
      </w:rPr>
      <w: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3922E" w14:textId="3F0DAAD0" w:rsidR="00965874" w:rsidRPr="00C45305" w:rsidRDefault="00965874" w:rsidP="00147619">
    <w:pPr>
      <w:pStyle w:val="Header"/>
      <w:rPr>
        <w:rFonts w:ascii="Calibri" w:hAnsi="Calibri"/>
        <w:lang w:val="en-US"/>
      </w:rPr>
    </w:pPr>
    <w:r>
      <w:rPr>
        <w:rStyle w:val="PageNumber"/>
        <w:rFonts w:ascii="Calibri" w:hAnsi="Calibri"/>
      </w:rPr>
      <w:t>–</w:t>
    </w:r>
    <w:r w:rsidRPr="0071484E">
      <w:rPr>
        <w:rStyle w:val="PageNumber"/>
        <w:rFonts w:ascii="Calibri" w:hAnsi="Calibri"/>
      </w:rPr>
      <w:t xml:space="preserve"> </w:t>
    </w:r>
    <w:r w:rsidRPr="0071484E">
      <w:rPr>
        <w:rStyle w:val="PageNumber"/>
        <w:rFonts w:ascii="Calibri" w:hAnsi="Calibri"/>
      </w:rPr>
      <w:fldChar w:fldCharType="begin"/>
    </w:r>
    <w:r w:rsidRPr="0071484E">
      <w:rPr>
        <w:rStyle w:val="PageNumber"/>
        <w:rFonts w:ascii="Calibri" w:hAnsi="Calibri"/>
      </w:rPr>
      <w:instrText xml:space="preserve"> PAGE </w:instrText>
    </w:r>
    <w:r w:rsidRPr="0071484E">
      <w:rPr>
        <w:rStyle w:val="PageNumber"/>
        <w:rFonts w:ascii="Calibri" w:hAnsi="Calibri"/>
      </w:rPr>
      <w:fldChar w:fldCharType="separate"/>
    </w:r>
    <w:r>
      <w:rPr>
        <w:rStyle w:val="PageNumber"/>
        <w:rFonts w:ascii="Calibri" w:hAnsi="Calibri"/>
        <w:noProof/>
      </w:rPr>
      <w:t>40</w:t>
    </w:r>
    <w:r w:rsidRPr="0071484E">
      <w:rPr>
        <w:rStyle w:val="PageNumber"/>
        <w:rFonts w:ascii="Calibri" w:hAnsi="Calibri"/>
      </w:rPr>
      <w:fldChar w:fldCharType="end"/>
    </w:r>
    <w:r w:rsidRPr="0071484E">
      <w:rPr>
        <w:rStyle w:val="PageNumber"/>
        <w:rFonts w:ascii="Calibri" w:hAnsi="Calibri"/>
      </w:rPr>
      <w:t xml:space="preserve"> </w:t>
    </w:r>
    <w:r>
      <w:rPr>
        <w:rStyle w:val="PageNumber"/>
        <w:rFonts w:ascii="Calibri" w:hAnsi="Calibri"/>
      </w:rPr>
      <w:t>–</w:t>
    </w:r>
    <w:r w:rsidRPr="0071484E">
      <w:rPr>
        <w:rStyle w:val="PageNumber"/>
        <w:rFonts w:ascii="Calibri" w:hAnsi="Calibri"/>
      </w:rPr>
      <w:br/>
    </w:r>
    <w:r w:rsidRPr="0071484E">
      <w:rPr>
        <w:rStyle w:val="PageNumber"/>
        <w:rFonts w:ascii="Calibri" w:eastAsia="STKaiti" w:hint="eastAsia"/>
        <w:iCs/>
        <w:lang w:eastAsia="zh-CN"/>
      </w:rPr>
      <w:t>（</w:t>
    </w:r>
    <w:r w:rsidRPr="00163E5C">
      <w:rPr>
        <w:rStyle w:val="PageNumber"/>
        <w:rFonts w:ascii="Calibri" w:hAnsi="Calibri"/>
        <w:szCs w:val="18"/>
        <w:lang w:eastAsia="zh-CN"/>
      </w:rPr>
      <w:t>1.</w:t>
    </w:r>
    <w:r w:rsidRPr="00163E5C">
      <w:rPr>
        <w:rStyle w:val="PageNumber"/>
        <w:rFonts w:ascii="Calibri" w:hAnsi="Calibri" w:hint="eastAsia"/>
        <w:szCs w:val="18"/>
        <w:lang w:eastAsia="zh-CN"/>
      </w:rPr>
      <w:t>2</w:t>
    </w:r>
    <w:r w:rsidRPr="00163E5C">
      <w:rPr>
        <w:rStyle w:val="PageNumber"/>
        <w:rFonts w:ascii="Calibri" w:hAnsi="Calibri"/>
        <w:szCs w:val="18"/>
        <w:lang w:eastAsia="zh-CN"/>
      </w:rPr>
      <w:t xml:space="preserve"> – </w:t>
    </w:r>
    <w:r w:rsidRPr="00163E5C">
      <w:rPr>
        <w:rStyle w:val="PageNumber"/>
        <w:rFonts w:ascii="Calibri" w:eastAsia="STKaiti" w:hint="eastAsia"/>
        <w:szCs w:val="18"/>
        <w:lang w:eastAsia="zh-CN"/>
      </w:rPr>
      <w:t>其它财务事宜</w:t>
    </w:r>
    <w:r w:rsidRPr="0071484E">
      <w:rPr>
        <w:rStyle w:val="PageNumber"/>
        <w:rFonts w:ascii="Calibri" w:eastAsia="STKaiti" w:hint="eastAsia"/>
        <w:iCs/>
        <w:lang w:eastAsia="zh-CN"/>
      </w:rPr>
      <w: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D0A39" w14:textId="5F6EF78A" w:rsidR="00411719" w:rsidRPr="00F7210C" w:rsidRDefault="00411719" w:rsidP="00D51C53">
    <w:pPr>
      <w:pStyle w:val="Header"/>
    </w:pPr>
    <w:r>
      <w:rPr>
        <w:lang w:val="en-US"/>
      </w:rPr>
      <w:t>–</w:t>
    </w:r>
    <w:r w:rsidRPr="00737802">
      <w:rPr>
        <w:lang w:val="en-US"/>
      </w:rPr>
      <w:t xml:space="preserve"> </w:t>
    </w:r>
    <w:r w:rsidRPr="00737802">
      <w:rPr>
        <w:rStyle w:val="PageNumber"/>
        <w:rFonts w:asciiTheme="minorHAnsi" w:hAnsiTheme="minorHAnsi"/>
      </w:rPr>
      <w:fldChar w:fldCharType="begin"/>
    </w:r>
    <w:r w:rsidRPr="00737802">
      <w:rPr>
        <w:rStyle w:val="PageNumber"/>
        <w:rFonts w:asciiTheme="minorHAnsi" w:hAnsiTheme="minorHAnsi"/>
      </w:rPr>
      <w:instrText xml:space="preserve"> PAGE </w:instrText>
    </w:r>
    <w:r w:rsidRPr="00737802">
      <w:rPr>
        <w:rStyle w:val="PageNumber"/>
        <w:rFonts w:asciiTheme="minorHAnsi" w:hAnsiTheme="minorHAnsi"/>
      </w:rPr>
      <w:fldChar w:fldCharType="separate"/>
    </w:r>
    <w:r>
      <w:rPr>
        <w:rStyle w:val="PageNumber"/>
        <w:rFonts w:asciiTheme="minorHAnsi" w:hAnsiTheme="minorHAnsi"/>
        <w:noProof/>
      </w:rPr>
      <w:t>41</w:t>
    </w:r>
    <w:r w:rsidRPr="00737802">
      <w:rPr>
        <w:rStyle w:val="PageNumber"/>
        <w:rFonts w:asciiTheme="minorHAnsi" w:hAnsiTheme="minorHAnsi"/>
      </w:rPr>
      <w:fldChar w:fldCharType="end"/>
    </w:r>
    <w:r w:rsidRPr="00737802">
      <w:rPr>
        <w:rStyle w:val="PageNumber"/>
        <w:rFonts w:asciiTheme="minorHAnsi" w:hAnsiTheme="minorHAnsi"/>
      </w:rPr>
      <w:t xml:space="preserve"> </w:t>
    </w:r>
    <w:r>
      <w:rPr>
        <w:rStyle w:val="PageNumber"/>
        <w:rFonts w:asciiTheme="minorHAnsi" w:hAnsiTheme="minorHAnsi"/>
      </w:rPr>
      <w:t>–</w:t>
    </w:r>
    <w:r w:rsidRPr="00737802">
      <w:rPr>
        <w:rStyle w:val="PageNumber"/>
        <w:rFonts w:asciiTheme="minorHAnsi" w:hAnsiTheme="minorHAnsi"/>
      </w:rPr>
      <w:br/>
    </w:r>
    <w:r w:rsidRPr="0071484E">
      <w:rPr>
        <w:rStyle w:val="PageNumber"/>
        <w:rFonts w:ascii="Calibri" w:eastAsia="STKaiti" w:hint="eastAsia"/>
        <w:iCs/>
        <w:lang w:eastAsia="zh-CN"/>
      </w:rPr>
      <w:t>（</w:t>
    </w:r>
    <w:r w:rsidRPr="00163E5C">
      <w:rPr>
        <w:rStyle w:val="PageNumber"/>
        <w:rFonts w:ascii="Calibri" w:hAnsi="Calibri"/>
        <w:szCs w:val="18"/>
        <w:lang w:eastAsia="zh-CN"/>
      </w:rPr>
      <w:t>1.</w:t>
    </w:r>
    <w:r w:rsidRPr="00163E5C">
      <w:rPr>
        <w:rStyle w:val="PageNumber"/>
        <w:rFonts w:ascii="Calibri" w:hAnsi="Calibri" w:hint="eastAsia"/>
        <w:szCs w:val="18"/>
        <w:lang w:eastAsia="zh-CN"/>
      </w:rPr>
      <w:t>2</w:t>
    </w:r>
    <w:r w:rsidRPr="00163E5C">
      <w:rPr>
        <w:rStyle w:val="PageNumber"/>
        <w:rFonts w:ascii="Calibri" w:hAnsi="Calibri"/>
        <w:szCs w:val="18"/>
        <w:lang w:eastAsia="zh-CN"/>
      </w:rPr>
      <w:t xml:space="preserve"> – </w:t>
    </w:r>
    <w:r w:rsidRPr="00163E5C">
      <w:rPr>
        <w:rStyle w:val="PageNumber"/>
        <w:rFonts w:ascii="Calibri" w:eastAsia="STKaiti" w:hint="eastAsia"/>
        <w:szCs w:val="18"/>
        <w:lang w:eastAsia="zh-CN"/>
      </w:rPr>
      <w:t>其它财务事宜</w:t>
    </w:r>
    <w:r w:rsidRPr="0071484E">
      <w:rPr>
        <w:rStyle w:val="PageNumber"/>
        <w:rFonts w:ascii="Calibri" w:eastAsia="STKaiti" w:hint="eastAsia"/>
        <w:iCs/>
        <w:lang w:eastAsia="zh-CN"/>
      </w:rPr>
      <w: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92D59" w14:textId="77777777" w:rsidR="006C2C5E" w:rsidRPr="00B47974" w:rsidRDefault="006C2C5E" w:rsidP="008B3975">
    <w:pPr>
      <w:pStyle w:val="Header"/>
      <w:rPr>
        <w:lang w:val="en-US"/>
      </w:rPr>
    </w:pPr>
    <w:r>
      <w:rPr>
        <w:lang w:val="en-US"/>
      </w:rPr>
      <w:t>–</w:t>
    </w:r>
    <w:r w:rsidRPr="00737802">
      <w:rPr>
        <w:lang w:val="en-US"/>
      </w:rPr>
      <w:t xml:space="preserve"> </w:t>
    </w:r>
    <w:r w:rsidRPr="00737802">
      <w:rPr>
        <w:rStyle w:val="PageNumber"/>
        <w:rFonts w:asciiTheme="minorHAnsi" w:hAnsiTheme="minorHAnsi"/>
      </w:rPr>
      <w:fldChar w:fldCharType="begin"/>
    </w:r>
    <w:r w:rsidRPr="00737802">
      <w:rPr>
        <w:rStyle w:val="PageNumber"/>
        <w:rFonts w:asciiTheme="minorHAnsi" w:hAnsiTheme="minorHAnsi"/>
      </w:rPr>
      <w:instrText xml:space="preserve"> PAGE </w:instrText>
    </w:r>
    <w:r w:rsidRPr="00737802">
      <w:rPr>
        <w:rStyle w:val="PageNumber"/>
        <w:rFonts w:asciiTheme="minorHAnsi" w:hAnsiTheme="minorHAnsi"/>
      </w:rPr>
      <w:fldChar w:fldCharType="separate"/>
    </w:r>
    <w:r>
      <w:rPr>
        <w:rStyle w:val="PageNumber"/>
        <w:rFonts w:asciiTheme="minorHAnsi" w:hAnsiTheme="minorHAnsi"/>
        <w:noProof/>
      </w:rPr>
      <w:t>30</w:t>
    </w:r>
    <w:r w:rsidRPr="00737802">
      <w:rPr>
        <w:rStyle w:val="PageNumber"/>
        <w:rFonts w:asciiTheme="minorHAnsi" w:hAnsiTheme="minorHAnsi"/>
      </w:rPr>
      <w:fldChar w:fldCharType="end"/>
    </w:r>
    <w:r w:rsidRPr="00737802">
      <w:rPr>
        <w:rStyle w:val="PageNumber"/>
        <w:rFonts w:asciiTheme="minorHAnsi" w:hAnsiTheme="minorHAnsi"/>
      </w:rPr>
      <w:t xml:space="preserve"> </w:t>
    </w:r>
    <w:r>
      <w:rPr>
        <w:rStyle w:val="PageNumber"/>
        <w:rFonts w:asciiTheme="minorHAnsi" w:hAnsiTheme="minorHAnsi"/>
      </w:rPr>
      <w:t>–</w:t>
    </w:r>
    <w:r w:rsidRPr="00737802">
      <w:rPr>
        <w:rStyle w:val="PageNumber"/>
        <w:rFonts w:asciiTheme="minorHAnsi" w:hAnsiTheme="minorHAnsi"/>
      </w:rPr>
      <w:br/>
    </w:r>
    <w:r w:rsidRPr="0071484E">
      <w:rPr>
        <w:rStyle w:val="PageNumber"/>
        <w:rFonts w:ascii="Calibri" w:eastAsia="STKaiti" w:hint="eastAsia"/>
        <w:iCs/>
        <w:lang w:eastAsia="zh-CN"/>
      </w:rPr>
      <w:t>（</w:t>
    </w:r>
    <w:r w:rsidRPr="00163E5C">
      <w:rPr>
        <w:rStyle w:val="PageNumber"/>
        <w:rFonts w:ascii="Calibri" w:hAnsi="Calibri"/>
        <w:szCs w:val="18"/>
        <w:lang w:eastAsia="zh-CN"/>
      </w:rPr>
      <w:t>1.</w:t>
    </w:r>
    <w:r w:rsidRPr="00163E5C">
      <w:rPr>
        <w:rStyle w:val="PageNumber"/>
        <w:rFonts w:ascii="Calibri" w:hAnsi="Calibri" w:hint="eastAsia"/>
        <w:szCs w:val="18"/>
        <w:lang w:eastAsia="zh-CN"/>
      </w:rPr>
      <w:t>2</w:t>
    </w:r>
    <w:r w:rsidRPr="00163E5C">
      <w:rPr>
        <w:rStyle w:val="PageNumber"/>
        <w:rFonts w:ascii="Calibri" w:hAnsi="Calibri"/>
        <w:szCs w:val="18"/>
        <w:lang w:eastAsia="zh-CN"/>
      </w:rPr>
      <w:t xml:space="preserve"> – </w:t>
    </w:r>
    <w:r w:rsidRPr="00163E5C">
      <w:rPr>
        <w:rStyle w:val="PageNumber"/>
        <w:rFonts w:ascii="Calibri" w:eastAsia="STKaiti" w:hint="eastAsia"/>
        <w:szCs w:val="18"/>
        <w:lang w:eastAsia="zh-CN"/>
      </w:rPr>
      <w:t>其它财务事宜</w:t>
    </w:r>
    <w:r w:rsidRPr="0071484E">
      <w:rPr>
        <w:rStyle w:val="PageNumber"/>
        <w:rFonts w:ascii="Calibri" w:eastAsia="STKaiti" w:hint="eastAsia"/>
        <w:iCs/>
        <w:lang w:eastAsia="zh-CN"/>
      </w:rPr>
      <w: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F2" w14:textId="77777777" w:rsidR="000B642F" w:rsidRDefault="000B642F" w:rsidP="00BC7E7B">
    <w:pPr>
      <w:pStyle w:val="Header"/>
    </w:pPr>
    <w:r>
      <w:rPr>
        <w:lang w:val="en-US"/>
      </w:rPr>
      <w:t>–</w:t>
    </w:r>
    <w:r w:rsidRPr="00737802">
      <w:rPr>
        <w:lang w:val="en-US"/>
      </w:rPr>
      <w:t xml:space="preserve"> </w:t>
    </w:r>
    <w:r w:rsidRPr="00737802">
      <w:rPr>
        <w:rStyle w:val="PageNumber"/>
        <w:rFonts w:asciiTheme="minorHAnsi" w:hAnsiTheme="minorHAnsi"/>
      </w:rPr>
      <w:fldChar w:fldCharType="begin"/>
    </w:r>
    <w:r w:rsidRPr="00737802">
      <w:rPr>
        <w:rStyle w:val="PageNumber"/>
        <w:rFonts w:asciiTheme="minorHAnsi" w:hAnsiTheme="minorHAnsi"/>
      </w:rPr>
      <w:instrText xml:space="preserve"> PAGE </w:instrText>
    </w:r>
    <w:r w:rsidRPr="00737802">
      <w:rPr>
        <w:rStyle w:val="PageNumber"/>
        <w:rFonts w:asciiTheme="minorHAnsi" w:hAnsiTheme="minorHAnsi"/>
      </w:rPr>
      <w:fldChar w:fldCharType="separate"/>
    </w:r>
    <w:r>
      <w:rPr>
        <w:rStyle w:val="PageNumber"/>
        <w:rFonts w:asciiTheme="minorHAnsi" w:hAnsiTheme="minorHAnsi"/>
        <w:noProof/>
      </w:rPr>
      <w:t>54</w:t>
    </w:r>
    <w:r w:rsidRPr="00737802">
      <w:rPr>
        <w:rStyle w:val="PageNumber"/>
        <w:rFonts w:asciiTheme="minorHAnsi" w:hAnsiTheme="minorHAnsi"/>
      </w:rPr>
      <w:fldChar w:fldCharType="end"/>
    </w:r>
    <w:r w:rsidRPr="00737802">
      <w:rPr>
        <w:rStyle w:val="PageNumber"/>
        <w:rFonts w:asciiTheme="minorHAnsi" w:hAnsiTheme="minorHAnsi"/>
      </w:rPr>
      <w:t xml:space="preserve"> </w:t>
    </w:r>
    <w:r>
      <w:rPr>
        <w:rStyle w:val="PageNumber"/>
        <w:rFonts w:asciiTheme="minorHAnsi" w:hAnsiTheme="minorHAnsi"/>
      </w:rPr>
      <w:t>–</w:t>
    </w:r>
    <w:r w:rsidRPr="00737802">
      <w:rPr>
        <w:rStyle w:val="PageNumber"/>
        <w:rFonts w:asciiTheme="minorHAnsi" w:hAnsiTheme="minorHAnsi"/>
      </w:rPr>
      <w:br/>
    </w:r>
    <w:r w:rsidRPr="0071484E">
      <w:rPr>
        <w:rStyle w:val="PageNumber"/>
        <w:rFonts w:ascii="Calibri" w:eastAsia="STKaiti" w:hint="eastAsia"/>
        <w:iCs/>
        <w:lang w:eastAsia="zh-CN"/>
      </w:rPr>
      <w:t>（</w:t>
    </w:r>
    <w:r w:rsidRPr="00163E5C">
      <w:rPr>
        <w:rStyle w:val="PageNumber"/>
        <w:rFonts w:ascii="Calibri" w:hAnsi="Calibri"/>
        <w:szCs w:val="18"/>
        <w:lang w:eastAsia="zh-CN"/>
      </w:rPr>
      <w:t>1.</w:t>
    </w:r>
    <w:r w:rsidRPr="00163E5C">
      <w:rPr>
        <w:rStyle w:val="PageNumber"/>
        <w:rFonts w:ascii="Calibri" w:hAnsi="Calibri" w:hint="eastAsia"/>
        <w:szCs w:val="18"/>
        <w:lang w:eastAsia="zh-CN"/>
      </w:rPr>
      <w:t>2</w:t>
    </w:r>
    <w:r w:rsidRPr="00163E5C">
      <w:rPr>
        <w:rStyle w:val="PageNumber"/>
        <w:rFonts w:ascii="Calibri" w:hAnsi="Calibri"/>
        <w:szCs w:val="18"/>
        <w:lang w:eastAsia="zh-CN"/>
      </w:rPr>
      <w:t xml:space="preserve"> – </w:t>
    </w:r>
    <w:r w:rsidRPr="00163E5C">
      <w:rPr>
        <w:rStyle w:val="PageNumber"/>
        <w:rFonts w:ascii="Calibri" w:eastAsia="STKaiti" w:hint="eastAsia"/>
        <w:szCs w:val="18"/>
        <w:lang w:eastAsia="zh-CN"/>
      </w:rPr>
      <w:t>其它财务事宜</w:t>
    </w:r>
    <w:r w:rsidRPr="0071484E">
      <w:rPr>
        <w:rStyle w:val="PageNumber"/>
        <w:rFonts w:ascii="Calibri" w:eastAsia="STKaiti" w:hint="eastAsia"/>
        <w:iCs/>
        <w:lang w:eastAsia="zh-CN"/>
      </w:rPr>
      <w: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F3" w14:textId="77777777" w:rsidR="000B642F" w:rsidRDefault="000B642F" w:rsidP="00894D47">
    <w:pPr>
      <w:pStyle w:val="Header"/>
    </w:pPr>
    <w:r>
      <w:rPr>
        <w:lang w:val="en-US"/>
      </w:rPr>
      <w:t>–</w:t>
    </w:r>
    <w:r w:rsidRPr="00737802">
      <w:rPr>
        <w:lang w:val="en-US"/>
      </w:rPr>
      <w:t xml:space="preserve"> </w:t>
    </w:r>
    <w:r w:rsidRPr="00737802">
      <w:rPr>
        <w:rStyle w:val="PageNumber"/>
        <w:rFonts w:asciiTheme="minorHAnsi" w:hAnsiTheme="minorHAnsi"/>
      </w:rPr>
      <w:fldChar w:fldCharType="begin"/>
    </w:r>
    <w:r w:rsidRPr="00737802">
      <w:rPr>
        <w:rStyle w:val="PageNumber"/>
        <w:rFonts w:asciiTheme="minorHAnsi" w:hAnsiTheme="minorHAnsi"/>
      </w:rPr>
      <w:instrText xml:space="preserve"> PAGE </w:instrText>
    </w:r>
    <w:r w:rsidRPr="00737802">
      <w:rPr>
        <w:rStyle w:val="PageNumber"/>
        <w:rFonts w:asciiTheme="minorHAnsi" w:hAnsiTheme="minorHAnsi"/>
      </w:rPr>
      <w:fldChar w:fldCharType="separate"/>
    </w:r>
    <w:r>
      <w:rPr>
        <w:rStyle w:val="PageNumber"/>
        <w:rFonts w:asciiTheme="minorHAnsi" w:hAnsiTheme="minorHAnsi"/>
        <w:noProof/>
      </w:rPr>
      <w:t>53</w:t>
    </w:r>
    <w:r w:rsidRPr="00737802">
      <w:rPr>
        <w:rStyle w:val="PageNumber"/>
        <w:rFonts w:asciiTheme="minorHAnsi" w:hAnsiTheme="minorHAnsi"/>
      </w:rPr>
      <w:fldChar w:fldCharType="end"/>
    </w:r>
    <w:r w:rsidRPr="00737802">
      <w:rPr>
        <w:rStyle w:val="PageNumber"/>
        <w:rFonts w:asciiTheme="minorHAnsi" w:hAnsiTheme="minorHAnsi"/>
      </w:rPr>
      <w:t xml:space="preserve"> </w:t>
    </w:r>
    <w:r>
      <w:rPr>
        <w:rStyle w:val="PageNumber"/>
        <w:rFonts w:asciiTheme="minorHAnsi" w:hAnsiTheme="minorHAnsi"/>
      </w:rPr>
      <w:t>–</w:t>
    </w:r>
  </w:p>
  <w:p w14:paraId="4827C8F4" w14:textId="77777777" w:rsidR="000B642F" w:rsidRDefault="000B642F" w:rsidP="00490C62">
    <w:pPr>
      <w:pStyle w:val="Header"/>
    </w:pPr>
    <w:r w:rsidRPr="0071484E">
      <w:rPr>
        <w:rStyle w:val="PageNumber"/>
        <w:rFonts w:ascii="Calibri" w:eastAsia="STKaiti" w:hint="eastAsia"/>
        <w:iCs/>
        <w:lang w:eastAsia="zh-CN"/>
      </w:rPr>
      <w:t>（</w:t>
    </w:r>
    <w:r w:rsidRPr="00163E5C">
      <w:rPr>
        <w:rStyle w:val="PageNumber"/>
        <w:rFonts w:ascii="Calibri" w:hAnsi="Calibri"/>
        <w:szCs w:val="18"/>
        <w:lang w:eastAsia="zh-CN"/>
      </w:rPr>
      <w:t>1.</w:t>
    </w:r>
    <w:r w:rsidRPr="00163E5C">
      <w:rPr>
        <w:rStyle w:val="PageNumber"/>
        <w:rFonts w:ascii="Calibri" w:hAnsi="Calibri" w:hint="eastAsia"/>
        <w:szCs w:val="18"/>
        <w:lang w:eastAsia="zh-CN"/>
      </w:rPr>
      <w:t>2</w:t>
    </w:r>
    <w:r w:rsidRPr="00163E5C">
      <w:rPr>
        <w:rStyle w:val="PageNumber"/>
        <w:rFonts w:ascii="Calibri" w:hAnsi="Calibri"/>
        <w:szCs w:val="18"/>
        <w:lang w:eastAsia="zh-CN"/>
      </w:rPr>
      <w:t xml:space="preserve"> – </w:t>
    </w:r>
    <w:r w:rsidRPr="00163E5C">
      <w:rPr>
        <w:rStyle w:val="PageNumber"/>
        <w:rFonts w:ascii="Calibri" w:eastAsia="STKaiti" w:hint="eastAsia"/>
        <w:szCs w:val="18"/>
        <w:lang w:eastAsia="zh-CN"/>
      </w:rPr>
      <w:t>其它财务事宜</w:t>
    </w:r>
    <w:r w:rsidRPr="0071484E">
      <w:rPr>
        <w:rStyle w:val="PageNumber"/>
        <w:rFonts w:ascii="Calibri" w:eastAsia="STKaiti" w:hint="eastAsia"/>
        <w:iCs/>
        <w:lang w:eastAsia="zh-CN"/>
      </w:rPr>
      <w: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F6" w14:textId="77777777" w:rsidR="000B642F" w:rsidRPr="00060C2C" w:rsidRDefault="000B642F" w:rsidP="00BC7E7B">
    <w:pPr>
      <w:pStyle w:val="Header"/>
    </w:pPr>
    <w:r>
      <w:rPr>
        <w:lang w:val="en-US"/>
      </w:rPr>
      <w:t>–</w:t>
    </w:r>
    <w:r w:rsidRPr="00737802">
      <w:rPr>
        <w:lang w:val="en-US"/>
      </w:rPr>
      <w:t xml:space="preserve"> </w:t>
    </w:r>
    <w:r w:rsidRPr="00737802">
      <w:rPr>
        <w:rStyle w:val="PageNumber"/>
        <w:rFonts w:asciiTheme="minorHAnsi" w:hAnsiTheme="minorHAnsi"/>
      </w:rPr>
      <w:fldChar w:fldCharType="begin"/>
    </w:r>
    <w:r w:rsidRPr="00737802">
      <w:rPr>
        <w:rStyle w:val="PageNumber"/>
        <w:rFonts w:asciiTheme="minorHAnsi" w:hAnsiTheme="minorHAnsi"/>
      </w:rPr>
      <w:instrText xml:space="preserve"> PAGE </w:instrText>
    </w:r>
    <w:r w:rsidRPr="00737802">
      <w:rPr>
        <w:rStyle w:val="PageNumber"/>
        <w:rFonts w:asciiTheme="minorHAnsi" w:hAnsiTheme="minorHAnsi"/>
      </w:rPr>
      <w:fldChar w:fldCharType="separate"/>
    </w:r>
    <w:r>
      <w:rPr>
        <w:rStyle w:val="PageNumber"/>
        <w:rFonts w:asciiTheme="minorHAnsi" w:hAnsiTheme="minorHAnsi"/>
        <w:noProof/>
      </w:rPr>
      <w:t>42</w:t>
    </w:r>
    <w:r w:rsidRPr="00737802">
      <w:rPr>
        <w:rStyle w:val="PageNumber"/>
        <w:rFonts w:asciiTheme="minorHAnsi" w:hAnsiTheme="minorHAnsi"/>
      </w:rPr>
      <w:fldChar w:fldCharType="end"/>
    </w:r>
    <w:r w:rsidRPr="00737802">
      <w:rPr>
        <w:rStyle w:val="PageNumber"/>
        <w:rFonts w:asciiTheme="minorHAnsi" w:hAnsiTheme="minorHAnsi"/>
      </w:rPr>
      <w:t xml:space="preserve"> </w:t>
    </w:r>
    <w:r>
      <w:rPr>
        <w:rStyle w:val="PageNumber"/>
        <w:rFonts w:asciiTheme="minorHAnsi" w:hAnsiTheme="minorHAnsi"/>
      </w:rPr>
      <w:t>–</w:t>
    </w:r>
    <w:r w:rsidRPr="00737802">
      <w:rPr>
        <w:rStyle w:val="PageNumber"/>
        <w:rFonts w:asciiTheme="minorHAnsi" w:hAnsiTheme="minorHAnsi"/>
      </w:rPr>
      <w:br/>
    </w:r>
    <w:r w:rsidRPr="0071484E">
      <w:rPr>
        <w:rStyle w:val="PageNumber"/>
        <w:rFonts w:ascii="Calibri" w:eastAsia="STKaiti" w:hint="eastAsia"/>
        <w:iCs/>
        <w:lang w:eastAsia="zh-CN"/>
      </w:rPr>
      <w:t>（</w:t>
    </w:r>
    <w:r w:rsidRPr="00163E5C">
      <w:rPr>
        <w:rStyle w:val="PageNumber"/>
        <w:rFonts w:ascii="Calibri" w:hAnsi="Calibri"/>
        <w:szCs w:val="18"/>
        <w:lang w:eastAsia="zh-CN"/>
      </w:rPr>
      <w:t>1.</w:t>
    </w:r>
    <w:r w:rsidRPr="00163E5C">
      <w:rPr>
        <w:rStyle w:val="PageNumber"/>
        <w:rFonts w:ascii="Calibri" w:hAnsi="Calibri" w:hint="eastAsia"/>
        <w:szCs w:val="18"/>
        <w:lang w:eastAsia="zh-CN"/>
      </w:rPr>
      <w:t>2</w:t>
    </w:r>
    <w:r w:rsidRPr="00163E5C">
      <w:rPr>
        <w:rStyle w:val="PageNumber"/>
        <w:rFonts w:ascii="Calibri" w:hAnsi="Calibri"/>
        <w:szCs w:val="18"/>
        <w:lang w:eastAsia="zh-CN"/>
      </w:rPr>
      <w:t xml:space="preserve"> – </w:t>
    </w:r>
    <w:r w:rsidRPr="00163E5C">
      <w:rPr>
        <w:rStyle w:val="PageNumber"/>
        <w:rFonts w:ascii="Calibri" w:eastAsia="STKaiti" w:hint="eastAsia"/>
        <w:szCs w:val="18"/>
        <w:lang w:eastAsia="zh-CN"/>
      </w:rPr>
      <w:t>其它财务事宜</w:t>
    </w:r>
    <w:r w:rsidRPr="0071484E">
      <w:rPr>
        <w:rStyle w:val="PageNumber"/>
        <w:rFonts w:ascii="Calibri" w:eastAsia="STKaiti" w:hint="eastAsia"/>
        <w:iCs/>
        <w:lang w:eastAsia="zh-CN"/>
      </w:rPr>
      <w: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F8" w14:textId="77777777" w:rsidR="000B642F" w:rsidRDefault="000B642F" w:rsidP="00BC7E7B">
    <w:pPr>
      <w:pStyle w:val="Header"/>
    </w:pPr>
    <w:r>
      <w:rPr>
        <w:lang w:val="en-US"/>
      </w:rPr>
      <w:t>–</w:t>
    </w:r>
    <w:r w:rsidRPr="00737802">
      <w:rPr>
        <w:lang w:val="en-US"/>
      </w:rPr>
      <w:t xml:space="preserve"> </w:t>
    </w:r>
    <w:r w:rsidRPr="00737802">
      <w:rPr>
        <w:rStyle w:val="PageNumber"/>
        <w:rFonts w:asciiTheme="minorHAnsi" w:hAnsiTheme="minorHAnsi"/>
      </w:rPr>
      <w:fldChar w:fldCharType="begin"/>
    </w:r>
    <w:r w:rsidRPr="00737802">
      <w:rPr>
        <w:rStyle w:val="PageNumber"/>
        <w:rFonts w:asciiTheme="minorHAnsi" w:hAnsiTheme="minorHAnsi"/>
      </w:rPr>
      <w:instrText xml:space="preserve"> PAGE </w:instrText>
    </w:r>
    <w:r w:rsidRPr="00737802">
      <w:rPr>
        <w:rStyle w:val="PageNumber"/>
        <w:rFonts w:asciiTheme="minorHAnsi" w:hAnsiTheme="minorHAnsi"/>
      </w:rPr>
      <w:fldChar w:fldCharType="separate"/>
    </w:r>
    <w:r>
      <w:rPr>
        <w:rStyle w:val="PageNumber"/>
        <w:rFonts w:asciiTheme="minorHAnsi" w:hAnsiTheme="minorHAnsi"/>
        <w:noProof/>
      </w:rPr>
      <w:t>68</w:t>
    </w:r>
    <w:r w:rsidRPr="00737802">
      <w:rPr>
        <w:rStyle w:val="PageNumber"/>
        <w:rFonts w:asciiTheme="minorHAnsi" w:hAnsiTheme="minorHAnsi"/>
      </w:rPr>
      <w:fldChar w:fldCharType="end"/>
    </w:r>
    <w:r w:rsidRPr="00737802">
      <w:rPr>
        <w:rStyle w:val="PageNumber"/>
        <w:rFonts w:asciiTheme="minorHAnsi" w:hAnsiTheme="minorHAnsi"/>
      </w:rPr>
      <w:t xml:space="preserve"> </w:t>
    </w:r>
    <w:r>
      <w:rPr>
        <w:rStyle w:val="PageNumber"/>
        <w:rFonts w:asciiTheme="minorHAnsi" w:hAnsiTheme="minorHAnsi"/>
      </w:rPr>
      <w:t>–</w:t>
    </w:r>
    <w:r w:rsidRPr="00737802">
      <w:rPr>
        <w:rStyle w:val="PageNumber"/>
        <w:rFonts w:asciiTheme="minorHAnsi" w:hAnsiTheme="minorHAnsi"/>
      </w:rPr>
      <w:br/>
    </w:r>
    <w:r w:rsidRPr="0071484E">
      <w:rPr>
        <w:rStyle w:val="PageNumber"/>
        <w:rFonts w:ascii="Calibri" w:eastAsia="STKaiti" w:hint="eastAsia"/>
        <w:iCs/>
        <w:lang w:eastAsia="zh-CN"/>
      </w:rPr>
      <w:t>（</w:t>
    </w:r>
    <w:r w:rsidRPr="00163E5C">
      <w:rPr>
        <w:rStyle w:val="PageNumber"/>
        <w:rFonts w:ascii="Calibri" w:hAnsi="Calibri" w:hint="eastAsia"/>
        <w:szCs w:val="18"/>
        <w:lang w:eastAsia="zh-CN"/>
      </w:rPr>
      <w:t>2</w:t>
    </w:r>
    <w:r>
      <w:rPr>
        <w:rStyle w:val="PageNumber"/>
        <w:rFonts w:ascii="Calibri" w:hAnsi="Calibri" w:hint="eastAsia"/>
        <w:szCs w:val="18"/>
        <w:lang w:eastAsia="zh-CN"/>
      </w:rPr>
      <w:t>.</w:t>
    </w:r>
    <w:r>
      <w:rPr>
        <w:rStyle w:val="PageNumber"/>
        <w:rFonts w:ascii="Calibri" w:hAnsi="Calibri"/>
        <w:szCs w:val="18"/>
        <w:lang w:eastAsia="zh-CN"/>
      </w:rPr>
      <w:t>1</w:t>
    </w:r>
    <w:r w:rsidRPr="00163E5C">
      <w:rPr>
        <w:rStyle w:val="PageNumber"/>
        <w:rFonts w:ascii="Calibri" w:hAnsi="Calibri"/>
        <w:szCs w:val="18"/>
        <w:lang w:eastAsia="zh-CN"/>
      </w:rPr>
      <w:t xml:space="preserve"> – </w:t>
    </w:r>
    <w:r>
      <w:rPr>
        <w:rStyle w:val="PageNumber"/>
        <w:rFonts w:ascii="Calibri" w:eastAsia="STKaiti" w:hint="eastAsia"/>
        <w:szCs w:val="18"/>
        <w:lang w:eastAsia="zh-CN"/>
      </w:rPr>
      <w:t>就业条件</w:t>
    </w:r>
    <w:r w:rsidRPr="0071484E">
      <w:rPr>
        <w:rStyle w:val="PageNumber"/>
        <w:rFonts w:ascii="Calibri" w:eastAsia="STKaiti" w:hint="eastAsia"/>
        <w:iCs/>
        <w:lang w:eastAsia="zh-CN"/>
      </w:rPr>
      <w:t>）</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F9" w14:textId="77777777" w:rsidR="000B642F" w:rsidRDefault="000B642F" w:rsidP="00894D47">
    <w:pPr>
      <w:pStyle w:val="Header"/>
    </w:pPr>
    <w:r>
      <w:rPr>
        <w:lang w:val="en-US"/>
      </w:rPr>
      <w:t>–</w:t>
    </w:r>
    <w:r w:rsidRPr="00737802">
      <w:rPr>
        <w:lang w:val="en-US"/>
      </w:rPr>
      <w:t xml:space="preserve"> </w:t>
    </w:r>
    <w:r w:rsidRPr="00737802">
      <w:rPr>
        <w:rStyle w:val="PageNumber"/>
        <w:rFonts w:asciiTheme="minorHAnsi" w:hAnsiTheme="minorHAnsi"/>
      </w:rPr>
      <w:fldChar w:fldCharType="begin"/>
    </w:r>
    <w:r w:rsidRPr="00737802">
      <w:rPr>
        <w:rStyle w:val="PageNumber"/>
        <w:rFonts w:asciiTheme="minorHAnsi" w:hAnsiTheme="minorHAnsi"/>
      </w:rPr>
      <w:instrText xml:space="preserve"> PAGE </w:instrText>
    </w:r>
    <w:r w:rsidRPr="00737802">
      <w:rPr>
        <w:rStyle w:val="PageNumber"/>
        <w:rFonts w:asciiTheme="minorHAnsi" w:hAnsiTheme="minorHAnsi"/>
      </w:rPr>
      <w:fldChar w:fldCharType="separate"/>
    </w:r>
    <w:r>
      <w:rPr>
        <w:rStyle w:val="PageNumber"/>
        <w:rFonts w:asciiTheme="minorHAnsi" w:hAnsiTheme="minorHAnsi"/>
        <w:noProof/>
      </w:rPr>
      <w:t>69</w:t>
    </w:r>
    <w:r w:rsidRPr="00737802">
      <w:rPr>
        <w:rStyle w:val="PageNumber"/>
        <w:rFonts w:asciiTheme="minorHAnsi" w:hAnsiTheme="minorHAnsi"/>
      </w:rPr>
      <w:fldChar w:fldCharType="end"/>
    </w:r>
    <w:r w:rsidRPr="00737802">
      <w:rPr>
        <w:rStyle w:val="PageNumber"/>
        <w:rFonts w:asciiTheme="minorHAnsi" w:hAnsiTheme="minorHAnsi"/>
      </w:rPr>
      <w:t xml:space="preserve"> </w:t>
    </w:r>
    <w:r>
      <w:rPr>
        <w:rStyle w:val="PageNumber"/>
        <w:rFonts w:asciiTheme="minorHAnsi" w:hAnsiTheme="minorHAnsi"/>
      </w:rPr>
      <w:t>–</w:t>
    </w:r>
  </w:p>
  <w:p w14:paraId="4827C8FA" w14:textId="77777777" w:rsidR="000B642F" w:rsidRDefault="000B642F" w:rsidP="00490C62">
    <w:pPr>
      <w:pStyle w:val="Header"/>
    </w:pPr>
    <w:r w:rsidRPr="0071484E">
      <w:rPr>
        <w:rStyle w:val="PageNumber"/>
        <w:rFonts w:ascii="Calibri" w:eastAsia="STKaiti" w:hint="eastAsia"/>
        <w:iCs/>
        <w:lang w:eastAsia="zh-CN"/>
      </w:rPr>
      <w:t>（</w:t>
    </w:r>
    <w:r w:rsidRPr="00163E5C">
      <w:rPr>
        <w:rStyle w:val="PageNumber"/>
        <w:rFonts w:ascii="Calibri" w:hAnsi="Calibri" w:hint="eastAsia"/>
        <w:szCs w:val="18"/>
        <w:lang w:eastAsia="zh-CN"/>
      </w:rPr>
      <w:t>2</w:t>
    </w:r>
    <w:r>
      <w:rPr>
        <w:rStyle w:val="PageNumber"/>
        <w:rFonts w:ascii="Calibri" w:hAnsi="Calibri" w:hint="eastAsia"/>
        <w:szCs w:val="18"/>
        <w:lang w:eastAsia="zh-CN"/>
      </w:rPr>
      <w:t>.</w:t>
    </w:r>
    <w:r>
      <w:rPr>
        <w:rStyle w:val="PageNumber"/>
        <w:rFonts w:ascii="Calibri" w:hAnsi="Calibri"/>
        <w:szCs w:val="18"/>
        <w:lang w:eastAsia="zh-CN"/>
      </w:rPr>
      <w:t>1</w:t>
    </w:r>
    <w:r w:rsidRPr="00163E5C">
      <w:rPr>
        <w:rStyle w:val="PageNumber"/>
        <w:rFonts w:ascii="Calibri" w:hAnsi="Calibri"/>
        <w:szCs w:val="18"/>
        <w:lang w:eastAsia="zh-CN"/>
      </w:rPr>
      <w:t xml:space="preserve"> – </w:t>
    </w:r>
    <w:r>
      <w:rPr>
        <w:rStyle w:val="PageNumber"/>
        <w:rFonts w:ascii="Calibri" w:eastAsia="STKaiti" w:hint="eastAsia"/>
        <w:szCs w:val="18"/>
        <w:lang w:eastAsia="zh-CN"/>
      </w:rPr>
      <w:t>就业条件</w:t>
    </w:r>
    <w:r w:rsidRPr="0071484E">
      <w:rPr>
        <w:rStyle w:val="PageNumber"/>
        <w:rFonts w:ascii="Calibri" w:eastAsia="STKaiti" w:hint="eastAsia"/>
        <w:iCs/>
        <w:lang w:eastAsia="zh-CN"/>
      </w:rPr>
      <w:t>）</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FB" w14:textId="77777777" w:rsidR="000B642F" w:rsidRPr="00060C2C" w:rsidRDefault="000B642F" w:rsidP="00BC7E7B">
    <w:pPr>
      <w:pStyle w:val="Header"/>
    </w:pPr>
    <w:r>
      <w:rPr>
        <w:lang w:val="en-US"/>
      </w:rPr>
      <w:t>–</w:t>
    </w:r>
    <w:r w:rsidRPr="00737802">
      <w:rPr>
        <w:lang w:val="en-US"/>
      </w:rPr>
      <w:t xml:space="preserve"> </w:t>
    </w:r>
    <w:r w:rsidRPr="00737802">
      <w:rPr>
        <w:rStyle w:val="PageNumber"/>
        <w:rFonts w:asciiTheme="minorHAnsi" w:hAnsiTheme="minorHAnsi"/>
      </w:rPr>
      <w:fldChar w:fldCharType="begin"/>
    </w:r>
    <w:r w:rsidRPr="00737802">
      <w:rPr>
        <w:rStyle w:val="PageNumber"/>
        <w:rFonts w:asciiTheme="minorHAnsi" w:hAnsiTheme="minorHAnsi"/>
      </w:rPr>
      <w:instrText xml:space="preserve"> PAGE </w:instrText>
    </w:r>
    <w:r w:rsidRPr="00737802">
      <w:rPr>
        <w:rStyle w:val="PageNumber"/>
        <w:rFonts w:asciiTheme="minorHAnsi" w:hAnsiTheme="minorHAnsi"/>
      </w:rPr>
      <w:fldChar w:fldCharType="separate"/>
    </w:r>
    <w:r>
      <w:rPr>
        <w:rStyle w:val="PageNumber"/>
        <w:rFonts w:asciiTheme="minorHAnsi" w:hAnsiTheme="minorHAnsi"/>
        <w:noProof/>
      </w:rPr>
      <w:t>55</w:t>
    </w:r>
    <w:r w:rsidRPr="00737802">
      <w:rPr>
        <w:rStyle w:val="PageNumber"/>
        <w:rFonts w:asciiTheme="minorHAnsi" w:hAnsiTheme="minorHAnsi"/>
      </w:rPr>
      <w:fldChar w:fldCharType="end"/>
    </w:r>
    <w:r w:rsidRPr="00737802">
      <w:rPr>
        <w:rStyle w:val="PageNumber"/>
        <w:rFonts w:asciiTheme="minorHAnsi" w:hAnsiTheme="minorHAnsi"/>
      </w:rPr>
      <w:t xml:space="preserve"> </w:t>
    </w:r>
    <w:r>
      <w:rPr>
        <w:rStyle w:val="PageNumber"/>
        <w:rFonts w:asciiTheme="minorHAnsi" w:hAnsiTheme="minorHAnsi"/>
      </w:rPr>
      <w:t>–</w:t>
    </w:r>
    <w:r w:rsidRPr="00737802">
      <w:rPr>
        <w:rStyle w:val="PageNumber"/>
        <w:rFonts w:asciiTheme="minorHAnsi" w:hAnsiTheme="minorHAnsi"/>
      </w:rPr>
      <w:br/>
    </w:r>
    <w:r w:rsidRPr="0071484E">
      <w:rPr>
        <w:rStyle w:val="PageNumber"/>
        <w:rFonts w:ascii="Calibri" w:eastAsia="STKaiti" w:hint="eastAsia"/>
        <w:iCs/>
        <w:lang w:eastAsia="zh-CN"/>
      </w:rPr>
      <w:t>（</w:t>
    </w:r>
    <w:r w:rsidRPr="00163E5C">
      <w:rPr>
        <w:rStyle w:val="PageNumber"/>
        <w:rFonts w:ascii="Calibri" w:hAnsi="Calibri" w:hint="eastAsia"/>
        <w:szCs w:val="18"/>
        <w:lang w:eastAsia="zh-CN"/>
      </w:rPr>
      <w:t>2</w:t>
    </w:r>
    <w:r>
      <w:rPr>
        <w:rStyle w:val="PageNumber"/>
        <w:rFonts w:ascii="Calibri" w:hAnsi="Calibri" w:hint="eastAsia"/>
        <w:szCs w:val="18"/>
        <w:lang w:eastAsia="zh-CN"/>
      </w:rPr>
      <w:t>.</w:t>
    </w:r>
    <w:r>
      <w:rPr>
        <w:rStyle w:val="PageNumber"/>
        <w:rFonts w:ascii="Calibri" w:hAnsi="Calibri"/>
        <w:szCs w:val="18"/>
        <w:lang w:eastAsia="zh-CN"/>
      </w:rPr>
      <w:t>1</w:t>
    </w:r>
    <w:r w:rsidRPr="00163E5C">
      <w:rPr>
        <w:rStyle w:val="PageNumber"/>
        <w:rFonts w:ascii="Calibri" w:hAnsi="Calibri"/>
        <w:szCs w:val="18"/>
        <w:lang w:eastAsia="zh-CN"/>
      </w:rPr>
      <w:t xml:space="preserve"> – </w:t>
    </w:r>
    <w:r>
      <w:rPr>
        <w:rStyle w:val="PageNumber"/>
        <w:rFonts w:ascii="Calibri" w:eastAsia="STKaiti" w:hint="eastAsia"/>
        <w:szCs w:val="18"/>
        <w:lang w:eastAsia="zh-CN"/>
      </w:rPr>
      <w:t>就业条件</w:t>
    </w:r>
    <w:r w:rsidRPr="0071484E">
      <w:rPr>
        <w:rStyle w:val="PageNumber"/>
        <w:rFonts w:ascii="Calibri" w:eastAsia="STKaiti" w:hint="eastAsia"/>
        <w:iCs/>
        <w:lang w:eastAsia="zh-CN"/>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D1" w14:textId="77777777" w:rsidR="000B642F" w:rsidRPr="00517210" w:rsidRDefault="000B642F" w:rsidP="00517210">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FC" w14:textId="77777777" w:rsidR="000B642F" w:rsidRDefault="000B642F" w:rsidP="00BC7E7B">
    <w:pPr>
      <w:pStyle w:val="Header"/>
    </w:pPr>
    <w:r>
      <w:rPr>
        <w:lang w:val="en-US"/>
      </w:rPr>
      <w:t>–</w:t>
    </w:r>
    <w:r w:rsidRPr="00737802">
      <w:rPr>
        <w:lang w:val="en-US"/>
      </w:rPr>
      <w:t xml:space="preserve"> </w:t>
    </w:r>
    <w:r w:rsidRPr="00737802">
      <w:rPr>
        <w:rStyle w:val="PageNumber"/>
        <w:rFonts w:asciiTheme="minorHAnsi" w:hAnsiTheme="minorHAnsi"/>
      </w:rPr>
      <w:fldChar w:fldCharType="begin"/>
    </w:r>
    <w:r w:rsidRPr="00737802">
      <w:rPr>
        <w:rStyle w:val="PageNumber"/>
        <w:rFonts w:asciiTheme="minorHAnsi" w:hAnsiTheme="minorHAnsi"/>
      </w:rPr>
      <w:instrText xml:space="preserve"> PAGE </w:instrText>
    </w:r>
    <w:r w:rsidRPr="00737802">
      <w:rPr>
        <w:rStyle w:val="PageNumber"/>
        <w:rFonts w:asciiTheme="minorHAnsi" w:hAnsiTheme="minorHAnsi"/>
      </w:rPr>
      <w:fldChar w:fldCharType="separate"/>
    </w:r>
    <w:r>
      <w:rPr>
        <w:rStyle w:val="PageNumber"/>
        <w:rFonts w:asciiTheme="minorHAnsi" w:hAnsiTheme="minorHAnsi"/>
        <w:noProof/>
      </w:rPr>
      <w:t>63</w:t>
    </w:r>
    <w:r w:rsidRPr="00737802">
      <w:rPr>
        <w:rStyle w:val="PageNumber"/>
        <w:rFonts w:asciiTheme="minorHAnsi" w:hAnsiTheme="minorHAnsi"/>
      </w:rPr>
      <w:fldChar w:fldCharType="end"/>
    </w:r>
    <w:r w:rsidRPr="00737802">
      <w:rPr>
        <w:rStyle w:val="PageNumber"/>
        <w:rFonts w:asciiTheme="minorHAnsi" w:hAnsiTheme="minorHAnsi"/>
      </w:rPr>
      <w:t xml:space="preserve"> </w:t>
    </w:r>
    <w:r>
      <w:rPr>
        <w:rStyle w:val="PageNumber"/>
        <w:rFonts w:asciiTheme="minorHAnsi" w:hAnsiTheme="minorHAnsi"/>
      </w:rPr>
      <w:t>–</w:t>
    </w:r>
  </w:p>
  <w:p w14:paraId="4827C8FD" w14:textId="77777777" w:rsidR="000B642F" w:rsidRDefault="000B642F" w:rsidP="00BC7E7B">
    <w:pPr>
      <w:pStyle w:val="Header"/>
      <w:rPr>
        <w:lang w:eastAsia="zh-CN"/>
      </w:rPr>
    </w:pPr>
    <w:r w:rsidRPr="0071484E">
      <w:rPr>
        <w:rStyle w:val="PageNumber"/>
        <w:rFonts w:ascii="Calibri" w:eastAsia="STKaiti" w:hint="eastAsia"/>
        <w:iCs/>
        <w:lang w:eastAsia="zh-CN"/>
      </w:rPr>
      <w:t>（</w:t>
    </w:r>
    <w:r>
      <w:rPr>
        <w:rStyle w:val="PageNumber"/>
        <w:rFonts w:ascii="Calibri" w:hAnsi="Calibri"/>
        <w:szCs w:val="18"/>
        <w:lang w:eastAsia="zh-CN"/>
      </w:rPr>
      <w:t>2</w:t>
    </w:r>
    <w:r w:rsidRPr="00163E5C">
      <w:rPr>
        <w:rStyle w:val="PageNumber"/>
        <w:rFonts w:ascii="Calibri" w:hAnsi="Calibri"/>
        <w:szCs w:val="18"/>
        <w:lang w:eastAsia="zh-CN"/>
      </w:rPr>
      <w:t>.</w:t>
    </w:r>
    <w:r>
      <w:rPr>
        <w:rStyle w:val="PageNumber"/>
        <w:rFonts w:ascii="Calibri" w:hAnsi="Calibri"/>
        <w:szCs w:val="18"/>
        <w:lang w:eastAsia="zh-CN"/>
      </w:rPr>
      <w:t>1</w:t>
    </w:r>
    <w:r w:rsidRPr="00163E5C">
      <w:rPr>
        <w:rStyle w:val="PageNumber"/>
        <w:rFonts w:ascii="Calibri" w:hAnsi="Calibri"/>
        <w:szCs w:val="18"/>
        <w:lang w:eastAsia="zh-CN"/>
      </w:rPr>
      <w:t xml:space="preserve"> – </w:t>
    </w:r>
    <w:r>
      <w:rPr>
        <w:rStyle w:val="PageNumber"/>
        <w:rFonts w:ascii="Calibri" w:eastAsia="STKaiti" w:hint="eastAsia"/>
        <w:szCs w:val="18"/>
        <w:lang w:eastAsia="zh-CN"/>
      </w:rPr>
      <w:t>就业</w:t>
    </w:r>
    <w:r>
      <w:rPr>
        <w:rStyle w:val="PageNumber"/>
        <w:rFonts w:ascii="Calibri" w:eastAsia="STKaiti"/>
        <w:szCs w:val="18"/>
        <w:lang w:eastAsia="zh-CN"/>
      </w:rPr>
      <w:t>条件</w:t>
    </w:r>
    <w:r w:rsidRPr="0071484E">
      <w:rPr>
        <w:rStyle w:val="PageNumber"/>
        <w:rFonts w:ascii="Calibri" w:eastAsia="STKaiti" w:hint="eastAsia"/>
        <w:iCs/>
        <w:lang w:eastAsia="zh-CN"/>
      </w:rPr>
      <w:t>）</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FF" w14:textId="77777777" w:rsidR="000B642F" w:rsidRPr="00163E5C" w:rsidRDefault="000B642F" w:rsidP="007108BF">
    <w:pPr>
      <w:pStyle w:val="Header"/>
    </w:pPr>
    <w:r>
      <w:t xml:space="preserve">– </w:t>
    </w:r>
    <w:r>
      <w:fldChar w:fldCharType="begin"/>
    </w:r>
    <w:r>
      <w:instrText>PAGE</w:instrText>
    </w:r>
    <w:r>
      <w:fldChar w:fldCharType="separate"/>
    </w:r>
    <w:r>
      <w:rPr>
        <w:noProof/>
      </w:rPr>
      <w:t>76</w:t>
    </w:r>
    <w:r>
      <w:rPr>
        <w:noProof/>
      </w:rPr>
      <w:fldChar w:fldCharType="end"/>
    </w:r>
    <w:r>
      <w:t xml:space="preserve"> –</w:t>
    </w:r>
    <w:r>
      <w:rPr>
        <w:rFonts w:hint="eastAsia"/>
        <w:lang w:eastAsia="zh-CN"/>
      </w:rPr>
      <w:br/>
    </w:r>
    <w:r>
      <w:rPr>
        <w:rStyle w:val="PageNumber"/>
        <w:rFonts w:hint="eastAsia"/>
        <w:szCs w:val="18"/>
        <w:lang w:eastAsia="zh-CN"/>
      </w:rPr>
      <w:t>（</w:t>
    </w:r>
    <w:r>
      <w:rPr>
        <w:rFonts w:hint="eastAsia"/>
        <w:szCs w:val="18"/>
        <w:lang w:eastAsia="zh-CN"/>
      </w:rPr>
      <w:t>2</w:t>
    </w:r>
    <w:r w:rsidRPr="0078386B">
      <w:rPr>
        <w:szCs w:val="18"/>
        <w:lang w:eastAsia="zh-CN"/>
      </w:rPr>
      <w:t>.</w:t>
    </w:r>
    <w:r>
      <w:rPr>
        <w:rFonts w:hint="eastAsia"/>
        <w:szCs w:val="18"/>
        <w:lang w:eastAsia="zh-CN"/>
      </w:rPr>
      <w:t>1</w:t>
    </w:r>
    <w:r w:rsidRPr="0078386B">
      <w:rPr>
        <w:szCs w:val="18"/>
        <w:lang w:eastAsia="zh-CN"/>
      </w:rPr>
      <w:t xml:space="preserve"> –</w:t>
    </w:r>
    <w:r>
      <w:rPr>
        <w:szCs w:val="18"/>
        <w:lang w:eastAsia="zh-CN"/>
      </w:rPr>
      <w:t xml:space="preserve"> </w:t>
    </w:r>
    <w:r w:rsidRPr="00347E48">
      <w:rPr>
        <w:rFonts w:hint="eastAsia"/>
        <w:lang w:eastAsia="zh-CN"/>
      </w:rPr>
      <w:t>就业条件</w:t>
    </w:r>
    <w:r>
      <w:rPr>
        <w:rStyle w:val="PageNumber"/>
        <w:rFonts w:hint="eastAsia"/>
        <w:szCs w:val="18"/>
        <w:lang w:eastAsia="zh-CN"/>
      </w:rPr>
      <w:t>）</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00" w14:textId="77777777" w:rsidR="000B642F" w:rsidRDefault="000B642F" w:rsidP="00DA7A9F">
    <w:pPr>
      <w:pStyle w:val="Header"/>
    </w:pPr>
    <w:r>
      <w:rPr>
        <w:szCs w:val="18"/>
      </w:rPr>
      <w:t xml:space="preserve">– </w:t>
    </w:r>
    <w:r>
      <w:rPr>
        <w:szCs w:val="18"/>
      </w:rPr>
      <w:fldChar w:fldCharType="begin"/>
    </w:r>
    <w:r>
      <w:rPr>
        <w:szCs w:val="18"/>
      </w:rPr>
      <w:instrText>PAGE</w:instrText>
    </w:r>
    <w:r>
      <w:rPr>
        <w:szCs w:val="18"/>
      </w:rPr>
      <w:fldChar w:fldCharType="separate"/>
    </w:r>
    <w:r>
      <w:rPr>
        <w:noProof/>
        <w:szCs w:val="18"/>
      </w:rPr>
      <w:t>75</w:t>
    </w:r>
    <w:r>
      <w:rPr>
        <w:szCs w:val="18"/>
      </w:rPr>
      <w:fldChar w:fldCharType="end"/>
    </w:r>
    <w:r>
      <w:rPr>
        <w:szCs w:val="18"/>
      </w:rPr>
      <w:t xml:space="preserve"> –</w:t>
    </w:r>
    <w:r>
      <w:rPr>
        <w:szCs w:val="18"/>
      </w:rPr>
      <w:br/>
    </w:r>
    <w:r>
      <w:rPr>
        <w:rStyle w:val="PageNumber"/>
        <w:rFonts w:hint="eastAsia"/>
        <w:szCs w:val="18"/>
        <w:lang w:eastAsia="zh-CN"/>
      </w:rPr>
      <w:t>（</w:t>
    </w:r>
    <w:r>
      <w:rPr>
        <w:rFonts w:hint="eastAsia"/>
        <w:szCs w:val="18"/>
        <w:lang w:eastAsia="zh-CN"/>
      </w:rPr>
      <w:t>2</w:t>
    </w:r>
    <w:r w:rsidRPr="0078386B">
      <w:rPr>
        <w:szCs w:val="18"/>
        <w:lang w:eastAsia="zh-CN"/>
      </w:rPr>
      <w:t>.</w:t>
    </w:r>
    <w:r>
      <w:rPr>
        <w:rFonts w:hint="eastAsia"/>
        <w:szCs w:val="18"/>
        <w:lang w:eastAsia="zh-CN"/>
      </w:rPr>
      <w:t>1</w:t>
    </w:r>
    <w:r w:rsidRPr="0078386B">
      <w:rPr>
        <w:szCs w:val="18"/>
        <w:lang w:eastAsia="zh-CN"/>
      </w:rPr>
      <w:t xml:space="preserve"> –</w:t>
    </w:r>
    <w:r>
      <w:rPr>
        <w:szCs w:val="18"/>
        <w:lang w:eastAsia="zh-CN"/>
      </w:rPr>
      <w:t xml:space="preserve"> </w:t>
    </w:r>
    <w:r w:rsidRPr="00347E48">
      <w:rPr>
        <w:rFonts w:hint="eastAsia"/>
        <w:lang w:eastAsia="zh-CN"/>
      </w:rPr>
      <w:t>就业条件</w:t>
    </w:r>
    <w:r>
      <w:rPr>
        <w:rStyle w:val="PageNumber"/>
        <w:rFonts w:hint="eastAsia"/>
        <w:szCs w:val="18"/>
        <w:lang w:eastAsia="zh-CN"/>
      </w:rPr>
      <w:t>）</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01" w14:textId="77777777" w:rsidR="000B642F" w:rsidRPr="00060C2C" w:rsidRDefault="000B642F" w:rsidP="00F7210C">
    <w:pPr>
      <w:pStyle w:val="Header"/>
    </w:pPr>
    <w:r>
      <w:rPr>
        <w:rFonts w:ascii="Calibri" w:hAnsi="Calibri"/>
        <w:lang w:val="en-US"/>
      </w:rPr>
      <w:t>–</w:t>
    </w:r>
    <w:r w:rsidRPr="00163E5C">
      <w:rPr>
        <w:rFonts w:ascii="Calibri" w:hAnsi="Calibri"/>
        <w:lang w:val="en-US"/>
      </w:rPr>
      <w:t xml:space="preserve"> </w:t>
    </w:r>
    <w:r w:rsidRPr="00163E5C">
      <w:rPr>
        <w:rStyle w:val="PageNumber"/>
        <w:rFonts w:ascii="Calibri" w:hAnsi="Calibri"/>
      </w:rPr>
      <w:fldChar w:fldCharType="begin"/>
    </w:r>
    <w:r w:rsidRPr="00163E5C">
      <w:rPr>
        <w:rStyle w:val="PageNumber"/>
        <w:rFonts w:ascii="Calibri" w:hAnsi="Calibri"/>
      </w:rPr>
      <w:instrText xml:space="preserve"> PAGE </w:instrText>
    </w:r>
    <w:r w:rsidRPr="00163E5C">
      <w:rPr>
        <w:rStyle w:val="PageNumber"/>
        <w:rFonts w:ascii="Calibri" w:hAnsi="Calibri"/>
      </w:rPr>
      <w:fldChar w:fldCharType="separate"/>
    </w:r>
    <w:r>
      <w:rPr>
        <w:rStyle w:val="PageNumber"/>
        <w:rFonts w:ascii="Calibri" w:hAnsi="Calibri"/>
        <w:noProof/>
      </w:rPr>
      <w:t>70</w:t>
    </w:r>
    <w:r w:rsidRPr="00163E5C">
      <w:rPr>
        <w:rStyle w:val="PageNumber"/>
        <w:rFonts w:ascii="Calibri" w:hAnsi="Calibri"/>
      </w:rPr>
      <w:fldChar w:fldCharType="end"/>
    </w:r>
    <w:r w:rsidRPr="00163E5C">
      <w:rPr>
        <w:rStyle w:val="PageNumber"/>
        <w:rFonts w:ascii="Calibri" w:hAnsi="Calibri"/>
      </w:rPr>
      <w:t xml:space="preserve"> </w:t>
    </w:r>
    <w:r>
      <w:rPr>
        <w:rStyle w:val="PageNumber"/>
        <w:rFonts w:ascii="Calibri" w:hAnsi="Calibri"/>
      </w:rPr>
      <w:t>–</w:t>
    </w:r>
    <w:r w:rsidRPr="00163E5C">
      <w:rPr>
        <w:rStyle w:val="PageNumber"/>
        <w:rFonts w:ascii="Calibri" w:hAnsi="Calibri"/>
      </w:rPr>
      <w:br/>
    </w:r>
    <w:r w:rsidRPr="00163E5C">
      <w:rPr>
        <w:rStyle w:val="PageNumber"/>
        <w:rFonts w:ascii="Calibri" w:eastAsia="STKaiti" w:hint="eastAsia"/>
        <w:iCs/>
        <w:lang w:eastAsia="zh-CN"/>
      </w:rPr>
      <w:t>（</w:t>
    </w:r>
    <w:r>
      <w:rPr>
        <w:rStyle w:val="PageNumber"/>
        <w:rFonts w:ascii="Calibri" w:hAnsi="Calibri"/>
        <w:szCs w:val="18"/>
        <w:lang w:eastAsia="zh-CN"/>
      </w:rPr>
      <w:t>2.1</w:t>
    </w:r>
    <w:r w:rsidRPr="00163E5C">
      <w:rPr>
        <w:rStyle w:val="PageNumber"/>
        <w:rFonts w:ascii="Calibri" w:hAnsi="Calibri"/>
        <w:szCs w:val="18"/>
        <w:lang w:eastAsia="zh-CN"/>
      </w:rPr>
      <w:t xml:space="preserve"> – </w:t>
    </w:r>
    <w:r>
      <w:rPr>
        <w:rStyle w:val="PageNumber"/>
        <w:rFonts w:ascii="Calibri" w:eastAsia="STKaiti" w:hint="eastAsia"/>
        <w:szCs w:val="18"/>
        <w:lang w:eastAsia="zh-CN"/>
      </w:rPr>
      <w:t>就业</w:t>
    </w:r>
    <w:r>
      <w:rPr>
        <w:rStyle w:val="PageNumber"/>
        <w:rFonts w:ascii="Calibri" w:eastAsia="STKaiti"/>
        <w:szCs w:val="18"/>
        <w:lang w:eastAsia="zh-CN"/>
      </w:rPr>
      <w:t>条件</w:t>
    </w:r>
    <w:r w:rsidRPr="00163E5C">
      <w:rPr>
        <w:rStyle w:val="PageNumber"/>
        <w:rFonts w:ascii="Calibri" w:eastAsia="STKaiti" w:hint="eastAsia"/>
        <w:iCs/>
        <w:lang w:eastAsia="zh-CN"/>
      </w:rPr>
      <w:t>）</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02" w14:textId="77777777" w:rsidR="000B642F" w:rsidRPr="00060C2C" w:rsidRDefault="000B642F" w:rsidP="001C0DEA">
    <w:pPr>
      <w:pStyle w:val="Header"/>
    </w:pPr>
    <w:r>
      <w:t xml:space="preserve">– </w:t>
    </w:r>
    <w:r>
      <w:fldChar w:fldCharType="begin"/>
    </w:r>
    <w:r>
      <w:instrText>PAGE</w:instrText>
    </w:r>
    <w:r>
      <w:fldChar w:fldCharType="separate"/>
    </w:r>
    <w:r>
      <w:rPr>
        <w:noProof/>
      </w:rPr>
      <w:t>82</w:t>
    </w:r>
    <w:r>
      <w:rPr>
        <w:noProof/>
      </w:rPr>
      <w:fldChar w:fldCharType="end"/>
    </w:r>
    <w:r>
      <w:t xml:space="preserve"> –</w:t>
    </w:r>
    <w:r>
      <w:rPr>
        <w:rFonts w:hint="eastAsia"/>
        <w:lang w:eastAsia="zh-CN"/>
      </w:rPr>
      <w:br/>
    </w:r>
    <w:r w:rsidRPr="00163E5C">
      <w:rPr>
        <w:rStyle w:val="PageNumber"/>
        <w:rFonts w:ascii="Calibri" w:eastAsia="STKaiti" w:hint="eastAsia"/>
        <w:iCs/>
        <w:lang w:eastAsia="zh-CN"/>
      </w:rPr>
      <w:t>（</w:t>
    </w:r>
    <w:r>
      <w:rPr>
        <w:rStyle w:val="PageNumber"/>
        <w:rFonts w:ascii="Calibri" w:hAnsi="Calibri"/>
        <w:szCs w:val="18"/>
        <w:lang w:eastAsia="zh-CN"/>
      </w:rPr>
      <w:t>2.2</w:t>
    </w:r>
    <w:r w:rsidRPr="00163E5C">
      <w:rPr>
        <w:rStyle w:val="PageNumber"/>
        <w:rFonts w:ascii="Calibri" w:hAnsi="Calibri"/>
        <w:szCs w:val="18"/>
        <w:lang w:eastAsia="zh-CN"/>
      </w:rPr>
      <w:t xml:space="preserve"> – </w:t>
    </w:r>
    <w:r>
      <w:rPr>
        <w:rStyle w:val="PageNumber"/>
        <w:rFonts w:ascii="Calibri" w:eastAsia="STKaiti" w:hint="eastAsia"/>
        <w:szCs w:val="18"/>
        <w:lang w:eastAsia="zh-CN"/>
      </w:rPr>
      <w:t>人力资源管理</w:t>
    </w:r>
    <w:r w:rsidRPr="00163E5C">
      <w:rPr>
        <w:rStyle w:val="PageNumber"/>
        <w:rFonts w:ascii="Calibri" w:eastAsia="STKaiti" w:hint="eastAsia"/>
        <w:iCs/>
        <w:lang w:eastAsia="zh-CN"/>
      </w:rPr>
      <w:t>）</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03" w14:textId="77777777" w:rsidR="000B642F" w:rsidRPr="00060C2C" w:rsidRDefault="000B642F" w:rsidP="001C0DEA">
    <w:pPr>
      <w:pStyle w:val="Header"/>
    </w:pPr>
    <w:r>
      <w:rPr>
        <w:szCs w:val="18"/>
      </w:rPr>
      <w:t xml:space="preserve">– </w:t>
    </w:r>
    <w:r>
      <w:rPr>
        <w:szCs w:val="18"/>
      </w:rPr>
      <w:fldChar w:fldCharType="begin"/>
    </w:r>
    <w:r>
      <w:rPr>
        <w:szCs w:val="18"/>
      </w:rPr>
      <w:instrText>PAGE</w:instrText>
    </w:r>
    <w:r>
      <w:rPr>
        <w:szCs w:val="18"/>
      </w:rPr>
      <w:fldChar w:fldCharType="separate"/>
    </w:r>
    <w:r>
      <w:rPr>
        <w:noProof/>
        <w:szCs w:val="18"/>
      </w:rPr>
      <w:t>83</w:t>
    </w:r>
    <w:r>
      <w:rPr>
        <w:szCs w:val="18"/>
      </w:rPr>
      <w:fldChar w:fldCharType="end"/>
    </w:r>
    <w:r>
      <w:rPr>
        <w:szCs w:val="18"/>
      </w:rPr>
      <w:t xml:space="preserve"> –</w:t>
    </w:r>
    <w:r>
      <w:rPr>
        <w:szCs w:val="18"/>
      </w:rPr>
      <w:br/>
    </w:r>
    <w:r w:rsidRPr="00163E5C">
      <w:rPr>
        <w:rStyle w:val="PageNumber"/>
        <w:rFonts w:ascii="Calibri" w:eastAsia="STKaiti" w:hint="eastAsia"/>
        <w:iCs/>
        <w:lang w:eastAsia="zh-CN"/>
      </w:rPr>
      <w:t>（</w:t>
    </w:r>
    <w:r>
      <w:rPr>
        <w:rStyle w:val="PageNumber"/>
        <w:rFonts w:ascii="Calibri" w:hAnsi="Calibri"/>
        <w:szCs w:val="18"/>
        <w:lang w:eastAsia="zh-CN"/>
      </w:rPr>
      <w:t>2.2</w:t>
    </w:r>
    <w:r w:rsidRPr="00163E5C">
      <w:rPr>
        <w:rStyle w:val="PageNumber"/>
        <w:rFonts w:ascii="Calibri" w:hAnsi="Calibri"/>
        <w:szCs w:val="18"/>
        <w:lang w:eastAsia="zh-CN"/>
      </w:rPr>
      <w:t xml:space="preserve"> – </w:t>
    </w:r>
    <w:r>
      <w:rPr>
        <w:rStyle w:val="PageNumber"/>
        <w:rFonts w:ascii="Calibri" w:eastAsia="STKaiti" w:hint="eastAsia"/>
        <w:szCs w:val="18"/>
        <w:lang w:eastAsia="zh-CN"/>
      </w:rPr>
      <w:t>人力资源管理</w:t>
    </w:r>
    <w:r w:rsidRPr="00163E5C">
      <w:rPr>
        <w:rStyle w:val="PageNumber"/>
        <w:rFonts w:ascii="Calibri" w:eastAsia="STKaiti" w:hint="eastAsia"/>
        <w:iCs/>
        <w:lang w:eastAsia="zh-CN"/>
      </w:rPr>
      <w:t>）</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04" w14:textId="77777777" w:rsidR="000B642F" w:rsidRPr="00060C2C" w:rsidRDefault="000B642F" w:rsidP="001C0DEA">
    <w:pPr>
      <w:pStyle w:val="Header"/>
    </w:pPr>
    <w:r>
      <w:rPr>
        <w:rFonts w:ascii="Calibri" w:hAnsi="Calibri"/>
        <w:lang w:val="en-US"/>
      </w:rPr>
      <w:t>–</w:t>
    </w:r>
    <w:r w:rsidRPr="00163E5C">
      <w:rPr>
        <w:rFonts w:ascii="Calibri" w:hAnsi="Calibri"/>
        <w:lang w:val="en-US"/>
      </w:rPr>
      <w:t xml:space="preserve"> </w:t>
    </w:r>
    <w:r w:rsidRPr="00163E5C">
      <w:rPr>
        <w:rStyle w:val="PageNumber"/>
        <w:rFonts w:ascii="Calibri" w:hAnsi="Calibri"/>
      </w:rPr>
      <w:fldChar w:fldCharType="begin"/>
    </w:r>
    <w:r w:rsidRPr="00163E5C">
      <w:rPr>
        <w:rStyle w:val="PageNumber"/>
        <w:rFonts w:ascii="Calibri" w:hAnsi="Calibri"/>
      </w:rPr>
      <w:instrText xml:space="preserve"> PAGE </w:instrText>
    </w:r>
    <w:r w:rsidRPr="00163E5C">
      <w:rPr>
        <w:rStyle w:val="PageNumber"/>
        <w:rFonts w:ascii="Calibri" w:hAnsi="Calibri"/>
      </w:rPr>
      <w:fldChar w:fldCharType="separate"/>
    </w:r>
    <w:r>
      <w:rPr>
        <w:rStyle w:val="PageNumber"/>
        <w:rFonts w:ascii="Calibri" w:hAnsi="Calibri"/>
        <w:noProof/>
      </w:rPr>
      <w:t>77</w:t>
    </w:r>
    <w:r w:rsidRPr="00163E5C">
      <w:rPr>
        <w:rStyle w:val="PageNumber"/>
        <w:rFonts w:ascii="Calibri" w:hAnsi="Calibri"/>
      </w:rPr>
      <w:fldChar w:fldCharType="end"/>
    </w:r>
    <w:r w:rsidRPr="00163E5C">
      <w:rPr>
        <w:rStyle w:val="PageNumber"/>
        <w:rFonts w:ascii="Calibri" w:hAnsi="Calibri"/>
      </w:rPr>
      <w:t xml:space="preserve"> </w:t>
    </w:r>
    <w:r>
      <w:rPr>
        <w:rStyle w:val="PageNumber"/>
        <w:rFonts w:ascii="Calibri" w:hAnsi="Calibri"/>
      </w:rPr>
      <w:t>–</w:t>
    </w:r>
    <w:r w:rsidRPr="00163E5C">
      <w:rPr>
        <w:rStyle w:val="PageNumber"/>
        <w:rFonts w:ascii="Calibri" w:hAnsi="Calibri"/>
      </w:rPr>
      <w:br/>
    </w:r>
    <w:r w:rsidRPr="00163E5C">
      <w:rPr>
        <w:rStyle w:val="PageNumber"/>
        <w:rFonts w:ascii="Calibri" w:eastAsia="STKaiti" w:hint="eastAsia"/>
        <w:iCs/>
        <w:lang w:eastAsia="zh-CN"/>
      </w:rPr>
      <w:t>（</w:t>
    </w:r>
    <w:r>
      <w:rPr>
        <w:rStyle w:val="PageNumber"/>
        <w:rFonts w:ascii="Calibri" w:hAnsi="Calibri"/>
        <w:szCs w:val="18"/>
        <w:lang w:eastAsia="zh-CN"/>
      </w:rPr>
      <w:t>2.2</w:t>
    </w:r>
    <w:r w:rsidRPr="00163E5C">
      <w:rPr>
        <w:rStyle w:val="PageNumber"/>
        <w:rFonts w:ascii="Calibri" w:hAnsi="Calibri"/>
        <w:szCs w:val="18"/>
        <w:lang w:eastAsia="zh-CN"/>
      </w:rPr>
      <w:t xml:space="preserve"> – </w:t>
    </w:r>
    <w:r>
      <w:rPr>
        <w:rStyle w:val="PageNumber"/>
        <w:rFonts w:ascii="Calibri" w:eastAsia="STKaiti" w:hint="eastAsia"/>
        <w:szCs w:val="18"/>
        <w:lang w:eastAsia="zh-CN"/>
      </w:rPr>
      <w:t>人力资源管理</w:t>
    </w:r>
    <w:r w:rsidRPr="00163E5C">
      <w:rPr>
        <w:rStyle w:val="PageNumber"/>
        <w:rFonts w:ascii="Calibri" w:eastAsia="STKaiti" w:hint="eastAsia"/>
        <w:iCs/>
        <w:lang w:eastAsia="zh-CN"/>
      </w:rPr>
      <w:t>）</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05" w14:textId="77777777" w:rsidR="000B642F" w:rsidRPr="00163E5C" w:rsidRDefault="000B642F" w:rsidP="00CC0CAA">
    <w:pPr>
      <w:pStyle w:val="Header"/>
      <w:rPr>
        <w:rFonts w:ascii="Calibri" w:hAnsi="Calibri"/>
        <w:lang w:val="en-US"/>
      </w:rPr>
    </w:pPr>
    <w:r>
      <w:rPr>
        <w:rFonts w:ascii="Calibri" w:hAnsi="Calibri"/>
        <w:lang w:val="en-US"/>
      </w:rPr>
      <w:t>–</w:t>
    </w:r>
    <w:r w:rsidRPr="00163E5C">
      <w:rPr>
        <w:rFonts w:ascii="Calibri" w:hAnsi="Calibri"/>
        <w:lang w:val="en-US"/>
      </w:rPr>
      <w:t xml:space="preserve"> </w:t>
    </w:r>
    <w:r w:rsidRPr="00163E5C">
      <w:rPr>
        <w:rStyle w:val="PageNumber"/>
        <w:rFonts w:ascii="Calibri" w:hAnsi="Calibri"/>
      </w:rPr>
      <w:fldChar w:fldCharType="begin"/>
    </w:r>
    <w:r w:rsidRPr="00163E5C">
      <w:rPr>
        <w:rStyle w:val="PageNumber"/>
        <w:rFonts w:ascii="Calibri" w:hAnsi="Calibri"/>
      </w:rPr>
      <w:instrText xml:space="preserve"> PAGE </w:instrText>
    </w:r>
    <w:r w:rsidRPr="00163E5C">
      <w:rPr>
        <w:rStyle w:val="PageNumber"/>
        <w:rFonts w:ascii="Calibri" w:hAnsi="Calibri"/>
      </w:rPr>
      <w:fldChar w:fldCharType="separate"/>
    </w:r>
    <w:r>
      <w:rPr>
        <w:rStyle w:val="PageNumber"/>
        <w:rFonts w:ascii="Calibri" w:hAnsi="Calibri"/>
        <w:noProof/>
      </w:rPr>
      <w:t>88</w:t>
    </w:r>
    <w:r w:rsidRPr="00163E5C">
      <w:rPr>
        <w:rStyle w:val="PageNumber"/>
        <w:rFonts w:ascii="Calibri" w:hAnsi="Calibri"/>
      </w:rPr>
      <w:fldChar w:fldCharType="end"/>
    </w:r>
    <w:r w:rsidRPr="00163E5C">
      <w:rPr>
        <w:rStyle w:val="PageNumber"/>
        <w:rFonts w:ascii="Calibri" w:hAnsi="Calibri"/>
      </w:rPr>
      <w:t xml:space="preserve"> </w:t>
    </w:r>
    <w:r>
      <w:rPr>
        <w:rStyle w:val="PageNumber"/>
        <w:rFonts w:ascii="Calibri" w:hAnsi="Calibri"/>
      </w:rPr>
      <w:t>–</w:t>
    </w:r>
    <w:r w:rsidRPr="00163E5C">
      <w:rPr>
        <w:rStyle w:val="PageNumber"/>
        <w:rFonts w:ascii="Calibri" w:hAnsi="Calibri"/>
      </w:rPr>
      <w:br/>
    </w:r>
    <w:r w:rsidRPr="00163E5C">
      <w:rPr>
        <w:rStyle w:val="PageNumber"/>
        <w:rFonts w:ascii="Calibri" w:eastAsia="STKaiti" w:hAnsi="STKaiti" w:hint="eastAsia"/>
        <w:szCs w:val="18"/>
        <w:lang w:eastAsia="zh-CN"/>
      </w:rPr>
      <w:t>（</w:t>
    </w:r>
    <w:r w:rsidRPr="00163E5C">
      <w:rPr>
        <w:rStyle w:val="PageNumber"/>
        <w:rFonts w:ascii="Calibri" w:hAnsi="Calibri"/>
        <w:szCs w:val="18"/>
        <w:lang w:eastAsia="zh-CN"/>
      </w:rPr>
      <w:t xml:space="preserve">2.3 </w:t>
    </w:r>
    <w:r w:rsidRPr="00163E5C">
      <w:rPr>
        <w:rFonts w:ascii="Calibri" w:hAnsi="Calibri"/>
        <w:szCs w:val="18"/>
        <w:lang w:eastAsia="zh-CN"/>
      </w:rPr>
      <w:t xml:space="preserve">– </w:t>
    </w:r>
    <w:r w:rsidRPr="00163E5C">
      <w:rPr>
        <w:rFonts w:ascii="Calibri" w:hint="eastAsia"/>
        <w:lang w:eastAsia="zh-CN"/>
      </w:rPr>
      <w:t>养恤金</w:t>
    </w:r>
    <w:r w:rsidRPr="00163E5C">
      <w:rPr>
        <w:rStyle w:val="PageNumber"/>
        <w:rFonts w:ascii="Calibri" w:eastAsia="STKaiti" w:hAnsi="STKaiti" w:hint="eastAsia"/>
        <w:szCs w:val="18"/>
        <w:lang w:eastAsia="zh-CN"/>
      </w:rPr>
      <w:t>）</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06" w14:textId="77777777" w:rsidR="000B642F" w:rsidRPr="00531347" w:rsidRDefault="000B642F" w:rsidP="001C0DEA">
    <w:pPr>
      <w:pStyle w:val="Header"/>
    </w:pPr>
    <w:r>
      <w:rPr>
        <w:rFonts w:ascii="Calibri" w:hAnsi="Calibri"/>
        <w:szCs w:val="18"/>
        <w:lang w:val="en-US"/>
      </w:rPr>
      <w:t>–</w:t>
    </w:r>
    <w:r w:rsidRPr="00163E5C">
      <w:rPr>
        <w:rFonts w:ascii="Calibri" w:hAnsi="Calibri"/>
        <w:szCs w:val="18"/>
        <w:lang w:val="en-US"/>
      </w:rPr>
      <w:t xml:space="preserve"> </w:t>
    </w:r>
    <w:r w:rsidRPr="00163E5C">
      <w:rPr>
        <w:rStyle w:val="PageNumber"/>
        <w:rFonts w:ascii="Calibri" w:hAnsi="Calibri"/>
        <w:szCs w:val="18"/>
      </w:rPr>
      <w:fldChar w:fldCharType="begin"/>
    </w:r>
    <w:r w:rsidRPr="00163E5C">
      <w:rPr>
        <w:rStyle w:val="PageNumber"/>
        <w:rFonts w:ascii="Calibri" w:hAnsi="Calibri"/>
        <w:szCs w:val="18"/>
      </w:rPr>
      <w:instrText xml:space="preserve"> PAGE </w:instrText>
    </w:r>
    <w:r w:rsidRPr="00163E5C">
      <w:rPr>
        <w:rStyle w:val="PageNumber"/>
        <w:rFonts w:ascii="Calibri" w:hAnsi="Calibri"/>
        <w:szCs w:val="18"/>
      </w:rPr>
      <w:fldChar w:fldCharType="separate"/>
    </w:r>
    <w:r>
      <w:rPr>
        <w:rStyle w:val="PageNumber"/>
        <w:rFonts w:ascii="Calibri" w:hAnsi="Calibri"/>
        <w:noProof/>
        <w:szCs w:val="18"/>
      </w:rPr>
      <w:t>87</w:t>
    </w:r>
    <w:r w:rsidRPr="00163E5C">
      <w:rPr>
        <w:rStyle w:val="PageNumber"/>
        <w:rFonts w:ascii="Calibri" w:hAnsi="Calibri"/>
        <w:szCs w:val="18"/>
      </w:rPr>
      <w:fldChar w:fldCharType="end"/>
    </w:r>
    <w:r w:rsidRPr="00163E5C">
      <w:rPr>
        <w:rStyle w:val="PageNumber"/>
        <w:rFonts w:ascii="Calibri" w:hAnsi="Calibri"/>
        <w:szCs w:val="18"/>
      </w:rPr>
      <w:t xml:space="preserve"> </w:t>
    </w:r>
    <w:r>
      <w:rPr>
        <w:rStyle w:val="PageNumber"/>
        <w:rFonts w:ascii="Calibri" w:hAnsi="Calibri"/>
        <w:szCs w:val="18"/>
      </w:rPr>
      <w:t>–</w:t>
    </w:r>
    <w:r w:rsidRPr="00163E5C">
      <w:rPr>
        <w:rStyle w:val="PageNumber"/>
        <w:rFonts w:ascii="Calibri" w:hAnsi="Calibri"/>
      </w:rPr>
      <w:br/>
    </w:r>
    <w:r>
      <w:rPr>
        <w:rStyle w:val="PageNumber"/>
        <w:rFonts w:hint="eastAsia"/>
        <w:szCs w:val="18"/>
        <w:lang w:eastAsia="zh-CN"/>
      </w:rPr>
      <w:t>（</w:t>
    </w:r>
    <w:r>
      <w:rPr>
        <w:rFonts w:hint="eastAsia"/>
        <w:szCs w:val="18"/>
        <w:lang w:eastAsia="zh-CN"/>
      </w:rPr>
      <w:t>2</w:t>
    </w:r>
    <w:r w:rsidRPr="0078386B">
      <w:rPr>
        <w:szCs w:val="18"/>
        <w:lang w:eastAsia="zh-CN"/>
      </w:rPr>
      <w:t>.</w:t>
    </w:r>
    <w:r>
      <w:rPr>
        <w:szCs w:val="18"/>
        <w:lang w:eastAsia="zh-CN"/>
      </w:rPr>
      <w:t>3</w:t>
    </w:r>
    <w:r w:rsidRPr="0078386B">
      <w:rPr>
        <w:szCs w:val="18"/>
        <w:lang w:eastAsia="zh-CN"/>
      </w:rPr>
      <w:t xml:space="preserve"> –</w:t>
    </w:r>
    <w:r>
      <w:rPr>
        <w:szCs w:val="18"/>
        <w:lang w:eastAsia="zh-CN"/>
      </w:rPr>
      <w:t xml:space="preserve"> </w:t>
    </w:r>
    <w:r>
      <w:rPr>
        <w:rFonts w:hint="eastAsia"/>
        <w:lang w:eastAsia="zh-CN"/>
      </w:rPr>
      <w:t>养恤</w:t>
    </w:r>
    <w:r>
      <w:rPr>
        <w:lang w:eastAsia="zh-CN"/>
      </w:rPr>
      <w:t>金</w:t>
    </w:r>
    <w:r>
      <w:rPr>
        <w:rStyle w:val="PageNumber"/>
        <w:rFonts w:hint="eastAsia"/>
        <w:szCs w:val="18"/>
        <w:lang w:eastAsia="zh-CN"/>
      </w:rPr>
      <w:t>）</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08" w14:textId="77777777" w:rsidR="000B642F" w:rsidRPr="00531347" w:rsidRDefault="000B642F" w:rsidP="001C0DEA">
    <w:pPr>
      <w:pStyle w:val="Header"/>
    </w:pPr>
    <w:r>
      <w:rPr>
        <w:rFonts w:ascii="Calibri" w:hAnsi="Calibri"/>
        <w:szCs w:val="18"/>
        <w:lang w:val="en-US"/>
      </w:rPr>
      <w:t>–</w:t>
    </w:r>
    <w:r w:rsidRPr="00163E5C">
      <w:rPr>
        <w:rFonts w:ascii="Calibri" w:hAnsi="Calibri"/>
        <w:szCs w:val="18"/>
        <w:lang w:val="en-US"/>
      </w:rPr>
      <w:t xml:space="preserve"> </w:t>
    </w:r>
    <w:r w:rsidRPr="00163E5C">
      <w:rPr>
        <w:rStyle w:val="PageNumber"/>
        <w:rFonts w:ascii="Calibri" w:hAnsi="Calibri"/>
        <w:szCs w:val="18"/>
      </w:rPr>
      <w:fldChar w:fldCharType="begin"/>
    </w:r>
    <w:r w:rsidRPr="00163E5C">
      <w:rPr>
        <w:rStyle w:val="PageNumber"/>
        <w:rFonts w:ascii="Calibri" w:hAnsi="Calibri"/>
        <w:szCs w:val="18"/>
      </w:rPr>
      <w:instrText xml:space="preserve"> PAGE </w:instrText>
    </w:r>
    <w:r w:rsidRPr="00163E5C">
      <w:rPr>
        <w:rStyle w:val="PageNumber"/>
        <w:rFonts w:ascii="Calibri" w:hAnsi="Calibri"/>
        <w:szCs w:val="18"/>
      </w:rPr>
      <w:fldChar w:fldCharType="separate"/>
    </w:r>
    <w:r>
      <w:rPr>
        <w:rStyle w:val="PageNumber"/>
        <w:rFonts w:ascii="Calibri" w:hAnsi="Calibri"/>
        <w:noProof/>
        <w:szCs w:val="18"/>
      </w:rPr>
      <w:t>84</w:t>
    </w:r>
    <w:r w:rsidRPr="00163E5C">
      <w:rPr>
        <w:rStyle w:val="PageNumber"/>
        <w:rFonts w:ascii="Calibri" w:hAnsi="Calibri"/>
        <w:szCs w:val="18"/>
      </w:rPr>
      <w:fldChar w:fldCharType="end"/>
    </w:r>
    <w:r w:rsidRPr="00163E5C">
      <w:rPr>
        <w:rStyle w:val="PageNumber"/>
        <w:rFonts w:ascii="Calibri" w:hAnsi="Calibri"/>
        <w:szCs w:val="18"/>
      </w:rPr>
      <w:t xml:space="preserve"> </w:t>
    </w:r>
    <w:r>
      <w:rPr>
        <w:rStyle w:val="PageNumber"/>
        <w:rFonts w:ascii="Calibri" w:hAnsi="Calibri"/>
        <w:szCs w:val="18"/>
      </w:rPr>
      <w:t>–</w:t>
    </w:r>
    <w:r w:rsidRPr="00163E5C">
      <w:rPr>
        <w:rStyle w:val="PageNumber"/>
        <w:rFonts w:ascii="Calibri" w:hAnsi="Calibri"/>
      </w:rPr>
      <w:br/>
    </w:r>
    <w:r>
      <w:rPr>
        <w:rStyle w:val="PageNumber"/>
        <w:rFonts w:hint="eastAsia"/>
        <w:szCs w:val="18"/>
        <w:lang w:eastAsia="zh-CN"/>
      </w:rPr>
      <w:t>（</w:t>
    </w:r>
    <w:r>
      <w:rPr>
        <w:rFonts w:hint="eastAsia"/>
        <w:szCs w:val="18"/>
        <w:lang w:eastAsia="zh-CN"/>
      </w:rPr>
      <w:t>2</w:t>
    </w:r>
    <w:r w:rsidRPr="0078386B">
      <w:rPr>
        <w:szCs w:val="18"/>
        <w:lang w:eastAsia="zh-CN"/>
      </w:rPr>
      <w:t>.</w:t>
    </w:r>
    <w:r>
      <w:rPr>
        <w:szCs w:val="18"/>
        <w:lang w:eastAsia="zh-CN"/>
      </w:rPr>
      <w:t>3</w:t>
    </w:r>
    <w:r w:rsidRPr="0078386B">
      <w:rPr>
        <w:szCs w:val="18"/>
        <w:lang w:eastAsia="zh-CN"/>
      </w:rPr>
      <w:t xml:space="preserve"> –</w:t>
    </w:r>
    <w:r>
      <w:rPr>
        <w:szCs w:val="18"/>
        <w:lang w:eastAsia="zh-CN"/>
      </w:rPr>
      <w:t xml:space="preserve"> </w:t>
    </w:r>
    <w:r>
      <w:rPr>
        <w:rFonts w:hint="eastAsia"/>
        <w:lang w:eastAsia="zh-CN"/>
      </w:rPr>
      <w:t>养恤</w:t>
    </w:r>
    <w:r>
      <w:rPr>
        <w:lang w:eastAsia="zh-CN"/>
      </w:rPr>
      <w:t>金</w:t>
    </w:r>
    <w:r>
      <w:rPr>
        <w:rStyle w:val="PageNumber"/>
        <w:rFonts w:hint="eastAsia"/>
        <w:szCs w:val="18"/>
        <w:lang w:eastAsia="zh-CN"/>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D2" w14:textId="77777777" w:rsidR="000B642F" w:rsidRDefault="000B642F" w:rsidP="00C45305">
    <w:pPr>
      <w:pStyle w:val="Header"/>
      <w:rPr>
        <w:i/>
        <w:iCs/>
        <w:lang w:val="en-US"/>
      </w:rPr>
    </w:pPr>
    <w:r>
      <w:rPr>
        <w:lang w:val="en-US" w:eastAsia="zh-CN"/>
      </w:rPr>
      <w:t>–</w:t>
    </w:r>
    <w:r>
      <w:rPr>
        <w:rFonts w:hint="eastAsia"/>
        <w:lang w:val="en-US" w:eastAsia="zh-CN"/>
      </w:rPr>
      <w:t xml:space="preserve"> </w:t>
    </w:r>
    <w:r w:rsidRPr="0071484E">
      <w:rPr>
        <w:rStyle w:val="PageNumber"/>
        <w:rFonts w:ascii="Calibri" w:hAnsi="Calibri"/>
      </w:rPr>
      <w:fldChar w:fldCharType="begin"/>
    </w:r>
    <w:r w:rsidRPr="0071484E">
      <w:rPr>
        <w:rStyle w:val="PageNumber"/>
        <w:rFonts w:ascii="Calibri" w:hAnsi="Calibri"/>
      </w:rPr>
      <w:instrText xml:space="preserve"> PAGE </w:instrText>
    </w:r>
    <w:r w:rsidRPr="0071484E">
      <w:rPr>
        <w:rStyle w:val="PageNumber"/>
        <w:rFonts w:ascii="Calibri" w:hAnsi="Calibri"/>
      </w:rPr>
      <w:fldChar w:fldCharType="separate"/>
    </w:r>
    <w:r>
      <w:rPr>
        <w:rStyle w:val="PageNumber"/>
        <w:rFonts w:ascii="Calibri" w:hAnsi="Calibri"/>
        <w:noProof/>
      </w:rPr>
      <w:t>xv</w:t>
    </w:r>
    <w:r w:rsidRPr="0071484E">
      <w:rPr>
        <w:rStyle w:val="PageNumber"/>
        <w:rFonts w:ascii="Calibri" w:hAnsi="Calibri"/>
      </w:rPr>
      <w:fldChar w:fldCharType="end"/>
    </w:r>
    <w:r>
      <w:rPr>
        <w:lang w:val="en-US"/>
      </w:rPr>
      <w:t xml:space="preserve"> –</w:t>
    </w:r>
    <w:r>
      <w:rPr>
        <w:rStyle w:val="PageNumber"/>
      </w:rPr>
      <w:br/>
    </w:r>
    <w:r w:rsidRPr="002176E8">
      <w:rPr>
        <w:rStyle w:val="PageNumber"/>
        <w:rFonts w:ascii="STKaiti" w:eastAsia="STKaiti" w:hAnsi="STKaiti" w:hint="eastAsia"/>
        <w:lang w:eastAsia="zh-CN"/>
      </w:rPr>
      <w:t>（</w:t>
    </w:r>
    <w:r>
      <w:rPr>
        <w:rStyle w:val="PageNumber"/>
        <w:rFonts w:ascii="STKaiti" w:eastAsia="STKaiti" w:hAnsi="STKaiti" w:hint="eastAsia"/>
        <w:lang w:eastAsia="zh-CN"/>
      </w:rPr>
      <w:t>总</w:t>
    </w:r>
    <w:r w:rsidRPr="002176E8">
      <w:rPr>
        <w:rStyle w:val="PageNumber"/>
        <w:rFonts w:ascii="STKaiti" w:eastAsia="STKaiti" w:hAnsi="STKaiti" w:hint="eastAsia"/>
        <w:lang w:eastAsia="zh-CN"/>
      </w:rPr>
      <w:t>目录）</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09" w14:textId="77777777" w:rsidR="000B642F" w:rsidRPr="00163E5C" w:rsidRDefault="000B642F" w:rsidP="00163E5C">
    <w:pPr>
      <w:pStyle w:val="Header1"/>
    </w:pPr>
    <w:r>
      <w:t>–</w:t>
    </w:r>
    <w:r w:rsidRPr="00163E5C">
      <w:t xml:space="preserve"> </w:t>
    </w:r>
    <w:r>
      <w:fldChar w:fldCharType="begin"/>
    </w:r>
    <w:r>
      <w:instrText xml:space="preserve"> PAGE </w:instrText>
    </w:r>
    <w:r>
      <w:fldChar w:fldCharType="separate"/>
    </w:r>
    <w:r>
      <w:rPr>
        <w:noProof/>
      </w:rPr>
      <w:t>90</w:t>
    </w:r>
    <w:r>
      <w:rPr>
        <w:noProof/>
      </w:rPr>
      <w:fldChar w:fldCharType="end"/>
    </w:r>
    <w:r w:rsidRPr="00163E5C">
      <w:t xml:space="preserve"> </w:t>
    </w:r>
    <w:r>
      <w:t>–</w:t>
    </w:r>
    <w:r w:rsidRPr="00163E5C">
      <w:br/>
    </w:r>
    <w:r w:rsidRPr="00163E5C">
      <w:rPr>
        <w:rFonts w:hint="eastAsia"/>
      </w:rPr>
      <w:t>（</w:t>
    </w:r>
    <w:r w:rsidRPr="00163E5C">
      <w:rPr>
        <w:rFonts w:hint="eastAsia"/>
      </w:rPr>
      <w:t>2</w:t>
    </w:r>
    <w:r w:rsidRPr="00163E5C">
      <w:t>.</w:t>
    </w:r>
    <w:r w:rsidRPr="00163E5C">
      <w:rPr>
        <w:rFonts w:hint="eastAsia"/>
      </w:rPr>
      <w:t xml:space="preserve">4 </w:t>
    </w:r>
    <w:r w:rsidRPr="00163E5C">
      <w:t xml:space="preserve">– </w:t>
    </w:r>
    <w:r w:rsidRPr="00163E5C">
      <w:rPr>
        <w:rFonts w:hint="eastAsia"/>
      </w:rPr>
      <w:t>其它人事事宜）</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0A" w14:textId="77777777" w:rsidR="000B642F" w:rsidRPr="00163E5C" w:rsidRDefault="000B642F" w:rsidP="00CC0CAA">
    <w:pPr>
      <w:pStyle w:val="Header1"/>
    </w:pPr>
    <w:r>
      <w:t>–</w:t>
    </w:r>
    <w:r w:rsidRPr="00163E5C">
      <w:t xml:space="preserve"> </w:t>
    </w:r>
    <w:r>
      <w:fldChar w:fldCharType="begin"/>
    </w:r>
    <w:r>
      <w:instrText xml:space="preserve"> PAGE </w:instrText>
    </w:r>
    <w:r>
      <w:fldChar w:fldCharType="separate"/>
    </w:r>
    <w:r>
      <w:rPr>
        <w:noProof/>
      </w:rPr>
      <w:t>91</w:t>
    </w:r>
    <w:r>
      <w:rPr>
        <w:noProof/>
      </w:rPr>
      <w:fldChar w:fldCharType="end"/>
    </w:r>
    <w:r w:rsidRPr="00163E5C">
      <w:t xml:space="preserve"> </w:t>
    </w:r>
    <w:r>
      <w:t>–</w:t>
    </w:r>
    <w:r w:rsidRPr="00163E5C">
      <w:br/>
    </w:r>
    <w:r w:rsidRPr="00163E5C">
      <w:rPr>
        <w:rFonts w:hint="eastAsia"/>
      </w:rPr>
      <w:t>（</w:t>
    </w:r>
    <w:r w:rsidRPr="00163E5C">
      <w:rPr>
        <w:rFonts w:hint="eastAsia"/>
      </w:rPr>
      <w:t>2</w:t>
    </w:r>
    <w:r w:rsidRPr="00163E5C">
      <w:t>.</w:t>
    </w:r>
    <w:r w:rsidRPr="00163E5C">
      <w:rPr>
        <w:rFonts w:hint="eastAsia"/>
      </w:rPr>
      <w:t xml:space="preserve">4 </w:t>
    </w:r>
    <w:r w:rsidRPr="00163E5C">
      <w:t xml:space="preserve">– </w:t>
    </w:r>
    <w:r w:rsidRPr="00163E5C">
      <w:rPr>
        <w:rFonts w:hint="eastAsia"/>
      </w:rPr>
      <w:t>其它人事事宜）</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0C" w14:textId="77777777" w:rsidR="000B642F" w:rsidRDefault="000B642F" w:rsidP="00531347">
    <w:pPr>
      <w:pStyle w:val="Header"/>
    </w:pPr>
    <w:r>
      <w:rPr>
        <w:rFonts w:ascii="Calibri" w:hAnsi="Calibri"/>
        <w:szCs w:val="18"/>
        <w:lang w:val="en-US"/>
      </w:rPr>
      <w:t>–</w:t>
    </w:r>
    <w:r w:rsidRPr="00163E5C">
      <w:rPr>
        <w:rFonts w:ascii="Calibri" w:hAnsi="Calibri"/>
        <w:szCs w:val="18"/>
        <w:lang w:val="en-US"/>
      </w:rPr>
      <w:t xml:space="preserve"> </w:t>
    </w:r>
    <w:r w:rsidRPr="00163E5C">
      <w:rPr>
        <w:rStyle w:val="PageNumber"/>
        <w:rFonts w:ascii="Calibri" w:hAnsi="Calibri"/>
        <w:szCs w:val="18"/>
      </w:rPr>
      <w:fldChar w:fldCharType="begin"/>
    </w:r>
    <w:r w:rsidRPr="00163E5C">
      <w:rPr>
        <w:rStyle w:val="PageNumber"/>
        <w:rFonts w:ascii="Calibri" w:hAnsi="Calibri"/>
        <w:szCs w:val="18"/>
      </w:rPr>
      <w:instrText xml:space="preserve"> PAGE </w:instrText>
    </w:r>
    <w:r w:rsidRPr="00163E5C">
      <w:rPr>
        <w:rStyle w:val="PageNumber"/>
        <w:rFonts w:ascii="Calibri" w:hAnsi="Calibri"/>
        <w:szCs w:val="18"/>
      </w:rPr>
      <w:fldChar w:fldCharType="separate"/>
    </w:r>
    <w:r>
      <w:rPr>
        <w:rStyle w:val="PageNumber"/>
        <w:rFonts w:ascii="Calibri" w:hAnsi="Calibri"/>
        <w:noProof/>
        <w:szCs w:val="18"/>
      </w:rPr>
      <w:t>89</w:t>
    </w:r>
    <w:r w:rsidRPr="00163E5C">
      <w:rPr>
        <w:rStyle w:val="PageNumber"/>
        <w:rFonts w:ascii="Calibri" w:hAnsi="Calibri"/>
        <w:szCs w:val="18"/>
      </w:rPr>
      <w:fldChar w:fldCharType="end"/>
    </w:r>
    <w:r w:rsidRPr="00163E5C">
      <w:rPr>
        <w:rStyle w:val="PageNumber"/>
        <w:rFonts w:ascii="Calibri" w:hAnsi="Calibri"/>
        <w:szCs w:val="18"/>
      </w:rPr>
      <w:t xml:space="preserve"> </w:t>
    </w:r>
    <w:r>
      <w:rPr>
        <w:rStyle w:val="PageNumber"/>
        <w:rFonts w:ascii="Calibri" w:hAnsi="Calibri"/>
        <w:szCs w:val="18"/>
      </w:rPr>
      <w:t>–</w:t>
    </w:r>
    <w:r w:rsidRPr="00163E5C">
      <w:rPr>
        <w:rStyle w:val="PageNumber"/>
        <w:rFonts w:ascii="Calibri" w:hAnsi="Calibri"/>
      </w:rPr>
      <w:br/>
    </w:r>
    <w:r w:rsidRPr="00163E5C">
      <w:rPr>
        <w:rFonts w:hint="eastAsia"/>
      </w:rPr>
      <w:t>（</w:t>
    </w:r>
    <w:r w:rsidRPr="00163E5C">
      <w:rPr>
        <w:rFonts w:hint="eastAsia"/>
      </w:rPr>
      <w:t>2</w:t>
    </w:r>
    <w:r w:rsidRPr="00163E5C">
      <w:t>.</w:t>
    </w:r>
    <w:r w:rsidRPr="00163E5C">
      <w:rPr>
        <w:rFonts w:hint="eastAsia"/>
      </w:rPr>
      <w:t xml:space="preserve">4 </w:t>
    </w:r>
    <w:r w:rsidRPr="00163E5C">
      <w:t xml:space="preserve">– </w:t>
    </w:r>
    <w:r w:rsidRPr="00163E5C">
      <w:rPr>
        <w:rFonts w:hint="eastAsia"/>
      </w:rPr>
      <w:t>其它人事事宜）</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0D" w14:textId="77777777" w:rsidR="000B642F" w:rsidRPr="00163E5C" w:rsidRDefault="000B642F" w:rsidP="00F257F9">
    <w:pPr>
      <w:pStyle w:val="Header1"/>
    </w:pPr>
    <w:r>
      <w:t>–</w:t>
    </w:r>
    <w:r w:rsidRPr="00163E5C">
      <w:t xml:space="preserve"> </w:t>
    </w:r>
    <w:r>
      <w:fldChar w:fldCharType="begin"/>
    </w:r>
    <w:r>
      <w:instrText xml:space="preserve"> PAGE </w:instrText>
    </w:r>
    <w:r>
      <w:fldChar w:fldCharType="separate"/>
    </w:r>
    <w:r>
      <w:rPr>
        <w:noProof/>
      </w:rPr>
      <w:t>100</w:t>
    </w:r>
    <w:r>
      <w:rPr>
        <w:noProof/>
      </w:rPr>
      <w:fldChar w:fldCharType="end"/>
    </w:r>
    <w:r>
      <w:t xml:space="preserve"> –</w:t>
    </w:r>
    <w:r w:rsidRPr="00163E5C">
      <w:br/>
    </w:r>
    <w:r w:rsidRPr="00163E5C">
      <w:rPr>
        <w:rStyle w:val="PageNumber"/>
        <w:rFonts w:ascii="Calibri" w:eastAsia="STKaiti" w:hAnsi="Calibri" w:hint="eastAsia"/>
      </w:rPr>
      <w:t>（</w:t>
    </w:r>
    <w:r w:rsidRPr="00163E5C">
      <w:rPr>
        <w:rStyle w:val="PageNumber"/>
        <w:rFonts w:ascii="Calibri" w:eastAsia="STKaiti" w:hAnsi="Calibri"/>
      </w:rPr>
      <w:t>3.</w:t>
    </w:r>
    <w:r>
      <w:rPr>
        <w:rStyle w:val="PageNumber"/>
        <w:rFonts w:ascii="Calibri" w:eastAsia="STKaiti" w:hAnsi="Calibri"/>
      </w:rPr>
      <w:t>1</w:t>
    </w:r>
    <w:r w:rsidRPr="00163E5C">
      <w:rPr>
        <w:rStyle w:val="PageNumber"/>
        <w:rFonts w:ascii="Calibri" w:eastAsia="STKaiti" w:hAnsi="Calibri"/>
      </w:rPr>
      <w:t xml:space="preserve"> – </w:t>
    </w:r>
    <w:r w:rsidRPr="00F257F9">
      <w:rPr>
        <w:rFonts w:hint="eastAsia"/>
      </w:rPr>
      <w:t>大会和会议</w:t>
    </w:r>
    <w:r w:rsidRPr="00F257F9">
      <w:rPr>
        <w:rFonts w:hint="eastAsia"/>
      </w:rPr>
      <w:t>/</w:t>
    </w:r>
    <w:r w:rsidRPr="00EC4652">
      <w:rPr>
        <w:rFonts w:hint="eastAsia"/>
      </w:rPr>
      <w:t>总则</w:t>
    </w:r>
    <w:r w:rsidRPr="00163E5C">
      <w:rPr>
        <w:rStyle w:val="PageNumber"/>
        <w:rFonts w:ascii="Calibri" w:eastAsia="STKaiti" w:hAnsi="Calibri" w:hint="eastAsia"/>
      </w:rPr>
      <w:t>）</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0E" w14:textId="77777777" w:rsidR="000B642F" w:rsidRPr="00163E5C" w:rsidRDefault="000B642F" w:rsidP="00EC4652">
    <w:pPr>
      <w:pStyle w:val="Header1"/>
    </w:pPr>
    <w:r>
      <w:t>–</w:t>
    </w:r>
    <w:r w:rsidRPr="00163E5C">
      <w:t xml:space="preserve"> </w:t>
    </w:r>
    <w:r w:rsidRPr="00163E5C">
      <w:rPr>
        <w:rStyle w:val="PageNumber"/>
        <w:rFonts w:ascii="Calibri" w:eastAsia="STKaiti" w:hAnsi="Calibri"/>
      </w:rPr>
      <w:fldChar w:fldCharType="begin"/>
    </w:r>
    <w:r w:rsidRPr="00163E5C">
      <w:rPr>
        <w:rStyle w:val="PageNumber"/>
        <w:rFonts w:ascii="Calibri" w:eastAsia="STKaiti" w:hAnsi="Calibri"/>
      </w:rPr>
      <w:instrText xml:space="preserve"> PAGE </w:instrText>
    </w:r>
    <w:r w:rsidRPr="00163E5C">
      <w:rPr>
        <w:rStyle w:val="PageNumber"/>
        <w:rFonts w:ascii="Calibri" w:eastAsia="STKaiti" w:hAnsi="Calibri"/>
      </w:rPr>
      <w:fldChar w:fldCharType="separate"/>
    </w:r>
    <w:r>
      <w:rPr>
        <w:rStyle w:val="PageNumber"/>
        <w:rFonts w:ascii="Calibri" w:eastAsia="STKaiti" w:hAnsi="Calibri"/>
        <w:noProof/>
      </w:rPr>
      <w:t>99</w:t>
    </w:r>
    <w:r w:rsidRPr="00163E5C">
      <w:rPr>
        <w:rStyle w:val="PageNumber"/>
        <w:rFonts w:ascii="Calibri" w:eastAsia="STKaiti" w:hAnsi="Calibri"/>
      </w:rPr>
      <w:fldChar w:fldCharType="end"/>
    </w:r>
    <w:r w:rsidRPr="00163E5C">
      <w:rPr>
        <w:rStyle w:val="PageNumber"/>
        <w:rFonts w:ascii="Calibri" w:eastAsia="STKaiti" w:hAnsi="Calibri"/>
      </w:rPr>
      <w:t xml:space="preserve"> </w:t>
    </w:r>
    <w:r>
      <w:rPr>
        <w:rStyle w:val="PageNumber"/>
        <w:rFonts w:ascii="Calibri" w:eastAsia="STKaiti" w:hAnsi="Calibri"/>
      </w:rPr>
      <w:t>–</w:t>
    </w:r>
    <w:r w:rsidRPr="00163E5C">
      <w:rPr>
        <w:rStyle w:val="PageNumber"/>
        <w:rFonts w:ascii="Calibri" w:eastAsia="STKaiti" w:hAnsi="Calibri"/>
      </w:rPr>
      <w:br/>
    </w:r>
    <w:r w:rsidRPr="00163E5C">
      <w:rPr>
        <w:rStyle w:val="PageNumber"/>
        <w:rFonts w:ascii="Calibri" w:eastAsia="STKaiti" w:hAnsi="Calibri" w:hint="eastAsia"/>
      </w:rPr>
      <w:t>（</w:t>
    </w:r>
    <w:r w:rsidRPr="00163E5C">
      <w:rPr>
        <w:rStyle w:val="PageNumber"/>
        <w:rFonts w:ascii="Calibri" w:eastAsia="STKaiti" w:hAnsi="Calibri"/>
      </w:rPr>
      <w:t>3.</w:t>
    </w:r>
    <w:r>
      <w:rPr>
        <w:rStyle w:val="PageNumber"/>
        <w:rFonts w:ascii="Calibri" w:eastAsia="STKaiti" w:hAnsi="Calibri"/>
      </w:rPr>
      <w:t>1</w:t>
    </w:r>
    <w:r w:rsidRPr="00163E5C">
      <w:rPr>
        <w:rStyle w:val="PageNumber"/>
        <w:rFonts w:ascii="Calibri" w:eastAsia="STKaiti" w:hAnsi="Calibri"/>
      </w:rPr>
      <w:t xml:space="preserve"> – </w:t>
    </w:r>
    <w:r w:rsidRPr="00F257F9">
      <w:rPr>
        <w:rFonts w:hint="eastAsia"/>
      </w:rPr>
      <w:t>大会和会议</w:t>
    </w:r>
    <w:r w:rsidRPr="00F257F9">
      <w:rPr>
        <w:rFonts w:hint="eastAsia"/>
      </w:rPr>
      <w:t>/</w:t>
    </w:r>
    <w:r w:rsidRPr="00EC4652">
      <w:rPr>
        <w:rFonts w:hint="eastAsia"/>
      </w:rPr>
      <w:t>总则</w:t>
    </w:r>
    <w:r w:rsidRPr="00163E5C">
      <w:rPr>
        <w:rStyle w:val="PageNumber"/>
        <w:rFonts w:ascii="Calibri" w:eastAsia="STKaiti" w:hAnsi="Calibri" w:hint="eastAsia"/>
      </w:rPr>
      <w:t>）</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0F" w14:textId="77777777" w:rsidR="000B642F" w:rsidRDefault="000B642F" w:rsidP="00531347">
    <w:pPr>
      <w:pStyle w:val="Header"/>
    </w:pPr>
    <w:r>
      <w:rPr>
        <w:rFonts w:ascii="Calibri" w:hAnsi="Calibri"/>
        <w:szCs w:val="18"/>
        <w:lang w:val="en-US"/>
      </w:rPr>
      <w:t>–</w:t>
    </w:r>
    <w:r w:rsidRPr="00163E5C">
      <w:rPr>
        <w:rFonts w:ascii="Calibri" w:hAnsi="Calibri"/>
        <w:szCs w:val="18"/>
        <w:lang w:val="en-US"/>
      </w:rPr>
      <w:t xml:space="preserve"> </w:t>
    </w:r>
    <w:r w:rsidRPr="00163E5C">
      <w:rPr>
        <w:rStyle w:val="PageNumber"/>
        <w:rFonts w:ascii="Calibri" w:hAnsi="Calibri"/>
        <w:szCs w:val="18"/>
      </w:rPr>
      <w:fldChar w:fldCharType="begin"/>
    </w:r>
    <w:r w:rsidRPr="00163E5C">
      <w:rPr>
        <w:rStyle w:val="PageNumber"/>
        <w:rFonts w:ascii="Calibri" w:hAnsi="Calibri"/>
        <w:szCs w:val="18"/>
      </w:rPr>
      <w:instrText xml:space="preserve"> PAGE </w:instrText>
    </w:r>
    <w:r w:rsidRPr="00163E5C">
      <w:rPr>
        <w:rStyle w:val="PageNumber"/>
        <w:rFonts w:ascii="Calibri" w:hAnsi="Calibri"/>
        <w:szCs w:val="18"/>
      </w:rPr>
      <w:fldChar w:fldCharType="separate"/>
    </w:r>
    <w:r>
      <w:rPr>
        <w:rStyle w:val="PageNumber"/>
        <w:rFonts w:ascii="Calibri" w:hAnsi="Calibri"/>
        <w:noProof/>
        <w:szCs w:val="18"/>
      </w:rPr>
      <w:t>93</w:t>
    </w:r>
    <w:r w:rsidRPr="00163E5C">
      <w:rPr>
        <w:rStyle w:val="PageNumber"/>
        <w:rFonts w:ascii="Calibri" w:hAnsi="Calibri"/>
        <w:szCs w:val="18"/>
      </w:rPr>
      <w:fldChar w:fldCharType="end"/>
    </w:r>
    <w:r w:rsidRPr="00163E5C">
      <w:rPr>
        <w:rStyle w:val="PageNumber"/>
        <w:rFonts w:ascii="Calibri" w:hAnsi="Calibri"/>
        <w:szCs w:val="18"/>
      </w:rPr>
      <w:t xml:space="preserve"> </w:t>
    </w:r>
    <w:r>
      <w:rPr>
        <w:rStyle w:val="PageNumber"/>
        <w:rFonts w:ascii="Calibri" w:hAnsi="Calibri"/>
        <w:szCs w:val="18"/>
      </w:rPr>
      <w:t>–</w:t>
    </w:r>
    <w:r w:rsidRPr="00163E5C">
      <w:rPr>
        <w:rStyle w:val="PageNumber"/>
        <w:rFonts w:ascii="Calibri" w:hAnsi="Calibri"/>
      </w:rPr>
      <w:br/>
    </w:r>
    <w:r w:rsidRPr="00163E5C">
      <w:rPr>
        <w:rStyle w:val="PageNumber"/>
        <w:rFonts w:ascii="Calibri" w:eastAsia="STKaiti" w:hAnsi="Calibri" w:hint="eastAsia"/>
      </w:rPr>
      <w:t>（</w:t>
    </w:r>
    <w:r w:rsidRPr="00163E5C">
      <w:rPr>
        <w:rStyle w:val="PageNumber"/>
        <w:rFonts w:ascii="Calibri" w:eastAsia="STKaiti" w:hAnsi="Calibri"/>
      </w:rPr>
      <w:t>3.</w:t>
    </w:r>
    <w:r>
      <w:rPr>
        <w:rStyle w:val="PageNumber"/>
        <w:rFonts w:ascii="Calibri" w:eastAsia="STKaiti" w:hAnsi="Calibri"/>
      </w:rPr>
      <w:t>1</w:t>
    </w:r>
    <w:r w:rsidRPr="00163E5C">
      <w:rPr>
        <w:rStyle w:val="PageNumber"/>
        <w:rFonts w:ascii="Calibri" w:eastAsia="STKaiti" w:hAnsi="Calibri"/>
      </w:rPr>
      <w:t xml:space="preserve"> – </w:t>
    </w:r>
    <w:r w:rsidRPr="00F257F9">
      <w:rPr>
        <w:rFonts w:hint="eastAsia"/>
      </w:rPr>
      <w:t>大会和会议</w:t>
    </w:r>
    <w:r w:rsidRPr="00F257F9">
      <w:rPr>
        <w:rFonts w:hint="eastAsia"/>
      </w:rPr>
      <w:t>/</w:t>
    </w:r>
    <w:r w:rsidRPr="00EC4652">
      <w:rPr>
        <w:rFonts w:hint="eastAsia"/>
      </w:rPr>
      <w:t>总则</w:t>
    </w:r>
    <w:r w:rsidRPr="00163E5C">
      <w:rPr>
        <w:rStyle w:val="PageNumber"/>
        <w:rFonts w:ascii="Calibri" w:eastAsia="STKaiti" w:hAnsi="Calibri" w:hint="eastAsia"/>
      </w:rPr>
      <w:t>）</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10" w14:textId="77777777" w:rsidR="000B642F" w:rsidRPr="00163E5C" w:rsidRDefault="000B642F" w:rsidP="00EC4652">
    <w:pPr>
      <w:pStyle w:val="Header1"/>
    </w:pPr>
    <w:r>
      <w:t>–</w:t>
    </w:r>
    <w:r w:rsidRPr="00163E5C">
      <w:t xml:space="preserve"> </w:t>
    </w:r>
    <w:r>
      <w:fldChar w:fldCharType="begin"/>
    </w:r>
    <w:r>
      <w:instrText xml:space="preserve"> PAGE </w:instrText>
    </w:r>
    <w:r>
      <w:fldChar w:fldCharType="separate"/>
    </w:r>
    <w:r>
      <w:rPr>
        <w:noProof/>
      </w:rPr>
      <w:t>140</w:t>
    </w:r>
    <w:r>
      <w:rPr>
        <w:noProof/>
      </w:rPr>
      <w:fldChar w:fldCharType="end"/>
    </w:r>
    <w:r w:rsidRPr="00163E5C">
      <w:t xml:space="preserve"> </w:t>
    </w:r>
    <w:r>
      <w:t>–</w:t>
    </w:r>
    <w:r w:rsidRPr="00163E5C">
      <w:br/>
    </w:r>
    <w:r w:rsidRPr="00163E5C">
      <w:rPr>
        <w:rFonts w:hint="eastAsia"/>
      </w:rPr>
      <w:t>（</w:t>
    </w:r>
    <w:r>
      <w:rPr>
        <w:rFonts w:eastAsiaTheme="minorEastAsia" w:hint="eastAsia"/>
        <w:lang w:eastAsia="zh-CN"/>
      </w:rPr>
      <w:t>3.2</w:t>
    </w:r>
    <w:r w:rsidRPr="00163E5C">
      <w:rPr>
        <w:rFonts w:hint="eastAsia"/>
      </w:rPr>
      <w:t xml:space="preserve"> </w:t>
    </w:r>
    <w:r w:rsidRPr="00163E5C">
      <w:t xml:space="preserve">– </w:t>
    </w:r>
    <w:r w:rsidRPr="00EC4652">
      <w:rPr>
        <w:rFonts w:hint="eastAsia"/>
      </w:rPr>
      <w:t>理事会</w:t>
    </w:r>
    <w:r w:rsidRPr="00163E5C">
      <w:rPr>
        <w:rFonts w:hint="eastAsia"/>
      </w:rPr>
      <w:t>）</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11" w14:textId="77777777" w:rsidR="000B642F" w:rsidRPr="00163E5C" w:rsidRDefault="000B642F" w:rsidP="00EC4652">
    <w:pPr>
      <w:pStyle w:val="Header1"/>
    </w:pPr>
    <w:r>
      <w:t>–</w:t>
    </w:r>
    <w:r w:rsidRPr="00163E5C">
      <w:t xml:space="preserve"> </w:t>
    </w:r>
    <w:r w:rsidRPr="00163E5C">
      <w:rPr>
        <w:rStyle w:val="PageNumber"/>
        <w:rFonts w:ascii="Calibri" w:eastAsia="STKaiti" w:hAnsi="Calibri"/>
      </w:rPr>
      <w:fldChar w:fldCharType="begin"/>
    </w:r>
    <w:r w:rsidRPr="00163E5C">
      <w:rPr>
        <w:rStyle w:val="PageNumber"/>
        <w:rFonts w:ascii="Calibri" w:eastAsia="STKaiti" w:hAnsi="Calibri"/>
      </w:rPr>
      <w:instrText xml:space="preserve"> PAGE </w:instrText>
    </w:r>
    <w:r w:rsidRPr="00163E5C">
      <w:rPr>
        <w:rStyle w:val="PageNumber"/>
        <w:rFonts w:ascii="Calibri" w:eastAsia="STKaiti" w:hAnsi="Calibri"/>
      </w:rPr>
      <w:fldChar w:fldCharType="separate"/>
    </w:r>
    <w:r>
      <w:rPr>
        <w:rStyle w:val="PageNumber"/>
        <w:rFonts w:ascii="Calibri" w:eastAsia="STKaiti" w:hAnsi="Calibri"/>
        <w:noProof/>
      </w:rPr>
      <w:t>139</w:t>
    </w:r>
    <w:r w:rsidRPr="00163E5C">
      <w:rPr>
        <w:rStyle w:val="PageNumber"/>
        <w:rFonts w:ascii="Calibri" w:eastAsia="STKaiti" w:hAnsi="Calibri"/>
      </w:rPr>
      <w:fldChar w:fldCharType="end"/>
    </w:r>
    <w:r>
      <w:rPr>
        <w:rStyle w:val="PageNumber"/>
        <w:rFonts w:ascii="Calibri" w:eastAsia="STKaiti" w:hAnsi="Calibri"/>
      </w:rPr>
      <w:t xml:space="preserve"> –</w:t>
    </w:r>
    <w:r w:rsidRPr="00163E5C">
      <w:rPr>
        <w:rStyle w:val="PageNumber"/>
        <w:rFonts w:ascii="Calibri" w:eastAsia="STKaiti" w:hAnsi="Calibri"/>
      </w:rPr>
      <w:br/>
    </w:r>
    <w:r w:rsidRPr="00163E5C">
      <w:rPr>
        <w:rFonts w:hint="eastAsia"/>
      </w:rPr>
      <w:t>（</w:t>
    </w:r>
    <w:r>
      <w:rPr>
        <w:rFonts w:eastAsiaTheme="minorEastAsia" w:hint="eastAsia"/>
        <w:lang w:eastAsia="zh-CN"/>
      </w:rPr>
      <w:t>3.2</w:t>
    </w:r>
    <w:r w:rsidRPr="00163E5C">
      <w:rPr>
        <w:rFonts w:hint="eastAsia"/>
      </w:rPr>
      <w:t xml:space="preserve"> </w:t>
    </w:r>
    <w:r w:rsidRPr="00163E5C">
      <w:t xml:space="preserve">– </w:t>
    </w:r>
    <w:r w:rsidRPr="00EC4652">
      <w:rPr>
        <w:rFonts w:hint="eastAsia"/>
      </w:rPr>
      <w:t>理事会</w:t>
    </w:r>
    <w:r w:rsidRPr="00163E5C">
      <w:rPr>
        <w:rFonts w:hint="eastAsia"/>
      </w:rPr>
      <w:t>）</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12" w14:textId="77777777" w:rsidR="000B642F" w:rsidRPr="000E1297" w:rsidRDefault="000B642F" w:rsidP="006045EB">
    <w:pPr>
      <w:pStyle w:val="Header"/>
      <w:rPr>
        <w:lang w:val="en-US"/>
      </w:rPr>
    </w:pPr>
    <w:r>
      <w:rPr>
        <w:rFonts w:ascii="Calibri" w:hAnsi="Calibri"/>
        <w:szCs w:val="18"/>
        <w:lang w:val="en-US"/>
      </w:rPr>
      <w:t>–</w:t>
    </w:r>
    <w:r w:rsidRPr="00163E5C">
      <w:rPr>
        <w:rFonts w:ascii="Calibri" w:hAnsi="Calibri"/>
        <w:szCs w:val="18"/>
        <w:lang w:val="en-US"/>
      </w:rPr>
      <w:t xml:space="preserve"> </w:t>
    </w:r>
    <w:r w:rsidRPr="00163E5C">
      <w:rPr>
        <w:rStyle w:val="PageNumber"/>
        <w:rFonts w:ascii="Calibri" w:hAnsi="Calibri"/>
        <w:szCs w:val="18"/>
      </w:rPr>
      <w:fldChar w:fldCharType="begin"/>
    </w:r>
    <w:r w:rsidRPr="00163E5C">
      <w:rPr>
        <w:rStyle w:val="PageNumber"/>
        <w:rFonts w:ascii="Calibri" w:hAnsi="Calibri"/>
        <w:szCs w:val="18"/>
      </w:rPr>
      <w:instrText xml:space="preserve"> PAGE </w:instrText>
    </w:r>
    <w:r w:rsidRPr="00163E5C">
      <w:rPr>
        <w:rStyle w:val="PageNumber"/>
        <w:rFonts w:ascii="Calibri" w:hAnsi="Calibri"/>
        <w:szCs w:val="18"/>
      </w:rPr>
      <w:fldChar w:fldCharType="separate"/>
    </w:r>
    <w:r>
      <w:rPr>
        <w:rStyle w:val="PageNumber"/>
        <w:rFonts w:ascii="Calibri" w:hAnsi="Calibri"/>
        <w:noProof/>
        <w:szCs w:val="18"/>
      </w:rPr>
      <w:t>101</w:t>
    </w:r>
    <w:r w:rsidRPr="00163E5C">
      <w:rPr>
        <w:rStyle w:val="PageNumber"/>
        <w:rFonts w:ascii="Calibri" w:hAnsi="Calibri"/>
        <w:szCs w:val="18"/>
      </w:rPr>
      <w:fldChar w:fldCharType="end"/>
    </w:r>
    <w:r w:rsidRPr="00163E5C">
      <w:rPr>
        <w:rStyle w:val="PageNumber"/>
        <w:rFonts w:ascii="Calibri" w:hAnsi="Calibri"/>
        <w:szCs w:val="18"/>
      </w:rPr>
      <w:t xml:space="preserve"> </w:t>
    </w:r>
    <w:r>
      <w:rPr>
        <w:rStyle w:val="PageNumber"/>
        <w:rFonts w:ascii="Calibri" w:hAnsi="Calibri"/>
        <w:szCs w:val="18"/>
      </w:rPr>
      <w:t>–</w:t>
    </w:r>
    <w:r w:rsidRPr="00163E5C">
      <w:rPr>
        <w:rStyle w:val="PageNumber"/>
        <w:rFonts w:ascii="Calibri" w:hAnsi="Calibri"/>
      </w:rPr>
      <w:br/>
    </w:r>
    <w:r w:rsidRPr="000E1297">
      <w:rPr>
        <w:rFonts w:hint="eastAsia"/>
      </w:rPr>
      <w:t>（</w:t>
    </w:r>
    <w:r w:rsidRPr="000E1297">
      <w:t xml:space="preserve">3.2 – </w:t>
    </w:r>
    <w:r w:rsidRPr="000E1297">
      <w:t>理事会</w:t>
    </w:r>
    <w:r w:rsidRPr="000E1297">
      <w:rPr>
        <w:rFonts w:hint="eastAsia"/>
      </w:rPr>
      <w:t>）</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14" w14:textId="77777777" w:rsidR="000B642F" w:rsidRPr="00163E5C" w:rsidRDefault="000B642F" w:rsidP="00EC4652">
    <w:pPr>
      <w:pStyle w:val="Header1"/>
      <w:rPr>
        <w:lang w:eastAsia="zh-CN"/>
      </w:rPr>
    </w:pPr>
    <w:r>
      <w:rPr>
        <w:lang w:eastAsia="zh-CN"/>
      </w:rPr>
      <w:t>–</w:t>
    </w:r>
    <w:r w:rsidRPr="00163E5C">
      <w:rPr>
        <w:lang w:eastAsia="zh-CN"/>
      </w:rPr>
      <w:t xml:space="preserve"> </w:t>
    </w:r>
    <w:r>
      <w:fldChar w:fldCharType="begin"/>
    </w:r>
    <w:r>
      <w:rPr>
        <w:lang w:eastAsia="zh-CN"/>
      </w:rPr>
      <w:instrText xml:space="preserve"> PAGE </w:instrText>
    </w:r>
    <w:r>
      <w:fldChar w:fldCharType="separate"/>
    </w:r>
    <w:r>
      <w:rPr>
        <w:noProof/>
        <w:lang w:eastAsia="zh-CN"/>
      </w:rPr>
      <w:t>104</w:t>
    </w:r>
    <w:r>
      <w:fldChar w:fldCharType="end"/>
    </w:r>
    <w:r w:rsidRPr="00163E5C">
      <w:rPr>
        <w:lang w:eastAsia="zh-CN"/>
      </w:rPr>
      <w:t xml:space="preserve"> </w:t>
    </w:r>
    <w:r>
      <w:rPr>
        <w:lang w:eastAsia="zh-CN"/>
      </w:rPr>
      <w:t>–</w:t>
    </w:r>
    <w:r>
      <w:rPr>
        <w:lang w:eastAsia="zh-CN"/>
      </w:rPr>
      <w:br/>
    </w:r>
    <w:r w:rsidRPr="00163E5C">
      <w:rPr>
        <w:rStyle w:val="PageNumber"/>
        <w:rFonts w:ascii="Calibri" w:eastAsia="STKaiti" w:hAnsi="Calibri" w:hint="eastAsia"/>
        <w:lang w:eastAsia="zh-CN"/>
      </w:rPr>
      <w:t>（</w:t>
    </w:r>
    <w:r w:rsidRPr="00163E5C">
      <w:rPr>
        <w:rStyle w:val="PageNumber"/>
        <w:rFonts w:ascii="Calibri" w:eastAsia="STKaiti" w:hAnsi="Calibri"/>
        <w:lang w:eastAsia="zh-CN"/>
      </w:rPr>
      <w:t>3.</w:t>
    </w:r>
    <w:r w:rsidRPr="00163E5C">
      <w:rPr>
        <w:rStyle w:val="PageNumber"/>
        <w:rFonts w:ascii="Calibri" w:eastAsia="STKaiti" w:hAnsi="Calibri" w:hint="eastAsia"/>
        <w:lang w:eastAsia="zh-CN"/>
      </w:rPr>
      <w:t>3</w:t>
    </w:r>
    <w:r w:rsidRPr="00163E5C">
      <w:rPr>
        <w:rStyle w:val="PageNumber"/>
        <w:rFonts w:ascii="Calibri" w:eastAsia="STKaiti" w:hAnsi="Calibri"/>
        <w:lang w:eastAsia="zh-CN"/>
      </w:rPr>
      <w:t xml:space="preserve"> – </w:t>
    </w:r>
    <w:r w:rsidRPr="00163E5C">
      <w:rPr>
        <w:rFonts w:hint="eastAsia"/>
        <w:lang w:eastAsia="zh-CN"/>
      </w:rPr>
      <w:t>全权代表大会</w:t>
    </w:r>
    <w:r w:rsidRPr="00163E5C">
      <w:rPr>
        <w:rStyle w:val="PageNumber"/>
        <w:rFonts w:ascii="Calibri" w:eastAsia="STKaiti" w:hAnsi="Calibri" w:hint="eastAsia"/>
        <w:lang w:eastAsia="zh-CN"/>
      </w:rPr>
      <w:t>）</w:t>
    </w:r>
  </w:p>
  <w:p w14:paraId="4827C915" w14:textId="77777777" w:rsidR="000B642F" w:rsidRDefault="000B642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D4" w14:textId="77777777" w:rsidR="000B642F" w:rsidRDefault="000B642F">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16" w14:textId="77777777" w:rsidR="000B642F" w:rsidRDefault="000B642F"/>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19" w14:textId="77777777" w:rsidR="000B642F" w:rsidRDefault="000B642F" w:rsidP="000E1297">
    <w:pPr>
      <w:pStyle w:val="Header"/>
    </w:pPr>
    <w:r>
      <w:rPr>
        <w:rFonts w:ascii="Calibri" w:hAnsi="Calibri"/>
        <w:szCs w:val="18"/>
        <w:lang w:val="en-US"/>
      </w:rPr>
      <w:t>–</w:t>
    </w:r>
    <w:r w:rsidRPr="00163E5C">
      <w:rPr>
        <w:rFonts w:ascii="Calibri" w:hAnsi="Calibri"/>
        <w:szCs w:val="18"/>
        <w:lang w:val="en-US"/>
      </w:rPr>
      <w:t xml:space="preserve"> </w:t>
    </w:r>
    <w:r w:rsidRPr="00163E5C">
      <w:rPr>
        <w:rStyle w:val="PageNumber"/>
        <w:rFonts w:ascii="Calibri" w:hAnsi="Calibri"/>
        <w:szCs w:val="18"/>
      </w:rPr>
      <w:fldChar w:fldCharType="begin"/>
    </w:r>
    <w:r w:rsidRPr="00163E5C">
      <w:rPr>
        <w:rStyle w:val="PageNumber"/>
        <w:rFonts w:ascii="Calibri" w:hAnsi="Calibri"/>
        <w:szCs w:val="18"/>
      </w:rPr>
      <w:instrText xml:space="preserve"> PAGE </w:instrText>
    </w:r>
    <w:r w:rsidRPr="00163E5C">
      <w:rPr>
        <w:rStyle w:val="PageNumber"/>
        <w:rFonts w:ascii="Calibri" w:hAnsi="Calibri"/>
        <w:szCs w:val="18"/>
      </w:rPr>
      <w:fldChar w:fldCharType="separate"/>
    </w:r>
    <w:r>
      <w:rPr>
        <w:rStyle w:val="PageNumber"/>
        <w:rFonts w:ascii="Calibri" w:hAnsi="Calibri"/>
        <w:noProof/>
        <w:szCs w:val="18"/>
      </w:rPr>
      <w:t>141</w:t>
    </w:r>
    <w:r w:rsidRPr="00163E5C">
      <w:rPr>
        <w:rStyle w:val="PageNumber"/>
        <w:rFonts w:ascii="Calibri" w:hAnsi="Calibri"/>
        <w:szCs w:val="18"/>
      </w:rPr>
      <w:fldChar w:fldCharType="end"/>
    </w:r>
    <w:r w:rsidRPr="00163E5C">
      <w:rPr>
        <w:rStyle w:val="PageNumber"/>
        <w:rFonts w:ascii="Calibri" w:hAnsi="Calibri"/>
        <w:szCs w:val="18"/>
      </w:rPr>
      <w:t xml:space="preserve"> </w:t>
    </w:r>
    <w:r>
      <w:rPr>
        <w:rStyle w:val="PageNumber"/>
        <w:rFonts w:ascii="Calibri" w:hAnsi="Calibri"/>
        <w:szCs w:val="18"/>
      </w:rPr>
      <w:t>–</w:t>
    </w:r>
    <w:r w:rsidRPr="00163E5C">
      <w:rPr>
        <w:rStyle w:val="PageNumber"/>
        <w:rFonts w:ascii="Calibri" w:hAnsi="Calibri"/>
      </w:rPr>
      <w:br/>
    </w:r>
    <w:r w:rsidRPr="00163E5C">
      <w:rPr>
        <w:rStyle w:val="PageNumber"/>
        <w:rFonts w:ascii="Calibri" w:eastAsia="STKaiti" w:hAnsi="STKaiti" w:hint="eastAsia"/>
        <w:szCs w:val="18"/>
        <w:lang w:eastAsia="zh-CN"/>
      </w:rPr>
      <w:t>（</w:t>
    </w:r>
    <w:r>
      <w:rPr>
        <w:rStyle w:val="PageNumber"/>
        <w:rFonts w:ascii="Calibri" w:eastAsia="STKaiti" w:hAnsi="STKaiti" w:hint="eastAsia"/>
        <w:szCs w:val="18"/>
        <w:lang w:eastAsia="zh-CN"/>
      </w:rPr>
      <w:t>3</w:t>
    </w:r>
    <w:r w:rsidRPr="00163E5C">
      <w:rPr>
        <w:rStyle w:val="PageNumber"/>
        <w:rFonts w:ascii="Calibri" w:hAnsi="Calibri"/>
        <w:szCs w:val="18"/>
        <w:lang w:eastAsia="zh-CN"/>
      </w:rPr>
      <w:t xml:space="preserve">.3 </w:t>
    </w:r>
    <w:r w:rsidRPr="00163E5C">
      <w:rPr>
        <w:rFonts w:ascii="Calibri" w:hAnsi="Calibri"/>
        <w:szCs w:val="18"/>
        <w:lang w:eastAsia="zh-CN"/>
      </w:rPr>
      <w:t xml:space="preserve">– </w:t>
    </w:r>
    <w:r>
      <w:rPr>
        <w:rFonts w:ascii="Calibri" w:hint="eastAsia"/>
        <w:lang w:eastAsia="zh-CN"/>
      </w:rPr>
      <w:t>全</w:t>
    </w:r>
    <w:r>
      <w:rPr>
        <w:rFonts w:ascii="Calibri"/>
        <w:lang w:eastAsia="zh-CN"/>
      </w:rPr>
      <w:t>权代表大会</w:t>
    </w:r>
    <w:r w:rsidRPr="00163E5C">
      <w:rPr>
        <w:rStyle w:val="PageNumber"/>
        <w:rFonts w:ascii="Calibri" w:eastAsia="STKaiti" w:hAnsi="STKaiti" w:hint="eastAsia"/>
        <w:szCs w:val="18"/>
        <w:lang w:eastAsia="zh-CN"/>
      </w:rPr>
      <w:t>）</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1B" w14:textId="77777777" w:rsidR="000B642F" w:rsidRDefault="000B642F" w:rsidP="000E1297">
    <w:pPr>
      <w:pStyle w:val="Header1"/>
      <w:rPr>
        <w:lang w:eastAsia="zh-CN"/>
      </w:rPr>
    </w:pPr>
    <w:r>
      <w:rPr>
        <w:lang w:eastAsia="zh-CN"/>
      </w:rPr>
      <w:t>–</w:t>
    </w:r>
    <w:r w:rsidRPr="00163E5C">
      <w:rPr>
        <w:lang w:eastAsia="zh-CN"/>
      </w:rPr>
      <w:t xml:space="preserve"> </w:t>
    </w:r>
    <w:r w:rsidRPr="00163E5C">
      <w:rPr>
        <w:rStyle w:val="PageNumber"/>
        <w:rFonts w:ascii="Calibri" w:eastAsia="STKaiti" w:hAnsi="Calibri"/>
      </w:rPr>
      <w:fldChar w:fldCharType="begin"/>
    </w:r>
    <w:r w:rsidRPr="00163E5C">
      <w:rPr>
        <w:rStyle w:val="PageNumber"/>
        <w:rFonts w:ascii="Calibri" w:eastAsia="STKaiti" w:hAnsi="Calibri"/>
        <w:lang w:eastAsia="zh-CN"/>
      </w:rPr>
      <w:instrText xml:space="preserve"> PAGE </w:instrText>
    </w:r>
    <w:r w:rsidRPr="00163E5C">
      <w:rPr>
        <w:rStyle w:val="PageNumber"/>
        <w:rFonts w:ascii="Calibri" w:eastAsia="STKaiti" w:hAnsi="Calibri"/>
      </w:rPr>
      <w:fldChar w:fldCharType="separate"/>
    </w:r>
    <w:r>
      <w:rPr>
        <w:rStyle w:val="PageNumber"/>
        <w:rFonts w:ascii="Calibri" w:eastAsia="STKaiti" w:hAnsi="Calibri"/>
        <w:noProof/>
        <w:lang w:eastAsia="zh-CN"/>
      </w:rPr>
      <w:t>152</w:t>
    </w:r>
    <w:r w:rsidRPr="00163E5C">
      <w:rPr>
        <w:rStyle w:val="PageNumber"/>
        <w:rFonts w:ascii="Calibri" w:eastAsia="STKaiti" w:hAnsi="Calibri"/>
      </w:rPr>
      <w:fldChar w:fldCharType="end"/>
    </w:r>
    <w:r w:rsidRPr="00163E5C">
      <w:rPr>
        <w:rStyle w:val="PageNumber"/>
        <w:rFonts w:ascii="Calibri" w:eastAsia="STKaiti" w:hAnsi="Calibri"/>
        <w:lang w:eastAsia="zh-CN"/>
      </w:rPr>
      <w:t xml:space="preserve"> </w:t>
    </w:r>
    <w:r>
      <w:rPr>
        <w:rStyle w:val="PageNumber"/>
        <w:rFonts w:ascii="Calibri" w:eastAsia="STKaiti" w:hAnsi="Calibri"/>
        <w:lang w:eastAsia="zh-CN"/>
      </w:rPr>
      <w:t>–</w:t>
    </w:r>
    <w:r w:rsidRPr="00163E5C">
      <w:rPr>
        <w:rStyle w:val="PageNumber"/>
        <w:rFonts w:ascii="Calibri" w:eastAsia="STKaiti" w:hAnsi="Calibri"/>
        <w:lang w:eastAsia="zh-CN"/>
      </w:rPr>
      <w:br/>
    </w:r>
    <w:r w:rsidRPr="00163E5C">
      <w:rPr>
        <w:rStyle w:val="PageNumber"/>
        <w:rFonts w:ascii="Calibri" w:eastAsia="STKaiti" w:hAnsi="Calibri" w:hint="eastAsia"/>
        <w:lang w:eastAsia="zh-CN"/>
      </w:rPr>
      <w:t>（</w:t>
    </w:r>
    <w:r w:rsidRPr="00163E5C">
      <w:rPr>
        <w:rStyle w:val="PageNumber"/>
        <w:rFonts w:ascii="Calibri" w:eastAsia="STKaiti" w:hAnsi="Calibri"/>
        <w:lang w:eastAsia="zh-CN"/>
      </w:rPr>
      <w:t>3.</w:t>
    </w:r>
    <w:r w:rsidRPr="00163E5C">
      <w:rPr>
        <w:rStyle w:val="PageNumber"/>
        <w:rFonts w:ascii="Calibri" w:eastAsia="STKaiti" w:hAnsi="Calibri" w:hint="eastAsia"/>
        <w:lang w:eastAsia="zh-CN"/>
      </w:rPr>
      <w:t>4</w:t>
    </w:r>
    <w:r w:rsidRPr="00163E5C">
      <w:rPr>
        <w:rStyle w:val="PageNumber"/>
        <w:rFonts w:ascii="Calibri" w:eastAsia="STKaiti" w:hAnsi="Calibri"/>
        <w:lang w:eastAsia="zh-CN"/>
      </w:rPr>
      <w:t xml:space="preserve"> – </w:t>
    </w:r>
    <w:r w:rsidRPr="00163E5C">
      <w:rPr>
        <w:rFonts w:hint="eastAsia"/>
        <w:lang w:eastAsia="zh-CN"/>
      </w:rPr>
      <w:t>其它大会和相关事宜</w:t>
    </w:r>
    <w:r w:rsidRPr="00163E5C">
      <w:rPr>
        <w:rStyle w:val="PageNumber"/>
        <w:rFonts w:ascii="Calibri" w:eastAsia="STKaiti" w:hAnsi="Calibri" w:hint="eastAsia"/>
        <w:lang w:eastAsia="zh-CN"/>
      </w:rPr>
      <w:t>）</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1C" w14:textId="77777777" w:rsidR="000B642F" w:rsidRDefault="000B642F" w:rsidP="000E1297">
    <w:pPr>
      <w:pStyle w:val="Header1"/>
      <w:rPr>
        <w:lang w:eastAsia="zh-CN"/>
      </w:rPr>
    </w:pPr>
    <w:r>
      <w:rPr>
        <w:lang w:eastAsia="zh-CN"/>
      </w:rPr>
      <w:t>–</w:t>
    </w:r>
    <w:r w:rsidRPr="00163E5C">
      <w:rPr>
        <w:lang w:eastAsia="zh-CN"/>
      </w:rPr>
      <w:t xml:space="preserve"> </w:t>
    </w:r>
    <w:r w:rsidRPr="00163E5C">
      <w:rPr>
        <w:rStyle w:val="PageNumber"/>
        <w:rFonts w:ascii="Calibri" w:eastAsia="STKaiti" w:hAnsi="Calibri"/>
      </w:rPr>
      <w:fldChar w:fldCharType="begin"/>
    </w:r>
    <w:r w:rsidRPr="00163E5C">
      <w:rPr>
        <w:rStyle w:val="PageNumber"/>
        <w:rFonts w:ascii="Calibri" w:eastAsia="STKaiti" w:hAnsi="Calibri"/>
        <w:lang w:eastAsia="zh-CN"/>
      </w:rPr>
      <w:instrText xml:space="preserve"> PAGE </w:instrText>
    </w:r>
    <w:r w:rsidRPr="00163E5C">
      <w:rPr>
        <w:rStyle w:val="PageNumber"/>
        <w:rFonts w:ascii="Calibri" w:eastAsia="STKaiti" w:hAnsi="Calibri"/>
      </w:rPr>
      <w:fldChar w:fldCharType="separate"/>
    </w:r>
    <w:r>
      <w:rPr>
        <w:rStyle w:val="PageNumber"/>
        <w:rFonts w:ascii="Calibri" w:eastAsia="STKaiti" w:hAnsi="Calibri"/>
        <w:noProof/>
        <w:lang w:eastAsia="zh-CN"/>
      </w:rPr>
      <w:t>153</w:t>
    </w:r>
    <w:r w:rsidRPr="00163E5C">
      <w:rPr>
        <w:rStyle w:val="PageNumber"/>
        <w:rFonts w:ascii="Calibri" w:eastAsia="STKaiti" w:hAnsi="Calibri"/>
      </w:rPr>
      <w:fldChar w:fldCharType="end"/>
    </w:r>
    <w:r w:rsidRPr="00163E5C">
      <w:rPr>
        <w:rStyle w:val="PageNumber"/>
        <w:rFonts w:ascii="Calibri" w:eastAsia="STKaiti" w:hAnsi="Calibri"/>
        <w:lang w:eastAsia="zh-CN"/>
      </w:rPr>
      <w:t xml:space="preserve"> </w:t>
    </w:r>
    <w:r>
      <w:rPr>
        <w:rStyle w:val="PageNumber"/>
        <w:rFonts w:ascii="Calibri" w:eastAsia="STKaiti" w:hAnsi="Calibri"/>
        <w:lang w:eastAsia="zh-CN"/>
      </w:rPr>
      <w:t>–</w:t>
    </w:r>
    <w:r w:rsidRPr="00163E5C">
      <w:rPr>
        <w:rStyle w:val="PageNumber"/>
        <w:rFonts w:ascii="Calibri" w:eastAsia="STKaiti" w:hAnsi="Calibri"/>
        <w:lang w:eastAsia="zh-CN"/>
      </w:rPr>
      <w:br/>
    </w:r>
    <w:r w:rsidRPr="00163E5C">
      <w:rPr>
        <w:rStyle w:val="PageNumber"/>
        <w:rFonts w:ascii="Calibri" w:eastAsia="STKaiti" w:hAnsi="Calibri" w:hint="eastAsia"/>
        <w:lang w:eastAsia="zh-CN"/>
      </w:rPr>
      <w:t>（</w:t>
    </w:r>
    <w:r w:rsidRPr="00163E5C">
      <w:rPr>
        <w:rStyle w:val="PageNumber"/>
        <w:rFonts w:ascii="Calibri" w:eastAsia="STKaiti" w:hAnsi="Calibri"/>
        <w:lang w:eastAsia="zh-CN"/>
      </w:rPr>
      <w:t>3.</w:t>
    </w:r>
    <w:r w:rsidRPr="00163E5C">
      <w:rPr>
        <w:rStyle w:val="PageNumber"/>
        <w:rFonts w:ascii="Calibri" w:eastAsia="STKaiti" w:hAnsi="Calibri" w:hint="eastAsia"/>
        <w:lang w:eastAsia="zh-CN"/>
      </w:rPr>
      <w:t>4</w:t>
    </w:r>
    <w:r w:rsidRPr="00163E5C">
      <w:rPr>
        <w:rStyle w:val="PageNumber"/>
        <w:rFonts w:ascii="Calibri" w:eastAsia="STKaiti" w:hAnsi="Calibri"/>
        <w:lang w:eastAsia="zh-CN"/>
      </w:rPr>
      <w:t xml:space="preserve"> – </w:t>
    </w:r>
    <w:r w:rsidRPr="00163E5C">
      <w:rPr>
        <w:rFonts w:hint="eastAsia"/>
        <w:lang w:eastAsia="zh-CN"/>
      </w:rPr>
      <w:t>其它大会和相关事宜</w:t>
    </w:r>
    <w:r w:rsidRPr="00163E5C">
      <w:rPr>
        <w:rStyle w:val="PageNumber"/>
        <w:rFonts w:ascii="Calibri" w:eastAsia="STKaiti" w:hAnsi="Calibri" w:hint="eastAsia"/>
        <w:lang w:eastAsia="zh-CN"/>
      </w:rPr>
      <w:t>）</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1F" w14:textId="77777777" w:rsidR="000B642F" w:rsidRDefault="000B642F" w:rsidP="000E1297">
    <w:pPr>
      <w:pStyle w:val="Header"/>
      <w:rPr>
        <w:lang w:eastAsia="zh-CN"/>
      </w:rPr>
    </w:pPr>
    <w:r>
      <w:rPr>
        <w:rFonts w:ascii="Calibri" w:hAnsi="Calibri"/>
        <w:szCs w:val="18"/>
        <w:lang w:val="en-US" w:eastAsia="zh-CN"/>
      </w:rPr>
      <w:t>–</w:t>
    </w:r>
    <w:r w:rsidRPr="00163E5C">
      <w:rPr>
        <w:rFonts w:ascii="Calibri" w:hAnsi="Calibri"/>
        <w:szCs w:val="18"/>
        <w:lang w:val="en-US" w:eastAsia="zh-CN"/>
      </w:rPr>
      <w:t xml:space="preserve"> </w:t>
    </w:r>
    <w:r w:rsidRPr="00163E5C">
      <w:rPr>
        <w:rStyle w:val="PageNumber"/>
        <w:rFonts w:ascii="Calibri" w:hAnsi="Calibri"/>
        <w:szCs w:val="18"/>
      </w:rPr>
      <w:fldChar w:fldCharType="begin"/>
    </w:r>
    <w:r w:rsidRPr="00163E5C">
      <w:rPr>
        <w:rStyle w:val="PageNumber"/>
        <w:rFonts w:ascii="Calibri" w:hAnsi="Calibri"/>
        <w:szCs w:val="18"/>
        <w:lang w:eastAsia="zh-CN"/>
      </w:rPr>
      <w:instrText xml:space="preserve"> PAGE </w:instrText>
    </w:r>
    <w:r w:rsidRPr="00163E5C">
      <w:rPr>
        <w:rStyle w:val="PageNumber"/>
        <w:rFonts w:ascii="Calibri" w:hAnsi="Calibri"/>
        <w:szCs w:val="18"/>
      </w:rPr>
      <w:fldChar w:fldCharType="separate"/>
    </w:r>
    <w:r>
      <w:rPr>
        <w:rStyle w:val="PageNumber"/>
        <w:rFonts w:ascii="Calibri" w:hAnsi="Calibri"/>
        <w:noProof/>
        <w:szCs w:val="18"/>
        <w:lang w:eastAsia="zh-CN"/>
      </w:rPr>
      <w:t>142</w:t>
    </w:r>
    <w:r w:rsidRPr="00163E5C">
      <w:rPr>
        <w:rStyle w:val="PageNumber"/>
        <w:rFonts w:ascii="Calibri" w:hAnsi="Calibri"/>
        <w:szCs w:val="18"/>
      </w:rPr>
      <w:fldChar w:fldCharType="end"/>
    </w:r>
    <w:r w:rsidRPr="00163E5C">
      <w:rPr>
        <w:rStyle w:val="PageNumber"/>
        <w:rFonts w:ascii="Calibri" w:hAnsi="Calibri"/>
        <w:szCs w:val="18"/>
        <w:lang w:eastAsia="zh-CN"/>
      </w:rPr>
      <w:t xml:space="preserve"> </w:t>
    </w:r>
    <w:r>
      <w:rPr>
        <w:rStyle w:val="PageNumber"/>
        <w:rFonts w:ascii="Calibri" w:hAnsi="Calibri"/>
        <w:szCs w:val="18"/>
        <w:lang w:eastAsia="zh-CN"/>
      </w:rPr>
      <w:t>–</w:t>
    </w:r>
    <w:r w:rsidRPr="00163E5C">
      <w:rPr>
        <w:rStyle w:val="PageNumber"/>
        <w:rFonts w:ascii="Calibri" w:hAnsi="Calibri"/>
        <w:lang w:eastAsia="zh-CN"/>
      </w:rPr>
      <w:br/>
    </w:r>
    <w:r w:rsidRPr="00163E5C">
      <w:rPr>
        <w:rStyle w:val="PageNumber"/>
        <w:rFonts w:ascii="Calibri" w:eastAsia="STKaiti" w:hAnsi="STKaiti" w:hint="eastAsia"/>
        <w:szCs w:val="18"/>
        <w:lang w:eastAsia="zh-CN"/>
      </w:rPr>
      <w:t>（</w:t>
    </w:r>
    <w:r w:rsidRPr="00163E5C">
      <w:rPr>
        <w:rStyle w:val="PageNumber"/>
        <w:rFonts w:ascii="Calibri" w:hAnsi="Calibri"/>
        <w:szCs w:val="18"/>
        <w:lang w:eastAsia="zh-CN"/>
      </w:rPr>
      <w:t>3</w:t>
    </w:r>
    <w:r>
      <w:rPr>
        <w:rStyle w:val="PageNumber"/>
        <w:rFonts w:ascii="Calibri" w:hAnsi="Calibri"/>
        <w:szCs w:val="18"/>
        <w:lang w:eastAsia="zh-CN"/>
      </w:rPr>
      <w:t>.4</w:t>
    </w:r>
    <w:r w:rsidRPr="00163E5C">
      <w:rPr>
        <w:rStyle w:val="PageNumber"/>
        <w:rFonts w:ascii="Calibri" w:hAnsi="Calibri"/>
        <w:szCs w:val="18"/>
        <w:lang w:eastAsia="zh-CN"/>
      </w:rPr>
      <w:t xml:space="preserve"> </w:t>
    </w:r>
    <w:r w:rsidRPr="00163E5C">
      <w:rPr>
        <w:rFonts w:ascii="Calibri" w:hAnsi="Calibri"/>
        <w:szCs w:val="18"/>
        <w:lang w:eastAsia="zh-CN"/>
      </w:rPr>
      <w:t xml:space="preserve">– </w:t>
    </w:r>
    <w:r>
      <w:rPr>
        <w:rFonts w:ascii="Calibri" w:hint="eastAsia"/>
        <w:lang w:eastAsia="zh-CN"/>
      </w:rPr>
      <w:t>其他大会和相关事宜</w:t>
    </w:r>
    <w:r w:rsidRPr="00163E5C">
      <w:rPr>
        <w:rStyle w:val="PageNumber"/>
        <w:rFonts w:ascii="Calibri" w:eastAsia="STKaiti" w:hAnsi="STKaiti" w:hint="eastAsia"/>
        <w:szCs w:val="18"/>
        <w:lang w:eastAsia="zh-CN"/>
      </w:rPr>
      <w:t>）</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21" w14:textId="77777777" w:rsidR="000B642F" w:rsidRDefault="000B642F" w:rsidP="004B3B55">
    <w:pPr>
      <w:pStyle w:val="Header1"/>
    </w:pPr>
    <w:r>
      <w:t>–</w:t>
    </w:r>
    <w:r w:rsidRPr="0080711D">
      <w:t xml:space="preserve"> </w:t>
    </w:r>
    <w:r>
      <w:fldChar w:fldCharType="begin"/>
    </w:r>
    <w:r>
      <w:instrText xml:space="preserve"> PAGE </w:instrText>
    </w:r>
    <w:r>
      <w:fldChar w:fldCharType="separate"/>
    </w:r>
    <w:r>
      <w:rPr>
        <w:noProof/>
      </w:rPr>
      <w:t>158</w:t>
    </w:r>
    <w:r>
      <w:rPr>
        <w:noProof/>
      </w:rPr>
      <w:fldChar w:fldCharType="end"/>
    </w:r>
    <w:r w:rsidRPr="0080711D">
      <w:t xml:space="preserve"> </w:t>
    </w:r>
    <w:r>
      <w:t>–</w:t>
    </w:r>
    <w:r w:rsidRPr="0080711D">
      <w:br/>
    </w:r>
    <w:r w:rsidRPr="0080711D">
      <w:rPr>
        <w:rFonts w:asciiTheme="minorHAnsi" w:hAnsi="STKaiti" w:cs="SimSun"/>
      </w:rPr>
      <w:t>（</w:t>
    </w:r>
    <w:r w:rsidRPr="0080711D">
      <w:rPr>
        <w:rFonts w:asciiTheme="minorHAnsi" w:hAnsiTheme="minorHAnsi"/>
      </w:rPr>
      <w:t xml:space="preserve">4 – </w:t>
    </w:r>
    <w:r w:rsidRPr="0080711D">
      <w:rPr>
        <w:rFonts w:asciiTheme="minorHAnsi" w:hAnsi="STKaiti" w:cs="SimSun"/>
      </w:rPr>
      <w:t>总秘书处）</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22" w14:textId="77777777" w:rsidR="000B642F" w:rsidRPr="0080711D" w:rsidRDefault="000B642F" w:rsidP="00C45305">
    <w:pPr>
      <w:pStyle w:val="Header1"/>
      <w:rPr>
        <w:rFonts w:asciiTheme="minorHAnsi" w:hAnsiTheme="minorHAnsi"/>
      </w:rPr>
    </w:pPr>
    <w:r>
      <w:t>–</w:t>
    </w:r>
    <w:r w:rsidRPr="0080711D">
      <w:t xml:space="preserve"> </w:t>
    </w:r>
    <w:r>
      <w:fldChar w:fldCharType="begin"/>
    </w:r>
    <w:r>
      <w:instrText xml:space="preserve"> PAGE </w:instrText>
    </w:r>
    <w:r>
      <w:fldChar w:fldCharType="separate"/>
    </w:r>
    <w:r>
      <w:rPr>
        <w:noProof/>
      </w:rPr>
      <w:t>157</w:t>
    </w:r>
    <w:r>
      <w:rPr>
        <w:noProof/>
      </w:rPr>
      <w:fldChar w:fldCharType="end"/>
    </w:r>
    <w:r w:rsidRPr="0080711D">
      <w:t xml:space="preserve"> </w:t>
    </w:r>
    <w:r>
      <w:t>–</w:t>
    </w:r>
    <w:r w:rsidRPr="0080711D">
      <w:br/>
    </w:r>
    <w:r w:rsidRPr="0080711D">
      <w:rPr>
        <w:rFonts w:asciiTheme="minorHAnsi" w:hAnsi="STKaiti" w:cs="SimSun"/>
      </w:rPr>
      <w:t>（</w:t>
    </w:r>
    <w:r w:rsidRPr="0080711D">
      <w:rPr>
        <w:rFonts w:asciiTheme="minorHAnsi" w:hAnsiTheme="minorHAnsi"/>
      </w:rPr>
      <w:t xml:space="preserve">4 – </w:t>
    </w:r>
    <w:r w:rsidRPr="0080711D">
      <w:rPr>
        <w:rFonts w:asciiTheme="minorHAnsi" w:hAnsi="STKaiti" w:cs="SimSun"/>
      </w:rPr>
      <w:t>总秘书处）</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24" w14:textId="77777777" w:rsidR="000B642F" w:rsidRDefault="000B642F" w:rsidP="000E1297">
    <w:pPr>
      <w:pStyle w:val="Header"/>
    </w:pPr>
    <w:r>
      <w:rPr>
        <w:rFonts w:ascii="Calibri" w:hAnsi="Calibri"/>
        <w:szCs w:val="18"/>
        <w:lang w:val="en-US"/>
      </w:rPr>
      <w:t>–</w:t>
    </w:r>
    <w:r w:rsidRPr="00163E5C">
      <w:rPr>
        <w:rFonts w:ascii="Calibri" w:hAnsi="Calibri"/>
        <w:szCs w:val="18"/>
        <w:lang w:val="en-US"/>
      </w:rPr>
      <w:t xml:space="preserve"> </w:t>
    </w:r>
    <w:r w:rsidRPr="00163E5C">
      <w:rPr>
        <w:rStyle w:val="PageNumber"/>
        <w:rFonts w:ascii="Calibri" w:hAnsi="Calibri"/>
        <w:szCs w:val="18"/>
      </w:rPr>
      <w:fldChar w:fldCharType="begin"/>
    </w:r>
    <w:r w:rsidRPr="00163E5C">
      <w:rPr>
        <w:rStyle w:val="PageNumber"/>
        <w:rFonts w:ascii="Calibri" w:hAnsi="Calibri"/>
        <w:szCs w:val="18"/>
      </w:rPr>
      <w:instrText xml:space="preserve"> PAGE </w:instrText>
    </w:r>
    <w:r w:rsidRPr="00163E5C">
      <w:rPr>
        <w:rStyle w:val="PageNumber"/>
        <w:rFonts w:ascii="Calibri" w:hAnsi="Calibri"/>
        <w:szCs w:val="18"/>
      </w:rPr>
      <w:fldChar w:fldCharType="separate"/>
    </w:r>
    <w:r>
      <w:rPr>
        <w:rStyle w:val="PageNumber"/>
        <w:rFonts w:ascii="Calibri" w:hAnsi="Calibri"/>
        <w:noProof/>
        <w:szCs w:val="18"/>
      </w:rPr>
      <w:t>155</w:t>
    </w:r>
    <w:r w:rsidRPr="00163E5C">
      <w:rPr>
        <w:rStyle w:val="PageNumber"/>
        <w:rFonts w:ascii="Calibri" w:hAnsi="Calibri"/>
        <w:szCs w:val="18"/>
      </w:rPr>
      <w:fldChar w:fldCharType="end"/>
    </w:r>
    <w:r w:rsidRPr="00163E5C">
      <w:rPr>
        <w:rStyle w:val="PageNumber"/>
        <w:rFonts w:ascii="Calibri" w:hAnsi="Calibri"/>
        <w:szCs w:val="18"/>
      </w:rPr>
      <w:t xml:space="preserve"> </w:t>
    </w:r>
    <w:r>
      <w:rPr>
        <w:rStyle w:val="PageNumber"/>
        <w:rFonts w:ascii="Calibri" w:hAnsi="Calibri"/>
        <w:szCs w:val="18"/>
      </w:rPr>
      <w:t>–</w:t>
    </w:r>
    <w:r w:rsidRPr="00163E5C">
      <w:rPr>
        <w:rStyle w:val="PageNumber"/>
        <w:rFonts w:ascii="Calibri" w:hAnsi="Calibri"/>
      </w:rPr>
      <w:br/>
    </w:r>
    <w:r w:rsidRPr="00163E5C">
      <w:rPr>
        <w:rStyle w:val="PageNumber"/>
        <w:rFonts w:ascii="Calibri" w:eastAsia="STKaiti" w:hAnsi="STKaiti" w:hint="eastAsia"/>
        <w:szCs w:val="18"/>
        <w:lang w:eastAsia="zh-CN"/>
      </w:rPr>
      <w:t>（</w:t>
    </w:r>
    <w:r>
      <w:rPr>
        <w:rStyle w:val="PageNumber"/>
        <w:rFonts w:ascii="Calibri" w:hAnsi="Calibri" w:hint="eastAsia"/>
        <w:szCs w:val="18"/>
        <w:lang w:eastAsia="zh-CN"/>
      </w:rPr>
      <w:t xml:space="preserve">4 </w:t>
    </w:r>
    <w:r w:rsidRPr="00163E5C">
      <w:rPr>
        <w:rFonts w:ascii="Calibri" w:hAnsi="Calibri"/>
        <w:szCs w:val="18"/>
        <w:lang w:eastAsia="zh-CN"/>
      </w:rPr>
      <w:t xml:space="preserve">– </w:t>
    </w:r>
    <w:r>
      <w:rPr>
        <w:rFonts w:ascii="Calibri" w:hint="eastAsia"/>
        <w:lang w:eastAsia="zh-CN"/>
      </w:rPr>
      <w:t>总秘书处</w:t>
    </w:r>
    <w:r w:rsidRPr="00163E5C">
      <w:rPr>
        <w:rStyle w:val="PageNumber"/>
        <w:rFonts w:ascii="Calibri" w:eastAsia="STKaiti" w:hAnsi="STKaiti" w:hint="eastAsia"/>
        <w:szCs w:val="18"/>
        <w:lang w:eastAsia="zh-CN"/>
      </w:rPr>
      <w:t>）</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26" w14:textId="77777777" w:rsidR="000B642F" w:rsidRPr="00B9347C" w:rsidRDefault="000B642F">
    <w:pPr>
      <w:pStyle w:val="Header"/>
      <w:rPr>
        <w:lang w:val="fr-FR"/>
      </w:rPr>
    </w:pPr>
    <w:r w:rsidRPr="00B9347C">
      <w:rPr>
        <w:lang w:val="fr-FR"/>
      </w:rPr>
      <w:t xml:space="preserve">- </w:t>
    </w:r>
    <w:r w:rsidRPr="00B9347C">
      <w:rPr>
        <w:rStyle w:val="PageNumber"/>
      </w:rPr>
      <w:fldChar w:fldCharType="begin"/>
    </w:r>
    <w:r w:rsidRPr="00B9347C">
      <w:rPr>
        <w:rStyle w:val="PageNumber"/>
        <w:lang w:val="fr-FR"/>
      </w:rPr>
      <w:instrText xml:space="preserve"> PAGE </w:instrText>
    </w:r>
    <w:r w:rsidRPr="00B9347C">
      <w:rPr>
        <w:rStyle w:val="PageNumber"/>
      </w:rPr>
      <w:fldChar w:fldCharType="separate"/>
    </w:r>
    <w:r>
      <w:rPr>
        <w:rStyle w:val="PageNumber"/>
        <w:noProof/>
        <w:lang w:val="fr-FR"/>
      </w:rPr>
      <w:t>116</w:t>
    </w:r>
    <w:r w:rsidRPr="00B9347C">
      <w:rPr>
        <w:rStyle w:val="PageNumber"/>
      </w:rPr>
      <w:fldChar w:fldCharType="end"/>
    </w:r>
    <w:r w:rsidRPr="00B9347C">
      <w:rPr>
        <w:rStyle w:val="PageNumber"/>
        <w:lang w:val="fr-FR"/>
      </w:rPr>
      <w:t xml:space="preserve"> -</w:t>
    </w:r>
    <w:r w:rsidRPr="00B9347C">
      <w:rPr>
        <w:rStyle w:val="PageNumber"/>
        <w:lang w:val="fr-FR"/>
      </w:rPr>
      <w:br/>
    </w:r>
    <w:r w:rsidRPr="00527015">
      <w:rPr>
        <w:rStyle w:val="PageNumber"/>
        <w:rFonts w:ascii="STKaiti" w:eastAsia="STKaiti" w:hAnsi="STKaiti" w:hint="eastAsia"/>
        <w:szCs w:val="18"/>
        <w:lang w:val="fr-FR" w:eastAsia="zh-CN"/>
      </w:rPr>
      <w:t>（</w:t>
    </w:r>
    <w:r w:rsidRPr="00645B82">
      <w:rPr>
        <w:rStyle w:val="PageNumber"/>
        <w:szCs w:val="18"/>
        <w:lang w:val="fr-FR" w:eastAsia="zh-CN"/>
      </w:rPr>
      <w:t>5.</w:t>
    </w:r>
    <w:r>
      <w:rPr>
        <w:rStyle w:val="PageNumber"/>
        <w:rFonts w:hint="eastAsia"/>
        <w:szCs w:val="18"/>
        <w:lang w:val="fr-FR" w:eastAsia="zh-CN"/>
      </w:rPr>
      <w:t>2</w:t>
    </w:r>
    <w:r w:rsidRPr="00645B82">
      <w:rPr>
        <w:rStyle w:val="PageNumber"/>
        <w:szCs w:val="18"/>
        <w:lang w:val="fr-FR" w:eastAsia="zh-CN"/>
      </w:rPr>
      <w:t xml:space="preserve"> –</w:t>
    </w:r>
    <w:r>
      <w:rPr>
        <w:rFonts w:hint="eastAsia"/>
        <w:szCs w:val="18"/>
        <w:lang w:val="en-US" w:eastAsia="zh-CN"/>
      </w:rPr>
      <w:t>无线电通信</w:t>
    </w:r>
    <w:r w:rsidRPr="00645B82">
      <w:rPr>
        <w:rFonts w:hint="eastAsia"/>
        <w:szCs w:val="18"/>
        <w:lang w:val="en-US" w:eastAsia="zh-CN"/>
      </w:rPr>
      <w:t>部门</w:t>
    </w:r>
    <w:r w:rsidRPr="00527015">
      <w:rPr>
        <w:rStyle w:val="PageNumber"/>
        <w:rFonts w:ascii="STKaiti" w:eastAsia="STKaiti" w:hAnsi="STKaiti" w:hint="eastAsia"/>
        <w:szCs w:val="18"/>
        <w:lang w:val="fr-FR" w:eastAsia="zh-CN"/>
      </w:rPr>
      <w:t>）</w:t>
    </w:r>
  </w:p>
  <w:p w14:paraId="4827C927" w14:textId="77777777" w:rsidR="000B642F" w:rsidRDefault="000B642F"/>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28" w14:textId="77777777" w:rsidR="000B642F" w:rsidRPr="0080711D" w:rsidRDefault="000B642F" w:rsidP="00C45305">
    <w:pPr>
      <w:pStyle w:val="Header1"/>
      <w:rPr>
        <w:lang w:eastAsia="zh-CN"/>
      </w:rPr>
    </w:pPr>
    <w:r>
      <w:rPr>
        <w:lang w:eastAsia="zh-CN"/>
      </w:rPr>
      <w:t>–</w:t>
    </w:r>
    <w:r w:rsidRPr="0080711D">
      <w:rPr>
        <w:lang w:eastAsia="zh-CN"/>
      </w:rPr>
      <w:t xml:space="preserve"> </w:t>
    </w:r>
    <w:r w:rsidRPr="0080711D">
      <w:rPr>
        <w:rStyle w:val="PageNumber"/>
        <w:rFonts w:ascii="Calibri" w:eastAsia="STKaiti" w:hAnsi="Calibri"/>
      </w:rPr>
      <w:fldChar w:fldCharType="begin"/>
    </w:r>
    <w:r w:rsidRPr="0080711D">
      <w:rPr>
        <w:rStyle w:val="PageNumber"/>
        <w:rFonts w:ascii="Calibri" w:eastAsia="STKaiti" w:hAnsi="Calibri"/>
        <w:lang w:eastAsia="zh-CN"/>
      </w:rPr>
      <w:instrText xml:space="preserve"> PAGE </w:instrText>
    </w:r>
    <w:r w:rsidRPr="0080711D">
      <w:rPr>
        <w:rStyle w:val="PageNumber"/>
        <w:rFonts w:ascii="Calibri" w:eastAsia="STKaiti" w:hAnsi="Calibri"/>
      </w:rPr>
      <w:fldChar w:fldCharType="separate"/>
    </w:r>
    <w:r>
      <w:rPr>
        <w:rStyle w:val="PageNumber"/>
        <w:rFonts w:ascii="Calibri" w:eastAsia="STKaiti" w:hAnsi="Calibri"/>
        <w:noProof/>
        <w:lang w:eastAsia="zh-CN"/>
      </w:rPr>
      <w:t>115</w:t>
    </w:r>
    <w:r w:rsidRPr="0080711D">
      <w:rPr>
        <w:rStyle w:val="PageNumber"/>
        <w:rFonts w:ascii="Calibri" w:eastAsia="STKaiti" w:hAnsi="Calibri"/>
      </w:rPr>
      <w:fldChar w:fldCharType="end"/>
    </w:r>
    <w:r w:rsidRPr="0080711D">
      <w:rPr>
        <w:rStyle w:val="PageNumber"/>
        <w:rFonts w:ascii="Calibri" w:eastAsia="STKaiti" w:hAnsi="Calibri"/>
        <w:lang w:eastAsia="zh-CN"/>
      </w:rPr>
      <w:t xml:space="preserve"> </w:t>
    </w:r>
    <w:r>
      <w:rPr>
        <w:rStyle w:val="PageNumber"/>
        <w:rFonts w:ascii="Calibri" w:eastAsia="STKaiti" w:hAnsi="Calibri"/>
        <w:lang w:eastAsia="zh-CN"/>
      </w:rPr>
      <w:t>–</w:t>
    </w:r>
    <w:r w:rsidRPr="0080711D">
      <w:rPr>
        <w:rStyle w:val="PageNumber"/>
        <w:rFonts w:ascii="Calibri" w:eastAsia="STKaiti" w:hAnsi="Calibri"/>
        <w:lang w:eastAsia="zh-CN"/>
      </w:rPr>
      <w:br/>
    </w:r>
    <w:r w:rsidRPr="0080711D">
      <w:rPr>
        <w:rStyle w:val="PageNumber"/>
        <w:rFonts w:ascii="Calibri" w:eastAsia="STKaiti" w:hAnsi="Calibri" w:hint="eastAsia"/>
        <w:lang w:eastAsia="zh-CN"/>
      </w:rPr>
      <w:t>（</w:t>
    </w:r>
    <w:r w:rsidRPr="0080711D">
      <w:rPr>
        <w:rStyle w:val="PageNumber"/>
        <w:rFonts w:ascii="Calibri" w:eastAsia="STKaiti" w:hAnsi="Calibri"/>
        <w:lang w:eastAsia="zh-CN"/>
      </w:rPr>
      <w:t>5.</w:t>
    </w:r>
    <w:r w:rsidRPr="0080711D">
      <w:rPr>
        <w:rStyle w:val="PageNumber"/>
        <w:rFonts w:ascii="Calibri" w:eastAsia="STKaiti" w:hAnsi="Calibri" w:hint="eastAsia"/>
        <w:lang w:eastAsia="zh-CN"/>
      </w:rPr>
      <w:t>1</w:t>
    </w:r>
    <w:r w:rsidRPr="0080711D">
      <w:rPr>
        <w:rStyle w:val="PageNumber"/>
        <w:rFonts w:ascii="Calibri" w:eastAsia="STKaiti" w:hAnsi="Calibri"/>
        <w:lang w:eastAsia="zh-CN"/>
      </w:rPr>
      <w:t xml:space="preserve"> – </w:t>
    </w:r>
    <w:r w:rsidRPr="0080711D">
      <w:rPr>
        <w:rFonts w:hint="eastAsia"/>
        <w:lang w:eastAsia="zh-CN"/>
      </w:rPr>
      <w:t>国际电联各部门</w:t>
    </w:r>
    <w:r w:rsidRPr="0080711D">
      <w:rPr>
        <w:rFonts w:hint="eastAsia"/>
        <w:lang w:eastAsia="zh-CN"/>
      </w:rPr>
      <w:t>/</w:t>
    </w:r>
    <w:r w:rsidRPr="0080711D">
      <w:rPr>
        <w:rFonts w:hint="eastAsia"/>
        <w:lang w:eastAsia="zh-CN"/>
      </w:rPr>
      <w:t>总则</w:t>
    </w:r>
    <w:r w:rsidRPr="0080711D">
      <w:rPr>
        <w:rStyle w:val="PageNumber"/>
        <w:rFonts w:ascii="Calibri" w:eastAsia="STKaiti" w:hAnsi="Calibri" w:hint="eastAsia"/>
        <w:lang w:eastAsia="zh-CN"/>
      </w:rPr>
      <w:t>）</w:t>
    </w:r>
  </w:p>
  <w:p w14:paraId="4827C929" w14:textId="77777777" w:rsidR="000B642F" w:rsidRDefault="000B642F">
    <w:pPr>
      <w:rPr>
        <w:lang w:eastAsia="zh-CN"/>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D5" w14:textId="77777777" w:rsidR="000B642F" w:rsidRPr="00022476" w:rsidRDefault="000B642F">
    <w:pPr>
      <w:pStyle w:val="Header"/>
      <w:rPr>
        <w:rStyle w:val="PageNumber"/>
      </w:rPr>
    </w:pPr>
    <w:r w:rsidRPr="00022476">
      <w:t xml:space="preserve">– </w:t>
    </w:r>
    <w:r w:rsidRPr="00022476">
      <w:rPr>
        <w:rStyle w:val="PageNumber"/>
      </w:rPr>
      <w:fldChar w:fldCharType="begin"/>
    </w:r>
    <w:r w:rsidRPr="00022476">
      <w:rPr>
        <w:rStyle w:val="PageNumber"/>
      </w:rPr>
      <w:instrText xml:space="preserve"> PAGE </w:instrText>
    </w:r>
    <w:r w:rsidRPr="00022476">
      <w:rPr>
        <w:rStyle w:val="PageNumber"/>
      </w:rPr>
      <w:fldChar w:fldCharType="separate"/>
    </w:r>
    <w:r>
      <w:rPr>
        <w:rStyle w:val="PageNumber"/>
        <w:noProof/>
      </w:rPr>
      <w:t>vi</w:t>
    </w:r>
    <w:r w:rsidRPr="00022476">
      <w:rPr>
        <w:rStyle w:val="PageNumber"/>
      </w:rPr>
      <w:fldChar w:fldCharType="end"/>
    </w:r>
    <w:r w:rsidRPr="00022476">
      <w:rPr>
        <w:rStyle w:val="PageNumber"/>
      </w:rPr>
      <w:t xml:space="preserve"> –</w:t>
    </w:r>
  </w:p>
  <w:p w14:paraId="4827C8D6" w14:textId="77777777" w:rsidR="000B642F" w:rsidRPr="00022476" w:rsidRDefault="000B642F">
    <w:pPr>
      <w:pStyle w:val="Header"/>
      <w:rPr>
        <w:i/>
        <w:iCs/>
      </w:rPr>
    </w:pPr>
    <w:r w:rsidRPr="00022476">
      <w:rPr>
        <w:rStyle w:val="PageNumber"/>
        <w:i/>
        <w:iCs/>
      </w:rPr>
      <w:t>(Table of Contents)</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2C" w14:textId="77777777" w:rsidR="000B642F" w:rsidRDefault="000B642F" w:rsidP="000E1297">
    <w:pPr>
      <w:pStyle w:val="Header"/>
      <w:rPr>
        <w:lang w:eastAsia="zh-CN"/>
      </w:rPr>
    </w:pPr>
    <w:r>
      <w:rPr>
        <w:rFonts w:ascii="Calibri" w:hAnsi="Calibri"/>
        <w:szCs w:val="18"/>
        <w:lang w:val="en-US" w:eastAsia="zh-CN"/>
      </w:rPr>
      <w:t>–</w:t>
    </w:r>
    <w:r w:rsidRPr="00163E5C">
      <w:rPr>
        <w:rFonts w:ascii="Calibri" w:hAnsi="Calibri"/>
        <w:szCs w:val="18"/>
        <w:lang w:val="en-US" w:eastAsia="zh-CN"/>
      </w:rPr>
      <w:t xml:space="preserve"> </w:t>
    </w:r>
    <w:r w:rsidRPr="00163E5C">
      <w:rPr>
        <w:rStyle w:val="PageNumber"/>
        <w:rFonts w:ascii="Calibri" w:hAnsi="Calibri"/>
        <w:szCs w:val="18"/>
      </w:rPr>
      <w:fldChar w:fldCharType="begin"/>
    </w:r>
    <w:r w:rsidRPr="00163E5C">
      <w:rPr>
        <w:rStyle w:val="PageNumber"/>
        <w:rFonts w:ascii="Calibri" w:hAnsi="Calibri"/>
        <w:szCs w:val="18"/>
        <w:lang w:eastAsia="zh-CN"/>
      </w:rPr>
      <w:instrText xml:space="preserve"> PAGE </w:instrText>
    </w:r>
    <w:r w:rsidRPr="00163E5C">
      <w:rPr>
        <w:rStyle w:val="PageNumber"/>
        <w:rFonts w:ascii="Calibri" w:hAnsi="Calibri"/>
        <w:szCs w:val="18"/>
      </w:rPr>
      <w:fldChar w:fldCharType="separate"/>
    </w:r>
    <w:r>
      <w:rPr>
        <w:rStyle w:val="PageNumber"/>
        <w:rFonts w:ascii="Calibri" w:hAnsi="Calibri"/>
        <w:noProof/>
        <w:szCs w:val="18"/>
        <w:lang w:eastAsia="zh-CN"/>
      </w:rPr>
      <w:t>159</w:t>
    </w:r>
    <w:r w:rsidRPr="00163E5C">
      <w:rPr>
        <w:rStyle w:val="PageNumber"/>
        <w:rFonts w:ascii="Calibri" w:hAnsi="Calibri"/>
        <w:szCs w:val="18"/>
      </w:rPr>
      <w:fldChar w:fldCharType="end"/>
    </w:r>
    <w:r w:rsidRPr="00163E5C">
      <w:rPr>
        <w:rStyle w:val="PageNumber"/>
        <w:rFonts w:ascii="Calibri" w:hAnsi="Calibri"/>
        <w:szCs w:val="18"/>
        <w:lang w:eastAsia="zh-CN"/>
      </w:rPr>
      <w:t xml:space="preserve"> </w:t>
    </w:r>
    <w:r>
      <w:rPr>
        <w:rStyle w:val="PageNumber"/>
        <w:rFonts w:ascii="Calibri" w:hAnsi="Calibri"/>
        <w:szCs w:val="18"/>
        <w:lang w:eastAsia="zh-CN"/>
      </w:rPr>
      <w:t>–</w:t>
    </w:r>
    <w:r w:rsidRPr="00163E5C">
      <w:rPr>
        <w:rStyle w:val="PageNumber"/>
        <w:rFonts w:ascii="Calibri" w:hAnsi="Calibri"/>
        <w:lang w:eastAsia="zh-CN"/>
      </w:rPr>
      <w:br/>
    </w:r>
    <w:r w:rsidRPr="00163E5C">
      <w:rPr>
        <w:rStyle w:val="PageNumber"/>
        <w:rFonts w:ascii="Calibri" w:eastAsia="STKaiti" w:hAnsi="STKaiti" w:hint="eastAsia"/>
        <w:szCs w:val="18"/>
        <w:lang w:eastAsia="zh-CN"/>
      </w:rPr>
      <w:t>（</w:t>
    </w:r>
    <w:r>
      <w:rPr>
        <w:rStyle w:val="PageNumber"/>
        <w:rFonts w:ascii="Calibri" w:hAnsi="Calibri" w:hint="eastAsia"/>
        <w:szCs w:val="18"/>
        <w:lang w:eastAsia="zh-CN"/>
      </w:rPr>
      <w:t>5</w:t>
    </w:r>
    <w:r>
      <w:rPr>
        <w:rStyle w:val="PageNumber"/>
        <w:rFonts w:ascii="Calibri" w:hAnsi="Calibri"/>
        <w:szCs w:val="18"/>
        <w:lang w:eastAsia="zh-CN"/>
      </w:rPr>
      <w:t>.1</w:t>
    </w:r>
    <w:r>
      <w:rPr>
        <w:rStyle w:val="PageNumber"/>
        <w:rFonts w:ascii="Calibri" w:hAnsi="Calibri" w:hint="eastAsia"/>
        <w:szCs w:val="18"/>
        <w:lang w:eastAsia="zh-CN"/>
      </w:rPr>
      <w:t xml:space="preserve"> </w:t>
    </w:r>
    <w:r w:rsidRPr="00163E5C">
      <w:rPr>
        <w:rFonts w:ascii="Calibri" w:hAnsi="Calibri"/>
        <w:szCs w:val="18"/>
        <w:lang w:eastAsia="zh-CN"/>
      </w:rPr>
      <w:t xml:space="preserve">– </w:t>
    </w:r>
    <w:r>
      <w:rPr>
        <w:rFonts w:ascii="Calibri" w:hint="eastAsia"/>
        <w:lang w:eastAsia="zh-CN"/>
      </w:rPr>
      <w:t>国际</w:t>
    </w:r>
    <w:r>
      <w:rPr>
        <w:rFonts w:ascii="Calibri"/>
        <w:lang w:eastAsia="zh-CN"/>
      </w:rPr>
      <w:t>电联各部门</w:t>
    </w:r>
    <w:r>
      <w:rPr>
        <w:rFonts w:ascii="Calibri"/>
        <w:lang w:eastAsia="zh-CN"/>
      </w:rPr>
      <w:t>/</w:t>
    </w:r>
    <w:r>
      <w:rPr>
        <w:rFonts w:ascii="Calibri"/>
        <w:lang w:eastAsia="zh-CN"/>
      </w:rPr>
      <w:t>总则</w:t>
    </w:r>
    <w:r w:rsidRPr="00163E5C">
      <w:rPr>
        <w:rStyle w:val="PageNumber"/>
        <w:rFonts w:ascii="Calibri" w:eastAsia="STKaiti" w:hAnsi="STKaiti" w:hint="eastAsia"/>
        <w:szCs w:val="18"/>
        <w:lang w:eastAsia="zh-CN"/>
      </w:rPr>
      <w:t>）</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2E" w14:textId="77777777" w:rsidR="000B642F" w:rsidRPr="000E1297" w:rsidRDefault="000B642F" w:rsidP="000E1297">
    <w:pPr>
      <w:pStyle w:val="Header1"/>
      <w:rPr>
        <w:rStyle w:val="HeaderChar"/>
      </w:rPr>
    </w:pPr>
    <w:r>
      <w:rPr>
        <w:rFonts w:asciiTheme="minorHAnsi" w:hAnsiTheme="minorHAnsi"/>
      </w:rPr>
      <w:t>–</w:t>
    </w:r>
    <w:r w:rsidRPr="0080711D">
      <w:rPr>
        <w:rFonts w:asciiTheme="minorHAnsi" w:hAnsiTheme="minorHAnsi"/>
      </w:rPr>
      <w:t xml:space="preserve"> </w:t>
    </w:r>
    <w:r w:rsidRPr="0080711D">
      <w:rPr>
        <w:rStyle w:val="PageNumber"/>
        <w:rFonts w:asciiTheme="minorHAnsi" w:eastAsia="STKaiti" w:hAnsiTheme="minorHAnsi"/>
      </w:rPr>
      <w:fldChar w:fldCharType="begin"/>
    </w:r>
    <w:r w:rsidRPr="0080711D">
      <w:rPr>
        <w:rStyle w:val="PageNumber"/>
        <w:rFonts w:asciiTheme="minorHAnsi" w:eastAsia="STKaiti" w:hAnsiTheme="minorHAnsi"/>
        <w:lang w:val="fr-FR"/>
      </w:rPr>
      <w:instrText xml:space="preserve"> PAGE </w:instrText>
    </w:r>
    <w:r w:rsidRPr="0080711D">
      <w:rPr>
        <w:rStyle w:val="PageNumber"/>
        <w:rFonts w:asciiTheme="minorHAnsi" w:eastAsia="STKaiti" w:hAnsiTheme="minorHAnsi"/>
      </w:rPr>
      <w:fldChar w:fldCharType="separate"/>
    </w:r>
    <w:r>
      <w:rPr>
        <w:rStyle w:val="PageNumber"/>
        <w:rFonts w:asciiTheme="minorHAnsi" w:eastAsia="STKaiti" w:hAnsiTheme="minorHAnsi"/>
        <w:noProof/>
        <w:lang w:val="fr-FR"/>
      </w:rPr>
      <w:t>162</w:t>
    </w:r>
    <w:r w:rsidRPr="0080711D">
      <w:rPr>
        <w:rStyle w:val="PageNumber"/>
        <w:rFonts w:asciiTheme="minorHAnsi" w:eastAsia="STKaiti" w:hAnsiTheme="minorHAnsi"/>
      </w:rPr>
      <w:fldChar w:fldCharType="end"/>
    </w:r>
    <w:r w:rsidRPr="0080711D">
      <w:rPr>
        <w:rStyle w:val="PageNumber"/>
        <w:rFonts w:asciiTheme="minorHAnsi" w:eastAsia="STKaiti" w:hAnsiTheme="minorHAnsi"/>
        <w:lang w:val="fr-FR"/>
      </w:rPr>
      <w:t xml:space="preserve"> </w:t>
    </w:r>
    <w:r>
      <w:rPr>
        <w:rStyle w:val="PageNumber"/>
        <w:rFonts w:asciiTheme="minorHAnsi" w:eastAsia="STKaiti" w:hAnsiTheme="minorHAnsi"/>
        <w:lang w:val="fr-FR"/>
      </w:rPr>
      <w:t>–</w:t>
    </w:r>
    <w:r w:rsidRPr="0080711D">
      <w:rPr>
        <w:rStyle w:val="PageNumber"/>
        <w:rFonts w:asciiTheme="minorHAnsi" w:eastAsia="STKaiti" w:hAnsiTheme="minorHAnsi"/>
        <w:lang w:val="fr-FR"/>
      </w:rPr>
      <w:br/>
    </w:r>
    <w:r w:rsidRPr="0080711D">
      <w:rPr>
        <w:rStyle w:val="PageNumber"/>
        <w:rFonts w:asciiTheme="minorHAnsi" w:eastAsia="STKaiti" w:hAnsi="STKaiti"/>
        <w:lang w:val="fr-FR" w:eastAsia="zh-CN"/>
      </w:rPr>
      <w:t>（</w:t>
    </w:r>
    <w:r w:rsidRPr="0080711D">
      <w:rPr>
        <w:rStyle w:val="PageNumber"/>
        <w:rFonts w:asciiTheme="minorHAnsi" w:eastAsia="STKaiti" w:hAnsiTheme="minorHAnsi"/>
        <w:lang w:val="fr-FR" w:eastAsia="zh-CN"/>
      </w:rPr>
      <w:t xml:space="preserve">5.2 – </w:t>
    </w:r>
    <w:r w:rsidRPr="0080711D">
      <w:rPr>
        <w:rFonts w:asciiTheme="minorHAnsi" w:hAnsi="STKaiti"/>
        <w:lang w:eastAsia="zh-CN"/>
      </w:rPr>
      <w:t>无线电通信部门</w:t>
    </w:r>
    <w:r w:rsidRPr="0080711D">
      <w:rPr>
        <w:rStyle w:val="PageNumber"/>
        <w:rFonts w:asciiTheme="minorHAnsi" w:eastAsia="STKaiti" w:hAnsi="STKaiti"/>
        <w:lang w:val="fr-FR" w:eastAsia="zh-CN"/>
      </w:rPr>
      <w:t>）</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2F" w14:textId="77777777" w:rsidR="000B642F" w:rsidRPr="000E1297" w:rsidRDefault="000B642F" w:rsidP="000E1297">
    <w:pPr>
      <w:pStyle w:val="Header1"/>
      <w:rPr>
        <w:rStyle w:val="HeaderChar"/>
      </w:rPr>
    </w:pPr>
    <w:r>
      <w:t>–</w:t>
    </w:r>
    <w:r w:rsidRPr="0080711D">
      <w:t xml:space="preserve"> </w:t>
    </w:r>
    <w:r w:rsidRPr="0080711D">
      <w:rPr>
        <w:rStyle w:val="PageNumber"/>
        <w:rFonts w:ascii="Calibri" w:eastAsia="STKaiti" w:hAnsi="Calibri"/>
      </w:rPr>
      <w:fldChar w:fldCharType="begin"/>
    </w:r>
    <w:r w:rsidRPr="0080711D">
      <w:rPr>
        <w:rStyle w:val="PageNumber"/>
        <w:rFonts w:ascii="Calibri" w:eastAsia="STKaiti" w:hAnsi="Calibri"/>
      </w:rPr>
      <w:instrText xml:space="preserve"> PAGE </w:instrText>
    </w:r>
    <w:r w:rsidRPr="0080711D">
      <w:rPr>
        <w:rStyle w:val="PageNumber"/>
        <w:rFonts w:ascii="Calibri" w:eastAsia="STKaiti" w:hAnsi="Calibri"/>
      </w:rPr>
      <w:fldChar w:fldCharType="separate"/>
    </w:r>
    <w:r>
      <w:rPr>
        <w:rStyle w:val="PageNumber"/>
        <w:rFonts w:ascii="Calibri" w:eastAsia="STKaiti" w:hAnsi="Calibri"/>
        <w:noProof/>
      </w:rPr>
      <w:t>161</w:t>
    </w:r>
    <w:r w:rsidRPr="0080711D">
      <w:rPr>
        <w:rStyle w:val="PageNumber"/>
        <w:rFonts w:ascii="Calibri" w:eastAsia="STKaiti" w:hAnsi="Calibri"/>
      </w:rPr>
      <w:fldChar w:fldCharType="end"/>
    </w:r>
    <w:r w:rsidRPr="0080711D">
      <w:rPr>
        <w:rStyle w:val="PageNumber"/>
        <w:rFonts w:ascii="Calibri" w:eastAsia="STKaiti" w:hAnsi="Calibri"/>
      </w:rPr>
      <w:t xml:space="preserve"> </w:t>
    </w:r>
    <w:r>
      <w:rPr>
        <w:rStyle w:val="PageNumber"/>
        <w:rFonts w:ascii="Calibri" w:eastAsia="STKaiti" w:hAnsi="Calibri"/>
      </w:rPr>
      <w:t>–</w:t>
    </w:r>
    <w:r w:rsidRPr="0080711D">
      <w:rPr>
        <w:rStyle w:val="PageNumber"/>
        <w:rFonts w:ascii="Calibri" w:eastAsia="STKaiti" w:hAnsi="Calibri"/>
      </w:rPr>
      <w:br/>
    </w:r>
    <w:r w:rsidRPr="0080711D">
      <w:rPr>
        <w:rStyle w:val="PageNumber"/>
        <w:rFonts w:ascii="Calibri" w:eastAsia="STKaiti" w:hAnsi="Calibri" w:hint="eastAsia"/>
      </w:rPr>
      <w:t>（</w:t>
    </w:r>
    <w:r w:rsidRPr="0080711D">
      <w:rPr>
        <w:rStyle w:val="PageNumber"/>
        <w:rFonts w:ascii="Calibri" w:eastAsia="STKaiti" w:hAnsi="Calibri"/>
      </w:rPr>
      <w:t>5.</w:t>
    </w:r>
    <w:r w:rsidRPr="0080711D">
      <w:rPr>
        <w:rStyle w:val="PageNumber"/>
        <w:rFonts w:ascii="Calibri" w:eastAsia="STKaiti" w:hAnsi="Calibri" w:hint="eastAsia"/>
      </w:rPr>
      <w:t>2</w:t>
    </w:r>
    <w:r w:rsidRPr="0080711D">
      <w:rPr>
        <w:rStyle w:val="PageNumber"/>
        <w:rFonts w:ascii="Calibri" w:eastAsia="STKaiti" w:hAnsi="Calibri"/>
      </w:rPr>
      <w:t xml:space="preserve"> –</w:t>
    </w:r>
    <w:r w:rsidRPr="0080711D">
      <w:rPr>
        <w:rStyle w:val="PageNumber"/>
        <w:rFonts w:ascii="Calibri" w:eastAsia="STKaiti" w:hAnsi="Calibri" w:hint="eastAsia"/>
      </w:rPr>
      <w:t xml:space="preserve"> </w:t>
    </w:r>
    <w:r w:rsidRPr="0080711D">
      <w:rPr>
        <w:rFonts w:hint="eastAsia"/>
      </w:rPr>
      <w:t>无线电通信部门</w:t>
    </w:r>
    <w:r w:rsidRPr="0080711D">
      <w:rPr>
        <w:rStyle w:val="PageNumber"/>
        <w:rFonts w:ascii="Calibri" w:eastAsia="STKaiti" w:hAnsi="Calibri" w:hint="eastAsia"/>
      </w:rPr>
      <w:t>）</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32" w14:textId="77777777" w:rsidR="000B642F" w:rsidRDefault="000B642F" w:rsidP="000E1297">
    <w:pPr>
      <w:pStyle w:val="Header"/>
    </w:pPr>
    <w:r>
      <w:rPr>
        <w:rFonts w:ascii="Calibri" w:hAnsi="Calibri"/>
        <w:szCs w:val="18"/>
        <w:lang w:val="en-US"/>
      </w:rPr>
      <w:t>–</w:t>
    </w:r>
    <w:r w:rsidRPr="00163E5C">
      <w:rPr>
        <w:rFonts w:ascii="Calibri" w:hAnsi="Calibri"/>
        <w:szCs w:val="18"/>
        <w:lang w:val="en-US"/>
      </w:rPr>
      <w:t xml:space="preserve"> </w:t>
    </w:r>
    <w:r w:rsidRPr="00163E5C">
      <w:rPr>
        <w:rStyle w:val="PageNumber"/>
        <w:rFonts w:ascii="Calibri" w:hAnsi="Calibri"/>
        <w:szCs w:val="18"/>
      </w:rPr>
      <w:fldChar w:fldCharType="begin"/>
    </w:r>
    <w:r w:rsidRPr="00163E5C">
      <w:rPr>
        <w:rStyle w:val="PageNumber"/>
        <w:rFonts w:ascii="Calibri" w:hAnsi="Calibri"/>
        <w:szCs w:val="18"/>
      </w:rPr>
      <w:instrText xml:space="preserve"> PAGE </w:instrText>
    </w:r>
    <w:r w:rsidRPr="00163E5C">
      <w:rPr>
        <w:rStyle w:val="PageNumber"/>
        <w:rFonts w:ascii="Calibri" w:hAnsi="Calibri"/>
        <w:szCs w:val="18"/>
      </w:rPr>
      <w:fldChar w:fldCharType="separate"/>
    </w:r>
    <w:r>
      <w:rPr>
        <w:rStyle w:val="PageNumber"/>
        <w:rFonts w:ascii="Calibri" w:hAnsi="Calibri"/>
        <w:noProof/>
        <w:szCs w:val="18"/>
      </w:rPr>
      <w:t>160</w:t>
    </w:r>
    <w:r w:rsidRPr="00163E5C">
      <w:rPr>
        <w:rStyle w:val="PageNumber"/>
        <w:rFonts w:ascii="Calibri" w:hAnsi="Calibri"/>
        <w:szCs w:val="18"/>
      </w:rPr>
      <w:fldChar w:fldCharType="end"/>
    </w:r>
    <w:r w:rsidRPr="00163E5C">
      <w:rPr>
        <w:rStyle w:val="PageNumber"/>
        <w:rFonts w:ascii="Calibri" w:hAnsi="Calibri"/>
        <w:szCs w:val="18"/>
      </w:rPr>
      <w:t xml:space="preserve"> </w:t>
    </w:r>
    <w:r>
      <w:rPr>
        <w:rStyle w:val="PageNumber"/>
        <w:rFonts w:ascii="Calibri" w:hAnsi="Calibri"/>
        <w:szCs w:val="18"/>
      </w:rPr>
      <w:t>–</w:t>
    </w:r>
    <w:r w:rsidRPr="00163E5C">
      <w:rPr>
        <w:rStyle w:val="PageNumber"/>
        <w:rFonts w:ascii="Calibri" w:hAnsi="Calibri"/>
      </w:rPr>
      <w:br/>
    </w:r>
    <w:r w:rsidRPr="00163E5C">
      <w:rPr>
        <w:rStyle w:val="PageNumber"/>
        <w:rFonts w:ascii="Calibri" w:eastAsia="STKaiti" w:hAnsi="STKaiti" w:hint="eastAsia"/>
        <w:szCs w:val="18"/>
        <w:lang w:eastAsia="zh-CN"/>
      </w:rPr>
      <w:t>（</w:t>
    </w:r>
    <w:r>
      <w:rPr>
        <w:rStyle w:val="PageNumber"/>
        <w:rFonts w:ascii="Calibri" w:hAnsi="Calibri"/>
        <w:szCs w:val="18"/>
        <w:lang w:eastAsia="zh-CN"/>
      </w:rPr>
      <w:t>5.2</w:t>
    </w:r>
    <w:r w:rsidRPr="00163E5C">
      <w:rPr>
        <w:rStyle w:val="PageNumber"/>
        <w:rFonts w:ascii="Calibri" w:hAnsi="Calibri"/>
        <w:szCs w:val="18"/>
        <w:lang w:eastAsia="zh-CN"/>
      </w:rPr>
      <w:t xml:space="preserve"> </w:t>
    </w:r>
    <w:r w:rsidRPr="00163E5C">
      <w:rPr>
        <w:rFonts w:ascii="Calibri" w:hAnsi="Calibri"/>
        <w:szCs w:val="18"/>
        <w:lang w:eastAsia="zh-CN"/>
      </w:rPr>
      <w:t>–</w:t>
    </w:r>
    <w:r>
      <w:rPr>
        <w:rFonts w:ascii="Calibri" w:hAnsi="Calibri"/>
        <w:szCs w:val="18"/>
        <w:lang w:eastAsia="zh-CN"/>
      </w:rPr>
      <w:t xml:space="preserve"> </w:t>
    </w:r>
    <w:r w:rsidRPr="0080711D">
      <w:rPr>
        <w:rFonts w:hint="eastAsia"/>
      </w:rPr>
      <w:t>无线电通信部门</w:t>
    </w:r>
    <w:r w:rsidRPr="00163E5C">
      <w:rPr>
        <w:rStyle w:val="PageNumber"/>
        <w:rFonts w:ascii="Calibri" w:eastAsia="STKaiti" w:hAnsi="STKaiti" w:hint="eastAsia"/>
        <w:szCs w:val="18"/>
        <w:lang w:eastAsia="zh-CN"/>
      </w:rPr>
      <w:t>）</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34" w14:textId="77777777" w:rsidR="000B642F" w:rsidRDefault="000B642F" w:rsidP="00116503">
    <w:pPr>
      <w:pStyle w:val="Header1"/>
    </w:pPr>
    <w:r>
      <w:rPr>
        <w:rFonts w:asciiTheme="minorHAnsi" w:hAnsiTheme="minorHAnsi"/>
      </w:rPr>
      <w:t>–</w:t>
    </w:r>
    <w:r w:rsidRPr="0080711D">
      <w:rPr>
        <w:rFonts w:asciiTheme="minorHAnsi" w:hAnsiTheme="minorHAnsi"/>
      </w:rPr>
      <w:t xml:space="preserve"> </w:t>
    </w:r>
    <w:r w:rsidRPr="0080711D">
      <w:rPr>
        <w:rStyle w:val="PageNumber"/>
        <w:rFonts w:asciiTheme="minorHAnsi" w:eastAsia="STKaiti" w:hAnsiTheme="minorHAnsi"/>
      </w:rPr>
      <w:fldChar w:fldCharType="begin"/>
    </w:r>
    <w:r w:rsidRPr="0080711D">
      <w:rPr>
        <w:rStyle w:val="PageNumber"/>
        <w:rFonts w:asciiTheme="minorHAnsi" w:eastAsia="STKaiti" w:hAnsiTheme="minorHAnsi"/>
        <w:lang w:val="fr-FR"/>
      </w:rPr>
      <w:instrText xml:space="preserve"> PAGE </w:instrText>
    </w:r>
    <w:r w:rsidRPr="0080711D">
      <w:rPr>
        <w:rStyle w:val="PageNumber"/>
        <w:rFonts w:asciiTheme="minorHAnsi" w:eastAsia="STKaiti" w:hAnsiTheme="minorHAnsi"/>
      </w:rPr>
      <w:fldChar w:fldCharType="separate"/>
    </w:r>
    <w:r>
      <w:rPr>
        <w:rStyle w:val="PageNumber"/>
        <w:rFonts w:asciiTheme="minorHAnsi" w:eastAsia="STKaiti" w:hAnsiTheme="minorHAnsi"/>
        <w:noProof/>
        <w:lang w:val="fr-FR"/>
      </w:rPr>
      <w:t>164</w:t>
    </w:r>
    <w:r w:rsidRPr="0080711D">
      <w:rPr>
        <w:rStyle w:val="PageNumber"/>
        <w:rFonts w:asciiTheme="minorHAnsi" w:eastAsia="STKaiti" w:hAnsiTheme="minorHAnsi"/>
      </w:rPr>
      <w:fldChar w:fldCharType="end"/>
    </w:r>
    <w:r w:rsidRPr="0080711D">
      <w:rPr>
        <w:rStyle w:val="PageNumber"/>
        <w:rFonts w:asciiTheme="minorHAnsi" w:eastAsia="STKaiti" w:hAnsiTheme="minorHAnsi"/>
        <w:lang w:val="fr-FR"/>
      </w:rPr>
      <w:t xml:space="preserve"> </w:t>
    </w:r>
    <w:r>
      <w:rPr>
        <w:rStyle w:val="PageNumber"/>
        <w:rFonts w:asciiTheme="minorHAnsi" w:eastAsia="STKaiti" w:hAnsiTheme="minorHAnsi"/>
        <w:lang w:val="fr-FR"/>
      </w:rPr>
      <w:t>–</w:t>
    </w:r>
    <w:r w:rsidRPr="0080711D">
      <w:rPr>
        <w:rStyle w:val="PageNumber"/>
        <w:rFonts w:asciiTheme="minorHAnsi" w:eastAsia="STKaiti" w:hAnsiTheme="minorHAnsi"/>
        <w:lang w:val="fr-FR"/>
      </w:rPr>
      <w:br/>
    </w:r>
    <w:r w:rsidRPr="0080711D">
      <w:rPr>
        <w:rStyle w:val="PageNumber"/>
        <w:rFonts w:asciiTheme="minorHAnsi" w:eastAsia="STKaiti" w:hAnsi="STKaiti"/>
        <w:lang w:val="fr-FR" w:eastAsia="zh-CN"/>
      </w:rPr>
      <w:t>（</w:t>
    </w:r>
    <w:r>
      <w:rPr>
        <w:rStyle w:val="PageNumber"/>
        <w:rFonts w:asciiTheme="minorHAnsi" w:eastAsia="STKaiti" w:hAnsi="STKaiti" w:hint="eastAsia"/>
        <w:lang w:val="fr-FR" w:eastAsia="zh-CN"/>
      </w:rPr>
      <w:t>5</w:t>
    </w:r>
    <w:r w:rsidRPr="0080711D">
      <w:rPr>
        <w:rStyle w:val="PageNumber"/>
        <w:rFonts w:asciiTheme="minorHAnsi" w:eastAsia="STKaiti" w:hAnsiTheme="minorHAnsi"/>
        <w:lang w:val="fr-FR" w:eastAsia="zh-CN"/>
      </w:rPr>
      <w:t xml:space="preserve">.2 – </w:t>
    </w:r>
    <w:r w:rsidRPr="0080711D">
      <w:rPr>
        <w:rFonts w:asciiTheme="minorHAnsi" w:hAnsi="STKaiti"/>
        <w:lang w:eastAsia="zh-CN"/>
      </w:rPr>
      <w:t>无线电通信部门</w:t>
    </w:r>
    <w:r w:rsidRPr="0080711D">
      <w:rPr>
        <w:rStyle w:val="PageNumber"/>
        <w:rFonts w:asciiTheme="minorHAnsi" w:eastAsia="STKaiti" w:hAnsi="STKaiti"/>
        <w:lang w:val="fr-FR" w:eastAsia="zh-CN"/>
      </w:rPr>
      <w:t>）</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35" w14:textId="77777777" w:rsidR="000B642F" w:rsidRPr="00E27A81" w:rsidRDefault="000B642F" w:rsidP="00E27A81">
    <w:pPr>
      <w:pStyle w:val="Header1"/>
      <w:rPr>
        <w:rFonts w:asciiTheme="minorHAnsi" w:hAnsiTheme="minorHAnsi"/>
        <w:lang w:val="en-GB"/>
      </w:rPr>
    </w:pPr>
    <w:r>
      <w:rPr>
        <w:rFonts w:asciiTheme="minorHAnsi" w:hAnsiTheme="minorHAnsi"/>
      </w:rPr>
      <w:t>–</w:t>
    </w:r>
    <w:r w:rsidRPr="0080711D">
      <w:rPr>
        <w:rFonts w:asciiTheme="minorHAnsi" w:hAnsiTheme="minorHAnsi"/>
      </w:rPr>
      <w:t xml:space="preserve"> </w:t>
    </w:r>
    <w:r w:rsidRPr="0080711D">
      <w:rPr>
        <w:rStyle w:val="PageNumber"/>
        <w:rFonts w:asciiTheme="minorHAnsi" w:eastAsia="STKaiti" w:hAnsiTheme="minorHAnsi"/>
      </w:rPr>
      <w:fldChar w:fldCharType="begin"/>
    </w:r>
    <w:r w:rsidRPr="0080711D">
      <w:rPr>
        <w:rStyle w:val="PageNumber"/>
        <w:rFonts w:asciiTheme="minorHAnsi" w:eastAsia="STKaiti" w:hAnsiTheme="minorHAnsi"/>
        <w:lang w:val="fr-FR"/>
      </w:rPr>
      <w:instrText xml:space="preserve"> PAGE </w:instrText>
    </w:r>
    <w:r w:rsidRPr="0080711D">
      <w:rPr>
        <w:rStyle w:val="PageNumber"/>
        <w:rFonts w:asciiTheme="minorHAnsi" w:eastAsia="STKaiti" w:hAnsiTheme="minorHAnsi"/>
      </w:rPr>
      <w:fldChar w:fldCharType="separate"/>
    </w:r>
    <w:r>
      <w:rPr>
        <w:rStyle w:val="PageNumber"/>
        <w:rFonts w:asciiTheme="minorHAnsi" w:eastAsia="STKaiti" w:hAnsiTheme="minorHAnsi"/>
        <w:noProof/>
        <w:lang w:val="fr-FR"/>
      </w:rPr>
      <w:t>163</w:t>
    </w:r>
    <w:r w:rsidRPr="0080711D">
      <w:rPr>
        <w:rStyle w:val="PageNumber"/>
        <w:rFonts w:asciiTheme="minorHAnsi" w:eastAsia="STKaiti" w:hAnsiTheme="minorHAnsi"/>
      </w:rPr>
      <w:fldChar w:fldCharType="end"/>
    </w:r>
    <w:r w:rsidRPr="0080711D">
      <w:rPr>
        <w:rStyle w:val="PageNumber"/>
        <w:rFonts w:asciiTheme="minorHAnsi" w:eastAsia="STKaiti" w:hAnsiTheme="minorHAnsi"/>
        <w:lang w:val="fr-FR"/>
      </w:rPr>
      <w:t xml:space="preserve"> </w:t>
    </w:r>
    <w:r>
      <w:rPr>
        <w:rStyle w:val="PageNumber"/>
        <w:rFonts w:asciiTheme="minorHAnsi" w:eastAsia="STKaiti" w:hAnsiTheme="minorHAnsi"/>
        <w:lang w:val="fr-FR"/>
      </w:rPr>
      <w:t>–</w:t>
    </w:r>
    <w:r w:rsidRPr="0080711D">
      <w:rPr>
        <w:rStyle w:val="PageNumber"/>
        <w:rFonts w:asciiTheme="minorHAnsi" w:eastAsia="STKaiti" w:hAnsiTheme="minorHAnsi"/>
        <w:lang w:val="fr-FR"/>
      </w:rPr>
      <w:br/>
    </w:r>
    <w:r w:rsidRPr="0080711D">
      <w:rPr>
        <w:rStyle w:val="PageNumber"/>
        <w:rFonts w:asciiTheme="minorHAnsi" w:eastAsia="STKaiti" w:hAnsi="STKaiti"/>
        <w:lang w:val="fr-FR" w:eastAsia="zh-CN"/>
      </w:rPr>
      <w:t>（</w:t>
    </w:r>
    <w:r w:rsidRPr="0080711D">
      <w:rPr>
        <w:rStyle w:val="PageNumber"/>
        <w:rFonts w:asciiTheme="minorHAnsi" w:eastAsia="STKaiti" w:hAnsiTheme="minorHAnsi"/>
        <w:lang w:val="fr-FR" w:eastAsia="zh-CN"/>
      </w:rPr>
      <w:t xml:space="preserve">5.2 – </w:t>
    </w:r>
    <w:r w:rsidRPr="0080711D">
      <w:rPr>
        <w:rFonts w:asciiTheme="minorHAnsi" w:hAnsi="STKaiti"/>
        <w:lang w:eastAsia="zh-CN"/>
      </w:rPr>
      <w:t>无线电通信部门</w:t>
    </w:r>
    <w:r w:rsidRPr="0080711D">
      <w:rPr>
        <w:rStyle w:val="PageNumber"/>
        <w:rFonts w:asciiTheme="minorHAnsi" w:eastAsia="STKaiti" w:hAnsi="STKaiti"/>
        <w:lang w:val="fr-FR" w:eastAsia="zh-CN"/>
      </w:rPr>
      <w:t>）</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38" w14:textId="77777777" w:rsidR="000B642F" w:rsidRDefault="000B642F"/>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3A" w14:textId="77777777" w:rsidR="000B642F" w:rsidRDefault="000B642F" w:rsidP="000E1297">
    <w:pPr>
      <w:pStyle w:val="Header1"/>
    </w:pPr>
    <w:r>
      <w:rPr>
        <w:rFonts w:asciiTheme="minorHAnsi" w:hAnsiTheme="minorHAnsi"/>
      </w:rPr>
      <w:t>–</w:t>
    </w:r>
    <w:r w:rsidRPr="0080711D">
      <w:rPr>
        <w:rFonts w:asciiTheme="minorHAnsi" w:hAnsiTheme="minorHAnsi"/>
      </w:rPr>
      <w:t xml:space="preserve"> </w:t>
    </w:r>
    <w:r w:rsidRPr="0080711D">
      <w:rPr>
        <w:rStyle w:val="PageNumber"/>
        <w:rFonts w:asciiTheme="minorHAnsi" w:eastAsia="STKaiti" w:hAnsiTheme="minorHAnsi"/>
      </w:rPr>
      <w:fldChar w:fldCharType="begin"/>
    </w:r>
    <w:r w:rsidRPr="0080711D">
      <w:rPr>
        <w:rStyle w:val="PageNumber"/>
        <w:rFonts w:asciiTheme="minorHAnsi" w:eastAsia="STKaiti" w:hAnsiTheme="minorHAnsi"/>
        <w:lang w:val="fr-FR"/>
      </w:rPr>
      <w:instrText xml:space="preserve"> PAGE </w:instrText>
    </w:r>
    <w:r w:rsidRPr="0080711D">
      <w:rPr>
        <w:rStyle w:val="PageNumber"/>
        <w:rFonts w:asciiTheme="minorHAnsi" w:eastAsia="STKaiti" w:hAnsiTheme="minorHAnsi"/>
      </w:rPr>
      <w:fldChar w:fldCharType="separate"/>
    </w:r>
    <w:r>
      <w:rPr>
        <w:rStyle w:val="PageNumber"/>
        <w:rFonts w:asciiTheme="minorHAnsi" w:eastAsia="STKaiti" w:hAnsiTheme="minorHAnsi"/>
        <w:noProof/>
        <w:lang w:val="fr-FR"/>
      </w:rPr>
      <w:t>166</w:t>
    </w:r>
    <w:r w:rsidRPr="0080711D">
      <w:rPr>
        <w:rStyle w:val="PageNumber"/>
        <w:rFonts w:asciiTheme="minorHAnsi" w:eastAsia="STKaiti" w:hAnsiTheme="minorHAnsi"/>
      </w:rPr>
      <w:fldChar w:fldCharType="end"/>
    </w:r>
    <w:r w:rsidRPr="0080711D">
      <w:rPr>
        <w:rStyle w:val="PageNumber"/>
        <w:rFonts w:asciiTheme="minorHAnsi" w:eastAsia="STKaiti" w:hAnsiTheme="minorHAnsi"/>
        <w:lang w:val="fr-FR"/>
      </w:rPr>
      <w:t xml:space="preserve"> </w:t>
    </w:r>
    <w:r>
      <w:rPr>
        <w:rStyle w:val="PageNumber"/>
        <w:rFonts w:asciiTheme="minorHAnsi" w:eastAsia="STKaiti" w:hAnsiTheme="minorHAnsi"/>
        <w:lang w:val="fr-FR"/>
      </w:rPr>
      <w:t>–</w:t>
    </w:r>
    <w:r w:rsidRPr="0080711D">
      <w:rPr>
        <w:rStyle w:val="PageNumber"/>
        <w:rFonts w:asciiTheme="minorHAnsi" w:eastAsia="STKaiti" w:hAnsiTheme="minorHAnsi"/>
        <w:lang w:val="fr-FR"/>
      </w:rPr>
      <w:br/>
    </w:r>
    <w:r w:rsidRPr="0080711D">
      <w:rPr>
        <w:rStyle w:val="PageNumber"/>
        <w:rFonts w:asciiTheme="minorHAnsi" w:eastAsia="STKaiti" w:hAnsi="STKaiti"/>
        <w:lang w:val="fr-FR" w:eastAsia="zh-CN"/>
      </w:rPr>
      <w:t>（</w:t>
    </w:r>
    <w:r w:rsidRPr="0080711D">
      <w:rPr>
        <w:rStyle w:val="PageNumber"/>
        <w:rFonts w:asciiTheme="minorHAnsi" w:eastAsia="STKaiti" w:hAnsiTheme="minorHAnsi"/>
        <w:lang w:val="fr-FR" w:eastAsia="zh-CN"/>
      </w:rPr>
      <w:t>5.3 –</w:t>
    </w:r>
    <w:r w:rsidRPr="0080711D">
      <w:rPr>
        <w:rFonts w:asciiTheme="minorHAnsi" w:hAnsi="STKaiti"/>
        <w:lang w:eastAsia="zh-CN"/>
      </w:rPr>
      <w:t>电信标准化部门</w:t>
    </w:r>
    <w:r w:rsidRPr="0080711D">
      <w:rPr>
        <w:rStyle w:val="PageNumber"/>
        <w:rFonts w:asciiTheme="minorHAnsi" w:eastAsia="STKaiti" w:hAnsi="STKaiti"/>
        <w:lang w:val="fr-FR" w:eastAsia="zh-CN"/>
      </w:rPr>
      <w:t>）</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3B" w14:textId="77777777" w:rsidR="000B642F" w:rsidRDefault="000B642F" w:rsidP="000E1297">
    <w:pPr>
      <w:pStyle w:val="Header1"/>
    </w:pPr>
    <w:r>
      <w:t>–</w:t>
    </w:r>
    <w:r w:rsidRPr="0080711D">
      <w:t xml:space="preserve"> </w:t>
    </w:r>
    <w:r w:rsidRPr="0080711D">
      <w:rPr>
        <w:rStyle w:val="PageNumber"/>
        <w:rFonts w:ascii="Calibri" w:eastAsia="STKaiti" w:hAnsi="Calibri"/>
      </w:rPr>
      <w:fldChar w:fldCharType="begin"/>
    </w:r>
    <w:r w:rsidRPr="0080711D">
      <w:rPr>
        <w:rStyle w:val="PageNumber"/>
        <w:rFonts w:ascii="Calibri" w:eastAsia="STKaiti" w:hAnsi="Calibri"/>
        <w:lang w:val="fr-FR"/>
      </w:rPr>
      <w:instrText xml:space="preserve"> PAGE </w:instrText>
    </w:r>
    <w:r w:rsidRPr="0080711D">
      <w:rPr>
        <w:rStyle w:val="PageNumber"/>
        <w:rFonts w:ascii="Calibri" w:eastAsia="STKaiti" w:hAnsi="Calibri"/>
      </w:rPr>
      <w:fldChar w:fldCharType="separate"/>
    </w:r>
    <w:r>
      <w:rPr>
        <w:rStyle w:val="PageNumber"/>
        <w:rFonts w:ascii="Calibri" w:eastAsia="STKaiti" w:hAnsi="Calibri"/>
        <w:noProof/>
        <w:lang w:val="fr-FR"/>
      </w:rPr>
      <w:t>165</w:t>
    </w:r>
    <w:r w:rsidRPr="0080711D">
      <w:rPr>
        <w:rStyle w:val="PageNumber"/>
        <w:rFonts w:ascii="Calibri" w:eastAsia="STKaiti" w:hAnsi="Calibri"/>
      </w:rPr>
      <w:fldChar w:fldCharType="end"/>
    </w:r>
    <w:r w:rsidRPr="0080711D">
      <w:rPr>
        <w:rStyle w:val="PageNumber"/>
        <w:rFonts w:ascii="Calibri" w:eastAsia="STKaiti" w:hAnsi="Calibri"/>
        <w:lang w:val="fr-FR"/>
      </w:rPr>
      <w:t xml:space="preserve"> </w:t>
    </w:r>
    <w:r>
      <w:rPr>
        <w:rStyle w:val="PageNumber"/>
        <w:rFonts w:ascii="Calibri" w:eastAsia="STKaiti" w:hAnsi="Calibri"/>
        <w:lang w:val="fr-FR"/>
      </w:rPr>
      <w:t>–</w:t>
    </w:r>
    <w:r w:rsidRPr="0080711D">
      <w:rPr>
        <w:rStyle w:val="PageNumber"/>
        <w:rFonts w:ascii="Calibri" w:eastAsia="STKaiti" w:hAnsi="Calibri"/>
        <w:lang w:val="fr-FR"/>
      </w:rPr>
      <w:br/>
    </w:r>
    <w:r w:rsidRPr="0080711D">
      <w:rPr>
        <w:rStyle w:val="PageNumber"/>
        <w:rFonts w:ascii="Calibri" w:eastAsia="STKaiti" w:hAnsi="STKaiti"/>
        <w:lang w:val="fr-FR" w:eastAsia="zh-CN"/>
      </w:rPr>
      <w:t>（</w:t>
    </w:r>
    <w:r w:rsidRPr="0080711D">
      <w:rPr>
        <w:rStyle w:val="PageNumber"/>
        <w:rFonts w:ascii="Calibri" w:eastAsia="STKaiti" w:hAnsi="Calibri"/>
        <w:lang w:val="fr-FR" w:eastAsia="zh-CN"/>
      </w:rPr>
      <w:t xml:space="preserve">5.3 – </w:t>
    </w:r>
    <w:r w:rsidRPr="0080711D">
      <w:rPr>
        <w:rFonts w:hAnsi="STKaiti"/>
        <w:lang w:eastAsia="zh-CN"/>
      </w:rPr>
      <w:t>电信标准化部门</w:t>
    </w:r>
    <w:r w:rsidRPr="0080711D">
      <w:rPr>
        <w:rStyle w:val="PageNumber"/>
        <w:rFonts w:ascii="Calibri" w:eastAsia="STKaiti" w:hAnsi="STKaiti"/>
        <w:lang w:val="fr-FR" w:eastAsia="zh-CN"/>
      </w:rPr>
      <w:t>）</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3E" w14:textId="77777777" w:rsidR="000B642F" w:rsidRDefault="000B642F" w:rsidP="000E1297">
    <w:pPr>
      <w:pStyle w:val="Header"/>
    </w:pPr>
    <w:r>
      <w:rPr>
        <w:rFonts w:ascii="Calibri" w:hAnsi="Calibri"/>
        <w:szCs w:val="18"/>
        <w:lang w:val="en-US"/>
      </w:rPr>
      <w:t>–</w:t>
    </w:r>
    <w:r w:rsidRPr="00163E5C">
      <w:rPr>
        <w:rFonts w:ascii="Calibri" w:hAnsi="Calibri"/>
        <w:szCs w:val="18"/>
        <w:lang w:val="en-US"/>
      </w:rPr>
      <w:t xml:space="preserve"> </w:t>
    </w:r>
    <w:r w:rsidRPr="00163E5C">
      <w:rPr>
        <w:rStyle w:val="PageNumber"/>
        <w:rFonts w:ascii="Calibri" w:hAnsi="Calibri"/>
        <w:szCs w:val="18"/>
      </w:rPr>
      <w:fldChar w:fldCharType="begin"/>
    </w:r>
    <w:r w:rsidRPr="00163E5C">
      <w:rPr>
        <w:rStyle w:val="PageNumber"/>
        <w:rFonts w:ascii="Calibri" w:hAnsi="Calibri"/>
        <w:szCs w:val="18"/>
      </w:rPr>
      <w:instrText xml:space="preserve"> PAGE </w:instrText>
    </w:r>
    <w:r w:rsidRPr="00163E5C">
      <w:rPr>
        <w:rStyle w:val="PageNumber"/>
        <w:rFonts w:ascii="Calibri" w:hAnsi="Calibri"/>
        <w:szCs w:val="18"/>
      </w:rPr>
      <w:fldChar w:fldCharType="separate"/>
    </w:r>
    <w:r>
      <w:rPr>
        <w:rStyle w:val="PageNumber"/>
        <w:rFonts w:ascii="Calibri" w:hAnsi="Calibri"/>
        <w:noProof/>
        <w:szCs w:val="18"/>
      </w:rPr>
      <w:t>164</w:t>
    </w:r>
    <w:r w:rsidRPr="00163E5C">
      <w:rPr>
        <w:rStyle w:val="PageNumber"/>
        <w:rFonts w:ascii="Calibri" w:hAnsi="Calibri"/>
        <w:szCs w:val="18"/>
      </w:rPr>
      <w:fldChar w:fldCharType="end"/>
    </w:r>
    <w:r w:rsidRPr="00163E5C">
      <w:rPr>
        <w:rStyle w:val="PageNumber"/>
        <w:rFonts w:ascii="Calibri" w:hAnsi="Calibri"/>
        <w:szCs w:val="18"/>
      </w:rPr>
      <w:t xml:space="preserve"> </w:t>
    </w:r>
    <w:r>
      <w:rPr>
        <w:rStyle w:val="PageNumber"/>
        <w:rFonts w:ascii="Calibri" w:hAnsi="Calibri"/>
        <w:szCs w:val="18"/>
      </w:rPr>
      <w:t>–</w:t>
    </w:r>
    <w:r w:rsidRPr="00163E5C">
      <w:rPr>
        <w:rStyle w:val="PageNumber"/>
        <w:rFonts w:ascii="Calibri" w:hAnsi="Calibri"/>
      </w:rPr>
      <w:br/>
    </w:r>
    <w:r w:rsidRPr="00163E5C">
      <w:rPr>
        <w:rStyle w:val="PageNumber"/>
        <w:rFonts w:ascii="Calibri" w:eastAsia="STKaiti" w:hAnsi="STKaiti" w:hint="eastAsia"/>
        <w:szCs w:val="18"/>
        <w:lang w:eastAsia="zh-CN"/>
      </w:rPr>
      <w:t>（</w:t>
    </w:r>
    <w:r w:rsidRPr="0080711D">
      <w:rPr>
        <w:rStyle w:val="PageNumber"/>
        <w:rFonts w:asciiTheme="minorHAnsi" w:eastAsia="STKaiti" w:hAnsiTheme="minorHAnsi"/>
        <w:lang w:val="fr-FR" w:eastAsia="zh-CN"/>
      </w:rPr>
      <w:t>5.3 –</w:t>
    </w:r>
    <w:r w:rsidRPr="0080711D">
      <w:rPr>
        <w:rFonts w:hAnsi="STKaiti"/>
        <w:lang w:eastAsia="zh-CN"/>
      </w:rPr>
      <w:t>电信标准化部门</w:t>
    </w:r>
    <w:r w:rsidRPr="00163E5C">
      <w:rPr>
        <w:rStyle w:val="PageNumber"/>
        <w:rFonts w:ascii="Calibri" w:eastAsia="STKaiti" w:hAnsi="STKaiti" w:hint="eastAsia"/>
        <w:szCs w:val="18"/>
        <w:lang w:eastAsia="zh-CN"/>
      </w:rPr>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D7" w14:textId="77777777" w:rsidR="000B642F" w:rsidRPr="00EB6078" w:rsidRDefault="000B642F" w:rsidP="003A1C4B">
    <w:pPr>
      <w:pStyle w:val="Header"/>
      <w:rPr>
        <w:iCs/>
      </w:rPr>
    </w:pPr>
    <w:r>
      <w:t xml:space="preserve">– </w:t>
    </w:r>
    <w:r w:rsidRPr="00EB6078">
      <w:rPr>
        <w:rStyle w:val="PageNumber"/>
        <w:rFonts w:ascii="Calibri" w:hAnsi="Calibri" w:cs="Calibri"/>
      </w:rPr>
      <w:fldChar w:fldCharType="begin"/>
    </w:r>
    <w:r w:rsidRPr="00EB6078">
      <w:rPr>
        <w:rStyle w:val="PageNumber"/>
        <w:rFonts w:ascii="Calibri" w:hAnsi="Calibri" w:cs="Calibri"/>
      </w:rPr>
      <w:instrText xml:space="preserve"> PAGE </w:instrText>
    </w:r>
    <w:r w:rsidRPr="00EB6078">
      <w:rPr>
        <w:rStyle w:val="PageNumber"/>
        <w:rFonts w:ascii="Calibri" w:hAnsi="Calibri" w:cs="Calibri"/>
      </w:rPr>
      <w:fldChar w:fldCharType="separate"/>
    </w:r>
    <w:r>
      <w:rPr>
        <w:rStyle w:val="PageNumber"/>
        <w:rFonts w:ascii="Calibri" w:hAnsi="Calibri" w:cs="Calibri"/>
        <w:noProof/>
      </w:rPr>
      <w:t>iii</w:t>
    </w:r>
    <w:r w:rsidRPr="00EB6078">
      <w:rPr>
        <w:rStyle w:val="PageNumber"/>
        <w:rFonts w:ascii="Calibri" w:hAnsi="Calibri" w:cs="Calibri"/>
      </w:rPr>
      <w:fldChar w:fldCharType="end"/>
    </w:r>
    <w:r w:rsidRPr="00EB6078">
      <w:rPr>
        <w:rStyle w:val="PageNumber"/>
        <w:rFonts w:ascii="Calibri" w:hAnsi="Calibri" w:cs="Calibri"/>
      </w:rPr>
      <w:t xml:space="preserve"> </w:t>
    </w:r>
    <w:r>
      <w:rPr>
        <w:rStyle w:val="PageNumber"/>
      </w:rPr>
      <w:t>–</w:t>
    </w:r>
    <w:r>
      <w:rPr>
        <w:rStyle w:val="PageNumber"/>
      </w:rPr>
      <w:br/>
    </w:r>
    <w:r w:rsidRPr="00EB6078">
      <w:rPr>
        <w:rFonts w:hint="eastAsia"/>
        <w:iCs/>
        <w:lang w:eastAsia="zh-CN"/>
      </w:rPr>
      <w:t>（总目录）</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40" w14:textId="77777777" w:rsidR="000B642F" w:rsidRPr="000E1297" w:rsidRDefault="000B642F" w:rsidP="000E1297">
    <w:pPr>
      <w:pStyle w:val="Header1"/>
      <w:rPr>
        <w:rStyle w:val="HeaderChar"/>
      </w:rPr>
    </w:pPr>
    <w:r>
      <w:t>–</w:t>
    </w:r>
    <w:r w:rsidRPr="0080711D">
      <w:t xml:space="preserve"> </w:t>
    </w:r>
    <w:r w:rsidRPr="0080711D">
      <w:rPr>
        <w:rStyle w:val="PageNumber"/>
        <w:rFonts w:ascii="Calibri" w:hAnsi="Calibri"/>
      </w:rPr>
      <w:fldChar w:fldCharType="begin"/>
    </w:r>
    <w:r w:rsidRPr="0080711D">
      <w:rPr>
        <w:rStyle w:val="PageNumber"/>
        <w:rFonts w:ascii="Calibri" w:hAnsi="Calibri"/>
      </w:rPr>
      <w:instrText xml:space="preserve"> PAGE </w:instrText>
    </w:r>
    <w:r w:rsidRPr="0080711D">
      <w:rPr>
        <w:rStyle w:val="PageNumber"/>
        <w:rFonts w:ascii="Calibri" w:hAnsi="Calibri"/>
      </w:rPr>
      <w:fldChar w:fldCharType="separate"/>
    </w:r>
    <w:r>
      <w:rPr>
        <w:rStyle w:val="PageNumber"/>
        <w:rFonts w:ascii="Calibri" w:hAnsi="Calibri"/>
        <w:noProof/>
      </w:rPr>
      <w:t>178</w:t>
    </w:r>
    <w:r w:rsidRPr="0080711D">
      <w:rPr>
        <w:rStyle w:val="PageNumber"/>
        <w:rFonts w:ascii="Calibri" w:hAnsi="Calibri"/>
      </w:rPr>
      <w:fldChar w:fldCharType="end"/>
    </w:r>
    <w:r w:rsidRPr="0080711D">
      <w:rPr>
        <w:rStyle w:val="PageNumber"/>
        <w:rFonts w:ascii="Calibri" w:hAnsi="Calibri"/>
      </w:rPr>
      <w:t xml:space="preserve"> </w:t>
    </w:r>
    <w:r>
      <w:rPr>
        <w:rStyle w:val="PageNumber"/>
        <w:rFonts w:ascii="Calibri" w:hAnsi="Calibri"/>
      </w:rPr>
      <w:t>–</w:t>
    </w:r>
    <w:r w:rsidRPr="0080711D">
      <w:rPr>
        <w:rStyle w:val="PageNumber"/>
        <w:rFonts w:ascii="Calibri" w:hAnsi="Calibri"/>
      </w:rPr>
      <w:br/>
    </w:r>
    <w:r w:rsidRPr="0080711D">
      <w:rPr>
        <w:rStyle w:val="PageNumber"/>
        <w:rFonts w:ascii="Calibri" w:eastAsia="STKaiti" w:hAnsi="STKaiti"/>
        <w:lang w:eastAsia="zh-CN"/>
      </w:rPr>
      <w:t>（</w:t>
    </w:r>
    <w:r w:rsidRPr="0080711D">
      <w:rPr>
        <w:lang w:eastAsia="zh-CN"/>
      </w:rPr>
      <w:t xml:space="preserve">5.4 – </w:t>
    </w:r>
    <w:r w:rsidRPr="0080711D">
      <w:rPr>
        <w:lang w:eastAsia="zh-CN"/>
      </w:rPr>
      <w:t>电信发展部门</w:t>
    </w:r>
    <w:r w:rsidRPr="0080711D">
      <w:rPr>
        <w:rStyle w:val="PageNumber"/>
        <w:rFonts w:ascii="Calibri" w:eastAsia="STKaiti" w:hAnsi="STKaiti"/>
        <w:lang w:eastAsia="zh-CN"/>
      </w:rPr>
      <w:t>）</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41" w14:textId="77777777" w:rsidR="000B642F" w:rsidRDefault="000B642F" w:rsidP="000E1297">
    <w:pPr>
      <w:pStyle w:val="Header"/>
    </w:pPr>
    <w:r>
      <w:t>–</w:t>
    </w:r>
    <w:r w:rsidRPr="0080711D">
      <w:t xml:space="preserve"> </w:t>
    </w:r>
    <w:r w:rsidRPr="0080711D">
      <w:rPr>
        <w:rStyle w:val="PageNumber"/>
        <w:rFonts w:asciiTheme="minorHAnsi" w:hAnsiTheme="minorHAnsi"/>
      </w:rPr>
      <w:fldChar w:fldCharType="begin"/>
    </w:r>
    <w:r w:rsidRPr="0080711D">
      <w:rPr>
        <w:rStyle w:val="PageNumber"/>
        <w:rFonts w:asciiTheme="minorHAnsi" w:hAnsiTheme="minorHAnsi"/>
      </w:rPr>
      <w:instrText xml:space="preserve"> PAGE </w:instrText>
    </w:r>
    <w:r w:rsidRPr="0080711D">
      <w:rPr>
        <w:rStyle w:val="PageNumber"/>
        <w:rFonts w:asciiTheme="minorHAnsi" w:hAnsiTheme="minorHAnsi"/>
      </w:rPr>
      <w:fldChar w:fldCharType="separate"/>
    </w:r>
    <w:r>
      <w:rPr>
        <w:rStyle w:val="PageNumber"/>
        <w:rFonts w:asciiTheme="minorHAnsi" w:hAnsiTheme="minorHAnsi"/>
        <w:noProof/>
      </w:rPr>
      <w:t>177</w:t>
    </w:r>
    <w:r w:rsidRPr="0080711D">
      <w:rPr>
        <w:rStyle w:val="PageNumber"/>
        <w:rFonts w:asciiTheme="minorHAnsi" w:hAnsiTheme="minorHAnsi"/>
      </w:rPr>
      <w:fldChar w:fldCharType="end"/>
    </w:r>
    <w:r w:rsidRPr="0080711D">
      <w:rPr>
        <w:rStyle w:val="PageNumber"/>
        <w:rFonts w:asciiTheme="minorHAnsi" w:hAnsiTheme="minorHAnsi"/>
      </w:rPr>
      <w:t xml:space="preserve"> </w:t>
    </w:r>
    <w:r>
      <w:rPr>
        <w:rStyle w:val="PageNumber"/>
        <w:rFonts w:asciiTheme="minorHAnsi" w:hAnsiTheme="minorHAnsi"/>
      </w:rPr>
      <w:t>–</w:t>
    </w:r>
    <w:r w:rsidRPr="0080711D">
      <w:rPr>
        <w:rStyle w:val="PageNumber"/>
        <w:rFonts w:asciiTheme="minorHAnsi" w:hAnsiTheme="minorHAnsi"/>
      </w:rPr>
      <w:br/>
    </w:r>
    <w:r w:rsidRPr="0080711D">
      <w:rPr>
        <w:rStyle w:val="PageNumber"/>
        <w:rFonts w:asciiTheme="minorHAnsi" w:eastAsia="STKaiti" w:hAnsi="STKaiti"/>
        <w:lang w:eastAsia="zh-CN"/>
      </w:rPr>
      <w:t>（</w:t>
    </w:r>
    <w:r w:rsidRPr="0080711D">
      <w:rPr>
        <w:lang w:eastAsia="zh-CN"/>
      </w:rPr>
      <w:t xml:space="preserve">5.4 – </w:t>
    </w:r>
    <w:r w:rsidRPr="0080711D">
      <w:rPr>
        <w:lang w:eastAsia="zh-CN"/>
      </w:rPr>
      <w:t>电信发展部门</w:t>
    </w:r>
    <w:r w:rsidRPr="0080711D">
      <w:rPr>
        <w:rStyle w:val="PageNumber"/>
        <w:rFonts w:asciiTheme="minorHAnsi" w:eastAsia="STKaiti" w:hAnsi="STKaiti"/>
        <w:lang w:eastAsia="zh-CN"/>
      </w:rPr>
      <w:t>）</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43" w14:textId="77777777" w:rsidR="000B642F" w:rsidRDefault="000B642F" w:rsidP="000E1297">
    <w:pPr>
      <w:pStyle w:val="Header"/>
    </w:pPr>
    <w:r>
      <w:rPr>
        <w:rFonts w:ascii="Calibri" w:hAnsi="Calibri"/>
        <w:szCs w:val="18"/>
        <w:lang w:val="en-US"/>
      </w:rPr>
      <w:t>–</w:t>
    </w:r>
    <w:r w:rsidRPr="00163E5C">
      <w:rPr>
        <w:rFonts w:ascii="Calibri" w:hAnsi="Calibri"/>
        <w:szCs w:val="18"/>
        <w:lang w:val="en-US"/>
      </w:rPr>
      <w:t xml:space="preserve"> </w:t>
    </w:r>
    <w:r w:rsidRPr="00163E5C">
      <w:rPr>
        <w:rStyle w:val="PageNumber"/>
        <w:rFonts w:ascii="Calibri" w:hAnsi="Calibri"/>
        <w:szCs w:val="18"/>
      </w:rPr>
      <w:fldChar w:fldCharType="begin"/>
    </w:r>
    <w:r w:rsidRPr="00163E5C">
      <w:rPr>
        <w:rStyle w:val="PageNumber"/>
        <w:rFonts w:ascii="Calibri" w:hAnsi="Calibri"/>
        <w:szCs w:val="18"/>
      </w:rPr>
      <w:instrText xml:space="preserve"> PAGE </w:instrText>
    </w:r>
    <w:r w:rsidRPr="00163E5C">
      <w:rPr>
        <w:rStyle w:val="PageNumber"/>
        <w:rFonts w:ascii="Calibri" w:hAnsi="Calibri"/>
        <w:szCs w:val="18"/>
      </w:rPr>
      <w:fldChar w:fldCharType="separate"/>
    </w:r>
    <w:r>
      <w:rPr>
        <w:rStyle w:val="PageNumber"/>
        <w:rFonts w:ascii="Calibri" w:hAnsi="Calibri"/>
        <w:noProof/>
        <w:szCs w:val="18"/>
      </w:rPr>
      <w:t>167</w:t>
    </w:r>
    <w:r w:rsidRPr="00163E5C">
      <w:rPr>
        <w:rStyle w:val="PageNumber"/>
        <w:rFonts w:ascii="Calibri" w:hAnsi="Calibri"/>
        <w:szCs w:val="18"/>
      </w:rPr>
      <w:fldChar w:fldCharType="end"/>
    </w:r>
    <w:r w:rsidRPr="00163E5C">
      <w:rPr>
        <w:rStyle w:val="PageNumber"/>
        <w:rFonts w:ascii="Calibri" w:hAnsi="Calibri"/>
        <w:szCs w:val="18"/>
      </w:rPr>
      <w:t xml:space="preserve"> </w:t>
    </w:r>
    <w:r>
      <w:rPr>
        <w:rStyle w:val="PageNumber"/>
        <w:rFonts w:ascii="Calibri" w:hAnsi="Calibri"/>
        <w:szCs w:val="18"/>
      </w:rPr>
      <w:t>–</w:t>
    </w:r>
    <w:r w:rsidRPr="00163E5C">
      <w:rPr>
        <w:rStyle w:val="PageNumber"/>
        <w:rFonts w:ascii="Calibri" w:hAnsi="Calibri"/>
      </w:rPr>
      <w:br/>
    </w:r>
    <w:r w:rsidRPr="00163E5C">
      <w:rPr>
        <w:rStyle w:val="PageNumber"/>
        <w:rFonts w:ascii="Calibri" w:eastAsia="STKaiti" w:hAnsi="STKaiti" w:hint="eastAsia"/>
        <w:szCs w:val="18"/>
        <w:lang w:eastAsia="zh-CN"/>
      </w:rPr>
      <w:t>（</w:t>
    </w:r>
    <w:r w:rsidRPr="0080711D">
      <w:rPr>
        <w:lang w:eastAsia="zh-CN"/>
      </w:rPr>
      <w:t xml:space="preserve">5.4 – </w:t>
    </w:r>
    <w:r w:rsidRPr="0080711D">
      <w:rPr>
        <w:lang w:eastAsia="zh-CN"/>
      </w:rPr>
      <w:t>电信发展部门</w:t>
    </w:r>
    <w:r w:rsidRPr="00163E5C">
      <w:rPr>
        <w:rStyle w:val="PageNumber"/>
        <w:rFonts w:ascii="Calibri" w:eastAsia="STKaiti" w:hAnsi="STKaiti" w:hint="eastAsia"/>
        <w:szCs w:val="18"/>
        <w:lang w:eastAsia="zh-CN"/>
      </w:rPr>
      <w:t>）</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45" w14:textId="77777777" w:rsidR="000B642F" w:rsidRPr="00EE05CB" w:rsidRDefault="000B642F" w:rsidP="00EE05CB">
    <w:pPr>
      <w:pStyle w:val="Header1"/>
      <w:rPr>
        <w:rStyle w:val="HeaderChar"/>
        <w:lang w:eastAsia="zh-CN"/>
      </w:rPr>
    </w:pPr>
    <w:r>
      <w:rPr>
        <w:lang w:eastAsia="zh-CN"/>
      </w:rPr>
      <w:t>–</w:t>
    </w:r>
    <w:r w:rsidRPr="00CC0CAA">
      <w:rPr>
        <w:lang w:eastAsia="zh-CN"/>
      </w:rPr>
      <w:t xml:space="preserve"> </w:t>
    </w:r>
    <w:r w:rsidRPr="00CC0CAA">
      <w:rPr>
        <w:rStyle w:val="PageNumber"/>
        <w:rFonts w:ascii="Calibri" w:hAnsi="Calibri"/>
      </w:rPr>
      <w:fldChar w:fldCharType="begin"/>
    </w:r>
    <w:r w:rsidRPr="00CC0CAA">
      <w:rPr>
        <w:rStyle w:val="PageNumber"/>
        <w:rFonts w:ascii="Calibri" w:hAnsi="Calibri"/>
        <w:lang w:eastAsia="zh-CN"/>
      </w:rPr>
      <w:instrText xml:space="preserve"> PAGE </w:instrText>
    </w:r>
    <w:r w:rsidRPr="00CC0CAA">
      <w:rPr>
        <w:rStyle w:val="PageNumber"/>
        <w:rFonts w:ascii="Calibri" w:hAnsi="Calibri"/>
      </w:rPr>
      <w:fldChar w:fldCharType="separate"/>
    </w:r>
    <w:r>
      <w:rPr>
        <w:rStyle w:val="PageNumber"/>
        <w:rFonts w:ascii="Calibri" w:hAnsi="Calibri"/>
        <w:noProof/>
        <w:lang w:eastAsia="zh-CN"/>
      </w:rPr>
      <w:t>184</w:t>
    </w:r>
    <w:r w:rsidRPr="00CC0CAA">
      <w:rPr>
        <w:rStyle w:val="PageNumber"/>
        <w:rFonts w:ascii="Calibri" w:hAnsi="Calibri"/>
      </w:rPr>
      <w:fldChar w:fldCharType="end"/>
    </w:r>
    <w:r w:rsidRPr="00CC0CAA">
      <w:rPr>
        <w:rStyle w:val="PageNumber"/>
        <w:rFonts w:ascii="Calibri" w:hAnsi="Calibri"/>
        <w:lang w:eastAsia="zh-CN"/>
      </w:rPr>
      <w:t xml:space="preserve"> </w:t>
    </w:r>
    <w:r>
      <w:rPr>
        <w:rStyle w:val="PageNumber"/>
        <w:rFonts w:ascii="Calibri" w:hAnsi="Calibri"/>
        <w:lang w:eastAsia="zh-CN"/>
      </w:rPr>
      <w:t>–</w:t>
    </w:r>
    <w:r w:rsidRPr="00CC0CAA">
      <w:rPr>
        <w:rStyle w:val="PageNumber"/>
        <w:rFonts w:ascii="Calibri" w:hAnsi="Calibri"/>
        <w:lang w:eastAsia="zh-CN"/>
      </w:rPr>
      <w:br/>
    </w:r>
    <w:r w:rsidRPr="00527015">
      <w:rPr>
        <w:rStyle w:val="PageNumber"/>
        <w:rFonts w:ascii="STKaiti" w:eastAsia="STKaiti" w:hAnsi="STKaiti" w:hint="eastAsia"/>
        <w:lang w:eastAsia="zh-CN"/>
      </w:rPr>
      <w:t>（</w:t>
    </w:r>
    <w:r w:rsidRPr="00645B82">
      <w:rPr>
        <w:lang w:eastAsia="zh-CN"/>
      </w:rPr>
      <w:t>6.1 –</w:t>
    </w:r>
    <w:r w:rsidRPr="00645B82">
      <w:rPr>
        <w:rFonts w:hint="eastAsia"/>
        <w:lang w:eastAsia="zh-CN"/>
      </w:rPr>
      <w:t xml:space="preserve"> </w:t>
    </w:r>
    <w:r w:rsidRPr="00645B82">
      <w:rPr>
        <w:rFonts w:hint="eastAsia"/>
        <w:lang w:eastAsia="zh-CN"/>
      </w:rPr>
      <w:t>国际电联</w:t>
    </w:r>
    <w:r>
      <w:rPr>
        <w:rFonts w:hint="eastAsia"/>
        <w:lang w:eastAsia="zh-CN"/>
      </w:rPr>
      <w:t>成员</w:t>
    </w:r>
    <w:r w:rsidRPr="00527015">
      <w:rPr>
        <w:rStyle w:val="PageNumber"/>
        <w:rFonts w:ascii="STKaiti" w:eastAsia="STKaiti" w:hAnsi="STKaiti" w:hint="eastAsia"/>
        <w:lang w:eastAsia="zh-CN"/>
      </w:rPr>
      <w:t>）</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46" w14:textId="77777777" w:rsidR="000B642F" w:rsidRDefault="000B642F" w:rsidP="00EE05CB">
    <w:pPr>
      <w:pStyle w:val="Header"/>
      <w:rPr>
        <w:lang w:eastAsia="zh-CN"/>
      </w:rPr>
    </w:pPr>
    <w:r>
      <w:rPr>
        <w:lang w:eastAsia="zh-CN"/>
      </w:rPr>
      <w:t>–</w:t>
    </w:r>
    <w:r w:rsidRPr="00CC0CAA">
      <w:rPr>
        <w:lang w:eastAsia="zh-CN"/>
      </w:rPr>
      <w:t xml:space="preserve"> </w:t>
    </w:r>
    <w:r w:rsidRPr="00CC0CAA">
      <w:rPr>
        <w:rStyle w:val="PageNumber"/>
        <w:rFonts w:asciiTheme="minorHAnsi" w:hAnsiTheme="minorHAnsi"/>
      </w:rPr>
      <w:fldChar w:fldCharType="begin"/>
    </w:r>
    <w:r w:rsidRPr="00CC0CAA">
      <w:rPr>
        <w:rStyle w:val="PageNumber"/>
        <w:rFonts w:asciiTheme="minorHAnsi" w:hAnsiTheme="minorHAnsi"/>
        <w:lang w:eastAsia="zh-CN"/>
      </w:rPr>
      <w:instrText xml:space="preserve"> PAGE </w:instrText>
    </w:r>
    <w:r w:rsidRPr="00CC0CAA">
      <w:rPr>
        <w:rStyle w:val="PageNumber"/>
        <w:rFonts w:asciiTheme="minorHAnsi" w:hAnsiTheme="minorHAnsi"/>
      </w:rPr>
      <w:fldChar w:fldCharType="separate"/>
    </w:r>
    <w:r>
      <w:rPr>
        <w:rStyle w:val="PageNumber"/>
        <w:rFonts w:asciiTheme="minorHAnsi" w:hAnsiTheme="minorHAnsi"/>
        <w:noProof/>
        <w:lang w:eastAsia="zh-CN"/>
      </w:rPr>
      <w:t>183</w:t>
    </w:r>
    <w:r w:rsidRPr="00CC0CAA">
      <w:rPr>
        <w:rStyle w:val="PageNumber"/>
        <w:rFonts w:asciiTheme="minorHAnsi" w:hAnsiTheme="minorHAnsi"/>
      </w:rPr>
      <w:fldChar w:fldCharType="end"/>
    </w:r>
    <w:r w:rsidRPr="00CC0CAA">
      <w:rPr>
        <w:rStyle w:val="PageNumber"/>
        <w:rFonts w:asciiTheme="minorHAnsi" w:hAnsiTheme="minorHAnsi"/>
        <w:lang w:eastAsia="zh-CN"/>
      </w:rPr>
      <w:t xml:space="preserve"> </w:t>
    </w:r>
    <w:r>
      <w:rPr>
        <w:rStyle w:val="PageNumber"/>
        <w:rFonts w:asciiTheme="minorHAnsi" w:hAnsiTheme="minorHAnsi"/>
        <w:lang w:eastAsia="zh-CN"/>
      </w:rPr>
      <w:t>–</w:t>
    </w:r>
    <w:r w:rsidRPr="00CC0CAA">
      <w:rPr>
        <w:rStyle w:val="PageNumber"/>
        <w:rFonts w:asciiTheme="minorHAnsi" w:hAnsiTheme="minorHAnsi"/>
        <w:lang w:eastAsia="zh-CN"/>
      </w:rPr>
      <w:br/>
    </w:r>
    <w:r w:rsidRPr="00CC0CAA">
      <w:rPr>
        <w:rStyle w:val="PageNumber"/>
        <w:rFonts w:asciiTheme="minorHAnsi" w:eastAsia="STKaiti" w:hAnsi="STKaiti"/>
        <w:lang w:eastAsia="zh-CN"/>
      </w:rPr>
      <w:t>（</w:t>
    </w:r>
    <w:r w:rsidRPr="00645B82">
      <w:rPr>
        <w:lang w:eastAsia="zh-CN"/>
      </w:rPr>
      <w:t>6.1 –</w:t>
    </w:r>
    <w:r w:rsidRPr="00645B82">
      <w:rPr>
        <w:rFonts w:hint="eastAsia"/>
        <w:lang w:eastAsia="zh-CN"/>
      </w:rPr>
      <w:t xml:space="preserve"> </w:t>
    </w:r>
    <w:r w:rsidRPr="00645B82">
      <w:rPr>
        <w:rFonts w:hint="eastAsia"/>
        <w:lang w:eastAsia="zh-CN"/>
      </w:rPr>
      <w:t>国际电联</w:t>
    </w:r>
    <w:r>
      <w:rPr>
        <w:rFonts w:hint="eastAsia"/>
        <w:lang w:eastAsia="zh-CN"/>
      </w:rPr>
      <w:t>成员</w:t>
    </w:r>
    <w:r w:rsidRPr="00CC0CAA">
      <w:rPr>
        <w:rStyle w:val="PageNumber"/>
        <w:rFonts w:asciiTheme="minorHAnsi" w:eastAsia="STKaiti" w:hAnsi="STKaiti"/>
        <w:lang w:eastAsia="zh-CN"/>
      </w:rPr>
      <w:t>）</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49" w14:textId="77777777" w:rsidR="000B642F" w:rsidRDefault="000B642F" w:rsidP="000E1297">
    <w:pPr>
      <w:pStyle w:val="Header"/>
      <w:rPr>
        <w:lang w:eastAsia="zh-CN"/>
      </w:rPr>
    </w:pPr>
    <w:r>
      <w:rPr>
        <w:rFonts w:ascii="Calibri" w:hAnsi="Calibri"/>
        <w:szCs w:val="18"/>
        <w:lang w:val="en-US" w:eastAsia="zh-CN"/>
      </w:rPr>
      <w:t>–</w:t>
    </w:r>
    <w:r w:rsidRPr="00163E5C">
      <w:rPr>
        <w:rFonts w:ascii="Calibri" w:hAnsi="Calibri"/>
        <w:szCs w:val="18"/>
        <w:lang w:val="en-US" w:eastAsia="zh-CN"/>
      </w:rPr>
      <w:t xml:space="preserve"> </w:t>
    </w:r>
    <w:r w:rsidRPr="00163E5C">
      <w:rPr>
        <w:rStyle w:val="PageNumber"/>
        <w:rFonts w:ascii="Calibri" w:hAnsi="Calibri"/>
        <w:szCs w:val="18"/>
      </w:rPr>
      <w:fldChar w:fldCharType="begin"/>
    </w:r>
    <w:r w:rsidRPr="00163E5C">
      <w:rPr>
        <w:rStyle w:val="PageNumber"/>
        <w:rFonts w:ascii="Calibri" w:hAnsi="Calibri"/>
        <w:szCs w:val="18"/>
        <w:lang w:eastAsia="zh-CN"/>
      </w:rPr>
      <w:instrText xml:space="preserve"> PAGE </w:instrText>
    </w:r>
    <w:r w:rsidRPr="00163E5C">
      <w:rPr>
        <w:rStyle w:val="PageNumber"/>
        <w:rFonts w:ascii="Calibri" w:hAnsi="Calibri"/>
        <w:szCs w:val="18"/>
      </w:rPr>
      <w:fldChar w:fldCharType="separate"/>
    </w:r>
    <w:r>
      <w:rPr>
        <w:rStyle w:val="PageNumber"/>
        <w:rFonts w:ascii="Calibri" w:hAnsi="Calibri"/>
        <w:noProof/>
        <w:szCs w:val="18"/>
        <w:lang w:eastAsia="zh-CN"/>
      </w:rPr>
      <w:t>179</w:t>
    </w:r>
    <w:r w:rsidRPr="00163E5C">
      <w:rPr>
        <w:rStyle w:val="PageNumber"/>
        <w:rFonts w:ascii="Calibri" w:hAnsi="Calibri"/>
        <w:szCs w:val="18"/>
      </w:rPr>
      <w:fldChar w:fldCharType="end"/>
    </w:r>
    <w:r w:rsidRPr="00163E5C">
      <w:rPr>
        <w:rStyle w:val="PageNumber"/>
        <w:rFonts w:ascii="Calibri" w:hAnsi="Calibri"/>
        <w:szCs w:val="18"/>
        <w:lang w:eastAsia="zh-CN"/>
      </w:rPr>
      <w:t xml:space="preserve"> </w:t>
    </w:r>
    <w:r>
      <w:rPr>
        <w:rStyle w:val="PageNumber"/>
        <w:rFonts w:ascii="Calibri" w:hAnsi="Calibri"/>
        <w:szCs w:val="18"/>
        <w:lang w:eastAsia="zh-CN"/>
      </w:rPr>
      <w:t>–</w:t>
    </w:r>
    <w:r w:rsidRPr="00163E5C">
      <w:rPr>
        <w:rStyle w:val="PageNumber"/>
        <w:rFonts w:ascii="Calibri" w:hAnsi="Calibri"/>
        <w:lang w:eastAsia="zh-CN"/>
      </w:rPr>
      <w:br/>
    </w:r>
    <w:r w:rsidRPr="00163E5C">
      <w:rPr>
        <w:rStyle w:val="PageNumber"/>
        <w:rFonts w:ascii="Calibri" w:eastAsia="STKaiti" w:hAnsi="STKaiti" w:hint="eastAsia"/>
        <w:szCs w:val="18"/>
        <w:lang w:eastAsia="zh-CN"/>
      </w:rPr>
      <w:t>（</w:t>
    </w:r>
    <w:r w:rsidRPr="00645B82">
      <w:rPr>
        <w:lang w:eastAsia="zh-CN"/>
      </w:rPr>
      <w:t>6.1 –</w:t>
    </w:r>
    <w:r w:rsidRPr="00645B82">
      <w:rPr>
        <w:rFonts w:hint="eastAsia"/>
        <w:lang w:eastAsia="zh-CN"/>
      </w:rPr>
      <w:t xml:space="preserve"> </w:t>
    </w:r>
    <w:r w:rsidRPr="00645B82">
      <w:rPr>
        <w:rFonts w:hint="eastAsia"/>
        <w:lang w:eastAsia="zh-CN"/>
      </w:rPr>
      <w:t>国际电联</w:t>
    </w:r>
    <w:r>
      <w:rPr>
        <w:rFonts w:hint="eastAsia"/>
        <w:lang w:eastAsia="zh-CN"/>
      </w:rPr>
      <w:t>成员</w:t>
    </w:r>
    <w:r w:rsidRPr="00163E5C">
      <w:rPr>
        <w:rStyle w:val="PageNumber"/>
        <w:rFonts w:ascii="Calibri" w:eastAsia="STKaiti" w:hAnsi="STKaiti" w:hint="eastAsia"/>
        <w:szCs w:val="18"/>
        <w:lang w:eastAsia="zh-CN"/>
      </w:rPr>
      <w:t>）</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4B" w14:textId="77777777" w:rsidR="000B642F" w:rsidRPr="00EE05CB" w:rsidRDefault="000B642F" w:rsidP="00EE05CB">
    <w:pPr>
      <w:pStyle w:val="Header1"/>
      <w:rPr>
        <w:rStyle w:val="HeaderChar"/>
      </w:rPr>
    </w:pPr>
    <w:r>
      <w:rPr>
        <w:lang w:eastAsia="zh-CN"/>
      </w:rPr>
      <w:t>–</w:t>
    </w:r>
    <w:r w:rsidRPr="00CC0CAA">
      <w:rPr>
        <w:lang w:eastAsia="zh-CN"/>
      </w:rPr>
      <w:t xml:space="preserve"> </w:t>
    </w:r>
    <w:r w:rsidRPr="00CC0CAA">
      <w:rPr>
        <w:rStyle w:val="PageNumber"/>
        <w:rFonts w:ascii="Calibri" w:hAnsi="Calibri"/>
      </w:rPr>
      <w:fldChar w:fldCharType="begin"/>
    </w:r>
    <w:r w:rsidRPr="00CC0CAA">
      <w:rPr>
        <w:rStyle w:val="PageNumber"/>
        <w:rFonts w:ascii="Calibri" w:hAnsi="Calibri"/>
        <w:lang w:eastAsia="zh-CN"/>
      </w:rPr>
      <w:instrText xml:space="preserve"> PAGE </w:instrText>
    </w:r>
    <w:r w:rsidRPr="00CC0CAA">
      <w:rPr>
        <w:rStyle w:val="PageNumber"/>
        <w:rFonts w:ascii="Calibri" w:hAnsi="Calibri"/>
      </w:rPr>
      <w:fldChar w:fldCharType="separate"/>
    </w:r>
    <w:r>
      <w:rPr>
        <w:rStyle w:val="PageNumber"/>
        <w:rFonts w:ascii="Calibri" w:hAnsi="Calibri"/>
        <w:noProof/>
        <w:lang w:eastAsia="zh-CN"/>
      </w:rPr>
      <w:t>202</w:t>
    </w:r>
    <w:r w:rsidRPr="00CC0CAA">
      <w:rPr>
        <w:rStyle w:val="PageNumber"/>
        <w:rFonts w:ascii="Calibri" w:hAnsi="Calibri"/>
      </w:rPr>
      <w:fldChar w:fldCharType="end"/>
    </w:r>
    <w:r w:rsidRPr="00CC0CAA">
      <w:rPr>
        <w:rStyle w:val="PageNumber"/>
        <w:rFonts w:ascii="Calibri" w:hAnsi="Calibri"/>
        <w:lang w:eastAsia="zh-CN"/>
      </w:rPr>
      <w:t xml:space="preserve"> </w:t>
    </w:r>
    <w:r>
      <w:rPr>
        <w:rStyle w:val="PageNumber"/>
        <w:rFonts w:ascii="Calibri" w:hAnsi="Calibri"/>
        <w:lang w:eastAsia="zh-CN"/>
      </w:rPr>
      <w:t>–</w:t>
    </w:r>
    <w:r w:rsidRPr="00CC0CAA">
      <w:rPr>
        <w:rStyle w:val="PageNumber"/>
        <w:rFonts w:ascii="Calibri" w:hAnsi="Calibri"/>
        <w:lang w:eastAsia="zh-CN"/>
      </w:rPr>
      <w:br/>
    </w:r>
    <w:r w:rsidRPr="00CC0CAA">
      <w:rPr>
        <w:rStyle w:val="PageNumber"/>
        <w:rFonts w:ascii="Calibri" w:eastAsia="STKaiti" w:hAnsi="STKaiti" w:hint="eastAsia"/>
        <w:lang w:eastAsia="zh-CN"/>
      </w:rPr>
      <w:t>（</w:t>
    </w:r>
    <w:r>
      <w:rPr>
        <w:rFonts w:eastAsiaTheme="minorEastAsia" w:hint="eastAsia"/>
        <w:lang w:eastAsia="zh-CN"/>
      </w:rPr>
      <w:t>6</w:t>
    </w:r>
    <w:r w:rsidRPr="00CC0CAA">
      <w:rPr>
        <w:lang w:eastAsia="zh-CN"/>
      </w:rPr>
      <w:t xml:space="preserve">.2 </w:t>
    </w:r>
    <w:r w:rsidRPr="00CC0CAA">
      <w:rPr>
        <w:rStyle w:val="PageNumber"/>
        <w:rFonts w:ascii="Calibri" w:hAnsi="Calibri"/>
        <w:lang w:eastAsia="zh-CN"/>
      </w:rPr>
      <w:t>–</w:t>
    </w:r>
    <w:r w:rsidRPr="00CC0CAA">
      <w:rPr>
        <w:rStyle w:val="PageNumber"/>
        <w:rFonts w:ascii="Calibri" w:hAnsi="Calibri" w:hint="eastAsia"/>
        <w:lang w:eastAsia="zh-CN"/>
      </w:rPr>
      <w:t xml:space="preserve"> </w:t>
    </w:r>
    <w:r w:rsidRPr="002D17AD">
      <w:rPr>
        <w:rFonts w:hint="eastAsia"/>
        <w:lang w:eastAsia="zh-CN"/>
      </w:rPr>
      <w:t>联合国和其它组织</w:t>
    </w:r>
    <w:r w:rsidRPr="00CC0CAA">
      <w:rPr>
        <w:rStyle w:val="PageNumber"/>
        <w:rFonts w:ascii="Calibri" w:eastAsia="STKaiti" w:hAnsi="STKaiti" w:hint="eastAsia"/>
        <w:lang w:eastAsia="zh-CN"/>
      </w:rPr>
      <w:t>）</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4C" w14:textId="77777777" w:rsidR="000B642F" w:rsidRPr="00EE05CB" w:rsidRDefault="000B642F" w:rsidP="00EE05CB">
    <w:pPr>
      <w:pStyle w:val="Header"/>
    </w:pPr>
    <w:r>
      <w:t>–</w:t>
    </w:r>
    <w:r w:rsidRPr="00CC0CAA">
      <w:t xml:space="preserve"> </w:t>
    </w:r>
    <w:r w:rsidRPr="00CC0CAA">
      <w:rPr>
        <w:rStyle w:val="PageNumber"/>
        <w:rFonts w:ascii="Calibri" w:hAnsi="Calibri"/>
      </w:rPr>
      <w:fldChar w:fldCharType="begin"/>
    </w:r>
    <w:r w:rsidRPr="00CC0CAA">
      <w:rPr>
        <w:rStyle w:val="PageNumber"/>
        <w:rFonts w:ascii="Calibri" w:hAnsi="Calibri"/>
      </w:rPr>
      <w:instrText xml:space="preserve"> PAGE </w:instrText>
    </w:r>
    <w:r w:rsidRPr="00CC0CAA">
      <w:rPr>
        <w:rStyle w:val="PageNumber"/>
        <w:rFonts w:ascii="Calibri" w:hAnsi="Calibri"/>
      </w:rPr>
      <w:fldChar w:fldCharType="separate"/>
    </w:r>
    <w:r>
      <w:rPr>
        <w:rStyle w:val="PageNumber"/>
        <w:rFonts w:ascii="Calibri" w:hAnsi="Calibri"/>
        <w:noProof/>
      </w:rPr>
      <w:t>201</w:t>
    </w:r>
    <w:r w:rsidRPr="00CC0CAA">
      <w:rPr>
        <w:rStyle w:val="PageNumber"/>
        <w:rFonts w:ascii="Calibri" w:hAnsi="Calibri"/>
      </w:rPr>
      <w:fldChar w:fldCharType="end"/>
    </w:r>
    <w:r w:rsidRPr="00CC0CAA">
      <w:rPr>
        <w:rStyle w:val="PageNumber"/>
        <w:rFonts w:ascii="Calibri" w:hAnsi="Calibri"/>
      </w:rPr>
      <w:t xml:space="preserve"> </w:t>
    </w:r>
    <w:r>
      <w:rPr>
        <w:rStyle w:val="PageNumber"/>
        <w:rFonts w:ascii="Calibri" w:hAnsi="Calibri"/>
      </w:rPr>
      <w:t>–</w:t>
    </w:r>
    <w:r w:rsidRPr="00CC0CAA">
      <w:rPr>
        <w:rStyle w:val="PageNumber"/>
        <w:rFonts w:ascii="Calibri" w:hAnsi="Calibri"/>
      </w:rPr>
      <w:br/>
    </w:r>
    <w:r w:rsidRPr="00CC0CAA">
      <w:rPr>
        <w:rStyle w:val="PageNumber"/>
        <w:rFonts w:ascii="Calibri" w:eastAsia="STKaiti" w:hAnsi="STKaiti" w:hint="eastAsia"/>
        <w:lang w:eastAsia="zh-CN"/>
      </w:rPr>
      <w:t>（</w:t>
    </w:r>
    <w:r>
      <w:rPr>
        <w:rFonts w:eastAsiaTheme="minorEastAsia" w:hint="eastAsia"/>
        <w:lang w:eastAsia="zh-CN"/>
      </w:rPr>
      <w:t>6</w:t>
    </w:r>
    <w:r w:rsidRPr="00CC0CAA">
      <w:rPr>
        <w:lang w:eastAsia="zh-CN"/>
      </w:rPr>
      <w:t xml:space="preserve">.2 </w:t>
    </w:r>
    <w:r w:rsidRPr="00CC0CAA">
      <w:rPr>
        <w:rStyle w:val="PageNumber"/>
        <w:rFonts w:ascii="Calibri" w:hAnsi="Calibri"/>
        <w:lang w:eastAsia="zh-CN"/>
      </w:rPr>
      <w:t>–</w:t>
    </w:r>
    <w:r w:rsidRPr="00CC0CAA">
      <w:rPr>
        <w:rStyle w:val="PageNumber"/>
        <w:rFonts w:ascii="Calibri" w:hAnsi="Calibri" w:hint="eastAsia"/>
        <w:lang w:eastAsia="zh-CN"/>
      </w:rPr>
      <w:t xml:space="preserve"> </w:t>
    </w:r>
    <w:r w:rsidRPr="002D17AD">
      <w:rPr>
        <w:rFonts w:hint="eastAsia"/>
        <w:lang w:eastAsia="zh-CN"/>
      </w:rPr>
      <w:t>联合国和其它组织</w:t>
    </w:r>
    <w:r w:rsidRPr="00CC0CAA">
      <w:rPr>
        <w:rStyle w:val="PageNumber"/>
        <w:rFonts w:ascii="Calibri" w:eastAsia="STKaiti" w:hAnsi="STKaiti" w:hint="eastAsia"/>
        <w:lang w:eastAsia="zh-CN"/>
      </w:rPr>
      <w:t>）</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4F" w14:textId="77777777" w:rsidR="000B642F" w:rsidRDefault="000B642F" w:rsidP="00EE05CB">
    <w:pPr>
      <w:pStyle w:val="Header"/>
    </w:pPr>
    <w:r>
      <w:rPr>
        <w:rFonts w:ascii="Calibri" w:hAnsi="Calibri"/>
        <w:szCs w:val="18"/>
        <w:lang w:val="en-US"/>
      </w:rPr>
      <w:t>–</w:t>
    </w:r>
    <w:r w:rsidRPr="00163E5C">
      <w:rPr>
        <w:rFonts w:ascii="Calibri" w:hAnsi="Calibri"/>
        <w:szCs w:val="18"/>
        <w:lang w:val="en-US"/>
      </w:rPr>
      <w:t xml:space="preserve"> </w:t>
    </w:r>
    <w:r w:rsidRPr="00163E5C">
      <w:rPr>
        <w:rStyle w:val="PageNumber"/>
        <w:rFonts w:ascii="Calibri" w:hAnsi="Calibri"/>
        <w:szCs w:val="18"/>
      </w:rPr>
      <w:fldChar w:fldCharType="begin"/>
    </w:r>
    <w:r w:rsidRPr="00163E5C">
      <w:rPr>
        <w:rStyle w:val="PageNumber"/>
        <w:rFonts w:ascii="Calibri" w:hAnsi="Calibri"/>
        <w:szCs w:val="18"/>
      </w:rPr>
      <w:instrText xml:space="preserve"> PAGE </w:instrText>
    </w:r>
    <w:r w:rsidRPr="00163E5C">
      <w:rPr>
        <w:rStyle w:val="PageNumber"/>
        <w:rFonts w:ascii="Calibri" w:hAnsi="Calibri"/>
        <w:szCs w:val="18"/>
      </w:rPr>
      <w:fldChar w:fldCharType="separate"/>
    </w:r>
    <w:r>
      <w:rPr>
        <w:rStyle w:val="PageNumber"/>
        <w:rFonts w:ascii="Calibri" w:hAnsi="Calibri"/>
        <w:noProof/>
        <w:szCs w:val="18"/>
      </w:rPr>
      <w:t>185</w:t>
    </w:r>
    <w:r w:rsidRPr="00163E5C">
      <w:rPr>
        <w:rStyle w:val="PageNumber"/>
        <w:rFonts w:ascii="Calibri" w:hAnsi="Calibri"/>
        <w:szCs w:val="18"/>
      </w:rPr>
      <w:fldChar w:fldCharType="end"/>
    </w:r>
    <w:r w:rsidRPr="00163E5C">
      <w:rPr>
        <w:rStyle w:val="PageNumber"/>
        <w:rFonts w:ascii="Calibri" w:hAnsi="Calibri"/>
        <w:szCs w:val="18"/>
      </w:rPr>
      <w:t xml:space="preserve"> </w:t>
    </w:r>
    <w:r>
      <w:rPr>
        <w:rStyle w:val="PageNumber"/>
        <w:rFonts w:ascii="Calibri" w:hAnsi="Calibri"/>
        <w:szCs w:val="18"/>
      </w:rPr>
      <w:t>–</w:t>
    </w:r>
    <w:r w:rsidRPr="00163E5C">
      <w:rPr>
        <w:rStyle w:val="PageNumber"/>
        <w:rFonts w:ascii="Calibri" w:hAnsi="Calibri"/>
      </w:rPr>
      <w:br/>
    </w:r>
    <w:r w:rsidRPr="00163E5C">
      <w:rPr>
        <w:rStyle w:val="PageNumber"/>
        <w:rFonts w:ascii="Calibri" w:eastAsia="STKaiti" w:hAnsi="STKaiti" w:hint="eastAsia"/>
        <w:szCs w:val="18"/>
        <w:lang w:eastAsia="zh-CN"/>
      </w:rPr>
      <w:t>（</w:t>
    </w:r>
    <w:r>
      <w:rPr>
        <w:rFonts w:eastAsiaTheme="minorEastAsia" w:hint="eastAsia"/>
        <w:lang w:eastAsia="zh-CN"/>
      </w:rPr>
      <w:t>6</w:t>
    </w:r>
    <w:r w:rsidRPr="00CC0CAA">
      <w:rPr>
        <w:lang w:eastAsia="zh-CN"/>
      </w:rPr>
      <w:t xml:space="preserve">.2 </w:t>
    </w:r>
    <w:r w:rsidRPr="00CC0CAA">
      <w:rPr>
        <w:rStyle w:val="PageNumber"/>
        <w:rFonts w:ascii="Calibri" w:hAnsi="Calibri"/>
        <w:lang w:eastAsia="zh-CN"/>
      </w:rPr>
      <w:t>–</w:t>
    </w:r>
    <w:r w:rsidRPr="00CC0CAA">
      <w:rPr>
        <w:rStyle w:val="PageNumber"/>
        <w:rFonts w:ascii="Calibri" w:hAnsi="Calibri" w:hint="eastAsia"/>
        <w:lang w:eastAsia="zh-CN"/>
      </w:rPr>
      <w:t xml:space="preserve"> </w:t>
    </w:r>
    <w:r w:rsidRPr="002D17AD">
      <w:rPr>
        <w:rFonts w:hint="eastAsia"/>
        <w:lang w:eastAsia="zh-CN"/>
      </w:rPr>
      <w:t>联合国和其它组织</w:t>
    </w:r>
    <w:r w:rsidRPr="00163E5C">
      <w:rPr>
        <w:rStyle w:val="PageNumber"/>
        <w:rFonts w:ascii="Calibri" w:eastAsia="STKaiti" w:hAnsi="STKaiti" w:hint="eastAsia"/>
        <w:szCs w:val="18"/>
        <w:lang w:eastAsia="zh-CN"/>
      </w:rPr>
      <w:t>）</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51" w14:textId="77777777" w:rsidR="000B642F" w:rsidRPr="00EE05CB" w:rsidRDefault="000B642F" w:rsidP="005869C4">
    <w:pPr>
      <w:pStyle w:val="Header"/>
      <w:rPr>
        <w:rStyle w:val="HeaderChar"/>
        <w:lang w:eastAsia="zh-CN"/>
      </w:rPr>
    </w:pPr>
    <w:r>
      <w:rPr>
        <w:lang w:eastAsia="zh-CN"/>
      </w:rPr>
      <w:t>–</w:t>
    </w:r>
    <w:r w:rsidRPr="00CC0CAA">
      <w:rPr>
        <w:lang w:eastAsia="zh-CN"/>
      </w:rPr>
      <w:t xml:space="preserve"> </w:t>
    </w:r>
    <w:r w:rsidRPr="00CC0CAA">
      <w:rPr>
        <w:rStyle w:val="PageNumber"/>
        <w:rFonts w:ascii="Calibri" w:hAnsi="Calibri"/>
      </w:rPr>
      <w:fldChar w:fldCharType="begin"/>
    </w:r>
    <w:r w:rsidRPr="00CC0CAA">
      <w:rPr>
        <w:rStyle w:val="PageNumber"/>
        <w:rFonts w:ascii="Calibri" w:hAnsi="Calibri"/>
        <w:lang w:eastAsia="zh-CN"/>
      </w:rPr>
      <w:instrText xml:space="preserve"> PAGE </w:instrText>
    </w:r>
    <w:r w:rsidRPr="00CC0CAA">
      <w:rPr>
        <w:rStyle w:val="PageNumber"/>
        <w:rFonts w:ascii="Calibri" w:hAnsi="Calibri"/>
      </w:rPr>
      <w:fldChar w:fldCharType="separate"/>
    </w:r>
    <w:r>
      <w:rPr>
        <w:rStyle w:val="PageNumber"/>
        <w:rFonts w:ascii="Calibri" w:hAnsi="Calibri"/>
        <w:noProof/>
        <w:lang w:eastAsia="zh-CN"/>
      </w:rPr>
      <w:t>204</w:t>
    </w:r>
    <w:r w:rsidRPr="00CC0CAA">
      <w:rPr>
        <w:rStyle w:val="PageNumber"/>
        <w:rFonts w:ascii="Calibri" w:hAnsi="Calibri"/>
      </w:rPr>
      <w:fldChar w:fldCharType="end"/>
    </w:r>
    <w:r w:rsidRPr="00CC0CAA">
      <w:rPr>
        <w:rStyle w:val="PageNumber"/>
        <w:rFonts w:ascii="Calibri" w:hAnsi="Calibri"/>
        <w:lang w:eastAsia="zh-CN"/>
      </w:rPr>
      <w:t xml:space="preserve"> </w:t>
    </w:r>
    <w:r>
      <w:rPr>
        <w:rStyle w:val="PageNumber"/>
        <w:rFonts w:ascii="Calibri" w:hAnsi="Calibri"/>
        <w:lang w:eastAsia="zh-CN"/>
      </w:rPr>
      <w:t>–</w:t>
    </w:r>
    <w:r w:rsidRPr="00CC0CAA">
      <w:rPr>
        <w:rStyle w:val="PageNumber"/>
        <w:rFonts w:ascii="Calibri" w:hAnsi="Calibri"/>
        <w:lang w:eastAsia="zh-CN"/>
      </w:rPr>
      <w:br/>
    </w:r>
    <w:r w:rsidRPr="00163E5C">
      <w:rPr>
        <w:rStyle w:val="PageNumber"/>
        <w:rFonts w:ascii="Calibri" w:eastAsia="STKaiti" w:hAnsi="STKaiti" w:hint="eastAsia"/>
        <w:szCs w:val="18"/>
        <w:lang w:eastAsia="zh-CN"/>
      </w:rPr>
      <w:t>（</w:t>
    </w:r>
    <w:r w:rsidRPr="00CC0CAA">
      <w:rPr>
        <w:lang w:eastAsia="zh-CN"/>
      </w:rPr>
      <w:t>7.</w:t>
    </w:r>
    <w:r>
      <w:rPr>
        <w:lang w:eastAsia="zh-CN"/>
      </w:rPr>
      <w:t>1</w:t>
    </w:r>
    <w:r w:rsidRPr="00CC0CAA">
      <w:rPr>
        <w:lang w:eastAsia="zh-CN"/>
      </w:rPr>
      <w:t xml:space="preserve"> </w:t>
    </w:r>
    <w:r w:rsidRPr="00CC0CAA">
      <w:rPr>
        <w:rStyle w:val="PageNumber"/>
        <w:rFonts w:ascii="Calibri" w:hAnsi="Calibri"/>
        <w:lang w:eastAsia="zh-CN"/>
      </w:rPr>
      <w:t>–</w:t>
    </w:r>
    <w:r w:rsidRPr="00CC0CAA">
      <w:rPr>
        <w:rStyle w:val="PageNumber"/>
        <w:rFonts w:ascii="Calibri" w:hAnsi="Calibri" w:hint="eastAsia"/>
        <w:lang w:eastAsia="zh-CN"/>
      </w:rPr>
      <w:t xml:space="preserve"> </w:t>
    </w:r>
    <w:r>
      <w:rPr>
        <w:rFonts w:hint="eastAsia"/>
        <w:lang w:eastAsia="zh-CN"/>
      </w:rPr>
      <w:t>建筑</w:t>
    </w:r>
    <w:r>
      <w:rPr>
        <w:lang w:eastAsia="zh-CN"/>
      </w:rPr>
      <w:t>物、房屋、设备</w:t>
    </w:r>
    <w:r w:rsidRPr="00EE05CB">
      <w:rPr>
        <w:rFonts w:hint="eastAsia"/>
        <w:lang w:eastAsia="zh-CN"/>
      </w:rPr>
      <w: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DB" w14:textId="77777777" w:rsidR="000B642F" w:rsidRPr="00F55FC2" w:rsidRDefault="000B642F" w:rsidP="003A1C4B">
    <w:pPr>
      <w:pStyle w:val="Header"/>
    </w:pPr>
    <w:r>
      <w:t>–</w:t>
    </w:r>
    <w:r w:rsidRPr="00225EA4">
      <w:t xml:space="preserve"> </w:t>
    </w:r>
    <w:r w:rsidRPr="00225EA4">
      <w:rPr>
        <w:rStyle w:val="PageNumber"/>
      </w:rPr>
      <w:fldChar w:fldCharType="begin"/>
    </w:r>
    <w:r w:rsidRPr="00225EA4">
      <w:rPr>
        <w:rStyle w:val="PageNumber"/>
      </w:rPr>
      <w:instrText xml:space="preserve"> PAGE </w:instrText>
    </w:r>
    <w:r w:rsidRPr="00225EA4">
      <w:rPr>
        <w:rStyle w:val="PageNumber"/>
      </w:rPr>
      <w:fldChar w:fldCharType="separate"/>
    </w:r>
    <w:r>
      <w:rPr>
        <w:rStyle w:val="PageNumber"/>
        <w:noProof/>
      </w:rPr>
      <w:t>1</w:t>
    </w:r>
    <w:r w:rsidRPr="00225EA4">
      <w:rPr>
        <w:rStyle w:val="PageNumber"/>
      </w:rPr>
      <w:fldChar w:fldCharType="end"/>
    </w:r>
    <w:r w:rsidRPr="00225EA4">
      <w:rPr>
        <w:rStyle w:val="PageNumber"/>
      </w:rPr>
      <w:t xml:space="preserve"> </w:t>
    </w:r>
    <w:r>
      <w:rPr>
        <w:rStyle w:val="PageNumber"/>
      </w:rPr>
      <w:t>–</w:t>
    </w:r>
    <w:r w:rsidRPr="00225EA4">
      <w:rPr>
        <w:rStyle w:val="PageNumber"/>
      </w:rPr>
      <w:br/>
    </w:r>
    <w:r w:rsidRPr="00225EA4">
      <w:rPr>
        <w:rStyle w:val="PageNumber"/>
        <w:i/>
        <w:iCs/>
      </w:rPr>
      <w:t>(1.</w:t>
    </w:r>
    <w:r>
      <w:rPr>
        <w:rStyle w:val="PageNumber"/>
        <w:i/>
        <w:iCs/>
      </w:rPr>
      <w:t>1</w:t>
    </w:r>
    <w:r w:rsidRPr="00225EA4">
      <w:rPr>
        <w:rStyle w:val="PageNumber"/>
        <w:i/>
        <w:iCs/>
      </w:rPr>
      <w:t xml:space="preserve"> – </w:t>
    </w:r>
    <w:r>
      <w:rPr>
        <w:rStyle w:val="PageNumber"/>
        <w:i/>
        <w:iCs/>
      </w:rPr>
      <w:t>Budget</w:t>
    </w:r>
    <w:r w:rsidRPr="00225EA4">
      <w:rPr>
        <w:rStyle w:val="PageNumber"/>
        <w:i/>
        <w:iCs/>
      </w:rPr>
      <w:t>)</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52" w14:textId="77777777" w:rsidR="000B642F" w:rsidRPr="00EE05CB" w:rsidRDefault="000B642F" w:rsidP="00EE05CB">
    <w:pPr>
      <w:pStyle w:val="Header"/>
      <w:rPr>
        <w:rStyle w:val="HeaderChar"/>
        <w:lang w:eastAsia="zh-CN"/>
      </w:rPr>
    </w:pPr>
    <w:r>
      <w:rPr>
        <w:lang w:eastAsia="zh-CN"/>
      </w:rPr>
      <w:t>–</w:t>
    </w:r>
    <w:r w:rsidRPr="00CC0CAA">
      <w:rPr>
        <w:lang w:eastAsia="zh-CN"/>
      </w:rPr>
      <w:t xml:space="preserve"> </w:t>
    </w:r>
    <w:r w:rsidRPr="00CC0CAA">
      <w:rPr>
        <w:rStyle w:val="PageNumber"/>
        <w:rFonts w:ascii="Calibri" w:hAnsi="Calibri"/>
      </w:rPr>
      <w:fldChar w:fldCharType="begin"/>
    </w:r>
    <w:r w:rsidRPr="00CC0CAA">
      <w:rPr>
        <w:rStyle w:val="PageNumber"/>
        <w:rFonts w:ascii="Calibri" w:hAnsi="Calibri"/>
        <w:lang w:eastAsia="zh-CN"/>
      </w:rPr>
      <w:instrText xml:space="preserve"> PAGE </w:instrText>
    </w:r>
    <w:r w:rsidRPr="00CC0CAA">
      <w:rPr>
        <w:rStyle w:val="PageNumber"/>
        <w:rFonts w:ascii="Calibri" w:hAnsi="Calibri"/>
      </w:rPr>
      <w:fldChar w:fldCharType="separate"/>
    </w:r>
    <w:r>
      <w:rPr>
        <w:rStyle w:val="PageNumber"/>
        <w:rFonts w:ascii="Calibri" w:hAnsi="Calibri"/>
        <w:noProof/>
        <w:lang w:eastAsia="zh-CN"/>
      </w:rPr>
      <w:t>205</w:t>
    </w:r>
    <w:r w:rsidRPr="00CC0CAA">
      <w:rPr>
        <w:rStyle w:val="PageNumber"/>
        <w:rFonts w:ascii="Calibri" w:hAnsi="Calibri"/>
      </w:rPr>
      <w:fldChar w:fldCharType="end"/>
    </w:r>
    <w:r w:rsidRPr="00CC0CAA">
      <w:rPr>
        <w:rStyle w:val="PageNumber"/>
        <w:rFonts w:ascii="Calibri" w:hAnsi="Calibri"/>
        <w:lang w:eastAsia="zh-CN"/>
      </w:rPr>
      <w:t xml:space="preserve"> </w:t>
    </w:r>
    <w:r>
      <w:rPr>
        <w:rStyle w:val="PageNumber"/>
        <w:rFonts w:ascii="Calibri" w:hAnsi="Calibri"/>
        <w:lang w:eastAsia="zh-CN"/>
      </w:rPr>
      <w:t>–</w:t>
    </w:r>
    <w:r w:rsidRPr="00CC0CAA">
      <w:rPr>
        <w:rStyle w:val="PageNumber"/>
        <w:rFonts w:ascii="Calibri" w:hAnsi="Calibri"/>
        <w:lang w:eastAsia="zh-CN"/>
      </w:rPr>
      <w:br/>
    </w:r>
    <w:r>
      <w:rPr>
        <w:rStyle w:val="PageNumber"/>
        <w:rFonts w:ascii="Calibri" w:hAnsi="STKaiti" w:hint="eastAsia"/>
        <w:szCs w:val="18"/>
        <w:lang w:eastAsia="zh-CN"/>
      </w:rPr>
      <w:t>（</w:t>
    </w:r>
    <w:r>
      <w:rPr>
        <w:lang w:eastAsia="zh-CN"/>
      </w:rPr>
      <w:t xml:space="preserve">7.1 </w:t>
    </w:r>
    <w:r>
      <w:rPr>
        <w:rStyle w:val="PageNumber"/>
        <w:rFonts w:ascii="Calibri" w:hAnsi="Calibri"/>
        <w:lang w:eastAsia="zh-CN"/>
      </w:rPr>
      <w:t xml:space="preserve">– </w:t>
    </w:r>
    <w:r>
      <w:rPr>
        <w:rFonts w:hint="eastAsia"/>
        <w:lang w:eastAsia="zh-CN"/>
      </w:rPr>
      <w:t>建筑物、房屋、设备）</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55" w14:textId="77777777" w:rsidR="000B642F" w:rsidRPr="00EE05CB" w:rsidRDefault="000B642F" w:rsidP="005869C4">
    <w:pPr>
      <w:pStyle w:val="Header"/>
      <w:rPr>
        <w:lang w:eastAsia="zh-CN"/>
      </w:rPr>
    </w:pPr>
    <w:r>
      <w:rPr>
        <w:rFonts w:ascii="Calibri" w:hAnsi="Calibri"/>
        <w:szCs w:val="18"/>
        <w:lang w:val="en-US" w:eastAsia="zh-CN"/>
      </w:rPr>
      <w:t>–</w:t>
    </w:r>
    <w:r w:rsidRPr="00163E5C">
      <w:rPr>
        <w:rFonts w:ascii="Calibri" w:hAnsi="Calibri"/>
        <w:szCs w:val="18"/>
        <w:lang w:val="en-US" w:eastAsia="zh-CN"/>
      </w:rPr>
      <w:t xml:space="preserve"> </w:t>
    </w:r>
    <w:r w:rsidRPr="00163E5C">
      <w:rPr>
        <w:rStyle w:val="PageNumber"/>
        <w:rFonts w:ascii="Calibri" w:hAnsi="Calibri"/>
        <w:szCs w:val="18"/>
      </w:rPr>
      <w:fldChar w:fldCharType="begin"/>
    </w:r>
    <w:r w:rsidRPr="00163E5C">
      <w:rPr>
        <w:rStyle w:val="PageNumber"/>
        <w:rFonts w:ascii="Calibri" w:hAnsi="Calibri"/>
        <w:szCs w:val="18"/>
        <w:lang w:eastAsia="zh-CN"/>
      </w:rPr>
      <w:instrText xml:space="preserve"> PAGE </w:instrText>
    </w:r>
    <w:r w:rsidRPr="00163E5C">
      <w:rPr>
        <w:rStyle w:val="PageNumber"/>
        <w:rFonts w:ascii="Calibri" w:hAnsi="Calibri"/>
        <w:szCs w:val="18"/>
      </w:rPr>
      <w:fldChar w:fldCharType="separate"/>
    </w:r>
    <w:r>
      <w:rPr>
        <w:rStyle w:val="PageNumber"/>
        <w:rFonts w:ascii="Calibri" w:hAnsi="Calibri"/>
        <w:noProof/>
        <w:szCs w:val="18"/>
        <w:lang w:eastAsia="zh-CN"/>
      </w:rPr>
      <w:t>203</w:t>
    </w:r>
    <w:r w:rsidRPr="00163E5C">
      <w:rPr>
        <w:rStyle w:val="PageNumber"/>
        <w:rFonts w:ascii="Calibri" w:hAnsi="Calibri"/>
        <w:szCs w:val="18"/>
      </w:rPr>
      <w:fldChar w:fldCharType="end"/>
    </w:r>
    <w:r w:rsidRPr="00163E5C">
      <w:rPr>
        <w:rStyle w:val="PageNumber"/>
        <w:rFonts w:ascii="Calibri" w:hAnsi="Calibri"/>
        <w:szCs w:val="18"/>
        <w:lang w:eastAsia="zh-CN"/>
      </w:rPr>
      <w:t xml:space="preserve"> </w:t>
    </w:r>
    <w:r>
      <w:rPr>
        <w:rStyle w:val="PageNumber"/>
        <w:rFonts w:ascii="Calibri" w:hAnsi="Calibri"/>
        <w:szCs w:val="18"/>
        <w:lang w:eastAsia="zh-CN"/>
      </w:rPr>
      <w:t>–</w:t>
    </w:r>
    <w:r w:rsidRPr="00163E5C">
      <w:rPr>
        <w:rStyle w:val="PageNumber"/>
        <w:rFonts w:ascii="Calibri" w:hAnsi="Calibri"/>
        <w:lang w:eastAsia="zh-CN"/>
      </w:rPr>
      <w:br/>
    </w:r>
    <w:bookmarkStart w:id="2787" w:name="OLE_LINK11"/>
    <w:bookmarkStart w:id="2788" w:name="OLE_LINK12"/>
    <w:bookmarkStart w:id="2789" w:name="_Hlk21101932"/>
    <w:r w:rsidRPr="00163E5C">
      <w:rPr>
        <w:rStyle w:val="PageNumber"/>
        <w:rFonts w:ascii="Calibri" w:eastAsia="STKaiti" w:hAnsi="STKaiti" w:hint="eastAsia"/>
        <w:szCs w:val="18"/>
        <w:lang w:eastAsia="zh-CN"/>
      </w:rPr>
      <w:t>（</w:t>
    </w:r>
    <w:r w:rsidRPr="00CC0CAA">
      <w:rPr>
        <w:lang w:eastAsia="zh-CN"/>
      </w:rPr>
      <w:t>7.</w:t>
    </w:r>
    <w:r>
      <w:rPr>
        <w:lang w:eastAsia="zh-CN"/>
      </w:rPr>
      <w:t>1</w:t>
    </w:r>
    <w:r w:rsidRPr="00CC0CAA">
      <w:rPr>
        <w:lang w:eastAsia="zh-CN"/>
      </w:rPr>
      <w:t xml:space="preserve"> </w:t>
    </w:r>
    <w:r w:rsidRPr="00CC0CAA">
      <w:rPr>
        <w:rStyle w:val="PageNumber"/>
        <w:rFonts w:ascii="Calibri" w:hAnsi="Calibri"/>
        <w:lang w:eastAsia="zh-CN"/>
      </w:rPr>
      <w:t>–</w:t>
    </w:r>
    <w:r w:rsidRPr="00CC0CAA">
      <w:rPr>
        <w:rStyle w:val="PageNumber"/>
        <w:rFonts w:ascii="Calibri" w:hAnsi="Calibri" w:hint="eastAsia"/>
        <w:lang w:eastAsia="zh-CN"/>
      </w:rPr>
      <w:t xml:space="preserve"> </w:t>
    </w:r>
    <w:r>
      <w:rPr>
        <w:rFonts w:hint="eastAsia"/>
        <w:lang w:eastAsia="zh-CN"/>
      </w:rPr>
      <w:t>建筑</w:t>
    </w:r>
    <w:r>
      <w:rPr>
        <w:lang w:eastAsia="zh-CN"/>
      </w:rPr>
      <w:t>物、房屋、设备</w:t>
    </w:r>
    <w:r w:rsidRPr="00EE05CB">
      <w:rPr>
        <w:rFonts w:hint="eastAsia"/>
        <w:lang w:eastAsia="zh-CN"/>
      </w:rPr>
      <w:t>）</w:t>
    </w:r>
    <w:bookmarkEnd w:id="2787"/>
    <w:bookmarkEnd w:id="2788"/>
    <w:bookmarkEnd w:id="2789"/>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57" w14:textId="77777777" w:rsidR="000B642F" w:rsidRPr="00EE05CB" w:rsidRDefault="000B642F" w:rsidP="005869C4">
    <w:pPr>
      <w:pStyle w:val="Header"/>
      <w:rPr>
        <w:rStyle w:val="HeaderChar"/>
        <w:lang w:eastAsia="zh-CN"/>
      </w:rPr>
    </w:pPr>
    <w:r>
      <w:rPr>
        <w:lang w:eastAsia="zh-CN"/>
      </w:rPr>
      <w:t>–</w:t>
    </w:r>
    <w:r w:rsidRPr="00CC0CAA">
      <w:rPr>
        <w:lang w:eastAsia="zh-CN"/>
      </w:rPr>
      <w:t xml:space="preserve"> </w:t>
    </w:r>
    <w:r w:rsidRPr="00CC0CAA">
      <w:rPr>
        <w:rStyle w:val="PageNumber"/>
        <w:rFonts w:ascii="Calibri" w:hAnsi="Calibri"/>
      </w:rPr>
      <w:fldChar w:fldCharType="begin"/>
    </w:r>
    <w:r w:rsidRPr="00CC0CAA">
      <w:rPr>
        <w:rStyle w:val="PageNumber"/>
        <w:rFonts w:ascii="Calibri" w:hAnsi="Calibri"/>
        <w:lang w:eastAsia="zh-CN"/>
      </w:rPr>
      <w:instrText xml:space="preserve"> PAGE </w:instrText>
    </w:r>
    <w:r w:rsidRPr="00CC0CAA">
      <w:rPr>
        <w:rStyle w:val="PageNumber"/>
        <w:rFonts w:ascii="Calibri" w:hAnsi="Calibri"/>
      </w:rPr>
      <w:fldChar w:fldCharType="separate"/>
    </w:r>
    <w:r>
      <w:rPr>
        <w:rStyle w:val="PageNumber"/>
        <w:rFonts w:ascii="Calibri" w:hAnsi="Calibri"/>
        <w:noProof/>
        <w:lang w:eastAsia="zh-CN"/>
      </w:rPr>
      <w:t>214</w:t>
    </w:r>
    <w:r w:rsidRPr="00CC0CAA">
      <w:rPr>
        <w:rStyle w:val="PageNumber"/>
        <w:rFonts w:ascii="Calibri" w:hAnsi="Calibri"/>
      </w:rPr>
      <w:fldChar w:fldCharType="end"/>
    </w:r>
    <w:r w:rsidRPr="00CC0CAA">
      <w:rPr>
        <w:rStyle w:val="PageNumber"/>
        <w:rFonts w:ascii="Calibri" w:hAnsi="Calibri"/>
        <w:lang w:eastAsia="zh-CN"/>
      </w:rPr>
      <w:t xml:space="preserve"> </w:t>
    </w:r>
    <w:r>
      <w:rPr>
        <w:rStyle w:val="PageNumber"/>
        <w:rFonts w:ascii="Calibri" w:hAnsi="Calibri"/>
        <w:lang w:eastAsia="zh-CN"/>
      </w:rPr>
      <w:t>–</w:t>
    </w:r>
    <w:r w:rsidRPr="00CC0CAA">
      <w:rPr>
        <w:rStyle w:val="PageNumber"/>
        <w:rFonts w:ascii="Calibri" w:hAnsi="Calibri"/>
        <w:lang w:eastAsia="zh-CN"/>
      </w:rPr>
      <w:br/>
    </w:r>
    <w:r w:rsidRPr="00163E5C">
      <w:rPr>
        <w:rStyle w:val="PageNumber"/>
        <w:rFonts w:ascii="Calibri" w:eastAsia="STKaiti" w:hAnsi="STKaiti" w:hint="eastAsia"/>
        <w:szCs w:val="18"/>
        <w:lang w:eastAsia="zh-CN"/>
      </w:rPr>
      <w:t>（</w:t>
    </w:r>
    <w:r w:rsidRPr="00CC0CAA">
      <w:rPr>
        <w:lang w:eastAsia="zh-CN"/>
      </w:rPr>
      <w:t>7.</w:t>
    </w:r>
    <w:r>
      <w:rPr>
        <w:lang w:eastAsia="zh-CN"/>
      </w:rPr>
      <w:t>2</w:t>
    </w:r>
    <w:r w:rsidRPr="00CC0CAA">
      <w:rPr>
        <w:lang w:eastAsia="zh-CN"/>
      </w:rPr>
      <w:t xml:space="preserve"> </w:t>
    </w:r>
    <w:r w:rsidRPr="00CC0CAA">
      <w:rPr>
        <w:rStyle w:val="PageNumber"/>
        <w:rFonts w:ascii="Calibri" w:hAnsi="Calibri"/>
        <w:lang w:eastAsia="zh-CN"/>
      </w:rPr>
      <w:t>–</w:t>
    </w:r>
    <w:r>
      <w:rPr>
        <w:rStyle w:val="PageNumber"/>
        <w:rFonts w:ascii="Calibri" w:hAnsi="Calibri"/>
        <w:lang w:eastAsia="zh-CN"/>
      </w:rPr>
      <w:t xml:space="preserve"> </w:t>
    </w:r>
    <w:r w:rsidRPr="00EE05CB">
      <w:rPr>
        <w:rFonts w:hint="eastAsia"/>
        <w:lang w:eastAsia="zh-CN"/>
      </w:rPr>
      <w:t>其它杂项事宜）</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4BAAE" w14:textId="0BE6523F" w:rsidR="00300F9F" w:rsidRPr="00EE05CB" w:rsidRDefault="00300F9F" w:rsidP="00EE05CB">
    <w:pPr>
      <w:pStyle w:val="Header"/>
      <w:rPr>
        <w:rStyle w:val="HeaderChar"/>
        <w:lang w:eastAsia="zh-CN"/>
      </w:rPr>
    </w:pPr>
    <w:r>
      <w:rPr>
        <w:lang w:eastAsia="zh-CN"/>
      </w:rPr>
      <w:t>–</w:t>
    </w:r>
    <w:r w:rsidRPr="00CC0CAA">
      <w:rPr>
        <w:lang w:eastAsia="zh-CN"/>
      </w:rPr>
      <w:t xml:space="preserve"> </w:t>
    </w:r>
    <w:r w:rsidRPr="00CC0CAA">
      <w:rPr>
        <w:rStyle w:val="PageNumber"/>
        <w:rFonts w:ascii="Calibri" w:hAnsi="Calibri"/>
      </w:rPr>
      <w:fldChar w:fldCharType="begin"/>
    </w:r>
    <w:r w:rsidRPr="00CC0CAA">
      <w:rPr>
        <w:rStyle w:val="PageNumber"/>
        <w:rFonts w:ascii="Calibri" w:hAnsi="Calibri"/>
        <w:lang w:eastAsia="zh-CN"/>
      </w:rPr>
      <w:instrText xml:space="preserve"> PAGE </w:instrText>
    </w:r>
    <w:r w:rsidRPr="00CC0CAA">
      <w:rPr>
        <w:rStyle w:val="PageNumber"/>
        <w:rFonts w:ascii="Calibri" w:hAnsi="Calibri"/>
      </w:rPr>
      <w:fldChar w:fldCharType="separate"/>
    </w:r>
    <w:r>
      <w:rPr>
        <w:rStyle w:val="PageNumber"/>
        <w:rFonts w:ascii="Calibri" w:hAnsi="Calibri"/>
        <w:noProof/>
        <w:lang w:eastAsia="zh-CN"/>
      </w:rPr>
      <w:t>205</w:t>
    </w:r>
    <w:r w:rsidRPr="00CC0CAA">
      <w:rPr>
        <w:rStyle w:val="PageNumber"/>
        <w:rFonts w:ascii="Calibri" w:hAnsi="Calibri"/>
      </w:rPr>
      <w:fldChar w:fldCharType="end"/>
    </w:r>
    <w:r w:rsidRPr="00CC0CAA">
      <w:rPr>
        <w:rStyle w:val="PageNumber"/>
        <w:rFonts w:ascii="Calibri" w:hAnsi="Calibri"/>
        <w:lang w:eastAsia="zh-CN"/>
      </w:rPr>
      <w:t xml:space="preserve"> </w:t>
    </w:r>
    <w:r>
      <w:rPr>
        <w:rStyle w:val="PageNumber"/>
        <w:rFonts w:ascii="Calibri" w:hAnsi="Calibri"/>
        <w:lang w:eastAsia="zh-CN"/>
      </w:rPr>
      <w:t>–</w:t>
    </w:r>
    <w:r w:rsidRPr="00CC0CAA">
      <w:rPr>
        <w:rStyle w:val="PageNumber"/>
        <w:rFonts w:ascii="Calibri" w:hAnsi="Calibri"/>
        <w:lang w:eastAsia="zh-CN"/>
      </w:rPr>
      <w:br/>
    </w:r>
    <w:r w:rsidRPr="00163E5C">
      <w:rPr>
        <w:rStyle w:val="PageNumber"/>
        <w:rFonts w:ascii="Calibri" w:eastAsia="STKaiti" w:hAnsi="STKaiti" w:hint="eastAsia"/>
        <w:szCs w:val="18"/>
        <w:lang w:eastAsia="zh-CN"/>
      </w:rPr>
      <w:t>（</w:t>
    </w:r>
    <w:r w:rsidRPr="00CC0CAA">
      <w:rPr>
        <w:lang w:eastAsia="zh-CN"/>
      </w:rPr>
      <w:t xml:space="preserve">7.2 </w:t>
    </w:r>
    <w:r w:rsidRPr="00CC0CAA">
      <w:rPr>
        <w:rStyle w:val="PageNumber"/>
        <w:rFonts w:ascii="Calibri" w:hAnsi="Calibri"/>
        <w:lang w:eastAsia="zh-CN"/>
      </w:rPr>
      <w:t>–</w:t>
    </w:r>
    <w:r>
      <w:rPr>
        <w:rFonts w:hint="eastAsia"/>
        <w:lang w:eastAsia="zh-CN"/>
      </w:rPr>
      <w:t xml:space="preserve"> </w:t>
    </w:r>
    <w:r w:rsidRPr="00EE05CB">
      <w:rPr>
        <w:rFonts w:hint="eastAsia"/>
        <w:lang w:eastAsia="zh-CN"/>
      </w:rPr>
      <w:t>其它杂项事宜）</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58" w14:textId="77777777" w:rsidR="000B642F" w:rsidRPr="00EE05CB" w:rsidRDefault="000B642F" w:rsidP="005869C4">
    <w:pPr>
      <w:pStyle w:val="Header"/>
      <w:rPr>
        <w:lang w:eastAsia="zh-CN"/>
      </w:rPr>
    </w:pPr>
    <w:r>
      <w:rPr>
        <w:rFonts w:ascii="Calibri" w:hAnsi="Calibri"/>
        <w:szCs w:val="18"/>
        <w:lang w:val="en-US" w:eastAsia="zh-CN"/>
      </w:rPr>
      <w:t>–</w:t>
    </w:r>
    <w:r w:rsidRPr="00163E5C">
      <w:rPr>
        <w:rFonts w:ascii="Calibri" w:hAnsi="Calibri"/>
        <w:szCs w:val="18"/>
        <w:lang w:val="en-US" w:eastAsia="zh-CN"/>
      </w:rPr>
      <w:t xml:space="preserve"> </w:t>
    </w:r>
    <w:r w:rsidRPr="00163E5C">
      <w:rPr>
        <w:rStyle w:val="PageNumber"/>
        <w:rFonts w:ascii="Calibri" w:hAnsi="Calibri"/>
        <w:szCs w:val="18"/>
      </w:rPr>
      <w:fldChar w:fldCharType="begin"/>
    </w:r>
    <w:r w:rsidRPr="00163E5C">
      <w:rPr>
        <w:rStyle w:val="PageNumber"/>
        <w:rFonts w:ascii="Calibri" w:hAnsi="Calibri"/>
        <w:szCs w:val="18"/>
        <w:lang w:eastAsia="zh-CN"/>
      </w:rPr>
      <w:instrText xml:space="preserve"> PAGE </w:instrText>
    </w:r>
    <w:r w:rsidRPr="00163E5C">
      <w:rPr>
        <w:rStyle w:val="PageNumber"/>
        <w:rFonts w:ascii="Calibri" w:hAnsi="Calibri"/>
        <w:szCs w:val="18"/>
      </w:rPr>
      <w:fldChar w:fldCharType="separate"/>
    </w:r>
    <w:r>
      <w:rPr>
        <w:rStyle w:val="PageNumber"/>
        <w:rFonts w:ascii="Calibri" w:hAnsi="Calibri"/>
        <w:noProof/>
        <w:szCs w:val="18"/>
        <w:lang w:eastAsia="zh-CN"/>
      </w:rPr>
      <w:t>207</w:t>
    </w:r>
    <w:r w:rsidRPr="00163E5C">
      <w:rPr>
        <w:rStyle w:val="PageNumber"/>
        <w:rFonts w:ascii="Calibri" w:hAnsi="Calibri"/>
        <w:szCs w:val="18"/>
      </w:rPr>
      <w:fldChar w:fldCharType="end"/>
    </w:r>
    <w:r w:rsidRPr="00163E5C">
      <w:rPr>
        <w:rStyle w:val="PageNumber"/>
        <w:rFonts w:ascii="Calibri" w:hAnsi="Calibri"/>
        <w:szCs w:val="18"/>
        <w:lang w:eastAsia="zh-CN"/>
      </w:rPr>
      <w:t xml:space="preserve"> </w:t>
    </w:r>
    <w:r>
      <w:rPr>
        <w:rStyle w:val="PageNumber"/>
        <w:rFonts w:ascii="Calibri" w:hAnsi="Calibri"/>
        <w:szCs w:val="18"/>
        <w:lang w:eastAsia="zh-CN"/>
      </w:rPr>
      <w:t>–</w:t>
    </w:r>
    <w:r w:rsidRPr="00163E5C">
      <w:rPr>
        <w:rStyle w:val="PageNumber"/>
        <w:rFonts w:ascii="Calibri" w:hAnsi="Calibri"/>
        <w:lang w:eastAsia="zh-CN"/>
      </w:rPr>
      <w:br/>
    </w:r>
    <w:r w:rsidRPr="00163E5C">
      <w:rPr>
        <w:rStyle w:val="PageNumber"/>
        <w:rFonts w:ascii="Calibri" w:eastAsia="STKaiti" w:hAnsi="STKaiti" w:hint="eastAsia"/>
        <w:szCs w:val="18"/>
        <w:lang w:eastAsia="zh-CN"/>
      </w:rPr>
      <w:t>（</w:t>
    </w:r>
    <w:r w:rsidRPr="00CC0CAA">
      <w:rPr>
        <w:lang w:eastAsia="zh-CN"/>
      </w:rPr>
      <w:t xml:space="preserve">7.2 </w:t>
    </w:r>
    <w:r w:rsidRPr="00CC0CAA">
      <w:rPr>
        <w:rStyle w:val="PageNumber"/>
        <w:rFonts w:ascii="Calibri" w:hAnsi="Calibri"/>
        <w:lang w:eastAsia="zh-CN"/>
      </w:rPr>
      <w:t>–</w:t>
    </w:r>
    <w:r>
      <w:rPr>
        <w:rFonts w:hint="eastAsia"/>
        <w:lang w:eastAsia="zh-CN"/>
      </w:rPr>
      <w:t xml:space="preserve"> </w:t>
    </w:r>
    <w:r w:rsidRPr="00EE05CB">
      <w:rPr>
        <w:rFonts w:hint="eastAsia"/>
        <w:lang w:eastAsia="zh-CN"/>
      </w:rPr>
      <w:t>其它杂项事宜）</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59" w14:textId="77777777" w:rsidR="000B642F" w:rsidRDefault="000B642F" w:rsidP="00EE05CB">
    <w:pPr>
      <w:pStyle w:val="Header"/>
      <w:rPr>
        <w:lang w:eastAsia="zh-CN"/>
      </w:rPr>
    </w:pPr>
    <w:r>
      <w:rPr>
        <w:lang w:eastAsia="zh-CN"/>
      </w:rPr>
      <w:t>–</w:t>
    </w:r>
    <w:r w:rsidRPr="00CC0CAA">
      <w:rPr>
        <w:lang w:eastAsia="zh-CN"/>
      </w:rPr>
      <w:t xml:space="preserve"> </w:t>
    </w:r>
    <w:r w:rsidRPr="00CC0CAA">
      <w:rPr>
        <w:rStyle w:val="PageNumber"/>
        <w:rFonts w:ascii="Calibri" w:eastAsia="STKaiti" w:hAnsi="Calibri"/>
      </w:rPr>
      <w:fldChar w:fldCharType="begin"/>
    </w:r>
    <w:r w:rsidRPr="00CC0CAA">
      <w:rPr>
        <w:rStyle w:val="PageNumber"/>
        <w:rFonts w:ascii="Calibri" w:eastAsia="STKaiti" w:hAnsi="Calibri"/>
        <w:lang w:eastAsia="zh-CN"/>
      </w:rPr>
      <w:instrText xml:space="preserve"> PAGE </w:instrText>
    </w:r>
    <w:r w:rsidRPr="00CC0CAA">
      <w:rPr>
        <w:rStyle w:val="PageNumber"/>
        <w:rFonts w:ascii="Calibri" w:eastAsia="STKaiti" w:hAnsi="Calibri"/>
      </w:rPr>
      <w:fldChar w:fldCharType="separate"/>
    </w:r>
    <w:r>
      <w:rPr>
        <w:rStyle w:val="PageNumber"/>
        <w:rFonts w:ascii="Calibri" w:eastAsia="STKaiti" w:hAnsi="Calibri"/>
        <w:noProof/>
        <w:lang w:eastAsia="zh-CN"/>
      </w:rPr>
      <w:t>260</w:t>
    </w:r>
    <w:r w:rsidRPr="00CC0CAA">
      <w:rPr>
        <w:rStyle w:val="PageNumber"/>
        <w:rFonts w:ascii="Calibri" w:eastAsia="STKaiti" w:hAnsi="Calibri"/>
      </w:rPr>
      <w:fldChar w:fldCharType="end"/>
    </w:r>
    <w:r w:rsidRPr="00CC0CAA">
      <w:rPr>
        <w:rStyle w:val="PageNumber"/>
        <w:rFonts w:ascii="Calibri" w:eastAsia="STKaiti" w:hAnsi="Calibri"/>
        <w:lang w:eastAsia="zh-CN"/>
      </w:rPr>
      <w:t xml:space="preserve"> </w:t>
    </w:r>
    <w:r>
      <w:rPr>
        <w:rStyle w:val="PageNumber"/>
        <w:rFonts w:ascii="Calibri" w:eastAsia="STKaiti" w:hAnsi="Calibri"/>
        <w:lang w:eastAsia="zh-CN"/>
      </w:rPr>
      <w:t>–</w:t>
    </w:r>
    <w:r w:rsidRPr="00CC0CAA">
      <w:rPr>
        <w:rStyle w:val="PageNumber"/>
        <w:rFonts w:ascii="Calibri" w:eastAsia="STKaiti" w:hAnsi="Calibri"/>
        <w:lang w:eastAsia="zh-CN"/>
      </w:rPr>
      <w:br/>
    </w:r>
    <w:r w:rsidRPr="00CC0CAA">
      <w:rPr>
        <w:rFonts w:hint="eastAsia"/>
        <w:lang w:eastAsia="zh-CN"/>
      </w:rPr>
      <w:t>（附录</w:t>
    </w:r>
    <w:r w:rsidRPr="00CC0CAA">
      <w:rPr>
        <w:rFonts w:hint="eastAsia"/>
        <w:lang w:eastAsia="zh-CN"/>
      </w:rPr>
      <w:t xml:space="preserve">A </w:t>
    </w:r>
    <w:r w:rsidRPr="00CC0CAA">
      <w:rPr>
        <w:rStyle w:val="PageNumber"/>
        <w:rFonts w:ascii="Calibri" w:eastAsia="STKaiti" w:hAnsi="Calibri"/>
        <w:lang w:eastAsia="zh-CN"/>
      </w:rPr>
      <w:t>–</w:t>
    </w:r>
    <w:r w:rsidRPr="00CC0CAA">
      <w:rPr>
        <w:rStyle w:val="PageNumber"/>
        <w:rFonts w:ascii="Calibri" w:eastAsia="STKaiti" w:hAnsi="Calibri" w:hint="eastAsia"/>
        <w:lang w:eastAsia="zh-CN"/>
      </w:rPr>
      <w:t xml:space="preserve"> </w:t>
    </w:r>
    <w:r w:rsidRPr="00CC0CAA">
      <w:rPr>
        <w:rFonts w:hint="eastAsia"/>
        <w:lang w:eastAsia="zh-CN"/>
      </w:rPr>
      <w:t>各项决议编号列表）</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5A" w14:textId="77777777" w:rsidR="000B642F" w:rsidRDefault="000B642F" w:rsidP="00EE05CB">
    <w:pPr>
      <w:pStyle w:val="Header"/>
      <w:rPr>
        <w:lang w:eastAsia="zh-CN"/>
      </w:rPr>
    </w:pPr>
    <w:r>
      <w:rPr>
        <w:lang w:eastAsia="zh-CN"/>
      </w:rPr>
      <w:t>–</w:t>
    </w:r>
    <w:r w:rsidRPr="00CC0CAA">
      <w:rPr>
        <w:lang w:eastAsia="zh-CN"/>
      </w:rPr>
      <w:t xml:space="preserve"> </w:t>
    </w:r>
    <w:r w:rsidRPr="00CC0CAA">
      <w:rPr>
        <w:rStyle w:val="PageNumber"/>
        <w:rFonts w:ascii="Calibri" w:eastAsia="STKaiti" w:hAnsi="Calibri"/>
      </w:rPr>
      <w:fldChar w:fldCharType="begin"/>
    </w:r>
    <w:r w:rsidRPr="00CC0CAA">
      <w:rPr>
        <w:rStyle w:val="PageNumber"/>
        <w:rFonts w:ascii="Calibri" w:eastAsia="STKaiti" w:hAnsi="Calibri"/>
        <w:lang w:eastAsia="zh-CN"/>
      </w:rPr>
      <w:instrText xml:space="preserve"> PAGE </w:instrText>
    </w:r>
    <w:r w:rsidRPr="00CC0CAA">
      <w:rPr>
        <w:rStyle w:val="PageNumber"/>
        <w:rFonts w:ascii="Calibri" w:eastAsia="STKaiti" w:hAnsi="Calibri"/>
      </w:rPr>
      <w:fldChar w:fldCharType="separate"/>
    </w:r>
    <w:r>
      <w:rPr>
        <w:rStyle w:val="PageNumber"/>
        <w:rFonts w:ascii="Calibri" w:eastAsia="STKaiti" w:hAnsi="Calibri"/>
        <w:noProof/>
        <w:lang w:eastAsia="zh-CN"/>
      </w:rPr>
      <w:t>259</w:t>
    </w:r>
    <w:r w:rsidRPr="00CC0CAA">
      <w:rPr>
        <w:rStyle w:val="PageNumber"/>
        <w:rFonts w:ascii="Calibri" w:eastAsia="STKaiti" w:hAnsi="Calibri"/>
      </w:rPr>
      <w:fldChar w:fldCharType="end"/>
    </w:r>
    <w:r w:rsidRPr="00CC0CAA">
      <w:rPr>
        <w:rStyle w:val="PageNumber"/>
        <w:rFonts w:ascii="Calibri" w:eastAsia="STKaiti" w:hAnsi="Calibri"/>
        <w:lang w:eastAsia="zh-CN"/>
      </w:rPr>
      <w:t xml:space="preserve"> </w:t>
    </w:r>
    <w:r>
      <w:rPr>
        <w:rStyle w:val="PageNumber"/>
        <w:rFonts w:ascii="Calibri" w:eastAsia="STKaiti" w:hAnsi="Calibri"/>
        <w:lang w:eastAsia="zh-CN"/>
      </w:rPr>
      <w:t>–</w:t>
    </w:r>
    <w:r w:rsidRPr="00CC0CAA">
      <w:rPr>
        <w:lang w:eastAsia="zh-CN"/>
      </w:rPr>
      <w:br/>
    </w:r>
    <w:r w:rsidRPr="00CC0CAA">
      <w:rPr>
        <w:rFonts w:hint="eastAsia"/>
        <w:lang w:eastAsia="zh-CN"/>
      </w:rPr>
      <w:t>（附录</w:t>
    </w:r>
    <w:r w:rsidRPr="00CC0CAA">
      <w:rPr>
        <w:rFonts w:hint="eastAsia"/>
        <w:lang w:eastAsia="zh-CN"/>
      </w:rPr>
      <w:t xml:space="preserve">A </w:t>
    </w:r>
    <w:r w:rsidRPr="00CC0CAA">
      <w:rPr>
        <w:rStyle w:val="PageNumber"/>
        <w:rFonts w:ascii="Calibri" w:eastAsia="STKaiti" w:hAnsi="Calibri"/>
        <w:lang w:eastAsia="zh-CN"/>
      </w:rPr>
      <w:t>–</w:t>
    </w:r>
    <w:r w:rsidRPr="00CC0CAA">
      <w:rPr>
        <w:rStyle w:val="PageNumber"/>
        <w:rFonts w:ascii="Calibri" w:eastAsia="STKaiti" w:hAnsi="Calibri" w:hint="eastAsia"/>
        <w:lang w:eastAsia="zh-CN"/>
      </w:rPr>
      <w:t xml:space="preserve"> </w:t>
    </w:r>
    <w:r w:rsidRPr="00CC0CAA">
      <w:rPr>
        <w:rFonts w:hint="eastAsia"/>
        <w:lang w:eastAsia="zh-CN"/>
      </w:rPr>
      <w:t>各项决议编号列表）</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5D" w14:textId="77777777" w:rsidR="000B642F" w:rsidRPr="00EE05CB" w:rsidRDefault="000B642F" w:rsidP="00EE05CB">
    <w:pPr>
      <w:pStyle w:val="Header"/>
      <w:rPr>
        <w:lang w:eastAsia="zh-CN"/>
      </w:rPr>
    </w:pPr>
    <w:r>
      <w:rPr>
        <w:rFonts w:ascii="Calibri" w:hAnsi="Calibri"/>
        <w:szCs w:val="18"/>
        <w:lang w:val="en-US" w:eastAsia="zh-CN"/>
      </w:rPr>
      <w:t>–</w:t>
    </w:r>
    <w:r w:rsidRPr="00163E5C">
      <w:rPr>
        <w:rFonts w:ascii="Calibri" w:hAnsi="Calibri"/>
        <w:szCs w:val="18"/>
        <w:lang w:val="en-US" w:eastAsia="zh-CN"/>
      </w:rPr>
      <w:t xml:space="preserve"> </w:t>
    </w:r>
    <w:r w:rsidRPr="00163E5C">
      <w:rPr>
        <w:rStyle w:val="PageNumber"/>
        <w:rFonts w:ascii="Calibri" w:hAnsi="Calibri"/>
        <w:szCs w:val="18"/>
      </w:rPr>
      <w:fldChar w:fldCharType="begin"/>
    </w:r>
    <w:r w:rsidRPr="00163E5C">
      <w:rPr>
        <w:rStyle w:val="PageNumber"/>
        <w:rFonts w:ascii="Calibri" w:hAnsi="Calibri"/>
        <w:szCs w:val="18"/>
        <w:lang w:eastAsia="zh-CN"/>
      </w:rPr>
      <w:instrText xml:space="preserve"> PAGE </w:instrText>
    </w:r>
    <w:r w:rsidRPr="00163E5C">
      <w:rPr>
        <w:rStyle w:val="PageNumber"/>
        <w:rFonts w:ascii="Calibri" w:hAnsi="Calibri"/>
        <w:szCs w:val="18"/>
      </w:rPr>
      <w:fldChar w:fldCharType="separate"/>
    </w:r>
    <w:r>
      <w:rPr>
        <w:rStyle w:val="PageNumber"/>
        <w:rFonts w:ascii="Calibri" w:hAnsi="Calibri"/>
        <w:noProof/>
        <w:szCs w:val="18"/>
        <w:lang w:eastAsia="zh-CN"/>
      </w:rPr>
      <w:t>221</w:t>
    </w:r>
    <w:r w:rsidRPr="00163E5C">
      <w:rPr>
        <w:rStyle w:val="PageNumber"/>
        <w:rFonts w:ascii="Calibri" w:hAnsi="Calibri"/>
        <w:szCs w:val="18"/>
      </w:rPr>
      <w:fldChar w:fldCharType="end"/>
    </w:r>
    <w:r w:rsidRPr="00163E5C">
      <w:rPr>
        <w:rStyle w:val="PageNumber"/>
        <w:rFonts w:ascii="Calibri" w:hAnsi="Calibri"/>
        <w:szCs w:val="18"/>
        <w:lang w:eastAsia="zh-CN"/>
      </w:rPr>
      <w:t xml:space="preserve"> </w:t>
    </w:r>
    <w:r>
      <w:rPr>
        <w:rStyle w:val="PageNumber"/>
        <w:rFonts w:ascii="Calibri" w:hAnsi="Calibri"/>
        <w:szCs w:val="18"/>
        <w:lang w:eastAsia="zh-CN"/>
      </w:rPr>
      <w:t>–</w:t>
    </w:r>
    <w:r w:rsidRPr="00163E5C">
      <w:rPr>
        <w:rStyle w:val="PageNumber"/>
        <w:rFonts w:ascii="Calibri" w:hAnsi="Calibri"/>
        <w:lang w:eastAsia="zh-CN"/>
      </w:rPr>
      <w:br/>
    </w:r>
    <w:r w:rsidRPr="00163E5C">
      <w:rPr>
        <w:rStyle w:val="PageNumber"/>
        <w:rFonts w:ascii="Calibri" w:eastAsia="STKaiti" w:hAnsi="STKaiti" w:hint="eastAsia"/>
        <w:szCs w:val="18"/>
        <w:lang w:eastAsia="zh-CN"/>
      </w:rPr>
      <w:t>（</w:t>
    </w:r>
    <w:r w:rsidRPr="00CC0CAA">
      <w:rPr>
        <w:rFonts w:hint="eastAsia"/>
        <w:lang w:eastAsia="zh-CN"/>
      </w:rPr>
      <w:t>附录</w:t>
    </w:r>
    <w:r w:rsidRPr="00CC0CAA">
      <w:rPr>
        <w:rFonts w:hint="eastAsia"/>
        <w:lang w:eastAsia="zh-CN"/>
      </w:rPr>
      <w:t xml:space="preserve">A </w:t>
    </w:r>
    <w:r w:rsidRPr="00CC0CAA">
      <w:rPr>
        <w:rStyle w:val="PageNumber"/>
        <w:rFonts w:ascii="Calibri" w:eastAsia="STKaiti" w:hAnsi="Calibri"/>
        <w:lang w:eastAsia="zh-CN"/>
      </w:rPr>
      <w:t>–</w:t>
    </w:r>
    <w:r w:rsidRPr="00CC0CAA">
      <w:rPr>
        <w:rStyle w:val="PageNumber"/>
        <w:rFonts w:ascii="Calibri" w:eastAsia="STKaiti" w:hAnsi="Calibri" w:hint="eastAsia"/>
        <w:lang w:eastAsia="zh-CN"/>
      </w:rPr>
      <w:t xml:space="preserve"> </w:t>
    </w:r>
    <w:r w:rsidRPr="00CC0CAA">
      <w:rPr>
        <w:rFonts w:hint="eastAsia"/>
        <w:lang w:eastAsia="zh-CN"/>
      </w:rPr>
      <w:t>各项决议编号列表</w:t>
    </w:r>
    <w:r w:rsidRPr="00163E5C">
      <w:rPr>
        <w:rStyle w:val="PageNumber"/>
        <w:rFonts w:ascii="Calibri" w:eastAsia="STKaiti" w:hAnsi="STKaiti" w:hint="eastAsia"/>
        <w:szCs w:val="18"/>
        <w:lang w:eastAsia="zh-CN"/>
      </w:rPr>
      <w:t>）</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5F" w14:textId="77777777" w:rsidR="000B642F" w:rsidRDefault="000B642F" w:rsidP="00EE05CB">
    <w:pPr>
      <w:pStyle w:val="Header"/>
      <w:rPr>
        <w:lang w:eastAsia="zh-CN"/>
      </w:rPr>
    </w:pPr>
    <w:r>
      <w:rPr>
        <w:lang w:eastAsia="zh-CN"/>
      </w:rPr>
      <w:t>–</w:t>
    </w:r>
    <w:r w:rsidRPr="00CC0CAA">
      <w:rPr>
        <w:lang w:eastAsia="zh-CN"/>
      </w:rPr>
      <w:t xml:space="preserve"> </w:t>
    </w:r>
    <w:r w:rsidRPr="00CC0CAA">
      <w:rPr>
        <w:rStyle w:val="PageNumber"/>
        <w:rFonts w:ascii="Calibri" w:eastAsia="STKaiti" w:hAnsi="Calibri"/>
      </w:rPr>
      <w:fldChar w:fldCharType="begin"/>
    </w:r>
    <w:r w:rsidRPr="00CC0CAA">
      <w:rPr>
        <w:rStyle w:val="PageNumber"/>
        <w:rFonts w:ascii="Calibri" w:eastAsia="STKaiti" w:hAnsi="Calibri"/>
        <w:lang w:eastAsia="zh-CN"/>
      </w:rPr>
      <w:instrText xml:space="preserve"> PAGE </w:instrText>
    </w:r>
    <w:r w:rsidRPr="00CC0CAA">
      <w:rPr>
        <w:rStyle w:val="PageNumber"/>
        <w:rFonts w:ascii="Calibri" w:eastAsia="STKaiti" w:hAnsi="Calibri"/>
      </w:rPr>
      <w:fldChar w:fldCharType="separate"/>
    </w:r>
    <w:r>
      <w:rPr>
        <w:rStyle w:val="PageNumber"/>
        <w:rFonts w:ascii="Calibri" w:eastAsia="STKaiti" w:hAnsi="Calibri"/>
        <w:noProof/>
        <w:lang w:eastAsia="zh-CN"/>
      </w:rPr>
      <w:t>280</w:t>
    </w:r>
    <w:r w:rsidRPr="00CC0CAA">
      <w:rPr>
        <w:rStyle w:val="PageNumber"/>
        <w:rFonts w:ascii="Calibri" w:eastAsia="STKaiti" w:hAnsi="Calibri"/>
      </w:rPr>
      <w:fldChar w:fldCharType="end"/>
    </w:r>
    <w:r w:rsidRPr="00CC0CAA">
      <w:rPr>
        <w:rStyle w:val="PageNumber"/>
        <w:rFonts w:ascii="Calibri" w:eastAsia="STKaiti" w:hAnsi="Calibri"/>
        <w:lang w:eastAsia="zh-CN"/>
      </w:rPr>
      <w:t xml:space="preserve"> </w:t>
    </w:r>
    <w:r>
      <w:rPr>
        <w:rStyle w:val="PageNumber"/>
        <w:rFonts w:ascii="Calibri" w:eastAsia="STKaiti" w:hAnsi="Calibri"/>
        <w:lang w:eastAsia="zh-CN"/>
      </w:rPr>
      <w:t>–</w:t>
    </w:r>
    <w:r w:rsidRPr="00CC0CAA">
      <w:rPr>
        <w:rStyle w:val="PageNumber"/>
        <w:rFonts w:ascii="Calibri" w:eastAsia="STKaiti" w:hAnsi="Calibri"/>
        <w:lang w:eastAsia="zh-CN"/>
      </w:rPr>
      <w:br/>
    </w:r>
    <w:r w:rsidRPr="00CC0CAA">
      <w:rPr>
        <w:rFonts w:hint="eastAsia"/>
        <w:lang w:eastAsia="zh-CN"/>
      </w:rPr>
      <w:t>（附录</w:t>
    </w:r>
    <w:r w:rsidRPr="00CC0CAA">
      <w:rPr>
        <w:lang w:eastAsia="zh-CN"/>
      </w:rPr>
      <w:t>B</w:t>
    </w:r>
    <w:r w:rsidRPr="00CC0CAA">
      <w:rPr>
        <w:rFonts w:hint="eastAsia"/>
        <w:lang w:eastAsia="zh-CN"/>
      </w:rPr>
      <w:t xml:space="preserve"> </w:t>
    </w:r>
    <w:r w:rsidRPr="00CC0CAA">
      <w:rPr>
        <w:rStyle w:val="PageNumber"/>
        <w:rFonts w:ascii="Calibri" w:eastAsia="STKaiti" w:hAnsi="Calibri"/>
        <w:lang w:eastAsia="zh-CN"/>
      </w:rPr>
      <w:t>–</w:t>
    </w:r>
    <w:r w:rsidRPr="00CC0CAA">
      <w:rPr>
        <w:rStyle w:val="PageNumber"/>
        <w:rFonts w:ascii="Calibri" w:eastAsia="STKaiti" w:hAnsi="Calibri" w:hint="eastAsia"/>
        <w:lang w:eastAsia="zh-CN"/>
      </w:rPr>
      <w:t xml:space="preserve"> </w:t>
    </w:r>
    <w:r w:rsidRPr="00CC0CAA">
      <w:rPr>
        <w:rFonts w:hint="eastAsia"/>
        <w:lang w:eastAsia="zh-CN"/>
      </w:rPr>
      <w:t>各项决定编号列表）</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60" w14:textId="77777777" w:rsidR="000B642F" w:rsidRDefault="000B642F" w:rsidP="00EE05CB">
    <w:pPr>
      <w:pStyle w:val="Header"/>
      <w:rPr>
        <w:lang w:eastAsia="zh-CN"/>
      </w:rPr>
    </w:pPr>
    <w:r>
      <w:rPr>
        <w:lang w:eastAsia="zh-CN"/>
      </w:rPr>
      <w:t>–</w:t>
    </w:r>
    <w:r w:rsidRPr="00CC0CAA">
      <w:rPr>
        <w:lang w:eastAsia="zh-CN"/>
      </w:rPr>
      <w:t xml:space="preserve"> </w:t>
    </w:r>
    <w:r w:rsidRPr="00CC0CAA">
      <w:rPr>
        <w:rStyle w:val="PageNumber"/>
        <w:rFonts w:ascii="Calibri" w:eastAsia="STKaiti" w:hAnsi="Calibri"/>
      </w:rPr>
      <w:fldChar w:fldCharType="begin"/>
    </w:r>
    <w:r w:rsidRPr="00CC0CAA">
      <w:rPr>
        <w:rStyle w:val="PageNumber"/>
        <w:rFonts w:ascii="Calibri" w:eastAsia="STKaiti" w:hAnsi="Calibri"/>
        <w:lang w:eastAsia="zh-CN"/>
      </w:rPr>
      <w:instrText xml:space="preserve"> PAGE </w:instrText>
    </w:r>
    <w:r w:rsidRPr="00CC0CAA">
      <w:rPr>
        <w:rStyle w:val="PageNumber"/>
        <w:rFonts w:ascii="Calibri" w:eastAsia="STKaiti" w:hAnsi="Calibri"/>
      </w:rPr>
      <w:fldChar w:fldCharType="separate"/>
    </w:r>
    <w:r>
      <w:rPr>
        <w:rStyle w:val="PageNumber"/>
        <w:rFonts w:ascii="Calibri" w:eastAsia="STKaiti" w:hAnsi="Calibri"/>
        <w:noProof/>
        <w:lang w:eastAsia="zh-CN"/>
      </w:rPr>
      <w:t>279</w:t>
    </w:r>
    <w:r w:rsidRPr="00CC0CAA">
      <w:rPr>
        <w:rStyle w:val="PageNumber"/>
        <w:rFonts w:ascii="Calibri" w:eastAsia="STKaiti" w:hAnsi="Calibri"/>
      </w:rPr>
      <w:fldChar w:fldCharType="end"/>
    </w:r>
    <w:r w:rsidRPr="00CC0CAA">
      <w:rPr>
        <w:rStyle w:val="PageNumber"/>
        <w:rFonts w:ascii="Calibri" w:eastAsia="STKaiti" w:hAnsi="Calibri"/>
        <w:lang w:eastAsia="zh-CN"/>
      </w:rPr>
      <w:t xml:space="preserve"> </w:t>
    </w:r>
    <w:r>
      <w:rPr>
        <w:rStyle w:val="PageNumber"/>
        <w:rFonts w:ascii="Calibri" w:eastAsia="STKaiti" w:hAnsi="Calibri"/>
        <w:lang w:eastAsia="zh-CN"/>
      </w:rPr>
      <w:t>–</w:t>
    </w:r>
    <w:r w:rsidRPr="00CC0CAA">
      <w:rPr>
        <w:lang w:eastAsia="zh-CN"/>
      </w:rPr>
      <w:br/>
    </w:r>
    <w:r w:rsidRPr="00CC0CAA">
      <w:rPr>
        <w:rFonts w:hint="eastAsia"/>
        <w:lang w:eastAsia="zh-CN"/>
      </w:rPr>
      <w:t>（附录</w:t>
    </w:r>
    <w:r w:rsidRPr="00CC0CAA">
      <w:rPr>
        <w:lang w:eastAsia="zh-CN"/>
      </w:rPr>
      <w:t>B</w:t>
    </w:r>
    <w:r w:rsidRPr="00CC0CAA">
      <w:rPr>
        <w:rFonts w:hint="eastAsia"/>
        <w:lang w:eastAsia="zh-CN"/>
      </w:rPr>
      <w:t xml:space="preserve"> </w:t>
    </w:r>
    <w:r w:rsidRPr="00CC0CAA">
      <w:rPr>
        <w:rStyle w:val="PageNumber"/>
        <w:rFonts w:ascii="Calibri" w:eastAsia="STKaiti" w:hAnsi="Calibri"/>
        <w:lang w:eastAsia="zh-CN"/>
      </w:rPr>
      <w:t>–</w:t>
    </w:r>
    <w:r w:rsidRPr="00CC0CAA">
      <w:rPr>
        <w:rStyle w:val="PageNumber"/>
        <w:rFonts w:ascii="Calibri" w:eastAsia="STKaiti" w:hAnsi="Calibri" w:hint="eastAsia"/>
        <w:lang w:eastAsia="zh-CN"/>
      </w:rPr>
      <w:t xml:space="preserve"> </w:t>
    </w:r>
    <w:r w:rsidRPr="00CC0CAA">
      <w:rPr>
        <w:rFonts w:hint="eastAsia"/>
        <w:lang w:eastAsia="zh-CN"/>
      </w:rPr>
      <w:t>各项决定编号列表）</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DC" w14:textId="77777777" w:rsidR="000B642F" w:rsidRPr="00C45305" w:rsidRDefault="000B642F" w:rsidP="00147619">
    <w:pPr>
      <w:pStyle w:val="Header"/>
      <w:rPr>
        <w:rFonts w:ascii="Calibri" w:hAnsi="Calibri"/>
        <w:lang w:val="en-US"/>
      </w:rPr>
    </w:pPr>
    <w:r>
      <w:rPr>
        <w:rStyle w:val="PageNumber"/>
        <w:rFonts w:ascii="Calibri" w:hAnsi="Calibri"/>
      </w:rPr>
      <w:t>–</w:t>
    </w:r>
    <w:r w:rsidRPr="0071484E">
      <w:rPr>
        <w:rStyle w:val="PageNumber"/>
        <w:rFonts w:ascii="Calibri" w:hAnsi="Calibri"/>
      </w:rPr>
      <w:t xml:space="preserve"> </w:t>
    </w:r>
    <w:r w:rsidRPr="0071484E">
      <w:rPr>
        <w:rStyle w:val="PageNumber"/>
        <w:rFonts w:ascii="Calibri" w:hAnsi="Calibri"/>
      </w:rPr>
      <w:fldChar w:fldCharType="begin"/>
    </w:r>
    <w:r w:rsidRPr="0071484E">
      <w:rPr>
        <w:rStyle w:val="PageNumber"/>
        <w:rFonts w:ascii="Calibri" w:hAnsi="Calibri"/>
      </w:rPr>
      <w:instrText xml:space="preserve"> PAGE </w:instrText>
    </w:r>
    <w:r w:rsidRPr="0071484E">
      <w:rPr>
        <w:rStyle w:val="PageNumber"/>
        <w:rFonts w:ascii="Calibri" w:hAnsi="Calibri"/>
      </w:rPr>
      <w:fldChar w:fldCharType="separate"/>
    </w:r>
    <w:r>
      <w:rPr>
        <w:rStyle w:val="PageNumber"/>
        <w:rFonts w:ascii="Calibri" w:hAnsi="Calibri"/>
        <w:noProof/>
      </w:rPr>
      <w:t>xii</w:t>
    </w:r>
    <w:r w:rsidRPr="0071484E">
      <w:rPr>
        <w:rStyle w:val="PageNumber"/>
        <w:rFonts w:ascii="Calibri" w:hAnsi="Calibri"/>
      </w:rPr>
      <w:fldChar w:fldCharType="end"/>
    </w:r>
    <w:r w:rsidRPr="0071484E">
      <w:rPr>
        <w:rStyle w:val="PageNumber"/>
        <w:rFonts w:ascii="Calibri" w:hAnsi="Calibri"/>
      </w:rPr>
      <w:t xml:space="preserve"> </w:t>
    </w:r>
    <w:r>
      <w:rPr>
        <w:rStyle w:val="PageNumber"/>
        <w:rFonts w:ascii="Calibri" w:hAnsi="Calibri"/>
      </w:rPr>
      <w:t>–</w:t>
    </w:r>
    <w:r w:rsidRPr="0071484E">
      <w:rPr>
        <w:rStyle w:val="PageNumber"/>
        <w:rFonts w:ascii="Calibri" w:hAnsi="Calibri"/>
      </w:rPr>
      <w:br/>
    </w:r>
    <w:r>
      <w:rPr>
        <w:rFonts w:hint="eastAsia"/>
        <w:lang w:val="en-US" w:eastAsia="zh-CN"/>
      </w:rPr>
      <w:t>（</w:t>
    </w:r>
    <w:r>
      <w:rPr>
        <w:lang w:val="en-US" w:eastAsia="zh-CN"/>
      </w:rPr>
      <w:t>目录）</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63" w14:textId="77777777" w:rsidR="000B642F" w:rsidRDefault="000B642F" w:rsidP="00EE05CB">
    <w:pPr>
      <w:pStyle w:val="Header"/>
      <w:rPr>
        <w:lang w:eastAsia="zh-CN"/>
      </w:rPr>
    </w:pPr>
    <w:r>
      <w:rPr>
        <w:rFonts w:ascii="Calibri" w:hAnsi="Calibri"/>
        <w:szCs w:val="18"/>
        <w:lang w:val="en-US" w:eastAsia="zh-CN"/>
      </w:rPr>
      <w:t>–</w:t>
    </w:r>
    <w:r w:rsidRPr="00163E5C">
      <w:rPr>
        <w:rFonts w:ascii="Calibri" w:hAnsi="Calibri"/>
        <w:szCs w:val="18"/>
        <w:lang w:val="en-US" w:eastAsia="zh-CN"/>
      </w:rPr>
      <w:t xml:space="preserve"> </w:t>
    </w:r>
    <w:r w:rsidRPr="00163E5C">
      <w:rPr>
        <w:rStyle w:val="PageNumber"/>
        <w:rFonts w:ascii="Calibri" w:hAnsi="Calibri"/>
        <w:szCs w:val="18"/>
      </w:rPr>
      <w:fldChar w:fldCharType="begin"/>
    </w:r>
    <w:r w:rsidRPr="00163E5C">
      <w:rPr>
        <w:rStyle w:val="PageNumber"/>
        <w:rFonts w:ascii="Calibri" w:hAnsi="Calibri"/>
        <w:szCs w:val="18"/>
        <w:lang w:eastAsia="zh-CN"/>
      </w:rPr>
      <w:instrText xml:space="preserve"> PAGE </w:instrText>
    </w:r>
    <w:r w:rsidRPr="00163E5C">
      <w:rPr>
        <w:rStyle w:val="PageNumber"/>
        <w:rFonts w:ascii="Calibri" w:hAnsi="Calibri"/>
        <w:szCs w:val="18"/>
      </w:rPr>
      <w:fldChar w:fldCharType="separate"/>
    </w:r>
    <w:r>
      <w:rPr>
        <w:rStyle w:val="PageNumber"/>
        <w:rFonts w:ascii="Calibri" w:hAnsi="Calibri"/>
        <w:noProof/>
        <w:szCs w:val="18"/>
        <w:lang w:eastAsia="zh-CN"/>
      </w:rPr>
      <w:t>261</w:t>
    </w:r>
    <w:r w:rsidRPr="00163E5C">
      <w:rPr>
        <w:rStyle w:val="PageNumber"/>
        <w:rFonts w:ascii="Calibri" w:hAnsi="Calibri"/>
        <w:szCs w:val="18"/>
      </w:rPr>
      <w:fldChar w:fldCharType="end"/>
    </w:r>
    <w:r w:rsidRPr="00163E5C">
      <w:rPr>
        <w:rStyle w:val="PageNumber"/>
        <w:rFonts w:ascii="Calibri" w:hAnsi="Calibri"/>
        <w:szCs w:val="18"/>
        <w:lang w:eastAsia="zh-CN"/>
      </w:rPr>
      <w:t xml:space="preserve"> </w:t>
    </w:r>
    <w:r>
      <w:rPr>
        <w:rStyle w:val="PageNumber"/>
        <w:rFonts w:ascii="Calibri" w:hAnsi="Calibri"/>
        <w:szCs w:val="18"/>
        <w:lang w:eastAsia="zh-CN"/>
      </w:rPr>
      <w:t>–</w:t>
    </w:r>
    <w:r w:rsidRPr="00163E5C">
      <w:rPr>
        <w:rStyle w:val="PageNumber"/>
        <w:rFonts w:ascii="Calibri" w:hAnsi="Calibri"/>
        <w:lang w:eastAsia="zh-CN"/>
      </w:rPr>
      <w:br/>
    </w:r>
    <w:r w:rsidRPr="00163E5C">
      <w:rPr>
        <w:rStyle w:val="PageNumber"/>
        <w:rFonts w:ascii="Calibri" w:eastAsia="STKaiti" w:hAnsi="STKaiti" w:hint="eastAsia"/>
        <w:szCs w:val="18"/>
        <w:lang w:eastAsia="zh-CN"/>
      </w:rPr>
      <w:t>（</w:t>
    </w:r>
    <w:r w:rsidRPr="00CC0CAA">
      <w:rPr>
        <w:rFonts w:hint="eastAsia"/>
        <w:lang w:eastAsia="zh-CN"/>
      </w:rPr>
      <w:t>附录</w:t>
    </w:r>
    <w:r w:rsidRPr="00CC0CAA">
      <w:rPr>
        <w:lang w:eastAsia="zh-CN"/>
      </w:rPr>
      <w:t>B</w:t>
    </w:r>
    <w:r w:rsidRPr="00CC0CAA">
      <w:rPr>
        <w:rFonts w:hint="eastAsia"/>
        <w:lang w:eastAsia="zh-CN"/>
      </w:rPr>
      <w:t xml:space="preserve"> </w:t>
    </w:r>
    <w:r w:rsidRPr="00CC0CAA">
      <w:rPr>
        <w:rStyle w:val="PageNumber"/>
        <w:rFonts w:ascii="Calibri" w:eastAsia="STKaiti" w:hAnsi="Calibri"/>
        <w:lang w:eastAsia="zh-CN"/>
      </w:rPr>
      <w:t>–</w:t>
    </w:r>
    <w:r w:rsidRPr="00CC0CAA">
      <w:rPr>
        <w:rStyle w:val="PageNumber"/>
        <w:rFonts w:ascii="Calibri" w:eastAsia="STKaiti" w:hAnsi="Calibri" w:hint="eastAsia"/>
        <w:lang w:eastAsia="zh-CN"/>
      </w:rPr>
      <w:t xml:space="preserve"> </w:t>
    </w:r>
    <w:r w:rsidRPr="00CC0CAA">
      <w:rPr>
        <w:rFonts w:hint="eastAsia"/>
        <w:lang w:eastAsia="zh-CN"/>
      </w:rPr>
      <w:t>各项决定编号列表</w:t>
    </w:r>
    <w:r w:rsidRPr="00163E5C">
      <w:rPr>
        <w:rStyle w:val="PageNumber"/>
        <w:rFonts w:ascii="Calibri" w:eastAsia="STKaiti" w:hAnsi="STKaiti" w:hint="eastAsia"/>
        <w:szCs w:val="18"/>
        <w:lang w:eastAsia="zh-CN"/>
      </w:rPr>
      <w:t>）</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65" w14:textId="77777777" w:rsidR="000B642F" w:rsidRDefault="000B642F"/>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66" w14:textId="77777777" w:rsidR="000B642F" w:rsidRDefault="000B642F" w:rsidP="00635C7E">
    <w:pPr>
      <w:pStyle w:val="Header"/>
    </w:pPr>
    <w:r>
      <w:rPr>
        <w:lang w:eastAsia="zh-CN"/>
      </w:rPr>
      <w:t>–</w:t>
    </w:r>
    <w:r w:rsidRPr="00CC0CAA">
      <w:rPr>
        <w:lang w:eastAsia="zh-CN"/>
      </w:rPr>
      <w:t xml:space="preserve"> </w:t>
    </w:r>
    <w:r w:rsidRPr="00CC0CAA">
      <w:rPr>
        <w:rStyle w:val="PageNumber"/>
        <w:rFonts w:ascii="Calibri" w:eastAsia="STKaiti" w:hAnsi="Calibri"/>
      </w:rPr>
      <w:fldChar w:fldCharType="begin"/>
    </w:r>
    <w:r w:rsidRPr="00CC0CAA">
      <w:rPr>
        <w:rStyle w:val="PageNumber"/>
        <w:rFonts w:ascii="Calibri" w:eastAsia="STKaiti" w:hAnsi="Calibri"/>
        <w:lang w:eastAsia="zh-CN"/>
      </w:rPr>
      <w:instrText xml:space="preserve"> PAGE </w:instrText>
    </w:r>
    <w:r w:rsidRPr="00CC0CAA">
      <w:rPr>
        <w:rStyle w:val="PageNumber"/>
        <w:rFonts w:ascii="Calibri" w:eastAsia="STKaiti" w:hAnsi="Calibri"/>
      </w:rPr>
      <w:fldChar w:fldCharType="separate"/>
    </w:r>
    <w:r>
      <w:rPr>
        <w:rStyle w:val="PageNumber"/>
        <w:rFonts w:ascii="Calibri" w:eastAsia="STKaiti" w:hAnsi="Calibri"/>
        <w:noProof/>
        <w:lang w:eastAsia="zh-CN"/>
      </w:rPr>
      <w:t>281</w:t>
    </w:r>
    <w:r w:rsidRPr="00CC0CAA">
      <w:rPr>
        <w:rStyle w:val="PageNumber"/>
        <w:rFonts w:ascii="Calibri" w:eastAsia="STKaiti" w:hAnsi="Calibri"/>
      </w:rPr>
      <w:fldChar w:fldCharType="end"/>
    </w:r>
    <w:r w:rsidRPr="00CC0CAA">
      <w:rPr>
        <w:rStyle w:val="PageNumber"/>
        <w:rFonts w:ascii="Calibri" w:eastAsia="STKaiti" w:hAnsi="Calibri"/>
        <w:lang w:eastAsia="zh-CN"/>
      </w:rPr>
      <w:t xml:space="preserve"> </w:t>
    </w:r>
    <w:r>
      <w:rPr>
        <w:rStyle w:val="PageNumber"/>
        <w:rFonts w:ascii="Calibri" w:eastAsia="STKaiti" w:hAnsi="Calibri"/>
        <w:lang w:eastAsia="zh-CN"/>
      </w:rPr>
      <w:t>–</w:t>
    </w:r>
    <w:r w:rsidRPr="00CC0CAA">
      <w:rPr>
        <w:lang w:eastAsia="zh-CN"/>
      </w:rPr>
      <w:br/>
    </w:r>
    <w:r w:rsidRPr="00CC0CAA">
      <w:rPr>
        <w:rFonts w:hint="eastAsia"/>
        <w:lang w:eastAsia="zh-CN"/>
      </w:rPr>
      <w:t>（附录</w:t>
    </w:r>
    <w:r>
      <w:rPr>
        <w:lang w:eastAsia="zh-CN"/>
      </w:rPr>
      <w:t>C</w:t>
    </w:r>
    <w:r w:rsidRPr="00CC0CAA">
      <w:rPr>
        <w:rFonts w:hint="eastAsia"/>
        <w:lang w:eastAsia="zh-CN"/>
      </w:rPr>
      <w:t xml:space="preserve"> </w:t>
    </w:r>
    <w:r w:rsidRPr="00CC0CAA">
      <w:rPr>
        <w:rStyle w:val="PageNumber"/>
        <w:rFonts w:ascii="Calibri" w:eastAsia="STKaiti" w:hAnsi="Calibri"/>
        <w:lang w:eastAsia="zh-CN"/>
      </w:rPr>
      <w:t>–</w:t>
    </w:r>
    <w:r w:rsidRPr="00CC0CAA">
      <w:rPr>
        <w:rStyle w:val="PageNumber"/>
        <w:rFonts w:ascii="Calibri" w:eastAsia="STKaiti" w:hAnsi="Calibri" w:hint="eastAsia"/>
        <w:lang w:eastAsia="zh-CN"/>
      </w:rPr>
      <w:t xml:space="preserve"> </w:t>
    </w:r>
    <w:r>
      <w:rPr>
        <w:rFonts w:hint="eastAsia"/>
        <w:lang w:eastAsia="zh-CN"/>
      </w:rPr>
      <w:t>分类</w:t>
    </w:r>
    <w:r>
      <w:rPr>
        <w:lang w:eastAsia="zh-CN"/>
      </w:rPr>
      <w:t>表</w:t>
    </w:r>
    <w:r w:rsidRPr="00CC0CAA">
      <w:rPr>
        <w:rFonts w:hint="eastAsia"/>
        <w:lang w:eastAsia="zh-CN"/>
      </w:rPr>
      <w:t>）</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68" w14:textId="77777777" w:rsidR="000B642F" w:rsidRDefault="000B642F" w:rsidP="0073640E">
    <w:pPr>
      <w:pStyle w:val="Header"/>
    </w:pPr>
    <w:r>
      <w:rPr>
        <w:lang w:eastAsia="zh-CN"/>
      </w:rPr>
      <w:t>–</w:t>
    </w:r>
    <w:r w:rsidRPr="00CC0CAA">
      <w:rPr>
        <w:lang w:eastAsia="zh-CN"/>
      </w:rPr>
      <w:t xml:space="preserve"> </w:t>
    </w:r>
    <w:r w:rsidRPr="00CC0CAA">
      <w:rPr>
        <w:rStyle w:val="PageNumber"/>
        <w:rFonts w:ascii="Calibri" w:eastAsia="STKaiti" w:hAnsi="Calibri"/>
      </w:rPr>
      <w:fldChar w:fldCharType="begin"/>
    </w:r>
    <w:r w:rsidRPr="00CC0CAA">
      <w:rPr>
        <w:rStyle w:val="PageNumber"/>
        <w:rFonts w:ascii="Calibri" w:eastAsia="STKaiti" w:hAnsi="Calibri"/>
        <w:lang w:eastAsia="zh-CN"/>
      </w:rPr>
      <w:instrText xml:space="preserve"> PAGE </w:instrText>
    </w:r>
    <w:r w:rsidRPr="00CC0CAA">
      <w:rPr>
        <w:rStyle w:val="PageNumber"/>
        <w:rFonts w:ascii="Calibri" w:eastAsia="STKaiti" w:hAnsi="Calibri"/>
      </w:rPr>
      <w:fldChar w:fldCharType="separate"/>
    </w:r>
    <w:r>
      <w:rPr>
        <w:rStyle w:val="PageNumber"/>
        <w:rFonts w:ascii="Calibri" w:eastAsia="STKaiti" w:hAnsi="Calibri"/>
        <w:noProof/>
        <w:lang w:eastAsia="zh-CN"/>
      </w:rPr>
      <w:t>282</w:t>
    </w:r>
    <w:r w:rsidRPr="00CC0CAA">
      <w:rPr>
        <w:rStyle w:val="PageNumber"/>
        <w:rFonts w:ascii="Calibri" w:eastAsia="STKaiti" w:hAnsi="Calibri"/>
      </w:rPr>
      <w:fldChar w:fldCharType="end"/>
    </w:r>
    <w:r w:rsidRPr="00CC0CAA">
      <w:rPr>
        <w:rStyle w:val="PageNumber"/>
        <w:rFonts w:ascii="Calibri" w:eastAsia="STKaiti" w:hAnsi="Calibri"/>
        <w:lang w:eastAsia="zh-CN"/>
      </w:rPr>
      <w:t xml:space="preserve"> </w:t>
    </w:r>
    <w:r>
      <w:rPr>
        <w:rStyle w:val="PageNumber"/>
        <w:rFonts w:ascii="Calibri" w:eastAsia="STKaiti" w:hAnsi="Calibri"/>
        <w:lang w:eastAsia="zh-CN"/>
      </w:rPr>
      <w:t>–</w:t>
    </w:r>
    <w:r w:rsidRPr="00CC0CAA">
      <w:rPr>
        <w:lang w:eastAsia="zh-CN"/>
      </w:rPr>
      <w:br/>
    </w:r>
    <w:r w:rsidRPr="00CC0CAA">
      <w:rPr>
        <w:rFonts w:hint="eastAsia"/>
        <w:lang w:eastAsia="zh-CN"/>
      </w:rPr>
      <w:t>（附录</w:t>
    </w:r>
    <w:r>
      <w:rPr>
        <w:lang w:eastAsia="zh-CN"/>
      </w:rPr>
      <w:t>C</w:t>
    </w:r>
    <w:r w:rsidRPr="00CC0CAA">
      <w:rPr>
        <w:rFonts w:hint="eastAsia"/>
        <w:lang w:eastAsia="zh-CN"/>
      </w:rPr>
      <w:t xml:space="preserve"> </w:t>
    </w:r>
    <w:r w:rsidRPr="00CC0CAA">
      <w:rPr>
        <w:rStyle w:val="PageNumber"/>
        <w:rFonts w:ascii="Calibri" w:eastAsia="STKaiti" w:hAnsi="Calibri"/>
        <w:lang w:eastAsia="zh-CN"/>
      </w:rPr>
      <w:t>–</w:t>
    </w:r>
    <w:r w:rsidRPr="00CC0CAA">
      <w:rPr>
        <w:rStyle w:val="PageNumber"/>
        <w:rFonts w:ascii="Calibri" w:eastAsia="STKaiti" w:hAnsi="Calibri" w:hint="eastAsia"/>
        <w:lang w:eastAsia="zh-CN"/>
      </w:rPr>
      <w:t xml:space="preserve"> </w:t>
    </w:r>
    <w:r>
      <w:rPr>
        <w:rFonts w:hint="eastAsia"/>
        <w:lang w:eastAsia="zh-CN"/>
      </w:rPr>
      <w:t>分类</w:t>
    </w:r>
    <w:r>
      <w:rPr>
        <w:lang w:eastAsia="zh-CN"/>
      </w:rPr>
      <w:t>表</w:t>
    </w:r>
    <w:r w:rsidRPr="00CC0CAA">
      <w:rPr>
        <w:rFonts w:hint="eastAsia"/>
        <w:lang w:eastAsia="zh-CN"/>
      </w:rPr>
      <w:t>）</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69" w14:textId="77777777" w:rsidR="000B642F" w:rsidRDefault="000B642F" w:rsidP="0073640E">
    <w:pPr>
      <w:pStyle w:val="Header"/>
    </w:pPr>
    <w:r>
      <w:rPr>
        <w:lang w:eastAsia="zh-CN"/>
      </w:rPr>
      <w:t>–</w:t>
    </w:r>
    <w:r w:rsidRPr="00CC0CAA">
      <w:rPr>
        <w:lang w:eastAsia="zh-CN"/>
      </w:rPr>
      <w:t xml:space="preserve"> </w:t>
    </w:r>
    <w:r w:rsidRPr="00CC0CAA">
      <w:rPr>
        <w:rStyle w:val="PageNumber"/>
        <w:rFonts w:ascii="Calibri" w:eastAsia="STKaiti" w:hAnsi="Calibri"/>
      </w:rPr>
      <w:fldChar w:fldCharType="begin"/>
    </w:r>
    <w:r w:rsidRPr="00CC0CAA">
      <w:rPr>
        <w:rStyle w:val="PageNumber"/>
        <w:rFonts w:ascii="Calibri" w:eastAsia="STKaiti" w:hAnsi="Calibri"/>
        <w:lang w:eastAsia="zh-CN"/>
      </w:rPr>
      <w:instrText xml:space="preserve"> PAGE </w:instrText>
    </w:r>
    <w:r w:rsidRPr="00CC0CAA">
      <w:rPr>
        <w:rStyle w:val="PageNumber"/>
        <w:rFonts w:ascii="Calibri" w:eastAsia="STKaiti" w:hAnsi="Calibri"/>
      </w:rPr>
      <w:fldChar w:fldCharType="separate"/>
    </w:r>
    <w:r>
      <w:rPr>
        <w:rStyle w:val="PageNumber"/>
        <w:rFonts w:ascii="Calibri" w:eastAsia="STKaiti" w:hAnsi="Calibri"/>
        <w:noProof/>
        <w:lang w:eastAsia="zh-CN"/>
      </w:rPr>
      <w:t>283</w:t>
    </w:r>
    <w:r w:rsidRPr="00CC0CAA">
      <w:rPr>
        <w:rStyle w:val="PageNumber"/>
        <w:rFonts w:ascii="Calibri" w:eastAsia="STKaiti" w:hAnsi="Calibri"/>
      </w:rPr>
      <w:fldChar w:fldCharType="end"/>
    </w:r>
    <w:r w:rsidRPr="00CC0CAA">
      <w:rPr>
        <w:rStyle w:val="PageNumber"/>
        <w:rFonts w:ascii="Calibri" w:eastAsia="STKaiti" w:hAnsi="Calibri"/>
        <w:lang w:eastAsia="zh-CN"/>
      </w:rPr>
      <w:t xml:space="preserve"> </w:t>
    </w:r>
    <w:r>
      <w:rPr>
        <w:rStyle w:val="PageNumber"/>
        <w:rFonts w:ascii="Calibri" w:eastAsia="STKaiti" w:hAnsi="Calibri"/>
        <w:lang w:eastAsia="zh-CN"/>
      </w:rPr>
      <w:t>–</w:t>
    </w:r>
    <w:r w:rsidRPr="00CC0CAA">
      <w:rPr>
        <w:lang w:eastAsia="zh-CN"/>
      </w:rPr>
      <w:br/>
    </w:r>
    <w:r w:rsidRPr="00CC0CAA">
      <w:rPr>
        <w:rFonts w:hint="eastAsia"/>
        <w:lang w:eastAsia="zh-CN"/>
      </w:rPr>
      <w:t>（附录</w:t>
    </w:r>
    <w:r>
      <w:rPr>
        <w:lang w:eastAsia="zh-CN"/>
      </w:rPr>
      <w:t>C</w:t>
    </w:r>
    <w:r w:rsidRPr="00CC0CAA">
      <w:rPr>
        <w:rFonts w:hint="eastAsia"/>
        <w:lang w:eastAsia="zh-CN"/>
      </w:rPr>
      <w:t xml:space="preserve"> </w:t>
    </w:r>
    <w:r w:rsidRPr="00CC0CAA">
      <w:rPr>
        <w:rStyle w:val="PageNumber"/>
        <w:rFonts w:ascii="Calibri" w:eastAsia="STKaiti" w:hAnsi="Calibri"/>
        <w:lang w:eastAsia="zh-CN"/>
      </w:rPr>
      <w:t>–</w:t>
    </w:r>
    <w:r w:rsidRPr="00CC0CAA">
      <w:rPr>
        <w:rStyle w:val="PageNumber"/>
        <w:rFonts w:ascii="Calibri" w:eastAsia="STKaiti" w:hAnsi="Calibri" w:hint="eastAsia"/>
        <w:lang w:eastAsia="zh-CN"/>
      </w:rPr>
      <w:t xml:space="preserve"> </w:t>
    </w:r>
    <w:r>
      <w:rPr>
        <w:rFonts w:hint="eastAsia"/>
        <w:lang w:eastAsia="zh-CN"/>
      </w:rPr>
      <w:t>分类</w:t>
    </w:r>
    <w:r>
      <w:rPr>
        <w:lang w:eastAsia="zh-CN"/>
      </w:rPr>
      <w:t>表</w:t>
    </w:r>
    <w:r w:rsidRPr="00CC0CAA">
      <w:rPr>
        <w:rFonts w:hint="eastAsia"/>
        <w:lang w:eastAsia="zh-CN"/>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054C3"/>
    <w:multiLevelType w:val="multilevel"/>
    <w:tmpl w:val="48BE3954"/>
    <w:lvl w:ilvl="0">
      <w:start w:val="1"/>
      <w:numFmt w:val="decimal"/>
      <w:lvlText w:val="Note %1."/>
      <w:lvlJc w:val="left"/>
      <w:pPr>
        <w:ind w:left="1134" w:hanging="113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F031BA1"/>
    <w:multiLevelType w:val="hybridMultilevel"/>
    <w:tmpl w:val="27B80CF0"/>
    <w:lvl w:ilvl="0" w:tplc="04090001">
      <w:start w:val="1"/>
      <w:numFmt w:val="bullet"/>
      <w:pStyle w:val="CEOHeader1"/>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F585254"/>
    <w:multiLevelType w:val="hybridMultilevel"/>
    <w:tmpl w:val="A55C5DAA"/>
    <w:lvl w:ilvl="0" w:tplc="08090001">
      <w:start w:val="1"/>
      <w:numFmt w:val="bullet"/>
      <w:lvlText w:val=""/>
      <w:lvlJc w:val="left"/>
      <w:pPr>
        <w:ind w:left="1080" w:hanging="360"/>
      </w:pPr>
      <w:rPr>
        <w:rFonts w:ascii="Symbol" w:hAnsi="Symbol" w:hint="default"/>
      </w:rPr>
    </w:lvl>
    <w:lvl w:ilvl="1" w:tplc="A06A9DC0">
      <w:start w:val="1"/>
      <w:numFmt w:val="bullet"/>
      <w:lvlText w:val="o"/>
      <w:lvlJc w:val="left"/>
      <w:pPr>
        <w:ind w:left="1800" w:hanging="360"/>
      </w:pPr>
      <w:rPr>
        <w:rFonts w:ascii="Courier New" w:hAnsi="Courier New" w:cs="Courier New" w:hint="default"/>
        <w:lang w:val="en-GB"/>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AF60FA7"/>
    <w:multiLevelType w:val="hybridMultilevel"/>
    <w:tmpl w:val="C8E0D2A8"/>
    <w:lvl w:ilvl="0" w:tplc="FD740AFA">
      <w:start w:val="1"/>
      <w:numFmt w:val="decimal"/>
      <w:pStyle w:val="elencopuntatononrientrato"/>
      <w:lvlText w:val="%1."/>
      <w:lvlJc w:val="left"/>
      <w:pPr>
        <w:ind w:left="786" w:hanging="360"/>
      </w:pPr>
      <w:rPr>
        <w:b w:val="0"/>
        <w:bCs w:val="0"/>
        <w:i w:val="0"/>
        <w:color w:val="auto"/>
      </w:rPr>
    </w:lvl>
    <w:lvl w:ilvl="1" w:tplc="08090017">
      <w:start w:val="1"/>
      <w:numFmt w:val="lowerLetter"/>
      <w:lvlText w:val="%2)"/>
      <w:lvlJc w:val="left"/>
      <w:pPr>
        <w:ind w:left="1505" w:hanging="360"/>
      </w:pPr>
    </w:lvl>
    <w:lvl w:ilvl="2" w:tplc="0809001B">
      <w:start w:val="1"/>
      <w:numFmt w:val="lowerRoman"/>
      <w:lvlText w:val="%3."/>
      <w:lvlJc w:val="right"/>
      <w:pPr>
        <w:ind w:left="2225" w:hanging="180"/>
      </w:pPr>
    </w:lvl>
    <w:lvl w:ilvl="3" w:tplc="0809000F">
      <w:start w:val="1"/>
      <w:numFmt w:val="decimal"/>
      <w:lvlText w:val="%4."/>
      <w:lvlJc w:val="left"/>
      <w:pPr>
        <w:ind w:left="2945" w:hanging="360"/>
      </w:pPr>
    </w:lvl>
    <w:lvl w:ilvl="4" w:tplc="08090019">
      <w:start w:val="1"/>
      <w:numFmt w:val="lowerLetter"/>
      <w:lvlText w:val="%5."/>
      <w:lvlJc w:val="left"/>
      <w:pPr>
        <w:ind w:left="3665" w:hanging="360"/>
      </w:pPr>
    </w:lvl>
    <w:lvl w:ilvl="5" w:tplc="0809001B">
      <w:start w:val="1"/>
      <w:numFmt w:val="lowerRoman"/>
      <w:lvlText w:val="%6."/>
      <w:lvlJc w:val="right"/>
      <w:pPr>
        <w:ind w:left="4385" w:hanging="180"/>
      </w:pPr>
    </w:lvl>
    <w:lvl w:ilvl="6" w:tplc="0809000F">
      <w:start w:val="1"/>
      <w:numFmt w:val="decimal"/>
      <w:lvlText w:val="%7."/>
      <w:lvlJc w:val="left"/>
      <w:pPr>
        <w:ind w:left="5105" w:hanging="360"/>
      </w:pPr>
    </w:lvl>
    <w:lvl w:ilvl="7" w:tplc="08090019">
      <w:start w:val="1"/>
      <w:numFmt w:val="lowerLetter"/>
      <w:lvlText w:val="%8."/>
      <w:lvlJc w:val="left"/>
      <w:pPr>
        <w:ind w:left="5825" w:hanging="360"/>
      </w:pPr>
    </w:lvl>
    <w:lvl w:ilvl="8" w:tplc="0809001B">
      <w:start w:val="1"/>
      <w:numFmt w:val="lowerRoman"/>
      <w:lvlText w:val="%9."/>
      <w:lvlJc w:val="right"/>
      <w:pPr>
        <w:ind w:left="6545" w:hanging="180"/>
      </w:pPr>
    </w:lvl>
  </w:abstractNum>
  <w:abstractNum w:abstractNumId="4" w15:restartNumberingAfterBreak="0">
    <w:nsid w:val="1EB121FE"/>
    <w:multiLevelType w:val="hybridMultilevel"/>
    <w:tmpl w:val="A4E80564"/>
    <w:lvl w:ilvl="0" w:tplc="95B85F26">
      <w:start w:val="2"/>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241A2214"/>
    <w:multiLevelType w:val="hybridMultilevel"/>
    <w:tmpl w:val="FA7E7406"/>
    <w:lvl w:ilvl="0" w:tplc="B0589440">
      <w:start w:val="2"/>
      <w:numFmt w:val="bullet"/>
      <w:lvlText w:val="-"/>
      <w:lvlJc w:val="left"/>
      <w:pPr>
        <w:tabs>
          <w:tab w:val="num" w:pos="1800"/>
        </w:tabs>
        <w:ind w:left="1800" w:hanging="360"/>
      </w:pPr>
      <w:rPr>
        <w:rFonts w:ascii="Times New Roman" w:eastAsia="Times New Roman" w:hAnsi="Times New Roman" w:cs="Times New Roman"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294E6247"/>
    <w:multiLevelType w:val="multilevel"/>
    <w:tmpl w:val="23F6E536"/>
    <w:styleLink w:val="Style3"/>
    <w:lvl w:ilvl="0">
      <w:start w:val="1"/>
      <w:numFmt w:val="decimal"/>
      <w:lvlText w:val="Note %1."/>
      <w:lvlJc w:val="left"/>
      <w:pPr>
        <w:ind w:left="1418" w:hanging="141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9651AD3"/>
    <w:multiLevelType w:val="hybridMultilevel"/>
    <w:tmpl w:val="C4B036B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A4A59E2"/>
    <w:multiLevelType w:val="multilevel"/>
    <w:tmpl w:val="E0221A5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9" w15:restartNumberingAfterBreak="0">
    <w:nsid w:val="405420E2"/>
    <w:multiLevelType w:val="hybridMultilevel"/>
    <w:tmpl w:val="42CE3D0C"/>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453373A1"/>
    <w:multiLevelType w:val="multilevel"/>
    <w:tmpl w:val="5AE68B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5BE5903"/>
    <w:multiLevelType w:val="hybridMultilevel"/>
    <w:tmpl w:val="F2287B58"/>
    <w:lvl w:ilvl="0" w:tplc="B686CD98">
      <w:start w:val="8"/>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B720F4C"/>
    <w:multiLevelType w:val="multilevel"/>
    <w:tmpl w:val="AB58DD3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4C510F28"/>
    <w:multiLevelType w:val="hybridMultilevel"/>
    <w:tmpl w:val="0D7ED71A"/>
    <w:lvl w:ilvl="0" w:tplc="84564678">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C551379"/>
    <w:multiLevelType w:val="hybridMultilevel"/>
    <w:tmpl w:val="73644DCE"/>
    <w:lvl w:ilvl="0" w:tplc="4288DE00">
      <w:start w:val="1"/>
      <w:numFmt w:val="lowerLetter"/>
      <w:pStyle w:val="CEONormal"/>
      <w:lvlText w:val="%1)"/>
      <w:lvlJc w:val="left"/>
      <w:pPr>
        <w:tabs>
          <w:tab w:val="num" w:pos="795"/>
        </w:tabs>
        <w:ind w:left="795" w:hanging="795"/>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D7F4C65"/>
    <w:multiLevelType w:val="hybridMultilevel"/>
    <w:tmpl w:val="293898D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5B505F91"/>
    <w:multiLevelType w:val="hybridMultilevel"/>
    <w:tmpl w:val="7EC83216"/>
    <w:lvl w:ilvl="0" w:tplc="F5D0B4A8">
      <w:numFmt w:val="bullet"/>
      <w:pStyle w:val="CEOIndent-bulletsblackdot"/>
      <w:lvlText w:val=""/>
      <w:lvlJc w:val="left"/>
      <w:pPr>
        <w:tabs>
          <w:tab w:val="num" w:pos="284"/>
        </w:tabs>
        <w:ind w:left="284" w:hanging="284"/>
      </w:pPr>
      <w:rPr>
        <w:rFonts w:ascii="Symbol" w:hAnsi="Symbol" w:hint="default"/>
      </w:rPr>
    </w:lvl>
    <w:lvl w:ilvl="1" w:tplc="1C38ED12" w:tentative="1">
      <w:start w:val="1"/>
      <w:numFmt w:val="bullet"/>
      <w:lvlText w:val="o"/>
      <w:lvlJc w:val="left"/>
      <w:pPr>
        <w:tabs>
          <w:tab w:val="num" w:pos="1440"/>
        </w:tabs>
        <w:ind w:left="1440" w:hanging="360"/>
      </w:pPr>
      <w:rPr>
        <w:rFonts w:ascii="Courier New" w:hAnsi="Courier New" w:cs="Courier New" w:hint="default"/>
      </w:rPr>
    </w:lvl>
    <w:lvl w:ilvl="2" w:tplc="48E83A76" w:tentative="1">
      <w:start w:val="1"/>
      <w:numFmt w:val="bullet"/>
      <w:lvlText w:val=""/>
      <w:lvlJc w:val="left"/>
      <w:pPr>
        <w:tabs>
          <w:tab w:val="num" w:pos="2160"/>
        </w:tabs>
        <w:ind w:left="2160" w:hanging="360"/>
      </w:pPr>
      <w:rPr>
        <w:rFonts w:ascii="Wingdings" w:hAnsi="Wingdings" w:hint="default"/>
      </w:rPr>
    </w:lvl>
    <w:lvl w:ilvl="3" w:tplc="0D62DF38" w:tentative="1">
      <w:start w:val="1"/>
      <w:numFmt w:val="bullet"/>
      <w:lvlText w:val=""/>
      <w:lvlJc w:val="left"/>
      <w:pPr>
        <w:tabs>
          <w:tab w:val="num" w:pos="2880"/>
        </w:tabs>
        <w:ind w:left="2880" w:hanging="360"/>
      </w:pPr>
      <w:rPr>
        <w:rFonts w:ascii="Symbol" w:hAnsi="Symbol" w:hint="default"/>
      </w:rPr>
    </w:lvl>
    <w:lvl w:ilvl="4" w:tplc="F61E7A78" w:tentative="1">
      <w:start w:val="1"/>
      <w:numFmt w:val="bullet"/>
      <w:lvlText w:val="o"/>
      <w:lvlJc w:val="left"/>
      <w:pPr>
        <w:tabs>
          <w:tab w:val="num" w:pos="3600"/>
        </w:tabs>
        <w:ind w:left="3600" w:hanging="360"/>
      </w:pPr>
      <w:rPr>
        <w:rFonts w:ascii="Courier New" w:hAnsi="Courier New" w:cs="Courier New" w:hint="default"/>
      </w:rPr>
    </w:lvl>
    <w:lvl w:ilvl="5" w:tplc="C5F8675A" w:tentative="1">
      <w:start w:val="1"/>
      <w:numFmt w:val="bullet"/>
      <w:lvlText w:val=""/>
      <w:lvlJc w:val="left"/>
      <w:pPr>
        <w:tabs>
          <w:tab w:val="num" w:pos="4320"/>
        </w:tabs>
        <w:ind w:left="4320" w:hanging="360"/>
      </w:pPr>
      <w:rPr>
        <w:rFonts w:ascii="Wingdings" w:hAnsi="Wingdings" w:hint="default"/>
      </w:rPr>
    </w:lvl>
    <w:lvl w:ilvl="6" w:tplc="84540BA8" w:tentative="1">
      <w:start w:val="1"/>
      <w:numFmt w:val="bullet"/>
      <w:lvlText w:val=""/>
      <w:lvlJc w:val="left"/>
      <w:pPr>
        <w:tabs>
          <w:tab w:val="num" w:pos="5040"/>
        </w:tabs>
        <w:ind w:left="5040" w:hanging="360"/>
      </w:pPr>
      <w:rPr>
        <w:rFonts w:ascii="Symbol" w:hAnsi="Symbol" w:hint="default"/>
      </w:rPr>
    </w:lvl>
    <w:lvl w:ilvl="7" w:tplc="98C4460A" w:tentative="1">
      <w:start w:val="1"/>
      <w:numFmt w:val="bullet"/>
      <w:lvlText w:val="o"/>
      <w:lvlJc w:val="left"/>
      <w:pPr>
        <w:tabs>
          <w:tab w:val="num" w:pos="5760"/>
        </w:tabs>
        <w:ind w:left="5760" w:hanging="360"/>
      </w:pPr>
      <w:rPr>
        <w:rFonts w:ascii="Courier New" w:hAnsi="Courier New" w:cs="Courier New" w:hint="default"/>
      </w:rPr>
    </w:lvl>
    <w:lvl w:ilvl="8" w:tplc="4AFCF47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E825FF"/>
    <w:multiLevelType w:val="hybridMultilevel"/>
    <w:tmpl w:val="C32C1960"/>
    <w:lvl w:ilvl="0" w:tplc="AEB83AF6">
      <w:start w:val="1"/>
      <w:numFmt w:val="decimal"/>
      <w:lvlText w:val="%1."/>
      <w:lvlJc w:val="left"/>
      <w:pPr>
        <w:tabs>
          <w:tab w:val="num" w:pos="720"/>
        </w:tabs>
        <w:ind w:left="720" w:hanging="360"/>
      </w:pPr>
    </w:lvl>
    <w:lvl w:ilvl="1" w:tplc="68F0551C" w:tentative="1">
      <w:start w:val="1"/>
      <w:numFmt w:val="bullet"/>
      <w:lvlText w:val="o"/>
      <w:lvlJc w:val="left"/>
      <w:pPr>
        <w:tabs>
          <w:tab w:val="num" w:pos="2520"/>
        </w:tabs>
        <w:ind w:left="2520" w:hanging="360"/>
      </w:pPr>
      <w:rPr>
        <w:rFonts w:ascii="Courier New" w:hAnsi="Courier New" w:hint="default"/>
      </w:rPr>
    </w:lvl>
    <w:lvl w:ilvl="2" w:tplc="7A1E61A2" w:tentative="1">
      <w:start w:val="1"/>
      <w:numFmt w:val="bullet"/>
      <w:lvlText w:val=""/>
      <w:lvlJc w:val="left"/>
      <w:pPr>
        <w:tabs>
          <w:tab w:val="num" w:pos="3240"/>
        </w:tabs>
        <w:ind w:left="3240" w:hanging="360"/>
      </w:pPr>
      <w:rPr>
        <w:rFonts w:ascii="Wingdings" w:hAnsi="Wingdings" w:hint="default"/>
      </w:rPr>
    </w:lvl>
    <w:lvl w:ilvl="3" w:tplc="1BDC4134" w:tentative="1">
      <w:start w:val="1"/>
      <w:numFmt w:val="bullet"/>
      <w:lvlText w:val=""/>
      <w:lvlJc w:val="left"/>
      <w:pPr>
        <w:tabs>
          <w:tab w:val="num" w:pos="3960"/>
        </w:tabs>
        <w:ind w:left="3960" w:hanging="360"/>
      </w:pPr>
      <w:rPr>
        <w:rFonts w:ascii="Symbol" w:hAnsi="Symbol" w:hint="default"/>
      </w:rPr>
    </w:lvl>
    <w:lvl w:ilvl="4" w:tplc="B388E106" w:tentative="1">
      <w:start w:val="1"/>
      <w:numFmt w:val="bullet"/>
      <w:lvlText w:val="o"/>
      <w:lvlJc w:val="left"/>
      <w:pPr>
        <w:tabs>
          <w:tab w:val="num" w:pos="4680"/>
        </w:tabs>
        <w:ind w:left="4680" w:hanging="360"/>
      </w:pPr>
      <w:rPr>
        <w:rFonts w:ascii="Courier New" w:hAnsi="Courier New" w:hint="default"/>
      </w:rPr>
    </w:lvl>
    <w:lvl w:ilvl="5" w:tplc="5994FA44" w:tentative="1">
      <w:start w:val="1"/>
      <w:numFmt w:val="bullet"/>
      <w:lvlText w:val=""/>
      <w:lvlJc w:val="left"/>
      <w:pPr>
        <w:tabs>
          <w:tab w:val="num" w:pos="5400"/>
        </w:tabs>
        <w:ind w:left="5400" w:hanging="360"/>
      </w:pPr>
      <w:rPr>
        <w:rFonts w:ascii="Wingdings" w:hAnsi="Wingdings" w:hint="default"/>
      </w:rPr>
    </w:lvl>
    <w:lvl w:ilvl="6" w:tplc="BCDE2D2E" w:tentative="1">
      <w:start w:val="1"/>
      <w:numFmt w:val="bullet"/>
      <w:lvlText w:val=""/>
      <w:lvlJc w:val="left"/>
      <w:pPr>
        <w:tabs>
          <w:tab w:val="num" w:pos="6120"/>
        </w:tabs>
        <w:ind w:left="6120" w:hanging="360"/>
      </w:pPr>
      <w:rPr>
        <w:rFonts w:ascii="Symbol" w:hAnsi="Symbol" w:hint="default"/>
      </w:rPr>
    </w:lvl>
    <w:lvl w:ilvl="7" w:tplc="AA3A11D2" w:tentative="1">
      <w:start w:val="1"/>
      <w:numFmt w:val="bullet"/>
      <w:lvlText w:val="o"/>
      <w:lvlJc w:val="left"/>
      <w:pPr>
        <w:tabs>
          <w:tab w:val="num" w:pos="6840"/>
        </w:tabs>
        <w:ind w:left="6840" w:hanging="360"/>
      </w:pPr>
      <w:rPr>
        <w:rFonts w:ascii="Courier New" w:hAnsi="Courier New" w:hint="default"/>
      </w:rPr>
    </w:lvl>
    <w:lvl w:ilvl="8" w:tplc="1AC8D8B8" w:tentative="1">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5E3A0F87"/>
    <w:multiLevelType w:val="singleLevel"/>
    <w:tmpl w:val="CFD227FE"/>
    <w:lvl w:ilvl="0">
      <w:start w:val="2"/>
      <w:numFmt w:val="decimal"/>
      <w:pStyle w:val="AfterFirstPara"/>
      <w:lvlText w:val="%1."/>
      <w:lvlJc w:val="left"/>
      <w:pPr>
        <w:tabs>
          <w:tab w:val="num" w:pos="567"/>
        </w:tabs>
      </w:pPr>
      <w:rPr>
        <w:rFonts w:cs="Times New Roman"/>
      </w:rPr>
    </w:lvl>
  </w:abstractNum>
  <w:abstractNum w:abstractNumId="19" w15:restartNumberingAfterBreak="0">
    <w:nsid w:val="618E432D"/>
    <w:multiLevelType w:val="hybridMultilevel"/>
    <w:tmpl w:val="A8F2CD82"/>
    <w:lvl w:ilvl="0" w:tplc="01E85EC2">
      <w:numFmt w:val="none"/>
      <w:lvlText w:val=""/>
      <w:lvlJc w:val="left"/>
      <w:pPr>
        <w:tabs>
          <w:tab w:val="num" w:pos="360"/>
        </w:tabs>
      </w:pPr>
    </w:lvl>
    <w:lvl w:ilvl="1" w:tplc="A6883356" w:tentative="1">
      <w:start w:val="1"/>
      <w:numFmt w:val="lowerLetter"/>
      <w:lvlText w:val="%2."/>
      <w:lvlJc w:val="left"/>
      <w:pPr>
        <w:tabs>
          <w:tab w:val="num" w:pos="1440"/>
        </w:tabs>
        <w:ind w:left="1440" w:hanging="360"/>
      </w:pPr>
    </w:lvl>
    <w:lvl w:ilvl="2" w:tplc="E97CEFDA" w:tentative="1">
      <w:start w:val="1"/>
      <w:numFmt w:val="lowerRoman"/>
      <w:lvlText w:val="%3."/>
      <w:lvlJc w:val="right"/>
      <w:pPr>
        <w:tabs>
          <w:tab w:val="num" w:pos="2160"/>
        </w:tabs>
        <w:ind w:left="2160" w:hanging="180"/>
      </w:pPr>
    </w:lvl>
    <w:lvl w:ilvl="3" w:tplc="41FCAE26" w:tentative="1">
      <w:start w:val="1"/>
      <w:numFmt w:val="decimal"/>
      <w:lvlText w:val="%4."/>
      <w:lvlJc w:val="left"/>
      <w:pPr>
        <w:tabs>
          <w:tab w:val="num" w:pos="2880"/>
        </w:tabs>
        <w:ind w:left="2880" w:hanging="360"/>
      </w:pPr>
    </w:lvl>
    <w:lvl w:ilvl="4" w:tplc="6582BF02" w:tentative="1">
      <w:start w:val="1"/>
      <w:numFmt w:val="lowerLetter"/>
      <w:lvlText w:val="%5."/>
      <w:lvlJc w:val="left"/>
      <w:pPr>
        <w:tabs>
          <w:tab w:val="num" w:pos="3600"/>
        </w:tabs>
        <w:ind w:left="3600" w:hanging="360"/>
      </w:pPr>
    </w:lvl>
    <w:lvl w:ilvl="5" w:tplc="51AED926" w:tentative="1">
      <w:start w:val="1"/>
      <w:numFmt w:val="lowerRoman"/>
      <w:lvlText w:val="%6."/>
      <w:lvlJc w:val="right"/>
      <w:pPr>
        <w:tabs>
          <w:tab w:val="num" w:pos="4320"/>
        </w:tabs>
        <w:ind w:left="4320" w:hanging="180"/>
      </w:pPr>
    </w:lvl>
    <w:lvl w:ilvl="6" w:tplc="49F81CEC" w:tentative="1">
      <w:start w:val="1"/>
      <w:numFmt w:val="decimal"/>
      <w:lvlText w:val="%7."/>
      <w:lvlJc w:val="left"/>
      <w:pPr>
        <w:tabs>
          <w:tab w:val="num" w:pos="5040"/>
        </w:tabs>
        <w:ind w:left="5040" w:hanging="360"/>
      </w:pPr>
    </w:lvl>
    <w:lvl w:ilvl="7" w:tplc="05E8F2A6" w:tentative="1">
      <w:start w:val="1"/>
      <w:numFmt w:val="lowerLetter"/>
      <w:lvlText w:val="%8."/>
      <w:lvlJc w:val="left"/>
      <w:pPr>
        <w:tabs>
          <w:tab w:val="num" w:pos="5760"/>
        </w:tabs>
        <w:ind w:left="5760" w:hanging="360"/>
      </w:pPr>
    </w:lvl>
    <w:lvl w:ilvl="8" w:tplc="925A1AF2" w:tentative="1">
      <w:start w:val="1"/>
      <w:numFmt w:val="lowerRoman"/>
      <w:lvlText w:val="%9."/>
      <w:lvlJc w:val="right"/>
      <w:pPr>
        <w:tabs>
          <w:tab w:val="num" w:pos="6480"/>
        </w:tabs>
        <w:ind w:left="6480" w:hanging="180"/>
      </w:pPr>
    </w:lvl>
  </w:abstractNum>
  <w:abstractNum w:abstractNumId="20" w15:restartNumberingAfterBreak="0">
    <w:nsid w:val="669774B0"/>
    <w:multiLevelType w:val="hybridMultilevel"/>
    <w:tmpl w:val="C32C1960"/>
    <w:lvl w:ilvl="0" w:tplc="3020AF06">
      <w:start w:val="1"/>
      <w:numFmt w:val="bullet"/>
      <w:lvlText w:val=""/>
      <w:lvlJc w:val="left"/>
      <w:pPr>
        <w:tabs>
          <w:tab w:val="num" w:pos="1800"/>
        </w:tabs>
        <w:ind w:left="1800" w:hanging="360"/>
      </w:pPr>
      <w:rPr>
        <w:rFonts w:ascii="Symbol" w:hAnsi="Symbol" w:hint="default"/>
      </w:rPr>
    </w:lvl>
    <w:lvl w:ilvl="1" w:tplc="1794C71A" w:tentative="1">
      <w:start w:val="1"/>
      <w:numFmt w:val="bullet"/>
      <w:lvlText w:val="o"/>
      <w:lvlJc w:val="left"/>
      <w:pPr>
        <w:tabs>
          <w:tab w:val="num" w:pos="2520"/>
        </w:tabs>
        <w:ind w:left="2520" w:hanging="360"/>
      </w:pPr>
      <w:rPr>
        <w:rFonts w:ascii="Courier New" w:hAnsi="Courier New" w:hint="default"/>
      </w:rPr>
    </w:lvl>
    <w:lvl w:ilvl="2" w:tplc="B46AE8EE" w:tentative="1">
      <w:start w:val="1"/>
      <w:numFmt w:val="bullet"/>
      <w:lvlText w:val=""/>
      <w:lvlJc w:val="left"/>
      <w:pPr>
        <w:tabs>
          <w:tab w:val="num" w:pos="3240"/>
        </w:tabs>
        <w:ind w:left="3240" w:hanging="360"/>
      </w:pPr>
      <w:rPr>
        <w:rFonts w:ascii="Wingdings" w:hAnsi="Wingdings" w:hint="default"/>
      </w:rPr>
    </w:lvl>
    <w:lvl w:ilvl="3" w:tplc="9FE830B0" w:tentative="1">
      <w:start w:val="1"/>
      <w:numFmt w:val="bullet"/>
      <w:lvlText w:val=""/>
      <w:lvlJc w:val="left"/>
      <w:pPr>
        <w:tabs>
          <w:tab w:val="num" w:pos="3960"/>
        </w:tabs>
        <w:ind w:left="3960" w:hanging="360"/>
      </w:pPr>
      <w:rPr>
        <w:rFonts w:ascii="Symbol" w:hAnsi="Symbol" w:hint="default"/>
      </w:rPr>
    </w:lvl>
    <w:lvl w:ilvl="4" w:tplc="467C9510" w:tentative="1">
      <w:start w:val="1"/>
      <w:numFmt w:val="bullet"/>
      <w:lvlText w:val="o"/>
      <w:lvlJc w:val="left"/>
      <w:pPr>
        <w:tabs>
          <w:tab w:val="num" w:pos="4680"/>
        </w:tabs>
        <w:ind w:left="4680" w:hanging="360"/>
      </w:pPr>
      <w:rPr>
        <w:rFonts w:ascii="Courier New" w:hAnsi="Courier New" w:hint="default"/>
      </w:rPr>
    </w:lvl>
    <w:lvl w:ilvl="5" w:tplc="2AFC65FC" w:tentative="1">
      <w:start w:val="1"/>
      <w:numFmt w:val="bullet"/>
      <w:lvlText w:val=""/>
      <w:lvlJc w:val="left"/>
      <w:pPr>
        <w:tabs>
          <w:tab w:val="num" w:pos="5400"/>
        </w:tabs>
        <w:ind w:left="5400" w:hanging="360"/>
      </w:pPr>
      <w:rPr>
        <w:rFonts w:ascii="Wingdings" w:hAnsi="Wingdings" w:hint="default"/>
      </w:rPr>
    </w:lvl>
    <w:lvl w:ilvl="6" w:tplc="D00A9A5A" w:tentative="1">
      <w:start w:val="1"/>
      <w:numFmt w:val="bullet"/>
      <w:lvlText w:val=""/>
      <w:lvlJc w:val="left"/>
      <w:pPr>
        <w:tabs>
          <w:tab w:val="num" w:pos="6120"/>
        </w:tabs>
        <w:ind w:left="6120" w:hanging="360"/>
      </w:pPr>
      <w:rPr>
        <w:rFonts w:ascii="Symbol" w:hAnsi="Symbol" w:hint="default"/>
      </w:rPr>
    </w:lvl>
    <w:lvl w:ilvl="7" w:tplc="02722BF0" w:tentative="1">
      <w:start w:val="1"/>
      <w:numFmt w:val="bullet"/>
      <w:lvlText w:val="o"/>
      <w:lvlJc w:val="left"/>
      <w:pPr>
        <w:tabs>
          <w:tab w:val="num" w:pos="6840"/>
        </w:tabs>
        <w:ind w:left="6840" w:hanging="360"/>
      </w:pPr>
      <w:rPr>
        <w:rFonts w:ascii="Courier New" w:hAnsi="Courier New" w:hint="default"/>
      </w:rPr>
    </w:lvl>
    <w:lvl w:ilvl="8" w:tplc="2208D558" w:tentative="1">
      <w:start w:val="1"/>
      <w:numFmt w:val="bullet"/>
      <w:lvlText w:val=""/>
      <w:lvlJc w:val="left"/>
      <w:pPr>
        <w:tabs>
          <w:tab w:val="num" w:pos="7560"/>
        </w:tabs>
        <w:ind w:left="7560" w:hanging="360"/>
      </w:pPr>
      <w:rPr>
        <w:rFonts w:ascii="Wingdings" w:hAnsi="Wingdings" w:hint="default"/>
      </w:rPr>
    </w:lvl>
  </w:abstractNum>
  <w:abstractNum w:abstractNumId="21" w15:restartNumberingAfterBreak="0">
    <w:nsid w:val="674634EA"/>
    <w:multiLevelType w:val="hybridMultilevel"/>
    <w:tmpl w:val="57EEB284"/>
    <w:lvl w:ilvl="0" w:tplc="F124707E">
      <w:start w:val="1"/>
      <w:numFmt w:val="bullet"/>
      <w:pStyle w:val="elencopuntato1"/>
      <w:lvlText w:val=""/>
      <w:lvlJc w:val="left"/>
      <w:pPr>
        <w:ind w:left="900"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2" w15:restartNumberingAfterBreak="0">
    <w:nsid w:val="6C0D77BF"/>
    <w:multiLevelType w:val="hybridMultilevel"/>
    <w:tmpl w:val="C1021692"/>
    <w:lvl w:ilvl="0" w:tplc="31248B18">
      <w:start w:val="1"/>
      <w:numFmt w:val="bullet"/>
      <w:pStyle w:val="Listhighlighted"/>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E615989"/>
    <w:multiLevelType w:val="hybridMultilevel"/>
    <w:tmpl w:val="75746306"/>
    <w:lvl w:ilvl="0" w:tplc="FB8CD860">
      <w:numFmt w:val="bullet"/>
      <w:lvlText w:val="-"/>
      <w:lvlJc w:val="left"/>
      <w:pPr>
        <w:ind w:left="720" w:hanging="360"/>
      </w:pPr>
      <w:rPr>
        <w:rFonts w:ascii="Calibri" w:eastAsia="SimSun" w:hAnsi="Calibri"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0EB3630"/>
    <w:multiLevelType w:val="hybridMultilevel"/>
    <w:tmpl w:val="22047582"/>
    <w:lvl w:ilvl="0" w:tplc="E3468B26">
      <w:start w:val="1"/>
      <w:numFmt w:val="bullet"/>
      <w:lvlText w:val=""/>
      <w:lvlJc w:val="left"/>
      <w:pPr>
        <w:tabs>
          <w:tab w:val="num" w:pos="720"/>
        </w:tabs>
        <w:ind w:left="720" w:hanging="360"/>
      </w:pPr>
      <w:rPr>
        <w:rFonts w:ascii="Symbol" w:hAnsi="Symbol" w:hint="default"/>
      </w:rPr>
    </w:lvl>
    <w:lvl w:ilvl="1" w:tplc="DD2ED284" w:tentative="1">
      <w:start w:val="1"/>
      <w:numFmt w:val="bullet"/>
      <w:lvlText w:val="o"/>
      <w:lvlJc w:val="left"/>
      <w:pPr>
        <w:tabs>
          <w:tab w:val="num" w:pos="1440"/>
        </w:tabs>
        <w:ind w:left="1440" w:hanging="360"/>
      </w:pPr>
      <w:rPr>
        <w:rFonts w:ascii="Courier New" w:hAnsi="Courier New" w:hint="default"/>
      </w:rPr>
    </w:lvl>
    <w:lvl w:ilvl="2" w:tplc="AA34F6EA" w:tentative="1">
      <w:start w:val="1"/>
      <w:numFmt w:val="bullet"/>
      <w:lvlText w:val=""/>
      <w:lvlJc w:val="left"/>
      <w:pPr>
        <w:tabs>
          <w:tab w:val="num" w:pos="2160"/>
        </w:tabs>
        <w:ind w:left="2160" w:hanging="360"/>
      </w:pPr>
      <w:rPr>
        <w:rFonts w:ascii="Wingdings" w:hAnsi="Wingdings" w:hint="default"/>
      </w:rPr>
    </w:lvl>
    <w:lvl w:ilvl="3" w:tplc="06345C28" w:tentative="1">
      <w:start w:val="1"/>
      <w:numFmt w:val="bullet"/>
      <w:lvlText w:val=""/>
      <w:lvlJc w:val="left"/>
      <w:pPr>
        <w:tabs>
          <w:tab w:val="num" w:pos="2880"/>
        </w:tabs>
        <w:ind w:left="2880" w:hanging="360"/>
      </w:pPr>
      <w:rPr>
        <w:rFonts w:ascii="Symbol" w:hAnsi="Symbol" w:hint="default"/>
      </w:rPr>
    </w:lvl>
    <w:lvl w:ilvl="4" w:tplc="FAF2B3C0" w:tentative="1">
      <w:start w:val="1"/>
      <w:numFmt w:val="bullet"/>
      <w:lvlText w:val="o"/>
      <w:lvlJc w:val="left"/>
      <w:pPr>
        <w:tabs>
          <w:tab w:val="num" w:pos="3600"/>
        </w:tabs>
        <w:ind w:left="3600" w:hanging="360"/>
      </w:pPr>
      <w:rPr>
        <w:rFonts w:ascii="Courier New" w:hAnsi="Courier New" w:hint="default"/>
      </w:rPr>
    </w:lvl>
    <w:lvl w:ilvl="5" w:tplc="61D811AE" w:tentative="1">
      <w:start w:val="1"/>
      <w:numFmt w:val="bullet"/>
      <w:lvlText w:val=""/>
      <w:lvlJc w:val="left"/>
      <w:pPr>
        <w:tabs>
          <w:tab w:val="num" w:pos="4320"/>
        </w:tabs>
        <w:ind w:left="4320" w:hanging="360"/>
      </w:pPr>
      <w:rPr>
        <w:rFonts w:ascii="Wingdings" w:hAnsi="Wingdings" w:hint="default"/>
      </w:rPr>
    </w:lvl>
    <w:lvl w:ilvl="6" w:tplc="B330D62A" w:tentative="1">
      <w:start w:val="1"/>
      <w:numFmt w:val="bullet"/>
      <w:lvlText w:val=""/>
      <w:lvlJc w:val="left"/>
      <w:pPr>
        <w:tabs>
          <w:tab w:val="num" w:pos="5040"/>
        </w:tabs>
        <w:ind w:left="5040" w:hanging="360"/>
      </w:pPr>
      <w:rPr>
        <w:rFonts w:ascii="Symbol" w:hAnsi="Symbol" w:hint="default"/>
      </w:rPr>
    </w:lvl>
    <w:lvl w:ilvl="7" w:tplc="91EA6964" w:tentative="1">
      <w:start w:val="1"/>
      <w:numFmt w:val="bullet"/>
      <w:lvlText w:val="o"/>
      <w:lvlJc w:val="left"/>
      <w:pPr>
        <w:tabs>
          <w:tab w:val="num" w:pos="5760"/>
        </w:tabs>
        <w:ind w:left="5760" w:hanging="360"/>
      </w:pPr>
      <w:rPr>
        <w:rFonts w:ascii="Courier New" w:hAnsi="Courier New" w:hint="default"/>
      </w:rPr>
    </w:lvl>
    <w:lvl w:ilvl="8" w:tplc="9B1C266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423412C"/>
    <w:multiLevelType w:val="multilevel"/>
    <w:tmpl w:val="59B25D6E"/>
    <w:styleLink w:val="Style2"/>
    <w:lvl w:ilvl="0">
      <w:start w:val="1"/>
      <w:numFmt w:val="decimal"/>
      <w:lvlText w:val="Note %1."/>
      <w:lvlJc w:val="left"/>
      <w:pPr>
        <w:ind w:left="1701" w:hanging="170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6AD2448"/>
    <w:multiLevelType w:val="multilevel"/>
    <w:tmpl w:val="4CC8E2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7A736FC7"/>
    <w:multiLevelType w:val="hybridMultilevel"/>
    <w:tmpl w:val="F760B8E4"/>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14"/>
  </w:num>
  <w:num w:numId="2">
    <w:abstractNumId w:val="16"/>
  </w:num>
  <w:num w:numId="3">
    <w:abstractNumId w:val="1"/>
  </w:num>
  <w:num w:numId="4">
    <w:abstractNumId w:val="2"/>
  </w:num>
  <w:num w:numId="5">
    <w:abstractNumId w:val="7"/>
  </w:num>
  <w:num w:numId="6">
    <w:abstractNumId w:val="9"/>
  </w:num>
  <w:num w:numId="7">
    <w:abstractNumId w:val="27"/>
  </w:num>
  <w:num w:numId="8">
    <w:abstractNumId w:val="26"/>
  </w:num>
  <w:num w:numId="9">
    <w:abstractNumId w:val="10"/>
  </w:num>
  <w:num w:numId="10">
    <w:abstractNumId w:val="8"/>
  </w:num>
  <w:num w:numId="11">
    <w:abstractNumId w:val="13"/>
  </w:num>
  <w:num w:numId="12">
    <w:abstractNumId w:val="20"/>
  </w:num>
  <w:num w:numId="13">
    <w:abstractNumId w:val="17"/>
  </w:num>
  <w:num w:numId="14">
    <w:abstractNumId w:val="24"/>
  </w:num>
  <w:num w:numId="15">
    <w:abstractNumId w:val="15"/>
  </w:num>
  <w:num w:numId="16">
    <w:abstractNumId w:val="19"/>
  </w:num>
  <w:num w:numId="17">
    <w:abstractNumId w:val="12"/>
  </w:num>
  <w:num w:numId="18">
    <w:abstractNumId w:val="11"/>
  </w:num>
  <w:num w:numId="19">
    <w:abstractNumId w:val="4"/>
  </w:num>
  <w:num w:numId="20">
    <w:abstractNumId w:val="5"/>
  </w:num>
  <w:num w:numId="21">
    <w:abstractNumId w:val="0"/>
  </w:num>
  <w:num w:numId="22">
    <w:abstractNumId w:val="25"/>
  </w:num>
  <w:num w:numId="23">
    <w:abstractNumId w:val="6"/>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23"/>
  </w:num>
  <w:num w:numId="27">
    <w:abstractNumId w:val="18"/>
    <w:lvlOverride w:ilvl="0">
      <w:startOverride w:val="2"/>
    </w:lvlOverride>
  </w:num>
  <w:num w:numId="28">
    <w:abstractNumId w:val="22"/>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lhen, Eric">
    <w15:presenceInfo w15:providerId="AD" w15:userId="S-1-5-21-8740799-900759487-1415713722-2615"/>
  </w15:person>
  <w15:person w15:author="Tang, Ting">
    <w15:presenceInfo w15:providerId="AD" w15:userId="S-1-5-21-8740799-900759487-1415713722-49445"/>
  </w15:person>
  <w15:person w15:author="Shen, Guozhuang">
    <w15:presenceInfo w15:providerId="AD" w15:userId="S-1-5-21-8740799-900759487-1415713722-162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mirrorMargins/>
  <w:hideSpellingErrors/>
  <w:hideGrammaticalErrors/>
  <w:activeWritingStyle w:appName="MSWord" w:lang="en-GB" w:vendorID="64" w:dllVersion="5" w:nlCheck="1" w:checkStyle="1"/>
  <w:activeWritingStyle w:appName="MSWord" w:lang="en-US" w:vendorID="64" w:dllVersion="5" w:nlCheck="1" w:checkStyle="1"/>
  <w:activeWritingStyle w:appName="MSWord" w:lang="en-AU"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AU" w:vendorID="64" w:dllVersion="6" w:nlCheck="1" w:checkStyle="1"/>
  <w:activeWritingStyle w:appName="MSWord" w:lang="es-ES_tradnl" w:vendorID="64" w:dllVersion="6" w:nlCheck="1" w:checkStyle="0"/>
  <w:activeWritingStyle w:appName="MSWord" w:lang="es-ES" w:vendorID="64" w:dllVersion="6" w:nlCheck="1" w:checkStyle="0"/>
  <w:activeWritingStyle w:appName="MSWord" w:lang="zh-CN" w:vendorID="64" w:dllVersion="5" w:nlCheck="1" w:checkStyle="1"/>
  <w:activeWritingStyle w:appName="MSWord" w:lang="en-CA" w:vendorID="64" w:dllVersion="6" w:nlCheck="1" w:checkStyle="1"/>
  <w:activeWritingStyle w:appName="MSWord" w:lang="zh-CN" w:vendorID="64" w:dllVersion="0"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IN" w:vendorID="64" w:dllVersion="0" w:nlCheck="1" w:checkStyle="0"/>
  <w:activeWritingStyle w:appName="MSWord" w:lang="ru-RU" w:vendorID="64" w:dllVersion="0" w:nlCheck="1" w:checkStyle="0"/>
  <w:activeWritingStyle w:appName="MSWord" w:lang="en-CA" w:vendorID="64" w:dllVersion="0" w:nlCheck="1" w:checkStyle="0"/>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onsecutiveHyphenLimit w:val="3"/>
  <w:hyphenationZone w:val="357"/>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64"/>
  </w:hdrShapeDefaults>
  <w:footnotePr>
    <w:pos w:val="beneathText"/>
    <w:footnote w:id="-1"/>
    <w:footnote w:id="0"/>
    <w:footnote w:id="1"/>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671"/>
    <w:rsid w:val="00001C1C"/>
    <w:rsid w:val="00002837"/>
    <w:rsid w:val="000028BB"/>
    <w:rsid w:val="00002A7B"/>
    <w:rsid w:val="00003EC4"/>
    <w:rsid w:val="0000440A"/>
    <w:rsid w:val="0000558F"/>
    <w:rsid w:val="0000601D"/>
    <w:rsid w:val="000061C1"/>
    <w:rsid w:val="000061CB"/>
    <w:rsid w:val="00007760"/>
    <w:rsid w:val="000078F2"/>
    <w:rsid w:val="0001098F"/>
    <w:rsid w:val="00010D74"/>
    <w:rsid w:val="00012557"/>
    <w:rsid w:val="000139BD"/>
    <w:rsid w:val="00014716"/>
    <w:rsid w:val="00014EE7"/>
    <w:rsid w:val="00016186"/>
    <w:rsid w:val="00016329"/>
    <w:rsid w:val="00016573"/>
    <w:rsid w:val="00017198"/>
    <w:rsid w:val="00017324"/>
    <w:rsid w:val="0001769A"/>
    <w:rsid w:val="0001770C"/>
    <w:rsid w:val="0002090F"/>
    <w:rsid w:val="00020EB2"/>
    <w:rsid w:val="00020ECF"/>
    <w:rsid w:val="00021B2E"/>
    <w:rsid w:val="00021E3B"/>
    <w:rsid w:val="0002429F"/>
    <w:rsid w:val="00024B19"/>
    <w:rsid w:val="00025EA3"/>
    <w:rsid w:val="0002643C"/>
    <w:rsid w:val="00026CDE"/>
    <w:rsid w:val="000279A1"/>
    <w:rsid w:val="00030E4F"/>
    <w:rsid w:val="00031842"/>
    <w:rsid w:val="00031A2A"/>
    <w:rsid w:val="000338F2"/>
    <w:rsid w:val="00035650"/>
    <w:rsid w:val="000356E2"/>
    <w:rsid w:val="00037245"/>
    <w:rsid w:val="000401C5"/>
    <w:rsid w:val="000410E8"/>
    <w:rsid w:val="000418CD"/>
    <w:rsid w:val="00041C8A"/>
    <w:rsid w:val="00042C8C"/>
    <w:rsid w:val="000433F7"/>
    <w:rsid w:val="0004397A"/>
    <w:rsid w:val="00045D56"/>
    <w:rsid w:val="00045FD2"/>
    <w:rsid w:val="00047D62"/>
    <w:rsid w:val="00050152"/>
    <w:rsid w:val="00050CE0"/>
    <w:rsid w:val="00050DE6"/>
    <w:rsid w:val="00052A68"/>
    <w:rsid w:val="00052AB0"/>
    <w:rsid w:val="00053844"/>
    <w:rsid w:val="000549E6"/>
    <w:rsid w:val="00054EB1"/>
    <w:rsid w:val="00054F32"/>
    <w:rsid w:val="0005503A"/>
    <w:rsid w:val="000556BA"/>
    <w:rsid w:val="00055C69"/>
    <w:rsid w:val="00056EA9"/>
    <w:rsid w:val="00057467"/>
    <w:rsid w:val="00057AE0"/>
    <w:rsid w:val="0006049D"/>
    <w:rsid w:val="000604C3"/>
    <w:rsid w:val="00060A6B"/>
    <w:rsid w:val="00060C2C"/>
    <w:rsid w:val="0006123C"/>
    <w:rsid w:val="00061616"/>
    <w:rsid w:val="000624B1"/>
    <w:rsid w:val="00062F2D"/>
    <w:rsid w:val="00063630"/>
    <w:rsid w:val="00063C5C"/>
    <w:rsid w:val="000659B8"/>
    <w:rsid w:val="00066513"/>
    <w:rsid w:val="00066BA7"/>
    <w:rsid w:val="00067832"/>
    <w:rsid w:val="000712EE"/>
    <w:rsid w:val="000712F0"/>
    <w:rsid w:val="00071303"/>
    <w:rsid w:val="0007130E"/>
    <w:rsid w:val="00071333"/>
    <w:rsid w:val="00072E22"/>
    <w:rsid w:val="000735C2"/>
    <w:rsid w:val="00073636"/>
    <w:rsid w:val="00073820"/>
    <w:rsid w:val="00073930"/>
    <w:rsid w:val="00073C61"/>
    <w:rsid w:val="000741D0"/>
    <w:rsid w:val="000757FD"/>
    <w:rsid w:val="00075B15"/>
    <w:rsid w:val="00075D0A"/>
    <w:rsid w:val="00077450"/>
    <w:rsid w:val="00077C0D"/>
    <w:rsid w:val="00077D96"/>
    <w:rsid w:val="00077E87"/>
    <w:rsid w:val="00077EA3"/>
    <w:rsid w:val="000808B7"/>
    <w:rsid w:val="00080B89"/>
    <w:rsid w:val="0008193F"/>
    <w:rsid w:val="00082A25"/>
    <w:rsid w:val="000841AC"/>
    <w:rsid w:val="0008580A"/>
    <w:rsid w:val="00085889"/>
    <w:rsid w:val="00087891"/>
    <w:rsid w:val="00087F13"/>
    <w:rsid w:val="00091112"/>
    <w:rsid w:val="000932AF"/>
    <w:rsid w:val="0009332F"/>
    <w:rsid w:val="00093E7C"/>
    <w:rsid w:val="0009427A"/>
    <w:rsid w:val="00094DC0"/>
    <w:rsid w:val="00094EB5"/>
    <w:rsid w:val="00096254"/>
    <w:rsid w:val="000966E0"/>
    <w:rsid w:val="00097FA9"/>
    <w:rsid w:val="000A1119"/>
    <w:rsid w:val="000A15A1"/>
    <w:rsid w:val="000A1B0B"/>
    <w:rsid w:val="000A4787"/>
    <w:rsid w:val="000A557E"/>
    <w:rsid w:val="000A589A"/>
    <w:rsid w:val="000A7227"/>
    <w:rsid w:val="000B1A79"/>
    <w:rsid w:val="000B1FB0"/>
    <w:rsid w:val="000B29A5"/>
    <w:rsid w:val="000B34AA"/>
    <w:rsid w:val="000B3748"/>
    <w:rsid w:val="000B4C97"/>
    <w:rsid w:val="000B52C9"/>
    <w:rsid w:val="000B54DA"/>
    <w:rsid w:val="000B634A"/>
    <w:rsid w:val="000B642F"/>
    <w:rsid w:val="000B671C"/>
    <w:rsid w:val="000B7A7E"/>
    <w:rsid w:val="000C0693"/>
    <w:rsid w:val="000C0C56"/>
    <w:rsid w:val="000C1669"/>
    <w:rsid w:val="000C17C5"/>
    <w:rsid w:val="000C19CE"/>
    <w:rsid w:val="000C1E3F"/>
    <w:rsid w:val="000C235B"/>
    <w:rsid w:val="000C24F3"/>
    <w:rsid w:val="000C28A4"/>
    <w:rsid w:val="000C3F57"/>
    <w:rsid w:val="000C3F68"/>
    <w:rsid w:val="000C4992"/>
    <w:rsid w:val="000C5543"/>
    <w:rsid w:val="000C5A1B"/>
    <w:rsid w:val="000C630B"/>
    <w:rsid w:val="000C685D"/>
    <w:rsid w:val="000C6951"/>
    <w:rsid w:val="000C7259"/>
    <w:rsid w:val="000D0CAD"/>
    <w:rsid w:val="000D18CD"/>
    <w:rsid w:val="000D1BE0"/>
    <w:rsid w:val="000D2389"/>
    <w:rsid w:val="000D29B4"/>
    <w:rsid w:val="000D36B2"/>
    <w:rsid w:val="000D378F"/>
    <w:rsid w:val="000D501C"/>
    <w:rsid w:val="000D5CD6"/>
    <w:rsid w:val="000D680A"/>
    <w:rsid w:val="000E1297"/>
    <w:rsid w:val="000E1313"/>
    <w:rsid w:val="000E14D4"/>
    <w:rsid w:val="000E259E"/>
    <w:rsid w:val="000E2B1D"/>
    <w:rsid w:val="000E402F"/>
    <w:rsid w:val="000E501D"/>
    <w:rsid w:val="000E56DC"/>
    <w:rsid w:val="000E58C9"/>
    <w:rsid w:val="000E63BA"/>
    <w:rsid w:val="000E6A83"/>
    <w:rsid w:val="000E6E6F"/>
    <w:rsid w:val="000E7677"/>
    <w:rsid w:val="000E7A2B"/>
    <w:rsid w:val="000F00E5"/>
    <w:rsid w:val="000F19FD"/>
    <w:rsid w:val="000F27C6"/>
    <w:rsid w:val="000F2CA9"/>
    <w:rsid w:val="000F2DAA"/>
    <w:rsid w:val="000F3B84"/>
    <w:rsid w:val="000F3C98"/>
    <w:rsid w:val="000F3E63"/>
    <w:rsid w:val="000F51C3"/>
    <w:rsid w:val="000F6AE3"/>
    <w:rsid w:val="000F7578"/>
    <w:rsid w:val="00102274"/>
    <w:rsid w:val="0010242F"/>
    <w:rsid w:val="00102601"/>
    <w:rsid w:val="00103004"/>
    <w:rsid w:val="00103021"/>
    <w:rsid w:val="001032C7"/>
    <w:rsid w:val="00103839"/>
    <w:rsid w:val="00103C9F"/>
    <w:rsid w:val="001049B8"/>
    <w:rsid w:val="00104CF7"/>
    <w:rsid w:val="00105067"/>
    <w:rsid w:val="0010516A"/>
    <w:rsid w:val="00105AFC"/>
    <w:rsid w:val="00105B71"/>
    <w:rsid w:val="00105F4D"/>
    <w:rsid w:val="00106129"/>
    <w:rsid w:val="00106272"/>
    <w:rsid w:val="0010720A"/>
    <w:rsid w:val="00107DE5"/>
    <w:rsid w:val="00110583"/>
    <w:rsid w:val="00110763"/>
    <w:rsid w:val="00110C59"/>
    <w:rsid w:val="0011100E"/>
    <w:rsid w:val="001131AF"/>
    <w:rsid w:val="0011348A"/>
    <w:rsid w:val="00113BB7"/>
    <w:rsid w:val="00113BE9"/>
    <w:rsid w:val="001157AB"/>
    <w:rsid w:val="00115E8B"/>
    <w:rsid w:val="00116503"/>
    <w:rsid w:val="00117AD9"/>
    <w:rsid w:val="00120348"/>
    <w:rsid w:val="00120C1B"/>
    <w:rsid w:val="001223A0"/>
    <w:rsid w:val="001223AF"/>
    <w:rsid w:val="0012349D"/>
    <w:rsid w:val="001238AC"/>
    <w:rsid w:val="001247A4"/>
    <w:rsid w:val="001247E5"/>
    <w:rsid w:val="00124BAA"/>
    <w:rsid w:val="0012520F"/>
    <w:rsid w:val="001259B4"/>
    <w:rsid w:val="001261FF"/>
    <w:rsid w:val="001262D9"/>
    <w:rsid w:val="001276F5"/>
    <w:rsid w:val="001278F7"/>
    <w:rsid w:val="00127AC1"/>
    <w:rsid w:val="00127CE0"/>
    <w:rsid w:val="0013075E"/>
    <w:rsid w:val="0013248B"/>
    <w:rsid w:val="001326A9"/>
    <w:rsid w:val="001329C9"/>
    <w:rsid w:val="001330DD"/>
    <w:rsid w:val="00133D54"/>
    <w:rsid w:val="00134016"/>
    <w:rsid w:val="001346AB"/>
    <w:rsid w:val="001346F9"/>
    <w:rsid w:val="001347A2"/>
    <w:rsid w:val="0013516B"/>
    <w:rsid w:val="00135398"/>
    <w:rsid w:val="00135F4E"/>
    <w:rsid w:val="00137528"/>
    <w:rsid w:val="001407F2"/>
    <w:rsid w:val="00141743"/>
    <w:rsid w:val="001420A1"/>
    <w:rsid w:val="001424B2"/>
    <w:rsid w:val="00142F4B"/>
    <w:rsid w:val="00143058"/>
    <w:rsid w:val="00143233"/>
    <w:rsid w:val="00145202"/>
    <w:rsid w:val="00145BAC"/>
    <w:rsid w:val="00145CD8"/>
    <w:rsid w:val="00145E0D"/>
    <w:rsid w:val="00146ACD"/>
    <w:rsid w:val="00146F69"/>
    <w:rsid w:val="0014726B"/>
    <w:rsid w:val="00147619"/>
    <w:rsid w:val="00147BE8"/>
    <w:rsid w:val="00147EC4"/>
    <w:rsid w:val="00150F90"/>
    <w:rsid w:val="001513F1"/>
    <w:rsid w:val="0015186E"/>
    <w:rsid w:val="0015269D"/>
    <w:rsid w:val="00152C69"/>
    <w:rsid w:val="00153F06"/>
    <w:rsid w:val="001550EB"/>
    <w:rsid w:val="00155CC9"/>
    <w:rsid w:val="0016001A"/>
    <w:rsid w:val="00161931"/>
    <w:rsid w:val="00162A42"/>
    <w:rsid w:val="00163E5C"/>
    <w:rsid w:val="001641A0"/>
    <w:rsid w:val="00164963"/>
    <w:rsid w:val="001658C9"/>
    <w:rsid w:val="00165B9D"/>
    <w:rsid w:val="00167EC4"/>
    <w:rsid w:val="001704A8"/>
    <w:rsid w:val="00170DED"/>
    <w:rsid w:val="00171C3D"/>
    <w:rsid w:val="00175707"/>
    <w:rsid w:val="001760F7"/>
    <w:rsid w:val="00176189"/>
    <w:rsid w:val="001761BB"/>
    <w:rsid w:val="00180054"/>
    <w:rsid w:val="00181B1F"/>
    <w:rsid w:val="00181DF0"/>
    <w:rsid w:val="00181F39"/>
    <w:rsid w:val="001831C3"/>
    <w:rsid w:val="00183FBC"/>
    <w:rsid w:val="0018442D"/>
    <w:rsid w:val="00184879"/>
    <w:rsid w:val="00184C3C"/>
    <w:rsid w:val="001864A6"/>
    <w:rsid w:val="001871C5"/>
    <w:rsid w:val="00187F87"/>
    <w:rsid w:val="0019019F"/>
    <w:rsid w:val="0019057F"/>
    <w:rsid w:val="00190DE6"/>
    <w:rsid w:val="0019102F"/>
    <w:rsid w:val="001920FD"/>
    <w:rsid w:val="00192B3E"/>
    <w:rsid w:val="00193278"/>
    <w:rsid w:val="00193333"/>
    <w:rsid w:val="00194157"/>
    <w:rsid w:val="00194A91"/>
    <w:rsid w:val="00194B81"/>
    <w:rsid w:val="00194F8F"/>
    <w:rsid w:val="00195B65"/>
    <w:rsid w:val="00195C52"/>
    <w:rsid w:val="00195D7F"/>
    <w:rsid w:val="001970BB"/>
    <w:rsid w:val="00197507"/>
    <w:rsid w:val="00197554"/>
    <w:rsid w:val="00197E73"/>
    <w:rsid w:val="001A07DF"/>
    <w:rsid w:val="001A09DB"/>
    <w:rsid w:val="001A12B5"/>
    <w:rsid w:val="001A1671"/>
    <w:rsid w:val="001A19E4"/>
    <w:rsid w:val="001A23ED"/>
    <w:rsid w:val="001A64D4"/>
    <w:rsid w:val="001A6AFC"/>
    <w:rsid w:val="001A6B85"/>
    <w:rsid w:val="001B0F1A"/>
    <w:rsid w:val="001B10E3"/>
    <w:rsid w:val="001B2C7F"/>
    <w:rsid w:val="001B445E"/>
    <w:rsid w:val="001B460A"/>
    <w:rsid w:val="001B4914"/>
    <w:rsid w:val="001B4D2F"/>
    <w:rsid w:val="001B5134"/>
    <w:rsid w:val="001B5592"/>
    <w:rsid w:val="001B5689"/>
    <w:rsid w:val="001B5FA0"/>
    <w:rsid w:val="001B7593"/>
    <w:rsid w:val="001B7E61"/>
    <w:rsid w:val="001C0225"/>
    <w:rsid w:val="001C0281"/>
    <w:rsid w:val="001C036D"/>
    <w:rsid w:val="001C0DD0"/>
    <w:rsid w:val="001C0DEA"/>
    <w:rsid w:val="001C29FB"/>
    <w:rsid w:val="001C3C34"/>
    <w:rsid w:val="001C4113"/>
    <w:rsid w:val="001C486C"/>
    <w:rsid w:val="001C49B3"/>
    <w:rsid w:val="001C4B07"/>
    <w:rsid w:val="001C6C74"/>
    <w:rsid w:val="001C7008"/>
    <w:rsid w:val="001C7937"/>
    <w:rsid w:val="001D06D0"/>
    <w:rsid w:val="001D1C71"/>
    <w:rsid w:val="001D3B5B"/>
    <w:rsid w:val="001D4188"/>
    <w:rsid w:val="001D4415"/>
    <w:rsid w:val="001D61C3"/>
    <w:rsid w:val="001D7D68"/>
    <w:rsid w:val="001E1341"/>
    <w:rsid w:val="001E1756"/>
    <w:rsid w:val="001E1B27"/>
    <w:rsid w:val="001E4081"/>
    <w:rsid w:val="001E675C"/>
    <w:rsid w:val="001F0AFC"/>
    <w:rsid w:val="001F1075"/>
    <w:rsid w:val="001F2652"/>
    <w:rsid w:val="001F2798"/>
    <w:rsid w:val="001F2E6E"/>
    <w:rsid w:val="001F3008"/>
    <w:rsid w:val="001F341C"/>
    <w:rsid w:val="001F3B40"/>
    <w:rsid w:val="001F41FC"/>
    <w:rsid w:val="001F452C"/>
    <w:rsid w:val="001F70D2"/>
    <w:rsid w:val="001F752A"/>
    <w:rsid w:val="00200402"/>
    <w:rsid w:val="0020072A"/>
    <w:rsid w:val="00201A89"/>
    <w:rsid w:val="00203AB3"/>
    <w:rsid w:val="00203DAA"/>
    <w:rsid w:val="00203E9C"/>
    <w:rsid w:val="00203F90"/>
    <w:rsid w:val="00204165"/>
    <w:rsid w:val="00204C40"/>
    <w:rsid w:val="002051D8"/>
    <w:rsid w:val="0020576A"/>
    <w:rsid w:val="00206A35"/>
    <w:rsid w:val="00206AA2"/>
    <w:rsid w:val="002072D7"/>
    <w:rsid w:val="00207828"/>
    <w:rsid w:val="00207C1B"/>
    <w:rsid w:val="0021055D"/>
    <w:rsid w:val="00210CD7"/>
    <w:rsid w:val="00212875"/>
    <w:rsid w:val="00213DC6"/>
    <w:rsid w:val="00213E28"/>
    <w:rsid w:val="00214E0B"/>
    <w:rsid w:val="002150BF"/>
    <w:rsid w:val="002176E8"/>
    <w:rsid w:val="0021784C"/>
    <w:rsid w:val="0022082E"/>
    <w:rsid w:val="00220EA8"/>
    <w:rsid w:val="00221877"/>
    <w:rsid w:val="00221F28"/>
    <w:rsid w:val="002228B0"/>
    <w:rsid w:val="00222D23"/>
    <w:rsid w:val="00222E22"/>
    <w:rsid w:val="002232AC"/>
    <w:rsid w:val="00223B9D"/>
    <w:rsid w:val="002257EC"/>
    <w:rsid w:val="00225EA4"/>
    <w:rsid w:val="00226003"/>
    <w:rsid w:val="00227878"/>
    <w:rsid w:val="00227E22"/>
    <w:rsid w:val="002310FE"/>
    <w:rsid w:val="00231A25"/>
    <w:rsid w:val="00231E54"/>
    <w:rsid w:val="00232069"/>
    <w:rsid w:val="0023244F"/>
    <w:rsid w:val="00232BE9"/>
    <w:rsid w:val="00233188"/>
    <w:rsid w:val="00233541"/>
    <w:rsid w:val="00233CCD"/>
    <w:rsid w:val="00233D4B"/>
    <w:rsid w:val="00233FC5"/>
    <w:rsid w:val="00233FE2"/>
    <w:rsid w:val="00234554"/>
    <w:rsid w:val="00235C02"/>
    <w:rsid w:val="002371B2"/>
    <w:rsid w:val="002371DE"/>
    <w:rsid w:val="002407D9"/>
    <w:rsid w:val="00241206"/>
    <w:rsid w:val="0024220B"/>
    <w:rsid w:val="00242669"/>
    <w:rsid w:val="00242F18"/>
    <w:rsid w:val="002431D2"/>
    <w:rsid w:val="00243279"/>
    <w:rsid w:val="0024391B"/>
    <w:rsid w:val="00243E0E"/>
    <w:rsid w:val="00243F0A"/>
    <w:rsid w:val="00244B8B"/>
    <w:rsid w:val="00245054"/>
    <w:rsid w:val="002453EF"/>
    <w:rsid w:val="00245570"/>
    <w:rsid w:val="00245AC0"/>
    <w:rsid w:val="00245F7E"/>
    <w:rsid w:val="0024637D"/>
    <w:rsid w:val="00247B53"/>
    <w:rsid w:val="00250267"/>
    <w:rsid w:val="00251130"/>
    <w:rsid w:val="002518DD"/>
    <w:rsid w:val="0025197D"/>
    <w:rsid w:val="002519E8"/>
    <w:rsid w:val="00252295"/>
    <w:rsid w:val="002526EE"/>
    <w:rsid w:val="00253454"/>
    <w:rsid w:val="00253BB8"/>
    <w:rsid w:val="00254304"/>
    <w:rsid w:val="002544B4"/>
    <w:rsid w:val="0025580E"/>
    <w:rsid w:val="002558BA"/>
    <w:rsid w:val="00256475"/>
    <w:rsid w:val="00257CB5"/>
    <w:rsid w:val="00257ECB"/>
    <w:rsid w:val="002605B5"/>
    <w:rsid w:val="00260B49"/>
    <w:rsid w:val="0026101A"/>
    <w:rsid w:val="00261FDF"/>
    <w:rsid w:val="0026251E"/>
    <w:rsid w:val="00262BB8"/>
    <w:rsid w:val="002639F5"/>
    <w:rsid w:val="002644D3"/>
    <w:rsid w:val="00264DEC"/>
    <w:rsid w:val="00265070"/>
    <w:rsid w:val="0026620E"/>
    <w:rsid w:val="00266979"/>
    <w:rsid w:val="00267CDF"/>
    <w:rsid w:val="002712AA"/>
    <w:rsid w:val="002722ED"/>
    <w:rsid w:val="00272640"/>
    <w:rsid w:val="00272A99"/>
    <w:rsid w:val="00273DDA"/>
    <w:rsid w:val="002741D1"/>
    <w:rsid w:val="00274C98"/>
    <w:rsid w:val="002752A8"/>
    <w:rsid w:val="00275A33"/>
    <w:rsid w:val="0027752E"/>
    <w:rsid w:val="0027758A"/>
    <w:rsid w:val="002801F0"/>
    <w:rsid w:val="002802D7"/>
    <w:rsid w:val="002810EB"/>
    <w:rsid w:val="002816DB"/>
    <w:rsid w:val="00281A74"/>
    <w:rsid w:val="00283003"/>
    <w:rsid w:val="00283976"/>
    <w:rsid w:val="00283FA5"/>
    <w:rsid w:val="0028553E"/>
    <w:rsid w:val="00286A3C"/>
    <w:rsid w:val="002877DD"/>
    <w:rsid w:val="002902B8"/>
    <w:rsid w:val="00290AE7"/>
    <w:rsid w:val="00291A48"/>
    <w:rsid w:val="002927AD"/>
    <w:rsid w:val="00293EF2"/>
    <w:rsid w:val="00294AF7"/>
    <w:rsid w:val="00294CE7"/>
    <w:rsid w:val="00294EE9"/>
    <w:rsid w:val="00294FB4"/>
    <w:rsid w:val="002959C8"/>
    <w:rsid w:val="00296455"/>
    <w:rsid w:val="002974FC"/>
    <w:rsid w:val="002A0AA9"/>
    <w:rsid w:val="002A0C6F"/>
    <w:rsid w:val="002A1548"/>
    <w:rsid w:val="002A1B22"/>
    <w:rsid w:val="002A1C49"/>
    <w:rsid w:val="002A1EEC"/>
    <w:rsid w:val="002A265B"/>
    <w:rsid w:val="002A2851"/>
    <w:rsid w:val="002A2FA2"/>
    <w:rsid w:val="002A3418"/>
    <w:rsid w:val="002A49CB"/>
    <w:rsid w:val="002A6027"/>
    <w:rsid w:val="002A7B02"/>
    <w:rsid w:val="002B009C"/>
    <w:rsid w:val="002B0672"/>
    <w:rsid w:val="002B09AE"/>
    <w:rsid w:val="002B0B43"/>
    <w:rsid w:val="002B0F0F"/>
    <w:rsid w:val="002B108A"/>
    <w:rsid w:val="002B16E8"/>
    <w:rsid w:val="002B1757"/>
    <w:rsid w:val="002B1B0A"/>
    <w:rsid w:val="002B1B3C"/>
    <w:rsid w:val="002B1D58"/>
    <w:rsid w:val="002B27B9"/>
    <w:rsid w:val="002B2AD2"/>
    <w:rsid w:val="002B3014"/>
    <w:rsid w:val="002B456E"/>
    <w:rsid w:val="002B5266"/>
    <w:rsid w:val="002B5A88"/>
    <w:rsid w:val="002B5AFD"/>
    <w:rsid w:val="002B61DF"/>
    <w:rsid w:val="002B685C"/>
    <w:rsid w:val="002B71B0"/>
    <w:rsid w:val="002C193E"/>
    <w:rsid w:val="002C1A49"/>
    <w:rsid w:val="002C2F70"/>
    <w:rsid w:val="002C3037"/>
    <w:rsid w:val="002C333C"/>
    <w:rsid w:val="002C34F5"/>
    <w:rsid w:val="002C3545"/>
    <w:rsid w:val="002C5BDC"/>
    <w:rsid w:val="002C6FDC"/>
    <w:rsid w:val="002C7D65"/>
    <w:rsid w:val="002D08A8"/>
    <w:rsid w:val="002D0DA2"/>
    <w:rsid w:val="002D17AD"/>
    <w:rsid w:val="002D1E19"/>
    <w:rsid w:val="002D2022"/>
    <w:rsid w:val="002D22A5"/>
    <w:rsid w:val="002D35FD"/>
    <w:rsid w:val="002D4DA0"/>
    <w:rsid w:val="002D538E"/>
    <w:rsid w:val="002E0323"/>
    <w:rsid w:val="002E1062"/>
    <w:rsid w:val="002E1FE8"/>
    <w:rsid w:val="002E21E8"/>
    <w:rsid w:val="002E2236"/>
    <w:rsid w:val="002E2E7F"/>
    <w:rsid w:val="002E3492"/>
    <w:rsid w:val="002E3791"/>
    <w:rsid w:val="002E3849"/>
    <w:rsid w:val="002E3E6B"/>
    <w:rsid w:val="002E405F"/>
    <w:rsid w:val="002E65C9"/>
    <w:rsid w:val="002E7174"/>
    <w:rsid w:val="002E7909"/>
    <w:rsid w:val="002F08E4"/>
    <w:rsid w:val="002F0D08"/>
    <w:rsid w:val="002F16F2"/>
    <w:rsid w:val="002F29F8"/>
    <w:rsid w:val="002F3C26"/>
    <w:rsid w:val="002F4B30"/>
    <w:rsid w:val="002F4D97"/>
    <w:rsid w:val="002F4E12"/>
    <w:rsid w:val="002F668F"/>
    <w:rsid w:val="002F717D"/>
    <w:rsid w:val="002F7C3C"/>
    <w:rsid w:val="002F7D36"/>
    <w:rsid w:val="00300956"/>
    <w:rsid w:val="00300BEB"/>
    <w:rsid w:val="00300F9F"/>
    <w:rsid w:val="00301909"/>
    <w:rsid w:val="00301B39"/>
    <w:rsid w:val="00301B45"/>
    <w:rsid w:val="00302D7C"/>
    <w:rsid w:val="00305281"/>
    <w:rsid w:val="0030611B"/>
    <w:rsid w:val="00306899"/>
    <w:rsid w:val="00307047"/>
    <w:rsid w:val="00307199"/>
    <w:rsid w:val="00307836"/>
    <w:rsid w:val="00307C23"/>
    <w:rsid w:val="00312A82"/>
    <w:rsid w:val="003137FE"/>
    <w:rsid w:val="00314ABE"/>
    <w:rsid w:val="00314C87"/>
    <w:rsid w:val="0031576E"/>
    <w:rsid w:val="0031719D"/>
    <w:rsid w:val="00320310"/>
    <w:rsid w:val="0032056E"/>
    <w:rsid w:val="00320F7D"/>
    <w:rsid w:val="0032112B"/>
    <w:rsid w:val="0032175D"/>
    <w:rsid w:val="0032175E"/>
    <w:rsid w:val="00322876"/>
    <w:rsid w:val="003228A9"/>
    <w:rsid w:val="00323428"/>
    <w:rsid w:val="00323931"/>
    <w:rsid w:val="00324171"/>
    <w:rsid w:val="003246CF"/>
    <w:rsid w:val="00324A19"/>
    <w:rsid w:val="00325FDD"/>
    <w:rsid w:val="00327530"/>
    <w:rsid w:val="00327E7D"/>
    <w:rsid w:val="003301E4"/>
    <w:rsid w:val="00330A58"/>
    <w:rsid w:val="003316AB"/>
    <w:rsid w:val="0033179C"/>
    <w:rsid w:val="00331B63"/>
    <w:rsid w:val="00332149"/>
    <w:rsid w:val="003339C1"/>
    <w:rsid w:val="00334672"/>
    <w:rsid w:val="003348A3"/>
    <w:rsid w:val="00336578"/>
    <w:rsid w:val="003367A0"/>
    <w:rsid w:val="00336815"/>
    <w:rsid w:val="00336A8F"/>
    <w:rsid w:val="0034062D"/>
    <w:rsid w:val="00344645"/>
    <w:rsid w:val="0034481E"/>
    <w:rsid w:val="00344D6E"/>
    <w:rsid w:val="0034526D"/>
    <w:rsid w:val="003466F3"/>
    <w:rsid w:val="00346B92"/>
    <w:rsid w:val="003472CB"/>
    <w:rsid w:val="00347337"/>
    <w:rsid w:val="003474B7"/>
    <w:rsid w:val="00347C80"/>
    <w:rsid w:val="00347DCE"/>
    <w:rsid w:val="00347E48"/>
    <w:rsid w:val="003502B7"/>
    <w:rsid w:val="00350972"/>
    <w:rsid w:val="00350B41"/>
    <w:rsid w:val="00351DB2"/>
    <w:rsid w:val="0035200A"/>
    <w:rsid w:val="0035200D"/>
    <w:rsid w:val="003526EF"/>
    <w:rsid w:val="00354D05"/>
    <w:rsid w:val="00354D9D"/>
    <w:rsid w:val="00355D93"/>
    <w:rsid w:val="00355EC4"/>
    <w:rsid w:val="003561D5"/>
    <w:rsid w:val="003563C1"/>
    <w:rsid w:val="00356C82"/>
    <w:rsid w:val="0035791E"/>
    <w:rsid w:val="003606AA"/>
    <w:rsid w:val="003606AB"/>
    <w:rsid w:val="0036351D"/>
    <w:rsid w:val="003635A9"/>
    <w:rsid w:val="00363963"/>
    <w:rsid w:val="0036397A"/>
    <w:rsid w:val="00363C1F"/>
    <w:rsid w:val="00364022"/>
    <w:rsid w:val="003641CE"/>
    <w:rsid w:val="003642E0"/>
    <w:rsid w:val="00364671"/>
    <w:rsid w:val="00364982"/>
    <w:rsid w:val="00364ACD"/>
    <w:rsid w:val="0036502E"/>
    <w:rsid w:val="0036533E"/>
    <w:rsid w:val="00366632"/>
    <w:rsid w:val="00367C17"/>
    <w:rsid w:val="00370686"/>
    <w:rsid w:val="00373B46"/>
    <w:rsid w:val="00375A0B"/>
    <w:rsid w:val="00376870"/>
    <w:rsid w:val="00377505"/>
    <w:rsid w:val="00377CD7"/>
    <w:rsid w:val="00377ED9"/>
    <w:rsid w:val="00380536"/>
    <w:rsid w:val="00382635"/>
    <w:rsid w:val="00382F24"/>
    <w:rsid w:val="00383B6F"/>
    <w:rsid w:val="00383CB9"/>
    <w:rsid w:val="00383DA5"/>
    <w:rsid w:val="0038402F"/>
    <w:rsid w:val="00384AC4"/>
    <w:rsid w:val="003852B5"/>
    <w:rsid w:val="003854B6"/>
    <w:rsid w:val="00385712"/>
    <w:rsid w:val="00390483"/>
    <w:rsid w:val="00391021"/>
    <w:rsid w:val="003912A0"/>
    <w:rsid w:val="0039275D"/>
    <w:rsid w:val="00394EE2"/>
    <w:rsid w:val="003958C0"/>
    <w:rsid w:val="003960F6"/>
    <w:rsid w:val="0039610C"/>
    <w:rsid w:val="00396681"/>
    <w:rsid w:val="003979BB"/>
    <w:rsid w:val="00397A39"/>
    <w:rsid w:val="003A0726"/>
    <w:rsid w:val="003A0C15"/>
    <w:rsid w:val="003A0E1B"/>
    <w:rsid w:val="003A0E39"/>
    <w:rsid w:val="003A0E78"/>
    <w:rsid w:val="003A13A1"/>
    <w:rsid w:val="003A1459"/>
    <w:rsid w:val="003A1664"/>
    <w:rsid w:val="003A1C4B"/>
    <w:rsid w:val="003A1E51"/>
    <w:rsid w:val="003A20D6"/>
    <w:rsid w:val="003A3889"/>
    <w:rsid w:val="003A477C"/>
    <w:rsid w:val="003A48E4"/>
    <w:rsid w:val="003A4FB0"/>
    <w:rsid w:val="003A555B"/>
    <w:rsid w:val="003A6168"/>
    <w:rsid w:val="003B0148"/>
    <w:rsid w:val="003B0DD3"/>
    <w:rsid w:val="003B2FA3"/>
    <w:rsid w:val="003B373E"/>
    <w:rsid w:val="003B46F0"/>
    <w:rsid w:val="003B57C2"/>
    <w:rsid w:val="003B5900"/>
    <w:rsid w:val="003B59E0"/>
    <w:rsid w:val="003B6427"/>
    <w:rsid w:val="003C10DE"/>
    <w:rsid w:val="003C1271"/>
    <w:rsid w:val="003C1C1A"/>
    <w:rsid w:val="003C22D4"/>
    <w:rsid w:val="003C3C8F"/>
    <w:rsid w:val="003C4016"/>
    <w:rsid w:val="003C5133"/>
    <w:rsid w:val="003C5134"/>
    <w:rsid w:val="003C54AA"/>
    <w:rsid w:val="003C582D"/>
    <w:rsid w:val="003C582F"/>
    <w:rsid w:val="003C68A4"/>
    <w:rsid w:val="003C6CD5"/>
    <w:rsid w:val="003C6E10"/>
    <w:rsid w:val="003C71A1"/>
    <w:rsid w:val="003C7F63"/>
    <w:rsid w:val="003D0F1B"/>
    <w:rsid w:val="003D11DC"/>
    <w:rsid w:val="003D2608"/>
    <w:rsid w:val="003D2ED0"/>
    <w:rsid w:val="003D409D"/>
    <w:rsid w:val="003D41D3"/>
    <w:rsid w:val="003D432F"/>
    <w:rsid w:val="003D4B0B"/>
    <w:rsid w:val="003D57C0"/>
    <w:rsid w:val="003D5A2A"/>
    <w:rsid w:val="003D5C48"/>
    <w:rsid w:val="003D5C78"/>
    <w:rsid w:val="003D6D6B"/>
    <w:rsid w:val="003D729F"/>
    <w:rsid w:val="003D7FCA"/>
    <w:rsid w:val="003E11A1"/>
    <w:rsid w:val="003E1D56"/>
    <w:rsid w:val="003E2614"/>
    <w:rsid w:val="003E3806"/>
    <w:rsid w:val="003E3E33"/>
    <w:rsid w:val="003E5187"/>
    <w:rsid w:val="003E54E2"/>
    <w:rsid w:val="003E725D"/>
    <w:rsid w:val="003F0C9E"/>
    <w:rsid w:val="003F2490"/>
    <w:rsid w:val="003F3105"/>
    <w:rsid w:val="003F321D"/>
    <w:rsid w:val="003F42D6"/>
    <w:rsid w:val="003F448A"/>
    <w:rsid w:val="003F6715"/>
    <w:rsid w:val="003F6EBF"/>
    <w:rsid w:val="0040023A"/>
    <w:rsid w:val="00400471"/>
    <w:rsid w:val="00400EA6"/>
    <w:rsid w:val="00400EAD"/>
    <w:rsid w:val="00401438"/>
    <w:rsid w:val="004018CB"/>
    <w:rsid w:val="00401B6B"/>
    <w:rsid w:val="00403F56"/>
    <w:rsid w:val="00404233"/>
    <w:rsid w:val="00404251"/>
    <w:rsid w:val="00404AE7"/>
    <w:rsid w:val="004061C7"/>
    <w:rsid w:val="004066F5"/>
    <w:rsid w:val="0040722D"/>
    <w:rsid w:val="004103AB"/>
    <w:rsid w:val="00410648"/>
    <w:rsid w:val="00411399"/>
    <w:rsid w:val="00411719"/>
    <w:rsid w:val="00411A45"/>
    <w:rsid w:val="00412B7A"/>
    <w:rsid w:val="004132EA"/>
    <w:rsid w:val="004137A1"/>
    <w:rsid w:val="00413F9F"/>
    <w:rsid w:val="00414167"/>
    <w:rsid w:val="00414ADE"/>
    <w:rsid w:val="00414D0B"/>
    <w:rsid w:val="00416339"/>
    <w:rsid w:val="004165E2"/>
    <w:rsid w:val="00416B7A"/>
    <w:rsid w:val="00416CBF"/>
    <w:rsid w:val="00417845"/>
    <w:rsid w:val="004206AF"/>
    <w:rsid w:val="00420F07"/>
    <w:rsid w:val="004219AC"/>
    <w:rsid w:val="004220C1"/>
    <w:rsid w:val="004223B8"/>
    <w:rsid w:val="00422DCC"/>
    <w:rsid w:val="00423A7C"/>
    <w:rsid w:val="004241A1"/>
    <w:rsid w:val="004243AB"/>
    <w:rsid w:val="0042482A"/>
    <w:rsid w:val="004251BA"/>
    <w:rsid w:val="00425EA3"/>
    <w:rsid w:val="004265C6"/>
    <w:rsid w:val="00427066"/>
    <w:rsid w:val="004270B8"/>
    <w:rsid w:val="00427CA7"/>
    <w:rsid w:val="004307FC"/>
    <w:rsid w:val="004310CD"/>
    <w:rsid w:val="00431A3F"/>
    <w:rsid w:val="00431B63"/>
    <w:rsid w:val="00431B86"/>
    <w:rsid w:val="0043212D"/>
    <w:rsid w:val="004323CA"/>
    <w:rsid w:val="00432C57"/>
    <w:rsid w:val="004331CE"/>
    <w:rsid w:val="00433391"/>
    <w:rsid w:val="00433EB9"/>
    <w:rsid w:val="00434463"/>
    <w:rsid w:val="00434891"/>
    <w:rsid w:val="00436173"/>
    <w:rsid w:val="00436DDA"/>
    <w:rsid w:val="00436ECB"/>
    <w:rsid w:val="00437CC0"/>
    <w:rsid w:val="004400B4"/>
    <w:rsid w:val="00440264"/>
    <w:rsid w:val="00440658"/>
    <w:rsid w:val="00441428"/>
    <w:rsid w:val="004415C7"/>
    <w:rsid w:val="00441874"/>
    <w:rsid w:val="00442968"/>
    <w:rsid w:val="0044352A"/>
    <w:rsid w:val="00445302"/>
    <w:rsid w:val="004455F9"/>
    <w:rsid w:val="00445B36"/>
    <w:rsid w:val="00446662"/>
    <w:rsid w:val="00446AA9"/>
    <w:rsid w:val="00446D27"/>
    <w:rsid w:val="00447058"/>
    <w:rsid w:val="00447D79"/>
    <w:rsid w:val="00447E6A"/>
    <w:rsid w:val="00450984"/>
    <w:rsid w:val="00453152"/>
    <w:rsid w:val="00453919"/>
    <w:rsid w:val="004547F9"/>
    <w:rsid w:val="00456286"/>
    <w:rsid w:val="0045744D"/>
    <w:rsid w:val="0046008E"/>
    <w:rsid w:val="004601CC"/>
    <w:rsid w:val="00460C66"/>
    <w:rsid w:val="00461720"/>
    <w:rsid w:val="00461BA4"/>
    <w:rsid w:val="00463668"/>
    <w:rsid w:val="00463A6F"/>
    <w:rsid w:val="004642C9"/>
    <w:rsid w:val="00464387"/>
    <w:rsid w:val="00464671"/>
    <w:rsid w:val="00464968"/>
    <w:rsid w:val="00464CEF"/>
    <w:rsid w:val="00464EAA"/>
    <w:rsid w:val="0046546A"/>
    <w:rsid w:val="004654C8"/>
    <w:rsid w:val="00465574"/>
    <w:rsid w:val="004665BB"/>
    <w:rsid w:val="004667AD"/>
    <w:rsid w:val="00467067"/>
    <w:rsid w:val="00467137"/>
    <w:rsid w:val="004672AA"/>
    <w:rsid w:val="00467D52"/>
    <w:rsid w:val="00470251"/>
    <w:rsid w:val="00470AF6"/>
    <w:rsid w:val="00470CDD"/>
    <w:rsid w:val="004710D4"/>
    <w:rsid w:val="0047119A"/>
    <w:rsid w:val="00471F2A"/>
    <w:rsid w:val="00471FCA"/>
    <w:rsid w:val="004720FC"/>
    <w:rsid w:val="00472664"/>
    <w:rsid w:val="00473BC6"/>
    <w:rsid w:val="00474DB0"/>
    <w:rsid w:val="004755AD"/>
    <w:rsid w:val="00476DEF"/>
    <w:rsid w:val="00476F08"/>
    <w:rsid w:val="004800F7"/>
    <w:rsid w:val="00480470"/>
    <w:rsid w:val="00481C40"/>
    <w:rsid w:val="0048229C"/>
    <w:rsid w:val="00483172"/>
    <w:rsid w:val="00484097"/>
    <w:rsid w:val="004840D8"/>
    <w:rsid w:val="00484658"/>
    <w:rsid w:val="0048501C"/>
    <w:rsid w:val="004869C2"/>
    <w:rsid w:val="00486B0F"/>
    <w:rsid w:val="0048732D"/>
    <w:rsid w:val="00487834"/>
    <w:rsid w:val="004879AF"/>
    <w:rsid w:val="00487D2F"/>
    <w:rsid w:val="00490334"/>
    <w:rsid w:val="00490795"/>
    <w:rsid w:val="00490C62"/>
    <w:rsid w:val="00490FC9"/>
    <w:rsid w:val="00491351"/>
    <w:rsid w:val="00492D09"/>
    <w:rsid w:val="00492D44"/>
    <w:rsid w:val="00494069"/>
    <w:rsid w:val="00494BF8"/>
    <w:rsid w:val="00495CF1"/>
    <w:rsid w:val="0049692E"/>
    <w:rsid w:val="00496D51"/>
    <w:rsid w:val="00496EEC"/>
    <w:rsid w:val="00497303"/>
    <w:rsid w:val="0049765C"/>
    <w:rsid w:val="004A10CF"/>
    <w:rsid w:val="004A1194"/>
    <w:rsid w:val="004A16DD"/>
    <w:rsid w:val="004A2B58"/>
    <w:rsid w:val="004A2E62"/>
    <w:rsid w:val="004A322B"/>
    <w:rsid w:val="004A3338"/>
    <w:rsid w:val="004A3BB3"/>
    <w:rsid w:val="004A44BC"/>
    <w:rsid w:val="004A4683"/>
    <w:rsid w:val="004A4A3B"/>
    <w:rsid w:val="004A520E"/>
    <w:rsid w:val="004A55C8"/>
    <w:rsid w:val="004A5901"/>
    <w:rsid w:val="004A5CBE"/>
    <w:rsid w:val="004A6625"/>
    <w:rsid w:val="004B02DD"/>
    <w:rsid w:val="004B06A4"/>
    <w:rsid w:val="004B139D"/>
    <w:rsid w:val="004B3553"/>
    <w:rsid w:val="004B3B55"/>
    <w:rsid w:val="004B3D26"/>
    <w:rsid w:val="004B5EA0"/>
    <w:rsid w:val="004B65E4"/>
    <w:rsid w:val="004B760D"/>
    <w:rsid w:val="004B78BB"/>
    <w:rsid w:val="004B791C"/>
    <w:rsid w:val="004B7D06"/>
    <w:rsid w:val="004B7F2C"/>
    <w:rsid w:val="004C0072"/>
    <w:rsid w:val="004C0F9C"/>
    <w:rsid w:val="004C0FAE"/>
    <w:rsid w:val="004C10B9"/>
    <w:rsid w:val="004C2483"/>
    <w:rsid w:val="004C2966"/>
    <w:rsid w:val="004C33EF"/>
    <w:rsid w:val="004C3B24"/>
    <w:rsid w:val="004C4319"/>
    <w:rsid w:val="004C46C6"/>
    <w:rsid w:val="004C56A7"/>
    <w:rsid w:val="004C796A"/>
    <w:rsid w:val="004D0554"/>
    <w:rsid w:val="004D082F"/>
    <w:rsid w:val="004D0A1D"/>
    <w:rsid w:val="004D0FBA"/>
    <w:rsid w:val="004D21E3"/>
    <w:rsid w:val="004D28BD"/>
    <w:rsid w:val="004D28C6"/>
    <w:rsid w:val="004D30D4"/>
    <w:rsid w:val="004D3506"/>
    <w:rsid w:val="004D41AA"/>
    <w:rsid w:val="004D49A5"/>
    <w:rsid w:val="004D519F"/>
    <w:rsid w:val="004D6F4E"/>
    <w:rsid w:val="004E0356"/>
    <w:rsid w:val="004E0A6B"/>
    <w:rsid w:val="004E0FDB"/>
    <w:rsid w:val="004E1793"/>
    <w:rsid w:val="004E1D40"/>
    <w:rsid w:val="004E2E21"/>
    <w:rsid w:val="004E3269"/>
    <w:rsid w:val="004E4237"/>
    <w:rsid w:val="004E4BC4"/>
    <w:rsid w:val="004E4E5E"/>
    <w:rsid w:val="004E502C"/>
    <w:rsid w:val="004E54ED"/>
    <w:rsid w:val="004E6276"/>
    <w:rsid w:val="004E6A7C"/>
    <w:rsid w:val="004E73D2"/>
    <w:rsid w:val="004E789E"/>
    <w:rsid w:val="004E7BC4"/>
    <w:rsid w:val="004F1192"/>
    <w:rsid w:val="004F224B"/>
    <w:rsid w:val="004F2926"/>
    <w:rsid w:val="004F3337"/>
    <w:rsid w:val="004F46D7"/>
    <w:rsid w:val="004F577C"/>
    <w:rsid w:val="004F5FC2"/>
    <w:rsid w:val="004F615F"/>
    <w:rsid w:val="004F6C4F"/>
    <w:rsid w:val="004F6E88"/>
    <w:rsid w:val="004F767D"/>
    <w:rsid w:val="004F79CB"/>
    <w:rsid w:val="00500414"/>
    <w:rsid w:val="00500CE0"/>
    <w:rsid w:val="00502443"/>
    <w:rsid w:val="00503EC6"/>
    <w:rsid w:val="00503F41"/>
    <w:rsid w:val="0050427F"/>
    <w:rsid w:val="00505C85"/>
    <w:rsid w:val="00505E43"/>
    <w:rsid w:val="00507AD9"/>
    <w:rsid w:val="0051010C"/>
    <w:rsid w:val="00510447"/>
    <w:rsid w:val="00510C29"/>
    <w:rsid w:val="00510CF0"/>
    <w:rsid w:val="005114E2"/>
    <w:rsid w:val="005118A2"/>
    <w:rsid w:val="005121BD"/>
    <w:rsid w:val="00512651"/>
    <w:rsid w:val="005127C9"/>
    <w:rsid w:val="005129C4"/>
    <w:rsid w:val="0051348A"/>
    <w:rsid w:val="005136AD"/>
    <w:rsid w:val="0051396F"/>
    <w:rsid w:val="00515220"/>
    <w:rsid w:val="00515EFF"/>
    <w:rsid w:val="00515F61"/>
    <w:rsid w:val="0051611D"/>
    <w:rsid w:val="00516566"/>
    <w:rsid w:val="00516A49"/>
    <w:rsid w:val="0051716E"/>
    <w:rsid w:val="00517210"/>
    <w:rsid w:val="0051752E"/>
    <w:rsid w:val="00517E57"/>
    <w:rsid w:val="0052048F"/>
    <w:rsid w:val="0052071B"/>
    <w:rsid w:val="005213B1"/>
    <w:rsid w:val="00521A5F"/>
    <w:rsid w:val="00522612"/>
    <w:rsid w:val="005230FB"/>
    <w:rsid w:val="00525970"/>
    <w:rsid w:val="005263D1"/>
    <w:rsid w:val="00526D55"/>
    <w:rsid w:val="00526D7A"/>
    <w:rsid w:val="00527015"/>
    <w:rsid w:val="005273CA"/>
    <w:rsid w:val="005279EC"/>
    <w:rsid w:val="00530A3B"/>
    <w:rsid w:val="00531347"/>
    <w:rsid w:val="00532333"/>
    <w:rsid w:val="00532AB0"/>
    <w:rsid w:val="00532B36"/>
    <w:rsid w:val="00532D4D"/>
    <w:rsid w:val="0053379B"/>
    <w:rsid w:val="00535091"/>
    <w:rsid w:val="005350EC"/>
    <w:rsid w:val="005354B3"/>
    <w:rsid w:val="00536236"/>
    <w:rsid w:val="00536A46"/>
    <w:rsid w:val="00536D63"/>
    <w:rsid w:val="00536EFE"/>
    <w:rsid w:val="0054036F"/>
    <w:rsid w:val="00540A37"/>
    <w:rsid w:val="00541AA0"/>
    <w:rsid w:val="005429DF"/>
    <w:rsid w:val="00544069"/>
    <w:rsid w:val="005443B2"/>
    <w:rsid w:val="00545406"/>
    <w:rsid w:val="00545AB1"/>
    <w:rsid w:val="0054620B"/>
    <w:rsid w:val="005466F4"/>
    <w:rsid w:val="00546B0F"/>
    <w:rsid w:val="0055019B"/>
    <w:rsid w:val="005531FA"/>
    <w:rsid w:val="005538BC"/>
    <w:rsid w:val="00554E4C"/>
    <w:rsid w:val="00555E3B"/>
    <w:rsid w:val="00556B68"/>
    <w:rsid w:val="0055762A"/>
    <w:rsid w:val="005579C4"/>
    <w:rsid w:val="0056072A"/>
    <w:rsid w:val="00561ECA"/>
    <w:rsid w:val="00562089"/>
    <w:rsid w:val="00563E28"/>
    <w:rsid w:val="00564783"/>
    <w:rsid w:val="00564B60"/>
    <w:rsid w:val="00564B7B"/>
    <w:rsid w:val="00564ED5"/>
    <w:rsid w:val="00565655"/>
    <w:rsid w:val="005665DC"/>
    <w:rsid w:val="00566BF0"/>
    <w:rsid w:val="00567403"/>
    <w:rsid w:val="00567832"/>
    <w:rsid w:val="00567CBA"/>
    <w:rsid w:val="00570B5E"/>
    <w:rsid w:val="005727A5"/>
    <w:rsid w:val="00573ABA"/>
    <w:rsid w:val="00574151"/>
    <w:rsid w:val="00574F44"/>
    <w:rsid w:val="0057606E"/>
    <w:rsid w:val="00576E60"/>
    <w:rsid w:val="00576EDD"/>
    <w:rsid w:val="00576F17"/>
    <w:rsid w:val="0057706F"/>
    <w:rsid w:val="00577589"/>
    <w:rsid w:val="00577AA5"/>
    <w:rsid w:val="00583024"/>
    <w:rsid w:val="0058358C"/>
    <w:rsid w:val="00583E8B"/>
    <w:rsid w:val="0058405E"/>
    <w:rsid w:val="005846AC"/>
    <w:rsid w:val="00584C86"/>
    <w:rsid w:val="00585C4C"/>
    <w:rsid w:val="005869C4"/>
    <w:rsid w:val="00587F0E"/>
    <w:rsid w:val="005901EF"/>
    <w:rsid w:val="0059058B"/>
    <w:rsid w:val="00590629"/>
    <w:rsid w:val="005911F2"/>
    <w:rsid w:val="00592235"/>
    <w:rsid w:val="0059313F"/>
    <w:rsid w:val="00593ABB"/>
    <w:rsid w:val="00594AD7"/>
    <w:rsid w:val="00594C1F"/>
    <w:rsid w:val="00595DBE"/>
    <w:rsid w:val="00595E16"/>
    <w:rsid w:val="00596D36"/>
    <w:rsid w:val="00597B53"/>
    <w:rsid w:val="00597DEF"/>
    <w:rsid w:val="00597F6E"/>
    <w:rsid w:val="005A0332"/>
    <w:rsid w:val="005A0AA9"/>
    <w:rsid w:val="005A0D83"/>
    <w:rsid w:val="005A13B8"/>
    <w:rsid w:val="005A2DDF"/>
    <w:rsid w:val="005A3038"/>
    <w:rsid w:val="005A3C64"/>
    <w:rsid w:val="005A477A"/>
    <w:rsid w:val="005A58C4"/>
    <w:rsid w:val="005A5AFB"/>
    <w:rsid w:val="005A5E61"/>
    <w:rsid w:val="005A7571"/>
    <w:rsid w:val="005A7DFB"/>
    <w:rsid w:val="005B01D5"/>
    <w:rsid w:val="005B0682"/>
    <w:rsid w:val="005B0825"/>
    <w:rsid w:val="005B104F"/>
    <w:rsid w:val="005B17AF"/>
    <w:rsid w:val="005B1BA3"/>
    <w:rsid w:val="005B1F86"/>
    <w:rsid w:val="005B2ABA"/>
    <w:rsid w:val="005B6046"/>
    <w:rsid w:val="005B7EF7"/>
    <w:rsid w:val="005C021C"/>
    <w:rsid w:val="005C08D8"/>
    <w:rsid w:val="005C0900"/>
    <w:rsid w:val="005C137A"/>
    <w:rsid w:val="005C1DFB"/>
    <w:rsid w:val="005C2317"/>
    <w:rsid w:val="005C3010"/>
    <w:rsid w:val="005C34C4"/>
    <w:rsid w:val="005C437E"/>
    <w:rsid w:val="005C45F9"/>
    <w:rsid w:val="005C5186"/>
    <w:rsid w:val="005C5465"/>
    <w:rsid w:val="005C5FA3"/>
    <w:rsid w:val="005C6604"/>
    <w:rsid w:val="005C6E35"/>
    <w:rsid w:val="005D0C23"/>
    <w:rsid w:val="005D11AF"/>
    <w:rsid w:val="005D12A9"/>
    <w:rsid w:val="005D3184"/>
    <w:rsid w:val="005D331D"/>
    <w:rsid w:val="005D373D"/>
    <w:rsid w:val="005D3A54"/>
    <w:rsid w:val="005D54B5"/>
    <w:rsid w:val="005D64B6"/>
    <w:rsid w:val="005D7225"/>
    <w:rsid w:val="005D7821"/>
    <w:rsid w:val="005D79F9"/>
    <w:rsid w:val="005E01D9"/>
    <w:rsid w:val="005E09CD"/>
    <w:rsid w:val="005E10E2"/>
    <w:rsid w:val="005E1950"/>
    <w:rsid w:val="005E29AE"/>
    <w:rsid w:val="005E2E4E"/>
    <w:rsid w:val="005E2F5F"/>
    <w:rsid w:val="005E41B9"/>
    <w:rsid w:val="005E4762"/>
    <w:rsid w:val="005E655E"/>
    <w:rsid w:val="005E6656"/>
    <w:rsid w:val="005E6EE2"/>
    <w:rsid w:val="005F1F5D"/>
    <w:rsid w:val="005F2170"/>
    <w:rsid w:val="005F2C0B"/>
    <w:rsid w:val="005F3C87"/>
    <w:rsid w:val="005F3E18"/>
    <w:rsid w:val="005F4232"/>
    <w:rsid w:val="005F47C1"/>
    <w:rsid w:val="005F4ACE"/>
    <w:rsid w:val="005F4E56"/>
    <w:rsid w:val="005F6138"/>
    <w:rsid w:val="005F63CD"/>
    <w:rsid w:val="005F65E0"/>
    <w:rsid w:val="005F6CBD"/>
    <w:rsid w:val="005F7760"/>
    <w:rsid w:val="00600476"/>
    <w:rsid w:val="0060133B"/>
    <w:rsid w:val="00601633"/>
    <w:rsid w:val="006030FB"/>
    <w:rsid w:val="006038E5"/>
    <w:rsid w:val="00603D8C"/>
    <w:rsid w:val="006045EB"/>
    <w:rsid w:val="006047EB"/>
    <w:rsid w:val="00604CA4"/>
    <w:rsid w:val="006059D9"/>
    <w:rsid w:val="00606768"/>
    <w:rsid w:val="006070C2"/>
    <w:rsid w:val="0060772C"/>
    <w:rsid w:val="00607F44"/>
    <w:rsid w:val="00610B3F"/>
    <w:rsid w:val="00610EBE"/>
    <w:rsid w:val="00611CBB"/>
    <w:rsid w:val="00612E26"/>
    <w:rsid w:val="00613261"/>
    <w:rsid w:val="0061385C"/>
    <w:rsid w:val="00613A38"/>
    <w:rsid w:val="00614618"/>
    <w:rsid w:val="006151CF"/>
    <w:rsid w:val="00615607"/>
    <w:rsid w:val="00616FB1"/>
    <w:rsid w:val="00616FC8"/>
    <w:rsid w:val="00617679"/>
    <w:rsid w:val="00620584"/>
    <w:rsid w:val="00620740"/>
    <w:rsid w:val="00620FF4"/>
    <w:rsid w:val="00621F8F"/>
    <w:rsid w:val="0062274E"/>
    <w:rsid w:val="0062281C"/>
    <w:rsid w:val="00622C03"/>
    <w:rsid w:val="006233E7"/>
    <w:rsid w:val="00624859"/>
    <w:rsid w:val="00624E3F"/>
    <w:rsid w:val="0062508D"/>
    <w:rsid w:val="00625CB7"/>
    <w:rsid w:val="00626656"/>
    <w:rsid w:val="006302CE"/>
    <w:rsid w:val="006321B2"/>
    <w:rsid w:val="006341F8"/>
    <w:rsid w:val="0063448D"/>
    <w:rsid w:val="00634A6D"/>
    <w:rsid w:val="00634AAB"/>
    <w:rsid w:val="00635C7E"/>
    <w:rsid w:val="0063781C"/>
    <w:rsid w:val="00637A25"/>
    <w:rsid w:val="00637E5C"/>
    <w:rsid w:val="00640176"/>
    <w:rsid w:val="00640A53"/>
    <w:rsid w:val="00642276"/>
    <w:rsid w:val="00642A16"/>
    <w:rsid w:val="00642C18"/>
    <w:rsid w:val="00643378"/>
    <w:rsid w:val="00643A4B"/>
    <w:rsid w:val="00644865"/>
    <w:rsid w:val="00644EC8"/>
    <w:rsid w:val="0064556C"/>
    <w:rsid w:val="00646158"/>
    <w:rsid w:val="006461DB"/>
    <w:rsid w:val="00646A8F"/>
    <w:rsid w:val="00647E49"/>
    <w:rsid w:val="006510A8"/>
    <w:rsid w:val="00651922"/>
    <w:rsid w:val="0065195F"/>
    <w:rsid w:val="006520E7"/>
    <w:rsid w:val="006524D4"/>
    <w:rsid w:val="00652FED"/>
    <w:rsid w:val="00653AFE"/>
    <w:rsid w:val="00653BA7"/>
    <w:rsid w:val="00654282"/>
    <w:rsid w:val="0065605C"/>
    <w:rsid w:val="006560E9"/>
    <w:rsid w:val="0065623C"/>
    <w:rsid w:val="00656468"/>
    <w:rsid w:val="006564F0"/>
    <w:rsid w:val="00657428"/>
    <w:rsid w:val="0066182C"/>
    <w:rsid w:val="00662D13"/>
    <w:rsid w:val="00662D6C"/>
    <w:rsid w:val="006635F4"/>
    <w:rsid w:val="006642CE"/>
    <w:rsid w:val="006645D9"/>
    <w:rsid w:val="00665690"/>
    <w:rsid w:val="006661BF"/>
    <w:rsid w:val="0066630B"/>
    <w:rsid w:val="00667B88"/>
    <w:rsid w:val="00670559"/>
    <w:rsid w:val="00670AEF"/>
    <w:rsid w:val="00670E3B"/>
    <w:rsid w:val="0067163B"/>
    <w:rsid w:val="00671D68"/>
    <w:rsid w:val="006725B7"/>
    <w:rsid w:val="00672999"/>
    <w:rsid w:val="00673DD5"/>
    <w:rsid w:val="0067403E"/>
    <w:rsid w:val="0067404D"/>
    <w:rsid w:val="0067430B"/>
    <w:rsid w:val="0067438E"/>
    <w:rsid w:val="00674ECB"/>
    <w:rsid w:val="00675592"/>
    <w:rsid w:val="006758F5"/>
    <w:rsid w:val="00676711"/>
    <w:rsid w:val="00676A60"/>
    <w:rsid w:val="00677E19"/>
    <w:rsid w:val="00680EED"/>
    <w:rsid w:val="0068132F"/>
    <w:rsid w:val="00682E3A"/>
    <w:rsid w:val="006831B1"/>
    <w:rsid w:val="00683DD7"/>
    <w:rsid w:val="00685F10"/>
    <w:rsid w:val="0068620A"/>
    <w:rsid w:val="006871DA"/>
    <w:rsid w:val="0068745D"/>
    <w:rsid w:val="00690226"/>
    <w:rsid w:val="006916BD"/>
    <w:rsid w:val="006918EF"/>
    <w:rsid w:val="00691F65"/>
    <w:rsid w:val="00692EB5"/>
    <w:rsid w:val="00693664"/>
    <w:rsid w:val="00694AFC"/>
    <w:rsid w:val="006966F9"/>
    <w:rsid w:val="00696951"/>
    <w:rsid w:val="00697112"/>
    <w:rsid w:val="006A01D3"/>
    <w:rsid w:val="006A02F0"/>
    <w:rsid w:val="006A04A3"/>
    <w:rsid w:val="006A05C6"/>
    <w:rsid w:val="006A0CA2"/>
    <w:rsid w:val="006A2655"/>
    <w:rsid w:val="006A61F8"/>
    <w:rsid w:val="006A75D0"/>
    <w:rsid w:val="006B068E"/>
    <w:rsid w:val="006B2607"/>
    <w:rsid w:val="006B3589"/>
    <w:rsid w:val="006B3840"/>
    <w:rsid w:val="006B4549"/>
    <w:rsid w:val="006B4B58"/>
    <w:rsid w:val="006B56AF"/>
    <w:rsid w:val="006B60A6"/>
    <w:rsid w:val="006B630D"/>
    <w:rsid w:val="006B79EC"/>
    <w:rsid w:val="006C0F04"/>
    <w:rsid w:val="006C1EBF"/>
    <w:rsid w:val="006C1F8A"/>
    <w:rsid w:val="006C2554"/>
    <w:rsid w:val="006C2C5E"/>
    <w:rsid w:val="006C2D17"/>
    <w:rsid w:val="006C2DD9"/>
    <w:rsid w:val="006C2F39"/>
    <w:rsid w:val="006C31FE"/>
    <w:rsid w:val="006C38DC"/>
    <w:rsid w:val="006C4A6E"/>
    <w:rsid w:val="006C4DBA"/>
    <w:rsid w:val="006C64F7"/>
    <w:rsid w:val="006C651D"/>
    <w:rsid w:val="006C740C"/>
    <w:rsid w:val="006C77D4"/>
    <w:rsid w:val="006C79F7"/>
    <w:rsid w:val="006C7B80"/>
    <w:rsid w:val="006C7F30"/>
    <w:rsid w:val="006C7F6E"/>
    <w:rsid w:val="006D013B"/>
    <w:rsid w:val="006D0BD5"/>
    <w:rsid w:val="006D0DA9"/>
    <w:rsid w:val="006D0EE6"/>
    <w:rsid w:val="006D127C"/>
    <w:rsid w:val="006D1A29"/>
    <w:rsid w:val="006D2B5B"/>
    <w:rsid w:val="006D2F0C"/>
    <w:rsid w:val="006D2F84"/>
    <w:rsid w:val="006D3964"/>
    <w:rsid w:val="006D3A93"/>
    <w:rsid w:val="006D428C"/>
    <w:rsid w:val="006D468C"/>
    <w:rsid w:val="006D4950"/>
    <w:rsid w:val="006D6987"/>
    <w:rsid w:val="006E0033"/>
    <w:rsid w:val="006E01B4"/>
    <w:rsid w:val="006E104B"/>
    <w:rsid w:val="006E3B9B"/>
    <w:rsid w:val="006E4598"/>
    <w:rsid w:val="006E5B54"/>
    <w:rsid w:val="006E63DC"/>
    <w:rsid w:val="006E64A9"/>
    <w:rsid w:val="006E6FAA"/>
    <w:rsid w:val="006E7013"/>
    <w:rsid w:val="006F038C"/>
    <w:rsid w:val="006F0F3C"/>
    <w:rsid w:val="006F1271"/>
    <w:rsid w:val="006F2219"/>
    <w:rsid w:val="006F354F"/>
    <w:rsid w:val="006F3D81"/>
    <w:rsid w:val="006F41DC"/>
    <w:rsid w:val="006F454C"/>
    <w:rsid w:val="006F4CAC"/>
    <w:rsid w:val="006F4DAA"/>
    <w:rsid w:val="006F4E9C"/>
    <w:rsid w:val="006F4EB9"/>
    <w:rsid w:val="006F5A3E"/>
    <w:rsid w:val="006F76B9"/>
    <w:rsid w:val="006F7B3B"/>
    <w:rsid w:val="007001EB"/>
    <w:rsid w:val="007005ED"/>
    <w:rsid w:val="007006FE"/>
    <w:rsid w:val="00700AE9"/>
    <w:rsid w:val="00700D49"/>
    <w:rsid w:val="007014E4"/>
    <w:rsid w:val="007015AD"/>
    <w:rsid w:val="0070163A"/>
    <w:rsid w:val="007017A1"/>
    <w:rsid w:val="00701B79"/>
    <w:rsid w:val="00701CDD"/>
    <w:rsid w:val="00703C24"/>
    <w:rsid w:val="007053A0"/>
    <w:rsid w:val="007055D3"/>
    <w:rsid w:val="00706815"/>
    <w:rsid w:val="00707561"/>
    <w:rsid w:val="007108BF"/>
    <w:rsid w:val="007113E0"/>
    <w:rsid w:val="007113FF"/>
    <w:rsid w:val="00711518"/>
    <w:rsid w:val="00711909"/>
    <w:rsid w:val="00712252"/>
    <w:rsid w:val="0071415B"/>
    <w:rsid w:val="0071484E"/>
    <w:rsid w:val="00716378"/>
    <w:rsid w:val="007168B3"/>
    <w:rsid w:val="00720B0C"/>
    <w:rsid w:val="00721573"/>
    <w:rsid w:val="00722029"/>
    <w:rsid w:val="00725667"/>
    <w:rsid w:val="00726C40"/>
    <w:rsid w:val="007300BB"/>
    <w:rsid w:val="007304B4"/>
    <w:rsid w:val="007308A6"/>
    <w:rsid w:val="007328C1"/>
    <w:rsid w:val="007328FE"/>
    <w:rsid w:val="00732A22"/>
    <w:rsid w:val="007330CA"/>
    <w:rsid w:val="00733B4E"/>
    <w:rsid w:val="00733B89"/>
    <w:rsid w:val="00735B8D"/>
    <w:rsid w:val="0073640E"/>
    <w:rsid w:val="00736D79"/>
    <w:rsid w:val="00737802"/>
    <w:rsid w:val="007379FF"/>
    <w:rsid w:val="00737A1F"/>
    <w:rsid w:val="00737AC4"/>
    <w:rsid w:val="00737CFA"/>
    <w:rsid w:val="00740022"/>
    <w:rsid w:val="00740669"/>
    <w:rsid w:val="00740AB1"/>
    <w:rsid w:val="007416FB"/>
    <w:rsid w:val="007418D7"/>
    <w:rsid w:val="007419F8"/>
    <w:rsid w:val="00742A4D"/>
    <w:rsid w:val="00742D72"/>
    <w:rsid w:val="007441EB"/>
    <w:rsid w:val="007449E2"/>
    <w:rsid w:val="00744A4D"/>
    <w:rsid w:val="00745B5C"/>
    <w:rsid w:val="007466CA"/>
    <w:rsid w:val="0074686E"/>
    <w:rsid w:val="00747232"/>
    <w:rsid w:val="0074758E"/>
    <w:rsid w:val="007501C3"/>
    <w:rsid w:val="0075219A"/>
    <w:rsid w:val="00752CBF"/>
    <w:rsid w:val="00753CDC"/>
    <w:rsid w:val="0075656E"/>
    <w:rsid w:val="00756611"/>
    <w:rsid w:val="00756661"/>
    <w:rsid w:val="00756806"/>
    <w:rsid w:val="00757708"/>
    <w:rsid w:val="0076092D"/>
    <w:rsid w:val="00760AA6"/>
    <w:rsid w:val="00761577"/>
    <w:rsid w:val="00762F87"/>
    <w:rsid w:val="007630B3"/>
    <w:rsid w:val="00763587"/>
    <w:rsid w:val="00763680"/>
    <w:rsid w:val="0076605D"/>
    <w:rsid w:val="007663F7"/>
    <w:rsid w:val="00766B08"/>
    <w:rsid w:val="00767123"/>
    <w:rsid w:val="00767149"/>
    <w:rsid w:val="007672B3"/>
    <w:rsid w:val="007710CB"/>
    <w:rsid w:val="007710D4"/>
    <w:rsid w:val="0077192A"/>
    <w:rsid w:val="00771B05"/>
    <w:rsid w:val="00772A0D"/>
    <w:rsid w:val="007733F3"/>
    <w:rsid w:val="00773530"/>
    <w:rsid w:val="00773606"/>
    <w:rsid w:val="0077360A"/>
    <w:rsid w:val="0077376D"/>
    <w:rsid w:val="00773951"/>
    <w:rsid w:val="00773C8E"/>
    <w:rsid w:val="007752FC"/>
    <w:rsid w:val="00775639"/>
    <w:rsid w:val="00775E48"/>
    <w:rsid w:val="00776F42"/>
    <w:rsid w:val="00780239"/>
    <w:rsid w:val="007806B1"/>
    <w:rsid w:val="00780E7F"/>
    <w:rsid w:val="007816E0"/>
    <w:rsid w:val="00781F81"/>
    <w:rsid w:val="007820C8"/>
    <w:rsid w:val="00782754"/>
    <w:rsid w:val="0078434A"/>
    <w:rsid w:val="00785D42"/>
    <w:rsid w:val="00786564"/>
    <w:rsid w:val="007866E9"/>
    <w:rsid w:val="00786890"/>
    <w:rsid w:val="0078700B"/>
    <w:rsid w:val="0078741D"/>
    <w:rsid w:val="007876B1"/>
    <w:rsid w:val="00790B3C"/>
    <w:rsid w:val="00790D05"/>
    <w:rsid w:val="00791E0F"/>
    <w:rsid w:val="00793055"/>
    <w:rsid w:val="0079331A"/>
    <w:rsid w:val="00793354"/>
    <w:rsid w:val="007938E6"/>
    <w:rsid w:val="00793AA8"/>
    <w:rsid w:val="00793E29"/>
    <w:rsid w:val="00793F78"/>
    <w:rsid w:val="00794D16"/>
    <w:rsid w:val="007956D8"/>
    <w:rsid w:val="00795AF8"/>
    <w:rsid w:val="00795C4B"/>
    <w:rsid w:val="00797849"/>
    <w:rsid w:val="00797ADD"/>
    <w:rsid w:val="007A14B6"/>
    <w:rsid w:val="007A155F"/>
    <w:rsid w:val="007A1E72"/>
    <w:rsid w:val="007A2AFF"/>
    <w:rsid w:val="007A3DFD"/>
    <w:rsid w:val="007A3F8D"/>
    <w:rsid w:val="007A4116"/>
    <w:rsid w:val="007A4539"/>
    <w:rsid w:val="007A6093"/>
    <w:rsid w:val="007A70DF"/>
    <w:rsid w:val="007A7918"/>
    <w:rsid w:val="007B06A6"/>
    <w:rsid w:val="007B1573"/>
    <w:rsid w:val="007B1AFD"/>
    <w:rsid w:val="007B1F0D"/>
    <w:rsid w:val="007B263F"/>
    <w:rsid w:val="007B2A6F"/>
    <w:rsid w:val="007B4396"/>
    <w:rsid w:val="007B4771"/>
    <w:rsid w:val="007B4C49"/>
    <w:rsid w:val="007B527A"/>
    <w:rsid w:val="007B5A1B"/>
    <w:rsid w:val="007B6C25"/>
    <w:rsid w:val="007B7074"/>
    <w:rsid w:val="007B76BF"/>
    <w:rsid w:val="007C1003"/>
    <w:rsid w:val="007C1781"/>
    <w:rsid w:val="007C1BA8"/>
    <w:rsid w:val="007C2E61"/>
    <w:rsid w:val="007C3110"/>
    <w:rsid w:val="007C4227"/>
    <w:rsid w:val="007C4457"/>
    <w:rsid w:val="007C4F9C"/>
    <w:rsid w:val="007C5027"/>
    <w:rsid w:val="007C5808"/>
    <w:rsid w:val="007C61F4"/>
    <w:rsid w:val="007C6368"/>
    <w:rsid w:val="007C68E6"/>
    <w:rsid w:val="007C6BBD"/>
    <w:rsid w:val="007C7769"/>
    <w:rsid w:val="007C7F02"/>
    <w:rsid w:val="007D084D"/>
    <w:rsid w:val="007D0BCE"/>
    <w:rsid w:val="007D0CC6"/>
    <w:rsid w:val="007D10DD"/>
    <w:rsid w:val="007D1DC4"/>
    <w:rsid w:val="007D2990"/>
    <w:rsid w:val="007D2CDC"/>
    <w:rsid w:val="007D391E"/>
    <w:rsid w:val="007D5CD4"/>
    <w:rsid w:val="007D5D9C"/>
    <w:rsid w:val="007D667D"/>
    <w:rsid w:val="007D6818"/>
    <w:rsid w:val="007D6FDD"/>
    <w:rsid w:val="007D70BA"/>
    <w:rsid w:val="007D797D"/>
    <w:rsid w:val="007E0D49"/>
    <w:rsid w:val="007E1C47"/>
    <w:rsid w:val="007E350A"/>
    <w:rsid w:val="007E3A85"/>
    <w:rsid w:val="007E3F18"/>
    <w:rsid w:val="007E43A8"/>
    <w:rsid w:val="007E5616"/>
    <w:rsid w:val="007E5A5E"/>
    <w:rsid w:val="007E69D0"/>
    <w:rsid w:val="007F026B"/>
    <w:rsid w:val="007F0F18"/>
    <w:rsid w:val="007F1128"/>
    <w:rsid w:val="007F1F4F"/>
    <w:rsid w:val="007F2083"/>
    <w:rsid w:val="007F3726"/>
    <w:rsid w:val="007F4242"/>
    <w:rsid w:val="007F4BE0"/>
    <w:rsid w:val="007F5131"/>
    <w:rsid w:val="007F5AB0"/>
    <w:rsid w:val="007F5AEB"/>
    <w:rsid w:val="007F5EEF"/>
    <w:rsid w:val="007F5F88"/>
    <w:rsid w:val="007F73FE"/>
    <w:rsid w:val="007F7E15"/>
    <w:rsid w:val="008009D3"/>
    <w:rsid w:val="008019EE"/>
    <w:rsid w:val="0080230F"/>
    <w:rsid w:val="00802993"/>
    <w:rsid w:val="00802F0F"/>
    <w:rsid w:val="008063E0"/>
    <w:rsid w:val="00806600"/>
    <w:rsid w:val="00806715"/>
    <w:rsid w:val="0080711D"/>
    <w:rsid w:val="00807941"/>
    <w:rsid w:val="00807AE2"/>
    <w:rsid w:val="00810DD6"/>
    <w:rsid w:val="00811AE9"/>
    <w:rsid w:val="00811AEF"/>
    <w:rsid w:val="00811F67"/>
    <w:rsid w:val="00814691"/>
    <w:rsid w:val="00814751"/>
    <w:rsid w:val="008159B3"/>
    <w:rsid w:val="00816443"/>
    <w:rsid w:val="008205B1"/>
    <w:rsid w:val="00820799"/>
    <w:rsid w:val="00820D24"/>
    <w:rsid w:val="0082237A"/>
    <w:rsid w:val="0082299F"/>
    <w:rsid w:val="00824519"/>
    <w:rsid w:val="00824ABE"/>
    <w:rsid w:val="00824BC0"/>
    <w:rsid w:val="00827E31"/>
    <w:rsid w:val="00830B28"/>
    <w:rsid w:val="00834BBE"/>
    <w:rsid w:val="00835AC8"/>
    <w:rsid w:val="008367BC"/>
    <w:rsid w:val="00836859"/>
    <w:rsid w:val="00836BE3"/>
    <w:rsid w:val="00836BFD"/>
    <w:rsid w:val="00836DF0"/>
    <w:rsid w:val="00836FA6"/>
    <w:rsid w:val="00837BDA"/>
    <w:rsid w:val="00837EEB"/>
    <w:rsid w:val="0084039B"/>
    <w:rsid w:val="00842AAB"/>
    <w:rsid w:val="00843171"/>
    <w:rsid w:val="00844A64"/>
    <w:rsid w:val="00845AFF"/>
    <w:rsid w:val="00846092"/>
    <w:rsid w:val="00846130"/>
    <w:rsid w:val="00846CBE"/>
    <w:rsid w:val="00850F60"/>
    <w:rsid w:val="008510E6"/>
    <w:rsid w:val="008523F4"/>
    <w:rsid w:val="008525D5"/>
    <w:rsid w:val="00852645"/>
    <w:rsid w:val="00852FFB"/>
    <w:rsid w:val="00853328"/>
    <w:rsid w:val="00854176"/>
    <w:rsid w:val="008558A0"/>
    <w:rsid w:val="008561CC"/>
    <w:rsid w:val="00860023"/>
    <w:rsid w:val="008621EF"/>
    <w:rsid w:val="008627B1"/>
    <w:rsid w:val="00864DDC"/>
    <w:rsid w:val="008650BE"/>
    <w:rsid w:val="00866814"/>
    <w:rsid w:val="00867562"/>
    <w:rsid w:val="00867758"/>
    <w:rsid w:val="00867811"/>
    <w:rsid w:val="008700CF"/>
    <w:rsid w:val="0087318A"/>
    <w:rsid w:val="008733B9"/>
    <w:rsid w:val="00873418"/>
    <w:rsid w:val="00873975"/>
    <w:rsid w:val="00873FDD"/>
    <w:rsid w:val="00874440"/>
    <w:rsid w:val="0087464A"/>
    <w:rsid w:val="008746F7"/>
    <w:rsid w:val="008763C3"/>
    <w:rsid w:val="008766B8"/>
    <w:rsid w:val="00877789"/>
    <w:rsid w:val="00877C34"/>
    <w:rsid w:val="008804E6"/>
    <w:rsid w:val="00880FF0"/>
    <w:rsid w:val="00881114"/>
    <w:rsid w:val="00881CC2"/>
    <w:rsid w:val="00882F5A"/>
    <w:rsid w:val="00883E65"/>
    <w:rsid w:val="008842DA"/>
    <w:rsid w:val="00885181"/>
    <w:rsid w:val="008853B4"/>
    <w:rsid w:val="00885733"/>
    <w:rsid w:val="0088583A"/>
    <w:rsid w:val="00886739"/>
    <w:rsid w:val="00886F7C"/>
    <w:rsid w:val="008877DC"/>
    <w:rsid w:val="00890171"/>
    <w:rsid w:val="008922E2"/>
    <w:rsid w:val="00892DD1"/>
    <w:rsid w:val="00892E3C"/>
    <w:rsid w:val="008930D6"/>
    <w:rsid w:val="00894D47"/>
    <w:rsid w:val="00895159"/>
    <w:rsid w:val="008963E0"/>
    <w:rsid w:val="00896AD0"/>
    <w:rsid w:val="00897185"/>
    <w:rsid w:val="0089778C"/>
    <w:rsid w:val="008979BB"/>
    <w:rsid w:val="00897E47"/>
    <w:rsid w:val="008A10B5"/>
    <w:rsid w:val="008A184D"/>
    <w:rsid w:val="008A1E1D"/>
    <w:rsid w:val="008A3FE9"/>
    <w:rsid w:val="008A41A6"/>
    <w:rsid w:val="008A6197"/>
    <w:rsid w:val="008A6547"/>
    <w:rsid w:val="008A737B"/>
    <w:rsid w:val="008A75BD"/>
    <w:rsid w:val="008B0BEC"/>
    <w:rsid w:val="008B13C2"/>
    <w:rsid w:val="008B1476"/>
    <w:rsid w:val="008B1B16"/>
    <w:rsid w:val="008B1C70"/>
    <w:rsid w:val="008B1CAE"/>
    <w:rsid w:val="008B1E1E"/>
    <w:rsid w:val="008B2024"/>
    <w:rsid w:val="008B2055"/>
    <w:rsid w:val="008B2BF0"/>
    <w:rsid w:val="008B32FB"/>
    <w:rsid w:val="008B388F"/>
    <w:rsid w:val="008B393C"/>
    <w:rsid w:val="008B3975"/>
    <w:rsid w:val="008B4270"/>
    <w:rsid w:val="008B43EA"/>
    <w:rsid w:val="008B4485"/>
    <w:rsid w:val="008B51D4"/>
    <w:rsid w:val="008B662D"/>
    <w:rsid w:val="008B7B8B"/>
    <w:rsid w:val="008C306C"/>
    <w:rsid w:val="008C41DC"/>
    <w:rsid w:val="008C48F9"/>
    <w:rsid w:val="008C5095"/>
    <w:rsid w:val="008C5CBF"/>
    <w:rsid w:val="008C6562"/>
    <w:rsid w:val="008C6A5C"/>
    <w:rsid w:val="008C6AE0"/>
    <w:rsid w:val="008C6BE5"/>
    <w:rsid w:val="008C7552"/>
    <w:rsid w:val="008C7939"/>
    <w:rsid w:val="008C7C32"/>
    <w:rsid w:val="008D0640"/>
    <w:rsid w:val="008D06BD"/>
    <w:rsid w:val="008D099D"/>
    <w:rsid w:val="008D1C1D"/>
    <w:rsid w:val="008D1DB2"/>
    <w:rsid w:val="008D26E7"/>
    <w:rsid w:val="008D4360"/>
    <w:rsid w:val="008D43CF"/>
    <w:rsid w:val="008D5D04"/>
    <w:rsid w:val="008D5F54"/>
    <w:rsid w:val="008D64F8"/>
    <w:rsid w:val="008D694A"/>
    <w:rsid w:val="008D6F21"/>
    <w:rsid w:val="008E0B4E"/>
    <w:rsid w:val="008E0CD4"/>
    <w:rsid w:val="008E17C0"/>
    <w:rsid w:val="008E24CF"/>
    <w:rsid w:val="008E309D"/>
    <w:rsid w:val="008E3A2D"/>
    <w:rsid w:val="008E51EE"/>
    <w:rsid w:val="008E537F"/>
    <w:rsid w:val="008E6BA0"/>
    <w:rsid w:val="008E6C66"/>
    <w:rsid w:val="008E6EAD"/>
    <w:rsid w:val="008E7BDE"/>
    <w:rsid w:val="008F1609"/>
    <w:rsid w:val="008F19A4"/>
    <w:rsid w:val="008F2105"/>
    <w:rsid w:val="008F2AB5"/>
    <w:rsid w:val="008F3715"/>
    <w:rsid w:val="008F43D4"/>
    <w:rsid w:val="008F4592"/>
    <w:rsid w:val="008F610E"/>
    <w:rsid w:val="008F63AA"/>
    <w:rsid w:val="008F6D79"/>
    <w:rsid w:val="008F724E"/>
    <w:rsid w:val="0090110B"/>
    <w:rsid w:val="0090191E"/>
    <w:rsid w:val="00902562"/>
    <w:rsid w:val="009034B8"/>
    <w:rsid w:val="00903932"/>
    <w:rsid w:val="00903B50"/>
    <w:rsid w:val="00904FA8"/>
    <w:rsid w:val="00905582"/>
    <w:rsid w:val="00905D75"/>
    <w:rsid w:val="009065BE"/>
    <w:rsid w:val="00906D1E"/>
    <w:rsid w:val="00907DF5"/>
    <w:rsid w:val="009110AF"/>
    <w:rsid w:val="009110DF"/>
    <w:rsid w:val="0091293D"/>
    <w:rsid w:val="009129A5"/>
    <w:rsid w:val="00912C91"/>
    <w:rsid w:val="009131F9"/>
    <w:rsid w:val="0091392D"/>
    <w:rsid w:val="00913AAA"/>
    <w:rsid w:val="009140E5"/>
    <w:rsid w:val="00914B32"/>
    <w:rsid w:val="00914BB6"/>
    <w:rsid w:val="00914BFD"/>
    <w:rsid w:val="00914C46"/>
    <w:rsid w:val="00916963"/>
    <w:rsid w:val="009171D9"/>
    <w:rsid w:val="009179F7"/>
    <w:rsid w:val="00920A0E"/>
    <w:rsid w:val="00920E43"/>
    <w:rsid w:val="00921192"/>
    <w:rsid w:val="00921FD3"/>
    <w:rsid w:val="00922859"/>
    <w:rsid w:val="009267C9"/>
    <w:rsid w:val="00930CA6"/>
    <w:rsid w:val="00932EF5"/>
    <w:rsid w:val="0093307E"/>
    <w:rsid w:val="00933551"/>
    <w:rsid w:val="0093363C"/>
    <w:rsid w:val="009338CB"/>
    <w:rsid w:val="00933CC3"/>
    <w:rsid w:val="0093668F"/>
    <w:rsid w:val="00936A5F"/>
    <w:rsid w:val="00936C16"/>
    <w:rsid w:val="0094007F"/>
    <w:rsid w:val="00941553"/>
    <w:rsid w:val="009420D9"/>
    <w:rsid w:val="00942106"/>
    <w:rsid w:val="00943443"/>
    <w:rsid w:val="00943448"/>
    <w:rsid w:val="00943BD7"/>
    <w:rsid w:val="00944DA1"/>
    <w:rsid w:val="00945112"/>
    <w:rsid w:val="0094687C"/>
    <w:rsid w:val="00946BDF"/>
    <w:rsid w:val="00946E1A"/>
    <w:rsid w:val="00950978"/>
    <w:rsid w:val="00950BCF"/>
    <w:rsid w:val="009513E7"/>
    <w:rsid w:val="0095159C"/>
    <w:rsid w:val="00951C81"/>
    <w:rsid w:val="00951E48"/>
    <w:rsid w:val="00952150"/>
    <w:rsid w:val="009522B1"/>
    <w:rsid w:val="009526AE"/>
    <w:rsid w:val="00952A1C"/>
    <w:rsid w:val="0095638D"/>
    <w:rsid w:val="009568B1"/>
    <w:rsid w:val="00956DE1"/>
    <w:rsid w:val="00957261"/>
    <w:rsid w:val="00957732"/>
    <w:rsid w:val="00957872"/>
    <w:rsid w:val="009608F3"/>
    <w:rsid w:val="00962BAC"/>
    <w:rsid w:val="00962E44"/>
    <w:rsid w:val="00963C0B"/>
    <w:rsid w:val="00963ED6"/>
    <w:rsid w:val="009647B3"/>
    <w:rsid w:val="009650A3"/>
    <w:rsid w:val="00965874"/>
    <w:rsid w:val="00965AC8"/>
    <w:rsid w:val="00965AEC"/>
    <w:rsid w:val="00965E5D"/>
    <w:rsid w:val="0097151E"/>
    <w:rsid w:val="009715EC"/>
    <w:rsid w:val="009716C5"/>
    <w:rsid w:val="00972CD8"/>
    <w:rsid w:val="0097397D"/>
    <w:rsid w:val="00973C55"/>
    <w:rsid w:val="009741AA"/>
    <w:rsid w:val="009744B5"/>
    <w:rsid w:val="009751CC"/>
    <w:rsid w:val="0097533C"/>
    <w:rsid w:val="0097572D"/>
    <w:rsid w:val="009764AB"/>
    <w:rsid w:val="00976C2A"/>
    <w:rsid w:val="00977675"/>
    <w:rsid w:val="009800D9"/>
    <w:rsid w:val="00981EE1"/>
    <w:rsid w:val="009821B1"/>
    <w:rsid w:val="00982B96"/>
    <w:rsid w:val="0098345B"/>
    <w:rsid w:val="009837FB"/>
    <w:rsid w:val="009846A5"/>
    <w:rsid w:val="00984F0E"/>
    <w:rsid w:val="00985F37"/>
    <w:rsid w:val="0098757B"/>
    <w:rsid w:val="009877C6"/>
    <w:rsid w:val="0099010F"/>
    <w:rsid w:val="0099155A"/>
    <w:rsid w:val="0099197F"/>
    <w:rsid w:val="00991AB1"/>
    <w:rsid w:val="00991B65"/>
    <w:rsid w:val="00991C8D"/>
    <w:rsid w:val="00992375"/>
    <w:rsid w:val="00992621"/>
    <w:rsid w:val="00992B9F"/>
    <w:rsid w:val="00993A48"/>
    <w:rsid w:val="00993C60"/>
    <w:rsid w:val="00995758"/>
    <w:rsid w:val="00997945"/>
    <w:rsid w:val="00997AD7"/>
    <w:rsid w:val="009A0336"/>
    <w:rsid w:val="009A0569"/>
    <w:rsid w:val="009A0BD3"/>
    <w:rsid w:val="009A101E"/>
    <w:rsid w:val="009A11FE"/>
    <w:rsid w:val="009A151B"/>
    <w:rsid w:val="009A16B8"/>
    <w:rsid w:val="009A1931"/>
    <w:rsid w:val="009A3373"/>
    <w:rsid w:val="009A37ED"/>
    <w:rsid w:val="009A4175"/>
    <w:rsid w:val="009A4189"/>
    <w:rsid w:val="009A4D03"/>
    <w:rsid w:val="009A4F1D"/>
    <w:rsid w:val="009A66DB"/>
    <w:rsid w:val="009A7321"/>
    <w:rsid w:val="009A7B93"/>
    <w:rsid w:val="009B0285"/>
    <w:rsid w:val="009B04CE"/>
    <w:rsid w:val="009B139B"/>
    <w:rsid w:val="009B1609"/>
    <w:rsid w:val="009B1EFA"/>
    <w:rsid w:val="009B218A"/>
    <w:rsid w:val="009B27FB"/>
    <w:rsid w:val="009B3017"/>
    <w:rsid w:val="009B3586"/>
    <w:rsid w:val="009B6208"/>
    <w:rsid w:val="009B750C"/>
    <w:rsid w:val="009B7D58"/>
    <w:rsid w:val="009C1825"/>
    <w:rsid w:val="009C1A93"/>
    <w:rsid w:val="009C1DF4"/>
    <w:rsid w:val="009C2E24"/>
    <w:rsid w:val="009C2E32"/>
    <w:rsid w:val="009C3AF7"/>
    <w:rsid w:val="009C41E9"/>
    <w:rsid w:val="009C42F0"/>
    <w:rsid w:val="009C4FDF"/>
    <w:rsid w:val="009C5747"/>
    <w:rsid w:val="009C6038"/>
    <w:rsid w:val="009C6B8E"/>
    <w:rsid w:val="009D0BAF"/>
    <w:rsid w:val="009D11FA"/>
    <w:rsid w:val="009D2116"/>
    <w:rsid w:val="009D27AF"/>
    <w:rsid w:val="009D3B58"/>
    <w:rsid w:val="009D3F6B"/>
    <w:rsid w:val="009D41BF"/>
    <w:rsid w:val="009D4FF1"/>
    <w:rsid w:val="009D5752"/>
    <w:rsid w:val="009D5854"/>
    <w:rsid w:val="009D5AFE"/>
    <w:rsid w:val="009D637F"/>
    <w:rsid w:val="009D6913"/>
    <w:rsid w:val="009D6CB1"/>
    <w:rsid w:val="009E10C4"/>
    <w:rsid w:val="009E1BA3"/>
    <w:rsid w:val="009E2234"/>
    <w:rsid w:val="009E244A"/>
    <w:rsid w:val="009E2B08"/>
    <w:rsid w:val="009E311A"/>
    <w:rsid w:val="009E32EA"/>
    <w:rsid w:val="009E3745"/>
    <w:rsid w:val="009E3FE8"/>
    <w:rsid w:val="009E4382"/>
    <w:rsid w:val="009E604E"/>
    <w:rsid w:val="009E6286"/>
    <w:rsid w:val="009E653E"/>
    <w:rsid w:val="009E6695"/>
    <w:rsid w:val="009E6CF8"/>
    <w:rsid w:val="009E7A80"/>
    <w:rsid w:val="009F0818"/>
    <w:rsid w:val="009F093D"/>
    <w:rsid w:val="009F094E"/>
    <w:rsid w:val="009F0BB6"/>
    <w:rsid w:val="009F1DD1"/>
    <w:rsid w:val="009F2C0C"/>
    <w:rsid w:val="009F59BC"/>
    <w:rsid w:val="009F5CDD"/>
    <w:rsid w:val="009F5E6C"/>
    <w:rsid w:val="009F6052"/>
    <w:rsid w:val="009F79DE"/>
    <w:rsid w:val="009F7FB4"/>
    <w:rsid w:val="00A00C74"/>
    <w:rsid w:val="00A0170B"/>
    <w:rsid w:val="00A019F4"/>
    <w:rsid w:val="00A0202A"/>
    <w:rsid w:val="00A03005"/>
    <w:rsid w:val="00A045B6"/>
    <w:rsid w:val="00A05E19"/>
    <w:rsid w:val="00A06043"/>
    <w:rsid w:val="00A072B2"/>
    <w:rsid w:val="00A112E9"/>
    <w:rsid w:val="00A11C8C"/>
    <w:rsid w:val="00A121E4"/>
    <w:rsid w:val="00A123C0"/>
    <w:rsid w:val="00A12F18"/>
    <w:rsid w:val="00A13A3C"/>
    <w:rsid w:val="00A13AB5"/>
    <w:rsid w:val="00A153A3"/>
    <w:rsid w:val="00A15836"/>
    <w:rsid w:val="00A15A07"/>
    <w:rsid w:val="00A15C58"/>
    <w:rsid w:val="00A15FD9"/>
    <w:rsid w:val="00A16730"/>
    <w:rsid w:val="00A17055"/>
    <w:rsid w:val="00A17744"/>
    <w:rsid w:val="00A17AB3"/>
    <w:rsid w:val="00A17C31"/>
    <w:rsid w:val="00A210DA"/>
    <w:rsid w:val="00A21A63"/>
    <w:rsid w:val="00A22EFF"/>
    <w:rsid w:val="00A236FF"/>
    <w:rsid w:val="00A24F24"/>
    <w:rsid w:val="00A26F07"/>
    <w:rsid w:val="00A27F25"/>
    <w:rsid w:val="00A305B9"/>
    <w:rsid w:val="00A307EF"/>
    <w:rsid w:val="00A316BB"/>
    <w:rsid w:val="00A31918"/>
    <w:rsid w:val="00A31B5C"/>
    <w:rsid w:val="00A321F3"/>
    <w:rsid w:val="00A32467"/>
    <w:rsid w:val="00A33723"/>
    <w:rsid w:val="00A342F4"/>
    <w:rsid w:val="00A34853"/>
    <w:rsid w:val="00A35182"/>
    <w:rsid w:val="00A35DA9"/>
    <w:rsid w:val="00A36081"/>
    <w:rsid w:val="00A361E8"/>
    <w:rsid w:val="00A400D0"/>
    <w:rsid w:val="00A40D37"/>
    <w:rsid w:val="00A411AC"/>
    <w:rsid w:val="00A41A25"/>
    <w:rsid w:val="00A4256D"/>
    <w:rsid w:val="00A42AA1"/>
    <w:rsid w:val="00A435EC"/>
    <w:rsid w:val="00A43CD3"/>
    <w:rsid w:val="00A455C0"/>
    <w:rsid w:val="00A45877"/>
    <w:rsid w:val="00A461B2"/>
    <w:rsid w:val="00A46CEA"/>
    <w:rsid w:val="00A475B4"/>
    <w:rsid w:val="00A47835"/>
    <w:rsid w:val="00A50119"/>
    <w:rsid w:val="00A50453"/>
    <w:rsid w:val="00A50C20"/>
    <w:rsid w:val="00A5186F"/>
    <w:rsid w:val="00A52D31"/>
    <w:rsid w:val="00A530BB"/>
    <w:rsid w:val="00A53A3D"/>
    <w:rsid w:val="00A53E93"/>
    <w:rsid w:val="00A544F2"/>
    <w:rsid w:val="00A5453B"/>
    <w:rsid w:val="00A5466C"/>
    <w:rsid w:val="00A54BCF"/>
    <w:rsid w:val="00A55158"/>
    <w:rsid w:val="00A55BDF"/>
    <w:rsid w:val="00A565B3"/>
    <w:rsid w:val="00A56D05"/>
    <w:rsid w:val="00A572D2"/>
    <w:rsid w:val="00A57B5F"/>
    <w:rsid w:val="00A60970"/>
    <w:rsid w:val="00A610A6"/>
    <w:rsid w:val="00A61CD7"/>
    <w:rsid w:val="00A6253C"/>
    <w:rsid w:val="00A627A2"/>
    <w:rsid w:val="00A63A00"/>
    <w:rsid w:val="00A6429D"/>
    <w:rsid w:val="00A644E7"/>
    <w:rsid w:val="00A64527"/>
    <w:rsid w:val="00A645E4"/>
    <w:rsid w:val="00A646CB"/>
    <w:rsid w:val="00A6577D"/>
    <w:rsid w:val="00A658F4"/>
    <w:rsid w:val="00A65C50"/>
    <w:rsid w:val="00A65F97"/>
    <w:rsid w:val="00A66097"/>
    <w:rsid w:val="00A6624B"/>
    <w:rsid w:val="00A66260"/>
    <w:rsid w:val="00A6678E"/>
    <w:rsid w:val="00A668EA"/>
    <w:rsid w:val="00A673FF"/>
    <w:rsid w:val="00A67435"/>
    <w:rsid w:val="00A70F6F"/>
    <w:rsid w:val="00A71903"/>
    <w:rsid w:val="00A73A3A"/>
    <w:rsid w:val="00A744DE"/>
    <w:rsid w:val="00A74D61"/>
    <w:rsid w:val="00A75FB5"/>
    <w:rsid w:val="00A7601C"/>
    <w:rsid w:val="00A77967"/>
    <w:rsid w:val="00A80F72"/>
    <w:rsid w:val="00A812F5"/>
    <w:rsid w:val="00A81484"/>
    <w:rsid w:val="00A8205F"/>
    <w:rsid w:val="00A82224"/>
    <w:rsid w:val="00A82F62"/>
    <w:rsid w:val="00A830F3"/>
    <w:rsid w:val="00A8378D"/>
    <w:rsid w:val="00A83939"/>
    <w:rsid w:val="00A83EEB"/>
    <w:rsid w:val="00A84916"/>
    <w:rsid w:val="00A84D60"/>
    <w:rsid w:val="00A85D35"/>
    <w:rsid w:val="00A86673"/>
    <w:rsid w:val="00A8747F"/>
    <w:rsid w:val="00A87673"/>
    <w:rsid w:val="00A91430"/>
    <w:rsid w:val="00A91440"/>
    <w:rsid w:val="00A917CC"/>
    <w:rsid w:val="00A92B46"/>
    <w:rsid w:val="00A93017"/>
    <w:rsid w:val="00A93A9B"/>
    <w:rsid w:val="00A943BC"/>
    <w:rsid w:val="00A94B9E"/>
    <w:rsid w:val="00A94CB4"/>
    <w:rsid w:val="00A97CD6"/>
    <w:rsid w:val="00AA149F"/>
    <w:rsid w:val="00AA2C68"/>
    <w:rsid w:val="00AA4150"/>
    <w:rsid w:val="00AA53E2"/>
    <w:rsid w:val="00AA601A"/>
    <w:rsid w:val="00AA6291"/>
    <w:rsid w:val="00AA6814"/>
    <w:rsid w:val="00AA6ED5"/>
    <w:rsid w:val="00AB07CF"/>
    <w:rsid w:val="00AB0A2B"/>
    <w:rsid w:val="00AB1175"/>
    <w:rsid w:val="00AB1B5C"/>
    <w:rsid w:val="00AB1B71"/>
    <w:rsid w:val="00AB1D97"/>
    <w:rsid w:val="00AB219E"/>
    <w:rsid w:val="00AB26A5"/>
    <w:rsid w:val="00AB473F"/>
    <w:rsid w:val="00AB4F56"/>
    <w:rsid w:val="00AB5BA5"/>
    <w:rsid w:val="00AB6D32"/>
    <w:rsid w:val="00AC00CB"/>
    <w:rsid w:val="00AC032A"/>
    <w:rsid w:val="00AC0F59"/>
    <w:rsid w:val="00AC1454"/>
    <w:rsid w:val="00AC1E82"/>
    <w:rsid w:val="00AC2B26"/>
    <w:rsid w:val="00AC3B70"/>
    <w:rsid w:val="00AC5061"/>
    <w:rsid w:val="00AC56C7"/>
    <w:rsid w:val="00AC617E"/>
    <w:rsid w:val="00AC6916"/>
    <w:rsid w:val="00AC76BA"/>
    <w:rsid w:val="00AC7DA1"/>
    <w:rsid w:val="00AC7FD8"/>
    <w:rsid w:val="00AD027C"/>
    <w:rsid w:val="00AD3C7F"/>
    <w:rsid w:val="00AD4526"/>
    <w:rsid w:val="00AD6C8D"/>
    <w:rsid w:val="00AD7319"/>
    <w:rsid w:val="00AD7380"/>
    <w:rsid w:val="00AE09D7"/>
    <w:rsid w:val="00AE3415"/>
    <w:rsid w:val="00AE37E2"/>
    <w:rsid w:val="00AE3990"/>
    <w:rsid w:val="00AE4B88"/>
    <w:rsid w:val="00AE4E85"/>
    <w:rsid w:val="00AE5332"/>
    <w:rsid w:val="00AE5C92"/>
    <w:rsid w:val="00AE5F23"/>
    <w:rsid w:val="00AE649C"/>
    <w:rsid w:val="00AE7C1F"/>
    <w:rsid w:val="00AE7EBF"/>
    <w:rsid w:val="00AE7F4C"/>
    <w:rsid w:val="00AF001D"/>
    <w:rsid w:val="00AF0081"/>
    <w:rsid w:val="00AF0BF8"/>
    <w:rsid w:val="00AF0EDA"/>
    <w:rsid w:val="00AF2084"/>
    <w:rsid w:val="00AF4587"/>
    <w:rsid w:val="00AF48B4"/>
    <w:rsid w:val="00AF4A96"/>
    <w:rsid w:val="00AF5A86"/>
    <w:rsid w:val="00AF6094"/>
    <w:rsid w:val="00AF6CE4"/>
    <w:rsid w:val="00AF7006"/>
    <w:rsid w:val="00AF7A1C"/>
    <w:rsid w:val="00AF7E88"/>
    <w:rsid w:val="00B0028F"/>
    <w:rsid w:val="00B0242C"/>
    <w:rsid w:val="00B026F1"/>
    <w:rsid w:val="00B03E64"/>
    <w:rsid w:val="00B04382"/>
    <w:rsid w:val="00B043F3"/>
    <w:rsid w:val="00B044E0"/>
    <w:rsid w:val="00B058BA"/>
    <w:rsid w:val="00B05B6C"/>
    <w:rsid w:val="00B066E8"/>
    <w:rsid w:val="00B06DB0"/>
    <w:rsid w:val="00B106FD"/>
    <w:rsid w:val="00B10744"/>
    <w:rsid w:val="00B11E7B"/>
    <w:rsid w:val="00B11E7C"/>
    <w:rsid w:val="00B12CC0"/>
    <w:rsid w:val="00B1347D"/>
    <w:rsid w:val="00B13802"/>
    <w:rsid w:val="00B13DFB"/>
    <w:rsid w:val="00B14C8A"/>
    <w:rsid w:val="00B15FDF"/>
    <w:rsid w:val="00B17847"/>
    <w:rsid w:val="00B17CE6"/>
    <w:rsid w:val="00B203F1"/>
    <w:rsid w:val="00B217BF"/>
    <w:rsid w:val="00B25117"/>
    <w:rsid w:val="00B25783"/>
    <w:rsid w:val="00B27B91"/>
    <w:rsid w:val="00B30099"/>
    <w:rsid w:val="00B30AEA"/>
    <w:rsid w:val="00B31F4D"/>
    <w:rsid w:val="00B31FF3"/>
    <w:rsid w:val="00B32D58"/>
    <w:rsid w:val="00B32E28"/>
    <w:rsid w:val="00B3339D"/>
    <w:rsid w:val="00B349C9"/>
    <w:rsid w:val="00B35960"/>
    <w:rsid w:val="00B359C9"/>
    <w:rsid w:val="00B35F11"/>
    <w:rsid w:val="00B369E6"/>
    <w:rsid w:val="00B36CDF"/>
    <w:rsid w:val="00B37438"/>
    <w:rsid w:val="00B37E1E"/>
    <w:rsid w:val="00B40863"/>
    <w:rsid w:val="00B40F78"/>
    <w:rsid w:val="00B4132C"/>
    <w:rsid w:val="00B41477"/>
    <w:rsid w:val="00B419B1"/>
    <w:rsid w:val="00B42442"/>
    <w:rsid w:val="00B42E68"/>
    <w:rsid w:val="00B43076"/>
    <w:rsid w:val="00B43F2B"/>
    <w:rsid w:val="00B44874"/>
    <w:rsid w:val="00B4493A"/>
    <w:rsid w:val="00B44A41"/>
    <w:rsid w:val="00B4654F"/>
    <w:rsid w:val="00B4683B"/>
    <w:rsid w:val="00B468DC"/>
    <w:rsid w:val="00B46BEE"/>
    <w:rsid w:val="00B46DF1"/>
    <w:rsid w:val="00B473A1"/>
    <w:rsid w:val="00B47621"/>
    <w:rsid w:val="00B4789B"/>
    <w:rsid w:val="00B47974"/>
    <w:rsid w:val="00B50F58"/>
    <w:rsid w:val="00B51C59"/>
    <w:rsid w:val="00B51DB4"/>
    <w:rsid w:val="00B52071"/>
    <w:rsid w:val="00B54219"/>
    <w:rsid w:val="00B54ECA"/>
    <w:rsid w:val="00B5547A"/>
    <w:rsid w:val="00B5667B"/>
    <w:rsid w:val="00B5686C"/>
    <w:rsid w:val="00B57A10"/>
    <w:rsid w:val="00B6155F"/>
    <w:rsid w:val="00B62E60"/>
    <w:rsid w:val="00B64353"/>
    <w:rsid w:val="00B64C20"/>
    <w:rsid w:val="00B64F97"/>
    <w:rsid w:val="00B6629E"/>
    <w:rsid w:val="00B665A5"/>
    <w:rsid w:val="00B66D0B"/>
    <w:rsid w:val="00B673B6"/>
    <w:rsid w:val="00B67724"/>
    <w:rsid w:val="00B7110A"/>
    <w:rsid w:val="00B72C24"/>
    <w:rsid w:val="00B72FF3"/>
    <w:rsid w:val="00B73F97"/>
    <w:rsid w:val="00B74735"/>
    <w:rsid w:val="00B75930"/>
    <w:rsid w:val="00B76031"/>
    <w:rsid w:val="00B760D0"/>
    <w:rsid w:val="00B77157"/>
    <w:rsid w:val="00B77FD6"/>
    <w:rsid w:val="00B80137"/>
    <w:rsid w:val="00B8105D"/>
    <w:rsid w:val="00B81E94"/>
    <w:rsid w:val="00B824A2"/>
    <w:rsid w:val="00B82514"/>
    <w:rsid w:val="00B8317A"/>
    <w:rsid w:val="00B83229"/>
    <w:rsid w:val="00B83368"/>
    <w:rsid w:val="00B843E7"/>
    <w:rsid w:val="00B84D62"/>
    <w:rsid w:val="00B8653D"/>
    <w:rsid w:val="00B87330"/>
    <w:rsid w:val="00B87B6B"/>
    <w:rsid w:val="00B905BC"/>
    <w:rsid w:val="00B906B3"/>
    <w:rsid w:val="00B9084E"/>
    <w:rsid w:val="00B9117C"/>
    <w:rsid w:val="00B91663"/>
    <w:rsid w:val="00B92ED7"/>
    <w:rsid w:val="00B9313F"/>
    <w:rsid w:val="00B932B0"/>
    <w:rsid w:val="00B9347C"/>
    <w:rsid w:val="00B935F7"/>
    <w:rsid w:val="00B9372F"/>
    <w:rsid w:val="00B94240"/>
    <w:rsid w:val="00B9469C"/>
    <w:rsid w:val="00B95283"/>
    <w:rsid w:val="00B96161"/>
    <w:rsid w:val="00B974F2"/>
    <w:rsid w:val="00BA0A22"/>
    <w:rsid w:val="00BA155D"/>
    <w:rsid w:val="00BA222D"/>
    <w:rsid w:val="00BA2A16"/>
    <w:rsid w:val="00BA3E49"/>
    <w:rsid w:val="00BA46F9"/>
    <w:rsid w:val="00BA4ACF"/>
    <w:rsid w:val="00BA51DD"/>
    <w:rsid w:val="00BA54F0"/>
    <w:rsid w:val="00BA7590"/>
    <w:rsid w:val="00BA7764"/>
    <w:rsid w:val="00BB0308"/>
    <w:rsid w:val="00BB0ED8"/>
    <w:rsid w:val="00BB0F7B"/>
    <w:rsid w:val="00BB127F"/>
    <w:rsid w:val="00BB17A9"/>
    <w:rsid w:val="00BB1BBC"/>
    <w:rsid w:val="00BB20D1"/>
    <w:rsid w:val="00BB272E"/>
    <w:rsid w:val="00BB39B7"/>
    <w:rsid w:val="00BB3AEB"/>
    <w:rsid w:val="00BB3D64"/>
    <w:rsid w:val="00BB65B7"/>
    <w:rsid w:val="00BB77E3"/>
    <w:rsid w:val="00BB7BB9"/>
    <w:rsid w:val="00BC002B"/>
    <w:rsid w:val="00BC0E8B"/>
    <w:rsid w:val="00BC1E8D"/>
    <w:rsid w:val="00BC233A"/>
    <w:rsid w:val="00BC26F1"/>
    <w:rsid w:val="00BC27B5"/>
    <w:rsid w:val="00BC3072"/>
    <w:rsid w:val="00BC486D"/>
    <w:rsid w:val="00BC51C9"/>
    <w:rsid w:val="00BC5E51"/>
    <w:rsid w:val="00BC7C34"/>
    <w:rsid w:val="00BC7E7B"/>
    <w:rsid w:val="00BD1F87"/>
    <w:rsid w:val="00BD422B"/>
    <w:rsid w:val="00BD4B44"/>
    <w:rsid w:val="00BD4C62"/>
    <w:rsid w:val="00BD4D1B"/>
    <w:rsid w:val="00BD5D63"/>
    <w:rsid w:val="00BD7086"/>
    <w:rsid w:val="00BD7DB7"/>
    <w:rsid w:val="00BE058D"/>
    <w:rsid w:val="00BE067F"/>
    <w:rsid w:val="00BE074A"/>
    <w:rsid w:val="00BE09C8"/>
    <w:rsid w:val="00BE1B24"/>
    <w:rsid w:val="00BE2E82"/>
    <w:rsid w:val="00BE3515"/>
    <w:rsid w:val="00BE38D3"/>
    <w:rsid w:val="00BE4093"/>
    <w:rsid w:val="00BE5780"/>
    <w:rsid w:val="00BE57DC"/>
    <w:rsid w:val="00BE5925"/>
    <w:rsid w:val="00BE5F81"/>
    <w:rsid w:val="00BE6F8E"/>
    <w:rsid w:val="00BE7F32"/>
    <w:rsid w:val="00BF0C0D"/>
    <w:rsid w:val="00BF0FA9"/>
    <w:rsid w:val="00BF10EE"/>
    <w:rsid w:val="00BF1807"/>
    <w:rsid w:val="00BF1CF1"/>
    <w:rsid w:val="00BF1F6A"/>
    <w:rsid w:val="00BF2997"/>
    <w:rsid w:val="00BF2EE2"/>
    <w:rsid w:val="00BF33A3"/>
    <w:rsid w:val="00BF3436"/>
    <w:rsid w:val="00BF47AA"/>
    <w:rsid w:val="00BF49B0"/>
    <w:rsid w:val="00BF54E4"/>
    <w:rsid w:val="00BF645D"/>
    <w:rsid w:val="00BF6676"/>
    <w:rsid w:val="00BF6C9F"/>
    <w:rsid w:val="00BF6E40"/>
    <w:rsid w:val="00BF7C16"/>
    <w:rsid w:val="00BF7CEE"/>
    <w:rsid w:val="00BF7E5B"/>
    <w:rsid w:val="00C03211"/>
    <w:rsid w:val="00C03CAF"/>
    <w:rsid w:val="00C04632"/>
    <w:rsid w:val="00C047AA"/>
    <w:rsid w:val="00C04EF4"/>
    <w:rsid w:val="00C071D2"/>
    <w:rsid w:val="00C07381"/>
    <w:rsid w:val="00C075D3"/>
    <w:rsid w:val="00C078AD"/>
    <w:rsid w:val="00C07BFE"/>
    <w:rsid w:val="00C07C6A"/>
    <w:rsid w:val="00C10858"/>
    <w:rsid w:val="00C11333"/>
    <w:rsid w:val="00C11AB0"/>
    <w:rsid w:val="00C12177"/>
    <w:rsid w:val="00C1245F"/>
    <w:rsid w:val="00C130FE"/>
    <w:rsid w:val="00C136A3"/>
    <w:rsid w:val="00C13AF0"/>
    <w:rsid w:val="00C14CE5"/>
    <w:rsid w:val="00C14DC4"/>
    <w:rsid w:val="00C15144"/>
    <w:rsid w:val="00C15E91"/>
    <w:rsid w:val="00C1730A"/>
    <w:rsid w:val="00C17A25"/>
    <w:rsid w:val="00C20937"/>
    <w:rsid w:val="00C20B08"/>
    <w:rsid w:val="00C213D2"/>
    <w:rsid w:val="00C214E1"/>
    <w:rsid w:val="00C21B44"/>
    <w:rsid w:val="00C22FD3"/>
    <w:rsid w:val="00C2375D"/>
    <w:rsid w:val="00C23E79"/>
    <w:rsid w:val="00C24186"/>
    <w:rsid w:val="00C2655D"/>
    <w:rsid w:val="00C26656"/>
    <w:rsid w:val="00C269DC"/>
    <w:rsid w:val="00C27783"/>
    <w:rsid w:val="00C277F3"/>
    <w:rsid w:val="00C3123D"/>
    <w:rsid w:val="00C31CB6"/>
    <w:rsid w:val="00C31D24"/>
    <w:rsid w:val="00C32472"/>
    <w:rsid w:val="00C32705"/>
    <w:rsid w:val="00C33678"/>
    <w:rsid w:val="00C33EDD"/>
    <w:rsid w:val="00C3403A"/>
    <w:rsid w:val="00C3432B"/>
    <w:rsid w:val="00C34580"/>
    <w:rsid w:val="00C346DA"/>
    <w:rsid w:val="00C34F9E"/>
    <w:rsid w:val="00C362C2"/>
    <w:rsid w:val="00C36601"/>
    <w:rsid w:val="00C36C8A"/>
    <w:rsid w:val="00C371BF"/>
    <w:rsid w:val="00C37598"/>
    <w:rsid w:val="00C3768E"/>
    <w:rsid w:val="00C377AD"/>
    <w:rsid w:val="00C408E8"/>
    <w:rsid w:val="00C41121"/>
    <w:rsid w:val="00C421DA"/>
    <w:rsid w:val="00C42621"/>
    <w:rsid w:val="00C42717"/>
    <w:rsid w:val="00C427DD"/>
    <w:rsid w:val="00C444B2"/>
    <w:rsid w:val="00C445C6"/>
    <w:rsid w:val="00C44E8B"/>
    <w:rsid w:val="00C44EEC"/>
    <w:rsid w:val="00C45305"/>
    <w:rsid w:val="00C45B8D"/>
    <w:rsid w:val="00C469A8"/>
    <w:rsid w:val="00C46BDA"/>
    <w:rsid w:val="00C474C3"/>
    <w:rsid w:val="00C479AB"/>
    <w:rsid w:val="00C504EF"/>
    <w:rsid w:val="00C5063C"/>
    <w:rsid w:val="00C50FB3"/>
    <w:rsid w:val="00C519E7"/>
    <w:rsid w:val="00C53247"/>
    <w:rsid w:val="00C53A99"/>
    <w:rsid w:val="00C54512"/>
    <w:rsid w:val="00C55E7B"/>
    <w:rsid w:val="00C56213"/>
    <w:rsid w:val="00C5699F"/>
    <w:rsid w:val="00C56ED8"/>
    <w:rsid w:val="00C60061"/>
    <w:rsid w:val="00C60D4A"/>
    <w:rsid w:val="00C631C9"/>
    <w:rsid w:val="00C63A9B"/>
    <w:rsid w:val="00C63E38"/>
    <w:rsid w:val="00C66F7B"/>
    <w:rsid w:val="00C66FBF"/>
    <w:rsid w:val="00C6749C"/>
    <w:rsid w:val="00C716D6"/>
    <w:rsid w:val="00C71BE1"/>
    <w:rsid w:val="00C723AA"/>
    <w:rsid w:val="00C7252C"/>
    <w:rsid w:val="00C7283D"/>
    <w:rsid w:val="00C73900"/>
    <w:rsid w:val="00C73A1F"/>
    <w:rsid w:val="00C73D46"/>
    <w:rsid w:val="00C74C22"/>
    <w:rsid w:val="00C7576C"/>
    <w:rsid w:val="00C776CE"/>
    <w:rsid w:val="00C80947"/>
    <w:rsid w:val="00C82024"/>
    <w:rsid w:val="00C82D9C"/>
    <w:rsid w:val="00C83342"/>
    <w:rsid w:val="00C83EB1"/>
    <w:rsid w:val="00C840B4"/>
    <w:rsid w:val="00C8536F"/>
    <w:rsid w:val="00C867CA"/>
    <w:rsid w:val="00C86E26"/>
    <w:rsid w:val="00C87A66"/>
    <w:rsid w:val="00C912A3"/>
    <w:rsid w:val="00C9156E"/>
    <w:rsid w:val="00C9187F"/>
    <w:rsid w:val="00C93627"/>
    <w:rsid w:val="00C93B8F"/>
    <w:rsid w:val="00C93C9F"/>
    <w:rsid w:val="00C94BC4"/>
    <w:rsid w:val="00C94C9D"/>
    <w:rsid w:val="00C9582D"/>
    <w:rsid w:val="00C97118"/>
    <w:rsid w:val="00C97294"/>
    <w:rsid w:val="00CA0CCC"/>
    <w:rsid w:val="00CA0F4E"/>
    <w:rsid w:val="00CA10E6"/>
    <w:rsid w:val="00CA1F85"/>
    <w:rsid w:val="00CA3751"/>
    <w:rsid w:val="00CA3B07"/>
    <w:rsid w:val="00CA5377"/>
    <w:rsid w:val="00CA5564"/>
    <w:rsid w:val="00CA7362"/>
    <w:rsid w:val="00CB026A"/>
    <w:rsid w:val="00CB1C71"/>
    <w:rsid w:val="00CB1D3D"/>
    <w:rsid w:val="00CB2434"/>
    <w:rsid w:val="00CB2541"/>
    <w:rsid w:val="00CB2E12"/>
    <w:rsid w:val="00CB51C8"/>
    <w:rsid w:val="00CB6206"/>
    <w:rsid w:val="00CB65A2"/>
    <w:rsid w:val="00CB6D67"/>
    <w:rsid w:val="00CB7458"/>
    <w:rsid w:val="00CC00CA"/>
    <w:rsid w:val="00CC0994"/>
    <w:rsid w:val="00CC0CAA"/>
    <w:rsid w:val="00CC290D"/>
    <w:rsid w:val="00CC2B6B"/>
    <w:rsid w:val="00CC3087"/>
    <w:rsid w:val="00CC4099"/>
    <w:rsid w:val="00CC451D"/>
    <w:rsid w:val="00CC4665"/>
    <w:rsid w:val="00CC56B5"/>
    <w:rsid w:val="00CC60AD"/>
    <w:rsid w:val="00CC63ED"/>
    <w:rsid w:val="00CC6EAC"/>
    <w:rsid w:val="00CC72E4"/>
    <w:rsid w:val="00CC763F"/>
    <w:rsid w:val="00CC7643"/>
    <w:rsid w:val="00CD064A"/>
    <w:rsid w:val="00CD0CD2"/>
    <w:rsid w:val="00CD101A"/>
    <w:rsid w:val="00CD1443"/>
    <w:rsid w:val="00CD1C3A"/>
    <w:rsid w:val="00CD2AB9"/>
    <w:rsid w:val="00CD2CAF"/>
    <w:rsid w:val="00CD2E8F"/>
    <w:rsid w:val="00CD32F2"/>
    <w:rsid w:val="00CD530F"/>
    <w:rsid w:val="00CD5ACD"/>
    <w:rsid w:val="00CE069E"/>
    <w:rsid w:val="00CE0A1E"/>
    <w:rsid w:val="00CE0B00"/>
    <w:rsid w:val="00CE1B25"/>
    <w:rsid w:val="00CE1F99"/>
    <w:rsid w:val="00CE20AD"/>
    <w:rsid w:val="00CE2551"/>
    <w:rsid w:val="00CE3CBA"/>
    <w:rsid w:val="00CE452B"/>
    <w:rsid w:val="00CE5263"/>
    <w:rsid w:val="00CE56BE"/>
    <w:rsid w:val="00CE5754"/>
    <w:rsid w:val="00CE606F"/>
    <w:rsid w:val="00CE6754"/>
    <w:rsid w:val="00CE6CFD"/>
    <w:rsid w:val="00CE6E3D"/>
    <w:rsid w:val="00CE7270"/>
    <w:rsid w:val="00CE7901"/>
    <w:rsid w:val="00CF02A1"/>
    <w:rsid w:val="00CF0E3B"/>
    <w:rsid w:val="00CF1662"/>
    <w:rsid w:val="00CF2194"/>
    <w:rsid w:val="00CF257D"/>
    <w:rsid w:val="00CF2B52"/>
    <w:rsid w:val="00CF3550"/>
    <w:rsid w:val="00CF3B39"/>
    <w:rsid w:val="00CF4B8F"/>
    <w:rsid w:val="00CF511A"/>
    <w:rsid w:val="00CF51BF"/>
    <w:rsid w:val="00CF53AA"/>
    <w:rsid w:val="00CF621C"/>
    <w:rsid w:val="00CF6573"/>
    <w:rsid w:val="00D00177"/>
    <w:rsid w:val="00D00189"/>
    <w:rsid w:val="00D00A13"/>
    <w:rsid w:val="00D019FA"/>
    <w:rsid w:val="00D01B3D"/>
    <w:rsid w:val="00D02458"/>
    <w:rsid w:val="00D02656"/>
    <w:rsid w:val="00D044F9"/>
    <w:rsid w:val="00D063C0"/>
    <w:rsid w:val="00D07423"/>
    <w:rsid w:val="00D0749C"/>
    <w:rsid w:val="00D104BC"/>
    <w:rsid w:val="00D110A3"/>
    <w:rsid w:val="00D111CB"/>
    <w:rsid w:val="00D11561"/>
    <w:rsid w:val="00D12EBA"/>
    <w:rsid w:val="00D13792"/>
    <w:rsid w:val="00D145E4"/>
    <w:rsid w:val="00D149CC"/>
    <w:rsid w:val="00D14EA2"/>
    <w:rsid w:val="00D159AC"/>
    <w:rsid w:val="00D15B9B"/>
    <w:rsid w:val="00D15CDA"/>
    <w:rsid w:val="00D17527"/>
    <w:rsid w:val="00D17777"/>
    <w:rsid w:val="00D178C4"/>
    <w:rsid w:val="00D20487"/>
    <w:rsid w:val="00D2056D"/>
    <w:rsid w:val="00D205F9"/>
    <w:rsid w:val="00D20C42"/>
    <w:rsid w:val="00D215D1"/>
    <w:rsid w:val="00D23378"/>
    <w:rsid w:val="00D273C0"/>
    <w:rsid w:val="00D274C4"/>
    <w:rsid w:val="00D30352"/>
    <w:rsid w:val="00D30DF7"/>
    <w:rsid w:val="00D30E08"/>
    <w:rsid w:val="00D30FCC"/>
    <w:rsid w:val="00D31F89"/>
    <w:rsid w:val="00D32115"/>
    <w:rsid w:val="00D32591"/>
    <w:rsid w:val="00D32C40"/>
    <w:rsid w:val="00D334B9"/>
    <w:rsid w:val="00D33B84"/>
    <w:rsid w:val="00D33BF8"/>
    <w:rsid w:val="00D33CE9"/>
    <w:rsid w:val="00D34278"/>
    <w:rsid w:val="00D34DBF"/>
    <w:rsid w:val="00D35EBE"/>
    <w:rsid w:val="00D3632A"/>
    <w:rsid w:val="00D3682C"/>
    <w:rsid w:val="00D371BB"/>
    <w:rsid w:val="00D37CB6"/>
    <w:rsid w:val="00D42181"/>
    <w:rsid w:val="00D422A4"/>
    <w:rsid w:val="00D42B08"/>
    <w:rsid w:val="00D43F9F"/>
    <w:rsid w:val="00D4409D"/>
    <w:rsid w:val="00D45693"/>
    <w:rsid w:val="00D46412"/>
    <w:rsid w:val="00D46DF0"/>
    <w:rsid w:val="00D4750F"/>
    <w:rsid w:val="00D477E6"/>
    <w:rsid w:val="00D5007C"/>
    <w:rsid w:val="00D5039C"/>
    <w:rsid w:val="00D507C1"/>
    <w:rsid w:val="00D509AB"/>
    <w:rsid w:val="00D5141C"/>
    <w:rsid w:val="00D51B0E"/>
    <w:rsid w:val="00D51C53"/>
    <w:rsid w:val="00D52162"/>
    <w:rsid w:val="00D522D5"/>
    <w:rsid w:val="00D52D50"/>
    <w:rsid w:val="00D535C2"/>
    <w:rsid w:val="00D5388F"/>
    <w:rsid w:val="00D53F8D"/>
    <w:rsid w:val="00D54503"/>
    <w:rsid w:val="00D54B08"/>
    <w:rsid w:val="00D54ECF"/>
    <w:rsid w:val="00D54FF8"/>
    <w:rsid w:val="00D554DA"/>
    <w:rsid w:val="00D555F8"/>
    <w:rsid w:val="00D5583A"/>
    <w:rsid w:val="00D55AB4"/>
    <w:rsid w:val="00D5619E"/>
    <w:rsid w:val="00D566E0"/>
    <w:rsid w:val="00D56B27"/>
    <w:rsid w:val="00D56B39"/>
    <w:rsid w:val="00D57D0B"/>
    <w:rsid w:val="00D57EA3"/>
    <w:rsid w:val="00D6114E"/>
    <w:rsid w:val="00D61BFC"/>
    <w:rsid w:val="00D62030"/>
    <w:rsid w:val="00D62A5D"/>
    <w:rsid w:val="00D64003"/>
    <w:rsid w:val="00D6495B"/>
    <w:rsid w:val="00D6495D"/>
    <w:rsid w:val="00D655EF"/>
    <w:rsid w:val="00D65CB9"/>
    <w:rsid w:val="00D65EC8"/>
    <w:rsid w:val="00D66E83"/>
    <w:rsid w:val="00D67300"/>
    <w:rsid w:val="00D70014"/>
    <w:rsid w:val="00D70268"/>
    <w:rsid w:val="00D71DA8"/>
    <w:rsid w:val="00D72171"/>
    <w:rsid w:val="00D73D9F"/>
    <w:rsid w:val="00D746C3"/>
    <w:rsid w:val="00D74FF4"/>
    <w:rsid w:val="00D7549D"/>
    <w:rsid w:val="00D75928"/>
    <w:rsid w:val="00D76665"/>
    <w:rsid w:val="00D766EC"/>
    <w:rsid w:val="00D76A6F"/>
    <w:rsid w:val="00D76D1B"/>
    <w:rsid w:val="00D77F98"/>
    <w:rsid w:val="00D80CB9"/>
    <w:rsid w:val="00D81113"/>
    <w:rsid w:val="00D81213"/>
    <w:rsid w:val="00D82063"/>
    <w:rsid w:val="00D82819"/>
    <w:rsid w:val="00D83542"/>
    <w:rsid w:val="00D83728"/>
    <w:rsid w:val="00D83CB1"/>
    <w:rsid w:val="00D84A71"/>
    <w:rsid w:val="00D84AD3"/>
    <w:rsid w:val="00D85575"/>
    <w:rsid w:val="00D861CA"/>
    <w:rsid w:val="00D86553"/>
    <w:rsid w:val="00D876C1"/>
    <w:rsid w:val="00D87854"/>
    <w:rsid w:val="00D87BF4"/>
    <w:rsid w:val="00D87FED"/>
    <w:rsid w:val="00D91B76"/>
    <w:rsid w:val="00D9222D"/>
    <w:rsid w:val="00D92DCB"/>
    <w:rsid w:val="00D93046"/>
    <w:rsid w:val="00D93502"/>
    <w:rsid w:val="00D935D2"/>
    <w:rsid w:val="00D9369F"/>
    <w:rsid w:val="00D94642"/>
    <w:rsid w:val="00D952D1"/>
    <w:rsid w:val="00D95622"/>
    <w:rsid w:val="00D965D1"/>
    <w:rsid w:val="00D965DA"/>
    <w:rsid w:val="00D9728C"/>
    <w:rsid w:val="00D97D73"/>
    <w:rsid w:val="00DA07D9"/>
    <w:rsid w:val="00DA0926"/>
    <w:rsid w:val="00DA0C6D"/>
    <w:rsid w:val="00DA107F"/>
    <w:rsid w:val="00DA228B"/>
    <w:rsid w:val="00DA2459"/>
    <w:rsid w:val="00DA2FEA"/>
    <w:rsid w:val="00DA374E"/>
    <w:rsid w:val="00DA4E8F"/>
    <w:rsid w:val="00DA5433"/>
    <w:rsid w:val="00DA562C"/>
    <w:rsid w:val="00DA5DEA"/>
    <w:rsid w:val="00DA6FB2"/>
    <w:rsid w:val="00DA7942"/>
    <w:rsid w:val="00DA7A9F"/>
    <w:rsid w:val="00DB01B4"/>
    <w:rsid w:val="00DB3719"/>
    <w:rsid w:val="00DB382F"/>
    <w:rsid w:val="00DB40F5"/>
    <w:rsid w:val="00DB4309"/>
    <w:rsid w:val="00DB5AE5"/>
    <w:rsid w:val="00DB5DC0"/>
    <w:rsid w:val="00DB6297"/>
    <w:rsid w:val="00DB6913"/>
    <w:rsid w:val="00DB6A34"/>
    <w:rsid w:val="00DB6BDD"/>
    <w:rsid w:val="00DB6EED"/>
    <w:rsid w:val="00DC0754"/>
    <w:rsid w:val="00DC078C"/>
    <w:rsid w:val="00DC1F88"/>
    <w:rsid w:val="00DC34D2"/>
    <w:rsid w:val="00DC3A87"/>
    <w:rsid w:val="00DC4337"/>
    <w:rsid w:val="00DC4E69"/>
    <w:rsid w:val="00DC5AF0"/>
    <w:rsid w:val="00DC6673"/>
    <w:rsid w:val="00DC6FB7"/>
    <w:rsid w:val="00DD0387"/>
    <w:rsid w:val="00DD07A2"/>
    <w:rsid w:val="00DD0A9C"/>
    <w:rsid w:val="00DD1DF1"/>
    <w:rsid w:val="00DD1FB0"/>
    <w:rsid w:val="00DD2068"/>
    <w:rsid w:val="00DD2592"/>
    <w:rsid w:val="00DD28D8"/>
    <w:rsid w:val="00DD2D02"/>
    <w:rsid w:val="00DD37AD"/>
    <w:rsid w:val="00DD4115"/>
    <w:rsid w:val="00DD4474"/>
    <w:rsid w:val="00DD49A3"/>
    <w:rsid w:val="00DD57EE"/>
    <w:rsid w:val="00DD5BE8"/>
    <w:rsid w:val="00DD653B"/>
    <w:rsid w:val="00DD6DA3"/>
    <w:rsid w:val="00DD7377"/>
    <w:rsid w:val="00DD76C1"/>
    <w:rsid w:val="00DD7753"/>
    <w:rsid w:val="00DE0D0F"/>
    <w:rsid w:val="00DE2735"/>
    <w:rsid w:val="00DE2D51"/>
    <w:rsid w:val="00DE34F4"/>
    <w:rsid w:val="00DE351F"/>
    <w:rsid w:val="00DE35A6"/>
    <w:rsid w:val="00DE37DC"/>
    <w:rsid w:val="00DE4608"/>
    <w:rsid w:val="00DE46A7"/>
    <w:rsid w:val="00DE5D40"/>
    <w:rsid w:val="00DE6C89"/>
    <w:rsid w:val="00DE7BA7"/>
    <w:rsid w:val="00DF11B2"/>
    <w:rsid w:val="00DF1313"/>
    <w:rsid w:val="00DF15D1"/>
    <w:rsid w:val="00DF1D86"/>
    <w:rsid w:val="00DF1DC7"/>
    <w:rsid w:val="00DF3518"/>
    <w:rsid w:val="00DF37C5"/>
    <w:rsid w:val="00DF4592"/>
    <w:rsid w:val="00DF629A"/>
    <w:rsid w:val="00DF6A4D"/>
    <w:rsid w:val="00DF6CE9"/>
    <w:rsid w:val="00DF71F5"/>
    <w:rsid w:val="00DF74A8"/>
    <w:rsid w:val="00E00380"/>
    <w:rsid w:val="00E006C9"/>
    <w:rsid w:val="00E00C83"/>
    <w:rsid w:val="00E01E84"/>
    <w:rsid w:val="00E01F6D"/>
    <w:rsid w:val="00E02F40"/>
    <w:rsid w:val="00E031AC"/>
    <w:rsid w:val="00E04370"/>
    <w:rsid w:val="00E053C4"/>
    <w:rsid w:val="00E06370"/>
    <w:rsid w:val="00E07768"/>
    <w:rsid w:val="00E07F98"/>
    <w:rsid w:val="00E106C9"/>
    <w:rsid w:val="00E1239B"/>
    <w:rsid w:val="00E1380A"/>
    <w:rsid w:val="00E15E14"/>
    <w:rsid w:val="00E16764"/>
    <w:rsid w:val="00E16FA5"/>
    <w:rsid w:val="00E17C8F"/>
    <w:rsid w:val="00E17F7D"/>
    <w:rsid w:val="00E20EBB"/>
    <w:rsid w:val="00E214C2"/>
    <w:rsid w:val="00E223C8"/>
    <w:rsid w:val="00E224D4"/>
    <w:rsid w:val="00E2519D"/>
    <w:rsid w:val="00E259B9"/>
    <w:rsid w:val="00E27A22"/>
    <w:rsid w:val="00E27A81"/>
    <w:rsid w:val="00E27EE0"/>
    <w:rsid w:val="00E30037"/>
    <w:rsid w:val="00E30296"/>
    <w:rsid w:val="00E305D2"/>
    <w:rsid w:val="00E317D7"/>
    <w:rsid w:val="00E32DAC"/>
    <w:rsid w:val="00E330B4"/>
    <w:rsid w:val="00E33AA5"/>
    <w:rsid w:val="00E35030"/>
    <w:rsid w:val="00E35805"/>
    <w:rsid w:val="00E3797E"/>
    <w:rsid w:val="00E40866"/>
    <w:rsid w:val="00E40D62"/>
    <w:rsid w:val="00E40DD4"/>
    <w:rsid w:val="00E425BA"/>
    <w:rsid w:val="00E42BB6"/>
    <w:rsid w:val="00E430AD"/>
    <w:rsid w:val="00E435E8"/>
    <w:rsid w:val="00E43725"/>
    <w:rsid w:val="00E44033"/>
    <w:rsid w:val="00E4464D"/>
    <w:rsid w:val="00E4497F"/>
    <w:rsid w:val="00E452D1"/>
    <w:rsid w:val="00E45477"/>
    <w:rsid w:val="00E45492"/>
    <w:rsid w:val="00E45746"/>
    <w:rsid w:val="00E45997"/>
    <w:rsid w:val="00E45A44"/>
    <w:rsid w:val="00E477AD"/>
    <w:rsid w:val="00E509CF"/>
    <w:rsid w:val="00E509FA"/>
    <w:rsid w:val="00E51375"/>
    <w:rsid w:val="00E51F83"/>
    <w:rsid w:val="00E53518"/>
    <w:rsid w:val="00E54AE2"/>
    <w:rsid w:val="00E55240"/>
    <w:rsid w:val="00E566CC"/>
    <w:rsid w:val="00E56D6E"/>
    <w:rsid w:val="00E60A0C"/>
    <w:rsid w:val="00E60D5A"/>
    <w:rsid w:val="00E60E9D"/>
    <w:rsid w:val="00E61232"/>
    <w:rsid w:val="00E62AFB"/>
    <w:rsid w:val="00E63402"/>
    <w:rsid w:val="00E64233"/>
    <w:rsid w:val="00E64732"/>
    <w:rsid w:val="00E64E70"/>
    <w:rsid w:val="00E66042"/>
    <w:rsid w:val="00E66290"/>
    <w:rsid w:val="00E66EA7"/>
    <w:rsid w:val="00E67B27"/>
    <w:rsid w:val="00E67C01"/>
    <w:rsid w:val="00E7075A"/>
    <w:rsid w:val="00E70ECD"/>
    <w:rsid w:val="00E70F51"/>
    <w:rsid w:val="00E70F75"/>
    <w:rsid w:val="00E716BF"/>
    <w:rsid w:val="00E71DF7"/>
    <w:rsid w:val="00E74AAD"/>
    <w:rsid w:val="00E7519A"/>
    <w:rsid w:val="00E76281"/>
    <w:rsid w:val="00E76FB7"/>
    <w:rsid w:val="00E77660"/>
    <w:rsid w:val="00E77AE7"/>
    <w:rsid w:val="00E77B5B"/>
    <w:rsid w:val="00E8091B"/>
    <w:rsid w:val="00E81380"/>
    <w:rsid w:val="00E82E30"/>
    <w:rsid w:val="00E83203"/>
    <w:rsid w:val="00E8383D"/>
    <w:rsid w:val="00E851A7"/>
    <w:rsid w:val="00E8521A"/>
    <w:rsid w:val="00E8701E"/>
    <w:rsid w:val="00E93277"/>
    <w:rsid w:val="00E9330E"/>
    <w:rsid w:val="00E939CD"/>
    <w:rsid w:val="00E93B23"/>
    <w:rsid w:val="00E95CD4"/>
    <w:rsid w:val="00E95D15"/>
    <w:rsid w:val="00E97A39"/>
    <w:rsid w:val="00E97FBD"/>
    <w:rsid w:val="00EA0525"/>
    <w:rsid w:val="00EA1042"/>
    <w:rsid w:val="00EA3234"/>
    <w:rsid w:val="00EA3335"/>
    <w:rsid w:val="00EA33C6"/>
    <w:rsid w:val="00EA3BEA"/>
    <w:rsid w:val="00EA3CD3"/>
    <w:rsid w:val="00EA3F7A"/>
    <w:rsid w:val="00EA42E3"/>
    <w:rsid w:val="00EA43C3"/>
    <w:rsid w:val="00EA4C48"/>
    <w:rsid w:val="00EA5664"/>
    <w:rsid w:val="00EA6705"/>
    <w:rsid w:val="00EB155A"/>
    <w:rsid w:val="00EB1D36"/>
    <w:rsid w:val="00EB3A18"/>
    <w:rsid w:val="00EB3E2D"/>
    <w:rsid w:val="00EB5A04"/>
    <w:rsid w:val="00EB5A78"/>
    <w:rsid w:val="00EB5DCF"/>
    <w:rsid w:val="00EB6078"/>
    <w:rsid w:val="00EB63CD"/>
    <w:rsid w:val="00EB64E1"/>
    <w:rsid w:val="00EB7533"/>
    <w:rsid w:val="00EB7783"/>
    <w:rsid w:val="00EB7ACA"/>
    <w:rsid w:val="00EC2879"/>
    <w:rsid w:val="00EC2CBF"/>
    <w:rsid w:val="00EC2E91"/>
    <w:rsid w:val="00EC401C"/>
    <w:rsid w:val="00EC41DE"/>
    <w:rsid w:val="00EC423C"/>
    <w:rsid w:val="00EC4652"/>
    <w:rsid w:val="00EC49B3"/>
    <w:rsid w:val="00EC4E7B"/>
    <w:rsid w:val="00EC536F"/>
    <w:rsid w:val="00EC6F2C"/>
    <w:rsid w:val="00EC720E"/>
    <w:rsid w:val="00EC7E8C"/>
    <w:rsid w:val="00ED099E"/>
    <w:rsid w:val="00ED1344"/>
    <w:rsid w:val="00ED226D"/>
    <w:rsid w:val="00ED2E58"/>
    <w:rsid w:val="00ED3AFC"/>
    <w:rsid w:val="00ED4C6F"/>
    <w:rsid w:val="00ED53AF"/>
    <w:rsid w:val="00ED5756"/>
    <w:rsid w:val="00ED617B"/>
    <w:rsid w:val="00ED7794"/>
    <w:rsid w:val="00EE017B"/>
    <w:rsid w:val="00EE05CB"/>
    <w:rsid w:val="00EE08BA"/>
    <w:rsid w:val="00EE107C"/>
    <w:rsid w:val="00EE1743"/>
    <w:rsid w:val="00EE2EA0"/>
    <w:rsid w:val="00EE2FFD"/>
    <w:rsid w:val="00EE6F48"/>
    <w:rsid w:val="00EE7861"/>
    <w:rsid w:val="00EF0B7F"/>
    <w:rsid w:val="00EF1073"/>
    <w:rsid w:val="00EF16B5"/>
    <w:rsid w:val="00EF1C9F"/>
    <w:rsid w:val="00EF22A4"/>
    <w:rsid w:val="00EF26BB"/>
    <w:rsid w:val="00EF3A48"/>
    <w:rsid w:val="00EF4C0C"/>
    <w:rsid w:val="00EF534B"/>
    <w:rsid w:val="00EF564D"/>
    <w:rsid w:val="00EF578C"/>
    <w:rsid w:val="00EF612C"/>
    <w:rsid w:val="00EF691C"/>
    <w:rsid w:val="00EF6E53"/>
    <w:rsid w:val="00EF7C80"/>
    <w:rsid w:val="00F042A5"/>
    <w:rsid w:val="00F047B1"/>
    <w:rsid w:val="00F04C82"/>
    <w:rsid w:val="00F05979"/>
    <w:rsid w:val="00F059F8"/>
    <w:rsid w:val="00F059FA"/>
    <w:rsid w:val="00F06080"/>
    <w:rsid w:val="00F06C58"/>
    <w:rsid w:val="00F06DCF"/>
    <w:rsid w:val="00F06E12"/>
    <w:rsid w:val="00F07F1B"/>
    <w:rsid w:val="00F100F1"/>
    <w:rsid w:val="00F10EFB"/>
    <w:rsid w:val="00F1188A"/>
    <w:rsid w:val="00F11D1D"/>
    <w:rsid w:val="00F1222C"/>
    <w:rsid w:val="00F134EC"/>
    <w:rsid w:val="00F13ACC"/>
    <w:rsid w:val="00F13B79"/>
    <w:rsid w:val="00F146BF"/>
    <w:rsid w:val="00F146DA"/>
    <w:rsid w:val="00F150E0"/>
    <w:rsid w:val="00F1566A"/>
    <w:rsid w:val="00F15BC7"/>
    <w:rsid w:val="00F164CF"/>
    <w:rsid w:val="00F16AED"/>
    <w:rsid w:val="00F17E58"/>
    <w:rsid w:val="00F20D64"/>
    <w:rsid w:val="00F228C4"/>
    <w:rsid w:val="00F24DA9"/>
    <w:rsid w:val="00F251DB"/>
    <w:rsid w:val="00F257F9"/>
    <w:rsid w:val="00F25F67"/>
    <w:rsid w:val="00F277DA"/>
    <w:rsid w:val="00F27EC1"/>
    <w:rsid w:val="00F27EF5"/>
    <w:rsid w:val="00F3024A"/>
    <w:rsid w:val="00F304DD"/>
    <w:rsid w:val="00F30741"/>
    <w:rsid w:val="00F3168F"/>
    <w:rsid w:val="00F31BAB"/>
    <w:rsid w:val="00F3232B"/>
    <w:rsid w:val="00F3390F"/>
    <w:rsid w:val="00F33B42"/>
    <w:rsid w:val="00F34250"/>
    <w:rsid w:val="00F34264"/>
    <w:rsid w:val="00F34B3C"/>
    <w:rsid w:val="00F36E9C"/>
    <w:rsid w:val="00F378A3"/>
    <w:rsid w:val="00F37939"/>
    <w:rsid w:val="00F37C52"/>
    <w:rsid w:val="00F37C6C"/>
    <w:rsid w:val="00F41FDF"/>
    <w:rsid w:val="00F420EA"/>
    <w:rsid w:val="00F42506"/>
    <w:rsid w:val="00F42577"/>
    <w:rsid w:val="00F4279A"/>
    <w:rsid w:val="00F43CD8"/>
    <w:rsid w:val="00F44139"/>
    <w:rsid w:val="00F4506F"/>
    <w:rsid w:val="00F45600"/>
    <w:rsid w:val="00F45910"/>
    <w:rsid w:val="00F45DD5"/>
    <w:rsid w:val="00F4637C"/>
    <w:rsid w:val="00F4665B"/>
    <w:rsid w:val="00F46AE5"/>
    <w:rsid w:val="00F51734"/>
    <w:rsid w:val="00F52051"/>
    <w:rsid w:val="00F54FB0"/>
    <w:rsid w:val="00F558E1"/>
    <w:rsid w:val="00F55DF2"/>
    <w:rsid w:val="00F56359"/>
    <w:rsid w:val="00F56BB8"/>
    <w:rsid w:val="00F56D1F"/>
    <w:rsid w:val="00F57962"/>
    <w:rsid w:val="00F57A20"/>
    <w:rsid w:val="00F609DD"/>
    <w:rsid w:val="00F60E04"/>
    <w:rsid w:val="00F6146F"/>
    <w:rsid w:val="00F618BC"/>
    <w:rsid w:val="00F63147"/>
    <w:rsid w:val="00F65A69"/>
    <w:rsid w:val="00F65A97"/>
    <w:rsid w:val="00F65DE0"/>
    <w:rsid w:val="00F664DC"/>
    <w:rsid w:val="00F66C1E"/>
    <w:rsid w:val="00F66FA5"/>
    <w:rsid w:val="00F70819"/>
    <w:rsid w:val="00F712D0"/>
    <w:rsid w:val="00F71B18"/>
    <w:rsid w:val="00F7210C"/>
    <w:rsid w:val="00F722A3"/>
    <w:rsid w:val="00F72312"/>
    <w:rsid w:val="00F73083"/>
    <w:rsid w:val="00F731E3"/>
    <w:rsid w:val="00F74346"/>
    <w:rsid w:val="00F74D11"/>
    <w:rsid w:val="00F74DCD"/>
    <w:rsid w:val="00F75A3E"/>
    <w:rsid w:val="00F77DE4"/>
    <w:rsid w:val="00F807A2"/>
    <w:rsid w:val="00F80E87"/>
    <w:rsid w:val="00F80FA9"/>
    <w:rsid w:val="00F82021"/>
    <w:rsid w:val="00F829BD"/>
    <w:rsid w:val="00F829EE"/>
    <w:rsid w:val="00F85857"/>
    <w:rsid w:val="00F862B7"/>
    <w:rsid w:val="00F869B9"/>
    <w:rsid w:val="00F876A1"/>
    <w:rsid w:val="00F87B27"/>
    <w:rsid w:val="00F912BE"/>
    <w:rsid w:val="00F91A93"/>
    <w:rsid w:val="00F9204F"/>
    <w:rsid w:val="00F921A8"/>
    <w:rsid w:val="00F921E3"/>
    <w:rsid w:val="00F92A51"/>
    <w:rsid w:val="00F92EB2"/>
    <w:rsid w:val="00F94BFB"/>
    <w:rsid w:val="00F94D31"/>
    <w:rsid w:val="00F95043"/>
    <w:rsid w:val="00F95DF8"/>
    <w:rsid w:val="00F97A6F"/>
    <w:rsid w:val="00F97C66"/>
    <w:rsid w:val="00FA112B"/>
    <w:rsid w:val="00FA1485"/>
    <w:rsid w:val="00FA25C4"/>
    <w:rsid w:val="00FA300C"/>
    <w:rsid w:val="00FA3A7F"/>
    <w:rsid w:val="00FA515E"/>
    <w:rsid w:val="00FA59DD"/>
    <w:rsid w:val="00FA5F84"/>
    <w:rsid w:val="00FA6317"/>
    <w:rsid w:val="00FA6E1A"/>
    <w:rsid w:val="00FA6F34"/>
    <w:rsid w:val="00FA6F5A"/>
    <w:rsid w:val="00FA744F"/>
    <w:rsid w:val="00FA7A3E"/>
    <w:rsid w:val="00FA7C59"/>
    <w:rsid w:val="00FB0051"/>
    <w:rsid w:val="00FB2114"/>
    <w:rsid w:val="00FB32A8"/>
    <w:rsid w:val="00FB3D26"/>
    <w:rsid w:val="00FB3D70"/>
    <w:rsid w:val="00FB49A8"/>
    <w:rsid w:val="00FB4A3A"/>
    <w:rsid w:val="00FB5412"/>
    <w:rsid w:val="00FB5609"/>
    <w:rsid w:val="00FB5611"/>
    <w:rsid w:val="00FB65F9"/>
    <w:rsid w:val="00FB70A0"/>
    <w:rsid w:val="00FB7220"/>
    <w:rsid w:val="00FB7D4E"/>
    <w:rsid w:val="00FB7FDC"/>
    <w:rsid w:val="00FC01CD"/>
    <w:rsid w:val="00FC16F8"/>
    <w:rsid w:val="00FC3DC3"/>
    <w:rsid w:val="00FC4092"/>
    <w:rsid w:val="00FC602F"/>
    <w:rsid w:val="00FC785C"/>
    <w:rsid w:val="00FC7B54"/>
    <w:rsid w:val="00FD083D"/>
    <w:rsid w:val="00FD0908"/>
    <w:rsid w:val="00FD1D30"/>
    <w:rsid w:val="00FD1E34"/>
    <w:rsid w:val="00FD1E69"/>
    <w:rsid w:val="00FD238D"/>
    <w:rsid w:val="00FD2398"/>
    <w:rsid w:val="00FD2ABF"/>
    <w:rsid w:val="00FD2B38"/>
    <w:rsid w:val="00FD4EEC"/>
    <w:rsid w:val="00FD528B"/>
    <w:rsid w:val="00FD589E"/>
    <w:rsid w:val="00FD5A1A"/>
    <w:rsid w:val="00FE0B22"/>
    <w:rsid w:val="00FE1BBB"/>
    <w:rsid w:val="00FE2230"/>
    <w:rsid w:val="00FE2A48"/>
    <w:rsid w:val="00FE357A"/>
    <w:rsid w:val="00FE35FC"/>
    <w:rsid w:val="00FE5007"/>
    <w:rsid w:val="00FE623F"/>
    <w:rsid w:val="00FE652F"/>
    <w:rsid w:val="00FE7011"/>
    <w:rsid w:val="00FE74A0"/>
    <w:rsid w:val="00FF0034"/>
    <w:rsid w:val="00FF07B3"/>
    <w:rsid w:val="00FF14D7"/>
    <w:rsid w:val="00FF15B8"/>
    <w:rsid w:val="00FF2A26"/>
    <w:rsid w:val="00FF2F11"/>
    <w:rsid w:val="00FF4E37"/>
    <w:rsid w:val="00FF597C"/>
    <w:rsid w:val="00FF6411"/>
    <w:rsid w:val="00FF690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PlaceName"/>
  <w:smartTagType w:namespaceuri="urn:schemas-microsoft-com:office:smarttags" w:name="Street"/>
  <w:shapeDefaults>
    <o:shapedefaults v:ext="edit" spidmax="2064"/>
    <o:shapelayout v:ext="edit">
      <o:idmap v:ext="edit" data="2"/>
    </o:shapelayout>
  </w:shapeDefaults>
  <w:decimalSymbol w:val="."/>
  <w:listSeparator w:val=","/>
  <w14:docId w14:val="4827983C"/>
  <w15:docId w15:val="{B16FE26A-104D-40AE-9F01-5728159F2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SimSu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7E7B"/>
    <w:pPr>
      <w:tabs>
        <w:tab w:val="left" w:pos="794"/>
        <w:tab w:val="left" w:pos="1191"/>
        <w:tab w:val="left" w:pos="1588"/>
        <w:tab w:val="left" w:pos="1985"/>
      </w:tabs>
      <w:overflowPunct w:val="0"/>
      <w:autoSpaceDE w:val="0"/>
      <w:autoSpaceDN w:val="0"/>
      <w:adjustRightInd w:val="0"/>
      <w:spacing w:before="120"/>
      <w:jc w:val="both"/>
      <w:textAlignment w:val="baseline"/>
    </w:pPr>
    <w:rPr>
      <w:rFonts w:asciiTheme="minorHAnsi" w:hAnsiTheme="minorHAnsi"/>
      <w:sz w:val="24"/>
      <w:lang w:val="en-GB" w:eastAsia="en-US"/>
    </w:rPr>
  </w:style>
  <w:style w:type="paragraph" w:styleId="Heading1">
    <w:name w:val="heading 1"/>
    <w:basedOn w:val="Normal"/>
    <w:next w:val="Normal"/>
    <w:link w:val="Heading1Char1"/>
    <w:qFormat/>
    <w:rsid w:val="00D54ECF"/>
    <w:pPr>
      <w:keepNext/>
      <w:keepLines/>
      <w:tabs>
        <w:tab w:val="clear" w:pos="794"/>
        <w:tab w:val="left" w:pos="1021"/>
      </w:tabs>
      <w:spacing w:before="480"/>
      <w:ind w:left="794" w:hanging="794"/>
      <w:outlineLvl w:val="0"/>
    </w:pPr>
    <w:rPr>
      <w:rFonts w:ascii="Calibri" w:hAnsi="Calibri"/>
      <w:b/>
      <w:sz w:val="28"/>
    </w:rPr>
  </w:style>
  <w:style w:type="paragraph" w:styleId="Heading2">
    <w:name w:val="heading 2"/>
    <w:basedOn w:val="Heading1"/>
    <w:next w:val="Normal"/>
    <w:link w:val="Heading2Char"/>
    <w:qFormat/>
    <w:rsid w:val="00EB5DCF"/>
    <w:pPr>
      <w:spacing w:before="240"/>
      <w:outlineLvl w:val="1"/>
    </w:pPr>
  </w:style>
  <w:style w:type="paragraph" w:styleId="Heading3">
    <w:name w:val="heading 3"/>
    <w:basedOn w:val="Heading1"/>
    <w:next w:val="Normal"/>
    <w:link w:val="Heading3Char"/>
    <w:qFormat/>
    <w:rsid w:val="00EB5DCF"/>
    <w:pPr>
      <w:spacing w:before="160"/>
      <w:outlineLvl w:val="2"/>
    </w:pPr>
  </w:style>
  <w:style w:type="paragraph" w:styleId="Heading4">
    <w:name w:val="heading 4"/>
    <w:basedOn w:val="Heading3"/>
    <w:next w:val="Normal"/>
    <w:link w:val="Heading4Char"/>
    <w:qFormat/>
    <w:rsid w:val="00EB5DCF"/>
    <w:pPr>
      <w:ind w:left="1021" w:hanging="1021"/>
      <w:outlineLvl w:val="3"/>
    </w:pPr>
  </w:style>
  <w:style w:type="paragraph" w:styleId="Heading5">
    <w:name w:val="heading 5"/>
    <w:basedOn w:val="Heading4"/>
    <w:next w:val="Normal"/>
    <w:link w:val="Heading5Char"/>
    <w:qFormat/>
    <w:rsid w:val="00EB5DCF"/>
    <w:pPr>
      <w:outlineLvl w:val="4"/>
    </w:pPr>
  </w:style>
  <w:style w:type="paragraph" w:styleId="Heading6">
    <w:name w:val="heading 6"/>
    <w:basedOn w:val="Heading4"/>
    <w:next w:val="Normal"/>
    <w:link w:val="Heading6Char"/>
    <w:qFormat/>
    <w:rsid w:val="00EB5DCF"/>
    <w:pPr>
      <w:tabs>
        <w:tab w:val="clear" w:pos="1021"/>
        <w:tab w:val="clear" w:pos="1191"/>
      </w:tabs>
      <w:ind w:left="1588" w:hanging="1588"/>
      <w:outlineLvl w:val="5"/>
    </w:pPr>
  </w:style>
  <w:style w:type="paragraph" w:styleId="Heading7">
    <w:name w:val="heading 7"/>
    <w:basedOn w:val="Heading6"/>
    <w:next w:val="Normal"/>
    <w:link w:val="Heading7Char"/>
    <w:qFormat/>
    <w:rsid w:val="00EB5DCF"/>
    <w:pPr>
      <w:outlineLvl w:val="6"/>
    </w:pPr>
  </w:style>
  <w:style w:type="paragraph" w:styleId="Heading8">
    <w:name w:val="heading 8"/>
    <w:basedOn w:val="Heading6"/>
    <w:next w:val="Normal"/>
    <w:link w:val="Heading8Char"/>
    <w:qFormat/>
    <w:rsid w:val="00EB5DCF"/>
    <w:pPr>
      <w:outlineLvl w:val="7"/>
    </w:pPr>
  </w:style>
  <w:style w:type="paragraph" w:styleId="Heading9">
    <w:name w:val="heading 9"/>
    <w:basedOn w:val="Heading6"/>
    <w:next w:val="Normal"/>
    <w:link w:val="Heading9Char"/>
    <w:qFormat/>
    <w:rsid w:val="00EB5DC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rsid w:val="00EB5DCF"/>
    <w:pPr>
      <w:spacing w:before="480"/>
      <w:jc w:val="center"/>
    </w:pPr>
    <w:rPr>
      <w:b/>
      <w:sz w:val="28"/>
    </w:rPr>
  </w:style>
  <w:style w:type="paragraph" w:customStyle="1" w:styleId="Normalaftertitle">
    <w:name w:val="Normal_after_title"/>
    <w:basedOn w:val="Normal"/>
    <w:next w:val="Normal"/>
    <w:rsid w:val="00EB5DCF"/>
    <w:pPr>
      <w:spacing w:before="360"/>
    </w:pPr>
  </w:style>
  <w:style w:type="paragraph" w:customStyle="1" w:styleId="ChapNo">
    <w:name w:val="Chap_No"/>
    <w:basedOn w:val="Normal"/>
    <w:next w:val="Chaptitle"/>
    <w:rsid w:val="00EB5DCF"/>
    <w:pPr>
      <w:keepNext/>
      <w:keepLines/>
      <w:spacing w:before="480"/>
      <w:jc w:val="center"/>
    </w:pPr>
    <w:rPr>
      <w:b/>
      <w:caps/>
      <w:sz w:val="28"/>
    </w:rPr>
  </w:style>
  <w:style w:type="paragraph" w:customStyle="1" w:styleId="Chaptitle">
    <w:name w:val="Chap_title"/>
    <w:basedOn w:val="Normal"/>
    <w:next w:val="Normalaftertitle"/>
    <w:rsid w:val="00EB5DCF"/>
    <w:pPr>
      <w:keepNext/>
      <w:keepLines/>
      <w:spacing w:before="240"/>
      <w:jc w:val="center"/>
    </w:pPr>
    <w:rPr>
      <w:b/>
      <w:sz w:val="28"/>
    </w:rPr>
  </w:style>
  <w:style w:type="paragraph" w:customStyle="1" w:styleId="AppendixNotitle">
    <w:name w:val="Appendix_No &amp; title"/>
    <w:basedOn w:val="AnnexNotitle"/>
    <w:next w:val="Normalaftertitle"/>
    <w:rsid w:val="00EB5DCF"/>
  </w:style>
  <w:style w:type="paragraph" w:customStyle="1" w:styleId="AnnexNotitle">
    <w:name w:val="Annex_No &amp; title"/>
    <w:basedOn w:val="Normal"/>
    <w:next w:val="Normalaftertitle"/>
    <w:link w:val="AnnexNotitleChar"/>
    <w:rsid w:val="0035791E"/>
    <w:pPr>
      <w:keepNext/>
      <w:keepLines/>
      <w:spacing w:before="240"/>
      <w:jc w:val="center"/>
    </w:pPr>
    <w:rPr>
      <w:b/>
      <w:sz w:val="28"/>
    </w:rPr>
  </w:style>
  <w:style w:type="paragraph" w:customStyle="1" w:styleId="ASN1">
    <w:name w:val="ASN.1"/>
    <w:basedOn w:val="Normal"/>
    <w:rsid w:val="00EB5DCF"/>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DE46A7"/>
    <w:pPr>
      <w:keepNext/>
      <w:spacing w:before="160"/>
    </w:pPr>
    <w:rPr>
      <w:rFonts w:eastAsia="STKaiti"/>
    </w:rPr>
  </w:style>
  <w:style w:type="paragraph" w:customStyle="1" w:styleId="ArtNo">
    <w:name w:val="Art_No"/>
    <w:basedOn w:val="Normal"/>
    <w:next w:val="Arttitle"/>
    <w:rsid w:val="00EB5DCF"/>
    <w:pPr>
      <w:keepNext/>
      <w:keepLines/>
      <w:spacing w:before="480"/>
      <w:jc w:val="center"/>
    </w:pPr>
    <w:rPr>
      <w:caps/>
      <w:sz w:val="28"/>
    </w:rPr>
  </w:style>
  <w:style w:type="paragraph" w:customStyle="1" w:styleId="Arttitle">
    <w:name w:val="Art_title"/>
    <w:basedOn w:val="Normal"/>
    <w:next w:val="Normalaftertitle"/>
    <w:link w:val="ArttitleChar1"/>
    <w:rsid w:val="00EB5DCF"/>
    <w:pPr>
      <w:keepNext/>
      <w:keepLines/>
      <w:spacing w:before="240"/>
      <w:jc w:val="center"/>
    </w:pPr>
    <w:rPr>
      <w:b/>
      <w:sz w:val="28"/>
    </w:rPr>
  </w:style>
  <w:style w:type="paragraph" w:customStyle="1" w:styleId="Call">
    <w:name w:val="Call"/>
    <w:basedOn w:val="Normal"/>
    <w:next w:val="Normal"/>
    <w:link w:val="CallChar"/>
    <w:qFormat/>
    <w:rsid w:val="00C3403A"/>
    <w:pPr>
      <w:keepNext/>
      <w:keepLines/>
      <w:spacing w:before="160"/>
      <w:ind w:left="794"/>
    </w:pPr>
    <w:rPr>
      <w:rFonts w:eastAsia="STKaiti"/>
    </w:rPr>
  </w:style>
  <w:style w:type="paragraph" w:customStyle="1" w:styleId="enumlev1">
    <w:name w:val="enumlev1"/>
    <w:basedOn w:val="Normal"/>
    <w:link w:val="enumlev1Char"/>
    <w:qFormat/>
    <w:rsid w:val="00EB5DCF"/>
    <w:pPr>
      <w:spacing w:before="80"/>
      <w:ind w:left="794" w:hanging="794"/>
    </w:pPr>
  </w:style>
  <w:style w:type="paragraph" w:customStyle="1" w:styleId="enumlev2">
    <w:name w:val="enumlev2"/>
    <w:basedOn w:val="enumlev1"/>
    <w:link w:val="enumlev2Char"/>
    <w:rsid w:val="007F5131"/>
    <w:pPr>
      <w:tabs>
        <w:tab w:val="clear" w:pos="1191"/>
        <w:tab w:val="left" w:pos="1361"/>
      </w:tabs>
      <w:ind w:left="1361" w:hanging="567"/>
    </w:pPr>
  </w:style>
  <w:style w:type="paragraph" w:customStyle="1" w:styleId="enumlev3">
    <w:name w:val="enumlev3"/>
    <w:basedOn w:val="enumlev2"/>
    <w:rsid w:val="00CF621C"/>
    <w:pPr>
      <w:tabs>
        <w:tab w:val="clear" w:pos="1588"/>
        <w:tab w:val="clear" w:pos="1985"/>
        <w:tab w:val="left" w:pos="1928"/>
      </w:tabs>
      <w:ind w:left="1928"/>
    </w:pPr>
  </w:style>
  <w:style w:type="paragraph" w:customStyle="1" w:styleId="Equation">
    <w:name w:val="Equation"/>
    <w:basedOn w:val="Normal"/>
    <w:rsid w:val="00EB5DCF"/>
    <w:pPr>
      <w:tabs>
        <w:tab w:val="clear" w:pos="1191"/>
        <w:tab w:val="clear" w:pos="1588"/>
        <w:tab w:val="clear" w:pos="1985"/>
        <w:tab w:val="center" w:pos="4820"/>
        <w:tab w:val="right" w:pos="9639"/>
      </w:tabs>
    </w:pPr>
  </w:style>
  <w:style w:type="paragraph" w:customStyle="1" w:styleId="Equationlegend">
    <w:name w:val="Equation_legend"/>
    <w:basedOn w:val="Normal"/>
    <w:rsid w:val="00EB5DCF"/>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EB5DCF"/>
    <w:pPr>
      <w:keepNext/>
      <w:keepLines/>
      <w:tabs>
        <w:tab w:val="clear" w:pos="794"/>
        <w:tab w:val="clear" w:pos="1191"/>
        <w:tab w:val="clear" w:pos="1588"/>
        <w:tab w:val="clear" w:pos="1985"/>
      </w:tabs>
      <w:spacing w:before="20" w:after="20"/>
    </w:pPr>
    <w:rPr>
      <w:sz w:val="18"/>
    </w:rPr>
  </w:style>
  <w:style w:type="paragraph" w:customStyle="1" w:styleId="Figure">
    <w:name w:val="Figure"/>
    <w:basedOn w:val="Normal"/>
    <w:next w:val="FigureNotitle"/>
    <w:rsid w:val="00EB5DCF"/>
    <w:pPr>
      <w:keepNext/>
      <w:keepLines/>
      <w:spacing w:before="240" w:after="120"/>
      <w:jc w:val="center"/>
    </w:pPr>
  </w:style>
  <w:style w:type="paragraph" w:customStyle="1" w:styleId="FigureNotitle">
    <w:name w:val="Figure_No &amp; title"/>
    <w:basedOn w:val="Normal"/>
    <w:next w:val="Normalaftertitle"/>
    <w:rsid w:val="00EB5DCF"/>
    <w:pPr>
      <w:keepLines/>
      <w:spacing w:before="240" w:after="120"/>
      <w:jc w:val="center"/>
    </w:pPr>
    <w:rPr>
      <w:b/>
    </w:rPr>
  </w:style>
  <w:style w:type="character" w:styleId="PageNumber">
    <w:name w:val="page number"/>
    <w:basedOn w:val="DefaultParagraphFont"/>
    <w:rsid w:val="003339C1"/>
    <w:rPr>
      <w:rFonts w:ascii="Times New Roman" w:eastAsia="SimSun" w:hAnsi="Times New Roman"/>
      <w:sz w:val="20"/>
      <w:bdr w:val="none" w:sz="0" w:space="0" w:color="auto"/>
    </w:rPr>
  </w:style>
  <w:style w:type="paragraph" w:customStyle="1" w:styleId="Tabletext">
    <w:name w:val="Table_text"/>
    <w:basedOn w:val="Normal"/>
    <w:link w:val="TabletextChar"/>
    <w:qFormat/>
    <w:rsid w:val="00DA562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Figurewithouttitle">
    <w:name w:val="Figure_without_title"/>
    <w:basedOn w:val="Normal"/>
    <w:next w:val="Normalaftertitle"/>
    <w:rsid w:val="00EB5DCF"/>
    <w:pPr>
      <w:keepLines/>
      <w:spacing w:before="240" w:after="120"/>
      <w:jc w:val="center"/>
    </w:pPr>
  </w:style>
  <w:style w:type="paragraph" w:styleId="Footer">
    <w:name w:val="footer"/>
    <w:aliases w:val="footer odd,fo,footer,pie de página,footer1,footer odd1,footer5,footer odd4,footer odd2,footer2,footer odd3,footer11,footer odd11,footer51,footer odd41,footer odd21,footer21,footer12,footer odd12,footer52,footer odd42,footer odd22,footer22,footer4"/>
    <w:basedOn w:val="Normal"/>
    <w:link w:val="FooterChar"/>
    <w:rsid w:val="00EB5DCF"/>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EB5DC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de nota al pie,Error-Fußnotenzeichen5,Error-Fußnotenzeichen6,Error-Fußnotenzeichen3,Error-Fußnot...,Footnote,Style 12,(NECG) Footnote Reference,FR,Style 13,Style 124,o,fr,ftre"/>
    <w:basedOn w:val="DefaultParagraphFont"/>
    <w:uiPriority w:val="99"/>
    <w:qFormat/>
    <w:rsid w:val="00FD4EEC"/>
    <w:rPr>
      <w:rFonts w:asciiTheme="minorHAnsi" w:hAnsiTheme="minorHAnsi"/>
      <w:position w:val="6"/>
      <w:sz w:val="16"/>
    </w:rPr>
  </w:style>
  <w:style w:type="paragraph" w:styleId="FootnoteText">
    <w:name w:val="footnote text"/>
    <w:aliases w:val="ACMA Footnote Text,footnote text,ALTS FOOTNOTE,Footnote Text Char Char1,Footnote Text Char4 Char Char,Footnote Text Char1 Char1 Char1 Char,Footnote Text Char Char1 Char1 Char Char,Footnote Text Char1 Char1 Char1 Char Char Char1,DNV-FT,DNV-"/>
    <w:basedOn w:val="Note"/>
    <w:link w:val="FootnoteTextChar"/>
    <w:uiPriority w:val="99"/>
    <w:qFormat/>
    <w:rsid w:val="001262D9"/>
    <w:pPr>
      <w:keepLines/>
      <w:tabs>
        <w:tab w:val="left" w:pos="255"/>
      </w:tabs>
      <w:ind w:left="255" w:hanging="255"/>
    </w:pPr>
    <w:rPr>
      <w:sz w:val="20"/>
    </w:rPr>
  </w:style>
  <w:style w:type="paragraph" w:customStyle="1" w:styleId="Note">
    <w:name w:val="Note"/>
    <w:basedOn w:val="Normal"/>
    <w:link w:val="NoteChar"/>
    <w:rsid w:val="00EB5DCF"/>
    <w:pPr>
      <w:spacing w:before="80"/>
    </w:pPr>
  </w:style>
  <w:style w:type="character" w:customStyle="1" w:styleId="FootnoteTextChar">
    <w:name w:val="Footnote Text Char"/>
    <w:aliases w:val="ACMA Footnote Text Char,footnote text Char,ALTS FOOTNOTE Char,Footnote Text Char Char1 Char,Footnote Text Char4 Char Char Char,Footnote Text Char1 Char1 Char1 Char Char,Footnote Text Char Char1 Char1 Char Char Char,DNV-FT Char"/>
    <w:basedOn w:val="DefaultParagraphFont"/>
    <w:link w:val="FootnoteText"/>
    <w:uiPriority w:val="99"/>
    <w:qFormat/>
    <w:rsid w:val="001262D9"/>
    <w:rPr>
      <w:rFonts w:asciiTheme="minorHAnsi" w:hAnsiTheme="minorHAnsi"/>
      <w:lang w:val="en-GB" w:eastAsia="en-US"/>
    </w:rPr>
  </w:style>
  <w:style w:type="paragraph" w:styleId="Header">
    <w:name w:val="header"/>
    <w:aliases w:val="encabezado,he,encabezad,header odd,header odd1,header odd2,header,h,Header/Footer,Page No,header odd3,header odd4,header odd5,header odd6,header1,header2,header3,header odd11,header odd21,header odd7,header4,header odd8,header odd9,header5,ho"/>
    <w:basedOn w:val="Normal"/>
    <w:link w:val="HeaderChar"/>
    <w:rsid w:val="00F7210C"/>
    <w:pPr>
      <w:tabs>
        <w:tab w:val="clear" w:pos="794"/>
        <w:tab w:val="clear" w:pos="1191"/>
        <w:tab w:val="clear" w:pos="1588"/>
        <w:tab w:val="clear" w:pos="1985"/>
      </w:tabs>
      <w:spacing w:before="0"/>
      <w:jc w:val="center"/>
    </w:pPr>
    <w:rPr>
      <w:rFonts w:eastAsia="STKaiti"/>
      <w:sz w:val="20"/>
    </w:rPr>
  </w:style>
  <w:style w:type="paragraph" w:styleId="Index1">
    <w:name w:val="index 1"/>
    <w:basedOn w:val="Normal"/>
    <w:next w:val="Normal"/>
    <w:link w:val="Index1Char"/>
    <w:rsid w:val="00CD2E8F"/>
    <w:pPr>
      <w:spacing w:before="0"/>
    </w:pPr>
    <w:rPr>
      <w:sz w:val="16"/>
    </w:rPr>
  </w:style>
  <w:style w:type="paragraph" w:styleId="Index2">
    <w:name w:val="index 2"/>
    <w:basedOn w:val="Normal"/>
    <w:next w:val="Normal"/>
    <w:rsid w:val="00EB5DCF"/>
    <w:pPr>
      <w:ind w:left="283"/>
    </w:pPr>
  </w:style>
  <w:style w:type="paragraph" w:styleId="Index3">
    <w:name w:val="index 3"/>
    <w:basedOn w:val="Normal"/>
    <w:next w:val="Normal"/>
    <w:rsid w:val="00EB5DCF"/>
    <w:pPr>
      <w:ind w:left="566"/>
    </w:pPr>
  </w:style>
  <w:style w:type="paragraph" w:customStyle="1" w:styleId="PartNo">
    <w:name w:val="Part_No"/>
    <w:basedOn w:val="Normal"/>
    <w:next w:val="Partref"/>
    <w:rsid w:val="00EB5DCF"/>
    <w:pPr>
      <w:keepNext/>
      <w:keepLines/>
      <w:spacing w:before="480" w:after="80"/>
      <w:jc w:val="center"/>
    </w:pPr>
    <w:rPr>
      <w:caps/>
      <w:sz w:val="28"/>
    </w:rPr>
  </w:style>
  <w:style w:type="paragraph" w:customStyle="1" w:styleId="Partref">
    <w:name w:val="Part_ref"/>
    <w:basedOn w:val="Normal"/>
    <w:next w:val="Parttitle"/>
    <w:rsid w:val="00EB5DCF"/>
    <w:pPr>
      <w:keepNext/>
      <w:keepLines/>
      <w:spacing w:before="280"/>
      <w:jc w:val="center"/>
    </w:pPr>
  </w:style>
  <w:style w:type="paragraph" w:customStyle="1" w:styleId="Parttitle">
    <w:name w:val="Part_title"/>
    <w:basedOn w:val="Normal"/>
    <w:next w:val="Normalaftertitle"/>
    <w:rsid w:val="00EB5DCF"/>
    <w:pPr>
      <w:keepNext/>
      <w:keepLines/>
      <w:spacing w:before="240" w:after="280"/>
      <w:jc w:val="center"/>
    </w:pPr>
    <w:rPr>
      <w:b/>
      <w:sz w:val="28"/>
    </w:rPr>
  </w:style>
  <w:style w:type="paragraph" w:customStyle="1" w:styleId="Section1">
    <w:name w:val="Section_1"/>
    <w:basedOn w:val="Normal"/>
    <w:next w:val="Normal"/>
    <w:rsid w:val="00EB5DCF"/>
    <w:pPr>
      <w:tabs>
        <w:tab w:val="clear" w:pos="794"/>
        <w:tab w:val="clear" w:pos="1191"/>
        <w:tab w:val="clear" w:pos="1588"/>
        <w:tab w:val="clear" w:pos="1985"/>
      </w:tabs>
      <w:spacing w:before="624"/>
      <w:jc w:val="center"/>
    </w:pPr>
    <w:rPr>
      <w:b/>
    </w:rPr>
  </w:style>
  <w:style w:type="paragraph" w:customStyle="1" w:styleId="Recref">
    <w:name w:val="Rec_ref"/>
    <w:basedOn w:val="Normal"/>
    <w:next w:val="Recdate"/>
    <w:rsid w:val="00EB5DCF"/>
    <w:pPr>
      <w:keepNext/>
      <w:keepLines/>
      <w:tabs>
        <w:tab w:val="clear" w:pos="794"/>
        <w:tab w:val="clear" w:pos="1191"/>
        <w:tab w:val="clear" w:pos="1588"/>
        <w:tab w:val="clear" w:pos="1985"/>
      </w:tabs>
      <w:jc w:val="center"/>
    </w:pPr>
    <w:rPr>
      <w:i/>
    </w:rPr>
  </w:style>
  <w:style w:type="paragraph" w:customStyle="1" w:styleId="Recdate">
    <w:name w:val="Rec_date"/>
    <w:basedOn w:val="Normal"/>
    <w:next w:val="Normalaftertitle"/>
    <w:rsid w:val="00EB5DCF"/>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EB5DCF"/>
  </w:style>
  <w:style w:type="paragraph" w:customStyle="1" w:styleId="QuestionNo">
    <w:name w:val="Question_No"/>
    <w:basedOn w:val="RecNo"/>
    <w:next w:val="Questiontitle"/>
    <w:rsid w:val="00EB5DCF"/>
  </w:style>
  <w:style w:type="paragraph" w:customStyle="1" w:styleId="RecNo">
    <w:name w:val="Rec_No"/>
    <w:basedOn w:val="Normal"/>
    <w:next w:val="Rectitle"/>
    <w:rsid w:val="00EB5DCF"/>
    <w:pPr>
      <w:keepNext/>
      <w:keepLines/>
      <w:spacing w:before="0"/>
    </w:pPr>
    <w:rPr>
      <w:b/>
      <w:sz w:val="28"/>
    </w:rPr>
  </w:style>
  <w:style w:type="paragraph" w:customStyle="1" w:styleId="Rectitle">
    <w:name w:val="Rec_title"/>
    <w:basedOn w:val="Normal"/>
    <w:next w:val="Normalaftertitle"/>
    <w:link w:val="RectitleChar"/>
    <w:rsid w:val="00EB5DCF"/>
    <w:pPr>
      <w:keepNext/>
      <w:keepLines/>
      <w:spacing w:before="360"/>
      <w:jc w:val="center"/>
    </w:pPr>
    <w:rPr>
      <w:b/>
      <w:sz w:val="28"/>
    </w:rPr>
  </w:style>
  <w:style w:type="paragraph" w:customStyle="1" w:styleId="Questiontitle">
    <w:name w:val="Question_title"/>
    <w:basedOn w:val="Rectitle"/>
    <w:next w:val="Questionref"/>
    <w:rsid w:val="00EB5DCF"/>
  </w:style>
  <w:style w:type="paragraph" w:customStyle="1" w:styleId="Questionref">
    <w:name w:val="Question_ref"/>
    <w:basedOn w:val="Recref"/>
    <w:next w:val="Questiondate"/>
    <w:rsid w:val="00EB5DCF"/>
  </w:style>
  <w:style w:type="paragraph" w:customStyle="1" w:styleId="Reftext">
    <w:name w:val="Ref_text"/>
    <w:basedOn w:val="Normal"/>
    <w:rsid w:val="00EB5DCF"/>
    <w:pPr>
      <w:ind w:left="794" w:hanging="794"/>
    </w:pPr>
  </w:style>
  <w:style w:type="paragraph" w:customStyle="1" w:styleId="Repdate">
    <w:name w:val="Rep_date"/>
    <w:basedOn w:val="Recdate"/>
    <w:next w:val="Normalaftertitle"/>
    <w:rsid w:val="00EB5DCF"/>
  </w:style>
  <w:style w:type="paragraph" w:customStyle="1" w:styleId="RepNo">
    <w:name w:val="Rep_No"/>
    <w:basedOn w:val="RecNo"/>
    <w:next w:val="Reptitle"/>
    <w:rsid w:val="00EB5DCF"/>
  </w:style>
  <w:style w:type="paragraph" w:customStyle="1" w:styleId="Reptitle">
    <w:name w:val="Rep_title"/>
    <w:basedOn w:val="Rectitle"/>
    <w:next w:val="Repref"/>
    <w:rsid w:val="00EB5DCF"/>
  </w:style>
  <w:style w:type="paragraph" w:customStyle="1" w:styleId="Repref">
    <w:name w:val="Rep_ref"/>
    <w:basedOn w:val="Recref"/>
    <w:next w:val="Repdate"/>
    <w:rsid w:val="00EB5DCF"/>
  </w:style>
  <w:style w:type="paragraph" w:customStyle="1" w:styleId="Resdate">
    <w:name w:val="Res_date"/>
    <w:basedOn w:val="Recdate"/>
    <w:next w:val="Normalaftertitle"/>
    <w:rsid w:val="00EB5DCF"/>
  </w:style>
  <w:style w:type="paragraph" w:customStyle="1" w:styleId="ResNo">
    <w:name w:val="Res_No"/>
    <w:basedOn w:val="RecNo"/>
    <w:next w:val="Restitle"/>
    <w:link w:val="ResNoChar"/>
    <w:rsid w:val="00654282"/>
    <w:pPr>
      <w:spacing w:before="720"/>
      <w:jc w:val="center"/>
    </w:pPr>
    <w:rPr>
      <w:b w:val="0"/>
    </w:rPr>
  </w:style>
  <w:style w:type="paragraph" w:customStyle="1" w:styleId="Restitle">
    <w:name w:val="Res_title"/>
    <w:basedOn w:val="Rectitle"/>
    <w:next w:val="Resref"/>
    <w:link w:val="RestitleChar"/>
    <w:rsid w:val="00654282"/>
    <w:pPr>
      <w:tabs>
        <w:tab w:val="clear" w:pos="794"/>
        <w:tab w:val="clear" w:pos="1191"/>
        <w:tab w:val="clear" w:pos="1588"/>
      </w:tabs>
      <w:spacing w:before="240" w:after="240"/>
    </w:pPr>
    <w:rPr>
      <w:rFonts w:ascii="Calibri" w:hAnsi="Calibri"/>
    </w:rPr>
  </w:style>
  <w:style w:type="paragraph" w:customStyle="1" w:styleId="Resref">
    <w:name w:val="Res_ref"/>
    <w:basedOn w:val="Recref"/>
    <w:next w:val="Resdate"/>
    <w:rsid w:val="00EB5DCF"/>
  </w:style>
  <w:style w:type="paragraph" w:customStyle="1" w:styleId="SectionNo">
    <w:name w:val="Section_No"/>
    <w:basedOn w:val="Normal"/>
    <w:next w:val="Sectiontitle"/>
    <w:rsid w:val="00EB5DCF"/>
    <w:pPr>
      <w:keepNext/>
      <w:keepLines/>
      <w:spacing w:before="480" w:after="80"/>
      <w:jc w:val="center"/>
    </w:pPr>
    <w:rPr>
      <w:caps/>
      <w:sz w:val="28"/>
    </w:rPr>
  </w:style>
  <w:style w:type="paragraph" w:customStyle="1" w:styleId="Sectiontitle">
    <w:name w:val="Section_title"/>
    <w:basedOn w:val="Normal"/>
    <w:next w:val="Normalaftertitle"/>
    <w:rsid w:val="00EB5DCF"/>
    <w:pPr>
      <w:keepNext/>
      <w:keepLines/>
      <w:spacing w:before="480" w:after="280"/>
      <w:jc w:val="center"/>
    </w:pPr>
    <w:rPr>
      <w:b/>
      <w:sz w:val="28"/>
    </w:rPr>
  </w:style>
  <w:style w:type="paragraph" w:customStyle="1" w:styleId="Source">
    <w:name w:val="Source"/>
    <w:basedOn w:val="Normal"/>
    <w:next w:val="Normalaftertitle"/>
    <w:rsid w:val="00EB5DCF"/>
    <w:pPr>
      <w:spacing w:before="840" w:after="200"/>
      <w:jc w:val="center"/>
    </w:pPr>
    <w:rPr>
      <w:b/>
      <w:sz w:val="28"/>
    </w:rPr>
  </w:style>
  <w:style w:type="paragraph" w:customStyle="1" w:styleId="SpecialFooter">
    <w:name w:val="Special Footer"/>
    <w:basedOn w:val="Footer"/>
    <w:rsid w:val="00EB5DCF"/>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EB5DC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legend">
    <w:name w:val="Table_legend"/>
    <w:basedOn w:val="Normal"/>
    <w:rsid w:val="00EB5D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uiPriority w:val="99"/>
    <w:rsid w:val="00EB5DCF"/>
    <w:rPr>
      <w:vertAlign w:val="superscript"/>
    </w:rPr>
  </w:style>
  <w:style w:type="paragraph" w:customStyle="1" w:styleId="TableNotitle">
    <w:name w:val="Table_No &amp; title"/>
    <w:basedOn w:val="Normal"/>
    <w:next w:val="Tablehead"/>
    <w:link w:val="TableNotitleChar"/>
    <w:rsid w:val="00EB5DCF"/>
    <w:pPr>
      <w:keepNext/>
      <w:keepLines/>
      <w:spacing w:before="360" w:after="120"/>
      <w:jc w:val="center"/>
    </w:pPr>
    <w:rPr>
      <w:b/>
    </w:rPr>
  </w:style>
  <w:style w:type="character" w:customStyle="1" w:styleId="TableNotitleChar">
    <w:name w:val="Table_No &amp; title Char"/>
    <w:basedOn w:val="DefaultParagraphFont"/>
    <w:link w:val="TableNotitle"/>
    <w:rsid w:val="005E01D9"/>
    <w:rPr>
      <w:b/>
      <w:sz w:val="22"/>
      <w:lang w:val="en-GB" w:eastAsia="en-US" w:bidi="ar-SA"/>
    </w:rPr>
  </w:style>
  <w:style w:type="paragraph" w:customStyle="1" w:styleId="Title1">
    <w:name w:val="Title 1"/>
    <w:basedOn w:val="Source"/>
    <w:next w:val="Title2"/>
    <w:rsid w:val="00EB5DC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B5DCF"/>
  </w:style>
  <w:style w:type="paragraph" w:customStyle="1" w:styleId="Title3">
    <w:name w:val="Title 3"/>
    <w:basedOn w:val="Title2"/>
    <w:next w:val="Title4"/>
    <w:rsid w:val="00EB5DCF"/>
    <w:rPr>
      <w:caps w:val="0"/>
    </w:rPr>
  </w:style>
  <w:style w:type="paragraph" w:customStyle="1" w:styleId="Title4">
    <w:name w:val="Title 4"/>
    <w:basedOn w:val="Title3"/>
    <w:next w:val="Heading1"/>
    <w:rsid w:val="00EB5DCF"/>
    <w:rPr>
      <w:b/>
    </w:rPr>
  </w:style>
  <w:style w:type="paragraph" w:customStyle="1" w:styleId="TOC1">
    <w:name w:val="TOC1"/>
    <w:basedOn w:val="Normal"/>
    <w:next w:val="TOC10"/>
    <w:rsid w:val="00F042A5"/>
    <w:pPr>
      <w:tabs>
        <w:tab w:val="clear" w:pos="794"/>
        <w:tab w:val="clear" w:pos="1191"/>
        <w:tab w:val="clear" w:pos="1588"/>
        <w:tab w:val="clear" w:pos="1985"/>
        <w:tab w:val="left" w:pos="680"/>
        <w:tab w:val="left" w:leader="dot" w:pos="8789"/>
        <w:tab w:val="right" w:pos="9356"/>
      </w:tabs>
      <w:spacing w:before="240"/>
      <w:ind w:left="680" w:hanging="680"/>
    </w:pPr>
    <w:rPr>
      <w:rFonts w:ascii="Calibri" w:hAnsi="Calibri"/>
      <w:sz w:val="28"/>
    </w:rPr>
  </w:style>
  <w:style w:type="paragraph" w:styleId="TOC10">
    <w:name w:val="toc 1"/>
    <w:basedOn w:val="Normal"/>
    <w:link w:val="TOC1Char"/>
    <w:uiPriority w:val="39"/>
    <w:rsid w:val="00E9330E"/>
    <w:pPr>
      <w:keepLines/>
      <w:tabs>
        <w:tab w:val="clear" w:pos="794"/>
        <w:tab w:val="clear" w:pos="1191"/>
        <w:tab w:val="clear" w:pos="1588"/>
        <w:tab w:val="clear" w:pos="1985"/>
        <w:tab w:val="left" w:pos="1701"/>
        <w:tab w:val="right" w:leader="dot" w:pos="8789"/>
        <w:tab w:val="right" w:pos="9356"/>
      </w:tabs>
      <w:ind w:left="1701" w:right="567" w:hanging="1701"/>
    </w:pPr>
    <w:rPr>
      <w:b/>
    </w:rPr>
  </w:style>
  <w:style w:type="paragraph" w:styleId="TOC2">
    <w:name w:val="toc 2"/>
    <w:basedOn w:val="TOC10"/>
    <w:uiPriority w:val="39"/>
    <w:rsid w:val="00FD1E69"/>
    <w:pPr>
      <w:spacing w:before="80"/>
    </w:pPr>
    <w:rPr>
      <w:b w:val="0"/>
    </w:rPr>
  </w:style>
  <w:style w:type="paragraph" w:styleId="TOC3">
    <w:name w:val="toc 3"/>
    <w:basedOn w:val="TOC2"/>
    <w:uiPriority w:val="39"/>
    <w:rsid w:val="00EB5DCF"/>
  </w:style>
  <w:style w:type="paragraph" w:styleId="TOC4">
    <w:name w:val="toc 4"/>
    <w:basedOn w:val="TOC3"/>
    <w:uiPriority w:val="39"/>
    <w:rsid w:val="00EB5DCF"/>
  </w:style>
  <w:style w:type="paragraph" w:styleId="TOC5">
    <w:name w:val="toc 5"/>
    <w:basedOn w:val="TOC4"/>
    <w:uiPriority w:val="39"/>
    <w:rsid w:val="00EB5DCF"/>
  </w:style>
  <w:style w:type="paragraph" w:styleId="TOC6">
    <w:name w:val="toc 6"/>
    <w:basedOn w:val="TOC4"/>
    <w:uiPriority w:val="39"/>
    <w:rsid w:val="00EB5DCF"/>
  </w:style>
  <w:style w:type="paragraph" w:styleId="TOC7">
    <w:name w:val="toc 7"/>
    <w:basedOn w:val="TOC4"/>
    <w:uiPriority w:val="39"/>
    <w:rsid w:val="00EB5DCF"/>
  </w:style>
  <w:style w:type="paragraph" w:styleId="TOC8">
    <w:name w:val="toc 8"/>
    <w:basedOn w:val="TOC4"/>
    <w:uiPriority w:val="39"/>
    <w:rsid w:val="00EB5DCF"/>
  </w:style>
  <w:style w:type="character" w:customStyle="1" w:styleId="Appdef">
    <w:name w:val="App_def"/>
    <w:basedOn w:val="DefaultParagraphFont"/>
    <w:rsid w:val="00EB5DCF"/>
    <w:rPr>
      <w:rFonts w:ascii="Times New Roman" w:hAnsi="Times New Roman"/>
      <w:b/>
    </w:rPr>
  </w:style>
  <w:style w:type="character" w:customStyle="1" w:styleId="Appref">
    <w:name w:val="App_ref"/>
    <w:basedOn w:val="DefaultParagraphFont"/>
    <w:rsid w:val="00EB5DCF"/>
  </w:style>
  <w:style w:type="character" w:customStyle="1" w:styleId="Artdef">
    <w:name w:val="Art_def"/>
    <w:basedOn w:val="DefaultParagraphFont"/>
    <w:rsid w:val="00EB5DCF"/>
    <w:rPr>
      <w:rFonts w:ascii="Times New Roman" w:hAnsi="Times New Roman"/>
      <w:b/>
    </w:rPr>
  </w:style>
  <w:style w:type="character" w:customStyle="1" w:styleId="Artref">
    <w:name w:val="Art_ref"/>
    <w:basedOn w:val="DefaultParagraphFont"/>
    <w:rsid w:val="00EB5DCF"/>
  </w:style>
  <w:style w:type="paragraph" w:customStyle="1" w:styleId="Reftitle">
    <w:name w:val="Ref_title"/>
    <w:basedOn w:val="Normal"/>
    <w:next w:val="Reftext"/>
    <w:rsid w:val="00057467"/>
    <w:pPr>
      <w:spacing w:before="200"/>
      <w:jc w:val="center"/>
    </w:pPr>
    <w:rPr>
      <w:b/>
    </w:rPr>
  </w:style>
  <w:style w:type="character" w:customStyle="1" w:styleId="Resdef">
    <w:name w:val="Res_def"/>
    <w:basedOn w:val="DefaultParagraphFont"/>
    <w:rsid w:val="00EB5DCF"/>
    <w:rPr>
      <w:rFonts w:ascii="Times New Roman" w:hAnsi="Times New Roman"/>
      <w:b/>
    </w:rPr>
  </w:style>
  <w:style w:type="character" w:customStyle="1" w:styleId="Tablefreq">
    <w:name w:val="Table_freq"/>
    <w:basedOn w:val="DefaultParagraphFont"/>
    <w:rsid w:val="00EB5DCF"/>
    <w:rPr>
      <w:b/>
      <w:color w:val="auto"/>
    </w:rPr>
  </w:style>
  <w:style w:type="paragraph" w:customStyle="1" w:styleId="Formal">
    <w:name w:val="Formal"/>
    <w:basedOn w:val="ASN1"/>
    <w:rsid w:val="00EB5DCF"/>
    <w:rPr>
      <w:b w:val="0"/>
    </w:rPr>
  </w:style>
  <w:style w:type="paragraph" w:customStyle="1" w:styleId="FooterQP">
    <w:name w:val="Footer_QP"/>
    <w:basedOn w:val="Normal"/>
    <w:rsid w:val="00EB5DCF"/>
    <w:pPr>
      <w:tabs>
        <w:tab w:val="clear" w:pos="794"/>
        <w:tab w:val="clear" w:pos="1191"/>
        <w:tab w:val="clear" w:pos="1588"/>
        <w:tab w:val="clear" w:pos="1985"/>
        <w:tab w:val="left" w:pos="907"/>
        <w:tab w:val="right" w:pos="8789"/>
        <w:tab w:val="right" w:pos="9639"/>
      </w:tabs>
      <w:spacing w:before="0"/>
    </w:pPr>
    <w:rPr>
      <w:b/>
    </w:rPr>
  </w:style>
  <w:style w:type="paragraph" w:customStyle="1" w:styleId="Headingb">
    <w:name w:val="Heading_b"/>
    <w:basedOn w:val="Normal"/>
    <w:next w:val="Normal"/>
    <w:link w:val="HeadingbChar"/>
    <w:rsid w:val="00EB5DCF"/>
    <w:pPr>
      <w:keepNext/>
      <w:spacing w:before="160"/>
    </w:pPr>
    <w:rPr>
      <w:b/>
    </w:rPr>
  </w:style>
  <w:style w:type="paragraph" w:customStyle="1" w:styleId="Section2">
    <w:name w:val="Section_2"/>
    <w:basedOn w:val="Normal"/>
    <w:next w:val="Normal"/>
    <w:rsid w:val="00EB5DCF"/>
    <w:pPr>
      <w:tabs>
        <w:tab w:val="clear" w:pos="794"/>
        <w:tab w:val="clear" w:pos="1191"/>
        <w:tab w:val="clear" w:pos="1588"/>
        <w:tab w:val="clear" w:pos="1985"/>
      </w:tabs>
      <w:spacing w:before="240"/>
      <w:jc w:val="center"/>
    </w:pPr>
    <w:rPr>
      <w:i/>
    </w:rPr>
  </w:style>
  <w:style w:type="paragraph" w:customStyle="1" w:styleId="RecNoBR">
    <w:name w:val="Rec_No_BR"/>
    <w:basedOn w:val="Normal"/>
    <w:next w:val="Rectitle"/>
    <w:rsid w:val="00EB5DCF"/>
    <w:pPr>
      <w:keepNext/>
      <w:keepLines/>
      <w:spacing w:before="480"/>
      <w:jc w:val="center"/>
    </w:pPr>
    <w:rPr>
      <w:caps/>
      <w:sz w:val="28"/>
    </w:rPr>
  </w:style>
  <w:style w:type="paragraph" w:customStyle="1" w:styleId="QuestionNoBR">
    <w:name w:val="Question_No_BR"/>
    <w:basedOn w:val="RecNoBR"/>
    <w:next w:val="Questiontitle"/>
    <w:rsid w:val="00EB5DCF"/>
  </w:style>
  <w:style w:type="paragraph" w:customStyle="1" w:styleId="RepNoBR">
    <w:name w:val="Rep_No_BR"/>
    <w:basedOn w:val="RecNoBR"/>
    <w:next w:val="Reptitle"/>
    <w:rsid w:val="00EB5DCF"/>
  </w:style>
  <w:style w:type="paragraph" w:customStyle="1" w:styleId="ResNoBR">
    <w:name w:val="Res_No_BR"/>
    <w:basedOn w:val="RecNoBR"/>
    <w:next w:val="Restitle"/>
    <w:rsid w:val="00EB5DCF"/>
  </w:style>
  <w:style w:type="paragraph" w:customStyle="1" w:styleId="TabletitleBR">
    <w:name w:val="Table_title_BR"/>
    <w:basedOn w:val="Normal"/>
    <w:next w:val="Tablehead"/>
    <w:link w:val="TabletitleBRChar"/>
    <w:rsid w:val="00EB5DCF"/>
    <w:pPr>
      <w:keepNext/>
      <w:keepLines/>
      <w:spacing w:before="0" w:after="120"/>
      <w:jc w:val="center"/>
    </w:pPr>
    <w:rPr>
      <w:b/>
    </w:rPr>
  </w:style>
  <w:style w:type="paragraph" w:customStyle="1" w:styleId="TableNoBR">
    <w:name w:val="Table_No_BR"/>
    <w:basedOn w:val="Normal"/>
    <w:next w:val="TabletitleBR"/>
    <w:link w:val="TableNoBRChar"/>
    <w:rsid w:val="00EB5DCF"/>
    <w:pPr>
      <w:keepNext/>
      <w:spacing w:before="560" w:after="120"/>
      <w:jc w:val="center"/>
    </w:pPr>
    <w:rPr>
      <w:caps/>
    </w:rPr>
  </w:style>
  <w:style w:type="paragraph" w:customStyle="1" w:styleId="Tableref">
    <w:name w:val="Table_ref"/>
    <w:basedOn w:val="Normal"/>
    <w:next w:val="TabletitleBR"/>
    <w:rsid w:val="00EB5DCF"/>
    <w:pPr>
      <w:keepNext/>
      <w:spacing w:before="0" w:after="120"/>
      <w:jc w:val="center"/>
    </w:pPr>
  </w:style>
  <w:style w:type="character" w:customStyle="1" w:styleId="Recdef">
    <w:name w:val="Rec_def"/>
    <w:basedOn w:val="DefaultParagraphFont"/>
    <w:rsid w:val="00EB5DCF"/>
    <w:rPr>
      <w:b/>
    </w:rPr>
  </w:style>
  <w:style w:type="paragraph" w:customStyle="1" w:styleId="FiguretitleBR">
    <w:name w:val="Figure_title_BR"/>
    <w:basedOn w:val="TabletitleBR"/>
    <w:next w:val="Figurewithouttitle"/>
    <w:rsid w:val="00EB5DCF"/>
    <w:pPr>
      <w:keepNext w:val="0"/>
      <w:spacing w:after="480"/>
    </w:pPr>
  </w:style>
  <w:style w:type="paragraph" w:customStyle="1" w:styleId="FigureNoBR">
    <w:name w:val="Figure_No_BR"/>
    <w:basedOn w:val="Normal"/>
    <w:next w:val="FiguretitleBR"/>
    <w:rsid w:val="00EB5DCF"/>
    <w:pPr>
      <w:keepNext/>
      <w:keepLines/>
      <w:spacing w:before="480" w:after="120"/>
      <w:jc w:val="center"/>
    </w:pPr>
    <w:rPr>
      <w:caps/>
    </w:rPr>
  </w:style>
  <w:style w:type="paragraph" w:styleId="ListBullet">
    <w:name w:val="List Bullet"/>
    <w:basedOn w:val="Normal"/>
    <w:autoRedefine/>
    <w:rsid w:val="00EB5DCF"/>
    <w:pPr>
      <w:tabs>
        <w:tab w:val="num" w:pos="360"/>
      </w:tabs>
      <w:ind w:left="360" w:hanging="360"/>
    </w:pPr>
  </w:style>
  <w:style w:type="paragraph" w:customStyle="1" w:styleId="Table">
    <w:name w:val="Table_#"/>
    <w:basedOn w:val="Normal"/>
    <w:next w:val="TableTitle"/>
    <w:rsid w:val="00EB5DCF"/>
    <w:pPr>
      <w:keepNext/>
      <w:spacing w:before="567" w:after="113"/>
      <w:jc w:val="center"/>
    </w:pPr>
  </w:style>
  <w:style w:type="paragraph" w:customStyle="1" w:styleId="TableTitle">
    <w:name w:val="Table_Title"/>
    <w:basedOn w:val="Table"/>
    <w:next w:val="TableText0"/>
    <w:rsid w:val="00EB5DCF"/>
    <w:pPr>
      <w:spacing w:before="0"/>
    </w:pPr>
    <w:rPr>
      <w:b/>
    </w:rPr>
  </w:style>
  <w:style w:type="paragraph" w:customStyle="1" w:styleId="TableText0">
    <w:name w:val="Table_Text"/>
    <w:basedOn w:val="TableLegend0"/>
    <w:rsid w:val="00EB5DCF"/>
    <w:pPr>
      <w:spacing w:before="60" w:after="60"/>
    </w:pPr>
  </w:style>
  <w:style w:type="paragraph" w:customStyle="1" w:styleId="TableLegend0">
    <w:name w:val="Table_Legend"/>
    <w:basedOn w:val="Normal"/>
    <w:next w:val="Normal"/>
    <w:rsid w:val="00EB5DCF"/>
    <w:pPr>
      <w:keepNext/>
      <w:spacing w:before="113" w:after="480"/>
    </w:pPr>
    <w:rPr>
      <w:sz w:val="18"/>
    </w:rPr>
  </w:style>
  <w:style w:type="paragraph" w:styleId="BodyText">
    <w:name w:val="Body Text"/>
    <w:basedOn w:val="Normal"/>
    <w:link w:val="BodyTextChar"/>
    <w:rsid w:val="00EB5DCF"/>
    <w:pPr>
      <w:tabs>
        <w:tab w:val="left" w:pos="1276"/>
        <w:tab w:val="center" w:pos="4678"/>
      </w:tabs>
    </w:pPr>
    <w:rPr>
      <w:lang w:val="fr-FR"/>
    </w:rPr>
  </w:style>
  <w:style w:type="paragraph" w:customStyle="1" w:styleId="Normalaftertitle0">
    <w:name w:val="Normal after title"/>
    <w:basedOn w:val="Heading1"/>
    <w:next w:val="Normal"/>
    <w:link w:val="NormalaftertitleChar"/>
    <w:autoRedefine/>
    <w:qFormat/>
    <w:rsid w:val="00E51375"/>
    <w:pPr>
      <w:keepNext w:val="0"/>
      <w:keepLines w:val="0"/>
      <w:tabs>
        <w:tab w:val="clear" w:pos="1021"/>
        <w:tab w:val="left" w:pos="784"/>
      </w:tabs>
      <w:spacing w:before="240"/>
      <w:ind w:left="0" w:firstLine="0"/>
      <w:outlineLvl w:val="9"/>
    </w:pPr>
    <w:rPr>
      <w:rFonts w:asciiTheme="minorHAnsi" w:eastAsiaTheme="minorEastAsia" w:hAnsiTheme="minorHAnsi" w:cstheme="minorHAnsi"/>
      <w:b w:val="0"/>
      <w:sz w:val="24"/>
      <w:szCs w:val="24"/>
      <w:lang w:eastAsia="zh-CN"/>
    </w:rPr>
  </w:style>
  <w:style w:type="paragraph" w:customStyle="1" w:styleId="Normal1c">
    <w:name w:val="Normal_1c"/>
    <w:semiHidden/>
    <w:rsid w:val="00EB5DCF"/>
    <w:pPr>
      <w:tabs>
        <w:tab w:val="left" w:pos="709"/>
        <w:tab w:val="left" w:pos="1276"/>
        <w:tab w:val="left" w:pos="1701"/>
        <w:tab w:val="left" w:pos="2268"/>
        <w:tab w:val="right" w:pos="9639"/>
      </w:tabs>
      <w:spacing w:before="220"/>
      <w:ind w:firstLine="1276"/>
      <w:jc w:val="both"/>
    </w:pPr>
    <w:rPr>
      <w:rFonts w:ascii="Times New Roman" w:hAnsi="Times New Roman"/>
      <w:sz w:val="22"/>
      <w:lang w:eastAsia="en-US"/>
    </w:rPr>
  </w:style>
  <w:style w:type="paragraph" w:customStyle="1" w:styleId="digit">
    <w:name w:val="digit"/>
    <w:basedOn w:val="Normal"/>
    <w:semiHidden/>
    <w:rsid w:val="00EB5DCF"/>
    <w:pPr>
      <w:tabs>
        <w:tab w:val="clear" w:pos="794"/>
        <w:tab w:val="clear" w:pos="1191"/>
        <w:tab w:val="clear" w:pos="1588"/>
        <w:tab w:val="clear" w:pos="1985"/>
        <w:tab w:val="left" w:pos="86"/>
      </w:tabs>
    </w:pPr>
    <w:rPr>
      <w:sz w:val="18"/>
      <w:lang w:val="en-US"/>
    </w:rPr>
  </w:style>
  <w:style w:type="paragraph" w:customStyle="1" w:styleId="Head">
    <w:name w:val="Head"/>
    <w:basedOn w:val="Normal"/>
    <w:next w:val="Title0"/>
    <w:rsid w:val="00EB5DCF"/>
    <w:rPr>
      <w:b/>
      <w:color w:val="FFFFFF"/>
      <w:sz w:val="8"/>
    </w:rPr>
  </w:style>
  <w:style w:type="paragraph" w:customStyle="1" w:styleId="Title0">
    <w:name w:val="Title 0"/>
    <w:basedOn w:val="Normal"/>
    <w:next w:val="Normal"/>
    <w:semiHidden/>
    <w:rsid w:val="00EB5DCF"/>
    <w:pPr>
      <w:spacing w:before="720" w:after="240"/>
      <w:jc w:val="center"/>
    </w:pPr>
    <w:rPr>
      <w:u w:val="single"/>
    </w:rPr>
  </w:style>
  <w:style w:type="paragraph" w:customStyle="1" w:styleId="digit2">
    <w:name w:val="digit 2"/>
    <w:basedOn w:val="digit"/>
    <w:semiHidden/>
    <w:rsid w:val="00EB5DCF"/>
    <w:pPr>
      <w:tabs>
        <w:tab w:val="left" w:pos="170"/>
      </w:tabs>
      <w:spacing w:before="60" w:line="240" w:lineRule="atLeast"/>
      <w:ind w:left="-57"/>
    </w:pPr>
    <w:rPr>
      <w:lang w:val="fr-FR"/>
    </w:rPr>
  </w:style>
  <w:style w:type="paragraph" w:customStyle="1" w:styleId="Normal3">
    <w:name w:val="Normal_3"/>
    <w:basedOn w:val="Normal1"/>
    <w:semiHidden/>
    <w:rsid w:val="00EB5DCF"/>
    <w:pPr>
      <w:tabs>
        <w:tab w:val="clear" w:pos="567"/>
        <w:tab w:val="clear" w:pos="794"/>
        <w:tab w:val="left" w:pos="170"/>
        <w:tab w:val="left" w:pos="3629"/>
      </w:tabs>
      <w:ind w:left="0" w:right="1247" w:firstLine="0"/>
    </w:pPr>
  </w:style>
  <w:style w:type="paragraph" w:customStyle="1" w:styleId="Normal1">
    <w:name w:val="Normal_1"/>
    <w:basedOn w:val="Normal"/>
    <w:semiHidden/>
    <w:rsid w:val="00EB5DCF"/>
    <w:pPr>
      <w:tabs>
        <w:tab w:val="clear" w:pos="1191"/>
        <w:tab w:val="clear" w:pos="1588"/>
        <w:tab w:val="clear" w:pos="1985"/>
        <w:tab w:val="left" w:pos="567"/>
        <w:tab w:val="right" w:pos="4593"/>
      </w:tabs>
      <w:spacing w:before="86" w:line="199" w:lineRule="exact"/>
      <w:ind w:left="794" w:right="680" w:hanging="794"/>
    </w:pPr>
    <w:rPr>
      <w:sz w:val="18"/>
    </w:rPr>
  </w:style>
  <w:style w:type="paragraph" w:customStyle="1" w:styleId="Heading">
    <w:name w:val="Heading"/>
    <w:basedOn w:val="Normal"/>
    <w:semiHidden/>
    <w:rsid w:val="00EB5DCF"/>
    <w:pPr>
      <w:jc w:val="center"/>
    </w:pPr>
    <w:rPr>
      <w:rFonts w:ascii="Times New Roman Bold" w:hAnsi="Times New Roman Bold"/>
      <w:b/>
    </w:rPr>
  </w:style>
  <w:style w:type="paragraph" w:customStyle="1" w:styleId="call0">
    <w:name w:val="call"/>
    <w:basedOn w:val="Normal"/>
    <w:next w:val="Normal"/>
    <w:rsid w:val="00364022"/>
    <w:pPr>
      <w:keepNext/>
      <w:keepLines/>
      <w:spacing w:before="160"/>
      <w:ind w:left="794"/>
    </w:pPr>
    <w:rPr>
      <w:rFonts w:eastAsia="STKaiti"/>
    </w:rPr>
  </w:style>
  <w:style w:type="paragraph" w:styleId="Title">
    <w:name w:val="Title"/>
    <w:basedOn w:val="Normal"/>
    <w:link w:val="TitleChar"/>
    <w:qFormat/>
    <w:rsid w:val="00EB5DCF"/>
    <w:pPr>
      <w:tabs>
        <w:tab w:val="clear" w:pos="794"/>
        <w:tab w:val="clear" w:pos="1191"/>
        <w:tab w:val="clear" w:pos="1588"/>
        <w:tab w:val="clear" w:pos="1985"/>
      </w:tabs>
      <w:overflowPunct/>
      <w:autoSpaceDE/>
      <w:autoSpaceDN/>
      <w:adjustRightInd/>
      <w:spacing w:before="0"/>
      <w:jc w:val="center"/>
      <w:textAlignment w:val="auto"/>
    </w:pPr>
    <w:rPr>
      <w:b/>
      <w:bCs/>
      <w:szCs w:val="24"/>
      <w:lang w:val="en-US"/>
    </w:rPr>
  </w:style>
  <w:style w:type="paragraph" w:styleId="BodyText2">
    <w:name w:val="Body Text 2"/>
    <w:basedOn w:val="Normal"/>
    <w:link w:val="BodyText2Char"/>
    <w:rsid w:val="00EB5DCF"/>
    <w:pPr>
      <w:tabs>
        <w:tab w:val="clear" w:pos="794"/>
        <w:tab w:val="clear" w:pos="1191"/>
        <w:tab w:val="clear" w:pos="1588"/>
        <w:tab w:val="clear" w:pos="1985"/>
      </w:tabs>
      <w:overflowPunct/>
      <w:autoSpaceDE/>
      <w:autoSpaceDN/>
      <w:adjustRightInd/>
      <w:spacing w:before="0"/>
      <w:ind w:right="-402"/>
      <w:textAlignment w:val="auto"/>
    </w:pPr>
    <w:rPr>
      <w:rFonts w:ascii="Courier New" w:hAnsi="Courier New" w:cs="Courier New"/>
      <w:szCs w:val="24"/>
      <w:lang w:val="en-US"/>
    </w:rPr>
  </w:style>
  <w:style w:type="paragraph" w:styleId="BodyTextIndent3">
    <w:name w:val="Body Text Indent 3"/>
    <w:basedOn w:val="Normal"/>
    <w:link w:val="BodyTextIndent3Char"/>
    <w:rsid w:val="00EB5DCF"/>
    <w:pPr>
      <w:tabs>
        <w:tab w:val="clear" w:pos="794"/>
        <w:tab w:val="clear" w:pos="1191"/>
        <w:tab w:val="clear" w:pos="1588"/>
        <w:tab w:val="clear" w:pos="1985"/>
        <w:tab w:val="left" w:pos="540"/>
        <w:tab w:val="left" w:pos="900"/>
      </w:tabs>
      <w:overflowPunct/>
      <w:autoSpaceDE/>
      <w:autoSpaceDN/>
      <w:adjustRightInd/>
      <w:spacing w:after="120"/>
      <w:ind w:left="900" w:hanging="900"/>
      <w:textAlignment w:val="auto"/>
    </w:pPr>
    <w:rPr>
      <w:szCs w:val="24"/>
      <w:lang w:val="en-US"/>
    </w:rPr>
  </w:style>
  <w:style w:type="paragraph" w:styleId="BodyTextIndent2">
    <w:name w:val="Body Text Indent 2"/>
    <w:basedOn w:val="Normal"/>
    <w:link w:val="BodyTextIndent2Char"/>
    <w:rsid w:val="00EB5DCF"/>
    <w:pPr>
      <w:tabs>
        <w:tab w:val="clear" w:pos="794"/>
        <w:tab w:val="clear" w:pos="1191"/>
        <w:tab w:val="clear" w:pos="1588"/>
        <w:tab w:val="clear" w:pos="1985"/>
      </w:tabs>
      <w:overflowPunct/>
      <w:adjustRightInd/>
      <w:spacing w:before="0"/>
      <w:ind w:left="360"/>
      <w:textAlignment w:val="auto"/>
    </w:pPr>
  </w:style>
  <w:style w:type="paragraph" w:styleId="BlockText">
    <w:name w:val="Block Text"/>
    <w:basedOn w:val="Normal"/>
    <w:rsid w:val="00EB5DCF"/>
    <w:pPr>
      <w:tabs>
        <w:tab w:val="clear" w:pos="794"/>
        <w:tab w:val="clear" w:pos="1191"/>
        <w:tab w:val="clear" w:pos="1588"/>
        <w:tab w:val="clear" w:pos="1985"/>
        <w:tab w:val="left" w:pos="709"/>
      </w:tabs>
      <w:overflowPunct/>
      <w:autoSpaceDE/>
      <w:autoSpaceDN/>
      <w:adjustRightInd/>
      <w:spacing w:before="0"/>
      <w:ind w:left="709" w:right="-766" w:hanging="709"/>
      <w:textAlignment w:val="auto"/>
    </w:pPr>
  </w:style>
  <w:style w:type="paragraph" w:customStyle="1" w:styleId="TableHead0">
    <w:name w:val="Table_Head"/>
    <w:basedOn w:val="TableText0"/>
    <w:rsid w:val="00EB5D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dnum">
    <w:name w:val="dnum"/>
    <w:basedOn w:val="Normal"/>
    <w:rsid w:val="00EB5DCF"/>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date">
    <w:name w:val="ddate"/>
    <w:basedOn w:val="Normal"/>
    <w:rsid w:val="00EB5DCF"/>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orlang">
    <w:name w:val="dorlang"/>
    <w:basedOn w:val="Normal"/>
    <w:rsid w:val="00EB5DCF"/>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headingb0">
    <w:name w:val="heading_b"/>
    <w:basedOn w:val="Heading3"/>
    <w:next w:val="Normal"/>
    <w:link w:val="headingbChar0"/>
    <w:rsid w:val="00EB5DCF"/>
    <w:pPr>
      <w:tabs>
        <w:tab w:val="clear" w:pos="1021"/>
        <w:tab w:val="clear" w:pos="1191"/>
        <w:tab w:val="clear" w:pos="1588"/>
        <w:tab w:val="clear" w:pos="1985"/>
        <w:tab w:val="left" w:pos="794"/>
        <w:tab w:val="left" w:pos="2127"/>
        <w:tab w:val="left" w:pos="2410"/>
        <w:tab w:val="left" w:pos="2921"/>
        <w:tab w:val="left" w:pos="3261"/>
      </w:tabs>
      <w:ind w:left="0" w:firstLine="0"/>
      <w:outlineLvl w:val="9"/>
    </w:pPr>
    <w:rPr>
      <w:rFonts w:ascii="Times New Roman" w:hAnsi="Times New Roman"/>
    </w:rPr>
  </w:style>
  <w:style w:type="paragraph" w:customStyle="1" w:styleId="Part">
    <w:name w:val="Part"/>
    <w:basedOn w:val="Normal"/>
    <w:rsid w:val="00EB5DCF"/>
    <w:pPr>
      <w:tabs>
        <w:tab w:val="clear" w:pos="794"/>
        <w:tab w:val="clear" w:pos="1191"/>
        <w:tab w:val="clear" w:pos="1588"/>
        <w:tab w:val="clear" w:pos="1985"/>
        <w:tab w:val="left" w:pos="1276"/>
        <w:tab w:val="left" w:pos="1701"/>
      </w:tabs>
      <w:spacing w:before="199"/>
      <w:ind w:left="1701" w:hanging="1701"/>
    </w:pPr>
    <w:rPr>
      <w:caps/>
    </w:rPr>
  </w:style>
  <w:style w:type="paragraph" w:customStyle="1" w:styleId="docnoted">
    <w:name w:val="docnoted"/>
    <w:basedOn w:val="Normal"/>
    <w:next w:val="Head"/>
    <w:rsid w:val="00EB5DCF"/>
    <w:pPr>
      <w:pBdr>
        <w:top w:val="single" w:sz="6" w:space="0" w:color="auto"/>
        <w:left w:val="single" w:sz="6" w:space="0" w:color="auto"/>
        <w:bottom w:val="single" w:sz="6" w:space="0" w:color="auto"/>
        <w:right w:val="single" w:sz="6" w:space="0" w:color="auto"/>
      </w:pBdr>
      <w:shd w:val="pct10" w:color="auto" w:fill="auto"/>
      <w:ind w:right="91"/>
    </w:pPr>
    <w:rPr>
      <w:sz w:val="20"/>
    </w:rPr>
  </w:style>
  <w:style w:type="paragraph" w:customStyle="1" w:styleId="meeting">
    <w:name w:val="meeting"/>
    <w:basedOn w:val="Head"/>
    <w:next w:val="Head"/>
    <w:rsid w:val="00EB5DCF"/>
    <w:pPr>
      <w:tabs>
        <w:tab w:val="left" w:pos="6663"/>
        <w:tab w:val="left" w:pos="7371"/>
      </w:tabs>
      <w:overflowPunct/>
      <w:autoSpaceDE/>
      <w:autoSpaceDN/>
      <w:adjustRightInd/>
      <w:spacing w:before="0" w:after="567"/>
      <w:textAlignment w:val="auto"/>
    </w:pPr>
    <w:rPr>
      <w:b w:val="0"/>
      <w:color w:val="auto"/>
      <w:sz w:val="24"/>
    </w:rPr>
  </w:style>
  <w:style w:type="paragraph" w:customStyle="1" w:styleId="Subject">
    <w:name w:val="Subject"/>
    <w:basedOn w:val="Normal"/>
    <w:next w:val="Source"/>
    <w:rsid w:val="00EB5DCF"/>
    <w:pPr>
      <w:tabs>
        <w:tab w:val="clear" w:pos="794"/>
        <w:tab w:val="clear" w:pos="1191"/>
        <w:tab w:val="clear" w:pos="1588"/>
        <w:tab w:val="clear" w:pos="1985"/>
        <w:tab w:val="left" w:pos="1134"/>
      </w:tabs>
      <w:spacing w:before="0"/>
      <w:ind w:left="1134" w:hanging="1134"/>
    </w:pPr>
  </w:style>
  <w:style w:type="paragraph" w:customStyle="1" w:styleId="Object">
    <w:name w:val="Object"/>
    <w:basedOn w:val="Subject"/>
    <w:next w:val="Subject"/>
    <w:rsid w:val="00EB5DCF"/>
  </w:style>
  <w:style w:type="paragraph" w:customStyle="1" w:styleId="Data">
    <w:name w:val="Data"/>
    <w:basedOn w:val="Subject"/>
    <w:next w:val="Subject"/>
    <w:rsid w:val="00EB5DCF"/>
  </w:style>
  <w:style w:type="paragraph" w:customStyle="1" w:styleId="Reasons">
    <w:name w:val="Reasons"/>
    <w:basedOn w:val="Normal"/>
    <w:qFormat/>
    <w:rsid w:val="00EB5DCF"/>
    <w:pPr>
      <w:tabs>
        <w:tab w:val="clear" w:pos="794"/>
        <w:tab w:val="clear" w:pos="1191"/>
        <w:tab w:val="clear" w:pos="1588"/>
        <w:tab w:val="clear" w:pos="1985"/>
        <w:tab w:val="left" w:pos="567"/>
        <w:tab w:val="left" w:pos="1134"/>
        <w:tab w:val="left" w:pos="1701"/>
        <w:tab w:val="left" w:pos="2268"/>
        <w:tab w:val="left" w:pos="2835"/>
      </w:tabs>
    </w:pPr>
  </w:style>
  <w:style w:type="paragraph" w:customStyle="1" w:styleId="AnnexNo">
    <w:name w:val="Annex_No"/>
    <w:basedOn w:val="Normal"/>
    <w:next w:val="Annextitle"/>
    <w:link w:val="AnnexNoChar"/>
    <w:rsid w:val="00EB5DCF"/>
    <w:pPr>
      <w:keepNext/>
      <w:keepLines/>
      <w:spacing w:before="480" w:after="80"/>
      <w:jc w:val="center"/>
    </w:pPr>
    <w:rPr>
      <w:caps/>
      <w:sz w:val="28"/>
    </w:rPr>
  </w:style>
  <w:style w:type="paragraph" w:customStyle="1" w:styleId="Annextitle">
    <w:name w:val="Annex_title"/>
    <w:basedOn w:val="Normal"/>
    <w:next w:val="Annexref"/>
    <w:link w:val="AnnextitleChar"/>
    <w:rsid w:val="00E214C2"/>
    <w:pPr>
      <w:keepNext/>
      <w:keepLines/>
      <w:spacing w:before="240" w:after="280"/>
      <w:jc w:val="center"/>
    </w:pPr>
    <w:rPr>
      <w:b/>
      <w:sz w:val="28"/>
    </w:rPr>
  </w:style>
  <w:style w:type="paragraph" w:customStyle="1" w:styleId="Annexref">
    <w:name w:val="Annex_ref"/>
    <w:basedOn w:val="Normal"/>
    <w:next w:val="Normalaftertitle0"/>
    <w:rsid w:val="00EB5DCF"/>
    <w:pPr>
      <w:keepNext/>
      <w:keepLines/>
      <w:spacing w:after="280"/>
      <w:jc w:val="center"/>
    </w:pPr>
  </w:style>
  <w:style w:type="character" w:customStyle="1" w:styleId="AnnexNoChar">
    <w:name w:val="Annex_No Char"/>
    <w:basedOn w:val="DefaultParagraphFont"/>
    <w:link w:val="AnnexNo"/>
    <w:rsid w:val="006D3964"/>
    <w:rPr>
      <w:caps/>
      <w:sz w:val="28"/>
      <w:lang w:val="en-GB" w:eastAsia="en-US" w:bidi="ar-SA"/>
    </w:rPr>
  </w:style>
  <w:style w:type="paragraph" w:customStyle="1" w:styleId="AppendixNo">
    <w:name w:val="Appendix_No"/>
    <w:basedOn w:val="AnnexNo"/>
    <w:next w:val="Appendixtitle"/>
    <w:rsid w:val="00EB5DCF"/>
  </w:style>
  <w:style w:type="paragraph" w:customStyle="1" w:styleId="Appendixtitle">
    <w:name w:val="Appendix_title"/>
    <w:basedOn w:val="Annextitle"/>
    <w:next w:val="Appendixref"/>
    <w:link w:val="AppendixtitleChar"/>
    <w:rsid w:val="006642CE"/>
  </w:style>
  <w:style w:type="paragraph" w:customStyle="1" w:styleId="Appendixref">
    <w:name w:val="Appendix_ref"/>
    <w:basedOn w:val="Annexref"/>
    <w:next w:val="Normalaftertitle0"/>
    <w:rsid w:val="00BF1CF1"/>
    <w:pPr>
      <w:keepNext w:val="0"/>
      <w:keepLines w:val="0"/>
      <w:tabs>
        <w:tab w:val="clear" w:pos="794"/>
        <w:tab w:val="clear" w:pos="1191"/>
        <w:tab w:val="clear" w:pos="1588"/>
        <w:tab w:val="clear" w:pos="1985"/>
        <w:tab w:val="left" w:pos="1758"/>
        <w:tab w:val="right" w:leader="dot" w:pos="8647"/>
        <w:tab w:val="right" w:pos="9356"/>
      </w:tabs>
      <w:spacing w:before="40" w:after="0"/>
      <w:ind w:left="1758" w:right="709" w:hanging="1758"/>
      <w:jc w:val="left"/>
    </w:pPr>
    <w:rPr>
      <w:sz w:val="20"/>
    </w:rPr>
  </w:style>
  <w:style w:type="paragraph" w:customStyle="1" w:styleId="Figuretitle">
    <w:name w:val="Figure_title"/>
    <w:basedOn w:val="Tabletitle0"/>
    <w:next w:val="Normalaftertitle0"/>
    <w:rsid w:val="00EB5DCF"/>
    <w:pPr>
      <w:spacing w:before="240" w:after="480"/>
    </w:pPr>
  </w:style>
  <w:style w:type="paragraph" w:customStyle="1" w:styleId="Tabletitle0">
    <w:name w:val="Table_title"/>
    <w:basedOn w:val="TableNo"/>
    <w:next w:val="Tabletext"/>
    <w:link w:val="TabletitleChar"/>
    <w:rsid w:val="00C93627"/>
    <w:pPr>
      <w:spacing w:before="0"/>
    </w:pPr>
    <w:rPr>
      <w:rFonts w:ascii="Calibri" w:hAnsi="Calibri"/>
      <w:b/>
      <w:caps w:val="0"/>
    </w:rPr>
  </w:style>
  <w:style w:type="paragraph" w:customStyle="1" w:styleId="TableNo">
    <w:name w:val="Table_No"/>
    <w:basedOn w:val="Normal"/>
    <w:next w:val="Tabletitle0"/>
    <w:rsid w:val="00EB5DCF"/>
    <w:pPr>
      <w:keepNext/>
      <w:spacing w:before="360" w:after="120"/>
      <w:jc w:val="center"/>
    </w:pPr>
    <w:rPr>
      <w:caps/>
    </w:rPr>
  </w:style>
  <w:style w:type="paragraph" w:customStyle="1" w:styleId="FigureNo">
    <w:name w:val="Figure_No"/>
    <w:basedOn w:val="Normal"/>
    <w:next w:val="Figuretitle"/>
    <w:rsid w:val="00EB5DCF"/>
    <w:pPr>
      <w:keepNext/>
      <w:keepLines/>
      <w:spacing w:before="240" w:after="120"/>
      <w:jc w:val="center"/>
    </w:pPr>
    <w:rPr>
      <w:caps/>
    </w:rPr>
  </w:style>
  <w:style w:type="paragraph" w:customStyle="1" w:styleId="Annex">
    <w:name w:val="Annex_#"/>
    <w:basedOn w:val="Normal"/>
    <w:next w:val="Annexref"/>
    <w:rsid w:val="00EB5DCF"/>
    <w:pPr>
      <w:keepNext/>
      <w:keepLines/>
      <w:spacing w:before="480" w:after="80"/>
      <w:jc w:val="center"/>
    </w:pPr>
    <w:rPr>
      <w:caps/>
      <w:sz w:val="28"/>
    </w:rPr>
  </w:style>
  <w:style w:type="paragraph" w:customStyle="1" w:styleId="Rec">
    <w:name w:val="Rec_#"/>
    <w:basedOn w:val="Normal"/>
    <w:next w:val="RecTitle0"/>
    <w:rsid w:val="00EB5DCF"/>
    <w:pPr>
      <w:keepNext/>
      <w:keepLines/>
      <w:overflowPunct/>
      <w:autoSpaceDE/>
      <w:autoSpaceDN/>
      <w:adjustRightInd/>
      <w:spacing w:before="480"/>
      <w:jc w:val="center"/>
      <w:textAlignment w:val="auto"/>
    </w:pPr>
    <w:rPr>
      <w:caps/>
    </w:rPr>
  </w:style>
  <w:style w:type="paragraph" w:customStyle="1" w:styleId="RecTitle0">
    <w:name w:val="Rec_Title"/>
    <w:basedOn w:val="Normal"/>
    <w:next w:val="Heading1"/>
    <w:rsid w:val="00EB5DCF"/>
    <w:pPr>
      <w:keepNext/>
      <w:keepLines/>
      <w:overflowPunct/>
      <w:autoSpaceDE/>
      <w:autoSpaceDN/>
      <w:adjustRightInd/>
      <w:spacing w:before="240"/>
      <w:jc w:val="center"/>
      <w:textAlignment w:val="auto"/>
    </w:pPr>
    <w:rPr>
      <w:b/>
      <w:caps/>
    </w:rPr>
  </w:style>
  <w:style w:type="paragraph" w:styleId="NormalWeb">
    <w:name w:val="Normal (Web)"/>
    <w:basedOn w:val="Normal"/>
    <w:link w:val="NormalWebChar"/>
    <w:uiPriority w:val="99"/>
    <w:rsid w:val="00EB5DCF"/>
    <w:pPr>
      <w:tabs>
        <w:tab w:val="clear" w:pos="794"/>
        <w:tab w:val="clear" w:pos="1191"/>
        <w:tab w:val="clear" w:pos="1588"/>
        <w:tab w:val="clear" w:pos="1985"/>
        <w:tab w:val="left" w:pos="567"/>
        <w:tab w:val="left" w:pos="1021"/>
        <w:tab w:val="center" w:pos="3572"/>
      </w:tabs>
      <w:overflowPunct/>
      <w:autoSpaceDE/>
      <w:autoSpaceDN/>
      <w:adjustRightInd/>
      <w:spacing w:before="113"/>
      <w:textAlignment w:val="auto"/>
    </w:pPr>
    <w:rPr>
      <w:szCs w:val="24"/>
    </w:rPr>
  </w:style>
  <w:style w:type="character" w:styleId="Hyperlink">
    <w:name w:val="Hyperlink"/>
    <w:aliases w:val="CEO_Hyperlink,超级链接"/>
    <w:basedOn w:val="DefaultParagraphFont"/>
    <w:uiPriority w:val="99"/>
    <w:qFormat/>
    <w:rsid w:val="00EB5DCF"/>
    <w:rPr>
      <w:color w:val="0000FF"/>
      <w:u w:val="single"/>
    </w:rPr>
  </w:style>
  <w:style w:type="paragraph" w:styleId="TOC9">
    <w:name w:val="toc 9"/>
    <w:basedOn w:val="Normal"/>
    <w:next w:val="Normal"/>
    <w:autoRedefine/>
    <w:uiPriority w:val="39"/>
    <w:rsid w:val="00EB5DCF"/>
    <w:pPr>
      <w:tabs>
        <w:tab w:val="clear" w:pos="794"/>
        <w:tab w:val="clear" w:pos="1191"/>
        <w:tab w:val="clear" w:pos="1588"/>
        <w:tab w:val="clear" w:pos="1985"/>
      </w:tabs>
      <w:ind w:left="1760"/>
    </w:pPr>
  </w:style>
  <w:style w:type="character" w:customStyle="1" w:styleId="Resref0">
    <w:name w:val="Res#_ref"/>
    <w:basedOn w:val="DefaultParagraphFont"/>
    <w:rsid w:val="00EB5DCF"/>
  </w:style>
  <w:style w:type="paragraph" w:customStyle="1" w:styleId="AnnexTitle0">
    <w:name w:val="Annex_Title"/>
    <w:basedOn w:val="Normal"/>
    <w:next w:val="Normal"/>
    <w:link w:val="AnnexTitleChar0"/>
    <w:uiPriority w:val="99"/>
    <w:rsid w:val="00EB5DCF"/>
    <w:pPr>
      <w:keepNext/>
      <w:keepLines/>
      <w:spacing w:before="240" w:after="280"/>
      <w:jc w:val="center"/>
    </w:pPr>
    <w:rPr>
      <w:b/>
      <w:sz w:val="28"/>
    </w:rPr>
  </w:style>
  <w:style w:type="paragraph" w:styleId="BodyText3">
    <w:name w:val="Body Text 3"/>
    <w:basedOn w:val="Normal"/>
    <w:link w:val="BodyText3Char"/>
    <w:rsid w:val="00EB5DCF"/>
    <w:pPr>
      <w:tabs>
        <w:tab w:val="clear" w:pos="794"/>
        <w:tab w:val="clear" w:pos="1191"/>
        <w:tab w:val="clear" w:pos="1588"/>
        <w:tab w:val="clear" w:pos="1985"/>
      </w:tabs>
      <w:overflowPunct/>
      <w:autoSpaceDE/>
      <w:autoSpaceDN/>
      <w:adjustRightInd/>
      <w:spacing w:before="0" w:after="120"/>
      <w:textAlignment w:val="auto"/>
    </w:pPr>
    <w:rPr>
      <w:sz w:val="16"/>
      <w:szCs w:val="16"/>
      <w:lang w:eastAsia="en-GB"/>
    </w:rPr>
  </w:style>
  <w:style w:type="paragraph" w:customStyle="1" w:styleId="xl24">
    <w:name w:val="xl24"/>
    <w:basedOn w:val="Normal"/>
    <w:rsid w:val="00B13DFB"/>
    <w:pPr>
      <w:pBdr>
        <w:top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Arial Unicode MS"/>
      <w:szCs w:val="22"/>
      <w:lang w:val="en-US"/>
    </w:rPr>
  </w:style>
  <w:style w:type="paragraph" w:customStyle="1" w:styleId="xl25">
    <w:name w:val="xl25"/>
    <w:basedOn w:val="Normal"/>
    <w:rsid w:val="00B13DFB"/>
    <w:pPr>
      <w:pBdr>
        <w:top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Arial Unicode MS"/>
      <w:szCs w:val="22"/>
      <w:lang w:val="en-US"/>
    </w:rPr>
  </w:style>
  <w:style w:type="paragraph" w:customStyle="1" w:styleId="xl26">
    <w:name w:val="xl26"/>
    <w:basedOn w:val="Normal"/>
    <w:rsid w:val="00B13DFB"/>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szCs w:val="22"/>
      <w:lang w:val="en-US"/>
    </w:rPr>
  </w:style>
  <w:style w:type="paragraph" w:customStyle="1" w:styleId="xl27">
    <w:name w:val="xl27"/>
    <w:basedOn w:val="Normal"/>
    <w:rsid w:val="00B13DFB"/>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Arial Unicode MS"/>
      <w:szCs w:val="22"/>
      <w:lang w:val="en-US"/>
    </w:rPr>
  </w:style>
  <w:style w:type="paragraph" w:customStyle="1" w:styleId="xl28">
    <w:name w:val="xl28"/>
    <w:basedOn w:val="Normal"/>
    <w:rsid w:val="00B13DFB"/>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Arial Unicode MS"/>
      <w:szCs w:val="22"/>
      <w:lang w:val="en-US"/>
    </w:rPr>
  </w:style>
  <w:style w:type="paragraph" w:customStyle="1" w:styleId="xl29">
    <w:name w:val="xl29"/>
    <w:basedOn w:val="Normal"/>
    <w:rsid w:val="00B13DFB"/>
    <w:pPr>
      <w:pBdr>
        <w:top w:val="single" w:sz="4"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Arial Unicode MS"/>
      <w:b/>
      <w:bCs/>
      <w:szCs w:val="22"/>
      <w:lang w:val="en-US"/>
    </w:rPr>
  </w:style>
  <w:style w:type="paragraph" w:customStyle="1" w:styleId="xl30">
    <w:name w:val="xl30"/>
    <w:basedOn w:val="Normal"/>
    <w:rsid w:val="00B13DFB"/>
    <w:pPr>
      <w:pBdr>
        <w:top w:val="single" w:sz="4"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Arial Unicode MS"/>
      <w:b/>
      <w:bCs/>
      <w:szCs w:val="22"/>
      <w:lang w:val="en-US"/>
    </w:rPr>
  </w:style>
  <w:style w:type="paragraph" w:customStyle="1" w:styleId="xl31">
    <w:name w:val="xl31"/>
    <w:basedOn w:val="Normal"/>
    <w:rsid w:val="00B13DFB"/>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Arial Unicode MS"/>
      <w:szCs w:val="22"/>
      <w:lang w:val="en-US"/>
    </w:rPr>
  </w:style>
  <w:style w:type="paragraph" w:customStyle="1" w:styleId="H1">
    <w:name w:val="H1"/>
    <w:basedOn w:val="Normal"/>
    <w:rsid w:val="00B13DFB"/>
    <w:pPr>
      <w:tabs>
        <w:tab w:val="clear" w:pos="794"/>
        <w:tab w:val="clear" w:pos="1191"/>
        <w:tab w:val="clear" w:pos="1588"/>
        <w:tab w:val="clear" w:pos="1985"/>
        <w:tab w:val="num" w:pos="720"/>
      </w:tabs>
      <w:overflowPunct/>
      <w:autoSpaceDE/>
      <w:autoSpaceDN/>
      <w:adjustRightInd/>
      <w:spacing w:before="0"/>
      <w:ind w:left="720" w:hanging="720"/>
      <w:textAlignment w:val="auto"/>
    </w:pPr>
    <w:rPr>
      <w:sz w:val="32"/>
      <w:lang w:val="en-US"/>
    </w:rPr>
  </w:style>
  <w:style w:type="paragraph" w:customStyle="1" w:styleId="NumberedList">
    <w:name w:val="NumberedList"/>
    <w:basedOn w:val="Normal"/>
    <w:rsid w:val="00B13DFB"/>
    <w:pPr>
      <w:tabs>
        <w:tab w:val="clear" w:pos="794"/>
        <w:tab w:val="clear" w:pos="1191"/>
        <w:tab w:val="clear" w:pos="1588"/>
        <w:tab w:val="clear" w:pos="1985"/>
        <w:tab w:val="num" w:pos="720"/>
      </w:tabs>
      <w:overflowPunct/>
      <w:autoSpaceDE/>
      <w:autoSpaceDN/>
      <w:adjustRightInd/>
      <w:spacing w:before="0"/>
      <w:ind w:left="720" w:hanging="720"/>
      <w:textAlignment w:val="auto"/>
    </w:pPr>
    <w:rPr>
      <w:lang w:val="en-US"/>
    </w:rPr>
  </w:style>
  <w:style w:type="paragraph" w:customStyle="1" w:styleId="xl32">
    <w:name w:val="xl32"/>
    <w:basedOn w:val="Normal"/>
    <w:rsid w:val="00B13DFB"/>
    <w:pPr>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sz w:val="18"/>
      <w:szCs w:val="18"/>
      <w:lang w:val="en-US"/>
    </w:rPr>
  </w:style>
  <w:style w:type="paragraph" w:customStyle="1" w:styleId="xl33">
    <w:name w:val="xl33"/>
    <w:basedOn w:val="Normal"/>
    <w:semiHidden/>
    <w:rsid w:val="00B13DFB"/>
    <w:pPr>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sz w:val="18"/>
      <w:szCs w:val="18"/>
      <w:lang w:val="en-US"/>
    </w:rPr>
  </w:style>
  <w:style w:type="paragraph" w:customStyle="1" w:styleId="xl34">
    <w:name w:val="xl34"/>
    <w:basedOn w:val="Normal"/>
    <w:semiHidden/>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szCs w:val="24"/>
      <w:lang w:val="en-US"/>
    </w:rPr>
  </w:style>
  <w:style w:type="paragraph" w:customStyle="1" w:styleId="xl35">
    <w:name w:val="xl35"/>
    <w:basedOn w:val="Normal"/>
    <w:semiHidden/>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b/>
      <w:bCs/>
      <w:szCs w:val="24"/>
      <w:lang w:val="en-US"/>
    </w:rPr>
  </w:style>
  <w:style w:type="paragraph" w:customStyle="1" w:styleId="xl36">
    <w:name w:val="xl36"/>
    <w:basedOn w:val="Normal"/>
    <w:semiHidden/>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sz w:val="18"/>
      <w:szCs w:val="18"/>
      <w:lang w:val="en-US"/>
    </w:rPr>
  </w:style>
  <w:style w:type="paragraph" w:customStyle="1" w:styleId="xl37">
    <w:name w:val="xl37"/>
    <w:basedOn w:val="Normal"/>
    <w:semiHidden/>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b/>
      <w:bCs/>
      <w:sz w:val="18"/>
      <w:szCs w:val="18"/>
      <w:lang w:val="en-US"/>
    </w:rPr>
  </w:style>
  <w:style w:type="paragraph" w:customStyle="1" w:styleId="xl38">
    <w:name w:val="xl38"/>
    <w:basedOn w:val="Normal"/>
    <w:semiHidden/>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b/>
      <w:bCs/>
      <w:szCs w:val="24"/>
      <w:lang w:val="en-US"/>
    </w:rPr>
  </w:style>
  <w:style w:type="paragraph" w:customStyle="1" w:styleId="xl39">
    <w:name w:val="xl39"/>
    <w:basedOn w:val="Normal"/>
    <w:rsid w:val="00B13DFB"/>
    <w:pPr>
      <w:pBdr>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b/>
      <w:bCs/>
      <w:szCs w:val="24"/>
      <w:lang w:val="en-US"/>
    </w:rPr>
  </w:style>
  <w:style w:type="paragraph" w:customStyle="1" w:styleId="xl40">
    <w:name w:val="xl40"/>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b/>
      <w:bCs/>
      <w:color w:val="333399"/>
      <w:sz w:val="18"/>
      <w:szCs w:val="18"/>
      <w:lang w:val="en-US"/>
    </w:rPr>
  </w:style>
  <w:style w:type="paragraph" w:customStyle="1" w:styleId="xl41">
    <w:name w:val="xl41"/>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szCs w:val="24"/>
      <w:lang w:val="en-US"/>
    </w:rPr>
  </w:style>
  <w:style w:type="paragraph" w:customStyle="1" w:styleId="xl42">
    <w:name w:val="xl42"/>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szCs w:val="24"/>
      <w:lang w:val="en-US"/>
    </w:rPr>
  </w:style>
  <w:style w:type="paragraph" w:customStyle="1" w:styleId="xl43">
    <w:name w:val="xl43"/>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b/>
      <w:bCs/>
      <w:sz w:val="40"/>
      <w:szCs w:val="40"/>
      <w:lang w:val="en-US"/>
    </w:rPr>
  </w:style>
  <w:style w:type="paragraph" w:customStyle="1" w:styleId="xl44">
    <w:name w:val="xl44"/>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b/>
      <w:bCs/>
      <w:color w:val="333399"/>
      <w:sz w:val="18"/>
      <w:szCs w:val="18"/>
      <w:u w:val="single"/>
      <w:lang w:val="en-US"/>
    </w:rPr>
  </w:style>
  <w:style w:type="paragraph" w:customStyle="1" w:styleId="xl45">
    <w:name w:val="xl45"/>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center"/>
    </w:pPr>
    <w:rPr>
      <w:rFonts w:eastAsia="Arial Unicode MS"/>
      <w:i/>
      <w:iCs/>
      <w:sz w:val="18"/>
      <w:szCs w:val="18"/>
      <w:lang w:val="en-US"/>
    </w:rPr>
  </w:style>
  <w:style w:type="paragraph" w:customStyle="1" w:styleId="xl46">
    <w:name w:val="xl46"/>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Arial Unicode MS"/>
      <w:szCs w:val="24"/>
      <w:lang w:val="en-US"/>
    </w:rPr>
  </w:style>
  <w:style w:type="paragraph" w:customStyle="1" w:styleId="xl47">
    <w:name w:val="xl47"/>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center"/>
    </w:pPr>
    <w:rPr>
      <w:rFonts w:eastAsia="Arial Unicode MS"/>
      <w:i/>
      <w:iCs/>
      <w:sz w:val="18"/>
      <w:szCs w:val="18"/>
      <w:lang w:val="en-US"/>
    </w:rPr>
  </w:style>
  <w:style w:type="paragraph" w:customStyle="1" w:styleId="xl48">
    <w:name w:val="xl48"/>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Arial Unicode MS"/>
      <w:szCs w:val="24"/>
      <w:lang w:val="en-US"/>
    </w:rPr>
  </w:style>
  <w:style w:type="paragraph" w:customStyle="1" w:styleId="xl49">
    <w:name w:val="xl49"/>
    <w:basedOn w:val="Normal"/>
    <w:rsid w:val="00B13DFB"/>
    <w:pPr>
      <w:pBdr>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szCs w:val="24"/>
      <w:lang w:val="en-US"/>
    </w:rPr>
  </w:style>
  <w:style w:type="paragraph" w:customStyle="1" w:styleId="xl50">
    <w:name w:val="xl50"/>
    <w:basedOn w:val="Normal"/>
    <w:rsid w:val="00B13DFB"/>
    <w:pPr>
      <w:pBdr>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Arial Unicode MS"/>
      <w:b/>
      <w:bCs/>
      <w:szCs w:val="24"/>
      <w:lang w:val="en-US"/>
    </w:rPr>
  </w:style>
  <w:style w:type="paragraph" w:customStyle="1" w:styleId="xl51">
    <w:name w:val="xl51"/>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b/>
      <w:bCs/>
      <w:szCs w:val="24"/>
      <w:lang w:val="en-US"/>
    </w:rPr>
  </w:style>
  <w:style w:type="paragraph" w:customStyle="1" w:styleId="xl52">
    <w:name w:val="xl52"/>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Arial Unicode MS"/>
      <w:b/>
      <w:bCs/>
      <w:szCs w:val="24"/>
      <w:lang w:val="en-US"/>
    </w:rPr>
  </w:style>
  <w:style w:type="paragraph" w:customStyle="1" w:styleId="xl53">
    <w:name w:val="xl53"/>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szCs w:val="24"/>
      <w:lang w:val="en-US"/>
    </w:rPr>
  </w:style>
  <w:style w:type="paragraph" w:customStyle="1" w:styleId="xl54">
    <w:name w:val="xl54"/>
    <w:basedOn w:val="Normal"/>
    <w:rsid w:val="00B13DFB"/>
    <w:pPr>
      <w:pBdr>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b/>
      <w:bCs/>
      <w:szCs w:val="24"/>
      <w:lang w:val="en-US"/>
    </w:rPr>
  </w:style>
  <w:style w:type="paragraph" w:customStyle="1" w:styleId="xl55">
    <w:name w:val="xl55"/>
    <w:basedOn w:val="Normal"/>
    <w:rsid w:val="00B13DFB"/>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szCs w:val="24"/>
      <w:lang w:val="en-US"/>
    </w:rPr>
  </w:style>
  <w:style w:type="paragraph" w:customStyle="1" w:styleId="xl56">
    <w:name w:val="xl56"/>
    <w:basedOn w:val="Normal"/>
    <w:rsid w:val="00B13DFB"/>
    <w:pPr>
      <w:pBdr>
        <w:top w:val="single" w:sz="4" w:space="0" w:color="auto"/>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b/>
      <w:bCs/>
      <w:szCs w:val="24"/>
      <w:lang w:val="en-US"/>
    </w:rPr>
  </w:style>
  <w:style w:type="paragraph" w:customStyle="1" w:styleId="xl57">
    <w:name w:val="xl57"/>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szCs w:val="24"/>
      <w:lang w:val="en-US"/>
    </w:rPr>
  </w:style>
  <w:style w:type="paragraph" w:customStyle="1" w:styleId="xl58">
    <w:name w:val="xl58"/>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szCs w:val="24"/>
      <w:lang w:val="en-US"/>
    </w:rPr>
  </w:style>
  <w:style w:type="paragraph" w:customStyle="1" w:styleId="xl59">
    <w:name w:val="xl59"/>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b/>
      <w:bCs/>
      <w:szCs w:val="24"/>
      <w:lang w:val="en-US"/>
    </w:rPr>
  </w:style>
  <w:style w:type="paragraph" w:customStyle="1" w:styleId="xl60">
    <w:name w:val="xl60"/>
    <w:basedOn w:val="Normal"/>
    <w:rsid w:val="00B13DFB"/>
    <w:pPr>
      <w:pBdr>
        <w:top w:val="single" w:sz="4" w:space="0" w:color="auto"/>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b/>
      <w:bCs/>
      <w:szCs w:val="24"/>
      <w:lang w:val="en-US"/>
    </w:rPr>
  </w:style>
  <w:style w:type="paragraph" w:customStyle="1" w:styleId="xl61">
    <w:name w:val="xl61"/>
    <w:basedOn w:val="Normal"/>
    <w:rsid w:val="00B13DFB"/>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sz w:val="18"/>
      <w:szCs w:val="18"/>
      <w:lang w:val="en-US"/>
    </w:rPr>
  </w:style>
  <w:style w:type="paragraph" w:customStyle="1" w:styleId="xl62">
    <w:name w:val="xl62"/>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b/>
      <w:bCs/>
      <w:szCs w:val="24"/>
      <w:lang w:val="en-US"/>
    </w:rPr>
  </w:style>
  <w:style w:type="paragraph" w:customStyle="1" w:styleId="xl63">
    <w:name w:val="xl63"/>
    <w:basedOn w:val="Normal"/>
    <w:rsid w:val="00B13DFB"/>
    <w:pPr>
      <w:pBdr>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b/>
      <w:bCs/>
      <w:szCs w:val="24"/>
      <w:lang w:val="en-US"/>
    </w:rPr>
  </w:style>
  <w:style w:type="paragraph" w:customStyle="1" w:styleId="xl64">
    <w:name w:val="xl64"/>
    <w:basedOn w:val="Normal"/>
    <w:uiPriority w:val="99"/>
    <w:rsid w:val="00B13DFB"/>
    <w:pP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Arial Unicode MS"/>
      <w:szCs w:val="24"/>
      <w:lang w:val="en-US"/>
    </w:rPr>
  </w:style>
  <w:style w:type="paragraph" w:customStyle="1" w:styleId="xl65">
    <w:name w:val="xl65"/>
    <w:basedOn w:val="Normal"/>
    <w:rsid w:val="00B13DFB"/>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b/>
      <w:bCs/>
      <w:sz w:val="18"/>
      <w:szCs w:val="18"/>
      <w:lang w:val="en-US"/>
    </w:rPr>
  </w:style>
  <w:style w:type="paragraph" w:customStyle="1" w:styleId="xl66">
    <w:name w:val="xl66"/>
    <w:basedOn w:val="Normal"/>
    <w:rsid w:val="00B13DFB"/>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b/>
      <w:bCs/>
      <w:szCs w:val="24"/>
      <w:lang w:val="en-US"/>
    </w:rPr>
  </w:style>
  <w:style w:type="paragraph" w:customStyle="1" w:styleId="xl67">
    <w:name w:val="xl67"/>
    <w:basedOn w:val="Normal"/>
    <w:rsid w:val="00B13DFB"/>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b/>
      <w:bCs/>
      <w:szCs w:val="24"/>
      <w:lang w:val="en-US"/>
    </w:rPr>
  </w:style>
  <w:style w:type="paragraph" w:customStyle="1" w:styleId="xl68">
    <w:name w:val="xl68"/>
    <w:basedOn w:val="Normal"/>
    <w:rsid w:val="00B13DFB"/>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center"/>
    </w:pPr>
    <w:rPr>
      <w:rFonts w:eastAsia="Arial Unicode MS"/>
      <w:sz w:val="18"/>
      <w:szCs w:val="18"/>
      <w:lang w:val="en-US"/>
    </w:rPr>
  </w:style>
  <w:style w:type="paragraph" w:customStyle="1" w:styleId="xl69">
    <w:name w:val="xl69"/>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b/>
      <w:bCs/>
      <w:sz w:val="28"/>
      <w:szCs w:val="28"/>
      <w:lang w:val="en-US"/>
    </w:rPr>
  </w:style>
  <w:style w:type="paragraph" w:customStyle="1" w:styleId="xl70">
    <w:name w:val="xl70"/>
    <w:basedOn w:val="Normal"/>
    <w:rsid w:val="00B13DFB"/>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Arial Unicode MS" w:eastAsia="Arial Unicode MS" w:hAnsi="Arial Unicode MS" w:cs="Arial Unicode MS"/>
      <w:szCs w:val="24"/>
      <w:lang w:val="en-US"/>
    </w:rPr>
  </w:style>
  <w:style w:type="paragraph" w:customStyle="1" w:styleId="xl71">
    <w:name w:val="xl71"/>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center"/>
    </w:pPr>
    <w:rPr>
      <w:rFonts w:eastAsia="Arial Unicode MS"/>
      <w:b/>
      <w:bCs/>
      <w:szCs w:val="24"/>
      <w:lang w:val="en-US"/>
    </w:rPr>
  </w:style>
  <w:style w:type="paragraph" w:customStyle="1" w:styleId="xl72">
    <w:name w:val="xl72"/>
    <w:basedOn w:val="Normal"/>
    <w:rsid w:val="00B13DFB"/>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Arial Unicode MS"/>
      <w:sz w:val="18"/>
      <w:szCs w:val="18"/>
      <w:lang w:val="en-US"/>
    </w:rPr>
  </w:style>
  <w:style w:type="paragraph" w:customStyle="1" w:styleId="xl73">
    <w:name w:val="xl73"/>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b/>
      <w:bCs/>
      <w:sz w:val="28"/>
      <w:szCs w:val="28"/>
      <w:lang w:val="en-US"/>
    </w:rPr>
  </w:style>
  <w:style w:type="paragraph" w:customStyle="1" w:styleId="xl74">
    <w:name w:val="xl74"/>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szCs w:val="22"/>
      <w:lang w:val="en-US"/>
    </w:rPr>
  </w:style>
  <w:style w:type="paragraph" w:customStyle="1" w:styleId="xl75">
    <w:name w:val="xl75"/>
    <w:basedOn w:val="Normal"/>
    <w:rsid w:val="00B13DFB"/>
    <w:pPr>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szCs w:val="24"/>
      <w:lang w:val="en-US"/>
    </w:rPr>
  </w:style>
  <w:style w:type="paragraph" w:customStyle="1" w:styleId="xl76">
    <w:name w:val="xl76"/>
    <w:basedOn w:val="Normal"/>
    <w:rsid w:val="00B13DFB"/>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center"/>
    </w:pPr>
    <w:rPr>
      <w:rFonts w:eastAsia="Arial Unicode MS"/>
      <w:b/>
      <w:bCs/>
      <w:szCs w:val="24"/>
      <w:lang w:val="en-US"/>
    </w:rPr>
  </w:style>
  <w:style w:type="paragraph" w:customStyle="1" w:styleId="font5">
    <w:name w:val="font5"/>
    <w:basedOn w:val="Normal"/>
    <w:rsid w:val="00B13DFB"/>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Arial Unicode MS"/>
      <w:sz w:val="16"/>
      <w:szCs w:val="16"/>
      <w:lang w:val="en-US"/>
    </w:rPr>
  </w:style>
  <w:style w:type="paragraph" w:customStyle="1" w:styleId="xl77">
    <w:name w:val="xl77"/>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center"/>
    </w:pPr>
    <w:rPr>
      <w:rFonts w:eastAsia="Arial Unicode MS"/>
      <w:b/>
      <w:bCs/>
      <w:szCs w:val="24"/>
      <w:lang w:val="en-US"/>
    </w:rPr>
  </w:style>
  <w:style w:type="paragraph" w:customStyle="1" w:styleId="xl78">
    <w:name w:val="xl78"/>
    <w:basedOn w:val="Normal"/>
    <w:rsid w:val="00B13DFB"/>
    <w:pPr>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b/>
      <w:bCs/>
      <w:i/>
      <w:iCs/>
      <w:szCs w:val="24"/>
      <w:lang w:val="en-US"/>
    </w:rPr>
  </w:style>
  <w:style w:type="paragraph" w:customStyle="1" w:styleId="xl79">
    <w:name w:val="xl79"/>
    <w:basedOn w:val="Normal"/>
    <w:rsid w:val="00B13DFB"/>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b/>
      <w:bCs/>
      <w:i/>
      <w:iCs/>
      <w:szCs w:val="22"/>
      <w:lang w:val="en-US"/>
    </w:rPr>
  </w:style>
  <w:style w:type="paragraph" w:customStyle="1" w:styleId="xl80">
    <w:name w:val="xl80"/>
    <w:basedOn w:val="Normal"/>
    <w:rsid w:val="00B13DFB"/>
    <w:pPr>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szCs w:val="24"/>
      <w:lang w:val="en-US"/>
    </w:rPr>
  </w:style>
  <w:style w:type="paragraph" w:customStyle="1" w:styleId="xl81">
    <w:name w:val="xl81"/>
    <w:basedOn w:val="Normal"/>
    <w:rsid w:val="00B13DFB"/>
    <w:pPr>
      <w:pBdr>
        <w:top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b/>
      <w:bCs/>
      <w:sz w:val="18"/>
      <w:szCs w:val="18"/>
      <w:lang w:val="en-US"/>
    </w:rPr>
  </w:style>
  <w:style w:type="paragraph" w:customStyle="1" w:styleId="xl82">
    <w:name w:val="xl82"/>
    <w:basedOn w:val="Normal"/>
    <w:rsid w:val="00B13DFB"/>
    <w:pPr>
      <w:pBdr>
        <w:top w:val="single" w:sz="4" w:space="0" w:color="auto"/>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center"/>
    </w:pPr>
    <w:rPr>
      <w:rFonts w:eastAsia="Arial Unicode MS"/>
      <w:b/>
      <w:bCs/>
      <w:szCs w:val="24"/>
      <w:lang w:val="en-US"/>
    </w:rPr>
  </w:style>
  <w:style w:type="paragraph" w:customStyle="1" w:styleId="xl83">
    <w:name w:val="xl83"/>
    <w:basedOn w:val="Normal"/>
    <w:rsid w:val="00B13DFB"/>
    <w:pPr>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b/>
      <w:bCs/>
      <w:szCs w:val="24"/>
      <w:lang w:val="en-US"/>
    </w:rPr>
  </w:style>
  <w:style w:type="paragraph" w:customStyle="1" w:styleId="xl84">
    <w:name w:val="xl84"/>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center"/>
    </w:pPr>
    <w:rPr>
      <w:rFonts w:eastAsia="Arial Unicode MS"/>
      <w:b/>
      <w:bCs/>
      <w:sz w:val="18"/>
      <w:szCs w:val="18"/>
      <w:lang w:val="en-US"/>
    </w:rPr>
  </w:style>
  <w:style w:type="paragraph" w:customStyle="1" w:styleId="xl85">
    <w:name w:val="xl85"/>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center"/>
    </w:pPr>
    <w:rPr>
      <w:rFonts w:eastAsia="Arial Unicode MS"/>
      <w:b/>
      <w:bCs/>
      <w:szCs w:val="24"/>
      <w:lang w:val="en-US"/>
    </w:rPr>
  </w:style>
  <w:style w:type="paragraph" w:customStyle="1" w:styleId="xl86">
    <w:name w:val="xl86"/>
    <w:basedOn w:val="Normal"/>
    <w:rsid w:val="00B13DFB"/>
    <w:pPr>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b/>
      <w:bCs/>
      <w:sz w:val="18"/>
      <w:szCs w:val="18"/>
      <w:lang w:val="en-US"/>
    </w:rPr>
  </w:style>
  <w:style w:type="paragraph" w:customStyle="1" w:styleId="xl87">
    <w:name w:val="xl87"/>
    <w:basedOn w:val="Normal"/>
    <w:rsid w:val="00B13DFB"/>
    <w:pPr>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b/>
      <w:bCs/>
      <w:szCs w:val="24"/>
      <w:lang w:val="en-US"/>
    </w:rPr>
  </w:style>
  <w:style w:type="paragraph" w:customStyle="1" w:styleId="StyleCallSTKaiti">
    <w:name w:val="Style Call + STKaiti"/>
    <w:basedOn w:val="Call"/>
    <w:link w:val="StyleCallSTKaitiChar"/>
    <w:rsid w:val="00C3403A"/>
    <w:rPr>
      <w:rFonts w:ascii="STKaiti" w:hAnsi="STKaiti"/>
    </w:rPr>
  </w:style>
  <w:style w:type="character" w:customStyle="1" w:styleId="StyleCallSTKaitiChar">
    <w:name w:val="Style Call + STKaiti Char"/>
    <w:basedOn w:val="CallChar"/>
    <w:link w:val="StyleCallSTKaiti"/>
    <w:rsid w:val="00C3403A"/>
    <w:rPr>
      <w:rFonts w:ascii="STKaiti" w:eastAsia="STKaiti" w:hAnsi="STKaiti"/>
      <w:sz w:val="22"/>
      <w:lang w:val="en-GB" w:eastAsia="en-US" w:bidi="ar-SA"/>
    </w:rPr>
  </w:style>
  <w:style w:type="character" w:customStyle="1" w:styleId="AnnexNotitleChar">
    <w:name w:val="Annex_No &amp; title Char"/>
    <w:basedOn w:val="DefaultParagraphFont"/>
    <w:link w:val="AnnexNotitle"/>
    <w:rsid w:val="0035791E"/>
    <w:rPr>
      <w:rFonts w:eastAsia="SimSun"/>
      <w:b/>
      <w:sz w:val="28"/>
      <w:lang w:val="en-GB" w:eastAsia="en-US" w:bidi="ar-SA"/>
    </w:rPr>
  </w:style>
  <w:style w:type="paragraph" w:customStyle="1" w:styleId="Headingb1">
    <w:name w:val="Heading b"/>
    <w:basedOn w:val="Heading3"/>
    <w:rsid w:val="00E509FA"/>
    <w:pPr>
      <w:keepLines w:val="0"/>
      <w:tabs>
        <w:tab w:val="clear" w:pos="1021"/>
        <w:tab w:val="left" w:pos="794"/>
      </w:tabs>
      <w:spacing w:before="240" w:after="60"/>
      <w:ind w:left="0" w:firstLine="0"/>
    </w:pPr>
    <w:rPr>
      <w:rFonts w:ascii="Arial" w:hAnsi="Arial" w:cs="Arial"/>
      <w:bCs/>
      <w:sz w:val="26"/>
      <w:szCs w:val="26"/>
      <w:lang w:eastAsia="zh-CN"/>
    </w:rPr>
  </w:style>
  <w:style w:type="character" w:customStyle="1" w:styleId="AnnexTitleChar0">
    <w:name w:val="Annex_Title Char"/>
    <w:basedOn w:val="DefaultParagraphFont"/>
    <w:link w:val="AnnexTitle0"/>
    <w:uiPriority w:val="99"/>
    <w:locked/>
    <w:rsid w:val="00E509FA"/>
    <w:rPr>
      <w:rFonts w:eastAsia="SimSun"/>
      <w:b/>
      <w:sz w:val="28"/>
      <w:lang w:val="en-GB" w:eastAsia="en-US" w:bidi="ar-SA"/>
    </w:rPr>
  </w:style>
  <w:style w:type="character" w:styleId="LineNumber">
    <w:name w:val="line number"/>
    <w:basedOn w:val="DefaultParagraphFont"/>
    <w:rsid w:val="00B13DFB"/>
  </w:style>
  <w:style w:type="table" w:styleId="TableGrid">
    <w:name w:val="Table Grid"/>
    <w:basedOn w:val="TableNormal"/>
    <w:uiPriority w:val="39"/>
    <w:rsid w:val="00B13DFB"/>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_#"/>
    <w:basedOn w:val="Annex"/>
    <w:next w:val="Appendixref"/>
    <w:rsid w:val="001B10E3"/>
  </w:style>
  <w:style w:type="paragraph" w:customStyle="1" w:styleId="SPUTabletext">
    <w:name w:val="SPU_Table_text"/>
    <w:basedOn w:val="Normal"/>
    <w:semiHidden/>
    <w:rsid w:val="00F92EB2"/>
    <w:pPr>
      <w:keepLines/>
      <w:spacing w:before="60" w:after="60" w:line="210" w:lineRule="exact"/>
    </w:pPr>
    <w:rPr>
      <w:lang w:val="en-US"/>
    </w:rPr>
  </w:style>
  <w:style w:type="character" w:styleId="FollowedHyperlink">
    <w:name w:val="FollowedHyperlink"/>
    <w:basedOn w:val="DefaultParagraphFont"/>
    <w:uiPriority w:val="99"/>
    <w:rsid w:val="00A00C74"/>
    <w:rPr>
      <w:color w:val="800080"/>
      <w:u w:val="single"/>
    </w:rPr>
  </w:style>
  <w:style w:type="paragraph" w:styleId="BodyTextIndent">
    <w:name w:val="Body Text Indent"/>
    <w:basedOn w:val="Normal"/>
    <w:link w:val="BodyTextIndentChar"/>
    <w:rsid w:val="00E4497F"/>
    <w:pPr>
      <w:tabs>
        <w:tab w:val="clear" w:pos="1191"/>
        <w:tab w:val="left" w:pos="851"/>
      </w:tabs>
      <w:ind w:left="851"/>
    </w:pPr>
    <w:rPr>
      <w:i/>
      <w:iCs/>
      <w:lang w:val="en-US"/>
    </w:rPr>
  </w:style>
  <w:style w:type="paragraph" w:customStyle="1" w:styleId="TableFin">
    <w:name w:val="Table Fin"/>
    <w:basedOn w:val="Head"/>
    <w:semiHidden/>
    <w:rsid w:val="006D3964"/>
    <w:pPr>
      <w:tabs>
        <w:tab w:val="clear" w:pos="794"/>
        <w:tab w:val="left" w:pos="6946"/>
      </w:tabs>
      <w:spacing w:before="0"/>
    </w:pPr>
    <w:rPr>
      <w:b w:val="0"/>
      <w:color w:val="auto"/>
      <w:sz w:val="12"/>
      <w:lang w:val="fr-FR"/>
    </w:rPr>
  </w:style>
  <w:style w:type="paragraph" w:customStyle="1" w:styleId="Line">
    <w:name w:val="Line"/>
    <w:basedOn w:val="Normal"/>
    <w:next w:val="Normal"/>
    <w:rsid w:val="006D3964"/>
    <w:pPr>
      <w:pBdr>
        <w:top w:val="single" w:sz="6" w:space="1" w:color="auto"/>
      </w:pBdr>
      <w:tabs>
        <w:tab w:val="clear" w:pos="794"/>
      </w:tabs>
      <w:spacing w:before="240"/>
      <w:ind w:left="3997" w:right="3997"/>
      <w:jc w:val="center"/>
    </w:pPr>
    <w:rPr>
      <w:sz w:val="20"/>
      <w:lang w:val="fr-FR"/>
    </w:rPr>
  </w:style>
  <w:style w:type="paragraph" w:customStyle="1" w:styleId="RefTitle0">
    <w:name w:val="Ref_Title"/>
    <w:basedOn w:val="Normal"/>
    <w:next w:val="Reftext"/>
    <w:rsid w:val="00BF49B0"/>
    <w:pPr>
      <w:spacing w:before="480"/>
    </w:pPr>
    <w:rPr>
      <w:b/>
      <w:lang w:val="fr-FR"/>
    </w:rPr>
  </w:style>
  <w:style w:type="paragraph" w:customStyle="1" w:styleId="xl21">
    <w:name w:val="xl21"/>
    <w:basedOn w:val="Normal"/>
    <w:semiHidden/>
    <w:rsid w:val="00BF49B0"/>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Arial Unicode MS"/>
      <w:sz w:val="20"/>
      <w:lang w:val="en-US"/>
    </w:rPr>
  </w:style>
  <w:style w:type="paragraph" w:customStyle="1" w:styleId="heading0">
    <w:name w:val="heading 0"/>
    <w:basedOn w:val="Heading7"/>
    <w:rsid w:val="001B2C7F"/>
    <w:pPr>
      <w:keepNext w:val="0"/>
      <w:keepLines w:val="0"/>
      <w:tabs>
        <w:tab w:val="clear" w:pos="1588"/>
        <w:tab w:val="clear" w:pos="1985"/>
      </w:tabs>
      <w:spacing w:before="0"/>
      <w:ind w:left="720" w:right="1633" w:firstLine="0"/>
      <w:textAlignment w:val="auto"/>
      <w:outlineLvl w:val="9"/>
    </w:pPr>
    <w:rPr>
      <w:rFonts w:ascii="Times New Roman" w:hAnsi="Times New Roman"/>
      <w:b w:val="0"/>
      <w:sz w:val="20"/>
      <w:lang w:val="en-US"/>
    </w:rPr>
  </w:style>
  <w:style w:type="paragraph" w:customStyle="1" w:styleId="xl23">
    <w:name w:val="xl23"/>
    <w:basedOn w:val="Normal"/>
    <w:semiHidden/>
    <w:rsid w:val="001B2C7F"/>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Arial Unicode MS"/>
      <w:szCs w:val="22"/>
      <w:lang w:val="en-US"/>
    </w:rPr>
  </w:style>
  <w:style w:type="paragraph" w:customStyle="1" w:styleId="TitleCover">
    <w:name w:val="Title Cover"/>
    <w:basedOn w:val="Normal"/>
    <w:next w:val="Normal"/>
    <w:rsid w:val="001B2C7F"/>
    <w:pPr>
      <w:keepNext/>
      <w:keepLines/>
      <w:pBdr>
        <w:top w:val="single" w:sz="48" w:space="31" w:color="auto"/>
      </w:pBdr>
      <w:tabs>
        <w:tab w:val="clear" w:pos="794"/>
        <w:tab w:val="clear" w:pos="1191"/>
        <w:tab w:val="clear" w:pos="1588"/>
        <w:tab w:val="clear" w:pos="1985"/>
        <w:tab w:val="left" w:pos="0"/>
      </w:tabs>
      <w:overflowPunct/>
      <w:autoSpaceDE/>
      <w:autoSpaceDN/>
      <w:adjustRightInd/>
      <w:spacing w:before="240" w:after="500" w:line="640" w:lineRule="atLeast"/>
      <w:ind w:left="-840" w:right="-840"/>
      <w:textAlignment w:val="auto"/>
    </w:pPr>
    <w:rPr>
      <w:rFonts w:ascii="Arial Black" w:hAnsi="Arial Black"/>
      <w:b/>
      <w:spacing w:val="-48"/>
      <w:kern w:val="28"/>
      <w:sz w:val="64"/>
      <w:lang w:val="en-US"/>
    </w:rPr>
  </w:style>
  <w:style w:type="paragraph" w:customStyle="1" w:styleId="StyleTOC114ptComplexBold">
    <w:name w:val="Style TOC 1 + 14 pt (Complex) Bold"/>
    <w:basedOn w:val="TOC10"/>
    <w:link w:val="StyleTOC114ptComplexBoldChar"/>
    <w:rsid w:val="00F42506"/>
    <w:rPr>
      <w:bCs/>
      <w:sz w:val="28"/>
      <w:szCs w:val="28"/>
    </w:rPr>
  </w:style>
  <w:style w:type="paragraph" w:customStyle="1" w:styleId="SubtitleCover">
    <w:name w:val="Subtitle Cover"/>
    <w:basedOn w:val="TitleCover"/>
    <w:next w:val="BodyText"/>
    <w:semiHidden/>
    <w:rsid w:val="001B2C7F"/>
    <w:pPr>
      <w:pBdr>
        <w:top w:val="single" w:sz="6" w:space="24" w:color="auto"/>
      </w:pBdr>
      <w:tabs>
        <w:tab w:val="clear" w:pos="0"/>
      </w:tabs>
      <w:spacing w:before="0" w:after="0" w:line="480" w:lineRule="atLeast"/>
      <w:ind w:left="0" w:right="0"/>
    </w:pPr>
    <w:rPr>
      <w:rFonts w:ascii="Arial" w:hAnsi="Arial"/>
      <w:b w:val="0"/>
      <w:spacing w:val="-30"/>
      <w:sz w:val="48"/>
    </w:rPr>
  </w:style>
  <w:style w:type="paragraph" w:customStyle="1" w:styleId="Ref">
    <w:name w:val="Ref"/>
    <w:basedOn w:val="Normal"/>
    <w:next w:val="Normal"/>
    <w:semiHidden/>
    <w:rsid w:val="001B2C7F"/>
    <w:pPr>
      <w:tabs>
        <w:tab w:val="left" w:pos="709"/>
      </w:tabs>
    </w:pPr>
    <w:rPr>
      <w:lang w:val="fr-FR"/>
    </w:rPr>
  </w:style>
  <w:style w:type="paragraph" w:customStyle="1" w:styleId="listitem">
    <w:name w:val="listitem"/>
    <w:basedOn w:val="Normal"/>
    <w:rsid w:val="001B2C7F"/>
    <w:pPr>
      <w:keepLines/>
    </w:pPr>
  </w:style>
  <w:style w:type="paragraph" w:customStyle="1" w:styleId="TableHead1">
    <w:name w:val="Table Head"/>
    <w:basedOn w:val="Normal"/>
    <w:semiHidden/>
    <w:rsid w:val="001B2C7F"/>
    <w:pPr>
      <w:spacing w:before="100" w:after="100"/>
      <w:jc w:val="center"/>
    </w:pPr>
    <w:rPr>
      <w:b/>
      <w:color w:val="000000"/>
      <w:sz w:val="18"/>
    </w:rPr>
  </w:style>
  <w:style w:type="paragraph" w:customStyle="1" w:styleId="headfoot">
    <w:name w:val="head_foot"/>
    <w:basedOn w:val="Normal"/>
    <w:next w:val="Normalaftertitle0"/>
    <w:rsid w:val="001B2C7F"/>
    <w:pPr>
      <w:tabs>
        <w:tab w:val="clear" w:pos="794"/>
        <w:tab w:val="clear" w:pos="1191"/>
        <w:tab w:val="clear" w:pos="1588"/>
        <w:tab w:val="clear" w:pos="1985"/>
        <w:tab w:val="left" w:pos="1021"/>
        <w:tab w:val="center" w:pos="3572"/>
      </w:tabs>
      <w:overflowPunct/>
      <w:autoSpaceDE/>
      <w:autoSpaceDN/>
      <w:adjustRightInd/>
      <w:spacing w:before="0"/>
      <w:textAlignment w:val="auto"/>
    </w:pPr>
    <w:rPr>
      <w:rFonts w:ascii="Times" w:hAnsi="Times"/>
      <w:color w:val="FF0000"/>
      <w:sz w:val="8"/>
    </w:rPr>
  </w:style>
  <w:style w:type="paragraph" w:customStyle="1" w:styleId="AnnexRef0">
    <w:name w:val="Annex_Ref"/>
    <w:basedOn w:val="Normal"/>
    <w:next w:val="AnnexTitle0"/>
    <w:rsid w:val="001B2C7F"/>
    <w:pPr>
      <w:spacing w:before="136"/>
      <w:jc w:val="center"/>
    </w:pPr>
  </w:style>
  <w:style w:type="paragraph" w:styleId="Salutation">
    <w:name w:val="Salutation"/>
    <w:basedOn w:val="Normal"/>
    <w:next w:val="Normal"/>
    <w:link w:val="SalutationChar"/>
    <w:rsid w:val="001B2C7F"/>
    <w:pPr>
      <w:textAlignment w:val="auto"/>
    </w:pPr>
    <w:rPr>
      <w:lang w:eastAsia="zh-CN"/>
    </w:rPr>
  </w:style>
  <w:style w:type="paragraph" w:styleId="EndnoteText">
    <w:name w:val="endnote text"/>
    <w:basedOn w:val="Normal"/>
    <w:link w:val="EndnoteTextChar"/>
    <w:uiPriority w:val="99"/>
    <w:rsid w:val="00364022"/>
    <w:pPr>
      <w:ind w:left="794" w:hanging="794"/>
      <w:textAlignment w:val="auto"/>
    </w:pPr>
  </w:style>
  <w:style w:type="paragraph" w:styleId="Index4">
    <w:name w:val="index 4"/>
    <w:basedOn w:val="Normal"/>
    <w:next w:val="Normal"/>
    <w:rsid w:val="001B2C7F"/>
    <w:pPr>
      <w:ind w:left="849"/>
    </w:pPr>
    <w:rPr>
      <w:lang w:val="fr-FR"/>
    </w:rPr>
  </w:style>
  <w:style w:type="paragraph" w:customStyle="1" w:styleId="headingi0">
    <w:name w:val="heading_i"/>
    <w:basedOn w:val="Heading3"/>
    <w:next w:val="Normal"/>
    <w:rsid w:val="001B2C7F"/>
    <w:pPr>
      <w:tabs>
        <w:tab w:val="clear" w:pos="1021"/>
        <w:tab w:val="clear" w:pos="1191"/>
        <w:tab w:val="clear" w:pos="1588"/>
        <w:tab w:val="clear" w:pos="1985"/>
        <w:tab w:val="left" w:pos="794"/>
        <w:tab w:val="left" w:pos="2127"/>
        <w:tab w:val="left" w:pos="2410"/>
        <w:tab w:val="left" w:pos="2921"/>
        <w:tab w:val="left" w:pos="3261"/>
      </w:tabs>
      <w:ind w:left="0" w:firstLine="0"/>
      <w:outlineLvl w:val="9"/>
    </w:pPr>
    <w:rPr>
      <w:rFonts w:ascii="Times New Roman" w:hAnsi="Times New Roman"/>
      <w:b w:val="0"/>
      <w:i/>
      <w:lang w:val="fr-FR"/>
    </w:rPr>
  </w:style>
  <w:style w:type="paragraph" w:styleId="Index7">
    <w:name w:val="index 7"/>
    <w:basedOn w:val="Normal"/>
    <w:next w:val="Normal"/>
    <w:rsid w:val="001B2C7F"/>
    <w:pPr>
      <w:ind w:left="1698"/>
    </w:pPr>
  </w:style>
  <w:style w:type="paragraph" w:styleId="Index6">
    <w:name w:val="index 6"/>
    <w:basedOn w:val="Normal"/>
    <w:next w:val="Normal"/>
    <w:rsid w:val="001B2C7F"/>
    <w:pPr>
      <w:ind w:left="1415"/>
    </w:pPr>
  </w:style>
  <w:style w:type="paragraph" w:styleId="Index5">
    <w:name w:val="index 5"/>
    <w:basedOn w:val="Normal"/>
    <w:next w:val="Normal"/>
    <w:rsid w:val="001B2C7F"/>
    <w:pPr>
      <w:ind w:left="1132"/>
    </w:pPr>
  </w:style>
  <w:style w:type="paragraph" w:styleId="IndexHeading">
    <w:name w:val="index heading"/>
    <w:basedOn w:val="Normal"/>
    <w:next w:val="Index1"/>
    <w:rsid w:val="001B2C7F"/>
  </w:style>
  <w:style w:type="paragraph" w:styleId="NormalIndent">
    <w:name w:val="Normal Indent"/>
    <w:aliases w:val="Normal numbered"/>
    <w:basedOn w:val="Normal"/>
    <w:rsid w:val="001B2C7F"/>
    <w:pPr>
      <w:ind w:left="794"/>
    </w:pPr>
  </w:style>
  <w:style w:type="paragraph" w:styleId="List">
    <w:name w:val="List"/>
    <w:basedOn w:val="Normal"/>
    <w:rsid w:val="001B2C7F"/>
    <w:pPr>
      <w:tabs>
        <w:tab w:val="clear" w:pos="794"/>
        <w:tab w:val="clear" w:pos="1191"/>
        <w:tab w:val="clear" w:pos="1588"/>
        <w:tab w:val="clear" w:pos="1985"/>
        <w:tab w:val="left" w:pos="1701"/>
        <w:tab w:val="left" w:pos="2127"/>
      </w:tabs>
      <w:ind w:left="2127" w:hanging="2127"/>
    </w:pPr>
  </w:style>
  <w:style w:type="paragraph" w:customStyle="1" w:styleId="Normalpv">
    <w:name w:val="Normal pv"/>
    <w:basedOn w:val="Normal"/>
    <w:rsid w:val="00B4683B"/>
  </w:style>
  <w:style w:type="paragraph" w:customStyle="1" w:styleId="CCUNormal">
    <w:name w:val="CCU_Normal"/>
    <w:semiHidden/>
    <w:rsid w:val="00B4683B"/>
    <w:pPr>
      <w:spacing w:before="120" w:after="120"/>
      <w:ind w:left="357" w:right="85"/>
    </w:pPr>
    <w:rPr>
      <w:rFonts w:ascii="Trebuchet MS" w:hAnsi="Trebuchet MS"/>
      <w:lang w:eastAsia="en-US"/>
    </w:rPr>
  </w:style>
  <w:style w:type="paragraph" w:customStyle="1" w:styleId="CCUHeading1">
    <w:name w:val="CCU_Heading 1"/>
    <w:semiHidden/>
    <w:rsid w:val="00B4683B"/>
    <w:pPr>
      <w:tabs>
        <w:tab w:val="num" w:pos="1800"/>
      </w:tabs>
      <w:spacing w:before="120" w:after="120"/>
      <w:ind w:left="1800" w:hanging="360"/>
    </w:pPr>
    <w:rPr>
      <w:rFonts w:ascii="Trebuchet MS" w:hAnsi="Trebuchet MS"/>
      <w:b/>
      <w:caps/>
      <w:sz w:val="18"/>
      <w:lang w:val="en-GB" w:eastAsia="en-US"/>
    </w:rPr>
  </w:style>
  <w:style w:type="paragraph" w:customStyle="1" w:styleId="CCUindentNumbered">
    <w:name w:val="CCU_indent_Numbered"/>
    <w:basedOn w:val="Normal"/>
    <w:semiHidden/>
    <w:rsid w:val="00B4683B"/>
    <w:pPr>
      <w:tabs>
        <w:tab w:val="clear" w:pos="794"/>
        <w:tab w:val="clear" w:pos="1191"/>
        <w:tab w:val="clear" w:pos="1588"/>
        <w:tab w:val="clear" w:pos="1985"/>
        <w:tab w:val="left" w:pos="-450"/>
        <w:tab w:val="left" w:pos="-180"/>
      </w:tabs>
      <w:overflowPunct/>
      <w:autoSpaceDE/>
      <w:autoSpaceDN/>
      <w:adjustRightInd/>
      <w:spacing w:before="0" w:line="240" w:lineRule="exact"/>
      <w:ind w:left="1152" w:right="86" w:hanging="360"/>
      <w:textAlignment w:val="auto"/>
    </w:pPr>
    <w:rPr>
      <w:rFonts w:ascii="Trebuchet MS" w:hAnsi="Trebuchet MS"/>
      <w:snapToGrid w:val="0"/>
      <w:sz w:val="20"/>
      <w:lang w:val="en-US"/>
    </w:rPr>
  </w:style>
  <w:style w:type="paragraph" w:customStyle="1" w:styleId="Box">
    <w:name w:val="Box"/>
    <w:basedOn w:val="Normal"/>
    <w:semiHidden/>
    <w:rsid w:val="00B4683B"/>
    <w:pPr>
      <w:keepLines/>
      <w:pBdr>
        <w:top w:val="single" w:sz="12" w:space="5" w:color="auto" w:shadow="1"/>
        <w:left w:val="single" w:sz="12" w:space="5" w:color="auto" w:shadow="1"/>
        <w:bottom w:val="single" w:sz="12" w:space="5" w:color="auto" w:shadow="1"/>
        <w:right w:val="single" w:sz="12" w:space="5" w:color="auto" w:shadow="1"/>
      </w:pBdr>
      <w:shd w:val="pct30" w:color="FFFF00" w:fill="auto"/>
      <w:tabs>
        <w:tab w:val="left" w:pos="357"/>
      </w:tabs>
      <w:ind w:left="198" w:right="198"/>
    </w:pPr>
    <w:rPr>
      <w:rFonts w:eastAsia="'宋体"/>
      <w:sz w:val="20"/>
      <w:lang w:eastAsia="zh-CN"/>
    </w:rPr>
  </w:style>
  <w:style w:type="paragraph" w:customStyle="1" w:styleId="ChiffresColonne">
    <w:name w:val="ChiffresColonne"/>
    <w:basedOn w:val="NormalTab"/>
    <w:rsid w:val="00B4683B"/>
    <w:pPr>
      <w:tabs>
        <w:tab w:val="clear" w:pos="680"/>
      </w:tabs>
      <w:jc w:val="right"/>
    </w:pPr>
  </w:style>
  <w:style w:type="paragraph" w:customStyle="1" w:styleId="NormalTab">
    <w:name w:val="NormalTab"/>
    <w:basedOn w:val="Normal"/>
    <w:next w:val="Normal"/>
    <w:rsid w:val="00B4683B"/>
    <w:pPr>
      <w:widowControl w:val="0"/>
      <w:tabs>
        <w:tab w:val="clear" w:pos="794"/>
        <w:tab w:val="clear" w:pos="1191"/>
        <w:tab w:val="clear" w:pos="1588"/>
        <w:tab w:val="clear" w:pos="1985"/>
        <w:tab w:val="left" w:pos="680"/>
      </w:tabs>
    </w:pPr>
    <w:rPr>
      <w:rFonts w:ascii="Gill Sans MT" w:hAnsi="Gill Sans MT"/>
      <w:i/>
      <w:iCs/>
      <w:sz w:val="20"/>
    </w:rPr>
  </w:style>
  <w:style w:type="paragraph" w:customStyle="1" w:styleId="Figuresubtitle">
    <w:name w:val="Figure_subtitle"/>
    <w:basedOn w:val="Normal"/>
    <w:next w:val="Normal"/>
    <w:semiHidden/>
    <w:rsid w:val="00B4683B"/>
    <w:pPr>
      <w:keepLines/>
      <w:shd w:val="pct30" w:color="FFFF00" w:fill="auto"/>
      <w:tabs>
        <w:tab w:val="left" w:pos="357"/>
      </w:tabs>
      <w:spacing w:before="0"/>
      <w:ind w:left="85" w:right="85"/>
    </w:pPr>
    <w:rPr>
      <w:rFonts w:eastAsia="'宋体"/>
      <w:i/>
      <w:sz w:val="20"/>
      <w:lang w:eastAsia="zh-CN"/>
    </w:rPr>
  </w:style>
  <w:style w:type="paragraph" w:customStyle="1" w:styleId="ppiNormal">
    <w:name w:val="ppi Normal"/>
    <w:rsid w:val="00B4683B"/>
    <w:pPr>
      <w:spacing w:before="120" w:after="120"/>
    </w:pPr>
    <w:rPr>
      <w:rFonts w:ascii="Trebuchet MS" w:hAnsi="Trebuchet MS"/>
      <w:lang w:val="en-GB" w:eastAsia="en-US"/>
    </w:rPr>
  </w:style>
  <w:style w:type="paragraph" w:customStyle="1" w:styleId="ppiIndent1">
    <w:name w:val="ppi Indent1"/>
    <w:basedOn w:val="ppiNormal"/>
    <w:rsid w:val="00B4683B"/>
    <w:pPr>
      <w:tabs>
        <w:tab w:val="num" w:pos="735"/>
        <w:tab w:val="num" w:pos="851"/>
      </w:tabs>
      <w:spacing w:before="0" w:after="0"/>
      <w:ind w:left="851" w:right="709" w:hanging="709"/>
    </w:pPr>
  </w:style>
  <w:style w:type="paragraph" w:customStyle="1" w:styleId="MEP">
    <w:name w:val="MEP"/>
    <w:basedOn w:val="Normal"/>
    <w:semiHidden/>
    <w:rsid w:val="00B4683B"/>
    <w:pPr>
      <w:overflowPunct/>
      <w:autoSpaceDE/>
      <w:autoSpaceDN/>
      <w:adjustRightInd/>
      <w:spacing w:before="0"/>
      <w:textAlignment w:val="auto"/>
    </w:pPr>
    <w:rPr>
      <w:sz w:val="20"/>
      <w:szCs w:val="24"/>
      <w:lang w:val="en-US"/>
    </w:rPr>
  </w:style>
  <w:style w:type="paragraph" w:customStyle="1" w:styleId="Evenfooter">
    <w:name w:val="Even_footer"/>
    <w:basedOn w:val="Normal"/>
    <w:semiHidden/>
    <w:rsid w:val="00B4683B"/>
    <w:pPr>
      <w:widowControl w:val="0"/>
      <w:tabs>
        <w:tab w:val="center" w:pos="4252"/>
        <w:tab w:val="center" w:pos="4320"/>
        <w:tab w:val="right" w:pos="8307"/>
        <w:tab w:val="right" w:pos="8640"/>
      </w:tabs>
    </w:pPr>
    <w:rPr>
      <w:rFonts w:eastAsia="'宋体"/>
      <w:sz w:val="20"/>
      <w:szCs w:val="24"/>
      <w:lang w:eastAsia="zh-CN"/>
    </w:rPr>
  </w:style>
  <w:style w:type="paragraph" w:customStyle="1" w:styleId="bodytext0">
    <w:name w:val="bodytext"/>
    <w:basedOn w:val="Normal"/>
    <w:semiHidden/>
    <w:rsid w:val="00B4683B"/>
    <w:pPr>
      <w:tabs>
        <w:tab w:val="clear" w:pos="794"/>
        <w:tab w:val="clear" w:pos="1191"/>
        <w:tab w:val="clear" w:pos="1588"/>
        <w:tab w:val="clear" w:pos="1985"/>
      </w:tabs>
      <w:overflowPunct/>
      <w:autoSpaceDE/>
      <w:autoSpaceDN/>
      <w:adjustRightInd/>
      <w:spacing w:before="100" w:beforeAutospacing="1" w:after="100" w:afterAutospacing="1" w:line="360" w:lineRule="auto"/>
      <w:textAlignment w:val="auto"/>
    </w:pPr>
    <w:rPr>
      <w:rFonts w:ascii="Verdana" w:eastAsia="Arial Unicode MS" w:hAnsi="Verdana" w:cs="Arial Unicode MS"/>
      <w:color w:val="000000"/>
      <w:sz w:val="18"/>
      <w:szCs w:val="18"/>
      <w:lang w:val="en-US"/>
    </w:rPr>
  </w:style>
  <w:style w:type="paragraph" w:customStyle="1" w:styleId="Style1">
    <w:name w:val="Style 1"/>
    <w:basedOn w:val="Normal"/>
    <w:semiHidden/>
    <w:rsid w:val="00B4683B"/>
    <w:pPr>
      <w:widowControl w:val="0"/>
      <w:tabs>
        <w:tab w:val="clear" w:pos="794"/>
        <w:tab w:val="clear" w:pos="1191"/>
        <w:tab w:val="clear" w:pos="1588"/>
        <w:tab w:val="clear" w:pos="1985"/>
      </w:tabs>
      <w:overflowPunct/>
      <w:adjustRightInd/>
      <w:spacing w:before="0"/>
      <w:ind w:right="72"/>
      <w:jc w:val="right"/>
      <w:textAlignment w:val="auto"/>
    </w:pPr>
    <w:rPr>
      <w:szCs w:val="24"/>
      <w:lang w:val="en-US"/>
    </w:rPr>
  </w:style>
  <w:style w:type="paragraph" w:customStyle="1" w:styleId="Style20">
    <w:name w:val="Style 2"/>
    <w:basedOn w:val="Normal"/>
    <w:semiHidden/>
    <w:rsid w:val="00B4683B"/>
    <w:pPr>
      <w:widowControl w:val="0"/>
      <w:tabs>
        <w:tab w:val="clear" w:pos="794"/>
        <w:tab w:val="clear" w:pos="1191"/>
        <w:tab w:val="clear" w:pos="1588"/>
        <w:tab w:val="clear" w:pos="1985"/>
      </w:tabs>
      <w:overflowPunct/>
      <w:adjustRightInd/>
      <w:spacing w:before="0"/>
      <w:ind w:right="324"/>
      <w:jc w:val="right"/>
      <w:textAlignment w:val="auto"/>
    </w:pPr>
    <w:rPr>
      <w:szCs w:val="24"/>
      <w:lang w:val="en-US"/>
    </w:rPr>
  </w:style>
  <w:style w:type="paragraph" w:customStyle="1" w:styleId="Style30">
    <w:name w:val="Style 3"/>
    <w:basedOn w:val="Normal"/>
    <w:semiHidden/>
    <w:rsid w:val="00B4683B"/>
    <w:pPr>
      <w:widowControl w:val="0"/>
      <w:tabs>
        <w:tab w:val="clear" w:pos="794"/>
        <w:tab w:val="clear" w:pos="1191"/>
        <w:tab w:val="clear" w:pos="1588"/>
        <w:tab w:val="clear" w:pos="1985"/>
        <w:tab w:val="right" w:pos="5076"/>
        <w:tab w:val="right" w:pos="5688"/>
        <w:tab w:val="right" w:pos="6516"/>
        <w:tab w:val="right" w:pos="7380"/>
        <w:tab w:val="left" w:pos="8280"/>
      </w:tabs>
      <w:overflowPunct/>
      <w:adjustRightInd/>
      <w:spacing w:before="0" w:line="168" w:lineRule="atLeast"/>
      <w:ind w:left="216"/>
      <w:textAlignment w:val="auto"/>
    </w:pPr>
    <w:rPr>
      <w:szCs w:val="24"/>
      <w:lang w:val="en-US"/>
    </w:rPr>
  </w:style>
  <w:style w:type="paragraph" w:customStyle="1" w:styleId="font6">
    <w:name w:val="font6"/>
    <w:basedOn w:val="Normal"/>
    <w:semiHidden/>
    <w:rsid w:val="00B4683B"/>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ahoma" w:eastAsia="Arial Unicode MS" w:hAnsi="Tahoma" w:cs="Tahoma"/>
      <w:b/>
      <w:bCs/>
      <w:color w:val="000000"/>
      <w:sz w:val="16"/>
      <w:szCs w:val="16"/>
      <w:lang w:val="en-US"/>
    </w:rPr>
  </w:style>
  <w:style w:type="paragraph" w:styleId="BalloonText">
    <w:name w:val="Balloon Text"/>
    <w:basedOn w:val="Normal"/>
    <w:link w:val="BalloonTextChar"/>
    <w:rsid w:val="00283976"/>
    <w:pPr>
      <w:tabs>
        <w:tab w:val="clear" w:pos="794"/>
        <w:tab w:val="clear" w:pos="1191"/>
        <w:tab w:val="clear" w:pos="1588"/>
        <w:tab w:val="clear" w:pos="1985"/>
        <w:tab w:val="left" w:pos="1134"/>
        <w:tab w:val="left" w:pos="1871"/>
        <w:tab w:val="left" w:pos="2268"/>
      </w:tabs>
    </w:pPr>
    <w:rPr>
      <w:rFonts w:ascii="Tahoma" w:hAnsi="Tahoma" w:cs="Tahoma"/>
      <w:sz w:val="16"/>
      <w:szCs w:val="16"/>
    </w:rPr>
  </w:style>
  <w:style w:type="character" w:customStyle="1" w:styleId="href">
    <w:name w:val="href"/>
    <w:basedOn w:val="DefaultParagraphFont"/>
    <w:qFormat/>
    <w:rsid w:val="004C10B9"/>
    <w:rPr>
      <w:color w:val="auto"/>
    </w:rPr>
  </w:style>
  <w:style w:type="paragraph" w:customStyle="1" w:styleId="Style10">
    <w:name w:val="Style1"/>
    <w:basedOn w:val="Header"/>
    <w:semiHidden/>
    <w:rsid w:val="00450984"/>
    <w:pPr>
      <w:tabs>
        <w:tab w:val="center" w:pos="4819"/>
        <w:tab w:val="left" w:pos="5415"/>
      </w:tabs>
    </w:pPr>
  </w:style>
  <w:style w:type="paragraph" w:customStyle="1" w:styleId="Char1">
    <w:name w:val="Char1"/>
    <w:basedOn w:val="Normal"/>
    <w:rsid w:val="00350B4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Chap1">
    <w:name w:val="Chap_1"/>
    <w:basedOn w:val="ChapNo"/>
    <w:semiHidden/>
    <w:rsid w:val="008853B4"/>
    <w:pPr>
      <w:keepNext w:val="0"/>
      <w:pageBreakBefore/>
      <w:spacing w:before="0" w:after="160"/>
    </w:pPr>
    <w:rPr>
      <w:rFonts w:ascii="SimSun" w:eastAsia="Times New Roman" w:hAnsi="SimSun" w:cs="Times New Roman Bold"/>
      <w:lang w:val="ru-RU"/>
    </w:rPr>
  </w:style>
  <w:style w:type="character" w:customStyle="1" w:styleId="Index1Char">
    <w:name w:val="Index 1 Char"/>
    <w:basedOn w:val="DefaultParagraphFont"/>
    <w:link w:val="Index1"/>
    <w:rsid w:val="00673DD5"/>
    <w:rPr>
      <w:rFonts w:eastAsia="SimSun"/>
      <w:sz w:val="16"/>
      <w:lang w:val="en-GB" w:eastAsia="en-US" w:bidi="ar-SA"/>
    </w:rPr>
  </w:style>
  <w:style w:type="paragraph" w:customStyle="1" w:styleId="Sousnew">
    <w:name w:val="Sous_new"/>
    <w:basedOn w:val="Normal"/>
    <w:semiHidden/>
    <w:rsid w:val="008853B4"/>
    <w:pPr>
      <w:spacing w:after="120"/>
      <w:jc w:val="center"/>
    </w:pPr>
    <w:rPr>
      <w:rFonts w:ascii="SimSun" w:hAnsi="SimSun"/>
      <w:b/>
      <w:sz w:val="28"/>
      <w:szCs w:val="28"/>
      <w:lang w:eastAsia="zh-CN"/>
    </w:rPr>
  </w:style>
  <w:style w:type="character" w:customStyle="1" w:styleId="RectitleChar">
    <w:name w:val="Rec_title Char"/>
    <w:basedOn w:val="DefaultParagraphFont"/>
    <w:link w:val="Rectitle"/>
    <w:rsid w:val="00A15C58"/>
    <w:rPr>
      <w:rFonts w:eastAsia="SimSun"/>
      <w:b/>
      <w:sz w:val="28"/>
      <w:lang w:val="en-GB" w:eastAsia="en-US" w:bidi="ar-SA"/>
    </w:rPr>
  </w:style>
  <w:style w:type="character" w:customStyle="1" w:styleId="RestitleChar">
    <w:name w:val="Res_title Char"/>
    <w:basedOn w:val="RectitleChar"/>
    <w:link w:val="Restitle"/>
    <w:rsid w:val="00654282"/>
    <w:rPr>
      <w:rFonts w:ascii="Calibri" w:eastAsia="SimSun" w:hAnsi="Calibri"/>
      <w:b/>
      <w:sz w:val="28"/>
      <w:lang w:val="en-GB" w:eastAsia="en-US" w:bidi="ar-SA"/>
    </w:rPr>
  </w:style>
  <w:style w:type="character" w:customStyle="1" w:styleId="NoteChar">
    <w:name w:val="Note Char"/>
    <w:basedOn w:val="DefaultParagraphFont"/>
    <w:link w:val="Note"/>
    <w:rsid w:val="00D95622"/>
    <w:rPr>
      <w:rFonts w:eastAsia="SimSun"/>
      <w:sz w:val="22"/>
      <w:lang w:val="en-GB" w:eastAsia="en-US" w:bidi="ar-SA"/>
    </w:rPr>
  </w:style>
  <w:style w:type="character" w:customStyle="1" w:styleId="AnnextitleChar">
    <w:name w:val="Annex_title Char"/>
    <w:basedOn w:val="DefaultParagraphFont"/>
    <w:link w:val="Annextitle"/>
    <w:rsid w:val="00E214C2"/>
    <w:rPr>
      <w:rFonts w:asciiTheme="minorHAnsi" w:hAnsiTheme="minorHAnsi"/>
      <w:b/>
      <w:sz w:val="28"/>
      <w:lang w:val="en-GB" w:eastAsia="en-US"/>
    </w:rPr>
  </w:style>
  <w:style w:type="character" w:customStyle="1" w:styleId="AppendixtitleChar">
    <w:name w:val="Appendix_title Char"/>
    <w:basedOn w:val="AnnextitleChar"/>
    <w:link w:val="Appendixtitle"/>
    <w:rsid w:val="006642CE"/>
    <w:rPr>
      <w:rFonts w:asciiTheme="minorHAnsi" w:eastAsia="SimSun" w:hAnsiTheme="minorHAnsi"/>
      <w:b/>
      <w:sz w:val="28"/>
      <w:lang w:val="en-GB" w:eastAsia="en-US" w:bidi="ar-SA"/>
    </w:rPr>
  </w:style>
  <w:style w:type="paragraph" w:customStyle="1" w:styleId="CharChar">
    <w:name w:val="Char Char"/>
    <w:basedOn w:val="Normal"/>
    <w:rsid w:val="00204C40"/>
    <w:pPr>
      <w:tabs>
        <w:tab w:val="clear" w:pos="794"/>
        <w:tab w:val="clear" w:pos="1191"/>
        <w:tab w:val="clear" w:pos="1588"/>
        <w:tab w:val="clear" w:pos="1985"/>
      </w:tabs>
      <w:overflowPunct/>
      <w:autoSpaceDE/>
      <w:autoSpaceDN/>
      <w:adjustRightInd/>
      <w:spacing w:before="0" w:after="160" w:line="240" w:lineRule="exact"/>
      <w:textAlignment w:val="auto"/>
    </w:pPr>
    <w:rPr>
      <w:rFonts w:ascii="Arial" w:hAnsi="Arial"/>
      <w:kern w:val="16"/>
      <w:sz w:val="20"/>
      <w:lang w:val="tr-TR"/>
    </w:rPr>
  </w:style>
  <w:style w:type="character" w:customStyle="1" w:styleId="TabletextChar">
    <w:name w:val="Table_text Char"/>
    <w:basedOn w:val="DefaultParagraphFont"/>
    <w:link w:val="Tabletext"/>
    <w:qFormat/>
    <w:rsid w:val="00204C40"/>
    <w:rPr>
      <w:rFonts w:eastAsia="SimSun"/>
      <w:sz w:val="22"/>
      <w:lang w:val="en-GB" w:eastAsia="en-US" w:bidi="ar-SA"/>
    </w:rPr>
  </w:style>
  <w:style w:type="paragraph" w:customStyle="1" w:styleId="CharChar2">
    <w:name w:val="Char Char2"/>
    <w:basedOn w:val="Normal"/>
    <w:rsid w:val="00204C40"/>
    <w:pPr>
      <w:tabs>
        <w:tab w:val="clear" w:pos="794"/>
        <w:tab w:val="clear" w:pos="1191"/>
        <w:tab w:val="clear" w:pos="1588"/>
        <w:tab w:val="clear" w:pos="1985"/>
      </w:tabs>
      <w:overflowPunct/>
      <w:autoSpaceDE/>
      <w:autoSpaceDN/>
      <w:adjustRightInd/>
      <w:spacing w:before="0" w:after="160" w:line="240" w:lineRule="exact"/>
      <w:textAlignment w:val="auto"/>
    </w:pPr>
    <w:rPr>
      <w:rFonts w:ascii="Arial" w:hAnsi="Arial"/>
      <w:kern w:val="16"/>
      <w:sz w:val="20"/>
      <w:lang w:val="tr-TR"/>
    </w:rPr>
  </w:style>
  <w:style w:type="character" w:customStyle="1" w:styleId="NormalaftertitleChar">
    <w:name w:val="Normal after title Char"/>
    <w:basedOn w:val="DefaultParagraphFont"/>
    <w:link w:val="Normalaftertitle0"/>
    <w:qFormat/>
    <w:rsid w:val="00E51375"/>
    <w:rPr>
      <w:rFonts w:asciiTheme="minorHAnsi" w:eastAsiaTheme="minorEastAsia" w:hAnsiTheme="minorHAnsi" w:cstheme="minorHAnsi"/>
      <w:sz w:val="24"/>
      <w:szCs w:val="24"/>
      <w:lang w:val="en-GB"/>
    </w:rPr>
  </w:style>
  <w:style w:type="character" w:customStyle="1" w:styleId="enumlev1Char">
    <w:name w:val="enumlev1 Char"/>
    <w:basedOn w:val="DefaultParagraphFont"/>
    <w:link w:val="enumlev1"/>
    <w:qFormat/>
    <w:rsid w:val="00204C40"/>
    <w:rPr>
      <w:rFonts w:eastAsia="SimSun"/>
      <w:sz w:val="22"/>
      <w:lang w:val="en-GB" w:eastAsia="en-US" w:bidi="ar-SA"/>
    </w:rPr>
  </w:style>
  <w:style w:type="character" w:customStyle="1" w:styleId="TOC1Char">
    <w:name w:val="TOC 1 Char"/>
    <w:basedOn w:val="DefaultParagraphFont"/>
    <w:link w:val="TOC10"/>
    <w:uiPriority w:val="39"/>
    <w:rsid w:val="00E9330E"/>
    <w:rPr>
      <w:rFonts w:asciiTheme="minorHAnsi" w:hAnsiTheme="minorHAnsi"/>
      <w:b/>
      <w:sz w:val="24"/>
      <w:lang w:val="en-GB" w:eastAsia="en-US"/>
    </w:rPr>
  </w:style>
  <w:style w:type="character" w:customStyle="1" w:styleId="CallChar">
    <w:name w:val="Call Char"/>
    <w:basedOn w:val="DefaultParagraphFont"/>
    <w:link w:val="Call"/>
    <w:qFormat/>
    <w:rsid w:val="00C3403A"/>
    <w:rPr>
      <w:rFonts w:eastAsia="STKaiti"/>
      <w:sz w:val="22"/>
      <w:lang w:val="en-GB" w:eastAsia="en-US" w:bidi="ar-SA"/>
    </w:rPr>
  </w:style>
  <w:style w:type="paragraph" w:customStyle="1" w:styleId="Normal10">
    <w:name w:val="Normal1"/>
    <w:basedOn w:val="Normal"/>
    <w:link w:val="normalChar"/>
    <w:semiHidden/>
    <w:rsid w:val="006E3B9B"/>
    <w:pPr>
      <w:widowControl w:val="0"/>
      <w:tabs>
        <w:tab w:val="clear" w:pos="794"/>
        <w:tab w:val="clear" w:pos="1191"/>
        <w:tab w:val="clear" w:pos="1588"/>
        <w:tab w:val="clear" w:pos="1985"/>
      </w:tabs>
      <w:overflowPunct/>
      <w:autoSpaceDE/>
      <w:autoSpaceDN/>
      <w:snapToGrid w:val="0"/>
      <w:ind w:firstLine="425"/>
      <w:textAlignment w:val="bottom"/>
    </w:pPr>
    <w:rPr>
      <w:color w:val="000000"/>
      <w:kern w:val="2"/>
      <w:szCs w:val="22"/>
      <w:lang w:val="en-US" w:eastAsia="zh-CN"/>
    </w:rPr>
  </w:style>
  <w:style w:type="numbering" w:customStyle="1" w:styleId="NoList1">
    <w:name w:val="No List1"/>
    <w:next w:val="NoList"/>
    <w:uiPriority w:val="99"/>
    <w:semiHidden/>
    <w:rsid w:val="006E3B9B"/>
  </w:style>
  <w:style w:type="numbering" w:customStyle="1" w:styleId="NoList2">
    <w:name w:val="No List2"/>
    <w:next w:val="NoList"/>
    <w:uiPriority w:val="99"/>
    <w:semiHidden/>
    <w:rsid w:val="006E3B9B"/>
  </w:style>
  <w:style w:type="numbering" w:customStyle="1" w:styleId="NoList11">
    <w:name w:val="No List11"/>
    <w:next w:val="NoList"/>
    <w:uiPriority w:val="99"/>
    <w:semiHidden/>
    <w:rsid w:val="006E3B9B"/>
  </w:style>
  <w:style w:type="character" w:customStyle="1" w:styleId="StyleTOC114ptComplexBoldChar">
    <w:name w:val="Style TOC 1 + 14 pt (Complex) Bold Char"/>
    <w:basedOn w:val="TOC1Char"/>
    <w:link w:val="StyleTOC114ptComplexBold"/>
    <w:rsid w:val="00F42506"/>
    <w:rPr>
      <w:rFonts w:asciiTheme="minorHAnsi" w:eastAsia="SimSun" w:hAnsiTheme="minorHAnsi"/>
      <w:b/>
      <w:bCs/>
      <w:sz w:val="28"/>
      <w:szCs w:val="28"/>
      <w:lang w:val="en-GB" w:eastAsia="en-US" w:bidi="ar-SA"/>
    </w:rPr>
  </w:style>
  <w:style w:type="paragraph" w:customStyle="1" w:styleId="StyleRestitleAfter-025cm">
    <w:name w:val="Style Res_title + After:  -0.25 cm"/>
    <w:basedOn w:val="Restitle"/>
    <w:link w:val="StyleRestitleAfter-025cmChar"/>
    <w:rsid w:val="00286A3C"/>
    <w:pPr>
      <w:ind w:right="-142"/>
    </w:pPr>
  </w:style>
  <w:style w:type="character" w:customStyle="1" w:styleId="StyleRestitleAfter-025cmChar">
    <w:name w:val="Style Res_title + After:  -0.25 cm Char"/>
    <w:basedOn w:val="RestitleChar"/>
    <w:link w:val="StyleRestitleAfter-025cm"/>
    <w:rsid w:val="00286A3C"/>
    <w:rPr>
      <w:rFonts w:ascii="Calibri" w:eastAsia="SimSun" w:hAnsi="Calibri"/>
      <w:b/>
      <w:sz w:val="24"/>
      <w:lang w:val="en-GB" w:eastAsia="en-US" w:bidi="ar-SA"/>
    </w:rPr>
  </w:style>
  <w:style w:type="character" w:customStyle="1" w:styleId="Heading3Char">
    <w:name w:val="Heading 3 Char"/>
    <w:basedOn w:val="DefaultParagraphFont"/>
    <w:link w:val="Heading3"/>
    <w:rsid w:val="00895159"/>
    <w:rPr>
      <w:rFonts w:ascii="Times New Roman Bold" w:eastAsia="SimSun" w:hAnsi="Times New Roman Bold"/>
      <w:b/>
      <w:sz w:val="24"/>
      <w:lang w:val="en-GB" w:eastAsia="en-US" w:bidi="ar-SA"/>
    </w:rPr>
  </w:style>
  <w:style w:type="character" w:customStyle="1" w:styleId="HeaderChar">
    <w:name w:val="Header Char"/>
    <w:aliases w:val="encabezado Char,he Char,encabezad Char,header odd Char,header odd1 Char,header odd2 Char,header Char,h Char,Header/Footer Char,Page No Char,header odd3 Char,header odd4 Char,header odd5 Char,header odd6 Char,header1 Char,header2 Char,ho Char"/>
    <w:basedOn w:val="DefaultParagraphFont"/>
    <w:link w:val="Header"/>
    <w:rsid w:val="00F7210C"/>
    <w:rPr>
      <w:rFonts w:asciiTheme="minorHAnsi" w:eastAsia="STKaiti" w:hAnsiTheme="minorHAnsi"/>
      <w:lang w:val="en-GB" w:eastAsia="en-US"/>
    </w:rPr>
  </w:style>
  <w:style w:type="character" w:customStyle="1" w:styleId="Heading1Char1">
    <w:name w:val="Heading 1 Char1"/>
    <w:basedOn w:val="DefaultParagraphFont"/>
    <w:link w:val="Heading1"/>
    <w:rsid w:val="00D54ECF"/>
    <w:rPr>
      <w:rFonts w:ascii="Calibri" w:hAnsi="Calibri"/>
      <w:b/>
      <w:sz w:val="28"/>
      <w:lang w:val="en-GB" w:eastAsia="en-US"/>
    </w:rPr>
  </w:style>
  <w:style w:type="character" w:customStyle="1" w:styleId="ACMAFootnoteTextCharChar">
    <w:name w:val="ACMA Footnote Text Char Char"/>
    <w:basedOn w:val="DefaultParagraphFont"/>
    <w:semiHidden/>
    <w:rsid w:val="00895159"/>
    <w:rPr>
      <w:rFonts w:eastAsia="SimSun"/>
      <w:sz w:val="24"/>
      <w:lang w:val="en-GB" w:eastAsia="en-US" w:bidi="ar-SA"/>
    </w:rPr>
  </w:style>
  <w:style w:type="paragraph" w:customStyle="1" w:styleId="FigureLegend0">
    <w:name w:val="Figure_Legend"/>
    <w:basedOn w:val="Normal"/>
    <w:rsid w:val="00895159"/>
    <w:pPr>
      <w:keepNext/>
      <w:keepLines/>
      <w:tabs>
        <w:tab w:val="clear" w:pos="794"/>
        <w:tab w:val="clear" w:pos="1191"/>
        <w:tab w:val="clear" w:pos="1588"/>
        <w:tab w:val="clear" w:pos="1985"/>
      </w:tabs>
      <w:spacing w:before="20" w:after="20"/>
    </w:pPr>
    <w:rPr>
      <w:sz w:val="18"/>
      <w:szCs w:val="18"/>
    </w:rPr>
  </w:style>
  <w:style w:type="paragraph" w:customStyle="1" w:styleId="Figure0">
    <w:name w:val="Figure_#"/>
    <w:basedOn w:val="Table"/>
    <w:next w:val="FigureTitle0"/>
    <w:rsid w:val="00895159"/>
    <w:pPr>
      <w:overflowPunct/>
      <w:autoSpaceDE/>
      <w:autoSpaceDN/>
      <w:adjustRightInd/>
      <w:spacing w:before="480" w:after="120"/>
      <w:textAlignment w:val="auto"/>
    </w:pPr>
    <w:rPr>
      <w:caps/>
    </w:rPr>
  </w:style>
  <w:style w:type="paragraph" w:customStyle="1" w:styleId="FigureTitle0">
    <w:name w:val="Figure_Title"/>
    <w:basedOn w:val="TableTitle"/>
    <w:next w:val="Normal"/>
    <w:rsid w:val="00895159"/>
    <w:pPr>
      <w:keepNext w:val="0"/>
      <w:keepLines/>
      <w:overflowPunct/>
      <w:autoSpaceDE/>
      <w:autoSpaceDN/>
      <w:adjustRightInd/>
      <w:spacing w:after="480"/>
      <w:textAlignment w:val="auto"/>
    </w:pPr>
    <w:rPr>
      <w:bCs/>
    </w:rPr>
  </w:style>
  <w:style w:type="paragraph" w:customStyle="1" w:styleId="AppendixRef0">
    <w:name w:val="Appendix_Ref"/>
    <w:basedOn w:val="AnnexRef0"/>
    <w:next w:val="AppendixTitle0"/>
    <w:rsid w:val="00895159"/>
    <w:pPr>
      <w:keepNext/>
      <w:keepLines/>
      <w:spacing w:before="120"/>
    </w:pPr>
  </w:style>
  <w:style w:type="paragraph" w:customStyle="1" w:styleId="AppendixTitle0">
    <w:name w:val="Appendix_Title"/>
    <w:basedOn w:val="AnnexTitle0"/>
    <w:next w:val="Normalaftertitle0"/>
    <w:rsid w:val="00895159"/>
    <w:rPr>
      <w:bCs/>
      <w:szCs w:val="28"/>
    </w:rPr>
  </w:style>
  <w:style w:type="paragraph" w:customStyle="1" w:styleId="RefText0">
    <w:name w:val="Ref_Text"/>
    <w:basedOn w:val="Normal"/>
    <w:rsid w:val="00895159"/>
    <w:pPr>
      <w:ind w:left="794" w:hanging="794"/>
    </w:pPr>
  </w:style>
  <w:style w:type="paragraph" w:customStyle="1" w:styleId="toc0">
    <w:name w:val="toc 0"/>
    <w:basedOn w:val="Normal"/>
    <w:next w:val="TOC10"/>
    <w:rsid w:val="00895159"/>
    <w:pPr>
      <w:tabs>
        <w:tab w:val="clear" w:pos="1191"/>
        <w:tab w:val="clear" w:pos="1588"/>
        <w:tab w:val="clear" w:pos="1985"/>
        <w:tab w:val="center" w:pos="8789"/>
      </w:tabs>
    </w:pPr>
    <w:rPr>
      <w:b/>
    </w:rPr>
  </w:style>
  <w:style w:type="paragraph" w:customStyle="1" w:styleId="Infodoc">
    <w:name w:val="Infodoc"/>
    <w:basedOn w:val="Normal"/>
    <w:rsid w:val="00895159"/>
    <w:pPr>
      <w:tabs>
        <w:tab w:val="clear" w:pos="794"/>
        <w:tab w:val="clear" w:pos="1191"/>
        <w:tab w:val="clear" w:pos="1588"/>
        <w:tab w:val="clear" w:pos="1985"/>
        <w:tab w:val="left" w:pos="1418"/>
      </w:tabs>
      <w:spacing w:before="0"/>
      <w:ind w:left="1418" w:hanging="1418"/>
    </w:pPr>
  </w:style>
  <w:style w:type="paragraph" w:customStyle="1" w:styleId="Address">
    <w:name w:val="Address"/>
    <w:basedOn w:val="Normal"/>
    <w:rsid w:val="00895159"/>
    <w:pPr>
      <w:tabs>
        <w:tab w:val="clear" w:pos="794"/>
        <w:tab w:val="clear" w:pos="1191"/>
        <w:tab w:val="clear" w:pos="1588"/>
        <w:tab w:val="clear" w:pos="1985"/>
        <w:tab w:val="left" w:pos="4820"/>
        <w:tab w:val="left" w:pos="5529"/>
      </w:tabs>
      <w:ind w:left="794"/>
    </w:pPr>
  </w:style>
  <w:style w:type="paragraph" w:customStyle="1" w:styleId="Keywords">
    <w:name w:val="Keywords"/>
    <w:basedOn w:val="Normal"/>
    <w:rsid w:val="00895159"/>
    <w:pPr>
      <w:tabs>
        <w:tab w:val="clear" w:pos="1191"/>
        <w:tab w:val="clear" w:pos="1588"/>
      </w:tabs>
      <w:ind w:left="794" w:hanging="794"/>
    </w:pPr>
  </w:style>
  <w:style w:type="character" w:customStyle="1" w:styleId="BodyTextChar">
    <w:name w:val="Body Text Char"/>
    <w:basedOn w:val="DefaultParagraphFont"/>
    <w:link w:val="BodyText"/>
    <w:rsid w:val="00895159"/>
    <w:rPr>
      <w:rFonts w:eastAsia="SimSun"/>
      <w:sz w:val="22"/>
      <w:lang w:val="fr-FR" w:eastAsia="en-US" w:bidi="ar-SA"/>
    </w:rPr>
  </w:style>
  <w:style w:type="paragraph" w:customStyle="1" w:styleId="EquationLegend0">
    <w:name w:val="Equation_Legend"/>
    <w:basedOn w:val="Normal"/>
    <w:rsid w:val="00895159"/>
    <w:pPr>
      <w:tabs>
        <w:tab w:val="clear" w:pos="794"/>
        <w:tab w:val="clear" w:pos="1191"/>
        <w:tab w:val="clear" w:pos="1588"/>
        <w:tab w:val="clear" w:pos="1985"/>
        <w:tab w:val="right" w:pos="1531"/>
        <w:tab w:val="left" w:pos="1701"/>
      </w:tabs>
      <w:spacing w:before="80"/>
      <w:ind w:left="1701" w:hanging="1701"/>
    </w:pPr>
  </w:style>
  <w:style w:type="paragraph" w:customStyle="1" w:styleId="docnottitle">
    <w:name w:val="docnot_title"/>
    <w:basedOn w:val="docnoted"/>
    <w:next w:val="docnoted"/>
    <w:rsid w:val="00895159"/>
    <w:pPr>
      <w:jc w:val="center"/>
    </w:pPr>
  </w:style>
  <w:style w:type="paragraph" w:customStyle="1" w:styleId="Qlist">
    <w:name w:val="Qlist"/>
    <w:basedOn w:val="Normal"/>
    <w:rsid w:val="00895159"/>
    <w:pPr>
      <w:tabs>
        <w:tab w:val="clear" w:pos="794"/>
        <w:tab w:val="clear" w:pos="1191"/>
        <w:tab w:val="clear" w:pos="1588"/>
        <w:tab w:val="clear" w:pos="1985"/>
        <w:tab w:val="left" w:pos="1843"/>
        <w:tab w:val="left" w:pos="2268"/>
      </w:tabs>
      <w:ind w:left="2268" w:hanging="2268"/>
    </w:pPr>
    <w:rPr>
      <w:b/>
      <w:bCs/>
    </w:rPr>
  </w:style>
  <w:style w:type="character" w:customStyle="1" w:styleId="BodyTextIndentChar">
    <w:name w:val="Body Text Indent Char"/>
    <w:basedOn w:val="DefaultParagraphFont"/>
    <w:link w:val="BodyTextIndent"/>
    <w:locked/>
    <w:rsid w:val="00895159"/>
    <w:rPr>
      <w:rFonts w:eastAsia="SimSun"/>
      <w:i/>
      <w:iCs/>
      <w:sz w:val="24"/>
      <w:lang w:val="en-US" w:eastAsia="en-US" w:bidi="ar-SA"/>
    </w:rPr>
  </w:style>
  <w:style w:type="paragraph" w:customStyle="1" w:styleId="numbered">
    <w:name w:val="numbered"/>
    <w:basedOn w:val="Normal"/>
    <w:rsid w:val="00895159"/>
    <w:pPr>
      <w:tabs>
        <w:tab w:val="clear" w:pos="794"/>
        <w:tab w:val="clear" w:pos="1191"/>
        <w:tab w:val="clear" w:pos="1588"/>
        <w:tab w:val="clear" w:pos="1985"/>
      </w:tabs>
      <w:spacing w:before="90"/>
    </w:pPr>
  </w:style>
  <w:style w:type="character" w:customStyle="1" w:styleId="BodyTextIndent3Char">
    <w:name w:val="Body Text Indent 3 Char"/>
    <w:basedOn w:val="DefaultParagraphFont"/>
    <w:link w:val="BodyTextIndent3"/>
    <w:locked/>
    <w:rsid w:val="00895159"/>
    <w:rPr>
      <w:rFonts w:eastAsia="SimSun"/>
      <w:sz w:val="24"/>
      <w:szCs w:val="24"/>
      <w:lang w:val="en-US" w:eastAsia="en-US" w:bidi="ar-SA"/>
    </w:rPr>
  </w:style>
  <w:style w:type="paragraph" w:styleId="BodyTextFirstIndent">
    <w:name w:val="Body Text First Indent"/>
    <w:basedOn w:val="BodyText"/>
    <w:link w:val="BodyTextFirstIndentChar"/>
    <w:rsid w:val="00895159"/>
    <w:pPr>
      <w:tabs>
        <w:tab w:val="clear" w:pos="1276"/>
        <w:tab w:val="clear" w:pos="4678"/>
      </w:tabs>
      <w:spacing w:after="120"/>
      <w:ind w:firstLine="210"/>
      <w:jc w:val="left"/>
    </w:pPr>
    <w:rPr>
      <w:lang w:val="en-GB"/>
    </w:rPr>
  </w:style>
  <w:style w:type="paragraph" w:styleId="BodyTextFirstIndent2">
    <w:name w:val="Body Text First Indent 2"/>
    <w:basedOn w:val="BodyTextIndent"/>
    <w:link w:val="BodyTextFirstIndent2Char"/>
    <w:rsid w:val="00895159"/>
    <w:pPr>
      <w:tabs>
        <w:tab w:val="clear" w:pos="851"/>
        <w:tab w:val="left" w:pos="1191"/>
      </w:tabs>
      <w:spacing w:after="120"/>
      <w:ind w:left="360" w:firstLine="210"/>
    </w:pPr>
    <w:rPr>
      <w:i w:val="0"/>
      <w:iCs w:val="0"/>
      <w:lang w:val="en-GB"/>
    </w:rPr>
  </w:style>
  <w:style w:type="paragraph" w:styleId="Closing">
    <w:name w:val="Closing"/>
    <w:basedOn w:val="Normal"/>
    <w:link w:val="ClosingChar"/>
    <w:rsid w:val="00895159"/>
    <w:pPr>
      <w:ind w:left="4320"/>
    </w:pPr>
  </w:style>
  <w:style w:type="paragraph" w:styleId="Date">
    <w:name w:val="Date"/>
    <w:basedOn w:val="Normal"/>
    <w:next w:val="Normal"/>
    <w:link w:val="DateChar"/>
    <w:rsid w:val="00895159"/>
  </w:style>
  <w:style w:type="paragraph" w:styleId="E-mailSignature">
    <w:name w:val="E-mail Signature"/>
    <w:basedOn w:val="Normal"/>
    <w:link w:val="E-mailSignatureChar"/>
    <w:rsid w:val="00895159"/>
  </w:style>
  <w:style w:type="character" w:styleId="Emphasis">
    <w:name w:val="Emphasis"/>
    <w:basedOn w:val="DefaultParagraphFont"/>
    <w:uiPriority w:val="20"/>
    <w:qFormat/>
    <w:rsid w:val="00895159"/>
    <w:rPr>
      <w:i/>
      <w:iCs/>
    </w:rPr>
  </w:style>
  <w:style w:type="paragraph" w:styleId="EnvelopeAddress">
    <w:name w:val="envelope address"/>
    <w:basedOn w:val="Normal"/>
    <w:rsid w:val="00895159"/>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895159"/>
    <w:rPr>
      <w:rFonts w:ascii="Arial" w:hAnsi="Arial" w:cs="Arial"/>
      <w:sz w:val="20"/>
    </w:rPr>
  </w:style>
  <w:style w:type="character" w:styleId="HTMLAcronym">
    <w:name w:val="HTML Acronym"/>
    <w:basedOn w:val="DefaultParagraphFont"/>
    <w:rsid w:val="00895159"/>
  </w:style>
  <w:style w:type="paragraph" w:styleId="HTMLAddress">
    <w:name w:val="HTML Address"/>
    <w:basedOn w:val="Normal"/>
    <w:link w:val="HTMLAddressChar"/>
    <w:rsid w:val="00895159"/>
    <w:rPr>
      <w:i/>
      <w:iCs/>
    </w:rPr>
  </w:style>
  <w:style w:type="character" w:styleId="HTMLCite">
    <w:name w:val="HTML Cite"/>
    <w:basedOn w:val="DefaultParagraphFont"/>
    <w:rsid w:val="00895159"/>
    <w:rPr>
      <w:i/>
      <w:iCs/>
    </w:rPr>
  </w:style>
  <w:style w:type="character" w:styleId="HTMLCode">
    <w:name w:val="HTML Code"/>
    <w:basedOn w:val="DefaultParagraphFont"/>
    <w:rsid w:val="00895159"/>
    <w:rPr>
      <w:rFonts w:ascii="Courier New" w:hAnsi="Courier New" w:cs="Courier New"/>
      <w:sz w:val="20"/>
      <w:szCs w:val="20"/>
    </w:rPr>
  </w:style>
  <w:style w:type="character" w:styleId="HTMLDefinition">
    <w:name w:val="HTML Definition"/>
    <w:basedOn w:val="DefaultParagraphFont"/>
    <w:rsid w:val="00895159"/>
    <w:rPr>
      <w:i/>
      <w:iCs/>
    </w:rPr>
  </w:style>
  <w:style w:type="character" w:styleId="HTMLKeyboard">
    <w:name w:val="HTML Keyboard"/>
    <w:basedOn w:val="DefaultParagraphFont"/>
    <w:rsid w:val="00895159"/>
    <w:rPr>
      <w:rFonts w:ascii="Courier New" w:hAnsi="Courier New" w:cs="Courier New"/>
      <w:sz w:val="20"/>
      <w:szCs w:val="20"/>
    </w:rPr>
  </w:style>
  <w:style w:type="paragraph" w:styleId="HTMLPreformatted">
    <w:name w:val="HTML Preformatted"/>
    <w:basedOn w:val="Normal"/>
    <w:link w:val="HTMLPreformattedChar"/>
    <w:rsid w:val="00895159"/>
    <w:rPr>
      <w:rFonts w:ascii="Courier New" w:hAnsi="Courier New" w:cs="Courier New"/>
      <w:sz w:val="20"/>
    </w:rPr>
  </w:style>
  <w:style w:type="character" w:styleId="HTMLSample">
    <w:name w:val="HTML Sample"/>
    <w:basedOn w:val="DefaultParagraphFont"/>
    <w:rsid w:val="00895159"/>
    <w:rPr>
      <w:rFonts w:ascii="Courier New" w:hAnsi="Courier New" w:cs="Courier New"/>
    </w:rPr>
  </w:style>
  <w:style w:type="character" w:styleId="HTMLTypewriter">
    <w:name w:val="HTML Typewriter"/>
    <w:basedOn w:val="DefaultParagraphFont"/>
    <w:rsid w:val="00895159"/>
    <w:rPr>
      <w:rFonts w:ascii="Courier New" w:hAnsi="Courier New" w:cs="Courier New"/>
      <w:sz w:val="20"/>
      <w:szCs w:val="20"/>
    </w:rPr>
  </w:style>
  <w:style w:type="character" w:styleId="HTMLVariable">
    <w:name w:val="HTML Variable"/>
    <w:basedOn w:val="DefaultParagraphFont"/>
    <w:rsid w:val="00895159"/>
    <w:rPr>
      <w:i/>
      <w:iCs/>
    </w:rPr>
  </w:style>
  <w:style w:type="paragraph" w:styleId="List2">
    <w:name w:val="List 2"/>
    <w:basedOn w:val="Normal"/>
    <w:rsid w:val="00895159"/>
    <w:pPr>
      <w:ind w:left="720" w:hanging="360"/>
    </w:pPr>
  </w:style>
  <w:style w:type="paragraph" w:styleId="List3">
    <w:name w:val="List 3"/>
    <w:basedOn w:val="Normal"/>
    <w:rsid w:val="00895159"/>
    <w:pPr>
      <w:ind w:left="1080" w:hanging="360"/>
    </w:pPr>
  </w:style>
  <w:style w:type="paragraph" w:styleId="List4">
    <w:name w:val="List 4"/>
    <w:basedOn w:val="Normal"/>
    <w:rsid w:val="00895159"/>
    <w:pPr>
      <w:ind w:left="1440" w:hanging="360"/>
    </w:pPr>
  </w:style>
  <w:style w:type="paragraph" w:styleId="List5">
    <w:name w:val="List 5"/>
    <w:basedOn w:val="Normal"/>
    <w:rsid w:val="00895159"/>
    <w:pPr>
      <w:ind w:left="1800" w:hanging="360"/>
    </w:pPr>
  </w:style>
  <w:style w:type="paragraph" w:styleId="ListBullet2">
    <w:name w:val="List Bullet 2"/>
    <w:basedOn w:val="Normal"/>
    <w:autoRedefine/>
    <w:rsid w:val="00895159"/>
    <w:pPr>
      <w:tabs>
        <w:tab w:val="num" w:pos="720"/>
      </w:tabs>
      <w:ind w:left="720" w:hanging="360"/>
    </w:pPr>
  </w:style>
  <w:style w:type="paragraph" w:styleId="ListBullet3">
    <w:name w:val="List Bullet 3"/>
    <w:basedOn w:val="Normal"/>
    <w:autoRedefine/>
    <w:rsid w:val="00895159"/>
    <w:pPr>
      <w:tabs>
        <w:tab w:val="num" w:pos="1080"/>
      </w:tabs>
      <w:ind w:left="1080" w:hanging="360"/>
    </w:pPr>
  </w:style>
  <w:style w:type="paragraph" w:styleId="ListBullet4">
    <w:name w:val="List Bullet 4"/>
    <w:basedOn w:val="Normal"/>
    <w:autoRedefine/>
    <w:rsid w:val="00895159"/>
    <w:pPr>
      <w:tabs>
        <w:tab w:val="num" w:pos="1440"/>
      </w:tabs>
      <w:ind w:left="1440" w:hanging="360"/>
    </w:pPr>
  </w:style>
  <w:style w:type="paragraph" w:styleId="ListBullet5">
    <w:name w:val="List Bullet 5"/>
    <w:basedOn w:val="Normal"/>
    <w:autoRedefine/>
    <w:rsid w:val="00895159"/>
    <w:pPr>
      <w:tabs>
        <w:tab w:val="num" w:pos="1800"/>
      </w:tabs>
      <w:ind w:left="1800" w:hanging="360"/>
    </w:pPr>
  </w:style>
  <w:style w:type="paragraph" w:styleId="ListContinue">
    <w:name w:val="List Continue"/>
    <w:basedOn w:val="Normal"/>
    <w:rsid w:val="00895159"/>
    <w:pPr>
      <w:spacing w:after="120"/>
      <w:ind w:left="360"/>
    </w:pPr>
  </w:style>
  <w:style w:type="paragraph" w:styleId="ListContinue2">
    <w:name w:val="List Continue 2"/>
    <w:basedOn w:val="Normal"/>
    <w:rsid w:val="00895159"/>
    <w:pPr>
      <w:spacing w:after="120"/>
      <w:ind w:left="720"/>
    </w:pPr>
  </w:style>
  <w:style w:type="paragraph" w:styleId="ListContinue3">
    <w:name w:val="List Continue 3"/>
    <w:basedOn w:val="Normal"/>
    <w:rsid w:val="00895159"/>
    <w:pPr>
      <w:spacing w:after="120"/>
      <w:ind w:left="1080"/>
    </w:pPr>
  </w:style>
  <w:style w:type="paragraph" w:styleId="ListContinue4">
    <w:name w:val="List Continue 4"/>
    <w:basedOn w:val="Normal"/>
    <w:rsid w:val="00895159"/>
    <w:pPr>
      <w:spacing w:after="120"/>
      <w:ind w:left="1440"/>
    </w:pPr>
  </w:style>
  <w:style w:type="paragraph" w:styleId="ListContinue5">
    <w:name w:val="List Continue 5"/>
    <w:basedOn w:val="Normal"/>
    <w:rsid w:val="00895159"/>
    <w:pPr>
      <w:spacing w:after="120"/>
      <w:ind w:left="1800"/>
    </w:pPr>
  </w:style>
  <w:style w:type="paragraph" w:styleId="ListNumber">
    <w:name w:val="List Number"/>
    <w:basedOn w:val="Normal"/>
    <w:rsid w:val="00895159"/>
    <w:pPr>
      <w:tabs>
        <w:tab w:val="num" w:pos="360"/>
      </w:tabs>
      <w:ind w:left="360" w:hanging="360"/>
    </w:pPr>
  </w:style>
  <w:style w:type="paragraph" w:styleId="ListNumber2">
    <w:name w:val="List Number 2"/>
    <w:basedOn w:val="Normal"/>
    <w:rsid w:val="00895159"/>
    <w:pPr>
      <w:tabs>
        <w:tab w:val="num" w:pos="720"/>
      </w:tabs>
      <w:ind w:left="720" w:hanging="360"/>
    </w:pPr>
  </w:style>
  <w:style w:type="paragraph" w:styleId="ListNumber3">
    <w:name w:val="List Number 3"/>
    <w:basedOn w:val="Normal"/>
    <w:rsid w:val="00895159"/>
    <w:pPr>
      <w:tabs>
        <w:tab w:val="num" w:pos="1080"/>
      </w:tabs>
      <w:ind w:left="1080" w:hanging="360"/>
    </w:pPr>
  </w:style>
  <w:style w:type="paragraph" w:styleId="ListNumber4">
    <w:name w:val="List Number 4"/>
    <w:basedOn w:val="Normal"/>
    <w:rsid w:val="00895159"/>
    <w:pPr>
      <w:tabs>
        <w:tab w:val="num" w:pos="1440"/>
      </w:tabs>
      <w:ind w:left="1440" w:hanging="360"/>
    </w:pPr>
  </w:style>
  <w:style w:type="paragraph" w:styleId="ListNumber5">
    <w:name w:val="List Number 5"/>
    <w:basedOn w:val="Normal"/>
    <w:rsid w:val="00895159"/>
    <w:pPr>
      <w:tabs>
        <w:tab w:val="num" w:pos="1800"/>
      </w:tabs>
      <w:ind w:left="1800" w:hanging="360"/>
    </w:pPr>
  </w:style>
  <w:style w:type="paragraph" w:styleId="MessageHeader">
    <w:name w:val="Message Header"/>
    <w:basedOn w:val="Normal"/>
    <w:link w:val="MessageHeaderChar"/>
    <w:rsid w:val="0089515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teHeading">
    <w:name w:val="Note Heading"/>
    <w:basedOn w:val="Normal"/>
    <w:next w:val="Normal"/>
    <w:link w:val="NoteHeadingChar"/>
    <w:rsid w:val="00895159"/>
  </w:style>
  <w:style w:type="paragraph" w:styleId="PlainText">
    <w:name w:val="Plain Text"/>
    <w:basedOn w:val="Normal"/>
    <w:link w:val="PlainTextChar"/>
    <w:rsid w:val="00895159"/>
    <w:rPr>
      <w:rFonts w:ascii="Courier New" w:hAnsi="Courier New" w:cs="Courier New"/>
      <w:sz w:val="20"/>
    </w:rPr>
  </w:style>
  <w:style w:type="paragraph" w:styleId="Signature">
    <w:name w:val="Signature"/>
    <w:basedOn w:val="Normal"/>
    <w:link w:val="SignatureChar"/>
    <w:rsid w:val="00895159"/>
    <w:pPr>
      <w:ind w:left="4320"/>
    </w:pPr>
  </w:style>
  <w:style w:type="character" w:styleId="Strong">
    <w:name w:val="Strong"/>
    <w:basedOn w:val="DefaultParagraphFont"/>
    <w:qFormat/>
    <w:rsid w:val="00895159"/>
    <w:rPr>
      <w:b/>
      <w:bCs/>
    </w:rPr>
  </w:style>
  <w:style w:type="paragraph" w:styleId="Subtitle">
    <w:name w:val="Subtitle"/>
    <w:basedOn w:val="Normal"/>
    <w:link w:val="SubtitleChar"/>
    <w:qFormat/>
    <w:rsid w:val="00895159"/>
    <w:pPr>
      <w:spacing w:after="60"/>
      <w:jc w:val="center"/>
      <w:outlineLvl w:val="1"/>
    </w:pPr>
    <w:rPr>
      <w:rFonts w:ascii="Arial" w:hAnsi="Arial" w:cs="Arial"/>
    </w:rPr>
  </w:style>
  <w:style w:type="paragraph" w:customStyle="1" w:styleId="Normal2">
    <w:name w:val="Normal2"/>
    <w:basedOn w:val="Normal"/>
    <w:link w:val="Normal2Char"/>
    <w:rsid w:val="00895159"/>
    <w:pPr>
      <w:widowControl w:val="0"/>
      <w:tabs>
        <w:tab w:val="clear" w:pos="794"/>
        <w:tab w:val="clear" w:pos="1191"/>
        <w:tab w:val="clear" w:pos="1588"/>
        <w:tab w:val="clear" w:pos="1985"/>
        <w:tab w:val="left" w:pos="567"/>
      </w:tabs>
      <w:spacing w:before="160"/>
    </w:pPr>
    <w:rPr>
      <w:rFonts w:ascii="Gill Sans MT" w:hAnsi="Gill Sans MT"/>
      <w:lang w:val="en-US"/>
    </w:rPr>
  </w:style>
  <w:style w:type="character" w:customStyle="1" w:styleId="Normal2Char">
    <w:name w:val="Normal2 Char"/>
    <w:basedOn w:val="DefaultParagraphFont"/>
    <w:link w:val="Normal2"/>
    <w:rsid w:val="00895159"/>
    <w:rPr>
      <w:rFonts w:ascii="Gill Sans MT" w:eastAsia="SimSun" w:hAnsi="Gill Sans MT"/>
      <w:sz w:val="24"/>
      <w:lang w:val="en-US" w:eastAsia="en-US" w:bidi="ar-SA"/>
    </w:rPr>
  </w:style>
  <w:style w:type="paragraph" w:customStyle="1" w:styleId="AHRNormal">
    <w:name w:val="AHR_Normal"/>
    <w:basedOn w:val="Normal"/>
    <w:rsid w:val="00895159"/>
    <w:pPr>
      <w:keepLines/>
      <w:tabs>
        <w:tab w:val="clear" w:pos="794"/>
        <w:tab w:val="clear" w:pos="1191"/>
        <w:tab w:val="clear" w:pos="1588"/>
        <w:tab w:val="clear" w:pos="1985"/>
        <w:tab w:val="left" w:pos="720"/>
        <w:tab w:val="left" w:pos="1440"/>
        <w:tab w:val="left" w:pos="2160"/>
        <w:tab w:val="left" w:pos="2880"/>
        <w:tab w:val="left" w:pos="3600"/>
        <w:tab w:val="left" w:pos="4320"/>
      </w:tabs>
      <w:spacing w:before="240"/>
      <w:ind w:firstLine="720"/>
    </w:pPr>
  </w:style>
  <w:style w:type="character" w:customStyle="1" w:styleId="HeadingbChar">
    <w:name w:val="Heading_b Char"/>
    <w:basedOn w:val="Heading3Char"/>
    <w:link w:val="Headingb"/>
    <w:rsid w:val="00895159"/>
    <w:rPr>
      <w:rFonts w:ascii="Times New Roman Bold" w:eastAsia="SimSun" w:hAnsi="Times New Roman Bold"/>
      <w:b/>
      <w:sz w:val="22"/>
      <w:lang w:val="en-GB" w:eastAsia="en-US" w:bidi="ar-SA"/>
    </w:rPr>
  </w:style>
  <w:style w:type="paragraph" w:customStyle="1" w:styleId="normalaftertitle1">
    <w:name w:val="normalaftertitle"/>
    <w:basedOn w:val="Normal"/>
    <w:rsid w:val="00895159"/>
    <w:pPr>
      <w:tabs>
        <w:tab w:val="clear" w:pos="794"/>
        <w:tab w:val="clear" w:pos="1191"/>
        <w:tab w:val="clear" w:pos="1588"/>
        <w:tab w:val="clear" w:pos="1985"/>
      </w:tabs>
      <w:autoSpaceDE/>
      <w:autoSpaceDN/>
      <w:adjustRightInd/>
      <w:spacing w:before="240"/>
      <w:textAlignment w:val="auto"/>
    </w:pPr>
    <w:rPr>
      <w:szCs w:val="24"/>
      <w:lang w:val="en-US" w:eastAsia="zh-CN"/>
    </w:rPr>
  </w:style>
  <w:style w:type="paragraph" w:customStyle="1" w:styleId="CharCharCharCharCharChar">
    <w:name w:val="Char Char Char Char Char Char"/>
    <w:basedOn w:val="Normal"/>
    <w:rsid w:val="00895159"/>
    <w:pPr>
      <w:widowControl w:val="0"/>
      <w:tabs>
        <w:tab w:val="clear" w:pos="794"/>
        <w:tab w:val="clear" w:pos="1191"/>
        <w:tab w:val="clear" w:pos="1588"/>
        <w:tab w:val="clear" w:pos="1985"/>
      </w:tabs>
      <w:overflowPunct/>
      <w:autoSpaceDE/>
      <w:autoSpaceDN/>
      <w:adjustRightInd/>
      <w:spacing w:before="0"/>
      <w:textAlignment w:val="auto"/>
    </w:pPr>
    <w:rPr>
      <w:rFonts w:ascii="Tahoma" w:hAnsi="Tahoma"/>
      <w:kern w:val="2"/>
      <w:lang w:val="en-US" w:eastAsia="zh-CN"/>
    </w:rPr>
  </w:style>
  <w:style w:type="paragraph" w:customStyle="1" w:styleId="CarCar2Char">
    <w:name w:val="Car Car2 Char"/>
    <w:basedOn w:val="Normal"/>
    <w:rsid w:val="00895159"/>
    <w:pPr>
      <w:widowControl w:val="0"/>
      <w:tabs>
        <w:tab w:val="clear" w:pos="794"/>
        <w:tab w:val="clear" w:pos="1191"/>
        <w:tab w:val="clear" w:pos="1588"/>
        <w:tab w:val="clear" w:pos="1985"/>
      </w:tabs>
      <w:overflowPunct/>
      <w:autoSpaceDE/>
      <w:autoSpaceDN/>
      <w:spacing w:before="0" w:after="160" w:line="240" w:lineRule="exact"/>
    </w:pPr>
    <w:rPr>
      <w:rFonts w:ascii="Verdana" w:hAnsi="Verdana"/>
      <w:sz w:val="20"/>
      <w:lang w:val="en-US"/>
    </w:rPr>
  </w:style>
  <w:style w:type="paragraph" w:customStyle="1" w:styleId="Objectives">
    <w:name w:val="Objectives"/>
    <w:basedOn w:val="Normal"/>
    <w:rsid w:val="00895159"/>
    <w:pPr>
      <w:numPr>
        <w:ilvl w:val="12"/>
      </w:numPr>
      <w:tabs>
        <w:tab w:val="clear" w:pos="794"/>
        <w:tab w:val="clear" w:pos="1191"/>
        <w:tab w:val="clear" w:pos="1588"/>
        <w:tab w:val="clear" w:pos="1985"/>
      </w:tabs>
      <w:overflowPunct/>
      <w:autoSpaceDE/>
      <w:autoSpaceDN/>
      <w:adjustRightInd/>
      <w:spacing w:after="120"/>
      <w:textAlignment w:val="auto"/>
    </w:pPr>
    <w:rPr>
      <w:rFonts w:ascii="Trebuchet MS" w:hAnsi="Trebuchet MS"/>
      <w:bCs/>
      <w:color w:val="000000"/>
      <w:sz w:val="18"/>
      <w:lang w:val="en-US"/>
    </w:rPr>
  </w:style>
  <w:style w:type="paragraph" w:customStyle="1" w:styleId="TableNormal0">
    <w:name w:val="TableNormal"/>
    <w:basedOn w:val="Normal"/>
    <w:rsid w:val="00895159"/>
    <w:pPr>
      <w:tabs>
        <w:tab w:val="clear" w:pos="794"/>
        <w:tab w:val="clear" w:pos="1191"/>
        <w:tab w:val="clear" w:pos="1588"/>
        <w:tab w:val="clear" w:pos="1985"/>
      </w:tabs>
      <w:overflowPunct/>
      <w:autoSpaceDE/>
      <w:autoSpaceDN/>
      <w:adjustRightInd/>
      <w:textAlignment w:val="auto"/>
    </w:pPr>
    <w:rPr>
      <w:rFonts w:ascii="Trebuchet MS" w:hAnsi="Trebuchet MS"/>
      <w:sz w:val="18"/>
      <w:szCs w:val="24"/>
      <w:lang w:val="en-US"/>
    </w:rPr>
  </w:style>
  <w:style w:type="paragraph" w:customStyle="1" w:styleId="NormalGras">
    <w:name w:val="Normal Gras"/>
    <w:basedOn w:val="Normal"/>
    <w:rsid w:val="00895159"/>
    <w:pPr>
      <w:widowControl w:val="0"/>
      <w:tabs>
        <w:tab w:val="clear" w:pos="794"/>
        <w:tab w:val="clear" w:pos="1191"/>
        <w:tab w:val="clear" w:pos="1588"/>
        <w:tab w:val="clear" w:pos="1985"/>
        <w:tab w:val="left" w:pos="680"/>
      </w:tabs>
      <w:spacing w:before="360"/>
    </w:pPr>
    <w:rPr>
      <w:rFonts w:ascii="Gill Sans MT" w:hAnsi="Gill Sans MT"/>
      <w:b/>
      <w:bCs/>
      <w:lang w:val="en-US"/>
    </w:rPr>
  </w:style>
  <w:style w:type="paragraph" w:customStyle="1" w:styleId="EnumChar">
    <w:name w:val="Enum Char"/>
    <w:basedOn w:val="Normal"/>
    <w:link w:val="EnumCharChar"/>
    <w:rsid w:val="00895159"/>
    <w:pPr>
      <w:widowControl w:val="0"/>
      <w:tabs>
        <w:tab w:val="clear" w:pos="794"/>
        <w:tab w:val="clear" w:pos="1191"/>
        <w:tab w:val="clear" w:pos="1588"/>
        <w:tab w:val="clear" w:pos="1985"/>
        <w:tab w:val="left" w:pos="90"/>
      </w:tabs>
      <w:overflowPunct/>
      <w:spacing w:before="60"/>
      <w:ind w:left="113" w:hanging="113"/>
      <w:textAlignment w:val="auto"/>
    </w:pPr>
    <w:rPr>
      <w:rFonts w:ascii="Arial" w:hAnsi="Arial" w:cs="Arial"/>
      <w:color w:val="000000"/>
      <w:sz w:val="20"/>
    </w:rPr>
  </w:style>
  <w:style w:type="character" w:customStyle="1" w:styleId="EnumCharChar">
    <w:name w:val="Enum Char Char"/>
    <w:basedOn w:val="DefaultParagraphFont"/>
    <w:link w:val="EnumChar"/>
    <w:rsid w:val="00895159"/>
    <w:rPr>
      <w:rFonts w:ascii="Arial" w:eastAsia="SimSun" w:hAnsi="Arial" w:cs="Arial"/>
      <w:color w:val="000000"/>
      <w:lang w:val="en-GB" w:eastAsia="en-US" w:bidi="ar-SA"/>
    </w:rPr>
  </w:style>
  <w:style w:type="paragraph" w:customStyle="1" w:styleId="Header1">
    <w:name w:val="Header1"/>
    <w:basedOn w:val="Header"/>
    <w:qFormat/>
    <w:rsid w:val="00CC0CAA"/>
    <w:rPr>
      <w:rFonts w:ascii="Calibri" w:hAnsi="Calibri"/>
      <w:szCs w:val="18"/>
      <w:lang w:val="en-US"/>
    </w:rPr>
  </w:style>
  <w:style w:type="character" w:customStyle="1" w:styleId="TableheadChar">
    <w:name w:val="Table_head Char"/>
    <w:basedOn w:val="DefaultParagraphFont"/>
    <w:rsid w:val="00895159"/>
    <w:rPr>
      <w:rFonts w:ascii="Zurich BT" w:hAnsi="Zurich BT"/>
      <w:color w:val="000066"/>
      <w:sz w:val="18"/>
      <w:szCs w:val="18"/>
      <w:lang w:val="en-GB" w:eastAsia="en-US" w:bidi="ar-SA"/>
    </w:rPr>
  </w:style>
  <w:style w:type="paragraph" w:customStyle="1" w:styleId="CharCharCharCharCharChar1">
    <w:name w:val="Char Char Char Char Char Char1"/>
    <w:basedOn w:val="Normal"/>
    <w:uiPriority w:val="99"/>
    <w:rsid w:val="00895159"/>
    <w:pPr>
      <w:widowControl w:val="0"/>
      <w:tabs>
        <w:tab w:val="clear" w:pos="794"/>
        <w:tab w:val="clear" w:pos="1191"/>
        <w:tab w:val="clear" w:pos="1588"/>
        <w:tab w:val="clear" w:pos="1985"/>
      </w:tabs>
      <w:overflowPunct/>
      <w:autoSpaceDE/>
      <w:autoSpaceDN/>
      <w:adjustRightInd/>
      <w:spacing w:before="0"/>
      <w:textAlignment w:val="auto"/>
    </w:pPr>
    <w:rPr>
      <w:rFonts w:ascii="Tahoma" w:hAnsi="Tahoma" w:cs="Tahoma"/>
      <w:kern w:val="2"/>
      <w:szCs w:val="24"/>
      <w:lang w:val="en-US" w:eastAsia="zh-CN"/>
    </w:rPr>
  </w:style>
  <w:style w:type="character" w:customStyle="1" w:styleId="enumlev1Char1">
    <w:name w:val="enumlev1 Char1"/>
    <w:basedOn w:val="DefaultParagraphFont"/>
    <w:locked/>
    <w:rsid w:val="00895159"/>
    <w:rPr>
      <w:rFonts w:eastAsia="SimSun"/>
      <w:sz w:val="24"/>
      <w:szCs w:val="24"/>
      <w:lang w:val="en-GB" w:eastAsia="en-US"/>
    </w:rPr>
  </w:style>
  <w:style w:type="paragraph" w:customStyle="1" w:styleId="CEONormal">
    <w:name w:val="CEO_Normal"/>
    <w:link w:val="CEONormalChar"/>
    <w:autoRedefine/>
    <w:qFormat/>
    <w:rsid w:val="00895159"/>
    <w:pPr>
      <w:numPr>
        <w:numId w:val="1"/>
      </w:numPr>
      <w:spacing w:before="120" w:after="120"/>
      <w:ind w:left="0" w:firstLine="0"/>
    </w:pPr>
    <w:rPr>
      <w:rFonts w:ascii="Verdana" w:hAnsi="Verdana"/>
      <w:sz w:val="19"/>
      <w:szCs w:val="19"/>
      <w:lang w:val="en-GB" w:eastAsia="en-US"/>
    </w:rPr>
  </w:style>
  <w:style w:type="paragraph" w:customStyle="1" w:styleId="CEOcontribution-H123">
    <w:name w:val="CEO_contribution-H123"/>
    <w:basedOn w:val="Normal"/>
    <w:rsid w:val="00895159"/>
    <w:pPr>
      <w:tabs>
        <w:tab w:val="clear" w:pos="794"/>
        <w:tab w:val="clear" w:pos="1191"/>
        <w:tab w:val="clear" w:pos="1588"/>
        <w:tab w:val="clear" w:pos="1985"/>
        <w:tab w:val="num" w:pos="1155"/>
      </w:tabs>
      <w:overflowPunct/>
      <w:autoSpaceDE/>
      <w:autoSpaceDN/>
      <w:adjustRightInd/>
      <w:spacing w:after="120"/>
      <w:ind w:left="1155" w:hanging="795"/>
      <w:textAlignment w:val="auto"/>
    </w:pPr>
    <w:rPr>
      <w:rFonts w:ascii="Verdana" w:eastAsia="SimHei" w:hAnsi="Verdana" w:cs="Simplified Arabic"/>
      <w:b/>
      <w:sz w:val="19"/>
      <w:szCs w:val="19"/>
    </w:rPr>
  </w:style>
  <w:style w:type="paragraph" w:customStyle="1" w:styleId="CEOIndent-bulletsBlueSquare">
    <w:name w:val="CEO_Indent-bulletsBlueSquare"/>
    <w:basedOn w:val="Normal"/>
    <w:rsid w:val="00895159"/>
    <w:pPr>
      <w:tabs>
        <w:tab w:val="clear" w:pos="794"/>
        <w:tab w:val="clear" w:pos="1191"/>
        <w:tab w:val="clear" w:pos="1588"/>
        <w:tab w:val="clear" w:pos="1985"/>
        <w:tab w:val="num" w:pos="720"/>
      </w:tabs>
      <w:overflowPunct/>
      <w:autoSpaceDE/>
      <w:autoSpaceDN/>
      <w:adjustRightInd/>
      <w:spacing w:before="60" w:after="60"/>
      <w:ind w:left="720" w:hanging="360"/>
      <w:textAlignment w:val="auto"/>
    </w:pPr>
    <w:rPr>
      <w:rFonts w:ascii="Verdana" w:eastAsia="SimHei" w:hAnsi="Verdana" w:cs="Simplified Arabic"/>
      <w:bCs/>
      <w:sz w:val="19"/>
      <w:szCs w:val="19"/>
    </w:rPr>
  </w:style>
  <w:style w:type="paragraph" w:customStyle="1" w:styleId="CEOcontributionStart">
    <w:name w:val="CEO_contributionStart"/>
    <w:basedOn w:val="CEOcontribution-H123"/>
    <w:rsid w:val="00895159"/>
    <w:pPr>
      <w:tabs>
        <w:tab w:val="clear" w:pos="1155"/>
      </w:tabs>
      <w:spacing w:before="360"/>
      <w:ind w:left="0" w:firstLine="0"/>
    </w:pPr>
    <w:rPr>
      <w:b w:val="0"/>
    </w:rPr>
  </w:style>
  <w:style w:type="character" w:customStyle="1" w:styleId="Heading1Char">
    <w:name w:val="Heading 1 Char"/>
    <w:aliases w:val="h1 Char,título 1 Char,1 Char,l1 Char"/>
    <w:basedOn w:val="DefaultParagraphFont"/>
    <w:rsid w:val="00895159"/>
    <w:rPr>
      <w:rFonts w:eastAsia="SimSun"/>
      <w:i/>
      <w:iCs/>
      <w:sz w:val="18"/>
      <w:lang w:val="en-US" w:eastAsia="en-US" w:bidi="ar-SA"/>
    </w:rPr>
  </w:style>
  <w:style w:type="paragraph" w:customStyle="1" w:styleId="MOSEndnoteReference">
    <w:name w:val="MOSEndnoteReference"/>
    <w:basedOn w:val="Normal"/>
    <w:link w:val="MOSEndnoteReferenceChar"/>
    <w:rsid w:val="00895159"/>
    <w:pPr>
      <w:tabs>
        <w:tab w:val="clear" w:pos="794"/>
        <w:tab w:val="clear" w:pos="1191"/>
        <w:tab w:val="clear" w:pos="1588"/>
        <w:tab w:val="clear" w:pos="1985"/>
        <w:tab w:val="right" w:pos="9639"/>
      </w:tabs>
      <w:overflowPunct/>
      <w:autoSpaceDE/>
      <w:autoSpaceDN/>
      <w:adjustRightInd/>
      <w:spacing w:before="40" w:after="40"/>
      <w:ind w:left="426" w:hanging="426"/>
      <w:textAlignment w:val="auto"/>
    </w:pPr>
    <w:rPr>
      <w:rFonts w:ascii="Arial" w:eastAsia="Times New Roman" w:hAnsi="Arial" w:cs="Arial"/>
      <w:position w:val="6"/>
      <w:sz w:val="16"/>
      <w:szCs w:val="16"/>
    </w:rPr>
  </w:style>
  <w:style w:type="character" w:customStyle="1" w:styleId="MOSEndnoteReferenceChar">
    <w:name w:val="MOSEndnoteReference Char"/>
    <w:basedOn w:val="DefaultParagraphFont"/>
    <w:link w:val="MOSEndnoteReference"/>
    <w:rsid w:val="00895159"/>
    <w:rPr>
      <w:rFonts w:ascii="Arial" w:hAnsi="Arial" w:cs="Arial"/>
      <w:position w:val="6"/>
      <w:sz w:val="16"/>
      <w:szCs w:val="16"/>
      <w:lang w:val="en-GB" w:eastAsia="en-US" w:bidi="ar-SA"/>
    </w:rPr>
  </w:style>
  <w:style w:type="character" w:customStyle="1" w:styleId="normalChar">
    <w:name w:val="normal Char"/>
    <w:basedOn w:val="DefaultParagraphFont"/>
    <w:link w:val="Normal10"/>
    <w:rsid w:val="00030E4F"/>
    <w:rPr>
      <w:rFonts w:eastAsia="SimSun"/>
      <w:color w:val="000000"/>
      <w:kern w:val="2"/>
      <w:sz w:val="24"/>
      <w:szCs w:val="22"/>
      <w:lang w:val="en-US" w:eastAsia="zh-CN" w:bidi="ar-SA"/>
    </w:rPr>
  </w:style>
  <w:style w:type="paragraph" w:customStyle="1" w:styleId="1avsnitt">
    <w:name w:val="1.avsnitt"/>
    <w:basedOn w:val="Normal"/>
    <w:rsid w:val="000A1B0B"/>
    <w:pPr>
      <w:tabs>
        <w:tab w:val="clear" w:pos="794"/>
        <w:tab w:val="clear" w:pos="1191"/>
        <w:tab w:val="clear" w:pos="1588"/>
        <w:tab w:val="clear" w:pos="1985"/>
        <w:tab w:val="left" w:pos="397"/>
      </w:tabs>
      <w:overflowPunct/>
      <w:autoSpaceDE/>
      <w:autoSpaceDN/>
      <w:adjustRightInd/>
      <w:textAlignment w:val="auto"/>
    </w:pPr>
    <w:rPr>
      <w:rFonts w:eastAsia="MS Mincho"/>
      <w:lang w:val="en-US" w:eastAsia="nb-NO"/>
    </w:rPr>
  </w:style>
  <w:style w:type="paragraph" w:customStyle="1" w:styleId="NormalCH">
    <w:name w:val="NormalCH"/>
    <w:basedOn w:val="Normal"/>
    <w:next w:val="Normal"/>
    <w:qFormat/>
    <w:rsid w:val="00707561"/>
    <w:pPr>
      <w:ind w:firstLineChars="200" w:firstLine="200"/>
    </w:pPr>
    <w:rPr>
      <w:szCs w:val="19"/>
      <w:lang w:eastAsia="zh-CN"/>
    </w:rPr>
  </w:style>
  <w:style w:type="paragraph" w:styleId="ListParagraph">
    <w:name w:val="List Paragraph"/>
    <w:aliases w:val="List Paragraph1,Recommendation,List Paragraph11"/>
    <w:basedOn w:val="Normal"/>
    <w:link w:val="ListParagraphChar"/>
    <w:uiPriority w:val="34"/>
    <w:qFormat/>
    <w:rsid w:val="00425EA3"/>
    <w:pPr>
      <w:ind w:left="720"/>
      <w:jc w:val="left"/>
    </w:pPr>
    <w:rPr>
      <w:rFonts w:ascii="Times New Roman" w:hAnsi="Times New Roman"/>
    </w:rPr>
  </w:style>
  <w:style w:type="character" w:customStyle="1" w:styleId="BalloonTextChar">
    <w:name w:val="Balloon Text Char"/>
    <w:basedOn w:val="DefaultParagraphFont"/>
    <w:link w:val="BalloonText"/>
    <w:rsid w:val="00037245"/>
    <w:rPr>
      <w:rFonts w:ascii="Tahoma" w:hAnsi="Tahoma" w:cs="Tahoma"/>
      <w:sz w:val="16"/>
      <w:szCs w:val="16"/>
      <w:lang w:val="en-GB" w:eastAsia="en-US"/>
    </w:rPr>
  </w:style>
  <w:style w:type="character" w:customStyle="1" w:styleId="Heading2Char">
    <w:name w:val="Heading 2 Char"/>
    <w:basedOn w:val="DefaultParagraphFont"/>
    <w:link w:val="Heading2"/>
    <w:rsid w:val="00037245"/>
    <w:rPr>
      <w:rFonts w:ascii="Times New Roman Bold" w:hAnsi="Times New Roman Bold"/>
      <w:b/>
      <w:sz w:val="24"/>
      <w:lang w:val="en-GB" w:eastAsia="en-US"/>
    </w:rPr>
  </w:style>
  <w:style w:type="character" w:customStyle="1" w:styleId="Heading4Char">
    <w:name w:val="Heading 4 Char"/>
    <w:basedOn w:val="DefaultParagraphFont"/>
    <w:link w:val="Heading4"/>
    <w:rsid w:val="00037245"/>
    <w:rPr>
      <w:rFonts w:ascii="Times New Roman Bold" w:hAnsi="Times New Roman Bold"/>
      <w:b/>
      <w:sz w:val="24"/>
      <w:lang w:val="en-GB" w:eastAsia="en-US"/>
    </w:rPr>
  </w:style>
  <w:style w:type="character" w:customStyle="1" w:styleId="Heading5Char">
    <w:name w:val="Heading 5 Char"/>
    <w:basedOn w:val="DefaultParagraphFont"/>
    <w:link w:val="Heading5"/>
    <w:rsid w:val="00037245"/>
    <w:rPr>
      <w:rFonts w:ascii="Times New Roman Bold" w:hAnsi="Times New Roman Bold"/>
      <w:b/>
      <w:sz w:val="24"/>
      <w:lang w:val="en-GB" w:eastAsia="en-US"/>
    </w:rPr>
  </w:style>
  <w:style w:type="character" w:customStyle="1" w:styleId="Heading6Char">
    <w:name w:val="Heading 6 Char"/>
    <w:basedOn w:val="DefaultParagraphFont"/>
    <w:link w:val="Heading6"/>
    <w:rsid w:val="00037245"/>
    <w:rPr>
      <w:rFonts w:ascii="Times New Roman Bold" w:hAnsi="Times New Roman Bold"/>
      <w:b/>
      <w:sz w:val="24"/>
      <w:lang w:val="en-GB" w:eastAsia="en-US"/>
    </w:rPr>
  </w:style>
  <w:style w:type="character" w:customStyle="1" w:styleId="Heading7Char">
    <w:name w:val="Heading 7 Char"/>
    <w:basedOn w:val="DefaultParagraphFont"/>
    <w:link w:val="Heading7"/>
    <w:rsid w:val="00037245"/>
    <w:rPr>
      <w:rFonts w:ascii="Times New Roman Bold" w:hAnsi="Times New Roman Bold"/>
      <w:b/>
      <w:sz w:val="24"/>
      <w:lang w:val="en-GB" w:eastAsia="en-US"/>
    </w:rPr>
  </w:style>
  <w:style w:type="character" w:customStyle="1" w:styleId="Heading8Char">
    <w:name w:val="Heading 8 Char"/>
    <w:basedOn w:val="DefaultParagraphFont"/>
    <w:link w:val="Heading8"/>
    <w:rsid w:val="00037245"/>
    <w:rPr>
      <w:rFonts w:ascii="Times New Roman Bold" w:hAnsi="Times New Roman Bold"/>
      <w:b/>
      <w:sz w:val="24"/>
      <w:lang w:val="en-GB" w:eastAsia="en-US"/>
    </w:rPr>
  </w:style>
  <w:style w:type="character" w:customStyle="1" w:styleId="Heading9Char">
    <w:name w:val="Heading 9 Char"/>
    <w:basedOn w:val="DefaultParagraphFont"/>
    <w:link w:val="Heading9"/>
    <w:rsid w:val="00037245"/>
    <w:rPr>
      <w:rFonts w:ascii="Times New Roman Bold" w:hAnsi="Times New Roman Bold"/>
      <w:b/>
      <w:sz w:val="24"/>
      <w:lang w:val="en-GB" w:eastAsia="en-US"/>
    </w:rPr>
  </w:style>
  <w:style w:type="character" w:customStyle="1" w:styleId="TitleChar">
    <w:name w:val="Title Char"/>
    <w:basedOn w:val="DefaultParagraphFont"/>
    <w:link w:val="Title"/>
    <w:rsid w:val="00037245"/>
    <w:rPr>
      <w:rFonts w:asciiTheme="minorHAnsi" w:hAnsiTheme="minorHAnsi"/>
      <w:b/>
      <w:bCs/>
      <w:sz w:val="24"/>
      <w:szCs w:val="24"/>
      <w:lang w:eastAsia="en-US"/>
    </w:rPr>
  </w:style>
  <w:style w:type="character" w:customStyle="1" w:styleId="FooterChar">
    <w:name w:val="Footer Char"/>
    <w:aliases w:val="footer odd Char,fo Char,footer Char,pie de página Char,footer1 Char,footer odd1 Char,footer5 Char,footer odd4 Char,footer odd2 Char,footer2 Char,footer odd3 Char,footer11 Char,footer odd11 Char,footer51 Char,footer odd41 Char,footer21 Char"/>
    <w:basedOn w:val="DefaultParagraphFont"/>
    <w:link w:val="Footer"/>
    <w:rsid w:val="00037245"/>
    <w:rPr>
      <w:rFonts w:asciiTheme="minorHAnsi" w:hAnsiTheme="minorHAnsi"/>
      <w:caps/>
      <w:noProof/>
      <w:sz w:val="16"/>
      <w:lang w:val="en-GB" w:eastAsia="en-US"/>
    </w:rPr>
  </w:style>
  <w:style w:type="character" w:customStyle="1" w:styleId="BodyTextIndent2Char">
    <w:name w:val="Body Text Indent 2 Char"/>
    <w:basedOn w:val="DefaultParagraphFont"/>
    <w:link w:val="BodyTextIndent2"/>
    <w:rsid w:val="00037245"/>
    <w:rPr>
      <w:rFonts w:asciiTheme="minorHAnsi" w:hAnsiTheme="minorHAnsi"/>
      <w:sz w:val="24"/>
      <w:lang w:val="en-GB" w:eastAsia="en-US"/>
    </w:rPr>
  </w:style>
  <w:style w:type="character" w:customStyle="1" w:styleId="BodyText3Char">
    <w:name w:val="Body Text 3 Char"/>
    <w:basedOn w:val="DefaultParagraphFont"/>
    <w:link w:val="BodyText3"/>
    <w:rsid w:val="00037245"/>
    <w:rPr>
      <w:rFonts w:asciiTheme="minorHAnsi" w:hAnsiTheme="minorHAnsi"/>
      <w:sz w:val="16"/>
      <w:szCs w:val="16"/>
      <w:lang w:val="en-GB" w:eastAsia="en-GB"/>
    </w:rPr>
  </w:style>
  <w:style w:type="character" w:customStyle="1" w:styleId="BodyTextFirstIndentChar">
    <w:name w:val="Body Text First Indent Char"/>
    <w:basedOn w:val="BodyTextChar"/>
    <w:link w:val="BodyTextFirstIndent"/>
    <w:rsid w:val="00037245"/>
    <w:rPr>
      <w:rFonts w:asciiTheme="minorHAnsi" w:eastAsia="SimSun" w:hAnsiTheme="minorHAnsi"/>
      <w:sz w:val="24"/>
      <w:lang w:val="en-GB" w:eastAsia="en-US" w:bidi="ar-SA"/>
    </w:rPr>
  </w:style>
  <w:style w:type="character" w:customStyle="1" w:styleId="BodyTextFirstIndent2Char">
    <w:name w:val="Body Text First Indent 2 Char"/>
    <w:basedOn w:val="BodyTextIndentChar"/>
    <w:link w:val="BodyTextFirstIndent2"/>
    <w:rsid w:val="00037245"/>
    <w:rPr>
      <w:rFonts w:asciiTheme="minorHAnsi" w:eastAsia="SimSun" w:hAnsiTheme="minorHAnsi"/>
      <w:i w:val="0"/>
      <w:iCs w:val="0"/>
      <w:sz w:val="24"/>
      <w:lang w:val="en-GB" w:eastAsia="en-US" w:bidi="ar-SA"/>
    </w:rPr>
  </w:style>
  <w:style w:type="character" w:customStyle="1" w:styleId="ClosingChar">
    <w:name w:val="Closing Char"/>
    <w:basedOn w:val="DefaultParagraphFont"/>
    <w:link w:val="Closing"/>
    <w:rsid w:val="00037245"/>
    <w:rPr>
      <w:rFonts w:asciiTheme="minorHAnsi" w:hAnsiTheme="minorHAnsi"/>
      <w:sz w:val="24"/>
      <w:lang w:val="en-GB" w:eastAsia="en-US"/>
    </w:rPr>
  </w:style>
  <w:style w:type="character" w:customStyle="1" w:styleId="DateChar">
    <w:name w:val="Date Char"/>
    <w:basedOn w:val="DefaultParagraphFont"/>
    <w:link w:val="Date"/>
    <w:rsid w:val="00037245"/>
    <w:rPr>
      <w:rFonts w:asciiTheme="minorHAnsi" w:hAnsiTheme="minorHAnsi"/>
      <w:sz w:val="24"/>
      <w:lang w:val="en-GB" w:eastAsia="en-US"/>
    </w:rPr>
  </w:style>
  <w:style w:type="character" w:customStyle="1" w:styleId="E-mailSignatureChar">
    <w:name w:val="E-mail Signature Char"/>
    <w:basedOn w:val="DefaultParagraphFont"/>
    <w:link w:val="E-mailSignature"/>
    <w:rsid w:val="00037245"/>
    <w:rPr>
      <w:rFonts w:asciiTheme="minorHAnsi" w:hAnsiTheme="minorHAnsi"/>
      <w:sz w:val="24"/>
      <w:lang w:val="en-GB" w:eastAsia="en-US"/>
    </w:rPr>
  </w:style>
  <w:style w:type="character" w:customStyle="1" w:styleId="HTMLAddressChar">
    <w:name w:val="HTML Address Char"/>
    <w:basedOn w:val="DefaultParagraphFont"/>
    <w:link w:val="HTMLAddress"/>
    <w:rsid w:val="00037245"/>
    <w:rPr>
      <w:rFonts w:asciiTheme="minorHAnsi" w:hAnsiTheme="minorHAnsi"/>
      <w:i/>
      <w:iCs/>
      <w:sz w:val="24"/>
      <w:lang w:val="en-GB" w:eastAsia="en-US"/>
    </w:rPr>
  </w:style>
  <w:style w:type="character" w:customStyle="1" w:styleId="HTMLPreformattedChar">
    <w:name w:val="HTML Preformatted Char"/>
    <w:basedOn w:val="DefaultParagraphFont"/>
    <w:link w:val="HTMLPreformatted"/>
    <w:rsid w:val="00037245"/>
    <w:rPr>
      <w:rFonts w:ascii="Courier New" w:hAnsi="Courier New" w:cs="Courier New"/>
      <w:lang w:val="en-GB" w:eastAsia="en-US"/>
    </w:rPr>
  </w:style>
  <w:style w:type="character" w:customStyle="1" w:styleId="MessageHeaderChar">
    <w:name w:val="Message Header Char"/>
    <w:basedOn w:val="DefaultParagraphFont"/>
    <w:link w:val="MessageHeader"/>
    <w:rsid w:val="00037245"/>
    <w:rPr>
      <w:rFonts w:ascii="Arial" w:hAnsi="Arial" w:cs="Arial"/>
      <w:sz w:val="24"/>
      <w:shd w:val="pct20" w:color="auto" w:fill="auto"/>
      <w:lang w:val="en-GB" w:eastAsia="en-US"/>
    </w:rPr>
  </w:style>
  <w:style w:type="character" w:customStyle="1" w:styleId="NoteHeadingChar">
    <w:name w:val="Note Heading Char"/>
    <w:basedOn w:val="DefaultParagraphFont"/>
    <w:link w:val="NoteHeading"/>
    <w:rsid w:val="00037245"/>
    <w:rPr>
      <w:rFonts w:asciiTheme="minorHAnsi" w:hAnsiTheme="minorHAnsi"/>
      <w:sz w:val="24"/>
      <w:lang w:val="en-GB" w:eastAsia="en-US"/>
    </w:rPr>
  </w:style>
  <w:style w:type="character" w:customStyle="1" w:styleId="PlainTextChar">
    <w:name w:val="Plain Text Char"/>
    <w:basedOn w:val="DefaultParagraphFont"/>
    <w:link w:val="PlainText"/>
    <w:rsid w:val="00037245"/>
    <w:rPr>
      <w:rFonts w:ascii="Courier New" w:hAnsi="Courier New" w:cs="Courier New"/>
      <w:lang w:val="en-GB" w:eastAsia="en-US"/>
    </w:rPr>
  </w:style>
  <w:style w:type="character" w:customStyle="1" w:styleId="SalutationChar">
    <w:name w:val="Salutation Char"/>
    <w:basedOn w:val="DefaultParagraphFont"/>
    <w:link w:val="Salutation"/>
    <w:rsid w:val="00037245"/>
    <w:rPr>
      <w:rFonts w:asciiTheme="minorHAnsi" w:hAnsiTheme="minorHAnsi"/>
      <w:sz w:val="24"/>
      <w:lang w:val="en-GB"/>
    </w:rPr>
  </w:style>
  <w:style w:type="character" w:customStyle="1" w:styleId="SignatureChar">
    <w:name w:val="Signature Char"/>
    <w:basedOn w:val="DefaultParagraphFont"/>
    <w:link w:val="Signature"/>
    <w:rsid w:val="00037245"/>
    <w:rPr>
      <w:rFonts w:asciiTheme="minorHAnsi" w:hAnsiTheme="minorHAnsi"/>
      <w:sz w:val="24"/>
      <w:lang w:val="en-GB" w:eastAsia="en-US"/>
    </w:rPr>
  </w:style>
  <w:style w:type="character" w:customStyle="1" w:styleId="SubtitleChar">
    <w:name w:val="Subtitle Char"/>
    <w:basedOn w:val="DefaultParagraphFont"/>
    <w:link w:val="Subtitle"/>
    <w:rsid w:val="00037245"/>
    <w:rPr>
      <w:rFonts w:ascii="Arial" w:hAnsi="Arial" w:cs="Arial"/>
      <w:sz w:val="24"/>
      <w:lang w:val="en-GB" w:eastAsia="en-US"/>
    </w:rPr>
  </w:style>
  <w:style w:type="character" w:customStyle="1" w:styleId="BodyText2Char">
    <w:name w:val="Body Text 2 Char"/>
    <w:basedOn w:val="DefaultParagraphFont"/>
    <w:link w:val="BodyText2"/>
    <w:rsid w:val="00037245"/>
    <w:rPr>
      <w:rFonts w:ascii="Courier New" w:hAnsi="Courier New" w:cs="Courier New"/>
      <w:sz w:val="24"/>
      <w:szCs w:val="24"/>
      <w:lang w:eastAsia="en-US"/>
    </w:rPr>
  </w:style>
  <w:style w:type="paragraph" w:customStyle="1" w:styleId="Normalbox">
    <w:name w:val="Normal box"/>
    <w:rsid w:val="00037245"/>
    <w:pPr>
      <w:spacing w:before="100" w:after="60"/>
      <w:ind w:right="28"/>
      <w:jc w:val="both"/>
    </w:pPr>
    <w:rPr>
      <w:rFonts w:ascii="Times New Roman" w:eastAsia="Times New Roman" w:hAnsi="Times New Roman"/>
      <w:lang w:val="en-GB"/>
    </w:rPr>
  </w:style>
  <w:style w:type="paragraph" w:customStyle="1" w:styleId="Tabletext1">
    <w:name w:val="Table text"/>
    <w:rsid w:val="00037245"/>
    <w:pPr>
      <w:spacing w:before="180"/>
      <w:jc w:val="both"/>
    </w:pPr>
    <w:rPr>
      <w:rFonts w:ascii="Times New Roman" w:eastAsia="Times New Roman" w:hAnsi="Times New Roman"/>
      <w:sz w:val="18"/>
      <w:szCs w:val="18"/>
      <w:lang w:val="en-GB"/>
    </w:rPr>
  </w:style>
  <w:style w:type="paragraph" w:customStyle="1" w:styleId="StyleBoxnumberLeft">
    <w:name w:val="Style Box number + Left"/>
    <w:basedOn w:val="Normal"/>
    <w:rsid w:val="00037245"/>
    <w:pPr>
      <w:tabs>
        <w:tab w:val="clear" w:pos="794"/>
        <w:tab w:val="clear" w:pos="1191"/>
        <w:tab w:val="clear" w:pos="1588"/>
        <w:tab w:val="clear" w:pos="1985"/>
      </w:tabs>
      <w:overflowPunct/>
      <w:autoSpaceDE/>
      <w:autoSpaceDN/>
      <w:adjustRightInd/>
      <w:spacing w:before="30" w:line="220" w:lineRule="exact"/>
      <w:textAlignment w:val="auto"/>
    </w:pPr>
    <w:rPr>
      <w:rFonts w:ascii="Times New Roman" w:eastAsia="Times New Roman" w:hAnsi="Times New Roman"/>
      <w:sz w:val="18"/>
      <w:szCs w:val="18"/>
      <w:lang w:eastAsia="zh-CN"/>
    </w:rPr>
  </w:style>
  <w:style w:type="character" w:customStyle="1" w:styleId="CharChar5">
    <w:name w:val="Char Char5"/>
    <w:basedOn w:val="DefaultParagraphFont"/>
    <w:rsid w:val="00037245"/>
    <w:rPr>
      <w:rFonts w:ascii="Cambria" w:eastAsia="SimSun" w:hAnsi="Cambria" w:cs="Times New Roman"/>
      <w:b/>
      <w:bCs/>
      <w:i/>
      <w:iCs/>
      <w:sz w:val="28"/>
      <w:szCs w:val="28"/>
      <w:lang w:val="en-GB" w:eastAsia="en-US"/>
    </w:rPr>
  </w:style>
  <w:style w:type="character" w:customStyle="1" w:styleId="CharChar1">
    <w:name w:val="Char Char1"/>
    <w:basedOn w:val="DefaultParagraphFont"/>
    <w:rsid w:val="00037245"/>
    <w:rPr>
      <w:rFonts w:eastAsia="Times New Roman"/>
      <w:sz w:val="24"/>
      <w:lang w:val="en-GB" w:eastAsia="en-US"/>
    </w:rPr>
  </w:style>
  <w:style w:type="paragraph" w:styleId="CommentText">
    <w:name w:val="annotation text"/>
    <w:basedOn w:val="Normal"/>
    <w:link w:val="CommentTextChar"/>
    <w:rsid w:val="00037245"/>
    <w:pPr>
      <w:tabs>
        <w:tab w:val="clear" w:pos="794"/>
        <w:tab w:val="clear" w:pos="1191"/>
        <w:tab w:val="clear" w:pos="1588"/>
        <w:tab w:val="clear" w:pos="1985"/>
        <w:tab w:val="left" w:pos="567"/>
        <w:tab w:val="left" w:pos="1134"/>
        <w:tab w:val="left" w:pos="1701"/>
        <w:tab w:val="left" w:pos="2268"/>
        <w:tab w:val="left" w:pos="2835"/>
      </w:tabs>
    </w:pPr>
    <w:rPr>
      <w:rFonts w:ascii="Times New Roman" w:eastAsia="Times New Roman" w:hAnsi="Times New Roman"/>
      <w:sz w:val="20"/>
    </w:rPr>
  </w:style>
  <w:style w:type="character" w:customStyle="1" w:styleId="CommentTextChar">
    <w:name w:val="Comment Text Char"/>
    <w:basedOn w:val="DefaultParagraphFont"/>
    <w:link w:val="CommentText"/>
    <w:rsid w:val="00037245"/>
    <w:rPr>
      <w:rFonts w:ascii="Times New Roman" w:eastAsia="Times New Roman" w:hAnsi="Times New Roman"/>
      <w:lang w:val="en-GB" w:eastAsia="en-US"/>
    </w:rPr>
  </w:style>
  <w:style w:type="character" w:customStyle="1" w:styleId="CEONormalChar">
    <w:name w:val="CEO_Normal Char"/>
    <w:basedOn w:val="DefaultParagraphFont"/>
    <w:link w:val="CEONormal"/>
    <w:rsid w:val="00037245"/>
    <w:rPr>
      <w:rFonts w:ascii="Verdana" w:hAnsi="Verdana"/>
      <w:sz w:val="19"/>
      <w:szCs w:val="19"/>
      <w:lang w:val="en-GB" w:eastAsia="en-US"/>
    </w:rPr>
  </w:style>
  <w:style w:type="paragraph" w:customStyle="1" w:styleId="CEOcontributionH1">
    <w:name w:val="CEO_contributionH1"/>
    <w:basedOn w:val="Normal"/>
    <w:next w:val="CEONormal"/>
    <w:rsid w:val="00037245"/>
    <w:pPr>
      <w:keepNext/>
      <w:tabs>
        <w:tab w:val="clear" w:pos="794"/>
        <w:tab w:val="clear" w:pos="1191"/>
        <w:tab w:val="clear" w:pos="1588"/>
        <w:tab w:val="clear" w:pos="1985"/>
      </w:tabs>
      <w:overflowPunct/>
      <w:autoSpaceDE/>
      <w:autoSpaceDN/>
      <w:adjustRightInd/>
      <w:spacing w:before="240" w:after="120"/>
      <w:textAlignment w:val="auto"/>
    </w:pPr>
    <w:rPr>
      <w:rFonts w:ascii="Verdana" w:eastAsia="SimHei" w:hAnsi="Verdana" w:cs="Times New Roman Bold"/>
      <w:b/>
      <w:bCs/>
      <w:sz w:val="19"/>
      <w:szCs w:val="28"/>
    </w:rPr>
  </w:style>
  <w:style w:type="paragraph" w:customStyle="1" w:styleId="Default">
    <w:name w:val="Default"/>
    <w:rsid w:val="00037245"/>
    <w:pPr>
      <w:autoSpaceDE w:val="0"/>
      <w:autoSpaceDN w:val="0"/>
      <w:adjustRightInd w:val="0"/>
      <w:spacing w:before="180"/>
      <w:jc w:val="both"/>
    </w:pPr>
    <w:rPr>
      <w:rFonts w:ascii="Calibri" w:eastAsia="Batang" w:hAnsi="Calibri" w:cs="Calibri"/>
      <w:color w:val="000000"/>
      <w:sz w:val="24"/>
      <w:szCs w:val="24"/>
      <w:lang w:eastAsia="ko-KR"/>
    </w:rPr>
  </w:style>
  <w:style w:type="paragraph" w:styleId="DocumentMap">
    <w:name w:val="Document Map"/>
    <w:basedOn w:val="Normal"/>
    <w:link w:val="DocumentMapChar"/>
    <w:rsid w:val="00037245"/>
    <w:pPr>
      <w:tabs>
        <w:tab w:val="clear" w:pos="794"/>
        <w:tab w:val="clear" w:pos="1191"/>
        <w:tab w:val="clear" w:pos="1588"/>
        <w:tab w:val="clear" w:pos="1985"/>
        <w:tab w:val="left" w:pos="567"/>
        <w:tab w:val="left" w:pos="1134"/>
        <w:tab w:val="left" w:pos="1701"/>
        <w:tab w:val="left" w:pos="2268"/>
        <w:tab w:val="left" w:pos="2835"/>
      </w:tabs>
    </w:pPr>
    <w:rPr>
      <w:rFonts w:ascii="Tahoma" w:eastAsia="Times New Roman" w:hAnsi="Tahoma" w:cs="Tahoma"/>
      <w:sz w:val="16"/>
      <w:szCs w:val="16"/>
    </w:rPr>
  </w:style>
  <w:style w:type="character" w:customStyle="1" w:styleId="DocumentMapChar">
    <w:name w:val="Document Map Char"/>
    <w:basedOn w:val="DefaultParagraphFont"/>
    <w:link w:val="DocumentMap"/>
    <w:rsid w:val="00037245"/>
    <w:rPr>
      <w:rFonts w:ascii="Tahoma" w:eastAsia="Times New Roman" w:hAnsi="Tahoma" w:cs="Tahoma"/>
      <w:sz w:val="16"/>
      <w:szCs w:val="16"/>
      <w:lang w:val="en-GB" w:eastAsia="en-US"/>
    </w:rPr>
  </w:style>
  <w:style w:type="character" w:styleId="CommentReference">
    <w:name w:val="annotation reference"/>
    <w:basedOn w:val="DefaultParagraphFont"/>
    <w:rsid w:val="00037245"/>
    <w:rPr>
      <w:sz w:val="16"/>
      <w:szCs w:val="16"/>
    </w:rPr>
  </w:style>
  <w:style w:type="paragraph" w:styleId="CommentSubject">
    <w:name w:val="annotation subject"/>
    <w:basedOn w:val="CommentText"/>
    <w:next w:val="CommentText"/>
    <w:link w:val="CommentSubjectChar"/>
    <w:rsid w:val="00037245"/>
    <w:rPr>
      <w:b/>
      <w:bCs/>
    </w:rPr>
  </w:style>
  <w:style w:type="character" w:customStyle="1" w:styleId="CommentSubjectChar">
    <w:name w:val="Comment Subject Char"/>
    <w:basedOn w:val="CommentTextChar"/>
    <w:link w:val="CommentSubject"/>
    <w:rsid w:val="00037245"/>
    <w:rPr>
      <w:rFonts w:ascii="Times New Roman" w:eastAsia="Times New Roman" w:hAnsi="Times New Roman"/>
      <w:b/>
      <w:bCs/>
      <w:lang w:val="en-GB" w:eastAsia="en-US"/>
    </w:rPr>
  </w:style>
  <w:style w:type="paragraph" w:customStyle="1" w:styleId="CEOIndent-bulletsblackdot">
    <w:name w:val="CEO_Indent-bulletsblackdot"/>
    <w:basedOn w:val="Normal"/>
    <w:rsid w:val="00037245"/>
    <w:pPr>
      <w:numPr>
        <w:numId w:val="2"/>
      </w:numPr>
      <w:tabs>
        <w:tab w:val="clear" w:pos="794"/>
        <w:tab w:val="clear" w:pos="1191"/>
        <w:tab w:val="clear" w:pos="1588"/>
        <w:tab w:val="clear" w:pos="1985"/>
      </w:tabs>
      <w:overflowPunct/>
      <w:autoSpaceDE/>
      <w:autoSpaceDN/>
      <w:adjustRightInd/>
      <w:spacing w:before="60" w:after="60"/>
      <w:textAlignment w:val="auto"/>
    </w:pPr>
    <w:rPr>
      <w:rFonts w:ascii="Verdana" w:eastAsia="SimHei" w:hAnsi="Verdana" w:cs="Simplified Arabic"/>
      <w:bCs/>
      <w:sz w:val="19"/>
      <w:szCs w:val="19"/>
    </w:rPr>
  </w:style>
  <w:style w:type="paragraph" w:customStyle="1" w:styleId="CEOHeader1">
    <w:name w:val="CEO_Header1"/>
    <w:basedOn w:val="Normal"/>
    <w:rsid w:val="00037245"/>
    <w:pPr>
      <w:numPr>
        <w:numId w:val="3"/>
      </w:numPr>
      <w:tabs>
        <w:tab w:val="clear" w:pos="794"/>
        <w:tab w:val="clear" w:pos="1191"/>
        <w:tab w:val="clear" w:pos="1588"/>
        <w:tab w:val="clear" w:pos="1985"/>
      </w:tabs>
      <w:overflowPunct/>
      <w:autoSpaceDE/>
      <w:autoSpaceDN/>
      <w:adjustRightInd/>
      <w:spacing w:before="0"/>
      <w:textAlignment w:val="auto"/>
    </w:pPr>
    <w:rPr>
      <w:rFonts w:ascii="Verdana" w:eastAsia="SimHei" w:hAnsi="Verdana" w:cs="Simplified Arabic"/>
      <w:bCs/>
      <w:sz w:val="19"/>
      <w:szCs w:val="19"/>
      <w:lang w:val="en-US"/>
    </w:rPr>
  </w:style>
  <w:style w:type="paragraph" w:styleId="TOAHeading">
    <w:name w:val="toa heading"/>
    <w:basedOn w:val="Normal"/>
    <w:next w:val="Normal"/>
    <w:rsid w:val="00037245"/>
    <w:pPr>
      <w:tabs>
        <w:tab w:val="clear" w:pos="794"/>
        <w:tab w:val="clear" w:pos="1191"/>
        <w:tab w:val="clear" w:pos="1588"/>
        <w:tab w:val="clear" w:pos="1985"/>
      </w:tabs>
      <w:overflowPunct/>
      <w:autoSpaceDE/>
      <w:autoSpaceDN/>
      <w:adjustRightInd/>
      <w:spacing w:line="360" w:lineRule="auto"/>
      <w:textAlignment w:val="auto"/>
    </w:pPr>
    <w:rPr>
      <w:rFonts w:ascii="Arial" w:eastAsia="Times New Roman" w:hAnsi="Arial"/>
      <w:lang w:val="de-DE"/>
    </w:rPr>
  </w:style>
  <w:style w:type="character" w:customStyle="1" w:styleId="EndnoteTextChar">
    <w:name w:val="Endnote Text Char"/>
    <w:basedOn w:val="DefaultParagraphFont"/>
    <w:link w:val="EndnoteText"/>
    <w:uiPriority w:val="99"/>
    <w:rsid w:val="00364022"/>
    <w:rPr>
      <w:rFonts w:asciiTheme="minorHAnsi" w:hAnsiTheme="minorHAnsi"/>
      <w:sz w:val="24"/>
      <w:lang w:val="en-GB" w:eastAsia="en-US"/>
    </w:rPr>
  </w:style>
  <w:style w:type="paragraph" w:styleId="NoSpacing">
    <w:name w:val="No Spacing"/>
    <w:link w:val="NoSpacingChar"/>
    <w:uiPriority w:val="1"/>
    <w:qFormat/>
    <w:rsid w:val="00037245"/>
    <w:rPr>
      <w:rFonts w:ascii="Calibri" w:hAnsi="Calibri" w:cs="Arial"/>
      <w:sz w:val="22"/>
      <w:szCs w:val="22"/>
    </w:rPr>
  </w:style>
  <w:style w:type="paragraph" w:customStyle="1" w:styleId="Enumlev10">
    <w:name w:val="Enumlev1"/>
    <w:basedOn w:val="Normal"/>
    <w:link w:val="Enumlev1Char0"/>
    <w:uiPriority w:val="99"/>
    <w:qFormat/>
    <w:rsid w:val="00037245"/>
    <w:pPr>
      <w:tabs>
        <w:tab w:val="clear" w:pos="794"/>
        <w:tab w:val="clear" w:pos="1191"/>
        <w:tab w:val="clear" w:pos="1588"/>
        <w:tab w:val="clear" w:pos="1985"/>
      </w:tabs>
      <w:overflowPunct/>
      <w:autoSpaceDE/>
      <w:autoSpaceDN/>
      <w:adjustRightInd/>
      <w:spacing w:before="0" w:after="120"/>
      <w:ind w:left="1134" w:hanging="567"/>
      <w:textAlignment w:val="auto"/>
    </w:pPr>
    <w:rPr>
      <w:rFonts w:ascii="Calibri" w:hAnsi="Calibri" w:cs="Arial"/>
      <w:szCs w:val="22"/>
      <w:lang w:val="en-US" w:eastAsia="zh-CN"/>
    </w:rPr>
  </w:style>
  <w:style w:type="character" w:customStyle="1" w:styleId="Enumlev1Char0">
    <w:name w:val="Enumlev1 Char"/>
    <w:basedOn w:val="DefaultParagraphFont"/>
    <w:link w:val="Enumlev10"/>
    <w:uiPriority w:val="99"/>
    <w:rsid w:val="00037245"/>
    <w:rPr>
      <w:rFonts w:ascii="Calibri" w:hAnsi="Calibri" w:cs="Arial"/>
      <w:sz w:val="22"/>
      <w:szCs w:val="22"/>
    </w:rPr>
  </w:style>
  <w:style w:type="paragraph" w:customStyle="1" w:styleId="Heading1c">
    <w:name w:val="Heading 1c"/>
    <w:basedOn w:val="Heading1"/>
    <w:next w:val="Normal"/>
    <w:rsid w:val="00037245"/>
    <w:pPr>
      <w:tabs>
        <w:tab w:val="clear" w:pos="1021"/>
        <w:tab w:val="clear" w:pos="1191"/>
        <w:tab w:val="clear" w:pos="1588"/>
        <w:tab w:val="clear" w:pos="1985"/>
        <w:tab w:val="left" w:pos="567"/>
        <w:tab w:val="left" w:pos="1134"/>
        <w:tab w:val="left" w:pos="1701"/>
        <w:tab w:val="left" w:pos="2268"/>
        <w:tab w:val="left" w:pos="2835"/>
      </w:tabs>
      <w:ind w:left="0" w:firstLine="0"/>
      <w:jc w:val="center"/>
      <w:outlineLvl w:val="9"/>
    </w:pPr>
    <w:rPr>
      <w:rFonts w:ascii="Times New Roman" w:eastAsiaTheme="minorEastAsia" w:hAnsi="Times New Roman"/>
    </w:rPr>
  </w:style>
  <w:style w:type="table" w:customStyle="1" w:styleId="TableGrid1">
    <w:name w:val="Table Grid1"/>
    <w:basedOn w:val="TableNormal"/>
    <w:next w:val="TableGrid"/>
    <w:uiPriority w:val="59"/>
    <w:rsid w:val="00037245"/>
    <w:pPr>
      <w:ind w:left="902"/>
      <w:jc w:val="both"/>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1">
    <w:name w:val="ref_1"/>
    <w:basedOn w:val="Normal"/>
    <w:qFormat/>
    <w:rsid w:val="001658C9"/>
    <w:pPr>
      <w:jc w:val="left"/>
    </w:pPr>
    <w:rPr>
      <w:sz w:val="20"/>
      <w:lang w:eastAsia="zh-CN"/>
    </w:rPr>
  </w:style>
  <w:style w:type="character" w:customStyle="1" w:styleId="ResNoChar">
    <w:name w:val="Res_No Char"/>
    <w:basedOn w:val="DefaultParagraphFont"/>
    <w:link w:val="ResNo"/>
    <w:locked/>
    <w:rsid w:val="00654282"/>
    <w:rPr>
      <w:rFonts w:asciiTheme="minorHAnsi" w:hAnsiTheme="minorHAnsi"/>
      <w:sz w:val="28"/>
      <w:lang w:val="en-GB" w:eastAsia="en-US"/>
    </w:rPr>
  </w:style>
  <w:style w:type="character" w:customStyle="1" w:styleId="enumlev2Char">
    <w:name w:val="enumlev2 Char"/>
    <w:basedOn w:val="enumlev1Char"/>
    <w:link w:val="enumlev2"/>
    <w:locked/>
    <w:rsid w:val="00B84D62"/>
    <w:rPr>
      <w:rFonts w:asciiTheme="minorHAnsi" w:eastAsia="SimSun" w:hAnsiTheme="minorHAnsi"/>
      <w:sz w:val="22"/>
      <w:lang w:val="en-GB" w:eastAsia="en-US" w:bidi="ar-SA"/>
    </w:rPr>
  </w:style>
  <w:style w:type="character" w:customStyle="1" w:styleId="NormalWebChar">
    <w:name w:val="Normal (Web) Char"/>
    <w:link w:val="NormalWeb"/>
    <w:uiPriority w:val="99"/>
    <w:locked/>
    <w:rsid w:val="00867562"/>
    <w:rPr>
      <w:rFonts w:asciiTheme="minorHAnsi" w:hAnsiTheme="minorHAnsi"/>
      <w:sz w:val="24"/>
      <w:szCs w:val="24"/>
      <w:lang w:val="en-GB" w:eastAsia="en-US"/>
    </w:rPr>
  </w:style>
  <w:style w:type="paragraph" w:customStyle="1" w:styleId="Endtext">
    <w:name w:val="End_text"/>
    <w:basedOn w:val="RefText0"/>
    <w:rsid w:val="00CB2E12"/>
    <w:pPr>
      <w:tabs>
        <w:tab w:val="clear" w:pos="794"/>
        <w:tab w:val="clear" w:pos="1191"/>
        <w:tab w:val="clear" w:pos="1588"/>
        <w:tab w:val="clear" w:pos="1985"/>
        <w:tab w:val="left" w:pos="567"/>
        <w:tab w:val="left" w:pos="1134"/>
        <w:tab w:val="left" w:pos="1701"/>
        <w:tab w:val="left" w:pos="2268"/>
        <w:tab w:val="left" w:pos="2835"/>
      </w:tabs>
      <w:spacing w:before="136"/>
      <w:jc w:val="left"/>
    </w:pPr>
    <w:rPr>
      <w:rFonts w:ascii="Calibri" w:eastAsia="STKaiti" w:hAnsi="Calibri"/>
      <w:iCs/>
      <w:lang w:val="fr-CH"/>
    </w:rPr>
  </w:style>
  <w:style w:type="table" w:customStyle="1" w:styleId="1">
    <w:name w:val="表 (格子)1"/>
    <w:basedOn w:val="TableNormal"/>
    <w:next w:val="TableGrid"/>
    <w:uiPriority w:val="59"/>
    <w:rsid w:val="00992375"/>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footer0">
    <w:name w:val="firstfooter"/>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hAnsi="Calibri"/>
      <w:szCs w:val="24"/>
      <w:lang w:val="en-US" w:eastAsia="zh-CN"/>
    </w:rPr>
  </w:style>
  <w:style w:type="paragraph" w:customStyle="1" w:styleId="Data1">
    <w:name w:val="Data1"/>
    <w:basedOn w:val="Subject"/>
    <w:next w:val="Subject"/>
    <w:rsid w:val="00992375"/>
    <w:pPr>
      <w:jc w:val="left"/>
    </w:pPr>
    <w:rPr>
      <w:rFonts w:ascii="Times New Roman" w:eastAsia="Times New Roman" w:hAnsi="Times New Roman"/>
    </w:rPr>
  </w:style>
  <w:style w:type="character" w:customStyle="1" w:styleId="apple-converted-space">
    <w:name w:val="apple-converted-space"/>
    <w:basedOn w:val="DefaultParagraphFont"/>
    <w:rsid w:val="00992375"/>
  </w:style>
  <w:style w:type="character" w:customStyle="1" w:styleId="hps">
    <w:name w:val="hps"/>
    <w:basedOn w:val="DefaultParagraphFont"/>
    <w:rsid w:val="00992375"/>
  </w:style>
  <w:style w:type="paragraph" w:styleId="Revision">
    <w:name w:val="Revision"/>
    <w:hidden/>
    <w:uiPriority w:val="99"/>
    <w:semiHidden/>
    <w:rsid w:val="00992375"/>
    <w:rPr>
      <w:rFonts w:ascii="Times New Roman" w:eastAsia="Times New Roman" w:hAnsi="Times New Roman"/>
      <w:sz w:val="24"/>
      <w:lang w:val="en-GB" w:eastAsia="en-US"/>
    </w:rPr>
  </w:style>
  <w:style w:type="paragraph" w:customStyle="1" w:styleId="xl103">
    <w:name w:val="xl103"/>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szCs w:val="24"/>
      <w:lang w:val="fr-CH" w:eastAsia="zh-CN"/>
    </w:rPr>
  </w:style>
  <w:style w:type="paragraph" w:customStyle="1" w:styleId="xl104">
    <w:name w:val="xl104"/>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b/>
      <w:bCs/>
      <w:sz w:val="28"/>
      <w:szCs w:val="28"/>
      <w:lang w:val="fr-CH" w:eastAsia="zh-CN"/>
    </w:rPr>
  </w:style>
  <w:style w:type="paragraph" w:customStyle="1" w:styleId="xl105">
    <w:name w:val="xl105"/>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sz w:val="28"/>
      <w:szCs w:val="28"/>
      <w:lang w:val="fr-CH" w:eastAsia="zh-CN"/>
    </w:rPr>
  </w:style>
  <w:style w:type="paragraph" w:customStyle="1" w:styleId="xl106">
    <w:name w:val="xl106"/>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b/>
      <w:bCs/>
      <w:sz w:val="16"/>
      <w:szCs w:val="16"/>
      <w:lang w:val="fr-CH" w:eastAsia="zh-CN"/>
    </w:rPr>
  </w:style>
  <w:style w:type="paragraph" w:customStyle="1" w:styleId="xl107">
    <w:name w:val="xl107"/>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b/>
      <w:bCs/>
      <w:sz w:val="16"/>
      <w:szCs w:val="16"/>
      <w:lang w:val="fr-CH" w:eastAsia="zh-CN"/>
    </w:rPr>
  </w:style>
  <w:style w:type="paragraph" w:customStyle="1" w:styleId="xl108">
    <w:name w:val="xl108"/>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sz w:val="14"/>
      <w:szCs w:val="14"/>
      <w:lang w:val="fr-CH" w:eastAsia="zh-CN"/>
    </w:rPr>
  </w:style>
  <w:style w:type="paragraph" w:customStyle="1" w:styleId="xl109">
    <w:name w:val="xl109"/>
    <w:basedOn w:val="Normal"/>
    <w:rsid w:val="00992375"/>
    <w:pPr>
      <w:pBdr>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b/>
      <w:bCs/>
      <w:color w:val="800000"/>
      <w:sz w:val="14"/>
      <w:szCs w:val="14"/>
      <w:lang w:val="fr-CH" w:eastAsia="zh-CN"/>
    </w:rPr>
  </w:style>
  <w:style w:type="paragraph" w:customStyle="1" w:styleId="xl110">
    <w:name w:val="xl110"/>
    <w:basedOn w:val="Normal"/>
    <w:rsid w:val="00992375"/>
    <w:pPr>
      <w:pBdr>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b/>
      <w:bCs/>
      <w:color w:val="000099"/>
      <w:sz w:val="14"/>
      <w:szCs w:val="14"/>
      <w:lang w:val="fr-CH" w:eastAsia="zh-CN"/>
    </w:rPr>
  </w:style>
  <w:style w:type="paragraph" w:customStyle="1" w:styleId="xl111">
    <w:name w:val="xl111"/>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b/>
      <w:bCs/>
      <w:sz w:val="14"/>
      <w:szCs w:val="14"/>
      <w:lang w:val="fr-CH" w:eastAsia="zh-CN"/>
    </w:rPr>
  </w:style>
  <w:style w:type="paragraph" w:customStyle="1" w:styleId="xl112">
    <w:name w:val="xl112"/>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b/>
      <w:bCs/>
      <w:color w:val="800000"/>
      <w:sz w:val="14"/>
      <w:szCs w:val="14"/>
      <w:lang w:val="fr-CH" w:eastAsia="zh-CN"/>
    </w:rPr>
  </w:style>
  <w:style w:type="paragraph" w:customStyle="1" w:styleId="xl113">
    <w:name w:val="xl113"/>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b/>
      <w:bCs/>
      <w:color w:val="000099"/>
      <w:sz w:val="14"/>
      <w:szCs w:val="14"/>
      <w:lang w:val="fr-CH" w:eastAsia="zh-CN"/>
    </w:rPr>
  </w:style>
  <w:style w:type="paragraph" w:customStyle="1" w:styleId="xl114">
    <w:name w:val="xl114"/>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sz w:val="14"/>
      <w:szCs w:val="14"/>
      <w:lang w:val="fr-CH" w:eastAsia="zh-CN"/>
    </w:rPr>
  </w:style>
  <w:style w:type="paragraph" w:customStyle="1" w:styleId="xl115">
    <w:name w:val="xl115"/>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color w:val="000000"/>
      <w:sz w:val="14"/>
      <w:szCs w:val="14"/>
      <w:lang w:val="fr-CH" w:eastAsia="zh-CN"/>
    </w:rPr>
  </w:style>
  <w:style w:type="paragraph" w:customStyle="1" w:styleId="xl116">
    <w:name w:val="xl116"/>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sz w:val="14"/>
      <w:szCs w:val="14"/>
      <w:lang w:val="fr-CH" w:eastAsia="zh-CN"/>
    </w:rPr>
  </w:style>
  <w:style w:type="paragraph" w:customStyle="1" w:styleId="xl117">
    <w:name w:val="xl117"/>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sz w:val="14"/>
      <w:szCs w:val="14"/>
      <w:lang w:val="fr-CH" w:eastAsia="zh-CN"/>
    </w:rPr>
  </w:style>
  <w:style w:type="paragraph" w:customStyle="1" w:styleId="xl118">
    <w:name w:val="xl118"/>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sz w:val="14"/>
      <w:szCs w:val="14"/>
      <w:lang w:val="fr-CH" w:eastAsia="zh-CN"/>
    </w:rPr>
  </w:style>
  <w:style w:type="paragraph" w:customStyle="1" w:styleId="xl119">
    <w:name w:val="xl119"/>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color w:val="000099"/>
      <w:sz w:val="14"/>
      <w:szCs w:val="14"/>
      <w:lang w:val="fr-CH" w:eastAsia="zh-CN"/>
    </w:rPr>
  </w:style>
  <w:style w:type="paragraph" w:customStyle="1" w:styleId="xl120">
    <w:name w:val="xl120"/>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szCs w:val="24"/>
      <w:lang w:val="fr-CH" w:eastAsia="zh-CN"/>
    </w:rPr>
  </w:style>
  <w:style w:type="paragraph" w:customStyle="1" w:styleId="xl121">
    <w:name w:val="xl121"/>
    <w:basedOn w:val="Normal"/>
    <w:rsid w:val="00992375"/>
    <w:pPr>
      <w:pBdr>
        <w:top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color w:val="800000"/>
      <w:sz w:val="14"/>
      <w:szCs w:val="14"/>
      <w:lang w:val="fr-CH" w:eastAsia="zh-CN"/>
    </w:rPr>
  </w:style>
  <w:style w:type="paragraph" w:customStyle="1" w:styleId="xl122">
    <w:name w:val="xl122"/>
    <w:basedOn w:val="Normal"/>
    <w:rsid w:val="00992375"/>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color w:val="000099"/>
      <w:sz w:val="14"/>
      <w:szCs w:val="14"/>
      <w:lang w:val="fr-CH" w:eastAsia="zh-CN"/>
    </w:rPr>
  </w:style>
  <w:style w:type="paragraph" w:customStyle="1" w:styleId="xl123">
    <w:name w:val="xl123"/>
    <w:basedOn w:val="Normal"/>
    <w:rsid w:val="00992375"/>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b/>
      <w:bCs/>
      <w:color w:val="000099"/>
      <w:sz w:val="14"/>
      <w:szCs w:val="14"/>
      <w:lang w:val="fr-CH" w:eastAsia="zh-CN"/>
    </w:rPr>
  </w:style>
  <w:style w:type="paragraph" w:customStyle="1" w:styleId="xl124">
    <w:name w:val="xl124"/>
    <w:basedOn w:val="Normal"/>
    <w:rsid w:val="00992375"/>
    <w:pPr>
      <w:pBdr>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b/>
      <w:bCs/>
      <w:color w:val="000099"/>
      <w:sz w:val="14"/>
      <w:szCs w:val="14"/>
      <w:lang w:val="fr-CH" w:eastAsia="zh-CN"/>
    </w:rPr>
  </w:style>
  <w:style w:type="paragraph" w:customStyle="1" w:styleId="xl125">
    <w:name w:val="xl125"/>
    <w:basedOn w:val="Normal"/>
    <w:rsid w:val="00992375"/>
    <w:pPr>
      <w:pBdr>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b/>
      <w:bCs/>
      <w:color w:val="000099"/>
      <w:sz w:val="14"/>
      <w:szCs w:val="14"/>
      <w:lang w:val="fr-CH" w:eastAsia="zh-CN"/>
    </w:rPr>
  </w:style>
  <w:style w:type="paragraph" w:customStyle="1" w:styleId="xl126">
    <w:name w:val="xl126"/>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b/>
      <w:bCs/>
      <w:color w:val="000099"/>
      <w:sz w:val="14"/>
      <w:szCs w:val="14"/>
      <w:lang w:val="fr-CH" w:eastAsia="zh-CN"/>
    </w:rPr>
  </w:style>
  <w:style w:type="paragraph" w:customStyle="1" w:styleId="xl127">
    <w:name w:val="xl127"/>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b/>
      <w:bCs/>
      <w:color w:val="000099"/>
      <w:sz w:val="14"/>
      <w:szCs w:val="14"/>
      <w:lang w:val="fr-CH" w:eastAsia="zh-CN"/>
    </w:rPr>
  </w:style>
  <w:style w:type="paragraph" w:customStyle="1" w:styleId="xl128">
    <w:name w:val="xl128"/>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b/>
      <w:bCs/>
      <w:color w:val="000000"/>
      <w:sz w:val="14"/>
      <w:szCs w:val="14"/>
      <w:lang w:val="fr-CH" w:eastAsia="zh-CN"/>
    </w:rPr>
  </w:style>
  <w:style w:type="paragraph" w:customStyle="1" w:styleId="xl129">
    <w:name w:val="xl129"/>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sz w:val="14"/>
      <w:szCs w:val="14"/>
      <w:lang w:val="fr-CH" w:eastAsia="zh-CN"/>
    </w:rPr>
  </w:style>
  <w:style w:type="paragraph" w:customStyle="1" w:styleId="xl130">
    <w:name w:val="xl130"/>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b/>
      <w:bCs/>
      <w:sz w:val="14"/>
      <w:szCs w:val="14"/>
      <w:lang w:val="fr-CH" w:eastAsia="zh-CN"/>
    </w:rPr>
  </w:style>
  <w:style w:type="paragraph" w:customStyle="1" w:styleId="xl131">
    <w:name w:val="xl131"/>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b/>
      <w:bCs/>
      <w:color w:val="000099"/>
      <w:sz w:val="14"/>
      <w:szCs w:val="14"/>
      <w:lang w:val="fr-CH" w:eastAsia="zh-CN"/>
    </w:rPr>
  </w:style>
  <w:style w:type="paragraph" w:customStyle="1" w:styleId="xl132">
    <w:name w:val="xl132"/>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color w:val="000099"/>
      <w:sz w:val="14"/>
      <w:szCs w:val="14"/>
      <w:lang w:val="fr-CH" w:eastAsia="zh-CN"/>
    </w:rPr>
  </w:style>
  <w:style w:type="paragraph" w:customStyle="1" w:styleId="xl133">
    <w:name w:val="xl133"/>
    <w:basedOn w:val="Normal"/>
    <w:rsid w:val="00992375"/>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sz w:val="14"/>
      <w:szCs w:val="14"/>
      <w:lang w:val="fr-CH" w:eastAsia="zh-CN"/>
    </w:rPr>
  </w:style>
  <w:style w:type="paragraph" w:customStyle="1" w:styleId="xl134">
    <w:name w:val="xl134"/>
    <w:basedOn w:val="Normal"/>
    <w:rsid w:val="00992375"/>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sz w:val="14"/>
      <w:szCs w:val="14"/>
      <w:lang w:val="fr-CH" w:eastAsia="zh-CN"/>
    </w:rPr>
  </w:style>
  <w:style w:type="paragraph" w:customStyle="1" w:styleId="xl135">
    <w:name w:val="xl135"/>
    <w:basedOn w:val="Normal"/>
    <w:rsid w:val="00992375"/>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b/>
      <w:bCs/>
      <w:sz w:val="14"/>
      <w:szCs w:val="14"/>
      <w:lang w:val="fr-CH" w:eastAsia="zh-CN"/>
    </w:rPr>
  </w:style>
  <w:style w:type="paragraph" w:customStyle="1" w:styleId="xl136">
    <w:name w:val="xl136"/>
    <w:basedOn w:val="Normal"/>
    <w:rsid w:val="00992375"/>
    <w:pPr>
      <w:pBdr>
        <w:top w:val="single" w:sz="4" w:space="0" w:color="000099"/>
        <w:bottom w:val="single" w:sz="4" w:space="0" w:color="000099"/>
      </w:pBdr>
      <w:shd w:val="clear" w:color="auto" w:fill="DCE6F1"/>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b/>
      <w:bCs/>
      <w:color w:val="000099"/>
      <w:sz w:val="14"/>
      <w:szCs w:val="14"/>
      <w:lang w:val="fr-CH" w:eastAsia="zh-CN"/>
    </w:rPr>
  </w:style>
  <w:style w:type="paragraph" w:customStyle="1" w:styleId="xl137">
    <w:name w:val="xl137"/>
    <w:basedOn w:val="Normal"/>
    <w:rsid w:val="00992375"/>
    <w:pPr>
      <w:pBdr>
        <w:top w:val="single" w:sz="4" w:space="0" w:color="000099"/>
        <w:bottom w:val="single" w:sz="4" w:space="0" w:color="000099"/>
      </w:pBdr>
      <w:shd w:val="clear" w:color="auto" w:fill="DCE6F1"/>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b/>
      <w:bCs/>
      <w:color w:val="000099"/>
      <w:sz w:val="14"/>
      <w:szCs w:val="14"/>
      <w:lang w:val="fr-CH" w:eastAsia="zh-CN"/>
    </w:rPr>
  </w:style>
  <w:style w:type="paragraph" w:customStyle="1" w:styleId="xl138">
    <w:name w:val="xl138"/>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b/>
      <w:bCs/>
      <w:color w:val="000099"/>
      <w:sz w:val="28"/>
      <w:szCs w:val="28"/>
      <w:lang w:val="fr-CH" w:eastAsia="zh-CN"/>
    </w:rPr>
  </w:style>
  <w:style w:type="paragraph" w:customStyle="1" w:styleId="xl139">
    <w:name w:val="xl139"/>
    <w:basedOn w:val="Normal"/>
    <w:rsid w:val="00992375"/>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b/>
      <w:bCs/>
      <w:color w:val="000099"/>
      <w:sz w:val="14"/>
      <w:szCs w:val="14"/>
      <w:lang w:val="fr-CH" w:eastAsia="zh-CN"/>
    </w:rPr>
  </w:style>
  <w:style w:type="paragraph" w:customStyle="1" w:styleId="xl140">
    <w:name w:val="xl140"/>
    <w:basedOn w:val="Normal"/>
    <w:rsid w:val="00992375"/>
    <w:pPr>
      <w:pBdr>
        <w:top w:val="single" w:sz="4" w:space="0" w:color="0070C0"/>
        <w:left w:val="single" w:sz="4" w:space="0" w:color="0070C0"/>
        <w:bottom w:val="single" w:sz="4" w:space="0" w:color="0070C0"/>
      </w:pBdr>
      <w:shd w:val="clear" w:color="auto" w:fill="DCE6F1"/>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b/>
      <w:bCs/>
      <w:color w:val="000099"/>
      <w:sz w:val="32"/>
      <w:szCs w:val="32"/>
      <w:lang w:val="fr-CH" w:eastAsia="zh-CN"/>
    </w:rPr>
  </w:style>
  <w:style w:type="paragraph" w:customStyle="1" w:styleId="xl141">
    <w:name w:val="xl141"/>
    <w:basedOn w:val="Normal"/>
    <w:rsid w:val="00992375"/>
    <w:pPr>
      <w:pBdr>
        <w:top w:val="single" w:sz="4" w:space="0" w:color="0070C0"/>
        <w:bottom w:val="single" w:sz="4" w:space="0" w:color="0070C0"/>
      </w:pBdr>
      <w:shd w:val="clear" w:color="auto" w:fill="DCE6F1"/>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b/>
      <w:bCs/>
      <w:color w:val="000099"/>
      <w:sz w:val="32"/>
      <w:szCs w:val="32"/>
      <w:lang w:val="fr-CH" w:eastAsia="zh-CN"/>
    </w:rPr>
  </w:style>
  <w:style w:type="paragraph" w:customStyle="1" w:styleId="xl142">
    <w:name w:val="xl142"/>
    <w:basedOn w:val="Normal"/>
    <w:rsid w:val="00992375"/>
    <w:pPr>
      <w:pBdr>
        <w:top w:val="single" w:sz="4" w:space="0" w:color="0070C0"/>
        <w:bottom w:val="single" w:sz="4" w:space="0" w:color="0070C0"/>
        <w:right w:val="single" w:sz="4" w:space="0" w:color="0070C0"/>
      </w:pBdr>
      <w:shd w:val="clear" w:color="auto" w:fill="DCE6F1"/>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b/>
      <w:bCs/>
      <w:color w:val="000099"/>
      <w:sz w:val="32"/>
      <w:szCs w:val="32"/>
      <w:lang w:val="fr-CH" w:eastAsia="zh-CN"/>
    </w:rPr>
  </w:style>
  <w:style w:type="character" w:customStyle="1" w:styleId="st">
    <w:name w:val="st"/>
    <w:basedOn w:val="DefaultParagraphFont"/>
    <w:rsid w:val="00992375"/>
  </w:style>
  <w:style w:type="character" w:customStyle="1" w:styleId="trans">
    <w:name w:val="trans"/>
    <w:basedOn w:val="DefaultParagraphFont"/>
    <w:rsid w:val="00992375"/>
  </w:style>
  <w:style w:type="table" w:customStyle="1" w:styleId="TableauNorm">
    <w:name w:val="Tableau Norm"/>
    <w:uiPriority w:val="99"/>
    <w:semiHidden/>
    <w:rsid w:val="00992375"/>
    <w:rPr>
      <w:rFonts w:ascii="Calibri" w:hAnsi="Calibri" w:cs="Arial"/>
      <w:lang w:val="fr-FR" w:eastAsia="en-US"/>
    </w:rPr>
    <w:tblPr>
      <w:tblCellMar>
        <w:top w:w="0" w:type="dxa"/>
        <w:left w:w="108" w:type="dxa"/>
        <w:bottom w:w="0" w:type="dxa"/>
        <w:right w:w="108" w:type="dxa"/>
      </w:tblCellMar>
    </w:tblPr>
  </w:style>
  <w:style w:type="table" w:customStyle="1" w:styleId="TableauNorm1">
    <w:name w:val="Tableau Norm1"/>
    <w:uiPriority w:val="99"/>
    <w:semiHidden/>
    <w:rsid w:val="00992375"/>
    <w:rPr>
      <w:rFonts w:ascii="Calibri" w:hAnsi="Calibri" w:cs="Arial"/>
      <w:lang w:val="fr-FR" w:eastAsia="en-US"/>
    </w:rPr>
    <w:tblPr>
      <w:tblCellMar>
        <w:top w:w="0" w:type="dxa"/>
        <w:left w:w="108" w:type="dxa"/>
        <w:bottom w:w="0" w:type="dxa"/>
        <w:right w:w="108" w:type="dxa"/>
      </w:tblCellMar>
    </w:tblPr>
  </w:style>
  <w:style w:type="table" w:customStyle="1" w:styleId="TableGrid2">
    <w:name w:val="Table Grid2"/>
    <w:basedOn w:val="TableNormal"/>
    <w:uiPriority w:val="59"/>
    <w:rsid w:val="00992375"/>
    <w:pPr>
      <w:spacing w:before="180"/>
      <w:jc w:val="both"/>
    </w:pPr>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2">
    <w:name w:val="Tableau Norm2"/>
    <w:uiPriority w:val="99"/>
    <w:semiHidden/>
    <w:rsid w:val="00992375"/>
    <w:rPr>
      <w:rFonts w:ascii="Calibri" w:hAnsi="Calibri" w:cs="Arial"/>
      <w:lang w:val="fr-FR" w:eastAsia="en-US"/>
    </w:rPr>
    <w:tblPr>
      <w:tblCellMar>
        <w:top w:w="0" w:type="dxa"/>
        <w:left w:w="108" w:type="dxa"/>
        <w:bottom w:w="0" w:type="dxa"/>
        <w:right w:w="108" w:type="dxa"/>
      </w:tblCellMar>
    </w:tblPr>
  </w:style>
  <w:style w:type="table" w:customStyle="1" w:styleId="TableGrid11">
    <w:name w:val="Table Grid11"/>
    <w:basedOn w:val="TableNormal"/>
    <w:rsid w:val="00992375"/>
    <w:pPr>
      <w:spacing w:before="180"/>
      <w:jc w:val="both"/>
    </w:pPr>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1">
    <w:name w:val="Tableau Norm11"/>
    <w:uiPriority w:val="99"/>
    <w:semiHidden/>
    <w:rsid w:val="00992375"/>
    <w:rPr>
      <w:rFonts w:ascii="Calibri" w:hAnsi="Calibri" w:cs="Arial"/>
      <w:lang w:val="fr-FR" w:eastAsia="en-US"/>
    </w:rPr>
    <w:tblPr>
      <w:tblCellMar>
        <w:top w:w="0" w:type="dxa"/>
        <w:left w:w="108" w:type="dxa"/>
        <w:bottom w:w="0" w:type="dxa"/>
        <w:right w:w="108" w:type="dxa"/>
      </w:tblCellMar>
    </w:tblPr>
  </w:style>
  <w:style w:type="paragraph" w:customStyle="1" w:styleId="DecNo">
    <w:name w:val="Dec_No"/>
    <w:basedOn w:val="ResNo"/>
    <w:qFormat/>
    <w:rsid w:val="00A6624B"/>
    <w:rPr>
      <w:lang w:eastAsia="zh-CN"/>
    </w:rPr>
  </w:style>
  <w:style w:type="paragraph" w:customStyle="1" w:styleId="Dectitle">
    <w:name w:val="Dec_title"/>
    <w:basedOn w:val="Restitle"/>
    <w:link w:val="DectitleChar"/>
    <w:qFormat/>
    <w:rsid w:val="00A6624B"/>
    <w:rPr>
      <w:lang w:eastAsia="zh-CN"/>
    </w:rPr>
  </w:style>
  <w:style w:type="paragraph" w:customStyle="1" w:styleId="appendixctext">
    <w:name w:val="appendix_c_text"/>
    <w:basedOn w:val="Appendixref"/>
    <w:qFormat/>
    <w:rsid w:val="004F224B"/>
    <w:pPr>
      <w:spacing w:before="20"/>
      <w:ind w:left="0" w:right="0" w:firstLine="0"/>
    </w:pPr>
    <w:rPr>
      <w:sz w:val="18"/>
    </w:rPr>
  </w:style>
  <w:style w:type="paragraph" w:customStyle="1" w:styleId="appendixchead">
    <w:name w:val="appendix_c_head"/>
    <w:basedOn w:val="appendixctext"/>
    <w:qFormat/>
    <w:rsid w:val="00526D7A"/>
    <w:pPr>
      <w:tabs>
        <w:tab w:val="clear" w:pos="1758"/>
        <w:tab w:val="clear" w:pos="8647"/>
        <w:tab w:val="clear" w:pos="9356"/>
        <w:tab w:val="left" w:pos="227"/>
      </w:tabs>
      <w:spacing w:before="120"/>
      <w:ind w:left="227" w:hanging="227"/>
    </w:pPr>
    <w:rPr>
      <w:b/>
    </w:rPr>
  </w:style>
  <w:style w:type="character" w:customStyle="1" w:styleId="BRNormal">
    <w:name w:val="BR_Normal"/>
    <w:basedOn w:val="DefaultParagraphFont"/>
    <w:uiPriority w:val="1"/>
    <w:qFormat/>
    <w:rsid w:val="00273DDA"/>
  </w:style>
  <w:style w:type="character" w:customStyle="1" w:styleId="high-light-bg4">
    <w:name w:val="high-light-bg4"/>
    <w:basedOn w:val="DefaultParagraphFont"/>
    <w:rsid w:val="00FB7220"/>
  </w:style>
  <w:style w:type="character" w:customStyle="1" w:styleId="ordinary-span-edit2">
    <w:name w:val="ordinary-span-edit2"/>
    <w:basedOn w:val="DefaultParagraphFont"/>
    <w:rsid w:val="00FB7220"/>
  </w:style>
  <w:style w:type="numbering" w:customStyle="1" w:styleId="NoList12">
    <w:name w:val="No List12"/>
    <w:next w:val="NoList"/>
    <w:uiPriority w:val="99"/>
    <w:semiHidden/>
    <w:unhideWhenUsed/>
    <w:rsid w:val="00FB7220"/>
  </w:style>
  <w:style w:type="paragraph" w:styleId="Quote">
    <w:name w:val="Quote"/>
    <w:basedOn w:val="Normal"/>
    <w:next w:val="Normal"/>
    <w:link w:val="QuoteChar"/>
    <w:uiPriority w:val="29"/>
    <w:qFormat/>
    <w:rsid w:val="00FB7220"/>
    <w:pPr>
      <w:tabs>
        <w:tab w:val="clear" w:pos="794"/>
        <w:tab w:val="clear" w:pos="1191"/>
        <w:tab w:val="clear" w:pos="1588"/>
        <w:tab w:val="clear" w:pos="1985"/>
        <w:tab w:val="left" w:pos="567"/>
        <w:tab w:val="left" w:pos="1134"/>
        <w:tab w:val="left" w:pos="1701"/>
        <w:tab w:val="left" w:pos="2268"/>
        <w:tab w:val="left" w:pos="2835"/>
      </w:tabs>
      <w:spacing w:before="200" w:after="160"/>
      <w:ind w:left="864" w:right="864"/>
      <w:jc w:val="center"/>
    </w:pPr>
    <w:rPr>
      <w:rFonts w:ascii="Calibri" w:eastAsiaTheme="minorEastAsia" w:hAnsi="Calibri"/>
      <w:i/>
      <w:iCs/>
      <w:color w:val="404040" w:themeColor="text1" w:themeTint="BF"/>
    </w:rPr>
  </w:style>
  <w:style w:type="character" w:customStyle="1" w:styleId="QuoteChar">
    <w:name w:val="Quote Char"/>
    <w:basedOn w:val="DefaultParagraphFont"/>
    <w:link w:val="Quote"/>
    <w:uiPriority w:val="29"/>
    <w:rsid w:val="00FB7220"/>
    <w:rPr>
      <w:rFonts w:ascii="Calibri" w:eastAsiaTheme="minorEastAsia" w:hAnsi="Calibri"/>
      <w:i/>
      <w:iCs/>
      <w:color w:val="404040" w:themeColor="text1" w:themeTint="BF"/>
      <w:sz w:val="24"/>
      <w:lang w:val="en-GB" w:eastAsia="en-US"/>
    </w:rPr>
  </w:style>
  <w:style w:type="paragraph" w:styleId="Caption">
    <w:name w:val="caption"/>
    <w:basedOn w:val="Normal"/>
    <w:next w:val="Normal"/>
    <w:uiPriority w:val="35"/>
    <w:unhideWhenUsed/>
    <w:qFormat/>
    <w:rsid w:val="00FB7220"/>
    <w:pPr>
      <w:widowControl w:val="0"/>
      <w:tabs>
        <w:tab w:val="clear" w:pos="794"/>
        <w:tab w:val="clear" w:pos="1191"/>
        <w:tab w:val="clear" w:pos="1588"/>
        <w:tab w:val="clear" w:pos="1985"/>
      </w:tabs>
      <w:kinsoku w:val="0"/>
      <w:overflowPunct/>
      <w:autoSpaceDE/>
      <w:autoSpaceDN/>
      <w:adjustRightInd/>
      <w:spacing w:before="0" w:after="200"/>
      <w:jc w:val="left"/>
      <w:textAlignment w:val="auto"/>
    </w:pPr>
    <w:rPr>
      <w:rFonts w:ascii="Times New Roman" w:hAnsi="Times New Roman"/>
      <w:b/>
      <w:bCs/>
      <w:color w:val="4F81BD"/>
      <w:sz w:val="18"/>
      <w:szCs w:val="18"/>
      <w:lang w:val="en-US" w:eastAsia="zh-CN"/>
    </w:rPr>
  </w:style>
  <w:style w:type="paragraph" w:customStyle="1" w:styleId="xl88">
    <w:name w:val="xl88"/>
    <w:basedOn w:val="Normal"/>
    <w:rsid w:val="00FB7220"/>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cs="Calibri"/>
      <w:color w:val="000000"/>
      <w:sz w:val="22"/>
      <w:szCs w:val="22"/>
      <w:lang w:val="en-US" w:eastAsia="zh-CN"/>
    </w:rPr>
  </w:style>
  <w:style w:type="paragraph" w:customStyle="1" w:styleId="xl89">
    <w:name w:val="xl89"/>
    <w:basedOn w:val="Normal"/>
    <w:rsid w:val="00FB7220"/>
    <w:pPr>
      <w:shd w:val="clear" w:color="000000" w:fill="FFFFFF"/>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cs="Calibri"/>
      <w:color w:val="000000"/>
      <w:sz w:val="22"/>
      <w:szCs w:val="22"/>
      <w:lang w:val="en-US" w:eastAsia="zh-CN"/>
    </w:rPr>
  </w:style>
  <w:style w:type="paragraph" w:customStyle="1" w:styleId="xl90">
    <w:name w:val="xl90"/>
    <w:basedOn w:val="Normal"/>
    <w:rsid w:val="00FB7220"/>
    <w:pPr>
      <w:shd w:val="clear" w:color="000000"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cs="Calibri"/>
      <w:color w:val="000000"/>
      <w:sz w:val="22"/>
      <w:szCs w:val="22"/>
      <w:lang w:val="en-US" w:eastAsia="zh-CN"/>
    </w:rPr>
  </w:style>
  <w:style w:type="paragraph" w:customStyle="1" w:styleId="xl91">
    <w:name w:val="xl91"/>
    <w:basedOn w:val="Normal"/>
    <w:rsid w:val="00FB722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cs="Calibri"/>
      <w:color w:val="000000"/>
      <w:sz w:val="22"/>
      <w:szCs w:val="22"/>
      <w:lang w:val="en-US" w:eastAsia="zh-CN"/>
    </w:rPr>
  </w:style>
  <w:style w:type="paragraph" w:customStyle="1" w:styleId="xl92">
    <w:name w:val="xl92"/>
    <w:basedOn w:val="Normal"/>
    <w:rsid w:val="00FB7220"/>
    <w:pPr>
      <w:pBdr>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cs="Calibri"/>
      <w:color w:val="000000"/>
      <w:sz w:val="22"/>
      <w:szCs w:val="22"/>
      <w:lang w:val="en-US" w:eastAsia="zh-CN"/>
    </w:rPr>
  </w:style>
  <w:style w:type="paragraph" w:customStyle="1" w:styleId="xl93">
    <w:name w:val="xl93"/>
    <w:basedOn w:val="Normal"/>
    <w:rsid w:val="00FB722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cs="Calibri"/>
      <w:color w:val="000000"/>
      <w:sz w:val="20"/>
      <w:lang w:val="en-US" w:eastAsia="zh-CN"/>
    </w:rPr>
  </w:style>
  <w:style w:type="paragraph" w:customStyle="1" w:styleId="nlist">
    <w:name w:val="nlist"/>
    <w:basedOn w:val="Normal"/>
    <w:rsid w:val="00FB7220"/>
    <w:pPr>
      <w:tabs>
        <w:tab w:val="clear" w:pos="794"/>
        <w:tab w:val="clear" w:pos="1191"/>
        <w:tab w:val="clear" w:pos="1588"/>
        <w:tab w:val="clear" w:pos="1985"/>
      </w:tabs>
      <w:overflowPunct/>
      <w:autoSpaceDE/>
      <w:autoSpaceDN/>
      <w:adjustRightInd/>
      <w:spacing w:before="100" w:after="100"/>
      <w:jc w:val="left"/>
      <w:textAlignment w:val="auto"/>
    </w:pPr>
    <w:rPr>
      <w:rFonts w:ascii="Verdana" w:eastAsia="Times New Roman" w:hAnsi="Verdana"/>
      <w:sz w:val="18"/>
      <w:szCs w:val="18"/>
      <w:lang w:val="en-US"/>
    </w:rPr>
  </w:style>
  <w:style w:type="paragraph" w:customStyle="1" w:styleId="P2">
    <w:name w:val="P2"/>
    <w:basedOn w:val="Normal"/>
    <w:rsid w:val="00FB7220"/>
    <w:pPr>
      <w:tabs>
        <w:tab w:val="clear" w:pos="794"/>
        <w:tab w:val="clear" w:pos="1191"/>
        <w:tab w:val="clear" w:pos="1588"/>
        <w:tab w:val="clear" w:pos="1985"/>
      </w:tabs>
      <w:spacing w:before="240"/>
      <w:ind w:left="1247"/>
    </w:pPr>
    <w:rPr>
      <w:rFonts w:ascii="Arial" w:eastAsia="Times New Roman" w:hAnsi="Arial"/>
      <w:sz w:val="22"/>
      <w:lang w:val="fr-FR" w:eastAsia="fr-FR"/>
    </w:rPr>
  </w:style>
  <w:style w:type="table" w:customStyle="1" w:styleId="DarkList1">
    <w:name w:val="Dark List1"/>
    <w:basedOn w:val="TableNormal"/>
    <w:uiPriority w:val="70"/>
    <w:rsid w:val="00FB7220"/>
    <w:rPr>
      <w:rFonts w:asciiTheme="minorHAnsi" w:eastAsiaTheme="minorEastAsia" w:hAnsiTheme="minorHAnsi" w:cstheme="minorBidi"/>
      <w:color w:val="FFFFFF" w:themeColor="background1"/>
      <w:sz w:val="22"/>
      <w:szCs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numbering" w:customStyle="1" w:styleId="Style2">
    <w:name w:val="Style2"/>
    <w:uiPriority w:val="99"/>
    <w:rsid w:val="00FB7220"/>
    <w:pPr>
      <w:numPr>
        <w:numId w:val="22"/>
      </w:numPr>
    </w:pPr>
  </w:style>
  <w:style w:type="numbering" w:customStyle="1" w:styleId="Style3">
    <w:name w:val="Style3"/>
    <w:uiPriority w:val="99"/>
    <w:rsid w:val="00FB7220"/>
    <w:pPr>
      <w:numPr>
        <w:numId w:val="23"/>
      </w:numPr>
    </w:pPr>
  </w:style>
  <w:style w:type="paragraph" w:customStyle="1" w:styleId="plist">
    <w:name w:val="plist"/>
    <w:basedOn w:val="Normal"/>
    <w:rsid w:val="00FB7220"/>
    <w:pPr>
      <w:tabs>
        <w:tab w:val="clear" w:pos="794"/>
        <w:tab w:val="clear" w:pos="1191"/>
        <w:tab w:val="clear" w:pos="1588"/>
        <w:tab w:val="clear" w:pos="1985"/>
      </w:tabs>
      <w:overflowPunct/>
      <w:autoSpaceDE/>
      <w:autoSpaceDN/>
      <w:adjustRightInd/>
      <w:spacing w:before="100" w:after="100"/>
      <w:jc w:val="left"/>
      <w:textAlignment w:val="auto"/>
    </w:pPr>
    <w:rPr>
      <w:rFonts w:ascii="Verdana" w:eastAsia="Times New Roman" w:hAnsi="Verdana"/>
      <w:sz w:val="18"/>
      <w:szCs w:val="18"/>
      <w:lang w:val="en-US" w:eastAsia="zh-CN"/>
    </w:rPr>
  </w:style>
  <w:style w:type="character" w:customStyle="1" w:styleId="lang-en">
    <w:name w:val="lang-en"/>
    <w:basedOn w:val="DefaultParagraphFont"/>
    <w:rsid w:val="00FB7220"/>
  </w:style>
  <w:style w:type="paragraph" w:customStyle="1" w:styleId="Style7">
    <w:name w:val="Style7"/>
    <w:basedOn w:val="Normal"/>
    <w:rsid w:val="00FB7220"/>
    <w:pPr>
      <w:widowControl w:val="0"/>
      <w:tabs>
        <w:tab w:val="clear" w:pos="794"/>
        <w:tab w:val="clear" w:pos="1191"/>
        <w:tab w:val="clear" w:pos="1588"/>
        <w:tab w:val="clear" w:pos="1985"/>
      </w:tabs>
      <w:kinsoku w:val="0"/>
      <w:overflowPunct/>
      <w:autoSpaceDE/>
      <w:autoSpaceDN/>
      <w:adjustRightInd/>
      <w:spacing w:before="0"/>
      <w:textAlignment w:val="auto"/>
    </w:pPr>
    <w:rPr>
      <w:rFonts w:ascii="Times New Roman" w:eastAsia="Times New Roman" w:hAnsi="Times New Roman"/>
      <w:sz w:val="22"/>
      <w:szCs w:val="22"/>
      <w:lang w:val="fr-CH"/>
    </w:rPr>
  </w:style>
  <w:style w:type="table" w:customStyle="1" w:styleId="DarkList11">
    <w:name w:val="Dark List11"/>
    <w:basedOn w:val="TableNormal"/>
    <w:uiPriority w:val="70"/>
    <w:rsid w:val="00FB7220"/>
    <w:rPr>
      <w:rFonts w:asciiTheme="minorHAnsi" w:eastAsiaTheme="minorEastAsia" w:hAnsiTheme="minorHAnsi" w:cstheme="minorBidi"/>
      <w:color w:val="FFFFFF" w:themeColor="background1"/>
      <w:sz w:val="22"/>
      <w:szCs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numbering" w:customStyle="1" w:styleId="Style11">
    <w:name w:val="Style11"/>
    <w:uiPriority w:val="99"/>
    <w:rsid w:val="00FB7220"/>
  </w:style>
  <w:style w:type="numbering" w:customStyle="1" w:styleId="Style21">
    <w:name w:val="Style21"/>
    <w:uiPriority w:val="99"/>
    <w:rsid w:val="00FB7220"/>
  </w:style>
  <w:style w:type="numbering" w:customStyle="1" w:styleId="Style31">
    <w:name w:val="Style31"/>
    <w:uiPriority w:val="99"/>
    <w:rsid w:val="00FB7220"/>
  </w:style>
  <w:style w:type="character" w:styleId="PlaceholderText">
    <w:name w:val="Placeholder Text"/>
    <w:basedOn w:val="DefaultParagraphFont"/>
    <w:uiPriority w:val="99"/>
    <w:semiHidden/>
    <w:rsid w:val="00FB7220"/>
    <w:rPr>
      <w:color w:val="808080"/>
    </w:rPr>
  </w:style>
  <w:style w:type="paragraph" w:styleId="TOCHeading">
    <w:name w:val="TOC Heading"/>
    <w:basedOn w:val="Heading1"/>
    <w:next w:val="Normal"/>
    <w:uiPriority w:val="39"/>
    <w:unhideWhenUsed/>
    <w:qFormat/>
    <w:rsid w:val="00FB7220"/>
    <w:pPr>
      <w:tabs>
        <w:tab w:val="clear" w:pos="1021"/>
        <w:tab w:val="clear" w:pos="1191"/>
        <w:tab w:val="clear" w:pos="1588"/>
        <w:tab w:val="clear" w:pos="1985"/>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365F91" w:themeColor="accent1" w:themeShade="BF"/>
      <w:szCs w:val="28"/>
      <w:lang w:val="en-US" w:eastAsia="ja-JP"/>
    </w:rPr>
  </w:style>
  <w:style w:type="paragraph" w:customStyle="1" w:styleId="xl94">
    <w:name w:val="xl94"/>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imes New Roman" w:hAnsi="Century Gothic"/>
      <w:sz w:val="16"/>
      <w:szCs w:val="16"/>
      <w:lang w:val="en-US" w:eastAsia="zh-CN"/>
    </w:rPr>
  </w:style>
  <w:style w:type="paragraph" w:customStyle="1" w:styleId="xl95">
    <w:name w:val="xl95"/>
    <w:basedOn w:val="Normal"/>
    <w:rsid w:val="00FB7220"/>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imes New Roman" w:hAnsi="Century Gothic"/>
      <w:sz w:val="16"/>
      <w:szCs w:val="16"/>
      <w:lang w:val="en-US" w:eastAsia="zh-CN"/>
    </w:rPr>
  </w:style>
  <w:style w:type="paragraph" w:customStyle="1" w:styleId="xl96">
    <w:name w:val="xl96"/>
    <w:basedOn w:val="Normal"/>
    <w:rsid w:val="00FB7220"/>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imes New Roman" w:hAnsi="Century Gothic"/>
      <w:sz w:val="16"/>
      <w:szCs w:val="16"/>
      <w:lang w:val="en-US" w:eastAsia="zh-CN"/>
    </w:rPr>
  </w:style>
  <w:style w:type="paragraph" w:customStyle="1" w:styleId="xl97">
    <w:name w:val="xl97"/>
    <w:basedOn w:val="Normal"/>
    <w:rsid w:val="00FB7220"/>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imes New Roman" w:hAnsi="Century Gothic"/>
      <w:sz w:val="16"/>
      <w:szCs w:val="16"/>
      <w:lang w:val="en-US" w:eastAsia="zh-CN"/>
    </w:rPr>
  </w:style>
  <w:style w:type="paragraph" w:customStyle="1" w:styleId="xl98">
    <w:name w:val="xl98"/>
    <w:basedOn w:val="Normal"/>
    <w:rsid w:val="00FB7220"/>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imes New Roman" w:hAnsi="Century Gothic"/>
      <w:sz w:val="16"/>
      <w:szCs w:val="16"/>
      <w:lang w:val="en-US" w:eastAsia="zh-CN"/>
    </w:rPr>
  </w:style>
  <w:style w:type="paragraph" w:customStyle="1" w:styleId="xl99">
    <w:name w:val="xl99"/>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imes New Roman" w:hAnsi="Century Gothic"/>
      <w:sz w:val="16"/>
      <w:szCs w:val="16"/>
      <w:lang w:val="en-US" w:eastAsia="zh-CN"/>
    </w:rPr>
  </w:style>
  <w:style w:type="paragraph" w:customStyle="1" w:styleId="xl100">
    <w:name w:val="xl100"/>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imes New Roman" w:hAnsi="Century Gothic"/>
      <w:sz w:val="16"/>
      <w:szCs w:val="16"/>
      <w:lang w:val="en-US" w:eastAsia="zh-CN"/>
    </w:rPr>
  </w:style>
  <w:style w:type="paragraph" w:customStyle="1" w:styleId="xl101">
    <w:name w:val="xl101"/>
    <w:basedOn w:val="Normal"/>
    <w:rsid w:val="00FB722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imes New Roman" w:hAnsi="Century Gothic"/>
      <w:sz w:val="16"/>
      <w:szCs w:val="16"/>
      <w:lang w:val="en-US" w:eastAsia="zh-CN"/>
    </w:rPr>
  </w:style>
  <w:style w:type="paragraph" w:customStyle="1" w:styleId="xl102">
    <w:name w:val="xl102"/>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imes New Roman" w:hAnsi="Century Gothic"/>
      <w:sz w:val="16"/>
      <w:szCs w:val="16"/>
      <w:lang w:val="en-US" w:eastAsia="zh-CN"/>
    </w:rPr>
  </w:style>
  <w:style w:type="character" w:customStyle="1" w:styleId="shorttext">
    <w:name w:val="short_text"/>
    <w:basedOn w:val="DefaultParagraphFont"/>
    <w:rsid w:val="00FB7220"/>
  </w:style>
  <w:style w:type="numbering" w:customStyle="1" w:styleId="NoList3">
    <w:name w:val="No List3"/>
    <w:next w:val="NoList"/>
    <w:uiPriority w:val="99"/>
    <w:semiHidden/>
    <w:unhideWhenUsed/>
    <w:rsid w:val="00FB7220"/>
  </w:style>
  <w:style w:type="character" w:customStyle="1" w:styleId="labellist">
    <w:name w:val="label_list"/>
    <w:basedOn w:val="DefaultParagraphFont"/>
    <w:rsid w:val="00FB7220"/>
  </w:style>
  <w:style w:type="paragraph" w:customStyle="1" w:styleId="Committee">
    <w:name w:val="Committee"/>
    <w:basedOn w:val="Normal"/>
    <w:qFormat/>
    <w:rsid w:val="00FB7220"/>
    <w:pPr>
      <w:jc w:val="left"/>
    </w:pPr>
    <w:rPr>
      <w:rFonts w:eastAsia="Times New Roman" w:cs="Times New Roman Bold"/>
      <w:b/>
      <w:caps/>
    </w:rPr>
  </w:style>
  <w:style w:type="paragraph" w:customStyle="1" w:styleId="CEOAgendaItemIndent">
    <w:name w:val="CEO_AgendaItemIndent"/>
    <w:basedOn w:val="Normal"/>
    <w:rsid w:val="00FB7220"/>
    <w:pPr>
      <w:tabs>
        <w:tab w:val="clear" w:pos="794"/>
        <w:tab w:val="clear" w:pos="1191"/>
        <w:tab w:val="clear" w:pos="1588"/>
        <w:tab w:val="clear" w:pos="1985"/>
        <w:tab w:val="left" w:pos="459"/>
      </w:tabs>
      <w:overflowPunct/>
      <w:autoSpaceDE/>
      <w:autoSpaceDN/>
      <w:adjustRightInd/>
      <w:spacing w:before="60" w:after="60"/>
      <w:ind w:left="34" w:right="12"/>
      <w:jc w:val="left"/>
      <w:textAlignment w:val="auto"/>
    </w:pPr>
    <w:rPr>
      <w:rFonts w:ascii="Verdana" w:hAnsi="Verdana"/>
      <w:sz w:val="19"/>
      <w:szCs w:val="19"/>
      <w:lang w:val="en-US"/>
    </w:rPr>
  </w:style>
  <w:style w:type="paragraph" w:customStyle="1" w:styleId="Banner">
    <w:name w:val="Banner"/>
    <w:basedOn w:val="Normal"/>
    <w:rsid w:val="00FB7220"/>
    <w:pPr>
      <w:tabs>
        <w:tab w:val="clear" w:pos="794"/>
        <w:tab w:val="clear" w:pos="1191"/>
        <w:tab w:val="clear" w:pos="1588"/>
        <w:tab w:val="clear" w:pos="1985"/>
        <w:tab w:val="left" w:pos="993"/>
      </w:tabs>
      <w:spacing w:before="240"/>
      <w:ind w:left="993" w:hanging="993"/>
      <w:jc w:val="left"/>
      <w:textAlignment w:val="auto"/>
    </w:pPr>
    <w:rPr>
      <w:rFonts w:ascii="Arial" w:eastAsia="Times New Roman" w:hAnsi="Arial"/>
      <w:sz w:val="22"/>
      <w:szCs w:val="22"/>
    </w:rPr>
  </w:style>
  <w:style w:type="table" w:customStyle="1" w:styleId="ListTable1Light-Accent51">
    <w:name w:val="List Table 1 Light - Accent 51"/>
    <w:basedOn w:val="TableNormal"/>
    <w:uiPriority w:val="46"/>
    <w:rsid w:val="00FB7220"/>
    <w:rPr>
      <w:rFonts w:asciiTheme="minorHAnsi" w:eastAsiaTheme="minorEastAsia" w:hAnsiTheme="minorHAnsi" w:cstheme="minorBidi"/>
      <w:sz w:val="22"/>
      <w:szCs w:val="22"/>
      <w:lang w:val="en-GB"/>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1Light-Accent51">
    <w:name w:val="Grid Table 1 Light - Accent 51"/>
    <w:basedOn w:val="TableNormal"/>
    <w:uiPriority w:val="46"/>
    <w:rsid w:val="00FB7220"/>
    <w:rPr>
      <w:rFonts w:asciiTheme="minorHAnsi" w:eastAsiaTheme="minorEastAsia" w:hAnsiTheme="minorHAnsi" w:cstheme="minorBidi"/>
      <w:sz w:val="22"/>
      <w:szCs w:val="22"/>
      <w:lang w:val="en-GB"/>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TabletitleBRChar">
    <w:name w:val="Table_title_BR Char"/>
    <w:link w:val="TabletitleBR"/>
    <w:locked/>
    <w:rsid w:val="00FB7220"/>
    <w:rPr>
      <w:rFonts w:asciiTheme="minorHAnsi" w:hAnsiTheme="minorHAnsi"/>
      <w:b/>
      <w:sz w:val="24"/>
      <w:lang w:val="en-GB" w:eastAsia="en-US"/>
    </w:rPr>
  </w:style>
  <w:style w:type="character" w:customStyle="1" w:styleId="TableNoBRChar">
    <w:name w:val="Table_No_BR Char"/>
    <w:link w:val="TableNoBR"/>
    <w:locked/>
    <w:rsid w:val="00FB7220"/>
    <w:rPr>
      <w:rFonts w:asciiTheme="minorHAnsi" w:hAnsiTheme="minorHAnsi"/>
      <w:caps/>
      <w:sz w:val="24"/>
      <w:lang w:val="en-GB" w:eastAsia="en-US"/>
    </w:rPr>
  </w:style>
  <w:style w:type="paragraph" w:customStyle="1" w:styleId="H2">
    <w:name w:val="H2"/>
    <w:basedOn w:val="Normal"/>
    <w:next w:val="Normal"/>
    <w:rsid w:val="00FB7220"/>
    <w:pPr>
      <w:keepNext/>
      <w:widowControl w:val="0"/>
      <w:tabs>
        <w:tab w:val="clear" w:pos="794"/>
        <w:tab w:val="clear" w:pos="1191"/>
        <w:tab w:val="clear" w:pos="1588"/>
        <w:tab w:val="clear" w:pos="1985"/>
      </w:tabs>
      <w:overflowPunct/>
      <w:autoSpaceDE/>
      <w:autoSpaceDN/>
      <w:adjustRightInd/>
      <w:spacing w:before="100" w:after="100"/>
      <w:jc w:val="left"/>
      <w:textAlignment w:val="auto"/>
      <w:outlineLvl w:val="2"/>
    </w:pPr>
    <w:rPr>
      <w:rFonts w:ascii="Times New Roman" w:eastAsia="Times New Roman" w:hAnsi="Times New Roman"/>
      <w:b/>
      <w:snapToGrid w:val="0"/>
      <w:sz w:val="36"/>
      <w:lang w:val="en-US"/>
    </w:rPr>
  </w:style>
  <w:style w:type="paragraph" w:customStyle="1" w:styleId="Blockquote">
    <w:name w:val="Blockquote"/>
    <w:basedOn w:val="Normal"/>
    <w:rsid w:val="00FB7220"/>
    <w:pPr>
      <w:widowControl w:val="0"/>
      <w:tabs>
        <w:tab w:val="clear" w:pos="794"/>
        <w:tab w:val="clear" w:pos="1191"/>
        <w:tab w:val="clear" w:pos="1588"/>
        <w:tab w:val="clear" w:pos="1985"/>
      </w:tabs>
      <w:overflowPunct/>
      <w:autoSpaceDE/>
      <w:autoSpaceDN/>
      <w:adjustRightInd/>
      <w:spacing w:before="100" w:after="100"/>
      <w:ind w:left="360" w:right="360"/>
      <w:jc w:val="left"/>
      <w:textAlignment w:val="auto"/>
    </w:pPr>
    <w:rPr>
      <w:rFonts w:ascii="Times New Roman" w:eastAsia="Times New Roman" w:hAnsi="Times New Roman"/>
      <w:snapToGrid w:val="0"/>
      <w:lang w:val="en-US"/>
    </w:rPr>
  </w:style>
  <w:style w:type="paragraph" w:customStyle="1" w:styleId="H4">
    <w:name w:val="H4"/>
    <w:basedOn w:val="Normal"/>
    <w:next w:val="Normal"/>
    <w:rsid w:val="00FB7220"/>
    <w:pPr>
      <w:keepNext/>
      <w:widowControl w:val="0"/>
      <w:tabs>
        <w:tab w:val="clear" w:pos="794"/>
        <w:tab w:val="clear" w:pos="1191"/>
        <w:tab w:val="clear" w:pos="1588"/>
        <w:tab w:val="clear" w:pos="1985"/>
      </w:tabs>
      <w:overflowPunct/>
      <w:autoSpaceDE/>
      <w:autoSpaceDN/>
      <w:adjustRightInd/>
      <w:spacing w:before="100" w:after="100"/>
      <w:jc w:val="left"/>
      <w:textAlignment w:val="auto"/>
      <w:outlineLvl w:val="4"/>
    </w:pPr>
    <w:rPr>
      <w:rFonts w:ascii="Times New Roman" w:eastAsia="Times New Roman" w:hAnsi="Times New Roman"/>
      <w:b/>
      <w:snapToGrid w:val="0"/>
      <w:lang w:val="en-US"/>
    </w:rPr>
  </w:style>
  <w:style w:type="paragraph" w:customStyle="1" w:styleId="H3">
    <w:name w:val="H3"/>
    <w:basedOn w:val="Normal"/>
    <w:next w:val="Normal"/>
    <w:rsid w:val="00FB7220"/>
    <w:pPr>
      <w:keepNext/>
      <w:widowControl w:val="0"/>
      <w:tabs>
        <w:tab w:val="clear" w:pos="794"/>
        <w:tab w:val="clear" w:pos="1191"/>
        <w:tab w:val="clear" w:pos="1588"/>
        <w:tab w:val="clear" w:pos="1985"/>
      </w:tabs>
      <w:overflowPunct/>
      <w:autoSpaceDE/>
      <w:autoSpaceDN/>
      <w:adjustRightInd/>
      <w:spacing w:before="100" w:after="100"/>
      <w:jc w:val="left"/>
      <w:textAlignment w:val="auto"/>
      <w:outlineLvl w:val="3"/>
    </w:pPr>
    <w:rPr>
      <w:rFonts w:ascii="Times New Roman" w:eastAsia="Times New Roman" w:hAnsi="Times New Roman"/>
      <w:b/>
      <w:snapToGrid w:val="0"/>
      <w:sz w:val="28"/>
      <w:lang w:val="en-US"/>
    </w:rPr>
  </w:style>
  <w:style w:type="paragraph" w:customStyle="1" w:styleId="DefinitionTerm">
    <w:name w:val="Definition Term"/>
    <w:basedOn w:val="Normal"/>
    <w:next w:val="DefinitionList"/>
    <w:rsid w:val="00FB7220"/>
    <w:pPr>
      <w:widowControl w:val="0"/>
      <w:tabs>
        <w:tab w:val="clear" w:pos="794"/>
        <w:tab w:val="clear" w:pos="1191"/>
        <w:tab w:val="clear" w:pos="1588"/>
        <w:tab w:val="clear" w:pos="1985"/>
      </w:tabs>
      <w:overflowPunct/>
      <w:autoSpaceDE/>
      <w:autoSpaceDN/>
      <w:adjustRightInd/>
      <w:spacing w:before="0"/>
      <w:jc w:val="left"/>
      <w:textAlignment w:val="auto"/>
    </w:pPr>
    <w:rPr>
      <w:rFonts w:ascii="Times New Roman" w:eastAsia="Times New Roman" w:hAnsi="Times New Roman"/>
      <w:snapToGrid w:val="0"/>
      <w:lang w:val="en-US"/>
    </w:rPr>
  </w:style>
  <w:style w:type="paragraph" w:customStyle="1" w:styleId="DefinitionList">
    <w:name w:val="Definition List"/>
    <w:basedOn w:val="Normal"/>
    <w:next w:val="DefinitionTerm"/>
    <w:rsid w:val="00FB7220"/>
    <w:pPr>
      <w:widowControl w:val="0"/>
      <w:tabs>
        <w:tab w:val="clear" w:pos="794"/>
        <w:tab w:val="clear" w:pos="1191"/>
        <w:tab w:val="clear" w:pos="1588"/>
        <w:tab w:val="clear" w:pos="1985"/>
      </w:tabs>
      <w:overflowPunct/>
      <w:autoSpaceDE/>
      <w:autoSpaceDN/>
      <w:adjustRightInd/>
      <w:spacing w:before="0"/>
      <w:ind w:left="360"/>
      <w:jc w:val="left"/>
      <w:textAlignment w:val="auto"/>
    </w:pPr>
    <w:rPr>
      <w:rFonts w:ascii="Times New Roman" w:eastAsia="Times New Roman" w:hAnsi="Times New Roman"/>
      <w:snapToGrid w:val="0"/>
      <w:lang w:val="en-US"/>
    </w:rPr>
  </w:style>
  <w:style w:type="character" w:customStyle="1" w:styleId="HTMLMarkup">
    <w:name w:val="HTML Markup"/>
    <w:rsid w:val="00FB7220"/>
    <w:rPr>
      <w:vanish/>
      <w:color w:val="FF0000"/>
    </w:rPr>
  </w:style>
  <w:style w:type="character" w:customStyle="1" w:styleId="Definition">
    <w:name w:val="Definition"/>
    <w:rsid w:val="00FB7220"/>
    <w:rPr>
      <w:i/>
    </w:rPr>
  </w:style>
  <w:style w:type="paragraph" w:customStyle="1" w:styleId="H5">
    <w:name w:val="H5"/>
    <w:basedOn w:val="Normal"/>
    <w:next w:val="Normal"/>
    <w:rsid w:val="00FB7220"/>
    <w:pPr>
      <w:keepNext/>
      <w:widowControl w:val="0"/>
      <w:tabs>
        <w:tab w:val="clear" w:pos="794"/>
        <w:tab w:val="clear" w:pos="1191"/>
        <w:tab w:val="clear" w:pos="1588"/>
        <w:tab w:val="clear" w:pos="1985"/>
      </w:tabs>
      <w:overflowPunct/>
      <w:autoSpaceDE/>
      <w:autoSpaceDN/>
      <w:adjustRightInd/>
      <w:spacing w:before="100" w:after="100"/>
      <w:jc w:val="left"/>
      <w:textAlignment w:val="auto"/>
      <w:outlineLvl w:val="5"/>
    </w:pPr>
    <w:rPr>
      <w:rFonts w:ascii="Times New Roman" w:eastAsia="Times New Roman" w:hAnsi="Times New Roman"/>
      <w:b/>
      <w:snapToGrid w:val="0"/>
      <w:sz w:val="20"/>
      <w:lang w:val="en-US"/>
    </w:rPr>
  </w:style>
  <w:style w:type="paragraph" w:customStyle="1" w:styleId="H6">
    <w:name w:val="H6"/>
    <w:basedOn w:val="Normal"/>
    <w:next w:val="Normal"/>
    <w:rsid w:val="00FB7220"/>
    <w:pPr>
      <w:keepNext/>
      <w:widowControl w:val="0"/>
      <w:tabs>
        <w:tab w:val="clear" w:pos="794"/>
        <w:tab w:val="clear" w:pos="1191"/>
        <w:tab w:val="clear" w:pos="1588"/>
        <w:tab w:val="clear" w:pos="1985"/>
      </w:tabs>
      <w:overflowPunct/>
      <w:autoSpaceDE/>
      <w:autoSpaceDN/>
      <w:adjustRightInd/>
      <w:spacing w:before="100" w:after="100"/>
      <w:jc w:val="left"/>
      <w:textAlignment w:val="auto"/>
      <w:outlineLvl w:val="6"/>
    </w:pPr>
    <w:rPr>
      <w:rFonts w:ascii="Times New Roman" w:eastAsia="Times New Roman" w:hAnsi="Times New Roman"/>
      <w:b/>
      <w:snapToGrid w:val="0"/>
      <w:sz w:val="16"/>
      <w:lang w:val="en-US"/>
    </w:rPr>
  </w:style>
  <w:style w:type="character" w:customStyle="1" w:styleId="CITE">
    <w:name w:val="CITE"/>
    <w:rsid w:val="00FB7220"/>
    <w:rPr>
      <w:i/>
    </w:rPr>
  </w:style>
  <w:style w:type="character" w:customStyle="1" w:styleId="CODE">
    <w:name w:val="CODE"/>
    <w:rsid w:val="00FB7220"/>
    <w:rPr>
      <w:rFonts w:ascii="Courier New" w:hAnsi="Courier New"/>
      <w:sz w:val="20"/>
    </w:rPr>
  </w:style>
  <w:style w:type="character" w:customStyle="1" w:styleId="Keyboard">
    <w:name w:val="Keyboard"/>
    <w:rsid w:val="00FB7220"/>
    <w:rPr>
      <w:rFonts w:ascii="Courier New" w:hAnsi="Courier New"/>
      <w:b/>
      <w:sz w:val="20"/>
    </w:rPr>
  </w:style>
  <w:style w:type="paragraph" w:customStyle="1" w:styleId="Preformatted">
    <w:name w:val="Preformatted"/>
    <w:basedOn w:val="Normal"/>
    <w:rsid w:val="00FB7220"/>
    <w:pPr>
      <w:widowControl w:val="0"/>
      <w:tabs>
        <w:tab w:val="clear" w:pos="794"/>
        <w:tab w:val="clear" w:pos="1191"/>
        <w:tab w:val="clear" w:pos="1588"/>
        <w:tab w:val="clear" w:pos="1985"/>
        <w:tab w:val="left" w:pos="0"/>
        <w:tab w:val="left" w:pos="959"/>
        <w:tab w:val="left" w:pos="1918"/>
        <w:tab w:val="left" w:pos="2877"/>
        <w:tab w:val="left" w:pos="3836"/>
        <w:tab w:val="left" w:pos="4795"/>
        <w:tab w:val="left" w:pos="5754"/>
        <w:tab w:val="left" w:pos="6713"/>
        <w:tab w:val="left" w:pos="7672"/>
        <w:tab w:val="left" w:pos="8631"/>
        <w:tab w:val="left" w:pos="9590"/>
      </w:tabs>
      <w:overflowPunct/>
      <w:autoSpaceDE/>
      <w:autoSpaceDN/>
      <w:adjustRightInd/>
      <w:spacing w:before="0"/>
      <w:jc w:val="left"/>
      <w:textAlignment w:val="auto"/>
    </w:pPr>
    <w:rPr>
      <w:rFonts w:ascii="Courier New" w:eastAsia="Times New Roman" w:hAnsi="Courier New"/>
      <w:snapToGrid w:val="0"/>
      <w:sz w:val="20"/>
      <w:lang w:val="en-US"/>
    </w:rPr>
  </w:style>
  <w:style w:type="character" w:customStyle="1" w:styleId="Sample">
    <w:name w:val="Sample"/>
    <w:rsid w:val="00FB7220"/>
    <w:rPr>
      <w:rFonts w:ascii="Courier New" w:hAnsi="Courier New"/>
    </w:rPr>
  </w:style>
  <w:style w:type="character" w:customStyle="1" w:styleId="Typewriter">
    <w:name w:val="Typewriter"/>
    <w:rsid w:val="00FB7220"/>
    <w:rPr>
      <w:rFonts w:ascii="Courier New" w:hAnsi="Courier New"/>
      <w:sz w:val="20"/>
    </w:rPr>
  </w:style>
  <w:style w:type="character" w:customStyle="1" w:styleId="Variable">
    <w:name w:val="Variable"/>
    <w:rsid w:val="00FB7220"/>
    <w:rPr>
      <w:i/>
    </w:rPr>
  </w:style>
  <w:style w:type="character" w:customStyle="1" w:styleId="Comment">
    <w:name w:val="Comment"/>
    <w:rsid w:val="00FB7220"/>
    <w:rPr>
      <w:vanish/>
    </w:rPr>
  </w:style>
  <w:style w:type="table" w:customStyle="1" w:styleId="TableGrid3">
    <w:name w:val="Table Grid3"/>
    <w:basedOn w:val="TableNormal"/>
    <w:next w:val="TableGrid"/>
    <w:uiPriority w:val="59"/>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FB7220"/>
  </w:style>
  <w:style w:type="table" w:customStyle="1" w:styleId="TableGrid4">
    <w:name w:val="Table Grid4"/>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FB7220"/>
  </w:style>
  <w:style w:type="table" w:customStyle="1" w:styleId="TableGrid5">
    <w:name w:val="Table Grid5"/>
    <w:basedOn w:val="TableNormal"/>
    <w:next w:val="TableGrid"/>
    <w:uiPriority w:val="39"/>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FB7220"/>
  </w:style>
  <w:style w:type="table" w:customStyle="1" w:styleId="TableGrid6">
    <w:name w:val="Table Grid6"/>
    <w:basedOn w:val="TableNormal"/>
    <w:next w:val="TableGrid"/>
    <w:rsid w:val="00FB7220"/>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FB7220"/>
  </w:style>
  <w:style w:type="table" w:customStyle="1" w:styleId="TableGrid21">
    <w:name w:val="Table Grid21"/>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FB7220"/>
  </w:style>
  <w:style w:type="table" w:customStyle="1" w:styleId="TableGrid31">
    <w:name w:val="Table Grid31"/>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FB7220"/>
  </w:style>
  <w:style w:type="table" w:customStyle="1" w:styleId="TableGrid41">
    <w:name w:val="Table Grid41"/>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FB7220"/>
  </w:style>
  <w:style w:type="table" w:customStyle="1" w:styleId="TableGrid51">
    <w:name w:val="Table Grid51"/>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FB7220"/>
  </w:style>
  <w:style w:type="table" w:customStyle="1" w:styleId="TableGrid61">
    <w:name w:val="Table Grid61"/>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FB7220"/>
  </w:style>
  <w:style w:type="table" w:customStyle="1" w:styleId="TableGrid7">
    <w:name w:val="Table Grid7"/>
    <w:basedOn w:val="TableNormal"/>
    <w:next w:val="TableGrid"/>
    <w:uiPriority w:val="59"/>
    <w:rsid w:val="00FB7220"/>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FB7220"/>
  </w:style>
  <w:style w:type="table" w:customStyle="1" w:styleId="TableGrid22">
    <w:name w:val="Table Grid22"/>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FB7220"/>
  </w:style>
  <w:style w:type="table" w:customStyle="1" w:styleId="TableGrid32">
    <w:name w:val="Table Grid32"/>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FB7220"/>
  </w:style>
  <w:style w:type="table" w:customStyle="1" w:styleId="TableGrid42">
    <w:name w:val="Table Grid42"/>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FB7220"/>
  </w:style>
  <w:style w:type="table" w:customStyle="1" w:styleId="TableGrid52">
    <w:name w:val="Table Grid52"/>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FB7220"/>
  </w:style>
  <w:style w:type="table" w:customStyle="1" w:styleId="TableGrid62">
    <w:name w:val="Table Grid62"/>
    <w:basedOn w:val="TableNormal"/>
    <w:next w:val="TableGrid"/>
    <w:uiPriority w:val="59"/>
    <w:rsid w:val="00FB7220"/>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FB7220"/>
  </w:style>
  <w:style w:type="table" w:customStyle="1" w:styleId="TableGrid111">
    <w:name w:val="Table Grid111"/>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FB7220"/>
  </w:style>
  <w:style w:type="table" w:customStyle="1" w:styleId="TableGrid211">
    <w:name w:val="Table Grid211"/>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FB7220"/>
  </w:style>
  <w:style w:type="table" w:customStyle="1" w:styleId="TableGrid311">
    <w:name w:val="Table Grid311"/>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FB7220"/>
  </w:style>
  <w:style w:type="table" w:customStyle="1" w:styleId="TableGrid411">
    <w:name w:val="Table Grid411"/>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FB7220"/>
  </w:style>
  <w:style w:type="table" w:customStyle="1" w:styleId="TableGrid511">
    <w:name w:val="Table Grid511"/>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
    <w:name w:val="No List611"/>
    <w:next w:val="NoList"/>
    <w:uiPriority w:val="99"/>
    <w:semiHidden/>
    <w:unhideWhenUsed/>
    <w:rsid w:val="00FB7220"/>
  </w:style>
  <w:style w:type="table" w:customStyle="1" w:styleId="TableGrid611">
    <w:name w:val="Table Grid611"/>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FB7220"/>
  </w:style>
  <w:style w:type="table" w:customStyle="1" w:styleId="TableGrid71">
    <w:name w:val="Table Grid71"/>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ro">
    <w:name w:val="intro"/>
    <w:basedOn w:val="DefaultParagraphFont"/>
    <w:rsid w:val="00FB7220"/>
  </w:style>
  <w:style w:type="character" w:customStyle="1" w:styleId="ms-rtefontsize-2">
    <w:name w:val="ms-rtefontsize-2"/>
    <w:basedOn w:val="DefaultParagraphFont"/>
    <w:rsid w:val="00FB7220"/>
  </w:style>
  <w:style w:type="paragraph" w:customStyle="1" w:styleId="HeadingA">
    <w:name w:val="Heading_A"/>
    <w:basedOn w:val="Headingb"/>
    <w:qFormat/>
    <w:rsid w:val="00FB7220"/>
    <w:pPr>
      <w:keepLines/>
      <w:tabs>
        <w:tab w:val="clear" w:pos="1191"/>
        <w:tab w:val="clear" w:pos="1588"/>
        <w:tab w:val="clear" w:pos="1985"/>
        <w:tab w:val="left" w:pos="2127"/>
        <w:tab w:val="left" w:pos="2410"/>
        <w:tab w:val="left" w:pos="2921"/>
        <w:tab w:val="left" w:pos="3261"/>
      </w:tabs>
      <w:overflowPunct/>
      <w:autoSpaceDE/>
      <w:autoSpaceDN/>
      <w:adjustRightInd/>
      <w:spacing w:before="200"/>
      <w:ind w:left="794" w:hanging="794"/>
      <w:jc w:val="left"/>
      <w:textAlignment w:val="auto"/>
    </w:pPr>
    <w:rPr>
      <w:rFonts w:ascii="Calibri" w:eastAsiaTheme="minorEastAsia" w:hAnsi="Calibri"/>
      <w:sz w:val="26"/>
      <w:szCs w:val="26"/>
    </w:rPr>
  </w:style>
  <w:style w:type="character" w:customStyle="1" w:styleId="TabletitleChar">
    <w:name w:val="Table_title Char"/>
    <w:basedOn w:val="DefaultParagraphFont"/>
    <w:link w:val="Tabletitle0"/>
    <w:rsid w:val="00FB7220"/>
    <w:rPr>
      <w:rFonts w:ascii="Calibri" w:hAnsi="Calibri"/>
      <w:b/>
      <w:sz w:val="24"/>
      <w:lang w:val="en-GB" w:eastAsia="en-US"/>
    </w:rPr>
  </w:style>
  <w:style w:type="character" w:customStyle="1" w:styleId="headingbChar0">
    <w:name w:val="heading_b Char"/>
    <w:basedOn w:val="DefaultParagraphFont"/>
    <w:link w:val="headingb0"/>
    <w:rsid w:val="00FB7220"/>
    <w:rPr>
      <w:rFonts w:ascii="Times New Roman" w:hAnsi="Times New Roman"/>
      <w:b/>
      <w:sz w:val="28"/>
      <w:lang w:val="en-GB" w:eastAsia="en-US"/>
    </w:rPr>
  </w:style>
  <w:style w:type="table" w:customStyle="1" w:styleId="AnnexB4">
    <w:name w:val="AnnexB4"/>
    <w:basedOn w:val="TableNormal"/>
    <w:uiPriority w:val="99"/>
    <w:rsid w:val="00FB7220"/>
    <w:rPr>
      <w:rFonts w:ascii="Calibri" w:eastAsiaTheme="minorEastAsia" w:hAnsi="Calibri"/>
      <w:sz w:val="10"/>
    </w:rPr>
    <w:tblPr>
      <w:tblBorders>
        <w:top w:val="single" w:sz="4" w:space="0" w:color="auto"/>
        <w:left w:val="single" w:sz="4" w:space="0" w:color="auto"/>
        <w:bottom w:val="single" w:sz="4" w:space="0" w:color="auto"/>
        <w:right w:val="single" w:sz="4" w:space="0" w:color="auto"/>
        <w:insideV w:val="single" w:sz="4" w:space="0" w:color="auto"/>
      </w:tblBorders>
    </w:tblPr>
  </w:style>
  <w:style w:type="paragraph" w:customStyle="1" w:styleId="xl143">
    <w:name w:val="xl143"/>
    <w:basedOn w:val="Normal"/>
    <w:rsid w:val="00FB7220"/>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sz w:val="16"/>
      <w:szCs w:val="16"/>
      <w:lang w:val="en-US" w:eastAsia="zh-CN"/>
    </w:rPr>
  </w:style>
  <w:style w:type="paragraph" w:customStyle="1" w:styleId="xl144">
    <w:name w:val="xl144"/>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sz w:val="16"/>
      <w:szCs w:val="16"/>
      <w:lang w:val="en-US" w:eastAsia="zh-CN"/>
    </w:rPr>
  </w:style>
  <w:style w:type="paragraph" w:customStyle="1" w:styleId="xl145">
    <w:name w:val="xl145"/>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sz w:val="16"/>
      <w:szCs w:val="16"/>
      <w:lang w:val="en-US" w:eastAsia="zh-CN"/>
    </w:rPr>
  </w:style>
  <w:style w:type="paragraph" w:customStyle="1" w:styleId="xl146">
    <w:name w:val="xl146"/>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47">
    <w:name w:val="xl147"/>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48">
    <w:name w:val="xl148"/>
    <w:basedOn w:val="Normal"/>
    <w:rsid w:val="00FB7220"/>
    <w:pPr>
      <w:pBdr>
        <w:top w:val="double" w:sz="6"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sz w:val="16"/>
      <w:szCs w:val="16"/>
      <w:lang w:val="en-US" w:eastAsia="zh-CN"/>
    </w:rPr>
  </w:style>
  <w:style w:type="paragraph" w:customStyle="1" w:styleId="xl149">
    <w:name w:val="xl149"/>
    <w:basedOn w:val="Normal"/>
    <w:rsid w:val="00FB7220"/>
    <w:pPr>
      <w:pBdr>
        <w:top w:val="double" w:sz="6"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sz w:val="16"/>
      <w:szCs w:val="16"/>
      <w:lang w:val="en-US" w:eastAsia="zh-CN"/>
    </w:rPr>
  </w:style>
  <w:style w:type="paragraph" w:customStyle="1" w:styleId="xl150">
    <w:name w:val="xl150"/>
    <w:basedOn w:val="Normal"/>
    <w:rsid w:val="00FB7220"/>
    <w:pPr>
      <w:pBdr>
        <w:top w:val="double" w:sz="6"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sz w:val="16"/>
      <w:szCs w:val="16"/>
      <w:lang w:val="en-US" w:eastAsia="zh-CN"/>
    </w:rPr>
  </w:style>
  <w:style w:type="paragraph" w:customStyle="1" w:styleId="xl151">
    <w:name w:val="xl151"/>
    <w:basedOn w:val="Normal"/>
    <w:rsid w:val="00FB7220"/>
    <w:pPr>
      <w:pBdr>
        <w:top w:val="double" w:sz="6"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b/>
      <w:bCs/>
      <w:sz w:val="16"/>
      <w:szCs w:val="16"/>
      <w:lang w:val="en-US" w:eastAsia="zh-CN"/>
    </w:rPr>
  </w:style>
  <w:style w:type="paragraph" w:customStyle="1" w:styleId="xl152">
    <w:name w:val="xl152"/>
    <w:basedOn w:val="Normal"/>
    <w:rsid w:val="00FB7220"/>
    <w:pPr>
      <w:pBdr>
        <w:top w:val="double" w:sz="6"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b/>
      <w:bCs/>
      <w:sz w:val="16"/>
      <w:szCs w:val="16"/>
      <w:lang w:val="en-US" w:eastAsia="zh-CN"/>
    </w:rPr>
  </w:style>
  <w:style w:type="paragraph" w:customStyle="1" w:styleId="xl153">
    <w:name w:val="xl153"/>
    <w:basedOn w:val="Normal"/>
    <w:rsid w:val="00FB7220"/>
    <w:pPr>
      <w:pBdr>
        <w:top w:val="double" w:sz="6"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b/>
      <w:bCs/>
      <w:sz w:val="16"/>
      <w:szCs w:val="16"/>
      <w:lang w:val="en-US" w:eastAsia="zh-CN"/>
    </w:rPr>
  </w:style>
  <w:style w:type="paragraph" w:customStyle="1" w:styleId="xl154">
    <w:name w:val="xl154"/>
    <w:basedOn w:val="Normal"/>
    <w:rsid w:val="00FB7220"/>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sz w:val="16"/>
      <w:szCs w:val="16"/>
      <w:lang w:val="en-US" w:eastAsia="zh-CN"/>
    </w:rPr>
  </w:style>
  <w:style w:type="paragraph" w:customStyle="1" w:styleId="xl155">
    <w:name w:val="xl155"/>
    <w:basedOn w:val="Normal"/>
    <w:rsid w:val="00FB7220"/>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heme="minorEastAsia" w:hAnsi="Century Gothic"/>
      <w:sz w:val="16"/>
      <w:szCs w:val="16"/>
      <w:lang w:val="en-US" w:eastAsia="zh-CN"/>
    </w:rPr>
  </w:style>
  <w:style w:type="paragraph" w:customStyle="1" w:styleId="xl156">
    <w:name w:val="xl156"/>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heme="minorEastAsia" w:hAnsi="Century Gothic"/>
      <w:sz w:val="16"/>
      <w:szCs w:val="16"/>
      <w:lang w:val="en-US" w:eastAsia="zh-CN"/>
    </w:rPr>
  </w:style>
  <w:style w:type="paragraph" w:customStyle="1" w:styleId="xl157">
    <w:name w:val="xl157"/>
    <w:basedOn w:val="Normal"/>
    <w:rsid w:val="00FB7220"/>
    <w:pPr>
      <w:pBdr>
        <w:top w:val="double" w:sz="6"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b/>
      <w:bCs/>
      <w:sz w:val="16"/>
      <w:szCs w:val="16"/>
      <w:lang w:val="en-US" w:eastAsia="zh-CN"/>
    </w:rPr>
  </w:style>
  <w:style w:type="paragraph" w:customStyle="1" w:styleId="xl158">
    <w:name w:val="xl158"/>
    <w:basedOn w:val="Normal"/>
    <w:rsid w:val="00FB7220"/>
    <w:pPr>
      <w:pBdr>
        <w:top w:val="single" w:sz="4" w:space="0" w:color="auto"/>
        <w:bottom w:val="single" w:sz="4" w:space="0" w:color="auto"/>
      </w:pBdr>
      <w:shd w:val="clear" w:color="000000" w:fill="D9D9D9"/>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b/>
      <w:bCs/>
      <w:sz w:val="16"/>
      <w:szCs w:val="16"/>
      <w:lang w:val="en-US" w:eastAsia="zh-CN"/>
    </w:rPr>
  </w:style>
  <w:style w:type="paragraph" w:customStyle="1" w:styleId="xl159">
    <w:name w:val="xl159"/>
    <w:basedOn w:val="Normal"/>
    <w:rsid w:val="00FB7220"/>
    <w:pPr>
      <w:pBdr>
        <w:top w:val="single" w:sz="4" w:space="0" w:color="auto"/>
        <w:bottom w:val="double" w:sz="6" w:space="0" w:color="auto"/>
        <w:right w:val="single" w:sz="4" w:space="0" w:color="auto"/>
      </w:pBdr>
      <w:shd w:val="clear" w:color="000000" w:fill="D9D9D9"/>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b/>
      <w:bCs/>
      <w:sz w:val="16"/>
      <w:szCs w:val="16"/>
      <w:lang w:val="en-US" w:eastAsia="zh-CN"/>
    </w:rPr>
  </w:style>
  <w:style w:type="paragraph" w:customStyle="1" w:styleId="xl160">
    <w:name w:val="xl160"/>
    <w:basedOn w:val="Normal"/>
    <w:rsid w:val="00FB7220"/>
    <w:pPr>
      <w:pBdr>
        <w:top w:val="single" w:sz="4" w:space="0" w:color="auto"/>
        <w:left w:val="single" w:sz="4" w:space="0" w:color="auto"/>
        <w:bottom w:val="double" w:sz="6" w:space="0" w:color="auto"/>
        <w:right w:val="single" w:sz="4" w:space="0" w:color="auto"/>
      </w:pBdr>
      <w:shd w:val="clear" w:color="000000" w:fill="D9D9D9"/>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b/>
      <w:bCs/>
      <w:sz w:val="16"/>
      <w:szCs w:val="16"/>
      <w:lang w:val="en-US" w:eastAsia="zh-CN"/>
    </w:rPr>
  </w:style>
  <w:style w:type="paragraph" w:customStyle="1" w:styleId="xl161">
    <w:name w:val="xl161"/>
    <w:basedOn w:val="Normal"/>
    <w:rsid w:val="00FB7220"/>
    <w:pPr>
      <w:pBdr>
        <w:top w:val="single" w:sz="4" w:space="0" w:color="auto"/>
        <w:left w:val="single" w:sz="4" w:space="0" w:color="auto"/>
        <w:bottom w:val="double" w:sz="6" w:space="0" w:color="auto"/>
        <w:right w:val="single" w:sz="4" w:space="0" w:color="auto"/>
      </w:pBdr>
      <w:shd w:val="clear" w:color="000000" w:fill="D9D9D9"/>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b/>
      <w:bCs/>
      <w:sz w:val="16"/>
      <w:szCs w:val="16"/>
      <w:lang w:val="en-US" w:eastAsia="zh-CN"/>
    </w:rPr>
  </w:style>
  <w:style w:type="paragraph" w:customStyle="1" w:styleId="xl162">
    <w:name w:val="xl162"/>
    <w:basedOn w:val="Normal"/>
    <w:rsid w:val="00FB7220"/>
    <w:pPr>
      <w:pBdr>
        <w:top w:val="single" w:sz="4" w:space="0" w:color="auto"/>
        <w:left w:val="single" w:sz="4" w:space="0" w:color="auto"/>
        <w:bottom w:val="double" w:sz="6" w:space="0" w:color="auto"/>
      </w:pBdr>
      <w:shd w:val="clear" w:color="000000" w:fill="D9D9D9"/>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b/>
      <w:bCs/>
      <w:sz w:val="16"/>
      <w:szCs w:val="16"/>
      <w:lang w:val="en-US" w:eastAsia="zh-CN"/>
    </w:rPr>
  </w:style>
  <w:style w:type="paragraph" w:customStyle="1" w:styleId="xl163">
    <w:name w:val="xl163"/>
    <w:basedOn w:val="Normal"/>
    <w:rsid w:val="00FB7220"/>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64">
    <w:name w:val="xl164"/>
    <w:basedOn w:val="Normal"/>
    <w:rsid w:val="00FB7220"/>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65">
    <w:name w:val="xl165"/>
    <w:basedOn w:val="Normal"/>
    <w:rsid w:val="00FB7220"/>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66">
    <w:name w:val="xl166"/>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67">
    <w:name w:val="xl167"/>
    <w:basedOn w:val="Normal"/>
    <w:rsid w:val="00FB7220"/>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68">
    <w:name w:val="xl168"/>
    <w:basedOn w:val="Normal"/>
    <w:rsid w:val="00FB7220"/>
    <w:pPr>
      <w:pBdr>
        <w:top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69">
    <w:name w:val="xl169"/>
    <w:basedOn w:val="Normal"/>
    <w:rsid w:val="00FB7220"/>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70">
    <w:name w:val="xl170"/>
    <w:basedOn w:val="Normal"/>
    <w:rsid w:val="00FB7220"/>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71">
    <w:name w:val="xl171"/>
    <w:basedOn w:val="Normal"/>
    <w:rsid w:val="00FB7220"/>
    <w:pPr>
      <w:pBdr>
        <w:top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72">
    <w:name w:val="xl172"/>
    <w:basedOn w:val="Normal"/>
    <w:rsid w:val="00FB7220"/>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73">
    <w:name w:val="xl173"/>
    <w:basedOn w:val="Normal"/>
    <w:rsid w:val="00FB7220"/>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74">
    <w:name w:val="xl174"/>
    <w:basedOn w:val="Normal"/>
    <w:rsid w:val="00FB7220"/>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75">
    <w:name w:val="xl175"/>
    <w:basedOn w:val="Normal"/>
    <w:rsid w:val="00FB7220"/>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76">
    <w:name w:val="xl176"/>
    <w:basedOn w:val="Normal"/>
    <w:rsid w:val="00FB7220"/>
    <w:pPr>
      <w:pBdr>
        <w:top w:val="single" w:sz="4" w:space="0" w:color="auto"/>
        <w:left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77">
    <w:name w:val="xl177"/>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78">
    <w:name w:val="xl178"/>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79">
    <w:name w:val="xl179"/>
    <w:basedOn w:val="Normal"/>
    <w:rsid w:val="00FB7220"/>
    <w:pPr>
      <w:pBdr>
        <w:top w:val="double" w:sz="6"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80">
    <w:name w:val="xl180"/>
    <w:basedOn w:val="Normal"/>
    <w:rsid w:val="00FB7220"/>
    <w:pPr>
      <w:pBdr>
        <w:top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81">
    <w:name w:val="xl181"/>
    <w:basedOn w:val="Normal"/>
    <w:rsid w:val="00FB7220"/>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82">
    <w:name w:val="xl182"/>
    <w:basedOn w:val="Normal"/>
    <w:rsid w:val="00FB7220"/>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83">
    <w:name w:val="xl183"/>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84">
    <w:name w:val="xl184"/>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85">
    <w:name w:val="xl185"/>
    <w:basedOn w:val="Normal"/>
    <w:rsid w:val="00FB7220"/>
    <w:pPr>
      <w:pBdr>
        <w:top w:val="single" w:sz="4" w:space="0" w:color="auto"/>
        <w:left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86">
    <w:name w:val="xl186"/>
    <w:basedOn w:val="Normal"/>
    <w:rsid w:val="00FB7220"/>
    <w:pPr>
      <w:pBdr>
        <w:top w:val="double" w:sz="6"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87">
    <w:name w:val="xl187"/>
    <w:basedOn w:val="Normal"/>
    <w:rsid w:val="00FB7220"/>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88">
    <w:name w:val="xl188"/>
    <w:basedOn w:val="Normal"/>
    <w:rsid w:val="00FB7220"/>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89">
    <w:name w:val="xl189"/>
    <w:basedOn w:val="Normal"/>
    <w:rsid w:val="00FB7220"/>
    <w:pPr>
      <w:pBdr>
        <w:top w:val="single" w:sz="4" w:space="0" w:color="auto"/>
        <w:left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eastAsiaTheme="minorEastAsia" w:hAnsi="Times New Roman"/>
      <w:b/>
      <w:bCs/>
      <w:szCs w:val="24"/>
      <w:lang w:val="en-US" w:eastAsia="zh-CN"/>
    </w:rPr>
  </w:style>
  <w:style w:type="paragraph" w:customStyle="1" w:styleId="xl190">
    <w:name w:val="xl190"/>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eastAsiaTheme="minorEastAsia" w:hAnsi="Times New Roman"/>
      <w:sz w:val="20"/>
      <w:lang w:val="en-US" w:eastAsia="zh-CN"/>
    </w:rPr>
  </w:style>
  <w:style w:type="paragraph" w:customStyle="1" w:styleId="xl191">
    <w:name w:val="xl191"/>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eastAsiaTheme="minorEastAsia" w:hAnsi="Times New Roman"/>
      <w:sz w:val="20"/>
      <w:lang w:val="en-US" w:eastAsia="zh-CN"/>
    </w:rPr>
  </w:style>
  <w:style w:type="paragraph" w:customStyle="1" w:styleId="xl192">
    <w:name w:val="xl192"/>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Times New Roman" w:eastAsiaTheme="minorEastAsia" w:hAnsi="Times New Roman"/>
      <w:color w:val="000000"/>
      <w:sz w:val="20"/>
      <w:lang w:val="en-US" w:eastAsia="zh-CN"/>
    </w:rPr>
  </w:style>
  <w:style w:type="paragraph" w:customStyle="1" w:styleId="xl193">
    <w:name w:val="xl193"/>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eastAsiaTheme="minorEastAsia" w:hAnsi="Times New Roman"/>
      <w:sz w:val="20"/>
      <w:lang w:val="en-US" w:eastAsia="zh-CN"/>
    </w:rPr>
  </w:style>
  <w:style w:type="paragraph" w:customStyle="1" w:styleId="xl194">
    <w:name w:val="xl194"/>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eastAsiaTheme="minorEastAsia" w:hAnsi="Times New Roman"/>
      <w:sz w:val="20"/>
      <w:lang w:val="en-US" w:eastAsia="zh-CN"/>
    </w:rPr>
  </w:style>
  <w:style w:type="paragraph" w:customStyle="1" w:styleId="xl195">
    <w:name w:val="xl195"/>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eastAsiaTheme="minorEastAsia" w:hAnsi="Times New Roman"/>
      <w:sz w:val="20"/>
      <w:lang w:val="en-US" w:eastAsia="zh-CN"/>
    </w:rPr>
  </w:style>
  <w:style w:type="paragraph" w:customStyle="1" w:styleId="xl196">
    <w:name w:val="xl196"/>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eastAsiaTheme="minorEastAsia" w:hAnsi="Times New Roman"/>
      <w:b/>
      <w:bCs/>
      <w:sz w:val="20"/>
      <w:lang w:val="en-US" w:eastAsia="zh-CN"/>
    </w:rPr>
  </w:style>
  <w:style w:type="paragraph" w:customStyle="1" w:styleId="xl197">
    <w:name w:val="xl197"/>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eastAsiaTheme="minorEastAsia" w:hAnsi="Times New Roman"/>
      <w:sz w:val="20"/>
      <w:lang w:val="en-US" w:eastAsia="zh-CN"/>
    </w:rPr>
  </w:style>
  <w:style w:type="paragraph" w:customStyle="1" w:styleId="xl198">
    <w:name w:val="xl198"/>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eastAsiaTheme="minorEastAsia" w:hAnsi="Times New Roman"/>
      <w:b/>
      <w:bCs/>
      <w:sz w:val="20"/>
      <w:lang w:val="en-US" w:eastAsia="zh-CN"/>
    </w:rPr>
  </w:style>
  <w:style w:type="paragraph" w:customStyle="1" w:styleId="xl199">
    <w:name w:val="xl199"/>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eastAsiaTheme="minorEastAsia" w:hAnsi="Times New Roman"/>
      <w:sz w:val="20"/>
      <w:lang w:val="en-US" w:eastAsia="zh-CN"/>
    </w:rPr>
  </w:style>
  <w:style w:type="paragraph" w:customStyle="1" w:styleId="xl200">
    <w:name w:val="xl200"/>
    <w:basedOn w:val="Normal"/>
    <w:rsid w:val="00FB7220"/>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eastAsiaTheme="minorEastAsia" w:hAnsi="Times New Roman"/>
      <w:sz w:val="20"/>
      <w:lang w:val="en-US" w:eastAsia="zh-CN"/>
    </w:rPr>
  </w:style>
  <w:style w:type="paragraph" w:customStyle="1" w:styleId="xl201">
    <w:name w:val="xl201"/>
    <w:basedOn w:val="Normal"/>
    <w:rsid w:val="00FB7220"/>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sz w:val="20"/>
      <w:lang w:val="en-US" w:eastAsia="zh-CN"/>
    </w:rPr>
  </w:style>
  <w:style w:type="paragraph" w:customStyle="1" w:styleId="xl202">
    <w:name w:val="xl202"/>
    <w:basedOn w:val="Normal"/>
    <w:rsid w:val="00FB7220"/>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b/>
      <w:bCs/>
      <w:sz w:val="20"/>
      <w:lang w:val="en-US" w:eastAsia="zh-CN"/>
    </w:rPr>
  </w:style>
  <w:style w:type="paragraph" w:customStyle="1" w:styleId="xl203">
    <w:name w:val="xl203"/>
    <w:basedOn w:val="Normal"/>
    <w:rsid w:val="00FB7220"/>
    <w:pPr>
      <w:pBdr>
        <w:top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eastAsiaTheme="minorEastAsia" w:hAnsi="Times New Roman"/>
      <w:sz w:val="20"/>
      <w:lang w:val="en-US" w:eastAsia="zh-CN"/>
    </w:rPr>
  </w:style>
  <w:style w:type="paragraph" w:customStyle="1" w:styleId="xl204">
    <w:name w:val="xl204"/>
    <w:basedOn w:val="Normal"/>
    <w:rsid w:val="00FB7220"/>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eastAsiaTheme="minorEastAsia" w:hAnsi="Times New Roman"/>
      <w:b/>
      <w:bCs/>
      <w:sz w:val="20"/>
      <w:lang w:val="en-US" w:eastAsia="zh-CN"/>
    </w:rPr>
  </w:style>
  <w:style w:type="paragraph" w:customStyle="1" w:styleId="xl205">
    <w:name w:val="xl205"/>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eastAsiaTheme="minorEastAsia" w:hAnsi="Times New Roman"/>
      <w:b/>
      <w:bCs/>
      <w:sz w:val="20"/>
      <w:lang w:val="en-US" w:eastAsia="zh-CN"/>
    </w:rPr>
  </w:style>
  <w:style w:type="paragraph" w:customStyle="1" w:styleId="xl206">
    <w:name w:val="xl206"/>
    <w:basedOn w:val="Normal"/>
    <w:rsid w:val="00FB7220"/>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eastAsiaTheme="minorEastAsia" w:hAnsi="Times New Roman"/>
      <w:sz w:val="20"/>
      <w:lang w:val="en-US" w:eastAsia="zh-CN"/>
    </w:rPr>
  </w:style>
  <w:style w:type="paragraph" w:customStyle="1" w:styleId="xl207">
    <w:name w:val="xl207"/>
    <w:basedOn w:val="Normal"/>
    <w:rsid w:val="00FB7220"/>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sz w:val="20"/>
      <w:lang w:val="en-US" w:eastAsia="zh-CN"/>
    </w:rPr>
  </w:style>
  <w:style w:type="paragraph" w:customStyle="1" w:styleId="xl208">
    <w:name w:val="xl208"/>
    <w:basedOn w:val="Normal"/>
    <w:rsid w:val="00FB7220"/>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b/>
      <w:bCs/>
      <w:sz w:val="20"/>
      <w:lang w:val="en-US" w:eastAsia="zh-CN"/>
    </w:rPr>
  </w:style>
  <w:style w:type="paragraph" w:customStyle="1" w:styleId="xl209">
    <w:name w:val="xl209"/>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eastAsiaTheme="minorEastAsia" w:hAnsi="Times New Roman"/>
      <w:b/>
      <w:bCs/>
      <w:sz w:val="20"/>
      <w:lang w:val="en-US" w:eastAsia="zh-CN"/>
    </w:rPr>
  </w:style>
  <w:style w:type="paragraph" w:customStyle="1" w:styleId="xl210">
    <w:name w:val="xl210"/>
    <w:basedOn w:val="Normal"/>
    <w:rsid w:val="00FB7220"/>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sz w:val="20"/>
      <w:lang w:val="en-US" w:eastAsia="zh-CN"/>
    </w:rPr>
  </w:style>
  <w:style w:type="paragraph" w:customStyle="1" w:styleId="xl211">
    <w:name w:val="xl211"/>
    <w:basedOn w:val="Normal"/>
    <w:rsid w:val="00FB7220"/>
    <w:pPr>
      <w:pBdr>
        <w:top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sz w:val="20"/>
      <w:lang w:val="en-US" w:eastAsia="zh-CN"/>
    </w:rPr>
  </w:style>
  <w:style w:type="paragraph" w:customStyle="1" w:styleId="xl212">
    <w:name w:val="xl212"/>
    <w:basedOn w:val="Normal"/>
    <w:rsid w:val="00FB7220"/>
    <w:pPr>
      <w:pBdr>
        <w:top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sz w:val="20"/>
      <w:lang w:val="en-US" w:eastAsia="zh-CN"/>
    </w:rPr>
  </w:style>
  <w:style w:type="paragraph" w:customStyle="1" w:styleId="xl213">
    <w:name w:val="xl213"/>
    <w:basedOn w:val="Normal"/>
    <w:rsid w:val="00FB7220"/>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eastAsiaTheme="minorEastAsia" w:hAnsi="Times New Roman"/>
      <w:b/>
      <w:bCs/>
      <w:sz w:val="20"/>
      <w:lang w:val="en-US" w:eastAsia="zh-CN"/>
    </w:rPr>
  </w:style>
  <w:style w:type="paragraph" w:customStyle="1" w:styleId="xl214">
    <w:name w:val="xl214"/>
    <w:basedOn w:val="Normal"/>
    <w:rsid w:val="00FB7220"/>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eastAsiaTheme="minorEastAsia" w:hAnsi="Times New Roman"/>
      <w:b/>
      <w:bCs/>
      <w:sz w:val="20"/>
      <w:lang w:val="en-US" w:eastAsia="zh-CN"/>
    </w:rPr>
  </w:style>
  <w:style w:type="paragraph" w:customStyle="1" w:styleId="xl215">
    <w:name w:val="xl215"/>
    <w:basedOn w:val="Normal"/>
    <w:rsid w:val="00FB7220"/>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eastAsiaTheme="minorEastAsia" w:hAnsi="Times New Roman"/>
      <w:b/>
      <w:bCs/>
      <w:sz w:val="20"/>
      <w:lang w:val="en-US" w:eastAsia="zh-CN"/>
    </w:rPr>
  </w:style>
  <w:style w:type="paragraph" w:customStyle="1" w:styleId="xl216">
    <w:name w:val="xl216"/>
    <w:basedOn w:val="Normal"/>
    <w:rsid w:val="00FB7220"/>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eastAsiaTheme="minorEastAsia" w:hAnsi="Times New Roman"/>
      <w:b/>
      <w:bCs/>
      <w:sz w:val="20"/>
      <w:lang w:val="en-US" w:eastAsia="zh-CN"/>
    </w:rPr>
  </w:style>
  <w:style w:type="paragraph" w:customStyle="1" w:styleId="xl217">
    <w:name w:val="xl217"/>
    <w:basedOn w:val="Normal"/>
    <w:rsid w:val="00FB7220"/>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eastAsiaTheme="minorEastAsia" w:hAnsi="Times New Roman"/>
      <w:b/>
      <w:bCs/>
      <w:color w:val="000000"/>
      <w:sz w:val="20"/>
      <w:lang w:val="en-US" w:eastAsia="zh-CN"/>
    </w:rPr>
  </w:style>
  <w:style w:type="paragraph" w:customStyle="1" w:styleId="xl218">
    <w:name w:val="xl218"/>
    <w:basedOn w:val="Normal"/>
    <w:rsid w:val="00FB7220"/>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eastAsiaTheme="minorEastAsia" w:hAnsi="Times New Roman"/>
      <w:b/>
      <w:bCs/>
      <w:color w:val="000000"/>
      <w:sz w:val="20"/>
      <w:lang w:val="en-US" w:eastAsia="zh-CN"/>
    </w:rPr>
  </w:style>
  <w:style w:type="paragraph" w:customStyle="1" w:styleId="xl219">
    <w:name w:val="xl219"/>
    <w:basedOn w:val="Normal"/>
    <w:rsid w:val="00FB7220"/>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eastAsiaTheme="minorEastAsia" w:hAnsi="Times New Roman"/>
      <w:b/>
      <w:bCs/>
      <w:color w:val="000000"/>
      <w:sz w:val="20"/>
      <w:lang w:val="en-US" w:eastAsia="zh-CN"/>
    </w:rPr>
  </w:style>
  <w:style w:type="paragraph" w:customStyle="1" w:styleId="xl220">
    <w:name w:val="xl220"/>
    <w:basedOn w:val="Normal"/>
    <w:rsid w:val="00FB7220"/>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eastAsiaTheme="minorEastAsia" w:hAnsi="Times New Roman"/>
      <w:b/>
      <w:bCs/>
      <w:color w:val="000000"/>
      <w:sz w:val="20"/>
      <w:lang w:val="en-US" w:eastAsia="zh-CN"/>
    </w:rPr>
  </w:style>
  <w:style w:type="paragraph" w:customStyle="1" w:styleId="xl221">
    <w:name w:val="xl221"/>
    <w:basedOn w:val="Normal"/>
    <w:rsid w:val="00FB7220"/>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eastAsiaTheme="minorEastAsia" w:hAnsi="Times New Roman"/>
      <w:b/>
      <w:bCs/>
      <w:color w:val="000000"/>
      <w:sz w:val="20"/>
      <w:lang w:val="en-US" w:eastAsia="zh-CN"/>
    </w:rPr>
  </w:style>
  <w:style w:type="paragraph" w:customStyle="1" w:styleId="xl222">
    <w:name w:val="xl222"/>
    <w:basedOn w:val="Normal"/>
    <w:rsid w:val="00FB7220"/>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eastAsiaTheme="minorEastAsia" w:hAnsi="Times New Roman"/>
      <w:b/>
      <w:bCs/>
      <w:color w:val="000000"/>
      <w:sz w:val="20"/>
      <w:lang w:val="en-US" w:eastAsia="zh-CN"/>
    </w:rPr>
  </w:style>
  <w:style w:type="paragraph" w:customStyle="1" w:styleId="xl223">
    <w:name w:val="xl223"/>
    <w:basedOn w:val="Normal"/>
    <w:rsid w:val="00FB7220"/>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eastAsiaTheme="minorEastAsia" w:hAnsi="Times New Roman"/>
      <w:b/>
      <w:bCs/>
      <w:sz w:val="20"/>
      <w:lang w:val="en-US" w:eastAsia="zh-CN"/>
    </w:rPr>
  </w:style>
  <w:style w:type="paragraph" w:customStyle="1" w:styleId="xl224">
    <w:name w:val="xl224"/>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eastAsiaTheme="minorEastAsia" w:hAnsi="Times New Roman"/>
      <w:b/>
      <w:bCs/>
      <w:sz w:val="20"/>
      <w:lang w:val="en-US" w:eastAsia="zh-CN"/>
    </w:rPr>
  </w:style>
  <w:style w:type="paragraph" w:customStyle="1" w:styleId="xl225">
    <w:name w:val="xl225"/>
    <w:basedOn w:val="Normal"/>
    <w:rsid w:val="00FB7220"/>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eastAsiaTheme="minorEastAsia" w:hAnsi="Times New Roman"/>
      <w:b/>
      <w:bCs/>
      <w:sz w:val="20"/>
      <w:lang w:val="en-US" w:eastAsia="zh-CN"/>
    </w:rPr>
  </w:style>
  <w:style w:type="paragraph" w:customStyle="1" w:styleId="xl2377">
    <w:name w:val="xl2377"/>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eastAsia="zh-CN"/>
    </w:rPr>
  </w:style>
  <w:style w:type="paragraph" w:customStyle="1" w:styleId="xl2378">
    <w:name w:val="xl2378"/>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eastAsia="zh-CN"/>
    </w:rPr>
  </w:style>
  <w:style w:type="paragraph" w:customStyle="1" w:styleId="xl2379">
    <w:name w:val="xl2379"/>
    <w:basedOn w:val="Normal"/>
    <w:rsid w:val="00FB7220"/>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eastAsia="zh-CN"/>
    </w:rPr>
  </w:style>
  <w:style w:type="paragraph" w:customStyle="1" w:styleId="xl2380">
    <w:name w:val="xl2380"/>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sz w:val="16"/>
      <w:szCs w:val="16"/>
      <w:lang w:eastAsia="zh-CN"/>
    </w:rPr>
  </w:style>
  <w:style w:type="paragraph" w:customStyle="1" w:styleId="xl2381">
    <w:name w:val="xl2381"/>
    <w:basedOn w:val="Normal"/>
    <w:rsid w:val="00FB722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sz w:val="16"/>
      <w:szCs w:val="16"/>
      <w:lang w:eastAsia="zh-CN"/>
    </w:rPr>
  </w:style>
  <w:style w:type="paragraph" w:customStyle="1" w:styleId="xl2382">
    <w:name w:val="xl2382"/>
    <w:basedOn w:val="Normal"/>
    <w:rsid w:val="00FB7220"/>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b/>
      <w:bCs/>
      <w:sz w:val="16"/>
      <w:szCs w:val="16"/>
      <w:lang w:eastAsia="zh-CN"/>
    </w:rPr>
  </w:style>
  <w:style w:type="paragraph" w:customStyle="1" w:styleId="xl2383">
    <w:name w:val="xl2383"/>
    <w:basedOn w:val="Normal"/>
    <w:rsid w:val="00FB7220"/>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384">
    <w:name w:val="xl2384"/>
    <w:basedOn w:val="Normal"/>
    <w:rsid w:val="00FB7220"/>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b/>
      <w:bCs/>
      <w:sz w:val="16"/>
      <w:szCs w:val="16"/>
      <w:lang w:eastAsia="zh-CN"/>
    </w:rPr>
  </w:style>
  <w:style w:type="paragraph" w:customStyle="1" w:styleId="xl2385">
    <w:name w:val="xl2385"/>
    <w:basedOn w:val="Normal"/>
    <w:rsid w:val="00FB7220"/>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386">
    <w:name w:val="xl2386"/>
    <w:basedOn w:val="Normal"/>
    <w:rsid w:val="00FB7220"/>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sz w:val="16"/>
      <w:szCs w:val="16"/>
      <w:lang w:eastAsia="zh-CN"/>
    </w:rPr>
  </w:style>
  <w:style w:type="paragraph" w:customStyle="1" w:styleId="xl2387">
    <w:name w:val="xl2387"/>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sz w:val="16"/>
      <w:szCs w:val="16"/>
      <w:lang w:eastAsia="zh-CN"/>
    </w:rPr>
  </w:style>
  <w:style w:type="paragraph" w:customStyle="1" w:styleId="xl2388">
    <w:name w:val="xl2388"/>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heme="minorEastAsia" w:hAnsi="Century Gothic"/>
      <w:b/>
      <w:bCs/>
      <w:sz w:val="16"/>
      <w:szCs w:val="16"/>
      <w:lang w:eastAsia="zh-CN"/>
    </w:rPr>
  </w:style>
  <w:style w:type="paragraph" w:customStyle="1" w:styleId="xl2389">
    <w:name w:val="xl2389"/>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b/>
      <w:bCs/>
      <w:sz w:val="16"/>
      <w:szCs w:val="16"/>
      <w:lang w:eastAsia="zh-CN"/>
    </w:rPr>
  </w:style>
  <w:style w:type="paragraph" w:customStyle="1" w:styleId="xl2390">
    <w:name w:val="xl2390"/>
    <w:basedOn w:val="Normal"/>
    <w:rsid w:val="00FB722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b/>
      <w:bCs/>
      <w:sz w:val="16"/>
      <w:szCs w:val="16"/>
      <w:lang w:eastAsia="zh-CN"/>
    </w:rPr>
  </w:style>
  <w:style w:type="paragraph" w:customStyle="1" w:styleId="xl2391">
    <w:name w:val="xl2391"/>
    <w:basedOn w:val="Normal"/>
    <w:rsid w:val="00FB7220"/>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heme="minorEastAsia" w:hAnsi="Century Gothic"/>
      <w:b/>
      <w:bCs/>
      <w:sz w:val="16"/>
      <w:szCs w:val="16"/>
      <w:lang w:eastAsia="zh-CN"/>
    </w:rPr>
  </w:style>
  <w:style w:type="paragraph" w:customStyle="1" w:styleId="xl2392">
    <w:name w:val="xl2392"/>
    <w:basedOn w:val="Normal"/>
    <w:rsid w:val="00FB7220"/>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393">
    <w:name w:val="xl2393"/>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394">
    <w:name w:val="xl2394"/>
    <w:basedOn w:val="Normal"/>
    <w:rsid w:val="00FB7220"/>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395">
    <w:name w:val="xl2395"/>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396">
    <w:name w:val="xl2396"/>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eastAsia="zh-CN"/>
    </w:rPr>
  </w:style>
  <w:style w:type="paragraph" w:customStyle="1" w:styleId="xl2397">
    <w:name w:val="xl2397"/>
    <w:basedOn w:val="Normal"/>
    <w:rsid w:val="00FB7220"/>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sz w:val="16"/>
      <w:szCs w:val="16"/>
      <w:lang w:eastAsia="zh-CN"/>
    </w:rPr>
  </w:style>
  <w:style w:type="paragraph" w:customStyle="1" w:styleId="xl2398">
    <w:name w:val="xl2398"/>
    <w:basedOn w:val="Normal"/>
    <w:rsid w:val="00FB7220"/>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eastAsia="zh-CN"/>
    </w:rPr>
  </w:style>
  <w:style w:type="paragraph" w:customStyle="1" w:styleId="xl2399">
    <w:name w:val="xl2399"/>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heme="minorEastAsia" w:hAnsi="Century Gothic"/>
      <w:b/>
      <w:bCs/>
      <w:sz w:val="16"/>
      <w:szCs w:val="16"/>
      <w:lang w:eastAsia="zh-CN"/>
    </w:rPr>
  </w:style>
  <w:style w:type="paragraph" w:customStyle="1" w:styleId="xl2400">
    <w:name w:val="xl2400"/>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sz w:val="16"/>
      <w:szCs w:val="16"/>
      <w:lang w:eastAsia="zh-CN"/>
    </w:rPr>
  </w:style>
  <w:style w:type="paragraph" w:customStyle="1" w:styleId="xl2401">
    <w:name w:val="xl2401"/>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02">
    <w:name w:val="xl2402"/>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heme="minorEastAsia" w:hAnsi="Century Gothic"/>
      <w:b/>
      <w:bCs/>
      <w:sz w:val="16"/>
      <w:szCs w:val="16"/>
      <w:lang w:eastAsia="zh-CN"/>
    </w:rPr>
  </w:style>
  <w:style w:type="paragraph" w:customStyle="1" w:styleId="xl2403">
    <w:name w:val="xl2403"/>
    <w:basedOn w:val="Normal"/>
    <w:rsid w:val="00FB7220"/>
    <w:pPr>
      <w:pBdr>
        <w:top w:val="single" w:sz="4" w:space="0" w:color="auto"/>
        <w:left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04">
    <w:name w:val="xl2404"/>
    <w:basedOn w:val="Normal"/>
    <w:rsid w:val="00FB7220"/>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05">
    <w:name w:val="xl2405"/>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b/>
      <w:bCs/>
      <w:sz w:val="16"/>
      <w:szCs w:val="16"/>
      <w:lang w:eastAsia="zh-CN"/>
    </w:rPr>
  </w:style>
  <w:style w:type="paragraph" w:customStyle="1" w:styleId="xl2406">
    <w:name w:val="xl2406"/>
    <w:basedOn w:val="Normal"/>
    <w:rsid w:val="00FB7220"/>
    <w:pPr>
      <w:pBdr>
        <w:top w:val="single" w:sz="4" w:space="0" w:color="auto"/>
        <w:left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07">
    <w:name w:val="xl2407"/>
    <w:basedOn w:val="Normal"/>
    <w:rsid w:val="00FB7220"/>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heme="minorEastAsia" w:hAnsi="Century Gothic"/>
      <w:b/>
      <w:bCs/>
      <w:sz w:val="16"/>
      <w:szCs w:val="16"/>
      <w:lang w:eastAsia="zh-CN"/>
    </w:rPr>
  </w:style>
  <w:style w:type="paragraph" w:customStyle="1" w:styleId="xl2408">
    <w:name w:val="xl2408"/>
    <w:basedOn w:val="Normal"/>
    <w:rsid w:val="00FB7220"/>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eastAsia="zh-CN"/>
    </w:rPr>
  </w:style>
  <w:style w:type="paragraph" w:customStyle="1" w:styleId="xl2409">
    <w:name w:val="xl2409"/>
    <w:basedOn w:val="Normal"/>
    <w:rsid w:val="00FB7220"/>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heme="minorEastAsia" w:hAnsi="Century Gothic"/>
      <w:b/>
      <w:bCs/>
      <w:sz w:val="16"/>
      <w:szCs w:val="16"/>
      <w:lang w:eastAsia="zh-CN"/>
    </w:rPr>
  </w:style>
  <w:style w:type="paragraph" w:customStyle="1" w:styleId="xl2410">
    <w:name w:val="xl2410"/>
    <w:basedOn w:val="Normal"/>
    <w:rsid w:val="00FB7220"/>
    <w:pPr>
      <w:pBdr>
        <w:top w:val="single" w:sz="4" w:space="0" w:color="auto"/>
        <w:left w:val="single" w:sz="4" w:space="0" w:color="auto"/>
        <w:bottom w:val="single" w:sz="4" w:space="0" w:color="auto"/>
        <w:right w:val="single" w:sz="4" w:space="0" w:color="auto"/>
      </w:pBdr>
      <w:shd w:val="clear" w:color="000000" w:fill="D9D9D9"/>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sz w:val="16"/>
      <w:szCs w:val="16"/>
      <w:lang w:eastAsia="zh-CN"/>
    </w:rPr>
  </w:style>
  <w:style w:type="paragraph" w:customStyle="1" w:styleId="xl2411">
    <w:name w:val="xl2411"/>
    <w:basedOn w:val="Normal"/>
    <w:rsid w:val="00FB7220"/>
    <w:pPr>
      <w:pBdr>
        <w:top w:val="single" w:sz="4" w:space="0" w:color="auto"/>
        <w:left w:val="single" w:sz="4" w:space="0" w:color="auto"/>
        <w:bottom w:val="double" w:sz="6" w:space="0" w:color="auto"/>
        <w:right w:val="single" w:sz="4" w:space="0" w:color="auto"/>
      </w:pBdr>
      <w:shd w:val="clear" w:color="000000" w:fill="D9D9D9"/>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b/>
      <w:bCs/>
      <w:sz w:val="16"/>
      <w:szCs w:val="16"/>
      <w:lang w:eastAsia="zh-CN"/>
    </w:rPr>
  </w:style>
  <w:style w:type="paragraph" w:customStyle="1" w:styleId="xl2412">
    <w:name w:val="xl2412"/>
    <w:basedOn w:val="Normal"/>
    <w:rsid w:val="00FB7220"/>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13">
    <w:name w:val="xl2413"/>
    <w:basedOn w:val="Normal"/>
    <w:rsid w:val="00FB7220"/>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sz w:val="16"/>
      <w:szCs w:val="16"/>
      <w:lang w:eastAsia="zh-CN"/>
    </w:rPr>
  </w:style>
  <w:style w:type="paragraph" w:customStyle="1" w:styleId="xl2414">
    <w:name w:val="xl2414"/>
    <w:basedOn w:val="Normal"/>
    <w:rsid w:val="00FB7220"/>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15">
    <w:name w:val="xl2415"/>
    <w:basedOn w:val="Normal"/>
    <w:rsid w:val="00FB7220"/>
    <w:pPr>
      <w:pBdr>
        <w:top w:val="double" w:sz="6"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16">
    <w:name w:val="xl2416"/>
    <w:basedOn w:val="Normal"/>
    <w:rsid w:val="00FB7220"/>
    <w:pPr>
      <w:pBdr>
        <w:top w:val="double" w:sz="6"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sz w:val="16"/>
      <w:szCs w:val="16"/>
      <w:lang w:eastAsia="zh-CN"/>
    </w:rPr>
  </w:style>
  <w:style w:type="paragraph" w:customStyle="1" w:styleId="xl2417">
    <w:name w:val="xl2417"/>
    <w:basedOn w:val="Normal"/>
    <w:rsid w:val="00FB7220"/>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eastAsia="zh-CN"/>
    </w:rPr>
  </w:style>
  <w:style w:type="paragraph" w:customStyle="1" w:styleId="xl2418">
    <w:name w:val="xl2418"/>
    <w:basedOn w:val="Normal"/>
    <w:rsid w:val="00FB7220"/>
    <w:pPr>
      <w:pBdr>
        <w:top w:val="single" w:sz="4" w:space="0" w:color="auto"/>
        <w:left w:val="single" w:sz="4" w:space="0" w:color="auto"/>
        <w:bottom w:val="double" w:sz="6" w:space="0" w:color="auto"/>
      </w:pBdr>
      <w:shd w:val="clear" w:color="000000" w:fill="808080"/>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19">
    <w:name w:val="xl2419"/>
    <w:basedOn w:val="Normal"/>
    <w:rsid w:val="00FB7220"/>
    <w:pPr>
      <w:pBdr>
        <w:top w:val="single" w:sz="4" w:space="0" w:color="auto"/>
        <w:left w:val="single" w:sz="4" w:space="0" w:color="auto"/>
        <w:bottom w:val="double" w:sz="6" w:space="0" w:color="auto"/>
        <w:right w:val="single" w:sz="4" w:space="0" w:color="auto"/>
      </w:pBdr>
      <w:shd w:val="clear" w:color="000000" w:fill="808080"/>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20">
    <w:name w:val="xl2420"/>
    <w:basedOn w:val="Normal"/>
    <w:rsid w:val="00FB7220"/>
    <w:pPr>
      <w:pBdr>
        <w:top w:val="single" w:sz="4" w:space="0" w:color="auto"/>
        <w:left w:val="single" w:sz="4" w:space="0" w:color="auto"/>
        <w:bottom w:val="double" w:sz="6" w:space="0" w:color="auto"/>
        <w:right w:val="single" w:sz="4" w:space="0" w:color="auto"/>
      </w:pBdr>
      <w:shd w:val="clear" w:color="000000" w:fill="808080"/>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b/>
      <w:bCs/>
      <w:sz w:val="16"/>
      <w:szCs w:val="16"/>
      <w:lang w:eastAsia="zh-CN"/>
    </w:rPr>
  </w:style>
  <w:style w:type="paragraph" w:customStyle="1" w:styleId="xl2421">
    <w:name w:val="xl2421"/>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eastAsiaTheme="minorEastAsia" w:hAnsi="Calibri"/>
      <w:sz w:val="18"/>
      <w:szCs w:val="18"/>
      <w:lang w:eastAsia="zh-CN"/>
    </w:rPr>
  </w:style>
  <w:style w:type="paragraph" w:customStyle="1" w:styleId="xl2422">
    <w:name w:val="xl2422"/>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eastAsiaTheme="minorEastAsia" w:hAnsi="Calibri"/>
      <w:sz w:val="18"/>
      <w:szCs w:val="18"/>
      <w:lang w:eastAsia="zh-CN"/>
    </w:rPr>
  </w:style>
  <w:style w:type="paragraph" w:customStyle="1" w:styleId="xl2423">
    <w:name w:val="xl2423"/>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eastAsiaTheme="minorEastAsia" w:hAnsi="Calibri"/>
      <w:sz w:val="18"/>
      <w:szCs w:val="18"/>
      <w:lang w:eastAsia="zh-CN"/>
    </w:rPr>
  </w:style>
  <w:style w:type="paragraph" w:customStyle="1" w:styleId="xl2424">
    <w:name w:val="xl2424"/>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Theme="minorEastAsia" w:hAnsi="Calibri"/>
      <w:b/>
      <w:bCs/>
      <w:sz w:val="18"/>
      <w:szCs w:val="18"/>
      <w:lang w:eastAsia="zh-CN"/>
    </w:rPr>
  </w:style>
  <w:style w:type="paragraph" w:customStyle="1" w:styleId="xl2425">
    <w:name w:val="xl2425"/>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eastAsiaTheme="minorEastAsia" w:hAnsi="Calibri"/>
      <w:sz w:val="18"/>
      <w:szCs w:val="18"/>
      <w:lang w:eastAsia="zh-CN"/>
    </w:rPr>
  </w:style>
  <w:style w:type="paragraph" w:customStyle="1" w:styleId="xl2426">
    <w:name w:val="xl2426"/>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8"/>
      <w:szCs w:val="18"/>
      <w:lang w:eastAsia="zh-CN"/>
    </w:rPr>
  </w:style>
  <w:style w:type="paragraph" w:customStyle="1" w:styleId="xl2427">
    <w:name w:val="xl2427"/>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Theme="minorEastAsia" w:hAnsi="Calibri"/>
      <w:b/>
      <w:bCs/>
      <w:sz w:val="18"/>
      <w:szCs w:val="18"/>
      <w:lang w:eastAsia="zh-CN"/>
    </w:rPr>
  </w:style>
  <w:style w:type="paragraph" w:customStyle="1" w:styleId="xl2428">
    <w:name w:val="xl2428"/>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sz w:val="16"/>
      <w:szCs w:val="16"/>
      <w:lang w:eastAsia="zh-CN"/>
    </w:rPr>
  </w:style>
  <w:style w:type="paragraph" w:customStyle="1" w:styleId="xl2429">
    <w:name w:val="xl2429"/>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8"/>
      <w:szCs w:val="18"/>
      <w:lang w:eastAsia="zh-CN"/>
    </w:rPr>
  </w:style>
  <w:style w:type="paragraph" w:customStyle="1" w:styleId="xl2430">
    <w:name w:val="xl2430"/>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Calibri" w:eastAsiaTheme="minorEastAsia" w:hAnsi="Calibri"/>
      <w:b/>
      <w:bCs/>
      <w:sz w:val="18"/>
      <w:szCs w:val="18"/>
      <w:lang w:eastAsia="zh-CN"/>
    </w:rPr>
  </w:style>
  <w:style w:type="paragraph" w:customStyle="1" w:styleId="Pa0">
    <w:name w:val="Pa0"/>
    <w:basedOn w:val="Default"/>
    <w:next w:val="Default"/>
    <w:uiPriority w:val="99"/>
    <w:rsid w:val="00FB7220"/>
  </w:style>
  <w:style w:type="paragraph" w:customStyle="1" w:styleId="elencopuntato1">
    <w:name w:val="elenco puntato 1"/>
    <w:basedOn w:val="ListParagraph"/>
    <w:qFormat/>
    <w:rsid w:val="00FB7220"/>
    <w:pPr>
      <w:numPr>
        <w:numId w:val="25"/>
      </w:numPr>
      <w:ind w:left="720" w:firstLine="0"/>
    </w:pPr>
  </w:style>
  <w:style w:type="paragraph" w:customStyle="1" w:styleId="elencopuntatononrientrato">
    <w:name w:val="elenco puntato non rientrato"/>
    <w:basedOn w:val="elencopuntato1"/>
    <w:qFormat/>
    <w:rsid w:val="00FB7220"/>
    <w:pPr>
      <w:numPr>
        <w:numId w:val="24"/>
      </w:numPr>
      <w:tabs>
        <w:tab w:val="clear" w:pos="794"/>
        <w:tab w:val="clear" w:pos="1191"/>
        <w:tab w:val="clear" w:pos="1588"/>
        <w:tab w:val="clear" w:pos="1985"/>
        <w:tab w:val="num" w:pos="360"/>
      </w:tabs>
      <w:overflowPunct/>
      <w:autoSpaceDE/>
      <w:autoSpaceDN/>
      <w:spacing w:line="319" w:lineRule="auto"/>
      <w:ind w:left="284" w:hanging="284"/>
      <w:jc w:val="both"/>
      <w:textAlignment w:val="auto"/>
    </w:pPr>
    <w:rPr>
      <w:rFonts w:ascii="Arial" w:eastAsiaTheme="minorHAnsi" w:hAnsi="Arial"/>
      <w:szCs w:val="24"/>
      <w:lang w:eastAsia="it-IT"/>
    </w:rPr>
  </w:style>
  <w:style w:type="paragraph" w:customStyle="1" w:styleId="xl2431">
    <w:name w:val="xl2431"/>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sz w:val="16"/>
      <w:szCs w:val="16"/>
      <w:lang w:eastAsia="zh-CN"/>
    </w:rPr>
  </w:style>
  <w:style w:type="paragraph" w:customStyle="1" w:styleId="xl2432">
    <w:name w:val="xl2432"/>
    <w:basedOn w:val="Normal"/>
    <w:rsid w:val="00FB7220"/>
    <w:pPr>
      <w:pBdr>
        <w:top w:val="single" w:sz="4" w:space="0" w:color="auto"/>
        <w:left w:val="single" w:sz="8"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33">
    <w:name w:val="xl2433"/>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34">
    <w:name w:val="xl2434"/>
    <w:basedOn w:val="Normal"/>
    <w:rsid w:val="00FB7220"/>
    <w:pPr>
      <w:pBdr>
        <w:top w:val="single" w:sz="4" w:space="0" w:color="auto"/>
        <w:left w:val="single" w:sz="4" w:space="0" w:color="auto"/>
        <w:bottom w:val="single" w:sz="4" w:space="0" w:color="auto"/>
        <w:right w:val="single" w:sz="4" w:space="0" w:color="auto"/>
      </w:pBdr>
      <w:shd w:val="clear" w:color="000000" w:fill="FFFFFF"/>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Theme="minorEastAsia" w:hAnsi="Calibri"/>
      <w:sz w:val="16"/>
      <w:szCs w:val="16"/>
      <w:lang w:eastAsia="zh-CN"/>
    </w:rPr>
  </w:style>
  <w:style w:type="paragraph" w:customStyle="1" w:styleId="xl2435">
    <w:name w:val="xl2435"/>
    <w:basedOn w:val="Normal"/>
    <w:rsid w:val="00FB7220"/>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sz w:val="16"/>
      <w:szCs w:val="16"/>
      <w:lang w:eastAsia="zh-CN"/>
    </w:rPr>
  </w:style>
  <w:style w:type="paragraph" w:customStyle="1" w:styleId="xl2436">
    <w:name w:val="xl2436"/>
    <w:basedOn w:val="Normal"/>
    <w:rsid w:val="00FB7220"/>
    <w:pPr>
      <w:pBdr>
        <w:top w:val="single" w:sz="4" w:space="0" w:color="auto"/>
        <w:left w:val="single" w:sz="4" w:space="0" w:color="auto"/>
        <w:bottom w:val="single" w:sz="4"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37">
    <w:name w:val="xl2437"/>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Theme="minorEastAsia" w:hAnsi="Calibri"/>
      <w:sz w:val="16"/>
      <w:szCs w:val="16"/>
      <w:lang w:eastAsia="zh-CN"/>
    </w:rPr>
  </w:style>
  <w:style w:type="paragraph" w:customStyle="1" w:styleId="xl2438">
    <w:name w:val="xl2438"/>
    <w:basedOn w:val="Normal"/>
    <w:rsid w:val="00FB7220"/>
    <w:pPr>
      <w:pBdr>
        <w:top w:val="single" w:sz="4" w:space="0" w:color="auto"/>
        <w:left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39">
    <w:name w:val="xl2439"/>
    <w:basedOn w:val="Normal"/>
    <w:rsid w:val="00FB7220"/>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40">
    <w:name w:val="xl2440"/>
    <w:basedOn w:val="Normal"/>
    <w:rsid w:val="00FB7220"/>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sz w:val="16"/>
      <w:szCs w:val="16"/>
      <w:lang w:eastAsia="zh-CN"/>
    </w:rPr>
  </w:style>
  <w:style w:type="paragraph" w:customStyle="1" w:styleId="xl2441">
    <w:name w:val="xl2441"/>
    <w:basedOn w:val="Normal"/>
    <w:rsid w:val="00FB7220"/>
    <w:pPr>
      <w:pBdr>
        <w:left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42">
    <w:name w:val="xl2442"/>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43">
    <w:name w:val="xl2443"/>
    <w:basedOn w:val="Normal"/>
    <w:rsid w:val="00FB7220"/>
    <w:pPr>
      <w:pBdr>
        <w:top w:val="single" w:sz="4" w:space="0" w:color="auto"/>
        <w:left w:val="single" w:sz="4" w:space="0" w:color="auto"/>
        <w:bottom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sz w:val="16"/>
      <w:szCs w:val="16"/>
      <w:lang w:eastAsia="zh-CN"/>
    </w:rPr>
  </w:style>
  <w:style w:type="paragraph" w:customStyle="1" w:styleId="xl2444">
    <w:name w:val="xl2444"/>
    <w:basedOn w:val="Normal"/>
    <w:rsid w:val="00FB7220"/>
    <w:pPr>
      <w:pBdr>
        <w:top w:val="single" w:sz="4" w:space="0" w:color="auto"/>
        <w:left w:val="single" w:sz="4"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sz w:val="16"/>
      <w:szCs w:val="16"/>
      <w:lang w:eastAsia="zh-CN"/>
    </w:rPr>
  </w:style>
  <w:style w:type="paragraph" w:customStyle="1" w:styleId="xl2445">
    <w:name w:val="xl2445"/>
    <w:basedOn w:val="Normal"/>
    <w:rsid w:val="00FB7220"/>
    <w:pPr>
      <w:pBdr>
        <w:top w:val="single" w:sz="4" w:space="0" w:color="auto"/>
        <w:left w:val="single" w:sz="4"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46">
    <w:name w:val="xl2446"/>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Theme="minorEastAsia" w:hAnsi="Calibri"/>
      <w:b/>
      <w:bCs/>
      <w:sz w:val="16"/>
      <w:szCs w:val="16"/>
      <w:lang w:eastAsia="zh-CN"/>
    </w:rPr>
  </w:style>
  <w:style w:type="paragraph" w:customStyle="1" w:styleId="xl2447">
    <w:name w:val="xl2447"/>
    <w:basedOn w:val="Normal"/>
    <w:rsid w:val="00FB7220"/>
    <w:pPr>
      <w:pBdr>
        <w:left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b/>
      <w:bCs/>
      <w:sz w:val="16"/>
      <w:szCs w:val="16"/>
      <w:lang w:eastAsia="zh-CN"/>
    </w:rPr>
  </w:style>
  <w:style w:type="paragraph" w:customStyle="1" w:styleId="xl2448">
    <w:name w:val="xl2448"/>
    <w:basedOn w:val="Normal"/>
    <w:rsid w:val="00FB7220"/>
    <w:pPr>
      <w:pBdr>
        <w:left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b/>
      <w:bCs/>
      <w:sz w:val="16"/>
      <w:szCs w:val="16"/>
      <w:lang w:eastAsia="zh-CN"/>
    </w:rPr>
  </w:style>
  <w:style w:type="paragraph" w:customStyle="1" w:styleId="xl2449">
    <w:name w:val="xl2449"/>
    <w:basedOn w:val="Normal"/>
    <w:rsid w:val="00FB7220"/>
    <w:pPr>
      <w:pBdr>
        <w:left w:val="single" w:sz="4" w:space="0" w:color="auto"/>
        <w:bottom w:val="double" w:sz="6"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b/>
      <w:bCs/>
      <w:sz w:val="16"/>
      <w:szCs w:val="16"/>
      <w:lang w:eastAsia="zh-CN"/>
    </w:rPr>
  </w:style>
  <w:style w:type="paragraph" w:customStyle="1" w:styleId="xl2450">
    <w:name w:val="xl2450"/>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51">
    <w:name w:val="xl2451"/>
    <w:basedOn w:val="Normal"/>
    <w:rsid w:val="00FB7220"/>
    <w:pPr>
      <w:pBdr>
        <w:left w:val="single" w:sz="4"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sz w:val="16"/>
      <w:szCs w:val="16"/>
      <w:lang w:eastAsia="zh-CN"/>
    </w:rPr>
  </w:style>
  <w:style w:type="paragraph" w:customStyle="1" w:styleId="xl2452">
    <w:name w:val="xl2452"/>
    <w:basedOn w:val="Normal"/>
    <w:rsid w:val="00FB7220"/>
    <w:pPr>
      <w:pBdr>
        <w:left w:val="single" w:sz="4"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53">
    <w:name w:val="xl2453"/>
    <w:basedOn w:val="Normal"/>
    <w:rsid w:val="00FB722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b/>
      <w:bCs/>
      <w:sz w:val="16"/>
      <w:szCs w:val="16"/>
      <w:lang w:eastAsia="zh-CN"/>
    </w:rPr>
  </w:style>
  <w:style w:type="paragraph" w:customStyle="1" w:styleId="xl2454">
    <w:name w:val="xl2454"/>
    <w:basedOn w:val="Normal"/>
    <w:rsid w:val="00FB7220"/>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Theme="minorEastAsia" w:hAnsi="Calibri"/>
      <w:b/>
      <w:bCs/>
      <w:sz w:val="16"/>
      <w:szCs w:val="16"/>
      <w:lang w:eastAsia="zh-CN"/>
    </w:rPr>
  </w:style>
  <w:style w:type="paragraph" w:customStyle="1" w:styleId="xl2455">
    <w:name w:val="xl2455"/>
    <w:basedOn w:val="Normal"/>
    <w:rsid w:val="00FB7220"/>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b/>
      <w:bCs/>
      <w:sz w:val="16"/>
      <w:szCs w:val="16"/>
      <w:lang w:eastAsia="zh-CN"/>
    </w:rPr>
  </w:style>
  <w:style w:type="paragraph" w:customStyle="1" w:styleId="xl2456">
    <w:name w:val="xl2456"/>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Theme="minorEastAsia" w:hAnsi="Calibri"/>
      <w:b/>
      <w:bCs/>
      <w:i/>
      <w:iCs/>
      <w:sz w:val="16"/>
      <w:szCs w:val="16"/>
      <w:lang w:eastAsia="zh-CN"/>
    </w:rPr>
  </w:style>
  <w:style w:type="paragraph" w:customStyle="1" w:styleId="xl2457">
    <w:name w:val="xl2457"/>
    <w:basedOn w:val="Normal"/>
    <w:rsid w:val="00FB7220"/>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b/>
      <w:bCs/>
      <w:sz w:val="16"/>
      <w:szCs w:val="16"/>
      <w:lang w:eastAsia="zh-CN"/>
    </w:rPr>
  </w:style>
  <w:style w:type="paragraph" w:customStyle="1" w:styleId="xl2458">
    <w:name w:val="xl2458"/>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Theme="minorEastAsia" w:hAnsi="Calibri"/>
      <w:b/>
      <w:bCs/>
      <w:i/>
      <w:iCs/>
      <w:sz w:val="16"/>
      <w:szCs w:val="16"/>
      <w:lang w:eastAsia="zh-CN"/>
    </w:rPr>
  </w:style>
  <w:style w:type="paragraph" w:customStyle="1" w:styleId="xl2459">
    <w:name w:val="xl2459"/>
    <w:basedOn w:val="Normal"/>
    <w:rsid w:val="00FB7220"/>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b/>
      <w:bCs/>
      <w:sz w:val="16"/>
      <w:szCs w:val="16"/>
      <w:lang w:eastAsia="zh-CN"/>
    </w:rPr>
  </w:style>
  <w:style w:type="paragraph" w:customStyle="1" w:styleId="xl2460">
    <w:name w:val="xl2460"/>
    <w:basedOn w:val="Normal"/>
    <w:rsid w:val="00FB7220"/>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Theme="minorEastAsia" w:hAnsi="Calibri"/>
      <w:b/>
      <w:bCs/>
      <w:sz w:val="16"/>
      <w:szCs w:val="16"/>
      <w:lang w:eastAsia="zh-CN"/>
    </w:rPr>
  </w:style>
  <w:style w:type="paragraph" w:customStyle="1" w:styleId="xl2461">
    <w:name w:val="xl2461"/>
    <w:basedOn w:val="Normal"/>
    <w:rsid w:val="00FB7220"/>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sz w:val="16"/>
      <w:szCs w:val="16"/>
      <w:lang w:eastAsia="zh-CN"/>
    </w:rPr>
  </w:style>
  <w:style w:type="paragraph" w:customStyle="1" w:styleId="xl2462">
    <w:name w:val="xl2462"/>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Theme="minorEastAsia" w:hAnsi="Calibri"/>
      <w:sz w:val="16"/>
      <w:szCs w:val="16"/>
      <w:lang w:eastAsia="zh-CN"/>
    </w:rPr>
  </w:style>
  <w:style w:type="paragraph" w:customStyle="1" w:styleId="xl2463">
    <w:name w:val="xl2463"/>
    <w:basedOn w:val="Normal"/>
    <w:rsid w:val="00FB7220"/>
    <w:pPr>
      <w:pBdr>
        <w:left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64">
    <w:name w:val="xl2464"/>
    <w:basedOn w:val="Normal"/>
    <w:rsid w:val="00FB7220"/>
    <w:pPr>
      <w:pBdr>
        <w:top w:val="single" w:sz="4" w:space="0" w:color="auto"/>
        <w:left w:val="single" w:sz="4" w:space="0" w:color="auto"/>
        <w:bottom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Theme="minorEastAsia" w:hAnsi="Calibri"/>
      <w:sz w:val="16"/>
      <w:szCs w:val="16"/>
      <w:lang w:eastAsia="zh-CN"/>
    </w:rPr>
  </w:style>
  <w:style w:type="paragraph" w:customStyle="1" w:styleId="xl2465">
    <w:name w:val="xl2465"/>
    <w:basedOn w:val="Normal"/>
    <w:rsid w:val="00FB7220"/>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Theme="minorEastAsia" w:hAnsi="Calibri"/>
      <w:b/>
      <w:bCs/>
      <w:sz w:val="16"/>
      <w:szCs w:val="16"/>
      <w:lang w:eastAsia="zh-CN"/>
    </w:rPr>
  </w:style>
  <w:style w:type="paragraph" w:customStyle="1" w:styleId="xl2466">
    <w:name w:val="xl2466"/>
    <w:basedOn w:val="Normal"/>
    <w:rsid w:val="00FB7220"/>
    <w:pPr>
      <w:pBdr>
        <w:top w:val="single" w:sz="8" w:space="0" w:color="auto"/>
        <w:left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b/>
      <w:bCs/>
      <w:sz w:val="16"/>
      <w:szCs w:val="16"/>
      <w:lang w:eastAsia="zh-CN"/>
    </w:rPr>
  </w:style>
  <w:style w:type="paragraph" w:customStyle="1" w:styleId="xl2467">
    <w:name w:val="xl2467"/>
    <w:basedOn w:val="Normal"/>
    <w:rsid w:val="00FB7220"/>
    <w:pPr>
      <w:pBdr>
        <w:top w:val="single" w:sz="8" w:space="0" w:color="auto"/>
        <w:left w:val="single" w:sz="4" w:space="0" w:color="auto"/>
        <w:bottom w:val="double" w:sz="6"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68">
    <w:name w:val="xl2468"/>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Theme="minorEastAsia" w:hAnsi="Calibri"/>
      <w:b/>
      <w:bCs/>
      <w:sz w:val="16"/>
      <w:szCs w:val="16"/>
      <w:lang w:eastAsia="zh-CN"/>
    </w:rPr>
  </w:style>
  <w:style w:type="paragraph" w:customStyle="1" w:styleId="xl2469">
    <w:name w:val="xl2469"/>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b/>
      <w:bCs/>
      <w:sz w:val="16"/>
      <w:szCs w:val="16"/>
      <w:lang w:eastAsia="zh-CN"/>
    </w:rPr>
  </w:style>
  <w:style w:type="paragraph" w:customStyle="1" w:styleId="xl2470">
    <w:name w:val="xl2470"/>
    <w:basedOn w:val="Normal"/>
    <w:rsid w:val="00FB7220"/>
    <w:pPr>
      <w:pBdr>
        <w:top w:val="single" w:sz="4" w:space="0" w:color="auto"/>
        <w:left w:val="single" w:sz="8"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71">
    <w:name w:val="xl2471"/>
    <w:basedOn w:val="Normal"/>
    <w:rsid w:val="00FB7220"/>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Theme="minorEastAsia" w:hAnsi="Calibri"/>
      <w:b/>
      <w:bCs/>
      <w:sz w:val="16"/>
      <w:szCs w:val="16"/>
      <w:lang w:eastAsia="zh-CN"/>
    </w:rPr>
  </w:style>
  <w:style w:type="paragraph" w:customStyle="1" w:styleId="xl2472">
    <w:name w:val="xl2472"/>
    <w:basedOn w:val="Normal"/>
    <w:rsid w:val="00FB7220"/>
    <w:pPr>
      <w:pBdr>
        <w:top w:val="single" w:sz="4" w:space="0" w:color="auto"/>
        <w:left w:val="single" w:sz="4" w:space="0" w:color="auto"/>
        <w:bottom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b/>
      <w:bCs/>
      <w:sz w:val="16"/>
      <w:szCs w:val="16"/>
      <w:lang w:eastAsia="zh-CN"/>
    </w:rPr>
  </w:style>
  <w:style w:type="paragraph" w:customStyle="1" w:styleId="xl2473">
    <w:name w:val="xl2473"/>
    <w:basedOn w:val="Normal"/>
    <w:rsid w:val="00FB7220"/>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Theme="minorEastAsia" w:hAnsi="Calibri"/>
      <w:b/>
      <w:bCs/>
      <w:i/>
      <w:iCs/>
      <w:sz w:val="16"/>
      <w:szCs w:val="16"/>
      <w:lang w:eastAsia="zh-CN"/>
    </w:rPr>
  </w:style>
  <w:style w:type="paragraph" w:customStyle="1" w:styleId="xl2474">
    <w:name w:val="xl2474"/>
    <w:basedOn w:val="Normal"/>
    <w:rsid w:val="00FB7220"/>
    <w:pPr>
      <w:pBdr>
        <w:top w:val="single" w:sz="8" w:space="0" w:color="auto"/>
        <w:left w:val="single" w:sz="4" w:space="0" w:color="auto"/>
        <w:bottom w:val="double" w:sz="6"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b/>
      <w:bCs/>
      <w:sz w:val="16"/>
      <w:szCs w:val="16"/>
      <w:lang w:eastAsia="zh-CN"/>
    </w:rPr>
  </w:style>
  <w:style w:type="paragraph" w:customStyle="1" w:styleId="xl2475">
    <w:name w:val="xl2475"/>
    <w:basedOn w:val="Normal"/>
    <w:rsid w:val="00FB7220"/>
    <w:pPr>
      <w:pBdr>
        <w:top w:val="double" w:sz="6" w:space="0" w:color="auto"/>
        <w:left w:val="single" w:sz="4"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b/>
      <w:bCs/>
      <w:sz w:val="16"/>
      <w:szCs w:val="16"/>
      <w:lang w:eastAsia="zh-CN"/>
    </w:rPr>
  </w:style>
  <w:style w:type="paragraph" w:customStyle="1" w:styleId="xl2476">
    <w:name w:val="xl2476"/>
    <w:basedOn w:val="Normal"/>
    <w:rsid w:val="00FB7220"/>
    <w:pPr>
      <w:pBdr>
        <w:top w:val="double" w:sz="6" w:space="0" w:color="auto"/>
        <w:left w:val="single" w:sz="4" w:space="0" w:color="auto"/>
        <w:bottom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b/>
      <w:bCs/>
      <w:sz w:val="16"/>
      <w:szCs w:val="16"/>
      <w:lang w:eastAsia="zh-CN"/>
    </w:rPr>
  </w:style>
  <w:style w:type="paragraph" w:customStyle="1" w:styleId="xl2477">
    <w:name w:val="xl2477"/>
    <w:basedOn w:val="Normal"/>
    <w:rsid w:val="00FB7220"/>
    <w:pPr>
      <w:pBdr>
        <w:top w:val="double" w:sz="6"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78">
    <w:name w:val="xl2478"/>
    <w:basedOn w:val="Normal"/>
    <w:rsid w:val="00FB7220"/>
    <w:pPr>
      <w:pBdr>
        <w:top w:val="single" w:sz="4"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b/>
      <w:bCs/>
      <w:sz w:val="16"/>
      <w:szCs w:val="16"/>
      <w:lang w:eastAsia="zh-CN"/>
    </w:rPr>
  </w:style>
  <w:style w:type="paragraph" w:customStyle="1" w:styleId="xl2479">
    <w:name w:val="xl2479"/>
    <w:basedOn w:val="Normal"/>
    <w:rsid w:val="00FB7220"/>
    <w:pPr>
      <w:pBdr>
        <w:top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Theme="minorEastAsia" w:hAnsi="Calibri"/>
      <w:b/>
      <w:bCs/>
      <w:sz w:val="16"/>
      <w:szCs w:val="16"/>
      <w:lang w:eastAsia="zh-CN"/>
    </w:rPr>
  </w:style>
  <w:style w:type="paragraph" w:customStyle="1" w:styleId="xl2480">
    <w:name w:val="xl2480"/>
    <w:basedOn w:val="Normal"/>
    <w:rsid w:val="00FB7220"/>
    <w:pPr>
      <w:pBdr>
        <w:top w:val="single" w:sz="8" w:space="0" w:color="auto"/>
        <w:left w:val="single" w:sz="4" w:space="0" w:color="auto"/>
        <w:bottom w:val="single" w:sz="4"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b/>
      <w:bCs/>
      <w:sz w:val="16"/>
      <w:szCs w:val="16"/>
      <w:lang w:eastAsia="zh-CN"/>
    </w:rPr>
  </w:style>
  <w:style w:type="paragraph" w:customStyle="1" w:styleId="xl2481">
    <w:name w:val="xl2481"/>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b/>
      <w:bCs/>
      <w:sz w:val="16"/>
      <w:szCs w:val="16"/>
      <w:lang w:eastAsia="zh-CN"/>
    </w:rPr>
  </w:style>
  <w:style w:type="paragraph" w:customStyle="1" w:styleId="xl2482">
    <w:name w:val="xl2482"/>
    <w:basedOn w:val="Normal"/>
    <w:rsid w:val="00FB7220"/>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b/>
      <w:bCs/>
      <w:sz w:val="16"/>
      <w:szCs w:val="16"/>
      <w:lang w:eastAsia="zh-CN"/>
    </w:rPr>
  </w:style>
  <w:style w:type="paragraph" w:customStyle="1" w:styleId="xl2483">
    <w:name w:val="xl2483"/>
    <w:basedOn w:val="Normal"/>
    <w:rsid w:val="00FB7220"/>
    <w:pPr>
      <w:pBdr>
        <w:left w:val="single" w:sz="8"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84">
    <w:name w:val="xl2484"/>
    <w:basedOn w:val="Normal"/>
    <w:rsid w:val="00FB7220"/>
    <w:pPr>
      <w:pBdr>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85">
    <w:name w:val="xl2485"/>
    <w:basedOn w:val="Normal"/>
    <w:rsid w:val="00FB7220"/>
    <w:pPr>
      <w:pBdr>
        <w:top w:val="single" w:sz="4" w:space="0" w:color="auto"/>
        <w:left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b/>
      <w:bCs/>
      <w:sz w:val="16"/>
      <w:szCs w:val="16"/>
      <w:lang w:eastAsia="zh-CN"/>
    </w:rPr>
  </w:style>
  <w:style w:type="paragraph" w:customStyle="1" w:styleId="xl2486">
    <w:name w:val="xl2486"/>
    <w:basedOn w:val="Normal"/>
    <w:rsid w:val="00FB7220"/>
    <w:pPr>
      <w:pBdr>
        <w:top w:val="single" w:sz="4" w:space="0" w:color="auto"/>
        <w:left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b/>
      <w:bCs/>
      <w:sz w:val="16"/>
      <w:szCs w:val="16"/>
      <w:lang w:eastAsia="zh-CN"/>
    </w:rPr>
  </w:style>
  <w:style w:type="paragraph" w:customStyle="1" w:styleId="xl2487">
    <w:name w:val="xl2487"/>
    <w:basedOn w:val="Normal"/>
    <w:rsid w:val="00FB7220"/>
    <w:pPr>
      <w:pBdr>
        <w:left w:val="single" w:sz="4" w:space="0" w:color="auto"/>
        <w:bottom w:val="double" w:sz="6"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88">
    <w:name w:val="xl2488"/>
    <w:basedOn w:val="Normal"/>
    <w:rsid w:val="00FB7220"/>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89">
    <w:name w:val="xl2489"/>
    <w:basedOn w:val="Normal"/>
    <w:rsid w:val="00FB7220"/>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90">
    <w:name w:val="xl2490"/>
    <w:basedOn w:val="Normal"/>
    <w:rsid w:val="00FB7220"/>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sz w:val="16"/>
      <w:szCs w:val="16"/>
      <w:lang w:eastAsia="zh-CN"/>
    </w:rPr>
  </w:style>
  <w:style w:type="paragraph" w:customStyle="1" w:styleId="xl2491">
    <w:name w:val="xl2491"/>
    <w:basedOn w:val="Normal"/>
    <w:rsid w:val="00FB7220"/>
    <w:pPr>
      <w:pBdr>
        <w:left w:val="single" w:sz="4"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DefaultText">
    <w:name w:val="Default Text"/>
    <w:basedOn w:val="Normal"/>
    <w:rsid w:val="00FB7220"/>
    <w:pPr>
      <w:tabs>
        <w:tab w:val="clear" w:pos="794"/>
        <w:tab w:val="clear" w:pos="1191"/>
        <w:tab w:val="clear" w:pos="1588"/>
        <w:tab w:val="clear" w:pos="1985"/>
      </w:tabs>
      <w:spacing w:before="0" w:after="120"/>
    </w:pPr>
    <w:rPr>
      <w:rFonts w:ascii="Arial" w:eastAsia="Times New Roman" w:hAnsi="Arial"/>
      <w:sz w:val="20"/>
      <w:lang w:val="fr-CA"/>
    </w:rPr>
  </w:style>
  <w:style w:type="paragraph" w:customStyle="1" w:styleId="AfterFirstPara">
    <w:name w:val="AfterFirstPara"/>
    <w:basedOn w:val="Normal"/>
    <w:rsid w:val="00FB7220"/>
    <w:pPr>
      <w:numPr>
        <w:numId w:val="27"/>
      </w:numPr>
      <w:tabs>
        <w:tab w:val="clear" w:pos="794"/>
        <w:tab w:val="clear" w:pos="1191"/>
        <w:tab w:val="clear" w:pos="1588"/>
        <w:tab w:val="clear" w:pos="1985"/>
      </w:tabs>
      <w:overflowPunct/>
      <w:autoSpaceDE/>
      <w:autoSpaceDN/>
      <w:adjustRightInd/>
      <w:spacing w:after="120"/>
      <w:jc w:val="left"/>
      <w:textAlignment w:val="auto"/>
    </w:pPr>
    <w:rPr>
      <w:rFonts w:ascii="Times New Roman" w:eastAsia="Times New Roman" w:hAnsi="Times New Roman"/>
      <w:szCs w:val="24"/>
      <w:lang w:eastAsia="zh-CN"/>
    </w:rPr>
  </w:style>
  <w:style w:type="paragraph" w:customStyle="1" w:styleId="Label">
    <w:name w:val="Label"/>
    <w:basedOn w:val="Normal"/>
    <w:rsid w:val="00FB7220"/>
    <w:pPr>
      <w:tabs>
        <w:tab w:val="clear" w:pos="794"/>
        <w:tab w:val="clear" w:pos="1191"/>
        <w:tab w:val="clear" w:pos="1588"/>
        <w:tab w:val="clear" w:pos="1985"/>
      </w:tabs>
      <w:overflowPunct/>
      <w:autoSpaceDE/>
      <w:autoSpaceDN/>
      <w:adjustRightInd/>
      <w:spacing w:before="40" w:after="20"/>
      <w:jc w:val="left"/>
      <w:textAlignment w:val="auto"/>
    </w:pPr>
    <w:rPr>
      <w:rFonts w:ascii="Calibri" w:eastAsia="Times New Roman" w:hAnsi="Calibri"/>
      <w:b/>
      <w:color w:val="262626"/>
      <w:sz w:val="20"/>
      <w:szCs w:val="22"/>
      <w:lang w:val="en-US"/>
    </w:rPr>
  </w:style>
  <w:style w:type="character" w:customStyle="1" w:styleId="ArttitleChar1">
    <w:name w:val="Art_title Char1"/>
    <w:basedOn w:val="DefaultParagraphFont"/>
    <w:link w:val="Arttitle"/>
    <w:rsid w:val="00FB7220"/>
    <w:rPr>
      <w:rFonts w:asciiTheme="minorHAnsi" w:hAnsiTheme="minorHAnsi"/>
      <w:b/>
      <w:sz w:val="28"/>
      <w:lang w:val="en-GB" w:eastAsia="en-US"/>
    </w:rPr>
  </w:style>
  <w:style w:type="character" w:customStyle="1" w:styleId="BodyTextChar1">
    <w:name w:val="Body Text Char1"/>
    <w:basedOn w:val="DefaultParagraphFont"/>
    <w:rsid w:val="00FB7220"/>
    <w:rPr>
      <w:rFonts w:ascii="Times New Roman" w:eastAsia="Times New Roman" w:hAnsi="Times New Roman"/>
      <w:b/>
      <w:bCs/>
      <w:sz w:val="24"/>
      <w:szCs w:val="24"/>
      <w:lang w:eastAsia="en-US"/>
    </w:rPr>
  </w:style>
  <w:style w:type="character" w:customStyle="1" w:styleId="Caractredenotedebasdepage">
    <w:name w:val="Caractère de note de bas de page"/>
    <w:rsid w:val="00FB7220"/>
    <w:rPr>
      <w:position w:val="6"/>
      <w:sz w:val="18"/>
    </w:rPr>
  </w:style>
  <w:style w:type="paragraph" w:customStyle="1" w:styleId="itu">
    <w:name w:val="itu"/>
    <w:basedOn w:val="Normal"/>
    <w:rsid w:val="00FB7220"/>
    <w:pPr>
      <w:tabs>
        <w:tab w:val="clear" w:pos="794"/>
        <w:tab w:val="clear" w:pos="1191"/>
        <w:tab w:val="clear" w:pos="1588"/>
        <w:tab w:val="clear" w:pos="1985"/>
        <w:tab w:val="left" w:pos="709"/>
        <w:tab w:val="left" w:pos="1134"/>
      </w:tabs>
      <w:spacing w:before="0"/>
      <w:jc w:val="left"/>
    </w:pPr>
    <w:rPr>
      <w:rFonts w:ascii="Futura Lt BT" w:eastAsia="Times New Roman" w:hAnsi="Futura Lt BT"/>
      <w:sz w:val="18"/>
    </w:rPr>
  </w:style>
  <w:style w:type="character" w:customStyle="1" w:styleId="apple-tab-span">
    <w:name w:val="apple-tab-span"/>
    <w:basedOn w:val="DefaultParagraphFont"/>
    <w:rsid w:val="00FB7220"/>
  </w:style>
  <w:style w:type="paragraph" w:customStyle="1" w:styleId="IntenseQuote1">
    <w:name w:val="Intense Quote1"/>
    <w:basedOn w:val="Normal"/>
    <w:next w:val="Normal"/>
    <w:uiPriority w:val="30"/>
    <w:qFormat/>
    <w:rsid w:val="00FB7220"/>
    <w:pPr>
      <w:pBdr>
        <w:top w:val="single" w:sz="4" w:space="10" w:color="5B9BD5"/>
        <w:bottom w:val="single" w:sz="4" w:space="10" w:color="5B9BD5"/>
      </w:pBdr>
      <w:tabs>
        <w:tab w:val="clear" w:pos="794"/>
        <w:tab w:val="clear" w:pos="1191"/>
        <w:tab w:val="clear" w:pos="1588"/>
        <w:tab w:val="clear" w:pos="1985"/>
      </w:tabs>
      <w:overflowPunct/>
      <w:autoSpaceDE/>
      <w:autoSpaceDN/>
      <w:adjustRightInd/>
      <w:spacing w:after="360" w:line="259" w:lineRule="auto"/>
      <w:ind w:left="862" w:right="862"/>
      <w:jc w:val="center"/>
      <w:textAlignment w:val="auto"/>
    </w:pPr>
    <w:rPr>
      <w:rFonts w:ascii="Calibri" w:eastAsia="Calibri" w:hAnsi="Calibri" w:cs="Arial"/>
      <w:i/>
      <w:iCs/>
      <w:color w:val="5B9BD5"/>
      <w:sz w:val="22"/>
      <w:szCs w:val="22"/>
      <w:lang w:val="en-US"/>
    </w:rPr>
  </w:style>
  <w:style w:type="character" w:customStyle="1" w:styleId="IntenseQuoteChar">
    <w:name w:val="Intense Quote Char"/>
    <w:basedOn w:val="DefaultParagraphFont"/>
    <w:link w:val="IntenseQuote"/>
    <w:uiPriority w:val="30"/>
    <w:rsid w:val="00FB7220"/>
    <w:rPr>
      <w:i/>
      <w:iCs/>
      <w:color w:val="5B9BD5"/>
    </w:rPr>
  </w:style>
  <w:style w:type="character" w:customStyle="1" w:styleId="IntenseReference1">
    <w:name w:val="Intense Reference1"/>
    <w:basedOn w:val="DefaultParagraphFont"/>
    <w:uiPriority w:val="32"/>
    <w:qFormat/>
    <w:rsid w:val="00FB7220"/>
    <w:rPr>
      <w:b/>
      <w:bCs/>
      <w:smallCaps/>
      <w:color w:val="5B9BD5"/>
      <w:spacing w:val="5"/>
    </w:rPr>
  </w:style>
  <w:style w:type="character" w:customStyle="1" w:styleId="SubtleReference1">
    <w:name w:val="Subtle Reference1"/>
    <w:basedOn w:val="DefaultParagraphFont"/>
    <w:uiPriority w:val="31"/>
    <w:qFormat/>
    <w:rsid w:val="00FB7220"/>
    <w:rPr>
      <w:smallCaps/>
      <w:color w:val="5A5A5A"/>
    </w:rPr>
  </w:style>
  <w:style w:type="paragraph" w:customStyle="1" w:styleId="SimpleHeading">
    <w:name w:val="Simple Heading"/>
    <w:basedOn w:val="Normal"/>
    <w:link w:val="SimpleHeadingChar"/>
    <w:qFormat/>
    <w:rsid w:val="00FB7220"/>
    <w:pPr>
      <w:keepNext/>
      <w:tabs>
        <w:tab w:val="clear" w:pos="794"/>
        <w:tab w:val="clear" w:pos="1191"/>
        <w:tab w:val="clear" w:pos="1588"/>
        <w:tab w:val="clear" w:pos="1985"/>
      </w:tabs>
      <w:overflowPunct/>
      <w:autoSpaceDE/>
      <w:autoSpaceDN/>
      <w:adjustRightInd/>
      <w:spacing w:before="180" w:after="60" w:line="259" w:lineRule="auto"/>
      <w:textAlignment w:val="auto"/>
    </w:pPr>
    <w:rPr>
      <w:rFonts w:ascii="Calibri Light" w:eastAsia="Calibri" w:hAnsi="Calibri Light" w:cs="Arial"/>
      <w:b/>
      <w:i/>
      <w:sz w:val="22"/>
      <w:szCs w:val="22"/>
      <w:lang w:val="en-US"/>
    </w:rPr>
  </w:style>
  <w:style w:type="character" w:customStyle="1" w:styleId="SimpleHeadingChar">
    <w:name w:val="Simple Heading Char"/>
    <w:basedOn w:val="DefaultParagraphFont"/>
    <w:link w:val="SimpleHeading"/>
    <w:rsid w:val="00FB7220"/>
    <w:rPr>
      <w:rFonts w:ascii="Calibri Light" w:eastAsia="Calibri" w:hAnsi="Calibri Light" w:cs="Arial"/>
      <w:b/>
      <w:i/>
      <w:sz w:val="22"/>
      <w:szCs w:val="22"/>
      <w:lang w:eastAsia="en-US"/>
    </w:rPr>
  </w:style>
  <w:style w:type="paragraph" w:customStyle="1" w:styleId="Ideas">
    <w:name w:val="Ideas"/>
    <w:basedOn w:val="Heading1"/>
    <w:link w:val="IdeasChar"/>
    <w:qFormat/>
    <w:rsid w:val="00FB7220"/>
    <w:pPr>
      <w:tabs>
        <w:tab w:val="clear" w:pos="1021"/>
        <w:tab w:val="clear" w:pos="1191"/>
        <w:tab w:val="clear" w:pos="1588"/>
        <w:tab w:val="clear" w:pos="1985"/>
      </w:tabs>
      <w:overflowPunct/>
      <w:autoSpaceDE/>
      <w:autoSpaceDN/>
      <w:adjustRightInd/>
      <w:spacing w:before="240" w:line="259" w:lineRule="auto"/>
      <w:ind w:left="432" w:hanging="432"/>
      <w:textAlignment w:val="auto"/>
    </w:pPr>
    <w:rPr>
      <w:color w:val="70AD47"/>
      <w:sz w:val="30"/>
      <w:szCs w:val="32"/>
    </w:rPr>
  </w:style>
  <w:style w:type="character" w:customStyle="1" w:styleId="IdeasChar">
    <w:name w:val="Ideas Char"/>
    <w:basedOn w:val="Heading1Char"/>
    <w:link w:val="Ideas"/>
    <w:rsid w:val="00FB7220"/>
    <w:rPr>
      <w:rFonts w:ascii="Calibri" w:eastAsia="SimSun" w:hAnsi="Calibri"/>
      <w:b/>
      <w:i w:val="0"/>
      <w:iCs w:val="0"/>
      <w:color w:val="70AD47"/>
      <w:sz w:val="30"/>
      <w:szCs w:val="32"/>
      <w:lang w:val="en-GB" w:eastAsia="en-US" w:bidi="ar-SA"/>
    </w:rPr>
  </w:style>
  <w:style w:type="paragraph" w:customStyle="1" w:styleId="Otherideas">
    <w:name w:val="Other ideas"/>
    <w:basedOn w:val="Heading2"/>
    <w:link w:val="OtherideasChar"/>
    <w:qFormat/>
    <w:rsid w:val="00FB7220"/>
    <w:pPr>
      <w:numPr>
        <w:ilvl w:val="1"/>
      </w:numPr>
      <w:tabs>
        <w:tab w:val="clear" w:pos="1021"/>
        <w:tab w:val="clear" w:pos="1191"/>
        <w:tab w:val="clear" w:pos="1588"/>
        <w:tab w:val="clear" w:pos="1985"/>
      </w:tabs>
      <w:overflowPunct/>
      <w:autoSpaceDE/>
      <w:autoSpaceDN/>
      <w:adjustRightInd/>
      <w:spacing w:before="40" w:line="259" w:lineRule="auto"/>
      <w:ind w:left="576" w:hanging="576"/>
      <w:textAlignment w:val="auto"/>
    </w:pPr>
    <w:rPr>
      <w:color w:val="538135"/>
      <w:sz w:val="26"/>
      <w:szCs w:val="26"/>
    </w:rPr>
  </w:style>
  <w:style w:type="character" w:customStyle="1" w:styleId="OtherideasChar">
    <w:name w:val="Other ideas Char"/>
    <w:basedOn w:val="Heading2Char"/>
    <w:link w:val="Otherideas"/>
    <w:rsid w:val="00FB7220"/>
    <w:rPr>
      <w:rFonts w:ascii="Calibri" w:hAnsi="Calibri"/>
      <w:b/>
      <w:color w:val="538135"/>
      <w:sz w:val="26"/>
      <w:szCs w:val="26"/>
      <w:lang w:val="en-GB" w:eastAsia="en-US"/>
    </w:rPr>
  </w:style>
  <w:style w:type="table" w:customStyle="1" w:styleId="GridTable4-Accent11">
    <w:name w:val="Grid Table 4 - Accent 11"/>
    <w:basedOn w:val="TableNormal"/>
    <w:uiPriority w:val="49"/>
    <w:rsid w:val="00FB7220"/>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NoSpacingChar">
    <w:name w:val="No Spacing Char"/>
    <w:basedOn w:val="DefaultParagraphFont"/>
    <w:link w:val="NoSpacing"/>
    <w:uiPriority w:val="1"/>
    <w:rsid w:val="00FB7220"/>
    <w:rPr>
      <w:rFonts w:ascii="Calibri" w:hAnsi="Calibri" w:cs="Arial"/>
      <w:sz w:val="22"/>
      <w:szCs w:val="22"/>
    </w:rPr>
  </w:style>
  <w:style w:type="table" w:customStyle="1" w:styleId="LightList-Accent11">
    <w:name w:val="Light List - Accent 11"/>
    <w:basedOn w:val="TableNormal"/>
    <w:next w:val="LightList-Accent1"/>
    <w:uiPriority w:val="61"/>
    <w:rsid w:val="00FB7220"/>
    <w:rPr>
      <w:rFonts w:ascii="Calibri" w:hAnsi="Calibri" w:cs="Arial"/>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TOC21">
    <w:name w:val="TOC 21"/>
    <w:basedOn w:val="Normal"/>
    <w:next w:val="Normal"/>
    <w:autoRedefine/>
    <w:uiPriority w:val="39"/>
    <w:unhideWhenUsed/>
    <w:rsid w:val="00FB7220"/>
    <w:pPr>
      <w:tabs>
        <w:tab w:val="clear" w:pos="794"/>
        <w:tab w:val="clear" w:pos="1191"/>
        <w:tab w:val="clear" w:pos="1588"/>
        <w:tab w:val="clear" w:pos="1985"/>
      </w:tabs>
      <w:overflowPunct/>
      <w:autoSpaceDE/>
      <w:autoSpaceDN/>
      <w:adjustRightInd/>
      <w:spacing w:before="0" w:after="100" w:line="259" w:lineRule="auto"/>
      <w:ind w:left="220"/>
      <w:jc w:val="left"/>
      <w:textAlignment w:val="auto"/>
    </w:pPr>
    <w:rPr>
      <w:rFonts w:ascii="Calibri" w:hAnsi="Calibri"/>
      <w:sz w:val="22"/>
      <w:szCs w:val="22"/>
      <w:lang w:val="en-US"/>
    </w:rPr>
  </w:style>
  <w:style w:type="paragraph" w:customStyle="1" w:styleId="TOC31">
    <w:name w:val="TOC 31"/>
    <w:basedOn w:val="Normal"/>
    <w:next w:val="Normal"/>
    <w:autoRedefine/>
    <w:uiPriority w:val="39"/>
    <w:unhideWhenUsed/>
    <w:rsid w:val="00FB7220"/>
    <w:pPr>
      <w:tabs>
        <w:tab w:val="clear" w:pos="794"/>
        <w:tab w:val="clear" w:pos="1191"/>
        <w:tab w:val="clear" w:pos="1588"/>
        <w:tab w:val="clear" w:pos="1985"/>
      </w:tabs>
      <w:overflowPunct/>
      <w:autoSpaceDE/>
      <w:autoSpaceDN/>
      <w:adjustRightInd/>
      <w:spacing w:before="0" w:after="100" w:line="259" w:lineRule="auto"/>
      <w:ind w:left="440"/>
      <w:jc w:val="left"/>
      <w:textAlignment w:val="auto"/>
    </w:pPr>
    <w:rPr>
      <w:rFonts w:ascii="Calibri" w:hAnsi="Calibri"/>
      <w:sz w:val="22"/>
      <w:szCs w:val="22"/>
      <w:lang w:val="en-US"/>
    </w:rPr>
  </w:style>
  <w:style w:type="paragraph" w:customStyle="1" w:styleId="Listhighlighted">
    <w:name w:val="List highlighted"/>
    <w:basedOn w:val="SimpleHeading"/>
    <w:link w:val="ListhighlightedChar"/>
    <w:qFormat/>
    <w:rsid w:val="00FB7220"/>
    <w:pPr>
      <w:numPr>
        <w:numId w:val="28"/>
      </w:numPr>
      <w:spacing w:after="0"/>
      <w:ind w:left="227" w:hanging="227"/>
    </w:pPr>
    <w:rPr>
      <w:rFonts w:ascii="Calibri" w:hAnsi="Calibri"/>
      <w:lang w:val="en-GB"/>
    </w:rPr>
  </w:style>
  <w:style w:type="character" w:customStyle="1" w:styleId="ListhighlightedChar">
    <w:name w:val="List highlighted Char"/>
    <w:basedOn w:val="SimpleHeadingChar"/>
    <w:link w:val="Listhighlighted"/>
    <w:rsid w:val="00FB7220"/>
    <w:rPr>
      <w:rFonts w:ascii="Calibri" w:eastAsia="Calibri" w:hAnsi="Calibri" w:cs="Arial"/>
      <w:b/>
      <w:i/>
      <w:sz w:val="22"/>
      <w:szCs w:val="22"/>
      <w:lang w:val="en-GB" w:eastAsia="en-US"/>
    </w:rPr>
  </w:style>
  <w:style w:type="table" w:customStyle="1" w:styleId="GridTable1Light-Accent11">
    <w:name w:val="Grid Table 1 Light - Accent 11"/>
    <w:basedOn w:val="TableNormal"/>
    <w:uiPriority w:val="46"/>
    <w:rsid w:val="00FB7220"/>
    <w:rPr>
      <w:rFonts w:ascii="Calibri" w:eastAsia="Calibri" w:hAnsi="Calibri" w:cs="Arial"/>
      <w:sz w:val="22"/>
      <w:szCs w:val="22"/>
      <w:lang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FB7220"/>
    <w:rPr>
      <w:rFonts w:ascii="Calibri" w:eastAsia="Calibri" w:hAnsi="Calibri" w:cs="Arial"/>
      <w:sz w:val="22"/>
      <w:szCs w:val="22"/>
      <w:lang w:eastAsia="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1">
    <w:name w:val="Grid Table 5 Dark - Accent 11"/>
    <w:basedOn w:val="TableNormal"/>
    <w:uiPriority w:val="50"/>
    <w:rsid w:val="00FB7220"/>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
    <w:name w:val="Grid Table 5 Dark - Accent 51"/>
    <w:basedOn w:val="TableNormal"/>
    <w:uiPriority w:val="50"/>
    <w:rsid w:val="00FB7220"/>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4-Accent11">
    <w:name w:val="List Table 4 - Accent 11"/>
    <w:basedOn w:val="TableNormal"/>
    <w:uiPriority w:val="49"/>
    <w:rsid w:val="00FB7220"/>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PlainTable21">
    <w:name w:val="Plain Table 21"/>
    <w:basedOn w:val="TableNormal"/>
    <w:uiPriority w:val="42"/>
    <w:rsid w:val="00FB7220"/>
    <w:rPr>
      <w:rFonts w:ascii="Calibri" w:eastAsia="Calibri" w:hAnsi="Calibri" w:cs="Arial"/>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TOC51">
    <w:name w:val="TOC 51"/>
    <w:basedOn w:val="Normal"/>
    <w:next w:val="Normal"/>
    <w:autoRedefine/>
    <w:uiPriority w:val="39"/>
    <w:unhideWhenUsed/>
    <w:rsid w:val="00FB7220"/>
    <w:pPr>
      <w:tabs>
        <w:tab w:val="clear" w:pos="794"/>
        <w:tab w:val="clear" w:pos="1191"/>
        <w:tab w:val="clear" w:pos="1588"/>
        <w:tab w:val="clear" w:pos="1985"/>
      </w:tabs>
      <w:overflowPunct/>
      <w:autoSpaceDE/>
      <w:autoSpaceDN/>
      <w:adjustRightInd/>
      <w:spacing w:before="0" w:after="100" w:line="259" w:lineRule="auto"/>
      <w:ind w:left="880"/>
      <w:jc w:val="left"/>
      <w:textAlignment w:val="auto"/>
    </w:pPr>
    <w:rPr>
      <w:rFonts w:ascii="Calibri" w:hAnsi="Calibri" w:cs="Arial"/>
      <w:sz w:val="22"/>
      <w:szCs w:val="22"/>
      <w:lang w:eastAsia="en-GB"/>
    </w:rPr>
  </w:style>
  <w:style w:type="paragraph" w:customStyle="1" w:styleId="TOC61">
    <w:name w:val="TOC 61"/>
    <w:basedOn w:val="Normal"/>
    <w:next w:val="Normal"/>
    <w:autoRedefine/>
    <w:uiPriority w:val="39"/>
    <w:unhideWhenUsed/>
    <w:rsid w:val="00FB7220"/>
    <w:pPr>
      <w:tabs>
        <w:tab w:val="clear" w:pos="794"/>
        <w:tab w:val="clear" w:pos="1191"/>
        <w:tab w:val="clear" w:pos="1588"/>
        <w:tab w:val="clear" w:pos="1985"/>
      </w:tabs>
      <w:overflowPunct/>
      <w:autoSpaceDE/>
      <w:autoSpaceDN/>
      <w:adjustRightInd/>
      <w:spacing w:before="0" w:after="100" w:line="259" w:lineRule="auto"/>
      <w:ind w:left="1100"/>
      <w:jc w:val="left"/>
      <w:textAlignment w:val="auto"/>
    </w:pPr>
    <w:rPr>
      <w:rFonts w:ascii="Calibri" w:hAnsi="Calibri" w:cs="Arial"/>
      <w:sz w:val="22"/>
      <w:szCs w:val="22"/>
      <w:lang w:eastAsia="en-GB"/>
    </w:rPr>
  </w:style>
  <w:style w:type="paragraph" w:customStyle="1" w:styleId="TOC71">
    <w:name w:val="TOC 71"/>
    <w:basedOn w:val="Normal"/>
    <w:next w:val="Normal"/>
    <w:autoRedefine/>
    <w:uiPriority w:val="39"/>
    <w:unhideWhenUsed/>
    <w:rsid w:val="00FB7220"/>
    <w:pPr>
      <w:tabs>
        <w:tab w:val="clear" w:pos="794"/>
        <w:tab w:val="clear" w:pos="1191"/>
        <w:tab w:val="clear" w:pos="1588"/>
        <w:tab w:val="clear" w:pos="1985"/>
      </w:tabs>
      <w:overflowPunct/>
      <w:autoSpaceDE/>
      <w:autoSpaceDN/>
      <w:adjustRightInd/>
      <w:spacing w:before="0" w:after="100" w:line="259" w:lineRule="auto"/>
      <w:ind w:left="1320"/>
      <w:jc w:val="left"/>
      <w:textAlignment w:val="auto"/>
    </w:pPr>
    <w:rPr>
      <w:rFonts w:ascii="Calibri" w:hAnsi="Calibri" w:cs="Arial"/>
      <w:sz w:val="22"/>
      <w:szCs w:val="22"/>
      <w:lang w:eastAsia="en-GB"/>
    </w:rPr>
  </w:style>
  <w:style w:type="paragraph" w:customStyle="1" w:styleId="TOC81">
    <w:name w:val="TOC 81"/>
    <w:basedOn w:val="Normal"/>
    <w:next w:val="Normal"/>
    <w:autoRedefine/>
    <w:uiPriority w:val="39"/>
    <w:unhideWhenUsed/>
    <w:rsid w:val="00FB7220"/>
    <w:pPr>
      <w:tabs>
        <w:tab w:val="clear" w:pos="794"/>
        <w:tab w:val="clear" w:pos="1191"/>
        <w:tab w:val="clear" w:pos="1588"/>
        <w:tab w:val="clear" w:pos="1985"/>
      </w:tabs>
      <w:overflowPunct/>
      <w:autoSpaceDE/>
      <w:autoSpaceDN/>
      <w:adjustRightInd/>
      <w:spacing w:before="0" w:after="100" w:line="259" w:lineRule="auto"/>
      <w:ind w:left="1540"/>
      <w:jc w:val="left"/>
      <w:textAlignment w:val="auto"/>
    </w:pPr>
    <w:rPr>
      <w:rFonts w:ascii="Calibri" w:hAnsi="Calibri" w:cs="Arial"/>
      <w:sz w:val="22"/>
      <w:szCs w:val="22"/>
      <w:lang w:eastAsia="en-GB"/>
    </w:rPr>
  </w:style>
  <w:style w:type="paragraph" w:customStyle="1" w:styleId="TOC91">
    <w:name w:val="TOC 91"/>
    <w:basedOn w:val="Normal"/>
    <w:next w:val="Normal"/>
    <w:autoRedefine/>
    <w:uiPriority w:val="39"/>
    <w:unhideWhenUsed/>
    <w:rsid w:val="00FB7220"/>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Calibri" w:hAnsi="Calibri" w:cs="Arial"/>
      <w:sz w:val="22"/>
      <w:szCs w:val="22"/>
      <w:lang w:eastAsia="en-GB"/>
    </w:rPr>
  </w:style>
  <w:style w:type="table" w:customStyle="1" w:styleId="PlainTable22">
    <w:name w:val="Plain Table 22"/>
    <w:basedOn w:val="TableNormal"/>
    <w:uiPriority w:val="42"/>
    <w:rsid w:val="00FB7220"/>
    <w:rPr>
      <w:rFonts w:ascii="Calibri" w:eastAsia="Calibri" w:hAnsi="Calibri" w:cs="Arial"/>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IDRtext">
    <w:name w:val="IDR text"/>
    <w:basedOn w:val="Normal"/>
    <w:uiPriority w:val="99"/>
    <w:rsid w:val="00FB7220"/>
    <w:pPr>
      <w:tabs>
        <w:tab w:val="clear" w:pos="794"/>
        <w:tab w:val="clear" w:pos="1191"/>
        <w:tab w:val="clear" w:pos="1588"/>
        <w:tab w:val="clear" w:pos="1985"/>
      </w:tabs>
      <w:overflowPunct/>
      <w:autoSpaceDE/>
      <w:autoSpaceDN/>
      <w:adjustRightInd/>
      <w:spacing w:before="0" w:after="200" w:line="276" w:lineRule="auto"/>
      <w:textAlignment w:val="auto"/>
    </w:pPr>
    <w:rPr>
      <w:rFonts w:ascii="Times New Roman" w:eastAsia="MS Mincho" w:hAnsi="Times New Roman"/>
      <w:sz w:val="22"/>
      <w:szCs w:val="22"/>
      <w:lang w:val="en-US" w:eastAsia="ja-JP"/>
    </w:rPr>
  </w:style>
  <w:style w:type="paragraph" w:customStyle="1" w:styleId="InputtoPublicConsultation">
    <w:name w:val="Input to Public Consultation"/>
    <w:basedOn w:val="Normal"/>
    <w:qFormat/>
    <w:rsid w:val="00FB7220"/>
    <w:pPr>
      <w:tabs>
        <w:tab w:val="clear" w:pos="794"/>
        <w:tab w:val="clear" w:pos="1191"/>
        <w:tab w:val="clear" w:pos="1588"/>
        <w:tab w:val="clear" w:pos="1985"/>
      </w:tabs>
      <w:overflowPunct/>
      <w:autoSpaceDE/>
      <w:autoSpaceDN/>
      <w:adjustRightInd/>
      <w:spacing w:before="0"/>
      <w:jc w:val="left"/>
      <w:textAlignment w:val="auto"/>
    </w:pPr>
    <w:rPr>
      <w:rFonts w:ascii="Calibri" w:eastAsia="Calibri" w:hAnsi="Calibri" w:cs="Arial"/>
      <w:color w:val="5B9BD5"/>
      <w:sz w:val="22"/>
      <w:szCs w:val="22"/>
    </w:rPr>
  </w:style>
  <w:style w:type="paragraph" w:customStyle="1" w:styleId="Contribution">
    <w:name w:val="Contribution"/>
    <w:basedOn w:val="Normal"/>
    <w:uiPriority w:val="99"/>
    <w:qFormat/>
    <w:rsid w:val="00FB7220"/>
    <w:pPr>
      <w:tabs>
        <w:tab w:val="clear" w:pos="794"/>
        <w:tab w:val="clear" w:pos="1191"/>
        <w:tab w:val="clear" w:pos="1588"/>
        <w:tab w:val="clear" w:pos="1985"/>
      </w:tabs>
      <w:overflowPunct/>
      <w:autoSpaceDE/>
      <w:autoSpaceDN/>
      <w:adjustRightInd/>
      <w:spacing w:before="0"/>
      <w:jc w:val="left"/>
      <w:textAlignment w:val="auto"/>
    </w:pPr>
    <w:rPr>
      <w:rFonts w:ascii="Calibri" w:eastAsia="Calibri" w:hAnsi="Calibri" w:cs="Arial"/>
      <w:color w:val="44546A"/>
      <w:sz w:val="20"/>
      <w:szCs w:val="22"/>
    </w:rPr>
  </w:style>
  <w:style w:type="paragraph" w:customStyle="1" w:styleId="MOSHeading1Numbered">
    <w:name w:val="MOS Heading 1 Numbered"/>
    <w:basedOn w:val="Normal"/>
    <w:semiHidden/>
    <w:rsid w:val="00FB7220"/>
    <w:pPr>
      <w:tabs>
        <w:tab w:val="clear" w:pos="794"/>
        <w:tab w:val="clear" w:pos="1191"/>
        <w:tab w:val="clear" w:pos="1588"/>
        <w:tab w:val="clear" w:pos="1985"/>
      </w:tabs>
      <w:overflowPunct/>
      <w:autoSpaceDE/>
      <w:autoSpaceDN/>
      <w:adjustRightInd/>
      <w:spacing w:after="120"/>
      <w:jc w:val="left"/>
      <w:textAlignment w:val="auto"/>
    </w:pPr>
    <w:rPr>
      <w:rFonts w:ascii="Verdana" w:eastAsia="SimHei" w:hAnsi="Verdana" w:cs="Simplified Arabic"/>
      <w:sz w:val="19"/>
      <w:szCs w:val="28"/>
    </w:rPr>
  </w:style>
  <w:style w:type="paragraph" w:styleId="IntenseQuote">
    <w:name w:val="Intense Quote"/>
    <w:basedOn w:val="Normal"/>
    <w:next w:val="Normal"/>
    <w:link w:val="IntenseQuoteChar"/>
    <w:uiPriority w:val="30"/>
    <w:qFormat/>
    <w:rsid w:val="00FB7220"/>
    <w:pPr>
      <w:pBdr>
        <w:bottom w:val="single" w:sz="4" w:space="4" w:color="4F81BD" w:themeColor="accent1"/>
      </w:pBdr>
      <w:tabs>
        <w:tab w:val="clear" w:pos="794"/>
        <w:tab w:val="clear" w:pos="1191"/>
        <w:tab w:val="clear" w:pos="1588"/>
        <w:tab w:val="clear" w:pos="1985"/>
      </w:tabs>
      <w:overflowPunct/>
      <w:autoSpaceDE/>
      <w:autoSpaceDN/>
      <w:adjustRightInd/>
      <w:spacing w:before="200" w:after="280"/>
      <w:ind w:left="936" w:right="936"/>
      <w:textAlignment w:val="auto"/>
    </w:pPr>
    <w:rPr>
      <w:rFonts w:ascii="CG Times" w:hAnsi="CG Times"/>
      <w:i/>
      <w:iCs/>
      <w:color w:val="5B9BD5"/>
      <w:sz w:val="20"/>
      <w:lang w:val="en-US" w:eastAsia="zh-CN"/>
    </w:rPr>
  </w:style>
  <w:style w:type="character" w:customStyle="1" w:styleId="IntenseQuoteChar1">
    <w:name w:val="Intense Quote Char1"/>
    <w:basedOn w:val="DefaultParagraphFont"/>
    <w:uiPriority w:val="30"/>
    <w:rsid w:val="00FB7220"/>
    <w:rPr>
      <w:rFonts w:asciiTheme="minorHAnsi" w:hAnsiTheme="minorHAnsi"/>
      <w:i/>
      <w:iCs/>
      <w:color w:val="4F81BD" w:themeColor="accent1"/>
      <w:sz w:val="24"/>
      <w:lang w:val="en-GB" w:eastAsia="en-US"/>
    </w:rPr>
  </w:style>
  <w:style w:type="character" w:styleId="IntenseReference">
    <w:name w:val="Intense Reference"/>
    <w:basedOn w:val="DefaultParagraphFont"/>
    <w:uiPriority w:val="32"/>
    <w:qFormat/>
    <w:rsid w:val="00FB7220"/>
    <w:rPr>
      <w:b/>
      <w:bCs/>
      <w:smallCaps/>
      <w:color w:val="C0504D" w:themeColor="accent2"/>
      <w:spacing w:val="5"/>
      <w:u w:val="single"/>
    </w:rPr>
  </w:style>
  <w:style w:type="character" w:styleId="SubtleReference">
    <w:name w:val="Subtle Reference"/>
    <w:basedOn w:val="DefaultParagraphFont"/>
    <w:uiPriority w:val="31"/>
    <w:qFormat/>
    <w:rsid w:val="00FB7220"/>
    <w:rPr>
      <w:smallCaps/>
      <w:color w:val="C0504D" w:themeColor="accent2"/>
      <w:u w:val="single"/>
    </w:rPr>
  </w:style>
  <w:style w:type="table" w:styleId="LightList-Accent1">
    <w:name w:val="Light List Accent 1"/>
    <w:basedOn w:val="TableNormal"/>
    <w:uiPriority w:val="61"/>
    <w:rsid w:val="00FB7220"/>
    <w:rPr>
      <w:rFonts w:ascii="Times New Roman" w:eastAsia="Times New Roman" w:hAnsi="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GridTable1Light-Accent511">
    <w:name w:val="Grid Table 1 Light - Accent 511"/>
    <w:basedOn w:val="TableNormal"/>
    <w:uiPriority w:val="46"/>
    <w:rsid w:val="00FB7220"/>
    <w:rPr>
      <w:rFonts w:ascii="Calibri" w:eastAsia="Calibri" w:hAnsi="Calibri" w:cs="Arial"/>
      <w:sz w:val="22"/>
      <w:szCs w:val="22"/>
      <w:lan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111">
    <w:name w:val="Grid Table 4 - Accent 111"/>
    <w:basedOn w:val="TableNormal"/>
    <w:uiPriority w:val="49"/>
    <w:rsid w:val="00FB7220"/>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ghtList-Accent12">
    <w:name w:val="Light List - Accent 12"/>
    <w:basedOn w:val="TableNormal"/>
    <w:next w:val="LightList-Accent1"/>
    <w:uiPriority w:val="61"/>
    <w:rsid w:val="00FB7220"/>
    <w:rPr>
      <w:rFonts w:ascii="Calibri" w:hAnsi="Calibri" w:cs="Arial"/>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GridTable1Light-Accent111">
    <w:name w:val="Grid Table 1 Light - Accent 111"/>
    <w:basedOn w:val="TableNormal"/>
    <w:uiPriority w:val="46"/>
    <w:rsid w:val="00FB7220"/>
    <w:rPr>
      <w:rFonts w:ascii="Calibri" w:eastAsia="Calibri" w:hAnsi="Calibri" w:cs="Arial"/>
      <w:sz w:val="22"/>
      <w:szCs w:val="22"/>
      <w:lang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11">
    <w:name w:val="Grid Table 2 - Accent 111"/>
    <w:basedOn w:val="TableNormal"/>
    <w:uiPriority w:val="47"/>
    <w:rsid w:val="00FB7220"/>
    <w:rPr>
      <w:rFonts w:ascii="Calibri" w:eastAsia="Calibri" w:hAnsi="Calibri" w:cs="Arial"/>
      <w:sz w:val="22"/>
      <w:szCs w:val="22"/>
      <w:lang w:eastAsia="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11">
    <w:name w:val="Grid Table 5 Dark - Accent 111"/>
    <w:basedOn w:val="TableNormal"/>
    <w:uiPriority w:val="50"/>
    <w:rsid w:val="00FB7220"/>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
    <w:name w:val="Grid Table 5 Dark - Accent 511"/>
    <w:basedOn w:val="TableNormal"/>
    <w:uiPriority w:val="50"/>
    <w:rsid w:val="00FB7220"/>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4-Accent111">
    <w:name w:val="List Table 4 - Accent 111"/>
    <w:basedOn w:val="TableNormal"/>
    <w:uiPriority w:val="49"/>
    <w:rsid w:val="00FB7220"/>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PlainTable211">
    <w:name w:val="Plain Table 211"/>
    <w:basedOn w:val="TableNormal"/>
    <w:uiPriority w:val="42"/>
    <w:rsid w:val="00FB7220"/>
    <w:rPr>
      <w:rFonts w:ascii="Calibri" w:eastAsia="Calibri" w:hAnsi="Calibri" w:cs="Arial"/>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TOC52">
    <w:name w:val="TOC 52"/>
    <w:basedOn w:val="Normal"/>
    <w:next w:val="Normal"/>
    <w:autoRedefine/>
    <w:uiPriority w:val="39"/>
    <w:unhideWhenUsed/>
    <w:rsid w:val="00FB7220"/>
    <w:pPr>
      <w:tabs>
        <w:tab w:val="clear" w:pos="794"/>
        <w:tab w:val="clear" w:pos="1191"/>
        <w:tab w:val="clear" w:pos="1588"/>
        <w:tab w:val="clear" w:pos="1985"/>
      </w:tabs>
      <w:overflowPunct/>
      <w:autoSpaceDE/>
      <w:autoSpaceDN/>
      <w:adjustRightInd/>
      <w:spacing w:before="0" w:after="100" w:line="259" w:lineRule="auto"/>
      <w:ind w:left="880"/>
      <w:jc w:val="left"/>
      <w:textAlignment w:val="auto"/>
    </w:pPr>
    <w:rPr>
      <w:rFonts w:ascii="Calibri" w:hAnsi="Calibri" w:cs="Arial"/>
      <w:sz w:val="22"/>
      <w:szCs w:val="22"/>
      <w:lang w:eastAsia="en-GB"/>
    </w:rPr>
  </w:style>
  <w:style w:type="paragraph" w:customStyle="1" w:styleId="TOC62">
    <w:name w:val="TOC 62"/>
    <w:basedOn w:val="Normal"/>
    <w:next w:val="Normal"/>
    <w:autoRedefine/>
    <w:uiPriority w:val="39"/>
    <w:unhideWhenUsed/>
    <w:rsid w:val="00FB7220"/>
    <w:pPr>
      <w:tabs>
        <w:tab w:val="clear" w:pos="794"/>
        <w:tab w:val="clear" w:pos="1191"/>
        <w:tab w:val="clear" w:pos="1588"/>
        <w:tab w:val="clear" w:pos="1985"/>
      </w:tabs>
      <w:overflowPunct/>
      <w:autoSpaceDE/>
      <w:autoSpaceDN/>
      <w:adjustRightInd/>
      <w:spacing w:before="0" w:after="100" w:line="259" w:lineRule="auto"/>
      <w:ind w:left="1100"/>
      <w:jc w:val="left"/>
      <w:textAlignment w:val="auto"/>
    </w:pPr>
    <w:rPr>
      <w:rFonts w:ascii="Calibri" w:hAnsi="Calibri" w:cs="Arial"/>
      <w:sz w:val="22"/>
      <w:szCs w:val="22"/>
      <w:lang w:eastAsia="en-GB"/>
    </w:rPr>
  </w:style>
  <w:style w:type="paragraph" w:customStyle="1" w:styleId="TOC72">
    <w:name w:val="TOC 72"/>
    <w:basedOn w:val="Normal"/>
    <w:next w:val="Normal"/>
    <w:autoRedefine/>
    <w:uiPriority w:val="39"/>
    <w:unhideWhenUsed/>
    <w:rsid w:val="00FB7220"/>
    <w:pPr>
      <w:tabs>
        <w:tab w:val="clear" w:pos="794"/>
        <w:tab w:val="clear" w:pos="1191"/>
        <w:tab w:val="clear" w:pos="1588"/>
        <w:tab w:val="clear" w:pos="1985"/>
      </w:tabs>
      <w:overflowPunct/>
      <w:autoSpaceDE/>
      <w:autoSpaceDN/>
      <w:adjustRightInd/>
      <w:spacing w:before="0" w:after="100" w:line="259" w:lineRule="auto"/>
      <w:ind w:left="1320"/>
      <w:jc w:val="left"/>
      <w:textAlignment w:val="auto"/>
    </w:pPr>
    <w:rPr>
      <w:rFonts w:ascii="Calibri" w:hAnsi="Calibri" w:cs="Arial"/>
      <w:sz w:val="22"/>
      <w:szCs w:val="22"/>
      <w:lang w:eastAsia="en-GB"/>
    </w:rPr>
  </w:style>
  <w:style w:type="paragraph" w:customStyle="1" w:styleId="TOC82">
    <w:name w:val="TOC 82"/>
    <w:basedOn w:val="Normal"/>
    <w:next w:val="Normal"/>
    <w:autoRedefine/>
    <w:uiPriority w:val="39"/>
    <w:unhideWhenUsed/>
    <w:rsid w:val="00FB7220"/>
    <w:pPr>
      <w:tabs>
        <w:tab w:val="clear" w:pos="794"/>
        <w:tab w:val="clear" w:pos="1191"/>
        <w:tab w:val="clear" w:pos="1588"/>
        <w:tab w:val="clear" w:pos="1985"/>
      </w:tabs>
      <w:overflowPunct/>
      <w:autoSpaceDE/>
      <w:autoSpaceDN/>
      <w:adjustRightInd/>
      <w:spacing w:before="0" w:after="100" w:line="259" w:lineRule="auto"/>
      <w:ind w:left="1540"/>
      <w:jc w:val="left"/>
      <w:textAlignment w:val="auto"/>
    </w:pPr>
    <w:rPr>
      <w:rFonts w:ascii="Calibri" w:hAnsi="Calibri" w:cs="Arial"/>
      <w:sz w:val="22"/>
      <w:szCs w:val="22"/>
      <w:lang w:eastAsia="en-GB"/>
    </w:rPr>
  </w:style>
  <w:style w:type="paragraph" w:customStyle="1" w:styleId="TOC92">
    <w:name w:val="TOC 92"/>
    <w:basedOn w:val="Normal"/>
    <w:next w:val="Normal"/>
    <w:autoRedefine/>
    <w:uiPriority w:val="39"/>
    <w:unhideWhenUsed/>
    <w:rsid w:val="00FB7220"/>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Calibri" w:hAnsi="Calibri" w:cs="Arial"/>
      <w:sz w:val="22"/>
      <w:szCs w:val="22"/>
      <w:lang w:eastAsia="en-GB"/>
    </w:rPr>
  </w:style>
  <w:style w:type="table" w:customStyle="1" w:styleId="PlainTable221">
    <w:name w:val="Plain Table 221"/>
    <w:basedOn w:val="TableNormal"/>
    <w:uiPriority w:val="42"/>
    <w:rsid w:val="00FB7220"/>
    <w:rPr>
      <w:rFonts w:ascii="Calibri" w:eastAsia="Calibri" w:hAnsi="Calibri" w:cs="Arial"/>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pple-style-span">
    <w:name w:val="apple-style-span"/>
    <w:basedOn w:val="DefaultParagraphFont"/>
    <w:rsid w:val="00FB7220"/>
  </w:style>
  <w:style w:type="paragraph" w:customStyle="1" w:styleId="RegFin">
    <w:name w:val="Reg_Fin"/>
    <w:basedOn w:val="Normal"/>
    <w:rsid w:val="00FB7220"/>
    <w:pPr>
      <w:tabs>
        <w:tab w:val="clear" w:pos="794"/>
        <w:tab w:val="clear" w:pos="1191"/>
        <w:tab w:val="clear" w:pos="1588"/>
        <w:tab w:val="clear" w:pos="1985"/>
        <w:tab w:val="left" w:pos="567"/>
        <w:tab w:val="left" w:pos="1021"/>
        <w:tab w:val="center" w:pos="3572"/>
      </w:tabs>
      <w:spacing w:before="360" w:line="480" w:lineRule="atLeast"/>
      <w:jc w:val="center"/>
    </w:pPr>
    <w:rPr>
      <w:rFonts w:ascii="Times New Roman" w:eastAsia="Times New Roman" w:hAnsi="Times New Roman"/>
      <w:b/>
      <w:sz w:val="28"/>
    </w:rPr>
  </w:style>
  <w:style w:type="numbering" w:customStyle="1" w:styleId="NoList13">
    <w:name w:val="No List13"/>
    <w:next w:val="NoList"/>
    <w:uiPriority w:val="99"/>
    <w:semiHidden/>
    <w:unhideWhenUsed/>
    <w:rsid w:val="00FB7220"/>
  </w:style>
  <w:style w:type="table" w:customStyle="1" w:styleId="TableauNorm3">
    <w:name w:val="Tableau Norm3"/>
    <w:uiPriority w:val="99"/>
    <w:semiHidden/>
    <w:rsid w:val="00FB7220"/>
    <w:rPr>
      <w:rFonts w:ascii="Calibri" w:hAnsi="Calibri" w:cs="Arial"/>
      <w:lang w:val="fr-FR" w:eastAsia="en-US"/>
    </w:rPr>
    <w:tblPr>
      <w:tblInd w:w="0" w:type="dxa"/>
      <w:tblCellMar>
        <w:top w:w="0" w:type="dxa"/>
        <w:left w:w="108" w:type="dxa"/>
        <w:bottom w:w="0" w:type="dxa"/>
        <w:right w:w="108" w:type="dxa"/>
      </w:tblCellMar>
    </w:tblPr>
  </w:style>
  <w:style w:type="numbering" w:customStyle="1" w:styleId="NoList112">
    <w:name w:val="No List112"/>
    <w:next w:val="NoList"/>
    <w:uiPriority w:val="99"/>
    <w:semiHidden/>
    <w:unhideWhenUsed/>
    <w:rsid w:val="00FB7220"/>
  </w:style>
  <w:style w:type="table" w:customStyle="1" w:styleId="TableauNorm12">
    <w:name w:val="Tableau Norm12"/>
    <w:uiPriority w:val="99"/>
    <w:semiHidden/>
    <w:rsid w:val="00FB7220"/>
    <w:rPr>
      <w:rFonts w:ascii="Calibri" w:hAnsi="Calibri" w:cs="Arial"/>
      <w:lang w:val="fr-FR" w:eastAsia="en-US"/>
    </w:rPr>
    <w:tblPr>
      <w:tblInd w:w="0" w:type="dxa"/>
      <w:tblCellMar>
        <w:top w:w="0" w:type="dxa"/>
        <w:left w:w="108" w:type="dxa"/>
        <w:bottom w:w="0" w:type="dxa"/>
        <w:right w:w="108" w:type="dxa"/>
      </w:tblCellMar>
    </w:tblPr>
  </w:style>
  <w:style w:type="table" w:customStyle="1" w:styleId="TableauNorm21">
    <w:name w:val="Tableau Norm21"/>
    <w:uiPriority w:val="99"/>
    <w:semiHidden/>
    <w:rsid w:val="00FB7220"/>
    <w:rPr>
      <w:rFonts w:ascii="Calibri" w:hAnsi="Calibri" w:cs="Arial"/>
      <w:lang w:val="fr-FR" w:eastAsia="en-US"/>
    </w:rPr>
    <w:tblPr>
      <w:tblInd w:w="0" w:type="dxa"/>
      <w:tblCellMar>
        <w:top w:w="0" w:type="dxa"/>
        <w:left w:w="108" w:type="dxa"/>
        <w:bottom w:w="0" w:type="dxa"/>
        <w:right w:w="108" w:type="dxa"/>
      </w:tblCellMar>
    </w:tblPr>
  </w:style>
  <w:style w:type="numbering" w:customStyle="1" w:styleId="NoList121">
    <w:name w:val="No List121"/>
    <w:next w:val="NoList"/>
    <w:uiPriority w:val="99"/>
    <w:semiHidden/>
    <w:unhideWhenUsed/>
    <w:rsid w:val="00FB7220"/>
  </w:style>
  <w:style w:type="table" w:customStyle="1" w:styleId="TableauNorm111">
    <w:name w:val="Tableau Norm111"/>
    <w:uiPriority w:val="99"/>
    <w:semiHidden/>
    <w:rsid w:val="00FB7220"/>
    <w:rPr>
      <w:rFonts w:ascii="Calibri" w:hAnsi="Calibri" w:cs="Arial"/>
      <w:lang w:val="fr-FR" w:eastAsia="en-US"/>
    </w:rPr>
    <w:tblPr>
      <w:tblInd w:w="0" w:type="dxa"/>
      <w:tblCellMar>
        <w:top w:w="0" w:type="dxa"/>
        <w:left w:w="108" w:type="dxa"/>
        <w:bottom w:w="0" w:type="dxa"/>
        <w:right w:w="108" w:type="dxa"/>
      </w:tblCellMar>
    </w:tblPr>
  </w:style>
  <w:style w:type="character" w:customStyle="1" w:styleId="ListParagraphChar">
    <w:name w:val="List Paragraph Char"/>
    <w:aliases w:val="List Paragraph1 Char,Recommendation Char,List Paragraph11 Char"/>
    <w:basedOn w:val="DefaultParagraphFont"/>
    <w:link w:val="ListParagraph"/>
    <w:uiPriority w:val="34"/>
    <w:rsid w:val="00312A82"/>
    <w:rPr>
      <w:rFonts w:ascii="Times New Roman" w:hAnsi="Times New Roman"/>
      <w:sz w:val="24"/>
      <w:lang w:val="en-GB" w:eastAsia="en-US"/>
    </w:rPr>
  </w:style>
  <w:style w:type="paragraph" w:customStyle="1" w:styleId="StyleAnnextitleComplexBodyCalibri">
    <w:name w:val="Style Annex_title + (Complex) +Body (Calibri)"/>
    <w:basedOn w:val="Annextitle"/>
    <w:rsid w:val="005F47C1"/>
    <w:rPr>
      <w:rFonts w:ascii="Calibri" w:hAnsi="Calibri" w:cstheme="minorHAnsi"/>
    </w:rPr>
  </w:style>
  <w:style w:type="table" w:customStyle="1" w:styleId="TableGrid0">
    <w:name w:val="TableGrid"/>
    <w:rsid w:val="00FD589E"/>
    <w:rPr>
      <w:rFonts w:asciiTheme="minorHAnsi" w:eastAsiaTheme="minorEastAsia" w:hAnsiTheme="minorHAnsi" w:cstheme="minorBidi"/>
      <w:sz w:val="22"/>
      <w:szCs w:val="22"/>
      <w:lang w:val="en-GB"/>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A50C20"/>
    <w:rPr>
      <w:color w:val="605E5C"/>
      <w:shd w:val="clear" w:color="auto" w:fill="E1DFDD"/>
    </w:rPr>
  </w:style>
  <w:style w:type="character" w:customStyle="1" w:styleId="DectitleChar">
    <w:name w:val="Dec_title Char"/>
    <w:basedOn w:val="RestitleChar"/>
    <w:link w:val="Dectitle"/>
    <w:rsid w:val="00A80F72"/>
    <w:rPr>
      <w:rFonts w:ascii="Calibri" w:eastAsia="SimSun" w:hAnsi="Calibri"/>
      <w:b/>
      <w:sz w:val="28"/>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78098">
      <w:bodyDiv w:val="1"/>
      <w:marLeft w:val="0"/>
      <w:marRight w:val="0"/>
      <w:marTop w:val="0"/>
      <w:marBottom w:val="0"/>
      <w:divBdr>
        <w:top w:val="none" w:sz="0" w:space="0" w:color="auto"/>
        <w:left w:val="none" w:sz="0" w:space="0" w:color="auto"/>
        <w:bottom w:val="none" w:sz="0" w:space="0" w:color="auto"/>
        <w:right w:val="none" w:sz="0" w:space="0" w:color="auto"/>
      </w:divBdr>
    </w:div>
    <w:div w:id="143159751">
      <w:bodyDiv w:val="1"/>
      <w:marLeft w:val="0"/>
      <w:marRight w:val="0"/>
      <w:marTop w:val="0"/>
      <w:marBottom w:val="0"/>
      <w:divBdr>
        <w:top w:val="none" w:sz="0" w:space="0" w:color="auto"/>
        <w:left w:val="none" w:sz="0" w:space="0" w:color="auto"/>
        <w:bottom w:val="none" w:sz="0" w:space="0" w:color="auto"/>
        <w:right w:val="none" w:sz="0" w:space="0" w:color="auto"/>
      </w:divBdr>
    </w:div>
    <w:div w:id="1482770275">
      <w:bodyDiv w:val="1"/>
      <w:marLeft w:val="0"/>
      <w:marRight w:val="0"/>
      <w:marTop w:val="0"/>
      <w:marBottom w:val="0"/>
      <w:divBdr>
        <w:top w:val="none" w:sz="0" w:space="0" w:color="auto"/>
        <w:left w:val="none" w:sz="0" w:space="0" w:color="auto"/>
        <w:bottom w:val="none" w:sz="0" w:space="0" w:color="auto"/>
        <w:right w:val="none" w:sz="0" w:space="0" w:color="auto"/>
      </w:divBdr>
    </w:div>
    <w:div w:id="1634407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md/S18-CL-C-0121/en" TargetMode="External"/><Relationship Id="rId299" Type="http://schemas.openxmlformats.org/officeDocument/2006/relationships/hyperlink" Target="http://www.itu.int/md/S15-CL-C-0109/en" TargetMode="External"/><Relationship Id="rId21" Type="http://schemas.openxmlformats.org/officeDocument/2006/relationships/header" Target="header8.xml"/><Relationship Id="rId63" Type="http://schemas.openxmlformats.org/officeDocument/2006/relationships/header" Target="header17.xml"/><Relationship Id="rId159" Type="http://schemas.openxmlformats.org/officeDocument/2006/relationships/hyperlink" Target="http://www.itu.int/md/S03-CL-C-0066/en" TargetMode="External"/><Relationship Id="rId324" Type="http://schemas.openxmlformats.org/officeDocument/2006/relationships/hyperlink" Target="http://www.itu.int/md/S15-CL-C-0124/en" TargetMode="External"/><Relationship Id="rId366" Type="http://schemas.openxmlformats.org/officeDocument/2006/relationships/hyperlink" Target="http://www.itu.int/md/S15-CL-C-0116/en" TargetMode="External"/><Relationship Id="rId531" Type="http://schemas.openxmlformats.org/officeDocument/2006/relationships/footer" Target="footer49.xml"/><Relationship Id="rId170" Type="http://schemas.openxmlformats.org/officeDocument/2006/relationships/header" Target="header30.xml"/><Relationship Id="rId226" Type="http://schemas.openxmlformats.org/officeDocument/2006/relationships/hyperlink" Target="http://www.itu.int/itudoc/gs/council/c99/docs/outd/res/116.html" TargetMode="External"/><Relationship Id="rId433" Type="http://schemas.openxmlformats.org/officeDocument/2006/relationships/footer" Target="footer27.xml"/><Relationship Id="rId268" Type="http://schemas.openxmlformats.org/officeDocument/2006/relationships/hyperlink" Target="http://www.itu.int/dms_pub/itu-t/opb/res/T-RES-T.50-2008-PDF-E.pdf" TargetMode="External"/><Relationship Id="rId475" Type="http://schemas.openxmlformats.org/officeDocument/2006/relationships/hyperlink" Target="https://www.itu.int/md/S19-CL-C-0120/en" TargetMode="External"/><Relationship Id="rId32" Type="http://schemas.openxmlformats.org/officeDocument/2006/relationships/footer" Target="footer8.xml"/><Relationship Id="rId74" Type="http://schemas.openxmlformats.org/officeDocument/2006/relationships/hyperlink" Target="http://www.itu.int/itudoc/gs/council/c99/docs/outd/docs4/133.html" TargetMode="External"/><Relationship Id="rId128" Type="http://schemas.openxmlformats.org/officeDocument/2006/relationships/hyperlink" Target="http://www.itu.int/md/S15-CL-C-0121/en" TargetMode="External"/><Relationship Id="rId335" Type="http://schemas.openxmlformats.org/officeDocument/2006/relationships/hyperlink" Target="https://www.itu.int/md/S21-CL-C-0064/en" TargetMode="External"/><Relationship Id="rId377" Type="http://schemas.openxmlformats.org/officeDocument/2006/relationships/hyperlink" Target="https://www.itu.int/md/S19-CL-C-0127/en" TargetMode="External"/><Relationship Id="rId500" Type="http://schemas.openxmlformats.org/officeDocument/2006/relationships/hyperlink" Target="https://www.itu.int/md/S19-CLADD-C-0006/en" TargetMode="External"/><Relationship Id="rId542" Type="http://schemas.openxmlformats.org/officeDocument/2006/relationships/footer" Target="footer54.xml"/><Relationship Id="rId5" Type="http://schemas.openxmlformats.org/officeDocument/2006/relationships/webSettings" Target="webSettings.xml"/><Relationship Id="rId181" Type="http://schemas.openxmlformats.org/officeDocument/2006/relationships/hyperlink" Target="http://www.itu.int/md/S16-CL-C-0138/en" TargetMode="External"/><Relationship Id="rId237" Type="http://schemas.openxmlformats.org/officeDocument/2006/relationships/hyperlink" Target="http://www.itu.int/osg/csd/intgov/mandate/Res102.pdf" TargetMode="External"/><Relationship Id="rId402" Type="http://schemas.openxmlformats.org/officeDocument/2006/relationships/hyperlink" Target="https://www.itu.int/md/S19-CL-C-0117/en" TargetMode="External"/><Relationship Id="rId279" Type="http://schemas.openxmlformats.org/officeDocument/2006/relationships/hyperlink" Target="http://www.itu.int/osg/csd/intgov/mandate/Res102.pdf" TargetMode="External"/><Relationship Id="rId444" Type="http://schemas.openxmlformats.org/officeDocument/2006/relationships/hyperlink" Target="http://www.itu.int/md/S15-CL-C-0111/en" TargetMode="External"/><Relationship Id="rId486" Type="http://schemas.openxmlformats.org/officeDocument/2006/relationships/footer" Target="footer41.xml"/><Relationship Id="rId43" Type="http://schemas.openxmlformats.org/officeDocument/2006/relationships/image" Target="media/image8.emf"/><Relationship Id="rId139" Type="http://schemas.openxmlformats.org/officeDocument/2006/relationships/hyperlink" Target="https://www.itu.int/md/S19-CL-C-0120/en" TargetMode="External"/><Relationship Id="rId290" Type="http://schemas.openxmlformats.org/officeDocument/2006/relationships/hyperlink" Target="http://www.itu.int/ITU-D/cyb/publications/2006/dohaactionplanprogramme3.pdf" TargetMode="External"/><Relationship Id="rId304" Type="http://schemas.openxmlformats.org/officeDocument/2006/relationships/hyperlink" Target="http://www.itu.int/md/S05-CL-C-0123/en" TargetMode="External"/><Relationship Id="rId346" Type="http://schemas.openxmlformats.org/officeDocument/2006/relationships/hyperlink" Target="http://www.itu.int/md/S12-CL-C-0092/en" TargetMode="External"/><Relationship Id="rId388" Type="http://schemas.openxmlformats.org/officeDocument/2006/relationships/hyperlink" Target="https://www.itu.int/md/S20-CLVC-C-0016/en" TargetMode="External"/><Relationship Id="rId511" Type="http://schemas.openxmlformats.org/officeDocument/2006/relationships/hyperlink" Target="http://www.itu.int/md/S11-CL-C-0086/en" TargetMode="External"/><Relationship Id="rId85" Type="http://schemas.openxmlformats.org/officeDocument/2006/relationships/hyperlink" Target="http://www.itu.int/md/S19-CL-C-0040/en" TargetMode="External"/><Relationship Id="rId150" Type="http://schemas.openxmlformats.org/officeDocument/2006/relationships/hyperlink" Target="https://www.itu.int/md/S21-CL-210608-TD-GEN-0003/en" TargetMode="External"/><Relationship Id="rId192" Type="http://schemas.openxmlformats.org/officeDocument/2006/relationships/hyperlink" Target="http://www.itu.int/md/S08-CL-C-0100/en" TargetMode="External"/><Relationship Id="rId206" Type="http://schemas.openxmlformats.org/officeDocument/2006/relationships/header" Target="header35.xml"/><Relationship Id="rId413" Type="http://schemas.openxmlformats.org/officeDocument/2006/relationships/footer" Target="footer21.xml"/><Relationship Id="rId248" Type="http://schemas.openxmlformats.org/officeDocument/2006/relationships/hyperlink" Target="http://www.itu.int/osg/csd/intgov/mandate/Programme3.pdf" TargetMode="External"/><Relationship Id="rId455" Type="http://schemas.openxmlformats.org/officeDocument/2006/relationships/footer" Target="footer33.xml"/><Relationship Id="rId497" Type="http://schemas.openxmlformats.org/officeDocument/2006/relationships/hyperlink" Target="http://www.itu.int/md/S16-CL-C-0124/en" TargetMode="External"/><Relationship Id="rId12" Type="http://schemas.openxmlformats.org/officeDocument/2006/relationships/header" Target="header2.xml"/><Relationship Id="rId108" Type="http://schemas.openxmlformats.org/officeDocument/2006/relationships/hyperlink" Target="http://www.itu.int/md/S08-CL-C-0103/en" TargetMode="External"/><Relationship Id="rId315" Type="http://schemas.openxmlformats.org/officeDocument/2006/relationships/hyperlink" Target="http://www.itu.int/md/S12-CL-C-0101/en" TargetMode="External"/><Relationship Id="rId357" Type="http://schemas.openxmlformats.org/officeDocument/2006/relationships/hyperlink" Target="http://www.itu.int/md/S16-CL-C-0135/en" TargetMode="External"/><Relationship Id="rId522" Type="http://schemas.openxmlformats.org/officeDocument/2006/relationships/hyperlink" Target="http://www.itu.int/itudoc/gs/council/c00/docs/sum/98.html" TargetMode="External"/><Relationship Id="rId54" Type="http://schemas.openxmlformats.org/officeDocument/2006/relationships/package" Target="embeddings/Microsoft_Excel_Worksheet11.xlsx"/><Relationship Id="rId96" Type="http://schemas.openxmlformats.org/officeDocument/2006/relationships/hyperlink" Target="https://www.itu.int/md/S20-DM-CIR-01022/en" TargetMode="External"/><Relationship Id="rId161" Type="http://schemas.openxmlformats.org/officeDocument/2006/relationships/hyperlink" Target="http://www.itu.int/itudoc/gs/council/c99/docs/outd/docs4/132.html" TargetMode="External"/><Relationship Id="rId217" Type="http://schemas.openxmlformats.org/officeDocument/2006/relationships/hyperlink" Target="http://www.itu.int/md/S16-CL-C-0141/en" TargetMode="External"/><Relationship Id="rId399" Type="http://schemas.openxmlformats.org/officeDocument/2006/relationships/hyperlink" Target="https://www.itu.int/md/S19-CL-C-0126/en" TargetMode="External"/><Relationship Id="rId259" Type="http://schemas.openxmlformats.org/officeDocument/2006/relationships/hyperlink" Target="http://www.itu.int/ITU-D/cyb/publications/2006/dohaactionplanprogramme3.pdf" TargetMode="External"/><Relationship Id="rId424" Type="http://schemas.openxmlformats.org/officeDocument/2006/relationships/header" Target="header56.xml"/><Relationship Id="rId466" Type="http://schemas.openxmlformats.org/officeDocument/2006/relationships/footer" Target="footer34.xml"/><Relationship Id="rId23" Type="http://schemas.openxmlformats.org/officeDocument/2006/relationships/header" Target="header10.xml"/><Relationship Id="rId119" Type="http://schemas.openxmlformats.org/officeDocument/2006/relationships/hyperlink" Target="https://www.itu.int/md/S19-CL-C-0120/en" TargetMode="External"/><Relationship Id="rId270" Type="http://schemas.openxmlformats.org/officeDocument/2006/relationships/hyperlink" Target="http://www.itu.int/wsis/docs2/tunis/off/6rev1.html" TargetMode="External"/><Relationship Id="rId326" Type="http://schemas.openxmlformats.org/officeDocument/2006/relationships/hyperlink" Target="https://www.itu.int/md/S19-CL-C-0117/en" TargetMode="External"/><Relationship Id="rId533" Type="http://schemas.openxmlformats.org/officeDocument/2006/relationships/footer" Target="footer50.xml"/><Relationship Id="rId65" Type="http://schemas.openxmlformats.org/officeDocument/2006/relationships/header" Target="header19.xml"/><Relationship Id="rId130" Type="http://schemas.openxmlformats.org/officeDocument/2006/relationships/hyperlink" Target="https://www.itu.int/md/S17-CL-C-0139/en" TargetMode="External"/><Relationship Id="rId368" Type="http://schemas.openxmlformats.org/officeDocument/2006/relationships/hyperlink" Target="https://www.itu.int/md/S21-CL-C-0002/en" TargetMode="External"/><Relationship Id="rId172" Type="http://schemas.openxmlformats.org/officeDocument/2006/relationships/hyperlink" Target="https://www.itu.int/md/S21-CL-C-0023/en" TargetMode="External"/><Relationship Id="rId228" Type="http://schemas.openxmlformats.org/officeDocument/2006/relationships/header" Target="header43.xml"/><Relationship Id="rId435" Type="http://schemas.openxmlformats.org/officeDocument/2006/relationships/hyperlink" Target="http://www.itu.int/itudoc/gs/council/c99/docs/outd/docs4/134.html" TargetMode="External"/><Relationship Id="rId477" Type="http://schemas.openxmlformats.org/officeDocument/2006/relationships/header" Target="header71.xml"/><Relationship Id="rId281" Type="http://schemas.openxmlformats.org/officeDocument/2006/relationships/hyperlink" Target="http://www.itu.int/osg/csd/intgov/mandate/Res130.pdf" TargetMode="External"/><Relationship Id="rId337" Type="http://schemas.openxmlformats.org/officeDocument/2006/relationships/hyperlink" Target="https://www.itu.int/md/S21-DM-CIR-01017/en" TargetMode="External"/><Relationship Id="rId502" Type="http://schemas.openxmlformats.org/officeDocument/2006/relationships/hyperlink" Target="https://www.itu.int/md/S21-CL-C-0099/en" TargetMode="External"/><Relationship Id="rId34" Type="http://schemas.openxmlformats.org/officeDocument/2006/relationships/package" Target="embeddings/Microsoft_Excel_Worksheet1.xlsx"/><Relationship Id="rId76" Type="http://schemas.openxmlformats.org/officeDocument/2006/relationships/hyperlink" Target="http://www.itu.int/itudoc/gs/council/c01/docs/026add1.html" TargetMode="External"/><Relationship Id="rId141" Type="http://schemas.openxmlformats.org/officeDocument/2006/relationships/hyperlink" Target="https://www.itu.int/md/S20-CL-C-0083/en" TargetMode="External"/><Relationship Id="rId379" Type="http://schemas.openxmlformats.org/officeDocument/2006/relationships/header" Target="header49.xml"/><Relationship Id="rId544" Type="http://schemas.openxmlformats.org/officeDocument/2006/relationships/header" Target="header94.xml"/><Relationship Id="rId7" Type="http://schemas.openxmlformats.org/officeDocument/2006/relationships/endnotes" Target="endnotes.xml"/><Relationship Id="rId183" Type="http://schemas.openxmlformats.org/officeDocument/2006/relationships/hyperlink" Target="http://www.itu.int/md/S16-CL-C-0122/en" TargetMode="External"/><Relationship Id="rId239" Type="http://schemas.openxmlformats.org/officeDocument/2006/relationships/hyperlink" Target="http://www.itu.int/ITU-T/wtsa/resolutions04/Res49E.pdf" TargetMode="External"/><Relationship Id="rId390" Type="http://schemas.openxmlformats.org/officeDocument/2006/relationships/hyperlink" Target="https://www.itu.int/md/S19-CL-C-0125/" TargetMode="External"/><Relationship Id="rId404" Type="http://schemas.openxmlformats.org/officeDocument/2006/relationships/hyperlink" Target="https://www.itu.int/md/S20-CLVC2-C-0011/en" TargetMode="External"/><Relationship Id="rId446" Type="http://schemas.openxmlformats.org/officeDocument/2006/relationships/hyperlink" Target="http://www.itu.int/md/S11-CL-C-0104/en" TargetMode="External"/><Relationship Id="rId250" Type="http://schemas.openxmlformats.org/officeDocument/2006/relationships/hyperlink" Target="http://www.itu.int/ITU-T/special-projects/idn/index.html" TargetMode="External"/><Relationship Id="rId292" Type="http://schemas.openxmlformats.org/officeDocument/2006/relationships/hyperlink" Target="https://www.itu.int/en/council/Documents/basic-texts/RES-206-E.pdf" TargetMode="External"/><Relationship Id="rId306" Type="http://schemas.openxmlformats.org/officeDocument/2006/relationships/hyperlink" Target="http://www.itu.int/md/S16-CL-C-0127/en" TargetMode="External"/><Relationship Id="rId488" Type="http://schemas.openxmlformats.org/officeDocument/2006/relationships/hyperlink" Target="http://www.itu.int/md/S12-CL-C-0110/en" TargetMode="External"/><Relationship Id="rId45" Type="http://schemas.openxmlformats.org/officeDocument/2006/relationships/image" Target="media/image9.emf"/><Relationship Id="rId87" Type="http://schemas.openxmlformats.org/officeDocument/2006/relationships/hyperlink" Target="https://www.itu.int/md/S19-CL-190610-TD-GEN-0012/en" TargetMode="External"/><Relationship Id="rId110" Type="http://schemas.openxmlformats.org/officeDocument/2006/relationships/hyperlink" Target="http://www.itu.int/md/S12-CL-C-0095/en" TargetMode="External"/><Relationship Id="rId348" Type="http://schemas.openxmlformats.org/officeDocument/2006/relationships/hyperlink" Target="http://www.itu.int/md/S05-CL-C-0084/en" TargetMode="External"/><Relationship Id="rId513" Type="http://schemas.openxmlformats.org/officeDocument/2006/relationships/hyperlink" Target="http://www.itu.int/md/S15-CL-C-0114/en" TargetMode="External"/><Relationship Id="rId152" Type="http://schemas.openxmlformats.org/officeDocument/2006/relationships/hyperlink" Target="https://www.itu.int/md/S21-DM-CIR-01017/en" TargetMode="External"/><Relationship Id="rId194" Type="http://schemas.openxmlformats.org/officeDocument/2006/relationships/hyperlink" Target="https://www.itu.int/md/S20-CL-C-0079/en" TargetMode="External"/><Relationship Id="rId208" Type="http://schemas.openxmlformats.org/officeDocument/2006/relationships/hyperlink" Target="http://www.itu.int/md/S03-ADCL-C-0030/en" TargetMode="External"/><Relationship Id="rId415" Type="http://schemas.openxmlformats.org/officeDocument/2006/relationships/footer" Target="footer22.xml"/><Relationship Id="rId457" Type="http://schemas.openxmlformats.org/officeDocument/2006/relationships/hyperlink" Target="http://www.itu.int/itudoc/gs/council/c00/docs/96.html" TargetMode="External"/><Relationship Id="rId261" Type="http://schemas.openxmlformats.org/officeDocument/2006/relationships/hyperlink" Target="http://www.itu.int/dms_pub/itu-t/opb/res/T-RES-T.50-2008-PDF-E.pdf" TargetMode="External"/><Relationship Id="rId499" Type="http://schemas.openxmlformats.org/officeDocument/2006/relationships/hyperlink" Target="https://www.itu.int/md/S19-CLADD-C-0005/en" TargetMode="External"/><Relationship Id="rId14" Type="http://schemas.openxmlformats.org/officeDocument/2006/relationships/header" Target="header4.xml"/><Relationship Id="rId56" Type="http://schemas.openxmlformats.org/officeDocument/2006/relationships/package" Target="embeddings/Microsoft_Excel_Worksheet12.xlsx"/><Relationship Id="rId317" Type="http://schemas.openxmlformats.org/officeDocument/2006/relationships/hyperlink" Target="http://www.itu.int/md/S13-CL-C-0108/en" TargetMode="External"/><Relationship Id="rId359" Type="http://schemas.openxmlformats.org/officeDocument/2006/relationships/hyperlink" Target="http://www.itu.int/md/S11-CL-C-0120/en" TargetMode="External"/><Relationship Id="rId524" Type="http://schemas.openxmlformats.org/officeDocument/2006/relationships/hyperlink" Target="http://www.itu.int/md/S13-CL-C-0121/en" TargetMode="External"/><Relationship Id="rId98" Type="http://schemas.openxmlformats.org/officeDocument/2006/relationships/hyperlink" Target="https://www.itu.int/md/S20-CLVC2-C-0014/en" TargetMode="External"/><Relationship Id="rId121" Type="http://schemas.openxmlformats.org/officeDocument/2006/relationships/hyperlink" Target="https://www.itu.int/md/S20-CLVC2-C-0016/en" TargetMode="External"/><Relationship Id="rId163" Type="http://schemas.openxmlformats.org/officeDocument/2006/relationships/hyperlink" Target="http://www.itu.int/md/S14-CL-C-0104/en" TargetMode="External"/><Relationship Id="rId219" Type="http://schemas.openxmlformats.org/officeDocument/2006/relationships/header" Target="header38.xml"/><Relationship Id="rId370" Type="http://schemas.openxmlformats.org/officeDocument/2006/relationships/hyperlink" Target="https://www.itu.int/md/S21-CL-C-0089/en" TargetMode="External"/><Relationship Id="rId426" Type="http://schemas.openxmlformats.org/officeDocument/2006/relationships/header" Target="header57.xml"/><Relationship Id="rId230" Type="http://schemas.openxmlformats.org/officeDocument/2006/relationships/header" Target="header45.xml"/><Relationship Id="rId468" Type="http://schemas.openxmlformats.org/officeDocument/2006/relationships/header" Target="header69.xml"/><Relationship Id="rId25" Type="http://schemas.openxmlformats.org/officeDocument/2006/relationships/image" Target="media/image2.emf"/><Relationship Id="rId67" Type="http://schemas.openxmlformats.org/officeDocument/2006/relationships/hyperlink" Target="https://www.itu.int/md/S21-CL-C-0086/en" TargetMode="External"/><Relationship Id="rId272" Type="http://schemas.openxmlformats.org/officeDocument/2006/relationships/hyperlink" Target="http://www.itu.int/osg/csd/intgov/mandate/Res20.pdf" TargetMode="External"/><Relationship Id="rId328" Type="http://schemas.openxmlformats.org/officeDocument/2006/relationships/hyperlink" Target="http://www.itu.int/md/S15-CL-C-0107/en" TargetMode="External"/><Relationship Id="rId535" Type="http://schemas.openxmlformats.org/officeDocument/2006/relationships/header" Target="header89.xml"/><Relationship Id="rId132" Type="http://schemas.openxmlformats.org/officeDocument/2006/relationships/hyperlink" Target="https://www.itu.int/md/S19-CL-C-0106/en" TargetMode="External"/><Relationship Id="rId174" Type="http://schemas.openxmlformats.org/officeDocument/2006/relationships/hyperlink" Target="https://www.itu.int/md/S21-DM-CIR-01017/en" TargetMode="External"/><Relationship Id="rId381" Type="http://schemas.openxmlformats.org/officeDocument/2006/relationships/footer" Target="footer17.xml"/><Relationship Id="rId220" Type="http://schemas.openxmlformats.org/officeDocument/2006/relationships/footer" Target="footer14.xml"/><Relationship Id="rId241" Type="http://schemas.openxmlformats.org/officeDocument/2006/relationships/hyperlink" Target="http://www.itu.int/dms_pub/itu-t/opb/res/T-RES-T.69-2008-PDF-E.pdf" TargetMode="External"/><Relationship Id="rId437" Type="http://schemas.openxmlformats.org/officeDocument/2006/relationships/header" Target="header62.xml"/><Relationship Id="rId458" Type="http://schemas.openxmlformats.org/officeDocument/2006/relationships/hyperlink" Target="http://www.itu.int/itudoc/gs/council/c01/docs/096.html" TargetMode="External"/><Relationship Id="rId479" Type="http://schemas.openxmlformats.org/officeDocument/2006/relationships/header" Target="header72.xml"/><Relationship Id="rId15" Type="http://schemas.openxmlformats.org/officeDocument/2006/relationships/footer" Target="footer3.xml"/><Relationship Id="rId36" Type="http://schemas.openxmlformats.org/officeDocument/2006/relationships/package" Target="embeddings/Microsoft_Excel_Worksheet2.xlsx"/><Relationship Id="rId57" Type="http://schemas.openxmlformats.org/officeDocument/2006/relationships/hyperlink" Target="https://www.itu.int/md/S19-CL-C-0122/en" TargetMode="External"/><Relationship Id="rId262" Type="http://schemas.openxmlformats.org/officeDocument/2006/relationships/hyperlink" Target="http://www.itu.int/dms_pub/itu-t/opb/res/T-RES-T.52-2008-PDF-E.pdf" TargetMode="External"/><Relationship Id="rId283" Type="http://schemas.openxmlformats.org/officeDocument/2006/relationships/hyperlink" Target="http://www.itu.int/osg/csd/intgov/mandate/Res1282-Mod08.pdf" TargetMode="External"/><Relationship Id="rId318" Type="http://schemas.openxmlformats.org/officeDocument/2006/relationships/hyperlink" Target="http://www.itu.int/md/S13-CL-C-0121/en" TargetMode="External"/><Relationship Id="rId339" Type="http://schemas.openxmlformats.org/officeDocument/2006/relationships/hyperlink" Target="http://www.itu.int/md/S14-CL-INF-0004/en" TargetMode="External"/><Relationship Id="rId490" Type="http://schemas.openxmlformats.org/officeDocument/2006/relationships/header" Target="header77.xml"/><Relationship Id="rId504" Type="http://schemas.openxmlformats.org/officeDocument/2006/relationships/header" Target="header79.xml"/><Relationship Id="rId525" Type="http://schemas.openxmlformats.org/officeDocument/2006/relationships/header" Target="header82.xml"/><Relationship Id="rId546" Type="http://schemas.microsoft.com/office/2011/relationships/people" Target="people.xml"/><Relationship Id="rId78" Type="http://schemas.openxmlformats.org/officeDocument/2006/relationships/hyperlink" Target="http://www.itu.int/itudoc/gs/council/c01/docs/132.html" TargetMode="External"/><Relationship Id="rId99" Type="http://schemas.openxmlformats.org/officeDocument/2006/relationships/hyperlink" Target="https://www.itu.int/md/S20-DM-CIR-01022/en" TargetMode="External"/><Relationship Id="rId101" Type="http://schemas.openxmlformats.org/officeDocument/2006/relationships/hyperlink" Target="http://www.itu.int/itudoc/gs/council/c99/docs/docs1/047.html" TargetMode="External"/><Relationship Id="rId122" Type="http://schemas.openxmlformats.org/officeDocument/2006/relationships/hyperlink" Target="https://www.itu.int/md/S20-DM-CIR-01011/en" TargetMode="External"/><Relationship Id="rId143" Type="http://schemas.openxmlformats.org/officeDocument/2006/relationships/hyperlink" Target="https://www.itu.int/md/S20-DM-CIR-01022/en" TargetMode="External"/><Relationship Id="rId164" Type="http://schemas.openxmlformats.org/officeDocument/2006/relationships/hyperlink" Target="https://www.itu.int/md/S18-CL-C-0068/en" TargetMode="External"/><Relationship Id="rId185" Type="http://schemas.openxmlformats.org/officeDocument/2006/relationships/header" Target="header31.xml"/><Relationship Id="rId350" Type="http://schemas.openxmlformats.org/officeDocument/2006/relationships/hyperlink" Target="http://www.itu.int/md/S06-CL-C-0074/en" TargetMode="External"/><Relationship Id="rId371" Type="http://schemas.openxmlformats.org/officeDocument/2006/relationships/hyperlink" Target="https://www.itu.int/md/S21-CL-C-0093/en" TargetMode="External"/><Relationship Id="rId406" Type="http://schemas.openxmlformats.org/officeDocument/2006/relationships/hyperlink" Target="https://www.itu.int/md/S20-DM-CIR-01022/en" TargetMode="External"/><Relationship Id="rId9" Type="http://schemas.openxmlformats.org/officeDocument/2006/relationships/header" Target="header1.xml"/><Relationship Id="rId210" Type="http://schemas.openxmlformats.org/officeDocument/2006/relationships/hyperlink" Target="https://www.itu.int/md/S18-CEXT19-C-0003/en" TargetMode="External"/><Relationship Id="rId392" Type="http://schemas.openxmlformats.org/officeDocument/2006/relationships/hyperlink" Target="https://www.itu.int/md/S19-CL-C-0125/en" TargetMode="External"/><Relationship Id="rId427" Type="http://schemas.openxmlformats.org/officeDocument/2006/relationships/footer" Target="footer24.xml"/><Relationship Id="rId448" Type="http://schemas.openxmlformats.org/officeDocument/2006/relationships/hyperlink" Target="http://www.itu.int/md/S14-CL-C-0099/en" TargetMode="External"/><Relationship Id="rId469" Type="http://schemas.openxmlformats.org/officeDocument/2006/relationships/footer" Target="footer36.xml"/><Relationship Id="rId26" Type="http://schemas.openxmlformats.org/officeDocument/2006/relationships/package" Target="embeddings/Microsoft_Excel_Worksheet.xlsx"/><Relationship Id="rId231" Type="http://schemas.openxmlformats.org/officeDocument/2006/relationships/hyperlink" Target="http://www.itu.int/osg/csd/intgov/mandate/Res133.pdf" TargetMode="External"/><Relationship Id="rId252" Type="http://schemas.openxmlformats.org/officeDocument/2006/relationships/hyperlink" Target="http://www.itu.int/council/activities/pd/itu-strategic-plan-2008-2011.pdf" TargetMode="External"/><Relationship Id="rId273" Type="http://schemas.openxmlformats.org/officeDocument/2006/relationships/hyperlink" Target="http://www.itu.int/ITU-D/cyb/publications/2006/dohaactionplanprogramme3.pdf" TargetMode="External"/><Relationship Id="rId294" Type="http://schemas.openxmlformats.org/officeDocument/2006/relationships/hyperlink" Target="http://www.itu.int/md/S09-CL-C-0118/en" TargetMode="External"/><Relationship Id="rId308" Type="http://schemas.openxmlformats.org/officeDocument/2006/relationships/hyperlink" Target="https://www.itu.int/md/S19-CL-C-0115/en" TargetMode="External"/><Relationship Id="rId329" Type="http://schemas.openxmlformats.org/officeDocument/2006/relationships/hyperlink" Target="http://www.itu.int/md/S15-CL-C-0099/en" TargetMode="External"/><Relationship Id="rId480" Type="http://schemas.openxmlformats.org/officeDocument/2006/relationships/footer" Target="footer38.xml"/><Relationship Id="rId515" Type="http://schemas.openxmlformats.org/officeDocument/2006/relationships/hyperlink" Target="http://www.itu.int/md/S16-CL-C-0125/en" TargetMode="External"/><Relationship Id="rId536" Type="http://schemas.openxmlformats.org/officeDocument/2006/relationships/footer" Target="footer51.xml"/><Relationship Id="rId47" Type="http://schemas.openxmlformats.org/officeDocument/2006/relationships/image" Target="media/image10.emf"/><Relationship Id="rId68" Type="http://schemas.openxmlformats.org/officeDocument/2006/relationships/hyperlink" Target="https://www.itu.int/md/S21-CL-C-0087/en" TargetMode="External"/><Relationship Id="rId89" Type="http://schemas.openxmlformats.org/officeDocument/2006/relationships/hyperlink" Target="https://www.itu.int/md/S19-CL-C-0120/en" TargetMode="External"/><Relationship Id="rId112" Type="http://schemas.openxmlformats.org/officeDocument/2006/relationships/hyperlink" Target="http://www.itu.int/md/S13-CL-C-0112/en" TargetMode="External"/><Relationship Id="rId133" Type="http://schemas.openxmlformats.org/officeDocument/2006/relationships/hyperlink" Target="https://www.itu.int/dms_ties/itu-s/md/19/cl/c/S19-CL-C-0108!!MSW-E.docx" TargetMode="External"/><Relationship Id="rId154" Type="http://schemas.openxmlformats.org/officeDocument/2006/relationships/header" Target="header25.xml"/><Relationship Id="rId175" Type="http://schemas.openxmlformats.org/officeDocument/2006/relationships/hyperlink" Target="http://www.itu.int/md/S07-CL-C-0098/en" TargetMode="External"/><Relationship Id="rId340" Type="http://schemas.openxmlformats.org/officeDocument/2006/relationships/hyperlink" Target="http://www.itu.int/itudoc/gs/council/c00/docs/89.html" TargetMode="External"/><Relationship Id="rId361" Type="http://schemas.openxmlformats.org/officeDocument/2006/relationships/hyperlink" Target="http://www.itu.int/md/S13-CL-C-0122/en" TargetMode="External"/><Relationship Id="rId196" Type="http://schemas.openxmlformats.org/officeDocument/2006/relationships/hyperlink" Target="https://www.itu.int/md/S20-DM-CIR-01022/en" TargetMode="External"/><Relationship Id="rId200" Type="http://schemas.openxmlformats.org/officeDocument/2006/relationships/hyperlink" Target="http://www.itu.int/md/S09-CL-C-0121/en" TargetMode="External"/><Relationship Id="rId382" Type="http://schemas.openxmlformats.org/officeDocument/2006/relationships/footer" Target="footer18.xml"/><Relationship Id="rId417" Type="http://schemas.openxmlformats.org/officeDocument/2006/relationships/hyperlink" Target="http://www.itu.int/itudoc/gs/council/c98/docs/docs4/120.html" TargetMode="External"/><Relationship Id="rId438" Type="http://schemas.openxmlformats.org/officeDocument/2006/relationships/footer" Target="footer28.xml"/><Relationship Id="rId459" Type="http://schemas.openxmlformats.org/officeDocument/2006/relationships/hyperlink" Target="http://www.itu.int/itudoc/gs/council/c01/docs/129.html" TargetMode="External"/><Relationship Id="rId16" Type="http://schemas.openxmlformats.org/officeDocument/2006/relationships/header" Target="header5.xml"/><Relationship Id="rId221" Type="http://schemas.openxmlformats.org/officeDocument/2006/relationships/header" Target="header39.xml"/><Relationship Id="rId242" Type="http://schemas.openxmlformats.org/officeDocument/2006/relationships/hyperlink" Target="http://www.itu.int/osg/csd/intgov/mandate/WTSA75.pdf" TargetMode="External"/><Relationship Id="rId263" Type="http://schemas.openxmlformats.org/officeDocument/2006/relationships/hyperlink" Target="http://www.itu.int/wsis/docs2/tunis/off/6rev1.html" TargetMode="External"/><Relationship Id="rId284" Type="http://schemas.openxmlformats.org/officeDocument/2006/relationships/hyperlink" Target="http://www.itu.int/council/activities/pd/itu-strategic-plan-2008-2011.pdf" TargetMode="External"/><Relationship Id="rId319" Type="http://schemas.openxmlformats.org/officeDocument/2006/relationships/hyperlink" Target="http://www.itu.int/md/S15-CL-C-0111/en" TargetMode="External"/><Relationship Id="rId470" Type="http://schemas.openxmlformats.org/officeDocument/2006/relationships/hyperlink" Target="http://www.itu.int/itudoc/gs/council/c99/docs/outd/res/118.html" TargetMode="External"/><Relationship Id="rId491" Type="http://schemas.openxmlformats.org/officeDocument/2006/relationships/footer" Target="footer42.xml"/><Relationship Id="rId505" Type="http://schemas.openxmlformats.org/officeDocument/2006/relationships/header" Target="header80.xml"/><Relationship Id="rId526" Type="http://schemas.openxmlformats.org/officeDocument/2006/relationships/header" Target="header83.xml"/><Relationship Id="rId37" Type="http://schemas.openxmlformats.org/officeDocument/2006/relationships/image" Target="media/image5.emf"/><Relationship Id="rId58" Type="http://schemas.openxmlformats.org/officeDocument/2006/relationships/hyperlink" Target="https://www.itu.int/md/S19-CL-C-0120/en" TargetMode="External"/><Relationship Id="rId79" Type="http://schemas.openxmlformats.org/officeDocument/2006/relationships/hyperlink" Target="https://www.itu.int/md/S19-CL-C-0141/en" TargetMode="External"/><Relationship Id="rId102" Type="http://schemas.openxmlformats.org/officeDocument/2006/relationships/hyperlink" Target="http://www.itu.int/md/S05-CL-C-0029/en" TargetMode="External"/><Relationship Id="rId123" Type="http://schemas.openxmlformats.org/officeDocument/2006/relationships/hyperlink" Target="http://www.itu.int/md/S07-CL-C-0085/en" TargetMode="External"/><Relationship Id="rId144" Type="http://schemas.openxmlformats.org/officeDocument/2006/relationships/hyperlink" Target="https://www.itu.int/md/S20-CL-C-0011/" TargetMode="External"/><Relationship Id="rId330" Type="http://schemas.openxmlformats.org/officeDocument/2006/relationships/hyperlink" Target="http://www.itu.int/md/S16-CL-C-0120/en" TargetMode="External"/><Relationship Id="rId547" Type="http://schemas.openxmlformats.org/officeDocument/2006/relationships/theme" Target="theme/theme1.xml"/><Relationship Id="rId90" Type="http://schemas.openxmlformats.org/officeDocument/2006/relationships/hyperlink" Target="https://www.itu.int/en/council/Documents/basic-texts/Convention-C.pdf" TargetMode="External"/><Relationship Id="rId165" Type="http://schemas.openxmlformats.org/officeDocument/2006/relationships/hyperlink" Target="https://www.itu.int/md/S18-CL-C-0116/en" TargetMode="External"/><Relationship Id="rId186" Type="http://schemas.openxmlformats.org/officeDocument/2006/relationships/header" Target="header32.xml"/><Relationship Id="rId351" Type="http://schemas.openxmlformats.org/officeDocument/2006/relationships/hyperlink" Target="http://www.itu.int/md/S06-CL-C-0086/en" TargetMode="External"/><Relationship Id="rId372" Type="http://schemas.openxmlformats.org/officeDocument/2006/relationships/hyperlink" Target="https://www.itu.int/md/S21-DM-CIR-01017/en" TargetMode="External"/><Relationship Id="rId393" Type="http://schemas.openxmlformats.org/officeDocument/2006/relationships/hyperlink" Target="https://www.itu.int/md/S19-CL-C-0112/en" TargetMode="External"/><Relationship Id="rId407" Type="http://schemas.openxmlformats.org/officeDocument/2006/relationships/hyperlink" Target="https://www.itu.int/md/S21-CL-C-0055/en" TargetMode="External"/><Relationship Id="rId428" Type="http://schemas.openxmlformats.org/officeDocument/2006/relationships/header" Target="header58.xml"/><Relationship Id="rId449" Type="http://schemas.openxmlformats.org/officeDocument/2006/relationships/hyperlink" Target="http://www.itu.int/md/S14-CL-C-0102/en" TargetMode="External"/><Relationship Id="rId211" Type="http://schemas.openxmlformats.org/officeDocument/2006/relationships/hyperlink" Target="https://www.itu.int/md/S18-CEXT19-C-0004/en" TargetMode="External"/><Relationship Id="rId232" Type="http://schemas.openxmlformats.org/officeDocument/2006/relationships/hyperlink" Target="http://www.itu.int/dms_pub/itu-t/opb/res/T-RES-T.48-2008-PDF-E.pdf" TargetMode="External"/><Relationship Id="rId253" Type="http://schemas.openxmlformats.org/officeDocument/2006/relationships/hyperlink" Target="http://www.itu.int/wsis/docs2/tunis/off/6rev1.html" TargetMode="External"/><Relationship Id="rId274" Type="http://schemas.openxmlformats.org/officeDocument/2006/relationships/hyperlink" Target="http://www.itu.int/ITU-D/isap/WTDC-02FinalReport/Section2/Prog5.pdf" TargetMode="External"/><Relationship Id="rId295" Type="http://schemas.openxmlformats.org/officeDocument/2006/relationships/hyperlink" Target="https://www.itu.int/md/S19-CL-C-0136/en" TargetMode="External"/><Relationship Id="rId309" Type="http://schemas.openxmlformats.org/officeDocument/2006/relationships/hyperlink" Target="http://www.itu.int/md/S11-CL-C-0096/en" TargetMode="External"/><Relationship Id="rId460" Type="http://schemas.openxmlformats.org/officeDocument/2006/relationships/hyperlink" Target="https://www.itu.int/md/S17-CL-C-0133/en" TargetMode="External"/><Relationship Id="rId481" Type="http://schemas.openxmlformats.org/officeDocument/2006/relationships/header" Target="header73.xml"/><Relationship Id="rId516" Type="http://schemas.openxmlformats.org/officeDocument/2006/relationships/hyperlink" Target="https://www.itu.int/md/S19-CL-C-0139/en" TargetMode="External"/><Relationship Id="rId27" Type="http://schemas.openxmlformats.org/officeDocument/2006/relationships/header" Target="header12.xml"/><Relationship Id="rId48" Type="http://schemas.openxmlformats.org/officeDocument/2006/relationships/package" Target="embeddings/Microsoft_Excel_Worksheet8.xlsx"/><Relationship Id="rId69" Type="http://schemas.openxmlformats.org/officeDocument/2006/relationships/hyperlink" Target="https://www.itu.int/md/S21-DM-CIR-01017/en" TargetMode="External"/><Relationship Id="rId113" Type="http://schemas.openxmlformats.org/officeDocument/2006/relationships/hyperlink" Target="http://www.itu.int/md/S13-CL-C-0122/en" TargetMode="External"/><Relationship Id="rId134" Type="http://schemas.openxmlformats.org/officeDocument/2006/relationships/hyperlink" Target="https://www.itu.int/md/S19-CL-C-0130/en" TargetMode="External"/><Relationship Id="rId320" Type="http://schemas.openxmlformats.org/officeDocument/2006/relationships/hyperlink" Target="http://www.itu.int/md/S15-CL-C-0123/en" TargetMode="External"/><Relationship Id="rId537" Type="http://schemas.openxmlformats.org/officeDocument/2006/relationships/footer" Target="footer52.xml"/><Relationship Id="rId80" Type="http://schemas.openxmlformats.org/officeDocument/2006/relationships/hyperlink" Target="https://www.itu.int/md/S19-CL-C-0120/en" TargetMode="External"/><Relationship Id="rId155" Type="http://schemas.openxmlformats.org/officeDocument/2006/relationships/footer" Target="footer11.xml"/><Relationship Id="rId176" Type="http://schemas.openxmlformats.org/officeDocument/2006/relationships/hyperlink" Target="http://www.itu.int/md/S07-CL-C-0105/en" TargetMode="External"/><Relationship Id="rId197" Type="http://schemas.openxmlformats.org/officeDocument/2006/relationships/hyperlink" Target="http://www.itu.int/md/S04-CL-C-0075/en" TargetMode="External"/><Relationship Id="rId341" Type="http://schemas.openxmlformats.org/officeDocument/2006/relationships/hyperlink" Target="http://www.itu.int/itudoc/gs/council/c00/docs/95.html" TargetMode="External"/><Relationship Id="rId362" Type="http://schemas.openxmlformats.org/officeDocument/2006/relationships/hyperlink" Target="http://www.itu.int/md/S14-CL-C-0099/en" TargetMode="External"/><Relationship Id="rId383" Type="http://schemas.openxmlformats.org/officeDocument/2006/relationships/header" Target="header51.xml"/><Relationship Id="rId418" Type="http://schemas.openxmlformats.org/officeDocument/2006/relationships/hyperlink" Target="https://www.itu.int/md/S21-CL-C-0028/en" TargetMode="External"/><Relationship Id="rId439" Type="http://schemas.openxmlformats.org/officeDocument/2006/relationships/footer" Target="footer29.xml"/><Relationship Id="rId201" Type="http://schemas.openxmlformats.org/officeDocument/2006/relationships/hyperlink" Target="http://www.itu.int/md/S14-CL15EXT-C-0006/en" TargetMode="External"/><Relationship Id="rId222" Type="http://schemas.openxmlformats.org/officeDocument/2006/relationships/header" Target="header40.xml"/><Relationship Id="rId243" Type="http://schemas.openxmlformats.org/officeDocument/2006/relationships/hyperlink" Target="http://www.itu.int/osg/csd/intgov/mandate/Res1282-Mod08.pdf" TargetMode="External"/><Relationship Id="rId264" Type="http://schemas.openxmlformats.org/officeDocument/2006/relationships/hyperlink" Target="http://www.itu.int/osg/csd/intgov/mandate/Res1282-Mod08.pdf" TargetMode="External"/><Relationship Id="rId285" Type="http://schemas.openxmlformats.org/officeDocument/2006/relationships/hyperlink" Target="http://www.itu.int/council/activities/pd/itu-strategic-plan-2008-2011.pdf" TargetMode="External"/><Relationship Id="rId450" Type="http://schemas.openxmlformats.org/officeDocument/2006/relationships/header" Target="header64.xml"/><Relationship Id="rId471" Type="http://schemas.openxmlformats.org/officeDocument/2006/relationships/hyperlink" Target="http://www.itu.int/itudoc/gs/council/c99/docs/outd/docs4/133.html" TargetMode="External"/><Relationship Id="rId506" Type="http://schemas.openxmlformats.org/officeDocument/2006/relationships/footer" Target="footer45.xml"/><Relationship Id="rId17" Type="http://schemas.openxmlformats.org/officeDocument/2006/relationships/header" Target="header6.xml"/><Relationship Id="rId38" Type="http://schemas.openxmlformats.org/officeDocument/2006/relationships/package" Target="embeddings/Microsoft_Excel_Worksheet3.xlsx"/><Relationship Id="rId59" Type="http://schemas.openxmlformats.org/officeDocument/2006/relationships/header" Target="header15.xml"/><Relationship Id="rId103" Type="http://schemas.openxmlformats.org/officeDocument/2006/relationships/header" Target="header21.xml"/><Relationship Id="rId124" Type="http://schemas.openxmlformats.org/officeDocument/2006/relationships/hyperlink" Target="http://www.itu.int/md/S07-CL-C-0104/en" TargetMode="External"/><Relationship Id="rId310" Type="http://schemas.openxmlformats.org/officeDocument/2006/relationships/hyperlink" Target="http://www.itu.int/md/S11-CL-C-0118/en" TargetMode="External"/><Relationship Id="rId492" Type="http://schemas.openxmlformats.org/officeDocument/2006/relationships/footer" Target="footer43.xml"/><Relationship Id="rId527" Type="http://schemas.openxmlformats.org/officeDocument/2006/relationships/header" Target="header84.xml"/><Relationship Id="rId70" Type="http://schemas.openxmlformats.org/officeDocument/2006/relationships/header" Target="header20.xml"/><Relationship Id="rId91" Type="http://schemas.openxmlformats.org/officeDocument/2006/relationships/hyperlink" Target="https://www.itu.int/en/council/Documents/Financial-Regulations/S-GEN-REG_RGTFIN-2018-PDF-C.pdf" TargetMode="External"/><Relationship Id="rId145" Type="http://schemas.openxmlformats.org/officeDocument/2006/relationships/hyperlink" Target="https://www.itu.int/md/S20-CL-C-0084/en" TargetMode="External"/><Relationship Id="rId166" Type="http://schemas.openxmlformats.org/officeDocument/2006/relationships/hyperlink" Target="https://www.itu.int/md/S18-CL-C-0121/en" TargetMode="External"/><Relationship Id="rId187" Type="http://schemas.openxmlformats.org/officeDocument/2006/relationships/header" Target="header33.xml"/><Relationship Id="rId331" Type="http://schemas.openxmlformats.org/officeDocument/2006/relationships/hyperlink" Target="http://www.itu.int/md/S16-CL-C-0126/en" TargetMode="External"/><Relationship Id="rId352" Type="http://schemas.openxmlformats.org/officeDocument/2006/relationships/hyperlink" Target="http://www.itu.int/md/S10-CL-C-0085/en" TargetMode="External"/><Relationship Id="rId373" Type="http://schemas.openxmlformats.org/officeDocument/2006/relationships/header" Target="header46.xml"/><Relationship Id="rId394" Type="http://schemas.openxmlformats.org/officeDocument/2006/relationships/hyperlink" Target="https://www.itu.int/md/S20-CL-C-0072/en" TargetMode="External"/><Relationship Id="rId408" Type="http://schemas.openxmlformats.org/officeDocument/2006/relationships/hyperlink" Target="https://www.itu.int/md/S21-CL-C-0086/en" TargetMode="External"/><Relationship Id="rId429" Type="http://schemas.openxmlformats.org/officeDocument/2006/relationships/header" Target="header59.xml"/><Relationship Id="rId1" Type="http://schemas.openxmlformats.org/officeDocument/2006/relationships/customXml" Target="../customXml/item1.xml"/><Relationship Id="rId212" Type="http://schemas.openxmlformats.org/officeDocument/2006/relationships/hyperlink" Target="http://www.itu.int/md/S16-CL-C-0104/en" TargetMode="External"/><Relationship Id="rId233" Type="http://schemas.openxmlformats.org/officeDocument/2006/relationships/hyperlink" Target="http://www.itu.int/osg/csd/intgov/mandate/Programme3.pdf" TargetMode="External"/><Relationship Id="rId254" Type="http://schemas.openxmlformats.org/officeDocument/2006/relationships/hyperlink" Target="http://www.itu.int/osg/csd/intgov/mandate/Programme3.pdf" TargetMode="External"/><Relationship Id="rId440" Type="http://schemas.openxmlformats.org/officeDocument/2006/relationships/header" Target="header63.xml"/><Relationship Id="rId28" Type="http://schemas.openxmlformats.org/officeDocument/2006/relationships/header" Target="header13.xml"/><Relationship Id="rId49" Type="http://schemas.openxmlformats.org/officeDocument/2006/relationships/image" Target="media/image11.emf"/><Relationship Id="rId114" Type="http://schemas.openxmlformats.org/officeDocument/2006/relationships/hyperlink" Target="https://www.itu.int/md/S17-CL-C-0135/en" TargetMode="External"/><Relationship Id="rId275" Type="http://schemas.openxmlformats.org/officeDocument/2006/relationships/hyperlink" Target="http://www.itu.int/osg/csd/intgov/mandate/WTSA64.pdf" TargetMode="External"/><Relationship Id="rId296" Type="http://schemas.openxmlformats.org/officeDocument/2006/relationships/hyperlink" Target="https://www.itu.int/md/S19-CL-C-0113/en" TargetMode="External"/><Relationship Id="rId300" Type="http://schemas.openxmlformats.org/officeDocument/2006/relationships/hyperlink" Target="http://www.itu.int/md/S15-CL-C-0102/en" TargetMode="External"/><Relationship Id="rId461" Type="http://schemas.openxmlformats.org/officeDocument/2006/relationships/hyperlink" Target="https://www.itu.int/md/S17-CL-C-0140/en" TargetMode="External"/><Relationship Id="rId482" Type="http://schemas.openxmlformats.org/officeDocument/2006/relationships/header" Target="header74.xml"/><Relationship Id="rId517" Type="http://schemas.openxmlformats.org/officeDocument/2006/relationships/hyperlink" Target="https://www.itu.int/md/S19-CL-C-0117/en" TargetMode="External"/><Relationship Id="rId538" Type="http://schemas.openxmlformats.org/officeDocument/2006/relationships/header" Target="header90.xml"/><Relationship Id="rId60" Type="http://schemas.openxmlformats.org/officeDocument/2006/relationships/footer" Target="footer9.xml"/><Relationship Id="rId81" Type="http://schemas.openxmlformats.org/officeDocument/2006/relationships/hyperlink" Target="http://www.itu.int/md/S11-CL-C-0106/en" TargetMode="External"/><Relationship Id="rId135" Type="http://schemas.openxmlformats.org/officeDocument/2006/relationships/hyperlink" Target="https://www.itu.int/md/S19-CL-C-0120/en" TargetMode="External"/><Relationship Id="rId156" Type="http://schemas.openxmlformats.org/officeDocument/2006/relationships/header" Target="header26.xml"/><Relationship Id="rId177" Type="http://schemas.openxmlformats.org/officeDocument/2006/relationships/hyperlink" Target="http://www.itu.int/md/S16-CL-C-0064/en" TargetMode="External"/><Relationship Id="rId198" Type="http://schemas.openxmlformats.org/officeDocument/2006/relationships/hyperlink" Target="http://www.itu.int/md/S04-CL-C-0103/en" TargetMode="External"/><Relationship Id="rId321" Type="http://schemas.openxmlformats.org/officeDocument/2006/relationships/hyperlink" Target="http://www.itu.int/md/S11-CL-C-0099/en" TargetMode="External"/><Relationship Id="rId342" Type="http://schemas.openxmlformats.org/officeDocument/2006/relationships/hyperlink" Target="http://www.itu.int/md/S16-CL-C-0122/en" TargetMode="External"/><Relationship Id="rId363" Type="http://schemas.openxmlformats.org/officeDocument/2006/relationships/hyperlink" Target="http://www.itu.int/md/S14-CL-C-0101/en" TargetMode="External"/><Relationship Id="rId384" Type="http://schemas.openxmlformats.org/officeDocument/2006/relationships/footer" Target="footer19.xml"/><Relationship Id="rId419" Type="http://schemas.openxmlformats.org/officeDocument/2006/relationships/hyperlink" Target="https://www.itu.int/md/S21-CL-C-0028/en" TargetMode="External"/><Relationship Id="rId202" Type="http://schemas.openxmlformats.org/officeDocument/2006/relationships/hyperlink" Target="http://www.itu.int/md/S14-CL15EXT-C-0007/en" TargetMode="External"/><Relationship Id="rId223" Type="http://schemas.openxmlformats.org/officeDocument/2006/relationships/header" Target="header41.xml"/><Relationship Id="rId244" Type="http://schemas.openxmlformats.org/officeDocument/2006/relationships/hyperlink" Target="http://www.itu.int/wsis/docs2/tunis/off/6rev1.html" TargetMode="External"/><Relationship Id="rId430" Type="http://schemas.openxmlformats.org/officeDocument/2006/relationships/footer" Target="footer25.xml"/><Relationship Id="rId18" Type="http://schemas.openxmlformats.org/officeDocument/2006/relationships/header" Target="header7.xml"/><Relationship Id="rId39" Type="http://schemas.openxmlformats.org/officeDocument/2006/relationships/image" Target="media/image6.emf"/><Relationship Id="rId265" Type="http://schemas.openxmlformats.org/officeDocument/2006/relationships/hyperlink" Target="http://www.itu.int/osg/csd/intgov/mandate/Programme3.pdf" TargetMode="External"/><Relationship Id="rId286" Type="http://schemas.openxmlformats.org/officeDocument/2006/relationships/hyperlink" Target="http://www.itu.int/osg/csd/intgov/mandate/Res130.pdf" TargetMode="External"/><Relationship Id="rId451" Type="http://schemas.openxmlformats.org/officeDocument/2006/relationships/header" Target="header65.xml"/><Relationship Id="rId472" Type="http://schemas.openxmlformats.org/officeDocument/2006/relationships/hyperlink" Target="http://www.itu.int/itudoc/gs/council/c01/docs/132.html" TargetMode="External"/><Relationship Id="rId493" Type="http://schemas.openxmlformats.org/officeDocument/2006/relationships/header" Target="header78.xml"/><Relationship Id="rId507" Type="http://schemas.openxmlformats.org/officeDocument/2006/relationships/footer" Target="footer46.xml"/><Relationship Id="rId528" Type="http://schemas.openxmlformats.org/officeDocument/2006/relationships/header" Target="header85.xml"/><Relationship Id="rId50" Type="http://schemas.openxmlformats.org/officeDocument/2006/relationships/package" Target="embeddings/Microsoft_Excel_Worksheet9.xlsx"/><Relationship Id="rId104" Type="http://schemas.openxmlformats.org/officeDocument/2006/relationships/header" Target="header22.xml"/><Relationship Id="rId125" Type="http://schemas.openxmlformats.org/officeDocument/2006/relationships/hyperlink" Target="http://www.itu.int/md/S17-CL-C-0058/en" TargetMode="External"/><Relationship Id="rId146" Type="http://schemas.openxmlformats.org/officeDocument/2006/relationships/hyperlink" Target="https://www.itu.int/md/S20-CLVC2-C-0014/en" TargetMode="External"/><Relationship Id="rId167" Type="http://schemas.openxmlformats.org/officeDocument/2006/relationships/header" Target="header27.xml"/><Relationship Id="rId188" Type="http://schemas.openxmlformats.org/officeDocument/2006/relationships/hyperlink" Target="http://www.itu.int/itudoc/gs/council/c01/docs/113.html" TargetMode="External"/><Relationship Id="rId311" Type="http://schemas.openxmlformats.org/officeDocument/2006/relationships/hyperlink" Target="http://www.itu.int/md/S16-CL-C-0122/en" TargetMode="External"/><Relationship Id="rId332" Type="http://schemas.openxmlformats.org/officeDocument/2006/relationships/hyperlink" Target="https://www.itu.int/md/S19-CL-C-0138/en" TargetMode="External"/><Relationship Id="rId353" Type="http://schemas.openxmlformats.org/officeDocument/2006/relationships/hyperlink" Target="http://www.itu.int/md/S10-CL-C-0091/en" TargetMode="External"/><Relationship Id="rId374" Type="http://schemas.openxmlformats.org/officeDocument/2006/relationships/header" Target="header47.xml"/><Relationship Id="rId395" Type="http://schemas.openxmlformats.org/officeDocument/2006/relationships/hyperlink" Target="https://www.itu.int/md/S20-CLVC-C-0015/en" TargetMode="External"/><Relationship Id="rId409" Type="http://schemas.openxmlformats.org/officeDocument/2006/relationships/hyperlink" Target="https://www.itu.int/md/S21-DM-CIR-01017/en" TargetMode="External"/><Relationship Id="rId71" Type="http://schemas.openxmlformats.org/officeDocument/2006/relationships/hyperlink" Target="http://www.itu.int/itudoc/gs/council/c98/docs/docs1/67.html" TargetMode="External"/><Relationship Id="rId92" Type="http://schemas.openxmlformats.org/officeDocument/2006/relationships/hyperlink" Target="http://www.itu.int/md/S20-CL-C-0040/en" TargetMode="External"/><Relationship Id="rId213" Type="http://schemas.openxmlformats.org/officeDocument/2006/relationships/hyperlink" Target="http://www.itu.int/md/S16-CL-C-0122/en" TargetMode="External"/><Relationship Id="rId234" Type="http://schemas.openxmlformats.org/officeDocument/2006/relationships/hyperlink" Target="http://www.itu.int/ITU-D/study_groups/SGP_2006-2010/documents/Questions/Q12-2-1.pdf" TargetMode="External"/><Relationship Id="rId420" Type="http://schemas.openxmlformats.org/officeDocument/2006/relationships/hyperlink" Target="https://www.itu.int/md/S21-CL-210608-TD-GEN-0002/en" TargetMode="External"/><Relationship Id="rId2" Type="http://schemas.openxmlformats.org/officeDocument/2006/relationships/numbering" Target="numbering.xml"/><Relationship Id="rId29" Type="http://schemas.openxmlformats.org/officeDocument/2006/relationships/footer" Target="footer6.xml"/><Relationship Id="rId255" Type="http://schemas.openxmlformats.org/officeDocument/2006/relationships/hyperlink" Target="http://www.itu.int/council/activities/pd/itu-strategic-plan-2008-2011.pdf" TargetMode="External"/><Relationship Id="rId276" Type="http://schemas.openxmlformats.org/officeDocument/2006/relationships/hyperlink" Target="http://www.itu.int/osg/csd/intgov/mandate/Res20.pdf" TargetMode="External"/><Relationship Id="rId297" Type="http://schemas.openxmlformats.org/officeDocument/2006/relationships/hyperlink" Target="http://www.itu.int/md/S09-CL-C-0108/en" TargetMode="External"/><Relationship Id="rId441" Type="http://schemas.openxmlformats.org/officeDocument/2006/relationships/footer" Target="footer30.xml"/><Relationship Id="rId462" Type="http://schemas.openxmlformats.org/officeDocument/2006/relationships/hyperlink" Target="https://www.itu.int/md/S17-CL-C-0134/en" TargetMode="External"/><Relationship Id="rId483" Type="http://schemas.openxmlformats.org/officeDocument/2006/relationships/footer" Target="footer39.xml"/><Relationship Id="rId518" Type="http://schemas.openxmlformats.org/officeDocument/2006/relationships/hyperlink" Target="https://www.itu.int/md/S17-CL-C-0012/en" TargetMode="External"/><Relationship Id="rId539" Type="http://schemas.openxmlformats.org/officeDocument/2006/relationships/footer" Target="footer53.xml"/><Relationship Id="rId40" Type="http://schemas.openxmlformats.org/officeDocument/2006/relationships/package" Target="embeddings/Microsoft_Excel_Worksheet4.xlsx"/><Relationship Id="rId115" Type="http://schemas.openxmlformats.org/officeDocument/2006/relationships/hyperlink" Target="https://www.itu.int/md/S17-CL-C-0140/en" TargetMode="External"/><Relationship Id="rId136" Type="http://schemas.openxmlformats.org/officeDocument/2006/relationships/hyperlink" Target="https://www.itu.int/md/S19-CL-C-0131/en" TargetMode="External"/><Relationship Id="rId157" Type="http://schemas.openxmlformats.org/officeDocument/2006/relationships/footer" Target="footer12.xml"/><Relationship Id="rId178" Type="http://schemas.openxmlformats.org/officeDocument/2006/relationships/hyperlink" Target="http://www.itu.int/md/S16-CL-C-0064/en" TargetMode="External"/><Relationship Id="rId301" Type="http://schemas.openxmlformats.org/officeDocument/2006/relationships/hyperlink" Target="http://www.itu.int/md/S11-CL-C-0095/en" TargetMode="External"/><Relationship Id="rId322" Type="http://schemas.openxmlformats.org/officeDocument/2006/relationships/hyperlink" Target="http://www.itu.int/md/S11-CL-C-0119/en" TargetMode="External"/><Relationship Id="rId343" Type="http://schemas.openxmlformats.org/officeDocument/2006/relationships/hyperlink" Target="http://www.itu.int/md/S16-CL-C-0133/en" TargetMode="External"/><Relationship Id="rId364" Type="http://schemas.openxmlformats.org/officeDocument/2006/relationships/hyperlink" Target="https://www.itu.int/md/S19-CL-C-0142/en" TargetMode="External"/><Relationship Id="rId61" Type="http://schemas.openxmlformats.org/officeDocument/2006/relationships/header" Target="header16.xml"/><Relationship Id="rId82" Type="http://schemas.openxmlformats.org/officeDocument/2006/relationships/hyperlink" Target="http://www.itu.int/md/S11-CL-C-0120/en" TargetMode="External"/><Relationship Id="rId199" Type="http://schemas.openxmlformats.org/officeDocument/2006/relationships/hyperlink" Target="http://www.itu.int/md/S09-CL-C-0113/en" TargetMode="External"/><Relationship Id="rId203" Type="http://schemas.openxmlformats.org/officeDocument/2006/relationships/hyperlink" Target="https://www.itu.int/md/S18-CL-C-0113/en" TargetMode="External"/><Relationship Id="rId385" Type="http://schemas.openxmlformats.org/officeDocument/2006/relationships/hyperlink" Target="http://www.itu.int/md/S08-CL-C-0091/en" TargetMode="External"/><Relationship Id="rId19" Type="http://schemas.openxmlformats.org/officeDocument/2006/relationships/footer" Target="footer4.xml"/><Relationship Id="rId224" Type="http://schemas.openxmlformats.org/officeDocument/2006/relationships/footer" Target="footer15.xml"/><Relationship Id="rId245" Type="http://schemas.openxmlformats.org/officeDocument/2006/relationships/hyperlink" Target="http://www.itu.int/osg/csd/intgov/mandate/Res102.pdf" TargetMode="External"/><Relationship Id="rId266" Type="http://schemas.openxmlformats.org/officeDocument/2006/relationships/hyperlink" Target="http://www.itu.int/osg/csd/intgov/mandate/Res130.pdf" TargetMode="External"/><Relationship Id="rId287" Type="http://schemas.openxmlformats.org/officeDocument/2006/relationships/hyperlink" Target="http://www.itu.int/wsis/docs2/tunis/off/6rev1.html" TargetMode="External"/><Relationship Id="rId410" Type="http://schemas.openxmlformats.org/officeDocument/2006/relationships/header" Target="header52.xml"/><Relationship Id="rId431" Type="http://schemas.openxmlformats.org/officeDocument/2006/relationships/footer" Target="footer26.xml"/><Relationship Id="rId452" Type="http://schemas.openxmlformats.org/officeDocument/2006/relationships/footer" Target="footer31.xml"/><Relationship Id="rId473" Type="http://schemas.openxmlformats.org/officeDocument/2006/relationships/hyperlink" Target="https://www.itu.int/md/S19-CL-C-0025/en" TargetMode="External"/><Relationship Id="rId494" Type="http://schemas.openxmlformats.org/officeDocument/2006/relationships/footer" Target="footer44.xml"/><Relationship Id="rId508" Type="http://schemas.openxmlformats.org/officeDocument/2006/relationships/header" Target="header81.xml"/><Relationship Id="rId529" Type="http://schemas.openxmlformats.org/officeDocument/2006/relationships/header" Target="header86.xml"/><Relationship Id="rId30" Type="http://schemas.openxmlformats.org/officeDocument/2006/relationships/footer" Target="footer7.xml"/><Relationship Id="rId105" Type="http://schemas.openxmlformats.org/officeDocument/2006/relationships/header" Target="header23.xml"/><Relationship Id="rId126" Type="http://schemas.openxmlformats.org/officeDocument/2006/relationships/hyperlink" Target="http://www.itu.int/en/plenipotentiary/2014/Documents/final-acts/pp14-final-acts-en.pdf" TargetMode="External"/><Relationship Id="rId147" Type="http://schemas.openxmlformats.org/officeDocument/2006/relationships/hyperlink" Target="https://www.itu.int/md/S20-DM-CIR-01022/en" TargetMode="External"/><Relationship Id="rId168" Type="http://schemas.openxmlformats.org/officeDocument/2006/relationships/header" Target="header28.xml"/><Relationship Id="rId312" Type="http://schemas.openxmlformats.org/officeDocument/2006/relationships/hyperlink" Target="http://www.itu.int/md/S16-CL-C-0134/en" TargetMode="External"/><Relationship Id="rId333" Type="http://schemas.openxmlformats.org/officeDocument/2006/relationships/hyperlink" Target="https://www.itu.int/md/S19-CL-C-0116/en" TargetMode="External"/><Relationship Id="rId354" Type="http://schemas.openxmlformats.org/officeDocument/2006/relationships/hyperlink" Target="http://www.itu.int/md/S11-CL-C-0116/en" TargetMode="External"/><Relationship Id="rId540" Type="http://schemas.openxmlformats.org/officeDocument/2006/relationships/header" Target="header91.xml"/><Relationship Id="rId51" Type="http://schemas.openxmlformats.org/officeDocument/2006/relationships/image" Target="media/image12.emf"/><Relationship Id="rId72" Type="http://schemas.openxmlformats.org/officeDocument/2006/relationships/hyperlink" Target="http://www.itu.int/itudoc/gs/council/c98/docs/docs1/93.html" TargetMode="External"/><Relationship Id="rId93" Type="http://schemas.openxmlformats.org/officeDocument/2006/relationships/hyperlink" Target="https://www.itu.int/md/S20-CL-C-0042/en" TargetMode="External"/><Relationship Id="rId189" Type="http://schemas.openxmlformats.org/officeDocument/2006/relationships/hyperlink" Target="http://www.itu.int/itudoc/gs/council/c01/docs/130.html" TargetMode="External"/><Relationship Id="rId375" Type="http://schemas.openxmlformats.org/officeDocument/2006/relationships/header" Target="header48.xml"/><Relationship Id="rId396" Type="http://schemas.openxmlformats.org/officeDocument/2006/relationships/hyperlink" Target="https://www.itu.int/md/S20-CLVC2-C-0010/en" TargetMode="External"/><Relationship Id="rId3" Type="http://schemas.openxmlformats.org/officeDocument/2006/relationships/styles" Target="styles.xml"/><Relationship Id="rId214" Type="http://schemas.openxmlformats.org/officeDocument/2006/relationships/hyperlink" Target="http://www.itu.int/md/S16-CL-C-0140/en" TargetMode="External"/><Relationship Id="rId235" Type="http://schemas.openxmlformats.org/officeDocument/2006/relationships/hyperlink" Target="http://www.itu.int/ITU-T/studygroups/com03/iic/index.html" TargetMode="External"/><Relationship Id="rId256" Type="http://schemas.openxmlformats.org/officeDocument/2006/relationships/hyperlink" Target="http://www.itu.int/ITU-D/study_groups/SGP_2006-2010/SG1/SG1-index.html" TargetMode="External"/><Relationship Id="rId277" Type="http://schemas.openxmlformats.org/officeDocument/2006/relationships/hyperlink" Target="http://www.itu.int/osg/csd/intgov/mandate/WTSA75.pdf" TargetMode="External"/><Relationship Id="rId298" Type="http://schemas.openxmlformats.org/officeDocument/2006/relationships/hyperlink" Target="http://www.itu.int/md/S09-CL-C-0120/en" TargetMode="External"/><Relationship Id="rId400" Type="http://schemas.openxmlformats.org/officeDocument/2006/relationships/hyperlink" Target="https://www.itu.int/md/S19-CL-C-0115/en" TargetMode="External"/><Relationship Id="rId421" Type="http://schemas.openxmlformats.org/officeDocument/2006/relationships/hyperlink" Target="https://www.itu.int/md/S21-CL-C-0085/en" TargetMode="External"/><Relationship Id="rId442" Type="http://schemas.openxmlformats.org/officeDocument/2006/relationships/image" Target="media/image15.emf"/><Relationship Id="rId463" Type="http://schemas.openxmlformats.org/officeDocument/2006/relationships/hyperlink" Target="https://www.itu.int/md/S17-CL-C-0140/en" TargetMode="External"/><Relationship Id="rId484" Type="http://schemas.openxmlformats.org/officeDocument/2006/relationships/footer" Target="footer40.xml"/><Relationship Id="rId519" Type="http://schemas.openxmlformats.org/officeDocument/2006/relationships/hyperlink" Target="https://www.itu.int/md/S17-CL-C-0127/en" TargetMode="External"/><Relationship Id="rId116" Type="http://schemas.openxmlformats.org/officeDocument/2006/relationships/hyperlink" Target="https://www.itu.int/md/S18-CL-C-0114/en" TargetMode="External"/><Relationship Id="rId137" Type="http://schemas.openxmlformats.org/officeDocument/2006/relationships/hyperlink" Target="https://www.itu.int/md/S19-CL-C-0120/en" TargetMode="External"/><Relationship Id="rId158" Type="http://schemas.openxmlformats.org/officeDocument/2006/relationships/hyperlink" Target="http://www.itu.int/md/S03-CL-C-0058/en" TargetMode="External"/><Relationship Id="rId302" Type="http://schemas.openxmlformats.org/officeDocument/2006/relationships/hyperlink" Target="http://www.itu.int/md/S11-CL-C-0118/en" TargetMode="External"/><Relationship Id="rId323" Type="http://schemas.openxmlformats.org/officeDocument/2006/relationships/hyperlink" Target="http://www.itu.int/md/S15-CL-C-0113/en" TargetMode="External"/><Relationship Id="rId344" Type="http://schemas.openxmlformats.org/officeDocument/2006/relationships/hyperlink" Target="http://www.itu.int/md/S04-CL-C-0082/en" TargetMode="External"/><Relationship Id="rId530" Type="http://schemas.openxmlformats.org/officeDocument/2006/relationships/footer" Target="footer48.xml"/><Relationship Id="rId20" Type="http://schemas.openxmlformats.org/officeDocument/2006/relationships/footer" Target="footer5.xml"/><Relationship Id="rId41" Type="http://schemas.openxmlformats.org/officeDocument/2006/relationships/image" Target="media/image7.emf"/><Relationship Id="rId62" Type="http://schemas.openxmlformats.org/officeDocument/2006/relationships/footer" Target="footer10.xml"/><Relationship Id="rId83" Type="http://schemas.openxmlformats.org/officeDocument/2006/relationships/hyperlink" Target="https://www.itu.int/en/council/Documents/basic-texts/Convention-C.pdf" TargetMode="External"/><Relationship Id="rId179" Type="http://schemas.openxmlformats.org/officeDocument/2006/relationships/hyperlink" Target="http://www.itu.int/md/S16-CL-C-0064/en" TargetMode="External"/><Relationship Id="rId365" Type="http://schemas.openxmlformats.org/officeDocument/2006/relationships/hyperlink" Target="https://www.itu.int/md/S19-CL-C-0120/en" TargetMode="External"/><Relationship Id="rId386" Type="http://schemas.openxmlformats.org/officeDocument/2006/relationships/hyperlink" Target="http://www.itu.int/md/S08-CL-C-0105/en" TargetMode="External"/><Relationship Id="rId190" Type="http://schemas.openxmlformats.org/officeDocument/2006/relationships/hyperlink" Target="http://www.itu.int/itudoc/gs/council/c01/docs/123.html" TargetMode="External"/><Relationship Id="rId204" Type="http://schemas.openxmlformats.org/officeDocument/2006/relationships/hyperlink" Target="https://www.itu.int/md/S18-CL-C-0121/en" TargetMode="External"/><Relationship Id="rId225" Type="http://schemas.openxmlformats.org/officeDocument/2006/relationships/header" Target="header42.xml"/><Relationship Id="rId246" Type="http://schemas.openxmlformats.org/officeDocument/2006/relationships/hyperlink" Target="http://www.itu.int/osg/csd/intgov/mandate/Res130.pdf" TargetMode="External"/><Relationship Id="rId267" Type="http://schemas.openxmlformats.org/officeDocument/2006/relationships/hyperlink" Target="http://www.itu.int/dms_pub/itu-t/opb/res/T-RES-T.50-2008-PDF-E.pdf" TargetMode="External"/><Relationship Id="rId288" Type="http://schemas.openxmlformats.org/officeDocument/2006/relationships/hyperlink" Target="http://www.itu.int/council/activities/pd/itu-strategic-plan-2008-2011.pdf" TargetMode="External"/><Relationship Id="rId411" Type="http://schemas.openxmlformats.org/officeDocument/2006/relationships/header" Target="header53.xml"/><Relationship Id="rId432" Type="http://schemas.openxmlformats.org/officeDocument/2006/relationships/header" Target="header60.xml"/><Relationship Id="rId453" Type="http://schemas.openxmlformats.org/officeDocument/2006/relationships/footer" Target="footer32.xml"/><Relationship Id="rId474" Type="http://schemas.openxmlformats.org/officeDocument/2006/relationships/hyperlink" Target="https://www.itu.int/md/S19-CL-C-0133/en" TargetMode="External"/><Relationship Id="rId509" Type="http://schemas.openxmlformats.org/officeDocument/2006/relationships/footer" Target="footer47.xml"/><Relationship Id="rId106" Type="http://schemas.openxmlformats.org/officeDocument/2006/relationships/hyperlink" Target="http://www.itu.int/itudoc/gs/council/c01/docs/100.html" TargetMode="External"/><Relationship Id="rId127" Type="http://schemas.openxmlformats.org/officeDocument/2006/relationships/hyperlink" Target="http://www.itu.int/md/S11-CL-C-0110/en" TargetMode="External"/><Relationship Id="rId313" Type="http://schemas.openxmlformats.org/officeDocument/2006/relationships/hyperlink" Target="http://www.itu.int/md/S11-CL-C-0103/en" TargetMode="External"/><Relationship Id="rId495" Type="http://schemas.openxmlformats.org/officeDocument/2006/relationships/hyperlink" Target="http://www.itu.int/md/S16-CL-C-0007/en" TargetMode="External"/><Relationship Id="rId10" Type="http://schemas.openxmlformats.org/officeDocument/2006/relationships/footer" Target="footer1.xml"/><Relationship Id="rId31" Type="http://schemas.openxmlformats.org/officeDocument/2006/relationships/header" Target="header14.xml"/><Relationship Id="rId52" Type="http://schemas.openxmlformats.org/officeDocument/2006/relationships/package" Target="embeddings/Microsoft_Excel_Worksheet10.xlsx"/><Relationship Id="rId73" Type="http://schemas.openxmlformats.org/officeDocument/2006/relationships/hyperlink" Target="http://www.itu.int/itudoc/gs/council/c99/docs/outd/res/29.html" TargetMode="External"/><Relationship Id="rId94" Type="http://schemas.openxmlformats.org/officeDocument/2006/relationships/hyperlink" Target="https://www.itu.int/md/S20-CL-C-0080/en" TargetMode="External"/><Relationship Id="rId148" Type="http://schemas.openxmlformats.org/officeDocument/2006/relationships/hyperlink" Target="https://www.itu.int/md/S21-CL-C-0011/en" TargetMode="External"/><Relationship Id="rId169" Type="http://schemas.openxmlformats.org/officeDocument/2006/relationships/header" Target="header29.xml"/><Relationship Id="rId334" Type="http://schemas.openxmlformats.org/officeDocument/2006/relationships/hyperlink" Target="https://www.itu.int/en/council/Documents/basic-texts/DEC-011-C.pdf" TargetMode="External"/><Relationship Id="rId355" Type="http://schemas.openxmlformats.org/officeDocument/2006/relationships/hyperlink" Target="http://www.itu.int/md/S11-CL-C-0121/en" TargetMode="External"/><Relationship Id="rId376" Type="http://schemas.openxmlformats.org/officeDocument/2006/relationships/footer" Target="footer16.xml"/><Relationship Id="rId397" Type="http://schemas.openxmlformats.org/officeDocument/2006/relationships/hyperlink" Target="https://www.itu.int/md/S20-CLVC2-C-0012/en" TargetMode="External"/><Relationship Id="rId520" Type="http://schemas.openxmlformats.org/officeDocument/2006/relationships/hyperlink" Target="https://www.itu.int/md/S17-CL-C-0128/en" TargetMode="External"/><Relationship Id="rId541" Type="http://schemas.openxmlformats.org/officeDocument/2006/relationships/header" Target="header92.xml"/><Relationship Id="rId4" Type="http://schemas.openxmlformats.org/officeDocument/2006/relationships/settings" Target="settings.xml"/><Relationship Id="rId180" Type="http://schemas.openxmlformats.org/officeDocument/2006/relationships/hyperlink" Target="http://www.itu.int/md/S16-CL-C-0122/en" TargetMode="External"/><Relationship Id="rId215" Type="http://schemas.openxmlformats.org/officeDocument/2006/relationships/hyperlink" Target="http://www.itu.int/md/S16-CL-C-0105/en" TargetMode="External"/><Relationship Id="rId236" Type="http://schemas.openxmlformats.org/officeDocument/2006/relationships/hyperlink" Target="http://www.itu.int/rec/T-REC-D.50-200810-I/en" TargetMode="External"/><Relationship Id="rId257" Type="http://schemas.openxmlformats.org/officeDocument/2006/relationships/hyperlink" Target="http://www.itu.int/wsis/docs2/tunis/off/6rev1.html" TargetMode="External"/><Relationship Id="rId278" Type="http://schemas.openxmlformats.org/officeDocument/2006/relationships/hyperlink" Target="http://www.itu.int/osg/csd/intgov/mandate/Res133.pdf" TargetMode="External"/><Relationship Id="rId401" Type="http://schemas.openxmlformats.org/officeDocument/2006/relationships/hyperlink" Target="https://www.itu.int/md/S19-CL-C-0128/en" TargetMode="External"/><Relationship Id="rId422" Type="http://schemas.openxmlformats.org/officeDocument/2006/relationships/hyperlink" Target="https://www.itu.int/md/S21-DM-CIR-01017/en" TargetMode="External"/><Relationship Id="rId443" Type="http://schemas.openxmlformats.org/officeDocument/2006/relationships/package" Target="embeddings/Microsoft_Excel_Worksheet13.xlsx"/><Relationship Id="rId464" Type="http://schemas.openxmlformats.org/officeDocument/2006/relationships/header" Target="header67.xml"/><Relationship Id="rId303" Type="http://schemas.openxmlformats.org/officeDocument/2006/relationships/hyperlink" Target="http://www.itu.int/md/S15-CL-C-0110/en" TargetMode="External"/><Relationship Id="rId485" Type="http://schemas.openxmlformats.org/officeDocument/2006/relationships/header" Target="header75.xml"/><Relationship Id="rId42" Type="http://schemas.openxmlformats.org/officeDocument/2006/relationships/package" Target="embeddings/Microsoft_Excel_Worksheet5.xlsx"/><Relationship Id="rId84" Type="http://schemas.openxmlformats.org/officeDocument/2006/relationships/hyperlink" Target="https://www.itu.int/en/council/Documents/Financial-Regulations/S-GEN-REG_RGTFIN-2018-PDF-c.pdf" TargetMode="External"/><Relationship Id="rId138" Type="http://schemas.openxmlformats.org/officeDocument/2006/relationships/hyperlink" Target="https://www.itu.int/md/S19-CL-C-0132/en" TargetMode="External"/><Relationship Id="rId345" Type="http://schemas.openxmlformats.org/officeDocument/2006/relationships/hyperlink" Target="http://www.itu.int/md/S04-CL-C-0106/en" TargetMode="External"/><Relationship Id="rId387" Type="http://schemas.openxmlformats.org/officeDocument/2006/relationships/hyperlink" Target="https://www.itu.int/md/S20-CL-C-0069/en" TargetMode="External"/><Relationship Id="rId510" Type="http://schemas.openxmlformats.org/officeDocument/2006/relationships/hyperlink" Target="http://www.itu.int/md/S11-CL-C-0081/en" TargetMode="External"/><Relationship Id="rId191" Type="http://schemas.openxmlformats.org/officeDocument/2006/relationships/hyperlink" Target="http://www.itu.int/itudoc/gs/council/c01/docs/132.html" TargetMode="External"/><Relationship Id="rId205" Type="http://schemas.openxmlformats.org/officeDocument/2006/relationships/header" Target="header34.xml"/><Relationship Id="rId247" Type="http://schemas.openxmlformats.org/officeDocument/2006/relationships/hyperlink" Target="http://www.itu.int/osg/csd/intgov/mandate/Res45.pdf" TargetMode="External"/><Relationship Id="rId412" Type="http://schemas.openxmlformats.org/officeDocument/2006/relationships/footer" Target="footer20.xml"/><Relationship Id="rId107" Type="http://schemas.openxmlformats.org/officeDocument/2006/relationships/hyperlink" Target="http://www.itu.int/itudoc/gs/council/c01/docs/129.html" TargetMode="External"/><Relationship Id="rId289" Type="http://schemas.openxmlformats.org/officeDocument/2006/relationships/hyperlink" Target="http://www.itu.int/osg/csd/intgov/mandate/Res1282-Mod08.pdf" TargetMode="External"/><Relationship Id="rId454" Type="http://schemas.openxmlformats.org/officeDocument/2006/relationships/header" Target="header66.xml"/><Relationship Id="rId496" Type="http://schemas.openxmlformats.org/officeDocument/2006/relationships/hyperlink" Target="http://www.itu.int/md/S16-CL-C-0119/en" TargetMode="External"/><Relationship Id="rId11" Type="http://schemas.openxmlformats.org/officeDocument/2006/relationships/footer" Target="footer2.xml"/><Relationship Id="rId53" Type="http://schemas.openxmlformats.org/officeDocument/2006/relationships/image" Target="media/image13.emf"/><Relationship Id="rId149" Type="http://schemas.openxmlformats.org/officeDocument/2006/relationships/hyperlink" Target="https://www.itu.int/md/S21-CL-C-0011/en" TargetMode="External"/><Relationship Id="rId314" Type="http://schemas.openxmlformats.org/officeDocument/2006/relationships/hyperlink" Target="http://www.itu.int/md/S11-CL-C-0120/en" TargetMode="External"/><Relationship Id="rId356" Type="http://schemas.openxmlformats.org/officeDocument/2006/relationships/hyperlink" Target="http://www.itu.int/md/S16-CL-C-0122/en" TargetMode="External"/><Relationship Id="rId398" Type="http://schemas.openxmlformats.org/officeDocument/2006/relationships/hyperlink" Target="https://www.itu.int/md/S20-DM-CIR-01022/en" TargetMode="External"/><Relationship Id="rId521" Type="http://schemas.openxmlformats.org/officeDocument/2006/relationships/hyperlink" Target="http://www.itu.int/itudoc/gs/council/c00/docs/resdec/77.html" TargetMode="External"/><Relationship Id="rId95" Type="http://schemas.openxmlformats.org/officeDocument/2006/relationships/hyperlink" Target="https://www.itu.int/md/S20-CLVC2-C-0011/en" TargetMode="External"/><Relationship Id="rId160" Type="http://schemas.openxmlformats.org/officeDocument/2006/relationships/hyperlink" Target="http://www.itu.int/itudoc/gs/council/c99/docs/outd/res/117.html" TargetMode="External"/><Relationship Id="rId216" Type="http://schemas.openxmlformats.org/officeDocument/2006/relationships/hyperlink" Target="http://www.itu.int/md/S16-CL-C-0122/en" TargetMode="External"/><Relationship Id="rId423" Type="http://schemas.openxmlformats.org/officeDocument/2006/relationships/header" Target="header55.xml"/><Relationship Id="rId258" Type="http://schemas.openxmlformats.org/officeDocument/2006/relationships/hyperlink" Target="http://www.itu.int/osg/csd/intgov/mandate/Res130.pdf" TargetMode="External"/><Relationship Id="rId465" Type="http://schemas.openxmlformats.org/officeDocument/2006/relationships/header" Target="header68.xml"/><Relationship Id="rId22" Type="http://schemas.openxmlformats.org/officeDocument/2006/relationships/header" Target="header9.xml"/><Relationship Id="rId64" Type="http://schemas.openxmlformats.org/officeDocument/2006/relationships/header" Target="header18.xml"/><Relationship Id="rId118" Type="http://schemas.openxmlformats.org/officeDocument/2006/relationships/hyperlink" Target="https://www.itu.int/md/S19-CL-C-0143/en" TargetMode="External"/><Relationship Id="rId325" Type="http://schemas.openxmlformats.org/officeDocument/2006/relationships/hyperlink" Target="https://www.itu.int/md/S19-CL-C-0140/en" TargetMode="External"/><Relationship Id="rId367" Type="http://schemas.openxmlformats.org/officeDocument/2006/relationships/hyperlink" Target="http://www.itu.int/md/S15-CL-C-0125/en" TargetMode="External"/><Relationship Id="rId532" Type="http://schemas.openxmlformats.org/officeDocument/2006/relationships/header" Target="header87.xml"/><Relationship Id="rId171" Type="http://schemas.openxmlformats.org/officeDocument/2006/relationships/footer" Target="footer13.xml"/><Relationship Id="rId227" Type="http://schemas.openxmlformats.org/officeDocument/2006/relationships/hyperlink" Target="http://www.itu.int/itudoc/gs/council/c99/docs/outd/res/133.html" TargetMode="External"/><Relationship Id="rId269" Type="http://schemas.openxmlformats.org/officeDocument/2006/relationships/hyperlink" Target="http://www.itu.int/dms_pub/itu-t/opb/res/T-RES-T.52-2008-PDF-E.pdf" TargetMode="External"/><Relationship Id="rId434" Type="http://schemas.openxmlformats.org/officeDocument/2006/relationships/hyperlink" Target="http://www.itu.int/itudoc/gs/council/c99/docs/outd/res/127.html" TargetMode="External"/><Relationship Id="rId476" Type="http://schemas.openxmlformats.org/officeDocument/2006/relationships/header" Target="header70.xml"/><Relationship Id="rId33" Type="http://schemas.openxmlformats.org/officeDocument/2006/relationships/image" Target="media/image3.emf"/><Relationship Id="rId129" Type="http://schemas.openxmlformats.org/officeDocument/2006/relationships/hyperlink" Target="http://www.itu.int/council/groups/finregs/pd/regl-e.pdf" TargetMode="External"/><Relationship Id="rId280" Type="http://schemas.openxmlformats.org/officeDocument/2006/relationships/hyperlink" Target="http://www.itu.int/osg/csd/intgov/mandate/Res130.pdf" TargetMode="External"/><Relationship Id="rId336" Type="http://schemas.openxmlformats.org/officeDocument/2006/relationships/hyperlink" Target="https://www.itu.int/md/S21-CL-C-0085/en" TargetMode="External"/><Relationship Id="rId501" Type="http://schemas.openxmlformats.org/officeDocument/2006/relationships/hyperlink" Target="https://www.itu.int/md/S21-CL-C-0077/en" TargetMode="External"/><Relationship Id="rId543" Type="http://schemas.openxmlformats.org/officeDocument/2006/relationships/header" Target="header93.xml"/><Relationship Id="rId75" Type="http://schemas.openxmlformats.org/officeDocument/2006/relationships/hyperlink" Target="http://www.itu.int/itudoc/gs/council/c01/docs/026.html" TargetMode="External"/><Relationship Id="rId140" Type="http://schemas.openxmlformats.org/officeDocument/2006/relationships/hyperlink" Target="http://www.itu.int/md/S20-CL-C-0049/en" TargetMode="External"/><Relationship Id="rId182" Type="http://schemas.openxmlformats.org/officeDocument/2006/relationships/hyperlink" Target="http://www.itu.int/md/S16-CL-C-0060/en" TargetMode="External"/><Relationship Id="rId378" Type="http://schemas.openxmlformats.org/officeDocument/2006/relationships/hyperlink" Target="https://www.itu.int/md/S19-CL-C-0117/en" TargetMode="External"/><Relationship Id="rId403" Type="http://schemas.openxmlformats.org/officeDocument/2006/relationships/hyperlink" Target="https://www.itu.int/md/S20-CL-C-0081/en" TargetMode="External"/><Relationship Id="rId6" Type="http://schemas.openxmlformats.org/officeDocument/2006/relationships/footnotes" Target="footnotes.xml"/><Relationship Id="rId238" Type="http://schemas.openxmlformats.org/officeDocument/2006/relationships/hyperlink" Target="http://www.itu.int/dms_pub/itu-t/opb/res/T-RES-T.47-2008-PDF-E.pdf" TargetMode="External"/><Relationship Id="rId445" Type="http://schemas.openxmlformats.org/officeDocument/2006/relationships/hyperlink" Target="http://www.itu.int/md/S15-CL-C-0116/en" TargetMode="External"/><Relationship Id="rId487" Type="http://schemas.openxmlformats.org/officeDocument/2006/relationships/hyperlink" Target="http://www.itu.int/md/S12-CL-C-0102/en" TargetMode="External"/><Relationship Id="rId291" Type="http://schemas.openxmlformats.org/officeDocument/2006/relationships/hyperlink" Target="http://www.itu.int/ITU-T/special-projects/idn/index.html" TargetMode="External"/><Relationship Id="rId305" Type="http://schemas.openxmlformats.org/officeDocument/2006/relationships/hyperlink" Target="http://www.itu.int/md/S16-CL-C-0120/en" TargetMode="External"/><Relationship Id="rId347" Type="http://schemas.openxmlformats.org/officeDocument/2006/relationships/hyperlink" Target="http://www.itu.int/md/S12-CL-C-0107/en" TargetMode="External"/><Relationship Id="rId512" Type="http://schemas.openxmlformats.org/officeDocument/2006/relationships/hyperlink" Target="http://www.itu.int/md/S15-CL-C-0124/en" TargetMode="External"/><Relationship Id="rId44" Type="http://schemas.openxmlformats.org/officeDocument/2006/relationships/package" Target="embeddings/Microsoft_Excel_Worksheet6.xlsx"/><Relationship Id="rId86" Type="http://schemas.openxmlformats.org/officeDocument/2006/relationships/hyperlink" Target="https://www.itu.int/md/S19-CL-C-0042/en" TargetMode="External"/><Relationship Id="rId151" Type="http://schemas.openxmlformats.org/officeDocument/2006/relationships/hyperlink" Target="https://www.itu.int/md/S21-CL-C-0087/en" TargetMode="External"/><Relationship Id="rId389" Type="http://schemas.openxmlformats.org/officeDocument/2006/relationships/hyperlink" Target="https://www.itu.int/md/S20-DM-CIR-01011/en" TargetMode="External"/><Relationship Id="rId193" Type="http://schemas.openxmlformats.org/officeDocument/2006/relationships/hyperlink" Target="http://www.itu.int/md/S08-CL-C-0106/en" TargetMode="External"/><Relationship Id="rId207" Type="http://schemas.openxmlformats.org/officeDocument/2006/relationships/header" Target="header36.xml"/><Relationship Id="rId249" Type="http://schemas.openxmlformats.org/officeDocument/2006/relationships/hyperlink" Target="http://www.itu.int/dms_pub/itu-t/opb/res/T-RES-T.52-2008-PDF-E.pdf" TargetMode="External"/><Relationship Id="rId414" Type="http://schemas.openxmlformats.org/officeDocument/2006/relationships/header" Target="header54.xml"/><Relationship Id="rId456" Type="http://schemas.openxmlformats.org/officeDocument/2006/relationships/hyperlink" Target="http://www.itu.int/itudoc/gs/council/c00/docs/73.html" TargetMode="External"/><Relationship Id="rId498" Type="http://schemas.openxmlformats.org/officeDocument/2006/relationships/hyperlink" Target="https://www.itu.int/md/S19-CL-C-0120/en" TargetMode="External"/><Relationship Id="rId13" Type="http://schemas.openxmlformats.org/officeDocument/2006/relationships/header" Target="header3.xml"/><Relationship Id="rId109" Type="http://schemas.openxmlformats.org/officeDocument/2006/relationships/hyperlink" Target="http://www.itu.int/md/S08-CL-C-0106/en" TargetMode="External"/><Relationship Id="rId260" Type="http://schemas.openxmlformats.org/officeDocument/2006/relationships/hyperlink" Target="http://www.itu.int/osg/csd/intgov/mandate/Res45.pdf" TargetMode="External"/><Relationship Id="rId316" Type="http://schemas.openxmlformats.org/officeDocument/2006/relationships/hyperlink" Target="http://www.itu.int/md/S12-CL-C-0110/en" TargetMode="External"/><Relationship Id="rId523" Type="http://schemas.openxmlformats.org/officeDocument/2006/relationships/hyperlink" Target="http://www.itu.int/md/S13-CL-C-0107/en" TargetMode="External"/><Relationship Id="rId55" Type="http://schemas.openxmlformats.org/officeDocument/2006/relationships/image" Target="media/image14.emf"/><Relationship Id="rId97" Type="http://schemas.openxmlformats.org/officeDocument/2006/relationships/hyperlink" Target="https://www.itu.int/md/S20-CL-C-0085/en" TargetMode="External"/><Relationship Id="rId120" Type="http://schemas.openxmlformats.org/officeDocument/2006/relationships/hyperlink" Target="https://www.itu.int/md/S20-CL-C-0070/en" TargetMode="External"/><Relationship Id="rId358" Type="http://schemas.openxmlformats.org/officeDocument/2006/relationships/hyperlink" Target="http://www.itu.int/md/S11-CL-C-0103/en" TargetMode="External"/><Relationship Id="rId162" Type="http://schemas.openxmlformats.org/officeDocument/2006/relationships/hyperlink" Target="http://www.itu.int/md/S14-CL-C-0099/en" TargetMode="External"/><Relationship Id="rId218" Type="http://schemas.openxmlformats.org/officeDocument/2006/relationships/header" Target="header37.xml"/><Relationship Id="rId425" Type="http://schemas.openxmlformats.org/officeDocument/2006/relationships/footer" Target="footer23.xml"/><Relationship Id="rId467" Type="http://schemas.openxmlformats.org/officeDocument/2006/relationships/footer" Target="footer35.xml"/><Relationship Id="rId271" Type="http://schemas.openxmlformats.org/officeDocument/2006/relationships/hyperlink" Target="http://www.itu.int/osg/csd/intgov/mandate/Res1282-Mod08.pdf" TargetMode="External"/><Relationship Id="rId24" Type="http://schemas.openxmlformats.org/officeDocument/2006/relationships/header" Target="header11.xml"/><Relationship Id="rId66" Type="http://schemas.openxmlformats.org/officeDocument/2006/relationships/hyperlink" Target="https://www.itu.int/md/S21-CL-C-0065/en" TargetMode="External"/><Relationship Id="rId131" Type="http://schemas.openxmlformats.org/officeDocument/2006/relationships/hyperlink" Target="https://www.itu.int/md/S17-CL-C-0140/en" TargetMode="External"/><Relationship Id="rId327" Type="http://schemas.openxmlformats.org/officeDocument/2006/relationships/hyperlink" Target="http://www.itu.int/md/S15-CL-C-0012/en" TargetMode="External"/><Relationship Id="rId369" Type="http://schemas.openxmlformats.org/officeDocument/2006/relationships/hyperlink" Target="https://www.itu.int/md/S21-CL-210608-TD-GEN-0007/en" TargetMode="External"/><Relationship Id="rId534" Type="http://schemas.openxmlformats.org/officeDocument/2006/relationships/header" Target="header88.xml"/><Relationship Id="rId173" Type="http://schemas.openxmlformats.org/officeDocument/2006/relationships/hyperlink" Target="https://www.itu.int/md/S21-CL-C-0088/en" TargetMode="External"/><Relationship Id="rId229" Type="http://schemas.openxmlformats.org/officeDocument/2006/relationships/header" Target="header44.xml"/><Relationship Id="rId380" Type="http://schemas.openxmlformats.org/officeDocument/2006/relationships/header" Target="header50.xml"/><Relationship Id="rId436" Type="http://schemas.openxmlformats.org/officeDocument/2006/relationships/header" Target="header61.xml"/><Relationship Id="rId240" Type="http://schemas.openxmlformats.org/officeDocument/2006/relationships/hyperlink" Target="http://www.itu.int/osg/csd/intgov/mandate/WTSA64.pdf" TargetMode="External"/><Relationship Id="rId478" Type="http://schemas.openxmlformats.org/officeDocument/2006/relationships/footer" Target="footer37.xml"/><Relationship Id="rId35" Type="http://schemas.openxmlformats.org/officeDocument/2006/relationships/image" Target="media/image4.emf"/><Relationship Id="rId77" Type="http://schemas.openxmlformats.org/officeDocument/2006/relationships/hyperlink" Target="http://www.itu.int/itudoc/gs/council/c01/docs/026add2.html" TargetMode="External"/><Relationship Id="rId100" Type="http://schemas.openxmlformats.org/officeDocument/2006/relationships/hyperlink" Target="http://www.itu.int/itudoc/gs/council/c99/docs/docs1/068.html" TargetMode="External"/><Relationship Id="rId282" Type="http://schemas.openxmlformats.org/officeDocument/2006/relationships/hyperlink" Target="http://www.itu.int/wsis/docs2/tunis/off/6rev1.html" TargetMode="External"/><Relationship Id="rId338" Type="http://schemas.openxmlformats.org/officeDocument/2006/relationships/hyperlink" Target="http://www.itu.int/md/S14-CL-C-0044/en" TargetMode="External"/><Relationship Id="rId503" Type="http://schemas.openxmlformats.org/officeDocument/2006/relationships/hyperlink" Target="https://www.itu.int/md/S21-DM-CIR-01017/en" TargetMode="External"/><Relationship Id="rId545" Type="http://schemas.openxmlformats.org/officeDocument/2006/relationships/fontTable" Target="fontTable.xml"/><Relationship Id="rId8" Type="http://schemas.openxmlformats.org/officeDocument/2006/relationships/image" Target="media/image1.png"/><Relationship Id="rId142" Type="http://schemas.openxmlformats.org/officeDocument/2006/relationships/hyperlink" Target="https://www.itu.int/md/S20-CLVC2-C-0013/en" TargetMode="External"/><Relationship Id="rId184" Type="http://schemas.openxmlformats.org/officeDocument/2006/relationships/hyperlink" Target="http://www.itu.int/md/S16-CL-C-0142/en" TargetMode="External"/><Relationship Id="rId391" Type="http://schemas.openxmlformats.org/officeDocument/2006/relationships/hyperlink" Target="https://www.itu.int/md/S19-CL-C-0125/" TargetMode="External"/><Relationship Id="rId405" Type="http://schemas.openxmlformats.org/officeDocument/2006/relationships/hyperlink" Target="https://www.itu.int/md/S20-CLVC2-C-0012/en" TargetMode="External"/><Relationship Id="rId447" Type="http://schemas.openxmlformats.org/officeDocument/2006/relationships/hyperlink" Target="http://www.itu.int/md/S11-CL-C-0120/en" TargetMode="External"/><Relationship Id="rId251" Type="http://schemas.openxmlformats.org/officeDocument/2006/relationships/hyperlink" Target="http://www.itu.int/ITU-D/study_groups/SGP_2006-2010/SG1/SG1-index.html" TargetMode="External"/><Relationship Id="rId489" Type="http://schemas.openxmlformats.org/officeDocument/2006/relationships/header" Target="header76.xml"/><Relationship Id="rId46" Type="http://schemas.openxmlformats.org/officeDocument/2006/relationships/package" Target="embeddings/Microsoft_Excel_Worksheet7.xlsx"/><Relationship Id="rId293" Type="http://schemas.openxmlformats.org/officeDocument/2006/relationships/hyperlink" Target="http://www.itu.int/md/S09-CL-C-0105/en" TargetMode="External"/><Relationship Id="rId307" Type="http://schemas.openxmlformats.org/officeDocument/2006/relationships/hyperlink" Target="https://www.itu.int/md/S19-CL-C-0137/en" TargetMode="External"/><Relationship Id="rId349" Type="http://schemas.openxmlformats.org/officeDocument/2006/relationships/hyperlink" Target="http://www.itu.int/md/S05-CL-C-0074/en" TargetMode="External"/><Relationship Id="rId514" Type="http://schemas.openxmlformats.org/officeDocument/2006/relationships/hyperlink" Target="http://www.itu.int/md/S16-CL-C-0119/en" TargetMode="External"/><Relationship Id="rId88" Type="http://schemas.openxmlformats.org/officeDocument/2006/relationships/hyperlink" Target="https://www.itu.int/md/S19-CL-C-0123/en" TargetMode="External"/><Relationship Id="rId111" Type="http://schemas.openxmlformats.org/officeDocument/2006/relationships/hyperlink" Target="http://www.itu.int/md/S12-CL-C-0110/en" TargetMode="External"/><Relationship Id="rId153" Type="http://schemas.openxmlformats.org/officeDocument/2006/relationships/header" Target="header24.xml"/><Relationship Id="rId195" Type="http://schemas.openxmlformats.org/officeDocument/2006/relationships/hyperlink" Target="https://www.itu.int/md/S20-CLVC2-C-0010/en" TargetMode="External"/><Relationship Id="rId209" Type="http://schemas.openxmlformats.org/officeDocument/2006/relationships/hyperlink" Target="http://www.itu.int/md/S03-ADCL-C-0035/en" TargetMode="External"/><Relationship Id="rId360" Type="http://schemas.openxmlformats.org/officeDocument/2006/relationships/hyperlink" Target="http://www.itu.int/md/S13-CL-C-0113/en" TargetMode="External"/><Relationship Id="rId416" Type="http://schemas.openxmlformats.org/officeDocument/2006/relationships/hyperlink" Target="http://www.itu.int/itudoc/gs/council/c98/docs/docs1/100.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ep\Application%20Data\Microsoft\Templates\ca_res_9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9B611-C661-4DDC-84E7-EA72B9E06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ca_res_99.dot</Template>
  <TotalTime>4527</TotalTime>
  <Pages>309</Pages>
  <Words>160751</Words>
  <Characters>114034</Characters>
  <Application>Microsoft Office Word</Application>
  <DocSecurity>0</DocSecurity>
  <Lines>950</Lines>
  <Paragraphs>548</Paragraphs>
  <ScaleCrop>false</ScaleCrop>
  <HeadingPairs>
    <vt:vector size="2" baseType="variant">
      <vt:variant>
        <vt:lpstr>Title</vt:lpstr>
      </vt:variant>
      <vt:variant>
        <vt:i4>1</vt:i4>
      </vt:variant>
    </vt:vector>
  </HeadingPairs>
  <TitlesOfParts>
    <vt:vector size="1" baseType="lpstr">
      <vt:lpstr>国际电信联盟理事会决议和决定</vt:lpstr>
    </vt:vector>
  </TitlesOfParts>
  <Manager>CP--3344/dd</Manager>
  <Company>ITU</Company>
  <LinksUpToDate>false</LinksUpToDate>
  <CharactersWithSpaces>274237</CharactersWithSpaces>
  <SharedDoc>false</SharedDoc>
  <HLinks>
    <vt:vector size="792" baseType="variant">
      <vt:variant>
        <vt:i4>7798830</vt:i4>
      </vt:variant>
      <vt:variant>
        <vt:i4>396</vt:i4>
      </vt:variant>
      <vt:variant>
        <vt:i4>0</vt:i4>
      </vt:variant>
      <vt:variant>
        <vt:i4>5</vt:i4>
      </vt:variant>
      <vt:variant>
        <vt:lpwstr>http://www.itu.int/publ/S-CONF-AREP-2008/en</vt:lpwstr>
      </vt:variant>
      <vt:variant>
        <vt:lpwstr/>
      </vt:variant>
      <vt:variant>
        <vt:i4>4063328</vt:i4>
      </vt:variant>
      <vt:variant>
        <vt:i4>393</vt:i4>
      </vt:variant>
      <vt:variant>
        <vt:i4>0</vt:i4>
      </vt:variant>
      <vt:variant>
        <vt:i4>5</vt:i4>
      </vt:variant>
      <vt:variant>
        <vt:lpwstr>http://www.itu.int/md/S08-CL-C-0052/en</vt:lpwstr>
      </vt:variant>
      <vt:variant>
        <vt:lpwstr/>
      </vt:variant>
      <vt:variant>
        <vt:i4>3997748</vt:i4>
      </vt:variant>
      <vt:variant>
        <vt:i4>390</vt:i4>
      </vt:variant>
      <vt:variant>
        <vt:i4>0</vt:i4>
      </vt:variant>
      <vt:variant>
        <vt:i4>5</vt:i4>
      </vt:variant>
      <vt:variant>
        <vt:lpwstr>http://www.itu.int/ITU-D/pdf/op/OP2010-2013.pdf</vt:lpwstr>
      </vt:variant>
      <vt:variant>
        <vt:lpwstr/>
      </vt:variant>
      <vt:variant>
        <vt:i4>6946857</vt:i4>
      </vt:variant>
      <vt:variant>
        <vt:i4>387</vt:i4>
      </vt:variant>
      <vt:variant>
        <vt:i4>0</vt:i4>
      </vt:variant>
      <vt:variant>
        <vt:i4>5</vt:i4>
      </vt:variant>
      <vt:variant>
        <vt:lpwstr>http://www.itu.int/council/C2009/pd/014detailed.doc</vt:lpwstr>
      </vt:variant>
      <vt:variant>
        <vt:lpwstr/>
      </vt:variant>
      <vt:variant>
        <vt:i4>5308430</vt:i4>
      </vt:variant>
      <vt:variant>
        <vt:i4>381</vt:i4>
      </vt:variant>
      <vt:variant>
        <vt:i4>0</vt:i4>
      </vt:variant>
      <vt:variant>
        <vt:i4>5</vt:i4>
      </vt:variant>
      <vt:variant>
        <vt:lpwstr>http://www.itu.int/council/FinRegs/Act-Out-090305.xls</vt:lpwstr>
      </vt:variant>
      <vt:variant>
        <vt:lpwstr/>
      </vt:variant>
      <vt:variant>
        <vt:i4>5308430</vt:i4>
      </vt:variant>
      <vt:variant>
        <vt:i4>378</vt:i4>
      </vt:variant>
      <vt:variant>
        <vt:i4>0</vt:i4>
      </vt:variant>
      <vt:variant>
        <vt:i4>5</vt:i4>
      </vt:variant>
      <vt:variant>
        <vt:lpwstr>http://www.itu.int/council/FinRegs/Act-Out-090305.xls</vt:lpwstr>
      </vt:variant>
      <vt:variant>
        <vt:lpwstr/>
      </vt:variant>
      <vt:variant>
        <vt:i4>6422552</vt:i4>
      </vt:variant>
      <vt:variant>
        <vt:i4>375</vt:i4>
      </vt:variant>
      <vt:variant>
        <vt:i4>0</vt:i4>
      </vt:variant>
      <vt:variant>
        <vt:i4>5</vt:i4>
      </vt:variant>
      <vt:variant>
        <vt:lpwstr>http://www.itu.int/ITU-R/information/docs/ties/OperPlan_10-13.pdf</vt:lpwstr>
      </vt:variant>
      <vt:variant>
        <vt:lpwstr/>
      </vt:variant>
      <vt:variant>
        <vt:i4>6357051</vt:i4>
      </vt:variant>
      <vt:variant>
        <vt:i4>372</vt:i4>
      </vt:variant>
      <vt:variant>
        <vt:i4>0</vt:i4>
      </vt:variant>
      <vt:variant>
        <vt:i4>5</vt:i4>
      </vt:variant>
      <vt:variant>
        <vt:lpwstr>http://www.itu.int/council/C2009/pd/012detailed.pdf</vt:lpwstr>
      </vt:variant>
      <vt:variant>
        <vt:lpwstr/>
      </vt:variant>
      <vt:variant>
        <vt:i4>6357051</vt:i4>
      </vt:variant>
      <vt:variant>
        <vt:i4>369</vt:i4>
      </vt:variant>
      <vt:variant>
        <vt:i4>0</vt:i4>
      </vt:variant>
      <vt:variant>
        <vt:i4>5</vt:i4>
      </vt:variant>
      <vt:variant>
        <vt:lpwstr>http://www.itu.int/council/C2009/pd/012detailed.pdf</vt:lpwstr>
      </vt:variant>
      <vt:variant>
        <vt:lpwstr/>
      </vt:variant>
      <vt:variant>
        <vt:i4>3801191</vt:i4>
      </vt:variant>
      <vt:variant>
        <vt:i4>366</vt:i4>
      </vt:variant>
      <vt:variant>
        <vt:i4>0</vt:i4>
      </vt:variant>
      <vt:variant>
        <vt:i4>5</vt:i4>
      </vt:variant>
      <vt:variant>
        <vt:lpwstr>http://www.itu.int/md/S09-CL-C-0014/en</vt:lpwstr>
      </vt:variant>
      <vt:variant>
        <vt:lpwstr/>
      </vt:variant>
      <vt:variant>
        <vt:i4>4587525</vt:i4>
      </vt:variant>
      <vt:variant>
        <vt:i4>363</vt:i4>
      </vt:variant>
      <vt:variant>
        <vt:i4>0</vt:i4>
      </vt:variant>
      <vt:variant>
        <vt:i4>5</vt:i4>
      </vt:variant>
      <vt:variant>
        <vt:lpwstr>http://www.itu.int/council/C2009/pd/opinion6.doc</vt:lpwstr>
      </vt:variant>
      <vt:variant>
        <vt:lpwstr/>
      </vt:variant>
      <vt:variant>
        <vt:i4>3866725</vt:i4>
      </vt:variant>
      <vt:variant>
        <vt:i4>360</vt:i4>
      </vt:variant>
      <vt:variant>
        <vt:i4>0</vt:i4>
      </vt:variant>
      <vt:variant>
        <vt:i4>5</vt:i4>
      </vt:variant>
      <vt:variant>
        <vt:lpwstr>http://www.itu.int/md/S09-CL-C-0006/en</vt:lpwstr>
      </vt:variant>
      <vt:variant>
        <vt:lpwstr/>
      </vt:variant>
      <vt:variant>
        <vt:i4>3735660</vt:i4>
      </vt:variant>
      <vt:variant>
        <vt:i4>357</vt:i4>
      </vt:variant>
      <vt:variant>
        <vt:i4>0</vt:i4>
      </vt:variant>
      <vt:variant>
        <vt:i4>5</vt:i4>
      </vt:variant>
      <vt:variant>
        <vt:lpwstr>http://www.itu.int/md/S07-CL-C-0021/en</vt:lpwstr>
      </vt:variant>
      <vt:variant>
        <vt:lpwstr/>
      </vt:variant>
      <vt:variant>
        <vt:i4>393245</vt:i4>
      </vt:variant>
      <vt:variant>
        <vt:i4>354</vt:i4>
      </vt:variant>
      <vt:variant>
        <vt:i4>0</vt:i4>
      </vt:variant>
      <vt:variant>
        <vt:i4>5</vt:i4>
      </vt:variant>
      <vt:variant>
        <vt:lpwstr>http://www.itu.int/ITU-T/special-projects/idn/index.html</vt:lpwstr>
      </vt:variant>
      <vt:variant>
        <vt:lpwstr/>
      </vt:variant>
      <vt:variant>
        <vt:i4>3080294</vt:i4>
      </vt:variant>
      <vt:variant>
        <vt:i4>351</vt:i4>
      </vt:variant>
      <vt:variant>
        <vt:i4>0</vt:i4>
      </vt:variant>
      <vt:variant>
        <vt:i4>5</vt:i4>
      </vt:variant>
      <vt:variant>
        <vt:lpwstr>http://www.itu.int/ITU-D/cyb/publications/2006/dohaactionplanprogramme3.pdf</vt:lpwstr>
      </vt:variant>
      <vt:variant>
        <vt:lpwstr/>
      </vt:variant>
      <vt:variant>
        <vt:i4>4456537</vt:i4>
      </vt:variant>
      <vt:variant>
        <vt:i4>348</vt:i4>
      </vt:variant>
      <vt:variant>
        <vt:i4>0</vt:i4>
      </vt:variant>
      <vt:variant>
        <vt:i4>5</vt:i4>
      </vt:variant>
      <vt:variant>
        <vt:lpwstr>http://www.itu.int/osg/csd/intgov/mandate/Res1282-Mod08.pdf</vt:lpwstr>
      </vt:variant>
      <vt:variant>
        <vt:lpwstr>page=2</vt:lpwstr>
      </vt:variant>
      <vt:variant>
        <vt:i4>2687025</vt:i4>
      </vt:variant>
      <vt:variant>
        <vt:i4>345</vt:i4>
      </vt:variant>
      <vt:variant>
        <vt:i4>0</vt:i4>
      </vt:variant>
      <vt:variant>
        <vt:i4>5</vt:i4>
      </vt:variant>
      <vt:variant>
        <vt:lpwstr>http://www.itu.int/council/activities/pd/itu-strategic-plan-2008-2011.pdf</vt:lpwstr>
      </vt:variant>
      <vt:variant>
        <vt:lpwstr>page=7</vt:lpwstr>
      </vt:variant>
      <vt:variant>
        <vt:i4>6291577</vt:i4>
      </vt:variant>
      <vt:variant>
        <vt:i4>342</vt:i4>
      </vt:variant>
      <vt:variant>
        <vt:i4>0</vt:i4>
      </vt:variant>
      <vt:variant>
        <vt:i4>5</vt:i4>
      </vt:variant>
      <vt:variant>
        <vt:lpwstr>http://www.itu.int/wsis/docs2/tunis/off/6rev1.html</vt:lpwstr>
      </vt:variant>
      <vt:variant>
        <vt:lpwstr/>
      </vt:variant>
      <vt:variant>
        <vt:i4>6553697</vt:i4>
      </vt:variant>
      <vt:variant>
        <vt:i4>339</vt:i4>
      </vt:variant>
      <vt:variant>
        <vt:i4>0</vt:i4>
      </vt:variant>
      <vt:variant>
        <vt:i4>5</vt:i4>
      </vt:variant>
      <vt:variant>
        <vt:lpwstr>http://www.itu.int/osg/csd/intgov/mandate/Res130.pdf</vt:lpwstr>
      </vt:variant>
      <vt:variant>
        <vt:lpwstr>page=4</vt:lpwstr>
      </vt:variant>
      <vt:variant>
        <vt:i4>2687025</vt:i4>
      </vt:variant>
      <vt:variant>
        <vt:i4>335</vt:i4>
      </vt:variant>
      <vt:variant>
        <vt:i4>0</vt:i4>
      </vt:variant>
      <vt:variant>
        <vt:i4>5</vt:i4>
      </vt:variant>
      <vt:variant>
        <vt:lpwstr>http://www.itu.int/council/activities/pd/itu-strategic-plan-2008-2011.pdf</vt:lpwstr>
      </vt:variant>
      <vt:variant>
        <vt:lpwstr>page=7</vt:lpwstr>
      </vt:variant>
      <vt:variant>
        <vt:i4>2687025</vt:i4>
      </vt:variant>
      <vt:variant>
        <vt:i4>333</vt:i4>
      </vt:variant>
      <vt:variant>
        <vt:i4>0</vt:i4>
      </vt:variant>
      <vt:variant>
        <vt:i4>5</vt:i4>
      </vt:variant>
      <vt:variant>
        <vt:lpwstr>http://www.itu.int/council/activities/pd/itu-strategic-plan-2008-2011.pdf</vt:lpwstr>
      </vt:variant>
      <vt:variant>
        <vt:lpwstr>page=7</vt:lpwstr>
      </vt:variant>
      <vt:variant>
        <vt:i4>4456537</vt:i4>
      </vt:variant>
      <vt:variant>
        <vt:i4>330</vt:i4>
      </vt:variant>
      <vt:variant>
        <vt:i4>0</vt:i4>
      </vt:variant>
      <vt:variant>
        <vt:i4>5</vt:i4>
      </vt:variant>
      <vt:variant>
        <vt:lpwstr>http://www.itu.int/osg/csd/intgov/mandate/Res1282-Mod08.pdf</vt:lpwstr>
      </vt:variant>
      <vt:variant>
        <vt:lpwstr>page=2</vt:lpwstr>
      </vt:variant>
      <vt:variant>
        <vt:i4>6291577</vt:i4>
      </vt:variant>
      <vt:variant>
        <vt:i4>327</vt:i4>
      </vt:variant>
      <vt:variant>
        <vt:i4>0</vt:i4>
      </vt:variant>
      <vt:variant>
        <vt:i4>5</vt:i4>
      </vt:variant>
      <vt:variant>
        <vt:lpwstr>http://www.itu.int/wsis/docs2/tunis/off/6rev1.html</vt:lpwstr>
      </vt:variant>
      <vt:variant>
        <vt:lpwstr/>
      </vt:variant>
      <vt:variant>
        <vt:i4>6553697</vt:i4>
      </vt:variant>
      <vt:variant>
        <vt:i4>323</vt:i4>
      </vt:variant>
      <vt:variant>
        <vt:i4>0</vt:i4>
      </vt:variant>
      <vt:variant>
        <vt:i4>5</vt:i4>
      </vt:variant>
      <vt:variant>
        <vt:lpwstr>http://www.itu.int/osg/csd/intgov/mandate/Res130.pdf</vt:lpwstr>
      </vt:variant>
      <vt:variant>
        <vt:lpwstr>page=4</vt:lpwstr>
      </vt:variant>
      <vt:variant>
        <vt:i4>6553697</vt:i4>
      </vt:variant>
      <vt:variant>
        <vt:i4>321</vt:i4>
      </vt:variant>
      <vt:variant>
        <vt:i4>0</vt:i4>
      </vt:variant>
      <vt:variant>
        <vt:i4>5</vt:i4>
      </vt:variant>
      <vt:variant>
        <vt:lpwstr>http://www.itu.int/osg/csd/intgov/mandate/Res130.pdf</vt:lpwstr>
      </vt:variant>
      <vt:variant>
        <vt:lpwstr>page=4</vt:lpwstr>
      </vt:variant>
      <vt:variant>
        <vt:i4>6619234</vt:i4>
      </vt:variant>
      <vt:variant>
        <vt:i4>318</vt:i4>
      </vt:variant>
      <vt:variant>
        <vt:i4>0</vt:i4>
      </vt:variant>
      <vt:variant>
        <vt:i4>5</vt:i4>
      </vt:variant>
      <vt:variant>
        <vt:lpwstr>http://www.itu.int/osg/csd/intgov/mandate/Res101.pdf</vt:lpwstr>
      </vt:variant>
      <vt:variant>
        <vt:lpwstr>page=4</vt:lpwstr>
      </vt:variant>
      <vt:variant>
        <vt:i4>2490465</vt:i4>
      </vt:variant>
      <vt:variant>
        <vt:i4>315</vt:i4>
      </vt:variant>
      <vt:variant>
        <vt:i4>0</vt:i4>
      </vt:variant>
      <vt:variant>
        <vt:i4>5</vt:i4>
      </vt:variant>
      <vt:variant>
        <vt:lpwstr>http://www.itu.int/osg/csd/intgov/mandate/WTSA64.pdf</vt:lpwstr>
      </vt:variant>
      <vt:variant>
        <vt:lpwstr>page=3</vt:lpwstr>
      </vt:variant>
      <vt:variant>
        <vt:i4>3670133</vt:i4>
      </vt:variant>
      <vt:variant>
        <vt:i4>312</vt:i4>
      </vt:variant>
      <vt:variant>
        <vt:i4>0</vt:i4>
      </vt:variant>
      <vt:variant>
        <vt:i4>5</vt:i4>
      </vt:variant>
      <vt:variant>
        <vt:lpwstr>http://www.itu.int/osg/csd/intgov/mandate/Res17.pdf</vt:lpwstr>
      </vt:variant>
      <vt:variant>
        <vt:lpwstr/>
      </vt:variant>
      <vt:variant>
        <vt:i4>2490465</vt:i4>
      </vt:variant>
      <vt:variant>
        <vt:i4>309</vt:i4>
      </vt:variant>
      <vt:variant>
        <vt:i4>0</vt:i4>
      </vt:variant>
      <vt:variant>
        <vt:i4>5</vt:i4>
      </vt:variant>
      <vt:variant>
        <vt:lpwstr>http://www.itu.int/osg/csd/intgov/mandate/WTSA64.pdf</vt:lpwstr>
      </vt:variant>
      <vt:variant>
        <vt:lpwstr>page=3</vt:lpwstr>
      </vt:variant>
      <vt:variant>
        <vt:i4>3080307</vt:i4>
      </vt:variant>
      <vt:variant>
        <vt:i4>306</vt:i4>
      </vt:variant>
      <vt:variant>
        <vt:i4>0</vt:i4>
      </vt:variant>
      <vt:variant>
        <vt:i4>5</vt:i4>
      </vt:variant>
      <vt:variant>
        <vt:lpwstr>http://www.itu.int/ITU-D/isap/WTDC-02FinalReport/Section2/Prog5.pdf</vt:lpwstr>
      </vt:variant>
      <vt:variant>
        <vt:lpwstr/>
      </vt:variant>
      <vt:variant>
        <vt:i4>3080294</vt:i4>
      </vt:variant>
      <vt:variant>
        <vt:i4>303</vt:i4>
      </vt:variant>
      <vt:variant>
        <vt:i4>0</vt:i4>
      </vt:variant>
      <vt:variant>
        <vt:i4>5</vt:i4>
      </vt:variant>
      <vt:variant>
        <vt:lpwstr>http://www.itu.int/ITU-D/cyb/publications/2006/dohaactionplanprogramme3.pdf</vt:lpwstr>
      </vt:variant>
      <vt:variant>
        <vt:lpwstr/>
      </vt:variant>
      <vt:variant>
        <vt:i4>3670133</vt:i4>
      </vt:variant>
      <vt:variant>
        <vt:i4>300</vt:i4>
      </vt:variant>
      <vt:variant>
        <vt:i4>0</vt:i4>
      </vt:variant>
      <vt:variant>
        <vt:i4>5</vt:i4>
      </vt:variant>
      <vt:variant>
        <vt:lpwstr>http://www.itu.int/osg/csd/intgov/mandate/Res17.pdf</vt:lpwstr>
      </vt:variant>
      <vt:variant>
        <vt:lpwstr/>
      </vt:variant>
      <vt:variant>
        <vt:i4>4456537</vt:i4>
      </vt:variant>
      <vt:variant>
        <vt:i4>297</vt:i4>
      </vt:variant>
      <vt:variant>
        <vt:i4>0</vt:i4>
      </vt:variant>
      <vt:variant>
        <vt:i4>5</vt:i4>
      </vt:variant>
      <vt:variant>
        <vt:lpwstr>http://www.itu.int/osg/csd/intgov/mandate/Res1282-Mod08.pdf</vt:lpwstr>
      </vt:variant>
      <vt:variant>
        <vt:lpwstr>page=2</vt:lpwstr>
      </vt:variant>
      <vt:variant>
        <vt:i4>6291577</vt:i4>
      </vt:variant>
      <vt:variant>
        <vt:i4>294</vt:i4>
      </vt:variant>
      <vt:variant>
        <vt:i4>0</vt:i4>
      </vt:variant>
      <vt:variant>
        <vt:i4>5</vt:i4>
      </vt:variant>
      <vt:variant>
        <vt:lpwstr>http://www.itu.int/wsis/docs2/tunis/off/6rev1.html</vt:lpwstr>
      </vt:variant>
      <vt:variant>
        <vt:lpwstr/>
      </vt:variant>
      <vt:variant>
        <vt:i4>983101</vt:i4>
      </vt:variant>
      <vt:variant>
        <vt:i4>291</vt:i4>
      </vt:variant>
      <vt:variant>
        <vt:i4>0</vt:i4>
      </vt:variant>
      <vt:variant>
        <vt:i4>5</vt:i4>
      </vt:variant>
      <vt:variant>
        <vt:lpwstr>http://www.itu.int/dms_pub/itu-t/opb/res/T-RES-T.50-2008-PDF-E.pdf</vt:lpwstr>
      </vt:variant>
      <vt:variant>
        <vt:lpwstr>page=4</vt:lpwstr>
      </vt:variant>
      <vt:variant>
        <vt:i4>6553697</vt:i4>
      </vt:variant>
      <vt:variant>
        <vt:i4>288</vt:i4>
      </vt:variant>
      <vt:variant>
        <vt:i4>0</vt:i4>
      </vt:variant>
      <vt:variant>
        <vt:i4>5</vt:i4>
      </vt:variant>
      <vt:variant>
        <vt:lpwstr>http://www.itu.int/osg/csd/intgov/mandate/Res130.pdf</vt:lpwstr>
      </vt:variant>
      <vt:variant>
        <vt:lpwstr>page=4</vt:lpwstr>
      </vt:variant>
      <vt:variant>
        <vt:i4>3080246</vt:i4>
      </vt:variant>
      <vt:variant>
        <vt:i4>285</vt:i4>
      </vt:variant>
      <vt:variant>
        <vt:i4>0</vt:i4>
      </vt:variant>
      <vt:variant>
        <vt:i4>5</vt:i4>
      </vt:variant>
      <vt:variant>
        <vt:lpwstr>http://www.itu.int/osg/csd/intgov/mandate/Programme3.pdf</vt:lpwstr>
      </vt:variant>
      <vt:variant>
        <vt:lpwstr>page=1</vt:lpwstr>
      </vt:variant>
      <vt:variant>
        <vt:i4>4456537</vt:i4>
      </vt:variant>
      <vt:variant>
        <vt:i4>282</vt:i4>
      </vt:variant>
      <vt:variant>
        <vt:i4>0</vt:i4>
      </vt:variant>
      <vt:variant>
        <vt:i4>5</vt:i4>
      </vt:variant>
      <vt:variant>
        <vt:lpwstr>http://www.itu.int/osg/csd/intgov/mandate/Res1282-Mod08.pdf</vt:lpwstr>
      </vt:variant>
      <vt:variant>
        <vt:lpwstr>page=2</vt:lpwstr>
      </vt:variant>
      <vt:variant>
        <vt:i4>6291577</vt:i4>
      </vt:variant>
      <vt:variant>
        <vt:i4>279</vt:i4>
      </vt:variant>
      <vt:variant>
        <vt:i4>0</vt:i4>
      </vt:variant>
      <vt:variant>
        <vt:i4>5</vt:i4>
      </vt:variant>
      <vt:variant>
        <vt:lpwstr>http://www.itu.int/wsis/docs2/tunis/off/6rev1.html</vt:lpwstr>
      </vt:variant>
      <vt:variant>
        <vt:lpwstr/>
      </vt:variant>
      <vt:variant>
        <vt:i4>983103</vt:i4>
      </vt:variant>
      <vt:variant>
        <vt:i4>276</vt:i4>
      </vt:variant>
      <vt:variant>
        <vt:i4>0</vt:i4>
      </vt:variant>
      <vt:variant>
        <vt:i4>5</vt:i4>
      </vt:variant>
      <vt:variant>
        <vt:lpwstr>http://www.itu.int/dms_pub/itu-t/opb/res/T-RES-T.52-2008-PDF-E.pdf</vt:lpwstr>
      </vt:variant>
      <vt:variant>
        <vt:lpwstr>page=4</vt:lpwstr>
      </vt:variant>
      <vt:variant>
        <vt:i4>983101</vt:i4>
      </vt:variant>
      <vt:variant>
        <vt:i4>273</vt:i4>
      </vt:variant>
      <vt:variant>
        <vt:i4>0</vt:i4>
      </vt:variant>
      <vt:variant>
        <vt:i4>5</vt:i4>
      </vt:variant>
      <vt:variant>
        <vt:lpwstr>http://www.itu.int/dms_pub/itu-t/opb/res/T-RES-T.50-2008-PDF-E.pdf</vt:lpwstr>
      </vt:variant>
      <vt:variant>
        <vt:lpwstr>page=4</vt:lpwstr>
      </vt:variant>
      <vt:variant>
        <vt:i4>3080246</vt:i4>
      </vt:variant>
      <vt:variant>
        <vt:i4>270</vt:i4>
      </vt:variant>
      <vt:variant>
        <vt:i4>0</vt:i4>
      </vt:variant>
      <vt:variant>
        <vt:i4>5</vt:i4>
      </vt:variant>
      <vt:variant>
        <vt:lpwstr>http://www.itu.int/osg/csd/intgov/mandate/Programme3.pdf</vt:lpwstr>
      </vt:variant>
      <vt:variant>
        <vt:lpwstr>page=1</vt:lpwstr>
      </vt:variant>
      <vt:variant>
        <vt:i4>6553697</vt:i4>
      </vt:variant>
      <vt:variant>
        <vt:i4>267</vt:i4>
      </vt:variant>
      <vt:variant>
        <vt:i4>0</vt:i4>
      </vt:variant>
      <vt:variant>
        <vt:i4>5</vt:i4>
      </vt:variant>
      <vt:variant>
        <vt:lpwstr>http://www.itu.int/osg/csd/intgov/mandate/Res130.pdf</vt:lpwstr>
      </vt:variant>
      <vt:variant>
        <vt:lpwstr>page=4</vt:lpwstr>
      </vt:variant>
      <vt:variant>
        <vt:i4>5701722</vt:i4>
      </vt:variant>
      <vt:variant>
        <vt:i4>264</vt:i4>
      </vt:variant>
      <vt:variant>
        <vt:i4>0</vt:i4>
      </vt:variant>
      <vt:variant>
        <vt:i4>5</vt:i4>
      </vt:variant>
      <vt:variant>
        <vt:lpwstr>http://www.itu.int/ITU-D/study_groups/SGP_2006-2010/SG1/SG1-index.html</vt:lpwstr>
      </vt:variant>
      <vt:variant>
        <vt:lpwstr/>
      </vt:variant>
      <vt:variant>
        <vt:i4>2687025</vt:i4>
      </vt:variant>
      <vt:variant>
        <vt:i4>261</vt:i4>
      </vt:variant>
      <vt:variant>
        <vt:i4>0</vt:i4>
      </vt:variant>
      <vt:variant>
        <vt:i4>5</vt:i4>
      </vt:variant>
      <vt:variant>
        <vt:lpwstr>http://www.itu.int/council/activities/pd/itu-strategic-plan-2008-2011.pdf</vt:lpwstr>
      </vt:variant>
      <vt:variant>
        <vt:lpwstr>page=7</vt:lpwstr>
      </vt:variant>
      <vt:variant>
        <vt:i4>3080246</vt:i4>
      </vt:variant>
      <vt:variant>
        <vt:i4>258</vt:i4>
      </vt:variant>
      <vt:variant>
        <vt:i4>0</vt:i4>
      </vt:variant>
      <vt:variant>
        <vt:i4>5</vt:i4>
      </vt:variant>
      <vt:variant>
        <vt:lpwstr>http://www.itu.int/osg/csd/intgov/mandate/Programme3.pdf</vt:lpwstr>
      </vt:variant>
      <vt:variant>
        <vt:lpwstr>page=1</vt:lpwstr>
      </vt:variant>
      <vt:variant>
        <vt:i4>2687025</vt:i4>
      </vt:variant>
      <vt:variant>
        <vt:i4>255</vt:i4>
      </vt:variant>
      <vt:variant>
        <vt:i4>0</vt:i4>
      </vt:variant>
      <vt:variant>
        <vt:i4>5</vt:i4>
      </vt:variant>
      <vt:variant>
        <vt:lpwstr>http://www.itu.int/council/activities/pd/itu-strategic-plan-2008-2011.pdf</vt:lpwstr>
      </vt:variant>
      <vt:variant>
        <vt:lpwstr>page=7</vt:lpwstr>
      </vt:variant>
      <vt:variant>
        <vt:i4>5701722</vt:i4>
      </vt:variant>
      <vt:variant>
        <vt:i4>252</vt:i4>
      </vt:variant>
      <vt:variant>
        <vt:i4>0</vt:i4>
      </vt:variant>
      <vt:variant>
        <vt:i4>5</vt:i4>
      </vt:variant>
      <vt:variant>
        <vt:lpwstr>http://www.itu.int/ITU-D/study_groups/SGP_2006-2010/SG1/SG1-index.html</vt:lpwstr>
      </vt:variant>
      <vt:variant>
        <vt:lpwstr/>
      </vt:variant>
      <vt:variant>
        <vt:i4>393245</vt:i4>
      </vt:variant>
      <vt:variant>
        <vt:i4>249</vt:i4>
      </vt:variant>
      <vt:variant>
        <vt:i4>0</vt:i4>
      </vt:variant>
      <vt:variant>
        <vt:i4>5</vt:i4>
      </vt:variant>
      <vt:variant>
        <vt:lpwstr>http://www.itu.int/ITU-T/special-projects/idn/index.html</vt:lpwstr>
      </vt:variant>
      <vt:variant>
        <vt:lpwstr/>
      </vt:variant>
      <vt:variant>
        <vt:i4>983101</vt:i4>
      </vt:variant>
      <vt:variant>
        <vt:i4>246</vt:i4>
      </vt:variant>
      <vt:variant>
        <vt:i4>0</vt:i4>
      </vt:variant>
      <vt:variant>
        <vt:i4>5</vt:i4>
      </vt:variant>
      <vt:variant>
        <vt:lpwstr>http://www.itu.int/dms_pub/itu-t/opb/res/T-RES-T.50-2008-PDF-E.pdf</vt:lpwstr>
      </vt:variant>
      <vt:variant>
        <vt:lpwstr>page=4</vt:lpwstr>
      </vt:variant>
      <vt:variant>
        <vt:i4>3080246</vt:i4>
      </vt:variant>
      <vt:variant>
        <vt:i4>243</vt:i4>
      </vt:variant>
      <vt:variant>
        <vt:i4>0</vt:i4>
      </vt:variant>
      <vt:variant>
        <vt:i4>5</vt:i4>
      </vt:variant>
      <vt:variant>
        <vt:lpwstr>http://www.itu.int/osg/csd/intgov/mandate/Programme3.pdf</vt:lpwstr>
      </vt:variant>
      <vt:variant>
        <vt:lpwstr>page=1</vt:lpwstr>
      </vt:variant>
      <vt:variant>
        <vt:i4>655453</vt:i4>
      </vt:variant>
      <vt:variant>
        <vt:i4>240</vt:i4>
      </vt:variant>
      <vt:variant>
        <vt:i4>0</vt:i4>
      </vt:variant>
      <vt:variant>
        <vt:i4>5</vt:i4>
      </vt:variant>
      <vt:variant>
        <vt:lpwstr>http://www.itu.int/osg/csd/intgov/mandate/Res45.pdf</vt:lpwstr>
      </vt:variant>
      <vt:variant>
        <vt:lpwstr>page=3</vt:lpwstr>
      </vt:variant>
      <vt:variant>
        <vt:i4>6684770</vt:i4>
      </vt:variant>
      <vt:variant>
        <vt:i4>237</vt:i4>
      </vt:variant>
      <vt:variant>
        <vt:i4>0</vt:i4>
      </vt:variant>
      <vt:variant>
        <vt:i4>5</vt:i4>
      </vt:variant>
      <vt:variant>
        <vt:lpwstr>http://www.itu.int/osg/csd/intgov/mandate/Res102.pdf</vt:lpwstr>
      </vt:variant>
      <vt:variant>
        <vt:lpwstr>page=4</vt:lpwstr>
      </vt:variant>
      <vt:variant>
        <vt:i4>4456537</vt:i4>
      </vt:variant>
      <vt:variant>
        <vt:i4>234</vt:i4>
      </vt:variant>
      <vt:variant>
        <vt:i4>0</vt:i4>
      </vt:variant>
      <vt:variant>
        <vt:i4>5</vt:i4>
      </vt:variant>
      <vt:variant>
        <vt:lpwstr>http://www.itu.int/osg/csd/intgov/mandate/Res1282-Mod08.pdf</vt:lpwstr>
      </vt:variant>
      <vt:variant>
        <vt:lpwstr>page=2</vt:lpwstr>
      </vt:variant>
      <vt:variant>
        <vt:i4>2097248</vt:i4>
      </vt:variant>
      <vt:variant>
        <vt:i4>230</vt:i4>
      </vt:variant>
      <vt:variant>
        <vt:i4>0</vt:i4>
      </vt:variant>
      <vt:variant>
        <vt:i4>5</vt:i4>
      </vt:variant>
      <vt:variant>
        <vt:lpwstr>http://www.itu.int/osg/csd/intgov/mandate/WTSA75.pdf</vt:lpwstr>
      </vt:variant>
      <vt:variant>
        <vt:lpwstr>page=4</vt:lpwstr>
      </vt:variant>
      <vt:variant>
        <vt:i4>3932190</vt:i4>
      </vt:variant>
      <vt:variant>
        <vt:i4>227</vt:i4>
      </vt:variant>
      <vt:variant>
        <vt:i4>0</vt:i4>
      </vt:variant>
      <vt:variant>
        <vt:i4>5</vt:i4>
      </vt:variant>
      <vt:variant>
        <vt:lpwstr>http://www.itu.int/dms_pub/itu-t/opb/res/T-RES-T.69-2008-PDF-E.pdf</vt:lpwstr>
      </vt:variant>
      <vt:variant>
        <vt:lpwstr/>
      </vt:variant>
      <vt:variant>
        <vt:i4>2490465</vt:i4>
      </vt:variant>
      <vt:variant>
        <vt:i4>224</vt:i4>
      </vt:variant>
      <vt:variant>
        <vt:i4>0</vt:i4>
      </vt:variant>
      <vt:variant>
        <vt:i4>5</vt:i4>
      </vt:variant>
      <vt:variant>
        <vt:lpwstr>http://www.itu.int/osg/csd/intgov/mandate/WTSA64.pdf</vt:lpwstr>
      </vt:variant>
      <vt:variant>
        <vt:lpwstr>page=3</vt:lpwstr>
      </vt:variant>
      <vt:variant>
        <vt:i4>1769537</vt:i4>
      </vt:variant>
      <vt:variant>
        <vt:i4>221</vt:i4>
      </vt:variant>
      <vt:variant>
        <vt:i4>0</vt:i4>
      </vt:variant>
      <vt:variant>
        <vt:i4>5</vt:i4>
      </vt:variant>
      <vt:variant>
        <vt:lpwstr>http://www.itu.int/ITU-T/wtsa/resolutions04/Res49E.pdf</vt:lpwstr>
      </vt:variant>
      <vt:variant>
        <vt:lpwstr>page=3</vt:lpwstr>
      </vt:variant>
      <vt:variant>
        <vt:i4>589882</vt:i4>
      </vt:variant>
      <vt:variant>
        <vt:i4>219</vt:i4>
      </vt:variant>
      <vt:variant>
        <vt:i4>0</vt:i4>
      </vt:variant>
      <vt:variant>
        <vt:i4>5</vt:i4>
      </vt:variant>
      <vt:variant>
        <vt:lpwstr>http://www.itu.int/dms_pub/itu-t/opb/res/T-RES-T.47-2008-PDF-E.pdf</vt:lpwstr>
      </vt:variant>
      <vt:variant>
        <vt:lpwstr>page=3</vt:lpwstr>
      </vt:variant>
      <vt:variant>
        <vt:i4>6619234</vt:i4>
      </vt:variant>
      <vt:variant>
        <vt:i4>216</vt:i4>
      </vt:variant>
      <vt:variant>
        <vt:i4>0</vt:i4>
      </vt:variant>
      <vt:variant>
        <vt:i4>5</vt:i4>
      </vt:variant>
      <vt:variant>
        <vt:lpwstr>http://www.itu.int/osg/csd/intgov/mandate/Res101.pdf</vt:lpwstr>
      </vt:variant>
      <vt:variant>
        <vt:lpwstr>page=4</vt:lpwstr>
      </vt:variant>
      <vt:variant>
        <vt:i4>1441867</vt:i4>
      </vt:variant>
      <vt:variant>
        <vt:i4>213</vt:i4>
      </vt:variant>
      <vt:variant>
        <vt:i4>0</vt:i4>
      </vt:variant>
      <vt:variant>
        <vt:i4>5</vt:i4>
      </vt:variant>
      <vt:variant>
        <vt:lpwstr>http://www.itu.int/rec/T-REC-D.50-200810-I/en</vt:lpwstr>
      </vt:variant>
      <vt:variant>
        <vt:lpwstr/>
      </vt:variant>
      <vt:variant>
        <vt:i4>917533</vt:i4>
      </vt:variant>
      <vt:variant>
        <vt:i4>210</vt:i4>
      </vt:variant>
      <vt:variant>
        <vt:i4>0</vt:i4>
      </vt:variant>
      <vt:variant>
        <vt:i4>5</vt:i4>
      </vt:variant>
      <vt:variant>
        <vt:lpwstr>http://www.itu.int/ITU-T/studygroups/com03/iic/index.html</vt:lpwstr>
      </vt:variant>
      <vt:variant>
        <vt:lpwstr/>
      </vt:variant>
      <vt:variant>
        <vt:i4>1638417</vt:i4>
      </vt:variant>
      <vt:variant>
        <vt:i4>207</vt:i4>
      </vt:variant>
      <vt:variant>
        <vt:i4>0</vt:i4>
      </vt:variant>
      <vt:variant>
        <vt:i4>5</vt:i4>
      </vt:variant>
      <vt:variant>
        <vt:lpwstr>http://www.itu.int/ITU-D/study_groups/SGP_2006-2010/documents/Questions/Q12-2-1.pdf</vt:lpwstr>
      </vt:variant>
      <vt:variant>
        <vt:lpwstr/>
      </vt:variant>
      <vt:variant>
        <vt:i4>3080246</vt:i4>
      </vt:variant>
      <vt:variant>
        <vt:i4>204</vt:i4>
      </vt:variant>
      <vt:variant>
        <vt:i4>0</vt:i4>
      </vt:variant>
      <vt:variant>
        <vt:i4>5</vt:i4>
      </vt:variant>
      <vt:variant>
        <vt:lpwstr>http://www.itu.int/osg/csd/intgov/mandate/Programme3.pdf</vt:lpwstr>
      </vt:variant>
      <vt:variant>
        <vt:lpwstr>page=1</vt:lpwstr>
      </vt:variant>
      <vt:variant>
        <vt:i4>589877</vt:i4>
      </vt:variant>
      <vt:variant>
        <vt:i4>201</vt:i4>
      </vt:variant>
      <vt:variant>
        <vt:i4>0</vt:i4>
      </vt:variant>
      <vt:variant>
        <vt:i4>5</vt:i4>
      </vt:variant>
      <vt:variant>
        <vt:lpwstr>http://www.itu.int/dms_pub/itu-t/opb/res/T-RES-T.48-2008-PDF-E.pdf</vt:lpwstr>
      </vt:variant>
      <vt:variant>
        <vt:lpwstr>page=3</vt:lpwstr>
      </vt:variant>
      <vt:variant>
        <vt:i4>6291553</vt:i4>
      </vt:variant>
      <vt:variant>
        <vt:i4>198</vt:i4>
      </vt:variant>
      <vt:variant>
        <vt:i4>0</vt:i4>
      </vt:variant>
      <vt:variant>
        <vt:i4>5</vt:i4>
      </vt:variant>
      <vt:variant>
        <vt:lpwstr>http://www.itu.int/osg/csd/intgov/mandate/Res133.pdf</vt:lpwstr>
      </vt:variant>
      <vt:variant>
        <vt:lpwstr>page=3</vt:lpwstr>
      </vt:variant>
      <vt:variant>
        <vt:i4>7077969</vt:i4>
      </vt:variant>
      <vt:variant>
        <vt:i4>195</vt:i4>
      </vt:variant>
      <vt:variant>
        <vt:i4>0</vt:i4>
      </vt:variant>
      <vt:variant>
        <vt:i4>5</vt:i4>
      </vt:variant>
      <vt:variant>
        <vt:lpwstr>http://www.itu.int/osg/csd/emerging_trends/index.html</vt:lpwstr>
      </vt:variant>
      <vt:variant>
        <vt:lpwstr/>
      </vt:variant>
      <vt:variant>
        <vt:i4>589837</vt:i4>
      </vt:variant>
      <vt:variant>
        <vt:i4>192</vt:i4>
      </vt:variant>
      <vt:variant>
        <vt:i4>0</vt:i4>
      </vt:variant>
      <vt:variant>
        <vt:i4>5</vt:i4>
      </vt:variant>
      <vt:variant>
        <vt:lpwstr>http://www.itu.int/oth/T2301000007/en</vt:lpwstr>
      </vt:variant>
      <vt:variant>
        <vt:lpwstr/>
      </vt:variant>
      <vt:variant>
        <vt:i4>458765</vt:i4>
      </vt:variant>
      <vt:variant>
        <vt:i4>189</vt:i4>
      </vt:variant>
      <vt:variant>
        <vt:i4>0</vt:i4>
      </vt:variant>
      <vt:variant>
        <vt:i4>5</vt:i4>
      </vt:variant>
      <vt:variant>
        <vt:lpwstr>http://www.itu.int/oth/T2301000009/en</vt:lpwstr>
      </vt:variant>
      <vt:variant>
        <vt:lpwstr/>
      </vt:variant>
      <vt:variant>
        <vt:i4>3539002</vt:i4>
      </vt:variant>
      <vt:variant>
        <vt:i4>186</vt:i4>
      </vt:variant>
      <vt:variant>
        <vt:i4>0</vt:i4>
      </vt:variant>
      <vt:variant>
        <vt:i4>5</vt:i4>
      </vt:variant>
      <vt:variant>
        <vt:lpwstr>http://www.itu.int/emergencytelecoms/index.html</vt:lpwstr>
      </vt:variant>
      <vt:variant>
        <vt:lpwstr/>
      </vt:variant>
      <vt:variant>
        <vt:i4>5374047</vt:i4>
      </vt:variant>
      <vt:variant>
        <vt:i4>183</vt:i4>
      </vt:variant>
      <vt:variant>
        <vt:i4>0</vt:i4>
      </vt:variant>
      <vt:variant>
        <vt:i4>5</vt:i4>
      </vt:variant>
      <vt:variant>
        <vt:lpwstr>http://www.itu.int/themes/climate/strategy/index.html</vt:lpwstr>
      </vt:variant>
      <vt:variant>
        <vt:lpwstr/>
      </vt:variant>
      <vt:variant>
        <vt:i4>7143426</vt:i4>
      </vt:variant>
      <vt:variant>
        <vt:i4>180</vt:i4>
      </vt:variant>
      <vt:variant>
        <vt:i4>0</vt:i4>
      </vt:variant>
      <vt:variant>
        <vt:i4>5</vt:i4>
      </vt:variant>
      <vt:variant>
        <vt:lpwstr>http://www.itu.int/osg/csd/emerging_trends/crisis/index.html</vt:lpwstr>
      </vt:variant>
      <vt:variant>
        <vt:lpwstr/>
      </vt:variant>
      <vt:variant>
        <vt:i4>2621488</vt:i4>
      </vt:variant>
      <vt:variant>
        <vt:i4>176</vt:i4>
      </vt:variant>
      <vt:variant>
        <vt:i4>0</vt:i4>
      </vt:variant>
      <vt:variant>
        <vt:i4>5</vt:i4>
      </vt:variant>
      <vt:variant>
        <vt:lpwstr>http://www.itu.int/themes/accessibility/strategy/index.html</vt:lpwstr>
      </vt:variant>
      <vt:variant>
        <vt:lpwstr/>
      </vt:variant>
      <vt:variant>
        <vt:i4>2621488</vt:i4>
      </vt:variant>
      <vt:variant>
        <vt:i4>174</vt:i4>
      </vt:variant>
      <vt:variant>
        <vt:i4>0</vt:i4>
      </vt:variant>
      <vt:variant>
        <vt:i4>5</vt:i4>
      </vt:variant>
      <vt:variant>
        <vt:lpwstr>http://www.itu.int/themes/accessibility/strategy/index.html</vt:lpwstr>
      </vt:variant>
      <vt:variant>
        <vt:lpwstr/>
      </vt:variant>
      <vt:variant>
        <vt:i4>852040</vt:i4>
      </vt:variant>
      <vt:variant>
        <vt:i4>171</vt:i4>
      </vt:variant>
      <vt:variant>
        <vt:i4>0</vt:i4>
      </vt:variant>
      <vt:variant>
        <vt:i4>5</vt:i4>
      </vt:variant>
      <vt:variant>
        <vt:lpwstr>http://www.itu.int/ITU-D/treg/publications/trends08.html</vt:lpwstr>
      </vt:variant>
      <vt:variant>
        <vt:lpwstr/>
      </vt:variant>
      <vt:variant>
        <vt:i4>1245192</vt:i4>
      </vt:variant>
      <vt:variant>
        <vt:i4>168</vt:i4>
      </vt:variant>
      <vt:variant>
        <vt:i4>0</vt:i4>
      </vt:variant>
      <vt:variant>
        <vt:i4>5</vt:i4>
      </vt:variant>
      <vt:variant>
        <vt:lpwstr>http://www.itu.int/md/meetingdoc.asp?lang=en&amp;parent=S08-CL-C-0100</vt:lpwstr>
      </vt:variant>
      <vt:variant>
        <vt:lpwstr/>
      </vt:variant>
      <vt:variant>
        <vt:i4>1179656</vt:i4>
      </vt:variant>
      <vt:variant>
        <vt:i4>163</vt:i4>
      </vt:variant>
      <vt:variant>
        <vt:i4>0</vt:i4>
      </vt:variant>
      <vt:variant>
        <vt:i4>5</vt:i4>
      </vt:variant>
      <vt:variant>
        <vt:lpwstr>http://www.itu.int/md/meetingdoc.asp?lang=en&amp;parent=S09-CL-C-0010</vt:lpwstr>
      </vt:variant>
      <vt:variant>
        <vt:lpwstr/>
      </vt:variant>
      <vt:variant>
        <vt:i4>3276908</vt:i4>
      </vt:variant>
      <vt:variant>
        <vt:i4>161</vt:i4>
      </vt:variant>
      <vt:variant>
        <vt:i4>0</vt:i4>
      </vt:variant>
      <vt:variant>
        <vt:i4>5</vt:i4>
      </vt:variant>
      <vt:variant>
        <vt:lpwstr>http://www.itu.int/md/S07-CL-C-0091/en</vt:lpwstr>
      </vt:variant>
      <vt:variant>
        <vt:lpwstr/>
      </vt:variant>
      <vt:variant>
        <vt:i4>3276908</vt:i4>
      </vt:variant>
      <vt:variant>
        <vt:i4>159</vt:i4>
      </vt:variant>
      <vt:variant>
        <vt:i4>0</vt:i4>
      </vt:variant>
      <vt:variant>
        <vt:i4>5</vt:i4>
      </vt:variant>
      <vt:variant>
        <vt:lpwstr>http://www.itu.int/md/S07-CL-C-0091/en</vt:lpwstr>
      </vt:variant>
      <vt:variant>
        <vt:lpwstr/>
      </vt:variant>
      <vt:variant>
        <vt:i4>1310729</vt:i4>
      </vt:variant>
      <vt:variant>
        <vt:i4>156</vt:i4>
      </vt:variant>
      <vt:variant>
        <vt:i4>0</vt:i4>
      </vt:variant>
      <vt:variant>
        <vt:i4>5</vt:i4>
      </vt:variant>
      <vt:variant>
        <vt:lpwstr>http://www.itu.int/md/meetingdoc.asp?lang=en&amp;parent=S08-CL-C-0079</vt:lpwstr>
      </vt:variant>
      <vt:variant>
        <vt:lpwstr/>
      </vt:variant>
      <vt:variant>
        <vt:i4>5570645</vt:i4>
      </vt:variant>
      <vt:variant>
        <vt:i4>153</vt:i4>
      </vt:variant>
      <vt:variant>
        <vt:i4>0</vt:i4>
      </vt:variant>
      <vt:variant>
        <vt:i4>5</vt:i4>
      </vt:variant>
      <vt:variant>
        <vt:lpwstr>http://www.itu.int/md/meetingdoc.asp?lang=en&amp;parent=S09-CL-C&amp;PageLB=0</vt:lpwstr>
      </vt:variant>
      <vt:variant>
        <vt:lpwstr/>
      </vt:variant>
      <vt:variant>
        <vt:i4>5570645</vt:i4>
      </vt:variant>
      <vt:variant>
        <vt:i4>150</vt:i4>
      </vt:variant>
      <vt:variant>
        <vt:i4>0</vt:i4>
      </vt:variant>
      <vt:variant>
        <vt:i4>5</vt:i4>
      </vt:variant>
      <vt:variant>
        <vt:lpwstr>http://www.itu.int/md/meetingdoc.asp?lang=en&amp;parent=S09-CL-C&amp;PageLB=0</vt:lpwstr>
      </vt:variant>
      <vt:variant>
        <vt:lpwstr/>
      </vt:variant>
      <vt:variant>
        <vt:i4>4063330</vt:i4>
      </vt:variant>
      <vt:variant>
        <vt:i4>147</vt:i4>
      </vt:variant>
      <vt:variant>
        <vt:i4>0</vt:i4>
      </vt:variant>
      <vt:variant>
        <vt:i4>5</vt:i4>
      </vt:variant>
      <vt:variant>
        <vt:lpwstr>http://www.itu.int/md/S08-CL-C-0050/en</vt:lpwstr>
      </vt:variant>
      <vt:variant>
        <vt:lpwstr/>
      </vt:variant>
      <vt:variant>
        <vt:i4>1179657</vt:i4>
      </vt:variant>
      <vt:variant>
        <vt:i4>144</vt:i4>
      </vt:variant>
      <vt:variant>
        <vt:i4>0</vt:i4>
      </vt:variant>
      <vt:variant>
        <vt:i4>5</vt:i4>
      </vt:variant>
      <vt:variant>
        <vt:lpwstr>http://www.itu.int/md/meetingdoc.asp?lang=en&amp;parent=S08-CL-C-0013</vt:lpwstr>
      </vt:variant>
      <vt:variant>
        <vt:lpwstr/>
      </vt:variant>
      <vt:variant>
        <vt:i4>8060977</vt:i4>
      </vt:variant>
      <vt:variant>
        <vt:i4>141</vt:i4>
      </vt:variant>
      <vt:variant>
        <vt:i4>0</vt:i4>
      </vt:variant>
      <vt:variant>
        <vt:i4>5</vt:i4>
      </vt:variant>
      <vt:variant>
        <vt:lpwstr>http://www.itu.int/council/groups/mbg/2009/docs-3rdmeeting.html</vt:lpwstr>
      </vt:variant>
      <vt:variant>
        <vt:lpwstr/>
      </vt:variant>
      <vt:variant>
        <vt:i4>4915297</vt:i4>
      </vt:variant>
      <vt:variant>
        <vt:i4>138</vt:i4>
      </vt:variant>
      <vt:variant>
        <vt:i4>0</vt:i4>
      </vt:variant>
      <vt:variant>
        <vt:i4>5</vt:i4>
      </vt:variant>
      <vt:variant>
        <vt:lpwstr>http://www.itu.int/council/groups/mbg/pd/MBG02_9.doc</vt:lpwstr>
      </vt:variant>
      <vt:variant>
        <vt:lpwstr/>
      </vt:variant>
      <vt:variant>
        <vt:i4>3932242</vt:i4>
      </vt:variant>
      <vt:variant>
        <vt:i4>135</vt:i4>
      </vt:variant>
      <vt:variant>
        <vt:i4>0</vt:i4>
      </vt:variant>
      <vt:variant>
        <vt:i4>5</vt:i4>
      </vt:variant>
      <vt:variant>
        <vt:lpwstr>http://www.itu.int/council/groups/mbg/2007/18jun/pd/MBG01_13_summary_1807.doc</vt:lpwstr>
      </vt:variant>
      <vt:variant>
        <vt:lpwstr/>
      </vt:variant>
      <vt:variant>
        <vt:i4>3670056</vt:i4>
      </vt:variant>
      <vt:variant>
        <vt:i4>132</vt:i4>
      </vt:variant>
      <vt:variant>
        <vt:i4>0</vt:i4>
      </vt:variant>
      <vt:variant>
        <vt:i4>5</vt:i4>
      </vt:variant>
      <vt:variant>
        <vt:lpwstr>http://www.itu.int/council/groups/mbg/pd/res155.doc</vt:lpwstr>
      </vt:variant>
      <vt:variant>
        <vt:lpwstr/>
      </vt:variant>
      <vt:variant>
        <vt:i4>1048585</vt:i4>
      </vt:variant>
      <vt:variant>
        <vt:i4>129</vt:i4>
      </vt:variant>
      <vt:variant>
        <vt:i4>0</vt:i4>
      </vt:variant>
      <vt:variant>
        <vt:i4>5</vt:i4>
      </vt:variant>
      <vt:variant>
        <vt:lpwstr>http://www.itu.int/md/meetingdoc.asp?lang=en&amp;parent=S08-CL-C-0037</vt:lpwstr>
      </vt:variant>
      <vt:variant>
        <vt:lpwstr/>
      </vt:variant>
      <vt:variant>
        <vt:i4>2752548</vt:i4>
      </vt:variant>
      <vt:variant>
        <vt:i4>126</vt:i4>
      </vt:variant>
      <vt:variant>
        <vt:i4>0</vt:i4>
      </vt:variant>
      <vt:variant>
        <vt:i4>5</vt:i4>
      </vt:variant>
      <vt:variant>
        <vt:lpwstr>http://www.itu.int/publ/T-RES-T.75-2008/en</vt:lpwstr>
      </vt:variant>
      <vt:variant>
        <vt:lpwstr/>
      </vt:variant>
      <vt:variant>
        <vt:i4>2818085</vt:i4>
      </vt:variant>
      <vt:variant>
        <vt:i4>123</vt:i4>
      </vt:variant>
      <vt:variant>
        <vt:i4>0</vt:i4>
      </vt:variant>
      <vt:variant>
        <vt:i4>5</vt:i4>
      </vt:variant>
      <vt:variant>
        <vt:lpwstr>http://www.itu.int/publ/T-RES-T.64-2008/en</vt:lpwstr>
      </vt:variant>
      <vt:variant>
        <vt:lpwstr/>
      </vt:variant>
      <vt:variant>
        <vt:i4>2883616</vt:i4>
      </vt:variant>
      <vt:variant>
        <vt:i4>120</vt:i4>
      </vt:variant>
      <vt:variant>
        <vt:i4>0</vt:i4>
      </vt:variant>
      <vt:variant>
        <vt:i4>5</vt:i4>
      </vt:variant>
      <vt:variant>
        <vt:lpwstr>http://www.itu.int/publ/T-RES-T.33-2008/en</vt:lpwstr>
      </vt:variant>
      <vt:variant>
        <vt:lpwstr/>
      </vt:variant>
      <vt:variant>
        <vt:i4>2883616</vt:i4>
      </vt:variant>
      <vt:variant>
        <vt:i4>117</vt:i4>
      </vt:variant>
      <vt:variant>
        <vt:i4>0</vt:i4>
      </vt:variant>
      <vt:variant>
        <vt:i4>5</vt:i4>
      </vt:variant>
      <vt:variant>
        <vt:lpwstr>http://www.itu.int/publ/T-RES-T.33-2008/en</vt:lpwstr>
      </vt:variant>
      <vt:variant>
        <vt:lpwstr/>
      </vt:variant>
      <vt:variant>
        <vt:i4>2293862</vt:i4>
      </vt:variant>
      <vt:variant>
        <vt:i4>114</vt:i4>
      </vt:variant>
      <vt:variant>
        <vt:i4>0</vt:i4>
      </vt:variant>
      <vt:variant>
        <vt:i4>5</vt:i4>
      </vt:variant>
      <vt:variant>
        <vt:lpwstr>http://www.itu.int/ITU-T/wtsa-08/index.html</vt:lpwstr>
      </vt:variant>
      <vt:variant>
        <vt:lpwstr/>
      </vt:variant>
      <vt:variant>
        <vt:i4>6422652</vt:i4>
      </vt:variant>
      <vt:variant>
        <vt:i4>111</vt:i4>
      </vt:variant>
      <vt:variant>
        <vt:i4>0</vt:i4>
      </vt:variant>
      <vt:variant>
        <vt:i4>5</vt:i4>
      </vt:variant>
      <vt:variant>
        <vt:lpwstr>http://www.itu.int/ITU-R/index.asp?category=conferences&amp;rlink=ra-07&amp;lang=en</vt:lpwstr>
      </vt:variant>
      <vt:variant>
        <vt:lpwstr/>
      </vt:variant>
      <vt:variant>
        <vt:i4>4194372</vt:i4>
      </vt:variant>
      <vt:variant>
        <vt:i4>108</vt:i4>
      </vt:variant>
      <vt:variant>
        <vt:i4>0</vt:i4>
      </vt:variant>
      <vt:variant>
        <vt:i4>5</vt:i4>
      </vt:variant>
      <vt:variant>
        <vt:lpwstr>http://www.itu.int/ITU-D/conferences/rpm/2009/index.html</vt:lpwstr>
      </vt:variant>
      <vt:variant>
        <vt:lpwstr/>
      </vt:variant>
      <vt:variant>
        <vt:i4>6750260</vt:i4>
      </vt:variant>
      <vt:variant>
        <vt:i4>105</vt:i4>
      </vt:variant>
      <vt:variant>
        <vt:i4>0</vt:i4>
      </vt:variant>
      <vt:variant>
        <vt:i4>5</vt:i4>
      </vt:variant>
      <vt:variant>
        <vt:lpwstr>http://www.itu.int/publ/R-ACT-WRC.8-2007/en</vt:lpwstr>
      </vt:variant>
      <vt:variant>
        <vt:lpwstr/>
      </vt:variant>
      <vt:variant>
        <vt:i4>1048642</vt:i4>
      </vt:variant>
      <vt:variant>
        <vt:i4>102</vt:i4>
      </vt:variant>
      <vt:variant>
        <vt:i4>0</vt:i4>
      </vt:variant>
      <vt:variant>
        <vt:i4>5</vt:i4>
      </vt:variant>
      <vt:variant>
        <vt:lpwstr>http://www.itu.int/ITU-R/conferences/rrc/rrc-06/index.asp</vt:lpwstr>
      </vt:variant>
      <vt:variant>
        <vt:lpwstr/>
      </vt:variant>
      <vt:variant>
        <vt:i4>3670126</vt:i4>
      </vt:variant>
      <vt:variant>
        <vt:i4>99</vt:i4>
      </vt:variant>
      <vt:variant>
        <vt:i4>0</vt:i4>
      </vt:variant>
      <vt:variant>
        <vt:i4>5</vt:i4>
      </vt:variant>
      <vt:variant>
        <vt:lpwstr>http://www.itu.int/ITU-R/conferences/rrc/index.html</vt:lpwstr>
      </vt:variant>
      <vt:variant>
        <vt:lpwstr/>
      </vt:variant>
      <vt:variant>
        <vt:i4>1835094</vt:i4>
      </vt:variant>
      <vt:variant>
        <vt:i4>96</vt:i4>
      </vt:variant>
      <vt:variant>
        <vt:i4>0</vt:i4>
      </vt:variant>
      <vt:variant>
        <vt:i4>5</vt:i4>
      </vt:variant>
      <vt:variant>
        <vt:lpwstr>http://www.itu.int/ITU-R/information/docs/ties/performance-report-2008-en.pdf</vt:lpwstr>
      </vt:variant>
      <vt:variant>
        <vt:lpwstr/>
      </vt:variant>
      <vt:variant>
        <vt:i4>983107</vt:i4>
      </vt:variant>
      <vt:variant>
        <vt:i4>92</vt:i4>
      </vt:variant>
      <vt:variant>
        <vt:i4>0</vt:i4>
      </vt:variant>
      <vt:variant>
        <vt:i4>5</vt:i4>
      </vt:variant>
      <vt:variant>
        <vt:lpwstr>http://www.itu.int/wsis/implementation/index.html</vt:lpwstr>
      </vt:variant>
      <vt:variant>
        <vt:lpwstr/>
      </vt:variant>
      <vt:variant>
        <vt:i4>983107</vt:i4>
      </vt:variant>
      <vt:variant>
        <vt:i4>90</vt:i4>
      </vt:variant>
      <vt:variant>
        <vt:i4>0</vt:i4>
      </vt:variant>
      <vt:variant>
        <vt:i4>5</vt:i4>
      </vt:variant>
      <vt:variant>
        <vt:lpwstr>http://www.itu.int/wsis/implementation/index.html</vt:lpwstr>
      </vt:variant>
      <vt:variant>
        <vt:lpwstr/>
      </vt:variant>
      <vt:variant>
        <vt:i4>4718692</vt:i4>
      </vt:variant>
      <vt:variant>
        <vt:i4>87</vt:i4>
      </vt:variant>
      <vt:variant>
        <vt:i4>0</vt:i4>
      </vt:variant>
      <vt:variant>
        <vt:i4>5</vt:i4>
      </vt:variant>
      <vt:variant>
        <vt:lpwstr>http://www.intgovforum.org/cms/Rio_Meeting/Chairman Summary.FINAL.16.11.2007.pdf</vt:lpwstr>
      </vt:variant>
      <vt:variant>
        <vt:lpwstr/>
      </vt:variant>
      <vt:variant>
        <vt:i4>2424955</vt:i4>
      </vt:variant>
      <vt:variant>
        <vt:i4>84</vt:i4>
      </vt:variant>
      <vt:variant>
        <vt:i4>0</vt:i4>
      </vt:variant>
      <vt:variant>
        <vt:i4>5</vt:i4>
      </vt:variant>
      <vt:variant>
        <vt:lpwstr>http://www.intgovforum.org/cms/hydera/Chairman%27s Summary.10.12.2.pdf</vt:lpwstr>
      </vt:variant>
      <vt:variant>
        <vt:lpwstr/>
      </vt:variant>
      <vt:variant>
        <vt:i4>983107</vt:i4>
      </vt:variant>
      <vt:variant>
        <vt:i4>81</vt:i4>
      </vt:variant>
      <vt:variant>
        <vt:i4>0</vt:i4>
      </vt:variant>
      <vt:variant>
        <vt:i4>5</vt:i4>
      </vt:variant>
      <vt:variant>
        <vt:lpwstr>http://www.itu.int/wsis/implementation/index.html</vt:lpwstr>
      </vt:variant>
      <vt:variant>
        <vt:lpwstr/>
      </vt:variant>
      <vt:variant>
        <vt:i4>5898258</vt:i4>
      </vt:variant>
      <vt:variant>
        <vt:i4>78</vt:i4>
      </vt:variant>
      <vt:variant>
        <vt:i4>0</vt:i4>
      </vt:variant>
      <vt:variant>
        <vt:i4>5</vt:i4>
      </vt:variant>
      <vt:variant>
        <vt:lpwstr>http://www.itu.int/wsis/implementation/2009/forum/index.html</vt:lpwstr>
      </vt:variant>
      <vt:variant>
        <vt:lpwstr/>
      </vt:variant>
      <vt:variant>
        <vt:i4>983107</vt:i4>
      </vt:variant>
      <vt:variant>
        <vt:i4>75</vt:i4>
      </vt:variant>
      <vt:variant>
        <vt:i4>0</vt:i4>
      </vt:variant>
      <vt:variant>
        <vt:i4>5</vt:i4>
      </vt:variant>
      <vt:variant>
        <vt:lpwstr>http://www.itu.int/wsis/implementation/index.html</vt:lpwstr>
      </vt:variant>
      <vt:variant>
        <vt:lpwstr/>
      </vt:variant>
      <vt:variant>
        <vt:i4>1376338</vt:i4>
      </vt:variant>
      <vt:variant>
        <vt:i4>72</vt:i4>
      </vt:variant>
      <vt:variant>
        <vt:i4>0</vt:i4>
      </vt:variant>
      <vt:variant>
        <vt:i4>5</vt:i4>
      </vt:variant>
      <vt:variant>
        <vt:lpwstr>http://www.itu.int/wsis/tunis/index.html</vt:lpwstr>
      </vt:variant>
      <vt:variant>
        <vt:lpwstr/>
      </vt:variant>
      <vt:variant>
        <vt:i4>3539014</vt:i4>
      </vt:variant>
      <vt:variant>
        <vt:i4>69</vt:i4>
      </vt:variant>
      <vt:variant>
        <vt:i4>0</vt:i4>
      </vt:variant>
      <vt:variant>
        <vt:i4>5</vt:i4>
      </vt:variant>
      <vt:variant>
        <vt:lpwstr>http://www.itu.int/wsis/documents/doc_multi.asp?lang=en&amp;id=1160|0</vt:lpwstr>
      </vt:variant>
      <vt:variant>
        <vt:lpwstr/>
      </vt:variant>
      <vt:variant>
        <vt:i4>3539015</vt:i4>
      </vt:variant>
      <vt:variant>
        <vt:i4>66</vt:i4>
      </vt:variant>
      <vt:variant>
        <vt:i4>0</vt:i4>
      </vt:variant>
      <vt:variant>
        <vt:i4>5</vt:i4>
      </vt:variant>
      <vt:variant>
        <vt:lpwstr>http://www.itu.int/wsis/documents/doc_multi.asp?lang=en&amp;id=1161|0</vt:lpwstr>
      </vt:variant>
      <vt:variant>
        <vt:lpwstr/>
      </vt:variant>
      <vt:variant>
        <vt:i4>4259967</vt:i4>
      </vt:variant>
      <vt:variant>
        <vt:i4>63</vt:i4>
      </vt:variant>
      <vt:variant>
        <vt:i4>0</vt:i4>
      </vt:variant>
      <vt:variant>
        <vt:i4>5</vt:i4>
      </vt:variant>
      <vt:variant>
        <vt:lpwstr>http://www.itu.int/osg/csd/stratplan/AR2008_web.pdf</vt:lpwstr>
      </vt:variant>
      <vt:variant>
        <vt:lpwstr/>
      </vt:variant>
      <vt:variant>
        <vt:i4>2359309</vt:i4>
      </vt:variant>
      <vt:variant>
        <vt:i4>60</vt:i4>
      </vt:variant>
      <vt:variant>
        <vt:i4>0</vt:i4>
      </vt:variant>
      <vt:variant>
        <vt:i4>5</vt:i4>
      </vt:variant>
      <vt:variant>
        <vt:lpwstr>http://www.itu.int/aboutitu/annual_report/2007/</vt:lpwstr>
      </vt:variant>
      <vt:variant>
        <vt:lpwstr/>
      </vt:variant>
      <vt:variant>
        <vt:i4>3735653</vt:i4>
      </vt:variant>
      <vt:variant>
        <vt:i4>57</vt:i4>
      </vt:variant>
      <vt:variant>
        <vt:i4>0</vt:i4>
      </vt:variant>
      <vt:variant>
        <vt:i4>5</vt:i4>
      </vt:variant>
      <vt:variant>
        <vt:lpwstr>http://www.itu.int/md/S08-CL-C-0027/en</vt:lpwstr>
      </vt:variant>
      <vt:variant>
        <vt:lpwstr/>
      </vt:variant>
      <vt:variant>
        <vt:i4>3670115</vt:i4>
      </vt:variant>
      <vt:variant>
        <vt:i4>54</vt:i4>
      </vt:variant>
      <vt:variant>
        <vt:i4>0</vt:i4>
      </vt:variant>
      <vt:variant>
        <vt:i4>5</vt:i4>
      </vt:variant>
      <vt:variant>
        <vt:lpwstr>http://www.itu.int/md/S08-CL-C-0031/en</vt:lpwstr>
      </vt:variant>
      <vt:variant>
        <vt:lpwstr/>
      </vt:variant>
      <vt:variant>
        <vt:i4>3735653</vt:i4>
      </vt:variant>
      <vt:variant>
        <vt:i4>51</vt:i4>
      </vt:variant>
      <vt:variant>
        <vt:i4>0</vt:i4>
      </vt:variant>
      <vt:variant>
        <vt:i4>5</vt:i4>
      </vt:variant>
      <vt:variant>
        <vt:lpwstr>http://www.itu.int/md/S08-CL-C-0027/en</vt:lpwstr>
      </vt:variant>
      <vt:variant>
        <vt:lpwstr/>
      </vt:variant>
      <vt:variant>
        <vt:i4>3735649</vt:i4>
      </vt:variant>
      <vt:variant>
        <vt:i4>48</vt:i4>
      </vt:variant>
      <vt:variant>
        <vt:i4>0</vt:i4>
      </vt:variant>
      <vt:variant>
        <vt:i4>5</vt:i4>
      </vt:variant>
      <vt:variant>
        <vt:lpwstr>http://www.itu.int/md/S08-CL-C-0023/en</vt:lpwstr>
      </vt:variant>
      <vt:variant>
        <vt:lpwstr/>
      </vt:variant>
      <vt:variant>
        <vt:i4>6684706</vt:i4>
      </vt:variant>
      <vt:variant>
        <vt:i4>45</vt:i4>
      </vt:variant>
      <vt:variant>
        <vt:i4>0</vt:i4>
      </vt:variant>
      <vt:variant>
        <vt:i4>5</vt:i4>
      </vt:variant>
      <vt:variant>
        <vt:lpwstr>http://www.itu.int/osg/csd/wtpf/wtpf2009/index.html</vt:lpwstr>
      </vt:variant>
      <vt:variant>
        <vt:lpwstr/>
      </vt:variant>
      <vt:variant>
        <vt:i4>1114120</vt:i4>
      </vt:variant>
      <vt:variant>
        <vt:i4>42</vt:i4>
      </vt:variant>
      <vt:variant>
        <vt:i4>0</vt:i4>
      </vt:variant>
      <vt:variant>
        <vt:i4>5</vt:i4>
      </vt:variant>
      <vt:variant>
        <vt:lpwstr>http://www.itu.int/md/meetingdoc.asp?lang=en&amp;parent=S09-CL-C-0022</vt:lpwstr>
      </vt:variant>
      <vt:variant>
        <vt:lpwstr/>
      </vt:variant>
      <vt:variant>
        <vt:i4>1507337</vt:i4>
      </vt:variant>
      <vt:variant>
        <vt:i4>39</vt:i4>
      </vt:variant>
      <vt:variant>
        <vt:i4>0</vt:i4>
      </vt:variant>
      <vt:variant>
        <vt:i4>5</vt:i4>
      </vt:variant>
      <vt:variant>
        <vt:lpwstr>http://www.itu.int/md/meetingdoc.asp?lang=en&amp;parent=S08-CL-C-0042</vt:lpwstr>
      </vt:variant>
      <vt:variant>
        <vt:lpwstr/>
      </vt:variant>
      <vt:variant>
        <vt:i4>1507337</vt:i4>
      </vt:variant>
      <vt:variant>
        <vt:i4>36</vt:i4>
      </vt:variant>
      <vt:variant>
        <vt:i4>0</vt:i4>
      </vt:variant>
      <vt:variant>
        <vt:i4>5</vt:i4>
      </vt:variant>
      <vt:variant>
        <vt:lpwstr>http://www.itu.int/md/meetingdoc.asp?lang=en&amp;parent=S08-CL-C-0042</vt:lpwstr>
      </vt:variant>
      <vt:variant>
        <vt:lpwstr/>
      </vt:variant>
      <vt:variant>
        <vt:i4>1114120</vt:i4>
      </vt:variant>
      <vt:variant>
        <vt:i4>33</vt:i4>
      </vt:variant>
      <vt:variant>
        <vt:i4>0</vt:i4>
      </vt:variant>
      <vt:variant>
        <vt:i4>5</vt:i4>
      </vt:variant>
      <vt:variant>
        <vt:lpwstr>http://www.itu.int/md/meetingdoc.asp?lang=en&amp;parent=S09-CL-C-0021</vt:lpwstr>
      </vt:variant>
      <vt:variant>
        <vt:lpwstr/>
      </vt:variant>
      <vt:variant>
        <vt:i4>1507337</vt:i4>
      </vt:variant>
      <vt:variant>
        <vt:i4>30</vt:i4>
      </vt:variant>
      <vt:variant>
        <vt:i4>0</vt:i4>
      </vt:variant>
      <vt:variant>
        <vt:i4>5</vt:i4>
      </vt:variant>
      <vt:variant>
        <vt:lpwstr>http://www.itu.int/md/meetingdoc.asp?lang=en&amp;parent=S08-CL-C-0041</vt:lpwstr>
      </vt:variant>
      <vt:variant>
        <vt:lpwstr/>
      </vt:variant>
      <vt:variant>
        <vt:i4>4128867</vt:i4>
      </vt:variant>
      <vt:variant>
        <vt:i4>27</vt:i4>
      </vt:variant>
      <vt:variant>
        <vt:i4>0</vt:i4>
      </vt:variant>
      <vt:variant>
        <vt:i4>5</vt:i4>
      </vt:variant>
      <vt:variant>
        <vt:lpwstr>http://www.itu.int/md/S08-CL-C-0041/en</vt:lpwstr>
      </vt:variant>
      <vt:variant>
        <vt:lpwstr/>
      </vt:variant>
      <vt:variant>
        <vt:i4>3407992</vt:i4>
      </vt:variant>
      <vt:variant>
        <vt:i4>24</vt:i4>
      </vt:variant>
      <vt:variant>
        <vt:i4>0</vt:i4>
      </vt:variant>
      <vt:variant>
        <vt:i4>5</vt:i4>
      </vt:variant>
      <vt:variant>
        <vt:lpwstr>http://www.itu.int/osg/csd/stratplan/Presentation_Strategic_Plan_12_June_2009_Rev2.pdf</vt:lpwstr>
      </vt:variant>
      <vt:variant>
        <vt:lpwstr/>
      </vt:variant>
      <vt:variant>
        <vt:i4>1703963</vt:i4>
      </vt:variant>
      <vt:variant>
        <vt:i4>21</vt:i4>
      </vt:variant>
      <vt:variant>
        <vt:i4>0</vt:i4>
      </vt:variant>
      <vt:variant>
        <vt:i4>5</vt:i4>
      </vt:variant>
      <vt:variant>
        <vt:lpwstr>http://www.itu.int/council/activities/pd/itu-strategic-plan-2008-2011.pdf</vt:lpwstr>
      </vt:variant>
      <vt:variant>
        <vt:lpwstr/>
      </vt:variant>
      <vt:variant>
        <vt:i4>3866730</vt:i4>
      </vt:variant>
      <vt:variant>
        <vt:i4>18</vt:i4>
      </vt:variant>
      <vt:variant>
        <vt:i4>0</vt:i4>
      </vt:variant>
      <vt:variant>
        <vt:i4>5</vt:i4>
      </vt:variant>
      <vt:variant>
        <vt:lpwstr>http://www.itu.int/md/S08-CL-C-0008/en</vt:lpwstr>
      </vt:variant>
      <vt:variant>
        <vt:lpwstr/>
      </vt:variant>
      <vt:variant>
        <vt:i4>3735654</vt:i4>
      </vt:variant>
      <vt:variant>
        <vt:i4>15</vt:i4>
      </vt:variant>
      <vt:variant>
        <vt:i4>0</vt:i4>
      </vt:variant>
      <vt:variant>
        <vt:i4>5</vt:i4>
      </vt:variant>
      <vt:variant>
        <vt:lpwstr>http://www.itu.int/md/S05-CL-C-0029/en</vt:lpwstr>
      </vt:variant>
      <vt:variant>
        <vt:lpwstr/>
      </vt:variant>
      <vt:variant>
        <vt:i4>6225929</vt:i4>
      </vt:variant>
      <vt:variant>
        <vt:i4>12</vt:i4>
      </vt:variant>
      <vt:variant>
        <vt:i4>0</vt:i4>
      </vt:variant>
      <vt:variant>
        <vt:i4>5</vt:i4>
      </vt:variant>
      <vt:variant>
        <vt:lpwstr>http://www.itu.int/itudoc/gs/council/c99/docs/docs1/047.html</vt:lpwstr>
      </vt:variant>
      <vt:variant>
        <vt:lpwstr/>
      </vt:variant>
      <vt:variant>
        <vt:i4>6094854</vt:i4>
      </vt:variant>
      <vt:variant>
        <vt:i4>9</vt:i4>
      </vt:variant>
      <vt:variant>
        <vt:i4>0</vt:i4>
      </vt:variant>
      <vt:variant>
        <vt:i4>5</vt:i4>
      </vt:variant>
      <vt:variant>
        <vt:lpwstr>http://www.itu.int/itudoc/gs/council/c99/docs/docs1/068.html</vt:lpwstr>
      </vt:variant>
      <vt:variant>
        <vt:lpwstr/>
      </vt:variant>
      <vt:variant>
        <vt:i4>3407911</vt:i4>
      </vt:variant>
      <vt:variant>
        <vt:i4>6</vt:i4>
      </vt:variant>
      <vt:variant>
        <vt:i4>0</vt:i4>
      </vt:variant>
      <vt:variant>
        <vt:i4>5</vt:i4>
      </vt:variant>
      <vt:variant>
        <vt:lpwstr>http://www.itu.int/council/finregs/Regl_Fin_Regles-05-rev-E.pdf</vt:lpwstr>
      </vt:variant>
      <vt:variant>
        <vt:lpwstr/>
      </vt:variant>
      <vt:variant>
        <vt:i4>2031644</vt:i4>
      </vt:variant>
      <vt:variant>
        <vt:i4>3</vt:i4>
      </vt:variant>
      <vt:variant>
        <vt:i4>0</vt:i4>
      </vt:variant>
      <vt:variant>
        <vt:i4>5</vt:i4>
      </vt:variant>
      <vt:variant>
        <vt:lpwstr>http://www.itu.int/council/pd/convention.doc</vt:lpwstr>
      </vt:variant>
      <vt:variant>
        <vt:lpwstr>cvart101</vt:lpwstr>
      </vt:variant>
      <vt:variant>
        <vt:i4>2752556</vt:i4>
      </vt:variant>
      <vt:variant>
        <vt:i4>0</vt:i4>
      </vt:variant>
      <vt:variant>
        <vt:i4>0</vt:i4>
      </vt:variant>
      <vt:variant>
        <vt:i4>5</vt:i4>
      </vt:variant>
      <vt:variant>
        <vt:lpwstr>http://www.itu.int/council/pd/convention.doc</vt:lpwstr>
      </vt:variant>
      <vt:variant>
        <vt:lpwstr>cvart5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国际电信联盟理事会决议和决定</dc:title>
  <dc:creator>ITU</dc:creator>
  <cp:lastModifiedBy>Liu, Sanping</cp:lastModifiedBy>
  <cp:revision>229</cp:revision>
  <cp:lastPrinted>2021-11-12T07:58:00Z</cp:lastPrinted>
  <dcterms:created xsi:type="dcterms:W3CDTF">2019-08-07T08:07:00Z</dcterms:created>
  <dcterms:modified xsi:type="dcterms:W3CDTF">2021-11-12T08:01:00Z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1">
    <vt:lpwstr>第章</vt:lpwstr>
  </property>
</Properties>
</file>